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emf" ContentType="image/x-emf"/>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1A5BFC">
      <w:pPr>
        <w:bidi w:val="0"/>
        <w:ind w:left="0" w:leftChars="0" w:firstLine="0" w:firstLineChars="0"/>
        <w:rPr>
          <w:rFonts w:hint="eastAsia"/>
          <w:b/>
          <w:bCs/>
          <w:sz w:val="52"/>
          <w:szCs w:val="52"/>
          <w:lang w:val="en-US" w:eastAsia="zh-CN"/>
        </w:rPr>
      </w:pPr>
      <w:bookmarkStart w:id="0" w:name="_Toc1101735168"/>
      <w:bookmarkStart w:id="1" w:name="_Toc356270001"/>
      <w:bookmarkStart w:id="2" w:name="_Toc1402579987"/>
      <w:bookmarkStart w:id="3" w:name="_Toc148001859"/>
      <w:bookmarkStart w:id="4" w:name="_Toc528572600"/>
      <w:bookmarkStart w:id="5" w:name="_Toc14298799"/>
      <w:bookmarkStart w:id="6" w:name="_Toc1092381017"/>
      <w:bookmarkStart w:id="7" w:name="_Toc1802702779"/>
      <w:bookmarkStart w:id="8" w:name="_Toc13262"/>
      <w:r>
        <w:rPr>
          <w:rFonts w:hint="eastAsia"/>
          <w:b/>
          <w:bCs/>
          <w:sz w:val="52"/>
          <w:szCs w:val="52"/>
          <w:lang w:val="en-US" w:eastAsia="zh-CN"/>
        </w:rPr>
        <w:t>中国社会科学院学部委员</w:t>
      </w:r>
      <w:bookmarkEnd w:id="0"/>
      <w:bookmarkEnd w:id="1"/>
      <w:bookmarkEnd w:id="2"/>
      <w:bookmarkEnd w:id="3"/>
    </w:p>
    <w:p w14:paraId="7E375920">
      <w:pPr>
        <w:rPr>
          <w:rFonts w:hint="eastAsia"/>
          <w:b w:val="0"/>
          <w:bCs w:val="0"/>
          <w:color w:val="000000" w:themeColor="text1"/>
          <w:lang w:val="en-US" w:eastAsia="zh-CN"/>
          <w14:textFill>
            <w14:solidFill>
              <w14:schemeClr w14:val="tx1"/>
            </w14:solidFill>
          </w14:textFill>
        </w:rPr>
      </w:pPr>
    </w:p>
    <w:p w14:paraId="0CA2E54C">
      <w:pPr>
        <w:rPr>
          <w:rFonts w:hint="eastAsia"/>
          <w:b/>
          <w:bCs/>
          <w:color w:val="000000" w:themeColor="text1"/>
          <w:sz w:val="52"/>
          <w:szCs w:val="52"/>
          <w:lang w:val="en-US" w:eastAsia="zh-CN"/>
          <w14:textFill>
            <w14:solidFill>
              <w14:schemeClr w14:val="tx1"/>
            </w14:solidFill>
          </w14:textFill>
        </w:rPr>
      </w:pPr>
    </w:p>
    <w:p w14:paraId="1644A923">
      <w:pPr>
        <w:rPr>
          <w:rFonts w:hint="eastAsia"/>
          <w:b/>
          <w:bCs/>
          <w:color w:val="000000" w:themeColor="text1"/>
          <w:sz w:val="52"/>
          <w:szCs w:val="52"/>
          <w:lang w:val="en-US" w:eastAsia="zh-CN"/>
          <w14:textFill>
            <w14:solidFill>
              <w14:schemeClr w14:val="tx1"/>
            </w14:solidFill>
          </w14:textFill>
        </w:rPr>
      </w:pPr>
    </w:p>
    <w:p w14:paraId="32B36AC3">
      <w:pPr>
        <w:rPr>
          <w:rFonts w:hint="eastAsia"/>
          <w:b/>
          <w:bCs/>
          <w:color w:val="000000" w:themeColor="text1"/>
          <w:sz w:val="21"/>
          <w:szCs w:val="21"/>
          <w:lang w:val="en-US" w:eastAsia="zh-CN"/>
          <w14:textFill>
            <w14:solidFill>
              <w14:schemeClr w14:val="tx1"/>
            </w14:solidFill>
          </w14:textFill>
        </w:rPr>
      </w:pPr>
      <w:r>
        <w:rPr>
          <w:rFonts w:hint="eastAsia"/>
          <w:b/>
          <w:bCs/>
          <w:color w:val="000000" w:themeColor="text1"/>
          <w:sz w:val="84"/>
          <w:szCs w:val="84"/>
          <w:lang w:val="en-US" w:eastAsia="zh-CN"/>
          <w14:textFill>
            <w14:solidFill>
              <w14:schemeClr w14:val="tx1"/>
            </w14:solidFill>
          </w14:textFill>
        </w:rPr>
        <w:t>程恩富选集</w:t>
      </w:r>
      <w:r>
        <w:rPr>
          <w:rFonts w:hint="eastAsia"/>
          <w:b/>
          <w:bCs/>
          <w:color w:val="000000" w:themeColor="text1"/>
          <w:sz w:val="21"/>
          <w:szCs w:val="21"/>
          <w:lang w:val="en-US" w:eastAsia="zh-CN"/>
          <w14:textFill>
            <w14:solidFill>
              <w14:schemeClr w14:val="tx1"/>
            </w14:solidFill>
          </w14:textFill>
        </w:rPr>
        <w:t>（按时间顺序）</w:t>
      </w:r>
    </w:p>
    <w:p w14:paraId="6E239393">
      <w:pPr>
        <w:rPr>
          <w:rFonts w:hint="eastAsia"/>
          <w:b w:val="0"/>
          <w:bCs w:val="0"/>
          <w:color w:val="000000" w:themeColor="text1"/>
          <w:lang w:val="en-US" w:eastAsia="zh-CN"/>
          <w14:textFill>
            <w14:solidFill>
              <w14:schemeClr w14:val="tx1"/>
            </w14:solidFill>
          </w14:textFill>
        </w:rPr>
      </w:pPr>
    </w:p>
    <w:p w14:paraId="69C2F5EF">
      <w:pPr>
        <w:ind w:left="0" w:leftChars="0" w:firstLine="0" w:firstLineChars="0"/>
        <w:jc w:val="center"/>
        <w:rPr>
          <w:rFonts w:hint="eastAsia" w:ascii="宋体" w:hAnsi="宋体" w:eastAsia="宋体" w:cs="宋体"/>
          <w:b/>
          <w:bCs/>
          <w:color w:val="000000" w:themeColor="text1"/>
          <w:sz w:val="52"/>
          <w:szCs w:val="52"/>
          <w:lang w:val="en-US" w:eastAsia="zh-CN"/>
          <w14:textFill>
            <w14:solidFill>
              <w14:schemeClr w14:val="tx1"/>
            </w14:solidFill>
          </w14:textFill>
        </w:rPr>
        <w:sectPr>
          <w:footnotePr>
            <w:numFmt w:val="decimalEnclosedCircleChinese"/>
            <w:numRestart w:val="eachPage"/>
          </w:footnotePr>
          <w:pgSz w:w="11850" w:h="16783"/>
          <w:pgMar w:top="1440" w:right="1800" w:bottom="1440" w:left="1800" w:header="851" w:footer="992" w:gutter="0"/>
          <w:pgNumType w:fmt="decimal"/>
          <w:cols w:space="720" w:num="1"/>
          <w:docGrid w:type="lines" w:linePitch="294" w:charSpace="0"/>
        </w:sectPr>
      </w:pPr>
      <w:r>
        <w:rPr>
          <w:rFonts w:hint="eastAsia" w:ascii="宋体" w:hAnsi="宋体" w:eastAsia="宋体" w:cs="宋体"/>
          <w:b/>
          <w:bCs/>
          <w:color w:val="000000" w:themeColor="text1"/>
          <w:sz w:val="52"/>
          <w:szCs w:val="52"/>
          <w:lang w:val="en-US" w:eastAsia="zh-CN"/>
          <w14:textFill>
            <w14:solidFill>
              <w14:schemeClr w14:val="tx1"/>
            </w14:solidFill>
          </w14:textFill>
        </w:rPr>
        <w:t>（20</w:t>
      </w:r>
      <w:r>
        <w:rPr>
          <w:rFonts w:hint="eastAsia" w:ascii="宋体" w:hAnsi="宋体" w:cs="宋体"/>
          <w:b/>
          <w:bCs/>
          <w:color w:val="000000" w:themeColor="text1"/>
          <w:sz w:val="52"/>
          <w:szCs w:val="52"/>
          <w:lang w:val="en-US" w:eastAsia="zh-CN"/>
          <w14:textFill>
            <w14:solidFill>
              <w14:schemeClr w14:val="tx1"/>
            </w14:solidFill>
          </w14:textFill>
        </w:rPr>
        <w:t>22</w:t>
      </w:r>
      <w:r>
        <w:rPr>
          <w:rFonts w:hint="eastAsia" w:ascii="宋体" w:hAnsi="宋体" w:eastAsia="宋体" w:cs="宋体"/>
          <w:b/>
          <w:bCs/>
          <w:color w:val="000000" w:themeColor="text1"/>
          <w:sz w:val="52"/>
          <w:szCs w:val="52"/>
          <w:lang w:val="en-US" w:eastAsia="zh-CN"/>
          <w14:textFill>
            <w14:solidFill>
              <w14:schemeClr w14:val="tx1"/>
            </w14:solidFill>
          </w14:textFill>
        </w:rPr>
        <w:t>-202</w:t>
      </w:r>
      <w:r>
        <w:rPr>
          <w:rFonts w:hint="eastAsia" w:ascii="宋体" w:hAnsi="宋体" w:cs="宋体"/>
          <w:b/>
          <w:bCs/>
          <w:color w:val="000000" w:themeColor="text1"/>
          <w:sz w:val="52"/>
          <w:szCs w:val="52"/>
          <w:lang w:val="en-US" w:eastAsia="zh-CN"/>
          <w14:textFill>
            <w14:solidFill>
              <w14:schemeClr w14:val="tx1"/>
            </w14:solidFill>
          </w14:textFill>
        </w:rPr>
        <w:t>6</w:t>
      </w:r>
      <w:r>
        <w:rPr>
          <w:rFonts w:hint="eastAsia" w:ascii="宋体" w:hAnsi="宋体" w:eastAsia="宋体" w:cs="宋体"/>
          <w:b/>
          <w:bCs/>
          <w:color w:val="000000" w:themeColor="text1"/>
          <w:sz w:val="52"/>
          <w:szCs w:val="52"/>
          <w:lang w:val="en-US" w:eastAsia="zh-CN"/>
          <w14:textFill>
            <w14:solidFill>
              <w14:schemeClr w14:val="tx1"/>
            </w14:solidFill>
          </w14:textFill>
        </w:rPr>
        <w:t>）</w:t>
      </w:r>
    </w:p>
    <w:p w14:paraId="18E4B9BD">
      <w:pPr>
        <w:pStyle w:val="10"/>
        <w:tabs>
          <w:tab w:val="right" w:leader="dot" w:pos="8844"/>
        </w:tabs>
        <w:jc w:val="center"/>
        <w:rPr>
          <w:rFonts w:hint="default"/>
          <w:sz w:val="44"/>
          <w:szCs w:val="44"/>
          <w:lang w:val="en-US" w:eastAsia="zh-CN"/>
        </w:rPr>
      </w:pPr>
      <w:r>
        <w:rPr>
          <w:rFonts w:hint="eastAsia"/>
          <w:sz w:val="44"/>
          <w:szCs w:val="44"/>
          <w:lang w:val="en-US" w:eastAsia="zh-CN"/>
        </w:rPr>
        <w:t>目录</w:t>
      </w:r>
    </w:p>
    <w:p w14:paraId="4536FB8D">
      <w:pPr>
        <w:pStyle w:val="10"/>
        <w:tabs>
          <w:tab w:val="right" w:leader="dot" w:pos="8844"/>
        </w:tabs>
      </w:pPr>
      <w:r>
        <w:rPr>
          <w:rFonts w:hint="eastAsia"/>
          <w:lang w:val="en-US" w:eastAsia="zh-CN"/>
        </w:rPr>
        <w:fldChar w:fldCharType="begin"/>
      </w:r>
      <w:r>
        <w:rPr>
          <w:rFonts w:hint="eastAsia"/>
          <w:lang w:val="en-US" w:eastAsia="zh-CN"/>
        </w:rPr>
        <w:instrText xml:space="preserve">TOC \o "1-2" \u </w:instrText>
      </w:r>
      <w:r>
        <w:rPr>
          <w:rFonts w:hint="eastAsia"/>
          <w:lang w:val="en-US" w:eastAsia="zh-CN"/>
        </w:rPr>
        <w:fldChar w:fldCharType="separate"/>
      </w:r>
      <w:r>
        <w:rPr>
          <w:rFonts w:hint="eastAsia"/>
          <w:lang w:val="en-US" w:eastAsia="zh-CN"/>
        </w:rPr>
        <w:t>2022年</w:t>
      </w:r>
      <w:r>
        <w:tab/>
      </w:r>
      <w:r>
        <w:fldChar w:fldCharType="begin"/>
      </w:r>
      <w:r>
        <w:instrText xml:space="preserve"> PAGEREF _Toc1775572191 \h </w:instrText>
      </w:r>
      <w:r>
        <w:fldChar w:fldCharType="separate"/>
      </w:r>
      <w:r>
        <w:t>1</w:t>
      </w:r>
      <w:r>
        <w:fldChar w:fldCharType="end"/>
      </w:r>
    </w:p>
    <w:p w14:paraId="4A3A7716">
      <w:pPr>
        <w:pStyle w:val="12"/>
        <w:tabs>
          <w:tab w:val="right" w:leader="dot" w:pos="8844"/>
        </w:tabs>
      </w:pPr>
      <w:r>
        <w:rPr>
          <w:rFonts w:hint="eastAsia"/>
          <w:lang w:val="en-US" w:eastAsia="zh-CN"/>
        </w:rPr>
        <w:t>1中国马克思主义学习型政党建设的百年经验与推进路径</w:t>
      </w:r>
      <w:r>
        <w:tab/>
      </w:r>
      <w:r>
        <w:fldChar w:fldCharType="begin"/>
      </w:r>
      <w:r>
        <w:instrText xml:space="preserve"> PAGEREF _Toc609055425 \h </w:instrText>
      </w:r>
      <w:r>
        <w:fldChar w:fldCharType="separate"/>
      </w:r>
      <w:r>
        <w:t>1</w:t>
      </w:r>
      <w:r>
        <w:fldChar w:fldCharType="end"/>
      </w:r>
    </w:p>
    <w:p w14:paraId="2DA716B8">
      <w:pPr>
        <w:pStyle w:val="12"/>
        <w:tabs>
          <w:tab w:val="right" w:leader="dot" w:pos="8844"/>
        </w:tabs>
      </w:pPr>
      <w:r>
        <w:rPr>
          <w:rFonts w:hint="eastAsia"/>
          <w:lang w:val="en-US" w:eastAsia="zh-CN"/>
        </w:rPr>
        <w:t>2</w:t>
      </w:r>
      <w:r>
        <w:rPr>
          <w:rFonts w:hint="default"/>
        </w:rPr>
        <w:t>社会转型背景下乡村伦理的现实困境与重构路径</w:t>
      </w:r>
      <w:r>
        <w:tab/>
      </w:r>
      <w:r>
        <w:fldChar w:fldCharType="begin"/>
      </w:r>
      <w:r>
        <w:instrText xml:space="preserve"> PAGEREF _Toc1487466373 \h </w:instrText>
      </w:r>
      <w:r>
        <w:fldChar w:fldCharType="separate"/>
      </w:r>
      <w:r>
        <w:t>30</w:t>
      </w:r>
      <w:r>
        <w:fldChar w:fldCharType="end"/>
      </w:r>
    </w:p>
    <w:p w14:paraId="7E2F9614">
      <w:pPr>
        <w:pStyle w:val="12"/>
        <w:tabs>
          <w:tab w:val="right" w:leader="dot" w:pos="8844"/>
        </w:tabs>
      </w:pPr>
      <w:r>
        <w:rPr>
          <w:rFonts w:hint="eastAsia"/>
          <w:lang w:val="en-US" w:eastAsia="zh-CN"/>
        </w:rPr>
        <w:t>3</w:t>
      </w:r>
      <w:r>
        <w:rPr>
          <w:rFonts w:hint="eastAsia"/>
          <w:lang w:eastAsia="zh-CN"/>
        </w:rPr>
        <w:t>中国共产党在百年奋斗中坚持开拓创新的成就</w:t>
      </w:r>
      <w:r>
        <w:rPr>
          <w:rFonts w:hint="eastAsia"/>
          <w:lang w:val="en-US" w:eastAsia="zh-CN"/>
        </w:rPr>
        <w:t>和</w:t>
      </w:r>
      <w:r>
        <w:rPr>
          <w:rFonts w:hint="eastAsia"/>
          <w:lang w:eastAsia="zh-CN"/>
        </w:rPr>
        <w:t>经验</w:t>
      </w:r>
      <w:r>
        <w:tab/>
      </w:r>
      <w:r>
        <w:fldChar w:fldCharType="begin"/>
      </w:r>
      <w:r>
        <w:instrText xml:space="preserve"> PAGEREF _Toc990196284 \h </w:instrText>
      </w:r>
      <w:r>
        <w:fldChar w:fldCharType="separate"/>
      </w:r>
      <w:r>
        <w:t>40</w:t>
      </w:r>
      <w:r>
        <w:fldChar w:fldCharType="end"/>
      </w:r>
    </w:p>
    <w:p w14:paraId="51F61879">
      <w:pPr>
        <w:pStyle w:val="12"/>
        <w:tabs>
          <w:tab w:val="right" w:leader="dot" w:pos="8844"/>
        </w:tabs>
      </w:pPr>
      <w:r>
        <w:t>马克思劳动者发展思想的逻辑机理与当代价值</w:t>
      </w:r>
      <w:r>
        <w:tab/>
      </w:r>
      <w:r>
        <w:fldChar w:fldCharType="begin"/>
      </w:r>
      <w:r>
        <w:instrText xml:space="preserve"> PAGEREF _Toc1378164585 \h </w:instrText>
      </w:r>
      <w:r>
        <w:fldChar w:fldCharType="separate"/>
      </w:r>
      <w:r>
        <w:t>45</w:t>
      </w:r>
      <w:r>
        <w:fldChar w:fldCharType="end"/>
      </w:r>
    </w:p>
    <w:p w14:paraId="5CA5AF03">
      <w:pPr>
        <w:pStyle w:val="12"/>
        <w:tabs>
          <w:tab w:val="right" w:leader="dot" w:pos="8844"/>
        </w:tabs>
      </w:pPr>
      <w:r>
        <w:rPr>
          <w:rFonts w:hint="eastAsia"/>
          <w:lang w:val="en-US" w:eastAsia="zh-CN"/>
        </w:rPr>
        <w:t>4</w:t>
      </w:r>
      <w:r>
        <w:rPr>
          <w:rFonts w:hint="eastAsia"/>
        </w:rPr>
        <w:t>列宁主义有何科学性和当代价值？——与英国大卫·莱恩院士商榷</w:t>
      </w:r>
      <w:r>
        <w:tab/>
      </w:r>
      <w:r>
        <w:fldChar w:fldCharType="begin"/>
      </w:r>
      <w:r>
        <w:instrText xml:space="preserve"> PAGEREF _Toc53563553 \h </w:instrText>
      </w:r>
      <w:r>
        <w:fldChar w:fldCharType="separate"/>
      </w:r>
      <w:r>
        <w:t>57</w:t>
      </w:r>
      <w:r>
        <w:fldChar w:fldCharType="end"/>
      </w:r>
    </w:p>
    <w:p w14:paraId="18841E29">
      <w:pPr>
        <w:pStyle w:val="12"/>
        <w:tabs>
          <w:tab w:val="right" w:leader="dot" w:pos="8844"/>
        </w:tabs>
      </w:pPr>
      <w:r>
        <w:rPr>
          <w:rFonts w:hint="eastAsia"/>
          <w:lang w:val="en-US" w:eastAsia="zh-CN"/>
        </w:rPr>
        <w:t>5</w:t>
      </w:r>
      <w:r>
        <w:rPr>
          <w:rFonts w:hint="eastAsia"/>
        </w:rPr>
        <w:t>新时代科学家精神的养成探赜</w:t>
      </w:r>
      <w:r>
        <w:tab/>
      </w:r>
      <w:r>
        <w:fldChar w:fldCharType="begin"/>
      </w:r>
      <w:r>
        <w:instrText xml:space="preserve"> PAGEREF _Toc446987178 \h </w:instrText>
      </w:r>
      <w:r>
        <w:fldChar w:fldCharType="separate"/>
      </w:r>
      <w:r>
        <w:t>67</w:t>
      </w:r>
      <w:r>
        <w:fldChar w:fldCharType="end"/>
      </w:r>
    </w:p>
    <w:p w14:paraId="2BD194B3">
      <w:pPr>
        <w:pStyle w:val="12"/>
        <w:tabs>
          <w:tab w:val="right" w:leader="dot" w:pos="8844"/>
        </w:tabs>
      </w:pPr>
      <w:r>
        <w:rPr>
          <w:rFonts w:hint="eastAsia"/>
          <w:lang w:val="en-US" w:eastAsia="zh-CN"/>
        </w:rPr>
        <w:t>6</w:t>
      </w:r>
      <w:r>
        <w:t>运用“资本市场”分配方式促进共同富裕</w:t>
      </w:r>
      <w:r>
        <w:tab/>
      </w:r>
      <w:r>
        <w:fldChar w:fldCharType="begin"/>
      </w:r>
      <w:r>
        <w:instrText xml:space="preserve"> PAGEREF _Toc615703440 \h </w:instrText>
      </w:r>
      <w:r>
        <w:fldChar w:fldCharType="separate"/>
      </w:r>
      <w:r>
        <w:t>76</w:t>
      </w:r>
      <w:r>
        <w:fldChar w:fldCharType="end"/>
      </w:r>
    </w:p>
    <w:p w14:paraId="144757F7">
      <w:pPr>
        <w:pStyle w:val="12"/>
        <w:tabs>
          <w:tab w:val="right" w:leader="dot" w:pos="8844"/>
        </w:tabs>
      </w:pPr>
      <w:r>
        <w:rPr>
          <w:rFonts w:hint="eastAsia"/>
          <w:lang w:val="en-US" w:eastAsia="zh-CN"/>
        </w:rPr>
        <w:t>7</w:t>
      </w:r>
      <w:r>
        <w:t>数字平台经济垄断的基本特征、内在逻辑与规制思路</w:t>
      </w:r>
      <w:r>
        <w:tab/>
      </w:r>
      <w:r>
        <w:fldChar w:fldCharType="begin"/>
      </w:r>
      <w:r>
        <w:instrText xml:space="preserve"> PAGEREF _Toc1551504834 \h </w:instrText>
      </w:r>
      <w:r>
        <w:fldChar w:fldCharType="separate"/>
      </w:r>
      <w:r>
        <w:t>82</w:t>
      </w:r>
      <w:r>
        <w:fldChar w:fldCharType="end"/>
      </w:r>
    </w:p>
    <w:p w14:paraId="1A01EA18">
      <w:pPr>
        <w:pStyle w:val="12"/>
        <w:tabs>
          <w:tab w:val="right" w:leader="dot" w:pos="8844"/>
        </w:tabs>
      </w:pPr>
      <w:r>
        <w:rPr>
          <w:rFonts w:hint="eastAsia"/>
          <w:lang w:val="en-US" w:eastAsia="zh-CN"/>
        </w:rPr>
        <w:t>8全过程人民民主对西方民主政治的超越</w:t>
      </w:r>
      <w:r>
        <w:rPr>
          <w:rFonts w:hint="eastAsia"/>
          <w:lang w:val="en-US" w:eastAsia="zh-CN"/>
        </w:rPr>
        <w:t xml:space="preserve"> </w:t>
      </w:r>
      <w:r>
        <w:rPr>
          <w:rFonts w:hint="eastAsia"/>
          <w:lang w:val="en-US" w:eastAsia="zh-CN"/>
        </w:rPr>
        <w:t>——基于人民代表大会制度的分析</w:t>
      </w:r>
      <w:r>
        <w:tab/>
      </w:r>
      <w:r>
        <w:fldChar w:fldCharType="begin"/>
      </w:r>
      <w:r>
        <w:instrText xml:space="preserve"> PAGEREF _Toc1395303164 \h </w:instrText>
      </w:r>
      <w:r>
        <w:fldChar w:fldCharType="separate"/>
      </w:r>
      <w:r>
        <w:t>97</w:t>
      </w:r>
      <w:r>
        <w:fldChar w:fldCharType="end"/>
      </w:r>
    </w:p>
    <w:p w14:paraId="71AFDC43">
      <w:pPr>
        <w:pStyle w:val="12"/>
        <w:tabs>
          <w:tab w:val="right" w:leader="dot" w:pos="8844"/>
        </w:tabs>
      </w:pPr>
      <w:r>
        <w:rPr>
          <w:rFonts w:hint="eastAsia"/>
          <w:lang w:val="en-US" w:eastAsia="zh-CN"/>
        </w:rPr>
        <w:t>9以党的自我革命交出人民满意答卷</w:t>
      </w:r>
      <w:r>
        <w:rPr>
          <w:rFonts w:hint="eastAsia"/>
          <w:lang w:val="en-US" w:eastAsia="zh-CN"/>
        </w:rPr>
        <w:t xml:space="preserve"> </w:t>
      </w:r>
      <w:r>
        <w:rPr>
          <w:rFonts w:hint="eastAsia"/>
          <w:lang w:val="en-US" w:eastAsia="zh-CN"/>
        </w:rPr>
        <w:t>——学习党的二十大精神体会</w:t>
      </w:r>
      <w:r>
        <w:tab/>
      </w:r>
      <w:r>
        <w:fldChar w:fldCharType="begin"/>
      </w:r>
      <w:r>
        <w:instrText xml:space="preserve"> PAGEREF _Toc338852108 \h </w:instrText>
      </w:r>
      <w:r>
        <w:fldChar w:fldCharType="separate"/>
      </w:r>
      <w:r>
        <w:t>114</w:t>
      </w:r>
      <w:r>
        <w:fldChar w:fldCharType="end"/>
      </w:r>
    </w:p>
    <w:p w14:paraId="6C05CCDC">
      <w:pPr>
        <w:pStyle w:val="12"/>
        <w:tabs>
          <w:tab w:val="right" w:leader="dot" w:pos="8844"/>
        </w:tabs>
      </w:pPr>
      <w:r>
        <w:rPr>
          <w:rFonts w:hint="eastAsia"/>
          <w:lang w:val="en-US" w:eastAsia="zh-CN"/>
        </w:rPr>
        <w:t>10</w:t>
      </w:r>
      <w:r>
        <w:rPr>
          <w:rFonts w:hint="default"/>
        </w:rPr>
        <w:t>从马克思主义基本原理领悟党的二十大精神的几个问题</w:t>
      </w:r>
      <w:r>
        <w:tab/>
      </w:r>
      <w:r>
        <w:fldChar w:fldCharType="begin"/>
      </w:r>
      <w:r>
        <w:instrText xml:space="preserve"> PAGEREF _Toc2108230959 \h </w:instrText>
      </w:r>
      <w:r>
        <w:fldChar w:fldCharType="separate"/>
      </w:r>
      <w:r>
        <w:t>121</w:t>
      </w:r>
      <w:r>
        <w:fldChar w:fldCharType="end"/>
      </w:r>
    </w:p>
    <w:p w14:paraId="02B1E47D">
      <w:pPr>
        <w:pStyle w:val="12"/>
        <w:tabs>
          <w:tab w:val="right" w:leader="dot" w:pos="8844"/>
        </w:tabs>
      </w:pPr>
      <w:r>
        <w:rPr>
          <w:rFonts w:hint="eastAsia"/>
          <w:lang w:val="en-US" w:eastAsia="zh-CN"/>
        </w:rPr>
        <w:t>11马克思主义视域下文明的进步与先进性探讨</w:t>
      </w:r>
      <w:r>
        <w:tab/>
      </w:r>
      <w:r>
        <w:fldChar w:fldCharType="begin"/>
      </w:r>
      <w:r>
        <w:instrText xml:space="preserve"> PAGEREF _Toc1705036060 \h </w:instrText>
      </w:r>
      <w:r>
        <w:fldChar w:fldCharType="separate"/>
      </w:r>
      <w:r>
        <w:t>136</w:t>
      </w:r>
      <w:r>
        <w:fldChar w:fldCharType="end"/>
      </w:r>
    </w:p>
    <w:p w14:paraId="21D3B4F8">
      <w:pPr>
        <w:pStyle w:val="10"/>
        <w:tabs>
          <w:tab w:val="right" w:leader="dot" w:pos="8844"/>
        </w:tabs>
      </w:pPr>
      <w:r>
        <w:rPr>
          <w:rFonts w:hint="eastAsia"/>
          <w:bCs/>
          <w:szCs w:val="28"/>
          <w:lang w:val="en-US" w:eastAsia="zh-CN"/>
        </w:rPr>
        <w:t xml:space="preserve">12 </w:t>
      </w:r>
      <w:r>
        <w:rPr>
          <w:rFonts w:hint="eastAsia"/>
          <w:lang w:val="en-US" w:eastAsia="zh-CN"/>
        </w:rPr>
        <w:t xml:space="preserve"> 苏联与美国综合国力发展比较：“两个如果”的历史假设分析——兼论苏联被摧毁的国内外主因</w:t>
      </w:r>
      <w:r>
        <w:tab/>
      </w:r>
      <w:r>
        <w:fldChar w:fldCharType="begin"/>
      </w:r>
      <w:r>
        <w:instrText xml:space="preserve"> PAGEREF _Toc519274852 \h </w:instrText>
      </w:r>
      <w:r>
        <w:fldChar w:fldCharType="separate"/>
      </w:r>
      <w:r>
        <w:t>145</w:t>
      </w:r>
      <w:r>
        <w:fldChar w:fldCharType="end"/>
      </w:r>
    </w:p>
    <w:p w14:paraId="12FE677B">
      <w:pPr>
        <w:pStyle w:val="12"/>
        <w:tabs>
          <w:tab w:val="right" w:leader="dot" w:pos="8844"/>
        </w:tabs>
      </w:pPr>
      <w:r>
        <w:rPr>
          <w:rFonts w:hint="eastAsia" w:ascii="Arial" w:hAnsi="Arial" w:eastAsia="宋体" w:cs="Arial"/>
          <w:bCs/>
          <w:i w:val="0"/>
          <w:caps w:val="0"/>
          <w:color w:val="auto"/>
          <w:spacing w:val="0"/>
          <w:kern w:val="0"/>
          <w:szCs w:val="32"/>
          <w:lang w:val="en-US" w:eastAsia="zh-CN" w:bidi="ar"/>
        </w:rPr>
        <w:t>13列宁主义有何科学性和当代价值？</w:t>
      </w:r>
      <w:r>
        <w:rPr>
          <w:rFonts w:hint="eastAsia" w:ascii="Arial" w:hAnsi="Arial" w:eastAsia="宋体" w:cs="Arial"/>
          <w:bCs/>
          <w:i w:val="0"/>
          <w:caps w:val="0"/>
          <w:color w:val="auto"/>
          <w:spacing w:val="0"/>
          <w:kern w:val="0"/>
          <w:szCs w:val="32"/>
          <w:lang w:val="en-US" w:eastAsia="zh-CN" w:bidi="ar"/>
        </w:rPr>
        <w:t xml:space="preserve"> </w:t>
      </w:r>
      <w:r>
        <w:rPr>
          <w:rFonts w:hint="default" w:ascii="Arial" w:hAnsi="Arial" w:eastAsia="宋体" w:cs="Arial"/>
          <w:bCs/>
          <w:i w:val="0"/>
          <w:caps w:val="0"/>
          <w:color w:val="auto"/>
          <w:spacing w:val="0"/>
          <w:kern w:val="0"/>
          <w:szCs w:val="32"/>
          <w:lang w:val="en-US" w:eastAsia="zh-CN" w:bidi="ar"/>
        </w:rPr>
        <w:t>——与</w:t>
      </w:r>
      <w:r>
        <w:rPr>
          <w:rFonts w:hint="eastAsia" w:ascii="Arial" w:hAnsi="Arial" w:eastAsia="宋体" w:cs="Arial"/>
          <w:bCs/>
          <w:i w:val="0"/>
          <w:caps w:val="0"/>
          <w:color w:val="auto"/>
          <w:spacing w:val="0"/>
          <w:kern w:val="0"/>
          <w:szCs w:val="32"/>
          <w:lang w:val="en-US" w:eastAsia="zh-CN" w:bidi="ar"/>
        </w:rPr>
        <w:t>英国</w:t>
      </w:r>
      <w:r>
        <w:rPr>
          <w:rFonts w:hint="default" w:ascii="Arial" w:hAnsi="Arial" w:eastAsia="宋体" w:cs="Arial"/>
          <w:bCs/>
          <w:i w:val="0"/>
          <w:caps w:val="0"/>
          <w:color w:val="auto"/>
          <w:spacing w:val="0"/>
          <w:kern w:val="0"/>
          <w:szCs w:val="32"/>
          <w:lang w:val="en-US" w:eastAsia="zh-CN" w:bidi="ar"/>
        </w:rPr>
        <w:t>大卫·莱恩</w:t>
      </w:r>
      <w:r>
        <w:rPr>
          <w:rFonts w:hint="eastAsia" w:ascii="Arial" w:hAnsi="Arial" w:eastAsia="宋体" w:cs="Arial"/>
          <w:bCs/>
          <w:i w:val="0"/>
          <w:caps w:val="0"/>
          <w:color w:val="auto"/>
          <w:spacing w:val="0"/>
          <w:kern w:val="0"/>
          <w:szCs w:val="32"/>
          <w:lang w:val="en-US" w:eastAsia="zh-CN" w:bidi="ar"/>
        </w:rPr>
        <w:t>院士</w:t>
      </w:r>
      <w:r>
        <w:rPr>
          <w:rFonts w:hint="default" w:ascii="Arial" w:hAnsi="Arial" w:eastAsia="宋体" w:cs="Arial"/>
          <w:bCs/>
          <w:i w:val="0"/>
          <w:caps w:val="0"/>
          <w:color w:val="auto"/>
          <w:spacing w:val="0"/>
          <w:kern w:val="0"/>
          <w:szCs w:val="32"/>
          <w:lang w:val="en-US" w:eastAsia="zh-CN" w:bidi="ar"/>
        </w:rPr>
        <w:t>商榷</w:t>
      </w:r>
      <w:r>
        <w:tab/>
      </w:r>
      <w:r>
        <w:fldChar w:fldCharType="begin"/>
      </w:r>
      <w:r>
        <w:instrText xml:space="preserve"> PAGEREF _Toc78896156 \h </w:instrText>
      </w:r>
      <w:r>
        <w:fldChar w:fldCharType="separate"/>
      </w:r>
      <w:r>
        <w:t>174</w:t>
      </w:r>
      <w:r>
        <w:fldChar w:fldCharType="end"/>
      </w:r>
    </w:p>
    <w:p w14:paraId="7940DF68">
      <w:pPr>
        <w:pStyle w:val="12"/>
        <w:tabs>
          <w:tab w:val="right" w:leader="dot" w:pos="8844"/>
        </w:tabs>
      </w:pPr>
      <w:r>
        <w:rPr>
          <w:rFonts w:hint="eastAsia" w:ascii="黑体" w:hAnsi="黑体" w:eastAsia="黑体" w:cs="黑体"/>
          <w:color w:val="0D0D0D"/>
          <w:szCs w:val="36"/>
          <w:lang w:val="en-US" w:eastAsia="zh-CN"/>
        </w:rPr>
        <w:t>14</w:t>
      </w:r>
      <w:r>
        <w:rPr>
          <w:rFonts w:hint="eastAsia" w:ascii="黑体" w:hAnsi="黑体" w:eastAsia="黑体" w:cs="黑体"/>
          <w:color w:val="0D0D0D"/>
          <w:szCs w:val="36"/>
        </w:rPr>
        <w:t>中国马克思主义学习型政党建设的</w:t>
      </w:r>
      <w:r>
        <w:rPr>
          <w:rFonts w:hint="eastAsia" w:ascii="黑体" w:hAnsi="黑体" w:eastAsia="黑体" w:cs="黑体"/>
          <w:color w:val="0D0D0D"/>
          <w:szCs w:val="36"/>
          <w:lang w:val="en-US" w:eastAsia="zh-CN"/>
        </w:rPr>
        <w:t>历史</w:t>
      </w:r>
      <w:r>
        <w:rPr>
          <w:rFonts w:hint="eastAsia" w:ascii="黑体" w:hAnsi="黑体" w:eastAsia="黑体" w:cs="黑体"/>
          <w:color w:val="0D0D0D"/>
          <w:szCs w:val="36"/>
        </w:rPr>
        <w:t>经验与推进路径</w:t>
      </w:r>
      <w:r>
        <w:tab/>
      </w:r>
      <w:r>
        <w:fldChar w:fldCharType="begin"/>
      </w:r>
      <w:r>
        <w:instrText xml:space="preserve"> PAGEREF _Toc1010283693 \h </w:instrText>
      </w:r>
      <w:r>
        <w:fldChar w:fldCharType="separate"/>
      </w:r>
      <w:r>
        <w:t>188</w:t>
      </w:r>
      <w:r>
        <w:fldChar w:fldCharType="end"/>
      </w:r>
    </w:p>
    <w:p w14:paraId="695CC7A8">
      <w:pPr>
        <w:pStyle w:val="12"/>
        <w:tabs>
          <w:tab w:val="right" w:leader="dot" w:pos="8844"/>
        </w:tabs>
      </w:pPr>
      <w:r>
        <w:rPr>
          <w:rFonts w:hint="eastAsia" w:ascii="宋体" w:hAnsi="宋体" w:eastAsia="宋体" w:cs="宋体"/>
          <w:bCs/>
          <w:szCs w:val="21"/>
          <w:lang w:val="en-US" w:eastAsia="zh-CN"/>
        </w:rPr>
        <w:t>15</w:t>
      </w:r>
      <w:r>
        <w:rPr>
          <w:rFonts w:hint="eastAsia" w:ascii="宋体" w:hAnsi="宋体" w:eastAsia="宋体" w:cs="宋体"/>
          <w:bCs/>
          <w:szCs w:val="21"/>
        </w:rPr>
        <w:t>论社会主义发展的三个阶段：经济制度与具体运行</w:t>
      </w:r>
      <w:r>
        <w:tab/>
      </w:r>
      <w:r>
        <w:fldChar w:fldCharType="begin"/>
      </w:r>
      <w:r>
        <w:instrText xml:space="preserve"> PAGEREF _Toc1832315069 \h </w:instrText>
      </w:r>
      <w:r>
        <w:fldChar w:fldCharType="separate"/>
      </w:r>
      <w:r>
        <w:t>200</w:t>
      </w:r>
      <w:r>
        <w:fldChar w:fldCharType="end"/>
      </w:r>
    </w:p>
    <w:p w14:paraId="7155E522">
      <w:pPr>
        <w:pStyle w:val="10"/>
        <w:tabs>
          <w:tab w:val="right" w:leader="dot" w:pos="8844"/>
        </w:tabs>
      </w:pPr>
      <w:r>
        <w:rPr>
          <w:rFonts w:hint="eastAsia"/>
          <w:lang w:val="en-US" w:eastAsia="zh-CN"/>
        </w:rPr>
        <w:t>2023年</w:t>
      </w:r>
      <w:r>
        <w:tab/>
      </w:r>
      <w:r>
        <w:fldChar w:fldCharType="begin"/>
      </w:r>
      <w:r>
        <w:instrText xml:space="preserve"> PAGEREF _Toc803866703 \h </w:instrText>
      </w:r>
      <w:r>
        <w:fldChar w:fldCharType="separate"/>
      </w:r>
      <w:r>
        <w:t>212</w:t>
      </w:r>
      <w:r>
        <w:fldChar w:fldCharType="end"/>
      </w:r>
    </w:p>
    <w:p w14:paraId="28CDBFA6">
      <w:pPr>
        <w:pStyle w:val="12"/>
        <w:tabs>
          <w:tab w:val="right" w:leader="dot" w:pos="8844"/>
        </w:tabs>
      </w:pPr>
      <w:r>
        <w:rPr>
          <w:rFonts w:hint="eastAsia"/>
          <w:lang w:val="en-US" w:eastAsia="zh-CN"/>
        </w:rPr>
        <w:t>1</w:t>
      </w:r>
      <w:r>
        <w:rPr>
          <w:rFonts w:hint="eastAsia"/>
          <w:lang w:eastAsia="zh-CN"/>
        </w:rPr>
        <w:t>大力发展新质生产力加速推进中国式现代化</w:t>
      </w:r>
      <w:r>
        <w:tab/>
      </w:r>
      <w:r>
        <w:fldChar w:fldCharType="begin"/>
      </w:r>
      <w:r>
        <w:instrText xml:space="preserve"> PAGEREF _Toc768054044 \h </w:instrText>
      </w:r>
      <w:r>
        <w:fldChar w:fldCharType="separate"/>
      </w:r>
      <w:r>
        <w:t>212</w:t>
      </w:r>
      <w:r>
        <w:fldChar w:fldCharType="end"/>
      </w:r>
    </w:p>
    <w:p w14:paraId="409E5D5B">
      <w:pPr>
        <w:pStyle w:val="12"/>
        <w:tabs>
          <w:tab w:val="right" w:leader="dot" w:pos="8844"/>
        </w:tabs>
      </w:pPr>
      <w:r>
        <w:rPr>
          <w:rFonts w:hint="eastAsia"/>
          <w:szCs w:val="28"/>
          <w:lang w:val="en-US" w:eastAsia="zh-CN"/>
        </w:rPr>
        <w:t>2党支部领办合作社基础上农业托管服务模式创新</w:t>
      </w:r>
      <w:r>
        <w:rPr>
          <w:rFonts w:hint="eastAsia"/>
          <w:szCs w:val="28"/>
          <w:lang w:val="en-US" w:eastAsia="zh-CN"/>
        </w:rPr>
        <w:t xml:space="preserve"> </w:t>
      </w:r>
      <w:r>
        <w:rPr>
          <w:rFonts w:hint="eastAsia"/>
          <w:lang w:val="en-US" w:eastAsia="zh-CN"/>
        </w:rPr>
        <w:t>——以山东等地为例</w:t>
      </w:r>
      <w:r>
        <w:tab/>
      </w:r>
      <w:r>
        <w:fldChar w:fldCharType="begin"/>
      </w:r>
      <w:r>
        <w:instrText xml:space="preserve"> PAGEREF _Toc160115391 \h </w:instrText>
      </w:r>
      <w:r>
        <w:fldChar w:fldCharType="separate"/>
      </w:r>
      <w:r>
        <w:t>225</w:t>
      </w:r>
      <w:r>
        <w:fldChar w:fldCharType="end"/>
      </w:r>
    </w:p>
    <w:p w14:paraId="0F4C170C">
      <w:pPr>
        <w:pStyle w:val="12"/>
        <w:tabs>
          <w:tab w:val="right" w:leader="dot" w:pos="8844"/>
        </w:tabs>
      </w:pPr>
      <w:r>
        <w:rPr>
          <w:rFonts w:hint="eastAsia"/>
          <w:lang w:val="en-US" w:eastAsia="zh-CN"/>
        </w:rPr>
        <w:t>3</w:t>
      </w:r>
      <w:r>
        <w:rPr>
          <w:rFonts w:hint="eastAsia"/>
        </w:rPr>
        <w:t>乡村全过程人民民主的主体制约与化解路径</w:t>
      </w:r>
      <w:r>
        <w:tab/>
      </w:r>
      <w:r>
        <w:fldChar w:fldCharType="begin"/>
      </w:r>
      <w:r>
        <w:instrText xml:space="preserve"> PAGEREF _Toc262366846 \h </w:instrText>
      </w:r>
      <w:r>
        <w:fldChar w:fldCharType="separate"/>
      </w:r>
      <w:r>
        <w:t>243</w:t>
      </w:r>
      <w:r>
        <w:fldChar w:fldCharType="end"/>
      </w:r>
    </w:p>
    <w:p w14:paraId="664D4E04">
      <w:pPr>
        <w:pStyle w:val="12"/>
        <w:tabs>
          <w:tab w:val="right" w:leader="dot" w:pos="8844"/>
        </w:tabs>
      </w:pPr>
      <w:r>
        <w:rPr>
          <w:rFonts w:hint="eastAsia"/>
          <w:lang w:val="en-US" w:eastAsia="zh-CN"/>
        </w:rPr>
        <w:t>4</w:t>
      </w:r>
      <w:r>
        <w:rPr>
          <w:rFonts w:hint="eastAsia"/>
        </w:rPr>
        <w:t>智能经济条件下劳动过程新变化</w:t>
      </w:r>
      <w:r>
        <w:rPr>
          <w:rFonts w:hint="eastAsia"/>
        </w:rPr>
        <w:t xml:space="preserve"> </w:t>
      </w:r>
      <w:r>
        <w:rPr>
          <w:rFonts w:hint="eastAsia"/>
        </w:rPr>
        <w:t>——基于马克思主义劳动过程理论</w:t>
      </w:r>
      <w:r>
        <w:tab/>
      </w:r>
      <w:r>
        <w:fldChar w:fldCharType="begin"/>
      </w:r>
      <w:r>
        <w:instrText xml:space="preserve"> PAGEREF _Toc815653431 \h </w:instrText>
      </w:r>
      <w:r>
        <w:fldChar w:fldCharType="separate"/>
      </w:r>
      <w:r>
        <w:t>256</w:t>
      </w:r>
      <w:r>
        <w:fldChar w:fldCharType="end"/>
      </w:r>
    </w:p>
    <w:p w14:paraId="0B43A141">
      <w:pPr>
        <w:pStyle w:val="12"/>
        <w:tabs>
          <w:tab w:val="right" w:leader="dot" w:pos="8844"/>
        </w:tabs>
      </w:pPr>
      <w:r>
        <w:rPr>
          <w:rFonts w:hint="eastAsia"/>
          <w:lang w:val="en-US" w:eastAsia="zh-CN"/>
        </w:rPr>
        <w:t>5</w:t>
      </w:r>
      <w:r>
        <w:rPr>
          <w:rFonts w:hint="default"/>
          <w:lang w:eastAsia="zh-CN"/>
        </w:rPr>
        <w:t>马克思主义的分工理论及其当代发展</w:t>
      </w:r>
      <w:r>
        <w:tab/>
      </w:r>
      <w:r>
        <w:fldChar w:fldCharType="begin"/>
      </w:r>
      <w:r>
        <w:instrText xml:space="preserve"> PAGEREF _Toc1299096016 \h </w:instrText>
      </w:r>
      <w:r>
        <w:fldChar w:fldCharType="separate"/>
      </w:r>
      <w:r>
        <w:t>271</w:t>
      </w:r>
      <w:r>
        <w:fldChar w:fldCharType="end"/>
      </w:r>
    </w:p>
    <w:p w14:paraId="571A2E5E">
      <w:pPr>
        <w:pStyle w:val="12"/>
        <w:tabs>
          <w:tab w:val="right" w:leader="dot" w:pos="8844"/>
        </w:tabs>
      </w:pPr>
      <w:r>
        <w:rPr>
          <w:rFonts w:hint="eastAsia"/>
          <w:lang w:val="en-US" w:eastAsia="zh-CN"/>
        </w:rPr>
        <w:t>6</w:t>
      </w:r>
      <w:r>
        <w:rPr>
          <w:rFonts w:hint="eastAsia"/>
        </w:rPr>
        <w:t>全球经济新格局与中国新型工业化</w:t>
      </w:r>
      <w:r>
        <w:tab/>
      </w:r>
      <w:r>
        <w:fldChar w:fldCharType="begin"/>
      </w:r>
      <w:r>
        <w:instrText xml:space="preserve"> PAGEREF _Toc440501863 \h </w:instrText>
      </w:r>
      <w:r>
        <w:fldChar w:fldCharType="separate"/>
      </w:r>
      <w:r>
        <w:t>287</w:t>
      </w:r>
      <w:r>
        <w:fldChar w:fldCharType="end"/>
      </w:r>
    </w:p>
    <w:p w14:paraId="2BA5A8A3">
      <w:pPr>
        <w:pStyle w:val="12"/>
        <w:tabs>
          <w:tab w:val="right" w:leader="dot" w:pos="8844"/>
        </w:tabs>
      </w:pPr>
      <w:r>
        <w:rPr>
          <w:rFonts w:hint="eastAsia" w:ascii="宋体" w:hAnsi="宋体" w:eastAsia="宋体"/>
          <w:bCs w:val="0"/>
          <w:color w:val="000000" w:themeColor="text1"/>
          <w:szCs w:val="24"/>
          <w14:textFill>
            <w14:solidFill>
              <w14:schemeClr w14:val="tx1"/>
            </w14:solidFill>
          </w14:textFill>
        </w:rPr>
        <w:t>（一） “大政府”</w:t>
      </w:r>
      <w:r>
        <w:rPr>
          <w:rFonts w:ascii="宋体" w:hAnsi="宋体" w:eastAsia="宋体"/>
          <w:bCs w:val="0"/>
          <w:color w:val="000000" w:themeColor="text1"/>
          <w:szCs w:val="24"/>
          <w14:textFill>
            <w14:solidFill>
              <w14:schemeClr w14:val="tx1"/>
            </w14:solidFill>
          </w14:textFill>
        </w:rPr>
        <w:t xml:space="preserve"> </w:t>
      </w:r>
      <w:r>
        <w:rPr>
          <w:rFonts w:hint="eastAsia" w:ascii="宋体" w:hAnsi="宋体" w:eastAsia="宋体"/>
          <w:bCs w:val="0"/>
          <w:color w:val="000000" w:themeColor="text1"/>
          <w:szCs w:val="24"/>
          <w14:textFill>
            <w14:solidFill>
              <w14:schemeClr w14:val="tx1"/>
            </w14:solidFill>
          </w14:textFill>
        </w:rPr>
        <w:t>取代“大市场”</w:t>
      </w:r>
      <w:r>
        <w:tab/>
      </w:r>
      <w:r>
        <w:fldChar w:fldCharType="begin"/>
      </w:r>
      <w:r>
        <w:instrText xml:space="preserve"> PAGEREF _Toc1138680232 \h </w:instrText>
      </w:r>
      <w:r>
        <w:fldChar w:fldCharType="separate"/>
      </w:r>
      <w:r>
        <w:t>289</w:t>
      </w:r>
      <w:r>
        <w:fldChar w:fldCharType="end"/>
      </w:r>
    </w:p>
    <w:p w14:paraId="397C87A0">
      <w:pPr>
        <w:pStyle w:val="12"/>
        <w:tabs>
          <w:tab w:val="right" w:leader="dot" w:pos="8844"/>
        </w:tabs>
      </w:pPr>
      <w:r>
        <w:rPr>
          <w:rFonts w:hint="eastAsia" w:ascii="宋体" w:hAnsi="宋体" w:eastAsia="宋体"/>
          <w:bCs w:val="0"/>
          <w:color w:val="000000" w:themeColor="text1"/>
          <w:szCs w:val="24"/>
          <w14:textFill>
            <w14:solidFill>
              <w14:schemeClr w14:val="tx1"/>
            </w14:solidFill>
          </w14:textFill>
        </w:rPr>
        <w:t>（二）</w:t>
      </w:r>
      <w:r>
        <w:rPr>
          <w:rFonts w:ascii="宋体" w:hAnsi="宋体" w:eastAsia="宋体"/>
          <w:bCs w:val="0"/>
          <w:color w:val="000000" w:themeColor="text1"/>
          <w:szCs w:val="24"/>
          <w14:textFill>
            <w14:solidFill>
              <w14:schemeClr w14:val="tx1"/>
            </w14:solidFill>
          </w14:textFill>
        </w:rPr>
        <w:t>贸易保护取代贸易自由</w:t>
      </w:r>
      <w:r>
        <w:tab/>
      </w:r>
      <w:r>
        <w:fldChar w:fldCharType="begin"/>
      </w:r>
      <w:r>
        <w:instrText xml:space="preserve"> PAGEREF _Toc1571880807 \h </w:instrText>
      </w:r>
      <w:r>
        <w:fldChar w:fldCharType="separate"/>
      </w:r>
      <w:r>
        <w:t>290</w:t>
      </w:r>
      <w:r>
        <w:fldChar w:fldCharType="end"/>
      </w:r>
    </w:p>
    <w:p w14:paraId="1E2B1ABD">
      <w:pPr>
        <w:pStyle w:val="12"/>
        <w:tabs>
          <w:tab w:val="right" w:leader="dot" w:pos="8844"/>
        </w:tabs>
      </w:pPr>
      <w:r>
        <w:rPr>
          <w:rFonts w:hint="eastAsia" w:ascii="宋体" w:hAnsi="宋体" w:eastAsia="宋体"/>
          <w:bCs w:val="0"/>
          <w:color w:val="000000" w:themeColor="text1"/>
          <w:szCs w:val="24"/>
          <w14:textFill>
            <w14:solidFill>
              <w14:schemeClr w14:val="tx1"/>
            </w14:solidFill>
          </w14:textFill>
        </w:rPr>
        <w:t>（三）全球价值链的本土化、</w:t>
      </w:r>
      <w:r>
        <w:rPr>
          <w:rFonts w:ascii="宋体" w:hAnsi="宋体" w:eastAsia="宋体"/>
          <w:bCs w:val="0"/>
          <w:color w:val="000000" w:themeColor="text1"/>
          <w:szCs w:val="24"/>
          <w14:textFill>
            <w14:solidFill>
              <w14:schemeClr w14:val="tx1"/>
            </w14:solidFill>
          </w14:textFill>
        </w:rPr>
        <w:t>区域化</w:t>
      </w:r>
      <w:r>
        <w:rPr>
          <w:rFonts w:hint="eastAsia" w:ascii="宋体" w:hAnsi="宋体" w:eastAsia="宋体"/>
          <w:bCs w:val="0"/>
          <w:color w:val="000000" w:themeColor="text1"/>
          <w:szCs w:val="24"/>
          <w14:textFill>
            <w14:solidFill>
              <w14:schemeClr w14:val="tx1"/>
            </w14:solidFill>
          </w14:textFill>
        </w:rPr>
        <w:t>取代</w:t>
      </w:r>
      <w:r>
        <w:rPr>
          <w:rFonts w:ascii="宋体" w:hAnsi="宋体" w:eastAsia="宋体"/>
          <w:bCs w:val="0"/>
          <w:color w:val="000000" w:themeColor="text1"/>
          <w:szCs w:val="24"/>
          <w14:textFill>
            <w14:solidFill>
              <w14:schemeClr w14:val="tx1"/>
            </w14:solidFill>
          </w14:textFill>
        </w:rPr>
        <w:t>全球化</w:t>
      </w:r>
      <w:r>
        <w:tab/>
      </w:r>
      <w:r>
        <w:fldChar w:fldCharType="begin"/>
      </w:r>
      <w:r>
        <w:instrText xml:space="preserve"> PAGEREF _Toc256897855 \h </w:instrText>
      </w:r>
      <w:r>
        <w:fldChar w:fldCharType="separate"/>
      </w:r>
      <w:r>
        <w:t>292</w:t>
      </w:r>
      <w:r>
        <w:fldChar w:fldCharType="end"/>
      </w:r>
    </w:p>
    <w:p w14:paraId="19BB8D38">
      <w:pPr>
        <w:pStyle w:val="12"/>
        <w:tabs>
          <w:tab w:val="right" w:leader="dot" w:pos="8844"/>
        </w:tabs>
      </w:pPr>
      <w:r>
        <w:rPr>
          <w:rFonts w:hint="eastAsia" w:ascii="宋体" w:hAnsi="宋体" w:eastAsia="宋体"/>
          <w:bCs w:val="0"/>
          <w:color w:val="000000" w:themeColor="text1"/>
          <w:szCs w:val="24"/>
          <w14:textFill>
            <w14:solidFill>
              <w14:schemeClr w14:val="tx1"/>
            </w14:solidFill>
          </w14:textFill>
        </w:rPr>
        <w:t>（四）</w:t>
      </w:r>
      <w:r>
        <w:rPr>
          <w:rFonts w:ascii="宋体" w:hAnsi="宋体" w:eastAsia="宋体"/>
          <w:bCs w:val="0"/>
          <w:color w:val="000000" w:themeColor="text1"/>
          <w:szCs w:val="24"/>
          <w14:textFill>
            <w14:solidFill>
              <w14:schemeClr w14:val="tx1"/>
            </w14:solidFill>
          </w14:textFill>
        </w:rPr>
        <w:t>数字经济取代传统经济</w:t>
      </w:r>
      <w:r>
        <w:tab/>
      </w:r>
      <w:r>
        <w:fldChar w:fldCharType="begin"/>
      </w:r>
      <w:r>
        <w:instrText xml:space="preserve"> PAGEREF _Toc1240118515 \h </w:instrText>
      </w:r>
      <w:r>
        <w:fldChar w:fldCharType="separate"/>
      </w:r>
      <w:r>
        <w:t>294</w:t>
      </w:r>
      <w:r>
        <w:fldChar w:fldCharType="end"/>
      </w:r>
    </w:p>
    <w:p w14:paraId="111BD2F1">
      <w:pPr>
        <w:pStyle w:val="12"/>
        <w:tabs>
          <w:tab w:val="right" w:leader="dot" w:pos="8844"/>
        </w:tabs>
      </w:pPr>
      <w:r>
        <w:rPr>
          <w:rFonts w:ascii="宋体" w:hAnsi="宋体" w:eastAsia="宋体" w:cs="Times New Roman"/>
          <w:bCs/>
          <w:color w:val="000000" w:themeColor="text1"/>
          <w:szCs w:val="24"/>
          <w14:textFill>
            <w14:solidFill>
              <w14:schemeClr w14:val="tx1"/>
            </w14:solidFill>
          </w14:textFill>
        </w:rPr>
        <w:t>（一）继续实施多边主义构筑制造业升级机遇</w:t>
      </w:r>
      <w:r>
        <w:tab/>
      </w:r>
      <w:r>
        <w:fldChar w:fldCharType="begin"/>
      </w:r>
      <w:r>
        <w:instrText xml:space="preserve"> PAGEREF _Toc1343087470 \h </w:instrText>
      </w:r>
      <w:r>
        <w:fldChar w:fldCharType="separate"/>
      </w:r>
      <w:r>
        <w:t>305</w:t>
      </w:r>
      <w:r>
        <w:fldChar w:fldCharType="end"/>
      </w:r>
    </w:p>
    <w:p w14:paraId="211840A8">
      <w:pPr>
        <w:pStyle w:val="12"/>
        <w:tabs>
          <w:tab w:val="right" w:leader="dot" w:pos="8844"/>
        </w:tabs>
      </w:pPr>
      <w:r>
        <w:rPr>
          <w:rFonts w:ascii="宋体" w:hAnsi="宋体" w:eastAsia="宋体" w:cs="Times New Roman"/>
          <w:bCs/>
          <w:color w:val="000000" w:themeColor="text1"/>
          <w:szCs w:val="24"/>
          <w14:textFill>
            <w14:solidFill>
              <w14:schemeClr w14:val="tx1"/>
            </w14:solidFill>
          </w14:textFill>
        </w:rPr>
        <w:t>（二）努力</w:t>
      </w:r>
      <w:r>
        <w:rPr>
          <w:rFonts w:ascii="宋体" w:hAnsi="宋体" w:eastAsia="宋体" w:cs="Times New Roman"/>
          <w:bCs w:val="0"/>
          <w:color w:val="000000" w:themeColor="text1"/>
          <w:szCs w:val="24"/>
          <w14:textFill>
            <w14:solidFill>
              <w14:schemeClr w14:val="tx1"/>
            </w14:solidFill>
          </w14:textFill>
        </w:rPr>
        <w:t>实现制造业转型升级的高质量发展</w:t>
      </w:r>
      <w:r>
        <w:tab/>
      </w:r>
      <w:r>
        <w:fldChar w:fldCharType="begin"/>
      </w:r>
      <w:r>
        <w:instrText xml:space="preserve"> PAGEREF _Toc1070494673 \h </w:instrText>
      </w:r>
      <w:r>
        <w:fldChar w:fldCharType="separate"/>
      </w:r>
      <w:r>
        <w:t>307</w:t>
      </w:r>
      <w:r>
        <w:fldChar w:fldCharType="end"/>
      </w:r>
    </w:p>
    <w:p w14:paraId="05871061">
      <w:pPr>
        <w:pStyle w:val="12"/>
        <w:tabs>
          <w:tab w:val="right" w:leader="dot" w:pos="8844"/>
        </w:tabs>
      </w:pPr>
      <w:r>
        <w:rPr>
          <w:rFonts w:ascii="宋体" w:hAnsi="宋体" w:eastAsia="宋体" w:cs="Times New Roman"/>
          <w:bCs w:val="0"/>
          <w:color w:val="000000" w:themeColor="text1"/>
          <w:szCs w:val="24"/>
          <w14:textFill>
            <w14:solidFill>
              <w14:schemeClr w14:val="tx1"/>
            </w14:solidFill>
          </w14:textFill>
        </w:rPr>
        <w:t>（三）</w:t>
      </w:r>
      <w:r>
        <w:rPr>
          <w:rFonts w:ascii="宋体" w:hAnsi="宋体" w:eastAsia="宋体" w:cs="Times New Roman"/>
          <w:bCs/>
          <w:color w:val="000000" w:themeColor="text1"/>
          <w:szCs w:val="24"/>
          <w14:textFill>
            <w14:solidFill>
              <w14:schemeClr w14:val="tx1"/>
            </w14:solidFill>
          </w14:textFill>
        </w:rPr>
        <w:t>着重推动制造业关键核心技术的新型举国体制</w:t>
      </w:r>
      <w:r>
        <w:tab/>
      </w:r>
      <w:r>
        <w:fldChar w:fldCharType="begin"/>
      </w:r>
      <w:r>
        <w:instrText xml:space="preserve"> PAGEREF _Toc185974545 \h </w:instrText>
      </w:r>
      <w:r>
        <w:fldChar w:fldCharType="separate"/>
      </w:r>
      <w:r>
        <w:t>308</w:t>
      </w:r>
      <w:r>
        <w:fldChar w:fldCharType="end"/>
      </w:r>
    </w:p>
    <w:p w14:paraId="1B50786F">
      <w:pPr>
        <w:pStyle w:val="12"/>
        <w:tabs>
          <w:tab w:val="right" w:leader="dot" w:pos="8844"/>
        </w:tabs>
      </w:pPr>
      <w:r>
        <w:rPr>
          <w:rFonts w:ascii="宋体" w:hAnsi="宋体" w:eastAsia="宋体" w:cs="Times New Roman"/>
          <w:bCs/>
          <w:color w:val="000000" w:themeColor="text1"/>
          <w:szCs w:val="24"/>
          <w14:textFill>
            <w14:solidFill>
              <w14:schemeClr w14:val="tx1"/>
            </w14:solidFill>
          </w14:textFill>
        </w:rPr>
        <w:t>（四）加大培育完整内需体系的系统化环境生成</w:t>
      </w:r>
      <w:r>
        <w:tab/>
      </w:r>
      <w:r>
        <w:fldChar w:fldCharType="begin"/>
      </w:r>
      <w:r>
        <w:instrText xml:space="preserve"> PAGEREF _Toc1085471430 \h </w:instrText>
      </w:r>
      <w:r>
        <w:fldChar w:fldCharType="separate"/>
      </w:r>
      <w:r>
        <w:t>309</w:t>
      </w:r>
      <w:r>
        <w:fldChar w:fldCharType="end"/>
      </w:r>
    </w:p>
    <w:p w14:paraId="762AB4FD">
      <w:pPr>
        <w:pStyle w:val="12"/>
        <w:tabs>
          <w:tab w:val="right" w:leader="dot" w:pos="8844"/>
        </w:tabs>
      </w:pPr>
      <w:r>
        <w:rPr>
          <w:rFonts w:hint="eastAsia"/>
          <w:lang w:val="en-US" w:eastAsia="zh-CN"/>
        </w:rPr>
        <w:t>7</w:t>
      </w:r>
      <w:r>
        <w:rPr>
          <w:rFonts w:hint="eastAsia"/>
        </w:rPr>
        <w:t>新形势下中俄务实合作的基础与前景</w:t>
      </w:r>
      <w:r>
        <w:tab/>
      </w:r>
      <w:r>
        <w:fldChar w:fldCharType="begin"/>
      </w:r>
      <w:r>
        <w:instrText xml:space="preserve"> PAGEREF _Toc644742745 \h </w:instrText>
      </w:r>
      <w:r>
        <w:fldChar w:fldCharType="separate"/>
      </w:r>
      <w:r>
        <w:t>311</w:t>
      </w:r>
      <w:r>
        <w:fldChar w:fldCharType="end"/>
      </w:r>
    </w:p>
    <w:p w14:paraId="095E766A">
      <w:pPr>
        <w:pStyle w:val="12"/>
        <w:tabs>
          <w:tab w:val="right" w:leader="dot" w:pos="8844"/>
        </w:tabs>
      </w:pPr>
      <w:r>
        <w:rPr>
          <w:rFonts w:hint="eastAsia"/>
          <w:lang w:val="en-US" w:eastAsia="zh-CN"/>
        </w:rPr>
        <w:t>8</w:t>
      </w:r>
      <w:r>
        <w:rPr>
          <w:rFonts w:hint="eastAsia"/>
        </w:rPr>
        <w:t>数字经济时代的数据垄断与掠夺路径分析</w:t>
      </w:r>
      <w:r>
        <w:tab/>
      </w:r>
      <w:r>
        <w:fldChar w:fldCharType="begin"/>
      </w:r>
      <w:r>
        <w:instrText xml:space="preserve"> PAGEREF _Toc2136316100 \h </w:instrText>
      </w:r>
      <w:r>
        <w:fldChar w:fldCharType="separate"/>
      </w:r>
      <w:r>
        <w:t>321</w:t>
      </w:r>
      <w:r>
        <w:fldChar w:fldCharType="end"/>
      </w:r>
    </w:p>
    <w:p w14:paraId="6C6E1B7C">
      <w:pPr>
        <w:pStyle w:val="12"/>
        <w:tabs>
          <w:tab w:val="right" w:leader="dot" w:pos="8844"/>
        </w:tabs>
      </w:pPr>
      <w:r>
        <w:rPr>
          <w:rFonts w:hint="eastAsia"/>
          <w:lang w:val="en-US" w:eastAsia="zh-CN"/>
        </w:rPr>
        <w:t>9</w:t>
      </w:r>
      <w:r>
        <w:rPr>
          <w:rFonts w:hint="eastAsia"/>
        </w:rPr>
        <w:t>政治经济学视角下美国财政制度演变 与资本主义发展阶段关联性分析</w:t>
      </w:r>
      <w:r>
        <w:tab/>
      </w:r>
      <w:r>
        <w:fldChar w:fldCharType="begin"/>
      </w:r>
      <w:r>
        <w:instrText xml:space="preserve"> PAGEREF _Toc1285598507 \h </w:instrText>
      </w:r>
      <w:r>
        <w:fldChar w:fldCharType="separate"/>
      </w:r>
      <w:r>
        <w:t>333</w:t>
      </w:r>
      <w:r>
        <w:fldChar w:fldCharType="end"/>
      </w:r>
    </w:p>
    <w:p w14:paraId="6FA3D567">
      <w:pPr>
        <w:pStyle w:val="12"/>
        <w:tabs>
          <w:tab w:val="right" w:leader="dot" w:pos="8844"/>
        </w:tabs>
      </w:pPr>
      <w:r>
        <w:rPr>
          <w:rFonts w:hint="eastAsia"/>
          <w:lang w:val="en-US" w:eastAsia="zh-CN"/>
        </w:rPr>
        <w:t>10</w:t>
      </w:r>
      <w:r>
        <w:rPr>
          <w:rFonts w:hint="eastAsia"/>
        </w:rPr>
        <w:t>发挥动态比较优势 加快建设现代化产业体系</w:t>
      </w:r>
      <w:r>
        <w:tab/>
      </w:r>
      <w:r>
        <w:fldChar w:fldCharType="begin"/>
      </w:r>
      <w:r>
        <w:instrText xml:space="preserve"> PAGEREF _Toc1221134682 \h </w:instrText>
      </w:r>
      <w:r>
        <w:fldChar w:fldCharType="separate"/>
      </w:r>
      <w:r>
        <w:t>344</w:t>
      </w:r>
      <w:r>
        <w:fldChar w:fldCharType="end"/>
      </w:r>
    </w:p>
    <w:p w14:paraId="423E83E0">
      <w:pPr>
        <w:pStyle w:val="12"/>
        <w:tabs>
          <w:tab w:val="right" w:leader="dot" w:pos="8844"/>
        </w:tabs>
      </w:pPr>
      <w:r>
        <w:rPr>
          <w:rFonts w:hint="eastAsia"/>
          <w:lang w:val="en-US" w:eastAsia="zh-CN"/>
        </w:rPr>
        <w:t>11习近平新时代中国特色社会主义思想</w:t>
      </w:r>
      <w:r>
        <w:rPr>
          <w:rFonts w:hint="eastAsia"/>
          <w:lang w:val="en-US" w:eastAsia="zh-CN"/>
        </w:rPr>
        <w:t xml:space="preserve"> </w:t>
      </w:r>
      <w:r>
        <w:rPr>
          <w:rFonts w:hint="eastAsia"/>
          <w:lang w:val="en-US" w:eastAsia="zh-CN"/>
        </w:rPr>
        <w:t>对社会主义本质内涵的丰富和发展</w:t>
      </w:r>
      <w:r>
        <w:tab/>
      </w:r>
      <w:r>
        <w:fldChar w:fldCharType="begin"/>
      </w:r>
      <w:r>
        <w:instrText xml:space="preserve"> PAGEREF _Toc109385995 \h </w:instrText>
      </w:r>
      <w:r>
        <w:fldChar w:fldCharType="separate"/>
      </w:r>
      <w:r>
        <w:t>348</w:t>
      </w:r>
      <w:r>
        <w:fldChar w:fldCharType="end"/>
      </w:r>
    </w:p>
    <w:p w14:paraId="2C6A6EBF">
      <w:pPr>
        <w:pStyle w:val="12"/>
        <w:tabs>
          <w:tab w:val="right" w:leader="dot" w:pos="8844"/>
        </w:tabs>
      </w:pPr>
      <w:r>
        <w:rPr>
          <w:rFonts w:hint="eastAsia"/>
          <w:lang w:val="en-US" w:eastAsia="zh-CN"/>
        </w:rPr>
        <w:t>12对</w:t>
      </w:r>
      <w:r>
        <w:rPr>
          <w:rFonts w:hint="eastAsia"/>
        </w:rPr>
        <w:t>“第二轮土地承包</w:t>
      </w:r>
      <w:r>
        <w:rPr>
          <w:rFonts w:hint="eastAsia"/>
          <w:lang w:val="en-US" w:eastAsia="zh-CN"/>
        </w:rPr>
        <w:t>到期后</w:t>
      </w:r>
      <w:r>
        <w:rPr>
          <w:rFonts w:hint="eastAsia"/>
        </w:rPr>
        <w:t>再延长30年”政策的思考</w:t>
      </w:r>
      <w:r>
        <w:tab/>
      </w:r>
      <w:r>
        <w:fldChar w:fldCharType="begin"/>
      </w:r>
      <w:r>
        <w:instrText xml:space="preserve"> PAGEREF _Toc204416133 \h </w:instrText>
      </w:r>
      <w:r>
        <w:fldChar w:fldCharType="separate"/>
      </w:r>
      <w:r>
        <w:t>362</w:t>
      </w:r>
      <w:r>
        <w:fldChar w:fldCharType="end"/>
      </w:r>
    </w:p>
    <w:p w14:paraId="55299672">
      <w:pPr>
        <w:pStyle w:val="12"/>
        <w:tabs>
          <w:tab w:val="right" w:leader="dot" w:pos="8844"/>
        </w:tabs>
      </w:pPr>
      <w:r>
        <w:rPr>
          <w:rFonts w:hint="eastAsia"/>
          <w:lang w:val="en-US" w:eastAsia="zh-CN"/>
        </w:rPr>
        <w:t>13民本文化的历史嬗变与当代阐释</w:t>
      </w:r>
      <w:r>
        <w:tab/>
      </w:r>
      <w:r>
        <w:fldChar w:fldCharType="begin"/>
      </w:r>
      <w:r>
        <w:instrText xml:space="preserve"> PAGEREF _Toc1795595778 \h </w:instrText>
      </w:r>
      <w:r>
        <w:fldChar w:fldCharType="separate"/>
      </w:r>
      <w:r>
        <w:t>381</w:t>
      </w:r>
      <w:r>
        <w:fldChar w:fldCharType="end"/>
      </w:r>
    </w:p>
    <w:p w14:paraId="64977FC0">
      <w:pPr>
        <w:pStyle w:val="12"/>
        <w:tabs>
          <w:tab w:val="right" w:leader="dot" w:pos="8844"/>
        </w:tabs>
      </w:pPr>
      <w:r>
        <w:rPr>
          <w:rFonts w:hint="eastAsia"/>
          <w:lang w:val="en-US" w:eastAsia="zh-CN"/>
        </w:rPr>
        <w:t>14</w:t>
      </w:r>
      <w:r>
        <w:rPr>
          <w:rFonts w:hint="default"/>
          <w:lang w:eastAsia="zh-CN"/>
        </w:rPr>
        <w:t>强基、融合、安全：以系统观念认识现代化产业体系*</w:t>
      </w:r>
      <w:r>
        <w:tab/>
      </w:r>
      <w:r>
        <w:fldChar w:fldCharType="begin"/>
      </w:r>
      <w:r>
        <w:instrText xml:space="preserve"> PAGEREF _Toc2138033202 \h </w:instrText>
      </w:r>
      <w:r>
        <w:fldChar w:fldCharType="separate"/>
      </w:r>
      <w:r>
        <w:t>396</w:t>
      </w:r>
      <w:r>
        <w:fldChar w:fldCharType="end"/>
      </w:r>
    </w:p>
    <w:p w14:paraId="33A375A4">
      <w:pPr>
        <w:pStyle w:val="12"/>
        <w:tabs>
          <w:tab w:val="right" w:leader="dot" w:pos="8844"/>
        </w:tabs>
      </w:pPr>
      <w:r>
        <w:rPr>
          <w:rFonts w:hint="eastAsia"/>
          <w:lang w:val="en-US" w:eastAsia="zh-CN"/>
        </w:rPr>
        <w:t>15</w:t>
      </w:r>
      <w:r>
        <w:rPr>
          <w:rFonts w:hint="eastAsia"/>
          <w:lang w:val="en-US" w:eastAsia="zh-Hans"/>
        </w:rPr>
        <w:t>美元化形成机制与去美元化对策研究</w:t>
      </w:r>
      <w:r>
        <w:tab/>
      </w:r>
      <w:r>
        <w:fldChar w:fldCharType="begin"/>
      </w:r>
      <w:r>
        <w:instrText xml:space="preserve"> PAGEREF _Toc80160763 \h </w:instrText>
      </w:r>
      <w:r>
        <w:fldChar w:fldCharType="separate"/>
      </w:r>
      <w:r>
        <w:t>409</w:t>
      </w:r>
      <w:r>
        <w:fldChar w:fldCharType="end"/>
      </w:r>
    </w:p>
    <w:p w14:paraId="3946792C">
      <w:pPr>
        <w:pStyle w:val="12"/>
        <w:tabs>
          <w:tab w:val="right" w:leader="dot" w:pos="8844"/>
        </w:tabs>
      </w:pPr>
      <w:r>
        <w:rPr>
          <w:rFonts w:hint="eastAsia"/>
          <w:lang w:val="en-US" w:eastAsia="zh-CN"/>
        </w:rPr>
        <w:t>16</w:t>
      </w:r>
      <w:r>
        <w:rPr>
          <w:rFonts w:hint="eastAsia"/>
        </w:rPr>
        <w:t>农业强县建设的五重维度</w:t>
      </w:r>
      <w:r>
        <w:tab/>
      </w:r>
      <w:r>
        <w:fldChar w:fldCharType="begin"/>
      </w:r>
      <w:r>
        <w:instrText xml:space="preserve"> PAGEREF _Toc789697072 \h </w:instrText>
      </w:r>
      <w:r>
        <w:fldChar w:fldCharType="separate"/>
      </w:r>
      <w:r>
        <w:t>429</w:t>
      </w:r>
      <w:r>
        <w:fldChar w:fldCharType="end"/>
      </w:r>
    </w:p>
    <w:p w14:paraId="17452109">
      <w:pPr>
        <w:pStyle w:val="12"/>
        <w:tabs>
          <w:tab w:val="right" w:leader="dot" w:pos="8844"/>
        </w:tabs>
      </w:pPr>
      <w:r>
        <w:rPr>
          <w:rFonts w:hint="eastAsia"/>
          <w:lang w:val="en-US" w:eastAsia="zh-CN"/>
        </w:rPr>
        <w:t>17推动高质量发展</w:t>
      </w:r>
      <w:r>
        <w:tab/>
      </w:r>
      <w:r>
        <w:fldChar w:fldCharType="begin"/>
      </w:r>
      <w:r>
        <w:instrText xml:space="preserve"> PAGEREF _Toc989750644 \h </w:instrText>
      </w:r>
      <w:r>
        <w:fldChar w:fldCharType="separate"/>
      </w:r>
      <w:r>
        <w:t>431</w:t>
      </w:r>
      <w:r>
        <w:fldChar w:fldCharType="end"/>
      </w:r>
    </w:p>
    <w:p w14:paraId="1D9F2A43">
      <w:pPr>
        <w:pStyle w:val="12"/>
        <w:tabs>
          <w:tab w:val="right" w:leader="dot" w:pos="8844"/>
        </w:tabs>
      </w:pPr>
      <w:r>
        <w:rPr>
          <w:rFonts w:hint="eastAsia"/>
          <w:lang w:val="en-US" w:eastAsia="zh-CN"/>
        </w:rPr>
        <w:t>18全面</w:t>
      </w:r>
      <w:r>
        <w:rPr>
          <w:rFonts w:hint="eastAsia"/>
        </w:rPr>
        <w:t>深化改革</w:t>
      </w:r>
      <w:r>
        <w:rPr>
          <w:rFonts w:hint="eastAsia"/>
          <w:lang w:val="en-US" w:eastAsia="zh-CN"/>
        </w:rPr>
        <w:t>开放若干焦点问题研究</w:t>
      </w:r>
      <w:r>
        <w:tab/>
      </w:r>
      <w:r>
        <w:fldChar w:fldCharType="begin"/>
      </w:r>
      <w:r>
        <w:instrText xml:space="preserve"> PAGEREF _Toc330744046 \h </w:instrText>
      </w:r>
      <w:r>
        <w:fldChar w:fldCharType="separate"/>
      </w:r>
      <w:r>
        <w:t>432</w:t>
      </w:r>
      <w:r>
        <w:fldChar w:fldCharType="end"/>
      </w:r>
    </w:p>
    <w:p w14:paraId="325AF879">
      <w:pPr>
        <w:pStyle w:val="12"/>
        <w:tabs>
          <w:tab w:val="right" w:leader="dot" w:pos="8844"/>
        </w:tabs>
      </w:pPr>
      <w:r>
        <w:rPr>
          <w:rFonts w:hint="eastAsia" w:ascii="宋体" w:hAnsi="宋体" w:eastAsia="宋体"/>
          <w:bCs/>
          <w:lang w:val="en-US" w:eastAsia="zh-CN"/>
        </w:rPr>
        <w:t>19</w:t>
      </w:r>
      <w:r>
        <w:rPr>
          <w:rFonts w:hint="eastAsia" w:ascii="宋体" w:hAnsi="宋体" w:eastAsia="宋体"/>
          <w:bCs/>
        </w:rPr>
        <w:t>习近平新时代中国特色社会主义思想对社会主义本质内涵的丰富和发展</w:t>
      </w:r>
      <w:r>
        <w:tab/>
      </w:r>
      <w:r>
        <w:fldChar w:fldCharType="begin"/>
      </w:r>
      <w:r>
        <w:instrText xml:space="preserve"> PAGEREF _Toc1127502686 \h </w:instrText>
      </w:r>
      <w:r>
        <w:fldChar w:fldCharType="separate"/>
      </w:r>
      <w:r>
        <w:t>437</w:t>
      </w:r>
      <w:r>
        <w:fldChar w:fldCharType="end"/>
      </w:r>
    </w:p>
    <w:p w14:paraId="38F39026">
      <w:pPr>
        <w:pStyle w:val="10"/>
        <w:tabs>
          <w:tab w:val="right" w:leader="dot" w:pos="8844"/>
        </w:tabs>
      </w:pPr>
      <w:r>
        <w:rPr>
          <w:rFonts w:hint="eastAsia"/>
          <w:szCs w:val="40"/>
          <w:lang w:val="en-US" w:eastAsia="zh-CN"/>
        </w:rPr>
        <w:t>2024年目录</w:t>
      </w:r>
      <w:r>
        <w:tab/>
      </w:r>
      <w:r>
        <w:fldChar w:fldCharType="begin"/>
      </w:r>
      <w:r>
        <w:instrText xml:space="preserve"> PAGEREF _Toc541942474 \h </w:instrText>
      </w:r>
      <w:r>
        <w:fldChar w:fldCharType="separate"/>
      </w:r>
      <w:r>
        <w:t>449</w:t>
      </w:r>
      <w:r>
        <w:fldChar w:fldCharType="end"/>
      </w:r>
    </w:p>
    <w:p w14:paraId="722677B2">
      <w:pPr>
        <w:pStyle w:val="12"/>
        <w:tabs>
          <w:tab w:val="right" w:leader="dot" w:pos="8844"/>
        </w:tabs>
      </w:pPr>
      <w:r>
        <w:rPr>
          <w:rFonts w:hint="eastAsia"/>
          <w:lang w:val="en-US" w:eastAsia="zh-CN"/>
        </w:rPr>
        <w:t>1</w:t>
      </w:r>
      <w:r>
        <w:rPr>
          <w:rFonts w:hint="default"/>
        </w:rPr>
        <w:t>世界经济论坛全球化影响力的政治经济学批判</w:t>
      </w:r>
      <w:r>
        <w:tab/>
      </w:r>
      <w:r>
        <w:fldChar w:fldCharType="begin"/>
      </w:r>
      <w:r>
        <w:instrText xml:space="preserve"> PAGEREF _Toc949013591 \h </w:instrText>
      </w:r>
      <w:r>
        <w:fldChar w:fldCharType="separate"/>
      </w:r>
      <w:r>
        <w:t>449</w:t>
      </w:r>
      <w:r>
        <w:fldChar w:fldCharType="end"/>
      </w:r>
    </w:p>
    <w:p w14:paraId="19D62186">
      <w:pPr>
        <w:pStyle w:val="12"/>
        <w:tabs>
          <w:tab w:val="right" w:leader="dot" w:pos="8844"/>
        </w:tabs>
      </w:pPr>
      <w:r>
        <w:rPr>
          <w:rFonts w:hint="eastAsia"/>
          <w:lang w:val="en-US" w:eastAsia="zh-CN"/>
        </w:rPr>
        <w:t>2</w:t>
      </w:r>
      <w:r>
        <w:rPr>
          <w:rFonts w:hint="default"/>
        </w:rPr>
        <w:t>管仲经济学论纲</w:t>
      </w:r>
      <w:r>
        <w:tab/>
      </w:r>
      <w:r>
        <w:fldChar w:fldCharType="begin"/>
      </w:r>
      <w:r>
        <w:instrText xml:space="preserve"> PAGEREF _Toc710377668 \h </w:instrText>
      </w:r>
      <w:r>
        <w:fldChar w:fldCharType="separate"/>
      </w:r>
      <w:r>
        <w:t>467</w:t>
      </w:r>
      <w:r>
        <w:fldChar w:fldCharType="end"/>
      </w:r>
    </w:p>
    <w:p w14:paraId="56234BF9">
      <w:pPr>
        <w:pStyle w:val="12"/>
        <w:tabs>
          <w:tab w:val="right" w:leader="dot" w:pos="8844"/>
        </w:tabs>
      </w:pPr>
      <w:r>
        <w:rPr>
          <w:rFonts w:hint="eastAsia"/>
          <w:lang w:val="en-US" w:eastAsia="zh-CN"/>
        </w:rPr>
        <w:t>3“东升西降”国际新格局与全球经济治理</w:t>
      </w:r>
      <w:r>
        <w:tab/>
      </w:r>
      <w:r>
        <w:fldChar w:fldCharType="begin"/>
      </w:r>
      <w:r>
        <w:instrText xml:space="preserve"> PAGEREF _Toc1455872403 \h </w:instrText>
      </w:r>
      <w:r>
        <w:fldChar w:fldCharType="separate"/>
      </w:r>
      <w:r>
        <w:t>490</w:t>
      </w:r>
      <w:r>
        <w:fldChar w:fldCharType="end"/>
      </w:r>
    </w:p>
    <w:p w14:paraId="7349F4FC">
      <w:pPr>
        <w:pStyle w:val="12"/>
        <w:tabs>
          <w:tab w:val="right" w:leader="dot" w:pos="8844"/>
        </w:tabs>
      </w:pPr>
      <w:r>
        <w:rPr>
          <w:rFonts w:hint="eastAsia"/>
        </w:rPr>
        <w:t>中国式现代化的伟大创举及其世界贡献</w:t>
      </w:r>
      <w:r>
        <w:tab/>
      </w:r>
      <w:r>
        <w:fldChar w:fldCharType="begin"/>
      </w:r>
      <w:r>
        <w:instrText xml:space="preserve"> PAGEREF _Toc418803303 \h </w:instrText>
      </w:r>
      <w:r>
        <w:fldChar w:fldCharType="separate"/>
      </w:r>
      <w:r>
        <w:t>519</w:t>
      </w:r>
      <w:r>
        <w:fldChar w:fldCharType="end"/>
      </w:r>
    </w:p>
    <w:p w14:paraId="04BDCD42">
      <w:pPr>
        <w:pStyle w:val="12"/>
        <w:tabs>
          <w:tab w:val="right" w:leader="dot" w:pos="8844"/>
        </w:tabs>
      </w:pPr>
      <w:r>
        <w:rPr>
          <w:rFonts w:hint="eastAsia" w:ascii="宋体" w:hAnsi="宋体" w:eastAsia="宋体" w:cs="宋体"/>
          <w:szCs w:val="24"/>
          <w:lang w:val="en-US" w:eastAsia="zh-CN"/>
        </w:rPr>
        <w:t>4</w:t>
      </w:r>
      <w:r>
        <w:rPr>
          <w:rFonts w:hint="eastAsia" w:ascii="宋体" w:hAnsi="宋体" w:eastAsia="宋体" w:cs="宋体"/>
          <w:szCs w:val="24"/>
        </w:rPr>
        <w:t>论资本主义私有制增长缓慢规律</w:t>
      </w:r>
      <w:r>
        <w:tab/>
      </w:r>
      <w:r>
        <w:fldChar w:fldCharType="begin"/>
      </w:r>
      <w:r>
        <w:instrText xml:space="preserve"> PAGEREF _Toc1523202302 \h </w:instrText>
      </w:r>
      <w:r>
        <w:fldChar w:fldCharType="separate"/>
      </w:r>
      <w:r>
        <w:t>525</w:t>
      </w:r>
      <w:r>
        <w:fldChar w:fldCharType="end"/>
      </w:r>
    </w:p>
    <w:p w14:paraId="3DCA5522">
      <w:pPr>
        <w:pStyle w:val="12"/>
        <w:tabs>
          <w:tab w:val="right" w:leader="dot" w:pos="8844"/>
        </w:tabs>
      </w:pPr>
      <w:r>
        <w:rPr>
          <w:rFonts w:hint="eastAsia"/>
          <w:lang w:val="en-US" w:eastAsia="zh-CN"/>
        </w:rPr>
        <w:t>5</w:t>
      </w:r>
      <w:r>
        <w:rPr>
          <w:rFonts w:hint="eastAsia"/>
        </w:rPr>
        <w:t>论塑造与新质生产力相适应的新型生产关系——学习党的二十届三中全会精神的体会</w:t>
      </w:r>
      <w:r>
        <w:tab/>
      </w:r>
      <w:r>
        <w:fldChar w:fldCharType="begin"/>
      </w:r>
      <w:r>
        <w:instrText xml:space="preserve"> PAGEREF _Toc308533827 \h </w:instrText>
      </w:r>
      <w:r>
        <w:fldChar w:fldCharType="separate"/>
      </w:r>
      <w:r>
        <w:t>533</w:t>
      </w:r>
      <w:r>
        <w:fldChar w:fldCharType="end"/>
      </w:r>
    </w:p>
    <w:p w14:paraId="1ED3337C">
      <w:pPr>
        <w:pStyle w:val="12"/>
        <w:tabs>
          <w:tab w:val="right" w:leader="dot" w:pos="8844"/>
        </w:tabs>
      </w:pPr>
      <w:r>
        <w:rPr>
          <w:rFonts w:hint="eastAsia"/>
          <w:lang w:val="en-US" w:eastAsia="zh-CN"/>
        </w:rPr>
        <w:t>6</w:t>
      </w:r>
      <w:r>
        <w:t>智能经济及其相关论争的辨析</w:t>
      </w:r>
      <w:r>
        <w:tab/>
      </w:r>
      <w:r>
        <w:fldChar w:fldCharType="begin"/>
      </w:r>
      <w:r>
        <w:instrText xml:space="preserve"> PAGEREF _Toc1502506531 \h </w:instrText>
      </w:r>
      <w:r>
        <w:fldChar w:fldCharType="separate"/>
      </w:r>
      <w:r>
        <w:t>550</w:t>
      </w:r>
      <w:r>
        <w:fldChar w:fldCharType="end"/>
      </w:r>
    </w:p>
    <w:p w14:paraId="0556D18F">
      <w:pPr>
        <w:pStyle w:val="12"/>
        <w:tabs>
          <w:tab w:val="right" w:leader="dot" w:pos="8844"/>
        </w:tabs>
      </w:pPr>
      <w:r>
        <w:rPr>
          <w:rFonts w:hint="eastAsia"/>
          <w:lang w:val="en-US" w:eastAsia="zh-CN"/>
        </w:rPr>
        <w:t>7</w:t>
      </w:r>
      <w:r>
        <w:rPr>
          <w:rFonts w:hint="default"/>
        </w:rPr>
        <w:t>开放经济社会再生产视角下经济循环与经济增长研究</w:t>
      </w:r>
      <w:r>
        <w:tab/>
      </w:r>
      <w:r>
        <w:fldChar w:fldCharType="begin"/>
      </w:r>
      <w:r>
        <w:instrText xml:space="preserve"> PAGEREF _Toc367061444 \h </w:instrText>
      </w:r>
      <w:r>
        <w:fldChar w:fldCharType="separate"/>
      </w:r>
      <w:r>
        <w:t>563</w:t>
      </w:r>
      <w:r>
        <w:fldChar w:fldCharType="end"/>
      </w:r>
    </w:p>
    <w:p w14:paraId="4EB07ED8">
      <w:pPr>
        <w:pStyle w:val="12"/>
        <w:tabs>
          <w:tab w:val="right" w:leader="dot" w:pos="8844"/>
        </w:tabs>
      </w:pPr>
      <w:r>
        <w:rPr>
          <w:rFonts w:hint="default" w:ascii="Times New Roman" w:hAnsi="Times New Roman" w:eastAsia="宋体" w:cs="Times New Roman"/>
          <w:color w:val="auto"/>
          <w:szCs w:val="24"/>
          <w:highlight w:val="none"/>
        </w:rPr>
        <w:t>一、引言</w:t>
      </w:r>
      <w:r>
        <w:tab/>
      </w:r>
      <w:r>
        <w:fldChar w:fldCharType="begin"/>
      </w:r>
      <w:r>
        <w:instrText xml:space="preserve"> PAGEREF _Toc1628655124 \h </w:instrText>
      </w:r>
      <w:r>
        <w:fldChar w:fldCharType="separate"/>
      </w:r>
      <w:r>
        <w:t>564</w:t>
      </w:r>
      <w:r>
        <w:fldChar w:fldCharType="end"/>
      </w:r>
    </w:p>
    <w:p w14:paraId="119DB504">
      <w:pPr>
        <w:pStyle w:val="12"/>
        <w:tabs>
          <w:tab w:val="right" w:leader="dot" w:pos="8844"/>
        </w:tabs>
      </w:pPr>
      <w:r>
        <w:rPr>
          <w:rFonts w:hint="default" w:ascii="Times New Roman" w:hAnsi="Times New Roman" w:eastAsia="宋体" w:cs="Times New Roman"/>
          <w:color w:val="auto"/>
          <w:szCs w:val="24"/>
          <w:highlight w:val="none"/>
        </w:rPr>
        <w:t>二、拓展的社会再生产与新发展格局的内涵</w:t>
      </w:r>
      <w:r>
        <w:tab/>
      </w:r>
      <w:r>
        <w:fldChar w:fldCharType="begin"/>
      </w:r>
      <w:r>
        <w:instrText xml:space="preserve"> PAGEREF _Toc980104406 \h </w:instrText>
      </w:r>
      <w:r>
        <w:fldChar w:fldCharType="separate"/>
      </w:r>
      <w:r>
        <w:t>566</w:t>
      </w:r>
      <w:r>
        <w:fldChar w:fldCharType="end"/>
      </w:r>
    </w:p>
    <w:p w14:paraId="08F13FFC">
      <w:pPr>
        <w:pStyle w:val="12"/>
        <w:tabs>
          <w:tab w:val="right" w:leader="dot" w:pos="8844"/>
        </w:tabs>
      </w:pPr>
      <w:r>
        <w:rPr>
          <w:rFonts w:hint="default" w:ascii="Times New Roman" w:hAnsi="Times New Roman" w:eastAsia="宋体" w:cs="Times New Roman"/>
          <w:color w:val="auto"/>
          <w:szCs w:val="24"/>
          <w:highlight w:val="none"/>
        </w:rPr>
        <w:t>三、产能过剩、循环受阻及其对经济增长的影响</w:t>
      </w:r>
      <w:r>
        <w:tab/>
      </w:r>
      <w:r>
        <w:fldChar w:fldCharType="begin"/>
      </w:r>
      <w:r>
        <w:instrText xml:space="preserve"> PAGEREF _Toc1415179152 \h </w:instrText>
      </w:r>
      <w:r>
        <w:fldChar w:fldCharType="separate"/>
      </w:r>
      <w:r>
        <w:t>572</w:t>
      </w:r>
      <w:r>
        <w:fldChar w:fldCharType="end"/>
      </w:r>
    </w:p>
    <w:p w14:paraId="48CA2450">
      <w:pPr>
        <w:pStyle w:val="12"/>
        <w:tabs>
          <w:tab w:val="right" w:leader="dot" w:pos="8844"/>
        </w:tabs>
      </w:pPr>
      <w:r>
        <w:rPr>
          <w:rFonts w:hint="default" w:ascii="Times New Roman" w:hAnsi="Times New Roman" w:eastAsia="宋体" w:cs="Times New Roman"/>
          <w:color w:val="auto"/>
          <w:szCs w:val="24"/>
          <w:highlight w:val="none"/>
        </w:rPr>
        <w:t>四、来自国际国内的经验数据</w:t>
      </w:r>
      <w:r>
        <w:tab/>
      </w:r>
      <w:r>
        <w:fldChar w:fldCharType="begin"/>
      </w:r>
      <w:r>
        <w:instrText xml:space="preserve"> PAGEREF _Toc1534617139 \h </w:instrText>
      </w:r>
      <w:r>
        <w:fldChar w:fldCharType="separate"/>
      </w:r>
      <w:r>
        <w:t>578</w:t>
      </w:r>
      <w:r>
        <w:fldChar w:fldCharType="end"/>
      </w:r>
    </w:p>
    <w:p w14:paraId="1491D944">
      <w:pPr>
        <w:pStyle w:val="12"/>
        <w:tabs>
          <w:tab w:val="right" w:leader="dot" w:pos="8844"/>
        </w:tabs>
      </w:pPr>
      <w:r>
        <w:rPr>
          <w:rFonts w:hint="default" w:ascii="Times New Roman" w:hAnsi="Times New Roman" w:eastAsia="宋体" w:cs="Times New Roman"/>
          <w:color w:val="auto"/>
          <w:szCs w:val="24"/>
          <w:highlight w:val="none"/>
        </w:rPr>
        <w:t>五、进一步的讨论与政策建议</w:t>
      </w:r>
      <w:r>
        <w:tab/>
      </w:r>
      <w:r>
        <w:fldChar w:fldCharType="begin"/>
      </w:r>
      <w:r>
        <w:instrText xml:space="preserve"> PAGEREF _Toc1031654703 \h </w:instrText>
      </w:r>
      <w:r>
        <w:fldChar w:fldCharType="separate"/>
      </w:r>
      <w:r>
        <w:t>584</w:t>
      </w:r>
      <w:r>
        <w:fldChar w:fldCharType="end"/>
      </w:r>
    </w:p>
    <w:p w14:paraId="7EBF58D3">
      <w:pPr>
        <w:pStyle w:val="12"/>
        <w:tabs>
          <w:tab w:val="right" w:leader="dot" w:pos="8844"/>
        </w:tabs>
      </w:pPr>
      <w:r>
        <w:rPr>
          <w:rFonts w:hint="eastAsia"/>
          <w:lang w:val="en-US" w:eastAsia="zh-CN"/>
        </w:rPr>
        <w:t>8</w:t>
      </w:r>
      <w:r>
        <w:rPr>
          <w:rFonts w:hint="eastAsia"/>
        </w:rPr>
        <w:t>缩小我国财富和收入分配差距的对策研究</w:t>
      </w:r>
      <w:r>
        <w:tab/>
      </w:r>
      <w:r>
        <w:fldChar w:fldCharType="begin"/>
      </w:r>
      <w:r>
        <w:instrText xml:space="preserve"> PAGEREF _Toc237627443 \h </w:instrText>
      </w:r>
      <w:r>
        <w:fldChar w:fldCharType="separate"/>
      </w:r>
      <w:r>
        <w:t>595</w:t>
      </w:r>
      <w:r>
        <w:fldChar w:fldCharType="end"/>
      </w:r>
    </w:p>
    <w:p w14:paraId="268F036D">
      <w:pPr>
        <w:pStyle w:val="12"/>
        <w:tabs>
          <w:tab w:val="right" w:leader="dot" w:pos="8844"/>
        </w:tabs>
      </w:pPr>
      <w:r>
        <w:rPr>
          <w:rFonts w:hint="eastAsia"/>
          <w:lang w:val="en-US" w:eastAsia="zh-CN"/>
        </w:rPr>
        <w:t>9</w:t>
      </w:r>
      <w:r>
        <w:rPr>
          <w:rFonts w:hint="eastAsia"/>
        </w:rPr>
        <w:t>评析美西方炒作的“中国产能过剩论”</w:t>
      </w:r>
      <w:r>
        <w:tab/>
      </w:r>
      <w:r>
        <w:fldChar w:fldCharType="begin"/>
      </w:r>
      <w:r>
        <w:instrText xml:space="preserve"> PAGEREF _Toc1632334728 \h </w:instrText>
      </w:r>
      <w:r>
        <w:fldChar w:fldCharType="separate"/>
      </w:r>
      <w:r>
        <w:t>612</w:t>
      </w:r>
      <w:r>
        <w:fldChar w:fldCharType="end"/>
      </w:r>
    </w:p>
    <w:p w14:paraId="1CD4916B">
      <w:pPr>
        <w:pStyle w:val="12"/>
        <w:tabs>
          <w:tab w:val="right" w:leader="dot" w:pos="8844"/>
        </w:tabs>
      </w:pPr>
      <w:r>
        <w:rPr>
          <w:rFonts w:hint="eastAsia"/>
          <w:lang w:val="en-US" w:eastAsia="zh-CN"/>
        </w:rPr>
        <w:t>10</w:t>
      </w:r>
      <w:r>
        <w:rPr>
          <w:rFonts w:hint="eastAsia"/>
        </w:rPr>
        <w:t>新质生产力的学理分析与培育路径</w:t>
      </w:r>
      <w:r>
        <w:tab/>
      </w:r>
      <w:r>
        <w:fldChar w:fldCharType="begin"/>
      </w:r>
      <w:r>
        <w:instrText xml:space="preserve"> PAGEREF _Toc546183071 \h </w:instrText>
      </w:r>
      <w:r>
        <w:fldChar w:fldCharType="separate"/>
      </w:r>
      <w:r>
        <w:t>626</w:t>
      </w:r>
      <w:r>
        <w:fldChar w:fldCharType="end"/>
      </w:r>
    </w:p>
    <w:p w14:paraId="1932991B">
      <w:pPr>
        <w:pStyle w:val="12"/>
        <w:tabs>
          <w:tab w:val="right" w:leader="dot" w:pos="8844"/>
        </w:tabs>
      </w:pPr>
      <w:r>
        <w:rPr>
          <w:rFonts w:hint="eastAsia"/>
          <w:lang w:val="en-US" w:eastAsia="zh-CN"/>
        </w:rPr>
        <w:t>11</w:t>
      </w:r>
      <w:r>
        <w:t>夜间经济打开中国发展新时空</w:t>
      </w:r>
      <w:r>
        <w:tab/>
      </w:r>
      <w:r>
        <w:fldChar w:fldCharType="begin"/>
      </w:r>
      <w:r>
        <w:instrText xml:space="preserve"> PAGEREF _Toc1353767019 \h </w:instrText>
      </w:r>
      <w:r>
        <w:fldChar w:fldCharType="separate"/>
      </w:r>
      <w:r>
        <w:t>646</w:t>
      </w:r>
      <w:r>
        <w:fldChar w:fldCharType="end"/>
      </w:r>
    </w:p>
    <w:p w14:paraId="74B77791">
      <w:pPr>
        <w:pStyle w:val="12"/>
        <w:tabs>
          <w:tab w:val="right" w:leader="dot" w:pos="8844"/>
        </w:tabs>
      </w:pPr>
      <w:r>
        <w:rPr>
          <w:rFonts w:hint="eastAsia"/>
          <w:lang w:val="en-US" w:eastAsia="zh-CN"/>
        </w:rPr>
        <w:t>12</w:t>
      </w:r>
      <w:r>
        <w:rPr>
          <w:rFonts w:hint="eastAsia"/>
        </w:rPr>
        <w:t>国内外新形势下大力发展新质生产力的五种路径</w:t>
      </w:r>
      <w:r>
        <w:tab/>
      </w:r>
      <w:r>
        <w:fldChar w:fldCharType="begin"/>
      </w:r>
      <w:r>
        <w:instrText xml:space="preserve"> PAGEREF _Toc173048368 \h </w:instrText>
      </w:r>
      <w:r>
        <w:fldChar w:fldCharType="separate"/>
      </w:r>
      <w:r>
        <w:t>648</w:t>
      </w:r>
      <w:r>
        <w:fldChar w:fldCharType="end"/>
      </w:r>
    </w:p>
    <w:p w14:paraId="247B1AC6">
      <w:pPr>
        <w:pStyle w:val="12"/>
        <w:tabs>
          <w:tab w:val="right" w:leader="dot" w:pos="8844"/>
        </w:tabs>
      </w:pPr>
      <w:r>
        <w:rPr>
          <w:rFonts w:hint="eastAsia"/>
          <w:lang w:val="en-US" w:eastAsia="zh-CN"/>
        </w:rPr>
        <w:t>13</w:t>
      </w:r>
      <w:r>
        <w:rPr>
          <w:rFonts w:hint="default"/>
        </w:rPr>
        <w:t>列宁晚年对合作制的战略构想及其当代启示</w:t>
      </w:r>
      <w:r>
        <w:tab/>
      </w:r>
      <w:r>
        <w:fldChar w:fldCharType="begin"/>
      </w:r>
      <w:r>
        <w:instrText xml:space="preserve"> PAGEREF _Toc731062938 \h </w:instrText>
      </w:r>
      <w:r>
        <w:fldChar w:fldCharType="separate"/>
      </w:r>
      <w:r>
        <w:t>651</w:t>
      </w:r>
      <w:r>
        <w:fldChar w:fldCharType="end"/>
      </w:r>
    </w:p>
    <w:p w14:paraId="3E3FEF3E">
      <w:pPr>
        <w:pStyle w:val="12"/>
        <w:tabs>
          <w:tab w:val="right" w:leader="dot" w:pos="8844"/>
        </w:tabs>
      </w:pPr>
      <w:r>
        <w:rPr>
          <w:rFonts w:hint="eastAsia"/>
          <w:lang w:val="en-US" w:eastAsia="zh-CN"/>
        </w:rPr>
        <w:t>14</w:t>
      </w:r>
      <w:r>
        <w:rPr>
          <w:rFonts w:hint="eastAsia"/>
        </w:rPr>
        <w:t>把握与运用扎实推动共同富裕的五种分配方式</w:t>
      </w:r>
      <w:r>
        <w:tab/>
      </w:r>
      <w:r>
        <w:fldChar w:fldCharType="begin"/>
      </w:r>
      <w:r>
        <w:instrText xml:space="preserve"> PAGEREF _Toc1220854479 \h </w:instrText>
      </w:r>
      <w:r>
        <w:fldChar w:fldCharType="separate"/>
      </w:r>
      <w:r>
        <w:t>669</w:t>
      </w:r>
      <w:r>
        <w:fldChar w:fldCharType="end"/>
      </w:r>
    </w:p>
    <w:p w14:paraId="50637541">
      <w:pPr>
        <w:pStyle w:val="12"/>
        <w:tabs>
          <w:tab w:val="right" w:leader="dot" w:pos="8844"/>
        </w:tabs>
      </w:pPr>
      <w:r>
        <w:rPr>
          <w:rFonts w:hint="eastAsia"/>
          <w:lang w:val="en-US" w:eastAsia="zh-CN"/>
        </w:rPr>
        <w:t>15</w:t>
      </w:r>
      <w:r>
        <w:rPr>
          <w:rFonts w:hint="eastAsia"/>
        </w:rPr>
        <w:t>中国“六大全球倡议”促进人类命运共同体构建</w:t>
      </w:r>
      <w:r>
        <w:tab/>
      </w:r>
      <w:r>
        <w:fldChar w:fldCharType="begin"/>
      </w:r>
      <w:r>
        <w:instrText xml:space="preserve"> PAGEREF _Toc1842465115 \h </w:instrText>
      </w:r>
      <w:r>
        <w:fldChar w:fldCharType="separate"/>
      </w:r>
      <w:r>
        <w:t>687</w:t>
      </w:r>
      <w:r>
        <w:fldChar w:fldCharType="end"/>
      </w:r>
    </w:p>
    <w:p w14:paraId="53A0FD37">
      <w:pPr>
        <w:pStyle w:val="12"/>
        <w:tabs>
          <w:tab w:val="right" w:leader="dot" w:pos="8844"/>
        </w:tabs>
      </w:pPr>
      <w:r>
        <w:rPr>
          <w:rFonts w:hint="eastAsia"/>
          <w:lang w:val="en-US" w:eastAsia="zh-CN"/>
        </w:rPr>
        <w:t>16论国有企业应引领和主导新质生产力发展</w:t>
      </w:r>
      <w:r>
        <w:tab/>
      </w:r>
      <w:r>
        <w:fldChar w:fldCharType="begin"/>
      </w:r>
      <w:r>
        <w:instrText xml:space="preserve"> PAGEREF _Toc1744481712 \h </w:instrText>
      </w:r>
      <w:r>
        <w:fldChar w:fldCharType="separate"/>
      </w:r>
      <w:r>
        <w:t>710</w:t>
      </w:r>
      <w:r>
        <w:fldChar w:fldCharType="end"/>
      </w:r>
    </w:p>
    <w:p w14:paraId="06342D4A">
      <w:pPr>
        <w:pStyle w:val="12"/>
        <w:tabs>
          <w:tab w:val="right" w:leader="dot" w:pos="8844"/>
        </w:tabs>
      </w:pPr>
      <w:r>
        <w:rPr>
          <w:rFonts w:hint="eastAsia"/>
          <w:bCs/>
          <w:szCs w:val="28"/>
          <w:lang w:val="en-US" w:eastAsia="zh-CN"/>
        </w:rPr>
        <w:t>17</w:t>
      </w:r>
      <w:r>
        <w:rPr>
          <w:rFonts w:hint="eastAsia"/>
          <w:bCs/>
          <w:szCs w:val="28"/>
        </w:rPr>
        <w:t>新时代全面深化经济改革宝贵经验的科学总结</w:t>
      </w:r>
      <w:r>
        <w:tab/>
      </w:r>
      <w:r>
        <w:fldChar w:fldCharType="begin"/>
      </w:r>
      <w:r>
        <w:instrText xml:space="preserve"> PAGEREF _Toc2057384740 \h </w:instrText>
      </w:r>
      <w:r>
        <w:fldChar w:fldCharType="separate"/>
      </w:r>
      <w:r>
        <w:t>738</w:t>
      </w:r>
      <w:r>
        <w:fldChar w:fldCharType="end"/>
      </w:r>
    </w:p>
    <w:p w14:paraId="605EC025">
      <w:pPr>
        <w:pStyle w:val="12"/>
        <w:tabs>
          <w:tab w:val="right" w:leader="dot" w:pos="8844"/>
        </w:tabs>
      </w:pPr>
      <w:r>
        <w:rPr>
          <w:rFonts w:hint="eastAsia"/>
          <w:lang w:val="en-US" w:eastAsia="zh-CN"/>
        </w:rPr>
        <w:t>18</w:t>
      </w:r>
      <w:r>
        <w:rPr>
          <w:rFonts w:hint="eastAsia"/>
        </w:rPr>
        <w:t>文化发展与经济发展的融合互促关系</w:t>
      </w:r>
      <w:r>
        <w:tab/>
      </w:r>
      <w:r>
        <w:fldChar w:fldCharType="begin"/>
      </w:r>
      <w:r>
        <w:instrText xml:space="preserve"> PAGEREF _Toc1831124833 \h </w:instrText>
      </w:r>
      <w:r>
        <w:fldChar w:fldCharType="separate"/>
      </w:r>
      <w:r>
        <w:t>750</w:t>
      </w:r>
      <w:r>
        <w:fldChar w:fldCharType="end"/>
      </w:r>
    </w:p>
    <w:p w14:paraId="59A1DE07">
      <w:pPr>
        <w:pStyle w:val="10"/>
        <w:tabs>
          <w:tab w:val="right" w:leader="dot" w:pos="8844"/>
        </w:tabs>
      </w:pPr>
      <w:r>
        <w:rPr>
          <w:rFonts w:hint="eastAsia"/>
          <w:lang w:val="en-US" w:eastAsia="zh-CN"/>
        </w:rPr>
        <w:t>2025年</w:t>
      </w:r>
      <w:r>
        <w:tab/>
      </w:r>
      <w:r>
        <w:fldChar w:fldCharType="begin"/>
      </w:r>
      <w:r>
        <w:instrText xml:space="preserve"> PAGEREF _Toc126923074 \h </w:instrText>
      </w:r>
      <w:r>
        <w:fldChar w:fldCharType="separate"/>
      </w:r>
      <w:r>
        <w:t>753</w:t>
      </w:r>
      <w:r>
        <w:fldChar w:fldCharType="end"/>
      </w:r>
    </w:p>
    <w:p w14:paraId="61F281D5">
      <w:pPr>
        <w:pStyle w:val="12"/>
        <w:tabs>
          <w:tab w:val="right" w:leader="dot" w:pos="8844"/>
        </w:tabs>
      </w:pPr>
      <w:r>
        <w:rPr>
          <w:rFonts w:hint="eastAsia"/>
          <w:lang w:val="en-US" w:eastAsia="zh-CN"/>
        </w:rPr>
        <w:t>1</w:t>
      </w:r>
      <w:r>
        <w:rPr>
          <w:rFonts w:hint="default"/>
        </w:rPr>
        <w:t>“ 印太战略”视域下大国博弈与中国应对方略</w:t>
      </w:r>
      <w:r>
        <w:tab/>
      </w:r>
      <w:r>
        <w:fldChar w:fldCharType="begin"/>
      </w:r>
      <w:r>
        <w:instrText xml:space="preserve"> PAGEREF _Toc744843247 \h </w:instrText>
      </w:r>
      <w:r>
        <w:fldChar w:fldCharType="separate"/>
      </w:r>
      <w:r>
        <w:t>753</w:t>
      </w:r>
      <w:r>
        <w:fldChar w:fldCharType="end"/>
      </w:r>
    </w:p>
    <w:p w14:paraId="0D2CE919">
      <w:pPr>
        <w:pStyle w:val="10"/>
        <w:tabs>
          <w:tab w:val="right" w:leader="dot" w:pos="8844"/>
        </w:tabs>
      </w:pPr>
      <w:r>
        <w:rPr>
          <w:rFonts w:hint="eastAsia"/>
          <w:lang w:val="en-US" w:eastAsia="zh-CN"/>
        </w:rPr>
        <w:t>2</w:t>
      </w:r>
      <w:r>
        <w:rPr>
          <w:rFonts w:hint="eastAsia"/>
        </w:rPr>
        <w:t>当前推动高质量发展面临的若干问题及对策研究</w:t>
      </w:r>
      <w:r>
        <w:tab/>
      </w:r>
      <w:r>
        <w:fldChar w:fldCharType="begin"/>
      </w:r>
      <w:r>
        <w:instrText xml:space="preserve"> PAGEREF _Toc898273966 \h </w:instrText>
      </w:r>
      <w:r>
        <w:fldChar w:fldCharType="separate"/>
      </w:r>
      <w:r>
        <w:t>775</w:t>
      </w:r>
      <w:r>
        <w:fldChar w:fldCharType="end"/>
      </w:r>
    </w:p>
    <w:p w14:paraId="175EFF04">
      <w:pPr>
        <w:pStyle w:val="10"/>
        <w:tabs>
          <w:tab w:val="right" w:leader="dot" w:pos="8844"/>
        </w:tabs>
      </w:pPr>
      <w:r>
        <w:rPr>
          <w:rFonts w:hint="eastAsia"/>
          <w:lang w:val="en-US" w:eastAsia="zh-CN"/>
        </w:rPr>
        <w:t>3</w:t>
      </w:r>
      <w:r>
        <w:t>大国视野下中国经济增长比较研究</w:t>
      </w:r>
      <w:r>
        <w:tab/>
      </w:r>
      <w:r>
        <w:fldChar w:fldCharType="begin"/>
      </w:r>
      <w:r>
        <w:instrText xml:space="preserve"> PAGEREF _Toc480508152 \h </w:instrText>
      </w:r>
      <w:r>
        <w:fldChar w:fldCharType="separate"/>
      </w:r>
      <w:r>
        <w:t>790</w:t>
      </w:r>
      <w:r>
        <w:fldChar w:fldCharType="end"/>
      </w:r>
    </w:p>
    <w:p w14:paraId="1E33E70E">
      <w:pPr>
        <w:pStyle w:val="12"/>
        <w:tabs>
          <w:tab w:val="right" w:leader="dot" w:pos="8844"/>
        </w:tabs>
      </w:pPr>
      <w:r>
        <w:rPr>
          <w:rFonts w:ascii="微软雅黑" w:hAnsi="微软雅黑" w:eastAsia="微软雅黑" w:cs="微软雅黑"/>
          <w:color w:val="231F20"/>
          <w:spacing w:val="-17"/>
          <w:szCs w:val="28"/>
        </w:rPr>
        <w:t>一、引</w:t>
      </w:r>
      <w:r>
        <w:rPr>
          <w:rFonts w:ascii="微软雅黑" w:hAnsi="微软雅黑" w:eastAsia="微软雅黑" w:cs="微软雅黑"/>
          <w:color w:val="231F20"/>
          <w:spacing w:val="61"/>
          <w:szCs w:val="28"/>
        </w:rPr>
        <w:t xml:space="preserve"> </w:t>
      </w:r>
      <w:r>
        <w:rPr>
          <w:rFonts w:ascii="微软雅黑" w:hAnsi="微软雅黑" w:eastAsia="微软雅黑" w:cs="微软雅黑"/>
          <w:color w:val="231F20"/>
          <w:spacing w:val="-17"/>
          <w:szCs w:val="28"/>
        </w:rPr>
        <w:t>言</w:t>
      </w:r>
      <w:r>
        <w:tab/>
      </w:r>
      <w:r>
        <w:fldChar w:fldCharType="begin"/>
      </w:r>
      <w:r>
        <w:instrText xml:space="preserve"> PAGEREF _Toc1361997944 \h </w:instrText>
      </w:r>
      <w:r>
        <w:fldChar w:fldCharType="separate"/>
      </w:r>
      <w:r>
        <w:t>790</w:t>
      </w:r>
      <w:r>
        <w:fldChar w:fldCharType="end"/>
      </w:r>
    </w:p>
    <w:p w14:paraId="5FD7038F">
      <w:pPr>
        <w:pStyle w:val="12"/>
        <w:tabs>
          <w:tab w:val="right" w:leader="dot" w:pos="8844"/>
        </w:tabs>
      </w:pPr>
      <w:r>
        <w:rPr>
          <w:rFonts w:ascii="微软雅黑" w:hAnsi="微软雅黑" w:eastAsia="微软雅黑" w:cs="微软雅黑"/>
          <w:color w:val="231F20"/>
          <w:spacing w:val="-2"/>
          <w:szCs w:val="28"/>
        </w:rPr>
        <w:t>二、中美经济背离现象及其求解</w:t>
      </w:r>
      <w:r>
        <w:tab/>
      </w:r>
      <w:r>
        <w:fldChar w:fldCharType="begin"/>
      </w:r>
      <w:r>
        <w:instrText xml:space="preserve"> PAGEREF _Toc1071251435 \h </w:instrText>
      </w:r>
      <w:r>
        <w:fldChar w:fldCharType="separate"/>
      </w:r>
      <w:r>
        <w:t>791</w:t>
      </w:r>
      <w:r>
        <w:fldChar w:fldCharType="end"/>
      </w:r>
    </w:p>
    <w:p w14:paraId="0DFAD233">
      <w:pPr>
        <w:pStyle w:val="12"/>
        <w:tabs>
          <w:tab w:val="right" w:leader="dot" w:pos="8844"/>
        </w:tabs>
      </w:pPr>
      <w:r>
        <w:rPr>
          <w:rFonts w:ascii="微软雅黑" w:hAnsi="微软雅黑" w:eastAsia="微软雅黑" w:cs="微软雅黑"/>
          <w:color w:val="231F20"/>
          <w:spacing w:val="-2"/>
          <w:szCs w:val="28"/>
        </w:rPr>
        <w:t>三、大国经济格局结构性调整</w:t>
      </w:r>
      <w:r>
        <w:tab/>
      </w:r>
      <w:r>
        <w:fldChar w:fldCharType="begin"/>
      </w:r>
      <w:r>
        <w:instrText xml:space="preserve"> PAGEREF _Toc19971597 \h </w:instrText>
      </w:r>
      <w:r>
        <w:fldChar w:fldCharType="separate"/>
      </w:r>
      <w:r>
        <w:t>796</w:t>
      </w:r>
      <w:r>
        <w:fldChar w:fldCharType="end"/>
      </w:r>
    </w:p>
    <w:p w14:paraId="10A6323A">
      <w:pPr>
        <w:pStyle w:val="12"/>
        <w:tabs>
          <w:tab w:val="right" w:leader="dot" w:pos="8844"/>
        </w:tabs>
      </w:pPr>
      <w:r>
        <w:rPr>
          <w:rFonts w:ascii="微软雅黑" w:hAnsi="微软雅黑" w:eastAsia="微软雅黑" w:cs="微软雅黑"/>
          <w:color w:val="231F20"/>
          <w:spacing w:val="-2"/>
          <w:szCs w:val="28"/>
        </w:rPr>
        <w:t>四、中国依然保持加速追赶发达国家的态势</w:t>
      </w:r>
      <w:r>
        <w:tab/>
      </w:r>
      <w:r>
        <w:fldChar w:fldCharType="begin"/>
      </w:r>
      <w:r>
        <w:instrText xml:space="preserve"> PAGEREF _Toc655181847 \h </w:instrText>
      </w:r>
      <w:r>
        <w:fldChar w:fldCharType="separate"/>
      </w:r>
      <w:r>
        <w:t>799</w:t>
      </w:r>
      <w:r>
        <w:fldChar w:fldCharType="end"/>
      </w:r>
    </w:p>
    <w:p w14:paraId="22F4AE3F">
      <w:pPr>
        <w:pStyle w:val="12"/>
        <w:tabs>
          <w:tab w:val="right" w:leader="dot" w:pos="8844"/>
        </w:tabs>
      </w:pPr>
      <w:r>
        <w:rPr>
          <w:rFonts w:ascii="微软雅黑" w:hAnsi="微软雅黑" w:eastAsia="微软雅黑" w:cs="微软雅黑"/>
          <w:color w:val="231F20"/>
          <w:spacing w:val="-2"/>
          <w:szCs w:val="28"/>
        </w:rPr>
        <w:t>五、一个简单预测</w:t>
      </w:r>
      <w:r>
        <w:tab/>
      </w:r>
      <w:r>
        <w:fldChar w:fldCharType="begin"/>
      </w:r>
      <w:r>
        <w:instrText xml:space="preserve"> PAGEREF _Toc1492644360 \h </w:instrText>
      </w:r>
      <w:r>
        <w:fldChar w:fldCharType="separate"/>
      </w:r>
      <w:r>
        <w:t>805</w:t>
      </w:r>
      <w:r>
        <w:fldChar w:fldCharType="end"/>
      </w:r>
    </w:p>
    <w:p w14:paraId="40F4DE6F">
      <w:pPr>
        <w:pStyle w:val="12"/>
        <w:tabs>
          <w:tab w:val="right" w:leader="dot" w:pos="8844"/>
        </w:tabs>
      </w:pPr>
      <w:r>
        <w:rPr>
          <w:rFonts w:ascii="微软雅黑" w:hAnsi="微软雅黑" w:eastAsia="微软雅黑" w:cs="微软雅黑"/>
          <w:color w:val="231F20"/>
          <w:spacing w:val="-4"/>
          <w:szCs w:val="28"/>
        </w:rPr>
        <w:t>六、结论</w:t>
      </w:r>
      <w:r>
        <w:tab/>
      </w:r>
      <w:r>
        <w:fldChar w:fldCharType="begin"/>
      </w:r>
      <w:r>
        <w:instrText xml:space="preserve"> PAGEREF _Toc2117277913 \h </w:instrText>
      </w:r>
      <w:r>
        <w:fldChar w:fldCharType="separate"/>
      </w:r>
      <w:r>
        <w:t>808</w:t>
      </w:r>
      <w:r>
        <w:fldChar w:fldCharType="end"/>
      </w:r>
    </w:p>
    <w:p w14:paraId="07B5A7CE">
      <w:pPr>
        <w:pStyle w:val="10"/>
        <w:tabs>
          <w:tab w:val="right" w:leader="dot" w:pos="8844"/>
        </w:tabs>
      </w:pPr>
      <w:r>
        <w:rPr>
          <w:rFonts w:hint="eastAsia"/>
          <w:lang w:val="en-US" w:eastAsia="zh-CN"/>
        </w:rPr>
        <w:t>4数据资本视域下的消费异化：现实表现、生成逻辑及解蔽之径</w:t>
      </w:r>
      <w:r>
        <w:tab/>
      </w:r>
      <w:r>
        <w:fldChar w:fldCharType="begin"/>
      </w:r>
      <w:r>
        <w:instrText xml:space="preserve"> PAGEREF _Toc1285853001 \h </w:instrText>
      </w:r>
      <w:r>
        <w:fldChar w:fldCharType="separate"/>
      </w:r>
      <w:r>
        <w:t>814</w:t>
      </w:r>
      <w:r>
        <w:fldChar w:fldCharType="end"/>
      </w:r>
    </w:p>
    <w:p w14:paraId="4CE23448">
      <w:pPr>
        <w:pStyle w:val="10"/>
        <w:tabs>
          <w:tab w:val="right" w:leader="dot" w:pos="8844"/>
        </w:tabs>
      </w:pPr>
      <w:r>
        <w:rPr>
          <w:rFonts w:hint="eastAsia"/>
          <w:lang w:val="en-US" w:eastAsia="zh-CN"/>
        </w:rPr>
        <w:t>5</w:t>
      </w:r>
      <w:r>
        <w:rPr>
          <w:rFonts w:hint="eastAsia"/>
        </w:rPr>
        <w:t>数智时代智慧城市治理的 “ 技治主义"分析及反思 :以英国为案例</w:t>
      </w:r>
      <w:r>
        <w:tab/>
      </w:r>
      <w:r>
        <w:fldChar w:fldCharType="begin"/>
      </w:r>
      <w:r>
        <w:instrText xml:space="preserve"> PAGEREF _Toc1203448046 \h </w:instrText>
      </w:r>
      <w:r>
        <w:fldChar w:fldCharType="separate"/>
      </w:r>
      <w:r>
        <w:t>826</w:t>
      </w:r>
      <w:r>
        <w:fldChar w:fldCharType="end"/>
      </w:r>
    </w:p>
    <w:p w14:paraId="3D4B262C">
      <w:pPr>
        <w:pStyle w:val="10"/>
        <w:tabs>
          <w:tab w:val="right" w:leader="dot" w:pos="8844"/>
        </w:tabs>
      </w:pPr>
      <w:r>
        <w:rPr>
          <w:rFonts w:hint="eastAsia"/>
          <w:lang w:val="en-US" w:eastAsia="zh-CN"/>
        </w:rPr>
        <w:t>6</w:t>
      </w:r>
      <w:r>
        <w:rPr>
          <w:rFonts w:hint="eastAsia"/>
        </w:rPr>
        <w:t>现代政治经济学的自主知识体系与马克思主义政治经济学的创新和发展——程恩富教授访谈</w:t>
      </w:r>
      <w:r>
        <w:tab/>
      </w:r>
      <w:r>
        <w:fldChar w:fldCharType="begin"/>
      </w:r>
      <w:r>
        <w:instrText xml:space="preserve"> PAGEREF _Toc1350321676 \h </w:instrText>
      </w:r>
      <w:r>
        <w:fldChar w:fldCharType="separate"/>
      </w:r>
      <w:r>
        <w:t>837</w:t>
      </w:r>
      <w:r>
        <w:fldChar w:fldCharType="end"/>
      </w:r>
    </w:p>
    <w:p w14:paraId="2E49B498">
      <w:pPr>
        <w:pStyle w:val="10"/>
        <w:tabs>
          <w:tab w:val="right" w:leader="dot" w:pos="8844"/>
        </w:tabs>
      </w:pPr>
      <w:r>
        <w:rPr>
          <w:rFonts w:hint="eastAsia"/>
          <w:lang w:val="en-US" w:eastAsia="zh-CN"/>
        </w:rPr>
        <w:t>7</w:t>
      </w:r>
      <w:r>
        <w:rPr>
          <w:rFonts w:hint="eastAsia"/>
        </w:rPr>
        <w:t>数字资本双重属性赋能共同富裕—理论逻辑与实践路径</w:t>
      </w:r>
      <w:r>
        <w:tab/>
      </w:r>
      <w:r>
        <w:fldChar w:fldCharType="begin"/>
      </w:r>
      <w:r>
        <w:instrText xml:space="preserve"> PAGEREF _Toc249227036 \h </w:instrText>
      </w:r>
      <w:r>
        <w:fldChar w:fldCharType="separate"/>
      </w:r>
      <w:r>
        <w:t>845</w:t>
      </w:r>
      <w:r>
        <w:fldChar w:fldCharType="end"/>
      </w:r>
    </w:p>
    <w:p w14:paraId="1BA21F54">
      <w:pPr>
        <w:pStyle w:val="12"/>
        <w:tabs>
          <w:tab w:val="right" w:leader="dot" w:pos="8844"/>
        </w:tabs>
      </w:pPr>
      <w:r>
        <w:rPr>
          <w:rFonts w:hint="eastAsia" w:ascii="宋体" w:hAnsi="宋体" w:eastAsia="宋体" w:cs="宋体"/>
          <w:spacing w:val="1"/>
          <w:szCs w:val="21"/>
        </w:rPr>
        <w:t>一、引言和文献综述</w:t>
      </w:r>
      <w:r>
        <w:tab/>
      </w:r>
      <w:r>
        <w:fldChar w:fldCharType="begin"/>
      </w:r>
      <w:r>
        <w:instrText xml:space="preserve"> PAGEREF _Toc1165682402 \h </w:instrText>
      </w:r>
      <w:r>
        <w:fldChar w:fldCharType="separate"/>
      </w:r>
      <w:r>
        <w:t>845</w:t>
      </w:r>
      <w:r>
        <w:fldChar w:fldCharType="end"/>
      </w:r>
    </w:p>
    <w:p w14:paraId="7E91700A">
      <w:pPr>
        <w:pStyle w:val="12"/>
        <w:tabs>
          <w:tab w:val="right" w:leader="dot" w:pos="8844"/>
        </w:tabs>
      </w:pPr>
      <w:r>
        <w:rPr>
          <w:rFonts w:hint="eastAsia" w:ascii="宋体" w:hAnsi="宋体" w:eastAsia="宋体" w:cs="宋体"/>
          <w:spacing w:val="9"/>
          <w:szCs w:val="21"/>
        </w:rPr>
        <w:t>二、资本一般性和数字资本双重属性</w:t>
      </w:r>
      <w:r>
        <w:tab/>
      </w:r>
      <w:r>
        <w:fldChar w:fldCharType="begin"/>
      </w:r>
      <w:r>
        <w:instrText xml:space="preserve"> PAGEREF _Toc130818833 \h </w:instrText>
      </w:r>
      <w:r>
        <w:fldChar w:fldCharType="separate"/>
      </w:r>
      <w:r>
        <w:t>846</w:t>
      </w:r>
      <w:r>
        <w:fldChar w:fldCharType="end"/>
      </w:r>
    </w:p>
    <w:p w14:paraId="196186F0">
      <w:pPr>
        <w:pStyle w:val="12"/>
        <w:tabs>
          <w:tab w:val="right" w:leader="dot" w:pos="8844"/>
        </w:tabs>
      </w:pPr>
      <w:r>
        <w:rPr>
          <w:rFonts w:hint="eastAsia" w:ascii="宋体" w:hAnsi="宋体" w:eastAsia="宋体" w:cs="宋体"/>
          <w:spacing w:val="11"/>
          <w:szCs w:val="21"/>
        </w:rPr>
        <w:t>三、数字资本生产功能属性对共同富裕影响机制</w:t>
      </w:r>
      <w:r>
        <w:tab/>
      </w:r>
      <w:r>
        <w:fldChar w:fldCharType="begin"/>
      </w:r>
      <w:r>
        <w:instrText xml:space="preserve"> PAGEREF _Toc1796355350 \h </w:instrText>
      </w:r>
      <w:r>
        <w:fldChar w:fldCharType="separate"/>
      </w:r>
      <w:r>
        <w:t>847</w:t>
      </w:r>
      <w:r>
        <w:fldChar w:fldCharType="end"/>
      </w:r>
    </w:p>
    <w:p w14:paraId="01245074">
      <w:pPr>
        <w:pStyle w:val="12"/>
        <w:tabs>
          <w:tab w:val="right" w:leader="dot" w:pos="8844"/>
        </w:tabs>
      </w:pPr>
      <w:r>
        <w:rPr>
          <w:rFonts w:hint="eastAsia" w:ascii="宋体" w:hAnsi="宋体" w:eastAsia="宋体" w:cs="宋体"/>
          <w:spacing w:val="11"/>
          <w:szCs w:val="21"/>
        </w:rPr>
        <w:t>四、数字资本生产关系属性对共同富裕冲击效应</w:t>
      </w:r>
      <w:r>
        <w:tab/>
      </w:r>
      <w:r>
        <w:fldChar w:fldCharType="begin"/>
      </w:r>
      <w:r>
        <w:instrText xml:space="preserve"> PAGEREF _Toc2019257924 \h </w:instrText>
      </w:r>
      <w:r>
        <w:fldChar w:fldCharType="separate"/>
      </w:r>
      <w:r>
        <w:t>849</w:t>
      </w:r>
      <w:r>
        <w:fldChar w:fldCharType="end"/>
      </w:r>
    </w:p>
    <w:p w14:paraId="323CAB34">
      <w:pPr>
        <w:pStyle w:val="12"/>
        <w:tabs>
          <w:tab w:val="right" w:leader="dot" w:pos="8844"/>
        </w:tabs>
      </w:pPr>
      <w:r>
        <w:rPr>
          <w:rFonts w:hint="eastAsia" w:ascii="宋体" w:hAnsi="宋体" w:eastAsia="宋体" w:cs="宋体"/>
          <w:spacing w:val="12"/>
          <w:szCs w:val="21"/>
        </w:rPr>
        <w:t>五、数字资本双重属性促进共同富裕的制度绩效比较</w:t>
      </w:r>
      <w:r>
        <w:tab/>
      </w:r>
      <w:r>
        <w:fldChar w:fldCharType="begin"/>
      </w:r>
      <w:r>
        <w:instrText xml:space="preserve"> PAGEREF _Toc983855127 \h </w:instrText>
      </w:r>
      <w:r>
        <w:fldChar w:fldCharType="separate"/>
      </w:r>
      <w:r>
        <w:t>850</w:t>
      </w:r>
      <w:r>
        <w:fldChar w:fldCharType="end"/>
      </w:r>
    </w:p>
    <w:p w14:paraId="6BFEBDFB">
      <w:pPr>
        <w:pStyle w:val="12"/>
        <w:tabs>
          <w:tab w:val="right" w:leader="dot" w:pos="8844"/>
        </w:tabs>
      </w:pPr>
      <w:r>
        <w:rPr>
          <w:rFonts w:hint="eastAsia" w:ascii="宋体" w:hAnsi="宋体" w:eastAsia="宋体" w:cs="宋体"/>
          <w:spacing w:val="12"/>
          <w:szCs w:val="21"/>
        </w:rPr>
        <w:t>六、数字资本双重属性赋能共同富裕的政策优化路径</w:t>
      </w:r>
      <w:r>
        <w:tab/>
      </w:r>
      <w:r>
        <w:fldChar w:fldCharType="begin"/>
      </w:r>
      <w:r>
        <w:instrText xml:space="preserve"> PAGEREF _Toc29037589 \h </w:instrText>
      </w:r>
      <w:r>
        <w:fldChar w:fldCharType="separate"/>
      </w:r>
      <w:r>
        <w:t>852</w:t>
      </w:r>
      <w:r>
        <w:fldChar w:fldCharType="end"/>
      </w:r>
    </w:p>
    <w:p w14:paraId="7FA5EBD1">
      <w:pPr>
        <w:pStyle w:val="12"/>
        <w:tabs>
          <w:tab w:val="right" w:leader="dot" w:pos="8844"/>
        </w:tabs>
      </w:pPr>
      <w:r>
        <w:rPr>
          <w:rFonts w:hint="eastAsia" w:ascii="宋体" w:hAnsi="宋体" w:eastAsia="宋体" w:cs="宋体"/>
          <w:spacing w:val="-13"/>
          <w:w w:val="92"/>
          <w:szCs w:val="21"/>
        </w:rPr>
        <w:t>七、结语</w:t>
      </w:r>
      <w:r>
        <w:tab/>
      </w:r>
      <w:r>
        <w:fldChar w:fldCharType="begin"/>
      </w:r>
      <w:r>
        <w:instrText xml:space="preserve"> PAGEREF _Toc555970454 \h </w:instrText>
      </w:r>
      <w:r>
        <w:fldChar w:fldCharType="separate"/>
      </w:r>
      <w:r>
        <w:t>853</w:t>
      </w:r>
      <w:r>
        <w:fldChar w:fldCharType="end"/>
      </w:r>
    </w:p>
    <w:p w14:paraId="69B481D2">
      <w:pPr>
        <w:pStyle w:val="10"/>
        <w:tabs>
          <w:tab w:val="right" w:leader="dot" w:pos="8844"/>
        </w:tabs>
      </w:pPr>
      <w:r>
        <w:rPr>
          <w:rFonts w:hint="eastAsia"/>
          <w:lang w:val="en-US" w:eastAsia="zh-CN"/>
        </w:rPr>
        <w:t>8</w:t>
      </w:r>
      <w:r>
        <w:rPr>
          <w:rFonts w:hint="eastAsia"/>
        </w:rPr>
        <w:t>“技术封建主义”的政治经济学分析</w:t>
      </w:r>
      <w:r>
        <w:tab/>
      </w:r>
      <w:r>
        <w:fldChar w:fldCharType="begin"/>
      </w:r>
      <w:r>
        <w:instrText xml:space="preserve"> PAGEREF _Toc494072281 \h </w:instrText>
      </w:r>
      <w:r>
        <w:fldChar w:fldCharType="separate"/>
      </w:r>
      <w:r>
        <w:t>855</w:t>
      </w:r>
      <w:r>
        <w:fldChar w:fldCharType="end"/>
      </w:r>
    </w:p>
    <w:p w14:paraId="718F7454">
      <w:pPr>
        <w:pStyle w:val="12"/>
        <w:tabs>
          <w:tab w:val="right" w:leader="dot" w:pos="8844"/>
        </w:tabs>
      </w:pPr>
      <w:r>
        <w:rPr>
          <w:rFonts w:hint="eastAsia" w:ascii="宋体" w:hAnsi="宋体" w:eastAsia="宋体" w:cs="宋体"/>
          <w:color w:val="231F20"/>
          <w:spacing w:val="0"/>
          <w:w w:val="100"/>
          <w:position w:val="0"/>
          <w:szCs w:val="21"/>
        </w:rPr>
        <w:t>一、“技术封建主义 ”的运行机制与核心特征</w:t>
      </w:r>
      <w:r>
        <w:tab/>
      </w:r>
      <w:r>
        <w:fldChar w:fldCharType="begin"/>
      </w:r>
      <w:r>
        <w:instrText xml:space="preserve"> PAGEREF _Toc1701047465 \h </w:instrText>
      </w:r>
      <w:r>
        <w:fldChar w:fldCharType="separate"/>
      </w:r>
      <w:r>
        <w:t>855</w:t>
      </w:r>
      <w:r>
        <w:fldChar w:fldCharType="end"/>
      </w:r>
    </w:p>
    <w:p w14:paraId="3CF2265F">
      <w:pPr>
        <w:pStyle w:val="12"/>
        <w:tabs>
          <w:tab w:val="right" w:leader="dot" w:pos="8844"/>
        </w:tabs>
      </w:pPr>
      <w:r>
        <w:rPr>
          <w:rFonts w:hint="eastAsia" w:ascii="宋体" w:hAnsi="宋体" w:eastAsia="宋体" w:cs="宋体"/>
          <w:color w:val="231F20"/>
          <w:spacing w:val="0"/>
          <w:w w:val="100"/>
          <w:position w:val="0"/>
          <w:szCs w:val="21"/>
        </w:rPr>
        <w:t>二、“云封地 ”以数字平台为表现形式</w:t>
      </w:r>
      <w:r>
        <w:tab/>
      </w:r>
      <w:r>
        <w:fldChar w:fldCharType="begin"/>
      </w:r>
      <w:r>
        <w:instrText xml:space="preserve"> PAGEREF _Toc54951744 \h </w:instrText>
      </w:r>
      <w:r>
        <w:fldChar w:fldCharType="separate"/>
      </w:r>
      <w:r>
        <w:t>857</w:t>
      </w:r>
      <w:r>
        <w:fldChar w:fldCharType="end"/>
      </w:r>
    </w:p>
    <w:p w14:paraId="47553418">
      <w:pPr>
        <w:pStyle w:val="12"/>
        <w:tabs>
          <w:tab w:val="right" w:leader="dot" w:pos="8844"/>
        </w:tabs>
      </w:pPr>
      <w:r>
        <w:rPr>
          <w:rFonts w:hint="eastAsia" w:ascii="宋体" w:hAnsi="宋体" w:eastAsia="宋体" w:cs="宋体"/>
          <w:color w:val="231F20"/>
          <w:spacing w:val="0"/>
          <w:w w:val="100"/>
          <w:position w:val="0"/>
          <w:szCs w:val="21"/>
        </w:rPr>
        <w:t>三、数字平台垄断与“云租金 ”的产生</w:t>
      </w:r>
      <w:r>
        <w:tab/>
      </w:r>
      <w:r>
        <w:fldChar w:fldCharType="begin"/>
      </w:r>
      <w:r>
        <w:instrText xml:space="preserve"> PAGEREF _Toc155993198 \h </w:instrText>
      </w:r>
      <w:r>
        <w:fldChar w:fldCharType="separate"/>
      </w:r>
      <w:r>
        <w:t>858</w:t>
      </w:r>
      <w:r>
        <w:fldChar w:fldCharType="end"/>
      </w:r>
    </w:p>
    <w:p w14:paraId="2382136D">
      <w:pPr>
        <w:pStyle w:val="12"/>
        <w:tabs>
          <w:tab w:val="right" w:leader="dot" w:pos="8844"/>
        </w:tabs>
      </w:pPr>
      <w:r>
        <w:rPr>
          <w:rFonts w:hint="eastAsia" w:ascii="宋体" w:hAnsi="宋体" w:eastAsia="宋体" w:cs="宋体"/>
          <w:color w:val="231F20"/>
          <w:spacing w:val="0"/>
          <w:w w:val="100"/>
          <w:position w:val="0"/>
          <w:szCs w:val="21"/>
        </w:rPr>
        <w:t>四、“云租金 ”的实现形式与价值源泉</w:t>
      </w:r>
      <w:r>
        <w:tab/>
      </w:r>
      <w:r>
        <w:fldChar w:fldCharType="begin"/>
      </w:r>
      <w:r>
        <w:instrText xml:space="preserve"> PAGEREF _Toc1847629446 \h </w:instrText>
      </w:r>
      <w:r>
        <w:fldChar w:fldCharType="separate"/>
      </w:r>
      <w:r>
        <w:t>860</w:t>
      </w:r>
      <w:r>
        <w:fldChar w:fldCharType="end"/>
      </w:r>
    </w:p>
    <w:p w14:paraId="1D1AA1C5">
      <w:pPr>
        <w:pStyle w:val="12"/>
        <w:tabs>
          <w:tab w:val="right" w:leader="dot" w:pos="8844"/>
        </w:tabs>
      </w:pPr>
      <w:r>
        <w:rPr>
          <w:rFonts w:hint="eastAsia" w:ascii="宋体" w:hAnsi="宋体" w:eastAsia="宋体" w:cs="宋体"/>
          <w:color w:val="231F20"/>
          <w:spacing w:val="0"/>
          <w:w w:val="100"/>
          <w:position w:val="0"/>
          <w:szCs w:val="21"/>
        </w:rPr>
        <w:t>五、“技术封建主义 ”的本质与资本主义衰亡的必然历史趋势</w:t>
      </w:r>
      <w:r>
        <w:tab/>
      </w:r>
      <w:r>
        <w:fldChar w:fldCharType="begin"/>
      </w:r>
      <w:r>
        <w:instrText xml:space="preserve"> PAGEREF _Toc494563302 \h </w:instrText>
      </w:r>
      <w:r>
        <w:fldChar w:fldCharType="separate"/>
      </w:r>
      <w:r>
        <w:t>862</w:t>
      </w:r>
      <w:r>
        <w:fldChar w:fldCharType="end"/>
      </w:r>
    </w:p>
    <w:p w14:paraId="1F9FF1BA">
      <w:pPr>
        <w:pStyle w:val="10"/>
        <w:tabs>
          <w:tab w:val="right" w:leader="dot" w:pos="8844"/>
        </w:tabs>
      </w:pPr>
      <w:r>
        <w:rPr>
          <w:rFonts w:hint="eastAsia"/>
          <w:lang w:val="en-US" w:eastAsia="zh-CN"/>
        </w:rPr>
        <w:t>9</w:t>
      </w:r>
      <w:r>
        <w:rPr>
          <w:rFonts w:hint="eastAsia"/>
        </w:rPr>
        <w:t>论新质生产力赋能新型农村集体经济高质量发展的机理与路径</w:t>
      </w:r>
      <w:r>
        <w:tab/>
      </w:r>
      <w:r>
        <w:fldChar w:fldCharType="begin"/>
      </w:r>
      <w:r>
        <w:instrText xml:space="preserve"> PAGEREF _Toc1363702824 \h </w:instrText>
      </w:r>
      <w:r>
        <w:fldChar w:fldCharType="separate"/>
      </w:r>
      <w:r>
        <w:t>865</w:t>
      </w:r>
      <w:r>
        <w:fldChar w:fldCharType="end"/>
      </w:r>
    </w:p>
    <w:p w14:paraId="2A0E9181">
      <w:pPr>
        <w:pStyle w:val="10"/>
        <w:tabs>
          <w:tab w:val="right" w:leader="dot" w:pos="8844"/>
        </w:tabs>
      </w:pPr>
      <w:r>
        <w:rPr>
          <w:rFonts w:hint="eastAsia"/>
          <w:lang w:val="en-US" w:eastAsia="zh-CN"/>
        </w:rPr>
        <w:t>10</w:t>
      </w:r>
      <w:r>
        <w:rPr>
          <w:rFonts w:hint="eastAsia"/>
        </w:rPr>
        <w:t>与新质生产力相适应的新型生产关系探讨——基于社会基本矛盾运动的角度</w:t>
      </w:r>
      <w:r>
        <w:tab/>
      </w:r>
      <w:r>
        <w:fldChar w:fldCharType="begin"/>
      </w:r>
      <w:r>
        <w:instrText xml:space="preserve"> PAGEREF _Toc1807882184 \h </w:instrText>
      </w:r>
      <w:r>
        <w:fldChar w:fldCharType="separate"/>
      </w:r>
      <w:r>
        <w:t>876</w:t>
      </w:r>
      <w:r>
        <w:fldChar w:fldCharType="end"/>
      </w:r>
    </w:p>
    <w:p w14:paraId="36078EEB">
      <w:pPr>
        <w:pStyle w:val="12"/>
        <w:tabs>
          <w:tab w:val="right" w:leader="dot" w:pos="8844"/>
        </w:tabs>
      </w:pPr>
      <w:r>
        <w:rPr>
          <w:rFonts w:hint="eastAsia" w:ascii="宋体" w:hAnsi="宋体" w:eastAsia="宋体" w:cs="宋体"/>
          <w:color w:val="231F20"/>
          <w:spacing w:val="0"/>
          <w:w w:val="100"/>
          <w:position w:val="0"/>
          <w:szCs w:val="21"/>
        </w:rPr>
        <w:t>二、在矛盾统一体中确立广义生产关系的作用</w:t>
      </w:r>
      <w:r>
        <w:tab/>
      </w:r>
      <w:r>
        <w:fldChar w:fldCharType="begin"/>
      </w:r>
      <w:r>
        <w:instrText xml:space="preserve"> PAGEREF _Toc329745085 \h </w:instrText>
      </w:r>
      <w:r>
        <w:fldChar w:fldCharType="separate"/>
      </w:r>
      <w:r>
        <w:t>879</w:t>
      </w:r>
      <w:r>
        <w:fldChar w:fldCharType="end"/>
      </w:r>
    </w:p>
    <w:p w14:paraId="07CD4340">
      <w:pPr>
        <w:pStyle w:val="12"/>
        <w:tabs>
          <w:tab w:val="right" w:leader="dot" w:pos="8844"/>
        </w:tabs>
      </w:pPr>
      <w:r>
        <w:rPr>
          <w:rFonts w:hint="eastAsia" w:ascii="宋体" w:hAnsi="宋体" w:eastAsia="宋体" w:cs="宋体"/>
          <w:color w:val="231F20"/>
          <w:spacing w:val="0"/>
          <w:w w:val="100"/>
          <w:position w:val="0"/>
          <w:szCs w:val="21"/>
        </w:rPr>
        <w:t>三、在社会再生产中对于新型生产关系的理论探索</w:t>
      </w:r>
      <w:r>
        <w:tab/>
      </w:r>
      <w:r>
        <w:fldChar w:fldCharType="begin"/>
      </w:r>
      <w:r>
        <w:instrText xml:space="preserve"> PAGEREF _Toc1517834335 \h </w:instrText>
      </w:r>
      <w:r>
        <w:fldChar w:fldCharType="separate"/>
      </w:r>
      <w:r>
        <w:t>881</w:t>
      </w:r>
      <w:r>
        <w:fldChar w:fldCharType="end"/>
      </w:r>
    </w:p>
    <w:p w14:paraId="261786DE">
      <w:pPr>
        <w:pStyle w:val="10"/>
        <w:tabs>
          <w:tab w:val="right" w:leader="dot" w:pos="8844"/>
        </w:tabs>
      </w:pPr>
      <w:r>
        <w:rPr>
          <w:rFonts w:hint="eastAsia"/>
          <w:lang w:val="en-US" w:eastAsia="zh-CN"/>
        </w:rPr>
        <w:t>11</w:t>
      </w:r>
      <w:r>
        <w:t>超越数字资本逻辑：财富积累机制异化与规范</w:t>
      </w:r>
      <w:r>
        <w:tab/>
      </w:r>
      <w:r>
        <w:fldChar w:fldCharType="begin"/>
      </w:r>
      <w:r>
        <w:instrText xml:space="preserve"> PAGEREF _Toc283425632 \h </w:instrText>
      </w:r>
      <w:r>
        <w:fldChar w:fldCharType="separate"/>
      </w:r>
      <w:r>
        <w:t>885</w:t>
      </w:r>
      <w:r>
        <w:fldChar w:fldCharType="end"/>
      </w:r>
    </w:p>
    <w:p w14:paraId="36A44EAF">
      <w:pPr>
        <w:pStyle w:val="10"/>
        <w:tabs>
          <w:tab w:val="right" w:leader="dot" w:pos="8844"/>
        </w:tabs>
      </w:pPr>
      <w:r>
        <w:rPr>
          <w:rFonts w:hint="eastAsia"/>
          <w:lang w:val="en-US" w:eastAsia="zh-CN"/>
        </w:rPr>
        <w:t>12“国富而鄙贫，莫尽如市”——管仲经营市场、脉动天下的市场学说</w:t>
      </w:r>
      <w:r>
        <w:tab/>
      </w:r>
      <w:r>
        <w:fldChar w:fldCharType="begin"/>
      </w:r>
      <w:r>
        <w:instrText xml:space="preserve"> PAGEREF _Toc415867978 \h </w:instrText>
      </w:r>
      <w:r>
        <w:fldChar w:fldCharType="separate"/>
      </w:r>
      <w:r>
        <w:t>895</w:t>
      </w:r>
      <w:r>
        <w:fldChar w:fldCharType="end"/>
      </w:r>
    </w:p>
    <w:p w14:paraId="36260DB4">
      <w:pPr>
        <w:pStyle w:val="10"/>
        <w:tabs>
          <w:tab w:val="right" w:leader="dot" w:pos="8844"/>
        </w:tabs>
      </w:pPr>
      <w:r>
        <w:rPr>
          <w:rFonts w:hint="eastAsia"/>
          <w:lang w:val="en-US" w:eastAsia="zh-CN"/>
        </w:rPr>
        <w:t>13有效发挥社会主义市场经济杜宇提振消费的体制优势</w:t>
      </w:r>
      <w:r>
        <w:tab/>
      </w:r>
      <w:r>
        <w:fldChar w:fldCharType="begin"/>
      </w:r>
      <w:r>
        <w:instrText xml:space="preserve"> PAGEREF _Toc1581318908 \h </w:instrText>
      </w:r>
      <w:r>
        <w:fldChar w:fldCharType="separate"/>
      </w:r>
      <w:r>
        <w:t>897</w:t>
      </w:r>
      <w:r>
        <w:fldChar w:fldCharType="end"/>
      </w:r>
    </w:p>
    <w:p w14:paraId="757BB292">
      <w:pPr>
        <w:pStyle w:val="10"/>
        <w:tabs>
          <w:tab w:val="right" w:leader="dot" w:pos="8844"/>
        </w:tabs>
      </w:pPr>
      <w:r>
        <w:rPr>
          <w:rFonts w:hint="eastAsia"/>
          <w:lang w:val="en-US" w:eastAsia="zh-CN"/>
        </w:rPr>
        <w:t>14因地制宜发展新型集体经济</w:t>
      </w:r>
      <w:r>
        <w:tab/>
      </w:r>
      <w:r>
        <w:fldChar w:fldCharType="begin"/>
      </w:r>
      <w:r>
        <w:instrText xml:space="preserve"> PAGEREF _Toc2116755131 \h </w:instrText>
      </w:r>
      <w:r>
        <w:fldChar w:fldCharType="separate"/>
      </w:r>
      <w:r>
        <w:t>900</w:t>
      </w:r>
      <w:r>
        <w:fldChar w:fldCharType="end"/>
      </w:r>
    </w:p>
    <w:p w14:paraId="69E1BECC">
      <w:pPr>
        <w:pStyle w:val="10"/>
        <w:tabs>
          <w:tab w:val="right" w:leader="dot" w:pos="8844"/>
        </w:tabs>
      </w:pPr>
      <w:r>
        <w:rPr>
          <w:rFonts w:hint="eastAsia"/>
          <w:lang w:val="en-US" w:eastAsia="zh-CN"/>
        </w:rPr>
        <w:t>15</w:t>
      </w:r>
      <w:r>
        <w:t>积极贯彻高质量发展新方略新举措</w:t>
      </w:r>
      <w:r>
        <w:tab/>
      </w:r>
      <w:r>
        <w:fldChar w:fldCharType="begin"/>
      </w:r>
      <w:r>
        <w:instrText xml:space="preserve"> PAGEREF _Toc1089390515 \h </w:instrText>
      </w:r>
      <w:r>
        <w:fldChar w:fldCharType="separate"/>
      </w:r>
      <w:r>
        <w:t>902</w:t>
      </w:r>
      <w:r>
        <w:fldChar w:fldCharType="end"/>
      </w:r>
    </w:p>
    <w:p w14:paraId="19BB8AEA">
      <w:pPr>
        <w:pStyle w:val="10"/>
        <w:tabs>
          <w:tab w:val="right" w:leader="dot" w:pos="8844"/>
        </w:tabs>
      </w:pPr>
      <w:r>
        <w:rPr>
          <w:rFonts w:hint="eastAsia"/>
          <w:lang w:val="en-US" w:eastAsia="zh-CN"/>
        </w:rPr>
        <w:t>16</w:t>
      </w:r>
      <w:r>
        <w:rPr>
          <w:rFonts w:hint="default"/>
        </w:rPr>
        <w:t>深入贯彻中央八项规定精神学习教育，要在“化风成俗”上下功夫</w:t>
      </w:r>
      <w:r>
        <w:tab/>
      </w:r>
      <w:r>
        <w:fldChar w:fldCharType="begin"/>
      </w:r>
      <w:r>
        <w:instrText xml:space="preserve"> PAGEREF _Toc2088294930 \h </w:instrText>
      </w:r>
      <w:r>
        <w:fldChar w:fldCharType="separate"/>
      </w:r>
      <w:r>
        <w:t>905</w:t>
      </w:r>
      <w:r>
        <w:fldChar w:fldCharType="end"/>
      </w:r>
    </w:p>
    <w:p w14:paraId="10535F78">
      <w:pPr>
        <w:pStyle w:val="10"/>
        <w:tabs>
          <w:tab w:val="right" w:leader="dot" w:pos="8844"/>
        </w:tabs>
      </w:pPr>
      <w:r>
        <w:rPr>
          <w:rFonts w:hint="eastAsia"/>
          <w:lang w:val="en-US" w:eastAsia="zh-CN"/>
        </w:rPr>
        <w:t>17开拓马克思主义政治经济学新境界</w:t>
      </w:r>
      <w:r>
        <w:tab/>
      </w:r>
      <w:r>
        <w:fldChar w:fldCharType="begin"/>
      </w:r>
      <w:r>
        <w:instrText xml:space="preserve"> PAGEREF _Toc1647645589 \h </w:instrText>
      </w:r>
      <w:r>
        <w:fldChar w:fldCharType="separate"/>
      </w:r>
      <w:r>
        <w:t>907</w:t>
      </w:r>
      <w:r>
        <w:fldChar w:fldCharType="end"/>
      </w:r>
    </w:p>
    <w:p w14:paraId="7A4EDD47">
      <w:pPr>
        <w:pStyle w:val="10"/>
        <w:tabs>
          <w:tab w:val="right" w:leader="dot" w:pos="8844"/>
        </w:tabs>
      </w:pPr>
      <w:r>
        <w:rPr>
          <w:rFonts w:hint="eastAsia"/>
          <w:lang w:val="en-US" w:eastAsia="zh-CN"/>
        </w:rPr>
        <w:t>18</w:t>
      </w:r>
      <w:r>
        <w:rPr>
          <w:rFonts w:hint="eastAsia"/>
        </w:rPr>
        <w:t>论“让人民过上幸福生活”的中国式现代化</w:t>
      </w:r>
      <w:r>
        <w:tab/>
      </w:r>
      <w:r>
        <w:fldChar w:fldCharType="begin"/>
      </w:r>
      <w:r>
        <w:instrText xml:space="preserve"> PAGEREF _Toc177786258 \h </w:instrText>
      </w:r>
      <w:r>
        <w:fldChar w:fldCharType="separate"/>
      </w:r>
      <w:r>
        <w:t>911</w:t>
      </w:r>
      <w:r>
        <w:fldChar w:fldCharType="end"/>
      </w:r>
    </w:p>
    <w:p w14:paraId="6F98AA2D">
      <w:pPr>
        <w:pStyle w:val="10"/>
        <w:tabs>
          <w:tab w:val="right" w:leader="dot" w:pos="8844"/>
        </w:tabs>
      </w:pPr>
      <w:r>
        <w:rPr>
          <w:rFonts w:hint="eastAsia"/>
          <w:lang w:val="en-US" w:eastAsia="zh-CN"/>
        </w:rPr>
        <w:t>19</w:t>
      </w:r>
      <w:r>
        <w:rPr>
          <w:rFonts w:hint="default"/>
        </w:rPr>
        <w:t>纠治形式主义、官僚主义的根本遵循</w:t>
      </w:r>
      <w:r>
        <w:tab/>
      </w:r>
      <w:r>
        <w:fldChar w:fldCharType="begin"/>
      </w:r>
      <w:r>
        <w:instrText xml:space="preserve"> PAGEREF _Toc903885229 \h </w:instrText>
      </w:r>
      <w:r>
        <w:fldChar w:fldCharType="separate"/>
      </w:r>
      <w:r>
        <w:t>920</w:t>
      </w:r>
      <w:r>
        <w:fldChar w:fldCharType="end"/>
      </w:r>
    </w:p>
    <w:p w14:paraId="06878B1C">
      <w:pPr>
        <w:pStyle w:val="10"/>
        <w:tabs>
          <w:tab w:val="right" w:leader="dot" w:pos="8844"/>
        </w:tabs>
      </w:pPr>
      <w:r>
        <w:rPr>
          <w:rFonts w:hint="eastAsia"/>
          <w:lang w:val="en-US" w:eastAsia="zh-CN"/>
        </w:rPr>
        <w:t>20</w:t>
      </w:r>
      <w:r>
        <w:t>马克思主义经济美学视域下的高质量发展——兼谈“中国之治”与“西方之乱”的深层根源</w:t>
      </w:r>
      <w:r>
        <w:tab/>
      </w:r>
      <w:r>
        <w:fldChar w:fldCharType="begin"/>
      </w:r>
      <w:r>
        <w:instrText xml:space="preserve"> PAGEREF _Toc299724925 \h </w:instrText>
      </w:r>
      <w:r>
        <w:fldChar w:fldCharType="separate"/>
      </w:r>
      <w:r>
        <w:t>925</w:t>
      </w:r>
      <w:r>
        <w:fldChar w:fldCharType="end"/>
      </w:r>
    </w:p>
    <w:p w14:paraId="6CD110DD">
      <w:pPr>
        <w:pStyle w:val="10"/>
        <w:tabs>
          <w:tab w:val="right" w:leader="dot" w:pos="8844"/>
        </w:tabs>
      </w:pPr>
      <w:r>
        <w:rPr>
          <w:rFonts w:hint="eastAsia"/>
          <w:lang w:val="en-US" w:eastAsia="zh-CN"/>
        </w:rPr>
        <w:t>21加强改进新形势下思想政治工作</w:t>
      </w:r>
      <w:r>
        <w:tab/>
      </w:r>
      <w:r>
        <w:fldChar w:fldCharType="begin"/>
      </w:r>
      <w:r>
        <w:instrText xml:space="preserve"> PAGEREF _Toc1627662260 \h </w:instrText>
      </w:r>
      <w:r>
        <w:fldChar w:fldCharType="separate"/>
      </w:r>
      <w:r>
        <w:t>938</w:t>
      </w:r>
      <w:r>
        <w:fldChar w:fldCharType="end"/>
      </w:r>
    </w:p>
    <w:p w14:paraId="66247F91">
      <w:pPr>
        <w:pStyle w:val="10"/>
        <w:tabs>
          <w:tab w:val="right" w:leader="dot" w:pos="8844"/>
        </w:tabs>
      </w:pPr>
      <w:r>
        <w:rPr>
          <w:rFonts w:hint="eastAsia"/>
          <w:lang w:val="en-US" w:eastAsia="zh-CN"/>
        </w:rPr>
        <w:t>22</w:t>
      </w:r>
      <w:r>
        <w:t>深入践行习近平文化思想自觉担负起新的文化使命——评《新时代推进文化强国建设战略研究》</w:t>
      </w:r>
      <w:r>
        <w:tab/>
      </w:r>
      <w:r>
        <w:fldChar w:fldCharType="begin"/>
      </w:r>
      <w:r>
        <w:instrText xml:space="preserve"> PAGEREF _Toc1472908334 \h </w:instrText>
      </w:r>
      <w:r>
        <w:fldChar w:fldCharType="separate"/>
      </w:r>
      <w:r>
        <w:t>941</w:t>
      </w:r>
      <w:r>
        <w:fldChar w:fldCharType="end"/>
      </w:r>
    </w:p>
    <w:p w14:paraId="6049A532">
      <w:pPr>
        <w:pStyle w:val="10"/>
        <w:tabs>
          <w:tab w:val="right" w:leader="dot" w:pos="8844"/>
        </w:tabs>
      </w:pPr>
      <w:r>
        <w:rPr>
          <w:rFonts w:hint="eastAsia"/>
          <w:lang w:val="en-US" w:eastAsia="zh-CN"/>
        </w:rPr>
        <w:t>23简评</w:t>
      </w:r>
      <w:r>
        <w:t>《马克思增进人民幸福的财富伦理思想研究》</w:t>
      </w:r>
      <w:r>
        <w:tab/>
      </w:r>
      <w:r>
        <w:fldChar w:fldCharType="begin"/>
      </w:r>
      <w:r>
        <w:instrText xml:space="preserve"> PAGEREF _Toc1126370569 \h </w:instrText>
      </w:r>
      <w:r>
        <w:fldChar w:fldCharType="separate"/>
      </w:r>
      <w:r>
        <w:t>942</w:t>
      </w:r>
      <w:r>
        <w:fldChar w:fldCharType="end"/>
      </w:r>
    </w:p>
    <w:p w14:paraId="3329B91C">
      <w:pPr>
        <w:pStyle w:val="10"/>
        <w:tabs>
          <w:tab w:val="right" w:leader="dot" w:pos="8844"/>
        </w:tabs>
      </w:pPr>
      <w:r>
        <w:rPr>
          <w:rFonts w:hint="eastAsia" w:ascii="黑体" w:hAnsi="黑体" w:eastAsia="黑体" w:cs="黑体"/>
          <w:spacing w:val="27"/>
          <w:szCs w:val="32"/>
          <w:lang w:val="en-US" w:eastAsia="zh-CN"/>
        </w:rPr>
        <w:t>24</w:t>
      </w:r>
      <w:r>
        <w:rPr>
          <w:rFonts w:hint="eastAsia" w:ascii="黑体" w:hAnsi="黑体" w:eastAsia="黑体" w:cs="黑体"/>
          <w:spacing w:val="27"/>
          <w:szCs w:val="32"/>
        </w:rPr>
        <w:t>列宁土地国有化理论探究及其当代启示</w:t>
      </w:r>
      <w:r>
        <w:tab/>
      </w:r>
      <w:r>
        <w:fldChar w:fldCharType="begin"/>
      </w:r>
      <w:r>
        <w:instrText xml:space="preserve"> PAGEREF _Toc841804878 \h </w:instrText>
      </w:r>
      <w:r>
        <w:fldChar w:fldCharType="separate"/>
      </w:r>
      <w:r>
        <w:t>943</w:t>
      </w:r>
      <w:r>
        <w:fldChar w:fldCharType="end"/>
      </w:r>
    </w:p>
    <w:p w14:paraId="17463687">
      <w:pPr>
        <w:pStyle w:val="10"/>
        <w:tabs>
          <w:tab w:val="right" w:leader="dot" w:pos="8844"/>
        </w:tabs>
      </w:pPr>
      <w:r>
        <w:rPr>
          <w:rFonts w:hint="eastAsia" w:ascii="黑体" w:hAnsi="黑体" w:eastAsia="黑体"/>
          <w:lang w:val="en-US" w:eastAsia="zh-CN"/>
        </w:rPr>
        <w:t>25</w:t>
      </w:r>
      <w:r>
        <w:rPr>
          <w:rFonts w:ascii="黑体" w:hAnsi="黑体" w:eastAsia="黑体"/>
        </w:rPr>
        <w:t>二程义利观的辩证意涵及创造性转化</w:t>
      </w:r>
      <w:r>
        <w:tab/>
      </w:r>
      <w:r>
        <w:fldChar w:fldCharType="begin"/>
      </w:r>
      <w:r>
        <w:instrText xml:space="preserve"> PAGEREF _Toc592318110 \h </w:instrText>
      </w:r>
      <w:r>
        <w:fldChar w:fldCharType="separate"/>
      </w:r>
      <w:r>
        <w:t>956</w:t>
      </w:r>
      <w:r>
        <w:fldChar w:fldCharType="end"/>
      </w:r>
    </w:p>
    <w:p w14:paraId="363F3792">
      <w:pPr>
        <w:pStyle w:val="10"/>
        <w:tabs>
          <w:tab w:val="right" w:leader="dot" w:pos="8844"/>
        </w:tabs>
      </w:pPr>
      <w:r>
        <w:rPr>
          <w:rFonts w:hint="eastAsia" w:ascii="宋体" w:hAnsi="宋体" w:eastAsia="宋体" w:cs="宋体"/>
          <w:szCs w:val="28"/>
          <w:lang w:val="en-US" w:eastAsia="zh-CN"/>
        </w:rPr>
        <w:t>26</w:t>
      </w:r>
      <w:r>
        <w:rPr>
          <w:rFonts w:hint="eastAsia" w:ascii="宋体" w:hAnsi="宋体" w:eastAsia="宋体" w:cs="宋体"/>
          <w:bCs/>
          <w:i w:val="0"/>
          <w:iCs w:val="0"/>
          <w:caps w:val="0"/>
          <w:color w:val="000000"/>
          <w:spacing w:val="0"/>
          <w:szCs w:val="28"/>
          <w:shd w:val="clear" w:fill="FFFFFF"/>
        </w:rPr>
        <w:t>推动数字经济健康发展：指导思想及实践指向</w:t>
      </w:r>
      <w:r>
        <w:tab/>
      </w:r>
      <w:r>
        <w:fldChar w:fldCharType="begin"/>
      </w:r>
      <w:r>
        <w:instrText xml:space="preserve"> PAGEREF _Toc1503770925 \h </w:instrText>
      </w:r>
      <w:r>
        <w:fldChar w:fldCharType="separate"/>
      </w:r>
      <w:r>
        <w:t>966</w:t>
      </w:r>
      <w:r>
        <w:fldChar w:fldCharType="end"/>
      </w:r>
    </w:p>
    <w:p w14:paraId="5D6348FF">
      <w:pPr>
        <w:pStyle w:val="10"/>
        <w:tabs>
          <w:tab w:val="right" w:leader="dot" w:pos="8844"/>
        </w:tabs>
      </w:pPr>
      <w:r>
        <w:rPr>
          <w:rFonts w:hint="eastAsia" w:ascii="Times New Roman" w:hAnsi="Times New Roman" w:cs="Times New Roman"/>
          <w:kern w:val="2"/>
          <w:szCs w:val="24"/>
          <w:lang w:val="en-US" w:eastAsia="zh-CN" w:bidi="ar-SA"/>
        </w:rPr>
        <w:t xml:space="preserve">27 </w:t>
      </w:r>
      <w:r>
        <w:rPr>
          <w:rFonts w:hint="eastAsia" w:ascii="Times New Roman" w:hAnsi="Times New Roman" w:eastAsia="宋体" w:cs="Times New Roman"/>
          <w:szCs w:val="24"/>
        </w:rPr>
        <w:t>程恩富：大力发展数字人民币，走出一条具有中国特色的人民币发展道路</w:t>
      </w:r>
      <w:r>
        <w:tab/>
      </w:r>
      <w:r>
        <w:fldChar w:fldCharType="begin"/>
      </w:r>
      <w:r>
        <w:instrText xml:space="preserve"> PAGEREF _Toc142894932 \h </w:instrText>
      </w:r>
      <w:r>
        <w:fldChar w:fldCharType="separate"/>
      </w:r>
      <w:r>
        <w:t>968</w:t>
      </w:r>
      <w:r>
        <w:fldChar w:fldCharType="end"/>
      </w:r>
    </w:p>
    <w:p w14:paraId="36B9FF6F">
      <w:pPr>
        <w:pStyle w:val="10"/>
        <w:tabs>
          <w:tab w:val="right" w:leader="dot" w:pos="8844"/>
        </w:tabs>
      </w:pPr>
      <w:r>
        <w:rPr>
          <w:rFonts w:hint="eastAsia"/>
          <w:bCs/>
          <w:szCs w:val="32"/>
          <w:lang w:val="en-US" w:eastAsia="zh-CN"/>
        </w:rPr>
        <w:t>28</w:t>
      </w:r>
      <w:r>
        <w:rPr>
          <w:rFonts w:hint="eastAsia"/>
          <w:bCs/>
          <w:szCs w:val="32"/>
        </w:rPr>
        <w:t>种族主义历史形态的演变及其当代新表现、新特点</w:t>
      </w:r>
      <w:r>
        <w:tab/>
      </w:r>
      <w:r>
        <w:fldChar w:fldCharType="begin"/>
      </w:r>
      <w:r>
        <w:instrText xml:space="preserve"> PAGEREF _Toc748404778 \h </w:instrText>
      </w:r>
      <w:r>
        <w:fldChar w:fldCharType="separate"/>
      </w:r>
      <w:r>
        <w:t>970</w:t>
      </w:r>
      <w:r>
        <w:fldChar w:fldCharType="end"/>
      </w:r>
    </w:p>
    <w:p w14:paraId="01DA6C0D">
      <w:pPr>
        <w:pStyle w:val="10"/>
        <w:tabs>
          <w:tab w:val="right" w:leader="dot" w:pos="8844"/>
        </w:tabs>
      </w:pPr>
      <w:r>
        <w:rPr>
          <w:rFonts w:hint="eastAsia" w:eastAsia="宋体"/>
          <w:bCs/>
          <w:szCs w:val="32"/>
          <w:lang w:val="en-US" w:eastAsia="zh-CN"/>
        </w:rPr>
        <w:t>29《深入践行习近平文化思想 自觉担负起新的文化使命——评&lt;新时代推进文化强国建设战略研究&gt;》，</w:t>
      </w:r>
      <w:r>
        <w:tab/>
      </w:r>
      <w:r>
        <w:fldChar w:fldCharType="begin"/>
      </w:r>
      <w:r>
        <w:instrText xml:space="preserve"> PAGEREF _Toc627383367 \h </w:instrText>
      </w:r>
      <w:r>
        <w:fldChar w:fldCharType="separate"/>
      </w:r>
      <w:r>
        <w:t>992</w:t>
      </w:r>
      <w:r>
        <w:fldChar w:fldCharType="end"/>
      </w:r>
    </w:p>
    <w:p w14:paraId="1EB49785">
      <w:pPr>
        <w:pStyle w:val="10"/>
        <w:tabs>
          <w:tab w:val="right" w:leader="dot" w:pos="8844"/>
        </w:tabs>
      </w:pPr>
      <w:r>
        <w:rPr>
          <w:rFonts w:hint="eastAsia" w:eastAsia="宋体"/>
          <w:bCs/>
          <w:szCs w:val="32"/>
          <w:lang w:val="en-US" w:eastAsia="zh-CN"/>
        </w:rPr>
        <w:t>30《简评&lt;征途：走向现代化&gt;》</w:t>
      </w:r>
      <w:r>
        <w:tab/>
      </w:r>
      <w:r>
        <w:fldChar w:fldCharType="begin"/>
      </w:r>
      <w:r>
        <w:instrText xml:space="preserve"> PAGEREF _Toc287542399 \h </w:instrText>
      </w:r>
      <w:r>
        <w:fldChar w:fldCharType="separate"/>
      </w:r>
      <w:r>
        <w:t>994</w:t>
      </w:r>
      <w:r>
        <w:fldChar w:fldCharType="end"/>
      </w:r>
    </w:p>
    <w:p w14:paraId="6492ECB7">
      <w:pPr>
        <w:pStyle w:val="10"/>
        <w:tabs>
          <w:tab w:val="right" w:leader="dot" w:pos="8844"/>
        </w:tabs>
      </w:pPr>
      <w:r>
        <w:rPr>
          <w:rFonts w:hint="eastAsia" w:eastAsia="宋体"/>
          <w:bCs/>
          <w:szCs w:val="32"/>
          <w:lang w:val="en-US" w:eastAsia="zh-CN"/>
        </w:rPr>
        <w:t>31《简评&lt;共同富裕：中国式治理现代化的实践诉求&gt;》</w:t>
      </w:r>
      <w:r>
        <w:tab/>
      </w:r>
      <w:r>
        <w:fldChar w:fldCharType="begin"/>
      </w:r>
      <w:r>
        <w:instrText xml:space="preserve"> PAGEREF _Toc886894243 \h </w:instrText>
      </w:r>
      <w:r>
        <w:fldChar w:fldCharType="separate"/>
      </w:r>
      <w:r>
        <w:t>995</w:t>
      </w:r>
      <w:r>
        <w:fldChar w:fldCharType="end"/>
      </w:r>
    </w:p>
    <w:p w14:paraId="2E89C60D">
      <w:pPr>
        <w:pStyle w:val="10"/>
        <w:tabs>
          <w:tab w:val="right" w:leader="dot" w:pos="8844"/>
        </w:tabs>
      </w:pPr>
      <w:r>
        <w:rPr>
          <w:rFonts w:hint="eastAsia" w:ascii="宋体" w:hAnsi="宋体" w:eastAsia="宋体" w:cs="宋体"/>
          <w:bCs/>
          <w:spacing w:val="12"/>
          <w:szCs w:val="36"/>
          <w:lang w:val="en-US" w:eastAsia="zh-CN"/>
        </w:rPr>
        <w:t>2026年</w:t>
      </w:r>
      <w:r>
        <w:tab/>
      </w:r>
      <w:r>
        <w:fldChar w:fldCharType="begin"/>
      </w:r>
      <w:r>
        <w:instrText xml:space="preserve"> PAGEREF _Toc347548274 \h </w:instrText>
      </w:r>
      <w:r>
        <w:fldChar w:fldCharType="separate"/>
      </w:r>
      <w:r>
        <w:t>996</w:t>
      </w:r>
      <w:r>
        <w:fldChar w:fldCharType="end"/>
      </w:r>
    </w:p>
    <w:p w14:paraId="43D00788">
      <w:pPr>
        <w:pStyle w:val="10"/>
        <w:tabs>
          <w:tab w:val="right" w:leader="dot" w:pos="8844"/>
        </w:tabs>
      </w:pPr>
      <w:r>
        <w:rPr>
          <w:rFonts w:hint="eastAsia" w:ascii="宋体" w:hAnsi="宋体" w:eastAsia="宋体" w:cs="宋体"/>
          <w:bCs/>
          <w:spacing w:val="12"/>
          <w:szCs w:val="32"/>
          <w:lang w:val="en-US" w:eastAsia="zh-CN"/>
        </w:rPr>
        <w:t>1</w:t>
      </w:r>
      <w:r>
        <w:rPr>
          <w:rFonts w:hint="eastAsia" w:ascii="Times New Roman" w:hAnsi="Times New Roman" w:eastAsia="宋体" w:cs="Times New Roman"/>
          <w:bCs/>
          <w:szCs w:val="32"/>
        </w:rPr>
        <w:t>开拓马克思主义融合创新研究新境界</w:t>
      </w:r>
      <w:r>
        <w:tab/>
      </w:r>
      <w:r>
        <w:fldChar w:fldCharType="begin"/>
      </w:r>
      <w:r>
        <w:instrText xml:space="preserve"> PAGEREF _Toc88321278 \h </w:instrText>
      </w:r>
      <w:r>
        <w:fldChar w:fldCharType="separate"/>
      </w:r>
      <w:r>
        <w:t>996</w:t>
      </w:r>
      <w:r>
        <w:fldChar w:fldCharType="end"/>
      </w:r>
    </w:p>
    <w:p w14:paraId="61D4BBBF">
      <w:pPr>
        <w:pStyle w:val="10"/>
        <w:tabs>
          <w:tab w:val="right" w:leader="dot" w:pos="8844"/>
        </w:tabs>
      </w:pPr>
      <w:r>
        <w:rPr>
          <w:rFonts w:hint="eastAsia" w:ascii="宋体" w:hAnsi="宋体" w:eastAsia="宋体" w:cs="宋体"/>
          <w:bCs/>
          <w:w w:val="78"/>
          <w:kern w:val="2"/>
          <w:szCs w:val="32"/>
          <w:lang w:val="en-US" w:eastAsia="zh-CN" w:bidi="ar-SA"/>
        </w:rPr>
        <w:t>2复杂风险情境下关键产业备份何以可能</w:t>
      </w:r>
      <w:r>
        <w:tab/>
      </w:r>
      <w:r>
        <w:fldChar w:fldCharType="begin"/>
      </w:r>
      <w:r>
        <w:instrText xml:space="preserve"> PAGEREF _Toc504519269 \h </w:instrText>
      </w:r>
      <w:r>
        <w:fldChar w:fldCharType="separate"/>
      </w:r>
      <w:r>
        <w:t>999</w:t>
      </w:r>
      <w:r>
        <w:fldChar w:fldCharType="end"/>
      </w:r>
    </w:p>
    <w:p w14:paraId="69F2E0D7">
      <w:pPr>
        <w:pStyle w:val="10"/>
        <w:tabs>
          <w:tab w:val="right" w:leader="dot" w:pos="8844"/>
        </w:tabs>
      </w:pPr>
      <w:r>
        <w:rPr>
          <w:rFonts w:hint="eastAsia" w:ascii="宋体" w:hAnsi="宋体" w:eastAsia="宋体" w:cs="宋体"/>
          <w:bCs/>
          <w:w w:val="78"/>
          <w:kern w:val="2"/>
          <w:szCs w:val="32"/>
          <w:lang w:val="en-US" w:eastAsia="zh-CN" w:bidi="ar-SA"/>
        </w:rPr>
        <w:t>3马克思主义时代化的演进历程、当代发展与未来方向</w:t>
      </w:r>
      <w:r>
        <w:tab/>
      </w:r>
      <w:r>
        <w:fldChar w:fldCharType="begin"/>
      </w:r>
      <w:r>
        <w:instrText xml:space="preserve"> PAGEREF _Toc1189915727 \h </w:instrText>
      </w:r>
      <w:r>
        <w:fldChar w:fldCharType="separate"/>
      </w:r>
      <w:r>
        <w:t>1014</w:t>
      </w:r>
      <w:r>
        <w:fldChar w:fldCharType="end"/>
      </w:r>
    </w:p>
    <w:p w14:paraId="52187145">
      <w:pPr>
        <w:pStyle w:val="10"/>
        <w:tabs>
          <w:tab w:val="right" w:leader="dot" w:pos="8844"/>
        </w:tabs>
      </w:pPr>
      <w:r>
        <w:rPr>
          <w:rFonts w:hint="eastAsia" w:ascii="宋体" w:hAnsi="宋体" w:eastAsia="宋体" w:cs="宋体"/>
          <w:bCs/>
          <w:w w:val="78"/>
          <w:kern w:val="2"/>
          <w:szCs w:val="32"/>
          <w:lang w:val="en-US" w:eastAsia="zh-CN" w:bidi="ar-SA"/>
        </w:rPr>
        <w:t>4改革开放以来中国发展道路的经济实践、历史经验与未来进路</w:t>
      </w:r>
      <w:r>
        <w:tab/>
      </w:r>
      <w:r>
        <w:fldChar w:fldCharType="begin"/>
      </w:r>
      <w:r>
        <w:instrText xml:space="preserve"> PAGEREF _Toc1545902825 \h </w:instrText>
      </w:r>
      <w:r>
        <w:fldChar w:fldCharType="separate"/>
      </w:r>
      <w:r>
        <w:t>1033</w:t>
      </w:r>
      <w:r>
        <w:fldChar w:fldCharType="end"/>
      </w:r>
    </w:p>
    <w:p w14:paraId="41F3B9DE">
      <w:pPr>
        <w:pStyle w:val="10"/>
        <w:tabs>
          <w:tab w:val="right" w:leader="dot" w:pos="8844"/>
        </w:tabs>
      </w:pPr>
      <w:r>
        <w:rPr>
          <w:rFonts w:hint="eastAsia" w:ascii="宋体" w:hAnsi="宋体" w:eastAsia="宋体" w:cs="宋体"/>
          <w:bCs/>
          <w:szCs w:val="28"/>
          <w:lang w:val="en-US" w:eastAsia="zh-CN"/>
        </w:rPr>
        <w:t>5中国式现代化视域下我国体制机制创新的三个维度</w:t>
      </w:r>
      <w:r>
        <w:tab/>
      </w:r>
      <w:r>
        <w:fldChar w:fldCharType="begin"/>
      </w:r>
      <w:r>
        <w:instrText xml:space="preserve"> PAGEREF _Toc1731618369 \h </w:instrText>
      </w:r>
      <w:r>
        <w:fldChar w:fldCharType="separate"/>
      </w:r>
      <w:r>
        <w:t>1057</w:t>
      </w:r>
      <w:r>
        <w:fldChar w:fldCharType="end"/>
      </w:r>
    </w:p>
    <w:p w14:paraId="651CE8EF">
      <w:pPr>
        <w:pStyle w:val="10"/>
        <w:tabs>
          <w:tab w:val="right" w:leader="dot" w:pos="8844"/>
        </w:tabs>
      </w:pPr>
      <w:r>
        <w:rPr>
          <w:rFonts w:hint="eastAsia" w:ascii="宋体" w:hAnsi="宋体" w:eastAsia="宋体" w:cs="宋体"/>
          <w:szCs w:val="28"/>
          <w:lang w:val="en-US" w:eastAsia="zh-CN"/>
        </w:rPr>
        <w:t>6中国式现代化对西方现代化的多维超越</w:t>
      </w:r>
      <w:r>
        <w:tab/>
      </w:r>
      <w:r>
        <w:fldChar w:fldCharType="begin"/>
      </w:r>
      <w:r>
        <w:instrText xml:space="preserve"> PAGEREF _Toc611543639 \h </w:instrText>
      </w:r>
      <w:r>
        <w:fldChar w:fldCharType="separate"/>
      </w:r>
      <w:r>
        <w:t>1065</w:t>
      </w:r>
      <w:r>
        <w:fldChar w:fldCharType="end"/>
      </w:r>
    </w:p>
    <w:p w14:paraId="1E1D507C">
      <w:pPr>
        <w:pStyle w:val="10"/>
        <w:tabs>
          <w:tab w:val="right" w:leader="dot" w:pos="8844"/>
        </w:tabs>
      </w:pPr>
      <w:r>
        <w:rPr>
          <w:rFonts w:hint="eastAsia" w:ascii="宋体" w:hAnsi="宋体" w:eastAsia="宋体" w:cs="宋体"/>
          <w:szCs w:val="28"/>
          <w:lang w:val="en-US" w:eastAsia="zh-CN"/>
        </w:rPr>
        <w:t>7</w:t>
      </w:r>
      <w:r>
        <w:rPr>
          <w:rFonts w:hint="eastAsia" w:ascii="宋体" w:hAnsi="宋体" w:eastAsia="宋体" w:cs="宋体"/>
          <w:bCs/>
          <w:szCs w:val="28"/>
          <w:lang w:val="en-US" w:eastAsia="zh-CN"/>
        </w:rPr>
        <w:t>从数字要素到数字资本垄断：数字经济时代的资本逻辑与规范发展</w:t>
      </w:r>
      <w:r>
        <w:tab/>
      </w:r>
      <w:r>
        <w:fldChar w:fldCharType="begin"/>
      </w:r>
      <w:r>
        <w:instrText xml:space="preserve"> PAGEREF _Toc357206131 \h </w:instrText>
      </w:r>
      <w:r>
        <w:fldChar w:fldCharType="separate"/>
      </w:r>
      <w:r>
        <w:t>1083</w:t>
      </w:r>
      <w:r>
        <w:fldChar w:fldCharType="end"/>
      </w:r>
    </w:p>
    <w:p w14:paraId="78D502FD">
      <w:pPr>
        <w:pStyle w:val="10"/>
        <w:tabs>
          <w:tab w:val="right" w:leader="dot" w:pos="8844"/>
        </w:tabs>
      </w:pPr>
      <w:r>
        <w:rPr>
          <w:rFonts w:hint="eastAsia" w:ascii="Times New Roman" w:hAnsi="Times New Roman" w:eastAsia="宋体"/>
          <w:bCs/>
          <w:szCs w:val="28"/>
          <w:lang w:val="en-US" w:eastAsia="zh-CN"/>
        </w:rPr>
        <w:t>8数字剩余价值的三重跃迁逻辑与数字资本主义批判——马克思主义政治经济学的当代重构</w:t>
      </w:r>
      <w:r>
        <w:tab/>
      </w:r>
      <w:r>
        <w:fldChar w:fldCharType="begin"/>
      </w:r>
      <w:r>
        <w:instrText xml:space="preserve"> PAGEREF _Toc1346650352 \h </w:instrText>
      </w:r>
      <w:r>
        <w:fldChar w:fldCharType="separate"/>
      </w:r>
      <w:r>
        <w:t>1096</w:t>
      </w:r>
      <w:r>
        <w:fldChar w:fldCharType="end"/>
      </w:r>
    </w:p>
    <w:p w14:paraId="4720EF41">
      <w:pPr>
        <w:pStyle w:val="10"/>
        <w:tabs>
          <w:tab w:val="right" w:leader="dot" w:pos="8844"/>
        </w:tabs>
      </w:pPr>
      <w:r>
        <w:rPr>
          <w:rFonts w:hint="eastAsia" w:ascii="Times New Roman" w:hAnsi="Times New Roman"/>
          <w:bCs/>
          <w:szCs w:val="28"/>
          <w:lang w:val="en-US" w:eastAsia="zh-CN"/>
        </w:rPr>
        <w:t>9</w:t>
      </w:r>
      <w:r>
        <w:rPr>
          <w:rFonts w:hint="eastAsia" w:ascii="Times New Roman" w:hAnsi="Times New Roman" w:eastAsia="宋体"/>
          <w:bCs/>
          <w:szCs w:val="28"/>
          <w:lang w:val="en-US" w:eastAsia="zh-CN"/>
        </w:rPr>
        <w:t>新型农村集体经济促进城乡融合发展的理论逻辑与实践路径</w:t>
      </w:r>
      <w:r>
        <w:tab/>
      </w:r>
      <w:r>
        <w:fldChar w:fldCharType="begin"/>
      </w:r>
      <w:r>
        <w:instrText xml:space="preserve"> PAGEREF _Toc822310331 \h </w:instrText>
      </w:r>
      <w:r>
        <w:fldChar w:fldCharType="separate"/>
      </w:r>
      <w:r>
        <w:t>1110</w:t>
      </w:r>
      <w:r>
        <w:fldChar w:fldCharType="end"/>
      </w:r>
    </w:p>
    <w:p w14:paraId="1EBF46F0">
      <w:pPr>
        <w:pStyle w:val="10"/>
        <w:tabs>
          <w:tab w:val="right" w:leader="dot" w:pos="8844"/>
        </w:tabs>
      </w:pPr>
      <w:r>
        <w:rPr>
          <w:rFonts w:hint="eastAsia" w:ascii="Times New Roman" w:hAnsi="Times New Roman"/>
          <w:bCs/>
          <w:szCs w:val="28"/>
          <w:lang w:val="en-US" w:eastAsia="zh-CN"/>
        </w:rPr>
        <w:t>10</w:t>
      </w:r>
      <w:r>
        <w:rPr>
          <w:rFonts w:hint="eastAsia" w:ascii="Times New Roman" w:hAnsi="Times New Roman" w:eastAsia="宋体"/>
          <w:bCs/>
          <w:szCs w:val="28"/>
          <w:lang w:val="en-US" w:eastAsia="zh-CN"/>
        </w:rPr>
        <w:t>构建中国哲学社会科学自主知识体系的世界观和方法论</w:t>
      </w:r>
      <w:r>
        <w:tab/>
      </w:r>
      <w:r>
        <w:fldChar w:fldCharType="begin"/>
      </w:r>
      <w:r>
        <w:instrText xml:space="preserve"> PAGEREF _Toc1512464672 \h </w:instrText>
      </w:r>
      <w:r>
        <w:fldChar w:fldCharType="separate"/>
      </w:r>
      <w:r>
        <w:t>1124</w:t>
      </w:r>
      <w:r>
        <w:fldChar w:fldCharType="end"/>
      </w:r>
    </w:p>
    <w:p w14:paraId="7EF0F4DC">
      <w:pPr>
        <w:pStyle w:val="10"/>
        <w:tabs>
          <w:tab w:val="right" w:leader="dot" w:pos="8844"/>
        </w:tabs>
      </w:pPr>
      <w:r>
        <w:rPr>
          <w:rFonts w:hint="eastAsia" w:ascii="宋体" w:hAnsi="宋体" w:eastAsia="宋体" w:cs="宋体"/>
          <w:bCs/>
          <w:szCs w:val="28"/>
          <w:lang w:val="en-US" w:eastAsia="zh-CN"/>
        </w:rPr>
        <w:t>11瑞典社会福利模式的形成、分析与启示——基于瑞典所有制与分配结构的视角</w:t>
      </w:r>
      <w:r>
        <w:tab/>
      </w:r>
      <w:r>
        <w:fldChar w:fldCharType="begin"/>
      </w:r>
      <w:r>
        <w:instrText xml:space="preserve"> PAGEREF _Toc229812765 \h </w:instrText>
      </w:r>
      <w:r>
        <w:fldChar w:fldCharType="separate"/>
      </w:r>
      <w:r>
        <w:t>1129</w:t>
      </w:r>
      <w:r>
        <w:fldChar w:fldCharType="end"/>
      </w:r>
    </w:p>
    <w:p w14:paraId="78B53599">
      <w:pPr>
        <w:pStyle w:val="10"/>
        <w:tabs>
          <w:tab w:val="right" w:leader="dot" w:pos="8844"/>
        </w:tabs>
      </w:pPr>
      <w:r>
        <w:rPr>
          <w:rFonts w:hint="eastAsia" w:ascii="宋体" w:hAnsi="宋体" w:eastAsia="宋体" w:cs="宋体"/>
          <w:bCs/>
          <w:szCs w:val="28"/>
          <w:lang w:val="en-US" w:eastAsia="zh-CN"/>
        </w:rPr>
        <w:t>12《简评&lt;面向中国式现代化的城市高质量发展综合评价报告(2024)&gt;》</w:t>
      </w:r>
      <w:r>
        <w:tab/>
      </w:r>
      <w:r>
        <w:fldChar w:fldCharType="begin"/>
      </w:r>
      <w:r>
        <w:instrText xml:space="preserve"> PAGEREF _Toc1287544049 \h </w:instrText>
      </w:r>
      <w:r>
        <w:fldChar w:fldCharType="separate"/>
      </w:r>
      <w:r>
        <w:t>1151</w:t>
      </w:r>
      <w:r>
        <w:fldChar w:fldCharType="end"/>
      </w:r>
    </w:p>
    <w:p w14:paraId="4E5F05ED">
      <w:pPr>
        <w:pStyle w:val="10"/>
        <w:tabs>
          <w:tab w:val="right" w:leader="dot" w:pos="8844"/>
        </w:tabs>
      </w:pPr>
      <w:r>
        <w:rPr>
          <w:rFonts w:hint="eastAsia" w:ascii="Times New Roman" w:hAnsi="Times New Roman"/>
          <w:bCs/>
          <w:szCs w:val="28"/>
          <w:lang w:val="en-US" w:eastAsia="zh-CN"/>
        </w:rPr>
        <w:t>13</w:t>
      </w:r>
      <w:r>
        <w:rPr>
          <w:rFonts w:hint="eastAsia" w:ascii="Times New Roman" w:hAnsi="Times New Roman" w:eastAsia="宋体"/>
          <w:bCs/>
          <w:szCs w:val="28"/>
          <w:lang w:val="en-US" w:eastAsia="zh-CN"/>
        </w:rPr>
        <w:t>习近平总书记关于扶贫脱贫工作的重要论述是“两个结合”的伟大成果</w:t>
      </w:r>
      <w:r>
        <w:tab/>
      </w:r>
      <w:r>
        <w:fldChar w:fldCharType="begin"/>
      </w:r>
      <w:r>
        <w:instrText xml:space="preserve"> PAGEREF _Toc1707604371 \h </w:instrText>
      </w:r>
      <w:r>
        <w:fldChar w:fldCharType="separate"/>
      </w:r>
      <w:r>
        <w:t>1152</w:t>
      </w:r>
      <w:r>
        <w:fldChar w:fldCharType="end"/>
      </w:r>
    </w:p>
    <w:p w14:paraId="71FCC8A3">
      <w:pPr>
        <w:pStyle w:val="10"/>
        <w:tabs>
          <w:tab w:val="right" w:leader="dot" w:pos="8844"/>
        </w:tabs>
      </w:pPr>
      <w:r>
        <w:rPr>
          <w:rFonts w:hint="eastAsia" w:ascii="Times New Roman" w:hAnsi="Times New Roman"/>
          <w:bCs/>
          <w:szCs w:val="28"/>
          <w:lang w:val="en-US" w:eastAsia="zh-CN"/>
        </w:rPr>
        <w:t>14</w:t>
      </w:r>
      <w:r>
        <w:rPr>
          <w:rFonts w:hint="eastAsia" w:ascii="Times New Roman" w:hAnsi="Times New Roman" w:eastAsia="宋体"/>
          <w:bCs/>
          <w:szCs w:val="28"/>
          <w:lang w:val="en-US" w:eastAsia="zh-CN"/>
        </w:rPr>
        <w:t>伟大建党精神融入高校思想政治理论课的学理研究与实践路径</w:t>
      </w:r>
      <w:r>
        <w:tab/>
      </w:r>
      <w:r>
        <w:fldChar w:fldCharType="begin"/>
      </w:r>
      <w:r>
        <w:instrText xml:space="preserve"> PAGEREF _Toc735204889 \h </w:instrText>
      </w:r>
      <w:r>
        <w:fldChar w:fldCharType="separate"/>
      </w:r>
      <w:r>
        <w:t>1159</w:t>
      </w:r>
      <w:r>
        <w:fldChar w:fldCharType="end"/>
      </w:r>
    </w:p>
    <w:p w14:paraId="724D26C6">
      <w:pPr>
        <w:pStyle w:val="10"/>
        <w:tabs>
          <w:tab w:val="right" w:leader="dot" w:pos="8844"/>
        </w:tabs>
      </w:pPr>
      <w:r>
        <w:rPr>
          <w:rFonts w:hint="eastAsia" w:ascii="Times New Roman" w:hAnsi="Times New Roman" w:eastAsia="宋体"/>
          <w:bCs/>
          <w:szCs w:val="28"/>
          <w:lang w:val="en-US" w:eastAsia="zh-CN"/>
        </w:rPr>
        <w:t>15</w:t>
      </w:r>
      <w:r>
        <w:rPr>
          <w:rFonts w:hint="default" w:ascii="Times New Roman" w:hAnsi="Times New Roman" w:eastAsia="宋体"/>
          <w:bCs/>
          <w:szCs w:val="28"/>
          <w:lang w:val="en-US" w:eastAsia="zh-CN"/>
        </w:rPr>
        <w:t>新法西斯主义滋长及其危害论析</w:t>
      </w:r>
      <w:r>
        <w:tab/>
      </w:r>
      <w:r>
        <w:fldChar w:fldCharType="begin"/>
      </w:r>
      <w:r>
        <w:instrText xml:space="preserve"> PAGEREF _Toc2115148232 \h </w:instrText>
      </w:r>
      <w:r>
        <w:fldChar w:fldCharType="separate"/>
      </w:r>
      <w:r>
        <w:t>1170</w:t>
      </w:r>
      <w:r>
        <w:fldChar w:fldCharType="end"/>
      </w:r>
    </w:p>
    <w:p w14:paraId="531F977D">
      <w:pPr>
        <w:pStyle w:val="10"/>
        <w:tabs>
          <w:tab w:val="right" w:leader="dot" w:pos="8844"/>
        </w:tabs>
      </w:pPr>
      <w:r>
        <w:rPr>
          <w:rFonts w:hint="eastAsia" w:ascii="Times New Roman" w:hAnsi="Times New Roman" w:eastAsia="宋体"/>
          <w:bCs/>
          <w:szCs w:val="28"/>
          <w:lang w:val="en-US" w:eastAsia="zh-CN"/>
        </w:rPr>
        <w:t>16</w:t>
      </w:r>
      <w:r>
        <w:rPr>
          <w:rFonts w:hint="default" w:ascii="Times New Roman" w:hAnsi="Times New Roman" w:eastAsia="宋体"/>
          <w:bCs/>
          <w:szCs w:val="28"/>
          <w:lang w:val="en-US" w:eastAsia="zh-CN"/>
        </w:rPr>
        <w:t>高质量调查研究保障</w:t>
      </w:r>
      <w:r>
        <w:rPr>
          <w:rFonts w:hint="eastAsia" w:ascii="Times New Roman" w:hAnsi="Times New Roman" w:eastAsia="宋体"/>
          <w:bCs/>
          <w:szCs w:val="28"/>
          <w:lang w:val="en-US" w:eastAsia="zh-CN"/>
        </w:rPr>
        <w:t>“十五五”</w:t>
      </w:r>
      <w:r>
        <w:rPr>
          <w:rFonts w:hint="default" w:ascii="Times New Roman" w:hAnsi="Times New Roman" w:eastAsia="宋体"/>
          <w:bCs/>
          <w:szCs w:val="28"/>
          <w:lang w:val="en-US" w:eastAsia="zh-CN"/>
        </w:rPr>
        <w:t>规划科学制定</w:t>
      </w:r>
      <w:r>
        <w:tab/>
      </w:r>
      <w:r>
        <w:fldChar w:fldCharType="begin"/>
      </w:r>
      <w:r>
        <w:instrText xml:space="preserve"> PAGEREF _Toc1999526433 \h </w:instrText>
      </w:r>
      <w:r>
        <w:fldChar w:fldCharType="separate"/>
      </w:r>
      <w:r>
        <w:t>1178</w:t>
      </w:r>
      <w:r>
        <w:fldChar w:fldCharType="end"/>
      </w:r>
    </w:p>
    <w:p w14:paraId="5967DDA8">
      <w:pPr>
        <w:pStyle w:val="2"/>
        <w:bidi w:val="0"/>
        <w:rPr>
          <w:rFonts w:hint="eastAsia"/>
          <w:lang w:val="en-US" w:eastAsia="zh-CN"/>
        </w:rPr>
        <w:sectPr>
          <w:headerReference r:id="rId5" w:type="default"/>
          <w:footerReference r:id="rId6" w:type="default"/>
          <w:footnotePr>
            <w:numFmt w:val="decimalEnclosedCircleChinese"/>
            <w:numRestart w:val="eachPage"/>
          </w:footnotePr>
          <w:pgSz w:w="12246" w:h="16498"/>
          <w:pgMar w:top="1755" w:right="1701" w:bottom="547" w:left="1701" w:header="1287" w:footer="354" w:gutter="0"/>
          <w:pgNumType w:fmt="decimal"/>
          <w:cols w:space="720" w:num="1"/>
        </w:sectPr>
      </w:pPr>
      <w:r>
        <w:rPr>
          <w:rFonts w:hint="eastAsia"/>
          <w:lang w:val="en-US" w:eastAsia="zh-CN"/>
        </w:rPr>
        <w:fldChar w:fldCharType="end"/>
      </w:r>
      <w:bookmarkStart w:id="1051" w:name="_GoBack"/>
      <w:bookmarkEnd w:id="1051"/>
    </w:p>
    <w:p w14:paraId="51CA21E7">
      <w:pPr>
        <w:pStyle w:val="2"/>
        <w:bidi w:val="0"/>
        <w:rPr>
          <w:rFonts w:ascii="宋体" w:hAnsi="宋体" w:eastAsia="宋体" w:cs="Times New Roman"/>
          <w:szCs w:val="21"/>
        </w:rPr>
      </w:pPr>
      <w:bookmarkStart w:id="9" w:name="_Toc1775572191"/>
      <w:r>
        <w:rPr>
          <w:rFonts w:hint="eastAsia"/>
          <w:lang w:val="en-US" w:eastAsia="zh-CN"/>
        </w:rPr>
        <w:t>2022年</w:t>
      </w:r>
      <w:bookmarkEnd w:id="4"/>
      <w:bookmarkEnd w:id="5"/>
      <w:bookmarkEnd w:id="6"/>
      <w:bookmarkEnd w:id="7"/>
      <w:bookmarkEnd w:id="8"/>
      <w:bookmarkEnd w:id="9"/>
    </w:p>
    <w:p w14:paraId="17B91AD2">
      <w:pPr>
        <w:pStyle w:val="3"/>
        <w:bidi w:val="0"/>
        <w:rPr>
          <w:rFonts w:hint="eastAsia"/>
          <w:sz w:val="24"/>
        </w:rPr>
      </w:pPr>
      <w:bookmarkStart w:id="10" w:name="_Toc16054"/>
      <w:bookmarkStart w:id="11" w:name="_Toc1727324208"/>
      <w:bookmarkStart w:id="12" w:name="_Toc810054516"/>
      <w:bookmarkStart w:id="13" w:name="_Toc1949229976"/>
      <w:bookmarkStart w:id="14" w:name="_Toc1326314777"/>
      <w:bookmarkStart w:id="15" w:name="_Toc609055425"/>
      <w:r>
        <w:rPr>
          <w:rFonts w:hint="eastAsia"/>
          <w:lang w:val="en-US" w:eastAsia="zh-CN"/>
        </w:rPr>
        <w:t>1中国马克思主义学习型政党建设的百年经验与推进路径</w:t>
      </w:r>
      <w:bookmarkEnd w:id="10"/>
      <w:bookmarkEnd w:id="11"/>
      <w:bookmarkEnd w:id="12"/>
      <w:bookmarkEnd w:id="13"/>
      <w:bookmarkEnd w:id="14"/>
      <w:bookmarkEnd w:id="15"/>
      <w:bookmarkStart w:id="16" w:name="_Toc8905968"/>
      <w:bookmarkStart w:id="17" w:name="_Toc5122"/>
    </w:p>
    <w:p w14:paraId="620E2E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  要]中国马克思主义学习型政党百年建设经历了改造学习、重新学习、带头学习和革新学习的历史阶段。百年经验包括：始终坚持学习马克思主义与指导中国具体实践的统一；始终坚持学习马克思主义与服务于政治大局的统一；始终坚持学习马克思主义与发展马克思主义的统一；始终坚持学习马克思主义与批判非马克思主义的统一。新时代中国马克思主义学习型政党建设的推进路径在于：科学理论武装，践行习近平新时代中国特色社会主义思想；善于把握规律，立足新时代中国特色社会主义现实；坚持世界眼光，提高新时代中国共产党治国理政水平；富有创新精神，不断开辟马克思主义理论发展新境界。</w:t>
      </w:r>
    </w:p>
    <w:p w14:paraId="576063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[关键词]中国共产党；学习型政党；</w:t>
      </w:r>
      <w:bookmarkEnd w:id="16"/>
      <w:bookmarkEnd w:id="17"/>
      <w:r>
        <w:rPr>
          <w:rFonts w:hint="eastAsia"/>
          <w:sz w:val="24"/>
        </w:rPr>
        <w:t>党的建设；马克思主义中国化理论</w:t>
      </w:r>
    </w:p>
    <w:p w14:paraId="62AEC0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一、</w:t>
      </w:r>
      <w:r>
        <w:rPr>
          <w:rFonts w:hint="eastAsia"/>
          <w:b/>
          <w:bCs/>
          <w:sz w:val="24"/>
        </w:rPr>
        <w:t>马克思主义行</w:t>
      </w:r>
      <w:r>
        <w:rPr>
          <w:rFonts w:hint="eastAsia"/>
          <w:b/>
          <w:bCs/>
          <w:sz w:val="24"/>
          <w:lang w:eastAsia="zh-CN"/>
        </w:rPr>
        <w:t>，是</w:t>
      </w:r>
      <w:r>
        <w:rPr>
          <w:rFonts w:hint="eastAsia"/>
          <w:b/>
          <w:bCs/>
          <w:sz w:val="24"/>
        </w:rPr>
        <w:t>中国共产党为什么能，中国特色社会主义为什么好</w:t>
      </w:r>
      <w:r>
        <w:rPr>
          <w:rFonts w:hint="eastAsia"/>
          <w:b/>
          <w:bCs/>
          <w:sz w:val="24"/>
          <w:lang w:eastAsia="zh-CN"/>
        </w:rPr>
        <w:t>的根本原因</w:t>
      </w:r>
      <w:r>
        <w:rPr>
          <w:rFonts w:hint="eastAsia"/>
          <w:b/>
          <w:bCs/>
          <w:sz w:val="24"/>
        </w:rPr>
        <w:t>！</w:t>
      </w:r>
    </w:p>
    <w:p w14:paraId="2A9927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习总讲话中指出：“</w:t>
      </w:r>
      <w:r>
        <w:rPr>
          <w:rFonts w:hint="eastAsia"/>
          <w:sz w:val="24"/>
        </w:rPr>
        <w:t>一百年前，一群新青年高举马克思主义思想火炬，在风雨如晦的中国苦苦探寻民族复兴的前途。</w:t>
      </w:r>
      <w:r>
        <w:rPr>
          <w:rFonts w:hint="eastAsia"/>
          <w:sz w:val="24"/>
          <w:lang w:eastAsia="zh-CN"/>
        </w:rPr>
        <w:t>”“</w:t>
      </w:r>
      <w:r>
        <w:rPr>
          <w:rFonts w:hint="eastAsia"/>
          <w:sz w:val="24"/>
        </w:rPr>
        <w:t>中国共产党为什么能，中国特色社会主义为什么好，归根到底是因为马克思主义行！</w:t>
      </w:r>
      <w:r>
        <w:rPr>
          <w:rFonts w:hint="eastAsia"/>
          <w:sz w:val="24"/>
          <w:lang w:eastAsia="zh-CN"/>
        </w:rPr>
        <w:t>”这是第一次阐明了</w:t>
      </w:r>
      <w:r>
        <w:rPr>
          <w:rFonts w:hint="eastAsia"/>
          <w:sz w:val="24"/>
          <w:lang w:val="en-US" w:eastAsia="zh-CN"/>
        </w:rPr>
        <w:t>三者关系。</w:t>
      </w:r>
    </w:p>
    <w:p w14:paraId="293277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 xml:space="preserve">因此，我们学者要继续从学理上分析一、以马克思主义为指导的中国共产党为什么能？ 二、基于马克思主义的中国特色社会主义为什么好？ 三、要继续守正创新马克思主义。当然这里说的马克思主义，都是指马列主义或中国化理论。 </w:t>
      </w:r>
    </w:p>
    <w:p w14:paraId="09E9C27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中国共产党始终是一个高度重视学习和善于学习</w:t>
      </w:r>
      <w:r>
        <w:rPr>
          <w:rFonts w:hint="eastAsia"/>
          <w:sz w:val="24"/>
          <w:lang w:eastAsia="zh-CN"/>
        </w:rPr>
        <w:t>、灵活运用</w:t>
      </w:r>
      <w:r>
        <w:rPr>
          <w:rFonts w:hint="eastAsia"/>
          <w:sz w:val="24"/>
        </w:rPr>
        <w:t>的马克思主义政党，始终把学习马克思主义，特别是学习</w:t>
      </w:r>
      <w:r>
        <w:rPr>
          <w:rFonts w:hint="eastAsia"/>
          <w:sz w:val="24"/>
          <w:lang w:eastAsia="zh-CN"/>
        </w:rPr>
        <w:t>和践行</w:t>
      </w:r>
      <w:r>
        <w:rPr>
          <w:rFonts w:hint="eastAsia"/>
          <w:sz w:val="24"/>
        </w:rPr>
        <w:t>中国化马克思主义的最新成果，作为党的建设伟大工程的重大举措。中国共产党正是通过持续开展马克思主义理论的全党学习，增强全党的立场坚定性和政治敏锐性，增强党组织的创新力、凝聚力和战斗力，使百年大党永葆青春。</w:t>
      </w:r>
    </w:p>
    <w:p w14:paraId="3161B1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一、中国马克思主义学习型政党建设的百年历程</w:t>
      </w:r>
    </w:p>
    <w:p w14:paraId="3EE51BB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自从成立以来就高度重视马克思主义理论的武装，不断学习马克思主义理论是中国共产党兴旺发达的重要经验。中国共产党的全部历史就是善于学习和勇于学习马克思主义的历史，也是运用不断发展着的马克思主义武装和教育广大党员、干部的历史。百年大党一直是个马克思主义学习型政党，这是中国共产党与生俱来的品质。建设马克思主义学习型政党是深刻总结中国共产党百年历史经验的重要结论，也是我们党的几代领导人一贯思想和不懈追求。</w:t>
      </w:r>
    </w:p>
    <w:p w14:paraId="3320A6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（一）改造学习：破解新民主主义革命重大问题</w:t>
      </w:r>
    </w:p>
    <w:p w14:paraId="56FE81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自成立之初就是以马克思主义学习者的姿态探索救亡图存的道路。早在建党之前，李大钊、陈独秀等优秀人物就积极成立马克思主义研究会，向全国人民宣传马克思主义。建党之后，更是把学习和宣传马列主义作为每一个党员干部的重要任务，在全国各地纷纷成立社会科学的研究会，提出要“设立党校养成指导人才”，翻译介绍马克思列宁主义的经典著作，用马克思列宁主义指导中国革命。毛泽东是党内理论联系实际地学习马克思主义的典范，他明确提出“马克思主义的‘本本’是要学的，但是必须同我国的实际情况相结合”[1]，并撰写了著名的《改造我们的学习》等文章，开展延安整风运动，反对本本主义和教条主义，使全党更加科学地认识“怎样学习”。毛泽东高度重视干部的学习，他说，领导工作、改善工作与建设大党,便是我们学习运动的直接原因。“如果我们党有一百个至两百个系统地不是零碎地、实际地而不是空洞地学会了马克思列宁主义的同志，就会大大地提高我们党的战斗力”[2]，“全党干部都应当学习和研究马列主义的理论及其在中国的具体运用”，要加强“在工作中学习”和“工作以外的学习”。并建立在职干部平均每日学习两小时的制度。为了迎接即将成立的新中国，毛泽东指出，全党必须学会管理城市和建设城市，“必须用极大的努力去学习生产的技术和管理生产的方法”[3]。为提高学习的针对性和实效性，毛泽东向“七大”代表提出“我们要读五本马列主义的书。”为党员干部开列了12本“必读”书目。[4]他说:“严重的经济建设任务摆在我们面前。”[5]这是我们遇到的新任务，“必须向一切内行的人们”学习。拜他们为师，好好地学习，真诚地学习。来不得半点虚假。</w:t>
      </w:r>
    </w:p>
    <w:p w14:paraId="094398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（二）重新学习：破解社会主义建设重大问题</w:t>
      </w:r>
    </w:p>
    <w:p w14:paraId="65F0B3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1949年到1978年的这段历史，是中国共产党积极探索建设马克思主义学习型执政党的重要时期。新中国的成立，中国共产党完成了建国任务，建国后的大规模经济建设摆在全党面前，重新学习的任务迫在眉睫。为此，全党围绕党的过渡时期总路线开展了学习活动，相继开展了整风整党运动，在建设马克思主义学习型政党的理论探索上，1951年3月，《关于加强理论教育的决定(草案)》正式实施，在党的历史上第一次对领导干部的马克思主义理论学习作出了具有长远意义的全面部署和具体安排。为配合马克思主义理论学习的深入开展，党中央编辑出版的《毛泽东选集》，成为新中国成立初期全党学习马克思主义理论的基本著作。随后，《斯大林全集》《列宁全集》《马克思恩格斯全集》相继出版，为全党学习马克思主义理论奠定了基础，加快了全党系统学习马克思主义的历史进程。随着生产资料私有制的“三大改造”的广泛深入开展，大规模的社会主义现代化建设摆到面前，毛泽东号召全党:要“钻社会主义工业化，钻社会主义改造，钻近代化的国防，并且开始要钻原子能的时代了”[6]，全党同志必须积极钻研，认真学习，克服困难，成为又红又专的社会主义人才，打赢这场新的战争。毛泽东还明确提出了“向外国学习”。他说：“我们的方针是，一切民族、一切国家的长处都要学”[7]，要积极利用人类的一切文明成果建设社会主义，但是，对国外的经验要结合中国实际，决不能盲目的照抄照搬，必须有分析有批判地学，洋为中用，推陈出新。为以苏为戒，探索适合新中国国情的社会主义建设道路，毛泽东提出来要注意纠正实际工作中的“左”的错误问题，他向全党发出号召，要深入开展读书活动，带头研讨苏联《政治经济学(教科书)》，结合中国经济建设实际，发表了大量评论，形成了新颖独到的中国社会主义经济建设思想，为中国经济建设开展提供了科学指南。在“文化大革命”的非常时期，毛泽东仍然多次强调加强学习特别是加强马列著作学习。针对党内个别人“不读马列的书”的现象，他明确指出，党的干部，尤其是“高级干部”，一定要提高马克思主义理论修养，工作不论多忙，一定要要挤出读书时间，多研读一些马列的经典原著，这有助于区别真假马列主义。</w:t>
      </w:r>
    </w:p>
    <w:p w14:paraId="55745F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（三）带头学习：破解执政党建设的重大问题</w:t>
      </w:r>
      <w:r>
        <w:rPr>
          <w:rFonts w:hint="eastAsia"/>
          <w:sz w:val="24"/>
          <w:lang w:eastAsia="zh-CN"/>
        </w:rPr>
        <w:t>（本人有幸曾在</w:t>
      </w:r>
      <w:r>
        <w:rPr>
          <w:rFonts w:hint="eastAsia"/>
          <w:sz w:val="24"/>
          <w:lang w:val="en-US" w:eastAsia="zh-CN"/>
        </w:rPr>
        <w:t>2004年为中央政治局集体学习作过讲解</w:t>
      </w:r>
      <w:r>
        <w:rPr>
          <w:rFonts w:hint="eastAsia"/>
          <w:sz w:val="24"/>
          <w:lang w:eastAsia="zh-CN"/>
        </w:rPr>
        <w:t>）</w:t>
      </w:r>
    </w:p>
    <w:p w14:paraId="7F4616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1978年的十一届三中全会到2012年的十八大，这段历史是中国共产党带头学习，恢复和发展学习制度的重要阶段。十一届三中全会的胜利召开，确立了以经济建设为中心的基本路线，实现了党和国家工作重心的转移，中国共产党开始了带头学习的新征程。邓小平明确指出，社会主义现代化建设是前所未有的事业，“全党同志一定要善于学习，善于重新学习”[8]，“根本的是要学习马列主义、毛泽东思想”[9]。要立足社会主义初级阶段的中国国情，大胆吸收和借鉴人类社会创造的一切文明成果，追赶世界发展潮流，但要站稳中国立场，决不能照抄照搬，反对崇洋媚外。江泽民把学习马克思主义经典著作同“三讲教育”联系起来，领导干部要“有的放矢地选读马克思主义的经典著作”[10]增强党性修养，提升马克思主义理论水平，锻造引领经济社会发展的真正本领。胡锦涛指出：“推动理论学习，提高全党理论素养，是一项紧迫的政治任务。”[1</w:t>
      </w:r>
      <w:r>
        <w:rPr>
          <w:rFonts w:hint="eastAsia"/>
          <w:sz w:val="24"/>
          <w:lang w:val="en-US" w:eastAsia="zh-CN"/>
        </w:rPr>
        <w:t>1</w:t>
      </w:r>
      <w:r>
        <w:rPr>
          <w:rFonts w:hint="eastAsia"/>
          <w:sz w:val="24"/>
        </w:rPr>
        <w:t>]要全面开展马克思主义的学习教育，把马克思主义作为我们认识问题，分析问题，解决问题的看家本领，全党要积极学习马克思主义的立场、观点和方法，毛泽东思想的人民情怀和革命精神，尤其是中国特色社会主义理论体系的时代意义和实践价值，积极推进党的先进性教育。他非常注重常规化、制度化的学习建设，逐步建立起稳定的学习制度和长效学习机制，建立领导干部学习制度，强化领导干部带头学习的传统。十六届四中明确规划了“努力建设学习型政党”的任务，在党的历史上是第一次。十七届四中全会进一步提出“建设马克思主义学习型政党”，这一目标的明确，是中国共产党的建设马克思主义色彩进一步凸显。2010年，党中央提出，推进学习型党组织建设，以学习马克思主义，浓厚党的学风，以学习中国特色社会主义理论体系，凝聚党的力量，通过学习型党组织建设使党立于不败之地。</w:t>
      </w:r>
    </w:p>
    <w:p w14:paraId="0B70771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（四）革新学习：破解新时代两个变局重大问题</w:t>
      </w:r>
    </w:p>
    <w:p w14:paraId="47AD36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十八大以来，马克思主义学习型政党建设进入新时代。面对百年未有大变局，民族复兴的伟大任务日益迫切，中国特色社会主义日益展现出前所未有的勃勃生机，习近平总书记以治国理政的高度强调马克思主义经典著作的学习。习近平多次强调，要克服本领恐慌，必须提升马克思主义素养，马克思主义“是我们做好一切工作的看家本领”[1</w:t>
      </w:r>
      <w:r>
        <w:rPr>
          <w:rFonts w:hint="eastAsia"/>
          <w:sz w:val="24"/>
          <w:lang w:val="en-US" w:eastAsia="zh-CN"/>
        </w:rPr>
        <w:t>2</w:t>
      </w:r>
      <w:r>
        <w:rPr>
          <w:rFonts w:hint="eastAsia"/>
          <w:sz w:val="24"/>
        </w:rPr>
        <w:t>]。要“在全党营造善于学习、勇于实践的浓厚氛围，建设马克思主义学习型政党，推动建设学习大国”[1</w:t>
      </w:r>
      <w:r>
        <w:rPr>
          <w:rFonts w:hint="eastAsia"/>
          <w:sz w:val="24"/>
          <w:lang w:val="en-US" w:eastAsia="zh-CN"/>
        </w:rPr>
        <w:t>3</w:t>
      </w:r>
      <w:r>
        <w:rPr>
          <w:rFonts w:hint="eastAsia"/>
          <w:sz w:val="24"/>
        </w:rPr>
        <w:t>]，“共产党人要把读马克思主义经典、悟马克思主义原理当作一种生活习惯”[1</w:t>
      </w:r>
      <w:r>
        <w:rPr>
          <w:rFonts w:hint="eastAsia"/>
          <w:sz w:val="24"/>
          <w:lang w:val="en-US" w:eastAsia="zh-CN"/>
        </w:rPr>
        <w:t>4</w:t>
      </w:r>
      <w:r>
        <w:rPr>
          <w:rFonts w:hint="eastAsia"/>
          <w:sz w:val="24"/>
        </w:rPr>
        <w:t>]。马克思主义的理论学习要“把自己摆进去、把职责摆进去”，“做到学、思、用贯通，知、信、行统一”[1</w:t>
      </w:r>
      <w:r>
        <w:rPr>
          <w:rFonts w:hint="eastAsia"/>
          <w:sz w:val="24"/>
          <w:lang w:val="en-US" w:eastAsia="zh-CN"/>
        </w:rPr>
        <w:t>5</w:t>
      </w:r>
      <w:r>
        <w:rPr>
          <w:rFonts w:hint="eastAsia"/>
          <w:sz w:val="24"/>
        </w:rPr>
        <w:t>]。读经典既要读马克思主义的经典，同时也要读马克思主义来源的经典，有利于理解马克思主义吸收、借鉴、批判的整个脉络。习近平特别注重广大党员干部对党史、国史的学习，从事关党和国家事业的战略高度强调学习党史、国史的重要意义。他指出:历史是一面镜子，中国共产党百年历史是一个宝库，她的辉煌历史是我们的骄傲，“学习党史、国史，是坚持和发展中国特色社会主义、把党和国家各项事业继续推向前进的必修课。”要不忘初心，牢记使命，“知史爱党，知史爱国。”[1</w:t>
      </w:r>
      <w:r>
        <w:rPr>
          <w:rFonts w:hint="eastAsia"/>
          <w:sz w:val="24"/>
          <w:lang w:val="en-US" w:eastAsia="zh-CN"/>
        </w:rPr>
        <w:t>6</w:t>
      </w:r>
      <w:r>
        <w:rPr>
          <w:rFonts w:hint="eastAsia"/>
          <w:sz w:val="24"/>
        </w:rPr>
        <w:t>]“在对历史的深入思考中做好现实工作、更好走向未来。”[1</w:t>
      </w:r>
      <w:r>
        <w:rPr>
          <w:rFonts w:hint="eastAsia"/>
          <w:sz w:val="24"/>
          <w:lang w:val="en-US" w:eastAsia="zh-CN"/>
        </w:rPr>
        <w:t>7</w:t>
      </w:r>
      <w:r>
        <w:rPr>
          <w:rFonts w:hint="eastAsia"/>
          <w:sz w:val="24"/>
        </w:rPr>
        <w:t>]这些论述构成了完整的习近平马克思主义经典著作学习观。党依托“两学一做”和“</w:t>
      </w:r>
      <w:r>
        <w:rPr>
          <w:rFonts w:hint="eastAsia"/>
          <w:sz w:val="24"/>
        </w:rPr>
        <w:fldChar w:fldCharType="begin"/>
      </w:r>
      <w:r>
        <w:rPr>
          <w:rFonts w:hint="eastAsia"/>
          <w:sz w:val="24"/>
        </w:rPr>
        <w:instrText xml:space="preserve"> HYPERLINK "http://www.baidu.com/link?url=RaQ-bUVTpvTRjckEeK6XB-DxOPW25O-np5NeE_KXU4EZ-HOvlWZbAtC2jW89bPCrUSnIraxf4t98RA5qaRmeRGJbiG1Tu7bOA-b5K0T6obq" \t "https://www.baidu.com/_blank" </w:instrText>
      </w:r>
      <w:r>
        <w:rPr>
          <w:rFonts w:hint="eastAsia"/>
          <w:sz w:val="24"/>
        </w:rPr>
        <w:fldChar w:fldCharType="separate"/>
      </w:r>
      <w:r>
        <w:rPr>
          <w:rFonts w:hint="eastAsia"/>
          <w:sz w:val="24"/>
        </w:rPr>
        <w:t>党史学习”等活动</w:t>
      </w:r>
      <w:r>
        <w:rPr>
          <w:rFonts w:hint="eastAsia"/>
          <w:sz w:val="24"/>
        </w:rPr>
        <w:fldChar w:fldCharType="end"/>
      </w:r>
      <w:r>
        <w:rPr>
          <w:rFonts w:hint="eastAsia"/>
          <w:sz w:val="24"/>
        </w:rPr>
        <w:t>，在全党开展了一场场普遍的马克思主义教育活动，提高了党员干部运用马克思主义治国理政的能力。</w:t>
      </w:r>
    </w:p>
    <w:p w14:paraId="112A391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马克思主义学习型政党建设的百年伟大历程中，毛泽东无疑是理论和实践的勇于开拓者。邓小平、江泽民、胡锦涛把这一建设不断推向新高度，使党的马克思主义学习型政党建设理论与实践不断深化与巩固。党的十八大以来，习近平总书记高度重视新时代马克思主义学习型政党建设，并把这一建设推进到21世纪的新高度，彰显了新时代中国共产党建设“学习大党”和学习强国的坚强决心和意志。</w:t>
      </w:r>
    </w:p>
    <w:p w14:paraId="725E9A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sz w:val="24"/>
        </w:rPr>
        <w:t xml:space="preserve">   </w:t>
      </w:r>
      <w:r>
        <w:rPr>
          <w:rFonts w:hint="eastAsia"/>
          <w:sz w:val="24"/>
          <w:lang w:val="en-US" w:eastAsia="zh-CN"/>
        </w:rPr>
        <w:t xml:space="preserve">  </w:t>
      </w:r>
      <w:r>
        <w:rPr>
          <w:rFonts w:hint="eastAsia"/>
          <w:b/>
          <w:bCs/>
          <w:sz w:val="24"/>
          <w:lang w:val="en-US" w:eastAsia="zh-CN"/>
        </w:rPr>
        <w:t xml:space="preserve">   </w:t>
      </w:r>
      <w:r>
        <w:rPr>
          <w:rFonts w:hint="eastAsia"/>
          <w:b/>
          <w:bCs/>
          <w:sz w:val="24"/>
        </w:rPr>
        <w:t>二、中国马克思主义学习型政党建设的百年经验</w:t>
      </w:r>
    </w:p>
    <w:p w14:paraId="546556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重视学习马克思主义经典理论，善于把马克思主义与中国实际相结合，勤于学习马克思主义中国化成果，是中国共产党的优良传统和鲜明特色。建设马克思主义学习型政党就是为了永葆党在政治上的先进性，是中国共产党不断成长和自我完善的动力源泉，也是百年大党的成功经验。</w:t>
      </w:r>
    </w:p>
    <w:p w14:paraId="342ED3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（一）始终坚持服务于马克思主义学习型政党建设的伟大工程</w:t>
      </w:r>
    </w:p>
    <w:p w14:paraId="322B43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是马克思主义学习型政党，在中国特色社会主义现代化建设中居于领导核心地位。在中国共产党百年辉煌的历史进程中，在不同的历史时期，面对不同的历史任务，为完成历史赋予的重任，中国共产党人善于学习马克思主义，善于从自身历史中汲取经验，在加强马克思主义学习型政党建设中克服了一系列艰难险阻，战胜了各种挑战。学习的内容也是与党在不同时期的历史使命紧密联系在一起的。革命、建设和改革的伟大事业，是建设马克思主义学习型政党的力量和源泉所在。马克思主义学习型政党的建设工程一直与革命、建设和改革的伟大事业紧密结合。为了完成抗战的伟大任务，为了使我们党成为真正的马克思主义学习型政党，为了解决党内存在的教条主义和经验主义，中国共产党开展的延安整风，实现了马克思主义与中国革命实际相结合的毛泽东思想在全党指导思想地位的确立，奠定了中国革命最终胜利的思想基础和组织基础。改革开放以来，马克思主义学习型政党建设的实践也证明，党之所以能领导改革开放事业取得巨大成功，之所以能够跟上时代步伐领导人民在站起来的基础上又富起来，那就是解放思想、实事求是地围绕中心任务，推进党的建设。政治属性是马克思主义政党的第一属性，政治建设是马克思主义政党建设的内在要求。十八大以来，党中央在强化党的领导、强化党内监督、持续开展反腐败斗争等方面</w:t>
      </w:r>
      <w:r>
        <w:rPr>
          <w:rFonts w:hint="eastAsia"/>
          <w:sz w:val="24"/>
          <w:lang w:val="en-US" w:eastAsia="zh-CN"/>
        </w:rPr>
        <w:t>加强党的建设的伟大工程</w:t>
      </w:r>
      <w:r>
        <w:rPr>
          <w:rFonts w:hint="eastAsia"/>
          <w:sz w:val="24"/>
        </w:rPr>
        <w:t>，取得了空前成效。习近平还进一步指出:全党只有通过学习马克思主义和实践马克思主义，才能不断增强本领，“‘两个一百年’的奋斗目标才能实现，中华民族伟大复兴的‘中国梦’才能梦想成真”[</w:t>
      </w:r>
      <w:r>
        <w:rPr>
          <w:rFonts w:hint="eastAsia"/>
          <w:sz w:val="24"/>
          <w:lang w:val="en-US" w:eastAsia="zh-CN"/>
        </w:rPr>
        <w:t>18</w:t>
      </w:r>
      <w:r>
        <w:rPr>
          <w:rFonts w:hint="eastAsia"/>
          <w:sz w:val="24"/>
        </w:rPr>
        <w:t>]。新时代要把党建设成为始终走在时代前列、人民衷心拥护、勇于自我革命、经得起各种风浪考验、朝气蓬勃的马克思主义执政党，就必须要求全党在学习马克思主义中推进党的建设的伟大工程，只有这样，才能更好地承载起团结带领各族人民实现社会主义现代化建设目标的重任。</w:t>
      </w:r>
    </w:p>
    <w:p w14:paraId="7F9D8C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（二）始终坚持学习马克思主义与批判非马克思主义的统一</w:t>
      </w:r>
    </w:p>
    <w:p w14:paraId="36CA04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是无产阶级政党的世界观和方法论，中国共产党人的学习首先是要学习马克思主义，这是我们党对自身学习的基本要求，体现了我们党在学习问题上鲜明的党性立场和价值取向。只有在坚持不懈的学习中深刻地理解、牢固地信仰、自觉地运用马克思主义，中国共产党才能确保全党在思想上、组织上和行动上的统一，确保具有强大的战斗力。如果忽视了马克思主义分析问题认识问题的根本立场，忽视马克思主义对错误思潮的批判精神，马克思主义学习型政党建设就容易误入歧途，就会丧失意识形态领导权，要积极建构中国特色社会主义哲学和社会科学的学科体系和话语体系，用中国特色社会主义理论武装全党，批判形形色色的错误思潮。因此，党员干部始终高度重视研读马克思主义批判精神，深刻领悟马克思主义的劳动阶级和人民立场，自觉抵制和批判各种非（反）马克思主义的观点，不断夯实马克思主义在新时代意识形态领域的指导地位。学习马克思主义经典著作，要防止和批判对马克思主义的修正主义和教条主义；向实践学习，要防止和批判不顾时间地点变化的抱残守缺的经验主义和实用主义；向群众学习，要防止和批判尾巴主义和官僚主义；向外国学习，要防止和批判拿来主义和盲崇主义。在社会主义现代化建设新时代，针对西方新自由主义和历史虚无主义的泛滥，习近平总书记明确指出，我们要警惕和抵制一段时期以来泛滥的历史虚无主义，坚持辩证地看待中国共产党的百年历史，反对党史研究中曾经存在的前后两个三十年相互否定的错误观点和错误倾向。</w:t>
      </w:r>
      <w:r>
        <w:rPr>
          <w:rFonts w:hint="eastAsia"/>
          <w:sz w:val="24"/>
          <w:lang w:eastAsia="zh-CN"/>
        </w:rPr>
        <w:t>“</w:t>
      </w:r>
      <w:r>
        <w:rPr>
          <w:rFonts w:hint="eastAsia"/>
          <w:sz w:val="24"/>
        </w:rPr>
        <w:t>正确处理两个时期关系这个重大政治问题，必须发扬斗争精神，增强斗争本</w:t>
      </w:r>
      <w:r>
        <w:rPr>
          <w:rFonts w:hint="eastAsia"/>
          <w:sz w:val="24"/>
          <w:lang w:val="en-US" w:eastAsia="zh-CN"/>
        </w:rPr>
        <w:t>领</w:t>
      </w:r>
      <w:r>
        <w:rPr>
          <w:rFonts w:hint="eastAsia"/>
          <w:sz w:val="24"/>
          <w:lang w:eastAsia="zh-CN"/>
        </w:rPr>
        <w:t>。”</w:t>
      </w:r>
      <w:r>
        <w:rPr>
          <w:rFonts w:hint="eastAsia"/>
          <w:sz w:val="24"/>
        </w:rPr>
        <w:t>[</w:t>
      </w:r>
      <w:r>
        <w:rPr>
          <w:rFonts w:hint="eastAsia"/>
          <w:sz w:val="24"/>
          <w:lang w:val="en-US" w:eastAsia="zh-CN"/>
        </w:rPr>
        <w:t>19</w:t>
      </w:r>
      <w:r>
        <w:rPr>
          <w:rFonts w:hint="eastAsia"/>
          <w:sz w:val="24"/>
        </w:rPr>
        <w:t>]反对以美国为样板的宪政主义和新自由主义，事关社会科学和意识形态领导权，事关国家发展、政治安全和人民福祉，必须旗帜鲜明，敢于亮剑。</w:t>
      </w:r>
    </w:p>
    <w:p w14:paraId="638D4E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（三）始终坚持学习马克思主义与指导中国具体实践的统一</w:t>
      </w:r>
    </w:p>
    <w:p w14:paraId="76FC8F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总书记明确指出，马克思主义是中国共产党的指导思想，她揭示了人类历史发展变化的本质属性和内在规律，是无产阶级“伟大的认识工具”，是中国共产党认识国情，指导中国革命、建设和改革的有力思想武器；马克思主义的实践品格在于，不仅致力于“解释世界”，而且致力于“改变世界”。马克思主义经典作家们之所以能够准确地把握时代的脉搏和人类社会历史发展的基本规律，进而进行科学的预测，同他们始终坚持理论联系实际分不开。以毛泽东为代表的第一代中国共产党人当把马克思主义理论作为认识世界，改造中国的革命工具。不但学习马克思主义研究问题的阶级立场和革命理念，而且把这一理论与中国新民主主义革命的现实结合起来，把武装斗争、根据地建设和党的领导紧密结合起来，开辟了一条半封建半殖民地人民成功革命的道路。正如毛泽东指出：“马克思列宁主义之箭，必须用了去射中国革命之的。”“读书是学习，使用也是学习，而且是更重要的学习。”[</w:t>
      </w:r>
      <w:r>
        <w:rPr>
          <w:rFonts w:hint="eastAsia"/>
          <w:sz w:val="24"/>
          <w:lang w:val="en-US" w:eastAsia="zh-CN"/>
        </w:rPr>
        <w:t>20</w:t>
      </w:r>
      <w:r>
        <w:rPr>
          <w:rFonts w:hint="eastAsia"/>
          <w:sz w:val="24"/>
        </w:rPr>
        <w:t>]习近平特别强调，学习马克思主义的“根本目的是增强工作本领、提高解决实际问题的水平”[2</w:t>
      </w:r>
      <w:r>
        <w:rPr>
          <w:rFonts w:hint="eastAsia"/>
          <w:sz w:val="24"/>
          <w:lang w:val="en-US" w:eastAsia="zh-CN"/>
        </w:rPr>
        <w:t>1</w:t>
      </w:r>
      <w:r>
        <w:rPr>
          <w:rFonts w:hint="eastAsia"/>
          <w:sz w:val="24"/>
        </w:rPr>
        <w:t>]中国共产党人通过理论与实践的结合，开创了中国特色的社会主义革命和建设模式。中国共产党学习马克思主义的历史，就是坚持理论联系实际的马克思主义学风，将马克思主义认识问题，改造世界的立场观点和方法，与中国特殊的革命和建设的国情相结合，探索中国道路和中国模式。</w:t>
      </w:r>
    </w:p>
    <w:p w14:paraId="0F1D3BF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（四）始终坚持学习马克思主义与发展马克思主义的统一</w:t>
      </w:r>
    </w:p>
    <w:p w14:paraId="3D9D16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恩格斯指出，马克思的整个世界观不是教义，而是进一步研究的出发点和供这种研究使用的方法。建设马克思主义学习型政党必须与推进党的指导思想的理论创新紧密结合。中国共产党就是在学习马克思主义中，坚持马克思主义，从而不断推进理论创新，引领党和国家事业的发展。新民主主义革命时期，王明先后犯了“左”和右的错误路线，曾一度主导党中央工作，两次不同错误路线的本质都是教条式地对待马克思主义。他们照抄照搬马克思主义，从不考虑中国新民主主义革命的具体实际和特殊国情，把活的马克思主义理论绝对化和教条化，把万里之外的共产国际决议和苏联经验机械化和神圣化，使整个中国革命几乎陷入绝境。以毛泽东为代表的中国共产党人，坚持学习马克思主义与发展马克思主义相统一，深刻把握近代中国的国情，农民占人口的绝大多数，敌人在农村的统治极其薄弱，积极探索出一条农村包围城市、武装夺取政权的中国特色革命道路，发展了马克思主义的革命理论，创立了毛泽东思想。改革开放初期，“两个凡是”的教条主义禁锢了党的事业，邓小平大声疾呼，一个党，一个国家，一个民族，如果一切从本本出发，思想僵化，就要亡党亡国。他积极推动实践是检验真理的唯一标准讨论，提出解放思想，实事求是，要在新的历史条件下坚持毛泽东思想，发展毛泽东思想，把毛泽东开创的马克思主义中国化事业不断推进，坚持学习马克思主义与发展马克思主义的统一，创立了邓小平理论。不过，邓小平指出：“过去两个总书记都没有站住，并不是选的时候不合格，选的时候没有选错，但后来他们在根本问题上，就是在坚持四项基本原则的问题上犯了错误，栽了跟头。四个坚持中最核心的是党的领导和社会主义。四个坚持的对立面是资产阶级自由化。”[2</w:t>
      </w:r>
      <w:r>
        <w:rPr>
          <w:rFonts w:hint="eastAsia"/>
          <w:sz w:val="24"/>
          <w:lang w:val="en-US" w:eastAsia="zh-CN"/>
        </w:rPr>
        <w:t>2</w:t>
      </w:r>
      <w:r>
        <w:rPr>
          <w:rFonts w:hint="eastAsia"/>
          <w:sz w:val="24"/>
        </w:rPr>
        <w:t>]新时代新阶段，中国特色社会主义面临百年未有之大变局，为实现历代中国共产党人的民族复兴伟大梦想，习近平总书记坚持全面从严治党，全面建设小康社会，全面依法治国，全面深化改革，积极推进马克思主义学习型政党建设，在坚持马克思主义中发展马克思主义，创立了习近平新时代中国特色社会主义思想，为21世纪的马克思主义增添了新的篇章。党在百年的革命、建设和改革的进程中，持续学习，不断推进马克思主义理论创新。中国共产党的诞生和成长，中国革命和建设的探索和成功，就是不断学习马克思主义并持续发展马克思主义的结果。</w:t>
      </w:r>
    </w:p>
    <w:p w14:paraId="63EDE0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w:t>
      </w:r>
      <w:r>
        <w:rPr>
          <w:rFonts w:hint="eastAsia"/>
          <w:sz w:val="24"/>
          <w:lang w:val="en-US" w:eastAsia="zh-CN"/>
        </w:rPr>
        <w:t xml:space="preserve">   </w:t>
      </w:r>
      <w:r>
        <w:rPr>
          <w:rFonts w:hint="eastAsia"/>
          <w:b/>
          <w:bCs/>
          <w:sz w:val="24"/>
          <w:lang w:val="en-US" w:eastAsia="zh-CN"/>
        </w:rPr>
        <w:t xml:space="preserve">  </w:t>
      </w:r>
      <w:r>
        <w:rPr>
          <w:rFonts w:hint="eastAsia"/>
          <w:b/>
          <w:bCs/>
          <w:sz w:val="24"/>
        </w:rPr>
        <w:t>三、中国马克思主义学习型政党建设的推进路径</w:t>
      </w:r>
    </w:p>
    <w:p w14:paraId="33CB75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新时代，中国特色社会主义现代化建设面临百年未有大变局，尤其是当前新冠世界大流疫，资本主义和社会主义两种制度的发展模式局孰优孰劣日见分晓，中华民族伟大复兴的中国梦日益临近，中国日益走近世界舞台的中央。中国共产党必须按照科学理论武装、具有世界眼光、善于把握规律、富有创新精神，积极推进马克思主义学习型政党建设。</w:t>
      </w:r>
    </w:p>
    <w:p w14:paraId="7B80DE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（一）科学理论武装，践行习近平新时代中国特色社会主义思想</w:t>
      </w:r>
    </w:p>
    <w:p w14:paraId="26CBF8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伴随改革开放的深入，社会主义现代化建设逐步推进，一段时期以来，新自由主义、历史虚无主义、西方普世价值观等错误思潮借助于互联网攻城略地泛滥成灾，它们粉饰资本主义，攻击马克思主义，假借学术自由，扮装前沿学术，侵蚀主流意识形态，甚至打着马克思主义旗号，通过断章取义、以偏概全的方式对马克思主义经典著作进行误读曲解，这些反（非）马克思主义错误思潮严重妨害中国共产党的建设。一些党员</w:t>
      </w:r>
      <w:r>
        <w:rPr>
          <w:rFonts w:hint="eastAsia"/>
          <w:sz w:val="24"/>
          <w:lang w:eastAsia="zh-CN"/>
        </w:rPr>
        <w:t>“</w:t>
      </w:r>
      <w:r>
        <w:rPr>
          <w:rFonts w:hint="eastAsia"/>
          <w:sz w:val="24"/>
        </w:rPr>
        <w:t>无视党纪党规</w:t>
      </w:r>
      <w:r>
        <w:rPr>
          <w:rFonts w:hint="eastAsia"/>
          <w:sz w:val="24"/>
          <w:lang w:val="en-US" w:eastAsia="zh-CN"/>
        </w:rPr>
        <w:t>,</w:t>
      </w:r>
      <w:r>
        <w:rPr>
          <w:rFonts w:hint="eastAsia"/>
          <w:sz w:val="24"/>
        </w:rPr>
        <w:t>不仅党员身份意识淡化，模范带头作用丧失，甚至屡屡违反党的政治纪律，破坏党的政治规矩</w:t>
      </w:r>
      <w:r>
        <w:rPr>
          <w:rFonts w:hint="eastAsia"/>
          <w:sz w:val="24"/>
          <w:lang w:eastAsia="zh-CN"/>
        </w:rPr>
        <w:t>，”“</w:t>
      </w:r>
      <w:r>
        <w:rPr>
          <w:rFonts w:hint="eastAsia"/>
          <w:sz w:val="24"/>
        </w:rPr>
        <w:t>更有</w:t>
      </w:r>
      <w:r>
        <w:rPr>
          <w:rFonts w:hint="eastAsia"/>
          <w:sz w:val="24"/>
          <w:lang w:val="en-US" w:eastAsia="zh-CN"/>
        </w:rPr>
        <w:t>的</w:t>
      </w:r>
      <w:r>
        <w:rPr>
          <w:rFonts w:hint="eastAsia"/>
          <w:sz w:val="24"/>
        </w:rPr>
        <w:t>党员公然发表反共反社会主义言论</w:t>
      </w:r>
      <w:r>
        <w:rPr>
          <w:rFonts w:hint="eastAsia"/>
          <w:sz w:val="24"/>
          <w:lang w:eastAsia="zh-CN"/>
        </w:rPr>
        <w:t>。”</w:t>
      </w:r>
      <w:r>
        <w:rPr>
          <w:rFonts w:hint="eastAsia"/>
          <w:sz w:val="24"/>
          <w:lang w:val="en-US" w:eastAsia="zh-CN"/>
        </w:rPr>
        <w:t>[23]还有些</w:t>
      </w:r>
      <w:r>
        <w:rPr>
          <w:rFonts w:hint="eastAsia"/>
          <w:sz w:val="24"/>
        </w:rPr>
        <w:t>人</w:t>
      </w:r>
      <w:r>
        <w:rPr>
          <w:rFonts w:hint="eastAsia"/>
          <w:sz w:val="24"/>
          <w:lang w:val="en-US" w:eastAsia="zh-CN"/>
        </w:rPr>
        <w:t>“</w:t>
      </w:r>
      <w:r>
        <w:rPr>
          <w:rFonts w:hint="eastAsia"/>
          <w:sz w:val="24"/>
        </w:rPr>
        <w:t>思想道德素质欠缺，主体意识和反叛意识又强，对问题的看法和评价很难客观科学。</w:t>
      </w:r>
      <w:r>
        <w:rPr>
          <w:rFonts w:hint="eastAsia"/>
          <w:sz w:val="24"/>
          <w:lang w:val="en-US" w:eastAsia="zh-CN"/>
        </w:rPr>
        <w:t>”[24]</w:t>
      </w:r>
      <w:r>
        <w:rPr>
          <w:rFonts w:hint="eastAsia"/>
          <w:sz w:val="24"/>
        </w:rPr>
        <w:t>十八大以来，党中央坚持马克思主义，积极推进国家治理能力和治理体系现代化，正本清源，强化意识形态领导权，建构中国特色社会主义哲学社会科学体系，尤其是以习近平新时代中国特色社会主义思想武装全党。在新时代中国，马克思主义及其中国化理论不仅要坚持进入国民教育体系，而且党员干部应分级别必读马列主义及其中国化理论的经典文献，系统学习习近平新时代中国特色社会主义思想。比如，入党前应必读恩格斯《共产主义原理》、列宁《马克思主义的三个来源和三个组成部分》、毛泽东《为人民服务》《学习张思德》、邓小平《坚持四项基本原则》、《习近平谈治国理政》1-3卷；部级干部应必读《马克思恩格斯文集》1-10卷、《列宁专题文集》1-5卷、《毛泽东选集》1-4卷和《毛泽东文集》1-8卷、《邓小平文选》1-3卷、《江泽民文选》1-3卷、《胡锦涛文集》1-3卷以及习近平所有公开发表的论著和讲话；科级、处级和局级党员干部可选择部级干部必读的部分文献。正如习近平总书记指出:“要加快推进马克思主义学习型政党、学习大国建设，坚持把学习贯彻新时代中国特色社会主义思想作为重中之重。”[2</w:t>
      </w:r>
      <w:r>
        <w:rPr>
          <w:rFonts w:hint="eastAsia"/>
          <w:sz w:val="24"/>
          <w:lang w:val="en-US" w:eastAsia="zh-CN"/>
        </w:rPr>
        <w:t>5</w:t>
      </w:r>
      <w:r>
        <w:rPr>
          <w:rFonts w:hint="eastAsia"/>
          <w:sz w:val="24"/>
        </w:rPr>
        <w:t>]。新时代加强马克思主义学习型政党建设，就必须积极引导广大党员干部全面学习马克思主义理论，特别是深入学习习近平新时代中国特色社会主义思想。用科学理论武装全党，就要把马克思主义基本原理与中国当代实践和时代特征相结合，赋予马克思主义新的时代内涵，让马克思主义的真理为人民群众所掌握。用科学理论武装全党，就要深入开展社会主义发展史、党史、新中国史、改革开放史的学习教育，让党员干部树立正确的历史观、人民观，坚定马克思主义信仰和和共产主义理想。</w:t>
      </w:r>
    </w:p>
    <w:p w14:paraId="600FE7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（二）坚持世界眼光，提高新时代中国共产党治国理政水平</w:t>
      </w:r>
    </w:p>
    <w:p w14:paraId="2060033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建设马克思主义学习型政党的世界眼光就是中国共产党应具备的国际视野，这一视野要求新时代的中国共产党人必须坚定马克思主义立场，以人民利益为中心，准确把握百年未有之大变局，深入研究世界历史发展的规律，以宽广的世界历史看待中华民族伟大复兴，以比较的方法看待中国共产党的百年历史，以世界社会主义500年和中华民族5000年的长镜头审视中国特色社会主义的辉煌业绩和历史地位，站在21世纪人类发展的新时代的高度审视中国特色社会主义发展道路，对中华民族伟大复兴所面临的具有全局性、时代性、战略性的新情况、新问题作出马克思主义的科学分析和正确的回答。马克思主义的宽广视野，是世界历史发展进步的产物，中国共产党的发展历程是勇于学习和善于学习世界优秀文化成果的光辉历程。推进新时代马克思主义学习型政党建设，21世纪的中国共产党要有科学的世界眼光，要胸怀世界，放眼全球。既要运用马克思主义的理论武器敏锐地把握民族复兴的时代特征和历史契机，对当今的时代性问题和战略性方向，要立足于发展中国特色社会主义的目的，科学回答和正确应对，并经得起历史检验。与此同时，又必须秉持世界眼光，古为今用，洋为中用，批判地继承人类一切有益的优秀成果，如饥似渴地学习各国有益发展经验，为发展马克思主义累积时代营养和国际元素。只有始终立足中国实际，根植中国立场，坚持道路自信、制度自信、理论自信、文化自信，并以宽广的眼界，开放的心态，汲取国际经验，为我所用，增强中国特色社会主义的发展能力，并不断升华中国道路的实践经验，为发展中国家的发展提供有别于西方资本主义掠夺性发展模式的中国方案。具有世界眼光的中国共产党，就必须自觉了解国外特别是资本主义发达国家发展的最新状况，以开放包容的心态批判地吸收利用世界发达国家长期积累的文明成果，提高我们党治国理政的能力和水平。中国共产党始终为顺应时代发展潮流和完成党的历史使命而坚持不懈地以宽广的世界胸怀汲取力量，这是我们党历经磨难而始终走在时代前列的根本前提。</w:t>
      </w:r>
    </w:p>
    <w:p w14:paraId="497BCE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（三）善于把握规律，立足新时代中国特色社会主义的应然实践</w:t>
      </w:r>
    </w:p>
    <w:p w14:paraId="2A01AF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规律是事物发展过程中的本质联系和必然趋势。尊重规律，把握规律，按规律办事，这是我们党从革命、建设和改革实践中得出的一条基本经验。人类社会的发展具有内在规律，毛泽东思想的形成就是中国共产党认识和把握中国新民主主义革命规律和社会主义革命和建设规律的经验总结。中国特色社会主义思想思想体系是中国共产党对改革开放以来中国特色社会主义建设规律的认知和把握的理论成果。面对新时代的新世情、新国情、新党情，习近平总书记立足新时代中国特色社会主义现实，科学把握时代脉搏，正确应对各种挑战，形成了习近平新时代中国特色社会主义思想。首先，把握规律，要立足于新时代中华民族伟大复兴的新国情，着眼于在全面实现小康社会以后，依据社会发展历史规律，积极推进马克思主义学习型政党建设。“我国社会历史的发展经历了五个大的阶段，这五个大的阶段是原始社会时期、奴隶社会时期、封建社会时期、半殖民地半封建社会时期和社会主义社会时期。”。[2</w:t>
      </w:r>
      <w:r>
        <w:rPr>
          <w:rFonts w:hint="eastAsia"/>
          <w:sz w:val="24"/>
          <w:lang w:val="en-US" w:eastAsia="zh-CN"/>
        </w:rPr>
        <w:t>6</w:t>
      </w:r>
      <w:r>
        <w:rPr>
          <w:rFonts w:hint="eastAsia"/>
          <w:sz w:val="24"/>
        </w:rPr>
        <w:t>]我们要在全面了解中国发展历史的基础上认清中国特色社会主义演进规律和体制机制，把马克思主义学习型政党建设不断推进。其次，把握规律，要立足今天的新世情，着眼于百年未有大变局，加强马克思主义学习型政党建设，就要积极推进“一带一路”建设，让广大发展中国家搭上中国改革开放和经济发展的快车，为世界发展做出中国贡献。要“顺应各国人民的共同愿望，吸取他们的智慧与力量，按照共商、共建、共享的全球治理观和国际民主原则”[2</w:t>
      </w:r>
      <w:r>
        <w:rPr>
          <w:rFonts w:hint="eastAsia"/>
          <w:sz w:val="24"/>
          <w:lang w:val="en-US" w:eastAsia="zh-CN"/>
        </w:rPr>
        <w:t>7</w:t>
      </w:r>
      <w:r>
        <w:rPr>
          <w:rFonts w:hint="eastAsia"/>
          <w:sz w:val="24"/>
        </w:rPr>
        <w:t>]，积极建构人类命运共同体，为国际治理提供中国方案，为世界学习型政党建设提供中国模式。应有计划地选派干部到国外学习考察，重点听取外国马克思主义学者对世情的科学研判，以便不被西方资本主义的主流舆论和主流学术所误导。再次，把握规律，要立足今天的新党情。中国特色社会主义最本质的特征是中国共产党领导。新时代新党情，中国共产党正在进行具有许多新的历史特点的伟大斗争，亟待进行全面深化改革，全面从严治党。尤其是全面从严治党实现了主体、客体、内容由窄视角到全视域的覆盖，开创了新时代马克思主义学习型政党建设新局面。加强党的建设就必须加强党性锻炼，使我党在各种挑战和考验中永远立于不败之地。</w:t>
      </w:r>
    </w:p>
    <w:p w14:paraId="14BD43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（四）富有创新精神，不断开辟马克思主义理论发展新境界</w:t>
      </w:r>
    </w:p>
    <w:p w14:paraId="4C04A0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的生命力就在于在实践中不断创新。新时代的中国共产党要以马克思主义理论创新的巨大勇气，不断总结百年未有大变局下中国特色社会主义现代化建设的实践经验，认真分析研究新时代中国特色社会主义建设的新起点、新发展、新要求、新挑战，在思想理论上不断作出新总结和新概括，不断形成新的认识成果。要顺应改革发展和现代化建设的时代潮流，认真研究和解决好前进中面临的突出问题，以开放自信的精神和推陈出新的能力促进自身思想理论的变革和发展，在相互交流和比较借鉴的基础上，着眼于全球政治、经济和整个社会发展基本走向，提出符合时代要求和具有前瞻性、战略性的发展战略，不断开辟思想理论创新的视野和境界。首先，富有创新精神，要创新学习。要在学习马克思主义经典理论的基础上，结合新时代中国特色社会主义实践，不断发展马克思主义。使马克思主义不断汲取时代元素和实践经验，焕发勃勃生机。在继承中创新，在创新中发展，这是马克思主义学习型政党必不可缺的两翼。其次，富有创新精神，要深度学习。不但向书本学习，更为重要的是要向人民学习、向世界学习，向自己的历史经验学习，要讲究学习的正确方法。习近平高度赞扬陈云提炼出“不唯上、不唯书、只唯实，交换、比较、反复”“十五字诀”[2</w:t>
      </w:r>
      <w:r>
        <w:rPr>
          <w:rFonts w:hint="eastAsia"/>
          <w:sz w:val="24"/>
          <w:lang w:val="en-US" w:eastAsia="zh-CN"/>
        </w:rPr>
        <w:t>8</w:t>
      </w:r>
      <w:r>
        <w:rPr>
          <w:rFonts w:hint="eastAsia"/>
          <w:sz w:val="24"/>
        </w:rPr>
        <w:t>]的学习方法。这十五个字，既有唯物论，又有辩证法，是唯物辩证法的内在统一。再次，富有创新精神，要在干中学习。学习的目的是运用，要在本职工作的岗位上做到学习生活化和生活学习化的统一。新时代加强中国马克思主义学习型政党建设，必须运用马克思主义立场观点方法，研究中国特色社会主义建设的新情况、新问题，大力推进中国特色社会主义建设，用不断创新的马克思主义武装全党，指导实践。</w:t>
      </w:r>
    </w:p>
    <w:p w14:paraId="42544E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之，任何自然科学和社会科学的主要理论均为个别人或极少数人发现和阐述，绝大多数人通过学习来掌握，马克思主义及其发展也是遵循这一规律的。“在创发主体层面来界定，马克思主义是由马克思和恩格斯开创并由后继者日益发展完善的理论体系。”[2</w:t>
      </w:r>
      <w:r>
        <w:rPr>
          <w:rFonts w:hint="eastAsia"/>
          <w:sz w:val="24"/>
          <w:lang w:val="en-US" w:eastAsia="zh-CN"/>
        </w:rPr>
        <w:t>9</w:t>
      </w:r>
      <w:r>
        <w:rPr>
          <w:rFonts w:hint="eastAsia"/>
          <w:sz w:val="24"/>
        </w:rPr>
        <w:t>]无产阶级政党是通过学习马克思主义而建立和发展的，因而学习是中国共产党固有的本质特征。中国共产党是善于学习的马克思主义政党，学习型政党是无产阶级先进政党的标志，是中国共产党与任何其他政党相区别的显著标志，担负民族复兴伟大梦想的中国共产党，将会以海纳百川的胸怀屹立于世界。</w:t>
      </w:r>
    </w:p>
    <w:p w14:paraId="66D683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[参考文献]</w:t>
      </w:r>
    </w:p>
    <w:p w14:paraId="14FB43D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rPr>
        <w:t>]《毛泽东选集》第1卷，北京：人民出版社，1991年，第111-112页。</w:t>
      </w:r>
    </w:p>
    <w:p w14:paraId="56445E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rPr>
        <w:t>]《毛泽东选集》第2卷，北京：人民出版社，1991年，第533页。</w:t>
      </w:r>
    </w:p>
    <w:p w14:paraId="6403B2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[3</w:t>
      </w:r>
      <w:r>
        <w:rPr>
          <w:rFonts w:hint="eastAsia"/>
          <w:sz w:val="24"/>
        </w:rPr>
        <w:t>]《毛泽东选集》第4卷，北京：人民出版社，1991年，第1427-1428页。</w:t>
      </w:r>
    </w:p>
    <w:p w14:paraId="6BFBF2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[4</w:t>
      </w:r>
      <w:r>
        <w:rPr>
          <w:rFonts w:hint="eastAsia"/>
          <w:sz w:val="24"/>
        </w:rPr>
        <w:t>]这五本书是：《共产党宣言》《社会主义从空想到科学的发展》《在民主革命中社会民主党的两个策略》（后译为《社会民主党在民主革命中的两种策略》）《共产主义运动中的“左派”幼稚病》《联共布党史简明教程》。12本书目新增的书为:《国家与革命》、《帝国主义是资本主义的最高阶段》、《论列宁主义基础》、《列宁斯大林论中国》、《列宁斯大林论社会主义建设》、《马恩列斯思想方法论》、《社会发展史》、《政治经济学》(列昂节夫著)。新增加的旨在为建设新中国作准备。</w:t>
      </w:r>
    </w:p>
    <w:p w14:paraId="34B0EE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[5</w:t>
      </w:r>
      <w:r>
        <w:rPr>
          <w:rFonts w:hint="eastAsia"/>
          <w:sz w:val="24"/>
        </w:rPr>
        <w:t>]《毛泽东选集》第4卷，北京：人民出版社，1991年，第1480-1481页。</w:t>
      </w:r>
    </w:p>
    <w:p w14:paraId="13C2AD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[6</w:t>
      </w:r>
      <w:r>
        <w:rPr>
          <w:rFonts w:hint="eastAsia"/>
          <w:sz w:val="24"/>
        </w:rPr>
        <w:t>]《建国以来毛泽东文稿》第5册，北京：中央文献出版，1991年，第71-72页。</w:t>
      </w:r>
    </w:p>
    <w:p w14:paraId="5284916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[7</w:t>
      </w:r>
      <w:r>
        <w:rPr>
          <w:rFonts w:hint="eastAsia"/>
          <w:sz w:val="24"/>
        </w:rPr>
        <w:t>]《毛泽东文集》第7卷，北京：人民出版社，1999年，第41、42页。</w:t>
      </w:r>
    </w:p>
    <w:p w14:paraId="0830D9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[8</w:t>
      </w:r>
      <w:r>
        <w:rPr>
          <w:rFonts w:hint="eastAsia"/>
          <w:sz w:val="24"/>
        </w:rPr>
        <w:t>]《邓小平文选》第2卷，北京：人民出版社，1994年，第152-153页</w:t>
      </w:r>
    </w:p>
    <w:p w14:paraId="69E549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[9</w:t>
      </w:r>
      <w:r>
        <w:rPr>
          <w:rFonts w:hint="eastAsia"/>
          <w:sz w:val="24"/>
        </w:rPr>
        <w:t>]《邓小平文选》第3卷，北京：人民出版社，1993年，第373页。</w:t>
      </w:r>
    </w:p>
    <w:p w14:paraId="580E46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rPr>
        <w:t>0]江泽民：《论党的建设》，北京：中央文献出版社，2001年，第11页。</w:t>
      </w:r>
    </w:p>
    <w:p w14:paraId="38A8B0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1</w:t>
      </w:r>
      <w:r>
        <w:rPr>
          <w:rFonts w:hint="eastAsia"/>
          <w:sz w:val="24"/>
        </w:rPr>
        <w:t>]《十七大以来重要文献选编》（中），北京：中央文献出版社，2011年，第638页。</w:t>
      </w:r>
    </w:p>
    <w:p w14:paraId="5719E0C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2</w:t>
      </w:r>
      <w:r>
        <w:rPr>
          <w:rFonts w:hint="eastAsia"/>
          <w:sz w:val="24"/>
        </w:rPr>
        <w:t>]习近平：《在中央党校建校80周年庆祝大会暨2013年春季学期开学典礼上的讲话》，北京：人民出版社，2013年，第7页。</w:t>
      </w:r>
    </w:p>
    <w:p w14:paraId="7B00B3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3</w:t>
      </w:r>
      <w:r>
        <w:rPr>
          <w:rFonts w:hint="eastAsia"/>
          <w:sz w:val="24"/>
        </w:rPr>
        <w:t>]习近平：《决胜全面建成小康社会 夺取新时代中国特色社会主义伟大胜利》，北京：人民出版社，2017年，第68页。</w:t>
      </w:r>
    </w:p>
    <w:p w14:paraId="357806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4</w:t>
      </w:r>
      <w:r>
        <w:rPr>
          <w:rFonts w:hint="eastAsia"/>
          <w:sz w:val="24"/>
        </w:rPr>
        <w:t>]习近平：《在纪念马克思诞辰200周年大会上的讲话》，北京：人民出版社，2018年，第26页。</w:t>
      </w:r>
    </w:p>
    <w:p w14:paraId="52C8DB1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5</w:t>
      </w:r>
      <w:r>
        <w:rPr>
          <w:rFonts w:hint="eastAsia"/>
          <w:sz w:val="24"/>
        </w:rPr>
        <w:t>]习近平：《在中央党校（国家行政学院）中青年干部培训班开班式上发表重要讲话》，《人民日报》2019年3月2日，第1版。</w:t>
      </w:r>
    </w:p>
    <w:p w14:paraId="440CEA6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6</w:t>
      </w:r>
      <w:r>
        <w:rPr>
          <w:rFonts w:hint="eastAsia"/>
          <w:sz w:val="24"/>
        </w:rPr>
        <w:t>]习近平：《在中央党校建校80周年庆祝大会暨2013年春季学期开学典礼上的讲话》，《人民日报》2013年3月3日，第1版。</w:t>
      </w:r>
    </w:p>
    <w:p w14:paraId="2660E6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[1</w:t>
      </w:r>
      <w:r>
        <w:rPr>
          <w:rFonts w:hint="eastAsia"/>
          <w:sz w:val="24"/>
          <w:lang w:val="en-US" w:eastAsia="zh-CN"/>
        </w:rPr>
        <w:t>7</w:t>
      </w:r>
      <w:r>
        <w:rPr>
          <w:rFonts w:hint="eastAsia"/>
          <w:sz w:val="24"/>
        </w:rPr>
        <w:t>]习近平：《在对历史的深入思考中更好走向未来 交出发展中国特色社会主义合格答卷》，《人民日报》2013年6月27日，第1版。</w:t>
      </w:r>
    </w:p>
    <w:p w14:paraId="40087BD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w:t>
      </w:r>
      <w:r>
        <w:rPr>
          <w:rFonts w:hint="eastAsia"/>
          <w:sz w:val="24"/>
          <w:lang w:val="en-US" w:eastAsia="zh-CN"/>
        </w:rPr>
        <w:t>18</w:t>
      </w:r>
      <w:r>
        <w:rPr>
          <w:rFonts w:hint="eastAsia"/>
          <w:sz w:val="24"/>
        </w:rPr>
        <w:t>]习近平：《在中央党校建校80周年庆祝大会暨2013年春季学期开学典礼上的讲话》，《人民日报》2013年3月3日，第1版。</w:t>
      </w:r>
    </w:p>
    <w:p w14:paraId="3234D7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Style w:val="18"/>
          <w:rFonts w:hint="eastAsia" w:ascii="宋体" w:hAnsi="宋体" w:eastAsia="宋体" w:cs="宋体"/>
          <w:color w:val="0C0C0C"/>
          <w:sz w:val="24"/>
          <w:szCs w:val="21"/>
          <w:vertAlign w:val="baseline"/>
        </w:rPr>
        <w:t>[</w:t>
      </w:r>
      <w:r>
        <w:rPr>
          <w:rFonts w:hint="eastAsia"/>
          <w:sz w:val="24"/>
          <w:lang w:val="en-US" w:eastAsia="zh-CN"/>
        </w:rPr>
        <w:t>19</w:t>
      </w:r>
      <w:r>
        <w:rPr>
          <w:rFonts w:hint="eastAsia"/>
          <w:sz w:val="24"/>
        </w:rPr>
        <w:t>]龚云：《正确处理改革开放前后两个历史时期关系》，《海派经济学</w:t>
      </w:r>
      <w:r>
        <w:rPr>
          <w:rFonts w:hint="eastAsia"/>
          <w:sz w:val="24"/>
          <w:lang w:eastAsia="zh-CN"/>
        </w:rPr>
        <w:t>》</w:t>
      </w:r>
      <w:r>
        <w:rPr>
          <w:rFonts w:hint="eastAsia"/>
          <w:sz w:val="24"/>
        </w:rPr>
        <w:t>2021</w:t>
      </w:r>
      <w:r>
        <w:rPr>
          <w:rFonts w:hint="eastAsia"/>
          <w:sz w:val="24"/>
          <w:lang w:val="en-US" w:eastAsia="zh-CN"/>
        </w:rPr>
        <w:t>年第</w:t>
      </w:r>
      <w:r>
        <w:rPr>
          <w:rFonts w:hint="eastAsia"/>
          <w:sz w:val="24"/>
        </w:rPr>
        <w:t>1</w:t>
      </w:r>
      <w:r>
        <w:rPr>
          <w:rFonts w:hint="eastAsia"/>
          <w:sz w:val="24"/>
          <w:lang w:val="en-US" w:eastAsia="zh-CN"/>
        </w:rPr>
        <w:t>期。</w:t>
      </w:r>
    </w:p>
    <w:p w14:paraId="638E17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w:t>
      </w:r>
      <w:r>
        <w:rPr>
          <w:rFonts w:hint="eastAsia"/>
          <w:sz w:val="24"/>
          <w:lang w:val="en-US" w:eastAsia="zh-CN"/>
        </w:rPr>
        <w:t>20</w:t>
      </w:r>
      <w:r>
        <w:rPr>
          <w:rFonts w:hint="eastAsia"/>
          <w:sz w:val="24"/>
        </w:rPr>
        <w:t>]毛泽东选集（第1卷），北京：人民出版社，1991年，第181页。</w:t>
      </w:r>
    </w:p>
    <w:p w14:paraId="7D88447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lang w:val="en-US" w:eastAsia="zh-CN"/>
        </w:rPr>
        <w:t>1</w:t>
      </w:r>
      <w:r>
        <w:rPr>
          <w:rFonts w:hint="eastAsia"/>
          <w:sz w:val="24"/>
        </w:rPr>
        <w:t>]习近平：《在中央党校建校80周年庆祝大会暨2013年春季学期开学典礼上的讲话》，《人民日报》2013年3月3日，第1版。</w:t>
      </w:r>
    </w:p>
    <w:p w14:paraId="1795BB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w:t>
      </w:r>
      <w:r>
        <w:rPr>
          <w:rFonts w:hint="eastAsia"/>
          <w:sz w:val="24"/>
        </w:rPr>
        <w:t>2</w:t>
      </w:r>
      <w:r>
        <w:rPr>
          <w:rFonts w:hint="eastAsia"/>
          <w:sz w:val="24"/>
          <w:lang w:val="en-US" w:eastAsia="zh-CN"/>
        </w:rPr>
        <w:t>2</w:t>
      </w:r>
      <w:r>
        <w:rPr>
          <w:rFonts w:hint="eastAsia"/>
          <w:sz w:val="24"/>
        </w:rPr>
        <w:t>]邓小平文选（第3卷），北京：人民出版社，1993年，第324页。</w:t>
      </w:r>
    </w:p>
    <w:p w14:paraId="5E30D7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Style w:val="18"/>
          <w:rFonts w:hint="eastAsia" w:ascii="宋体" w:hAnsi="宋体" w:eastAsia="宋体" w:cs="宋体"/>
          <w:color w:val="0C0C0C"/>
          <w:sz w:val="24"/>
          <w:szCs w:val="21"/>
          <w:vertAlign w:val="baseline"/>
        </w:rPr>
        <w:t>[</w:t>
      </w:r>
      <w:r>
        <w:rPr>
          <w:rFonts w:hint="eastAsia"/>
          <w:sz w:val="24"/>
          <w:lang w:val="en-US" w:eastAsia="zh-CN"/>
        </w:rPr>
        <w:t>23</w:t>
      </w:r>
      <w:r>
        <w:rPr>
          <w:rFonts w:hint="eastAsia"/>
          <w:sz w:val="24"/>
        </w:rPr>
        <w:t>]朱继东：《新时代旗帜鲜明讲政治的深刻内涵、紧迫性和科学路径》，《海派经济学</w:t>
      </w:r>
      <w:r>
        <w:rPr>
          <w:rFonts w:hint="eastAsia"/>
          <w:sz w:val="24"/>
          <w:lang w:eastAsia="zh-CN"/>
        </w:rPr>
        <w:t>》</w:t>
      </w:r>
      <w:r>
        <w:rPr>
          <w:rFonts w:hint="eastAsia"/>
          <w:sz w:val="24"/>
        </w:rPr>
        <w:t>2021</w:t>
      </w:r>
      <w:r>
        <w:rPr>
          <w:rFonts w:hint="eastAsia"/>
          <w:sz w:val="24"/>
          <w:lang w:val="en-US" w:eastAsia="zh-CN"/>
        </w:rPr>
        <w:t>年第</w:t>
      </w:r>
      <w:r>
        <w:rPr>
          <w:rFonts w:hint="eastAsia"/>
          <w:sz w:val="24"/>
        </w:rPr>
        <w:t>1</w:t>
      </w:r>
      <w:r>
        <w:rPr>
          <w:rFonts w:hint="eastAsia"/>
          <w:sz w:val="24"/>
          <w:lang w:val="en-US" w:eastAsia="zh-CN"/>
        </w:rPr>
        <w:t>期。</w:t>
      </w:r>
    </w:p>
    <w:p w14:paraId="58F649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Style w:val="18"/>
          <w:rFonts w:hint="eastAsia" w:ascii="宋体" w:hAnsi="宋体" w:eastAsia="宋体" w:cs="宋体"/>
          <w:color w:val="0C0C0C"/>
          <w:sz w:val="24"/>
          <w:szCs w:val="21"/>
          <w:vertAlign w:val="baseline"/>
        </w:rPr>
        <w:t>[</w:t>
      </w:r>
      <w:r>
        <w:rPr>
          <w:rFonts w:hint="eastAsia"/>
          <w:sz w:val="24"/>
          <w:lang w:val="en-US" w:eastAsia="zh-CN"/>
        </w:rPr>
        <w:t>24</w:t>
      </w:r>
      <w:r>
        <w:rPr>
          <w:rFonts w:hint="eastAsia"/>
          <w:sz w:val="24"/>
        </w:rPr>
        <w:t>]葛聪</w:t>
      </w:r>
      <w:r>
        <w:rPr>
          <w:rFonts w:hint="eastAsia"/>
          <w:sz w:val="24"/>
          <w:lang w:eastAsia="zh-CN"/>
        </w:rPr>
        <w:t>，</w:t>
      </w:r>
      <w:r>
        <w:rPr>
          <w:rFonts w:hint="eastAsia"/>
          <w:sz w:val="24"/>
          <w:lang w:val="en-US" w:eastAsia="zh-CN"/>
        </w:rPr>
        <w:t>赵姗</w:t>
      </w:r>
      <w:r>
        <w:rPr>
          <w:rFonts w:hint="eastAsia"/>
          <w:sz w:val="24"/>
        </w:rPr>
        <w:t>：《互联网舆论场视阈下主流意识形态话语权建设研究》，《海派经济学</w:t>
      </w:r>
      <w:r>
        <w:rPr>
          <w:rFonts w:hint="eastAsia"/>
          <w:sz w:val="24"/>
          <w:lang w:eastAsia="zh-CN"/>
        </w:rPr>
        <w:t>》</w:t>
      </w:r>
      <w:r>
        <w:rPr>
          <w:rFonts w:hint="eastAsia"/>
          <w:sz w:val="24"/>
        </w:rPr>
        <w:t>2021</w:t>
      </w:r>
      <w:r>
        <w:rPr>
          <w:rFonts w:hint="eastAsia"/>
          <w:sz w:val="24"/>
          <w:lang w:val="en-US" w:eastAsia="zh-CN"/>
        </w:rPr>
        <w:t>年第</w:t>
      </w:r>
      <w:r>
        <w:rPr>
          <w:rFonts w:hint="eastAsia"/>
          <w:sz w:val="24"/>
        </w:rPr>
        <w:t>1</w:t>
      </w:r>
      <w:r>
        <w:rPr>
          <w:rFonts w:hint="eastAsia"/>
          <w:sz w:val="24"/>
          <w:lang w:val="en-US" w:eastAsia="zh-CN"/>
        </w:rPr>
        <w:t>期。</w:t>
      </w:r>
    </w:p>
    <w:p w14:paraId="4D6DC6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lang w:val="en-US" w:eastAsia="zh-CN"/>
        </w:rPr>
        <w:t>5</w:t>
      </w:r>
      <w:r>
        <w:rPr>
          <w:rFonts w:hint="eastAsia"/>
          <w:sz w:val="24"/>
        </w:rPr>
        <w:t>]习近平：《为第五批全国干部学习培训教材作序》，《人民日报》2019年3月1日，第1版。</w:t>
      </w:r>
    </w:p>
    <w:p w14:paraId="12CBE8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lang w:val="en-US" w:eastAsia="zh-CN"/>
        </w:rPr>
        <w:t>6</w:t>
      </w:r>
      <w:r>
        <w:rPr>
          <w:rFonts w:hint="eastAsia"/>
          <w:sz w:val="24"/>
        </w:rPr>
        <w:t>]张顺洪、甄小东：《马克思主义“五形态说”是符合历史实际的——兼评王伟光主编，&lt;中国社会形态史纲&gt;》，《政治经济学研究》2021年第2期。</w:t>
      </w:r>
    </w:p>
    <w:p w14:paraId="1235EB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lang w:val="en-US" w:eastAsia="zh-CN"/>
        </w:rPr>
        <w:t>7</w:t>
      </w:r>
      <w:r>
        <w:rPr>
          <w:rFonts w:hint="eastAsia"/>
          <w:sz w:val="24"/>
        </w:rPr>
        <w:t>]王岩：《人类文明的历史走向——访国际儒学联合会第五届会长滕文生》，《马克思主义文化研究》，2021年第1期。</w:t>
      </w:r>
    </w:p>
    <w:p w14:paraId="5F7B27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lang w:val="en-US" w:eastAsia="zh-CN"/>
        </w:rPr>
        <w:t>8</w:t>
      </w:r>
      <w:r>
        <w:rPr>
          <w:rFonts w:hint="eastAsia"/>
          <w:sz w:val="24"/>
        </w:rPr>
        <w:t>]《陈云文选》第3卷，北京：人民出版社，1995年，第371、372页。</w:t>
      </w:r>
    </w:p>
    <w:p w14:paraId="121DC6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18"/>
          <w:rFonts w:hint="eastAsia" w:ascii="宋体" w:hAnsi="宋体" w:eastAsia="宋体" w:cs="宋体"/>
          <w:color w:val="0C0C0C"/>
          <w:sz w:val="24"/>
          <w:szCs w:val="21"/>
          <w:vertAlign w:val="baseline"/>
        </w:rPr>
        <w:t>[2</w:t>
      </w:r>
      <w:r>
        <w:rPr>
          <w:rFonts w:hint="eastAsia"/>
          <w:sz w:val="24"/>
          <w:lang w:val="en-US" w:eastAsia="zh-CN"/>
        </w:rPr>
        <w:t>9</w:t>
      </w:r>
      <w:r>
        <w:rPr>
          <w:rFonts w:hint="eastAsia"/>
          <w:sz w:val="24"/>
        </w:rPr>
        <w:t>]程恩富：《在学术生涯中形成十大马克思主义观》，《毛泽东邓小平理论研究》2020年第5期。</w:t>
      </w:r>
    </w:p>
    <w:p w14:paraId="4ED3637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（原载《山东社会科学》2022年第1期，第一作者为张国献。）</w:t>
      </w:r>
    </w:p>
    <w:p w14:paraId="0290CBD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0BB911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构建人类命运共同体、人类共同价值观与</w:t>
      </w:r>
      <w:r>
        <w:rPr>
          <w:rFonts w:hint="eastAsia"/>
          <w:sz w:val="24"/>
        </w:rPr>
        <w:t>马克思主义的新国际主义</w:t>
      </w:r>
    </w:p>
    <w:p w14:paraId="61071FC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4D89E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程恩富 戴圣鹏</w:t>
      </w:r>
    </w:p>
    <w:p w14:paraId="4284ED5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CE755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我国《宪法》规定：“</w:t>
      </w:r>
      <w:r>
        <w:rPr>
          <w:rFonts w:hint="eastAsia"/>
          <w:sz w:val="24"/>
        </w:rPr>
        <w:t>坚持互利共赢开放战略，发展同各国的外交关系和经济、文化交流，推动构建人类命运共同体;坚持反对帝国主义、霸权主义、殖民主义，加强同世界各国人民的团结，支持被压迫民族和发展中国家争取和维护民族独立、发展民族经济的正义斗争，为维护世界和平和促进人类进步事业而努力。</w:t>
      </w:r>
      <w:r>
        <w:rPr>
          <w:rFonts w:hint="eastAsia"/>
          <w:sz w:val="24"/>
          <w:lang w:val="en-US" w:eastAsia="zh-CN"/>
        </w:rPr>
        <w:t>”“</w:t>
      </w:r>
      <w:r>
        <w:rPr>
          <w:rFonts w:hint="eastAsia"/>
          <w:sz w:val="24"/>
        </w:rPr>
        <w:t>在人民中进行爱国主义、集体主义和国际主义、共产主义的教育</w:t>
      </w:r>
      <w:r>
        <w:rPr>
          <w:rFonts w:hint="eastAsia"/>
          <w:sz w:val="24"/>
          <w:lang w:val="en-US" w:eastAsia="zh-CN"/>
        </w:rPr>
        <w:t>”。这就涉及到“国际主义”。原来人们对国际主义</w:t>
      </w:r>
      <w:r>
        <w:rPr>
          <w:rFonts w:hint="eastAsia"/>
          <w:sz w:val="24"/>
        </w:rPr>
        <w:t>一般认识</w:t>
      </w:r>
      <w:r>
        <w:rPr>
          <w:rFonts w:hint="eastAsia"/>
          <w:sz w:val="24"/>
          <w:lang w:val="en-US" w:eastAsia="zh-CN"/>
        </w:rPr>
        <w:t>是这样的</w:t>
      </w:r>
      <w:r>
        <w:rPr>
          <w:rFonts w:hint="eastAsia"/>
          <w:sz w:val="24"/>
        </w:rPr>
        <w:t>：“国际主义是指各国无产阶级在反对剥削制度，争取自身解放斗争中，在政治、经济、道义等方面相互支持，相互援助，坚持国际团结的思想和政治原则。”但随着世界共产主义运动遭受巨大挫败，国际主义的价值与内涵也在发生重大变化。</w:t>
      </w:r>
      <w:r>
        <w:rPr>
          <w:rFonts w:hint="eastAsia"/>
          <w:sz w:val="24"/>
          <w:lang w:val="en-US" w:eastAsia="zh-CN"/>
        </w:rPr>
        <w:t>国内外</w:t>
      </w:r>
      <w:r>
        <w:rPr>
          <w:rFonts w:hint="eastAsia"/>
          <w:sz w:val="24"/>
        </w:rPr>
        <w:t>有</w:t>
      </w:r>
      <w:r>
        <w:rPr>
          <w:rFonts w:hint="eastAsia"/>
          <w:sz w:val="24"/>
          <w:lang w:val="en-US" w:eastAsia="zh-CN"/>
        </w:rPr>
        <w:t>论著</w:t>
      </w:r>
      <w:r>
        <w:rPr>
          <w:rFonts w:hint="eastAsia"/>
          <w:sz w:val="24"/>
        </w:rPr>
        <w:t>把其当作过时的无用的价值观念来看待，</w:t>
      </w:r>
      <w:r>
        <w:rPr>
          <w:rFonts w:hint="eastAsia"/>
          <w:sz w:val="24"/>
          <w:lang w:val="en-US" w:eastAsia="zh-CN"/>
        </w:rPr>
        <w:t>也有论著</w:t>
      </w:r>
      <w:r>
        <w:rPr>
          <w:rFonts w:hint="eastAsia"/>
          <w:sz w:val="24"/>
        </w:rPr>
        <w:t>对其内容进行改造或填充新的内容，</w:t>
      </w:r>
      <w:r>
        <w:rPr>
          <w:rFonts w:hint="eastAsia"/>
          <w:sz w:val="24"/>
          <w:lang w:val="en-US" w:eastAsia="zh-CN"/>
        </w:rPr>
        <w:t>这表明“新国际主义”对于当前学术研究、外交部和中联部工作，均具有重要的理论和现实意义</w:t>
      </w:r>
      <w:r>
        <w:rPr>
          <w:rFonts w:hint="eastAsia"/>
          <w:sz w:val="24"/>
        </w:rPr>
        <w:t>。</w:t>
      </w:r>
    </w:p>
    <w:p w14:paraId="6D48CD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一、新国际主义的形态与理论本性</w:t>
      </w:r>
    </w:p>
    <w:p w14:paraId="416440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在关于新国际主义的认知与把握中，有三种不同的新国际主义理论，即</w:t>
      </w:r>
      <w:r>
        <w:rPr>
          <w:rFonts w:hint="eastAsia"/>
          <w:sz w:val="24"/>
          <w:lang w:val="en-US" w:eastAsia="zh-CN"/>
        </w:rPr>
        <w:t>西方</w:t>
      </w:r>
      <w:r>
        <w:rPr>
          <w:rFonts w:hint="eastAsia"/>
          <w:sz w:val="24"/>
        </w:rPr>
        <w:t>的新国际主义、</w:t>
      </w:r>
      <w:r>
        <w:rPr>
          <w:rFonts w:hint="eastAsia"/>
          <w:sz w:val="24"/>
          <w:lang w:val="en-US" w:eastAsia="zh-CN"/>
        </w:rPr>
        <w:t>折中主义</w:t>
      </w:r>
      <w:r>
        <w:rPr>
          <w:rFonts w:hint="eastAsia"/>
          <w:sz w:val="24"/>
        </w:rPr>
        <w:t>的</w:t>
      </w:r>
      <w:r>
        <w:rPr>
          <w:rFonts w:hint="eastAsia"/>
          <w:sz w:val="24"/>
          <w:lang w:val="en-US" w:eastAsia="zh-CN"/>
        </w:rPr>
        <w:t>新</w:t>
      </w:r>
      <w:r>
        <w:rPr>
          <w:rFonts w:hint="eastAsia"/>
          <w:sz w:val="24"/>
        </w:rPr>
        <w:t>国际主义与马克思主义的新国际主义。</w:t>
      </w:r>
    </w:p>
    <w:p w14:paraId="6F928E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一种是西方国家宣扬</w:t>
      </w:r>
      <w:r>
        <w:rPr>
          <w:rFonts w:hint="eastAsia"/>
          <w:sz w:val="24"/>
        </w:rPr>
        <w:t>的新国际主义，是为了维护</w:t>
      </w:r>
      <w:r>
        <w:rPr>
          <w:rFonts w:hint="eastAsia"/>
          <w:sz w:val="24"/>
          <w:lang w:val="en-US" w:eastAsia="zh-CN"/>
        </w:rPr>
        <w:t>垄断</w:t>
      </w:r>
      <w:r>
        <w:rPr>
          <w:rFonts w:hint="eastAsia"/>
          <w:sz w:val="24"/>
        </w:rPr>
        <w:t>资产阶级的利益或资本主义国家的利益而提出的一种</w:t>
      </w:r>
      <w:r>
        <w:rPr>
          <w:rFonts w:hint="eastAsia"/>
          <w:sz w:val="24"/>
          <w:lang w:val="en-US" w:eastAsia="zh-CN"/>
        </w:rPr>
        <w:t>理论，</w:t>
      </w:r>
      <w:r>
        <w:rPr>
          <w:rFonts w:hint="eastAsia"/>
          <w:sz w:val="24"/>
        </w:rPr>
        <w:t>在本性与本质上与马克思主义的国际主义</w:t>
      </w:r>
      <w:r>
        <w:rPr>
          <w:rFonts w:hint="eastAsia"/>
          <w:sz w:val="24"/>
          <w:lang w:val="en-US" w:eastAsia="zh-CN"/>
        </w:rPr>
        <w:t>完全</w:t>
      </w:r>
      <w:r>
        <w:rPr>
          <w:rFonts w:hint="eastAsia"/>
          <w:sz w:val="24"/>
        </w:rPr>
        <w:t>不同。其基本观点是打着维护世界和平与自由民主的旗号</w:t>
      </w:r>
      <w:r>
        <w:rPr>
          <w:rFonts w:hint="eastAsia"/>
          <w:sz w:val="24"/>
          <w:lang w:eastAsia="zh-CN"/>
        </w:rPr>
        <w:t>，</w:t>
      </w:r>
      <w:r>
        <w:rPr>
          <w:rFonts w:hint="eastAsia"/>
          <w:sz w:val="24"/>
        </w:rPr>
        <w:t>践行与倡导有利于维护资本主义统治与世界</w:t>
      </w:r>
      <w:r>
        <w:rPr>
          <w:rFonts w:hint="eastAsia"/>
          <w:sz w:val="24"/>
          <w:lang w:val="en-US" w:eastAsia="zh-CN"/>
        </w:rPr>
        <w:t>垄断资产</w:t>
      </w:r>
      <w:r>
        <w:rPr>
          <w:rFonts w:hint="eastAsia"/>
          <w:sz w:val="24"/>
        </w:rPr>
        <w:t>阶级剥削</w:t>
      </w:r>
      <w:r>
        <w:rPr>
          <w:rFonts w:hint="eastAsia"/>
          <w:sz w:val="24"/>
          <w:lang w:val="en-US" w:eastAsia="zh-CN"/>
        </w:rPr>
        <w:t>和压迫</w:t>
      </w:r>
      <w:r>
        <w:rPr>
          <w:rFonts w:hint="eastAsia"/>
          <w:sz w:val="24"/>
        </w:rPr>
        <w:t>的国际主义。</w:t>
      </w:r>
      <w:r>
        <w:rPr>
          <w:rFonts w:hint="eastAsia"/>
          <w:sz w:val="24"/>
          <w:lang w:val="en-US" w:eastAsia="zh-CN"/>
        </w:rPr>
        <w:t>美国有的总统使用“新国际主义”一词便是如此。</w:t>
      </w:r>
    </w:p>
    <w:p w14:paraId="7D8D28A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另一种是国内有些论著主张各国互相合作的</w:t>
      </w:r>
      <w:r>
        <w:rPr>
          <w:rFonts w:hint="eastAsia"/>
          <w:sz w:val="24"/>
        </w:rPr>
        <w:t>新国际主义，</w:t>
      </w:r>
      <w:r>
        <w:rPr>
          <w:rFonts w:hint="eastAsia"/>
          <w:sz w:val="24"/>
          <w:lang w:val="en-US" w:eastAsia="zh-CN"/>
        </w:rPr>
        <w:t>认为</w:t>
      </w:r>
      <w:r>
        <w:rPr>
          <w:rFonts w:hint="eastAsia"/>
          <w:sz w:val="24"/>
        </w:rPr>
        <w:t>世界的主题已发生变化，在和平与发展已成为世界主题的情况下，新国际主义就应</w:t>
      </w:r>
      <w:r>
        <w:rPr>
          <w:rFonts w:hint="eastAsia"/>
          <w:sz w:val="24"/>
          <w:lang w:val="en-US" w:eastAsia="zh-CN"/>
        </w:rPr>
        <w:t>完全抛弃</w:t>
      </w:r>
      <w:r>
        <w:rPr>
          <w:rFonts w:hint="eastAsia"/>
          <w:sz w:val="24"/>
        </w:rPr>
        <w:t>社会主义意识形态</w:t>
      </w:r>
      <w:r>
        <w:rPr>
          <w:rFonts w:hint="eastAsia"/>
          <w:sz w:val="24"/>
          <w:lang w:val="en-US" w:eastAsia="zh-CN"/>
        </w:rPr>
        <w:t>和推动世界社会主发展</w:t>
      </w:r>
      <w:r>
        <w:rPr>
          <w:rFonts w:hint="eastAsia"/>
          <w:sz w:val="24"/>
        </w:rPr>
        <w:t>，</w:t>
      </w:r>
      <w:r>
        <w:rPr>
          <w:rFonts w:hint="eastAsia"/>
          <w:sz w:val="24"/>
          <w:lang w:val="en-US" w:eastAsia="zh-CN"/>
        </w:rPr>
        <w:t>只需</w:t>
      </w:r>
      <w:r>
        <w:rPr>
          <w:rFonts w:hint="eastAsia"/>
          <w:sz w:val="24"/>
        </w:rPr>
        <w:t>主张不同国家之间的和平交往与</w:t>
      </w:r>
      <w:r>
        <w:rPr>
          <w:rFonts w:hint="eastAsia"/>
          <w:sz w:val="24"/>
          <w:lang w:val="en-US" w:eastAsia="zh-CN"/>
        </w:rPr>
        <w:t>合作</w:t>
      </w:r>
      <w:r>
        <w:rPr>
          <w:rFonts w:hint="eastAsia"/>
          <w:sz w:val="24"/>
        </w:rPr>
        <w:t>发展。毋庸置疑，世界主题的变化与时代的发展，确实需要国际主义在理论上</w:t>
      </w:r>
      <w:r>
        <w:rPr>
          <w:rFonts w:hint="eastAsia"/>
          <w:sz w:val="24"/>
          <w:lang w:val="en-US" w:eastAsia="zh-CN"/>
        </w:rPr>
        <w:t>更新</w:t>
      </w:r>
      <w:r>
        <w:rPr>
          <w:rFonts w:hint="eastAsia"/>
          <w:sz w:val="24"/>
        </w:rPr>
        <w:t>以适应时代的需求。但国际主义在理论上的创新，决不能</w:t>
      </w:r>
      <w:r>
        <w:rPr>
          <w:rFonts w:hint="eastAsia"/>
          <w:sz w:val="24"/>
          <w:lang w:val="en-US" w:eastAsia="zh-CN"/>
        </w:rPr>
        <w:t>否定</w:t>
      </w:r>
      <w:r>
        <w:rPr>
          <w:rFonts w:hint="eastAsia"/>
          <w:sz w:val="24"/>
        </w:rPr>
        <w:t>马克思主义的本真精神。在</w:t>
      </w:r>
      <w:r>
        <w:rPr>
          <w:rFonts w:hint="eastAsia"/>
          <w:sz w:val="24"/>
          <w:lang w:val="en-US" w:eastAsia="zh-CN"/>
        </w:rPr>
        <w:t>新</w:t>
      </w:r>
      <w:r>
        <w:rPr>
          <w:rFonts w:hint="eastAsia"/>
          <w:sz w:val="24"/>
        </w:rPr>
        <w:t>时代，需要对马克思主义的国际主义进行理论创新，但一定要是在马克思主义理论轨道上</w:t>
      </w:r>
      <w:r>
        <w:rPr>
          <w:rFonts w:hint="eastAsia"/>
          <w:sz w:val="24"/>
          <w:lang w:val="en-US" w:eastAsia="zh-CN"/>
        </w:rPr>
        <w:t>拓展</w:t>
      </w:r>
      <w:r>
        <w:rPr>
          <w:rFonts w:hint="eastAsia"/>
          <w:sz w:val="24"/>
        </w:rPr>
        <w:t>。</w:t>
      </w:r>
    </w:p>
    <w:p w14:paraId="77A8AD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我们</w:t>
      </w:r>
      <w:r>
        <w:rPr>
          <w:rFonts w:hint="eastAsia"/>
          <w:sz w:val="24"/>
          <w:lang w:val="en-US" w:eastAsia="zh-CN"/>
        </w:rPr>
        <w:t>倡导第三种</w:t>
      </w:r>
      <w:r>
        <w:rPr>
          <w:rFonts w:hint="eastAsia"/>
          <w:sz w:val="24"/>
        </w:rPr>
        <w:t>马克思主义的新国际主义</w:t>
      </w:r>
      <w:r>
        <w:rPr>
          <w:rFonts w:hint="eastAsia"/>
          <w:sz w:val="24"/>
          <w:lang w:eastAsia="zh-CN"/>
        </w:rPr>
        <w:t>，</w:t>
      </w:r>
      <w:r>
        <w:rPr>
          <w:rFonts w:hint="eastAsia"/>
          <w:sz w:val="24"/>
          <w:lang w:val="en-US" w:eastAsia="zh-CN"/>
        </w:rPr>
        <w:t>包含三层涵义：一是以人类共同价值观为基础，促进人类命运共同体发展；二是以马克思主义和社会主义核心价值观为基础，促进世界社会主义发展；三是联合国际一切进步力量，反制围剿中国等爱好和平国家和社会主义力量的霸权主义和垄断寡头势力。</w:t>
      </w:r>
    </w:p>
    <w:p w14:paraId="2714C92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马克思主义的新国际主义，</w:t>
      </w:r>
      <w:r>
        <w:rPr>
          <w:rFonts w:hint="eastAsia"/>
          <w:sz w:val="24"/>
          <w:lang w:val="en-US" w:eastAsia="zh-CN"/>
        </w:rPr>
        <w:t>主张联合</w:t>
      </w:r>
      <w:r>
        <w:rPr>
          <w:rFonts w:hint="eastAsia"/>
          <w:sz w:val="24"/>
        </w:rPr>
        <w:t>一切热爱和平</w:t>
      </w:r>
      <w:r>
        <w:rPr>
          <w:rFonts w:hint="eastAsia"/>
          <w:sz w:val="24"/>
          <w:lang w:val="en-US" w:eastAsia="zh-CN"/>
        </w:rPr>
        <w:t>发展的国际力量，</w:t>
      </w:r>
      <w:r>
        <w:rPr>
          <w:rFonts w:hint="eastAsia"/>
          <w:sz w:val="24"/>
        </w:rPr>
        <w:t>致力于推动构建人类命运共同体</w:t>
      </w:r>
      <w:r>
        <w:rPr>
          <w:rFonts w:hint="eastAsia"/>
          <w:sz w:val="24"/>
          <w:lang w:eastAsia="zh-CN"/>
        </w:rPr>
        <w:t>，</w:t>
      </w:r>
      <w:r>
        <w:rPr>
          <w:rFonts w:hint="eastAsia"/>
          <w:sz w:val="24"/>
        </w:rPr>
        <w:t>促进人类文明进步的原则</w:t>
      </w:r>
      <w:r>
        <w:rPr>
          <w:rFonts w:hint="eastAsia"/>
          <w:sz w:val="24"/>
          <w:lang w:eastAsia="zh-CN"/>
        </w:rPr>
        <w:t>，</w:t>
      </w:r>
      <w:r>
        <w:rPr>
          <w:rFonts w:hint="eastAsia"/>
          <w:sz w:val="24"/>
        </w:rPr>
        <w:t>不仅是世界各国无产阶级与无产阶级政党积极参与国际事务与全球治理的指导思想与政治原则，也是社会主义国家积极参与国际事务与全球治理的指导思想与政治原则。马克思主义的新国际主义包括的基本内容有：世界各国工人阶级为了人类解放与自身解放，在与各种反动势力的斗争中相互支持、团结合作的思想与原则；世界各国</w:t>
      </w:r>
      <w:r>
        <w:rPr>
          <w:rFonts w:hint="eastAsia"/>
          <w:sz w:val="24"/>
          <w:lang w:val="en-US" w:eastAsia="zh-CN"/>
        </w:rPr>
        <w:t>工人</w:t>
      </w:r>
      <w:r>
        <w:rPr>
          <w:rFonts w:hint="eastAsia"/>
          <w:sz w:val="24"/>
        </w:rPr>
        <w:t>阶级政党之间的加强合作与交往的思想与原则；世界各国热爱和平的人民站在全人类的立场上推动构建人类命运共同体与推动人类文明进步的思想与原则；第三世界的国家携手联合起来共同反对霸权主义与帝国主义的思想与原则</w:t>
      </w:r>
      <w:r>
        <w:rPr>
          <w:rFonts w:hint="eastAsia"/>
          <w:sz w:val="24"/>
          <w:lang w:eastAsia="zh-CN"/>
        </w:rPr>
        <w:t>；</w:t>
      </w:r>
      <w:r>
        <w:rPr>
          <w:rFonts w:hint="eastAsia"/>
          <w:sz w:val="24"/>
        </w:rPr>
        <w:t>热爱与拥护社会主义事业的世界人民一同构建社会主义共同体的思想与原则，等等。</w:t>
      </w:r>
    </w:p>
    <w:p w14:paraId="5640635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二、人类命运共同体是马克思主义的新国际主义的践行平台</w:t>
      </w:r>
    </w:p>
    <w:p w14:paraId="5E84BB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对于马克思主义的新国际主义的构建，我们不仅要坚持以马克思主义为指导，还必须立足于我们现在所面对的现实以及未来的发展趋势。国际共产主义进入到新的发展阶段，其必然要有新的国际主义理念与价值观来与之相适应。在我们这个时代，以习近平同志为核心的党中央提出来的人类命运共同体思想，就是一种马克思主义的新国际主义思想与理念。要把人类命运共同体构建好，就必须团结世界上一切热爱和平与追求人类可持续发展的进步力量，与那些阻碍人类历史进步的邪恶势力做斗争。这也告诉我们，在推动构建人类命运共同体的过程中，既存在着团结与合作的对象，也存在着要与之斗争的</w:t>
      </w:r>
      <w:r>
        <w:rPr>
          <w:rFonts w:hint="eastAsia"/>
          <w:sz w:val="24"/>
          <w:lang w:val="en-US" w:eastAsia="zh-CN"/>
        </w:rPr>
        <w:t>势力。</w:t>
      </w:r>
      <w:r>
        <w:rPr>
          <w:rFonts w:hint="eastAsia"/>
          <w:sz w:val="24"/>
        </w:rPr>
        <w:t>与人类进步力量团结合作，与人类邪恶势力坚决斗争，将是我们在推动构建人类命运共同体的实践中所要采取的策略。例如，我们在推动构建人类命运共同体的过程中，必定要与霸权主义、</w:t>
      </w:r>
      <w:r>
        <w:rPr>
          <w:rFonts w:hint="eastAsia"/>
          <w:sz w:val="24"/>
          <w:lang w:val="en-US" w:eastAsia="zh-CN"/>
        </w:rPr>
        <w:t>霸凌主义、</w:t>
      </w:r>
      <w:r>
        <w:rPr>
          <w:rFonts w:hint="eastAsia"/>
          <w:sz w:val="24"/>
        </w:rPr>
        <w:t>军国主义、狭隘的民族主义、极端的宗教主义、各种恐怖主义等等</w:t>
      </w:r>
      <w:r>
        <w:rPr>
          <w:rFonts w:hint="eastAsia"/>
          <w:sz w:val="24"/>
          <w:lang w:val="en-US" w:eastAsia="zh-CN"/>
        </w:rPr>
        <w:t>作有理有利有节的</w:t>
      </w:r>
      <w:r>
        <w:rPr>
          <w:rFonts w:hint="eastAsia"/>
          <w:sz w:val="24"/>
        </w:rPr>
        <w:t>斗争。</w:t>
      </w:r>
    </w:p>
    <w:p w14:paraId="1EB964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如果说，共产国际</w:t>
      </w:r>
      <w:r>
        <w:rPr>
          <w:rFonts w:hint="eastAsia"/>
          <w:sz w:val="24"/>
          <w:lang w:val="en-US" w:eastAsia="zh-CN"/>
        </w:rPr>
        <w:t>共同体</w:t>
      </w:r>
      <w:r>
        <w:rPr>
          <w:rFonts w:hint="eastAsia"/>
          <w:sz w:val="24"/>
        </w:rPr>
        <w:t>是马克思主义的原国际主义的世界性组织平台的话，那么人类命运共同体也必将是马克思主义的新国际主义的践行平台。推动构建人类命运共同体，是马克思主义的新国际主义诞生的历史使命。对于马克思主义的新国际主义而言，它的一个最为现实的历史使命就是要为推动构建人类命运共同体提供行动指南与精神支撑。推动构建人类命运共同体</w:t>
      </w:r>
      <w:r>
        <w:rPr>
          <w:rFonts w:hint="eastAsia"/>
          <w:sz w:val="24"/>
          <w:lang w:eastAsia="zh-CN"/>
        </w:rPr>
        <w:t>，</w:t>
      </w:r>
      <w:r>
        <w:rPr>
          <w:rFonts w:hint="eastAsia"/>
          <w:sz w:val="24"/>
        </w:rPr>
        <w:t>需要全世界的人民联合起来一起行动才能实现。中国作为推动构建人类命运共同体的</w:t>
      </w:r>
      <w:r>
        <w:rPr>
          <w:rFonts w:hint="eastAsia"/>
          <w:sz w:val="24"/>
          <w:lang w:val="en-US" w:eastAsia="zh-CN"/>
        </w:rPr>
        <w:t>呼吁</w:t>
      </w:r>
      <w:r>
        <w:rPr>
          <w:rFonts w:hint="eastAsia"/>
          <w:sz w:val="24"/>
        </w:rPr>
        <w:t>者与践行者，单靠自身的力量是无法做到的，</w:t>
      </w:r>
      <w:r>
        <w:rPr>
          <w:rFonts w:hint="eastAsia"/>
          <w:sz w:val="24"/>
          <w:lang w:val="en-US" w:eastAsia="zh-CN"/>
        </w:rPr>
        <w:t>必</w:t>
      </w:r>
      <w:r>
        <w:rPr>
          <w:rFonts w:hint="eastAsia"/>
          <w:sz w:val="24"/>
        </w:rPr>
        <w:t>定要联合一切可联合的力量，</w:t>
      </w:r>
      <w:r>
        <w:rPr>
          <w:rFonts w:hint="eastAsia"/>
          <w:sz w:val="24"/>
          <w:lang w:val="en-US" w:eastAsia="zh-CN"/>
        </w:rPr>
        <w:t>必</w:t>
      </w:r>
      <w:r>
        <w:rPr>
          <w:rFonts w:hint="eastAsia"/>
          <w:sz w:val="24"/>
        </w:rPr>
        <w:t>定要调动世界人民的主动性与积极性才能实现。要让世界人民联合起来共同推动构建人类命运共同体，需要一种能真正居于世界人民立场与立足于全人类整体利益的思想来启蒙与指</w:t>
      </w:r>
      <w:r>
        <w:rPr>
          <w:rFonts w:hint="eastAsia"/>
          <w:sz w:val="24"/>
          <w:lang w:val="en-US" w:eastAsia="zh-CN"/>
        </w:rPr>
        <w:t>引</w:t>
      </w:r>
      <w:r>
        <w:rPr>
          <w:rFonts w:hint="eastAsia"/>
          <w:sz w:val="24"/>
        </w:rPr>
        <w:t>。马克思主义的新国际主义就是一种以人类命运共同体思想为基本内涵的国际主义。推动构建人类命运共同体就是新时代世界人民践行马克思主义的新国际主义的现实平台。</w:t>
      </w:r>
    </w:p>
    <w:p w14:paraId="337C47C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三、全人类共同价值是马克思主义的新国际主义的价值内核</w:t>
      </w:r>
    </w:p>
    <w:p w14:paraId="372F05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马克思主义的新国际主义，不仅是建立在马克思主义的理论基础之上的新国际主义，也是建立在全人类共同价值基础之上的新国际主义。全人类共同价值是一种不同于</w:t>
      </w:r>
      <w:r>
        <w:rPr>
          <w:rFonts w:hint="eastAsia"/>
          <w:sz w:val="24"/>
          <w:lang w:val="en-US" w:eastAsia="zh-CN"/>
        </w:rPr>
        <w:t>西方</w:t>
      </w:r>
      <w:r>
        <w:rPr>
          <w:rFonts w:hint="eastAsia"/>
          <w:sz w:val="24"/>
        </w:rPr>
        <w:t>普世价值，它包括和平、发展、公平、正义、民主、自由等现代价值理念。全人类价值共同价值是反映全人类整体利益与根本利益或世界人民共同利益的价值体系，是新时代引领人类社会与世界文明向前发展的先进价值理念。而</w:t>
      </w:r>
      <w:r>
        <w:rPr>
          <w:rFonts w:hint="eastAsia"/>
          <w:sz w:val="24"/>
          <w:lang w:val="en-US" w:eastAsia="zh-CN"/>
        </w:rPr>
        <w:t>西方</w:t>
      </w:r>
      <w:r>
        <w:rPr>
          <w:rFonts w:hint="eastAsia"/>
          <w:sz w:val="24"/>
        </w:rPr>
        <w:t>普世价值是</w:t>
      </w:r>
      <w:r>
        <w:rPr>
          <w:rFonts w:hint="eastAsia"/>
          <w:sz w:val="24"/>
          <w:lang w:val="en-US" w:eastAsia="zh-CN"/>
        </w:rPr>
        <w:t>垄断</w:t>
      </w:r>
      <w:r>
        <w:rPr>
          <w:rFonts w:hint="eastAsia"/>
          <w:sz w:val="24"/>
        </w:rPr>
        <w:t>资产阶级为了维护自身的利益而向世界人民灌输的价值迷魂汤。</w:t>
      </w:r>
      <w:r>
        <w:rPr>
          <w:rFonts w:hint="eastAsia"/>
          <w:sz w:val="24"/>
          <w:lang w:val="en-US" w:eastAsia="zh-CN"/>
        </w:rPr>
        <w:t>西方</w:t>
      </w:r>
      <w:r>
        <w:rPr>
          <w:rFonts w:hint="eastAsia"/>
          <w:sz w:val="24"/>
        </w:rPr>
        <w:t>普世价值虽与全人类共同价值在概念形式存在一致的地方，但其包涵的内容是不同的，其内容所反映的立场与价值诉求更是大相径庭。全人类共同价值，不仅体现了世界主题，也反映了这个时代世界各国人民共有的价值追求。这些价值追求，既是良好世界秩序得以维持的价值基础，也是世界人民对美好生活的价值向往。</w:t>
      </w:r>
    </w:p>
    <w:p w14:paraId="77A5E2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对于全人类共同价值而言，其既是推动构建人类命运共同体的价值基础与价值支撑，也是马克思主义的新国际主义的价值基础与价值支撑。马克思主义的新国际主义，其在理论本性与精神实质上是马克思主义的。马克思主义作为一种新的世界观与方法论，作为社会主义革命、建设与改革的指导思想，它的立场或立脚点是人类社会或社会化的人类，进一步讲就是全人类的整体利益与世界人民的共同利益。马克思主义</w:t>
      </w:r>
      <w:r>
        <w:rPr>
          <w:rFonts w:hint="eastAsia"/>
          <w:sz w:val="24"/>
          <w:lang w:val="en-US" w:eastAsia="zh-CN"/>
        </w:rPr>
        <w:t>及其</w:t>
      </w:r>
      <w:r>
        <w:rPr>
          <w:rFonts w:hint="eastAsia"/>
          <w:sz w:val="24"/>
        </w:rPr>
        <w:t>新国际主义的立场是全人类的整体利益与世界人民的共同利益。从价值的维度讲，全人类共同价值是全人类的整体利益与世界人民的共同利益在</w:t>
      </w:r>
      <w:r>
        <w:rPr>
          <w:rFonts w:hint="eastAsia"/>
          <w:sz w:val="24"/>
          <w:lang w:val="en-US" w:eastAsia="zh-CN"/>
        </w:rPr>
        <w:t>观念</w:t>
      </w:r>
      <w:r>
        <w:rPr>
          <w:rFonts w:hint="eastAsia"/>
          <w:sz w:val="24"/>
        </w:rPr>
        <w:t>上的体现与反映。由此可见，全人类共同价值也必然构成马克思主义的新国际主义的价值内核。只有以全人类共同价值作为价值基础、价值支撑与价值内核，马克思主义的新国际主义才能永葆其马克思主义的理论本性与精神实质。在世界百年未有之大变局的历史时代，“坚守和平、发展、公平、正义、民主、自由的全人类共同价值”，就是在践行马克思主义的新国际主义</w:t>
      </w:r>
      <w:r>
        <w:rPr>
          <w:rFonts w:hint="eastAsia"/>
          <w:sz w:val="24"/>
          <w:lang w:eastAsia="zh-CN"/>
        </w:rPr>
        <w:t>，</w:t>
      </w:r>
      <w:r>
        <w:rPr>
          <w:rFonts w:hint="eastAsia"/>
          <w:sz w:val="24"/>
          <w:lang w:val="en-US" w:eastAsia="zh-CN"/>
        </w:rPr>
        <w:t>也是国际关系民主化的价值观基础</w:t>
      </w:r>
      <w:r>
        <w:rPr>
          <w:rFonts w:hint="eastAsia"/>
          <w:sz w:val="24"/>
        </w:rPr>
        <w:t>。</w:t>
      </w:r>
    </w:p>
    <w:p w14:paraId="355B85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w:t>
      </w:r>
      <w:r>
        <w:rPr>
          <w:rFonts w:hint="eastAsia"/>
          <w:sz w:val="24"/>
          <w:lang w:val="en-US" w:eastAsia="zh-CN"/>
        </w:rPr>
        <w:t>原载《国家社会科学基金项目成果要报》第20期，2021年8月11日）</w:t>
      </w:r>
    </w:p>
    <w:p w14:paraId="53B9AA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3A6A1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AFE83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2022年文章目录</w:t>
      </w:r>
    </w:p>
    <w:p w14:paraId="0E29C8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张国献,程恩富.中国马克思主义学习型政党建设的历史经验与推进路径[J].山东社会科学,2022,(01):22-29.</w:t>
      </w:r>
    </w:p>
    <w:p w14:paraId="02F963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葛聪,程恩富.社会转型背景下乡村伦理的现实困境与重构路径[J].治理现代化研究,2022,38(01):81-87.</w:t>
      </w:r>
    </w:p>
    <w:p w14:paraId="21A0700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[3]程恩富,孙绍勇.中国共产党在百年奋斗中坚持开拓创新的成就和经验[J].当代经济研究,2022,(01):5-10.</w:t>
      </w:r>
    </w:p>
    <w:p w14:paraId="5D2704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[4]程恩富.在第三届世界文化论坛暨第二届中国文化分论坛上的闭幕词[J].马克思主义文化研究,2021,(02):180-181.</w:t>
      </w:r>
    </w:p>
    <w:p w14:paraId="66D557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[5]程恩富.在第三届世界文化论坛暨第二届中国文化分论坛上的开幕词[J].马克思主义文化研究,2021,(02):174-177.</w:t>
      </w:r>
    </w:p>
    <w:p w14:paraId="5A1BA1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[6]殷林飞,程恩富,张国献.马克思劳动者发展思想的逻辑机理与当代价值[J].毛泽东邓小平理论研究,2022,(02):76-87+109.</w:t>
      </w:r>
    </w:p>
    <w:p w14:paraId="10CB9A1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[7]程恩富.列宁主义有何科学性和当代价值?——与英国大卫·莱恩院士商榷[J].政治经济学研究,2022,(01):135-145.</w:t>
      </w:r>
    </w:p>
    <w:p w14:paraId="48ACC6E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列宁主义有何科学性和当代价值？</w:t>
      </w:r>
    </w:p>
    <w:p w14:paraId="1C0899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——与英国大卫·莱恩院士商榷</w:t>
      </w:r>
    </w:p>
    <w:p w14:paraId="328D6D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程恩富</w:t>
      </w:r>
      <w:r>
        <w:rPr>
          <w:rStyle w:val="20"/>
          <w:rFonts w:hint="eastAsia" w:ascii="宋体" w:hAnsi="宋体" w:eastAsia="宋体" w:cs="宋体"/>
          <w:color w:val="FFFFFF"/>
          <w:kern w:val="0"/>
          <w:sz w:val="24"/>
          <w:szCs w:val="21"/>
          <w:lang w:bidi="ar"/>
        </w:rPr>
        <w:footnoteReference w:id="0"/>
      </w:r>
    </w:p>
    <w:p w14:paraId="44EFDF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内容提要</w:t>
      </w:r>
      <w:r>
        <w:rPr>
          <w:rFonts w:hint="eastAsia"/>
          <w:sz w:val="24"/>
        </w:rPr>
        <w:t xml:space="preserve">  本文是与英国大卫·莱恩院士关于列宁主义的商榷论文，先后提出如何正确认识工人阶级和社会主义运动，阐述无产阶级的定义和结构变化，指出代表工人阶级先锋队的马克思主义左翼的存在和发展，他们的身份政治仍然是阶级政治，其左翼立科学社会主义的立场；提出如何正确认识各阶级专政与民主的关系，阐述资本主义国家的国体即国家的阶级属性都是资产阶级民主专政，指出广泛的政治参与原则与共产党及其执政国家的集中管理是相辅相成而不是对立的；提出如何正确理解社会主义、议会民主和无产阶级革命，阐述没有哪个资本主义国家是主要通过议会民主方式向社会主义过渡成功的，指出无产阶级专政也就是人民民主专政，把对人民实行民主与对社会主义敌对阶级和破坏分子实行专政结合起来；提出如何正确认识新老帝国主义和工人阶级愿望，阐述新老帝国主义的特性，指出需要用历史唯物主义方法来辩证分析工人阶级和广大人民的愿望表象与本质；提出如何正确认识人类社会的发展大趋势，阐述当代资本主义的基本矛盾、积累规律和各类危机的存在和继续发展，指出列宁主义不仅指导苏俄无产阶级革命和建设取得了胜利，是马克思主义苏俄化理论，而且一直指导国际无产阶级革命和建设，是与马克思恩格斯主义并列的国际马克思主义理论。</w:t>
      </w:r>
    </w:p>
    <w:p w14:paraId="7EE1B1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关键词  列宁主义；马克思主义；无产阶级革命；新老帝国主义；世界社会主义</w:t>
      </w:r>
      <w:r>
        <w:rPr>
          <w:rFonts w:hint="eastAsia"/>
          <w:sz w:val="24"/>
          <w:lang w:eastAsia="zh-CN"/>
        </w:rPr>
        <w:t>；</w:t>
      </w:r>
      <w:r>
        <w:rPr>
          <w:rFonts w:hint="eastAsia"/>
          <w:sz w:val="24"/>
          <w:lang w:val="en-US" w:eastAsia="zh-CN"/>
        </w:rPr>
        <w:t>政治经济学</w:t>
      </w:r>
    </w:p>
    <w:p w14:paraId="5102A2A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英国剑桥大学伊曼纽尔学院大卫·莱恩院士发表《列宁与革命：一种批判——昨天与今天》一文（以下简称《论列宁》）。这篇论文围绕列宁主义提出了十分重要的学术观点和当代现实价值问题。本人敬佩莱恩教授对马列主义的研究，赞成其中许多客观的评论，但也有一些不赞成的主要观点，现提出商榷意见，以便深化这一讨论。《论列宁》一文在论述列宁主义有关理论和政策基础上得出九个结论，为了不歪曲作者的原意，以下引用这些结论并作出评析。</w:t>
      </w:r>
    </w:p>
    <w:p w14:paraId="6456119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一、如何正确认识工人阶级和社会主义运动？</w:t>
      </w:r>
    </w:p>
    <w:p w14:paraId="30394F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列宁对西方先进资本主义国家的工人阶级和社会主义运动的认识是扭曲的吗？该文第一个结论写道：“列宁对西方先进资本主义国家的工人阶级和社会主义运动的认识是有限的也是扭曲的。他的具体建议仅适用于与资本主义全球化的21世纪截然不同的时代，19世纪的解决方案无法用来解决21世纪的问题。列宁的思维方式和他的解决方案是为专制政府统治下的前资本主义社会设计的，不是为发达的后工业社会设计的。我们可以‘回到’，但不能‘重复’20世纪初的列宁。在某些情况下，我们可能会根据新的理论或证据‘更新’或修改他的做法，但在某些情况下，我们必须放弃他的推理，拒绝他的结论。此外，阶级冲突和剥削必须在其他形式的人类统治和压迫的过程中‘更新’。废除阶级是必要的，但不足以实现人类解放。”</w:t>
      </w:r>
    </w:p>
    <w:p w14:paraId="3C6D6C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在上述第一个结论中，有以下三个基本论点值得商榷。</w:t>
      </w:r>
    </w:p>
    <w:p w14:paraId="739E9F8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eastAsia="zh-CN"/>
        </w:rPr>
        <w:t>.</w:t>
      </w:r>
      <w:r>
        <w:rPr>
          <w:rFonts w:hint="eastAsia"/>
          <w:sz w:val="24"/>
        </w:rPr>
        <w:t>“列宁对西方先进资本主义国家的工人阶级和社会主义运动的认识是有限的也是扭曲的”吗？该文认为列宁这一观点是扭曲的理由在于：“‘无产阶级’这一概念不再代表西方工人阶级，西方工人阶级在职业构成上出现了高度的差别化和异质性。采掘、金属加工和生产性工业——列宁所界定的无产阶级所属的主要产业——以牺牲第三产业为代价而衰落了。</w:t>
      </w:r>
      <w:r>
        <w:rPr>
          <w:rFonts w:hint="eastAsia"/>
          <w:sz w:val="24"/>
          <w:lang w:eastAsia="zh-CN"/>
        </w:rPr>
        <w:t>……</w:t>
      </w:r>
      <w:r>
        <w:rPr>
          <w:rFonts w:hint="eastAsia"/>
          <w:sz w:val="24"/>
        </w:rPr>
        <w:t>在西方国家，劳动力主要由非无产阶级的工人阶级组成，列宁所定义的无产阶级只是劳动力的一小部分。”显然，这个批评的理由是站不住的。</w:t>
      </w:r>
    </w:p>
    <w:p w14:paraId="2C3D7A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众所周知，在马克思和列宁的理论中，资本主义生产方式中的“无产阶级”“工人阶级”“劳动阶级”是一个含义，而不管劳动者是在哪个产业和公司工作。恩格斯明确指出：“无产阶级是专靠出卖自己的劳动而不是靠某一种资本的利润来获得生活资料的社会阶级。</w:t>
      </w:r>
      <w:r>
        <w:rPr>
          <w:rFonts w:hint="eastAsia"/>
          <w:sz w:val="24"/>
          <w:lang w:eastAsia="zh-CN"/>
        </w:rPr>
        <w:t>……</w:t>
      </w:r>
      <w:r>
        <w:rPr>
          <w:rFonts w:hint="eastAsia"/>
          <w:sz w:val="24"/>
        </w:rPr>
        <w:t>一句话，无产阶级或无产者阶级就是19世纪的劳动阶级。”</w:t>
      </w:r>
      <w:r>
        <w:rPr>
          <w:rStyle w:val="20"/>
          <w:rFonts w:hint="eastAsia" w:ascii="宋体" w:hAnsi="宋体" w:eastAsia="宋体" w:cs="宋体"/>
          <w:sz w:val="24"/>
          <w:szCs w:val="21"/>
        </w:rPr>
        <w:footnoteReference w:id="1"/>
      </w:r>
      <w:r>
        <w:rPr>
          <w:rFonts w:hint="eastAsia"/>
          <w:sz w:val="24"/>
        </w:rPr>
        <w:t>列宁也明确指出：“所谓阶级，就是这样一些大的集团，这些集团在历史上一定社会生产体系中所处的地位不同，同生产资料的关系（这种关系大部分是在法律上明文规定了的）不同，在社会劳动组织中所起的作用不同，因而取得归自己支配的那份社会财富的方式和多寡也不同。所谓阶级，就是这样一些集团，由</w:t>
      </w:r>
      <w:r>
        <w:rPr>
          <w:rFonts w:hint="eastAsia"/>
          <w:sz w:val="24"/>
          <w:lang w:val="en-US" w:eastAsia="zh-CN"/>
        </w:rPr>
        <w:t>于它们在</w:t>
      </w:r>
      <w:r>
        <w:rPr>
          <w:rFonts w:hint="eastAsia"/>
          <w:sz w:val="24"/>
        </w:rPr>
        <w:t>一定社会经济结构中所处的地位不同，其中一个集团能够占有另一个集团的劳动。”</w:t>
      </w:r>
      <w:r>
        <w:rPr>
          <w:rStyle w:val="20"/>
          <w:rFonts w:hint="eastAsia" w:ascii="宋体" w:hAnsi="宋体" w:eastAsia="宋体" w:cs="宋体"/>
          <w:sz w:val="24"/>
          <w:szCs w:val="21"/>
        </w:rPr>
        <w:footnoteReference w:id="2"/>
      </w:r>
      <w:r>
        <w:rPr>
          <w:rFonts w:hint="eastAsia"/>
          <w:sz w:val="24"/>
        </w:rPr>
        <w:t>可见，在马克思列宁主义的范畴中，只要没有生产资料和生活资料而必须受雇于资本主义企业或资本主义国家事业单位，并只依靠工资生活的劳动者，均属于资本主义范畴内的无产阶级或工人阶级或劳动阶级。从社会经济权力结构来进一步理解，无产阶级是受资产阶级由于占有生产资料（包括硬件与软件）而拥有的权力所支配的各个阶层的总体。</w:t>
      </w:r>
      <w:r>
        <w:rPr>
          <w:rStyle w:val="20"/>
          <w:rFonts w:hint="eastAsia" w:ascii="宋体" w:hAnsi="宋体" w:eastAsia="宋体" w:cs="宋体"/>
          <w:color w:val="000000"/>
          <w:sz w:val="24"/>
          <w:szCs w:val="21"/>
        </w:rPr>
        <w:footnoteReference w:id="3"/>
      </w:r>
      <w:r>
        <w:rPr>
          <w:rFonts w:hint="eastAsia"/>
          <w:sz w:val="24"/>
        </w:rPr>
        <w:t>所谓无产阶级，不是说该阶级及其成员是否拥有个人产权的住房、轿车和耐用消费品等生活资料，以及不足以维持家庭生活或盈亏多变的极少量证券，而是说他们如果不从事资本主义“雇佣劳动”</w:t>
      </w:r>
      <w:r>
        <w:rPr>
          <w:rFonts w:hint="eastAsia"/>
          <w:sz w:val="24"/>
          <w:lang w:val="en-US" w:eastAsia="zh-CN"/>
        </w:rPr>
        <w:t>就不</w:t>
      </w:r>
      <w:r>
        <w:rPr>
          <w:rFonts w:hint="eastAsia"/>
          <w:sz w:val="24"/>
        </w:rPr>
        <w:t>能自主或自由劳动和正常生活。当代资本主义发达国家的第三产业占比较大，这只能说明第三产业的无产阶级或工人阶级的占比超过了第一产业和第二产业。当然，无产阶级或工人阶级还可以按照雇佣劳动的职业、岗位和收入等状况，划分为不同工作性质或生活水平的众多阶层和群体，但这些划分无法否定整个阶级的属性和总体特征。</w:t>
      </w:r>
    </w:p>
    <w:p w14:paraId="5FB616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w:t>
      </w:r>
      <w:r>
        <w:rPr>
          <w:rFonts w:hint="eastAsia"/>
          <w:sz w:val="24"/>
          <w:lang w:eastAsia="zh-CN"/>
        </w:rPr>
        <w:t>.</w:t>
      </w:r>
      <w:r>
        <w:rPr>
          <w:rFonts w:hint="eastAsia"/>
          <w:sz w:val="24"/>
        </w:rPr>
        <w:t>列宁</w:t>
      </w:r>
      <w:r>
        <w:rPr>
          <w:rFonts w:hint="eastAsia"/>
          <w:sz w:val="24"/>
          <w:lang w:val="en-US" w:eastAsia="zh-CN"/>
        </w:rPr>
        <w:t>的</w:t>
      </w:r>
      <w:r>
        <w:rPr>
          <w:rFonts w:hint="eastAsia"/>
          <w:sz w:val="24"/>
        </w:rPr>
        <w:t>“具体建议仅适用于与资本主义全球化的21世纪截然不同的时代”吗？该文认为</w:t>
      </w:r>
      <w:r>
        <w:rPr>
          <w:rFonts w:hint="eastAsia"/>
          <w:sz w:val="24"/>
          <w:lang w:eastAsia="zh-CN"/>
        </w:rPr>
        <w:t>，</w:t>
      </w:r>
      <w:r>
        <w:rPr>
          <w:rFonts w:hint="eastAsia"/>
          <w:sz w:val="24"/>
        </w:rPr>
        <w:t>列宁</w:t>
      </w:r>
      <w:r>
        <w:rPr>
          <w:rFonts w:hint="eastAsia"/>
          <w:sz w:val="24"/>
          <w:lang w:val="en-US" w:eastAsia="zh-CN"/>
        </w:rPr>
        <w:t>的</w:t>
      </w:r>
      <w:r>
        <w:rPr>
          <w:rFonts w:hint="eastAsia"/>
          <w:sz w:val="24"/>
        </w:rPr>
        <w:t>建议和理论不适合21世纪的一个具体理由在于：“在公众的思想中，以个性、少数群体和边缘化（性别，种族，地区）群体为基础的身份政治已经取代了阶级政治。</w:t>
      </w:r>
      <w:r>
        <w:rPr>
          <w:rFonts w:hint="eastAsia"/>
          <w:sz w:val="24"/>
          <w:lang w:eastAsia="zh-CN"/>
        </w:rPr>
        <w:t>……</w:t>
      </w:r>
      <w:r>
        <w:rPr>
          <w:rFonts w:hint="eastAsia"/>
          <w:sz w:val="24"/>
        </w:rPr>
        <w:t>这是‘左翼立场’，不是社会主义的立场。</w:t>
      </w:r>
      <w:r>
        <w:rPr>
          <w:rFonts w:hint="eastAsia"/>
          <w:sz w:val="24"/>
          <w:lang w:eastAsia="zh-CN"/>
        </w:rPr>
        <w:t>……</w:t>
      </w:r>
      <w:r>
        <w:rPr>
          <w:rFonts w:hint="eastAsia"/>
          <w:sz w:val="24"/>
        </w:rPr>
        <w:t>诸如‘占领华尔街’、‘白人至上’、‘珍视黑人生命’、‘灭绝叛乱’等运动缺乏与历史唯物主义相媲美的社会观点。政治认同和文化政治已经取代了阶级政治。</w:t>
      </w:r>
      <w:r>
        <w:rPr>
          <w:rFonts w:hint="eastAsia"/>
          <w:sz w:val="24"/>
          <w:lang w:eastAsia="zh-CN"/>
        </w:rPr>
        <w:t>……</w:t>
      </w:r>
      <w:r>
        <w:rPr>
          <w:rFonts w:hint="eastAsia"/>
          <w:sz w:val="24"/>
        </w:rPr>
        <w:t>当代社会运动对公民权利和正义的要求，是一种‘左派’性质的，不是社会主义性质的，不是要求建立社会主义，而是要求建立一种可接受的自由民主的资本主义模式。</w:t>
      </w:r>
      <w:r>
        <w:rPr>
          <w:rFonts w:hint="eastAsia"/>
          <w:sz w:val="24"/>
          <w:lang w:eastAsia="zh-CN"/>
        </w:rPr>
        <w:t>……</w:t>
      </w:r>
      <w:r>
        <w:rPr>
          <w:rFonts w:hint="eastAsia"/>
          <w:sz w:val="24"/>
        </w:rPr>
        <w:t>与列宁时代相比，现在不仅是国家的意识形态，而且整个公民社会的意识形态都面临更大的挑战。列宁对替代社会的设想需要修改。”显然，这个批评的具体理由也是站不住的。</w:t>
      </w:r>
    </w:p>
    <w:p w14:paraId="536D22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众所周知，“泛左翼”包括代表工人阶级先锋队的马列主义左翼（如赞成马列主义核心理论的学者、共产党人、工会会员等）、小资产阶级或资产阶级左翼、仅反对资本主义某些问题和现象的其他左翼等。确实，当代垄断资产阶级不仅控制了国民经济命脉和政权，而且控制了主流媒体、国民教育、基金会和社会团体等所谓“第三种力量”或“公民社会”，马列主义的科学社会主义思想</w:t>
      </w:r>
      <w:r>
        <w:rPr>
          <w:rFonts w:hint="eastAsia"/>
          <w:sz w:val="24"/>
          <w:lang w:val="en-US" w:eastAsia="zh-CN"/>
        </w:rPr>
        <w:t>无法得到普遍而正确的传播推广，</w:t>
      </w:r>
      <w:r>
        <w:rPr>
          <w:rFonts w:hint="eastAsia"/>
          <w:sz w:val="24"/>
        </w:rPr>
        <w:t>难以被广大公民</w:t>
      </w:r>
      <w:r>
        <w:rPr>
          <w:rFonts w:hint="eastAsia"/>
          <w:sz w:val="24"/>
          <w:lang w:val="en-US" w:eastAsia="zh-CN"/>
        </w:rPr>
        <w:t>认识并</w:t>
      </w:r>
      <w:r>
        <w:rPr>
          <w:rFonts w:hint="eastAsia"/>
          <w:sz w:val="24"/>
        </w:rPr>
        <w:t>接受，从而社会各界一般的抗议活动或“泛左翼”运动是没有科学社会主义发展方向和性质的，总体上属于改良资本主义的“泛左翼”进步运动。但是，这不能否定代表工人阶级先锋队的马克思主义左翼的存在和发展，他们的身份政治仍然是阶级政治，其“左翼”立场就是科学社会主义的立场。他们真正代表广大劳动阶级的最本质诉求，要求建立马克思主义的社会主义社会，既反对建立美国式的“独裁资本主义”“专制资本主义”“威权资本主义”模式，也反对建立北欧式的“改良资本主义”“社会民主主义”“民主社会主义”模式。诚然，后一种模式有不同程度的进步性和文明性。须知，在任何一个革命高潮到来之前的社会，资产阶级国家的意识形态与整个公民社会的意识形态往往大同小异，因而不宜用21世纪所谓新情况去否定列宁对替代资本主义社会的基本设想，真正需要修改的是对当代无产阶级、科学社会主义和马列主义理论与实践的片面认识，以便守正创新马克思列宁主义理论和科学社会主义理论与实践。</w:t>
      </w:r>
    </w:p>
    <w:p w14:paraId="237E92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w:t>
      </w:r>
      <w:r>
        <w:rPr>
          <w:rFonts w:hint="eastAsia"/>
          <w:sz w:val="24"/>
          <w:lang w:eastAsia="zh-CN"/>
        </w:rPr>
        <w:t>.</w:t>
      </w:r>
      <w:r>
        <w:rPr>
          <w:rFonts w:hint="eastAsia"/>
          <w:sz w:val="24"/>
        </w:rPr>
        <w:t>列宁关于资本主义的“解决方案”和“经济剥削”的“思想需要修改”吗？该文写道：“列宁的思维方式和他的解决方案是为专制政府统治下的前资本主义社会设计的，不是为发达的后工业社会设计的。我们可以‘回到’，但不能‘重复’20世纪初的列宁。</w:t>
      </w:r>
      <w:r>
        <w:rPr>
          <w:rFonts w:hint="eastAsia"/>
          <w:sz w:val="24"/>
          <w:lang w:eastAsia="zh-CN"/>
        </w:rPr>
        <w:t>……</w:t>
      </w:r>
      <w:r>
        <w:rPr>
          <w:rFonts w:hint="eastAsia"/>
          <w:sz w:val="24"/>
        </w:rPr>
        <w:t>阶级冲突和剥削必须在其他形式的人类统治和压迫的过程中‘更新’。废除阶级是必要的，但不足以实现人类解放。”“然而，列宁和许多古典马克思主义者一样，过分依赖对经济剥削和阶级关系的分析。经济剥削显然是主要问题。欧洲社会主义国家的经验表明，必须考虑到其他形式的统治、压迫和歧视会加强经济剥削。列宁思想需要修改，不仅要分析经济剥削的方式，还需要考虑官僚主义、个人权力、父权制、种族和信仰等形成独特的权力关系的因素。在以苏联为榜样的社会主义国家中，这些问题不但没有消亡，而且变得更加重要。”</w:t>
      </w:r>
    </w:p>
    <w:p w14:paraId="2099DB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上述这两段话存在两个误论：其一，该文认为“专制政府只存在于前资本主义社会”，而资本主义社会、尤其是“发达的后工业社会”，已经不是资产阶级或垄断资产阶级专政或专制的国家了，从而暗含着早已是无资产阶级属性的一般民主社会了。</w:t>
      </w:r>
    </w:p>
    <w:p w14:paraId="23095F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二，该文认为“在以苏联为榜样的社会主义国家中”，共产党执政“形式的统治、压迫和歧视会加强经济剥削”，“这些问题不但没有消亡，而且变得更加重要。”作者在这里表达的研究结论是：欧洲、亚洲和拉美共产党领导下的社会主义国家，已经在经济剥削、政治压迫和社会歧视等问题上，比资本主义国家更严重。但作者并没有提供社会主义国家经济剥削等实证数据和事实，估计今后也提供不出来。</w:t>
      </w:r>
    </w:p>
    <w:p w14:paraId="5AA2F0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二、如何正确认识各阶级专政与民主的关系？</w:t>
      </w:r>
    </w:p>
    <w:p w14:paraId="5D33E7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现在分析《论列宁》第二和第三个结论。</w:t>
      </w:r>
    </w:p>
    <w:p w14:paraId="517BD9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eastAsia="zh-CN"/>
        </w:rPr>
        <w:t>.</w:t>
      </w:r>
      <w:r>
        <w:rPr>
          <w:rFonts w:hint="eastAsia"/>
          <w:sz w:val="24"/>
        </w:rPr>
        <w:t>“必须用广泛的政治参与原则代替列宁的集中管理和有限参与理论”吗？该文第二个结论写道：“‘回到’列宁是什么意思？列宁的第一个重大政治发明是党的集中领导，这是根据沙皇俄国的国情制定的，是组织社会力量夺取政权和镇压反革命的政治工具。列宁强调党在政治组织、管理和教育中的领导作用是正确的。现在，制定思想政策指导政治行动仍然是一项主要任务。但是，《怎么办？》里的思想在当前情况下是不完备的：只依靠社会主义报纸进行宣传是不够的。必须对列宁进行修正。交流必须利用电子社交媒体新技术。政治组织、沟通和领导不能被自发的力量所取代。必须用广泛的政治参与原则代替列宁的集中管理和有限参与理论。”</w:t>
      </w:r>
    </w:p>
    <w:p w14:paraId="375D2E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上述第二个结论存在两个误论：其一，认为“《怎么办？》里的思想在当前情况下是不完备的：只依靠社会主义报纸进行宣传是不够的。必须对列宁进行修正。交流必须利用电子社交媒体新技术。”对列宁《怎么办？》一文的质疑是奇怪的，因为作者不是针对列宁的全部相关论述，而只是针对一篇文章所说的内容。须知，任何人在一篇文章中论述的内容都是有限的，况且当时并没有电子社交媒体新技术，怎么以此来要求“必须对列宁进行修正”呢？列宁的全部相关论述当然是主张充分运用一切媒体和宣传教育手段的，至于每个国家和时代的信息传播手段和方式当然也是不断进步的。</w:t>
      </w:r>
    </w:p>
    <w:p w14:paraId="72E74F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其二，在列宁理论和实践中，广泛的政治参与原则与共产党及其执政国家的集中管理是相辅相成而不是对立的，因而使用“有限或广泛”参与的词汇来界定都是不清晰的。</w:t>
      </w:r>
    </w:p>
    <w:p w14:paraId="6A9927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w:t>
      </w:r>
      <w:r>
        <w:rPr>
          <w:rFonts w:hint="eastAsia"/>
          <w:sz w:val="24"/>
          <w:lang w:eastAsia="zh-CN"/>
        </w:rPr>
        <w:t>.</w:t>
      </w:r>
      <w:r>
        <w:rPr>
          <w:rFonts w:hint="eastAsia"/>
          <w:sz w:val="24"/>
        </w:rPr>
        <w:t>“社会主义政府首先必须更换国家主要部门（公务员、军队、情报部门、司法机构）的领导人员”有错误吗？该文第三个结论写道：“列宁认为‘常备军和警察’是行使‘国家权力的主要工具’。当考察巴黎公社和镇压十九世纪末期俄国的自发起义时，说资本主义国家通过‘武装人员’、警察、常备军和监狱实施独裁统治是适当的。但认为社会主义政府首先必须更换国家主要部门（公务员、军队、情报部门、司法机构）的领导人员，这一观点是可以更新的。而且，在目前的条件下，列宁思想必须进一步修正。实行社会控制和思想控制的社会化意识形态同样重要。政府、政党、军事、媒体和教育机构中的统治阶级的各个派别更加紧密地结合在一起，都有着相似的敌视社会主义的思想观念。对民主构成威胁的是‘深层国家’，而不是社会主义政府。列宁思想需要更新，以考虑建立一套范围更广的机构，把国家的意识形态机构——大众媒体（包括主要的电视和互联网公司）和教育系统（包括大学，经济，政治和社会政策机构）包括在内。这里的主要问题是，民主资产阶级议会机构的范围有限，只有在特殊情况下才允许国家对民间社会机构进行法律控制。但是，法律可以被民主修改。自治团体也可以为社会主义事业做出贡献。”</w:t>
      </w:r>
    </w:p>
    <w:p w14:paraId="5BCEEF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上述第三个结论存在两个误论：其一，认为“当考察巴黎公社和镇压十九世纪末期俄国的自发起义时，说资本主义国家通过‘武装人员’、警察、常备军和监狱实施独裁统治是适当的。”按照这句话的意思，除了巴黎公社和俄国自发起义之外，各资本主义国家不是实施资产阶级专政或独裁统治的，或者说不是通过‘武装人员’、警察、常备军和监狱实施独裁统治的。事实上，资本主义国家的国体即国家的阶级属性都是资产阶级民主专政，即对资产阶级实施真正的实质性民主，对无产阶级和广大人民实施虚伪的形式民主和实质性专政。这既不妨碍资本主义国家的政体多样化，如君主立宪制（目前世界上还有20多个资产阶级国家实施非民主选举的世袭元首制度）、议会领导下的内阁政府制、三权分立制等，也不妨碍资本主义国家采取社会民主主义、特朗普主义或原教旨主义、法西斯主义等多样化</w:t>
      </w:r>
      <w:r>
        <w:rPr>
          <w:rFonts w:hint="eastAsia"/>
          <w:sz w:val="24"/>
          <w:lang w:val="en-US" w:eastAsia="zh-CN"/>
        </w:rPr>
        <w:t>体制机制</w:t>
      </w:r>
      <w:r>
        <w:rPr>
          <w:rFonts w:hint="eastAsia"/>
          <w:sz w:val="24"/>
        </w:rPr>
        <w:t>。</w:t>
      </w:r>
    </w:p>
    <w:p w14:paraId="5FCEDB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二，“认为社会主义政府首先必须更换国家主要部门（公务员、军队、情报部门、司法机构）的领导人员，这一观点是可以更新的。而且，在目前的条件下，列宁思想必须进一步修正。”在我看来，尽管“实行社会控制和思想控制的社会化意识形态同样重要。</w:t>
      </w:r>
      <w:r>
        <w:rPr>
          <w:rFonts w:hint="eastAsia"/>
          <w:sz w:val="24"/>
          <w:lang w:eastAsia="zh-CN"/>
        </w:rPr>
        <w:t>……</w:t>
      </w:r>
      <w:r>
        <w:rPr>
          <w:rFonts w:hint="eastAsia"/>
          <w:sz w:val="24"/>
        </w:rPr>
        <w:t>以考虑建立一套范围更广的机构，把国家的意识形态机构——大众媒体（包括主要的电视和互联网公司）和教育系统（包括大学，经济，政治和社会政策机构）包括在内。”这一意见是对的，但没有理由更新列宁强调“首先必须更换国家主要部门（公务员、军队、情报部门、司法机构）的领导人员”，因为无产阶级夺取政权首先就是夺取公务员、军队等政权部门，其次（也可以是第二天或以后）才是控制国家的意识形态机构，而不可能顺序颠倒</w:t>
      </w:r>
      <w:r>
        <w:rPr>
          <w:rFonts w:hint="eastAsia"/>
          <w:sz w:val="24"/>
          <w:lang w:val="en-US" w:eastAsia="zh-CN"/>
        </w:rPr>
        <w:t>过</w:t>
      </w:r>
      <w:r>
        <w:rPr>
          <w:rFonts w:hint="eastAsia"/>
          <w:sz w:val="24"/>
        </w:rPr>
        <w:t>来实施。</w:t>
      </w:r>
    </w:p>
    <w:p w14:paraId="14C0CA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三、如何正确理解社会主义、议会民主和无产阶级革命？</w:t>
      </w:r>
    </w:p>
    <w:p w14:paraId="297923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现在评析《论列宁》第四至第六个结论。</w:t>
      </w:r>
    </w:p>
    <w:p w14:paraId="61CED7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1.</w:t>
      </w:r>
      <w:r>
        <w:rPr>
          <w:rFonts w:hint="eastAsia"/>
          <w:sz w:val="24"/>
        </w:rPr>
        <w:t>列宁关于无产阶级专政的理论“必须被拒绝”吗？该文第四个结论写道：“由于工人阶级不是普遍阶级，十月革命后其他阶级和利益集团的内外对立导致了难以接受的大规模镇压。这样的专政不是可接受的先进国家向社会主义迈进的国家形态。在这里列宁的观点必须被拒绝，向社会主义过渡的方式必须加以修改。工人阶级作为一个崛起的阶级可以在议会民主制度中发挥作用。列宁的‘无产阶级专政’的替代方案是赢得民主斗争，改变议会民主。”</w:t>
      </w:r>
    </w:p>
    <w:p w14:paraId="11F132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上述这段话的逻辑有三个问题：（1）如果“十月革命后其他阶级和利益集团的内外对立导致了难以接受的大规模镇压”是客观事实的话（这里不作具体分析），这与“由于工人阶级不是普遍阶级”有必然关系吗？如果工人阶级是普遍阶级，就肯定不会形成工人、农民、资本家等各个“阶级和利益集团的内外对立”了吗？（2）如果十月革命</w:t>
      </w:r>
      <w:r>
        <w:rPr>
          <w:rFonts w:hint="eastAsia"/>
          <w:sz w:val="24"/>
          <w:lang w:val="en-US" w:eastAsia="zh-CN"/>
        </w:rPr>
        <w:t>是</w:t>
      </w:r>
      <w:r>
        <w:rPr>
          <w:rFonts w:hint="eastAsia"/>
          <w:sz w:val="24"/>
        </w:rPr>
        <w:t>相对于农民阶级来说</w:t>
      </w:r>
      <w:r>
        <w:rPr>
          <w:rFonts w:hint="eastAsia"/>
          <w:sz w:val="24"/>
          <w:lang w:val="en-US" w:eastAsia="zh-CN"/>
        </w:rPr>
        <w:t>的</w:t>
      </w:r>
      <w:r>
        <w:rPr>
          <w:rFonts w:hint="eastAsia"/>
          <w:sz w:val="24"/>
        </w:rPr>
        <w:t>，“俄国工人阶级不是普遍阶级”，因而列宁实行的无产阶级专政“不是可接受的先进国家向社会主义迈进的国家形态”，那么，十月革命以后直至当今，发达资本主义国家的工人阶级早已是普遍阶级，为何“列宁的观点必须被拒绝”呢？（3）有什么理由规定“工人阶级作为一个崛起的阶级”只“可以在议会民主制度中发挥作用”？历史上又有哪个资本主义国家是主要通过议会民主方式“向社会主义过渡”成功的呢？</w:t>
      </w:r>
    </w:p>
    <w:p w14:paraId="39F7B6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w:t>
      </w:r>
      <w:r>
        <w:rPr>
          <w:rFonts w:hint="eastAsia"/>
          <w:sz w:val="24"/>
          <w:lang w:eastAsia="zh-CN"/>
        </w:rPr>
        <w:t>.</w:t>
      </w:r>
      <w:r>
        <w:rPr>
          <w:rFonts w:hint="eastAsia"/>
          <w:sz w:val="24"/>
        </w:rPr>
        <w:t>“列宁以专政为基础的革命战略需要修改”吗？该文第五个结论写道：“列宁以专政为基础的革命战略需要修改：没有社会主义，议会民主一样可以运作；但是没有民主，社会主义就无法繁荣。”依据以上分析，我们不用再赘述“列宁以专政为基础的革命战略需要修改”问题，因为根本没有必要修改。这里只需简单地提出：一是没有社会主义，资产阶级的议会民主确实一样可以运作；社会主义国家也需要建立健全社会主义的议会民主。二是无产阶级专政也就是人民民主专政，把对人民实行民主与对社会主义敌对阶级和破坏分子实行专政结合起来，因而没有社会主义民主或没有社会主义专政，社会主义都无法繁荣。列宁曾经详细分析过这些问题。可见，作者对列宁革命战略的修改是不正确的。</w:t>
      </w:r>
    </w:p>
    <w:p w14:paraId="2B2233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w:t>
      </w:r>
      <w:r>
        <w:rPr>
          <w:rFonts w:hint="eastAsia"/>
          <w:sz w:val="24"/>
          <w:lang w:eastAsia="zh-CN"/>
        </w:rPr>
        <w:t>.</w:t>
      </w:r>
      <w:r>
        <w:rPr>
          <w:rFonts w:hint="eastAsia"/>
          <w:sz w:val="24"/>
        </w:rPr>
        <w:t>中国等国家共产党的革命成功不属于“无产阶级革命”吗？该文第六个结论写道：“西欧社会主义革命的失败对十月革命造成了不利的影响。尽管如此，南斯拉夫、中国、古巴、越南和朝鲜的共产党还是根据列宁的理论，通过人民革命运动上台执政。这几个国家都是农民人口众多的国家，不是工人阶级崛起的国家。这些不是‘无产阶级革命’，而是由知识分子领导的、工人和农民支持的革命，是民族解放运动，是社会主义生产力发展的国家性运动。”这段话就引出了什么是“无产阶级革命”的理论问题。这个问题就是：由知识分子担任无产阶级政党的领导班子，或者无产阶级政党和无产阶级革命的大多数参加者是原来的农民，就不算无产阶级政党或无产阶级革命了吗？我认为准确地分析应这样认知：凡是革命的大方向和最高目标是实现马列主义的科学社会主义，均可视为无产阶级革命或工人阶级革命；而这一革命又可分为无产阶级领导的新民主主义革命、对各类私有制进行改造的社会主义革命等阶段和形式。至于无产阶级革命的领导班子或多数参与者的原职业和原阶级出身，与这一革命的性质无关。因此，迄今为止建立的社会主义国家，既是民族解放运动的胜利，也是标准的无产阶级革命的胜利，是马列主义革命理论的成功实践。</w:t>
      </w:r>
    </w:p>
    <w:p w14:paraId="1EF02D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四、如何正确认识新老帝国主义和工人阶级愿望？</w:t>
      </w:r>
    </w:p>
    <w:p w14:paraId="763D61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现在评析《论列宁》第七和第八个结论。</w:t>
      </w:r>
    </w:p>
    <w:p w14:paraId="6CC58C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eastAsia="zh-CN"/>
        </w:rPr>
        <w:t>.</w:t>
      </w:r>
      <w:r>
        <w:rPr>
          <w:rFonts w:hint="eastAsia"/>
          <w:sz w:val="24"/>
        </w:rPr>
        <w:t>“列宁关于帝国主义是垄断资本主义的观点必须被取代”吗？该文第七个结论写道：“列宁关于帝国主义是垄断资本主义的观点必须被取代。垄断资本主义的帝国主义阶段并不像列宁1917年在《帝国主义是资本主义的最高阶段》中所说的那样是‘垂死’的，它过去和现在都能够进一步发展。说帝国主义是资本主义的‘最高阶段’是以民族国家的殖民地特征和‘大国’之间的竞争为前提的，在21世纪，主要资本主义国家之间的竞争已经被美国的霸权和中国的崛起所取代。列宁的政治预言试图打破资本主义链条中最薄弱的环节，对列宁思想进行修改，必须解决是什么把链条连在了一起以及怎样打破链条的问题。”</w:t>
      </w:r>
    </w:p>
    <w:p w14:paraId="074AD9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显然，《论列宁》是基本否定列宁的帝国主义理论和当代价值的，但该文并没有指出列宁关于帝国主义的五个特征和三个特性错在哪里。列宁在《帝国主义是资本主义的最高阶段》一书中阐述帝国主义的定义和特征时写道：“如果必须给帝国主义下一个尽量简短的定义，那就应当说，帝国主义是资本主义的垄断阶段……其中要包括帝国主义的如下五个基本特征：(1)生产和资本的集中发展到这样高的程度，以致造成了在经济生活中起决定作用的垄断组织；(2)银行资本和工业资本已经融合起来，在这个“金融资本的”基础上形成了金融寡头；(3)和商品输出不同的资本输出具有特别重要的意义；(4)瓜分世界的资本家国际垄断同盟已经形成；(5)最大资本主义大国已把世界上的领土瓜分完毕。帝国主义是发展到垄断组织和金融资本的统治已经确立、资本输出具有突出意义、国际托拉斯开始瓜分世界、一些最大的资本主义国家已把世界全部领土瓜分完毕这一阶段的资本主义。”</w:t>
      </w:r>
      <w:r>
        <w:rPr>
          <w:rStyle w:val="20"/>
          <w:rFonts w:hint="eastAsia" w:ascii="宋体" w:hAnsi="宋体" w:eastAsia="宋体" w:cs="宋体"/>
          <w:color w:val="000000"/>
          <w:kern w:val="0"/>
          <w:sz w:val="24"/>
          <w:szCs w:val="21"/>
        </w:rPr>
        <w:footnoteReference w:id="4"/>
      </w:r>
      <w:r>
        <w:rPr>
          <w:rFonts w:hint="eastAsia"/>
          <w:sz w:val="24"/>
        </w:rPr>
        <w:t>在同年12月发表的文章中，列宁又指出帝国主义的三大特性：“帝国主义是资本主义的特殊历史阶段。这个特点分为三个方面：（1）帝国主义是垄断的资本主义；（2）帝国主义是寄生的或腐朽的资本主义；（3）帝国主义是垂死的资本主义。”</w:t>
      </w:r>
      <w:r>
        <w:rPr>
          <w:rStyle w:val="20"/>
          <w:rFonts w:hint="eastAsia" w:ascii="宋体" w:hAnsi="宋体" w:eastAsia="宋体" w:cs="宋体"/>
          <w:color w:val="000000"/>
          <w:kern w:val="0"/>
          <w:sz w:val="24"/>
          <w:szCs w:val="21"/>
        </w:rPr>
        <w:footnoteReference w:id="5"/>
      </w:r>
    </w:p>
    <w:p w14:paraId="2AAB00C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列宁的帝国主义理论要不要发展或“更新”呢？答案是肯定的。笔者曾以列宁的帝国主义理论为基础，结合当代资本主义的新变化进行分析并得出结论：21世纪新帝国主义是垄断资本主义在当代经济全球化和金融化条件下的晚期帝国主义阶段，其特征和性质可以综合概括为五个方面。一是生产和流通的新垄断：生产和流通的国际化和资本集中的强化，形成富可敌国的巨型跨国垄断公司</w:t>
      </w:r>
      <w:r>
        <w:rPr>
          <w:rFonts w:hint="eastAsia"/>
          <w:sz w:val="24"/>
          <w:lang w:eastAsia="zh-CN"/>
        </w:rPr>
        <w:t>；</w:t>
      </w:r>
      <w:r>
        <w:rPr>
          <w:rFonts w:hint="eastAsia"/>
          <w:sz w:val="24"/>
        </w:rPr>
        <w:t>二是金融资本的新垄断：金融垄断资本在全球经济生活中起决定性作用，形成畸形发展的经济金融化</w:t>
      </w:r>
      <w:r>
        <w:rPr>
          <w:rFonts w:hint="eastAsia"/>
          <w:sz w:val="24"/>
          <w:lang w:eastAsia="zh-CN"/>
        </w:rPr>
        <w:t>；</w:t>
      </w:r>
      <w:r>
        <w:rPr>
          <w:rFonts w:hint="eastAsia"/>
          <w:sz w:val="24"/>
        </w:rPr>
        <w:t>三是美元和知识产权的垄断：形成不平等的国际分工和两极分化的全球经济和财富分配</w:t>
      </w:r>
      <w:r>
        <w:rPr>
          <w:rFonts w:hint="eastAsia"/>
          <w:sz w:val="24"/>
          <w:lang w:eastAsia="zh-CN"/>
        </w:rPr>
        <w:t>；</w:t>
      </w:r>
      <w:r>
        <w:rPr>
          <w:rFonts w:hint="eastAsia"/>
          <w:sz w:val="24"/>
        </w:rPr>
        <w:t>四是国际寡头同盟的新垄断：“一霸数强”结成的国际资本主义寡头垄断同盟，形成内外垄断剥削和压迫的金钱政治、庸俗文化和军事威胁的经济基础</w:t>
      </w:r>
      <w:r>
        <w:rPr>
          <w:rFonts w:hint="eastAsia"/>
          <w:sz w:val="24"/>
          <w:lang w:eastAsia="zh-CN"/>
        </w:rPr>
        <w:t>；</w:t>
      </w:r>
      <w:r>
        <w:rPr>
          <w:rFonts w:hint="eastAsia"/>
          <w:sz w:val="24"/>
        </w:rPr>
        <w:t>五是经济本质和大趋势：全球化资本主义矛盾和各种危机</w:t>
      </w:r>
    </w:p>
    <w:p w14:paraId="114C3B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时常激化，形成当代资本主义垄断性和掠夺性、霸权性和欺诈性、腐朽性和寄生性、过渡性和垂危性的新态势，是一种晚期帝国主义。</w:t>
      </w:r>
      <w:r>
        <w:rPr>
          <w:rStyle w:val="20"/>
          <w:rFonts w:hint="eastAsia" w:ascii="宋体" w:hAnsi="宋体" w:eastAsia="宋体" w:cs="宋体"/>
          <w:color w:val="000000"/>
          <w:kern w:val="0"/>
          <w:sz w:val="24"/>
          <w:szCs w:val="21"/>
        </w:rPr>
        <w:footnoteReference w:id="6"/>
      </w:r>
      <w:r>
        <w:rPr>
          <w:rFonts w:hint="eastAsia"/>
          <w:sz w:val="24"/>
        </w:rPr>
        <w:t>简言之，列宁关于帝国主义是垄断资本主义的观点依然有效，只需要守正创新而无须被取代。</w:t>
      </w:r>
    </w:p>
    <w:p w14:paraId="4B81B7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w:t>
      </w:r>
      <w:r>
        <w:rPr>
          <w:rFonts w:hint="eastAsia"/>
          <w:sz w:val="24"/>
          <w:lang w:eastAsia="zh-CN"/>
        </w:rPr>
        <w:t>.</w:t>
      </w:r>
      <w:r>
        <w:rPr>
          <w:rFonts w:hint="eastAsia"/>
          <w:sz w:val="24"/>
        </w:rPr>
        <w:t>美国等资本主义国家的工人阶级“没有结束资本主义生活方式的愿望”吗？该文第八个结论写道：“自20世纪初以来，资本主义经常遭受经济危机，但统治阶级并没有投降；西方霸权，尤其是美国的霸权已经成熟；剧变后的原东欧社会主义国家重新加入了资本主义世界。‘下层阶级’并没有拒绝资本主义，而是试图享受资本主义，没有结束资本主义生活方式的愿望。如果我们‘回到’列宁，根据目前的形势，我们应该考虑进行革命性改革，而不是实际夺取政权。”</w:t>
      </w:r>
    </w:p>
    <w:p w14:paraId="5F9462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针对上述第八个结论，我认为，第一，在人类历史上，作为剥削阶级的各个统治阶级，从来没有自动投降的，都是需要进步阶级通过艰巨的斗争才被迫投降的。工人阶级只有首先通过某种途径夺取政权，才能真正的革命性改革；</w:t>
      </w:r>
      <w:r>
        <w:rPr>
          <w:rStyle w:val="20"/>
          <w:rFonts w:hint="eastAsia" w:ascii="宋体" w:hAnsi="宋体" w:eastAsia="宋体" w:cs="宋体"/>
          <w:sz w:val="24"/>
          <w:szCs w:val="21"/>
        </w:rPr>
        <w:footnoteReference w:id="7"/>
      </w:r>
      <w:r>
        <w:rPr>
          <w:rFonts w:hint="eastAsia"/>
          <w:sz w:val="24"/>
        </w:rPr>
        <w:t>否则，只能在资本主义经济政治制度大框架内进行某些改良和局部改革，不可能进行私有制和寡头政治制度的真正革命性改革。</w:t>
      </w:r>
    </w:p>
    <w:p w14:paraId="4FAAB6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西方霸权，尤其是美国的霸权已经成熟，但美国和西方国家自己也承认已在相对衰落之中。况且历史上一切霸权最终均被公平正义所打破，美国和西方霸权最终也必然被社会主义国家主导的新型国际关系民主化模式和社会主义文明所替代，从而真正建立起人类命运共同体。与霸权成</w:t>
      </w:r>
      <w:r>
        <w:rPr>
          <w:rFonts w:hint="eastAsia"/>
          <w:sz w:val="24"/>
          <w:lang w:val="en-US" w:eastAsia="zh-CN"/>
        </w:rPr>
        <w:t>分</w:t>
      </w:r>
      <w:r>
        <w:rPr>
          <w:rFonts w:hint="eastAsia"/>
          <w:sz w:val="24"/>
        </w:rPr>
        <w:t>逐渐消亡相吻合，发达国家文明的不断进步和高级化将呈现如下发展趋势：美国式文明演化为西欧式文明，再演化为北欧式文明，再演化为中国式文明。</w:t>
      </w:r>
    </w:p>
    <w:p w14:paraId="077418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剧变后的原东欧社会主义国家重新加入了资本主义世界，但这只是这些国家领导人或部分人士被“和平演变”或被“暴力政变”所导致的，是社会主义发展的曲折性表现，而并非这些国家的工人阶级和广大人民本质上自愿恢复资本主义。</w:t>
      </w:r>
    </w:p>
    <w:p w14:paraId="76E7DE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四，强调工人阶级只试图享受资本主义而没有结束资本主义生活方式的愿望，这只是描述被思想政治欺骗的“单面人”（单向度的人）一般言行的表面现象，以及被资产阶级专政通过暴力或强制压迫下被迫表现出来的无可奈何现象（被迫暂时“躺下”），而不是在深刻分析工人阶级及其先锋队的政治本质和强烈愿望。撇开资产阶级政治家希特勒和日本资产阶级法西斯镇压和屠杀共产党等反资产阶级极化政权的进步人士，从而导致人民被迫“拥护”资本主义的众多历史事件不谈，仅就1993年10月叶利钦政府派军队非法炮轰国家议会大厦和议员，2011年10月美国警察用警棍强制清场“占领华尔街运动”的广大人民等全球众多事件，</w:t>
      </w:r>
      <w:r>
        <w:rPr>
          <w:rStyle w:val="20"/>
          <w:rFonts w:hint="eastAsia" w:ascii="宋体" w:hAnsi="宋体" w:eastAsia="宋体" w:cs="宋体"/>
          <w:sz w:val="24"/>
          <w:szCs w:val="21"/>
        </w:rPr>
        <w:footnoteReference w:id="8"/>
      </w:r>
      <w:r>
        <w:rPr>
          <w:rFonts w:hint="eastAsia"/>
          <w:sz w:val="24"/>
        </w:rPr>
        <w:t>也可认清如果没有资本主义国家的暴力、金钱和思想的多重控制，工人阶级是不可能被迫和被骗而表象上“没有结束资本主义生活方式的愿望”的。假如美国等资本主义国家取消私人和私企的金钱资助候选人制度，改为各级政府用财政公正地平均支付各级议员和政府首脑候选人法定所需的竞选活动经费，实行无金钱政治支撑的真正民主选举，广大人民投票支持</w:t>
      </w:r>
      <w:r>
        <w:rPr>
          <w:rFonts w:hint="eastAsia"/>
          <w:sz w:val="24"/>
          <w:lang w:val="en-US" w:eastAsia="zh-CN"/>
        </w:rPr>
        <w:t>工人阶级及其政党</w:t>
      </w:r>
      <w:r>
        <w:rPr>
          <w:rFonts w:hint="eastAsia"/>
          <w:sz w:val="24"/>
        </w:rPr>
        <w:t>的候选人会很少吗？因此，我们需要用历史唯物主义方法来辩证分析工人阶级和广大人民的愿望表象与本质。</w:t>
      </w:r>
    </w:p>
    <w:p w14:paraId="276E39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五、如何正确认识人类社会的发展大趋势？</w:t>
      </w:r>
    </w:p>
    <w:p w14:paraId="6873FB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eastAsia="zh-CN"/>
        </w:rPr>
        <w:t>.</w:t>
      </w:r>
      <w:r>
        <w:rPr>
          <w:rFonts w:hint="eastAsia"/>
          <w:sz w:val="24"/>
        </w:rPr>
        <w:t>列宁坚信人类的行动能够使人类进步，并最终建成一个没有剥削的完全民主的社会，“这是一个已经失去的理想”吗？该文第九个结论写道：“对列宁思想进行更新，需要分析经济上协调一致、意识形态统一、管理层强大的全球资本主义的矛盾。一方面，由公司、国际机构和占主导地位的跨国资产阶级进行的资本主义跨国协作取代了国家垄断资本主义的帝国主义形式。另一方面，工人阶级的重新地域化和分化严重削弱了阶级意识的有机发展。在这个阶段，向社会主义过渡是在与列宁所知的情况完全不同且更具挑战性的条件下进行的。怎么办？现在需要在全球资本主义社会学和国际关系地缘政治方面重塑列宁。在这种情况下，必须重塑的是阶级联盟的政治战略和赢得跨国社会主义民主斗争的政治策略。最后，任何其他的选择都涉及思想斗争，这些斗争包括因目标不同而产生的斗争，也包括因手段不同——采取革命手段还是改良手段？——而产生的斗争。受启蒙运动的影响，列宁坚信，人类的行动能够使人类进步，并最终建成一个没有剥削的完全民主的社会。这是一个已经失去的理想。”</w:t>
      </w:r>
    </w:p>
    <w:p w14:paraId="674FF0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上述第八个结论中存在三个误论：其一，认为“由公司、国际机构和占主导地位的跨国资产阶级进行的资本主义跨国协作取代了国家垄断资本主义的帝国主义形式。”事实上，资本主义先后经历了自由竞争资本主义、私人垄断资本主义、国家垄断资本主义、</w:t>
      </w:r>
      <w:r>
        <w:rPr>
          <w:rFonts w:hint="eastAsia"/>
          <w:sz w:val="24"/>
          <w:lang w:val="en-US" w:eastAsia="zh-CN"/>
        </w:rPr>
        <w:t>国际</w:t>
      </w:r>
      <w:r>
        <w:rPr>
          <w:rFonts w:hint="eastAsia"/>
          <w:sz w:val="24"/>
        </w:rPr>
        <w:t>垄断资本主义</w:t>
      </w:r>
      <w:r>
        <w:rPr>
          <w:rFonts w:hint="eastAsia"/>
          <w:sz w:val="24"/>
          <w:lang w:val="en-US" w:eastAsia="zh-CN"/>
        </w:rPr>
        <w:t>四</w:t>
      </w:r>
      <w:r>
        <w:rPr>
          <w:rFonts w:hint="eastAsia"/>
          <w:sz w:val="24"/>
        </w:rPr>
        <w:t>个主要发展阶段，因而当代国际垄断资本主义不是完全取代国家垄断资本主义</w:t>
      </w:r>
      <w:r>
        <w:rPr>
          <w:rFonts w:hint="eastAsia"/>
          <w:sz w:val="24"/>
          <w:lang w:val="en-US" w:eastAsia="zh-CN"/>
        </w:rPr>
        <w:t>和私人垄断资本主义</w:t>
      </w:r>
      <w:r>
        <w:rPr>
          <w:rFonts w:hint="eastAsia"/>
          <w:sz w:val="24"/>
        </w:rPr>
        <w:t xml:space="preserve">，而是三种垄断资本主义形式并存发展，互相之间有协作又有矛盾和争斗，都是当代新帝国主义形式。  </w:t>
      </w:r>
    </w:p>
    <w:p w14:paraId="4B46D8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二，认为“工人阶级的重新地域化和分化严重削弱了阶级意识的有机发展。”事实上，只要金融经济危机时常爆发、贫富分化继续存在、局部侵略战争和军事挑衅不断发生，那么，经济全球化和工人阶级的变化，既有削弱工人阶级意识的因素和方面，又有增强工人阶级意识的因素和方面，其总体大趋势还是工人阶级及其政党的阶级意识和组织能力的波浪式提升。</w:t>
      </w:r>
    </w:p>
    <w:p w14:paraId="6D7B5A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三，认为“在这个阶段，向社会主义过渡是在与列宁所知的情况完全不同且更具挑战性的条件下进行的。”事实上，21世纪如何向社会主义过渡，与列宁所知的情况既有部分不同的条件，又有总体相同的条件，即处于</w:t>
      </w:r>
      <w:r>
        <w:rPr>
          <w:rFonts w:hint="eastAsia"/>
          <w:sz w:val="24"/>
          <w:lang w:val="en-US" w:eastAsia="zh-CN"/>
        </w:rPr>
        <w:t>与</w:t>
      </w:r>
      <w:r>
        <w:rPr>
          <w:rFonts w:hint="eastAsia"/>
          <w:sz w:val="24"/>
        </w:rPr>
        <w:t>以往有异有同的新帝国主义大时代和基本条件。</w:t>
      </w:r>
    </w:p>
    <w:p w14:paraId="5F8A45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w:t>
      </w:r>
      <w:r>
        <w:rPr>
          <w:rFonts w:hint="eastAsia"/>
          <w:sz w:val="24"/>
          <w:lang w:eastAsia="zh-CN"/>
        </w:rPr>
        <w:t>.</w:t>
      </w:r>
      <w:r>
        <w:rPr>
          <w:rFonts w:hint="eastAsia"/>
          <w:sz w:val="24"/>
        </w:rPr>
        <w:t>应当指出，《论列宁》的第九个结论和全文都涉及到一个主要问题：即马克思主义经典作家关于资本主义和帝国主义必然灭亡的结论“过时”了吗?</w:t>
      </w:r>
    </w:p>
    <w:p w14:paraId="2C147F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毋容置疑，基于21世纪全球化、阶级结构和阶级觉悟变化、跨国当代资本主义在生产力、生产关系和上层建筑等方面发生的重要变化，给资本主义的发展带来了一定的生机和活力。这是不是意味着，马列主义关于资本主义和帝国主义必然灭亡的结论不再正确了呢?</w:t>
      </w:r>
    </w:p>
    <w:p w14:paraId="2A9971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当然不是。资本主义在一定时期内的发展和资本主义最终必然灭亡这两者之间并不存在矛盾。列宁所说的帝国主义是垂死的资本主义，讲的只是资本主义必然灭亡并由社会主义所取代的趋势，而不能简单地理解为所有资本主义或帝国主义国家将在数十年消失。实际上，马克思主义经典作家们并没有、也不可能给出资本主义和帝国主义灭亡的具体时间表。恰恰相反，列宁充分地预见到了，这个垂死的资本主义很可能还会“拖”一个相当长的时期，甚至也不排斥在这个垂死的阶段中，资本主义还会得到一定程度的发展。比如，列宁在讲到帝国主义的腐朽性时说:“如果以为这一腐朽趋势排除了资本主义的迅速发展，那就错了。不，在帝国主义时代，个别工业部门，个别资产阶级阶层，个别国家，不同程度地时而表现出这种趋势，时而又表现出那种趋势。整个说来，资本主义的发展比从前要快得多……</w:t>
      </w:r>
      <w:r>
        <w:rPr>
          <w:rFonts w:hint="eastAsia"/>
          <w:sz w:val="24"/>
          <w:lang w:eastAsia="zh-CN"/>
        </w:rPr>
        <w:t>。</w:t>
      </w:r>
      <w:r>
        <w:rPr>
          <w:rFonts w:hint="eastAsia"/>
          <w:sz w:val="24"/>
        </w:rPr>
        <w:t>”</w:t>
      </w:r>
      <w:r>
        <w:rPr>
          <w:rStyle w:val="20"/>
          <w:rFonts w:hint="eastAsia" w:ascii="宋体" w:hAnsi="宋体" w:eastAsia="宋体" w:cs="宋体"/>
          <w:sz w:val="24"/>
          <w:szCs w:val="21"/>
        </w:rPr>
        <w:footnoteReference w:id="9"/>
      </w:r>
      <w:r>
        <w:rPr>
          <w:rFonts w:hint="eastAsia"/>
          <w:sz w:val="24"/>
        </w:rPr>
        <w:t>“它可能会在腐烂状态中保持一个比较长的时期（万一机会主义的脓疮迟迟不能治好的话），但还是必然要被消灭的。”</w:t>
      </w:r>
      <w:r>
        <w:rPr>
          <w:rStyle w:val="20"/>
          <w:rFonts w:hint="eastAsia" w:ascii="宋体" w:hAnsi="宋体" w:eastAsia="宋体" w:cs="宋体"/>
          <w:sz w:val="24"/>
          <w:szCs w:val="21"/>
        </w:rPr>
        <w:footnoteReference w:id="10"/>
      </w:r>
    </w:p>
    <w:p w14:paraId="6FF2594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那么，当代资本主义的新变化为什么不会改变它必然灭亡的历史发展趋势呢?这里仅从下面三个方面来分析。</w:t>
      </w:r>
    </w:p>
    <w:p w14:paraId="1EF24C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首先，资本主义基本矛盾仍然存在并继续发展。当代资本主义的新变化，有千变万变，但有一点一直没变，也不会变，那就是资本主义的基本矛盾。尽管当代资本主义国家在生产力、生产关系和上层建筑方面进行了很多的改革，但这些改革并没有根本触动资本主义的私有制。因此，马克思早就揭示过的资本主义基本矛盾，即生产的社会化和资产阶级私人占有之间的矛盾，就仍然存在，而且还不断发展。从生产的垄断到金融的垄断、从私人的垄断到国家的垄断、从国内的垄断到国际的垄断，所有这些过程在当代资本主义中都在加速地进行。垄断组织的规模越来越大，兼并浪潮一浪高过一浪。一方面，经济社会化和全球化的程度是在不断地提高，另一方面，生产要素私人所有的经济本质却依然如故。于是，生产社会化和全球化和私有制的矛盾自然也就会变得越来越尖锐。这一基本矛盾的解决，最后只能是通过逐步消灭资本主义的私有制。舍此之外，别无他途。</w:t>
      </w:r>
    </w:p>
    <w:p w14:paraId="1776246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其次，资本主义积累规律仍然存在并继续发展。尽管当代发达资本主义试图采取各种办法，要把贫富两极分化控制在一定的范围之内，但不幸的是，伴随资本主义的发展，资本主义国家内部以及整个世界范围之内的两极分化却是在进一步扩大。资本主义的积累规律继续在发挥作用，一极表现为财富的积累，另一极表现为贫困的积累。例如，在美国，最富的1%的人拥有全美家庭财富的大约40%，比90%的美国人所拥有的财富还要多</w:t>
      </w:r>
      <w:r>
        <w:rPr>
          <w:rFonts w:hint="eastAsia"/>
          <w:sz w:val="24"/>
          <w:lang w:eastAsia="zh-CN"/>
        </w:rPr>
        <w:t>；</w:t>
      </w:r>
      <w:r>
        <w:rPr>
          <w:rFonts w:hint="eastAsia"/>
          <w:sz w:val="24"/>
        </w:rPr>
        <w:t>在英国，最富的20%的人所占有的财富，是最穷的20%的人所占有财富的10倍。如果来看一下全球范围内的两极分化现象，那就更是触目惊心。比如，以挪威、美国等十五个国家为代表的高收入国家，与以布隆迪、津巴布韦等十五个国家为代表的低收入国家的人均国民收入的差距，1980年是35.1倍，随后不断扩大，2000年为88.9倍，2006年达到峰值为96.7倍，相比1980年扩大了将近3倍；之后略有回落，2010年为77.4倍，2019年为66.5倍，仍然比1980年扩大了将近一倍。</w:t>
      </w:r>
      <w:r>
        <w:rPr>
          <w:rStyle w:val="20"/>
          <w:rFonts w:hint="eastAsia" w:ascii="宋体" w:hAnsi="宋体" w:eastAsia="宋体" w:cs="宋体"/>
          <w:sz w:val="24"/>
          <w:szCs w:val="21"/>
        </w:rPr>
        <w:footnoteReference w:id="11"/>
      </w:r>
    </w:p>
    <w:p w14:paraId="5D4B75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第三，资本主义各类危机仍然存在并继续发展。资本主义国家对经济社会的干预在一定的程度上可以缓解经济、社会、政治和文化等危机，但却没有也不可能从根本上消灭各类危机。20世纪70年代以来频繁爆发的石油危机，明显暴露了资本主义经济制度在对付外来冲击方面的脆弱；90年代以来频繁爆发的金融危机，则明显暴露了资本主义经济制度内部的重大缺陷；美国等国家时常爆发的财政危机又明显暴露了资本主义经济和政治制度的内在痼疾；2020年初开始大爆发的新冠病毒疫情，也充分暴露了整个资本主义世界的医卫、经济、文化和政治的治理弱能和制度弊端。各类危机意味着私有化的经济基础、金钱化的政治制度、自私化的价值观念、侵略性的军事力量等，均会严重影响人民生活提升、国家健康发展和社会矛盾激化，充分说明了资本主义生产关系和上层建筑对生产力发展的严重阻碍。</w:t>
      </w:r>
    </w:p>
    <w:p w14:paraId="39739A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第四，历史印证了上述分析的客观性和科学性。以1825年英国第一次爆发经济危机、19世纪30年代第一次产业革命在英国等资本主义国家基本完成、英法德三国工人阶级大规模罢工或起义为标准，马克思恩格斯在《共产党宣言》和《资本论》第一卷揭示和宣布：资本主义基本矛盾导致生产力与资本主义生产关系已经冲突（表现为生产关系严重阻碍生产力发展，但不等于阻碍到生产力完全停止发展），无产阶级革命的客观经济基础已经成熟，资本主义丧钟敲响了！不过，如果革命的主观条件不具备，即没有高水平的工人阶级政党、领袖和正确的战略策略，革命便不会立即成功。1871年巴黎公社起义也标志着法国资本主义丧钟敲响了，但没有敲死的原因在于军事和政治政策失误，而不是革命缺乏客观经济基础。</w:t>
      </w:r>
    </w:p>
    <w:p w14:paraId="35646B6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随后，以1857年第一次世界性经济危机首先在美国爆发、1873年世界性经济危机促使自由资本主义向垄断资本主义过渡、一直到19世纪末20世纪初基本形成垄断资本主义为标志，列宁揭示和宣布：垄断资本主义具有寄生性或腐朽性、过渡性或垂死性，世界处于帝国主义和无产阶级革命的时代，而帝国主义时代的经济政治发展不平衡规律使革命有可能在一国或数国首先胜利！由于列宁领导的无产阶级政党具有正确的战略策略，因而十几年后的1917年爆发的十月革命，就很快敲死了军事封建帝国主义国家的沙俄。以后，毛泽东领导的无产阶级政党具有正确的战略策略，因而二十几年后就敲死了资产阶级统治的半封建半殖民地中国（二战后中国呈现为封建的、买办的国家垄断资本主义状态）。</w:t>
      </w:r>
      <w:r>
        <w:rPr>
          <w:rFonts w:hint="eastAsia"/>
          <w:sz w:val="24"/>
          <w:lang w:val="en-US" w:eastAsia="zh-CN"/>
        </w:rPr>
        <w:t>20</w:t>
      </w:r>
      <w:r>
        <w:rPr>
          <w:rFonts w:hint="eastAsia"/>
          <w:sz w:val="24"/>
        </w:rPr>
        <w:t>世纪15个共产党领导的社会主义国家存在的历史，印证了上述理论，而戈尔巴乔夫、叶利钦领导的共产党主动背叛马克思主义，导致苏联和东欧社会主义国家倒退到资本主义国家，同样印证了上述理论，并表明社会主义及其经济制度发展的曲折性和艰难性，但改变不了大时代的性质和大趋势。</w:t>
      </w:r>
    </w:p>
    <w:p w14:paraId="36BF960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五，顺便更深一步地表达一个相关观点。笔者在研究中形成的新马克思经济学综合学派和新唯物史观认为，在英国机器大生产占主导地位而发生的经济危机表明资本主义基本经济矛盾冲突以后，全球任何国家的无产阶级政党都可以运用马克思主义理论，在前社会主义的任何社会中进行革命，革命成功后再大力发展生产力，逐步向社会主义社会过渡，因而可以跨越各种剥削社会的“卡夫丁峡谷”。其缘由在于，在19世纪20—40年代，英国爆发两次经济危机，英法德三国工人阶级开展反对资产阶级和资本主义的剥削压迫，已表明这些先进生产力国家的资本主义经济关系已开始与本国生产力</w:t>
      </w:r>
      <w:r>
        <w:rPr>
          <w:rFonts w:hint="eastAsia"/>
          <w:sz w:val="24"/>
          <w:lang w:val="en-US" w:eastAsia="zh-CN"/>
        </w:rPr>
        <w:t>的</w:t>
      </w:r>
      <w:r>
        <w:rPr>
          <w:rFonts w:hint="eastAsia"/>
          <w:sz w:val="24"/>
        </w:rPr>
        <w:t>迅速大发展冲突了，那么一切前社会主义的社会形态及其经济关系均不适应机器大生产的先进生产力，这就为无产阶级革命及其胜利奠定了底线的客观经济基础和经济条件。可见，包括中国共产党在内的各国无产阶级政党的革命根本不存在“搞早了”的问题。</w:t>
      </w:r>
    </w:p>
    <w:p w14:paraId="51D468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而言之，列宁主义不仅指导苏俄无产阶级革命和建设取得了胜利，是马克思主义苏俄化理论，而且一直指导国际无产阶级革命和建设，是与马克思恩格斯主义并列的国际马克思主义理论。在21世纪，世界级马列主义依然具有极大的当代价值和“在场”，马列主义及其各国化理论必将推动世界社会主义从低潮走向高潮和胜利。</w:t>
      </w:r>
    </w:p>
    <w:p w14:paraId="0627D4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209D5C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lang w:val="en-US" w:eastAsia="zh-CN"/>
        </w:rPr>
        <w:t>原载《山东社会科学》2022年第1期，第一作者为</w:t>
      </w:r>
      <w:r>
        <w:rPr>
          <w:rFonts w:hint="eastAsia"/>
          <w:sz w:val="24"/>
        </w:rPr>
        <w:t>张国献</w:t>
      </w:r>
      <w:r>
        <w:rPr>
          <w:rFonts w:hint="eastAsia"/>
          <w:sz w:val="24"/>
          <w:lang w:eastAsia="zh-CN"/>
        </w:rPr>
        <w:t>）</w:t>
      </w:r>
    </w:p>
    <w:p w14:paraId="52A4DE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5E39E2E7">
      <w:pPr>
        <w:rPr>
          <w:rFonts w:hint="default"/>
          <w:lang w:val="en-US" w:eastAsia="zh-CN"/>
        </w:rPr>
      </w:pPr>
    </w:p>
    <w:p w14:paraId="7CE37422">
      <w:pPr>
        <w:pStyle w:val="3"/>
        <w:bidi w:val="0"/>
        <w:rPr>
          <w:rFonts w:hint="default"/>
        </w:rPr>
      </w:pPr>
      <w:bookmarkStart w:id="18" w:name="_Toc1687412079"/>
      <w:bookmarkStart w:id="19" w:name="_Toc492201179"/>
      <w:bookmarkStart w:id="20" w:name="_Toc1454023710"/>
      <w:bookmarkStart w:id="21" w:name="_Toc845171647"/>
      <w:bookmarkStart w:id="22" w:name="_Toc20883"/>
      <w:bookmarkStart w:id="23" w:name="_Toc1487466373"/>
      <w:r>
        <w:rPr>
          <w:rFonts w:hint="eastAsia"/>
          <w:lang w:val="en-US" w:eastAsia="zh-CN"/>
        </w:rPr>
        <w:t>2</w:t>
      </w:r>
      <w:r>
        <w:rPr>
          <w:rFonts w:hint="default"/>
        </w:rPr>
        <w:t>社会转型背景下乡村伦理的现实困境与重构路径</w:t>
      </w:r>
      <w:bookmarkEnd w:id="18"/>
      <w:bookmarkEnd w:id="19"/>
      <w:bookmarkEnd w:id="20"/>
      <w:bookmarkEnd w:id="21"/>
      <w:bookmarkEnd w:id="22"/>
      <w:bookmarkEnd w:id="23"/>
    </w:p>
    <w:p w14:paraId="7EA14A7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摘要</w:t>
      </w:r>
      <w:r>
        <w:rPr>
          <w:rFonts w:hint="default" w:ascii="Times New Roman" w:hAnsi="Times New Roman" w:eastAsia="宋体" w:cs="Times New Roman"/>
          <w:spacing w:val="7"/>
          <w:sz w:val="24"/>
          <w:szCs w:val="24"/>
        </w:rPr>
        <w:t>：</w:t>
      </w:r>
      <w:r>
        <w:rPr>
          <w:rFonts w:hint="default" w:ascii="Times New Roman" w:hAnsi="Times New Roman" w:eastAsia="宋体" w:cs="Times New Roman"/>
          <w:color w:val="231F20"/>
          <w:spacing w:val="7"/>
          <w:sz w:val="24"/>
          <w:szCs w:val="24"/>
        </w:rPr>
        <w:t>社会转型背景下，乡村伦理遭遇传统</w:t>
      </w:r>
      <w:r>
        <w:rPr>
          <w:rFonts w:hint="default" w:ascii="Times New Roman" w:hAnsi="Times New Roman" w:eastAsia="宋体" w:cs="Times New Roman"/>
          <w:color w:val="231F20"/>
          <w:spacing w:val="6"/>
          <w:sz w:val="24"/>
          <w:szCs w:val="24"/>
        </w:rPr>
        <w:t>道德伦理的约束力逐渐减弱、多元价值冲突导致心理迷茫和价值观扭</w:t>
      </w:r>
      <w:r>
        <w:rPr>
          <w:rFonts w:hint="default" w:ascii="Times New Roman" w:hAnsi="Times New Roman" w:eastAsia="宋体" w:cs="Times New Roman"/>
          <w:color w:val="231F20"/>
          <w:spacing w:val="7"/>
          <w:sz w:val="24"/>
          <w:szCs w:val="24"/>
        </w:rPr>
        <w:t>曲、诚信意识相对衰退、互帮互助等公益意识逐渐淡漠等现实困境。</w:t>
      </w:r>
      <w:r>
        <w:rPr>
          <w:rFonts w:hint="default" w:ascii="Times New Roman" w:hAnsi="Times New Roman" w:eastAsia="宋体" w:cs="Times New Roman"/>
          <w:color w:val="231F20"/>
          <w:spacing w:val="6"/>
          <w:sz w:val="24"/>
          <w:szCs w:val="24"/>
        </w:rPr>
        <w:t>重构乡村伦理既是实现农业农村现代化的必然</w:t>
      </w:r>
      <w:r>
        <w:rPr>
          <w:rFonts w:hint="default" w:ascii="Times New Roman" w:hAnsi="Times New Roman" w:eastAsia="宋体" w:cs="Times New Roman"/>
          <w:color w:val="231F20"/>
          <w:spacing w:val="3"/>
          <w:sz w:val="24"/>
          <w:szCs w:val="24"/>
        </w:rPr>
        <w:t>要求，又是维护乡村社会和谐稳定的重要保障，更是增强文化认同、重树文化自信的关键所在。要走出困境，应当坚</w:t>
      </w:r>
      <w:r>
        <w:rPr>
          <w:rFonts w:hint="default" w:ascii="Times New Roman" w:hAnsi="Times New Roman" w:eastAsia="宋体" w:cs="Times New Roman"/>
          <w:color w:val="231F20"/>
          <w:spacing w:val="7"/>
          <w:sz w:val="24"/>
          <w:szCs w:val="24"/>
        </w:rPr>
        <w:t>持乡村物质文明和精神文明同步发展，夯实乡村伦理建设的物质基础</w:t>
      </w:r>
      <w:r>
        <w:rPr>
          <w:rFonts w:hint="default" w:ascii="Times New Roman" w:hAnsi="Times New Roman" w:eastAsia="宋体" w:cs="Times New Roman"/>
          <w:color w:val="231F20"/>
          <w:spacing w:val="6"/>
          <w:sz w:val="24"/>
          <w:szCs w:val="24"/>
        </w:rPr>
        <w:t>；大力提升农村文化教育水平，提高农民文化</w:t>
      </w:r>
      <w:r>
        <w:rPr>
          <w:rFonts w:hint="default" w:ascii="Times New Roman" w:hAnsi="Times New Roman" w:eastAsia="宋体" w:cs="Times New Roman"/>
          <w:color w:val="231F20"/>
          <w:spacing w:val="3"/>
          <w:sz w:val="24"/>
          <w:szCs w:val="24"/>
        </w:rPr>
        <w:t>自觉，坚定农民文化自信；强化基层政府组织功能，完善乡村伦理建设机制；搭建文化惠民网络平台，提高农村公共文化服务能力，切实重构乡村伦理。</w:t>
      </w:r>
    </w:p>
    <w:p w14:paraId="5977203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8" w:firstLineChars="200"/>
        <w:jc w:val="both"/>
        <w:textAlignment w:val="baseline"/>
        <w:rPr>
          <w:rFonts w:hint="default" w:ascii="Times New Roman" w:hAnsi="Times New Roman" w:eastAsia="宋体" w:cs="Times New Roman"/>
          <w:spacing w:val="-4"/>
          <w:position w:val="1"/>
          <w:sz w:val="24"/>
          <w:szCs w:val="24"/>
        </w:rPr>
      </w:pPr>
      <w:r>
        <w:rPr>
          <w:rFonts w:hint="default" w:ascii="Times New Roman" w:hAnsi="Times New Roman" w:eastAsia="宋体" w:cs="Times New Roman"/>
          <w:spacing w:val="-3"/>
          <w:position w:val="1"/>
          <w:sz w:val="24"/>
          <w:szCs w:val="24"/>
        </w:rPr>
        <w:t>关键</w:t>
      </w:r>
      <w:r>
        <w:rPr>
          <w:rFonts w:hint="default" w:ascii="Times New Roman" w:hAnsi="Times New Roman" w:eastAsia="宋体" w:cs="Times New Roman"/>
          <w:color w:val="231F20"/>
          <w:spacing w:val="-3"/>
          <w:position w:val="1"/>
          <w:sz w:val="24"/>
          <w:szCs w:val="24"/>
        </w:rPr>
        <w:t>词</w:t>
      </w:r>
      <w:r>
        <w:rPr>
          <w:rFonts w:hint="default" w:ascii="Times New Roman" w:hAnsi="Times New Roman" w:eastAsia="宋体" w:cs="Times New Roman"/>
          <w:spacing w:val="-3"/>
          <w:position w:val="1"/>
          <w:sz w:val="24"/>
          <w:szCs w:val="24"/>
        </w:rPr>
        <w:t>：社会转型背景；乡村伦理困境；现实归因；实践</w:t>
      </w:r>
      <w:r>
        <w:rPr>
          <w:rFonts w:hint="default" w:ascii="Times New Roman" w:hAnsi="Times New Roman" w:eastAsia="宋体" w:cs="Times New Roman"/>
          <w:spacing w:val="-4"/>
          <w:position w:val="1"/>
          <w:sz w:val="24"/>
          <w:szCs w:val="24"/>
        </w:rPr>
        <w:t>取向</w:t>
      </w:r>
    </w:p>
    <w:p w14:paraId="7AA4643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全面建设社会主义现代化国家进程中，农业、农</w:t>
      </w:r>
      <w:r>
        <w:rPr>
          <w:rFonts w:hint="default" w:ascii="Times New Roman" w:hAnsi="Times New Roman" w:eastAsia="宋体" w:cs="Times New Roman"/>
          <w:color w:val="231F20"/>
          <w:spacing w:val="9"/>
          <w:sz w:val="24"/>
          <w:szCs w:val="24"/>
        </w:rPr>
        <w:t>村、农民的现代化是一项不可或缺的重要内容。但由</w:t>
      </w:r>
      <w:r>
        <w:rPr>
          <w:rFonts w:hint="default" w:ascii="Times New Roman" w:hAnsi="Times New Roman" w:eastAsia="宋体" w:cs="Times New Roman"/>
          <w:color w:val="231F20"/>
          <w:spacing w:val="10"/>
          <w:sz w:val="24"/>
          <w:szCs w:val="24"/>
        </w:rPr>
        <w:t>于城乡发展的不平衡和城镇化进程的不断加快，不可避免地出现了资源更多向城市集聚的现象，导致在社会主义现代化建设进程前期农村经济社会发展相对滞后，成为全面建设社会主义现代化国家新征程的一个</w:t>
      </w:r>
      <w:r>
        <w:rPr>
          <w:rFonts w:hint="default" w:ascii="Times New Roman" w:hAnsi="Times New Roman" w:eastAsia="宋体" w:cs="Times New Roman"/>
          <w:color w:val="231F20"/>
          <w:spacing w:val="2"/>
          <w:sz w:val="24"/>
          <w:szCs w:val="24"/>
        </w:rPr>
        <w:t>突出“短板”。为了补齐这一短板，中央作出了一系列</w:t>
      </w:r>
      <w:r>
        <w:rPr>
          <w:rFonts w:hint="default" w:ascii="Times New Roman" w:hAnsi="Times New Roman" w:eastAsia="宋体" w:cs="Times New Roman"/>
          <w:color w:val="231F20"/>
          <w:spacing w:val="-7"/>
          <w:sz w:val="24"/>
          <w:szCs w:val="24"/>
        </w:rPr>
        <w:t>战略部署，党的十九大提出了“乡村振兴”战略；党的十</w:t>
      </w:r>
      <w:r>
        <w:rPr>
          <w:rFonts w:hint="default" w:ascii="Times New Roman" w:hAnsi="Times New Roman" w:eastAsia="宋体" w:cs="Times New Roman"/>
          <w:color w:val="231F20"/>
          <w:spacing w:val="2"/>
          <w:sz w:val="24"/>
          <w:szCs w:val="24"/>
        </w:rPr>
        <w:t>九届五中全会提出“坚持把解决好‘三农’问题作为全</w:t>
      </w:r>
      <w:r>
        <w:rPr>
          <w:rFonts w:hint="default" w:ascii="Times New Roman" w:hAnsi="Times New Roman" w:eastAsia="宋体" w:cs="Times New Roman"/>
          <w:color w:val="231F20"/>
          <w:spacing w:val="5"/>
          <w:sz w:val="24"/>
          <w:szCs w:val="24"/>
        </w:rPr>
        <w:t>党工作重中之重，走中国特色社会主义乡村振兴道路，</w:t>
      </w:r>
      <w:r>
        <w:rPr>
          <w:rFonts w:hint="default" w:ascii="Times New Roman" w:hAnsi="Times New Roman" w:eastAsia="宋体" w:cs="Times New Roman"/>
          <w:color w:val="231F20"/>
          <w:spacing w:val="13"/>
          <w:sz w:val="24"/>
          <w:szCs w:val="24"/>
        </w:rPr>
        <w:t>全面实施乡村振兴战略……加快农业农村现代化”。</w:t>
      </w:r>
      <w:r>
        <w:rPr>
          <w:rFonts w:hint="default" w:ascii="Times New Roman" w:hAnsi="Times New Roman" w:eastAsia="宋体" w:cs="Times New Roman"/>
          <w:color w:val="231F20"/>
          <w:spacing w:val="10"/>
          <w:sz w:val="24"/>
          <w:szCs w:val="24"/>
        </w:rPr>
        <w:t>当前，伴随脱贫攻坚的胜利，全面建成小康社会目标</w:t>
      </w:r>
      <w:r>
        <w:rPr>
          <w:rFonts w:hint="default" w:ascii="Times New Roman" w:hAnsi="Times New Roman" w:eastAsia="宋体" w:cs="Times New Roman"/>
          <w:color w:val="231F20"/>
          <w:spacing w:val="2"/>
          <w:sz w:val="24"/>
          <w:szCs w:val="24"/>
        </w:rPr>
        <w:t>任务的顺利完成，中国乡村建设取得了很大进展，乡村</w:t>
      </w:r>
      <w:r>
        <w:rPr>
          <w:rFonts w:hint="default" w:ascii="Times New Roman" w:hAnsi="Times New Roman" w:eastAsia="宋体" w:cs="Times New Roman"/>
          <w:color w:val="231F20"/>
          <w:spacing w:val="12"/>
          <w:sz w:val="24"/>
          <w:szCs w:val="24"/>
        </w:rPr>
        <w:t>社会呈现出了强劲的活力和良好的发展态势</w:t>
      </w:r>
      <w:r>
        <w:rPr>
          <w:rFonts w:hint="default" w:ascii="Times New Roman" w:hAnsi="Times New Roman" w:eastAsia="宋体" w:cs="Times New Roman"/>
          <w:color w:val="231F20"/>
          <w:spacing w:val="11"/>
          <w:sz w:val="24"/>
          <w:szCs w:val="24"/>
        </w:rPr>
        <w:t>。但是，</w:t>
      </w:r>
      <w:r>
        <w:rPr>
          <w:rFonts w:hint="default" w:ascii="Times New Roman" w:hAnsi="Times New Roman" w:eastAsia="宋体" w:cs="Times New Roman"/>
          <w:color w:val="231F20"/>
          <w:spacing w:val="13"/>
          <w:sz w:val="24"/>
          <w:szCs w:val="24"/>
        </w:rPr>
        <w:t>一个不容忽视的问题就是，在乡村社会转型背景下，乡村伦理建设未能跟上经济社会发展的步伐和节奏，</w:t>
      </w:r>
      <w:r>
        <w:rPr>
          <w:rFonts w:hint="default" w:ascii="Times New Roman" w:hAnsi="Times New Roman" w:eastAsia="宋体" w:cs="Times New Roman"/>
          <w:color w:val="231F20"/>
          <w:spacing w:val="10"/>
          <w:sz w:val="24"/>
          <w:szCs w:val="24"/>
        </w:rPr>
        <w:t>甚至在种种因素的冲击下遭遇现实困境，在一定程度</w:t>
      </w:r>
      <w:r>
        <w:rPr>
          <w:rFonts w:hint="default" w:ascii="Times New Roman" w:hAnsi="Times New Roman" w:eastAsia="宋体" w:cs="Times New Roman"/>
          <w:color w:val="231F20"/>
          <w:spacing w:val="9"/>
          <w:sz w:val="24"/>
          <w:szCs w:val="24"/>
        </w:rPr>
        <w:t>上出现了被边缘化倾向。实施乡村振兴战略，离不开</w:t>
      </w:r>
      <w:r>
        <w:rPr>
          <w:rFonts w:hint="default" w:ascii="Times New Roman" w:hAnsi="Times New Roman" w:eastAsia="宋体" w:cs="Times New Roman"/>
          <w:color w:val="231F20"/>
          <w:spacing w:val="10"/>
          <w:sz w:val="24"/>
          <w:szCs w:val="24"/>
        </w:rPr>
        <w:t>乡村伦理道德建设的推动。习近平总书记在2020年中央农村工作会议上强调，“加强社会主义精神文明建设，加强农村思想道德建设，弘扬和践行社会主义</w:t>
      </w:r>
      <w:r>
        <w:rPr>
          <w:rFonts w:hint="default" w:ascii="Times New Roman" w:hAnsi="Times New Roman" w:eastAsia="宋体" w:cs="Times New Roman"/>
          <w:color w:val="231F20"/>
          <w:spacing w:val="2"/>
          <w:sz w:val="24"/>
          <w:szCs w:val="24"/>
        </w:rPr>
        <w:t>核心价值观，普及科学知识，推进农村移风易俗，推动形成文明乡风、良好家风、淳朴民风”，落脚点就是强</w:t>
      </w:r>
      <w:r>
        <w:rPr>
          <w:rFonts w:hint="default" w:ascii="Times New Roman" w:hAnsi="Times New Roman" w:eastAsia="宋体" w:cs="Times New Roman"/>
          <w:color w:val="231F20"/>
          <w:spacing w:val="9"/>
          <w:sz w:val="24"/>
          <w:szCs w:val="24"/>
        </w:rPr>
        <w:t>调要加强乡村伦理道德建设。可以说，大力加强乡村</w:t>
      </w:r>
      <w:r>
        <w:rPr>
          <w:rFonts w:hint="default" w:ascii="Times New Roman" w:hAnsi="Times New Roman" w:eastAsia="宋体" w:cs="Times New Roman"/>
          <w:color w:val="231F20"/>
          <w:spacing w:val="13"/>
          <w:sz w:val="24"/>
          <w:szCs w:val="24"/>
        </w:rPr>
        <w:t>伦理道德建设关乎农民整体素质和人文素养的提升，</w:t>
      </w:r>
      <w:r>
        <w:rPr>
          <w:rFonts w:hint="default" w:ascii="Times New Roman" w:hAnsi="Times New Roman" w:eastAsia="宋体" w:cs="Times New Roman"/>
          <w:color w:val="231F20"/>
          <w:spacing w:val="7"/>
          <w:sz w:val="24"/>
          <w:szCs w:val="24"/>
        </w:rPr>
        <w:t>关乎农业农村现代化进程的推进。因此，社会转型背</w:t>
      </w:r>
      <w:r>
        <w:rPr>
          <w:rFonts w:hint="default" w:ascii="Times New Roman" w:hAnsi="Times New Roman" w:eastAsia="宋体" w:cs="Times New Roman"/>
          <w:color w:val="231F20"/>
          <w:spacing w:val="18"/>
          <w:sz w:val="24"/>
          <w:szCs w:val="24"/>
        </w:rPr>
        <w:t>景下，如何重构乡村伦理是亟须关注和研究的重要</w:t>
      </w:r>
      <w:r>
        <w:rPr>
          <w:rFonts w:hint="default" w:ascii="Times New Roman" w:hAnsi="Times New Roman" w:eastAsia="宋体" w:cs="Times New Roman"/>
          <w:color w:val="231F20"/>
          <w:spacing w:val="6"/>
          <w:sz w:val="24"/>
          <w:szCs w:val="24"/>
        </w:rPr>
        <w:t>课题。</w:t>
      </w:r>
    </w:p>
    <w:p w14:paraId="277B9507">
      <w:pPr>
        <w:bidi w:val="0"/>
        <w:outlineLvl w:val="9"/>
        <w:rPr>
          <w:rFonts w:hint="default"/>
        </w:rPr>
      </w:pPr>
      <w:r>
        <w:rPr>
          <w:rFonts w:hint="default"/>
        </w:rPr>
        <w:t>一、现实困境：社会转型背景下乡村伦理建设面临的问题</w:t>
      </w:r>
    </w:p>
    <w:p w14:paraId="661C34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乡村社会建设不仅需要经济发展水平的提高、物质生活的丰富，还需要农民道德意识的提升和乡村社</w:t>
      </w:r>
      <w:r>
        <w:rPr>
          <w:rFonts w:hint="default" w:ascii="Times New Roman" w:hAnsi="Times New Roman" w:eastAsia="宋体" w:cs="Times New Roman"/>
          <w:color w:val="231F20"/>
          <w:spacing w:val="9"/>
          <w:sz w:val="24"/>
          <w:szCs w:val="24"/>
        </w:rPr>
        <w:t>会伦理关系的完善。这不仅是乡村振兴的需要，更是</w:t>
      </w:r>
      <w:r>
        <w:rPr>
          <w:rFonts w:hint="default" w:ascii="Times New Roman" w:hAnsi="Times New Roman" w:eastAsia="宋体" w:cs="Times New Roman"/>
          <w:color w:val="231F20"/>
          <w:spacing w:val="7"/>
          <w:sz w:val="24"/>
          <w:szCs w:val="24"/>
        </w:rPr>
        <w:t>推进农业农村现代化的需要。当下的乡村社会，伦理</w:t>
      </w:r>
      <w:r>
        <w:rPr>
          <w:rFonts w:hint="default" w:ascii="Times New Roman" w:hAnsi="Times New Roman" w:eastAsia="宋体" w:cs="Times New Roman"/>
          <w:color w:val="231F20"/>
          <w:spacing w:val="4"/>
          <w:sz w:val="24"/>
          <w:szCs w:val="24"/>
        </w:rPr>
        <w:t>建设面临着诸多困境，其背后的原因也较为复杂。</w:t>
      </w:r>
    </w:p>
    <w:p w14:paraId="3AE1804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（一）传统道德伦理的约束力逐渐减弱</w:t>
      </w:r>
    </w:p>
    <w:p w14:paraId="3FE048A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在传统乡村社会，受农村经济社会发展水平的制约，乡村权威往往是由从事农业生产的，有着丰富技</w:t>
      </w:r>
      <w:r>
        <w:rPr>
          <w:rFonts w:hint="default" w:ascii="Times New Roman" w:hAnsi="Times New Roman" w:eastAsia="宋体" w:cs="Times New Roman"/>
          <w:color w:val="231F20"/>
          <w:spacing w:val="2"/>
          <w:sz w:val="24"/>
          <w:szCs w:val="24"/>
        </w:rPr>
        <w:t>术、经验或财富的人掌握，这是中国乡村伦理传统的一</w:t>
      </w:r>
      <w:r>
        <w:rPr>
          <w:rFonts w:hint="default" w:ascii="Times New Roman" w:hAnsi="Times New Roman" w:eastAsia="宋体" w:cs="Times New Roman"/>
          <w:color w:val="231F20"/>
          <w:spacing w:val="1"/>
          <w:sz w:val="24"/>
          <w:szCs w:val="24"/>
        </w:rPr>
        <w:t>大特色，与农村经济发展水平直接相关。利奥塔在《后</w:t>
      </w:r>
      <w:r>
        <w:rPr>
          <w:rFonts w:hint="default" w:ascii="Times New Roman" w:hAnsi="Times New Roman" w:eastAsia="宋体" w:cs="Times New Roman"/>
          <w:color w:val="231F20"/>
          <w:spacing w:val="10"/>
          <w:sz w:val="24"/>
          <w:szCs w:val="24"/>
        </w:rPr>
        <w:t>现代状况——关于知识的报告》一书中曾提到传统社会知识积累和传递模式的特点，即传统知识的积累是</w:t>
      </w:r>
      <w:r>
        <w:rPr>
          <w:rFonts w:hint="default" w:ascii="Times New Roman" w:hAnsi="Times New Roman" w:eastAsia="宋体" w:cs="Times New Roman"/>
          <w:color w:val="231F20"/>
          <w:spacing w:val="2"/>
          <w:sz w:val="24"/>
          <w:szCs w:val="24"/>
        </w:rPr>
        <w:t>依赖社会经验、生活体验和不断试错而积聚知识，而知识的传递则是通过口口相传、讲故事等方式来实现，这</w:t>
      </w:r>
      <w:r>
        <w:rPr>
          <w:rFonts w:hint="default" w:ascii="Times New Roman" w:hAnsi="Times New Roman" w:eastAsia="宋体" w:cs="Times New Roman"/>
          <w:color w:val="231F20"/>
          <w:spacing w:val="5"/>
          <w:sz w:val="24"/>
          <w:szCs w:val="24"/>
        </w:rPr>
        <w:t>就决定了经历越丰富、知识越多的人越容易成为权威。</w:t>
      </w:r>
      <w:r>
        <w:rPr>
          <w:rFonts w:hint="default" w:ascii="Times New Roman" w:hAnsi="Times New Roman" w:eastAsia="宋体" w:cs="Times New Roman"/>
          <w:color w:val="231F20"/>
          <w:spacing w:val="2"/>
          <w:sz w:val="24"/>
          <w:szCs w:val="24"/>
        </w:rPr>
        <w:t>因此，权威的力量在传统社会中无形中被推到了很高的</w:t>
      </w:r>
      <w:r>
        <w:rPr>
          <w:rFonts w:hint="default" w:ascii="Times New Roman" w:hAnsi="Times New Roman" w:eastAsia="宋体" w:cs="Times New Roman"/>
          <w:color w:val="231F20"/>
          <w:spacing w:val="3"/>
          <w:sz w:val="24"/>
          <w:szCs w:val="24"/>
        </w:rPr>
        <w:t>程度。这一特点在我国传统乡村社会体现得尤为明显。</w:t>
      </w:r>
    </w:p>
    <w:p w14:paraId="486690C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改革开放以来，随着中国从传统社会向现代社会</w:t>
      </w:r>
      <w:r>
        <w:rPr>
          <w:rFonts w:hint="default" w:ascii="Times New Roman" w:hAnsi="Times New Roman" w:eastAsia="宋体" w:cs="Times New Roman"/>
          <w:color w:val="231F20"/>
          <w:spacing w:val="2"/>
          <w:sz w:val="24"/>
          <w:szCs w:val="24"/>
        </w:rPr>
        <w:t>的转变，我国社会结构也发生根本变化，大批农村劳动</w:t>
      </w:r>
      <w:r>
        <w:rPr>
          <w:rFonts w:hint="default" w:ascii="Times New Roman" w:hAnsi="Times New Roman" w:eastAsia="宋体" w:cs="Times New Roman"/>
          <w:color w:val="231F20"/>
          <w:spacing w:val="4"/>
          <w:sz w:val="24"/>
          <w:szCs w:val="24"/>
        </w:rPr>
        <w:t>力外出打工，打破了传统的自给自足的家庭经济模式，</w:t>
      </w:r>
      <w:r>
        <w:rPr>
          <w:rFonts w:hint="default" w:ascii="Times New Roman" w:hAnsi="Times New Roman" w:eastAsia="宋体" w:cs="Times New Roman"/>
          <w:color w:val="231F20"/>
          <w:spacing w:val="10"/>
          <w:sz w:val="24"/>
          <w:szCs w:val="24"/>
        </w:rPr>
        <w:t>乡村社会的权威结构也随之发生了很大变化。同时，随着高等教育的不断扩招，农村青年受教育水平也有</w:t>
      </w:r>
      <w:r>
        <w:rPr>
          <w:rFonts w:hint="default" w:ascii="Times New Roman" w:hAnsi="Times New Roman" w:eastAsia="宋体" w:cs="Times New Roman"/>
          <w:color w:val="231F20"/>
          <w:spacing w:val="2"/>
          <w:sz w:val="24"/>
          <w:szCs w:val="24"/>
        </w:rPr>
        <w:t>所提高，获取知识的途径主要是通过在校学习，之前依</w:t>
      </w:r>
      <w:r>
        <w:rPr>
          <w:rFonts w:hint="default" w:ascii="Times New Roman" w:hAnsi="Times New Roman" w:eastAsia="宋体" w:cs="Times New Roman"/>
          <w:color w:val="231F20"/>
          <w:spacing w:val="10"/>
          <w:sz w:val="24"/>
          <w:szCs w:val="24"/>
        </w:rPr>
        <w:t>靠掌握技术和经验的乡村权威的传统大大弱化，使得传统乡村伦理被边缘化，乡村伦理制度和道德权威的</w:t>
      </w:r>
      <w:r>
        <w:rPr>
          <w:rFonts w:hint="default" w:ascii="Times New Roman" w:hAnsi="Times New Roman" w:eastAsia="宋体" w:cs="Times New Roman"/>
          <w:color w:val="231F20"/>
          <w:spacing w:val="9"/>
          <w:sz w:val="24"/>
          <w:szCs w:val="24"/>
        </w:rPr>
        <w:t>约束力日渐减弱。调研显示，随着城镇化进程的不断</w:t>
      </w:r>
      <w:r>
        <w:rPr>
          <w:rFonts w:hint="default" w:ascii="Times New Roman" w:hAnsi="Times New Roman" w:eastAsia="宋体" w:cs="Times New Roman"/>
          <w:color w:val="231F20"/>
          <w:spacing w:val="2"/>
          <w:sz w:val="24"/>
          <w:szCs w:val="24"/>
        </w:rPr>
        <w:t>加快，进城务工人员也越来越多，很多村落甚至只剩下</w:t>
      </w:r>
      <w:r>
        <w:rPr>
          <w:rFonts w:hint="default" w:ascii="Times New Roman" w:hAnsi="Times New Roman" w:eastAsia="宋体" w:cs="Times New Roman"/>
          <w:color w:val="231F20"/>
          <w:spacing w:val="4"/>
          <w:sz w:val="24"/>
          <w:szCs w:val="24"/>
        </w:rPr>
        <w:t>老人和小孩，成为空巢村，造成的负面影响之一就是，</w:t>
      </w:r>
      <w:r>
        <w:rPr>
          <w:rFonts w:hint="default" w:ascii="Times New Roman" w:hAnsi="Times New Roman" w:eastAsia="宋体" w:cs="Times New Roman"/>
          <w:color w:val="231F20"/>
          <w:spacing w:val="10"/>
          <w:sz w:val="24"/>
          <w:szCs w:val="24"/>
        </w:rPr>
        <w:t>子女与父母相处的时间很少，孝道等传统伦理在一些家庭中有所衰落，甚至有个别家庭还出现了子女推诿</w:t>
      </w:r>
      <w:r>
        <w:rPr>
          <w:rFonts w:hint="default" w:ascii="Times New Roman" w:hAnsi="Times New Roman" w:eastAsia="宋体" w:cs="Times New Roman"/>
          <w:color w:val="231F20"/>
          <w:spacing w:val="2"/>
          <w:sz w:val="24"/>
          <w:szCs w:val="24"/>
        </w:rPr>
        <w:t>扯皮、不愿赡养老人的情况，导致乡村社会中老人的养</w:t>
      </w:r>
      <w:r>
        <w:rPr>
          <w:rFonts w:hint="default" w:ascii="Times New Roman" w:hAnsi="Times New Roman" w:eastAsia="宋体" w:cs="Times New Roman"/>
          <w:color w:val="231F20"/>
          <w:spacing w:val="8"/>
          <w:sz w:val="24"/>
          <w:szCs w:val="24"/>
        </w:rPr>
        <w:t>老问题成为不可忽视的社会难题。</w:t>
      </w:r>
    </w:p>
    <w:p w14:paraId="519F88A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（二）多元价值冲突导致心理迷茫和价值观扭曲</w:t>
      </w:r>
    </w:p>
    <w:p w14:paraId="695F130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长期以来，城乡二元体制的存在使城镇与乡村的</w:t>
      </w:r>
      <w:r>
        <w:rPr>
          <w:rFonts w:hint="default" w:ascii="Times New Roman" w:hAnsi="Times New Roman" w:eastAsia="宋体" w:cs="Times New Roman"/>
          <w:color w:val="231F20"/>
          <w:spacing w:val="4"/>
          <w:sz w:val="24"/>
          <w:szCs w:val="24"/>
        </w:rPr>
        <w:t>差距日益增大。一方面，是来自城市生活的物质诱惑。</w:t>
      </w:r>
      <w:r>
        <w:rPr>
          <w:rFonts w:hint="default" w:ascii="Times New Roman" w:hAnsi="Times New Roman" w:eastAsia="宋体" w:cs="Times New Roman"/>
          <w:color w:val="231F20"/>
          <w:spacing w:val="10"/>
          <w:sz w:val="24"/>
          <w:szCs w:val="24"/>
        </w:rPr>
        <w:t>城市有着优越的生存环境和相对较高的收入水平，各</w:t>
      </w:r>
      <w:r>
        <w:rPr>
          <w:rFonts w:hint="default" w:ascii="Times New Roman" w:hAnsi="Times New Roman" w:eastAsia="宋体" w:cs="Times New Roman"/>
          <w:color w:val="231F20"/>
          <w:spacing w:val="2"/>
          <w:sz w:val="24"/>
          <w:szCs w:val="24"/>
        </w:rPr>
        <w:t>种配套设施相对健全和完善，生活条件便利，能够在满</w:t>
      </w:r>
      <w:r>
        <w:rPr>
          <w:rFonts w:hint="default" w:ascii="Times New Roman" w:hAnsi="Times New Roman" w:eastAsia="宋体" w:cs="Times New Roman"/>
          <w:color w:val="231F20"/>
          <w:spacing w:val="13"/>
          <w:sz w:val="24"/>
          <w:szCs w:val="24"/>
        </w:rPr>
        <w:t>足人的物质生活的同时满足人的精神文化生活需求。</w:t>
      </w:r>
      <w:r>
        <w:rPr>
          <w:rFonts w:hint="default" w:ascii="Times New Roman" w:hAnsi="Times New Roman" w:eastAsia="宋体" w:cs="Times New Roman"/>
          <w:color w:val="231F20"/>
          <w:spacing w:val="10"/>
          <w:sz w:val="24"/>
          <w:szCs w:val="24"/>
        </w:rPr>
        <w:t>这对那些在城市中接受教育或务工的青年农民来说有</w:t>
      </w:r>
      <w:r>
        <w:rPr>
          <w:rFonts w:hint="default" w:ascii="Times New Roman" w:hAnsi="Times New Roman" w:eastAsia="宋体" w:cs="Times New Roman"/>
          <w:color w:val="231F20"/>
          <w:spacing w:val="5"/>
          <w:sz w:val="24"/>
          <w:szCs w:val="24"/>
        </w:rPr>
        <w:t>很强的吸引力，有利于激励他们积极进取、奋发拼搏，</w:t>
      </w:r>
      <w:r>
        <w:rPr>
          <w:rFonts w:hint="default" w:ascii="Times New Roman" w:hAnsi="Times New Roman" w:eastAsia="宋体" w:cs="Times New Roman"/>
          <w:color w:val="231F20"/>
          <w:spacing w:val="10"/>
          <w:sz w:val="24"/>
          <w:szCs w:val="24"/>
        </w:rPr>
        <w:t>以城市文明的生活习惯和生活方式引导与约束自身行</w:t>
      </w:r>
      <w:r>
        <w:rPr>
          <w:rFonts w:hint="default" w:ascii="Times New Roman" w:hAnsi="Times New Roman" w:eastAsia="宋体" w:cs="Times New Roman"/>
          <w:color w:val="231F20"/>
          <w:spacing w:val="2"/>
          <w:sz w:val="24"/>
          <w:szCs w:val="24"/>
        </w:rPr>
        <w:t>为，将进入城市社会摆脱乡村身份作为奋斗目标；另一</w:t>
      </w:r>
      <w:r>
        <w:rPr>
          <w:rFonts w:hint="default" w:ascii="Times New Roman" w:hAnsi="Times New Roman" w:eastAsia="宋体" w:cs="Times New Roman"/>
          <w:color w:val="231F20"/>
          <w:spacing w:val="5"/>
          <w:sz w:val="24"/>
          <w:szCs w:val="24"/>
        </w:rPr>
        <w:t>方面，乡村村民来到城市之后也会遭遇种种生存压力，</w:t>
      </w:r>
      <w:r>
        <w:rPr>
          <w:rFonts w:hint="default" w:ascii="Times New Roman" w:hAnsi="Times New Roman" w:eastAsia="宋体" w:cs="Times New Roman"/>
          <w:color w:val="231F20"/>
          <w:spacing w:val="10"/>
          <w:sz w:val="24"/>
          <w:szCs w:val="24"/>
        </w:rPr>
        <w:t>加上市场经济大潮中消费文化、网络文化的泛滥以及多种价值观冲突带来的心理迷茫，导致一些法治观念</w:t>
      </w:r>
      <w:r>
        <w:rPr>
          <w:rFonts w:hint="default" w:ascii="Times New Roman" w:hAnsi="Times New Roman" w:eastAsia="宋体" w:cs="Times New Roman"/>
          <w:color w:val="231F20"/>
          <w:spacing w:val="2"/>
          <w:sz w:val="24"/>
          <w:szCs w:val="24"/>
        </w:rPr>
        <w:t>缺失、道德意识淡薄的村民深陷生存伦理的旋涡，出现</w:t>
      </w:r>
      <w:r>
        <w:rPr>
          <w:rFonts w:hint="default" w:ascii="Times New Roman" w:hAnsi="Times New Roman" w:eastAsia="宋体" w:cs="Times New Roman"/>
          <w:color w:val="231F20"/>
          <w:spacing w:val="1"/>
          <w:sz w:val="24"/>
          <w:szCs w:val="24"/>
        </w:rPr>
        <w:t>价值观扭曲、行为失范等现象。</w:t>
      </w:r>
    </w:p>
    <w:p w14:paraId="3FC5A5C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position w:val="1"/>
          <w:sz w:val="24"/>
          <w:szCs w:val="24"/>
        </w:rPr>
        <w:t>（三）诚信意识相对衰退</w:t>
      </w:r>
    </w:p>
    <w:p w14:paraId="61C2468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诚信是中华民族的传统美德。诚实待人、信</w:t>
      </w:r>
      <w:r>
        <w:rPr>
          <w:rFonts w:hint="default" w:ascii="Times New Roman" w:hAnsi="Times New Roman" w:eastAsia="宋体" w:cs="Times New Roman"/>
          <w:color w:val="231F20"/>
          <w:spacing w:val="8"/>
          <w:sz w:val="24"/>
          <w:szCs w:val="24"/>
        </w:rPr>
        <w:t>守承</w:t>
      </w:r>
      <w:r>
        <w:rPr>
          <w:rFonts w:hint="default" w:ascii="Times New Roman" w:hAnsi="Times New Roman" w:eastAsia="宋体" w:cs="Times New Roman"/>
          <w:color w:val="231F20"/>
          <w:spacing w:val="2"/>
          <w:sz w:val="24"/>
          <w:szCs w:val="24"/>
        </w:rPr>
        <w:t>诺，是一个人的立身之本，也是保证社会成员之间健康</w:t>
      </w:r>
      <w:r>
        <w:rPr>
          <w:rFonts w:hint="default" w:ascii="Times New Roman" w:hAnsi="Times New Roman" w:eastAsia="宋体" w:cs="Times New Roman"/>
          <w:color w:val="231F20"/>
          <w:spacing w:val="9"/>
          <w:sz w:val="24"/>
          <w:szCs w:val="24"/>
        </w:rPr>
        <w:t>交往与和谐相处的基本伦理规范。但是，随着乡村经</w:t>
      </w:r>
      <w:r>
        <w:rPr>
          <w:rFonts w:hint="default" w:ascii="Times New Roman" w:hAnsi="Times New Roman" w:eastAsia="宋体" w:cs="Times New Roman"/>
          <w:color w:val="231F20"/>
          <w:spacing w:val="2"/>
          <w:sz w:val="24"/>
          <w:szCs w:val="24"/>
        </w:rPr>
        <w:t>济社会发展，逐利、物质至上的市场经济原则也开始渗透到乡村生产生活之中，出于成本—效益的考量，一些村民为谋取物质利益的最大化，违背诚信原则，选择了</w:t>
      </w:r>
      <w:r>
        <w:rPr>
          <w:rFonts w:hint="default" w:ascii="Times New Roman" w:hAnsi="Times New Roman" w:eastAsia="宋体" w:cs="Times New Roman"/>
          <w:color w:val="231F20"/>
          <w:spacing w:val="9"/>
          <w:sz w:val="24"/>
          <w:szCs w:val="24"/>
        </w:rPr>
        <w:t>欺诈的做法。特别是在一些地方农村的陌生人经济交</w:t>
      </w:r>
      <w:r>
        <w:rPr>
          <w:rFonts w:hint="default" w:ascii="Times New Roman" w:hAnsi="Times New Roman" w:eastAsia="宋体" w:cs="Times New Roman"/>
          <w:color w:val="231F20"/>
          <w:spacing w:val="2"/>
          <w:sz w:val="24"/>
          <w:szCs w:val="24"/>
        </w:rPr>
        <w:t>往中，微小的欺诈时有发生，诚信往往只存在于熟人之</w:t>
      </w:r>
      <w:r>
        <w:rPr>
          <w:rFonts w:hint="default" w:ascii="Times New Roman" w:hAnsi="Times New Roman" w:eastAsia="宋体" w:cs="Times New Roman"/>
          <w:color w:val="231F20"/>
          <w:spacing w:val="9"/>
          <w:sz w:val="24"/>
          <w:szCs w:val="24"/>
        </w:rPr>
        <w:t>间的长期交往中。对于经济交往中的短斤少两、以次</w:t>
      </w:r>
      <w:r>
        <w:rPr>
          <w:rFonts w:hint="default" w:ascii="Times New Roman" w:hAnsi="Times New Roman" w:eastAsia="宋体" w:cs="Times New Roman"/>
          <w:color w:val="231F20"/>
          <w:spacing w:val="4"/>
          <w:sz w:val="24"/>
          <w:szCs w:val="24"/>
        </w:rPr>
        <w:t>充好等不诚信行为，不少村民也持“有限”容忍态度。</w:t>
      </w:r>
      <w:r>
        <w:rPr>
          <w:rFonts w:hint="default" w:ascii="Times New Roman" w:hAnsi="Times New Roman" w:eastAsia="宋体" w:cs="Times New Roman"/>
          <w:color w:val="231F20"/>
          <w:spacing w:val="19"/>
          <w:sz w:val="24"/>
          <w:szCs w:val="24"/>
        </w:rPr>
        <w:t>诚信意识衰退的现象在国家精准扶贫工作中也有出</w:t>
      </w:r>
      <w:r>
        <w:rPr>
          <w:rFonts w:hint="default" w:ascii="Times New Roman" w:hAnsi="Times New Roman" w:eastAsia="宋体" w:cs="Times New Roman"/>
          <w:color w:val="231F20"/>
          <w:spacing w:val="2"/>
          <w:sz w:val="24"/>
          <w:szCs w:val="24"/>
        </w:rPr>
        <w:t>现，比如，一些村民为了享受国家扶贫政策的好处，弄</w:t>
      </w:r>
      <w:r>
        <w:rPr>
          <w:rFonts w:hint="default" w:ascii="Times New Roman" w:hAnsi="Times New Roman" w:eastAsia="宋体" w:cs="Times New Roman"/>
          <w:color w:val="231F20"/>
          <w:spacing w:val="9"/>
          <w:sz w:val="24"/>
          <w:szCs w:val="24"/>
        </w:rPr>
        <w:t>虚作假，争当建档立卡贫困户。这些不诚信的行为都</w:t>
      </w:r>
      <w:r>
        <w:rPr>
          <w:rFonts w:hint="default" w:ascii="Times New Roman" w:hAnsi="Times New Roman" w:eastAsia="宋体" w:cs="Times New Roman"/>
          <w:color w:val="231F20"/>
          <w:spacing w:val="10"/>
          <w:sz w:val="24"/>
          <w:szCs w:val="24"/>
        </w:rPr>
        <w:t>是出于对自身利益最大化的考量，都成为一些村民实</w:t>
      </w:r>
      <w:r>
        <w:rPr>
          <w:rFonts w:hint="default" w:ascii="Times New Roman" w:hAnsi="Times New Roman" w:eastAsia="宋体" w:cs="Times New Roman"/>
          <w:color w:val="231F20"/>
          <w:spacing w:val="8"/>
          <w:sz w:val="24"/>
          <w:szCs w:val="24"/>
        </w:rPr>
        <w:t>现自身利益最大化的工具。</w:t>
      </w:r>
    </w:p>
    <w:p w14:paraId="2AC5BF5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（四）互帮互助等公益意识逐渐淡漠</w:t>
      </w:r>
    </w:p>
    <w:p w14:paraId="4D5B721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亚当·斯密在《道德情操论》中提出了伦理人概念，</w:t>
      </w:r>
      <w:r>
        <w:rPr>
          <w:rFonts w:hint="default" w:ascii="Times New Roman" w:hAnsi="Times New Roman" w:eastAsia="宋体" w:cs="Times New Roman"/>
          <w:color w:val="231F20"/>
          <w:spacing w:val="10"/>
          <w:sz w:val="24"/>
          <w:szCs w:val="24"/>
        </w:rPr>
        <w:t>认为任何人都不是脱离整个社会而独立存在的人，而</w:t>
      </w:r>
      <w:r>
        <w:rPr>
          <w:rFonts w:hint="default" w:ascii="Times New Roman" w:hAnsi="Times New Roman" w:eastAsia="宋体" w:cs="Times New Roman"/>
          <w:color w:val="231F20"/>
          <w:spacing w:val="2"/>
          <w:sz w:val="24"/>
          <w:szCs w:val="24"/>
        </w:rPr>
        <w:t>是整个社会关系的一员，“我们必须既不从自己所处的</w:t>
      </w:r>
      <w:r>
        <w:rPr>
          <w:rFonts w:hint="default" w:ascii="Times New Roman" w:hAnsi="Times New Roman" w:eastAsia="宋体" w:cs="Times New Roman"/>
          <w:color w:val="231F20"/>
          <w:spacing w:val="10"/>
          <w:sz w:val="24"/>
          <w:szCs w:val="24"/>
        </w:rPr>
        <w:t>地位也不从他所处的地位、既不用自己的眼光也不用他的眼光，而是从第三者所处的地位和用第三者的眼</w:t>
      </w:r>
      <w:r>
        <w:rPr>
          <w:rFonts w:hint="default" w:ascii="Times New Roman" w:hAnsi="Times New Roman" w:eastAsia="宋体" w:cs="Times New Roman"/>
          <w:color w:val="231F20"/>
          <w:spacing w:val="-5"/>
          <w:sz w:val="24"/>
          <w:szCs w:val="24"/>
        </w:rPr>
        <w:t>光来看待它们”</w:t>
      </w:r>
      <w:r>
        <w:rPr>
          <w:rFonts w:hint="default" w:ascii="Times New Roman" w:hAnsi="Times New Roman" w:eastAsia="宋体" w:cs="Times New Roman"/>
          <w:color w:val="231F20"/>
          <w:spacing w:val="-5"/>
          <w:position w:val="5"/>
          <w:sz w:val="24"/>
          <w:szCs w:val="24"/>
        </w:rPr>
        <w:t>［1</w:t>
      </w:r>
      <w:r>
        <w:rPr>
          <w:rFonts w:hint="default" w:ascii="Times New Roman" w:hAnsi="Times New Roman" w:eastAsia="宋体" w:cs="Times New Roman"/>
          <w:color w:val="231F20"/>
          <w:spacing w:val="-33"/>
          <w:position w:val="5"/>
          <w:sz w:val="24"/>
          <w:szCs w:val="24"/>
        </w:rPr>
        <w:t>］（</w:t>
      </w:r>
      <w:r>
        <w:rPr>
          <w:rFonts w:hint="default" w:ascii="Times New Roman" w:hAnsi="Times New Roman" w:eastAsia="宋体" w:cs="Times New Roman"/>
          <w:color w:val="231F20"/>
          <w:spacing w:val="-5"/>
          <w:position w:val="5"/>
          <w:sz w:val="24"/>
          <w:szCs w:val="24"/>
        </w:rPr>
        <w:t>P164</w:t>
      </w:r>
      <w:r>
        <w:rPr>
          <w:rFonts w:hint="default" w:ascii="Times New Roman" w:hAnsi="Times New Roman" w:eastAsia="宋体" w:cs="Times New Roman"/>
          <w:color w:val="231F20"/>
          <w:spacing w:val="-33"/>
          <w:position w:val="5"/>
          <w:sz w:val="24"/>
          <w:szCs w:val="24"/>
        </w:rPr>
        <w:t>）</w:t>
      </w:r>
      <w:r>
        <w:rPr>
          <w:rFonts w:hint="default" w:ascii="Times New Roman" w:hAnsi="Times New Roman" w:eastAsia="宋体" w:cs="Times New Roman"/>
          <w:color w:val="231F20"/>
          <w:spacing w:val="-48"/>
          <w:w w:val="73"/>
          <w:sz w:val="24"/>
          <w:szCs w:val="24"/>
        </w:rPr>
        <w:t>，</w:t>
      </w:r>
      <w:r>
        <w:rPr>
          <w:rFonts w:hint="default" w:ascii="Times New Roman" w:hAnsi="Times New Roman" w:eastAsia="宋体" w:cs="Times New Roman"/>
          <w:color w:val="231F20"/>
          <w:spacing w:val="-5"/>
          <w:sz w:val="24"/>
          <w:szCs w:val="24"/>
        </w:rPr>
        <w:t>即站在“公正的旁观者”角度抑</w:t>
      </w:r>
      <w:r>
        <w:rPr>
          <w:rFonts w:hint="default" w:ascii="Times New Roman" w:hAnsi="Times New Roman" w:eastAsia="宋体" w:cs="Times New Roman"/>
          <w:color w:val="231F20"/>
          <w:spacing w:val="9"/>
          <w:sz w:val="24"/>
          <w:szCs w:val="24"/>
        </w:rPr>
        <w:t>制人们的自利倾向，促使人们做出利他行为。正如马克思所说，人是社会关系的产物。人的社会生活总是</w:t>
      </w:r>
      <w:r>
        <w:rPr>
          <w:rFonts w:hint="default" w:ascii="Times New Roman" w:hAnsi="Times New Roman" w:eastAsia="宋体" w:cs="Times New Roman"/>
          <w:color w:val="231F20"/>
          <w:spacing w:val="13"/>
          <w:sz w:val="24"/>
          <w:szCs w:val="24"/>
        </w:rPr>
        <w:t>存在于以一定的地缘和业缘为基础的社会共同体中。</w:t>
      </w:r>
      <w:r>
        <w:rPr>
          <w:rFonts w:hint="default" w:ascii="Times New Roman" w:hAnsi="Times New Roman" w:eastAsia="宋体" w:cs="Times New Roman"/>
          <w:color w:val="231F20"/>
          <w:spacing w:val="10"/>
          <w:sz w:val="24"/>
          <w:szCs w:val="24"/>
        </w:rPr>
        <w:t>由村民组成的村庄就是一个以地缘和业缘为基础的社</w:t>
      </w:r>
      <w:r>
        <w:rPr>
          <w:rFonts w:hint="default" w:ascii="Times New Roman" w:hAnsi="Times New Roman" w:eastAsia="宋体" w:cs="Times New Roman"/>
          <w:color w:val="231F20"/>
          <w:spacing w:val="2"/>
          <w:sz w:val="24"/>
          <w:szCs w:val="24"/>
        </w:rPr>
        <w:t>会共同体，邻里之间互帮互助、维护村庄的公共利益是</w:t>
      </w:r>
      <w:r>
        <w:rPr>
          <w:rFonts w:hint="default" w:ascii="Times New Roman" w:hAnsi="Times New Roman" w:eastAsia="宋体" w:cs="Times New Roman"/>
          <w:color w:val="231F20"/>
          <w:spacing w:val="10"/>
          <w:sz w:val="24"/>
          <w:szCs w:val="24"/>
        </w:rPr>
        <w:t>每位村民应该具有的道德意识，也是每位村民应该履</w:t>
      </w:r>
      <w:r>
        <w:rPr>
          <w:rFonts w:hint="default" w:ascii="Times New Roman" w:hAnsi="Times New Roman" w:eastAsia="宋体" w:cs="Times New Roman"/>
          <w:color w:val="231F20"/>
          <w:spacing w:val="1"/>
          <w:sz w:val="24"/>
          <w:szCs w:val="24"/>
        </w:rPr>
        <w:t>行的义务。但是，随着乡村社会结构的转型，对于</w:t>
      </w:r>
      <w:r>
        <w:rPr>
          <w:rFonts w:hint="default" w:ascii="Times New Roman" w:hAnsi="Times New Roman" w:eastAsia="宋体" w:cs="Times New Roman"/>
          <w:color w:val="231F20"/>
          <w:sz w:val="24"/>
          <w:szCs w:val="24"/>
        </w:rPr>
        <w:t>一些</w:t>
      </w:r>
      <w:r>
        <w:rPr>
          <w:rFonts w:hint="default" w:ascii="Times New Roman" w:hAnsi="Times New Roman" w:eastAsia="宋体" w:cs="Times New Roman"/>
          <w:color w:val="231F20"/>
          <w:spacing w:val="10"/>
          <w:sz w:val="24"/>
          <w:szCs w:val="24"/>
        </w:rPr>
        <w:t>进城务工农民尤其是新生代农民而言，除了原来的家</w:t>
      </w:r>
      <w:r>
        <w:rPr>
          <w:rFonts w:hint="default" w:ascii="Times New Roman" w:hAnsi="Times New Roman" w:eastAsia="宋体" w:cs="Times New Roman"/>
          <w:color w:val="231F20"/>
          <w:spacing w:val="2"/>
          <w:sz w:val="24"/>
          <w:szCs w:val="24"/>
        </w:rPr>
        <w:t>族及家庭的关联外，往往会形成新的社交群体，对乡村</w:t>
      </w:r>
      <w:r>
        <w:rPr>
          <w:rFonts w:hint="default" w:ascii="Times New Roman" w:hAnsi="Times New Roman" w:eastAsia="宋体" w:cs="Times New Roman"/>
          <w:color w:val="231F20"/>
          <w:spacing w:val="10"/>
          <w:sz w:val="24"/>
          <w:szCs w:val="24"/>
        </w:rPr>
        <w:t>传统的社交圈子反而会产生疏离之感，与村民之间互</w:t>
      </w:r>
      <w:r>
        <w:rPr>
          <w:rFonts w:hint="default" w:ascii="Times New Roman" w:hAnsi="Times New Roman" w:eastAsia="宋体" w:cs="Times New Roman"/>
          <w:color w:val="231F20"/>
          <w:spacing w:val="8"/>
          <w:sz w:val="24"/>
          <w:szCs w:val="24"/>
        </w:rPr>
        <w:t>帮互助等公益意识也会相对淡漠。</w:t>
      </w:r>
    </w:p>
    <w:p w14:paraId="190C8FBA">
      <w:pPr>
        <w:bidi w:val="0"/>
        <w:outlineLvl w:val="9"/>
        <w:rPr>
          <w:rFonts w:hint="default"/>
        </w:rPr>
      </w:pPr>
      <w:r>
        <w:rPr>
          <w:rFonts w:hint="default"/>
        </w:rPr>
        <w:t>二、现实归因：社会转型背景下乡村伦理困境的原因探析</w:t>
      </w:r>
    </w:p>
    <w:p w14:paraId="5E21850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（一）市场经济条件下逐利理念的负面影响</w:t>
      </w:r>
    </w:p>
    <w:p w14:paraId="4FBF36A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在计划经济的农村集体生产时代，村民对外交易</w:t>
      </w:r>
      <w:r>
        <w:rPr>
          <w:rFonts w:hint="default" w:ascii="Times New Roman" w:hAnsi="Times New Roman" w:eastAsia="宋体" w:cs="Times New Roman"/>
          <w:color w:val="231F20"/>
          <w:spacing w:val="2"/>
          <w:sz w:val="24"/>
          <w:szCs w:val="24"/>
        </w:rPr>
        <w:t>的主体是集体，集体交易的对象则是国家，集体对国家</w:t>
      </w:r>
      <w:r>
        <w:rPr>
          <w:rFonts w:hint="default" w:ascii="Times New Roman" w:hAnsi="Times New Roman" w:eastAsia="宋体" w:cs="Times New Roman"/>
          <w:color w:val="231F20"/>
          <w:spacing w:val="10"/>
          <w:sz w:val="24"/>
          <w:szCs w:val="24"/>
        </w:rPr>
        <w:t>的交易也不是商品经济属性的交易，而是履行对国家</w:t>
      </w:r>
      <w:r>
        <w:rPr>
          <w:rFonts w:hint="default" w:ascii="Times New Roman" w:hAnsi="Times New Roman" w:eastAsia="宋体" w:cs="Times New Roman"/>
          <w:color w:val="231F20"/>
          <w:spacing w:val="9"/>
          <w:sz w:val="24"/>
          <w:szCs w:val="24"/>
        </w:rPr>
        <w:t>上缴赋税的义务。作为集体经济中的一员，村民几乎</w:t>
      </w:r>
      <w:r>
        <w:rPr>
          <w:rFonts w:hint="default" w:ascii="Times New Roman" w:hAnsi="Times New Roman" w:eastAsia="宋体" w:cs="Times New Roman"/>
          <w:color w:val="231F20"/>
          <w:spacing w:val="10"/>
          <w:sz w:val="24"/>
          <w:szCs w:val="24"/>
        </w:rPr>
        <w:t>没有对外交易的机会和权利，这在某种程度上抑制了</w:t>
      </w:r>
      <w:r>
        <w:rPr>
          <w:rFonts w:hint="default" w:ascii="Times New Roman" w:hAnsi="Times New Roman" w:eastAsia="宋体" w:cs="Times New Roman"/>
          <w:color w:val="231F20"/>
          <w:spacing w:val="9"/>
          <w:sz w:val="24"/>
          <w:szCs w:val="24"/>
        </w:rPr>
        <w:t>村民积极参与生产工作的热情。发展社会主义市场经</w:t>
      </w:r>
      <w:r>
        <w:rPr>
          <w:rFonts w:hint="default" w:ascii="Times New Roman" w:hAnsi="Times New Roman" w:eastAsia="宋体" w:cs="Times New Roman"/>
          <w:color w:val="231F20"/>
          <w:spacing w:val="10"/>
          <w:sz w:val="24"/>
          <w:szCs w:val="24"/>
        </w:rPr>
        <w:t>济能够提高劳动生产率，增强人们的生产积极性和主</w:t>
      </w:r>
      <w:r>
        <w:rPr>
          <w:rFonts w:hint="default" w:ascii="Times New Roman" w:hAnsi="Times New Roman" w:eastAsia="宋体" w:cs="Times New Roman"/>
          <w:color w:val="231F20"/>
          <w:spacing w:val="2"/>
          <w:sz w:val="24"/>
          <w:szCs w:val="24"/>
        </w:rPr>
        <w:t>动性，但是，市场经济也有不容忽视的弊端，即市场经济具有趋利性，以追求利润最大化为目的，正如托夫勒</w:t>
      </w:r>
      <w:r>
        <w:rPr>
          <w:rFonts w:hint="default" w:ascii="Times New Roman" w:hAnsi="Times New Roman" w:eastAsia="宋体" w:cs="Times New Roman"/>
          <w:color w:val="231F20"/>
          <w:spacing w:val="10"/>
          <w:sz w:val="24"/>
          <w:szCs w:val="24"/>
        </w:rPr>
        <w:t>所言，金钱万能的理念盛行是市场经济过度发展的必</w:t>
      </w:r>
      <w:r>
        <w:rPr>
          <w:rFonts w:hint="default" w:ascii="Times New Roman" w:hAnsi="Times New Roman" w:eastAsia="宋体" w:cs="Times New Roman"/>
          <w:color w:val="231F20"/>
          <w:spacing w:val="4"/>
          <w:sz w:val="24"/>
          <w:szCs w:val="24"/>
        </w:rPr>
        <w:t>然结果，市场化使每个人依靠市场分工获得劳动报酬，</w:t>
      </w:r>
      <w:r>
        <w:rPr>
          <w:rFonts w:hint="default" w:ascii="Times New Roman" w:hAnsi="Times New Roman" w:eastAsia="宋体" w:cs="Times New Roman"/>
          <w:color w:val="231F20"/>
          <w:spacing w:val="2"/>
          <w:sz w:val="24"/>
          <w:szCs w:val="24"/>
        </w:rPr>
        <w:t>人际关系被异化为简单的数字交易。</w:t>
      </w:r>
      <w:r>
        <w:rPr>
          <w:rFonts w:hint="default" w:ascii="Times New Roman" w:hAnsi="Times New Roman" w:eastAsia="宋体" w:cs="Times New Roman"/>
          <w:color w:val="231F20"/>
          <w:spacing w:val="2"/>
          <w:position w:val="5"/>
          <w:sz w:val="24"/>
          <w:szCs w:val="24"/>
        </w:rPr>
        <w:t>［2</w:t>
      </w:r>
      <w:r>
        <w:rPr>
          <w:rFonts w:hint="default" w:ascii="Times New Roman" w:hAnsi="Times New Roman" w:eastAsia="宋体" w:cs="Times New Roman"/>
          <w:color w:val="231F20"/>
          <w:spacing w:val="-41"/>
          <w:position w:val="5"/>
          <w:sz w:val="24"/>
          <w:szCs w:val="24"/>
        </w:rPr>
        <w:t>］（</w:t>
      </w:r>
      <w:r>
        <w:rPr>
          <w:rFonts w:hint="default" w:ascii="Times New Roman" w:hAnsi="Times New Roman" w:eastAsia="宋体" w:cs="Times New Roman"/>
          <w:color w:val="231F20"/>
          <w:spacing w:val="2"/>
          <w:position w:val="5"/>
          <w:sz w:val="24"/>
          <w:szCs w:val="24"/>
        </w:rPr>
        <w:t>P38-39）</w:t>
      </w:r>
      <w:r>
        <w:rPr>
          <w:rFonts w:hint="default" w:ascii="Times New Roman" w:hAnsi="Times New Roman" w:eastAsia="宋体" w:cs="Times New Roman"/>
          <w:color w:val="231F20"/>
          <w:spacing w:val="2"/>
          <w:sz w:val="24"/>
          <w:szCs w:val="24"/>
        </w:rPr>
        <w:t>在市场经</w:t>
      </w:r>
      <w:r>
        <w:rPr>
          <w:rFonts w:hint="default" w:ascii="Times New Roman" w:hAnsi="Times New Roman" w:eastAsia="宋体" w:cs="Times New Roman"/>
          <w:color w:val="231F20"/>
          <w:spacing w:val="10"/>
          <w:sz w:val="24"/>
          <w:szCs w:val="24"/>
        </w:rPr>
        <w:t>济大潮的冲击下，生活在社会相对底层的村民为了得</w:t>
      </w:r>
      <w:r>
        <w:rPr>
          <w:rFonts w:hint="default" w:ascii="Times New Roman" w:hAnsi="Times New Roman" w:eastAsia="宋体" w:cs="Times New Roman"/>
          <w:color w:val="231F20"/>
          <w:spacing w:val="2"/>
          <w:sz w:val="24"/>
          <w:szCs w:val="24"/>
        </w:rPr>
        <w:t>到更好的物质生活，势必追求经济利益的最大化，而这往往会导致传统乡村伦理的失语或边缘化。“当今中国</w:t>
      </w:r>
      <w:r>
        <w:rPr>
          <w:rFonts w:hint="default" w:ascii="Times New Roman" w:hAnsi="Times New Roman" w:eastAsia="宋体" w:cs="Times New Roman"/>
          <w:color w:val="231F20"/>
          <w:spacing w:val="10"/>
          <w:sz w:val="24"/>
          <w:szCs w:val="24"/>
        </w:rPr>
        <w:t>的伦理问题，其直接诱因是在向市场经济转变的过程中，把经济利益的思维模式用到伦理判断和社会行动</w:t>
      </w:r>
      <w:r>
        <w:rPr>
          <w:rFonts w:hint="default" w:ascii="Times New Roman" w:hAnsi="Times New Roman" w:eastAsia="宋体" w:cs="Times New Roman"/>
          <w:color w:val="231F20"/>
          <w:spacing w:val="-7"/>
          <w:sz w:val="24"/>
          <w:szCs w:val="24"/>
        </w:rPr>
        <w:t>能力上。”</w:t>
      </w:r>
      <w:r>
        <w:rPr>
          <w:rFonts w:hint="default" w:ascii="Times New Roman" w:hAnsi="Times New Roman" w:eastAsia="宋体" w:cs="Times New Roman"/>
          <w:color w:val="231F20"/>
          <w:position w:val="6"/>
          <w:sz w:val="24"/>
          <w:szCs w:val="24"/>
        </w:rPr>
        <w:t>［3］</w:t>
      </w:r>
      <w:r>
        <w:rPr>
          <w:rFonts w:hint="default" w:ascii="Times New Roman" w:hAnsi="Times New Roman" w:eastAsia="宋体" w:cs="Times New Roman"/>
          <w:color w:val="231F20"/>
          <w:sz w:val="24"/>
          <w:szCs w:val="24"/>
        </w:rPr>
        <w:t>随着市场经济的深入发展，我国农村在从</w:t>
      </w:r>
      <w:r>
        <w:rPr>
          <w:rFonts w:hint="default" w:ascii="Times New Roman" w:hAnsi="Times New Roman" w:eastAsia="宋体" w:cs="Times New Roman"/>
          <w:color w:val="231F20"/>
          <w:spacing w:val="2"/>
          <w:sz w:val="24"/>
          <w:szCs w:val="24"/>
        </w:rPr>
        <w:t>传统社会向现代社会转型的过程中，趋利性、金钱至上</w:t>
      </w:r>
      <w:r>
        <w:rPr>
          <w:rFonts w:hint="default" w:ascii="Times New Roman" w:hAnsi="Times New Roman" w:eastAsia="宋体" w:cs="Times New Roman"/>
          <w:color w:val="231F20"/>
          <w:spacing w:val="13"/>
          <w:sz w:val="24"/>
          <w:szCs w:val="24"/>
        </w:rPr>
        <w:t>等观念势必在更大程度上影响参与经济活动的农民，</w:t>
      </w:r>
      <w:r>
        <w:rPr>
          <w:rFonts w:hint="default" w:ascii="Times New Roman" w:hAnsi="Times New Roman" w:eastAsia="宋体" w:cs="Times New Roman"/>
          <w:color w:val="231F20"/>
          <w:spacing w:val="10"/>
          <w:sz w:val="24"/>
          <w:szCs w:val="24"/>
        </w:rPr>
        <w:t>使其理想信念缺失，道德伦理滑坡，甚至出现拜金主</w:t>
      </w:r>
      <w:r>
        <w:rPr>
          <w:rFonts w:hint="default" w:ascii="Times New Roman" w:hAnsi="Times New Roman" w:eastAsia="宋体" w:cs="Times New Roman"/>
          <w:color w:val="231F20"/>
          <w:spacing w:val="3"/>
          <w:sz w:val="24"/>
          <w:szCs w:val="24"/>
        </w:rPr>
        <w:t>义、个人主义和享乐主义等不良倾向。</w:t>
      </w:r>
    </w:p>
    <w:p w14:paraId="39BB945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（二）农村教育水平相对落后导致村民思想文</w:t>
      </w:r>
      <w:r>
        <w:rPr>
          <w:rFonts w:hint="default" w:ascii="Times New Roman" w:hAnsi="Times New Roman" w:eastAsia="宋体" w:cs="Times New Roman"/>
          <w:color w:val="231F20"/>
          <w:spacing w:val="4"/>
          <w:sz w:val="24"/>
          <w:szCs w:val="24"/>
        </w:rPr>
        <w:t>化素</w:t>
      </w:r>
      <w:r>
        <w:rPr>
          <w:rFonts w:hint="default" w:ascii="Times New Roman" w:hAnsi="Times New Roman" w:eastAsia="宋体" w:cs="Times New Roman"/>
          <w:color w:val="231F20"/>
          <w:spacing w:val="7"/>
          <w:sz w:val="24"/>
          <w:szCs w:val="24"/>
        </w:rPr>
        <w:t>质相对较低</w:t>
      </w:r>
    </w:p>
    <w:p w14:paraId="629FF64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公民伦理建设受到公民文化水平的影响，因此，公</w:t>
      </w:r>
      <w:r>
        <w:rPr>
          <w:rFonts w:hint="default" w:ascii="Times New Roman" w:hAnsi="Times New Roman" w:eastAsia="宋体" w:cs="Times New Roman"/>
          <w:color w:val="231F20"/>
          <w:spacing w:val="10"/>
          <w:sz w:val="24"/>
          <w:szCs w:val="24"/>
        </w:rPr>
        <w:t>民文化素质的整体提高对伦理道德水平的提高有着重</w:t>
      </w:r>
      <w:r>
        <w:rPr>
          <w:rFonts w:hint="default" w:ascii="Times New Roman" w:hAnsi="Times New Roman" w:eastAsia="宋体" w:cs="Times New Roman"/>
          <w:color w:val="231F20"/>
          <w:spacing w:val="8"/>
          <w:sz w:val="24"/>
          <w:szCs w:val="24"/>
        </w:rPr>
        <w:t>要的促进作用。出现乡村伦理困境的一个重要原因就</w:t>
      </w:r>
      <w:r>
        <w:rPr>
          <w:rFonts w:hint="default" w:ascii="Times New Roman" w:hAnsi="Times New Roman" w:eastAsia="宋体" w:cs="Times New Roman"/>
          <w:color w:val="231F20"/>
          <w:spacing w:val="10"/>
          <w:sz w:val="24"/>
          <w:szCs w:val="24"/>
        </w:rPr>
        <w:t>是村民的文化素质不高，使其难以突破一些僵化思想</w:t>
      </w:r>
      <w:r>
        <w:rPr>
          <w:rFonts w:hint="default" w:ascii="Times New Roman" w:hAnsi="Times New Roman" w:eastAsia="宋体" w:cs="Times New Roman"/>
          <w:color w:val="231F20"/>
          <w:spacing w:val="-1"/>
          <w:sz w:val="24"/>
          <w:szCs w:val="24"/>
        </w:rPr>
        <w:t>的束缚、难以抵御一些社会不良风气的侵蚀。同时，一</w:t>
      </w:r>
    </w:p>
    <w:p w14:paraId="7FEC91A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些封建思想的残余还在影响部分村民，这在很大程度</w:t>
      </w:r>
      <w:r>
        <w:rPr>
          <w:rFonts w:hint="default" w:ascii="Times New Roman" w:hAnsi="Times New Roman" w:eastAsia="宋体" w:cs="Times New Roman"/>
          <w:color w:val="231F20"/>
          <w:spacing w:val="9"/>
          <w:sz w:val="24"/>
          <w:szCs w:val="24"/>
        </w:rPr>
        <w:t>上制约其伦理水平的提高和文明生活习惯的养成。此</w:t>
      </w:r>
      <w:r>
        <w:rPr>
          <w:rFonts w:hint="default" w:ascii="Times New Roman" w:hAnsi="Times New Roman" w:eastAsia="宋体" w:cs="Times New Roman"/>
          <w:color w:val="231F20"/>
          <w:spacing w:val="2"/>
          <w:sz w:val="24"/>
          <w:szCs w:val="24"/>
        </w:rPr>
        <w:t>外，村民的整体受教育程度偏低，一些青少年大都选择在乡镇一级的小学、中学读书，受家庭环境和教育环境的影响，很多人仅仅读到初中，成绩不太理想的话，往</w:t>
      </w:r>
      <w:r>
        <w:rPr>
          <w:rFonts w:hint="default" w:ascii="Times New Roman" w:hAnsi="Times New Roman" w:eastAsia="宋体" w:cs="Times New Roman"/>
          <w:color w:val="231F20"/>
          <w:spacing w:val="9"/>
          <w:sz w:val="24"/>
          <w:szCs w:val="24"/>
        </w:rPr>
        <w:t>往就不再继续接受正规学校教育了。少数出身农村的</w:t>
      </w:r>
      <w:r>
        <w:rPr>
          <w:rFonts w:hint="default" w:ascii="Times New Roman" w:hAnsi="Times New Roman" w:eastAsia="宋体" w:cs="Times New Roman"/>
          <w:color w:val="231F20"/>
          <w:spacing w:val="10"/>
          <w:sz w:val="24"/>
          <w:szCs w:val="24"/>
        </w:rPr>
        <w:t>青年即便是通过自身努力考上了大学，接受了高等教</w:t>
      </w:r>
      <w:r>
        <w:rPr>
          <w:rFonts w:hint="default" w:ascii="Times New Roman" w:hAnsi="Times New Roman" w:eastAsia="宋体" w:cs="Times New Roman"/>
          <w:color w:val="231F20"/>
          <w:spacing w:val="2"/>
          <w:sz w:val="24"/>
          <w:szCs w:val="24"/>
        </w:rPr>
        <w:t>育，由于资源受限，毕业后也很难在城市中找到合适的</w:t>
      </w:r>
      <w:r>
        <w:rPr>
          <w:rFonts w:hint="default" w:ascii="Times New Roman" w:hAnsi="Times New Roman" w:eastAsia="宋体" w:cs="Times New Roman"/>
          <w:color w:val="231F20"/>
          <w:spacing w:val="1"/>
          <w:sz w:val="24"/>
          <w:szCs w:val="24"/>
        </w:rPr>
        <w:t>工作。较低的收入水平，加上城市不断上涨的房价、物</w:t>
      </w:r>
      <w:r>
        <w:rPr>
          <w:rFonts w:hint="default" w:ascii="Times New Roman" w:hAnsi="Times New Roman" w:eastAsia="宋体" w:cs="Times New Roman"/>
          <w:color w:val="231F20"/>
          <w:spacing w:val="10"/>
          <w:sz w:val="24"/>
          <w:szCs w:val="24"/>
        </w:rPr>
        <w:t>价压力，使得农村青年对于知识改变命运的信念不断</w:t>
      </w:r>
      <w:r>
        <w:rPr>
          <w:rFonts w:hint="default" w:ascii="Times New Roman" w:hAnsi="Times New Roman" w:eastAsia="宋体" w:cs="Times New Roman"/>
          <w:color w:val="231F20"/>
          <w:spacing w:val="-7"/>
          <w:sz w:val="24"/>
          <w:szCs w:val="24"/>
        </w:rPr>
        <w:t>弱化，导致“读书无用论”重新在农村流行，造成村民的</w:t>
      </w:r>
      <w:r>
        <w:rPr>
          <w:rFonts w:hint="default" w:ascii="Times New Roman" w:hAnsi="Times New Roman" w:eastAsia="宋体" w:cs="Times New Roman"/>
          <w:color w:val="231F20"/>
          <w:spacing w:val="1"/>
          <w:sz w:val="24"/>
          <w:szCs w:val="24"/>
        </w:rPr>
        <w:t>整体文化素质偏低。少数成绩较好，坚持接受高中、大</w:t>
      </w:r>
      <w:r>
        <w:rPr>
          <w:rFonts w:hint="default" w:ascii="Times New Roman" w:hAnsi="Times New Roman" w:eastAsia="宋体" w:cs="Times New Roman"/>
          <w:color w:val="231F20"/>
          <w:spacing w:val="10"/>
          <w:sz w:val="24"/>
          <w:szCs w:val="24"/>
        </w:rPr>
        <w:t>学或更高学历教育的农村青年，由于受应试教育的影</w:t>
      </w:r>
      <w:r>
        <w:rPr>
          <w:rFonts w:hint="default" w:ascii="Times New Roman" w:hAnsi="Times New Roman" w:eastAsia="宋体" w:cs="Times New Roman"/>
          <w:color w:val="231F20"/>
          <w:spacing w:val="2"/>
          <w:sz w:val="24"/>
          <w:szCs w:val="24"/>
        </w:rPr>
        <w:t>响，对于读书考学的态度大都出于现实的功利考虑，较</w:t>
      </w:r>
      <w:r>
        <w:rPr>
          <w:rFonts w:hint="default" w:ascii="Times New Roman" w:hAnsi="Times New Roman" w:eastAsia="宋体" w:cs="Times New Roman"/>
          <w:color w:val="231F20"/>
          <w:spacing w:val="7"/>
          <w:sz w:val="24"/>
          <w:szCs w:val="24"/>
        </w:rPr>
        <w:t>少重视伦理道德、思想素养等方面的培养和提升。比如，2020年，出身于农村家庭的某高中学生张某某的</w:t>
      </w:r>
      <w:r>
        <w:rPr>
          <w:rFonts w:hint="default" w:ascii="Times New Roman" w:hAnsi="Times New Roman" w:eastAsia="宋体" w:cs="Times New Roman"/>
          <w:color w:val="231F20"/>
          <w:spacing w:val="10"/>
          <w:sz w:val="24"/>
          <w:szCs w:val="24"/>
        </w:rPr>
        <w:t>一段演讲视频就曾在互联网引发关注，特别是演讲中</w:t>
      </w:r>
      <w:r>
        <w:rPr>
          <w:rFonts w:hint="default" w:ascii="Times New Roman" w:hAnsi="Times New Roman" w:eastAsia="宋体" w:cs="Times New Roman"/>
          <w:color w:val="231F20"/>
          <w:spacing w:val="2"/>
          <w:sz w:val="24"/>
          <w:szCs w:val="24"/>
        </w:rPr>
        <w:t>提到的“我就是一只来自乡下的土猪，也要立志拱了大</w:t>
      </w:r>
      <w:r>
        <w:rPr>
          <w:rFonts w:hint="default" w:ascii="Times New Roman" w:hAnsi="Times New Roman" w:eastAsia="宋体" w:cs="Times New Roman"/>
          <w:color w:val="231F20"/>
          <w:spacing w:val="4"/>
          <w:sz w:val="24"/>
          <w:szCs w:val="24"/>
        </w:rPr>
        <w:t>城市的白菜”的观念引发了大范围的争议，众说纷纭、</w:t>
      </w:r>
      <w:r>
        <w:rPr>
          <w:rFonts w:hint="default" w:ascii="Times New Roman" w:hAnsi="Times New Roman" w:eastAsia="宋体" w:cs="Times New Roman"/>
          <w:color w:val="231F20"/>
          <w:spacing w:val="-8"/>
          <w:sz w:val="24"/>
          <w:szCs w:val="24"/>
        </w:rPr>
        <w:t>褒贬不一。笔者认为，这种“土猪拱白菜”的论断，一方</w:t>
      </w:r>
      <w:r>
        <w:rPr>
          <w:rFonts w:hint="default" w:ascii="Times New Roman" w:hAnsi="Times New Roman" w:eastAsia="宋体" w:cs="Times New Roman"/>
          <w:color w:val="231F20"/>
          <w:spacing w:val="10"/>
          <w:sz w:val="24"/>
          <w:szCs w:val="24"/>
        </w:rPr>
        <w:t>面反映了农村学生对于改变自身所处地位与现状的焦虑；另一方面也反映了应试教育模式下农村学生的求学目的更倾向于改变生存现状的功利性考虑，而较少</w:t>
      </w:r>
      <w:r>
        <w:rPr>
          <w:rFonts w:hint="default" w:ascii="Times New Roman" w:hAnsi="Times New Roman" w:eastAsia="宋体" w:cs="Times New Roman"/>
          <w:color w:val="231F20"/>
          <w:spacing w:val="8"/>
          <w:sz w:val="24"/>
          <w:szCs w:val="24"/>
        </w:rPr>
        <w:t>考虑伦理层面的思想提升。</w:t>
      </w:r>
    </w:p>
    <w:p w14:paraId="1F4AA2C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position w:val="1"/>
          <w:sz w:val="24"/>
          <w:szCs w:val="24"/>
        </w:rPr>
        <w:t>（三）基层政府对乡村伦理建设的重视程度不够</w:t>
      </w:r>
    </w:p>
    <w:p w14:paraId="0D65BD8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现代行政组织在运行过程中，往往存在强化行政组织功能而忽视人的价值定位和道德情感、忽视人的主体意义的问题，这种组织化的运转趋势在乡村社会</w:t>
      </w:r>
      <w:r>
        <w:rPr>
          <w:rFonts w:hint="default" w:ascii="Times New Roman" w:hAnsi="Times New Roman" w:eastAsia="宋体" w:cs="Times New Roman"/>
          <w:color w:val="231F20"/>
          <w:spacing w:val="9"/>
          <w:sz w:val="24"/>
          <w:szCs w:val="24"/>
        </w:rPr>
        <w:t>也有所体现，往往会导致乡村伦理建设的弱化。基层</w:t>
      </w:r>
      <w:r>
        <w:rPr>
          <w:rFonts w:hint="default" w:ascii="Times New Roman" w:hAnsi="Times New Roman" w:eastAsia="宋体" w:cs="Times New Roman"/>
          <w:color w:val="231F20"/>
          <w:spacing w:val="10"/>
          <w:sz w:val="24"/>
          <w:szCs w:val="24"/>
        </w:rPr>
        <w:t>政府是乡村伦理建设的领导者和组织者，长期以来在乡村伦理道德建设方面存在着认识不足、重视不够的情况，以为伦理道德建设就是召开村民大会，念念文</w:t>
      </w:r>
      <w:r>
        <w:rPr>
          <w:rFonts w:hint="default" w:ascii="Times New Roman" w:hAnsi="Times New Roman" w:eastAsia="宋体" w:cs="Times New Roman"/>
          <w:color w:val="231F20"/>
          <w:spacing w:val="9"/>
          <w:sz w:val="24"/>
          <w:szCs w:val="24"/>
        </w:rPr>
        <w:t>件，或者在喇叭上吆喝吆喝就行了。在互联网高度发</w:t>
      </w:r>
      <w:r>
        <w:rPr>
          <w:rFonts w:hint="default" w:ascii="Times New Roman" w:hAnsi="Times New Roman" w:eastAsia="宋体" w:cs="Times New Roman"/>
          <w:color w:val="231F20"/>
          <w:spacing w:val="2"/>
          <w:sz w:val="24"/>
          <w:szCs w:val="24"/>
        </w:rPr>
        <w:t>展的今天，不能紧跟形势，工作方式方法老套，不能采</w:t>
      </w:r>
      <w:r>
        <w:rPr>
          <w:rFonts w:hint="default" w:ascii="Times New Roman" w:hAnsi="Times New Roman" w:eastAsia="宋体" w:cs="Times New Roman"/>
          <w:color w:val="231F20"/>
          <w:spacing w:val="10"/>
          <w:sz w:val="24"/>
          <w:szCs w:val="24"/>
        </w:rPr>
        <w:t>取新时代乡村村民喜闻乐见的形式方法，乡村伦理建</w:t>
      </w:r>
      <w:r>
        <w:rPr>
          <w:rFonts w:hint="default" w:ascii="Times New Roman" w:hAnsi="Times New Roman" w:eastAsia="宋体" w:cs="Times New Roman"/>
          <w:color w:val="231F20"/>
          <w:spacing w:val="11"/>
          <w:sz w:val="24"/>
          <w:szCs w:val="24"/>
        </w:rPr>
        <w:t>设就难以取得良好的效果。首先，是思想上不重视。</w:t>
      </w:r>
      <w:r>
        <w:rPr>
          <w:rFonts w:hint="default" w:ascii="Times New Roman" w:hAnsi="Times New Roman" w:eastAsia="宋体" w:cs="Times New Roman"/>
          <w:color w:val="231F20"/>
          <w:spacing w:val="10"/>
          <w:sz w:val="24"/>
          <w:szCs w:val="24"/>
        </w:rPr>
        <w:t>长期以来，一些基层组织过分注重经济发展和物质文</w:t>
      </w:r>
      <w:r>
        <w:rPr>
          <w:rFonts w:hint="default" w:ascii="Times New Roman" w:hAnsi="Times New Roman" w:eastAsia="宋体" w:cs="Times New Roman"/>
          <w:color w:val="231F20"/>
          <w:spacing w:val="2"/>
          <w:sz w:val="24"/>
          <w:szCs w:val="24"/>
        </w:rPr>
        <w:t>明，认为只要经济发展了，农民生活水平提高了，其伦</w:t>
      </w:r>
      <w:r>
        <w:rPr>
          <w:rFonts w:hint="default" w:ascii="Times New Roman" w:hAnsi="Times New Roman" w:eastAsia="宋体" w:cs="Times New Roman"/>
          <w:color w:val="231F20"/>
          <w:spacing w:val="10"/>
          <w:sz w:val="24"/>
          <w:szCs w:val="24"/>
        </w:rPr>
        <w:t>理道德水平自然也会提高，造成了乡村伦理建设的疲</w:t>
      </w:r>
      <w:r>
        <w:rPr>
          <w:rFonts w:hint="default" w:ascii="Times New Roman" w:hAnsi="Times New Roman" w:eastAsia="宋体" w:cs="Times New Roman"/>
          <w:color w:val="231F20"/>
          <w:spacing w:val="9"/>
          <w:sz w:val="24"/>
          <w:szCs w:val="24"/>
        </w:rPr>
        <w:t>软。对乡村伦理道德的教育和宣传力度不够</w:t>
      </w:r>
      <w:r>
        <w:rPr>
          <w:rFonts w:hint="default" w:ascii="Times New Roman" w:hAnsi="Times New Roman" w:eastAsia="宋体" w:cs="Times New Roman"/>
          <w:color w:val="231F20"/>
          <w:spacing w:val="8"/>
          <w:sz w:val="24"/>
          <w:szCs w:val="24"/>
        </w:rPr>
        <w:t>，往往是</w:t>
      </w:r>
      <w:r>
        <w:rPr>
          <w:rFonts w:hint="default" w:ascii="Times New Roman" w:hAnsi="Times New Roman" w:eastAsia="宋体" w:cs="Times New Roman"/>
          <w:color w:val="231F20"/>
          <w:spacing w:val="5"/>
          <w:sz w:val="24"/>
          <w:szCs w:val="24"/>
        </w:rPr>
        <w:t>热闹在县里，遗忘在村里，领导干部思想上不够重视，</w:t>
      </w:r>
      <w:r>
        <w:rPr>
          <w:rFonts w:hint="default" w:ascii="Times New Roman" w:hAnsi="Times New Roman" w:eastAsia="宋体" w:cs="Times New Roman"/>
          <w:color w:val="231F20"/>
          <w:spacing w:val="11"/>
          <w:sz w:val="24"/>
          <w:szCs w:val="24"/>
        </w:rPr>
        <w:t>村民当然更不会放在心上。其次，是工作力度不够。</w:t>
      </w:r>
      <w:r>
        <w:rPr>
          <w:rFonts w:hint="default" w:ascii="Times New Roman" w:hAnsi="Times New Roman" w:eastAsia="宋体" w:cs="Times New Roman"/>
          <w:color w:val="231F20"/>
          <w:spacing w:val="10"/>
          <w:sz w:val="24"/>
          <w:szCs w:val="24"/>
        </w:rPr>
        <w:t>随着改革开放的深入推进和社会的深度转型，乡村伦</w:t>
      </w:r>
      <w:r>
        <w:rPr>
          <w:rFonts w:hint="default" w:ascii="Times New Roman" w:hAnsi="Times New Roman" w:eastAsia="宋体" w:cs="Times New Roman"/>
          <w:color w:val="231F20"/>
          <w:spacing w:val="2"/>
          <w:sz w:val="24"/>
          <w:szCs w:val="24"/>
        </w:rPr>
        <w:t>理建设出现了新情况、新需求，但基层政府在开展工作时往往还是老方法，一说到伦理教育，无非就是喊喊口</w:t>
      </w:r>
      <w:r>
        <w:rPr>
          <w:rFonts w:hint="default" w:ascii="Times New Roman" w:hAnsi="Times New Roman" w:eastAsia="宋体" w:cs="Times New Roman"/>
          <w:color w:val="231F20"/>
          <w:spacing w:val="9"/>
          <w:sz w:val="24"/>
          <w:szCs w:val="24"/>
        </w:rPr>
        <w:t>号、贴贴标语等流于表面的举措。本来应该是村民主</w:t>
      </w:r>
      <w:r>
        <w:rPr>
          <w:rFonts w:hint="default" w:ascii="Times New Roman" w:hAnsi="Times New Roman" w:eastAsia="宋体" w:cs="Times New Roman"/>
          <w:color w:val="231F20"/>
          <w:spacing w:val="2"/>
          <w:sz w:val="24"/>
          <w:szCs w:val="24"/>
        </w:rPr>
        <w:t>动参与的乡村伦理建设，越来越被边缘化，导致村民缺乏积极健康的文化生活，为了打发时间、排遣空虚，就</w:t>
      </w:r>
      <w:r>
        <w:rPr>
          <w:rFonts w:hint="default" w:ascii="Times New Roman" w:hAnsi="Times New Roman" w:eastAsia="宋体" w:cs="Times New Roman"/>
          <w:color w:val="231F20"/>
          <w:spacing w:val="10"/>
          <w:sz w:val="24"/>
          <w:szCs w:val="24"/>
        </w:rPr>
        <w:t>有可能会选择聚众赌博等低俗的消遣方式，影响乡村</w:t>
      </w:r>
      <w:r>
        <w:rPr>
          <w:rFonts w:hint="default" w:ascii="Times New Roman" w:hAnsi="Times New Roman" w:eastAsia="宋体" w:cs="Times New Roman"/>
          <w:color w:val="231F20"/>
          <w:spacing w:val="9"/>
          <w:sz w:val="24"/>
          <w:szCs w:val="24"/>
        </w:rPr>
        <w:t>伦理建设的进度和农业农村现代化建设。</w:t>
      </w:r>
    </w:p>
    <w:p w14:paraId="7431497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（四）众声喧哗的互联网中一些负面声音的影响</w:t>
      </w:r>
    </w:p>
    <w:p w14:paraId="44D7A87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信息技术的快速发展为人们提供了一种全新的生活方式，使网络成为不可或缺的重要信息平台和交流</w:t>
      </w:r>
      <w:r>
        <w:rPr>
          <w:rFonts w:hint="default" w:ascii="Times New Roman" w:hAnsi="Times New Roman" w:eastAsia="宋体" w:cs="Times New Roman"/>
          <w:color w:val="231F20"/>
          <w:sz w:val="24"/>
          <w:szCs w:val="24"/>
        </w:rPr>
        <w:t>平台。诚然，我们要承认互联网、微博、微信等现代沟</w:t>
      </w:r>
      <w:r>
        <w:rPr>
          <w:rFonts w:hint="default" w:ascii="Times New Roman" w:hAnsi="Times New Roman" w:eastAsia="宋体" w:cs="Times New Roman"/>
          <w:color w:val="231F20"/>
          <w:spacing w:val="10"/>
          <w:sz w:val="24"/>
          <w:szCs w:val="24"/>
        </w:rPr>
        <w:t>通技术带给我们的全新体验，但当人们身陷工具理性</w:t>
      </w:r>
      <w:r>
        <w:rPr>
          <w:rFonts w:hint="default" w:ascii="Times New Roman" w:hAnsi="Times New Roman" w:eastAsia="宋体" w:cs="Times New Roman"/>
          <w:color w:val="231F20"/>
          <w:spacing w:val="2"/>
          <w:sz w:val="24"/>
          <w:szCs w:val="24"/>
        </w:rPr>
        <w:t>之中时，在崇拜高科技所带来的神奇力量的同时，也容易衍生出狂热、偏执甚至迷茫的心理，进而丧失对价值</w:t>
      </w:r>
      <w:r>
        <w:rPr>
          <w:rFonts w:hint="default" w:ascii="Times New Roman" w:hAnsi="Times New Roman" w:eastAsia="宋体" w:cs="Times New Roman"/>
          <w:color w:val="231F20"/>
          <w:spacing w:val="8"/>
          <w:sz w:val="24"/>
          <w:szCs w:val="24"/>
        </w:rPr>
        <w:t>观和伦理的向往。乡村社会的新生力量是成长起来的</w:t>
      </w:r>
      <w:r>
        <w:rPr>
          <w:rFonts w:hint="default" w:ascii="Times New Roman" w:hAnsi="Times New Roman" w:eastAsia="宋体" w:cs="Times New Roman"/>
          <w:color w:val="231F20"/>
          <w:spacing w:val="4"/>
          <w:sz w:val="24"/>
          <w:szCs w:val="24"/>
        </w:rPr>
        <w:t>80后、90后甚至00后们，他们大都接受</w:t>
      </w:r>
      <w:r>
        <w:rPr>
          <w:rFonts w:hint="default" w:ascii="Times New Roman" w:hAnsi="Times New Roman" w:eastAsia="宋体" w:cs="Times New Roman"/>
          <w:color w:val="231F20"/>
          <w:spacing w:val="3"/>
          <w:sz w:val="24"/>
          <w:szCs w:val="24"/>
        </w:rPr>
        <w:t>过初中以上的</w:t>
      </w:r>
      <w:r>
        <w:rPr>
          <w:rFonts w:hint="default" w:ascii="Times New Roman" w:hAnsi="Times New Roman" w:eastAsia="宋体" w:cs="Times New Roman"/>
          <w:color w:val="231F20"/>
          <w:spacing w:val="2"/>
          <w:sz w:val="24"/>
          <w:szCs w:val="24"/>
        </w:rPr>
        <w:t>教育，热衷于互联网，网络呈现的多元化声音往往会更</w:t>
      </w:r>
      <w:r>
        <w:rPr>
          <w:rFonts w:hint="default" w:ascii="Times New Roman" w:hAnsi="Times New Roman" w:eastAsia="宋体" w:cs="Times New Roman"/>
          <w:color w:val="231F20"/>
          <w:spacing w:val="10"/>
          <w:sz w:val="24"/>
          <w:szCs w:val="24"/>
        </w:rPr>
        <w:t>大程度地冲击他们的价值观和理想信念，窄化伦理规</w:t>
      </w:r>
      <w:r>
        <w:rPr>
          <w:rFonts w:hint="default" w:ascii="Times New Roman" w:hAnsi="Times New Roman" w:eastAsia="宋体" w:cs="Times New Roman"/>
          <w:color w:val="231F20"/>
          <w:spacing w:val="7"/>
          <w:sz w:val="24"/>
          <w:szCs w:val="24"/>
        </w:rPr>
        <w:t>范的作用范围。</w:t>
      </w:r>
    </w:p>
    <w:p w14:paraId="4F0CD720">
      <w:pPr>
        <w:bidi w:val="0"/>
        <w:outlineLvl w:val="9"/>
        <w:rPr>
          <w:rFonts w:hint="default"/>
        </w:rPr>
      </w:pPr>
      <w:r>
        <w:rPr>
          <w:rFonts w:hint="default"/>
        </w:rPr>
        <w:t>三、社会转型背景下重构乡村伦理的必要性</w:t>
      </w:r>
    </w:p>
    <w:p w14:paraId="3848BEA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中国特色社会主义进入新时代，随着我国从传统</w:t>
      </w:r>
      <w:r>
        <w:rPr>
          <w:rFonts w:hint="default" w:ascii="Times New Roman" w:hAnsi="Times New Roman" w:eastAsia="宋体" w:cs="Times New Roman"/>
          <w:color w:val="231F20"/>
          <w:spacing w:val="10"/>
          <w:sz w:val="24"/>
          <w:szCs w:val="24"/>
        </w:rPr>
        <w:t>社会向现代社会进一步深度转型，传统乡村伦理势必</w:t>
      </w:r>
      <w:r>
        <w:rPr>
          <w:rFonts w:hint="default" w:ascii="Times New Roman" w:hAnsi="Times New Roman" w:eastAsia="宋体" w:cs="Times New Roman"/>
          <w:color w:val="231F20"/>
          <w:spacing w:val="8"/>
          <w:sz w:val="24"/>
          <w:szCs w:val="24"/>
        </w:rPr>
        <w:t>受到更大的冲击和消解。为了适应这种嬗变，顺利实</w:t>
      </w:r>
      <w:r>
        <w:rPr>
          <w:rFonts w:hint="default" w:ascii="Times New Roman" w:hAnsi="Times New Roman" w:eastAsia="宋体" w:cs="Times New Roman"/>
          <w:color w:val="231F20"/>
          <w:spacing w:val="4"/>
          <w:sz w:val="24"/>
          <w:szCs w:val="24"/>
        </w:rPr>
        <w:t>现农业农村的现代化，重构乡村伦理非常必要。</w:t>
      </w:r>
    </w:p>
    <w:p w14:paraId="743D5A1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（一）重构乡村伦理是实现农业农村现代化的</w:t>
      </w:r>
      <w:r>
        <w:rPr>
          <w:rFonts w:hint="default" w:ascii="Times New Roman" w:hAnsi="Times New Roman" w:eastAsia="宋体" w:cs="Times New Roman"/>
          <w:color w:val="231F20"/>
          <w:spacing w:val="4"/>
          <w:sz w:val="24"/>
          <w:szCs w:val="24"/>
        </w:rPr>
        <w:t>必然</w:t>
      </w:r>
      <w:r>
        <w:rPr>
          <w:rFonts w:hint="default" w:ascii="Times New Roman" w:hAnsi="Times New Roman" w:eastAsia="宋体" w:cs="Times New Roman"/>
          <w:color w:val="231F20"/>
          <w:spacing w:val="6"/>
          <w:sz w:val="24"/>
          <w:szCs w:val="24"/>
        </w:rPr>
        <w:t>要求</w:t>
      </w:r>
    </w:p>
    <w:p w14:paraId="6A57B6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实现农业农村现代化是我国农业农村发展的必然趋势，只有大力推进农业农村现代化才能保障农业农</w:t>
      </w:r>
      <w:r>
        <w:rPr>
          <w:rFonts w:hint="default" w:ascii="Times New Roman" w:hAnsi="Times New Roman" w:eastAsia="宋体" w:cs="Times New Roman"/>
          <w:color w:val="231F20"/>
          <w:spacing w:val="9"/>
          <w:sz w:val="24"/>
          <w:szCs w:val="24"/>
        </w:rPr>
        <w:t>村的健康、持续和稳定发展。农业农村现代化的主要</w:t>
      </w:r>
      <w:r>
        <w:rPr>
          <w:rFonts w:hint="default" w:ascii="Times New Roman" w:hAnsi="Times New Roman" w:eastAsia="宋体" w:cs="Times New Roman"/>
          <w:color w:val="231F20"/>
          <w:spacing w:val="2"/>
          <w:sz w:val="24"/>
          <w:szCs w:val="24"/>
        </w:rPr>
        <w:t>特点除了生产过程机械化、生产技术科学化、增长方式集约化、经营循环市场化、生产组织社会化、生产绩效</w:t>
      </w:r>
      <w:r>
        <w:rPr>
          <w:rFonts w:hint="default" w:ascii="Times New Roman" w:hAnsi="Times New Roman" w:eastAsia="宋体" w:cs="Times New Roman"/>
          <w:color w:val="231F20"/>
          <w:spacing w:val="10"/>
          <w:sz w:val="24"/>
          <w:szCs w:val="24"/>
        </w:rPr>
        <w:t>高优化等之外，还有一个重要特点就是农民的现代化</w:t>
      </w:r>
      <w:r>
        <w:rPr>
          <w:rFonts w:hint="default" w:ascii="Times New Roman" w:hAnsi="Times New Roman" w:eastAsia="宋体" w:cs="Times New Roman"/>
          <w:color w:val="231F20"/>
          <w:spacing w:val="9"/>
          <w:sz w:val="24"/>
          <w:szCs w:val="24"/>
        </w:rPr>
        <w:t>以及农民文明素质的提高。要大力提高农民的文化素</w:t>
      </w:r>
      <w:r>
        <w:rPr>
          <w:rFonts w:hint="default" w:ascii="Times New Roman" w:hAnsi="Times New Roman" w:eastAsia="宋体" w:cs="Times New Roman"/>
          <w:color w:val="231F20"/>
          <w:spacing w:val="2"/>
          <w:sz w:val="24"/>
          <w:szCs w:val="24"/>
        </w:rPr>
        <w:t>养，用现代科技和先进的文化理念、价值观念来武装农</w:t>
      </w:r>
      <w:r>
        <w:rPr>
          <w:rFonts w:hint="default" w:ascii="Times New Roman" w:hAnsi="Times New Roman" w:eastAsia="宋体" w:cs="Times New Roman"/>
          <w:color w:val="231F20"/>
          <w:spacing w:val="-1"/>
          <w:sz w:val="24"/>
          <w:szCs w:val="24"/>
        </w:rPr>
        <w:t>民的头脑。同时，农民的伦理道德水平，诚信、互助等</w:t>
      </w:r>
      <w:r>
        <w:rPr>
          <w:rFonts w:hint="default" w:ascii="Times New Roman" w:hAnsi="Times New Roman" w:eastAsia="宋体" w:cs="Times New Roman"/>
          <w:color w:val="231F20"/>
          <w:spacing w:val="2"/>
          <w:sz w:val="24"/>
          <w:szCs w:val="24"/>
        </w:rPr>
        <w:t>伦理精神，平等、合作等现代意识的倡导和培养也同等重要，它有利于推动乡村社会良好伦理风尚的形成，并</w:t>
      </w:r>
      <w:r>
        <w:rPr>
          <w:rFonts w:hint="default" w:ascii="Times New Roman" w:hAnsi="Times New Roman" w:eastAsia="宋体" w:cs="Times New Roman"/>
          <w:color w:val="231F20"/>
          <w:spacing w:val="10"/>
          <w:sz w:val="24"/>
          <w:szCs w:val="24"/>
        </w:rPr>
        <w:t>进一步对乡村民主社会的发展和农业农村现代化的实</w:t>
      </w:r>
      <w:r>
        <w:rPr>
          <w:rFonts w:hint="default" w:ascii="Times New Roman" w:hAnsi="Times New Roman" w:eastAsia="宋体" w:cs="Times New Roman"/>
          <w:color w:val="231F20"/>
          <w:spacing w:val="8"/>
          <w:sz w:val="24"/>
          <w:szCs w:val="24"/>
        </w:rPr>
        <w:t>现起到重要的促进作用。</w:t>
      </w:r>
    </w:p>
    <w:p w14:paraId="72F62BF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（二）重构乡村伦理是维护乡村社会和谐稳定</w:t>
      </w:r>
      <w:r>
        <w:rPr>
          <w:rFonts w:hint="default" w:ascii="Times New Roman" w:hAnsi="Times New Roman" w:eastAsia="宋体" w:cs="Times New Roman"/>
          <w:color w:val="231F20"/>
          <w:spacing w:val="4"/>
          <w:sz w:val="24"/>
          <w:szCs w:val="24"/>
        </w:rPr>
        <w:t>的重</w:t>
      </w:r>
      <w:r>
        <w:rPr>
          <w:rFonts w:hint="default" w:ascii="Times New Roman" w:hAnsi="Times New Roman" w:eastAsia="宋体" w:cs="Times New Roman"/>
          <w:color w:val="231F20"/>
          <w:spacing w:val="7"/>
          <w:sz w:val="24"/>
          <w:szCs w:val="24"/>
        </w:rPr>
        <w:t>要保障</w:t>
      </w:r>
    </w:p>
    <w:p w14:paraId="769C553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千百年来，乡村伦理基于人们普遍认同的力量维</w:t>
      </w:r>
      <w:r>
        <w:rPr>
          <w:rFonts w:hint="default" w:ascii="Times New Roman" w:hAnsi="Times New Roman" w:eastAsia="宋体" w:cs="Times New Roman"/>
          <w:color w:val="231F20"/>
          <w:spacing w:val="2"/>
          <w:sz w:val="24"/>
          <w:szCs w:val="24"/>
        </w:rPr>
        <w:t>护着乡村社会的稳定，一旦失去这种认同，我国农村生</w:t>
      </w:r>
      <w:r>
        <w:rPr>
          <w:rFonts w:hint="default" w:ascii="Times New Roman" w:hAnsi="Times New Roman" w:eastAsia="宋体" w:cs="Times New Roman"/>
          <w:color w:val="231F20"/>
          <w:spacing w:val="1"/>
          <w:sz w:val="24"/>
          <w:szCs w:val="24"/>
        </w:rPr>
        <w:t>活将会失去其独有的文化内涵。有学者提出，“当代中</w:t>
      </w:r>
      <w:r>
        <w:rPr>
          <w:rFonts w:hint="default" w:ascii="Times New Roman" w:hAnsi="Times New Roman" w:eastAsia="宋体" w:cs="Times New Roman"/>
          <w:color w:val="231F20"/>
          <w:spacing w:val="10"/>
          <w:sz w:val="24"/>
          <w:szCs w:val="24"/>
        </w:rPr>
        <w:t>国乡村社会问题层出不穷而且解决乏力，其根本原因</w:t>
      </w:r>
      <w:r>
        <w:rPr>
          <w:rFonts w:hint="default" w:ascii="Times New Roman" w:hAnsi="Times New Roman" w:eastAsia="宋体" w:cs="Times New Roman"/>
          <w:color w:val="231F20"/>
          <w:spacing w:val="5"/>
          <w:sz w:val="24"/>
          <w:szCs w:val="24"/>
        </w:rPr>
        <w:t>就在于乡村生活意义的被抽空”</w:t>
      </w:r>
      <w:r>
        <w:rPr>
          <w:rFonts w:hint="default" w:ascii="Times New Roman" w:hAnsi="Times New Roman" w:eastAsia="宋体" w:cs="Times New Roman"/>
          <w:color w:val="231F20"/>
          <w:spacing w:val="5"/>
          <w:position w:val="6"/>
          <w:sz w:val="24"/>
          <w:szCs w:val="24"/>
        </w:rPr>
        <w:t>［4］</w:t>
      </w:r>
      <w:r>
        <w:rPr>
          <w:rFonts w:hint="default" w:ascii="Times New Roman" w:hAnsi="Times New Roman" w:eastAsia="宋体" w:cs="Times New Roman"/>
          <w:color w:val="231F20"/>
          <w:spacing w:val="5"/>
          <w:sz w:val="24"/>
          <w:szCs w:val="24"/>
        </w:rPr>
        <w:t>。在城市优势文化</w:t>
      </w:r>
      <w:r>
        <w:rPr>
          <w:rFonts w:hint="default" w:ascii="Times New Roman" w:hAnsi="Times New Roman" w:eastAsia="宋体" w:cs="Times New Roman"/>
          <w:color w:val="231F20"/>
          <w:spacing w:val="2"/>
          <w:sz w:val="24"/>
          <w:szCs w:val="24"/>
        </w:rPr>
        <w:t>的强势渗透下，农民原有的行为习惯、价值观念受到影响和冲击，失去了普遍的价值认同和精神支柱，减弱了</w:t>
      </w:r>
      <w:r>
        <w:rPr>
          <w:rFonts w:hint="default" w:ascii="Times New Roman" w:hAnsi="Times New Roman" w:eastAsia="宋体" w:cs="Times New Roman"/>
          <w:color w:val="231F20"/>
          <w:spacing w:val="-1"/>
          <w:sz w:val="24"/>
          <w:szCs w:val="24"/>
        </w:rPr>
        <w:t>乡村社会的向心力和凝聚力。因此，社会转型时期，对</w:t>
      </w:r>
      <w:r>
        <w:rPr>
          <w:rFonts w:hint="default" w:ascii="Times New Roman" w:hAnsi="Times New Roman" w:eastAsia="宋体" w:cs="Times New Roman"/>
          <w:color w:val="231F20"/>
          <w:spacing w:val="10"/>
          <w:sz w:val="24"/>
          <w:szCs w:val="24"/>
        </w:rPr>
        <w:t>乡村社会伦理进行重构非常必要，是维护乡村社会和</w:t>
      </w:r>
      <w:r>
        <w:rPr>
          <w:rFonts w:hint="default" w:ascii="Times New Roman" w:hAnsi="Times New Roman" w:eastAsia="宋体" w:cs="Times New Roman"/>
          <w:color w:val="231F20"/>
          <w:spacing w:val="2"/>
          <w:sz w:val="24"/>
          <w:szCs w:val="24"/>
        </w:rPr>
        <w:t>谐稳定的关键，有利于“通过文化建设，创造一种经济成本较低，但精神福利较高的生活方式，提高农民对乡</w:t>
      </w:r>
      <w:r>
        <w:rPr>
          <w:rFonts w:hint="default" w:ascii="Times New Roman" w:hAnsi="Times New Roman" w:eastAsia="宋体" w:cs="Times New Roman"/>
          <w:color w:val="231F20"/>
          <w:spacing w:val="10"/>
          <w:sz w:val="24"/>
          <w:szCs w:val="24"/>
        </w:rPr>
        <w:t>村生活的长期期望值，使乡村社会成为农民可以安身立命的地方，让村庄共同体成为农民实现人生价值的</w:t>
      </w:r>
      <w:r>
        <w:rPr>
          <w:rFonts w:hint="default" w:ascii="Times New Roman" w:hAnsi="Times New Roman" w:eastAsia="宋体" w:cs="Times New Roman"/>
          <w:color w:val="231F20"/>
          <w:spacing w:val="1"/>
          <w:position w:val="-4"/>
          <w:sz w:val="24"/>
          <w:szCs w:val="24"/>
        </w:rPr>
        <w:t>场所”</w:t>
      </w:r>
      <w:r>
        <w:rPr>
          <w:rFonts w:hint="default" w:ascii="Times New Roman" w:hAnsi="Times New Roman" w:eastAsia="宋体" w:cs="Times New Roman"/>
          <w:color w:val="231F20"/>
          <w:spacing w:val="-21"/>
          <w:w w:val="98"/>
          <w:position w:val="2"/>
          <w:sz w:val="24"/>
          <w:szCs w:val="24"/>
        </w:rPr>
        <w:t>［5</w:t>
      </w:r>
      <w:r>
        <w:rPr>
          <w:rFonts w:hint="default" w:ascii="Times New Roman" w:hAnsi="Times New Roman" w:eastAsia="宋体" w:cs="Times New Roman"/>
          <w:color w:val="231F20"/>
          <w:spacing w:val="-49"/>
          <w:position w:val="2"/>
          <w:sz w:val="24"/>
          <w:szCs w:val="24"/>
        </w:rPr>
        <w:t>］（</w:t>
      </w:r>
      <w:r>
        <w:rPr>
          <w:rFonts w:hint="default" w:ascii="Times New Roman" w:hAnsi="Times New Roman" w:eastAsia="宋体" w:cs="Times New Roman"/>
          <w:color w:val="231F20"/>
          <w:spacing w:val="-21"/>
          <w:w w:val="98"/>
          <w:position w:val="2"/>
          <w:sz w:val="24"/>
          <w:szCs w:val="24"/>
        </w:rPr>
        <w:t>P248）</w:t>
      </w:r>
      <w:r>
        <w:rPr>
          <w:rFonts w:hint="default" w:ascii="Times New Roman" w:hAnsi="Times New Roman" w:eastAsia="宋体" w:cs="Times New Roman"/>
          <w:color w:val="231F20"/>
          <w:spacing w:val="4"/>
          <w:position w:val="-4"/>
          <w:sz w:val="24"/>
          <w:szCs w:val="24"/>
        </w:rPr>
        <w:t>。</w:t>
      </w:r>
    </w:p>
    <w:p w14:paraId="73EFE7F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（三）重构乡村伦理是增强文化认同、重树文</w:t>
      </w:r>
      <w:r>
        <w:rPr>
          <w:rFonts w:hint="default" w:ascii="Times New Roman" w:hAnsi="Times New Roman" w:eastAsia="宋体" w:cs="Times New Roman"/>
          <w:color w:val="231F20"/>
          <w:spacing w:val="4"/>
          <w:sz w:val="24"/>
          <w:szCs w:val="24"/>
        </w:rPr>
        <w:t>化自</w:t>
      </w:r>
      <w:r>
        <w:rPr>
          <w:rFonts w:hint="default" w:ascii="Times New Roman" w:hAnsi="Times New Roman" w:eastAsia="宋体" w:cs="Times New Roman"/>
          <w:color w:val="231F20"/>
          <w:spacing w:val="8"/>
          <w:sz w:val="24"/>
          <w:szCs w:val="24"/>
        </w:rPr>
        <w:t>信的关键所在</w:t>
      </w:r>
    </w:p>
    <w:p w14:paraId="6A1216B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传统乡村伦理在社会发展中遭遇了破坏有余而重</w:t>
      </w:r>
      <w:r>
        <w:rPr>
          <w:rFonts w:hint="default" w:ascii="Times New Roman" w:hAnsi="Times New Roman" w:eastAsia="宋体" w:cs="Times New Roman"/>
          <w:color w:val="231F20"/>
          <w:spacing w:val="9"/>
          <w:sz w:val="24"/>
          <w:szCs w:val="24"/>
        </w:rPr>
        <w:t>建不足的困境。破坏有余是指在市场化、城镇化过程</w:t>
      </w:r>
      <w:r>
        <w:rPr>
          <w:rFonts w:hint="default" w:ascii="Times New Roman" w:hAnsi="Times New Roman" w:eastAsia="宋体" w:cs="Times New Roman"/>
          <w:color w:val="231F20"/>
          <w:spacing w:val="10"/>
          <w:sz w:val="24"/>
          <w:szCs w:val="24"/>
        </w:rPr>
        <w:t>中乡村伦理不断受到挤压而边缘化的趋势；重建不足指的是乡村伦理边缘化后出现的乡村认同危机和价值</w:t>
      </w:r>
      <w:r>
        <w:rPr>
          <w:rFonts w:hint="default" w:ascii="Times New Roman" w:hAnsi="Times New Roman" w:eastAsia="宋体" w:cs="Times New Roman"/>
          <w:color w:val="231F20"/>
          <w:spacing w:val="-1"/>
          <w:sz w:val="24"/>
          <w:szCs w:val="24"/>
        </w:rPr>
        <w:t>观的迷茫，缺少了往日所独有的精神支柱。</w:t>
      </w:r>
      <w:r>
        <w:rPr>
          <w:rFonts w:hint="default" w:ascii="Times New Roman" w:hAnsi="Times New Roman" w:eastAsia="宋体" w:cs="Times New Roman"/>
          <w:color w:val="231F20"/>
          <w:spacing w:val="-2"/>
          <w:position w:val="6"/>
          <w:sz w:val="24"/>
          <w:szCs w:val="24"/>
        </w:rPr>
        <w:t>［6］</w:t>
      </w:r>
      <w:r>
        <w:rPr>
          <w:rFonts w:hint="default" w:ascii="Times New Roman" w:hAnsi="Times New Roman" w:eastAsia="宋体" w:cs="Times New Roman"/>
          <w:color w:val="231F20"/>
          <w:spacing w:val="-2"/>
          <w:sz w:val="24"/>
          <w:szCs w:val="24"/>
        </w:rPr>
        <w:t>人类文化</w:t>
      </w:r>
      <w:r>
        <w:rPr>
          <w:rFonts w:hint="default" w:ascii="Times New Roman" w:hAnsi="Times New Roman" w:eastAsia="宋体" w:cs="Times New Roman"/>
          <w:color w:val="231F20"/>
          <w:spacing w:val="2"/>
          <w:sz w:val="24"/>
          <w:szCs w:val="24"/>
        </w:rPr>
        <w:t>发展史显示，文化的发展本身就是一种传承，是对昨天和今天的融合，而“一个民族的文化能否实现自觉和自</w:t>
      </w:r>
      <w:r>
        <w:rPr>
          <w:rFonts w:hint="default" w:ascii="Times New Roman" w:hAnsi="Times New Roman" w:eastAsia="宋体" w:cs="Times New Roman"/>
          <w:color w:val="231F20"/>
          <w:spacing w:val="10"/>
          <w:sz w:val="24"/>
          <w:szCs w:val="24"/>
        </w:rPr>
        <w:t>信，很大程度上取决于对传统文化扬弃的客观与科学</w:t>
      </w:r>
      <w:r>
        <w:rPr>
          <w:rFonts w:hint="default" w:ascii="Times New Roman" w:hAnsi="Times New Roman" w:eastAsia="宋体" w:cs="Times New Roman"/>
          <w:color w:val="231F20"/>
          <w:spacing w:val="3"/>
          <w:sz w:val="24"/>
          <w:szCs w:val="24"/>
        </w:rPr>
        <w:t>态度”</w:t>
      </w:r>
      <w:r>
        <w:rPr>
          <w:rFonts w:hint="default" w:ascii="Times New Roman" w:hAnsi="Times New Roman" w:eastAsia="宋体" w:cs="Times New Roman"/>
          <w:color w:val="231F20"/>
          <w:spacing w:val="-3"/>
          <w:position w:val="6"/>
          <w:sz w:val="24"/>
          <w:szCs w:val="24"/>
        </w:rPr>
        <w:t>［7］</w:t>
      </w:r>
      <w:r>
        <w:rPr>
          <w:rFonts w:hint="default" w:ascii="Times New Roman" w:hAnsi="Times New Roman" w:eastAsia="宋体" w:cs="Times New Roman"/>
          <w:color w:val="231F20"/>
          <w:spacing w:val="-3"/>
          <w:sz w:val="24"/>
          <w:szCs w:val="24"/>
        </w:rPr>
        <w:t>。新时代文化建设应贯彻“马学为体、西学为</w:t>
      </w:r>
      <w:r>
        <w:rPr>
          <w:rFonts w:hint="default" w:ascii="Times New Roman" w:hAnsi="Times New Roman" w:eastAsia="宋体" w:cs="Times New Roman"/>
          <w:color w:val="231F20"/>
          <w:spacing w:val="-7"/>
          <w:sz w:val="24"/>
          <w:szCs w:val="24"/>
        </w:rPr>
        <w:t>用、国学为根、世情为鉴、国情为据、综合创新”的思想</w:t>
      </w:r>
      <w:r>
        <w:rPr>
          <w:rFonts w:hint="default" w:ascii="Times New Roman" w:hAnsi="Times New Roman" w:eastAsia="宋体" w:cs="Times New Roman"/>
          <w:color w:val="231F20"/>
          <w:spacing w:val="10"/>
          <w:sz w:val="24"/>
          <w:szCs w:val="24"/>
        </w:rPr>
        <w:t>原则</w:t>
      </w:r>
      <w:r>
        <w:rPr>
          <w:rFonts w:hint="default" w:ascii="Times New Roman" w:hAnsi="Times New Roman" w:eastAsia="宋体" w:cs="Times New Roman"/>
          <w:color w:val="231F20"/>
          <w:spacing w:val="4"/>
          <w:position w:val="6"/>
          <w:sz w:val="24"/>
          <w:szCs w:val="24"/>
        </w:rPr>
        <w:t>［8］</w:t>
      </w:r>
      <w:r>
        <w:rPr>
          <w:rFonts w:hint="default" w:ascii="Times New Roman" w:hAnsi="Times New Roman" w:eastAsia="宋体" w:cs="Times New Roman"/>
          <w:color w:val="231F20"/>
          <w:spacing w:val="4"/>
          <w:sz w:val="24"/>
          <w:szCs w:val="24"/>
        </w:rPr>
        <w:t>。中华文化是古代农业文明的延续，根植于传</w:t>
      </w:r>
      <w:r>
        <w:rPr>
          <w:rFonts w:hint="default" w:ascii="Times New Roman" w:hAnsi="Times New Roman" w:eastAsia="宋体" w:cs="Times New Roman"/>
          <w:color w:val="231F20"/>
          <w:spacing w:val="2"/>
          <w:sz w:val="24"/>
          <w:szCs w:val="24"/>
        </w:rPr>
        <w:t>统乡村文化，因此，对乡村伦理的重构也必然是一个扬</w:t>
      </w:r>
      <w:r>
        <w:rPr>
          <w:rFonts w:hint="default" w:ascii="Times New Roman" w:hAnsi="Times New Roman" w:eastAsia="宋体" w:cs="Times New Roman"/>
          <w:color w:val="231F20"/>
          <w:spacing w:val="10"/>
          <w:sz w:val="24"/>
          <w:szCs w:val="24"/>
        </w:rPr>
        <w:t>弃的批判的继承过程，绝不能完全否定乡村旧有的文</w:t>
      </w:r>
      <w:r>
        <w:rPr>
          <w:rFonts w:hint="default" w:ascii="Times New Roman" w:hAnsi="Times New Roman" w:eastAsia="宋体" w:cs="Times New Roman"/>
          <w:color w:val="231F20"/>
          <w:spacing w:val="2"/>
          <w:sz w:val="24"/>
          <w:szCs w:val="24"/>
        </w:rPr>
        <w:t>化和伦理传统，因为全盘否定意味着自断血脉，随之而</w:t>
      </w:r>
      <w:r>
        <w:rPr>
          <w:rFonts w:hint="default" w:ascii="Times New Roman" w:hAnsi="Times New Roman" w:eastAsia="宋体" w:cs="Times New Roman"/>
          <w:color w:val="231F20"/>
          <w:spacing w:val="5"/>
          <w:sz w:val="24"/>
          <w:szCs w:val="24"/>
        </w:rPr>
        <w:t>来的必然是村民在文化认同、文化自信方面的缺</w:t>
      </w:r>
      <w:r>
        <w:rPr>
          <w:rFonts w:hint="default" w:ascii="Times New Roman" w:hAnsi="Times New Roman" w:eastAsia="宋体" w:cs="Times New Roman"/>
          <w:color w:val="231F20"/>
          <w:spacing w:val="4"/>
          <w:sz w:val="24"/>
          <w:szCs w:val="24"/>
        </w:rPr>
        <w:t>失。</w:t>
      </w:r>
    </w:p>
    <w:p w14:paraId="57E37D3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sectPr>
          <w:footerReference r:id="rId7" w:type="default"/>
          <w:footnotePr>
            <w:numFmt w:val="decimalEnclosedCircleChinese"/>
            <w:numRestart w:val="eachPage"/>
          </w:footnotePr>
          <w:pgSz w:w="12246" w:h="16498"/>
          <w:pgMar w:top="1755" w:right="1701" w:bottom="547" w:left="1701" w:header="1287" w:footer="354" w:gutter="0"/>
          <w:pgNumType w:fmt="decimal" w:start="1"/>
          <w:cols w:space="720" w:num="1"/>
        </w:sectPr>
      </w:pPr>
    </w:p>
    <w:p w14:paraId="240E48B7">
      <w:pPr>
        <w:bidi w:val="0"/>
        <w:outlineLvl w:val="9"/>
        <w:rPr>
          <w:rFonts w:hint="default"/>
        </w:rPr>
      </w:pPr>
      <w:r>
        <w:rPr>
          <w:rFonts w:hint="default"/>
        </w:rPr>
        <w:t>四、实践取向：社会转型背景下重构乡村伦理的现实路径</w:t>
      </w:r>
    </w:p>
    <w:p w14:paraId="0C5DCB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社会主义现代化农村建设成败的关键之一，在于</w:t>
      </w:r>
      <w:r>
        <w:rPr>
          <w:rFonts w:hint="default" w:ascii="Times New Roman" w:hAnsi="Times New Roman" w:eastAsia="宋体" w:cs="Times New Roman"/>
          <w:color w:val="231F20"/>
          <w:spacing w:val="9"/>
          <w:sz w:val="24"/>
          <w:szCs w:val="24"/>
        </w:rPr>
        <w:t>乡村伦理道德建设的成效如何。要大力加强农村思想</w:t>
      </w:r>
      <w:r>
        <w:rPr>
          <w:rFonts w:hint="default" w:ascii="Times New Roman" w:hAnsi="Times New Roman" w:eastAsia="宋体" w:cs="Times New Roman"/>
          <w:color w:val="231F20"/>
          <w:spacing w:val="2"/>
          <w:sz w:val="24"/>
          <w:szCs w:val="24"/>
        </w:rPr>
        <w:t>文化建设、重构乡村伦理，为实现乡村振兴战略和农业</w:t>
      </w:r>
      <w:r>
        <w:rPr>
          <w:rFonts w:hint="default" w:ascii="Times New Roman" w:hAnsi="Times New Roman" w:eastAsia="宋体" w:cs="Times New Roman"/>
          <w:color w:val="231F20"/>
          <w:spacing w:val="8"/>
          <w:sz w:val="24"/>
          <w:szCs w:val="24"/>
        </w:rPr>
        <w:t>农村现代化奠定思想基础。</w:t>
      </w:r>
    </w:p>
    <w:p w14:paraId="1E67892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（一）坚持乡村物质文明和精神文明同步发展</w:t>
      </w:r>
      <w:r>
        <w:rPr>
          <w:rFonts w:hint="default" w:ascii="Times New Roman" w:hAnsi="Times New Roman" w:eastAsia="宋体" w:cs="Times New Roman"/>
          <w:color w:val="231F20"/>
          <w:spacing w:val="4"/>
          <w:sz w:val="24"/>
          <w:szCs w:val="24"/>
        </w:rPr>
        <w:t>，夯</w:t>
      </w:r>
      <w:r>
        <w:rPr>
          <w:rFonts w:hint="default" w:ascii="Times New Roman" w:hAnsi="Times New Roman" w:eastAsia="宋体" w:cs="Times New Roman"/>
          <w:color w:val="231F20"/>
          <w:spacing w:val="7"/>
          <w:sz w:val="24"/>
          <w:szCs w:val="24"/>
        </w:rPr>
        <w:t>实乡村伦理建设的物质基础</w:t>
      </w:r>
    </w:p>
    <w:p w14:paraId="4339F93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无论是从社会意识与社会存在关系角度，还是从厚植乡村伦理建设的物质文化基础角度，抑或是从实施乡村振兴战略角度，重构乡村伦理都离不开坚实的</w:t>
      </w:r>
      <w:r>
        <w:rPr>
          <w:rFonts w:hint="default" w:ascii="Times New Roman" w:hAnsi="Times New Roman" w:eastAsia="宋体" w:cs="Times New Roman"/>
          <w:color w:val="231F20"/>
          <w:spacing w:val="2"/>
          <w:sz w:val="24"/>
          <w:szCs w:val="24"/>
        </w:rPr>
        <w:t>物质基础，因此，必须坚持乡村振兴物质文明和精神文</w:t>
      </w:r>
      <w:r>
        <w:rPr>
          <w:rFonts w:hint="default" w:ascii="Times New Roman" w:hAnsi="Times New Roman" w:eastAsia="宋体" w:cs="Times New Roman"/>
          <w:color w:val="231F20"/>
          <w:spacing w:val="7"/>
          <w:sz w:val="24"/>
          <w:szCs w:val="24"/>
        </w:rPr>
        <w:t>明同步发展。马克思曾指出：“以观念形式表现在法</w:t>
      </w:r>
      <w:r>
        <w:rPr>
          <w:rFonts w:hint="default" w:ascii="Times New Roman" w:hAnsi="Times New Roman" w:eastAsia="宋体" w:cs="Times New Roman"/>
          <w:color w:val="231F20"/>
          <w:spacing w:val="10"/>
          <w:sz w:val="24"/>
          <w:szCs w:val="24"/>
        </w:rPr>
        <w:t>律、道德等等中的统治阶级的存在条件……统治阶级的思想家或多或少有意识地从理论上把它们变成某种独立自在的东西……把它们提出来作为生活准则，一则是作为对自己统治的粉饰或意识，一则是作为这种</w:t>
      </w:r>
      <w:r>
        <w:rPr>
          <w:rFonts w:hint="default" w:ascii="Times New Roman" w:hAnsi="Times New Roman" w:eastAsia="宋体" w:cs="Times New Roman"/>
          <w:color w:val="231F20"/>
          <w:sz w:val="24"/>
          <w:szCs w:val="24"/>
        </w:rPr>
        <w:t>统治的道德手段。”</w:t>
      </w:r>
      <w:r>
        <w:rPr>
          <w:rFonts w:hint="default" w:ascii="Times New Roman" w:hAnsi="Times New Roman" w:eastAsia="宋体" w:cs="Times New Roman"/>
          <w:color w:val="231F20"/>
          <w:position w:val="5"/>
          <w:sz w:val="24"/>
          <w:szCs w:val="24"/>
        </w:rPr>
        <w:t>［9</w:t>
      </w:r>
      <w:r>
        <w:rPr>
          <w:rFonts w:hint="default" w:ascii="Times New Roman" w:hAnsi="Times New Roman" w:eastAsia="宋体" w:cs="Times New Roman"/>
          <w:color w:val="231F20"/>
          <w:spacing w:val="-48"/>
          <w:position w:val="5"/>
          <w:sz w:val="24"/>
          <w:szCs w:val="24"/>
        </w:rPr>
        <w:t>］（</w:t>
      </w:r>
      <w:r>
        <w:rPr>
          <w:rFonts w:hint="default" w:ascii="Times New Roman" w:hAnsi="Times New Roman" w:eastAsia="宋体" w:cs="Times New Roman"/>
          <w:color w:val="231F20"/>
          <w:position w:val="5"/>
          <w:sz w:val="24"/>
          <w:szCs w:val="24"/>
        </w:rPr>
        <w:t>P492）</w:t>
      </w:r>
      <w:r>
        <w:rPr>
          <w:rFonts w:hint="default" w:ascii="Times New Roman" w:hAnsi="Times New Roman" w:eastAsia="宋体" w:cs="Times New Roman"/>
          <w:color w:val="231F20"/>
          <w:sz w:val="24"/>
          <w:szCs w:val="24"/>
        </w:rPr>
        <w:t>恩格斯也曾指出，人们</w:t>
      </w:r>
      <w:r>
        <w:rPr>
          <w:rFonts w:hint="default" w:ascii="Times New Roman" w:hAnsi="Times New Roman" w:eastAsia="宋体" w:cs="Times New Roman"/>
          <w:color w:val="231F20"/>
          <w:spacing w:val="-1"/>
          <w:sz w:val="24"/>
          <w:szCs w:val="24"/>
        </w:rPr>
        <w:t>自觉</w:t>
      </w:r>
      <w:r>
        <w:rPr>
          <w:rFonts w:hint="default" w:ascii="Times New Roman" w:hAnsi="Times New Roman" w:eastAsia="宋体" w:cs="Times New Roman"/>
          <w:color w:val="231F20"/>
          <w:spacing w:val="10"/>
          <w:sz w:val="24"/>
          <w:szCs w:val="24"/>
        </w:rPr>
        <w:t>地或不自觉地，归根到底总是从他们阶级地位所依据的实际关系中——就是说从生产和交换所赖以进行的</w:t>
      </w:r>
      <w:r>
        <w:rPr>
          <w:rFonts w:hint="default" w:ascii="Times New Roman" w:hAnsi="Times New Roman" w:eastAsia="宋体" w:cs="Times New Roman"/>
          <w:color w:val="231F20"/>
          <w:spacing w:val="-2"/>
          <w:sz w:val="24"/>
          <w:szCs w:val="24"/>
        </w:rPr>
        <w:t>经济关系中，吸取自己的道德观念。</w:t>
      </w:r>
      <w:r>
        <w:rPr>
          <w:rFonts w:hint="default" w:ascii="Times New Roman" w:hAnsi="Times New Roman" w:eastAsia="宋体" w:cs="Times New Roman"/>
          <w:color w:val="231F20"/>
          <w:spacing w:val="-2"/>
          <w:position w:val="5"/>
          <w:sz w:val="24"/>
          <w:szCs w:val="24"/>
        </w:rPr>
        <w:t>［10</w:t>
      </w:r>
      <w:r>
        <w:rPr>
          <w:rFonts w:hint="default" w:ascii="Times New Roman" w:hAnsi="Times New Roman" w:eastAsia="宋体" w:cs="Times New Roman"/>
          <w:color w:val="231F20"/>
          <w:spacing w:val="-48"/>
          <w:position w:val="5"/>
          <w:sz w:val="24"/>
          <w:szCs w:val="24"/>
        </w:rPr>
        <w:t>］（</w:t>
      </w:r>
      <w:r>
        <w:rPr>
          <w:rFonts w:hint="default" w:ascii="Times New Roman" w:hAnsi="Times New Roman" w:eastAsia="宋体" w:cs="Times New Roman"/>
          <w:color w:val="231F20"/>
          <w:spacing w:val="-2"/>
          <w:position w:val="5"/>
          <w:sz w:val="24"/>
          <w:szCs w:val="24"/>
        </w:rPr>
        <w:t>P434）</w:t>
      </w:r>
      <w:r>
        <w:rPr>
          <w:rFonts w:hint="default" w:ascii="Times New Roman" w:hAnsi="Times New Roman" w:eastAsia="宋体" w:cs="Times New Roman"/>
          <w:color w:val="231F20"/>
          <w:spacing w:val="-2"/>
          <w:sz w:val="24"/>
          <w:szCs w:val="24"/>
        </w:rPr>
        <w:t>这说明道德</w:t>
      </w:r>
      <w:r>
        <w:rPr>
          <w:rFonts w:hint="default" w:ascii="Times New Roman" w:hAnsi="Times New Roman" w:eastAsia="宋体" w:cs="Times New Roman"/>
          <w:color w:val="231F20"/>
          <w:spacing w:val="10"/>
          <w:sz w:val="24"/>
          <w:szCs w:val="24"/>
        </w:rPr>
        <w:t>伦理是一定社会经济基础的产物，是一定社会形态的上层建筑和意识形态的重要方面，是人类社会结构内部的重要组成部分，是和人们的现实利益紧密联系在</w:t>
      </w:r>
      <w:r>
        <w:rPr>
          <w:rFonts w:hint="default" w:ascii="Times New Roman" w:hAnsi="Times New Roman" w:eastAsia="宋体" w:cs="Times New Roman"/>
          <w:color w:val="231F20"/>
          <w:spacing w:val="-14"/>
          <w:position w:val="-2"/>
          <w:sz w:val="24"/>
          <w:szCs w:val="24"/>
        </w:rPr>
        <w:t>一起的。</w:t>
      </w:r>
      <w:r>
        <w:rPr>
          <w:rFonts w:hint="default" w:ascii="Times New Roman" w:hAnsi="Times New Roman" w:eastAsia="宋体" w:cs="Times New Roman"/>
          <w:color w:val="231F20"/>
          <w:spacing w:val="-14"/>
          <w:position w:val="3"/>
          <w:sz w:val="24"/>
          <w:szCs w:val="24"/>
        </w:rPr>
        <w:t>［11］</w:t>
      </w:r>
    </w:p>
    <w:p w14:paraId="676E715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在我国，乡村伦理建设是乡村意识形态建设的一</w:t>
      </w:r>
      <w:r>
        <w:rPr>
          <w:rFonts w:hint="default" w:ascii="Times New Roman" w:hAnsi="Times New Roman" w:eastAsia="宋体" w:cs="Times New Roman"/>
          <w:color w:val="231F20"/>
          <w:spacing w:val="9"/>
          <w:sz w:val="24"/>
          <w:szCs w:val="24"/>
        </w:rPr>
        <w:t>部分，同样离不开物质经济基础的支撑。党的十九届</w:t>
      </w:r>
      <w:r>
        <w:rPr>
          <w:rFonts w:hint="default" w:ascii="Times New Roman" w:hAnsi="Times New Roman" w:eastAsia="宋体" w:cs="Times New Roman"/>
          <w:color w:val="231F20"/>
          <w:spacing w:val="-6"/>
          <w:sz w:val="24"/>
          <w:szCs w:val="24"/>
        </w:rPr>
        <w:t>五中全会提出，要“强化以工补农、以城带乡，推动形成</w:t>
      </w:r>
      <w:r>
        <w:rPr>
          <w:rFonts w:hint="default" w:ascii="Times New Roman" w:hAnsi="Times New Roman" w:eastAsia="宋体" w:cs="Times New Roman"/>
          <w:color w:val="231F20"/>
          <w:spacing w:val="2"/>
          <w:sz w:val="24"/>
          <w:szCs w:val="24"/>
        </w:rPr>
        <w:t>工农互促、城乡互补、协调发展、共同繁荣的新型工农</w:t>
      </w:r>
      <w:r>
        <w:rPr>
          <w:rFonts w:hint="default" w:ascii="Times New Roman" w:hAnsi="Times New Roman" w:eastAsia="宋体" w:cs="Times New Roman"/>
          <w:color w:val="231F20"/>
          <w:spacing w:val="10"/>
          <w:sz w:val="24"/>
          <w:szCs w:val="24"/>
        </w:rPr>
        <w:t>城乡关系”。随着我国经济体制改革的不断深入和发</w:t>
      </w:r>
      <w:r>
        <w:rPr>
          <w:rFonts w:hint="default" w:ascii="Times New Roman" w:hAnsi="Times New Roman" w:eastAsia="宋体" w:cs="Times New Roman"/>
          <w:color w:val="231F20"/>
          <w:spacing w:val="2"/>
          <w:sz w:val="24"/>
          <w:szCs w:val="24"/>
        </w:rPr>
        <w:t>展，乡村社会的工业化、城镇化以及市场化使得农民的土地越来越少，新生代农民工越来越多，农民的身份意识越来越淡，他们已经成为推动工业化、城镇化发展的</w:t>
      </w:r>
      <w:r>
        <w:rPr>
          <w:rFonts w:hint="default" w:ascii="Times New Roman" w:hAnsi="Times New Roman" w:eastAsia="宋体" w:cs="Times New Roman"/>
          <w:color w:val="231F20"/>
          <w:spacing w:val="8"/>
          <w:sz w:val="24"/>
          <w:szCs w:val="24"/>
        </w:rPr>
        <w:t>重要力量。而对那些留守乡村的农民而言，大力发展</w:t>
      </w:r>
      <w:r>
        <w:rPr>
          <w:rFonts w:hint="default" w:ascii="Times New Roman" w:hAnsi="Times New Roman" w:eastAsia="宋体" w:cs="Times New Roman"/>
          <w:color w:val="231F20"/>
          <w:spacing w:val="2"/>
          <w:sz w:val="24"/>
          <w:szCs w:val="24"/>
        </w:rPr>
        <w:t>农村经济，提高收入水平，更是开展乡村伦理建设的必</w:t>
      </w:r>
      <w:r>
        <w:rPr>
          <w:rFonts w:hint="default" w:ascii="Times New Roman" w:hAnsi="Times New Roman" w:eastAsia="宋体" w:cs="Times New Roman"/>
          <w:color w:val="231F20"/>
          <w:spacing w:val="4"/>
          <w:sz w:val="24"/>
          <w:szCs w:val="24"/>
        </w:rPr>
        <w:t>要基础。古语云：仓廪实而知礼节，衣食足而知荣辱。</w:t>
      </w:r>
      <w:r>
        <w:rPr>
          <w:rFonts w:hint="default" w:ascii="Times New Roman" w:hAnsi="Times New Roman" w:eastAsia="宋体" w:cs="Times New Roman"/>
          <w:color w:val="231F20"/>
          <w:spacing w:val="2"/>
          <w:sz w:val="24"/>
          <w:szCs w:val="24"/>
        </w:rPr>
        <w:t>同样，在现代的广大乡村，村委会干部带领村民增收致富，村民的收入提高了，对村委会的信任感自然就提升</w:t>
      </w:r>
      <w:r>
        <w:rPr>
          <w:rFonts w:hint="default" w:ascii="Times New Roman" w:hAnsi="Times New Roman" w:eastAsia="宋体" w:cs="Times New Roman"/>
          <w:color w:val="231F20"/>
          <w:spacing w:val="1"/>
          <w:sz w:val="24"/>
          <w:szCs w:val="24"/>
        </w:rPr>
        <w:t>了，也会积极参加村里开展的一些文化宣教活动，不仅</w:t>
      </w:r>
      <w:r>
        <w:rPr>
          <w:rFonts w:hint="default" w:ascii="Times New Roman" w:hAnsi="Times New Roman" w:eastAsia="宋体" w:cs="Times New Roman"/>
          <w:color w:val="231F20"/>
          <w:spacing w:val="10"/>
          <w:sz w:val="24"/>
          <w:szCs w:val="24"/>
        </w:rPr>
        <w:t>大大丰富了自身的精神文化生活，也融洽了相互之间</w:t>
      </w:r>
      <w:r>
        <w:rPr>
          <w:rFonts w:hint="default" w:ascii="Times New Roman" w:hAnsi="Times New Roman" w:eastAsia="宋体" w:cs="Times New Roman"/>
          <w:color w:val="231F20"/>
          <w:spacing w:val="8"/>
          <w:sz w:val="24"/>
          <w:szCs w:val="24"/>
        </w:rPr>
        <w:t>的关系，使村风、民风大为好转。反观一些地方的农</w:t>
      </w:r>
      <w:r>
        <w:rPr>
          <w:rFonts w:hint="default" w:ascii="Times New Roman" w:hAnsi="Times New Roman" w:eastAsia="宋体" w:cs="Times New Roman"/>
          <w:color w:val="231F20"/>
          <w:spacing w:val="-3"/>
          <w:sz w:val="24"/>
          <w:szCs w:val="24"/>
        </w:rPr>
        <w:t>村，经济发展落后，村民连年收入低下，除了出去打工，</w:t>
      </w:r>
      <w:r>
        <w:rPr>
          <w:rFonts w:hint="default" w:ascii="Times New Roman" w:hAnsi="Times New Roman" w:eastAsia="宋体" w:cs="Times New Roman"/>
          <w:color w:val="231F20"/>
          <w:spacing w:val="10"/>
          <w:sz w:val="24"/>
          <w:szCs w:val="24"/>
        </w:rPr>
        <w:t>从村民到村干部都没有很好的方法摆脱困境，整个村</w:t>
      </w:r>
      <w:r>
        <w:rPr>
          <w:rFonts w:hint="default" w:ascii="Times New Roman" w:hAnsi="Times New Roman" w:eastAsia="宋体" w:cs="Times New Roman"/>
          <w:color w:val="231F20"/>
          <w:spacing w:val="4"/>
          <w:sz w:val="24"/>
          <w:szCs w:val="24"/>
        </w:rPr>
        <w:t>庄没有生机，村里开展的文化宣教活动也多流于形式，</w:t>
      </w:r>
      <w:r>
        <w:rPr>
          <w:rFonts w:hint="default" w:ascii="Times New Roman" w:hAnsi="Times New Roman" w:eastAsia="宋体" w:cs="Times New Roman"/>
          <w:color w:val="231F20"/>
          <w:spacing w:val="9"/>
          <w:sz w:val="24"/>
          <w:szCs w:val="24"/>
        </w:rPr>
        <w:t>村民参与的积极性不高。这充分表明，大力发展农村</w:t>
      </w:r>
      <w:r>
        <w:rPr>
          <w:rFonts w:hint="default" w:ascii="Times New Roman" w:hAnsi="Times New Roman" w:eastAsia="宋体" w:cs="Times New Roman"/>
          <w:color w:val="231F20"/>
          <w:spacing w:val="2"/>
          <w:sz w:val="24"/>
          <w:szCs w:val="24"/>
        </w:rPr>
        <w:t>经济、提高农民生活水平是加强农村文化建设、重构乡</w:t>
      </w:r>
      <w:r>
        <w:rPr>
          <w:rFonts w:hint="default" w:ascii="Times New Roman" w:hAnsi="Times New Roman" w:eastAsia="宋体" w:cs="Times New Roman"/>
          <w:color w:val="231F20"/>
          <w:spacing w:val="8"/>
          <w:sz w:val="24"/>
          <w:szCs w:val="24"/>
        </w:rPr>
        <w:t>村伦理的前提条件。</w:t>
      </w:r>
    </w:p>
    <w:p w14:paraId="1210473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（二）大力提升农村文化教育水平，提高农民</w:t>
      </w:r>
      <w:r>
        <w:rPr>
          <w:rFonts w:hint="default" w:ascii="Times New Roman" w:hAnsi="Times New Roman" w:eastAsia="宋体" w:cs="Times New Roman"/>
          <w:color w:val="231F20"/>
          <w:spacing w:val="4"/>
          <w:sz w:val="24"/>
          <w:szCs w:val="24"/>
        </w:rPr>
        <w:t>文化</w:t>
      </w:r>
      <w:r>
        <w:rPr>
          <w:rFonts w:hint="default" w:ascii="Times New Roman" w:hAnsi="Times New Roman" w:eastAsia="宋体" w:cs="Times New Roman"/>
          <w:color w:val="231F20"/>
          <w:spacing w:val="-4"/>
          <w:sz w:val="24"/>
          <w:szCs w:val="24"/>
        </w:rPr>
        <w:t>自觉，坚定农民文化自信</w:t>
      </w:r>
    </w:p>
    <w:p w14:paraId="060B662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1.进一步注重学校的显性教育。推进城乡融合发</w:t>
      </w:r>
      <w:r>
        <w:rPr>
          <w:rFonts w:hint="default" w:ascii="Times New Roman" w:hAnsi="Times New Roman" w:eastAsia="宋体" w:cs="Times New Roman"/>
          <w:color w:val="231F20"/>
          <w:spacing w:val="10"/>
          <w:sz w:val="24"/>
          <w:szCs w:val="24"/>
        </w:rPr>
        <w:t>展，需要缩小城乡之间在教育等基本公共服务方面的</w:t>
      </w:r>
      <w:r>
        <w:rPr>
          <w:rFonts w:hint="default" w:ascii="Times New Roman" w:hAnsi="Times New Roman" w:eastAsia="宋体" w:cs="Times New Roman"/>
          <w:color w:val="231F20"/>
          <w:spacing w:val="-3"/>
          <w:sz w:val="24"/>
          <w:szCs w:val="24"/>
        </w:rPr>
        <w:t>差别，完善农业技能培训体系和农民工培训体系</w:t>
      </w:r>
      <w:r>
        <w:rPr>
          <w:rFonts w:hint="default" w:ascii="Times New Roman" w:hAnsi="Times New Roman" w:eastAsia="宋体" w:cs="Times New Roman"/>
          <w:color w:val="231F20"/>
          <w:spacing w:val="-3"/>
          <w:position w:val="5"/>
          <w:sz w:val="24"/>
          <w:szCs w:val="24"/>
        </w:rPr>
        <w:t>［12</w:t>
      </w:r>
      <w:r>
        <w:rPr>
          <w:rFonts w:hint="default" w:ascii="Times New Roman" w:hAnsi="Times New Roman" w:eastAsia="宋体" w:cs="Times New Roman"/>
          <w:color w:val="231F20"/>
          <w:spacing w:val="-62"/>
          <w:w w:val="99"/>
          <w:position w:val="5"/>
          <w:sz w:val="24"/>
          <w:szCs w:val="24"/>
        </w:rPr>
        <w:t>］（</w:t>
      </w:r>
      <w:r>
        <w:rPr>
          <w:rFonts w:hint="default" w:ascii="Times New Roman" w:hAnsi="Times New Roman" w:eastAsia="宋体" w:cs="Times New Roman"/>
          <w:color w:val="231F20"/>
          <w:spacing w:val="-3"/>
          <w:position w:val="5"/>
          <w:sz w:val="24"/>
          <w:szCs w:val="24"/>
        </w:rPr>
        <w:t>P79）</w:t>
      </w:r>
      <w:r>
        <w:rPr>
          <w:rFonts w:hint="default" w:ascii="Times New Roman" w:hAnsi="Times New Roman" w:eastAsia="宋体" w:cs="Times New Roman"/>
          <w:color w:val="231F20"/>
          <w:spacing w:val="-3"/>
          <w:sz w:val="24"/>
          <w:szCs w:val="24"/>
        </w:rPr>
        <w:t>。</w:t>
      </w:r>
      <w:r>
        <w:rPr>
          <w:rFonts w:hint="default" w:ascii="Times New Roman" w:hAnsi="Times New Roman" w:eastAsia="宋体" w:cs="Times New Roman"/>
          <w:color w:val="231F20"/>
          <w:spacing w:val="10"/>
          <w:sz w:val="24"/>
          <w:szCs w:val="24"/>
        </w:rPr>
        <w:t>要大力提高高等教育的普及率，提升乡村村民的整体</w:t>
      </w:r>
      <w:r>
        <w:rPr>
          <w:rFonts w:hint="default" w:ascii="Times New Roman" w:hAnsi="Times New Roman" w:eastAsia="宋体" w:cs="Times New Roman"/>
          <w:color w:val="231F20"/>
          <w:spacing w:val="12"/>
          <w:sz w:val="24"/>
          <w:szCs w:val="24"/>
        </w:rPr>
        <w:t>文化素质。对于那些未能接受高等教育的农村青年，</w:t>
      </w:r>
      <w:r>
        <w:rPr>
          <w:rFonts w:hint="default" w:ascii="Times New Roman" w:hAnsi="Times New Roman" w:eastAsia="宋体" w:cs="Times New Roman"/>
          <w:color w:val="231F20"/>
          <w:spacing w:val="2"/>
          <w:sz w:val="24"/>
          <w:szCs w:val="24"/>
        </w:rPr>
        <w:t>应尝试探索全方位、多层次的教育模式，实施职业教育</w:t>
      </w:r>
      <w:r>
        <w:rPr>
          <w:rFonts w:hint="default" w:ascii="Times New Roman" w:hAnsi="Times New Roman" w:eastAsia="宋体" w:cs="Times New Roman"/>
          <w:color w:val="231F20"/>
          <w:spacing w:val="5"/>
          <w:sz w:val="24"/>
          <w:szCs w:val="24"/>
        </w:rPr>
        <w:t>和成人教育，使其掌握现代农业发展要求的各种技能，培养高素质职业农民，真正做到各尽所能、人尽其才。此外，还要在城乡文化的良性互动与有机融合等方面，</w:t>
      </w:r>
      <w:r>
        <w:rPr>
          <w:rFonts w:hint="default" w:ascii="Times New Roman" w:hAnsi="Times New Roman" w:eastAsia="宋体" w:cs="Times New Roman"/>
          <w:color w:val="231F20"/>
          <w:spacing w:val="9"/>
          <w:sz w:val="24"/>
          <w:szCs w:val="24"/>
        </w:rPr>
        <w:t>不断健全城乡融合发展的体制机制和政策体系。</w:t>
      </w:r>
    </w:p>
    <w:p w14:paraId="1FA8810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2.注重人文教育，引导村民正确处理功利与伦理</w:t>
      </w:r>
      <w:r>
        <w:rPr>
          <w:rFonts w:hint="default" w:ascii="Times New Roman" w:hAnsi="Times New Roman" w:eastAsia="宋体" w:cs="Times New Roman"/>
          <w:color w:val="231F20"/>
          <w:spacing w:val="1"/>
          <w:sz w:val="24"/>
          <w:szCs w:val="24"/>
        </w:rPr>
        <w:t>的关系。亚里士多德曾说，我们所有的探索、所有</w:t>
      </w:r>
      <w:r>
        <w:rPr>
          <w:rFonts w:hint="default" w:ascii="Times New Roman" w:hAnsi="Times New Roman" w:eastAsia="宋体" w:cs="Times New Roman"/>
          <w:color w:val="231F20"/>
          <w:sz w:val="24"/>
          <w:szCs w:val="24"/>
        </w:rPr>
        <w:t>的行</w:t>
      </w:r>
      <w:r>
        <w:rPr>
          <w:rFonts w:hint="default" w:ascii="Times New Roman" w:hAnsi="Times New Roman" w:eastAsia="宋体" w:cs="Times New Roman"/>
          <w:color w:val="231F20"/>
          <w:spacing w:val="10"/>
          <w:sz w:val="24"/>
          <w:szCs w:val="24"/>
        </w:rPr>
        <w:t>为都在追求达到某种善，为此我们首先应明确什么是</w:t>
      </w:r>
      <w:r>
        <w:rPr>
          <w:rFonts w:hint="default" w:ascii="Times New Roman" w:hAnsi="Times New Roman" w:eastAsia="宋体" w:cs="Times New Roman"/>
          <w:color w:val="231F20"/>
          <w:spacing w:val="-1"/>
          <w:sz w:val="24"/>
          <w:szCs w:val="24"/>
        </w:rPr>
        <w:t>善。因此，在基础教育阶段，应将我国的优秀传统伦理</w:t>
      </w:r>
      <w:r>
        <w:rPr>
          <w:rFonts w:hint="default" w:ascii="Times New Roman" w:hAnsi="Times New Roman" w:eastAsia="宋体" w:cs="Times New Roman"/>
          <w:color w:val="231F20"/>
          <w:spacing w:val="2"/>
          <w:sz w:val="24"/>
          <w:szCs w:val="24"/>
        </w:rPr>
        <w:t>纳入教学内容、引入课堂，进行必要的伦理灌输，将伦</w:t>
      </w:r>
      <w:r>
        <w:rPr>
          <w:rFonts w:hint="default" w:ascii="Times New Roman" w:hAnsi="Times New Roman" w:eastAsia="宋体" w:cs="Times New Roman"/>
          <w:color w:val="231F20"/>
          <w:spacing w:val="10"/>
          <w:sz w:val="24"/>
          <w:szCs w:val="24"/>
        </w:rPr>
        <w:t>理思想内化到人们的行为习惯和思维习惯中，让我国</w:t>
      </w:r>
      <w:r>
        <w:rPr>
          <w:rFonts w:hint="default" w:ascii="Times New Roman" w:hAnsi="Times New Roman" w:eastAsia="宋体" w:cs="Times New Roman"/>
          <w:color w:val="231F20"/>
          <w:spacing w:val="9"/>
          <w:sz w:val="24"/>
          <w:szCs w:val="24"/>
        </w:rPr>
        <w:t>优秀的文化传统成为城乡文化发展的精神之源。长期</w:t>
      </w:r>
      <w:r>
        <w:rPr>
          <w:rFonts w:hint="default" w:ascii="Times New Roman" w:hAnsi="Times New Roman" w:eastAsia="宋体" w:cs="Times New Roman"/>
          <w:color w:val="231F20"/>
          <w:spacing w:val="4"/>
          <w:sz w:val="24"/>
          <w:szCs w:val="24"/>
        </w:rPr>
        <w:t>以来，很多农村孩子接受的教育更倾向于功利性教育，</w:t>
      </w:r>
      <w:r>
        <w:rPr>
          <w:rFonts w:hint="default" w:ascii="Times New Roman" w:hAnsi="Times New Roman" w:eastAsia="宋体" w:cs="Times New Roman"/>
          <w:color w:val="231F20"/>
          <w:spacing w:val="2"/>
          <w:sz w:val="24"/>
          <w:szCs w:val="24"/>
        </w:rPr>
        <w:t>人文教育受到挤压，要通过学校教育，引导学生知道什么是善，什么是伦理，使农村孩子学会正确处理功利与</w:t>
      </w:r>
      <w:r>
        <w:rPr>
          <w:rFonts w:hint="default" w:ascii="Times New Roman" w:hAnsi="Times New Roman" w:eastAsia="宋体" w:cs="Times New Roman"/>
          <w:color w:val="231F20"/>
          <w:spacing w:val="9"/>
          <w:sz w:val="24"/>
          <w:szCs w:val="24"/>
        </w:rPr>
        <w:t>伦理的关系。对成年农民而言，要通过加强乡村伦理</w:t>
      </w:r>
      <w:r>
        <w:rPr>
          <w:rFonts w:hint="default" w:ascii="Times New Roman" w:hAnsi="Times New Roman" w:eastAsia="宋体" w:cs="Times New Roman"/>
          <w:color w:val="231F20"/>
          <w:spacing w:val="4"/>
          <w:sz w:val="24"/>
          <w:szCs w:val="24"/>
        </w:rPr>
        <w:t>道德建设和精神文明创建活动，提升其思想道德素养，</w:t>
      </w:r>
      <w:r>
        <w:rPr>
          <w:rFonts w:hint="default" w:ascii="Times New Roman" w:hAnsi="Times New Roman" w:eastAsia="宋体" w:cs="Times New Roman"/>
          <w:color w:val="231F20"/>
          <w:spacing w:val="8"/>
          <w:sz w:val="24"/>
          <w:szCs w:val="24"/>
        </w:rPr>
        <w:t>树立正确的义利观。</w:t>
      </w:r>
    </w:p>
    <w:p w14:paraId="3DA3DDD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3.大力提高农民的文化自觉和文化自信。费孝通</w:t>
      </w:r>
      <w:r>
        <w:rPr>
          <w:rFonts w:hint="default" w:ascii="Times New Roman" w:hAnsi="Times New Roman" w:eastAsia="宋体" w:cs="Times New Roman"/>
          <w:color w:val="231F20"/>
          <w:spacing w:val="2"/>
          <w:sz w:val="24"/>
          <w:szCs w:val="24"/>
        </w:rPr>
        <w:t>先生认为，文化自觉是指“生活在一定文化中的人对其文化有自知之明，明白它的来历、形成过程、所具有的</w:t>
      </w:r>
      <w:r>
        <w:rPr>
          <w:rFonts w:hint="default" w:ascii="Times New Roman" w:hAnsi="Times New Roman" w:eastAsia="宋体" w:cs="Times New Roman"/>
          <w:color w:val="231F20"/>
          <w:spacing w:val="-2"/>
          <w:sz w:val="24"/>
          <w:szCs w:val="24"/>
        </w:rPr>
        <w:t>特色和它发展的趋向，不带任何文化回归的意思”</w:t>
      </w:r>
      <w:r>
        <w:rPr>
          <w:rFonts w:hint="default" w:ascii="Times New Roman" w:hAnsi="Times New Roman" w:eastAsia="宋体" w:cs="Times New Roman"/>
          <w:color w:val="231F20"/>
          <w:spacing w:val="-2"/>
          <w:position w:val="6"/>
          <w:sz w:val="24"/>
          <w:szCs w:val="24"/>
        </w:rPr>
        <w:t>［13］</w:t>
      </w:r>
      <w:r>
        <w:rPr>
          <w:rFonts w:hint="default" w:ascii="Times New Roman" w:hAnsi="Times New Roman" w:eastAsia="宋体" w:cs="Times New Roman"/>
          <w:color w:val="231F20"/>
          <w:spacing w:val="-2"/>
          <w:sz w:val="24"/>
          <w:szCs w:val="24"/>
        </w:rPr>
        <w:t>。</w:t>
      </w:r>
      <w:r>
        <w:rPr>
          <w:rFonts w:hint="default" w:ascii="Times New Roman" w:hAnsi="Times New Roman" w:eastAsia="宋体" w:cs="Times New Roman"/>
          <w:color w:val="231F20"/>
          <w:spacing w:val="10"/>
          <w:sz w:val="24"/>
          <w:szCs w:val="24"/>
        </w:rPr>
        <w:t>提升农民的文化自觉即促使农民对生活其中的文化有</w:t>
      </w:r>
      <w:r>
        <w:rPr>
          <w:rFonts w:hint="default" w:ascii="Times New Roman" w:hAnsi="Times New Roman" w:eastAsia="宋体" w:cs="Times New Roman"/>
          <w:color w:val="231F20"/>
          <w:spacing w:val="2"/>
          <w:sz w:val="24"/>
          <w:szCs w:val="24"/>
        </w:rPr>
        <w:t>深刻了解和认识，能传承其中优秀合理的部分，同时学</w:t>
      </w:r>
      <w:r>
        <w:rPr>
          <w:rFonts w:hint="default" w:ascii="Times New Roman" w:hAnsi="Times New Roman" w:eastAsia="宋体" w:cs="Times New Roman"/>
          <w:color w:val="231F20"/>
          <w:spacing w:val="5"/>
          <w:sz w:val="24"/>
          <w:szCs w:val="24"/>
        </w:rPr>
        <w:t>会用辩证的眼光看待乡村伦理，自觉进行创新性发展。</w:t>
      </w:r>
      <w:r>
        <w:rPr>
          <w:rFonts w:hint="default" w:ascii="Times New Roman" w:hAnsi="Times New Roman" w:eastAsia="宋体" w:cs="Times New Roman"/>
          <w:color w:val="231F20"/>
          <w:spacing w:val="13"/>
          <w:sz w:val="24"/>
          <w:szCs w:val="24"/>
        </w:rPr>
        <w:t>既要意识到乡村传统文化在中华传统文化中的地位，</w:t>
      </w:r>
      <w:r>
        <w:rPr>
          <w:rFonts w:hint="default" w:ascii="Times New Roman" w:hAnsi="Times New Roman" w:eastAsia="宋体" w:cs="Times New Roman"/>
          <w:color w:val="231F20"/>
          <w:spacing w:val="5"/>
          <w:sz w:val="24"/>
          <w:szCs w:val="24"/>
        </w:rPr>
        <w:t>又要在实践中直面乡村伦理的困境，寻找合适的范式，</w:t>
      </w:r>
      <w:r>
        <w:rPr>
          <w:rFonts w:hint="default" w:ascii="Times New Roman" w:hAnsi="Times New Roman" w:eastAsia="宋体" w:cs="Times New Roman"/>
          <w:color w:val="231F20"/>
          <w:spacing w:val="10"/>
          <w:sz w:val="24"/>
          <w:szCs w:val="24"/>
        </w:rPr>
        <w:t>正确融合传统伦理与现代伦理，对于传统伦理中的公</w:t>
      </w:r>
      <w:r>
        <w:rPr>
          <w:rFonts w:hint="default" w:ascii="Times New Roman" w:hAnsi="Times New Roman" w:eastAsia="宋体" w:cs="Times New Roman"/>
          <w:color w:val="231F20"/>
          <w:spacing w:val="2"/>
          <w:sz w:val="24"/>
          <w:szCs w:val="24"/>
        </w:rPr>
        <w:t>义胜私欲、追求人际和谐、讲求谦敬礼让、恪守诚信等</w:t>
      </w:r>
      <w:r>
        <w:rPr>
          <w:rFonts w:hint="default" w:ascii="Times New Roman" w:hAnsi="Times New Roman" w:eastAsia="宋体" w:cs="Times New Roman"/>
          <w:color w:val="231F20"/>
          <w:spacing w:val="-4"/>
          <w:sz w:val="24"/>
          <w:szCs w:val="24"/>
        </w:rPr>
        <w:t>合理内核，要大力弘扬、传承发展。</w:t>
      </w:r>
    </w:p>
    <w:p w14:paraId="3019734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（三）强化基层政府组织功能，完善乡村伦理</w:t>
      </w:r>
      <w:r>
        <w:rPr>
          <w:rFonts w:hint="default" w:ascii="Times New Roman" w:hAnsi="Times New Roman" w:eastAsia="宋体" w:cs="Times New Roman"/>
          <w:color w:val="231F20"/>
          <w:spacing w:val="4"/>
          <w:sz w:val="24"/>
          <w:szCs w:val="24"/>
        </w:rPr>
        <w:t>建设</w:t>
      </w:r>
      <w:r>
        <w:rPr>
          <w:rFonts w:hint="default" w:ascii="Times New Roman" w:hAnsi="Times New Roman" w:eastAsia="宋体" w:cs="Times New Roman"/>
          <w:color w:val="231F20"/>
          <w:spacing w:val="6"/>
          <w:sz w:val="24"/>
          <w:szCs w:val="24"/>
        </w:rPr>
        <w:t>机制</w:t>
      </w:r>
    </w:p>
    <w:p w14:paraId="3BA9905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一些基层组织对自身职能认识不到位，片面地自</w:t>
      </w:r>
      <w:r>
        <w:rPr>
          <w:rFonts w:hint="default" w:ascii="Times New Roman" w:hAnsi="Times New Roman" w:eastAsia="宋体" w:cs="Times New Roman"/>
          <w:color w:val="231F20"/>
          <w:spacing w:val="2"/>
          <w:sz w:val="24"/>
          <w:szCs w:val="24"/>
        </w:rPr>
        <w:t>我定位为功能单一的组织细胞，深陷工具理性，排斥伦</w:t>
      </w:r>
      <w:r>
        <w:rPr>
          <w:rFonts w:hint="default" w:ascii="Times New Roman" w:hAnsi="Times New Roman" w:eastAsia="宋体" w:cs="Times New Roman"/>
          <w:color w:val="231F20"/>
          <w:spacing w:val="5"/>
          <w:sz w:val="24"/>
          <w:szCs w:val="24"/>
        </w:rPr>
        <w:t>理和价值因素的介入，造成了地方行政权力的内卷化。</w:t>
      </w:r>
      <w:r>
        <w:rPr>
          <w:rFonts w:hint="default" w:ascii="Times New Roman" w:hAnsi="Times New Roman" w:eastAsia="宋体" w:cs="Times New Roman"/>
          <w:color w:val="231F20"/>
          <w:spacing w:val="10"/>
          <w:sz w:val="24"/>
          <w:szCs w:val="24"/>
        </w:rPr>
        <w:t>矫治这一问题的关键在于超越狭隘的工具思维，实现</w:t>
      </w:r>
      <w:r>
        <w:rPr>
          <w:rFonts w:hint="default" w:ascii="Times New Roman" w:hAnsi="Times New Roman" w:eastAsia="宋体" w:cs="Times New Roman"/>
          <w:color w:val="231F20"/>
          <w:spacing w:val="14"/>
          <w:sz w:val="24"/>
          <w:szCs w:val="24"/>
        </w:rPr>
        <w:t>基层组织运转与村民个人发展之间最大程度的</w:t>
      </w:r>
      <w:r>
        <w:rPr>
          <w:rFonts w:hint="default" w:ascii="Times New Roman" w:hAnsi="Times New Roman" w:eastAsia="宋体" w:cs="Times New Roman"/>
          <w:color w:val="231F20"/>
          <w:spacing w:val="13"/>
          <w:sz w:val="24"/>
          <w:szCs w:val="24"/>
        </w:rPr>
        <w:t>衔接。</w:t>
      </w:r>
      <w:r>
        <w:rPr>
          <w:rFonts w:hint="default" w:ascii="Times New Roman" w:hAnsi="Times New Roman" w:eastAsia="宋体" w:cs="Times New Roman"/>
          <w:color w:val="231F20"/>
          <w:spacing w:val="10"/>
          <w:sz w:val="24"/>
          <w:szCs w:val="24"/>
        </w:rPr>
        <w:t>在实践中，教育和文化中的许多项目对经济社会发展</w:t>
      </w:r>
      <w:r>
        <w:rPr>
          <w:rFonts w:hint="default" w:ascii="Times New Roman" w:hAnsi="Times New Roman" w:eastAsia="宋体" w:cs="Times New Roman"/>
          <w:color w:val="231F20"/>
          <w:spacing w:val="5"/>
          <w:sz w:val="24"/>
          <w:szCs w:val="24"/>
        </w:rPr>
        <w:t>具有全局性、长期性的智力支持功能、文化传承功能、</w:t>
      </w:r>
      <w:r>
        <w:rPr>
          <w:rFonts w:hint="default" w:ascii="Times New Roman" w:hAnsi="Times New Roman" w:eastAsia="宋体" w:cs="Times New Roman"/>
          <w:color w:val="231F20"/>
          <w:spacing w:val="10"/>
          <w:sz w:val="24"/>
          <w:szCs w:val="24"/>
        </w:rPr>
        <w:t>文化凝聚功能和文化导向功能，只能通过政府发挥主</w:t>
      </w:r>
      <w:r>
        <w:rPr>
          <w:rFonts w:hint="default" w:ascii="Times New Roman" w:hAnsi="Times New Roman" w:eastAsia="宋体" w:cs="Times New Roman"/>
          <w:color w:val="231F20"/>
          <w:spacing w:val="7"/>
          <w:sz w:val="24"/>
          <w:szCs w:val="24"/>
        </w:rPr>
        <w:t>导性作用，以实现非物质资源的高效配置。</w:t>
      </w:r>
      <w:r>
        <w:rPr>
          <w:rFonts w:hint="default" w:ascii="Times New Roman" w:hAnsi="Times New Roman" w:eastAsia="宋体" w:cs="Times New Roman"/>
          <w:color w:val="231F20"/>
          <w:spacing w:val="7"/>
          <w:position w:val="5"/>
          <w:sz w:val="24"/>
          <w:szCs w:val="24"/>
        </w:rPr>
        <w:t>［14</w:t>
      </w:r>
      <w:r>
        <w:rPr>
          <w:rFonts w:hint="default" w:ascii="Times New Roman" w:hAnsi="Times New Roman" w:eastAsia="宋体" w:cs="Times New Roman"/>
          <w:color w:val="231F20"/>
          <w:spacing w:val="-49"/>
          <w:position w:val="5"/>
          <w:sz w:val="24"/>
          <w:szCs w:val="24"/>
        </w:rPr>
        <w:t>］（</w:t>
      </w:r>
      <w:r>
        <w:rPr>
          <w:rFonts w:hint="default" w:ascii="Times New Roman" w:hAnsi="Times New Roman" w:eastAsia="宋体" w:cs="Times New Roman"/>
          <w:color w:val="231F20"/>
          <w:spacing w:val="7"/>
          <w:position w:val="5"/>
          <w:sz w:val="24"/>
          <w:szCs w:val="24"/>
        </w:rPr>
        <w:t>P66）</w:t>
      </w:r>
      <w:r>
        <w:rPr>
          <w:rFonts w:hint="default" w:ascii="Times New Roman" w:hAnsi="Times New Roman" w:eastAsia="宋体" w:cs="Times New Roman"/>
          <w:color w:val="231F20"/>
          <w:spacing w:val="7"/>
          <w:sz w:val="24"/>
          <w:szCs w:val="24"/>
        </w:rPr>
        <w:t>为</w:t>
      </w:r>
      <w:r>
        <w:rPr>
          <w:rFonts w:hint="default" w:ascii="Times New Roman" w:hAnsi="Times New Roman" w:eastAsia="宋体" w:cs="Times New Roman"/>
          <w:color w:val="231F20"/>
          <w:spacing w:val="-7"/>
          <w:sz w:val="24"/>
          <w:szCs w:val="24"/>
        </w:rPr>
        <w:t>此，要积极贯彻“以人为本”的发展理念，强化基层政府</w:t>
      </w:r>
      <w:r>
        <w:rPr>
          <w:rFonts w:hint="default" w:ascii="Times New Roman" w:hAnsi="Times New Roman" w:eastAsia="宋体" w:cs="Times New Roman"/>
          <w:color w:val="231F20"/>
          <w:spacing w:val="9"/>
          <w:sz w:val="24"/>
          <w:szCs w:val="24"/>
        </w:rPr>
        <w:t>在乡村伦理建设中的责任和使命。基层党员干部要深</w:t>
      </w:r>
      <w:r>
        <w:rPr>
          <w:rFonts w:hint="default" w:ascii="Times New Roman" w:hAnsi="Times New Roman" w:eastAsia="宋体" w:cs="Times New Roman"/>
          <w:color w:val="231F20"/>
          <w:spacing w:val="2"/>
          <w:sz w:val="24"/>
          <w:szCs w:val="24"/>
        </w:rPr>
        <w:t>入了解村民的实际需要，做到问需于民、问计于民，真</w:t>
      </w:r>
      <w:r>
        <w:rPr>
          <w:rFonts w:hint="default" w:ascii="Times New Roman" w:hAnsi="Times New Roman" w:eastAsia="宋体" w:cs="Times New Roman"/>
          <w:color w:val="231F20"/>
          <w:spacing w:val="10"/>
          <w:sz w:val="24"/>
          <w:szCs w:val="24"/>
        </w:rPr>
        <w:t>正解决与老百姓息息相关的民生问题，实现乡村社会</w:t>
      </w:r>
      <w:r>
        <w:rPr>
          <w:rFonts w:hint="default" w:ascii="Times New Roman" w:hAnsi="Times New Roman" w:eastAsia="宋体" w:cs="Times New Roman"/>
          <w:color w:val="231F20"/>
          <w:spacing w:val="9"/>
          <w:sz w:val="24"/>
          <w:szCs w:val="24"/>
        </w:rPr>
        <w:t>与基层组织最大程度的共识和默契。在此基础上，以</w:t>
      </w:r>
      <w:r>
        <w:rPr>
          <w:rFonts w:hint="default" w:ascii="Times New Roman" w:hAnsi="Times New Roman" w:eastAsia="宋体" w:cs="Times New Roman"/>
          <w:color w:val="231F20"/>
          <w:spacing w:val="2"/>
          <w:sz w:val="24"/>
          <w:szCs w:val="24"/>
        </w:rPr>
        <w:t>管理抓伦理，不但带领村民物质上致富，思想伦理上也</w:t>
      </w:r>
      <w:r>
        <w:rPr>
          <w:rFonts w:hint="default" w:ascii="Times New Roman" w:hAnsi="Times New Roman" w:eastAsia="宋体" w:cs="Times New Roman"/>
          <w:color w:val="231F20"/>
          <w:spacing w:val="8"/>
          <w:sz w:val="24"/>
          <w:szCs w:val="24"/>
        </w:rPr>
        <w:t>进一步提升净化。</w:t>
      </w:r>
    </w:p>
    <w:p w14:paraId="6E310E2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2"/>
          <w:sz w:val="24"/>
          <w:szCs w:val="24"/>
        </w:rPr>
        <w:t>1.积极培树乡村伦理建设的典型，弘扬正能量。</w:t>
      </w:r>
      <w:r>
        <w:rPr>
          <w:rFonts w:hint="default" w:ascii="Times New Roman" w:hAnsi="Times New Roman" w:eastAsia="宋体" w:cs="Times New Roman"/>
          <w:color w:val="231F20"/>
          <w:spacing w:val="2"/>
          <w:sz w:val="24"/>
          <w:szCs w:val="24"/>
        </w:rPr>
        <w:t>积极培树乡村道德典范，诸如孝老爱亲典型、诚信敬业典型、互帮互助典型等，通过树立典型、舆论宣传等方式，让积极健康的伦理观念广泛占领农村文化阵地，防</w:t>
      </w:r>
      <w:r>
        <w:rPr>
          <w:rFonts w:hint="default" w:ascii="Times New Roman" w:hAnsi="Times New Roman" w:eastAsia="宋体" w:cs="Times New Roman"/>
          <w:color w:val="231F20"/>
          <w:spacing w:val="10"/>
          <w:sz w:val="24"/>
          <w:szCs w:val="24"/>
        </w:rPr>
        <w:t>止封建残余思想和一些社会不良思想倾向对农民的侵</w:t>
      </w:r>
      <w:r>
        <w:rPr>
          <w:rFonts w:hint="default" w:ascii="Times New Roman" w:hAnsi="Times New Roman" w:eastAsia="宋体" w:cs="Times New Roman"/>
          <w:color w:val="231F20"/>
          <w:spacing w:val="9"/>
          <w:sz w:val="24"/>
          <w:szCs w:val="24"/>
        </w:rPr>
        <w:t>蚀。对此，可通过在公共场所张贴伦理建设的相关海</w:t>
      </w:r>
      <w:r>
        <w:rPr>
          <w:rFonts w:hint="default" w:ascii="Times New Roman" w:hAnsi="Times New Roman" w:eastAsia="宋体" w:cs="Times New Roman"/>
          <w:color w:val="231F20"/>
          <w:spacing w:val="2"/>
          <w:sz w:val="24"/>
          <w:szCs w:val="24"/>
        </w:rPr>
        <w:t>报、将每年固定时间设为文明礼貌月等举措，使伦理思</w:t>
      </w:r>
      <w:r>
        <w:rPr>
          <w:rFonts w:hint="default" w:ascii="Times New Roman" w:hAnsi="Times New Roman" w:eastAsia="宋体" w:cs="Times New Roman"/>
          <w:color w:val="231F20"/>
          <w:spacing w:val="10"/>
          <w:sz w:val="24"/>
          <w:szCs w:val="24"/>
        </w:rPr>
        <w:t>想渗透到乡村生活的各个方面，潜移默化地融入村民</w:t>
      </w:r>
      <w:r>
        <w:rPr>
          <w:rFonts w:hint="default" w:ascii="Times New Roman" w:hAnsi="Times New Roman" w:eastAsia="宋体" w:cs="Times New Roman"/>
          <w:color w:val="231F20"/>
          <w:spacing w:val="3"/>
          <w:sz w:val="24"/>
          <w:szCs w:val="24"/>
        </w:rPr>
        <w:t>的精神世界，为乡村伦理重构提供契机。</w:t>
      </w:r>
    </w:p>
    <w:p w14:paraId="04151FB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2.不断创新，开展丰富多彩的文化下乡活</w:t>
      </w:r>
      <w:r>
        <w:rPr>
          <w:rFonts w:hint="default" w:ascii="Times New Roman" w:hAnsi="Times New Roman" w:eastAsia="宋体" w:cs="Times New Roman"/>
          <w:color w:val="231F20"/>
          <w:spacing w:val="8"/>
          <w:sz w:val="24"/>
          <w:szCs w:val="24"/>
        </w:rPr>
        <w:t>动。基</w:t>
      </w:r>
      <w:r>
        <w:rPr>
          <w:rFonts w:hint="default" w:ascii="Times New Roman" w:hAnsi="Times New Roman" w:eastAsia="宋体" w:cs="Times New Roman"/>
          <w:color w:val="231F20"/>
          <w:spacing w:val="10"/>
          <w:sz w:val="24"/>
          <w:szCs w:val="24"/>
        </w:rPr>
        <w:t>层政府应将先进文化与村民的日常生活紧密结合，采</w:t>
      </w:r>
      <w:r>
        <w:rPr>
          <w:rFonts w:hint="default" w:ascii="Times New Roman" w:hAnsi="Times New Roman" w:eastAsia="宋体" w:cs="Times New Roman"/>
          <w:color w:val="231F20"/>
          <w:spacing w:val="4"/>
          <w:sz w:val="24"/>
          <w:szCs w:val="24"/>
        </w:rPr>
        <w:t>用老百姓喜闻乐见的方式，开展丰富多彩的文化活动，</w:t>
      </w:r>
      <w:r>
        <w:rPr>
          <w:rFonts w:hint="default" w:ascii="Times New Roman" w:hAnsi="Times New Roman" w:eastAsia="宋体" w:cs="Times New Roman"/>
          <w:color w:val="231F20"/>
          <w:spacing w:val="10"/>
          <w:sz w:val="24"/>
          <w:szCs w:val="24"/>
        </w:rPr>
        <w:t>将先进的伦理道德融入农民的实际生活中，既使群众</w:t>
      </w:r>
      <w:r>
        <w:rPr>
          <w:rFonts w:hint="default" w:ascii="Times New Roman" w:hAnsi="Times New Roman" w:eastAsia="宋体" w:cs="Times New Roman"/>
          <w:color w:val="231F20"/>
          <w:spacing w:val="2"/>
          <w:sz w:val="24"/>
          <w:szCs w:val="24"/>
        </w:rPr>
        <w:t>健身娱乐，又为群众带来欢乐和享受，避免市场经济下</w:t>
      </w:r>
      <w:r>
        <w:rPr>
          <w:rFonts w:hint="default" w:ascii="Times New Roman" w:hAnsi="Times New Roman" w:eastAsia="宋体" w:cs="Times New Roman"/>
          <w:color w:val="231F20"/>
          <w:sz w:val="24"/>
          <w:szCs w:val="24"/>
        </w:rPr>
        <w:t>的单纯“经济人”趋势，使乡村文化发展成为新农村建</w:t>
      </w:r>
      <w:r>
        <w:rPr>
          <w:rFonts w:hint="default" w:ascii="Times New Roman" w:hAnsi="Times New Roman" w:eastAsia="宋体" w:cs="Times New Roman"/>
          <w:color w:val="231F20"/>
          <w:spacing w:val="7"/>
          <w:sz w:val="24"/>
          <w:szCs w:val="24"/>
        </w:rPr>
        <w:t>设的驱动力。</w:t>
      </w:r>
    </w:p>
    <w:p w14:paraId="6BD575F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2"/>
          <w:sz w:val="24"/>
          <w:szCs w:val="24"/>
        </w:rPr>
        <w:t>3.充分挖掘民间文化，大力发展乡村文化产业。</w:t>
      </w:r>
      <w:r>
        <w:rPr>
          <w:rFonts w:hint="default" w:ascii="Times New Roman" w:hAnsi="Times New Roman" w:eastAsia="宋体" w:cs="Times New Roman"/>
          <w:color w:val="231F20"/>
          <w:spacing w:val="10"/>
          <w:sz w:val="24"/>
          <w:szCs w:val="24"/>
        </w:rPr>
        <w:t>农民群众不仅是文化产品的欣赏者，更是农村文化的</w:t>
      </w:r>
      <w:r>
        <w:rPr>
          <w:rFonts w:hint="default" w:ascii="Times New Roman" w:hAnsi="Times New Roman" w:eastAsia="宋体" w:cs="Times New Roman"/>
          <w:color w:val="231F20"/>
          <w:spacing w:val="2"/>
          <w:sz w:val="24"/>
          <w:szCs w:val="24"/>
        </w:rPr>
        <w:t>创造者，可以通过举办一些民间文化艺术节、民俗展览等活动，使民间文化深度融入农民的精神生活，夯实新</w:t>
      </w:r>
      <w:r>
        <w:rPr>
          <w:rFonts w:hint="default" w:ascii="Times New Roman" w:hAnsi="Times New Roman" w:eastAsia="宋体" w:cs="Times New Roman"/>
          <w:color w:val="231F20"/>
          <w:spacing w:val="4"/>
          <w:sz w:val="24"/>
          <w:szCs w:val="24"/>
        </w:rPr>
        <w:t>农村建设的文化基础。深挖民间文化，形成品牌优势，</w:t>
      </w:r>
      <w:r>
        <w:rPr>
          <w:rFonts w:hint="default" w:ascii="Times New Roman" w:hAnsi="Times New Roman" w:eastAsia="宋体" w:cs="Times New Roman"/>
          <w:color w:val="231F20"/>
          <w:spacing w:val="10"/>
          <w:sz w:val="24"/>
          <w:szCs w:val="24"/>
        </w:rPr>
        <w:t>有意识地将文化遗产与现代元素相结合，为乡村传统</w:t>
      </w:r>
      <w:r>
        <w:rPr>
          <w:rFonts w:hint="default" w:ascii="Times New Roman" w:hAnsi="Times New Roman" w:eastAsia="宋体" w:cs="Times New Roman"/>
          <w:color w:val="231F20"/>
          <w:spacing w:val="8"/>
          <w:sz w:val="24"/>
          <w:szCs w:val="24"/>
        </w:rPr>
        <w:t>文化增添新活力。</w:t>
      </w:r>
    </w:p>
    <w:p w14:paraId="62C1417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（四）搭建文化惠民网络平台，提高农村公共</w:t>
      </w:r>
      <w:r>
        <w:rPr>
          <w:rFonts w:hint="default" w:ascii="Times New Roman" w:hAnsi="Times New Roman" w:eastAsia="宋体" w:cs="Times New Roman"/>
          <w:color w:val="231F20"/>
          <w:spacing w:val="4"/>
          <w:sz w:val="24"/>
          <w:szCs w:val="24"/>
        </w:rPr>
        <w:t>文化</w:t>
      </w:r>
      <w:r>
        <w:rPr>
          <w:rFonts w:hint="default" w:ascii="Times New Roman" w:hAnsi="Times New Roman" w:eastAsia="宋体" w:cs="Times New Roman"/>
          <w:color w:val="231F20"/>
          <w:spacing w:val="8"/>
          <w:sz w:val="24"/>
          <w:szCs w:val="24"/>
        </w:rPr>
        <w:t>服务能力</w:t>
      </w:r>
    </w:p>
    <w:p w14:paraId="04457D0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4"/>
          <w:sz w:val="24"/>
          <w:szCs w:val="24"/>
        </w:rPr>
        <w:t>互联网的普及和发展极大地丰富了人们的生活，</w:t>
      </w:r>
      <w:r>
        <w:rPr>
          <w:rFonts w:hint="default" w:ascii="Times New Roman" w:hAnsi="Times New Roman" w:eastAsia="宋体" w:cs="Times New Roman"/>
          <w:color w:val="231F20"/>
          <w:spacing w:val="2"/>
          <w:sz w:val="24"/>
          <w:szCs w:val="24"/>
        </w:rPr>
        <w:t>积极搭建文化惠民网络平台，借助网络信息载体，加强</w:t>
      </w:r>
      <w:r>
        <w:rPr>
          <w:rFonts w:hint="default" w:ascii="Times New Roman" w:hAnsi="Times New Roman" w:eastAsia="宋体" w:cs="Times New Roman"/>
          <w:color w:val="231F20"/>
          <w:spacing w:val="13"/>
          <w:sz w:val="24"/>
          <w:szCs w:val="24"/>
        </w:rPr>
        <w:t>乡村伦理文化传播，有利于推动乡村文化振兴进程。</w:t>
      </w:r>
      <w:r>
        <w:rPr>
          <w:rFonts w:hint="default" w:ascii="Times New Roman" w:hAnsi="Times New Roman" w:eastAsia="宋体" w:cs="Times New Roman"/>
          <w:color w:val="231F20"/>
          <w:spacing w:val="10"/>
          <w:sz w:val="24"/>
          <w:szCs w:val="24"/>
        </w:rPr>
        <w:t>要利用网络空间和网络平台特有的传播优势，以新理</w:t>
      </w:r>
      <w:r>
        <w:rPr>
          <w:rFonts w:hint="default" w:ascii="Times New Roman" w:hAnsi="Times New Roman" w:eastAsia="宋体" w:cs="Times New Roman"/>
          <w:color w:val="231F20"/>
          <w:spacing w:val="2"/>
          <w:sz w:val="24"/>
          <w:szCs w:val="24"/>
        </w:rPr>
        <w:t>念、新载体、新内容、新方法实现线上线下文化惠民的融合发展，帮助农民共享文化信息资源、为农民提供文化服务，努力满足农民对公共文化服务多样化、多层次</w:t>
      </w:r>
      <w:r>
        <w:rPr>
          <w:rFonts w:hint="default" w:ascii="Times New Roman" w:hAnsi="Times New Roman" w:eastAsia="宋体" w:cs="Times New Roman"/>
          <w:color w:val="231F20"/>
          <w:spacing w:val="3"/>
          <w:sz w:val="24"/>
          <w:szCs w:val="24"/>
        </w:rPr>
        <w:t>的需求，提高农村公共文化服务能力。</w:t>
      </w:r>
    </w:p>
    <w:p w14:paraId="6E4A6D6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要加强引导，把握乡村伦理建设的正确方向。网</w:t>
      </w:r>
      <w:r>
        <w:rPr>
          <w:rFonts w:hint="default" w:ascii="Times New Roman" w:hAnsi="Times New Roman" w:eastAsia="宋体" w:cs="Times New Roman"/>
          <w:color w:val="231F20"/>
          <w:spacing w:val="10"/>
          <w:sz w:val="24"/>
          <w:szCs w:val="24"/>
        </w:rPr>
        <w:t>络交往本质上依然是人与人的交往，必须遵守相关道德规范，使大众媒体尤其是网络平台成为基层政府的</w:t>
      </w:r>
      <w:r>
        <w:rPr>
          <w:rFonts w:hint="default" w:ascii="Times New Roman" w:hAnsi="Times New Roman" w:eastAsia="宋体" w:cs="Times New Roman"/>
          <w:color w:val="231F20"/>
          <w:spacing w:val="2"/>
          <w:sz w:val="24"/>
          <w:szCs w:val="24"/>
        </w:rPr>
        <w:t>喉舌，做好新时代乡村伦理建设的宣传和解释工作，加</w:t>
      </w:r>
      <w:r>
        <w:rPr>
          <w:rFonts w:hint="default" w:ascii="Times New Roman" w:hAnsi="Times New Roman" w:eastAsia="宋体" w:cs="Times New Roman"/>
          <w:color w:val="231F20"/>
          <w:spacing w:val="7"/>
          <w:sz w:val="24"/>
          <w:szCs w:val="24"/>
        </w:rPr>
        <w:t>强引导，弘扬主旋律，传播正能量。开通网络民生频</w:t>
      </w:r>
      <w:r>
        <w:rPr>
          <w:rFonts w:hint="default" w:ascii="Times New Roman" w:hAnsi="Times New Roman" w:eastAsia="宋体" w:cs="Times New Roman"/>
          <w:color w:val="231F20"/>
          <w:spacing w:val="2"/>
          <w:sz w:val="24"/>
          <w:szCs w:val="24"/>
        </w:rPr>
        <w:t>道，充分利用网络发布与农民息息相关的信息，如就业信息、农资贸易、技能培训等，使其充分享受网络沟通</w:t>
      </w:r>
      <w:r>
        <w:rPr>
          <w:rFonts w:hint="default" w:ascii="Times New Roman" w:hAnsi="Times New Roman" w:eastAsia="宋体" w:cs="Times New Roman"/>
          <w:color w:val="231F20"/>
          <w:spacing w:val="1"/>
          <w:sz w:val="24"/>
          <w:szCs w:val="24"/>
        </w:rPr>
        <w:t>的红利，实现沟通的零距离。要加强舆论监督，开</w:t>
      </w:r>
      <w:r>
        <w:rPr>
          <w:rFonts w:hint="default" w:ascii="Times New Roman" w:hAnsi="Times New Roman" w:eastAsia="宋体" w:cs="Times New Roman"/>
          <w:color w:val="231F20"/>
          <w:sz w:val="24"/>
          <w:szCs w:val="24"/>
        </w:rPr>
        <w:t>设网</w:t>
      </w:r>
      <w:r>
        <w:rPr>
          <w:rFonts w:hint="default" w:ascii="Times New Roman" w:hAnsi="Times New Roman" w:eastAsia="宋体" w:cs="Times New Roman"/>
          <w:color w:val="231F20"/>
          <w:spacing w:val="10"/>
          <w:sz w:val="24"/>
          <w:szCs w:val="24"/>
        </w:rPr>
        <w:t>络曝光台，对乡村社会中的失德失范和不文明行为进</w:t>
      </w:r>
      <w:r>
        <w:rPr>
          <w:rFonts w:hint="default" w:ascii="Times New Roman" w:hAnsi="Times New Roman" w:eastAsia="宋体" w:cs="Times New Roman"/>
          <w:color w:val="231F20"/>
          <w:spacing w:val="2"/>
          <w:sz w:val="24"/>
          <w:szCs w:val="24"/>
        </w:rPr>
        <w:t>行曝光和抨击，发挥网络平台伦理法庭的功能，督促村</w:t>
      </w:r>
      <w:r>
        <w:rPr>
          <w:rFonts w:hint="default" w:ascii="Times New Roman" w:hAnsi="Times New Roman" w:eastAsia="宋体" w:cs="Times New Roman"/>
          <w:color w:val="231F20"/>
          <w:spacing w:val="-1"/>
          <w:sz w:val="24"/>
          <w:szCs w:val="24"/>
        </w:rPr>
        <w:t>民自我约束、自我管理，提高自身的伦理水准。</w:t>
      </w:r>
    </w:p>
    <w:p w14:paraId="361B6845">
      <w:pPr>
        <w:bidi w:val="0"/>
        <w:outlineLvl w:val="9"/>
        <w:rPr>
          <w:rFonts w:hint="default"/>
        </w:rPr>
      </w:pPr>
      <w:r>
        <w:rPr>
          <w:rFonts w:hint="default"/>
        </w:rPr>
        <w:t>五、总结与展望</w:t>
      </w:r>
    </w:p>
    <w:p w14:paraId="39C5E9E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改革开放40多年来，我国乡村社会经历着从传统</w:t>
      </w:r>
      <w:r>
        <w:rPr>
          <w:rFonts w:hint="default" w:ascii="Times New Roman" w:hAnsi="Times New Roman" w:eastAsia="宋体" w:cs="Times New Roman"/>
          <w:color w:val="231F20"/>
          <w:spacing w:val="2"/>
          <w:sz w:val="24"/>
          <w:szCs w:val="24"/>
        </w:rPr>
        <w:t>社会向现代社会、从农业社会向工业社会的转型，一方面，乡村社会取得了巨大的改革发展成果，呈现出强劲的发展态势与活力；另一方面，乡村伦理建设在发展中</w:t>
      </w:r>
      <w:r>
        <w:rPr>
          <w:rFonts w:hint="default" w:ascii="Times New Roman" w:hAnsi="Times New Roman" w:eastAsia="宋体" w:cs="Times New Roman"/>
          <w:color w:val="231F20"/>
          <w:spacing w:val="16"/>
          <w:sz w:val="24"/>
          <w:szCs w:val="24"/>
        </w:rPr>
        <w:t>也遭遇了破坏有余而重建不足的困境。在这种情况</w:t>
      </w:r>
      <w:r>
        <w:rPr>
          <w:rFonts w:hint="default" w:ascii="Times New Roman" w:hAnsi="Times New Roman" w:eastAsia="宋体" w:cs="Times New Roman"/>
          <w:color w:val="231F20"/>
          <w:spacing w:val="8"/>
          <w:sz w:val="24"/>
          <w:szCs w:val="24"/>
        </w:rPr>
        <w:t>下，对乡村伦理进行重构显得迫切而必要。乡村</w:t>
      </w:r>
      <w:r>
        <w:rPr>
          <w:rFonts w:hint="default" w:ascii="Times New Roman" w:hAnsi="Times New Roman" w:eastAsia="宋体" w:cs="Times New Roman"/>
          <w:color w:val="231F20"/>
          <w:spacing w:val="7"/>
          <w:sz w:val="24"/>
          <w:szCs w:val="24"/>
        </w:rPr>
        <w:t>社会</w:t>
      </w:r>
      <w:r>
        <w:rPr>
          <w:rFonts w:hint="default" w:ascii="Times New Roman" w:hAnsi="Times New Roman" w:eastAsia="宋体" w:cs="Times New Roman"/>
          <w:color w:val="231F20"/>
          <w:spacing w:val="2"/>
          <w:sz w:val="24"/>
          <w:szCs w:val="24"/>
        </w:rPr>
        <w:t>转型背景下，重构乡村伦理需要大力发展农村经济，夯</w:t>
      </w:r>
    </w:p>
    <w:p w14:paraId="2D22340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sectPr>
          <w:headerReference r:id="rId8" w:type="default"/>
          <w:footerReference r:id="rId9" w:type="default"/>
          <w:footnotePr>
            <w:numFmt w:val="decimalEnclosedCircleChinese"/>
            <w:numRestart w:val="eachPage"/>
          </w:footnotePr>
          <w:type w:val="continuous"/>
          <w:pgSz w:w="12246" w:h="16498"/>
          <w:pgMar w:top="1673" w:right="1231" w:bottom="547" w:left="1270" w:header="1349" w:footer="354" w:gutter="0"/>
          <w:pgNumType w:fmt="decimal"/>
          <w:cols w:space="720" w:num="1"/>
        </w:sectPr>
      </w:pPr>
    </w:p>
    <w:p w14:paraId="77DE30F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F607A8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sectPr>
          <w:footnotePr>
            <w:numFmt w:val="decimalEnclosedCircleChinese"/>
            <w:numRestart w:val="eachPage"/>
          </w:footnotePr>
          <w:pgSz w:w="12246" w:h="16498"/>
          <w:pgMar w:top="1755" w:right="1225" w:bottom="547" w:left="407" w:header="1287" w:footer="354" w:gutter="0"/>
          <w:pgNumType w:fmt="decimal"/>
          <w:cols w:space="720" w:num="1"/>
        </w:sectPr>
      </w:pPr>
    </w:p>
    <w:p w14:paraId="062886B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实物质基础；大力发展农村教育，正确处理功利与伦理的关系，提高农民的文化自觉，坚定农民文化自信；强化基层政府组织功能，完善乡村伦理建设机制；搭建文化惠民</w:t>
      </w:r>
      <w:r>
        <w:rPr>
          <w:rFonts w:hint="default" w:ascii="Times New Roman" w:hAnsi="Times New Roman" w:eastAsia="宋体" w:cs="Times New Roman"/>
          <w:color w:val="231F20"/>
          <w:sz w:val="24"/>
          <w:szCs w:val="24"/>
        </w:rPr>
        <w:t>网络平台，畅通文化交流渠道。当然，需要强调的是</w:t>
      </w:r>
      <w:r>
        <w:rPr>
          <w:rFonts w:hint="default" w:ascii="Times New Roman" w:hAnsi="Times New Roman" w:eastAsia="宋体" w:cs="Times New Roman"/>
          <w:color w:val="231F20"/>
          <w:spacing w:val="-1"/>
          <w:sz w:val="24"/>
          <w:szCs w:val="24"/>
        </w:rPr>
        <w:t>，乡</w:t>
      </w:r>
      <w:r>
        <w:rPr>
          <w:rFonts w:hint="default" w:ascii="Times New Roman" w:hAnsi="Times New Roman" w:eastAsia="宋体" w:cs="Times New Roman"/>
          <w:color w:val="231F20"/>
          <w:spacing w:val="10"/>
          <w:sz w:val="24"/>
          <w:szCs w:val="24"/>
        </w:rPr>
        <w:t>村伦理的重构是批判地继承，是对优秀传统文化合理内</w:t>
      </w:r>
      <w:r>
        <w:rPr>
          <w:rFonts w:hint="default" w:ascii="Times New Roman" w:hAnsi="Times New Roman" w:eastAsia="宋体" w:cs="Times New Roman"/>
          <w:color w:val="231F20"/>
          <w:spacing w:val="2"/>
          <w:sz w:val="24"/>
          <w:szCs w:val="24"/>
        </w:rPr>
        <w:t>核的积极传承，是乡村伦理的自我反思与创新性发展，而</w:t>
      </w:r>
      <w:r>
        <w:rPr>
          <w:rFonts w:hint="default" w:ascii="Times New Roman" w:hAnsi="Times New Roman" w:eastAsia="宋体" w:cs="Times New Roman"/>
          <w:color w:val="231F20"/>
          <w:spacing w:val="9"/>
          <w:sz w:val="24"/>
          <w:szCs w:val="24"/>
        </w:rPr>
        <w:t>不是简单地承袭守旧。重构乡村伦理，有利于更好地促</w:t>
      </w:r>
      <w:r>
        <w:rPr>
          <w:rFonts w:hint="default" w:ascii="Times New Roman" w:hAnsi="Times New Roman" w:eastAsia="宋体" w:cs="Times New Roman"/>
          <w:color w:val="231F20"/>
          <w:spacing w:val="2"/>
          <w:sz w:val="24"/>
          <w:szCs w:val="24"/>
        </w:rPr>
        <w:t>进农业农村现代化的实现，维护乡村社会的和谐稳定，为</w:t>
      </w:r>
      <w:r>
        <w:rPr>
          <w:rFonts w:hint="default" w:ascii="Times New Roman" w:hAnsi="Times New Roman" w:eastAsia="宋体" w:cs="Times New Roman"/>
          <w:color w:val="231F20"/>
          <w:spacing w:val="10"/>
          <w:sz w:val="24"/>
          <w:szCs w:val="24"/>
        </w:rPr>
        <w:t>乡村文化建设增添新活力，为推进社会主义文化在乡村</w:t>
      </w:r>
      <w:r>
        <w:rPr>
          <w:rFonts w:hint="default" w:ascii="Times New Roman" w:hAnsi="Times New Roman" w:eastAsia="宋体" w:cs="Times New Roman"/>
          <w:color w:val="231F20"/>
          <w:spacing w:val="8"/>
          <w:sz w:val="24"/>
          <w:szCs w:val="24"/>
        </w:rPr>
        <w:t>大繁荣大发展提供新支撑。</w:t>
      </w:r>
    </w:p>
    <w:p w14:paraId="54FCB70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313BC0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参考文献：</w:t>
      </w:r>
    </w:p>
    <w:p w14:paraId="7ACC103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［1］亚当·斯密.道德情操论［M］.蒋自强，等译.北京</w:t>
      </w:r>
      <w:r>
        <w:rPr>
          <w:rFonts w:hint="default" w:ascii="Times New Roman" w:hAnsi="Times New Roman" w:eastAsia="宋体" w:cs="Times New Roman"/>
          <w:color w:val="231F20"/>
          <w:spacing w:val="-6"/>
          <w:sz w:val="24"/>
          <w:szCs w:val="24"/>
        </w:rPr>
        <w:t>：商务印</w:t>
      </w:r>
      <w:r>
        <w:rPr>
          <w:rFonts w:hint="default" w:ascii="Times New Roman" w:hAnsi="Times New Roman" w:eastAsia="宋体" w:cs="Times New Roman"/>
          <w:color w:val="231F20"/>
          <w:spacing w:val="-7"/>
          <w:sz w:val="24"/>
          <w:szCs w:val="24"/>
        </w:rPr>
        <w:t>书馆，1997.</w:t>
      </w:r>
    </w:p>
    <w:p w14:paraId="69B0F44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［2］阿尔文·托夫勒.第三次浪潮［M］.黄明坚，译.北京：中信</w:t>
      </w:r>
      <w:r>
        <w:rPr>
          <w:rFonts w:hint="default" w:ascii="Times New Roman" w:hAnsi="Times New Roman" w:eastAsia="宋体" w:cs="Times New Roman"/>
          <w:color w:val="231F20"/>
          <w:spacing w:val="-2"/>
          <w:sz w:val="24"/>
          <w:szCs w:val="24"/>
        </w:rPr>
        <w:t>出版集团，2018.</w:t>
      </w:r>
    </w:p>
    <w:p w14:paraId="758439A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position w:val="1"/>
          <w:sz w:val="24"/>
          <w:szCs w:val="24"/>
        </w:rPr>
        <w:t>［3］杨义芹.当前中国社会道德治理论析［J］.齐鲁学</w:t>
      </w:r>
      <w:r>
        <w:rPr>
          <w:rFonts w:hint="default" w:ascii="Times New Roman" w:hAnsi="Times New Roman" w:eastAsia="宋体" w:cs="Times New Roman"/>
          <w:color w:val="231F20"/>
          <w:position w:val="1"/>
          <w:sz w:val="24"/>
          <w:szCs w:val="24"/>
        </w:rPr>
        <w:t>刊，2012</w:t>
      </w:r>
    </w:p>
    <w:p w14:paraId="7D7A595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position w:val="2"/>
          <w:sz w:val="24"/>
          <w:szCs w:val="24"/>
        </w:rPr>
        <w:t>（5</w:t>
      </w:r>
      <w:r>
        <w:rPr>
          <w:rFonts w:hint="default" w:ascii="Times New Roman" w:hAnsi="Times New Roman" w:eastAsia="宋体" w:cs="Times New Roman"/>
          <w:color w:val="231F20"/>
          <w:spacing w:val="-76"/>
          <w:position w:val="2"/>
          <w:sz w:val="24"/>
          <w:szCs w:val="24"/>
        </w:rPr>
        <w:t>）：</w:t>
      </w:r>
      <w:r>
        <w:rPr>
          <w:rFonts w:hint="default" w:ascii="Times New Roman" w:hAnsi="Times New Roman" w:eastAsia="宋体" w:cs="Times New Roman"/>
          <w:color w:val="231F20"/>
          <w:spacing w:val="1"/>
          <w:position w:val="2"/>
          <w:sz w:val="24"/>
          <w:szCs w:val="24"/>
        </w:rPr>
        <w:t>82-86.</w:t>
      </w:r>
    </w:p>
    <w:p w14:paraId="40E7208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［4］李晓明.重塑乡村生活意义与乡土文化价值［J］.长</w:t>
      </w:r>
      <w:r>
        <w:rPr>
          <w:rFonts w:hint="default" w:ascii="Times New Roman" w:hAnsi="Times New Roman" w:eastAsia="宋体" w:cs="Times New Roman"/>
          <w:color w:val="231F20"/>
          <w:spacing w:val="-3"/>
          <w:sz w:val="24"/>
          <w:szCs w:val="24"/>
        </w:rPr>
        <w:t>白学刊，</w:t>
      </w:r>
      <w:r>
        <w:rPr>
          <w:rFonts w:hint="default" w:ascii="Times New Roman" w:hAnsi="Times New Roman" w:eastAsia="宋体" w:cs="Times New Roman"/>
          <w:color w:val="231F20"/>
          <w:spacing w:val="-4"/>
          <w:sz w:val="24"/>
          <w:szCs w:val="24"/>
        </w:rPr>
        <w:t>2012（4</w:t>
      </w:r>
      <w:r>
        <w:rPr>
          <w:rFonts w:hint="default" w:ascii="Times New Roman" w:hAnsi="Times New Roman" w:eastAsia="宋体" w:cs="Times New Roman"/>
          <w:color w:val="231F20"/>
          <w:spacing w:val="-65"/>
          <w:sz w:val="24"/>
          <w:szCs w:val="24"/>
        </w:rPr>
        <w:t>）：</w:t>
      </w:r>
      <w:r>
        <w:rPr>
          <w:rFonts w:hint="default" w:ascii="Times New Roman" w:hAnsi="Times New Roman" w:eastAsia="宋体" w:cs="Times New Roman"/>
          <w:color w:val="231F20"/>
          <w:spacing w:val="-4"/>
          <w:sz w:val="24"/>
          <w:szCs w:val="24"/>
        </w:rPr>
        <w:t>140-143.</w:t>
      </w:r>
    </w:p>
    <w:p w14:paraId="13554B6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［5］贺雪峰.新乡土中国［M］.桂林：广西师范大</w:t>
      </w:r>
      <w:r>
        <w:rPr>
          <w:rFonts w:hint="default" w:ascii="Times New Roman" w:hAnsi="Times New Roman" w:eastAsia="宋体" w:cs="Times New Roman"/>
          <w:color w:val="231F20"/>
          <w:spacing w:val="-8"/>
          <w:sz w:val="24"/>
          <w:szCs w:val="24"/>
        </w:rPr>
        <w:t>学出版社，</w:t>
      </w:r>
      <w:r>
        <w:rPr>
          <w:rFonts w:hint="default" w:ascii="Times New Roman" w:hAnsi="Times New Roman" w:eastAsia="宋体" w:cs="Times New Roman"/>
          <w:color w:val="231F20"/>
          <w:spacing w:val="3"/>
          <w:sz w:val="24"/>
          <w:szCs w:val="24"/>
        </w:rPr>
        <w:t>2003.</w:t>
      </w:r>
    </w:p>
    <w:p w14:paraId="4BFDE36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［6］沈小勇.传承与延展：乡村社会变迁下的文化自觉［J］.</w:t>
      </w:r>
      <w:r>
        <w:rPr>
          <w:rFonts w:hint="default" w:ascii="Times New Roman" w:hAnsi="Times New Roman" w:eastAsia="宋体" w:cs="Times New Roman"/>
          <w:color w:val="231F20"/>
          <w:spacing w:val="-2"/>
          <w:sz w:val="24"/>
          <w:szCs w:val="24"/>
        </w:rPr>
        <w:t>社会科学战线，2009（6</w:t>
      </w:r>
      <w:r>
        <w:rPr>
          <w:rFonts w:hint="default" w:ascii="Times New Roman" w:hAnsi="Times New Roman" w:eastAsia="宋体" w:cs="Times New Roman"/>
          <w:color w:val="231F20"/>
          <w:spacing w:val="-76"/>
          <w:sz w:val="24"/>
          <w:szCs w:val="24"/>
        </w:rPr>
        <w:t>）：</w:t>
      </w:r>
      <w:r>
        <w:rPr>
          <w:rFonts w:hint="default" w:ascii="Times New Roman" w:hAnsi="Times New Roman" w:eastAsia="宋体" w:cs="Times New Roman"/>
          <w:color w:val="231F20"/>
          <w:spacing w:val="-2"/>
          <w:sz w:val="24"/>
          <w:szCs w:val="24"/>
        </w:rPr>
        <w:t>241-243.</w:t>
      </w:r>
    </w:p>
    <w:p w14:paraId="197135B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［7］孙燕青.文化自觉与文化自信视野下的传统文化定</w:t>
      </w:r>
      <w:r>
        <w:rPr>
          <w:rFonts w:hint="default" w:ascii="Times New Roman" w:hAnsi="Times New Roman" w:eastAsia="宋体" w:cs="Times New Roman"/>
          <w:color w:val="231F20"/>
          <w:spacing w:val="-11"/>
          <w:sz w:val="24"/>
          <w:szCs w:val="24"/>
        </w:rPr>
        <w:t>位［J］.哲学动态，2012（8</w:t>
      </w:r>
      <w:r>
        <w:rPr>
          <w:rFonts w:hint="default" w:ascii="Times New Roman" w:hAnsi="Times New Roman" w:eastAsia="宋体" w:cs="Times New Roman"/>
          <w:color w:val="231F20"/>
          <w:spacing w:val="-70"/>
          <w:sz w:val="24"/>
          <w:szCs w:val="24"/>
        </w:rPr>
        <w:t>）：</w:t>
      </w:r>
      <w:r>
        <w:rPr>
          <w:rFonts w:hint="default" w:ascii="Times New Roman" w:hAnsi="Times New Roman" w:eastAsia="宋体" w:cs="Times New Roman"/>
          <w:color w:val="231F20"/>
          <w:spacing w:val="-11"/>
          <w:sz w:val="24"/>
          <w:szCs w:val="24"/>
        </w:rPr>
        <w:t>19-23.</w:t>
      </w:r>
    </w:p>
    <w:p w14:paraId="446168D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［8］程恩富，李立男.马克思主义及其中国化</w:t>
      </w:r>
      <w:r>
        <w:rPr>
          <w:rFonts w:hint="default" w:ascii="Times New Roman" w:hAnsi="Times New Roman" w:eastAsia="宋体" w:cs="Times New Roman"/>
          <w:color w:val="231F20"/>
          <w:spacing w:val="3"/>
          <w:sz w:val="24"/>
          <w:szCs w:val="24"/>
        </w:rPr>
        <w:t>理论是软实</w:t>
      </w:r>
      <w:r>
        <w:rPr>
          <w:rFonts w:hint="default" w:ascii="Times New Roman" w:hAnsi="Times New Roman" w:eastAsia="宋体" w:cs="Times New Roman"/>
          <w:color w:val="231F20"/>
          <w:spacing w:val="-6"/>
          <w:sz w:val="24"/>
          <w:szCs w:val="24"/>
        </w:rPr>
        <w:t>力的灵魂和核心［J］.马克思主义文化研究，2019（1</w:t>
      </w:r>
      <w:r>
        <w:rPr>
          <w:rFonts w:hint="default" w:ascii="Times New Roman" w:hAnsi="Times New Roman" w:eastAsia="宋体" w:cs="Times New Roman"/>
          <w:color w:val="231F20"/>
          <w:spacing w:val="-52"/>
          <w:sz w:val="24"/>
          <w:szCs w:val="24"/>
        </w:rPr>
        <w:t>）：</w:t>
      </w:r>
      <w:r>
        <w:rPr>
          <w:rFonts w:hint="default" w:ascii="Times New Roman" w:hAnsi="Times New Roman" w:eastAsia="宋体" w:cs="Times New Roman"/>
          <w:color w:val="231F20"/>
          <w:spacing w:val="3"/>
          <w:sz w:val="24"/>
          <w:szCs w:val="24"/>
        </w:rPr>
        <w:t>15-28.</w:t>
      </w:r>
    </w:p>
    <w:p w14:paraId="466C57B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［9］马克思恩格斯全集：第三卷［M］.北京：人</w:t>
      </w:r>
      <w:r>
        <w:rPr>
          <w:rFonts w:hint="default" w:ascii="Times New Roman" w:hAnsi="Times New Roman" w:eastAsia="宋体" w:cs="Times New Roman"/>
          <w:color w:val="231F20"/>
          <w:spacing w:val="-5"/>
          <w:sz w:val="24"/>
          <w:szCs w:val="24"/>
        </w:rPr>
        <w:t>民出版社，</w:t>
      </w:r>
      <w:r>
        <w:rPr>
          <w:rFonts w:hint="default" w:ascii="Times New Roman" w:hAnsi="Times New Roman" w:eastAsia="宋体" w:cs="Times New Roman"/>
          <w:color w:val="231F20"/>
          <w:sz w:val="24"/>
          <w:szCs w:val="24"/>
        </w:rPr>
        <w:t>1960.</w:t>
      </w:r>
    </w:p>
    <w:p w14:paraId="69823D2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［10］马克思恩格斯选集：第三卷［M］.北京：人民出版社，</w:t>
      </w:r>
      <w:r>
        <w:rPr>
          <w:rFonts w:hint="default" w:ascii="Times New Roman" w:hAnsi="Times New Roman" w:eastAsia="宋体" w:cs="Times New Roman"/>
          <w:color w:val="231F20"/>
          <w:sz w:val="24"/>
          <w:szCs w:val="24"/>
        </w:rPr>
        <w:t>1995.</w:t>
      </w:r>
    </w:p>
    <w:p w14:paraId="5447FA7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［11］李奇.关于道德建设中的几个理论问题［J］</w:t>
      </w:r>
      <w:r>
        <w:rPr>
          <w:rFonts w:hint="default" w:ascii="Times New Roman" w:hAnsi="Times New Roman" w:eastAsia="宋体" w:cs="Times New Roman"/>
          <w:color w:val="231F20"/>
          <w:spacing w:val="4"/>
          <w:sz w:val="24"/>
          <w:szCs w:val="24"/>
        </w:rPr>
        <w:t>.哲学研</w:t>
      </w:r>
      <w:r>
        <w:rPr>
          <w:rFonts w:hint="default" w:ascii="Times New Roman" w:hAnsi="Times New Roman" w:eastAsia="宋体" w:cs="Times New Roman"/>
          <w:color w:val="231F20"/>
          <w:spacing w:val="-11"/>
          <w:sz w:val="24"/>
          <w:szCs w:val="24"/>
        </w:rPr>
        <w:t>究，1995（6</w:t>
      </w:r>
      <w:r>
        <w:rPr>
          <w:rFonts w:hint="default" w:ascii="Times New Roman" w:hAnsi="Times New Roman" w:eastAsia="宋体" w:cs="Times New Roman"/>
          <w:color w:val="231F20"/>
          <w:spacing w:val="-71"/>
          <w:sz w:val="24"/>
          <w:szCs w:val="24"/>
        </w:rPr>
        <w:t>）：</w:t>
      </w:r>
      <w:r>
        <w:rPr>
          <w:rFonts w:hint="default" w:ascii="Times New Roman" w:hAnsi="Times New Roman" w:eastAsia="宋体" w:cs="Times New Roman"/>
          <w:color w:val="231F20"/>
          <w:spacing w:val="-11"/>
          <w:sz w:val="24"/>
          <w:szCs w:val="24"/>
        </w:rPr>
        <w:t>3-7.</w:t>
      </w:r>
    </w:p>
    <w:p w14:paraId="6F7E999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position w:val="1"/>
          <w:sz w:val="24"/>
          <w:szCs w:val="24"/>
        </w:rPr>
        <w:t>［12］程恩富.改革的初心［M］.北</w:t>
      </w:r>
      <w:r>
        <w:rPr>
          <w:rFonts w:hint="default" w:ascii="Times New Roman" w:hAnsi="Times New Roman" w:eastAsia="宋体" w:cs="Times New Roman"/>
          <w:color w:val="231F20"/>
          <w:spacing w:val="-6"/>
          <w:position w:val="1"/>
          <w:sz w:val="24"/>
          <w:szCs w:val="24"/>
        </w:rPr>
        <w:t>京：中信出版集团，2019.</w:t>
      </w:r>
    </w:p>
    <w:p w14:paraId="5B1C37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［13］费孝通.反思·对话·文化自觉［J］.北京大学学</w:t>
      </w:r>
      <w:r>
        <w:rPr>
          <w:rFonts w:hint="default" w:ascii="Times New Roman" w:hAnsi="Times New Roman" w:eastAsia="宋体" w:cs="Times New Roman"/>
          <w:color w:val="231F20"/>
          <w:spacing w:val="-7"/>
          <w:sz w:val="24"/>
          <w:szCs w:val="24"/>
        </w:rPr>
        <w:t>报（哲</w:t>
      </w:r>
      <w:r>
        <w:rPr>
          <w:rFonts w:hint="default" w:ascii="Times New Roman" w:hAnsi="Times New Roman" w:eastAsia="宋体" w:cs="Times New Roman"/>
          <w:color w:val="231F20"/>
          <w:spacing w:val="-1"/>
          <w:sz w:val="24"/>
          <w:szCs w:val="24"/>
        </w:rPr>
        <w:t>学社会科学版</w:t>
      </w:r>
      <w:r>
        <w:rPr>
          <w:rFonts w:hint="default" w:ascii="Times New Roman" w:hAnsi="Times New Roman" w:eastAsia="宋体" w:cs="Times New Roman"/>
          <w:color w:val="231F20"/>
          <w:spacing w:val="-70"/>
          <w:sz w:val="24"/>
          <w:szCs w:val="24"/>
        </w:rPr>
        <w:t>），</w:t>
      </w:r>
      <w:r>
        <w:rPr>
          <w:rFonts w:hint="default" w:ascii="Times New Roman" w:hAnsi="Times New Roman" w:eastAsia="宋体" w:cs="Times New Roman"/>
          <w:color w:val="231F20"/>
          <w:spacing w:val="-1"/>
          <w:sz w:val="24"/>
          <w:szCs w:val="24"/>
        </w:rPr>
        <w:t>1997（3</w:t>
      </w:r>
      <w:r>
        <w:rPr>
          <w:rFonts w:hint="default" w:ascii="Times New Roman" w:hAnsi="Times New Roman" w:eastAsia="宋体" w:cs="Times New Roman"/>
          <w:color w:val="231F20"/>
          <w:spacing w:val="-70"/>
          <w:sz w:val="24"/>
          <w:szCs w:val="24"/>
        </w:rPr>
        <w:t>）：</w:t>
      </w:r>
      <w:r>
        <w:rPr>
          <w:rFonts w:hint="default" w:ascii="Times New Roman" w:hAnsi="Times New Roman" w:eastAsia="宋体" w:cs="Times New Roman"/>
          <w:color w:val="231F20"/>
          <w:spacing w:val="-1"/>
          <w:sz w:val="24"/>
          <w:szCs w:val="24"/>
        </w:rPr>
        <w:t>15-22.</w:t>
      </w:r>
    </w:p>
    <w:p w14:paraId="1787C1C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［14］程恩富.中国特色社会主义政治经济学重大原则［M］.</w:t>
      </w:r>
      <w:r>
        <w:rPr>
          <w:rFonts w:hint="default" w:ascii="Times New Roman" w:hAnsi="Times New Roman" w:eastAsia="宋体" w:cs="Times New Roman"/>
          <w:color w:val="231F20"/>
          <w:spacing w:val="-6"/>
          <w:sz w:val="24"/>
          <w:szCs w:val="24"/>
        </w:rPr>
        <w:t>济南：济南出版社，2017.</w:t>
      </w:r>
    </w:p>
    <w:p w14:paraId="755A593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50392D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Times New Roman" w:hAnsi="Times New Roman" w:eastAsia="宋体" w:cs="Times New Roman"/>
          <w:sz w:val="24"/>
          <w:szCs w:val="24"/>
          <w:lang w:eastAsia="zh-CN"/>
        </w:rPr>
        <w:sectPr>
          <w:footnotePr>
            <w:numFmt w:val="decimalEnclosedCircleChinese"/>
            <w:numRestart w:val="eachPage"/>
          </w:footnotePr>
          <w:type w:val="continuous"/>
          <w:pgSz w:w="12246" w:h="16498"/>
          <w:pgMar w:top="1755" w:right="1225" w:bottom="547" w:left="407" w:header="1287" w:footer="354" w:gutter="0"/>
          <w:pgNumType w:fmt="decimal"/>
          <w:cols w:space="720" w:num="1"/>
        </w:sect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原载《</w:t>
      </w:r>
      <w:r>
        <w:rPr>
          <w:rFonts w:hint="default"/>
          <w:lang w:val="en-US" w:eastAsia="zh-CN"/>
        </w:rPr>
        <w:t>治理现代化研究</w:t>
      </w:r>
      <w:r>
        <w:rPr>
          <w:rFonts w:hint="eastAsia" w:ascii="Times New Roman" w:hAnsi="Times New Roman" w:cs="Times New Roman"/>
          <w:sz w:val="24"/>
          <w:szCs w:val="24"/>
          <w:lang w:val="en-US" w:eastAsia="zh-CN"/>
        </w:rPr>
        <w:t>》2022年第1期，第一作者为葛聪。</w:t>
      </w:r>
      <w:r>
        <w:rPr>
          <w:rFonts w:hint="eastAsia" w:ascii="Times New Roman" w:hAnsi="Times New Roman" w:cs="Times New Roman"/>
          <w:sz w:val="24"/>
          <w:szCs w:val="24"/>
          <w:lang w:eastAsia="zh-CN"/>
        </w:rPr>
        <w:t>）</w:t>
      </w:r>
    </w:p>
    <w:p w14:paraId="2FF28CCB">
      <w:pPr>
        <w:pStyle w:val="3"/>
        <w:bidi w:val="0"/>
        <w:rPr>
          <w:rFonts w:hint="eastAsia"/>
          <w:lang w:eastAsia="zh-CN"/>
        </w:rPr>
      </w:pPr>
      <w:bookmarkStart w:id="24" w:name="_Toc1343029871"/>
      <w:bookmarkStart w:id="25" w:name="_Toc318207209"/>
      <w:bookmarkStart w:id="26" w:name="_Toc665769471"/>
      <w:bookmarkStart w:id="27" w:name="_Toc1560074757"/>
      <w:bookmarkStart w:id="28" w:name="_Toc13359"/>
      <w:bookmarkStart w:id="29" w:name="_Toc990196284"/>
      <w:r>
        <w:rPr>
          <w:rFonts w:hint="eastAsia"/>
          <w:lang w:val="en-US" w:eastAsia="zh-CN"/>
        </w:rPr>
        <w:t>3</w:t>
      </w:r>
      <w:r>
        <w:rPr>
          <w:rFonts w:hint="eastAsia"/>
          <w:lang w:eastAsia="zh-CN"/>
        </w:rPr>
        <w:t>中国共产党在百年奋斗中坚持开拓创新的成就</w:t>
      </w:r>
      <w:r>
        <w:rPr>
          <w:rFonts w:hint="eastAsia"/>
          <w:lang w:val="en-US" w:eastAsia="zh-CN"/>
        </w:rPr>
        <w:t>和</w:t>
      </w:r>
      <w:r>
        <w:rPr>
          <w:rFonts w:hint="eastAsia"/>
          <w:lang w:eastAsia="zh-CN"/>
        </w:rPr>
        <w:t>经验</w:t>
      </w:r>
      <w:bookmarkEnd w:id="24"/>
      <w:bookmarkEnd w:id="25"/>
      <w:bookmarkEnd w:id="26"/>
      <w:bookmarkEnd w:id="27"/>
      <w:bookmarkEnd w:id="28"/>
      <w:bookmarkEnd w:id="29"/>
    </w:p>
    <w:p w14:paraId="38D041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坚持开拓创新是中国共产党取得成功的重要经验。中国共产党作为马克思主义的先进政党，之所以不畏艰难险阻，永葆生机和活力，不断取得新的胜利，就在于始终坚持开拓创新，敢为人先、敢于创新，永不停滞、永不僵化。在长期的实践发展中，从实际出发，把马克思主义理论的创新发展与中国的革命、建设、改革实践有机结合，在改造旧世界中创造新世界，在体现时代性，把握规律性，富于创造性中不断开创新局面。《中共中央关于党的百年奋斗重大成就和历史经验的决议》指出：“党领导人民披荆斩棘、上下求索、奋力开拓、锐意进取，不断推进理论创新、实践创新、制度创新、文化创新以及其他各方面创新，敢为天下先，走出了前人没有走出的路”</w:t>
      </w:r>
      <w:r>
        <w:rPr>
          <w:rStyle w:val="20"/>
          <w:rFonts w:hint="eastAsia" w:ascii="宋体" w:hAnsi="宋体" w:eastAsia="宋体" w:cs="宋体"/>
          <w:color w:val="auto"/>
          <w:sz w:val="24"/>
          <w:szCs w:val="21"/>
          <w:lang w:eastAsia="zh-CN"/>
        </w:rPr>
        <w:footnoteReference w:id="12"/>
      </w:r>
      <w:r>
        <w:rPr>
          <w:rFonts w:hint="eastAsia"/>
          <w:sz w:val="24"/>
          <w:lang w:eastAsia="zh-CN"/>
        </w:rPr>
        <w:t>。总体上来看，理论创新、实践创新、制度创新、文化创新以及各方面的创新是中国共产党开拓创新的基本逻辑向度，铸就了中国共产党的百年辉煌伟业，成为中国共产党兴旺发达，攻坚克难，永远年轻的重要源泉。</w:t>
      </w:r>
    </w:p>
    <w:p w14:paraId="1EA9205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一、推进理论创新的成就和经验</w:t>
      </w:r>
    </w:p>
    <w:p w14:paraId="7FD22F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中国共产党的历史，就是一部不断推进理论创新、进行理论创造的历史。中国共产党之所以能，一个根本原因在于我们党始终注重和不断推进马克思主义理论守正创新，创造性地运用马克思主义指导中国的革命和建设、发展。在坚持马克思主义基本原理的同时，不断开辟马克思主义中国化的新境界。在中国共产党百年奋斗历程中，党的事业每发展一步，党的理论创新就前进一步；党的理论创新每前进一步，党的理论武装就跟进一步。在时代的变革和发展中，中国共产党创立了毛泽东思想、邓小平理论，形成了“三个代表”重要思想、科学发展观，创立了习近平新时代中国特色社会主义思想，为党和人民事业发展提供了科学理论指导，以全新的理论视野为推进中国特色社会主义建设指明了前进的方向和道路，不断赋予马克思主义新的时代内涵。</w:t>
      </w:r>
    </w:p>
    <w:p w14:paraId="5057D8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坚持马克思主义的立场、方法</w:t>
      </w:r>
      <w:r>
        <w:rPr>
          <w:rFonts w:hint="eastAsia"/>
          <w:sz w:val="24"/>
          <w:lang w:val="en-US" w:eastAsia="zh-CN"/>
        </w:rPr>
        <w:t>和</w:t>
      </w:r>
      <w:r>
        <w:rPr>
          <w:rFonts w:hint="eastAsia"/>
          <w:sz w:val="24"/>
          <w:lang w:eastAsia="zh-CN"/>
        </w:rPr>
        <w:t>原则，中国共产党不断增进理论</w:t>
      </w:r>
      <w:r>
        <w:rPr>
          <w:rFonts w:hint="eastAsia"/>
          <w:sz w:val="24"/>
          <w:lang w:val="en-US" w:eastAsia="zh-CN"/>
        </w:rPr>
        <w:t>的</w:t>
      </w:r>
      <w:r>
        <w:rPr>
          <w:rFonts w:hint="eastAsia"/>
          <w:sz w:val="24"/>
          <w:lang w:eastAsia="zh-CN"/>
        </w:rPr>
        <w:t>自觉、自信和自强，在推动中国特色社会主义理论体系的形成发展中，创造性地探索和回答了什么是马克思主义、怎样对待马克思主义，什么是社会主义、怎样建设社会主义等一系列重大理论和实际问题。中国共产党理论创新的经验主要体现在：</w:t>
      </w:r>
    </w:p>
    <w:p w14:paraId="1D1C7C9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首先，坚持一切从</w:t>
      </w:r>
      <w:r>
        <w:rPr>
          <w:rFonts w:hint="eastAsia"/>
          <w:sz w:val="24"/>
          <w:lang w:val="en-US" w:eastAsia="zh-CN"/>
        </w:rPr>
        <w:t>国情</w:t>
      </w:r>
      <w:r>
        <w:rPr>
          <w:rFonts w:hint="eastAsia"/>
          <w:sz w:val="24"/>
          <w:lang w:eastAsia="zh-CN"/>
        </w:rPr>
        <w:t>出发，把马克思主义</w:t>
      </w:r>
      <w:r>
        <w:rPr>
          <w:rFonts w:hint="eastAsia"/>
          <w:sz w:val="24"/>
          <w:lang w:val="en-US" w:eastAsia="zh-CN"/>
        </w:rPr>
        <w:t>理论</w:t>
      </w:r>
      <w:r>
        <w:rPr>
          <w:rFonts w:hint="eastAsia"/>
          <w:sz w:val="24"/>
          <w:lang w:eastAsia="zh-CN"/>
        </w:rPr>
        <w:t>同中国的具体实际和中国优秀传统文化相结合。马克思主义本身是社会实践变革发展形成的产物，有着深刻的实践性。在其理论旨归上，马克思主义的发展目标不是</w:t>
      </w:r>
      <w:r>
        <w:rPr>
          <w:rFonts w:hint="eastAsia"/>
          <w:sz w:val="24"/>
          <w:lang w:val="en-US" w:eastAsia="zh-CN"/>
        </w:rPr>
        <w:t>仅</w:t>
      </w:r>
      <w:r>
        <w:rPr>
          <w:rFonts w:hint="eastAsia"/>
          <w:sz w:val="24"/>
          <w:lang w:eastAsia="zh-CN"/>
        </w:rPr>
        <w:t>着眼于言说层面的解释世界，而是致力于实践层面的改造世界。马克思主义要改造世界就要深入实践，从实际出发，从具体国情出发，而不是照搬照抄，简单套用。中国共产党正是立足于不同时期中国的实际国情，把马克思主义创造性地运用于指导实践，并转化为中国化的马克思主义，从而不断开辟马克思主义中国化的新境界，在形成理论创新创造的结晶，彰显理论智慧中焕发马克思主义的真理力量。</w:t>
      </w:r>
      <w:r>
        <w:rPr>
          <w:rFonts w:hint="eastAsia"/>
          <w:sz w:val="24"/>
          <w:lang w:val="en-US" w:eastAsia="zh-CN"/>
        </w:rPr>
        <w:t>其中，内含对我国优秀传统</w:t>
      </w:r>
      <w:r>
        <w:rPr>
          <w:rFonts w:hint="eastAsia"/>
          <w:sz w:val="24"/>
        </w:rPr>
        <w:t>文化的</w:t>
      </w:r>
      <w:r>
        <w:rPr>
          <w:rFonts w:hint="eastAsia"/>
          <w:sz w:val="24"/>
          <w:lang w:val="en-US" w:eastAsia="zh-CN"/>
        </w:rPr>
        <w:t>溯源性</w:t>
      </w:r>
      <w:r>
        <w:rPr>
          <w:rFonts w:hint="eastAsia"/>
          <w:sz w:val="24"/>
        </w:rPr>
        <w:t>继承</w:t>
      </w:r>
      <w:r>
        <w:rPr>
          <w:rFonts w:hint="eastAsia"/>
          <w:sz w:val="24"/>
          <w:lang w:eastAsia="zh-CN"/>
        </w:rPr>
        <w:t>、</w:t>
      </w:r>
      <w:r>
        <w:rPr>
          <w:rFonts w:hint="eastAsia"/>
          <w:sz w:val="24"/>
        </w:rPr>
        <w:t>创造性转化和创新性发展。</w:t>
      </w:r>
    </w:p>
    <w:p w14:paraId="000E0E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其次，坚持以</w:t>
      </w:r>
      <w:r>
        <w:rPr>
          <w:rFonts w:hint="eastAsia"/>
          <w:sz w:val="24"/>
          <w:lang w:val="en-US" w:eastAsia="zh-CN"/>
        </w:rPr>
        <w:t>现实</w:t>
      </w:r>
      <w:r>
        <w:rPr>
          <w:rFonts w:hint="eastAsia"/>
          <w:sz w:val="24"/>
          <w:lang w:eastAsia="zh-CN"/>
        </w:rPr>
        <w:t>问题为导向，</w:t>
      </w:r>
      <w:r>
        <w:rPr>
          <w:rFonts w:hint="eastAsia"/>
          <w:sz w:val="24"/>
          <w:lang w:val="en-US" w:eastAsia="zh-CN"/>
        </w:rPr>
        <w:t>在求真务实地解决问题中</w:t>
      </w:r>
      <w:r>
        <w:rPr>
          <w:rFonts w:hint="eastAsia"/>
          <w:sz w:val="24"/>
          <w:lang w:eastAsia="zh-CN"/>
        </w:rPr>
        <w:t>创新和发展马克思主义。</w:t>
      </w:r>
      <w:r>
        <w:rPr>
          <w:rFonts w:hint="eastAsia"/>
          <w:sz w:val="24"/>
          <w:lang w:val="en-US" w:eastAsia="zh-CN"/>
        </w:rPr>
        <w:t>不同时期的现实</w:t>
      </w:r>
      <w:r>
        <w:rPr>
          <w:rFonts w:hint="eastAsia"/>
          <w:sz w:val="24"/>
          <w:lang w:eastAsia="zh-CN"/>
        </w:rPr>
        <w:t>问题是时代的声音，理论创新的过程就是不断发现问题、研究问题、解决问题的过程。长期以来，中国共产党在理论创新的过程中，以经济社会</w:t>
      </w:r>
      <w:r>
        <w:rPr>
          <w:rFonts w:hint="eastAsia"/>
          <w:sz w:val="24"/>
          <w:lang w:val="en-US" w:eastAsia="zh-CN"/>
        </w:rPr>
        <w:t>各个</w:t>
      </w:r>
      <w:r>
        <w:rPr>
          <w:rFonts w:hint="eastAsia"/>
          <w:sz w:val="24"/>
          <w:lang w:eastAsia="zh-CN"/>
        </w:rPr>
        <w:t>领域存在的</w:t>
      </w:r>
      <w:r>
        <w:rPr>
          <w:rFonts w:hint="eastAsia"/>
          <w:sz w:val="24"/>
          <w:lang w:val="en-US" w:eastAsia="zh-CN"/>
        </w:rPr>
        <w:t>主要</w:t>
      </w:r>
      <w:r>
        <w:rPr>
          <w:rFonts w:hint="eastAsia"/>
          <w:sz w:val="24"/>
          <w:lang w:eastAsia="zh-CN"/>
        </w:rPr>
        <w:t>问题和短板为切入点，对新问题、新变化进行回应，立足于我国人民日益增长的美好生活需要，解决人民群众最关心最直接的现实问题，结合</w:t>
      </w:r>
      <w:r>
        <w:rPr>
          <w:rFonts w:hint="eastAsia"/>
          <w:sz w:val="24"/>
          <w:lang w:val="en-US" w:eastAsia="zh-CN"/>
        </w:rPr>
        <w:t>经济</w:t>
      </w:r>
      <w:r>
        <w:rPr>
          <w:rFonts w:hint="eastAsia"/>
          <w:sz w:val="24"/>
          <w:lang w:eastAsia="zh-CN"/>
        </w:rPr>
        <w:t>社会发展进行新的理论创造。</w:t>
      </w:r>
    </w:p>
    <w:p w14:paraId="3F1168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最后，坚持解放思想、</w:t>
      </w:r>
      <w:r>
        <w:rPr>
          <w:rFonts w:hint="eastAsia"/>
          <w:sz w:val="24"/>
          <w:lang w:val="en-US" w:eastAsia="zh-CN"/>
        </w:rPr>
        <w:t>与时俱进</w:t>
      </w:r>
      <w:r>
        <w:rPr>
          <w:rFonts w:hint="eastAsia"/>
          <w:sz w:val="24"/>
          <w:lang w:eastAsia="zh-CN"/>
        </w:rPr>
        <w:t>，</w:t>
      </w:r>
      <w:r>
        <w:rPr>
          <w:rFonts w:hint="eastAsia"/>
          <w:sz w:val="24"/>
          <w:lang w:val="en-US" w:eastAsia="zh-CN"/>
        </w:rPr>
        <w:t>在反对各种机会主义中</w:t>
      </w:r>
      <w:r>
        <w:rPr>
          <w:rFonts w:hint="eastAsia"/>
          <w:sz w:val="24"/>
          <w:lang w:eastAsia="zh-CN"/>
        </w:rPr>
        <w:t>不断丰富和发展马克思主义。恩格斯曾指出：“马克思的整个世界观不是教义，而是方法。它提供的不是现成的教条，而是进一步研究的出发点和供这种研究使用的方法。”</w:t>
      </w:r>
      <w:r>
        <w:rPr>
          <w:rStyle w:val="20"/>
          <w:rFonts w:hint="eastAsia" w:ascii="宋体" w:hAnsi="宋体" w:eastAsia="宋体" w:cs="宋体"/>
          <w:color w:val="auto"/>
          <w:sz w:val="24"/>
          <w:szCs w:val="21"/>
          <w:lang w:eastAsia="zh-CN"/>
        </w:rPr>
        <w:footnoteReference w:id="13"/>
      </w:r>
      <w:r>
        <w:rPr>
          <w:rFonts w:hint="eastAsia"/>
          <w:sz w:val="24"/>
          <w:lang w:eastAsia="zh-CN"/>
        </w:rPr>
        <w:t>中国共产党是马克思主义理论武装起来的先进政党，理论的创造运用是党的力量源泉。中国共产党能够战胜困难，不断取得胜利的一个重要原因，就在于坚持解放思想、</w:t>
      </w:r>
      <w:r>
        <w:rPr>
          <w:rFonts w:hint="eastAsia"/>
          <w:sz w:val="24"/>
          <w:lang w:val="en-US" w:eastAsia="zh-CN"/>
        </w:rPr>
        <w:t>与时俱进</w:t>
      </w:r>
      <w:r>
        <w:rPr>
          <w:rFonts w:hint="eastAsia"/>
          <w:sz w:val="24"/>
          <w:lang w:eastAsia="zh-CN"/>
        </w:rPr>
        <w:t>，</w:t>
      </w:r>
      <w:r>
        <w:rPr>
          <w:rFonts w:hint="eastAsia"/>
          <w:sz w:val="24"/>
          <w:lang w:val="en-US" w:eastAsia="zh-CN"/>
        </w:rPr>
        <w:t>反对右倾或左倾机会主义，反对“马教条、洋教条、古教条”，</w:t>
      </w:r>
      <w:r>
        <w:rPr>
          <w:rFonts w:hint="eastAsia"/>
          <w:sz w:val="24"/>
          <w:lang w:eastAsia="zh-CN"/>
        </w:rPr>
        <w:t>使党的思想永不僵化、永不停滞，把握马克思主义揭示的规律性认识，抓住社会发展、时代变革的实质，在知行统一、理实互动中增强马克思主义的生命力。坚持用马克思主义来观察时代、把握时代、引领时代，紧跟时代发展变革，增强理论供给，不断赋予马克思主义新的时代内涵，为推进党和人民的事业的发展提供源源不绝的思想和精神动力。</w:t>
      </w:r>
    </w:p>
    <w:p w14:paraId="526C74B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二、推进实践创新的成就和经验</w:t>
      </w:r>
    </w:p>
    <w:p w14:paraId="07CA63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中国共产党自成立以来就肩负着争取民族独立、人民解放，实现国家富强、人民幸福的历史使命，并带领广大人民群众为实现民族伟大复兴不懈奋斗，在百年历程中百折不挠，创造辉煌。从新民主革命到社会主义革命和建设，从改革开放到中国特色社会主义新时代，中国共产党不断开拓进取，推进实践创新。</w:t>
      </w:r>
    </w:p>
    <w:p w14:paraId="08EF62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在革命斗争实践中，以毛泽东同志为主要代表的中国共产党人，</w:t>
      </w:r>
      <w:r>
        <w:rPr>
          <w:rFonts w:hint="eastAsia"/>
          <w:sz w:val="24"/>
          <w:lang w:val="en-US" w:eastAsia="zh-CN"/>
        </w:rPr>
        <w:t>分清敌我友的革命首要问题，</w:t>
      </w:r>
      <w:r>
        <w:rPr>
          <w:rFonts w:hint="eastAsia"/>
          <w:sz w:val="24"/>
          <w:lang w:eastAsia="zh-CN"/>
        </w:rPr>
        <w:t>开辟了农村包围城市、武装夺取政权的正确革命道路。经过</w:t>
      </w:r>
      <w:r>
        <w:rPr>
          <w:rFonts w:hint="eastAsia"/>
          <w:sz w:val="24"/>
          <w:lang w:val="en-US" w:eastAsia="zh-CN"/>
        </w:rPr>
        <w:t>二十八</w:t>
      </w:r>
      <w:r>
        <w:rPr>
          <w:rFonts w:hint="eastAsia"/>
          <w:sz w:val="24"/>
          <w:lang w:eastAsia="zh-CN"/>
        </w:rPr>
        <w:t>年的浴血奋战，带领全国各族人民建立了新中国。</w:t>
      </w:r>
      <w:r>
        <w:rPr>
          <w:rFonts w:hint="eastAsia"/>
          <w:sz w:val="24"/>
          <w:lang w:val="en-US" w:eastAsia="zh-CN"/>
        </w:rPr>
        <w:t>在</w:t>
      </w:r>
      <w:r>
        <w:rPr>
          <w:rFonts w:hint="eastAsia"/>
          <w:sz w:val="24"/>
          <w:lang w:eastAsia="zh-CN"/>
        </w:rPr>
        <w:t>整个社会主义的革命和建设</w:t>
      </w:r>
      <w:r>
        <w:rPr>
          <w:rFonts w:hint="eastAsia"/>
          <w:sz w:val="24"/>
          <w:lang w:val="en-US" w:eastAsia="zh-CN"/>
        </w:rPr>
        <w:t>时期，</w:t>
      </w:r>
      <w:r>
        <w:rPr>
          <w:rFonts w:hint="eastAsia"/>
          <w:sz w:val="24"/>
          <w:lang w:eastAsia="zh-CN"/>
        </w:rPr>
        <w:t>改变了</w:t>
      </w:r>
      <w:r>
        <w:rPr>
          <w:rFonts w:hint="eastAsia"/>
          <w:sz w:val="24"/>
          <w:lang w:val="en-US" w:eastAsia="zh-CN"/>
        </w:rPr>
        <w:t>旧</w:t>
      </w:r>
      <w:r>
        <w:rPr>
          <w:rFonts w:hint="eastAsia"/>
          <w:sz w:val="24"/>
          <w:lang w:eastAsia="zh-CN"/>
        </w:rPr>
        <w:t>中国“一穷二白”的状况，建立起比较完整的工业体系和国民经济体系，</w:t>
      </w:r>
      <w:r>
        <w:rPr>
          <w:rFonts w:hint="eastAsia"/>
          <w:sz w:val="24"/>
          <w:lang w:val="en-US" w:eastAsia="zh-CN"/>
        </w:rPr>
        <w:t>教科文卫体等事业和人民生活均有较大的提高，</w:t>
      </w:r>
      <w:r>
        <w:rPr>
          <w:rFonts w:hint="eastAsia"/>
          <w:sz w:val="24"/>
          <w:lang w:eastAsia="zh-CN"/>
        </w:rPr>
        <w:t>为中国特色社会主义的开创奠定了基础，积累了经验。</w:t>
      </w:r>
    </w:p>
    <w:p w14:paraId="3C9D64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val="en-US" w:eastAsia="zh-CN"/>
        </w:rPr>
        <w:t>党的</w:t>
      </w:r>
      <w:r>
        <w:rPr>
          <w:rFonts w:hint="eastAsia"/>
          <w:sz w:val="24"/>
          <w:lang w:eastAsia="zh-CN"/>
        </w:rPr>
        <w:t>十一届三中全会后，党的工作中心转移到经济建设上来，实行改革开放的伟大决策，开启中国社会主义发展的新篇章。党的十二大以后，中国特色社会主义建设和发展的探索实践不断推进，从农村改革到城市改革，从经济改革到政治、文化、社会各领域的改革，从局部开放到全方位开放；加快发展</w:t>
      </w:r>
      <w:r>
        <w:rPr>
          <w:rFonts w:hint="eastAsia"/>
          <w:sz w:val="24"/>
          <w:lang w:val="en-US" w:eastAsia="zh-CN"/>
        </w:rPr>
        <w:t>公有制为主体的社会主义</w:t>
      </w:r>
      <w:r>
        <w:rPr>
          <w:rFonts w:hint="eastAsia"/>
          <w:sz w:val="24"/>
          <w:lang w:eastAsia="zh-CN"/>
        </w:rPr>
        <w:t>市场经济，提出科教兴国、人才强国、可持续发展、西部大开发等战略，并于2001年加入世贸组织；以科学发展观为主题，</w:t>
      </w:r>
      <w:r>
        <w:rPr>
          <w:rFonts w:hint="eastAsia"/>
          <w:sz w:val="24"/>
          <w:lang w:val="en-US" w:eastAsia="zh-CN"/>
        </w:rPr>
        <w:t>突出科技自主创新，</w:t>
      </w:r>
      <w:r>
        <w:rPr>
          <w:rFonts w:hint="eastAsia"/>
          <w:sz w:val="24"/>
          <w:lang w:eastAsia="zh-CN"/>
        </w:rPr>
        <w:t>转变</w:t>
      </w:r>
      <w:r>
        <w:rPr>
          <w:rFonts w:hint="eastAsia"/>
          <w:sz w:val="24"/>
          <w:lang w:val="en-US" w:eastAsia="zh-CN"/>
        </w:rPr>
        <w:t>对内对外</w:t>
      </w:r>
      <w:r>
        <w:rPr>
          <w:rFonts w:hint="eastAsia"/>
          <w:sz w:val="24"/>
          <w:lang w:eastAsia="zh-CN"/>
        </w:rPr>
        <w:t>经济发展方式，开启全面建设小康社会的新征程，在坚持和发展中国特色社会主义的实践中增强了我国的综合国力和国际影响力。</w:t>
      </w:r>
    </w:p>
    <w:p w14:paraId="0E0FE8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党的十八大以来，中国特色社会主义进入了新时代，社会主要矛盾发生了重要转变。为破解新的历史起点上我国发展所遇到的矛盾和问题，以习近平为核心的党中央提出了五位一体战略布局、四个全面总体布局，确立了新时代党和国家事业发展的战略方向、重点领域和主攻目标，对新时代推进中国特色社会主义建设做出了全面部署。不仅消除了</w:t>
      </w:r>
      <w:r>
        <w:rPr>
          <w:rFonts w:hint="eastAsia"/>
          <w:sz w:val="24"/>
          <w:lang w:val="en-US" w:eastAsia="zh-CN"/>
        </w:rPr>
        <w:t>绝对</w:t>
      </w:r>
      <w:r>
        <w:rPr>
          <w:rFonts w:hint="eastAsia"/>
          <w:sz w:val="24"/>
          <w:lang w:eastAsia="zh-CN"/>
        </w:rPr>
        <w:t>贫困，如期实现了全面建成小康社会的目标，而且立足新发展阶段、贯彻新发展理念、构建新发展格局，引领把握经济发展新常态。通过实施一系列重大发展战略，打好防范化解重大风险、精准脱贫、污染防治的攻坚战，在治党治军、内政外交等治国理政的各个方面取得了巨大的进步和成就，开启了全面建设社会主义现代化国家的新征程，为实现中华民族的伟大复兴迈出了坚实的步伐。</w:t>
      </w:r>
    </w:p>
    <w:p w14:paraId="4F347F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中国共产党百年奋斗的实践发展创新，积累了丰富的经验。主要体现在：</w:t>
      </w:r>
    </w:p>
    <w:p w14:paraId="1B282F0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一是</w:t>
      </w:r>
      <w:r>
        <w:rPr>
          <w:rFonts w:hint="eastAsia"/>
          <w:sz w:val="24"/>
          <w:lang w:val="en-US" w:eastAsia="zh-CN"/>
        </w:rPr>
        <w:t>在实践中</w:t>
      </w:r>
      <w:r>
        <w:rPr>
          <w:rFonts w:hint="eastAsia"/>
          <w:sz w:val="24"/>
          <w:lang w:eastAsia="zh-CN"/>
        </w:rPr>
        <w:t>不断加强和改进党的领导。中国共产党的领导是历史和人民的抉择，历史和事实证明，党的领导是中国革命、建设、改革、发展取得胜利的根本保证。中国共产党领导广大人民群众致力于民族复兴的百年奋斗史深刻表明了中国共产党是最能攻坚，最能团结人民，最具组织力、动员力、凝聚力、感召力、向心力的伟大光荣正确的党。正是不断加强和改进党的领导，才使中华民族迎来了</w:t>
      </w:r>
      <w:r>
        <w:rPr>
          <w:rFonts w:hint="eastAsia"/>
          <w:sz w:val="24"/>
          <w:lang w:val="en-US" w:eastAsia="zh-CN"/>
        </w:rPr>
        <w:t>持续走向繁荣富强</w:t>
      </w:r>
      <w:r>
        <w:rPr>
          <w:rFonts w:hint="eastAsia"/>
          <w:sz w:val="24"/>
          <w:lang w:eastAsia="zh-CN"/>
        </w:rPr>
        <w:t>的历史性飞跃。只有</w:t>
      </w:r>
      <w:r>
        <w:rPr>
          <w:rFonts w:hint="eastAsia"/>
          <w:sz w:val="24"/>
          <w:lang w:val="en-US" w:eastAsia="zh-CN"/>
        </w:rPr>
        <w:t>不断改善</w:t>
      </w:r>
      <w:r>
        <w:rPr>
          <w:rFonts w:hint="eastAsia"/>
          <w:sz w:val="24"/>
          <w:lang w:eastAsia="zh-CN"/>
        </w:rPr>
        <w:t>党的全面领导</w:t>
      </w:r>
      <w:r>
        <w:rPr>
          <w:rFonts w:hint="eastAsia"/>
          <w:sz w:val="24"/>
          <w:lang w:val="en-US" w:eastAsia="zh-CN"/>
        </w:rPr>
        <w:t>和党内外民主</w:t>
      </w:r>
      <w:r>
        <w:rPr>
          <w:rFonts w:hint="eastAsia"/>
          <w:sz w:val="24"/>
          <w:lang w:eastAsia="zh-CN"/>
        </w:rPr>
        <w:t>，才能保持中国特色社会主义的</w:t>
      </w:r>
      <w:r>
        <w:rPr>
          <w:rFonts w:hint="eastAsia"/>
          <w:sz w:val="24"/>
          <w:lang w:val="en-US" w:eastAsia="zh-CN"/>
        </w:rPr>
        <w:t>各项</w:t>
      </w:r>
      <w:r>
        <w:rPr>
          <w:rFonts w:hint="eastAsia"/>
          <w:sz w:val="24"/>
          <w:lang w:eastAsia="zh-CN"/>
        </w:rPr>
        <w:t>制度优势，在披荆斩棘、凝心聚力中开创美好未来。</w:t>
      </w:r>
    </w:p>
    <w:p w14:paraId="3158D1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二是</w:t>
      </w:r>
      <w:r>
        <w:rPr>
          <w:rFonts w:hint="eastAsia"/>
          <w:sz w:val="24"/>
          <w:lang w:val="en-US" w:eastAsia="zh-CN"/>
        </w:rPr>
        <w:t>在实践中</w:t>
      </w:r>
      <w:r>
        <w:rPr>
          <w:rFonts w:hint="eastAsia"/>
          <w:sz w:val="24"/>
          <w:lang w:eastAsia="zh-CN"/>
        </w:rPr>
        <w:t>始终坚持以人民为中心。只有站在人民的立场上研判和处理问题，党的实践创新才能接地气、有根基。保持</w:t>
      </w:r>
      <w:r>
        <w:rPr>
          <w:rFonts w:hint="eastAsia"/>
          <w:sz w:val="24"/>
          <w:lang w:val="en-US" w:eastAsia="zh-CN"/>
        </w:rPr>
        <w:t>作为工人阶级和中华民族先锋队的</w:t>
      </w:r>
      <w:r>
        <w:rPr>
          <w:rFonts w:hint="eastAsia"/>
          <w:sz w:val="24"/>
          <w:lang w:eastAsia="zh-CN"/>
        </w:rPr>
        <w:t>党与人民群众的血肉联系，全心全意为人民排忧解难，是中国共产党一以贯之的价值理念。中国共产党正是在贴近人民群众，植根人民的过程中，赢得人民的支持和认可。只有践行群众路线和全心全意为人民服务的宗旨，着眼于实现和发展人民群众、</w:t>
      </w:r>
      <w:r>
        <w:rPr>
          <w:rFonts w:hint="eastAsia"/>
          <w:sz w:val="24"/>
          <w:lang w:val="en-US" w:eastAsia="zh-CN"/>
        </w:rPr>
        <w:t>尤其是劳动者</w:t>
      </w:r>
      <w:r>
        <w:rPr>
          <w:rFonts w:hint="eastAsia"/>
          <w:sz w:val="24"/>
          <w:lang w:eastAsia="zh-CN"/>
        </w:rPr>
        <w:t>的</w:t>
      </w:r>
      <w:r>
        <w:rPr>
          <w:rFonts w:hint="eastAsia"/>
          <w:sz w:val="24"/>
          <w:lang w:val="en-US" w:eastAsia="zh-CN"/>
        </w:rPr>
        <w:t>应有权益</w:t>
      </w:r>
      <w:r>
        <w:rPr>
          <w:rFonts w:hint="eastAsia"/>
          <w:sz w:val="24"/>
          <w:lang w:eastAsia="zh-CN"/>
        </w:rPr>
        <w:t>，才能汇集民智民意，激发创造活力，更好地推进实践创新。</w:t>
      </w:r>
    </w:p>
    <w:p w14:paraId="0F7290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三是</w:t>
      </w:r>
      <w:r>
        <w:rPr>
          <w:rFonts w:hint="eastAsia"/>
          <w:sz w:val="24"/>
          <w:lang w:val="en-US" w:eastAsia="zh-CN"/>
        </w:rPr>
        <w:t>在实践中</w:t>
      </w:r>
      <w:r>
        <w:rPr>
          <w:rFonts w:hint="eastAsia"/>
          <w:sz w:val="24"/>
          <w:lang w:eastAsia="zh-CN"/>
        </w:rPr>
        <w:t>坚持科学的世界观和方法论。中国共产党百年奋斗的实践创新彰显了科学的世界观和方法论，不仅深刻把握生产力和生产关系的矛盾、经济基础和上层建筑的矛盾，而且始终把</w:t>
      </w:r>
      <w:r>
        <w:rPr>
          <w:rFonts w:hint="eastAsia"/>
          <w:sz w:val="24"/>
          <w:lang w:val="en-US" w:eastAsia="zh-CN"/>
        </w:rPr>
        <w:t>各条战线的</w:t>
      </w:r>
      <w:r>
        <w:rPr>
          <w:rFonts w:hint="eastAsia"/>
          <w:sz w:val="24"/>
          <w:lang w:eastAsia="zh-CN"/>
        </w:rPr>
        <w:t>发展作为</w:t>
      </w:r>
      <w:r>
        <w:rPr>
          <w:rFonts w:hint="eastAsia"/>
          <w:sz w:val="24"/>
          <w:lang w:val="en-US" w:eastAsia="zh-CN"/>
        </w:rPr>
        <w:t>革命和改革、</w:t>
      </w:r>
      <w:r>
        <w:rPr>
          <w:rFonts w:hint="eastAsia"/>
          <w:sz w:val="24"/>
          <w:lang w:eastAsia="zh-CN"/>
        </w:rPr>
        <w:t>执政兴国的第一要务，统筹协调推进政治、经济、文化、社会、生态文明建设，</w:t>
      </w:r>
      <w:r>
        <w:rPr>
          <w:rFonts w:hint="eastAsia"/>
          <w:sz w:val="24"/>
          <w:lang w:val="en-US" w:eastAsia="zh-CN"/>
        </w:rPr>
        <w:t>使社会主义文明比资本主义文明更具进步性</w:t>
      </w:r>
      <w:r>
        <w:rPr>
          <w:rFonts w:hint="eastAsia"/>
          <w:sz w:val="24"/>
          <w:lang w:eastAsia="zh-CN"/>
        </w:rPr>
        <w:t>。在革故鼎新、守正创新中着眼全局、立足长远、不断跨越，确保党和国家的事业朝着正确的方向前进。</w:t>
      </w:r>
    </w:p>
    <w:p w14:paraId="5D4EE6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三、推进制度创新的成就和经验</w:t>
      </w:r>
    </w:p>
    <w:p w14:paraId="446AEB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中国共产党的百年奋斗蕴含着社会主义制度在中国的确立、探索和发展中国特色社会主义制度的历史。从党史和新中国史来看，中国共产党的制度创新历经百年艰辛探索，在政治、经济、文化、社会、生态文明、党的建设、</w:t>
      </w:r>
      <w:r>
        <w:rPr>
          <w:rFonts w:hint="eastAsia"/>
          <w:sz w:val="24"/>
          <w:lang w:val="en-US" w:eastAsia="zh-CN"/>
        </w:rPr>
        <w:t>国防建设和对外关系</w:t>
      </w:r>
      <w:r>
        <w:rPr>
          <w:rFonts w:hint="eastAsia"/>
          <w:sz w:val="24"/>
          <w:lang w:eastAsia="zh-CN"/>
        </w:rPr>
        <w:t>等</w:t>
      </w:r>
      <w:r>
        <w:rPr>
          <w:rFonts w:hint="eastAsia"/>
          <w:sz w:val="24"/>
          <w:lang w:val="en-US" w:eastAsia="zh-CN"/>
        </w:rPr>
        <w:t>八</w:t>
      </w:r>
      <w:r>
        <w:rPr>
          <w:rFonts w:hint="eastAsia"/>
          <w:sz w:val="24"/>
          <w:lang w:eastAsia="zh-CN"/>
        </w:rPr>
        <w:t>个领域形成了一整套相互衔接、紧密联系的制度体系，为党和国家的兴旺发达提供了重要的制度保障。中国共产党在长期的实践发展中，形成建立了人民代表大会制度这一根本政治制度，</w:t>
      </w:r>
      <w:r>
        <w:rPr>
          <w:rFonts w:hint="eastAsia"/>
          <w:sz w:val="24"/>
          <w:lang w:val="en-US" w:eastAsia="zh-CN"/>
        </w:rPr>
        <w:t>共产党领导的</w:t>
      </w:r>
      <w:r>
        <w:rPr>
          <w:rFonts w:hint="eastAsia"/>
          <w:sz w:val="24"/>
          <w:lang w:eastAsia="zh-CN"/>
        </w:rPr>
        <w:t>多党合作和政治协商制度、区域自治制度（</w:t>
      </w:r>
      <w:r>
        <w:rPr>
          <w:rFonts w:hint="eastAsia"/>
          <w:sz w:val="24"/>
          <w:lang w:val="en-US" w:eastAsia="zh-CN"/>
        </w:rPr>
        <w:t>含</w:t>
      </w:r>
      <w:r>
        <w:rPr>
          <w:rFonts w:hint="eastAsia"/>
          <w:sz w:val="24"/>
          <w:lang w:eastAsia="zh-CN"/>
        </w:rPr>
        <w:t>民族</w:t>
      </w:r>
      <w:r>
        <w:rPr>
          <w:rFonts w:hint="eastAsia"/>
          <w:sz w:val="24"/>
          <w:lang w:val="en-US" w:eastAsia="zh-CN"/>
        </w:rPr>
        <w:t>区域和港澳区域</w:t>
      </w:r>
      <w:r>
        <w:rPr>
          <w:rFonts w:hint="eastAsia"/>
          <w:sz w:val="24"/>
          <w:lang w:eastAsia="zh-CN"/>
        </w:rPr>
        <w:t>）以及基层群众自治制度等基本政治制度。探索确立了公有制为主体、多种所有制共同发展的基本经济制度。尤其是党的十八大以来，围绕坚持和发展中国特色社会主义制度，推进国家治理现代化，党中央在全面深化改革的实践中积极推进党和国家各方面的制度建设，在全面从严治党的制度建设，在坚持和完善人民当家作主的制度以及中国特色社会主义法律制度</w:t>
      </w:r>
      <w:r>
        <w:rPr>
          <w:rFonts w:hint="eastAsia"/>
          <w:sz w:val="24"/>
          <w:lang w:val="en-US" w:eastAsia="zh-CN"/>
        </w:rPr>
        <w:t>和全过程民主制度</w:t>
      </w:r>
      <w:r>
        <w:rPr>
          <w:rFonts w:hint="eastAsia"/>
          <w:sz w:val="24"/>
          <w:lang w:eastAsia="zh-CN"/>
        </w:rPr>
        <w:t>方面取得了重大进展。</w:t>
      </w:r>
    </w:p>
    <w:p w14:paraId="2DDE287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党的十九届四中全会更是对各方面的制度创新做了新的概括，提出要“突出坚持和完善支撑中国特色社会主义制度的根本制度、基本制度、重要制度”</w:t>
      </w:r>
      <w:r>
        <w:rPr>
          <w:rStyle w:val="20"/>
          <w:rFonts w:hint="eastAsia" w:ascii="宋体" w:hAnsi="宋体" w:eastAsia="宋体" w:cs="宋体"/>
          <w:color w:val="auto"/>
          <w:sz w:val="24"/>
          <w:szCs w:val="21"/>
          <w:lang w:eastAsia="zh-CN"/>
        </w:rPr>
        <w:footnoteReference w:id="14"/>
      </w:r>
      <w:r>
        <w:rPr>
          <w:rFonts w:hint="eastAsia"/>
          <w:sz w:val="24"/>
          <w:lang w:eastAsia="zh-CN"/>
        </w:rPr>
        <w:t>。并对坚持</w:t>
      </w:r>
      <w:r>
        <w:rPr>
          <w:rFonts w:hint="eastAsia"/>
          <w:sz w:val="24"/>
          <w:lang w:val="en-US" w:eastAsia="zh-CN"/>
        </w:rPr>
        <w:t>和完善</w:t>
      </w:r>
      <w:r>
        <w:rPr>
          <w:rFonts w:hint="eastAsia"/>
          <w:sz w:val="24"/>
          <w:lang w:eastAsia="zh-CN"/>
        </w:rPr>
        <w:t>马克思主义在意识形态领域指导地位的根本制度、坚持和完善党的领导制度体系、坚持和完善人民当家作主制度体系、坚持和完善中国特色社会主义法治体系、坚持和完善中国特色社会主义行政体制、坚持和完善社会主义基本经济制度（</w:t>
      </w:r>
      <w:r>
        <w:rPr>
          <w:rFonts w:hint="eastAsia"/>
          <w:sz w:val="24"/>
          <w:lang w:val="en-US" w:eastAsia="zh-CN"/>
        </w:rPr>
        <w:t>其中公有制是根本经济制度</w:t>
      </w:r>
      <w:r>
        <w:rPr>
          <w:rFonts w:hint="eastAsia"/>
          <w:sz w:val="24"/>
          <w:lang w:eastAsia="zh-CN"/>
        </w:rPr>
        <w:t>）、坚持和完善繁荣发展社会主义先进文化的制度、坚持和完善统筹城乡的民生保障制度、坚持和完善共建共治共享的社会治理制度、坚持和完善生态文明制度体系、坚持和完善党对人民军队的绝对领导制度、坚持和完善“一国两制”制度体系、坚持和完善党和国家监督体系等做了深刻论述。总的来看，中国共产党在百年奋斗中的制度创新成效明显，为实践发展提供了重要的保障支撑。</w:t>
      </w:r>
    </w:p>
    <w:p w14:paraId="08E498C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回顾中国共产党推动制度建设的历史成就，这些成绩的取得是我们党治国理政与时俱进的新创造。总结制度创新的宝贵经验，对于不断深化对共产党执政规律、社会主义建设规律和人类社会发展规律的认识，以制度创新彰显制度优势，提升治理效能，有着深刻现实意义。具体而言：</w:t>
      </w:r>
    </w:p>
    <w:p w14:paraId="3F4DB1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首先，制度创新要遵循客观规律，结合社会发展变革的目标要求增强制度的针对性。习近平总书记指出：“从实际出发，及时制定一些新的制度，构建系统完备、科学规范、运行有效的制度体系，使各方面制度更加成熟更加定型”</w:t>
      </w:r>
      <w:r>
        <w:rPr>
          <w:rStyle w:val="20"/>
          <w:rFonts w:hint="eastAsia" w:ascii="宋体" w:hAnsi="宋体" w:eastAsia="宋体" w:cs="宋体"/>
          <w:color w:val="auto"/>
          <w:sz w:val="24"/>
          <w:szCs w:val="21"/>
          <w:lang w:eastAsia="zh-CN"/>
        </w:rPr>
        <w:footnoteReference w:id="15"/>
      </w:r>
      <w:r>
        <w:rPr>
          <w:rFonts w:hint="eastAsia"/>
          <w:sz w:val="24"/>
          <w:lang w:eastAsia="zh-CN"/>
        </w:rPr>
        <w:t>。制度创新的关键在于务实管用，这就要着眼于现实实践发展中的问题，突出制度的针对性、指导性和</w:t>
      </w:r>
      <w:r>
        <w:rPr>
          <w:rFonts w:hint="eastAsia"/>
          <w:sz w:val="24"/>
          <w:lang w:val="en-US" w:eastAsia="zh-CN"/>
        </w:rPr>
        <w:t>稳定性。反对流行的官僚主义、形式主义和政绩主义，不搞唯意志论的体制机制改革和反复折腾</w:t>
      </w:r>
      <w:r>
        <w:rPr>
          <w:rFonts w:hint="eastAsia"/>
          <w:sz w:val="24"/>
          <w:lang w:eastAsia="zh-CN"/>
        </w:rPr>
        <w:t>。</w:t>
      </w:r>
    </w:p>
    <w:p w14:paraId="60CCA4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其次，制度创新要与国家治理有机统一，不断增强各方面制度的适应性以及制度建设前瞻性。制度和治理是须臾不可偏废的，一方面，建立科学合理的制度才能保证治理效能的提升，另一方面，治理体系和治理能力的发展能够进一步促进制度的成熟、定型和完善。因此，制度创新要把顶层设计和治理实践统筹兼顾，协同推进，增强预判性和前瞻性，在未雨绸缪中有序推进。</w:t>
      </w:r>
    </w:p>
    <w:p w14:paraId="3543207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最后，制度创新要落细落实，注重提升制度的权威性和执行力。制度本身带有严肃性，是一种刚性、硬性的约束力、规范力和导向力。制度已经建立形成就应当严格遵守，发挥其普遍适用性。习近平总书记强调：“必须强化制度执行力，加强对制度执行的监督。”</w:t>
      </w:r>
      <w:r>
        <w:rPr>
          <w:rStyle w:val="20"/>
          <w:rFonts w:hint="eastAsia" w:ascii="宋体" w:hAnsi="宋体" w:eastAsia="宋体" w:cs="宋体"/>
          <w:color w:val="auto"/>
          <w:sz w:val="24"/>
          <w:szCs w:val="21"/>
          <w:lang w:eastAsia="zh-CN"/>
        </w:rPr>
        <w:footnoteReference w:id="16"/>
      </w:r>
      <w:r>
        <w:rPr>
          <w:rFonts w:hint="eastAsia"/>
          <w:sz w:val="24"/>
          <w:lang w:eastAsia="zh-CN"/>
        </w:rPr>
        <w:t>制度创新要出实效就要避免空壳化和悬浮化，不断延展细化，层层压实，把权力</w:t>
      </w:r>
      <w:r>
        <w:rPr>
          <w:rFonts w:hint="eastAsia"/>
          <w:sz w:val="24"/>
          <w:lang w:val="en-US" w:eastAsia="zh-CN"/>
        </w:rPr>
        <w:t>和资本均</w:t>
      </w:r>
      <w:r>
        <w:rPr>
          <w:rFonts w:hint="eastAsia"/>
          <w:sz w:val="24"/>
          <w:lang w:eastAsia="zh-CN"/>
        </w:rPr>
        <w:t>关进制度的笼子，确保制度面前人人平等、执行制度没有例外，使得制度执行令行禁止，运行有效。</w:t>
      </w:r>
      <w:r>
        <w:rPr>
          <w:rFonts w:hint="eastAsia"/>
          <w:sz w:val="24"/>
          <w:lang w:val="en-US" w:eastAsia="zh-CN"/>
        </w:rPr>
        <w:t>其中包括反私人资本垄断和无序扩张。</w:t>
      </w:r>
    </w:p>
    <w:p w14:paraId="7E703B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四、推进文化创新的成就和经验</w:t>
      </w:r>
    </w:p>
    <w:p w14:paraId="10A66F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长期以来，中国共产党以高度的文化自觉、文化自信、文化自强意识，推动文化创新发展。早在新民主主义革命时期就确定了无产阶级领导的人民大众的反帝、反封建的文化，即民族的科学的大众的文化纲领。新中国成立后，中国共产党高度重视文化改造，肃清封建传统的文化毒瘤，在1956年4月党中央确定了“百花齐放、百家争鸣”方针的繁荣和发展社会主义科学文化事业的指导方针。改革开放以后，邓小平</w:t>
      </w:r>
      <w:r>
        <w:rPr>
          <w:rFonts w:hint="eastAsia"/>
          <w:sz w:val="24"/>
          <w:lang w:val="en-US" w:eastAsia="zh-CN"/>
        </w:rPr>
        <w:t>同志</w:t>
      </w:r>
      <w:r>
        <w:rPr>
          <w:rFonts w:hint="eastAsia"/>
          <w:sz w:val="24"/>
          <w:lang w:eastAsia="zh-CN"/>
        </w:rPr>
        <w:t>从物质文明与精神文明两手抓，两手都要硬的高度，来把握和推进文化建设，正确处理传统文化和外来文化的关系。江泽民</w:t>
      </w:r>
      <w:r>
        <w:rPr>
          <w:rFonts w:hint="eastAsia"/>
          <w:sz w:val="24"/>
          <w:lang w:val="en-US" w:eastAsia="zh-CN"/>
        </w:rPr>
        <w:t>同志</w:t>
      </w:r>
      <w:r>
        <w:rPr>
          <w:rFonts w:hint="eastAsia"/>
          <w:sz w:val="24"/>
          <w:lang w:eastAsia="zh-CN"/>
        </w:rPr>
        <w:t>曾指出：“要牢牢把握社会主义先进文化的前进方向，弘扬和培育民族精神，加强思想道德建设，大力发展教育和科学事业，积极发展文化事业和文化产业”</w:t>
      </w:r>
      <w:r>
        <w:rPr>
          <w:rStyle w:val="20"/>
          <w:rFonts w:hint="eastAsia" w:ascii="宋体" w:hAnsi="宋体" w:eastAsia="宋体" w:cs="宋体"/>
          <w:color w:val="auto"/>
          <w:sz w:val="24"/>
          <w:szCs w:val="21"/>
          <w:lang w:eastAsia="zh-CN"/>
        </w:rPr>
        <w:footnoteReference w:id="17"/>
      </w:r>
      <w:r>
        <w:rPr>
          <w:rFonts w:hint="eastAsia"/>
          <w:sz w:val="24"/>
          <w:lang w:eastAsia="zh-CN"/>
        </w:rPr>
        <w:t>。进一步明确了文化建设和文化体制改革的主要任务。党的十七届六中全会审议通过了《中共中央关于深化文化体制改革、推动社会主义文化大发展大繁荣若干重大问题的决定》，从精神导向、体制改革、具体举措等多个层面部署文化创新发展的战略。</w:t>
      </w:r>
    </w:p>
    <w:p w14:paraId="129B41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党的十八大以来，以习近平</w:t>
      </w:r>
      <w:r>
        <w:rPr>
          <w:rFonts w:hint="eastAsia"/>
          <w:sz w:val="24"/>
          <w:lang w:val="en-US" w:eastAsia="zh-CN"/>
        </w:rPr>
        <w:t>同志</w:t>
      </w:r>
      <w:r>
        <w:rPr>
          <w:rFonts w:hint="eastAsia"/>
          <w:sz w:val="24"/>
          <w:lang w:eastAsia="zh-CN"/>
        </w:rPr>
        <w:t>为核心的党中央提出了“坚定文化自信”的重大命题，推进社会主义文化强国建设。不仅将培育和弘扬社会主义核心价值观作为凝魂聚气、强基固本的基础工程，而且大力发展文化事业，不断提升公共文化服务水平，促进文化产业蓬勃发展，使人民群众的文化获得感不断增强，文化软实力和中华文化影响力不断提升，形成了多主体、多形式、多层次的文化交流格局，中国特色社会主义文化展现出强大的生机和活力。习近平总书记曾指出：“一个国家、一个民族的强盛，总是以文化兴盛为支撑的”</w:t>
      </w:r>
      <w:r>
        <w:rPr>
          <w:rStyle w:val="20"/>
          <w:rFonts w:hint="eastAsia" w:ascii="宋体" w:hAnsi="宋体" w:eastAsia="宋体" w:cs="宋体"/>
          <w:color w:val="auto"/>
          <w:sz w:val="24"/>
          <w:szCs w:val="21"/>
          <w:lang w:eastAsia="zh-CN"/>
        </w:rPr>
        <w:footnoteReference w:id="18"/>
      </w:r>
      <w:r>
        <w:rPr>
          <w:rFonts w:hint="eastAsia"/>
          <w:sz w:val="24"/>
          <w:lang w:eastAsia="zh-CN"/>
        </w:rPr>
        <w:t>。中国共产党在百年奋斗历程中积极推动文化创新，站在不同时代的起点上推动文化内容形式、机制体制和传播手段的创新，发挥文化的价值与力量，使得社会文化生活更加丰富多彩，人民精神风貌更加昂扬向上，以文化的繁荣兴盛助推中华民族的伟大复兴。</w:t>
      </w:r>
    </w:p>
    <w:p w14:paraId="3F889E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百年来，中国共产党坚持推动文化创新，取得了一系重大成果，为全面建成社会主义文化强国奠定了良好基础和积累了丰富经验。</w:t>
      </w:r>
    </w:p>
    <w:p w14:paraId="4EC8DA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一是文化创新要把握好经济基础与上层建筑的辩证关系。文化是上层建筑的重要范畴，文化的建设、创新、发展离不开一定的经济基础的支撑，同时，文化又通过一定的价值观来影响作用于经济社会的发展。所谓“仓廪实而知礼节，衣食足而知荣辱。”中国共产党深刻把握物质文明与精神文明的关系，在发展经济的同时，推动文化的繁荣发展，并不断增强和提升文化的创造力和转化力，统筹好文化创新发展的社会效益和经济效益。</w:t>
      </w:r>
    </w:p>
    <w:p w14:paraId="3340CF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二是文化创新要</w:t>
      </w:r>
      <w:r>
        <w:rPr>
          <w:rFonts w:hint="eastAsia"/>
          <w:sz w:val="24"/>
          <w:lang w:val="en-US" w:eastAsia="zh-CN"/>
        </w:rPr>
        <w:t>真正贯彻</w:t>
      </w:r>
      <w:r>
        <w:rPr>
          <w:rFonts w:hint="eastAsia"/>
          <w:sz w:val="24"/>
          <w:lang w:eastAsia="zh-CN"/>
        </w:rPr>
        <w:t>“百花齐放、百家争鸣”“古为今用，洋为中用”方针。</w:t>
      </w:r>
      <w:r>
        <w:rPr>
          <w:rFonts w:hint="eastAsia"/>
          <w:sz w:val="24"/>
          <w:lang w:val="en-US" w:eastAsia="zh-CN"/>
        </w:rPr>
        <w:t>其中尤其要注重</w:t>
      </w:r>
      <w:r>
        <w:rPr>
          <w:rFonts w:hint="eastAsia"/>
          <w:sz w:val="24"/>
          <w:lang w:eastAsia="zh-CN"/>
        </w:rPr>
        <w:t>优秀传统文化传承和外来文化兼收并蓄。一方面，不忘本来才能开辟未来，中华优秀传统文化博大精深，是中国共产党推动文化创新的根与源，大力传承和弘扬中华优秀传统文化，去除糟粕，取其精华，实现其创造性转化和创新性发展，才能更好把中国的历史文化、精神智慧和优良传统融入中国特色社会主义文化，让中华优秀传统文化展现新的时代风采。另一方面，要秉承开放包容、兼收并蓄的原则。文明因互鉴而丰富，因交流而多彩。文化创新发展要以开放的精神兼收并蓄，交流互鉴。不仅要“引进来”，积极吸收世界各国文化的</w:t>
      </w:r>
      <w:r>
        <w:rPr>
          <w:rFonts w:hint="eastAsia"/>
          <w:sz w:val="24"/>
          <w:lang w:val="en-US" w:eastAsia="zh-CN"/>
        </w:rPr>
        <w:t>有益</w:t>
      </w:r>
      <w:r>
        <w:rPr>
          <w:rFonts w:hint="eastAsia"/>
          <w:sz w:val="24"/>
          <w:lang w:eastAsia="zh-CN"/>
        </w:rPr>
        <w:t>文明成果，更要使中华文化“走出去”，即讲好中国故事，增强中华文化的世界影响力。</w:t>
      </w:r>
      <w:r>
        <w:rPr>
          <w:rFonts w:hint="eastAsia"/>
          <w:sz w:val="24"/>
          <w:lang w:val="en-US" w:eastAsia="zh-CN"/>
        </w:rPr>
        <w:t>学术是文化的精髓，要高度重视中国学术的国际传播和交流合作。</w:t>
      </w:r>
    </w:p>
    <w:p w14:paraId="6D03C76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三是文化创新要依靠人民，激发人民群众的主观能动性和主体创造性。不论是战争年代，还是和平年代，中国共产党的文化建设和发展的目标都是为了满足人民群众的精神生活需求。文化发展的成果由人民共享，文化创新必须依靠人民，只有发挥人民的首创精神，增强人民群众文化创造的积极性和主动性，才能让文化的创新创造贴近人民群众的现实生活，反映人民群众的精神状态。</w:t>
      </w:r>
      <w:r>
        <w:rPr>
          <w:rFonts w:hint="eastAsia"/>
          <w:sz w:val="24"/>
          <w:lang w:val="en-US" w:eastAsia="zh-CN"/>
        </w:rPr>
        <w:t>同时，要处理好文化作品的社会效益与经济效益的关系，处理好文化作品的思想性、艺术性和科技性的关系，处理好文化领域的党政调节与市场调节的关系，反对“唯收视率”“唯票房榜”“唯发行量”“</w:t>
      </w:r>
      <w:r>
        <w:rPr>
          <w:rFonts w:hint="eastAsia"/>
          <w:sz w:val="24"/>
        </w:rPr>
        <w:t>庸俗低俗媚俗</w:t>
      </w:r>
      <w:r>
        <w:rPr>
          <w:rFonts w:hint="eastAsia"/>
          <w:sz w:val="24"/>
          <w:lang w:val="en-US" w:eastAsia="zh-CN"/>
        </w:rPr>
        <w:t>恶俗”等，使文化作品更加符合人民群众的本质要求和社会主义核心价值观。</w:t>
      </w:r>
    </w:p>
    <w:p w14:paraId="3F06B2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w:t>
      </w:r>
      <w:r>
        <w:rPr>
          <w:rFonts w:hint="eastAsia"/>
          <w:sz w:val="24"/>
          <w:lang w:val="en-US" w:eastAsia="zh-CN"/>
        </w:rPr>
        <w:t>原载《当代经济研究》2022年第1期，第二作者为孙</w:t>
      </w:r>
      <w:r>
        <w:rPr>
          <w:rFonts w:hint="eastAsia"/>
          <w:sz w:val="24"/>
          <w:lang w:eastAsia="zh-CN"/>
        </w:rPr>
        <w:t>绍勇）</w:t>
      </w:r>
    </w:p>
    <w:p w14:paraId="5B8E57C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0636C49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1A56449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1626DE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8AA39C5">
      <w:pPr>
        <w:pStyle w:val="3"/>
        <w:bidi w:val="0"/>
      </w:pPr>
      <w:bookmarkStart w:id="30" w:name="_Toc1197698227"/>
      <w:bookmarkStart w:id="31" w:name="_Toc22774"/>
      <w:bookmarkStart w:id="32" w:name="_Toc102428280"/>
      <w:bookmarkStart w:id="33" w:name="_Toc874280633"/>
      <w:bookmarkStart w:id="34" w:name="_Toc1548594676"/>
      <w:bookmarkStart w:id="35" w:name="_Toc1378164585"/>
      <w:r>
        <w:t>马克思劳动者发展思想的</w:t>
      </w:r>
      <w:r>
        <mc:AlternateContent>
          <mc:Choice Requires="wps">
            <w:drawing>
              <wp:anchor distT="0" distB="0" distL="114300" distR="114300" simplePos="0" relativeHeight="251681792" behindDoc="0" locked="0" layoutInCell="1" allowOverlap="1">
                <wp:simplePos x="0" y="0"/>
                <wp:positionH relativeFrom="column">
                  <wp:posOffset>4848225</wp:posOffset>
                </wp:positionH>
                <wp:positionV relativeFrom="paragraph">
                  <wp:posOffset>-2540</wp:posOffset>
                </wp:positionV>
                <wp:extent cx="92710" cy="188595"/>
                <wp:effectExtent l="0" t="0" r="0" b="0"/>
                <wp:wrapNone/>
                <wp:docPr id="240" name="文本框 240"/>
                <wp:cNvGraphicFramePr/>
                <a:graphic xmlns:a="http://schemas.openxmlformats.org/drawingml/2006/main">
                  <a:graphicData uri="http://schemas.microsoft.com/office/word/2010/wordprocessingShape">
                    <wps:wsp>
                      <wps:cNvSpPr txBox="1"/>
                      <wps:spPr>
                        <a:xfrm>
                          <a:off x="0" y="0"/>
                          <a:ext cx="92710" cy="188595"/>
                        </a:xfrm>
                        <a:prstGeom prst="rect">
                          <a:avLst/>
                        </a:prstGeom>
                        <a:noFill/>
                        <a:ln>
                          <a:noFill/>
                        </a:ln>
                        <a:effectLst/>
                      </wps:spPr>
                      <wps:txbx>
                        <w:txbxContent>
                          <w:p w14:paraId="75ACF459">
                            <w:pPr>
                              <w:spacing w:before="20" w:line="206" w:lineRule="auto"/>
                              <w:ind w:left="20"/>
                              <w:rPr>
                                <w:rFonts w:ascii="MS Gothic" w:hAnsi="MS Gothic" w:eastAsia="MS Gothic" w:cs="MS Gothic"/>
                                <w:sz w:val="23"/>
                                <w:szCs w:val="23"/>
                              </w:rPr>
                            </w:pPr>
                            <w:r>
                              <w:rPr>
                                <w:rFonts w:ascii="MS Gothic" w:hAnsi="MS Gothic" w:eastAsia="MS Gothic" w:cs="MS Gothic"/>
                                <w:color w:val="231F20"/>
                                <w:sz w:val="23"/>
                                <w:szCs w:val="23"/>
                              </w:rPr>
                              <w:t>∗</w:t>
                            </w:r>
                          </w:p>
                        </w:txbxContent>
                      </wps:txbx>
                      <wps:bodyPr lIns="0" tIns="0" rIns="0" bIns="0" upright="1"/>
                    </wps:wsp>
                  </a:graphicData>
                </a:graphic>
              </wp:anchor>
            </w:drawing>
          </mc:Choice>
          <mc:Fallback>
            <w:pict>
              <v:shape id="_x0000_s1026" o:spid="_x0000_s1026" o:spt="202" type="#_x0000_t202" style="position:absolute;left:0pt;margin-left:381.75pt;margin-top:-0.2pt;height:14.85pt;width:7.3pt;z-index:251681792;mso-width-relative:page;mso-height-relative:page;" filled="f" stroked="f" coordsize="21600,21600" o:gfxdata="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JlrnITZAAAACAEAAA8AAAAAAAAAAQAgAAAAIgAAAGRycy9kb3ducmV2Lnht&#10;bFBLAQIUABQAAAAIAIdO4kBJdCZ+vwEAAIIDAAAOAAAAAAAAAAEAIAAAACgBAABkcnMvZTJvRG9j&#10;LnhtbFBLBQYAAAAABgAGAFkBAABZBQAAAAA=&#10;">
                <v:fill on="f" focussize="0,0"/>
                <v:stroke on="f"/>
                <v:imagedata o:title=""/>
                <o:lock v:ext="edit" aspectratio="f"/>
                <v:textbox inset="0mm,0mm,0mm,0mm">
                  <w:txbxContent>
                    <w:p w14:paraId="75ACF459">
                      <w:pPr>
                        <w:spacing w:before="20" w:line="206" w:lineRule="auto"/>
                        <w:ind w:left="20"/>
                        <w:rPr>
                          <w:rFonts w:ascii="MS Gothic" w:hAnsi="MS Gothic" w:eastAsia="MS Gothic" w:cs="MS Gothic"/>
                          <w:sz w:val="23"/>
                          <w:szCs w:val="23"/>
                        </w:rPr>
                      </w:pPr>
                      <w:r>
                        <w:rPr>
                          <w:rFonts w:ascii="MS Gothic" w:hAnsi="MS Gothic" w:eastAsia="MS Gothic" w:cs="MS Gothic"/>
                          <w:color w:val="231F20"/>
                          <w:sz w:val="23"/>
                          <w:szCs w:val="23"/>
                        </w:rPr>
                        <w:t>∗</w:t>
                      </w:r>
                    </w:p>
                  </w:txbxContent>
                </v:textbox>
              </v:shape>
            </w:pict>
          </mc:Fallback>
        </mc:AlternateContent>
      </w:r>
      <w:r>
        <w:t>逻辑机理与当代价值</w:t>
      </w:r>
      <w:bookmarkEnd w:id="30"/>
      <w:bookmarkEnd w:id="31"/>
      <w:bookmarkEnd w:id="32"/>
      <w:bookmarkEnd w:id="33"/>
      <w:bookmarkEnd w:id="34"/>
      <w:bookmarkEnd w:id="35"/>
    </w:p>
    <w:p w14:paraId="7AA084D0">
      <w:pPr>
        <w:bidi w:val="0"/>
      </w:pPr>
    </w:p>
    <w:p w14:paraId="28961CA3">
      <w:pPr>
        <w:bidi w:val="0"/>
      </w:pPr>
    </w:p>
    <w:p w14:paraId="77270876">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sz w:val="24"/>
          <w:szCs w:val="32"/>
        </w:rPr>
      </w:pPr>
      <w:r>
        <w:rPr>
          <w:sz w:val="24"/>
          <w:szCs w:val="32"/>
        </w:rPr>
        <w:t>[摘要]马克思劳动者发展思想有清晰的起点逻辑、发展逻辑、斗争逻辑和政治逻辑，包括物质再生产与劳动力再生产是人发展的前提，消费方式反映劳动力生存和发展状态，人不仅为生存而且为增加自己的享受而斗争，消除资本的统治促进工人发展等内容。马克思劳动者发展思想的当代价值主要在于，在劳动者生存权基础上突出保护劳动者发展权；明晰劳动者发展权权利关系中相关主体的责任和义务；建立和完善发展型劳动关系调处制度；完善保障制度和制定“劳动者发展促进法”的理论基础。</w:t>
      </w:r>
    </w:p>
    <w:p w14:paraId="74E1E050">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sz w:val="24"/>
          <w:szCs w:val="32"/>
        </w:rPr>
      </w:pPr>
      <w:r>
        <w:rPr>
          <w:sz w:val="24"/>
          <w:szCs w:val="32"/>
        </w:rPr>
        <w:t>[关键词]马克思；劳动权益；发展权；当代价值在新时代马克思主义政治经济学的重大建设工程中，“劳动者全面发展权论”发展创新了马克思劳动价值论，得到了学界的支持和认同。这一理论认为，物质以及各种非物质领域的生产劳动能造就全面发展的劳动力，劳动者追求全面发展是一种权利。[1]遵循此思想逻辑，本文试理清马克思劳动者发展权理论，讨论发展型劳动关系的特征，拓展劳动者发展权益内涵，以期为用法治手段推动劳动者全面发展取得实质性进步提供思想材料和理论基础。在马克思主义视野中，劳动者发展思想主要体现在劳动力扩大生产思想、生存和发展资料思想、发展需要思想、人的解放思想等方面。弄清楚这些思想的发展意蕴，需要从马克思劳动力再生产理论、消费资料类型理论、人的需要层次理论以及人的本质理论中找出劳动力发展的思想渊源。这些基础理论的创新，对于深入理解和贯彻习近平总书记在庆祝中国共产党成立100周年大会上的讲话中提出的“积极推动人的全面发展”具有重要的意义。</w:t>
      </w:r>
    </w:p>
    <w:p w14:paraId="44F60451">
      <w:pPr>
        <w:bidi w:val="0"/>
      </w:pPr>
    </w:p>
    <w:p w14:paraId="5A406119">
      <w:pPr>
        <w:bidi w:val="0"/>
        <w:outlineLvl w:val="9"/>
      </w:pPr>
      <w:r>
        <w:t>一、起点逻辑：物质再生产和劳动力再生产是人的发展的前提</w:t>
      </w:r>
    </w:p>
    <w:p w14:paraId="508BAF22">
      <w:pPr>
        <w:bidi w:val="0"/>
      </w:pPr>
    </w:p>
    <w:p w14:paraId="0B65A8F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马克思研究人的发展是从两种再生产理论开始的。马克思认为，人的发展最根本的动力是发展物质生产力，唯此，人才有发展的自由和空间，并且人类要实现发展，还要有相当数量的生命存在，因为“劳动力只是作为活的个体的能力存在”，[2](p.198)这些生命要具有劳动能力，要组成一定的生产系统，能通过劳动创造出各种必备的生存和发展条件。</w:t>
      </w:r>
    </w:p>
    <w:p w14:paraId="1EE7891F">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（一）人类全部力量的全面发展成为目的本身</w:t>
      </w:r>
    </w:p>
    <w:p w14:paraId="04386E6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马克思认为，人的全面、充分和自由的发展是建立在生产力高度发展基础上的，在物质不断地生产和再生产的基础之上，一切民族注定能达到“在保证社会劳动生产力极高度发展的同时又保证每个生产者个人最全面的发展的这样一种经济形态”。[3](p.145)在这种经济形态中，人不是生产出自己某一种规定性，而是生产出自己的全面性，在这里，“人类全部力量的全面发展成为目的本身”。[4](p.137)如果没有生产力这种发展和目的的改变，极端贫穷将会普遍化，人会“重新开始争取必需品的斗争，全部陈腐污浊的东西又要死灰复燃”。[5](p.538)</w:t>
      </w:r>
    </w:p>
    <w:p w14:paraId="24775174">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生产力的高度发展，如何造就全面发展的人，有三个方面途径。第一，先前的生产力历史地造就了丰富的物质条件和财富。马克思指出，过去的统治阶级总是“肆无忌惮地迫使人类去为生产而生产”，[2](p.683)创造的财富和物质条件成为未来人的全面发展的前提。财富是人创造天赋的绝对发挥，当财富不再用旧的尺度来衡量时，财富的增长将成为衡量“人类全部力量的全面发展”新尺度。[4](p.137)第二，生产力的发展消除了分工，造就了能力全面发展的人。马克思指出，未来社会人们共同地有计划地经营工业，需要“才能得到全面发展、能够通晓整个生产系统的人”，[5](p.688)并“通过产业教育、变换工种、所有人共同享受大家创造出来的福利，通过城乡的融合，使社会全体成员的才能得到全面发展”。[5](p.689)第三，生产力的发展造就了新的经济制度。马克思揭示，物质的发展“创造出了新的经济制度的要素，它同时给社会劳动生产力和一切生产者个人的全面发展以极大的推动”。[6](p.465)新制度的基本原则是：社会全体成员要有计划地利用生产力，把生产规模发展到能满足所有人需要的水平，杜绝为了满足一小部分的需要而牺牲另一部分人利益的状况。[5](p.689)</w:t>
      </w:r>
    </w:p>
    <w:p w14:paraId="3B9DA9ED">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（二）劳动力萎缩再生产是资本主义社会常态</w:t>
      </w:r>
    </w:p>
    <w:p w14:paraId="268A40C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与前一时期相比较，劳动力再生产在优势、劣势、等同条件下，存在扩大再生产、萎缩再生产、简单再生产的不同区分。对于劳动力简单再生产，马克思认为，“劳动力所有者今天进行了劳动，他必须明天也能够在同样的精力和健康条件下重复同样的过程”，[2](p.199)在劳动力因损耗、死亡而不得不退出市场情况下，至少需“同样数目的新劳动力来补充”，[2](p.199)资本主义的生产方式需要“工人的这种不断再生产或永久化”。[2](p.659)如果生活资料不能够使劳动者个体在同样的生活状况下维持自己，劳动力就会出现萎缩状况。萎缩再生产不能超过一定限度，“超过这一点，损耗便以几何级数的增加，同时劳动力再生产和发挥作用的一切正常条件就遭到破坏”。[2](p.602)劳动力萎缩再生产是资本主义社会的常态，马克思、恩格斯确认，现代工人“并不是随着工业的进步而上升，而是越来越降到本阶级的生存条件以下”。[7](p.43)这里的萎缩再生产，包括三层意思：第一，补偿和维持劳动力的体力、智力存在困难。第二，无法顺利完成代际再生产。第三，不能及时更新劳动力应有的教育和培训。只有在扩大再生产条件下，劳动力数量和质量才可能增加，劳动者才有顺利发展的可能。</w:t>
      </w:r>
    </w:p>
    <w:p w14:paraId="2BF8531C">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（三）两种再生产“互相配合”使劳动者“螺旋式”发展</w:t>
      </w:r>
    </w:p>
    <w:p w14:paraId="153009C2">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马克思、恩格斯认为再生产具有两种类型，一种是物质生产，一种是劳动力生产。恩格斯指出：“一方面是生活资料即食物、衣服、住房以及为此所必需的工具的生产；另一方面是人自身的生产，即种的繁衍。”[8](pp.15-16)两种再生产的数量和质量互相制约，体现为两方面：第一，两种生产都以彼此为存在和发展前提。前者为后者提供生活资料，后者为前者提供主体、动力。两者是一体的，恩格斯说，经济因素和种族因素共同制约着历史发展。[9](p.668)第二，两种再生产是按照比例进行的。马克思强调，“一定量的生产资料，必须有一定数目的工人与之相适应”，[10](p.162)不同的生产部门这个比例往往极不相同。只有两种再生产按比例进行时，劳动者才能顺利发展，遵循的规律是“发展的螺旋形式”。[11](p.401)劳动力再生产和物质资料再生产具有矛盾性。首先，这种矛盾表现为两种再生产在空间上是分离的。在物的依赖性社会，物质资料再生产的场所是企业，劳动力再生产的场所通常是家庭和教育部门，这种空间上的分离使两种再生产表现出一种“分割”状态，常互表现为“超前”或“滞后”的特征，导致生产系统紊乱。其次，这种矛盾在时间上表现为物质生产发展和劳动力过剩同时存在。在资本主义条件下，“资本过剩和日益增加的人口过剩结合在一起是完全不矛盾的”。[10](p.273)资本主义制度发展生产是为了追求利润，而不是为了满足人口（劳动力）质量与数量扩大的需要，正如马克思所讲，“每一种特殊的、历史的生产方式都有其特殊的、历史地发生作用的人口规律”，[2](p.728)人口过剩（劳动力过剩）是资本主义的铁律。</w:t>
      </w:r>
    </w:p>
    <w:p w14:paraId="3AAF47EB">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（四）摆脱劳动力价值补偿的禁锢使劳动者自由发展</w:t>
      </w:r>
    </w:p>
    <w:p w14:paraId="07CD421E">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在劳动力的价值补偿范围内，劳动者发展受到极大限制。马克思认为：“劳动力的价值，是由生产、发展、维持和延续劳动力所必需的生活必需品的价值决定的。”[6](p.56)这包括三个方面内容，一是劳动力自己再生产所需衣、食、住、行等生活资料的价值，二是维持劳动力代际再生产所需生活资料的价值，三是劳动力自身的发展费用，包括教育和培训。气候、自然条件、地理位置、历史文化对这些生活资料的价值也有影响，所以“它们是变动的，但是在一定的国家，在一定的时期，又是一定的”。[12](p.436)不过，在劳动力的价值补偿中，前两方面的价值补偿是愿意给予的，第三方面的价值补偿资本家是不愿意给予的。资本家的心态是，在劳动力市场上能捡到物有所值的劳动力，何必再费心负责劳动力的发展。于是，在劳动力市场上，资本家总是以不断增长的学历来遴选只需要中学文凭就能达到相关岗位能力的职员。在马克思、恩格斯生活的年代，资本主义国家总是“把初等教育宣布为劳动的强制性条件”，[2](p.555)而目前，随处可见“把本科教育宣布为劳动的强制性条件”。从劳动力价值的角度观察劳动者发展，要使劳动者自由发展，就需要给予劳动者较高工资收入，使劳动力价值的补偿得到较大程度实现。这种补偿水平除满足劳动者日常的吃、穿、住、行之外，还能购买得起教育培训等发展性消费资料，最好能分享到剩余价值。工资对劳动力再生产具有重要作用，“在完全的市场经济条件下，工资作为劳动者消费和生存的唯一或主要收入来源，对劳动力再生产的质量和结构起决定性作用”。[13]</w:t>
      </w:r>
    </w:p>
    <w:p w14:paraId="6B6C41AA">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（五）劳动力使用价值及时更新推动劳动者发展跟上时代变化</w:t>
      </w:r>
    </w:p>
    <w:p w14:paraId="236906FC">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马克思、恩格斯“把劳动力或劳动能力，理解为人的身体中存在的，每当人生产某种使用价值时就运用的体力和智力的总和”。[2](p.195)马克思在批判“资本和劳动交换”的假象时说道，劳动力的使用价值是指“一定的有用劳动”，[2](p.620)如裁缝劳动、鞋匠劳动、纺纱劳动等。在资本主义条件下，劳动力使用价值的特殊性能够为资本家带来剩余价值，并且这种能生产剩余价值的劳动同“劳动的一定内容，同劳动的特殊效用或劳动所借以表现的特殊使用价值绝对没有关系”，[14](p.862)只同资本主义剥削制度有关。劳动力使用价值可以变化且具有多元性。劳动力使用价值的变化主要通过教育、培训来完成。资本主义工厂不断培训劳动者绝对不是资本家的善心使然，而是物质生产力发展的必然，因为“大工业的本性决定了劳动的变换、职能的更动和工人的全面流动性”。[2](p.560)纵然在劳动力成为商品的条件下，劳动者也不得不接受教育和培训提升自身劳动力价值，并为资本剥削带来更大的剩余价值，但是这也一步步促进了劳动者的解放。从使用价值角度看，劳动力的发展可以理解为劳动者体力得到增加、脑力得到提升、技能得到提高，也可以理解为劳动力使用价值的“转型升级”“提速换挡”“更新换代”，劳动力使用价值不断更新必然促进劳动者不断发展。</w:t>
      </w:r>
    </w:p>
    <w:p w14:paraId="1C3B7B74">
      <w:pPr>
        <w:bidi w:val="0"/>
      </w:pPr>
    </w:p>
    <w:p w14:paraId="7F2B97E9">
      <w:pPr>
        <w:bidi w:val="0"/>
        <w:outlineLvl w:val="9"/>
        <w:rPr>
          <w:rFonts w:ascii="Arial" w:hAnsi="Arial"/>
        </w:rPr>
      </w:pPr>
      <w:r>
        <w:rPr>
          <w:rFonts w:ascii="Arial" w:hAnsi="Arial"/>
        </w:rPr>
        <w:t>二、发展逻辑：消费方式反映劳动力生存和发展状态</w:t>
      </w:r>
    </w:p>
    <w:p w14:paraId="7A917B0D">
      <w:pPr>
        <w:bidi w:val="0"/>
      </w:pPr>
    </w:p>
    <w:p w14:paraId="535FBBEB">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恩格斯说，劳动力再生产所需要的消费资料包括“生活资料，享受资料，发展和表现一切体力和智力所需要的资料”。[5](p.710)人不仅需要生活，还需要享受和发展，分别需要相应的消费资料予以满足。在人类历史中，人所享受到的消费资料类型受其社会地位、生活方式制约。</w:t>
      </w:r>
    </w:p>
    <w:p w14:paraId="299B5800">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（一）发展资料的生产存在明显的制度差异</w:t>
      </w:r>
    </w:p>
    <w:p w14:paraId="0CDDE67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在任何社会，发展资料的生产对于促进劳动者发展都具有重要作用，积累一定的利润用来为全社会的人提供生存和发展保障也是必需的。马克思说，用于教育、保健、社会福利等的发展基金都是保障人的自由全面发展的基本手段，无论任何主义制度，都需要不断完成剩余劳动的积累，“以便能支配一个所谓发展基金——仅仅人口的增长，就已使这个发展基金成为必要的了”。[15](p.85)恩格斯强调说，这种后备基金在过去和现在“都是一切社会的、政治的和智力的发展的基础”。[11](p.202)对于发展资料的生产如教育，不同社会制度的生产目的是不同的。在资本主义条件下，政府发展教育事业，虽然也促进人的能力的发展，不过这不是最终目的，资本主义国家教育目的是为资本主义再生产提供可用的“螺丝钉”，通过政治教育粉饰剥削以维护资本主义生产方式。正如马克思所评价，其目的在于教导农民和手工业者的子弟“愉快地满足于他们在人间的命运，满足于黑面包和土豆，满足于劳役、低微的工资、长辈的鞭笞以及诸如此类的好事”。[11](p.192)而社会主义发展教育事业的目的是让人实现全面自由发展，“最大限度地开发自己的智力、体力、创造力，成为具有自由个性的人，自己的主人”。[16](p.153)马克思早就对精神资料的生产规律做了判断，“支配着物质生产资料的阶级，同时也支配着精神生产资料”，[17](p.44)没有精神生产资料的人的思想，一般的是隶属于统治阶级的。不仅仅是教育，只要不放手私有制度，资产阶级对发展资料如医疗、康复、体育锻炼、文化休闲、基础设施、旅游景观、图书馆、艺术馆的侵占，“不仅成为多余的，而且在经济上、政治上和精神上成为发展的障碍”。[18](p.669)</w:t>
      </w:r>
    </w:p>
    <w:p w14:paraId="2660C7EE">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（二）发展资料的消费决定着劳动者的发展质量</w:t>
      </w:r>
    </w:p>
    <w:p w14:paraId="465B7E6A">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消费对劳动力再生产具有重要作用。首先消费资料的类型对劳动力再生产具有决定性作用，在劳动力简单再生产中生存资料消费具有决定性作用，在劳动力扩大再生产中发展资料消费具有决定性作用。消费发展资料原本只是统治阶级专利，被统治阶级只需要消费生存资料即可，然而，工业发展需要掌握全面生产领域的工人，只有这样，“这种独特的商品占有者的种族才能在商品市场上永远延续下去”。[19](p.199)当消费主要是生存资料时，劳动力很难谈得上处于发展状态。当消费主要是发展资料时，劳动者的发展质量才有保证。消费的方式也反映出劳动力生存和发展状态，“饥饿总是饥饿，但是用刀叉吃熟肉来解除的饥饿不同于用手、指甲和牙齿啃生肉来解除的饥饿”。[4](p.16)吃、穿、住、用、行在人类发展历史中重复了几千年。在生产力极低时，吃的是捡来的谷子、穿的是兽皮、住的是茅草屋、用的是天然形成的日用品、出行靠的是双脚。在生产力较高时，吃的是熟肉、穿的是绸缎、住的是空调房、用的是精美的工业品、出行靠的是汽车。消费方式的改进使人的生存和发展变得更加便利，生存和发展质量水平也更高，到共产主义社会，“人人也都将同等地愈益丰富地得到生活资料、享受资料、发展和表现一切体力和智力所需的资料”，[20](p.326)并且，到那时“发展生产力，发展生产的能力……既是发展消费的能力，又是发展消费的资料”，[14](p.790)这是从社会总体发展进程上来说的。如果从个体角度看，个体消费水平受社会地位制约，消费选择在个体间也有明显的差异性、层次性。未来社会，虽然个体存在差异，但每个人都能根据需要选择不同的发展资料，以促进自身发展。</w:t>
      </w:r>
    </w:p>
    <w:p w14:paraId="350B67EF">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（三）发展资料的分配决定着劳动者发展的公平性</w:t>
      </w:r>
    </w:p>
    <w:p w14:paraId="06FB836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消费资料的分配对劳动者发展公平性具有重要影响。在物的依赖性社会，资产阶级占有的发展资料多得用不完，而劳动者的发展资料总陷于匮乏，对此，恩格斯批判道：“在全世界追逐新消费者的大工业，却在国内把群众的消费限制在忍饥挨饿这样一个最低水平。”[21](p.69)工人想要有发展机会，要么加倍“勤奋”，要么受到家庭资助，然而，这也导致家庭其他成员放弃自己的发展机会甚至牺牲生存质量。有很多人注意到阶级之间发展资料消费的不平等，却没有注意到家庭成员发展资料消费的不均匀状况，不过这主要是被统治阶级家庭发展资料缺乏所致。从奴隶时代、封建时代，到资本主义时代，发展资料总是被统治阶级占有，被统治阶级的发展资料非常少，呈稀缺性特征。在资本主义社会，还会面对生产者（指工人）“没有什么可以消费是因为缺乏消费者这种荒谬的矛盾而束手无策”。[21](p.78)就目前来说，一些消费模式如代际消费、两栖消费、代理消费都是发展资料不足的产物。恩格斯对发展资料的分配进行了设想，“只要分配为纯粹经济的考虑所支配，它就将由生产的利益来调节”，[11](p.209)而最能促进生产、保持和施展自己能力，使一切社会成员尽可能全面发展的那种分配方式，必然是按需分配。</w:t>
      </w:r>
    </w:p>
    <w:p w14:paraId="44E4858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（四）发展资料的交换有利于资本家而不利于工人</w:t>
      </w:r>
    </w:p>
    <w:p w14:paraId="12F15B98">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资本主义条件下，人要取得发展，需用货币从市场上交换回发展资料以满足自我需求。不过从发展资料市场运行结果看，资本家的发展需求得到了较大程度满足，而工人的发展需求无法满足。资本家是不愿意工人得到发展资料的，他们给予工人的有限工资只能交换到生存资料，工人没有余钱来购买发展资料。马克思指出，工人生存的条件，迫使工人把货币花在十分有限的生活资料范围内。[4](p.514)资本主义最具划时代特征的事情是逼迫劳动者和生存资料、发展资料相分离，对此，马克思说，对资产阶级起到推动作用的一切变革，首要因素是“大量的人突然被强制地同自己的生存资料分离，被当作不受法律保护的无产者抛向劳动市场”，[2](p.823)工人为了生存和发展，不得不寻求和劳动资料相结合。找到工作，就意味有了生存和发展机会，找不到工作，就失去了任何生存和发展的可能。马克思揭示出，工人在这两方面成为自己的对象的奴隶：工作和生存资料。[20](p.52)没有生存，何谈发展，“要能发展，首先必须生存，……任何人都不能否认”。[18](p.830)从发展资料满足的途径来看，工人要发展，在腰包里没钱的情况下，必须依赖公共发展资料的发展程度。而资本主义国家基本不重视公共发展需要、家庭发展需要，而强调个人需要。这是因为，“市场制度满足了个人多样化、离散化的需求。无利可图的社会生活需要和精神生活需要却无人问津”。[22]人们生活的共同需要能够满足的程度和范围，取决于统治阶级的意志以及利益集团的博弈。对于未来公共资料的发展前景，马克思指出，未来用来满足共同需要的部分，如教育、育儿、医疗、公共设施等，“同现代社会比起来，这一部分一开始就会显著地增加，并随着新社会的发展而日益增长”。[6](p.433)</w:t>
      </w:r>
    </w:p>
    <w:p w14:paraId="37CCFD6A">
      <w:pPr>
        <w:bidi w:val="0"/>
      </w:pPr>
    </w:p>
    <w:p w14:paraId="5FEAACF5">
      <w:pPr>
        <w:bidi w:val="0"/>
        <w:outlineLvl w:val="9"/>
        <w:rPr>
          <w:rFonts w:ascii="Arial" w:hAnsi="Arial"/>
        </w:rPr>
      </w:pPr>
      <w:r>
        <w:rPr>
          <w:rFonts w:ascii="Arial" w:hAnsi="Arial"/>
        </w:rPr>
        <w:t>三、斗争逻辑：人应为生存和增加享受的需要而斗争</w:t>
      </w:r>
    </w:p>
    <w:p w14:paraId="6B6509A9">
      <w:pPr>
        <w:bidi w:val="0"/>
      </w:pPr>
    </w:p>
    <w:p w14:paraId="150F3D68">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恩格斯在《自然辩证法》中认为，想把历史发展的丰富内容全部概括于“生存斗争”这一干瘪而片面的说法，是极其幼稚的。[11](p.548)他认为：“一有了生产，所谓生存斗争不再单纯围绕着生存资料进行，而是围绕着享受资料和发展资料进行。”[11](p.548)生存从来不是劳动者辛苦工作的最终目的，实现自我发展、享受生活才应是终身追求。</w:t>
      </w:r>
    </w:p>
    <w:p w14:paraId="11EFB5D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（一）物质生活需要的满足及其发展是整个人类生活需要及其发展的基础</w:t>
      </w:r>
    </w:p>
    <w:p w14:paraId="260E746C">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物质生活需要是人类的第一生活需要，“人们首先必须吃、喝、住、穿，就是说首先必须劳动，然后才能争取统治，从事政治、宗教和哲学等等”。[3](p.136)物质生活需要的满足及其发展是整个人类生活需要及其发展的基础，在这个基础上，人类复杂的生产生活体系才得以建立和展开。在物质生存需要基本得到满足之后，人们才开始追求发展需要。马克思在论述劳动力价值的内容时认为，劳动力的价值包含生理要素和历史、文化要素，劳动力的价值“不仅取决于身体需要，而且也取决于成为第二天性的历史地发展起来的社会需要”。[10](p.973)这意味生产条件和交往方式的发展，已经迫使资本主义生产方式把满足劳动者社会需要，即政治的、科学的、艺术的、宗教的需要，所花费的成本计入劳动者价值。由此可见，满足劳动者的社会发展需要是历史发展的必然。马克思还认为：“已经得到满足的第一个需要本身、满足需要的活动和已经获得的为满足需要而用的工具又引起新的需要。”[5](p.531)先有维持当前生活方式和生产方式的需要，再有改进当前生活和生产方式而产生的需要，呈现出“需要—满足—新需要—新满足”的过程。</w:t>
      </w:r>
    </w:p>
    <w:p w14:paraId="4AEB620A">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（二）资产阶级利用工人需要压榨劳动者的自由发展时间</w:t>
      </w:r>
    </w:p>
    <w:p w14:paraId="088F1B1C">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马克思认为，在资本主义社会，资本家不断发现新的使用价值和创造新的需要，是为了持续实现剩余价值，“资本家不顾一切‘虔诚的’词句，寻求一切办法刺激工人的消费，使自己的商品具有新的诱惑力，强使工人有新的需求”。[23](p.247)资本家总是想唤起工人新的需要，无非是想让工人在新的需要面前做出新的牺牲，使工人“处于一种新的依赖地位并且诱使他追求一种新的享受，从而陷入一种新的经济破产”。[5](p.223)需要是客观历史的存在，工人为满足自己的生存和发展需要，才心甘情愿地把劳动力的使用权转移给资本家，换来工资，从而取得生活和发展资料。实质上，资本家给予工人的工资是劳动力的价值补偿。在马克思那里，劳动力的价值有物质规定性和时间规定性之分，物质规定性是由劳动力所需的生活资料、享受资料和发展资料的价值决定的。时间规定性质是由生产劳动力的社会必要劳动时间决定的，“同任何其他商品的价值一样，劳动力的价值也是由生产从而再生产这种独特物品所必要的劳动时间决定的”。[24](p.198)随着生产力提高，总体上劳动力价值趋于下降，在工作日固定的情况下，剩余劳动时间被资本家占有。资本家不仅占有劳动者的剩余劳动时间，而且还压榨劳动者自由发展时间。经常性的加班，通勤时间拉长，高强度工作节奏，挤压了工人受教育、发展智力、履行社会职能、进行社交活动的时间，还挤压了工人“自由运用体力和智力的时间，以至于星期日的休息时间”，[24](p.306)吃饭成了让工人好好工作的不得不做的存在，睡眠“成了恢复筋疲力尽的机体所必不可少的几小时麻木状态”。[24](p.306)</w:t>
      </w:r>
    </w:p>
    <w:p w14:paraId="23EEC0D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马克思说，工人可供支配的时间，“按照自然和法律都是劳动时间”，[24](p.306)应当和资本结合起来用于资本增殖。而工人要做的是和资本斗争，减少法定劳动时间，马克思提醒说，“节约劳动时间等于增加自由时间，即增加使个人充分发展的时间”。[4](p.203)</w:t>
      </w:r>
    </w:p>
    <w:p w14:paraId="368CD8B9">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（三）生存斗争不再是单纯为生存资料而斗争</w:t>
      </w:r>
    </w:p>
    <w:p w14:paraId="583E2754">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人从来不是只为生存而存在，恩格斯说：“人不仅为生存而斗争，而且为享受，为增加自己的享受而斗争。”[9](p.412)在满足生存需要之后，人的消费将不只是局限于生存资料方面，会逐渐扩大到发展资料和享受资料的消费方面，而且“准备为取得高级的享受而放弃低级的享受”。[9](p.412)从需要的必要性角度出发，恩格斯提出了“必要需要”和“奢侈需要”的划分，认为人类当然会为满足自己的必要需要而生产，但是只要有可能，人会为追求奢侈资料而去生产。恩格斯指出，未来生产上会达到这样的高度：既能生产足够的生活必需品，又能生产足够的奢侈品，即使奢侈品最初只是为少数人生产，这样，“生存斗争……就变成为享受而斗争，不再是单纯为生存资料而斗争”。[9](p.412)但是，享乐不是个人臆想的产物，它是和现实条件相联系的，如果没有经济条件的支撑，享乐将成为纯粹的空话，正如马克思、恩格斯所指出，每一个时代的个人的享乐同阶级关系以及产生这些关系的、这些个人所处的生产条件和交往条件相联系。[25](p.111)在资产阶级那里，享乐采取了一个正式的经济形式—奢侈，但是在工人那里，有享乐的哲学，却没有享乐的经济基础。为了使劳动者的生存、享受和发展条件免遭资本剥削制度破坏性作用的影响，办法是从“资本家阶级手中夺取社会生产和社会分配的领导权，并把它转交给生产群众——这就是社会主义革命”。[18](p.988)</w:t>
      </w:r>
    </w:p>
    <w:p w14:paraId="27817E7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（四）劳动者发展需要国家支持方能作为真实需要而存在</w:t>
      </w:r>
    </w:p>
    <w:p w14:paraId="1B35C71D">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恩格斯说，“资本主义方式的生产所生产出来的生存资料和发展资料远比资本主义社会所能消费的多得多”，[9](p.412)但这种生产人为地使生产者同这些生存资料和发展资料相隔绝。发展权作为工人群体的一种需要，需要国家给予政治、经济、文化、社会、生态多方面支持方能作为真实需要而存在，少了这种支持就成为一种虚假的需要。正如马克思评价1848年六月起义失败给工人带来的启示，如果没有无产阶级专政，工人“要在资产阶级共和国范围内稍微改善一下自己的处境只是一种空想”。[7](p.103)劳动者发展资料的提供可以由政府、市场和家庭实现部分替代。如收入，劳动者从市场上换回一部分，政府通过社会保障、公共服务等集体消费方式提供一部分，家庭自有经济可以补偿一部分。随着时代的发展，劳动者发展权的满足方式必然表现为时代性，如封建时代普通农奴的个人发展必须依赖于家庭才能完成，只有一小部分地主阶级拥有发展权。资本主义时代个人发展的实现必须基于市场优胜劣汰，只有资本阶层及其管理阶层才有发展权，工人“必须承担社会的一切重负，而不能享受社会的福利”。[5](p.542)在社会主义条件下，实现劳动者发展权需要政府动用法治力量，将发展权平均化，使每个人都有发展的权利。未来社会中，政府将是劳动者发展的主要保障者，是劳动者发展政策、设施的提供者。这时候市场的作用也不可小觑，从企业、社会组织中分享一定的发展、机会、利润，将为满足多样性、差异性很强的劳动者发展权需求提供丰富性供给。</w:t>
      </w:r>
    </w:p>
    <w:p w14:paraId="39AB6C30">
      <w:pPr>
        <w:bidi w:val="0"/>
      </w:pPr>
    </w:p>
    <w:p w14:paraId="12F8B1D1">
      <w:pPr>
        <w:bidi w:val="0"/>
        <w:outlineLvl w:val="9"/>
        <w:rPr>
          <w:rFonts w:ascii="Arial" w:hAnsi="Arial"/>
        </w:rPr>
      </w:pPr>
      <w:r>
        <w:rPr>
          <w:rFonts w:ascii="Arial" w:hAnsi="Arial"/>
        </w:rPr>
        <w:t>四、政治逻辑：消除资本统治才是工人得到发展的根本出路</w:t>
      </w:r>
    </w:p>
    <w:p w14:paraId="7344871D">
      <w:pPr>
        <w:bidi w:val="0"/>
      </w:pPr>
    </w:p>
    <w:p w14:paraId="0EEDB80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恩格斯认为，在阶级社会，只有消除阻碍劳动者发展的社会制度，将社会生产的无政府状态为有计划的自觉的组织所代替，人才能从“动物的生存条件进入真正人的生存条件”。[11](p.300)只有从这时起，人们才能自由自在地发展和创造自己的历史，也只有从这时起，人们才能按照自己的预期控制社会条件，从而进入自由王国。</w:t>
      </w:r>
    </w:p>
    <w:p w14:paraId="7417ADA8">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（一）资本主义国家制度下的发展权属于资产阶级</w:t>
      </w:r>
    </w:p>
    <w:p w14:paraId="6E0D8F7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人是在自身的需要、能力、社会关系、个性全面发展过程中不断生成的。劳动者发展权就是要保证劳动者的需要不断升级，能力不断全面，社会关系不断完整，个性不断丰富。然而，在不同生产方式和制度中，劳动者发展权是以不同固化比例存在的，在资本主义国家中，资本家拥有发展权，劳动者的发展权是极其少的，在社会主义国家，资本有发展的权利，劳动者更有发展的权利。马克思谈到劳动者相对于资本平等权利时，指出：“权利决不能超出社会的经济结构以及由经济结构制约的社会的文化发展。”[6](p.435)恩格斯点明，在资本主义社会，少数人得到了发展的垄断权，而多数人失去了任何发展的可能性。[26](p.507)每个人都应有发展的权利，而不是少数人享有的特权。要使劳动阶层得到发展，单纯消灭资本家是不够的，只有消除资本主义的统治，工人阶级才能找到发展的出路。马克思在考察劳动权产生的历史后指出，劳动权能保护劳动者的生存，但要是把劳动者的发展也包括进去，即实现“劳动控制资本的权利”，这就犯了忌，资本主义国家“势必要在原则上把它的公式从宪法——法律的准绳——中删去，把劳动权斥为异端”。[27](p.61)不过，马克思对于工人的才能、个性的发展始终持乐观态度，他说，人类的发展开始时会牺牲多数的个人甚至整个阶级，“但最终会克服这种对抗，而同每个个人的发展相一致；因此，个性的比较高度的发展，只有以牺牲个人的历史过程为代价”。[28](p.127)</w:t>
      </w:r>
    </w:p>
    <w:p w14:paraId="36E96CC4">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（二）资本主义劳动法律制度只能保障劳动者的生存权</w:t>
      </w:r>
    </w:p>
    <w:p w14:paraId="6F7D893B">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工人阶级为维护自己的生存权利，同资产阶级进行了长期斗争。然而，除生存权之外，劳动阶级也在为自己的发展权而努力，马克思早在制定《国际工人协会章程》中，就提出协会目标是使“工人阶级得到保护、发展和彻底解放”。[18](p.172)马克思认为劳动者的发展权利包括三方面内容：一是实现个人能力的发展。一切社会成员的职责、使命、任务就是尽可能全面地发展、保持和施展自己的能力。[29](p.210)二是实现社会交往关系的全面发展。社会关系是劳动实践活动的展开，其广度和深度决定着一个人的发展程度，“个人的全面性不是想象的或设想的全面性，而是他的现实联系和观念联系的全面性”。[4](p.172)三是实现多彩个性之发展。个性发展“指人的自觉能动性、创造性和自主性得到全面发展”，[30]意味着每一个全面发展的人，其人格、理想、社会形象、能力体系都是独特的。保障劳动者发展权的目的在于通过法律手段促进劳动者全面发展。历史原因使然，社会主义国家在制定劳动法时参考了一些发达国家的劳动关系条款，在促进劳动关系调节的同时也存在一些局限。第一，私有制条件下市场经济劳动保护标准的实质是简单再生产保护。市场化劳动关系推崇“平等保护”和“倾斜性保护”政策，其实质是简单再生产保护，这种保护政策造成劳动关系分化分层严重、贫富差距扩大、特殊人群脱贫困难等弊端，客观上使大量劳动力萎缩再生产。第二，私有制条件下市场经济国家劳动保护政策具有迷惑性。如这些国家普遍实行的国际劳工标准，其特点是对劳动者在劳动过程中（实质是劳动力再生产的消费环节）的权益进行高水平保护，而对于劳动力再生产的生产、分配、交换环节中权益进行低水平保护甚至不保护，这是资本为了满足获取剩余价值的需要。这是因为，在劳动过程中，资本愿意给予劳动者人文关怀、优越办公环境甚至职工参与权，为的是让工人开开心心创造剩余价值，一旦超出这个范围，资本就变得冷漠无情。</w:t>
      </w:r>
    </w:p>
    <w:p w14:paraId="5ADE4D5E">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（三）只有消除资本主义私有财产制度才能从根本上促进劳动者发展</w:t>
      </w:r>
    </w:p>
    <w:p w14:paraId="4EE3303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在资本主义社会中，资本和雇佣劳动是一对矛盾，人格化的资本总是压榨雇佣劳动，使工人处于异化的状态，这种异化状态使工人的发展成为不可能，而资本家的发展成为可能。雇佣制度使工人阶级“一部分无事可做迫使它的另一部分从事过度劳动”，[31](p.733)这加速了产业后备军的生产。资本主义的生产关系对人的全面发展是一种严重束缚，使人的本质的“自由的有意识的活动”异化为人维持生存的手段，异化劳动否定了工人自身，不能使工人幸福，工人反而会感受到不幸，不能发挥自己的能力，肉体备受折磨，精神备受摧残。异化劳动产生的根源是资本主义私有制，由此导致的分工让工人的发展处于片面而畸形的状态。资本主义制度下，统治阶级不但不能促进工人发展，反而会通过周期性危机不断摧毁劳动者的发展条件，恩格斯指出：“十年一次的危机不仅毁灭生产出来的生活资料、享受资料和发展资料，而且毁灭生产力本身的一大部分，以此来重建平衡。”[18](p.987)在危机时期内，劳动者大众同生存和发展资料之间被人为强制地隔离出一道鸿沟。因此，只有消灭资本主义制度，改变由资本主义私有制制约的经济结构，劳动者才有自由发展的可能。</w:t>
      </w:r>
    </w:p>
    <w:p w14:paraId="69ED7DC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代替那存在着阶级和阶级对立的资产阶级旧社会的，将是人人自由全面发展的联合体。马克思强调，人的本质在其现实性上是一切社会关系的总和，社会属性是人的根本属性。[5](p.501)在论述个体和总体关系时，马克思说，人是一个特殊的个体，也是一个总体，观念的总体。[26](p.302)个体的发展总是和总体发展联系在一起的，“一个人的发展取决于和他直接或间接进行交往的其他一切人的发展”。[17](p.121)总体发展程度决定了个体发展程度，个体发展要以总体发展为制约。只有每个个体都有平等的发展机会、发展资源、发展条件和发展保障，处于自由发展的状态，人类总体才能得到真正的发展。马克思、恩格斯预言：“代替那存在着阶级和阶级对立的资产阶级旧社会的，将是这样一个联合体，在那里，每个人的自由发展是一切人的自由发展的条件。”[7](p.53)在这个联合体里，人们已经消除了分工的差别，挣脱了把自己束缚于片面发展领域的限制，实现了全面发展。恩格斯揭示，资本主义生产方式已逐渐不能驾驭自己的生产力，正等待有计划地合作而组织起来的社会去占有，以便保证“社会全体成员都拥有生存和自由发展其才能的手段”。[18](p.529)在共产主义社会里，“任何人都没有特殊的活动范围，而是都可以在任何部门内发展”，[5](p.537)可根据自己的兴趣决定自己从事的职业，在“猎人、渔夫、牧人或批判者”之间自由切换。</w:t>
      </w:r>
    </w:p>
    <w:p w14:paraId="5DFD083E">
      <w:pPr>
        <w:bidi w:val="0"/>
      </w:pPr>
    </w:p>
    <w:p w14:paraId="2B2A2407">
      <w:pPr>
        <w:bidi w:val="0"/>
        <w:outlineLvl w:val="9"/>
        <w:rPr>
          <w:rFonts w:ascii="Arial" w:hAnsi="Arial"/>
        </w:rPr>
      </w:pPr>
      <w:r>
        <w:rPr>
          <w:rFonts w:ascii="Arial" w:hAnsi="Arial"/>
        </w:rPr>
        <w:t>五、实践逻辑：建构中国特色社会主义劳动者发展权的政策建议</w:t>
      </w:r>
    </w:p>
    <w:p w14:paraId="6E563C86">
      <w:pPr>
        <w:bidi w:val="0"/>
      </w:pPr>
    </w:p>
    <w:p w14:paraId="65EDBFB6">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在社会主义市场经济条件下，资本要发展，劳动者也要发展，“于是这里出现了二律背反，权利同权利相对抗，而这两种权利都同样是商品交换规律所承认的”。[31](p.271)不过马克思认为，未来社会最终是“以每一个个人的全面而自由的发展为基本原则的社会形式”。[2](p.683)社会主义社会的建立为劳动者的全面发展开辟了制度道路。作为世界第二大经济体，我国生产力获得巨大发展，劳动者的发展有了巨大上升空间。推动劳动者全面发展有各种途径和手段，法律作为上层建筑，对劳动者的发展起到巨大的反作用。社会主义法律应促进劳动者丰富社会关系、提升素质和发展个性。然而，这种抽象要求如果体现为法益，必须以权利、利益的方式存在，才能具有规范性、强制性。</w:t>
      </w:r>
    </w:p>
    <w:p w14:paraId="417D7378">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（一）政府在保护劳动者生存权基础上应突出保护劳动者发展权</w:t>
      </w:r>
    </w:p>
    <w:p w14:paraId="09C114D1">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要从根本上保护劳动者，需要特别注意保护劳动权，马克思认为：“其实劳动权就是支配资本的权利，支配资本的权利就是占有生产资料，使生产资料受联合起来的工人阶级支配，也就是消灭雇佣劳动、资本及其相互间的关系。”[27](p.61)然而，劳动权在资产阶级意义上就是一种胡说，资本家把保护劳动者的生存看作保护劳动权，却从来不把保护劳动者发展考虑进来，而保护劳动者发展权最终成为劳动阶级的一种可怜的愿望，恩格斯做出说明，资产阶级的法律不过是资本主义社会经济关系的反应，它把“劳动者变成了完全没有财产，……被置于法律保护之外的无产者”。[32](p.22)劳动权具有保障劳动者生存和发展的双重功能，但不同社会制度下的劳动权保护重心有根本区别，在资本主义条件下，建立和保护劳动权的是生存型的劳动关系，而在社会主义条件下，建立和保护劳动权的重心应是发展型劳动关系。劳动关系的建立受多种因素影响，包括社会制度性质、生产力发展阶段、劳动法传承习惯等。现代劳动法制度是劳动力与资本斗争和平衡的结果，但资本为追求利润，只允许劳动者处于生存线上，不会主动保护劳动者的发展权，所以从本质上看，现代劳动法仍然是“资本控制劳动力”的制度。国内现行劳动法继承了现代劳动法的优秀成果，也学习了现代劳动法寻求建立生存型劳动关系的内核。其实，社会主义性质的劳动法不但应重视劳动者的生存权，更应寻求建立发展型的劳动法律关系，以保护劳动者的发展权。目前对劳动者的倾斜性保护原则确立的是对劳动者生存权的简单保护、形式保护，而劳动者发展权的提出是基于对劳动者权益的全面保护、实质保护。劳动者发展权主张劳动者享有剩余价值索取权、充分的自由时间权、代际照顾权，工会有维护劳动者发展利益的职能，用人单位有保障劳动者发展的义务，劳动立法的直接目的是促进人的全面发展，推动经济社会可持续发展。由此，应创新立法原则，如确立从资本优位到劳动优位、从应有发展权利到法定发展权利、从割裂型发展权利到整体型发展权利、从促进就业到促进发展等原则。</w:t>
      </w:r>
    </w:p>
    <w:p w14:paraId="6F1381A0">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（二）明晰劳动者发展权权利关系中相关主体的责任和义务</w:t>
      </w:r>
    </w:p>
    <w:p w14:paraId="41AAAA6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毫无疑问，劳动者发展权从柔性鼓励到硬性规范，必然牵涉利益调整，国家承担的部分会更多，企业也必须让利，劳动者的发展权才能有所保证。不然，资本必然表现出本性来，马克思说“凡是工人做的对自身不利的事，非工人都对工人做了，但是，非工人做的对工人不利的事，他对自身却不做”，[20](p.63)在这里，“非工人”指的是资本家。不可否认，维护劳动者的发展权有利于国家长远地发展生产力，并促使人的素质得到提升，但在近期利益和长远利益方面，企业显然更趋向于前者，这是工业时代经济关系在劳动关系中的反映。新的经济关系如知识经济、信息经济或智能经济的发展极其依赖高素质劳动者，高质量的劳动力再生产更依赖个人活劳动的投入。处于新经济关系中的劳动者将越来越多，新的劳动关系的形成必然带来权利和义务主体深刻调整与利益格局深刻变化，必须明确劳动者发展权中相关主体的责任和义务，才能更好地保障劳动者权益。这种调整并不限于用人单位和劳动者本人权利义务变化，工会、人社部门甚至党委、人大、政府都应参与其中，进行一些职能调整。政府相关部门应承担起机构建设、发展规划、标准制定责任，强化劳动者全面发展原则。政府对于劳资关系的治理必须超脱“劳资双方之间的关系”这一狭小范围，把政府力量充分纳入劳动关系治理。现阶段特别要强化企业在劳动力再生产中的义务。在工作时间内，企业应给予劳动者发展机会、提高其发展能力、规划其发展方向、逐步提升其发展水平。企业应践行共享经济制度，实行劳动力生产成本扣除后的利润分享制，保证劳动力的“剩余价值索取权”。</w:t>
      </w:r>
    </w:p>
    <w:p w14:paraId="4D64C4F0">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（三）建立和完善发展型劳动关系调处制度</w:t>
      </w:r>
    </w:p>
    <w:p w14:paraId="3BD626B4">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劳动关系是研究发展权从宏观到微观、从抽象到具体的中介，具有重要的媒介作用。要建立发展型劳动关系，应从我国基本经济制度出发，统筹考虑公有制经济、非公有制经济和混合所有制经济的特点，不断探究和把握社会主义市场经济条件下构建发展型劳动关系的规律以及优秀实践，积极稳妥推进具有中国特色的发展型劳动关系理论和路径创新。在现阶段，构建发展型劳动关系最根本的办法是扩大国家所有制、集体所有制的主导范围。在中国，因为生产资料公有制占主导地位，劳动关系总体是和谐的，在一定程度上是发展型的。在私有制企业内，资本对劳动的剥削虽然可以存在，但受到很多限制，资本和劳动的对立是次要的，统一是主要的。“劳资关系的发展规律随着其总体性质的改变也会发生变化”，[33]随着公有制经济主导力量加强，非公有制部门内资本对劳动控制和分化的趋势将逐渐减弱，而全社会范围内劳资双方共同发展、和谐有序、互利共享的趋势逐渐加强，最终将实现全体劳动者自由而全面的发展目标。在实践中，应借鉴成熟做法把生存型劳动关系提升为发展型劳动关系。第一，国内一些企业在构建和谐劳动关系过程中，在发展工资权、接受终生职业教育权、职位交流与晋级晋升权、职工参与权、文化熏陶和体育锻炼权方面做得较好，可以考虑推广这些做法。第二，在分享利益方面，中国华为全员持股计划、西班牙蒙德拉贡模式、美国利益谈判分享模式、瑞典财政参与型分享模式等做法较好，可以考虑加以借鉴。第三，在自由时间方面，参考法国做法，把周工作时间逐步减少到每周35小时甚至30小时。目前，至少要把每天的工作时间严格限制在8小时内。第四，在代际照顾方面，可参考日本育儿支持体系做法，充分发挥政府、市场、家庭、社会团体、民间非营利组织的能动性，给予法律、配套政策、人才培养、服务模式等支撑，真正实现党的十九大报告提出的“幼有所育”。[34]</w:t>
      </w:r>
    </w:p>
    <w:p w14:paraId="5F081A26">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（四）完善促进劳动者发展权益的保障制度和制定“劳动者发展促进法”</w:t>
      </w:r>
    </w:p>
    <w:p w14:paraId="4571C22D">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在劳动力再生产理论的视域下，市场经济国家普遍实行的国际劳工标准，是一种底线保护标准，能保护劳动者的简单再生产，却不能促进劳动者的扩大再生产，能保护劳动者的生存权，却不能保护劳动者的发展权。现代劳动法对保障劳动者发展权进行了一定程度的宣示，但缺乏整体性，如给劳动者高工资却以加班为代价，给劳动者教育机会却以停止发放工资为代价，给劳动者文化权利却以减少民主参与权为代价。上述这些保护政策具有很大的迷惑性、欺骗性和形式性。再如最低工资问题，在市场条件下，最低工资法实质上只考虑满足劳动者的日常再生产需要，而没有考虑到满足劳动者长期再生产和子代再生产的需要。在没有集体福利分享的条件下，这将导致劳动者长期再生产处于萎缩状态和子代劳动力再生产出现中断现象。因此，要实现劳动者权益保护正义，达到实质公平，就要以马克思主义劳动者权益保护思想为指导，克服市场化劳动关系的弊端，对劳动者进行扩大再生产保护，形成新时代中国特色的劳动者权益保护法律体系，促进劳动者全面发展。我国是社会主义国家，国体性质决定了不能漠视劳动者发展权益。对劳动者来讲，劳动力的扩大再生产显然是最朴素、最核心的追求，马克思对此加以清晰的肯定，但要把其上升为国家意志，超越应然，成为实然，需要在法律规范中进行清晰表达。要实现劳动者发展权进一步落地，应制定“劳动者发展促进法”，细化相关规则，明确劳动者发展权益内容、权益主体和客体，落实相关责任，增强劳动者发展权的法治约束。应实行劳动者发展权报告制度，在权力运行层面建立劳动者发展权报告制度，细化发展指标及权重，规定由各级政府每年向本级人民代表大会作报告。</w:t>
      </w:r>
    </w:p>
    <w:p w14:paraId="2AB97D10">
      <w:pPr>
        <w:bidi w:val="0"/>
      </w:pPr>
    </w:p>
    <w:p w14:paraId="2CCCB0E2">
      <w:pPr>
        <w:bidi w:val="0"/>
      </w:pPr>
      <w:r>
        <w:t>[参考文献]</w:t>
      </w:r>
    </w:p>
    <w:p w14:paraId="40A210D6">
      <w:pPr>
        <w:bidi w:val="0"/>
      </w:pPr>
      <w:r>
        <w:t>[1]程恩富，顾钰民.新的活劳动价值一元论——劳动价值理论的当代拓展[J].当代经济研究，2001，(11).</w:t>
      </w:r>
    </w:p>
    <w:p w14:paraId="7E74E15A">
      <w:pPr>
        <w:bidi w:val="0"/>
      </w:pPr>
      <w:r>
        <w:t>[2]马克思恩格斯文集(第5卷)[M].北京：人民出版社，2009.</w:t>
      </w:r>
    </w:p>
    <w:p w14:paraId="2524947F">
      <w:pPr>
        <w:bidi w:val="0"/>
      </w:pPr>
      <w:r>
        <w:t>[3]马克思恩格斯全集(第25卷)[M].北京：人民出版社，2001.</w:t>
      </w:r>
    </w:p>
    <w:p w14:paraId="5FC8DE51">
      <w:pPr>
        <w:bidi w:val="0"/>
      </w:pPr>
      <w:r>
        <w:t>[4]马克思恩格斯文集(第8卷)[M].北京：人民出版社，2009.</w:t>
      </w:r>
    </w:p>
    <w:p w14:paraId="1592C1B0">
      <w:pPr>
        <w:bidi w:val="0"/>
      </w:pPr>
      <w:r>
        <w:t>[5]马克思恩格斯文集(第1卷)[M].北京：人民出版社，2009.</w:t>
      </w:r>
    </w:p>
    <w:p w14:paraId="3AB60633">
      <w:pPr>
        <w:bidi w:val="0"/>
      </w:pPr>
      <w:r>
        <w:t>[6]马克思恩格斯文集(第3卷)[M].北京：人民出版社，2009.</w:t>
      </w:r>
    </w:p>
    <w:p w14:paraId="348F958D">
      <w:pPr>
        <w:bidi w:val="0"/>
      </w:pPr>
      <w:r>
        <w:t>[7]马克思恩格斯文集(第2卷)[M].北京：人民出版社，2009.</w:t>
      </w:r>
    </w:p>
    <w:p w14:paraId="0F0A108E">
      <w:pPr>
        <w:bidi w:val="0"/>
      </w:pPr>
      <w:r>
        <w:t>[8]马克思恩格斯文集(第4卷)[M].北京：人民出版社，2009.</w:t>
      </w:r>
    </w:p>
    <w:p w14:paraId="01AF3D07">
      <w:pPr>
        <w:bidi w:val="0"/>
      </w:pPr>
      <w:r>
        <w:t>[9]马克思恩格斯文集(第10卷)[M].北京：人民出版社，2009.</w:t>
      </w:r>
    </w:p>
    <w:p w14:paraId="2922BEB2">
      <w:pPr>
        <w:bidi w:val="0"/>
      </w:pPr>
      <w:r>
        <w:t>[10]马克思恩格斯文集(第7卷)[M].北京：人民出版社，2009.</w:t>
      </w:r>
    </w:p>
    <w:p w14:paraId="119447F8">
      <w:pPr>
        <w:bidi w:val="0"/>
      </w:pPr>
      <w:r>
        <w:t>[11]马克思恩格斯文集(第9卷)[M].北京：人民出版社，2009.</w:t>
      </w:r>
    </w:p>
    <w:p w14:paraId="4CB8CAF7">
      <w:pPr>
        <w:bidi w:val="0"/>
      </w:pPr>
      <w:r>
        <w:t>[12]马克思恩格斯全集(第21卷)[M].北京：人民出版社，2003.</w:t>
      </w:r>
    </w:p>
    <w:p w14:paraId="1D34746F">
      <w:pPr>
        <w:bidi w:val="0"/>
      </w:pPr>
      <w:r>
        <w:t>[13]赵峰，季雷，李彬.高质量发展阶段我国私营企业工资水平的静态和动态分析[J].教学与研究，2019，(4).</w:t>
      </w:r>
    </w:p>
    <w:p w14:paraId="2C828101">
      <w:pPr>
        <w:bidi w:val="0"/>
      </w:pPr>
      <w:r>
        <w:t>[14]马克思恩格斯选集(第2卷)[M].北京：人民出版社，2012.</w:t>
      </w:r>
    </w:p>
    <w:p w14:paraId="1B9662F2">
      <w:pPr>
        <w:bidi w:val="0"/>
      </w:pPr>
      <w:r>
        <w:t>[15]马克思恩格斯全集(第33卷)[M].北京：人民出版社，2004.</w:t>
      </w:r>
    </w:p>
    <w:p w14:paraId="3439E18B">
      <w:pPr>
        <w:bidi w:val="0"/>
      </w:pPr>
      <w:r>
        <w:t>[16]辛世俊.马克思人学中国化新探[M].北京：人民出版社，</w:t>
      </w:r>
    </w:p>
    <w:p w14:paraId="2322855A">
      <w:pPr>
        <w:bidi w:val="0"/>
      </w:pPr>
      <w:r>
        <w:t>2013.</w:t>
      </w:r>
    </w:p>
    <w:p w14:paraId="0CC8B100">
      <w:pPr>
        <w:bidi w:val="0"/>
      </w:pPr>
      <w:r>
        <w:t>[17]德意志意识形态(节选本)[M].北京：人民出版社，2018.</w:t>
      </w:r>
    </w:p>
    <w:p w14:paraId="3DCC1802">
      <w:pPr>
        <w:bidi w:val="0"/>
      </w:pPr>
      <w:r>
        <w:t>[18]马克思恩格斯选集(第3卷)[M].北京：人民出版社，2012.</w:t>
      </w:r>
    </w:p>
    <w:p w14:paraId="3547B33B">
      <w:pPr>
        <w:bidi w:val="0"/>
      </w:pPr>
      <w:r>
        <w:t>[19]马克思恩格斯选集(第5卷)[M].北京：人民出版社，2012.</w:t>
      </w:r>
    </w:p>
    <w:p w14:paraId="1C5BF700">
      <w:pPr>
        <w:bidi w:val="0"/>
      </w:pPr>
      <w:r>
        <w:t>[20]马克思恩格斯选集(第1卷)[M].北京：人民出版社，2012.</w:t>
      </w:r>
    </w:p>
    <w:p w14:paraId="090A3A19">
      <w:pPr>
        <w:bidi w:val="0"/>
      </w:pPr>
      <w:r>
        <w:t>[21]恩格斯.社会主义从空想到科学的发展[M].北京：人民出版社，2018.</w:t>
      </w:r>
    </w:p>
    <w:p w14:paraId="010996F3">
      <w:pPr>
        <w:bidi w:val="0"/>
      </w:pPr>
      <w:r>
        <w:t>[22]胡乐明.“生活需要”的政治经济学分析[J].马克思主义研究，2019，(11).</w:t>
      </w:r>
    </w:p>
    <w:p w14:paraId="04B43769">
      <w:pPr>
        <w:bidi w:val="0"/>
      </w:pPr>
      <w:r>
        <w:t>[23]马克思恩格斯全集(第30卷)[M].北京：人民出版社，1995.</w:t>
      </w:r>
    </w:p>
    <w:p w14:paraId="396D29CE">
      <w:pPr>
        <w:bidi w:val="0"/>
      </w:pPr>
      <w:r>
        <w:t>[24]资本论(第1卷)[M].北京：人民出版社，2004.</w:t>
      </w:r>
    </w:p>
    <w:p w14:paraId="5DC8A491">
      <w:pPr>
        <w:bidi w:val="0"/>
      </w:pPr>
      <w:r>
        <w:t>[25]德意志意识形态[M].北京：人民出版社，2018.</w:t>
      </w:r>
    </w:p>
    <w:p w14:paraId="050247C3">
      <w:pPr>
        <w:bidi w:val="0"/>
      </w:pPr>
      <w:r>
        <w:t>[26]马克思恩格斯全集(第3卷)[M].北京：人民出版社，1960.</w:t>
      </w:r>
    </w:p>
    <w:p w14:paraId="19C40048">
      <w:pPr>
        <w:bidi w:val="0"/>
      </w:pPr>
      <w:r>
        <w:t>[27]马克思.1848年至1850年的法兰西阶级斗争[M].北京：人民出版社，2014.</w:t>
      </w:r>
    </w:p>
    <w:p w14:paraId="5370DC8E">
      <w:pPr>
        <w:bidi w:val="0"/>
      </w:pPr>
      <w:r>
        <w:t>[28]马克思恩格斯全集(第34卷)[M].北京：人民出版社，2008.</w:t>
      </w:r>
    </w:p>
    <w:p w14:paraId="7AC09359">
      <w:pPr>
        <w:bidi w:val="0"/>
      </w:pPr>
      <w:r>
        <w:t>[29]马克思恩格斯全集(第26卷)[M].北京：人民出版社，2014.</w:t>
      </w:r>
    </w:p>
    <w:p w14:paraId="38BA3E9A">
      <w:pPr>
        <w:bidi w:val="0"/>
      </w:pPr>
      <w:r>
        <w:t>[30]吴向东.论马克思人的全面发展理论[J].马克思主义研究，2005，(1).</w:t>
      </w:r>
    </w:p>
    <w:p w14:paraId="422161B2">
      <w:pPr>
        <w:bidi w:val="0"/>
      </w:pPr>
      <w:r>
        <w:t>[31]资本论(纪念版)(第1卷)[M].北京：人民出版社，2018.</w:t>
      </w:r>
    </w:p>
    <w:p w14:paraId="6BF21CF0">
      <w:pPr>
        <w:bidi w:val="0"/>
      </w:pPr>
      <w:r>
        <w:t>[32]恩格斯.论住宅问题[M].北京：人民出版社，2019.</w:t>
      </w:r>
    </w:p>
    <w:p w14:paraId="62D3442E">
      <w:pPr>
        <w:bidi w:val="0"/>
      </w:pPr>
      <w:r>
        <w:t>[33]肖潇.中国特色社会主义政治经济学劳资关系理论的完善与拓展[J].思想理论教育导刊，2017，(7).</w:t>
      </w:r>
    </w:p>
    <w:p w14:paraId="305E61AC">
      <w:pPr>
        <w:bidi w:val="0"/>
      </w:pPr>
      <w:r>
        <w:t>[34]郭佩.福利多元主义视角下日本育儿支持体系的重构及其启示[J].学前教育研究，2021，(3).</w:t>
      </w:r>
    </w:p>
    <w:p w14:paraId="2D4032C3">
      <w:pPr>
        <w:bidi w:val="0"/>
        <w:rPr>
          <w:rFonts w:hint="eastAsia" w:eastAsia="宋体"/>
          <w:lang w:eastAsia="zh-CN"/>
        </w:rPr>
      </w:pPr>
      <w:r>
        <w:rPr>
          <w:rFonts w:hint="eastAsia"/>
          <w:lang w:eastAsia="zh-CN"/>
        </w:rPr>
        <w:t>（</w:t>
      </w:r>
      <w:r>
        <w:rPr>
          <w:rFonts w:hint="eastAsia"/>
          <w:lang w:val="en-US" w:eastAsia="zh-CN"/>
        </w:rPr>
        <w:t>原载《</w:t>
      </w:r>
      <w:r>
        <w:rPr>
          <w:rFonts w:hint="default"/>
          <w:lang w:val="en-US" w:eastAsia="zh-CN"/>
        </w:rPr>
        <w:t>毛泽东邓小平理论研究</w:t>
      </w:r>
      <w:r>
        <w:rPr>
          <w:rFonts w:hint="eastAsia"/>
          <w:lang w:val="en-US" w:eastAsia="zh-CN"/>
        </w:rPr>
        <w:t>》2022年第2期，第一作者为</w:t>
      </w:r>
      <w:r>
        <w:rPr>
          <w:rFonts w:hint="default"/>
          <w:lang w:val="en-US" w:eastAsia="zh-CN"/>
        </w:rPr>
        <w:t>殷林飞</w:t>
      </w:r>
      <w:r>
        <w:rPr>
          <w:rFonts w:hint="eastAsia"/>
          <w:lang w:val="en-US" w:eastAsia="zh-CN"/>
        </w:rPr>
        <w:t>，第三作者为</w:t>
      </w:r>
      <w:r>
        <w:rPr>
          <w:rFonts w:hint="default"/>
          <w:lang w:val="en-US" w:eastAsia="zh-CN"/>
        </w:rPr>
        <w:t>张国献</w:t>
      </w:r>
      <w:r>
        <w:rPr>
          <w:rFonts w:hint="eastAsia"/>
          <w:lang w:eastAsia="zh-CN"/>
        </w:rPr>
        <w:t>）</w:t>
      </w:r>
    </w:p>
    <w:p w14:paraId="34D29863">
      <w:pPr>
        <w:bidi w:val="0"/>
      </w:pPr>
    </w:p>
    <w:p w14:paraId="3E84A1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53FD87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06AD2369">
      <w:pPr>
        <w:pStyle w:val="3"/>
        <w:bidi w:val="0"/>
      </w:pPr>
      <w:bookmarkStart w:id="36" w:name="_Toc1377700713"/>
      <w:bookmarkStart w:id="37" w:name="_Toc1349877858"/>
      <w:bookmarkStart w:id="38" w:name="_Toc27200"/>
      <w:bookmarkStart w:id="39" w:name="_Toc951486057"/>
      <w:bookmarkStart w:id="40" w:name="_Toc1876401539"/>
      <w:bookmarkStart w:id="41" w:name="_Toc53563553"/>
      <w:r>
        <w:rPr>
          <w:rFonts w:hint="eastAsia"/>
          <w:lang w:val="en-US" w:eastAsia="zh-CN"/>
        </w:rPr>
        <w:t>4</w:t>
      </w:r>
      <w:r>
        <w:rPr>
          <w:rFonts w:hint="eastAsia"/>
        </w:rPr>
        <w:t>列宁主义有何科学性和当代价值？——与英国大卫·莱恩院士商榷</w:t>
      </w:r>
      <w:bookmarkEnd w:id="36"/>
      <w:bookmarkEnd w:id="37"/>
      <w:bookmarkEnd w:id="38"/>
      <w:bookmarkEnd w:id="39"/>
      <w:bookmarkEnd w:id="40"/>
      <w:bookmarkEnd w:id="41"/>
    </w:p>
    <w:p w14:paraId="1CC1351B">
      <w:pPr>
        <w:spacing w:line="360" w:lineRule="auto"/>
        <w:ind w:firstLine="420" w:firstLineChars="200"/>
        <w:rPr>
          <w:rFonts w:hint="eastAsia" w:ascii="宋体" w:hAnsi="宋体" w:eastAsia="宋体" w:cs="宋体"/>
          <w:b/>
          <w:bCs/>
          <w:kern w:val="0"/>
          <w:szCs w:val="24"/>
          <w:lang w:val="en-US" w:eastAsia="zh-CN" w:bidi="ar"/>
        </w:rPr>
      </w:pPr>
    </w:p>
    <w:p w14:paraId="695E24D5">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b/>
          <w:bCs/>
          <w:kern w:val="0"/>
          <w:szCs w:val="24"/>
          <w:lang w:val="en-US" w:eastAsia="zh-CN" w:bidi="ar"/>
        </w:rPr>
        <w:t>内容提要</w:t>
      </w:r>
      <w:r>
        <w:rPr>
          <w:rFonts w:hint="eastAsia" w:ascii="宋体" w:hAnsi="宋体" w:eastAsia="宋体" w:cs="宋体"/>
          <w:b/>
          <w:bCs/>
          <w:kern w:val="0"/>
          <w:szCs w:val="24"/>
          <w:lang w:bidi="ar"/>
        </w:rPr>
        <w:t xml:space="preserve"> </w:t>
      </w:r>
      <w:r>
        <w:rPr>
          <w:rFonts w:ascii="宋体" w:hAnsi="宋体" w:eastAsia="宋体" w:cs="宋体"/>
          <w:b/>
          <w:bCs/>
          <w:kern w:val="0"/>
          <w:szCs w:val="24"/>
          <w:lang w:bidi="ar"/>
        </w:rPr>
        <w:t xml:space="preserve"> </w:t>
      </w:r>
      <w:r>
        <w:rPr>
          <w:rFonts w:hint="eastAsia" w:ascii="宋体" w:hAnsi="宋体" w:eastAsia="宋体" w:cs="宋体"/>
          <w:kern w:val="0"/>
          <w:szCs w:val="24"/>
          <w:lang w:bidi="ar"/>
        </w:rPr>
        <w:t>本文是与英国大卫·莱恩院士关于列宁主义的商榷论文，先后提出</w:t>
      </w:r>
      <w:r>
        <w:rPr>
          <w:rFonts w:hint="eastAsia" w:ascii="宋体" w:hAnsi="宋体" w:eastAsia="宋体" w:cs="宋体"/>
          <w:szCs w:val="24"/>
        </w:rPr>
        <w:t>如何正确认识工人阶级和社会主义运动，阐述无产阶级的定义和结构变化，指出</w:t>
      </w:r>
      <w:r>
        <w:rPr>
          <w:rFonts w:hint="eastAsia" w:ascii="宋体" w:hAnsi="宋体" w:eastAsia="宋体" w:cs="宋体"/>
          <w:kern w:val="0"/>
          <w:szCs w:val="24"/>
          <w:lang w:bidi="ar"/>
        </w:rPr>
        <w:t>代表工人阶级先锋队的马克思主义左翼的存在和发展，他们的</w:t>
      </w:r>
      <w:r>
        <w:rPr>
          <w:rFonts w:hint="eastAsia" w:ascii="宋体" w:hAnsi="宋体" w:eastAsia="宋体" w:cs="宋体"/>
          <w:szCs w:val="24"/>
        </w:rPr>
        <w:t>身份政治仍然是阶级政治，其左翼立科学社会主义的立场；提出如何正确认识各阶级专政与民主的关系，阐述资本主义国家的国体即国家的阶级属性都是资产阶级民主专政，指出广泛的政治参与原则与共产党及其执政国家的集中管理是相辅相成而不是对立的；提出如何正确理解社会主义、议会民主和无产阶级革命，阐述没有哪个资本主义国家是主要通过议会民主方式向社会主义过渡成功的，指出无产阶级专政也就是人民民主专政，把对人民实行民主与对社会主义敌对阶级和破坏分子实行专政结合起来；提出如何正确认识新老帝国主义和工人阶级愿望，阐述新老帝国主义的特性，指出需要用历史唯物主义方法来辩证分析工人阶级和广大人民的愿望表象与本质；提出如何正确认识人类社会的发展大趋势，阐述当代资本主义的基本矛盾、积累规律和各类危机的存在和继续发展，指出列宁主义不仅指导苏俄无产阶级革命和建设取得了胜利，是马克思主义苏俄化理论，而且一直指导国际无产阶级革命和建设，是与马克思恩格斯主义并列的国际马克思主义理论。</w:t>
      </w:r>
    </w:p>
    <w:p w14:paraId="5AFCD5DB">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hint="default" w:ascii="宋体" w:hAnsi="宋体" w:eastAsia="宋体" w:cs="宋体"/>
          <w:szCs w:val="24"/>
          <w:lang w:val="en-US" w:eastAsia="zh-CN"/>
        </w:rPr>
      </w:pPr>
      <w:r>
        <w:rPr>
          <w:rFonts w:hint="eastAsia" w:ascii="宋体" w:hAnsi="宋体" w:eastAsia="宋体" w:cs="宋体"/>
          <w:b/>
          <w:bCs/>
          <w:szCs w:val="24"/>
        </w:rPr>
        <w:t xml:space="preserve">关键词 </w:t>
      </w:r>
      <w:r>
        <w:rPr>
          <w:rFonts w:ascii="宋体" w:hAnsi="宋体" w:eastAsia="宋体" w:cs="宋体"/>
          <w:szCs w:val="24"/>
        </w:rPr>
        <w:t xml:space="preserve"> </w:t>
      </w:r>
      <w:r>
        <w:rPr>
          <w:rFonts w:hint="eastAsia" w:ascii="宋体" w:hAnsi="宋体" w:eastAsia="宋体" w:cs="宋体"/>
          <w:szCs w:val="24"/>
        </w:rPr>
        <w:t>列宁主义；马克思主义；无产阶级革命；新老帝国主义；世界社会主义</w:t>
      </w:r>
      <w:r>
        <w:rPr>
          <w:rFonts w:hint="eastAsia" w:ascii="宋体" w:hAnsi="宋体" w:eastAsia="宋体" w:cs="宋体"/>
          <w:szCs w:val="24"/>
          <w:lang w:eastAsia="zh-CN"/>
        </w:rPr>
        <w:t>；</w:t>
      </w:r>
      <w:r>
        <w:rPr>
          <w:rFonts w:hint="eastAsia" w:ascii="宋体" w:hAnsi="宋体" w:eastAsia="宋体" w:cs="宋体"/>
          <w:szCs w:val="24"/>
          <w:lang w:val="en-US" w:eastAsia="zh-CN"/>
        </w:rPr>
        <w:t>政治经济学</w:t>
      </w:r>
    </w:p>
    <w:p w14:paraId="5E89F012">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kern w:val="0"/>
          <w:szCs w:val="24"/>
          <w:lang w:bidi="ar"/>
        </w:rPr>
      </w:pPr>
      <w:r>
        <w:rPr>
          <w:rFonts w:hint="eastAsia" w:ascii="宋体" w:hAnsi="宋体" w:eastAsia="宋体" w:cs="宋体"/>
          <w:kern w:val="0"/>
          <w:szCs w:val="24"/>
          <w:lang w:bidi="ar"/>
        </w:rPr>
        <w:t>英国剑桥大学伊曼纽尔学院大卫·莱恩院士发表《</w:t>
      </w:r>
      <w:r>
        <w:rPr>
          <w:rFonts w:hint="eastAsia" w:ascii="宋体" w:hAnsi="宋体" w:eastAsia="宋体" w:cs="宋体"/>
          <w:szCs w:val="24"/>
        </w:rPr>
        <w:t>列宁与革命：一种批判——昨天与今天</w:t>
      </w:r>
      <w:r>
        <w:rPr>
          <w:rFonts w:hint="eastAsia" w:ascii="宋体" w:hAnsi="宋体" w:eastAsia="宋体" w:cs="宋体"/>
          <w:kern w:val="0"/>
          <w:szCs w:val="24"/>
          <w:lang w:bidi="ar"/>
        </w:rPr>
        <w:t>》一文（以下简称《论列宁》）。这篇论文围绕列宁主义提出了十分重要的学术观点和当代现实价值问题。本人敬佩莱恩教授对马列主义的研究，赞成其中许多客观的评论，但也有一些不赞成的主要观点，现提出商榷意见，以便深化这一讨论。《论列宁》一文在论述列宁主义有关理论和政策基础上得出九个结论，为了不歪曲作者的原意，以下引用这些结论并作出评析。</w:t>
      </w:r>
    </w:p>
    <w:p w14:paraId="7A5F95C4">
      <w:pPr>
        <w:pStyle w:val="4"/>
        <w:pageBreakBefore w:val="0"/>
        <w:widowControl/>
        <w:kinsoku w:val="0"/>
        <w:wordWrap/>
        <w:overflowPunct/>
        <w:topLinePunct w:val="0"/>
        <w:autoSpaceDE w:val="0"/>
        <w:autoSpaceDN w:val="0"/>
        <w:bidi w:val="0"/>
        <w:adjustRightInd w:val="0"/>
        <w:snapToGrid w:val="0"/>
        <w:spacing w:before="0" w:beforeLines="0" w:after="0" w:afterLines="0" w:line="400" w:lineRule="exact"/>
        <w:ind w:left="0" w:leftChars="0" w:firstLine="560" w:firstLineChars="200"/>
        <w:textAlignment w:val="baseline"/>
      </w:pPr>
      <w:r>
        <w:rPr>
          <w:rFonts w:hint="eastAsia"/>
        </w:rPr>
        <w:t>一、如何正确认识工人阶级和社会主义运动？</w:t>
      </w:r>
    </w:p>
    <w:p w14:paraId="3995C792">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列宁对西方先进资本主义国家的工人阶级和社会主义运动的认识是扭曲的吗？该文第一个结论写道：“列宁对西方先进资本主义国家的工人阶级和社会主义运动的认识是有限的也是扭曲的。他的具体建议仅适用于与资本主义全球化的21世纪截然不同的时代，19世纪的解决方案无法用来解决21世纪的问题。列宁的思维方式和他的解决方案是为专制政府统治下的前资本主义社会设计的，不是为发达的后工业社会设计的。我们可以‘回到’，但不能‘重复’20世纪初的列宁。在某些情况下，我们可能会根据新的理论或证据‘更新’或修改他的做法，但在某些情况下，我们必须放弃他的推理，拒绝他的结论。此外，阶级冲突和剥削必须在其他形式的人类统治和压迫的过程中‘更新’。废除阶级是必要的，但不足以实现人类解放。”</w:t>
      </w:r>
    </w:p>
    <w:p w14:paraId="79BF42A6">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kern w:val="0"/>
          <w:szCs w:val="24"/>
          <w:lang w:bidi="ar"/>
        </w:rPr>
      </w:pPr>
      <w:r>
        <w:rPr>
          <w:rFonts w:hint="eastAsia" w:ascii="宋体" w:hAnsi="宋体" w:eastAsia="宋体" w:cs="宋体"/>
          <w:kern w:val="0"/>
          <w:szCs w:val="24"/>
          <w:lang w:bidi="ar"/>
        </w:rPr>
        <w:t>在上述第一个结论中，有以下三个基本论点值得商榷。</w:t>
      </w:r>
    </w:p>
    <w:p w14:paraId="297EFDC2">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jc w:val="left"/>
        <w:textAlignment w:val="baseline"/>
        <w:rPr>
          <w:rFonts w:ascii="宋体" w:hAnsi="宋体" w:eastAsia="宋体" w:cs="宋体"/>
          <w:kern w:val="0"/>
          <w:szCs w:val="24"/>
          <w:lang w:bidi="ar"/>
        </w:rPr>
      </w:pPr>
      <w:r>
        <w:rPr>
          <w:rFonts w:hint="eastAsia" w:ascii="宋体" w:hAnsi="宋体" w:eastAsia="宋体" w:cs="宋体"/>
          <w:kern w:val="0"/>
          <w:szCs w:val="24"/>
          <w:lang w:bidi="ar"/>
        </w:rPr>
        <w:t>1</w:t>
      </w:r>
      <w:r>
        <w:rPr>
          <w:rFonts w:hint="eastAsia" w:ascii="宋体" w:hAnsi="宋体" w:eastAsia="宋体" w:cs="宋体"/>
          <w:kern w:val="0"/>
          <w:szCs w:val="24"/>
          <w:lang w:eastAsia="zh-CN" w:bidi="ar"/>
        </w:rPr>
        <w:t>.</w:t>
      </w:r>
      <w:r>
        <w:rPr>
          <w:rFonts w:hint="eastAsia" w:ascii="宋体" w:hAnsi="宋体" w:eastAsia="宋体" w:cs="宋体"/>
          <w:kern w:val="0"/>
          <w:szCs w:val="24"/>
          <w:lang w:bidi="ar"/>
        </w:rPr>
        <w:t>“</w:t>
      </w:r>
      <w:r>
        <w:rPr>
          <w:rFonts w:hint="eastAsia" w:ascii="宋体" w:hAnsi="宋体" w:eastAsia="宋体" w:cs="宋体"/>
          <w:szCs w:val="24"/>
        </w:rPr>
        <w:t>列宁对西方先进资本主义国家的工人阶级和社会主义运动的认识是有限的也是扭曲的</w:t>
      </w:r>
      <w:r>
        <w:rPr>
          <w:rFonts w:hint="eastAsia" w:ascii="宋体" w:hAnsi="宋体" w:eastAsia="宋体" w:cs="宋体"/>
          <w:kern w:val="0"/>
          <w:szCs w:val="24"/>
          <w:lang w:bidi="ar"/>
        </w:rPr>
        <w:t>”吗？该文认为列宁这一观点是扭曲的理由在于：“‘</w:t>
      </w:r>
      <w:r>
        <w:rPr>
          <w:rFonts w:hint="eastAsia" w:ascii="宋体" w:hAnsi="宋体" w:eastAsia="宋体" w:cs="宋体"/>
          <w:szCs w:val="24"/>
        </w:rPr>
        <w:t>无产阶级</w:t>
      </w:r>
      <w:r>
        <w:rPr>
          <w:rFonts w:hint="eastAsia" w:ascii="宋体" w:hAnsi="宋体" w:eastAsia="宋体" w:cs="宋体"/>
          <w:kern w:val="0"/>
          <w:szCs w:val="24"/>
          <w:lang w:bidi="ar"/>
        </w:rPr>
        <w:t>’</w:t>
      </w:r>
      <w:r>
        <w:rPr>
          <w:rFonts w:hint="eastAsia" w:ascii="宋体" w:hAnsi="宋体" w:eastAsia="宋体" w:cs="宋体"/>
          <w:szCs w:val="24"/>
        </w:rPr>
        <w:t>这一概念不再代表西方工人阶级，西方工人阶级在职业构成上出现了高度的差别化和异质性。采掘、金属加工和生产性工业——列宁所界定的无产阶级所属的主要产业——以牺牲第三产业为代价而衰落了。</w:t>
      </w:r>
      <w:r>
        <w:rPr>
          <w:rFonts w:hint="eastAsia" w:ascii="宋体" w:hAnsi="宋体" w:eastAsia="宋体" w:cs="宋体"/>
          <w:szCs w:val="24"/>
          <w:lang w:eastAsia="zh-CN"/>
        </w:rPr>
        <w:t>……</w:t>
      </w:r>
      <w:r>
        <w:rPr>
          <w:rFonts w:hint="eastAsia" w:ascii="宋体" w:hAnsi="宋体" w:eastAsia="宋体" w:cs="宋体"/>
          <w:szCs w:val="24"/>
        </w:rPr>
        <w:t>在西方国家，劳动力主要由非无产阶级的工人阶级组成，列宁所定义的无产阶级只是劳动力的一小部分。</w:t>
      </w:r>
      <w:r>
        <w:rPr>
          <w:rFonts w:hint="eastAsia" w:ascii="宋体" w:hAnsi="宋体" w:eastAsia="宋体" w:cs="宋体"/>
          <w:kern w:val="0"/>
          <w:szCs w:val="24"/>
          <w:lang w:bidi="ar"/>
        </w:rPr>
        <w:t>”显然，这个批评的理由是站不住的。</w:t>
      </w:r>
    </w:p>
    <w:p w14:paraId="668979DB">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jc w:val="left"/>
        <w:textAlignment w:val="baseline"/>
        <w:rPr>
          <w:rFonts w:ascii="宋体" w:hAnsi="宋体" w:eastAsia="宋体" w:cs="宋体"/>
          <w:kern w:val="0"/>
          <w:szCs w:val="24"/>
          <w:lang w:bidi="ar"/>
        </w:rPr>
      </w:pPr>
      <w:r>
        <w:rPr>
          <w:rFonts w:hint="eastAsia" w:ascii="宋体" w:hAnsi="宋体" w:eastAsia="宋体" w:cs="宋体"/>
          <w:kern w:val="0"/>
          <w:szCs w:val="24"/>
          <w:lang w:bidi="ar"/>
        </w:rPr>
        <w:t>众所周知，在马克思和列宁的理论中，资本主义生产方式中的“无产阶级”“工人阶级”“劳动阶级”是一个含义，而不管劳动者是在哪个产业和公司工作。恩格斯明确指出：“</w:t>
      </w:r>
      <w:r>
        <w:rPr>
          <w:rFonts w:hint="eastAsia" w:ascii="宋体" w:hAnsi="宋体" w:eastAsia="宋体" w:cs="宋体"/>
          <w:szCs w:val="24"/>
        </w:rPr>
        <w:t>无产阶级是专靠出卖自己的劳动而不是靠某一种资本的利润来获得生活资料的社会阶级。</w:t>
      </w:r>
      <w:r>
        <w:rPr>
          <w:rFonts w:hint="eastAsia" w:ascii="宋体" w:hAnsi="宋体" w:eastAsia="宋体" w:cs="宋体"/>
          <w:szCs w:val="24"/>
          <w:lang w:eastAsia="zh-CN"/>
        </w:rPr>
        <w:t>……</w:t>
      </w:r>
      <w:r>
        <w:rPr>
          <w:rFonts w:hint="eastAsia" w:ascii="宋体" w:hAnsi="宋体" w:eastAsia="宋体" w:cs="宋体"/>
          <w:szCs w:val="24"/>
        </w:rPr>
        <w:t>一句话，无产阶级或无产者阶级就是19世纪的劳动阶级。”</w:t>
      </w:r>
      <w:r>
        <w:rPr>
          <w:rStyle w:val="20"/>
          <w:rFonts w:ascii="宋体" w:hAnsi="宋体" w:eastAsia="宋体" w:cs="宋体"/>
          <w:szCs w:val="24"/>
        </w:rPr>
        <w:footnoteReference w:id="19"/>
      </w:r>
      <w:r>
        <w:rPr>
          <w:rFonts w:hint="eastAsia" w:ascii="宋体" w:hAnsi="宋体" w:eastAsia="宋体" w:cs="宋体"/>
          <w:szCs w:val="24"/>
        </w:rPr>
        <w:t>列宁也明确指出：“</w:t>
      </w:r>
      <w:r>
        <w:rPr>
          <w:rFonts w:hint="eastAsia" w:ascii="宋体" w:hAnsi="宋体" w:eastAsia="宋体" w:cs="宋体"/>
          <w:kern w:val="0"/>
          <w:szCs w:val="24"/>
          <w:lang w:bidi="ar"/>
        </w:rPr>
        <w:t>所谓阶级，就是这样一些大的集团，这些集团在历史上一定社会生产体系中所处的地位不同，同生产资料的关系（这种关系大部分是在法律上明文规定了的）不同，在社会劳动组织中所起的作用不同，因而取得归自己支配的那份社会财富的方式和多寡也不同。所谓阶级，就是这样一些集团，由</w:t>
      </w:r>
      <w:r>
        <w:rPr>
          <w:rFonts w:hint="eastAsia" w:ascii="宋体" w:hAnsi="宋体" w:eastAsia="宋体" w:cs="宋体"/>
          <w:kern w:val="0"/>
          <w:szCs w:val="24"/>
          <w:lang w:val="en-US" w:eastAsia="zh-CN" w:bidi="ar"/>
        </w:rPr>
        <w:t>于它们在</w:t>
      </w:r>
      <w:r>
        <w:rPr>
          <w:rFonts w:hint="eastAsia" w:ascii="宋体" w:hAnsi="宋体" w:eastAsia="宋体" w:cs="宋体"/>
          <w:kern w:val="0"/>
          <w:szCs w:val="24"/>
          <w:lang w:bidi="ar"/>
        </w:rPr>
        <w:t>一定社会经济结构中所处的地位不同，其中一个集团能够占有另一个集团的劳动。</w:t>
      </w:r>
      <w:r>
        <w:rPr>
          <w:rFonts w:hint="eastAsia" w:ascii="宋体" w:hAnsi="宋体" w:eastAsia="宋体" w:cs="宋体"/>
          <w:szCs w:val="24"/>
        </w:rPr>
        <w:t>”</w:t>
      </w:r>
      <w:r>
        <w:rPr>
          <w:rStyle w:val="20"/>
          <w:rFonts w:hint="eastAsia" w:ascii="宋体" w:hAnsi="宋体" w:eastAsia="宋体" w:cs="宋体"/>
          <w:szCs w:val="24"/>
        </w:rPr>
        <w:footnoteReference w:id="20"/>
      </w:r>
      <w:r>
        <w:rPr>
          <w:rFonts w:hint="eastAsia" w:ascii="宋体" w:hAnsi="宋体" w:eastAsia="宋体" w:cs="宋体"/>
          <w:szCs w:val="24"/>
        </w:rPr>
        <w:t>可见，在马克思列宁主义的范畴中，只要没有生产资料和生活资料而必须受雇于资本主义企业或资本主义国家事业单位，并只依靠工资生活的劳动者，均属于资本主义范畴内的无产阶级或工人阶级或劳动阶级。</w:t>
      </w:r>
      <w:r>
        <w:rPr>
          <w:rFonts w:hint="eastAsia" w:ascii="宋体" w:hAnsi="宋体" w:eastAsia="宋体" w:cs="宋体"/>
          <w:color w:val="000000"/>
          <w:szCs w:val="24"/>
        </w:rPr>
        <w:t>从社会经济权力结构来进一步理解，无产阶级是受资产阶级由于占有生产资料（包括硬件与软件）而拥有的权力所支配的各个阶层的总体。</w:t>
      </w:r>
      <w:r>
        <w:rPr>
          <w:rStyle w:val="20"/>
          <w:rFonts w:hint="eastAsia" w:ascii="宋体" w:hAnsi="宋体" w:eastAsia="宋体" w:cs="宋体"/>
          <w:color w:val="000000"/>
          <w:szCs w:val="24"/>
        </w:rPr>
        <w:footnoteReference w:id="21"/>
      </w:r>
      <w:r>
        <w:rPr>
          <w:rFonts w:hint="eastAsia" w:ascii="宋体" w:hAnsi="宋体" w:eastAsia="宋体" w:cs="宋体"/>
          <w:szCs w:val="22"/>
        </w:rPr>
        <w:t>所谓无产阶级，不是说该阶级及其成员是否拥有个人产权的住房、轿车和耐用消费品等生活资料，以及不足以维持家庭生活或盈亏多变的极少量证券，而是说他们如果不从事资本主义“雇佣劳动”</w:t>
      </w:r>
      <w:r>
        <w:rPr>
          <w:rFonts w:hint="eastAsia" w:ascii="宋体" w:hAnsi="宋体" w:eastAsia="宋体" w:cs="宋体"/>
          <w:szCs w:val="22"/>
          <w:lang w:val="en-US" w:eastAsia="zh-CN"/>
        </w:rPr>
        <w:t>就不</w:t>
      </w:r>
      <w:r>
        <w:rPr>
          <w:rFonts w:hint="eastAsia" w:ascii="宋体" w:hAnsi="宋体" w:eastAsia="宋体" w:cs="宋体"/>
          <w:szCs w:val="22"/>
        </w:rPr>
        <w:t>能自主或自由劳动和正常生活。当代资本</w:t>
      </w:r>
      <w:r>
        <w:rPr>
          <w:rFonts w:hint="eastAsia" w:ascii="宋体" w:hAnsi="宋体" w:eastAsia="宋体" w:cs="宋体"/>
          <w:szCs w:val="24"/>
        </w:rPr>
        <w:t>主义发达国家的第三产业占比较大，这只能说明第三产业的无产阶级或工人阶级的占比超过了第一产业和第二产业。当然，无产阶级或工人阶级还可以按照雇佣劳动的职业、岗位和收入等状况，划分为不同工作性质或生活水平的众多阶层和群体，但这些划分无法否定整个阶级的属性和总体特征。</w:t>
      </w:r>
    </w:p>
    <w:p w14:paraId="18A312D7">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jc w:val="left"/>
        <w:textAlignment w:val="baseline"/>
        <w:rPr>
          <w:rFonts w:ascii="宋体" w:hAnsi="宋体" w:eastAsia="宋体" w:cs="宋体"/>
          <w:kern w:val="0"/>
          <w:szCs w:val="24"/>
          <w:lang w:bidi="ar"/>
        </w:rPr>
      </w:pPr>
      <w:r>
        <w:rPr>
          <w:rFonts w:hint="eastAsia" w:ascii="宋体" w:hAnsi="宋体" w:eastAsia="宋体" w:cs="宋体"/>
          <w:kern w:val="0"/>
          <w:szCs w:val="24"/>
          <w:lang w:bidi="ar"/>
        </w:rPr>
        <w:t>2</w:t>
      </w:r>
      <w:r>
        <w:rPr>
          <w:rFonts w:hint="eastAsia" w:ascii="宋体" w:hAnsi="宋体" w:eastAsia="宋体" w:cs="宋体"/>
          <w:kern w:val="0"/>
          <w:szCs w:val="24"/>
          <w:lang w:eastAsia="zh-CN" w:bidi="ar"/>
        </w:rPr>
        <w:t>.</w:t>
      </w:r>
      <w:r>
        <w:rPr>
          <w:rFonts w:hint="eastAsia" w:ascii="宋体" w:hAnsi="宋体" w:eastAsia="宋体" w:cs="宋体"/>
          <w:kern w:val="0"/>
          <w:szCs w:val="24"/>
          <w:lang w:bidi="ar"/>
        </w:rPr>
        <w:t>列宁</w:t>
      </w:r>
      <w:r>
        <w:rPr>
          <w:rFonts w:hint="eastAsia" w:ascii="宋体" w:hAnsi="宋体" w:eastAsia="宋体" w:cs="宋体"/>
          <w:kern w:val="0"/>
          <w:szCs w:val="24"/>
          <w:lang w:val="en-US" w:eastAsia="zh-CN" w:bidi="ar"/>
        </w:rPr>
        <w:t>的</w:t>
      </w:r>
      <w:r>
        <w:rPr>
          <w:rFonts w:hint="eastAsia" w:ascii="宋体" w:hAnsi="宋体" w:eastAsia="宋体" w:cs="宋体"/>
          <w:kern w:val="0"/>
          <w:szCs w:val="24"/>
          <w:lang w:bidi="ar"/>
        </w:rPr>
        <w:t>“</w:t>
      </w:r>
      <w:r>
        <w:rPr>
          <w:rFonts w:hint="eastAsia" w:ascii="宋体" w:hAnsi="宋体" w:eastAsia="宋体" w:cs="宋体"/>
          <w:szCs w:val="24"/>
        </w:rPr>
        <w:t>具体建议仅适用于与资本主义全球化的21世纪截然不同的时代</w:t>
      </w:r>
      <w:r>
        <w:rPr>
          <w:rFonts w:hint="eastAsia" w:ascii="宋体" w:hAnsi="宋体" w:eastAsia="宋体" w:cs="宋体"/>
          <w:kern w:val="0"/>
          <w:szCs w:val="24"/>
          <w:lang w:bidi="ar"/>
        </w:rPr>
        <w:t>”吗？该文认为</w:t>
      </w:r>
      <w:r>
        <w:rPr>
          <w:rFonts w:hint="eastAsia" w:ascii="宋体" w:hAnsi="宋体" w:eastAsia="宋体" w:cs="宋体"/>
          <w:kern w:val="0"/>
          <w:szCs w:val="24"/>
          <w:lang w:eastAsia="zh-CN" w:bidi="ar"/>
        </w:rPr>
        <w:t>，</w:t>
      </w:r>
      <w:r>
        <w:rPr>
          <w:rFonts w:hint="eastAsia" w:ascii="宋体" w:hAnsi="宋体" w:eastAsia="宋体" w:cs="宋体"/>
          <w:kern w:val="0"/>
          <w:szCs w:val="24"/>
          <w:lang w:bidi="ar"/>
        </w:rPr>
        <w:t>列宁</w:t>
      </w:r>
      <w:r>
        <w:rPr>
          <w:rFonts w:hint="eastAsia" w:ascii="宋体" w:hAnsi="宋体" w:eastAsia="宋体" w:cs="宋体"/>
          <w:kern w:val="0"/>
          <w:szCs w:val="24"/>
          <w:lang w:val="en-US" w:eastAsia="zh-CN" w:bidi="ar"/>
        </w:rPr>
        <w:t>的</w:t>
      </w:r>
      <w:r>
        <w:rPr>
          <w:rFonts w:hint="eastAsia" w:ascii="宋体" w:hAnsi="宋体" w:eastAsia="宋体" w:cs="宋体"/>
          <w:kern w:val="0"/>
          <w:szCs w:val="24"/>
          <w:lang w:bidi="ar"/>
        </w:rPr>
        <w:t>建议和理论不适合21世纪的一个具体理由在于：“</w:t>
      </w:r>
      <w:r>
        <w:rPr>
          <w:rFonts w:hint="eastAsia" w:ascii="宋体" w:hAnsi="宋体" w:eastAsia="宋体" w:cs="宋体"/>
          <w:szCs w:val="24"/>
        </w:rPr>
        <w:t>在公众的思想中，以个性、少数群体和边缘化（性别，种族，地区）群体为基础的身份政治已经取代了阶级政治。</w:t>
      </w:r>
      <w:r>
        <w:rPr>
          <w:rFonts w:hint="eastAsia" w:ascii="宋体" w:hAnsi="宋体" w:eastAsia="宋体" w:cs="宋体"/>
          <w:szCs w:val="24"/>
          <w:lang w:eastAsia="zh-CN"/>
        </w:rPr>
        <w:t>……</w:t>
      </w:r>
      <w:r>
        <w:rPr>
          <w:rFonts w:hint="eastAsia" w:ascii="宋体" w:hAnsi="宋体" w:eastAsia="宋体" w:cs="宋体"/>
          <w:szCs w:val="24"/>
        </w:rPr>
        <w:t>这是</w:t>
      </w:r>
      <w:r>
        <w:rPr>
          <w:rFonts w:hint="eastAsia" w:ascii="宋体" w:hAnsi="宋体" w:eastAsia="宋体" w:cs="宋体"/>
          <w:kern w:val="0"/>
          <w:szCs w:val="24"/>
          <w:lang w:bidi="ar"/>
        </w:rPr>
        <w:t>‘</w:t>
      </w:r>
      <w:r>
        <w:rPr>
          <w:rFonts w:hint="eastAsia" w:ascii="宋体" w:hAnsi="宋体" w:eastAsia="宋体" w:cs="宋体"/>
          <w:szCs w:val="24"/>
        </w:rPr>
        <w:t>左翼立场</w:t>
      </w:r>
      <w:r>
        <w:rPr>
          <w:rFonts w:hint="eastAsia" w:ascii="宋体" w:hAnsi="宋体" w:eastAsia="宋体" w:cs="宋体"/>
          <w:kern w:val="0"/>
          <w:szCs w:val="24"/>
          <w:lang w:bidi="ar"/>
        </w:rPr>
        <w:t>’</w:t>
      </w:r>
      <w:r>
        <w:rPr>
          <w:rFonts w:hint="eastAsia" w:ascii="宋体" w:hAnsi="宋体" w:eastAsia="宋体" w:cs="宋体"/>
          <w:szCs w:val="24"/>
        </w:rPr>
        <w:t>，不是社会主义的立场。</w:t>
      </w:r>
      <w:r>
        <w:rPr>
          <w:rFonts w:hint="eastAsia" w:ascii="宋体" w:hAnsi="宋体" w:eastAsia="宋体" w:cs="宋体"/>
          <w:szCs w:val="24"/>
          <w:lang w:eastAsia="zh-CN"/>
        </w:rPr>
        <w:t>……</w:t>
      </w:r>
      <w:r>
        <w:rPr>
          <w:rFonts w:hint="eastAsia" w:ascii="宋体" w:hAnsi="宋体" w:eastAsia="宋体" w:cs="宋体"/>
          <w:szCs w:val="24"/>
        </w:rPr>
        <w:t>诸如</w:t>
      </w:r>
      <w:bookmarkStart w:id="42" w:name="OLE_LINK272"/>
      <w:bookmarkStart w:id="43" w:name="OLE_LINK273"/>
      <w:bookmarkStart w:id="44" w:name="OLE_LINK271"/>
      <w:bookmarkStart w:id="45" w:name="OLE_LINK270"/>
      <w:bookmarkStart w:id="46" w:name="OLE_LINK274"/>
      <w:r>
        <w:rPr>
          <w:rFonts w:hint="eastAsia" w:ascii="宋体" w:hAnsi="宋体" w:eastAsia="宋体" w:cs="宋体"/>
          <w:kern w:val="0"/>
          <w:szCs w:val="24"/>
          <w:lang w:bidi="ar"/>
        </w:rPr>
        <w:t>‘</w:t>
      </w:r>
      <w:r>
        <w:rPr>
          <w:rFonts w:hint="eastAsia" w:ascii="宋体" w:hAnsi="宋体" w:eastAsia="宋体" w:cs="宋体"/>
          <w:szCs w:val="24"/>
        </w:rPr>
        <w:t>占领华尔街</w:t>
      </w:r>
      <w:r>
        <w:rPr>
          <w:rFonts w:hint="eastAsia" w:ascii="宋体" w:hAnsi="宋体" w:eastAsia="宋体" w:cs="宋体"/>
          <w:kern w:val="0"/>
          <w:szCs w:val="24"/>
          <w:lang w:bidi="ar"/>
        </w:rPr>
        <w:t>’</w:t>
      </w:r>
      <w:r>
        <w:rPr>
          <w:rFonts w:hint="eastAsia" w:ascii="宋体" w:hAnsi="宋体" w:eastAsia="宋体" w:cs="宋体"/>
          <w:szCs w:val="24"/>
        </w:rPr>
        <w:t>、</w:t>
      </w:r>
      <w:r>
        <w:rPr>
          <w:rFonts w:hint="eastAsia" w:ascii="宋体" w:hAnsi="宋体" w:eastAsia="宋体" w:cs="宋体"/>
          <w:kern w:val="0"/>
          <w:szCs w:val="24"/>
          <w:lang w:bidi="ar"/>
        </w:rPr>
        <w:t>‘</w:t>
      </w:r>
      <w:r>
        <w:rPr>
          <w:rFonts w:hint="eastAsia" w:ascii="宋体" w:hAnsi="宋体" w:eastAsia="宋体" w:cs="宋体"/>
          <w:szCs w:val="24"/>
        </w:rPr>
        <w:t>白人至上</w:t>
      </w:r>
      <w:r>
        <w:rPr>
          <w:rFonts w:hint="eastAsia" w:ascii="宋体" w:hAnsi="宋体" w:eastAsia="宋体" w:cs="宋体"/>
          <w:kern w:val="0"/>
          <w:szCs w:val="24"/>
          <w:lang w:bidi="ar"/>
        </w:rPr>
        <w:t>’</w:t>
      </w:r>
      <w:r>
        <w:rPr>
          <w:rFonts w:hint="eastAsia" w:ascii="宋体" w:hAnsi="宋体" w:eastAsia="宋体" w:cs="宋体"/>
          <w:szCs w:val="24"/>
        </w:rPr>
        <w:t>、</w:t>
      </w:r>
      <w:r>
        <w:rPr>
          <w:rFonts w:hint="eastAsia" w:ascii="宋体" w:hAnsi="宋体" w:eastAsia="宋体" w:cs="宋体"/>
          <w:kern w:val="0"/>
          <w:szCs w:val="24"/>
          <w:lang w:bidi="ar"/>
        </w:rPr>
        <w:t>‘</w:t>
      </w:r>
      <w:r>
        <w:rPr>
          <w:rFonts w:hint="eastAsia" w:ascii="宋体" w:hAnsi="宋体" w:eastAsia="宋体" w:cs="宋体"/>
          <w:szCs w:val="24"/>
        </w:rPr>
        <w:t>珍视黑人生命</w:t>
      </w:r>
      <w:r>
        <w:rPr>
          <w:rFonts w:hint="eastAsia" w:ascii="宋体" w:hAnsi="宋体" w:eastAsia="宋体" w:cs="宋体"/>
          <w:kern w:val="0"/>
          <w:szCs w:val="24"/>
          <w:lang w:bidi="ar"/>
        </w:rPr>
        <w:t>’</w:t>
      </w:r>
      <w:r>
        <w:rPr>
          <w:rFonts w:hint="eastAsia" w:ascii="宋体" w:hAnsi="宋体" w:eastAsia="宋体" w:cs="宋体"/>
          <w:szCs w:val="24"/>
        </w:rPr>
        <w:t>、</w:t>
      </w:r>
      <w:bookmarkStart w:id="47" w:name="OLE_LINK280"/>
      <w:bookmarkStart w:id="48" w:name="OLE_LINK279"/>
      <w:bookmarkStart w:id="49" w:name="OLE_LINK278"/>
      <w:r>
        <w:rPr>
          <w:rFonts w:hint="eastAsia" w:ascii="宋体" w:hAnsi="宋体" w:eastAsia="宋体" w:cs="宋体"/>
          <w:kern w:val="0"/>
          <w:szCs w:val="24"/>
          <w:lang w:bidi="ar"/>
        </w:rPr>
        <w:t>‘</w:t>
      </w:r>
      <w:r>
        <w:rPr>
          <w:rFonts w:hint="eastAsia" w:ascii="宋体" w:hAnsi="宋体" w:eastAsia="宋体" w:cs="宋体"/>
          <w:szCs w:val="24"/>
        </w:rPr>
        <w:t>灭绝叛乱</w:t>
      </w:r>
      <w:r>
        <w:rPr>
          <w:rFonts w:hint="eastAsia" w:ascii="宋体" w:hAnsi="宋体" w:eastAsia="宋体" w:cs="宋体"/>
          <w:kern w:val="0"/>
          <w:szCs w:val="24"/>
          <w:lang w:bidi="ar"/>
        </w:rPr>
        <w:t>’</w:t>
      </w:r>
      <w:r>
        <w:rPr>
          <w:rFonts w:hint="eastAsia" w:ascii="宋体" w:hAnsi="宋体" w:eastAsia="宋体" w:cs="宋体"/>
          <w:szCs w:val="24"/>
        </w:rPr>
        <w:t>等运动</w:t>
      </w:r>
      <w:bookmarkEnd w:id="42"/>
      <w:bookmarkEnd w:id="43"/>
      <w:bookmarkEnd w:id="44"/>
      <w:bookmarkEnd w:id="45"/>
      <w:bookmarkEnd w:id="46"/>
      <w:bookmarkEnd w:id="47"/>
      <w:bookmarkEnd w:id="48"/>
      <w:bookmarkEnd w:id="49"/>
      <w:r>
        <w:rPr>
          <w:rFonts w:hint="eastAsia" w:ascii="宋体" w:hAnsi="宋体" w:eastAsia="宋体" w:cs="宋体"/>
          <w:szCs w:val="24"/>
        </w:rPr>
        <w:t>缺乏与历史唯物主义相媲美的社会观点。政治认同和文化政治已经取代了阶级政治。</w:t>
      </w:r>
      <w:bookmarkStart w:id="50" w:name="_Hlk42855044"/>
      <w:r>
        <w:rPr>
          <w:rFonts w:hint="eastAsia" w:ascii="宋体" w:hAnsi="宋体" w:eastAsia="宋体" w:cs="宋体"/>
          <w:szCs w:val="24"/>
          <w:lang w:eastAsia="zh-CN"/>
        </w:rPr>
        <w:t>……</w:t>
      </w:r>
      <w:r>
        <w:rPr>
          <w:rFonts w:hint="eastAsia" w:ascii="宋体" w:hAnsi="宋体" w:eastAsia="宋体" w:cs="宋体"/>
          <w:szCs w:val="24"/>
        </w:rPr>
        <w:t>当代社会运动对公民权利和正义的要求，是一种</w:t>
      </w:r>
      <w:r>
        <w:rPr>
          <w:rFonts w:hint="eastAsia" w:ascii="宋体" w:hAnsi="宋体" w:eastAsia="宋体" w:cs="宋体"/>
          <w:kern w:val="0"/>
          <w:szCs w:val="24"/>
          <w:lang w:bidi="ar"/>
        </w:rPr>
        <w:t>‘</w:t>
      </w:r>
      <w:r>
        <w:rPr>
          <w:rFonts w:hint="eastAsia" w:ascii="宋体" w:hAnsi="宋体" w:eastAsia="宋体" w:cs="宋体"/>
          <w:szCs w:val="24"/>
        </w:rPr>
        <w:t>左派</w:t>
      </w:r>
      <w:r>
        <w:rPr>
          <w:rFonts w:hint="eastAsia" w:ascii="宋体" w:hAnsi="宋体" w:eastAsia="宋体" w:cs="宋体"/>
          <w:kern w:val="0"/>
          <w:szCs w:val="24"/>
          <w:lang w:bidi="ar"/>
        </w:rPr>
        <w:t>’</w:t>
      </w:r>
      <w:r>
        <w:rPr>
          <w:rFonts w:hint="eastAsia" w:ascii="宋体" w:hAnsi="宋体" w:eastAsia="宋体" w:cs="宋体"/>
          <w:szCs w:val="24"/>
        </w:rPr>
        <w:t>性质的，不是社会主义性质的，不是要求建立社会主义，而是要求建立一种可接受的自由民主的资本主义模式。</w:t>
      </w:r>
      <w:r>
        <w:rPr>
          <w:rFonts w:hint="eastAsia" w:ascii="宋体" w:hAnsi="宋体" w:eastAsia="宋体" w:cs="宋体"/>
          <w:szCs w:val="24"/>
          <w:lang w:eastAsia="zh-CN"/>
        </w:rPr>
        <w:t>……</w:t>
      </w:r>
      <w:r>
        <w:rPr>
          <w:rFonts w:hint="eastAsia" w:ascii="宋体" w:hAnsi="宋体" w:eastAsia="宋体" w:cs="宋体"/>
          <w:szCs w:val="24"/>
        </w:rPr>
        <w:t>与列宁时代相比，现在不仅是国家的意识形态，而且整个公民社会的意识形态都面临更大的挑战。列宁对替代社会的设想需要修改。</w:t>
      </w:r>
      <w:bookmarkEnd w:id="50"/>
      <w:r>
        <w:rPr>
          <w:rFonts w:hint="eastAsia" w:ascii="宋体" w:hAnsi="宋体" w:eastAsia="宋体" w:cs="宋体"/>
          <w:kern w:val="0"/>
          <w:szCs w:val="24"/>
          <w:lang w:bidi="ar"/>
        </w:rPr>
        <w:t>”显然，这个批评的具体理由也是站不住的。</w:t>
      </w:r>
    </w:p>
    <w:p w14:paraId="039E710F">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kern w:val="0"/>
          <w:szCs w:val="24"/>
          <w:lang w:bidi="ar"/>
        </w:rPr>
      </w:pPr>
      <w:r>
        <w:rPr>
          <w:rFonts w:hint="eastAsia" w:ascii="宋体" w:hAnsi="宋体" w:eastAsia="宋体" w:cs="宋体"/>
          <w:kern w:val="0"/>
          <w:szCs w:val="24"/>
          <w:lang w:bidi="ar"/>
        </w:rPr>
        <w:t>众所周知，“泛左翼”包括代表工人阶级先锋队的马列主义左翼（如赞成马列主义核心理论的学者、共产党人、工会会员等）、小资产阶级或资产阶级左翼、仅反对资本主义某些问题和现象的其他左翼等。确实，当代垄断资产阶级不仅控制了国民经济命脉和政权，而且控制了主流媒体、国民教育、基金会和社会团体等所谓“第三种力量”或“公民社会”，马列主义的科学社会主义思想</w:t>
      </w:r>
      <w:r>
        <w:rPr>
          <w:rFonts w:hint="eastAsia" w:ascii="宋体" w:hAnsi="宋体" w:eastAsia="宋体" w:cs="宋体"/>
          <w:kern w:val="0"/>
          <w:szCs w:val="24"/>
          <w:lang w:val="en-US" w:eastAsia="zh-CN" w:bidi="ar"/>
        </w:rPr>
        <w:t>无法得到普遍而正确的传播推广，</w:t>
      </w:r>
      <w:r>
        <w:rPr>
          <w:rFonts w:hint="eastAsia" w:ascii="宋体" w:hAnsi="宋体" w:eastAsia="宋体" w:cs="宋体"/>
          <w:kern w:val="0"/>
          <w:szCs w:val="24"/>
          <w:lang w:bidi="ar"/>
        </w:rPr>
        <w:t>难以被广大公民</w:t>
      </w:r>
      <w:r>
        <w:rPr>
          <w:rFonts w:hint="eastAsia" w:ascii="宋体" w:hAnsi="宋体" w:eastAsia="宋体" w:cs="宋体"/>
          <w:kern w:val="0"/>
          <w:szCs w:val="24"/>
          <w:lang w:val="en-US" w:eastAsia="zh-CN" w:bidi="ar"/>
        </w:rPr>
        <w:t>认识并</w:t>
      </w:r>
      <w:r>
        <w:rPr>
          <w:rFonts w:hint="eastAsia" w:ascii="宋体" w:hAnsi="宋体" w:eastAsia="宋体" w:cs="宋体"/>
          <w:kern w:val="0"/>
          <w:szCs w:val="24"/>
          <w:lang w:bidi="ar"/>
        </w:rPr>
        <w:t>接受，从而社会各界一般的抗议活动或“泛左翼”运动是没有科学社会主义发展方向和性质的，总体上属于改良资本主义的“泛左翼”进步运动。但是，这不能否定代表工人阶级先锋队的马克思主义左翼的存在和发展，他们的</w:t>
      </w:r>
      <w:r>
        <w:rPr>
          <w:rFonts w:hint="eastAsia" w:ascii="宋体" w:hAnsi="宋体" w:eastAsia="宋体" w:cs="宋体"/>
          <w:szCs w:val="24"/>
        </w:rPr>
        <w:t>身份政治仍然是阶级政治，其“左翼”立场就是科学社会主义的立场</w:t>
      </w:r>
      <w:r>
        <w:rPr>
          <w:rFonts w:hint="eastAsia" w:ascii="宋体" w:hAnsi="宋体" w:eastAsia="宋体" w:cs="宋体"/>
          <w:kern w:val="0"/>
          <w:szCs w:val="24"/>
          <w:lang w:bidi="ar"/>
        </w:rPr>
        <w:t>。他们真正代表广大劳动阶级的最本质诉求，</w:t>
      </w:r>
      <w:r>
        <w:rPr>
          <w:rFonts w:hint="eastAsia" w:ascii="宋体" w:hAnsi="宋体" w:eastAsia="宋体" w:cs="宋体"/>
          <w:szCs w:val="24"/>
        </w:rPr>
        <w:t>要求建立马克思主义的社会主义社会，既反对建立美国式的“独裁资本主义”“专制资本主义”“威权资本主义”模式，也反对建立北欧式的“改良资本主义”“社会民主主义”“民主社会主义”模式。诚然，后一种模式有不同程度的进步性和文明性。须知，在任何一个革命高潮到来之前的社会，资产阶级国家的意识形态与整个公民社会的意识形态往往大同小异，因而不宜用21世纪所谓新情况去否定列宁对替代资本主义社会的基本设想，真正需要修改的是对当代无产阶级、科学社会主义和马列主义理论与实践的片面认识，以便守正创新马克思列宁主义理论和科学社会主义理论与实践。</w:t>
      </w:r>
    </w:p>
    <w:p w14:paraId="249D2A39">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kern w:val="0"/>
          <w:szCs w:val="24"/>
          <w:lang w:bidi="ar"/>
        </w:rPr>
        <w:t>3</w:t>
      </w:r>
      <w:r>
        <w:rPr>
          <w:rFonts w:hint="eastAsia" w:ascii="宋体" w:hAnsi="宋体" w:eastAsia="宋体" w:cs="宋体"/>
          <w:kern w:val="0"/>
          <w:szCs w:val="24"/>
          <w:lang w:eastAsia="zh-CN" w:bidi="ar"/>
        </w:rPr>
        <w:t>.</w:t>
      </w:r>
      <w:r>
        <w:rPr>
          <w:rFonts w:hint="eastAsia" w:ascii="宋体" w:hAnsi="宋体" w:eastAsia="宋体" w:cs="宋体"/>
          <w:szCs w:val="24"/>
        </w:rPr>
        <w:t>列宁关于资本主义的“解决方案”和“经济剥削”的“思想需要修改”吗？该文</w:t>
      </w:r>
      <w:r>
        <w:rPr>
          <w:rFonts w:hint="eastAsia" w:ascii="宋体" w:hAnsi="宋体" w:eastAsia="宋体" w:cs="宋体"/>
          <w:kern w:val="0"/>
          <w:szCs w:val="24"/>
          <w:lang w:bidi="ar"/>
        </w:rPr>
        <w:t>写道：“</w:t>
      </w:r>
      <w:r>
        <w:rPr>
          <w:rFonts w:hint="eastAsia" w:ascii="宋体" w:hAnsi="宋体" w:eastAsia="宋体" w:cs="宋体"/>
          <w:szCs w:val="24"/>
        </w:rPr>
        <w:t>列宁的思维方式和他的解决方案是为专制政府统治下的前资本主义社会设计的，不是为发达的后工业社会设计的。我们可以‘回到’，但不能‘重复’20世纪初的列宁。</w:t>
      </w:r>
      <w:r>
        <w:rPr>
          <w:rFonts w:hint="eastAsia" w:ascii="宋体" w:hAnsi="宋体" w:eastAsia="宋体" w:cs="宋体"/>
          <w:szCs w:val="24"/>
          <w:lang w:eastAsia="zh-CN"/>
        </w:rPr>
        <w:t>……</w:t>
      </w:r>
      <w:r>
        <w:rPr>
          <w:rFonts w:hint="eastAsia" w:ascii="宋体" w:hAnsi="宋体" w:eastAsia="宋体" w:cs="宋体"/>
          <w:szCs w:val="24"/>
        </w:rPr>
        <w:t>阶级冲突和剥削必须在其他形式的人类统治和压迫的过程中‘更新’。废除阶级是必要的，但不足以实现人类解放。”“然而，列宁和许多古典马克思主义者一样，过分依赖对经济剥削和阶级关系的分析。经济剥削显然是主要问题。</w:t>
      </w:r>
      <w:bookmarkStart w:id="51" w:name="OLE_LINK135"/>
      <w:bookmarkStart w:id="52" w:name="OLE_LINK136"/>
      <w:r>
        <w:rPr>
          <w:rFonts w:hint="eastAsia" w:ascii="宋体" w:hAnsi="宋体" w:eastAsia="宋体" w:cs="宋体"/>
          <w:szCs w:val="24"/>
        </w:rPr>
        <w:t>欧洲社会主义</w:t>
      </w:r>
      <w:bookmarkEnd w:id="51"/>
      <w:bookmarkEnd w:id="52"/>
      <w:r>
        <w:rPr>
          <w:rFonts w:hint="eastAsia" w:ascii="宋体" w:hAnsi="宋体" w:eastAsia="宋体" w:cs="宋体"/>
          <w:szCs w:val="24"/>
        </w:rPr>
        <w:t>国家的经验表明，必须考虑到其他形式的统治、压迫和歧视会加强经济剥削。列宁思想需要修改，不仅要分析经济剥削的方式，还需要考虑官僚主义、个人权力、父权制、种族和信仰等形成独特的权力关系的因素。在以苏联为榜样的社会主义国家中，这些问题不但没有消亡，而且变得更加重要。”</w:t>
      </w:r>
    </w:p>
    <w:p w14:paraId="38143260">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上述这两段话存在两个误论：其一，该文认为“专制政府只存在于前资本主义社会”，而资本主义社会、尤其是“发达的后工业社会”，已经不是资产阶级或垄断资产阶级专政或专制的国家了，从而暗含着早已是无资产阶级属性的一般民主社会了。</w:t>
      </w:r>
    </w:p>
    <w:p w14:paraId="70F16661">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其二，该文认为“在以苏联为榜样的社会主义国家中”，共产党执政“形式的统治、压迫和歧视会加强经济剥削”，“这些问题不但没有消亡，而且变得更加重要。”作者在这里表达的研究结论是：欧洲、亚洲和拉美共产党领导下的社会主义国家，已经在经济剥削、政治压迫和社会歧视等问题上，比资本主义国家更严重。但作者并没有提供社会主义国家经济剥削等实证数据和事实，估计今后也提供不出来。</w:t>
      </w:r>
    </w:p>
    <w:p w14:paraId="2FA2353B">
      <w:pPr>
        <w:pStyle w:val="4"/>
        <w:pageBreakBefore w:val="0"/>
        <w:widowControl/>
        <w:kinsoku w:val="0"/>
        <w:wordWrap/>
        <w:overflowPunct/>
        <w:topLinePunct w:val="0"/>
        <w:autoSpaceDE w:val="0"/>
        <w:autoSpaceDN w:val="0"/>
        <w:bidi w:val="0"/>
        <w:adjustRightInd w:val="0"/>
        <w:snapToGrid w:val="0"/>
        <w:spacing w:before="0" w:beforeLines="0" w:after="0" w:afterLines="0" w:line="400" w:lineRule="exact"/>
        <w:ind w:left="0" w:leftChars="0" w:firstLine="560" w:firstLineChars="200"/>
        <w:textAlignment w:val="baseline"/>
      </w:pPr>
      <w:r>
        <w:rPr>
          <w:rFonts w:hint="eastAsia"/>
        </w:rPr>
        <w:t>二、如何正确认识各阶级专政与民主的关系？</w:t>
      </w:r>
    </w:p>
    <w:p w14:paraId="6027B88A">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现在分析《论列宁》第二和第三个结论。</w:t>
      </w:r>
    </w:p>
    <w:p w14:paraId="50A52F9B">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1</w:t>
      </w:r>
      <w:r>
        <w:rPr>
          <w:rFonts w:hint="eastAsia" w:ascii="宋体" w:hAnsi="宋体" w:eastAsia="宋体" w:cs="宋体"/>
          <w:szCs w:val="24"/>
          <w:lang w:eastAsia="zh-CN"/>
        </w:rPr>
        <w:t>.</w:t>
      </w:r>
      <w:r>
        <w:rPr>
          <w:rFonts w:hint="eastAsia" w:ascii="宋体" w:hAnsi="宋体" w:eastAsia="宋体" w:cs="宋体"/>
          <w:szCs w:val="24"/>
        </w:rPr>
        <w:t>“必须用广泛的政治参与原则代替列宁的集中管理和有限参与理论”吗？该文第二个结论写道：“‘回到’列宁是什么意思？列宁的第一个重大政治发明是党的集中领导，这是根据沙皇俄国的国情制定的，是组织社会力量夺取政权和镇压反革命的政治工具。列宁强调党在政治组织、管理和教育中的领导作用是正确的。现在，制定思想政策指导政治行动仍然是一项主要任务。但是，《怎么办？》里的思想在当前情况下是不完备的：只依靠社会主义报纸进行宣传是不够的。必须对列宁进行修正。交流必须利用电子社交媒体新技术。政治组织、沟通和领导不能被自发的力量所取代。必须用广泛的政治参与原则代替列宁的集中管理和有限参与理论。”</w:t>
      </w:r>
    </w:p>
    <w:p w14:paraId="3EDA05D5">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上述第二个结论存在两个误论：其一，认为“《怎么办？》里的思想在当前情况下是不完备的：只依靠社会主义报纸进行宣传是不够的。必须对列宁进行修正。交流必须利用电子社交媒体新技术。”对列宁《怎么办？》一文的质疑是奇怪的，因为作者不是针对列宁的全部相关论述，而只是针对一篇文章所说的内容。须知，任何人在一篇文章中论述的内容都是有限的，况且当时并没有电子社交媒体新技术，怎么以此来要求“必须对列宁进行修正”呢？列宁的全部相关论述当然是主张充分运用一切媒体和宣传教育手段的，至于每个国家和时代的信息传播手段和方式当然也是不断进步的。</w:t>
      </w:r>
    </w:p>
    <w:p w14:paraId="2C45436C">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其二，在列宁理论和实践中，广泛的政治参与原则与共产党及其执政国家的集中管理是相辅相成而不是对立的，因而使用“有限或广泛”参与的词汇来界定都是不清晰的。</w:t>
      </w:r>
    </w:p>
    <w:p w14:paraId="36806E27">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2</w:t>
      </w:r>
      <w:r>
        <w:rPr>
          <w:rFonts w:hint="eastAsia" w:ascii="宋体" w:hAnsi="宋体" w:eastAsia="宋体" w:cs="宋体"/>
          <w:szCs w:val="24"/>
          <w:lang w:eastAsia="zh-CN"/>
        </w:rPr>
        <w:t>.</w:t>
      </w:r>
      <w:r>
        <w:rPr>
          <w:rFonts w:hint="eastAsia" w:ascii="宋体" w:hAnsi="宋体" w:eastAsia="宋体" w:cs="宋体"/>
          <w:szCs w:val="24"/>
        </w:rPr>
        <w:t>“社会主义政府首先必须更换国家主要部门（公务员、军队、情报部门、司法机构）的领导人员”有错误吗？该文第三个结论写道：“列宁认为‘常备军和警察’是行使‘国家权力的主要工具’。当考察巴黎公社和镇压十九世纪末期俄国的自发起义时，说资本主义国家通过‘武装人员’、警察、常备军和监狱实施独裁统治是适当的。但认为社会主义政府首先必须更换国家主要部门（公务员、军队、情报部门、司法机构）的领导人员，这一观点是可以更新的。而且，在目前的条件下，列宁思想必须进一步修正。实行社会控制和思想控制的社会化意识形态同样重要。政府、政党、军事、媒体和教育机构中的统治阶级的各个派别更加紧密地结合在一起，都有着相似的敌视社会主义的思想观念。对民主构成威胁的是‘深层国家’，而不是社会主义政府。列宁思想需要更新，以考虑建立一套范围更广的机构，把国家的意识形态机构——大众媒体（包括主要的电视和互联网公司）和教育系统（包括大学，经济，政治和社会政策机构）包括在内。这里的主要问题是，民主资产阶级议会机构的范围有限，只有在特殊情况下才允许国家对民间社会机构进行法律控制。但是，法律可以被民主修改。自治团体也可以为社会主义事业做出贡献。</w:t>
      </w:r>
      <w:bookmarkStart w:id="53" w:name="OLE_LINK1027"/>
      <w:bookmarkStart w:id="54" w:name="OLE_LINK1026"/>
      <w:r>
        <w:rPr>
          <w:rFonts w:hint="eastAsia" w:ascii="宋体" w:hAnsi="宋体" w:eastAsia="宋体" w:cs="宋体"/>
          <w:szCs w:val="24"/>
        </w:rPr>
        <w:t>”</w:t>
      </w:r>
      <w:bookmarkEnd w:id="53"/>
      <w:bookmarkEnd w:id="54"/>
    </w:p>
    <w:p w14:paraId="05C21876">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hint="eastAsia" w:ascii="宋体" w:hAnsi="宋体" w:eastAsia="宋体" w:cs="宋体"/>
          <w:szCs w:val="24"/>
        </w:rPr>
      </w:pPr>
      <w:r>
        <w:rPr>
          <w:rFonts w:hint="eastAsia" w:ascii="宋体" w:hAnsi="宋体" w:eastAsia="宋体" w:cs="宋体"/>
          <w:szCs w:val="24"/>
        </w:rPr>
        <w:t>上述第三个结论存在两个误论：其一，认为“当考察巴黎公社和镇压十九世纪末期俄国的自发起义时，说资本主义国家通过‘武装人员’、警察、常备军和监狱实施独裁统治是适当的。”按照这句话的意思，除了巴黎公社和俄国自发起义之外，各资本主义国家不是实施资产阶级专政或独裁统治的，或者说不是通过‘武装人员’、警察、常备军和监狱实施独裁统治的。事实上，资本主义国家的国体即国家的阶级属性都是资产阶级民主专政，即对资产阶级实施真正的实质性民主，对无产阶级和广大人民实施虚伪的形式民主和实质性专政。这既不妨碍资本主义国家的政体多样化，如君主立宪制（目前世界上还有20多个资产阶级国家实施非民主选举的世袭元首制度）、议会领导下的内阁政府制、三权分立制等，也不妨碍资本主义国家采取社会民主主义、特朗普主义或原教旨主义、法西斯主义等多样化</w:t>
      </w:r>
      <w:r>
        <w:rPr>
          <w:rFonts w:hint="eastAsia" w:ascii="宋体" w:hAnsi="宋体" w:eastAsia="宋体" w:cs="宋体"/>
          <w:szCs w:val="24"/>
          <w:lang w:val="en-US" w:eastAsia="zh-CN"/>
        </w:rPr>
        <w:t>体制机制</w:t>
      </w:r>
      <w:r>
        <w:rPr>
          <w:rFonts w:hint="eastAsia" w:ascii="宋体" w:hAnsi="宋体" w:eastAsia="宋体" w:cs="宋体"/>
          <w:szCs w:val="24"/>
        </w:rPr>
        <w:t>。</w:t>
      </w:r>
    </w:p>
    <w:p w14:paraId="638500B0">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其二，“认为社会主义政府首先必须更换国家主要部门（公务员、军队、情报部门、司法机构）的领导人员，这一观点是可以更新的。而且，在目前的条件下，列宁思想必须进一步修正。”在我看来，尽管“实行社会控制和思想控制的社会化意识形态同样重要。</w:t>
      </w:r>
      <w:r>
        <w:rPr>
          <w:rFonts w:hint="eastAsia" w:ascii="宋体" w:hAnsi="宋体" w:eastAsia="宋体" w:cs="宋体"/>
          <w:szCs w:val="24"/>
          <w:lang w:eastAsia="zh-CN"/>
        </w:rPr>
        <w:t>……</w:t>
      </w:r>
      <w:r>
        <w:rPr>
          <w:rFonts w:hint="eastAsia" w:ascii="宋体" w:hAnsi="宋体" w:eastAsia="宋体" w:cs="宋体"/>
          <w:szCs w:val="24"/>
        </w:rPr>
        <w:t>以考虑建立一套范围更广的机构，把国家的意识形态机构——大众媒体（包括主要的电视和互联网公司）和教育系统（包括大学，经济，政治和社会政策机构）包括在内。”这一意见是对的，但没有理由更新列宁强调“首先必须更换国家主要部门（公务员、军队、情报部门、司法机构）的领导人员”，因为无产阶级夺取政权首先就是夺取公务员、军队等政权部门，其次（也可以是第二天或以后）才是控制国家的意识形态机构，而不可能顺序颠倒</w:t>
      </w:r>
      <w:r>
        <w:rPr>
          <w:rFonts w:hint="eastAsia" w:ascii="宋体" w:hAnsi="宋体" w:eastAsia="宋体" w:cs="宋体"/>
          <w:szCs w:val="24"/>
          <w:lang w:val="en-US" w:eastAsia="zh-CN"/>
        </w:rPr>
        <w:t>过</w:t>
      </w:r>
      <w:r>
        <w:rPr>
          <w:rFonts w:hint="eastAsia" w:ascii="宋体" w:hAnsi="宋体" w:eastAsia="宋体" w:cs="宋体"/>
          <w:szCs w:val="24"/>
        </w:rPr>
        <w:t>来实施。</w:t>
      </w:r>
    </w:p>
    <w:p w14:paraId="58B1C561">
      <w:pPr>
        <w:pStyle w:val="4"/>
        <w:pageBreakBefore w:val="0"/>
        <w:widowControl/>
        <w:kinsoku w:val="0"/>
        <w:wordWrap/>
        <w:overflowPunct/>
        <w:topLinePunct w:val="0"/>
        <w:autoSpaceDE w:val="0"/>
        <w:autoSpaceDN w:val="0"/>
        <w:bidi w:val="0"/>
        <w:adjustRightInd w:val="0"/>
        <w:snapToGrid w:val="0"/>
        <w:spacing w:before="0" w:beforeLines="0" w:after="0" w:afterLines="0" w:line="400" w:lineRule="exact"/>
        <w:ind w:left="0" w:leftChars="0" w:firstLine="560" w:firstLineChars="200"/>
        <w:textAlignment w:val="baseline"/>
      </w:pPr>
      <w:r>
        <w:rPr>
          <w:rFonts w:hint="eastAsia"/>
        </w:rPr>
        <w:t>三、如何正确理解社会主义、议会民主和无产阶级革命？</w:t>
      </w:r>
    </w:p>
    <w:p w14:paraId="0AFDACE8">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现在评析《论列宁》第四至第六个结论。</w:t>
      </w:r>
    </w:p>
    <w:p w14:paraId="01B284A5">
      <w:pPr>
        <w:pageBreakBefore w:val="0"/>
        <w:widowControl/>
        <w:numPr>
          <w:ilvl w:val="0"/>
          <w:numId w:val="0"/>
        </w:numPr>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lang w:val="en-US" w:eastAsia="zh-CN"/>
        </w:rPr>
        <w:t>1.</w:t>
      </w:r>
      <w:r>
        <w:rPr>
          <w:rFonts w:hint="eastAsia" w:ascii="宋体" w:hAnsi="宋体" w:eastAsia="宋体" w:cs="宋体"/>
          <w:szCs w:val="24"/>
        </w:rPr>
        <w:t>列宁关于无产阶级专政的理论“必须被拒绝”吗？该文第四个结论写道：“由于工人阶级不是普遍阶级，十月革命后其他阶级和利益集团的内外对立导致了难以接受的大规模镇压。这样的专政不是可接受的先进国家向社会主义迈进的国家形态。在这里列宁的观点必须被拒绝，向社会主义过渡的方式必须加以修改。工人阶级作为一个崛起的阶级可以在议会民主制度中发挥作用。列宁的‘无产阶级专政’的替代方案是赢得民主斗争，改变议会民主。</w:t>
      </w:r>
      <w:bookmarkStart w:id="55" w:name="OLE_LINK1032"/>
      <w:bookmarkStart w:id="56" w:name="OLE_LINK1033"/>
      <w:r>
        <w:rPr>
          <w:rFonts w:hint="eastAsia" w:ascii="宋体" w:hAnsi="宋体" w:eastAsia="宋体" w:cs="宋体"/>
          <w:szCs w:val="24"/>
        </w:rPr>
        <w:t>”</w:t>
      </w:r>
    </w:p>
    <w:p w14:paraId="79F9E5B8">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上述这段话的逻辑有三个问题：（1）如果“十月革命后其他阶级和利益集团的内外对立导致了难以接受的大规模镇压”是客观事实的话（这里不作具体分析），这与“由于工人阶级不是普遍阶级”有必然关系吗？如果工人阶级是普遍阶级，就肯定不会形成工人、农民、资本家等各个“阶级和利益集团的内外对立”了吗？（2）如果十月革命</w:t>
      </w:r>
      <w:r>
        <w:rPr>
          <w:rFonts w:hint="eastAsia" w:ascii="宋体" w:hAnsi="宋体" w:eastAsia="宋体" w:cs="宋体"/>
          <w:szCs w:val="24"/>
          <w:lang w:val="en-US" w:eastAsia="zh-CN"/>
        </w:rPr>
        <w:t>是</w:t>
      </w:r>
      <w:r>
        <w:rPr>
          <w:rFonts w:hint="eastAsia" w:ascii="宋体" w:hAnsi="宋体" w:eastAsia="宋体" w:cs="宋体"/>
          <w:szCs w:val="24"/>
        </w:rPr>
        <w:t>相对于农民阶级来说</w:t>
      </w:r>
      <w:r>
        <w:rPr>
          <w:rFonts w:hint="eastAsia" w:ascii="宋体" w:hAnsi="宋体" w:eastAsia="宋体" w:cs="宋体"/>
          <w:szCs w:val="24"/>
          <w:lang w:val="en-US" w:eastAsia="zh-CN"/>
        </w:rPr>
        <w:t>的</w:t>
      </w:r>
      <w:r>
        <w:rPr>
          <w:rFonts w:hint="eastAsia" w:ascii="宋体" w:hAnsi="宋体" w:eastAsia="宋体" w:cs="宋体"/>
          <w:szCs w:val="24"/>
        </w:rPr>
        <w:t>，“俄国工人阶级不是普遍阶级”，因而列宁实行的无产阶级专政“不是可接受的先进国家向社会主义迈进的国家形态”，那么，十月革命以后直至当今，发达资本主义国家的工人阶级早已是普遍阶级，为何“列宁的观点必须被拒绝”呢？（3）有什么理由规定“工人阶级作为一个崛起的阶级”只“可以在议会民主制度中发挥作用”？历史上又有哪个资本主义国家是主要通过议会民主方式“向社会主义过渡”成功的呢？</w:t>
      </w:r>
    </w:p>
    <w:bookmarkEnd w:id="55"/>
    <w:bookmarkEnd w:id="56"/>
    <w:p w14:paraId="38889014">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2</w:t>
      </w:r>
      <w:r>
        <w:rPr>
          <w:rFonts w:hint="eastAsia" w:ascii="宋体" w:hAnsi="宋体" w:eastAsia="宋体" w:cs="宋体"/>
          <w:szCs w:val="24"/>
          <w:lang w:eastAsia="zh-CN"/>
        </w:rPr>
        <w:t>.</w:t>
      </w:r>
      <w:r>
        <w:rPr>
          <w:rFonts w:hint="eastAsia" w:ascii="宋体" w:hAnsi="宋体" w:eastAsia="宋体" w:cs="宋体"/>
          <w:szCs w:val="24"/>
        </w:rPr>
        <w:t>“列宁以专政为基础的革命战略需要修改”吗？该文第五个结论写道：“列宁以专政为基础的革命战略需要修改：没有社会主义，议会民主一样可以运作；但是没有民主，社会主义就无法繁荣。</w:t>
      </w:r>
      <w:bookmarkStart w:id="57" w:name="OLE_LINK1046"/>
      <w:bookmarkStart w:id="58" w:name="OLE_LINK1045"/>
      <w:r>
        <w:rPr>
          <w:rFonts w:hint="eastAsia" w:ascii="宋体" w:hAnsi="宋体" w:eastAsia="宋体" w:cs="宋体"/>
          <w:szCs w:val="24"/>
        </w:rPr>
        <w:t>”依据以上分析，我们不用再赘述“列宁以专政为基础的革命战略需要修改”问题，因为根本没有必要修改。这里只需简单地提出：一是没有社会主义，资产阶级的议会民主确实一样可以运作；社会主义国家也需要建立健全社会主义的议会民主。二是无产阶级专政也就是人民民主专政，把对人民实行民主与对社会主义敌对阶级和破坏分子实行专政结合起来，因而没有社会主义民主或没有社会主义专政，社会主义都无法繁荣。列宁曾经详细分析过这些问题。可见，作者对列宁革命战略的修改是不正确的。</w:t>
      </w:r>
    </w:p>
    <w:bookmarkEnd w:id="57"/>
    <w:bookmarkEnd w:id="58"/>
    <w:p w14:paraId="01A0DF45">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3</w:t>
      </w:r>
      <w:r>
        <w:rPr>
          <w:rFonts w:hint="eastAsia" w:ascii="宋体" w:hAnsi="宋体" w:eastAsia="宋体" w:cs="宋体"/>
          <w:szCs w:val="24"/>
          <w:lang w:eastAsia="zh-CN"/>
        </w:rPr>
        <w:t>.</w:t>
      </w:r>
      <w:r>
        <w:rPr>
          <w:rFonts w:hint="eastAsia" w:ascii="宋体" w:hAnsi="宋体" w:eastAsia="宋体" w:cs="宋体"/>
          <w:szCs w:val="24"/>
        </w:rPr>
        <w:t>中国等国家共产党的革命成功不属于“无产阶级革命”吗？该文第六个结论写道：“西欧社会主义革命的失败对十月革命造成了不利的影响。尽管如此，南斯拉夫、中国、古巴、越南和朝鲜的共产党还是根据列宁的理论，通过人民革命运动上台执政。这几个国家都是农民人口众多的国家，不是工人阶级崛起的国家。这些不是‘无产阶级革命’，而是由知识分子领导的、工人和农民支持的革命，是民族解放运动，是社会主义生产力发展的国家性运动。</w:t>
      </w:r>
      <w:bookmarkStart w:id="59" w:name="OLE_LINK1064"/>
      <w:bookmarkStart w:id="60" w:name="OLE_LINK1063"/>
      <w:r>
        <w:rPr>
          <w:rFonts w:hint="eastAsia" w:ascii="宋体" w:hAnsi="宋体" w:eastAsia="宋体" w:cs="宋体"/>
          <w:szCs w:val="24"/>
        </w:rPr>
        <w:t>”这段话就引出了什么是“无产阶级革命”的理论问题。这个问题就是：由知识分子担任无产阶级政党的领导班子，或者无产阶级政党和无产阶级革命的大多数参加者是原来的农民，就不算无产阶级政党或无产阶级革命了吗？我认为准确地分析应这样认知：凡是革命的大方向和最高目标是实现马列主义的科学社会主义，均可视为无产阶级革命或工人阶级革命；而这一革命又可分为无产阶级领导的新民主主义革命、对各类私有制进行改造的社会主义革命等阶段和形式。至于无产阶级革命的领导班子或多数参与者的原职业和原阶级出身，与这一革命的性质无关。因此，迄今为止建立的社会主义国家，既是民族解放运动的胜利，也是标准的无产阶级革命的胜利，是马列主义革命理论的成功实践。</w:t>
      </w:r>
      <w:bookmarkEnd w:id="59"/>
      <w:bookmarkEnd w:id="60"/>
    </w:p>
    <w:p w14:paraId="0CD93A27">
      <w:pPr>
        <w:pStyle w:val="4"/>
        <w:pageBreakBefore w:val="0"/>
        <w:widowControl/>
        <w:kinsoku w:val="0"/>
        <w:wordWrap/>
        <w:overflowPunct/>
        <w:topLinePunct w:val="0"/>
        <w:autoSpaceDE w:val="0"/>
        <w:autoSpaceDN w:val="0"/>
        <w:bidi w:val="0"/>
        <w:adjustRightInd w:val="0"/>
        <w:snapToGrid w:val="0"/>
        <w:spacing w:before="0" w:beforeLines="0" w:after="0" w:afterLines="0" w:line="400" w:lineRule="exact"/>
        <w:ind w:left="0" w:leftChars="0" w:firstLine="560" w:firstLineChars="200"/>
        <w:textAlignment w:val="baseline"/>
      </w:pPr>
      <w:r>
        <w:rPr>
          <w:rFonts w:hint="eastAsia"/>
        </w:rPr>
        <w:t>四、如何正确认识新老帝国主义和工人阶级愿望？</w:t>
      </w:r>
    </w:p>
    <w:p w14:paraId="58F2942C">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现在评析《论列宁》第七和第八个结论。</w:t>
      </w:r>
    </w:p>
    <w:p w14:paraId="3698ACC1">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1</w:t>
      </w:r>
      <w:r>
        <w:rPr>
          <w:rFonts w:hint="eastAsia" w:ascii="宋体" w:hAnsi="宋体" w:eastAsia="宋体" w:cs="宋体"/>
          <w:szCs w:val="24"/>
          <w:lang w:eastAsia="zh-CN"/>
        </w:rPr>
        <w:t>.</w:t>
      </w:r>
      <w:r>
        <w:rPr>
          <w:rFonts w:hint="eastAsia" w:ascii="宋体" w:hAnsi="宋体" w:eastAsia="宋体" w:cs="宋体"/>
          <w:szCs w:val="24"/>
        </w:rPr>
        <w:t>“列宁关于帝国主义是垄断资本主义的观点必须被取代”吗？该文第七个结论写道：“列宁关于帝国主义是垄断资本主义的观点必须被取代。垄断资本主义的帝国主义阶段并不像列宁1917年在</w:t>
      </w:r>
      <w:bookmarkStart w:id="61" w:name="OLE_LINK1053"/>
      <w:bookmarkStart w:id="62" w:name="OLE_LINK1054"/>
      <w:r>
        <w:rPr>
          <w:rFonts w:hint="eastAsia" w:ascii="宋体" w:hAnsi="宋体" w:eastAsia="宋体" w:cs="宋体"/>
          <w:szCs w:val="24"/>
        </w:rPr>
        <w:t>《帝国主义是资本主义的最高阶段》</w:t>
      </w:r>
      <w:bookmarkEnd w:id="61"/>
      <w:bookmarkEnd w:id="62"/>
      <w:r>
        <w:rPr>
          <w:rFonts w:hint="eastAsia" w:ascii="宋体" w:hAnsi="宋体" w:eastAsia="宋体" w:cs="宋体"/>
          <w:szCs w:val="24"/>
        </w:rPr>
        <w:t>中所说的那样是‘垂死’的，它过去和现在都能够进一步发展。说帝国主义是资本主义的‘最高阶段’是以民族国家的殖民地特征和‘大国’之间的竞争为前提的，在21世纪，主要资本主义国家之间的竞争已经被美国的霸权和中国的崛起所取代。列宁的政治预言试图打破资本主义链条中最薄弱的环节，对列宁思想进行修改，必须解决是什么把链条连在了一起以及怎样打破链条的问题。</w:t>
      </w:r>
      <w:bookmarkStart w:id="63" w:name="_Hlk42863483"/>
      <w:r>
        <w:rPr>
          <w:rFonts w:hint="eastAsia" w:ascii="宋体" w:hAnsi="宋体" w:eastAsia="宋体" w:cs="宋体"/>
          <w:szCs w:val="24"/>
        </w:rPr>
        <w:t>”</w:t>
      </w:r>
    </w:p>
    <w:p w14:paraId="4951471D">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color w:val="000000"/>
          <w:kern w:val="0"/>
          <w:szCs w:val="24"/>
        </w:rPr>
      </w:pPr>
      <w:r>
        <w:rPr>
          <w:rFonts w:hint="eastAsia" w:ascii="宋体" w:hAnsi="宋体" w:eastAsia="宋体" w:cs="宋体"/>
          <w:szCs w:val="24"/>
        </w:rPr>
        <w:t>显然，《论列宁》是基本否定列宁的帝国主义理论和当代价值的，但该文并没有指出列宁关于帝国主义的五个特征和三个特性错在哪里。</w:t>
      </w:r>
      <w:r>
        <w:rPr>
          <w:rFonts w:hint="eastAsia" w:ascii="宋体" w:hAnsi="宋体" w:eastAsia="宋体" w:cs="宋体"/>
          <w:color w:val="000000"/>
          <w:kern w:val="0"/>
          <w:szCs w:val="24"/>
        </w:rPr>
        <w:t>列宁在《帝国主义是资本主义的最高阶段》一书中阐述帝国主义的定义和特征时写道：“</w:t>
      </w:r>
      <w:r>
        <w:rPr>
          <w:rFonts w:hint="eastAsia" w:ascii="宋体" w:hAnsi="宋体" w:eastAsia="宋体" w:cs="宋体"/>
          <w:color w:val="000000"/>
          <w:szCs w:val="24"/>
        </w:rPr>
        <w:t>如果必须给帝国主义下一个尽量简短的定义，那就应当说，帝国主义是资本主义的垄断阶段</w:t>
      </w:r>
      <w:r>
        <w:rPr>
          <w:rFonts w:hint="eastAsia" w:ascii="宋体" w:hAnsi="宋体" w:eastAsia="宋体" w:cs="宋体"/>
          <w:szCs w:val="24"/>
        </w:rPr>
        <w:t>……</w:t>
      </w:r>
      <w:r>
        <w:rPr>
          <w:rFonts w:hint="eastAsia" w:ascii="宋体" w:hAnsi="宋体" w:eastAsia="宋体" w:cs="宋体"/>
          <w:color w:val="000000"/>
          <w:szCs w:val="24"/>
        </w:rPr>
        <w:t>其中要包括帝国主义的如下五个基本特征：(1)生产和资本的集中发展到这样高的程度，以致造成了在经济生活中起决定作用的垄断组织；(2)银行资本和工业资本已经融合起来，在这个“金融资本的”基础上形成了金融寡头；(3)和商品输出不同的资本输出具有特别重要的意义；(4)瓜分世界的资本家国际垄断同盟已经形成；(5)最大资本主义大国已把世界上的领土瓜分完毕。帝国主义是发展到垄断组织和金融资本的统治已经确立、资本输出具有突出意义、国际托拉斯开始瓜分世界、一些最大的资本主义国家已把世界全部领土瓜分完毕这一阶段的资本主义。</w:t>
      </w:r>
      <w:r>
        <w:rPr>
          <w:rFonts w:hint="eastAsia" w:ascii="宋体" w:hAnsi="宋体" w:eastAsia="宋体" w:cs="宋体"/>
          <w:color w:val="000000"/>
          <w:kern w:val="0"/>
          <w:szCs w:val="24"/>
        </w:rPr>
        <w:t>”</w:t>
      </w:r>
      <w:r>
        <w:rPr>
          <w:rStyle w:val="20"/>
          <w:rFonts w:hint="eastAsia" w:ascii="宋体" w:hAnsi="宋体" w:eastAsia="宋体" w:cs="宋体"/>
          <w:color w:val="000000"/>
          <w:kern w:val="0"/>
          <w:szCs w:val="24"/>
        </w:rPr>
        <w:footnoteReference w:id="22"/>
      </w:r>
      <w:r>
        <w:rPr>
          <w:rFonts w:hint="eastAsia" w:ascii="宋体" w:hAnsi="宋体" w:eastAsia="宋体" w:cs="宋体"/>
          <w:color w:val="000000"/>
          <w:kern w:val="0"/>
          <w:szCs w:val="24"/>
        </w:rPr>
        <w:t>在同年12月发表的文章中，列宁又指出帝国主义的三大特性：“帝国主义是资本主义的特殊历史阶段。这个特点分为三个方面：（1）帝国主义是垄断的资本主义；（2）帝国主义是寄生的或腐朽的资本主义；（3）帝国主义是垂死的资本主义。”</w:t>
      </w:r>
      <w:r>
        <w:rPr>
          <w:rStyle w:val="20"/>
          <w:rFonts w:hint="eastAsia" w:ascii="宋体" w:hAnsi="宋体" w:eastAsia="宋体" w:cs="宋体"/>
          <w:color w:val="000000"/>
          <w:kern w:val="0"/>
          <w:szCs w:val="24"/>
        </w:rPr>
        <w:footnoteReference w:id="23"/>
      </w:r>
    </w:p>
    <w:p w14:paraId="20C6341E">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color w:val="000000"/>
          <w:kern w:val="0"/>
          <w:szCs w:val="24"/>
        </w:rPr>
      </w:pPr>
      <w:r>
        <w:rPr>
          <w:rFonts w:hint="eastAsia" w:ascii="宋体" w:hAnsi="宋体" w:eastAsia="宋体" w:cs="宋体"/>
          <w:color w:val="000000"/>
          <w:kern w:val="0"/>
          <w:szCs w:val="24"/>
        </w:rPr>
        <w:t>列宁的帝国主义理论要不要发展或“更新”呢？答案是肯定的。笔者曾以列宁的帝国主义理论为基础，结合当代资本主义的新变化进行分析并得出结论：21世纪新帝国主义是垄断资本主义在当代经济全球化和金融化条件下的晚期帝国主义阶段，其特征和性质可以综合概括为五个方面。一是生产和流通的新垄断：生产和流通的国际化和资本集中的强化，形成富可敌国的巨型跨国垄断公司</w:t>
      </w:r>
      <w:r>
        <w:rPr>
          <w:rFonts w:hint="eastAsia" w:ascii="宋体" w:hAnsi="宋体" w:eastAsia="宋体" w:cs="宋体"/>
          <w:color w:val="000000"/>
          <w:kern w:val="0"/>
          <w:szCs w:val="24"/>
          <w:lang w:eastAsia="zh-CN"/>
        </w:rPr>
        <w:t>；</w:t>
      </w:r>
      <w:r>
        <w:rPr>
          <w:rFonts w:hint="eastAsia" w:ascii="宋体" w:hAnsi="宋体" w:eastAsia="宋体" w:cs="宋体"/>
          <w:color w:val="000000"/>
          <w:kern w:val="0"/>
          <w:szCs w:val="24"/>
        </w:rPr>
        <w:t>二是金融资本的新垄断：金融垄断资本在全球经济生活中起决定性作用，形成畸形发展的经济金融化</w:t>
      </w:r>
      <w:r>
        <w:rPr>
          <w:rFonts w:hint="eastAsia" w:ascii="宋体" w:hAnsi="宋体" w:eastAsia="宋体" w:cs="宋体"/>
          <w:color w:val="000000"/>
          <w:kern w:val="0"/>
          <w:szCs w:val="24"/>
          <w:lang w:eastAsia="zh-CN"/>
        </w:rPr>
        <w:t>；</w:t>
      </w:r>
      <w:r>
        <w:rPr>
          <w:rFonts w:hint="eastAsia" w:ascii="宋体" w:hAnsi="宋体" w:eastAsia="宋体" w:cs="宋体"/>
          <w:color w:val="000000"/>
          <w:kern w:val="0"/>
          <w:szCs w:val="24"/>
        </w:rPr>
        <w:t>三是美元和知识产权的垄断：形成不平等的国际分工和两极分化的全球经济和财富分配</w:t>
      </w:r>
      <w:r>
        <w:rPr>
          <w:rFonts w:hint="eastAsia" w:ascii="宋体" w:hAnsi="宋体" w:eastAsia="宋体" w:cs="宋体"/>
          <w:color w:val="000000"/>
          <w:kern w:val="0"/>
          <w:szCs w:val="24"/>
          <w:lang w:eastAsia="zh-CN"/>
        </w:rPr>
        <w:t>；</w:t>
      </w:r>
      <w:r>
        <w:rPr>
          <w:rFonts w:hint="eastAsia" w:ascii="宋体" w:hAnsi="宋体" w:eastAsia="宋体" w:cs="宋体"/>
          <w:color w:val="000000"/>
          <w:kern w:val="0"/>
          <w:szCs w:val="24"/>
        </w:rPr>
        <w:t>四是国际寡头同盟的新垄断：“一霸</w:t>
      </w:r>
      <w:r>
        <w:rPr>
          <w:rFonts w:hint="eastAsia" w:ascii="宋体" w:hAnsi="宋体" w:eastAsia="宋体" w:cs="宋体"/>
          <w:kern w:val="0"/>
          <w:szCs w:val="24"/>
        </w:rPr>
        <w:t>数强</w:t>
      </w:r>
      <w:r>
        <w:rPr>
          <w:rFonts w:hint="eastAsia" w:ascii="宋体" w:hAnsi="宋体" w:eastAsia="宋体" w:cs="宋体"/>
          <w:color w:val="000000"/>
          <w:kern w:val="0"/>
          <w:szCs w:val="24"/>
        </w:rPr>
        <w:t>”结成的国际资本主义寡头垄断同盟，形成内外垄断剥削和压迫的金钱政治、庸俗文化和军事威胁的经济基础</w:t>
      </w:r>
      <w:r>
        <w:rPr>
          <w:rFonts w:hint="eastAsia" w:ascii="宋体" w:hAnsi="宋体" w:eastAsia="宋体" w:cs="宋体"/>
          <w:color w:val="000000"/>
          <w:kern w:val="0"/>
          <w:szCs w:val="24"/>
          <w:lang w:eastAsia="zh-CN"/>
        </w:rPr>
        <w:t>；</w:t>
      </w:r>
      <w:r>
        <w:rPr>
          <w:rFonts w:hint="eastAsia" w:ascii="宋体" w:hAnsi="宋体" w:eastAsia="宋体" w:cs="宋体"/>
          <w:color w:val="000000"/>
          <w:kern w:val="0"/>
          <w:szCs w:val="24"/>
        </w:rPr>
        <w:t>五是经济本质和大趋势：全球化资本主义矛盾和各种危机</w:t>
      </w:r>
    </w:p>
    <w:p w14:paraId="453CD69C">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color w:val="000000"/>
          <w:kern w:val="0"/>
          <w:szCs w:val="24"/>
        </w:rPr>
      </w:pPr>
      <w:r>
        <w:rPr>
          <w:rFonts w:hint="eastAsia" w:ascii="宋体" w:hAnsi="宋体" w:eastAsia="宋体" w:cs="宋体"/>
          <w:color w:val="000000"/>
          <w:kern w:val="0"/>
          <w:szCs w:val="24"/>
        </w:rPr>
        <w:t>时常激化，形成当代资本主义垄断性和掠夺性、霸权性和欺诈性、腐朽性和寄生性、过渡性和垂危性的新态势，是一种晚期帝国主义。</w:t>
      </w:r>
      <w:r>
        <w:rPr>
          <w:rStyle w:val="20"/>
          <w:rFonts w:hint="eastAsia" w:ascii="宋体" w:hAnsi="宋体" w:eastAsia="宋体" w:cs="宋体"/>
          <w:color w:val="000000"/>
          <w:kern w:val="0"/>
          <w:szCs w:val="24"/>
        </w:rPr>
        <w:footnoteReference w:id="24"/>
      </w:r>
      <w:r>
        <w:rPr>
          <w:rFonts w:hint="eastAsia" w:ascii="宋体" w:hAnsi="宋体" w:eastAsia="宋体" w:cs="宋体"/>
          <w:color w:val="000000"/>
          <w:kern w:val="0"/>
          <w:szCs w:val="24"/>
        </w:rPr>
        <w:t>简言之，</w:t>
      </w:r>
      <w:r>
        <w:rPr>
          <w:rFonts w:hint="eastAsia" w:ascii="宋体" w:hAnsi="宋体" w:eastAsia="宋体" w:cs="宋体"/>
          <w:szCs w:val="24"/>
        </w:rPr>
        <w:t>列宁关于帝国主义是垄断资本主义的观点依然有效，只需要守正创新而无须被取代。</w:t>
      </w:r>
    </w:p>
    <w:p w14:paraId="2577BF30">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2</w:t>
      </w:r>
      <w:r>
        <w:rPr>
          <w:rFonts w:hint="eastAsia" w:ascii="宋体" w:hAnsi="宋体" w:eastAsia="宋体" w:cs="宋体"/>
          <w:szCs w:val="24"/>
          <w:lang w:eastAsia="zh-CN"/>
        </w:rPr>
        <w:t>.</w:t>
      </w:r>
      <w:r>
        <w:rPr>
          <w:rFonts w:hint="eastAsia" w:ascii="宋体" w:hAnsi="宋体" w:eastAsia="宋体" w:cs="宋体"/>
          <w:szCs w:val="24"/>
        </w:rPr>
        <w:t>美国等资本主义国家的工人阶级“没有结束资本主义生活方式的愿望”吗？该文第八个结论写道：“</w:t>
      </w:r>
      <w:bookmarkStart w:id="64" w:name="OLE_LINK1075"/>
      <w:bookmarkStart w:id="65" w:name="OLE_LINK1077"/>
      <w:bookmarkStart w:id="66" w:name="OLE_LINK1076"/>
      <w:r>
        <w:rPr>
          <w:rFonts w:hint="eastAsia" w:ascii="宋体" w:hAnsi="宋体" w:eastAsia="宋体" w:cs="宋体"/>
          <w:szCs w:val="24"/>
        </w:rPr>
        <w:t>自20世纪初以来，资本主义经常遭受经济危机，但统治阶级并没有投降；西方霸权，尤其是美国的霸权已经成熟；剧变后的原东欧社会主义国家重新加入了资本主义世界。‘下层阶级’并没有拒绝资本主义，而是试图享受资本主义，没有结束资本主义生活方式的愿望。</w:t>
      </w:r>
      <w:bookmarkEnd w:id="64"/>
      <w:bookmarkEnd w:id="65"/>
      <w:bookmarkEnd w:id="66"/>
      <w:r>
        <w:rPr>
          <w:rFonts w:hint="eastAsia" w:ascii="宋体" w:hAnsi="宋体" w:eastAsia="宋体" w:cs="宋体"/>
          <w:szCs w:val="24"/>
        </w:rPr>
        <w:t>如果我们‘回到’列宁，根据目前的形势，我们应该考虑进行革命性改革，而不是实际夺取政权。</w:t>
      </w:r>
      <w:bookmarkStart w:id="67" w:name="OLE_LINK664"/>
      <w:bookmarkStart w:id="68" w:name="OLE_LINK665"/>
      <w:bookmarkStart w:id="69" w:name="_Hlk46577765"/>
      <w:r>
        <w:rPr>
          <w:rFonts w:hint="eastAsia" w:ascii="宋体" w:hAnsi="宋体" w:eastAsia="宋体" w:cs="宋体"/>
          <w:szCs w:val="24"/>
        </w:rPr>
        <w:t>”</w:t>
      </w:r>
    </w:p>
    <w:bookmarkEnd w:id="67"/>
    <w:bookmarkEnd w:id="68"/>
    <w:p w14:paraId="64FECDF2">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针对上述第八个结论，我认为，第一，在人类历史上，作为剥削阶级的各个统治阶级，从来没有自动投降的，都是需要进步阶级通过艰巨的斗争才被迫投降的。工人阶级只有首先通过某种途径夺取政权，才能真正的革命性改革；</w:t>
      </w:r>
      <w:r>
        <w:rPr>
          <w:rStyle w:val="20"/>
          <w:rFonts w:hint="eastAsia" w:ascii="宋体" w:hAnsi="宋体" w:eastAsia="宋体" w:cs="宋体"/>
          <w:szCs w:val="24"/>
        </w:rPr>
        <w:footnoteReference w:id="25"/>
      </w:r>
      <w:r>
        <w:rPr>
          <w:rFonts w:hint="eastAsia" w:ascii="宋体" w:hAnsi="宋体" w:eastAsia="宋体" w:cs="宋体"/>
          <w:szCs w:val="24"/>
        </w:rPr>
        <w:t>否则，只能在资本主义经济政治制度大框架内进行某些改良和局部改革，不可能进行私有制和寡头政治制度的真正革命性改革。</w:t>
      </w:r>
    </w:p>
    <w:p w14:paraId="09A408FA">
      <w:pPr>
        <w:pageBreakBefore w:val="0"/>
        <w:widowControl/>
        <w:numPr>
          <w:ilvl w:val="0"/>
          <w:numId w:val="1"/>
        </w:numPr>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西方霸权，尤其是美国的霸权已经成熟，但美国和西方国家自己也承认已在相对衰落之中。况且历史上一切霸权最终均被公平正义所打破，美国和西方霸权最终也必然被社会主义国家主导的新型国际关系民主化模式和社会主义文明所替代，从而真正建立起人类命运共同体。与霸权成</w:t>
      </w:r>
      <w:r>
        <w:rPr>
          <w:rFonts w:hint="eastAsia" w:ascii="宋体" w:hAnsi="宋体" w:eastAsia="宋体" w:cs="宋体"/>
          <w:szCs w:val="24"/>
          <w:lang w:val="en-US" w:eastAsia="zh-CN"/>
        </w:rPr>
        <w:t>分</w:t>
      </w:r>
      <w:r>
        <w:rPr>
          <w:rFonts w:hint="eastAsia" w:ascii="宋体" w:hAnsi="宋体" w:eastAsia="宋体" w:cs="宋体"/>
          <w:szCs w:val="24"/>
        </w:rPr>
        <w:t>逐渐消亡相吻合，发达国家文明的不断进步和高级化将呈现如下发展趋势：美国式文明演化为西欧式文明，再演化为北欧式文明，再演化为中国式文明。</w:t>
      </w:r>
    </w:p>
    <w:p w14:paraId="4340FBD0">
      <w:pPr>
        <w:pageBreakBefore w:val="0"/>
        <w:widowControl/>
        <w:numPr>
          <w:ilvl w:val="0"/>
          <w:numId w:val="1"/>
        </w:numPr>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剧变后的原东欧社会主义国家重新加入了资本主义世界，但这只是这些国家领导人或部分人士被“和平演变”或被“暴力政变”所导致的，是社会主义发展的曲折性表现，而并非这些国家的工人阶级和广大人民本质上自愿恢复资本主义。</w:t>
      </w:r>
    </w:p>
    <w:p w14:paraId="30AFE8A4">
      <w:pPr>
        <w:pageBreakBefore w:val="0"/>
        <w:widowControl/>
        <w:kinsoku w:val="0"/>
        <w:wordWrap/>
        <w:overflowPunct/>
        <w:topLinePunct w:val="0"/>
        <w:autoSpaceDE w:val="0"/>
        <w:autoSpaceDN w:val="0"/>
        <w:bidi w:val="0"/>
        <w:adjustRightInd w:val="0"/>
        <w:snapToGrid w:val="0"/>
        <w:spacing w:line="400" w:lineRule="exact"/>
        <w:ind w:left="0" w:leftChars="0" w:firstLine="480" w:firstLineChars="200"/>
        <w:textAlignment w:val="baseline"/>
        <w:rPr>
          <w:rFonts w:ascii="宋体" w:hAnsi="宋体" w:eastAsia="宋体" w:cs="宋体"/>
          <w:szCs w:val="24"/>
        </w:rPr>
      </w:pPr>
      <w:r>
        <w:rPr>
          <w:rFonts w:hint="eastAsia" w:ascii="宋体" w:hAnsi="宋体" w:eastAsia="宋体" w:cs="宋体"/>
          <w:sz w:val="24"/>
          <w:szCs w:val="24"/>
        </w:rPr>
        <w:t>第四，强调工人阶级只试图享受资本主义而没有结束资本主义生活方式的愿望，这只是描述被思想政治欺骗的“单面人”（单向度的人）一般言行的表面现象，以及被资产阶级专政通过暴力或强制压迫下被迫表现出来的无可奈何现象（被迫暂时“躺下”），而不是在深刻分析工人阶级及其先锋队的政治本质和强烈愿望。撇开资产阶级政治家希特勒和日本资产阶级法西斯镇压和屠杀共产党等反资产阶级极化政权的进步人士，从而导致人民被迫“拥护”资本主义的众多历史事件不谈，仅就</w:t>
      </w:r>
      <w:r>
        <w:rPr>
          <w:rFonts w:ascii="宋体" w:hAnsi="宋体" w:eastAsia="宋体" w:cs="宋体"/>
          <w:sz w:val="24"/>
          <w:szCs w:val="24"/>
        </w:rPr>
        <w:t>1993年10月叶利钦政府派军队非法炮轰国家议会大厦和议员，2011年10月美国警察用警棍强制清场“占领华尔街运动”的广大人民等全球众多事件，</w:t>
      </w:r>
      <w:r>
        <w:rPr>
          <w:rStyle w:val="20"/>
          <w:rFonts w:ascii="宋体" w:hAnsi="宋体" w:eastAsia="宋体" w:cs="宋体"/>
          <w:sz w:val="24"/>
          <w:szCs w:val="24"/>
        </w:rPr>
        <w:footnoteReference w:id="26"/>
      </w:r>
      <w:r>
        <w:rPr>
          <w:rFonts w:hint="eastAsia" w:ascii="宋体" w:hAnsi="宋体" w:eastAsia="宋体" w:cs="宋体"/>
          <w:sz w:val="24"/>
          <w:szCs w:val="24"/>
        </w:rPr>
        <w:t>也可认清如果没有资本主义国家的暴力、金钱和思想的多重控制，工人阶级是不可能被迫和被骗而表象上“没有结束资本主义生活方式的愿望”的。</w:t>
      </w:r>
      <w:r>
        <w:rPr>
          <w:rFonts w:hint="eastAsia" w:ascii="宋体" w:hAnsi="宋体" w:eastAsia="宋体" w:cs="Times New Roman"/>
          <w:sz w:val="24"/>
          <w:szCs w:val="24"/>
        </w:rPr>
        <w:t>假如美国等资本主义国家取消私人和私企的金钱资助候选人制度，改为各级政府用财政公正地平均支付各级议员和政府首脑候选人法定所需的竞选活动经费，实行无金钱政治支撑的真正民主选举，广大人民投票支持</w:t>
      </w:r>
      <w:r>
        <w:rPr>
          <w:rFonts w:hint="eastAsia" w:ascii="宋体" w:hAnsi="宋体" w:eastAsia="宋体" w:cs="Times New Roman"/>
          <w:color w:val="0000FF"/>
          <w:sz w:val="24"/>
          <w:szCs w:val="24"/>
          <w:highlight w:val="yellow"/>
          <w:lang w:val="en-US" w:eastAsia="zh-CN"/>
        </w:rPr>
        <w:t>工人阶级及其政党</w:t>
      </w:r>
      <w:r>
        <w:rPr>
          <w:rFonts w:hint="eastAsia" w:ascii="宋体" w:hAnsi="宋体" w:eastAsia="宋体" w:cs="Times New Roman"/>
          <w:sz w:val="24"/>
          <w:szCs w:val="24"/>
        </w:rPr>
        <w:t>的候选人会很少吗？</w:t>
      </w:r>
      <w:r>
        <w:rPr>
          <w:rFonts w:hint="eastAsia" w:ascii="宋体" w:hAnsi="宋体" w:eastAsia="宋体" w:cs="宋体"/>
          <w:sz w:val="24"/>
          <w:szCs w:val="24"/>
        </w:rPr>
        <w:t>因此，我们需要用历史唯物主义方法来辩证分析工人阶级和广大人民的愿望表象与本质。</w:t>
      </w:r>
    </w:p>
    <w:p w14:paraId="3528B915">
      <w:pPr>
        <w:pStyle w:val="4"/>
        <w:pageBreakBefore w:val="0"/>
        <w:widowControl/>
        <w:kinsoku w:val="0"/>
        <w:wordWrap/>
        <w:overflowPunct/>
        <w:topLinePunct w:val="0"/>
        <w:autoSpaceDE w:val="0"/>
        <w:autoSpaceDN w:val="0"/>
        <w:bidi w:val="0"/>
        <w:adjustRightInd w:val="0"/>
        <w:snapToGrid w:val="0"/>
        <w:spacing w:before="0" w:beforeLines="0" w:after="0" w:afterLines="0" w:line="400" w:lineRule="exact"/>
        <w:ind w:left="0" w:leftChars="0" w:firstLine="560" w:firstLineChars="200"/>
        <w:textAlignment w:val="baseline"/>
      </w:pPr>
      <w:r>
        <w:rPr>
          <w:rFonts w:hint="eastAsia"/>
        </w:rPr>
        <w:t>五、如何正确认识人类社会的发展大趋势？</w:t>
      </w:r>
    </w:p>
    <w:p w14:paraId="76BAD13D">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1</w:t>
      </w:r>
      <w:r>
        <w:rPr>
          <w:rFonts w:hint="eastAsia" w:ascii="宋体" w:hAnsi="宋体" w:eastAsia="宋体" w:cs="宋体"/>
          <w:szCs w:val="24"/>
          <w:lang w:eastAsia="zh-CN"/>
        </w:rPr>
        <w:t>.</w:t>
      </w:r>
      <w:r>
        <w:rPr>
          <w:rFonts w:hint="eastAsia" w:ascii="宋体" w:hAnsi="宋体" w:eastAsia="宋体" w:cs="宋体"/>
          <w:szCs w:val="24"/>
        </w:rPr>
        <w:t>列宁坚信人类的行动能够使人类进步，并最终建成一个没有剥削的完全民主的社会，“这是一个已经失去的理想”吗？该文第九个结论写道：“对列宁思想进行更新，需要分析经济上协调一致、意识形态统一、管理层强大的全球资本主义的矛盾。一方面，由公司、国际机构和占主导地位的跨国资产阶级进行的资本主义跨国协作取代了国家垄断资本主义的帝国主义形式。另一方面，工人阶级的重新地域化和分化严重削弱了阶级意识的有机发展。在这个阶段，向社会主义过渡是在与列宁所知的情况完全不同且更具挑战性的条件下进行的。怎么办？现在需要在全球资本主义社会学和国际关系地缘政治方面重塑列宁。在这种情况下，必须重塑的是阶级联盟的政治战略和赢得跨国社会主义民主斗争的政治策略。最后，任何其他的选择都涉及思想斗争，这些斗争包括因目标不同而产生的斗争，也包括因手段不同——采取革命手段还是改良手段？——而产生的斗争。受启蒙运动的影响，列宁坚信，人类的行动能够使人类进步，</w:t>
      </w:r>
      <w:bookmarkStart w:id="70" w:name="OLE_LINK417"/>
      <w:bookmarkStart w:id="71" w:name="OLE_LINK377"/>
      <w:r>
        <w:rPr>
          <w:rFonts w:hint="eastAsia" w:ascii="宋体" w:hAnsi="宋体" w:eastAsia="宋体" w:cs="宋体"/>
          <w:szCs w:val="24"/>
        </w:rPr>
        <w:t>并</w:t>
      </w:r>
      <w:bookmarkEnd w:id="70"/>
      <w:bookmarkEnd w:id="71"/>
      <w:r>
        <w:rPr>
          <w:rFonts w:hint="eastAsia" w:ascii="宋体" w:hAnsi="宋体" w:eastAsia="宋体" w:cs="宋体"/>
          <w:szCs w:val="24"/>
        </w:rPr>
        <w:t>最终建成一个没有剥削的完全民主的社会。这是一个已经失去的理想。”</w:t>
      </w:r>
    </w:p>
    <w:bookmarkEnd w:id="63"/>
    <w:bookmarkEnd w:id="69"/>
    <w:p w14:paraId="6629076E">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在上述第八个结论中存在三个误论：其一，认为“由公司、国际机构和占主导地位的跨国资产阶级进行的资本主义跨国协作取代了国家垄断资本主义的帝国主义形式。”事实上，资本主义先后经历了自由竞争资本主义、私人垄断资本主义、国家垄断资本主义、</w:t>
      </w:r>
      <w:r>
        <w:rPr>
          <w:rFonts w:hint="eastAsia" w:ascii="宋体" w:hAnsi="宋体" w:eastAsia="宋体" w:cs="宋体"/>
          <w:szCs w:val="24"/>
          <w:lang w:val="en-US" w:eastAsia="zh-CN"/>
        </w:rPr>
        <w:t>国际</w:t>
      </w:r>
      <w:r>
        <w:rPr>
          <w:rFonts w:hint="eastAsia" w:ascii="宋体" w:hAnsi="宋体" w:eastAsia="宋体" w:cs="宋体"/>
          <w:szCs w:val="24"/>
        </w:rPr>
        <w:t>垄断资本主义</w:t>
      </w:r>
      <w:r>
        <w:rPr>
          <w:rFonts w:hint="eastAsia" w:ascii="宋体" w:hAnsi="宋体" w:eastAsia="宋体" w:cs="宋体"/>
          <w:szCs w:val="24"/>
          <w:lang w:val="en-US" w:eastAsia="zh-CN"/>
        </w:rPr>
        <w:t>四</w:t>
      </w:r>
      <w:r>
        <w:rPr>
          <w:rFonts w:hint="eastAsia" w:ascii="宋体" w:hAnsi="宋体" w:eastAsia="宋体" w:cs="宋体"/>
          <w:szCs w:val="24"/>
        </w:rPr>
        <w:t>个主要发展阶段，因而当代国际垄断资本主义不是完全取代国家垄断资本主义</w:t>
      </w:r>
      <w:r>
        <w:rPr>
          <w:rFonts w:hint="eastAsia" w:ascii="宋体" w:hAnsi="宋体" w:eastAsia="宋体" w:cs="宋体"/>
          <w:szCs w:val="24"/>
          <w:lang w:val="en-US" w:eastAsia="zh-CN"/>
        </w:rPr>
        <w:t>和私人垄断资本主义</w:t>
      </w:r>
      <w:r>
        <w:rPr>
          <w:rFonts w:hint="eastAsia" w:ascii="宋体" w:hAnsi="宋体" w:eastAsia="宋体" w:cs="宋体"/>
          <w:szCs w:val="24"/>
        </w:rPr>
        <w:t xml:space="preserve">，而是三种垄断资本主义形式并存发展，互相之间有协作又有矛盾和争斗，都是当代新帝国主义形式。  </w:t>
      </w:r>
    </w:p>
    <w:p w14:paraId="27B1C68C">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其二，认为“工人阶级的重新地域化和分化严重削弱了阶级意识的有机发展。”事实上，只要金融经济危机时常爆发、贫富分化继续存在、局部侵略战争和军事挑衅不断发生，那么，经济全球化和工人阶级的变化，既有削弱工人阶级意识的因素和方面，又有增强工人阶级意识的因素和方面，其总体大趋势还是工人阶级及其政党的阶级意识和组织能力的波浪式提升。</w:t>
      </w:r>
    </w:p>
    <w:p w14:paraId="141185BC">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其三，认为“在这个阶段，向社会主义过渡是在与列宁所知的情况完全不同且更具挑战性的条件下进行的。”事实上，21世纪如何向社会主义过渡，与列宁所知的情况既有部分不同的条件，又有总体相同的条件，即处于</w:t>
      </w:r>
      <w:r>
        <w:rPr>
          <w:rFonts w:hint="eastAsia" w:ascii="宋体" w:hAnsi="宋体" w:eastAsia="宋体" w:cs="宋体"/>
          <w:szCs w:val="24"/>
          <w:lang w:val="en-US" w:eastAsia="zh-CN"/>
        </w:rPr>
        <w:t>与</w:t>
      </w:r>
      <w:r>
        <w:rPr>
          <w:rFonts w:hint="eastAsia" w:ascii="宋体" w:hAnsi="宋体" w:eastAsia="宋体" w:cs="宋体"/>
          <w:szCs w:val="24"/>
        </w:rPr>
        <w:t>以往有异有同的新帝国主义大时代和基本条件。</w:t>
      </w:r>
    </w:p>
    <w:p w14:paraId="2F2A8DC7">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2</w:t>
      </w:r>
      <w:r>
        <w:rPr>
          <w:rFonts w:hint="eastAsia" w:ascii="宋体" w:hAnsi="宋体" w:eastAsia="宋体" w:cs="宋体"/>
          <w:szCs w:val="24"/>
          <w:lang w:eastAsia="zh-CN"/>
        </w:rPr>
        <w:t>.</w:t>
      </w:r>
      <w:r>
        <w:rPr>
          <w:rFonts w:hint="eastAsia" w:ascii="宋体" w:hAnsi="宋体" w:eastAsia="宋体" w:cs="宋体"/>
          <w:szCs w:val="24"/>
        </w:rPr>
        <w:t>应当指出，《论列宁》的第九个结论和全文都涉及到一个主要问题：即马克思主义经典作家关于资本主义和帝国主义必然灭亡的结论“过时”了吗?</w:t>
      </w:r>
    </w:p>
    <w:p w14:paraId="7E12E271">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毋容置疑，基于21世纪全球化、阶级结构和阶级觉悟变化、跨国当代资本主义在生产力、生产关系和上层建筑等方面发生的重要变化，给资本主义的发展带来了一定的生机和活力。这是不是意味着，马列主义关于资本主义和帝国主义必然灭亡的结论不再正确了呢?</w:t>
      </w:r>
    </w:p>
    <w:p w14:paraId="60780E20">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　　当然不是。资本主义在一定时期内的发展和资本主义最终必然灭亡这两者之间并不存在矛盾。列宁所说的帝国主义是垂死的资本主义，讲的只是资本主义必然灭亡并由社会主义所取代的趋势，而不能简单地理解为所有资本主义或帝国主义国家将在数十年消失。实际上，马克思主义经典作家们并没有、也不可能给出资本主义和帝国主义灭亡的具体时间表。恰恰相反，列宁充分地预见到了，这个垂死的资本主义很可能还会“拖”一个相当长的时期，甚至也不排斥在这个垂死的阶段中，资本主义还会得到一定程度的发展。比如，列宁在讲到帝国主义的腐朽性时说:“如果以为这一腐朽趋势排除了资本主义的迅速发展，那就错了。不，在帝国主义时代，个别工业部门，个别资产阶级阶层，个别国家，不同程度地时而表现出这种趋势，</w:t>
      </w:r>
      <w:r>
        <w:rPr>
          <w:rFonts w:hint="eastAsia" w:ascii="宋体" w:hAnsi="宋体" w:eastAsia="宋体" w:cs="宋体"/>
          <w:i w:val="0"/>
          <w:iCs w:val="0"/>
          <w:szCs w:val="24"/>
        </w:rPr>
        <w:t>时而又表现出那种趋势</w:t>
      </w:r>
      <w:r>
        <w:rPr>
          <w:rFonts w:hint="eastAsia" w:ascii="宋体" w:hAnsi="宋体" w:eastAsia="宋体" w:cs="宋体"/>
          <w:szCs w:val="24"/>
        </w:rPr>
        <w:t>。整个说来，资本主义的发展比从前要快得多……</w:t>
      </w:r>
      <w:r>
        <w:rPr>
          <w:rFonts w:hint="eastAsia" w:ascii="宋体" w:hAnsi="宋体" w:eastAsia="宋体" w:cs="宋体"/>
          <w:szCs w:val="24"/>
          <w:lang w:eastAsia="zh-CN"/>
        </w:rPr>
        <w:t>。</w:t>
      </w:r>
      <w:r>
        <w:rPr>
          <w:rFonts w:hint="eastAsia" w:ascii="宋体" w:hAnsi="宋体" w:eastAsia="宋体" w:cs="宋体"/>
          <w:szCs w:val="24"/>
        </w:rPr>
        <w:t>”</w:t>
      </w:r>
      <w:r>
        <w:rPr>
          <w:rStyle w:val="20"/>
          <w:rFonts w:hint="eastAsia" w:ascii="宋体" w:hAnsi="宋体" w:eastAsia="宋体" w:cs="宋体"/>
          <w:szCs w:val="24"/>
        </w:rPr>
        <w:footnoteReference w:id="27"/>
      </w:r>
      <w:r>
        <w:rPr>
          <w:rFonts w:hint="eastAsia" w:ascii="宋体" w:hAnsi="宋体" w:eastAsia="宋体" w:cs="宋体"/>
          <w:szCs w:val="24"/>
        </w:rPr>
        <w:t>“它可能会在腐烂状态中保持一个比较长的时期（万一机会主义的脓疮迟迟不能治好的话），但还是必然要被消灭的。”</w:t>
      </w:r>
      <w:r>
        <w:rPr>
          <w:rStyle w:val="20"/>
          <w:rFonts w:hint="eastAsia" w:ascii="宋体" w:hAnsi="宋体" w:eastAsia="宋体" w:cs="宋体"/>
          <w:szCs w:val="24"/>
        </w:rPr>
        <w:footnoteReference w:id="28"/>
      </w:r>
    </w:p>
    <w:p w14:paraId="5A383A09">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　　那么，当代资本主义的新变化为什么不会改变它必然灭亡的历史发展趋势呢?这里仅从下面三个方面来分析。</w:t>
      </w:r>
    </w:p>
    <w:p w14:paraId="64A3B4DA">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　　首先，资本主义基本矛盾仍然存在并继续发展。当代资本主义的新变化，有千变万变，但有一点一直没变，也不会变，那就是资本主义的基本矛盾。尽管当代资本主义国家在生产力、生产关系和上层建筑方面进行了很多的改革，但这些改革并没有根本触动资本主义的私有制。因此，马克思早就揭示过的资本主义基本矛盾，即生产的社会化和资产阶级私人占有之间的矛盾，就仍然存在，而且还不断发展。从生产的垄断到金融的垄断、从私人的垄断到国家的垄断、从国内的垄断到国际的垄断，所有这些过程在当代资本主义中都在加速地进行。垄断组织的规模越来越大，兼并浪潮一浪高过一浪。一方面，经济社会化和全球化的程度是在不断地提高，另一方面，生产要素私人所有的经济本质却依然如故。于是，生产社会化和全球化和私有制的矛盾自然也就会变得越来越尖锐。这一基本矛盾的解决，最后只能是通过逐步消灭资本主义的私有制。舍此之外，别无他途。</w:t>
      </w:r>
    </w:p>
    <w:p w14:paraId="6D964D9D">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　　其次，资本主义积累规律仍然存在并继续发展。尽管当代发达资本主义试图采取各种办法，要把贫富两极分化控制在一定的范围之内，但不幸的是，伴随资本主义的发展，资本主义国家内部以及整个世界范围之内的两极分化却是在进一步扩大。资本主义的积累规律继续在发挥作用，一极表现为财富的积累，另一极表现为贫困的积累。例如，在美国，最富的1%的人拥有全美家庭财富的大约40%，比90%的美国人所拥有的财富还要多</w:t>
      </w:r>
      <w:r>
        <w:rPr>
          <w:rFonts w:hint="eastAsia" w:ascii="宋体" w:hAnsi="宋体" w:eastAsia="宋体" w:cs="宋体"/>
          <w:szCs w:val="24"/>
          <w:lang w:eastAsia="zh-CN"/>
        </w:rPr>
        <w:t>；</w:t>
      </w:r>
      <w:r>
        <w:rPr>
          <w:rFonts w:hint="eastAsia" w:ascii="宋体" w:hAnsi="宋体" w:eastAsia="宋体" w:cs="宋体"/>
          <w:szCs w:val="24"/>
        </w:rPr>
        <w:t>在英国，最富的20%的人所占有的财富，是最穷的20%的人所占有财富的10倍。如果来看一下全球范围内的两极分化现象，那就更是触目惊心。比如，以挪威、美国等十五个国家为代表的高收入国家，与以布隆迪、津巴布韦等十五个国家为代表的低收入国家的人均国民收入的差距，1980年是35.1倍，随后不断扩大，2000年为88.9倍，2006年达到峰值为96.7倍，相比1980年扩大了将近3倍；之后略有回落，2010年为77.4倍，2019年为66.5倍，仍然比1980年扩大了将近一倍。</w:t>
      </w:r>
      <w:r>
        <w:rPr>
          <w:rStyle w:val="20"/>
          <w:rFonts w:hint="eastAsia" w:ascii="宋体" w:hAnsi="宋体" w:eastAsia="宋体" w:cs="宋体"/>
          <w:szCs w:val="24"/>
        </w:rPr>
        <w:footnoteReference w:id="29"/>
      </w:r>
    </w:p>
    <w:p w14:paraId="4EF60C7F">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szCs w:val="24"/>
        </w:rPr>
        <w:t>　　第三，资本主义各类危机仍然存在并继续发展。资本主义国家对经济社会的干预在一定的程度上可以缓解经济、社会、政治和文化等危机，但却没有也不可能从根本上消灭各类危机。20世纪70年代以来频繁爆发的石油危机，明显暴露了资本主义经济制度在对付外来冲击方面的脆弱；90年代以来频繁爆发的金融危机，则明显暴露了资本主义经济制度内部的重大缺陷；美国等国家时常爆发的财政危机又明显暴露了资本主义经济和政治制度的内在痼疾；2020年初开始大爆发的新冠病毒疫情，也充分暴露了整个资本主义世界的医卫、经济、文化和政治的治理弱能和制度弊端。各类危机意味着私有化的经济基础、金钱化的政治制度、自私化的价值观念、侵略性的军事力量等，均会严重影响人民生活提升、国家健康发展和社会矛盾激化，充分说明了资本主义生产关系和上层建筑对生产力发展的严重阻碍。</w:t>
      </w:r>
    </w:p>
    <w:p w14:paraId="33860EE3">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color w:val="333333"/>
          <w:szCs w:val="24"/>
          <w:shd w:val="clear" w:color="auto" w:fill="FFFFFF"/>
        </w:rPr>
      </w:pPr>
      <w:r>
        <w:rPr>
          <w:rFonts w:hint="eastAsia" w:ascii="宋体" w:hAnsi="宋体" w:eastAsia="宋体" w:cs="宋体"/>
          <w:szCs w:val="24"/>
        </w:rPr>
        <w:t>　　第四，历史印证了上述分析的客观性和科学性。以1825年英国第一次爆发经济危机、</w:t>
      </w:r>
      <w:r>
        <w:rPr>
          <w:rFonts w:hint="eastAsia" w:ascii="宋体" w:hAnsi="宋体" w:eastAsia="宋体" w:cs="宋体"/>
          <w:color w:val="333333"/>
          <w:szCs w:val="24"/>
          <w:shd w:val="clear" w:color="auto" w:fill="FFFFFF"/>
        </w:rPr>
        <w:t>19世纪30年代第一次产业革命在英国等资本主义国家基本完成、英法德三国工人阶级大规模罢工或起义为标准，马克思恩格斯在《共产党宣言》和《资本论》第一卷揭示和宣布：资本主义基本矛盾导致生产力与资本主义生产关系已经冲突（表现为生产关系严重阻碍生产力发展，但不等于阻碍到生产力完全停止发展），无产阶级革命的客观经济基础已经成熟，资本主义丧钟敲响了！不过，如果革命的主观条件不具备，即没有高水平的工人阶级政党、领袖和正确的战略策略，革命便不会立即成功。1871年巴黎公社起义也标志着法国资本主义丧钟敲响了，但没有敲死的原因在于军事和政治政策失误，而不是革命缺乏客观经济基础。</w:t>
      </w:r>
    </w:p>
    <w:p w14:paraId="52B1E589">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ascii="宋体" w:hAnsi="宋体" w:eastAsia="宋体" w:cs="宋体"/>
          <w:szCs w:val="24"/>
        </w:rPr>
      </w:pPr>
      <w:r>
        <w:rPr>
          <w:rFonts w:hint="eastAsia" w:ascii="宋体" w:hAnsi="宋体" w:eastAsia="宋体" w:cs="宋体"/>
          <w:color w:val="333333"/>
          <w:szCs w:val="24"/>
          <w:shd w:val="clear" w:color="auto" w:fill="FFFFFF"/>
        </w:rPr>
        <w:t>随后，以1857年第一次世界性经济危机首先在美国爆发、1873年世界性经济危机促使自由资本主义向垄断资本主义过渡、一直到19世纪末20世纪初基本形成垄断资本主义为标志，列宁揭示和宣布：垄断资本主义具有寄生性或腐朽性、过渡性或垂死性，世界处于帝国主义和无产阶级革命的时代，而帝国主义时代的经济政治发展不平衡规律使革命有可能在一国或数国首先胜利！由于列宁领导的无产阶级政党具有正确的战略策略，因而十几年后的1917年爆发的十月革命，就很快敲死了军事封建帝国主义国家的沙俄。以后，毛泽东领导的无产阶级政党具有正确的战略策略，因而二十几年后就敲死了资产阶级统治的半封建半殖民地中国（二战后中国呈现为封建的、买办的国家垄断资本主义状态）。</w:t>
      </w:r>
      <w:r>
        <w:rPr>
          <w:rFonts w:hint="eastAsia" w:ascii="宋体" w:hAnsi="宋体" w:eastAsia="宋体" w:cs="宋体"/>
          <w:color w:val="333333"/>
          <w:szCs w:val="24"/>
          <w:shd w:val="clear" w:color="auto" w:fill="FFFFFF"/>
          <w:lang w:val="en-US" w:eastAsia="zh-CN"/>
        </w:rPr>
        <w:t>20</w:t>
      </w:r>
      <w:r>
        <w:rPr>
          <w:rFonts w:hint="eastAsia" w:ascii="宋体" w:hAnsi="宋体" w:eastAsia="宋体" w:cs="宋体"/>
          <w:color w:val="333333"/>
          <w:szCs w:val="24"/>
          <w:shd w:val="clear" w:color="auto" w:fill="FFFFFF"/>
        </w:rPr>
        <w:t>世纪15个共产党领导的社会主义国家存在的历史，印证了上述理论，而戈尔巴乔夫、叶利钦领导的共产党主动背叛马克思主义，导致苏联和东欧社会主义国家倒退到资本主义国家，同样印证了上述理论，并表明社会主义及其经济制度发展的曲折性和艰难性，但改变不了大时代的性质和大趋势。</w:t>
      </w:r>
    </w:p>
    <w:p w14:paraId="287B572C">
      <w:pPr>
        <w:pStyle w:val="11"/>
        <w:pageBreakBefore w:val="0"/>
        <w:widowControl/>
        <w:kinsoku w:val="0"/>
        <w:wordWrap/>
        <w:overflowPunct/>
        <w:topLinePunct w:val="0"/>
        <w:autoSpaceDE w:val="0"/>
        <w:autoSpaceDN w:val="0"/>
        <w:bidi w:val="0"/>
        <w:adjustRightInd w:val="0"/>
        <w:snapToGrid w:val="0"/>
        <w:spacing w:line="400" w:lineRule="exact"/>
        <w:ind w:left="0" w:leftChars="0" w:firstLine="480" w:firstLineChars="200"/>
        <w:textAlignment w:val="baseline"/>
        <w:rPr>
          <w:rFonts w:ascii="宋体" w:hAnsi="宋体" w:eastAsia="宋体" w:cs="宋体"/>
          <w:sz w:val="24"/>
          <w:szCs w:val="24"/>
        </w:rPr>
      </w:pPr>
      <w:r>
        <w:rPr>
          <w:rFonts w:hint="eastAsia" w:ascii="宋体" w:hAnsi="宋体" w:eastAsia="宋体" w:cs="宋体"/>
          <w:sz w:val="24"/>
          <w:szCs w:val="24"/>
        </w:rPr>
        <w:t>第五，顺便更深一步地表达一个相关观点。笔者在研究中形成的新马克思经济学综合学派和新唯物史观认为，在英国机器大生产占主导地位而发生的经济危机表明资本主义基本经济矛盾冲突以后，全球任何国家的无产阶级政党都可以运用马克思主义理论，在前社会主义的任何社会中进行革命，革命成功后再大力发展生产力，逐步向社会主义社会过渡，因而可以跨越各种剥削社会的“卡夫丁峡谷”。其缘由在于，在19世纪20—40年代，英国爆发两次经济危机，英法德三国工人阶级开展反对资产阶级和资本主义的剥削压迫，已表明这些先进生产力国家的资本主义经济关系已开始与本国生产力</w:t>
      </w:r>
      <w:r>
        <w:rPr>
          <w:rFonts w:hint="eastAsia" w:ascii="宋体" w:hAnsi="宋体" w:eastAsia="宋体" w:cs="宋体"/>
          <w:sz w:val="24"/>
          <w:szCs w:val="24"/>
          <w:lang w:val="en-US" w:eastAsia="zh-CN"/>
        </w:rPr>
        <w:t>的</w:t>
      </w:r>
      <w:r>
        <w:rPr>
          <w:rFonts w:hint="eastAsia" w:ascii="宋体" w:hAnsi="宋体" w:eastAsia="宋体" w:cs="宋体"/>
          <w:sz w:val="24"/>
          <w:szCs w:val="24"/>
        </w:rPr>
        <w:t>迅速大发展冲突了，那么一切前社会主义的社会形态及其经济关系均不适应机器大生产的先进生产力，这就为无产阶级革命及其胜利奠定了底线的客观经济基础和经济条件。可见，包括中国共产党在内的各国无产阶级政党的革命根本不存在“搞早了”的问题。</w:t>
      </w:r>
    </w:p>
    <w:p w14:paraId="3A31503E">
      <w:pPr>
        <w:pageBreakBefore w:val="0"/>
        <w:widowControl/>
        <w:kinsoku w:val="0"/>
        <w:wordWrap/>
        <w:overflowPunct/>
        <w:topLinePunct w:val="0"/>
        <w:autoSpaceDE w:val="0"/>
        <w:autoSpaceDN w:val="0"/>
        <w:bidi w:val="0"/>
        <w:adjustRightInd w:val="0"/>
        <w:snapToGrid w:val="0"/>
        <w:spacing w:line="400" w:lineRule="exact"/>
        <w:ind w:left="0" w:leftChars="0" w:firstLine="420" w:firstLineChars="200"/>
        <w:textAlignment w:val="baseline"/>
        <w:rPr>
          <w:rFonts w:hint="eastAsia" w:ascii="宋体" w:hAnsi="宋体" w:eastAsia="宋体" w:cs="宋体"/>
          <w:szCs w:val="24"/>
        </w:rPr>
      </w:pPr>
      <w:r>
        <w:rPr>
          <w:rFonts w:hint="eastAsia" w:ascii="宋体" w:hAnsi="宋体" w:eastAsia="宋体" w:cs="宋体"/>
          <w:szCs w:val="24"/>
        </w:rPr>
        <w:t>总而言之，列宁主义不仅指导苏俄无产阶级革命和建设取得了胜利，是马克思主义苏俄化理论，而且一直指导国际无产阶级革命和建设，是与马克思恩格斯主义并列的国际马克思主义理论。在21世纪，世界级马列主义依然具有极大的当代价值和“在场”，马列主义及其各国化理论必将推动世界社会主义从低潮走向高潮和胜利。</w:t>
      </w:r>
    </w:p>
    <w:p w14:paraId="30A076E8">
      <w:pPr>
        <w:tabs>
          <w:tab w:val="left" w:pos="347"/>
        </w:tabs>
        <w:spacing w:line="360" w:lineRule="auto"/>
        <w:ind w:firstLine="420" w:firstLineChars="200"/>
        <w:rPr>
          <w:rFonts w:hint="eastAsia" w:ascii="宋体" w:hAnsi="宋体" w:eastAsia="宋体" w:cs="宋体"/>
          <w:b/>
          <w:bCs/>
          <w:szCs w:val="24"/>
          <w:lang w:eastAsia="zh-CN"/>
        </w:rPr>
      </w:pPr>
    </w:p>
    <w:p w14:paraId="5A9BA715">
      <w:pPr>
        <w:tabs>
          <w:tab w:val="left" w:pos="347"/>
        </w:tabs>
        <w:spacing w:line="360" w:lineRule="auto"/>
        <w:ind w:firstLine="420" w:firstLineChars="200"/>
        <w:rPr>
          <w:rFonts w:hint="eastAsia" w:ascii="宋体" w:hAnsi="宋体" w:eastAsia="宋体" w:cs="宋体"/>
          <w:b/>
          <w:bCs/>
          <w:szCs w:val="24"/>
          <w:lang w:eastAsia="zh-CN"/>
        </w:rPr>
      </w:pPr>
      <w:r>
        <w:rPr>
          <w:rFonts w:hint="eastAsia" w:ascii="宋体" w:hAnsi="宋体" w:eastAsia="宋体" w:cs="宋体"/>
          <w:b/>
          <w:bCs/>
          <w:szCs w:val="24"/>
          <w:lang w:eastAsia="zh-CN"/>
        </w:rPr>
        <w:t>（</w:t>
      </w:r>
      <w:r>
        <w:rPr>
          <w:rFonts w:hint="eastAsia" w:ascii="宋体" w:hAnsi="宋体" w:eastAsia="宋体" w:cs="宋体"/>
          <w:b/>
          <w:bCs/>
          <w:szCs w:val="24"/>
          <w:lang w:val="en-US" w:eastAsia="zh-CN"/>
        </w:rPr>
        <w:t>原载《政治经济学研究》2022年第一期；英文《国际批判思想》2021年第4期</w:t>
      </w:r>
      <w:r>
        <w:rPr>
          <w:rFonts w:hint="eastAsia" w:ascii="宋体" w:hAnsi="宋体" w:eastAsia="宋体" w:cs="宋体"/>
          <w:b/>
          <w:bCs/>
          <w:szCs w:val="24"/>
          <w:lang w:eastAsia="zh-CN"/>
        </w:rPr>
        <w:t>）</w:t>
      </w:r>
    </w:p>
    <w:p w14:paraId="2017416D">
      <w:pPr>
        <w:keepNext w:val="0"/>
        <w:keepLines w:val="0"/>
        <w:pageBreakBefore w:val="0"/>
        <w:widowControl/>
        <w:kinsoku w:val="0"/>
        <w:wordWrap/>
        <w:overflowPunct/>
        <w:topLinePunct w:val="0"/>
        <w:autoSpaceDE w:val="0"/>
        <w:autoSpaceDN w:val="0"/>
        <w:bidi w:val="0"/>
        <w:adjustRightInd w:val="0"/>
        <w:snapToGrid w:val="0"/>
        <w:spacing w:line="400" w:lineRule="exact"/>
        <w:textAlignment w:val="baseline"/>
        <w:rPr>
          <w:rFonts w:hint="eastAsia" w:ascii="宋体" w:hAnsi="宋体" w:eastAsia="宋体" w:cs="宋体"/>
          <w:sz w:val="24"/>
          <w:szCs w:val="24"/>
        </w:rPr>
      </w:pPr>
    </w:p>
    <w:p w14:paraId="70DCBC25">
      <w:pPr>
        <w:pStyle w:val="3"/>
        <w:bidi w:val="0"/>
        <w:rPr>
          <w:rFonts w:hint="eastAsia"/>
        </w:rPr>
      </w:pPr>
      <w:bookmarkStart w:id="72" w:name="_Toc883309778"/>
      <w:bookmarkStart w:id="73" w:name="_Toc847201437"/>
      <w:bookmarkStart w:id="74" w:name="_Toc1379912498"/>
      <w:bookmarkStart w:id="75" w:name="_Toc18224"/>
      <w:bookmarkStart w:id="76" w:name="_Toc1462924437"/>
      <w:bookmarkStart w:id="77" w:name="_Toc446987178"/>
      <w:r>
        <w:rPr>
          <w:rFonts w:hint="eastAsia"/>
          <w:lang w:val="en-US" w:eastAsia="zh-CN"/>
        </w:rPr>
        <w:t>5</w:t>
      </w:r>
      <w:r>
        <w:rPr>
          <w:rFonts w:hint="eastAsia"/>
        </w:rPr>
        <w:t>新时代科学家精神的养成探赜</w:t>
      </w:r>
      <w:bookmarkEnd w:id="72"/>
      <w:bookmarkEnd w:id="73"/>
      <w:bookmarkEnd w:id="74"/>
      <w:bookmarkEnd w:id="75"/>
      <w:bookmarkEnd w:id="76"/>
      <w:bookmarkEnd w:id="77"/>
    </w:p>
    <w:p w14:paraId="147B77CF">
      <w:pPr>
        <w:keepNext w:val="0"/>
        <w:keepLines w:val="0"/>
        <w:pageBreakBefore w:val="0"/>
        <w:widowControl/>
        <w:kinsoku w:val="0"/>
        <w:wordWrap/>
        <w:overflowPunct/>
        <w:topLinePunct w:val="0"/>
        <w:autoSpaceDE w:val="0"/>
        <w:autoSpaceDN w:val="0"/>
        <w:bidi w:val="0"/>
        <w:adjustRightInd w:val="0"/>
        <w:snapToGrid w:val="0"/>
        <w:spacing w:line="400" w:lineRule="exact"/>
        <w:ind w:left="0" w:firstLine="480" w:firstLineChars="200"/>
        <w:textAlignment w:val="baseline"/>
        <w:rPr>
          <w:rFonts w:hint="eastAsia" w:ascii="宋体" w:hAnsi="宋体" w:eastAsia="宋体" w:cs="宋体"/>
          <w:sz w:val="24"/>
          <w:szCs w:val="24"/>
        </w:rPr>
      </w:pPr>
    </w:p>
    <w:p w14:paraId="4880122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摘要：以科技进步为主要标志的生产力水平的不同，把人类</w:t>
      </w:r>
      <w:r>
        <w:rPr>
          <w:rFonts w:hint="eastAsia" w:ascii="宋体" w:hAnsi="宋体" w:eastAsia="宋体" w:cs="宋体"/>
          <w:spacing w:val="11"/>
          <w:sz w:val="24"/>
          <w:szCs w:val="24"/>
        </w:rPr>
        <w:t>推进到了不同的社会</w:t>
      </w:r>
      <w:r>
        <w:rPr>
          <w:rFonts w:hint="eastAsia" w:ascii="宋体" w:hAnsi="宋体" w:eastAsia="宋体" w:cs="宋体"/>
          <w:spacing w:val="8"/>
          <w:sz w:val="24"/>
          <w:szCs w:val="24"/>
        </w:rPr>
        <w:t>形态</w:t>
      </w:r>
      <w:r>
        <w:rPr>
          <w:rFonts w:hint="eastAsia" w:ascii="宋体" w:hAnsi="宋体" w:eastAsia="宋体" w:cs="宋体"/>
          <w:spacing w:val="8"/>
          <w:position w:val="1"/>
          <w:sz w:val="24"/>
          <w:szCs w:val="24"/>
        </w:rPr>
        <w:t>，</w:t>
      </w:r>
      <w:r>
        <w:rPr>
          <w:rFonts w:hint="eastAsia" w:ascii="宋体" w:hAnsi="宋体" w:eastAsia="宋体" w:cs="宋体"/>
          <w:spacing w:val="8"/>
          <w:sz w:val="24"/>
          <w:szCs w:val="24"/>
        </w:rPr>
        <w:t>也使人类呈现出不同的文明形态</w:t>
      </w:r>
      <w:r>
        <w:rPr>
          <w:rFonts w:hint="eastAsia" w:ascii="宋体" w:hAnsi="宋体" w:eastAsia="宋体" w:cs="宋体"/>
          <w:spacing w:val="8"/>
          <w:position w:val="1"/>
          <w:sz w:val="24"/>
          <w:szCs w:val="24"/>
        </w:rPr>
        <w:t>。</w:t>
      </w:r>
      <w:r>
        <w:rPr>
          <w:rFonts w:hint="eastAsia" w:ascii="宋体" w:hAnsi="宋体" w:eastAsia="宋体" w:cs="宋体"/>
          <w:spacing w:val="8"/>
          <w:sz w:val="24"/>
          <w:szCs w:val="24"/>
        </w:rPr>
        <w:t>以塑形铸魂科学家精神为切入点</w:t>
      </w:r>
      <w:r>
        <w:rPr>
          <w:rFonts w:hint="eastAsia" w:ascii="宋体" w:hAnsi="宋体" w:eastAsia="宋体" w:cs="宋体"/>
          <w:spacing w:val="8"/>
          <w:position w:val="1"/>
          <w:sz w:val="24"/>
          <w:szCs w:val="24"/>
        </w:rPr>
        <w:t>，</w:t>
      </w:r>
      <w:r>
        <w:rPr>
          <w:rFonts w:hint="eastAsia" w:ascii="宋体" w:hAnsi="宋体" w:eastAsia="宋体" w:cs="宋体"/>
          <w:spacing w:val="8"/>
          <w:sz w:val="24"/>
          <w:szCs w:val="24"/>
        </w:rPr>
        <w:t>形成良好</w:t>
      </w:r>
      <w:r>
        <w:rPr>
          <w:rFonts w:hint="eastAsia" w:ascii="宋体" w:hAnsi="宋体" w:eastAsia="宋体" w:cs="宋体"/>
          <w:spacing w:val="12"/>
          <w:sz w:val="24"/>
          <w:szCs w:val="24"/>
        </w:rPr>
        <w:t>的社会风尚和生态</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推进科技创新和科技现代化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是新时代面临的重大课题</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中国科</w:t>
      </w:r>
      <w:r>
        <w:rPr>
          <w:rFonts w:hint="eastAsia" w:ascii="宋体" w:hAnsi="宋体" w:eastAsia="宋体" w:cs="宋体"/>
          <w:spacing w:val="7"/>
          <w:sz w:val="24"/>
          <w:szCs w:val="24"/>
        </w:rPr>
        <w:t>学家精神时代内涵的真谛蕴含着真</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rPr>
        <w:t>善</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rPr>
        <w:t>美三个维度，彰显着科技的威力</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rPr>
        <w:t>德力</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rPr>
        <w:t>魅力，</w:t>
      </w:r>
      <w:r>
        <w:rPr>
          <w:rFonts w:hint="eastAsia" w:ascii="宋体" w:hAnsi="宋体" w:eastAsia="宋体" w:cs="宋体"/>
          <w:spacing w:val="4"/>
          <w:sz w:val="24"/>
          <w:szCs w:val="24"/>
        </w:rPr>
        <w:t>若要引导广大科技工作者做“求真的先锋</w:t>
      </w:r>
      <w:r>
        <w:rPr>
          <w:rFonts w:hint="eastAsia" w:ascii="宋体" w:hAnsi="宋体" w:eastAsia="宋体" w:cs="宋体"/>
          <w:spacing w:val="4"/>
          <w:sz w:val="24"/>
          <w:szCs w:val="24"/>
          <w:lang w:eastAsia="zh-CN"/>
        </w:rPr>
        <w:t>、</w:t>
      </w:r>
      <w:r>
        <w:rPr>
          <w:rFonts w:hint="eastAsia" w:ascii="宋体" w:hAnsi="宋体" w:eastAsia="宋体" w:cs="宋体"/>
          <w:spacing w:val="4"/>
          <w:sz w:val="24"/>
          <w:szCs w:val="24"/>
        </w:rPr>
        <w:t>至</w:t>
      </w:r>
      <w:r>
        <w:rPr>
          <w:rFonts w:hint="eastAsia" w:ascii="宋体" w:hAnsi="宋体" w:eastAsia="宋体" w:cs="宋体"/>
          <w:spacing w:val="3"/>
          <w:sz w:val="24"/>
          <w:szCs w:val="24"/>
        </w:rPr>
        <w:t>善的标杆</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臻美的使者”，需从社会养成和</w:t>
      </w:r>
      <w:r>
        <w:rPr>
          <w:rFonts w:hint="eastAsia" w:ascii="宋体" w:hAnsi="宋体" w:eastAsia="宋体" w:cs="宋体"/>
          <w:spacing w:val="-3"/>
          <w:sz w:val="24"/>
          <w:szCs w:val="24"/>
        </w:rPr>
        <w:t>个人养成两个层面，综合国家政策</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社会制度</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伦理治理</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经济支撑</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文化滋养</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精神传承</w:t>
      </w:r>
      <w:r>
        <w:rPr>
          <w:rFonts w:hint="eastAsia" w:ascii="宋体" w:hAnsi="宋体" w:eastAsia="宋体" w:cs="宋体"/>
          <w:spacing w:val="-3"/>
          <w:sz w:val="24"/>
          <w:szCs w:val="24"/>
          <w:lang w:eastAsia="zh-CN"/>
        </w:rPr>
        <w:t>、</w:t>
      </w:r>
      <w:r>
        <w:rPr>
          <w:rFonts w:hint="eastAsia" w:ascii="宋体" w:hAnsi="宋体" w:eastAsia="宋体" w:cs="宋体"/>
          <w:spacing w:val="5"/>
          <w:sz w:val="24"/>
          <w:szCs w:val="24"/>
        </w:rPr>
        <w:t>教育熏陶</w:t>
      </w:r>
      <w:r>
        <w:rPr>
          <w:rFonts w:hint="eastAsia" w:ascii="宋体" w:hAnsi="宋体" w:eastAsia="宋体" w:cs="宋体"/>
          <w:spacing w:val="5"/>
          <w:position w:val="1"/>
          <w:sz w:val="24"/>
          <w:szCs w:val="24"/>
          <w:lang w:eastAsia="zh-CN"/>
        </w:rPr>
        <w:t>、</w:t>
      </w:r>
      <w:r>
        <w:rPr>
          <w:rFonts w:hint="eastAsia" w:ascii="宋体" w:hAnsi="宋体" w:eastAsia="宋体" w:cs="宋体"/>
          <w:spacing w:val="5"/>
          <w:sz w:val="24"/>
          <w:szCs w:val="24"/>
        </w:rPr>
        <w:t>团队打造</w:t>
      </w:r>
      <w:r>
        <w:rPr>
          <w:rFonts w:hint="eastAsia" w:ascii="宋体" w:hAnsi="宋体" w:eastAsia="宋体" w:cs="宋体"/>
          <w:spacing w:val="5"/>
          <w:position w:val="1"/>
          <w:sz w:val="24"/>
          <w:szCs w:val="24"/>
          <w:lang w:eastAsia="zh-CN"/>
        </w:rPr>
        <w:t>、</w:t>
      </w:r>
      <w:r>
        <w:rPr>
          <w:rFonts w:hint="eastAsia" w:ascii="宋体" w:hAnsi="宋体" w:eastAsia="宋体" w:cs="宋体"/>
          <w:spacing w:val="5"/>
          <w:sz w:val="24"/>
          <w:szCs w:val="24"/>
        </w:rPr>
        <w:t>实践磨砺等多种因素</w:t>
      </w:r>
      <w:r>
        <w:rPr>
          <w:rFonts w:hint="eastAsia" w:ascii="宋体" w:hAnsi="宋体" w:eastAsia="宋体" w:cs="宋体"/>
          <w:spacing w:val="5"/>
          <w:position w:val="1"/>
          <w:sz w:val="24"/>
          <w:szCs w:val="24"/>
        </w:rPr>
        <w:t>，</w:t>
      </w:r>
      <w:r>
        <w:rPr>
          <w:rFonts w:hint="eastAsia" w:ascii="宋体" w:hAnsi="宋体" w:eastAsia="宋体" w:cs="宋体"/>
          <w:spacing w:val="5"/>
          <w:sz w:val="24"/>
          <w:szCs w:val="24"/>
        </w:rPr>
        <w:t>将外在激励约束与内在激励约束相结合</w:t>
      </w:r>
      <w:r>
        <w:rPr>
          <w:rFonts w:hint="eastAsia" w:ascii="宋体" w:hAnsi="宋体" w:eastAsia="宋体" w:cs="宋体"/>
          <w:spacing w:val="5"/>
          <w:position w:val="1"/>
          <w:sz w:val="24"/>
          <w:szCs w:val="24"/>
        </w:rPr>
        <w:t>，</w:t>
      </w:r>
      <w:r>
        <w:rPr>
          <w:rFonts w:hint="eastAsia" w:ascii="宋体" w:hAnsi="宋体" w:eastAsia="宋体" w:cs="宋体"/>
          <w:spacing w:val="5"/>
          <w:sz w:val="24"/>
          <w:szCs w:val="24"/>
        </w:rPr>
        <w:t>共</w:t>
      </w:r>
      <w:r>
        <w:rPr>
          <w:rFonts w:hint="eastAsia" w:ascii="宋体" w:hAnsi="宋体" w:eastAsia="宋体" w:cs="宋体"/>
          <w:spacing w:val="10"/>
          <w:sz w:val="24"/>
          <w:szCs w:val="24"/>
        </w:rPr>
        <w:t>同推动科学家精神在神州大地蔚然成风</w:t>
      </w:r>
      <w:r>
        <w:rPr>
          <w:rFonts w:hint="eastAsia" w:ascii="宋体" w:hAnsi="宋体" w:eastAsia="宋体" w:cs="宋体"/>
          <w:spacing w:val="10"/>
          <w:position w:val="1"/>
          <w:sz w:val="24"/>
          <w:szCs w:val="24"/>
        </w:rPr>
        <w:t>，</w:t>
      </w:r>
      <w:r>
        <w:rPr>
          <w:rFonts w:hint="eastAsia" w:ascii="宋体" w:hAnsi="宋体" w:eastAsia="宋体" w:cs="宋体"/>
          <w:spacing w:val="10"/>
          <w:sz w:val="24"/>
          <w:szCs w:val="24"/>
        </w:rPr>
        <w:t>努力建构新时代科学家精神的养成体系</w:t>
      </w:r>
      <w:r>
        <w:rPr>
          <w:rFonts w:hint="eastAsia" w:ascii="宋体" w:hAnsi="宋体" w:eastAsia="宋体" w:cs="宋体"/>
          <w:spacing w:val="10"/>
          <w:position w:val="1"/>
          <w:sz w:val="24"/>
          <w:szCs w:val="24"/>
        </w:rPr>
        <w:t>。</w:t>
      </w:r>
    </w:p>
    <w:p w14:paraId="3008167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关键词：新时代科学家精神；社会养成；个</w:t>
      </w:r>
      <w:r>
        <w:rPr>
          <w:rFonts w:hint="eastAsia" w:ascii="宋体" w:hAnsi="宋体" w:eastAsia="宋体" w:cs="宋体"/>
          <w:spacing w:val="6"/>
          <w:sz w:val="24"/>
          <w:szCs w:val="24"/>
        </w:rPr>
        <w:t>人养成；社会主义核心价值观</w:t>
      </w:r>
      <w:r>
        <w:rPr>
          <w:rFonts w:hint="eastAsia" w:ascii="宋体" w:hAnsi="宋体" w:eastAsia="宋体" w:cs="宋体"/>
          <w:spacing w:val="-5"/>
          <w:sz w:val="24"/>
          <w:szCs w:val="24"/>
        </w:rPr>
        <w:t>“手推磨产生的是封建主的社会，蒸汽磨产生的是工业资</w:t>
      </w:r>
      <w:r>
        <w:rPr>
          <w:rFonts w:hint="eastAsia" w:ascii="宋体" w:hAnsi="宋体" w:eastAsia="宋体" w:cs="宋体"/>
          <w:spacing w:val="-6"/>
          <w:sz w:val="24"/>
          <w:szCs w:val="24"/>
        </w:rPr>
        <w:t>本家的社会。”</w:t>
      </w:r>
      <w:r>
        <w:rPr>
          <w:rStyle w:val="20"/>
          <w:rFonts w:hint="eastAsia" w:ascii="宋体" w:hAnsi="宋体" w:eastAsia="宋体" w:cs="宋体"/>
          <w:spacing w:val="-6"/>
          <w:sz w:val="24"/>
          <w:szCs w:val="24"/>
        </w:rPr>
        <w:footnoteReference w:id="30"/>
      </w:r>
      <w:r>
        <w:rPr>
          <w:rFonts w:hint="eastAsia" w:ascii="宋体" w:hAnsi="宋体" w:eastAsia="宋体" w:cs="宋体"/>
          <w:spacing w:val="-6"/>
          <w:sz w:val="24"/>
          <w:szCs w:val="24"/>
        </w:rPr>
        <w:t>以科学技术进步</w:t>
      </w:r>
      <w:r>
        <w:rPr>
          <w:rFonts w:hint="eastAsia" w:ascii="宋体" w:hAnsi="宋体" w:eastAsia="宋体" w:cs="宋体"/>
          <w:spacing w:val="15"/>
          <w:sz w:val="24"/>
          <w:szCs w:val="24"/>
        </w:rPr>
        <w:t>为主要标志的生产力水平的不同</w:t>
      </w:r>
      <w:r>
        <w:rPr>
          <w:rFonts w:hint="eastAsia" w:ascii="宋体" w:hAnsi="宋体" w:eastAsia="宋体" w:cs="宋体"/>
          <w:spacing w:val="15"/>
          <w:position w:val="1"/>
          <w:sz w:val="24"/>
          <w:szCs w:val="24"/>
        </w:rPr>
        <w:t>，</w:t>
      </w:r>
      <w:r>
        <w:rPr>
          <w:rFonts w:hint="eastAsia" w:ascii="宋体" w:hAnsi="宋体" w:eastAsia="宋体" w:cs="宋体"/>
          <w:spacing w:val="15"/>
          <w:sz w:val="24"/>
          <w:szCs w:val="24"/>
        </w:rPr>
        <w:t>把人类推进到了不同的社会形态</w:t>
      </w:r>
      <w:r>
        <w:rPr>
          <w:rFonts w:hint="eastAsia" w:ascii="宋体" w:hAnsi="宋体" w:eastAsia="宋体" w:cs="宋体"/>
          <w:spacing w:val="15"/>
          <w:position w:val="1"/>
          <w:sz w:val="24"/>
          <w:szCs w:val="24"/>
        </w:rPr>
        <w:t>，</w:t>
      </w:r>
      <w:r>
        <w:rPr>
          <w:rFonts w:hint="eastAsia" w:ascii="宋体" w:hAnsi="宋体" w:eastAsia="宋体" w:cs="宋体"/>
          <w:spacing w:val="15"/>
          <w:sz w:val="24"/>
          <w:szCs w:val="24"/>
        </w:rPr>
        <w:t>也使人类呈现出不同的文</w:t>
      </w:r>
      <w:r>
        <w:rPr>
          <w:rFonts w:hint="eastAsia" w:ascii="宋体" w:hAnsi="宋体" w:eastAsia="宋体" w:cs="宋体"/>
          <w:spacing w:val="9"/>
          <w:sz w:val="24"/>
          <w:szCs w:val="24"/>
        </w:rPr>
        <w:t>明形态</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科学技术现代化是我国实现四个现代化的关键</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在现代化建设新征程中</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面对世界百</w:t>
      </w:r>
      <w:r>
        <w:rPr>
          <w:rFonts w:hint="eastAsia" w:ascii="宋体" w:hAnsi="宋体" w:eastAsia="宋体" w:cs="宋体"/>
          <w:spacing w:val="7"/>
          <w:sz w:val="24"/>
          <w:szCs w:val="24"/>
        </w:rPr>
        <w:t>年未有之大变局</w:t>
      </w:r>
      <w:r>
        <w:rPr>
          <w:rFonts w:hint="eastAsia" w:ascii="宋体" w:hAnsi="宋体" w:eastAsia="宋体" w:cs="宋体"/>
          <w:spacing w:val="7"/>
          <w:position w:val="1"/>
          <w:sz w:val="24"/>
          <w:szCs w:val="24"/>
        </w:rPr>
        <w:t>，</w:t>
      </w:r>
      <w:r>
        <w:rPr>
          <w:rFonts w:hint="eastAsia" w:ascii="宋体" w:hAnsi="宋体" w:eastAsia="宋体" w:cs="宋体"/>
          <w:spacing w:val="7"/>
          <w:sz w:val="24"/>
          <w:szCs w:val="24"/>
        </w:rPr>
        <w:t>我国正着力建设科技强国和现代化经济体系</w:t>
      </w:r>
      <w:r>
        <w:rPr>
          <w:rFonts w:hint="eastAsia" w:ascii="宋体" w:hAnsi="宋体" w:eastAsia="宋体" w:cs="宋体"/>
          <w:spacing w:val="7"/>
          <w:position w:val="1"/>
          <w:sz w:val="24"/>
          <w:szCs w:val="24"/>
        </w:rPr>
        <w:t>，</w:t>
      </w:r>
      <w:r>
        <w:rPr>
          <w:rFonts w:hint="eastAsia" w:ascii="宋体" w:hAnsi="宋体" w:eastAsia="宋体" w:cs="宋体"/>
          <w:spacing w:val="7"/>
          <w:sz w:val="24"/>
          <w:szCs w:val="24"/>
        </w:rPr>
        <w:t>推动高质</w:t>
      </w:r>
      <w:r>
        <w:rPr>
          <w:rFonts w:hint="eastAsia" w:ascii="宋体" w:hAnsi="宋体" w:eastAsia="宋体" w:cs="宋体"/>
          <w:spacing w:val="6"/>
          <w:sz w:val="24"/>
          <w:szCs w:val="24"/>
        </w:rPr>
        <w:t>量发展</w:t>
      </w:r>
      <w:r>
        <w:rPr>
          <w:rFonts w:hint="eastAsia" w:ascii="宋体" w:hAnsi="宋体" w:eastAsia="宋体" w:cs="宋体"/>
          <w:spacing w:val="6"/>
          <w:position w:val="1"/>
          <w:sz w:val="24"/>
          <w:szCs w:val="24"/>
        </w:rPr>
        <w:t>，</w:t>
      </w:r>
      <w:r>
        <w:rPr>
          <w:rFonts w:hint="eastAsia" w:ascii="宋体" w:hAnsi="宋体" w:eastAsia="宋体" w:cs="宋体"/>
          <w:spacing w:val="6"/>
          <w:sz w:val="24"/>
          <w:szCs w:val="24"/>
        </w:rPr>
        <w:t>构建新发展格</w:t>
      </w:r>
      <w:r>
        <w:rPr>
          <w:rFonts w:hint="eastAsia" w:ascii="宋体" w:hAnsi="宋体" w:eastAsia="宋体" w:cs="宋体"/>
          <w:spacing w:val="15"/>
          <w:sz w:val="24"/>
          <w:szCs w:val="24"/>
        </w:rPr>
        <w:t>局</w:t>
      </w:r>
      <w:r>
        <w:rPr>
          <w:rFonts w:hint="eastAsia" w:ascii="宋体" w:hAnsi="宋体" w:eastAsia="宋体" w:cs="宋体"/>
          <w:spacing w:val="15"/>
          <w:position w:val="1"/>
          <w:sz w:val="24"/>
          <w:szCs w:val="24"/>
        </w:rPr>
        <w:t>，</w:t>
      </w:r>
      <w:r>
        <w:rPr>
          <w:rFonts w:hint="eastAsia" w:ascii="宋体" w:hAnsi="宋体" w:eastAsia="宋体" w:cs="宋体"/>
          <w:spacing w:val="15"/>
          <w:sz w:val="24"/>
          <w:szCs w:val="24"/>
        </w:rPr>
        <w:t>我国比过去任何时候都更加需要大量科学家和高层次人才</w:t>
      </w:r>
      <w:r>
        <w:rPr>
          <w:rFonts w:hint="eastAsia" w:ascii="宋体" w:hAnsi="宋体" w:eastAsia="宋体" w:cs="宋体"/>
          <w:spacing w:val="15"/>
          <w:position w:val="1"/>
          <w:sz w:val="24"/>
          <w:szCs w:val="24"/>
        </w:rPr>
        <w:t>，</w:t>
      </w:r>
      <w:r>
        <w:rPr>
          <w:rFonts w:hint="eastAsia" w:ascii="宋体" w:hAnsi="宋体" w:eastAsia="宋体" w:cs="宋体"/>
          <w:spacing w:val="15"/>
          <w:sz w:val="24"/>
          <w:szCs w:val="24"/>
        </w:rPr>
        <w:t>以及在全社会涵养与弘扬科学</w:t>
      </w:r>
      <w:r>
        <w:rPr>
          <w:rFonts w:hint="eastAsia" w:ascii="宋体" w:hAnsi="宋体" w:eastAsia="宋体" w:cs="宋体"/>
          <w:spacing w:val="8"/>
          <w:sz w:val="24"/>
          <w:szCs w:val="24"/>
        </w:rPr>
        <w:t>家精神。</w:t>
      </w:r>
    </w:p>
    <w:p w14:paraId="636C512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rPr>
          <w:rFonts w:hint="eastAsia" w:ascii="宋体" w:hAnsi="宋体" w:eastAsia="宋体" w:cs="宋体"/>
          <w:sz w:val="24"/>
          <w:szCs w:val="24"/>
        </w:rPr>
      </w:pPr>
      <w:r>
        <w:rPr>
          <w:rFonts w:hint="eastAsia" w:ascii="宋体" w:hAnsi="宋体" w:eastAsia="宋体" w:cs="宋体"/>
          <w:spacing w:val="-5"/>
          <w:sz w:val="24"/>
          <w:szCs w:val="24"/>
        </w:rPr>
        <w:t>顺应时代需要，党中央向广大科学家和科技工作者发出“四个</w:t>
      </w:r>
      <w:r>
        <w:rPr>
          <w:rFonts w:hint="eastAsia" w:ascii="宋体" w:hAnsi="宋体" w:eastAsia="宋体" w:cs="宋体"/>
          <w:spacing w:val="-6"/>
          <w:sz w:val="24"/>
          <w:szCs w:val="24"/>
        </w:rPr>
        <w:t>面向</w:t>
      </w:r>
      <w:r>
        <w:rPr>
          <w:rFonts w:hint="eastAsia" w:ascii="宋体" w:hAnsi="宋体" w:eastAsia="宋体" w:cs="宋体"/>
          <w:spacing w:val="-6"/>
          <w:position w:val="2"/>
          <w:sz w:val="24"/>
          <w:szCs w:val="24"/>
        </w:rPr>
        <w:t>”</w:t>
      </w:r>
      <w:r>
        <w:rPr>
          <w:rStyle w:val="20"/>
          <w:rFonts w:hint="eastAsia" w:ascii="宋体" w:hAnsi="宋体" w:eastAsia="宋体" w:cs="宋体"/>
          <w:spacing w:val="-6"/>
          <w:position w:val="2"/>
          <w:sz w:val="24"/>
          <w:szCs w:val="24"/>
        </w:rPr>
        <w:footnoteReference w:id="31"/>
      </w:r>
      <w:r>
        <w:rPr>
          <w:rFonts w:hint="eastAsia" w:ascii="宋体" w:hAnsi="宋体" w:eastAsia="宋体" w:cs="宋体"/>
          <w:spacing w:val="-6"/>
          <w:position w:val="2"/>
          <w:sz w:val="24"/>
          <w:szCs w:val="24"/>
        </w:rPr>
        <w:t>“</w:t>
      </w:r>
      <w:r>
        <w:rPr>
          <w:rFonts w:hint="eastAsia" w:ascii="宋体" w:hAnsi="宋体" w:eastAsia="宋体" w:cs="宋体"/>
          <w:spacing w:val="-6"/>
          <w:sz w:val="24"/>
          <w:szCs w:val="24"/>
        </w:rPr>
        <w:t>不断向科学技术广</w:t>
      </w:r>
      <w:r>
        <w:rPr>
          <w:rFonts w:hint="eastAsia" w:ascii="宋体" w:hAnsi="宋体" w:eastAsia="宋体" w:cs="宋体"/>
          <w:spacing w:val="6"/>
          <w:sz w:val="24"/>
          <w:szCs w:val="24"/>
        </w:rPr>
        <w:t>度和深度进军</w:t>
      </w:r>
      <w:r>
        <w:rPr>
          <w:rFonts w:hint="eastAsia" w:ascii="宋体" w:hAnsi="宋体" w:eastAsia="宋体" w:cs="宋体"/>
          <w:spacing w:val="6"/>
          <w:position w:val="1"/>
          <w:sz w:val="24"/>
          <w:szCs w:val="24"/>
        </w:rPr>
        <w:t>”</w:t>
      </w:r>
      <w:r>
        <w:rPr>
          <w:rFonts w:hint="eastAsia" w:ascii="宋体" w:hAnsi="宋体" w:eastAsia="宋体" w:cs="宋体"/>
          <w:spacing w:val="6"/>
          <w:sz w:val="24"/>
          <w:szCs w:val="24"/>
        </w:rPr>
        <w:t>的伟大号召</w:t>
      </w:r>
      <w:r>
        <w:rPr>
          <w:rFonts w:hint="eastAsia" w:ascii="宋体" w:hAnsi="宋体" w:eastAsia="宋体" w:cs="宋体"/>
          <w:spacing w:val="6"/>
          <w:position w:val="1"/>
          <w:sz w:val="24"/>
          <w:szCs w:val="24"/>
        </w:rPr>
        <w:t>。</w:t>
      </w:r>
      <w:r>
        <w:rPr>
          <w:rStyle w:val="20"/>
          <w:rFonts w:hint="eastAsia" w:ascii="宋体" w:hAnsi="宋体" w:eastAsia="宋体" w:cs="宋体"/>
          <w:spacing w:val="6"/>
          <w:position w:val="1"/>
          <w:sz w:val="24"/>
          <w:szCs w:val="24"/>
        </w:rPr>
        <w:footnoteReference w:id="32"/>
      </w:r>
      <w:r>
        <w:rPr>
          <w:rFonts w:hint="eastAsia" w:ascii="宋体" w:hAnsi="宋体" w:eastAsia="宋体" w:cs="宋体"/>
          <w:spacing w:val="6"/>
          <w:position w:val="-1"/>
          <w:sz w:val="24"/>
          <w:szCs w:val="24"/>
        </w:rPr>
        <w:t>2019</w:t>
      </w:r>
      <w:r>
        <w:rPr>
          <w:rFonts w:hint="eastAsia" w:ascii="宋体" w:hAnsi="宋体" w:eastAsia="宋体" w:cs="宋体"/>
          <w:spacing w:val="6"/>
          <w:sz w:val="24"/>
          <w:szCs w:val="24"/>
        </w:rPr>
        <w:t>年颁发的《关于进一步弘扬科学家精神加强作风和学风建</w:t>
      </w:r>
      <w:r>
        <w:rPr>
          <w:rFonts w:hint="eastAsia" w:ascii="宋体" w:hAnsi="宋体" w:eastAsia="宋体" w:cs="宋体"/>
          <w:spacing w:val="2"/>
          <w:sz w:val="24"/>
          <w:szCs w:val="24"/>
        </w:rPr>
        <w:t>设的意见》（以下简称《意见》）强调“以塑形铸魂科学家精神为抓手，切实加强作</w:t>
      </w:r>
      <w:r>
        <w:rPr>
          <w:rFonts w:hint="eastAsia" w:ascii="宋体" w:hAnsi="宋体" w:eastAsia="宋体" w:cs="宋体"/>
          <w:spacing w:val="1"/>
          <w:sz w:val="24"/>
          <w:szCs w:val="24"/>
        </w:rPr>
        <w:t>风和学风建设，</w:t>
      </w:r>
      <w:r>
        <w:rPr>
          <w:rFonts w:hint="eastAsia" w:ascii="宋体" w:hAnsi="宋体" w:eastAsia="宋体" w:cs="宋体"/>
          <w:spacing w:val="6"/>
          <w:sz w:val="24"/>
          <w:szCs w:val="24"/>
        </w:rPr>
        <w:t>积极营造良好科研生态和舆论氛围”，</w:t>
      </w:r>
      <w:r>
        <w:rPr>
          <w:rStyle w:val="20"/>
          <w:rFonts w:hint="eastAsia" w:ascii="宋体" w:hAnsi="宋体" w:eastAsia="宋体" w:cs="宋体"/>
          <w:spacing w:val="6"/>
          <w:sz w:val="24"/>
          <w:szCs w:val="24"/>
        </w:rPr>
        <w:footnoteReference w:id="33"/>
      </w:r>
      <w:r>
        <w:rPr>
          <w:rFonts w:hint="eastAsia" w:ascii="宋体" w:hAnsi="宋体" w:eastAsia="宋体" w:cs="宋体"/>
          <w:spacing w:val="6"/>
          <w:sz w:val="24"/>
          <w:szCs w:val="24"/>
        </w:rPr>
        <w:t>引领社会追求真善美蔚然成风。以塑形</w:t>
      </w:r>
      <w:r>
        <w:rPr>
          <w:rFonts w:hint="eastAsia" w:ascii="宋体" w:hAnsi="宋体" w:eastAsia="宋体" w:cs="宋体"/>
          <w:spacing w:val="5"/>
          <w:sz w:val="24"/>
          <w:szCs w:val="24"/>
        </w:rPr>
        <w:t>铸魂科学家精</w:t>
      </w:r>
      <w:r>
        <w:rPr>
          <w:rFonts w:hint="eastAsia" w:ascii="宋体" w:hAnsi="宋体" w:eastAsia="宋体" w:cs="宋体"/>
          <w:spacing w:val="6"/>
          <w:sz w:val="24"/>
          <w:szCs w:val="24"/>
        </w:rPr>
        <w:t>神为切入点，推动科学技术现代化，建设科技强国，成为新时代的重大课题。</w:t>
      </w:r>
    </w:p>
    <w:p w14:paraId="1B981052">
      <w:pPr>
        <w:pStyle w:val="4"/>
        <w:bidi w:val="0"/>
        <w:rPr>
          <w:rFonts w:hint="eastAsia"/>
        </w:rPr>
      </w:pPr>
      <w:r>
        <w:rPr>
          <w:rFonts w:hint="eastAsia"/>
        </w:rPr>
        <w:t>一</w:t>
      </w:r>
      <w:r>
        <w:rPr>
          <w:rFonts w:hint="eastAsia"/>
          <w:lang w:eastAsia="zh-CN"/>
        </w:rPr>
        <w:t>、</w:t>
      </w:r>
      <w:r>
        <w:rPr>
          <w:rFonts w:hint="eastAsia"/>
        </w:rPr>
        <w:t>文献综述</w:t>
      </w:r>
    </w:p>
    <w:p w14:paraId="6CEDF7B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学术界长期关注科技进步的巨大作用和科学精神的研究</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更多地从科学技术的功效和作用</w:t>
      </w:r>
      <w:r>
        <w:rPr>
          <w:rFonts w:hint="eastAsia" w:ascii="宋体" w:hAnsi="宋体" w:eastAsia="宋体" w:cs="宋体"/>
          <w:spacing w:val="15"/>
          <w:sz w:val="24"/>
          <w:szCs w:val="24"/>
        </w:rPr>
        <w:t>看待科学家的地位和品格</w:t>
      </w:r>
      <w:r>
        <w:rPr>
          <w:rFonts w:hint="eastAsia" w:ascii="宋体" w:hAnsi="宋体" w:eastAsia="宋体" w:cs="宋体"/>
          <w:spacing w:val="15"/>
          <w:position w:val="1"/>
          <w:sz w:val="24"/>
          <w:szCs w:val="24"/>
        </w:rPr>
        <w:t>，</w:t>
      </w:r>
      <w:r>
        <w:rPr>
          <w:rFonts w:hint="eastAsia" w:ascii="宋体" w:hAnsi="宋体" w:eastAsia="宋体" w:cs="宋体"/>
          <w:spacing w:val="15"/>
          <w:sz w:val="24"/>
          <w:szCs w:val="24"/>
        </w:rPr>
        <w:t>从科学家的个体禀赋和意志品质等方面解读科学家精神的内涵</w:t>
      </w:r>
      <w:r>
        <w:rPr>
          <w:rFonts w:hint="eastAsia" w:ascii="宋体" w:hAnsi="宋体" w:eastAsia="宋体" w:cs="宋体"/>
          <w:spacing w:val="15"/>
          <w:position w:val="1"/>
          <w:sz w:val="24"/>
          <w:szCs w:val="24"/>
        </w:rPr>
        <w:t>，</w:t>
      </w:r>
      <w:r>
        <w:rPr>
          <w:rFonts w:hint="eastAsia" w:ascii="宋体" w:hAnsi="宋体" w:eastAsia="宋体" w:cs="宋体"/>
          <w:spacing w:val="15"/>
          <w:sz w:val="24"/>
          <w:szCs w:val="24"/>
        </w:rPr>
        <w:t>更</w:t>
      </w:r>
      <w:r>
        <w:rPr>
          <w:rFonts w:hint="eastAsia" w:ascii="宋体" w:hAnsi="宋体" w:eastAsia="宋体" w:cs="宋体"/>
          <w:spacing w:val="11"/>
          <w:sz w:val="24"/>
          <w:szCs w:val="24"/>
        </w:rPr>
        <w:t>强调科学精神求真的一面</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而对科学家精神至善</w:t>
      </w:r>
      <w:r>
        <w:rPr>
          <w:rFonts w:hint="eastAsia" w:ascii="宋体" w:hAnsi="宋体" w:eastAsia="宋体" w:cs="宋体"/>
          <w:spacing w:val="11"/>
          <w:position w:val="1"/>
          <w:sz w:val="24"/>
          <w:szCs w:val="24"/>
          <w:lang w:eastAsia="zh-CN"/>
        </w:rPr>
        <w:t>、</w:t>
      </w:r>
      <w:r>
        <w:rPr>
          <w:rFonts w:hint="eastAsia" w:ascii="宋体" w:hAnsi="宋体" w:eastAsia="宋体" w:cs="宋体"/>
          <w:spacing w:val="11"/>
          <w:sz w:val="24"/>
          <w:szCs w:val="24"/>
        </w:rPr>
        <w:t>臻美的社会属性和人文内涵的研究不够深入</w:t>
      </w:r>
      <w:r>
        <w:rPr>
          <w:rFonts w:hint="eastAsia" w:ascii="宋体" w:hAnsi="宋体" w:eastAsia="宋体" w:cs="宋体"/>
          <w:spacing w:val="11"/>
          <w:position w:val="1"/>
          <w:sz w:val="24"/>
          <w:szCs w:val="24"/>
        </w:rPr>
        <w:t>。</w:t>
      </w:r>
      <w:r>
        <w:rPr>
          <w:rFonts w:hint="eastAsia" w:ascii="宋体" w:hAnsi="宋体" w:eastAsia="宋体" w:cs="宋体"/>
          <w:spacing w:val="7"/>
          <w:sz w:val="24"/>
          <w:szCs w:val="24"/>
        </w:rPr>
        <w:t>中国动物学奠基人秉志把</w:t>
      </w:r>
      <w:r>
        <w:rPr>
          <w:rFonts w:hint="eastAsia" w:ascii="宋体" w:hAnsi="宋体" w:eastAsia="宋体" w:cs="宋体"/>
          <w:spacing w:val="7"/>
          <w:position w:val="-1"/>
          <w:sz w:val="24"/>
          <w:szCs w:val="24"/>
        </w:rPr>
        <w:t>20</w:t>
      </w:r>
      <w:r>
        <w:rPr>
          <w:rFonts w:hint="eastAsia" w:ascii="宋体" w:hAnsi="宋体" w:eastAsia="宋体" w:cs="宋体"/>
          <w:spacing w:val="7"/>
          <w:sz w:val="24"/>
          <w:szCs w:val="24"/>
        </w:rPr>
        <w:t>世纪三四十年代的中国科学家精神解读为</w:t>
      </w:r>
      <w:r>
        <w:rPr>
          <w:rFonts w:hint="eastAsia" w:ascii="宋体" w:hAnsi="宋体" w:eastAsia="宋体" w:cs="宋体"/>
          <w:spacing w:val="7"/>
          <w:position w:val="1"/>
          <w:sz w:val="24"/>
          <w:szCs w:val="24"/>
        </w:rPr>
        <w:t>“</w:t>
      </w:r>
      <w:r>
        <w:rPr>
          <w:rFonts w:hint="eastAsia" w:ascii="宋体" w:hAnsi="宋体" w:eastAsia="宋体" w:cs="宋体"/>
          <w:spacing w:val="7"/>
          <w:sz w:val="24"/>
          <w:szCs w:val="24"/>
        </w:rPr>
        <w:t>公而忘私</w:t>
      </w:r>
      <w:r>
        <w:rPr>
          <w:rFonts w:hint="eastAsia" w:ascii="宋体" w:hAnsi="宋体" w:eastAsia="宋体" w:cs="宋体"/>
          <w:spacing w:val="7"/>
          <w:position w:val="1"/>
          <w:sz w:val="24"/>
          <w:szCs w:val="24"/>
          <w:lang w:eastAsia="zh-CN"/>
        </w:rPr>
        <w:t>、</w:t>
      </w:r>
      <w:r>
        <w:rPr>
          <w:rFonts w:hint="eastAsia" w:ascii="宋体" w:hAnsi="宋体" w:eastAsia="宋体" w:cs="宋体"/>
          <w:spacing w:val="7"/>
          <w:sz w:val="24"/>
          <w:szCs w:val="24"/>
        </w:rPr>
        <w:t>忠于所事</w:t>
      </w:r>
      <w:r>
        <w:rPr>
          <w:rFonts w:hint="eastAsia" w:ascii="宋体" w:hAnsi="宋体" w:eastAsia="宋体" w:cs="宋体"/>
          <w:spacing w:val="7"/>
          <w:position w:val="1"/>
          <w:sz w:val="24"/>
          <w:szCs w:val="24"/>
          <w:lang w:eastAsia="zh-CN"/>
        </w:rPr>
        <w:t>、</w:t>
      </w:r>
      <w:r>
        <w:rPr>
          <w:rFonts w:hint="eastAsia" w:ascii="宋体" w:hAnsi="宋体" w:eastAsia="宋体" w:cs="宋体"/>
          <w:spacing w:val="-10"/>
          <w:w w:val="98"/>
          <w:sz w:val="24"/>
          <w:szCs w:val="24"/>
        </w:rPr>
        <w:t>信实不欺</w:t>
      </w:r>
      <w:r>
        <w:rPr>
          <w:rFonts w:hint="eastAsia" w:ascii="宋体" w:hAnsi="宋体" w:eastAsia="宋体" w:cs="宋体"/>
          <w:spacing w:val="-10"/>
          <w:w w:val="98"/>
          <w:sz w:val="24"/>
          <w:szCs w:val="24"/>
          <w:lang w:eastAsia="zh-CN"/>
        </w:rPr>
        <w:t>、</w:t>
      </w:r>
      <w:r>
        <w:rPr>
          <w:rFonts w:hint="eastAsia" w:ascii="宋体" w:hAnsi="宋体" w:eastAsia="宋体" w:cs="宋体"/>
          <w:spacing w:val="-10"/>
          <w:w w:val="98"/>
          <w:sz w:val="24"/>
          <w:szCs w:val="24"/>
        </w:rPr>
        <w:t>勤苦奋励</w:t>
      </w:r>
      <w:r>
        <w:rPr>
          <w:rFonts w:hint="eastAsia" w:ascii="宋体" w:hAnsi="宋体" w:eastAsia="宋体" w:cs="宋体"/>
          <w:spacing w:val="-10"/>
          <w:w w:val="98"/>
          <w:sz w:val="24"/>
          <w:szCs w:val="24"/>
          <w:lang w:eastAsia="zh-CN"/>
        </w:rPr>
        <w:t>、</w:t>
      </w:r>
      <w:r>
        <w:rPr>
          <w:rFonts w:hint="eastAsia" w:ascii="宋体" w:hAnsi="宋体" w:eastAsia="宋体" w:cs="宋体"/>
          <w:spacing w:val="-10"/>
          <w:w w:val="98"/>
          <w:sz w:val="24"/>
          <w:szCs w:val="24"/>
        </w:rPr>
        <w:t>持久不懈</w:t>
      </w:r>
      <w:r>
        <w:rPr>
          <w:rFonts w:hint="eastAsia" w:ascii="宋体" w:hAnsi="宋体" w:eastAsia="宋体" w:cs="宋体"/>
          <w:spacing w:val="-10"/>
          <w:w w:val="98"/>
          <w:sz w:val="24"/>
          <w:szCs w:val="24"/>
          <w:lang w:eastAsia="zh-CN"/>
        </w:rPr>
        <w:t>、</w:t>
      </w:r>
      <w:r>
        <w:rPr>
          <w:rFonts w:hint="eastAsia" w:ascii="宋体" w:hAnsi="宋体" w:eastAsia="宋体" w:cs="宋体"/>
          <w:spacing w:val="-10"/>
          <w:w w:val="98"/>
          <w:sz w:val="24"/>
          <w:szCs w:val="24"/>
        </w:rPr>
        <w:t>仁爱之心”。</w:t>
      </w:r>
      <w:r>
        <w:rPr>
          <w:rStyle w:val="20"/>
          <w:rFonts w:hint="eastAsia" w:ascii="宋体" w:hAnsi="宋体" w:eastAsia="宋体" w:cs="宋体"/>
          <w:spacing w:val="-10"/>
          <w:w w:val="98"/>
          <w:sz w:val="24"/>
          <w:szCs w:val="24"/>
        </w:rPr>
        <w:footnoteReference w:id="34"/>
      </w:r>
      <w:r>
        <w:rPr>
          <w:rFonts w:hint="eastAsia" w:ascii="宋体" w:hAnsi="宋体" w:eastAsia="宋体" w:cs="宋体"/>
          <w:spacing w:val="9"/>
          <w:sz w:val="24"/>
          <w:szCs w:val="24"/>
        </w:rPr>
        <w:t>丁俊萍等认为</w:t>
      </w:r>
      <w:r>
        <w:rPr>
          <w:rFonts w:hint="eastAsia" w:ascii="宋体" w:hAnsi="宋体" w:eastAsia="宋体" w:cs="宋体"/>
          <w:spacing w:val="9"/>
          <w:position w:val="-2"/>
          <w:sz w:val="24"/>
          <w:szCs w:val="24"/>
        </w:rPr>
        <w:t>20</w:t>
      </w:r>
      <w:r>
        <w:rPr>
          <w:rFonts w:hint="eastAsia" w:ascii="宋体" w:hAnsi="宋体" w:eastAsia="宋体" w:cs="宋体"/>
          <w:spacing w:val="9"/>
          <w:sz w:val="24"/>
          <w:szCs w:val="24"/>
        </w:rPr>
        <w:t>世纪五六十年代的中国科学家</w:t>
      </w:r>
      <w:r>
        <w:rPr>
          <w:rFonts w:hint="eastAsia" w:ascii="宋体" w:hAnsi="宋体" w:eastAsia="宋体" w:cs="宋体"/>
          <w:spacing w:val="4"/>
          <w:sz w:val="24"/>
          <w:szCs w:val="24"/>
        </w:rPr>
        <w:t>精神以爱国为核心，以科学精神为基础，以奉献为价</w:t>
      </w:r>
      <w:r>
        <w:rPr>
          <w:rFonts w:hint="eastAsia" w:ascii="宋体" w:hAnsi="宋体" w:eastAsia="宋体" w:cs="宋体"/>
          <w:spacing w:val="3"/>
          <w:sz w:val="24"/>
          <w:szCs w:val="24"/>
        </w:rPr>
        <w:t>值取向，以奋斗</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协同</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育人为实践和方法论</w:t>
      </w:r>
      <w:r>
        <w:rPr>
          <w:rFonts w:hint="eastAsia" w:ascii="宋体" w:hAnsi="宋体" w:eastAsia="宋体" w:cs="宋体"/>
          <w:spacing w:val="1"/>
          <w:sz w:val="24"/>
          <w:szCs w:val="24"/>
        </w:rPr>
        <w:t>原则。</w:t>
      </w:r>
      <w:r>
        <w:rPr>
          <w:rStyle w:val="20"/>
          <w:rFonts w:hint="eastAsia" w:ascii="宋体" w:hAnsi="宋体" w:eastAsia="宋体" w:cs="宋体"/>
          <w:spacing w:val="1"/>
          <w:sz w:val="24"/>
          <w:szCs w:val="24"/>
        </w:rPr>
        <w:footnoteReference w:id="35"/>
      </w:r>
      <w:r>
        <w:rPr>
          <w:rFonts w:hint="eastAsia" w:ascii="宋体" w:hAnsi="宋体" w:eastAsia="宋体" w:cs="宋体"/>
          <w:spacing w:val="1"/>
          <w:sz w:val="24"/>
          <w:szCs w:val="24"/>
        </w:rPr>
        <w:t>潜伟认为，科学家精神更强调科学的社会属性，是科学精神的人格化</w:t>
      </w:r>
      <w:r>
        <w:rPr>
          <w:rFonts w:hint="eastAsia" w:ascii="宋体" w:hAnsi="宋体" w:eastAsia="宋体" w:cs="宋体"/>
          <w:spacing w:val="1"/>
          <w:sz w:val="24"/>
          <w:szCs w:val="24"/>
          <w:lang w:eastAsia="zh-CN"/>
        </w:rPr>
        <w:t>、</w:t>
      </w:r>
      <w:r>
        <w:rPr>
          <w:rFonts w:hint="eastAsia" w:ascii="宋体" w:hAnsi="宋体" w:eastAsia="宋体" w:cs="宋体"/>
          <w:spacing w:val="1"/>
          <w:sz w:val="24"/>
          <w:szCs w:val="24"/>
        </w:rPr>
        <w:t>时代化</w:t>
      </w:r>
      <w:r>
        <w:rPr>
          <w:rFonts w:hint="eastAsia" w:ascii="宋体" w:hAnsi="宋体" w:eastAsia="宋体" w:cs="宋体"/>
          <w:spacing w:val="1"/>
          <w:sz w:val="24"/>
          <w:szCs w:val="24"/>
          <w:lang w:eastAsia="zh-CN"/>
        </w:rPr>
        <w:t>、</w:t>
      </w:r>
      <w:r>
        <w:rPr>
          <w:rFonts w:hint="eastAsia" w:ascii="宋体" w:hAnsi="宋体" w:eastAsia="宋体" w:cs="宋体"/>
          <w:spacing w:val="1"/>
          <w:sz w:val="24"/>
          <w:szCs w:val="24"/>
        </w:rPr>
        <w:t>中国</w:t>
      </w:r>
      <w:r>
        <w:rPr>
          <w:rFonts w:hint="eastAsia" w:ascii="宋体" w:hAnsi="宋体" w:eastAsia="宋体" w:cs="宋体"/>
          <w:spacing w:val="-8"/>
          <w:sz w:val="24"/>
          <w:szCs w:val="24"/>
        </w:rPr>
        <w:t>化。</w:t>
      </w:r>
      <w:r>
        <w:rPr>
          <w:rStyle w:val="20"/>
          <w:rFonts w:hint="eastAsia" w:ascii="宋体" w:hAnsi="宋体" w:eastAsia="宋体" w:cs="宋体"/>
          <w:spacing w:val="-8"/>
          <w:sz w:val="24"/>
          <w:szCs w:val="24"/>
        </w:rPr>
        <w:footnoteReference w:id="36"/>
      </w:r>
      <w:r>
        <w:rPr>
          <w:rFonts w:hint="eastAsia" w:ascii="宋体" w:hAnsi="宋体" w:eastAsia="宋体" w:cs="宋体"/>
          <w:spacing w:val="-8"/>
          <w:sz w:val="24"/>
          <w:szCs w:val="24"/>
        </w:rPr>
        <w:t>彭青龙等提出人类精神内涵由科学精神</w:t>
      </w:r>
      <w:r>
        <w:rPr>
          <w:rFonts w:hint="eastAsia" w:ascii="宋体" w:hAnsi="宋体" w:eastAsia="宋体" w:cs="宋体"/>
          <w:spacing w:val="-8"/>
          <w:sz w:val="24"/>
          <w:szCs w:val="24"/>
          <w:lang w:eastAsia="zh-CN"/>
        </w:rPr>
        <w:t>、</w:t>
      </w:r>
      <w:r>
        <w:rPr>
          <w:rFonts w:hint="eastAsia" w:ascii="宋体" w:hAnsi="宋体" w:eastAsia="宋体" w:cs="宋体"/>
          <w:spacing w:val="-8"/>
          <w:sz w:val="24"/>
          <w:szCs w:val="24"/>
        </w:rPr>
        <w:t>人文精神</w:t>
      </w:r>
      <w:r>
        <w:rPr>
          <w:rFonts w:hint="eastAsia" w:ascii="宋体" w:hAnsi="宋体" w:eastAsia="宋体" w:cs="宋体"/>
          <w:spacing w:val="-8"/>
          <w:sz w:val="24"/>
          <w:szCs w:val="24"/>
          <w:lang w:eastAsia="zh-CN"/>
        </w:rPr>
        <w:t>、</w:t>
      </w:r>
      <w:r>
        <w:rPr>
          <w:rFonts w:hint="eastAsia" w:ascii="宋体" w:hAnsi="宋体" w:eastAsia="宋体" w:cs="宋体"/>
          <w:spacing w:val="-8"/>
          <w:sz w:val="24"/>
          <w:szCs w:val="24"/>
        </w:rPr>
        <w:t>信仰精神三部分组成，</w:t>
      </w:r>
      <w:r>
        <w:rPr>
          <w:rFonts w:hint="eastAsia" w:ascii="宋体" w:hAnsi="宋体" w:eastAsia="宋体" w:cs="宋体"/>
          <w:spacing w:val="12"/>
          <w:sz w:val="24"/>
          <w:szCs w:val="24"/>
        </w:rPr>
        <w:t>分别以质疑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关爱</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使命为精神精髓。</w:t>
      </w:r>
      <w:r>
        <w:rPr>
          <w:rFonts w:hint="eastAsia" w:ascii="宋体" w:hAnsi="宋体" w:eastAsia="宋体" w:cs="宋体"/>
          <w:spacing w:val="12"/>
          <w:sz w:val="24"/>
          <w:szCs w:val="24"/>
          <w:vertAlign w:val="superscript"/>
        </w:rPr>
        <w:footnoteReference w:id="37"/>
      </w:r>
      <w:r>
        <w:rPr>
          <w:rFonts w:hint="eastAsia" w:ascii="宋体" w:hAnsi="宋体" w:eastAsia="宋体" w:cs="宋体"/>
          <w:spacing w:val="12"/>
          <w:sz w:val="24"/>
          <w:szCs w:val="24"/>
        </w:rPr>
        <w:t>还有一些学者如顾吉环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钱学敏等对钱学森</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邓稼先</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郭永怀等典范科学家个体体现出来的精神进行了解读。</w:t>
      </w:r>
    </w:p>
    <w:p w14:paraId="0133C5D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目前，关于新时代科学家精神养成和弘扬的深入研究较为缺乏，在知网检索系统中输入主题词“科学家精神”共检索到534条结果，输入关键词“科学家精神”共检索到44条结果，同时输入主题词“科学家精神”“养成”共检索到0条结果。许多学者针对领导讲话和中央文件精神进行了解读和时论报道，还有学者从党的领导</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社会制度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社会教育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道德约束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个人禀赋等方面阐述了其与科学家精神的关系。胡祥明阐述了社会主义核心价值观与科学家精神的关系及科学家精神的时代内涵</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塑造方法等。</w:t>
      </w:r>
      <w:r>
        <w:rPr>
          <w:rFonts w:hint="eastAsia" w:ascii="宋体" w:hAnsi="宋体" w:eastAsia="宋体" w:cs="宋体"/>
          <w:spacing w:val="12"/>
          <w:sz w:val="24"/>
          <w:szCs w:val="24"/>
          <w:vertAlign w:val="superscript"/>
        </w:rPr>
        <w:footnoteReference w:id="38"/>
      </w:r>
      <w:r>
        <w:rPr>
          <w:rFonts w:hint="eastAsia" w:ascii="宋体" w:hAnsi="宋体" w:eastAsia="宋体" w:cs="宋体"/>
          <w:spacing w:val="12"/>
          <w:sz w:val="24"/>
          <w:szCs w:val="24"/>
        </w:rPr>
        <w:t>余德刚等认为科学家精神彰显了社会主义制度的优越性，具有鲜明的“民族性与阶级性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整体性与协作性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开放性与独立性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创新性与进步性”。</w:t>
      </w:r>
      <w:r>
        <w:rPr>
          <w:rFonts w:hint="eastAsia" w:ascii="宋体" w:hAnsi="宋体" w:eastAsia="宋体" w:cs="宋体"/>
          <w:spacing w:val="12"/>
          <w:sz w:val="24"/>
          <w:szCs w:val="24"/>
          <w:vertAlign w:val="superscript"/>
        </w:rPr>
        <w:footnoteReference w:id="39"/>
      </w:r>
      <w:r>
        <w:rPr>
          <w:rFonts w:hint="eastAsia" w:ascii="宋体" w:hAnsi="宋体" w:eastAsia="宋体" w:cs="宋体"/>
          <w:spacing w:val="12"/>
          <w:sz w:val="24"/>
          <w:szCs w:val="24"/>
        </w:rPr>
        <w:t>徐祥运和张童阔从加强人文主义教育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道德约束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法律监督等方面强调了重建科学家的社会责任感。</w:t>
      </w:r>
      <w:r>
        <w:rPr>
          <w:rFonts w:hint="eastAsia" w:ascii="宋体" w:hAnsi="宋体" w:eastAsia="宋体" w:cs="宋体"/>
          <w:spacing w:val="12"/>
          <w:sz w:val="24"/>
          <w:szCs w:val="24"/>
          <w:vertAlign w:val="superscript"/>
        </w:rPr>
        <w:footnoteReference w:id="40"/>
      </w:r>
      <w:r>
        <w:rPr>
          <w:rFonts w:hint="eastAsia" w:ascii="宋体" w:hAnsi="宋体" w:eastAsia="宋体" w:cs="宋体"/>
          <w:spacing w:val="12"/>
          <w:sz w:val="24"/>
          <w:szCs w:val="24"/>
        </w:rPr>
        <w:t>李波等研究了科学家精神融入思政教育的问题。</w:t>
      </w:r>
      <w:r>
        <w:rPr>
          <w:rFonts w:hint="eastAsia" w:ascii="宋体" w:hAnsi="宋体" w:eastAsia="宋体" w:cs="宋体"/>
          <w:spacing w:val="12"/>
          <w:sz w:val="24"/>
          <w:szCs w:val="24"/>
          <w:vertAlign w:val="superscript"/>
        </w:rPr>
        <w:footnoteReference w:id="41"/>
      </w:r>
    </w:p>
    <w:p w14:paraId="5440ACE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总体来看，从社会养成和个人养成两个层面，综合国家政策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社会制度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伦理治理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经济支撑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文化滋养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精神传承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教育熏陶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团队打造</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实践磨砺等多种因素，将外在激励约束与内在激励约束相结合，努力建构新时代科学家精神养成体系的学术研究成果非常缺乏，通过知网检索系统未能查找到相关结果。</w:t>
      </w:r>
    </w:p>
    <w:p w14:paraId="723756F4">
      <w:pPr>
        <w:pStyle w:val="4"/>
        <w:bidi w:val="0"/>
        <w:rPr>
          <w:rFonts w:hint="eastAsia"/>
        </w:rPr>
      </w:pPr>
      <w:r>
        <w:rPr>
          <w:rFonts w:hint="eastAsia"/>
        </w:rPr>
        <w:t>二</w:t>
      </w:r>
      <w:r>
        <w:rPr>
          <w:rFonts w:hint="eastAsia"/>
          <w:lang w:eastAsia="zh-CN"/>
        </w:rPr>
        <w:t>、</w:t>
      </w:r>
      <w:r>
        <w:rPr>
          <w:rFonts w:hint="eastAsia"/>
        </w:rPr>
        <w:t>科学家精神的时代内涵</w:t>
      </w:r>
    </w:p>
    <w:p w14:paraId="7B8092E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当今时代，世界科技发展已经进入工业革命4.0时代，科学技术及其体系化应用日益彰显出强大的经济</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政治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生态等多元化功能，成为不同利益群体和国家间竞争的主要手段，科学家和科技工作者的重要性更加凸显，人才成为竞争制胜的关键。</w:t>
      </w:r>
    </w:p>
    <w:p w14:paraId="1ACD284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eastAsia="zh-CN"/>
        </w:rPr>
      </w:pPr>
      <w:r>
        <w:rPr>
          <w:rFonts w:hint="eastAsia" w:ascii="宋体" w:hAnsi="宋体" w:eastAsia="宋体" w:cs="宋体"/>
          <w:spacing w:val="12"/>
          <w:sz w:val="24"/>
          <w:szCs w:val="24"/>
        </w:rPr>
        <w:t>科学精神的本质在于求真，人文精神的本质在于至善，科学家精神集科学精神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人文精神于一体，在求真与至善的辩证统一中实现臻美。善是真的灵魂，真是善的核心与本质，美则是精神体的依托和展现。新时代科学家精神的真谛应当是真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美三维的融通共进，三者彰显了科学的威力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德力与魅力，是密不可分的统一体，缺一不可。</w:t>
      </w:r>
      <w:r>
        <w:rPr>
          <w:rFonts w:hint="eastAsia" w:ascii="宋体" w:hAnsi="宋体" w:eastAsia="宋体" w:cs="宋体"/>
          <w:spacing w:val="12"/>
          <w:sz w:val="24"/>
          <w:szCs w:val="24"/>
          <w:vertAlign w:val="superscript"/>
        </w:rPr>
        <w:footnoteReference w:id="42"/>
      </w:r>
      <w:r>
        <w:rPr>
          <w:rFonts w:hint="eastAsia" w:ascii="宋体" w:hAnsi="宋体" w:eastAsia="宋体" w:cs="宋体"/>
          <w:spacing w:val="12"/>
          <w:sz w:val="24"/>
          <w:szCs w:val="24"/>
        </w:rPr>
        <w:t>如果科学家失掉了为人民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为祖国服务的善，而走向反人类反人民的所谓真和美，不仅是扭曲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异化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虚假的，甚至是危险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丑陋</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邪恶的</w:t>
      </w:r>
      <w:r>
        <w:rPr>
          <w:rFonts w:hint="eastAsia" w:ascii="宋体" w:hAnsi="宋体" w:eastAsia="宋体" w:cs="宋体"/>
          <w:spacing w:val="12"/>
          <w:sz w:val="24"/>
          <w:szCs w:val="24"/>
          <w:lang w:eastAsia="zh-CN"/>
        </w:rPr>
        <w:t>。</w:t>
      </w:r>
    </w:p>
    <w:p w14:paraId="2A207A0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科学家精神随着时间和实践的步伐前进。新时代科学家精神特指中国特色社会主义新时代的科学家和科技工作者应具备的精神品格和意志品质。从科技救国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科技报国，到科教兴国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人才强国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科技强国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创新驱动发展战略的实施，广大科技工作者在薪火相传中积淀形成了新时代中国科学家精神。《意见》详细阐释了新时代中国科学家精神的内涵，强调占有事实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追求真理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敢于质疑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勇攀高峰</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严谨治学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把握规律的求实创新精神，以达到求真；强调以国为重</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淡泊名利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服务人民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潜心研究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兼济天下的爱国奉献精神，以达到至善；强调集智攻关</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和合共求</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团结协作</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甘为人梯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克明俊德</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奖掖后学的协同育人精神，以达到臻美。《意见》对新时代中国科学家精神的解读集求真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至善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臻美于一身，融科学性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人文性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社会性于一体，体现了历史与现实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科学与人文</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个人与社会的统一，更加突出了符合中国社会制度属性和时代需求的创新性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求实性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人民性，倡导构建科学家精神和社会养成体系。</w:t>
      </w:r>
    </w:p>
    <w:p w14:paraId="572483C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个人存在于社会之中，社会由交互作用的个人组成，二者有机统一。既然人都是社会人，科学家精神的养成就不仅需要有个人的执着追求，还要有社会层面的熏陶和影响。塑形铸魂科学家精神，需要从社会和个人两个层面，综合国家政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社会制度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伦理治理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经济支撑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文化滋养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精神传承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教育熏陶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团队打造</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实践磨砺等多种因素，结合外在与内在的激励约束，共同推动科学家精神在神州大地蔚然成风，努力建构新时代科学家精神的养成体系。科学家精神的个人养成，是指单个个体通过培养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教育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影响</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塑造等拥有科学家精神所涵盖的优良品质。科学家精神的社会养成，是指如何在社会层面弘扬科学家精神，使之成为人们追求的社会价值导向，形成社会风气和潮流而不断发扬光大。如何处理个人与社会之间的关系，标志着精神文化体系的不同性质。唯物史观认为，人是群体动物，更是社会人。科学家精神的个人养成需要历史传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社会环境</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社会实践的滋养，更加契合现实社会条件和时代需要，科学家精神的社会养成又需要个人养成作为支撑，个人养成是社会养成的基础和落脚点。科学家精神的社会养成与个人养成交互促进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相辅相依，共同构筑科学家精神的养成体系。</w:t>
      </w:r>
    </w:p>
    <w:p w14:paraId="550E7E79">
      <w:pPr>
        <w:pStyle w:val="4"/>
        <w:bidi w:val="0"/>
        <w:rPr>
          <w:rFonts w:hint="eastAsia"/>
        </w:rPr>
      </w:pPr>
      <w:r>
        <w:rPr>
          <w:rFonts w:hint="eastAsia"/>
        </w:rPr>
        <w:t>三</w:t>
      </w:r>
      <w:r>
        <w:rPr>
          <w:rFonts w:hint="eastAsia"/>
          <w:lang w:eastAsia="zh-CN"/>
        </w:rPr>
        <w:t>、</w:t>
      </w:r>
      <w:r>
        <w:rPr>
          <w:rFonts w:hint="eastAsia"/>
        </w:rPr>
        <w:t>新时代科学家精神的社会养成</w:t>
      </w:r>
    </w:p>
    <w:p w14:paraId="259A47E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科学在本质上是一种社会活动，科学家精神是在特定社会条件下形成的。社会是由个体依托于物质环境相互联系而形成的开放循环体系，反映着人与人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人与社会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人与自然的关系。包括科学家和科技工作者在内的每个人的成长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成人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成才过程都必然受到经济</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政治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生态，以及历史的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现实的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家庭的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教育的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自然的，乃至国内外各种因素的综合影响。</w:t>
      </w:r>
    </w:p>
    <w:p w14:paraId="3EFCFB9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（一）充分发挥中国特色社会主义制度优势，完善有利于培育和弘扬科学家精神的科教人才政策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体制机制等，对于新时代科学家精神的社会养成具有根本性保障作用和直接激励作用。</w:t>
      </w:r>
    </w:p>
    <w:p w14:paraId="48EA320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科学家是为少数人谋私利，不择手段不顾后果，还是满足大多数人的需要，投身于人类进步的事业，决定着其工作的方向和性质。在私有制条件下，生产资料和科技发展成为少数人役使并剥夺他人的手段和资本，科技发展和人的欲望膨胀相辅相成，导致了科学技术与科学家的异化。科技发展可以重置权力关系，既能扩大原有权力的范围，也能分解有争议的权力，进一步创造新的权力。</w:t>
      </w:r>
      <w:r>
        <w:rPr>
          <w:rFonts w:hint="eastAsia" w:ascii="宋体" w:hAnsi="宋体" w:eastAsia="宋体" w:cs="宋体"/>
          <w:spacing w:val="12"/>
          <w:sz w:val="24"/>
          <w:szCs w:val="24"/>
          <w:vertAlign w:val="superscript"/>
        </w:rPr>
        <w:footnoteReference w:id="43"/>
      </w:r>
      <w:r>
        <w:rPr>
          <w:rFonts w:hint="eastAsia" w:ascii="宋体" w:hAnsi="宋体" w:eastAsia="宋体" w:cs="宋体"/>
          <w:spacing w:val="12"/>
          <w:sz w:val="24"/>
          <w:szCs w:val="24"/>
        </w:rPr>
        <w:t>马克思</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恩格斯高度重视科技进步，但反对以此为手段奴役剥削他人的“人役人”“物役人”的社会制度和政策。“共产主义并不剥夺任何人占有社会产品的权力，它只剥夺利用这种占有去奴役他人劳动的权力。”</w:t>
      </w:r>
      <w:r>
        <w:rPr>
          <w:rFonts w:hint="eastAsia" w:ascii="宋体" w:hAnsi="宋体" w:eastAsia="宋体" w:cs="宋体"/>
          <w:spacing w:val="12"/>
          <w:sz w:val="24"/>
          <w:szCs w:val="24"/>
          <w:vertAlign w:val="superscript"/>
        </w:rPr>
        <w:footnoteReference w:id="44"/>
      </w:r>
      <w:r>
        <w:rPr>
          <w:rFonts w:hint="eastAsia" w:ascii="宋体" w:hAnsi="宋体" w:eastAsia="宋体" w:cs="宋体"/>
          <w:spacing w:val="12"/>
          <w:sz w:val="24"/>
          <w:szCs w:val="24"/>
        </w:rPr>
        <w:t>社会主义生产资料公有制从根本上消除了人与人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人与社会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人与自然关系异化与对立的物质基础，进而在人与人实质平等的基础上实现个人与集体</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社会利益的有机统一，在无私利性的基础上实现人与自然的和谐相处。</w:t>
      </w:r>
    </w:p>
    <w:p w14:paraId="600D525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教育立国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科技强国，是近代以来大国崛起的历史规律。能否占据发展制高点，取决于一个国家是否高度重视并充分发挥科技</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教育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人才的制度和政策优势。作为人口最多的东方大国，中国在“一穷二白”极其落后的条件下，经过短短七十多年的和平发展，已充分彰显了道路优势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理论优势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制度优势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文化优势。</w:t>
      </w:r>
      <w:r>
        <w:rPr>
          <w:rFonts w:hint="eastAsia" w:ascii="宋体" w:hAnsi="宋体" w:eastAsia="宋体" w:cs="宋体"/>
          <w:spacing w:val="12"/>
          <w:sz w:val="24"/>
          <w:szCs w:val="24"/>
          <w:vertAlign w:val="superscript"/>
        </w:rPr>
        <w:footnoteReference w:id="45"/>
      </w:r>
      <w:r>
        <w:rPr>
          <w:rFonts w:hint="eastAsia" w:ascii="宋体" w:hAnsi="宋体" w:eastAsia="宋体" w:cs="宋体"/>
          <w:spacing w:val="12"/>
          <w:sz w:val="24"/>
          <w:szCs w:val="24"/>
        </w:rPr>
        <w:t>中国共产党领导的社会主义制度，有着实事求是的求真之魂，有着为人民服务的至善之宗，有着人类大同的臻美之梦。建立在公有制为主体和人民当家作主基础上的社会主义制度，与新时代科学家精神内在一致，息息相通，为新时代科学家精神的社会养成提供了根本制度保障和前提。</w:t>
      </w:r>
    </w:p>
    <w:p w14:paraId="56EA6CD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社会主义制度优势需要通过具体的体制机制和政策体系来展现。在中国共产党的领导下，我国以各级科研院所</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高等学校</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大型企业研发机构为主体，充分吸纳社会力量，构建与社会主义市场经济和国际竞争相适应的新型举国科教体制，强化国家战略科技力量，提高创新链整体效能，搭建政产学研企的交流合作平台，建设国家科技创新体系和人才工作体系，力求造就一批用马克思主义武装起来</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学贯中西的科学家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思想家和理论家，</w:t>
      </w:r>
      <w:r>
        <w:rPr>
          <w:rFonts w:hint="eastAsia" w:ascii="宋体" w:hAnsi="宋体" w:eastAsia="宋体" w:cs="宋体"/>
          <w:spacing w:val="12"/>
          <w:sz w:val="24"/>
          <w:szCs w:val="24"/>
          <w:vertAlign w:val="superscript"/>
        </w:rPr>
        <w:footnoteReference w:id="46"/>
      </w:r>
      <w:r>
        <w:rPr>
          <w:rFonts w:hint="eastAsia" w:ascii="宋体" w:hAnsi="宋体" w:eastAsia="宋体" w:cs="宋体"/>
          <w:spacing w:val="12"/>
          <w:sz w:val="24"/>
          <w:szCs w:val="24"/>
        </w:rPr>
        <w:t>造就一批功底实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素质高</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勇于创新的高层次人才，造就一批政治强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业务精</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品行好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开拓进取的青年理论骨干，全面提高教育质量和国民素质。</w:t>
      </w:r>
      <w:r>
        <w:rPr>
          <w:rFonts w:hint="eastAsia" w:ascii="宋体" w:hAnsi="宋体" w:eastAsia="宋体" w:cs="宋体"/>
          <w:spacing w:val="12"/>
          <w:sz w:val="24"/>
          <w:szCs w:val="24"/>
          <w:vertAlign w:val="superscript"/>
        </w:rPr>
        <w:footnoteReference w:id="47"/>
      </w:r>
      <w:r>
        <w:rPr>
          <w:rFonts w:hint="eastAsia" w:ascii="宋体" w:hAnsi="宋体" w:eastAsia="宋体" w:cs="宋体"/>
          <w:spacing w:val="12"/>
          <w:sz w:val="24"/>
          <w:szCs w:val="24"/>
        </w:rPr>
        <w:t>要深化科技管理体制改革，改变部门分割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互不统属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多头管理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小而散的状态，大力解决表格多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报销繁</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牌子乱</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“帽子”重复</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检查频繁等突出问题，彻底改革官僚主义和形式主义的经费使用和管理方式，优化配置科技资源。要杜绝简单以升学率</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就业率</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引用率，以及“五唯”</w:t>
      </w:r>
      <w:r>
        <w:rPr>
          <w:rFonts w:hint="eastAsia" w:ascii="宋体" w:hAnsi="宋体" w:eastAsia="宋体" w:cs="宋体"/>
          <w:spacing w:val="12"/>
          <w:sz w:val="24"/>
          <w:szCs w:val="24"/>
          <w:vertAlign w:val="superscript"/>
        </w:rPr>
        <w:footnoteReference w:id="48"/>
      </w:r>
      <w:r>
        <w:rPr>
          <w:rFonts w:hint="eastAsia" w:ascii="宋体" w:hAnsi="宋体" w:eastAsia="宋体" w:cs="宋体"/>
          <w:spacing w:val="12"/>
          <w:sz w:val="24"/>
          <w:szCs w:val="24"/>
        </w:rPr>
        <w:t>等为依据，以财富多寡</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职位高低</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权力大小等为标准来进行评价，建立以成果质量</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贡献程度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绩效等为导向的科技评价体系和人才选拔机制，营造民主公正</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激励创新</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海纳百川的良好社会环境，充分激发创新智慧与活力。</w:t>
      </w:r>
    </w:p>
    <w:p w14:paraId="501E7D7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（二）建构导向明确的科技伦理治理体系，形成科学家群体和科技工作者良好的科技道德</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科技良心和工作作风，对于新时代科学家精神的社会养成具有典范和规约作用。</w:t>
      </w:r>
    </w:p>
    <w:p w14:paraId="4C3AC7A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科学技术与伦理道德是互动渗透的。</w:t>
      </w:r>
      <w:r>
        <w:rPr>
          <w:rFonts w:hint="eastAsia" w:ascii="宋体" w:hAnsi="宋体" w:eastAsia="宋体" w:cs="宋体"/>
          <w:spacing w:val="12"/>
          <w:sz w:val="24"/>
          <w:szCs w:val="24"/>
          <w:vertAlign w:val="superscript"/>
        </w:rPr>
        <w:footnoteReference w:id="49"/>
      </w:r>
      <w:r>
        <w:rPr>
          <w:rFonts w:hint="eastAsia" w:ascii="宋体" w:hAnsi="宋体" w:eastAsia="宋体" w:cs="宋体"/>
          <w:spacing w:val="12"/>
          <w:sz w:val="24"/>
          <w:szCs w:val="24"/>
        </w:rPr>
        <w:t>马克思</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恩格斯以“双刃剑”比喻科学技术，科学技术在改造自然造福人类的同时，也给自然生态</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人性伦理等带来一系列负面冲击，甚至严重威胁人类生存与健康。当计算机占据着越来越多的工作任务时，人的技能退化正在加速。</w:t>
      </w:r>
      <w:r>
        <w:rPr>
          <w:rFonts w:hint="eastAsia" w:ascii="宋体" w:hAnsi="宋体" w:eastAsia="宋体" w:cs="宋体"/>
          <w:spacing w:val="12"/>
          <w:sz w:val="24"/>
          <w:szCs w:val="24"/>
          <w:vertAlign w:val="superscript"/>
        </w:rPr>
        <w:footnoteReference w:id="50"/>
      </w:r>
      <w:r>
        <w:rPr>
          <w:rFonts w:hint="eastAsia" w:ascii="宋体" w:hAnsi="宋体" w:eastAsia="宋体" w:cs="宋体"/>
          <w:spacing w:val="12"/>
          <w:sz w:val="24"/>
          <w:szCs w:val="24"/>
        </w:rPr>
        <w:t>人工智能正在重塑人的生产生活和社会关系，给人们带来便利的同时，也使人日益沦为智能社会的“附庸”和“奴隶”，</w:t>
      </w:r>
      <w:r>
        <w:rPr>
          <w:rFonts w:hint="eastAsia" w:ascii="宋体" w:hAnsi="宋体" w:eastAsia="宋体" w:cs="宋体"/>
          <w:spacing w:val="12"/>
          <w:sz w:val="24"/>
          <w:szCs w:val="24"/>
          <w:vertAlign w:val="superscript"/>
        </w:rPr>
        <w:footnoteReference w:id="51"/>
      </w:r>
      <w:r>
        <w:rPr>
          <w:rFonts w:hint="eastAsia" w:ascii="宋体" w:hAnsi="宋体" w:eastAsia="宋体" w:cs="宋体"/>
          <w:spacing w:val="12"/>
          <w:sz w:val="24"/>
          <w:szCs w:val="24"/>
        </w:rPr>
        <w:t>对人机关系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人的本质与主体地位，以及公民隐私</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国家安全</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社会公平</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社会治理等形成新的冲击。</w:t>
      </w:r>
      <w:r>
        <w:rPr>
          <w:rFonts w:hint="eastAsia" w:ascii="宋体" w:hAnsi="宋体" w:eastAsia="宋体" w:cs="宋体"/>
          <w:spacing w:val="12"/>
          <w:sz w:val="24"/>
          <w:szCs w:val="24"/>
          <w:vertAlign w:val="superscript"/>
        </w:rPr>
        <w:footnoteReference w:id="52"/>
      </w:r>
      <w:r>
        <w:rPr>
          <w:rFonts w:hint="eastAsia" w:ascii="宋体" w:hAnsi="宋体" w:eastAsia="宋体" w:cs="宋体"/>
          <w:spacing w:val="12"/>
          <w:sz w:val="24"/>
          <w:szCs w:val="24"/>
        </w:rPr>
        <w:t>科技伦理体系规范了科研人员从事科技活动应有的使命担当和价值导向，明确应当以怎样的态度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思想</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感情</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作风和行为从事科技工作。科技道德和科技良心是科技伦理的主要内容，划定了科技工作者作为人所必备的良知和道德底线，对社会的价值认知和导向形成软约束和软激励。</w:t>
      </w:r>
    </w:p>
    <w:p w14:paraId="0EED85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中国传统文化蕴含着丰富的科技伦理思想，如“以道驭术”“以道驭技”“以民为本”等，先哲们对道术观</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义利观</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民本观</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人性论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天人合一思想等都有着深刻认识，特别强调人是器物的主人，技术发展为人类生产生活服务，限制和禁止一些“奇技淫巧”。“厚乎德行，辩乎言谈，博乎道术”，</w:t>
      </w:r>
      <w:r>
        <w:rPr>
          <w:rFonts w:hint="eastAsia" w:ascii="宋体" w:hAnsi="宋体" w:eastAsia="宋体" w:cs="宋体"/>
          <w:spacing w:val="12"/>
          <w:sz w:val="24"/>
          <w:szCs w:val="24"/>
          <w:vertAlign w:val="superscript"/>
        </w:rPr>
        <w:footnoteReference w:id="53"/>
      </w:r>
      <w:r>
        <w:rPr>
          <w:rFonts w:hint="eastAsia" w:ascii="宋体" w:hAnsi="宋体" w:eastAsia="宋体" w:cs="宋体"/>
          <w:spacing w:val="12"/>
          <w:sz w:val="24"/>
          <w:szCs w:val="24"/>
        </w:rPr>
        <w:t>故所为巧，利于人谓之巧，不利于人谓之拙”。</w:t>
      </w:r>
      <w:r>
        <w:rPr>
          <w:rFonts w:hint="eastAsia" w:ascii="宋体" w:hAnsi="宋体" w:eastAsia="宋体" w:cs="宋体"/>
          <w:spacing w:val="12"/>
          <w:sz w:val="24"/>
          <w:szCs w:val="24"/>
          <w:vertAlign w:val="superscript"/>
        </w:rPr>
        <w:footnoteReference w:id="54"/>
      </w:r>
      <w:r>
        <w:rPr>
          <w:rFonts w:hint="eastAsia" w:ascii="宋体" w:hAnsi="宋体" w:eastAsia="宋体" w:cs="宋体"/>
          <w:spacing w:val="12"/>
          <w:sz w:val="24"/>
          <w:szCs w:val="24"/>
        </w:rPr>
        <w:t>“人为物本，物因人而用”，</w:t>
      </w:r>
      <w:r>
        <w:rPr>
          <w:rFonts w:hint="eastAsia" w:ascii="宋体" w:hAnsi="宋体" w:eastAsia="宋体" w:cs="宋体"/>
          <w:spacing w:val="12"/>
          <w:sz w:val="24"/>
          <w:szCs w:val="24"/>
          <w:vertAlign w:val="superscript"/>
        </w:rPr>
        <w:footnoteReference w:id="55"/>
      </w:r>
      <w:r>
        <w:rPr>
          <w:rFonts w:hint="eastAsia" w:ascii="宋体" w:hAnsi="宋体" w:eastAsia="宋体" w:cs="宋体"/>
          <w:spacing w:val="12"/>
          <w:sz w:val="24"/>
          <w:szCs w:val="24"/>
        </w:rPr>
        <w:t>而不能“物役人”。</w:t>
      </w:r>
    </w:p>
    <w:p w14:paraId="7118E05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新时代塑形铸魂科学家精神，理当强化科技伦理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生态伦理和人文精神教育，</w:t>
      </w:r>
      <w:r>
        <w:rPr>
          <w:rFonts w:hint="eastAsia" w:ascii="宋体" w:hAnsi="宋体" w:eastAsia="宋体" w:cs="宋体"/>
          <w:spacing w:val="12"/>
          <w:sz w:val="24"/>
          <w:szCs w:val="24"/>
          <w:vertAlign w:val="superscript"/>
        </w:rPr>
        <w:footnoteReference w:id="56"/>
      </w:r>
      <w:r>
        <w:rPr>
          <w:rFonts w:hint="eastAsia" w:ascii="宋体" w:hAnsi="宋体" w:eastAsia="宋体" w:cs="宋体"/>
          <w:spacing w:val="12"/>
          <w:sz w:val="24"/>
          <w:szCs w:val="24"/>
        </w:rPr>
        <w:t>加强科技伦理治理体系建设，防止科技工作者陷入钱</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权</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色的贪婪陷阱，摈弃权力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关系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利益</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学阀等对科技创新和发展的干扰，打破官大学问大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钱多学问多等怪现象，构建科技进步与人类文明</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自然生态协同演化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共融共生的社会系统，形成崇尚科学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鼓励创新</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尊重知识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爱护人才的良好社会风尚和社会氛围。因此，2019年中央全面深化改革委员会第九次会议审议通过《国家科技伦理委员会组建方案》等文件，提出组建国家科技伦理委员会，“推动构建覆盖全面</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导向明确</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规范有序</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协调一致的科技伦理治理体系”。</w:t>
      </w:r>
      <w:r>
        <w:rPr>
          <w:rFonts w:hint="eastAsia" w:ascii="宋体" w:hAnsi="宋体" w:eastAsia="宋体" w:cs="宋体"/>
          <w:spacing w:val="12"/>
          <w:sz w:val="24"/>
          <w:szCs w:val="24"/>
          <w:vertAlign w:val="superscript"/>
        </w:rPr>
        <w:footnoteReference w:id="57"/>
      </w:r>
    </w:p>
    <w:p w14:paraId="14B4C1C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（三）不断改善科教工作者的待遇</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工作条件和环境，增强科教工作在市场经济条件下的吸引力，为新时代科学家精神的社会养成提供物质基础和财力物力人力支撑。</w:t>
      </w:r>
    </w:p>
    <w:p w14:paraId="2CC24F2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精神与物质，辩证统一</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相辅相依。能否为科技教育工作者和各类人才开展工作提供坚实的物质保障和人力物力财力支撑，是衡量优先发展科教事业是否真正落实的主要标志之一。科学家群体和科技工作者全身心投入科研工作，必须以满足其合理的物质和精神需要为前提，要给予他们献身科教事业的优越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神圣感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安全感和归属感。</w:t>
      </w:r>
    </w:p>
    <w:p w14:paraId="300BC29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“不是意识决定生活，而是生活决定意识。”</w:t>
      </w:r>
      <w:r>
        <w:rPr>
          <w:rFonts w:hint="eastAsia" w:ascii="宋体" w:hAnsi="宋体" w:eastAsia="宋体" w:cs="宋体"/>
          <w:spacing w:val="12"/>
          <w:sz w:val="24"/>
          <w:szCs w:val="24"/>
          <w:vertAlign w:val="superscript"/>
        </w:rPr>
        <w:footnoteReference w:id="58"/>
      </w:r>
      <w:r>
        <w:rPr>
          <w:rFonts w:hint="eastAsia" w:ascii="宋体" w:hAnsi="宋体" w:eastAsia="宋体" w:cs="宋体"/>
          <w:spacing w:val="12"/>
          <w:sz w:val="24"/>
          <w:szCs w:val="24"/>
        </w:rPr>
        <w:t>市场机制配置资源的基础是利益和效率，一些地方官员错误地认知社会主义市场经济和市场在一般经济资源配置中的决定性作用，把短期经济效益放在首位，热衷于任期内见效快显政绩的招商引资，对“老板”的“关爱”远远大于对教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和人才的关爱。对于科研人员，不能要求他们在必要生活条件得不到保障的情况下还要多出成果，不能只“挤奶”而“不给草”。相对于一些“明星”们轻轻松松日赚斗金，科技工作者的待遇的确很低，甚至一些作出卓越贡献的大科学家依然生活清贫。片面地要求一个为国为民作出重大贡献的科学家鞠躬尽瘁</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甘受清苦，而一些耍弄权术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投机钻营的人却坐拥亿万家资，在市场经济环境中，无疑是另一种社会分配的不公，这会使普罗大众，特别是青年人感到投身于科教事业缺乏吸引力，甚至让一些人望而却步，不利于在全社会培育和弘扬科学家精神。</w:t>
      </w:r>
    </w:p>
    <w:p w14:paraId="483F33F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（四）以社会主义核心价值观为统领，把科学家精神与工匠精神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劳模精神结合起来，加大新时代科学家精神的舆论宣传与社会教育，对于新时代科学家精神的社会养成具有关键性引领作用。科学家精神养成与一定社会条件下的价值准则导引和整体环境密切相关。市场经济环境中，对利益因素的考量渗透于社会各个领域，也渗透于科学研究与文化发展中。市场机制是一种手段，可以刺激竞争，加速科技进步和成果转化，但市场过于追求私利，激发人的欲望膨胀，</w:t>
      </w:r>
      <w:r>
        <w:rPr>
          <w:rFonts w:hint="eastAsia" w:ascii="宋体" w:hAnsi="宋体" w:eastAsia="宋体" w:cs="宋体"/>
          <w:spacing w:val="12"/>
          <w:sz w:val="24"/>
          <w:szCs w:val="24"/>
          <w:vertAlign w:val="superscript"/>
        </w:rPr>
        <w:footnoteReference w:id="59"/>
      </w:r>
      <w:r>
        <w:rPr>
          <w:rFonts w:hint="eastAsia" w:ascii="宋体" w:hAnsi="宋体" w:eastAsia="宋体" w:cs="宋体"/>
          <w:spacing w:val="12"/>
          <w:sz w:val="24"/>
          <w:szCs w:val="24"/>
        </w:rPr>
        <w:t>对公和义</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奉献精神等有着负面冲击和影响。在有失公平的制度安排下，数字技术导致数字时代权力失衡的加剧，“数字穷人”更加边缘化。</w:t>
      </w:r>
      <w:r>
        <w:rPr>
          <w:rFonts w:hint="eastAsia" w:ascii="宋体" w:hAnsi="宋体" w:eastAsia="宋体" w:cs="宋体"/>
          <w:spacing w:val="12"/>
          <w:sz w:val="24"/>
          <w:szCs w:val="24"/>
          <w:vertAlign w:val="superscript"/>
        </w:rPr>
        <w:footnoteReference w:id="60"/>
      </w:r>
      <w:r>
        <w:rPr>
          <w:rFonts w:hint="eastAsia" w:ascii="宋体" w:hAnsi="宋体" w:eastAsia="宋体" w:cs="宋体"/>
          <w:spacing w:val="12"/>
          <w:sz w:val="24"/>
          <w:szCs w:val="24"/>
        </w:rPr>
        <w:t>同时，随着外来文化的涌入，腐朽</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堕落的个人主义</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自由主义</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享乐主义</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消费主义</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拜金主义等思想蜂拥而来，再加上西方势力和平演变等图谋，新时代中国科学家精神的养成遭受了不可忽视的冲击。</w:t>
      </w:r>
    </w:p>
    <w:p w14:paraId="3D5CB0F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中国传统社会中“学而优则仕”“书中自有黄金屋，书中自有颜如玉”等观念，导致官本位</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崇拜权威等思想，导致人们过于追求权力和金钱，不敢质疑和批判权威，不利于科学精神的养成。人们在“病态社会”中得到物欲的满足和“虚假的快感”，丧失了对真善美的精神追求，异化为被操纵</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被控制的“单向度的人”。</w:t>
      </w:r>
      <w:r>
        <w:rPr>
          <w:rFonts w:hint="eastAsia" w:ascii="宋体" w:hAnsi="宋体" w:eastAsia="宋体" w:cs="宋体"/>
          <w:spacing w:val="12"/>
          <w:sz w:val="24"/>
          <w:szCs w:val="24"/>
          <w:vertAlign w:val="superscript"/>
        </w:rPr>
        <w:footnoteReference w:id="61"/>
      </w:r>
      <w:r>
        <w:rPr>
          <w:rFonts w:hint="eastAsia" w:ascii="宋体" w:hAnsi="宋体" w:eastAsia="宋体" w:cs="宋体"/>
          <w:spacing w:val="12"/>
          <w:sz w:val="24"/>
          <w:szCs w:val="24"/>
        </w:rPr>
        <w:t>科学研究需要基于好奇心的科学精神，做产业需要工匠精神，推动科技创新，解决“卡脖子”问题必须树立科学精神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工匠精神及文化自信。</w:t>
      </w:r>
      <w:r>
        <w:rPr>
          <w:rFonts w:hint="eastAsia" w:ascii="宋体" w:hAnsi="宋体" w:eastAsia="宋体" w:cs="宋体"/>
          <w:spacing w:val="12"/>
          <w:sz w:val="24"/>
          <w:szCs w:val="24"/>
          <w:vertAlign w:val="superscript"/>
        </w:rPr>
        <w:footnoteReference w:id="62"/>
      </w:r>
      <w:r>
        <w:rPr>
          <w:rFonts w:hint="eastAsia" w:ascii="宋体" w:hAnsi="宋体" w:eastAsia="宋体" w:cs="宋体"/>
          <w:spacing w:val="12"/>
          <w:sz w:val="24"/>
          <w:szCs w:val="24"/>
        </w:rPr>
        <w:t>新时代建设科技现代化强国应当以马克思主义和社会主义先进文化为引领，以社会主义制度优势，以及法治</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道德</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文化等力量削弱和抵御市场经济</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官本位等对科学家精神的负面冲击和影响，防止科技工作者异化为学阀</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行政官僚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金钱的奴隶，将科学家精神多领域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全过程融入思政教育工作，推动传统文化创造性转化和创新性发展，弘扬传统美德，唱响主旋律，结合社会现实和每个人的实际工作，宣扬拥有和展现科学家精神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劳模精神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工匠精神的时代楷模，为塑形铸魂科学家精神营造良好的社会风尚和舆论氛围。为此，各地需要依托科技馆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国家重点实验室</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重大科技工程纪念馆（遗迹）等设施建设一批科学家精神教育基地。</w:t>
      </w:r>
    </w:p>
    <w:p w14:paraId="61073BB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（五）打造具有良好学术和科研风气的科研团队和科学共同体，搭建政产学研企交流联接平台，是新时代科学家精神社会养成的微观发育生态。</w:t>
      </w:r>
    </w:p>
    <w:p w14:paraId="04CBE18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科技进步呈现出跨领域多学科交叉融合的整体化发展趋势，面对庞大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繁杂的科技攻关和科研任务，无论就学识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能力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眼界而言，还是就精力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时间等来说，个体力量都是微弱的。科技突破与创新，很难依靠某单一学科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专业，或是某一位科学家的力量完成，需要整合不同专业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不同领域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不同知识背景的科学家和研究人员组建科研团队和科学共同体，搭建政产学研企交流联接平台，协同合作，交流互促，共同进步。在科学共同体内部，要建立相关的规章制度和道德规范等，构建科学家和研究人员工作的良好微观环境，这一环境将潜移默化地影响每一位成员的思想和行为，使制度规范内化为科学良心和科技道德自觉。</w:t>
      </w:r>
    </w:p>
    <w:p w14:paraId="430DE2F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同时，以科学家精神激励和培育学术新秀和年轻人队伍，形成教学相长</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交流互促</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交融共进的科研团队和梯队，打造艰苦奋斗</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团结互助和风清气正的科研队伍，共同抵制不良风气的侵蚀，有利于不同专业背景和不同特长的成员相互取长补短</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优势互补，搭建施展才华的舞台，推动科学技术与生产劳动实践相结合，更好地推动科技进步与创新，更简便地对接国家和企业重大任务和需求，防止科技事业的断层风险，以群体和团队的力量带动科学家精神的社会养成。</w:t>
      </w:r>
    </w:p>
    <w:p w14:paraId="75681C2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eastAsia="zh-CN"/>
        </w:rPr>
      </w:pPr>
      <w:r>
        <w:rPr>
          <w:rFonts w:hint="eastAsia" w:ascii="宋体" w:hAnsi="宋体" w:eastAsia="宋体" w:cs="宋体"/>
          <w:spacing w:val="12"/>
          <w:sz w:val="24"/>
          <w:szCs w:val="24"/>
        </w:rPr>
        <w:t>另外，科技进步与创新不是封闭的自我循环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闭门造车，而是在开放的系统中不断完成新陈代谢。要建立开放环境中的自主创新体系，在不断吸纳外部信息和能量的基础上持续提升自立自强的能力，营造新时代科学家精神社会养成的外部生态系统。习近平总书记强调：“关键核心技术是要不来</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买不来</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讨不来的。”</w:t>
      </w:r>
      <w:r>
        <w:rPr>
          <w:rFonts w:hint="eastAsia" w:ascii="宋体" w:hAnsi="宋体" w:eastAsia="宋体" w:cs="宋体"/>
          <w:spacing w:val="12"/>
          <w:sz w:val="24"/>
          <w:szCs w:val="24"/>
          <w:vertAlign w:val="superscript"/>
        </w:rPr>
        <w:footnoteReference w:id="63"/>
      </w:r>
      <w:r>
        <w:rPr>
          <w:rFonts w:hint="eastAsia" w:ascii="宋体" w:hAnsi="宋体" w:eastAsia="宋体" w:cs="宋体"/>
          <w:spacing w:val="12"/>
          <w:sz w:val="24"/>
          <w:szCs w:val="24"/>
        </w:rPr>
        <w:t>构建科技创新的开放系统，必须以自主和自立为基点，开放和外援为条件，将战略支点建构在自主创新能力的提升和自主知识产权的增加上，在不断提高国际交流与合作的层次和质量的过程中完善自我生长的科技生态系统</w:t>
      </w:r>
      <w:r>
        <w:rPr>
          <w:rFonts w:hint="eastAsia" w:ascii="宋体" w:hAnsi="宋体" w:eastAsia="宋体" w:cs="宋体"/>
          <w:spacing w:val="12"/>
          <w:sz w:val="24"/>
          <w:szCs w:val="24"/>
          <w:lang w:eastAsia="zh-CN"/>
        </w:rPr>
        <w:t>。</w:t>
      </w:r>
    </w:p>
    <w:p w14:paraId="0A76C706">
      <w:pPr>
        <w:pStyle w:val="4"/>
        <w:bidi w:val="0"/>
        <w:rPr>
          <w:rFonts w:hint="eastAsia"/>
        </w:rPr>
      </w:pPr>
      <w:r>
        <w:rPr>
          <w:rFonts w:hint="eastAsia"/>
        </w:rPr>
        <w:t>四</w:t>
      </w:r>
      <w:r>
        <w:rPr>
          <w:rFonts w:hint="eastAsia"/>
          <w:lang w:eastAsia="zh-CN"/>
        </w:rPr>
        <w:t>、</w:t>
      </w:r>
      <w:r>
        <w:rPr>
          <w:rFonts w:hint="eastAsia"/>
        </w:rPr>
        <w:t>新时代科学家精神的个人养成</w:t>
      </w:r>
    </w:p>
    <w:p w14:paraId="5C57979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组成人类社会的单个个体拥有自身的精神理念，又是经济社会活动的主体。具体到每一个个体，养成科学家精神既需要社会环境和科研生态的熏陶培育，更需要科学家个人加强自我修养，锤炼意志品质，提高精神境界。</w:t>
      </w:r>
    </w:p>
    <w:p w14:paraId="2183E06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（一）树立崇高理想和高远目标，将个人的发展同国家民族的兴旺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人民的福祉</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人类的进步紧密联系起来，科技与人文</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信念与现实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知识与价值相统一，提升个人的人生境界和格局。</w:t>
      </w:r>
    </w:p>
    <w:p w14:paraId="126C3C6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马克思主义不仅是头脑中的信仰，更是行动上的追求。在物质匮乏</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极度困难的条件下，以钱学森等为代表的一批科学家冒着巨大风险，放弃国外的优厚待遇毅然回国，用自己的实际行动，甚至生命诠释了为国为民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无私奉献的大爱精神，他们是中国科学家精神的典范体现者和最好诠释者。一个人为理想而奋斗，为使命而工作，就会持久地充满奋斗的力量，不断提升人生境界。科学研究离不开人文素养和人文精神，</w:t>
      </w:r>
      <w:r>
        <w:rPr>
          <w:rFonts w:hint="eastAsia" w:ascii="宋体" w:hAnsi="宋体" w:eastAsia="宋体" w:cs="宋体"/>
          <w:spacing w:val="12"/>
          <w:sz w:val="24"/>
          <w:szCs w:val="24"/>
          <w:vertAlign w:val="superscript"/>
        </w:rPr>
        <w:footnoteReference w:id="64"/>
      </w:r>
      <w:r>
        <w:rPr>
          <w:rFonts w:hint="eastAsia" w:ascii="宋体" w:hAnsi="宋体" w:eastAsia="宋体" w:cs="宋体"/>
          <w:spacing w:val="12"/>
          <w:sz w:val="24"/>
          <w:szCs w:val="24"/>
        </w:rPr>
        <w:t>要贯通信念</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人文教育，坚持价值性与知识性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科技与人文</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历史与现实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理论与实际相统一。新时代科学家要胸怀祖国，以人民为中心，传承弘扬老一辈科学家的优秀品质和崇高品德，勇于担当，奋发图强，争优创先，在人类进步事业和社会主义现代化伟业中实现自己的科学梦想。</w:t>
      </w:r>
    </w:p>
    <w:p w14:paraId="552F0E5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（二）淡泊名利，坚守科技伦理和科技道德底线，永葆科技良心，增强社会责任感，锤炼个人的意志品质，把崇尚科学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探求真知作为毕生追求。</w:t>
      </w:r>
    </w:p>
    <w:p w14:paraId="0B938DA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在现实社会中，科学家同样具有人的弱点，必然受到人的需要</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欲望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兴趣</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感情等因素的影响。社会环境</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社会因素对科学家的影响是不同的，在相同或相似的社会环境</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教育背景乃至家庭熏陶影响之下，人与人之间依然可以有着天壤之别，这主要取决于个人的性格禀赋</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道德水平</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价值观念</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精神信仰</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意志品质等因素。科学真理是客观的，科学家不能随意制作科学事实。</w:t>
      </w:r>
      <w:r>
        <w:rPr>
          <w:rFonts w:hint="eastAsia" w:ascii="宋体" w:hAnsi="宋体" w:eastAsia="宋体" w:cs="宋体"/>
          <w:spacing w:val="12"/>
          <w:sz w:val="24"/>
          <w:szCs w:val="24"/>
          <w:vertAlign w:val="superscript"/>
        </w:rPr>
        <w:footnoteReference w:id="65"/>
      </w:r>
      <w:r>
        <w:rPr>
          <w:rFonts w:hint="eastAsia" w:ascii="宋体" w:hAnsi="宋体" w:eastAsia="宋体" w:cs="宋体"/>
          <w:spacing w:val="12"/>
          <w:sz w:val="24"/>
          <w:szCs w:val="24"/>
        </w:rPr>
        <w:t>好奇心和求知欲，是推动人们探索真知的原初动力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优秀的科学家要具有坚定信念</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崇高品格和顽强意志力，始终热爱科学，把探索未知</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追求真理作为毕生追求，不迷信，不盲从，自觉坚守科技道德和科技良心，涵养人文精神与素养，打破功利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欲望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关系等因素的干扰，独立思辨，敢想敢干，锤炼个人的意志品质，不断提升洞察力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思考力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推理力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判断力，面对挫折和质疑愈挫愈奋</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坚韧不拔。</w:t>
      </w:r>
    </w:p>
    <w:p w14:paraId="7F1582E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（三）不断探索科技前沿，顶天立地，植根大地，立足实践，走产学研结合的道路，把科技工作与生产劳动实践</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社会发展实际紧密结合起来。</w:t>
      </w:r>
    </w:p>
    <w:p w14:paraId="7010855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恩格斯说：“社会一旦有技术上的需要，这种需要就会比十所大学更能把科学推向前进。”</w:t>
      </w:r>
      <w:r>
        <w:rPr>
          <w:rFonts w:hint="eastAsia" w:ascii="宋体" w:hAnsi="宋体" w:eastAsia="宋体" w:cs="宋体"/>
          <w:spacing w:val="12"/>
          <w:sz w:val="24"/>
          <w:szCs w:val="24"/>
          <w:vertAlign w:val="superscript"/>
        </w:rPr>
        <w:footnoteReference w:id="66"/>
      </w:r>
      <w:r>
        <w:rPr>
          <w:rFonts w:hint="eastAsia" w:ascii="宋体" w:hAnsi="宋体" w:eastAsia="宋体" w:cs="宋体"/>
          <w:spacing w:val="12"/>
          <w:sz w:val="24"/>
          <w:szCs w:val="24"/>
        </w:rPr>
        <w:t>一个人的价值是在服务社会和他人的过程中实现的，把教材背得烂熟却不会应用的人，“不能算理论家”。</w:t>
      </w:r>
      <w:r>
        <w:rPr>
          <w:rFonts w:hint="eastAsia" w:ascii="宋体" w:hAnsi="宋体" w:eastAsia="宋体" w:cs="宋体"/>
          <w:spacing w:val="12"/>
          <w:sz w:val="24"/>
          <w:szCs w:val="24"/>
          <w:vertAlign w:val="superscript"/>
        </w:rPr>
        <w:footnoteReference w:id="67"/>
      </w:r>
      <w:r>
        <w:rPr>
          <w:rFonts w:hint="eastAsia" w:ascii="宋体" w:hAnsi="宋体" w:eastAsia="宋体" w:cs="宋体"/>
          <w:spacing w:val="12"/>
          <w:sz w:val="24"/>
          <w:szCs w:val="24"/>
        </w:rPr>
        <w:t>新时代科学家和科技工作者要主动对接国家重大战略需求和人民美好生活需要，服务经济社会发展主战场，深入群众与实践，植根中国大地，把理论与实际</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学术成果与现实社会联系起来，孜孜以求，从而打破封闭的小环境，突破思维惯性和传统习俗的束缚，获取不竭动力和力量源泉，获得广阔空间和舞台。科学家来自人民，是人民群众中涌现出来的佼佼者。科技进步与创新又是为人民服务的。在实践历练中，新时代科学家和科技工作者应以时不我待的紧迫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危机感，抢抓机遇，永葆科学良心，不断增强为国担责和为民服务的能力。</w:t>
      </w:r>
    </w:p>
    <w:p w14:paraId="5BF1A62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（四）保持开放视野和开阔胸襟，打破学科壁垒和门派世俗观念，增强团队精神和协作精神，形成优秀的科研团队和科学共同体，把科学研究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服务社会与人才培育相互融合在一起。</w:t>
      </w:r>
    </w:p>
    <w:p w14:paraId="098F7A4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不同领域和不同专业的科学家相互观照，体现的是更高层次的科学家精神。重大科技攻关和科技创新需要打破学科和专业限制，跨界发展</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跨领域发展，自然科学和人文社会科学多学科</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多领域科学家和研究人员形成作风优良的科研团队和科学共同体，以重大科技项目</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基础科学项目</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科研集成项目</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事关国家安全和民生的科技项目以及国家实验室建设等为主要抓手，聚焦重大科学项目</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卡脖子科技和关键核心技术，整合资源</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协同攻关</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甘为人梯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奖掖后人，把科学研究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服务社会</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打造团队与培育后人融为一体。同时，要打破门派</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出身</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学历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论文等固有偏见，把科技工作者与能工巧匠</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劳动模范融于一身，实现科学家精神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工匠精神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劳模精神的融合统一。</w:t>
      </w:r>
    </w:p>
    <w:p w14:paraId="6C2F7D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（五）培养不怕困难</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吃苦耐劳和艰苦奋斗的精神，勇于登攀，敢于创新，自强不息，实现民族精神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革命精神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时代精神与科学家精神的内在融通，塑造优良的科研品格。</w:t>
      </w:r>
    </w:p>
    <w:p w14:paraId="142A202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中华民族在其生生不息的历史进程中形成了爱国主义为核心的伟大民族精神，中国人民在推动经济社会发展进步的伟大实践中形成了吃苦耐劳</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勤劳勇敢</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自强不息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爱好和平等卓越的优良传统和精神禀赋，中国共产党在领导人民进行革命建设改革的进程中形成了伟大的革命精神和改革创新为核心的时代精神，特别是在民族救亡</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民族复兴的伟业中，老一辈革命家和无数仁人志士，一代又一代中国共产党人和中国人民贡献出自己的青春和热血，不畏艰险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不怕牺牲</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艰苦奋斗，这些为新时代科学家精神的养成提供了宝贵的精神财富和典范样本。每位有志于科技发展和人类文明进步的科技工作者都应勇于担当历史使命，以仁人志士</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英雄模范的光辉事迹和坚强意志激励自己，砥砺前行，实现民族精神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革命精神</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时代精神与科学家精神的内在融通，塑造自己优秀的科研品格和高尚人格。</w:t>
      </w:r>
    </w:p>
    <w:p w14:paraId="224DA12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“利者，义之和也”，“利物足以和义”。</w:t>
      </w:r>
      <w:r>
        <w:rPr>
          <w:rFonts w:hint="eastAsia" w:ascii="宋体" w:hAnsi="宋体" w:eastAsia="宋体" w:cs="宋体"/>
          <w:spacing w:val="12"/>
          <w:sz w:val="24"/>
          <w:szCs w:val="24"/>
          <w:vertAlign w:val="superscript"/>
        </w:rPr>
        <w:footnoteReference w:id="68"/>
      </w:r>
      <w:r>
        <w:rPr>
          <w:rFonts w:hint="eastAsia" w:ascii="宋体" w:hAnsi="宋体" w:eastAsia="宋体" w:cs="宋体"/>
          <w:spacing w:val="12"/>
          <w:sz w:val="24"/>
          <w:szCs w:val="24"/>
        </w:rPr>
        <w:t>人追逐私利，产生欲望；追逐公利，产生价值；让私欲符合大多数人的利益和需要，才能实现义和利的统一。</w:t>
      </w:r>
      <w:r>
        <w:rPr>
          <w:rFonts w:hint="eastAsia" w:ascii="宋体" w:hAnsi="宋体" w:eastAsia="宋体" w:cs="宋体"/>
          <w:spacing w:val="12"/>
          <w:sz w:val="24"/>
          <w:szCs w:val="24"/>
          <w:vertAlign w:val="superscript"/>
        </w:rPr>
        <w:footnoteReference w:id="69"/>
      </w:r>
      <w:r>
        <w:rPr>
          <w:rFonts w:hint="eastAsia" w:ascii="宋体" w:hAnsi="宋体" w:eastAsia="宋体" w:cs="宋体"/>
          <w:spacing w:val="12"/>
          <w:sz w:val="24"/>
          <w:szCs w:val="24"/>
        </w:rPr>
        <w:t>要在社会主义制度优势和先进文化优势基础上，唱响主旋律，通过制度</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法律</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文化习俗和道德教化等调适和规制欲望，引导人们正确处理义与利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道与术</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公与私的关系，处理好个人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集体</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国家的关系，达到身心和谐</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义利平衡</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物质和精神相协调，共同构筑起科学家精神养成体系。在市场经济环境下，既要满足人的基本需求，又要引导人们追求合于义的利，合于道的术，合于人民利益的权，把科技发展与人类文明进步融为一体，通过科技与人文协同推动社会可持续发展，</w:t>
      </w:r>
      <w:r>
        <w:rPr>
          <w:rFonts w:hint="eastAsia" w:ascii="宋体" w:hAnsi="宋体" w:eastAsia="宋体" w:cs="宋体"/>
          <w:spacing w:val="12"/>
          <w:sz w:val="24"/>
          <w:szCs w:val="24"/>
          <w:vertAlign w:val="superscript"/>
        </w:rPr>
        <w:footnoteReference w:id="70"/>
      </w:r>
      <w:r>
        <w:rPr>
          <w:rFonts w:hint="eastAsia" w:ascii="宋体" w:hAnsi="宋体" w:eastAsia="宋体" w:cs="宋体"/>
          <w:spacing w:val="12"/>
          <w:sz w:val="24"/>
          <w:szCs w:val="24"/>
        </w:rPr>
        <w:t>在服务祖国和人民，服务经济社会发展的实践中，实现科学家精神求真</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至善</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臻美的完美融合与辩证统一，构建科技发展与人类文明协同演化</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共融共生的生态系统。</w:t>
      </w:r>
    </w:p>
    <w:p w14:paraId="19CBDB73">
      <w:pPr>
        <w:tabs>
          <w:tab w:val="left" w:pos="347"/>
        </w:tabs>
        <w:spacing w:line="360" w:lineRule="auto"/>
        <w:ind w:firstLine="420" w:firstLineChars="200"/>
        <w:rPr>
          <w:rFonts w:hint="eastAsia" w:ascii="宋体" w:hAnsi="宋体" w:eastAsia="宋体" w:cs="宋体"/>
          <w:b w:val="0"/>
          <w:bCs w:val="0"/>
          <w:szCs w:val="24"/>
          <w:lang w:eastAsia="zh-CN"/>
        </w:rPr>
      </w:pPr>
      <w:r>
        <w:rPr>
          <w:rFonts w:hint="eastAsia" w:ascii="宋体" w:hAnsi="宋体" w:eastAsia="宋体" w:cs="宋体"/>
          <w:b w:val="0"/>
          <w:bCs w:val="0"/>
          <w:szCs w:val="24"/>
          <w:lang w:eastAsia="zh-CN"/>
        </w:rPr>
        <w:t>（</w:t>
      </w:r>
      <w:r>
        <w:rPr>
          <w:rFonts w:hint="eastAsia" w:ascii="宋体" w:hAnsi="宋体" w:eastAsia="宋体" w:cs="宋体"/>
          <w:b w:val="0"/>
          <w:bCs w:val="0"/>
          <w:szCs w:val="24"/>
          <w:lang w:val="en-US" w:eastAsia="zh-CN"/>
        </w:rPr>
        <w:t>原载《</w:t>
      </w:r>
      <w:r>
        <w:rPr>
          <w:rFonts w:hint="eastAsia" w:ascii="宋体" w:hAnsi="宋体" w:eastAsia="宋体" w:cs="宋体"/>
          <w:b w:val="0"/>
          <w:bCs w:val="0"/>
          <w:lang w:val="en-US" w:eastAsia="zh-CN"/>
        </w:rPr>
        <w:t>上海交通大学学报(哲学社会科学版)</w:t>
      </w:r>
      <w:r>
        <w:rPr>
          <w:rFonts w:hint="eastAsia" w:ascii="宋体" w:hAnsi="宋体" w:eastAsia="宋体" w:cs="宋体"/>
          <w:b w:val="0"/>
          <w:bCs w:val="0"/>
          <w:szCs w:val="24"/>
          <w:lang w:val="en-US" w:eastAsia="zh-CN"/>
        </w:rPr>
        <w:t>》2022年第3期，第一作者为冯道杰。</w:t>
      </w:r>
      <w:r>
        <w:rPr>
          <w:rFonts w:hint="eastAsia" w:ascii="宋体" w:hAnsi="宋体" w:eastAsia="宋体" w:cs="宋体"/>
          <w:b w:val="0"/>
          <w:bCs w:val="0"/>
          <w:szCs w:val="24"/>
          <w:lang w:eastAsia="zh-CN"/>
        </w:rPr>
        <w:t>）</w:t>
      </w:r>
    </w:p>
    <w:p w14:paraId="7167689B">
      <w:pPr>
        <w:rPr>
          <w:rFonts w:ascii="宋体" w:hAnsi="宋体" w:eastAsia="宋体" w:cs="宋体"/>
          <w:szCs w:val="24"/>
        </w:rPr>
      </w:pPr>
    </w:p>
    <w:p w14:paraId="35103AFC">
      <w:pPr>
        <w:rPr>
          <w:rFonts w:hint="default"/>
          <w:lang w:val="en-US" w:eastAsia="zh-CN"/>
        </w:rPr>
      </w:pPr>
    </w:p>
    <w:p w14:paraId="1B9C0A18">
      <w:pPr>
        <w:pStyle w:val="3"/>
        <w:bidi w:val="0"/>
      </w:pPr>
      <w:bookmarkStart w:id="78" w:name="_Toc10615"/>
      <w:bookmarkStart w:id="79" w:name="_Toc1513449933"/>
      <w:bookmarkStart w:id="80" w:name="_Toc232987135"/>
      <w:bookmarkStart w:id="81" w:name="_Toc1097972049"/>
      <w:bookmarkStart w:id="82" w:name="_Toc830738156"/>
      <w:bookmarkStart w:id="83" w:name="_Toc615703440"/>
      <w:r>
        <w:rPr>
          <w:rFonts w:hint="eastAsia"/>
          <w:lang w:val="en-US" w:eastAsia="zh-CN"/>
        </w:rPr>
        <w:t>6</w:t>
      </w:r>
      <w:r>
        <w:t>运用“资本市场”分配方式促进共同富裕</w:t>
      </w:r>
      <w:bookmarkEnd w:id="78"/>
      <w:bookmarkEnd w:id="79"/>
      <w:bookmarkEnd w:id="80"/>
      <w:bookmarkEnd w:id="81"/>
      <w:bookmarkEnd w:id="82"/>
      <w:bookmarkEnd w:id="83"/>
    </w:p>
    <w:p w14:paraId="79F1C5D9">
      <w:pPr>
        <w:bidi w:val="0"/>
      </w:pPr>
      <w:r>
        <w:t>摘    要：新时代是不断创造美好生活 、逐步实现全体人民共同富裕的时代 。扎实推动共同富裕，使全体 人民共同富裕取得更为明显的实质性进展，可以通过“五种分配方式”来充分释放正效应 。其中，资本市 场分配方式是五种分配方式的重要组成部分 。社会主义初级阶段的基本经济制度与社会主义市场经济 的按要素产权分配是资本市场分配方式的前提，资本市场对财富具有胀缩作用是资本市场分配方式的 基础 。资本市场对财富的胀缩作用关键在于实体经济的运行状况，利率是其重要影响因素，且资本市场 的单纯波动也会发挥作用 。完善资本市场分配方式的路径主要包括：发挥国家调节的主导作用 、完善市 场分配机制以及体现监管的人民性 。</w:t>
      </w:r>
    </w:p>
    <w:p w14:paraId="08E22FBF">
      <w:pPr>
        <w:bidi w:val="0"/>
      </w:pPr>
      <w:r>
        <w:t>关键词：共同富裕；分配方式；资本市场；按要素产权分配；政治经济学分配理论</w:t>
      </w:r>
    </w:p>
    <w:p w14:paraId="02BE51B0">
      <w:pPr>
        <w:bidi w:val="0"/>
      </w:pPr>
    </w:p>
    <w:p w14:paraId="5D7F3E11">
      <w:pPr>
        <w:bidi w:val="0"/>
      </w:pPr>
      <w:r>
        <w:t>实现共同富裕是社会主义的本质要求 。改革开放以来，我国逐渐出现了贫富差距不断扩大的问  题，对此习近平总书记明确指出，新时代是“不断创造美好生活、逐步实现全体人民共同富裕的时代”［1］， 要扎实推动“全体人民共同富裕取得更为明显的实质性进展 ”［2］。吴文新和程恩富认为可以通过“‘五  种分配方式 ’来充分释放正效应，它们在总体分配中分别起不同的作用 ”［3］。其中，“四是运用好起胀缩  作用的‘资本市场 ’分配方式 。证券 、债券等资本市场的价格变动，会引起参与者财富和收入的膨胀或  收缩变动”［3］。这里对此作出分析 。</w:t>
      </w:r>
    </w:p>
    <w:p w14:paraId="239C45CA">
      <w:pPr>
        <w:bidi w:val="0"/>
      </w:pPr>
      <w:r>
        <w:t>一、资本市场分配方式的理论基础</w:t>
      </w:r>
    </w:p>
    <w:p w14:paraId="0BFD901F">
      <w:pPr>
        <w:bidi w:val="0"/>
      </w:pPr>
      <w:r>
        <w:t>（一）基本经济制度与按要素产权分配是资本市场分配方式的前提</w:t>
      </w:r>
    </w:p>
    <w:p w14:paraId="6238E100">
      <w:pPr>
        <w:bidi w:val="0"/>
      </w:pPr>
      <w:r>
        <w:t>多种所有制经济共同发展 、多种分配方式并存，是我国现阶段基本经济制度所规定的 。在公有制 为主体的前提下，鼓励 、支持 、引导非公有制经济发展，是现阶段发展社会主义生产力的重要政策，而 所有制多元化也必然形成分配方式的多样化。党的十九大报告指出：“完善按要素分配的体制机制，促 进收入分配更合理、更有序……拓宽居民劳动收入和财产性收入渠道。 ”［4］按要素分配是按生产要素 产权分配的简称 。劳动（准确表述应为劳动力或劳力）、技术 、资本 、土地等生产要素共同参与国民财 富及其货币表现即收入的创造,但非劳动生产要素本身并不因此获得财富和收入的分配，而是要素的</w:t>
      </w:r>
    </w:p>
    <w:p w14:paraId="1755203F">
      <w:pPr>
        <w:bidi w:val="0"/>
      </w:pPr>
      <w:r>
        <w:t>拥有者凭借其产权及其份额获得财富和收入 。 因此，社会主义基本经济制度允许存在按要素产权分 配，并不排斥依靠资本获得财产性收入，这是资本市场分配方式确立的前提条件 。</w:t>
      </w:r>
    </w:p>
    <w:p w14:paraId="666B2307">
      <w:pPr>
        <w:bidi w:val="0"/>
      </w:pPr>
      <w:r>
        <w:t>（二）资本市场对财富具有胀缩作用是资本市场分配方式的基础</w:t>
      </w:r>
    </w:p>
    <w:p w14:paraId="643967EE">
      <w:pPr>
        <w:bidi w:val="0"/>
      </w:pPr>
      <w:r>
        <w:t>资本市场何以可能成为重要分配方式之一，关键就在于其对财富和收入的胀缩作用 。资本市场 是指长期债务市场和权益证券市场［5］。债务工具根据主体的不同又可以分为：政府债券 、企业债券以 及银行贷款（包括企业贷款和个人贷款）。 权益工具主要指股票以及衍生工具如期货合约等 。我国基 金规模发展迅速 ，根据基金业协会数据 ，目前我国“公募基金管理总规模超 26 万亿 ，基金数量超过 10000 只 ”［6］，但过半数基金属于权益类基金 ，股票基金和债券基金等仍然是市场中的主流 。 限于篇 幅，下文不对基金和衍生工具等作单独分析，而主要考虑债券市场 、股票市场和贷款市场 。</w:t>
      </w:r>
    </w:p>
    <w:p w14:paraId="57EB3618">
      <w:pPr>
        <w:bidi w:val="0"/>
      </w:pPr>
      <w:r>
        <w:t>首先是债券市场 。债务工具又称固定收益工具，一般而言其风险和收益介于储蓄和股票之间 。其  中，政府债券主要分为国债和地方政府债券 。 国债由国家发行，承诺定期支付利息和到期偿还本金 ， 主要依靠财政收入和财政盈余支付 。地方政府债券虽然发展较晚，但规模迅速扩大，主要分为一般责  任债券和专项债券，前者依靠地方政府预算收入支付本息，后者依靠专项收入支付本息 。企业债券发  行主体是公司企业，企业债券持有人对企业没有所有权，但要求企业支付利息和本金，企业以其收入  和利润进行支付本息 。其次是股票市场 。股票是股份公司发行的权益工具，其风险和收益相对较高 。 股票持有者依据其持有数量对企业享有所有权并获得股息 ，股票可以转让买卖 ，但无法要求企业返  还本金 。股份公司根据自身经营状况选择是否分红，并以其利润支付股息 。最后是银行贷款市场 。企  业贷款与企业债券类似，利息和本金的支付依赖于企业的生产经营状况 。个人贷款主要分为住房贷  款和消费贷款 。贷款并不会给贷款人直接带来收益，仅仅暂时增加了其可支配的资金额，且需要支付  利息 。贷款人利用住房贷款购买房产，因房价变动而可能产生的收益或损失可以归类于起调节作用  的“物价变动 ”分配方式，在此不过多地讨论 。若个人贷款用于生产，则与企业贷款类似，最终的还本  付息取决于其生产状况 。</w:t>
      </w:r>
    </w:p>
    <w:p w14:paraId="5309C8C4">
      <w:pPr>
        <w:bidi w:val="0"/>
      </w:pPr>
      <w:r>
        <w:t>通过上述分析不难看出 ，资本市场对财富的胀缩作用关键在于实体经济的运行状况 ，利率是其 重要影响因素，资本市场的单纯波动也会发挥作用 。</w:t>
      </w:r>
    </w:p>
    <w:p w14:paraId="62E40EDE">
      <w:pPr>
        <w:bidi w:val="0"/>
      </w:pPr>
      <w:r>
        <w:t>第一，实体经济的运行状况是资本市场对财富和收入起胀缩作用的基础 。 国民经济运行状况和  国家财政收入是国债还本付息的重要保障 ，在良好的国民经济和充足的财政收入条件下 ，国债对国  民财富和收入的膨胀作用凸显，反之则使国民财富缩水 。地方政府债券同国债相类似，只是以地方政  府财政收入作为支付保障 。另外，专项债券较为特殊，一般是为某一专项具体工程而发行，其支付主  要依据该项目的建设运营和收益状况 。优质项目有益于债券持有者获利，反之则可能造成损失 。企业  债券的支付以企业经营利润为保障，其风险进一步上升 。经营状况良好 、信用评级较高的企业能够按  时按量完成债券的支付，反之，则可能导致债券持有者受到损失 。部分企业债券条款中包含调整票面  利率等内容，也会对债券持有者收益产生影响 。股票股息支付的不确定性更高，上市公司对是否分红  及分红比例具有很大的自主权，并不完全依据企业的经营与盈利状况 。发展良好的上市公司进行持  续稳定的分红无疑会对股民的财富和收入增长具有正向作用 。至于企业贷款或用于生产的个人贷  款 ，贷款资金若用于生产经营 ，在正常盈利的情况下 ，会对国民财富起到膨胀作用 ，反之则会对贷款  者甚至是银行财富造成损失，导致财富缩水 。而个人的消费贷款和住房贷款不会为贷款人增加财富，房价变动所产生的收益或损失归入“物价变动”分配方式 。</w:t>
      </w:r>
    </w:p>
    <w:p w14:paraId="6A93B849">
      <w:pPr>
        <w:bidi w:val="0"/>
      </w:pPr>
      <w:r>
        <w:t>第二，利率是影响资本市场对财富和收入作用的重要因素 。利率的影响直接表现在有价证券的  交易价格变动和贷款利息的支付上 。利率下降通常导致有价证券价格上升，反之就会下降，对于非持  有到期的债券拥有者来说可能会提高收益或造成损失 。一般来说，按照国债 、地方政府债券和企业债  券的顺序，利率变动的影响逐渐增大 。股票价格与利率往往也呈反向变动，利率上升会造成股票价格  下降 。并且，贷款利率直接关系到贷款利息的支付，毫无疑问会对企业和个人的财富造成直接影响 。 以住房贷款为例，2022 年 5 月 20  日 5 年期 LPR 下调 15 个基点 ， 北京市 25 年期等额本息 100 万房  贷可省 2.6 万元左右［7］。</w:t>
      </w:r>
    </w:p>
    <w:p w14:paraId="19CAAF72">
      <w:pPr>
        <w:bidi w:val="0"/>
      </w:pPr>
      <w:r>
        <w:t>第三，资本市场对财富的胀缩作用还可能来自资本市场的单纯波动 。这种波动在股票市场中尤 其明显 。价格波动是股市的常态，在某上市公司经营状况未发生明显变化的情况下，其股票价格依旧 可以在短时间内急剧变化，甚至较长时间内维持与其公司规模及经营状况严重不符的股票价格 。这 种资本市场单纯的价格波动会直接造成相关主体的财富增长或损失 。机构投资者通过拆单等手段伪 装成散户进行大量小规模交易，掩盖其真实交易意图，利用信息优势操纵股票价格，从而实现低买高 卖 、赚取差价的目的 。财富逐渐流向证券公司 、机构投资者，中小股民被“割韭菜 ”成为股市常态 。债 券 、期货等其他金融产品也同样如此 。</w:t>
      </w:r>
    </w:p>
    <w:p w14:paraId="6F6FEE11">
      <w:pPr>
        <w:pStyle w:val="4"/>
        <w:bidi w:val="0"/>
      </w:pPr>
      <w:r>
        <w:t>二、资本市场分配方式的实况</w:t>
      </w:r>
    </w:p>
    <w:p w14:paraId="186FC7A0">
      <w:pPr>
        <w:bidi w:val="0"/>
      </w:pPr>
      <w:r>
        <w:t>国外资本市场发展较早，因而其对国民财富和收入分配的影响也更加显著 。以美国为例，2007 年 以来 ，美国个人股息年收入总量均在 1 万亿美元以上 ，2019 年最高达到 1.32 万亿美元 ；个人利息年 收入总量均在 1.4 万亿美元以上，2019 年峰值为 1.65 万亿美元 。2007 年至 2020 年，个人股息收入占 个人可支配收入的比例均值为 7.0%，最低 4.8%，最高 8.1%；个人利息收入占个人可支配收入比例均 值为 10.8% ， 最低 9.3% ， 最高 13.1% 。2007 年以来家庭负债比率呈现出不断下降的趋势 ， 均值为 10.4% ，抵押贷款负债率均值为 5% ， 消费贷款负债比率均值为 5.4% 。2021 年美国家庭负债比率为 9.2%，其中抵押贷款负债比率为 3.8%，消费贷款负债比率为 5.4%①。美国资本市场对美国家庭收入和 支出两方面的影响都很大 。英 、法 、德 、日等发达国家家庭持有的金融资产总量多，种类多样，并且“金 融市场越发达，家庭持有的金融资产与经济基础的相对规模越大 ”［8］，因而其国民财富和收入受资本 市场的影响也就越显著 。</w:t>
      </w:r>
    </w:p>
    <w:p w14:paraId="173DFCEB">
      <w:pPr>
        <w:bidi w:val="0"/>
      </w:pPr>
      <w:r>
        <w:t>我国资本市场起步较晚，但发展迅速，其对国民财富和收入分配的影响逐渐增强 。1981 年我国开   始恢复国债市场，随后 80 年代企业债券和股市也获得初步发展，至 1990 年上交所正式开业 、深交所   试营业标志着中国资本市场开始步入正轨 。国内学者对于中国资本市场的发展历程阶段划分还没有   形成统一意见，但不可否认，《证券法》《公司法》的修订 、股权分置改革和注册制改革是中国资本市场   发展过程中不容忽视的重大事件 。两法的修订对于中国资本市场体系的构建起到了至关重要的作   用，股权分置改革则是解决我国资本市场历史遗留问题 、完善资本市场体系的关键，注册制改革宣告   中国资本市场逐渐建立市场化的市场体系 。近 30 年来，中国资本市场规模不断扩大，体系在“试错 ” 和失误中不断完善，呈现出市场化 、规范化和国际化的趋势，并且“从功能演变来看，中国资本市场从   早期为经济发展服务的融资为主向财富管理功能凸显的投融资并重发展”［9］。</w:t>
      </w:r>
    </w:p>
    <w:p w14:paraId="0274A4DE">
      <w:pPr>
        <w:bidi w:val="0"/>
      </w:pPr>
      <w:r>
        <w:t>中国境内上市公司流通市值由 1994 年 9 月的 1171 亿元增长到 2021 年 9 月的 70.82 万亿元，增  长了 600 倍左右 。境内上市公司总数 1994 年 9 月仅 286 家，至 2021 年 9 月 已经增长至 4506 家 。上  交所 2001 年基金成交额仅 1348.91 亿元 ， 债券成 交 额 1.98 万 亿 元 ；2020 年 基 金 成 交 额 累 计 已 达  10.75 万亿元，债券成交额为 270.56 万亿元 。2011 年信用期末账户投资者数共计 34.86 万户，其中个  人账户 34.75 万户，机构账户 1103 户；2020 年投资者数增长至 558.07 万户 ，其中个人账户 554.93 万  户，机构账户 3.14 万户 。贷款市场也发展迅速，以北京市为例，个人消费贷款 2003 年为 1656.4 亿元， 2020 年为 16349.4 亿元，增长接近 9 倍 。</w:t>
      </w:r>
    </w:p>
    <w:p w14:paraId="550F3FF5">
      <w:pPr>
        <w:bidi w:val="0"/>
      </w:pPr>
      <w:r>
        <w:t>在我国资本市场规模扩大的同时，全国家庭金融资产和负债规模也快速增长 。根据《2021 年安联  全球财富报告》［10］，2019 年和 2020 年中国家庭金融资产总额增长率分别为 10.3%和 13.6% ， 总量达  到约 18.6 万亿元人民币 。2010 年至 2020 年，家庭负债 10 年的复合增长率为 20.2%，其中 2020 年中  国家庭负债的增长率为 12.9%，可能是因为疫情影响了消费 ，但债务比例（负债占 GDP 比例）仍高达  61.5%。2020 年中国人均净金融资产达 92 643 元左右，相较于 2009 年增长超过 300%。我国家庭金融  资产的迅速增长必然导致资本市场对国民财富和收入的调节作用增强 。资本市场对财富的膨胀和缩  减作用同样显著，根据《中国家庭财富指数调研报告 2021Q3》［11］，在 2021 年第三季度 ，对于财富收入  增加的家庭而言，金融投资价值增加贡献了 29.4%；对财富收入减少的家庭来说 ，金融投资价值减少  贡献了 46.6%。“在各分项收入中, 财产性收入的基尼系数是最高的, 说明财产性收入分布的贫富差  距是最大的……1988-2009 年,财产性收入分布的基尼系数明显提高了,1988 年其数值为 0.595, 而到  了 2009 年提高到了 0.725”［12］。资本市场不仅加大了有金融资产和无金融资产家庭之间的贫富差距， 也加剧了有金融资产家庭之间的收入差距。“2014 年 7 月至 2015 年 12 月这 18 个月中，相比于 2014  年 6 月末的账户市值 ， 财富水平最低的 85%的投资者的累积亏损数额相当于其期初市值的 28%，而  最富有的 0.5%的投资者盈利 31%”［13］。小部分人财富暴涨的同时却是大部分散户财富缩水 ，Charles  M. Jones 等人通过分析上交所 2016 年 1 月至 2019 年 6 月数据 ， 得出各类散户投资者群体在统计期  间总收益为负，而机构投资者与法人投资者总收益为正的结论［14］。如果纳入统计年份的富人合法或  非法转移到国外的巨额金融资产，那么我国家庭金融资产的贫富差距则更大 。</w:t>
      </w:r>
    </w:p>
    <w:p w14:paraId="3649AF6A">
      <w:pPr>
        <w:pStyle w:val="4"/>
        <w:bidi w:val="0"/>
      </w:pPr>
      <w:r>
        <w:t>三、完善资本市场分配方式的路径</w:t>
      </w:r>
    </w:p>
    <w:p w14:paraId="139C7D59">
      <w:pPr>
        <w:bidi w:val="0"/>
      </w:pPr>
      <w:r>
        <w:t>资本市场对财富胀缩作用明显 ，因而需要采取有效措施 ，控制和缩小资本市场扩大贫富差距的 负面效应，切实促进社会主义共同富裕 。</w:t>
      </w:r>
    </w:p>
    <w:p w14:paraId="3004D0EE">
      <w:pPr>
        <w:bidi w:val="0"/>
      </w:pPr>
      <w:r>
        <w:t>（一）发挥国家调节的主导作用</w:t>
      </w:r>
    </w:p>
    <w:p w14:paraId="52EC1AF9">
      <w:pPr>
        <w:bidi w:val="0"/>
      </w:pPr>
      <w:r>
        <w:t>在资本市场中 ，要发挥“ 国家调节规律（或计划规律）与市场调节规律（或价值规律）结合形成在 功能上良性互补 、效应上协同的有机整体 ”作用［15］。</w:t>
      </w:r>
    </w:p>
    <w:p w14:paraId="1A3C7005">
      <w:pPr>
        <w:bidi w:val="0"/>
      </w:pPr>
      <w:r>
        <w:t>第一，发挥政府债券等资本产品的市场引导作用 。我国国债具有风险低收益稳定的特点，是优质  的投资产品 。而地方政府债券近些年发展迅速，但目前还存在良莠不齐的问题，如部分地方政府盲目  上马大型项目，最后项目未能落成或收益远低于预期，导致很多地方专项债券无力发放利息 。政府债  券是债券市场的重要组成部分，也是较受债券购买者青睐的资本产品，对于这部分政府主导的债券， 应当严格把关 、提高债券质量 ，充分发挥其对整个债券市场的引导作用 ，在发行 、交易以及分配等各个流程为企业债券 、金融债券等其他债券树立标杆，带领债券市场整体向高质量 、高水平资本市场发 展 。类似地，需要发挥国有上市公司股票对股票市场 、国有银行贷款产品对贷款市场的引导作用 。</w:t>
      </w:r>
    </w:p>
    <w:p w14:paraId="1F9C42D7">
      <w:pPr>
        <w:bidi w:val="0"/>
      </w:pPr>
      <w:r>
        <w:t>第二，发挥公有制企业在资本市场中的主体作用 。改革开放以来，非公经济规模迅速扩大，存在  以私人利润最大化为经营目标 、缺乏社会责任感和扩大贫富差距等现象，也容易产生各种弄虚作假 、 欺骗投资者等违法行为 。而公有制企业不以私人利润最大化为目标，还要承担大量经济社会责任，其  代表人民的根本利益 ，对我国保障国计民生和缩小贫富差距极为重要 ，同时也受到企业内部党组织  和职工依法依纪的有效监督和惩处制约 ，因而违法乱纪 、扰乱市场的内在动力和行为要远远少于非  公企业 。可见，有必要在资本市场中积极发展国有资本绝对控股的金融混合所有制企业，并在引导非  公企业发行优质产品 、合法进行交易 、保证规范分配等方面充分发挥其示范作用 。</w:t>
      </w:r>
    </w:p>
    <w:p w14:paraId="65AC5A60">
      <w:pPr>
        <w:bidi w:val="0"/>
      </w:pPr>
      <w:r>
        <w:t>第三，发挥资本市场服务实体经济的作用 。实体经济是生产国民财富的关键，资本市场的根本职 能应当是服务实体经济的发展［16］，但在我国也存在着金融部门和实体经济反向运动的倾向［17］，因而 必须防止金融和经济脱实向虚，实现金融从虚化到实化的转变 。国债 、地方政府债券等筹措的资金主 要用于平衡财政收支 、进行基础设施建设等 。要保证资金的有效利用，对建设项目严格把关，杜绝烂 尾工程，确保债券资金切实促进国民经济发展 。对于股票市场，应规范上市公司融资进程 。对于投资 周期长 、见效慢的行业或者国家亟需的医疗等行业予以扶持，降低其融资成本 。同时还应调控贷款利 率及贷款政策 。近年来，消费贷款发展迅速，应当适度控制消费贷款增长 。住房按揭贷款是国民负债 中重要的部分，调控住房贷款对于减轻人民贷款压力 、扩大内需 、实现国内大循环具有重要意义 。某 些有市场销路的非公中小企业面临融资难的问题，有必要根据不同企业实际情况合理调整银行贷款 政策，降低其融资交易成本，但应纠正“大水漫灌”或“一刀切”的盲目贷款所造成的不良现象 。</w:t>
      </w:r>
    </w:p>
    <w:p w14:paraId="16306961">
      <w:pPr>
        <w:bidi w:val="0"/>
      </w:pPr>
      <w:r>
        <w:t>（二）完善市场分配机制</w:t>
      </w:r>
    </w:p>
    <w:p w14:paraId="221B9730">
      <w:pPr>
        <w:bidi w:val="0"/>
      </w:pPr>
      <w:r>
        <w:t>首先 ，优化资本市场的供给机制 。第一 ，从量上看 ，要保证资本市场供给主体多元化 、产品多样 化 。债券市场供给主体主要是各级政府和企业 。丰富债券市场供给机制主要是指增加各级政府和各 类企业的市场参与度 。我国债券市场发展迅速 ，但也存在各地方政府 、各企业债券发行不均衡的问 题 。应鼓励符合条件的各地方政府和各企业充分参与到债券市场中，根据实际情况发行债券 。股票市 场也同样如此，只有丰富股票的种类才能保证股票市场的有效运转 。同时，银行贷款也是资本市场的 重要组成部分 。不仅要鼓励各类银行参与其中，也应要求各银行丰富贷款产品，满足经济实体多样的 金融需求［18］。第二，从质上看，要保证供给主体和产品的优质化 。有效的市场不仅要求市场供给主体 和产品数量丰富，还要求供给主体和产品的高质量 。优质的供给主体是高质量产品的重要保证 。对于 信用评级高的地方政府和企业，应当鼓励其参与到资本市场中；而对于信用评级低 、发展较差的应逐 渐淘汰出资本市场 。丰富优质的市场供给是完善资本市场分配机制的基础 。</w:t>
      </w:r>
    </w:p>
    <w:p w14:paraId="396D008C">
      <w:pPr>
        <w:bidi w:val="0"/>
      </w:pPr>
      <w:r>
        <w:t>其次，完善资本市场的交易机制 。要确保交易的可行性 、合理性以及高效性 。资本市场交易的可  行性一方面要求该产品具有交易的价值，另一方面要求增加资本市场产品的流动性 。 因此对于低质  量的资本产品应通过市场交易逐渐淘汰掉 。而部分合格的资本产品存在交易不畅的问题，需要提高  其流动性 。资本市场交易的合理性要求坚决遏制炒作 、虚假欺骗以及过度做空卖空等不良交易行为， 防止资产价格过度膨胀［19］。而在借贷市场，对于信用评级较低的企业和个人等贷款主体应严格审核  贷款的风险，尽可能减少交易坏账的发生 。必须提高交易透明度，避免信息滞后和信息不对称导致的不合理交易 。交易的高效性不仅要求交易场所的便捷高效，也要求交易程序和流程的简化 。股票市场 的交易场所主要是交易所市场和场外市场 ，债券市场的交易场所主要是交易所市场 、银行间市场和 柜台市场等 ，贷款的交易场所主要是银行 ，因而需要加强交易场所尤其是交易所市场和银行市场的 建设 。完善资本市场交易机制是完善资本市场分配机制的关键 。</w:t>
      </w:r>
    </w:p>
    <w:p w14:paraId="65111613">
      <w:pPr>
        <w:bidi w:val="0"/>
      </w:pPr>
      <w:r>
        <w:t>最后，健全资本市场的分配机制 。它是完善资本市场分配机制的核心 。证券类资本市场要保证收 益，贷款市场要降低交易成本 。具体来说，即债券利息按时分配，股息分红规范发放，贷款利息合理收 取 。债券利息应按照规定定时定量分配，避免因经营不善 、风险评估不到位等因素导致债券不能按时 付息的情况发生 。对于股票市场，应在保证上市公司正常经营 、有序发展的前提下，规范股息和分红 发放 。至于贷款市场，应规范市场贷款利率，对于不同贷款主体制定不同贷款方案，降低中小企业贷 款融资以及个人按揭贷款买房的交易成本 。</w:t>
      </w:r>
    </w:p>
    <w:p w14:paraId="13DE69DB">
      <w:pPr>
        <w:bidi w:val="0"/>
      </w:pPr>
      <w:r>
        <w:t>（三）体现监管的人民性</w:t>
      </w:r>
    </w:p>
    <w:p w14:paraId="4EBA0175">
      <w:pPr>
        <w:bidi w:val="0"/>
      </w:pPr>
      <w:r>
        <w:t>在发展资本市场等金融工作中 ，一方面要吸取过去忽视事先监管的教训 ，实现事前事中事后全 链条监管 。2021 年 3 月 15  日 中央财经委员会第九次会议明确指出：“要提升监管能力和水平，优化监 管框架 ，实现事前事中事后全链条监管 ，充实反垄断监管力量 ，增强监管权威性 ，金融活动要全部纳 入金融监管。”［20］在债券和股票发行前应严格审核发行主体资质以及信用评级等，确保其有能力履行 还款付息的义务；发行时应严格遵守相关法律法规和程序，防止垃圾证券盛行；交易时应严格监管交 易行为和交易主体，防止过度投机和操纵交易；要督促债券发行主体按票面规定发放债息，要鼓励上 市公司在保证正常经营的前提下进行股息和分红的发放；建立健全证券退市制度，确保债券 、股票有 序退市 。对于银行贷款同样需要对借款人资质认定 、贷款程序合法化 、贷款按时还本付息等贷款全过 程进行监督 。</w:t>
      </w:r>
    </w:p>
    <w:p w14:paraId="60C589AA">
      <w:pPr>
        <w:bidi w:val="0"/>
      </w:pPr>
      <w:r>
        <w:t>另一方面要切实保护投资者尤其是广大小微投资者的合法权益。切实保护投资者的合法权益是资  本市场监管的人民性的具体体现。首先要完善信息披露制度。信息对资本市场而言是至关重要的因素， 时刻影响着资本市场的价格波动以及投资者对资本市场的信心 。完善信息披露制度要保证证券发行  主体以及证券本身应披露的信息全部披露以及披露信息准确无失真 。其次，要严厉打击信息造假行  为 ，对于信息虚假披露以及操纵交易信息等行为依法惩治 ，相关法律法规尚不完善的应加快出台对  应法律法规 。提升资本市场交易主体素质，营造良好资本市场交易环境 。最后，应加强投资者司法保  护体系建设 。我国资本市场发展历程较短，又受到新自由主义理论和政策的影响，相关法律体系和监  管制度还不完善，市场主体素质有待提升，投资者利益被损害的事情屡见不鲜 。在加强证券发行 、交  易等过程监管的基础上，还应当注重建立投资者司法保护体系 。增加资本市场违法成本，降低投资者  维权成本，拓宽投资者维权渠道，发挥投资者对资本市场的监督职能，切实保护投资者的合法权益 。</w:t>
      </w:r>
    </w:p>
    <w:p w14:paraId="4C286514">
      <w:pPr>
        <w:bidi w:val="0"/>
      </w:pPr>
    </w:p>
    <w:p w14:paraId="0F993BD8">
      <w:pPr>
        <w:bidi w:val="0"/>
      </w:pPr>
      <w:r>
        <w:t>注释：</w:t>
      </w:r>
    </w:p>
    <w:p w14:paraId="408BDC55">
      <w:pPr>
        <w:bidi w:val="0"/>
      </w:pPr>
      <w:r>
        <w:t>①数据来源于 wind 数据库 。</w:t>
      </w:r>
    </w:p>
    <w:p w14:paraId="7C4C7D22">
      <w:pPr>
        <w:bidi w:val="0"/>
      </w:pPr>
    </w:p>
    <w:p w14:paraId="34E93AF1">
      <w:pPr>
        <w:bidi w:val="0"/>
      </w:pPr>
      <w:r>
        <w:t>参考文献：</w:t>
      </w:r>
    </w:p>
    <w:p w14:paraId="6A93B58D">
      <w:pPr>
        <w:bidi w:val="0"/>
      </w:pPr>
      <w:r>
        <w:t>［1］习近平 . 习近平谈治国理政：第 3 卷［M］. 北京：外文出版社，2020：9.</w:t>
      </w:r>
    </w:p>
    <w:p w14:paraId="2073F9D1">
      <w:pPr>
        <w:bidi w:val="0"/>
      </w:pPr>
      <w:r>
        <w:t>［2］习近平 .在庆祝中国共产党成立 100 周年大会上的讲话［N］.人民日报，2021-07-24（2）.</w:t>
      </w:r>
    </w:p>
    <w:p w14:paraId="2E08E793">
      <w:pPr>
        <w:bidi w:val="0"/>
      </w:pPr>
      <w:r>
        <w:t>［3］吴文新，程恩富 .新时代的共同富裕：实现的前提与四维逻辑［J］.上海经济研究，2021（11）：5-19.</w:t>
      </w:r>
    </w:p>
    <w:p w14:paraId="23E7CFC5">
      <w:pPr>
        <w:bidi w:val="0"/>
      </w:pPr>
      <w:r>
        <w:t>［4］习近平 . 决胜全面建成小康社会 夺取新时代中国特色社会主义伟大胜利［M］. 北京：人民出版社，2017：46-47. ［5］兹维·博迪，罗伯特·C 默顿，戴维·L 克利顿 .金融学［M］. 曹辉，曹音，译 . 北京：中国人民大学出版社，2018：34.  ［6］陈燕青 .公募基金数量突破 1 万只［N］. 深圳商报，2022-07-04（A03）.</w:t>
      </w:r>
    </w:p>
    <w:p w14:paraId="437BB4AC">
      <w:pPr>
        <w:bidi w:val="0"/>
      </w:pPr>
      <w:r>
        <w:t>［7］宋亦桐 . 多城已执行 4.25%最低房贷利率［N］. 北京商报，2022-05-23（07）.</w:t>
      </w:r>
    </w:p>
    <w:p w14:paraId="49635317">
      <w:pPr>
        <w:bidi w:val="0"/>
      </w:pPr>
      <w:r>
        <w:t>［8］何丽芬 . 家庭金融资产结构的国际比较及启示［J］. 国际经济合作，2010（5）：58-64. ［9］吴晓求，方明浩 . 中国资本市场 30 年：探索与变革［J］.财贸经济，2021（4）：20-36.</w:t>
      </w:r>
    </w:p>
    <w:p w14:paraId="0456FBD4">
      <w:pPr>
        <w:bidi w:val="0"/>
      </w:pPr>
      <w:r>
        <w:t>［10］LUDOVIC SUBRAN.Allanz global wealth report 2021［R］.Munich：Allianz Research，2021.</w:t>
      </w:r>
    </w:p>
    <w:p w14:paraId="74FC8EF4">
      <w:pPr>
        <w:bidi w:val="0"/>
      </w:pPr>
      <w:r>
        <w:t>［11］甘犁 ，路晓蒙 ，李振华 ，等 .疫情后时代中国家庭的财富变动趋势中国家庭财富指数调研报告（2021Q3）［R］. 四 川： 西南财经大学中国家庭金融调查与研究中 心，2021.</w:t>
      </w:r>
    </w:p>
    <w:p w14:paraId="3C2D3450">
      <w:pPr>
        <w:bidi w:val="0"/>
      </w:pPr>
      <w:r>
        <w:t>［12］迟巍，蔡许许 .城市居民财产性收入与贫富差距的实证分析［J］.数量经济技术经济研究，2012（2）：100-112. ［13］安砾 . 中国股票市场中的财富转移［J］.清华金融评论，2022（3）：93-94.</w:t>
      </w:r>
    </w:p>
    <w:p w14:paraId="5989787B">
      <w:pPr>
        <w:bidi w:val="0"/>
      </w:pPr>
      <w:r>
        <w:t>［14］JONES CHARLES M, SHI D, ZHANG X, et al.Understanding retail investors：evidence from China［DB/OL］.（2021- 10-07）,［2022-07-14］. https：//ssrn.com/abstract=3628809.</w:t>
      </w:r>
    </w:p>
    <w:p w14:paraId="004D8A0F">
      <w:pPr>
        <w:bidi w:val="0"/>
      </w:pPr>
      <w:r>
        <w:t>［15］高建昆 ，程恩富 .论按比例规律与市场调节规律 、国家调节规律之间的关系［J］. 复旦学报（社会科学版），2015（6）： 130-137.</w:t>
      </w:r>
    </w:p>
    <w:p w14:paraId="5F8D9527">
      <w:pPr>
        <w:bidi w:val="0"/>
      </w:pPr>
      <w:r>
        <w:t>［16］裴卫旗 .金融资本异化若干理论问题刍议［J］. 海派经济学，2018（4）：30-39.</w:t>
      </w:r>
    </w:p>
    <w:p w14:paraId="199B0771">
      <w:pPr>
        <w:bidi w:val="0"/>
      </w:pPr>
      <w:r>
        <w:t>［17］贺立龙，张衔，曾钰婷 .金融与实体经济反向运动及再平衡的政治经济学分析［J］. 海派经济学，2020（3）：79-93. ［18］曹和平，唐丽莎 .从银行类金融机构成长看我国金融体系的改革方向［J］. 海派经济学，2018（1）：51-60.</w:t>
      </w:r>
    </w:p>
    <w:p w14:paraId="270239F7">
      <w:pPr>
        <w:bidi w:val="0"/>
      </w:pPr>
      <w:r>
        <w:t>［19］鲁保林，冯鑫晨，邬嘉晟 .新自由主义与经济金融化的逻辑［J］. 海派经济学，2021（3）：33-44.</w:t>
      </w:r>
    </w:p>
    <w:p w14:paraId="0DF51315">
      <w:pPr>
        <w:bidi w:val="0"/>
      </w:pPr>
      <w:r>
        <w:t>［20］佚名 . 习近平主持召开中央财经委员会第九次会议强调推动平台经济规范健康持续发展把碳达峰碳中和纳入生态 文明建设整体布局［N］.人民日报，2021-03-16（01）.</w:t>
      </w:r>
    </w:p>
    <w:p w14:paraId="05DF9D5C">
      <w:pPr>
        <w:bidi w:val="0"/>
      </w:pPr>
    </w:p>
    <w:p w14:paraId="68D617FB">
      <w:pPr>
        <w:bidi w:val="0"/>
      </w:pPr>
    </w:p>
    <w:p w14:paraId="4CD5D4CA">
      <w:pPr>
        <w:rPr>
          <w:rFonts w:hint="default"/>
          <w:lang w:val="en-US" w:eastAsia="zh-CN"/>
        </w:rPr>
      </w:pPr>
      <w:r>
        <w:rPr>
          <w:rFonts w:hint="eastAsia"/>
          <w:lang w:val="en-US" w:eastAsia="zh-CN"/>
        </w:rPr>
        <w:t>（原载《管理学刊》2022年第4期，第一作者为潘越。）</w:t>
      </w:r>
    </w:p>
    <w:p w14:paraId="534E2E4A">
      <w:pPr>
        <w:pStyle w:val="3"/>
        <w:bidi w:val="0"/>
      </w:pPr>
      <w:bookmarkStart w:id="84" w:name="_Toc7464"/>
      <w:bookmarkStart w:id="85" w:name="_Toc1424998745"/>
      <w:bookmarkStart w:id="86" w:name="_Toc1756708863"/>
      <w:bookmarkStart w:id="87" w:name="_Toc952089464"/>
      <w:bookmarkStart w:id="88" w:name="_Toc289248872"/>
      <w:bookmarkStart w:id="89" w:name="_Toc1551504834"/>
      <w:r>
        <w:rPr>
          <w:rFonts w:hint="eastAsia"/>
          <w:lang w:val="en-US" w:eastAsia="zh-CN"/>
        </w:rPr>
        <w:t>7</w:t>
      </w:r>
      <w:r>
        <w:t>数字平台经济垄断的基本特征、内在逻辑与规制思路</w:t>
      </w:r>
      <w:bookmarkEnd w:id="84"/>
      <w:bookmarkEnd w:id="85"/>
      <w:bookmarkEnd w:id="86"/>
      <w:bookmarkEnd w:id="87"/>
      <w:bookmarkEnd w:id="88"/>
      <w:bookmarkEnd w:id="89"/>
    </w:p>
    <w:p w14:paraId="6B5A1107">
      <w:pPr>
        <w:bidi w:val="0"/>
      </w:pPr>
    </w:p>
    <w:p w14:paraId="3D50CB86">
      <w:pPr>
        <w:bidi w:val="0"/>
      </w:pPr>
    </w:p>
    <w:p w14:paraId="06947F64">
      <w:pPr>
        <w:bidi w:val="0"/>
      </w:pPr>
      <w:r>
        <w:t>摘要：数字平台经济迅速发展崛起，引发的垄断问题对传统反垄断规制方式的适配性形成挑战。平台企业无偿占有用户的“数字劳动”形成“数据垄断”，利用政府提供的数字基础设施获得了比其他企业更高的劳动生产率、超额利润和数据垄断收益。平台经济垄断产生的根本原因是大数据初始资源私人占有和平台企业私有制，因此，平台企业反垄断的重点是坚持平台经济社会主义公有制属性，从明晰产权视角对平台企业所依赖的全民所有资源和经营权边界进行监管。政府应从数字基础设施治理与开放、公共和私人责权边界划分等方面在数字基础设施的提供者、使用数字基础设施的互联网平台和消费者用户之间合理分配收益。</w:t>
      </w:r>
    </w:p>
    <w:p w14:paraId="7B0E711C">
      <w:pPr>
        <w:bidi w:val="0"/>
      </w:pPr>
      <w:r>
        <w:t>关键词：平台经济；大数据要素；反垄断；政治经济学理论</w:t>
      </w:r>
    </w:p>
    <w:p w14:paraId="7BBA6851">
      <w:pPr>
        <w:bidi w:val="0"/>
      </w:pPr>
    </w:p>
    <w:p w14:paraId="72837B6D">
      <w:pPr>
        <w:bidi w:val="0"/>
      </w:pPr>
      <w:r>
        <w:t>近年来，数字平台的兴起是全球数字经济发展的共性现象之一，凭借技术进步、商业模式创新和消费升级，大批数字平台企业迅速崛起并渗透到越来越多的行业和领域。在我国，以互联网、大数据、人工智能为基础的平台经济涵盖了电子商务、社交媒体和分享经济等诸多应用领域。数字平台经济在提高生产力发展水平、改善经济运行效率、改变社会生产生活方式、提高消费者福利等方面起到了重大推动作用，但新兴的数字平台经济在推动社会进步的同时也带来了平台经济垄断的监管难题。“所谓‘平台垄断’，是指平台经济中普遍存在的‘赢家通吃’现象可能演化为少数垄断平台长期维持‘通吃赢家’地位，对良性市场竞争和消费者福利造成损害。”[1]我国政府已充分认识到平台经济垄断监管的必要性，出台了一系列有针对性的政策措施进行预防制止。2019年8月，国务院办公厅印发了《关于促进平台经济规范健康发展的指导意见》；2020年1月，国家市场监督管理总局（以下简称“国市监处”）发布了《〈中华人民共和国反垄断法〉修正草案（公开征求意见稿）》，开始增设互联网经营者市场支配地位认定依据的相关规定；11月，国市监处发布了《关于平台经济领域的反垄断指南（征求意见稿）》，明确指出该指南是为预防和制止平台经济领域的垄断，加强和改进互联网平台经济领域反垄断监管，维护消费者和社会公共利益，保护市场公平竞争，促进平台经济持续健康发展而起草。2021年3月在第十三届全国人民代表大会第四次会议上，《政府工作报告》也明确要求强化反垄断和防止资本无序扩张，坚决维护公平竞争市场环境。4月10日，国市监处在《国家市场监督管理总局行政处罚决定书》一文中指出，阿里巴巴集团滥用市场支配地位，侵害平台内经营者的合法权益，损害消费者利益，阻碍平台经济的创新发展，并对阿里巴巴集团处以其2019年度中国境内销售额4%的罚款，计182.28亿元[2]。这是中国反垄断部门有史以来作出的最大罚款，也是反垄断执法的标志性事件。习近平强调，“要规范数字经济发展，坚持促进发展和监管规范两手抓、两手都要硬，在发展中规范、在规范中发展。要健全市场准入制度、公平竞争审查制度、公平竞争监管制度，建立全方位、多层次、立体化监管体系，实现事前事中事后全链条全领域监管。要纠正和规范发展过程中损害群众利益、妨碍公平竞争的行为和做法，防止平台垄断和资本无序扩张，依法查处垄断和不正当竞争行为。”[3]平台垄断引发的监管难题较为突出，传统的反垄断规制方式和监管体系亟待完善。数字平台经济的发展历史相对较短，现有的监管理念和措施并不能完全适应数字平台经济的发展，制定行之有效的行业监管策略，督促各级平台承担相应责任，对超级平台实施“超级监管”，必须深刻理解数字平台经济垄断行为发生的内在逻辑。本文通过对数字平台经济的垄断特征、垄断形成的内在逻辑与经济社会影响的分析研究，为平台经济的反垄断提供更清晰的理论基础和规制思路，深化改革提高反垄断规制效率，为促进我国平台经济健康可持续发展提供政策建议参考。</w:t>
      </w:r>
    </w:p>
    <w:p w14:paraId="5E5E93F2">
      <w:pPr>
        <w:pStyle w:val="4"/>
        <w:bidi w:val="0"/>
      </w:pPr>
      <w:r>
        <w:t>一、数字平台经济的崛起及其天然垄断倾向</w:t>
      </w:r>
    </w:p>
    <w:p w14:paraId="72586E1D">
      <w:pPr>
        <w:bidi w:val="0"/>
      </w:pPr>
      <w:r>
        <w:t>20世纪90年代，伴随数字技术进步和知识经济的兴起，我国涌现出一大批基于信息技术的互联网企业，例如网易、搜狐、新浪、腾讯、阿里巴巴等，标志着平台经济开始在我国崛起。互联网领域高科技公司借助计算机和数字技术对“一般数据”进行处理和挖掘，并分析出更有效的信息实时传输到数字平台。数据信息成为互联网数字平台上最重要的生产资料，平台资本利用数字技术拓宽了剩余价值的来源，提高了资本循环、周转和积聚效率。在生产领域平台资本家利用数字技术深入挖掘数据的新使用价值，利用平台用户为其免费生产数据这种特殊的生产资料，开发出剥削剩余价值的新方式。同时，随着计算机技术的不断创新，计算机设备等固定资本的折旧率日益提高，信息、数据等流动资本在预付资本总额中所占的比例不断提高，资本循环与周转的速度不断加快。在流通领域，一方面，平台企业提供了多样化的销售渠道与支付手段，通讯社交、网络游戏、影音娱乐、旅游出行等休闲服务将人们生活的各个方面聚集在平台上，满足用户需要的同时激发用户创造新需求促进交易的达成，平台通过与商家分成的方式获取利润；另一方面，平台企业利用收集的用户信息和数据对用户精准刻画，将用户套牢在平台上，刺激用户消费加速资本积聚。平台企业运用以信贷为主的资本集中提高自身竞争力，2017年我国互联网数字经济投融资事件多达6000起，交易额达1万亿元，市场总量占比分别为39%和29%[4]。2018年4月，国内三大社交电商平台（拼多多、有赞、云集）纷纷宣布融资，其中，拼多多融资金额约30亿美元[5]，有赞用51%的股份换取中国创新支付公司的55亿股股票[6]，云集融资1.2亿美元[7]。微信、支付宝等第三方支付平台运用信息技术提供便捷的在线支付功能，大大加快了货币流通速度。借助数字技术，谷歌、百度等搜索引擎大大提高了海量金融数据信息处理能力，帮助市场主体重构组织模式，延伸产业链条。此外，阿里巴巴、京东等大型平台企业纷纷拓展金融领域业务，成立蚂蚁金服、京东金融等互联网金融子公司实现了平台企业的快速融资。</w:t>
      </w:r>
    </w:p>
    <w:p w14:paraId="498069B8">
      <w:pPr>
        <w:bidi w:val="0"/>
      </w:pPr>
      <w:r>
        <w:t>数字经济平台型企业天然具有某种从竞争到垄断的发展趋势，可以推动各类资源要素流动，加速各类市场主体打破时空限制跨界融合发展。竞争初期，资本意识到平台经济领域有利可图，在逐利本性的驱动下大量投入平台经济领域，市场上涌现了数量众多处于自由竞争状态的平台型企业。平台经济具有网络效应、成本次可加性和双边（或多边）市场效应等基本特征，平台拥有的活跃用户规模成为平台型企业在竞争中取得优势地位存活下来的关键，为了获取持续增加并达到生存的最低“临界数量”的用户规模，众多企业采取基础服务免费、补贴双边用户等策略将双边用户引导到各自平台，经过激烈的引流竞争后用户规模达不到“临界数量”且资本量不足的企业将退出市场竞争。平台经济市场上大部分处于竞争劣势的中小企业退出市场，少数大型企业形成寡头垄断。平台型企业经营的是“市场”而不是传统的商品和服务，这具有许多不同于传统企业的特点，网络效应、多边市场效应和基础设施效应在很大程度上引致了平台经济的自然垄断。因此，平台经济的垄断一定程度上是由平台经济的内在特性所决定的。</w:t>
      </w:r>
    </w:p>
    <w:p w14:paraId="3017938B">
      <w:pPr>
        <w:pStyle w:val="4"/>
        <w:bidi w:val="0"/>
      </w:pPr>
      <w:r>
        <w:t>二、数字平台经济的垄断特征——从初级垄断到双轮垄断</w:t>
      </w:r>
    </w:p>
    <w:p w14:paraId="197AD702">
      <w:pPr>
        <w:bidi w:val="0"/>
      </w:pPr>
      <w:r>
        <w:t>（一）数字平台经济的初级垄断</w:t>
      </w:r>
    </w:p>
    <w:p w14:paraId="61AB1A59">
      <w:pPr>
        <w:bidi w:val="0"/>
      </w:pPr>
      <w:r>
        <w:t>数字平台的初级垄断首先表现为数据垄断，企业拥有的用户规模、流量和数据成为决定平台型企业生死存亡的关键，最初某个平台型企业在用户规模、流量和数据上只占有微弱优势，经过平台经济网络效应和双边或多边市场效应的“滚雪球”式放大效应，形成其他企业难以跨越的巨大优势和“赢者通吃”的初级垄断。平台经济中某一领域的大部分市场份额往往由一家或两家大型企业占据，剩下的小部分市场份额分配给排名靠后的中小企业。2020年6月5日，根据智库网经社发布的《2019年度中国网络零售市场数据检测报告》，在2019年网络零售B2C市场（包括开放平台式与自营销售式，不含品牌电商）成交总额排名中，天猫以50.1%的份额位居第一，京东以26.51%的份额排名第二，合计市场份额高达76.61%[8]。</w:t>
      </w:r>
    </w:p>
    <w:p w14:paraId="77F8A158">
      <w:pPr>
        <w:bidi w:val="0"/>
      </w:pPr>
      <w:r>
        <w:t>平台寡头不局限于价格竞争，利用“数据垄断优势”采用多种多样的竞争策略，具体表现如下：一是倾斜式定价、捆绑搭售和排他性合约等滥用市场支配力行为。倾斜式定价是指平台企业为实现利润最大化对各边用户进行差异化定价，平台垄断企业为将更多用户吸引到平台，对一边用户低于成本定价，其他边用户收取垄断高价，提高潜在进入者的门槛采取掠夺式定价。搭售和捆绑是平台型企业常用的竞争策略，平台以强迫用户使用搭售服务的方式排斥竞争对手，并能够将其垄断势力延伸到搭售产品市场，从而进入多个市场。此外，平台利用“二选一”排他性合约强迫商户选择平台，在“站队压力”下商户可能要支付更高的平台入驻费，被迫站队的商户量越多，其他中小竞争平台将被排挤甚至倒闭。2010年，北京奇虎科技有限公司起诉腾讯科技（深圳）有限公司滥用市场支配地位和互不兼容的“二选一”纠纷案被认为是我国互联网平台反垄断第一案，并对互联网平台行业中的市场支配地位等问题进行了首次论述。二是数字化卡特尔行为。数字化卡特尔是大数据、互联网和算法合谋相结合出现的更为隐蔽、新型的垄断协议行为。平台型企业不仅可以利用大数据和算法进行价格合谋，还能利用实时数据监控卡特尔隐蔽垄断协议的实施。此外，企业可能利用人工智能、机器深度学习等改进算法，间接促成默示共谋[9]。三是“扼杀式并购”行为。平台寡头对具有创新潜力的初创平台进行收购或并购以消除潜在进入者的威胁，防止其市场地位遭受蚕食。2020年10月，美国众议院发布的调查数据显示，1998—2020年，“GAFA（谷歌、亚马逊、脸书、苹果）”四大科技巨头并购500多家企业，其中创新型初创企业占了很大比例[10]。</w:t>
      </w:r>
    </w:p>
    <w:p w14:paraId="76D181D7">
      <w:pPr>
        <w:bidi w:val="0"/>
      </w:pPr>
      <w:r>
        <w:t>（二）数字平台经济的双轮垄断</w:t>
      </w:r>
    </w:p>
    <w:p w14:paraId="3866539B">
      <w:pPr>
        <w:bidi w:val="0"/>
      </w:pPr>
      <w:r>
        <w:t>数字平台的垄断更多地以双轮垄断的形式表现。双轮垄断是基于平台的基础垄断地位将垄断地位延伸到新领域的跨界垄断，而跨界垄断又可以分为纵向跨界和横向跨界。纵向跨界是指同时拥有平台和平台内经营者双重身份，利用平台的支配地位与其他平台经营者竞争。例如，京东平台上既有“京东自营”又有其他商家，京东通过一定的算法将自营的产品优先推荐给消费者，使其他商家处于明显的劣势地位。横向跨界是指平台以现有的用户规模为基础，通过向用户提供新产品快速进入新市场、新领域。例如，腾讯基于QQ、微信的社交平台优势进入游戏、电商、支付等多个新市场；美团从美团平台扩展到打车、旅行、外卖、社区团购等多个领域。横向跨界本身并不是一种垄断行为而是利用自己的基础垄断地位向其他领域的渗透，在交叉网络外部性的作用下平台跨市场进入行为会进一步扩大用户规模、增强用户黏性、强化平台的垄断地位，实现在不同领域的垄断。</w:t>
      </w:r>
    </w:p>
    <w:p w14:paraId="5DB516BB">
      <w:pPr>
        <w:bidi w:val="0"/>
        <w:rPr>
          <w:rFonts w:hint="eastAsia"/>
          <w:lang w:eastAsia="zh-CN"/>
        </w:rPr>
      </w:pPr>
      <w:r>
        <w:t>双轮垄断行为一般具有以下基本特征：第一，</w:t>
      </w:r>
    </w:p>
    <w:p w14:paraId="34A1F8B3">
      <w:pPr>
        <w:bidi w:val="0"/>
        <w:sectPr>
          <w:footerReference r:id="rId10" w:type="default"/>
          <w:footnotePr>
            <w:numFmt w:val="decimalEnclosedCircleChinese"/>
            <w:numRestart w:val="eachPage"/>
          </w:footnotePr>
          <w:pgSz w:w="12245" w:h="16780"/>
          <w:pgMar w:top="1426" w:right="1487" w:bottom="547" w:left="407" w:header="0" w:footer="354" w:gutter="0"/>
          <w:pgNumType w:fmt="decimal"/>
          <w:cols w:space="720" w:num="1"/>
        </w:sectPr>
      </w:pPr>
    </w:p>
    <w:p w14:paraId="5DFB16D2">
      <w:pPr>
        <w:bidi w:val="0"/>
      </w:pPr>
      <w:r>
        <w:t>对平台内竞争对手产品与自营产品实行差别待遇。平台内的大多数经营者都对平台具有高度依附性，倘若运营者的产品对消费者不可见，运营者就处于市场竞争中的严重劣势。平台企业的逐利本性驱使平台利用其初始垄断地位对与自营产品有竞争关系的企业产品实行差别待遇，强化平台在相关市场的支配力。第二，通过集成、应用相关数据遏制、排斥竞争。倘若超大型平台独自掌握了进入一个或若干个相关市场所必需的大数据资源，而该平台将其使用权以过高的价格出售给相关经营者，拒绝向其他经营者开放该数据资源，将会排斥竞争。第三，削弱、排除数据或服务之间的互操作性，抑制数据的可移植性。为了追求海量数据带来的垄断利益，平台可能弱化甚至排除自有数据和服务与竞争对手的数据和服务之间的互操作性，使自身掌握的数据不可移植，形成数据孤岛。第四，利用横跨多元市场的宏观数字生态系统限制竞争。横跨多元关联市场的统合型市场支配力远远大于单一相关市场，这种支配力是由平台初始垄断行业与相关双轮垄断行业的影响力加权汇总而成，使平台具有强烈的排除竞争能力。</w:t>
      </w:r>
    </w:p>
    <w:p w14:paraId="4ECDC8B9">
      <w:pPr>
        <w:pStyle w:val="4"/>
        <w:bidi w:val="0"/>
      </w:pPr>
      <w:r>
        <w:t>三、数字平台经济垄断与反垄断的内在逻辑</w:t>
      </w:r>
    </w:p>
    <w:p w14:paraId="6FC595F9">
      <w:pPr>
        <w:bidi w:val="0"/>
      </w:pPr>
      <w:r>
        <w:t>当前我国平台型企业垄断数据资产，数据要素市场治理机制不完善，数据产权界定和监管等方面存在诸多市场化配置治理瓶颈，在双边或多边市场效应作用下连接互联网相关方的平台日益集中形成寡头垄断，资本的积聚集中了越来越多的财富，平台经济垄断背后的本质和逻辑是什么？本文首先考察平台经济垄断形成的过程以揭示其内在逻辑。</w:t>
      </w:r>
    </w:p>
    <w:p w14:paraId="7E7659F5">
      <w:pPr>
        <w:bidi w:val="0"/>
      </w:pPr>
      <w:r>
        <w:t>（一）通过无偿占有“数字劳动”形成“数据垄断”</w:t>
      </w:r>
    </w:p>
    <w:p w14:paraId="26C2E3F9">
      <w:pPr>
        <w:bidi w:val="0"/>
      </w:pPr>
      <w:r>
        <w:t>首先，数字平台经济垄断始于对用户注意力的垄断或流量垄断。流量作为衡量注意力的基本指标之一，数字平台通过多种形式扩大用户规模提高用户流量实现注意力垄断优势，最终在市场中拥有流量优势的平台赢得竞争优势形成垄断地位。数字平台的注意力和流量优势来自受众的“数字劳动”，从而形成“数字劳动注意力增量—平台规模—流量优势—平台经济垄断的自身利益最大化”闭环。数字劳动表面上是劳动者自愿投入且大多数不需要支付报酬的劳动，但本质上数字劳动是非物质劳动的一种数字化形式[11]。Fuchs从政治经济学批判的角度界定了数字劳动与资本增殖逻辑的本质关系：“数字劳动是数字工作的异化形式……数字工作和数字劳动作为广义的范畴涵盖一切涉及生产数字媒介技术和内容的活动。”[12]351社交媒体平台充分利用持续不断的用户生产内容作为吸引其他用户的筹码，从生产者转变为连接者，无偿占有了生成内容用户的必要劳动和剩余劳动。换言之，数字经济平台垄断的基础在于无偿占有用户的数字劳动并在此基础上进一步形成数据垄断优势，在数据商品化过程中资本通过对数字劳动的知识产权垄断获取利润，数字劳动形式并没有改善劳资关系矛盾，反而模糊了工作日界限，提高了劳动力商品化和剥削程度。</w:t>
      </w:r>
    </w:p>
    <w:p w14:paraId="5BB418AD">
      <w:pPr>
        <w:bidi w:val="0"/>
      </w:pPr>
      <w:r>
        <w:t>其次，在无偿占有数字劳动的基础上形成数据垄断。在互联网早期的商业模式中，用户使用自己生产的数据代替货币进行“支付”以获得免费的基础服务，这些用户数据被企业无偿使用并进行有针对性的广告投放。随着平台经济的兴起，数据的用途愈加广泛，数据是数字平台最重要的生产资料之一，成为平台型企业谋取和维持自身竞争优势和垄断地位的最重要资源优势。平台对数据开发利用维度越多，收集的用户数据产生的利润越大，企业在竞争中越能够维持并加强自身的垄断地位。</w:t>
      </w:r>
    </w:p>
    <w:p w14:paraId="657618FB">
      <w:pPr>
        <w:bidi w:val="0"/>
      </w:pPr>
      <w:r>
        <w:t>（二）通过“算法”强化“数据垄断优势”</w:t>
      </w:r>
    </w:p>
    <w:p w14:paraId="7D37EFB1">
      <w:pPr>
        <w:bidi w:val="0"/>
      </w:pPr>
      <w:r>
        <w:t>在数字化进程中，算法是最关键的技术推动者，是直接影响数据资源的效率和数字经济的创新力。伴随互联网平台企业巨头流量垄断优势的自我强化，算法对数字创新的积极作用已得到广泛认可，但其消极作用尚未得到广泛关注。算法通过分析锁定、用户分类歧视性定价等手段强化了数字平台经济的“数据垄断优势”，而市场支配地位进一步强化了其双轮垄断能力，资本的无序扩张危及网络和经济安全。在初级垄断中平台以各种隐蔽手段过度收集相关数据，通过不断地调整算法最大限度地提高用户黏性，过度开发消费者和企业行为数据强化数据垄断能力以维持自身的统治地位。同时，通过算法支持横向垄断协议、维护横向垄断行为、助长横向垄断蔓延，平台的无序、低价竞争挤压了中小商家的生存空间。在双轮垄断中，一方面，许多既是中介又是基础设施的平台通过一定的算法对自己的业务给予特殊照顾，对竞争对手的业务加以歧视并抑制实现自我优惠待遇损害市场结构，破坏效率与公平。另一方面，平台企业提供的产品和服务具有“准公共产品”属性，但数字平台将数据视为私有财产，通过算法控制试图建立数据壁垒，借助大数据和人工智能算法平台型企业迅速进入新领域和市场并形成新的垄断态势，不利于构建多元发展的良性行业生态环境。</w:t>
      </w:r>
    </w:p>
    <w:p w14:paraId="458CE226">
      <w:pPr>
        <w:bidi w:val="0"/>
      </w:pPr>
      <w:r>
        <w:t>（三）通过“数据垄断优势”进入新领域新市场形成双轮垄断</w:t>
      </w:r>
    </w:p>
    <w:p w14:paraId="454D5731">
      <w:pPr>
        <w:bidi w:val="0"/>
      </w:pPr>
      <w:r>
        <w:t>数字经济平台通过收集、分析和预测用户的行为数据，吸引用户注意力获取流量将用户牢牢地锁定为平台生产源源不断的数据产品。数字经济平台不将数据简单地作为商品直接与广告商发生交换关系，且用户数据没有被直接商品化，但“监控用户、分析数据、向用户投放广告”这一整套生产性活动无异于将用户数据转售给广告商。数据是数字化生产方式的核心要素，具有初始垄断地位的平台型企业利用其在原有市场的海量数据优势和先进算法进入新市场，在其中依靠数据的间接网络效应获得垄断地位。企业通过“数据垄断优势”降低了进入新产品市场的投资和创新成本，原有市场与新市场用户数据的双向互补性应用形成了正反馈循环，增强了平台企业双轮垄断的动力和收益，基于原有市场数据优势的新市场进入模式使消费者和生产者福利部分被平台掠夺。从流量优势到数据算法优势，具有绝对市场优势地位的平台企业不仅在自身平台领域形成垄断，在其他相关或弱相关领域进一步形成垄断优势，通过排他性准入标准和数据垄断孤岛构建自身利益最大化“闭环”。</w:t>
      </w:r>
    </w:p>
    <w:p w14:paraId="06FE0670">
      <w:pPr>
        <w:bidi w:val="0"/>
      </w:pPr>
      <w:r>
        <w:t>（四）互联网平台垄断与反垄断的深层逻辑</w:t>
      </w:r>
    </w:p>
    <w:p w14:paraId="46241A5D">
      <w:pPr>
        <w:bidi w:val="0"/>
      </w:pPr>
      <w:r>
        <w:t>数据作为一种新型生产要素其实质是以平台经济生产资料形式存在的资本。平台资本对用户的数字劳动剥削极具隐蔽性，数据由平台用户生产却被平台资本无偿占有。平台企业的垄断完全是建基于对用户的“数字劳动”剥削，无偿占有用户的“数字劳动”形成“数据垄断”，数字平台经济的成本次可加性、网络效应、双边或多边市场效应和基础设施效应等特点使其具有天然的垄断倾向，通过算法强化“数据垄断优势”并进入新领域新市场形成双轮垄断，这种双轮垄断带来了数据垄断、流量垄断、市场垄断和不正当竞争问题，形成了互联网平台垄断的内在逻辑。</w:t>
      </w:r>
    </w:p>
    <w:p w14:paraId="17C4EDF4">
      <w:pPr>
        <w:bidi w:val="0"/>
      </w:pPr>
      <w:r>
        <w:t>依据马克思主义经济学基本理论，“必须对大数据所有权及其派生的占有权、使用权、收益权等权能进行界定，明确平台企业大数据的产权应由国家代表全民所有，平台国企依法掌控和使用，其他企业依法有偿使用，平台企业使用大数据产生的收益应实现平台财富全民共享”[13]。数字核心基础设施是由国家部署为公共运营而投资建造，政府大规模公共财政支出用于投资宽带接入、改善数字基础设施组件等数字基础设施研发，提升数字服务性能。互联网技术和数字基础设施投资加剧了区域非均衡发展，拥有熟练劳动力和数字技术投资的发达地区变得更加富裕，政府供应数字基建，但相较于其他基础设施，数字基础设施的税收补贴水平低且随意，接入数字基础设施和平台的消费者形成巨大的衍生需求和潜在价值，平台型企业利用数字基础设施获得了比其他企业更高的劳动生产率、超额利润和数据垄断收益。“大数据初始资源私人占有和平台企业私有制是平台经济垄断产生的根本原因。平台企业反垄断的重点不是压缩平台企业规模，也不是降低平台企业市场占有率，更不是限制企业的发展，而是要摒弃新自由主义‘干预垄断’，在坚持科学社会主义公有制基础上，从明晰产权视角，重点对平台企业所依赖的全民所有资源、平台企业是否出现‘混业经营’即明确经营权边界进行监管。要清晰界定平台企业经营权边界和经营范围，限制平台企业（提供数据资源和公共服务）介入经营普通企业（产品生产或服务营销）业务。”[14]政府应从数字基础设施治理与开放、公共和私人责权边界划分等方面在数字基础设施的提供者、使用数字基础设施的互联网平台和消费者用户之间合理分配收益。</w:t>
      </w:r>
    </w:p>
    <w:p w14:paraId="5CA1838A">
      <w:pPr>
        <w:pStyle w:val="4"/>
        <w:bidi w:val="0"/>
      </w:pPr>
      <w:r>
        <w:t>四、超级平台垄断行为的表现与影响</w:t>
      </w:r>
    </w:p>
    <w:p w14:paraId="5EF45B53">
      <w:pPr>
        <w:bidi w:val="0"/>
      </w:pPr>
      <w:r>
        <w:t>数字平台经济经历了“自由竞争—初级垄断—双轮垄断”的发展历程，早期在促进就业、激励创业、便利生活、提高消费者福利等方面发挥了积极作用，数字经济的蓬勃发展使平台企业形成自然垄断，甚至利用其“数据垄断优势”走向双轮垄断。伴随头部平台企业数据垄断优势的自我强化，双轮垄断领域边界不断扩大，数据要素配置管理和监管工作难于统筹协调，社会竞争秩序遭受破坏，缺少数据综合管理部门，社会福利损失、企业创新动力不足、收入分配不平等经济问题日益突出，具体表现为以下几个方面：</w:t>
      </w:r>
    </w:p>
    <w:p w14:paraId="708F5317">
      <w:pPr>
        <w:bidi w:val="0"/>
      </w:pPr>
      <w:r>
        <w:t>（一）基于数据垄断增加用户转换成本和数据过度集中</w:t>
      </w:r>
    </w:p>
    <w:p w14:paraId="0D8979AD">
      <w:pPr>
        <w:bidi w:val="0"/>
      </w:pPr>
      <w:r>
        <w:t>数据收集隐蔽化、数据产权化和数据利用黑箱化是平台数据垄断问题的主要表现。平台企业利用各种隐蔽的手段收集平台使用者的信息和数据，将其汇聚在平台上形成数据垄断的基础。同时，平台将收集到的海量数据视作自己的私有财产形成数据垄断，不公开数据的使用方式、用途等信息，数据使用过程不透明。数据垄断带来学习培训成本、搜索成本、忠诚成本等用户转换成本增加、平台经营者间提供的服务互操作性差和数据过度集中的问题。平台型企业通过提供基础服务吸引了大量用户，而产业延伸和双轮垄断又能汇聚更多用户并收集更多、更全面的用户数据，数据高度集中后平台利用这些大数据对个体进行精准刻画进而对整个社会偏好、安全等方面进行深入分析。数据集中带来的不仅仅是大数据杀熟、精准广告投放等行为对消费者权益的损害，还带来金融账户安全、“深度伪装”等社会隐忧，在涉及数据产权界定、个人信息保护和数据安全等方面没有具有可操作性的实施细则，影响社会安全与稳定，例如，金融账户主要依赖生物特征码、用户密码和硬件等多种手段进行加密，生物特征码加密手段日渐普及，当平台寡头收集了大量的生物特征码，并在密码技术、硬件等方面实现重大突破时就可能对公民财产安全造成巨大威胁，因缺少数据要素配置的基础性法律法规，当收集的用户数据被滥用时，网络上就可能出现成千上万个伪装成你的幽灵进行“深度伪装”，无法给用户提供安全、可靠、便利的网络空间。因此，互联网平台经营者应遵守法律法规履行信息保护和数据安全责任，推动数据资源安全高效配置。</w:t>
      </w:r>
    </w:p>
    <w:p w14:paraId="3958FF00">
      <w:pPr>
        <w:bidi w:val="0"/>
      </w:pPr>
      <w:r>
        <w:t>（二）基于流量垄断对流量进行限制和价格歧视</w:t>
      </w:r>
    </w:p>
    <w:p w14:paraId="46529CCB">
      <w:pPr>
        <w:bidi w:val="0"/>
      </w:pPr>
      <w:r>
        <w:t>数据、流量客观上已成为平台企业竞争力的重要基础，超级平台利用数据垄断持续优化服务，汇聚大量用户形成流量垄断。CNNIC发布的《中国互联网络发展状况统计报告》显示，2020年6月，手机网民在即时通讯类APP上花费的时间最多，占13.7%；微信和QQ在第一季度的日消息总量和使用时长同比均实现两位数增长，企业微信在疫情期间的用户量从6000万增长到2.5亿[15]。在即时通讯领域微信、QQ已占据主导地位，形成了流量垄断，从而带来了流量限制和价格歧视问题，超级平台的流量垄断将会提高平台行业的流量门槛，导致新进入者在前期需要投入更多资本来获取更高流量，从而达到企业生存所需的最低流量限制。从经济学角度分析，具有相当垄断地位平台的大数据杀熟属于价格歧视，超级平台利用“算法+大数据”精准识别不同用户类型并对其进行歧视性的动态定价，例如，国外研究者发现，在旅游网站Orbitz和CheapTickets上通过安卓（An-droid）手机的网络浏览器搜索酒店的人看到的价格比iPhone用户低约50％[16]，消费者缺乏必要“比价”能力、议价权利和选择权，“千人千面”的精准营销转化为“千人千价”的销售模式，消费者成为垄断行为的最终受害者。因此，要保障消费者合法权利，强化反垄断、遏制不正当竞争，避免消费者成为平台竞争的“工具人”。</w:t>
      </w:r>
    </w:p>
    <w:p w14:paraId="3EF5F672">
      <w:pPr>
        <w:bidi w:val="0"/>
      </w:pPr>
      <w:r>
        <w:t>（三）基于市场垄断地位集中财富损害用户福利</w:t>
      </w:r>
    </w:p>
    <w:p w14:paraId="35977033">
      <w:pPr>
        <w:bidi w:val="0"/>
      </w:pPr>
      <w:r>
        <w:t>数字平台垄断者凭借其市场主导地位实现自我优待，从而遏制竞争为己谋利。一方面，具有中介和基础设施作用的超级平台凭借其强大的市场影响力损害用户福利，平台企业通过算法垄断对其自营业务进行特殊照顾，歧视竞争对手的业务侵害用户的选择权。2020年3月10日，美国参议院司法委员会反托拉斯、竞争政策和消费者权益小组委员会对谷歌是否利用搜索算法将对自己有利的结果排列在前面、苹果是否在应用商店将其自己开发的应用程序（APP）放到更醒目的位置等问题进行听证。同时，平台企业大量收集用户的信息和数据，利用多种多样的数据处理工具对用户特征精准画像，并对用户行为进行预测和操纵，将用户套牢在平台。例如，搜索引擎平台利用流量优势通过对用户的知识分发进行操纵并影响用户的观点与倾向，形成“搜索引擎操纵效应”加强其流量优势，从而使用户福利受到损害。另一方面，平台企业的本质属性是为用户建立中介、基础设施和市场秩序，平台经济的创新实质是商业模式创新，但平台寡头凭借数据垄断优势不从事物质资料生产却获得利益最大化。在数字经济时代，科技创新与社会福利本应为生产者和消费者共享，但平台寡头掠夺了消费者和生产者福利，消费者被“大数据杀熟”、商家被强制“二选一”，新创造的社会剩余中本应为消费者和生产者共享的部分却被平台企业强势掠夺。</w:t>
      </w:r>
    </w:p>
    <w:p w14:paraId="3EDADE0B">
      <w:pPr>
        <w:bidi w:val="0"/>
      </w:pPr>
      <w:r>
        <w:t>（四）基于不正当竞争抑制创新扰乱市场竞争秩序</w:t>
      </w:r>
    </w:p>
    <w:p w14:paraId="2760FBDA">
      <w:pPr>
        <w:bidi w:val="0"/>
      </w:pPr>
      <w:r>
        <w:t>在互联网领域正在形成以软件为媒介的平台核心基础设施，互联网平台寡头使用平台上的第三方数据使平台自营业务获得超额利润，对平台内经营者采取歧视性政策，利用流量和数据资源优势对潜在竞争对手进行打压扰乱竞争秩序，凭借其市场支配地位实现垄断的自我强化，限制创新排斥市场竞争损害社会福利。大型即时通讯平台由网络效应、双边市场效应等形成市场效率优势后限制其他平台应用的正常分享，例如，中国社科院大学互联网法治中心发布的《互联网平台与数据竞争规制问题研究报告》表明，在疫情期间钉钉、飞书等办公软件在微信分享上受阻，这实际上是互联网平台利用其市场支配地位阻碍潜在进入者的进入，排斥市场竞争以维持其垄断地位。平台利用其数据、流量和技术等优势，通过算法将平台自营产品置于优势地位，进行跨市场集成、并购，多轮强化其垄断优势从而在新市场中形成第二轮垄断、第三轮垄断，阿里巴巴利用数据和用户优势进入金融领域和腾讯利用其在社交媒体领域的优势进入游戏领域是跨市场集成的典型案例。因此，部分互联网平台违背消费者隐私权利保护建立数据竞争优势，利用负面创新来强化其现有的模式，通过增加第三方成本聚集财富，压制创新创业损害消费者和市场利益，扭曲数字平台市场的健康发展。</w:t>
      </w:r>
    </w:p>
    <w:p w14:paraId="38824165">
      <w:pPr>
        <w:pStyle w:val="4"/>
        <w:bidi w:val="0"/>
      </w:pPr>
      <w:r>
        <w:t>五、数字平台经济垄断的规制思路</w:t>
      </w:r>
    </w:p>
    <w:p w14:paraId="231F20EB">
      <w:pPr>
        <w:bidi w:val="0"/>
      </w:pPr>
      <w:r>
        <w:t>在数字经济快速发展中，资本集中于少数互联网平台使其成长为势均力敌、互相抗衡的头部企业，少数非公有制平台企业凭借对大数据的私人占有，长期维持垄断地位，对良性市场竞争造成损害。私人垄断是引发市场失灵的主要因素之一，反垄断是完善社会主义市场经济体制的内在要求。在新发展阶段，平台经济发展的反垄断理念与策略，要体现在促进创新、为生产者提供科技便利、提高消费者福利和督促互联网平台承担社会责任上，利用我国超大型市场规模优势，通过反垄断规制实现平台经济共治共享，推进互联网平台持续健康和高质量发展。</w:t>
      </w:r>
    </w:p>
    <w:p w14:paraId="3F59FD2A">
      <w:pPr>
        <w:bidi w:val="0"/>
      </w:pPr>
      <w:r>
        <w:t>（一）规范数据建设，坚持平台经济社会主义公有制属性</w:t>
      </w:r>
    </w:p>
    <w:p w14:paraId="1B8CE895">
      <w:pPr>
        <w:bidi w:val="0"/>
      </w:pPr>
      <w:r>
        <w:t>大数据要素是对原始数据的知识性加工，并具有公共属性。平台型企业获取、维护和加强垄断地位主要依赖“数据垄断优势”，大数据初始资源私人占有和平台企业私有制是平台经济垄断产生的根本原因，平台企业反垄断的重点是坚持互联网平台社会主义公有制属性，从明晰产权视角对平台企业所依赖的全民所有资源和经营权边界进行监管，建立防止数据垄断的机制。平台数据垄断的主要表现是数据收集隐蔽化、数据产权化和数据利用黑箱化，数据已成为一种有价值的生产要素，必须确保平台以适当的方式使用数据，并促进数字技术的充分利用。因此，要打破数据垄断孤岛和壁垒，须建立健全全流程数据安全管理制度，对数字经济平台进行反垄断规制。在数据收集方面，通过行政命令、法律法规强制要求平台对用户明示所需要收集的数据和信息，用户只需提供自己享有服务所必要的数据或信息，非服务项目的数据或信息提供与否应由用户决定，平台经营者不能将平台服务所获取的数据与自身或第三方服务的个人数据合并使用。在数据产权方面，要明确用户数据的所有权归属，防范平台将用户数据私产化，用户可以自由地上传、下载、转让、删除私人数据，拥有数据的所有权、控制权和知情权。在数据使用方面，平台经营者应健全数据安全审查与内控机制，明确规定用户数据的用途，使用户对平台如何使用私人数据享有知情权，避免企业以保护用户数据的名义拒绝数据共享建立数据垄断优势。</w:t>
      </w:r>
    </w:p>
    <w:p w14:paraId="1A51898A">
      <w:pPr>
        <w:bidi w:val="0"/>
      </w:pPr>
      <w:r>
        <w:t>（二）建立流量分配机制，加强对“算法+大数据”双重垄断监管</w:t>
      </w:r>
    </w:p>
    <w:p w14:paraId="3805D533">
      <w:pPr>
        <w:bidi w:val="0"/>
      </w:pPr>
      <w:r>
        <w:t>平台兼具市场与企业的双重属性是连接消费者、运营商、广告商等多方用户的中介平台和基础设施。随着用户规模扩大和协作效率提高，小微企业进入大规模协作网络，平台汇聚海量流量为交易行为提供诸多服务。流量运营是平台型企业商业模式的主要特征，平台对流量控制与分配导致了流量限制和流量歧视等问题。鉴于此，在流量限制方面，应当建立流量分配机制防止平台对流量的过度垄断，新进入者或中小平台也能利用大型平台进行引流以达到最低流量限制，要完善投融资体系建设使具有创新发展潜力的小微企业顺利融资，达到获取最低流量限额的资本量；在流量歧视治理上，要建立由一系列可观测指标构成的指标集体系，用以评判平台型企业是否利用平台流量对平台内经营者实施歧视策略，保证平台流量公平分配。贯彻国务院办公厅《关于促进平台经济规范健康发展的指导意见》中创新监管理念和方式的精神，利用“互联网相关技术可以帮助我们更好地控制利益不一致问题，破除空间限制、进入成本极低，群众参与高度便利”[17]，借助数字技术推动“互联网＋监管”智慧监管模式，对关涉社会公共利益的算法运用，加强“算法+大数据”的双重垄断监管，引入人工智能技术监测平台价格波动并对定价算法的行为规范性进行备案界定审查，通过激励式监管构建平台企业自我规制、自主审查和弹性监管的一体化体系建设。</w:t>
      </w:r>
    </w:p>
    <w:p w14:paraId="004429D8">
      <w:pPr>
        <w:bidi w:val="0"/>
      </w:pPr>
      <w:r>
        <w:t>（三）树立动态监管理念，避免选择性执法和运动式监管</w:t>
      </w:r>
    </w:p>
    <w:p w14:paraId="4348A614">
      <w:pPr>
        <w:bidi w:val="0"/>
      </w:pPr>
      <w:r>
        <w:t>反垄断规制的目标是保护公平竞争、促进效率提升，数字平台市场反垄断规制不能按照传统行业和市场的市场占有率标准，关涉网信、工信、金融监管、反垄断监管和公安司法等多职能部门协同配合对垄断、网络安全、金融风险和侵犯消费者隐私权益进行有效监管。平台利用数据、算法、基础设施等新竞争手段侵蚀传统竞争机制，平台型企业具有自然垄断特性，反垄断规制不是规制平台的垄断地位而是规制其垄断行为，因为获得垄断地位并不一定出现排斥竞争、抑制创新行为，不应盲目地对只获得垄断地位没有明显垄断行为的大型平台型企业进行“一刀切”式的反垄断规制，否则将抑制其创新、降低社会福利。“‘限制资本’的根本目的是要能够在充分发挥资本在创造物质生产力方面的效能的基础上，有效避免资本在一切领域（包括经济领域）可能造成的反生态性后果。”[18]制定平台反垄断政策法律应综合考虑效率、公平、福利、创新等因素并以提高社会经济效率、维护公平竞争环境、提高企业消费者福利、激励创新作为反垄断的出发点，当垄断平台利用甚至滥用自身的市场支配地位采取限制竞争、滥用支配地位、损害消费者福利、阻碍创新等垄断行为时，要制定科学、灵活的方式方法实施反垄断规制，注重协同合作提高监管效益，形成社会、媒体、公众监督合力，明确平台型企业主体责任和义务，通过中立性监管维护市场竞争秩序，避免监管寻租、选择性执法和运动式监管，完善平台行业自律机制，建设多元共治的数字平台治理体系。</w:t>
      </w:r>
    </w:p>
    <w:p w14:paraId="2A7049D2">
      <w:pPr>
        <w:bidi w:val="0"/>
      </w:pPr>
      <w:r>
        <w:t>（四）建设平台中立制度，加强平台并购和跨市场集成监管</w:t>
      </w:r>
    </w:p>
    <w:p w14:paraId="664C41E0">
      <w:pPr>
        <w:bidi w:val="0"/>
      </w:pPr>
      <w:r>
        <w:t>数字平台具有制定并执行交易规则的权力，平台中立制度将数字平台作为核心基础设施，要求平台平等地对待所有使用基础设施的企业，保持平台的中立性，同等开放、不歧视平台内运营企业。平台型企业纵向跨界的前提是具有数据垄断优势和平台经营者双重身份，要保持互联网平台中立应将平台企业的基础设施与经营者身份相剥离，平台经营者不利用自身优势从事商品和服务等经营项目，避免平台自营业务利用平台基础设施获得高于其他经营者的资源优势和超额利润。平台寡头横向跨界进入新市场新领域，利用交叉网络效应可能在没有显著市场优势的新领域实现垄断的自我强化，要建立解决交叉网络外部性的结构性分离和预防性禁令措施，在平台的核心业务和其他业务之间建立“防火墙”，严格限定数据的使用范围，避免平台对数据的过度挖掘使用和数据交叉集中管理带来的潜在风险。平台寡头利用自身的数据、资本等优势对中小平台进行“扼杀式并购”或跨市场集成，以消灭在位和潜在竞争者巩固其垄断地位，加剧了市场集中度，降低了社会的创新动力，不利于优胜劣汰机制发挥作用。因此，要完善健全法律法规和政策制度，提高数字平台治理体系和治理能力现代化水平，防止资本的无序扩张，维护社会公平正义，完善监管部门职责，提高监管技术手段，对平台寡头的并购与跨市场集成等行为进行反垄断规制，把监管和治理贯穿数字平台生产经营的全过程。</w:t>
      </w:r>
    </w:p>
    <w:p w14:paraId="64272126">
      <w:pPr>
        <w:pStyle w:val="4"/>
        <w:bidi w:val="0"/>
      </w:pPr>
      <w:r>
        <w:t>六、结论</w:t>
      </w:r>
    </w:p>
    <w:p w14:paraId="7CE5D45E">
      <w:pPr>
        <w:bidi w:val="0"/>
      </w:pPr>
      <w:r>
        <w:t>从马克思主义政治经济学和规制经济学的视角分析，数字平台经济经历了从自由竞争、初级垄断到双轮垄断的迅速发展崛起，其引发的垄断问题对传统反垄断规制方式的适配性形成挑战。数据作为一种新型生产要素，其实质是以平台经济生产资料形式存在的资本，平台资本对用户的数字劳动剥削极具隐蔽性，数据由平台用户生产却被平台资本无偿占有，平台企业的私人垄断完全是建基于对用户的“数字劳动”剥削，无偿占有用户的“数字劳动”形成“数据垄断”。数字平台经济的成本次可加性、网络效应、双边或多边市场效应和基础设施效应等特点，使其具有天然的垄断倾向，通过“算法”强化“数据垄断优势”，并进入新领域新市场形成双轮垄断。这种双轮垄断带来了数据垄断、流量垄断、市场垄断和不正当竞争问题，形成了互联网平台垄断的内在逻辑。</w:t>
      </w:r>
    </w:p>
    <w:p w14:paraId="43B9D6B7">
      <w:pPr>
        <w:bidi w:val="0"/>
      </w:pPr>
      <w:r>
        <w:t>数字核心基础设施是由国家部署为公共运营而投资建造，政府大规模公共财政支出用于投资宽带接入、改善数字基础设施组件等数字基础设施研发，提升数字服务性能。互联网技术和数字基础设施投资加剧了区域非均衡发展，拥有熟练劳动力和数字技术投资的发达地区变得更加富裕。政府供应的数字基础设施建设相较于其他基础设施的税收补贴水平低且随意，接入数字基础设施和平台的消费者形成巨大的衍生需求和潜在价值，平台型企业利用数字基础设施获得了比其他企业更高的劳动生产率、超额利润和数据垄断收益。数据初始资源私人占有和平台企业私有制是平台经济垄断产生的根本原因。平台企业凭借大数据规模优势拥有超高的市场估值，为提高平台企业市场竞争力，尽管将大数据要素初始产权主体界定为平台企业所有，但平台职工的劳动和用户的“数字劳动”是大数据收益的共同创造者，因而应成为主要受益者，而平台私人所有者不应享有大数据要素创造的主要财富收益。互联网平台反私人垄断的内在逻辑重点应在坚持社会主义公有产权基础上，从明晰产权、明确经营权边界和禁止“混业经营”视角对平台企业所依赖的全民所有资源进行监管，平台企业提供数据资源和公共服务，不能介入普通企业的产品生产或服务营销业务，政府应从数字基础设施治理与开放、公共和私人责权边界划分等方面在数字基础设施的提供者、使用数字基础设施的互联网平台和消费者用户之间合理分配收益，在数据建设、流量分配、行为监管和平台中立制度建设等方面对互联网平台垄断实施综合治理规制，而大型平台的逐步国有化和平台财富全民共享是以人民为中心的综合治理的最佳途径。</w:t>
      </w:r>
    </w:p>
    <w:p w14:paraId="105CB762">
      <w:pPr>
        <w:bidi w:val="0"/>
      </w:pPr>
    </w:p>
    <w:p w14:paraId="723682E6">
      <w:pPr>
        <w:bidi w:val="0"/>
      </w:pPr>
      <w:r>
        <w:t>参考文献：</w:t>
      </w:r>
    </w:p>
    <w:p w14:paraId="247249FE">
      <w:pPr>
        <w:bidi w:val="0"/>
        <w:jc w:val="left"/>
      </w:pPr>
      <w:r>
        <w:t>[1]熊鸿儒.我国数字经济发展中的平台垄断及其治理策略[J].改革，2019（7）.</w:t>
      </w:r>
    </w:p>
    <w:p w14:paraId="4525A400">
      <w:pPr>
        <w:bidi w:val="0"/>
        <w:jc w:val="left"/>
      </w:pPr>
      <w:r>
        <w:t>[2]新华社.市场监管总局依法对阿里巴巴集团控股有限公司在中国境内网络零售平台服务市场实施“二选一”垄断行为作出行政处罚[N].人民日报，2021-04-11.</w:t>
      </w:r>
    </w:p>
    <w:p w14:paraId="4C64D601">
      <w:pPr>
        <w:bidi w:val="0"/>
        <w:jc w:val="left"/>
      </w:pPr>
      <w:r>
        <w:t>[3]习近平.把握数字经济发展趋势和规律推动我国数字经济健康发展[N].人民日报，2021-10-20.</w:t>
      </w:r>
    </w:p>
    <w:p w14:paraId="5A012A7B">
      <w:pPr>
        <w:bidi w:val="0"/>
        <w:jc w:val="left"/>
      </w:pPr>
      <w:r>
        <w:t>[4]黄筱.中国数字经济投融资联盟成立[EB/OL].http://www.gov.cn/xinwen/2018-11/08/content_5338517.htm?_zbs_baidu_bk，2018-11-08/2021-05-30.</w:t>
      </w:r>
    </w:p>
    <w:p w14:paraId="300E1679">
      <w:pPr>
        <w:bidi w:val="0"/>
        <w:jc w:val="left"/>
      </w:pPr>
      <w:r>
        <w:t>[5]乔芊.拼多多完成新一轮30亿美元融资，腾讯领投[EB/OL].</w:t>
      </w:r>
      <w:r>
        <w:fldChar w:fldCharType="begin"/>
      </w:r>
      <w:r>
        <w:instrText xml:space="preserve"> HYPERLINK "https://36kr.com/p/1722425475073" </w:instrText>
      </w:r>
      <w:r>
        <w:fldChar w:fldCharType="separate"/>
      </w:r>
      <w:r>
        <w:t>https://36kr.com/p/1722425475073</w:t>
      </w:r>
      <w:r>
        <w:fldChar w:fldCharType="end"/>
      </w:r>
      <w:r>
        <w:t>，2018-04-11/2021-05-30.</w:t>
      </w:r>
    </w:p>
    <w:p w14:paraId="610B7790">
      <w:pPr>
        <w:bidi w:val="0"/>
        <w:jc w:val="left"/>
      </w:pPr>
      <w:r>
        <w:t>[6]电子商务研究中心.中国创新支付收购有赞收购51%股权市值已超60亿港币[EB/OL].</w:t>
      </w:r>
      <w:r>
        <w:fldChar w:fldCharType="begin"/>
      </w:r>
      <w:r>
        <w:instrText xml:space="preserve"> HYPERLINK "http://www.100ec.cn/" </w:instrText>
      </w:r>
      <w:r>
        <w:fldChar w:fldCharType="separate"/>
      </w:r>
      <w:r>
        <w:t>http://www.100ec.cn/</w:t>
      </w:r>
      <w:r>
        <w:fldChar w:fldCharType="end"/>
      </w:r>
      <w:r>
        <w:t>detail--6446078.html，2018-04-20/2021-05-30.</w:t>
      </w:r>
    </w:p>
    <w:p w14:paraId="0465A112">
      <w:pPr>
        <w:bidi w:val="0"/>
        <w:jc w:val="left"/>
      </w:pPr>
      <w:r>
        <w:t>[7]大鹏.社交电商云集完成1.2亿美元B轮融资鼎晖投资领投[EB/OL].</w:t>
      </w:r>
      <w:r>
        <w:fldChar w:fldCharType="begin"/>
      </w:r>
      <w:r>
        <w:instrText xml:space="preserve"> HYPERLINK "https://tech.sina.com.cn/i/2018-04-23/doc" </w:instrText>
      </w:r>
      <w:r>
        <w:fldChar w:fldCharType="separate"/>
      </w:r>
      <w:r>
        <w:t>https://tech.sina.com.cn/i/2018-04-23/doc</w:t>
      </w:r>
      <w:r>
        <w:fldChar w:fldCharType="end"/>
      </w:r>
      <w:r>
        <w:t>-ifzqvvrz8695482.shtml，2018-04-23/2021-05-30.</w:t>
      </w:r>
    </w:p>
    <w:p w14:paraId="09E6B6AF">
      <w:pPr>
        <w:bidi w:val="0"/>
        <w:jc w:val="left"/>
      </w:pPr>
      <w:r>
        <w:t>[8]莫岱青.2019年度中国网络零售市场数据检测报告[R/OL].www.100ec.cn/zt/2019wllsbg，2020-06-5/2021-05-30.</w:t>
      </w:r>
    </w:p>
    <w:p w14:paraId="763778D6">
      <w:pPr>
        <w:bidi w:val="0"/>
        <w:jc w:val="left"/>
      </w:pPr>
      <w:r>
        <w:t>[9]王先林.我国反垄断法修订完善的三个维度[J].华东政法大学学报，2020（2）.</w:t>
      </w:r>
    </w:p>
    <w:p w14:paraId="18F59515">
      <w:pPr>
        <w:bidi w:val="0"/>
        <w:jc w:val="left"/>
      </w:pPr>
      <w:r>
        <w:t>[10]JerrodN，DavidN.InvestigationofCompetitioninDig-italMarkets.UnitedStates:HouseJudiciaryCommittee.[R/OL].</w:t>
      </w:r>
      <w:r>
        <w:fldChar w:fldCharType="begin"/>
      </w:r>
      <w:r>
        <w:instrText xml:space="preserve"> HYPERLINK "https://judiciary.house.gov/uploadedfiles/competi" </w:instrText>
      </w:r>
      <w:r>
        <w:fldChar w:fldCharType="separate"/>
      </w:r>
      <w:r>
        <w:t>https://judiciary.house.gov/uploadedfiles/competi</w:t>
      </w:r>
      <w:r>
        <w:fldChar w:fldCharType="end"/>
      </w:r>
      <w:r>
        <w:t>-tion_in_digital_markets.pdf，2020-10-06/2021-05-30.</w:t>
      </w:r>
    </w:p>
    <w:p w14:paraId="49BB112B">
      <w:pPr>
        <w:bidi w:val="0"/>
        <w:jc w:val="left"/>
      </w:pPr>
      <w:r>
        <w:t>[11]吴韬.从非物质劳动到数字劳动：当代劳动的转型及其实质[J].国外社会科学前沿，2019（7）.</w:t>
      </w:r>
    </w:p>
    <w:p w14:paraId="6E3DCB3F">
      <w:pPr>
        <w:bidi w:val="0"/>
        <w:jc w:val="left"/>
      </w:pPr>
      <w:r>
        <w:t>[12]FuchsC.DigitalLaborandKarlMarx[M].NewYork：Routledge，2014.</w:t>
      </w:r>
    </w:p>
    <w:p w14:paraId="5FA409A3">
      <w:pPr>
        <w:bidi w:val="0"/>
        <w:jc w:val="left"/>
      </w:pPr>
      <w:r>
        <w:t>[13]侯晓东，程恩富.基于产权视角的平台经济反垄断治理研究[J].管理学刊，2021（2）.</w:t>
      </w:r>
    </w:p>
    <w:p w14:paraId="589B8450">
      <w:pPr>
        <w:bidi w:val="0"/>
        <w:jc w:val="left"/>
      </w:pPr>
      <w:r>
        <w:t>[14]程恩富.反平台垄断本质上是实现财富全民共享之路[EB/OL].</w:t>
      </w:r>
      <w:r>
        <w:fldChar w:fldCharType="begin"/>
      </w:r>
      <w:r>
        <w:instrText xml:space="preserve"> HYPERLINK "http://www.kunlunce.com/ssjj/guojipinglun/" </w:instrText>
      </w:r>
      <w:r>
        <w:fldChar w:fldCharType="separate"/>
      </w:r>
      <w:r>
        <w:t>http://www.kunlunce.com/ssjj/guojipinglun/</w:t>
      </w:r>
      <w:r>
        <w:fldChar w:fldCharType="end"/>
      </w:r>
    </w:p>
    <w:p w14:paraId="152316A1">
      <w:pPr>
        <w:bidi w:val="0"/>
      </w:pPr>
      <w:r>
        <w:t>2021-04-27/151920.html，2021-04-27/2021-05-30.</w:t>
      </w:r>
    </w:p>
    <w:p w14:paraId="1588FE40">
      <w:pPr>
        <w:bidi w:val="0"/>
      </w:pPr>
      <w:r>
        <w:t>[15]CNNIC.第46次《中国互联网络发展状况统计报告》[R/OL].</w:t>
      </w:r>
      <w:r>
        <w:fldChar w:fldCharType="begin"/>
      </w:r>
      <w:r>
        <w:instrText xml:space="preserve"> HYPERLINK "http://www.cac.gov.cn/2020-09/29/c" </w:instrText>
      </w:r>
      <w:r>
        <w:fldChar w:fldCharType="separate"/>
      </w:r>
      <w:r>
        <w:t>http://www.cac.gov.cn/2020-09/29/c</w:t>
      </w:r>
      <w:r>
        <w:fldChar w:fldCharType="end"/>
      </w:r>
      <w:r>
        <w:t>_1602939918747816.htm，2020-09-29/2021-05-30.</w:t>
      </w:r>
    </w:p>
    <w:p w14:paraId="4AAA0126">
      <w:pPr>
        <w:bidi w:val="0"/>
      </w:pPr>
      <w:r>
        <w:t>[16]李勇坚.互联网平台寡头垄断：根源、影响及对策[J].人民论坛，2021（Z1）.</w:t>
      </w:r>
    </w:p>
    <w:p w14:paraId="43ABA8CE">
      <w:pPr>
        <w:bidi w:val="0"/>
      </w:pPr>
      <w:r>
        <w:t>[17]李济广.高级互联网时代公有制生产方式的生产力基础[J].政治经济学研究，2021（1）.</w:t>
      </w:r>
    </w:p>
    <w:p w14:paraId="7C3B41BE">
      <w:pPr>
        <w:bidi w:val="0"/>
      </w:pPr>
      <w:r>
        <w:t>[18]马超，王岩.资本逻辑视阈下生态文明建设的探索与实践[J].海派经济学，2021（2）.</w:t>
      </w:r>
    </w:p>
    <w:p w14:paraId="4062986A">
      <w:pPr>
        <w:bidi w:val="0"/>
      </w:pPr>
    </w:p>
    <w:p w14:paraId="25A99B64">
      <w:pPr>
        <w:bidi w:val="0"/>
      </w:pPr>
    </w:p>
    <w:p w14:paraId="265E0470">
      <w:pPr>
        <w:bidi w:val="0"/>
        <w:rPr>
          <w:rFonts w:hint="eastAsia" w:eastAsia="宋体"/>
          <w:lang w:eastAsia="zh-CN"/>
        </w:rPr>
      </w:pPr>
      <w:r>
        <w:rPr>
          <w:rFonts w:hint="eastAsia"/>
          <w:lang w:eastAsia="zh-CN"/>
        </w:rPr>
        <w:t>（</w:t>
      </w:r>
      <w:r>
        <w:rPr>
          <w:rFonts w:hint="eastAsia"/>
          <w:lang w:val="en-US" w:eastAsia="zh-CN"/>
        </w:rPr>
        <w:t>原载《</w:t>
      </w:r>
      <w:r>
        <w:rPr>
          <w:rFonts w:hint="default"/>
          <w:lang w:val="en-US" w:eastAsia="zh-CN"/>
        </w:rPr>
        <w:t>南通大学学报(社会科学版)</w:t>
      </w:r>
      <w:r>
        <w:rPr>
          <w:rFonts w:hint="eastAsia"/>
          <w:lang w:val="en-US" w:eastAsia="zh-CN"/>
        </w:rPr>
        <w:t>》2022年第5期，第二作者为王爱华</w:t>
      </w:r>
      <w:r>
        <w:rPr>
          <w:rFonts w:hint="eastAsia"/>
          <w:lang w:eastAsia="zh-CN"/>
        </w:rPr>
        <w:t>）</w:t>
      </w:r>
    </w:p>
    <w:p w14:paraId="643BFB95">
      <w:pPr>
        <w:bidi w:val="0"/>
      </w:pPr>
    </w:p>
    <w:p w14:paraId="217521B4">
      <w:pPr>
        <w:bidi w:val="0"/>
      </w:pPr>
    </w:p>
    <w:p w14:paraId="0869463F">
      <w:pPr>
        <w:bidi w:val="0"/>
      </w:pPr>
    </w:p>
    <w:p w14:paraId="4AA76F84">
      <w:pPr>
        <w:bidi w:val="0"/>
      </w:pPr>
    </w:p>
    <w:p w14:paraId="3B24D839">
      <w:pPr>
        <w:bidi w:val="0"/>
      </w:pPr>
    </w:p>
    <w:p w14:paraId="38139903">
      <w:pPr>
        <w:bidi w:val="0"/>
      </w:pPr>
    </w:p>
    <w:p w14:paraId="33814A96">
      <w:pPr>
        <w:bidi w:val="0"/>
      </w:pPr>
    </w:p>
    <w:p w14:paraId="3D1B556C">
      <w:pPr>
        <w:bidi w:val="0"/>
      </w:pPr>
    </w:p>
    <w:p w14:paraId="0E581F90">
      <w:pPr>
        <w:bidi w:val="0"/>
      </w:pPr>
    </w:p>
    <w:p w14:paraId="5138AFFF">
      <w:pPr>
        <w:bidi w:val="0"/>
      </w:pPr>
    </w:p>
    <w:p w14:paraId="29BD2826">
      <w:pPr>
        <w:bidi w:val="0"/>
      </w:pPr>
    </w:p>
    <w:p w14:paraId="1FB5C86D">
      <w:pPr>
        <w:bidi w:val="0"/>
      </w:pPr>
    </w:p>
    <w:p w14:paraId="4BC1D0AE">
      <w:pPr>
        <w:bidi w:val="0"/>
      </w:pPr>
    </w:p>
    <w:p w14:paraId="7D866818">
      <w:pPr>
        <w:bidi w:val="0"/>
      </w:pPr>
    </w:p>
    <w:p w14:paraId="7ADCB968">
      <w:pPr>
        <w:bidi w:val="0"/>
      </w:pPr>
    </w:p>
    <w:p w14:paraId="63F17F57">
      <w:pPr>
        <w:bidi w:val="0"/>
      </w:pPr>
    </w:p>
    <w:p w14:paraId="4F37F8A7">
      <w:pPr>
        <w:rPr>
          <w:rFonts w:hint="default"/>
          <w:lang w:val="en-US" w:eastAsia="zh-CN"/>
        </w:rPr>
      </w:pPr>
    </w:p>
    <w:p w14:paraId="18440593">
      <w:pPr>
        <w:pStyle w:val="3"/>
        <w:bidi w:val="0"/>
        <w:rPr>
          <w:rFonts w:hint="eastAsia"/>
          <w:lang w:val="en-US" w:eastAsia="zh-CN"/>
        </w:rPr>
      </w:pPr>
      <w:bookmarkStart w:id="90" w:name="_Toc866967651"/>
      <w:bookmarkStart w:id="91" w:name="_Toc1400681485"/>
      <w:bookmarkStart w:id="92" w:name="_Toc1650298543"/>
      <w:bookmarkStart w:id="93" w:name="_Toc1216275871"/>
      <w:bookmarkStart w:id="94" w:name="_Toc28283"/>
      <w:bookmarkStart w:id="95" w:name="_Toc1395303164"/>
      <w:r>
        <w:rPr>
          <w:rFonts w:hint="eastAsia"/>
          <w:lang w:val="en-US" w:eastAsia="zh-CN"/>
        </w:rPr>
        <w:t>8全过程人民民主对西方民主政治的超越</w:t>
      </w:r>
      <w:r>
        <w:rPr>
          <w:rFonts w:hint="eastAsia"/>
          <w:lang w:val="en-US" w:eastAsia="zh-CN"/>
        </w:rPr>
        <w:br w:type="textWrapping"/>
      </w:r>
      <w:r>
        <w:rPr>
          <w:rFonts w:hint="eastAsia"/>
          <w:lang w:val="en-US" w:eastAsia="zh-CN"/>
        </w:rPr>
        <w:t>——基于人民代表大会制度的分析</w:t>
      </w:r>
      <w:bookmarkEnd w:id="90"/>
      <w:bookmarkEnd w:id="91"/>
      <w:bookmarkEnd w:id="92"/>
      <w:bookmarkEnd w:id="93"/>
      <w:bookmarkEnd w:id="94"/>
      <w:bookmarkEnd w:id="95"/>
    </w:p>
    <w:p w14:paraId="516F9C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 xml:space="preserve">                         </w:t>
      </w:r>
    </w:p>
    <w:p w14:paraId="55AA53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要：面对世界百年未有之大变局，破除以美国为代表的“西式民主迷信”“西式制度崇拜”，我们必须坚定不移高举全过程人民民主的科学旗帜，坚持和完善人民代表大会制度；充分发挥人民代表大会制度作为实现我国全过程人民民主的重要制度载体作用；加强立法的主导作用和督察的实效作用，让制度优势更好转化为国家治理效能；遵循现代政治发展基本规律，根据八个“能否”和四个“要看、更要看”标准，从中美两国民主制度特点和实践效果的对比分析中全面阐明国家政治制度的真正民主和有效。由此，我们便能更好凝聚民心、汇集民意，共同续写中国特色社会主义政治文明的新篇章，共同为人类政治文明的发展进步作出新的巨大贡献。</w:t>
      </w:r>
    </w:p>
    <w:p w14:paraId="0B973D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1A9DB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关键词：中国人民代表大会制度；全过程人民民主；民主制度标识；民主政治比较</w:t>
      </w:r>
    </w:p>
    <w:p w14:paraId="448E98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8EC4B0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任何形式民主的落地生根都离不开真实有效的载体，人民代表大会制度作为我国的根本政治制度，不仅是实现人民民主专政的前提保障，也是全过程人民民主得以落实的重要制度载体。2021年10月，习近平在中央人大工作会议上强调：“坚持和完善人民代表大会制度，不断发展全过程人民民主”，[1]党的二十大报告进一步指出：“发展全过程人民民主，保障人民当家作主”[2](p.37)这丰富和拓展了中国特色社会主义民主政治的内涵，为我们深刻认识人民代表大会制度是实现我国全过程人民民主的重要制度载体，提供了理论指南和实践遵循。</w:t>
      </w:r>
    </w:p>
    <w:p w14:paraId="31A81D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一、人民代表大会制度是中外政治发展史上全新的政治制度</w:t>
      </w:r>
    </w:p>
    <w:p w14:paraId="43F17B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人民代表大会制度是确保国家权利掌握在人民手中并体现和反映人民意志的根本保障与有效形式，“是在我国政治发展史乃至世界政治发展史上具有重大意义的全新政治制度”。[1]</w:t>
      </w:r>
    </w:p>
    <w:p w14:paraId="07998C1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（一）人民代表大会制度的性质和特点</w:t>
      </w:r>
    </w:p>
    <w:p w14:paraId="267743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政治发展道路的实质是政治制度的选择。在国家各项制度中，“政治制度处于关键环节”。[3](p.288)我国政治制度的核心是保障人民当家作主，人民代表大会制度是保证人民当家作主的“好制度”，[4](p.5)对此可以从性质和特点出发进行阐释。</w:t>
      </w:r>
    </w:p>
    <w:p w14:paraId="023CF3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人民代表大会制度的性质。马克思主义唯物辩证法认为，内容与形式是辩证统一的。从国家政权层面看，内容与形式的关系就是国体与政体的关系。以我国为例，人民民主专政的国体是内容，人民代表大会制度的政体是形式。国体决定政体，政体服从国体。为此，人民代表大会制度的性质就要与人民民主专政的性质保持一致，即中国特色社会主义国家性质，这一性质规定了人民代表大会制度的政治本色与发展方向。</w:t>
      </w:r>
    </w:p>
    <w:p w14:paraId="588A0C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人民代表大会制度的特点。人民代表大会制度是“人民当家作主的重要途径和最高实现形式”，[5]具有鲜明特点：一是广泛的民主性。人民代表大会由民主选举产生，从构成来看，通过民主选举产生的人民代表来自不同民族、行业、阶层、党派等，具有广泛的代表性。二是有效的协作性。在人民代表大会制度中，国家的行政权、审判权、检察权等分工、职责不同，但相互支撑、促进，形成了有效协作的良好局面。三是高度的效能性。我国人口基数大，一个具有高度效能性的政治制度是实现政体高效运转的保障。人民代表大会制度遵循民主集中制原则，可以集中力量办大事。</w:t>
      </w:r>
    </w:p>
    <w:p w14:paraId="261528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（二）人民代表大会制度的比较优势</w:t>
      </w:r>
    </w:p>
    <w:p w14:paraId="4E6749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民代表大会制度是党和人民在深刻总结并吸取近代以来中国政治发展历史中经验教训的基础上，经过长期革命、建设和改革实践所取得的重大制度成果，也是党和人民制度学习、制度创新、制度变迁“试错”后的理性选择。作为人类政治制度史上的伟大创造，人民代表大会制度具有其他政治制度无法比拟的比较优势。</w:t>
      </w:r>
    </w:p>
    <w:p w14:paraId="124049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内比优势。人民代表大会制度的内比优势主要指与中国历史上政治制度的比较优势。近代以来，中国人民针对“建立什么样的政治制度”这一历史性课题进行了艰辛探索，如君主立宪制、帝制复辟、议会制、多党制、总统制等，但均以失败告终，其中最典型的是君主立宪制和总统制。</w:t>
      </w:r>
    </w:p>
    <w:p w14:paraId="06E0E2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君主立宪制又称有限君主制，是以康有为、梁启超为代表的资产阶级维新派的主张，即以君主或国王为元首，国家最高权力实际上或名义上由君主一人掌握。在君主立宪制这种资产阶级政体下，君主不再享受封建专制下至高无上的权威和尊严，君主的权力在不同程度上受宪法和议会约束。君主立宪制是资产阶级对封建贵族实行妥协的结果（当今世界的君主立宪制另当别论），资产阶级力量弱小而封建势力强大，同时封建势力又部分资产阶级化，导致资产阶级革命不彻底。这种不触动旧社会根基的制度是改良主义的表现，不能完成中华民族救亡图存和反帝反封建的历史任务，更无法为中华民族实现国家富强、人民幸福提供制度保障。</w:t>
      </w:r>
    </w:p>
    <w:p w14:paraId="1017E98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统制是以蒋介石为代表的国民党主张，实质是总统个人独裁制或国民党一党专政制，最大特点是总统与封建皇帝类似，集立法权、行政权和司法权于一身。国民党总统制的外壳是资产阶级民主共和制，内核却是封建主义。历史经验表明，尽管相对封建君主专制制度，仿效西方国家实行总统制是历史进步，但在半殖民地半封建的中国，封建主义根基深厚，民族资产阶级先天脆弱，加之国外反动势力的冲击，国民党总统制只能昙花一现。</w:t>
      </w:r>
    </w:p>
    <w:p w14:paraId="0AF13A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总之，君主立宪制和国民党总统制作为照搬西方政治制度模式的政治方案，既不能完成反帝的民族革命，也无法完成反封建的民主革命，更不可能为实现中华民族伟大复兴提供良好制度保障。</w:t>
      </w:r>
    </w:p>
    <w:p w14:paraId="342AEE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第二，外比优势。人民代表大会制度的外比优势主要指与中国外部历史上政治制度的比较优势。在中国外部历史或西方国家主要有两大政治制度，一是三权分立制，二是内阁制，均属资产阶级性质。</w:t>
      </w:r>
    </w:p>
    <w:p w14:paraId="65D880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权分立制以美国为典型代表。美国选择三权分立制，由当时的历史条件、具体国情及阶级性质决定，核心要义是权力的分立、制约与平衡。但美国现实政治实践几乎从未真正实现过三权分立制，这是因为美国的三权分立在资产阶级取得革命胜利后实际上就已失去“阶级分权”内涵。换言之，美国“主权在民”民主口号的实质是“主权在垄断寡头”，将“大众民主”异化为“精英民主”。金融、军工、媒体和科技等领域的垄断资本家为实现“旱涝保收”，在“三权”上均有涉足和渗透。因此，三权分立无法真正实现。如法国政治学者皮埃尔·罗桑瓦隆指出：“现在美国民众基本上不再相信政府是为大众利益服务的，大部分人都认为美国政治制度由少数大型利益集团操控，且往往是为了他们自己的利益而把大众抛在脑后。”[6](p.3)</w:t>
      </w:r>
    </w:p>
    <w:p w14:paraId="472FBC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议会内阁制以英国为典型代表，主张“议会至上”，即议会既是立法机关，又是权力机关，内阁由获得议会多数席位的一个或多个政党组成，并对议会负责，拥有解散议会的权力。内阁首相为议会中多数党领袖，元首仅拥有虚位而没有实权。法国思想家孟德斯鸠作为西方主张“三权分立”的代表，因以为英国是实行“三权分立”的国家而提出了“三权分立”的政治观点。但实际上，孟德斯鸠对英国是“三权分立”政体的认识是有误的，因为英国上议院既是立法机关，也是最高司法机关，上议院议长既是议员，又是最高法院院长、内阁成员，集立法、司法、行政权于一身。可见，在英国议会内阁制下，议会政治有一双幕后之手，即政党政治。英国议会内阁制的“议会至上”实质是“执政党至上”。</w:t>
      </w:r>
    </w:p>
    <w:p w14:paraId="1ADA02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之，尽管资产阶级三权分立制和议会内阁制相较封建专制具有历史进步性，但都建立在抽象的人性论基础上，以想象中的虚构物“社会契约”为幌子，将三权分立制、议会内阁制和“大众民主”变为形式，不能正确揭示社会民主的本质，实现真正的民主政治，阶级实质仍是保障精英利益。[7]</w:t>
      </w:r>
    </w:p>
    <w:p w14:paraId="5AD3BB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二、人民代表大会制度是我国全过程人民民主最重要的载体</w:t>
      </w:r>
    </w:p>
    <w:p w14:paraId="185674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民主制度化是民主程序化和规范化的保障，制度优势是民主得以实现的关键。党的二十大报告明确指出：“全过程人民民主是社会主义民主政治的本质属性，是最广泛、最真实、最管用的民主。”[2](p.37)我国全过程人民民主作为“人民代表大会制度设计和安排的一条主线”，[8]落地生根离不开人民代表大会制度这一真实有效的载体。</w:t>
      </w:r>
    </w:p>
    <w:p w14:paraId="08F476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（一）人民代表大会制度是我国全过程人民民主最广泛的体现</w:t>
      </w:r>
    </w:p>
    <w:p w14:paraId="522C91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不同于西方少数精英民主，我国全过程人民民主是最广泛的社会主义民主，主要体现为“主体全”和“内容全”。从“主体全”来看，我国全过程人民民主将全体人民纳入民主范畴，克服了“过去的一切运动都是少数人的，或者为少数人谋利益的运动”，[9](p.411)保证全体人民都能参与民主实践。从“内容全”来看，我国全过程人民民主将方方面面的公共事务都纳入民主范畴，实现“大到国家的立法、小到邻里鸡毛蒜皮”都可以通过民主的方式加以解决，“让人民群众在每一个司法案件中感受到公平正义”，[2](p.42)真正做到让人民享有广泛的民主权利。简言之，我国全过程人民民主的“全主体”和“全内容”，实现了主体完整和内容完整的民主体系及多面多层民主的发展要求，为最广泛的社会主义民主提供了现实依据。</w:t>
      </w:r>
    </w:p>
    <w:p w14:paraId="7FE7FB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民代表大会制度是我国全过程人民民主最广泛的体现，集中体现在人民代表大会制度坚持党的领导。习近平指出：“找到全社会意愿和要求的最大公约数，是人民民主的真谛。”[10](p.“7)最大公约数”的实质是“最广泛的民主”。我国作为拥有14亿多人口的国家，要实现体量如此惊人的广泛民主就必须拥有坚强有力的领导核心。中国共产党作为马克思主义政党没有任何特殊利益，立足致力于实现最广大人民根本利益的政治立场，是人民意愿的化身，最具人民的广泛代表性。人民代表大会制度坚持党的领导，为坚持最广大人民的根本利益提供了保障，具备了最广泛民主的主体核心。此外，人民代表大会制度将党的民主集中制作为自己的组织原则，“构建起覆盖960多万平方公里土地、14亿多人民、56个民族的民主体系”，[11]最大范围保障了全体人民通过各级人民代表大会广泛参与管理国家和社会各项事务。简言之，人民代表大会制度通过坚持党的领导和党的民主集中制原则，体现了我国全过程人民民主最广泛的生动实践。</w:t>
      </w:r>
    </w:p>
    <w:p w14:paraId="579407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（二）人民代表大会制度是我国全过程人民民主最真实的表达</w:t>
      </w:r>
    </w:p>
    <w:p w14:paraId="479B092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全过程人民民主是最真实的社会主义民主，这主要体现在“两端过程”上。一是不断完善我国全过程人民民主的“输入端”民主。我国全过程人民民主不排斥“竞争性选举”精神，充分保证人民根据自己意愿进行投票的权利。此外，我国全过程人民民主为弥补选举民主不足，在“输入端”民主环节增添了协商民主，使选举民主和协商民主相互补充、支撑。二是不断完善我国全过程人民民主的“输出端”民主。我国全过程人民民主“既保证人民依法实行民主选举，也保证人民依法实行民主决策、民主管理、民主监督”，[3](p.290)在民主运行上实现程序合理、环节完整的“全链条民主”。简言之，我国全过程人民民主将“输入端”和“输出端”的民主有机统一，实现了“过程民主和成果民主、程序民主和实质民主、直接民主和间接民主、人民民主和国家意志相统一”。[12]这种“两条腿走路”的民主避免了“选举民主”“单条腿走路”的民主陷阱，实现了优势互补形成合力的成熟民主，为最真实的社会主义民主提供了内在根据。</w:t>
      </w:r>
    </w:p>
    <w:p w14:paraId="7E3BF7F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民代表大会制度是我国全过程人民民主最真实表达，集中体现在人民代表大会制度坚持依法治国。法律是民主意志的重要体现，最真实的民主是实现法律化的民主。法律化的民主能够避免不因个人意志而发生超越法律的特权事件，做到在维护法律的权威中获得民主真实性的法律支持。民主和法制不可分割，这就是为什么“不要社会主义法制的民主，决不是社会主义民主”。[13](p.1184)我国宪法规定：“人民行使国家权力的机关是全国人民代表大会和地方各级人民代表大会。”[14](p.8)这在法律上确定了人民代表大会制度在我国国家制度体系中居于统领性地位，决定了我国国家制度体系必须由人民代表大会制度直接或间接创制和形成，决定了人民代表大会制度是我国国家制度体系的渊源性根基。此外，通过弘扬法治精神并严格依照相关法律法规开展与推进各项民主事业，人民代表大会制度保障了民主落实的法治化规范。简言之，人民代表大会制度是我国全过程人民民主在法制和法律方面的支撑，没有与我国全过程人民民主相配套的人民代表大会制度，我国全过程人民民主就成为无源之水、无本之木，成为一句空洞不真实的口号，无法表达其真实性。</w:t>
      </w:r>
    </w:p>
    <w:p w14:paraId="53933E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（三）人民代表大会制度是我国全过程人民民主最管用的保障</w:t>
      </w:r>
    </w:p>
    <w:p w14:paraId="602E1E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民代表大会制度是我国全过程人民民主最管用的保障，集中展现在人民代表大会制度坚持人民当家作主。民主是否管用，关键在于人民是否实现当家作主。人民代表大会制度坚持人民主权原则，以人民当家作主为价值追求和核心内容，规定各级人民代表大会都由人民民主选举产生的人大代表组成，这在制度层面调动了人民投身国家和社会事业的积极性、主动性和创造性，保证了人民当家作主的主人翁地位。人民代表大会制度要求人大代表与人民之间保持密切联系，尤其要听取人民意见和接受人民监督，这表明人民代表大会制度坚持人民至上和以人民为中心的最终指向是人民当家作主。此外，“‘两大奇迹’的重要制度保障，好制度，全新政治制度，‘三个有效保证’”[8]等习近平对人民代表大会制度的重要论述也是对人民代表大会制度是我国全过程人民民主最管用的保障这一点的精辟阐释。</w:t>
      </w:r>
    </w:p>
    <w:p w14:paraId="2EA923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之，人民代表大会制度是坚持和实现党的领导、人民当家作主、依法治国三者有机统一的根本政治制度安排，为我国全过程人民民主奠定了根本制度基础和可靠制度保障，是实现我国全过程人民民主最广泛、最真实、最管用的载体。因此，必须在实践中长期坚持和不断完善人民代表大会制度，“坚持走中国特色社会主义政治发展道路，全面发展全过程人民民主，社会主义民主政治制度化、规范化、程序化全面推进”。[2](p.9)</w:t>
      </w:r>
    </w:p>
    <w:p w14:paraId="4C6B5D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p>
    <w:p w14:paraId="0DEC18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三、评价国家政治制度是否民主有效的标识</w:t>
      </w:r>
    </w:p>
    <w:p w14:paraId="6CB42A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民主政治发展道路有内在规律，也有客观的科学评价标准。关于评价国家政治制度是否民主有效，习近平用八个“能否”和四个“要看、更要看”做出了深刻回答，展现出敏锐的政治眼光和独特的理论见解。这八个“能否”和四个“要看、更要看”标准遵循了现代政治发展的基本规律，涉及现代民主政治的制度安排问题，涵盖了民主制度的主要内容，体现了现代政治文明的基本要求，是评价一个国家政治制度是否民主有效的重要标识。</w:t>
      </w:r>
    </w:p>
    <w:p w14:paraId="5B2040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（一）八个“能否”的判断标准</w:t>
      </w:r>
    </w:p>
    <w:p w14:paraId="39C20CC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八个“能否”的判断标准，将国家政治制度的民主有效辩证统一，反映了我国政治制度的科学性和优越性。这深化了对国家政治制度发展规律的认识，丰富发展了马克思主义政治学关于国家制度的理论。</w:t>
      </w:r>
    </w:p>
    <w:p w14:paraId="0FBD6FF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国家领导层能否依法有序更替。国家领导层有序更替亦可称之为中央领导层有序更替。值得一提的是，这里的更替更倾向于不断循环之意，而非一次性交班。国家领导层有序更替代表的是中央领导层权力的有序交接，关乎大局、关乎未来、关乎活力、关乎稳定，是国家的战略全局问题。国家领导层的有序更替能够促进和展现一派政治新气象，是评价国家政治制度是否民主有效的标识。</w:t>
      </w:r>
    </w:p>
    <w:p w14:paraId="0430EC5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经过长期实践探索，通过改革完善党和国家的领导制度，在国家领导层有序更替上取得了进展。如抛弃了西方国家禅让制和世袭制、实际上存在的领导干部职务终身制，设立“少壮派”变一层梯队为两层梯队制度，变个人接班制为集体接班制，实行领导干部任期制度和选举制度，等等。这些举措确保了党和国家领导机关和领导层正常换届和有序更替，切实防止了权力倾轧、政局动荡，实现了政治稳定和加强凝聚力的目标。</w:t>
      </w:r>
    </w:p>
    <w:p w14:paraId="0D2E385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国国家领导层更替是现实版的“纸牌屋”，这由资本主义国家性质决定。美国作为当今世界最发达的资本主义国家，人与人之间赤裸裸的金钱关系体现在经济社会的方方面面，在政治领域亦如此。无论总统选举还是参议院、众议院的议员选举，亦或州长选举，实质都是金钱选举。由于候选人背后支持的“金主”不同，相互斗争、相互倾轧、互相掣肘的互黑现象时有发生。此外，美国政党之间的关系是一种“前任建房、后任拆梁”的竞争式、否决型关系，选举结束后势如水火的代际冲突仍然存在，远谈不上国家领导层的有序更替。加之美国执政党和反对党在力量此起彼伏中角色互换频繁，政党之间“你方唱罢我登场”的钟摆效应成为常态，但这种常态是以社会分裂为代价的不和谐状态，本质上是一场零和博弈，无法为美国国家领导层的有序更替提供良好的政治生态。</w:t>
      </w:r>
    </w:p>
    <w:p w14:paraId="56AC97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全体人民能否依法管理国家事务和社会事务、经济和文化事业。党的二十大报告指出：“我国是工人阶级领导的、以工农联盟为基础的人民民主专政的社会主义国家，国家一切权力属于人民。”[2](p.37)人民是国家和社会的主人，人民享有管理国家事务和社会事务、经济和文化事业的民主权利。切实保障人民的这份权利，有利于扩大国家和社会的民主、健全法制、建设和巩固政治文明。</w:t>
      </w:r>
    </w:p>
    <w:p w14:paraId="60EC4E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宪法规定：“人民依照法律规定，通过各种途径和形式，管理国家事务，管理经济和文化事业，管理社会事务。”[16](pp.231-232)这为我国全体人民依法管理国家事务和社会事务、经济和文化事业提供了根本法律依据。在现实中，我国人民可通过各种途径和形式管理国家和社会事务、经济和文化事业，如可通过一些群众性组织和其他组织形式参加管理国家事务，通过职工代表大会管理企事业单位，通过文教、卫生、科研组织管理经济和文化事业，通过城市居民委员会、农村村民委员会等组织管理城乡社区基层社会事务，通过选举组成的各级人民代表大会管理国家事务和社会事务、经济和文化事业。可见，我国在民主管理上能够做到弘扬人民的主人翁精神，并积极有效发挥人民主体性作用。</w:t>
      </w:r>
    </w:p>
    <w:p w14:paraId="09C176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建立在垄断资产阶级“少数人的民主”基础上，主要通过多党竞争性选举实现美国人民对国家事务和社会事务、经济和文化事业的管理，无法实现“全体人民”依法管理国家事务和社会事务、经济和文化事业。美国这种民主方式往往成为党派与资本利益的结盟、竞技，政客和资本寡头为实现特殊目的而操纵民意的民主盛宴与民主狂欢，结果不仅不是美国人民来真正管理国家事务和社会事务、经济和文化事业，反而绑架和偏离了美国人民的公共意志与利益。</w:t>
      </w:r>
    </w:p>
    <w:p w14:paraId="5F7A99B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人民群众能否畅通表达利益要求。民主政治需要以人民群众畅通表达利益要求为前提和基础，找到人民群众利益要求的最大公约数。中国共产党历来高度重视人民群众的利益表达，秉持为人民服务的宗旨和厚植的爱民情怀，“坚持人民主体地位，充分体现人民意志、保障人民权益、激发人民创造活力”，[2](p.37)不断扩宽和畅通人民群众利益表达渠道，切实做到反映民意、尊重民意、维护民意。如通过“开门式立法”广泛征求人民群众意见，通过人民代表大会制度和政治协商会议把握人民群众利益表达要求，通过信访制度搭建起人民群众利益表达诉求渠道，通过新兴网络媒介渠道收集人民群众利益表达需要，通过各种内参（要报简报动态等）反映人民群众意愿。通过这些举措，我国想人民群众所想，急人民群众所急，构建起了人民群众回应式民主运作状态。这种状态有利于化解社会矛盾、防范和减少社会风险，为构建和谐社会起着基础性作用。这种状态也是坚持以人民为中心和人民至上执政理念的现实表现，更是党和政府与人民群众保持血肉联系的重要表现。</w:t>
      </w:r>
    </w:p>
    <w:p w14:paraId="0E2020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将人民畅通表达利益要求理解和定义为“一人一票”的周期性选举，并奉为引以为傲的民主圭臬。“票决制”确是一种利益表达，但美国“票决制”本质上是“精英主义民主观”的制度化身，是美国精英群体为实现自己特殊目的，将自己的利益通过狭隘性的制度实施，伪装成广大人民的普遍利益。美国人民的利益表达在“票决制”模式下仅是投票时的一次性和短时间利益表达，缺乏全程性、经常性、日常性的利益表达渠道，无法满足人民畅通利益表达的客观要求。且这种“票决制”的利益表达在“政治作秀”下往往只投票时有效，而实施时失效，严重缺乏持续回应的政治效能。因此，美国人民参与选举的投票率相对较低，往往会出现“表达不表达”都一样的鄙视厌恶和政治消极心态，无法真正畅通利益表达要求。</w:t>
      </w:r>
    </w:p>
    <w:p w14:paraId="5AF217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四，社会各方面能否有效参与国家政治生活。当“大至宪法修改，小至垃圾分类”都能获得社会各方面的“众商量”“好商量”，民主参与机制就能由原来的“政府自己定自己办”转变为“群众提、代表决、政府办、人大评”，政府决策才能由“为民作主”变为“由民作主”，老百姓才能成为最终受益者。</w:t>
      </w:r>
    </w:p>
    <w:p w14:paraId="3CF0B9C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二十大报告明确指出：“发挥人民群众积极性、主动性、创造性，巩固和发展生动活泼、安定团结的政治局面。”[2](p.37)人民主体性在社会各方面参与国家政治生活方面显得尤为突出，实现了中国式的参与民主。以社会各方面参与的主体为例，在国家决定实施某项决议前，要广泛征求各方人民意见和建议，尊重各方人民的知情权、参与权、表达权、监督权，激发各方人民的参与热情，让各方人民的智慧发光发亮，发挥广大人民在决议中的主体作用，保持和增加民主活力。这样可以有效防止“家长制”“一言堂”现象，彰显民主性和有效性。以社会各方面参与的领域为例，在国家决定实施某项决议前，要照顾到政治、经济、文化、社会等各领域的民主权利，实现社会各方面的多维民主。</w:t>
      </w:r>
    </w:p>
    <w:p w14:paraId="443B1F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生产资料建立在私有垄断制基础之上，因而只能实现一部分民众即主要是富人阶级对于国家政治生活的积极参与，这实质上将大多数美国民众排除在积极参与国家政治生活大门外，使其“成为了政治生活的旁观者”。[17](p.28)美国主要将国家民主生活的关注点聚焦于政治和选举领域，因而即使关注和盛行多议题的“身份政治”，①也只是统治阶级冲淡民众的阶级意识，制造民众利益的“碎片化”和社会分裂，根本无法真正全面地实现广大民众在经济、文化、社会、生态文明等重要领域的合理诉求和“应然民主”的广泛参与性。</w:t>
      </w:r>
    </w:p>
    <w:p w14:paraId="2B1E20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五，国家决策能否实现科学化、民主化。国家决策的成功是最大的成功，国家决策的失败是最大的失败。避免失败就要实现国家决策的科学化、民主化。我国经过长期的实践探索、经验积累和深刻总结，逐渐形成了较为成熟的集体决策机制，实现了领导集体内部权力结构的平衡，为国家决策的科学化、民主化奠定了坚实基础。相对于个人决策机制而言，所谓集体决策机制是本着“集体领导、民主集中、个别酝酿、会议决定”的民主集中制原则，充分发挥集体乃至广大人民群众智慧和力量，经过“民主、集中、再民主、再集中”的过程优化决策质量程序，最后进行决策的机制。“民主集中制是民主基础上的集中和集中指导下的民主相结合。它既是党的根本组织原则，也是群众路线在党的生活中的运用。”[18](p.12)在我国这样一个区域差异明显、社会利益多元的国家，只有建立这种“集思广益型”集体决策机制，才能最大限度凝聚各种社会力量，推动我国向实现民族复兴的伟大目标前进。</w:t>
      </w:r>
    </w:p>
    <w:p w14:paraId="419B00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政府决策被众多“游说公司”狭隘利益、华尔街金融寡头、军工复合体和政治捐款主体等的金钱裹挟。这也是为什么美国国情咨文尽管经过了总统顾问和文稿“秀才”们的起草、撰稿和反复修改，但在决策表决环节往往陷入怪圈，即“总统提议，国会否决；共和党提议，民主党否决；民主党提议，共和党否决”，[19]可见，美国决策无法真正实现科学化、民主化。</w:t>
      </w:r>
    </w:p>
    <w:p w14:paraId="1ADD76A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六，各方面人才能否通过公平竞争进入国家领导和管理体系。人才是国家政治制度中最活跃、最关键、最基础的要素。人才通过公平竞争进入国家领导和管理体系，有利于为国家政治制度的民主有效注入强大的智力动能与创新活力。</w:t>
      </w:r>
    </w:p>
    <w:p w14:paraId="607777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国家领导和管理体系不断改革人事制度，积极发展和建立健全广纳群贤、人尽其才、人尽其才、能上能下、充满活力的选人用人制度机制，坚持德才兼备、组织认可、群众公认等选人用人原则，广泛聚集社会各界优秀人才积极投身党和国家的各项伟大事业，为各个领域优秀人才的发展提供了广阔的空间和渠道。</w:t>
      </w:r>
    </w:p>
    <w:p w14:paraId="6C6481C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各方面人才很难通过公平竞争进入国家领导和管理体系，这是因为美国的国家领导人才和管理体系人才具有极其深厚的家族传承，往往“几代人生于斯长于斯”，多代从政的家族和“官商一家亲”现象屡见不鲜。无论家族代际人才或商政互利人才，都只能在美国金钱政治、寡头政治和家族政治的生态格局下畸型发展，人才长期处于相对固化状态，使得各方面德才兼备的进步人士难以通过公平竞争进入国家领导和管理体系。</w:t>
      </w:r>
    </w:p>
    <w:p w14:paraId="07524B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七，执政党能否依照宪法法律规定实现对国家事务的领导。执政党要实现科学执政、民主执政，就必须将治国之重器——宪法法律作为执政规矩。也只有将宪法法律作为执政党自身的执政规矩，才能确保国家治理中的人民主体地位，为人民当家作主提供制度化、法律化保障。</w:t>
      </w:r>
    </w:p>
    <w:p w14:paraId="5C0875B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不断推动依法执政与科学执政、民主执政的辩证统一，形成了我们党执政方式的基本框架。依法治国是党领导人民治理国家的基本方略，事实上我国已形成并不断完善以宪法为统帅的中国特色社会主义法律体系。坚持法治国家、法治政府、法治社会一体化建设，使全社会法治水平不断提高。我国所有的重大立法决策均经民主酝酿、遵从民主程序，充分体现决策的科学性。这意味着我们党能够依照宪法法律规定实现对国家各项事务的领导，切实防止“以权代法、以权压法”现象。我国坚持党的领导、人民当家作主、依法治国有机统一于中国特色社会主义民主政治伟大实践，极大促进了国家治理中的民主法治、公平正义。</w:t>
      </w:r>
    </w:p>
    <w:p w14:paraId="7E17F9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主张议会和政府都应是作为“经济人”（自私人）的公务员和各个利益集团公开博弈的场所。这必然导致美国执政党和各利益集团将党派和利益集团的理性凌驾于公共理性之上，为自身特殊利益、短期利益而罔顾人民的公共利益和长远利益，无法完全依照宪法法律规定实现对国家各项事务的领导。此外，美国宪法法律与我国宪法法律在文本语言上的高度精炼性和注定性不同，具有相当大的弹性和灵活性，无法为执政党依照宪法法律规定实现对国家各项事务的领导提供精准性的保障。</w:t>
      </w:r>
    </w:p>
    <w:p w14:paraId="0C8419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八，权力运用能否得到有效制约和监督。对国家权力建立起全方位的制约和监督体系，是保障国家制度有效运行的必然要素，也是保证民主绩效的重要方式。党的二十大报告强调：“从群众中来、到群众中去，始终保持同人民群众的血肉联系，始终接受人民批评和监督。”[2](p.70)只有当权力得到有效制约和监督，才能避免人民当家作主落空。我国遵循人民对权力制约与监督的愿望和要求，通过自我反思、比较借鉴和累积创造，逐渐构建起权力制约与监督民主运行机制。比如，我国通过权力制约与监督的制度化安排，形成了一套党领导、全覆盖、高效率的权力制约与监督体系（含独创的各级巡视制度），集不敢腐的惩戒机制、不能腐的防范机制、不易腐的保障机制为一体的权力纠错纠偏机制。我国通过权力制约与监督的教育化提升，使掌握权力的公职人员对先进的思想道德和严肃的党纪国法“入耳、入脑、入心、入行”。我国通过权力制约与监督的内省化感知，让掌握权力的公职人员敢于、勇于开展批评和自我批评，使其对权利运行知敬畏、存戒惧、守底线，并习惯于在制约和监督的环境下生活和工作。</w:t>
      </w:r>
    </w:p>
    <w:p w14:paraId="445E1C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的民主框架，权力运行的制约和监督主要靠“三权分立”，将每隔几年举行一次全国性选举作为权利运行制约和监督的“风向标”。这套制约和监督机制表面貌似严密、系统，但在长期实施中已暴露出制约和监督的局限性和低效性。这是因为，美国掌握着权力的精英长期被垄断财团资助捐赠和游说交换，权力制约和监督的科学高效体制机制严重妨碍其获得利益。即使全国性选举启动的政党轮替机会也必须建立在多年选举周期基础上。全国性选举也只是在资本主义局部领域和碎片化政策范围内进行的有限改良，无法做到彻底有效的制约和监督。</w:t>
      </w:r>
    </w:p>
    <w:p w14:paraId="15FD51C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（二）四个“要看、更要看”的判断标准</w:t>
      </w:r>
    </w:p>
    <w:p w14:paraId="77C50CC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关于民主政治的四个“要看、更要看”和八个“能否”判断标准，是全面客观地阐明一个国家政治制度是否民主有效的创新性理论。这从中美两国的民主制度特点和实践效果的对比分析中可以得到印证。</w:t>
      </w:r>
    </w:p>
    <w:p w14:paraId="2F07829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要看人民有没有投票权，更要看人民有没有广泛参与权。人民拥有投票权，便可以自由表达个人意愿，但仅拥有投票权还远远不够，因为“一人一票”的政治平等权实现了，但政治上其他不平等、经济权利和社会权利上的不平等依然可能存在。要解决这一问题，人民必须有全方位、广泛的参与权。参与权是民主政治的内核，正如习近平所指出，“人民只有投票的权利而没有广泛参与的权利，人民只有在投票时被唤醒、投票后就进入休眠期，这样的民主是形式主义的”。[20](p.14)可见，通过依法选举和选举以外的制度和方式，人民能够深度参与国家和社会生活的管理，这一点十分重要。</w:t>
      </w:r>
    </w:p>
    <w:p w14:paraId="69A314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宪法规定：“中华人民共和国年满十八周岁的公民，不分民族、种族、性别、职业、家庭出身、宗教信仰、教育程度、财产状况、居住期限，都有选举权和被选举权。”[21](p.6)这就规定了我国人民拥有表达个人意志的投票权，彰显了“选举是民主的起点”。[22]此外，我国人民依照法律规定拥有通过各种途径和形式如协商、专家座谈会、征询会、论证会、恳谈会、听证会、评议会、议事会、批评、建议等，参与管理国家和社会事务、经济和文化事业的权利。可见，我国人民不仅拥有投票权，而且拥有广泛参与权，不仅能够有效表达自己的民主意志，而且能够充分行使“民主选举、民主协商、民主决策、民主管理、民主监督”[2](p.37)的民主参与权利。</w:t>
      </w:r>
    </w:p>
    <w:p w14:paraId="74AE6D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将民主的着力点聚焦竞争性选举，核心程序是“被统治的人民通过竞争性的选举来挑选领袖”。[23](p.4)可见，美国重视自由式选举民主而轻视治理式参与民主。这种用程序正义代替结果正义的民主实践实质是流于形式且虚假的。这种虚假民主主要是因为美国的选举民主是资本权力到政治权力的转化器，本质上遵循资本逻辑，遭受各大财团和利益集团金钱侵蚀和操控，使得选举成功者之后的政治走向被金钱势力和集团私利左右，难以代表最广大人民的意愿和利益。因此，美国只有投票权的形式民主，而没有广泛参与权的实质民主，美国“选举拜物教”的民主是残缺不全的民主。</w:t>
      </w:r>
    </w:p>
    <w:p w14:paraId="02F0C9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要看人民在选举过程中得到了什么口头许诺，更要看选举后这些承诺实现了多少。选举过程中是否需要对人民进行口头许诺？答案是肯定的，因为这不仅是一个惯例，而且是一个未来计划、亲民态度。然而，选举过程中的口头许诺并不是民主的终点，民主的终点应是化口头许诺为实实在在的行动。正如习近平所言，“如果人民只有在投票时被唤醒、投票后就进入休眠期，只有竞选时聆听天花乱坠的口号、竞选后就毫无发言权，只有拉票时受宠、选举后就被冷落，这样的民主不是真正的民主”。[1]可见，党和政府在持续回应人民需要和诉求并做出口头许诺的同时必须付诸有效行动。</w:t>
      </w:r>
    </w:p>
    <w:p w14:paraId="2A74A5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党和政府对人民利益和需要的诉求具有较强的持续关注度和连续回应性。这是因为，我国民主环节完整，涵盖民主选举、民主协商、民主决策、民主管理、民主监督五大民主全过程，形成了系统的“全链条民主”，克服了重选举、轻管理的“半拉子民主”，[24]避免了“选时有民主，选完无民主”的不良现象和尴尬局面。这就保证了我国人民在选举过程中得到的口头许诺能够在选举后得以实现。</w:t>
      </w:r>
    </w:p>
    <w:p w14:paraId="4E5DF23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在“党争民主”[25]制度下，“选举政党”[26](pp.858-859)在选举许诺和落实上往往是“口头上的巨人，行动上的矮子”。美国候选人仅通过新闻性、表演性和观赏性的“作秀”获得选票，真正关心的不是一般选民诉求，而是在背后支持自己的“金主”和利益集团的诉求（与封建专制社会的“皇权政治”不同，资本专制的社会是“金权政治”“资权政治”）。美国人民在选举过程中能够轻易获得漫天的口头许诺，但在选举后这些许诺便被抛诸脑后，成为“空头支票”，只能有限、间歇地被兑现。</w:t>
      </w:r>
    </w:p>
    <w:p w14:paraId="16953A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要看制度和法律规定了什么样的政治程序和政治规则，更要看这些制度和法律是不是真正得到执行。制度和法律的生命力，不仅在于拥有基本的政治程序和政治规则，而且在于最终被圆满执行和取得实效。只有这样，制度和法律才能落地、开花和结果。制度和法律若只是摆设而无法得到有效贯彻落实，那就只能形同虚设。</w:t>
      </w:r>
    </w:p>
    <w:p w14:paraId="096BC0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国制度和法律规定的政治程序和政治规则非常严格。如从全国人民代表和全国人民代表大会的全过程选举程序和形式看，采取首先考察和征求意见、预备选举、无记名投票选举和差额选举等多种形式，既有自上而下的组织提名，也有自下而上的自由选举，是实实在在的程序民主。且我国制度和法律在“民主集中制”原则下具有“举国性”的执行优势。正如邓小平所言，“社会主义国家有个最大的优越性，就是干一件事情，一下决心，一做出决议，就立即执行，不受牵扯”。[27](p.1195)因此，我国制度和法律真正做到了民意的表达和民意的满足相统一，实现了我国执行力强、总绩效高的“强高民主”。</w:t>
      </w:r>
    </w:p>
    <w:p w14:paraId="1E557B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的制度和法律规定，虽规定了政治程序和政治规则，但较中国的政治程序和政治规则薄弱得多。这是因为，建立在生产资料私有制基础上的各国利益集团和主要政党，往往会通过博弈或合谋，有意无意弱化某些政治程序和规则，制度和法律的执行目的和结果大相径庭，往往会出现总统行政当局提出的议案被国会否决、参议员提出的议案被众议院否决、共和党提出的议案被民主党否决的情况。这其中任何一个否决都可能导致合理合法议案拖延甚至出现“议而不决，决而不行”的状况，美国政府因财政危机导致关门便是例证。这表明一项议案在势如水火、经常处于白热化状态的政治生态环境下无法真正落地，最终只能沦为“空头支票”。</w:t>
      </w:r>
    </w:p>
    <w:p w14:paraId="0EE3BB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四，要看权力运行规则和程序是否民主，更要看权力是否真正受到人民监督和制约。人民是国家一切权力的合法来源。既然权力源于人民，是人民所赋予的，那么权力只能用来为人民服务、为人民谋利、对人民负责，人民也应作为权力监督和制约的主体。正如毛泽东所告诫的，“只有让人民来监督政府，政府才不敢松懈。只有人人起来负责，才不会人亡政息”。[28](p.611)无数历史经验表明，权力受到的有效监督和制约越少，滥用和腐败的可能性就越大。权力只有真正受到人民全方位严格监督制约，才能更好发挥其重要作用。</w:t>
      </w:r>
    </w:p>
    <w:p w14:paraId="5AA221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经过多年实践和改进，我国已基本实现权力运行规则和程序的制度化、程序化、规范化，进一步增强了权力的生命力和反腐性，同时防止权力“无笼子”和被关进“资本笼子”。如制定和实施掌权者不敢贪腐、贪腐者必被严惩、齐打击受贿行贿的制度，完善了党务公开、政务公开、司法公开和各领域办事公开制度，健全了质询、问责、经济责任审计、引咎辞职、罢免等制度。同时，提出和实施了党内监督、政内监督、人大监督、民主党派监督、无党派人士监督、科学家监督、群众监督等制度，让权力得以在阳光下运行。我国这种多层面系统监督和制约，继承发扬了执政党、全国人大和人民政府密切联系群众及自我批评和自我革命的优良传统作风。</w:t>
      </w:r>
    </w:p>
    <w:p w14:paraId="4D32B6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反观美国权力运行，尽管拥有自身的规则和程序，然而含有社会各界极少数掌权者的阶级、党派和个人私利，并为防止他们内讧与内耗而制定某些权力游戏与权力运行规则。美国的权力难以受人民广泛监督和有力制约。在不少“游说公司”和竞选捐款封顶或不封顶等政治情景中，美国大多数人民成为被各界资产阶级精英用提前编排好的民主剧情操控的“木偶”，配合演绎一部部美国民主“好戏”，无法有效监督制约资本主义的虚假民主行为。②</w:t>
      </w:r>
    </w:p>
    <w:p w14:paraId="4D09B6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BD5BA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20D7AB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二十大通过的《中国共产党章程》总结性地写道：“坚持和完善人民代表大会制度、中国共产党领导的多党合作和政治协商制度、民族区域自治制度以及基层群众自治制度。发展更加广泛、更加充分、更加健全的全过程人民民主，推进协商民主广泛多层制度化发展，切实保障人民管理国家事务和社会事务、管理经济和文化事业的权利。”[18](p.7)面对世界百年未有之大变局，破除以美国为代表的“西式民主迷信”“西式制度崇拜”，③我们必须坚定不移高举全过程人民民主的科学旗帜，坚持和完善人民代表大会制度；充分发挥好人民代表大会制度作为实现我国全过程人民民主的重要制度载体作用，尤其要加强立法的主导作用和督察的实效作用，让制度优势更好转化为国家治理效能，从而更好凝聚民心、汇集民意，共同续写中国特色社会主义政治文明的新篇章，共同为人类政治文明的发展进步作出新的巨大贡献。</w:t>
      </w:r>
    </w:p>
    <w:p w14:paraId="748CC1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95C0B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注释：</w:t>
      </w:r>
    </w:p>
    <w:p w14:paraId="205E11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①西方政治学界、经济学界和社会学心理学界对身份政治的研究如火如荼，但正如英国著名马克思主义学者霍布斯鲍姆院士所指出，“左派（引者注：马克思主义的左派）的政治规划是普遍主义的：它是为全人类......，身份政治本质上并非为了所有人，而只是为了某个特定群体的成员。这就是左派为什么不能以身份政治为基础的理由。它有一个更广泛的议程”。[英]埃里克·霍布斯鲍姆：《身份政治与左派》，易晖译，《汉语言文学研究》2017年第1期。可见，美国统治阶级推动的身份政治只会使人民群众及其根本利益的碎片化，而并非真正体现“应然民主”的广泛参与性。</w:t>
      </w:r>
    </w:p>
    <w:p w14:paraId="6D18DC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532A80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②据美国知名公关公司爱德曼2022年全球信任度调查，在中国、美国、俄罗斯、英国、法国、德国、意大利、日本、韩国、印度、巴西、南非、澳大利亚、加拿大、西班牙、荷兰、爱尔兰、墨西哥、哥伦比亚、阿根廷、马来西亚、新加坡、印度尼西亚、泰国、沙特、阿联酋、肯尼亚、尼日利亚共28个主要国家36000人的民调答卷中，对中国的信任度83%，列世界第一，而对美国的信任度只有43%，美国与英国、西班牙、日本、德国等一起，被列为民众都不信任的国家；中国人对本国政府的信任度91%，位居世界第一，而美国人对本国政府的信任度只有39%。</w:t>
      </w:r>
    </w:p>
    <w:p w14:paraId="239270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转引自2022年1月18日EdelmanTrustBarometer.TRU_INS.https://www.edelman.com/trust/2022-trust-barometer。</w:t>
      </w:r>
    </w:p>
    <w:p w14:paraId="5C9C6B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AA7AD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③就连美国福山教授也被迫承认：“美国的体制存在明显的问题：金钱对政治的影响、与‘民主’选择日益错位的选举制度的影响，但美国似乎无法进行自我改革。”详见参考消息网http://column.cankaoxiaoxi.com/2022/0109/2465437.shtml，2022年1月9日报道：斯坦福大学弗里曼-斯波格利国际问题研究所高级研究员弗朗西斯·福山1月5日在美国《纽约时报》网站上发表文章称，美式民主持续衰落，信誉扫地。</w:t>
      </w:r>
    </w:p>
    <w:p w14:paraId="45D3271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0D1A0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参考文献：</w:t>
      </w:r>
    </w:p>
    <w:p w14:paraId="77AD7E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[1]习近平.习近平在中央人大工作会议上发表重要讲话强调坚持和完善人民代表大会制度不断发展全过程人民民主[N].人民日报,2021-10-14.</w:t>
      </w:r>
    </w:p>
    <w:p w14:paraId="29E2EB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[2]习近平.高举中国特色社会主义伟大旗帜为全面建设社会主义现代化国家而团结奋斗——在中国共产党第二十次全国代表大会上的报告[M].北京:人民出版社,2022.</w:t>
      </w:r>
    </w:p>
    <w:p w14:paraId="5DF2969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[3]习近平谈治国理政(第2卷)[M].北京:外文出版社,2017.</w:t>
      </w:r>
    </w:p>
    <w:p w14:paraId="0A7A29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[4]习近平.在庆祝全国人民代表大会成立60周年大会上的讲话[M].北京:人民出版社,2014.</w:t>
      </w:r>
    </w:p>
    <w:p w14:paraId="325E8F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[5]李林.历史为什么选择,人民为什么选择——论中国宪法中的人民代表大会制度[J].人民论坛·学术前沿,2013,(15).</w:t>
      </w:r>
    </w:p>
    <w:p w14:paraId="4DD9D6C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[6][美]托马斯·戴伊,哈蒙·齐格勒等.民主的反讽:美国精英政治是如何运作的[M].林朝晖译,北京:新华出版社,2016.</w:t>
      </w:r>
    </w:p>
    <w:p w14:paraId="461AB0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[7]魏南枝.寡头政治化的美式民主[J].世界社会主义研究,2022,(1).</w:t>
      </w:r>
    </w:p>
    <w:p w14:paraId="185207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[8]汪洋.更好发挥人民代表大会制度在实现全过程人民民主中重要制度载体的作用[J].中国人大,2022,(2).</w:t>
      </w:r>
    </w:p>
    <w:p w14:paraId="52664D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[9]马克思恩格斯选集(第1卷)[M].北京:人民出版社,2012.</w:t>
      </w:r>
    </w:p>
    <w:p w14:paraId="69A8506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[10]习近平.在中央政协工作会议暨庆祝中国人民政治协商会议成立70周年大会上的讲话[M].北京:人民出版社,2019.</w:t>
      </w:r>
    </w:p>
    <w:p w14:paraId="1038C75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[11]宋才发《.宪法》为全过程人民民主提供法治保障[J].河北大学学报(哲学社会科学版),2022,(1).</w:t>
      </w:r>
    </w:p>
    <w:p w14:paraId="0EA932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[12]信春鹰.人民代表大会制度是实现我国全过程人民民主的重要制度载体[N].人民日报,2021-11-15.</w:t>
      </w:r>
    </w:p>
    <w:p w14:paraId="5AA0EF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[13]中共中央文献研究室编.十二大以来重要文献选编(下)[M].北京:人民出版社,1988.</w:t>
      </w:r>
    </w:p>
    <w:p w14:paraId="32B2DA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[14]中华人民共和国宪法[M].北京:人民出版社,2014.</w:t>
      </w:r>
    </w:p>
    <w:p w14:paraId="74FA690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[15]习近平.在中央人大工作会议上的讲话[J].求是,2022,(5).</w:t>
      </w:r>
    </w:p>
    <w:p w14:paraId="403207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[16]胡锦涛文选(第2卷)[M].北京:人民出版社,2016.</w:t>
      </w:r>
    </w:p>
    <w:p w14:paraId="1A35200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[17][美]卡罗尔·佩特曼.参与和民主理论[M].陈尧译,上海:上海人民出版社,2006.</w:t>
      </w:r>
    </w:p>
    <w:p w14:paraId="2AB914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[18]中国共产党章程[M].北京:人民出版社,2022.</w:t>
      </w:r>
    </w:p>
    <w:p w14:paraId="00EC78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[19]胡鞍钢“.特色决策民主”为中国引路[N].人民日报,2013-03-18.</w:t>
      </w:r>
    </w:p>
    <w:p w14:paraId="52B4F6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[20]习近平.在庆祝中国人民政治协商会议成立65周年大会上的讲话[M].北京:人民出版社,2014.</w:t>
      </w:r>
    </w:p>
    <w:p w14:paraId="516C8D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[21]全国人民代表大会常务委员会法制工作委员会编.中华人民共和国法律(2018年版)[M].北京:人民出版社,2018.</w:t>
      </w:r>
    </w:p>
    <w:p w14:paraId="0D0C97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[22]韩旭.全新政治制度的世界政治文明意义[J].人民论坛,2022,(2).</w:t>
      </w:r>
    </w:p>
    <w:p w14:paraId="0D0AB9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[23][美]塞缪尔·亨廷顿.第三波——20世纪后期民主化浪潮[M].刘军宁译,上海:上海三联书店,1998.</w:t>
      </w:r>
    </w:p>
    <w:p w14:paraId="013905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[24]任中平.村级民主发展的路径､障碍及对策思考——以四川省为例[J].探索,2010,(1).</w:t>
      </w:r>
    </w:p>
    <w:p w14:paraId="088DB8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[25]杨光斌.民主的“亚里士多德定律”[N].北京日报,2021-03-15.</w:t>
      </w:r>
    </w:p>
    <w:p w14:paraId="4E325B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[26][美]加里布埃尔·A.阿尔蒙德等.当代比较政治学:世界视野[M].杨红伟等译,上海:上海人民出版社,2010.</w:t>
      </w:r>
    </w:p>
    <w:p w14:paraId="42DE3B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[27]中共中央文献研究室编.邓小平年谱(1975—1997)(下卷)[M].北京:中央文献出版社,2004.</w:t>
      </w:r>
    </w:p>
    <w:p w14:paraId="2458B8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[28]中共中央文献研究室编.毛泽东年谱(1893—1949)(中册)[M].北京:中央文献出版社,2013</w:t>
      </w:r>
    </w:p>
    <w:p w14:paraId="5FFD39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DFCD3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lang w:val="en-US" w:eastAsia="zh-CN"/>
        </w:rPr>
        <w:t>原载《毛泽东邓小平理论研究》2022年第10期，第二作者为孙绍勇</w:t>
      </w:r>
      <w:r>
        <w:rPr>
          <w:rFonts w:hint="eastAsia"/>
          <w:sz w:val="24"/>
          <w:lang w:eastAsia="zh-CN"/>
        </w:rPr>
        <w:t>）</w:t>
      </w:r>
    </w:p>
    <w:p w14:paraId="48FE91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13CFE7FE">
      <w:pPr>
        <w:pStyle w:val="3"/>
        <w:bidi w:val="0"/>
        <w:rPr>
          <w:rFonts w:hint="eastAsia"/>
        </w:rPr>
      </w:pPr>
      <w:bookmarkStart w:id="96" w:name="_Toc448765462"/>
      <w:bookmarkStart w:id="97" w:name="_Toc1816311196"/>
      <w:bookmarkStart w:id="98" w:name="_Toc537979981"/>
      <w:bookmarkStart w:id="99" w:name="_Toc20799"/>
      <w:bookmarkStart w:id="100" w:name="_Toc51728104"/>
      <w:bookmarkStart w:id="101" w:name="_Toc338852108"/>
      <w:r>
        <w:rPr>
          <w:rFonts w:hint="eastAsia"/>
          <w:lang w:val="en-US" w:eastAsia="zh-CN"/>
        </w:rPr>
        <w:t>9以党的自我革命交出人民满意答卷</w:t>
      </w:r>
      <w:r>
        <w:rPr>
          <w:rFonts w:hint="eastAsia"/>
          <w:lang w:val="en-US" w:eastAsia="zh-CN"/>
        </w:rPr>
        <w:br w:type="textWrapping"/>
      </w:r>
      <w:r>
        <w:rPr>
          <w:rFonts w:hint="eastAsia"/>
          <w:lang w:val="en-US" w:eastAsia="zh-CN"/>
        </w:rPr>
        <w:t>——学习党的二十大精神体会</w:t>
      </w:r>
      <w:bookmarkEnd w:id="96"/>
      <w:bookmarkEnd w:id="97"/>
      <w:bookmarkEnd w:id="98"/>
      <w:bookmarkEnd w:id="99"/>
      <w:bookmarkEnd w:id="100"/>
      <w:bookmarkEnd w:id="101"/>
    </w:p>
    <w:p w14:paraId="063F8B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自我革命是党的二十大提出的新时代全面从严治党的重要主题。习近平总书记在报告中指出：</w:t>
      </w:r>
      <w:bookmarkStart w:id="102" w:name="_Hlk113286666"/>
      <w:bookmarkStart w:id="103" w:name="_Hlk113268523"/>
      <w:r>
        <w:rPr>
          <w:rFonts w:hint="eastAsia"/>
          <w:sz w:val="24"/>
        </w:rPr>
        <w:t>“经过不懈努力，党找到了自我革命这一跳出治乱兴衰历史周期率的第二个答案，确保党永远不变质、不变色、不变味。”“我们党作为世界上最大的马克思主义执政党，要始终赢得人民拥护、巩固长期执政地位，必须时刻保持解决大党独有难题的清醒和坚定。”“全党必须牢记，全面从严治党永远在路上，党的自我革命永远在路上，决不能有松劲歇脚、疲劳厌战的情绪，必须持之以恒推进全面从严治党，深入推进新时代党的建设新的伟大工程，以党的自我革命引领社会革命。”</w:t>
      </w:r>
      <w:bookmarkEnd w:id="102"/>
      <w:bookmarkEnd w:id="103"/>
      <w:r>
        <w:rPr>
          <w:rFonts w:hint="eastAsia"/>
          <w:sz w:val="24"/>
        </w:rPr>
        <w:t>（以下没有注明出处的习近平语录引文均出自二十大报告）总书记的重要讲话既阐明了党的自我革命的重大意义和特殊重要性，又说明了党的自我革命引领社会革命的内在联系和巨大作用。贯彻落实党的二十大精神，全体共产党员不仅要以壮士断腕的勇气、刮骨疗伤的胆识、坚韧不拔的意志、坚定不移的毅力自觉投身党的自我革命，接受自我革命的考验和洗礼；而且要以党的自我革命引领社会革命，推动社会进步和中华民族伟大复兴。党的自我革命是一项复杂的系统工程，涉及方方面面，本文仅就反对和抵制错误思潮和不良工作作风对党的腐蚀侵袭，“确保党永远不变质、不变色、不变味。”谈点学习体会。</w:t>
      </w:r>
    </w:p>
    <w:p w14:paraId="4D97FE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一、要反对和抵制背离立党为公的个人主义</w:t>
      </w:r>
    </w:p>
    <w:p w14:paraId="596D87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以权谋私是对执政为民的根本否定，其思想根源是个人主义。巩固党的执政地位，必须坚决反对和批判背离立党为公的个人主义、自由主义和极端个人主义，坚定执政为民、立党为公信念。习近平总书记在二十大报告中指出：“为民造福是立党为公、执政为民的本质要求。”他告诫党员领导干部：“不做以权谋私、蜕化变质的贪官”。</w:t>
      </w:r>
      <w:r>
        <w:rPr>
          <w:rStyle w:val="20"/>
          <w:rFonts w:hint="eastAsia" w:ascii="宋体" w:hAnsi="宋体" w:eastAsia="宋体" w:cs="宋体"/>
          <w:color w:val="000000"/>
          <w:kern w:val="0"/>
          <w:sz w:val="24"/>
          <w:szCs w:val="21"/>
        </w:rPr>
        <w:footnoteReference w:id="71"/>
      </w:r>
      <w:r>
        <w:rPr>
          <w:rFonts w:hint="eastAsia"/>
          <w:sz w:val="24"/>
        </w:rPr>
        <w:t>“当官发财两条道，当官就不要发财，发财就不要当官。”</w:t>
      </w:r>
      <w:r>
        <w:rPr>
          <w:rStyle w:val="20"/>
          <w:rFonts w:hint="eastAsia" w:ascii="宋体" w:hAnsi="宋体" w:eastAsia="宋体" w:cs="宋体"/>
          <w:color w:val="000000"/>
          <w:kern w:val="0"/>
          <w:sz w:val="24"/>
          <w:szCs w:val="21"/>
        </w:rPr>
        <w:footnoteReference w:id="72"/>
      </w:r>
      <w:r>
        <w:rPr>
          <w:rFonts w:hint="eastAsia"/>
          <w:sz w:val="24"/>
        </w:rPr>
        <w:t>毛泽东说：“共产党员无论何时何地都不应以个人利益放在第一位，而应以个人利益服从于民族的和人民群众的利益。”</w:t>
      </w:r>
      <w:r>
        <w:rPr>
          <w:rStyle w:val="20"/>
          <w:rFonts w:hint="eastAsia" w:ascii="宋体" w:hAnsi="宋体" w:eastAsia="宋体" w:cs="宋体"/>
          <w:color w:val="000000"/>
          <w:kern w:val="0"/>
          <w:sz w:val="24"/>
          <w:szCs w:val="21"/>
        </w:rPr>
        <w:footnoteReference w:id="73"/>
      </w:r>
    </w:p>
    <w:p w14:paraId="18A9D7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在长期执政过程中，总会有一些党员特别是领导干部经不起市场经济的考验，在拜金主义、利己主义、个人主义和享乐主义影响下，经不起名利诱惑、挡不住资本围猎，利用执政权力捞起个人好处，侵占国家和人民利益，使执政为民蜕变为以权谋私，背离党的初心使命。习近平总书记指出:“我们党没有任何自己特殊的利益，这是我们党敢于自我革命的勇气之源、底气所在。正因为无私，才能本着彻底的唯物主义精神经常检视自身、常思己过，才能摆脱一切利益集团、权势团体、特权阶层的围猎腐蚀，并向党内被这些集团、团体、阶层所裹挟的人开刀。”</w:t>
      </w:r>
      <w:r>
        <w:rPr>
          <w:rStyle w:val="20"/>
          <w:rFonts w:hint="eastAsia" w:ascii="宋体" w:hAnsi="宋体" w:eastAsia="宋体" w:cs="宋体"/>
          <w:color w:val="000000"/>
          <w:kern w:val="0"/>
          <w:sz w:val="24"/>
          <w:szCs w:val="21"/>
        </w:rPr>
        <w:footnoteReference w:id="74"/>
      </w:r>
      <w:r>
        <w:rPr>
          <w:rFonts w:hint="eastAsia"/>
          <w:sz w:val="24"/>
        </w:rPr>
        <w:t>以权谋私是执政党最容易发生的腐败，反腐败永远是党一刻也不能松懈的长期任务。总书记在二十大报告中强调指出:“反腐败是最彻底的自我革命。只要存在腐败问题产生的土壤和条件，反腐败斗争就一刻不能停，必须永远吹冲锋号，坚持不敢腐、不能腐、不想腐一体推进，以零容忍态度反腐惩恶，决不姑息。”</w:t>
      </w:r>
    </w:p>
    <w:p w14:paraId="0E636C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巩固党的执政地位，交出人民满意的第二份答卷，在全党深入开展党的宗旨教育，教育广大党员特是领导干部自觉坚持立党为公，执政为民，要按照总书记在报告中提出“坚决破除特权思想和特权行为”的要求，远离以权谋私，克服个人主义，把执政权力百分之百用在全心全意为人民服务上。</w:t>
      </w:r>
    </w:p>
    <w:p w14:paraId="2CDA12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二、要反对和抵制脱离群众的官僚主义</w:t>
      </w:r>
    </w:p>
    <w:p w14:paraId="18E953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官僚主义的要害是脱离群众，脱离群众必将动摇党的执政地位。“脱离群众”是党面临的“四大危险”中最大危险。习近平尖锐指出：“官僚主义同我们党的性质宗旨和优良作风格格不入，是我们党的大敌、人民的大敌。”</w:t>
      </w:r>
      <w:r>
        <w:rPr>
          <w:rStyle w:val="20"/>
          <w:rFonts w:hint="eastAsia" w:ascii="宋体" w:hAnsi="宋体" w:eastAsia="宋体" w:cs="宋体"/>
          <w:color w:val="000000"/>
          <w:kern w:val="0"/>
          <w:sz w:val="24"/>
          <w:szCs w:val="21"/>
        </w:rPr>
        <w:footnoteReference w:id="75"/>
      </w:r>
      <w:r>
        <w:rPr>
          <w:rFonts w:hint="eastAsia"/>
          <w:sz w:val="24"/>
        </w:rPr>
        <w:t>历史和现实表明，党的最大政治优势是密切联系群众，最牢固的执政根基在群众，脱离群众是党执政的最大危险。党的自我革命必须反对和批判脱离群众的官僚主义。</w:t>
      </w:r>
    </w:p>
    <w:p w14:paraId="2878D4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官僚主义是执政党的顽疾。执政意味着拥有权力和地位，容易使部分党员特别是领导干部滋生官僚主义。其具体表现，或长官意志，脱离群众；或高高在上，衙门作风；或裙带关系，</w:t>
      </w:r>
      <w:r>
        <w:rPr>
          <w:rFonts w:hint="eastAsia"/>
          <w:sz w:val="24"/>
        </w:rPr>
        <w:fldChar w:fldCharType="begin"/>
      </w:r>
      <w:r>
        <w:rPr>
          <w:rFonts w:hint="eastAsia"/>
          <w:sz w:val="24"/>
        </w:rPr>
        <w:instrText xml:space="preserve"> HYPERLINK "https://baike.baidu.com/item/%E5%AE%98%E5%AE%98%E7%9B%B8%E6%8A%A4/7153780?fromModule=lemma_inlink" \t "_blank" </w:instrText>
      </w:r>
      <w:r>
        <w:rPr>
          <w:rFonts w:hint="eastAsia"/>
          <w:sz w:val="24"/>
        </w:rPr>
        <w:fldChar w:fldCharType="separate"/>
      </w:r>
      <w:r>
        <w:rPr>
          <w:rFonts w:hint="eastAsia"/>
          <w:sz w:val="24"/>
        </w:rPr>
        <w:t>官官相护</w:t>
      </w:r>
      <w:r>
        <w:rPr>
          <w:rFonts w:hint="eastAsia"/>
          <w:sz w:val="24"/>
        </w:rPr>
        <w:fldChar w:fldCharType="end"/>
      </w:r>
      <w:r>
        <w:rPr>
          <w:rFonts w:hint="eastAsia"/>
          <w:sz w:val="24"/>
        </w:rPr>
        <w:t>；或独断专行、专横跋扈；或不关心群众疾苦，由公仆变官爷；或不贯彻双百方针，过度管理学术等等。习近平指出：“官僚主义实质是封建残余思想作祟，根源是官本位思想严重、权力观扭曲，做官当老爷，高高在上，脱离群众，脱离实际。”</w:t>
      </w:r>
      <w:r>
        <w:rPr>
          <w:rStyle w:val="20"/>
          <w:rFonts w:hint="eastAsia" w:ascii="宋体" w:hAnsi="宋体" w:eastAsia="宋体" w:cs="宋体"/>
          <w:color w:val="000000"/>
          <w:kern w:val="0"/>
          <w:sz w:val="24"/>
          <w:szCs w:val="21"/>
        </w:rPr>
        <w:footnoteReference w:id="76"/>
      </w:r>
      <w:r>
        <w:rPr>
          <w:rFonts w:hint="eastAsia"/>
          <w:sz w:val="24"/>
        </w:rPr>
        <w:t>官僚主义扭曲党群关系和干群关系。毛泽东说：“党群关系好比鱼水关系。如果党群关系搞不好，社会主义制度就不可能建成；社会主义制度建成了，也不可能巩固。”</w:t>
      </w:r>
      <w:r>
        <w:rPr>
          <w:rStyle w:val="20"/>
          <w:rFonts w:hint="eastAsia" w:ascii="宋体" w:hAnsi="宋体" w:eastAsia="宋体" w:cs="宋体"/>
          <w:color w:val="000000"/>
          <w:kern w:val="0"/>
          <w:sz w:val="24"/>
          <w:szCs w:val="21"/>
        </w:rPr>
        <w:footnoteReference w:id="77"/>
      </w:r>
    </w:p>
    <w:p w14:paraId="30173A5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冰冻三尺，非一日之寒。”克服官僚主义决非一日之功，既要打突击战，又要打持久战、整体战。自我革命必须在反对和克服官僚主义上警钟长鸣、常抓不懈。习近平指出：“反对官僚主义，要着重解决在人民群众利益上不维护、不作为的问题，教育引导党员、干部深入实际、深入基层、深入群众，坚持民主集中制，虚心向群众学习，真心对群众负责，热心为群众服务，诚心接受群众监督，坚决整治消极应付、推诿扯皮、侵害群众利益的问题。”</w:t>
      </w:r>
      <w:r>
        <w:rPr>
          <w:rStyle w:val="20"/>
          <w:rFonts w:hint="eastAsia" w:ascii="宋体" w:hAnsi="宋体" w:eastAsia="宋体" w:cs="宋体"/>
          <w:color w:val="000000"/>
          <w:kern w:val="0"/>
          <w:sz w:val="24"/>
          <w:szCs w:val="21"/>
        </w:rPr>
        <w:footnoteReference w:id="78"/>
      </w:r>
      <w:r>
        <w:rPr>
          <w:rFonts w:hint="eastAsia"/>
          <w:sz w:val="24"/>
        </w:rPr>
        <w:t>克服官僚主义关键是要密切党群关系和干群关系，领导干部放下架子、扑下身子，深入到群众中去，倾听群众呼声，了解群众疾苦，为群众办实事、做好事、解难事，一切以群众满意不满意、高兴不高兴为标准，夯实党执政的群众根基。总书记在党的二十大报告中号召“全党要坚持全心全意为人民服务的根本宗旨，树牢群众观点，贯彻群众路线，尊重人民首创精神，坚持一切为了人民、一切依靠人民，从群众中来、到群众中去，始终保持同人民群众的血肉联系，始终接受人民批评和监督，始终同人民同呼吸、共命运、心连心，不断巩固全国各族人民大团结，加强海内外中华儿女大团结，形成同心共圆中国梦的强大合力。”</w:t>
      </w:r>
      <w:r>
        <w:rPr>
          <w:rFonts w:hint="eastAsia"/>
          <w:sz w:val="24"/>
          <w:lang w:val="en-US" w:eastAsia="zh-CN"/>
        </w:rPr>
        <w:t>2022年12月26日至27日，习近平在中共中央政治局召开民主生活会会上特别指出：“要营造环境、创造条件，鼓励基层干部群众讲真话、讲实话、讲心里话。对发现的问题，要分析原因、找准症结，有针对性地研究解决。”</w:t>
      </w:r>
    </w:p>
    <w:p w14:paraId="29C2AA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三、要反对和抵制背离马克思主义的错误思潮</w:t>
      </w:r>
    </w:p>
    <w:p w14:paraId="7F0BCA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是马克思主义政党。马克思主义是党的指导思想。党的自我革命要旗帜鲜明坚持马克思主义，反对违背马克思主义的错误思潮，如历史虚无主义、新自由主义、“普世价值论”、消费主义、享乐主义、教条主义、经验主义等。习近平总书记在党的二十大报告中指出：“马克思主义是我们立党立国、兴党兴国的根本指导思想。实践告诉我们，中国共产党为什么能，中国特色社会主义为什么好，归根到底是马克思主义行，是中国化时代化的马克思主义行。拥有马克思主义科学理论指导是我们党坚定信仰信念、把握历史主动的根本所在。”中国共产党为什么能够长期保持思想上的先进性和纯洁性始终走在时代前列；为什么能够克服任何艰难险阻，战胜一切困难始终立于不败之地；为什么能深得人民群众拥护长期执政，最根本的是中国共产党有科学理论马克思主义作指导。西方敌对势力很清楚，搞垮中国共产党先要搞乱指导思想，党员不信马列执政地位难保。党的自我革命要高度警惕和防止反马克思主义的错误思潮腐蚀党员干部思想，动摇党的指导思想。应清醒认识到，党的9000多万党员和上百万干部对马克思主义的态度并不完全一样：有的崇洋媚外，笃信西方思想；有的不信马列信迷信，不信科学信鬼神；有的读马列浅尝辄止，误读曲解基本原理；有的热衷灯红酒绿不读书，连马列ABC都不明白，等等。党员干部马克思主义理论素养下降和信仰动摇是影响党长期执政的思想危机。怎样防止和克服党长期执政的思想危机，总书记在党的二十大报告中指出：“中国共产党人深刻认识到，只有把马克思主义基本原理同中国具体实际相结合、同中华优秀传统文化相结合，坚持运用辩证唯物主义和历史唯物主义，才能正确回答时代和实践提出的重大问题，才能始终保持马克思主义的蓬勃生机和旺盛活力。”</w:t>
      </w:r>
    </w:p>
    <w:p w14:paraId="17CE8B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百年历史和现实告诉我们，什么时候把马克思主义的基本原理同中国的具体实际和传统文化有机结合，中国的革命、改造、改革和建设就成功、党的执政地位就巩固，什么时候偏离或违背马克思主义，革命、改造、改革和建设就遭受挫折甚至失败，党的执政地位就受到挑战。习近平总书记指出：“认真学习马克思主义理论，这是我们做好一切工作的看家本领，也是领导干部必须普遍掌握的工作制胜的看家本领。”</w:t>
      </w:r>
      <w:r>
        <w:rPr>
          <w:rStyle w:val="20"/>
          <w:rFonts w:hint="eastAsia" w:ascii="宋体" w:hAnsi="宋体" w:eastAsia="宋体" w:cs="宋体"/>
          <w:color w:val="000000"/>
          <w:kern w:val="0"/>
          <w:sz w:val="24"/>
          <w:szCs w:val="21"/>
        </w:rPr>
        <w:footnoteReference w:id="79"/>
      </w:r>
      <w:r>
        <w:rPr>
          <w:rFonts w:hint="eastAsia"/>
          <w:sz w:val="24"/>
        </w:rPr>
        <w:t>“共产党人要把读马克思主义经典、悟马克思主义原理当作一种生活习惯、当作一种精神追求，用经典涵养正气、淬炼思想、升华境界、指导实践。”</w:t>
      </w:r>
      <w:r>
        <w:rPr>
          <w:rStyle w:val="20"/>
          <w:rFonts w:hint="eastAsia" w:ascii="宋体" w:hAnsi="宋体" w:eastAsia="宋体" w:cs="宋体"/>
          <w:color w:val="000000"/>
          <w:kern w:val="0"/>
          <w:sz w:val="24"/>
          <w:szCs w:val="21"/>
        </w:rPr>
        <w:footnoteReference w:id="80"/>
      </w:r>
      <w:r>
        <w:rPr>
          <w:rFonts w:hint="eastAsia"/>
          <w:sz w:val="24"/>
        </w:rPr>
        <w:t>“学习马克思主义基本理论是共产党人的必修课。”</w:t>
      </w:r>
      <w:r>
        <w:rPr>
          <w:rStyle w:val="20"/>
          <w:rFonts w:hint="eastAsia" w:ascii="宋体" w:hAnsi="宋体" w:eastAsia="宋体" w:cs="宋体"/>
          <w:color w:val="000000"/>
          <w:kern w:val="0"/>
          <w:sz w:val="24"/>
          <w:szCs w:val="21"/>
        </w:rPr>
        <w:footnoteReference w:id="81"/>
      </w:r>
      <w:r>
        <w:rPr>
          <w:rFonts w:hint="eastAsia"/>
          <w:sz w:val="24"/>
        </w:rPr>
        <w:t>党的自我革命必须持之以恒在全党大兴马克思主义学习之风，从真学到精通再到会用，使全体共产党员特别是党的高级干部信仰马克思主义，增强对非马克思主义思潮的识别力、免疫力和斗争力，始终保持党理论上清醒、思想上先进、政治上坚定。</w:t>
      </w:r>
    </w:p>
    <w:p w14:paraId="25962E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四、要反对和抵制脱离实际的形式主义</w:t>
      </w:r>
    </w:p>
    <w:p w14:paraId="61D970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形式主义违背和否定党的思想路线，严重损害党的形象和公信力，巩固党的执政地位必须反对和克服形式主义。习近平指出：“形式主义实质是主观主义、功利主义，根源是政绩观错位、责任心缺失，用轰轰烈烈的形式代替了扎扎实实的落实，用光鲜亮丽的外表掩盖了矛盾和问题。”</w:t>
      </w:r>
      <w:r>
        <w:rPr>
          <w:rStyle w:val="20"/>
          <w:rFonts w:hint="eastAsia" w:ascii="宋体" w:hAnsi="宋体" w:eastAsia="宋体" w:cs="宋体"/>
          <w:color w:val="000000"/>
          <w:kern w:val="0"/>
          <w:sz w:val="24"/>
          <w:szCs w:val="21"/>
        </w:rPr>
        <w:footnoteReference w:id="82"/>
      </w:r>
      <w:r>
        <w:rPr>
          <w:rFonts w:hint="eastAsia"/>
          <w:sz w:val="24"/>
        </w:rPr>
        <w:t>其具体表现是欺上瞒下，阳奉阴违，虚多实少，工作漂浮。一是做表面文章，搞花架子，喊口号多于抓落实。二是为了个人升迁，盲目追求政绩，搞劳命伤财的“政绩工程”、“献礼工程”、“面子工程”、“形象工程”。三是热衷于繁文缛节、文山会海、迎来送往。形式主义之害不仅造成“开不完的会议、填不完的表格、迎不完的检查”，使基层干部怨声载道、疲于奔命；而且形式主义政绩工程使政府公信力受损，社会财富浪费，损害老百姓利益。形式主义是实事求是的大敌，其危害足以损害党的形象，动摇党的执政地位。巩固党的执政地位一定要以刀刃向内的自我革命精神，防止和革除形式主义。</w:t>
      </w:r>
    </w:p>
    <w:p w14:paraId="1203B8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指出：“反对形式主义，要着重解决工作不实的问题，教育引导党员、干部改进学风文风会风，改进工作作风，在大是大非面前敢于担当、敢于坚持原则，真正把心思用在干事业上，把功夫下到察实情、出实招、办实事、求实效上。”</w:t>
      </w:r>
      <w:r>
        <w:rPr>
          <w:rStyle w:val="20"/>
          <w:rFonts w:hint="eastAsia" w:ascii="宋体" w:hAnsi="宋体" w:eastAsia="宋体" w:cs="宋体"/>
          <w:color w:val="000000"/>
          <w:kern w:val="0"/>
          <w:sz w:val="24"/>
          <w:szCs w:val="21"/>
        </w:rPr>
        <w:footnoteReference w:id="83"/>
      </w:r>
      <w:r>
        <w:rPr>
          <w:rFonts w:hint="eastAsia"/>
          <w:sz w:val="24"/>
        </w:rPr>
        <w:t>思想路线是党长期执政的思想保证，思想路线出问题，不仅妨碍党的建设，而且影响党的执政地位。实事求是党的思想路线的核心，形式主义是对实事求是的根本否定。党的自我革命必须坚决克服形式主义，坚持一切从实际出发，理论联系实际，实事求是，在实践中检验中真理和发展真理，为贯彻落实党的思想路线扫清障碍。</w:t>
      </w:r>
    </w:p>
    <w:p w14:paraId="4AE8E43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五、要反对和抵制惧怕斗争的“逃避主义”与不敢批评的“好人主义”</w:t>
      </w:r>
    </w:p>
    <w:p w14:paraId="34F33D1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惧怕斗争的“逃避主义”和不敢开展批评的“好人主义”，销解党的优良作风和斗争精神，妨碍党的战斗力提升和执政地位巩固。“逃避主义”和 “好人主义”一样，其实质都是惧怕斗争和批评。习近平总书记指出：“敢于斗争是我们党的鲜明品格。我们党依靠斗争走到今天，也必然要依靠斗争赢得未来。”</w:t>
      </w:r>
      <w:r>
        <w:rPr>
          <w:rStyle w:val="20"/>
          <w:rFonts w:hint="eastAsia" w:ascii="宋体" w:hAnsi="宋体" w:eastAsia="宋体" w:cs="宋体"/>
          <w:color w:val="222222"/>
          <w:sz w:val="24"/>
          <w:szCs w:val="21"/>
        </w:rPr>
        <w:footnoteReference w:id="84"/>
      </w:r>
      <w:r>
        <w:rPr>
          <w:rFonts w:hint="eastAsia"/>
          <w:sz w:val="24"/>
        </w:rPr>
        <w:t>“我们党诞生于国家内忧外患、民族危难之时，一出生就铭刻着斗争的烙印。”批评和自我批评是党的优良作风。毛泽东创造了“团结—批评—团结”解决人民内部矛盾的著名公式，“就是从团结的愿望出发，经过批评或者斗争，分清是非，在新的基础上达到新的团结。”</w:t>
      </w:r>
      <w:r>
        <w:rPr>
          <w:rStyle w:val="20"/>
          <w:rFonts w:hint="eastAsia" w:ascii="宋体" w:hAnsi="宋体" w:eastAsia="宋体" w:cs="宋体"/>
          <w:color w:val="000000"/>
          <w:sz w:val="24"/>
          <w:szCs w:val="21"/>
        </w:rPr>
        <w:footnoteReference w:id="85"/>
      </w:r>
      <w:r>
        <w:rPr>
          <w:rFonts w:hint="eastAsia"/>
          <w:sz w:val="24"/>
        </w:rPr>
        <w:t>中国共产党的历史是一部战胜敌人、克服困难的斗争史、奋斗史。坚持斗争精神、提高斗争本领、增强斗争意识，是我们党战胜敌人、克服困难、巩固执政地位的重要经验。</w:t>
      </w:r>
    </w:p>
    <w:p w14:paraId="466FEC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在长期执政的和平环境下，一部分党员特别是领导干部斗争意志衰退，批评和自我批评优良作风缺失，逃避主义和好人主义思想盛行 。一是面对党内消极腐败现象不敢抵制和斗争，少数单位领导搞腐败，却无人检举揭发、斗争。二是面对党内同志特别是领导的缺点错误不敢开展批评，民主生活会评功摆好、一团和气。三是遇到问题躲着走、遇到矛盾绕道走，“多栽花少栽刺”，害怕得罪人，做“老好人”。习近平总书记强调新征程上面对重大风险，强大对手，“唯有主动迎战、坚决斗争才有生路出路，才能赢得尊严、求得发展，逃避退缩、妥协退让只会招致失败和屈辱，只能是死路一条。”</w:t>
      </w:r>
      <w:r>
        <w:rPr>
          <w:rStyle w:val="20"/>
          <w:rFonts w:hint="eastAsia" w:ascii="宋体" w:hAnsi="宋体" w:eastAsia="宋体" w:cs="宋体"/>
          <w:color w:val="222222"/>
          <w:sz w:val="24"/>
          <w:szCs w:val="21"/>
          <w:shd w:val="clear" w:color="auto" w:fill="FFFFFF"/>
        </w:rPr>
        <w:footnoteReference w:id="86"/>
      </w:r>
      <w:r>
        <w:rPr>
          <w:rFonts w:hint="eastAsia"/>
          <w:sz w:val="24"/>
        </w:rPr>
        <w:t>面对严峻形势、复杂环境和艰巨任务，全体共产党员特别是领导干部要自觉加强斗争历练，在斗争中学会斗争，做敢于斗争、善于斗争的勇士。要坚定斗争意志，不屈不挠、一往无前，决不能碰到一点挫折就畏缩不前，一遇到困难就打退堂鼓。党的自我革命就是要敢于同一切错误思想和不良工作作风作坚决斗争。党的自我革命就是要面对大是大非要敢于亮剑，面对矛盾要敢于迎难而上，面对危机要敢于挺身而出，面对失误要敢于承担责任，面对歪风邪气要敢于批评斗争。要按照总书记在报告要求，“锲而不舍落实中央八项规定精神，抓住“关键少数”以上率下，持续深化纠治 “四风”，重点纠治形式主义、官僚主义，坚决破除特权思想和特权行为。”通过自我革命，弘扬敢于斗争善于斗争精神，发扬批评与自我批评优良作风。</w:t>
      </w:r>
    </w:p>
    <w:p w14:paraId="021D041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eastAsia="宋体"/>
          <w:sz w:val="24"/>
          <w:lang w:val="en-US" w:eastAsia="zh-CN"/>
        </w:rPr>
      </w:pPr>
      <w:r>
        <w:rPr>
          <w:rFonts w:hint="eastAsia"/>
          <w:sz w:val="24"/>
          <w:lang w:val="en-US" w:eastAsia="zh-CN"/>
        </w:rPr>
        <w:t>（原载《思想政治工作研究》2022年第11期，第二作者为谭劲松。）</w:t>
      </w:r>
    </w:p>
    <w:p w14:paraId="48DCA2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816D08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8AC85A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0DF9223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70CEF131">
      <w:pPr>
        <w:pStyle w:val="3"/>
        <w:bidi w:val="0"/>
        <w:rPr>
          <w:rFonts w:hint="default"/>
        </w:rPr>
      </w:pPr>
      <w:bookmarkStart w:id="104" w:name="_Toc20715"/>
      <w:bookmarkStart w:id="105" w:name="_Toc1810850540"/>
      <w:bookmarkStart w:id="106" w:name="_Toc923386797"/>
      <w:bookmarkStart w:id="107" w:name="_Toc438551570"/>
      <w:bookmarkStart w:id="108" w:name="_Toc262229067"/>
      <w:bookmarkStart w:id="109" w:name="_Toc2108230959"/>
      <w:r>
        <w:rPr>
          <w:rFonts w:hint="eastAsia"/>
          <w:lang w:val="en-US" w:eastAsia="zh-CN"/>
        </w:rPr>
        <w:t>10</w:t>
      </w:r>
      <w:r>
        <w:rPr>
          <w:rFonts w:hint="default"/>
        </w:rPr>
        <w:t>从马克思主义基本原理领悟党的二十大精神的几个问题</w:t>
      </w:r>
      <w:bookmarkEnd w:id="104"/>
      <w:bookmarkEnd w:id="105"/>
      <w:bookmarkEnd w:id="106"/>
      <w:bookmarkEnd w:id="107"/>
      <w:bookmarkEnd w:id="108"/>
      <w:bookmarkEnd w:id="109"/>
    </w:p>
    <w:p w14:paraId="2E9DE18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18E488E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6D48649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051093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rPr>
        <w:t>【内容提要】马克思主义哲学、政治经济学和科学社会主义是马克思</w:t>
      </w:r>
      <w:r>
        <w:rPr>
          <w:rFonts w:hint="default" w:ascii="Times New Roman" w:hAnsi="Times New Roman" w:eastAsia="宋体" w:cs="Times New Roman"/>
          <w:spacing w:val="11"/>
          <w:sz w:val="24"/>
          <w:szCs w:val="24"/>
        </w:rPr>
        <w:t>主义庞大思想体系中极为</w:t>
      </w:r>
      <w:r>
        <w:rPr>
          <w:rFonts w:hint="default" w:ascii="Times New Roman" w:hAnsi="Times New Roman" w:eastAsia="宋体" w:cs="Times New Roman"/>
          <w:spacing w:val="12"/>
          <w:sz w:val="24"/>
          <w:szCs w:val="24"/>
        </w:rPr>
        <w:t>重要的三大组成部分。我们应当从马克思主义基本原理视角来</w:t>
      </w:r>
      <w:r>
        <w:rPr>
          <w:rFonts w:hint="default" w:ascii="Times New Roman" w:hAnsi="Times New Roman" w:eastAsia="宋体" w:cs="Times New Roman"/>
          <w:spacing w:val="11"/>
          <w:sz w:val="24"/>
          <w:szCs w:val="24"/>
        </w:rPr>
        <w:t>深刻领悟党的二十大精神及其理论创</w:t>
      </w:r>
      <w:r>
        <w:rPr>
          <w:rFonts w:hint="default" w:ascii="Times New Roman" w:hAnsi="Times New Roman" w:eastAsia="宋体" w:cs="Times New Roman"/>
          <w:spacing w:val="9"/>
          <w:sz w:val="24"/>
          <w:szCs w:val="24"/>
        </w:rPr>
        <w:t>新，并认识到党的二十大报告是对马克思主义基本原理的具体运用和创新性发</w:t>
      </w:r>
      <w:r>
        <w:rPr>
          <w:rFonts w:hint="default" w:ascii="Times New Roman" w:hAnsi="Times New Roman" w:eastAsia="宋体" w:cs="Times New Roman"/>
          <w:spacing w:val="8"/>
          <w:sz w:val="24"/>
          <w:szCs w:val="24"/>
        </w:rPr>
        <w:t>展，主要包括:一是</w:t>
      </w:r>
      <w:r>
        <w:rPr>
          <w:rFonts w:hint="default" w:ascii="Times New Roman" w:hAnsi="Times New Roman" w:eastAsia="宋体" w:cs="Times New Roman"/>
          <w:spacing w:val="11"/>
          <w:sz w:val="24"/>
          <w:szCs w:val="24"/>
        </w:rPr>
        <w:t>在坚持马克思主义世界观和方法论基本原理的基础上，形成了习近平新时代中国特色社会主义思想的世界观和方法论，指引进一步推动新征途</w:t>
      </w:r>
      <w:r>
        <w:rPr>
          <w:rFonts w:hint="default" w:ascii="Times New Roman" w:hAnsi="Times New Roman" w:eastAsia="宋体" w:cs="Times New Roman"/>
          <w:spacing w:val="10"/>
          <w:sz w:val="24"/>
          <w:szCs w:val="24"/>
        </w:rPr>
        <w:t>上党的各项工作;二是坚持马克思主义政治经济学基本</w:t>
      </w:r>
      <w:r>
        <w:rPr>
          <w:rFonts w:hint="default" w:ascii="Times New Roman" w:hAnsi="Times New Roman" w:eastAsia="宋体" w:cs="Times New Roman"/>
          <w:spacing w:val="8"/>
          <w:sz w:val="24"/>
          <w:szCs w:val="24"/>
        </w:rPr>
        <w:t>原理，丰富和发展了中国特色社会主义经济理论，指引进一步</w:t>
      </w:r>
      <w:r>
        <w:rPr>
          <w:rFonts w:hint="default" w:ascii="Times New Roman" w:hAnsi="Times New Roman" w:eastAsia="宋体" w:cs="Times New Roman"/>
          <w:spacing w:val="7"/>
          <w:sz w:val="24"/>
          <w:szCs w:val="24"/>
        </w:rPr>
        <w:t>推动新格局下国民经济的高质量发展;</w:t>
      </w:r>
      <w:r>
        <w:rPr>
          <w:rFonts w:hint="default" w:ascii="Times New Roman" w:hAnsi="Times New Roman" w:eastAsia="宋体" w:cs="Times New Roman"/>
          <w:spacing w:val="10"/>
          <w:sz w:val="24"/>
          <w:szCs w:val="24"/>
        </w:rPr>
        <w:t>三是坚持科学社会主义的基本原则，丰富和发展了中国特色社会主义全面建设</w:t>
      </w:r>
      <w:r>
        <w:rPr>
          <w:rFonts w:hint="default" w:ascii="Times New Roman" w:hAnsi="Times New Roman" w:eastAsia="宋体" w:cs="Times New Roman"/>
          <w:spacing w:val="9"/>
          <w:sz w:val="24"/>
          <w:szCs w:val="24"/>
        </w:rPr>
        <w:t>理论，指引新变局中</w:t>
      </w:r>
      <w:r>
        <w:rPr>
          <w:rFonts w:hint="default" w:ascii="Times New Roman" w:hAnsi="Times New Roman" w:eastAsia="宋体" w:cs="Times New Roman"/>
          <w:spacing w:val="8"/>
          <w:sz w:val="24"/>
          <w:szCs w:val="24"/>
        </w:rPr>
        <w:t>加速社会主义现代化建设。</w:t>
      </w:r>
    </w:p>
    <w:p w14:paraId="1835245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【关键词】马克思主义基本原理党的二十大报告习近平新时代中国特色社会主义思想马</w:t>
      </w:r>
    </w:p>
    <w:p w14:paraId="78A9D8D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rPr>
        <w:t>克思主义政治经济学科学社会主义</w:t>
      </w:r>
    </w:p>
    <w:p w14:paraId="7A80828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6274151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rPr>
        <w:t>党的二十大报告(以下简称“报告”)全面总结了党的十九大以来五年工作和新时代</w:t>
      </w:r>
      <w:r>
        <w:rPr>
          <w:rFonts w:hint="default" w:ascii="Times New Roman" w:hAnsi="Times New Roman" w:eastAsia="宋体" w:cs="Times New Roman"/>
          <w:spacing w:val="7"/>
          <w:sz w:val="24"/>
          <w:szCs w:val="24"/>
        </w:rPr>
        <w:t>十年的伟大变革</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对新时代新征程上全面建设社会主义现代化国</w:t>
      </w:r>
      <w:r>
        <w:rPr>
          <w:rFonts w:hint="default" w:ascii="Times New Roman" w:hAnsi="Times New Roman" w:eastAsia="宋体" w:cs="Times New Roman"/>
          <w:spacing w:val="6"/>
          <w:sz w:val="24"/>
          <w:szCs w:val="24"/>
        </w:rPr>
        <w:t>家作出战略部署</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报告高举旗帜</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立论定向</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10"/>
          <w:sz w:val="24"/>
          <w:szCs w:val="24"/>
        </w:rPr>
        <w:t>把握大势</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总揽全局</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是一篇光辉的马克思主义中国化</w:t>
      </w:r>
      <w:r>
        <w:rPr>
          <w:rFonts w:hint="default" w:ascii="Times New Roman" w:hAnsi="Times New Roman" w:eastAsia="宋体" w:cs="Times New Roman"/>
          <w:spacing w:val="9"/>
          <w:sz w:val="24"/>
          <w:szCs w:val="24"/>
        </w:rPr>
        <w:t>时代化纲领性文献</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需要从多个角度加以理</w:t>
      </w:r>
      <w:r>
        <w:rPr>
          <w:rFonts w:hint="default" w:ascii="Times New Roman" w:hAnsi="Times New Roman" w:eastAsia="宋体" w:cs="Times New Roman"/>
          <w:spacing w:val="12"/>
          <w:sz w:val="24"/>
          <w:szCs w:val="24"/>
        </w:rPr>
        <w:t>解和阐发</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其中从马克思主义基本原理角度加以思考</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不仅有利于深化理解报告的思想理论基础</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8"/>
          <w:sz w:val="24"/>
          <w:szCs w:val="24"/>
        </w:rPr>
        <w:t>而且有利于深化认识报告在理论创新方面的重要意义</w:t>
      </w:r>
      <w:r>
        <w:rPr>
          <w:rFonts w:hint="default" w:ascii="Times New Roman" w:hAnsi="Times New Roman" w:eastAsia="宋体" w:cs="Times New Roman"/>
          <w:spacing w:val="8"/>
          <w:position w:val="1"/>
          <w:sz w:val="24"/>
          <w:szCs w:val="24"/>
        </w:rPr>
        <w:t>。</w:t>
      </w:r>
    </w:p>
    <w:p w14:paraId="7D21E55F">
      <w:pPr>
        <w:pStyle w:val="4"/>
        <w:bidi w:val="0"/>
        <w:rPr>
          <w:rFonts w:hint="default"/>
        </w:rPr>
      </w:pPr>
      <w:r>
        <w:rPr>
          <w:rFonts w:hint="default"/>
        </w:rPr>
        <w:t>一、用马克思主义世界观和方法论领悟中国化马克思主义的最新成果</w:t>
      </w:r>
    </w:p>
    <w:p w14:paraId="6332C47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6D28607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马克思主义世界观是无产阶级的世界观</w:t>
      </w:r>
      <w:r>
        <w:rPr>
          <w:rFonts w:hint="default" w:ascii="Times New Roman" w:hAnsi="Times New Roman" w:eastAsia="宋体" w:cs="Times New Roman"/>
          <w:spacing w:val="2"/>
          <w:position w:val="1"/>
          <w:sz w:val="24"/>
          <w:szCs w:val="24"/>
        </w:rPr>
        <w:t>，</w:t>
      </w:r>
      <w:r>
        <w:rPr>
          <w:rFonts w:hint="default" w:ascii="Times New Roman" w:hAnsi="Times New Roman" w:eastAsia="宋体" w:cs="Times New Roman"/>
          <w:spacing w:val="2"/>
          <w:sz w:val="24"/>
          <w:szCs w:val="24"/>
        </w:rPr>
        <w:t>如列宁指出:</w:t>
      </w:r>
      <w:r>
        <w:rPr>
          <w:rFonts w:hint="default" w:ascii="Times New Roman" w:hAnsi="Times New Roman" w:eastAsia="宋体" w:cs="Times New Roman"/>
          <w:spacing w:val="2"/>
          <w:position w:val="1"/>
          <w:sz w:val="24"/>
          <w:szCs w:val="24"/>
        </w:rPr>
        <w:t>“</w:t>
      </w:r>
      <w:r>
        <w:rPr>
          <w:rFonts w:hint="default" w:ascii="Times New Roman" w:hAnsi="Times New Roman" w:eastAsia="宋体" w:cs="Times New Roman"/>
          <w:spacing w:val="2"/>
          <w:sz w:val="24"/>
          <w:szCs w:val="24"/>
        </w:rPr>
        <w:t>只有马克思</w:t>
      </w:r>
      <w:r>
        <w:rPr>
          <w:rFonts w:hint="default" w:ascii="Times New Roman" w:hAnsi="Times New Roman" w:eastAsia="宋体" w:cs="Times New Roman"/>
          <w:spacing w:val="1"/>
          <w:sz w:val="24"/>
          <w:szCs w:val="24"/>
        </w:rPr>
        <w:t>主义的世界观才正确地反映了</w:t>
      </w:r>
      <w:r>
        <w:rPr>
          <w:rFonts w:hint="default" w:ascii="Times New Roman" w:hAnsi="Times New Roman" w:eastAsia="宋体" w:cs="Times New Roman"/>
          <w:sz w:val="24"/>
          <w:szCs w:val="24"/>
        </w:rPr>
        <w:t>革命无产阶级的利益、观点和文化。”</w:t>
      </w:r>
      <w:r>
        <w:rPr>
          <w:rStyle w:val="20"/>
          <w:rFonts w:hint="default" w:ascii="Times New Roman" w:hAnsi="Times New Roman" w:eastAsia="宋体" w:cs="Times New Roman"/>
          <w:sz w:val="24"/>
          <w:szCs w:val="24"/>
        </w:rPr>
        <w:footnoteReference w:id="87"/>
      </w:r>
      <w:r>
        <w:rPr>
          <w:rFonts w:hint="default" w:ascii="Times New Roman" w:hAnsi="Times New Roman" w:eastAsia="宋体" w:cs="Times New Roman"/>
          <w:sz w:val="24"/>
          <w:szCs w:val="24"/>
        </w:rPr>
        <w:t>世界观是人</w:t>
      </w:r>
      <w:r>
        <w:rPr>
          <w:rFonts w:hint="default" w:ascii="Times New Roman" w:hAnsi="Times New Roman" w:eastAsia="宋体" w:cs="Times New Roman"/>
          <w:spacing w:val="-1"/>
          <w:sz w:val="24"/>
          <w:szCs w:val="24"/>
        </w:rPr>
        <w:t>们对世界(宇宙)总的根本观点，可以为方法论提</w:t>
      </w:r>
      <w:r>
        <w:rPr>
          <w:rFonts w:hint="default" w:ascii="Times New Roman" w:hAnsi="Times New Roman" w:eastAsia="宋体" w:cs="Times New Roman"/>
          <w:spacing w:val="3"/>
          <w:sz w:val="24"/>
          <w:szCs w:val="24"/>
        </w:rPr>
        <w:t>供原则和依据</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方法论是人们认识世界和改造世界的思维理念和行动指南</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有利</w:t>
      </w:r>
      <w:r>
        <w:rPr>
          <w:rFonts w:hint="default" w:ascii="Times New Roman" w:hAnsi="Times New Roman" w:eastAsia="宋体" w:cs="Times New Roman"/>
          <w:spacing w:val="2"/>
          <w:sz w:val="24"/>
          <w:szCs w:val="24"/>
        </w:rPr>
        <w:t>于具体贯彻世界观</w:t>
      </w:r>
      <w:r>
        <w:rPr>
          <w:rFonts w:hint="default" w:ascii="Times New Roman" w:hAnsi="Times New Roman" w:eastAsia="宋体" w:cs="Times New Roman"/>
          <w:spacing w:val="2"/>
          <w:position w:val="1"/>
          <w:sz w:val="24"/>
          <w:szCs w:val="24"/>
        </w:rPr>
        <w:t>。</w:t>
      </w:r>
    </w:p>
    <w:p w14:paraId="5FE65B1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习近平总书记指出:“辩证唯物主义是中国共产党人的世界观和方法论。”</w:t>
      </w:r>
      <w:r>
        <w:rPr>
          <w:rStyle w:val="20"/>
          <w:rFonts w:hint="default" w:ascii="Times New Roman" w:hAnsi="Times New Roman" w:eastAsia="宋体" w:cs="Times New Roman"/>
          <w:spacing w:val="5"/>
          <w:sz w:val="24"/>
          <w:szCs w:val="24"/>
        </w:rPr>
        <w:footnoteReference w:id="88"/>
      </w:r>
      <w:r>
        <w:rPr>
          <w:rFonts w:hint="default" w:ascii="Times New Roman" w:hAnsi="Times New Roman" w:eastAsia="宋体" w:cs="Times New Roman"/>
          <w:spacing w:val="5"/>
          <w:sz w:val="24"/>
          <w:szCs w:val="24"/>
        </w:rPr>
        <w:t>辩证唯物主义和历</w:t>
      </w:r>
      <w:r>
        <w:rPr>
          <w:rFonts w:hint="default" w:ascii="Times New Roman" w:hAnsi="Times New Roman" w:eastAsia="宋体" w:cs="Times New Roman"/>
          <w:spacing w:val="10"/>
          <w:sz w:val="24"/>
          <w:szCs w:val="24"/>
        </w:rPr>
        <w:t>史唯物主义既是世界观又是方法论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作为方法论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辩证唯物主义和历史唯物主义与社会实践以及各</w:t>
      </w:r>
      <w:r>
        <w:rPr>
          <w:rFonts w:hint="default" w:ascii="Times New Roman" w:hAnsi="Times New Roman" w:eastAsia="宋体" w:cs="Times New Roman"/>
          <w:spacing w:val="9"/>
          <w:sz w:val="24"/>
          <w:szCs w:val="24"/>
        </w:rPr>
        <w:t>门科学紧密联系</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科学解答了人与世界</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主体与客体</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思维与存在的关系等问题</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坚持辩证唯物主</w:t>
      </w:r>
      <w:r>
        <w:rPr>
          <w:rFonts w:hint="default" w:ascii="Times New Roman" w:hAnsi="Times New Roman" w:eastAsia="宋体" w:cs="Times New Roman"/>
          <w:spacing w:val="12"/>
          <w:sz w:val="24"/>
          <w:szCs w:val="24"/>
        </w:rPr>
        <w:t>义和历史唯物主义</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要求我们必须坚持世界的物质统一性原理</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社会生活在本质上是实践的原理</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1"/>
          <w:sz w:val="24"/>
          <w:szCs w:val="24"/>
        </w:rPr>
        <w:t>事物的矛盾运动原理</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主观能动性和客观规</w:t>
      </w:r>
      <w:r>
        <w:rPr>
          <w:rFonts w:hint="default" w:ascii="Times New Roman" w:hAnsi="Times New Roman" w:eastAsia="宋体" w:cs="Times New Roman"/>
          <w:spacing w:val="10"/>
          <w:sz w:val="24"/>
          <w:szCs w:val="24"/>
        </w:rPr>
        <w:t>律性的辩证统一原理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树立人民群众是社会变革的决定</w:t>
      </w:r>
      <w:r>
        <w:rPr>
          <w:rFonts w:hint="default" w:ascii="Times New Roman" w:hAnsi="Times New Roman" w:eastAsia="宋体" w:cs="Times New Roman"/>
          <w:spacing w:val="5"/>
          <w:sz w:val="24"/>
          <w:szCs w:val="24"/>
        </w:rPr>
        <w:t>性力量原理等</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同时坚持实事求是方法论</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矛盾分析方法论</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系统</w:t>
      </w:r>
      <w:r>
        <w:rPr>
          <w:rFonts w:hint="default" w:ascii="Times New Roman" w:hAnsi="Times New Roman" w:eastAsia="宋体" w:cs="Times New Roman"/>
          <w:spacing w:val="4"/>
          <w:sz w:val="24"/>
          <w:szCs w:val="24"/>
        </w:rPr>
        <w:t>方法论</w:t>
      </w:r>
      <w:r>
        <w:rPr>
          <w:rFonts w:hint="default" w:ascii="Times New Roman" w:hAnsi="Times New Roman" w:eastAsia="宋体" w:cs="Times New Roman"/>
          <w:spacing w:val="4"/>
          <w:position w:val="1"/>
          <w:sz w:val="24"/>
          <w:szCs w:val="24"/>
        </w:rPr>
        <w:t>、</w:t>
      </w:r>
      <w:r>
        <w:rPr>
          <w:rFonts w:hint="default" w:ascii="Times New Roman" w:hAnsi="Times New Roman" w:eastAsia="宋体" w:cs="Times New Roman"/>
          <w:spacing w:val="4"/>
          <w:sz w:val="24"/>
          <w:szCs w:val="24"/>
        </w:rPr>
        <w:t>群众路线方法论</w:t>
      </w:r>
      <w:r>
        <w:rPr>
          <w:rFonts w:hint="default" w:ascii="Times New Roman" w:hAnsi="Times New Roman" w:eastAsia="宋体" w:cs="Times New Roman"/>
          <w:spacing w:val="4"/>
          <w:position w:val="1"/>
          <w:sz w:val="24"/>
          <w:szCs w:val="24"/>
        </w:rPr>
        <w:t>，</w:t>
      </w:r>
      <w:r>
        <w:rPr>
          <w:rFonts w:hint="default" w:ascii="Times New Roman" w:hAnsi="Times New Roman" w:eastAsia="宋体" w:cs="Times New Roman"/>
          <w:spacing w:val="4"/>
          <w:sz w:val="24"/>
          <w:szCs w:val="24"/>
        </w:rPr>
        <w:t>等等</w:t>
      </w:r>
      <w:r>
        <w:rPr>
          <w:rFonts w:hint="default" w:ascii="Times New Roman" w:hAnsi="Times New Roman" w:eastAsia="宋体" w:cs="Times New Roman"/>
          <w:spacing w:val="4"/>
          <w:position w:val="1"/>
          <w:sz w:val="24"/>
          <w:szCs w:val="24"/>
        </w:rPr>
        <w:t>。</w:t>
      </w:r>
    </w:p>
    <w:p w14:paraId="5F5136C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作为马克思主义政党</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中国共产党百年来从弱到强不断发展壮大</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带</w:t>
      </w:r>
      <w:r>
        <w:rPr>
          <w:rFonts w:hint="default" w:ascii="Times New Roman" w:hAnsi="Times New Roman" w:eastAsia="宋体" w:cs="Times New Roman"/>
          <w:spacing w:val="9"/>
          <w:sz w:val="24"/>
          <w:szCs w:val="24"/>
        </w:rPr>
        <w:t>领人民不断取得革命</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建</w:t>
      </w:r>
      <w:r>
        <w:rPr>
          <w:rFonts w:hint="default" w:ascii="Times New Roman" w:hAnsi="Times New Roman" w:eastAsia="宋体" w:cs="Times New Roman"/>
          <w:spacing w:val="10"/>
          <w:sz w:val="24"/>
          <w:szCs w:val="24"/>
        </w:rPr>
        <w:t>设和改革事业胜利的基本原因</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就是党始终坚持马克思主义的世界观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方</w:t>
      </w:r>
      <w:r>
        <w:rPr>
          <w:rFonts w:hint="default" w:ascii="Times New Roman" w:hAnsi="Times New Roman" w:eastAsia="宋体" w:cs="Times New Roman"/>
          <w:spacing w:val="9"/>
          <w:sz w:val="24"/>
          <w:szCs w:val="24"/>
        </w:rPr>
        <w:t>法论</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以之作为分析和处</w:t>
      </w:r>
      <w:r>
        <w:rPr>
          <w:rFonts w:hint="default" w:ascii="Times New Roman" w:hAnsi="Times New Roman" w:eastAsia="宋体" w:cs="Times New Roman"/>
          <w:spacing w:val="7"/>
          <w:sz w:val="24"/>
          <w:szCs w:val="24"/>
        </w:rPr>
        <w:t>理一切问题的思想理论基础</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改革开放后</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党运用辩证唯物主义和历史唯物主义的世界观和方法论</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11"/>
          <w:sz w:val="24"/>
          <w:szCs w:val="24"/>
        </w:rPr>
        <w:t>形成了社会主义初级阶段理论和社会主义市场经济理论这两大核心理</w:t>
      </w:r>
      <w:r>
        <w:rPr>
          <w:rFonts w:hint="default" w:ascii="Times New Roman" w:hAnsi="Times New Roman" w:eastAsia="宋体" w:cs="Times New Roman"/>
          <w:spacing w:val="10"/>
          <w:sz w:val="24"/>
          <w:szCs w:val="24"/>
        </w:rPr>
        <w:t>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同时运用马克思主义辩证法科学处理物质文明建设与精神文明建设</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四项基本原则与改革开</w:t>
      </w:r>
      <w:r>
        <w:rPr>
          <w:rFonts w:hint="default" w:ascii="Times New Roman" w:hAnsi="Times New Roman" w:eastAsia="宋体" w:cs="Times New Roman"/>
          <w:spacing w:val="9"/>
          <w:sz w:val="24"/>
          <w:szCs w:val="24"/>
        </w:rPr>
        <w:t>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先富与共富</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计划与市场等</w:t>
      </w:r>
      <w:r>
        <w:rPr>
          <w:rFonts w:hint="default" w:ascii="Times New Roman" w:hAnsi="Times New Roman" w:eastAsia="宋体" w:cs="Times New Roman"/>
          <w:spacing w:val="7"/>
          <w:sz w:val="24"/>
          <w:szCs w:val="24"/>
        </w:rPr>
        <w:t>关系</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积极推进改革开放的发展进程</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实现了</w:t>
      </w:r>
      <w:r>
        <w:rPr>
          <w:rFonts w:hint="default" w:ascii="Times New Roman" w:hAnsi="Times New Roman" w:eastAsia="宋体" w:cs="Times New Roman"/>
          <w:spacing w:val="6"/>
          <w:sz w:val="24"/>
          <w:szCs w:val="24"/>
        </w:rPr>
        <w:t>中国跨越式发展的历史转变</w:t>
      </w:r>
      <w:r>
        <w:rPr>
          <w:rFonts w:hint="default" w:ascii="Times New Roman" w:hAnsi="Times New Roman" w:eastAsia="宋体" w:cs="Times New Roman"/>
          <w:spacing w:val="6"/>
          <w:position w:val="1"/>
          <w:sz w:val="24"/>
          <w:szCs w:val="24"/>
        </w:rPr>
        <w:t>。</w:t>
      </w:r>
    </w:p>
    <w:p w14:paraId="76DD417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rPr>
        <w:t>中国特色社会主义进入新时代</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习近平总书记在主持中央政治局集体学习辩证唯物主义和历史</w:t>
      </w:r>
      <w:r>
        <w:rPr>
          <w:rFonts w:hint="default" w:ascii="Times New Roman" w:hAnsi="Times New Roman" w:eastAsia="宋体" w:cs="Times New Roman"/>
          <w:spacing w:val="10"/>
          <w:sz w:val="24"/>
          <w:szCs w:val="24"/>
        </w:rPr>
        <w:t>唯物主义时总结说:</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我们党运用历史唯物主义</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系统</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具体</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历史地分析中国社会运动及其发展规律</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在认识世界和改造世界过程中不断把握规律</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积</w:t>
      </w:r>
      <w:r>
        <w:rPr>
          <w:rFonts w:hint="default" w:ascii="Times New Roman" w:hAnsi="Times New Roman" w:eastAsia="宋体" w:cs="Times New Roman"/>
          <w:spacing w:val="9"/>
          <w:sz w:val="24"/>
          <w:szCs w:val="24"/>
        </w:rPr>
        <w:t>极运用规律</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推动党和人民事业取得了一个</w:t>
      </w:r>
      <w:r>
        <w:rPr>
          <w:rFonts w:hint="default" w:ascii="Times New Roman" w:hAnsi="Times New Roman" w:eastAsia="宋体" w:cs="Times New Roman"/>
          <w:spacing w:val="-13"/>
          <w:w w:val="94"/>
          <w:sz w:val="24"/>
          <w:szCs w:val="24"/>
        </w:rPr>
        <w:t>又一个胜利。”</w:t>
      </w:r>
      <w:r>
        <w:rPr>
          <w:rStyle w:val="20"/>
          <w:rFonts w:hint="default" w:ascii="Times New Roman" w:hAnsi="Times New Roman" w:eastAsia="宋体" w:cs="Times New Roman"/>
          <w:spacing w:val="-13"/>
          <w:w w:val="94"/>
          <w:sz w:val="24"/>
          <w:szCs w:val="24"/>
        </w:rPr>
        <w:footnoteReference w:id="89"/>
      </w:r>
      <w:r>
        <w:rPr>
          <w:rFonts w:hint="default" w:ascii="Times New Roman" w:hAnsi="Times New Roman" w:eastAsia="宋体" w:cs="Times New Roman"/>
          <w:spacing w:val="10"/>
          <w:sz w:val="24"/>
          <w:szCs w:val="24"/>
        </w:rPr>
        <w:t>在新时代中国特色社会主义建设中，“我们党要团结带领人民实现‘两个一百年’奋斗目标</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实现中华民族伟大复兴的中国梦</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必须不断</w:t>
      </w:r>
      <w:r>
        <w:rPr>
          <w:rFonts w:hint="default" w:ascii="Times New Roman" w:hAnsi="Times New Roman" w:eastAsia="宋体" w:cs="Times New Roman"/>
          <w:spacing w:val="9"/>
          <w:sz w:val="24"/>
          <w:szCs w:val="24"/>
        </w:rPr>
        <w:t>接受马克思主义哲学智慧的滋养</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更加自觉</w:t>
      </w:r>
      <w:r>
        <w:rPr>
          <w:rFonts w:hint="default" w:ascii="Times New Roman" w:hAnsi="Times New Roman" w:eastAsia="宋体" w:cs="Times New Roman"/>
          <w:spacing w:val="7"/>
          <w:sz w:val="24"/>
          <w:szCs w:val="24"/>
        </w:rPr>
        <w:t>地坚持和运用辩证唯物主义世界观和方法论”</w:t>
      </w:r>
      <w:r>
        <w:rPr>
          <w:rStyle w:val="20"/>
          <w:rFonts w:hint="default" w:ascii="Times New Roman" w:hAnsi="Times New Roman" w:eastAsia="宋体" w:cs="Times New Roman"/>
          <w:spacing w:val="7"/>
          <w:sz w:val="24"/>
          <w:szCs w:val="24"/>
        </w:rPr>
        <w:footnoteReference w:id="90"/>
      </w:r>
      <w:r>
        <w:rPr>
          <w:rFonts w:hint="default" w:ascii="Times New Roman" w:hAnsi="Times New Roman" w:eastAsia="宋体" w:cs="Times New Roman"/>
          <w:spacing w:val="7"/>
          <w:sz w:val="24"/>
          <w:szCs w:val="24"/>
        </w:rPr>
        <w:t>。在具体实践中，党运用辩证唯物主义和历史唯物主</w:t>
      </w:r>
      <w:r>
        <w:rPr>
          <w:rFonts w:hint="default" w:ascii="Times New Roman" w:hAnsi="Times New Roman" w:eastAsia="宋体" w:cs="Times New Roman"/>
          <w:spacing w:val="11"/>
          <w:sz w:val="24"/>
          <w:szCs w:val="24"/>
        </w:rPr>
        <w:t>义对新时代中国特色社会主义主要矛盾作出</w:t>
      </w:r>
      <w:r>
        <w:rPr>
          <w:rFonts w:hint="default" w:ascii="Times New Roman" w:hAnsi="Times New Roman" w:eastAsia="宋体" w:cs="Times New Roman"/>
          <w:spacing w:val="10"/>
          <w:sz w:val="24"/>
          <w:szCs w:val="24"/>
        </w:rPr>
        <w:t>科学判断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正确处理政府与市场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公有制经济与非公有</w:t>
      </w:r>
      <w:r>
        <w:rPr>
          <w:rFonts w:hint="default" w:ascii="Times New Roman" w:hAnsi="Times New Roman" w:eastAsia="宋体" w:cs="Times New Roman"/>
          <w:spacing w:val="7"/>
          <w:sz w:val="24"/>
          <w:szCs w:val="24"/>
        </w:rPr>
        <w:t>制经济</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开放与安全</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局部和全局</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当前和长远</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国内与国际等方面的关系</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在此基础上</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党的二</w:t>
      </w:r>
      <w:r>
        <w:rPr>
          <w:rFonts w:hint="default" w:ascii="Times New Roman" w:hAnsi="Times New Roman" w:eastAsia="宋体" w:cs="Times New Roman"/>
          <w:spacing w:val="11"/>
          <w:sz w:val="24"/>
          <w:szCs w:val="24"/>
        </w:rPr>
        <w:t>十大报告明确指出:</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我们坚持以马克思主义为指导</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是要运用其科学的世界观和方法论解决中国</w:t>
      </w:r>
      <w:r>
        <w:rPr>
          <w:rFonts w:hint="default" w:ascii="Times New Roman" w:hAnsi="Times New Roman" w:eastAsia="宋体" w:cs="Times New Roman"/>
          <w:spacing w:val="5"/>
          <w:sz w:val="24"/>
          <w:szCs w:val="24"/>
        </w:rPr>
        <w:t>的问题</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而不是要背诵和重复其具体结论和词句</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继续推进实践基础上的理论创新</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首先要把握</w:t>
      </w:r>
      <w:r>
        <w:rPr>
          <w:rFonts w:hint="default" w:ascii="Times New Roman" w:hAnsi="Times New Roman" w:eastAsia="宋体" w:cs="Times New Roman"/>
          <w:spacing w:val="7"/>
          <w:sz w:val="24"/>
          <w:szCs w:val="24"/>
        </w:rPr>
        <w:t>好新时代中国特色社会主义思想的世界观和方法论，坚持好、运用好贯穿其中的立场观点方法。”</w:t>
      </w:r>
      <w:r>
        <w:rPr>
          <w:rStyle w:val="20"/>
          <w:rFonts w:hint="default" w:ascii="Times New Roman" w:hAnsi="Times New Roman" w:eastAsia="宋体" w:cs="Times New Roman"/>
          <w:spacing w:val="7"/>
          <w:sz w:val="24"/>
          <w:szCs w:val="24"/>
        </w:rPr>
        <w:footnoteReference w:id="91"/>
      </w:r>
      <w:r>
        <w:rPr>
          <w:rFonts w:hint="default" w:ascii="Times New Roman" w:hAnsi="Times New Roman" w:eastAsia="宋体" w:cs="Times New Roman"/>
          <w:spacing w:val="9"/>
          <w:sz w:val="24"/>
          <w:szCs w:val="24"/>
        </w:rPr>
        <w:t>不仅如此，报告还精辟地概括了以“六个必须坚持”为主要内容的习近平新时代中国特色社会主义</w:t>
      </w:r>
      <w:r>
        <w:rPr>
          <w:rFonts w:hint="default" w:ascii="Times New Roman" w:hAnsi="Times New Roman" w:eastAsia="宋体" w:cs="Times New Roman"/>
          <w:spacing w:val="10"/>
          <w:sz w:val="24"/>
          <w:szCs w:val="24"/>
        </w:rPr>
        <w:t>思想的世界观和方法论:必须坚持人民至上</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必须坚持自</w:t>
      </w:r>
      <w:r>
        <w:rPr>
          <w:rFonts w:hint="default" w:ascii="Times New Roman" w:hAnsi="Times New Roman" w:eastAsia="宋体" w:cs="Times New Roman"/>
          <w:spacing w:val="9"/>
          <w:sz w:val="24"/>
          <w:szCs w:val="24"/>
        </w:rPr>
        <w:t>信自立</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必须坚持守正创新</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必须坚持问</w:t>
      </w:r>
      <w:r>
        <w:rPr>
          <w:rFonts w:hint="default" w:ascii="Times New Roman" w:hAnsi="Times New Roman" w:eastAsia="宋体" w:cs="Times New Roman"/>
          <w:spacing w:val="8"/>
          <w:sz w:val="24"/>
          <w:szCs w:val="24"/>
        </w:rPr>
        <w:t>题导向、必须坚持系统观念、必须坚持胸怀天下。“六个必须坚持”是对马克思主义世界观、方法</w:t>
      </w:r>
      <w:r>
        <w:rPr>
          <w:rFonts w:hint="default" w:ascii="Times New Roman" w:hAnsi="Times New Roman" w:eastAsia="宋体" w:cs="Times New Roman"/>
          <w:spacing w:val="6"/>
          <w:sz w:val="24"/>
          <w:szCs w:val="24"/>
        </w:rPr>
        <w:t>论的继承和发展</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据此</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我们应该重点把握以下几个方面</w:t>
      </w:r>
      <w:r>
        <w:rPr>
          <w:rFonts w:hint="default" w:ascii="Times New Roman" w:hAnsi="Times New Roman" w:eastAsia="宋体" w:cs="Times New Roman"/>
          <w:spacing w:val="6"/>
          <w:position w:val="1"/>
          <w:sz w:val="24"/>
          <w:szCs w:val="24"/>
        </w:rPr>
        <w:t>。</w:t>
      </w:r>
    </w:p>
    <w:p w14:paraId="7E331B1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第一</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坚持历史唯物主义关于人民创造历史的基本原理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这要求我们坚守马克思主义政党的价值追求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无产阶级政党奋斗的价值追求就是为了维护人民</w:t>
      </w:r>
      <w:r>
        <w:rPr>
          <w:rFonts w:hint="default" w:ascii="Times New Roman" w:hAnsi="Times New Roman" w:eastAsia="宋体" w:cs="Times New Roman"/>
          <w:spacing w:val="9"/>
          <w:sz w:val="24"/>
          <w:szCs w:val="24"/>
        </w:rPr>
        <w:t>的利益</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重点是广大劳动人民的利益</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人</w:t>
      </w:r>
      <w:r>
        <w:rPr>
          <w:rFonts w:hint="default" w:ascii="Times New Roman" w:hAnsi="Times New Roman" w:eastAsia="宋体" w:cs="Times New Roman"/>
          <w:spacing w:val="10"/>
          <w:sz w:val="24"/>
          <w:szCs w:val="24"/>
        </w:rPr>
        <w:t>民性是马克思主义的本质属性</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这是马克思主义政党区别于其他政党的根本标</w:t>
      </w:r>
      <w:r>
        <w:rPr>
          <w:rFonts w:hint="default" w:ascii="Times New Roman" w:hAnsi="Times New Roman" w:eastAsia="宋体" w:cs="Times New Roman"/>
          <w:spacing w:val="9"/>
          <w:sz w:val="24"/>
          <w:szCs w:val="24"/>
        </w:rPr>
        <w:t>志</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对此</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马克思恩</w:t>
      </w:r>
      <w:r>
        <w:rPr>
          <w:rFonts w:hint="default" w:ascii="Times New Roman" w:hAnsi="Times New Roman" w:eastAsia="宋体" w:cs="Times New Roman"/>
          <w:spacing w:val="4"/>
          <w:sz w:val="24"/>
          <w:szCs w:val="24"/>
        </w:rPr>
        <w:t>格斯在《共产党宣言》中阐明了共产党“没有任何同整个无产阶级的利</w:t>
      </w:r>
      <w:r>
        <w:rPr>
          <w:rFonts w:hint="default" w:ascii="Times New Roman" w:hAnsi="Times New Roman" w:eastAsia="宋体" w:cs="Times New Roman"/>
          <w:spacing w:val="3"/>
          <w:sz w:val="24"/>
          <w:szCs w:val="24"/>
        </w:rPr>
        <w:t>益不同的利益”</w:t>
      </w:r>
      <w:r>
        <w:rPr>
          <w:rStyle w:val="20"/>
          <w:rFonts w:hint="default" w:ascii="Times New Roman" w:hAnsi="Times New Roman" w:eastAsia="宋体" w:cs="Times New Roman"/>
          <w:spacing w:val="3"/>
          <w:sz w:val="24"/>
          <w:szCs w:val="24"/>
        </w:rPr>
        <w:footnoteReference w:id="92"/>
      </w:r>
      <w:r>
        <w:rPr>
          <w:rFonts w:hint="default" w:ascii="Times New Roman" w:hAnsi="Times New Roman" w:eastAsia="宋体" w:cs="Times New Roman"/>
          <w:spacing w:val="3"/>
          <w:sz w:val="24"/>
          <w:szCs w:val="24"/>
        </w:rPr>
        <w:t>,习近平总</w:t>
      </w:r>
      <w:r>
        <w:rPr>
          <w:rFonts w:hint="default" w:ascii="Times New Roman" w:hAnsi="Times New Roman" w:eastAsia="宋体" w:cs="Times New Roman"/>
          <w:spacing w:val="5"/>
          <w:sz w:val="24"/>
          <w:szCs w:val="24"/>
        </w:rPr>
        <w:t>书记在纪念马克思诞辰200周年大会上的讲话中精</w:t>
      </w:r>
      <w:r>
        <w:rPr>
          <w:rFonts w:hint="default" w:ascii="Times New Roman" w:hAnsi="Times New Roman" w:eastAsia="宋体" w:cs="Times New Roman"/>
          <w:spacing w:val="4"/>
          <w:sz w:val="24"/>
          <w:szCs w:val="24"/>
        </w:rPr>
        <w:t>辟地概括为:“马克思主义博大精深，归根到底就是一句话，为人类求解放。”</w:t>
      </w:r>
      <w:r>
        <w:rPr>
          <w:rStyle w:val="20"/>
          <w:rFonts w:hint="default" w:ascii="Times New Roman" w:hAnsi="Times New Roman" w:eastAsia="宋体" w:cs="Times New Roman"/>
          <w:spacing w:val="4"/>
          <w:sz w:val="24"/>
          <w:szCs w:val="24"/>
        </w:rPr>
        <w:footnoteReference w:id="93"/>
      </w:r>
      <w:r>
        <w:rPr>
          <w:rFonts w:hint="default" w:ascii="Times New Roman" w:hAnsi="Times New Roman" w:eastAsia="宋体" w:cs="Times New Roman"/>
          <w:spacing w:val="4"/>
          <w:sz w:val="24"/>
          <w:szCs w:val="24"/>
        </w:rPr>
        <w:t>对于中国共产党来说，党的初心使命就是为中国人民谋</w:t>
      </w:r>
      <w:r>
        <w:rPr>
          <w:rFonts w:hint="default" w:ascii="Times New Roman" w:hAnsi="Times New Roman" w:eastAsia="宋体" w:cs="Times New Roman"/>
          <w:spacing w:val="3"/>
          <w:sz w:val="24"/>
          <w:szCs w:val="24"/>
        </w:rPr>
        <w:t>幸福、为中华</w:t>
      </w:r>
      <w:r>
        <w:rPr>
          <w:rFonts w:hint="default" w:ascii="Times New Roman" w:hAnsi="Times New Roman" w:eastAsia="宋体" w:cs="Times New Roman"/>
          <w:spacing w:val="11"/>
          <w:sz w:val="24"/>
          <w:szCs w:val="24"/>
        </w:rPr>
        <w:t>民族谋复兴</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党之所以与人民群众始终保持血肉</w:t>
      </w:r>
      <w:r>
        <w:rPr>
          <w:rFonts w:hint="default" w:ascii="Times New Roman" w:hAnsi="Times New Roman" w:eastAsia="宋体" w:cs="Times New Roman"/>
          <w:spacing w:val="10"/>
          <w:sz w:val="24"/>
          <w:szCs w:val="24"/>
        </w:rPr>
        <w:t>联系就在于党始终代表人民的根本利益</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与之相适</w:t>
      </w:r>
      <w:r>
        <w:rPr>
          <w:rFonts w:hint="default" w:ascii="Times New Roman" w:hAnsi="Times New Roman" w:eastAsia="宋体" w:cs="Times New Roman"/>
          <w:spacing w:val="9"/>
          <w:sz w:val="24"/>
          <w:szCs w:val="24"/>
        </w:rPr>
        <w:t>应</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党的理论之所以保持生命力</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被人民所认同</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就在于党的</w:t>
      </w:r>
      <w:r>
        <w:rPr>
          <w:rFonts w:hint="default" w:ascii="Times New Roman" w:hAnsi="Times New Roman" w:eastAsia="宋体" w:cs="Times New Roman"/>
          <w:spacing w:val="8"/>
          <w:sz w:val="24"/>
          <w:szCs w:val="24"/>
        </w:rPr>
        <w:t>理论始终秉持人民立场</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坚持人民至</w:t>
      </w:r>
      <w:r>
        <w:rPr>
          <w:rFonts w:hint="default" w:ascii="Times New Roman" w:hAnsi="Times New Roman" w:eastAsia="宋体" w:cs="Times New Roman"/>
          <w:spacing w:val="9"/>
          <w:sz w:val="24"/>
          <w:szCs w:val="24"/>
        </w:rPr>
        <w:t>上的价值取向</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党的十八大以来</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习近平总书记明确提出“人民对美好生活的向</w:t>
      </w:r>
      <w:r>
        <w:rPr>
          <w:rFonts w:hint="default" w:ascii="Times New Roman" w:hAnsi="Times New Roman" w:eastAsia="宋体" w:cs="Times New Roman"/>
          <w:spacing w:val="8"/>
          <w:sz w:val="24"/>
          <w:szCs w:val="24"/>
        </w:rPr>
        <w:t>往</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就是我们的奋</w:t>
      </w:r>
      <w:r>
        <w:rPr>
          <w:rFonts w:hint="default" w:ascii="Times New Roman" w:hAnsi="Times New Roman" w:eastAsia="宋体" w:cs="Times New Roman"/>
          <w:spacing w:val="-8"/>
          <w:sz w:val="24"/>
          <w:szCs w:val="24"/>
        </w:rPr>
        <w:t>斗目标”</w:t>
      </w:r>
      <w:r>
        <w:rPr>
          <w:rStyle w:val="20"/>
          <w:rFonts w:hint="default" w:ascii="Times New Roman" w:hAnsi="Times New Roman" w:eastAsia="宋体" w:cs="Times New Roman"/>
          <w:spacing w:val="-8"/>
          <w:sz w:val="24"/>
          <w:szCs w:val="24"/>
        </w:rPr>
        <w:footnoteReference w:id="94"/>
      </w:r>
      <w:r>
        <w:rPr>
          <w:rFonts w:hint="default" w:ascii="Times New Roman" w:hAnsi="Times New Roman" w:eastAsia="宋体" w:cs="Times New Roman"/>
          <w:spacing w:val="8"/>
          <w:sz w:val="24"/>
          <w:szCs w:val="24"/>
        </w:rPr>
        <w:t>,一直强调“党的根基在人民、党的力量在人民”</w:t>
      </w:r>
      <w:r>
        <w:rPr>
          <w:rStyle w:val="20"/>
          <w:rFonts w:hint="default" w:ascii="Times New Roman" w:hAnsi="Times New Roman" w:eastAsia="宋体" w:cs="Times New Roman"/>
          <w:spacing w:val="8"/>
          <w:sz w:val="24"/>
          <w:szCs w:val="24"/>
        </w:rPr>
        <w:footnoteReference w:id="95"/>
      </w:r>
      <w:r>
        <w:rPr>
          <w:rFonts w:hint="default" w:ascii="Times New Roman" w:hAnsi="Times New Roman" w:eastAsia="宋体" w:cs="Times New Roman"/>
          <w:spacing w:val="8"/>
          <w:sz w:val="24"/>
          <w:szCs w:val="24"/>
        </w:rPr>
        <w:t>。在推动新时代经济社会</w:t>
      </w:r>
      <w:r>
        <w:rPr>
          <w:rFonts w:hint="default" w:ascii="Times New Roman" w:hAnsi="Times New Roman" w:eastAsia="宋体" w:cs="Times New Roman"/>
          <w:spacing w:val="7"/>
          <w:sz w:val="24"/>
          <w:szCs w:val="24"/>
        </w:rPr>
        <w:t>发展中，他</w:t>
      </w:r>
      <w:r>
        <w:rPr>
          <w:rFonts w:hint="default" w:ascii="Times New Roman" w:hAnsi="Times New Roman" w:eastAsia="宋体" w:cs="Times New Roman"/>
          <w:spacing w:val="11"/>
          <w:sz w:val="24"/>
          <w:szCs w:val="24"/>
        </w:rPr>
        <w:t>鲜明地提出以人民为中心的发展思想:</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只有坚持以人民为中心的发展</w:t>
      </w:r>
      <w:r>
        <w:rPr>
          <w:rFonts w:hint="default" w:ascii="Times New Roman" w:hAnsi="Times New Roman" w:eastAsia="宋体" w:cs="Times New Roman"/>
          <w:spacing w:val="10"/>
          <w:sz w:val="24"/>
          <w:szCs w:val="24"/>
        </w:rPr>
        <w:t>思想</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坚持发展为了人民</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3"/>
          <w:sz w:val="24"/>
          <w:szCs w:val="24"/>
        </w:rPr>
        <w:t>发展依靠人民、发展成果由人民共享，才会有正确的发展观、现代化观。”</w:t>
      </w:r>
      <w:r>
        <w:rPr>
          <w:rStyle w:val="20"/>
          <w:rFonts w:hint="default" w:ascii="Times New Roman" w:hAnsi="Times New Roman" w:eastAsia="宋体" w:cs="Times New Roman"/>
          <w:spacing w:val="3"/>
          <w:sz w:val="24"/>
          <w:szCs w:val="24"/>
        </w:rPr>
        <w:footnoteReference w:id="96"/>
      </w:r>
      <w:r>
        <w:rPr>
          <w:rFonts w:hint="default" w:ascii="Times New Roman" w:hAnsi="Times New Roman" w:eastAsia="宋体" w:cs="Times New Roman"/>
          <w:spacing w:val="3"/>
          <w:sz w:val="24"/>
          <w:szCs w:val="24"/>
        </w:rPr>
        <w:t>在实践中，党带领人民</w:t>
      </w:r>
      <w:r>
        <w:rPr>
          <w:rFonts w:hint="default" w:ascii="Times New Roman" w:hAnsi="Times New Roman" w:eastAsia="宋体" w:cs="Times New Roman"/>
          <w:spacing w:val="7"/>
          <w:sz w:val="24"/>
          <w:szCs w:val="24"/>
        </w:rPr>
        <w:t>全面建成小康社会</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打赢新冠肺炎疫情防控阻击战等</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6"/>
          <w:sz w:val="24"/>
          <w:szCs w:val="24"/>
        </w:rPr>
        <w:t>充分展现了中国共产党人民至上的价值追求</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11"/>
          <w:sz w:val="24"/>
          <w:szCs w:val="24"/>
        </w:rPr>
        <w:t>在对外交往中</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针对西方资本主义国家奉行的</w:t>
      </w:r>
      <w:r>
        <w:rPr>
          <w:rFonts w:hint="default" w:ascii="Times New Roman" w:hAnsi="Times New Roman" w:eastAsia="宋体" w:cs="Times New Roman"/>
          <w:spacing w:val="10"/>
          <w:sz w:val="24"/>
          <w:szCs w:val="24"/>
        </w:rPr>
        <w:t>霸权主义</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单边主义以及国际社会治理面临的诸多难</w:t>
      </w:r>
      <w:r>
        <w:rPr>
          <w:rFonts w:hint="default" w:ascii="Times New Roman" w:hAnsi="Times New Roman" w:eastAsia="宋体" w:cs="Times New Roman"/>
          <w:spacing w:val="11"/>
          <w:sz w:val="24"/>
          <w:szCs w:val="24"/>
        </w:rPr>
        <w:t>题</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习近平总书记明确提出构建人类命运共同体的中国方案</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人</w:t>
      </w:r>
      <w:r>
        <w:rPr>
          <w:rFonts w:hint="default" w:ascii="Times New Roman" w:hAnsi="Times New Roman" w:eastAsia="宋体" w:cs="Times New Roman"/>
          <w:spacing w:val="10"/>
          <w:sz w:val="24"/>
          <w:szCs w:val="24"/>
        </w:rPr>
        <w:t>类命运共同体理念坚守和弘扬全人</w:t>
      </w:r>
      <w:r>
        <w:rPr>
          <w:rFonts w:hint="default" w:ascii="Times New Roman" w:hAnsi="Times New Roman" w:eastAsia="宋体" w:cs="Times New Roman"/>
          <w:spacing w:val="9"/>
          <w:sz w:val="24"/>
          <w:szCs w:val="24"/>
        </w:rPr>
        <w:t>类共同价值</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寻求人类最大公约数</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塑造以合作共赢为核心的新</w:t>
      </w:r>
      <w:r>
        <w:rPr>
          <w:rFonts w:hint="default" w:ascii="Times New Roman" w:hAnsi="Times New Roman" w:eastAsia="宋体" w:cs="Times New Roman"/>
          <w:spacing w:val="8"/>
          <w:sz w:val="24"/>
          <w:szCs w:val="24"/>
        </w:rPr>
        <w:t>型国际关系</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倡导和平发展</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共同</w:t>
      </w:r>
      <w:r>
        <w:rPr>
          <w:rFonts w:hint="default" w:ascii="Times New Roman" w:hAnsi="Times New Roman" w:eastAsia="宋体" w:cs="Times New Roman"/>
          <w:spacing w:val="10"/>
          <w:sz w:val="24"/>
          <w:szCs w:val="24"/>
        </w:rPr>
        <w:t>发展、可持续发展。人类命运共同体理念充分</w:t>
      </w:r>
      <w:r>
        <w:rPr>
          <w:rFonts w:hint="default" w:ascii="Times New Roman" w:hAnsi="Times New Roman" w:eastAsia="宋体" w:cs="Times New Roman"/>
          <w:spacing w:val="9"/>
          <w:sz w:val="24"/>
          <w:szCs w:val="24"/>
        </w:rPr>
        <w:t>彰显了中国共产党人“以天下为己任”的世界情怀、为人类美好未来而奋斗的责任担当</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因此</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报告明确习近平新时代中国特色社会主义思想“坚持人</w:t>
      </w:r>
      <w:r>
        <w:rPr>
          <w:rFonts w:hint="default" w:ascii="Times New Roman" w:hAnsi="Times New Roman" w:eastAsia="宋体" w:cs="Times New Roman"/>
          <w:spacing w:val="6"/>
          <w:sz w:val="24"/>
          <w:szCs w:val="24"/>
        </w:rPr>
        <w:t>民至上”的政治立场，闪亮提出“胸怀天下”的世界观和方法论，申明“中国共产党是为中</w:t>
      </w:r>
      <w:r>
        <w:rPr>
          <w:rFonts w:hint="default" w:ascii="Times New Roman" w:hAnsi="Times New Roman" w:eastAsia="宋体" w:cs="Times New Roman"/>
          <w:spacing w:val="5"/>
          <w:sz w:val="24"/>
          <w:szCs w:val="24"/>
        </w:rPr>
        <w:t>国人民</w:t>
      </w:r>
      <w:r>
        <w:rPr>
          <w:rFonts w:hint="default" w:ascii="Times New Roman" w:hAnsi="Times New Roman" w:eastAsia="宋体" w:cs="Times New Roman"/>
          <w:spacing w:val="4"/>
          <w:sz w:val="24"/>
          <w:szCs w:val="24"/>
        </w:rPr>
        <w:t>谋幸福、为中华民族谋复兴的党，也是为人类谋进步、为世界谋大同的党”</w:t>
      </w:r>
      <w:r>
        <w:rPr>
          <w:rStyle w:val="20"/>
          <w:rFonts w:hint="default" w:ascii="Times New Roman" w:hAnsi="Times New Roman" w:eastAsia="宋体" w:cs="Times New Roman"/>
          <w:spacing w:val="4"/>
          <w:sz w:val="24"/>
          <w:szCs w:val="24"/>
        </w:rPr>
        <w:footnoteReference w:id="97"/>
      </w:r>
      <w:r>
        <w:rPr>
          <w:rFonts w:hint="default" w:ascii="Times New Roman" w:hAnsi="Times New Roman" w:eastAsia="宋体" w:cs="Times New Roman"/>
          <w:spacing w:val="4"/>
          <w:sz w:val="24"/>
          <w:szCs w:val="24"/>
        </w:rPr>
        <w:t>。</w:t>
      </w:r>
    </w:p>
    <w:p w14:paraId="7CCC94A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第二</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坚持辩证唯物主义关于世界的物质统一性原理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社会生活在本质上是实践的</w:t>
      </w:r>
      <w:r>
        <w:rPr>
          <w:rFonts w:hint="default" w:ascii="Times New Roman" w:hAnsi="Times New Roman" w:eastAsia="宋体" w:cs="Times New Roman"/>
          <w:spacing w:val="9"/>
          <w:sz w:val="24"/>
          <w:szCs w:val="24"/>
        </w:rPr>
        <w:t>原理</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主观</w:t>
      </w:r>
      <w:r>
        <w:rPr>
          <w:rFonts w:hint="default" w:ascii="Times New Roman" w:hAnsi="Times New Roman" w:eastAsia="宋体" w:cs="Times New Roman"/>
          <w:spacing w:val="8"/>
          <w:sz w:val="24"/>
          <w:szCs w:val="24"/>
        </w:rPr>
        <w:t>能动性和客观规律性的辩证统一原理，这就要求我们牢固确立“实践是检验真理的唯一标准”的基</w:t>
      </w:r>
      <w:r>
        <w:rPr>
          <w:rFonts w:hint="default" w:ascii="Times New Roman" w:hAnsi="Times New Roman" w:eastAsia="宋体" w:cs="Times New Roman"/>
          <w:spacing w:val="10"/>
          <w:sz w:val="24"/>
          <w:szCs w:val="24"/>
        </w:rPr>
        <w:t>本观点</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在正确把握中国具体国情</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党情和世情的基础之上做到理论与</w:t>
      </w:r>
      <w:r>
        <w:rPr>
          <w:rFonts w:hint="default" w:ascii="Times New Roman" w:hAnsi="Times New Roman" w:eastAsia="宋体" w:cs="Times New Roman"/>
          <w:spacing w:val="9"/>
          <w:sz w:val="24"/>
          <w:szCs w:val="24"/>
        </w:rPr>
        <w:t>实践的有机结合</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党的十八</w:t>
      </w:r>
      <w:r>
        <w:rPr>
          <w:rFonts w:hint="default" w:ascii="Times New Roman" w:hAnsi="Times New Roman" w:eastAsia="宋体" w:cs="Times New Roman"/>
          <w:spacing w:val="10"/>
          <w:sz w:val="24"/>
          <w:szCs w:val="24"/>
        </w:rPr>
        <w:t>大以来</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以习近平同志为核心的党中央在新时代中国特色社会主义建设实践中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始终坚持辩证唯物主义和历史唯物主义的基本原理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依据新时代我国发展方位的变化</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作出中国特色社会主义进入新</w:t>
      </w:r>
      <w:r>
        <w:rPr>
          <w:rFonts w:hint="default" w:ascii="Times New Roman" w:hAnsi="Times New Roman" w:eastAsia="宋体" w:cs="Times New Roman"/>
          <w:spacing w:val="8"/>
          <w:sz w:val="24"/>
          <w:szCs w:val="24"/>
        </w:rPr>
        <w:t>时代的重大论断</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同时结合新时代我国经济社会发展的新方位</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新要求</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提出新发展理念</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提出推</w:t>
      </w:r>
      <w:r>
        <w:rPr>
          <w:rFonts w:hint="default" w:ascii="Times New Roman" w:hAnsi="Times New Roman" w:eastAsia="宋体" w:cs="Times New Roman"/>
          <w:spacing w:val="11"/>
          <w:sz w:val="24"/>
          <w:szCs w:val="24"/>
        </w:rPr>
        <w:t>进国家治理体系和治理能力现代化</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推进供给</w:t>
      </w:r>
      <w:r>
        <w:rPr>
          <w:rFonts w:hint="default" w:ascii="Times New Roman" w:hAnsi="Times New Roman" w:eastAsia="宋体" w:cs="Times New Roman"/>
          <w:spacing w:val="10"/>
          <w:sz w:val="24"/>
          <w:szCs w:val="24"/>
        </w:rPr>
        <w:t>侧结构性改革等新思想新论断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表现出鲜明的马克思</w:t>
      </w:r>
      <w:r>
        <w:rPr>
          <w:rFonts w:hint="default" w:ascii="Times New Roman" w:hAnsi="Times New Roman" w:eastAsia="宋体" w:cs="Times New Roman"/>
          <w:spacing w:val="9"/>
          <w:sz w:val="24"/>
          <w:szCs w:val="24"/>
        </w:rPr>
        <w:t>主义历史自觉和历史主动</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习近平总书记要求</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新时代中国特色社会主义建设“要准确把握国际国</w:t>
      </w:r>
      <w:r>
        <w:rPr>
          <w:rFonts w:hint="default" w:ascii="Times New Roman" w:hAnsi="Times New Roman" w:eastAsia="宋体" w:cs="Times New Roman"/>
          <w:spacing w:val="4"/>
          <w:sz w:val="24"/>
          <w:szCs w:val="24"/>
        </w:rPr>
        <w:t>内环境变化，辩证分析我国经济发展阶段性特征”，“坚持从客观实际出发制定政策、推动工作”</w:t>
      </w:r>
      <w:r>
        <w:rPr>
          <w:rStyle w:val="20"/>
          <w:rFonts w:hint="default" w:ascii="Times New Roman" w:hAnsi="Times New Roman" w:eastAsia="宋体" w:cs="Times New Roman"/>
          <w:spacing w:val="4"/>
          <w:sz w:val="24"/>
          <w:szCs w:val="24"/>
        </w:rPr>
        <w:footnoteReference w:id="98"/>
      </w:r>
      <w:r>
        <w:rPr>
          <w:rFonts w:hint="default" w:ascii="Times New Roman" w:hAnsi="Times New Roman" w:eastAsia="宋体" w:cs="Times New Roman"/>
          <w:spacing w:val="4"/>
          <w:sz w:val="24"/>
          <w:szCs w:val="24"/>
        </w:rPr>
        <w:t>;</w:t>
      </w:r>
      <w:r>
        <w:rPr>
          <w:rFonts w:hint="default" w:ascii="Times New Roman" w:hAnsi="Times New Roman" w:eastAsia="宋体" w:cs="Times New Roman"/>
          <w:spacing w:val="6"/>
          <w:sz w:val="24"/>
          <w:szCs w:val="24"/>
        </w:rPr>
        <w:t>在全面深化改革过程中</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要坚持一切从实际出发</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按照客观规律</w:t>
      </w:r>
      <w:r>
        <w:rPr>
          <w:rFonts w:hint="default" w:ascii="Times New Roman" w:hAnsi="Times New Roman" w:eastAsia="宋体" w:cs="Times New Roman"/>
          <w:spacing w:val="5"/>
          <w:sz w:val="24"/>
          <w:szCs w:val="24"/>
        </w:rPr>
        <w:t>办事</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处理好尊重客观规律和</w:t>
      </w:r>
      <w:r>
        <w:rPr>
          <w:rFonts w:hint="default" w:ascii="Times New Roman" w:hAnsi="Times New Roman" w:eastAsia="宋体" w:cs="Times New Roman"/>
          <w:spacing w:val="7"/>
          <w:sz w:val="24"/>
          <w:szCs w:val="24"/>
        </w:rPr>
        <w:t>发挥主观能动性的关系”</w:t>
      </w:r>
      <w:r>
        <w:rPr>
          <w:rStyle w:val="20"/>
          <w:rFonts w:hint="default" w:ascii="Times New Roman" w:hAnsi="Times New Roman" w:eastAsia="宋体" w:cs="Times New Roman"/>
          <w:spacing w:val="7"/>
          <w:sz w:val="24"/>
          <w:szCs w:val="24"/>
        </w:rPr>
        <w:footnoteReference w:id="99"/>
      </w:r>
      <w:r>
        <w:rPr>
          <w:rFonts w:hint="default" w:ascii="Times New Roman" w:hAnsi="Times New Roman" w:eastAsia="宋体" w:cs="Times New Roman"/>
          <w:spacing w:val="7"/>
          <w:sz w:val="24"/>
          <w:szCs w:val="24"/>
        </w:rPr>
        <w:t>等。正因为如此，报告阐明了</w:t>
      </w:r>
      <w:r>
        <w:rPr>
          <w:rFonts w:hint="default" w:ascii="Times New Roman" w:hAnsi="Times New Roman" w:eastAsia="宋体" w:cs="Times New Roman"/>
          <w:spacing w:val="6"/>
          <w:sz w:val="24"/>
          <w:szCs w:val="24"/>
        </w:rPr>
        <w:t>“必须坚持自信自立”“必须坚持守正创</w:t>
      </w:r>
      <w:r>
        <w:rPr>
          <w:rFonts w:hint="default" w:ascii="Times New Roman" w:hAnsi="Times New Roman" w:eastAsia="宋体" w:cs="Times New Roman"/>
          <w:spacing w:val="3"/>
          <w:sz w:val="24"/>
          <w:szCs w:val="24"/>
        </w:rPr>
        <w:t>新”“必须坚持问题导向”的世界观和方法论。</w:t>
      </w:r>
    </w:p>
    <w:p w14:paraId="443C78F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第三</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坚持马克思主义关于人类社会矛盾构成及社会有机整体的基本原理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这就要求我们高度重视和充分运用好社会矛盾分析法和系统分析法</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辩证唯物主义</w:t>
      </w:r>
      <w:r>
        <w:rPr>
          <w:rFonts w:hint="default" w:ascii="Times New Roman" w:hAnsi="Times New Roman" w:eastAsia="宋体" w:cs="Times New Roman"/>
          <w:spacing w:val="9"/>
          <w:sz w:val="24"/>
          <w:szCs w:val="24"/>
        </w:rPr>
        <w:t>认为矛盾无处不在</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无时不有</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在分析和处理社会矛盾时</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要具有整体意识和系统观念</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由于社会是</w:t>
      </w:r>
      <w:r>
        <w:rPr>
          <w:rFonts w:hint="default" w:ascii="Times New Roman" w:hAnsi="Times New Roman" w:eastAsia="宋体" w:cs="Times New Roman"/>
          <w:spacing w:val="8"/>
          <w:sz w:val="24"/>
          <w:szCs w:val="24"/>
        </w:rPr>
        <w:t>一个复杂的矛盾系统</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存在着人</w:t>
      </w:r>
      <w:r>
        <w:rPr>
          <w:rFonts w:hint="default" w:ascii="Times New Roman" w:hAnsi="Times New Roman" w:eastAsia="宋体" w:cs="Times New Roman"/>
          <w:spacing w:val="9"/>
          <w:sz w:val="24"/>
          <w:szCs w:val="24"/>
        </w:rPr>
        <w:t>与自然的矛盾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人与社会的矛盾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人与人的矛盾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存在着</w:t>
      </w:r>
      <w:r>
        <w:rPr>
          <w:rFonts w:hint="default" w:ascii="Times New Roman" w:hAnsi="Times New Roman" w:eastAsia="宋体" w:cs="Times New Roman"/>
          <w:spacing w:val="8"/>
          <w:sz w:val="24"/>
          <w:szCs w:val="24"/>
        </w:rPr>
        <w:t>经济</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政治</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文化等社会各个子系统之间</w:t>
      </w:r>
      <w:r>
        <w:rPr>
          <w:rFonts w:hint="default" w:ascii="Times New Roman" w:hAnsi="Times New Roman" w:eastAsia="宋体" w:cs="Times New Roman"/>
          <w:spacing w:val="7"/>
          <w:sz w:val="24"/>
          <w:szCs w:val="24"/>
        </w:rPr>
        <w:t>的矛盾</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存在着阶级</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阶层</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利益群体之间的矛盾</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存在着国家</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单位与个人之间的矛盾等</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那么</w:t>
      </w:r>
      <w:r>
        <w:rPr>
          <w:rFonts w:hint="default" w:ascii="Times New Roman" w:hAnsi="Times New Roman" w:eastAsia="宋体" w:cs="Times New Roman"/>
          <w:spacing w:val="9"/>
          <w:sz w:val="24"/>
          <w:szCs w:val="24"/>
        </w:rPr>
        <w:t>在分析社会矛盾时就要坚持系统思维</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注重整</w:t>
      </w:r>
      <w:r>
        <w:rPr>
          <w:rFonts w:hint="default" w:ascii="Times New Roman" w:hAnsi="Times New Roman" w:eastAsia="宋体" w:cs="Times New Roman"/>
          <w:spacing w:val="8"/>
          <w:sz w:val="24"/>
          <w:szCs w:val="24"/>
        </w:rPr>
        <w:t>体规划</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反之</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如果只注意对个别因素的考察</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就会</w:t>
      </w:r>
      <w:r>
        <w:rPr>
          <w:rFonts w:hint="default" w:ascii="Times New Roman" w:hAnsi="Times New Roman" w:eastAsia="宋体" w:cs="Times New Roman"/>
          <w:spacing w:val="7"/>
          <w:sz w:val="24"/>
          <w:szCs w:val="24"/>
        </w:rPr>
        <w:t>出现“只见树木，不见森林”的片面性。对此，列宁就曾指出:</w:t>
      </w:r>
      <w:r>
        <w:rPr>
          <w:rFonts w:hint="default" w:ascii="Times New Roman" w:hAnsi="Times New Roman" w:eastAsia="宋体" w:cs="Times New Roman"/>
          <w:spacing w:val="6"/>
          <w:sz w:val="24"/>
          <w:szCs w:val="24"/>
        </w:rPr>
        <w:t>“辩证方法要我们把社会看做活动</w:t>
      </w:r>
      <w:r>
        <w:rPr>
          <w:rFonts w:hint="default" w:ascii="Times New Roman" w:hAnsi="Times New Roman" w:eastAsia="宋体" w:cs="Times New Roman"/>
          <w:spacing w:val="3"/>
          <w:sz w:val="24"/>
          <w:szCs w:val="24"/>
        </w:rPr>
        <w:t>着和发展着的活的机体。”</w:t>
      </w:r>
      <w:r>
        <w:rPr>
          <w:rStyle w:val="20"/>
          <w:rFonts w:hint="default" w:ascii="Times New Roman" w:hAnsi="Times New Roman" w:eastAsia="宋体" w:cs="Times New Roman"/>
          <w:spacing w:val="3"/>
          <w:sz w:val="24"/>
          <w:szCs w:val="24"/>
        </w:rPr>
        <w:footnoteReference w:id="100"/>
      </w:r>
      <w:r>
        <w:rPr>
          <w:rFonts w:hint="default" w:ascii="Times New Roman" w:hAnsi="Times New Roman" w:eastAsia="宋体" w:cs="Times New Roman"/>
          <w:spacing w:val="3"/>
          <w:sz w:val="24"/>
          <w:szCs w:val="24"/>
        </w:rPr>
        <w:t>党的十八大以来，习近平总书记多次强调坚持系统观念的重要性。2012</w:t>
      </w:r>
      <w:r>
        <w:rPr>
          <w:rFonts w:hint="default" w:ascii="Times New Roman" w:hAnsi="Times New Roman" w:eastAsia="宋体" w:cs="Times New Roman"/>
          <w:spacing w:val="11"/>
          <w:sz w:val="24"/>
          <w:szCs w:val="24"/>
        </w:rPr>
        <w:t>年12月，他在中央经济工作会议上的讲话中就强调要“增强改革的系统性、整体性</w:t>
      </w:r>
      <w:r>
        <w:rPr>
          <w:rFonts w:hint="default" w:ascii="Times New Roman" w:hAnsi="Times New Roman" w:eastAsia="宋体" w:cs="Times New Roman"/>
          <w:spacing w:val="10"/>
          <w:sz w:val="24"/>
          <w:szCs w:val="24"/>
        </w:rPr>
        <w:t>、协同性”。</w:t>
      </w:r>
      <w:r>
        <w:rPr>
          <w:rFonts w:hint="default" w:ascii="Times New Roman" w:hAnsi="Times New Roman" w:eastAsia="宋体" w:cs="Times New Roman"/>
          <w:spacing w:val="4"/>
          <w:sz w:val="24"/>
          <w:szCs w:val="24"/>
        </w:rPr>
        <w:t>2013年11月，他在中共中央召开的党外人士座谈会上的讲话中强调:</w:t>
      </w:r>
      <w:r>
        <w:rPr>
          <w:rFonts w:hint="default" w:ascii="Times New Roman" w:hAnsi="Times New Roman" w:eastAsia="宋体" w:cs="Times New Roman"/>
          <w:spacing w:val="3"/>
          <w:sz w:val="24"/>
          <w:szCs w:val="24"/>
        </w:rPr>
        <w:t>“全面深化改革是一项复杂的</w:t>
      </w:r>
      <w:r>
        <w:rPr>
          <w:rFonts w:hint="default" w:ascii="Times New Roman" w:hAnsi="Times New Roman" w:eastAsia="宋体" w:cs="Times New Roman"/>
          <w:sz w:val="24"/>
          <w:szCs w:val="24"/>
        </w:rPr>
        <w:t>系统工程，需要加强顶层设计和整体谋划，加强各项改革关联性、系统性、可行性研究。”</w:t>
      </w:r>
      <w:r>
        <w:rPr>
          <w:rStyle w:val="20"/>
          <w:rFonts w:hint="default" w:ascii="Times New Roman" w:hAnsi="Times New Roman" w:eastAsia="宋体" w:cs="Times New Roman"/>
          <w:sz w:val="24"/>
          <w:szCs w:val="24"/>
        </w:rPr>
        <w:footnoteReference w:id="101"/>
      </w:r>
      <w:r>
        <w:rPr>
          <w:rFonts w:hint="default" w:ascii="Times New Roman" w:hAnsi="Times New Roman" w:eastAsia="宋体" w:cs="Times New Roman"/>
          <w:sz w:val="24"/>
          <w:szCs w:val="24"/>
        </w:rPr>
        <w:t>2015年</w:t>
      </w:r>
      <w:r>
        <w:rPr>
          <w:rFonts w:hint="default" w:ascii="Times New Roman" w:hAnsi="Times New Roman" w:eastAsia="宋体" w:cs="Times New Roman"/>
          <w:spacing w:val="8"/>
          <w:position w:val="1"/>
          <w:sz w:val="24"/>
          <w:szCs w:val="24"/>
        </w:rPr>
        <w:t>1</w:t>
      </w:r>
      <w:r>
        <w:rPr>
          <w:rFonts w:hint="default" w:ascii="Times New Roman" w:hAnsi="Times New Roman" w:eastAsia="宋体" w:cs="Times New Roman"/>
          <w:spacing w:val="8"/>
          <w:sz w:val="24"/>
          <w:szCs w:val="24"/>
        </w:rPr>
        <w:t>月</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他在十八届中央政治局第二十次集体学习时的讲话中再次强调:</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面对复杂形势和繁重任务</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6"/>
          <w:sz w:val="24"/>
          <w:szCs w:val="24"/>
        </w:rPr>
        <w:t>首先要有全局观，对各种矛盾做到心中有数”</w:t>
      </w:r>
      <w:r>
        <w:rPr>
          <w:rStyle w:val="20"/>
          <w:rFonts w:hint="default" w:ascii="Times New Roman" w:hAnsi="Times New Roman" w:eastAsia="宋体" w:cs="Times New Roman"/>
          <w:spacing w:val="6"/>
          <w:sz w:val="24"/>
          <w:szCs w:val="24"/>
        </w:rPr>
        <w:footnoteReference w:id="102"/>
      </w:r>
      <w:r>
        <w:rPr>
          <w:rFonts w:hint="default" w:ascii="Times New Roman" w:hAnsi="Times New Roman" w:eastAsia="宋体" w:cs="Times New Roman"/>
          <w:spacing w:val="6"/>
          <w:position w:val="6"/>
          <w:sz w:val="24"/>
          <w:szCs w:val="24"/>
        </w:rPr>
        <w:t>③</w:t>
      </w:r>
      <w:r>
        <w:rPr>
          <w:rFonts w:hint="default" w:ascii="Times New Roman" w:hAnsi="Times New Roman" w:eastAsia="宋体" w:cs="Times New Roman"/>
          <w:spacing w:val="6"/>
          <w:sz w:val="24"/>
          <w:szCs w:val="24"/>
        </w:rPr>
        <w:t>。在新时代中国特色社会主义建设中，党中央统筹推进“五位一体”总体布局、协调推进“四个全面”战略布局，彰显出鲜明的整体意识、系统</w:t>
      </w:r>
      <w:r>
        <w:rPr>
          <w:rFonts w:hint="default" w:ascii="Times New Roman" w:hAnsi="Times New Roman" w:eastAsia="宋体" w:cs="Times New Roman"/>
          <w:spacing w:val="5"/>
          <w:sz w:val="24"/>
          <w:szCs w:val="24"/>
        </w:rPr>
        <w:t>观念和</w:t>
      </w:r>
      <w:r>
        <w:rPr>
          <w:rFonts w:hint="default" w:ascii="Times New Roman" w:hAnsi="Times New Roman" w:eastAsia="宋体" w:cs="Times New Roman"/>
          <w:spacing w:val="10"/>
          <w:sz w:val="24"/>
          <w:szCs w:val="24"/>
        </w:rPr>
        <w:t>辩证思维</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如在全面深化改革和扩大开放的过</w:t>
      </w:r>
      <w:r>
        <w:rPr>
          <w:rFonts w:hint="default" w:ascii="Times New Roman" w:hAnsi="Times New Roman" w:eastAsia="宋体" w:cs="Times New Roman"/>
          <w:spacing w:val="9"/>
          <w:sz w:val="24"/>
          <w:szCs w:val="24"/>
        </w:rPr>
        <w:t>程中</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党中央注重运用系统思维谋划全局</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准确把握</w:t>
      </w:r>
      <w:r>
        <w:rPr>
          <w:rFonts w:hint="default" w:ascii="Times New Roman" w:hAnsi="Times New Roman" w:eastAsia="宋体" w:cs="Times New Roman"/>
          <w:spacing w:val="11"/>
          <w:sz w:val="24"/>
          <w:szCs w:val="24"/>
        </w:rPr>
        <w:t>改革的方向</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主线和重点</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既注重抓好当前问题</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又注重抓好长远规划</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做到全局和局部相配套</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8"/>
          <w:sz w:val="24"/>
          <w:szCs w:val="24"/>
        </w:rPr>
        <w:t>治标和治本相结合</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渐进和突破相衔接</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使各项改革举措有机联动</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相互协同</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正因为如此</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7"/>
          <w:sz w:val="24"/>
          <w:szCs w:val="24"/>
        </w:rPr>
        <w:t>报告</w:t>
      </w:r>
      <w:r>
        <w:rPr>
          <w:rFonts w:hint="default" w:ascii="Times New Roman" w:hAnsi="Times New Roman" w:eastAsia="宋体" w:cs="Times New Roman"/>
          <w:spacing w:val="9"/>
          <w:sz w:val="24"/>
          <w:szCs w:val="24"/>
        </w:rPr>
        <w:t>把“坚持系统观念”纳入习近平新时代中国特色社会主义思想的世界观和方法论，强调中国</w:t>
      </w:r>
      <w:r>
        <w:rPr>
          <w:rFonts w:hint="default" w:ascii="Times New Roman" w:hAnsi="Times New Roman" w:eastAsia="宋体" w:cs="Times New Roman"/>
          <w:spacing w:val="8"/>
          <w:sz w:val="24"/>
          <w:szCs w:val="24"/>
        </w:rPr>
        <w:t>特色社</w:t>
      </w:r>
      <w:r>
        <w:rPr>
          <w:rFonts w:hint="default" w:ascii="Times New Roman" w:hAnsi="Times New Roman" w:eastAsia="宋体" w:cs="Times New Roman"/>
          <w:spacing w:val="9"/>
          <w:sz w:val="24"/>
          <w:szCs w:val="24"/>
        </w:rPr>
        <w:t>会主义建设要“把握好全局和局部、当前和长远、宏观和微观、主</w:t>
      </w:r>
      <w:r>
        <w:rPr>
          <w:rFonts w:hint="default" w:ascii="Times New Roman" w:hAnsi="Times New Roman" w:eastAsia="宋体" w:cs="Times New Roman"/>
          <w:spacing w:val="8"/>
          <w:sz w:val="24"/>
          <w:szCs w:val="24"/>
        </w:rPr>
        <w:t>要矛盾和次要矛盾、特殊和一般</w:t>
      </w:r>
      <w:r>
        <w:rPr>
          <w:rFonts w:hint="default" w:ascii="Times New Roman" w:hAnsi="Times New Roman" w:eastAsia="宋体" w:cs="Times New Roman"/>
          <w:spacing w:val="-7"/>
          <w:sz w:val="24"/>
          <w:szCs w:val="24"/>
        </w:rPr>
        <w:t>的关系”</w:t>
      </w:r>
      <w:r>
        <w:rPr>
          <w:rStyle w:val="20"/>
          <w:rFonts w:hint="default" w:ascii="Times New Roman" w:hAnsi="Times New Roman" w:eastAsia="宋体" w:cs="Times New Roman"/>
          <w:spacing w:val="-7"/>
          <w:sz w:val="24"/>
          <w:szCs w:val="24"/>
        </w:rPr>
        <w:footnoteReference w:id="103"/>
      </w:r>
      <w:r>
        <w:rPr>
          <w:rFonts w:hint="default" w:ascii="Times New Roman" w:hAnsi="Times New Roman" w:eastAsia="宋体" w:cs="Times New Roman"/>
          <w:spacing w:val="-7"/>
          <w:position w:val="5"/>
          <w:sz w:val="24"/>
          <w:szCs w:val="24"/>
        </w:rPr>
        <w:t>④</w:t>
      </w:r>
      <w:r>
        <w:rPr>
          <w:rFonts w:hint="default" w:ascii="Times New Roman" w:hAnsi="Times New Roman" w:eastAsia="宋体" w:cs="Times New Roman"/>
          <w:spacing w:val="-7"/>
          <w:sz w:val="24"/>
          <w:szCs w:val="24"/>
        </w:rPr>
        <w:t>。</w:t>
      </w:r>
    </w:p>
    <w:p w14:paraId="57EE33F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rPr>
        <w:t>总之</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习近平新时代中国特色社会主义思想的世界观和方法论是在坚持以辩证唯物主义和历史</w:t>
      </w:r>
      <w:r>
        <w:rPr>
          <w:rFonts w:hint="default" w:ascii="Times New Roman" w:hAnsi="Times New Roman" w:eastAsia="宋体" w:cs="Times New Roman"/>
          <w:spacing w:val="10"/>
          <w:sz w:val="24"/>
          <w:szCs w:val="24"/>
        </w:rPr>
        <w:t>唯物主义基本原理为指导</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总结新时代中国特色社会主义建设实践经验的基础上形成的</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是中国化</w:t>
      </w:r>
      <w:r>
        <w:rPr>
          <w:rFonts w:hint="default" w:ascii="Times New Roman" w:hAnsi="Times New Roman" w:eastAsia="宋体" w:cs="Times New Roman"/>
          <w:spacing w:val="7"/>
          <w:sz w:val="24"/>
          <w:szCs w:val="24"/>
        </w:rPr>
        <w:t>马克思主义的世界观和方法论、21世纪马克思主义的世界观和方法论，是当前我们观察时代、把握</w:t>
      </w:r>
      <w:r>
        <w:rPr>
          <w:rFonts w:hint="default" w:ascii="Times New Roman" w:hAnsi="Times New Roman" w:eastAsia="宋体" w:cs="Times New Roman"/>
          <w:spacing w:val="5"/>
          <w:sz w:val="24"/>
          <w:szCs w:val="24"/>
        </w:rPr>
        <w:t>时代</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解决时代课题</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推动中华民族伟大复兴的思想法宝</w:t>
      </w:r>
      <w:r>
        <w:rPr>
          <w:rFonts w:hint="default" w:ascii="Times New Roman" w:hAnsi="Times New Roman" w:eastAsia="宋体" w:cs="Times New Roman"/>
          <w:spacing w:val="5"/>
          <w:position w:val="1"/>
          <w:sz w:val="24"/>
          <w:szCs w:val="24"/>
        </w:rPr>
        <w:t>。</w:t>
      </w:r>
    </w:p>
    <w:p w14:paraId="6158E806">
      <w:pPr>
        <w:pStyle w:val="4"/>
        <w:bidi w:val="0"/>
        <w:rPr>
          <w:rFonts w:hint="default"/>
        </w:rPr>
      </w:pPr>
      <w:r>
        <w:rPr>
          <w:rFonts w:hint="default"/>
        </w:rPr>
        <w:t>二、用马克思主义政治经济学原理领悟</w:t>
      </w:r>
    </w:p>
    <w:p w14:paraId="46119BF5">
      <w:pPr>
        <w:bidi w:val="0"/>
        <w:rPr>
          <w:rFonts w:hint="default"/>
          <w:lang w:val="en-US" w:eastAsia="en-US"/>
        </w:rPr>
      </w:pPr>
      <w:r>
        <w:rPr>
          <w:rFonts w:hint="default"/>
          <w:lang w:val="en-US" w:eastAsia="en-US"/>
        </w:rPr>
        <w:t>中国特色社会主义经济理论的创新发展以《资本论》为代表的马克思主义政治经济学，通过对资本主义错综复杂的经济现象的分析，揭示了资本主义经济制度和经济现象的本质，同时也揭示了社会化大生产、市场经济的运行机制和客观规律，展望了未来社会的经济形态，从而为我们在社会主义基本经济制度条件下认识各种复杂经济现象提供了科学视野和重要原则。</w:t>
      </w:r>
    </w:p>
    <w:p w14:paraId="04B1FC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马克思主义政治经济学认为</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人们进行物质资料的生产</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必然要发生两个方面的关系:一是人与自然界的关系</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这是社会生产力范畴</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二是人与人之间的关系</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即社会生产关系或经济关系范畴</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作为政治经济学研究范畴的社会生产方式</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即社会生产力和生产关系的统一</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其中</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生产关系涵盖人们</w:t>
      </w:r>
      <w:r>
        <w:rPr>
          <w:rFonts w:hint="default" w:ascii="Times New Roman" w:hAnsi="Times New Roman" w:eastAsia="宋体" w:cs="Times New Roman"/>
          <w:spacing w:val="6"/>
          <w:sz w:val="24"/>
          <w:szCs w:val="24"/>
        </w:rPr>
        <w:t>在社会生产过程中生产</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分配</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交换和消费四个环节中发生的相互关系的总和</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在生产关系的统一整</w:t>
      </w:r>
      <w:r>
        <w:rPr>
          <w:rFonts w:hint="default" w:ascii="Times New Roman" w:hAnsi="Times New Roman" w:eastAsia="宋体" w:cs="Times New Roman"/>
          <w:spacing w:val="5"/>
          <w:sz w:val="24"/>
          <w:szCs w:val="24"/>
        </w:rPr>
        <w:t>体中</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生产资料所有制即人们之间的财产关系</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具有极其重要的地位</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生产资料所有制决定着劳动者和生产资料相结合的方式</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决定着人们在生产中的地位及其相互关系</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决定着人们之间的分配</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交换</w:t>
      </w:r>
      <w:r>
        <w:rPr>
          <w:rFonts w:hint="default" w:ascii="Times New Roman" w:hAnsi="Times New Roman" w:eastAsia="宋体" w:cs="Times New Roman"/>
          <w:spacing w:val="1"/>
          <w:sz w:val="24"/>
          <w:szCs w:val="24"/>
        </w:rPr>
        <w:t>和消费关系</w:t>
      </w:r>
      <w:r>
        <w:rPr>
          <w:rFonts w:hint="default" w:ascii="Times New Roman" w:hAnsi="Times New Roman" w:eastAsia="宋体" w:cs="Times New Roman"/>
          <w:spacing w:val="1"/>
          <w:position w:val="1"/>
          <w:sz w:val="24"/>
          <w:szCs w:val="24"/>
        </w:rPr>
        <w:t>，</w:t>
      </w:r>
      <w:r>
        <w:rPr>
          <w:rFonts w:hint="default" w:ascii="Times New Roman" w:hAnsi="Times New Roman" w:eastAsia="宋体" w:cs="Times New Roman"/>
          <w:spacing w:val="1"/>
          <w:sz w:val="24"/>
          <w:szCs w:val="24"/>
        </w:rPr>
        <w:t>从而决定着生产关系的性质</w:t>
      </w:r>
      <w:r>
        <w:rPr>
          <w:rFonts w:hint="default" w:ascii="Times New Roman" w:hAnsi="Times New Roman" w:eastAsia="宋体" w:cs="Times New Roman"/>
          <w:spacing w:val="1"/>
          <w:position w:val="1"/>
          <w:sz w:val="24"/>
          <w:szCs w:val="24"/>
        </w:rPr>
        <w:t>。</w:t>
      </w:r>
      <w:r>
        <w:rPr>
          <w:rFonts w:hint="default" w:ascii="Times New Roman" w:hAnsi="Times New Roman" w:eastAsia="宋体" w:cs="Times New Roman"/>
          <w:spacing w:val="1"/>
          <w:sz w:val="24"/>
          <w:szCs w:val="24"/>
        </w:rPr>
        <w:t>因此</w:t>
      </w:r>
      <w:r>
        <w:rPr>
          <w:rFonts w:hint="default" w:ascii="Times New Roman" w:hAnsi="Times New Roman" w:eastAsia="宋体" w:cs="Times New Roman"/>
          <w:spacing w:val="1"/>
          <w:position w:val="1"/>
          <w:sz w:val="24"/>
          <w:szCs w:val="24"/>
        </w:rPr>
        <w:t>，</w:t>
      </w:r>
      <w:r>
        <w:rPr>
          <w:rFonts w:hint="default" w:ascii="Times New Roman" w:hAnsi="Times New Roman" w:eastAsia="宋体" w:cs="Times New Roman"/>
          <w:spacing w:val="1"/>
          <w:sz w:val="24"/>
          <w:szCs w:val="24"/>
        </w:rPr>
        <w:t>生产资料所有制关系是生产关系的基础</w:t>
      </w:r>
      <w:r>
        <w:rPr>
          <w:rFonts w:hint="default" w:ascii="Times New Roman" w:hAnsi="Times New Roman" w:eastAsia="宋体" w:cs="Times New Roman"/>
          <w:spacing w:val="1"/>
          <w:position w:val="1"/>
          <w:sz w:val="24"/>
          <w:szCs w:val="24"/>
        </w:rPr>
        <w:t>。</w:t>
      </w:r>
    </w:p>
    <w:p w14:paraId="4351BE9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马克思恩格斯认为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资本主义生产资料私有制决定了私人资本剥削雇佣劳动的关系</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即资本家占有生产成果</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而雇佣工人只能靠出卖劳动力维持生存</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资</w:t>
      </w:r>
      <w:r>
        <w:rPr>
          <w:rFonts w:hint="default" w:ascii="Times New Roman" w:hAnsi="Times New Roman" w:eastAsia="宋体" w:cs="Times New Roman"/>
          <w:spacing w:val="9"/>
          <w:sz w:val="24"/>
          <w:szCs w:val="24"/>
        </w:rPr>
        <w:t>本主义商品生产的最终目的是榨取工人</w:t>
      </w:r>
      <w:r>
        <w:rPr>
          <w:rFonts w:hint="default" w:ascii="Times New Roman" w:hAnsi="Times New Roman" w:eastAsia="宋体" w:cs="Times New Roman"/>
          <w:spacing w:val="10"/>
          <w:sz w:val="24"/>
          <w:szCs w:val="24"/>
        </w:rPr>
        <w:t>创造的剩余价值</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在资本主义经济制度下</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资本积累必然导致无产阶级与资产阶级之间矛盾的不断</w:t>
      </w:r>
      <w:r>
        <w:rPr>
          <w:rFonts w:hint="default" w:ascii="Times New Roman" w:hAnsi="Times New Roman" w:eastAsia="宋体" w:cs="Times New Roman"/>
          <w:spacing w:val="11"/>
          <w:sz w:val="24"/>
          <w:szCs w:val="24"/>
        </w:rPr>
        <w:t>加深</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以及生产相对过剩的经济危机和金融危机</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资本</w:t>
      </w:r>
      <w:r>
        <w:rPr>
          <w:rFonts w:hint="default" w:ascii="Times New Roman" w:hAnsi="Times New Roman" w:eastAsia="宋体" w:cs="Times New Roman"/>
          <w:spacing w:val="10"/>
          <w:sz w:val="24"/>
          <w:szCs w:val="24"/>
        </w:rPr>
        <w:t>主义的基本矛盾会随着经济的日益社会化和</w:t>
      </w:r>
      <w:r>
        <w:rPr>
          <w:rFonts w:hint="default" w:ascii="Times New Roman" w:hAnsi="Times New Roman" w:eastAsia="宋体" w:cs="Times New Roman"/>
          <w:spacing w:val="7"/>
          <w:sz w:val="24"/>
          <w:szCs w:val="24"/>
        </w:rPr>
        <w:t>全球化而不断发展并加剧</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其最终结果必然是社会主义代替资本主义</w:t>
      </w:r>
      <w:r>
        <w:rPr>
          <w:rFonts w:hint="default" w:ascii="Times New Roman" w:hAnsi="Times New Roman" w:eastAsia="宋体" w:cs="Times New Roman"/>
          <w:spacing w:val="7"/>
          <w:position w:val="1"/>
          <w:sz w:val="24"/>
          <w:szCs w:val="24"/>
        </w:rPr>
        <w:t>。</w:t>
      </w:r>
    </w:p>
    <w:p w14:paraId="114345A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rPr>
        <w:t>马克思恩格斯根据历史唯物主义原理</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描绘了未</w:t>
      </w:r>
      <w:r>
        <w:rPr>
          <w:rFonts w:hint="default" w:ascii="Times New Roman" w:hAnsi="Times New Roman" w:eastAsia="宋体" w:cs="Times New Roman"/>
          <w:spacing w:val="7"/>
          <w:sz w:val="24"/>
          <w:szCs w:val="24"/>
        </w:rPr>
        <w:t>来社会在生产力大发展基础上的经济制度特征</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8"/>
          <w:sz w:val="24"/>
          <w:szCs w:val="24"/>
        </w:rPr>
        <w:t>主要包括:(1)社会主义生产目的是</w:t>
      </w:r>
      <w:r>
        <w:rPr>
          <w:rFonts w:hint="default" w:ascii="Times New Roman" w:hAnsi="Times New Roman" w:eastAsia="宋体" w:cs="Times New Roman"/>
          <w:spacing w:val="7"/>
          <w:sz w:val="24"/>
          <w:szCs w:val="24"/>
        </w:rPr>
        <w:t>满足人民的生存、享受和发展需要。生产目的作为反映生产实</w:t>
      </w:r>
      <w:r>
        <w:rPr>
          <w:rFonts w:hint="default" w:ascii="Times New Roman" w:hAnsi="Times New Roman" w:eastAsia="宋体" w:cs="Times New Roman"/>
          <w:spacing w:val="10"/>
          <w:sz w:val="24"/>
          <w:szCs w:val="24"/>
        </w:rPr>
        <w:t>质的经济范畴</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是回答为什么人的物质利益进行生产的问题</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9"/>
          <w:sz w:val="24"/>
          <w:szCs w:val="24"/>
        </w:rPr>
        <w:t>由于任何生产总是在以生产资料所有</w:t>
      </w:r>
      <w:r>
        <w:rPr>
          <w:rFonts w:hint="default" w:ascii="Times New Roman" w:hAnsi="Times New Roman" w:eastAsia="宋体" w:cs="Times New Roman"/>
          <w:spacing w:val="10"/>
          <w:sz w:val="24"/>
          <w:szCs w:val="24"/>
        </w:rPr>
        <w:t>制为基础的一定的生产关系下进行的</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一个社会或一种生产方式为什么人的物质利益进行生产</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不</w:t>
      </w:r>
      <w:r>
        <w:rPr>
          <w:rFonts w:hint="default" w:ascii="Times New Roman" w:hAnsi="Times New Roman" w:eastAsia="宋体" w:cs="Times New Roman"/>
          <w:spacing w:val="11"/>
          <w:sz w:val="24"/>
          <w:szCs w:val="24"/>
        </w:rPr>
        <w:t>是由人和自然关系决定的</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也不是由人们的主观愿望决定的</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0"/>
          <w:sz w:val="24"/>
          <w:szCs w:val="24"/>
        </w:rPr>
        <w:t>而是由人和人之间的物质利益关系的</w:t>
      </w:r>
      <w:r>
        <w:rPr>
          <w:rFonts w:hint="default" w:ascii="Times New Roman" w:hAnsi="Times New Roman" w:eastAsia="宋体" w:cs="Times New Roman"/>
          <w:spacing w:val="9"/>
          <w:sz w:val="24"/>
          <w:szCs w:val="24"/>
        </w:rPr>
        <w:t>性质决定的</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在资本主义生产方式中</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资本家占有生产资料</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劳动者同生产资料是相分离的</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资本</w:t>
      </w:r>
      <w:r>
        <w:rPr>
          <w:rFonts w:hint="default" w:ascii="Times New Roman" w:hAnsi="Times New Roman" w:eastAsia="宋体" w:cs="Times New Roman"/>
          <w:spacing w:val="10"/>
          <w:sz w:val="24"/>
          <w:szCs w:val="24"/>
        </w:rPr>
        <w:t>家主宰生产过程并占有劳动成果</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生产必然是按照资本家的动机和意图进行的</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在社会主义生产方式中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劳动者是生产资料所有者和经济活动的主人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社会主义的生产目的是为了满足人民群众的需</w:t>
      </w:r>
      <w:r>
        <w:rPr>
          <w:rFonts w:hint="default" w:ascii="Times New Roman" w:hAnsi="Times New Roman" w:eastAsia="宋体" w:cs="Times New Roman"/>
          <w:spacing w:val="7"/>
          <w:sz w:val="24"/>
          <w:szCs w:val="24"/>
        </w:rPr>
        <w:t>要。(2)实行生产资料公有制。马克思恩格斯认为，为了解放和发展生产力，无产阶级在夺取政权</w:t>
      </w:r>
      <w:r>
        <w:rPr>
          <w:rFonts w:hint="default" w:ascii="Times New Roman" w:hAnsi="Times New Roman" w:eastAsia="宋体" w:cs="Times New Roman"/>
          <w:spacing w:val="10"/>
          <w:sz w:val="24"/>
          <w:szCs w:val="24"/>
        </w:rPr>
        <w:t>以后</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必须“剥夺剥夺者</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把资本主义私</w:t>
      </w:r>
      <w:r>
        <w:rPr>
          <w:rFonts w:hint="default" w:ascii="Times New Roman" w:hAnsi="Times New Roman" w:eastAsia="宋体" w:cs="Times New Roman"/>
          <w:spacing w:val="9"/>
          <w:sz w:val="24"/>
          <w:szCs w:val="24"/>
        </w:rPr>
        <w:t>有制改造为社会主义公有制</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公有制主要不是基于某种</w:t>
      </w:r>
      <w:r>
        <w:rPr>
          <w:rFonts w:hint="default" w:ascii="Times New Roman" w:hAnsi="Times New Roman" w:eastAsia="宋体" w:cs="Times New Roman"/>
          <w:spacing w:val="10"/>
          <w:sz w:val="24"/>
          <w:szCs w:val="24"/>
        </w:rPr>
        <w:t>平等观念而设想的社会制度</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而是社会生产力发展到一定高度的必然产物</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是社会化大生产所要求</w:t>
      </w:r>
      <w:r>
        <w:rPr>
          <w:rFonts w:hint="default" w:ascii="Times New Roman" w:hAnsi="Times New Roman" w:eastAsia="宋体" w:cs="Times New Roman"/>
          <w:spacing w:val="3"/>
          <w:sz w:val="24"/>
          <w:szCs w:val="24"/>
        </w:rPr>
        <w:t>的经济关系。因此，社会主义社会是“一个集体的、以生产资料公有为基础的社会”</w:t>
      </w:r>
      <w:r>
        <w:rPr>
          <w:rStyle w:val="20"/>
          <w:rFonts w:hint="default" w:ascii="Times New Roman" w:hAnsi="Times New Roman" w:eastAsia="宋体" w:cs="Times New Roman"/>
          <w:spacing w:val="3"/>
          <w:sz w:val="24"/>
          <w:szCs w:val="24"/>
        </w:rPr>
        <w:footnoteReference w:id="104"/>
      </w:r>
      <w:r>
        <w:rPr>
          <w:rFonts w:hint="default" w:ascii="Times New Roman" w:hAnsi="Times New Roman" w:eastAsia="宋体" w:cs="Times New Roman"/>
          <w:spacing w:val="3"/>
          <w:sz w:val="24"/>
          <w:szCs w:val="24"/>
        </w:rPr>
        <w:t>,它“在实行</w:t>
      </w:r>
      <w:r>
        <w:rPr>
          <w:rFonts w:hint="default" w:ascii="Times New Roman" w:hAnsi="Times New Roman" w:eastAsia="宋体" w:cs="Times New Roman"/>
          <w:spacing w:val="7"/>
          <w:sz w:val="24"/>
          <w:szCs w:val="24"/>
        </w:rPr>
        <w:t>全部生产资料公有制(先是国家的)基础上组织生产”</w:t>
      </w:r>
      <w:r>
        <w:rPr>
          <w:rStyle w:val="20"/>
          <w:rFonts w:hint="default" w:ascii="Times New Roman" w:hAnsi="Times New Roman" w:eastAsia="宋体" w:cs="Times New Roman"/>
          <w:spacing w:val="7"/>
          <w:sz w:val="24"/>
          <w:szCs w:val="24"/>
        </w:rPr>
        <w:footnoteReference w:id="105"/>
      </w:r>
      <w:r>
        <w:rPr>
          <w:rFonts w:hint="default" w:ascii="Times New Roman" w:hAnsi="Times New Roman" w:eastAsia="宋体" w:cs="Times New Roman"/>
          <w:spacing w:val="7"/>
          <w:sz w:val="24"/>
          <w:szCs w:val="24"/>
        </w:rPr>
        <w:t>。(3)</w:t>
      </w:r>
      <w:r>
        <w:rPr>
          <w:rFonts w:hint="default" w:ascii="Times New Roman" w:hAnsi="Times New Roman" w:eastAsia="宋体" w:cs="Times New Roman"/>
          <w:spacing w:val="6"/>
          <w:sz w:val="24"/>
          <w:szCs w:val="24"/>
        </w:rPr>
        <w:t>未来社会将实行有计划的生产。马</w:t>
      </w:r>
      <w:r>
        <w:rPr>
          <w:rFonts w:hint="default" w:ascii="Times New Roman" w:hAnsi="Times New Roman" w:eastAsia="宋体" w:cs="Times New Roman"/>
          <w:spacing w:val="10"/>
          <w:sz w:val="24"/>
          <w:szCs w:val="24"/>
        </w:rPr>
        <w:t>克思恩格斯认为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为了克服资本主义生产中的无政府主义和比例失调</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社会主义生产将在全社会范</w:t>
      </w:r>
      <w:r>
        <w:rPr>
          <w:rFonts w:hint="default" w:ascii="Times New Roman" w:hAnsi="Times New Roman" w:eastAsia="宋体" w:cs="Times New Roman"/>
          <w:spacing w:val="8"/>
          <w:sz w:val="24"/>
          <w:szCs w:val="24"/>
        </w:rPr>
        <w:t>围内实行有计划的组织和调节。(4)实行按劳分配</w:t>
      </w:r>
      <w:r>
        <w:rPr>
          <w:rFonts w:hint="default" w:ascii="Times New Roman" w:hAnsi="Times New Roman" w:eastAsia="宋体" w:cs="Times New Roman"/>
          <w:spacing w:val="7"/>
          <w:sz w:val="24"/>
          <w:szCs w:val="24"/>
        </w:rPr>
        <w:t>制度。马克思恩格斯认为，资本主义生产方式是</w:t>
      </w:r>
      <w:r>
        <w:rPr>
          <w:rFonts w:hint="default" w:ascii="Times New Roman" w:hAnsi="Times New Roman" w:eastAsia="宋体" w:cs="Times New Roman"/>
          <w:spacing w:val="11"/>
          <w:sz w:val="24"/>
          <w:szCs w:val="24"/>
        </w:rPr>
        <w:t>按资分配</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各个剥削阶级凭借不同数量的生产资料所有权瓜分雇佣</w:t>
      </w:r>
      <w:r>
        <w:rPr>
          <w:rFonts w:hint="default" w:ascii="Times New Roman" w:hAnsi="Times New Roman" w:eastAsia="宋体" w:cs="Times New Roman"/>
          <w:spacing w:val="10"/>
          <w:sz w:val="24"/>
          <w:szCs w:val="24"/>
        </w:rPr>
        <w:t>工人创造的剩余价值</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而劳动者</w:t>
      </w:r>
      <w:r>
        <w:rPr>
          <w:rFonts w:hint="default" w:ascii="Times New Roman" w:hAnsi="Times New Roman" w:eastAsia="宋体" w:cs="Times New Roman"/>
          <w:spacing w:val="8"/>
          <w:sz w:val="24"/>
          <w:szCs w:val="24"/>
        </w:rPr>
        <w:t>靠出卖自己仅有的特种商品即劳动力</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并按不同的劳动力使用状况取得自己劳动</w:t>
      </w:r>
      <w:r>
        <w:rPr>
          <w:rFonts w:hint="default" w:ascii="Times New Roman" w:hAnsi="Times New Roman" w:eastAsia="宋体" w:cs="Times New Roman"/>
          <w:spacing w:val="7"/>
          <w:sz w:val="24"/>
          <w:szCs w:val="24"/>
        </w:rPr>
        <w:t>所创造的部分价值</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11"/>
          <w:sz w:val="24"/>
          <w:szCs w:val="24"/>
        </w:rPr>
        <w:t>这部分必要劳动创造的价值表现为工资这种劳动力价值或价格的转化形式</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而在社会主义生产方式</w:t>
      </w:r>
      <w:r>
        <w:rPr>
          <w:rFonts w:hint="default" w:ascii="Times New Roman" w:hAnsi="Times New Roman" w:eastAsia="宋体" w:cs="Times New Roman"/>
          <w:spacing w:val="7"/>
          <w:sz w:val="24"/>
          <w:szCs w:val="24"/>
        </w:rPr>
        <w:t>条件下</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劳动者成为生产资料和国家的主人</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社</w:t>
      </w:r>
      <w:r>
        <w:rPr>
          <w:rFonts w:hint="default" w:ascii="Times New Roman" w:hAnsi="Times New Roman" w:eastAsia="宋体" w:cs="Times New Roman"/>
          <w:spacing w:val="6"/>
          <w:sz w:val="24"/>
          <w:szCs w:val="24"/>
        </w:rPr>
        <w:t>会的分配制度实行按劳分配</w:t>
      </w:r>
      <w:r>
        <w:rPr>
          <w:rFonts w:hint="default" w:ascii="Times New Roman" w:hAnsi="Times New Roman" w:eastAsia="宋体" w:cs="Times New Roman"/>
          <w:spacing w:val="6"/>
          <w:position w:val="1"/>
          <w:sz w:val="24"/>
          <w:szCs w:val="24"/>
        </w:rPr>
        <w:t>。</w:t>
      </w:r>
    </w:p>
    <w:p w14:paraId="47E7031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rPr>
        <w:t>马克思恩格斯关于未来经济社会的科学构想</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为建立社会主义经济制度提供了重要的理论依据</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6"/>
          <w:sz w:val="24"/>
          <w:szCs w:val="24"/>
        </w:rPr>
        <w:t>但必须看到</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马克思恩格斯提出的是未来经济社会的总体原则和构想</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是根据经</w:t>
      </w:r>
      <w:r>
        <w:rPr>
          <w:rFonts w:hint="default" w:ascii="Times New Roman" w:hAnsi="Times New Roman" w:eastAsia="宋体" w:cs="Times New Roman"/>
          <w:spacing w:val="5"/>
          <w:sz w:val="24"/>
          <w:szCs w:val="24"/>
        </w:rPr>
        <w:t>济社会发展的总趋势所作的一种科学预见</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并不是未来社会每个时期和发展阶段的详细蓝图</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他们的科学构想</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其原则精</w:t>
      </w:r>
      <w:r>
        <w:rPr>
          <w:rFonts w:hint="default" w:ascii="Times New Roman" w:hAnsi="Times New Roman" w:eastAsia="宋体" w:cs="Times New Roman"/>
          <w:spacing w:val="3"/>
          <w:sz w:val="24"/>
          <w:szCs w:val="24"/>
        </w:rPr>
        <w:t>神必须遵循</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而具体的经济体制机制应该也必须根据各国不同的历史条件和实践需要加以具体</w:t>
      </w:r>
      <w:r>
        <w:rPr>
          <w:rFonts w:hint="default" w:ascii="Times New Roman" w:hAnsi="Times New Roman" w:eastAsia="宋体" w:cs="Times New Roman"/>
          <w:spacing w:val="2"/>
          <w:sz w:val="24"/>
          <w:szCs w:val="24"/>
        </w:rPr>
        <w:t>化</w:t>
      </w:r>
      <w:r>
        <w:rPr>
          <w:rFonts w:hint="default" w:ascii="Times New Roman" w:hAnsi="Times New Roman" w:eastAsia="宋体" w:cs="Times New Roman"/>
          <w:spacing w:val="2"/>
          <w:position w:val="1"/>
          <w:sz w:val="24"/>
          <w:szCs w:val="24"/>
        </w:rPr>
        <w:t>。</w:t>
      </w:r>
    </w:p>
    <w:p w14:paraId="1207432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rPr>
        <w:t>党的十八大以来</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以习近平同志为核心的党中央对新时代中国特色社会主义经济建设进行一系</w:t>
      </w:r>
      <w:r>
        <w:rPr>
          <w:rFonts w:hint="default" w:ascii="Times New Roman" w:hAnsi="Times New Roman" w:eastAsia="宋体" w:cs="Times New Roman"/>
          <w:spacing w:val="9"/>
          <w:sz w:val="24"/>
          <w:szCs w:val="24"/>
        </w:rPr>
        <w:t>列创新性探索</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形成一系列新思想</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新观点和新论断</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这也集中体现在党的二十</w:t>
      </w:r>
      <w:r>
        <w:rPr>
          <w:rFonts w:hint="default" w:ascii="Times New Roman" w:hAnsi="Times New Roman" w:eastAsia="宋体" w:cs="Times New Roman"/>
          <w:spacing w:val="8"/>
          <w:sz w:val="24"/>
          <w:szCs w:val="24"/>
        </w:rPr>
        <w:t>大报告中</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具体来</w:t>
      </w:r>
      <w:r>
        <w:rPr>
          <w:rFonts w:hint="default" w:ascii="Times New Roman" w:hAnsi="Times New Roman" w:eastAsia="宋体" w:cs="Times New Roman"/>
          <w:spacing w:val="4"/>
          <w:sz w:val="24"/>
          <w:szCs w:val="24"/>
        </w:rPr>
        <w:t>说</w:t>
      </w:r>
      <w:r>
        <w:rPr>
          <w:rFonts w:hint="default" w:ascii="Times New Roman" w:hAnsi="Times New Roman" w:eastAsia="宋体" w:cs="Times New Roman"/>
          <w:spacing w:val="4"/>
          <w:position w:val="1"/>
          <w:sz w:val="24"/>
          <w:szCs w:val="24"/>
        </w:rPr>
        <w:t>，</w:t>
      </w:r>
      <w:r>
        <w:rPr>
          <w:rFonts w:hint="default" w:ascii="Times New Roman" w:hAnsi="Times New Roman" w:eastAsia="宋体" w:cs="Times New Roman"/>
          <w:spacing w:val="4"/>
          <w:sz w:val="24"/>
          <w:szCs w:val="24"/>
        </w:rPr>
        <w:t>主要有以下几个方面</w:t>
      </w:r>
      <w:r>
        <w:rPr>
          <w:rFonts w:hint="default" w:ascii="Times New Roman" w:hAnsi="Times New Roman" w:eastAsia="宋体" w:cs="Times New Roman"/>
          <w:spacing w:val="4"/>
          <w:position w:val="1"/>
          <w:sz w:val="24"/>
          <w:szCs w:val="24"/>
        </w:rPr>
        <w:t>。</w:t>
      </w:r>
    </w:p>
    <w:p w14:paraId="48FACB5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第一</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坚持马克思主义关于实现人的自由而全面发展的价值追求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践行新时代中国特色社会主义以人民为中心的发展思想</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马克思恩格斯批判以资本为中心的资本主义制度</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强调未来社会自由人联合体的全面发展</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党的十八大以来</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党中央明确我国社会主要矛盾是人民日益增长的美好生活</w:t>
      </w:r>
      <w:r>
        <w:rPr>
          <w:rFonts w:hint="default" w:ascii="Times New Roman" w:hAnsi="Times New Roman" w:eastAsia="宋体" w:cs="Times New Roman"/>
          <w:spacing w:val="7"/>
          <w:sz w:val="24"/>
          <w:szCs w:val="24"/>
        </w:rPr>
        <w:t>需要和不平衡不充分的发展之间的矛盾，将“以人民为中心”而不是“以资本为中心”作为经济社会发展的基本指针，不断深化对“以人民为中心”的理论创</w:t>
      </w:r>
      <w:r>
        <w:rPr>
          <w:rFonts w:hint="default" w:ascii="Times New Roman" w:hAnsi="Times New Roman" w:eastAsia="宋体" w:cs="Times New Roman"/>
          <w:spacing w:val="6"/>
          <w:sz w:val="24"/>
          <w:szCs w:val="24"/>
        </w:rPr>
        <w:t>新与实践探索。报告把“我们深入贯彻</w:t>
      </w:r>
      <w:r>
        <w:rPr>
          <w:rFonts w:hint="default" w:ascii="Times New Roman" w:hAnsi="Times New Roman" w:eastAsia="宋体" w:cs="Times New Roman"/>
          <w:spacing w:val="10"/>
          <w:sz w:val="24"/>
          <w:szCs w:val="24"/>
        </w:rPr>
        <w:t>以人民为中心的发展思想</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作为新时代党取得成就的重要原因之一</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并强调全面建设社会主义现代</w:t>
      </w:r>
      <w:r>
        <w:rPr>
          <w:rFonts w:hint="default" w:ascii="Times New Roman" w:hAnsi="Times New Roman" w:eastAsia="宋体" w:cs="Times New Roman"/>
          <w:spacing w:val="7"/>
          <w:sz w:val="24"/>
          <w:szCs w:val="24"/>
        </w:rPr>
        <w:t>化国家同样要“坚持以人民为中心的发展思想”“坚持人民至上”</w:t>
      </w:r>
      <w:r>
        <w:rPr>
          <w:rStyle w:val="20"/>
          <w:rFonts w:hint="default" w:ascii="Times New Roman" w:hAnsi="Times New Roman" w:eastAsia="宋体" w:cs="Times New Roman"/>
          <w:spacing w:val="7"/>
          <w:sz w:val="24"/>
          <w:szCs w:val="24"/>
        </w:rPr>
        <w:footnoteReference w:id="106"/>
      </w:r>
      <w:r>
        <w:rPr>
          <w:rFonts w:hint="default" w:ascii="Times New Roman" w:hAnsi="Times New Roman" w:eastAsia="宋体" w:cs="Times New Roman"/>
          <w:spacing w:val="7"/>
          <w:sz w:val="24"/>
          <w:szCs w:val="24"/>
        </w:rPr>
        <w:t>。这体现了中国共产党的理想信</w:t>
      </w:r>
      <w:r>
        <w:rPr>
          <w:rFonts w:hint="default" w:ascii="Times New Roman" w:hAnsi="Times New Roman" w:eastAsia="宋体" w:cs="Times New Roman"/>
          <w:spacing w:val="9"/>
          <w:sz w:val="24"/>
          <w:szCs w:val="24"/>
        </w:rPr>
        <w:t>念</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性质宗旨</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初心使命</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既有利于保证社会主义基本经济制度的性质和正确发展方向</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也有</w:t>
      </w:r>
      <w:r>
        <w:rPr>
          <w:rFonts w:hint="default" w:ascii="Times New Roman" w:hAnsi="Times New Roman" w:eastAsia="宋体" w:cs="Times New Roman"/>
          <w:spacing w:val="8"/>
          <w:sz w:val="24"/>
          <w:szCs w:val="24"/>
        </w:rPr>
        <w:t>利于</w:t>
      </w:r>
      <w:r>
        <w:rPr>
          <w:rFonts w:hint="default" w:ascii="Times New Roman" w:hAnsi="Times New Roman" w:eastAsia="宋体" w:cs="Times New Roman"/>
          <w:spacing w:val="10"/>
          <w:sz w:val="24"/>
          <w:szCs w:val="24"/>
        </w:rPr>
        <w:t>推动国民经济健康协调发展</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保证经济发展成果被广大人民群众所共享</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继承和发展了马克思主义</w:t>
      </w:r>
      <w:r>
        <w:rPr>
          <w:rFonts w:hint="default" w:ascii="Times New Roman" w:hAnsi="Times New Roman" w:eastAsia="宋体" w:cs="Times New Roman"/>
          <w:spacing w:val="8"/>
          <w:sz w:val="24"/>
          <w:szCs w:val="24"/>
        </w:rPr>
        <w:t>关于社会主要矛盾和为人民谋福利的思想</w:t>
      </w:r>
      <w:r>
        <w:rPr>
          <w:rFonts w:hint="default" w:ascii="Times New Roman" w:hAnsi="Times New Roman" w:eastAsia="宋体" w:cs="Times New Roman"/>
          <w:spacing w:val="8"/>
          <w:position w:val="1"/>
          <w:sz w:val="24"/>
          <w:szCs w:val="24"/>
        </w:rPr>
        <w:t>。</w:t>
      </w:r>
    </w:p>
    <w:p w14:paraId="20022DC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第二</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坚持马克思主义所有制理论的精神实质</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完善社会主义产权制度理论</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马克思恩格斯根</w:t>
      </w:r>
      <w:r>
        <w:rPr>
          <w:rFonts w:hint="default" w:ascii="Times New Roman" w:hAnsi="Times New Roman" w:eastAsia="宋体" w:cs="Times New Roman"/>
          <w:spacing w:val="11"/>
          <w:sz w:val="24"/>
          <w:szCs w:val="24"/>
        </w:rPr>
        <w:t>据资本主义社会基本矛盾和社会化大生产的客观要求</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提出了生产资料的社会占有和合作社占有思</w:t>
      </w:r>
      <w:r>
        <w:rPr>
          <w:rFonts w:hint="default" w:ascii="Times New Roman" w:hAnsi="Times New Roman" w:eastAsia="宋体" w:cs="Times New Roman"/>
          <w:spacing w:val="9"/>
          <w:sz w:val="24"/>
          <w:szCs w:val="24"/>
        </w:rPr>
        <w:t>想</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中国共产党成立百年来</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在推动中国革命</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建设和改革实践中创造性地践行马克思主义所有制</w:t>
      </w:r>
      <w:r>
        <w:rPr>
          <w:rFonts w:hint="default" w:ascii="Times New Roman" w:hAnsi="Times New Roman" w:eastAsia="宋体" w:cs="Times New Roman"/>
          <w:spacing w:val="11"/>
          <w:sz w:val="24"/>
          <w:szCs w:val="24"/>
        </w:rPr>
        <w:t>理论</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尤其是改革开放以来</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党依据中国特色社会主义经济建设实际</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逐步形成了公有制为主体</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0"/>
          <w:sz w:val="24"/>
          <w:szCs w:val="24"/>
        </w:rPr>
        <w:t>多种所有制经济共同发展的产权制度</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报告指出要坚持和完善社会主义基本经济制度</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毫不动摇巩固和发展公有制经济，毫不动摇鼓励、支持、引</w:t>
      </w:r>
      <w:r>
        <w:rPr>
          <w:rFonts w:hint="default" w:ascii="Times New Roman" w:hAnsi="Times New Roman" w:eastAsia="宋体" w:cs="Times New Roman"/>
          <w:spacing w:val="8"/>
          <w:sz w:val="24"/>
          <w:szCs w:val="24"/>
        </w:rPr>
        <w:t>导非公有制经济发展”，特别提出“加快国有经</w:t>
      </w:r>
      <w:r>
        <w:rPr>
          <w:rFonts w:hint="default" w:ascii="Times New Roman" w:hAnsi="Times New Roman" w:eastAsia="宋体" w:cs="Times New Roman"/>
          <w:spacing w:val="9"/>
          <w:sz w:val="24"/>
          <w:szCs w:val="24"/>
        </w:rPr>
        <w:t>济布局优化和结构调整</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推动国有资本和国有企业做强做优做大</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提升企业核心竞争力</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发展新</w:t>
      </w:r>
      <w:r>
        <w:rPr>
          <w:rFonts w:hint="default" w:ascii="Times New Roman" w:hAnsi="Times New Roman" w:eastAsia="宋体" w:cs="Times New Roman"/>
          <w:spacing w:val="6"/>
          <w:sz w:val="24"/>
          <w:szCs w:val="24"/>
        </w:rPr>
        <w:t>型农村集体经济”</w:t>
      </w:r>
      <w:r>
        <w:rPr>
          <w:rStyle w:val="20"/>
          <w:rFonts w:hint="default" w:ascii="Times New Roman" w:hAnsi="Times New Roman" w:eastAsia="宋体" w:cs="Times New Roman"/>
          <w:spacing w:val="6"/>
          <w:sz w:val="24"/>
          <w:szCs w:val="24"/>
        </w:rPr>
        <w:footnoteReference w:id="107"/>
      </w:r>
      <w:r>
        <w:rPr>
          <w:rFonts w:hint="default" w:ascii="Times New Roman" w:hAnsi="Times New Roman" w:eastAsia="宋体" w:cs="Times New Roman"/>
          <w:spacing w:val="6"/>
          <w:sz w:val="24"/>
          <w:szCs w:val="24"/>
        </w:rPr>
        <w:t>,优化民营企业发展环境，依法保护民营企业产权和企业家权益，促进民营经济</w:t>
      </w:r>
      <w:r>
        <w:rPr>
          <w:rFonts w:hint="default" w:ascii="Times New Roman" w:hAnsi="Times New Roman" w:eastAsia="宋体" w:cs="Times New Roman"/>
          <w:spacing w:val="10"/>
          <w:sz w:val="24"/>
          <w:szCs w:val="24"/>
        </w:rPr>
        <w:t>发展壮大</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等等</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这些关于社会主义产权制度发展要求的表述与改革开放以来党的经济理论和实践</w:t>
      </w:r>
      <w:r>
        <w:rPr>
          <w:rFonts w:hint="default" w:ascii="Times New Roman" w:hAnsi="Times New Roman" w:eastAsia="宋体" w:cs="Times New Roman"/>
          <w:spacing w:val="12"/>
          <w:sz w:val="24"/>
          <w:szCs w:val="24"/>
        </w:rPr>
        <w:t>成果是一脉相承的，凸显了新时代要同时推动国有资本和国有企业做强做优做大的要</w:t>
      </w:r>
      <w:r>
        <w:rPr>
          <w:rFonts w:hint="default" w:ascii="Times New Roman" w:hAnsi="Times New Roman" w:eastAsia="宋体" w:cs="Times New Roman"/>
          <w:spacing w:val="11"/>
          <w:sz w:val="24"/>
          <w:szCs w:val="24"/>
        </w:rPr>
        <w:t>求</w:t>
      </w:r>
      <w:r>
        <w:rPr>
          <w:rStyle w:val="20"/>
          <w:rFonts w:hint="default" w:ascii="Times New Roman" w:hAnsi="Times New Roman" w:eastAsia="宋体" w:cs="Times New Roman"/>
          <w:spacing w:val="11"/>
          <w:sz w:val="24"/>
          <w:szCs w:val="24"/>
        </w:rPr>
        <w:footnoteReference w:id="108"/>
      </w:r>
      <w:r>
        <w:rPr>
          <w:rFonts w:hint="default" w:ascii="Times New Roman" w:hAnsi="Times New Roman" w:eastAsia="宋体" w:cs="Times New Roman"/>
          <w:spacing w:val="11"/>
          <w:sz w:val="24"/>
          <w:szCs w:val="24"/>
        </w:rPr>
        <w:t>,使马克</w:t>
      </w:r>
      <w:r>
        <w:rPr>
          <w:rFonts w:hint="default" w:ascii="Times New Roman" w:hAnsi="Times New Roman" w:eastAsia="宋体" w:cs="Times New Roman"/>
          <w:spacing w:val="8"/>
          <w:sz w:val="24"/>
          <w:szCs w:val="24"/>
        </w:rPr>
        <w:t>思主义所有制理论得以发扬光大</w:t>
      </w:r>
      <w:r>
        <w:rPr>
          <w:rFonts w:hint="default" w:ascii="Times New Roman" w:hAnsi="Times New Roman" w:eastAsia="宋体" w:cs="Times New Roman"/>
          <w:spacing w:val="8"/>
          <w:position w:val="1"/>
          <w:sz w:val="24"/>
          <w:szCs w:val="24"/>
        </w:rPr>
        <w:t>。</w:t>
      </w:r>
    </w:p>
    <w:p w14:paraId="517A0EA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rPr>
        <w:t>第三</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坚持马克思主义关于经济调节理论的精神实质</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丰富和发展</w:t>
      </w:r>
      <w:r>
        <w:rPr>
          <w:rFonts w:hint="default" w:ascii="Times New Roman" w:hAnsi="Times New Roman" w:eastAsia="宋体" w:cs="Times New Roman"/>
          <w:spacing w:val="10"/>
          <w:sz w:val="24"/>
          <w:szCs w:val="24"/>
        </w:rPr>
        <w:t>社会主义市场经济和宏观调控理论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针对资本主义生产的无政府状态</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马克思阐述了社会主义实行计划经济和按比例发展的思</w:t>
      </w:r>
      <w:r>
        <w:rPr>
          <w:rFonts w:hint="default" w:ascii="Times New Roman" w:hAnsi="Times New Roman" w:eastAsia="宋体" w:cs="Times New Roman"/>
          <w:spacing w:val="9"/>
          <w:sz w:val="24"/>
          <w:szCs w:val="24"/>
        </w:rPr>
        <w:t>想</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改革开放以来</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我们党结合经济社会发展实际</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对</w:t>
      </w:r>
      <w:r>
        <w:rPr>
          <w:rFonts w:hint="default" w:ascii="Times New Roman" w:hAnsi="Times New Roman" w:eastAsia="宋体" w:cs="Times New Roman"/>
          <w:spacing w:val="8"/>
          <w:sz w:val="24"/>
          <w:szCs w:val="24"/>
        </w:rPr>
        <w:t>传统的计划经济体制进行改革</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市场体系建</w:t>
      </w:r>
      <w:r>
        <w:rPr>
          <w:rFonts w:hint="default" w:ascii="Times New Roman" w:hAnsi="Times New Roman" w:eastAsia="宋体" w:cs="Times New Roman"/>
          <w:spacing w:val="7"/>
          <w:sz w:val="24"/>
          <w:szCs w:val="24"/>
        </w:rPr>
        <w:t>设取得重要成就。党的十八大以来，通过深入推进供给侧结构性改革，加快推进“放管服”系列改</w:t>
      </w:r>
      <w:r>
        <w:rPr>
          <w:rFonts w:hint="default" w:ascii="Times New Roman" w:hAnsi="Times New Roman" w:eastAsia="宋体" w:cs="Times New Roman"/>
          <w:spacing w:val="10"/>
          <w:sz w:val="24"/>
          <w:szCs w:val="24"/>
        </w:rPr>
        <w:t>革</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使现代市场体系更加完善</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党的十九届四中全会把社会主义市场经济体制纳入社会主义基本经</w:t>
      </w:r>
      <w:r>
        <w:rPr>
          <w:rFonts w:hint="default" w:ascii="Times New Roman" w:hAnsi="Times New Roman" w:eastAsia="宋体" w:cs="Times New Roman"/>
          <w:spacing w:val="9"/>
          <w:sz w:val="24"/>
          <w:szCs w:val="24"/>
        </w:rPr>
        <w:t>济制度范畴</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在此基础上</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报告强调要继续“坚持</w:t>
      </w:r>
      <w:r>
        <w:rPr>
          <w:rFonts w:hint="default" w:ascii="Times New Roman" w:hAnsi="Times New Roman" w:eastAsia="宋体" w:cs="Times New Roman"/>
          <w:spacing w:val="8"/>
          <w:sz w:val="24"/>
          <w:szCs w:val="24"/>
        </w:rPr>
        <w:t>社会主义市场经济改革方向</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坚持高水平对外开</w:t>
      </w:r>
      <w:r>
        <w:rPr>
          <w:rFonts w:hint="default" w:ascii="Times New Roman" w:hAnsi="Times New Roman" w:eastAsia="宋体" w:cs="Times New Roman"/>
          <w:spacing w:val="9"/>
          <w:sz w:val="24"/>
          <w:szCs w:val="24"/>
        </w:rPr>
        <w:t>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加快构建以国内大循环为主体</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国内国际双循环相互促</w:t>
      </w:r>
      <w:r>
        <w:rPr>
          <w:rFonts w:hint="default" w:ascii="Times New Roman" w:hAnsi="Times New Roman" w:eastAsia="宋体" w:cs="Times New Roman"/>
          <w:spacing w:val="8"/>
          <w:sz w:val="24"/>
          <w:szCs w:val="24"/>
        </w:rPr>
        <w:t>进的新发展格局</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并辩证地提出“把实施扩大内需战略同深化供给侧结构性改革有机结合起来”的方针，强调“构建高水平社会主义市</w:t>
      </w:r>
      <w:r>
        <w:rPr>
          <w:rFonts w:hint="default" w:ascii="Times New Roman" w:hAnsi="Times New Roman" w:eastAsia="宋体" w:cs="Times New Roman"/>
          <w:spacing w:val="3"/>
          <w:sz w:val="24"/>
          <w:szCs w:val="24"/>
        </w:rPr>
        <w:t>场经济体制”“构建全国统一大市场，深化要素市场化改革，建设高标准市场体系”</w:t>
      </w:r>
      <w:r>
        <w:rPr>
          <w:rStyle w:val="20"/>
          <w:rFonts w:hint="default" w:ascii="Times New Roman" w:hAnsi="Times New Roman" w:eastAsia="宋体" w:cs="Times New Roman"/>
          <w:spacing w:val="3"/>
          <w:sz w:val="24"/>
          <w:szCs w:val="24"/>
        </w:rPr>
        <w:footnoteReference w:id="109"/>
      </w:r>
      <w:r>
        <w:rPr>
          <w:rFonts w:hint="default" w:ascii="Times New Roman" w:hAnsi="Times New Roman" w:eastAsia="宋体" w:cs="Times New Roman"/>
          <w:spacing w:val="3"/>
          <w:sz w:val="24"/>
          <w:szCs w:val="24"/>
        </w:rPr>
        <w:t>等要求。这既</w:t>
      </w:r>
      <w:r>
        <w:rPr>
          <w:rFonts w:hint="default" w:ascii="Times New Roman" w:hAnsi="Times New Roman" w:eastAsia="宋体" w:cs="Times New Roman"/>
          <w:spacing w:val="12"/>
          <w:sz w:val="24"/>
          <w:szCs w:val="24"/>
        </w:rPr>
        <w:t>是基于国内外发展环境变化和新时代新征程党的使命任务而提</w:t>
      </w:r>
      <w:r>
        <w:rPr>
          <w:rFonts w:hint="default" w:ascii="Times New Roman" w:hAnsi="Times New Roman" w:eastAsia="宋体" w:cs="Times New Roman"/>
          <w:spacing w:val="11"/>
          <w:sz w:val="24"/>
          <w:szCs w:val="24"/>
        </w:rPr>
        <w:t>出的重大战略举措</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又是对马克思主</w:t>
      </w:r>
      <w:r>
        <w:rPr>
          <w:rFonts w:hint="default" w:ascii="Times New Roman" w:hAnsi="Times New Roman" w:eastAsia="宋体" w:cs="Times New Roman"/>
          <w:spacing w:val="7"/>
          <w:sz w:val="24"/>
          <w:szCs w:val="24"/>
        </w:rPr>
        <w:t>义关于市场与计划</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供给与需求</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国内市场与</w:t>
      </w:r>
      <w:r>
        <w:rPr>
          <w:rFonts w:hint="default" w:ascii="Times New Roman" w:hAnsi="Times New Roman" w:eastAsia="宋体" w:cs="Times New Roman"/>
          <w:spacing w:val="6"/>
          <w:sz w:val="24"/>
          <w:szCs w:val="24"/>
        </w:rPr>
        <w:t>国际市场等理论的新发展</w:t>
      </w:r>
      <w:r>
        <w:rPr>
          <w:rFonts w:hint="default" w:ascii="Times New Roman" w:hAnsi="Times New Roman" w:eastAsia="宋体" w:cs="Times New Roman"/>
          <w:spacing w:val="6"/>
          <w:position w:val="1"/>
          <w:sz w:val="24"/>
          <w:szCs w:val="24"/>
        </w:rPr>
        <w:t>。</w:t>
      </w:r>
    </w:p>
    <w:p w14:paraId="7E1841E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第四</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坚持马克思主义按劳分配理论的原则要求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深化对新时代中国特色社会主义共同富裕发</w:t>
      </w:r>
      <w:r>
        <w:rPr>
          <w:rFonts w:hint="default" w:ascii="Times New Roman" w:hAnsi="Times New Roman" w:eastAsia="宋体" w:cs="Times New Roman"/>
          <w:spacing w:val="8"/>
          <w:sz w:val="24"/>
          <w:szCs w:val="24"/>
        </w:rPr>
        <w:t>展目标的科学认识</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资本主义社会的基本矛盾决定了资本主</w:t>
      </w:r>
      <w:r>
        <w:rPr>
          <w:rFonts w:hint="default" w:ascii="Times New Roman" w:hAnsi="Times New Roman" w:eastAsia="宋体" w:cs="Times New Roman"/>
          <w:spacing w:val="7"/>
          <w:sz w:val="24"/>
          <w:szCs w:val="24"/>
        </w:rPr>
        <w:t>义的发展必然导致贫富对立和两极分化</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10"/>
          <w:sz w:val="24"/>
          <w:szCs w:val="24"/>
        </w:rPr>
        <w:t>社会主义的重要目标之一就是消除贫富对立和两极分化</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建立公平公正的社会</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实现全体人民的共</w:t>
      </w:r>
      <w:r>
        <w:rPr>
          <w:rFonts w:hint="default" w:ascii="Times New Roman" w:hAnsi="Times New Roman" w:eastAsia="宋体" w:cs="Times New Roman"/>
          <w:spacing w:val="9"/>
          <w:sz w:val="24"/>
          <w:szCs w:val="24"/>
        </w:rPr>
        <w:t>同富裕</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改革开放伊始</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我们党在深刻总结以往现代化建设的历史经验和教训的基础上</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一再阐述</w:t>
      </w:r>
      <w:r>
        <w:rPr>
          <w:rFonts w:hint="default" w:ascii="Times New Roman" w:hAnsi="Times New Roman" w:eastAsia="宋体" w:cs="Times New Roman"/>
          <w:spacing w:val="10"/>
          <w:sz w:val="24"/>
          <w:szCs w:val="24"/>
        </w:rPr>
        <w:t>先富带动后富实现共同富裕的目标</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党的十八大以来</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9"/>
          <w:sz w:val="24"/>
          <w:szCs w:val="24"/>
        </w:rPr>
        <w:t>习近平同志为核心的党中央审时度势</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在</w:t>
      </w:r>
      <w:r>
        <w:rPr>
          <w:rFonts w:hint="default" w:ascii="Times New Roman" w:hAnsi="Times New Roman" w:eastAsia="宋体" w:cs="Times New Roman"/>
          <w:spacing w:val="10"/>
          <w:sz w:val="24"/>
          <w:szCs w:val="24"/>
        </w:rPr>
        <w:t>迈向全体人民共同富裕的道路上提出了一系列新理念</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新观点</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新论断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如在理论上把共享发展作</w:t>
      </w:r>
      <w:r>
        <w:rPr>
          <w:rFonts w:hint="default" w:ascii="Times New Roman" w:hAnsi="Times New Roman" w:eastAsia="宋体" w:cs="Times New Roman"/>
          <w:spacing w:val="16"/>
          <w:sz w:val="24"/>
          <w:szCs w:val="24"/>
        </w:rPr>
        <w:t>为新发展理念之一</w:t>
      </w:r>
      <w:r>
        <w:rPr>
          <w:rFonts w:hint="default" w:ascii="Times New Roman" w:hAnsi="Times New Roman" w:eastAsia="宋体" w:cs="Times New Roman"/>
          <w:spacing w:val="16"/>
          <w:position w:val="1"/>
          <w:sz w:val="24"/>
          <w:szCs w:val="24"/>
        </w:rPr>
        <w:t>，</w:t>
      </w:r>
      <w:r>
        <w:rPr>
          <w:rFonts w:hint="default" w:ascii="Times New Roman" w:hAnsi="Times New Roman" w:eastAsia="宋体" w:cs="Times New Roman"/>
          <w:spacing w:val="16"/>
          <w:sz w:val="24"/>
          <w:szCs w:val="24"/>
        </w:rPr>
        <w:t>在实践中党带领人民实现了</w:t>
      </w:r>
      <w:r>
        <w:rPr>
          <w:rFonts w:hint="default" w:ascii="Times New Roman" w:hAnsi="Times New Roman" w:eastAsia="宋体" w:cs="Times New Roman"/>
          <w:spacing w:val="15"/>
          <w:sz w:val="24"/>
          <w:szCs w:val="24"/>
        </w:rPr>
        <w:t>消灭绝对贫困的百年建党目标</w:t>
      </w:r>
      <w:r>
        <w:rPr>
          <w:rFonts w:hint="default" w:ascii="Times New Roman" w:hAnsi="Times New Roman" w:eastAsia="宋体" w:cs="Times New Roman"/>
          <w:spacing w:val="15"/>
          <w:position w:val="1"/>
          <w:sz w:val="24"/>
          <w:szCs w:val="24"/>
        </w:rPr>
        <w:t>，</w:t>
      </w:r>
      <w:r>
        <w:rPr>
          <w:rFonts w:hint="default" w:ascii="Times New Roman" w:hAnsi="Times New Roman" w:eastAsia="宋体" w:cs="Times New Roman"/>
          <w:spacing w:val="15"/>
          <w:sz w:val="24"/>
          <w:szCs w:val="24"/>
        </w:rPr>
        <w:t>全面建成小康社</w:t>
      </w:r>
      <w:r>
        <w:rPr>
          <w:rFonts w:hint="default" w:ascii="Times New Roman" w:hAnsi="Times New Roman" w:eastAsia="宋体" w:cs="Times New Roman"/>
          <w:spacing w:val="7"/>
          <w:sz w:val="24"/>
          <w:szCs w:val="24"/>
        </w:rPr>
        <w:t>会</w:t>
      </w:r>
      <w:r>
        <w:rPr>
          <w:rStyle w:val="20"/>
          <w:rFonts w:hint="default" w:ascii="Times New Roman" w:hAnsi="Times New Roman" w:eastAsia="宋体" w:cs="Times New Roman"/>
          <w:spacing w:val="7"/>
          <w:sz w:val="24"/>
          <w:szCs w:val="24"/>
        </w:rPr>
        <w:footnoteReference w:id="110"/>
      </w:r>
      <w:r>
        <w:rPr>
          <w:rFonts w:hint="default" w:ascii="Times New Roman" w:hAnsi="Times New Roman" w:eastAsia="宋体" w:cs="Times New Roman"/>
          <w:spacing w:val="7"/>
          <w:sz w:val="24"/>
          <w:szCs w:val="24"/>
        </w:rPr>
        <w:t>,继而提出推动“全体人民共同富裕取得更为明显的实质性进展”</w:t>
      </w:r>
      <w:r>
        <w:rPr>
          <w:rStyle w:val="20"/>
          <w:rFonts w:hint="default" w:ascii="Times New Roman" w:hAnsi="Times New Roman" w:eastAsia="宋体" w:cs="Times New Roman"/>
          <w:spacing w:val="7"/>
          <w:sz w:val="24"/>
          <w:szCs w:val="24"/>
        </w:rPr>
        <w:footnoteReference w:id="111"/>
      </w:r>
      <w:r>
        <w:rPr>
          <w:rFonts w:hint="default" w:ascii="Times New Roman" w:hAnsi="Times New Roman" w:eastAsia="宋体" w:cs="Times New Roman"/>
          <w:spacing w:val="7"/>
          <w:sz w:val="24"/>
          <w:szCs w:val="24"/>
        </w:rPr>
        <w:t>。在此基础上，报告将共同</w:t>
      </w:r>
      <w:r>
        <w:rPr>
          <w:rFonts w:hint="default" w:ascii="Times New Roman" w:hAnsi="Times New Roman" w:eastAsia="宋体" w:cs="Times New Roman"/>
          <w:spacing w:val="12"/>
          <w:sz w:val="24"/>
          <w:szCs w:val="24"/>
        </w:rPr>
        <w:t>富裕与中国式现代化的内在要求结合起来</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宣示“中国式现代化是全</w:t>
      </w:r>
      <w:r>
        <w:rPr>
          <w:rFonts w:hint="default" w:ascii="Times New Roman" w:hAnsi="Times New Roman" w:eastAsia="宋体" w:cs="Times New Roman"/>
          <w:spacing w:val="11"/>
          <w:sz w:val="24"/>
          <w:szCs w:val="24"/>
        </w:rPr>
        <w:t>体人民共同富裕的现代化</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7"/>
          <w:sz w:val="24"/>
          <w:szCs w:val="24"/>
        </w:rPr>
        <w:t>阐明“分配制度是促进共同富裕的基础性制度”。在具体分配体制建设的要求上，不仅提出要“构</w:t>
      </w:r>
      <w:r>
        <w:rPr>
          <w:rFonts w:hint="default" w:ascii="Times New Roman" w:hAnsi="Times New Roman" w:eastAsia="宋体" w:cs="Times New Roman"/>
          <w:spacing w:val="14"/>
          <w:sz w:val="24"/>
          <w:szCs w:val="24"/>
        </w:rPr>
        <w:t>建初次分配</w:t>
      </w:r>
      <w:r>
        <w:rPr>
          <w:rFonts w:hint="default" w:ascii="Times New Roman" w:hAnsi="Times New Roman" w:eastAsia="宋体" w:cs="Times New Roman"/>
          <w:spacing w:val="14"/>
          <w:position w:val="1"/>
          <w:sz w:val="24"/>
          <w:szCs w:val="24"/>
        </w:rPr>
        <w:t>、</w:t>
      </w:r>
      <w:r>
        <w:rPr>
          <w:rFonts w:hint="default" w:ascii="Times New Roman" w:hAnsi="Times New Roman" w:eastAsia="宋体" w:cs="Times New Roman"/>
          <w:spacing w:val="14"/>
          <w:sz w:val="24"/>
          <w:szCs w:val="24"/>
        </w:rPr>
        <w:t>再分配</w:t>
      </w:r>
      <w:r>
        <w:rPr>
          <w:rFonts w:hint="default" w:ascii="Times New Roman" w:hAnsi="Times New Roman" w:eastAsia="宋体" w:cs="Times New Roman"/>
          <w:spacing w:val="14"/>
          <w:position w:val="1"/>
          <w:sz w:val="24"/>
          <w:szCs w:val="24"/>
        </w:rPr>
        <w:t>、</w:t>
      </w:r>
      <w:r>
        <w:rPr>
          <w:rFonts w:hint="default" w:ascii="Times New Roman" w:hAnsi="Times New Roman" w:eastAsia="宋体" w:cs="Times New Roman"/>
          <w:spacing w:val="14"/>
          <w:sz w:val="24"/>
          <w:szCs w:val="24"/>
        </w:rPr>
        <w:t>第三次分配协调配套的制度体系</w:t>
      </w:r>
      <w:r>
        <w:rPr>
          <w:rFonts w:hint="default" w:ascii="Times New Roman" w:hAnsi="Times New Roman" w:eastAsia="宋体" w:cs="Times New Roman"/>
          <w:spacing w:val="14"/>
          <w:position w:val="1"/>
          <w:sz w:val="24"/>
          <w:szCs w:val="24"/>
        </w:rPr>
        <w:t>”，</w:t>
      </w:r>
      <w:r>
        <w:rPr>
          <w:rFonts w:hint="default" w:ascii="Times New Roman" w:hAnsi="Times New Roman" w:eastAsia="宋体" w:cs="Times New Roman"/>
          <w:spacing w:val="14"/>
          <w:sz w:val="24"/>
          <w:szCs w:val="24"/>
        </w:rPr>
        <w:t>而且针对性地提</w:t>
      </w:r>
      <w:r>
        <w:rPr>
          <w:rFonts w:hint="default" w:ascii="Times New Roman" w:hAnsi="Times New Roman" w:eastAsia="宋体" w:cs="Times New Roman"/>
          <w:spacing w:val="13"/>
          <w:sz w:val="24"/>
          <w:szCs w:val="24"/>
        </w:rPr>
        <w:t>出“规范财富积累机</w:t>
      </w:r>
      <w:r>
        <w:rPr>
          <w:rFonts w:hint="default" w:ascii="Times New Roman" w:hAnsi="Times New Roman" w:eastAsia="宋体" w:cs="Times New Roman"/>
          <w:spacing w:val="-13"/>
          <w:w w:val="85"/>
          <w:sz w:val="24"/>
          <w:szCs w:val="24"/>
        </w:rPr>
        <w:t>制”</w:t>
      </w:r>
      <w:r>
        <w:rPr>
          <w:rStyle w:val="20"/>
          <w:rFonts w:hint="default" w:ascii="Times New Roman" w:hAnsi="Times New Roman" w:eastAsia="宋体" w:cs="Times New Roman"/>
          <w:spacing w:val="-13"/>
          <w:w w:val="85"/>
          <w:sz w:val="24"/>
          <w:szCs w:val="24"/>
        </w:rPr>
        <w:footnoteReference w:id="112"/>
      </w:r>
      <w:r>
        <w:rPr>
          <w:rFonts w:hint="default" w:ascii="Times New Roman" w:hAnsi="Times New Roman" w:eastAsia="宋体" w:cs="Times New Roman"/>
          <w:spacing w:val="7"/>
          <w:sz w:val="24"/>
          <w:szCs w:val="24"/>
        </w:rPr>
        <w:t>等新要求，从而进一步丰富发展了马克思主义分配理论。</w:t>
      </w:r>
    </w:p>
    <w:p w14:paraId="114902D0">
      <w:pPr>
        <w:pStyle w:val="4"/>
        <w:bidi w:val="0"/>
        <w:rPr>
          <w:rFonts w:hint="default"/>
        </w:rPr>
      </w:pPr>
      <w:r>
        <w:rPr>
          <w:rFonts w:hint="default"/>
        </w:rPr>
        <w:t>三、用科学社会主义的基本原则领悟社会主义现代化建设的新部署</w:t>
      </w:r>
    </w:p>
    <w:p w14:paraId="7E1C122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rPr>
        <w:t>中国特色社会主义是对科学社会主义的继承和发展</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那么科学社会主义</w:t>
      </w:r>
      <w:r>
        <w:rPr>
          <w:rFonts w:hint="default" w:ascii="Times New Roman" w:hAnsi="Times New Roman" w:eastAsia="宋体" w:cs="Times New Roman"/>
          <w:spacing w:val="10"/>
          <w:sz w:val="24"/>
          <w:szCs w:val="24"/>
        </w:rPr>
        <w:t>的基本原则包括哪些内</w:t>
      </w:r>
      <w:r>
        <w:rPr>
          <w:rFonts w:hint="default" w:ascii="Times New Roman" w:hAnsi="Times New Roman" w:eastAsia="宋体" w:cs="Times New Roman"/>
          <w:spacing w:val="13"/>
          <w:sz w:val="24"/>
          <w:szCs w:val="24"/>
        </w:rPr>
        <w:t>容呢?综观马克思主义经典作家对科学社会主</w:t>
      </w:r>
      <w:r>
        <w:rPr>
          <w:rFonts w:hint="default" w:ascii="Times New Roman" w:hAnsi="Times New Roman" w:eastAsia="宋体" w:cs="Times New Roman"/>
          <w:spacing w:val="12"/>
          <w:sz w:val="24"/>
          <w:szCs w:val="24"/>
        </w:rPr>
        <w:t>义的论述</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除上文提及在生产力大发展基础上坚持社</w:t>
      </w:r>
      <w:r>
        <w:rPr>
          <w:rFonts w:hint="default" w:ascii="Times New Roman" w:hAnsi="Times New Roman" w:eastAsia="宋体" w:cs="Times New Roman"/>
          <w:spacing w:val="11"/>
          <w:sz w:val="24"/>
          <w:szCs w:val="24"/>
        </w:rPr>
        <w:t>会主义产权</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调节和分配等基本经济制度原则之外</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还包括以下几个方面:一是要坚持党的领导和依靠工人阶级</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科学社会主义是以工人阶级为物质</w:t>
      </w:r>
      <w:r>
        <w:rPr>
          <w:rFonts w:hint="default" w:ascii="Times New Roman" w:hAnsi="Times New Roman" w:eastAsia="宋体" w:cs="Times New Roman"/>
          <w:spacing w:val="10"/>
          <w:sz w:val="24"/>
          <w:szCs w:val="24"/>
        </w:rPr>
        <w:t>实现力量</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以工人阶级政党为领导核心</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通过无</w:t>
      </w:r>
      <w:r>
        <w:rPr>
          <w:rFonts w:hint="default" w:ascii="Times New Roman" w:hAnsi="Times New Roman" w:eastAsia="宋体" w:cs="Times New Roman"/>
          <w:spacing w:val="12"/>
          <w:sz w:val="24"/>
          <w:szCs w:val="24"/>
        </w:rPr>
        <w:t>产阶级革命和无产阶级专政建立起来并进行社会主义建设的社会制度</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无产阶级革命和建设都必须</w:t>
      </w:r>
      <w:r>
        <w:rPr>
          <w:rFonts w:hint="default" w:ascii="Times New Roman" w:hAnsi="Times New Roman" w:eastAsia="宋体" w:cs="Times New Roman"/>
          <w:spacing w:val="10"/>
          <w:sz w:val="24"/>
          <w:szCs w:val="24"/>
        </w:rPr>
        <w:t>坚持党的领导</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对此</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列宁明确指出: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在我国</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国家政权的一切政治经济工作都由工人阶级觉悟</w:t>
      </w:r>
      <w:r>
        <w:rPr>
          <w:rFonts w:hint="default" w:ascii="Times New Roman" w:hAnsi="Times New Roman" w:eastAsia="宋体" w:cs="Times New Roman"/>
          <w:spacing w:val="6"/>
          <w:sz w:val="24"/>
          <w:szCs w:val="24"/>
        </w:rPr>
        <w:t>的先锋队共产党领导”</w:t>
      </w:r>
      <w:r>
        <w:rPr>
          <w:rStyle w:val="20"/>
          <w:rFonts w:hint="default" w:ascii="Times New Roman" w:hAnsi="Times New Roman" w:eastAsia="宋体" w:cs="Times New Roman"/>
          <w:spacing w:val="6"/>
          <w:sz w:val="24"/>
          <w:szCs w:val="24"/>
        </w:rPr>
        <w:footnoteReference w:id="113"/>
      </w:r>
      <w:r>
        <w:rPr>
          <w:rFonts w:hint="default" w:ascii="Times New Roman" w:hAnsi="Times New Roman" w:eastAsia="宋体" w:cs="Times New Roman"/>
          <w:spacing w:val="6"/>
          <w:sz w:val="24"/>
          <w:szCs w:val="24"/>
        </w:rPr>
        <w:t>。二是要建立民主的国</w:t>
      </w:r>
      <w:r>
        <w:rPr>
          <w:rFonts w:hint="default" w:ascii="Times New Roman" w:hAnsi="Times New Roman" w:eastAsia="宋体" w:cs="Times New Roman"/>
          <w:spacing w:val="5"/>
          <w:sz w:val="24"/>
          <w:szCs w:val="24"/>
        </w:rPr>
        <w:t>家制度。马克思恩格斯在《共产党宣言》中便清晰地</w:t>
      </w:r>
      <w:r>
        <w:rPr>
          <w:rFonts w:hint="default" w:ascii="Times New Roman" w:hAnsi="Times New Roman" w:eastAsia="宋体" w:cs="Times New Roman"/>
          <w:spacing w:val="2"/>
          <w:sz w:val="24"/>
          <w:szCs w:val="24"/>
        </w:rPr>
        <w:t>指出:“工人革命的第一步就是使无产阶级上升为统治阶级，争得民主。”</w:t>
      </w:r>
      <w:r>
        <w:rPr>
          <w:rStyle w:val="20"/>
          <w:rFonts w:hint="default" w:ascii="Times New Roman" w:hAnsi="Times New Roman" w:eastAsia="宋体" w:cs="Times New Roman"/>
          <w:spacing w:val="2"/>
          <w:sz w:val="24"/>
          <w:szCs w:val="24"/>
        </w:rPr>
        <w:footnoteReference w:id="114"/>
      </w:r>
      <w:r>
        <w:rPr>
          <w:rFonts w:hint="default" w:ascii="Times New Roman" w:hAnsi="Times New Roman" w:eastAsia="宋体" w:cs="Times New Roman"/>
          <w:spacing w:val="2"/>
          <w:sz w:val="24"/>
          <w:szCs w:val="24"/>
        </w:rPr>
        <w:t>列宁也强调:</w:t>
      </w:r>
      <w:r>
        <w:rPr>
          <w:rFonts w:hint="default" w:ascii="Times New Roman" w:hAnsi="Times New Roman" w:eastAsia="宋体" w:cs="Times New Roman"/>
          <w:spacing w:val="1"/>
          <w:sz w:val="24"/>
          <w:szCs w:val="24"/>
        </w:rPr>
        <w:t>“无产阶级</w:t>
      </w:r>
      <w:r>
        <w:rPr>
          <w:rFonts w:hint="default" w:ascii="Times New Roman" w:hAnsi="Times New Roman" w:eastAsia="宋体" w:cs="Times New Roman"/>
          <w:spacing w:val="11"/>
          <w:sz w:val="24"/>
          <w:szCs w:val="24"/>
        </w:rPr>
        <w:t>民主(苏维埃政权就是它的一种形式)在</w:t>
      </w:r>
      <w:r>
        <w:rPr>
          <w:rFonts w:hint="default" w:ascii="Times New Roman" w:hAnsi="Times New Roman" w:eastAsia="宋体" w:cs="Times New Roman"/>
          <w:spacing w:val="10"/>
          <w:sz w:val="24"/>
          <w:szCs w:val="24"/>
        </w:rPr>
        <w:t>世界上史无前例地发展和扩大了的，正是对大多数居民即</w:t>
      </w:r>
      <w:r>
        <w:rPr>
          <w:rFonts w:hint="default" w:ascii="Times New Roman" w:hAnsi="Times New Roman" w:eastAsia="宋体" w:cs="Times New Roman"/>
          <w:spacing w:val="6"/>
          <w:sz w:val="24"/>
          <w:szCs w:val="24"/>
        </w:rPr>
        <w:t>对被剥削劳动者的民主。”</w:t>
      </w:r>
      <w:r>
        <w:rPr>
          <w:rStyle w:val="20"/>
          <w:rFonts w:hint="default" w:ascii="Times New Roman" w:hAnsi="Times New Roman" w:eastAsia="宋体" w:cs="Times New Roman"/>
          <w:spacing w:val="6"/>
          <w:sz w:val="24"/>
          <w:szCs w:val="24"/>
        </w:rPr>
        <w:footnoteReference w:id="115"/>
      </w:r>
      <w:r>
        <w:rPr>
          <w:rFonts w:hint="default" w:ascii="Times New Roman" w:hAnsi="Times New Roman" w:eastAsia="宋体" w:cs="Times New Roman"/>
          <w:spacing w:val="6"/>
          <w:sz w:val="24"/>
          <w:szCs w:val="24"/>
        </w:rPr>
        <w:t>不仅如此，马克思主义经典作家还强调坚持民主集中制的</w:t>
      </w:r>
      <w:r>
        <w:rPr>
          <w:rFonts w:hint="default" w:ascii="Times New Roman" w:hAnsi="Times New Roman" w:eastAsia="宋体" w:cs="Times New Roman"/>
          <w:spacing w:val="5"/>
          <w:sz w:val="24"/>
          <w:szCs w:val="24"/>
        </w:rPr>
        <w:t>重要性。列宁在1906年3月提交俄国社会民主工党代表大会的策略纲领中的“党组织原则”一节中写道:“</w:t>
      </w:r>
      <w:r>
        <w:rPr>
          <w:rFonts w:hint="default" w:ascii="Times New Roman" w:hAnsi="Times New Roman" w:eastAsia="宋体" w:cs="Times New Roman"/>
          <w:spacing w:val="4"/>
          <w:sz w:val="24"/>
          <w:szCs w:val="24"/>
        </w:rPr>
        <w:t>党内</w:t>
      </w:r>
      <w:r>
        <w:rPr>
          <w:rFonts w:hint="default" w:ascii="Times New Roman" w:hAnsi="Times New Roman" w:eastAsia="宋体" w:cs="Times New Roman"/>
          <w:spacing w:val="13"/>
          <w:sz w:val="24"/>
          <w:szCs w:val="24"/>
        </w:rPr>
        <w:t>民主集中制的原则是现在一致公认的原则。”</w:t>
      </w:r>
      <w:r>
        <w:rPr>
          <w:rStyle w:val="20"/>
          <w:rFonts w:hint="default" w:ascii="Times New Roman" w:hAnsi="Times New Roman" w:eastAsia="宋体" w:cs="Times New Roman"/>
          <w:spacing w:val="13"/>
          <w:sz w:val="24"/>
          <w:szCs w:val="24"/>
        </w:rPr>
        <w:footnoteReference w:id="116"/>
      </w:r>
      <w:r>
        <w:rPr>
          <w:rFonts w:hint="default" w:ascii="Times New Roman" w:hAnsi="Times New Roman" w:eastAsia="宋体" w:cs="Times New Roman"/>
          <w:spacing w:val="13"/>
          <w:sz w:val="24"/>
          <w:szCs w:val="24"/>
        </w:rPr>
        <w:t>三是要实行变革以实现和谐社会。在马克思看来，</w:t>
      </w:r>
      <w:r>
        <w:rPr>
          <w:rFonts w:hint="default" w:ascii="Times New Roman" w:hAnsi="Times New Roman" w:eastAsia="宋体" w:cs="Times New Roman"/>
          <w:spacing w:val="11"/>
          <w:sz w:val="24"/>
          <w:szCs w:val="24"/>
        </w:rPr>
        <w:t>“为了把社会生产变为一种广泛的</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和谐的自由合作劳动的制度</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必须进行全面的</w:t>
      </w:r>
      <w:r>
        <w:rPr>
          <w:rFonts w:hint="default" w:ascii="Times New Roman" w:hAnsi="Times New Roman" w:eastAsia="宋体" w:cs="Times New Roman"/>
          <w:spacing w:val="10"/>
          <w:sz w:val="24"/>
          <w:szCs w:val="24"/>
        </w:rPr>
        <w:t>社会变革</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社会</w:t>
      </w:r>
      <w:r>
        <w:rPr>
          <w:rFonts w:hint="default" w:ascii="Times New Roman" w:hAnsi="Times New Roman" w:eastAsia="宋体" w:cs="Times New Roman"/>
          <w:spacing w:val="-1"/>
          <w:sz w:val="24"/>
          <w:szCs w:val="24"/>
        </w:rPr>
        <w:t>制度基础的变革”</w:t>
      </w:r>
      <w:r>
        <w:rPr>
          <w:rStyle w:val="20"/>
          <w:rFonts w:hint="default" w:ascii="Times New Roman" w:hAnsi="Times New Roman" w:eastAsia="宋体" w:cs="Times New Roman"/>
          <w:spacing w:val="-1"/>
          <w:sz w:val="24"/>
          <w:szCs w:val="24"/>
        </w:rPr>
        <w:footnoteReference w:id="117"/>
      </w:r>
      <w:r>
        <w:rPr>
          <w:rFonts w:hint="default" w:ascii="Times New Roman" w:hAnsi="Times New Roman" w:eastAsia="宋体" w:cs="Times New Roman"/>
          <w:spacing w:val="-1"/>
          <w:sz w:val="24"/>
          <w:szCs w:val="24"/>
        </w:rPr>
        <w:t>,“生产将以所有的人富裕为目的”</w:t>
      </w:r>
      <w:r>
        <w:rPr>
          <w:rStyle w:val="20"/>
          <w:rFonts w:hint="default" w:ascii="Times New Roman" w:hAnsi="Times New Roman" w:eastAsia="宋体" w:cs="Times New Roman"/>
          <w:spacing w:val="-1"/>
          <w:sz w:val="24"/>
          <w:szCs w:val="24"/>
        </w:rPr>
        <w:footnoteReference w:id="118"/>
      </w:r>
      <w:r>
        <w:rPr>
          <w:rFonts w:hint="default" w:ascii="Times New Roman" w:hAnsi="Times New Roman" w:eastAsia="宋体" w:cs="Times New Roman"/>
          <w:spacing w:val="-1"/>
          <w:sz w:val="24"/>
          <w:szCs w:val="24"/>
        </w:rPr>
        <w:t>,“所有人共同享受大家创造出</w:t>
      </w:r>
      <w:r>
        <w:rPr>
          <w:rFonts w:hint="default" w:ascii="Times New Roman" w:hAnsi="Times New Roman" w:eastAsia="宋体" w:cs="Times New Roman"/>
          <w:spacing w:val="-2"/>
          <w:sz w:val="24"/>
          <w:szCs w:val="24"/>
        </w:rPr>
        <w:t>来的福利”</w:t>
      </w:r>
      <w:r>
        <w:rPr>
          <w:rStyle w:val="20"/>
          <w:rFonts w:hint="default" w:ascii="Times New Roman" w:hAnsi="Times New Roman" w:eastAsia="宋体" w:cs="Times New Roman"/>
          <w:spacing w:val="-2"/>
          <w:position w:val="5"/>
          <w:sz w:val="24"/>
          <w:szCs w:val="24"/>
        </w:rPr>
        <w:footnoteReference w:id="119"/>
      </w:r>
      <w:r>
        <w:rPr>
          <w:rFonts w:hint="default" w:ascii="Times New Roman" w:hAnsi="Times New Roman" w:eastAsia="宋体" w:cs="Times New Roman"/>
          <w:spacing w:val="-2"/>
          <w:sz w:val="24"/>
          <w:szCs w:val="24"/>
        </w:rPr>
        <w:t>。</w:t>
      </w:r>
      <w:r>
        <w:rPr>
          <w:rFonts w:hint="default" w:ascii="Times New Roman" w:hAnsi="Times New Roman" w:eastAsia="宋体" w:cs="Times New Roman"/>
          <w:spacing w:val="10"/>
          <w:sz w:val="24"/>
          <w:szCs w:val="24"/>
        </w:rPr>
        <w:t>也就是说</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社会主义既要较快发展生产力</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又要实现所有人的共同富裕和社会和谐</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四是要极大提</w:t>
      </w:r>
      <w:r>
        <w:rPr>
          <w:rFonts w:hint="default" w:ascii="Times New Roman" w:hAnsi="Times New Roman" w:eastAsia="宋体" w:cs="Times New Roman"/>
          <w:spacing w:val="7"/>
          <w:sz w:val="24"/>
          <w:szCs w:val="24"/>
        </w:rPr>
        <w:t>高人的精神境界</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马克思恩格斯认为</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未来社会要实现与传统的私有制和私有观念的“彻底决裂</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12"/>
          <w:sz w:val="24"/>
          <w:szCs w:val="24"/>
        </w:rPr>
        <w:t>形成与公有制相适应的社会主义思想观念</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恩格斯指出:</w:t>
      </w:r>
      <w:r>
        <w:rPr>
          <w:rFonts w:hint="default" w:ascii="Times New Roman" w:hAnsi="Times New Roman" w:eastAsia="宋体" w:cs="Times New Roman"/>
          <w:spacing w:val="12"/>
          <w:position w:val="1"/>
          <w:sz w:val="24"/>
          <w:szCs w:val="24"/>
        </w:rPr>
        <w:t>“</w:t>
      </w:r>
      <w:r>
        <w:rPr>
          <w:rFonts w:hint="default" w:ascii="Times New Roman" w:hAnsi="Times New Roman" w:eastAsia="宋体" w:cs="Times New Roman"/>
          <w:spacing w:val="12"/>
          <w:sz w:val="24"/>
          <w:szCs w:val="24"/>
        </w:rPr>
        <w:t>超越阶级对立</w:t>
      </w:r>
      <w:r>
        <w:rPr>
          <w:rFonts w:hint="default" w:ascii="Times New Roman" w:hAnsi="Times New Roman" w:eastAsia="宋体" w:cs="Times New Roman"/>
          <w:spacing w:val="11"/>
          <w:sz w:val="24"/>
          <w:szCs w:val="24"/>
        </w:rPr>
        <w:t>和超越对这种对立的回忆</w:t>
      </w:r>
      <w:r>
        <w:rPr>
          <w:rFonts w:hint="default" w:ascii="Times New Roman" w:hAnsi="Times New Roman" w:eastAsia="宋体" w:cs="Times New Roman"/>
          <w:spacing w:val="3"/>
          <w:sz w:val="24"/>
          <w:szCs w:val="24"/>
        </w:rPr>
        <w:t>的、真正人的道德才成为可能。”</w:t>
      </w:r>
      <w:r>
        <w:rPr>
          <w:rStyle w:val="20"/>
          <w:rFonts w:hint="default" w:ascii="Times New Roman" w:hAnsi="Times New Roman" w:eastAsia="宋体" w:cs="Times New Roman"/>
          <w:spacing w:val="19"/>
          <w:position w:val="6"/>
          <w:sz w:val="24"/>
          <w:szCs w:val="24"/>
        </w:rPr>
        <w:footnoteReference w:id="120"/>
      </w:r>
      <w:r>
        <w:rPr>
          <w:rFonts w:hint="default" w:ascii="Times New Roman" w:hAnsi="Times New Roman" w:eastAsia="宋体" w:cs="Times New Roman"/>
          <w:spacing w:val="3"/>
          <w:sz w:val="24"/>
          <w:szCs w:val="24"/>
        </w:rPr>
        <w:t>五是要确立“人</w:t>
      </w:r>
      <w:r>
        <w:rPr>
          <w:rFonts w:hint="default" w:ascii="Times New Roman" w:hAnsi="Times New Roman" w:eastAsia="宋体" w:cs="Times New Roman"/>
          <w:spacing w:val="2"/>
          <w:sz w:val="24"/>
          <w:szCs w:val="24"/>
        </w:rPr>
        <w:t>化自然观”。马克思恩格斯把实践作为联系人与</w:t>
      </w:r>
      <w:r>
        <w:rPr>
          <w:rFonts w:hint="default" w:ascii="Times New Roman" w:hAnsi="Times New Roman" w:eastAsia="宋体" w:cs="Times New Roman"/>
          <w:spacing w:val="11"/>
          <w:sz w:val="24"/>
          <w:szCs w:val="24"/>
        </w:rPr>
        <w:t>自然的桥梁</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把自然理解为人类生存和活动的环境</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人类的生产要素</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从而把自然与</w:t>
      </w:r>
      <w:r>
        <w:rPr>
          <w:rFonts w:hint="default" w:ascii="Times New Roman" w:hAnsi="Times New Roman" w:eastAsia="宋体" w:cs="Times New Roman"/>
          <w:spacing w:val="10"/>
          <w:sz w:val="24"/>
          <w:szCs w:val="24"/>
        </w:rPr>
        <w:t>人类社会具体地</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历史地联系起来</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揭示了人与自然的辩证关系</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社会主义建设必须顺应自然</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遵循自然规律</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7"/>
          <w:sz w:val="24"/>
          <w:szCs w:val="24"/>
        </w:rPr>
        <w:t>正确处理人与自然的关系</w:t>
      </w:r>
      <w:r>
        <w:rPr>
          <w:rFonts w:hint="default" w:ascii="Times New Roman" w:hAnsi="Times New Roman" w:eastAsia="宋体" w:cs="Times New Roman"/>
          <w:spacing w:val="7"/>
          <w:position w:val="1"/>
          <w:sz w:val="24"/>
          <w:szCs w:val="24"/>
        </w:rPr>
        <w:t>。</w:t>
      </w:r>
    </w:p>
    <w:p w14:paraId="675F92D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我国社会主义制度建立以来</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党带领人民坚持科学社会主义基本原则</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并结合国情进行一系列创新性实践</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使中国特色社会主义制度得到不断发展和完善</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进入新</w:t>
      </w:r>
      <w:r>
        <w:rPr>
          <w:rFonts w:hint="default" w:ascii="Times New Roman" w:hAnsi="Times New Roman" w:eastAsia="宋体" w:cs="Times New Roman"/>
          <w:spacing w:val="9"/>
          <w:sz w:val="24"/>
          <w:szCs w:val="24"/>
        </w:rPr>
        <w:t>时代</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习近平总书记对坚持和</w:t>
      </w:r>
      <w:r>
        <w:rPr>
          <w:rFonts w:hint="default" w:ascii="Times New Roman" w:hAnsi="Times New Roman" w:eastAsia="宋体" w:cs="Times New Roman"/>
          <w:spacing w:val="11"/>
          <w:sz w:val="24"/>
          <w:szCs w:val="24"/>
        </w:rPr>
        <w:t>发展中国特色社会主义作出深刻阐释，尤其是在《关于坚持和发展中国特色社会主义的几个问题》</w:t>
      </w:r>
      <w:r>
        <w:rPr>
          <w:rFonts w:hint="default" w:ascii="Times New Roman" w:hAnsi="Times New Roman" w:eastAsia="宋体" w:cs="Times New Roman"/>
          <w:spacing w:val="10"/>
          <w:sz w:val="24"/>
          <w:szCs w:val="24"/>
        </w:rPr>
        <w:t>一文中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他鲜明地指出: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中国特色社会主义</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是科学社会主义理论逻辑和中国社会发展历史逻辑的辩证统一</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是根植于中国大地</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反映中国人民意愿</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适应中国和时代发展进步要求的</w:t>
      </w:r>
      <w:r>
        <w:rPr>
          <w:rFonts w:hint="default" w:ascii="Times New Roman" w:hAnsi="Times New Roman" w:eastAsia="宋体" w:cs="Times New Roman"/>
          <w:spacing w:val="9"/>
          <w:sz w:val="24"/>
          <w:szCs w:val="24"/>
        </w:rPr>
        <w:t>科学社会主</w:t>
      </w:r>
      <w:r>
        <w:rPr>
          <w:rFonts w:hint="default" w:ascii="Times New Roman" w:hAnsi="Times New Roman" w:eastAsia="宋体" w:cs="Times New Roman"/>
          <w:spacing w:val="4"/>
          <w:sz w:val="24"/>
          <w:szCs w:val="24"/>
        </w:rPr>
        <w:t>义，是全面建成小康社会、加快推进社会主义现代化、实现中华民族伟大复兴的必由之路</w:t>
      </w:r>
      <w:r>
        <w:rPr>
          <w:rFonts w:hint="default" w:ascii="Times New Roman" w:hAnsi="Times New Roman" w:eastAsia="宋体" w:cs="Times New Roman"/>
          <w:spacing w:val="3"/>
          <w:sz w:val="24"/>
          <w:szCs w:val="24"/>
        </w:rPr>
        <w:t>。”</w:t>
      </w:r>
      <w:r>
        <w:rPr>
          <w:rStyle w:val="20"/>
          <w:rFonts w:hint="default" w:ascii="Times New Roman" w:hAnsi="Times New Roman" w:eastAsia="宋体" w:cs="Times New Roman"/>
          <w:spacing w:val="3"/>
          <w:sz w:val="24"/>
          <w:szCs w:val="24"/>
        </w:rPr>
        <w:footnoteReference w:id="121"/>
      </w:r>
      <w:r>
        <w:rPr>
          <w:rFonts w:hint="default" w:ascii="Times New Roman" w:hAnsi="Times New Roman" w:eastAsia="宋体" w:cs="Times New Roman"/>
          <w:spacing w:val="3"/>
          <w:sz w:val="24"/>
          <w:szCs w:val="24"/>
        </w:rPr>
        <w:t>习近</w:t>
      </w:r>
      <w:r>
        <w:rPr>
          <w:rFonts w:hint="default" w:ascii="Times New Roman" w:hAnsi="Times New Roman" w:eastAsia="宋体" w:cs="Times New Roman"/>
          <w:spacing w:val="10"/>
          <w:sz w:val="24"/>
          <w:szCs w:val="24"/>
        </w:rPr>
        <w:t>平总书记的精辟阐释</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深刻揭示了中国特色社会主义的根本理论和实践问题</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廓清了道路问题上的重大政治和思想理论是非</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使我们党进一步坚定了对中国道路的自觉和自信</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使党和国家事业取得历史性成就</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发生历史性变革</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报告在总结新时代中国特色社会主义建设实</w:t>
      </w:r>
      <w:r>
        <w:rPr>
          <w:rFonts w:hint="default" w:ascii="Times New Roman" w:hAnsi="Times New Roman" w:eastAsia="宋体" w:cs="Times New Roman"/>
          <w:spacing w:val="9"/>
          <w:sz w:val="24"/>
          <w:szCs w:val="24"/>
        </w:rPr>
        <w:t>践经验基础上</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对中国</w:t>
      </w:r>
      <w:r>
        <w:rPr>
          <w:rFonts w:hint="default" w:ascii="Times New Roman" w:hAnsi="Times New Roman" w:eastAsia="宋体" w:cs="Times New Roman"/>
          <w:spacing w:val="11"/>
          <w:sz w:val="24"/>
          <w:szCs w:val="24"/>
        </w:rPr>
        <w:t>式现代化理论进行系统阐述</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不仅揭示了中国式现代化的基本特征</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而且提出了中国式现代化的本质要求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并对新时代中国特色社会主义建设进行了系统部署和要求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这些部署和要求既坚持了科学社会主义基本原则</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又契合了社会主义现代化建设内在要求</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进一步深化了对社会主义建设规律的</w:t>
      </w:r>
      <w:r>
        <w:rPr>
          <w:rFonts w:hint="default" w:ascii="Times New Roman" w:hAnsi="Times New Roman" w:eastAsia="宋体" w:cs="Times New Roman"/>
          <w:spacing w:val="4"/>
          <w:sz w:val="24"/>
          <w:szCs w:val="24"/>
        </w:rPr>
        <w:t>认识</w:t>
      </w:r>
      <w:r>
        <w:rPr>
          <w:rFonts w:hint="default" w:ascii="Times New Roman" w:hAnsi="Times New Roman" w:eastAsia="宋体" w:cs="Times New Roman"/>
          <w:spacing w:val="4"/>
          <w:position w:val="1"/>
          <w:sz w:val="24"/>
          <w:szCs w:val="24"/>
        </w:rPr>
        <w:t>。</w:t>
      </w:r>
      <w:r>
        <w:rPr>
          <w:rFonts w:hint="default" w:ascii="Times New Roman" w:hAnsi="Times New Roman" w:eastAsia="宋体" w:cs="Times New Roman"/>
          <w:spacing w:val="4"/>
          <w:sz w:val="24"/>
          <w:szCs w:val="24"/>
        </w:rPr>
        <w:t>对此</w:t>
      </w:r>
      <w:r>
        <w:rPr>
          <w:rFonts w:hint="default" w:ascii="Times New Roman" w:hAnsi="Times New Roman" w:eastAsia="宋体" w:cs="Times New Roman"/>
          <w:spacing w:val="4"/>
          <w:position w:val="1"/>
          <w:sz w:val="24"/>
          <w:szCs w:val="24"/>
        </w:rPr>
        <w:t>，</w:t>
      </w:r>
      <w:r>
        <w:rPr>
          <w:rFonts w:hint="default" w:ascii="Times New Roman" w:hAnsi="Times New Roman" w:eastAsia="宋体" w:cs="Times New Roman"/>
          <w:spacing w:val="4"/>
          <w:sz w:val="24"/>
          <w:szCs w:val="24"/>
        </w:rPr>
        <w:t>我们应该重点把握以下几点</w:t>
      </w:r>
      <w:r>
        <w:rPr>
          <w:rFonts w:hint="default" w:ascii="Times New Roman" w:hAnsi="Times New Roman" w:eastAsia="宋体" w:cs="Times New Roman"/>
          <w:spacing w:val="4"/>
          <w:position w:val="1"/>
          <w:sz w:val="24"/>
          <w:szCs w:val="24"/>
        </w:rPr>
        <w:t>。</w:t>
      </w:r>
    </w:p>
    <w:p w14:paraId="62F0E4A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第一</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坚持和加强党的集中统一领导</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发挥好最高政治领导力量的最大优势</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坚持马克思主义</w:t>
      </w:r>
      <w:r>
        <w:rPr>
          <w:rFonts w:hint="default" w:ascii="Times New Roman" w:hAnsi="Times New Roman" w:eastAsia="宋体" w:cs="Times New Roman"/>
          <w:spacing w:val="11"/>
          <w:sz w:val="24"/>
          <w:szCs w:val="24"/>
        </w:rPr>
        <w:t>政党领导是科学社会主义的基本原则</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党的十八大以来</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习</w:t>
      </w:r>
      <w:r>
        <w:rPr>
          <w:rFonts w:hint="default" w:ascii="Times New Roman" w:hAnsi="Times New Roman" w:eastAsia="宋体" w:cs="Times New Roman"/>
          <w:spacing w:val="10"/>
          <w:sz w:val="24"/>
          <w:szCs w:val="24"/>
        </w:rPr>
        <w:t>近平总书记多次强调党的领导对于全面</w:t>
      </w:r>
      <w:r>
        <w:rPr>
          <w:rFonts w:hint="default" w:ascii="Times New Roman" w:hAnsi="Times New Roman" w:eastAsia="宋体" w:cs="Times New Roman"/>
          <w:spacing w:val="5"/>
          <w:sz w:val="24"/>
          <w:szCs w:val="24"/>
        </w:rPr>
        <w:t>从严治党的意义，指出“全面从严治党，核心是加强党的领导”</w:t>
      </w:r>
      <w:r>
        <w:rPr>
          <w:rStyle w:val="20"/>
          <w:rFonts w:hint="default" w:ascii="Times New Roman" w:hAnsi="Times New Roman" w:eastAsia="宋体" w:cs="Times New Roman"/>
          <w:spacing w:val="5"/>
          <w:sz w:val="24"/>
          <w:szCs w:val="24"/>
        </w:rPr>
        <w:footnoteReference w:id="122"/>
      </w:r>
      <w:r>
        <w:rPr>
          <w:rFonts w:hint="default" w:ascii="Times New Roman" w:hAnsi="Times New Roman" w:eastAsia="宋体" w:cs="Times New Roman"/>
          <w:spacing w:val="5"/>
          <w:sz w:val="24"/>
          <w:szCs w:val="24"/>
        </w:rPr>
        <w:t>。党的二十大报告在新时代全面从</w:t>
      </w:r>
      <w:r>
        <w:rPr>
          <w:rFonts w:hint="default" w:ascii="Times New Roman" w:hAnsi="Times New Roman" w:eastAsia="宋体" w:cs="Times New Roman"/>
          <w:spacing w:val="11"/>
          <w:sz w:val="24"/>
          <w:szCs w:val="24"/>
        </w:rPr>
        <w:t>严治党取得卓著成效的基础上</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进一步作出“中国特色社会主义最本质的特征是中国共产党领导</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0"/>
          <w:sz w:val="24"/>
          <w:szCs w:val="24"/>
        </w:rPr>
        <w:t>中国特色社会主义制度的最大优势是中国共产党领导</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中国共产党是最高政治领导力量</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坚持党中</w:t>
      </w:r>
      <w:r>
        <w:rPr>
          <w:rFonts w:hint="default" w:ascii="Times New Roman" w:hAnsi="Times New Roman" w:eastAsia="宋体" w:cs="Times New Roman"/>
          <w:spacing w:val="9"/>
          <w:sz w:val="24"/>
          <w:szCs w:val="24"/>
        </w:rPr>
        <w:t>央集中统一领导是最高政治原则”</w:t>
      </w:r>
      <w:r>
        <w:rPr>
          <w:rStyle w:val="20"/>
          <w:rFonts w:hint="default" w:ascii="Times New Roman" w:hAnsi="Times New Roman" w:eastAsia="宋体" w:cs="Times New Roman"/>
          <w:spacing w:val="9"/>
          <w:sz w:val="24"/>
          <w:szCs w:val="24"/>
        </w:rPr>
        <w:footnoteReference w:id="123"/>
      </w:r>
      <w:r>
        <w:rPr>
          <w:rFonts w:hint="default" w:ascii="Times New Roman" w:hAnsi="Times New Roman" w:eastAsia="宋体" w:cs="Times New Roman"/>
          <w:spacing w:val="9"/>
          <w:sz w:val="24"/>
          <w:szCs w:val="24"/>
        </w:rPr>
        <w:t>的重要论断。此外，报告还进一步</w:t>
      </w:r>
      <w:r>
        <w:rPr>
          <w:rFonts w:hint="default" w:ascii="Times New Roman" w:hAnsi="Times New Roman" w:eastAsia="宋体" w:cs="Times New Roman"/>
          <w:spacing w:val="8"/>
          <w:sz w:val="24"/>
          <w:szCs w:val="24"/>
        </w:rPr>
        <w:t>提出新征程上坚持和加强党中央集中统一领导的具体要求，包括完善党中央重大决策部</w:t>
      </w:r>
      <w:r>
        <w:rPr>
          <w:rFonts w:hint="default" w:ascii="Times New Roman" w:hAnsi="Times New Roman" w:eastAsia="宋体" w:cs="Times New Roman"/>
          <w:spacing w:val="7"/>
          <w:sz w:val="24"/>
          <w:szCs w:val="24"/>
        </w:rPr>
        <w:t>署落实机制、落实各级党委(党组)主</w:t>
      </w:r>
      <w:r>
        <w:rPr>
          <w:rFonts w:hint="default" w:ascii="Times New Roman" w:hAnsi="Times New Roman" w:eastAsia="宋体" w:cs="Times New Roman"/>
          <w:spacing w:val="6"/>
          <w:sz w:val="24"/>
          <w:szCs w:val="24"/>
        </w:rPr>
        <w:t>体责任等。报告对关于党的领导“最本质的特征”“最大优</w:t>
      </w:r>
      <w:r>
        <w:rPr>
          <w:rFonts w:hint="default" w:ascii="Times New Roman" w:hAnsi="Times New Roman" w:eastAsia="宋体" w:cs="Times New Roman"/>
          <w:spacing w:val="5"/>
          <w:sz w:val="24"/>
          <w:szCs w:val="24"/>
        </w:rPr>
        <w:t>势”“最高政治领导力量”“最高政治原</w:t>
      </w:r>
      <w:r>
        <w:rPr>
          <w:rFonts w:hint="default" w:ascii="Times New Roman" w:hAnsi="Times New Roman" w:eastAsia="宋体" w:cs="Times New Roman"/>
          <w:spacing w:val="10"/>
          <w:sz w:val="24"/>
          <w:szCs w:val="24"/>
        </w:rPr>
        <w:t>则</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等方面的突出强调</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大大深化了全党对</w:t>
      </w:r>
      <w:r>
        <w:rPr>
          <w:rFonts w:hint="default" w:ascii="Times New Roman" w:hAnsi="Times New Roman" w:eastAsia="宋体" w:cs="Times New Roman"/>
          <w:spacing w:val="9"/>
          <w:sz w:val="24"/>
          <w:szCs w:val="24"/>
        </w:rPr>
        <w:t>党的领导地位的认识</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深刻揭示了党的领导在中国特色</w:t>
      </w:r>
      <w:r>
        <w:rPr>
          <w:rFonts w:hint="default" w:ascii="Times New Roman" w:hAnsi="Times New Roman" w:eastAsia="宋体" w:cs="Times New Roman"/>
          <w:spacing w:val="8"/>
          <w:sz w:val="24"/>
          <w:szCs w:val="24"/>
        </w:rPr>
        <w:t>社会主义制度中的根本统领性</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从理论与实践结合上创新发展了马克思主义党的领导理论</w:t>
      </w:r>
      <w:r>
        <w:rPr>
          <w:rFonts w:hint="default" w:ascii="Times New Roman" w:hAnsi="Times New Roman" w:eastAsia="宋体" w:cs="Times New Roman"/>
          <w:spacing w:val="8"/>
          <w:position w:val="1"/>
          <w:sz w:val="24"/>
          <w:szCs w:val="24"/>
        </w:rPr>
        <w:t>。</w:t>
      </w:r>
    </w:p>
    <w:p w14:paraId="7632903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第二</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发展全过程人民民主</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保障人民当家作主</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马克思主义经典作家在探索无产阶级革命和</w:t>
      </w:r>
      <w:r>
        <w:rPr>
          <w:rFonts w:hint="default" w:ascii="Times New Roman" w:hAnsi="Times New Roman" w:eastAsia="宋体" w:cs="Times New Roman"/>
          <w:spacing w:val="10"/>
          <w:sz w:val="24"/>
          <w:szCs w:val="24"/>
        </w:rPr>
        <w:t>解放道路的进程中</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阐述了社会主义国家建立民主政权的重要性</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并对社会主义民主建设进行了思考和探索</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实现人民当家作主是中国共产党人的奋斗目标</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中国共产党从诞生之日起就</w:t>
      </w:r>
      <w:r>
        <w:rPr>
          <w:rFonts w:hint="default" w:ascii="Times New Roman" w:hAnsi="Times New Roman" w:eastAsia="宋体" w:cs="Times New Roman"/>
          <w:spacing w:val="9"/>
          <w:sz w:val="24"/>
          <w:szCs w:val="24"/>
        </w:rPr>
        <w:t>一直为追求</w:t>
      </w:r>
      <w:r>
        <w:rPr>
          <w:rFonts w:hint="default" w:ascii="Times New Roman" w:hAnsi="Times New Roman" w:eastAsia="宋体" w:cs="Times New Roman"/>
          <w:spacing w:val="10"/>
          <w:sz w:val="24"/>
          <w:szCs w:val="24"/>
        </w:rPr>
        <w:t>人民民主和保障人民当家作主进行积极的探索和努力</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新中国成立以来</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党领导人民建立了人民当</w:t>
      </w:r>
      <w:r>
        <w:rPr>
          <w:rFonts w:hint="default" w:ascii="Times New Roman" w:hAnsi="Times New Roman" w:eastAsia="宋体" w:cs="Times New Roman"/>
          <w:spacing w:val="7"/>
          <w:sz w:val="24"/>
          <w:szCs w:val="24"/>
        </w:rPr>
        <w:t>家作主的社会制度</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中国特色社会主义进入新时代</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党</w:t>
      </w:r>
      <w:r>
        <w:rPr>
          <w:rFonts w:hint="default" w:ascii="Times New Roman" w:hAnsi="Times New Roman" w:eastAsia="宋体" w:cs="Times New Roman"/>
          <w:spacing w:val="6"/>
          <w:sz w:val="24"/>
          <w:szCs w:val="24"/>
        </w:rPr>
        <w:t>中央对社会主义民主政治建设进行积极探索</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9"/>
          <w:sz w:val="24"/>
          <w:szCs w:val="24"/>
        </w:rPr>
        <w:t>提出了全过程人民民主的重大论断。报告进一步将“发展全过程人民民主”纳入中国式现代化的本</w:t>
      </w:r>
      <w:r>
        <w:rPr>
          <w:rFonts w:hint="default" w:ascii="Times New Roman" w:hAnsi="Times New Roman" w:eastAsia="宋体" w:cs="Times New Roman"/>
          <w:spacing w:val="5"/>
          <w:sz w:val="24"/>
          <w:szCs w:val="24"/>
        </w:rPr>
        <w:t>质要求之中，在2035年社会主义现代化建设目标中，也提出要更加健全全过</w:t>
      </w:r>
      <w:r>
        <w:rPr>
          <w:rFonts w:hint="default" w:ascii="Times New Roman" w:hAnsi="Times New Roman" w:eastAsia="宋体" w:cs="Times New Roman"/>
          <w:spacing w:val="4"/>
          <w:sz w:val="24"/>
          <w:szCs w:val="24"/>
        </w:rPr>
        <w:t>程人民民主制度。不仅</w:t>
      </w:r>
      <w:r>
        <w:rPr>
          <w:rFonts w:hint="default" w:ascii="Times New Roman" w:hAnsi="Times New Roman" w:eastAsia="宋体" w:cs="Times New Roman"/>
          <w:spacing w:val="10"/>
          <w:sz w:val="24"/>
          <w:szCs w:val="24"/>
        </w:rPr>
        <w:t>如此</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报告还对新时代发展全过程人民民主进行了部署</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包括加强人民当家作主制度保障</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全面发</w:t>
      </w:r>
      <w:r>
        <w:rPr>
          <w:rFonts w:hint="default" w:ascii="Times New Roman" w:hAnsi="Times New Roman" w:eastAsia="宋体" w:cs="Times New Roman"/>
          <w:spacing w:val="10"/>
          <w:sz w:val="24"/>
          <w:szCs w:val="24"/>
        </w:rPr>
        <w:t>展协商民主</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积极发展基层民主</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巩固和发展最广泛的爱国统一战线</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并强调贯彻落</w:t>
      </w:r>
      <w:r>
        <w:rPr>
          <w:rFonts w:hint="default" w:ascii="Times New Roman" w:hAnsi="Times New Roman" w:eastAsia="宋体" w:cs="Times New Roman"/>
          <w:spacing w:val="9"/>
          <w:sz w:val="24"/>
          <w:szCs w:val="24"/>
        </w:rPr>
        <w:t>实党的民主集</w:t>
      </w:r>
      <w:r>
        <w:rPr>
          <w:rFonts w:hint="default" w:ascii="Times New Roman" w:hAnsi="Times New Roman" w:eastAsia="宋体" w:cs="Times New Roman"/>
          <w:spacing w:val="8"/>
          <w:sz w:val="24"/>
          <w:szCs w:val="24"/>
        </w:rPr>
        <w:t>中制原则的重要性</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在党的自我革命规范体系建设中</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报告强调“以党章为根本</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以民主集中制为核心，完善党内法规制度体系”，坚持和加强党的领导，必须“贯彻民主集中制，创新和改</w:t>
      </w:r>
      <w:r>
        <w:rPr>
          <w:rFonts w:hint="default" w:ascii="Times New Roman" w:hAnsi="Times New Roman" w:eastAsia="宋体" w:cs="Times New Roman"/>
          <w:spacing w:val="7"/>
          <w:sz w:val="24"/>
          <w:szCs w:val="24"/>
        </w:rPr>
        <w:t>进领导</w:t>
      </w:r>
      <w:r>
        <w:rPr>
          <w:rFonts w:hint="default" w:ascii="Times New Roman" w:hAnsi="Times New Roman" w:eastAsia="宋体" w:cs="Times New Roman"/>
          <w:spacing w:val="10"/>
          <w:sz w:val="24"/>
          <w:szCs w:val="24"/>
        </w:rPr>
        <w:t>方式，提高党把方向、谋大局、定政策、促改革能</w:t>
      </w:r>
      <w:r>
        <w:rPr>
          <w:rFonts w:hint="default" w:ascii="Times New Roman" w:hAnsi="Times New Roman" w:eastAsia="宋体" w:cs="Times New Roman"/>
          <w:spacing w:val="9"/>
          <w:sz w:val="24"/>
          <w:szCs w:val="24"/>
        </w:rPr>
        <w:t>力”</w:t>
      </w:r>
      <w:r>
        <w:rPr>
          <w:rStyle w:val="20"/>
          <w:rFonts w:hint="default" w:ascii="Times New Roman" w:hAnsi="Times New Roman" w:eastAsia="宋体" w:cs="Times New Roman"/>
          <w:spacing w:val="9"/>
          <w:sz w:val="24"/>
          <w:szCs w:val="24"/>
        </w:rPr>
        <w:footnoteReference w:id="124"/>
      </w:r>
      <w:r>
        <w:rPr>
          <w:rFonts w:hint="default" w:ascii="Times New Roman" w:hAnsi="Times New Roman" w:eastAsia="宋体" w:cs="Times New Roman"/>
          <w:spacing w:val="9"/>
          <w:sz w:val="24"/>
          <w:szCs w:val="24"/>
        </w:rPr>
        <w:t>。报告关于发展全过程人民民主等重要论</w:t>
      </w:r>
      <w:r>
        <w:rPr>
          <w:rFonts w:hint="default" w:ascii="Times New Roman" w:hAnsi="Times New Roman" w:eastAsia="宋体" w:cs="Times New Roman"/>
          <w:spacing w:val="8"/>
          <w:sz w:val="24"/>
          <w:szCs w:val="24"/>
        </w:rPr>
        <w:t>断，既继承了马克思主义民主理论的基本原理，又提出“健全人民当家作主制度体系”“全面发展</w:t>
      </w:r>
      <w:r>
        <w:rPr>
          <w:rFonts w:hint="default" w:ascii="Times New Roman" w:hAnsi="Times New Roman" w:eastAsia="宋体" w:cs="Times New Roman"/>
          <w:spacing w:val="10"/>
          <w:sz w:val="24"/>
          <w:szCs w:val="24"/>
        </w:rPr>
        <w:t>协商民主</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健全基层党组织领导的基层群众自治机制</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等新时</w:t>
      </w:r>
      <w:r>
        <w:rPr>
          <w:rFonts w:hint="default" w:ascii="Times New Roman" w:hAnsi="Times New Roman" w:eastAsia="宋体" w:cs="Times New Roman"/>
          <w:spacing w:val="9"/>
          <w:sz w:val="24"/>
          <w:szCs w:val="24"/>
        </w:rPr>
        <w:t>代民主政治建设内容和要求</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并将</w:t>
      </w:r>
      <w:r>
        <w:rPr>
          <w:rFonts w:hint="default" w:ascii="Times New Roman" w:hAnsi="Times New Roman" w:eastAsia="宋体" w:cs="Times New Roman"/>
          <w:spacing w:val="10"/>
          <w:sz w:val="24"/>
          <w:szCs w:val="24"/>
        </w:rPr>
        <w:t>党的民主集中制贯穿于党的制度建设</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党的领导之中</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进一步发展了马克思主义民主理论</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深化了</w:t>
      </w:r>
      <w:r>
        <w:rPr>
          <w:rFonts w:hint="default" w:ascii="Times New Roman" w:hAnsi="Times New Roman" w:eastAsia="宋体" w:cs="Times New Roman"/>
          <w:spacing w:val="8"/>
          <w:sz w:val="24"/>
          <w:szCs w:val="24"/>
        </w:rPr>
        <w:t>对发展社会主义民主的规律性认识</w:t>
      </w:r>
      <w:r>
        <w:rPr>
          <w:rFonts w:hint="default" w:ascii="Times New Roman" w:hAnsi="Times New Roman" w:eastAsia="宋体" w:cs="Times New Roman"/>
          <w:spacing w:val="8"/>
          <w:position w:val="1"/>
          <w:sz w:val="24"/>
          <w:szCs w:val="24"/>
        </w:rPr>
        <w:t>。</w:t>
      </w:r>
    </w:p>
    <w:p w14:paraId="12D45D0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第三</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增进民生福祉</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完善社会治理体系</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8"/>
          <w:sz w:val="24"/>
          <w:szCs w:val="24"/>
        </w:rPr>
        <w:t>在资本主义社会中</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私人资本扩张和垄断导致社会</w:t>
      </w:r>
      <w:r>
        <w:rPr>
          <w:rFonts w:hint="default" w:ascii="Times New Roman" w:hAnsi="Times New Roman" w:eastAsia="宋体" w:cs="Times New Roman"/>
          <w:spacing w:val="9"/>
          <w:sz w:val="24"/>
          <w:szCs w:val="24"/>
        </w:rPr>
        <w:t>两极分化</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阶级冲突等一系列问题</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马克思恩格斯对此进行了深刻批判</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中国共产党成立以来一直</w:t>
      </w:r>
      <w:r>
        <w:rPr>
          <w:rFonts w:hint="default" w:ascii="Times New Roman" w:hAnsi="Times New Roman" w:eastAsia="宋体" w:cs="Times New Roman"/>
          <w:spacing w:val="10"/>
          <w:sz w:val="24"/>
          <w:szCs w:val="24"/>
        </w:rPr>
        <w:t>致力于实现社会公平</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积极探索社会建设的</w:t>
      </w:r>
      <w:r>
        <w:rPr>
          <w:rFonts w:hint="default" w:ascii="Times New Roman" w:hAnsi="Times New Roman" w:eastAsia="宋体" w:cs="Times New Roman"/>
          <w:spacing w:val="9"/>
          <w:sz w:val="24"/>
          <w:szCs w:val="24"/>
        </w:rPr>
        <w:t>有效途径</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党的十八大以来</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党中央直面人民群众过上更加美好生活的殷切期待</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提出了许多新时代社会建设新思想</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新观点</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新论断</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报告对全面建设</w:t>
      </w:r>
      <w:r>
        <w:rPr>
          <w:rFonts w:hint="default" w:ascii="Times New Roman" w:hAnsi="Times New Roman" w:eastAsia="宋体" w:cs="Times New Roman"/>
          <w:spacing w:val="8"/>
          <w:sz w:val="24"/>
          <w:szCs w:val="24"/>
        </w:rPr>
        <w:t>社会主义现代化国家新征程的社会建设进行部署，集中表现为:一是在民生建设理念上，提出“为</w:t>
      </w:r>
      <w:r>
        <w:rPr>
          <w:rFonts w:hint="default" w:ascii="Times New Roman" w:hAnsi="Times New Roman" w:eastAsia="宋体" w:cs="Times New Roman"/>
          <w:spacing w:val="5"/>
          <w:sz w:val="24"/>
          <w:szCs w:val="24"/>
        </w:rPr>
        <w:t>民造福是立党为公</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执政为民的本质要求</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紧紧抓住人民最关心最直接最现实的利益问题</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坚持</w:t>
      </w:r>
      <w:r>
        <w:rPr>
          <w:rFonts w:hint="default" w:ascii="Times New Roman" w:hAnsi="Times New Roman" w:eastAsia="宋体" w:cs="Times New Roman"/>
          <w:spacing w:val="9"/>
          <w:sz w:val="24"/>
          <w:szCs w:val="24"/>
        </w:rPr>
        <w:t>尽力而为、量力而行”</w:t>
      </w:r>
      <w:r>
        <w:rPr>
          <w:rStyle w:val="20"/>
          <w:rFonts w:hint="default" w:ascii="Times New Roman" w:hAnsi="Times New Roman" w:eastAsia="宋体" w:cs="Times New Roman"/>
          <w:spacing w:val="9"/>
          <w:sz w:val="24"/>
          <w:szCs w:val="24"/>
        </w:rPr>
        <w:footnoteReference w:id="125"/>
      </w:r>
      <w:r>
        <w:rPr>
          <w:rFonts w:hint="default" w:ascii="Times New Roman" w:hAnsi="Times New Roman" w:eastAsia="宋体" w:cs="Times New Roman"/>
          <w:spacing w:val="9"/>
          <w:sz w:val="24"/>
          <w:szCs w:val="24"/>
        </w:rPr>
        <w:t>等，体现了中国共产党作为马克思主义政党的价值</w:t>
      </w:r>
      <w:r>
        <w:rPr>
          <w:rFonts w:hint="default" w:ascii="Times New Roman" w:hAnsi="Times New Roman" w:eastAsia="宋体" w:cs="Times New Roman"/>
          <w:spacing w:val="8"/>
          <w:sz w:val="24"/>
          <w:szCs w:val="24"/>
        </w:rPr>
        <w:t>追求。二是着眼于促进</w:t>
      </w:r>
      <w:r>
        <w:rPr>
          <w:rFonts w:hint="default" w:ascii="Times New Roman" w:hAnsi="Times New Roman" w:eastAsia="宋体" w:cs="Times New Roman"/>
          <w:spacing w:val="9"/>
          <w:sz w:val="24"/>
          <w:szCs w:val="24"/>
        </w:rPr>
        <w:t>共同富裕</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提出新征程上民生建设的具体要求</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包括完善社会分配制度</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实施就业优先战略</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健全</w:t>
      </w:r>
      <w:r>
        <w:rPr>
          <w:rFonts w:hint="default" w:ascii="Times New Roman" w:hAnsi="Times New Roman" w:eastAsia="宋体" w:cs="Times New Roman"/>
          <w:spacing w:val="8"/>
          <w:sz w:val="24"/>
          <w:szCs w:val="24"/>
        </w:rPr>
        <w:t>社会保障、推进健康中国建设等。报告尤其提出要“健全覆盖全民、统筹城乡、公平</w:t>
      </w:r>
      <w:r>
        <w:rPr>
          <w:rFonts w:hint="default" w:ascii="Times New Roman" w:hAnsi="Times New Roman" w:eastAsia="宋体" w:cs="Times New Roman"/>
          <w:spacing w:val="7"/>
          <w:sz w:val="24"/>
          <w:szCs w:val="24"/>
        </w:rPr>
        <w:t>统一、安全规</w:t>
      </w:r>
      <w:r>
        <w:rPr>
          <w:rFonts w:hint="default" w:ascii="Times New Roman" w:hAnsi="Times New Roman" w:eastAsia="宋体" w:cs="Times New Roman"/>
          <w:spacing w:val="2"/>
          <w:sz w:val="24"/>
          <w:szCs w:val="24"/>
        </w:rPr>
        <w:t>范</w:t>
      </w:r>
      <w:r>
        <w:rPr>
          <w:rFonts w:hint="default" w:ascii="Times New Roman" w:hAnsi="Times New Roman" w:eastAsia="宋体" w:cs="Times New Roman"/>
          <w:spacing w:val="2"/>
          <w:position w:val="1"/>
          <w:sz w:val="24"/>
          <w:szCs w:val="24"/>
        </w:rPr>
        <w:t>、</w:t>
      </w:r>
      <w:r>
        <w:rPr>
          <w:rFonts w:hint="default" w:ascii="Times New Roman" w:hAnsi="Times New Roman" w:eastAsia="宋体" w:cs="Times New Roman"/>
          <w:spacing w:val="2"/>
          <w:sz w:val="24"/>
          <w:szCs w:val="24"/>
        </w:rPr>
        <w:t>可持续的多层次社会保障体系</w:t>
      </w:r>
      <w:r>
        <w:rPr>
          <w:rFonts w:hint="default" w:ascii="Times New Roman" w:hAnsi="Times New Roman" w:eastAsia="宋体" w:cs="Times New Roman"/>
          <w:spacing w:val="2"/>
          <w:position w:val="1"/>
          <w:sz w:val="24"/>
          <w:szCs w:val="24"/>
        </w:rPr>
        <w:t>”，“</w:t>
      </w:r>
      <w:r>
        <w:rPr>
          <w:rFonts w:hint="default" w:ascii="Times New Roman" w:hAnsi="Times New Roman" w:eastAsia="宋体" w:cs="Times New Roman"/>
          <w:spacing w:val="2"/>
          <w:sz w:val="24"/>
          <w:szCs w:val="24"/>
        </w:rPr>
        <w:t>加快完善全国统一的社会保险公共服务平台</w:t>
      </w:r>
      <w:r>
        <w:rPr>
          <w:rFonts w:hint="default" w:ascii="Times New Roman" w:hAnsi="Times New Roman" w:eastAsia="宋体" w:cs="Times New Roman"/>
          <w:spacing w:val="2"/>
          <w:position w:val="1"/>
          <w:sz w:val="24"/>
          <w:szCs w:val="24"/>
        </w:rPr>
        <w:t>”，“</w:t>
      </w:r>
      <w:r>
        <w:rPr>
          <w:rFonts w:hint="default" w:ascii="Times New Roman" w:hAnsi="Times New Roman" w:eastAsia="宋体" w:cs="Times New Roman"/>
          <w:spacing w:val="2"/>
          <w:sz w:val="24"/>
          <w:szCs w:val="24"/>
        </w:rPr>
        <w:t>把保障人民</w:t>
      </w:r>
      <w:r>
        <w:rPr>
          <w:rFonts w:hint="default" w:ascii="Times New Roman" w:hAnsi="Times New Roman" w:eastAsia="宋体" w:cs="Times New Roman"/>
          <w:spacing w:val="10"/>
          <w:sz w:val="24"/>
          <w:szCs w:val="24"/>
        </w:rPr>
        <w:t>健康放在优先发展的战略位置，完善人民健康促进</w:t>
      </w:r>
      <w:r>
        <w:rPr>
          <w:rFonts w:hint="default" w:ascii="Times New Roman" w:hAnsi="Times New Roman" w:eastAsia="宋体" w:cs="Times New Roman"/>
          <w:spacing w:val="9"/>
          <w:sz w:val="24"/>
          <w:szCs w:val="24"/>
        </w:rPr>
        <w:t>政策”</w:t>
      </w:r>
      <w:r>
        <w:rPr>
          <w:rStyle w:val="20"/>
          <w:rFonts w:hint="default" w:ascii="Times New Roman" w:hAnsi="Times New Roman" w:eastAsia="宋体" w:cs="Times New Roman"/>
          <w:spacing w:val="9"/>
          <w:sz w:val="24"/>
          <w:szCs w:val="24"/>
        </w:rPr>
        <w:footnoteReference w:id="126"/>
      </w:r>
      <w:r>
        <w:rPr>
          <w:rFonts w:hint="default" w:ascii="Times New Roman" w:hAnsi="Times New Roman" w:eastAsia="宋体" w:cs="Times New Roman"/>
          <w:spacing w:val="9"/>
          <w:position w:val="6"/>
          <w:sz w:val="24"/>
          <w:szCs w:val="24"/>
        </w:rPr>
        <w:t>③</w:t>
      </w:r>
      <w:r>
        <w:rPr>
          <w:rFonts w:hint="default" w:ascii="Times New Roman" w:hAnsi="Times New Roman" w:eastAsia="宋体" w:cs="Times New Roman"/>
          <w:spacing w:val="9"/>
          <w:sz w:val="24"/>
          <w:szCs w:val="24"/>
        </w:rPr>
        <w:t>等，为新征程上我国民生建设指明了方</w:t>
      </w:r>
      <w:r>
        <w:rPr>
          <w:rFonts w:hint="default" w:ascii="Times New Roman" w:hAnsi="Times New Roman" w:eastAsia="宋体" w:cs="Times New Roman"/>
          <w:spacing w:val="10"/>
          <w:sz w:val="24"/>
          <w:szCs w:val="24"/>
        </w:rPr>
        <w:t>向。三是完善社会治理体系，提出要“健全共建共治共享的社会治理制度，提升社会治理效能”。在具体要求上</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包括完善正确处理新形势下人民内部矛盾机制</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畅通和规范群众诉求表达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利益协</w:t>
      </w:r>
      <w:r>
        <w:rPr>
          <w:rFonts w:hint="default" w:ascii="Times New Roman" w:hAnsi="Times New Roman" w:eastAsia="宋体" w:cs="Times New Roman"/>
          <w:spacing w:val="5"/>
          <w:sz w:val="24"/>
          <w:szCs w:val="24"/>
        </w:rPr>
        <w:t>调、权益保障通道，“建设人人有责、人人尽责、人人享有的社会治理共同体”</w:t>
      </w:r>
      <w:r>
        <w:rPr>
          <w:rStyle w:val="20"/>
          <w:rFonts w:hint="default" w:ascii="Times New Roman" w:hAnsi="Times New Roman" w:eastAsia="宋体" w:cs="Times New Roman"/>
          <w:spacing w:val="5"/>
          <w:sz w:val="24"/>
          <w:szCs w:val="24"/>
        </w:rPr>
        <w:footnoteReference w:id="127"/>
      </w:r>
      <w:r>
        <w:rPr>
          <w:rFonts w:hint="default" w:ascii="Times New Roman" w:hAnsi="Times New Roman" w:eastAsia="宋体" w:cs="Times New Roman"/>
          <w:spacing w:val="5"/>
          <w:sz w:val="24"/>
          <w:szCs w:val="24"/>
        </w:rPr>
        <w:t>的社会治理目标，</w:t>
      </w:r>
      <w:r>
        <w:rPr>
          <w:rFonts w:hint="default" w:ascii="Times New Roman" w:hAnsi="Times New Roman" w:eastAsia="宋体" w:cs="Times New Roman"/>
          <w:spacing w:val="9"/>
          <w:sz w:val="24"/>
          <w:szCs w:val="24"/>
        </w:rPr>
        <w:t>从而把我们党对社会主义社会建设规律的认识提升到</w:t>
      </w:r>
      <w:r>
        <w:rPr>
          <w:rFonts w:hint="default" w:ascii="Times New Roman" w:hAnsi="Times New Roman" w:eastAsia="宋体" w:cs="Times New Roman"/>
          <w:spacing w:val="8"/>
          <w:sz w:val="24"/>
          <w:szCs w:val="24"/>
        </w:rPr>
        <w:t>新的高度</w:t>
      </w:r>
      <w:r>
        <w:rPr>
          <w:rFonts w:hint="default" w:ascii="Times New Roman" w:hAnsi="Times New Roman" w:eastAsia="宋体" w:cs="Times New Roman"/>
          <w:spacing w:val="8"/>
          <w:position w:val="1"/>
          <w:sz w:val="24"/>
          <w:szCs w:val="24"/>
        </w:rPr>
        <w:t>。</w:t>
      </w:r>
    </w:p>
    <w:p w14:paraId="71BDFC4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第四</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加强社会主义生态文明建设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促进人与自然和谐共生</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正确处理人与自然的关系</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实现</w:t>
      </w:r>
      <w:r>
        <w:rPr>
          <w:rFonts w:hint="default" w:ascii="Times New Roman" w:hAnsi="Times New Roman" w:eastAsia="宋体" w:cs="Times New Roman"/>
          <w:spacing w:val="4"/>
          <w:sz w:val="24"/>
          <w:szCs w:val="24"/>
        </w:rPr>
        <w:t>“人类与自然的和解以及人类本身的和解”</w:t>
      </w:r>
      <w:r>
        <w:rPr>
          <w:rStyle w:val="20"/>
          <w:rFonts w:hint="default" w:ascii="Times New Roman" w:hAnsi="Times New Roman" w:eastAsia="宋体" w:cs="Times New Roman"/>
          <w:spacing w:val="4"/>
          <w:sz w:val="24"/>
          <w:szCs w:val="24"/>
        </w:rPr>
        <w:footnoteReference w:id="128"/>
      </w:r>
      <w:r>
        <w:rPr>
          <w:rFonts w:hint="default" w:ascii="Times New Roman" w:hAnsi="Times New Roman" w:eastAsia="宋体" w:cs="Times New Roman"/>
          <w:spacing w:val="4"/>
          <w:sz w:val="24"/>
          <w:szCs w:val="24"/>
        </w:rPr>
        <w:t>,是科学社会主义的基本原则之一。我们党始终把建设生</w:t>
      </w:r>
      <w:r>
        <w:rPr>
          <w:rFonts w:hint="default" w:ascii="Times New Roman" w:hAnsi="Times New Roman" w:eastAsia="宋体" w:cs="Times New Roman"/>
          <w:spacing w:val="7"/>
          <w:sz w:val="24"/>
          <w:szCs w:val="24"/>
        </w:rPr>
        <w:t>态文明看作关系人民福祉</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经济持续健康发展</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民意所在民心所向的重大问题</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积极解决资源环境问</w:t>
      </w:r>
      <w:r>
        <w:rPr>
          <w:rFonts w:hint="default" w:ascii="Times New Roman" w:hAnsi="Times New Roman" w:eastAsia="宋体" w:cs="Times New Roman"/>
          <w:spacing w:val="6"/>
          <w:sz w:val="24"/>
          <w:szCs w:val="24"/>
        </w:rPr>
        <w:t>题</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加强生态环境建设</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促进经济与生态协调发展</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党的十八大以来</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以习近平同志为核</w:t>
      </w:r>
      <w:r>
        <w:rPr>
          <w:rFonts w:hint="default" w:ascii="Times New Roman" w:hAnsi="Times New Roman" w:eastAsia="宋体" w:cs="Times New Roman"/>
          <w:spacing w:val="5"/>
          <w:sz w:val="24"/>
          <w:szCs w:val="24"/>
        </w:rPr>
        <w:t>心的党中央</w:t>
      </w:r>
      <w:r>
        <w:rPr>
          <w:rFonts w:hint="default" w:ascii="Times New Roman" w:hAnsi="Times New Roman" w:eastAsia="宋体" w:cs="Times New Roman"/>
          <w:spacing w:val="7"/>
          <w:sz w:val="24"/>
          <w:szCs w:val="24"/>
        </w:rPr>
        <w:t>高度重视生态文明建设</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明确提出人与自然和谐共生的理念</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并将其作为新时代坚持和发展中国特色社会主义的基本方略之一。党的十九大将“人与自然</w:t>
      </w:r>
      <w:r>
        <w:rPr>
          <w:rFonts w:hint="default" w:ascii="Times New Roman" w:hAnsi="Times New Roman" w:eastAsia="宋体" w:cs="Times New Roman"/>
          <w:spacing w:val="6"/>
          <w:sz w:val="24"/>
          <w:szCs w:val="24"/>
        </w:rPr>
        <w:t>是生命共同体”作为社会主义生态文明建设的理</w:t>
      </w:r>
      <w:r>
        <w:rPr>
          <w:rFonts w:hint="default" w:ascii="Times New Roman" w:hAnsi="Times New Roman" w:eastAsia="宋体" w:cs="Times New Roman"/>
          <w:spacing w:val="7"/>
          <w:sz w:val="24"/>
          <w:szCs w:val="24"/>
        </w:rPr>
        <w:t>念依据</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党的二十大在此基础上进一步丰富发展了党对生态文明建设规律的认识</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主要包括</w:t>
      </w:r>
      <w:r>
        <w:rPr>
          <w:rFonts w:hint="default" w:ascii="Times New Roman" w:hAnsi="Times New Roman" w:eastAsia="宋体" w:cs="Times New Roman"/>
          <w:spacing w:val="6"/>
          <w:sz w:val="24"/>
          <w:szCs w:val="24"/>
        </w:rPr>
        <w:t>:一是将</w:t>
      </w:r>
      <w:r>
        <w:rPr>
          <w:rFonts w:hint="default" w:ascii="Times New Roman" w:hAnsi="Times New Roman" w:eastAsia="宋体" w:cs="Times New Roman"/>
          <w:spacing w:val="3"/>
          <w:sz w:val="24"/>
          <w:szCs w:val="24"/>
        </w:rPr>
        <w:t>“促进人与自然和谐共生”作为中国式现代化的本质要求，进一步凸显生态文明建</w:t>
      </w:r>
      <w:r>
        <w:rPr>
          <w:rFonts w:hint="default" w:ascii="Times New Roman" w:hAnsi="Times New Roman" w:eastAsia="宋体" w:cs="Times New Roman"/>
          <w:spacing w:val="2"/>
          <w:sz w:val="24"/>
          <w:szCs w:val="24"/>
        </w:rPr>
        <w:t>设在中国现代化建设</w:t>
      </w:r>
      <w:r>
        <w:rPr>
          <w:rFonts w:hint="default" w:ascii="Times New Roman" w:hAnsi="Times New Roman" w:eastAsia="宋体" w:cs="Times New Roman"/>
          <w:spacing w:val="7"/>
          <w:sz w:val="24"/>
          <w:szCs w:val="24"/>
        </w:rPr>
        <w:t>中的全局性地位</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二是对新征程生态文明建设进行较为系统的部署</w:t>
      </w:r>
      <w:r>
        <w:rPr>
          <w:rFonts w:hint="default" w:ascii="Times New Roman" w:hAnsi="Times New Roman" w:eastAsia="宋体" w:cs="Times New Roman"/>
          <w:spacing w:val="7"/>
          <w:position w:val="1"/>
          <w:sz w:val="24"/>
          <w:szCs w:val="24"/>
        </w:rPr>
        <w:t>，</w:t>
      </w:r>
      <w:r>
        <w:rPr>
          <w:rFonts w:hint="default" w:ascii="Times New Roman" w:hAnsi="Times New Roman" w:eastAsia="宋体" w:cs="Times New Roman"/>
          <w:spacing w:val="7"/>
          <w:sz w:val="24"/>
          <w:szCs w:val="24"/>
        </w:rPr>
        <w:t>包括加快发展方式绿色转</w:t>
      </w:r>
      <w:r>
        <w:rPr>
          <w:rFonts w:hint="default" w:ascii="Times New Roman" w:hAnsi="Times New Roman" w:eastAsia="宋体" w:cs="Times New Roman"/>
          <w:spacing w:val="6"/>
          <w:sz w:val="24"/>
          <w:szCs w:val="24"/>
        </w:rPr>
        <w:t>型</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深入推进环境污染防治</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全面提升生态系统多样性稳定性持续性</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sz w:val="24"/>
          <w:szCs w:val="24"/>
        </w:rPr>
        <w:t>积极稳妥促</w:t>
      </w:r>
      <w:r>
        <w:rPr>
          <w:rFonts w:hint="default" w:ascii="Times New Roman" w:hAnsi="Times New Roman" w:eastAsia="宋体" w:cs="Times New Roman"/>
          <w:spacing w:val="5"/>
          <w:sz w:val="24"/>
          <w:szCs w:val="24"/>
        </w:rPr>
        <w:t>进碳达峰碳中和等</w:t>
      </w:r>
      <w:r>
        <w:rPr>
          <w:rFonts w:hint="default" w:ascii="Times New Roman" w:hAnsi="Times New Roman" w:eastAsia="宋体" w:cs="Times New Roman"/>
          <w:spacing w:val="5"/>
          <w:position w:val="1"/>
          <w:sz w:val="24"/>
          <w:szCs w:val="24"/>
        </w:rPr>
        <w:t>。</w:t>
      </w:r>
      <w:r>
        <w:rPr>
          <w:rFonts w:hint="default" w:ascii="Times New Roman" w:hAnsi="Times New Roman" w:eastAsia="宋体" w:cs="Times New Roman"/>
          <w:spacing w:val="5"/>
          <w:sz w:val="24"/>
          <w:szCs w:val="24"/>
        </w:rPr>
        <w:t>党的</w:t>
      </w:r>
      <w:r>
        <w:rPr>
          <w:rFonts w:hint="default" w:ascii="Times New Roman" w:hAnsi="Times New Roman" w:eastAsia="宋体" w:cs="Times New Roman"/>
          <w:spacing w:val="3"/>
          <w:sz w:val="24"/>
          <w:szCs w:val="24"/>
        </w:rPr>
        <w:t>二十大关于生态文明建设的要求和部署</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体现了马克思主义尊重自然规律</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追求人与自然和谐的思想</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4"/>
          <w:sz w:val="24"/>
          <w:szCs w:val="24"/>
        </w:rPr>
        <w:t>体现了我们党对人类生态文明发展趋势的清醒认识和在</w:t>
      </w:r>
      <w:r>
        <w:rPr>
          <w:rFonts w:hint="default" w:ascii="Times New Roman" w:hAnsi="Times New Roman" w:eastAsia="宋体" w:cs="Times New Roman"/>
          <w:spacing w:val="3"/>
          <w:sz w:val="24"/>
          <w:szCs w:val="24"/>
        </w:rPr>
        <w:t>生态文明建设上的历史主动</w:t>
      </w:r>
      <w:r>
        <w:rPr>
          <w:rFonts w:hint="default" w:ascii="Times New Roman" w:hAnsi="Times New Roman" w:eastAsia="宋体" w:cs="Times New Roman"/>
          <w:spacing w:val="3"/>
          <w:position w:val="1"/>
          <w:sz w:val="24"/>
          <w:szCs w:val="24"/>
        </w:rPr>
        <w:t>。</w:t>
      </w:r>
    </w:p>
    <w:p w14:paraId="69A63E19">
      <w:pPr>
        <w:pStyle w:val="4"/>
        <w:bidi w:val="0"/>
        <w:rPr>
          <w:rFonts w:hint="default"/>
        </w:rPr>
      </w:pPr>
      <w:r>
        <w:rPr>
          <w:rFonts w:hint="default"/>
        </w:rPr>
        <w:t>四、小结与思考</w:t>
      </w:r>
    </w:p>
    <w:p w14:paraId="071919F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45D8974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党的二十大报告指出:“马克思主义是我们立党立国、兴党兴国的根本指导思想。”“中国共产</w:t>
      </w:r>
      <w:r>
        <w:rPr>
          <w:rFonts w:hint="default" w:ascii="Times New Roman" w:hAnsi="Times New Roman" w:eastAsia="宋体" w:cs="Times New Roman"/>
          <w:spacing w:val="10"/>
          <w:sz w:val="24"/>
          <w:szCs w:val="24"/>
        </w:rPr>
        <w:t>党为什么能</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中国特色社会主义为什么好</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归</w:t>
      </w:r>
      <w:r>
        <w:rPr>
          <w:rFonts w:hint="default" w:ascii="Times New Roman" w:hAnsi="Times New Roman" w:eastAsia="宋体" w:cs="Times New Roman"/>
          <w:spacing w:val="9"/>
          <w:sz w:val="24"/>
          <w:szCs w:val="24"/>
        </w:rPr>
        <w:t>根到底是马克思主义行</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是中国化时代化的马克思主</w:t>
      </w:r>
      <w:r>
        <w:rPr>
          <w:rFonts w:hint="default" w:ascii="Times New Roman" w:hAnsi="Times New Roman" w:eastAsia="宋体" w:cs="Times New Roman"/>
          <w:spacing w:val="-13"/>
          <w:w w:val="82"/>
          <w:sz w:val="24"/>
          <w:szCs w:val="24"/>
        </w:rPr>
        <w:t>义行。”</w:t>
      </w:r>
      <w:r>
        <w:rPr>
          <w:rStyle w:val="20"/>
          <w:rFonts w:hint="default" w:ascii="Times New Roman" w:hAnsi="Times New Roman" w:eastAsia="宋体" w:cs="Times New Roman"/>
          <w:spacing w:val="-13"/>
          <w:w w:val="82"/>
          <w:sz w:val="24"/>
          <w:szCs w:val="24"/>
        </w:rPr>
        <w:footnoteReference w:id="129"/>
      </w:r>
      <w:r>
        <w:rPr>
          <w:rFonts w:hint="default" w:ascii="Times New Roman" w:hAnsi="Times New Roman" w:eastAsia="宋体" w:cs="Times New Roman"/>
          <w:spacing w:val="10"/>
          <w:sz w:val="24"/>
          <w:szCs w:val="24"/>
        </w:rPr>
        <w:t>在马克思主义博大的思想体系中，马克思主义哲学、政治经济学和科学社会主义是极为重要的三大组成部分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其中阐明的基本原理是马克思主义学说中最主要的理论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坚持马克思主义基本</w:t>
      </w:r>
      <w:r>
        <w:rPr>
          <w:rFonts w:hint="default" w:ascii="Times New Roman" w:hAnsi="Times New Roman" w:eastAsia="宋体" w:cs="Times New Roman"/>
          <w:spacing w:val="9"/>
          <w:sz w:val="24"/>
          <w:szCs w:val="24"/>
        </w:rPr>
        <w:t>原理</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并依据中国实践进行创造性运用和发展</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才能保证党始终坚持正确的方向</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为中国革命</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建</w:t>
      </w:r>
      <w:r>
        <w:rPr>
          <w:rFonts w:hint="default" w:ascii="Times New Roman" w:hAnsi="Times New Roman" w:eastAsia="宋体" w:cs="Times New Roman"/>
          <w:spacing w:val="8"/>
          <w:sz w:val="24"/>
          <w:szCs w:val="24"/>
        </w:rPr>
        <w:t>设和改革不断走向胜利奠定理论基础和行动指引</w:t>
      </w:r>
      <w:r>
        <w:rPr>
          <w:rFonts w:hint="default" w:ascii="Times New Roman" w:hAnsi="Times New Roman" w:eastAsia="宋体" w:cs="Times New Roman"/>
          <w:spacing w:val="8"/>
          <w:position w:val="1"/>
          <w:sz w:val="24"/>
          <w:szCs w:val="24"/>
        </w:rPr>
        <w:t>。</w:t>
      </w:r>
    </w:p>
    <w:p w14:paraId="19B3032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从精神实质来分析</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党的二十大报告始终贯穿了上述马克思主义三大方面原理</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是对马克思主</w:t>
      </w:r>
      <w:r>
        <w:rPr>
          <w:rFonts w:hint="default" w:ascii="Times New Roman" w:hAnsi="Times New Roman" w:eastAsia="宋体" w:cs="Times New Roman"/>
          <w:spacing w:val="11"/>
          <w:sz w:val="24"/>
          <w:szCs w:val="24"/>
        </w:rPr>
        <w:t>义基本原理的具体运用和创新性发展</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主要包</w:t>
      </w:r>
      <w:r>
        <w:rPr>
          <w:rFonts w:hint="default" w:ascii="Times New Roman" w:hAnsi="Times New Roman" w:eastAsia="宋体" w:cs="Times New Roman"/>
          <w:spacing w:val="10"/>
          <w:sz w:val="24"/>
          <w:szCs w:val="24"/>
        </w:rPr>
        <w:t>括:一是在坚持马克思主义世界观和方法论基本原理的基础上</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形成了习近平新时代中国特色社会主义思想的世界观和方法论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指引进一步推动新征程</w:t>
      </w:r>
      <w:r>
        <w:rPr>
          <w:rFonts w:hint="default" w:ascii="Times New Roman" w:hAnsi="Times New Roman" w:eastAsia="宋体" w:cs="Times New Roman"/>
          <w:spacing w:val="11"/>
          <w:sz w:val="24"/>
          <w:szCs w:val="24"/>
        </w:rPr>
        <w:t>上党的各项工作</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二是坚持马克思主义政治经济学基本原理</w:t>
      </w:r>
      <w:r>
        <w:rPr>
          <w:rFonts w:hint="default" w:ascii="Times New Roman" w:hAnsi="Times New Roman" w:eastAsia="宋体" w:cs="Times New Roman"/>
          <w:spacing w:val="11"/>
          <w:position w:val="1"/>
          <w:sz w:val="24"/>
          <w:szCs w:val="24"/>
        </w:rPr>
        <w:t>，</w:t>
      </w:r>
      <w:r>
        <w:rPr>
          <w:rFonts w:hint="default" w:ascii="Times New Roman" w:hAnsi="Times New Roman" w:eastAsia="宋体" w:cs="Times New Roman"/>
          <w:spacing w:val="11"/>
          <w:sz w:val="24"/>
          <w:szCs w:val="24"/>
        </w:rPr>
        <w:t>丰富和发展了中国特色社</w:t>
      </w:r>
      <w:r>
        <w:rPr>
          <w:rFonts w:hint="default" w:ascii="Times New Roman" w:hAnsi="Times New Roman" w:eastAsia="宋体" w:cs="Times New Roman"/>
          <w:spacing w:val="10"/>
          <w:sz w:val="24"/>
          <w:szCs w:val="24"/>
        </w:rPr>
        <w:t>会主义经济理论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指引进一步推动新格局下国民经济的高质量发展</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三是坚持了科学社会主义的基本原则</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丰</w:t>
      </w:r>
      <w:r>
        <w:rPr>
          <w:rFonts w:hint="default" w:ascii="Times New Roman" w:hAnsi="Times New Roman" w:eastAsia="宋体" w:cs="Times New Roman"/>
          <w:spacing w:val="9"/>
          <w:sz w:val="24"/>
          <w:szCs w:val="24"/>
        </w:rPr>
        <w:t>富和发展了中国特色社会主义全面建设理论</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指引新变局中加速社会主义现代化建设</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简言之</w:t>
      </w:r>
      <w:r>
        <w:rPr>
          <w:rFonts w:hint="default" w:ascii="Times New Roman" w:hAnsi="Times New Roman" w:eastAsia="宋体" w:cs="Times New Roman"/>
          <w:spacing w:val="9"/>
          <w:position w:val="1"/>
          <w:sz w:val="24"/>
          <w:szCs w:val="24"/>
        </w:rPr>
        <w:t>，</w:t>
      </w:r>
      <w:r>
        <w:rPr>
          <w:rFonts w:hint="default" w:ascii="Times New Roman" w:hAnsi="Times New Roman" w:eastAsia="宋体" w:cs="Times New Roman"/>
          <w:spacing w:val="9"/>
          <w:sz w:val="24"/>
          <w:szCs w:val="24"/>
        </w:rPr>
        <w:t>整</w:t>
      </w:r>
      <w:r>
        <w:rPr>
          <w:rFonts w:hint="default" w:ascii="Times New Roman" w:hAnsi="Times New Roman" w:eastAsia="宋体" w:cs="Times New Roman"/>
          <w:spacing w:val="8"/>
          <w:sz w:val="24"/>
          <w:szCs w:val="24"/>
        </w:rPr>
        <w:t>个报告科学运用和守正创新马克思主义基本原理和精神实质</w:t>
      </w:r>
      <w:r>
        <w:rPr>
          <w:rFonts w:hint="default" w:ascii="Times New Roman" w:hAnsi="Times New Roman" w:eastAsia="宋体" w:cs="Times New Roman"/>
          <w:spacing w:val="7"/>
          <w:sz w:val="24"/>
          <w:szCs w:val="24"/>
        </w:rPr>
        <w:t>，是一篇当代中国马克思主义、21世纪</w:t>
      </w:r>
      <w:r>
        <w:rPr>
          <w:rFonts w:hint="default" w:ascii="Times New Roman" w:hAnsi="Times New Roman" w:eastAsia="宋体" w:cs="Times New Roman"/>
          <w:spacing w:val="8"/>
          <w:sz w:val="24"/>
          <w:szCs w:val="24"/>
        </w:rPr>
        <w:t>马克思主义的纲领性文献</w:t>
      </w:r>
      <w:r>
        <w:rPr>
          <w:rFonts w:hint="default" w:ascii="Times New Roman" w:hAnsi="Times New Roman" w:eastAsia="宋体" w:cs="Times New Roman"/>
          <w:spacing w:val="8"/>
          <w:position w:val="1"/>
          <w:sz w:val="24"/>
          <w:szCs w:val="24"/>
        </w:rPr>
        <w:t>。</w:t>
      </w:r>
    </w:p>
    <w:p w14:paraId="6E196FB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最后应当认识到</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马克思主义及其中国化理论是与时俱进和不断发展完善的</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因而在科学领悟</w:t>
      </w:r>
      <w:r>
        <w:rPr>
          <w:rFonts w:hint="default" w:ascii="Times New Roman" w:hAnsi="Times New Roman" w:eastAsia="宋体" w:cs="Times New Roman"/>
          <w:spacing w:val="20"/>
          <w:sz w:val="24"/>
          <w:szCs w:val="24"/>
        </w:rPr>
        <w:t>和全面贯彻落实党的二十大精神的同时</w:t>
      </w:r>
      <w:r>
        <w:rPr>
          <w:rFonts w:hint="default" w:ascii="Times New Roman" w:hAnsi="Times New Roman" w:eastAsia="宋体" w:cs="Times New Roman"/>
          <w:spacing w:val="20"/>
          <w:position w:val="1"/>
          <w:sz w:val="24"/>
          <w:szCs w:val="24"/>
        </w:rPr>
        <w:t>，</w:t>
      </w:r>
      <w:r>
        <w:rPr>
          <w:rFonts w:hint="default" w:ascii="Times New Roman" w:hAnsi="Times New Roman" w:eastAsia="宋体" w:cs="Times New Roman"/>
          <w:spacing w:val="20"/>
          <w:sz w:val="24"/>
          <w:szCs w:val="24"/>
        </w:rPr>
        <w:t>我们还要高度重视和践行习近平总</w:t>
      </w:r>
      <w:r>
        <w:rPr>
          <w:rFonts w:hint="default" w:ascii="Times New Roman" w:hAnsi="Times New Roman" w:eastAsia="宋体" w:cs="Times New Roman"/>
          <w:spacing w:val="19"/>
          <w:sz w:val="24"/>
          <w:szCs w:val="24"/>
        </w:rPr>
        <w:t>书记所谆谆教导的</w:t>
      </w:r>
      <w:r>
        <w:rPr>
          <w:rFonts w:hint="default" w:ascii="Times New Roman" w:hAnsi="Times New Roman" w:eastAsia="宋体" w:cs="Times New Roman"/>
          <w:spacing w:val="19"/>
          <w:position w:val="1"/>
          <w:sz w:val="24"/>
          <w:szCs w:val="24"/>
        </w:rPr>
        <w:t>:</w:t>
      </w:r>
      <w:r>
        <w:rPr>
          <w:rFonts w:hint="default" w:ascii="Times New Roman" w:hAnsi="Times New Roman" w:eastAsia="宋体" w:cs="Times New Roman"/>
          <w:spacing w:val="10"/>
          <w:sz w:val="24"/>
          <w:szCs w:val="24"/>
        </w:rPr>
        <w:t>“要实事求是分析变和不变</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与时俱进审视我们的理论</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该坚持的坚持</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该调整的调整</w:t>
      </w:r>
      <w:r>
        <w:rPr>
          <w:rFonts w:hint="default" w:ascii="Times New Roman" w:hAnsi="Times New Roman" w:eastAsia="宋体" w:cs="Times New Roman"/>
          <w:spacing w:val="10"/>
          <w:position w:val="1"/>
          <w:sz w:val="24"/>
          <w:szCs w:val="24"/>
        </w:rPr>
        <w:t>，</w:t>
      </w:r>
      <w:r>
        <w:rPr>
          <w:rFonts w:hint="default" w:ascii="Times New Roman" w:hAnsi="Times New Roman" w:eastAsia="宋体" w:cs="Times New Roman"/>
          <w:spacing w:val="10"/>
          <w:sz w:val="24"/>
          <w:szCs w:val="24"/>
        </w:rPr>
        <w:t>该创新的</w:t>
      </w:r>
      <w:r>
        <w:rPr>
          <w:rFonts w:hint="default" w:ascii="Times New Roman" w:hAnsi="Times New Roman" w:eastAsia="宋体" w:cs="Times New Roman"/>
          <w:spacing w:val="6"/>
          <w:sz w:val="24"/>
          <w:szCs w:val="24"/>
        </w:rPr>
        <w:t>创新，决不能守株待兔、刻舟求剑。”</w:t>
      </w:r>
      <w:r>
        <w:rPr>
          <w:rStyle w:val="20"/>
          <w:rFonts w:hint="default" w:ascii="Times New Roman" w:hAnsi="Times New Roman" w:eastAsia="宋体" w:cs="Times New Roman"/>
          <w:spacing w:val="6"/>
          <w:sz w:val="24"/>
          <w:szCs w:val="24"/>
        </w:rPr>
        <w:footnoteReference w:id="130"/>
      </w:r>
      <w:r>
        <w:rPr>
          <w:rFonts w:hint="default" w:ascii="Times New Roman" w:hAnsi="Times New Roman" w:eastAsia="宋体" w:cs="Times New Roman"/>
          <w:spacing w:val="6"/>
          <w:sz w:val="24"/>
          <w:szCs w:val="24"/>
        </w:rPr>
        <w:t>这是对中国共产党人和广大马克思主义学者始终如一地</w:t>
      </w:r>
      <w:r>
        <w:rPr>
          <w:rFonts w:hint="default" w:ascii="Times New Roman" w:hAnsi="Times New Roman" w:eastAsia="宋体" w:cs="Times New Roman"/>
          <w:spacing w:val="5"/>
          <w:sz w:val="24"/>
          <w:szCs w:val="24"/>
        </w:rPr>
        <w:t>坚持</w:t>
      </w:r>
      <w:r>
        <w:rPr>
          <w:rFonts w:hint="default" w:ascii="Times New Roman" w:hAnsi="Times New Roman" w:eastAsia="宋体" w:cs="Times New Roman"/>
          <w:spacing w:val="12"/>
          <w:sz w:val="24"/>
          <w:szCs w:val="24"/>
        </w:rPr>
        <w:t>实事求是思想路线的本质要求</w:t>
      </w:r>
      <w:r>
        <w:rPr>
          <w:rFonts w:hint="default" w:ascii="Times New Roman" w:hAnsi="Times New Roman" w:eastAsia="宋体" w:cs="Times New Roman"/>
          <w:spacing w:val="12"/>
          <w:position w:val="1"/>
          <w:sz w:val="24"/>
          <w:szCs w:val="24"/>
        </w:rPr>
        <w:t>。</w:t>
      </w:r>
    </w:p>
    <w:p w14:paraId="4F6BB75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678F79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rPr>
        <w:t>参考文献:</w:t>
      </w:r>
    </w:p>
    <w:p w14:paraId="4FFC6D5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［1］习近平:《高举中国特色社会主义伟大旗帜为全面建设社会主义现代化国家而团结奋斗—</w:t>
      </w:r>
      <w:r>
        <w:rPr>
          <w:rFonts w:hint="default" w:ascii="Times New Roman" w:hAnsi="Times New Roman" w:eastAsia="宋体" w:cs="Times New Roman"/>
          <w:spacing w:val="4"/>
          <w:sz w:val="24"/>
          <w:szCs w:val="24"/>
        </w:rPr>
        <w:t>——在中国共产</w:t>
      </w:r>
      <w:r>
        <w:rPr>
          <w:rFonts w:hint="default" w:ascii="Times New Roman" w:hAnsi="Times New Roman" w:eastAsia="宋体" w:cs="Times New Roman"/>
          <w:spacing w:val="3"/>
          <w:sz w:val="24"/>
          <w:szCs w:val="24"/>
        </w:rPr>
        <w:t>党第二十次全国代表大会上的报告》，北京:人民出版社，2022年。</w:t>
      </w:r>
    </w:p>
    <w:p w14:paraId="7527DED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rPr>
        <w:t>［2］《中共中央关于认真学习宣传贯彻党的二十大精神的决定</w:t>
      </w:r>
      <w:r>
        <w:rPr>
          <w:rFonts w:hint="default" w:ascii="Times New Roman" w:hAnsi="Times New Roman" w:eastAsia="宋体" w:cs="Times New Roman"/>
          <w:spacing w:val="-2"/>
          <w:sz w:val="24"/>
          <w:szCs w:val="24"/>
        </w:rPr>
        <w:t>》，《人民日报》2022年10月31日。</w:t>
      </w:r>
    </w:p>
    <w:p w14:paraId="03B956C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［3］习近平:《在庆祝中国共产党</w:t>
      </w:r>
      <w:r>
        <w:rPr>
          <w:rFonts w:hint="default" w:ascii="Times New Roman" w:hAnsi="Times New Roman" w:eastAsia="宋体" w:cs="Times New Roman"/>
          <w:spacing w:val="-1"/>
          <w:sz w:val="24"/>
          <w:szCs w:val="24"/>
        </w:rPr>
        <w:t>成立100周年大会上的讲话》，北京:人民出版社，2021年。</w:t>
      </w:r>
    </w:p>
    <w:p w14:paraId="182F2C5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rPr>
        <w:t>［4］习近平:《关于坚持和发展中国特色社会主义的几个问题》，《求是》2019年第7期。</w:t>
      </w:r>
    </w:p>
    <w:p w14:paraId="1073A23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［5］鲁保林:《实现共同富裕要坚持什么样的理论—</w:t>
      </w:r>
      <w:r>
        <w:rPr>
          <w:rFonts w:hint="default" w:ascii="Times New Roman" w:hAnsi="Times New Roman" w:eastAsia="宋体" w:cs="Times New Roman"/>
          <w:spacing w:val="2"/>
          <w:sz w:val="24"/>
          <w:szCs w:val="24"/>
        </w:rPr>
        <w:t>——访著名经济学家刘国光学部委员》，《政治经济学研究》</w:t>
      </w:r>
      <w:r>
        <w:rPr>
          <w:rFonts w:hint="default" w:ascii="Times New Roman" w:hAnsi="Times New Roman" w:eastAsia="宋体" w:cs="Times New Roman"/>
          <w:spacing w:val="-5"/>
          <w:sz w:val="24"/>
          <w:szCs w:val="24"/>
        </w:rPr>
        <w:t>2022年第2期。</w:t>
      </w:r>
    </w:p>
    <w:p w14:paraId="5E3AB19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42269B9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44BF5BD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原载《马克思主义研究》2022年第1期</w:t>
      </w:r>
      <w:r>
        <w:rPr>
          <w:rFonts w:hint="eastAsia" w:ascii="Times New Roman" w:hAnsi="Times New Roman" w:cs="Times New Roman"/>
          <w:sz w:val="24"/>
          <w:szCs w:val="24"/>
          <w:lang w:eastAsia="zh-CN"/>
        </w:rPr>
        <w:t>）</w:t>
      </w:r>
    </w:p>
    <w:p w14:paraId="7659DCA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1243630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168F3D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138EB9B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441E368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04BF380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32C8F5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A1357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67DE8017">
      <w:pPr>
        <w:pStyle w:val="3"/>
        <w:bidi w:val="0"/>
        <w:rPr>
          <w:rFonts w:hint="eastAsia"/>
          <w:lang w:val="en-US" w:eastAsia="zh-CN"/>
        </w:rPr>
      </w:pPr>
      <w:bookmarkStart w:id="110" w:name="_Toc572360486"/>
      <w:bookmarkStart w:id="111" w:name="_Toc826780496"/>
      <w:bookmarkStart w:id="112" w:name="_Toc1645063957"/>
      <w:bookmarkStart w:id="113" w:name="_Toc647485425"/>
      <w:bookmarkStart w:id="114" w:name="_Toc5487"/>
      <w:bookmarkStart w:id="115" w:name="_Toc1705036060"/>
      <w:r>
        <w:rPr>
          <w:rFonts w:hint="eastAsia"/>
          <w:lang w:val="en-US" w:eastAsia="zh-CN"/>
        </w:rPr>
        <w:t>11马克思主义视域下文明的进步与先进性探讨</w:t>
      </w:r>
      <w:bookmarkEnd w:id="110"/>
      <w:bookmarkEnd w:id="111"/>
      <w:bookmarkEnd w:id="112"/>
      <w:bookmarkEnd w:id="113"/>
      <w:bookmarkEnd w:id="114"/>
      <w:bookmarkEnd w:id="115"/>
    </w:p>
    <w:p w14:paraId="12ECBA6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提要]本文首先阐述了人类文明发展的多样性及其差异,指出人类文明历经奴隶文明、封建文明、资本主义文明与社会主义文明的经济根源在于以生产工具为代表的社会生产力的发展状况。接着阐述了文明进步的表现与判断,提出文明进步必然要表现在社会生产力的发展上,并往往会通过文化进步来表现,具体包括物质文明、经济文明、政治文明、精神文明、社会文明、生态文明、军事文明等各领域的进步。然后阐述了文明进步的主要推动力量在于人的本质力量,表现为人的创造力与创新力的不断提升,而社会所有制和阶级斗争均与文明进步密切关联。最后阐述了文明是先进或落后需要放到一定的历史条件下去认识,指出美国除了物质文明外多种文明性质严重扭曲,当今世界主要冲突的实质不是基督教文明同伊斯兰文明、中华文明之类的宗教冲突或一般价值观冲突,而是霸权主义、新帝国主义国家与各被压迫、被制裁国家和民族之间的矛盾和冲突;指出中国特色社会主义充分彰显了21世纪人类文明新形态,是当今世界最具先进性的人类文明发展形态,倡导与其他文明进行平等交流互鉴。</w:t>
      </w:r>
    </w:p>
    <w:p w14:paraId="0B6546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[关键词]人类文明新形态;文明进步;先进文明;先进文化;马克思主义理论</w:t>
      </w:r>
    </w:p>
    <w:p w14:paraId="3813F6B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中外理论界关于文明的发展形态、发达程度、进步性和先进性均存在较大的分歧。本文遵循马克思主义关于文明的基本精神进行深入探讨,力图守正创新地提出一些与众不同的观点。</w:t>
      </w:r>
    </w:p>
    <w:p w14:paraId="747A9A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一人类文明发展的多样性及其差异</w:t>
      </w:r>
    </w:p>
    <w:p w14:paraId="795E93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“人类在漫长的历史长河中,创造和发展了多姿多彩的文明。”</w:t>
      </w:r>
      <w:r>
        <w:rPr>
          <w:rStyle w:val="20"/>
          <w:rFonts w:hint="eastAsia" w:ascii="宋体" w:hAnsi="宋体" w:eastAsia="宋体" w:cs="宋体"/>
          <w:color w:val="auto"/>
          <w:spacing w:val="-14"/>
          <w:sz w:val="24"/>
          <w:szCs w:val="21"/>
        </w:rPr>
        <w:footnoteReference w:id="131"/>
      </w:r>
      <w:r>
        <w:rPr>
          <w:rFonts w:hint="eastAsia"/>
          <w:sz w:val="24"/>
        </w:rPr>
        <w:t>人类文明是一个大家庭,在这个大家庭中存在着多种多样的文明表现形式与文明发展形态。对于世界上不同文明而言,它们不仅在文明伊始上存在时间上的不同,在发展进程中也存在发展阶段与发展速度的差异。有的文明伊始的时间早,有的文明伊始的时间晚。从已有的史料来看,古埃及文明是迄今已知的伊始时间最早的文明。对于中华文明而言,根据已有考证,也有五千六百多年的历史了。每一种文明都有自身发展的历史,不同文明在自身演进的历史进程中会呈现出不同的发展形态与表现形式。在漫长的演进历程中,人类文明经历了奴隶文明、封建文明、资本主义文明与社会主义文明四个不同的发展形态。现今依然存在的资本主义文明,在不同的国家或地区,其发展程度或发达程度也是不一样的。不仅有些文明形式与发展类型掺杂着旧文明的成分、带有旧文明的痕迹,还有的表现形式与发展类型揉进了比其在发展形态上更先进的社会主义文明成分与元素。</w:t>
      </w:r>
    </w:p>
    <w:p w14:paraId="0BF185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不同文明在其发展程度上是存在差异的,有的文明发展速度快,有的文明发展速度慢;有的文明发达程度高,有的文明发达程度低;有的文明进步快,有的文明进步慢,甚至有的文明在发展上有时是退步的。不同文明在发展程度上的差异是由多种因素造成的。其中,在社会生产力水平不高的情况下,自然环境对文明发展的影响是非常明显的。环境的差异会带来发展的差异,也会形成带有明显地域环境特征的文明,如海洋文明与大陆文明。这两种不同类型的文明,与其生成和发展过程所处的自然环境有很大关系。但需要指出的是,自然环境虽然对文明的形成与发展有影响,但真正决定一种文明区别于另一种文明的不是自然环境,而是社会生产力、生产方式与生活方式。不同发展水平、不同发展程度的社会生产力在不同的自然环境中,其实现方式与表现方式也是有所不同的。同一水平、同一发展程度的社会生产力,在不同的自然环境中,其表现形式与发展方式也是不太一样的。由于自然环境的不同而导致的社会生产力发展方式的不一样,也会使得社会生产方式与社会生活方式的表现形式与实现方式不一样,因而也导致建立在社会生产方式与社会生活方式之上的文明在表现形式与类型上不太一样。但无论是对于海洋文明而言,还是对于大陆文明而言,只要它们赖以存在的社会生产方式与社会生活方式在本质上是一样的,那么它们在文明本质上也必然是一样的。例如,建立在封建生产方式与交换方式之上的海洋文明,与建立在封建生产方式与交换方式之上的大陆文明,它们在本质上都是封建文明。</w:t>
      </w:r>
    </w:p>
    <w:p w14:paraId="053193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不同文明在发展程度、发展阶段与发展类型上的差异,从根本上讲,不是取决于自然环境,而是取决于其社会生产力的发展状况与发展水平。“手推磨产生的是封建主的社会,蒸汽磨产生的是工业资本家的社会。”</w:t>
      </w:r>
      <w:r>
        <w:rPr>
          <w:rStyle w:val="20"/>
          <w:rFonts w:hint="eastAsia" w:ascii="宋体" w:hAnsi="宋体" w:eastAsia="宋体" w:cs="宋体"/>
          <w:color w:val="auto"/>
          <w:spacing w:val="-12"/>
          <w:sz w:val="24"/>
          <w:szCs w:val="21"/>
        </w:rPr>
        <w:footnoteReference w:id="132"/>
      </w:r>
      <w:r>
        <w:rPr>
          <w:rFonts w:hint="eastAsia"/>
          <w:sz w:val="24"/>
        </w:rPr>
        <w:t>①马克思的这个思想告诉我们,回顾人类文明发展史,决定一个社会性质的,是这个社会拥有什么样的主导性生产工具和社会生产力。同样,对于文明的发展而言,最终决定其发展程度、发展阶段与发展类型的,也是社会生产力以及社会生产力的对象化—生产工具,或者说是以生产工具为核心的生产资料和生产要素的发展。因此,按照马克思的这个思想,我们也可以说,在手推磨这类生产工具占主导地位的历史时代,与其对应的人类文明是封建文明,在蒸汽磨这类生产工具占主导地位的历史时代,与其对应的人类文明是资本主义文明。“蒸汽时代是资产阶级的时代,电的时代是社会主义的时代。”</w:t>
      </w:r>
      <w:r>
        <w:rPr>
          <w:rStyle w:val="20"/>
          <w:rFonts w:hint="eastAsia" w:ascii="宋体" w:hAnsi="宋体" w:eastAsia="宋体" w:cs="宋体"/>
          <w:color w:val="auto"/>
          <w:spacing w:val="3"/>
          <w:sz w:val="24"/>
          <w:szCs w:val="21"/>
        </w:rPr>
        <w:footnoteReference w:id="133"/>
      </w:r>
      <w:r>
        <w:rPr>
          <w:rFonts w:hint="eastAsia"/>
          <w:sz w:val="24"/>
        </w:rPr>
        <w:t>不过,对这句名言决不能作机械的理解。资本主义文明确立于蒸汽时代,随着它的发展,同样会进入电气时代,并且目前已开始进入生产力水平更高的智能经济时代。当然,资本主义文明决不会推迟于电气时代才出现,社会主义文明也决不会提前在蒸汽时代就确立。至于世界上存在的同一生产力水平下社会经济形态和文明形态的多样化,以及同一社会经济形态和文明形态下生产力水平的不均衡这两大类现象,只有综合经济制度和上层建筑的复杂因素才能得到圆满的解释,但这不会推翻最终可以从生产力角度识别历史上社会经济形态和文明形态这一科学结论。</w:t>
      </w:r>
      <w:r>
        <w:rPr>
          <w:rStyle w:val="20"/>
          <w:rFonts w:hint="eastAsia" w:ascii="宋体" w:hAnsi="宋体" w:eastAsia="宋体" w:cs="宋体"/>
          <w:color w:val="auto"/>
          <w:spacing w:val="2"/>
          <w:sz w:val="24"/>
          <w:szCs w:val="21"/>
        </w:rPr>
        <w:footnoteReference w:id="134"/>
      </w:r>
    </w:p>
    <w:p w14:paraId="6E9C8E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可见,一定的文明发展形态,是与一定的社会生产力发展状况相适应的。随着新社会生产力的获得与发展,人们会改变自身的生产方式。随着生产方式的改变,人们也会创造新的文明。只是在现实的人类文明发展过程中,不是所有文明民族在新社会生产力的获得上是同步的或在新社会生产力的发展上是平衡的,每一个文明民族在新社会生产力获得上的不同步或者说在新社会生产力发展上的不平衡,也决定着它们在文明发展与演进上的不同步与不平衡,进而还会导致他们在文明发展程度、发展阶段与发展类型上的差异,甚至出现发展形态上的代差。</w:t>
      </w:r>
    </w:p>
    <w:p w14:paraId="0E725B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二文明进步的表现与判断</w:t>
      </w:r>
    </w:p>
    <w:p w14:paraId="6CFDB3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一个社会和国际社会演化的大趋势来观察,文明是在不断发展和进步的。文明进步是指文明由低级向高级合乎规律地提升、前进和发展。对于文明进步而言,既可以表现在物质生产上,也可以表现在精神生产上;既可以表现为文明人个人的进步,也可以表现为文明社会整体或国际社会整体的进步;既可以从质的维度去判断,也可以从量的维度去衡量。</w:t>
      </w:r>
    </w:p>
    <w:p w14:paraId="244B88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从文明进步与社会生产力的关系来分析,文明进步必然要表现在社会生产力的发展上。在唯物主义历史观与马克思主义文明观的认识逻辑中,文明</w:t>
      </w:r>
      <w:r>
        <w:rPr>
          <w:rFonts w:hint="eastAsia"/>
          <w:sz w:val="24"/>
        </w:rPr>
        <mc:AlternateContent>
          <mc:Choice Requires="wps">
            <w:drawing>
              <wp:anchor distT="0" distB="0" distL="114300" distR="114300" simplePos="0" relativeHeight="251679744" behindDoc="0" locked="0" layoutInCell="0" allowOverlap="1">
                <wp:simplePos x="0" y="0"/>
                <wp:positionH relativeFrom="page">
                  <wp:posOffset>1703070</wp:posOffset>
                </wp:positionH>
                <wp:positionV relativeFrom="page">
                  <wp:posOffset>10591800</wp:posOffset>
                </wp:positionV>
                <wp:extent cx="52070" cy="63500"/>
                <wp:effectExtent l="0" t="0" r="24130" b="12700"/>
                <wp:wrapNone/>
                <wp:docPr id="241" name="矩形 241"/>
                <wp:cNvGraphicFramePr/>
                <a:graphic xmlns:a="http://schemas.openxmlformats.org/drawingml/2006/main">
                  <a:graphicData uri="http://schemas.microsoft.com/office/word/2010/wordprocessingShape">
                    <wps:wsp>
                      <wps:cNvSpPr/>
                      <wps:spPr>
                        <a:xfrm>
                          <a:off x="0" y="0"/>
                          <a:ext cx="52070" cy="63500"/>
                        </a:xfrm>
                        <a:prstGeom prst="rect">
                          <a:avLst/>
                        </a:prstGeom>
                        <a:solidFill>
                          <a:srgbClr val="999999"/>
                        </a:solidFill>
                        <a:ln>
                          <a:noFill/>
                        </a:ln>
                        <a:effectLst/>
                      </wps:spPr>
                      <wps:bodyPr upright="1"/>
                    </wps:wsp>
                  </a:graphicData>
                </a:graphic>
              </wp:anchor>
            </w:drawing>
          </mc:Choice>
          <mc:Fallback>
            <w:pict>
              <v:rect id="_x0000_s1026" o:spid="_x0000_s1026" o:spt="1" style="position:absolute;left:0pt;margin-left:134.1pt;margin-top:834pt;height:5pt;width:4.1pt;mso-position-horizontal-relative:page;mso-position-vertical-relative:page;z-index:251679744;mso-width-relative:page;mso-height-relative:page;" fillcolor="#999999" filled="t" stroked="f" coordsize="21600,21600" o:allowincell="f" o:gfxdata="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Psp+39gAAAANAQAADwAAAAAAAAABACAAAAAiAAAAZHJzL2Rvd25yZXYueG1sUEsBAhQAFAAA&#10;AAgAh07iQMDVz762AQAAbgMAAA4AAAAAAAAAAQAgAAAAJwEAAGRycy9lMm9Eb2MueG1sUEsFBgAA&#10;AAAGAAYAWQEAAE8FAAAAAA==&#10;">
                <v:fill on="t" focussize="0,0"/>
                <v:stroke on="f"/>
                <v:imagedata o:title=""/>
                <o:lock v:ext="edit" aspectratio="f"/>
              </v:rect>
            </w:pict>
          </mc:Fallback>
        </mc:AlternateContent>
      </w:r>
      <w:r>
        <w:rPr>
          <w:rFonts w:hint="eastAsia"/>
          <w:sz w:val="24"/>
        </w:rPr>
        <mc:AlternateContent>
          <mc:Choice Requires="wps">
            <w:drawing>
              <wp:anchor distT="0" distB="0" distL="114300" distR="114300" simplePos="0" relativeHeight="251680768" behindDoc="0" locked="0" layoutInCell="0" allowOverlap="1">
                <wp:simplePos x="0" y="0"/>
                <wp:positionH relativeFrom="page">
                  <wp:posOffset>5055870</wp:posOffset>
                </wp:positionH>
                <wp:positionV relativeFrom="page">
                  <wp:posOffset>10640060</wp:posOffset>
                </wp:positionV>
                <wp:extent cx="15240" cy="15875"/>
                <wp:effectExtent l="0" t="0" r="0" b="0"/>
                <wp:wrapNone/>
                <wp:docPr id="229" name="矩形 229"/>
                <wp:cNvGraphicFramePr/>
                <a:graphic xmlns:a="http://schemas.openxmlformats.org/drawingml/2006/main">
                  <a:graphicData uri="http://schemas.microsoft.com/office/word/2010/wordprocessingShape">
                    <wps:wsp>
                      <wps:cNvSpPr/>
                      <wps:spPr>
                        <a:xfrm>
                          <a:off x="0" y="0"/>
                          <a:ext cx="15240" cy="15875"/>
                        </a:xfrm>
                        <a:prstGeom prst="rect">
                          <a:avLst/>
                        </a:prstGeom>
                        <a:solidFill>
                          <a:srgbClr val="999999"/>
                        </a:solidFill>
                        <a:ln>
                          <a:noFill/>
                        </a:ln>
                        <a:effectLst/>
                      </wps:spPr>
                      <wps:bodyPr upright="1"/>
                    </wps:wsp>
                  </a:graphicData>
                </a:graphic>
              </wp:anchor>
            </w:drawing>
          </mc:Choice>
          <mc:Fallback>
            <w:pict>
              <v:rect id="_x0000_s1026" o:spid="_x0000_s1026" o:spt="1" style="position:absolute;left:0pt;margin-left:398.1pt;margin-top:837.8pt;height:1.25pt;width:1.2pt;mso-position-horizontal-relative:page;mso-position-vertical-relative:page;z-index:251680768;mso-width-relative:page;mso-height-relative:page;" fillcolor="#999999" filled="t" stroked="f" coordsize="21600,21600" o:allowincell="f" o:gfxdata="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PSCKc2QAAAA0BAAAPAAAAAAAAAAEAIAAAACIAAABkcnMvZG93bnJldi54bWxQSwECFAAUAAAA&#10;CACHTuJA/yfjoLQBAABuAwAADgAAAAAAAAABACAAAAAoAQAAZHJzL2Uyb0RvYy54bWxQSwUGAAAA&#10;AAYABgBZAQAATgUAAAAA&#10;">
                <v:fill on="t" focussize="0,0"/>
                <v:stroke on="f"/>
                <v:imagedata o:title=""/>
                <o:lock v:ext="edit" aspectratio="f"/>
              </v:rect>
            </w:pict>
          </mc:Fallback>
        </mc:AlternateContent>
      </w:r>
      <w:r>
        <w:rPr>
          <w:rFonts w:hint="eastAsia"/>
          <w:sz w:val="24"/>
        </w:rPr>
        <mc:AlternateContent>
          <mc:Choice Requires="wps">
            <w:drawing>
              <wp:anchor distT="0" distB="0" distL="114300" distR="114300" simplePos="0" relativeHeight="251678720" behindDoc="0" locked="0" layoutInCell="0" allowOverlap="1">
                <wp:simplePos x="0" y="0"/>
                <wp:positionH relativeFrom="page">
                  <wp:posOffset>1515110</wp:posOffset>
                </wp:positionH>
                <wp:positionV relativeFrom="page">
                  <wp:posOffset>10591800</wp:posOffset>
                </wp:positionV>
                <wp:extent cx="116840" cy="63500"/>
                <wp:effectExtent l="0" t="0" r="10160" b="12700"/>
                <wp:wrapNone/>
                <wp:docPr id="238" name="任意多边形 238"/>
                <wp:cNvGraphicFramePr/>
                <a:graphic xmlns:a="http://schemas.openxmlformats.org/drawingml/2006/main">
                  <a:graphicData uri="http://schemas.microsoft.com/office/word/2010/wordprocessingShape">
                    <wps:wsp>
                      <wps:cNvSpPr/>
                      <wps:spPr>
                        <a:xfrm>
                          <a:off x="0" y="0"/>
                          <a:ext cx="116840" cy="63500"/>
                        </a:xfrm>
                        <a:custGeom>
                          <a:avLst/>
                          <a:gdLst>
                            <a:gd name="A1" fmla="val 0"/>
                            <a:gd name="A2" fmla="val 0"/>
                          </a:gdLst>
                          <a:ahLst/>
                          <a:cxnLst/>
                          <a:pathLst>
                            <a:path w="183" h="100">
                              <a:moveTo>
                                <a:pt x="81" y="60"/>
                              </a:moveTo>
                              <a:cubicBezTo>
                                <a:pt x="80" y="73"/>
                                <a:pt x="73" y="83"/>
                                <a:pt x="65" y="90"/>
                              </a:cubicBezTo>
                              <a:cubicBezTo>
                                <a:pt x="60" y="97"/>
                                <a:pt x="50" y="100"/>
                                <a:pt x="41" y="100"/>
                              </a:cubicBezTo>
                              <a:cubicBezTo>
                                <a:pt x="30" y="100"/>
                                <a:pt x="20" y="95"/>
                                <a:pt x="11" y="87"/>
                              </a:cubicBezTo>
                              <a:cubicBezTo>
                                <a:pt x="3" y="77"/>
                                <a:pt x="0" y="65"/>
                                <a:pt x="0" y="50"/>
                              </a:cubicBezTo>
                              <a:cubicBezTo>
                                <a:pt x="0" y="35"/>
                                <a:pt x="5" y="22"/>
                                <a:pt x="13" y="13"/>
                              </a:cubicBezTo>
                              <a:cubicBezTo>
                                <a:pt x="21" y="3"/>
                                <a:pt x="33" y="0"/>
                                <a:pt x="45" y="0"/>
                              </a:cubicBezTo>
                              <a:cubicBezTo>
                                <a:pt x="55" y="0"/>
                                <a:pt x="61" y="2"/>
                                <a:pt x="67" y="5"/>
                              </a:cubicBezTo>
                              <a:cubicBezTo>
                                <a:pt x="73" y="12"/>
                                <a:pt x="77" y="17"/>
                                <a:pt x="77" y="22"/>
                              </a:cubicBezTo>
                              <a:cubicBezTo>
                                <a:pt x="77" y="25"/>
                                <a:pt x="77" y="27"/>
                                <a:pt x="75" y="27"/>
                              </a:cubicBezTo>
                              <a:cubicBezTo>
                                <a:pt x="73" y="30"/>
                                <a:pt x="71" y="32"/>
                                <a:pt x="67" y="32"/>
                              </a:cubicBezTo>
                              <a:cubicBezTo>
                                <a:pt x="63" y="32"/>
                                <a:pt x="61" y="30"/>
                                <a:pt x="60" y="27"/>
                              </a:cubicBezTo>
                              <a:cubicBezTo>
                                <a:pt x="57" y="25"/>
                                <a:pt x="57" y="23"/>
                                <a:pt x="55" y="17"/>
                              </a:cubicBezTo>
                              <a:cubicBezTo>
                                <a:pt x="55" y="13"/>
                                <a:pt x="55" y="12"/>
                                <a:pt x="51" y="10"/>
                              </a:cubicBezTo>
                              <a:cubicBezTo>
                                <a:pt x="50" y="7"/>
                                <a:pt x="47" y="5"/>
                                <a:pt x="41" y="5"/>
                              </a:cubicBezTo>
                              <a:cubicBezTo>
                                <a:pt x="35" y="5"/>
                                <a:pt x="30" y="7"/>
                                <a:pt x="25" y="13"/>
                              </a:cubicBezTo>
                              <a:cubicBezTo>
                                <a:pt x="20" y="20"/>
                                <a:pt x="17" y="30"/>
                                <a:pt x="17" y="40"/>
                              </a:cubicBezTo>
                              <a:cubicBezTo>
                                <a:pt x="17" y="52"/>
                                <a:pt x="20" y="62"/>
                                <a:pt x="25" y="70"/>
                              </a:cubicBezTo>
                              <a:cubicBezTo>
                                <a:pt x="31" y="80"/>
                                <a:pt x="40" y="83"/>
                                <a:pt x="50" y="83"/>
                              </a:cubicBezTo>
                              <a:cubicBezTo>
                                <a:pt x="55" y="83"/>
                                <a:pt x="61" y="82"/>
                                <a:pt x="67" y="77"/>
                              </a:cubicBezTo>
                              <a:cubicBezTo>
                                <a:pt x="71" y="73"/>
                                <a:pt x="75" y="67"/>
                                <a:pt x="80" y="60"/>
                              </a:cubicBezTo>
                              <a:lnTo>
                                <a:pt x="81" y="60"/>
                              </a:lnTo>
                              <a:close/>
                            </a:path>
                            <a:path w="183" h="100">
                              <a:moveTo>
                                <a:pt x="150" y="85"/>
                              </a:moveTo>
                              <a:cubicBezTo>
                                <a:pt x="140" y="92"/>
                                <a:pt x="133" y="95"/>
                                <a:pt x="130" y="97"/>
                              </a:cubicBezTo>
                              <a:cubicBezTo>
                                <a:pt x="127" y="100"/>
                                <a:pt x="123" y="100"/>
                                <a:pt x="117" y="100"/>
                              </a:cubicBezTo>
                              <a:cubicBezTo>
                                <a:pt x="111" y="100"/>
                                <a:pt x="105" y="97"/>
                                <a:pt x="101" y="93"/>
                              </a:cubicBezTo>
                              <a:cubicBezTo>
                                <a:pt x="97" y="90"/>
                                <a:pt x="95" y="83"/>
                                <a:pt x="95" y="75"/>
                              </a:cubicBezTo>
                              <a:cubicBezTo>
                                <a:pt x="95" y="72"/>
                                <a:pt x="95" y="67"/>
                                <a:pt x="97" y="63"/>
                              </a:cubicBezTo>
                              <a:cubicBezTo>
                                <a:pt x="101" y="60"/>
                                <a:pt x="105" y="53"/>
                                <a:pt x="113" y="50"/>
                              </a:cubicBezTo>
                              <a:cubicBezTo>
                                <a:pt x="121" y="45"/>
                                <a:pt x="133" y="42"/>
                                <a:pt x="150" y="35"/>
                              </a:cubicBezTo>
                              <a:lnTo>
                                <a:pt x="150" y="32"/>
                              </a:lnTo>
                              <a:cubicBezTo>
                                <a:pt x="150" y="22"/>
                                <a:pt x="147" y="15"/>
                                <a:pt x="145" y="12"/>
                              </a:cubicBezTo>
                              <a:cubicBezTo>
                                <a:pt x="141" y="7"/>
                                <a:pt x="137" y="5"/>
                                <a:pt x="131" y="5"/>
                              </a:cubicBezTo>
                              <a:cubicBezTo>
                                <a:pt x="125" y="5"/>
                                <a:pt x="123" y="7"/>
                                <a:pt x="120" y="10"/>
                              </a:cubicBezTo>
                              <a:cubicBezTo>
                                <a:pt x="117" y="12"/>
                                <a:pt x="115" y="13"/>
                                <a:pt x="115" y="17"/>
                              </a:cubicBezTo>
                              <a:lnTo>
                                <a:pt x="115" y="23"/>
                              </a:lnTo>
                              <a:cubicBezTo>
                                <a:pt x="115" y="27"/>
                                <a:pt x="115" y="30"/>
                                <a:pt x="113" y="32"/>
                              </a:cubicBezTo>
                              <a:cubicBezTo>
                                <a:pt x="111" y="33"/>
                                <a:pt x="110" y="33"/>
                                <a:pt x="107" y="33"/>
                              </a:cubicBezTo>
                              <a:cubicBezTo>
                                <a:pt x="105" y="33"/>
                                <a:pt x="103" y="33"/>
                                <a:pt x="101" y="32"/>
                              </a:cubicBezTo>
                              <a:cubicBezTo>
                                <a:pt x="100" y="30"/>
                                <a:pt x="100" y="25"/>
                                <a:pt x="100" y="23"/>
                              </a:cubicBezTo>
                              <a:cubicBezTo>
                                <a:pt x="100" y="17"/>
                                <a:pt x="101" y="12"/>
                                <a:pt x="107" y="7"/>
                              </a:cubicBezTo>
                              <a:cubicBezTo>
                                <a:pt x="113" y="2"/>
                                <a:pt x="123" y="0"/>
                                <a:pt x="133" y="0"/>
                              </a:cubicBezTo>
                              <a:cubicBezTo>
                                <a:pt x="143" y="0"/>
                                <a:pt x="150" y="0"/>
                                <a:pt x="155" y="3"/>
                              </a:cubicBezTo>
                              <a:cubicBezTo>
                                <a:pt x="160" y="5"/>
                                <a:pt x="163" y="10"/>
                                <a:pt x="165" y="13"/>
                              </a:cubicBezTo>
                              <a:cubicBezTo>
                                <a:pt x="165" y="17"/>
                                <a:pt x="167" y="23"/>
                                <a:pt x="167" y="33"/>
                              </a:cubicBezTo>
                              <a:lnTo>
                                <a:pt x="167" y="65"/>
                              </a:lnTo>
                              <a:cubicBezTo>
                                <a:pt x="167" y="75"/>
                                <a:pt x="167" y="82"/>
                                <a:pt x="167" y="83"/>
                              </a:cubicBezTo>
                              <a:cubicBezTo>
                                <a:pt x="167" y="85"/>
                                <a:pt x="167" y="85"/>
                                <a:pt x="170" y="87"/>
                              </a:cubicBezTo>
                              <a:cubicBezTo>
                                <a:pt x="170" y="87"/>
                                <a:pt x="171" y="87"/>
                                <a:pt x="171" y="87"/>
                              </a:cubicBezTo>
                              <a:cubicBezTo>
                                <a:pt x="173" y="87"/>
                                <a:pt x="173" y="87"/>
                                <a:pt x="173" y="87"/>
                              </a:cubicBezTo>
                              <a:cubicBezTo>
                                <a:pt x="176" y="87"/>
                                <a:pt x="180" y="85"/>
                                <a:pt x="183" y="82"/>
                              </a:cubicBezTo>
                              <a:lnTo>
                                <a:pt x="183" y="85"/>
                              </a:lnTo>
                              <a:cubicBezTo>
                                <a:pt x="176" y="95"/>
                                <a:pt x="167" y="100"/>
                                <a:pt x="161" y="100"/>
                              </a:cubicBezTo>
                              <a:cubicBezTo>
                                <a:pt x="157" y="100"/>
                                <a:pt x="155" y="100"/>
                                <a:pt x="153" y="97"/>
                              </a:cubicBezTo>
                              <a:cubicBezTo>
                                <a:pt x="151" y="93"/>
                                <a:pt x="150" y="90"/>
                                <a:pt x="150" y="85"/>
                              </a:cubicBezTo>
                              <a:moveTo>
                                <a:pt x="150" y="77"/>
                              </a:moveTo>
                              <a:lnTo>
                                <a:pt x="150" y="42"/>
                              </a:lnTo>
                              <a:cubicBezTo>
                                <a:pt x="137" y="45"/>
                                <a:pt x="131" y="50"/>
                                <a:pt x="127" y="50"/>
                              </a:cubicBezTo>
                              <a:cubicBezTo>
                                <a:pt x="121" y="53"/>
                                <a:pt x="117" y="57"/>
                                <a:pt x="115" y="60"/>
                              </a:cubicBezTo>
                              <a:cubicBezTo>
                                <a:pt x="113" y="63"/>
                                <a:pt x="111" y="67"/>
                                <a:pt x="111" y="72"/>
                              </a:cubicBezTo>
                              <a:cubicBezTo>
                                <a:pt x="111" y="75"/>
                                <a:pt x="113" y="80"/>
                                <a:pt x="117" y="83"/>
                              </a:cubicBezTo>
                              <a:cubicBezTo>
                                <a:pt x="120" y="87"/>
                                <a:pt x="123" y="87"/>
                                <a:pt x="127" y="87"/>
                              </a:cubicBezTo>
                              <a:cubicBezTo>
                                <a:pt x="133" y="87"/>
                                <a:pt x="140" y="85"/>
                                <a:pt x="150" y="77"/>
                              </a:cubicBezTo>
                            </a:path>
                          </a:pathLst>
                        </a:custGeom>
                        <a:solidFill>
                          <a:srgbClr val="999999"/>
                        </a:solidFill>
                        <a:ln>
                          <a:noFill/>
                        </a:ln>
                        <a:effectLst/>
                      </wps:spPr>
                      <wps:bodyPr upright="1"/>
                    </wps:wsp>
                  </a:graphicData>
                </a:graphic>
              </wp:anchor>
            </w:drawing>
          </mc:Choice>
          <mc:Fallback>
            <w:pict>
              <v:shape id="_x0000_s1026" o:spid="_x0000_s1026" o:spt="100" style="position:absolute;left:0pt;margin-left:119.3pt;margin-top:834pt;height:5pt;width:9.2pt;mso-position-horizontal-relative:page;mso-position-vertical-relative:page;z-index:251678720;mso-width-relative:page;mso-height-relative:page;" fillcolor="#999999" filled="t" stroked="f" coordsize="183,100" o:allowincell="f" o:gfxdata="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" path="m81,60c80,73,73,83,65,90c60,97,50,100,41,100c30,100,20,95,11,87c3,77,0,65,0,50c0,35,5,22,13,13c21,3,33,0,45,0c55,0,61,2,67,5c73,12,77,17,77,22c77,25,77,27,75,27c73,30,71,32,67,32c63,32,61,30,60,27c57,25,57,23,55,17c55,13,55,12,51,10c50,7,47,5,41,5c35,5,30,7,25,13c20,20,17,30,17,40c17,52,20,62,25,70c31,80,40,83,50,83c55,83,61,82,67,77c71,73,75,67,80,60l81,60xem150,85c140,92,133,95,130,97c127,100,123,100,117,100c111,100,105,97,101,93c97,90,95,83,95,75c95,72,95,67,97,63c101,60,105,53,113,50c121,45,133,42,150,35l150,32c150,22,147,15,145,12c141,7,137,5,131,5c125,5,123,7,120,10c117,12,115,13,115,17l115,23c115,27,115,30,113,32c111,33,110,33,107,33c105,33,103,33,101,32c100,30,100,25,100,23c100,17,101,12,107,7c113,2,123,0,133,0c143,0,150,0,155,3c160,5,163,10,165,13c165,17,167,23,167,33l167,65c167,75,167,82,167,83c167,85,167,85,170,87c170,87,171,87,171,87c173,87,173,87,173,87c176,87,180,85,183,82l183,85c176,95,167,100,161,100c157,100,155,100,153,97c151,93,150,90,150,85m150,77l150,42c137,45,131,50,127,50c121,53,117,57,115,60c113,63,111,67,111,72c111,75,113,80,117,83c120,87,123,87,127,87c133,87,140,85,150,77e">
                <v:fill on="t" focussize="0,0"/>
                <v:stroke on="f"/>
                <v:imagedata o:title=""/>
                <o:lock v:ext="edit" aspectratio="f"/>
              </v:shape>
            </w:pict>
          </mc:Fallback>
        </mc:AlternateContent>
      </w:r>
      <w:r>
        <w:rPr>
          <w:rFonts w:hint="eastAsia"/>
          <w:sz w:val="24"/>
        </w:rPr>
        <mc:AlternateContent>
          <mc:Choice Requires="wps">
            <w:drawing>
              <wp:anchor distT="0" distB="0" distL="114300" distR="114300" simplePos="0" relativeHeight="251675648" behindDoc="0" locked="0" layoutInCell="0" allowOverlap="1">
                <wp:simplePos x="0" y="0"/>
                <wp:positionH relativeFrom="page">
                  <wp:posOffset>2551430</wp:posOffset>
                </wp:positionH>
                <wp:positionV relativeFrom="page">
                  <wp:posOffset>10591800</wp:posOffset>
                </wp:positionV>
                <wp:extent cx="260350" cy="63500"/>
                <wp:effectExtent l="0" t="0" r="19050" b="12700"/>
                <wp:wrapNone/>
                <wp:docPr id="230" name="任意多边形 230"/>
                <wp:cNvGraphicFramePr/>
                <a:graphic xmlns:a="http://schemas.openxmlformats.org/drawingml/2006/main">
                  <a:graphicData uri="http://schemas.microsoft.com/office/word/2010/wordprocessingShape">
                    <wps:wsp>
                      <wps:cNvSpPr/>
                      <wps:spPr>
                        <a:xfrm>
                          <a:off x="0" y="0"/>
                          <a:ext cx="260350" cy="63500"/>
                        </a:xfrm>
                        <a:custGeom>
                          <a:avLst/>
                          <a:gdLst>
                            <a:gd name="A1" fmla="val 0"/>
                            <a:gd name="A2" fmla="val 0"/>
                          </a:gdLst>
                          <a:ahLst/>
                          <a:cxnLst/>
                          <a:pathLst>
                            <a:path w="410" h="100">
                              <a:moveTo>
                                <a:pt x="14" y="37"/>
                              </a:moveTo>
                              <a:cubicBezTo>
                                <a:pt x="14" y="52"/>
                                <a:pt x="18" y="63"/>
                                <a:pt x="24" y="72"/>
                              </a:cubicBezTo>
                              <a:cubicBezTo>
                                <a:pt x="32" y="80"/>
                                <a:pt x="40" y="83"/>
                                <a:pt x="50" y="83"/>
                              </a:cubicBezTo>
                              <a:cubicBezTo>
                                <a:pt x="56" y="83"/>
                                <a:pt x="62" y="82"/>
                                <a:pt x="66" y="77"/>
                              </a:cubicBezTo>
                              <a:cubicBezTo>
                                <a:pt x="70" y="75"/>
                                <a:pt x="74" y="70"/>
                                <a:pt x="78" y="60"/>
                              </a:cubicBezTo>
                              <a:lnTo>
                                <a:pt x="80" y="62"/>
                              </a:lnTo>
                              <a:cubicBezTo>
                                <a:pt x="80" y="72"/>
                                <a:pt x="74" y="82"/>
                                <a:pt x="68" y="90"/>
                              </a:cubicBezTo>
                              <a:cubicBezTo>
                                <a:pt x="60" y="95"/>
                                <a:pt x="52" y="100"/>
                                <a:pt x="42" y="100"/>
                              </a:cubicBezTo>
                              <a:cubicBezTo>
                                <a:pt x="30" y="100"/>
                                <a:pt x="20" y="95"/>
                                <a:pt x="12" y="87"/>
                              </a:cubicBezTo>
                              <a:cubicBezTo>
                                <a:pt x="4" y="77"/>
                                <a:pt x="0" y="65"/>
                                <a:pt x="0" y="52"/>
                              </a:cubicBezTo>
                              <a:cubicBezTo>
                                <a:pt x="0" y="35"/>
                                <a:pt x="4" y="22"/>
                                <a:pt x="12" y="13"/>
                              </a:cubicBezTo>
                              <a:cubicBezTo>
                                <a:pt x="20" y="3"/>
                                <a:pt x="30" y="0"/>
                                <a:pt x="44" y="0"/>
                              </a:cubicBezTo>
                              <a:cubicBezTo>
                                <a:pt x="54" y="0"/>
                                <a:pt x="64" y="2"/>
                                <a:pt x="70" y="10"/>
                              </a:cubicBezTo>
                              <a:cubicBezTo>
                                <a:pt x="78" y="15"/>
                                <a:pt x="80" y="25"/>
                                <a:pt x="80" y="37"/>
                              </a:cubicBezTo>
                              <a:lnTo>
                                <a:pt x="14" y="37"/>
                              </a:lnTo>
                              <a:close/>
                              <a:moveTo>
                                <a:pt x="14" y="32"/>
                              </a:moveTo>
                              <a:lnTo>
                                <a:pt x="60" y="32"/>
                              </a:lnTo>
                              <a:cubicBezTo>
                                <a:pt x="58" y="25"/>
                                <a:pt x="58" y="22"/>
                                <a:pt x="56" y="17"/>
                              </a:cubicBezTo>
                              <a:cubicBezTo>
                                <a:pt x="56" y="13"/>
                                <a:pt x="52" y="12"/>
                                <a:pt x="50" y="10"/>
                              </a:cubicBezTo>
                              <a:cubicBezTo>
                                <a:pt x="46" y="7"/>
                                <a:pt x="42" y="5"/>
                                <a:pt x="38" y="5"/>
                              </a:cubicBezTo>
                              <a:cubicBezTo>
                                <a:pt x="32" y="5"/>
                                <a:pt x="26" y="7"/>
                                <a:pt x="22" y="12"/>
                              </a:cubicBezTo>
                              <a:cubicBezTo>
                                <a:pt x="18" y="17"/>
                                <a:pt x="14" y="23"/>
                                <a:pt x="14" y="32"/>
                              </a:cubicBezTo>
                            </a:path>
                            <a:path w="410" h="100">
                              <a:moveTo>
                                <a:pt x="176" y="60"/>
                              </a:moveTo>
                              <a:cubicBezTo>
                                <a:pt x="172" y="73"/>
                                <a:pt x="168" y="83"/>
                                <a:pt x="160" y="90"/>
                              </a:cubicBezTo>
                              <a:cubicBezTo>
                                <a:pt x="152" y="97"/>
                                <a:pt x="144" y="100"/>
                                <a:pt x="134" y="100"/>
                              </a:cubicBezTo>
                              <a:cubicBezTo>
                                <a:pt x="124" y="100"/>
                                <a:pt x="114" y="95"/>
                                <a:pt x="106" y="87"/>
                              </a:cubicBezTo>
                              <a:cubicBezTo>
                                <a:pt x="98" y="77"/>
                                <a:pt x="94" y="65"/>
                                <a:pt x="94" y="50"/>
                              </a:cubicBezTo>
                              <a:cubicBezTo>
                                <a:pt x="94" y="35"/>
                                <a:pt x="98" y="22"/>
                                <a:pt x="108" y="13"/>
                              </a:cubicBezTo>
                              <a:cubicBezTo>
                                <a:pt x="116" y="3"/>
                                <a:pt x="126" y="0"/>
                                <a:pt x="140" y="0"/>
                              </a:cubicBezTo>
                              <a:cubicBezTo>
                                <a:pt x="148" y="0"/>
                                <a:pt x="156" y="2"/>
                                <a:pt x="162" y="5"/>
                              </a:cubicBezTo>
                              <a:cubicBezTo>
                                <a:pt x="168" y="12"/>
                                <a:pt x="172" y="17"/>
                                <a:pt x="172" y="22"/>
                              </a:cubicBezTo>
                              <a:cubicBezTo>
                                <a:pt x="172" y="25"/>
                                <a:pt x="170" y="27"/>
                                <a:pt x="168" y="27"/>
                              </a:cubicBezTo>
                              <a:cubicBezTo>
                                <a:pt x="168" y="30"/>
                                <a:pt x="164" y="32"/>
                                <a:pt x="162" y="32"/>
                              </a:cubicBezTo>
                              <a:cubicBezTo>
                                <a:pt x="158" y="32"/>
                                <a:pt x="154" y="30"/>
                                <a:pt x="154" y="27"/>
                              </a:cubicBezTo>
                              <a:cubicBezTo>
                                <a:pt x="152" y="25"/>
                                <a:pt x="150" y="23"/>
                                <a:pt x="150" y="17"/>
                              </a:cubicBezTo>
                              <a:cubicBezTo>
                                <a:pt x="150" y="13"/>
                                <a:pt x="148" y="12"/>
                                <a:pt x="146" y="10"/>
                              </a:cubicBezTo>
                              <a:cubicBezTo>
                                <a:pt x="144" y="7"/>
                                <a:pt x="140" y="5"/>
                                <a:pt x="136" y="5"/>
                              </a:cubicBezTo>
                              <a:cubicBezTo>
                                <a:pt x="130" y="5"/>
                                <a:pt x="124" y="7"/>
                                <a:pt x="120" y="13"/>
                              </a:cubicBezTo>
                              <a:cubicBezTo>
                                <a:pt x="114" y="20"/>
                                <a:pt x="112" y="30"/>
                                <a:pt x="112" y="40"/>
                              </a:cubicBezTo>
                              <a:cubicBezTo>
                                <a:pt x="112" y="52"/>
                                <a:pt x="114" y="62"/>
                                <a:pt x="120" y="70"/>
                              </a:cubicBezTo>
                              <a:cubicBezTo>
                                <a:pt x="126" y="80"/>
                                <a:pt x="134" y="83"/>
                                <a:pt x="142" y="83"/>
                              </a:cubicBezTo>
                              <a:cubicBezTo>
                                <a:pt x="150" y="83"/>
                                <a:pt x="156" y="82"/>
                                <a:pt x="162" y="77"/>
                              </a:cubicBezTo>
                              <a:cubicBezTo>
                                <a:pt x="166" y="73"/>
                                <a:pt x="168" y="67"/>
                                <a:pt x="172" y="60"/>
                              </a:cubicBezTo>
                              <a:lnTo>
                                <a:pt x="176" y="60"/>
                              </a:lnTo>
                              <a:close/>
                            </a:path>
                            <a:path w="410" h="100">
                              <a:moveTo>
                                <a:pt x="272" y="0"/>
                              </a:moveTo>
                              <a:lnTo>
                                <a:pt x="272" y="20"/>
                              </a:lnTo>
                              <a:cubicBezTo>
                                <a:pt x="280" y="5"/>
                                <a:pt x="288" y="0"/>
                                <a:pt x="296" y="0"/>
                              </a:cubicBezTo>
                              <a:cubicBezTo>
                                <a:pt x="300" y="0"/>
                                <a:pt x="304" y="0"/>
                                <a:pt x="306" y="2"/>
                              </a:cubicBezTo>
                              <a:cubicBezTo>
                                <a:pt x="308" y="5"/>
                                <a:pt x="310" y="7"/>
                                <a:pt x="310" y="12"/>
                              </a:cubicBezTo>
                              <a:cubicBezTo>
                                <a:pt x="310" y="13"/>
                                <a:pt x="310" y="15"/>
                                <a:pt x="308" y="17"/>
                              </a:cubicBezTo>
                              <a:cubicBezTo>
                                <a:pt x="306" y="20"/>
                                <a:pt x="304" y="20"/>
                                <a:pt x="302" y="20"/>
                              </a:cubicBezTo>
                              <a:cubicBezTo>
                                <a:pt x="300" y="20"/>
                                <a:pt x="296" y="20"/>
                                <a:pt x="294" y="17"/>
                              </a:cubicBezTo>
                              <a:cubicBezTo>
                                <a:pt x="290" y="15"/>
                                <a:pt x="288" y="13"/>
                                <a:pt x="286" y="13"/>
                              </a:cubicBezTo>
                              <a:cubicBezTo>
                                <a:pt x="286" y="13"/>
                                <a:pt x="284" y="13"/>
                                <a:pt x="282" y="15"/>
                              </a:cubicBezTo>
                              <a:cubicBezTo>
                                <a:pt x="280" y="17"/>
                                <a:pt x="276" y="23"/>
                                <a:pt x="272" y="30"/>
                              </a:cubicBezTo>
                              <a:lnTo>
                                <a:pt x="272" y="75"/>
                              </a:lnTo>
                              <a:cubicBezTo>
                                <a:pt x="272" y="82"/>
                                <a:pt x="274" y="85"/>
                                <a:pt x="274" y="87"/>
                              </a:cubicBezTo>
                              <a:cubicBezTo>
                                <a:pt x="276" y="90"/>
                                <a:pt x="278" y="92"/>
                                <a:pt x="280" y="92"/>
                              </a:cubicBezTo>
                              <a:cubicBezTo>
                                <a:pt x="282" y="93"/>
                                <a:pt x="286" y="95"/>
                                <a:pt x="290" y="95"/>
                              </a:cubicBezTo>
                              <a:lnTo>
                                <a:pt x="290" y="97"/>
                              </a:lnTo>
                              <a:lnTo>
                                <a:pt x="240" y="97"/>
                              </a:lnTo>
                              <a:lnTo>
                                <a:pt x="240" y="95"/>
                              </a:lnTo>
                              <a:cubicBezTo>
                                <a:pt x="246" y="95"/>
                                <a:pt x="248" y="93"/>
                                <a:pt x="252" y="92"/>
                              </a:cubicBezTo>
                              <a:cubicBezTo>
                                <a:pt x="252" y="92"/>
                                <a:pt x="254" y="90"/>
                                <a:pt x="254" y="87"/>
                              </a:cubicBezTo>
                              <a:cubicBezTo>
                                <a:pt x="256" y="85"/>
                                <a:pt x="256" y="82"/>
                                <a:pt x="256" y="75"/>
                              </a:cubicBezTo>
                              <a:lnTo>
                                <a:pt x="256" y="40"/>
                              </a:lnTo>
                              <a:cubicBezTo>
                                <a:pt x="256" y="27"/>
                                <a:pt x="256" y="22"/>
                                <a:pt x="254" y="17"/>
                              </a:cubicBezTo>
                              <a:cubicBezTo>
                                <a:pt x="254" y="15"/>
                                <a:pt x="254" y="15"/>
                                <a:pt x="252" y="13"/>
                              </a:cubicBezTo>
                              <a:cubicBezTo>
                                <a:pt x="250" y="13"/>
                                <a:pt x="250" y="12"/>
                                <a:pt x="248" y="12"/>
                              </a:cubicBezTo>
                              <a:cubicBezTo>
                                <a:pt x="246" y="12"/>
                                <a:pt x="244" y="13"/>
                                <a:pt x="240" y="13"/>
                              </a:cubicBezTo>
                              <a:lnTo>
                                <a:pt x="240" y="12"/>
                              </a:lnTo>
                              <a:lnTo>
                                <a:pt x="268" y="0"/>
                              </a:lnTo>
                              <a:lnTo>
                                <a:pt x="272" y="0"/>
                              </a:lnTo>
                              <a:close/>
                            </a:path>
                            <a:path w="410" h="100">
                              <a:moveTo>
                                <a:pt x="364" y="0"/>
                              </a:moveTo>
                              <a:cubicBezTo>
                                <a:pt x="378" y="0"/>
                                <a:pt x="390" y="3"/>
                                <a:pt x="398" y="15"/>
                              </a:cubicBezTo>
                              <a:cubicBezTo>
                                <a:pt x="406" y="25"/>
                                <a:pt x="410" y="35"/>
                                <a:pt x="410" y="47"/>
                              </a:cubicBezTo>
                              <a:cubicBezTo>
                                <a:pt x="410" y="55"/>
                                <a:pt x="408" y="65"/>
                                <a:pt x="404" y="73"/>
                              </a:cubicBezTo>
                              <a:cubicBezTo>
                                <a:pt x="400" y="82"/>
                                <a:pt x="394" y="90"/>
                                <a:pt x="386" y="93"/>
                              </a:cubicBezTo>
                              <a:cubicBezTo>
                                <a:pt x="380" y="97"/>
                                <a:pt x="372" y="100"/>
                                <a:pt x="362" y="100"/>
                              </a:cubicBezTo>
                              <a:cubicBezTo>
                                <a:pt x="348" y="100"/>
                                <a:pt x="338" y="93"/>
                                <a:pt x="328" y="83"/>
                              </a:cubicBezTo>
                              <a:cubicBezTo>
                                <a:pt x="322" y="73"/>
                                <a:pt x="318" y="62"/>
                                <a:pt x="318" y="50"/>
                              </a:cubicBezTo>
                              <a:cubicBezTo>
                                <a:pt x="318" y="42"/>
                                <a:pt x="320" y="33"/>
                                <a:pt x="324" y="23"/>
                              </a:cubicBezTo>
                              <a:cubicBezTo>
                                <a:pt x="328" y="15"/>
                                <a:pt x="334" y="10"/>
                                <a:pt x="342" y="5"/>
                              </a:cubicBezTo>
                              <a:cubicBezTo>
                                <a:pt x="348" y="2"/>
                                <a:pt x="356" y="0"/>
                                <a:pt x="364" y="0"/>
                              </a:cubicBezTo>
                              <a:moveTo>
                                <a:pt x="360" y="5"/>
                              </a:moveTo>
                              <a:cubicBezTo>
                                <a:pt x="358" y="5"/>
                                <a:pt x="354" y="7"/>
                                <a:pt x="350" y="10"/>
                              </a:cubicBezTo>
                              <a:cubicBezTo>
                                <a:pt x="346" y="12"/>
                                <a:pt x="344" y="15"/>
                                <a:pt x="342" y="22"/>
                              </a:cubicBezTo>
                              <a:cubicBezTo>
                                <a:pt x="340" y="25"/>
                                <a:pt x="338" y="33"/>
                                <a:pt x="338" y="42"/>
                              </a:cubicBezTo>
                              <a:cubicBezTo>
                                <a:pt x="338" y="55"/>
                                <a:pt x="340" y="67"/>
                                <a:pt x="346" y="77"/>
                              </a:cubicBezTo>
                              <a:cubicBezTo>
                                <a:pt x="352" y="87"/>
                                <a:pt x="358" y="93"/>
                                <a:pt x="368" y="93"/>
                              </a:cubicBezTo>
                              <a:cubicBezTo>
                                <a:pt x="374" y="93"/>
                                <a:pt x="380" y="92"/>
                                <a:pt x="384" y="85"/>
                              </a:cubicBezTo>
                              <a:cubicBezTo>
                                <a:pt x="388" y="80"/>
                                <a:pt x="390" y="70"/>
                                <a:pt x="390" y="55"/>
                              </a:cubicBezTo>
                              <a:cubicBezTo>
                                <a:pt x="390" y="40"/>
                                <a:pt x="386" y="25"/>
                                <a:pt x="380" y="15"/>
                              </a:cubicBezTo>
                              <a:cubicBezTo>
                                <a:pt x="374" y="10"/>
                                <a:pt x="368" y="5"/>
                                <a:pt x="360" y="5"/>
                              </a:cubicBezTo>
                            </a:path>
                          </a:pathLst>
                        </a:custGeom>
                        <a:solidFill>
                          <a:srgbClr val="999999"/>
                        </a:solidFill>
                        <a:ln>
                          <a:noFill/>
                        </a:ln>
                        <a:effectLst/>
                      </wps:spPr>
                      <wps:bodyPr upright="1"/>
                    </wps:wsp>
                  </a:graphicData>
                </a:graphic>
              </wp:anchor>
            </w:drawing>
          </mc:Choice>
          <mc:Fallback>
            <w:pict>
              <v:shape id="_x0000_s1026" o:spid="_x0000_s1026" o:spt="100" style="position:absolute;left:0pt;margin-left:200.9pt;margin-top:834pt;height:5pt;width:20.5pt;mso-position-horizontal-relative:page;mso-position-vertical-relative:page;z-index:251675648;mso-width-relative:page;mso-height-relative:page;" fillcolor="#999999" filled="t" stroked="f" coordsize="410,100" o:allowincell="f" o:gfxdata="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" path="m14,37c14,52,18,63,24,72c32,80,40,83,50,83c56,83,62,82,66,77c70,75,74,70,78,60l80,62c80,72,74,82,68,90c60,95,52,100,42,100c30,100,20,95,12,87c4,77,0,65,0,52c0,35,4,22,12,13c20,3,30,0,44,0c54,0,64,2,70,10c78,15,80,25,80,37l14,37xm14,32l60,32c58,25,58,22,56,17c56,13,52,12,50,10c46,7,42,5,38,5c32,5,26,7,22,12c18,17,14,23,14,32em176,60c172,73,168,83,160,90c152,97,144,100,134,100c124,100,114,95,106,87c98,77,94,65,94,50c94,35,98,22,108,13c116,3,126,0,140,0c148,0,156,2,162,5c168,12,172,17,172,22c172,25,170,27,168,27c168,30,164,32,162,32c158,32,154,30,154,27c152,25,150,23,150,17c150,13,148,12,146,10c144,7,140,5,136,5c130,5,124,7,120,13c114,20,112,30,112,40c112,52,114,62,120,70c126,80,134,83,142,83c150,83,156,82,162,77c166,73,168,67,172,60l176,60xem272,0l272,20c280,5,288,0,296,0c300,0,304,0,306,2c308,5,310,7,310,12c310,13,310,15,308,17c306,20,304,20,302,20c300,20,296,20,294,17c290,15,288,13,286,13c286,13,284,13,282,15c280,17,276,23,272,30l272,75c272,82,274,85,274,87c276,90,278,92,280,92c282,93,286,95,290,95l290,97,240,97,240,95c246,95,248,93,252,92c252,92,254,90,254,87c256,85,256,82,256,75l256,40c256,27,256,22,254,17c254,15,254,15,252,13c250,13,250,12,248,12c246,12,244,13,240,13l240,12,268,0,272,0xem364,0c378,0,390,3,398,15c406,25,410,35,410,47c410,55,408,65,404,73c400,82,394,90,386,93c380,97,372,100,362,100c348,100,338,93,328,83c322,73,318,62,318,50c318,42,320,33,324,23c328,15,334,10,342,5c348,2,356,0,364,0m360,5c358,5,354,7,350,10c346,12,344,15,342,22c340,25,338,33,338,42c338,55,340,67,346,77c352,87,358,93,368,93c374,93,380,92,384,85c388,80,390,70,390,55c390,40,386,25,380,15c374,10,368,5,360,5e">
                <v:fill on="t" focussize="0,0"/>
                <v:stroke on="f"/>
                <v:imagedata o:title=""/>
                <o:lock v:ext="edit" aspectratio="f"/>
              </v:shape>
            </w:pict>
          </mc:Fallback>
        </mc:AlternateContent>
      </w:r>
      <w:r>
        <w:rPr>
          <w:rFonts w:hint="eastAsia"/>
          <w:sz w:val="24"/>
        </w:rPr>
        <mc:AlternateContent>
          <mc:Choice Requires="wps">
            <w:drawing>
              <wp:anchor distT="0" distB="0" distL="114300" distR="114300" simplePos="0" relativeHeight="251677696" behindDoc="0" locked="0" layoutInCell="0" allowOverlap="1">
                <wp:simplePos x="0" y="0"/>
                <wp:positionH relativeFrom="page">
                  <wp:posOffset>3867150</wp:posOffset>
                </wp:positionH>
                <wp:positionV relativeFrom="page">
                  <wp:posOffset>10591800</wp:posOffset>
                </wp:positionV>
                <wp:extent cx="130810" cy="63500"/>
                <wp:effectExtent l="0" t="0" r="21590" b="12700"/>
                <wp:wrapNone/>
                <wp:docPr id="231" name="任意多边形 231"/>
                <wp:cNvGraphicFramePr/>
                <a:graphic xmlns:a="http://schemas.openxmlformats.org/drawingml/2006/main">
                  <a:graphicData uri="http://schemas.microsoft.com/office/word/2010/wordprocessingShape">
                    <wps:wsp>
                      <wps:cNvSpPr/>
                      <wps:spPr>
                        <a:xfrm>
                          <a:off x="0" y="0"/>
                          <a:ext cx="130810" cy="63500"/>
                        </a:xfrm>
                        <a:custGeom>
                          <a:avLst/>
                          <a:gdLst>
                            <a:gd name="A1" fmla="val 0"/>
                            <a:gd name="A2" fmla="val 0"/>
                          </a:gdLst>
                          <a:ahLst/>
                          <a:cxnLst/>
                          <a:pathLst>
                            <a:path w="206" h="100">
                              <a:moveTo>
                                <a:pt x="57" y="0"/>
                              </a:moveTo>
                              <a:lnTo>
                                <a:pt x="57" y="32"/>
                              </a:lnTo>
                              <a:lnTo>
                                <a:pt x="55" y="32"/>
                              </a:lnTo>
                              <a:cubicBezTo>
                                <a:pt x="52" y="22"/>
                                <a:pt x="50" y="13"/>
                                <a:pt x="44" y="12"/>
                              </a:cubicBezTo>
                              <a:cubicBezTo>
                                <a:pt x="40" y="7"/>
                                <a:pt x="35" y="5"/>
                                <a:pt x="30" y="5"/>
                              </a:cubicBezTo>
                              <a:cubicBezTo>
                                <a:pt x="24" y="5"/>
                                <a:pt x="20" y="7"/>
                                <a:pt x="17" y="10"/>
                              </a:cubicBezTo>
                              <a:cubicBezTo>
                                <a:pt x="14" y="12"/>
                                <a:pt x="12" y="15"/>
                                <a:pt x="12" y="17"/>
                              </a:cubicBezTo>
                              <a:cubicBezTo>
                                <a:pt x="12" y="22"/>
                                <a:pt x="14" y="25"/>
                                <a:pt x="15" y="27"/>
                              </a:cubicBezTo>
                              <a:cubicBezTo>
                                <a:pt x="17" y="32"/>
                                <a:pt x="22" y="33"/>
                                <a:pt x="30" y="37"/>
                              </a:cubicBezTo>
                              <a:lnTo>
                                <a:pt x="44" y="43"/>
                              </a:lnTo>
                              <a:cubicBezTo>
                                <a:pt x="57" y="52"/>
                                <a:pt x="65" y="60"/>
                                <a:pt x="65" y="72"/>
                              </a:cubicBezTo>
                              <a:cubicBezTo>
                                <a:pt x="65" y="80"/>
                                <a:pt x="62" y="87"/>
                                <a:pt x="55" y="92"/>
                              </a:cubicBezTo>
                              <a:cubicBezTo>
                                <a:pt x="50" y="97"/>
                                <a:pt x="42" y="100"/>
                                <a:pt x="34" y="100"/>
                              </a:cubicBezTo>
                              <a:cubicBezTo>
                                <a:pt x="27" y="100"/>
                                <a:pt x="20" y="100"/>
                                <a:pt x="12" y="97"/>
                              </a:cubicBezTo>
                              <a:cubicBezTo>
                                <a:pt x="10" y="97"/>
                                <a:pt x="7" y="95"/>
                                <a:pt x="7" y="95"/>
                              </a:cubicBezTo>
                              <a:cubicBezTo>
                                <a:pt x="5" y="95"/>
                                <a:pt x="4" y="97"/>
                                <a:pt x="4" y="100"/>
                              </a:cubicBezTo>
                              <a:lnTo>
                                <a:pt x="0" y="100"/>
                              </a:lnTo>
                              <a:lnTo>
                                <a:pt x="0" y="67"/>
                              </a:lnTo>
                              <a:lnTo>
                                <a:pt x="4" y="67"/>
                              </a:lnTo>
                              <a:cubicBezTo>
                                <a:pt x="5" y="77"/>
                                <a:pt x="10" y="83"/>
                                <a:pt x="14" y="87"/>
                              </a:cubicBezTo>
                              <a:cubicBezTo>
                                <a:pt x="20" y="92"/>
                                <a:pt x="25" y="93"/>
                                <a:pt x="34" y="93"/>
                              </a:cubicBezTo>
                              <a:cubicBezTo>
                                <a:pt x="37" y="93"/>
                                <a:pt x="42" y="92"/>
                                <a:pt x="45" y="90"/>
                              </a:cubicBezTo>
                              <a:cubicBezTo>
                                <a:pt x="47" y="85"/>
                                <a:pt x="50" y="83"/>
                                <a:pt x="50" y="80"/>
                              </a:cubicBezTo>
                              <a:cubicBezTo>
                                <a:pt x="50" y="73"/>
                                <a:pt x="47" y="70"/>
                                <a:pt x="45" y="65"/>
                              </a:cubicBezTo>
                              <a:cubicBezTo>
                                <a:pt x="42" y="63"/>
                                <a:pt x="35" y="60"/>
                                <a:pt x="25" y="53"/>
                              </a:cubicBezTo>
                              <a:cubicBezTo>
                                <a:pt x="15" y="50"/>
                                <a:pt x="7" y="45"/>
                                <a:pt x="5" y="42"/>
                              </a:cubicBezTo>
                              <a:cubicBezTo>
                                <a:pt x="2" y="37"/>
                                <a:pt x="0" y="32"/>
                                <a:pt x="0" y="25"/>
                              </a:cubicBezTo>
                              <a:cubicBezTo>
                                <a:pt x="0" y="17"/>
                                <a:pt x="4" y="12"/>
                                <a:pt x="7" y="7"/>
                              </a:cubicBezTo>
                              <a:cubicBezTo>
                                <a:pt x="14" y="2"/>
                                <a:pt x="22" y="0"/>
                                <a:pt x="30" y="0"/>
                              </a:cubicBezTo>
                              <a:cubicBezTo>
                                <a:pt x="34" y="0"/>
                                <a:pt x="37" y="0"/>
                                <a:pt x="44" y="2"/>
                              </a:cubicBezTo>
                              <a:cubicBezTo>
                                <a:pt x="45" y="2"/>
                                <a:pt x="50" y="3"/>
                                <a:pt x="50" y="3"/>
                              </a:cubicBezTo>
                              <a:cubicBezTo>
                                <a:pt x="52" y="3"/>
                                <a:pt x="52" y="3"/>
                                <a:pt x="54" y="2"/>
                              </a:cubicBezTo>
                              <a:cubicBezTo>
                                <a:pt x="54" y="2"/>
                                <a:pt x="54" y="2"/>
                                <a:pt x="55" y="0"/>
                              </a:cubicBezTo>
                              <a:lnTo>
                                <a:pt x="57" y="0"/>
                              </a:lnTo>
                              <a:close/>
                            </a:path>
                            <a:path w="206" h="100">
                              <a:moveTo>
                                <a:pt x="95" y="37"/>
                              </a:moveTo>
                              <a:cubicBezTo>
                                <a:pt x="95" y="52"/>
                                <a:pt x="97" y="63"/>
                                <a:pt x="105" y="72"/>
                              </a:cubicBezTo>
                              <a:cubicBezTo>
                                <a:pt x="112" y="80"/>
                                <a:pt x="122" y="83"/>
                                <a:pt x="130" y="83"/>
                              </a:cubicBezTo>
                              <a:cubicBezTo>
                                <a:pt x="137" y="83"/>
                                <a:pt x="142" y="82"/>
                                <a:pt x="147" y="77"/>
                              </a:cubicBezTo>
                              <a:cubicBezTo>
                                <a:pt x="152" y="75"/>
                                <a:pt x="155" y="70"/>
                                <a:pt x="160" y="60"/>
                              </a:cubicBezTo>
                              <a:lnTo>
                                <a:pt x="162" y="62"/>
                              </a:lnTo>
                              <a:cubicBezTo>
                                <a:pt x="160" y="72"/>
                                <a:pt x="155" y="82"/>
                                <a:pt x="150" y="90"/>
                              </a:cubicBezTo>
                              <a:cubicBezTo>
                                <a:pt x="142" y="95"/>
                                <a:pt x="134" y="100"/>
                                <a:pt x="122" y="100"/>
                              </a:cubicBezTo>
                              <a:cubicBezTo>
                                <a:pt x="112" y="100"/>
                                <a:pt x="102" y="95"/>
                                <a:pt x="92" y="87"/>
                              </a:cubicBezTo>
                              <a:cubicBezTo>
                                <a:pt x="84" y="77"/>
                                <a:pt x="80" y="65"/>
                                <a:pt x="80" y="52"/>
                              </a:cubicBezTo>
                              <a:cubicBezTo>
                                <a:pt x="80" y="35"/>
                                <a:pt x="84" y="22"/>
                                <a:pt x="94" y="13"/>
                              </a:cubicBezTo>
                              <a:cubicBezTo>
                                <a:pt x="102" y="3"/>
                                <a:pt x="112" y="0"/>
                                <a:pt x="124" y="0"/>
                              </a:cubicBezTo>
                              <a:cubicBezTo>
                                <a:pt x="135" y="0"/>
                                <a:pt x="144" y="2"/>
                                <a:pt x="152" y="10"/>
                              </a:cubicBezTo>
                              <a:cubicBezTo>
                                <a:pt x="157" y="15"/>
                                <a:pt x="162" y="25"/>
                                <a:pt x="162" y="37"/>
                              </a:cubicBezTo>
                              <a:lnTo>
                                <a:pt x="95" y="37"/>
                              </a:lnTo>
                              <a:close/>
                              <a:moveTo>
                                <a:pt x="95" y="32"/>
                              </a:moveTo>
                              <a:lnTo>
                                <a:pt x="140" y="32"/>
                              </a:lnTo>
                              <a:cubicBezTo>
                                <a:pt x="140" y="25"/>
                                <a:pt x="140" y="22"/>
                                <a:pt x="137" y="17"/>
                              </a:cubicBezTo>
                              <a:cubicBezTo>
                                <a:pt x="135" y="13"/>
                                <a:pt x="134" y="12"/>
                                <a:pt x="130" y="10"/>
                              </a:cubicBezTo>
                              <a:cubicBezTo>
                                <a:pt x="125" y="7"/>
                                <a:pt x="124" y="5"/>
                                <a:pt x="120" y="5"/>
                              </a:cubicBezTo>
                              <a:cubicBezTo>
                                <a:pt x="114" y="5"/>
                                <a:pt x="107" y="7"/>
                                <a:pt x="104" y="12"/>
                              </a:cubicBezTo>
                              <a:cubicBezTo>
                                <a:pt x="97" y="17"/>
                                <a:pt x="95" y="23"/>
                                <a:pt x="95" y="32"/>
                              </a:cubicBezTo>
                            </a:path>
                            <a:path w="206" h="100">
                              <a:moveTo>
                                <a:pt x="194" y="75"/>
                              </a:moveTo>
                              <a:cubicBezTo>
                                <a:pt x="197" y="75"/>
                                <a:pt x="200" y="77"/>
                                <a:pt x="202" y="80"/>
                              </a:cubicBezTo>
                              <a:cubicBezTo>
                                <a:pt x="204" y="82"/>
                                <a:pt x="205" y="85"/>
                                <a:pt x="205" y="87"/>
                              </a:cubicBezTo>
                              <a:cubicBezTo>
                                <a:pt x="205" y="92"/>
                                <a:pt x="204" y="93"/>
                                <a:pt x="202" y="97"/>
                              </a:cubicBezTo>
                              <a:cubicBezTo>
                                <a:pt x="200" y="100"/>
                                <a:pt x="197" y="100"/>
                                <a:pt x="194" y="100"/>
                              </a:cubicBezTo>
                              <a:cubicBezTo>
                                <a:pt x="190" y="100"/>
                                <a:pt x="187" y="100"/>
                                <a:pt x="185" y="97"/>
                              </a:cubicBezTo>
                              <a:cubicBezTo>
                                <a:pt x="184" y="93"/>
                                <a:pt x="182" y="92"/>
                                <a:pt x="182" y="87"/>
                              </a:cubicBezTo>
                              <a:cubicBezTo>
                                <a:pt x="182" y="85"/>
                                <a:pt x="184" y="82"/>
                                <a:pt x="185" y="80"/>
                              </a:cubicBezTo>
                              <a:cubicBezTo>
                                <a:pt x="187" y="77"/>
                                <a:pt x="190" y="75"/>
                                <a:pt x="194" y="75"/>
                              </a:cubicBezTo>
                            </a:path>
                          </a:pathLst>
                        </a:custGeom>
                        <a:solidFill>
                          <a:srgbClr val="999999"/>
                        </a:solidFill>
                        <a:ln>
                          <a:noFill/>
                        </a:ln>
                        <a:effectLst/>
                      </wps:spPr>
                      <wps:bodyPr upright="1"/>
                    </wps:wsp>
                  </a:graphicData>
                </a:graphic>
              </wp:anchor>
            </w:drawing>
          </mc:Choice>
          <mc:Fallback>
            <w:pict>
              <v:shape id="_x0000_s1026" o:spid="_x0000_s1026" o:spt="100" style="position:absolute;left:0pt;margin-left:304.5pt;margin-top:834pt;height:5pt;width:10.3pt;mso-position-horizontal-relative:page;mso-position-vertical-relative:page;z-index:251677696;mso-width-relative:page;mso-height-relative:page;" fillcolor="#999999" filled="t" stroked="f" coordsize="206,100" o:allowincell="f" o:gfxdata="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" path="m57,0l57,32,55,32c52,22,50,13,44,12c40,7,35,5,30,5c24,5,20,7,17,10c14,12,12,15,12,17c12,22,14,25,15,27c17,32,22,33,30,37l44,43c57,52,65,60,65,72c65,80,62,87,55,92c50,97,42,100,34,100c27,100,20,100,12,97c10,97,7,95,7,95c5,95,4,97,4,100l0,100,0,67,4,67c5,77,10,83,14,87c20,92,25,93,34,93c37,93,42,92,45,90c47,85,50,83,50,80c50,73,47,70,45,65c42,63,35,60,25,53c15,50,7,45,5,42c2,37,0,32,0,25c0,17,4,12,7,7c14,2,22,0,30,0c34,0,37,0,44,2c45,2,50,3,50,3c52,3,52,3,54,2c54,2,54,2,55,0l57,0xem95,37c95,52,97,63,105,72c112,80,122,83,130,83c137,83,142,82,147,77c152,75,155,70,160,60l162,62c160,72,155,82,150,90c142,95,134,100,122,100c112,100,102,95,92,87c84,77,80,65,80,52c80,35,84,22,94,13c102,3,112,0,124,0c135,0,144,2,152,10c157,15,162,25,162,37l95,37xm95,32l140,32c140,25,140,22,137,17c135,13,134,12,130,10c125,7,124,5,120,5c114,5,107,7,104,12c97,17,95,23,95,32em194,75c197,75,200,77,202,80c204,82,205,85,205,87c205,92,204,93,202,97c200,100,197,100,194,100c190,100,187,100,185,97c184,93,182,92,182,87c182,85,184,82,185,80c187,77,190,75,194,75e">
                <v:fill on="t" focussize="0,0"/>
                <v:stroke on="f"/>
                <v:imagedata o:title=""/>
                <o:lock v:ext="edit" aspectratio="f"/>
              </v:shape>
            </w:pict>
          </mc:Fallback>
        </mc:AlternateContent>
      </w:r>
      <w:r>
        <w:rPr>
          <w:rFonts w:hint="eastAsia"/>
          <w:sz w:val="24"/>
        </w:rPr>
        <mc:AlternateContent>
          <mc:Choice Requires="wps">
            <w:drawing>
              <wp:anchor distT="0" distB="0" distL="114300" distR="114300" simplePos="0" relativeHeight="251674624" behindDoc="0" locked="0" layoutInCell="0" allowOverlap="1">
                <wp:simplePos x="0" y="0"/>
                <wp:positionH relativeFrom="page">
                  <wp:posOffset>4588510</wp:posOffset>
                </wp:positionH>
                <wp:positionV relativeFrom="page">
                  <wp:posOffset>10591800</wp:posOffset>
                </wp:positionV>
                <wp:extent cx="387350" cy="63500"/>
                <wp:effectExtent l="0" t="0" r="19050" b="12700"/>
                <wp:wrapNone/>
                <wp:docPr id="239" name="任意多边形 239"/>
                <wp:cNvGraphicFramePr/>
                <a:graphic xmlns:a="http://schemas.openxmlformats.org/drawingml/2006/main">
                  <a:graphicData uri="http://schemas.microsoft.com/office/word/2010/wordprocessingShape">
                    <wps:wsp>
                      <wps:cNvSpPr/>
                      <wps:spPr>
                        <a:xfrm>
                          <a:off x="0" y="0"/>
                          <a:ext cx="387350" cy="63500"/>
                        </a:xfrm>
                        <a:custGeom>
                          <a:avLst/>
                          <a:gdLst>
                            <a:gd name="A1" fmla="val 0"/>
                            <a:gd name="A2" fmla="val 0"/>
                          </a:gdLst>
                          <a:ahLst/>
                          <a:cxnLst/>
                          <a:pathLst>
                            <a:path w="610" h="100">
                              <a:moveTo>
                                <a:pt x="34" y="0"/>
                              </a:moveTo>
                              <a:lnTo>
                                <a:pt x="34" y="20"/>
                              </a:lnTo>
                              <a:cubicBezTo>
                                <a:pt x="42" y="5"/>
                                <a:pt x="50" y="0"/>
                                <a:pt x="58" y="0"/>
                              </a:cubicBezTo>
                              <a:cubicBezTo>
                                <a:pt x="62" y="0"/>
                                <a:pt x="66" y="0"/>
                                <a:pt x="68" y="2"/>
                              </a:cubicBezTo>
                              <a:cubicBezTo>
                                <a:pt x="70" y="5"/>
                                <a:pt x="72" y="7"/>
                                <a:pt x="72" y="12"/>
                              </a:cubicBezTo>
                              <a:cubicBezTo>
                                <a:pt x="72" y="13"/>
                                <a:pt x="70" y="15"/>
                                <a:pt x="68" y="17"/>
                              </a:cubicBezTo>
                              <a:cubicBezTo>
                                <a:pt x="68" y="20"/>
                                <a:pt x="66" y="20"/>
                                <a:pt x="62" y="20"/>
                              </a:cubicBezTo>
                              <a:cubicBezTo>
                                <a:pt x="60" y="20"/>
                                <a:pt x="58" y="20"/>
                                <a:pt x="54" y="17"/>
                              </a:cubicBezTo>
                              <a:cubicBezTo>
                                <a:pt x="52" y="15"/>
                                <a:pt x="50" y="13"/>
                                <a:pt x="48" y="13"/>
                              </a:cubicBezTo>
                              <a:cubicBezTo>
                                <a:pt x="46" y="13"/>
                                <a:pt x="46" y="13"/>
                                <a:pt x="44" y="15"/>
                              </a:cubicBezTo>
                              <a:cubicBezTo>
                                <a:pt x="40" y="17"/>
                                <a:pt x="38" y="23"/>
                                <a:pt x="34" y="30"/>
                              </a:cubicBezTo>
                              <a:lnTo>
                                <a:pt x="34" y="75"/>
                              </a:lnTo>
                              <a:cubicBezTo>
                                <a:pt x="34" y="82"/>
                                <a:pt x="34" y="85"/>
                                <a:pt x="36" y="87"/>
                              </a:cubicBezTo>
                              <a:cubicBezTo>
                                <a:pt x="36" y="90"/>
                                <a:pt x="38" y="92"/>
                                <a:pt x="40" y="92"/>
                              </a:cubicBezTo>
                              <a:cubicBezTo>
                                <a:pt x="44" y="93"/>
                                <a:pt x="46" y="95"/>
                                <a:pt x="52" y="95"/>
                              </a:cubicBezTo>
                              <a:lnTo>
                                <a:pt x="52" y="97"/>
                              </a:lnTo>
                              <a:lnTo>
                                <a:pt x="2" y="97"/>
                              </a:lnTo>
                              <a:lnTo>
                                <a:pt x="2" y="95"/>
                              </a:lnTo>
                              <a:cubicBezTo>
                                <a:pt x="6" y="95"/>
                                <a:pt x="10" y="93"/>
                                <a:pt x="12" y="92"/>
                              </a:cubicBezTo>
                              <a:cubicBezTo>
                                <a:pt x="14" y="92"/>
                                <a:pt x="16" y="90"/>
                                <a:pt x="16" y="87"/>
                              </a:cubicBezTo>
                              <a:cubicBezTo>
                                <a:pt x="16" y="85"/>
                                <a:pt x="16" y="82"/>
                                <a:pt x="16" y="75"/>
                              </a:cubicBezTo>
                              <a:lnTo>
                                <a:pt x="16" y="40"/>
                              </a:lnTo>
                              <a:cubicBezTo>
                                <a:pt x="16" y="27"/>
                                <a:pt x="16" y="22"/>
                                <a:pt x="16" y="17"/>
                              </a:cubicBezTo>
                              <a:cubicBezTo>
                                <a:pt x="16" y="15"/>
                                <a:pt x="14" y="15"/>
                                <a:pt x="14" y="13"/>
                              </a:cubicBezTo>
                              <a:cubicBezTo>
                                <a:pt x="12" y="13"/>
                                <a:pt x="10" y="12"/>
                                <a:pt x="8" y="12"/>
                              </a:cubicBezTo>
                              <a:cubicBezTo>
                                <a:pt x="6" y="12"/>
                                <a:pt x="4" y="13"/>
                                <a:pt x="2" y="13"/>
                              </a:cubicBezTo>
                              <a:lnTo>
                                <a:pt x="0" y="12"/>
                              </a:lnTo>
                              <a:lnTo>
                                <a:pt x="30" y="0"/>
                              </a:lnTo>
                              <a:lnTo>
                                <a:pt x="34" y="0"/>
                              </a:lnTo>
                              <a:close/>
                            </a:path>
                            <a:path w="610" h="100">
                              <a:moveTo>
                                <a:pt x="94" y="37"/>
                              </a:moveTo>
                              <a:cubicBezTo>
                                <a:pt x="94" y="52"/>
                                <a:pt x="98" y="63"/>
                                <a:pt x="104" y="72"/>
                              </a:cubicBezTo>
                              <a:cubicBezTo>
                                <a:pt x="112" y="80"/>
                                <a:pt x="120" y="83"/>
                                <a:pt x="130" y="83"/>
                              </a:cubicBezTo>
                              <a:cubicBezTo>
                                <a:pt x="136" y="83"/>
                                <a:pt x="142" y="82"/>
                                <a:pt x="146" y="77"/>
                              </a:cubicBezTo>
                              <a:cubicBezTo>
                                <a:pt x="150" y="75"/>
                                <a:pt x="154" y="70"/>
                                <a:pt x="158" y="60"/>
                              </a:cubicBezTo>
                              <a:lnTo>
                                <a:pt x="160" y="62"/>
                              </a:lnTo>
                              <a:cubicBezTo>
                                <a:pt x="160" y="72"/>
                                <a:pt x="154" y="82"/>
                                <a:pt x="148" y="90"/>
                              </a:cubicBezTo>
                              <a:cubicBezTo>
                                <a:pt x="140" y="95"/>
                                <a:pt x="132" y="100"/>
                                <a:pt x="122" y="100"/>
                              </a:cubicBezTo>
                              <a:cubicBezTo>
                                <a:pt x="110" y="100"/>
                                <a:pt x="100" y="95"/>
                                <a:pt x="92" y="87"/>
                              </a:cubicBezTo>
                              <a:cubicBezTo>
                                <a:pt x="84" y="77"/>
                                <a:pt x="80" y="65"/>
                                <a:pt x="80" y="52"/>
                              </a:cubicBezTo>
                              <a:cubicBezTo>
                                <a:pt x="80" y="35"/>
                                <a:pt x="84" y="22"/>
                                <a:pt x="92" y="13"/>
                              </a:cubicBezTo>
                              <a:cubicBezTo>
                                <a:pt x="100" y="3"/>
                                <a:pt x="110" y="0"/>
                                <a:pt x="124" y="0"/>
                              </a:cubicBezTo>
                              <a:cubicBezTo>
                                <a:pt x="134" y="0"/>
                                <a:pt x="144" y="2"/>
                                <a:pt x="150" y="10"/>
                              </a:cubicBezTo>
                              <a:cubicBezTo>
                                <a:pt x="158" y="15"/>
                                <a:pt x="160" y="25"/>
                                <a:pt x="160" y="37"/>
                              </a:cubicBezTo>
                              <a:lnTo>
                                <a:pt x="94" y="37"/>
                              </a:lnTo>
                              <a:close/>
                              <a:moveTo>
                                <a:pt x="94" y="32"/>
                              </a:moveTo>
                              <a:lnTo>
                                <a:pt x="140" y="32"/>
                              </a:lnTo>
                              <a:cubicBezTo>
                                <a:pt x="138" y="25"/>
                                <a:pt x="138" y="22"/>
                                <a:pt x="136" y="17"/>
                              </a:cubicBezTo>
                              <a:cubicBezTo>
                                <a:pt x="136" y="13"/>
                                <a:pt x="132" y="12"/>
                                <a:pt x="130" y="10"/>
                              </a:cubicBezTo>
                              <a:cubicBezTo>
                                <a:pt x="126" y="7"/>
                                <a:pt x="122" y="5"/>
                                <a:pt x="118" y="5"/>
                              </a:cubicBezTo>
                              <a:cubicBezTo>
                                <a:pt x="112" y="5"/>
                                <a:pt x="106" y="7"/>
                                <a:pt x="102" y="12"/>
                              </a:cubicBezTo>
                              <a:cubicBezTo>
                                <a:pt x="98" y="17"/>
                                <a:pt x="94" y="23"/>
                                <a:pt x="94" y="32"/>
                              </a:cubicBezTo>
                            </a:path>
                            <a:path w="610" h="100">
                              <a:moveTo>
                                <a:pt x="234" y="0"/>
                              </a:moveTo>
                              <a:lnTo>
                                <a:pt x="234" y="32"/>
                              </a:lnTo>
                              <a:lnTo>
                                <a:pt x="232" y="32"/>
                              </a:lnTo>
                              <a:cubicBezTo>
                                <a:pt x="228" y="22"/>
                                <a:pt x="226" y="13"/>
                                <a:pt x="220" y="12"/>
                              </a:cubicBezTo>
                              <a:cubicBezTo>
                                <a:pt x="216" y="7"/>
                                <a:pt x="212" y="5"/>
                                <a:pt x="206" y="5"/>
                              </a:cubicBezTo>
                              <a:cubicBezTo>
                                <a:pt x="200" y="5"/>
                                <a:pt x="196" y="7"/>
                                <a:pt x="194" y="10"/>
                              </a:cubicBezTo>
                              <a:cubicBezTo>
                                <a:pt x="190" y="12"/>
                                <a:pt x="188" y="15"/>
                                <a:pt x="188" y="17"/>
                              </a:cubicBezTo>
                              <a:cubicBezTo>
                                <a:pt x="188" y="22"/>
                                <a:pt x="190" y="25"/>
                                <a:pt x="192" y="27"/>
                              </a:cubicBezTo>
                              <a:cubicBezTo>
                                <a:pt x="194" y="32"/>
                                <a:pt x="198" y="33"/>
                                <a:pt x="206" y="37"/>
                              </a:cubicBezTo>
                              <a:lnTo>
                                <a:pt x="220" y="43"/>
                              </a:lnTo>
                              <a:cubicBezTo>
                                <a:pt x="234" y="52"/>
                                <a:pt x="242" y="60"/>
                                <a:pt x="242" y="72"/>
                              </a:cubicBezTo>
                              <a:cubicBezTo>
                                <a:pt x="242" y="80"/>
                                <a:pt x="238" y="87"/>
                                <a:pt x="232" y="92"/>
                              </a:cubicBezTo>
                              <a:cubicBezTo>
                                <a:pt x="226" y="97"/>
                                <a:pt x="218" y="100"/>
                                <a:pt x="210" y="100"/>
                              </a:cubicBezTo>
                              <a:cubicBezTo>
                                <a:pt x="204" y="100"/>
                                <a:pt x="196" y="100"/>
                                <a:pt x="188" y="97"/>
                              </a:cubicBezTo>
                              <a:cubicBezTo>
                                <a:pt x="186" y="97"/>
                                <a:pt x="184" y="95"/>
                                <a:pt x="184" y="95"/>
                              </a:cubicBezTo>
                              <a:cubicBezTo>
                                <a:pt x="182" y="95"/>
                                <a:pt x="180" y="97"/>
                                <a:pt x="180" y="100"/>
                              </a:cubicBezTo>
                              <a:lnTo>
                                <a:pt x="176" y="100"/>
                              </a:lnTo>
                              <a:lnTo>
                                <a:pt x="176" y="67"/>
                              </a:lnTo>
                              <a:lnTo>
                                <a:pt x="180" y="67"/>
                              </a:lnTo>
                              <a:cubicBezTo>
                                <a:pt x="182" y="77"/>
                                <a:pt x="186" y="83"/>
                                <a:pt x="190" y="87"/>
                              </a:cubicBezTo>
                              <a:cubicBezTo>
                                <a:pt x="196" y="92"/>
                                <a:pt x="202" y="93"/>
                                <a:pt x="210" y="93"/>
                              </a:cubicBezTo>
                              <a:cubicBezTo>
                                <a:pt x="214" y="93"/>
                                <a:pt x="218" y="92"/>
                                <a:pt x="222" y="90"/>
                              </a:cubicBezTo>
                              <a:cubicBezTo>
                                <a:pt x="224" y="85"/>
                                <a:pt x="226" y="83"/>
                                <a:pt x="226" y="80"/>
                              </a:cubicBezTo>
                              <a:cubicBezTo>
                                <a:pt x="226" y="73"/>
                                <a:pt x="224" y="70"/>
                                <a:pt x="222" y="65"/>
                              </a:cubicBezTo>
                              <a:cubicBezTo>
                                <a:pt x="218" y="63"/>
                                <a:pt x="212" y="60"/>
                                <a:pt x="202" y="53"/>
                              </a:cubicBezTo>
                              <a:cubicBezTo>
                                <a:pt x="192" y="50"/>
                                <a:pt x="184" y="45"/>
                                <a:pt x="182" y="42"/>
                              </a:cubicBezTo>
                              <a:cubicBezTo>
                                <a:pt x="178" y="37"/>
                                <a:pt x="176" y="32"/>
                                <a:pt x="176" y="25"/>
                              </a:cubicBezTo>
                              <a:cubicBezTo>
                                <a:pt x="176" y="17"/>
                                <a:pt x="180" y="12"/>
                                <a:pt x="184" y="7"/>
                              </a:cubicBezTo>
                              <a:cubicBezTo>
                                <a:pt x="190" y="2"/>
                                <a:pt x="198" y="0"/>
                                <a:pt x="206" y="0"/>
                              </a:cubicBezTo>
                              <a:cubicBezTo>
                                <a:pt x="210" y="0"/>
                                <a:pt x="214" y="0"/>
                                <a:pt x="220" y="2"/>
                              </a:cubicBezTo>
                              <a:cubicBezTo>
                                <a:pt x="222" y="2"/>
                                <a:pt x="226" y="3"/>
                                <a:pt x="226" y="3"/>
                              </a:cubicBezTo>
                              <a:cubicBezTo>
                                <a:pt x="228" y="3"/>
                                <a:pt x="228" y="3"/>
                                <a:pt x="230" y="2"/>
                              </a:cubicBezTo>
                              <a:cubicBezTo>
                                <a:pt x="230" y="2"/>
                                <a:pt x="230" y="2"/>
                                <a:pt x="232" y="0"/>
                              </a:cubicBezTo>
                              <a:lnTo>
                                <a:pt x="234" y="0"/>
                              </a:lnTo>
                              <a:close/>
                            </a:path>
                            <a:path w="610" h="100">
                              <a:moveTo>
                                <a:pt x="272" y="37"/>
                              </a:moveTo>
                              <a:cubicBezTo>
                                <a:pt x="272" y="52"/>
                                <a:pt x="274" y="63"/>
                                <a:pt x="282" y="72"/>
                              </a:cubicBezTo>
                              <a:cubicBezTo>
                                <a:pt x="288" y="80"/>
                                <a:pt x="298" y="83"/>
                                <a:pt x="306" y="83"/>
                              </a:cubicBezTo>
                              <a:cubicBezTo>
                                <a:pt x="314" y="83"/>
                                <a:pt x="318" y="82"/>
                                <a:pt x="324" y="77"/>
                              </a:cubicBezTo>
                              <a:cubicBezTo>
                                <a:pt x="328" y="75"/>
                                <a:pt x="332" y="70"/>
                                <a:pt x="336" y="60"/>
                              </a:cubicBezTo>
                              <a:lnTo>
                                <a:pt x="338" y="62"/>
                              </a:lnTo>
                              <a:cubicBezTo>
                                <a:pt x="336" y="72"/>
                                <a:pt x="332" y="82"/>
                                <a:pt x="326" y="90"/>
                              </a:cubicBezTo>
                              <a:cubicBezTo>
                                <a:pt x="318" y="95"/>
                                <a:pt x="310" y="100"/>
                                <a:pt x="298" y="100"/>
                              </a:cubicBezTo>
                              <a:cubicBezTo>
                                <a:pt x="288" y="100"/>
                                <a:pt x="278" y="95"/>
                                <a:pt x="268" y="87"/>
                              </a:cubicBezTo>
                              <a:cubicBezTo>
                                <a:pt x="260" y="77"/>
                                <a:pt x="256" y="65"/>
                                <a:pt x="256" y="52"/>
                              </a:cubicBezTo>
                              <a:cubicBezTo>
                                <a:pt x="256" y="35"/>
                                <a:pt x="260" y="22"/>
                                <a:pt x="270" y="13"/>
                              </a:cubicBezTo>
                              <a:cubicBezTo>
                                <a:pt x="278" y="3"/>
                                <a:pt x="288" y="0"/>
                                <a:pt x="300" y="0"/>
                              </a:cubicBezTo>
                              <a:cubicBezTo>
                                <a:pt x="312" y="0"/>
                                <a:pt x="320" y="2"/>
                                <a:pt x="328" y="10"/>
                              </a:cubicBezTo>
                              <a:cubicBezTo>
                                <a:pt x="334" y="15"/>
                                <a:pt x="338" y="25"/>
                                <a:pt x="338" y="37"/>
                              </a:cubicBezTo>
                              <a:lnTo>
                                <a:pt x="272" y="37"/>
                              </a:lnTo>
                              <a:close/>
                              <a:moveTo>
                                <a:pt x="272" y="32"/>
                              </a:moveTo>
                              <a:lnTo>
                                <a:pt x="316" y="32"/>
                              </a:lnTo>
                              <a:cubicBezTo>
                                <a:pt x="316" y="25"/>
                                <a:pt x="316" y="22"/>
                                <a:pt x="314" y="17"/>
                              </a:cubicBezTo>
                              <a:cubicBezTo>
                                <a:pt x="312" y="13"/>
                                <a:pt x="310" y="12"/>
                                <a:pt x="306" y="10"/>
                              </a:cubicBezTo>
                              <a:cubicBezTo>
                                <a:pt x="302" y="7"/>
                                <a:pt x="300" y="5"/>
                                <a:pt x="296" y="5"/>
                              </a:cubicBezTo>
                              <a:cubicBezTo>
                                <a:pt x="290" y="5"/>
                                <a:pt x="284" y="7"/>
                                <a:pt x="280" y="12"/>
                              </a:cubicBezTo>
                              <a:cubicBezTo>
                                <a:pt x="274" y="17"/>
                                <a:pt x="272" y="23"/>
                                <a:pt x="272" y="32"/>
                              </a:cubicBezTo>
                            </a:path>
                            <a:path w="610" h="100">
                              <a:moveTo>
                                <a:pt x="376" y="0"/>
                              </a:moveTo>
                              <a:lnTo>
                                <a:pt x="376" y="20"/>
                              </a:lnTo>
                              <a:cubicBezTo>
                                <a:pt x="384" y="5"/>
                                <a:pt x="392" y="0"/>
                                <a:pt x="400" y="0"/>
                              </a:cubicBezTo>
                              <a:cubicBezTo>
                                <a:pt x="404" y="0"/>
                                <a:pt x="408" y="0"/>
                                <a:pt x="410" y="2"/>
                              </a:cubicBezTo>
                              <a:cubicBezTo>
                                <a:pt x="412" y="5"/>
                                <a:pt x="414" y="7"/>
                                <a:pt x="414" y="12"/>
                              </a:cubicBezTo>
                              <a:cubicBezTo>
                                <a:pt x="414" y="13"/>
                                <a:pt x="414" y="15"/>
                                <a:pt x="412" y="17"/>
                              </a:cubicBezTo>
                              <a:cubicBezTo>
                                <a:pt x="410" y="20"/>
                                <a:pt x="408" y="20"/>
                                <a:pt x="406" y="20"/>
                              </a:cubicBezTo>
                              <a:cubicBezTo>
                                <a:pt x="404" y="20"/>
                                <a:pt x="400" y="20"/>
                                <a:pt x="398" y="17"/>
                              </a:cubicBezTo>
                              <a:cubicBezTo>
                                <a:pt x="394" y="15"/>
                                <a:pt x="392" y="13"/>
                                <a:pt x="390" y="13"/>
                              </a:cubicBezTo>
                              <a:cubicBezTo>
                                <a:pt x="390" y="13"/>
                                <a:pt x="388" y="13"/>
                                <a:pt x="386" y="15"/>
                              </a:cubicBezTo>
                              <a:cubicBezTo>
                                <a:pt x="384" y="17"/>
                                <a:pt x="380" y="23"/>
                                <a:pt x="376" y="30"/>
                              </a:cubicBezTo>
                              <a:lnTo>
                                <a:pt x="376" y="75"/>
                              </a:lnTo>
                              <a:cubicBezTo>
                                <a:pt x="376" y="82"/>
                                <a:pt x="378" y="85"/>
                                <a:pt x="378" y="87"/>
                              </a:cubicBezTo>
                              <a:cubicBezTo>
                                <a:pt x="380" y="90"/>
                                <a:pt x="382" y="92"/>
                                <a:pt x="384" y="92"/>
                              </a:cubicBezTo>
                              <a:cubicBezTo>
                                <a:pt x="386" y="93"/>
                                <a:pt x="390" y="95"/>
                                <a:pt x="394" y="95"/>
                              </a:cubicBezTo>
                              <a:lnTo>
                                <a:pt x="394" y="97"/>
                              </a:lnTo>
                              <a:lnTo>
                                <a:pt x="344" y="97"/>
                              </a:lnTo>
                              <a:lnTo>
                                <a:pt x="344" y="95"/>
                              </a:lnTo>
                              <a:cubicBezTo>
                                <a:pt x="350" y="95"/>
                                <a:pt x="352" y="93"/>
                                <a:pt x="356" y="92"/>
                              </a:cubicBezTo>
                              <a:cubicBezTo>
                                <a:pt x="356" y="92"/>
                                <a:pt x="358" y="90"/>
                                <a:pt x="358" y="87"/>
                              </a:cubicBezTo>
                              <a:cubicBezTo>
                                <a:pt x="360" y="85"/>
                                <a:pt x="360" y="82"/>
                                <a:pt x="360" y="75"/>
                              </a:cubicBezTo>
                              <a:lnTo>
                                <a:pt x="360" y="40"/>
                              </a:lnTo>
                              <a:cubicBezTo>
                                <a:pt x="360" y="27"/>
                                <a:pt x="360" y="22"/>
                                <a:pt x="358" y="17"/>
                              </a:cubicBezTo>
                              <a:cubicBezTo>
                                <a:pt x="358" y="15"/>
                                <a:pt x="358" y="15"/>
                                <a:pt x="356" y="13"/>
                              </a:cubicBezTo>
                              <a:cubicBezTo>
                                <a:pt x="354" y="13"/>
                                <a:pt x="354" y="12"/>
                                <a:pt x="352" y="12"/>
                              </a:cubicBezTo>
                              <a:cubicBezTo>
                                <a:pt x="350" y="12"/>
                                <a:pt x="348" y="13"/>
                                <a:pt x="344" y="13"/>
                              </a:cubicBezTo>
                              <a:lnTo>
                                <a:pt x="344" y="12"/>
                              </a:lnTo>
                              <a:lnTo>
                                <a:pt x="372" y="0"/>
                              </a:lnTo>
                              <a:lnTo>
                                <a:pt x="376" y="0"/>
                              </a:lnTo>
                              <a:close/>
                            </a:path>
                            <a:path w="610" h="100">
                              <a:moveTo>
                                <a:pt x="414" y="2"/>
                              </a:moveTo>
                              <a:lnTo>
                                <a:pt x="460" y="2"/>
                              </a:lnTo>
                              <a:lnTo>
                                <a:pt x="460" y="3"/>
                              </a:lnTo>
                              <a:lnTo>
                                <a:pt x="458" y="3"/>
                              </a:lnTo>
                              <a:cubicBezTo>
                                <a:pt x="454" y="3"/>
                                <a:pt x="452" y="5"/>
                                <a:pt x="452" y="5"/>
                              </a:cubicBezTo>
                              <a:cubicBezTo>
                                <a:pt x="450" y="7"/>
                                <a:pt x="450" y="10"/>
                                <a:pt x="450" y="12"/>
                              </a:cubicBezTo>
                              <a:cubicBezTo>
                                <a:pt x="450" y="13"/>
                                <a:pt x="450" y="17"/>
                                <a:pt x="452" y="20"/>
                              </a:cubicBezTo>
                              <a:lnTo>
                                <a:pt x="474" y="73"/>
                              </a:lnTo>
                              <a:lnTo>
                                <a:pt x="496" y="17"/>
                              </a:lnTo>
                              <a:cubicBezTo>
                                <a:pt x="496" y="13"/>
                                <a:pt x="498" y="12"/>
                                <a:pt x="498" y="10"/>
                              </a:cubicBezTo>
                              <a:cubicBezTo>
                                <a:pt x="498" y="7"/>
                                <a:pt x="498" y="7"/>
                                <a:pt x="496" y="7"/>
                              </a:cubicBezTo>
                              <a:cubicBezTo>
                                <a:pt x="496" y="5"/>
                                <a:pt x="496" y="5"/>
                                <a:pt x="494" y="5"/>
                              </a:cubicBezTo>
                              <a:cubicBezTo>
                                <a:pt x="492" y="3"/>
                                <a:pt x="490" y="3"/>
                                <a:pt x="486" y="3"/>
                              </a:cubicBezTo>
                              <a:lnTo>
                                <a:pt x="486" y="2"/>
                              </a:lnTo>
                              <a:lnTo>
                                <a:pt x="516" y="2"/>
                              </a:lnTo>
                              <a:lnTo>
                                <a:pt x="516" y="3"/>
                              </a:lnTo>
                              <a:cubicBezTo>
                                <a:pt x="514" y="5"/>
                                <a:pt x="510" y="5"/>
                                <a:pt x="510" y="7"/>
                              </a:cubicBezTo>
                              <a:cubicBezTo>
                                <a:pt x="506" y="10"/>
                                <a:pt x="504" y="13"/>
                                <a:pt x="502" y="20"/>
                              </a:cubicBezTo>
                              <a:lnTo>
                                <a:pt x="470" y="100"/>
                              </a:lnTo>
                              <a:lnTo>
                                <a:pt x="466" y="100"/>
                              </a:lnTo>
                              <a:lnTo>
                                <a:pt x="432" y="20"/>
                              </a:lnTo>
                              <a:cubicBezTo>
                                <a:pt x="430" y="15"/>
                                <a:pt x="428" y="12"/>
                                <a:pt x="428" y="12"/>
                              </a:cubicBezTo>
                              <a:cubicBezTo>
                                <a:pt x="426" y="10"/>
                                <a:pt x="424" y="7"/>
                                <a:pt x="422" y="5"/>
                              </a:cubicBezTo>
                              <a:cubicBezTo>
                                <a:pt x="420" y="5"/>
                                <a:pt x="418" y="5"/>
                                <a:pt x="414" y="3"/>
                              </a:cubicBezTo>
                              <a:lnTo>
                                <a:pt x="414" y="2"/>
                              </a:lnTo>
                              <a:close/>
                            </a:path>
                            <a:path w="610" h="100">
                              <a:moveTo>
                                <a:pt x="544" y="37"/>
                              </a:moveTo>
                              <a:cubicBezTo>
                                <a:pt x="544" y="52"/>
                                <a:pt x="546" y="63"/>
                                <a:pt x="554" y="72"/>
                              </a:cubicBezTo>
                              <a:cubicBezTo>
                                <a:pt x="560" y="80"/>
                                <a:pt x="570" y="83"/>
                                <a:pt x="578" y="83"/>
                              </a:cubicBezTo>
                              <a:cubicBezTo>
                                <a:pt x="586" y="83"/>
                                <a:pt x="590" y="82"/>
                                <a:pt x="596" y="77"/>
                              </a:cubicBezTo>
                              <a:cubicBezTo>
                                <a:pt x="600" y="75"/>
                                <a:pt x="604" y="70"/>
                                <a:pt x="608" y="60"/>
                              </a:cubicBezTo>
                              <a:lnTo>
                                <a:pt x="610" y="62"/>
                              </a:lnTo>
                              <a:cubicBezTo>
                                <a:pt x="608" y="72"/>
                                <a:pt x="604" y="82"/>
                                <a:pt x="598" y="90"/>
                              </a:cubicBezTo>
                              <a:cubicBezTo>
                                <a:pt x="590" y="95"/>
                                <a:pt x="582" y="100"/>
                                <a:pt x="570" y="100"/>
                              </a:cubicBezTo>
                              <a:cubicBezTo>
                                <a:pt x="560" y="100"/>
                                <a:pt x="550" y="95"/>
                                <a:pt x="540" y="87"/>
                              </a:cubicBezTo>
                              <a:cubicBezTo>
                                <a:pt x="532" y="77"/>
                                <a:pt x="528" y="65"/>
                                <a:pt x="528" y="52"/>
                              </a:cubicBezTo>
                              <a:cubicBezTo>
                                <a:pt x="528" y="35"/>
                                <a:pt x="532" y="22"/>
                                <a:pt x="542" y="13"/>
                              </a:cubicBezTo>
                              <a:cubicBezTo>
                                <a:pt x="550" y="3"/>
                                <a:pt x="560" y="0"/>
                                <a:pt x="572" y="0"/>
                              </a:cubicBezTo>
                              <a:cubicBezTo>
                                <a:pt x="584" y="0"/>
                                <a:pt x="592" y="2"/>
                                <a:pt x="600" y="10"/>
                              </a:cubicBezTo>
                              <a:cubicBezTo>
                                <a:pt x="606" y="15"/>
                                <a:pt x="610" y="25"/>
                                <a:pt x="610" y="37"/>
                              </a:cubicBezTo>
                              <a:lnTo>
                                <a:pt x="544" y="37"/>
                              </a:lnTo>
                              <a:close/>
                              <a:moveTo>
                                <a:pt x="544" y="32"/>
                              </a:moveTo>
                              <a:lnTo>
                                <a:pt x="588" y="32"/>
                              </a:lnTo>
                              <a:cubicBezTo>
                                <a:pt x="588" y="25"/>
                                <a:pt x="588" y="22"/>
                                <a:pt x="586" y="17"/>
                              </a:cubicBezTo>
                              <a:cubicBezTo>
                                <a:pt x="584" y="13"/>
                                <a:pt x="582" y="12"/>
                                <a:pt x="578" y="10"/>
                              </a:cubicBezTo>
                              <a:cubicBezTo>
                                <a:pt x="574" y="7"/>
                                <a:pt x="572" y="5"/>
                                <a:pt x="568" y="5"/>
                              </a:cubicBezTo>
                              <a:cubicBezTo>
                                <a:pt x="562" y="5"/>
                                <a:pt x="556" y="7"/>
                                <a:pt x="552" y="12"/>
                              </a:cubicBezTo>
                              <a:cubicBezTo>
                                <a:pt x="546" y="17"/>
                                <a:pt x="544" y="23"/>
                                <a:pt x="544" y="32"/>
                              </a:cubicBezTo>
                            </a:path>
                          </a:pathLst>
                        </a:custGeom>
                        <a:solidFill>
                          <a:srgbClr val="999999"/>
                        </a:solidFill>
                        <a:ln>
                          <a:noFill/>
                        </a:ln>
                        <a:effectLst/>
                      </wps:spPr>
                      <wps:bodyPr upright="1"/>
                    </wps:wsp>
                  </a:graphicData>
                </a:graphic>
              </wp:anchor>
            </w:drawing>
          </mc:Choice>
          <mc:Fallback>
            <w:pict>
              <v:shape id="_x0000_s1026" o:spid="_x0000_s1026" o:spt="100" style="position:absolute;left:0pt;margin-left:361.3pt;margin-top:834pt;height:5pt;width:30.5pt;mso-position-horizontal-relative:page;mso-position-vertical-relative:page;z-index:251674624;mso-width-relative:page;mso-height-relative:page;" fillcolor="#999999" filled="t" stroked="f" coordsize="610,100" o:allowincell="f" o:gfxdata="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" path="m34,0l34,20c42,5,50,0,58,0c62,0,66,0,68,2c70,5,72,7,72,12c72,13,70,15,68,17c68,20,66,20,62,20c60,20,58,20,54,17c52,15,50,13,48,13c46,13,46,13,44,15c40,17,38,23,34,30l34,75c34,82,34,85,36,87c36,90,38,92,40,92c44,93,46,95,52,95l52,97,2,97,2,95c6,95,10,93,12,92c14,92,16,90,16,87c16,85,16,82,16,75l16,40c16,27,16,22,16,17c16,15,14,15,14,13c12,13,10,12,8,12c6,12,4,13,2,13l0,12,30,0,34,0xem94,37c94,52,98,63,104,72c112,80,120,83,130,83c136,83,142,82,146,77c150,75,154,70,158,60l160,62c160,72,154,82,148,90c140,95,132,100,122,100c110,100,100,95,92,87c84,77,80,65,80,52c80,35,84,22,92,13c100,3,110,0,124,0c134,0,144,2,150,10c158,15,160,25,160,37l94,37xm94,32l140,32c138,25,138,22,136,17c136,13,132,12,130,10c126,7,122,5,118,5c112,5,106,7,102,12c98,17,94,23,94,32em234,0l234,32,232,32c228,22,226,13,220,12c216,7,212,5,206,5c200,5,196,7,194,10c190,12,188,15,188,17c188,22,190,25,192,27c194,32,198,33,206,37l220,43c234,52,242,60,242,72c242,80,238,87,232,92c226,97,218,100,210,100c204,100,196,100,188,97c186,97,184,95,184,95c182,95,180,97,180,100l176,100,176,67,180,67c182,77,186,83,190,87c196,92,202,93,210,93c214,93,218,92,222,90c224,85,226,83,226,80c226,73,224,70,222,65c218,63,212,60,202,53c192,50,184,45,182,42c178,37,176,32,176,25c176,17,180,12,184,7c190,2,198,0,206,0c210,0,214,0,220,2c222,2,226,3,226,3c228,3,228,3,230,2c230,2,230,2,232,0l234,0xem272,37c272,52,274,63,282,72c288,80,298,83,306,83c314,83,318,82,324,77c328,75,332,70,336,60l338,62c336,72,332,82,326,90c318,95,310,100,298,100c288,100,278,95,268,87c260,77,256,65,256,52c256,35,260,22,270,13c278,3,288,0,300,0c312,0,320,2,328,10c334,15,338,25,338,37l272,37xm272,32l316,32c316,25,316,22,314,17c312,13,310,12,306,10c302,7,300,5,296,5c290,5,284,7,280,12c274,17,272,23,272,32em376,0l376,20c384,5,392,0,400,0c404,0,408,0,410,2c412,5,414,7,414,12c414,13,414,15,412,17c410,20,408,20,406,20c404,20,400,20,398,17c394,15,392,13,390,13c390,13,388,13,386,15c384,17,380,23,376,30l376,75c376,82,378,85,378,87c380,90,382,92,384,92c386,93,390,95,394,95l394,97,344,97,344,95c350,95,352,93,356,92c356,92,358,90,358,87c360,85,360,82,360,75l360,40c360,27,360,22,358,17c358,15,358,15,356,13c354,13,354,12,352,12c350,12,348,13,344,13l344,12,372,0,376,0xem414,2l460,2,460,3,458,3c454,3,452,5,452,5c450,7,450,10,450,12c450,13,450,17,452,20l474,73,496,17c496,13,498,12,498,10c498,7,498,7,496,7c496,5,496,5,494,5c492,3,490,3,486,3l486,2,516,2,516,3c514,5,510,5,510,7c506,10,504,13,502,20l470,100,466,100,432,20c430,15,428,12,428,12c426,10,424,7,422,5c420,5,418,5,414,3l414,2xem544,37c544,52,546,63,554,72c560,80,570,83,578,83c586,83,590,82,596,77c600,75,604,70,608,60l610,62c608,72,604,82,598,90c590,95,582,100,570,100c560,100,550,95,540,87c532,77,528,65,528,52c528,35,532,22,542,13c550,3,560,0,572,0c584,0,592,2,600,10c606,15,610,25,610,37l544,37xm544,32l588,32c588,25,588,22,586,17c584,13,582,12,578,10c574,7,572,5,568,5c562,5,556,7,552,12c546,17,544,23,544,32e">
                <v:fill on="t" focussize="0,0"/>
                <v:stroke on="f"/>
                <v:imagedata o:title=""/>
                <o:lock v:ext="edit" aspectratio="f"/>
              </v:shape>
            </w:pict>
          </mc:Fallback>
        </mc:AlternateContent>
      </w:r>
      <w:r>
        <w:rPr>
          <w:rFonts w:hint="eastAsia"/>
          <w:sz w:val="24"/>
        </w:rPr>
        <mc:AlternateContent>
          <mc:Choice Requires="wps">
            <w:drawing>
              <wp:anchor distT="0" distB="0" distL="114300" distR="114300" simplePos="0" relativeHeight="251676672" behindDoc="0" locked="0" layoutInCell="0" allowOverlap="1">
                <wp:simplePos x="0" y="0"/>
                <wp:positionH relativeFrom="page">
                  <wp:posOffset>5842000</wp:posOffset>
                </wp:positionH>
                <wp:positionV relativeFrom="page">
                  <wp:posOffset>10591800</wp:posOffset>
                </wp:positionV>
                <wp:extent cx="151130" cy="63500"/>
                <wp:effectExtent l="0" t="0" r="1270" b="12700"/>
                <wp:wrapNone/>
                <wp:docPr id="233" name="任意多边形 233"/>
                <wp:cNvGraphicFramePr/>
                <a:graphic xmlns:a="http://schemas.openxmlformats.org/drawingml/2006/main">
                  <a:graphicData uri="http://schemas.microsoft.com/office/word/2010/wordprocessingShape">
                    <wps:wsp>
                      <wps:cNvSpPr/>
                      <wps:spPr>
                        <a:xfrm>
                          <a:off x="0" y="0"/>
                          <a:ext cx="151130" cy="63500"/>
                        </a:xfrm>
                        <a:custGeom>
                          <a:avLst/>
                          <a:gdLst>
                            <a:gd name="A1" fmla="val 0"/>
                            <a:gd name="A2" fmla="val 0"/>
                          </a:gdLst>
                          <a:ahLst/>
                          <a:cxnLst/>
                          <a:pathLst>
                            <a:path w="237" h="100">
                              <a:moveTo>
                                <a:pt x="12" y="75"/>
                              </a:moveTo>
                              <a:cubicBezTo>
                                <a:pt x="15" y="75"/>
                                <a:pt x="17" y="77"/>
                                <a:pt x="20" y="80"/>
                              </a:cubicBezTo>
                              <a:cubicBezTo>
                                <a:pt x="22" y="82"/>
                                <a:pt x="24" y="85"/>
                                <a:pt x="24" y="87"/>
                              </a:cubicBezTo>
                              <a:cubicBezTo>
                                <a:pt x="24" y="92"/>
                                <a:pt x="22" y="93"/>
                                <a:pt x="20" y="97"/>
                              </a:cubicBezTo>
                              <a:cubicBezTo>
                                <a:pt x="17" y="100"/>
                                <a:pt x="15" y="100"/>
                                <a:pt x="12" y="100"/>
                              </a:cubicBezTo>
                              <a:cubicBezTo>
                                <a:pt x="7" y="100"/>
                                <a:pt x="5" y="100"/>
                                <a:pt x="4" y="97"/>
                              </a:cubicBezTo>
                              <a:cubicBezTo>
                                <a:pt x="2" y="93"/>
                                <a:pt x="0" y="92"/>
                                <a:pt x="0" y="87"/>
                              </a:cubicBezTo>
                              <a:cubicBezTo>
                                <a:pt x="0" y="85"/>
                                <a:pt x="2" y="82"/>
                                <a:pt x="4" y="80"/>
                              </a:cubicBezTo>
                              <a:cubicBezTo>
                                <a:pt x="5" y="77"/>
                                <a:pt x="7" y="75"/>
                                <a:pt x="12" y="75"/>
                              </a:cubicBezTo>
                            </a:path>
                            <a:path w="237" h="100">
                              <a:moveTo>
                                <a:pt x="127" y="60"/>
                              </a:moveTo>
                              <a:cubicBezTo>
                                <a:pt x="125" y="73"/>
                                <a:pt x="120" y="83"/>
                                <a:pt x="112" y="90"/>
                              </a:cubicBezTo>
                              <a:cubicBezTo>
                                <a:pt x="105" y="97"/>
                                <a:pt x="95" y="100"/>
                                <a:pt x="87" y="100"/>
                              </a:cubicBezTo>
                              <a:cubicBezTo>
                                <a:pt x="75" y="100"/>
                                <a:pt x="65" y="95"/>
                                <a:pt x="57" y="87"/>
                              </a:cubicBezTo>
                              <a:cubicBezTo>
                                <a:pt x="50" y="77"/>
                                <a:pt x="45" y="65"/>
                                <a:pt x="45" y="50"/>
                              </a:cubicBezTo>
                              <a:cubicBezTo>
                                <a:pt x="45" y="35"/>
                                <a:pt x="52" y="22"/>
                                <a:pt x="60" y="13"/>
                              </a:cubicBezTo>
                              <a:cubicBezTo>
                                <a:pt x="67" y="3"/>
                                <a:pt x="80" y="0"/>
                                <a:pt x="92" y="0"/>
                              </a:cubicBezTo>
                              <a:cubicBezTo>
                                <a:pt x="102" y="0"/>
                                <a:pt x="107" y="2"/>
                                <a:pt x="114" y="5"/>
                              </a:cubicBezTo>
                              <a:cubicBezTo>
                                <a:pt x="120" y="12"/>
                                <a:pt x="124" y="17"/>
                                <a:pt x="124" y="22"/>
                              </a:cubicBezTo>
                              <a:cubicBezTo>
                                <a:pt x="124" y="25"/>
                                <a:pt x="124" y="27"/>
                                <a:pt x="122" y="27"/>
                              </a:cubicBezTo>
                              <a:cubicBezTo>
                                <a:pt x="120" y="30"/>
                                <a:pt x="117" y="32"/>
                                <a:pt x="114" y="32"/>
                              </a:cubicBezTo>
                              <a:cubicBezTo>
                                <a:pt x="110" y="32"/>
                                <a:pt x="107" y="30"/>
                                <a:pt x="105" y="27"/>
                              </a:cubicBezTo>
                              <a:cubicBezTo>
                                <a:pt x="104" y="25"/>
                                <a:pt x="104" y="23"/>
                                <a:pt x="102" y="17"/>
                              </a:cubicBezTo>
                              <a:cubicBezTo>
                                <a:pt x="102" y="13"/>
                                <a:pt x="102" y="12"/>
                                <a:pt x="97" y="10"/>
                              </a:cubicBezTo>
                              <a:cubicBezTo>
                                <a:pt x="95" y="7"/>
                                <a:pt x="94" y="5"/>
                                <a:pt x="87" y="5"/>
                              </a:cubicBezTo>
                              <a:cubicBezTo>
                                <a:pt x="82" y="5"/>
                                <a:pt x="75" y="7"/>
                                <a:pt x="72" y="13"/>
                              </a:cubicBezTo>
                              <a:cubicBezTo>
                                <a:pt x="65" y="20"/>
                                <a:pt x="64" y="30"/>
                                <a:pt x="64" y="40"/>
                              </a:cubicBezTo>
                              <a:cubicBezTo>
                                <a:pt x="64" y="52"/>
                                <a:pt x="65" y="62"/>
                                <a:pt x="72" y="70"/>
                              </a:cubicBezTo>
                              <a:cubicBezTo>
                                <a:pt x="77" y="80"/>
                                <a:pt x="85" y="83"/>
                                <a:pt x="95" y="83"/>
                              </a:cubicBezTo>
                              <a:cubicBezTo>
                                <a:pt x="102" y="83"/>
                                <a:pt x="107" y="82"/>
                                <a:pt x="114" y="77"/>
                              </a:cubicBezTo>
                              <a:cubicBezTo>
                                <a:pt x="117" y="73"/>
                                <a:pt x="122" y="67"/>
                                <a:pt x="125" y="60"/>
                              </a:cubicBezTo>
                              <a:lnTo>
                                <a:pt x="127" y="60"/>
                              </a:lnTo>
                              <a:close/>
                            </a:path>
                            <a:path w="237" h="100">
                              <a:moveTo>
                                <a:pt x="165" y="17"/>
                              </a:moveTo>
                              <a:cubicBezTo>
                                <a:pt x="177" y="5"/>
                                <a:pt x="187" y="0"/>
                                <a:pt x="197" y="0"/>
                              </a:cubicBezTo>
                              <a:cubicBezTo>
                                <a:pt x="204" y="0"/>
                                <a:pt x="207" y="0"/>
                                <a:pt x="212" y="3"/>
                              </a:cubicBezTo>
                              <a:cubicBezTo>
                                <a:pt x="215" y="5"/>
                                <a:pt x="220" y="10"/>
                                <a:pt x="222" y="15"/>
                              </a:cubicBezTo>
                              <a:cubicBezTo>
                                <a:pt x="224" y="20"/>
                                <a:pt x="224" y="27"/>
                                <a:pt x="224" y="35"/>
                              </a:cubicBezTo>
                              <a:lnTo>
                                <a:pt x="224" y="75"/>
                              </a:lnTo>
                              <a:cubicBezTo>
                                <a:pt x="224" y="83"/>
                                <a:pt x="224" y="87"/>
                                <a:pt x="225" y="90"/>
                              </a:cubicBezTo>
                              <a:cubicBezTo>
                                <a:pt x="225" y="92"/>
                                <a:pt x="227" y="92"/>
                                <a:pt x="230" y="93"/>
                              </a:cubicBezTo>
                              <a:cubicBezTo>
                                <a:pt x="230" y="93"/>
                                <a:pt x="234" y="95"/>
                                <a:pt x="237" y="95"/>
                              </a:cubicBezTo>
                              <a:lnTo>
                                <a:pt x="237" y="97"/>
                              </a:lnTo>
                              <a:lnTo>
                                <a:pt x="192" y="97"/>
                              </a:lnTo>
                              <a:lnTo>
                                <a:pt x="192" y="95"/>
                              </a:lnTo>
                              <a:lnTo>
                                <a:pt x="194" y="95"/>
                              </a:lnTo>
                              <a:cubicBezTo>
                                <a:pt x="197" y="95"/>
                                <a:pt x="200" y="93"/>
                                <a:pt x="202" y="93"/>
                              </a:cubicBezTo>
                              <a:cubicBezTo>
                                <a:pt x="204" y="92"/>
                                <a:pt x="205" y="90"/>
                                <a:pt x="205" y="85"/>
                              </a:cubicBezTo>
                              <a:cubicBezTo>
                                <a:pt x="205" y="85"/>
                                <a:pt x="205" y="82"/>
                                <a:pt x="205" y="75"/>
                              </a:cubicBezTo>
                              <a:lnTo>
                                <a:pt x="205" y="35"/>
                              </a:lnTo>
                              <a:cubicBezTo>
                                <a:pt x="205" y="27"/>
                                <a:pt x="205" y="22"/>
                                <a:pt x="204" y="17"/>
                              </a:cubicBezTo>
                              <a:cubicBezTo>
                                <a:pt x="200" y="13"/>
                                <a:pt x="197" y="12"/>
                                <a:pt x="192" y="12"/>
                              </a:cubicBezTo>
                              <a:cubicBezTo>
                                <a:pt x="184" y="12"/>
                                <a:pt x="174" y="15"/>
                                <a:pt x="165" y="25"/>
                              </a:cubicBezTo>
                              <a:lnTo>
                                <a:pt x="165" y="75"/>
                              </a:lnTo>
                              <a:cubicBezTo>
                                <a:pt x="165" y="83"/>
                                <a:pt x="165" y="87"/>
                                <a:pt x="167" y="90"/>
                              </a:cubicBezTo>
                              <a:cubicBezTo>
                                <a:pt x="167" y="92"/>
                                <a:pt x="170" y="92"/>
                                <a:pt x="172" y="93"/>
                              </a:cubicBezTo>
                              <a:cubicBezTo>
                                <a:pt x="174" y="93"/>
                                <a:pt x="175" y="95"/>
                                <a:pt x="182" y="95"/>
                              </a:cubicBezTo>
                              <a:lnTo>
                                <a:pt x="182" y="97"/>
                              </a:lnTo>
                              <a:lnTo>
                                <a:pt x="134" y="97"/>
                              </a:lnTo>
                              <a:lnTo>
                                <a:pt x="134" y="95"/>
                              </a:lnTo>
                              <a:lnTo>
                                <a:pt x="135" y="95"/>
                              </a:lnTo>
                              <a:cubicBezTo>
                                <a:pt x="142" y="95"/>
                                <a:pt x="145" y="93"/>
                                <a:pt x="145" y="92"/>
                              </a:cubicBezTo>
                              <a:cubicBezTo>
                                <a:pt x="147" y="87"/>
                                <a:pt x="150" y="83"/>
                                <a:pt x="150" y="75"/>
                              </a:cubicBezTo>
                              <a:lnTo>
                                <a:pt x="150" y="40"/>
                              </a:lnTo>
                              <a:cubicBezTo>
                                <a:pt x="150" y="27"/>
                                <a:pt x="150" y="22"/>
                                <a:pt x="147" y="17"/>
                              </a:cubicBezTo>
                              <a:cubicBezTo>
                                <a:pt x="147" y="15"/>
                                <a:pt x="147" y="13"/>
                                <a:pt x="145" y="13"/>
                              </a:cubicBezTo>
                              <a:cubicBezTo>
                                <a:pt x="145" y="13"/>
                                <a:pt x="144" y="12"/>
                                <a:pt x="142" y="12"/>
                              </a:cubicBezTo>
                              <a:cubicBezTo>
                                <a:pt x="140" y="12"/>
                                <a:pt x="137" y="13"/>
                                <a:pt x="134" y="13"/>
                              </a:cubicBezTo>
                              <a:lnTo>
                                <a:pt x="134" y="12"/>
                              </a:lnTo>
                              <a:lnTo>
                                <a:pt x="162" y="0"/>
                              </a:lnTo>
                              <a:lnTo>
                                <a:pt x="165" y="0"/>
                              </a:lnTo>
                              <a:lnTo>
                                <a:pt x="165" y="17"/>
                              </a:lnTo>
                              <a:close/>
                            </a:path>
                          </a:pathLst>
                        </a:custGeom>
                        <a:solidFill>
                          <a:srgbClr val="999999"/>
                        </a:solidFill>
                        <a:ln>
                          <a:noFill/>
                        </a:ln>
                        <a:effectLst/>
                      </wps:spPr>
                      <wps:bodyPr upright="1"/>
                    </wps:wsp>
                  </a:graphicData>
                </a:graphic>
              </wp:anchor>
            </w:drawing>
          </mc:Choice>
          <mc:Fallback>
            <w:pict>
              <v:shape id="_x0000_s1026" o:spid="_x0000_s1026" o:spt="100" style="position:absolute;left:0pt;margin-left:460pt;margin-top:834pt;height:5pt;width:11.9pt;mso-position-horizontal-relative:page;mso-position-vertical-relative:page;z-index:251676672;mso-width-relative:page;mso-height-relative:page;" fillcolor="#999999" filled="t" stroked="f" coordsize="237,100" o:allowincell="f" o:gfxdata="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" path="m12,75c15,75,17,77,20,80c22,82,24,85,24,87c24,92,22,93,20,97c17,100,15,100,12,100c7,100,5,100,4,97c2,93,0,92,0,87c0,85,2,82,4,80c5,77,7,75,12,75em127,60c125,73,120,83,112,90c105,97,95,100,87,100c75,100,65,95,57,87c50,77,45,65,45,50c45,35,52,22,60,13c67,3,80,0,92,0c102,0,107,2,114,5c120,12,124,17,124,22c124,25,124,27,122,27c120,30,117,32,114,32c110,32,107,30,105,27c104,25,104,23,102,17c102,13,102,12,97,10c95,7,94,5,87,5c82,5,75,7,72,13c65,20,64,30,64,40c64,52,65,62,72,70c77,80,85,83,95,83c102,83,107,82,114,77c117,73,122,67,125,60l127,60xem165,17c177,5,187,0,197,0c204,0,207,0,212,3c215,5,220,10,222,15c224,20,224,27,224,35l224,75c224,83,224,87,225,90c225,92,227,92,230,93c230,93,234,95,237,95l237,97,192,97,192,95,194,95c197,95,200,93,202,93c204,92,205,90,205,85c205,85,205,82,205,75l205,35c205,27,205,22,204,17c200,13,197,12,192,12c184,12,174,15,165,25l165,75c165,83,165,87,167,90c167,92,170,92,172,93c174,93,175,95,182,95l182,97,134,97,134,95,135,95c142,95,145,93,145,92c147,87,150,83,150,75l150,40c150,27,150,22,147,17c147,15,147,13,145,13c145,13,144,12,142,12c140,12,137,13,134,13l134,12,162,0,165,0,165,17xe">
                <v:fill on="t" focussize="0,0"/>
                <v:stroke on="f"/>
                <v:imagedata o:title=""/>
                <o:lock v:ext="edit" aspectratio="f"/>
              </v:shape>
            </w:pict>
          </mc:Fallback>
        </mc:AlternateContent>
      </w:r>
      <w:r>
        <w:rPr>
          <w:rFonts w:hint="eastAsia"/>
          <w:sz w:val="24"/>
        </w:rPr>
        <w:t>“是社会生产力的反映与体现”</w:t>
      </w:r>
      <w:r>
        <w:rPr>
          <w:rStyle w:val="20"/>
          <w:rFonts w:hint="eastAsia" w:ascii="宋体" w:hAnsi="宋体" w:eastAsia="宋体" w:cs="宋体"/>
          <w:color w:val="auto"/>
          <w:spacing w:val="-9"/>
          <w:sz w:val="24"/>
          <w:szCs w:val="21"/>
        </w:rPr>
        <w:footnoteReference w:id="135"/>
      </w:r>
      <w:r>
        <w:rPr>
          <w:rFonts w:hint="eastAsia"/>
          <w:sz w:val="24"/>
        </w:rPr>
        <w:t>,“文明的一切进步”</w:t>
      </w:r>
      <w:r>
        <w:rPr>
          <w:rStyle w:val="20"/>
          <w:rFonts w:hint="eastAsia" w:ascii="宋体" w:hAnsi="宋体" w:eastAsia="宋体" w:cs="宋体"/>
          <w:color w:val="auto"/>
          <w:spacing w:val="-16"/>
          <w:sz w:val="24"/>
          <w:szCs w:val="21"/>
        </w:rPr>
        <w:footnoteReference w:id="136"/>
      </w:r>
      <w:r>
        <w:rPr>
          <w:rFonts w:hint="eastAsia"/>
          <w:sz w:val="24"/>
        </w:rPr>
        <w:t>实质上表现为“社会生产力(也可以说劳动本身的生产力)的任何增长”</w:t>
      </w:r>
      <w:r>
        <w:rPr>
          <w:rStyle w:val="20"/>
          <w:rFonts w:hint="eastAsia" w:ascii="宋体" w:hAnsi="宋体" w:eastAsia="宋体" w:cs="宋体"/>
          <w:color w:val="auto"/>
          <w:spacing w:val="10"/>
          <w:sz w:val="24"/>
          <w:szCs w:val="21"/>
        </w:rPr>
        <w:footnoteReference w:id="137"/>
      </w:r>
      <w:r>
        <w:rPr>
          <w:rFonts w:hint="eastAsia"/>
          <w:sz w:val="24"/>
        </w:rPr>
        <w:t>。文明进步与社会生产力的发展和增长是紧密联系在一起的,社会生产力发展与增长了,文明或迟或早也必然会进步。社会生产力的发展与增长,在现实生活中可以表现为生产工具和交通工具的改善、社会分工的发展、国民收入的增长、科学技术的进步等。这些都会在很大程度上促进社会文明的进步。</w:t>
      </w:r>
    </w:p>
    <w:p w14:paraId="1E96B20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文明进步与文化的内在关系来分析,文明进步往往会通过文化进步表现出来。文化与文明是两个既有区别又有密切联系的范畴。文化的历史要长于文明的历史,人类是先有文化后有文明。随着文明的诞生,文化的发展往往与文明的发展是交织融合在一起的,在现实中很难撇开文明来谈文化,也很难撇开文化来谈文明。文明中包含着文化,文化中展现了文明。要判断一个文明是否全面进步了,文化往往是一个重要的观察维度。相比于文明的物质表现形式而言,文化是相对难以把握与认识的维度。在唯物主义历史观与马克思主义文化观看来,一个社会的核心价值观念是文化最为内在的东西。因此,要判断一个社会的文化是否进步了,主要是看这个社会的核心价值观念相比于旧有的社会核心价值观念而言是否进步了。例如,建立在私人资本基础上的资本主义平等观念是比封建主义等级观念更为进步的价值观念,但又比建立在公有制为主体的社会主义平等观念落后。从文化上判断一个社会的文明是否进步了,社会所倡导与真正践行的核心价值观念是主要的参考坐标与观察视角。对于中华文化与中华文明而言,社会主义核心价值观的培育与践行,是中华文化在当代进步的重要体现,属于人类文明新形态的重要展示。此外,全人类共同价值的真正形成与践行,也将是人类文明在新时代进步的重要表现。</w:t>
      </w:r>
    </w:p>
    <w:p w14:paraId="661219A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文明进步与道德进步的关系来分析,道德是文明的重要内涵。一个社会在道德上的进步,必然可以反映一个社会在文明上的进步。从道德上判断一个社会的文明是否进步了,往往可以从三个维度去把握。第一个维度是社会道德风气。一个社会的道德风气越好,这个社会的文明进步就越大。第二个维度是个人道德素养。个人道德素养在提升,这个社会的文明也必然在进步。第三个维度是道德形态本身的演进与发展。在不同的文明社会中,对应着不同的道德形态,奴隶社会、封建社会、资本主义社会和社会主义社会道德形态的性质是不同的。随着文明社会的演进,道德形态也是跟着一同演进的,因而道德形态的演进也能反映文明的进步。不仅道德是文明的重要内涵,法治也同样如此。特别是在现代社会,法治构成了现代文明的重要内涵与重要表现。法治往往是相对于人治而言的,人治是奴隶文明与封建文明的重要体现。人类社会从人治向法治的发展,其本身就体现了人类文明的进步。对于现代文明而言,其在法治上的建设与发展,必然也是其进步的重要体现。而中国特色社会主义法治从根本上消除了私人垄断资本控制下的资本主义法治弊端,更加彰显了“为人民服务”“以人民为中心”“人民至上”的法治精髓。</w:t>
      </w:r>
    </w:p>
    <w:p w14:paraId="2A711D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文明进步与社会各领域发展的关系来分析,文明进步可以包括物质文明、经济文明、政治文明、精神文明、社会文明、生态文明、军事文明等各领域的进步。物质文明的进步表现为物质生产力的发展、社会物质产品的丰富、人们物质生活水平的提高。经济文明</w:t>
      </w:r>
      <w:r>
        <w:rPr>
          <w:rStyle w:val="20"/>
          <w:rFonts w:hint="eastAsia" w:ascii="宋体" w:hAnsi="宋体" w:eastAsia="宋体" w:cs="宋体"/>
          <w:color w:val="auto"/>
          <w:spacing w:val="16"/>
          <w:sz w:val="24"/>
          <w:szCs w:val="21"/>
        </w:rPr>
        <w:footnoteReference w:id="138"/>
      </w:r>
      <w:r>
        <w:rPr>
          <w:rFonts w:hint="eastAsia"/>
          <w:sz w:val="24"/>
        </w:rPr>
        <w:t>的进步表现为生产关系和经济制度不断适应生产力发展的变革。政治文明的进步表现为民主、法治、政党和政治制度不断适应经济基础发展的变革。精神文明的进步表现为文化生产力的发展、社会精神产品的丰富、人们精神生活和伦理道德水平的提高。社会文明的进步表现为社会治理水平的提升、社会保障体系的完善、社会风气的改善。生态文明的进步表现为生态环境的修复和改善、生态产品的丰富、人们行为方式的生态化。军事文明的进步表现为军事活动中行为方式、价值取向、禁限器物、组织架构和规章制度的正义性和合理性。</w:t>
      </w:r>
      <w:r>
        <w:rPr>
          <w:rStyle w:val="20"/>
          <w:rFonts w:hint="eastAsia" w:ascii="宋体" w:hAnsi="宋体" w:eastAsia="宋体" w:cs="宋体"/>
          <w:color w:val="auto"/>
          <w:spacing w:val="-12"/>
          <w:sz w:val="24"/>
          <w:szCs w:val="21"/>
        </w:rPr>
        <w:footnoteReference w:id="139"/>
      </w:r>
      <w:r>
        <w:rPr>
          <w:rFonts w:hint="eastAsia"/>
          <w:sz w:val="24"/>
        </w:rPr>
        <w:t>对于某一个具体的文明体而言,在不同的发展时期,其在物质文明、经济文明、政治文明、精神文明、社会文明、生态文明、军事文明等方面的进步程度也不是均衡的。因此,判断一种文明是否进步了,既可以从总体上去做判断,也可以从某一方面或某几方面去做判断。例如,对于现今的美国而言,其文明既有进步的地方,也有退步的地方,但总体而言,其文明是在退步的,在多个方面的进步程度上是落后于中国的。</w:t>
      </w:r>
    </w:p>
    <w:p w14:paraId="58654AD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b/>
          <w:bCs/>
          <w:sz w:val="24"/>
        </w:rPr>
        <w:t>三文明进步的主要推动力量</w:t>
      </w:r>
    </w:p>
    <w:p w14:paraId="4904947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是什么推动了文明的不断进步?对于这个问题,可谓仁者见仁智者见智。正如文明进步的表现是多种多样的一样,推动文明进步的力量也不是单一的。在不同的历史时期,不仅推动文明进步的主客观力量不太一样,而且推动文明进步的不同力量所发生的作用也是不太一样的。文明是在不同力量所形成的合力的最终推动下不断演化和进步的。其中,人的本质力量的发展是最为根本与最为深层的推动力量。这是因为,文明是人创造的,文明作为人的创造物,是人的本质力量的对象化与显现。在现实中,人的本质力量表现为人的创造力与创新力,文明也必然会由于人们在社会各领域创造和创新能力的逐渐提升而日趋发展与进步。</w:t>
      </w:r>
    </w:p>
    <w:p w14:paraId="3FDD6BF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社会所有制与文明进步有什么关联?在马克思主义文明观中,私有制的产生是文明伊始的重要标志。私有制是一种以私人占有生产资料为主要形式的社会生产关系,具体表现为奴隶社会的生产关系、封建社会的生产关系、资本主义社会的生产关系,其中以现代资产阶级私有制为核心的现代资本主义生产关系是私有制最后和最高级的表现形态。而以社会主义公有制为核心的生产关系,又比一切具有剥削性质的生产关系要先进和高级。</w:t>
      </w:r>
    </w:p>
    <w:p w14:paraId="6464816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经济文明在整体文明进步中有何作用?广义地说,经济文明包括科技和生产力体现的物质文明,以及生产关系即经济制度的文明;狭义地说,经济文明单指生产关系即经济制度的文明状态。1846年马克思在致帕·瓦·安年科夫的信中写道:“为了不致丧失已经取得的成果,为了不致失掉文明的果实,人们在他们的交往[commerce]方式不再适合于既得的生产力时,就不得不改变他们继承下来的一切社会形式。”</w:t>
      </w:r>
      <w:r>
        <w:rPr>
          <w:rStyle w:val="20"/>
          <w:rFonts w:hint="eastAsia" w:ascii="宋体" w:hAnsi="宋体" w:eastAsia="宋体" w:cs="宋体"/>
          <w:color w:val="auto"/>
          <w:spacing w:val="6"/>
          <w:sz w:val="24"/>
          <w:szCs w:val="21"/>
        </w:rPr>
        <w:footnoteReference w:id="140"/>
      </w:r>
      <w:r>
        <w:rPr>
          <w:rFonts w:hint="eastAsia"/>
          <w:sz w:val="24"/>
        </w:rPr>
        <w:t>确实如此,在人类社会的发展过程中,经济文明进步往往表现为较先进的社会生产关系取代较落后的社会生产关系的过程,而较先进的社会生产关系取代较落后的社会生产关系,就是社会生产关系变革最为集中的表现与实质。一定的文明形态,是建立在一定的社会生产关系基础之上的,因而对于整体文明进步而言,其必然也是建立在社会生产关系变革基础之上的。每一次社会生产关系的大变革,都会带来社会整体文明的进步。在人类社会发展的长河中,社会生产关系的变革往往构成了文明进步的关键性推动力量。</w:t>
      </w:r>
    </w:p>
    <w:p w14:paraId="07D0555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文明进步与阶级斗争有何关联?剥削压迫阶级与被剥削压迫阶级的文明观一样吗?习近平多次强调,马克思主义政治立场,首先就是阶级立场,进行阶级分析。如果我们把握不住不同阶级的文明观,那就可以遵循习近平谆谆告诫的另一句名言:“如果心里觉得不踏实,就去钻研经典著作,《共产党宣言》多看几遍。”</w:t>
      </w:r>
      <w:r>
        <w:rPr>
          <w:rStyle w:val="20"/>
          <w:rFonts w:hint="eastAsia" w:ascii="宋体" w:hAnsi="宋体" w:eastAsia="宋体" w:cs="宋体"/>
          <w:color w:val="auto"/>
          <w:spacing w:val="-15"/>
          <w:sz w:val="24"/>
          <w:szCs w:val="21"/>
        </w:rPr>
        <w:footnoteReference w:id="141"/>
      </w:r>
      <w:r>
        <w:rPr>
          <w:rFonts w:hint="eastAsia"/>
          <w:sz w:val="24"/>
        </w:rPr>
        <w:t>马克思、恩格斯在《共产党宣言》中将代表当时先进生产力的资产阶级文明视为一种新的文明象征,同前资本主义的一切文明区分开来,但他们同时又在其他著述中揭露资产阶级文明仍是“最卑下的利益—庸俗的贪欲、粗暴的情欲、卑下的物欲、对公共财产的自私自利的掠夺—揭开了新的、文明的阶级社会”</w:t>
      </w:r>
      <w:r>
        <w:rPr>
          <w:rStyle w:val="20"/>
          <w:rFonts w:hint="eastAsia" w:ascii="宋体" w:hAnsi="宋体" w:eastAsia="宋体" w:cs="宋体"/>
          <w:color w:val="auto"/>
          <w:spacing w:val="-1"/>
          <w:sz w:val="24"/>
          <w:szCs w:val="21"/>
        </w:rPr>
        <w:footnoteReference w:id="142"/>
      </w:r>
      <w:r>
        <w:rPr>
          <w:rFonts w:hint="eastAsia"/>
          <w:sz w:val="24"/>
        </w:rPr>
        <w:t>。这一论断与马克思、恩格斯提出的“文明中的野蛮”思想是一致的,是将资产阶级文明视为“文明世界的根本缺陷”,认为资产阶级文明是“在‘恶性循环’中运动,是在它不断地重新制造出来而又无法克服的矛盾中运动”</w:t>
      </w:r>
      <w:r>
        <w:rPr>
          <w:rStyle w:val="20"/>
          <w:rFonts w:hint="eastAsia" w:ascii="宋体" w:hAnsi="宋体" w:eastAsia="宋体" w:cs="宋体"/>
          <w:color w:val="auto"/>
          <w:spacing w:val="-8"/>
          <w:sz w:val="24"/>
          <w:szCs w:val="21"/>
        </w:rPr>
        <w:footnoteReference w:id="143"/>
      </w:r>
      <w:r>
        <w:rPr>
          <w:rFonts w:hint="eastAsia"/>
          <w:sz w:val="24"/>
        </w:rPr>
        <w:t>。《共产党宣言》等马克思主义经典著作实质上告诉我们,在阶级社会中,被剥削阶级反抗剥削阶级的斗争是推动历史发展和文明进步的重要动力。如果更深一步地思考,人们不禁还要问:封建主义文明中黄世仁与杨白劳的文明观念是一样的吗?资本主义文明中资本家与雇佣工人的文明观念是一样的吗?要言之,我们应区分非社会主义国家中统治与剥削阶级文明同被统治与被剥削阶级文明,认清阶级斗争对于阶级社会文明进步的推动作用,明确作为人类最高奋斗目标的共产主义文明将是“能给所有的人以幸福的文明”</w:t>
      </w:r>
      <w:r>
        <w:rPr>
          <w:rStyle w:val="20"/>
          <w:rFonts w:hint="eastAsia" w:ascii="宋体" w:hAnsi="宋体" w:eastAsia="宋体" w:cs="宋体"/>
          <w:color w:val="auto"/>
          <w:spacing w:val="6"/>
          <w:sz w:val="24"/>
          <w:szCs w:val="21"/>
        </w:rPr>
        <w:footnoteReference w:id="144"/>
      </w:r>
      <w:r>
        <w:rPr>
          <w:rFonts w:hint="eastAsia"/>
          <w:sz w:val="24"/>
        </w:rPr>
        <w:t>,这是马克思主义阶级分析的重要观点。</w:t>
      </w:r>
      <w:r>
        <w:rPr>
          <w:rStyle w:val="20"/>
          <w:rFonts w:hint="eastAsia" w:ascii="宋体" w:hAnsi="宋体" w:eastAsia="宋体" w:cs="宋体"/>
          <w:color w:val="auto"/>
          <w:spacing w:val="6"/>
          <w:sz w:val="24"/>
          <w:szCs w:val="21"/>
        </w:rPr>
        <w:footnoteReference w:id="145"/>
      </w:r>
    </w:p>
    <w:p w14:paraId="611AC1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69BBC7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四对世界文明形态的先进程度要辩证理解</w:t>
      </w:r>
    </w:p>
    <w:p w14:paraId="6150BA9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FF5BF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历史演进的维度来讲,文明进步表现为先进文明取代落后文明的过程。在人类文明演进过程中,已有的人类文明存在奴隶文明、封建文明、资本主义文明、社会主义文明四种主要的发展形态。而这四种主要的文明发展形态,不仅在发展程度上存在代差,在先进程度上也是不一样的。具体来讲,封建文明相比于奴隶文明而言是先进的,资本主义文明相比于封建文明而言是先进的,社会主义文明相比于资本主义文明而言是先进的。对于不同文明发展形态而言,其内部本身也存在发达与不发达之分以及相对先进与相对落后之别。如果我们不从社会文明发展形态的角度去划分人类文明,而仅仅从区域的角度来讲的话,人类文明又有亚洲文明、欧洲文明、美洲文明、非洲文明、大洋洲文明等主要文明形态,而这些文明形态内部又可以分为不同的文明形式与文明类型。比如,在亚洲文明中,有中华文明(中国文明)、印度文明、伊朗文明、日本文明等不同的文明类型;在欧洲文明中,有希腊文明、罗马文明、德国文明、法国文明、英国文明等不同的文明类型;在美洲文明中,有美国文明、古巴文明、墨西哥文明、巴西文明等不同的文明类型;在非洲文明中,有埃及文明、南非文明、尼日利亚文明等不同的文明类型。在不同区域的不同文明类型中,既不是所有领域的文明都是先进的,也不是所有领域的文明在先进程度上都是一样的。</w:t>
      </w:r>
    </w:p>
    <w:p w14:paraId="2CC1D3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文明客观上存在相对先进与相对落后之差异。探讨一种性质的文明或一个领域的文明是先进或落后,必须放到一定的历史条件下去认识与考察。其是否先进,既可以是与其他文明相比较而言形成的认识,也可以是与自身过去的落后的形态做比较而得出的结论。虽然中华文明过去的发展形态相比于现在的发展形态而言是落后的,但中华文明过去的发展形态相对于同时期的其他文明而言可能又是先进的。从一种文明自身所包含的不同内容的角度来讲,有的内容可能是相对先进的,有的内容又可能是相对落后的。对于不同的文明来讲,在不同内容方面的先进程度也是不一样的。例如,有的文明可能在科技上相对先进,但在制度上又是相对落后的,有的文明在制度上是相对先进的,但在科技上则又是相对落后的。所以,我们在讨论哪一种文明是否先进以及其先进程度时,不能抽象地泛泛而谈,而是要具体问题具体分析,实事求是地去理解与把握。</w:t>
      </w:r>
    </w:p>
    <w:p w14:paraId="6D6357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一些比较落后且走资本主义道路的地区或国家,其资本主义文明还往往掺杂着过去旧文明的成分或带有过去旧文明的痕迹。也就是说在现今资本主义文明的众多表现形式与发展类型中,有些资本主义文明的表现形式与发展类型的纯度并不是很高。当然,在某些发达和发展中国家的资本主义文明中,其表现形式与发展类型揉进了比其在发展形态上更先进的社会主义文明成分与元素,例如,北欧等实行所谓民主社会主义或社会民主主义的资本主义文明国家便是如此。</w:t>
      </w:r>
    </w:p>
    <w:p w14:paraId="3042C0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于当今世界主要文明形态的先进程度,要历史地辩证地去把握与认识。就拿美国文明来讲,它有没有先进的地方?答案是肯定的。美国文明存在先进的地方,那它是不是就是先进文明呢?答案又是否定的。有先进因素的文明不一定是先进文明,但先进文明一定有其先进的地方。美国文明相比于其他文明而言,在以科技为代表的物质文明上是先进的,但即便其在科技上总体是先进的,但在某些具体的科技领域,也可能是相对落后的。如高铁技术、5G通信技术等就落后于中国。先进文明与文明有先进的地方是有区别的。先进文明是从文明发展形态与文明演进形态的角度来讲的,其代表着人类先进生产力的发展要求,代表着人类先进文化的前进方向,代表着人类逐步全面自由发展的趋势。</w:t>
      </w:r>
    </w:p>
    <w:p w14:paraId="0E05609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21世纪资本主义物质技术和物质文明的标志是什么?英国、美国等发达资本主义国家的生产方式在全社会确立的物质技术基础是机器化大生产,尽管后来经济危机周期性地爆发,表明资本主义生产关系这一经济制度文明已经不适应生产力的进一步发展,但在资产阶级上层建筑强力维护的生产关系和对外霸权条件下,科技和生产力构成的资本主义物质文明还会继续向前发展,甚至也可以发展到以智能经济为标志的物质文明阶段。事实上,美国等发达资本主义国家的科技和生产力确实是在程度不同地发展着,从蒸汽、电气、电脑一直发展到现在的智能经济,未来甚至能进入更高阶段。某些发达资本主义国家剥削与掠夺的经济文明、压迫与专制的政治文明、威胁与侵略的军事文明等均不会导致科技和生产力的绝对停止,但其发展的速度和质量不会超过社会主义国家。</w:t>
      </w:r>
      <w:r>
        <w:rPr>
          <w:rStyle w:val="20"/>
          <w:rFonts w:hint="eastAsia" w:ascii="宋体" w:hAnsi="宋体" w:eastAsia="宋体" w:cs="宋体"/>
          <w:color w:val="auto"/>
          <w:spacing w:val="12"/>
          <w:sz w:val="24"/>
          <w:szCs w:val="21"/>
        </w:rPr>
        <w:footnoteReference w:id="146"/>
      </w:r>
      <w:r>
        <w:rPr>
          <w:rFonts w:hint="eastAsia"/>
          <w:sz w:val="24"/>
        </w:rPr>
        <w:t>历史上美国等发达资本主义国家的文明往往与剥削、掠夺和侵略密切相关。如果没有美国等发达资本主义国家的非法封锁、制裁和侵略的话,社会主义经济制度文明的优越性就更容易表现为生产力、综合国力和物质文明的发展速度比一切资本主义国家都要更快,而且无论其执政党选择的是社会主义计划经济体制,还是社会主义市场经济体制,都能比资本主义市场经济体制发展得更好更快,从而更好更快地促进社会主义各领域文明的持续进步和优化。</w:t>
      </w:r>
    </w:p>
    <w:p w14:paraId="6A7C1C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如何评价当今美国的文明性质和状态?从文明性质和程度来评析,当今美国不是现时代最文明的资本主义国家。从物质财富总量和科技水平来看,美国的物质文明排在第一方阵,但人均物质财富不是世界第一,生态文明也没有超过新西兰等一些西方国家。美国以极端个人主义为核心价值观念的精神文明、以资产阶级民主专政为核心统治的政治文明、以自由主义为核心治理方式的社会文明、以资本垄断为核心生产关系的经济文明、以掠夺干涉为核心霸权行径的对外交往文明、以发动武装入侵(含非法使用生化武器)为核心战争理念的军事文明,这些都表明美国除了物质文明以外的多种文明的性质严重扭曲。其文明程度不仅落后于社会主义国家,而且落后于很多资本主义国家。当今世界主要冲突的实质不是基督教文明同伊斯兰文明、中华文明之间的宗教冲突或一般价值观冲突,而是霸权主义、新帝国主义国家与各个被压迫、被制裁国家和民族之间的矛盾和冲突。亨廷顿的“文明冲突论”就是为了掩盖美国、西方霸权主义和新帝国主义行径的表象分析和辩护性理论。</w:t>
      </w:r>
    </w:p>
    <w:p w14:paraId="731F68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当今世界哪种文明是最先进的?从上述分析标准来客观分析,完全可以说中国特色社会主义形成的人类文明新形态是相对最为先进的。在守正创新中国式现代化道路上,以生产力较快发展为核心的物质文明、以公有制主体为核心的经济文明、以人民代表大会制度为核心的政治文明、以集体主义为核心的精神文明、以人民和谐为核心的社会文明、以自我修复改善为核心的生态文明(不采用发达资本主义国家转嫁环境污染和人均排放量极高的措施)、以国防自卫自强为核心的军事文明,充分彰显了21世纪的人类文明新形态,也是当今世界最具先进性的人类文明发展形态。因此,我们不仅要有文化自创、文化自信、文化自觉、文化自律,还要有文明自创、文明自信、文明自觉、文明自律。</w:t>
      </w:r>
    </w:p>
    <w:p w14:paraId="794944B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最后,我们应当遵循习近平所指出的:“文明交流互鉴应该是对等的、平等的,应该是多元的、多向的,而不应该是强制的、强迫的,不应该是单一的、单向的。”</w:t>
      </w:r>
      <w:r>
        <w:rPr>
          <w:rStyle w:val="20"/>
          <w:rFonts w:hint="eastAsia" w:ascii="宋体" w:hAnsi="宋体" w:eastAsia="宋体" w:cs="宋体"/>
          <w:color w:val="auto"/>
          <w:spacing w:val="-14"/>
          <w:sz w:val="24"/>
          <w:szCs w:val="21"/>
        </w:rPr>
        <w:footnoteReference w:id="147"/>
      </w:r>
      <w:r>
        <w:rPr>
          <w:rFonts w:hint="eastAsia"/>
          <w:sz w:val="24"/>
        </w:rPr>
        <w:t>人类文明进步的历史事实告诉我们,不管本国本民族的文明状态如何,与其他国家、其他民族的文明保持交流互鉴,才是推动自身文明发展与进步的重要法宝和途径。丢了这个法宝,也就失去了文明保持不断进步的外部动能。相对落后的文明或相对落后的文明领域,只有与比自身相对先进的文明进行交流互鉴,才有可能在文明发展中实现对相对先进文明的追赶,才有可能实现自身文明的跨越式发展。此外,在文明交流互鉴中,文明的影响力与文明的先进程度并不是等同的,先进文明在其发展初期并不一定有发展程度高的相对落后文明的影响力大。不是文明影响力小的要向文明影响力大的看齐,而是落后文明要向先进文明看齐,也即落后文明要向代表人类文明发展方向的先进文明看齐。因此,在当今文明的平等交流互鉴中,强调影响力小的文明要向影响力大的文明看齐,就有可能导致先进文明向落后文明看齐,而这必然是违背历史发展规律与人类文明演进规律的。</w:t>
      </w:r>
    </w:p>
    <w:p w14:paraId="697AEE0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lang w:val="en-US" w:eastAsia="zh-CN"/>
        </w:rPr>
        <w:t>原载《文化软实力》2022年第7期，第二作者为戴圣鹏</w:t>
      </w:r>
      <w:r>
        <w:rPr>
          <w:rFonts w:hint="eastAsia"/>
          <w:sz w:val="24"/>
          <w:lang w:eastAsia="zh-CN"/>
        </w:rPr>
        <w:t>）</w:t>
      </w:r>
    </w:p>
    <w:p w14:paraId="166AF277">
      <w:pPr>
        <w:bidi w:val="0"/>
      </w:pPr>
    </w:p>
    <w:p w14:paraId="51F28D12">
      <w:pPr>
        <w:keepNext w:val="0"/>
        <w:keepLines w:val="0"/>
        <w:pageBreakBefore w:val="0"/>
        <w:widowControl w:val="0"/>
        <w:kinsoku/>
        <w:wordWrap/>
        <w:overflowPunct/>
        <w:topLinePunct w:val="0"/>
        <w:autoSpaceDE/>
        <w:autoSpaceDN/>
        <w:bidi w:val="0"/>
        <w:adjustRightInd/>
        <w:snapToGrid/>
        <w:spacing w:line="440" w:lineRule="exact"/>
        <w:ind w:firstLine="561" w:firstLineChars="200"/>
        <w:textAlignment w:val="auto"/>
        <w:outlineLvl w:val="0"/>
        <w:rPr>
          <w:rStyle w:val="21"/>
          <w:rFonts w:hint="eastAsia"/>
          <w:lang w:val="en-US" w:eastAsia="zh-CN"/>
        </w:rPr>
      </w:pPr>
      <w:bookmarkStart w:id="116" w:name="_Toc2813"/>
      <w:bookmarkStart w:id="117" w:name="_Toc1480600182"/>
      <w:bookmarkStart w:id="118" w:name="_Toc987898626"/>
      <w:bookmarkStart w:id="119" w:name="_Toc1885453821"/>
      <w:bookmarkStart w:id="120" w:name="_Toc1083433289"/>
      <w:bookmarkStart w:id="121" w:name="_Toc519274852"/>
      <w:r>
        <w:rPr>
          <w:rFonts w:hint="eastAsia"/>
          <w:b/>
          <w:bCs/>
          <w:sz w:val="28"/>
          <w:szCs w:val="28"/>
          <w:lang w:val="en-US" w:eastAsia="zh-CN"/>
        </w:rPr>
        <w:t xml:space="preserve">12 </w:t>
      </w:r>
      <w:r>
        <w:rPr>
          <w:rStyle w:val="21"/>
          <w:rFonts w:hint="eastAsia"/>
          <w:lang w:val="en-US" w:eastAsia="zh-CN"/>
        </w:rPr>
        <w:t xml:space="preserve"> 苏联与美国综合国力发展比较：“两个如果”的历史假设分析——兼论苏联被摧毁的国内外主因</w:t>
      </w:r>
      <w:bookmarkEnd w:id="116"/>
      <w:bookmarkEnd w:id="117"/>
      <w:bookmarkEnd w:id="118"/>
      <w:bookmarkEnd w:id="119"/>
      <w:bookmarkEnd w:id="120"/>
      <w:bookmarkEnd w:id="121"/>
    </w:p>
    <w:p w14:paraId="63E965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BAAB5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0B977F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  要：假设研究是历史学、经济学等不少社会科学的重要分析方法。依据中外各种客观研究数据和模型，以历史假设的理路研究百年苏联历史，无疑是全新的研究视界。基于这样的思路和研究结论，本文特提出苏联综合国力“两个如果”的历史命题：如果没有帝国主义德国法西斯入侵而导致苏联重大损失，那么，1990年苏联被摧毁前夕的综合国力将超过美国；如果没有戈尔巴乔夫、叶利钦领导集团的背叛，按照苏美两国发展的惯性，2020年苏联的综合国力将超过美国。通过综合克莱因“国力方程”、黄硕风“综合国力动态方程模型”等研究成果，对比使用苏联统计资料、联合国统计资料等不同来源数据，可以看出：首先，在“第一个如果”的假设下，经过测算，苏联的经济力在被摧毁前夕相较于历史真实水平将超过美国，与经济力大发展相适应的综合国力超过美国；其次，在“第二个如果”的假设下，2020年苏联经济国力和综合国力将全面超过美国。社会主义优越于资本主义已由事实所证明，苏联被摧毁主要是戈尔巴乔夫等苏共领导集团主动背叛的内因与美西方资本主义国家长期围剿的外因共同作用的结果。</w:t>
      </w:r>
    </w:p>
    <w:p w14:paraId="2AAC8B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7C208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关键词：苏联综合国力；美国综合国力；假设研究方法；苏联被摧毁主因</w:t>
      </w:r>
      <w:r>
        <w:rPr>
          <w:rFonts w:hint="eastAsia"/>
          <w:sz w:val="24"/>
          <w:lang w:eastAsia="zh-CN"/>
        </w:rPr>
        <w:t>；</w:t>
      </w:r>
      <w:r>
        <w:rPr>
          <w:rFonts w:hint="eastAsia"/>
          <w:sz w:val="24"/>
          <w:lang w:val="en-US" w:eastAsia="zh-CN"/>
        </w:rPr>
        <w:t>马克思主义政治经济学</w:t>
      </w:r>
    </w:p>
    <w:p w14:paraId="752EA04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196BCE6">
      <w:pPr>
        <w:pStyle w:val="4"/>
        <w:bidi w:val="0"/>
        <w:rPr>
          <w:rFonts w:hint="eastAsia"/>
        </w:rPr>
      </w:pPr>
      <w:r>
        <w:rPr>
          <w:rFonts w:hint="eastAsia"/>
        </w:rPr>
        <w:t>一、引言 历史假设：一种合乎逻辑的研究视野</w:t>
      </w:r>
    </w:p>
    <w:p w14:paraId="032E58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1917年11月7日，阿芙乐尔号巡洋舰一声炮响，宣告世界上第一个社会主义国家横空出世。1922年12月30日，在列宁的亲自领导下，苏俄同乌克兰苏维埃社会主义共和国、白俄罗斯苏维埃社会主义共和国、南高加索联邦四国“自愿、平等地联合成一个新的国家”——苏维埃社会主义共和国联盟（最终演变为由15个加盟共和国组成的苏联），并逐步发展成为世界综合国力第二的强国。在2022年苏联成立百年之际，用新的研究方法对苏联兴亡史再次进行史海钩沉具有重要意义。</w:t>
      </w:r>
    </w:p>
    <w:p w14:paraId="54D3D3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众所周知，自然科学研究往往离不开假设。假设是科学思维的一种形式，是基于已知事实材料和科学逻辑对某些物象的因果性、规律性作出假定性说明。虽然假设具有推测</w:t>
      </w:r>
      <w:r>
        <w:rPr>
          <w:rFonts w:hint="eastAsia"/>
          <w:sz w:val="24"/>
        </w:rPr>
        <w:fldChar w:fldCharType="begin"/>
      </w:r>
      <w:r>
        <w:rPr>
          <w:rFonts w:hint="eastAsia"/>
          <w:sz w:val="24"/>
        </w:rPr>
        <w:instrText xml:space="preserve"> HYPERLINK "http://www.so.com/s?q=%E6%80%A7%E8%B4%A8&amp;ie=utf-8&amp;src=internal_wenda_recommend_textn" \t "https://wenda.so.com/q/_blank" </w:instrText>
      </w:r>
      <w:r>
        <w:rPr>
          <w:rFonts w:hint="eastAsia"/>
          <w:sz w:val="24"/>
        </w:rPr>
        <w:fldChar w:fldCharType="separate"/>
      </w:r>
      <w:r>
        <w:rPr>
          <w:rFonts w:hint="eastAsia"/>
          <w:sz w:val="24"/>
        </w:rPr>
        <w:t>性质</w:t>
      </w:r>
      <w:r>
        <w:rPr>
          <w:rFonts w:hint="eastAsia"/>
          <w:sz w:val="24"/>
        </w:rPr>
        <w:fldChar w:fldCharType="end"/>
      </w:r>
      <w:r>
        <w:rPr>
          <w:rFonts w:hint="eastAsia"/>
          <w:sz w:val="24"/>
        </w:rPr>
        <w:t>，但以事实和科学知识为依托的假设，与无端玄想有本质不同。正因如此，科学假设是自然科学家常常采用的思维方法，是人们接近</w:t>
      </w:r>
      <w:r>
        <w:rPr>
          <w:rFonts w:hint="eastAsia"/>
          <w:sz w:val="24"/>
        </w:rPr>
        <w:fldChar w:fldCharType="begin"/>
      </w:r>
      <w:r>
        <w:rPr>
          <w:rFonts w:hint="eastAsia"/>
          <w:sz w:val="24"/>
        </w:rPr>
        <w:instrText xml:space="preserve"> HYPERLINK "http://www.so.com/s?q=%E5%AE%A2%E8%A7%82%E7%9C%9F%E7%90%86&amp;ie=utf-8&amp;src=internal_wenda_recommend_textn" \t "https://wenda.so.com/q/_blank" </w:instrText>
      </w:r>
      <w:r>
        <w:rPr>
          <w:rFonts w:hint="eastAsia"/>
          <w:sz w:val="24"/>
        </w:rPr>
        <w:fldChar w:fldCharType="separate"/>
      </w:r>
      <w:r>
        <w:rPr>
          <w:rFonts w:hint="eastAsia"/>
          <w:sz w:val="24"/>
        </w:rPr>
        <w:t>客观真理</w:t>
      </w:r>
      <w:r>
        <w:rPr>
          <w:rFonts w:hint="eastAsia"/>
          <w:sz w:val="24"/>
        </w:rPr>
        <w:fldChar w:fldCharType="end"/>
      </w:r>
      <w:r>
        <w:rPr>
          <w:rFonts w:hint="eastAsia"/>
          <w:sz w:val="24"/>
        </w:rPr>
        <w:t>的有效途径。中国创新马克思主义学术团队一贯强调，同自然科学研究一样，人文社会科学研究，譬如历史研究，有时也很需要假设。历史研究中的假设，也是一种合乎逻辑的研究视野。以历史假设的理路研究百年苏联历史，无疑是全新的研究视界。基于这样的思路，本文特提出苏联综合国力“两个如果”的历史命题：如果没有资产阶级德国法西斯入侵而导致苏联重大损失，那么，苏联被摧毁前夕的综合国力将超过美国；如果没有</w:t>
      </w:r>
      <w:r>
        <w:rPr>
          <w:rFonts w:hint="eastAsia"/>
          <w:sz w:val="24"/>
          <w:lang w:val="ru-RU"/>
        </w:rPr>
        <w:t xml:space="preserve">М.С. </w:t>
      </w:r>
      <w:r>
        <w:rPr>
          <w:rFonts w:hint="eastAsia"/>
          <w:sz w:val="24"/>
        </w:rPr>
        <w:t>戈尔巴乔夫、Б.</w:t>
      </w:r>
      <w:r>
        <w:rPr>
          <w:rFonts w:hint="eastAsia"/>
          <w:sz w:val="24"/>
          <w:lang w:val="ru-RU"/>
        </w:rPr>
        <w:t xml:space="preserve">Н. </w:t>
      </w:r>
      <w:r>
        <w:rPr>
          <w:rFonts w:hint="eastAsia"/>
          <w:sz w:val="24"/>
        </w:rPr>
        <w:t>叶利钦领导集团摧毁了苏联，按照苏美两国发展的惯性，当今苏联的综合国力将超过美国。所谓“综合国力，是指一个主权国家生存与发展所拥有的全部实力——物质力和精神力及其对国际影响力的合力”</w:t>
      </w:r>
      <w:r>
        <w:rPr>
          <w:rStyle w:val="20"/>
          <w:rFonts w:hint="eastAsia" w:ascii="宋体" w:hAnsi="宋体" w:eastAsia="宋体" w:cs="宋体"/>
          <w:color w:val="000000"/>
          <w:sz w:val="24"/>
          <w:szCs w:val="21"/>
        </w:rPr>
        <w:footnoteReference w:id="148"/>
      </w:r>
      <w:r>
        <w:rPr>
          <w:rFonts w:hint="eastAsia"/>
          <w:sz w:val="24"/>
        </w:rPr>
        <w:t>。之所以选取综合国力作为观察点，是因为“国际间的竞争，说到底是综合国力的竞争”</w:t>
      </w:r>
      <w:r>
        <w:rPr>
          <w:rStyle w:val="20"/>
          <w:rFonts w:hint="eastAsia" w:ascii="宋体" w:hAnsi="宋体" w:eastAsia="宋体" w:cs="宋体"/>
          <w:color w:val="000000"/>
          <w:sz w:val="24"/>
          <w:szCs w:val="21"/>
        </w:rPr>
        <w:footnoteReference w:id="149"/>
      </w:r>
      <w:r>
        <w:rPr>
          <w:rFonts w:hint="eastAsia"/>
          <w:sz w:val="24"/>
        </w:rPr>
        <w:t>。</w:t>
      </w:r>
    </w:p>
    <w:p w14:paraId="27D7A8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回望百年苏联具有各种可能性的历史，对苏联综合国力“两个如果”的历史逻辑探赜索隐，经由独辟蹊径的省思，将收获虽然基于假设却令人信服的研究成果。本来，“两个如果”——尤其是“第二个如果”，是可能性最大的通往未来之路。可惜在两个历史关节点上，最大的可能性皆没有成为现实，历史一反常态地改道而行，在各种并存的可能性之间，概率极小的可能性反而变为现实。这个观点也到了俄共中央主席</w:t>
      </w:r>
      <w:r>
        <w:rPr>
          <w:rFonts w:hint="eastAsia"/>
          <w:sz w:val="24"/>
          <w:lang w:val="ru-RU"/>
        </w:rPr>
        <w:t>Г.А. 久加诺夫的赞同，其在2021年4月举行的俄共中央四月全会上引用并肯定了程恩富教授提出的“两个如果”的观点</w:t>
      </w:r>
      <w:r>
        <w:rPr>
          <w:rStyle w:val="20"/>
          <w:rFonts w:hint="eastAsia" w:ascii="宋体" w:hAnsi="宋体" w:eastAsia="宋体" w:cs="宋体"/>
          <w:color w:val="000000"/>
          <w:sz w:val="24"/>
          <w:szCs w:val="21"/>
          <w:lang w:val="ru-RU"/>
        </w:rPr>
        <w:footnoteReference w:id="150"/>
      </w:r>
      <w:r>
        <w:rPr>
          <w:rFonts w:hint="eastAsia"/>
          <w:sz w:val="24"/>
          <w:lang w:val="ru-RU"/>
        </w:rPr>
        <w:t>。</w:t>
      </w:r>
      <w:r>
        <w:rPr>
          <w:rFonts w:hint="eastAsia"/>
          <w:sz w:val="24"/>
        </w:rPr>
        <w:t>在苏联建立百年之际，探赜综合国力“两个如果”的历史逻辑，总结国际共产主义运动由此陷入低潮的惨痛教训，规避历史覆辙，深刻认识、娴熟运用共产党执政规律、社会主义建设规律、人类社会发展规律，提升在历史大潮中驾驭历史的能力，在“退一步”后蓄积起“进两步”的力量，最终实现国际共产主义运动和世界社会主义发展有决定意义的战略目标，注定具有刻骨铭心的世界历史意义，而这正是百年苏联留给世界历史最好的“活教材”。</w:t>
      </w:r>
    </w:p>
    <w:p w14:paraId="1DF342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必须说明的是，关于苏美两国的综合国力对比，不同研究者得出的结论会略有差异。为了数据的客观性，我们尽可能综合不同研究者基于不同立场和角度所取得成果，以期回归历史的本真。</w:t>
      </w:r>
    </w:p>
    <w:p w14:paraId="725D7144">
      <w:pPr>
        <w:pStyle w:val="4"/>
        <w:bidi w:val="0"/>
        <w:rPr>
          <w:rFonts w:hint="eastAsia"/>
        </w:rPr>
      </w:pPr>
      <w:r>
        <w:rPr>
          <w:rFonts w:hint="eastAsia"/>
        </w:rPr>
        <w:t>二、“第一个如果”的历史可能性变化</w:t>
      </w:r>
    </w:p>
    <w:p w14:paraId="221097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伟大的十月社会主义革命胜利后，列宁根据形势需要，先后实施了“战时共产主义”和“新经济政策”。在列宁逝世后，其最忠实的学生斯大林继承列宁遗志，驳斥了托洛茨基等人主张的苏联不能一国建成社会主义的观点，领导苏联党和人民创建了人类历史上第一个社会主义基本制度，并创建了第二次世界大战前夜“山雨欲来风满楼”历史背景下的运行体制。关于如何建设社会主义的问题，马克思、恩格斯只是为后来的社会主义者提供过指路明灯，但未设计过现成的方案，因此，强加给斯大林的所谓“照搬马克思主义理论”，纯粹是欲加之罪何患无辞。“斯大林的一生是在创造、创新中度过的。这一方面源于他对马克思列宁主义的深刻把握，一方面源于他总是处于国内外各种政治力量相互较量的最前沿”</w:t>
      </w:r>
      <w:r>
        <w:rPr>
          <w:rStyle w:val="20"/>
          <w:rFonts w:hint="eastAsia" w:ascii="宋体" w:hAnsi="宋体" w:eastAsia="宋体" w:cs="宋体"/>
          <w:color w:val="000000"/>
          <w:sz w:val="24"/>
          <w:szCs w:val="21"/>
        </w:rPr>
        <w:footnoteReference w:id="151"/>
      </w:r>
      <w:r>
        <w:rPr>
          <w:rFonts w:hint="eastAsia"/>
          <w:sz w:val="24"/>
        </w:rPr>
        <w:t>。在资本主义世界全面经济危机即将爆发的前夜，斯大林深谋远虑，适时果断地调整了列宁在向社会主义社会过渡时期实行的卓有成效而后来已不合时宜的“新经济政策”，转而以实现国家工业化和农业集体化为目标；在波及整个资本主义世界的全面经济危机爆发之际，又利用机会大胆引进利用西方资本主义世界的资本、人才和科学技术成果，创造了当时全球经济中高速发展的世界奇迹，奠定了日后战胜帝国主义德意日法西斯、取得二战胜利的雄厚物质基础。一个由劳动人民创立的社会主义国家，建基于落后的沙俄，刚刚诞生就击退了欧洲十几个资本主义国家的军事围攻，仅用二十年的时间从“帝国主义最薄弱的一环”变成了欧洲第一大工业国，在1929到1933年的全球经济大危机时，只有苏联继续保持高速增长。“20世纪上半叶，在资本主义国家普遍陷入严重经济危机、工人大批失业的情况下，苏联完成了工业化建设，并且基本消灭了失业，实行免费医疗、社会保险、退休金制度等。这表明，社会主义经济制度有比资本主义经济制度更强的生命力和更大的优越性”</w:t>
      </w:r>
      <w:r>
        <w:rPr>
          <w:rStyle w:val="20"/>
          <w:rFonts w:hint="eastAsia" w:ascii="宋体" w:hAnsi="宋体" w:eastAsia="宋体" w:cs="宋体"/>
          <w:color w:val="000000"/>
          <w:sz w:val="24"/>
          <w:szCs w:val="21"/>
        </w:rPr>
        <w:footnoteReference w:id="152"/>
      </w:r>
      <w:r>
        <w:rPr>
          <w:rFonts w:hint="eastAsia"/>
          <w:sz w:val="24"/>
        </w:rPr>
        <w:t>。在社会主义社会中，生产增长的结果是增加劳动人民自身的物质福利和提高他们的文化水平，也就是说随着生产的扩大，消费也必然相应扩大，而需求的增长又不断推动生产发展，因此不可能产生生产过剩的经济危机。在伟大的卫国战争爆发之前，苏联经济社会发展可谓一枝独秀，斯大林的创新理论和成功实践也由此成为后来风起云涌的全球社会主义运动的源头活水。笔者在《论马克思主义研究的整体观——基于十二个视角的全方位分析》一文中指出：“斯大林有系统独到的马克思主义思想……我们不能因为西方抹黑斯大林或由于其犯有肃反扩大化的错误而否认斯大林在马克思主义发展史上的里程碑地位……列宁主义和斯大林主义……属于与马克思主义并列的国际级马克思主义理论体系。”</w:t>
      </w:r>
      <w:r>
        <w:rPr>
          <w:rStyle w:val="20"/>
          <w:rFonts w:hint="eastAsia" w:ascii="宋体" w:hAnsi="宋体" w:eastAsia="宋体" w:cs="宋体"/>
          <w:color w:val="000000"/>
          <w:sz w:val="24"/>
          <w:szCs w:val="21"/>
        </w:rPr>
        <w:footnoteReference w:id="153"/>
      </w:r>
    </w:p>
    <w:p w14:paraId="560E3E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（一）真实历史中的苏联经济</w:t>
      </w:r>
    </w:p>
    <w:p w14:paraId="3FE667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面对帝国主义的重重围堵，历史给予社会主义苏联的应对时间是有限的。在此严峻形势下，以斯大林为核心的联共（布）中央不得不加速启动了社会主义工业化和农业集体化。随着人剥削人现象的彻底消灭和社会主义生产关系的基本确立，那种资本主义本身无法克服的、最后必然走向灭亡的矛盾——生产的不断社</w:t>
      </w:r>
      <w:r>
        <w:rPr>
          <w:rFonts w:hint="eastAsia" w:ascii="宋体" w:hAnsi="宋体" w:eastAsia="宋体" w:cs="宋体"/>
          <w:color w:val="000000"/>
          <w:sz w:val="24"/>
          <w:szCs w:val="21"/>
        </w:rPr>
        <w:pict>
          <v:shape id="Object 588" o:spid="_x0000_s1026" o:spt="75" type="#_x0000_t75" style="position:absolute;left:0pt;margin-left:2.9pt;margin-top:76.05pt;height:197pt;width:453pt;mso-wrap-distance-bottom:0pt;mso-wrap-distance-top:0pt;z-index:251682816;mso-width-relative:page;mso-height-relative:page;" o:ole="t" filled="f" o:preferrelative="t" stroked="f" coordsize="21600,21600">
            <v:path/>
            <v:fill on="f" focussize="0,0"/>
            <v:stroke on="f"/>
            <v:imagedata r:id="rId35" o:title=""/>
            <o:lock v:ext="edit" aspectratio="t"/>
            <w10:wrap type="topAndBottom"/>
          </v:shape>
          <o:OLEObject Type="Embed" ProgID="MSGraph.Chart.8" ShapeID="Object 588" DrawAspect="Content" ObjectID="_1468075725" r:id="rId34">
            <o:LockedField>false</o:LockedField>
          </o:OLEObject>
        </w:pict>
      </w:r>
      <w:r>
        <w:rPr>
          <w:rFonts w:hint="eastAsia"/>
          <w:sz w:val="24"/>
        </w:rPr>
        <w:t xml:space="preserve">会化与生产资料私有制之间的矛盾在苏联被彻底消灭了。这是苏联经济在20世纪30年代能够迅速发展的制度基础。德国入侵苏联之前，苏联工业总产值增长如下图所示： </w:t>
      </w:r>
    </w:p>
    <w:p w14:paraId="6E1879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FA9FF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图1 1924-1940年苏联工业总产值指数</w:t>
      </w:r>
      <w:r>
        <w:rPr>
          <w:rStyle w:val="20"/>
          <w:rFonts w:hint="eastAsia" w:ascii="宋体" w:hAnsi="宋体" w:eastAsia="宋体" w:cs="宋体"/>
          <w:color w:val="000000"/>
          <w:sz w:val="24"/>
          <w:szCs w:val="21"/>
        </w:rPr>
        <w:footnoteReference w:id="154"/>
      </w:r>
    </w:p>
    <w:p w14:paraId="2BCA53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数据来源：《苏联国民经济统计年鉴1956》,莫斯科国家统计出版社，1957年版(Народное хозяйство СССР: Стат. ежегодник / ЦСУ при Совете Министров СССР. - Москва : Госстандарт, 1957-. - 22 см. 1956 году. - 1957. - 296 с.)</w:t>
      </w:r>
    </w:p>
    <w:p w14:paraId="6121DE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从图中可以看出，1924-1940年之间苏联工业产值持续高速增长。其增速远远高于同期资本主义国家，到1937年工业产值实质上已经超过除美国外的所有资本主义国家</w:t>
      </w:r>
      <w:r>
        <w:rPr>
          <w:rStyle w:val="20"/>
          <w:rFonts w:hint="eastAsia" w:ascii="宋体" w:hAnsi="宋体" w:eastAsia="宋体" w:cs="宋体"/>
          <w:color w:val="000000"/>
          <w:sz w:val="24"/>
          <w:szCs w:val="21"/>
        </w:rPr>
        <w:footnoteReference w:id="155"/>
      </w:r>
      <w:r>
        <w:rPr>
          <w:rFonts w:hint="eastAsia"/>
          <w:sz w:val="24"/>
        </w:rPr>
        <w:t>。经由跳跃式发展，“通过两个五年计划的实施，苏联一跃成为世界上仅次于美国的第二大工业化国家”</w:t>
      </w:r>
      <w:r>
        <w:rPr>
          <w:rStyle w:val="20"/>
          <w:rFonts w:hint="eastAsia" w:ascii="宋体" w:hAnsi="宋体" w:eastAsia="宋体" w:cs="宋体"/>
          <w:color w:val="000000"/>
          <w:sz w:val="24"/>
          <w:szCs w:val="21"/>
        </w:rPr>
        <w:footnoteReference w:id="156"/>
      </w:r>
      <w:r>
        <w:rPr>
          <w:rFonts w:hint="eastAsia"/>
          <w:sz w:val="24"/>
        </w:rPr>
        <w:t>。当提前完成第二个五年计划时，工业化和农业集体化皆同时宣告完成。短短十年，通过加速“两化”进程，苏联跨越式地跻身工业和军事大国行列，成为当时屈指可数的强国, 创造了世界工业发展史上的奇迹。在卫国战争爆发前夜，苏联已经建立起部门齐全的军工企业，飞机制造能力和速度均跃居世界前列。1940年苏联工业总产量是1917年的12倍。在社会主义道路上快速前行的苏联，引起了西方资本主义世界的恐慌。因为苏联已经用事实证明了“上升的资本主义已经变成垂死的资本主义”</w:t>
      </w:r>
      <w:r>
        <w:rPr>
          <w:rStyle w:val="20"/>
          <w:rFonts w:hint="eastAsia" w:ascii="宋体" w:hAnsi="宋体" w:eastAsia="宋体" w:cs="宋体"/>
          <w:color w:val="000000"/>
          <w:sz w:val="24"/>
          <w:szCs w:val="21"/>
        </w:rPr>
        <w:footnoteReference w:id="157"/>
      </w:r>
      <w:r>
        <w:rPr>
          <w:rFonts w:hint="eastAsia"/>
          <w:sz w:val="24"/>
        </w:rPr>
        <w:t>。为了将优势逐渐显现的社会主义苏联扼杀在摇篮中，一向仇视社会主义的德国资产阶级法西斯制定“巴巴罗萨”计划，悍然挑起战争。希特勒政权打着“国家社会主义”旗号，实行国家垄断资产阶级的专制独裁制度，发动对苏战争，不仅是为了侵占苏联的国土，掠夺苏联的资源，而且是为了消灭苏联的社会主义制度。帝国主义法西斯德国对苏战争同对其它帝国主义国家或不发达国家战争的根本区别就在于此。</w:t>
      </w:r>
    </w:p>
    <w:p w14:paraId="5054D41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伟大的卫国战争中，苏联遭受到了极其惨重的破坏：1710座城镇、7万个村庄、31853家工矿企业、9.8万个集体农庄、1876个国营农场、2890个机器拖拉机站、6.5万公里铁路和4100个火车站遭到破坏，有700万匹马、1700万头牛、几千万头猪、绵羊、山羊以及1亿多只家禽被宰杀、被夺去和被赶到德国，直接经济损失达25690亿卢布，占国民资产的一半</w:t>
      </w:r>
      <w:r>
        <w:rPr>
          <w:rStyle w:val="20"/>
          <w:rFonts w:hint="eastAsia" w:ascii="宋体" w:hAnsi="宋体" w:eastAsia="宋体" w:cs="宋体"/>
          <w:color w:val="000000"/>
          <w:sz w:val="24"/>
          <w:szCs w:val="21"/>
        </w:rPr>
        <w:footnoteReference w:id="158"/>
      </w:r>
      <w:r>
        <w:rPr>
          <w:rFonts w:hint="eastAsia"/>
          <w:sz w:val="24"/>
        </w:rPr>
        <w:t>。同时，苏联有2700万人死于这场战争</w:t>
      </w:r>
      <w:r>
        <w:rPr>
          <w:rStyle w:val="20"/>
          <w:rFonts w:hint="eastAsia" w:ascii="宋体" w:hAnsi="宋体" w:eastAsia="宋体" w:cs="宋体"/>
          <w:color w:val="000000"/>
          <w:sz w:val="24"/>
          <w:szCs w:val="21"/>
        </w:rPr>
        <w:footnoteReference w:id="159"/>
      </w:r>
      <w:r>
        <w:rPr>
          <w:rFonts w:hint="eastAsia"/>
          <w:sz w:val="24"/>
        </w:rPr>
        <w:t>。战争时期，尽管苏联经济受到了极其严重的破坏，但是除了尚未完成工业转移的1941-1942年外，其他年份整体上依然保持着强劲的增长势头。如下表所示：</w:t>
      </w:r>
    </w:p>
    <w:p w14:paraId="6544963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表1                      卫国战争期间苏联的GDP</w:t>
      </w:r>
      <w:r>
        <w:rPr>
          <w:rStyle w:val="20"/>
          <w:rFonts w:hint="eastAsia" w:ascii="宋体" w:hAnsi="宋体" w:eastAsia="宋体" w:cs="宋体"/>
          <w:color w:val="000000"/>
          <w:sz w:val="24"/>
          <w:szCs w:val="21"/>
        </w:rPr>
        <w:footnoteReference w:id="160"/>
      </w:r>
      <w:r>
        <w:rPr>
          <w:rFonts w:hint="eastAsia"/>
          <w:sz w:val="24"/>
          <w:lang w:val="ru-RU"/>
        </w:rPr>
        <w:t xml:space="preserve">                     单位：10亿美元 </w:t>
      </w:r>
    </w:p>
    <w:tbl>
      <w:tblPr>
        <w:tblStyle w:val="14"/>
        <w:tblW w:w="0" w:type="auto"/>
        <w:tblInd w:w="108"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58"/>
        <w:gridCol w:w="1418"/>
        <w:gridCol w:w="1418"/>
        <w:gridCol w:w="1418"/>
        <w:gridCol w:w="1419"/>
        <w:gridCol w:w="1327"/>
      </w:tblGrid>
      <w:tr w14:paraId="7A1713C0">
        <w:tc>
          <w:tcPr>
            <w:tcW w:w="1672" w:type="dxa"/>
            <w:noWrap w:val="0"/>
            <w:vAlign w:val="top"/>
          </w:tcPr>
          <w:p w14:paraId="775BA5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年份</w:t>
            </w:r>
          </w:p>
        </w:tc>
        <w:tc>
          <w:tcPr>
            <w:tcW w:w="1780" w:type="dxa"/>
            <w:noWrap w:val="0"/>
            <w:vAlign w:val="top"/>
          </w:tcPr>
          <w:p w14:paraId="22964D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1941</w:t>
            </w:r>
          </w:p>
        </w:tc>
        <w:tc>
          <w:tcPr>
            <w:tcW w:w="1780" w:type="dxa"/>
            <w:noWrap w:val="0"/>
            <w:vAlign w:val="top"/>
          </w:tcPr>
          <w:p w14:paraId="3DD250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1942</w:t>
            </w:r>
          </w:p>
        </w:tc>
        <w:tc>
          <w:tcPr>
            <w:tcW w:w="1780" w:type="dxa"/>
            <w:noWrap w:val="0"/>
            <w:vAlign w:val="top"/>
          </w:tcPr>
          <w:p w14:paraId="692164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1943</w:t>
            </w:r>
          </w:p>
        </w:tc>
        <w:tc>
          <w:tcPr>
            <w:tcW w:w="1781" w:type="dxa"/>
            <w:noWrap w:val="0"/>
            <w:vAlign w:val="top"/>
          </w:tcPr>
          <w:p w14:paraId="27B8B9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1944</w:t>
            </w:r>
          </w:p>
        </w:tc>
        <w:tc>
          <w:tcPr>
            <w:tcW w:w="1555" w:type="dxa"/>
            <w:noWrap w:val="0"/>
            <w:vAlign w:val="top"/>
          </w:tcPr>
          <w:p w14:paraId="062609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1945</w:t>
            </w:r>
          </w:p>
        </w:tc>
      </w:tr>
      <w:tr w14:paraId="13061974">
        <w:tc>
          <w:tcPr>
            <w:tcW w:w="1672" w:type="dxa"/>
            <w:noWrap w:val="0"/>
            <w:vAlign w:val="top"/>
          </w:tcPr>
          <w:p w14:paraId="5110FE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GDP</w:t>
            </w:r>
          </w:p>
        </w:tc>
        <w:tc>
          <w:tcPr>
            <w:tcW w:w="1780" w:type="dxa"/>
            <w:noWrap w:val="0"/>
            <w:vAlign w:val="top"/>
          </w:tcPr>
          <w:p w14:paraId="2C7702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359</w:t>
            </w:r>
          </w:p>
        </w:tc>
        <w:tc>
          <w:tcPr>
            <w:tcW w:w="1780" w:type="dxa"/>
            <w:noWrap w:val="0"/>
            <w:vAlign w:val="top"/>
          </w:tcPr>
          <w:p w14:paraId="110755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274</w:t>
            </w:r>
          </w:p>
        </w:tc>
        <w:tc>
          <w:tcPr>
            <w:tcW w:w="1780" w:type="dxa"/>
            <w:noWrap w:val="0"/>
            <w:vAlign w:val="top"/>
          </w:tcPr>
          <w:p w14:paraId="633665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305</w:t>
            </w:r>
          </w:p>
        </w:tc>
        <w:tc>
          <w:tcPr>
            <w:tcW w:w="1781" w:type="dxa"/>
            <w:noWrap w:val="0"/>
            <w:vAlign w:val="top"/>
          </w:tcPr>
          <w:p w14:paraId="0F312B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362</w:t>
            </w:r>
          </w:p>
        </w:tc>
        <w:tc>
          <w:tcPr>
            <w:tcW w:w="1555" w:type="dxa"/>
            <w:noWrap w:val="0"/>
            <w:vAlign w:val="top"/>
          </w:tcPr>
          <w:p w14:paraId="702FCC6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343</w:t>
            </w:r>
          </w:p>
        </w:tc>
      </w:tr>
    </w:tbl>
    <w:p w14:paraId="65CDBD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数据来源：Попов, Г.Г. (2021). Новые подходы к оценке ВВП СССР в период Великой Отечественной войны.</w:t>
      </w:r>
    </w:p>
    <w:p w14:paraId="4A3888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战时的1942年和1943年，苏联制造的坦克比德国多2.6万辆，飞机比德国多2万架</w:t>
      </w:r>
      <w:r>
        <w:rPr>
          <w:rStyle w:val="20"/>
          <w:rFonts w:hint="eastAsia" w:ascii="宋体" w:hAnsi="宋体" w:eastAsia="宋体" w:cs="宋体"/>
          <w:color w:val="000000"/>
          <w:sz w:val="24"/>
          <w:szCs w:val="21"/>
        </w:rPr>
        <w:footnoteReference w:id="161"/>
      </w:r>
      <w:r>
        <w:rPr>
          <w:rFonts w:hint="eastAsia"/>
          <w:sz w:val="24"/>
        </w:rPr>
        <w:t>。强大的物质技术基础是苏联在反法西斯战争中发挥中流砥柱作用，从而为世界和平事业作出巨大贡献的可靠保证，并于1945年5月将胜利的红旗插上柏林国会大厦，解放了大半个欧洲，并促成了东欧社会主义国家的相继成立。当然，胜利的代价是巨大的，战后苏联劳动力奇缺，各种农用机械遭毁坏，拖拉机生产能力下降到1930年的水平。1945年，消费品生产只有战前水平的59%，恢复被战争破坏的经济之困难程度难以想象</w:t>
      </w:r>
      <w:r>
        <w:rPr>
          <w:rStyle w:val="20"/>
          <w:rFonts w:hint="eastAsia" w:ascii="宋体" w:hAnsi="宋体" w:eastAsia="宋体" w:cs="宋体"/>
          <w:color w:val="000000"/>
          <w:sz w:val="24"/>
          <w:szCs w:val="21"/>
        </w:rPr>
        <w:footnoteReference w:id="162"/>
      </w:r>
      <w:r>
        <w:rPr>
          <w:rFonts w:hint="eastAsia"/>
          <w:sz w:val="24"/>
        </w:rPr>
        <w:t>。在战争废墟上，以斯大林为核心的联共（布）中央领导全苏人民进行了重建，再次掀起了社会主义建设新高潮，使苏联经济迅速恢复和快速发展。“这在任何一个资本主义国家完全依靠自己的力量单独恢复和重建其工农业都是需要几十年时间，但在1950年的第四个五年计划完成时，也就是说，仅仅用了五年左右的时间，苏联整个工业总产值比第二次世界大战前增加了73%，除个别指标外，各项工业指标都达到和超过第二次世界大战前水平”</w:t>
      </w:r>
      <w:r>
        <w:rPr>
          <w:rStyle w:val="20"/>
          <w:rFonts w:hint="eastAsia" w:ascii="宋体" w:hAnsi="宋体" w:eastAsia="宋体" w:cs="宋体"/>
          <w:color w:val="000000"/>
          <w:sz w:val="24"/>
          <w:szCs w:val="21"/>
        </w:rPr>
        <w:footnoteReference w:id="163"/>
      </w:r>
      <w:r>
        <w:rPr>
          <w:rFonts w:hint="eastAsia"/>
          <w:sz w:val="24"/>
        </w:rPr>
        <w:t xml:space="preserve">。  </w:t>
      </w:r>
    </w:p>
    <w:p w14:paraId="2B56AE6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国际上，苏联成为其他社会主义国家的强大后盾，积极助力社会主义从一国发展至多国。对此，斯大林为核心的联共（布）中央指出：“只要资本主义的包围还存在，即使新的武装干涉失败，也不会消灭武装干涉的危险……资本主义国家里的无产阶级革命的胜利，是同苏联劳动者休戚相关的事情。”</w:t>
      </w:r>
      <w:r>
        <w:rPr>
          <w:rStyle w:val="20"/>
          <w:rFonts w:hint="eastAsia" w:ascii="宋体" w:hAnsi="宋体" w:eastAsia="宋体" w:cs="宋体"/>
          <w:sz w:val="24"/>
          <w:szCs w:val="21"/>
        </w:rPr>
        <w:footnoteReference w:id="164"/>
      </w:r>
      <w:r>
        <w:rPr>
          <w:rFonts w:hint="eastAsia"/>
          <w:sz w:val="24"/>
        </w:rPr>
        <w:t>因此，苏联牵头组建了成为撬动世界社会主义革命和建设杠杆的世界社会主义阵营，极大地推动了国际共产主义运动的发展。</w:t>
      </w:r>
    </w:p>
    <w:p w14:paraId="744B5F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w:t>
      </w:r>
      <w:r>
        <w:rPr>
          <w:rFonts w:hint="eastAsia"/>
          <w:sz w:val="24"/>
          <w:lang w:val="ru-RU"/>
        </w:rPr>
        <w:t xml:space="preserve">Н.С. </w:t>
      </w:r>
      <w:r>
        <w:rPr>
          <w:rFonts w:hint="eastAsia"/>
          <w:sz w:val="24"/>
        </w:rPr>
        <w:t>赫鲁晓夫执政期间（1953-1964），苏联经济继续快速发展，1950-1965年社会总产值年均增长率为9.04%</w:t>
      </w:r>
      <w:r>
        <w:rPr>
          <w:rStyle w:val="20"/>
          <w:rFonts w:hint="eastAsia" w:ascii="宋体" w:hAnsi="宋体" w:eastAsia="宋体" w:cs="宋体"/>
          <w:color w:val="000000"/>
          <w:sz w:val="24"/>
          <w:szCs w:val="21"/>
        </w:rPr>
        <w:footnoteReference w:id="165"/>
      </w:r>
      <w:r>
        <w:rPr>
          <w:rFonts w:hint="eastAsia"/>
          <w:sz w:val="24"/>
        </w:rPr>
        <w:t>。在迅速恢复经济的同时，还创造了火箭上天潜艇入海、第一个载人火箭、第一个人造卫星、第一个空间站、第一个月球探测器等奇迹。这些奇迹生动证明了“共产党的领导作用不断增强，是社会主义社会发展和共产主义建设的重要规律之一”</w:t>
      </w:r>
      <w:r>
        <w:rPr>
          <w:rStyle w:val="20"/>
          <w:rFonts w:hint="eastAsia" w:ascii="宋体" w:hAnsi="宋体" w:eastAsia="宋体" w:cs="宋体"/>
          <w:color w:val="000000"/>
          <w:sz w:val="24"/>
          <w:szCs w:val="21"/>
        </w:rPr>
        <w:footnoteReference w:id="166"/>
      </w:r>
      <w:r>
        <w:rPr>
          <w:rFonts w:hint="eastAsia"/>
          <w:sz w:val="24"/>
        </w:rPr>
        <w:t>。在</w:t>
      </w:r>
      <w:r>
        <w:rPr>
          <w:rFonts w:hint="eastAsia"/>
          <w:sz w:val="24"/>
          <w:lang w:val="ru-RU"/>
        </w:rPr>
        <w:t xml:space="preserve">Л.И. </w:t>
      </w:r>
      <w:r>
        <w:rPr>
          <w:rFonts w:hint="eastAsia"/>
          <w:sz w:val="24"/>
        </w:rPr>
        <w:t>勃列日涅夫执政的18年中（1964-1982），虽然经济增长速度略有下降，但是始终保持着远高于西方资本主义世界的增速：1965-1981年，社会总产值增加146%，年均增长5.8%，国民总收入增加144%，年均增长5.8%。</w:t>
      </w:r>
      <w:r>
        <w:rPr>
          <w:rStyle w:val="20"/>
          <w:rFonts w:hint="eastAsia" w:ascii="宋体" w:hAnsi="宋体" w:eastAsia="宋体" w:cs="宋体"/>
          <w:color w:val="000000"/>
          <w:sz w:val="24"/>
          <w:szCs w:val="21"/>
        </w:rPr>
        <w:footnoteReference w:id="167"/>
      </w:r>
      <w:r>
        <w:rPr>
          <w:rFonts w:hint="eastAsia"/>
          <w:sz w:val="24"/>
        </w:rPr>
        <w:t>1960年苏联国民收入占美国58%，到1975年这一比例上升到67%，并一直维持到1982年；1970年苏联工业总产值占美国75%以上，1975-1982年始终维持在80%以上；1971-1982年苏联农业总产值大约占美国85%</w:t>
      </w:r>
      <w:r>
        <w:rPr>
          <w:rStyle w:val="20"/>
          <w:rFonts w:hint="eastAsia" w:ascii="宋体" w:hAnsi="宋体" w:eastAsia="宋体" w:cs="宋体"/>
          <w:color w:val="000000"/>
          <w:sz w:val="24"/>
          <w:szCs w:val="21"/>
        </w:rPr>
        <w:footnoteReference w:id="168"/>
      </w:r>
      <w:r>
        <w:rPr>
          <w:rFonts w:hint="eastAsia"/>
          <w:sz w:val="24"/>
        </w:rPr>
        <w:t>。因此，</w:t>
      </w:r>
      <w:r>
        <w:rPr>
          <w:rFonts w:hint="eastAsia"/>
          <w:sz w:val="24"/>
          <w:lang w:val="ru-RU"/>
        </w:rPr>
        <w:t xml:space="preserve">М.С. </w:t>
      </w:r>
      <w:r>
        <w:rPr>
          <w:rFonts w:hint="eastAsia"/>
          <w:sz w:val="24"/>
        </w:rPr>
        <w:t>戈尔巴乔夫执政之前的苏联综合国力达到巅峰，一跃成为势头盖过美国的超级大国。由于</w:t>
      </w:r>
      <w:r>
        <w:rPr>
          <w:rFonts w:hint="eastAsia"/>
          <w:sz w:val="24"/>
          <w:lang w:val="ru-RU"/>
        </w:rPr>
        <w:t xml:space="preserve">М.С. </w:t>
      </w:r>
      <w:r>
        <w:rPr>
          <w:rFonts w:hint="eastAsia"/>
          <w:sz w:val="24"/>
        </w:rPr>
        <w:t>戈尔巴乔夫执政后采取了一系列背叛社会主义的改革措施，使经济发展受到一定影响，增长速度下降，1985-1989年苏联社会总产值增加13.4%，年均增长3.2%，国民收入增加13.5%，年均增长3.2%</w:t>
      </w:r>
      <w:r>
        <w:rPr>
          <w:rStyle w:val="20"/>
          <w:rFonts w:hint="eastAsia" w:ascii="宋体" w:hAnsi="宋体" w:eastAsia="宋体" w:cs="宋体"/>
          <w:color w:val="000000"/>
          <w:sz w:val="24"/>
          <w:szCs w:val="21"/>
        </w:rPr>
        <w:footnoteReference w:id="169"/>
      </w:r>
      <w:r>
        <w:rPr>
          <w:rFonts w:hint="eastAsia"/>
          <w:sz w:val="24"/>
        </w:rPr>
        <w:t xml:space="preserve">。 </w:t>
      </w:r>
    </w:p>
    <w:p w14:paraId="037F6C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（二）“第一个如果”的假设下对苏联经济的理论测算</w:t>
      </w:r>
    </w:p>
    <w:p w14:paraId="2A050E3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抛开数据统计口径等问题，1990年左右苏联经济弱于美国的原因，除了戈尔巴乔夫背叛社会主义的改革措施导致苏联经济增速下降之外，更重要的原因在于资产阶级德国法西斯的侵略使苏联遭受重大损失。“第一个如果”的假设是指如果没有资产阶级德国法西斯入侵导致苏联重大损失，那么，1990年苏联被摧毁前夕的综合国力将超过美国。在不考虑自然资源等其他因素的情况下，运用《苏联国民经济统计年鉴》相关统计数据对苏联的经济国力进行理论测算，可以看出，苏联的经济国力在20世纪70年代年要超过美国。</w:t>
      </w:r>
    </w:p>
    <w:p w14:paraId="575A28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苏联国民经济统计年鉴》对苏联国民收入指数进行了统计，尽管数据存在残缺，但并不影响对苏联经济发展的趋势分析。将《苏联国民经济统计年鉴》相关年份的数据都转化成以1913年为基期的指数形式，详见下表：</w:t>
      </w:r>
    </w:p>
    <w:p w14:paraId="53D7288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表2 1913-1975年苏联国民收入指数及理论测算值</w:t>
      </w:r>
    </w:p>
    <w:tbl>
      <w:tblPr>
        <w:tblStyle w:val="14"/>
        <w:tblW w:w="0" w:type="auto"/>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0"/>
        <w:gridCol w:w="1559"/>
        <w:gridCol w:w="1559"/>
        <w:gridCol w:w="1560"/>
        <w:gridCol w:w="1643"/>
      </w:tblGrid>
      <w:tr w14:paraId="38562A90">
        <w:trPr>
          <w:trHeight w:val="276" w:hRule="atLeast"/>
          <w:jc w:val="center"/>
        </w:trPr>
        <w:tc>
          <w:tcPr>
            <w:tcW w:w="851" w:type="dxa"/>
            <w:noWrap/>
            <w:vAlign w:val="top"/>
          </w:tcPr>
          <w:p w14:paraId="711124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tc>
        <w:tc>
          <w:tcPr>
            <w:tcW w:w="3118" w:type="dxa"/>
            <w:gridSpan w:val="2"/>
            <w:noWrap/>
            <w:vAlign w:val="top"/>
          </w:tcPr>
          <w:p w14:paraId="4E465E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苏联国民经济统计年鉴相关年份</w:t>
            </w:r>
          </w:p>
        </w:tc>
        <w:tc>
          <w:tcPr>
            <w:tcW w:w="3203" w:type="dxa"/>
            <w:gridSpan w:val="2"/>
            <w:noWrap/>
            <w:vAlign w:val="top"/>
          </w:tcPr>
          <w:p w14:paraId="68FFB7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第一个如果假设下的理论测算值</w:t>
            </w:r>
          </w:p>
        </w:tc>
      </w:tr>
      <w:tr w14:paraId="2462A3D6">
        <w:trPr>
          <w:trHeight w:val="276" w:hRule="atLeast"/>
          <w:jc w:val="center"/>
        </w:trPr>
        <w:tc>
          <w:tcPr>
            <w:tcW w:w="851" w:type="dxa"/>
            <w:noWrap/>
            <w:vAlign w:val="top"/>
          </w:tcPr>
          <w:p w14:paraId="0146625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tc>
        <w:tc>
          <w:tcPr>
            <w:tcW w:w="1559" w:type="dxa"/>
            <w:noWrap/>
            <w:vAlign w:val="top"/>
          </w:tcPr>
          <w:p w14:paraId="005771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国民收入指数</w:t>
            </w:r>
          </w:p>
        </w:tc>
        <w:tc>
          <w:tcPr>
            <w:tcW w:w="1559" w:type="dxa"/>
            <w:noWrap/>
            <w:vAlign w:val="top"/>
          </w:tcPr>
          <w:p w14:paraId="7B5609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年均增长率</w:t>
            </w:r>
            <w:r>
              <w:rPr>
                <w:rStyle w:val="20"/>
                <w:rFonts w:hint="eastAsia" w:ascii="宋体" w:hAnsi="宋体" w:eastAsia="宋体" w:cs="宋体"/>
                <w:color w:val="000000"/>
                <w:sz w:val="24"/>
                <w:szCs w:val="21"/>
              </w:rPr>
              <w:footnoteReference w:id="170"/>
            </w:r>
          </w:p>
        </w:tc>
        <w:tc>
          <w:tcPr>
            <w:tcW w:w="1560" w:type="dxa"/>
            <w:noWrap/>
            <w:vAlign w:val="top"/>
          </w:tcPr>
          <w:p w14:paraId="3D9F57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国民收入指数</w:t>
            </w:r>
          </w:p>
        </w:tc>
        <w:tc>
          <w:tcPr>
            <w:tcW w:w="1643" w:type="dxa"/>
            <w:noWrap/>
            <w:vAlign w:val="top"/>
          </w:tcPr>
          <w:p w14:paraId="45C8A3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年均增长率</w:t>
            </w:r>
          </w:p>
        </w:tc>
      </w:tr>
      <w:tr w14:paraId="2641308A">
        <w:trPr>
          <w:trHeight w:val="276" w:hRule="atLeast"/>
          <w:jc w:val="center"/>
        </w:trPr>
        <w:tc>
          <w:tcPr>
            <w:tcW w:w="851" w:type="dxa"/>
            <w:noWrap/>
            <w:vAlign w:val="top"/>
          </w:tcPr>
          <w:p w14:paraId="03E2F3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1913</w:t>
            </w:r>
          </w:p>
        </w:tc>
        <w:tc>
          <w:tcPr>
            <w:tcW w:w="1559" w:type="dxa"/>
            <w:noWrap/>
            <w:vAlign w:val="top"/>
          </w:tcPr>
          <w:p w14:paraId="2B7400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100</w:t>
            </w:r>
          </w:p>
        </w:tc>
        <w:tc>
          <w:tcPr>
            <w:tcW w:w="1559" w:type="dxa"/>
            <w:noWrap/>
            <w:vAlign w:val="top"/>
          </w:tcPr>
          <w:p w14:paraId="760967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c>
          <w:tcPr>
            <w:tcW w:w="1560" w:type="dxa"/>
            <w:noWrap/>
            <w:vAlign w:val="top"/>
          </w:tcPr>
          <w:p w14:paraId="283AEE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100</w:t>
            </w:r>
          </w:p>
        </w:tc>
        <w:tc>
          <w:tcPr>
            <w:tcW w:w="1643" w:type="dxa"/>
            <w:noWrap/>
            <w:vAlign w:val="top"/>
          </w:tcPr>
          <w:p w14:paraId="18DA0E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r>
      <w:tr w14:paraId="1C3C7EF4">
        <w:trPr>
          <w:trHeight w:val="276" w:hRule="atLeast"/>
          <w:jc w:val="center"/>
        </w:trPr>
        <w:tc>
          <w:tcPr>
            <w:tcW w:w="851" w:type="dxa"/>
            <w:noWrap/>
            <w:vAlign w:val="top"/>
          </w:tcPr>
          <w:p w14:paraId="4CF7C8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1940</w:t>
            </w:r>
          </w:p>
        </w:tc>
        <w:tc>
          <w:tcPr>
            <w:tcW w:w="1559" w:type="dxa"/>
            <w:noWrap/>
            <w:vAlign w:val="top"/>
          </w:tcPr>
          <w:p w14:paraId="1C15CD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611</w:t>
            </w:r>
          </w:p>
        </w:tc>
        <w:tc>
          <w:tcPr>
            <w:tcW w:w="1559" w:type="dxa"/>
            <w:noWrap/>
            <w:vAlign w:val="top"/>
          </w:tcPr>
          <w:p w14:paraId="2130BE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6.93</w:t>
            </w:r>
          </w:p>
        </w:tc>
        <w:tc>
          <w:tcPr>
            <w:tcW w:w="1560" w:type="dxa"/>
            <w:noWrap/>
            <w:vAlign w:val="top"/>
          </w:tcPr>
          <w:p w14:paraId="00BDBB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611</w:t>
            </w:r>
          </w:p>
        </w:tc>
        <w:tc>
          <w:tcPr>
            <w:tcW w:w="1643" w:type="dxa"/>
            <w:noWrap/>
            <w:vAlign w:val="top"/>
          </w:tcPr>
          <w:p w14:paraId="54B5C5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6.93</w:t>
            </w:r>
          </w:p>
        </w:tc>
      </w:tr>
      <w:tr w14:paraId="54C06528">
        <w:trPr>
          <w:trHeight w:val="276" w:hRule="atLeast"/>
          <w:jc w:val="center"/>
        </w:trPr>
        <w:tc>
          <w:tcPr>
            <w:tcW w:w="851" w:type="dxa"/>
            <w:noWrap/>
            <w:vAlign w:val="top"/>
          </w:tcPr>
          <w:p w14:paraId="4D6233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1945</w:t>
            </w:r>
          </w:p>
        </w:tc>
        <w:tc>
          <w:tcPr>
            <w:tcW w:w="1559" w:type="dxa"/>
            <w:noWrap/>
            <w:vAlign w:val="top"/>
          </w:tcPr>
          <w:p w14:paraId="22C63E6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c>
          <w:tcPr>
            <w:tcW w:w="1559" w:type="dxa"/>
            <w:noWrap/>
            <w:vAlign w:val="top"/>
          </w:tcPr>
          <w:p w14:paraId="475ED6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c>
          <w:tcPr>
            <w:tcW w:w="1560" w:type="dxa"/>
            <w:noWrap/>
            <w:vAlign w:val="top"/>
          </w:tcPr>
          <w:p w14:paraId="3891E8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c>
          <w:tcPr>
            <w:tcW w:w="1643" w:type="dxa"/>
            <w:noWrap/>
            <w:vAlign w:val="top"/>
          </w:tcPr>
          <w:p w14:paraId="6C9904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r>
      <w:tr w14:paraId="6FA28A84">
        <w:trPr>
          <w:trHeight w:val="276" w:hRule="atLeast"/>
          <w:jc w:val="center"/>
        </w:trPr>
        <w:tc>
          <w:tcPr>
            <w:tcW w:w="851" w:type="dxa"/>
            <w:noWrap/>
            <w:vAlign w:val="top"/>
          </w:tcPr>
          <w:p w14:paraId="1C50F0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1950</w:t>
            </w:r>
          </w:p>
        </w:tc>
        <w:tc>
          <w:tcPr>
            <w:tcW w:w="1559" w:type="dxa"/>
            <w:noWrap/>
            <w:vAlign w:val="top"/>
          </w:tcPr>
          <w:p w14:paraId="5C9B3FD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1003</w:t>
            </w:r>
          </w:p>
        </w:tc>
        <w:tc>
          <w:tcPr>
            <w:tcW w:w="1559" w:type="dxa"/>
            <w:noWrap/>
            <w:vAlign w:val="top"/>
          </w:tcPr>
          <w:p w14:paraId="1BCA56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5.07</w:t>
            </w:r>
          </w:p>
        </w:tc>
        <w:tc>
          <w:tcPr>
            <w:tcW w:w="1560" w:type="dxa"/>
            <w:noWrap/>
            <w:vAlign w:val="top"/>
          </w:tcPr>
          <w:p w14:paraId="79DB31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1614</w:t>
            </w:r>
          </w:p>
        </w:tc>
        <w:tc>
          <w:tcPr>
            <w:tcW w:w="1643" w:type="dxa"/>
            <w:noWrap/>
            <w:vAlign w:val="top"/>
          </w:tcPr>
          <w:p w14:paraId="0F431C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10.20</w:t>
            </w:r>
          </w:p>
        </w:tc>
      </w:tr>
      <w:tr w14:paraId="4C1F69ED">
        <w:trPr>
          <w:trHeight w:val="276" w:hRule="atLeast"/>
          <w:jc w:val="center"/>
        </w:trPr>
        <w:tc>
          <w:tcPr>
            <w:tcW w:w="851" w:type="dxa"/>
            <w:noWrap/>
            <w:vAlign w:val="top"/>
          </w:tcPr>
          <w:p w14:paraId="11220B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1955</w:t>
            </w:r>
          </w:p>
        </w:tc>
        <w:tc>
          <w:tcPr>
            <w:tcW w:w="1559" w:type="dxa"/>
            <w:noWrap/>
            <w:vAlign w:val="top"/>
          </w:tcPr>
          <w:p w14:paraId="3F0B33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1716</w:t>
            </w:r>
          </w:p>
        </w:tc>
        <w:tc>
          <w:tcPr>
            <w:tcW w:w="1559" w:type="dxa"/>
            <w:noWrap/>
            <w:vAlign w:val="top"/>
          </w:tcPr>
          <w:p w14:paraId="0FDD116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11.33</w:t>
            </w:r>
          </w:p>
        </w:tc>
        <w:tc>
          <w:tcPr>
            <w:tcW w:w="1560" w:type="dxa"/>
            <w:noWrap/>
            <w:vAlign w:val="top"/>
          </w:tcPr>
          <w:p w14:paraId="5C4B12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c>
          <w:tcPr>
            <w:tcW w:w="1643" w:type="dxa"/>
            <w:noWrap/>
            <w:vAlign w:val="top"/>
          </w:tcPr>
          <w:p w14:paraId="2D2E38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r>
      <w:tr w14:paraId="7CD1B3D0">
        <w:trPr>
          <w:trHeight w:val="276" w:hRule="atLeast"/>
          <w:jc w:val="center"/>
        </w:trPr>
        <w:tc>
          <w:tcPr>
            <w:tcW w:w="851" w:type="dxa"/>
            <w:noWrap/>
            <w:vAlign w:val="top"/>
          </w:tcPr>
          <w:p w14:paraId="48074E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1960</w:t>
            </w:r>
          </w:p>
        </w:tc>
        <w:tc>
          <w:tcPr>
            <w:tcW w:w="1559" w:type="dxa"/>
            <w:noWrap/>
            <w:vAlign w:val="top"/>
          </w:tcPr>
          <w:p w14:paraId="45C60C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2658</w:t>
            </w:r>
          </w:p>
        </w:tc>
        <w:tc>
          <w:tcPr>
            <w:tcW w:w="1559" w:type="dxa"/>
            <w:noWrap/>
            <w:vAlign w:val="top"/>
          </w:tcPr>
          <w:p w14:paraId="1EE615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9.02</w:t>
            </w:r>
          </w:p>
        </w:tc>
        <w:tc>
          <w:tcPr>
            <w:tcW w:w="1560" w:type="dxa"/>
            <w:noWrap/>
            <w:vAlign w:val="top"/>
          </w:tcPr>
          <w:p w14:paraId="1AAB04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4263</w:t>
            </w:r>
          </w:p>
        </w:tc>
        <w:tc>
          <w:tcPr>
            <w:tcW w:w="1643" w:type="dxa"/>
            <w:noWrap/>
            <w:vAlign w:val="top"/>
          </w:tcPr>
          <w:p w14:paraId="0D361D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10.20</w:t>
            </w:r>
          </w:p>
        </w:tc>
      </w:tr>
      <w:tr w14:paraId="114AEAAF">
        <w:trPr>
          <w:trHeight w:val="276" w:hRule="atLeast"/>
          <w:jc w:val="center"/>
        </w:trPr>
        <w:tc>
          <w:tcPr>
            <w:tcW w:w="851" w:type="dxa"/>
            <w:noWrap/>
            <w:vAlign w:val="top"/>
          </w:tcPr>
          <w:p w14:paraId="7AF501E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1965</w:t>
            </w:r>
          </w:p>
        </w:tc>
        <w:tc>
          <w:tcPr>
            <w:tcW w:w="1559" w:type="dxa"/>
            <w:noWrap/>
            <w:vAlign w:val="top"/>
          </w:tcPr>
          <w:p w14:paraId="763630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3651</w:t>
            </w:r>
          </w:p>
        </w:tc>
        <w:tc>
          <w:tcPr>
            <w:tcW w:w="1559" w:type="dxa"/>
            <w:noWrap/>
            <w:vAlign w:val="top"/>
          </w:tcPr>
          <w:p w14:paraId="29C845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6.50</w:t>
            </w:r>
          </w:p>
        </w:tc>
        <w:tc>
          <w:tcPr>
            <w:tcW w:w="1560" w:type="dxa"/>
            <w:noWrap/>
            <w:vAlign w:val="top"/>
          </w:tcPr>
          <w:p w14:paraId="707EAC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5840</w:t>
            </w:r>
          </w:p>
        </w:tc>
        <w:tc>
          <w:tcPr>
            <w:tcW w:w="1643" w:type="dxa"/>
            <w:noWrap/>
            <w:vAlign w:val="top"/>
          </w:tcPr>
          <w:p w14:paraId="6F55AA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6.50</w:t>
            </w:r>
          </w:p>
        </w:tc>
      </w:tr>
      <w:tr w14:paraId="703E7C4C">
        <w:trPr>
          <w:trHeight w:val="276" w:hRule="atLeast"/>
          <w:jc w:val="center"/>
        </w:trPr>
        <w:tc>
          <w:tcPr>
            <w:tcW w:w="851" w:type="dxa"/>
            <w:noWrap/>
            <w:vAlign w:val="top"/>
          </w:tcPr>
          <w:p w14:paraId="42975A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1970</w:t>
            </w:r>
          </w:p>
        </w:tc>
        <w:tc>
          <w:tcPr>
            <w:tcW w:w="1559" w:type="dxa"/>
            <w:noWrap/>
            <w:vAlign w:val="top"/>
          </w:tcPr>
          <w:p w14:paraId="487627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5276</w:t>
            </w:r>
          </w:p>
        </w:tc>
        <w:tc>
          <w:tcPr>
            <w:tcW w:w="1559" w:type="dxa"/>
            <w:noWrap/>
            <w:vAlign w:val="top"/>
          </w:tcPr>
          <w:p w14:paraId="6BB253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7.71</w:t>
            </w:r>
          </w:p>
        </w:tc>
        <w:tc>
          <w:tcPr>
            <w:tcW w:w="1560" w:type="dxa"/>
            <w:noWrap/>
            <w:vAlign w:val="top"/>
          </w:tcPr>
          <w:p w14:paraId="51EEEF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8466</w:t>
            </w:r>
          </w:p>
        </w:tc>
        <w:tc>
          <w:tcPr>
            <w:tcW w:w="1643" w:type="dxa"/>
            <w:noWrap/>
            <w:vAlign w:val="top"/>
          </w:tcPr>
          <w:p w14:paraId="67CAF56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7.71</w:t>
            </w:r>
          </w:p>
        </w:tc>
      </w:tr>
      <w:tr w14:paraId="53135813">
        <w:trPr>
          <w:trHeight w:val="276" w:hRule="atLeast"/>
          <w:jc w:val="center"/>
        </w:trPr>
        <w:tc>
          <w:tcPr>
            <w:tcW w:w="851" w:type="dxa"/>
            <w:noWrap/>
            <w:vAlign w:val="top"/>
          </w:tcPr>
          <w:p w14:paraId="5BC1D8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1975</w:t>
            </w:r>
          </w:p>
        </w:tc>
        <w:tc>
          <w:tcPr>
            <w:tcW w:w="1559" w:type="dxa"/>
            <w:noWrap/>
            <w:vAlign w:val="top"/>
          </w:tcPr>
          <w:p w14:paraId="3F6221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6981</w:t>
            </w:r>
          </w:p>
        </w:tc>
        <w:tc>
          <w:tcPr>
            <w:tcW w:w="1559" w:type="dxa"/>
            <w:noWrap/>
            <w:vAlign w:val="top"/>
          </w:tcPr>
          <w:p w14:paraId="7E89C0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5.70</w:t>
            </w:r>
          </w:p>
        </w:tc>
        <w:tc>
          <w:tcPr>
            <w:tcW w:w="1560" w:type="dxa"/>
            <w:noWrap/>
            <w:vAlign w:val="top"/>
          </w:tcPr>
          <w:p w14:paraId="7BFAB3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11171</w:t>
            </w:r>
          </w:p>
        </w:tc>
        <w:tc>
          <w:tcPr>
            <w:tcW w:w="1643" w:type="dxa"/>
            <w:noWrap/>
            <w:vAlign w:val="top"/>
          </w:tcPr>
          <w:p w14:paraId="5EE710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5.70</w:t>
            </w:r>
          </w:p>
        </w:tc>
      </w:tr>
      <w:tr w14:paraId="79547A05">
        <w:trPr>
          <w:trHeight w:val="276" w:hRule="atLeast"/>
          <w:jc w:val="center"/>
        </w:trPr>
        <w:tc>
          <w:tcPr>
            <w:tcW w:w="2410" w:type="dxa"/>
            <w:gridSpan w:val="2"/>
            <w:noWrap/>
            <w:vAlign w:val="top"/>
          </w:tcPr>
          <w:p w14:paraId="7362BF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1940-1975年均增长率</w:t>
            </w:r>
          </w:p>
        </w:tc>
        <w:tc>
          <w:tcPr>
            <w:tcW w:w="1559" w:type="dxa"/>
            <w:noWrap/>
            <w:vAlign w:val="top"/>
          </w:tcPr>
          <w:p w14:paraId="7DD8B3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7.21</w:t>
            </w:r>
          </w:p>
        </w:tc>
        <w:tc>
          <w:tcPr>
            <w:tcW w:w="1560" w:type="dxa"/>
            <w:noWrap/>
            <w:vAlign w:val="top"/>
          </w:tcPr>
          <w:p w14:paraId="4BEF08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p>
        </w:tc>
        <w:tc>
          <w:tcPr>
            <w:tcW w:w="1643" w:type="dxa"/>
            <w:noWrap/>
            <w:vAlign w:val="top"/>
          </w:tcPr>
          <w:p w14:paraId="420EA77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8.67</w:t>
            </w:r>
          </w:p>
        </w:tc>
      </w:tr>
    </w:tbl>
    <w:p w14:paraId="5049781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数据来源：《苏联国民经济统计年鉴》1956、1959与《苏联国民经济六十年纪念统计年鉴》</w:t>
      </w:r>
    </w:p>
    <w:p w14:paraId="0B2188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如果没有二战对苏联的破坏，苏联经济在1940至1945年之间就不会出现负增长，而是继续维持高速增长趋势。1945年至1950年，战后的超高速增长可能与战争的破坏导致固定资产投资爆发式增长有关，因而保守估计，可以用1950年至1960年这十年间的年均增长速度来估计1940年至1950年这十年间的增速，这样就可以得到1940-1950年苏联国民收入年均增长速度为10.2%。在“第一个如果”假设条件下，苏联1950年之后的国民总收入约是真实历史数据的1.6倍。</w:t>
      </w:r>
      <w:r>
        <w:rPr>
          <w:rFonts w:hint="eastAsia"/>
          <w:sz w:val="24"/>
          <w:lang w:val="ru-RU"/>
        </w:rPr>
        <w:t>按照真实历史数据，1970年苏联国民收入与美国国民收入之比已经超过65%</w:t>
      </w:r>
      <w:r>
        <w:rPr>
          <w:rStyle w:val="20"/>
          <w:rFonts w:hint="eastAsia" w:ascii="宋体" w:hAnsi="宋体" w:eastAsia="宋体" w:cs="宋体"/>
          <w:color w:val="000000"/>
          <w:sz w:val="24"/>
          <w:szCs w:val="21"/>
          <w:lang w:val="ru-RU"/>
        </w:rPr>
        <w:footnoteReference w:id="171"/>
      </w:r>
      <w:r>
        <w:rPr>
          <w:rFonts w:hint="eastAsia"/>
          <w:sz w:val="24"/>
          <w:lang w:val="ru-RU"/>
        </w:rPr>
        <w:t>。</w:t>
      </w:r>
      <w:r>
        <w:rPr>
          <w:rFonts w:hint="eastAsia"/>
          <w:sz w:val="24"/>
        </w:rPr>
        <w:t>如果没有德国入侵给苏联造成的重大损失，按照苏联国民收入理论预测值是真实历史值的1.6倍来计算，1970年苏联国民收入应当是美国的1.04倍。</w:t>
      </w:r>
    </w:p>
    <w:p w14:paraId="7F7825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如果按照美国公布的统计数据，结果同样如此。物质生产部门是指创造物质产品和增加产品价值的生产活动部门，包括工业、农林牧渔业、建筑业以及为生产服务运输业和邮电业，还包括作为生产过程在流通领域继续的那一部分批发和零售贸易业、餐饮业(即商品分类、修理、包装、保管等劳动)等五大物质生产部门。因此，在计算美国生产领域的国民收入时需要将这部分数据保留。根据美国商务部经济分析局公布的数据显示，1977年服务业中批零贸易、运输通信、电力燃气卫生服务分别占美国GDP的16.4%、6.3%、2.6%，其他服务业占41.1%</w:t>
      </w:r>
      <w:r>
        <w:rPr>
          <w:rStyle w:val="20"/>
          <w:rFonts w:hint="eastAsia" w:ascii="宋体" w:hAnsi="宋体" w:eastAsia="宋体" w:cs="宋体"/>
          <w:color w:val="000000"/>
          <w:sz w:val="24"/>
          <w:szCs w:val="21"/>
        </w:rPr>
        <w:footnoteReference w:id="172"/>
      </w:r>
      <w:r>
        <w:rPr>
          <w:rFonts w:hint="eastAsia"/>
          <w:sz w:val="24"/>
        </w:rPr>
        <w:t>。而商品分类、修理、包装、保管等劳动在批零贸易中所占比例不大，电力燃气卫生服务中也有部分属于非生产领域。可见，保守估计1977年非生产领域的服务业产值占美国GDP的50%以上。因数据限制，故采用1977年数据来估算1976年美国非生产领域产值占比。美国1976年国民总收入为18696亿美元</w:t>
      </w:r>
      <w:r>
        <w:rPr>
          <w:rStyle w:val="20"/>
          <w:rFonts w:hint="eastAsia" w:ascii="宋体" w:hAnsi="宋体" w:eastAsia="宋体" w:cs="宋体"/>
          <w:color w:val="000000"/>
          <w:sz w:val="24"/>
          <w:szCs w:val="21"/>
        </w:rPr>
        <w:footnoteReference w:id="173"/>
      </w:r>
      <w:r>
        <w:rPr>
          <w:rFonts w:hint="eastAsia"/>
          <w:sz w:val="24"/>
        </w:rPr>
        <w:t>，按照保守估计，即非生产领域占50%计算，1976年美国生产领域中国民收入</w:t>
      </w:r>
      <w:r>
        <w:rPr>
          <w:rStyle w:val="20"/>
          <w:rFonts w:hint="eastAsia" w:ascii="宋体" w:hAnsi="宋体" w:eastAsia="宋体" w:cs="宋体"/>
          <w:color w:val="000000"/>
          <w:sz w:val="24"/>
          <w:szCs w:val="21"/>
        </w:rPr>
        <w:footnoteReference w:id="174"/>
      </w:r>
      <w:r>
        <w:rPr>
          <w:rFonts w:hint="eastAsia"/>
          <w:sz w:val="24"/>
        </w:rPr>
        <w:t>为9348亿美元。1976年苏联国民收入为6220亿美元</w:t>
      </w:r>
      <w:r>
        <w:rPr>
          <w:rStyle w:val="20"/>
          <w:rFonts w:hint="eastAsia" w:ascii="宋体" w:hAnsi="宋体" w:eastAsia="宋体" w:cs="宋体"/>
          <w:color w:val="000000"/>
          <w:sz w:val="24"/>
          <w:szCs w:val="21"/>
        </w:rPr>
        <w:footnoteReference w:id="175"/>
      </w:r>
      <w:r>
        <w:rPr>
          <w:rFonts w:hint="eastAsia"/>
          <w:sz w:val="24"/>
        </w:rPr>
        <w:t>，“第一个如果”假设下，苏联国民收入为真实数据的1.6倍，则苏联国民收入为9952亿美元，是美国生产领域中国民收入的1.06倍。</w:t>
      </w:r>
    </w:p>
    <w:p w14:paraId="02ACED7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ru-RU"/>
        </w:rPr>
        <w:t>因此，在“第一个如果”的条件下，根据苏联官方数据，1970年苏联国民收入是美国1.04倍；根据美国和联合国数据，1976年苏联国民收入是美国的1.06倍。这里的分析仅限于增长速度，还没有计算苏联遭受德国法西斯入侵带来的国计民生其他严重损失，也没有计算美国国民收入中高犯罪率和大量广告等有害或虚假的非真实财富的成份。如果考虑综合国力的其他因素，毫无疑问，苏联的综合国力必然超过美国。</w:t>
      </w:r>
    </w:p>
    <w:p w14:paraId="683A6E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（三）中外学者对苏美综合国力的测算</w:t>
      </w:r>
    </w:p>
    <w:p w14:paraId="512A84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外学者对苏美综合国力的测算结果不尽相同，既有学者认为苏联的综合国力在1990年之前就已经超过美国，也有学者认为1990年左右苏联相较于美国仍存在差距。但是，如果使用“第一个如果”假设下的苏联经济的理论测算值，那么苏联的综合国力则必会超过美国。</w:t>
      </w:r>
    </w:p>
    <w:p w14:paraId="29B7F7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1.克莱因对苏美综合国力的测算</w:t>
      </w:r>
    </w:p>
    <w:p w14:paraId="66995D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曾任职美国中央情报局副局长、国务院情报与研究司司长的美国乔治敦大学战略与国际研究中心主任R.S.克莱因是权力评估“国力方程”学派的代表人物，其研究成果具有权威性和代表性。克莱因在借鉴大量相关研究成果的基础上，提出了估算国力的“国力方程”理论，用公式表示为：</w:t>
      </w:r>
    </w:p>
    <w:p w14:paraId="081874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Pp=（C+E+M）×（S+W）</w:t>
      </w:r>
    </w:p>
    <w:p w14:paraId="1AD08B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其中，Pp表示国力值；C、E、M分别表示基本实体、经济能力和军事能力；S、W分别表示战略意图和贯彻国家战略的意志</w:t>
      </w:r>
      <w:r>
        <w:rPr>
          <w:rStyle w:val="20"/>
          <w:rFonts w:hint="eastAsia" w:ascii="宋体" w:hAnsi="宋体" w:eastAsia="宋体" w:cs="宋体"/>
          <w:color w:val="000000"/>
          <w:sz w:val="24"/>
          <w:szCs w:val="21"/>
        </w:rPr>
        <w:footnoteReference w:id="176"/>
      </w:r>
      <w:r>
        <w:rPr>
          <w:rFonts w:hint="eastAsia"/>
          <w:sz w:val="24"/>
        </w:rPr>
        <w:t>。具体说来，基本实体C，包括人口和国土面积；经济能力E，包括国民生产总值和产业结构；军事能力M，指一国拥有的战略核力量和常规力量之和——此三项形成综合国力的物质基础，总和最高分500分。战略意图S，主要包括作为国家根本利益集中体现的战略目标；贯彻国家战略的意志W，指的是“反映国内可动员的民众对国防政策和政府外交的信心和支持程度”</w:t>
      </w:r>
      <w:r>
        <w:rPr>
          <w:rStyle w:val="20"/>
          <w:rFonts w:hint="eastAsia" w:ascii="宋体" w:hAnsi="宋体" w:eastAsia="宋体" w:cs="宋体"/>
          <w:color w:val="000000"/>
          <w:sz w:val="24"/>
          <w:szCs w:val="21"/>
        </w:rPr>
        <w:footnoteReference w:id="177"/>
      </w:r>
      <w:r>
        <w:rPr>
          <w:rFonts w:hint="eastAsia"/>
          <w:sz w:val="24"/>
        </w:rPr>
        <w:t>，此两项决定物质形态国力的有效发挥程度。克莱因将整个国力的总分设定为1000分，根据“国力方程”公式，苏美两国在1975年、1977年、1978年的国力分值如下：</w:t>
      </w:r>
    </w:p>
    <w:p w14:paraId="7C6000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表3                   克莱因对苏美两国的国力评估                   </w:t>
      </w:r>
    </w:p>
    <w:tbl>
      <w:tblPr>
        <w:tblStyle w:val="14"/>
        <w:tblW w:w="0" w:type="auto"/>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51"/>
        <w:gridCol w:w="765"/>
        <w:gridCol w:w="944"/>
        <w:gridCol w:w="1136"/>
        <w:gridCol w:w="1136"/>
        <w:gridCol w:w="1077"/>
        <w:gridCol w:w="1077"/>
        <w:gridCol w:w="1136"/>
      </w:tblGrid>
      <w:tr w14:paraId="5B50BF4C">
        <w:tc>
          <w:tcPr>
            <w:tcW w:w="1251" w:type="dxa"/>
            <w:noWrap w:val="0"/>
            <w:vAlign w:val="top"/>
          </w:tcPr>
          <w:p w14:paraId="249D6A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年份</w:t>
            </w:r>
          </w:p>
        </w:tc>
        <w:tc>
          <w:tcPr>
            <w:tcW w:w="765" w:type="dxa"/>
            <w:noWrap w:val="0"/>
            <w:vAlign w:val="top"/>
          </w:tcPr>
          <w:p w14:paraId="47ECA921">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国别</w:t>
            </w:r>
          </w:p>
        </w:tc>
        <w:tc>
          <w:tcPr>
            <w:tcW w:w="944" w:type="dxa"/>
            <w:noWrap w:val="0"/>
            <w:vAlign w:val="top"/>
          </w:tcPr>
          <w:p w14:paraId="5A1C38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C</w:t>
            </w:r>
          </w:p>
        </w:tc>
        <w:tc>
          <w:tcPr>
            <w:tcW w:w="1136" w:type="dxa"/>
            <w:noWrap w:val="0"/>
            <w:vAlign w:val="top"/>
          </w:tcPr>
          <w:p w14:paraId="397992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E</w:t>
            </w:r>
          </w:p>
        </w:tc>
        <w:tc>
          <w:tcPr>
            <w:tcW w:w="1136" w:type="dxa"/>
            <w:noWrap w:val="0"/>
            <w:vAlign w:val="top"/>
          </w:tcPr>
          <w:p w14:paraId="1C2EF0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M</w:t>
            </w:r>
          </w:p>
        </w:tc>
        <w:tc>
          <w:tcPr>
            <w:tcW w:w="1077" w:type="dxa"/>
            <w:noWrap w:val="0"/>
            <w:vAlign w:val="top"/>
          </w:tcPr>
          <w:p w14:paraId="640C50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S</w:t>
            </w:r>
          </w:p>
        </w:tc>
        <w:tc>
          <w:tcPr>
            <w:tcW w:w="1077" w:type="dxa"/>
            <w:noWrap w:val="0"/>
            <w:vAlign w:val="top"/>
          </w:tcPr>
          <w:p w14:paraId="2715052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w:t>
            </w:r>
          </w:p>
        </w:tc>
        <w:tc>
          <w:tcPr>
            <w:tcW w:w="1136" w:type="dxa"/>
            <w:noWrap w:val="0"/>
            <w:vAlign w:val="top"/>
          </w:tcPr>
          <w:p w14:paraId="6F1BF9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Pp</w:t>
            </w:r>
          </w:p>
        </w:tc>
      </w:tr>
      <w:tr w14:paraId="1FB62D5A">
        <w:tc>
          <w:tcPr>
            <w:tcW w:w="1251" w:type="dxa"/>
            <w:noWrap w:val="0"/>
            <w:vAlign w:val="top"/>
          </w:tcPr>
          <w:p w14:paraId="0512D79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1975</w:t>
            </w:r>
          </w:p>
        </w:tc>
        <w:tc>
          <w:tcPr>
            <w:tcW w:w="765" w:type="dxa"/>
            <w:noWrap w:val="0"/>
            <w:vAlign w:val="top"/>
          </w:tcPr>
          <w:p w14:paraId="312AD49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苏联</w:t>
            </w:r>
          </w:p>
          <w:p w14:paraId="4DB04C20">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美国</w:t>
            </w:r>
          </w:p>
        </w:tc>
        <w:tc>
          <w:tcPr>
            <w:tcW w:w="944" w:type="dxa"/>
            <w:noWrap w:val="0"/>
            <w:vAlign w:val="top"/>
          </w:tcPr>
          <w:p w14:paraId="5E5D167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100</w:t>
            </w:r>
          </w:p>
          <w:p w14:paraId="18AFE358">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100</w:t>
            </w:r>
          </w:p>
        </w:tc>
        <w:tc>
          <w:tcPr>
            <w:tcW w:w="1136" w:type="dxa"/>
            <w:noWrap w:val="0"/>
            <w:vAlign w:val="top"/>
          </w:tcPr>
          <w:p w14:paraId="2083C1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160</w:t>
            </w:r>
          </w:p>
          <w:p w14:paraId="1411F4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200</w:t>
            </w:r>
          </w:p>
        </w:tc>
        <w:tc>
          <w:tcPr>
            <w:tcW w:w="1136" w:type="dxa"/>
            <w:noWrap w:val="0"/>
            <w:vAlign w:val="top"/>
          </w:tcPr>
          <w:p w14:paraId="1EC77C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190</w:t>
            </w:r>
          </w:p>
          <w:p w14:paraId="7F3BFD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200</w:t>
            </w:r>
          </w:p>
        </w:tc>
        <w:tc>
          <w:tcPr>
            <w:tcW w:w="1077" w:type="dxa"/>
            <w:noWrap w:val="0"/>
            <w:vAlign w:val="top"/>
          </w:tcPr>
          <w:p w14:paraId="07E204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0.8</w:t>
            </w:r>
          </w:p>
          <w:p w14:paraId="3B12A3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0.3</w:t>
            </w:r>
          </w:p>
        </w:tc>
        <w:tc>
          <w:tcPr>
            <w:tcW w:w="1077" w:type="dxa"/>
            <w:noWrap w:val="0"/>
            <w:vAlign w:val="top"/>
          </w:tcPr>
          <w:p w14:paraId="33C24D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0.7</w:t>
            </w:r>
          </w:p>
          <w:p w14:paraId="40AB0D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0.4</w:t>
            </w:r>
          </w:p>
        </w:tc>
        <w:tc>
          <w:tcPr>
            <w:tcW w:w="1136" w:type="dxa"/>
            <w:noWrap w:val="0"/>
            <w:vAlign w:val="top"/>
          </w:tcPr>
          <w:p w14:paraId="26CB31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675</w:t>
            </w:r>
          </w:p>
          <w:p w14:paraId="114100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350</w:t>
            </w:r>
          </w:p>
        </w:tc>
      </w:tr>
      <w:tr w14:paraId="34E639F5">
        <w:tc>
          <w:tcPr>
            <w:tcW w:w="1251" w:type="dxa"/>
            <w:noWrap w:val="0"/>
            <w:vAlign w:val="top"/>
          </w:tcPr>
          <w:p w14:paraId="4245AD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1977</w:t>
            </w:r>
          </w:p>
        </w:tc>
        <w:tc>
          <w:tcPr>
            <w:tcW w:w="765" w:type="dxa"/>
            <w:noWrap w:val="0"/>
            <w:vAlign w:val="top"/>
          </w:tcPr>
          <w:p w14:paraId="77D8E898">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苏联</w:t>
            </w:r>
          </w:p>
          <w:p w14:paraId="01C9A6F7">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美国</w:t>
            </w:r>
          </w:p>
        </w:tc>
        <w:tc>
          <w:tcPr>
            <w:tcW w:w="944" w:type="dxa"/>
            <w:noWrap w:val="0"/>
            <w:vAlign w:val="top"/>
          </w:tcPr>
          <w:p w14:paraId="0BC2B9DD">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100</w:t>
            </w:r>
          </w:p>
          <w:p w14:paraId="378C57F6">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100</w:t>
            </w:r>
          </w:p>
        </w:tc>
        <w:tc>
          <w:tcPr>
            <w:tcW w:w="1136" w:type="dxa"/>
            <w:noWrap w:val="0"/>
            <w:vAlign w:val="top"/>
          </w:tcPr>
          <w:p w14:paraId="6C15A55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105</w:t>
            </w:r>
          </w:p>
          <w:p w14:paraId="3BF791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174</w:t>
            </w:r>
          </w:p>
        </w:tc>
        <w:tc>
          <w:tcPr>
            <w:tcW w:w="1136" w:type="dxa"/>
            <w:noWrap w:val="0"/>
            <w:vAlign w:val="top"/>
          </w:tcPr>
          <w:p w14:paraId="32904A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w:t>
            </w:r>
          </w:p>
          <w:p w14:paraId="0EB33B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194</w:t>
            </w:r>
          </w:p>
        </w:tc>
        <w:tc>
          <w:tcPr>
            <w:tcW w:w="1077" w:type="dxa"/>
            <w:noWrap w:val="0"/>
            <w:vAlign w:val="top"/>
          </w:tcPr>
          <w:p w14:paraId="10DF528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0.8</w:t>
            </w:r>
          </w:p>
          <w:p w14:paraId="5DDE70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0.4</w:t>
            </w:r>
          </w:p>
        </w:tc>
        <w:tc>
          <w:tcPr>
            <w:tcW w:w="1077" w:type="dxa"/>
            <w:noWrap w:val="0"/>
            <w:vAlign w:val="top"/>
          </w:tcPr>
          <w:p w14:paraId="277CFF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0.5</w:t>
            </w:r>
          </w:p>
          <w:p w14:paraId="4F77FD3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0.5</w:t>
            </w:r>
          </w:p>
        </w:tc>
        <w:tc>
          <w:tcPr>
            <w:tcW w:w="1136" w:type="dxa"/>
            <w:noWrap w:val="0"/>
            <w:vAlign w:val="top"/>
          </w:tcPr>
          <w:p w14:paraId="51AEBE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523</w:t>
            </w:r>
          </w:p>
          <w:p w14:paraId="4F13940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421</w:t>
            </w:r>
          </w:p>
        </w:tc>
      </w:tr>
      <w:tr w14:paraId="2A870646">
        <w:tc>
          <w:tcPr>
            <w:tcW w:w="1251" w:type="dxa"/>
            <w:noWrap w:val="0"/>
            <w:vAlign w:val="top"/>
          </w:tcPr>
          <w:p w14:paraId="4B3989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1978</w:t>
            </w:r>
          </w:p>
        </w:tc>
        <w:tc>
          <w:tcPr>
            <w:tcW w:w="765" w:type="dxa"/>
            <w:noWrap w:val="0"/>
            <w:vAlign w:val="top"/>
          </w:tcPr>
          <w:p w14:paraId="721CFD75">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苏联</w:t>
            </w:r>
          </w:p>
          <w:p w14:paraId="22C8D95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美国</w:t>
            </w:r>
          </w:p>
        </w:tc>
        <w:tc>
          <w:tcPr>
            <w:tcW w:w="944" w:type="dxa"/>
            <w:noWrap w:val="0"/>
            <w:vAlign w:val="top"/>
          </w:tcPr>
          <w:p w14:paraId="74B8FD5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100</w:t>
            </w:r>
          </w:p>
          <w:p w14:paraId="45602F9A">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4"/>
              </w:rPr>
            </w:pPr>
            <w:r>
              <w:rPr>
                <w:rFonts w:hint="eastAsia"/>
                <w:sz w:val="24"/>
              </w:rPr>
              <w:t>100</w:t>
            </w:r>
          </w:p>
        </w:tc>
        <w:tc>
          <w:tcPr>
            <w:tcW w:w="1136" w:type="dxa"/>
            <w:noWrap w:val="0"/>
            <w:vAlign w:val="top"/>
          </w:tcPr>
          <w:p w14:paraId="358DA79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85</w:t>
            </w:r>
          </w:p>
          <w:p w14:paraId="72C4C8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146</w:t>
            </w:r>
          </w:p>
        </w:tc>
        <w:tc>
          <w:tcPr>
            <w:tcW w:w="1136" w:type="dxa"/>
            <w:noWrap w:val="0"/>
            <w:vAlign w:val="top"/>
          </w:tcPr>
          <w:p w14:paraId="23A8E0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197</w:t>
            </w:r>
          </w:p>
          <w:p w14:paraId="56126F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188</w:t>
            </w:r>
          </w:p>
        </w:tc>
        <w:tc>
          <w:tcPr>
            <w:tcW w:w="1077" w:type="dxa"/>
            <w:noWrap w:val="0"/>
            <w:vAlign w:val="top"/>
          </w:tcPr>
          <w:p w14:paraId="380CC9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0.7</w:t>
            </w:r>
          </w:p>
          <w:p w14:paraId="2BBD03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0.3</w:t>
            </w:r>
          </w:p>
        </w:tc>
        <w:tc>
          <w:tcPr>
            <w:tcW w:w="1077" w:type="dxa"/>
            <w:noWrap w:val="0"/>
            <w:vAlign w:val="top"/>
          </w:tcPr>
          <w:p w14:paraId="744B12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0.5</w:t>
            </w:r>
          </w:p>
          <w:p w14:paraId="44AC87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0.4</w:t>
            </w:r>
          </w:p>
        </w:tc>
        <w:tc>
          <w:tcPr>
            <w:tcW w:w="1136" w:type="dxa"/>
            <w:noWrap w:val="0"/>
            <w:vAlign w:val="top"/>
          </w:tcPr>
          <w:p w14:paraId="5683FB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458</w:t>
            </w:r>
          </w:p>
          <w:p w14:paraId="044208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304</w:t>
            </w:r>
          </w:p>
        </w:tc>
      </w:tr>
    </w:tbl>
    <w:p w14:paraId="3BDFB9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资料来源：根据Ray S. Cline: World Power Assessment (Westview Press. Inc. 1975)、World Power Assessment 1977: A Calculus of Strategic Drift (Westview Press. Inc. 1977)、World Power Trends and U. S. Foreign Policy for the 1980s (Westview Press. Inc. 1981)和黄硕风《综合国力论》整理。</w:t>
      </w:r>
    </w:p>
    <w:p w14:paraId="2C1A2B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在战略核力量方面，克莱因还推算出1979年苏美两国的权力评分分别是100分、95分；在常规力量方面，苏美两国的权力分量分别为91分、93分。就总体军事力量看，苏美两国的权力分量分别为191分、188分</w:t>
      </w:r>
      <w:r>
        <w:rPr>
          <w:rStyle w:val="20"/>
          <w:rFonts w:hint="eastAsia" w:ascii="宋体" w:hAnsi="宋体" w:eastAsia="宋体" w:cs="宋体"/>
          <w:color w:val="000000"/>
          <w:sz w:val="24"/>
          <w:szCs w:val="21"/>
        </w:rPr>
        <w:footnoteReference w:id="178"/>
      </w:r>
      <w:r>
        <w:rPr>
          <w:rFonts w:hint="eastAsia"/>
          <w:sz w:val="24"/>
        </w:rPr>
        <w:t>。克莱因的研究结果清晰地表明，20世纪70年代末期，苏联的综合国力值Pp已经超越美国。因此，依照苏美两国的发展惯性，根据国力方程推算，在苏联被摧毁前夕，其综合国力仍然超过美国。“第一个如果”假设下苏联经济实力较大幅度提高，苏联综合国力只会比美国高出更多。</w:t>
      </w:r>
    </w:p>
    <w:p w14:paraId="077979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2.黄硕风对苏美综合国力的测算</w:t>
      </w:r>
    </w:p>
    <w:p w14:paraId="199584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人民解放军军事科学院大校黄硕风研究员是我国较早研究综合国力的学者，其对综合国力的研究在学术界颇有影响。为了近似地衡量一个国家的综合国力，找到准确反映综合国力系统的演化规律，黄硕风提出了综合国力动态方程理论，通过全面评估一个国家的硬实力（物质力）、软实力（精神力）、协同力（宏观协调控制力）和影响力函数，最终求得该国的综合国力。为了把构成综合国力的诸要素指标进行量化以便更准确地测算综合国力值，黄硕风独辟蹊径，对“硬”变量的计算采用指数法，“软”变量采用专家评分法，“协同”变量采用加权系数；对于一些不确定要素的量化采用模糊数学和灰色系统分析方法。由此出发，黄硕风对世界主要国家综合国力进行了系统评估对比。其中，关涉苏、美两国的对比数据如下：</w:t>
      </w:r>
    </w:p>
    <w:p w14:paraId="440A7E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表4   1989年苏美两国综合国力对比</w:t>
      </w:r>
    </w:p>
    <w:tbl>
      <w:tblPr>
        <w:tblStyle w:val="14"/>
        <w:tblW w:w="97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0"/>
        <w:gridCol w:w="720"/>
        <w:gridCol w:w="685"/>
        <w:gridCol w:w="661"/>
        <w:gridCol w:w="654"/>
        <w:gridCol w:w="648"/>
        <w:gridCol w:w="652"/>
        <w:gridCol w:w="619"/>
        <w:gridCol w:w="658"/>
        <w:gridCol w:w="762"/>
        <w:gridCol w:w="1372"/>
        <w:gridCol w:w="1076"/>
      </w:tblGrid>
      <w:tr w14:paraId="2B401668">
        <w:trPr>
          <w:trHeight w:val="1269" w:hRule="atLeast"/>
        </w:trPr>
        <w:tc>
          <w:tcPr>
            <w:tcW w:w="1210" w:type="dxa"/>
            <w:vMerge w:val="restart"/>
            <w:noWrap w:val="0"/>
            <w:vAlign w:val="top"/>
          </w:tcPr>
          <w:p w14:paraId="2367C6EA">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51B497B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056E0D24">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国别</w:t>
            </w:r>
          </w:p>
        </w:tc>
        <w:tc>
          <w:tcPr>
            <w:tcW w:w="2720" w:type="dxa"/>
            <w:gridSpan w:val="4"/>
            <w:noWrap w:val="0"/>
            <w:vAlign w:val="top"/>
          </w:tcPr>
          <w:p w14:paraId="55276DD7">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硬变量</w:t>
            </w:r>
          </w:p>
        </w:tc>
        <w:tc>
          <w:tcPr>
            <w:tcW w:w="648" w:type="dxa"/>
            <w:vMerge w:val="restart"/>
            <w:noWrap w:val="0"/>
            <w:vAlign w:val="top"/>
          </w:tcPr>
          <w:p w14:paraId="2CE659EE">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7E9663F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312A0E59">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α</w:t>
            </w:r>
          </w:p>
        </w:tc>
        <w:tc>
          <w:tcPr>
            <w:tcW w:w="1929" w:type="dxa"/>
            <w:gridSpan w:val="3"/>
            <w:noWrap w:val="0"/>
            <w:vAlign w:val="top"/>
          </w:tcPr>
          <w:p w14:paraId="03237157">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软变量</w:t>
            </w:r>
          </w:p>
        </w:tc>
        <w:tc>
          <w:tcPr>
            <w:tcW w:w="762" w:type="dxa"/>
            <w:vMerge w:val="restart"/>
            <w:noWrap w:val="0"/>
            <w:vAlign w:val="top"/>
          </w:tcPr>
          <w:p w14:paraId="65BCBC67">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46DB4F11">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0D281D3D">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β</w:t>
            </w:r>
          </w:p>
        </w:tc>
        <w:tc>
          <w:tcPr>
            <w:tcW w:w="1372" w:type="dxa"/>
            <w:noWrap w:val="0"/>
            <w:vAlign w:val="top"/>
          </w:tcPr>
          <w:p w14:paraId="76110CF4">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协同变量</w:t>
            </w:r>
          </w:p>
          <w:p w14:paraId="63C37556">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tc>
        <w:tc>
          <w:tcPr>
            <w:tcW w:w="1076" w:type="dxa"/>
            <w:vMerge w:val="restart"/>
            <w:noWrap w:val="0"/>
            <w:vAlign w:val="top"/>
          </w:tcPr>
          <w:p w14:paraId="1DEC3747">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318098D1">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p w14:paraId="62DD911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综合国力</w:t>
            </w:r>
          </w:p>
        </w:tc>
      </w:tr>
      <w:tr w14:paraId="2D935ED1">
        <w:trPr>
          <w:trHeight w:val="1269" w:hRule="atLeast"/>
        </w:trPr>
        <w:tc>
          <w:tcPr>
            <w:tcW w:w="1210" w:type="dxa"/>
            <w:vMerge w:val="continue"/>
            <w:noWrap w:val="0"/>
            <w:vAlign w:val="top"/>
          </w:tcPr>
          <w:p w14:paraId="216BFA17">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tc>
        <w:tc>
          <w:tcPr>
            <w:tcW w:w="720" w:type="dxa"/>
            <w:noWrap w:val="0"/>
            <w:vAlign w:val="top"/>
          </w:tcPr>
          <w:p w14:paraId="4533CBE5">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资源力</w:t>
            </w:r>
          </w:p>
        </w:tc>
        <w:tc>
          <w:tcPr>
            <w:tcW w:w="685" w:type="dxa"/>
            <w:noWrap w:val="0"/>
            <w:vAlign w:val="top"/>
          </w:tcPr>
          <w:p w14:paraId="4CCFA38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科技力</w:t>
            </w:r>
          </w:p>
        </w:tc>
        <w:tc>
          <w:tcPr>
            <w:tcW w:w="661" w:type="dxa"/>
            <w:noWrap w:val="0"/>
            <w:vAlign w:val="top"/>
          </w:tcPr>
          <w:p w14:paraId="3D0220E8">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经济力</w:t>
            </w:r>
          </w:p>
        </w:tc>
        <w:tc>
          <w:tcPr>
            <w:tcW w:w="654" w:type="dxa"/>
            <w:noWrap w:val="0"/>
            <w:vAlign w:val="top"/>
          </w:tcPr>
          <w:p w14:paraId="27B87479">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国防力</w:t>
            </w:r>
          </w:p>
        </w:tc>
        <w:tc>
          <w:tcPr>
            <w:tcW w:w="648" w:type="dxa"/>
            <w:vMerge w:val="continue"/>
            <w:noWrap w:val="0"/>
            <w:vAlign w:val="top"/>
          </w:tcPr>
          <w:p w14:paraId="52D73E7F">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tc>
        <w:tc>
          <w:tcPr>
            <w:tcW w:w="652" w:type="dxa"/>
            <w:noWrap w:val="0"/>
            <w:vAlign w:val="top"/>
          </w:tcPr>
          <w:p w14:paraId="333ED97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文教力</w:t>
            </w:r>
          </w:p>
        </w:tc>
        <w:tc>
          <w:tcPr>
            <w:tcW w:w="619" w:type="dxa"/>
            <w:noWrap w:val="0"/>
            <w:vAlign w:val="top"/>
          </w:tcPr>
          <w:p w14:paraId="2CC32652">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外交力</w:t>
            </w:r>
          </w:p>
        </w:tc>
        <w:tc>
          <w:tcPr>
            <w:tcW w:w="658" w:type="dxa"/>
            <w:noWrap w:val="0"/>
            <w:vAlign w:val="top"/>
          </w:tcPr>
          <w:p w14:paraId="57CDBE2F">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国民凝聚力</w:t>
            </w:r>
          </w:p>
        </w:tc>
        <w:tc>
          <w:tcPr>
            <w:tcW w:w="762" w:type="dxa"/>
            <w:vMerge w:val="continue"/>
            <w:noWrap w:val="0"/>
            <w:vAlign w:val="top"/>
          </w:tcPr>
          <w:p w14:paraId="490F5B20">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tc>
        <w:tc>
          <w:tcPr>
            <w:tcW w:w="1372" w:type="dxa"/>
            <w:noWrap w:val="0"/>
            <w:vAlign w:val="top"/>
          </w:tcPr>
          <w:p w14:paraId="4F75ED34">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协同力</w:t>
            </w:r>
          </w:p>
        </w:tc>
        <w:tc>
          <w:tcPr>
            <w:tcW w:w="1076" w:type="dxa"/>
            <w:vMerge w:val="continue"/>
            <w:noWrap w:val="0"/>
            <w:vAlign w:val="top"/>
          </w:tcPr>
          <w:p w14:paraId="38EB34F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p>
        </w:tc>
      </w:tr>
      <w:tr w14:paraId="097D5CD3">
        <w:trPr>
          <w:trHeight w:val="1698" w:hRule="atLeast"/>
        </w:trPr>
        <w:tc>
          <w:tcPr>
            <w:tcW w:w="1210" w:type="dxa"/>
            <w:noWrap w:val="0"/>
            <w:vAlign w:val="top"/>
          </w:tcPr>
          <w:p w14:paraId="17C34137">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苏联</w:t>
            </w:r>
          </w:p>
          <w:p w14:paraId="369F4FE8">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美国</w:t>
            </w:r>
          </w:p>
        </w:tc>
        <w:tc>
          <w:tcPr>
            <w:tcW w:w="720" w:type="dxa"/>
            <w:noWrap w:val="0"/>
            <w:vAlign w:val="top"/>
          </w:tcPr>
          <w:p w14:paraId="16A7E9BC">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98</w:t>
            </w:r>
          </w:p>
          <w:p w14:paraId="58765D1F">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92</w:t>
            </w:r>
          </w:p>
        </w:tc>
        <w:tc>
          <w:tcPr>
            <w:tcW w:w="685" w:type="dxa"/>
            <w:noWrap w:val="0"/>
            <w:vAlign w:val="top"/>
          </w:tcPr>
          <w:p w14:paraId="35ABD619">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156</w:t>
            </w:r>
          </w:p>
          <w:p w14:paraId="66046CDD">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234</w:t>
            </w:r>
          </w:p>
        </w:tc>
        <w:tc>
          <w:tcPr>
            <w:tcW w:w="661" w:type="dxa"/>
            <w:noWrap w:val="0"/>
            <w:vAlign w:val="top"/>
          </w:tcPr>
          <w:p w14:paraId="3A7D470D">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192</w:t>
            </w:r>
          </w:p>
          <w:p w14:paraId="3E8DA9A8">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269</w:t>
            </w:r>
          </w:p>
        </w:tc>
        <w:tc>
          <w:tcPr>
            <w:tcW w:w="654" w:type="dxa"/>
            <w:noWrap w:val="0"/>
            <w:vAlign w:val="top"/>
          </w:tcPr>
          <w:p w14:paraId="2163A96B">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248</w:t>
            </w:r>
          </w:p>
          <w:p w14:paraId="26147AEC">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249</w:t>
            </w:r>
          </w:p>
        </w:tc>
        <w:tc>
          <w:tcPr>
            <w:tcW w:w="648" w:type="dxa"/>
            <w:noWrap w:val="0"/>
            <w:vAlign w:val="top"/>
          </w:tcPr>
          <w:p w14:paraId="1CBE05C7">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0.78</w:t>
            </w:r>
          </w:p>
          <w:p w14:paraId="485175C1">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0.83</w:t>
            </w:r>
          </w:p>
        </w:tc>
        <w:tc>
          <w:tcPr>
            <w:tcW w:w="652" w:type="dxa"/>
            <w:noWrap w:val="0"/>
            <w:vAlign w:val="top"/>
          </w:tcPr>
          <w:p w14:paraId="3B27FDA2">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0.51</w:t>
            </w:r>
          </w:p>
          <w:p w14:paraId="35EA7539">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0.54</w:t>
            </w:r>
          </w:p>
        </w:tc>
        <w:tc>
          <w:tcPr>
            <w:tcW w:w="619" w:type="dxa"/>
            <w:noWrap w:val="0"/>
            <w:vAlign w:val="top"/>
          </w:tcPr>
          <w:p w14:paraId="46772F2E">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sz w:val="21"/>
                <w:szCs w:val="21"/>
              </w:rPr>
            </w:pPr>
            <w:r>
              <w:rPr>
                <w:rFonts w:hint="eastAsia"/>
                <w:sz w:val="21"/>
                <w:szCs w:val="21"/>
              </w:rPr>
              <w:t>0.60</w:t>
            </w:r>
          </w:p>
          <w:p w14:paraId="3373007D">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0.61</w:t>
            </w:r>
          </w:p>
        </w:tc>
        <w:tc>
          <w:tcPr>
            <w:tcW w:w="658" w:type="dxa"/>
            <w:noWrap w:val="0"/>
            <w:vAlign w:val="top"/>
          </w:tcPr>
          <w:p w14:paraId="6084B59B">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0.55</w:t>
            </w:r>
          </w:p>
          <w:p w14:paraId="2E12825E">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0.43</w:t>
            </w:r>
          </w:p>
        </w:tc>
        <w:tc>
          <w:tcPr>
            <w:tcW w:w="762" w:type="dxa"/>
            <w:noWrap w:val="0"/>
            <w:vAlign w:val="top"/>
          </w:tcPr>
          <w:p w14:paraId="10098B71">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0.71</w:t>
            </w:r>
          </w:p>
          <w:p w14:paraId="32C4B1E6">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0.72</w:t>
            </w:r>
          </w:p>
        </w:tc>
        <w:tc>
          <w:tcPr>
            <w:tcW w:w="1372" w:type="dxa"/>
            <w:noWrap w:val="0"/>
            <w:vAlign w:val="top"/>
          </w:tcPr>
          <w:p w14:paraId="237346F5">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1.64</w:t>
            </w:r>
          </w:p>
          <w:p w14:paraId="11D64A53">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sz w:val="21"/>
                <w:szCs w:val="21"/>
              </w:rPr>
            </w:pPr>
            <w:r>
              <w:rPr>
                <w:rFonts w:hint="eastAsia"/>
                <w:sz w:val="21"/>
                <w:szCs w:val="21"/>
              </w:rPr>
              <w:t>1.59</w:t>
            </w:r>
          </w:p>
        </w:tc>
        <w:tc>
          <w:tcPr>
            <w:tcW w:w="1076" w:type="dxa"/>
            <w:noWrap w:val="0"/>
            <w:vAlign w:val="top"/>
          </w:tcPr>
          <w:p w14:paraId="51716DF8">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386.72</w:t>
            </w:r>
          </w:p>
          <w:p w14:paraId="11394BA0">
            <w:pPr>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sz w:val="21"/>
                <w:szCs w:val="21"/>
              </w:rPr>
            </w:pPr>
            <w:r>
              <w:rPr>
                <w:rFonts w:hint="eastAsia"/>
                <w:sz w:val="21"/>
                <w:szCs w:val="21"/>
              </w:rPr>
              <w:t>593.33</w:t>
            </w:r>
          </w:p>
        </w:tc>
      </w:tr>
    </w:tbl>
    <w:p w14:paraId="7CED9E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资料来源：黄硕风《综合国力论》，北京：中国社会科学出版社，1992，第218页。</w:t>
      </w:r>
    </w:p>
    <w:p w14:paraId="7F3AFF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从上表可以看出，在黄硕风的测算中，苏联综合国力弱于美国，其中经济力落后较多，他认为苏美综合国力的竞争集中表现在“全方位经济战”上</w:t>
      </w:r>
      <w:r>
        <w:rPr>
          <w:rStyle w:val="20"/>
          <w:rFonts w:hint="eastAsia" w:ascii="宋体" w:hAnsi="宋体" w:eastAsia="宋体" w:cs="宋体"/>
          <w:color w:val="000000"/>
          <w:sz w:val="24"/>
          <w:szCs w:val="21"/>
        </w:rPr>
        <w:footnoteReference w:id="179"/>
      </w:r>
      <w:r>
        <w:rPr>
          <w:rFonts w:hint="eastAsia"/>
          <w:sz w:val="24"/>
        </w:rPr>
        <w:t>。“第一个如果”假设下，苏联国民收入提高1.6倍，其经济国力在20世纪70年代就已经超过美国。综合国力动态方程涉及的变量较多，苏联经济实力的提升必然会导致其他相关的“硬变量”随之升高，且硬弹性指数α同样会增加，其余变量、指数也会受到影响，仅仅通过对经济发展速度的理论测算难以得到精确的综合国力值。苏联在承受德国入侵带来的经济、文化、社会等多方面的损失的同时，仍表现出高于美国的发展速度，并在冷战期间显示出极强的综合国力，因而不难设想，苏联被摧毁前夕，在“第一个如果”下与苏联经济力大发展相适应的整个综合国力必然超过美国。</w:t>
      </w:r>
    </w:p>
    <w:p w14:paraId="0D44F6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综合上述不同学者、不同数据来源的各种研究成果，可以表明如果不是帝国主义德国法西斯强加给苏联的战争灾难，那么，1990年苏联在被摧毁之前的综合国力必定会超过美国。</w:t>
      </w:r>
    </w:p>
    <w:p w14:paraId="6958B4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13FB540">
      <w:pPr>
        <w:pStyle w:val="4"/>
        <w:bidi w:val="0"/>
        <w:rPr>
          <w:rFonts w:hint="eastAsia"/>
        </w:rPr>
      </w:pPr>
      <w:r>
        <w:rPr>
          <w:rFonts w:hint="eastAsia"/>
        </w:rPr>
        <w:t xml:space="preserve">三、“第二个如果”的历史可能性变化 </w:t>
      </w:r>
    </w:p>
    <w:p w14:paraId="6D1D00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1985年4月，新任苏共中央总书记</w:t>
      </w:r>
      <w:r>
        <w:rPr>
          <w:rFonts w:hint="eastAsia"/>
          <w:sz w:val="24"/>
          <w:lang w:val="ru-RU"/>
        </w:rPr>
        <w:t xml:space="preserve">М.С. </w:t>
      </w:r>
      <w:r>
        <w:rPr>
          <w:rFonts w:hint="eastAsia"/>
          <w:sz w:val="24"/>
        </w:rPr>
        <w:t>戈尔巴乔夫为首的叛徒集团逐渐实施了以摧毁苏联共产党、苏联的社会主义制度和世界社会主义阵营为目标的所谓改革，改革的结果是颠覆和瓦解了苏联，并以15个新的主权国家取而代之，国际共产主义运动遭受重大损失，世界和平、公正和文明受到严重冲击。被国内外敌对势力主动破坏和摧毁后的苏联迅速满目疮痍，经济、政治、社会、文化、军事等方面的倒退不可逆转。</w:t>
      </w:r>
    </w:p>
    <w:p w14:paraId="3E17A8F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 xml:space="preserve">  </w:t>
      </w:r>
      <w:r>
        <w:rPr>
          <w:rFonts w:hint="eastAsia"/>
          <w:sz w:val="24"/>
          <w:lang w:val="ru-RU"/>
        </w:rPr>
        <w:t>（一）苏联被摧毁的破坏性影响</w:t>
      </w:r>
    </w:p>
    <w:p w14:paraId="4FB945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经济方面，曾经的现代工业大国退化为原材料产地，国内生产总值断崖式跌落。从1991年苏联被摧毁到1999年，不到十年的时间，俄罗斯国内生产总值减少52%，其中，工业生产减少64.5%，农业生产减少60.4%；物价飞涨5000倍，卢布形同废纸</w:t>
      </w:r>
      <w:r>
        <w:rPr>
          <w:rStyle w:val="20"/>
          <w:rFonts w:hint="eastAsia" w:ascii="宋体" w:hAnsi="宋体" w:eastAsia="宋体" w:cs="宋体"/>
          <w:color w:val="000000"/>
          <w:sz w:val="24"/>
          <w:szCs w:val="21"/>
        </w:rPr>
        <w:footnoteReference w:id="180"/>
      </w:r>
      <w:r>
        <w:rPr>
          <w:rFonts w:hint="eastAsia"/>
          <w:sz w:val="24"/>
        </w:rPr>
        <w:t>。研究表明：“1990～1993年，其他独联体国家生产总值下降的幅度也很大，其中亚美尼亚下降的幅度超过50%，阿塞拜疆、哈萨克斯坦、吉尔吉斯斯坦、摩尔多瓦、塔吉克斯坦大约减少40%，乌克兰下降30%多，乌兹别克和白俄罗斯比较稳定，只降低17%和24%。”</w:t>
      </w:r>
      <w:r>
        <w:rPr>
          <w:rStyle w:val="20"/>
          <w:rFonts w:hint="eastAsia" w:ascii="宋体" w:hAnsi="宋体" w:eastAsia="宋体" w:cs="宋体"/>
          <w:color w:val="000000"/>
          <w:sz w:val="24"/>
          <w:szCs w:val="21"/>
        </w:rPr>
        <w:footnoteReference w:id="181"/>
      </w:r>
      <w:r>
        <w:rPr>
          <w:rFonts w:hint="eastAsia"/>
          <w:sz w:val="24"/>
        </w:rPr>
        <w:t>人才外流，经济、科技复兴的动力被截断</w:t>
      </w:r>
      <w:r>
        <w:rPr>
          <w:rStyle w:val="20"/>
          <w:rFonts w:hint="eastAsia" w:ascii="宋体" w:hAnsi="宋体" w:eastAsia="宋体" w:cs="宋体"/>
          <w:color w:val="000000"/>
          <w:sz w:val="24"/>
          <w:szCs w:val="21"/>
        </w:rPr>
        <w:footnoteReference w:id="182"/>
      </w:r>
      <w:r>
        <w:rPr>
          <w:rFonts w:hint="eastAsia"/>
          <w:sz w:val="24"/>
        </w:rPr>
        <w:t>。据曾任苏联部长会议机床制造和工具工业部部长的</w:t>
      </w:r>
      <w:r>
        <w:rPr>
          <w:rFonts w:hint="eastAsia"/>
          <w:sz w:val="24"/>
          <w:lang w:val="ru-RU"/>
        </w:rPr>
        <w:t>Н.А. 巴尼切夫回忆：“所有的工业研究机构在私有化后都实质性灭亡了……苏联在金属加工设备的生产中居世界第三位。当我于1986年领导该部时，我们的企业每年生产22万台不同的机器。而现在呢？不超过一万四千台。”</w:t>
      </w:r>
      <w:r>
        <w:rPr>
          <w:rStyle w:val="20"/>
          <w:rFonts w:hint="eastAsia" w:ascii="宋体" w:hAnsi="宋体" w:eastAsia="宋体" w:cs="宋体"/>
          <w:color w:val="000000"/>
          <w:sz w:val="24"/>
          <w:szCs w:val="21"/>
          <w:lang w:val="ru-RU"/>
        </w:rPr>
        <w:footnoteReference w:id="183"/>
      </w:r>
      <w:r>
        <w:rPr>
          <w:rFonts w:hint="eastAsia"/>
          <w:sz w:val="24"/>
          <w:lang w:val="ru-RU"/>
        </w:rPr>
        <w:t>事实上，</w:t>
      </w:r>
      <w:r>
        <w:rPr>
          <w:rFonts w:hint="eastAsia"/>
          <w:sz w:val="24"/>
        </w:rPr>
        <w:t>除了实行社会主义国有制占70%的白俄罗斯和有着丰富资源的哈萨克斯坦以外，其他原加盟共和国的经济在苏联被摧毁后也一落千丈，恢复和发展十分缓慢。</w:t>
      </w:r>
    </w:p>
    <w:p w14:paraId="395488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政治方面，国家治理能力下降，政局动荡。被摧毁后的苏联，各原加盟共和国纷纷向西方靠拢，效仿西方的政治制度，致使贪污腐败成风，政治公关和政治作秀令人眼花缭乱。“民意基金会2002年1月31日发表了俄罗斯腐败问题的全景报告，59%的俄罗斯公民认为，俄罗斯政府官员的腐败程度位居世界前10位，只有5%的人认为俄罗斯是世界上最清廉的国家。”</w:t>
      </w:r>
      <w:r>
        <w:rPr>
          <w:rStyle w:val="20"/>
          <w:rFonts w:hint="eastAsia" w:ascii="宋体" w:hAnsi="宋体" w:eastAsia="宋体" w:cs="宋体"/>
          <w:color w:val="000000"/>
          <w:sz w:val="24"/>
          <w:szCs w:val="21"/>
        </w:rPr>
        <w:footnoteReference w:id="184"/>
      </w:r>
      <w:r>
        <w:rPr>
          <w:rFonts w:hint="eastAsia"/>
          <w:sz w:val="24"/>
        </w:rPr>
        <w:t>一些独联体国家也频繁出现政局动荡。乌克兰在2004年爆发“橙色革命”后, 又再次于2014年爆发颜色革命。2020年10月5日，吉尔吉斯斯坦曾爆发抗议活动，反对派支持者占领了位于首都比什凯克、集总统府和议会办公地点为一体的政府大楼，导致总统热恩别科夫宣布辞职，议会选举结果被取消。</w:t>
      </w:r>
    </w:p>
    <w:p w14:paraId="258A74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文化方面，社会理想信念崩塌，人民精神风貌倒退。“在苏维埃执政的岁月里，人民的精神生活、文化水平得到了不可估量的丰富，政治觉悟也得到了提高”</w:t>
      </w:r>
      <w:r>
        <w:rPr>
          <w:rStyle w:val="20"/>
          <w:rFonts w:hint="eastAsia" w:ascii="宋体" w:hAnsi="宋体" w:eastAsia="宋体" w:cs="宋体"/>
          <w:color w:val="000000"/>
          <w:sz w:val="24"/>
          <w:szCs w:val="21"/>
        </w:rPr>
        <w:footnoteReference w:id="185"/>
      </w:r>
      <w:r>
        <w:rPr>
          <w:rFonts w:hint="eastAsia"/>
          <w:sz w:val="24"/>
        </w:rPr>
        <w:t>。在苏联被摧毁后，俄罗斯社会科学研究院院士、莫斯科大学原第一副校长</w:t>
      </w:r>
      <w:r>
        <w:rPr>
          <w:rFonts w:hint="eastAsia"/>
          <w:sz w:val="24"/>
          <w:lang w:val="ru-RU"/>
        </w:rPr>
        <w:t xml:space="preserve">В.И. </w:t>
      </w:r>
      <w:r>
        <w:rPr>
          <w:rFonts w:hint="eastAsia"/>
          <w:sz w:val="24"/>
        </w:rPr>
        <w:t>多博林科夫指出：“俄罗斯近年来所遭受的精神和物质损失无法计量。实际上，所谓的改革使俄罗斯倒退了20～30年，有些精神损失，无法估量。”</w:t>
      </w:r>
      <w:r>
        <w:rPr>
          <w:rStyle w:val="20"/>
          <w:rFonts w:hint="eastAsia" w:ascii="宋体" w:hAnsi="宋体" w:eastAsia="宋体" w:cs="宋体"/>
          <w:color w:val="000000"/>
          <w:sz w:val="24"/>
          <w:szCs w:val="21"/>
        </w:rPr>
        <w:footnoteReference w:id="186"/>
      </w:r>
      <w:r>
        <w:rPr>
          <w:rFonts w:hint="eastAsia"/>
          <w:sz w:val="24"/>
        </w:rPr>
        <w:t>如今的俄罗斯，原来基于社会主义的理想信念和伦理道德大厦崩塌，新的善恶标准尚未确立，社会上出现了明显的思想真空，人们的精神风貌全面倒退。生活悲惨加上道德空虚，致使自杀率迅速攀升。1990年俄罗斯有2.64万人自杀，1998年为3.54万人，2001年高达3.97万人，2020年高达4.51万人。同时，社会文化也迅速庸俗化，导致极端民族主义的抬头。1991年后，俄罗斯提出了一切类型的艺术都必须“俄罗斯民族化”的政策，甚至“认为苏联是完全依靠俄罗斯民族的力量才实现了工业化，是完全依靠俄罗斯民族才粉碎了德国法西斯并取得了举世瞩目的航天成就……其实质是为了利用民族情绪去压制被剥削者的阶级意识。”</w:t>
      </w:r>
      <w:r>
        <w:rPr>
          <w:rStyle w:val="20"/>
          <w:rFonts w:hint="eastAsia" w:ascii="宋体" w:hAnsi="宋体" w:eastAsia="宋体" w:cs="宋体"/>
          <w:color w:val="000000"/>
          <w:sz w:val="24"/>
          <w:szCs w:val="21"/>
        </w:rPr>
        <w:footnoteReference w:id="187"/>
      </w:r>
    </w:p>
    <w:p w14:paraId="6C2612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社会方面，贫富分化严重，民生凋敝，人口锐减。根据雷日科夫提供的数据，“苏联统一经济空间、国民经济和科学的破坏，产生了近千万的失业大军……1998年的失业人口在超过2500万”；“比较幸运的20%的居民身上，集中了一半以上的国民总收入，而收入的主要部分，则为200～300个家族据为己有，他们攫取了国家财富的绝大部分，同时也攫取了国家的权力。”</w:t>
      </w:r>
      <w:r>
        <w:rPr>
          <w:rStyle w:val="20"/>
          <w:rFonts w:hint="eastAsia" w:ascii="宋体" w:hAnsi="宋体" w:eastAsia="宋体" w:cs="宋体"/>
          <w:color w:val="000000"/>
          <w:sz w:val="24"/>
          <w:szCs w:val="21"/>
        </w:rPr>
        <w:footnoteReference w:id="188"/>
      </w:r>
      <w:r>
        <w:rPr>
          <w:rFonts w:hint="eastAsia"/>
          <w:sz w:val="24"/>
        </w:rPr>
        <w:t>1989年10%最贫穷人口收入与10%最富裕人口收入之比为1比4.7，而1999年这个比例为1比80。根据叶戈罗夫的统计，现在俄罗斯最富有的100位亿万富翁占据了整个社会90%以上的财富。2000万贫困人口生活悲惨——就是说，每7个人中，就有一个生活在贫困之中</w:t>
      </w:r>
      <w:r>
        <w:rPr>
          <w:rStyle w:val="20"/>
          <w:rFonts w:hint="eastAsia" w:ascii="宋体" w:hAnsi="宋体" w:eastAsia="宋体" w:cs="宋体"/>
          <w:color w:val="000000"/>
          <w:sz w:val="24"/>
          <w:szCs w:val="21"/>
        </w:rPr>
        <w:footnoteReference w:id="189"/>
      </w:r>
      <w:r>
        <w:rPr>
          <w:rFonts w:hint="eastAsia"/>
          <w:sz w:val="24"/>
        </w:rPr>
        <w:t>。对此，曾任俄罗斯副总理兼财政部长的</w:t>
      </w:r>
      <w:r>
        <w:rPr>
          <w:rFonts w:hint="eastAsia"/>
          <w:sz w:val="24"/>
          <w:lang w:val="ru-RU"/>
        </w:rPr>
        <w:t xml:space="preserve">А.Л. </w:t>
      </w:r>
      <w:r>
        <w:rPr>
          <w:rFonts w:hint="eastAsia"/>
          <w:sz w:val="24"/>
        </w:rPr>
        <w:t>库德林曾在2021年接受采访时承认：“直到2004-2006 年左右，俄罗斯的公民的生活水平才恢复到了1990年的苏联公民的平均生活水平……而且必须指出目前我国的社会的贫富差距也是极其高的。在苏联时代基本不存在贫富差距，而现在的差异化非常高。”</w:t>
      </w:r>
      <w:r>
        <w:rPr>
          <w:rStyle w:val="20"/>
          <w:rFonts w:hint="eastAsia" w:ascii="宋体" w:hAnsi="宋体" w:eastAsia="宋体" w:cs="宋体"/>
          <w:color w:val="000000"/>
          <w:sz w:val="24"/>
          <w:szCs w:val="21"/>
        </w:rPr>
        <w:footnoteReference w:id="190"/>
      </w:r>
      <w:r>
        <w:rPr>
          <w:rFonts w:hint="eastAsia"/>
          <w:sz w:val="24"/>
        </w:rPr>
        <w:t>另外，犯罪率高、酗酒、精神疾病、无家可归、流浪儿童、卖淫和性病等社会问题也愈发严峻。各独联体国家也面临愈发严峻的人口问题，俄罗斯科学院院士</w:t>
      </w:r>
      <w:r>
        <w:rPr>
          <w:rFonts w:hint="eastAsia"/>
          <w:sz w:val="24"/>
          <w:lang w:val="ru-RU"/>
        </w:rPr>
        <w:t xml:space="preserve">А.Г. </w:t>
      </w:r>
      <w:r>
        <w:rPr>
          <w:rFonts w:hint="eastAsia"/>
          <w:sz w:val="24"/>
        </w:rPr>
        <w:t>阿甘别吉扬在2022年的最新文章中指出：“苏联被摧毁后在俄罗斯苏维埃联邦社会主义共和国基础上形成的新俄罗斯正在逐渐消亡。在俄罗斯长达20年的人口危机（1992-2012）期间——出生率急剧下降，死亡率迅速上升 ，其结果就是人口迅速减少。总的来说，这些年来自然人口总数下降的估计为1350万人。”</w:t>
      </w:r>
      <w:r>
        <w:rPr>
          <w:rStyle w:val="20"/>
          <w:rFonts w:hint="eastAsia" w:ascii="宋体" w:hAnsi="宋体" w:eastAsia="宋体" w:cs="宋体"/>
          <w:color w:val="000000"/>
          <w:sz w:val="24"/>
          <w:szCs w:val="21"/>
        </w:rPr>
        <w:footnoteReference w:id="191"/>
      </w:r>
    </w:p>
    <w:p w14:paraId="54C161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军事方面，军事实力衰落，来自北约的军事扩张日益严重。苏联被摧毁后，许多令西方世界瞩目的现代化军工企业难以继续维持而被迫放弃已有的先进技术设备，只能转向其他一般产品的生产。譬如领先世界的某些航空航天企业，改行生产简单的日用品。俄共中央主席</w:t>
      </w:r>
      <w:r>
        <w:rPr>
          <w:rFonts w:hint="eastAsia"/>
          <w:sz w:val="24"/>
          <w:lang w:val="ru-RU"/>
        </w:rPr>
        <w:t>Г.А. 久加诺夫曾无比沉痛地回忆道：“为什么苏联能成为20世纪最勇敢并取得最大胜利的国家?为什么它能够第一个迈入太空?又为什么由它创造了核均势？这是因为当时我们的国家是为劳动人民服务的，并以兄弟情谊和正义的理想为指导。”</w:t>
      </w:r>
      <w:r>
        <w:rPr>
          <w:rStyle w:val="20"/>
          <w:rFonts w:hint="eastAsia" w:ascii="宋体" w:hAnsi="宋体" w:eastAsia="宋体" w:cs="宋体"/>
          <w:color w:val="000000"/>
          <w:sz w:val="24"/>
          <w:szCs w:val="21"/>
          <w:lang w:val="ru-RU"/>
        </w:rPr>
        <w:footnoteReference w:id="192"/>
      </w:r>
      <w:r>
        <w:rPr>
          <w:rFonts w:hint="eastAsia"/>
          <w:sz w:val="24"/>
          <w:lang w:val="ru-RU"/>
        </w:rPr>
        <w:t>而在苏联被摧毁后，这一切都化为了泡影。军事实力的衰落使得俄罗斯的威慑能力下降，</w:t>
      </w:r>
      <w:r>
        <w:rPr>
          <w:rFonts w:hint="eastAsia"/>
          <w:sz w:val="24"/>
        </w:rPr>
        <w:t>北约不断东扩，军事直逼和包围俄罗斯，乌克兰企图加入北约直接导致俄罗斯被迫于2022年2月在顿巴斯地区开展“特别军事行动”进行反击。</w:t>
      </w:r>
    </w:p>
    <w:p w14:paraId="5D1B3B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（二）“第二个如果”下对苏联经济国力的理论测算</w:t>
      </w:r>
    </w:p>
    <w:p w14:paraId="5EA8EB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个如果”的假设是指如果苏联没有被国内外敌对势力摧毁，按照苏美两国发展的惯性，2020年苏联的综合国力将超过美国。经济国力是综合国力的重要基础和组成部分，可以通过计算苏联被摧毁前的年均增长率来推算“第二个如果”。</w:t>
      </w:r>
    </w:p>
    <w:p w14:paraId="0F10B1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按苏联惯用的统计方法计算，1976年苏联的国民收入总额的绝对数为6220亿美元</w:t>
      </w:r>
      <w:r>
        <w:rPr>
          <w:rStyle w:val="20"/>
          <w:rFonts w:hint="eastAsia" w:ascii="宋体" w:hAnsi="宋体" w:eastAsia="宋体" w:cs="宋体"/>
          <w:color w:val="000000"/>
          <w:sz w:val="24"/>
          <w:szCs w:val="21"/>
        </w:rPr>
        <w:footnoteReference w:id="193"/>
      </w:r>
      <w:r>
        <w:rPr>
          <w:rFonts w:hint="eastAsia"/>
          <w:sz w:val="24"/>
        </w:rPr>
        <w:t>（按比价计算），根据苏联统计年鉴中给出的国民收入指数</w:t>
      </w:r>
      <w:r>
        <w:rPr>
          <w:rStyle w:val="20"/>
          <w:rFonts w:hint="eastAsia" w:ascii="宋体" w:hAnsi="宋体" w:eastAsia="宋体" w:cs="宋体"/>
          <w:color w:val="000000"/>
          <w:sz w:val="24"/>
          <w:szCs w:val="21"/>
        </w:rPr>
        <w:footnoteReference w:id="194"/>
      </w:r>
      <w:r>
        <w:rPr>
          <w:rFonts w:hint="eastAsia"/>
          <w:sz w:val="24"/>
        </w:rPr>
        <w:t>，可以计算得出1985年苏联国民收入约9037亿美元。戈尔巴乔夫对苏联和社会主义的背叛不仅仅体现在摧毁社会主义苏联上，也表现在其执政期间的一系列背叛社会主义的改革措施所导致的苏联经济发展速度下降上，因而对苏联经济的理论测算应当采用戈尔巴乔夫上台之前苏联的平均增长速度。1961-1985年苏联年均增长5.6%</w:t>
      </w:r>
      <w:r>
        <w:rPr>
          <w:rStyle w:val="20"/>
          <w:rFonts w:hint="eastAsia" w:ascii="宋体" w:hAnsi="宋体" w:eastAsia="宋体" w:cs="宋体"/>
          <w:color w:val="000000"/>
          <w:sz w:val="24"/>
          <w:szCs w:val="21"/>
        </w:rPr>
        <w:footnoteReference w:id="195"/>
      </w:r>
      <w:r>
        <w:rPr>
          <w:rFonts w:hint="eastAsia"/>
          <w:sz w:val="24"/>
        </w:rPr>
        <w:t>，按照这一年均增长率，以1985年苏联国民收入为起始值，可得2020年苏联国民收入为60850亿美元。2020年美国国民收入为212866亿美元</w:t>
      </w:r>
      <w:r>
        <w:rPr>
          <w:rStyle w:val="20"/>
          <w:rFonts w:hint="eastAsia" w:ascii="宋体" w:hAnsi="宋体" w:eastAsia="宋体" w:cs="宋体"/>
          <w:color w:val="000000"/>
          <w:sz w:val="24"/>
          <w:szCs w:val="21"/>
        </w:rPr>
        <w:footnoteReference w:id="196"/>
      </w:r>
      <w:r>
        <w:rPr>
          <w:rFonts w:hint="eastAsia"/>
          <w:sz w:val="24"/>
        </w:rPr>
        <w:t>，非生产领域服务业占比约72%</w:t>
      </w:r>
      <w:r>
        <w:rPr>
          <w:rStyle w:val="20"/>
          <w:rFonts w:hint="eastAsia" w:ascii="宋体" w:hAnsi="宋体" w:eastAsia="宋体" w:cs="宋体"/>
          <w:color w:val="000000"/>
          <w:sz w:val="24"/>
          <w:szCs w:val="21"/>
        </w:rPr>
        <w:footnoteReference w:id="197"/>
      </w:r>
      <w:r>
        <w:rPr>
          <w:rFonts w:hint="eastAsia"/>
          <w:sz w:val="24"/>
        </w:rPr>
        <w:t>，因而可得2020年美国生产领域国民收入约为59602.48亿美元。可以看到，2020年苏联国民收入是美国的1.02倍。苏联统计年鉴中给出的1961-1985年国民收入年均增长率是基于可比价格的增长率，没有包含价格变动因素。在苏联，没有“消费篮子”或“消费价格变化水平”的概念，根据“国家零售价格指数”、“国家和合作贸易零售价格指数”等数据，1960年至1985年间，苏联所有商品的国家零售价格平均上涨了7.9%，不包括酒精饮料，上涨了4.7%</w:t>
      </w:r>
      <w:r>
        <w:rPr>
          <w:rStyle w:val="20"/>
          <w:rFonts w:hint="eastAsia" w:ascii="宋体" w:hAnsi="宋体" w:eastAsia="宋体" w:cs="宋体"/>
          <w:color w:val="000000"/>
          <w:sz w:val="24"/>
          <w:szCs w:val="21"/>
        </w:rPr>
        <w:footnoteReference w:id="198"/>
      </w:r>
      <w:r>
        <w:rPr>
          <w:rFonts w:hint="eastAsia"/>
          <w:sz w:val="24"/>
        </w:rPr>
        <w:t>，而美国的国民收入数据中包含了价格变动因素，因此采用1961-1985年苏联国民收入年均增长率的估算结果实质上是低估了2020年苏联的国民收入，如果考虑价格变动因素，苏联的国民收入总额会高出美国更多。可见，如果苏联没有被摧毁，而是按照1961-1985的年均增长率继续发展下去，那么2020年之前苏联的国民收入必然超过美国。</w:t>
      </w:r>
    </w:p>
    <w:p w14:paraId="46E2C9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（三）“第二个如果”假设下对苏美综合国力的理论预测</w:t>
      </w:r>
    </w:p>
    <w:p w14:paraId="41AC00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事实上，如果没有</w:t>
      </w:r>
      <w:r>
        <w:rPr>
          <w:rFonts w:hint="eastAsia"/>
          <w:sz w:val="24"/>
          <w:lang w:val="ru-RU"/>
        </w:rPr>
        <w:t xml:space="preserve">М.С. </w:t>
      </w:r>
      <w:r>
        <w:rPr>
          <w:rFonts w:hint="eastAsia"/>
          <w:sz w:val="24"/>
        </w:rPr>
        <w:t>戈尔巴乔夫、</w:t>
      </w:r>
      <w:r>
        <w:rPr>
          <w:rFonts w:hint="eastAsia"/>
          <w:sz w:val="24"/>
          <w:lang w:val="ru-RU"/>
        </w:rPr>
        <w:t>Б</w:t>
      </w:r>
      <w:r>
        <w:rPr>
          <w:rFonts w:hint="eastAsia"/>
          <w:sz w:val="24"/>
        </w:rPr>
        <w:t>.</w:t>
      </w:r>
      <w:r>
        <w:rPr>
          <w:rFonts w:hint="eastAsia"/>
          <w:sz w:val="24"/>
          <w:lang w:val="ru-RU"/>
        </w:rPr>
        <w:t xml:space="preserve">Н. </w:t>
      </w:r>
      <w:r>
        <w:rPr>
          <w:rFonts w:hint="eastAsia"/>
          <w:sz w:val="24"/>
        </w:rPr>
        <w:t>叶利钦领导集团的背叛和非法瓦解苏联，按照苏、美两国的发展惯性，不仅是从以国民收入为代表的经济国力来看，而且从综合国力来看，苏联都将远超美国。</w:t>
      </w:r>
    </w:p>
    <w:p w14:paraId="2F62B9A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1.基于克莱因国力方程的苏美综合国力的理论测算</w:t>
      </w:r>
    </w:p>
    <w:p w14:paraId="76A2D6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克莱因的“国力方程”中经济能力E包括国民生产总值和产业结构，两者满分皆为一百分，经济能力共计满分200分。克莱因对苏美国力评估的结果显示，1975年-1978年美国经济力得分分别为200、174和146，同期苏联经济力得分为160、105、85。使用国民收入代替国民生产总值来衡量两国的经济力相对大小</w:t>
      </w:r>
      <w:r>
        <w:rPr>
          <w:rStyle w:val="20"/>
          <w:rFonts w:hint="eastAsia" w:ascii="宋体" w:hAnsi="宋体" w:eastAsia="宋体" w:cs="宋体"/>
          <w:color w:val="000000"/>
          <w:sz w:val="24"/>
          <w:szCs w:val="21"/>
        </w:rPr>
        <w:footnoteReference w:id="199"/>
      </w:r>
      <w:r>
        <w:rPr>
          <w:rFonts w:hint="eastAsia"/>
          <w:sz w:val="24"/>
        </w:rPr>
        <w:t>，不考虑其他因素的情况下，即保持1978年其余各项得分不变，只考虑经济能力的变化，使用前文关于2020年苏联国民收入的预测值和美国生产领域的国民收入值，可以得到2020年苏美综合国力的理论测算值，如下表所示：</w:t>
      </w:r>
    </w:p>
    <w:p w14:paraId="0AC5F8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表5 基于克莱因国力方程的苏美综合国力的理论测算</w:t>
      </w:r>
    </w:p>
    <w:tbl>
      <w:tblPr>
        <w:tblStyle w:val="14"/>
        <w:tblW w:w="0" w:type="auto"/>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0"/>
        <w:gridCol w:w="885"/>
        <w:gridCol w:w="1037"/>
        <w:gridCol w:w="1063"/>
        <w:gridCol w:w="1063"/>
        <w:gridCol w:w="1001"/>
        <w:gridCol w:w="1001"/>
        <w:gridCol w:w="1246"/>
      </w:tblGrid>
      <w:tr w14:paraId="70078F5B">
        <w:tc>
          <w:tcPr>
            <w:tcW w:w="817" w:type="dxa"/>
            <w:noWrap w:val="0"/>
            <w:vAlign w:val="top"/>
          </w:tcPr>
          <w:p w14:paraId="38FF56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年份</w:t>
            </w:r>
          </w:p>
        </w:tc>
        <w:tc>
          <w:tcPr>
            <w:tcW w:w="992" w:type="dxa"/>
            <w:noWrap w:val="0"/>
            <w:vAlign w:val="top"/>
          </w:tcPr>
          <w:p w14:paraId="142B08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国别</w:t>
            </w:r>
          </w:p>
        </w:tc>
        <w:tc>
          <w:tcPr>
            <w:tcW w:w="925" w:type="dxa"/>
            <w:noWrap w:val="0"/>
            <w:vAlign w:val="top"/>
          </w:tcPr>
          <w:p w14:paraId="0A2968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C</w:t>
            </w:r>
          </w:p>
        </w:tc>
        <w:tc>
          <w:tcPr>
            <w:tcW w:w="1336" w:type="dxa"/>
            <w:noWrap w:val="0"/>
            <w:vAlign w:val="top"/>
          </w:tcPr>
          <w:p w14:paraId="7BB3CD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E</w:t>
            </w:r>
          </w:p>
        </w:tc>
        <w:tc>
          <w:tcPr>
            <w:tcW w:w="1336" w:type="dxa"/>
            <w:noWrap w:val="0"/>
            <w:vAlign w:val="top"/>
          </w:tcPr>
          <w:p w14:paraId="660134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M</w:t>
            </w:r>
          </w:p>
        </w:tc>
        <w:tc>
          <w:tcPr>
            <w:tcW w:w="1332" w:type="dxa"/>
            <w:noWrap w:val="0"/>
            <w:vAlign w:val="top"/>
          </w:tcPr>
          <w:p w14:paraId="4BF9FF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S</w:t>
            </w:r>
          </w:p>
        </w:tc>
        <w:tc>
          <w:tcPr>
            <w:tcW w:w="1332" w:type="dxa"/>
            <w:noWrap w:val="0"/>
            <w:vAlign w:val="top"/>
          </w:tcPr>
          <w:p w14:paraId="6CE939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w:t>
            </w:r>
          </w:p>
        </w:tc>
        <w:tc>
          <w:tcPr>
            <w:tcW w:w="1336" w:type="dxa"/>
            <w:noWrap w:val="0"/>
            <w:vAlign w:val="top"/>
          </w:tcPr>
          <w:p w14:paraId="63C9A1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Pp</w:t>
            </w:r>
          </w:p>
        </w:tc>
      </w:tr>
      <w:tr w14:paraId="7DA2B6C3">
        <w:trPr>
          <w:trHeight w:val="377" w:hRule="atLeast"/>
        </w:trPr>
        <w:tc>
          <w:tcPr>
            <w:tcW w:w="817" w:type="dxa"/>
            <w:vMerge w:val="restart"/>
            <w:noWrap w:val="0"/>
            <w:vAlign w:val="top"/>
          </w:tcPr>
          <w:p w14:paraId="57758B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2020</w:t>
            </w:r>
          </w:p>
        </w:tc>
        <w:tc>
          <w:tcPr>
            <w:tcW w:w="992" w:type="dxa"/>
            <w:noWrap w:val="0"/>
            <w:vAlign w:val="top"/>
          </w:tcPr>
          <w:p w14:paraId="1D131C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苏联</w:t>
            </w:r>
          </w:p>
        </w:tc>
        <w:tc>
          <w:tcPr>
            <w:tcW w:w="925" w:type="dxa"/>
            <w:noWrap w:val="0"/>
            <w:vAlign w:val="top"/>
          </w:tcPr>
          <w:p w14:paraId="77E9A8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100</w:t>
            </w:r>
          </w:p>
        </w:tc>
        <w:tc>
          <w:tcPr>
            <w:tcW w:w="1336" w:type="dxa"/>
            <w:noWrap w:val="0"/>
            <w:vAlign w:val="top"/>
          </w:tcPr>
          <w:p w14:paraId="38CA13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136</w:t>
            </w:r>
          </w:p>
        </w:tc>
        <w:tc>
          <w:tcPr>
            <w:tcW w:w="1336" w:type="dxa"/>
            <w:noWrap w:val="0"/>
            <w:vAlign w:val="top"/>
          </w:tcPr>
          <w:p w14:paraId="0EB1F3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190</w:t>
            </w:r>
          </w:p>
        </w:tc>
        <w:tc>
          <w:tcPr>
            <w:tcW w:w="1332" w:type="dxa"/>
            <w:noWrap w:val="0"/>
            <w:vAlign w:val="top"/>
          </w:tcPr>
          <w:p w14:paraId="1DE9A3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0.7</w:t>
            </w:r>
          </w:p>
        </w:tc>
        <w:tc>
          <w:tcPr>
            <w:tcW w:w="1332" w:type="dxa"/>
            <w:noWrap w:val="0"/>
            <w:vAlign w:val="top"/>
          </w:tcPr>
          <w:p w14:paraId="334F69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0.5</w:t>
            </w:r>
          </w:p>
        </w:tc>
        <w:tc>
          <w:tcPr>
            <w:tcW w:w="1336" w:type="dxa"/>
            <w:noWrap w:val="0"/>
            <w:vAlign w:val="top"/>
          </w:tcPr>
          <w:p w14:paraId="1BED58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511.2</w:t>
            </w:r>
          </w:p>
        </w:tc>
      </w:tr>
      <w:tr w14:paraId="155FD49A">
        <w:trPr>
          <w:trHeight w:val="94" w:hRule="atLeast"/>
        </w:trPr>
        <w:tc>
          <w:tcPr>
            <w:tcW w:w="817" w:type="dxa"/>
            <w:vMerge w:val="continue"/>
            <w:noWrap w:val="0"/>
            <w:vAlign w:val="top"/>
          </w:tcPr>
          <w:p w14:paraId="546D15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tc>
        <w:tc>
          <w:tcPr>
            <w:tcW w:w="992" w:type="dxa"/>
            <w:noWrap w:val="0"/>
            <w:vAlign w:val="top"/>
          </w:tcPr>
          <w:p w14:paraId="65636F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美国</w:t>
            </w:r>
          </w:p>
        </w:tc>
        <w:tc>
          <w:tcPr>
            <w:tcW w:w="925" w:type="dxa"/>
            <w:noWrap w:val="0"/>
            <w:vAlign w:val="top"/>
          </w:tcPr>
          <w:p w14:paraId="37EB0D4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100</w:t>
            </w:r>
          </w:p>
        </w:tc>
        <w:tc>
          <w:tcPr>
            <w:tcW w:w="1336" w:type="dxa"/>
            <w:noWrap w:val="0"/>
            <w:vAlign w:val="top"/>
          </w:tcPr>
          <w:p w14:paraId="71B295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144</w:t>
            </w:r>
          </w:p>
        </w:tc>
        <w:tc>
          <w:tcPr>
            <w:tcW w:w="1336" w:type="dxa"/>
            <w:noWrap w:val="0"/>
            <w:vAlign w:val="top"/>
          </w:tcPr>
          <w:p w14:paraId="1594494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200</w:t>
            </w:r>
          </w:p>
        </w:tc>
        <w:tc>
          <w:tcPr>
            <w:tcW w:w="1332" w:type="dxa"/>
            <w:noWrap w:val="0"/>
            <w:vAlign w:val="top"/>
          </w:tcPr>
          <w:p w14:paraId="12AB474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0.3</w:t>
            </w:r>
          </w:p>
        </w:tc>
        <w:tc>
          <w:tcPr>
            <w:tcW w:w="1332" w:type="dxa"/>
            <w:noWrap w:val="0"/>
            <w:vAlign w:val="top"/>
          </w:tcPr>
          <w:p w14:paraId="5E3340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0.4</w:t>
            </w:r>
          </w:p>
        </w:tc>
        <w:tc>
          <w:tcPr>
            <w:tcW w:w="1336" w:type="dxa"/>
            <w:noWrap w:val="0"/>
            <w:vAlign w:val="top"/>
          </w:tcPr>
          <w:p w14:paraId="519C8C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310.8</w:t>
            </w:r>
          </w:p>
        </w:tc>
      </w:tr>
    </w:tbl>
    <w:p w14:paraId="79B8D9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数据来源：根据克莱因《80年代世界权利趋势及美国外交政策》、黄硕风《综合国力论》和前文数据整理得到</w:t>
      </w:r>
    </w:p>
    <w:p w14:paraId="11117E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这里没有考虑经济能力中的产业结构</w:t>
      </w:r>
      <w:r>
        <w:rPr>
          <w:rStyle w:val="20"/>
          <w:rFonts w:hint="eastAsia" w:ascii="宋体" w:hAnsi="宋体" w:eastAsia="宋体" w:cs="宋体"/>
          <w:color w:val="000000"/>
          <w:sz w:val="24"/>
          <w:szCs w:val="21"/>
        </w:rPr>
        <w:footnoteReference w:id="200"/>
      </w:r>
      <w:r>
        <w:rPr>
          <w:rFonts w:hint="eastAsia"/>
          <w:sz w:val="24"/>
        </w:rPr>
        <w:t>，而只是根据2020年苏美两国国民收入比例调整了两国的经济能力得分，其中以国民收入较高的国家为满分100，另一个国家按国民收入比例赋分，因此这里的综合国力指数的绝对值实质上并不完全具有真实意义，但依然可以近似地反映苏美两国的综合国力。从表中可以看到，2020年苏联综合国力高于美国。即使不使用美国生产领域的国民收入值而使用其全部值，即此时经济能力以美国为满分100分，结果依然是苏联高于美国（苏联382.3、美国312.2）。不论是采用哪种数据，在“第二个如果”下，苏联的综合国力都要超过美国。</w:t>
      </w:r>
    </w:p>
    <w:p w14:paraId="78604D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2.基于综合国力动态方程模型的苏美综合国力的理论测算</w:t>
      </w:r>
    </w:p>
    <w:p w14:paraId="1F855B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黄硕风运用综合国力动态方程模型，采用“超前趋势分析法”，对苏、美两国综合国力进行了大致的预测。以1989年苏联的综合国力值386.72、美国的综合国力值593.33为基点，按照几十年来苏、美两国的历史增长数据，预估苏联和美国综合国力值的增长率分别为4.4%和2.7%，到2020年，苏美国综合国力对比如下表所示：</w:t>
      </w:r>
    </w:p>
    <w:p w14:paraId="64D0F4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表6： 2020年苏美两国综合国力对比</w:t>
      </w:r>
    </w:p>
    <w:tbl>
      <w:tblPr>
        <w:tblStyle w:val="14"/>
        <w:tblW w:w="0" w:type="auto"/>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2897"/>
        <w:gridCol w:w="1854"/>
        <w:gridCol w:w="2210"/>
      </w:tblGrid>
      <w:tr w14:paraId="49C41903">
        <w:tc>
          <w:tcPr>
            <w:tcW w:w="1453" w:type="dxa"/>
            <w:noWrap w:val="0"/>
            <w:vAlign w:val="top"/>
          </w:tcPr>
          <w:p w14:paraId="3D29B4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国别</w:t>
            </w:r>
          </w:p>
        </w:tc>
        <w:tc>
          <w:tcPr>
            <w:tcW w:w="2897" w:type="dxa"/>
            <w:noWrap w:val="0"/>
            <w:vAlign w:val="top"/>
          </w:tcPr>
          <w:p w14:paraId="370F8E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1989年综合国力</w:t>
            </w:r>
          </w:p>
        </w:tc>
        <w:tc>
          <w:tcPr>
            <w:tcW w:w="1854" w:type="dxa"/>
            <w:noWrap w:val="0"/>
            <w:vAlign w:val="top"/>
          </w:tcPr>
          <w:p w14:paraId="414D871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年增长率</w:t>
            </w:r>
          </w:p>
        </w:tc>
        <w:tc>
          <w:tcPr>
            <w:tcW w:w="2210" w:type="dxa"/>
            <w:noWrap w:val="0"/>
            <w:vAlign w:val="top"/>
          </w:tcPr>
          <w:p w14:paraId="5E8543E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2020年综合国力</w:t>
            </w:r>
            <w:r>
              <w:rPr>
                <w:rStyle w:val="20"/>
                <w:rFonts w:hint="eastAsia" w:ascii="宋体" w:hAnsi="宋体" w:eastAsia="宋体" w:cs="宋体"/>
                <w:color w:val="000000"/>
                <w:sz w:val="24"/>
                <w:szCs w:val="21"/>
              </w:rPr>
              <w:footnoteReference w:id="201"/>
            </w:r>
          </w:p>
        </w:tc>
      </w:tr>
      <w:tr w14:paraId="7594241E">
        <w:tc>
          <w:tcPr>
            <w:tcW w:w="1453" w:type="dxa"/>
            <w:noWrap w:val="0"/>
            <w:vAlign w:val="top"/>
          </w:tcPr>
          <w:p w14:paraId="033C168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苏联</w:t>
            </w:r>
          </w:p>
        </w:tc>
        <w:tc>
          <w:tcPr>
            <w:tcW w:w="2897" w:type="dxa"/>
            <w:noWrap w:val="0"/>
            <w:vAlign w:val="top"/>
          </w:tcPr>
          <w:p w14:paraId="03BDF2B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386.72</w:t>
            </w:r>
          </w:p>
        </w:tc>
        <w:tc>
          <w:tcPr>
            <w:tcW w:w="1854" w:type="dxa"/>
            <w:noWrap w:val="0"/>
            <w:vAlign w:val="top"/>
          </w:tcPr>
          <w:p w14:paraId="2BC729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4.4</w:t>
            </w:r>
          </w:p>
        </w:tc>
        <w:tc>
          <w:tcPr>
            <w:tcW w:w="2210" w:type="dxa"/>
            <w:noWrap w:val="0"/>
            <w:vAlign w:val="top"/>
          </w:tcPr>
          <w:p w14:paraId="295980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1469.3</w:t>
            </w:r>
          </w:p>
        </w:tc>
      </w:tr>
      <w:tr w14:paraId="1B9CF519">
        <w:tc>
          <w:tcPr>
            <w:tcW w:w="1453" w:type="dxa"/>
            <w:noWrap w:val="0"/>
            <w:vAlign w:val="top"/>
          </w:tcPr>
          <w:p w14:paraId="63F3B6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美国</w:t>
            </w:r>
          </w:p>
        </w:tc>
        <w:tc>
          <w:tcPr>
            <w:tcW w:w="2897" w:type="dxa"/>
            <w:noWrap w:val="0"/>
            <w:vAlign w:val="top"/>
          </w:tcPr>
          <w:p w14:paraId="0768EB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593.33</w:t>
            </w:r>
          </w:p>
        </w:tc>
        <w:tc>
          <w:tcPr>
            <w:tcW w:w="1854" w:type="dxa"/>
            <w:noWrap w:val="0"/>
            <w:vAlign w:val="top"/>
          </w:tcPr>
          <w:p w14:paraId="27F9F0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2.7</w:t>
            </w:r>
          </w:p>
        </w:tc>
        <w:tc>
          <w:tcPr>
            <w:tcW w:w="2210" w:type="dxa"/>
            <w:noWrap w:val="0"/>
            <w:vAlign w:val="top"/>
          </w:tcPr>
          <w:p w14:paraId="1056EE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1355.1</w:t>
            </w:r>
          </w:p>
        </w:tc>
      </w:tr>
    </w:tbl>
    <w:p w14:paraId="36D00E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资料来源：黄硕风《综合国力论》第220页。</w:t>
      </w:r>
    </w:p>
    <w:p w14:paraId="557267A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1950—1984年，苏联国民收入、工业总产值分别增长9.9倍和14倍；而在1950～1982年间，美国国民收入、工业总产值则分别增长1.8和2.1倍</w:t>
      </w:r>
      <w:r>
        <w:rPr>
          <w:rStyle w:val="20"/>
          <w:rFonts w:hint="eastAsia" w:ascii="宋体" w:hAnsi="宋体" w:eastAsia="宋体" w:cs="宋体"/>
          <w:color w:val="000000"/>
          <w:sz w:val="24"/>
          <w:szCs w:val="21"/>
        </w:rPr>
        <w:footnoteReference w:id="202"/>
      </w:r>
      <w:r>
        <w:rPr>
          <w:rFonts w:hint="eastAsia"/>
          <w:sz w:val="24"/>
        </w:rPr>
        <w:t>，可见，苏联的国民收入和工业总产值的增长势头非常强劲。根据理论测算，在“第二个如果”假设下，苏联国民收入在2020年之前必将明显超过美国，黄硕风根据苏美历史增长数据预测的苏美综合国力值的增长率是能长期保持下去的。按照4.4%的增长率，到2020年苏美综合国力值分别为1469.3与1355.1。因此，根据黄硕风的综合国力动态方程模型，尽管苏联综合国力在前期弱于美国，但如果苏联继续存在下去，其综合国力必定会超过美国。</w:t>
      </w:r>
    </w:p>
    <w:p w14:paraId="1418F8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最后必须指出的是，苏联的快速发展是在大力援助其他社会主义国家的情况下取得的。譬如，苏联援助中国的“156项”建设项目</w:t>
      </w:r>
      <w:r>
        <w:rPr>
          <w:rStyle w:val="20"/>
          <w:rFonts w:hint="eastAsia" w:ascii="宋体" w:hAnsi="宋体" w:eastAsia="宋体" w:cs="宋体"/>
          <w:color w:val="000000"/>
          <w:sz w:val="24"/>
          <w:szCs w:val="21"/>
        </w:rPr>
        <w:footnoteReference w:id="203"/>
      </w:r>
      <w:r>
        <w:rPr>
          <w:rFonts w:hint="eastAsia"/>
          <w:sz w:val="24"/>
        </w:rPr>
        <w:t>，就堪称世界工业化史上最大规模的技术、人才和资金输出，极大地推进了中国的工业化进程。社会主义优越于资本主义，已不仅仅是理论假设，而是为胜于雄辩的苏联和中国社会主义发展的事实所证明。</w:t>
      </w:r>
    </w:p>
    <w:p w14:paraId="751E9538">
      <w:pPr>
        <w:pStyle w:val="4"/>
        <w:bidi w:val="0"/>
        <w:rPr>
          <w:rFonts w:hint="eastAsia"/>
        </w:rPr>
      </w:pPr>
      <w:r>
        <w:rPr>
          <w:rFonts w:hint="eastAsia"/>
        </w:rPr>
        <w:t>四、历史何以改道而行：一种摧毁苏联的内外合力</w:t>
      </w:r>
    </w:p>
    <w:p w14:paraId="5426A7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苏共和苏联被摧毁的原因是多方面的，归结起来，无非是内因和外因两个方面。苏共和苏联被摧毁的内因是戈尔巴乔夫、叶利钦、雅科夫列夫、谢瓦尔德纳泽政权苏共领导集团的主动背叛，外因是美西方对苏共和苏联的旷日持久的各种围剿。苏共和苏联被摧毁，是居于第一位的内因与居于第二位的外因共同作用的结果。</w:t>
      </w:r>
    </w:p>
    <w:p w14:paraId="2149865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（一）虚无与背叛：从“否定斯大林”到“改革新思维”</w:t>
      </w:r>
    </w:p>
    <w:p w14:paraId="4896FC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1956年2月25日，</w:t>
      </w:r>
      <w:r>
        <w:rPr>
          <w:rFonts w:hint="eastAsia"/>
          <w:sz w:val="24"/>
          <w:lang w:val="ru-RU"/>
        </w:rPr>
        <w:t xml:space="preserve">时任苏共中央第一书记的Н.С. </w:t>
      </w:r>
      <w:r>
        <w:rPr>
          <w:rFonts w:hint="eastAsia"/>
          <w:sz w:val="24"/>
        </w:rPr>
        <w:t>赫鲁晓夫全盘否定斯大林的“秘密报告”出笼后，美国当局兴奋异常，如获至宝。美西方利用“秘密报告”，在全世界掀起了一次空前规模的反共浪潮，共产党和社会主义国家陷入被动。以毛泽东同志为首的中国共产党批评和抵制了赫鲁晓夫全盘否定斯大林的行为。</w:t>
      </w:r>
    </w:p>
    <w:p w14:paraId="5377CD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与戈尔巴乔夫一起共事的原苏联部长会议主席</w:t>
      </w:r>
      <w:r>
        <w:rPr>
          <w:rFonts w:hint="eastAsia"/>
          <w:sz w:val="24"/>
          <w:lang w:val="ru-RU"/>
        </w:rPr>
        <w:t xml:space="preserve">Н.И. </w:t>
      </w:r>
      <w:r>
        <w:rPr>
          <w:rFonts w:hint="eastAsia"/>
          <w:sz w:val="24"/>
        </w:rPr>
        <w:t>雷日科夫在总结苏共亡党、苏联被摧毁的原因时曾十分痛心地说：“是党的领导者们，正是他们背叛了党，出卖了国家和人民。”</w:t>
      </w:r>
      <w:r>
        <w:rPr>
          <w:rStyle w:val="20"/>
          <w:rFonts w:hint="eastAsia" w:ascii="宋体" w:hAnsi="宋体" w:eastAsia="宋体" w:cs="宋体"/>
          <w:color w:val="000000"/>
          <w:sz w:val="24"/>
          <w:szCs w:val="21"/>
        </w:rPr>
        <w:footnoteReference w:id="204"/>
      </w:r>
    </w:p>
    <w:p w14:paraId="44D0395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曾任苏共中央政治局委员、苏共莫斯科市委第一书记的В.</w:t>
      </w:r>
      <w:r>
        <w:rPr>
          <w:rFonts w:hint="eastAsia"/>
          <w:sz w:val="24"/>
          <w:lang w:val="ru-RU"/>
        </w:rPr>
        <w:t xml:space="preserve">В. </w:t>
      </w:r>
      <w:r>
        <w:rPr>
          <w:rFonts w:hint="eastAsia"/>
          <w:sz w:val="24"/>
        </w:rPr>
        <w:t>格里申也在其2010年出版的回忆录《灾难：从赫鲁晓夫到戈尔巴乔夫》中指出：“由于未能创造任何东西，这些人物成功地毁掉了一切，他们在背叛的事业上取得了巨大的成果。”</w:t>
      </w:r>
      <w:r>
        <w:rPr>
          <w:rStyle w:val="20"/>
          <w:rFonts w:hint="eastAsia" w:ascii="宋体" w:hAnsi="宋体" w:eastAsia="宋体" w:cs="宋体"/>
          <w:color w:val="000000"/>
          <w:sz w:val="24"/>
          <w:szCs w:val="21"/>
        </w:rPr>
        <w:footnoteReference w:id="205"/>
      </w:r>
      <w:r>
        <w:rPr>
          <w:rFonts w:hint="eastAsia"/>
          <w:sz w:val="24"/>
        </w:rPr>
        <w:t>曾任苏共拉脱维亚党委中央第一书记的鲁比克斯在2020年接受俄罗斯</w:t>
      </w:r>
      <w:r>
        <w:rPr>
          <w:rFonts w:hint="eastAsia"/>
          <w:sz w:val="24"/>
          <w:lang w:val="ru-RU"/>
        </w:rPr>
        <w:t>ФАН通讯社采访时</w:t>
      </w:r>
      <w:r>
        <w:rPr>
          <w:rFonts w:hint="eastAsia"/>
          <w:sz w:val="24"/>
        </w:rPr>
        <w:t>也持上述观点，他痛心地回忆道：“他（戈尔巴乔夫）没有采取任何措施来制止联盟的崩溃。在8月21日或22日，我代表拉共中央委员会第一书记给莫斯科发电报</w:t>
      </w:r>
      <w:r>
        <w:rPr>
          <w:rStyle w:val="20"/>
          <w:rFonts w:hint="eastAsia" w:ascii="宋体" w:hAnsi="宋体" w:eastAsia="宋体" w:cs="宋体"/>
          <w:color w:val="000000"/>
          <w:sz w:val="24"/>
          <w:szCs w:val="21"/>
        </w:rPr>
        <w:footnoteReference w:id="206"/>
      </w:r>
      <w:r>
        <w:rPr>
          <w:rFonts w:hint="eastAsia"/>
          <w:sz w:val="24"/>
        </w:rPr>
        <w:t>，必须指出的是当时试图恢复宪法秩序的行动已经失败了，在电报中我们仍然写道：拉脱维亚共产党中央委员会仍然忠于苏联共产党中央委员会，并等待进一步的指示。而这位总书记什么指示都没有。”</w:t>
      </w:r>
      <w:r>
        <w:rPr>
          <w:rStyle w:val="20"/>
          <w:rFonts w:hint="eastAsia" w:ascii="宋体" w:hAnsi="宋体" w:eastAsia="宋体" w:cs="宋体"/>
          <w:color w:val="000000"/>
          <w:sz w:val="24"/>
          <w:szCs w:val="21"/>
        </w:rPr>
        <w:footnoteReference w:id="207"/>
      </w:r>
      <w:r>
        <w:rPr>
          <w:rFonts w:hint="eastAsia"/>
          <w:sz w:val="24"/>
        </w:rPr>
        <w:t>曾任苏共立陶宛共产党中央第二书记的谢韦德在2019年接受《消息报》采访时指出：“今天，我们可以毫无疑问地说，戈尔巴乔夫及其周遭的人在准备摧毁‘牢不可破的联盟’过程中发挥了决定性作用。其中一部分人积极执行了总书记的那些招致灭亡的方案，另一部分人则默不作声，眼睁睁看着他们用自己的背叛行径侵蚀着这个国家的根基和统一。”</w:t>
      </w:r>
      <w:r>
        <w:rPr>
          <w:rStyle w:val="20"/>
          <w:rFonts w:hint="eastAsia" w:ascii="宋体" w:hAnsi="宋体" w:eastAsia="宋体" w:cs="宋体"/>
          <w:color w:val="000000"/>
          <w:sz w:val="24"/>
          <w:szCs w:val="21"/>
        </w:rPr>
        <w:footnoteReference w:id="208"/>
      </w:r>
      <w:r>
        <w:rPr>
          <w:rFonts w:hint="eastAsia"/>
          <w:sz w:val="24"/>
        </w:rPr>
        <w:t>曾亲自推荐戈尔巴乔夫接替自己担任苏共斯塔夫罗波尔边疆区党委第一书记的叶夫列莫夫在</w:t>
      </w:r>
      <w:r>
        <w:rPr>
          <w:rFonts w:hint="eastAsia"/>
          <w:sz w:val="24"/>
          <w:lang w:val="ru-RU"/>
        </w:rPr>
        <w:t>2007年逝世前</w:t>
      </w:r>
      <w:r>
        <w:rPr>
          <w:rFonts w:hint="eastAsia"/>
          <w:sz w:val="24"/>
        </w:rPr>
        <w:t>接受《真理报》采访时指出：“</w:t>
      </w:r>
      <w:r>
        <w:rPr>
          <w:rFonts w:hint="eastAsia"/>
          <w:sz w:val="24"/>
          <w:lang w:val="ru-RU"/>
        </w:rPr>
        <w:t>我没有认出戈尔巴乔夫是一个空有其名、变节者和叛徒。</w:t>
      </w:r>
      <w:r>
        <w:rPr>
          <w:rFonts w:hint="eastAsia"/>
          <w:sz w:val="24"/>
        </w:rPr>
        <w:t>”</w:t>
      </w:r>
      <w:r>
        <w:rPr>
          <w:rStyle w:val="20"/>
          <w:rFonts w:hint="eastAsia" w:ascii="宋体" w:hAnsi="宋体" w:eastAsia="宋体" w:cs="宋体"/>
          <w:color w:val="000000"/>
          <w:sz w:val="24"/>
          <w:szCs w:val="21"/>
        </w:rPr>
        <w:footnoteReference w:id="209"/>
      </w:r>
      <w:r>
        <w:rPr>
          <w:rFonts w:hint="eastAsia"/>
          <w:sz w:val="24"/>
        </w:rPr>
        <w:t>曾任哈萨克斯坦首任总统的纳扎尔巴耶夫认为，叶利钦谋求政治上的完全独立是苏联解体的直接原因，他在2021年10月撰文指出：“在我看来，每个人都有一个目标：完全独立，这尤其是俄罗斯总统叶利钦和乌克兰总统克拉夫丘克想要的……如果当时俄罗斯和乌克兰的领导人之间首先达成一致和相互理解，那么就不会有苏联解体，也许，当时我们就会以不同的方式组织起来，也就不会有别洛韦日协议。”</w:t>
      </w:r>
      <w:r>
        <w:rPr>
          <w:rStyle w:val="20"/>
          <w:rFonts w:hint="eastAsia" w:ascii="宋体" w:hAnsi="宋体" w:eastAsia="宋体" w:cs="宋体"/>
          <w:color w:val="000000"/>
          <w:sz w:val="24"/>
          <w:szCs w:val="21"/>
        </w:rPr>
        <w:footnoteReference w:id="210"/>
      </w:r>
    </w:p>
    <w:p w14:paraId="5D21B8D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正如《中国共产党的一百年》中所记载的：“苏联解体和东欧剧变……世界社会主义发生的曲折对我国也产生一定的负面影响，有人对社会主义的前途缺乏信心。”</w:t>
      </w:r>
      <w:r>
        <w:rPr>
          <w:rStyle w:val="20"/>
          <w:rFonts w:hint="eastAsia" w:ascii="宋体" w:hAnsi="宋体" w:eastAsia="宋体" w:cs="宋体"/>
          <w:color w:val="000000"/>
          <w:sz w:val="24"/>
          <w:szCs w:val="21"/>
        </w:rPr>
        <w:footnoteReference w:id="211"/>
      </w:r>
      <w:r>
        <w:rPr>
          <w:rFonts w:hint="eastAsia"/>
          <w:sz w:val="24"/>
        </w:rPr>
        <w:t>1991年12月，江泽民同志指出：苏联东欧的变化，并不是科学社会主义的失败，而是放弃社会主义道路的结果</w:t>
      </w:r>
      <w:r>
        <w:rPr>
          <w:rStyle w:val="20"/>
          <w:rFonts w:hint="eastAsia" w:ascii="宋体" w:hAnsi="宋体" w:eastAsia="宋体" w:cs="宋体"/>
          <w:color w:val="000000"/>
          <w:sz w:val="24"/>
          <w:szCs w:val="21"/>
        </w:rPr>
        <w:footnoteReference w:id="212"/>
      </w:r>
      <w:r>
        <w:rPr>
          <w:rFonts w:hint="eastAsia"/>
          <w:sz w:val="24"/>
        </w:rPr>
        <w:t>。2000年12月，胡锦涛同志也指出：苏联解体原因是多方面的，其中很重要的一条，就是从赫鲁晓夫丢掉斯大林这把刀子，到戈尔巴乔夫公开背叛马克思列宁主义</w:t>
      </w:r>
      <w:r>
        <w:rPr>
          <w:rStyle w:val="20"/>
          <w:rFonts w:hint="eastAsia" w:ascii="宋体" w:hAnsi="宋体" w:eastAsia="宋体" w:cs="宋体"/>
          <w:color w:val="000000"/>
          <w:sz w:val="24"/>
          <w:szCs w:val="21"/>
        </w:rPr>
        <w:footnoteReference w:id="213"/>
      </w:r>
      <w:r>
        <w:rPr>
          <w:rFonts w:hint="eastAsia"/>
          <w:sz w:val="24"/>
        </w:rPr>
        <w:t>。2022年9月，习近平总书记在《求是》发表的署名文章《坚持和发展中国特色社会主义要一以贯之》中指出：“历史发展从来不是笔直的，而是充满曲折和波折。上个世纪80年代末90年代初，苏联解体、苏共垮台、东欧剧变，不仅导致第一个社会主义国家和东欧社会主义国家不复存在……世界社会主义遭受严重挫折。”</w:t>
      </w:r>
      <w:r>
        <w:rPr>
          <w:rStyle w:val="20"/>
          <w:rFonts w:hint="eastAsia" w:ascii="宋体" w:hAnsi="宋体" w:eastAsia="宋体" w:cs="宋体"/>
          <w:color w:val="000000"/>
          <w:sz w:val="24"/>
          <w:szCs w:val="21"/>
        </w:rPr>
        <w:footnoteReference w:id="214"/>
      </w:r>
    </w:p>
    <w:p w14:paraId="34350BE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（二）“神圣的围剿”：国际垄断资本的一致行动</w:t>
      </w:r>
    </w:p>
    <w:p w14:paraId="764CBBB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1946年，英国首相丘吉尔发表“铁幕”演说，以此为标志，开启了帝国主义阵营对社会主义阵营的“冷战”序幕。为了防止共产主义意识形态的蔓延，西方国家对工人阶级作出了巨大的让步。在冷战期间，美国和欧洲的贫富差距始终保持在一个相对低的水平，欧洲建立了完善的福利制度，二战前对工人的残酷剥削也有所缓解。其中的原因，正在于社会主义的溢出效应和来自社会主义的强大压力。摧毁苏联和东欧社会主义国家之后，美西方的垄断资本家联合体已经肆无忌惮，如今美国1%的富人坐拥40%的财富，贫富差距急剧拉大。</w:t>
      </w:r>
    </w:p>
    <w:p w14:paraId="1CD1CE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让利劳动者，是大资产阶级极不情愿的。为了扼杀强大的竞争对手苏联，美西方无所不用其极。美国国务卿贝克在谈到被摧毁的苏共和苏联时曾说：“我们不是这场革命的领袖，但也不是旁观者。”</w:t>
      </w:r>
      <w:r>
        <w:rPr>
          <w:rStyle w:val="20"/>
          <w:rFonts w:hint="eastAsia" w:ascii="宋体" w:hAnsi="宋体" w:eastAsia="宋体" w:cs="宋体"/>
          <w:color w:val="000000"/>
          <w:sz w:val="24"/>
          <w:szCs w:val="21"/>
        </w:rPr>
        <w:footnoteReference w:id="215"/>
      </w:r>
      <w:r>
        <w:rPr>
          <w:rFonts w:hint="eastAsia"/>
          <w:sz w:val="24"/>
        </w:rPr>
        <w:t>1949年，美国、英国、法国、德国、意大利、日本和澳大利亚等17个西方资本主义国家组成巴黎统筹委员会（简称“巴统”），目的就是专门限制其成员国向社会主义国家出口战略物资和技术。列入禁运清单的有军事武器装备、尖端技术产品和稀有物资等三大类上万种产品</w:t>
      </w:r>
      <w:r>
        <w:rPr>
          <w:rStyle w:val="20"/>
          <w:rFonts w:hint="eastAsia" w:ascii="宋体" w:hAnsi="宋体" w:eastAsia="宋体" w:cs="宋体"/>
          <w:color w:val="000000"/>
          <w:sz w:val="24"/>
          <w:szCs w:val="21"/>
        </w:rPr>
        <w:footnoteReference w:id="216"/>
      </w:r>
      <w:r>
        <w:rPr>
          <w:rFonts w:hint="eastAsia"/>
          <w:sz w:val="24"/>
        </w:rPr>
        <w:t>。1949年4月4日，美、英、法、加、比、荷等12国外长在华盛顿举行“北大西洋公约”签约仪式。北约的建立，标志着战后在遏制共产主义的口号下，西方世界开始了对抗苏联及其他社会主义国家的统一行动。此后，帝国主义列强对社会主义国家的战争，往往以联合起来的军事集团的面目出现。美西方与社会主义国家矛盾的焦点不仅在于经济增长的速度和生产力的高下，而且在于更具竞争力的社会主义制度。1982年6月，时任美国总统里根在英国议会发表演讲，表明美苏之间的竞争是“思想和价值观念的竞争”。1991年撒切尔夫人在美国休斯敦更是一语道破天机：“苏联是一个对西方世界构成严重威胁的国家。我讲的不是军事威胁。从本质上讲，军事上的威胁并不存在。我们这些国家装备精良，包括核武器。我指的是经济上的威胁。借助计划政策，加上与独特的精神和物质刺激手段相结合，苏联的经济发展指标很高。其国民生产总值增长率过去比我们高出一倍。如果我们再考虑到苏联丰厚的自然资源，如果加以合理地运营，那么苏联完全有可能将我们挤出世界市场。因此，我们一直采取行动，旨在削弱苏联经济，制造其内部问题。”</w:t>
      </w:r>
      <w:r>
        <w:rPr>
          <w:rStyle w:val="20"/>
          <w:rFonts w:hint="eastAsia" w:ascii="宋体" w:hAnsi="宋体" w:eastAsia="宋体" w:cs="宋体"/>
          <w:color w:val="000000"/>
          <w:sz w:val="24"/>
          <w:szCs w:val="21"/>
        </w:rPr>
        <w:footnoteReference w:id="217"/>
      </w:r>
    </w:p>
    <w:p w14:paraId="43499F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西方特别注重收买社会主义国家的“关键人物”，收买方式因人而异，多种多样。据戈尔巴乔夫助手、时任苏共中央总务部部长的博尔金回忆，戈在上台后不久，就从西方得到许多奖金、奖品、稿费，其个人账户上很快就有了一百多万美元</w:t>
      </w:r>
      <w:r>
        <w:rPr>
          <w:rStyle w:val="20"/>
          <w:rFonts w:hint="eastAsia" w:ascii="宋体" w:hAnsi="宋体" w:eastAsia="宋体" w:cs="宋体"/>
          <w:color w:val="000000"/>
          <w:sz w:val="24"/>
          <w:szCs w:val="21"/>
        </w:rPr>
        <w:footnoteReference w:id="218"/>
      </w:r>
      <w:r>
        <w:rPr>
          <w:rFonts w:hint="eastAsia"/>
          <w:sz w:val="24"/>
        </w:rPr>
        <w:t>。</w:t>
      </w:r>
    </w:p>
    <w:p w14:paraId="2119DE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曾任苏联克格勃主席的</w:t>
      </w:r>
      <w:r>
        <w:rPr>
          <w:rFonts w:hint="eastAsia"/>
          <w:sz w:val="24"/>
          <w:lang w:val="ru-RU"/>
        </w:rPr>
        <w:t>В.А.克留奇科夫大将在2007年接受《共青团真理报》采访时曾对此做出了明确的认识——和平演变和颜色革命是美国影响和瓦解苏联的重要因素。他指出：“过去的时代的经验表明，通过向俄罗斯施加外部压力和影响来试图迫使俄罗斯在抗争中服软是没有意义的行为。这也就是说，美国人在与我们打交道时转向通过颜色革命和和平演变的方式向我们内部施加影响并非偶然。从冷战时期开始，他们就深信这是将俄罗斯的全球角色降为零的唯一途径。”</w:t>
      </w:r>
      <w:r>
        <w:rPr>
          <w:rStyle w:val="20"/>
          <w:rFonts w:hint="eastAsia" w:ascii="宋体" w:hAnsi="宋体" w:eastAsia="宋体" w:cs="宋体"/>
          <w:color w:val="000000"/>
          <w:sz w:val="24"/>
          <w:szCs w:val="21"/>
          <w:lang w:val="ru-RU"/>
        </w:rPr>
        <w:footnoteReference w:id="219"/>
      </w:r>
    </w:p>
    <w:p w14:paraId="2B7409F8">
      <w:pPr>
        <w:pStyle w:val="4"/>
        <w:bidi w:val="0"/>
        <w:rPr>
          <w:rFonts w:hint="eastAsia"/>
        </w:rPr>
      </w:pPr>
      <w:r>
        <w:rPr>
          <w:rFonts w:hint="eastAsia"/>
        </w:rPr>
        <w:t>五、在可能与现实之间：历史不相信眼泪</w:t>
      </w:r>
    </w:p>
    <w:p w14:paraId="3F2A38A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面对被摧毁了的苏共和苏联，面对满目疮痍的局面，俄罗斯人痛定思痛，泪目反思。2016年民调显示：俄罗斯99.1%的民众明确反对把苏联的消亡看成必然。后来的多次民调显示，大多数人认为苏共和苏联被摧毁并不具有客观必然性，而戈尔巴乔夫的所谓改革才是摧毁苏共和苏联的第一因素。2020年3月列瓦达中心民调显示，3/4的俄罗斯人认为苏联时代是历史上最好的时期。2021年12月12日，曾是戈尔巴乔夫最亲密助手的哈萨克斯坦前总统纳扎尔巴耶夫在接受俄罗斯卫星通讯社访谈时直言不讳：是戈尔巴乔夫推行的所谓“人道的民主的社会主义”改革路线摧毁了苏共和苏联。进入21世纪，斯大林在俄罗斯民众中强势回归。2021年6月，俄罗斯列瓦达中心的调查显示，56%的俄罗斯人高度评价斯大林的领袖素质，认为其是“伟大领袖”，39%的俄罗斯人认为斯大林即使作为一个个人来说也是一个杰出的人</w:t>
      </w:r>
      <w:r>
        <w:rPr>
          <w:rStyle w:val="20"/>
          <w:rFonts w:hint="eastAsia" w:ascii="宋体" w:hAnsi="宋体" w:eastAsia="宋体" w:cs="宋体"/>
          <w:color w:val="000000"/>
          <w:sz w:val="24"/>
          <w:szCs w:val="21"/>
        </w:rPr>
        <w:footnoteReference w:id="220"/>
      </w:r>
      <w:r>
        <w:rPr>
          <w:rFonts w:hint="eastAsia"/>
          <w:sz w:val="24"/>
        </w:rPr>
        <w:t>。斯大林在去世前预言道：“我知道，我死后有人会把一大堆垃圾扔到我的坟上。但是历史的风一定会毫不留情地把那些垃圾刮走。”</w:t>
      </w:r>
      <w:r>
        <w:rPr>
          <w:rStyle w:val="20"/>
          <w:rFonts w:hint="eastAsia" w:ascii="宋体" w:hAnsi="宋体" w:eastAsia="宋体" w:cs="宋体"/>
          <w:color w:val="000000"/>
          <w:sz w:val="24"/>
          <w:szCs w:val="21"/>
        </w:rPr>
        <w:footnoteReference w:id="221"/>
      </w:r>
      <w:r>
        <w:rPr>
          <w:rFonts w:hint="eastAsia"/>
          <w:sz w:val="24"/>
        </w:rPr>
        <w:t>现在，这一历史的风已经起于青萍之末，并很快吹拂于旷野之上。</w:t>
      </w:r>
    </w:p>
    <w:p w14:paraId="572524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事实正是如此，“斯大林在列宁逝世后的长时期内领导联共（布）中央，他同当时苏联党和国家的其他领导人一起为建设世界上第一个社会主义政权而积极奋斗。苏联社会主义实践的许多成果都是在以斯大林为核心的联共（布）及其中央委员会的领导下取得的。从这个意义上说，斯大林的马克思主义理论家和组织家的荣誉不是被某个机构或人授予的，而是历史自然形成的。尽管他在30年代出现过肃反运动及其扩大化的共产党一次性严重错误，但与美西方国家对外掠夺和发动战争、对内残暴镇压和经济剥削的一贯罪行和错误来比，是有根本区别和程度差异的。</w:t>
      </w:r>
    </w:p>
    <w:p w14:paraId="2F59B0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（一）迟到的反思：缓缓吹来的历史东风</w:t>
      </w:r>
    </w:p>
    <w:p w14:paraId="7614F5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2007年6月21日，普京在接见参加历史及人文社科教学与研究的骨干教师时，提出了绝对不允许丑化、歪曲俄罗斯民族历史的要求。在这样的社会背景下，俄罗斯教育部对历史教科书作了重大调整，2007年版《俄罗斯现代史（1945-2006）》将斯大林时代及其政治思想列入新学年历史教科书，定位斯大林为苏联最成功的领导人，赞扬“斯大林建立了一个伟大的祖国”</w:t>
      </w:r>
      <w:r>
        <w:rPr>
          <w:rStyle w:val="20"/>
          <w:rFonts w:hint="eastAsia" w:ascii="宋体" w:hAnsi="宋体" w:eastAsia="宋体" w:cs="宋体"/>
          <w:color w:val="000000"/>
          <w:sz w:val="24"/>
          <w:szCs w:val="21"/>
        </w:rPr>
        <w:footnoteReference w:id="222"/>
      </w:r>
      <w:r>
        <w:rPr>
          <w:rFonts w:hint="eastAsia"/>
          <w:sz w:val="24"/>
        </w:rPr>
        <w:t>。该书的总序言指出：“对全世界千百万人们来说，苏联曾是最好的和最公正社会的榜样和方向。”</w:t>
      </w:r>
      <w:r>
        <w:rPr>
          <w:rStyle w:val="20"/>
          <w:rFonts w:hint="eastAsia" w:ascii="宋体" w:hAnsi="宋体" w:eastAsia="宋体" w:cs="宋体"/>
          <w:color w:val="000000"/>
          <w:sz w:val="24"/>
          <w:szCs w:val="21"/>
        </w:rPr>
        <w:footnoteReference w:id="223"/>
      </w:r>
      <w:r>
        <w:rPr>
          <w:rFonts w:hint="eastAsia"/>
          <w:sz w:val="24"/>
        </w:rPr>
        <w:t>旨在全面反思和肃清历史虚无主义影响的《俄罗斯现代史（1945-2006）》，对俄罗斯现代史上的许多重大问题进行了全面反思和拨乱反正的分析、评价，充分肯定苏联的历史价值。而在这些拨乱反正的问题中，首当其冲的就是对斯大林和苏联历史的评价问题。</w:t>
      </w:r>
    </w:p>
    <w:p w14:paraId="099E6BB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众所周知，在苏共二十大后，斯大林本人的形象曾长期被抹黑，其思想曾长期被矮化和弱化。但是，目前在俄罗斯和中国，在这个问题上均出现了强有力的拨乱反正的声音，迎来了历史的东风。著名马克思主义理论家、中国社会科学院原院长王伟光教授高度评价斯大林：“以斯大林为首的苏联共产党领导下的社会主义苏联曾经创造了世界历史上的辉煌篇章，切实实现和保护了苏联无产阶级与广大劳动人民的利益……斯大林不愧为伟大的马克思列宁主义继承者、实践者和探索者。”</w:t>
      </w:r>
      <w:r>
        <w:rPr>
          <w:rStyle w:val="20"/>
          <w:rFonts w:hint="eastAsia" w:ascii="宋体" w:hAnsi="宋体" w:eastAsia="宋体" w:cs="宋体"/>
          <w:color w:val="000000"/>
          <w:sz w:val="24"/>
          <w:szCs w:val="21"/>
        </w:rPr>
        <w:footnoteReference w:id="224"/>
      </w:r>
      <w:r>
        <w:rPr>
          <w:rFonts w:hint="eastAsia"/>
          <w:sz w:val="24"/>
        </w:rPr>
        <w:t>王伟光教授一针见血地指出了妖魔化斯大林的终极目的：“第一，彻底否定斯大林，其实质就是西方敌对势力颠覆社会主义政权的意识形态进攻……第二，彻底否定斯大林，其实质就是以资产阶级的阶级利益替代无产阶级及广大人民群众的阶级利益……第三，彻底否定斯大林，其实质就是否定社会主义战胜资本主义的历史必然趋势。”</w:t>
      </w:r>
      <w:r>
        <w:rPr>
          <w:rStyle w:val="20"/>
          <w:rFonts w:hint="eastAsia" w:ascii="宋体" w:hAnsi="宋体" w:eastAsia="宋体" w:cs="宋体"/>
          <w:color w:val="000000"/>
          <w:sz w:val="24"/>
          <w:szCs w:val="21"/>
        </w:rPr>
        <w:footnoteReference w:id="225"/>
      </w:r>
      <w:r>
        <w:rPr>
          <w:rFonts w:hint="eastAsia"/>
          <w:sz w:val="24"/>
        </w:rPr>
        <w:t>这一客观分析开阔了人们的眼界，也使大肆渲染“大清洗”、“古拉格”等字眼的西方政客哑口无言。“可以说，在斯大林重评问题……上的攻击行为也是对中国党和领袖的间接攻击”</w:t>
      </w:r>
      <w:r>
        <w:rPr>
          <w:rStyle w:val="20"/>
          <w:rFonts w:hint="eastAsia" w:ascii="宋体" w:hAnsi="宋体" w:eastAsia="宋体" w:cs="宋体"/>
          <w:color w:val="000000"/>
          <w:sz w:val="24"/>
          <w:szCs w:val="21"/>
        </w:rPr>
        <w:footnoteReference w:id="226"/>
      </w:r>
      <w:r>
        <w:rPr>
          <w:rFonts w:hint="eastAsia"/>
          <w:sz w:val="24"/>
        </w:rPr>
        <w:t>。否定斯大林的实质，是否定每一个马克思主义政党的领袖。这正如列宁所指出的，如一个阶级没有提拔出能够组织本阶级的斗争并领导这个阶级的先进代表，在历史上任何一个阶级都不能获得统治权——如果没有党所提拔和培养出的有远见的和有经验的领袖，工人阶级就不能获得自身的解放。</w:t>
      </w:r>
    </w:p>
    <w:p w14:paraId="777CE2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苏联被摧毁后，曾任俄罗斯国家杜马副主席的俄罗斯科学院院士尼格马图林曾在接受采访时痛心的指出：“代表、部长和州长中有很多千万富翁——而列宁当初说过不应该让这样的人上台，因为他们会首先考虑如何增殖他们的财富。列宁是绝对正确的。让富人在实质上以首先增殖他们的财富、资本和金钱投资为目的来管理国家，只会使我国的阶级矛盾越来越突出——富的越富，穷的越穷。许多人没有看到现政府的克服当前这些可憎的社会现象的意志和力量，许多人才会开始怀念有着钢铁意志的斯大林……斯大林表现出了坚决的力量和强大的智慧，他设法消除了领导层的纠纷，并使在他周围聚集了最有才华的领导人和指挥官……经历了严酷的岁月后，他成功地成为了他的人民心中不可动摇的领袖。”</w:t>
      </w:r>
      <w:r>
        <w:rPr>
          <w:rStyle w:val="20"/>
          <w:rFonts w:hint="eastAsia" w:ascii="宋体" w:hAnsi="宋体" w:eastAsia="宋体" w:cs="宋体"/>
          <w:color w:val="000000"/>
          <w:sz w:val="24"/>
          <w:szCs w:val="21"/>
        </w:rPr>
        <w:footnoteReference w:id="227"/>
      </w:r>
      <w:r>
        <w:rPr>
          <w:rFonts w:hint="eastAsia"/>
          <w:sz w:val="24"/>
        </w:rPr>
        <w:t>现任俄罗斯副总理曼图诺夫也曾在2021年接受采访时高度评价了斯大林：“斯大林是一位伟大的政治家和国务活动家，他执政期间为我国的工业化做了很多的工作。”</w:t>
      </w:r>
      <w:r>
        <w:rPr>
          <w:rStyle w:val="20"/>
          <w:rFonts w:hint="eastAsia" w:ascii="宋体" w:hAnsi="宋体" w:eastAsia="宋体" w:cs="宋体"/>
          <w:color w:val="000000"/>
          <w:sz w:val="24"/>
          <w:szCs w:val="21"/>
        </w:rPr>
        <w:footnoteReference w:id="228"/>
      </w:r>
    </w:p>
    <w:p w14:paraId="165B980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俄罗斯报》曾随机对254位各界民众进行问卷调查，所设五个问卷题目中的第一个就是：“今天，说到苏联能使您联想到什么？”90%以上的答案是颂扬和怀念。民调显示，对苏联“怀旧”的中老年人非常普遍，年轻的“后苏联人”也同样“将苏联认定为社会公正的国家”</w:t>
      </w:r>
      <w:r>
        <w:rPr>
          <w:rStyle w:val="20"/>
          <w:rFonts w:hint="eastAsia" w:ascii="宋体" w:hAnsi="宋体" w:eastAsia="宋体" w:cs="宋体"/>
          <w:color w:val="000000"/>
          <w:sz w:val="24"/>
          <w:szCs w:val="21"/>
        </w:rPr>
        <w:footnoteReference w:id="229"/>
      </w:r>
      <w:r>
        <w:rPr>
          <w:rFonts w:hint="eastAsia"/>
          <w:sz w:val="24"/>
        </w:rPr>
        <w:t>。俄罗斯科学院俄国史研究所所长尤里·彼得罗夫指出，越来越多的人渐渐明白，我们父辈和祖辈为了我们的国家工作，而我们不能昧着良心说他们是白活了。他们过去的业绩很值得我们铭记</w:t>
      </w:r>
      <w:r>
        <w:rPr>
          <w:rStyle w:val="20"/>
          <w:rFonts w:hint="eastAsia" w:ascii="宋体" w:hAnsi="宋体" w:eastAsia="宋体" w:cs="宋体"/>
          <w:color w:val="000000"/>
          <w:sz w:val="24"/>
          <w:szCs w:val="21"/>
        </w:rPr>
        <w:footnoteReference w:id="230"/>
      </w:r>
      <w:r>
        <w:rPr>
          <w:rFonts w:hint="eastAsia"/>
          <w:sz w:val="24"/>
        </w:rPr>
        <w:t>。</w:t>
      </w:r>
    </w:p>
    <w:p w14:paraId="20E064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2000年2月，俄罗斯联邦共产党中央委员会主席久加诺夫代表俄共发表的《告人民书》指出：“不要听信对我们历史的中伤和诽谤。共产党人犯过错误，但是，任何人都不能否认，共产党人曾取得过伟大的成就。正是在苏联时期，我们国家达到了强盛的顶峰。”</w:t>
      </w:r>
      <w:r>
        <w:rPr>
          <w:rStyle w:val="20"/>
          <w:rFonts w:hint="eastAsia" w:ascii="宋体" w:hAnsi="宋体" w:eastAsia="宋体" w:cs="宋体"/>
          <w:color w:val="000000"/>
          <w:sz w:val="24"/>
          <w:szCs w:val="21"/>
        </w:rPr>
        <w:footnoteReference w:id="231"/>
      </w:r>
      <w:r>
        <w:rPr>
          <w:rFonts w:hint="eastAsia"/>
          <w:sz w:val="24"/>
        </w:rPr>
        <w:t>其在2021年他又指出：“苏联——这是人类历史上从未见过的制度性突破和伟大理想导致的技术上的创造。例如，列宁—斯大林的现代化带来了平均每年将近15％的增长率，并且带领全国人民击败了法西斯主义。”</w:t>
      </w:r>
      <w:r>
        <w:rPr>
          <w:rStyle w:val="20"/>
          <w:rFonts w:hint="eastAsia" w:ascii="宋体" w:hAnsi="宋体" w:eastAsia="宋体" w:cs="宋体"/>
          <w:color w:val="000000"/>
          <w:sz w:val="24"/>
          <w:szCs w:val="21"/>
        </w:rPr>
        <w:footnoteReference w:id="232"/>
      </w:r>
      <w:r>
        <w:rPr>
          <w:rFonts w:hint="eastAsia"/>
          <w:sz w:val="24"/>
          <w:lang w:val="ru-RU"/>
        </w:rPr>
        <w:t>鉴于此，</w:t>
      </w:r>
      <w:r>
        <w:rPr>
          <w:rFonts w:hint="eastAsia"/>
          <w:sz w:val="24"/>
        </w:rPr>
        <w:t>俄罗斯联邦共产党已经做好向共产党联盟-苏联共产党代表大会提议撤销苏共二十大《关于个人崇拜及其后果》和苏共二十二大《关于弗·伊·列宁墓的决议》的准备。</w:t>
      </w:r>
    </w:p>
    <w:p w14:paraId="7954A5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（二）刻骨的教训：反击历史虚无主义</w:t>
      </w:r>
    </w:p>
    <w:p w14:paraId="653548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苏联被政变和复辟资本主义</w:t>
      </w:r>
      <w:r>
        <w:rPr>
          <w:rStyle w:val="20"/>
          <w:rFonts w:hint="eastAsia" w:ascii="宋体" w:hAnsi="宋体" w:eastAsia="宋体" w:cs="宋体"/>
          <w:color w:val="FF0000"/>
          <w:sz w:val="24"/>
          <w:szCs w:val="21"/>
        </w:rPr>
        <w:footnoteReference w:id="233"/>
      </w:r>
      <w:r>
        <w:rPr>
          <w:rFonts w:hint="eastAsia"/>
          <w:sz w:val="24"/>
        </w:rPr>
        <w:t>的刻骨铭心教训值得深思，苏鉴不远。我们必须吸取苏共和苏联被摧毁的历史教训，坚定不移走以共产主义为远大目标的中国特色社会主义道路。“</w:t>
      </w:r>
      <w:r>
        <w:rPr>
          <w:rFonts w:hint="eastAsia"/>
          <w:sz w:val="24"/>
          <w:lang w:val="ru-RU"/>
        </w:rPr>
        <w:t>对社会主义国家安全的威胁并没有消失。实际生活表明，只要还保持着经济实力和军事实力的帝国主义依然存在……社会主义国家人民、一切进步力量和普遍和平就仍然面临着现实危险”</w:t>
      </w:r>
      <w:r>
        <w:rPr>
          <w:rStyle w:val="20"/>
          <w:rFonts w:hint="eastAsia" w:ascii="宋体" w:hAnsi="宋体" w:eastAsia="宋体" w:cs="宋体"/>
          <w:color w:val="000000"/>
          <w:sz w:val="24"/>
          <w:szCs w:val="21"/>
          <w:lang w:val="ru-RU"/>
        </w:rPr>
        <w:footnoteReference w:id="234"/>
      </w:r>
      <w:r>
        <w:rPr>
          <w:rFonts w:hint="eastAsia"/>
          <w:sz w:val="24"/>
          <w:lang w:val="ru-RU"/>
        </w:rPr>
        <w:t>。</w:t>
      </w:r>
      <w:r>
        <w:rPr>
          <w:rFonts w:hint="eastAsia"/>
          <w:sz w:val="24"/>
        </w:rPr>
        <w:t>对中国的历史虚无主义者来说，妖魔化苏共和苏联的目的在于影射中共和中国；妖魔化斯大林的目的在于影射毛泽东。2013年1月5日在新进中央委员会委员、候补委员学习贯彻党的十八大精神研讨班上，习近平总书记意味深长地说：“苏联为什么解体？苏共为什么垮台？一个重要的原因就是意识形态领域的斗争十分激烈，全面否定苏联历史、苏共历史，否定列宁，否定斯大林，搞历史虚无主义，思想搞乱了，各级党组织几乎没作用了，军队都不在党的领导之下了。最后，苏联共产党偌大一个党就作鸟兽散了，苏联偌大一个社会主义国家就分崩离析了。这是前车之鉴啊！”</w:t>
      </w:r>
      <w:r>
        <w:rPr>
          <w:rStyle w:val="20"/>
          <w:rFonts w:hint="eastAsia" w:ascii="宋体" w:hAnsi="宋体" w:eastAsia="宋体" w:cs="宋体"/>
          <w:color w:val="000000"/>
          <w:sz w:val="24"/>
          <w:szCs w:val="21"/>
        </w:rPr>
        <w:footnoteReference w:id="235"/>
      </w:r>
      <w:r>
        <w:rPr>
          <w:rFonts w:hint="eastAsia"/>
          <w:sz w:val="24"/>
        </w:rPr>
        <w:t>五年后的2018年1月5日，习近平在新进中央委员会委员、候补委员和省部级主要领导干部学习贯彻习近平新时代中国特色社会主义思想和党的十九大精神研讨班上再次告诫：“我们常说，基础不牢，地动山摇。信念不牢也是要地动山摇的。苏联解体、苏共垮台、东欧剧变不就是这个逻辑吗？苏共拥有20万党员时夺取了政权，拥有200万党员时打败了希特勒，而拥有近2000万党员时却失去了政权。”</w:t>
      </w:r>
      <w:r>
        <w:rPr>
          <w:rStyle w:val="20"/>
          <w:rFonts w:hint="eastAsia" w:ascii="宋体" w:hAnsi="宋体" w:eastAsia="宋体" w:cs="宋体"/>
          <w:color w:val="000000"/>
          <w:sz w:val="24"/>
          <w:szCs w:val="21"/>
        </w:rPr>
        <w:footnoteReference w:id="236"/>
      </w:r>
      <w:r>
        <w:rPr>
          <w:rFonts w:hint="eastAsia"/>
          <w:sz w:val="24"/>
        </w:rPr>
        <w:t>习近平总书记的警世之言，言犹在耳，不可不察。</w:t>
      </w:r>
    </w:p>
    <w:p w14:paraId="1B3DD6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（三）基本的结论：苏联是被主动摧毁的</w:t>
      </w:r>
    </w:p>
    <w:p w14:paraId="59010C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rPr>
        <w:t>苏联不是社会主义基本经济政治制度不可行而必然自行解体，而是被国内外敌对势力摧毁和非法瓦解的。在2021年8</w:t>
      </w:r>
      <w:r>
        <w:rPr>
          <w:rFonts w:hint="eastAsia"/>
          <w:sz w:val="24"/>
          <w:lang w:val="ru-RU"/>
        </w:rPr>
        <w:t>月</w:t>
      </w:r>
      <w:r>
        <w:rPr>
          <w:rFonts w:hint="eastAsia"/>
          <w:sz w:val="24"/>
        </w:rPr>
        <w:t>笔者</w:t>
      </w:r>
      <w:r>
        <w:rPr>
          <w:rFonts w:hint="eastAsia"/>
          <w:sz w:val="24"/>
          <w:lang w:val="ru-RU"/>
        </w:rPr>
        <w:t>在《真理报》</w:t>
      </w:r>
      <w:r>
        <w:rPr>
          <w:rFonts w:hint="eastAsia"/>
          <w:sz w:val="24"/>
        </w:rPr>
        <w:t>提出：“苏联是被瓦解和被摧毁的，这既有思想上的原因，也有组织上的原因。其中最重要的政治原因是以米哈伊尔·戈尔巴乔夫为首的苏联共产党领导层对马克思主义和科学社会主义的背叛。”</w:t>
      </w:r>
      <w:r>
        <w:rPr>
          <w:rStyle w:val="20"/>
          <w:rFonts w:hint="eastAsia" w:ascii="宋体" w:hAnsi="宋体" w:eastAsia="宋体" w:cs="宋体"/>
          <w:color w:val="000000"/>
          <w:sz w:val="24"/>
          <w:szCs w:val="21"/>
        </w:rPr>
        <w:footnoteReference w:id="237"/>
      </w:r>
      <w:r>
        <w:rPr>
          <w:rFonts w:hint="eastAsia"/>
          <w:sz w:val="24"/>
        </w:rPr>
        <w:t>这引起了俄罗斯学界和政界的共鸣和讨论。我们知道，在俄文中苏联解体的术语为“</w:t>
      </w:r>
      <w:r>
        <w:rPr>
          <w:rFonts w:hint="eastAsia"/>
          <w:sz w:val="24"/>
          <w:lang w:val="ru-RU"/>
        </w:rPr>
        <w:t>РАСПАД СССР”，使用这种术语的学者主要认为苏联的消亡是自然发展的必然结果，具有历史必然性。坚持这种观点的有俄罗斯历史学家Р.Г. 皮霍亚等，其主要观点为，苏维埃制度“只能作为一个系统而存在……高度集中、令人痛苦的党—国垂直模式，使得其仅在掌握巨大规模的国有资产、自然资源和动员经济的条件下才能存在”</w:t>
      </w:r>
      <w:r>
        <w:rPr>
          <w:rStyle w:val="20"/>
          <w:rFonts w:hint="eastAsia" w:ascii="宋体" w:hAnsi="宋体" w:eastAsia="宋体" w:cs="宋体"/>
          <w:color w:val="000000"/>
          <w:sz w:val="24"/>
          <w:szCs w:val="21"/>
          <w:lang w:val="ru-RU"/>
        </w:rPr>
        <w:footnoteReference w:id="238"/>
      </w:r>
      <w:r>
        <w:rPr>
          <w:rFonts w:hint="eastAsia"/>
          <w:sz w:val="24"/>
          <w:lang w:val="ru-RU"/>
        </w:rPr>
        <w:t>。但是与此同时，以俄罗斯学者П.М. 沙什坚科、Р.Ч. 西蒙尼扬为代表的学者认为，这种说法主要是将因为犯罪性质所导致的苏联的消亡（ДЕЗИНТЕГРАЦИЯ СССР）合法化</w:t>
      </w:r>
      <w:r>
        <w:rPr>
          <w:rStyle w:val="20"/>
          <w:rFonts w:hint="eastAsia" w:ascii="宋体" w:hAnsi="宋体" w:eastAsia="宋体" w:cs="宋体"/>
          <w:color w:val="000000"/>
          <w:sz w:val="24"/>
          <w:szCs w:val="21"/>
          <w:lang w:val="ru-RU"/>
        </w:rPr>
        <w:footnoteReference w:id="239"/>
      </w:r>
      <w:r>
        <w:rPr>
          <w:rFonts w:hint="eastAsia"/>
          <w:sz w:val="24"/>
          <w:lang w:val="ru-RU"/>
        </w:rPr>
        <w:t>，因而其赞同中国程恩富教授所提出的苏联被瓦解和被摧毁的术语（РАЗВАЛ СССР）。持这种观点的学者认为，苏联是被摧毁和瓦解的，是由于历史的随机性、外部原因以及苏联共产党和苏联国家领导人的错误决策的综合作用的结果，而不是其基本经济政治文化制度必然如此。</w:t>
      </w:r>
    </w:p>
    <w:p w14:paraId="17E23F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与此同时，已故俄罗斯外交学院教授А.О. 赫里斯托夫还从法学角度解释了苏联为什么不是合法解体，而是被摧毁。他认为：“尽管联盟制国家宣布自身不再继续存在的现象是正常的……但是只有作为苏联最高权力机关的苏联最高苏维埃才有权暂停或终止苏联宪法或其他联盟法律在加盟共和国领土上的效力”；“签署《别洛韦日协定》的签署标志着Б.Н. 叶利钦再次违反了1990年4月3日苏联最高苏维埃通过的关于加盟共和国脱离苏联的程序法，以及包括俄罗斯在内的全苏人民的76%的意愿——这是1991年3月27日的全民公决中的结果”；“因此，苏联并不是解体，而是被摧毁……而历史学界和政治学界长期将其错误地称为‘苏联解体’，其在相当大的程度上实质是为М.С. 戈尔巴乔夫、Б.Н. 叶利钦及其支持者开脱罪责。”</w:t>
      </w:r>
      <w:r>
        <w:rPr>
          <w:rStyle w:val="20"/>
          <w:rFonts w:hint="eastAsia" w:ascii="宋体" w:hAnsi="宋体" w:eastAsia="宋体" w:cs="宋体"/>
          <w:color w:val="000000"/>
          <w:sz w:val="24"/>
          <w:szCs w:val="21"/>
          <w:lang w:val="ru-RU"/>
        </w:rPr>
        <w:footnoteReference w:id="240"/>
      </w:r>
    </w:p>
    <w:p w14:paraId="2F6987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ru-RU"/>
        </w:rPr>
      </w:pPr>
      <w:r>
        <w:rPr>
          <w:rFonts w:hint="eastAsia"/>
          <w:sz w:val="24"/>
          <w:lang w:val="ru-RU"/>
        </w:rPr>
        <w:t>2022年10月2日，俄共中央主席Г.А. 久加诺夫再次强调：“在1991年时，我们的苏维埃国家——苏联是被活生生地撕裂了的，而不是所谓的解体。”</w:t>
      </w:r>
      <w:r>
        <w:rPr>
          <w:rStyle w:val="20"/>
          <w:rFonts w:hint="eastAsia" w:ascii="宋体" w:hAnsi="宋体" w:eastAsia="宋体" w:cs="宋体"/>
          <w:color w:val="000000"/>
          <w:sz w:val="24"/>
          <w:szCs w:val="21"/>
          <w:lang w:val="ru-RU"/>
        </w:rPr>
        <w:footnoteReference w:id="241"/>
      </w:r>
      <w:r>
        <w:rPr>
          <w:rFonts w:hint="eastAsia"/>
          <w:sz w:val="24"/>
          <w:lang w:val="ru-RU"/>
        </w:rPr>
        <w:t>而俄罗斯总统В.В. 普京在2022年9月底承认顿涅茨克、卢甘斯克、扎波罗热和赫尔松加入俄罗斯的讲话中也对其苏联是被瓦解和被摧毁的事实做出了肯定性的结论，其指出：“1991年，在别洛韦日丛林，当时的党内精英的代表在没有通过和考虑人民的意愿的情况下就自行决定瓦解了苏联。人民是在突然之间发现自己的祖国被撕裂的。整个多民族国家被撕裂和肢解，形成了一场全国性的灾难……事实上，正是苏联的最后的领导人违背了1991年全民公决中的大多数人的直接意愿，直接摧毁了我们的伟大国家，并将此作为既成事实摆在了人民的面前。”</w:t>
      </w:r>
      <w:r>
        <w:rPr>
          <w:rStyle w:val="20"/>
          <w:rFonts w:hint="eastAsia" w:ascii="宋体" w:hAnsi="宋体" w:eastAsia="宋体" w:cs="宋体"/>
          <w:color w:val="000000"/>
          <w:sz w:val="24"/>
          <w:szCs w:val="21"/>
          <w:lang w:val="ru-RU"/>
        </w:rPr>
        <w:footnoteReference w:id="242"/>
      </w:r>
    </w:p>
    <w:p w14:paraId="540FB27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总的来说，一部苏共和苏联不断发展壮大到被摧毁的历史，就是一部国际国内阶级斗争史。为了理想的人类未来，在社会主义和资本主义的较量中，社会主义必须也必然胜利，我们没有任何退路。社会主义不相信眼泪，我们有理由相信：“列宁主义不仅指导苏俄无产阶级革命和建设取得了胜利，是马克思主义苏俄化理论，而且一直指导国际无产阶级革命和建设，是与马克思恩格斯主义并列的国际马克思主义理论。在21世纪，世界级马列主义依然具有极大的当代价值和‘在场’，马列主义及其各国化理论必将推动世界社会主义从低潮走向高潮和胜利。”</w:t>
      </w:r>
      <w:r>
        <w:rPr>
          <w:rStyle w:val="20"/>
          <w:rFonts w:hint="eastAsia" w:ascii="宋体" w:hAnsi="宋体" w:eastAsia="宋体" w:cs="宋体"/>
          <w:color w:val="000000"/>
          <w:sz w:val="24"/>
          <w:szCs w:val="21"/>
        </w:rPr>
        <w:footnoteReference w:id="243"/>
      </w:r>
      <w:r>
        <w:rPr>
          <w:rFonts w:hint="eastAsia"/>
          <w:sz w:val="24"/>
        </w:rPr>
        <w:t>以久加诺夫主席为首的俄罗斯联邦共产党和共产党联盟—苏共已经获得重大发展，正在推动俄罗斯和原苏联各加盟共和国的不断进步和文明化。苏共和苏联被摧毁的巨大代价，正在转化成人类再次追求社会主义的力量。从这个意义上说，В.И. 列宁、И.В. 斯大林、伟大的十月社会主义革命精神和苏联社会主义现代化建设精神在人类通往未来文明之路上永远“在场”，绝不会缺席！</w:t>
      </w:r>
    </w:p>
    <w:p w14:paraId="22BCB0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对此，我们任重而道远！</w:t>
      </w:r>
    </w:p>
    <w:p w14:paraId="1DB9F5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参考文献</w:t>
      </w:r>
    </w:p>
    <w:p w14:paraId="49B041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[1]《毛泽东文集》第6卷，北京：人民出版社，1999年。</w:t>
      </w:r>
    </w:p>
    <w:p w14:paraId="6C4B0F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[2]中国社会科学院马克思主义研究院：《程恩富学术思想研究》第2辑，北京：经济科学出版社，2021年。</w:t>
      </w:r>
    </w:p>
    <w:p w14:paraId="0037B7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[3]《习近平谈治国理政》第3卷，北京：外文出版社，2020年。</w:t>
      </w:r>
    </w:p>
    <w:p w14:paraId="1F1084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[4]（苏）瓦•博尔金：《戈尔巴乔夫沉浮录》，</w:t>
      </w:r>
      <w:r>
        <w:rPr>
          <w:rFonts w:hint="eastAsia"/>
          <w:sz w:val="24"/>
        </w:rPr>
        <w:fldChar w:fldCharType="begin"/>
      </w:r>
      <w:r>
        <w:rPr>
          <w:rFonts w:hint="eastAsia"/>
          <w:sz w:val="24"/>
        </w:rPr>
        <w:instrText xml:space="preserve"> HYPERLINK "http://search.dangdang.com/?key2=%C0%EE%D3%C0%C8%AB&amp;medium=01&amp;category_path=01.00.00.00.00.00" \t "http://product.dangdang.com/_blank" </w:instrText>
      </w:r>
      <w:r>
        <w:rPr>
          <w:rFonts w:hint="eastAsia"/>
          <w:sz w:val="24"/>
        </w:rPr>
        <w:fldChar w:fldCharType="separate"/>
      </w:r>
      <w:r>
        <w:rPr>
          <w:rFonts w:hint="eastAsia"/>
          <w:sz w:val="24"/>
        </w:rPr>
        <w:t>李永全</w:t>
      </w:r>
      <w:r>
        <w:rPr>
          <w:rFonts w:hint="eastAsia"/>
          <w:sz w:val="24"/>
        </w:rPr>
        <w:fldChar w:fldCharType="end"/>
      </w:r>
      <w:r>
        <w:rPr>
          <w:rFonts w:hint="eastAsia"/>
          <w:sz w:val="24"/>
        </w:rPr>
        <w:t>，等译.北京：中央编译出版社，1996。</w:t>
      </w:r>
    </w:p>
    <w:p w14:paraId="1E924A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[5]（苏）尼•伊•雷日科夫：《大国悲剧》，徐昌翰，等译.北京：新华出版社，2008，</w:t>
      </w:r>
    </w:p>
    <w:p w14:paraId="03D8712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[6]李伟：《否定斯大林是苏联亡国的根本原因》，《探索》2010年第1期。</w:t>
      </w:r>
    </w:p>
    <w:p w14:paraId="0B47E6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[7]黄硕风：《综合国力论》，北京：中国社会科学出版社，1992。</w:t>
      </w:r>
    </w:p>
    <w:p w14:paraId="0C03252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lang w:val="en-US" w:eastAsia="zh-CN"/>
        </w:rPr>
        <w:t>原载《政治经济学研究》2022年第4期。</w:t>
      </w:r>
      <w:r>
        <w:rPr>
          <w:rFonts w:hint="eastAsia"/>
          <w:sz w:val="24"/>
          <w:lang w:eastAsia="zh-CN"/>
        </w:rPr>
        <w:t>）</w:t>
      </w:r>
    </w:p>
    <w:p w14:paraId="2F3D13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686C96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564486E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3A2E2C8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602" w:firstLineChars="500"/>
        <w:textAlignment w:val="auto"/>
        <w:outlineLvl w:val="1"/>
        <w:rPr>
          <w:rFonts w:hint="default" w:ascii="Arial" w:hAnsi="Arial" w:eastAsia="宋体" w:cs="Arial"/>
          <w:b/>
          <w:bCs/>
          <w:i w:val="0"/>
          <w:caps w:val="0"/>
          <w:color w:val="auto"/>
          <w:spacing w:val="0"/>
          <w:kern w:val="0"/>
          <w:sz w:val="32"/>
          <w:szCs w:val="32"/>
          <w:lang w:val="en-US" w:eastAsia="zh-CN" w:bidi="ar"/>
        </w:rPr>
      </w:pPr>
      <w:bookmarkStart w:id="122" w:name="_Toc1416132225"/>
      <w:bookmarkStart w:id="123" w:name="_Toc749445310"/>
      <w:bookmarkStart w:id="124" w:name="_Toc553674415"/>
      <w:bookmarkStart w:id="125" w:name="_Toc1554241085"/>
      <w:bookmarkStart w:id="126" w:name="_Toc30711"/>
      <w:bookmarkStart w:id="127" w:name="_Toc78896156"/>
      <w:r>
        <w:rPr>
          <w:rFonts w:hint="eastAsia" w:ascii="Arial" w:hAnsi="Arial" w:eastAsia="宋体" w:cs="Arial"/>
          <w:b/>
          <w:bCs/>
          <w:i w:val="0"/>
          <w:caps w:val="0"/>
          <w:color w:val="auto"/>
          <w:spacing w:val="0"/>
          <w:kern w:val="0"/>
          <w:sz w:val="32"/>
          <w:szCs w:val="32"/>
          <w:lang w:val="en-US" w:eastAsia="zh-CN" w:bidi="ar"/>
        </w:rPr>
        <w:t>13列宁主义有何科学性和当代价值？</w:t>
      </w:r>
      <w:r>
        <w:rPr>
          <w:rFonts w:hint="eastAsia" w:ascii="Arial" w:hAnsi="Arial" w:eastAsia="宋体" w:cs="Arial"/>
          <w:b/>
          <w:bCs/>
          <w:i w:val="0"/>
          <w:caps w:val="0"/>
          <w:color w:val="auto"/>
          <w:spacing w:val="0"/>
          <w:kern w:val="0"/>
          <w:sz w:val="32"/>
          <w:szCs w:val="32"/>
          <w:lang w:val="en-US" w:eastAsia="zh-CN" w:bidi="ar"/>
        </w:rPr>
        <w:br w:type="textWrapping"/>
      </w:r>
      <w:r>
        <w:rPr>
          <w:rFonts w:hint="default" w:ascii="Arial" w:hAnsi="Arial" w:eastAsia="宋体" w:cs="Arial"/>
          <w:b/>
          <w:bCs/>
          <w:i w:val="0"/>
          <w:caps w:val="0"/>
          <w:color w:val="auto"/>
          <w:spacing w:val="0"/>
          <w:kern w:val="0"/>
          <w:sz w:val="32"/>
          <w:szCs w:val="32"/>
          <w:lang w:val="en-US" w:eastAsia="zh-CN" w:bidi="ar"/>
        </w:rPr>
        <w:t>——与</w:t>
      </w:r>
      <w:r>
        <w:rPr>
          <w:rFonts w:hint="eastAsia" w:ascii="Arial" w:hAnsi="Arial" w:eastAsia="宋体" w:cs="Arial"/>
          <w:b/>
          <w:bCs/>
          <w:i w:val="0"/>
          <w:caps w:val="0"/>
          <w:color w:val="auto"/>
          <w:spacing w:val="0"/>
          <w:kern w:val="0"/>
          <w:sz w:val="32"/>
          <w:szCs w:val="32"/>
          <w:lang w:val="en-US" w:eastAsia="zh-CN" w:bidi="ar"/>
        </w:rPr>
        <w:t>英国</w:t>
      </w:r>
      <w:r>
        <w:rPr>
          <w:rFonts w:hint="default" w:ascii="Arial" w:hAnsi="Arial" w:eastAsia="宋体" w:cs="Arial"/>
          <w:b/>
          <w:bCs/>
          <w:i w:val="0"/>
          <w:caps w:val="0"/>
          <w:color w:val="auto"/>
          <w:spacing w:val="0"/>
          <w:kern w:val="0"/>
          <w:sz w:val="32"/>
          <w:szCs w:val="32"/>
          <w:lang w:val="en-US" w:eastAsia="zh-CN" w:bidi="ar"/>
        </w:rPr>
        <w:t>大卫·莱恩</w:t>
      </w:r>
      <w:r>
        <w:rPr>
          <w:rFonts w:hint="eastAsia" w:ascii="Arial" w:hAnsi="Arial" w:eastAsia="宋体" w:cs="Arial"/>
          <w:b/>
          <w:bCs/>
          <w:i w:val="0"/>
          <w:caps w:val="0"/>
          <w:color w:val="auto"/>
          <w:spacing w:val="0"/>
          <w:kern w:val="0"/>
          <w:sz w:val="32"/>
          <w:szCs w:val="32"/>
          <w:lang w:val="en-US" w:eastAsia="zh-CN" w:bidi="ar"/>
        </w:rPr>
        <w:t>院士</w:t>
      </w:r>
      <w:r>
        <w:rPr>
          <w:rFonts w:hint="default" w:ascii="Arial" w:hAnsi="Arial" w:eastAsia="宋体" w:cs="Arial"/>
          <w:b/>
          <w:bCs/>
          <w:i w:val="0"/>
          <w:caps w:val="0"/>
          <w:color w:val="auto"/>
          <w:spacing w:val="0"/>
          <w:kern w:val="0"/>
          <w:sz w:val="32"/>
          <w:szCs w:val="32"/>
          <w:lang w:val="en-US" w:eastAsia="zh-CN" w:bidi="ar"/>
        </w:rPr>
        <w:t>商榷</w:t>
      </w:r>
      <w:bookmarkEnd w:id="122"/>
      <w:bookmarkEnd w:id="123"/>
      <w:bookmarkEnd w:id="124"/>
      <w:bookmarkEnd w:id="125"/>
      <w:bookmarkEnd w:id="126"/>
      <w:bookmarkEnd w:id="127"/>
    </w:p>
    <w:p w14:paraId="28CC16C4">
      <w:pPr>
        <w:spacing w:line="360" w:lineRule="auto"/>
        <w:ind w:firstLine="480" w:firstLineChars="200"/>
        <w:rPr>
          <w:rFonts w:hint="default" w:ascii="Arial" w:hAnsi="Arial" w:eastAsia="宋体" w:cs="Arial"/>
          <w:b w:val="0"/>
          <w:bCs w:val="0"/>
          <w:i w:val="0"/>
          <w:caps w:val="0"/>
          <w:color w:val="auto"/>
          <w:spacing w:val="0"/>
          <w:kern w:val="0"/>
          <w:sz w:val="24"/>
          <w:szCs w:val="24"/>
          <w:lang w:val="en-US" w:eastAsia="zh-CN" w:bidi="ar"/>
        </w:rPr>
      </w:pPr>
    </w:p>
    <w:p w14:paraId="175D55BE">
      <w:pPr>
        <w:spacing w:line="360" w:lineRule="auto"/>
        <w:ind w:firstLine="480" w:firstLineChars="200"/>
        <w:rPr>
          <w:rFonts w:hint="eastAsia" w:ascii="Arial" w:hAnsi="Arial" w:eastAsia="宋体" w:cs="Arial"/>
          <w:b w:val="0"/>
          <w:bCs w:val="0"/>
          <w:i w:val="0"/>
          <w:caps w:val="0"/>
          <w:color w:val="auto"/>
          <w:spacing w:val="0"/>
          <w:kern w:val="0"/>
          <w:sz w:val="24"/>
          <w:szCs w:val="24"/>
          <w:lang w:val="en-US" w:eastAsia="zh-CN" w:bidi="ar"/>
        </w:rPr>
      </w:pPr>
      <w:r>
        <w:rPr>
          <w:rFonts w:hint="default" w:ascii="Arial" w:hAnsi="Arial" w:eastAsia="宋体" w:cs="Arial"/>
          <w:b w:val="0"/>
          <w:bCs w:val="0"/>
          <w:i w:val="0"/>
          <w:caps w:val="0"/>
          <w:color w:val="auto"/>
          <w:spacing w:val="0"/>
          <w:kern w:val="0"/>
          <w:sz w:val="24"/>
          <w:szCs w:val="24"/>
          <w:lang w:val="en-US" w:eastAsia="zh-CN" w:bidi="ar"/>
        </w:rPr>
        <w:t>英国剑桥大学伊曼纽尔学院大卫·莱恩院士</w:t>
      </w:r>
      <w:r>
        <w:rPr>
          <w:rFonts w:hint="eastAsia" w:ascii="Arial" w:hAnsi="Arial" w:eastAsia="宋体" w:cs="Arial"/>
          <w:b w:val="0"/>
          <w:bCs w:val="0"/>
          <w:i w:val="0"/>
          <w:caps w:val="0"/>
          <w:color w:val="auto"/>
          <w:spacing w:val="0"/>
          <w:kern w:val="0"/>
          <w:sz w:val="24"/>
          <w:szCs w:val="24"/>
          <w:lang w:val="en-US" w:eastAsia="zh-CN" w:bidi="ar"/>
        </w:rPr>
        <w:t>发表《</w:t>
      </w:r>
      <w:r>
        <w:rPr>
          <w:rFonts w:hint="eastAsia" w:ascii="宋体" w:hAnsi="宋体" w:eastAsia="宋体" w:cs="Times New Roman"/>
          <w:b w:val="0"/>
          <w:bCs w:val="0"/>
          <w:color w:val="auto"/>
          <w:sz w:val="24"/>
          <w:szCs w:val="24"/>
          <w:lang w:eastAsia="zh-CN"/>
        </w:rPr>
        <w:t>列宁</w:t>
      </w:r>
      <w:r>
        <w:rPr>
          <w:rFonts w:ascii="宋体" w:hAnsi="宋体" w:eastAsia="宋体" w:cs="Times New Roman"/>
          <w:b w:val="0"/>
          <w:bCs w:val="0"/>
          <w:color w:val="auto"/>
          <w:sz w:val="24"/>
          <w:szCs w:val="24"/>
          <w:lang w:eastAsia="zh-CN"/>
        </w:rPr>
        <w:t>与革命：</w:t>
      </w:r>
      <w:r>
        <w:rPr>
          <w:rFonts w:hint="eastAsia" w:ascii="宋体" w:hAnsi="宋体" w:eastAsia="宋体" w:cs="Times New Roman"/>
          <w:b w:val="0"/>
          <w:bCs w:val="0"/>
          <w:color w:val="auto"/>
          <w:sz w:val="24"/>
          <w:szCs w:val="24"/>
          <w:lang w:eastAsia="zh-CN"/>
        </w:rPr>
        <w:t>一种</w:t>
      </w:r>
      <w:r>
        <w:rPr>
          <w:rFonts w:ascii="宋体" w:hAnsi="宋体" w:eastAsia="宋体" w:cs="Times New Roman"/>
          <w:b w:val="0"/>
          <w:bCs w:val="0"/>
          <w:color w:val="auto"/>
          <w:sz w:val="24"/>
          <w:szCs w:val="24"/>
          <w:lang w:eastAsia="zh-CN"/>
        </w:rPr>
        <w:t>批判——昨天与今天</w:t>
      </w:r>
      <w:r>
        <w:rPr>
          <w:rFonts w:hint="eastAsia" w:ascii="Arial" w:hAnsi="Arial" w:eastAsia="宋体" w:cs="Arial"/>
          <w:b w:val="0"/>
          <w:bCs w:val="0"/>
          <w:i w:val="0"/>
          <w:caps w:val="0"/>
          <w:color w:val="auto"/>
          <w:spacing w:val="0"/>
          <w:kern w:val="0"/>
          <w:sz w:val="24"/>
          <w:szCs w:val="24"/>
          <w:lang w:val="en-US" w:eastAsia="zh-CN" w:bidi="ar"/>
        </w:rPr>
        <w:t>》一文（以下简称《论列宁》）。这篇论文围绕列宁主义提出了十分重要的学术观点和当代现实价值问题。本人敬佩莱恩教授研究马列主义，赞成其中许多客观的评论，但也有一些不赞成的主要观点，现提出商榷意见，以便深化这一讨论。《论列宁》一文在论述列宁主义有关理论和政策基础上得出九个结论，为了不歪曲作者的原意，以下引用这些结论并作出评析。</w:t>
      </w:r>
    </w:p>
    <w:p w14:paraId="771767B1">
      <w:pPr>
        <w:numPr>
          <w:ilvl w:val="0"/>
          <w:numId w:val="0"/>
        </w:numPr>
        <w:spacing w:after="0" w:line="360" w:lineRule="auto"/>
        <w:ind w:firstLine="961" w:firstLineChars="4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bCs/>
          <w:color w:val="auto"/>
          <w:sz w:val="24"/>
          <w:szCs w:val="24"/>
          <w:lang w:val="en-US" w:eastAsia="zh-CN"/>
        </w:rPr>
        <w:t>一、如何正确认识工人阶级和社会主义运动？</w:t>
      </w:r>
    </w:p>
    <w:p w14:paraId="42FC9853">
      <w:pPr>
        <w:numPr>
          <w:ilvl w:val="0"/>
          <w:numId w:val="0"/>
        </w:num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eastAsia="zh-CN"/>
        </w:rPr>
        <w:t>列宁对西方先进资本主义国家的工人阶级和社会主义运动的认识是扭曲的</w:t>
      </w:r>
      <w:r>
        <w:rPr>
          <w:rFonts w:hint="eastAsia" w:ascii="宋体" w:hAnsi="宋体" w:eastAsia="宋体" w:cs="Times New Roman"/>
          <w:b w:val="0"/>
          <w:bCs w:val="0"/>
          <w:color w:val="auto"/>
          <w:sz w:val="24"/>
          <w:szCs w:val="24"/>
          <w:lang w:val="en-US" w:eastAsia="zh-CN"/>
        </w:rPr>
        <w:t>吗？该文第一个结论写道：“</w:t>
      </w:r>
      <w:r>
        <w:rPr>
          <w:rFonts w:hint="eastAsia" w:ascii="宋体" w:hAnsi="宋体" w:eastAsia="宋体" w:cs="Times New Roman"/>
          <w:b w:val="0"/>
          <w:bCs w:val="0"/>
          <w:color w:val="auto"/>
          <w:sz w:val="24"/>
          <w:szCs w:val="24"/>
          <w:lang w:eastAsia="zh-CN"/>
        </w:rPr>
        <w:t>列宁对西方先进资本主义国家的工人阶级和社会主义运动的认识是有限的也是扭曲的。他的具体建议仅适用于与资本主义全球化的21世纪截然不同的时代，19世纪的解决方案无法用来解决21世纪的问题。列宁的思维方式和他的解决方案是为专制</w:t>
      </w:r>
      <w:r>
        <w:rPr>
          <w:rFonts w:ascii="宋体" w:hAnsi="宋体" w:eastAsia="宋体" w:cs="Times New Roman"/>
          <w:b w:val="0"/>
          <w:bCs w:val="0"/>
          <w:color w:val="auto"/>
          <w:sz w:val="24"/>
          <w:szCs w:val="24"/>
          <w:lang w:eastAsia="zh-CN"/>
        </w:rPr>
        <w:t>政府统治下的</w:t>
      </w:r>
      <w:r>
        <w:rPr>
          <w:rFonts w:hint="eastAsia" w:ascii="宋体" w:hAnsi="宋体" w:eastAsia="宋体" w:cs="Times New Roman"/>
          <w:b w:val="0"/>
          <w:bCs w:val="0"/>
          <w:color w:val="auto"/>
          <w:sz w:val="24"/>
          <w:szCs w:val="24"/>
          <w:lang w:eastAsia="zh-CN"/>
        </w:rPr>
        <w:t>前资本主义社会设计的，不是为发达的后工业社会设计的。我们可以‘回到’，但不能‘重复’20世纪初的列宁。在某些情况下，我们可能会根据新的理论或证据‘更新</w:t>
      </w:r>
      <w:r>
        <w:rPr>
          <w:rFonts w:hint="default"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或修改他的做法，但在某些情况下，我们必须放弃他的推理，拒绝他的结论。此外，阶级冲突和剥削必须在其他形式的人类统治和压迫的过程中‘更新</w:t>
      </w:r>
      <w:r>
        <w:rPr>
          <w:rFonts w:hint="default"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。废除阶级是必要的，但不足以实现人类解放。</w:t>
      </w:r>
      <w:r>
        <w:rPr>
          <w:rFonts w:hint="eastAsia" w:ascii="宋体" w:hAnsi="宋体" w:eastAsia="宋体" w:cs="Times New Roman"/>
          <w:b w:val="0"/>
          <w:bCs w:val="0"/>
          <w:color w:val="auto"/>
          <w:sz w:val="24"/>
          <w:szCs w:val="24"/>
          <w:lang w:val="en-US" w:eastAsia="zh-CN"/>
        </w:rPr>
        <w:t>”</w:t>
      </w:r>
    </w:p>
    <w:p w14:paraId="4715856C">
      <w:pPr>
        <w:spacing w:after="0" w:line="360" w:lineRule="auto"/>
        <w:ind w:firstLine="480" w:firstLineChars="200"/>
        <w:jc w:val="both"/>
        <w:rPr>
          <w:rFonts w:hint="eastAsia" w:ascii="Arial" w:hAnsi="Arial" w:eastAsia="宋体" w:cs="Arial"/>
          <w:b w:val="0"/>
          <w:bCs w:val="0"/>
          <w:i w:val="0"/>
          <w:caps w:val="0"/>
          <w:color w:val="auto"/>
          <w:spacing w:val="0"/>
          <w:kern w:val="0"/>
          <w:sz w:val="24"/>
          <w:szCs w:val="24"/>
          <w:lang w:val="en-US" w:eastAsia="zh-CN" w:bidi="ar"/>
        </w:rPr>
      </w:pPr>
      <w:r>
        <w:rPr>
          <w:rFonts w:hint="eastAsia" w:ascii="Arial" w:hAnsi="Arial" w:eastAsia="宋体" w:cs="Arial"/>
          <w:b w:val="0"/>
          <w:bCs w:val="0"/>
          <w:i w:val="0"/>
          <w:caps w:val="0"/>
          <w:color w:val="auto"/>
          <w:spacing w:val="0"/>
          <w:kern w:val="0"/>
          <w:sz w:val="24"/>
          <w:szCs w:val="24"/>
          <w:lang w:val="en-US" w:eastAsia="zh-CN" w:bidi="ar"/>
        </w:rPr>
        <w:t>在上述第一个结论中，有以下三个基本论点值得商榷。</w:t>
      </w:r>
    </w:p>
    <w:p w14:paraId="7B8BEA45">
      <w:pPr>
        <w:keepNext w:val="0"/>
        <w:keepLines w:val="0"/>
        <w:widowControl/>
        <w:numPr>
          <w:ilvl w:val="0"/>
          <w:numId w:val="0"/>
        </w:numPr>
        <w:suppressLineNumbers w:val="0"/>
        <w:spacing w:line="360" w:lineRule="auto"/>
        <w:ind w:firstLine="480" w:firstLineChars="200"/>
        <w:jc w:val="left"/>
        <w:rPr>
          <w:rFonts w:hint="eastAsia" w:ascii="Arial" w:hAnsi="Arial" w:eastAsia="宋体" w:cs="Arial"/>
          <w:b w:val="0"/>
          <w:bCs w:val="0"/>
          <w:i w:val="0"/>
          <w:caps w:val="0"/>
          <w:color w:val="auto"/>
          <w:spacing w:val="0"/>
          <w:kern w:val="0"/>
          <w:sz w:val="24"/>
          <w:szCs w:val="24"/>
          <w:lang w:val="en-US" w:eastAsia="zh-CN" w:bidi="ar"/>
        </w:rPr>
      </w:pPr>
      <w:r>
        <w:rPr>
          <w:rFonts w:hint="eastAsia" w:ascii="Arial" w:hAnsi="Arial" w:eastAsia="宋体" w:cs="Arial"/>
          <w:b w:val="0"/>
          <w:bCs w:val="0"/>
          <w:i w:val="0"/>
          <w:caps w:val="0"/>
          <w:color w:val="auto"/>
          <w:spacing w:val="0"/>
          <w:kern w:val="0"/>
          <w:sz w:val="24"/>
          <w:szCs w:val="24"/>
          <w:lang w:val="en-US" w:eastAsia="zh-CN" w:bidi="ar"/>
        </w:rPr>
        <w:t>1、“</w:t>
      </w:r>
      <w:r>
        <w:rPr>
          <w:rFonts w:hint="eastAsia" w:ascii="宋体" w:hAnsi="宋体" w:eastAsia="宋体" w:cs="Times New Roman"/>
          <w:b w:val="0"/>
          <w:bCs w:val="0"/>
          <w:color w:val="auto"/>
          <w:sz w:val="24"/>
          <w:szCs w:val="24"/>
          <w:lang w:eastAsia="zh-CN"/>
        </w:rPr>
        <w:t>列宁对西方先进资本主义国家的工人阶级和社会主义运动的认识是有限的也是扭曲的</w:t>
      </w:r>
      <w:r>
        <w:rPr>
          <w:rFonts w:hint="eastAsia" w:ascii="Arial" w:hAnsi="Arial" w:eastAsia="宋体" w:cs="Arial"/>
          <w:b w:val="0"/>
          <w:bCs w:val="0"/>
          <w:i w:val="0"/>
          <w:caps w:val="0"/>
          <w:color w:val="auto"/>
          <w:spacing w:val="0"/>
          <w:kern w:val="0"/>
          <w:sz w:val="24"/>
          <w:szCs w:val="24"/>
          <w:lang w:val="en-US" w:eastAsia="zh-CN" w:bidi="ar"/>
        </w:rPr>
        <w:t>”吗？该文认为列宁这一观点是扭曲的理由在于：“‘</w:t>
      </w:r>
      <w:r>
        <w:rPr>
          <w:rFonts w:hint="eastAsia" w:ascii="宋体" w:hAnsi="宋体" w:eastAsia="宋体" w:cs="Times New Roman"/>
          <w:b w:val="0"/>
          <w:bCs w:val="0"/>
          <w:color w:val="auto"/>
          <w:sz w:val="24"/>
          <w:szCs w:val="24"/>
          <w:lang w:eastAsia="zh-CN"/>
        </w:rPr>
        <w:t>无产阶级</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这一概念不再代表西方工人阶级，西方工人阶级在职业构成上出现了高度的差别化和异质性。采掘、金属加工和生产性工业——列宁所界定的无产阶级所属的主要产业——以牺牲第三产业为代价而衰落了。</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在西方国家，劳动力主要由非无产阶级的工人阶级组成，列宁所定义的无产阶级只是劳动力的一小部分。</w:t>
      </w:r>
      <w:r>
        <w:rPr>
          <w:rFonts w:hint="eastAsia" w:ascii="Arial" w:hAnsi="Arial" w:eastAsia="宋体" w:cs="Arial"/>
          <w:b w:val="0"/>
          <w:bCs w:val="0"/>
          <w:i w:val="0"/>
          <w:caps w:val="0"/>
          <w:color w:val="auto"/>
          <w:spacing w:val="0"/>
          <w:kern w:val="0"/>
          <w:sz w:val="24"/>
          <w:szCs w:val="24"/>
          <w:lang w:val="en-US" w:eastAsia="zh-CN" w:bidi="ar"/>
        </w:rPr>
        <w:t>”显然，这个批评的理由是站不住的。</w:t>
      </w:r>
    </w:p>
    <w:p w14:paraId="61608259">
      <w:pPr>
        <w:keepNext w:val="0"/>
        <w:keepLines w:val="0"/>
        <w:widowControl/>
        <w:numPr>
          <w:ilvl w:val="0"/>
          <w:numId w:val="0"/>
        </w:numPr>
        <w:suppressLineNumbers w:val="0"/>
        <w:spacing w:line="360" w:lineRule="auto"/>
        <w:ind w:firstLine="480" w:firstLineChars="200"/>
        <w:jc w:val="left"/>
        <w:rPr>
          <w:rFonts w:hint="default" w:ascii="Arial" w:hAnsi="Arial" w:eastAsia="宋体" w:cs="Arial"/>
          <w:b w:val="0"/>
          <w:bCs w:val="0"/>
          <w:i w:val="0"/>
          <w:caps w:val="0"/>
          <w:color w:val="auto"/>
          <w:spacing w:val="0"/>
          <w:kern w:val="0"/>
          <w:sz w:val="24"/>
          <w:szCs w:val="24"/>
          <w:lang w:val="en-US" w:eastAsia="zh-CN" w:bidi="ar"/>
        </w:rPr>
      </w:pPr>
      <w:r>
        <w:rPr>
          <w:rFonts w:hint="eastAsia" w:ascii="Arial" w:hAnsi="Arial" w:eastAsia="宋体" w:cs="Arial"/>
          <w:b w:val="0"/>
          <w:bCs w:val="0"/>
          <w:i w:val="0"/>
          <w:caps w:val="0"/>
          <w:color w:val="auto"/>
          <w:spacing w:val="0"/>
          <w:kern w:val="0"/>
          <w:sz w:val="24"/>
          <w:szCs w:val="24"/>
          <w:lang w:val="en-US" w:eastAsia="zh-CN" w:bidi="ar"/>
        </w:rPr>
        <w:t>众所周知，在马克思和列宁的理论中，资本主义生产方式中的“无产阶级”“工人阶级”“劳动阶级”是一个含义，而不管劳动者是在哪个产业和公司工作。恩格斯明确指出：“</w:t>
      </w:r>
      <w:r>
        <w:rPr>
          <w:rFonts w:hint="eastAsia"/>
          <w:b w:val="0"/>
          <w:bCs w:val="0"/>
          <w:color w:val="auto"/>
          <w:sz w:val="24"/>
          <w:szCs w:val="24"/>
        </w:rPr>
        <w:t>无产阶级是专靠出卖自己的劳动而不是靠某一种资本的利润来获得生活资料的社会阶级。</w:t>
      </w:r>
      <w:r>
        <w:rPr>
          <w:rFonts w:hint="eastAsia"/>
          <w:b w:val="0"/>
          <w:bCs w:val="0"/>
          <w:color w:val="auto"/>
          <w:sz w:val="24"/>
          <w:szCs w:val="24"/>
          <w:lang w:val="en-US" w:eastAsia="zh-CN"/>
        </w:rPr>
        <w:t>......</w:t>
      </w:r>
      <w:r>
        <w:rPr>
          <w:rFonts w:hint="eastAsia"/>
          <w:b w:val="0"/>
          <w:bCs w:val="0"/>
          <w:color w:val="auto"/>
          <w:sz w:val="24"/>
          <w:szCs w:val="24"/>
        </w:rPr>
        <w:t>一句话，无产阶级或无产者阶级就是19世纪的劳动阶级。</w:t>
      </w:r>
      <w:r>
        <w:rPr>
          <w:rFonts w:hint="eastAsia"/>
          <w:b w:val="0"/>
          <w:bCs w:val="0"/>
          <w:color w:val="auto"/>
          <w:sz w:val="24"/>
          <w:szCs w:val="24"/>
          <w:lang w:eastAsia="zh-CN"/>
        </w:rPr>
        <w:t>”</w:t>
      </w:r>
      <w:r>
        <w:rPr>
          <w:rStyle w:val="20"/>
          <w:rFonts w:hint="eastAsia"/>
          <w:b w:val="0"/>
          <w:bCs w:val="0"/>
          <w:color w:val="auto"/>
          <w:sz w:val="24"/>
          <w:szCs w:val="24"/>
          <w:lang w:eastAsia="zh-CN"/>
        </w:rPr>
        <w:footnoteReference w:id="244"/>
      </w:r>
      <w:r>
        <w:rPr>
          <w:rFonts w:hint="eastAsia"/>
          <w:b w:val="0"/>
          <w:bCs w:val="0"/>
          <w:color w:val="auto"/>
          <w:sz w:val="24"/>
          <w:szCs w:val="24"/>
          <w:lang w:val="en-US" w:eastAsia="zh-CN"/>
        </w:rPr>
        <w:t>列宁也明确指出：“</w:t>
      </w:r>
      <w:r>
        <w:rPr>
          <w:rFonts w:hint="eastAsia" w:ascii="宋体" w:hAnsi="宋体" w:eastAsia="宋体" w:cs="宋体"/>
          <w:b w:val="0"/>
          <w:bCs w:val="0"/>
          <w:color w:val="auto"/>
          <w:kern w:val="0"/>
          <w:sz w:val="24"/>
          <w:szCs w:val="24"/>
          <w:lang w:val="en-US" w:eastAsia="zh-CN" w:bidi="ar"/>
        </w:rPr>
        <w:t>所谓阶级，就是这样一些大的集团，这些集团在历史上一定社会生产体系中所处的地位不同，同生产资料的关系（这种关系大部分是在法律上明文规定了的）不同，在社会劳动组织中所起的作用不同，因而取得归自己支配的那份社会财富的方式和多寡也不同。所谓阶级，就是这样一些集团，由一定社会经济结构中所处的地位不同，其中一个集团能够占有另一个集团的劳动。</w:t>
      </w:r>
      <w:r>
        <w:rPr>
          <w:rFonts w:hint="eastAsia"/>
          <w:b w:val="0"/>
          <w:bCs w:val="0"/>
          <w:color w:val="auto"/>
          <w:sz w:val="24"/>
          <w:szCs w:val="24"/>
          <w:lang w:val="en-US" w:eastAsia="zh-CN"/>
        </w:rPr>
        <w:t>”</w:t>
      </w:r>
      <w:r>
        <w:rPr>
          <w:rStyle w:val="20"/>
          <w:rFonts w:hint="eastAsia"/>
          <w:b w:val="0"/>
          <w:bCs w:val="0"/>
          <w:color w:val="auto"/>
          <w:sz w:val="24"/>
          <w:szCs w:val="24"/>
          <w:lang w:val="en-US" w:eastAsia="zh-CN"/>
        </w:rPr>
        <w:footnoteReference w:id="245"/>
      </w:r>
      <w:r>
        <w:rPr>
          <w:rFonts w:hint="eastAsia"/>
          <w:b w:val="0"/>
          <w:bCs w:val="0"/>
          <w:color w:val="auto"/>
          <w:sz w:val="24"/>
          <w:szCs w:val="24"/>
          <w:lang w:val="en-US" w:eastAsia="zh-CN"/>
        </w:rPr>
        <w:t>可见，在马克思列宁主义的范畴中，只要没有生产资料和生活资料而必须受雇于资本主义企业或资本主义国家事业单位，并只依靠工资生活的劳动者，均属于资本主义范畴内的无产阶级或工人阶级或劳动阶级。</w:t>
      </w:r>
      <w:r>
        <w:rPr>
          <w:rFonts w:hint="eastAsia" w:ascii="宋体" w:hAnsi="宋体" w:eastAsia="宋体" w:cs="宋体"/>
          <w:b w:val="0"/>
          <w:bCs w:val="0"/>
          <w:i w:val="0"/>
          <w:iCs w:val="0"/>
          <w:caps w:val="0"/>
          <w:color w:val="000000"/>
          <w:spacing w:val="0"/>
          <w:sz w:val="24"/>
          <w:szCs w:val="24"/>
        </w:rPr>
        <w:t>从社会经济权力结构来进一步理解</w:t>
      </w:r>
      <w:r>
        <w:rPr>
          <w:rFonts w:hint="eastAsia" w:ascii="宋体" w:hAnsi="宋体" w:eastAsia="宋体" w:cs="宋体"/>
          <w:b w:val="0"/>
          <w:bCs w:val="0"/>
          <w:i w:val="0"/>
          <w:iCs w:val="0"/>
          <w:caps w:val="0"/>
          <w:color w:val="000000"/>
          <w:spacing w:val="0"/>
          <w:sz w:val="24"/>
          <w:szCs w:val="24"/>
          <w:lang w:eastAsia="zh-CN"/>
        </w:rPr>
        <w:t>，</w:t>
      </w:r>
      <w:r>
        <w:rPr>
          <w:rFonts w:hint="eastAsia" w:ascii="宋体" w:hAnsi="宋体" w:eastAsia="宋体" w:cs="宋体"/>
          <w:b w:val="0"/>
          <w:bCs w:val="0"/>
          <w:i w:val="0"/>
          <w:iCs w:val="0"/>
          <w:caps w:val="0"/>
          <w:color w:val="000000"/>
          <w:spacing w:val="0"/>
          <w:sz w:val="24"/>
          <w:szCs w:val="24"/>
        </w:rPr>
        <w:t>无产阶级</w:t>
      </w:r>
      <w:r>
        <w:rPr>
          <w:rFonts w:hint="eastAsia" w:ascii="宋体" w:hAnsi="宋体" w:eastAsia="宋体" w:cs="宋体"/>
          <w:b w:val="0"/>
          <w:bCs w:val="0"/>
          <w:i w:val="0"/>
          <w:iCs w:val="0"/>
          <w:caps w:val="0"/>
          <w:color w:val="000000"/>
          <w:spacing w:val="0"/>
          <w:sz w:val="24"/>
          <w:szCs w:val="24"/>
          <w:lang w:val="en-US" w:eastAsia="zh-CN"/>
        </w:rPr>
        <w:t>是</w:t>
      </w:r>
      <w:r>
        <w:rPr>
          <w:rFonts w:hint="eastAsia" w:ascii="宋体" w:hAnsi="宋体" w:eastAsia="宋体" w:cs="宋体"/>
          <w:b w:val="0"/>
          <w:bCs w:val="0"/>
          <w:i w:val="0"/>
          <w:iCs w:val="0"/>
          <w:caps w:val="0"/>
          <w:color w:val="000000"/>
          <w:spacing w:val="0"/>
          <w:sz w:val="24"/>
          <w:szCs w:val="24"/>
        </w:rPr>
        <w:t>受资产阶级由于占有生产资料（包括硬件与软件）而拥有的权力所支配的各个阶层的总体</w:t>
      </w:r>
      <w:r>
        <w:rPr>
          <w:rFonts w:hint="eastAsia" w:ascii="宋体" w:hAnsi="宋体" w:eastAsia="宋体" w:cs="宋体"/>
          <w:b w:val="0"/>
          <w:bCs w:val="0"/>
          <w:i w:val="0"/>
          <w:iCs w:val="0"/>
          <w:caps w:val="0"/>
          <w:color w:val="000000"/>
          <w:spacing w:val="0"/>
          <w:sz w:val="24"/>
          <w:szCs w:val="24"/>
          <w:lang w:eastAsia="zh-CN"/>
        </w:rPr>
        <w:t>。</w:t>
      </w:r>
      <w:r>
        <w:rPr>
          <w:rStyle w:val="20"/>
          <w:rFonts w:hint="eastAsia" w:ascii="宋体" w:hAnsi="宋体" w:eastAsia="宋体" w:cs="宋体"/>
          <w:b w:val="0"/>
          <w:bCs w:val="0"/>
          <w:i w:val="0"/>
          <w:iCs w:val="0"/>
          <w:caps w:val="0"/>
          <w:color w:val="000000"/>
          <w:spacing w:val="0"/>
          <w:sz w:val="24"/>
          <w:szCs w:val="24"/>
          <w:lang w:eastAsia="zh-CN"/>
        </w:rPr>
        <w:footnoteReference w:id="246"/>
      </w:r>
      <w:r>
        <w:rPr>
          <w:rFonts w:hint="eastAsia"/>
          <w:b w:val="0"/>
          <w:bCs w:val="0"/>
          <w:color w:val="auto"/>
          <w:sz w:val="24"/>
          <w:szCs w:val="24"/>
          <w:lang w:val="en-US" w:eastAsia="zh-CN"/>
        </w:rPr>
        <w:t>所谓无产阶级，不是说该阶级及其成员是否拥有个人产权的住房、轿车和耐用消费品等生活资料，以及不足以维持家庭生活或盈亏多变的极少量证券，而是说他们如果不从事资本主义“雇佣劳动”也能自主或自由劳动和正常生活。当代资本主义发达国家的第三产业占比较大，这只能说明第三产业的无产阶级或工人阶级的占比超过了第一产业和第二产业。当然，无产阶级或工人阶级还可以按照雇佣劳动的职业、岗位和收入等状况，划分为不同工作性质或生活水平的众多阶层和群体，但这些划分无法否定整个阶级的属性和总体特征。</w:t>
      </w:r>
    </w:p>
    <w:p w14:paraId="46E099E5">
      <w:pPr>
        <w:keepNext w:val="0"/>
        <w:keepLines w:val="0"/>
        <w:widowControl/>
        <w:numPr>
          <w:ilvl w:val="0"/>
          <w:numId w:val="0"/>
        </w:numPr>
        <w:suppressLineNumbers w:val="0"/>
        <w:spacing w:line="360" w:lineRule="auto"/>
        <w:ind w:firstLine="480" w:firstLineChars="200"/>
        <w:jc w:val="left"/>
        <w:rPr>
          <w:rFonts w:hint="eastAsia" w:ascii="Arial" w:hAnsi="Arial" w:eastAsia="宋体" w:cs="Arial"/>
          <w:b w:val="0"/>
          <w:bCs w:val="0"/>
          <w:i w:val="0"/>
          <w:caps w:val="0"/>
          <w:color w:val="auto"/>
          <w:spacing w:val="0"/>
          <w:kern w:val="0"/>
          <w:sz w:val="24"/>
          <w:szCs w:val="24"/>
          <w:lang w:val="en-US" w:eastAsia="zh-CN" w:bidi="ar"/>
        </w:rPr>
      </w:pPr>
      <w:r>
        <w:rPr>
          <w:rFonts w:hint="eastAsia" w:ascii="Arial" w:hAnsi="Arial" w:eastAsia="宋体" w:cs="Arial"/>
          <w:b w:val="0"/>
          <w:bCs w:val="0"/>
          <w:i w:val="0"/>
          <w:caps w:val="0"/>
          <w:color w:val="auto"/>
          <w:spacing w:val="0"/>
          <w:kern w:val="0"/>
          <w:sz w:val="24"/>
          <w:szCs w:val="24"/>
          <w:lang w:val="en-US" w:eastAsia="zh-CN" w:bidi="ar"/>
        </w:rPr>
        <w:t>2、列宁“</w:t>
      </w:r>
      <w:r>
        <w:rPr>
          <w:rFonts w:hint="eastAsia" w:ascii="宋体" w:hAnsi="宋体" w:eastAsia="宋体" w:cs="Times New Roman"/>
          <w:b w:val="0"/>
          <w:bCs w:val="0"/>
          <w:color w:val="auto"/>
          <w:sz w:val="24"/>
          <w:szCs w:val="24"/>
          <w:lang w:eastAsia="zh-CN"/>
        </w:rPr>
        <w:t>他的具体建议仅适用于与资本主义全球化的21世纪截然不同的时代</w:t>
      </w:r>
      <w:r>
        <w:rPr>
          <w:rFonts w:hint="eastAsia" w:ascii="Arial" w:hAnsi="Arial" w:eastAsia="宋体" w:cs="Arial"/>
          <w:b w:val="0"/>
          <w:bCs w:val="0"/>
          <w:i w:val="0"/>
          <w:caps w:val="0"/>
          <w:color w:val="auto"/>
          <w:spacing w:val="0"/>
          <w:kern w:val="0"/>
          <w:sz w:val="24"/>
          <w:szCs w:val="24"/>
          <w:lang w:val="en-US" w:eastAsia="zh-CN" w:bidi="ar"/>
        </w:rPr>
        <w:t>”吗？该文认为列宁建议和理论不适合21世纪的一个具体理由在于：“</w:t>
      </w:r>
      <w:r>
        <w:rPr>
          <w:rFonts w:hint="eastAsia" w:ascii="宋体" w:hAnsi="宋体" w:eastAsia="宋体" w:cs="Times New Roman"/>
          <w:b w:val="0"/>
          <w:bCs w:val="0"/>
          <w:color w:val="auto"/>
          <w:sz w:val="24"/>
          <w:szCs w:val="24"/>
          <w:lang w:eastAsia="zh-CN"/>
        </w:rPr>
        <w:t>在公众的思想中，以个性、少数群体和边缘化（性别，种族，地区）群体为基础的身份政治已经取代了阶级政治。</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这是</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左翼立场</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，不是社会主义的立场。</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诸如</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占领华尔街</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白人至上</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珍视黑人生命</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灭绝叛乱</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等运动缺乏与历史唯物主义相媲美的社会观点。政治认同和文化政治已经取代了阶级政治。</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当代社会运动对公民权利和正义的要求，是一种</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左派</w:t>
      </w:r>
      <w:r>
        <w:rPr>
          <w:rFonts w:hint="eastAsia" w:ascii="Arial" w:hAnsi="Arial" w:eastAsia="宋体" w:cs="Arial"/>
          <w:b w:val="0"/>
          <w:bCs w:val="0"/>
          <w:i w:val="0"/>
          <w:caps w:val="0"/>
          <w:color w:val="auto"/>
          <w:spacing w:val="0"/>
          <w:kern w:val="0"/>
          <w:sz w:val="24"/>
          <w:szCs w:val="24"/>
          <w:lang w:val="en-US" w:eastAsia="zh-CN" w:bidi="ar"/>
        </w:rPr>
        <w:t>’</w:t>
      </w:r>
      <w:r>
        <w:rPr>
          <w:rFonts w:hint="eastAsia" w:ascii="宋体" w:hAnsi="宋体" w:eastAsia="宋体" w:cs="Times New Roman"/>
          <w:b w:val="0"/>
          <w:bCs w:val="0"/>
          <w:color w:val="auto"/>
          <w:sz w:val="24"/>
          <w:szCs w:val="24"/>
          <w:lang w:eastAsia="zh-CN"/>
        </w:rPr>
        <w:t>性质的，不是社会主义性质的，不是要求建立社会主义，而是要求建立一种可接受的自由民主的资本主义模式。</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与列宁时代相比，现在不仅是国家的意识形态，而且整个公民社会的意识形态都面临更大的挑战。列宁对替代社会的设想需要修改。</w:t>
      </w:r>
      <w:r>
        <w:rPr>
          <w:rFonts w:hint="eastAsia" w:ascii="Arial" w:hAnsi="Arial" w:eastAsia="宋体" w:cs="Arial"/>
          <w:b w:val="0"/>
          <w:bCs w:val="0"/>
          <w:i w:val="0"/>
          <w:caps w:val="0"/>
          <w:color w:val="auto"/>
          <w:spacing w:val="0"/>
          <w:kern w:val="0"/>
          <w:sz w:val="24"/>
          <w:szCs w:val="24"/>
          <w:lang w:val="en-US" w:eastAsia="zh-CN" w:bidi="ar"/>
        </w:rPr>
        <w:t>”显然，这个批评的具体理由也是站不住的。</w:t>
      </w:r>
    </w:p>
    <w:p w14:paraId="6E8B6563">
      <w:pPr>
        <w:spacing w:after="0" w:line="360" w:lineRule="auto"/>
        <w:ind w:firstLine="480" w:firstLineChars="200"/>
        <w:jc w:val="both"/>
        <w:rPr>
          <w:rFonts w:hint="default" w:ascii="Arial" w:hAnsi="Arial" w:eastAsia="宋体" w:cs="Arial"/>
          <w:b w:val="0"/>
          <w:bCs w:val="0"/>
          <w:i w:val="0"/>
          <w:caps w:val="0"/>
          <w:color w:val="auto"/>
          <w:spacing w:val="0"/>
          <w:kern w:val="0"/>
          <w:sz w:val="24"/>
          <w:szCs w:val="24"/>
          <w:lang w:val="en-US" w:eastAsia="zh-CN" w:bidi="ar"/>
        </w:rPr>
      </w:pPr>
      <w:r>
        <w:rPr>
          <w:rFonts w:hint="eastAsia" w:ascii="Arial" w:hAnsi="Arial" w:eastAsia="宋体" w:cs="Arial"/>
          <w:b w:val="0"/>
          <w:bCs w:val="0"/>
          <w:i w:val="0"/>
          <w:caps w:val="0"/>
          <w:color w:val="auto"/>
          <w:spacing w:val="0"/>
          <w:kern w:val="0"/>
          <w:sz w:val="24"/>
          <w:szCs w:val="24"/>
          <w:lang w:val="en-US" w:eastAsia="zh-CN" w:bidi="ar"/>
        </w:rPr>
        <w:t>众所周知，“泛左翼”包括代表工人阶级先锋队的马列主义左翼（如赞成马列主义核心理论的学者、共产党人、工会会员等）、小资产阶级或资产阶级左翼、仅反对资本主义某些问题和现象的其他左翼等。确实，当代垄断资产阶级不仅控制了国民经济命脉和政权，而且控制了主流媒体、国民教育、基金会和社会团体等所谓“第三种力量”或“公民社会”，马列主义的科学社会主义思想便难以被广大公民接受，从而社会各界一般的抗议活动或“泛左翼”运动是没有科学社会主义发展方向和性质的，总体上属于改良资本主义的“泛左翼”进步运动。但是，这不能否定代表工人阶级先锋队的马克思主义左翼的存在和发展，他们的</w:t>
      </w:r>
      <w:r>
        <w:rPr>
          <w:rFonts w:hint="eastAsia" w:ascii="宋体" w:hAnsi="宋体" w:eastAsia="宋体" w:cs="Times New Roman"/>
          <w:b w:val="0"/>
          <w:bCs w:val="0"/>
          <w:color w:val="auto"/>
          <w:sz w:val="24"/>
          <w:szCs w:val="24"/>
          <w:lang w:eastAsia="zh-CN"/>
        </w:rPr>
        <w:t>身份政治</w:t>
      </w:r>
      <w:r>
        <w:rPr>
          <w:rFonts w:hint="eastAsia" w:ascii="宋体" w:hAnsi="宋体" w:eastAsia="宋体" w:cs="Times New Roman"/>
          <w:b w:val="0"/>
          <w:bCs w:val="0"/>
          <w:color w:val="auto"/>
          <w:sz w:val="24"/>
          <w:szCs w:val="24"/>
          <w:lang w:val="en-US" w:eastAsia="zh-CN"/>
        </w:rPr>
        <w:t>仍然是</w:t>
      </w:r>
      <w:r>
        <w:rPr>
          <w:rFonts w:hint="eastAsia" w:ascii="宋体" w:hAnsi="宋体" w:eastAsia="宋体" w:cs="Times New Roman"/>
          <w:b w:val="0"/>
          <w:bCs w:val="0"/>
          <w:color w:val="auto"/>
          <w:sz w:val="24"/>
          <w:szCs w:val="24"/>
          <w:lang w:eastAsia="zh-CN"/>
        </w:rPr>
        <w:t>阶级政治，</w:t>
      </w:r>
      <w:r>
        <w:rPr>
          <w:rFonts w:hint="eastAsia" w:ascii="宋体" w:hAnsi="宋体" w:eastAsia="宋体" w:cs="Times New Roman"/>
          <w:b w:val="0"/>
          <w:bCs w:val="0"/>
          <w:color w:val="auto"/>
          <w:sz w:val="24"/>
          <w:szCs w:val="24"/>
          <w:lang w:val="en-US" w:eastAsia="zh-CN"/>
        </w:rPr>
        <w:t>其</w:t>
      </w:r>
      <w:r>
        <w:rPr>
          <w:rFonts w:hint="eastAsia" w:ascii="宋体" w:hAnsi="宋体" w:eastAsia="宋体" w:cs="Times New Roman"/>
          <w:b w:val="0"/>
          <w:bCs w:val="0"/>
          <w:color w:val="auto"/>
          <w:sz w:val="24"/>
          <w:szCs w:val="24"/>
          <w:lang w:eastAsia="zh-CN"/>
        </w:rPr>
        <w:t>“左翼”立场</w:t>
      </w:r>
      <w:r>
        <w:rPr>
          <w:rFonts w:hint="eastAsia" w:ascii="宋体" w:hAnsi="宋体" w:eastAsia="宋体" w:cs="Times New Roman"/>
          <w:b w:val="0"/>
          <w:bCs w:val="0"/>
          <w:color w:val="auto"/>
          <w:sz w:val="24"/>
          <w:szCs w:val="24"/>
          <w:lang w:val="en-US" w:eastAsia="zh-CN"/>
        </w:rPr>
        <w:t>就</w:t>
      </w:r>
      <w:r>
        <w:rPr>
          <w:rFonts w:hint="eastAsia" w:ascii="宋体" w:hAnsi="宋体" w:eastAsia="宋体" w:cs="Times New Roman"/>
          <w:b w:val="0"/>
          <w:bCs w:val="0"/>
          <w:color w:val="auto"/>
          <w:sz w:val="24"/>
          <w:szCs w:val="24"/>
          <w:lang w:eastAsia="zh-CN"/>
        </w:rPr>
        <w:t>是</w:t>
      </w:r>
      <w:r>
        <w:rPr>
          <w:rFonts w:hint="eastAsia" w:ascii="宋体" w:hAnsi="宋体" w:eastAsia="宋体" w:cs="Times New Roman"/>
          <w:b w:val="0"/>
          <w:bCs w:val="0"/>
          <w:color w:val="auto"/>
          <w:sz w:val="24"/>
          <w:szCs w:val="24"/>
          <w:lang w:val="en-US" w:eastAsia="zh-CN"/>
        </w:rPr>
        <w:t>科学</w:t>
      </w:r>
      <w:r>
        <w:rPr>
          <w:rFonts w:hint="eastAsia" w:ascii="宋体" w:hAnsi="宋体" w:eastAsia="宋体" w:cs="Times New Roman"/>
          <w:b w:val="0"/>
          <w:bCs w:val="0"/>
          <w:color w:val="auto"/>
          <w:sz w:val="24"/>
          <w:szCs w:val="24"/>
          <w:lang w:eastAsia="zh-CN"/>
        </w:rPr>
        <w:t>社会主义的立场</w:t>
      </w:r>
      <w:r>
        <w:rPr>
          <w:rFonts w:hint="eastAsia" w:ascii="Arial" w:hAnsi="Arial" w:eastAsia="宋体" w:cs="Arial"/>
          <w:b w:val="0"/>
          <w:bCs w:val="0"/>
          <w:i w:val="0"/>
          <w:caps w:val="0"/>
          <w:color w:val="auto"/>
          <w:spacing w:val="0"/>
          <w:kern w:val="0"/>
          <w:sz w:val="24"/>
          <w:szCs w:val="24"/>
          <w:lang w:val="en-US" w:eastAsia="zh-CN" w:bidi="ar"/>
        </w:rPr>
        <w:t>。他们真正代表广大劳动阶级的最本质诉求，</w:t>
      </w:r>
      <w:r>
        <w:rPr>
          <w:rFonts w:hint="eastAsia" w:ascii="宋体" w:hAnsi="宋体" w:eastAsia="宋体" w:cs="Times New Roman"/>
          <w:b w:val="0"/>
          <w:bCs w:val="0"/>
          <w:color w:val="auto"/>
          <w:sz w:val="24"/>
          <w:szCs w:val="24"/>
          <w:lang w:eastAsia="zh-CN"/>
        </w:rPr>
        <w:t>要求建立</w:t>
      </w:r>
      <w:r>
        <w:rPr>
          <w:rFonts w:hint="eastAsia" w:ascii="宋体" w:hAnsi="宋体" w:eastAsia="宋体" w:cs="Times New Roman"/>
          <w:b w:val="0"/>
          <w:bCs w:val="0"/>
          <w:color w:val="auto"/>
          <w:sz w:val="24"/>
          <w:szCs w:val="24"/>
          <w:lang w:val="en-US" w:eastAsia="zh-CN"/>
        </w:rPr>
        <w:t>马克思主义的</w:t>
      </w:r>
      <w:r>
        <w:rPr>
          <w:rFonts w:hint="eastAsia" w:ascii="宋体" w:hAnsi="宋体" w:eastAsia="宋体" w:cs="Times New Roman"/>
          <w:b w:val="0"/>
          <w:bCs w:val="0"/>
          <w:color w:val="auto"/>
          <w:sz w:val="24"/>
          <w:szCs w:val="24"/>
          <w:lang w:eastAsia="zh-CN"/>
        </w:rPr>
        <w:t>社会主义</w:t>
      </w:r>
      <w:r>
        <w:rPr>
          <w:rFonts w:hint="eastAsia" w:ascii="宋体" w:hAnsi="宋体" w:eastAsia="宋体" w:cs="Times New Roman"/>
          <w:b w:val="0"/>
          <w:bCs w:val="0"/>
          <w:color w:val="auto"/>
          <w:sz w:val="24"/>
          <w:szCs w:val="24"/>
          <w:lang w:val="en-US" w:eastAsia="zh-CN"/>
        </w:rPr>
        <w:t>社会</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既反对</w:t>
      </w:r>
      <w:r>
        <w:rPr>
          <w:rFonts w:hint="eastAsia" w:ascii="宋体" w:hAnsi="宋体" w:eastAsia="宋体" w:cs="Times New Roman"/>
          <w:b w:val="0"/>
          <w:bCs w:val="0"/>
          <w:color w:val="auto"/>
          <w:sz w:val="24"/>
          <w:szCs w:val="24"/>
          <w:lang w:eastAsia="zh-CN"/>
        </w:rPr>
        <w:t>建立</w:t>
      </w:r>
      <w:r>
        <w:rPr>
          <w:rFonts w:hint="eastAsia" w:ascii="宋体" w:hAnsi="宋体" w:eastAsia="宋体" w:cs="Times New Roman"/>
          <w:b w:val="0"/>
          <w:bCs w:val="0"/>
          <w:color w:val="auto"/>
          <w:sz w:val="24"/>
          <w:szCs w:val="24"/>
          <w:lang w:val="en-US" w:eastAsia="zh-CN"/>
        </w:rPr>
        <w:t>美国式的“独裁资本主义”“专制资本主义”“威权资本主义”模式，也反对建立北欧式</w:t>
      </w:r>
      <w:r>
        <w:rPr>
          <w:rFonts w:hint="eastAsia" w:ascii="宋体" w:hAnsi="宋体" w:eastAsia="宋体" w:cs="Times New Roman"/>
          <w:b w:val="0"/>
          <w:bCs w:val="0"/>
          <w:color w:val="auto"/>
          <w:sz w:val="24"/>
          <w:szCs w:val="24"/>
          <w:lang w:eastAsia="zh-CN"/>
        </w:rPr>
        <w:t>的“</w:t>
      </w:r>
      <w:r>
        <w:rPr>
          <w:rFonts w:hint="eastAsia" w:ascii="宋体" w:hAnsi="宋体" w:eastAsia="宋体" w:cs="Times New Roman"/>
          <w:b w:val="0"/>
          <w:bCs w:val="0"/>
          <w:color w:val="auto"/>
          <w:sz w:val="24"/>
          <w:szCs w:val="24"/>
          <w:lang w:val="en-US" w:eastAsia="zh-CN"/>
        </w:rPr>
        <w:t>改良</w:t>
      </w:r>
      <w:r>
        <w:rPr>
          <w:rFonts w:hint="eastAsia" w:ascii="宋体" w:hAnsi="宋体" w:eastAsia="宋体" w:cs="Times New Roman"/>
          <w:b w:val="0"/>
          <w:bCs w:val="0"/>
          <w:color w:val="auto"/>
          <w:sz w:val="24"/>
          <w:szCs w:val="24"/>
          <w:lang w:eastAsia="zh-CN"/>
        </w:rPr>
        <w:t>资本主义”“</w:t>
      </w:r>
      <w:r>
        <w:rPr>
          <w:rFonts w:hint="eastAsia" w:ascii="宋体" w:hAnsi="宋体" w:eastAsia="宋体" w:cs="Times New Roman"/>
          <w:b w:val="0"/>
          <w:bCs w:val="0"/>
          <w:color w:val="auto"/>
          <w:sz w:val="24"/>
          <w:szCs w:val="24"/>
          <w:lang w:val="en-US" w:eastAsia="zh-CN"/>
        </w:rPr>
        <w:t>社会民主主义</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民主社会主义</w:t>
      </w:r>
      <w:r>
        <w:rPr>
          <w:rFonts w:hint="eastAsia" w:ascii="宋体" w:hAnsi="宋体" w:eastAsia="宋体" w:cs="Times New Roman"/>
          <w:b w:val="0"/>
          <w:bCs w:val="0"/>
          <w:color w:val="auto"/>
          <w:sz w:val="24"/>
          <w:szCs w:val="24"/>
          <w:lang w:eastAsia="zh-CN"/>
        </w:rPr>
        <w:t>”模式。</w:t>
      </w:r>
      <w:r>
        <w:rPr>
          <w:rFonts w:hint="eastAsia" w:ascii="宋体" w:hAnsi="宋体" w:eastAsia="宋体" w:cs="Times New Roman"/>
          <w:b w:val="0"/>
          <w:bCs w:val="0"/>
          <w:color w:val="auto"/>
          <w:sz w:val="24"/>
          <w:szCs w:val="24"/>
          <w:lang w:val="en-US" w:eastAsia="zh-CN"/>
        </w:rPr>
        <w:t>诚然，后一种模式有不同程度的进步性和文明性。须知，在任何一个革命高潮到来之前的社会，资产阶级国家的意识形态与整个公民社会的意识形态往往大同小异，因而不宜用21世纪所谓新情况去否定</w:t>
      </w:r>
      <w:r>
        <w:rPr>
          <w:rFonts w:hint="eastAsia" w:ascii="宋体" w:hAnsi="宋体" w:eastAsia="宋体" w:cs="Times New Roman"/>
          <w:b w:val="0"/>
          <w:bCs w:val="0"/>
          <w:color w:val="auto"/>
          <w:sz w:val="24"/>
          <w:szCs w:val="24"/>
          <w:lang w:eastAsia="zh-CN"/>
        </w:rPr>
        <w:t>列宁对替代</w:t>
      </w:r>
      <w:r>
        <w:rPr>
          <w:rFonts w:hint="eastAsia" w:ascii="宋体" w:hAnsi="宋体" w:eastAsia="宋体" w:cs="Times New Roman"/>
          <w:b w:val="0"/>
          <w:bCs w:val="0"/>
          <w:color w:val="auto"/>
          <w:sz w:val="24"/>
          <w:szCs w:val="24"/>
          <w:lang w:val="en-US" w:eastAsia="zh-CN"/>
        </w:rPr>
        <w:t>资本主义</w:t>
      </w:r>
      <w:r>
        <w:rPr>
          <w:rFonts w:hint="eastAsia" w:ascii="宋体" w:hAnsi="宋体" w:eastAsia="宋体" w:cs="Times New Roman"/>
          <w:b w:val="0"/>
          <w:bCs w:val="0"/>
          <w:color w:val="auto"/>
          <w:sz w:val="24"/>
          <w:szCs w:val="24"/>
          <w:lang w:eastAsia="zh-CN"/>
        </w:rPr>
        <w:t>社会的</w:t>
      </w:r>
      <w:r>
        <w:rPr>
          <w:rFonts w:hint="eastAsia" w:ascii="宋体" w:hAnsi="宋体" w:eastAsia="宋体" w:cs="Times New Roman"/>
          <w:b w:val="0"/>
          <w:bCs w:val="0"/>
          <w:color w:val="auto"/>
          <w:sz w:val="24"/>
          <w:szCs w:val="24"/>
          <w:lang w:val="en-US" w:eastAsia="zh-CN"/>
        </w:rPr>
        <w:t>基本</w:t>
      </w:r>
      <w:r>
        <w:rPr>
          <w:rFonts w:hint="eastAsia" w:ascii="宋体" w:hAnsi="宋体" w:eastAsia="宋体" w:cs="Times New Roman"/>
          <w:b w:val="0"/>
          <w:bCs w:val="0"/>
          <w:color w:val="auto"/>
          <w:sz w:val="24"/>
          <w:szCs w:val="24"/>
          <w:lang w:eastAsia="zh-CN"/>
        </w:rPr>
        <w:t>设想，</w:t>
      </w:r>
      <w:r>
        <w:rPr>
          <w:rFonts w:hint="eastAsia" w:ascii="宋体" w:hAnsi="宋体" w:eastAsia="宋体" w:cs="Times New Roman"/>
          <w:b w:val="0"/>
          <w:bCs w:val="0"/>
          <w:color w:val="auto"/>
          <w:sz w:val="24"/>
          <w:szCs w:val="24"/>
          <w:lang w:val="en-US" w:eastAsia="zh-CN"/>
        </w:rPr>
        <w:t>真正</w:t>
      </w:r>
      <w:r>
        <w:rPr>
          <w:rFonts w:hint="eastAsia" w:ascii="宋体" w:hAnsi="宋体" w:eastAsia="宋体" w:cs="Times New Roman"/>
          <w:b w:val="0"/>
          <w:bCs w:val="0"/>
          <w:color w:val="auto"/>
          <w:sz w:val="24"/>
          <w:szCs w:val="24"/>
          <w:lang w:eastAsia="zh-CN"/>
        </w:rPr>
        <w:t>需要修改</w:t>
      </w:r>
      <w:r>
        <w:rPr>
          <w:rFonts w:hint="eastAsia" w:ascii="宋体" w:hAnsi="宋体" w:eastAsia="宋体" w:cs="Times New Roman"/>
          <w:b w:val="0"/>
          <w:bCs w:val="0"/>
          <w:color w:val="auto"/>
          <w:sz w:val="24"/>
          <w:szCs w:val="24"/>
          <w:lang w:val="en-US" w:eastAsia="zh-CN"/>
        </w:rPr>
        <w:t>的是对当代无产阶级、科学社会主义和马列主义理论与实践的片面认识，以便守正创新马克思列宁主义理论和科学社会主义理论与实践</w:t>
      </w:r>
      <w:r>
        <w:rPr>
          <w:rFonts w:hint="eastAsia" w:ascii="宋体" w:hAnsi="宋体" w:eastAsia="宋体" w:cs="Times New Roman"/>
          <w:b w:val="0"/>
          <w:bCs w:val="0"/>
          <w:color w:val="auto"/>
          <w:sz w:val="24"/>
          <w:szCs w:val="24"/>
          <w:lang w:eastAsia="zh-CN"/>
        </w:rPr>
        <w:t>。</w:t>
      </w:r>
    </w:p>
    <w:p w14:paraId="7FE455AB">
      <w:pPr>
        <w:numPr>
          <w:ilvl w:val="0"/>
          <w:numId w:val="0"/>
        </w:num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Arial" w:hAnsi="Arial" w:eastAsia="宋体" w:cs="Arial"/>
          <w:b w:val="0"/>
          <w:bCs w:val="0"/>
          <w:i w:val="0"/>
          <w:caps w:val="0"/>
          <w:color w:val="auto"/>
          <w:spacing w:val="0"/>
          <w:kern w:val="0"/>
          <w:sz w:val="24"/>
          <w:szCs w:val="24"/>
          <w:lang w:val="en-US" w:eastAsia="zh-CN" w:bidi="ar"/>
        </w:rPr>
        <w:t>3、</w:t>
      </w:r>
      <w:r>
        <w:rPr>
          <w:rFonts w:hint="eastAsia" w:ascii="宋体" w:hAnsi="宋体" w:eastAsia="宋体" w:cs="Times New Roman"/>
          <w:b w:val="0"/>
          <w:bCs w:val="0"/>
          <w:color w:val="auto"/>
          <w:sz w:val="24"/>
          <w:szCs w:val="24"/>
          <w:lang w:eastAsia="zh-CN"/>
        </w:rPr>
        <w:t>列宁</w:t>
      </w:r>
      <w:r>
        <w:rPr>
          <w:rFonts w:hint="eastAsia" w:ascii="宋体" w:hAnsi="宋体" w:eastAsia="宋体" w:cs="Times New Roman"/>
          <w:b w:val="0"/>
          <w:bCs w:val="0"/>
          <w:color w:val="auto"/>
          <w:sz w:val="24"/>
          <w:szCs w:val="24"/>
          <w:lang w:val="en-US" w:eastAsia="zh-CN"/>
        </w:rPr>
        <w:t>关于资本主义的“解决方案”和“经济剥削”的“</w:t>
      </w:r>
      <w:r>
        <w:rPr>
          <w:rFonts w:hint="eastAsia" w:ascii="宋体" w:hAnsi="宋体" w:eastAsia="宋体" w:cs="Times New Roman"/>
          <w:b w:val="0"/>
          <w:bCs w:val="0"/>
          <w:color w:val="auto"/>
          <w:sz w:val="24"/>
          <w:szCs w:val="24"/>
          <w:lang w:eastAsia="zh-CN"/>
        </w:rPr>
        <w:t>思想需要修改</w:t>
      </w:r>
      <w:r>
        <w:rPr>
          <w:rFonts w:hint="eastAsia" w:ascii="宋体" w:hAnsi="宋体" w:eastAsia="宋体" w:cs="Times New Roman"/>
          <w:b w:val="0"/>
          <w:bCs w:val="0"/>
          <w:color w:val="auto"/>
          <w:sz w:val="24"/>
          <w:szCs w:val="24"/>
          <w:lang w:val="en-US" w:eastAsia="zh-CN"/>
        </w:rPr>
        <w:t>”吗？该文</w:t>
      </w:r>
      <w:r>
        <w:rPr>
          <w:rFonts w:hint="eastAsia" w:ascii="Arial" w:hAnsi="Arial" w:eastAsia="宋体" w:cs="Arial"/>
          <w:b w:val="0"/>
          <w:bCs w:val="0"/>
          <w:i w:val="0"/>
          <w:caps w:val="0"/>
          <w:color w:val="auto"/>
          <w:spacing w:val="0"/>
          <w:kern w:val="0"/>
          <w:sz w:val="24"/>
          <w:szCs w:val="24"/>
          <w:lang w:val="en-US" w:eastAsia="zh-CN" w:bidi="ar"/>
        </w:rPr>
        <w:t>写道：“</w:t>
      </w:r>
      <w:r>
        <w:rPr>
          <w:rFonts w:hint="eastAsia" w:ascii="宋体" w:hAnsi="宋体" w:eastAsia="宋体" w:cs="Times New Roman"/>
          <w:b w:val="0"/>
          <w:bCs w:val="0"/>
          <w:color w:val="auto"/>
          <w:sz w:val="24"/>
          <w:szCs w:val="24"/>
          <w:lang w:eastAsia="zh-CN"/>
        </w:rPr>
        <w:t>列宁的思维方式和他的解决方案是为专制</w:t>
      </w:r>
      <w:r>
        <w:rPr>
          <w:rFonts w:ascii="宋体" w:hAnsi="宋体" w:eastAsia="宋体" w:cs="Times New Roman"/>
          <w:b w:val="0"/>
          <w:bCs w:val="0"/>
          <w:color w:val="auto"/>
          <w:sz w:val="24"/>
          <w:szCs w:val="24"/>
          <w:lang w:eastAsia="zh-CN"/>
        </w:rPr>
        <w:t>政府统治下的</w:t>
      </w:r>
      <w:r>
        <w:rPr>
          <w:rFonts w:hint="eastAsia" w:ascii="宋体" w:hAnsi="宋体" w:eastAsia="宋体" w:cs="Times New Roman"/>
          <w:b w:val="0"/>
          <w:bCs w:val="0"/>
          <w:color w:val="auto"/>
          <w:sz w:val="24"/>
          <w:szCs w:val="24"/>
          <w:lang w:eastAsia="zh-CN"/>
        </w:rPr>
        <w:t>前资本主义社会设计的，不是为发达的后工业社会设计的。我们可以‘回到’，但不能‘重复’20世纪初的列宁。</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阶级冲突和剥削必须在其他形式的人类统治和压迫的过程中‘更新’。废除阶级是必要的，但不足以实现人类解放。</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然而，列宁和许多古典马克思主义者一样，过分依赖对经济剥削和阶级关系的分析。经济剥削显然是主要问题。欧洲社会主义国家的经验表明，必须考虑到其他形式的统治、压迫和歧视会加强经济剥削。列宁思想需要修改，不仅要分析经济剥削的方式，还需要考虑官僚主义、个人权力、父权制、种族和信仰等形成独特的权力关系的因素。在以苏联为榜样的社会主义国家中，这些问题不但没有消亡，而且变得更加重要。</w:t>
      </w:r>
      <w:r>
        <w:rPr>
          <w:rFonts w:hint="eastAsia" w:ascii="宋体" w:hAnsi="宋体" w:eastAsia="宋体" w:cs="Times New Roman"/>
          <w:b w:val="0"/>
          <w:bCs w:val="0"/>
          <w:color w:val="auto"/>
          <w:sz w:val="24"/>
          <w:szCs w:val="24"/>
          <w:lang w:val="en-US" w:eastAsia="zh-CN"/>
        </w:rPr>
        <w:t>”</w:t>
      </w:r>
    </w:p>
    <w:p w14:paraId="35C7BCB7">
      <w:pPr>
        <w:numPr>
          <w:ilvl w:val="0"/>
          <w:numId w:val="0"/>
        </w:num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上述这两段话存在两个误论：其一，该文认为“</w:t>
      </w:r>
      <w:r>
        <w:rPr>
          <w:rFonts w:hint="eastAsia" w:ascii="宋体" w:hAnsi="宋体" w:eastAsia="宋体" w:cs="Times New Roman"/>
          <w:b w:val="0"/>
          <w:bCs w:val="0"/>
          <w:color w:val="auto"/>
          <w:sz w:val="24"/>
          <w:szCs w:val="24"/>
          <w:lang w:eastAsia="zh-CN"/>
        </w:rPr>
        <w:t>专制</w:t>
      </w:r>
      <w:r>
        <w:rPr>
          <w:rFonts w:ascii="宋体" w:hAnsi="宋体" w:eastAsia="宋体" w:cs="Times New Roman"/>
          <w:b w:val="0"/>
          <w:bCs w:val="0"/>
          <w:color w:val="auto"/>
          <w:sz w:val="24"/>
          <w:szCs w:val="24"/>
          <w:lang w:eastAsia="zh-CN"/>
        </w:rPr>
        <w:t>政府</w:t>
      </w:r>
      <w:r>
        <w:rPr>
          <w:rFonts w:hint="eastAsia" w:ascii="宋体" w:hAnsi="宋体" w:eastAsia="宋体" w:cs="Times New Roman"/>
          <w:b w:val="0"/>
          <w:bCs w:val="0"/>
          <w:color w:val="auto"/>
          <w:sz w:val="24"/>
          <w:szCs w:val="24"/>
          <w:lang w:val="en-US" w:eastAsia="zh-CN"/>
        </w:rPr>
        <w:t>只存在于</w:t>
      </w:r>
      <w:r>
        <w:rPr>
          <w:rFonts w:hint="eastAsia" w:ascii="宋体" w:hAnsi="宋体" w:eastAsia="宋体" w:cs="Times New Roman"/>
          <w:b w:val="0"/>
          <w:bCs w:val="0"/>
          <w:color w:val="auto"/>
          <w:sz w:val="24"/>
          <w:szCs w:val="24"/>
          <w:lang w:eastAsia="zh-CN"/>
        </w:rPr>
        <w:t>前资本主义社会</w:t>
      </w:r>
      <w:r>
        <w:rPr>
          <w:rFonts w:hint="eastAsia" w:ascii="宋体" w:hAnsi="宋体" w:eastAsia="宋体" w:cs="Times New Roman"/>
          <w:b w:val="0"/>
          <w:bCs w:val="0"/>
          <w:color w:val="auto"/>
          <w:sz w:val="24"/>
          <w:szCs w:val="24"/>
          <w:lang w:val="en-US" w:eastAsia="zh-CN"/>
        </w:rPr>
        <w:t>”，而资本主义社会、尤其是“</w:t>
      </w:r>
      <w:r>
        <w:rPr>
          <w:rFonts w:hint="eastAsia" w:ascii="宋体" w:hAnsi="宋体" w:eastAsia="宋体" w:cs="Times New Roman"/>
          <w:b w:val="0"/>
          <w:bCs w:val="0"/>
          <w:color w:val="auto"/>
          <w:sz w:val="24"/>
          <w:szCs w:val="24"/>
          <w:lang w:eastAsia="zh-CN"/>
        </w:rPr>
        <w:t>发达的后工业社会</w:t>
      </w:r>
      <w:r>
        <w:rPr>
          <w:rFonts w:hint="eastAsia" w:ascii="宋体" w:hAnsi="宋体" w:eastAsia="宋体" w:cs="Times New Roman"/>
          <w:b w:val="0"/>
          <w:bCs w:val="0"/>
          <w:color w:val="auto"/>
          <w:sz w:val="24"/>
          <w:szCs w:val="24"/>
          <w:lang w:val="en-US" w:eastAsia="zh-CN"/>
        </w:rPr>
        <w:t>”，已经不是资产阶级或垄断资产阶级专政或专制的国家了，从而暗含着早已是无资产阶级属性的一般民主社会了。</w:t>
      </w:r>
    </w:p>
    <w:p w14:paraId="509B7F8F">
      <w:pPr>
        <w:numPr>
          <w:ilvl w:val="0"/>
          <w:numId w:val="0"/>
        </w:num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其二，该文认为“</w:t>
      </w:r>
      <w:r>
        <w:rPr>
          <w:rFonts w:hint="eastAsia" w:ascii="宋体" w:hAnsi="宋体" w:eastAsia="宋体" w:cs="Times New Roman"/>
          <w:b w:val="0"/>
          <w:bCs w:val="0"/>
          <w:color w:val="auto"/>
          <w:sz w:val="24"/>
          <w:szCs w:val="24"/>
          <w:lang w:eastAsia="zh-CN"/>
        </w:rPr>
        <w:t>在以苏联为榜样的社会主义国家中</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共产党执政</w:t>
      </w:r>
      <w:r>
        <w:rPr>
          <w:rFonts w:hint="eastAsia" w:ascii="宋体" w:hAnsi="宋体" w:eastAsia="宋体" w:cs="Times New Roman"/>
          <w:b w:val="0"/>
          <w:bCs w:val="0"/>
          <w:color w:val="auto"/>
          <w:sz w:val="24"/>
          <w:szCs w:val="24"/>
          <w:lang w:eastAsia="zh-CN"/>
        </w:rPr>
        <w:t>“形式的统治、压迫和歧视会加强经济剥削”，“这些问题不但没有消亡，而且变得更加重要。</w:t>
      </w:r>
      <w:r>
        <w:rPr>
          <w:rFonts w:hint="eastAsia" w:ascii="宋体" w:hAnsi="宋体" w:eastAsia="宋体" w:cs="Times New Roman"/>
          <w:b w:val="0"/>
          <w:bCs w:val="0"/>
          <w:color w:val="auto"/>
          <w:sz w:val="24"/>
          <w:szCs w:val="24"/>
          <w:lang w:val="en-US" w:eastAsia="zh-CN"/>
        </w:rPr>
        <w:t>”作者在这里表达的研究结论是：欧洲、亚洲和拉美共产党领导下的社会主义国家，已经在经济剥削、政治压迫和社会歧视等问题上，比资本主义国家更严重。但作者并没有提供社会主义国家经济剥削等实证数据和事实，估计今后也提供不出来。</w:t>
      </w:r>
    </w:p>
    <w:p w14:paraId="17E08A81">
      <w:pPr>
        <w:spacing w:after="0" w:line="360" w:lineRule="auto"/>
        <w:ind w:firstLine="721" w:firstLineChars="3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bCs/>
          <w:color w:val="auto"/>
          <w:sz w:val="24"/>
          <w:szCs w:val="24"/>
          <w:lang w:val="en-US" w:eastAsia="zh-CN"/>
        </w:rPr>
        <w:t>二、如何正确认识各阶级专政与民主的关系？</w:t>
      </w:r>
    </w:p>
    <w:p w14:paraId="7AE8FE35">
      <w:p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现在分析《论列宁》第二和第三个结论。</w:t>
      </w:r>
    </w:p>
    <w:p w14:paraId="5F38F58B">
      <w:pPr>
        <w:spacing w:after="0" w:line="360" w:lineRule="auto"/>
        <w:ind w:firstLine="480" w:firstLineChars="200"/>
        <w:jc w:val="both"/>
        <w:rPr>
          <w:rFonts w:hint="eastAsia" w:ascii="宋体" w:hAnsi="宋体" w:eastAsia="宋体" w:cs="Times New Roman"/>
          <w:b w:val="0"/>
          <w:bCs w:val="0"/>
          <w:color w:val="auto"/>
          <w:sz w:val="24"/>
          <w:szCs w:val="24"/>
          <w:lang w:eastAsia="zh-CN"/>
        </w:rPr>
      </w:pPr>
      <w:r>
        <w:rPr>
          <w:rFonts w:hint="eastAsia" w:ascii="宋体" w:hAnsi="宋体" w:eastAsia="宋体" w:cs="Times New Roman"/>
          <w:b w:val="0"/>
          <w:bCs w:val="0"/>
          <w:color w:val="auto"/>
          <w:sz w:val="24"/>
          <w:szCs w:val="24"/>
          <w:lang w:val="en-US" w:eastAsia="zh-CN"/>
        </w:rPr>
        <w:t>1、“</w:t>
      </w:r>
      <w:r>
        <w:rPr>
          <w:rFonts w:hint="eastAsia" w:ascii="宋体" w:hAnsi="宋体" w:eastAsia="宋体" w:cs="Times New Roman"/>
          <w:b w:val="0"/>
          <w:bCs w:val="0"/>
          <w:color w:val="auto"/>
          <w:sz w:val="24"/>
          <w:szCs w:val="24"/>
          <w:lang w:eastAsia="zh-CN"/>
        </w:rPr>
        <w:t>必须用广泛的政治参与原则代替列宁的集中管理和有限参与理论</w:t>
      </w:r>
      <w:r>
        <w:rPr>
          <w:rFonts w:hint="eastAsia" w:ascii="宋体" w:hAnsi="宋体" w:eastAsia="宋体" w:cs="Times New Roman"/>
          <w:b w:val="0"/>
          <w:bCs w:val="0"/>
          <w:color w:val="auto"/>
          <w:sz w:val="24"/>
          <w:szCs w:val="24"/>
          <w:lang w:val="en-US" w:eastAsia="zh-CN"/>
        </w:rPr>
        <w:t>”吗</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该文第二个结论写道：</w:t>
      </w:r>
      <w:r>
        <w:rPr>
          <w:rFonts w:hint="eastAsia" w:ascii="宋体" w:hAnsi="宋体" w:eastAsia="宋体" w:cs="Times New Roman"/>
          <w:b w:val="0"/>
          <w:bCs w:val="0"/>
          <w:color w:val="auto"/>
          <w:sz w:val="24"/>
          <w:szCs w:val="24"/>
          <w:lang w:eastAsia="zh-CN"/>
        </w:rPr>
        <w:t>“‘回到’列宁是什么意思？列宁的第一个重大政治发明是党的集中领导，这是根据沙皇俄国的国情制定的，是组织社会力量夺取政权和镇压反革命的政治工具。列宁强调党在政治组织、管理和教育中的领导作用是正确的。现在，制定思想政策指导政治行动仍然是一项主要任务。但是，《怎么办？》里的</w:t>
      </w:r>
      <w:r>
        <w:rPr>
          <w:rFonts w:ascii="宋体" w:hAnsi="宋体" w:eastAsia="宋体" w:cs="Times New Roman"/>
          <w:b w:val="0"/>
          <w:bCs w:val="0"/>
          <w:color w:val="auto"/>
          <w:sz w:val="24"/>
          <w:szCs w:val="24"/>
          <w:lang w:eastAsia="zh-CN"/>
        </w:rPr>
        <w:t>思想</w:t>
      </w:r>
      <w:r>
        <w:rPr>
          <w:rFonts w:hint="eastAsia" w:ascii="宋体" w:hAnsi="宋体" w:eastAsia="宋体" w:cs="Times New Roman"/>
          <w:b w:val="0"/>
          <w:bCs w:val="0"/>
          <w:color w:val="auto"/>
          <w:sz w:val="24"/>
          <w:szCs w:val="24"/>
          <w:lang w:eastAsia="zh-CN"/>
        </w:rPr>
        <w:t>在当前情况下是不完备的：只依靠社会主义报纸进行宣传是不够的。必须对列宁进行修正。交流必须利用电子社交媒体新技术。政治组织、沟通和领导不能被自发的力量所取代。必须用广泛的政治参与原则代替列宁的集中管理和有限参与理论。”</w:t>
      </w:r>
    </w:p>
    <w:p w14:paraId="0F8EDD40">
      <w:p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上述第二个结论存在两个误论：其一，认为“</w:t>
      </w:r>
      <w:r>
        <w:rPr>
          <w:rFonts w:hint="eastAsia" w:ascii="宋体" w:hAnsi="宋体" w:eastAsia="宋体" w:cs="Times New Roman"/>
          <w:b w:val="0"/>
          <w:bCs w:val="0"/>
          <w:color w:val="auto"/>
          <w:sz w:val="24"/>
          <w:szCs w:val="24"/>
          <w:lang w:eastAsia="zh-CN"/>
        </w:rPr>
        <w:t>《怎么办？》里的</w:t>
      </w:r>
      <w:r>
        <w:rPr>
          <w:rFonts w:ascii="宋体" w:hAnsi="宋体" w:eastAsia="宋体" w:cs="Times New Roman"/>
          <w:b w:val="0"/>
          <w:bCs w:val="0"/>
          <w:color w:val="auto"/>
          <w:sz w:val="24"/>
          <w:szCs w:val="24"/>
          <w:lang w:eastAsia="zh-CN"/>
        </w:rPr>
        <w:t>思想</w:t>
      </w:r>
      <w:r>
        <w:rPr>
          <w:rFonts w:hint="eastAsia" w:ascii="宋体" w:hAnsi="宋体" w:eastAsia="宋体" w:cs="Times New Roman"/>
          <w:b w:val="0"/>
          <w:bCs w:val="0"/>
          <w:color w:val="auto"/>
          <w:sz w:val="24"/>
          <w:szCs w:val="24"/>
          <w:lang w:eastAsia="zh-CN"/>
        </w:rPr>
        <w:t>在当前情况下是不完备的：只依靠社会主义报纸进行宣传是不够的。必须对列宁进行修正。交流必须利用电子社交媒体新技术。</w:t>
      </w:r>
      <w:r>
        <w:rPr>
          <w:rFonts w:hint="eastAsia" w:ascii="宋体" w:hAnsi="宋体" w:eastAsia="宋体" w:cs="Times New Roman"/>
          <w:b w:val="0"/>
          <w:bCs w:val="0"/>
          <w:color w:val="auto"/>
          <w:sz w:val="24"/>
          <w:szCs w:val="24"/>
          <w:lang w:val="en-US" w:eastAsia="zh-CN"/>
        </w:rPr>
        <w:t>”对列宁</w:t>
      </w:r>
      <w:r>
        <w:rPr>
          <w:rFonts w:hint="eastAsia" w:ascii="宋体" w:hAnsi="宋体" w:eastAsia="宋体" w:cs="Times New Roman"/>
          <w:b w:val="0"/>
          <w:bCs w:val="0"/>
          <w:color w:val="auto"/>
          <w:sz w:val="24"/>
          <w:szCs w:val="24"/>
          <w:lang w:eastAsia="zh-CN"/>
        </w:rPr>
        <w:t>《怎么办？》</w:t>
      </w:r>
      <w:r>
        <w:rPr>
          <w:rFonts w:hint="eastAsia" w:ascii="宋体" w:hAnsi="宋体" w:eastAsia="宋体" w:cs="Times New Roman"/>
          <w:b w:val="0"/>
          <w:bCs w:val="0"/>
          <w:color w:val="auto"/>
          <w:sz w:val="24"/>
          <w:szCs w:val="24"/>
          <w:lang w:val="en-US" w:eastAsia="zh-CN"/>
        </w:rPr>
        <w:t>一文的质疑是奇怪的，因为作者不是针对列宁的全部相关论述，而只是针对一篇文章所说的内容。须知，任何人在一篇文章中论述的内容都是有限的，况且当时并没有</w:t>
      </w:r>
      <w:r>
        <w:rPr>
          <w:rFonts w:hint="eastAsia" w:ascii="宋体" w:hAnsi="宋体" w:eastAsia="宋体" w:cs="Times New Roman"/>
          <w:b w:val="0"/>
          <w:bCs w:val="0"/>
          <w:color w:val="auto"/>
          <w:sz w:val="24"/>
          <w:szCs w:val="24"/>
          <w:lang w:eastAsia="zh-CN"/>
        </w:rPr>
        <w:t>电子社交媒体新技术，</w:t>
      </w:r>
      <w:r>
        <w:rPr>
          <w:rFonts w:hint="eastAsia" w:ascii="宋体" w:hAnsi="宋体" w:eastAsia="宋体" w:cs="Times New Roman"/>
          <w:b w:val="0"/>
          <w:bCs w:val="0"/>
          <w:color w:val="auto"/>
          <w:sz w:val="24"/>
          <w:szCs w:val="24"/>
          <w:lang w:val="en-US" w:eastAsia="zh-CN"/>
        </w:rPr>
        <w:t>怎么以此来要求“</w:t>
      </w:r>
      <w:r>
        <w:rPr>
          <w:rFonts w:hint="eastAsia" w:ascii="宋体" w:hAnsi="宋体" w:eastAsia="宋体" w:cs="Times New Roman"/>
          <w:b w:val="0"/>
          <w:bCs w:val="0"/>
          <w:color w:val="auto"/>
          <w:sz w:val="24"/>
          <w:szCs w:val="24"/>
          <w:lang w:eastAsia="zh-CN"/>
        </w:rPr>
        <w:t>必须对列宁进行修正</w:t>
      </w:r>
      <w:r>
        <w:rPr>
          <w:rFonts w:hint="eastAsia" w:ascii="宋体" w:hAnsi="宋体" w:eastAsia="宋体" w:cs="Times New Roman"/>
          <w:b w:val="0"/>
          <w:bCs w:val="0"/>
          <w:color w:val="auto"/>
          <w:sz w:val="24"/>
          <w:szCs w:val="24"/>
          <w:lang w:val="en-US" w:eastAsia="zh-CN"/>
        </w:rPr>
        <w:t>”呢？列宁的全部相关论述当然是主张充分运用一切媒体和宣传教育手段的，至于每个国家和时代的信息传播手段和方式当然也是不断进步的。</w:t>
      </w:r>
    </w:p>
    <w:p w14:paraId="5CC140D1">
      <w:p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其二，在列宁理论和实践中，</w:t>
      </w:r>
      <w:r>
        <w:rPr>
          <w:rFonts w:hint="eastAsia" w:ascii="宋体" w:hAnsi="宋体" w:eastAsia="宋体" w:cs="Times New Roman"/>
          <w:b w:val="0"/>
          <w:bCs w:val="0"/>
          <w:color w:val="auto"/>
          <w:sz w:val="24"/>
          <w:szCs w:val="24"/>
          <w:lang w:eastAsia="zh-CN"/>
        </w:rPr>
        <w:t>广泛的政治参与原则</w:t>
      </w:r>
      <w:r>
        <w:rPr>
          <w:rFonts w:hint="eastAsia" w:ascii="宋体" w:hAnsi="宋体" w:eastAsia="宋体" w:cs="Times New Roman"/>
          <w:b w:val="0"/>
          <w:bCs w:val="0"/>
          <w:color w:val="auto"/>
          <w:sz w:val="24"/>
          <w:szCs w:val="24"/>
          <w:lang w:val="en-US" w:eastAsia="zh-CN"/>
        </w:rPr>
        <w:t>与共产党及其执政国家的</w:t>
      </w:r>
      <w:r>
        <w:rPr>
          <w:rFonts w:hint="eastAsia" w:ascii="宋体" w:hAnsi="宋体" w:eastAsia="宋体" w:cs="Times New Roman"/>
          <w:b w:val="0"/>
          <w:bCs w:val="0"/>
          <w:color w:val="auto"/>
          <w:sz w:val="24"/>
          <w:szCs w:val="24"/>
          <w:lang w:eastAsia="zh-CN"/>
        </w:rPr>
        <w:t>集中管理</w:t>
      </w:r>
      <w:r>
        <w:rPr>
          <w:rFonts w:hint="eastAsia" w:ascii="宋体" w:hAnsi="宋体" w:eastAsia="宋体" w:cs="Times New Roman"/>
          <w:b w:val="0"/>
          <w:bCs w:val="0"/>
          <w:color w:val="auto"/>
          <w:sz w:val="24"/>
          <w:szCs w:val="24"/>
          <w:lang w:val="en-US" w:eastAsia="zh-CN"/>
        </w:rPr>
        <w:t>是相辅相成而不是对立的，因而使用“</w:t>
      </w:r>
      <w:r>
        <w:rPr>
          <w:rFonts w:hint="eastAsia" w:ascii="宋体" w:hAnsi="宋体" w:eastAsia="宋体" w:cs="Times New Roman"/>
          <w:b w:val="0"/>
          <w:bCs w:val="0"/>
          <w:color w:val="auto"/>
          <w:sz w:val="24"/>
          <w:szCs w:val="24"/>
          <w:lang w:eastAsia="zh-CN"/>
        </w:rPr>
        <w:t>有限</w:t>
      </w:r>
      <w:r>
        <w:rPr>
          <w:rFonts w:hint="eastAsia" w:ascii="宋体" w:hAnsi="宋体" w:eastAsia="宋体" w:cs="Times New Roman"/>
          <w:b w:val="0"/>
          <w:bCs w:val="0"/>
          <w:color w:val="auto"/>
          <w:sz w:val="24"/>
          <w:szCs w:val="24"/>
          <w:lang w:val="en-US" w:eastAsia="zh-CN"/>
        </w:rPr>
        <w:t>或广泛”</w:t>
      </w:r>
      <w:r>
        <w:rPr>
          <w:rFonts w:hint="eastAsia" w:ascii="宋体" w:hAnsi="宋体" w:eastAsia="宋体" w:cs="Times New Roman"/>
          <w:b w:val="0"/>
          <w:bCs w:val="0"/>
          <w:color w:val="auto"/>
          <w:sz w:val="24"/>
          <w:szCs w:val="24"/>
          <w:lang w:eastAsia="zh-CN"/>
        </w:rPr>
        <w:t>参与</w:t>
      </w:r>
      <w:r>
        <w:rPr>
          <w:rFonts w:hint="eastAsia" w:ascii="宋体" w:hAnsi="宋体" w:eastAsia="宋体" w:cs="Times New Roman"/>
          <w:b w:val="0"/>
          <w:bCs w:val="0"/>
          <w:color w:val="auto"/>
          <w:sz w:val="24"/>
          <w:szCs w:val="24"/>
          <w:lang w:val="en-US" w:eastAsia="zh-CN"/>
        </w:rPr>
        <w:t>的词汇来界定都是不清晰的</w:t>
      </w:r>
      <w:r>
        <w:rPr>
          <w:rFonts w:hint="eastAsia" w:ascii="宋体" w:hAnsi="宋体" w:eastAsia="宋体" w:cs="Times New Roman"/>
          <w:b w:val="0"/>
          <w:bCs w:val="0"/>
          <w:color w:val="auto"/>
          <w:sz w:val="24"/>
          <w:szCs w:val="24"/>
          <w:lang w:eastAsia="zh-CN"/>
        </w:rPr>
        <w:t>。</w:t>
      </w:r>
    </w:p>
    <w:p w14:paraId="3DA2BC4C">
      <w:pPr>
        <w:spacing w:after="0" w:line="360" w:lineRule="auto"/>
        <w:ind w:firstLine="480" w:firstLineChars="200"/>
        <w:jc w:val="both"/>
        <w:rPr>
          <w:rFonts w:hint="eastAsia" w:ascii="宋体" w:hAnsi="宋体" w:eastAsia="宋体" w:cs="Times New Roman"/>
          <w:b w:val="0"/>
          <w:bCs w:val="0"/>
          <w:color w:val="auto"/>
          <w:sz w:val="24"/>
          <w:szCs w:val="24"/>
          <w:lang w:eastAsia="zh-CN"/>
        </w:rPr>
      </w:pPr>
      <w:r>
        <w:rPr>
          <w:rFonts w:hint="eastAsia" w:ascii="宋体" w:hAnsi="宋体" w:eastAsia="宋体" w:cs="Times New Roman"/>
          <w:b w:val="0"/>
          <w:bCs w:val="0"/>
          <w:color w:val="auto"/>
          <w:sz w:val="24"/>
          <w:szCs w:val="24"/>
          <w:lang w:val="en-US" w:eastAsia="zh-CN"/>
        </w:rPr>
        <w:t>2、“</w:t>
      </w:r>
      <w:r>
        <w:rPr>
          <w:rFonts w:hint="eastAsia" w:ascii="宋体" w:hAnsi="宋体" w:eastAsia="宋体" w:cs="Times New Roman"/>
          <w:b w:val="0"/>
          <w:bCs w:val="0"/>
          <w:color w:val="auto"/>
          <w:sz w:val="24"/>
          <w:szCs w:val="24"/>
          <w:lang w:eastAsia="zh-CN"/>
        </w:rPr>
        <w:t>社会主义政府首先必须更换国家主要部门（公务员、军队、情报部门、司法机构）的领导人员</w:t>
      </w:r>
      <w:r>
        <w:rPr>
          <w:rFonts w:hint="eastAsia" w:ascii="宋体" w:hAnsi="宋体" w:eastAsia="宋体" w:cs="Times New Roman"/>
          <w:b w:val="0"/>
          <w:bCs w:val="0"/>
          <w:color w:val="auto"/>
          <w:sz w:val="24"/>
          <w:szCs w:val="24"/>
          <w:lang w:val="en-US" w:eastAsia="zh-CN"/>
        </w:rPr>
        <w:t>”有错误吗？该文第三个结论写道：“</w:t>
      </w:r>
      <w:r>
        <w:rPr>
          <w:rFonts w:hint="eastAsia" w:ascii="宋体" w:hAnsi="宋体" w:eastAsia="宋体" w:cs="Times New Roman"/>
          <w:b w:val="0"/>
          <w:bCs w:val="0"/>
          <w:color w:val="auto"/>
          <w:sz w:val="24"/>
          <w:szCs w:val="24"/>
          <w:lang w:eastAsia="zh-CN"/>
        </w:rPr>
        <w:t>列宁认为‘常备军和警察’是行使‘国家权力的主要工具’。当考察巴黎公社和镇压十九世纪末期俄国的自发起义时，说资本主义国家通过‘武装人员’、警察、常备军和监狱实施独裁统治是适当的。但认为社会主义政府首先必须更换国家主要部门（公务员、军队、情报部门、司法机构）的领导人员，这一观点是可以更新的。而且，在目前的条件下，列宁思想必须进一步修正。实行社会控制和思想控制的社会化意识形态同样重要。政府、政党、军事、媒体和教育机构中的统治阶级的各个派别更加紧密地结合在一起，都有着相似的敌视社会主义的思想观念。对民主构成威胁的是‘深层国家’，而不是社会主义政府。列宁思想需要更新，以考虑建立一套范围更广的机构，把国家的意识形态机构——大众媒体（包括主要的电视和互联网公司）和教育系统（包括大学，经济，政治和社会政策机构）包括在内。这里的主要问题是，民主资产阶级议会机构的范围有限，只有在特殊情况下才允许国家对民间社会机构进行法律控制。但</w:t>
      </w:r>
      <w:r>
        <w:rPr>
          <w:rFonts w:ascii="宋体" w:hAnsi="宋体" w:eastAsia="宋体" w:cs="Times New Roman"/>
          <w:b w:val="0"/>
          <w:bCs w:val="0"/>
          <w:color w:val="auto"/>
          <w:sz w:val="24"/>
          <w:szCs w:val="24"/>
          <w:lang w:eastAsia="zh-CN"/>
        </w:rPr>
        <w:t>是，</w:t>
      </w:r>
      <w:r>
        <w:rPr>
          <w:rFonts w:hint="eastAsia" w:ascii="宋体" w:hAnsi="宋体" w:eastAsia="宋体" w:cs="Times New Roman"/>
          <w:b w:val="0"/>
          <w:bCs w:val="0"/>
          <w:color w:val="auto"/>
          <w:sz w:val="24"/>
          <w:szCs w:val="24"/>
          <w:lang w:eastAsia="zh-CN"/>
        </w:rPr>
        <w:t>法律可以被民主修改。自治团体也可以为社会主义事业做出贡献。”</w:t>
      </w:r>
    </w:p>
    <w:p w14:paraId="191F26E8">
      <w:p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上述第三个结论存在两个误论：其一，认为“</w:t>
      </w:r>
      <w:r>
        <w:rPr>
          <w:rFonts w:hint="eastAsia" w:ascii="宋体" w:hAnsi="宋体" w:eastAsia="宋体" w:cs="Times New Roman"/>
          <w:b w:val="0"/>
          <w:bCs w:val="0"/>
          <w:color w:val="auto"/>
          <w:sz w:val="24"/>
          <w:szCs w:val="24"/>
          <w:lang w:eastAsia="zh-CN"/>
        </w:rPr>
        <w:t>当考察巴黎公社和镇压十九世纪末期俄国的自发起义时，说资本主义国家通过‘武装人员’、警察、常备军和监狱实施独裁统治是适当的。</w:t>
      </w:r>
      <w:r>
        <w:rPr>
          <w:rFonts w:hint="eastAsia" w:ascii="宋体" w:hAnsi="宋体" w:eastAsia="宋体" w:cs="Times New Roman"/>
          <w:b w:val="0"/>
          <w:bCs w:val="0"/>
          <w:color w:val="auto"/>
          <w:sz w:val="24"/>
          <w:szCs w:val="24"/>
          <w:lang w:val="en-US" w:eastAsia="zh-CN"/>
        </w:rPr>
        <w:t>”按照这句话的意思，除了巴黎公社和俄国自发起义之外，各国资本主义国家不是实施资产阶级专政或独裁统治的，或者说不是</w:t>
      </w:r>
      <w:r>
        <w:rPr>
          <w:rFonts w:hint="eastAsia" w:ascii="宋体" w:hAnsi="宋体" w:eastAsia="宋体" w:cs="Times New Roman"/>
          <w:b w:val="0"/>
          <w:bCs w:val="0"/>
          <w:color w:val="auto"/>
          <w:sz w:val="24"/>
          <w:szCs w:val="24"/>
          <w:lang w:eastAsia="zh-CN"/>
        </w:rPr>
        <w:t>通过‘武装人员’、警察、常备军和监狱实施独裁统治</w:t>
      </w:r>
      <w:r>
        <w:rPr>
          <w:rFonts w:hint="eastAsia" w:ascii="宋体" w:hAnsi="宋体" w:eastAsia="宋体" w:cs="Times New Roman"/>
          <w:b w:val="0"/>
          <w:bCs w:val="0"/>
          <w:color w:val="auto"/>
          <w:sz w:val="24"/>
          <w:szCs w:val="24"/>
          <w:lang w:val="en-US" w:eastAsia="zh-CN"/>
        </w:rPr>
        <w:t>的。事实上，资本主义国家的国体即国家的阶级属性都是资产阶级民主专政的，即对资产阶级实施真正的实质性民主，对无产阶级和广大人民实施虚伪的形式民主和实质性专政。这既不妨碍资本主义国家的政体多样化，如君主立宪制（目前世界上还有20多个资产阶级国家实施非民主选举的世袭元首制度）、议会领导下的内阁政府制、三权分立制等，也不妨碍资本主义国家采取社会民主主义、特朗普主义或原教旨主义、法西斯主义等等多样化政体。</w:t>
      </w:r>
    </w:p>
    <w:p w14:paraId="4707ACD5">
      <w:p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其二，“</w:t>
      </w:r>
      <w:r>
        <w:rPr>
          <w:rFonts w:hint="eastAsia" w:ascii="宋体" w:hAnsi="宋体" w:eastAsia="宋体" w:cs="Times New Roman"/>
          <w:b w:val="0"/>
          <w:bCs w:val="0"/>
          <w:color w:val="auto"/>
          <w:sz w:val="24"/>
          <w:szCs w:val="24"/>
          <w:lang w:eastAsia="zh-CN"/>
        </w:rPr>
        <w:t>认为社会主义政府首先必须更换国家主要部门（公务员、军队、情报部门、司法机构）的领导人员，这一观点是可以更新的。而且，在目前的条件下，列宁思想必须进一步修正。”</w:t>
      </w:r>
      <w:r>
        <w:rPr>
          <w:rFonts w:hint="eastAsia" w:ascii="宋体" w:hAnsi="宋体" w:eastAsia="宋体" w:cs="Times New Roman"/>
          <w:b w:val="0"/>
          <w:bCs w:val="0"/>
          <w:color w:val="auto"/>
          <w:sz w:val="24"/>
          <w:szCs w:val="24"/>
          <w:lang w:val="en-US" w:eastAsia="zh-CN"/>
        </w:rPr>
        <w:t>在我看来，尽管“</w:t>
      </w:r>
      <w:r>
        <w:rPr>
          <w:rFonts w:hint="eastAsia" w:ascii="宋体" w:hAnsi="宋体" w:eastAsia="宋体" w:cs="Times New Roman"/>
          <w:b w:val="0"/>
          <w:bCs w:val="0"/>
          <w:color w:val="auto"/>
          <w:sz w:val="24"/>
          <w:szCs w:val="24"/>
          <w:lang w:eastAsia="zh-CN"/>
        </w:rPr>
        <w:t>实行社会控制和思想控制的社会化意识形态同样重要。</w:t>
      </w:r>
      <w:r>
        <w:rPr>
          <w:rFonts w:hint="eastAsia"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eastAsia="zh-CN"/>
        </w:rPr>
        <w:t>以考虑建立一套范围更广的机构，把国家的意识形态机构——大众媒体（包括主要的电视和互联网公司）和教育系统（包括大学，经济，政治和社会政策机构）包括在内。</w:t>
      </w:r>
      <w:r>
        <w:rPr>
          <w:rFonts w:hint="eastAsia" w:ascii="宋体" w:hAnsi="宋体" w:eastAsia="宋体" w:cs="Times New Roman"/>
          <w:b w:val="0"/>
          <w:bCs w:val="0"/>
          <w:color w:val="auto"/>
          <w:sz w:val="24"/>
          <w:szCs w:val="24"/>
          <w:lang w:val="en-US" w:eastAsia="zh-CN"/>
        </w:rPr>
        <w:t>”这一意见是对的，但没有理由更新列宁强调“首先</w:t>
      </w:r>
      <w:r>
        <w:rPr>
          <w:rFonts w:hint="eastAsia" w:ascii="宋体" w:hAnsi="宋体" w:eastAsia="宋体" w:cs="Times New Roman"/>
          <w:b w:val="0"/>
          <w:bCs w:val="0"/>
          <w:color w:val="auto"/>
          <w:sz w:val="24"/>
          <w:szCs w:val="24"/>
          <w:lang w:eastAsia="zh-CN"/>
        </w:rPr>
        <w:t>必须更换国家主要部门（公务员、军队、情报部门、司法机构）的领导人员</w:t>
      </w:r>
      <w:r>
        <w:rPr>
          <w:rFonts w:hint="eastAsia" w:ascii="宋体" w:hAnsi="宋体" w:eastAsia="宋体" w:cs="Times New Roman"/>
          <w:b w:val="0"/>
          <w:bCs w:val="0"/>
          <w:color w:val="auto"/>
          <w:sz w:val="24"/>
          <w:szCs w:val="24"/>
          <w:lang w:val="en-US" w:eastAsia="zh-CN"/>
        </w:rPr>
        <w:t>”，因为无产阶级夺取政权首先就是夺取公务员、军队等政权部门，其次（也可以是第二天或以后）才是控制国家的意识形态机构，而不可能顺序颠倒到来实施。</w:t>
      </w:r>
    </w:p>
    <w:p w14:paraId="45FF0E01">
      <w:pPr>
        <w:spacing w:after="0" w:line="360" w:lineRule="auto"/>
        <w:ind w:firstLine="480" w:firstLineChars="200"/>
        <w:jc w:val="both"/>
        <w:rPr>
          <w:rFonts w:hint="default" w:ascii="宋体" w:hAnsi="宋体" w:eastAsia="宋体" w:cs="Times New Roman"/>
          <w:b/>
          <w:bCs/>
          <w:color w:val="auto"/>
          <w:sz w:val="24"/>
          <w:szCs w:val="24"/>
          <w:lang w:val="en-US" w:eastAsia="zh-CN"/>
        </w:rPr>
      </w:pPr>
      <w:r>
        <w:rPr>
          <w:rFonts w:hint="eastAsia" w:ascii="宋体" w:hAnsi="宋体" w:eastAsia="宋体" w:cs="Times New Roman"/>
          <w:b/>
          <w:bCs/>
          <w:color w:val="auto"/>
          <w:sz w:val="24"/>
          <w:szCs w:val="24"/>
          <w:lang w:val="en-US" w:eastAsia="zh-CN"/>
        </w:rPr>
        <w:t>三、如何正确理解社会主义、议会民主和无产阶级革命？</w:t>
      </w:r>
    </w:p>
    <w:p w14:paraId="4914AD16">
      <w:p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现在评析《论列宁》第四至第六个结论。</w:t>
      </w:r>
    </w:p>
    <w:p w14:paraId="58D619E4">
      <w:pPr>
        <w:numPr>
          <w:ilvl w:val="0"/>
          <w:numId w:val="2"/>
        </w:numPr>
        <w:spacing w:after="0" w:line="360" w:lineRule="auto"/>
        <w:ind w:firstLine="480" w:firstLineChars="200"/>
        <w:jc w:val="both"/>
        <w:rPr>
          <w:rFonts w:hint="eastAsia" w:ascii="宋体" w:hAnsi="宋体" w:eastAsia="宋体" w:cs="Times New Roman"/>
          <w:b w:val="0"/>
          <w:bCs w:val="0"/>
          <w:color w:val="auto"/>
          <w:sz w:val="24"/>
          <w:szCs w:val="24"/>
          <w:lang w:eastAsia="zh-CN"/>
        </w:rPr>
      </w:pPr>
      <w:r>
        <w:rPr>
          <w:rFonts w:hint="eastAsia" w:ascii="宋体" w:hAnsi="宋体" w:eastAsia="宋体" w:cs="Times New Roman"/>
          <w:b w:val="0"/>
          <w:bCs w:val="0"/>
          <w:color w:val="auto"/>
          <w:sz w:val="24"/>
          <w:szCs w:val="24"/>
          <w:lang w:val="en-US" w:eastAsia="zh-CN"/>
        </w:rPr>
        <w:t>列宁关于无产阶级专政的理论“必须被拒绝”吗？该文第四个结论写道：“</w:t>
      </w:r>
      <w:r>
        <w:rPr>
          <w:rFonts w:hint="eastAsia" w:ascii="宋体" w:hAnsi="宋体" w:eastAsia="宋体" w:cs="Times New Roman"/>
          <w:b w:val="0"/>
          <w:bCs w:val="0"/>
          <w:color w:val="auto"/>
          <w:sz w:val="24"/>
          <w:szCs w:val="24"/>
          <w:lang w:eastAsia="zh-CN"/>
        </w:rPr>
        <w:t>由于工人阶级不是普遍阶级，十月</w:t>
      </w:r>
      <w:r>
        <w:rPr>
          <w:rFonts w:ascii="宋体" w:hAnsi="宋体" w:eastAsia="宋体" w:cs="Times New Roman"/>
          <w:b w:val="0"/>
          <w:bCs w:val="0"/>
          <w:color w:val="auto"/>
          <w:sz w:val="24"/>
          <w:szCs w:val="24"/>
          <w:lang w:eastAsia="zh-CN"/>
        </w:rPr>
        <w:t>革命后</w:t>
      </w:r>
      <w:r>
        <w:rPr>
          <w:rFonts w:hint="eastAsia" w:ascii="宋体" w:hAnsi="宋体" w:eastAsia="宋体" w:cs="Times New Roman"/>
          <w:b w:val="0"/>
          <w:bCs w:val="0"/>
          <w:color w:val="auto"/>
          <w:sz w:val="24"/>
          <w:szCs w:val="24"/>
          <w:lang w:eastAsia="zh-CN"/>
        </w:rPr>
        <w:t>其他阶级和利益集团的内外对立导致了难以接受的大规模镇压。这样的专政不是可接受</w:t>
      </w:r>
      <w:r>
        <w:rPr>
          <w:rFonts w:ascii="宋体" w:hAnsi="宋体" w:eastAsia="宋体" w:cs="Times New Roman"/>
          <w:b w:val="0"/>
          <w:bCs w:val="0"/>
          <w:color w:val="auto"/>
          <w:sz w:val="24"/>
          <w:szCs w:val="24"/>
          <w:lang w:eastAsia="zh-CN"/>
        </w:rPr>
        <w:t>的</w:t>
      </w:r>
      <w:r>
        <w:rPr>
          <w:rFonts w:hint="eastAsia" w:ascii="宋体" w:hAnsi="宋体" w:eastAsia="宋体" w:cs="Times New Roman"/>
          <w:b w:val="0"/>
          <w:bCs w:val="0"/>
          <w:color w:val="auto"/>
          <w:sz w:val="24"/>
          <w:szCs w:val="24"/>
          <w:lang w:eastAsia="zh-CN"/>
        </w:rPr>
        <w:t>先进国家向社会主义迈进的国家形态。在这里列宁的观点必须</w:t>
      </w:r>
      <w:r>
        <w:rPr>
          <w:rFonts w:ascii="宋体" w:hAnsi="宋体" w:eastAsia="宋体" w:cs="Times New Roman"/>
          <w:b w:val="0"/>
          <w:bCs w:val="0"/>
          <w:color w:val="auto"/>
          <w:sz w:val="24"/>
          <w:szCs w:val="24"/>
          <w:lang w:eastAsia="zh-CN"/>
        </w:rPr>
        <w:t>被</w:t>
      </w:r>
      <w:r>
        <w:rPr>
          <w:rFonts w:hint="eastAsia" w:ascii="宋体" w:hAnsi="宋体" w:eastAsia="宋体" w:cs="Times New Roman"/>
          <w:b w:val="0"/>
          <w:bCs w:val="0"/>
          <w:color w:val="auto"/>
          <w:sz w:val="24"/>
          <w:szCs w:val="24"/>
          <w:lang w:eastAsia="zh-CN"/>
        </w:rPr>
        <w:t>拒绝，向社会主义过渡的方式必须加以修改。工人阶级作为一个崛起的阶级可以在议会民主制度中发挥作用。列宁的‘无产阶级专政’的替代方案是赢得民主斗争，改变议会民主。”</w:t>
      </w:r>
    </w:p>
    <w:p w14:paraId="17A19BDD">
      <w:pPr>
        <w:numPr>
          <w:ilvl w:val="0"/>
          <w:numId w:val="0"/>
        </w:num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上述这段话的逻辑有三个问题：（1）如果“十月革命后</w:t>
      </w:r>
      <w:r>
        <w:rPr>
          <w:rFonts w:hint="eastAsia" w:ascii="宋体" w:hAnsi="宋体" w:eastAsia="宋体" w:cs="Times New Roman"/>
          <w:b w:val="0"/>
          <w:bCs w:val="0"/>
          <w:color w:val="auto"/>
          <w:sz w:val="24"/>
          <w:szCs w:val="24"/>
          <w:lang w:eastAsia="zh-CN"/>
        </w:rPr>
        <w:t>其他阶级和利益集团的内外对立导致了难以接受的大规模镇压</w:t>
      </w:r>
      <w:r>
        <w:rPr>
          <w:rFonts w:hint="eastAsia" w:ascii="宋体" w:hAnsi="宋体" w:eastAsia="宋体" w:cs="Times New Roman"/>
          <w:b w:val="0"/>
          <w:bCs w:val="0"/>
          <w:color w:val="auto"/>
          <w:sz w:val="24"/>
          <w:szCs w:val="24"/>
          <w:lang w:val="en-US" w:eastAsia="zh-CN"/>
        </w:rPr>
        <w:t>”是客观事实的话（这里不作具体分析），这与“</w:t>
      </w:r>
      <w:r>
        <w:rPr>
          <w:rFonts w:hint="eastAsia" w:ascii="宋体" w:hAnsi="宋体" w:eastAsia="宋体" w:cs="Times New Roman"/>
          <w:b w:val="0"/>
          <w:bCs w:val="0"/>
          <w:color w:val="auto"/>
          <w:sz w:val="24"/>
          <w:szCs w:val="24"/>
          <w:lang w:eastAsia="zh-CN"/>
        </w:rPr>
        <w:t>由于工人阶级不是普遍阶级”</w:t>
      </w:r>
      <w:r>
        <w:rPr>
          <w:rFonts w:hint="eastAsia" w:ascii="宋体" w:hAnsi="宋体" w:eastAsia="宋体" w:cs="Times New Roman"/>
          <w:b w:val="0"/>
          <w:bCs w:val="0"/>
          <w:color w:val="auto"/>
          <w:sz w:val="24"/>
          <w:szCs w:val="24"/>
          <w:lang w:val="en-US" w:eastAsia="zh-CN"/>
        </w:rPr>
        <w:t>有必然关系吗？如果工人阶级是普遍阶级，就肯定不会形成工人、农民、资本家等各个“阶级</w:t>
      </w:r>
      <w:r>
        <w:rPr>
          <w:rFonts w:hint="eastAsia" w:ascii="宋体" w:hAnsi="宋体" w:eastAsia="宋体" w:cs="Times New Roman"/>
          <w:b w:val="0"/>
          <w:bCs w:val="0"/>
          <w:color w:val="auto"/>
          <w:sz w:val="24"/>
          <w:szCs w:val="24"/>
          <w:lang w:eastAsia="zh-CN"/>
        </w:rPr>
        <w:t>和利益集团的内外对立</w:t>
      </w:r>
      <w:r>
        <w:rPr>
          <w:rFonts w:hint="eastAsia" w:ascii="宋体" w:hAnsi="宋体" w:eastAsia="宋体" w:cs="Times New Roman"/>
          <w:b w:val="0"/>
          <w:bCs w:val="0"/>
          <w:color w:val="auto"/>
          <w:sz w:val="24"/>
          <w:szCs w:val="24"/>
          <w:lang w:val="en-US" w:eastAsia="zh-CN"/>
        </w:rPr>
        <w:t>”了吗？（2）如果十月革命时相对于农民阶级来说，“俄国工人阶级不是普遍阶级”，因而</w:t>
      </w:r>
      <w:r>
        <w:rPr>
          <w:rFonts w:hint="eastAsia" w:ascii="宋体" w:hAnsi="宋体" w:eastAsia="宋体" w:cs="Times New Roman"/>
          <w:b w:val="0"/>
          <w:bCs w:val="0"/>
          <w:color w:val="auto"/>
          <w:sz w:val="24"/>
          <w:szCs w:val="24"/>
          <w:lang w:eastAsia="zh-CN"/>
        </w:rPr>
        <w:t>列宁</w:t>
      </w:r>
      <w:r>
        <w:rPr>
          <w:rFonts w:hint="eastAsia" w:ascii="宋体" w:hAnsi="宋体" w:eastAsia="宋体" w:cs="Times New Roman"/>
          <w:b w:val="0"/>
          <w:bCs w:val="0"/>
          <w:color w:val="auto"/>
          <w:sz w:val="24"/>
          <w:szCs w:val="24"/>
          <w:lang w:val="en-US" w:eastAsia="zh-CN"/>
        </w:rPr>
        <w:t>实行</w:t>
      </w:r>
      <w:r>
        <w:rPr>
          <w:rFonts w:hint="eastAsia" w:ascii="宋体" w:hAnsi="宋体" w:eastAsia="宋体" w:cs="Times New Roman"/>
          <w:b w:val="0"/>
          <w:bCs w:val="0"/>
          <w:color w:val="auto"/>
          <w:sz w:val="24"/>
          <w:szCs w:val="24"/>
          <w:lang w:eastAsia="zh-CN"/>
        </w:rPr>
        <w:t>的无产阶级专政“不是可接受</w:t>
      </w:r>
      <w:r>
        <w:rPr>
          <w:rFonts w:ascii="宋体" w:hAnsi="宋体" w:eastAsia="宋体" w:cs="Times New Roman"/>
          <w:b w:val="0"/>
          <w:bCs w:val="0"/>
          <w:color w:val="auto"/>
          <w:sz w:val="24"/>
          <w:szCs w:val="24"/>
          <w:lang w:eastAsia="zh-CN"/>
        </w:rPr>
        <w:t>的</w:t>
      </w:r>
      <w:r>
        <w:rPr>
          <w:rFonts w:hint="eastAsia" w:ascii="宋体" w:hAnsi="宋体" w:eastAsia="宋体" w:cs="Times New Roman"/>
          <w:b w:val="0"/>
          <w:bCs w:val="0"/>
          <w:color w:val="auto"/>
          <w:sz w:val="24"/>
          <w:szCs w:val="24"/>
          <w:lang w:eastAsia="zh-CN"/>
        </w:rPr>
        <w:t>先进国家向社会主义迈进的国家形态”，</w:t>
      </w:r>
      <w:r>
        <w:rPr>
          <w:rFonts w:hint="eastAsia" w:ascii="宋体" w:hAnsi="宋体" w:eastAsia="宋体" w:cs="Times New Roman"/>
          <w:b w:val="0"/>
          <w:bCs w:val="0"/>
          <w:color w:val="auto"/>
          <w:sz w:val="24"/>
          <w:szCs w:val="24"/>
          <w:lang w:val="en-US" w:eastAsia="zh-CN"/>
        </w:rPr>
        <w:t>那么，十月革命以后直至当今，发达资本主义国家的工人阶级早已是普遍阶级，为何“</w:t>
      </w:r>
      <w:r>
        <w:rPr>
          <w:rFonts w:hint="eastAsia" w:ascii="宋体" w:hAnsi="宋体" w:eastAsia="宋体" w:cs="Times New Roman"/>
          <w:b w:val="0"/>
          <w:bCs w:val="0"/>
          <w:color w:val="auto"/>
          <w:sz w:val="24"/>
          <w:szCs w:val="24"/>
          <w:lang w:eastAsia="zh-CN"/>
        </w:rPr>
        <w:t>列宁的观点必须</w:t>
      </w:r>
      <w:r>
        <w:rPr>
          <w:rFonts w:ascii="宋体" w:hAnsi="宋体" w:eastAsia="宋体" w:cs="Times New Roman"/>
          <w:b w:val="0"/>
          <w:bCs w:val="0"/>
          <w:color w:val="auto"/>
          <w:sz w:val="24"/>
          <w:szCs w:val="24"/>
          <w:lang w:eastAsia="zh-CN"/>
        </w:rPr>
        <w:t>被</w:t>
      </w:r>
      <w:r>
        <w:rPr>
          <w:rFonts w:hint="eastAsia" w:ascii="宋体" w:hAnsi="宋体" w:eastAsia="宋体" w:cs="Times New Roman"/>
          <w:b w:val="0"/>
          <w:bCs w:val="0"/>
          <w:color w:val="auto"/>
          <w:sz w:val="24"/>
          <w:szCs w:val="24"/>
          <w:lang w:eastAsia="zh-CN"/>
        </w:rPr>
        <w:t>拒绝</w:t>
      </w:r>
      <w:r>
        <w:rPr>
          <w:rFonts w:hint="eastAsia" w:ascii="宋体" w:hAnsi="宋体" w:eastAsia="宋体" w:cs="Times New Roman"/>
          <w:b w:val="0"/>
          <w:bCs w:val="0"/>
          <w:color w:val="auto"/>
          <w:sz w:val="24"/>
          <w:szCs w:val="24"/>
          <w:lang w:val="en-US" w:eastAsia="zh-CN"/>
        </w:rPr>
        <w:t>”呢？（3）有什么理由规定“</w:t>
      </w:r>
      <w:r>
        <w:rPr>
          <w:rFonts w:hint="eastAsia" w:ascii="宋体" w:hAnsi="宋体" w:eastAsia="宋体" w:cs="Times New Roman"/>
          <w:b w:val="0"/>
          <w:bCs w:val="0"/>
          <w:color w:val="auto"/>
          <w:sz w:val="24"/>
          <w:szCs w:val="24"/>
          <w:lang w:eastAsia="zh-CN"/>
        </w:rPr>
        <w:t>工人阶级作为一个崛起的阶级”</w:t>
      </w:r>
      <w:r>
        <w:rPr>
          <w:rFonts w:hint="eastAsia" w:ascii="宋体" w:hAnsi="宋体" w:eastAsia="宋体" w:cs="Times New Roman"/>
          <w:b w:val="0"/>
          <w:bCs w:val="0"/>
          <w:color w:val="auto"/>
          <w:sz w:val="24"/>
          <w:szCs w:val="24"/>
          <w:lang w:val="en-US" w:eastAsia="zh-CN"/>
        </w:rPr>
        <w:t>只</w:t>
      </w:r>
      <w:r>
        <w:rPr>
          <w:rFonts w:hint="eastAsia" w:ascii="宋体" w:hAnsi="宋体" w:eastAsia="宋体" w:cs="Times New Roman"/>
          <w:b w:val="0"/>
          <w:bCs w:val="0"/>
          <w:color w:val="auto"/>
          <w:sz w:val="24"/>
          <w:szCs w:val="24"/>
          <w:lang w:eastAsia="zh-CN"/>
        </w:rPr>
        <w:t>“可以在议会民主制度中发挥作用</w:t>
      </w:r>
      <w:r>
        <w:rPr>
          <w:rFonts w:hint="eastAsia" w:ascii="宋体" w:hAnsi="宋体" w:eastAsia="宋体" w:cs="Times New Roman"/>
          <w:b w:val="0"/>
          <w:bCs w:val="0"/>
          <w:color w:val="auto"/>
          <w:sz w:val="24"/>
          <w:szCs w:val="24"/>
          <w:lang w:val="en-US" w:eastAsia="zh-CN"/>
        </w:rPr>
        <w:t>”？历史上又有哪个资本主义国家是主要通过议会民主方式“</w:t>
      </w:r>
      <w:r>
        <w:rPr>
          <w:rFonts w:hint="eastAsia" w:ascii="宋体" w:hAnsi="宋体" w:eastAsia="宋体" w:cs="Times New Roman"/>
          <w:b w:val="0"/>
          <w:bCs w:val="0"/>
          <w:color w:val="auto"/>
          <w:sz w:val="24"/>
          <w:szCs w:val="24"/>
          <w:lang w:eastAsia="zh-CN"/>
        </w:rPr>
        <w:t>向社会主义过渡</w:t>
      </w:r>
      <w:r>
        <w:rPr>
          <w:rFonts w:hint="eastAsia" w:ascii="宋体" w:hAnsi="宋体" w:eastAsia="宋体" w:cs="Times New Roman"/>
          <w:b w:val="0"/>
          <w:bCs w:val="0"/>
          <w:color w:val="auto"/>
          <w:sz w:val="24"/>
          <w:szCs w:val="24"/>
          <w:lang w:val="en-US" w:eastAsia="zh-CN"/>
        </w:rPr>
        <w:t>”成功的呢？</w:t>
      </w:r>
    </w:p>
    <w:p w14:paraId="486078BD">
      <w:p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2、“</w:t>
      </w:r>
      <w:r>
        <w:rPr>
          <w:rFonts w:hint="eastAsia" w:ascii="宋体" w:hAnsi="宋体" w:eastAsia="宋体" w:cs="Times New Roman"/>
          <w:b w:val="0"/>
          <w:bCs w:val="0"/>
          <w:color w:val="auto"/>
          <w:sz w:val="24"/>
          <w:szCs w:val="24"/>
          <w:lang w:eastAsia="zh-CN"/>
        </w:rPr>
        <w:t>列宁以专政为基础的革命战略需要修改”</w:t>
      </w:r>
      <w:r>
        <w:rPr>
          <w:rFonts w:hint="eastAsia" w:ascii="宋体" w:hAnsi="宋体" w:eastAsia="宋体" w:cs="Times New Roman"/>
          <w:b w:val="0"/>
          <w:bCs w:val="0"/>
          <w:color w:val="auto"/>
          <w:sz w:val="24"/>
          <w:szCs w:val="24"/>
          <w:lang w:val="en-US" w:eastAsia="zh-CN"/>
        </w:rPr>
        <w:t>吗？该文第五个结论写道：“</w:t>
      </w:r>
      <w:r>
        <w:rPr>
          <w:rFonts w:hint="eastAsia" w:ascii="宋体" w:hAnsi="宋体" w:eastAsia="宋体" w:cs="Times New Roman"/>
          <w:b w:val="0"/>
          <w:bCs w:val="0"/>
          <w:color w:val="auto"/>
          <w:sz w:val="24"/>
          <w:szCs w:val="24"/>
          <w:lang w:eastAsia="zh-CN"/>
        </w:rPr>
        <w:t>列宁以专政为基础的革命战略需要修改：没有社会主义，议会民主一样可以运作；但是没有民主，社会主义就无法繁荣。”</w:t>
      </w:r>
      <w:r>
        <w:rPr>
          <w:rFonts w:hint="eastAsia" w:ascii="宋体" w:hAnsi="宋体" w:eastAsia="宋体" w:cs="Times New Roman"/>
          <w:b w:val="0"/>
          <w:bCs w:val="0"/>
          <w:color w:val="auto"/>
          <w:sz w:val="24"/>
          <w:szCs w:val="24"/>
          <w:lang w:val="en-US" w:eastAsia="zh-CN"/>
        </w:rPr>
        <w:t>依据以上分析，我们不用再赘述“</w:t>
      </w:r>
      <w:r>
        <w:rPr>
          <w:rFonts w:hint="eastAsia" w:ascii="宋体" w:hAnsi="宋体" w:eastAsia="宋体" w:cs="Times New Roman"/>
          <w:b w:val="0"/>
          <w:bCs w:val="0"/>
          <w:color w:val="auto"/>
          <w:sz w:val="24"/>
          <w:szCs w:val="24"/>
          <w:lang w:eastAsia="zh-CN"/>
        </w:rPr>
        <w:t>列宁以专政为基础的革命战略需要修改”，</w:t>
      </w:r>
      <w:r>
        <w:rPr>
          <w:rFonts w:hint="eastAsia" w:ascii="宋体" w:hAnsi="宋体" w:eastAsia="宋体" w:cs="Times New Roman"/>
          <w:b w:val="0"/>
          <w:bCs w:val="0"/>
          <w:color w:val="auto"/>
          <w:sz w:val="24"/>
          <w:szCs w:val="24"/>
          <w:lang w:val="en-US" w:eastAsia="zh-CN"/>
        </w:rPr>
        <w:t>还是根本没有必要修改的问题。这里只需简单地提出：一是</w:t>
      </w:r>
      <w:r>
        <w:rPr>
          <w:rFonts w:hint="eastAsia" w:ascii="宋体" w:hAnsi="宋体" w:eastAsia="宋体" w:cs="Times New Roman"/>
          <w:b w:val="0"/>
          <w:bCs w:val="0"/>
          <w:color w:val="auto"/>
          <w:sz w:val="24"/>
          <w:szCs w:val="24"/>
          <w:lang w:eastAsia="zh-CN"/>
        </w:rPr>
        <w:t>没有社会主义，</w:t>
      </w:r>
      <w:r>
        <w:rPr>
          <w:rFonts w:hint="eastAsia" w:ascii="宋体" w:hAnsi="宋体" w:eastAsia="宋体" w:cs="Times New Roman"/>
          <w:b w:val="0"/>
          <w:bCs w:val="0"/>
          <w:color w:val="auto"/>
          <w:sz w:val="24"/>
          <w:szCs w:val="24"/>
          <w:lang w:val="en-US" w:eastAsia="zh-CN"/>
        </w:rPr>
        <w:t>资产阶级的</w:t>
      </w:r>
      <w:r>
        <w:rPr>
          <w:rFonts w:hint="eastAsia" w:ascii="宋体" w:hAnsi="宋体" w:eastAsia="宋体" w:cs="Times New Roman"/>
          <w:b w:val="0"/>
          <w:bCs w:val="0"/>
          <w:color w:val="auto"/>
          <w:sz w:val="24"/>
          <w:szCs w:val="24"/>
          <w:lang w:eastAsia="zh-CN"/>
        </w:rPr>
        <w:t>议会民主</w:t>
      </w:r>
      <w:r>
        <w:rPr>
          <w:rFonts w:hint="eastAsia" w:ascii="宋体" w:hAnsi="宋体" w:eastAsia="宋体" w:cs="Times New Roman"/>
          <w:b w:val="0"/>
          <w:bCs w:val="0"/>
          <w:color w:val="auto"/>
          <w:sz w:val="24"/>
          <w:szCs w:val="24"/>
          <w:lang w:val="en-US" w:eastAsia="zh-CN"/>
        </w:rPr>
        <w:t>确实</w:t>
      </w:r>
      <w:r>
        <w:rPr>
          <w:rFonts w:hint="eastAsia" w:ascii="宋体" w:hAnsi="宋体" w:eastAsia="宋体" w:cs="Times New Roman"/>
          <w:b w:val="0"/>
          <w:bCs w:val="0"/>
          <w:color w:val="auto"/>
          <w:sz w:val="24"/>
          <w:szCs w:val="24"/>
          <w:lang w:eastAsia="zh-CN"/>
        </w:rPr>
        <w:t>一样可以运作；</w:t>
      </w:r>
      <w:r>
        <w:rPr>
          <w:rFonts w:hint="eastAsia" w:ascii="宋体" w:hAnsi="宋体" w:eastAsia="宋体" w:cs="Times New Roman"/>
          <w:b w:val="0"/>
          <w:bCs w:val="0"/>
          <w:color w:val="auto"/>
          <w:sz w:val="24"/>
          <w:szCs w:val="24"/>
          <w:lang w:val="en-US" w:eastAsia="zh-CN"/>
        </w:rPr>
        <w:t>社会主义国家也需要建立健全社会主义的议会民主</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二是无产阶级专政也就是人民民主专政，把对人民实行民主与对社会主义敌对阶级和破坏分子实行专政结合起来，因而没有社会主义民主或没有社会主义专政，社会主义都无法繁荣。列宁曾经详细分析过这些问题。可见，作者对列宁革命战略的修改是不正确的。</w:t>
      </w:r>
    </w:p>
    <w:p w14:paraId="2FF582D5">
      <w:p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3、中国等国家共产党的革命成功不属于“无产阶级革命”吗？该文第六个结论写道：“</w:t>
      </w:r>
      <w:r>
        <w:rPr>
          <w:rFonts w:hint="eastAsia" w:ascii="宋体" w:hAnsi="宋体" w:eastAsia="宋体" w:cs="Times New Roman"/>
          <w:b w:val="0"/>
          <w:bCs w:val="0"/>
          <w:color w:val="auto"/>
          <w:sz w:val="24"/>
          <w:szCs w:val="24"/>
          <w:lang w:eastAsia="zh-CN"/>
        </w:rPr>
        <w:t>西欧社会主义革命的失败对十月革命造成了不利的影响。尽管如此，南斯拉夫、中国、古巴、越南和朝鲜的共产党还是根据列宁的理论，通过人民革命运动上台执政。这几个国家都是农民人口众多的国家，不是工人阶级崛起的国家。这些不是‘无产阶级革命’，而是由知识分子领导的、工人和农民支持的革命，是民族解放运动，是社会主义生产力发展的国家性运动。</w:t>
      </w:r>
      <w:r>
        <w:rPr>
          <w:rFonts w:hint="default" w:ascii="宋体" w:hAnsi="宋体" w:eastAsia="宋体" w:cs="Times New Roman"/>
          <w:b w:val="0"/>
          <w:bCs w:val="0"/>
          <w:color w:val="auto"/>
          <w:sz w:val="24"/>
          <w:szCs w:val="24"/>
          <w:lang w:val="en-US" w:eastAsia="zh-CN"/>
        </w:rPr>
        <w:t>”</w:t>
      </w:r>
      <w:r>
        <w:rPr>
          <w:rFonts w:hint="eastAsia" w:ascii="宋体" w:hAnsi="宋体" w:eastAsia="宋体" w:cs="Times New Roman"/>
          <w:b w:val="0"/>
          <w:bCs w:val="0"/>
          <w:color w:val="auto"/>
          <w:sz w:val="24"/>
          <w:szCs w:val="24"/>
          <w:lang w:val="en-US" w:eastAsia="zh-CN"/>
        </w:rPr>
        <w:t>这段话就引出了什么是“</w:t>
      </w:r>
      <w:r>
        <w:rPr>
          <w:rFonts w:hint="eastAsia" w:ascii="宋体" w:hAnsi="宋体" w:eastAsia="宋体" w:cs="Times New Roman"/>
          <w:b w:val="0"/>
          <w:bCs w:val="0"/>
          <w:color w:val="auto"/>
          <w:sz w:val="24"/>
          <w:szCs w:val="24"/>
          <w:lang w:eastAsia="zh-CN"/>
        </w:rPr>
        <w:t>无产阶级革命</w:t>
      </w:r>
      <w:r>
        <w:rPr>
          <w:rFonts w:hint="eastAsia" w:ascii="宋体" w:hAnsi="宋体" w:eastAsia="宋体" w:cs="Times New Roman"/>
          <w:b w:val="0"/>
          <w:bCs w:val="0"/>
          <w:color w:val="auto"/>
          <w:sz w:val="24"/>
          <w:szCs w:val="24"/>
          <w:lang w:val="en-US" w:eastAsia="zh-CN"/>
        </w:rPr>
        <w:t>”的理论问题。这个问题就是：由知识分子担任无产阶级政党的领导班子，或者无产阶级政党和无产阶级革命的大多数参加者是原来的农民，就不算无产阶级政党或无产阶级革命了吗？我认为准确地分析应这样认知：凡是革命的大方向和最高目标是实现马列主义的科学社会主义，均可视为无产阶级革命或工人阶级革命；而这一革命又可分为无产阶级领导的新民主主义革命、对各类私有制进行改造的社会主义革命等阶段和形式。至于无产阶级革命的领导班子或多数参与者的原职业和原阶级出身，与这一革命的性质无关。因此，迄今为止建立的社会主义国家，既是民族解放运动的胜利，也是标准的无产阶级革命的胜利，是马列主义革命理论的成功实践。</w:t>
      </w:r>
    </w:p>
    <w:p w14:paraId="6E9DB977">
      <w:pPr>
        <w:spacing w:after="0" w:line="360" w:lineRule="auto"/>
        <w:ind w:firstLine="721" w:firstLineChars="300"/>
        <w:jc w:val="both"/>
        <w:rPr>
          <w:rFonts w:hint="default" w:ascii="宋体" w:hAnsi="宋体" w:eastAsia="宋体" w:cs="Times New Roman"/>
          <w:b/>
          <w:bCs/>
          <w:color w:val="auto"/>
          <w:sz w:val="24"/>
          <w:szCs w:val="24"/>
          <w:lang w:val="en-US" w:eastAsia="zh-CN"/>
        </w:rPr>
      </w:pPr>
      <w:r>
        <w:rPr>
          <w:rFonts w:hint="eastAsia" w:ascii="宋体" w:hAnsi="宋体" w:eastAsia="宋体" w:cs="Times New Roman"/>
          <w:b/>
          <w:bCs/>
          <w:color w:val="auto"/>
          <w:sz w:val="24"/>
          <w:szCs w:val="24"/>
          <w:lang w:val="en-US" w:eastAsia="zh-CN"/>
        </w:rPr>
        <w:t>四、如何正确认识新老帝国主义和工人阶级愿望？</w:t>
      </w:r>
    </w:p>
    <w:p w14:paraId="37E6E625">
      <w:p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现在评析《论列宁》第七和第八个结论。</w:t>
      </w:r>
    </w:p>
    <w:p w14:paraId="143875B0">
      <w:pPr>
        <w:spacing w:after="0" w:line="360" w:lineRule="auto"/>
        <w:ind w:firstLine="480" w:firstLineChars="200"/>
        <w:jc w:val="both"/>
        <w:rPr>
          <w:rFonts w:hint="eastAsia" w:ascii="宋体" w:hAnsi="宋体" w:eastAsia="宋体" w:cs="Times New Roman"/>
          <w:b w:val="0"/>
          <w:bCs w:val="0"/>
          <w:color w:val="auto"/>
          <w:sz w:val="24"/>
          <w:szCs w:val="24"/>
          <w:lang w:eastAsia="zh-CN"/>
        </w:rPr>
      </w:pPr>
      <w:r>
        <w:rPr>
          <w:rFonts w:hint="eastAsia" w:ascii="宋体" w:hAnsi="宋体" w:eastAsia="宋体" w:cs="Times New Roman"/>
          <w:b w:val="0"/>
          <w:bCs w:val="0"/>
          <w:color w:val="auto"/>
          <w:sz w:val="24"/>
          <w:szCs w:val="24"/>
          <w:lang w:val="en-US" w:eastAsia="zh-CN"/>
        </w:rPr>
        <w:t>1、“</w:t>
      </w:r>
      <w:r>
        <w:rPr>
          <w:rFonts w:hint="eastAsia" w:ascii="宋体" w:hAnsi="宋体" w:eastAsia="宋体" w:cs="Times New Roman"/>
          <w:b w:val="0"/>
          <w:bCs w:val="0"/>
          <w:color w:val="auto"/>
          <w:sz w:val="24"/>
          <w:szCs w:val="24"/>
          <w:lang w:eastAsia="zh-CN"/>
        </w:rPr>
        <w:t>列宁关于帝国主义是垄断资本主义的观点必须被取代”</w:t>
      </w:r>
      <w:r>
        <w:rPr>
          <w:rFonts w:hint="eastAsia" w:ascii="宋体" w:hAnsi="宋体" w:eastAsia="宋体" w:cs="Times New Roman"/>
          <w:b w:val="0"/>
          <w:bCs w:val="0"/>
          <w:color w:val="auto"/>
          <w:sz w:val="24"/>
          <w:szCs w:val="24"/>
          <w:lang w:val="en-US" w:eastAsia="zh-CN"/>
        </w:rPr>
        <w:t>吗？该文第七个结论写道：“</w:t>
      </w:r>
      <w:r>
        <w:rPr>
          <w:rFonts w:hint="eastAsia" w:ascii="宋体" w:hAnsi="宋体" w:eastAsia="宋体" w:cs="Times New Roman"/>
          <w:b w:val="0"/>
          <w:bCs w:val="0"/>
          <w:color w:val="auto"/>
          <w:sz w:val="24"/>
          <w:szCs w:val="24"/>
          <w:lang w:eastAsia="zh-CN"/>
        </w:rPr>
        <w:t>列宁关于帝国主义是垄断资本主义的观点必须被取代。垄断资本主义的帝国主义阶段并不像列宁1917年在《帝国主义是资本主义的最高阶段》中所说的那样是‘垂死’的，它过去和现在都能够进一步发展。说帝国主义是资本主义的‘最高阶段’是以民族国家的殖民地特征和‘大国’之间的竞争为前提的，在21世纪，主要资本主义国家之间的竞争已经被美国的霸权和中国的崛起所取代。列宁的政治预言试图打破资本主义链条中最薄弱的环节，对列宁思想进行修改，必须解决是什么把链条连在了一起以及怎样打破链条的问题。”</w:t>
      </w:r>
    </w:p>
    <w:p w14:paraId="4D8BF28B">
      <w:pPr>
        <w:widowControl/>
        <w:spacing w:line="360" w:lineRule="auto"/>
        <w:ind w:firstLine="480" w:firstLineChars="200"/>
        <w:rPr>
          <w:rFonts w:hint="eastAsia" w:ascii="宋体" w:hAnsi="宋体" w:cs="Arial"/>
          <w:b w:val="0"/>
          <w:bCs w:val="0"/>
          <w:color w:val="000000"/>
          <w:kern w:val="0"/>
          <w:sz w:val="24"/>
          <w:szCs w:val="24"/>
        </w:rPr>
      </w:pPr>
      <w:r>
        <w:rPr>
          <w:rFonts w:hint="eastAsia" w:ascii="宋体" w:hAnsi="宋体" w:eastAsia="宋体" w:cs="Times New Roman"/>
          <w:b w:val="0"/>
          <w:bCs w:val="0"/>
          <w:color w:val="auto"/>
          <w:sz w:val="24"/>
          <w:szCs w:val="24"/>
          <w:lang w:val="en-US" w:eastAsia="zh-CN"/>
        </w:rPr>
        <w:t>显然，</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论列宁</w:t>
      </w:r>
      <w:r>
        <w:rPr>
          <w:rFonts w:hint="eastAsia" w:ascii="宋体" w:hAnsi="宋体" w:eastAsia="宋体" w:cs="Times New Roman"/>
          <w:b w:val="0"/>
          <w:bCs w:val="0"/>
          <w:color w:val="auto"/>
          <w:sz w:val="24"/>
          <w:szCs w:val="24"/>
          <w:lang w:eastAsia="zh-CN"/>
        </w:rPr>
        <w:t>》</w:t>
      </w:r>
      <w:r>
        <w:rPr>
          <w:rFonts w:hint="eastAsia" w:ascii="宋体" w:hAnsi="宋体" w:eastAsia="宋体" w:cs="Times New Roman"/>
          <w:b w:val="0"/>
          <w:bCs w:val="0"/>
          <w:color w:val="auto"/>
          <w:sz w:val="24"/>
          <w:szCs w:val="24"/>
          <w:lang w:val="en-US" w:eastAsia="zh-CN"/>
        </w:rPr>
        <w:t>是基本否定列宁的帝国主义理论和当代价值的，但该文并没有指出以下列宁关于帝国主义的五个特征和三个特性错在哪里。</w:t>
      </w:r>
      <w:r>
        <w:rPr>
          <w:rFonts w:hint="eastAsia" w:ascii="宋体" w:hAnsi="宋体" w:cs="Arial"/>
          <w:b w:val="0"/>
          <w:bCs w:val="0"/>
          <w:color w:val="000000"/>
          <w:kern w:val="0"/>
          <w:sz w:val="24"/>
          <w:szCs w:val="24"/>
        </w:rPr>
        <w:t>列宁在《帝国主义是资本主义的最高阶段》一书中阐述帝国主义的定义和特征</w:t>
      </w:r>
      <w:r>
        <w:rPr>
          <w:rFonts w:hint="eastAsia" w:ascii="宋体" w:hAnsi="宋体" w:cs="Arial"/>
          <w:b w:val="0"/>
          <w:bCs w:val="0"/>
          <w:color w:val="000000"/>
          <w:kern w:val="0"/>
          <w:sz w:val="24"/>
          <w:szCs w:val="24"/>
          <w:lang w:val="en-US" w:eastAsia="zh-CN"/>
        </w:rPr>
        <w:t>时写道</w:t>
      </w:r>
      <w:r>
        <w:rPr>
          <w:rFonts w:hint="eastAsia" w:ascii="宋体" w:hAnsi="宋体" w:cs="Arial"/>
          <w:b w:val="0"/>
          <w:bCs w:val="0"/>
          <w:color w:val="000000"/>
          <w:kern w:val="0"/>
          <w:sz w:val="24"/>
          <w:szCs w:val="24"/>
        </w:rPr>
        <w:t>：“</w:t>
      </w:r>
      <w:r>
        <w:rPr>
          <w:rFonts w:hint="eastAsia"/>
          <w:b w:val="0"/>
          <w:bCs w:val="0"/>
          <w:color w:val="000000"/>
          <w:sz w:val="24"/>
          <w:szCs w:val="24"/>
        </w:rPr>
        <w:t>如果必须给帝国主义下一个尽量简短的定义，那就应当说，帝国主义是资本主义的垄断阶段</w:t>
      </w:r>
      <w:r>
        <w:rPr>
          <w:rFonts w:hint="eastAsia"/>
          <w:b w:val="0"/>
          <w:bCs w:val="0"/>
          <w:sz w:val="24"/>
          <w:szCs w:val="24"/>
        </w:rPr>
        <w:t>……</w:t>
      </w:r>
      <w:r>
        <w:rPr>
          <w:rFonts w:hint="eastAsia"/>
          <w:b w:val="0"/>
          <w:bCs w:val="0"/>
          <w:color w:val="000000"/>
          <w:sz w:val="24"/>
          <w:szCs w:val="24"/>
        </w:rPr>
        <w:t>其中要包括帝国主义的如下五个基本特征：(1)生产和资本的集中发展到这样高的程度，以致造成了在经济生活中起决定作用的垄断组织；(2)银行资本和工业资本已经融合起来，在这个“金融资本的”基础上形成了金融寡头；(3)和商品输出不同的资本输出具有特别重要的意义；(4)瓜分世界的资本家国际垄断同盟已经形成；(5)最大资本主义大国已把世界上的领土瓜分完毕。帝国主义是发展到垄断组织和金融资本的统治已经确立、资本输出具有突出意义、国际托拉斯开始瓜分世界、一些最大的资本主义国家已把世界全部领土瓜分完毕这一阶段的资本主义。</w:t>
      </w:r>
      <w:r>
        <w:rPr>
          <w:rFonts w:hint="eastAsia" w:ascii="宋体" w:hAnsi="宋体" w:cs="Arial"/>
          <w:b w:val="0"/>
          <w:bCs w:val="0"/>
          <w:color w:val="000000"/>
          <w:kern w:val="0"/>
          <w:sz w:val="24"/>
          <w:szCs w:val="24"/>
        </w:rPr>
        <w:t>”</w:t>
      </w:r>
      <w:r>
        <w:rPr>
          <w:rStyle w:val="20"/>
          <w:rFonts w:ascii="宋体" w:hAnsi="宋体" w:cs="Arial"/>
          <w:b w:val="0"/>
          <w:bCs w:val="0"/>
          <w:color w:val="000000"/>
          <w:kern w:val="0"/>
          <w:sz w:val="24"/>
          <w:szCs w:val="24"/>
        </w:rPr>
        <w:footnoteReference w:id="247"/>
      </w:r>
      <w:r>
        <w:rPr>
          <w:rFonts w:hint="eastAsia" w:ascii="宋体" w:hAnsi="宋体" w:cs="Arial"/>
          <w:b w:val="0"/>
          <w:bCs w:val="0"/>
          <w:color w:val="000000"/>
          <w:kern w:val="0"/>
          <w:sz w:val="24"/>
          <w:szCs w:val="24"/>
        </w:rPr>
        <w:t>在同年12月发表的文章中，列宁又指出帝国主义的三大特性：“帝国主义是资本主义的特殊历史阶段。这个特点分为三个方面：（1）帝国主义是垄断的资本主义；（2）帝国主义是寄生的或腐朽的资本主义；（3）帝国主义是垂死的资本主义。”</w:t>
      </w:r>
      <w:r>
        <w:rPr>
          <w:rStyle w:val="20"/>
          <w:rFonts w:ascii="宋体" w:hAnsi="宋体" w:cs="Arial"/>
          <w:b w:val="0"/>
          <w:bCs w:val="0"/>
          <w:color w:val="000000"/>
          <w:kern w:val="0"/>
          <w:sz w:val="24"/>
          <w:szCs w:val="24"/>
        </w:rPr>
        <w:footnoteReference w:id="248"/>
      </w:r>
    </w:p>
    <w:p w14:paraId="4471CCBA">
      <w:pPr>
        <w:widowControl/>
        <w:spacing w:line="360" w:lineRule="auto"/>
        <w:ind w:firstLine="480" w:firstLineChars="200"/>
        <w:rPr>
          <w:rFonts w:hint="eastAsia" w:ascii="宋体" w:hAnsi="宋体" w:cs="Arial"/>
          <w:b w:val="0"/>
          <w:bCs w:val="0"/>
          <w:color w:val="000000"/>
          <w:kern w:val="0"/>
          <w:sz w:val="24"/>
          <w:szCs w:val="24"/>
        </w:rPr>
      </w:pPr>
      <w:r>
        <w:rPr>
          <w:rFonts w:hint="eastAsia" w:ascii="宋体" w:hAnsi="宋体" w:cs="Arial"/>
          <w:b w:val="0"/>
          <w:bCs w:val="0"/>
          <w:color w:val="000000"/>
          <w:kern w:val="0"/>
          <w:sz w:val="24"/>
          <w:szCs w:val="24"/>
          <w:lang w:val="en-US" w:eastAsia="zh-CN"/>
        </w:rPr>
        <w:t>列宁的帝国主义理论要不要发展或“更新”呢？答案是肯定的。笔者曾</w:t>
      </w:r>
      <w:r>
        <w:rPr>
          <w:rFonts w:hint="eastAsia" w:ascii="宋体" w:hAnsi="宋体" w:cs="Arial"/>
          <w:b w:val="0"/>
          <w:bCs w:val="0"/>
          <w:color w:val="000000"/>
          <w:kern w:val="0"/>
          <w:sz w:val="24"/>
          <w:szCs w:val="24"/>
        </w:rPr>
        <w:t>以列宁的帝国主义理论为基础，结合当代资本主义的新变化进行分析</w:t>
      </w:r>
      <w:r>
        <w:rPr>
          <w:rFonts w:hint="eastAsia" w:ascii="宋体" w:hAnsi="宋体" w:cs="Arial"/>
          <w:b w:val="0"/>
          <w:bCs w:val="0"/>
          <w:color w:val="000000"/>
          <w:kern w:val="0"/>
          <w:sz w:val="24"/>
          <w:szCs w:val="24"/>
          <w:lang w:val="en-US" w:eastAsia="zh-CN"/>
        </w:rPr>
        <w:t>并</w:t>
      </w:r>
      <w:r>
        <w:rPr>
          <w:rFonts w:hint="eastAsia" w:ascii="宋体" w:hAnsi="宋体" w:cs="Arial"/>
          <w:b w:val="0"/>
          <w:bCs w:val="0"/>
          <w:color w:val="000000"/>
          <w:kern w:val="0"/>
          <w:sz w:val="24"/>
          <w:szCs w:val="24"/>
        </w:rPr>
        <w:t>得出</w:t>
      </w:r>
      <w:r>
        <w:rPr>
          <w:rFonts w:hint="eastAsia" w:ascii="宋体" w:hAnsi="宋体" w:cs="Arial"/>
          <w:b w:val="0"/>
          <w:bCs w:val="0"/>
          <w:color w:val="000000"/>
          <w:kern w:val="0"/>
          <w:sz w:val="24"/>
          <w:szCs w:val="24"/>
          <w:lang w:val="en-US" w:eastAsia="zh-CN"/>
        </w:rPr>
        <w:t>结论：21世纪</w:t>
      </w:r>
      <w:r>
        <w:rPr>
          <w:rFonts w:hint="eastAsia" w:ascii="宋体" w:hAnsi="宋体" w:cs="Arial"/>
          <w:b w:val="0"/>
          <w:bCs w:val="0"/>
          <w:color w:val="000000"/>
          <w:kern w:val="0"/>
          <w:sz w:val="24"/>
          <w:szCs w:val="24"/>
        </w:rPr>
        <w:t>新帝国主义是垄断资本主义在当代经济全球化和金融化条件下的晚期帝国主义阶段，其特征和性质可以综合概括为五个方面。一是生产和流通的新垄断：生产和流通的国际化和资本集中的强化，形成富可敌国的巨型跨国垄断公司。二是金融资本的新垄断：金融垄断资本在全球经济生活中起决定性作用，形成畸形发展的经济金融化。三是美元和知识产权的垄断：形成不平等的国际分工和两极分化的全球经济和财富分配。四是国际寡头同盟的新垄断：“一霸</w:t>
      </w:r>
      <w:r>
        <w:rPr>
          <w:rFonts w:hint="eastAsia" w:ascii="宋体" w:hAnsi="宋体" w:cs="Arial"/>
          <w:b w:val="0"/>
          <w:bCs w:val="0"/>
          <w:kern w:val="0"/>
          <w:sz w:val="24"/>
          <w:szCs w:val="24"/>
        </w:rPr>
        <w:t>数强</w:t>
      </w:r>
      <w:r>
        <w:rPr>
          <w:rFonts w:hint="eastAsia" w:ascii="宋体" w:hAnsi="宋体" w:cs="Arial"/>
          <w:b w:val="0"/>
          <w:bCs w:val="0"/>
          <w:color w:val="000000"/>
          <w:kern w:val="0"/>
          <w:sz w:val="24"/>
          <w:szCs w:val="24"/>
        </w:rPr>
        <w:t>”结成的国际资本主义寡头垄断同盟，形成内外垄断剥削和压迫的金钱政治、庸俗文化和军事威胁的经济基础。五是经济本质和大趋势：全球化资本主义矛盾和各种危机时常激化，形成当代资本主义垄断性和掠夺性、霸权性和欺诈性、腐朽性和寄生性、过渡性和垂危性的新态势，是一种晚期帝国主义。</w:t>
      </w:r>
      <w:r>
        <w:rPr>
          <w:rStyle w:val="20"/>
          <w:rFonts w:hint="eastAsia" w:ascii="宋体" w:hAnsi="宋体" w:cs="Arial"/>
          <w:b w:val="0"/>
          <w:bCs w:val="0"/>
          <w:color w:val="000000"/>
          <w:kern w:val="0"/>
          <w:sz w:val="24"/>
          <w:szCs w:val="24"/>
        </w:rPr>
        <w:footnoteReference w:id="249"/>
      </w:r>
    </w:p>
    <w:p w14:paraId="6A6DF8F1">
      <w:pPr>
        <w:widowControl/>
        <w:spacing w:line="360" w:lineRule="auto"/>
        <w:ind w:firstLine="480" w:firstLineChars="200"/>
        <w:rPr>
          <w:rFonts w:ascii="宋体" w:hAnsi="宋体" w:cs="Arial"/>
          <w:b w:val="0"/>
          <w:bCs w:val="0"/>
          <w:color w:val="000000"/>
          <w:kern w:val="0"/>
          <w:sz w:val="24"/>
          <w:szCs w:val="24"/>
        </w:rPr>
      </w:pPr>
      <w:r>
        <w:rPr>
          <w:rFonts w:hint="eastAsia" w:ascii="宋体" w:hAnsi="宋体" w:cs="Arial"/>
          <w:b w:val="0"/>
          <w:bCs w:val="0"/>
          <w:color w:val="000000"/>
          <w:kern w:val="0"/>
          <w:sz w:val="24"/>
          <w:szCs w:val="24"/>
          <w:lang w:val="en-US" w:eastAsia="zh-CN"/>
        </w:rPr>
        <w:t>简言之，</w:t>
      </w:r>
      <w:r>
        <w:rPr>
          <w:rFonts w:hint="eastAsia" w:ascii="宋体" w:hAnsi="宋体" w:eastAsia="宋体" w:cs="Times New Roman"/>
          <w:b w:val="0"/>
          <w:bCs w:val="0"/>
          <w:color w:val="auto"/>
          <w:sz w:val="24"/>
          <w:szCs w:val="24"/>
          <w:lang w:eastAsia="zh-CN"/>
        </w:rPr>
        <w:t>列宁关于帝国主义是垄断资本主义的观点</w:t>
      </w:r>
      <w:r>
        <w:rPr>
          <w:rFonts w:hint="eastAsia" w:ascii="宋体" w:hAnsi="宋体" w:eastAsia="宋体" w:cs="Times New Roman"/>
          <w:b w:val="0"/>
          <w:bCs w:val="0"/>
          <w:color w:val="auto"/>
          <w:sz w:val="24"/>
          <w:szCs w:val="24"/>
          <w:lang w:val="en-US" w:eastAsia="zh-CN"/>
        </w:rPr>
        <w:t>依然有效，只需要守正创新而无</w:t>
      </w:r>
      <w:r>
        <w:rPr>
          <w:rFonts w:hint="eastAsia" w:ascii="宋体" w:hAnsi="宋体" w:eastAsia="宋体" w:cs="Times New Roman"/>
          <w:b w:val="0"/>
          <w:bCs w:val="0"/>
          <w:color w:val="auto"/>
          <w:sz w:val="24"/>
          <w:szCs w:val="24"/>
          <w:lang w:eastAsia="zh-CN"/>
        </w:rPr>
        <w:t>须被取代。</w:t>
      </w:r>
    </w:p>
    <w:p w14:paraId="1E57BB5D">
      <w:pPr>
        <w:numPr>
          <w:ilvl w:val="0"/>
          <w:numId w:val="0"/>
        </w:numPr>
        <w:spacing w:after="0" w:line="360" w:lineRule="auto"/>
        <w:ind w:firstLine="480" w:firstLineChars="200"/>
        <w:jc w:val="both"/>
        <w:rPr>
          <w:rFonts w:ascii="宋体" w:hAnsi="宋体" w:eastAsia="宋体" w:cs="Times New Roman"/>
          <w:b w:val="0"/>
          <w:bCs w:val="0"/>
          <w:color w:val="auto"/>
          <w:sz w:val="24"/>
          <w:szCs w:val="24"/>
          <w:lang w:eastAsia="zh-CN"/>
        </w:rPr>
      </w:pPr>
      <w:r>
        <w:rPr>
          <w:rFonts w:hint="eastAsia" w:ascii="宋体" w:hAnsi="宋体" w:eastAsia="宋体" w:cs="Times New Roman"/>
          <w:b w:val="0"/>
          <w:bCs w:val="0"/>
          <w:color w:val="auto"/>
          <w:sz w:val="24"/>
          <w:szCs w:val="24"/>
          <w:lang w:val="en-US" w:eastAsia="zh-CN"/>
        </w:rPr>
        <w:t>2、美国等资本主义国家的工人阶级“</w:t>
      </w:r>
      <w:r>
        <w:rPr>
          <w:rFonts w:hint="eastAsia" w:ascii="宋体" w:hAnsi="宋体" w:eastAsia="宋体" w:cs="Times New Roman"/>
          <w:b w:val="0"/>
          <w:bCs w:val="0"/>
          <w:color w:val="auto"/>
          <w:sz w:val="24"/>
          <w:szCs w:val="24"/>
          <w:lang w:eastAsia="zh-CN"/>
        </w:rPr>
        <w:t>没有结束资本主义生活方式的愿望</w:t>
      </w:r>
      <w:r>
        <w:rPr>
          <w:rFonts w:hint="eastAsia" w:ascii="宋体" w:hAnsi="宋体" w:eastAsia="宋体" w:cs="Times New Roman"/>
          <w:b w:val="0"/>
          <w:bCs w:val="0"/>
          <w:color w:val="auto"/>
          <w:sz w:val="24"/>
          <w:szCs w:val="24"/>
          <w:lang w:val="en-US" w:eastAsia="zh-CN"/>
        </w:rPr>
        <w:t>”吗？该文第八个结论写道：“</w:t>
      </w:r>
      <w:r>
        <w:rPr>
          <w:rFonts w:hint="eastAsia" w:ascii="宋体" w:hAnsi="宋体" w:eastAsia="宋体" w:cs="Times New Roman"/>
          <w:b w:val="0"/>
          <w:bCs w:val="0"/>
          <w:color w:val="auto"/>
          <w:sz w:val="24"/>
          <w:szCs w:val="24"/>
          <w:lang w:eastAsia="zh-CN"/>
        </w:rPr>
        <w:t>自20世纪初以来，资本主义经常遭受经济危机，但统治阶级并没有投降；西方霸权，尤其是美国的霸权已经成熟；</w:t>
      </w:r>
      <w:r>
        <w:rPr>
          <w:rFonts w:hint="eastAsia" w:ascii="宋体" w:hAnsi="宋体" w:eastAsia="宋体" w:cs="Times New Roman"/>
          <w:b w:val="0"/>
          <w:bCs w:val="0"/>
          <w:color w:val="auto"/>
          <w:sz w:val="24"/>
          <w:szCs w:val="24"/>
          <w:lang w:val="en-US" w:eastAsia="zh-CN"/>
        </w:rPr>
        <w:t>剧</w:t>
      </w:r>
      <w:r>
        <w:rPr>
          <w:rFonts w:hint="eastAsia" w:ascii="宋体" w:hAnsi="宋体" w:eastAsia="宋体"/>
          <w:b w:val="0"/>
          <w:bCs w:val="0"/>
          <w:color w:val="auto"/>
          <w:sz w:val="24"/>
          <w:szCs w:val="24"/>
          <w:lang w:eastAsia="zh-CN"/>
        </w:rPr>
        <w:t>变后的原</w:t>
      </w:r>
      <w:r>
        <w:rPr>
          <w:rFonts w:hint="eastAsia" w:ascii="宋体" w:hAnsi="宋体" w:eastAsia="宋体" w:cs="Times New Roman"/>
          <w:b w:val="0"/>
          <w:bCs w:val="0"/>
          <w:color w:val="auto"/>
          <w:sz w:val="24"/>
          <w:szCs w:val="24"/>
          <w:lang w:eastAsia="zh-CN"/>
        </w:rPr>
        <w:t>东欧社会主义国家重新加入了资本主义世界。‘下层阶级’并没有拒绝资本主义，而是试图享受资本主义，没有结束资本主义生活方式的愿望。如果我们‘回到’列宁，根据目前的形势，我们应该考虑进行革命性改革，而不是实际夺取政权。”</w:t>
      </w:r>
    </w:p>
    <w:p w14:paraId="32E5C1C1">
      <w:pPr>
        <w:numPr>
          <w:ilvl w:val="0"/>
          <w:numId w:val="0"/>
        </w:num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针对上述第八个结论，我认为，第一，在人类历史上，作为剥削阶级的各个统治阶级，从来没有自动投降的，都是需要进步阶级通过艰巨的斗争才被迫投降的。工人阶级只有首先通过某种途径夺取政权，才能真正的革命性改革；否则，只能在资本主义经济政治制度大框架内进行某些改良和局部改革，不可能进行私有制和寡头政治制度的真正革命性改革。</w:t>
      </w:r>
    </w:p>
    <w:p w14:paraId="3BE798EB">
      <w:pPr>
        <w:numPr>
          <w:ilvl w:val="0"/>
          <w:numId w:val="1"/>
        </w:numPr>
        <w:spacing w:after="0" w:line="360" w:lineRule="auto"/>
        <w:ind w:firstLine="480" w:firstLineChars="200"/>
        <w:jc w:val="both"/>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eastAsia="zh-CN"/>
        </w:rPr>
        <w:t>西方霸权，尤其是美国的霸权已经成熟，</w:t>
      </w:r>
      <w:r>
        <w:rPr>
          <w:rFonts w:hint="eastAsia" w:ascii="宋体" w:hAnsi="宋体" w:eastAsia="宋体" w:cs="Times New Roman"/>
          <w:b w:val="0"/>
          <w:bCs w:val="0"/>
          <w:color w:val="auto"/>
          <w:sz w:val="24"/>
          <w:szCs w:val="24"/>
          <w:lang w:val="en-US" w:eastAsia="zh-CN"/>
        </w:rPr>
        <w:t>但美国和西方国家自己也承认已在相对衰落之中。况且历史上一切霸权最终均被公平正义所打破，美国和西方霸权最终也必然被社会主义国家主导的新型国际关系民主化模式和社会主义文明所替代，从而真正建立起人类命运共同体。与霸权成份逐渐消亡相吻合，发达国家文明的不断进步和高级化将呈现如下发展趋势：美国式文明演化为西欧式文明，再演化为北欧式文明，再演化为中国式文明。</w:t>
      </w:r>
    </w:p>
    <w:p w14:paraId="7277D215">
      <w:pPr>
        <w:numPr>
          <w:ilvl w:val="0"/>
          <w:numId w:val="1"/>
        </w:num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b w:val="0"/>
          <w:bCs w:val="0"/>
          <w:color w:val="auto"/>
          <w:sz w:val="24"/>
          <w:szCs w:val="24"/>
          <w:lang w:val="en-US" w:eastAsia="zh-CN"/>
        </w:rPr>
        <w:t>剧</w:t>
      </w:r>
      <w:r>
        <w:rPr>
          <w:rFonts w:hint="eastAsia" w:ascii="宋体" w:hAnsi="宋体" w:eastAsia="宋体"/>
          <w:b w:val="0"/>
          <w:bCs w:val="0"/>
          <w:color w:val="auto"/>
          <w:sz w:val="24"/>
          <w:szCs w:val="24"/>
          <w:lang w:eastAsia="zh-CN"/>
        </w:rPr>
        <w:t>变后的原</w:t>
      </w:r>
      <w:r>
        <w:rPr>
          <w:rFonts w:hint="eastAsia" w:ascii="宋体" w:hAnsi="宋体" w:eastAsia="宋体" w:cs="Times New Roman"/>
          <w:b w:val="0"/>
          <w:bCs w:val="0"/>
          <w:color w:val="auto"/>
          <w:sz w:val="24"/>
          <w:szCs w:val="24"/>
          <w:lang w:eastAsia="zh-CN"/>
        </w:rPr>
        <w:t>东欧社会主义国家重新加入了资本主义世界，</w:t>
      </w:r>
      <w:r>
        <w:rPr>
          <w:rFonts w:hint="eastAsia" w:ascii="宋体" w:hAnsi="宋体" w:eastAsia="宋体" w:cs="Times New Roman"/>
          <w:b w:val="0"/>
          <w:bCs w:val="0"/>
          <w:color w:val="auto"/>
          <w:sz w:val="24"/>
          <w:szCs w:val="24"/>
          <w:lang w:val="en-US" w:eastAsia="zh-CN"/>
        </w:rPr>
        <w:t>但这只是这些国家领导人或部分人士被“和平演变”或被“暴力政变”所导致的，是社会主义发展的曲折性表现，而并非这些国家的工人阶级和广大人民本质上自愿恢复资本主义。</w:t>
      </w:r>
    </w:p>
    <w:p w14:paraId="4245F042">
      <w:pPr>
        <w:numPr>
          <w:ilvl w:val="0"/>
          <w:numId w:val="0"/>
        </w:numPr>
        <w:spacing w:after="0" w:line="360" w:lineRule="auto"/>
        <w:ind w:firstLine="480" w:firstLineChars="200"/>
        <w:jc w:val="both"/>
        <w:rPr>
          <w:rFonts w:hint="default"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第四，强调工人阶级只</w:t>
      </w:r>
      <w:r>
        <w:rPr>
          <w:rFonts w:hint="eastAsia" w:ascii="宋体" w:hAnsi="宋体" w:eastAsia="宋体" w:cs="Times New Roman"/>
          <w:b w:val="0"/>
          <w:bCs w:val="0"/>
          <w:color w:val="auto"/>
          <w:sz w:val="24"/>
          <w:szCs w:val="24"/>
          <w:lang w:eastAsia="zh-CN"/>
        </w:rPr>
        <w:t>试图享受资本主义</w:t>
      </w:r>
      <w:r>
        <w:rPr>
          <w:rFonts w:hint="eastAsia" w:ascii="宋体" w:hAnsi="宋体" w:eastAsia="宋体" w:cs="Times New Roman"/>
          <w:b w:val="0"/>
          <w:bCs w:val="0"/>
          <w:color w:val="auto"/>
          <w:sz w:val="24"/>
          <w:szCs w:val="24"/>
          <w:lang w:val="en-US" w:eastAsia="zh-CN"/>
        </w:rPr>
        <w:t>而</w:t>
      </w:r>
      <w:r>
        <w:rPr>
          <w:rFonts w:hint="eastAsia" w:ascii="宋体" w:hAnsi="宋体" w:eastAsia="宋体" w:cs="Times New Roman"/>
          <w:b w:val="0"/>
          <w:bCs w:val="0"/>
          <w:color w:val="auto"/>
          <w:sz w:val="24"/>
          <w:szCs w:val="24"/>
          <w:lang w:eastAsia="zh-CN"/>
        </w:rPr>
        <w:t>没有结束资本主义生活方式的愿望，</w:t>
      </w:r>
      <w:r>
        <w:rPr>
          <w:rFonts w:hint="eastAsia" w:ascii="宋体" w:hAnsi="宋体" w:eastAsia="宋体" w:cs="Times New Roman"/>
          <w:b w:val="0"/>
          <w:bCs w:val="0"/>
          <w:color w:val="auto"/>
          <w:sz w:val="24"/>
          <w:szCs w:val="24"/>
          <w:lang w:val="en-US" w:eastAsia="zh-CN"/>
        </w:rPr>
        <w:t>这只是描述被思想政治欺骗的“单面人”（单向度的人）一般言行的表面现象，以及被资产阶级专政通过暴力或强制压迫下被迫表现出来的无可奈何现象（被迫暂时“躺下”），而不是在深刻分析工人阶级及其先锋队的政治本质和强烈愿望。撇开资产阶级政治家希特勒和日本资产阶级法西斯镇压和屠杀共产党等反资产阶级极化政权的进步人士，从而导致人民被迫“拥护”资本主义的众多历史事件不谈，仅就1993年10月叶利钦政府派军队非法炮轰国家议会大厦和议员，2011年10月美国警察用警棍强制清场“占领华尔街运动”的广大人民等全球众多事件，</w:t>
      </w:r>
      <w:r>
        <w:rPr>
          <w:rStyle w:val="20"/>
          <w:rFonts w:hint="eastAsia" w:ascii="宋体" w:hAnsi="宋体" w:eastAsia="宋体" w:cs="Times New Roman"/>
          <w:b w:val="0"/>
          <w:bCs w:val="0"/>
          <w:color w:val="auto"/>
          <w:sz w:val="24"/>
          <w:szCs w:val="24"/>
          <w:lang w:val="en-US" w:eastAsia="zh-CN"/>
        </w:rPr>
        <w:footnoteReference w:id="250"/>
      </w:r>
      <w:r>
        <w:rPr>
          <w:rFonts w:hint="eastAsia" w:ascii="宋体" w:hAnsi="宋体" w:eastAsia="宋体" w:cs="Times New Roman"/>
          <w:b w:val="0"/>
          <w:bCs w:val="0"/>
          <w:color w:val="auto"/>
          <w:sz w:val="24"/>
          <w:szCs w:val="24"/>
          <w:lang w:val="en-US" w:eastAsia="zh-CN"/>
        </w:rPr>
        <w:t>也可认清如果没有资本主义国家的暴力、金钱和思想的多重控制，工人阶级是不可能被迫和被骗而表象上“</w:t>
      </w:r>
      <w:r>
        <w:rPr>
          <w:rFonts w:hint="eastAsia" w:ascii="宋体" w:hAnsi="宋体" w:eastAsia="宋体" w:cs="Times New Roman"/>
          <w:b w:val="0"/>
          <w:bCs w:val="0"/>
          <w:color w:val="auto"/>
          <w:sz w:val="24"/>
          <w:szCs w:val="24"/>
          <w:lang w:eastAsia="zh-CN"/>
        </w:rPr>
        <w:t>没有结束资本主义生活方式的愿望</w:t>
      </w:r>
      <w:r>
        <w:rPr>
          <w:rFonts w:hint="eastAsia" w:ascii="宋体" w:hAnsi="宋体" w:eastAsia="宋体" w:cs="Times New Roman"/>
          <w:b w:val="0"/>
          <w:bCs w:val="0"/>
          <w:color w:val="auto"/>
          <w:sz w:val="24"/>
          <w:szCs w:val="24"/>
          <w:lang w:val="en-US" w:eastAsia="zh-CN"/>
        </w:rPr>
        <w:t>”的。对此，我们需要用历史唯物主义方法来辩证分析工人阶级和广大人民的愿望表象与本质。</w:t>
      </w:r>
    </w:p>
    <w:p w14:paraId="0BEE6F9B">
      <w:pPr>
        <w:spacing w:after="0" w:line="360" w:lineRule="auto"/>
        <w:ind w:firstLine="961" w:firstLineChars="400"/>
        <w:jc w:val="both"/>
        <w:rPr>
          <w:rFonts w:hint="default" w:ascii="宋体" w:hAnsi="宋体" w:eastAsia="宋体" w:cs="Times New Roman"/>
          <w:b/>
          <w:bCs/>
          <w:color w:val="auto"/>
          <w:sz w:val="24"/>
          <w:szCs w:val="24"/>
          <w:lang w:val="en-US" w:eastAsia="zh-CN"/>
        </w:rPr>
      </w:pPr>
      <w:r>
        <w:rPr>
          <w:rFonts w:hint="eastAsia" w:ascii="宋体" w:hAnsi="宋体" w:eastAsia="宋体" w:cs="Times New Roman"/>
          <w:b/>
          <w:bCs/>
          <w:color w:val="auto"/>
          <w:sz w:val="24"/>
          <w:szCs w:val="24"/>
          <w:lang w:val="en-US" w:eastAsia="zh-CN"/>
        </w:rPr>
        <w:t>五、如何正确认识人类社会的发展大趋势？</w:t>
      </w:r>
    </w:p>
    <w:p w14:paraId="4A30CDD1">
      <w:pPr>
        <w:spacing w:after="0" w:line="360" w:lineRule="auto"/>
        <w:ind w:firstLine="480" w:firstLineChars="200"/>
        <w:jc w:val="both"/>
        <w:rPr>
          <w:rFonts w:ascii="宋体" w:hAnsi="宋体" w:eastAsia="宋体" w:cs="Times New Roman"/>
          <w:b/>
          <w:bCs/>
          <w:color w:val="auto"/>
          <w:sz w:val="24"/>
          <w:szCs w:val="24"/>
          <w:lang w:eastAsia="zh-CN"/>
        </w:rPr>
      </w:pPr>
      <w:r>
        <w:rPr>
          <w:rFonts w:hint="eastAsia" w:ascii="宋体" w:hAnsi="宋体" w:eastAsia="宋体" w:cs="Times New Roman"/>
          <w:b/>
          <w:bCs/>
          <w:color w:val="auto"/>
          <w:sz w:val="24"/>
          <w:szCs w:val="24"/>
          <w:lang w:val="en-US" w:eastAsia="zh-CN"/>
        </w:rPr>
        <w:t>1、</w:t>
      </w:r>
      <w:r>
        <w:rPr>
          <w:rFonts w:hint="eastAsia" w:ascii="宋体" w:hAnsi="宋体" w:eastAsia="宋体" w:cs="Times New Roman"/>
          <w:b/>
          <w:bCs/>
          <w:color w:val="auto"/>
          <w:sz w:val="24"/>
          <w:szCs w:val="24"/>
          <w:lang w:eastAsia="zh-CN"/>
        </w:rPr>
        <w:t>列宁坚信人类的行动能够使人类进步，并最终建成一个没有剥削的完全民主的社会，“这是一个已经失去的理想</w:t>
      </w:r>
      <w:r>
        <w:rPr>
          <w:rFonts w:hint="eastAsia" w:ascii="宋体" w:hAnsi="宋体" w:eastAsia="宋体" w:cs="Times New Roman"/>
          <w:b/>
          <w:bCs/>
          <w:color w:val="auto"/>
          <w:sz w:val="24"/>
          <w:szCs w:val="24"/>
          <w:lang w:val="en-US" w:eastAsia="zh-CN"/>
        </w:rPr>
        <w:t>”吗？该文第九个结论写道：“</w:t>
      </w:r>
      <w:r>
        <w:rPr>
          <w:rFonts w:hint="eastAsia" w:ascii="宋体" w:hAnsi="宋体" w:eastAsia="宋体" w:cs="Times New Roman"/>
          <w:b/>
          <w:bCs/>
          <w:color w:val="auto"/>
          <w:sz w:val="24"/>
          <w:szCs w:val="24"/>
          <w:lang w:eastAsia="zh-CN"/>
        </w:rPr>
        <w:t>对列宁思想进行更新，需要分析经济上协调一致、意识形态统一、管理层强大的全球资本主义的矛盾。一方面，由公司、国际机构和占主导地位的跨国资产阶级进行的资本主义跨国协作取代了国家垄断资本主义的帝国主义形式。另一方面，工人阶级的重新地域化和分化严重削弱了阶级意识的有机发展。在这个阶段，向社会主义过渡是在与列宁所知的情况完全不同且更具挑战性的条件下进行的。怎么办？现在需要在全球资本主义社会学和国际关系地缘政治方面重塑列宁。在这种情况下，必须重塑的是阶级联盟的政治战略和赢得跨国社会主义民主斗争的政治策略。最后，任何其他的选择都涉及思想斗争，这些斗争包括因目标不同而产生的斗争，也包括因手段不同——采取革命手段还是改良手段？——而产生的斗争。受启蒙运动的影响，列宁坚信，人类的行动能够使人类进步，并最终建成一个没有剥削的完全民主的社会。这是一个已经失去的理想。”</w:t>
      </w:r>
    </w:p>
    <w:p w14:paraId="337AEAA1">
      <w:pPr>
        <w:spacing w:line="360" w:lineRule="auto"/>
        <w:ind w:firstLine="480" w:firstLineChars="200"/>
        <w:rPr>
          <w:rFonts w:hint="eastAsia" w:ascii="宋体" w:hAnsi="宋体" w:eastAsia="宋体" w:cs="Times New Roman"/>
          <w:b/>
          <w:bCs/>
          <w:color w:val="auto"/>
          <w:sz w:val="24"/>
          <w:szCs w:val="24"/>
          <w:lang w:val="en-US" w:eastAsia="zh-CN"/>
        </w:rPr>
      </w:pPr>
      <w:r>
        <w:rPr>
          <w:rFonts w:hint="eastAsia"/>
          <w:b/>
          <w:bCs/>
          <w:sz w:val="24"/>
          <w:szCs w:val="24"/>
          <w:lang w:val="en-US" w:eastAsia="zh-CN"/>
        </w:rPr>
        <w:t>在上述第八个结论中存在三个误论：其一，认为“</w:t>
      </w:r>
      <w:r>
        <w:rPr>
          <w:rFonts w:hint="eastAsia" w:ascii="宋体" w:hAnsi="宋体" w:eastAsia="宋体" w:cs="Times New Roman"/>
          <w:b/>
          <w:bCs/>
          <w:color w:val="auto"/>
          <w:sz w:val="24"/>
          <w:szCs w:val="24"/>
          <w:lang w:eastAsia="zh-CN"/>
        </w:rPr>
        <w:t>由公司、国际机构和占主导地位的跨国资产阶级进行的资本主义跨国协作取代了国家垄断资本主义的帝国主义形式。”</w:t>
      </w:r>
      <w:r>
        <w:rPr>
          <w:rFonts w:hint="eastAsia" w:ascii="宋体" w:hAnsi="宋体" w:eastAsia="宋体" w:cs="Times New Roman"/>
          <w:b/>
          <w:bCs/>
          <w:color w:val="auto"/>
          <w:sz w:val="24"/>
          <w:szCs w:val="24"/>
          <w:lang w:val="en-US" w:eastAsia="zh-CN"/>
        </w:rPr>
        <w:t xml:space="preserve">事实上，资本主义先后经历了自由竞争资本主义、私人垄断资本主义、国家垄断资本主义、国家垄断资本主义是个主要发展阶段，因而当代国际垄断资本主义不是完全取代国家垄断资本主义，而是三种垄断资本主义形式并存发展，互相之间有协作又有矛盾和争斗，都是当代新帝国主义形式。  </w:t>
      </w:r>
    </w:p>
    <w:p w14:paraId="7B47FA15">
      <w:pPr>
        <w:spacing w:line="360" w:lineRule="auto"/>
        <w:ind w:firstLine="480" w:firstLineChars="200"/>
        <w:rPr>
          <w:rFonts w:hint="eastAsia" w:ascii="宋体" w:hAnsi="宋体" w:eastAsia="宋体" w:cs="Times New Roman"/>
          <w:b/>
          <w:bCs/>
          <w:color w:val="auto"/>
          <w:sz w:val="24"/>
          <w:szCs w:val="24"/>
          <w:lang w:val="en-US" w:eastAsia="zh-CN"/>
        </w:rPr>
      </w:pPr>
      <w:r>
        <w:rPr>
          <w:rFonts w:hint="eastAsia" w:ascii="宋体" w:hAnsi="宋体" w:eastAsia="宋体" w:cs="Times New Roman"/>
          <w:b/>
          <w:bCs/>
          <w:color w:val="auto"/>
          <w:sz w:val="24"/>
          <w:szCs w:val="24"/>
          <w:lang w:val="en-US" w:eastAsia="zh-CN"/>
        </w:rPr>
        <w:t>其二，认为“</w:t>
      </w:r>
      <w:r>
        <w:rPr>
          <w:rFonts w:hint="eastAsia" w:ascii="宋体" w:hAnsi="宋体" w:eastAsia="宋体" w:cs="Times New Roman"/>
          <w:b/>
          <w:bCs/>
          <w:color w:val="auto"/>
          <w:sz w:val="24"/>
          <w:szCs w:val="24"/>
          <w:lang w:eastAsia="zh-CN"/>
        </w:rPr>
        <w:t>工人阶级的重新地域化和分化严重削弱了阶级意识的有机发展。</w:t>
      </w:r>
      <w:r>
        <w:rPr>
          <w:rFonts w:hint="eastAsia" w:ascii="宋体" w:hAnsi="宋体" w:eastAsia="宋体" w:cs="Times New Roman"/>
          <w:b/>
          <w:bCs/>
          <w:color w:val="auto"/>
          <w:sz w:val="24"/>
          <w:szCs w:val="24"/>
          <w:lang w:val="en-US" w:eastAsia="zh-CN"/>
        </w:rPr>
        <w:t>”事实上，只要金融经济危机时常爆发、贫富分化继续存在、局部侵略战争和军事挑衅不断发生，那么，经济全球化和工人阶级的变化，既有</w:t>
      </w:r>
      <w:r>
        <w:rPr>
          <w:rFonts w:hint="eastAsia" w:ascii="宋体" w:hAnsi="宋体" w:eastAsia="宋体" w:cs="Times New Roman"/>
          <w:b/>
          <w:bCs/>
          <w:color w:val="auto"/>
          <w:sz w:val="24"/>
          <w:szCs w:val="24"/>
          <w:lang w:eastAsia="zh-CN"/>
        </w:rPr>
        <w:t>削弱</w:t>
      </w:r>
      <w:r>
        <w:rPr>
          <w:rFonts w:hint="eastAsia" w:ascii="宋体" w:hAnsi="宋体" w:eastAsia="宋体" w:cs="Times New Roman"/>
          <w:b/>
          <w:bCs/>
          <w:color w:val="auto"/>
          <w:sz w:val="24"/>
          <w:szCs w:val="24"/>
          <w:lang w:val="en-US" w:eastAsia="zh-CN"/>
        </w:rPr>
        <w:t>工人</w:t>
      </w:r>
      <w:r>
        <w:rPr>
          <w:rFonts w:hint="eastAsia" w:ascii="宋体" w:hAnsi="宋体" w:eastAsia="宋体" w:cs="Times New Roman"/>
          <w:b/>
          <w:bCs/>
          <w:color w:val="auto"/>
          <w:sz w:val="24"/>
          <w:szCs w:val="24"/>
          <w:lang w:eastAsia="zh-CN"/>
        </w:rPr>
        <w:t>阶级意识的</w:t>
      </w:r>
      <w:r>
        <w:rPr>
          <w:rFonts w:hint="eastAsia" w:ascii="宋体" w:hAnsi="宋体" w:eastAsia="宋体" w:cs="Times New Roman"/>
          <w:b/>
          <w:bCs/>
          <w:color w:val="auto"/>
          <w:sz w:val="24"/>
          <w:szCs w:val="24"/>
          <w:lang w:val="en-US" w:eastAsia="zh-CN"/>
        </w:rPr>
        <w:t>因素和方面，又有增强工人</w:t>
      </w:r>
      <w:r>
        <w:rPr>
          <w:rFonts w:hint="eastAsia" w:ascii="宋体" w:hAnsi="宋体" w:eastAsia="宋体" w:cs="Times New Roman"/>
          <w:b/>
          <w:bCs/>
          <w:color w:val="auto"/>
          <w:sz w:val="24"/>
          <w:szCs w:val="24"/>
          <w:lang w:eastAsia="zh-CN"/>
        </w:rPr>
        <w:t>阶级意识的</w:t>
      </w:r>
      <w:r>
        <w:rPr>
          <w:rFonts w:hint="eastAsia" w:ascii="宋体" w:hAnsi="宋体" w:eastAsia="宋体" w:cs="Times New Roman"/>
          <w:b/>
          <w:bCs/>
          <w:color w:val="auto"/>
          <w:sz w:val="24"/>
          <w:szCs w:val="24"/>
          <w:lang w:val="en-US" w:eastAsia="zh-CN"/>
        </w:rPr>
        <w:t>因素和方面，其总体大趋势还是工人阶级及其政党的阶级意识和组织能力的波浪式提升。</w:t>
      </w:r>
    </w:p>
    <w:p w14:paraId="7D72C022">
      <w:pPr>
        <w:spacing w:line="360" w:lineRule="auto"/>
        <w:ind w:firstLine="480" w:firstLineChars="200"/>
        <w:rPr>
          <w:rFonts w:hint="default"/>
          <w:b/>
          <w:bCs/>
          <w:sz w:val="24"/>
          <w:szCs w:val="24"/>
          <w:lang w:val="en-US" w:eastAsia="zh-CN"/>
        </w:rPr>
      </w:pPr>
      <w:r>
        <w:rPr>
          <w:rFonts w:hint="eastAsia" w:ascii="宋体" w:hAnsi="宋体" w:eastAsia="宋体" w:cs="Times New Roman"/>
          <w:b/>
          <w:bCs/>
          <w:color w:val="auto"/>
          <w:sz w:val="24"/>
          <w:szCs w:val="24"/>
          <w:lang w:val="en-US" w:eastAsia="zh-CN"/>
        </w:rPr>
        <w:t>其三，认为“</w:t>
      </w:r>
      <w:r>
        <w:rPr>
          <w:rFonts w:hint="eastAsia" w:ascii="宋体" w:hAnsi="宋体" w:eastAsia="宋体" w:cs="Times New Roman"/>
          <w:b/>
          <w:bCs/>
          <w:color w:val="auto"/>
          <w:sz w:val="24"/>
          <w:szCs w:val="24"/>
          <w:lang w:eastAsia="zh-CN"/>
        </w:rPr>
        <w:t>在这个阶段，向社会主义过渡是在与列宁所知的情况完全不同且更具挑战性的条件下进行的。</w:t>
      </w:r>
      <w:r>
        <w:rPr>
          <w:rFonts w:hint="eastAsia"/>
          <w:b/>
          <w:bCs/>
          <w:sz w:val="24"/>
          <w:szCs w:val="24"/>
          <w:lang w:val="en-US" w:eastAsia="zh-CN"/>
        </w:rPr>
        <w:t>”事实上，21世纪如何向社会主义过渡，与列宁所知的情况既有部分不同的条件，又有总体相同的条件，即处于以往有异有同的新帝国主义大时代和基本条件。</w:t>
      </w:r>
    </w:p>
    <w:p w14:paraId="31A0738D">
      <w:pPr>
        <w:spacing w:after="0" w:line="360" w:lineRule="auto"/>
        <w:ind w:firstLine="480" w:firstLineChars="200"/>
        <w:jc w:val="both"/>
        <w:rPr>
          <w:rFonts w:hint="eastAsia"/>
          <w:b/>
          <w:bCs/>
          <w:sz w:val="24"/>
          <w:szCs w:val="24"/>
          <w:lang w:val="en-US" w:eastAsia="zh-CN"/>
        </w:rPr>
      </w:pPr>
      <w:r>
        <w:rPr>
          <w:rFonts w:hint="eastAsia" w:ascii="宋体" w:hAnsi="宋体" w:eastAsia="宋体" w:cs="Times New Roman"/>
          <w:b/>
          <w:bCs/>
          <w:color w:val="auto"/>
          <w:sz w:val="24"/>
          <w:szCs w:val="24"/>
          <w:lang w:val="en-US" w:eastAsia="zh-CN"/>
        </w:rPr>
        <w:t>2、</w:t>
      </w:r>
      <w:r>
        <w:rPr>
          <w:rFonts w:hint="eastAsia"/>
          <w:b/>
          <w:bCs/>
          <w:sz w:val="24"/>
          <w:szCs w:val="24"/>
          <w:lang w:val="en-US" w:eastAsia="zh-CN"/>
        </w:rPr>
        <w:t>应当指出，《论列宁》的第九个结论和全文都涉及到一个主要问题：即</w:t>
      </w:r>
      <w:r>
        <w:rPr>
          <w:rFonts w:hint="eastAsia"/>
          <w:b/>
          <w:bCs/>
          <w:sz w:val="24"/>
          <w:szCs w:val="24"/>
        </w:rPr>
        <w:t>马克思主义经典作家关于资本主义和帝国主义必然灭亡的结论</w:t>
      </w:r>
      <w:r>
        <w:rPr>
          <w:rFonts w:hint="eastAsia"/>
          <w:b/>
          <w:bCs/>
          <w:sz w:val="24"/>
          <w:szCs w:val="24"/>
          <w:lang w:eastAsia="zh-CN"/>
        </w:rPr>
        <w:t>“</w:t>
      </w:r>
      <w:r>
        <w:rPr>
          <w:rFonts w:hint="eastAsia"/>
          <w:b/>
          <w:bCs/>
          <w:sz w:val="24"/>
          <w:szCs w:val="24"/>
          <w:lang w:val="en-US" w:eastAsia="zh-CN"/>
        </w:rPr>
        <w:t>过时</w:t>
      </w:r>
      <w:r>
        <w:rPr>
          <w:rFonts w:hint="eastAsia"/>
          <w:b/>
          <w:bCs/>
          <w:sz w:val="24"/>
          <w:szCs w:val="24"/>
          <w:lang w:eastAsia="zh-CN"/>
        </w:rPr>
        <w:t>”</w:t>
      </w:r>
      <w:r>
        <w:rPr>
          <w:rFonts w:hint="eastAsia"/>
          <w:b/>
          <w:bCs/>
          <w:sz w:val="24"/>
          <w:szCs w:val="24"/>
        </w:rPr>
        <w:t>了</w:t>
      </w:r>
      <w:r>
        <w:rPr>
          <w:rFonts w:hint="eastAsia"/>
          <w:b/>
          <w:bCs/>
          <w:sz w:val="24"/>
          <w:szCs w:val="24"/>
          <w:lang w:val="en-US" w:eastAsia="zh-CN"/>
        </w:rPr>
        <w:t>吗</w:t>
      </w:r>
      <w:r>
        <w:rPr>
          <w:rFonts w:ascii="方正书宋_GBK" w:hAnsi="方正书宋_GBK"/>
          <w:b/>
          <w:bCs/>
          <w:sz w:val="24"/>
          <w:szCs w:val="24"/>
        </w:rPr>
        <w:t>?</w:t>
      </w:r>
    </w:p>
    <w:p w14:paraId="3BC2F7C2">
      <w:pPr>
        <w:spacing w:line="360" w:lineRule="auto"/>
        <w:ind w:firstLine="480" w:firstLineChars="200"/>
        <w:rPr>
          <w:b/>
          <w:bCs/>
          <w:sz w:val="24"/>
          <w:szCs w:val="24"/>
        </w:rPr>
      </w:pPr>
      <w:r>
        <w:rPr>
          <w:rFonts w:hint="eastAsia"/>
          <w:b/>
          <w:bCs/>
          <w:sz w:val="24"/>
          <w:szCs w:val="24"/>
          <w:lang w:val="en-US" w:eastAsia="zh-CN"/>
        </w:rPr>
        <w:t>毋容置疑，基于21世纪全球化、阶级结构和阶级觉悟变化、跨国</w:t>
      </w:r>
      <w:r>
        <w:rPr>
          <w:rFonts w:hint="eastAsia"/>
          <w:b/>
          <w:bCs/>
          <w:sz w:val="24"/>
          <w:szCs w:val="24"/>
        </w:rPr>
        <w:t>当代资本主义在生产力、生产关系和上层建筑等方面发生的重要变化</w:t>
      </w:r>
      <w:r>
        <w:rPr>
          <w:rFonts w:hint="eastAsia" w:ascii="方正书宋_GBK" w:hAnsi="方正书宋_GBK"/>
          <w:b/>
          <w:bCs/>
          <w:sz w:val="24"/>
          <w:szCs w:val="24"/>
          <w:lang w:eastAsia="zh-CN"/>
        </w:rPr>
        <w:t>，</w:t>
      </w:r>
      <w:r>
        <w:rPr>
          <w:rFonts w:hint="eastAsia"/>
          <w:b/>
          <w:bCs/>
          <w:sz w:val="24"/>
          <w:szCs w:val="24"/>
        </w:rPr>
        <w:t>给资本主义的发展带来了一定的生机和活力。这是不是意味着</w:t>
      </w:r>
      <w:r>
        <w:rPr>
          <w:rFonts w:hint="eastAsia" w:ascii="方正书宋_GBK" w:hAnsi="方正书宋_GBK"/>
          <w:b/>
          <w:bCs/>
          <w:sz w:val="24"/>
          <w:szCs w:val="24"/>
          <w:lang w:eastAsia="zh-CN"/>
        </w:rPr>
        <w:t>，</w:t>
      </w:r>
      <w:r>
        <w:rPr>
          <w:rFonts w:hint="eastAsia" w:ascii="方正书宋_GBK" w:hAnsi="方正书宋_GBK"/>
          <w:b/>
          <w:bCs/>
          <w:sz w:val="24"/>
          <w:szCs w:val="24"/>
          <w:lang w:val="en-US" w:eastAsia="zh-CN"/>
        </w:rPr>
        <w:t>马列主义</w:t>
      </w:r>
      <w:r>
        <w:rPr>
          <w:rFonts w:hint="eastAsia"/>
          <w:b/>
          <w:bCs/>
          <w:sz w:val="24"/>
          <w:szCs w:val="24"/>
        </w:rPr>
        <w:t>关于资本主义和帝国主义必然灭亡的结论不再正确了呢</w:t>
      </w:r>
      <w:r>
        <w:rPr>
          <w:rFonts w:ascii="方正书宋_GBK" w:hAnsi="方正书宋_GBK"/>
          <w:b/>
          <w:bCs/>
          <w:sz w:val="24"/>
          <w:szCs w:val="24"/>
        </w:rPr>
        <w:t>?</w:t>
      </w:r>
    </w:p>
    <w:p w14:paraId="04F75CE7">
      <w:pPr>
        <w:spacing w:line="360" w:lineRule="auto"/>
        <w:rPr>
          <w:b/>
          <w:bCs/>
          <w:sz w:val="24"/>
          <w:szCs w:val="24"/>
        </w:rPr>
      </w:pPr>
      <w:r>
        <w:rPr>
          <w:b/>
          <w:bCs/>
          <w:sz w:val="24"/>
          <w:szCs w:val="24"/>
        </w:rPr>
        <w:t>　　</w:t>
      </w:r>
      <w:r>
        <w:rPr>
          <w:rFonts w:hint="eastAsia"/>
          <w:b/>
          <w:bCs/>
          <w:sz w:val="24"/>
          <w:szCs w:val="24"/>
        </w:rPr>
        <w:t>当然不是。资本主义在一定时期内的发展和资本主义最终必然灭亡这两者之间并不存在矛盾。列宁所说的帝国主义是垂死的资本主义</w:t>
      </w:r>
      <w:r>
        <w:rPr>
          <w:rFonts w:hint="eastAsia" w:ascii="方正书宋_GBK" w:hAnsi="方正书宋_GBK"/>
          <w:b/>
          <w:bCs/>
          <w:sz w:val="24"/>
          <w:szCs w:val="24"/>
          <w:lang w:eastAsia="zh-CN"/>
        </w:rPr>
        <w:t>，</w:t>
      </w:r>
      <w:r>
        <w:rPr>
          <w:rFonts w:hint="eastAsia"/>
          <w:b/>
          <w:bCs/>
          <w:sz w:val="24"/>
          <w:szCs w:val="24"/>
        </w:rPr>
        <w:t>讲的只是资本主义必然灭亡并由社会主义所取代的趋势</w:t>
      </w:r>
      <w:r>
        <w:rPr>
          <w:rFonts w:hint="eastAsia" w:ascii="方正书宋_GBK" w:hAnsi="方正书宋_GBK"/>
          <w:b/>
          <w:bCs/>
          <w:sz w:val="24"/>
          <w:szCs w:val="24"/>
          <w:lang w:eastAsia="zh-CN"/>
        </w:rPr>
        <w:t>，</w:t>
      </w:r>
      <w:r>
        <w:rPr>
          <w:rFonts w:hint="eastAsia"/>
          <w:b/>
          <w:bCs/>
          <w:sz w:val="24"/>
          <w:szCs w:val="24"/>
        </w:rPr>
        <w:t>而不能简单地理解为</w:t>
      </w:r>
      <w:r>
        <w:rPr>
          <w:rFonts w:ascii="方正书宋_GBK" w:hAnsi="方正书宋_GBK"/>
          <w:b/>
          <w:bCs/>
          <w:sz w:val="24"/>
          <w:szCs w:val="24"/>
        </w:rPr>
        <w:t>所有资本主义或</w:t>
      </w:r>
      <w:r>
        <w:rPr>
          <w:rFonts w:hint="eastAsia"/>
          <w:b/>
          <w:bCs/>
          <w:sz w:val="24"/>
          <w:szCs w:val="24"/>
        </w:rPr>
        <w:t>帝国主义国家将</w:t>
      </w:r>
      <w:r>
        <w:rPr>
          <w:rFonts w:hint="eastAsia"/>
          <w:b/>
          <w:bCs/>
          <w:sz w:val="24"/>
          <w:szCs w:val="24"/>
          <w:lang w:val="en-US" w:eastAsia="zh-CN"/>
        </w:rPr>
        <w:t>在数十年</w:t>
      </w:r>
      <w:r>
        <w:rPr>
          <w:rFonts w:hint="eastAsia"/>
          <w:b/>
          <w:bCs/>
          <w:sz w:val="24"/>
          <w:szCs w:val="24"/>
        </w:rPr>
        <w:t>消失。实际上</w:t>
      </w:r>
      <w:r>
        <w:rPr>
          <w:rFonts w:hint="eastAsia" w:ascii="方正书宋_GBK" w:hAnsi="方正书宋_GBK"/>
          <w:b/>
          <w:bCs/>
          <w:sz w:val="24"/>
          <w:szCs w:val="24"/>
          <w:lang w:eastAsia="zh-CN"/>
        </w:rPr>
        <w:t>，</w:t>
      </w:r>
      <w:r>
        <w:rPr>
          <w:rFonts w:hint="eastAsia"/>
          <w:b/>
          <w:bCs/>
          <w:sz w:val="24"/>
          <w:szCs w:val="24"/>
        </w:rPr>
        <w:t>马克思主义经典作家们并没有</w:t>
      </w:r>
      <w:r>
        <w:rPr>
          <w:rFonts w:hint="eastAsia"/>
          <w:b/>
          <w:bCs/>
          <w:sz w:val="24"/>
          <w:szCs w:val="24"/>
          <w:lang w:eastAsia="zh-CN"/>
        </w:rPr>
        <w:t>、</w:t>
      </w:r>
      <w:r>
        <w:rPr>
          <w:rFonts w:hint="eastAsia"/>
          <w:b/>
          <w:bCs/>
          <w:sz w:val="24"/>
          <w:szCs w:val="24"/>
          <w:lang w:val="en-US" w:eastAsia="zh-CN"/>
        </w:rPr>
        <w:t>也不可能</w:t>
      </w:r>
      <w:r>
        <w:rPr>
          <w:rFonts w:hint="eastAsia"/>
          <w:b/>
          <w:bCs/>
          <w:sz w:val="24"/>
          <w:szCs w:val="24"/>
        </w:rPr>
        <w:t>给出资本主义和帝国主义灭亡的具体时间表。恰恰相反</w:t>
      </w:r>
      <w:r>
        <w:rPr>
          <w:rFonts w:hint="eastAsia" w:ascii="方正书宋_GBK" w:hAnsi="方正书宋_GBK"/>
          <w:b/>
          <w:bCs/>
          <w:sz w:val="24"/>
          <w:szCs w:val="24"/>
          <w:lang w:eastAsia="zh-CN"/>
        </w:rPr>
        <w:t>，</w:t>
      </w:r>
      <w:r>
        <w:rPr>
          <w:rFonts w:hint="eastAsia"/>
          <w:b/>
          <w:bCs/>
          <w:sz w:val="24"/>
          <w:szCs w:val="24"/>
        </w:rPr>
        <w:t>列宁充分地预见到了</w:t>
      </w:r>
      <w:r>
        <w:rPr>
          <w:rFonts w:hint="eastAsia"/>
          <w:b/>
          <w:bCs/>
          <w:sz w:val="24"/>
          <w:szCs w:val="24"/>
          <w:lang w:eastAsia="zh-CN"/>
        </w:rPr>
        <w:t>，</w:t>
      </w:r>
      <w:r>
        <w:rPr>
          <w:rFonts w:hint="eastAsia"/>
          <w:b/>
          <w:bCs/>
          <w:sz w:val="24"/>
          <w:szCs w:val="24"/>
        </w:rPr>
        <w:t>这个垂死的资本主义很可能还会“拖”一个相当长的时期</w:t>
      </w:r>
      <w:r>
        <w:rPr>
          <w:rFonts w:hint="eastAsia" w:ascii="方正书宋_GBK" w:hAnsi="方正书宋_GBK"/>
          <w:b/>
          <w:bCs/>
          <w:sz w:val="24"/>
          <w:szCs w:val="24"/>
          <w:lang w:eastAsia="zh-CN"/>
        </w:rPr>
        <w:t>，</w:t>
      </w:r>
      <w:r>
        <w:rPr>
          <w:rFonts w:hint="eastAsia"/>
          <w:b/>
          <w:bCs/>
          <w:sz w:val="24"/>
          <w:szCs w:val="24"/>
        </w:rPr>
        <w:t>甚至也不排斥在这个垂死的阶段中</w:t>
      </w:r>
      <w:r>
        <w:rPr>
          <w:rFonts w:hint="eastAsia"/>
          <w:b/>
          <w:bCs/>
          <w:sz w:val="24"/>
          <w:szCs w:val="24"/>
          <w:lang w:eastAsia="zh-CN"/>
        </w:rPr>
        <w:t>，</w:t>
      </w:r>
      <w:r>
        <w:rPr>
          <w:rFonts w:hint="eastAsia"/>
          <w:b/>
          <w:bCs/>
          <w:sz w:val="24"/>
          <w:szCs w:val="24"/>
        </w:rPr>
        <w:t>资本主义还会得到一定程度的发展。比如</w:t>
      </w:r>
      <w:r>
        <w:rPr>
          <w:rFonts w:hint="eastAsia" w:ascii="方正书宋_GBK" w:hAnsi="方正书宋_GBK"/>
          <w:b/>
          <w:bCs/>
          <w:sz w:val="24"/>
          <w:szCs w:val="24"/>
          <w:lang w:eastAsia="zh-CN"/>
        </w:rPr>
        <w:t>，</w:t>
      </w:r>
      <w:r>
        <w:rPr>
          <w:rFonts w:hint="eastAsia"/>
          <w:b/>
          <w:bCs/>
          <w:sz w:val="24"/>
          <w:szCs w:val="24"/>
        </w:rPr>
        <w:t>列宁在讲到帝国主义的腐朽性时说</w:t>
      </w:r>
      <w:r>
        <w:rPr>
          <w:rFonts w:ascii="方正书宋_GBK" w:hAnsi="方正书宋_GBK"/>
          <w:b/>
          <w:bCs/>
          <w:sz w:val="24"/>
          <w:szCs w:val="24"/>
        </w:rPr>
        <w:t>:</w:t>
      </w:r>
      <w:r>
        <w:rPr>
          <w:rFonts w:hint="eastAsia"/>
          <w:b/>
          <w:bCs/>
          <w:sz w:val="24"/>
          <w:szCs w:val="24"/>
        </w:rPr>
        <w:t>“如果以为这一腐朽趋势排除了资本主义的迅速发展</w:t>
      </w:r>
      <w:r>
        <w:rPr>
          <w:rFonts w:hint="eastAsia" w:ascii="方正书宋_GBK" w:hAnsi="方正书宋_GBK"/>
          <w:b/>
          <w:bCs/>
          <w:sz w:val="24"/>
          <w:szCs w:val="24"/>
          <w:lang w:eastAsia="zh-CN"/>
        </w:rPr>
        <w:t>，</w:t>
      </w:r>
      <w:r>
        <w:rPr>
          <w:rFonts w:hint="eastAsia"/>
          <w:b/>
          <w:bCs/>
          <w:sz w:val="24"/>
          <w:szCs w:val="24"/>
        </w:rPr>
        <w:t>那就错了。不</w:t>
      </w:r>
      <w:r>
        <w:rPr>
          <w:rFonts w:hint="eastAsia" w:ascii="方正书宋_GBK" w:hAnsi="方正书宋_GBK"/>
          <w:b/>
          <w:bCs/>
          <w:sz w:val="24"/>
          <w:szCs w:val="24"/>
          <w:lang w:eastAsia="zh-CN"/>
        </w:rPr>
        <w:t>，</w:t>
      </w:r>
      <w:r>
        <w:rPr>
          <w:rFonts w:hint="eastAsia"/>
          <w:b/>
          <w:bCs/>
          <w:sz w:val="24"/>
          <w:szCs w:val="24"/>
        </w:rPr>
        <w:t>在帝国主义时代</w:t>
      </w:r>
      <w:r>
        <w:rPr>
          <w:rFonts w:hint="eastAsia" w:ascii="方正书宋_GBK" w:hAnsi="方正书宋_GBK"/>
          <w:b/>
          <w:bCs/>
          <w:sz w:val="24"/>
          <w:szCs w:val="24"/>
          <w:lang w:eastAsia="zh-CN"/>
        </w:rPr>
        <w:t>，</w:t>
      </w:r>
      <w:r>
        <w:rPr>
          <w:rFonts w:hint="eastAsia"/>
          <w:b/>
          <w:bCs/>
          <w:sz w:val="24"/>
          <w:szCs w:val="24"/>
        </w:rPr>
        <w:t>个别工业部门</w:t>
      </w:r>
      <w:r>
        <w:rPr>
          <w:rFonts w:hint="eastAsia" w:ascii="方正书宋_GBK" w:hAnsi="方正书宋_GBK"/>
          <w:b/>
          <w:bCs/>
          <w:sz w:val="24"/>
          <w:szCs w:val="24"/>
          <w:lang w:eastAsia="zh-CN"/>
        </w:rPr>
        <w:t>，</w:t>
      </w:r>
      <w:r>
        <w:rPr>
          <w:rFonts w:hint="eastAsia"/>
          <w:b/>
          <w:bCs/>
          <w:sz w:val="24"/>
          <w:szCs w:val="24"/>
        </w:rPr>
        <w:t>个别资产阶级阶层</w:t>
      </w:r>
      <w:r>
        <w:rPr>
          <w:rFonts w:hint="eastAsia" w:ascii="方正书宋_GBK" w:hAnsi="方正书宋_GBK"/>
          <w:b/>
          <w:bCs/>
          <w:sz w:val="24"/>
          <w:szCs w:val="24"/>
          <w:lang w:eastAsia="zh-CN"/>
        </w:rPr>
        <w:t>，</w:t>
      </w:r>
      <w:r>
        <w:rPr>
          <w:rFonts w:hint="eastAsia"/>
          <w:b/>
          <w:bCs/>
          <w:sz w:val="24"/>
          <w:szCs w:val="24"/>
        </w:rPr>
        <w:t>个别国家</w:t>
      </w:r>
      <w:r>
        <w:rPr>
          <w:rFonts w:hint="eastAsia" w:ascii="方正书宋_GBK" w:hAnsi="方正书宋_GBK"/>
          <w:b/>
          <w:bCs/>
          <w:sz w:val="24"/>
          <w:szCs w:val="24"/>
          <w:lang w:eastAsia="zh-CN"/>
        </w:rPr>
        <w:t>，</w:t>
      </w:r>
      <w:r>
        <w:rPr>
          <w:rFonts w:hint="eastAsia"/>
          <w:b/>
          <w:bCs/>
          <w:sz w:val="24"/>
          <w:szCs w:val="24"/>
        </w:rPr>
        <w:t>不同程度地时而表现出这种趋势</w:t>
      </w:r>
      <w:r>
        <w:rPr>
          <w:rFonts w:hint="eastAsia" w:ascii="方正书宋_GBK" w:hAnsi="方正书宋_GBK"/>
          <w:b/>
          <w:bCs/>
          <w:sz w:val="24"/>
          <w:szCs w:val="24"/>
          <w:lang w:eastAsia="zh-CN"/>
        </w:rPr>
        <w:t>，</w:t>
      </w:r>
      <w:r>
        <w:rPr>
          <w:rFonts w:hint="eastAsia"/>
          <w:b/>
          <w:bCs/>
          <w:sz w:val="24"/>
          <w:szCs w:val="24"/>
        </w:rPr>
        <w:t>时而又表现出那种趋势。整个说来</w:t>
      </w:r>
      <w:r>
        <w:rPr>
          <w:rFonts w:hint="eastAsia" w:ascii="方正书宋_GBK" w:hAnsi="方正书宋_GBK"/>
          <w:b/>
          <w:bCs/>
          <w:sz w:val="24"/>
          <w:szCs w:val="24"/>
          <w:lang w:eastAsia="zh-CN"/>
        </w:rPr>
        <w:t>，</w:t>
      </w:r>
      <w:r>
        <w:rPr>
          <w:rFonts w:hint="eastAsia"/>
          <w:b/>
          <w:bCs/>
          <w:sz w:val="24"/>
          <w:szCs w:val="24"/>
        </w:rPr>
        <w:t>资本主义的发展比从前要快得多……”</w:t>
      </w:r>
      <w:r>
        <w:rPr>
          <w:rStyle w:val="20"/>
          <w:b/>
          <w:bCs/>
          <w:sz w:val="24"/>
          <w:szCs w:val="24"/>
        </w:rPr>
        <w:footnoteReference w:id="251"/>
      </w:r>
      <w:r>
        <w:rPr>
          <w:rFonts w:hint="eastAsia"/>
          <w:b/>
          <w:bCs/>
          <w:sz w:val="24"/>
          <w:szCs w:val="24"/>
        </w:rPr>
        <w:t>“它可能会在腐烂状态中保持一个比较长的时期</w:t>
      </w:r>
      <w:r>
        <w:rPr>
          <w:rFonts w:hint="eastAsia"/>
          <w:b/>
          <w:bCs/>
          <w:sz w:val="24"/>
          <w:szCs w:val="24"/>
          <w:lang w:eastAsia="zh-CN"/>
        </w:rPr>
        <w:t>（</w:t>
      </w:r>
      <w:r>
        <w:rPr>
          <w:rFonts w:hint="eastAsia"/>
          <w:b/>
          <w:bCs/>
          <w:sz w:val="24"/>
          <w:szCs w:val="24"/>
        </w:rPr>
        <w:t>万一机会主义的脓疮迟迟不能治好的话</w:t>
      </w:r>
      <w:r>
        <w:rPr>
          <w:rFonts w:hint="eastAsia"/>
          <w:b/>
          <w:bCs/>
          <w:sz w:val="24"/>
          <w:szCs w:val="24"/>
          <w:lang w:eastAsia="zh-CN"/>
        </w:rPr>
        <w:t>）</w:t>
      </w:r>
      <w:r>
        <w:rPr>
          <w:rFonts w:hint="eastAsia" w:ascii="方正书宋_GBK" w:hAnsi="方正书宋_GBK"/>
          <w:b/>
          <w:bCs/>
          <w:sz w:val="24"/>
          <w:szCs w:val="24"/>
          <w:lang w:eastAsia="zh-CN"/>
        </w:rPr>
        <w:t>，</w:t>
      </w:r>
      <w:r>
        <w:rPr>
          <w:rFonts w:hint="eastAsia"/>
          <w:b/>
          <w:bCs/>
          <w:sz w:val="24"/>
          <w:szCs w:val="24"/>
        </w:rPr>
        <w:t>但还是必然要被消灭的。”</w:t>
      </w:r>
      <w:r>
        <w:rPr>
          <w:rStyle w:val="20"/>
          <w:b/>
          <w:bCs/>
          <w:sz w:val="24"/>
          <w:szCs w:val="24"/>
        </w:rPr>
        <w:footnoteReference w:id="252"/>
      </w:r>
    </w:p>
    <w:p w14:paraId="4F9E7F39">
      <w:pPr>
        <w:spacing w:line="360" w:lineRule="auto"/>
        <w:rPr>
          <w:b/>
          <w:bCs/>
          <w:sz w:val="24"/>
          <w:szCs w:val="24"/>
        </w:rPr>
      </w:pPr>
      <w:r>
        <w:rPr>
          <w:b/>
          <w:bCs/>
          <w:sz w:val="24"/>
          <w:szCs w:val="24"/>
        </w:rPr>
        <w:t>　　</w:t>
      </w:r>
      <w:r>
        <w:rPr>
          <w:rFonts w:hint="eastAsia"/>
          <w:b/>
          <w:bCs/>
          <w:sz w:val="24"/>
          <w:szCs w:val="24"/>
        </w:rPr>
        <w:t>那么</w:t>
      </w:r>
      <w:r>
        <w:rPr>
          <w:rFonts w:hint="eastAsia" w:ascii="方正书宋_GBK" w:hAnsi="方正书宋_GBK"/>
          <w:b/>
          <w:bCs/>
          <w:sz w:val="24"/>
          <w:szCs w:val="24"/>
          <w:lang w:eastAsia="zh-CN"/>
        </w:rPr>
        <w:t>，</w:t>
      </w:r>
      <w:r>
        <w:rPr>
          <w:rFonts w:hint="eastAsia"/>
          <w:b/>
          <w:bCs/>
          <w:sz w:val="24"/>
          <w:szCs w:val="24"/>
        </w:rPr>
        <w:t>当代资本主义的新变化为什么不会改变它必然灭亡的历史发展趋势呢</w:t>
      </w:r>
      <w:r>
        <w:rPr>
          <w:rFonts w:ascii="方正书宋_GBK" w:hAnsi="方正书宋_GBK"/>
          <w:b/>
          <w:bCs/>
          <w:sz w:val="24"/>
          <w:szCs w:val="24"/>
        </w:rPr>
        <w:t>?</w:t>
      </w:r>
      <w:r>
        <w:rPr>
          <w:rFonts w:hint="eastAsia" w:ascii="方正书宋_GBK" w:hAnsi="方正书宋_GBK"/>
          <w:b/>
          <w:bCs/>
          <w:sz w:val="24"/>
          <w:szCs w:val="24"/>
          <w:lang w:val="en-US" w:eastAsia="zh-CN"/>
        </w:rPr>
        <w:t>这里仅</w:t>
      </w:r>
      <w:r>
        <w:rPr>
          <w:rFonts w:hint="eastAsia"/>
          <w:b/>
          <w:bCs/>
          <w:sz w:val="24"/>
          <w:szCs w:val="24"/>
        </w:rPr>
        <w:t>从下面三个方面来分析。</w:t>
      </w:r>
    </w:p>
    <w:p w14:paraId="03AA61E9">
      <w:pPr>
        <w:spacing w:line="360" w:lineRule="auto"/>
        <w:rPr>
          <w:b/>
          <w:bCs/>
          <w:sz w:val="24"/>
          <w:szCs w:val="24"/>
        </w:rPr>
      </w:pPr>
      <w:r>
        <w:rPr>
          <w:b/>
          <w:bCs/>
          <w:sz w:val="24"/>
          <w:szCs w:val="24"/>
        </w:rPr>
        <w:t>　　</w:t>
      </w:r>
      <w:r>
        <w:rPr>
          <w:rFonts w:hint="eastAsia"/>
          <w:b/>
          <w:bCs/>
          <w:sz w:val="24"/>
          <w:szCs w:val="24"/>
          <w:lang w:val="en-US" w:eastAsia="zh-CN"/>
        </w:rPr>
        <w:t>首先，</w:t>
      </w:r>
      <w:r>
        <w:rPr>
          <w:rFonts w:hint="eastAsia"/>
          <w:b/>
          <w:bCs/>
          <w:sz w:val="24"/>
          <w:szCs w:val="24"/>
        </w:rPr>
        <w:t>资本主义基本矛盾仍然存在并继续发展。当代资本主义的新变化</w:t>
      </w:r>
      <w:r>
        <w:rPr>
          <w:rFonts w:hint="eastAsia" w:ascii="方正书宋_GBK" w:hAnsi="方正书宋_GBK"/>
          <w:b/>
          <w:bCs/>
          <w:sz w:val="24"/>
          <w:szCs w:val="24"/>
          <w:lang w:eastAsia="zh-CN"/>
        </w:rPr>
        <w:t>，</w:t>
      </w:r>
      <w:r>
        <w:rPr>
          <w:rFonts w:hint="eastAsia" w:ascii="方正书宋_GBK" w:hAnsi="方正书宋_GBK"/>
          <w:b/>
          <w:bCs/>
          <w:sz w:val="24"/>
          <w:szCs w:val="24"/>
          <w:lang w:val="en-US" w:eastAsia="zh-CN"/>
        </w:rPr>
        <w:t>有</w:t>
      </w:r>
      <w:r>
        <w:rPr>
          <w:rFonts w:hint="eastAsia"/>
          <w:b/>
          <w:bCs/>
          <w:sz w:val="24"/>
          <w:szCs w:val="24"/>
        </w:rPr>
        <w:t>千变万变</w:t>
      </w:r>
      <w:r>
        <w:rPr>
          <w:rFonts w:hint="eastAsia" w:ascii="方正书宋_GBK" w:hAnsi="方正书宋_GBK"/>
          <w:b/>
          <w:bCs/>
          <w:sz w:val="24"/>
          <w:szCs w:val="24"/>
          <w:lang w:eastAsia="zh-CN"/>
        </w:rPr>
        <w:t>，</w:t>
      </w:r>
      <w:r>
        <w:rPr>
          <w:rFonts w:hint="eastAsia" w:ascii="方正书宋_GBK" w:hAnsi="方正书宋_GBK"/>
          <w:b/>
          <w:bCs/>
          <w:sz w:val="24"/>
          <w:szCs w:val="24"/>
          <w:lang w:val="en-US" w:eastAsia="zh-CN"/>
        </w:rPr>
        <w:t>但</w:t>
      </w:r>
      <w:r>
        <w:rPr>
          <w:rFonts w:hint="eastAsia"/>
          <w:b/>
          <w:bCs/>
          <w:sz w:val="24"/>
          <w:szCs w:val="24"/>
        </w:rPr>
        <w:t>有一点一直没变</w:t>
      </w:r>
      <w:r>
        <w:rPr>
          <w:rFonts w:hint="eastAsia" w:ascii="方正书宋_GBK" w:hAnsi="方正书宋_GBK"/>
          <w:b/>
          <w:bCs/>
          <w:sz w:val="24"/>
          <w:szCs w:val="24"/>
          <w:lang w:eastAsia="zh-CN"/>
        </w:rPr>
        <w:t>，</w:t>
      </w:r>
      <w:r>
        <w:rPr>
          <w:rFonts w:hint="eastAsia"/>
          <w:b/>
          <w:bCs/>
          <w:sz w:val="24"/>
          <w:szCs w:val="24"/>
        </w:rPr>
        <w:t>也不会变</w:t>
      </w:r>
      <w:r>
        <w:rPr>
          <w:rFonts w:hint="eastAsia" w:ascii="方正书宋_GBK" w:hAnsi="方正书宋_GBK"/>
          <w:b/>
          <w:bCs/>
          <w:sz w:val="24"/>
          <w:szCs w:val="24"/>
          <w:lang w:eastAsia="zh-CN"/>
        </w:rPr>
        <w:t>，</w:t>
      </w:r>
      <w:r>
        <w:rPr>
          <w:rFonts w:hint="eastAsia"/>
          <w:b/>
          <w:bCs/>
          <w:sz w:val="24"/>
          <w:szCs w:val="24"/>
        </w:rPr>
        <w:t>那就是资本主义的基本矛盾。尽管当代资本主义国家在生产力、生产关系和上层建筑方面进行了很多的改革</w:t>
      </w:r>
      <w:r>
        <w:rPr>
          <w:rFonts w:hint="eastAsia" w:ascii="方正书宋_GBK" w:hAnsi="方正书宋_GBK"/>
          <w:b/>
          <w:bCs/>
          <w:sz w:val="24"/>
          <w:szCs w:val="24"/>
          <w:lang w:eastAsia="zh-CN"/>
        </w:rPr>
        <w:t>，</w:t>
      </w:r>
      <w:r>
        <w:rPr>
          <w:rFonts w:hint="eastAsia"/>
          <w:b/>
          <w:bCs/>
          <w:sz w:val="24"/>
          <w:szCs w:val="24"/>
        </w:rPr>
        <w:t>但这些改革并没有根本触动资本主义的私有制。因此</w:t>
      </w:r>
      <w:r>
        <w:rPr>
          <w:rFonts w:hint="eastAsia" w:ascii="方正书宋_GBK" w:hAnsi="方正书宋_GBK"/>
          <w:b/>
          <w:bCs/>
          <w:sz w:val="24"/>
          <w:szCs w:val="24"/>
          <w:lang w:eastAsia="zh-CN"/>
        </w:rPr>
        <w:t>，</w:t>
      </w:r>
      <w:r>
        <w:rPr>
          <w:rFonts w:hint="eastAsia"/>
          <w:b/>
          <w:bCs/>
          <w:sz w:val="24"/>
          <w:szCs w:val="24"/>
        </w:rPr>
        <w:t>马克思早就揭示过的资本主义基本矛盾</w:t>
      </w:r>
      <w:r>
        <w:rPr>
          <w:rFonts w:hint="eastAsia" w:ascii="方正书宋_GBK" w:hAnsi="方正书宋_GBK"/>
          <w:b/>
          <w:bCs/>
          <w:sz w:val="24"/>
          <w:szCs w:val="24"/>
          <w:lang w:eastAsia="zh-CN"/>
        </w:rPr>
        <w:t>，</w:t>
      </w:r>
      <w:r>
        <w:rPr>
          <w:rFonts w:hint="eastAsia"/>
          <w:b/>
          <w:bCs/>
          <w:sz w:val="24"/>
          <w:szCs w:val="24"/>
        </w:rPr>
        <w:t>即生产的社会化和资产阶级私人占有之间的矛盾</w:t>
      </w:r>
      <w:r>
        <w:rPr>
          <w:rFonts w:hint="eastAsia" w:ascii="方正书宋_GBK" w:hAnsi="方正书宋_GBK"/>
          <w:b/>
          <w:bCs/>
          <w:sz w:val="24"/>
          <w:szCs w:val="24"/>
          <w:lang w:eastAsia="zh-CN"/>
        </w:rPr>
        <w:t>，</w:t>
      </w:r>
      <w:r>
        <w:rPr>
          <w:rFonts w:hint="eastAsia"/>
          <w:b/>
          <w:bCs/>
          <w:sz w:val="24"/>
          <w:szCs w:val="24"/>
        </w:rPr>
        <w:t>就仍然存在</w:t>
      </w:r>
      <w:r>
        <w:rPr>
          <w:rFonts w:hint="eastAsia" w:ascii="方正书宋_GBK" w:hAnsi="方正书宋_GBK"/>
          <w:b/>
          <w:bCs/>
          <w:sz w:val="24"/>
          <w:szCs w:val="24"/>
          <w:lang w:eastAsia="zh-CN"/>
        </w:rPr>
        <w:t>，</w:t>
      </w:r>
      <w:r>
        <w:rPr>
          <w:rFonts w:hint="eastAsia"/>
          <w:b/>
          <w:bCs/>
          <w:sz w:val="24"/>
          <w:szCs w:val="24"/>
        </w:rPr>
        <w:t>而且还不断发展。从生产的垄断到金融的垄断、从私人的垄断到国家的垄断、从国内的垄断到国际的垄断</w:t>
      </w:r>
      <w:r>
        <w:rPr>
          <w:rFonts w:hint="eastAsia" w:ascii="方正书宋_GBK" w:hAnsi="方正书宋_GBK"/>
          <w:b/>
          <w:bCs/>
          <w:sz w:val="24"/>
          <w:szCs w:val="24"/>
          <w:lang w:eastAsia="zh-CN"/>
        </w:rPr>
        <w:t>，</w:t>
      </w:r>
      <w:r>
        <w:rPr>
          <w:rFonts w:hint="eastAsia"/>
          <w:b/>
          <w:bCs/>
          <w:sz w:val="24"/>
          <w:szCs w:val="24"/>
        </w:rPr>
        <w:t>所有这些过程在当代资本主义中都在加速地进行。垄断组织的规模越来越大</w:t>
      </w:r>
      <w:r>
        <w:rPr>
          <w:rFonts w:hint="eastAsia" w:ascii="方正书宋_GBK" w:hAnsi="方正书宋_GBK"/>
          <w:b/>
          <w:bCs/>
          <w:sz w:val="24"/>
          <w:szCs w:val="24"/>
          <w:lang w:eastAsia="zh-CN"/>
        </w:rPr>
        <w:t>，</w:t>
      </w:r>
      <w:r>
        <w:rPr>
          <w:rFonts w:hint="eastAsia"/>
          <w:b/>
          <w:bCs/>
          <w:sz w:val="24"/>
          <w:szCs w:val="24"/>
        </w:rPr>
        <w:t>兼并浪潮一浪高过一浪。一方面</w:t>
      </w:r>
      <w:r>
        <w:rPr>
          <w:rFonts w:hint="eastAsia" w:ascii="方正书宋_GBK" w:hAnsi="方正书宋_GBK"/>
          <w:b/>
          <w:bCs/>
          <w:sz w:val="24"/>
          <w:szCs w:val="24"/>
          <w:lang w:eastAsia="zh-CN"/>
        </w:rPr>
        <w:t>，</w:t>
      </w:r>
      <w:r>
        <w:rPr>
          <w:rFonts w:hint="eastAsia" w:ascii="方正书宋_GBK" w:hAnsi="方正书宋_GBK"/>
          <w:b/>
          <w:bCs/>
          <w:sz w:val="24"/>
          <w:szCs w:val="24"/>
          <w:lang w:val="en-US" w:eastAsia="zh-CN"/>
        </w:rPr>
        <w:t>经济</w:t>
      </w:r>
      <w:r>
        <w:rPr>
          <w:rFonts w:hint="eastAsia"/>
          <w:b/>
          <w:bCs/>
          <w:sz w:val="24"/>
          <w:szCs w:val="24"/>
        </w:rPr>
        <w:t>社会化</w:t>
      </w:r>
      <w:r>
        <w:rPr>
          <w:rFonts w:hint="eastAsia"/>
          <w:b/>
          <w:bCs/>
          <w:sz w:val="24"/>
          <w:szCs w:val="24"/>
          <w:lang w:val="en-US" w:eastAsia="zh-CN"/>
        </w:rPr>
        <w:t>和全球化</w:t>
      </w:r>
      <w:r>
        <w:rPr>
          <w:rFonts w:hint="eastAsia"/>
          <w:b/>
          <w:bCs/>
          <w:sz w:val="24"/>
          <w:szCs w:val="24"/>
        </w:rPr>
        <w:t>的程度是在不断地提高，另一方面</w:t>
      </w:r>
      <w:r>
        <w:rPr>
          <w:rFonts w:hint="eastAsia" w:ascii="方正书宋_GBK" w:hAnsi="方正书宋_GBK"/>
          <w:b/>
          <w:bCs/>
          <w:sz w:val="24"/>
          <w:szCs w:val="24"/>
          <w:lang w:eastAsia="zh-CN"/>
        </w:rPr>
        <w:t>，</w:t>
      </w:r>
      <w:r>
        <w:rPr>
          <w:rFonts w:hint="eastAsia" w:ascii="方正书宋_GBK" w:hAnsi="方正书宋_GBK"/>
          <w:b/>
          <w:bCs/>
          <w:sz w:val="24"/>
          <w:szCs w:val="24"/>
          <w:lang w:val="en-US" w:eastAsia="zh-CN"/>
        </w:rPr>
        <w:t>生产要素</w:t>
      </w:r>
      <w:r>
        <w:rPr>
          <w:rFonts w:hint="eastAsia"/>
          <w:b/>
          <w:bCs/>
          <w:sz w:val="24"/>
          <w:szCs w:val="24"/>
        </w:rPr>
        <w:t>私人</w:t>
      </w:r>
      <w:r>
        <w:rPr>
          <w:rFonts w:hint="eastAsia"/>
          <w:b/>
          <w:bCs/>
          <w:sz w:val="24"/>
          <w:szCs w:val="24"/>
          <w:lang w:val="en-US" w:eastAsia="zh-CN"/>
        </w:rPr>
        <w:t>所有</w:t>
      </w:r>
      <w:r>
        <w:rPr>
          <w:rFonts w:hint="eastAsia"/>
          <w:b/>
          <w:bCs/>
          <w:sz w:val="24"/>
          <w:szCs w:val="24"/>
        </w:rPr>
        <w:t>的</w:t>
      </w:r>
      <w:r>
        <w:rPr>
          <w:rFonts w:hint="eastAsia"/>
          <w:b/>
          <w:bCs/>
          <w:sz w:val="24"/>
          <w:szCs w:val="24"/>
          <w:lang w:val="en-US" w:eastAsia="zh-CN"/>
        </w:rPr>
        <w:t>经济</w:t>
      </w:r>
      <w:r>
        <w:rPr>
          <w:rFonts w:hint="eastAsia"/>
          <w:b/>
          <w:bCs/>
          <w:sz w:val="24"/>
          <w:szCs w:val="24"/>
        </w:rPr>
        <w:t>本质却依然如故。于是</w:t>
      </w:r>
      <w:r>
        <w:rPr>
          <w:rFonts w:hint="eastAsia" w:ascii="方正书宋_GBK" w:hAnsi="方正书宋_GBK"/>
          <w:b/>
          <w:bCs/>
          <w:sz w:val="24"/>
          <w:szCs w:val="24"/>
          <w:lang w:eastAsia="zh-CN"/>
        </w:rPr>
        <w:t>，</w:t>
      </w:r>
      <w:r>
        <w:rPr>
          <w:rFonts w:hint="eastAsia"/>
          <w:b/>
          <w:bCs/>
          <w:sz w:val="24"/>
          <w:szCs w:val="24"/>
        </w:rPr>
        <w:t>生产社会化</w:t>
      </w:r>
      <w:r>
        <w:rPr>
          <w:rFonts w:hint="eastAsia"/>
          <w:b/>
          <w:bCs/>
          <w:sz w:val="24"/>
          <w:szCs w:val="24"/>
          <w:lang w:val="en-US" w:eastAsia="zh-CN"/>
        </w:rPr>
        <w:t>和全球化</w:t>
      </w:r>
      <w:r>
        <w:rPr>
          <w:rFonts w:hint="eastAsia"/>
          <w:b/>
          <w:bCs/>
          <w:sz w:val="24"/>
          <w:szCs w:val="24"/>
        </w:rPr>
        <w:t>和私有</w:t>
      </w:r>
      <w:r>
        <w:rPr>
          <w:rFonts w:hint="eastAsia"/>
          <w:b/>
          <w:bCs/>
          <w:sz w:val="24"/>
          <w:szCs w:val="24"/>
          <w:lang w:val="en-US" w:eastAsia="zh-CN"/>
        </w:rPr>
        <w:t>制</w:t>
      </w:r>
      <w:r>
        <w:rPr>
          <w:rFonts w:hint="eastAsia"/>
          <w:b/>
          <w:bCs/>
          <w:sz w:val="24"/>
          <w:szCs w:val="24"/>
        </w:rPr>
        <w:t>的矛盾自然也就会变得越来越尖锐。这一基本矛盾的解决</w:t>
      </w:r>
      <w:r>
        <w:rPr>
          <w:rFonts w:hint="eastAsia" w:ascii="方正书宋_GBK" w:hAnsi="方正书宋_GBK"/>
          <w:b/>
          <w:bCs/>
          <w:sz w:val="24"/>
          <w:szCs w:val="24"/>
          <w:lang w:eastAsia="zh-CN"/>
        </w:rPr>
        <w:t>，</w:t>
      </w:r>
      <w:r>
        <w:rPr>
          <w:rFonts w:hint="eastAsia"/>
          <w:b/>
          <w:bCs/>
          <w:sz w:val="24"/>
          <w:szCs w:val="24"/>
        </w:rPr>
        <w:t>最后只能是通过</w:t>
      </w:r>
      <w:r>
        <w:rPr>
          <w:rFonts w:hint="eastAsia"/>
          <w:b/>
          <w:bCs/>
          <w:sz w:val="24"/>
          <w:szCs w:val="24"/>
          <w:lang w:val="en-US" w:eastAsia="zh-CN"/>
        </w:rPr>
        <w:t>逐步</w:t>
      </w:r>
      <w:r>
        <w:rPr>
          <w:rFonts w:hint="eastAsia"/>
          <w:b/>
          <w:bCs/>
          <w:sz w:val="24"/>
          <w:szCs w:val="24"/>
        </w:rPr>
        <w:t>消灭资本主义的私有制。舍此之外</w:t>
      </w:r>
      <w:r>
        <w:rPr>
          <w:rFonts w:hint="eastAsia" w:ascii="方正书宋_GBK" w:hAnsi="方正书宋_GBK"/>
          <w:b/>
          <w:bCs/>
          <w:sz w:val="24"/>
          <w:szCs w:val="24"/>
          <w:lang w:eastAsia="zh-CN"/>
        </w:rPr>
        <w:t>，</w:t>
      </w:r>
      <w:r>
        <w:rPr>
          <w:rFonts w:hint="eastAsia"/>
          <w:b/>
          <w:bCs/>
          <w:sz w:val="24"/>
          <w:szCs w:val="24"/>
        </w:rPr>
        <w:t>别无他途。</w:t>
      </w:r>
    </w:p>
    <w:p w14:paraId="774F5C54">
      <w:pPr>
        <w:spacing w:line="360" w:lineRule="auto"/>
        <w:rPr>
          <w:rFonts w:hint="eastAsia" w:ascii="宋体" w:hAnsi="宋体" w:eastAsia="宋体" w:cs="宋体"/>
          <w:b/>
          <w:bCs/>
          <w:sz w:val="24"/>
          <w:szCs w:val="24"/>
        </w:rPr>
      </w:pPr>
      <w:r>
        <w:rPr>
          <w:b/>
          <w:bCs/>
          <w:sz w:val="24"/>
          <w:szCs w:val="24"/>
        </w:rPr>
        <w:t>　　</w:t>
      </w:r>
      <w:r>
        <w:rPr>
          <w:rFonts w:hint="eastAsia"/>
          <w:b/>
          <w:bCs/>
          <w:sz w:val="24"/>
          <w:szCs w:val="24"/>
          <w:lang w:val="en-US" w:eastAsia="zh-CN"/>
        </w:rPr>
        <w:t>其次，</w:t>
      </w:r>
      <w:r>
        <w:rPr>
          <w:rFonts w:hint="eastAsia"/>
          <w:b/>
          <w:bCs/>
          <w:sz w:val="24"/>
          <w:szCs w:val="24"/>
        </w:rPr>
        <w:t>资本主义积累规律仍然存在并继续发展。尽管当代发达资本主义试图采取各种办法</w:t>
      </w:r>
      <w:r>
        <w:rPr>
          <w:rFonts w:hint="eastAsia" w:ascii="方正书宋_GBK" w:hAnsi="方正书宋_GBK"/>
          <w:b/>
          <w:bCs/>
          <w:sz w:val="24"/>
          <w:szCs w:val="24"/>
          <w:lang w:eastAsia="zh-CN"/>
        </w:rPr>
        <w:t>，</w:t>
      </w:r>
      <w:r>
        <w:rPr>
          <w:rFonts w:hint="eastAsia"/>
          <w:b/>
          <w:bCs/>
          <w:sz w:val="24"/>
          <w:szCs w:val="24"/>
        </w:rPr>
        <w:t>要把</w:t>
      </w:r>
      <w:r>
        <w:rPr>
          <w:rFonts w:hint="eastAsia"/>
          <w:b/>
          <w:bCs/>
          <w:sz w:val="24"/>
          <w:szCs w:val="24"/>
          <w:lang w:val="en-US" w:eastAsia="zh-CN"/>
        </w:rPr>
        <w:t>贫富</w:t>
      </w:r>
      <w:r>
        <w:rPr>
          <w:rFonts w:hint="eastAsia"/>
          <w:b/>
          <w:bCs/>
          <w:sz w:val="24"/>
          <w:szCs w:val="24"/>
        </w:rPr>
        <w:t>两极分化控制在一定的范围之内</w:t>
      </w:r>
      <w:r>
        <w:rPr>
          <w:rFonts w:hint="eastAsia" w:ascii="方正书宋_GBK" w:hAnsi="方正书宋_GBK"/>
          <w:b/>
          <w:bCs/>
          <w:sz w:val="24"/>
          <w:szCs w:val="24"/>
          <w:lang w:eastAsia="zh-CN"/>
        </w:rPr>
        <w:t>，</w:t>
      </w:r>
      <w:r>
        <w:rPr>
          <w:rFonts w:hint="eastAsia"/>
          <w:b/>
          <w:bCs/>
          <w:sz w:val="24"/>
          <w:szCs w:val="24"/>
        </w:rPr>
        <w:t>但不幸的是</w:t>
      </w:r>
      <w:r>
        <w:rPr>
          <w:rFonts w:hint="eastAsia" w:ascii="方正书宋_GBK" w:hAnsi="方正书宋_GBK"/>
          <w:b/>
          <w:bCs/>
          <w:sz w:val="24"/>
          <w:szCs w:val="24"/>
          <w:lang w:eastAsia="zh-CN"/>
        </w:rPr>
        <w:t>，</w:t>
      </w:r>
      <w:r>
        <w:rPr>
          <w:rFonts w:hint="eastAsia"/>
          <w:b/>
          <w:bCs/>
          <w:sz w:val="24"/>
          <w:szCs w:val="24"/>
        </w:rPr>
        <w:t>伴随资本主义的发展</w:t>
      </w:r>
      <w:r>
        <w:rPr>
          <w:rFonts w:hint="eastAsia" w:ascii="方正书宋_GBK" w:hAnsi="方正书宋_GBK"/>
          <w:b/>
          <w:bCs/>
          <w:sz w:val="24"/>
          <w:szCs w:val="24"/>
          <w:lang w:eastAsia="zh-CN"/>
        </w:rPr>
        <w:t>，</w:t>
      </w:r>
      <w:r>
        <w:rPr>
          <w:rFonts w:hint="eastAsia"/>
          <w:b/>
          <w:bCs/>
          <w:sz w:val="24"/>
          <w:szCs w:val="24"/>
        </w:rPr>
        <w:t>资本主义国家内部以及整个世界范围之内的两极分化却是在进一步扩大。资本主义的积累规律继续在发挥作用</w:t>
      </w:r>
      <w:r>
        <w:rPr>
          <w:rFonts w:hint="eastAsia" w:ascii="方正书宋_GBK" w:hAnsi="方正书宋_GBK"/>
          <w:b/>
          <w:bCs/>
          <w:sz w:val="24"/>
          <w:szCs w:val="24"/>
          <w:lang w:eastAsia="zh-CN"/>
        </w:rPr>
        <w:t>，</w:t>
      </w:r>
      <w:r>
        <w:rPr>
          <w:rFonts w:hint="eastAsia"/>
          <w:b/>
          <w:bCs/>
          <w:sz w:val="24"/>
          <w:szCs w:val="24"/>
        </w:rPr>
        <w:t>一极表现为财富的积累</w:t>
      </w:r>
      <w:r>
        <w:rPr>
          <w:rFonts w:hint="eastAsia" w:ascii="方正书宋_GBK" w:hAnsi="方正书宋_GBK"/>
          <w:b/>
          <w:bCs/>
          <w:sz w:val="24"/>
          <w:szCs w:val="24"/>
          <w:lang w:eastAsia="zh-CN"/>
        </w:rPr>
        <w:t>，</w:t>
      </w:r>
      <w:r>
        <w:rPr>
          <w:rFonts w:hint="eastAsia"/>
          <w:b/>
          <w:bCs/>
          <w:sz w:val="24"/>
          <w:szCs w:val="24"/>
        </w:rPr>
        <w:t>另一极表现为贫困的积累。例如</w:t>
      </w:r>
      <w:r>
        <w:rPr>
          <w:rFonts w:hint="eastAsia" w:ascii="方正书宋_GBK" w:hAnsi="方正书宋_GBK"/>
          <w:b/>
          <w:bCs/>
          <w:sz w:val="24"/>
          <w:szCs w:val="24"/>
          <w:lang w:eastAsia="zh-CN"/>
        </w:rPr>
        <w:t>，</w:t>
      </w:r>
      <w:r>
        <w:rPr>
          <w:rFonts w:hint="eastAsia"/>
          <w:b/>
          <w:bCs/>
          <w:sz w:val="24"/>
          <w:szCs w:val="24"/>
        </w:rPr>
        <w:t>在美国</w:t>
      </w:r>
      <w:r>
        <w:rPr>
          <w:rFonts w:hint="eastAsia" w:ascii="方正书宋_GBK" w:hAnsi="方正书宋_GBK"/>
          <w:b/>
          <w:bCs/>
          <w:sz w:val="24"/>
          <w:szCs w:val="24"/>
          <w:lang w:eastAsia="zh-CN"/>
        </w:rPr>
        <w:t>，</w:t>
      </w:r>
      <w:r>
        <w:rPr>
          <w:rFonts w:hint="eastAsia"/>
          <w:b/>
          <w:bCs/>
          <w:sz w:val="24"/>
          <w:szCs w:val="24"/>
        </w:rPr>
        <w:t>最富的</w:t>
      </w:r>
      <w:r>
        <w:rPr>
          <w:b/>
          <w:bCs/>
          <w:sz w:val="24"/>
          <w:szCs w:val="24"/>
        </w:rPr>
        <w:t>1%</w:t>
      </w:r>
      <w:r>
        <w:rPr>
          <w:rFonts w:hint="eastAsia"/>
          <w:b/>
          <w:bCs/>
          <w:sz w:val="24"/>
          <w:szCs w:val="24"/>
        </w:rPr>
        <w:t>的人拥有全美家庭财富的大约</w:t>
      </w:r>
      <w:r>
        <w:rPr>
          <w:b/>
          <w:bCs/>
          <w:sz w:val="24"/>
          <w:szCs w:val="24"/>
        </w:rPr>
        <w:t>40%</w:t>
      </w:r>
      <w:r>
        <w:rPr>
          <w:rFonts w:hint="eastAsia" w:ascii="方正书宋_GBK" w:hAnsi="方正书宋_GBK"/>
          <w:b/>
          <w:bCs/>
          <w:sz w:val="24"/>
          <w:szCs w:val="24"/>
          <w:lang w:eastAsia="zh-CN"/>
        </w:rPr>
        <w:t>，</w:t>
      </w:r>
      <w:r>
        <w:rPr>
          <w:rFonts w:hint="eastAsia"/>
          <w:b/>
          <w:bCs/>
          <w:sz w:val="24"/>
          <w:szCs w:val="24"/>
        </w:rPr>
        <w:t>比</w:t>
      </w:r>
      <w:r>
        <w:rPr>
          <w:b/>
          <w:bCs/>
          <w:sz w:val="24"/>
          <w:szCs w:val="24"/>
        </w:rPr>
        <w:t>90%</w:t>
      </w:r>
      <w:r>
        <w:rPr>
          <w:rFonts w:hint="eastAsia"/>
          <w:b/>
          <w:bCs/>
          <w:sz w:val="24"/>
          <w:szCs w:val="24"/>
        </w:rPr>
        <w:t>的美国人所拥有的财富还要多</w:t>
      </w:r>
      <w:r>
        <w:rPr>
          <w:rFonts w:ascii="方正书宋_GBK" w:hAnsi="方正书宋_GBK"/>
          <w:b/>
          <w:bCs/>
          <w:sz w:val="24"/>
          <w:szCs w:val="24"/>
        </w:rPr>
        <w:t>;</w:t>
      </w:r>
      <w:r>
        <w:rPr>
          <w:rFonts w:hint="eastAsia"/>
          <w:b/>
          <w:bCs/>
          <w:sz w:val="24"/>
          <w:szCs w:val="24"/>
        </w:rPr>
        <w:t>在英国</w:t>
      </w:r>
      <w:r>
        <w:rPr>
          <w:rFonts w:hint="eastAsia" w:ascii="方正书宋_GBK" w:hAnsi="方正书宋_GBK"/>
          <w:b/>
          <w:bCs/>
          <w:sz w:val="24"/>
          <w:szCs w:val="24"/>
          <w:lang w:eastAsia="zh-CN"/>
        </w:rPr>
        <w:t>，</w:t>
      </w:r>
      <w:r>
        <w:rPr>
          <w:rFonts w:hint="eastAsia"/>
          <w:b/>
          <w:bCs/>
          <w:sz w:val="24"/>
          <w:szCs w:val="24"/>
        </w:rPr>
        <w:t>最富的</w:t>
      </w:r>
      <w:r>
        <w:rPr>
          <w:b/>
          <w:bCs/>
          <w:sz w:val="24"/>
          <w:szCs w:val="24"/>
        </w:rPr>
        <w:t>20%</w:t>
      </w:r>
      <w:r>
        <w:rPr>
          <w:rFonts w:hint="eastAsia"/>
          <w:b/>
          <w:bCs/>
          <w:sz w:val="24"/>
          <w:szCs w:val="24"/>
        </w:rPr>
        <w:t>的人所占有的财富</w:t>
      </w:r>
      <w:r>
        <w:rPr>
          <w:rFonts w:hint="eastAsia" w:ascii="方正书宋_GBK" w:hAnsi="方正书宋_GBK"/>
          <w:b/>
          <w:bCs/>
          <w:sz w:val="24"/>
          <w:szCs w:val="24"/>
          <w:lang w:eastAsia="zh-CN"/>
        </w:rPr>
        <w:t>，</w:t>
      </w:r>
      <w:r>
        <w:rPr>
          <w:rFonts w:hint="eastAsia"/>
          <w:b/>
          <w:bCs/>
          <w:sz w:val="24"/>
          <w:szCs w:val="24"/>
        </w:rPr>
        <w:t>是最穷的</w:t>
      </w:r>
      <w:r>
        <w:rPr>
          <w:b/>
          <w:bCs/>
          <w:sz w:val="24"/>
          <w:szCs w:val="24"/>
        </w:rPr>
        <w:t>20%</w:t>
      </w:r>
      <w:r>
        <w:rPr>
          <w:rFonts w:hint="eastAsia"/>
          <w:b/>
          <w:bCs/>
          <w:sz w:val="24"/>
          <w:szCs w:val="24"/>
        </w:rPr>
        <w:t>的人所占有财富的</w:t>
      </w:r>
      <w:r>
        <w:rPr>
          <w:b/>
          <w:bCs/>
          <w:sz w:val="24"/>
          <w:szCs w:val="24"/>
        </w:rPr>
        <w:t>10</w:t>
      </w:r>
      <w:r>
        <w:rPr>
          <w:rFonts w:hint="eastAsia"/>
          <w:b/>
          <w:bCs/>
          <w:sz w:val="24"/>
          <w:szCs w:val="24"/>
        </w:rPr>
        <w:t>倍。如果来看一下全球范围内的两极分化现象</w:t>
      </w:r>
      <w:r>
        <w:rPr>
          <w:rFonts w:hint="eastAsia" w:ascii="方正书宋_GBK" w:hAnsi="方正书宋_GBK"/>
          <w:b/>
          <w:bCs/>
          <w:sz w:val="24"/>
          <w:szCs w:val="24"/>
          <w:lang w:eastAsia="zh-CN"/>
        </w:rPr>
        <w:t>，</w:t>
      </w:r>
      <w:r>
        <w:rPr>
          <w:rFonts w:hint="eastAsia"/>
          <w:b/>
          <w:bCs/>
          <w:sz w:val="24"/>
          <w:szCs w:val="24"/>
        </w:rPr>
        <w:t>那就更是触目惊心。比如</w:t>
      </w:r>
      <w:r>
        <w:rPr>
          <w:rFonts w:hint="eastAsia" w:ascii="方正书宋_GBK" w:hAnsi="方正书宋_GBK"/>
          <w:b/>
          <w:bCs/>
          <w:sz w:val="24"/>
          <w:szCs w:val="24"/>
          <w:lang w:eastAsia="zh-CN"/>
        </w:rPr>
        <w:t>，</w:t>
      </w:r>
      <w:r>
        <w:rPr>
          <w:rFonts w:hint="eastAsia" w:ascii="宋体" w:hAnsi="宋体" w:eastAsia="宋体" w:cs="宋体"/>
          <w:b/>
          <w:bCs/>
          <w:sz w:val="24"/>
          <w:szCs w:val="24"/>
        </w:rPr>
        <w:t>以挪威、美国等十五个国家为代表的高收入国家</w:t>
      </w:r>
      <w:r>
        <w:rPr>
          <w:rFonts w:hint="eastAsia" w:ascii="宋体" w:hAnsi="宋体" w:eastAsia="宋体" w:cs="宋体"/>
          <w:b/>
          <w:bCs/>
          <w:sz w:val="24"/>
          <w:szCs w:val="24"/>
          <w:lang w:eastAsia="zh-CN"/>
        </w:rPr>
        <w:t>，</w:t>
      </w:r>
      <w:r>
        <w:rPr>
          <w:rFonts w:hint="eastAsia" w:ascii="宋体" w:hAnsi="宋体" w:eastAsia="宋体" w:cs="宋体"/>
          <w:b/>
          <w:bCs/>
          <w:sz w:val="24"/>
          <w:szCs w:val="24"/>
        </w:rPr>
        <w:t>与以布隆迪、津巴布韦等十五个国家为代表的低收入国家的人均国民收入的差距，1980年是35.1倍，随后不断扩大，2000年为88.9倍，2006年达到峰值为96.7倍，相比1980年扩大了将近3倍</w:t>
      </w:r>
      <w:r>
        <w:rPr>
          <w:rFonts w:hint="eastAsia" w:ascii="宋体" w:hAnsi="宋体" w:eastAsia="宋体" w:cs="宋体"/>
          <w:b/>
          <w:bCs/>
          <w:sz w:val="24"/>
          <w:szCs w:val="24"/>
          <w:lang w:eastAsia="zh-CN"/>
        </w:rPr>
        <w:t>；</w:t>
      </w:r>
      <w:r>
        <w:rPr>
          <w:rFonts w:hint="eastAsia" w:ascii="宋体" w:hAnsi="宋体" w:eastAsia="宋体" w:cs="宋体"/>
          <w:b/>
          <w:bCs/>
          <w:sz w:val="24"/>
          <w:szCs w:val="24"/>
        </w:rPr>
        <w:t>之后略有回落，2010年为77.4倍，2019年为66.5倍，仍然比1980年扩大了将近一倍。</w:t>
      </w:r>
      <w:r>
        <w:rPr>
          <w:rStyle w:val="20"/>
          <w:rFonts w:hint="eastAsia" w:ascii="宋体" w:hAnsi="宋体" w:eastAsia="宋体" w:cs="宋体"/>
          <w:b/>
          <w:bCs/>
          <w:sz w:val="24"/>
          <w:szCs w:val="24"/>
        </w:rPr>
        <w:footnoteReference w:id="253"/>
      </w:r>
    </w:p>
    <w:p w14:paraId="1BD4ED5B">
      <w:pPr>
        <w:spacing w:line="360" w:lineRule="auto"/>
        <w:rPr>
          <w:b/>
          <w:bCs/>
          <w:sz w:val="24"/>
          <w:szCs w:val="24"/>
        </w:rPr>
      </w:pPr>
      <w:r>
        <w:rPr>
          <w:b/>
          <w:bCs/>
          <w:sz w:val="24"/>
          <w:szCs w:val="24"/>
        </w:rPr>
        <w:t>　　</w:t>
      </w:r>
      <w:r>
        <w:rPr>
          <w:rFonts w:hint="eastAsia"/>
          <w:b/>
          <w:bCs/>
          <w:sz w:val="24"/>
          <w:szCs w:val="24"/>
          <w:lang w:val="en-US" w:eastAsia="zh-CN"/>
        </w:rPr>
        <w:t>第三，</w:t>
      </w:r>
      <w:r>
        <w:rPr>
          <w:rFonts w:hint="eastAsia"/>
          <w:b/>
          <w:bCs/>
          <w:sz w:val="24"/>
          <w:szCs w:val="24"/>
        </w:rPr>
        <w:t>资本主义</w:t>
      </w:r>
      <w:r>
        <w:rPr>
          <w:rFonts w:hint="eastAsia"/>
          <w:b/>
          <w:bCs/>
          <w:sz w:val="24"/>
          <w:szCs w:val="24"/>
          <w:lang w:val="en-US" w:eastAsia="zh-CN"/>
        </w:rPr>
        <w:t>各类</w:t>
      </w:r>
      <w:r>
        <w:rPr>
          <w:rFonts w:hint="eastAsia"/>
          <w:b/>
          <w:bCs/>
          <w:sz w:val="24"/>
          <w:szCs w:val="24"/>
        </w:rPr>
        <w:t>危机仍然存在并继续发展。资本主义国家对经济</w:t>
      </w:r>
      <w:r>
        <w:rPr>
          <w:rFonts w:hint="eastAsia"/>
          <w:b/>
          <w:bCs/>
          <w:sz w:val="24"/>
          <w:szCs w:val="24"/>
          <w:lang w:val="en-US" w:eastAsia="zh-CN"/>
        </w:rPr>
        <w:t>社会</w:t>
      </w:r>
      <w:r>
        <w:rPr>
          <w:rFonts w:hint="eastAsia"/>
          <w:b/>
          <w:bCs/>
          <w:sz w:val="24"/>
          <w:szCs w:val="24"/>
        </w:rPr>
        <w:t>的干预在一定的程度上可以缓解经济</w:t>
      </w:r>
      <w:r>
        <w:rPr>
          <w:rFonts w:hint="eastAsia"/>
          <w:b/>
          <w:bCs/>
          <w:sz w:val="24"/>
          <w:szCs w:val="24"/>
          <w:lang w:eastAsia="zh-CN"/>
        </w:rPr>
        <w:t>、</w:t>
      </w:r>
      <w:r>
        <w:rPr>
          <w:rFonts w:hint="eastAsia"/>
          <w:b/>
          <w:bCs/>
          <w:sz w:val="24"/>
          <w:szCs w:val="24"/>
          <w:lang w:val="en-US" w:eastAsia="zh-CN"/>
        </w:rPr>
        <w:t>社会、政治和文化等</w:t>
      </w:r>
      <w:r>
        <w:rPr>
          <w:rFonts w:hint="eastAsia"/>
          <w:b/>
          <w:bCs/>
          <w:sz w:val="24"/>
          <w:szCs w:val="24"/>
        </w:rPr>
        <w:t>危机</w:t>
      </w:r>
      <w:r>
        <w:rPr>
          <w:rFonts w:hint="eastAsia" w:ascii="方正书宋_GBK" w:hAnsi="方正书宋_GBK"/>
          <w:b/>
          <w:bCs/>
          <w:sz w:val="24"/>
          <w:szCs w:val="24"/>
          <w:lang w:eastAsia="zh-CN"/>
        </w:rPr>
        <w:t>，</w:t>
      </w:r>
      <w:r>
        <w:rPr>
          <w:rFonts w:hint="eastAsia"/>
          <w:b/>
          <w:bCs/>
          <w:sz w:val="24"/>
          <w:szCs w:val="24"/>
        </w:rPr>
        <w:t>但却没有也不可能从根本上消灭各类危机。</w:t>
      </w:r>
      <w:r>
        <w:rPr>
          <w:rFonts w:hint="eastAsia"/>
          <w:b/>
          <w:bCs/>
          <w:sz w:val="24"/>
          <w:szCs w:val="24"/>
          <w:lang w:val="en-US" w:eastAsia="zh-CN"/>
        </w:rPr>
        <w:t>20世纪</w:t>
      </w:r>
      <w:r>
        <w:rPr>
          <w:b/>
          <w:bCs/>
          <w:sz w:val="24"/>
          <w:szCs w:val="24"/>
        </w:rPr>
        <w:t>70</w:t>
      </w:r>
      <w:r>
        <w:rPr>
          <w:rFonts w:hint="eastAsia"/>
          <w:b/>
          <w:bCs/>
          <w:sz w:val="24"/>
          <w:szCs w:val="24"/>
        </w:rPr>
        <w:t>年代以来频繁爆发的石油危机</w:t>
      </w:r>
      <w:r>
        <w:rPr>
          <w:rFonts w:hint="eastAsia" w:ascii="方正书宋_GBK" w:hAnsi="方正书宋_GBK"/>
          <w:b/>
          <w:bCs/>
          <w:sz w:val="24"/>
          <w:szCs w:val="24"/>
          <w:lang w:eastAsia="zh-CN"/>
        </w:rPr>
        <w:t>，</w:t>
      </w:r>
      <w:r>
        <w:rPr>
          <w:rFonts w:hint="eastAsia"/>
          <w:b/>
          <w:bCs/>
          <w:sz w:val="24"/>
          <w:szCs w:val="24"/>
        </w:rPr>
        <w:t>明显暴露了资本主义经济制度在对付外来冲击方面的脆弱</w:t>
      </w:r>
      <w:r>
        <w:rPr>
          <w:rFonts w:hint="eastAsia"/>
          <w:b/>
          <w:bCs/>
          <w:sz w:val="24"/>
          <w:szCs w:val="24"/>
          <w:lang w:eastAsia="zh-CN"/>
        </w:rPr>
        <w:t>；</w:t>
      </w:r>
      <w:r>
        <w:rPr>
          <w:b/>
          <w:bCs/>
          <w:sz w:val="24"/>
          <w:szCs w:val="24"/>
        </w:rPr>
        <w:t>90</w:t>
      </w:r>
      <w:r>
        <w:rPr>
          <w:rFonts w:hint="eastAsia"/>
          <w:b/>
          <w:bCs/>
          <w:sz w:val="24"/>
          <w:szCs w:val="24"/>
        </w:rPr>
        <w:t>年代以来频繁爆发的金融危机</w:t>
      </w:r>
      <w:r>
        <w:rPr>
          <w:rFonts w:hint="eastAsia" w:ascii="方正书宋_GBK" w:hAnsi="方正书宋_GBK"/>
          <w:b/>
          <w:bCs/>
          <w:sz w:val="24"/>
          <w:szCs w:val="24"/>
          <w:lang w:eastAsia="zh-CN"/>
        </w:rPr>
        <w:t>，</w:t>
      </w:r>
      <w:r>
        <w:rPr>
          <w:rFonts w:hint="eastAsia"/>
          <w:b/>
          <w:bCs/>
          <w:sz w:val="24"/>
          <w:szCs w:val="24"/>
        </w:rPr>
        <w:t>则明显暴露了资本主义经济制度内部的重大缺陷；美国等国家时常爆发的财政危机又明显暴露了资本主义经济和政治制度的内在痼疾</w:t>
      </w:r>
      <w:r>
        <w:rPr>
          <w:rFonts w:hint="eastAsia"/>
          <w:b/>
          <w:bCs/>
          <w:sz w:val="24"/>
          <w:szCs w:val="24"/>
          <w:lang w:eastAsia="zh-CN"/>
        </w:rPr>
        <w:t>；</w:t>
      </w:r>
      <w:r>
        <w:rPr>
          <w:rFonts w:hint="eastAsia"/>
          <w:b/>
          <w:bCs/>
          <w:sz w:val="24"/>
          <w:szCs w:val="24"/>
          <w:lang w:val="en-US" w:eastAsia="zh-CN"/>
        </w:rPr>
        <w:t>2020年初开始大爆发的新冠病毒疫情，也充分暴露了整个资本主义世界的医卫、经济、文化和政治的治理弱能和制度弊端</w:t>
      </w:r>
      <w:r>
        <w:rPr>
          <w:rFonts w:hint="eastAsia"/>
          <w:b/>
          <w:bCs/>
          <w:sz w:val="24"/>
          <w:szCs w:val="24"/>
        </w:rPr>
        <w:t>。各类危机意味着</w:t>
      </w:r>
      <w:r>
        <w:rPr>
          <w:rFonts w:hint="eastAsia"/>
          <w:b/>
          <w:bCs/>
          <w:sz w:val="24"/>
          <w:szCs w:val="24"/>
          <w:lang w:val="en-US" w:eastAsia="zh-CN"/>
        </w:rPr>
        <w:t>私有化的经济基础、金钱化的政治制度、自私化的价值观念、侵略性的军事力量等，均会严重</w:t>
      </w:r>
      <w:r>
        <w:rPr>
          <w:rFonts w:ascii="方正书宋_GBK" w:hAnsi="方正书宋_GBK"/>
          <w:b/>
          <w:bCs/>
          <w:sz w:val="24"/>
          <w:szCs w:val="24"/>
        </w:rPr>
        <w:t>影响</w:t>
      </w:r>
      <w:r>
        <w:rPr>
          <w:rFonts w:hint="eastAsia" w:ascii="方正书宋_GBK" w:hAnsi="方正书宋_GBK"/>
          <w:b/>
          <w:bCs/>
          <w:sz w:val="24"/>
          <w:szCs w:val="24"/>
          <w:lang w:val="en-US" w:eastAsia="zh-CN"/>
        </w:rPr>
        <w:t>人民生活提升、国家健康发展和</w:t>
      </w:r>
      <w:r>
        <w:rPr>
          <w:rFonts w:ascii="方正书宋_GBK" w:hAnsi="方正书宋_GBK"/>
          <w:b/>
          <w:bCs/>
          <w:sz w:val="24"/>
          <w:szCs w:val="24"/>
        </w:rPr>
        <w:t>社会矛盾激化</w:t>
      </w:r>
      <w:r>
        <w:rPr>
          <w:rFonts w:hint="eastAsia" w:ascii="方正书宋_GBK" w:hAnsi="方正书宋_GBK"/>
          <w:b/>
          <w:bCs/>
          <w:sz w:val="24"/>
          <w:szCs w:val="24"/>
        </w:rPr>
        <w:t>，</w:t>
      </w:r>
      <w:r>
        <w:rPr>
          <w:rFonts w:hint="eastAsia"/>
          <w:b/>
          <w:bCs/>
          <w:sz w:val="24"/>
          <w:szCs w:val="24"/>
        </w:rPr>
        <w:t>充分说明了资本主义生产关系和上层建筑对生产力发展的</w:t>
      </w:r>
      <w:r>
        <w:rPr>
          <w:rFonts w:hint="eastAsia"/>
          <w:b/>
          <w:bCs/>
          <w:sz w:val="24"/>
          <w:szCs w:val="24"/>
          <w:lang w:val="en-US" w:eastAsia="zh-CN"/>
        </w:rPr>
        <w:t>严重</w:t>
      </w:r>
      <w:r>
        <w:rPr>
          <w:rFonts w:hint="eastAsia"/>
          <w:b/>
          <w:bCs/>
          <w:sz w:val="24"/>
          <w:szCs w:val="24"/>
        </w:rPr>
        <w:t>阻碍。</w:t>
      </w:r>
    </w:p>
    <w:p w14:paraId="33F78B7F">
      <w:pPr>
        <w:spacing w:line="360" w:lineRule="auto"/>
        <w:rPr>
          <w:rFonts w:ascii="Arial" w:hAnsi="Arial" w:cs="Arial"/>
          <w:b/>
          <w:bCs/>
          <w:color w:val="333333"/>
          <w:sz w:val="24"/>
          <w:szCs w:val="24"/>
          <w:shd w:val="clear" w:color="auto" w:fill="FFFFFF"/>
        </w:rPr>
      </w:pPr>
      <w:r>
        <w:rPr>
          <w:b/>
          <w:bCs/>
          <w:sz w:val="24"/>
          <w:szCs w:val="24"/>
        </w:rPr>
        <w:t>　　</w:t>
      </w:r>
      <w:r>
        <w:rPr>
          <w:rFonts w:hint="eastAsia"/>
          <w:b/>
          <w:bCs/>
          <w:sz w:val="24"/>
          <w:szCs w:val="24"/>
          <w:lang w:val="en-US" w:eastAsia="zh-CN"/>
        </w:rPr>
        <w:t>第四，</w:t>
      </w:r>
      <w:r>
        <w:rPr>
          <w:rFonts w:hint="eastAsia"/>
          <w:b/>
          <w:bCs/>
          <w:sz w:val="24"/>
          <w:szCs w:val="24"/>
        </w:rPr>
        <w:t>历史印证了上述分析的</w:t>
      </w:r>
      <w:r>
        <w:rPr>
          <w:rFonts w:hint="eastAsia"/>
          <w:b/>
          <w:bCs/>
          <w:sz w:val="24"/>
          <w:szCs w:val="24"/>
          <w:lang w:val="en-US" w:eastAsia="zh-CN"/>
        </w:rPr>
        <w:t>客观性和</w:t>
      </w:r>
      <w:r>
        <w:rPr>
          <w:rFonts w:hint="eastAsia"/>
          <w:b/>
          <w:bCs/>
          <w:sz w:val="24"/>
          <w:szCs w:val="24"/>
        </w:rPr>
        <w:t>科学性。</w:t>
      </w:r>
      <w:r>
        <w:rPr>
          <w:rFonts w:ascii="方正书宋_GBK" w:hAnsi="方正书宋_GBK"/>
          <w:b/>
          <w:bCs/>
          <w:sz w:val="24"/>
          <w:szCs w:val="24"/>
        </w:rPr>
        <w:t>以</w:t>
      </w:r>
      <w:r>
        <w:rPr>
          <w:rFonts w:hint="eastAsia" w:ascii="方正书宋_GBK" w:hAnsi="方正书宋_GBK"/>
          <w:b/>
          <w:bCs/>
          <w:sz w:val="24"/>
          <w:szCs w:val="24"/>
        </w:rPr>
        <w:t>1825年英国第一次爆发经济危机、</w:t>
      </w:r>
      <w:r>
        <w:rPr>
          <w:rFonts w:hint="eastAsia" w:ascii="Arial" w:hAnsi="Arial" w:cs="Arial"/>
          <w:b/>
          <w:bCs/>
          <w:color w:val="333333"/>
          <w:sz w:val="24"/>
          <w:szCs w:val="24"/>
          <w:shd w:val="clear" w:color="auto" w:fill="FFFFFF"/>
        </w:rPr>
        <w:t>19世纪30年代第一次产业革命在英国等资本主义国家基本完成、英法德三国工人阶级大规模罢工或起义为标准，马克思恩格斯在《共产党宣言》和《资本论》第一卷揭示和宣布：资本主义基本矛盾导致生产力与资本主义生产关系已经冲突（表现为生产关系严重阻碍生产力发展，但不等于阻碍到生产力完全停止发展），无产阶级革命的客观经济基础已经成熟，资本主义丧钟敲响了！不过，如果革命的主观条件不具备，即没有高水平的工人阶级政党、领袖和正确的战略策略，革命便不会立即成功。1871年巴黎公社起义也标志着法国资本主义丧钟敲响了，但没有敲死的原因在于军事和政治政策失误，而不是革命缺乏客观经济基础。</w:t>
      </w:r>
    </w:p>
    <w:p w14:paraId="68866A36">
      <w:pPr>
        <w:spacing w:line="360" w:lineRule="auto"/>
        <w:ind w:firstLine="480" w:firstLineChars="200"/>
        <w:rPr>
          <w:b/>
          <w:bCs/>
          <w:sz w:val="24"/>
          <w:szCs w:val="24"/>
        </w:rPr>
      </w:pPr>
      <w:r>
        <w:rPr>
          <w:rFonts w:hint="eastAsia" w:ascii="Arial" w:hAnsi="Arial" w:cs="Arial"/>
          <w:b/>
          <w:bCs/>
          <w:color w:val="333333"/>
          <w:sz w:val="24"/>
          <w:szCs w:val="24"/>
          <w:shd w:val="clear" w:color="auto" w:fill="FFFFFF"/>
        </w:rPr>
        <w:t>随后，以</w:t>
      </w:r>
      <w:r>
        <w:rPr>
          <w:rFonts w:ascii="Arial" w:hAnsi="Arial" w:cs="Arial"/>
          <w:b/>
          <w:bCs/>
          <w:color w:val="333333"/>
          <w:sz w:val="24"/>
          <w:szCs w:val="24"/>
          <w:shd w:val="clear" w:color="auto" w:fill="FFFFFF"/>
        </w:rPr>
        <w:t>1857年第一次世界性经济危机首先在美国爆发</w:t>
      </w:r>
      <w:r>
        <w:rPr>
          <w:rFonts w:hint="eastAsia" w:ascii="Arial" w:hAnsi="Arial" w:cs="Arial"/>
          <w:b/>
          <w:bCs/>
          <w:color w:val="333333"/>
          <w:sz w:val="24"/>
          <w:szCs w:val="24"/>
          <w:shd w:val="clear" w:color="auto" w:fill="FFFFFF"/>
        </w:rPr>
        <w:t>、1873年世界性经济危机促使自由资本主义向垄断资本主义过渡、一直到19十九世纪末20世纪初基本形成垄断资本主义为标志，列宁揭示和宣布：垄断资本主义具有寄生性或腐朽性、过渡性或垂死性，世界处于帝国主义和无产阶级革命的时代，而帝国主义时代的经济政治发展不平衡规律使革命有可能在一国或数国首先胜利！由于列宁领导的无产阶级政党具有正确的战略策略，因而十几年后的1917年爆发的十月革命，就很快敲死了军事封建帝国主义国家的沙俄。以后，毛泽东领导的无产阶级政党具有正确的战略策略，因而二十几年后就敲死了资产阶级统治的半封建半殖民地中国（二战后中国呈现为封建的、买办的国家垄断资本主义状态）。上世纪15个共产党领导的社会主义国家存在的历史，印证了上述理论，而戈尔巴乔夫、叶利钦领导的共产党主动背叛马克思主义，导致苏联和东欧社会主义国家倒退到资本主义国家，同样印证了上述理论，并表明社会主义及其经济制度发展的曲折性和艰难性，但改变不了</w:t>
      </w:r>
      <w:r>
        <w:rPr>
          <w:rFonts w:hint="eastAsia" w:ascii="Arial" w:hAnsi="Arial" w:cs="Arial"/>
          <w:b/>
          <w:bCs/>
          <w:color w:val="333333"/>
          <w:sz w:val="24"/>
          <w:szCs w:val="24"/>
          <w:shd w:val="clear" w:color="auto" w:fill="FFFFFF"/>
          <w:lang w:val="en-US" w:eastAsia="zh-CN"/>
        </w:rPr>
        <w:t>大</w:t>
      </w:r>
      <w:r>
        <w:rPr>
          <w:rFonts w:hint="eastAsia" w:ascii="Arial" w:hAnsi="Arial" w:cs="Arial"/>
          <w:b/>
          <w:bCs/>
          <w:color w:val="333333"/>
          <w:sz w:val="24"/>
          <w:szCs w:val="24"/>
          <w:shd w:val="clear" w:color="auto" w:fill="FFFFFF"/>
        </w:rPr>
        <w:t>时代的性质和大趋势。</w:t>
      </w:r>
    </w:p>
    <w:p w14:paraId="035B1BB0">
      <w:pPr>
        <w:pStyle w:val="11"/>
        <w:snapToGrid w:val="0"/>
        <w:spacing w:line="360" w:lineRule="auto"/>
        <w:ind w:firstLine="480" w:firstLineChars="200"/>
        <w:rPr>
          <w:rFonts w:hint="eastAsia" w:eastAsia="宋体"/>
          <w:b/>
          <w:bCs/>
          <w:color w:val="auto"/>
          <w:sz w:val="24"/>
          <w:szCs w:val="24"/>
          <w:lang w:val="en-US" w:eastAsia="zh-CN"/>
        </w:rPr>
      </w:pPr>
      <w:r>
        <w:rPr>
          <w:rFonts w:hint="eastAsia" w:ascii="宋体" w:hAnsi="宋体" w:eastAsia="宋体" w:cs="宋体"/>
          <w:b/>
          <w:bCs/>
          <w:color w:val="auto"/>
          <w:sz w:val="24"/>
          <w:szCs w:val="24"/>
          <w:lang w:val="en-US" w:eastAsia="zh-CN"/>
        </w:rPr>
        <w:t>第五，顺便更深一步地表达一个相关观点。笔者在研究中形成的新马克思经济学综合学派和新唯物史观认为，在英国机器大生产占主导地位而发生的经济危机表明资本主义基本经济矛盾冲突以后，全球任何国家的无产阶级政党都可以运用马克思主义理论，在前社会主义的任何社会中进行革命，革命成功后再大力发展生产力，逐步向社会主义社会过渡，因而可以跨越各种剥削社会的“卡夫丁峡谷”。其缘由在于，在19世纪20—40年代，英国爆发两次经济危机，英法德三国工人阶级开展反对资产阶级和资本主义的剥削压迫，已表明这些先进生产力国家的资本主义经济关系已开始与本国生产力迅速大发展冲突了，那么一切前社会主义的社会形态及其经济关系均不适应机器大生产的先进生产力，这就为无产阶级革命及其胜利奠定了底线的客观经济基础和经济条件。可见，包括中国共产党在内的各国无产阶级政党的革命</w:t>
      </w:r>
      <w:r>
        <w:rPr>
          <w:rFonts w:hint="eastAsia" w:eastAsia="宋体"/>
          <w:b/>
          <w:bCs/>
          <w:color w:val="auto"/>
          <w:sz w:val="24"/>
          <w:szCs w:val="24"/>
          <w:lang w:val="en-US" w:eastAsia="zh-CN"/>
        </w:rPr>
        <w:t>根本不存在“搞早了”的问题。</w:t>
      </w:r>
    </w:p>
    <w:p w14:paraId="7035A775">
      <w:pPr>
        <w:spacing w:line="360" w:lineRule="auto"/>
        <w:rPr>
          <w:rFonts w:hint="eastAsia"/>
          <w:b/>
          <w:bCs/>
          <w:color w:val="auto"/>
          <w:sz w:val="24"/>
          <w:szCs w:val="24"/>
          <w:lang w:val="en-US" w:eastAsia="zh-CN"/>
        </w:rPr>
      </w:pPr>
      <w:r>
        <w:rPr>
          <w:rFonts w:hint="eastAsia"/>
          <w:b/>
          <w:bCs/>
          <w:color w:val="auto"/>
          <w:sz w:val="24"/>
          <w:szCs w:val="24"/>
          <w:lang w:val="en-US" w:eastAsia="zh-CN"/>
        </w:rPr>
        <w:t xml:space="preserve">      总而言之，列宁主义不仅指导苏俄无产阶级革命和建设取得了胜利，是马克思主义苏俄化理论，而且一直指导国际无产阶级革命和建设，是与马克思恩格斯主义并列的国际马克思主义理论。而21世纪世界级马列主义依然具有极大的当代价值和“在场性”！</w:t>
      </w:r>
    </w:p>
    <w:p w14:paraId="3DD49B2D">
      <w:pPr>
        <w:spacing w:line="360" w:lineRule="auto"/>
        <w:rPr>
          <w:rFonts w:hint="eastAsia"/>
          <w:b/>
          <w:bCs/>
          <w:color w:val="auto"/>
          <w:sz w:val="24"/>
          <w:szCs w:val="24"/>
          <w:lang w:val="en-US" w:eastAsia="zh-CN"/>
        </w:rPr>
      </w:pPr>
    </w:p>
    <w:p w14:paraId="5B693AB0">
      <w:pPr>
        <w:spacing w:line="360" w:lineRule="auto"/>
        <w:rPr>
          <w:rFonts w:hint="default"/>
          <w:b/>
          <w:bCs/>
          <w:color w:val="auto"/>
          <w:sz w:val="24"/>
          <w:szCs w:val="24"/>
          <w:lang w:val="en-US" w:eastAsia="zh-CN"/>
        </w:rPr>
      </w:pPr>
      <w:r>
        <w:rPr>
          <w:rFonts w:hint="eastAsia"/>
          <w:b/>
          <w:bCs/>
          <w:color w:val="auto"/>
          <w:sz w:val="24"/>
          <w:szCs w:val="24"/>
          <w:lang w:val="en-US" w:eastAsia="zh-CN"/>
        </w:rPr>
        <w:t>（原载《政治经济学研究》2022年第一期。）</w:t>
      </w:r>
    </w:p>
    <w:p w14:paraId="1CC4A0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3C0D88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78303161">
      <w:pPr>
        <w:spacing w:before="156" w:beforeLines="50" w:after="156" w:afterLines="50" w:line="400" w:lineRule="exact"/>
        <w:jc w:val="center"/>
        <w:outlineLvl w:val="1"/>
        <w:rPr>
          <w:rFonts w:ascii="黑体" w:hAnsi="黑体" w:eastAsia="黑体" w:cs="黑体"/>
          <w:color w:val="0D0D0D"/>
          <w:sz w:val="32"/>
          <w:szCs w:val="32"/>
        </w:rPr>
      </w:pPr>
      <w:bookmarkStart w:id="128" w:name="_Toc935735515"/>
      <w:bookmarkStart w:id="129" w:name="_Toc373045874"/>
      <w:bookmarkStart w:id="130" w:name="_Toc559250454"/>
      <w:bookmarkStart w:id="131" w:name="_Toc17225"/>
      <w:bookmarkStart w:id="132" w:name="_Toc138833487"/>
      <w:bookmarkStart w:id="133" w:name="_Toc1010283693"/>
      <w:r>
        <w:rPr>
          <w:rFonts w:hint="eastAsia" w:ascii="黑体" w:hAnsi="黑体" w:eastAsia="黑体" w:cs="黑体"/>
          <w:b/>
          <w:color w:val="0D0D0D"/>
          <w:sz w:val="36"/>
          <w:szCs w:val="36"/>
          <w:lang w:val="en-US" w:eastAsia="zh-CN"/>
        </w:rPr>
        <w:t>14</w:t>
      </w:r>
      <w:r>
        <w:rPr>
          <w:rFonts w:hint="eastAsia" w:ascii="黑体" w:hAnsi="黑体" w:eastAsia="黑体" w:cs="黑体"/>
          <w:b/>
          <w:color w:val="0D0D0D"/>
          <w:sz w:val="36"/>
          <w:szCs w:val="36"/>
        </w:rPr>
        <w:t>中国马克思主义学习型政党建设的</w:t>
      </w:r>
      <w:r>
        <w:rPr>
          <w:rFonts w:hint="eastAsia" w:ascii="黑体" w:hAnsi="黑体" w:eastAsia="黑体" w:cs="黑体"/>
          <w:b/>
          <w:color w:val="0D0D0D"/>
          <w:sz w:val="36"/>
          <w:szCs w:val="36"/>
          <w:lang w:val="en-US" w:eastAsia="zh-CN"/>
        </w:rPr>
        <w:t>历史</w:t>
      </w:r>
      <w:r>
        <w:rPr>
          <w:rFonts w:hint="eastAsia" w:ascii="黑体" w:hAnsi="黑体" w:eastAsia="黑体" w:cs="黑体"/>
          <w:b/>
          <w:color w:val="0D0D0D"/>
          <w:sz w:val="36"/>
          <w:szCs w:val="36"/>
        </w:rPr>
        <w:t>经验与推进路径</w:t>
      </w:r>
      <w:bookmarkEnd w:id="128"/>
      <w:bookmarkEnd w:id="129"/>
      <w:bookmarkEnd w:id="130"/>
      <w:bookmarkEnd w:id="131"/>
      <w:bookmarkEnd w:id="132"/>
      <w:bookmarkEnd w:id="133"/>
    </w:p>
    <w:p w14:paraId="765F4A5F">
      <w:pPr>
        <w:spacing w:line="400" w:lineRule="exact"/>
        <w:ind w:firstLine="560" w:firstLineChars="200"/>
        <w:rPr>
          <w:rFonts w:ascii="楷体" w:hAnsi="楷体" w:cs="楷体"/>
          <w:bCs/>
          <w:color w:val="0D0D0D"/>
          <w:sz w:val="28"/>
          <w:szCs w:val="28"/>
        </w:rPr>
      </w:pPr>
    </w:p>
    <w:p w14:paraId="2E6E1D19">
      <w:pPr>
        <w:spacing w:line="400" w:lineRule="exact"/>
        <w:ind w:firstLine="560" w:firstLineChars="200"/>
        <w:rPr>
          <w:rFonts w:ascii="楷体" w:hAnsi="楷体" w:cs="楷体"/>
          <w:bCs/>
          <w:color w:val="0D0D0D"/>
          <w:sz w:val="28"/>
          <w:szCs w:val="28"/>
        </w:rPr>
      </w:pPr>
    </w:p>
    <w:p w14:paraId="78935390">
      <w:pPr>
        <w:spacing w:line="400" w:lineRule="exact"/>
        <w:ind w:firstLine="420" w:firstLineChars="200"/>
        <w:rPr>
          <w:rFonts w:ascii="楷体" w:hAnsi="楷体" w:cs="楷体"/>
          <w:bCs/>
          <w:color w:val="0D0D0D"/>
          <w:szCs w:val="24"/>
        </w:rPr>
      </w:pPr>
      <w:r>
        <w:rPr>
          <w:rFonts w:hint="eastAsia" w:ascii="黑体" w:hAnsi="黑体" w:eastAsia="黑体" w:cs="黑体"/>
          <w:b/>
          <w:color w:val="0D0D0D"/>
          <w:szCs w:val="24"/>
        </w:rPr>
        <w:t>[摘  要]</w:t>
      </w:r>
      <w:r>
        <w:rPr>
          <w:rFonts w:hint="eastAsia" w:ascii="楷体" w:hAnsi="楷体" w:cs="楷体"/>
          <w:bCs/>
          <w:color w:val="0D0D0D"/>
          <w:szCs w:val="24"/>
        </w:rPr>
        <w:t>中国马克思主义学习型政党百年建设经历了改造学习、重新学习、带头学习和革新学习的历史阶段。百年经验包括：始终坚持学习马克思主义与指导中国具体实践的统一；始终坚持学习马克思主义与服务于政治大局的统一；始终坚持学习马克思主义与发展马克思主义的统一；始终坚持学习马克思主义与批判非马克思主义的统一。新时代中国马克思主义学习型政党建设的推进路径在于：科学理论武装，践行习近平新时代中国特色社会主义思想；善于把握规律，立足新时代中国特色社会主义现实；坚持世界眼光，提高新时代中国共产党治国理政水平；富有创新精神，不断开辟马克思主义理论发展新境界。</w:t>
      </w:r>
    </w:p>
    <w:p w14:paraId="0016A0AE">
      <w:pPr>
        <w:adjustRightInd w:val="0"/>
        <w:snapToGrid w:val="0"/>
        <w:spacing w:line="400" w:lineRule="exact"/>
        <w:ind w:firstLine="420" w:firstLineChars="200"/>
        <w:rPr>
          <w:rFonts w:ascii="楷体" w:hAnsi="楷体" w:cs="楷体"/>
          <w:bCs/>
          <w:color w:val="0D0D0D"/>
          <w:szCs w:val="24"/>
        </w:rPr>
      </w:pPr>
      <w:r>
        <w:rPr>
          <w:rFonts w:hint="eastAsia" w:ascii="黑体" w:hAnsi="黑体" w:eastAsia="黑体" w:cs="黑体"/>
          <w:b/>
          <w:color w:val="0D0D0D"/>
          <w:szCs w:val="24"/>
        </w:rPr>
        <w:t>[关键词]</w:t>
      </w:r>
      <w:r>
        <w:rPr>
          <w:rFonts w:hint="eastAsia" w:ascii="楷体" w:hAnsi="楷体" w:cs="楷体"/>
          <w:bCs/>
          <w:color w:val="0D0D0D"/>
          <w:szCs w:val="24"/>
        </w:rPr>
        <w:t>中国共产党；学习型政党；党的建设；马克思主义中国化理论</w:t>
      </w:r>
    </w:p>
    <w:p w14:paraId="31B40778">
      <w:pPr>
        <w:adjustRightInd w:val="0"/>
        <w:snapToGrid w:val="0"/>
        <w:spacing w:line="400" w:lineRule="exact"/>
        <w:ind w:firstLine="420" w:firstLineChars="200"/>
        <w:rPr>
          <w:rFonts w:ascii="楷体" w:hAnsi="楷体" w:cs="楷体"/>
          <w:bCs/>
          <w:color w:val="0D0D0D"/>
          <w:szCs w:val="24"/>
        </w:rPr>
      </w:pPr>
      <w:r>
        <w:rPr>
          <w:rFonts w:hint="eastAsia" w:ascii="黑体" w:hAnsi="黑体" w:eastAsia="黑体" w:cs="黑体"/>
          <w:b/>
          <w:color w:val="0D0D0D"/>
          <w:szCs w:val="24"/>
        </w:rPr>
        <w:t>[基金项目]</w:t>
      </w:r>
      <w:r>
        <w:rPr>
          <w:rFonts w:hint="eastAsia" w:ascii="Calibri" w:hAnsi="Calibri" w:eastAsia="宋体" w:cs="Times New Roman"/>
          <w:color w:val="0D0D0D"/>
          <w:sz w:val="21"/>
          <w:szCs w:val="24"/>
        </w:rPr>
        <w:t xml:space="preserve"> </w:t>
      </w:r>
      <w:r>
        <w:rPr>
          <w:rFonts w:hint="eastAsia" w:ascii="楷体" w:hAnsi="楷体" w:cs="楷体"/>
          <w:bCs/>
          <w:color w:val="0D0D0D"/>
          <w:szCs w:val="24"/>
        </w:rPr>
        <w:t>上海市教育科学研究项目：基于意识形态安全的高校防范极端宗教问题研究（C2-2020071）。</w:t>
      </w:r>
    </w:p>
    <w:p w14:paraId="6C5E5A47">
      <w:pPr>
        <w:widowControl/>
        <w:spacing w:line="400" w:lineRule="exact"/>
        <w:rPr>
          <w:rFonts w:hint="eastAsia" w:ascii="宋体" w:hAnsi="宋体" w:eastAsia="宋体" w:cs="宋体"/>
          <w:b w:val="0"/>
          <w:bCs w:val="0"/>
          <w:color w:val="auto"/>
          <w:kern w:val="0"/>
          <w:sz w:val="30"/>
          <w:szCs w:val="30"/>
        </w:rPr>
      </w:pPr>
    </w:p>
    <w:p w14:paraId="1311C7E9">
      <w:pPr>
        <w:widowControl/>
        <w:spacing w:line="400" w:lineRule="exact"/>
        <w:rPr>
          <w:rFonts w:hint="eastAsia" w:ascii="宋体" w:hAnsi="宋体" w:eastAsia="宋体" w:cs="宋体"/>
          <w:b w:val="0"/>
          <w:bCs w:val="0"/>
          <w:color w:val="auto"/>
          <w:kern w:val="0"/>
          <w:sz w:val="30"/>
          <w:szCs w:val="30"/>
        </w:rPr>
      </w:pPr>
    </w:p>
    <w:p w14:paraId="09778C01">
      <w:pPr>
        <w:widowControl/>
        <w:spacing w:line="360" w:lineRule="auto"/>
        <w:ind w:firstLine="630" w:firstLineChars="300"/>
        <w:jc w:val="left"/>
        <w:rPr>
          <w:rFonts w:hint="eastAsia" w:ascii="宋体" w:hAnsi="宋体" w:eastAsia="宋体" w:cs="宋体"/>
          <w:b w:val="0"/>
          <w:bCs w:val="0"/>
          <w:color w:val="auto"/>
          <w:szCs w:val="24"/>
        </w:rPr>
      </w:pPr>
      <w:r>
        <w:rPr>
          <w:rFonts w:hint="eastAsia" w:ascii="宋体" w:hAnsi="宋体" w:eastAsia="宋体" w:cs="宋体"/>
          <w:b w:val="0"/>
          <w:bCs w:val="0"/>
          <w:color w:val="auto"/>
          <w:kern w:val="0"/>
          <w:szCs w:val="24"/>
          <w:lang w:val="en-US" w:eastAsia="zh-CN"/>
        </w:rPr>
        <w:t>习近平总书记</w:t>
      </w:r>
      <w:r>
        <w:rPr>
          <w:rFonts w:hint="eastAsia" w:ascii="宋体" w:hAnsi="宋体" w:eastAsia="宋体" w:cs="宋体"/>
          <w:b w:val="0"/>
          <w:bCs w:val="0"/>
          <w:color w:val="auto"/>
          <w:kern w:val="0"/>
          <w:szCs w:val="24"/>
        </w:rPr>
        <w:t>讲话中指出：“</w:t>
      </w:r>
      <w:r>
        <w:rPr>
          <w:rFonts w:hint="eastAsia" w:ascii="宋体" w:hAnsi="宋体" w:eastAsia="宋体" w:cs="宋体"/>
          <w:b w:val="0"/>
          <w:bCs w:val="0"/>
          <w:color w:val="auto"/>
          <w:szCs w:val="24"/>
        </w:rPr>
        <w:t>一百年前，一群新青年高举马克思主义思想火炬，在风雨如晦的中国苦苦探寻民族复兴的前途。</w:t>
      </w:r>
      <w:r>
        <w:rPr>
          <w:rFonts w:hint="eastAsia" w:ascii="宋体" w:hAnsi="宋体" w:eastAsia="宋体" w:cs="宋体"/>
          <w:b w:val="0"/>
          <w:bCs w:val="0"/>
          <w:color w:val="auto"/>
          <w:kern w:val="0"/>
          <w:szCs w:val="24"/>
        </w:rPr>
        <w:t>”“</w:t>
      </w:r>
      <w:r>
        <w:rPr>
          <w:rFonts w:hint="eastAsia" w:ascii="宋体" w:hAnsi="宋体" w:eastAsia="宋体" w:cs="宋体"/>
          <w:b w:val="0"/>
          <w:bCs w:val="0"/>
          <w:color w:val="auto"/>
          <w:szCs w:val="24"/>
        </w:rPr>
        <w:t>中国共产党为什么能，中国特色社会主义为什么好，归根到底是因为马克思主义行！</w:t>
      </w:r>
      <w:r>
        <w:rPr>
          <w:rFonts w:hint="eastAsia" w:ascii="宋体" w:hAnsi="宋体" w:eastAsia="宋体" w:cs="宋体"/>
          <w:b w:val="0"/>
          <w:bCs w:val="0"/>
          <w:color w:val="auto"/>
          <w:kern w:val="0"/>
          <w:szCs w:val="24"/>
        </w:rPr>
        <w:t>”这是第一次阐明了</w:t>
      </w:r>
      <w:r>
        <w:rPr>
          <w:rFonts w:hint="eastAsia" w:ascii="宋体" w:hAnsi="宋体" w:eastAsia="宋体" w:cs="宋体"/>
          <w:b w:val="0"/>
          <w:bCs w:val="0"/>
          <w:color w:val="auto"/>
          <w:kern w:val="0"/>
          <w:szCs w:val="24"/>
          <w:lang w:bidi="ar"/>
        </w:rPr>
        <w:t xml:space="preserve">三者关系。因此，我们学者要继续从学理上分析一、以马克思主义为指导的中国共产党为什么能？ 二、基于马克思主义的中国特色社会主义为什么好？ 三、要继续守正创新马克思主义。当然这里说的马克思主义，都是指马列主义或中国化理论。 </w:t>
      </w:r>
    </w:p>
    <w:p w14:paraId="7D5063F2">
      <w:pPr>
        <w:spacing w:line="560" w:lineRule="exact"/>
        <w:ind w:firstLine="420" w:firstLineChars="200"/>
        <w:rPr>
          <w:rFonts w:ascii="宋体" w:hAnsi="宋体" w:eastAsia="宋体" w:cs="宋体"/>
          <w:color w:val="0D0D0D"/>
          <w:kern w:val="0"/>
          <w:szCs w:val="24"/>
        </w:rPr>
      </w:pPr>
      <w:r>
        <w:rPr>
          <w:rFonts w:hint="eastAsia" w:ascii="宋体" w:hAnsi="宋体" w:eastAsia="宋体" w:cs="宋体"/>
          <w:b w:val="0"/>
          <w:bCs w:val="0"/>
          <w:color w:val="auto"/>
          <w:kern w:val="0"/>
          <w:szCs w:val="24"/>
        </w:rPr>
        <w:t>中国共产党始终是一个高度重视学习和善于学习、灵活运用的马克思主义政党，始终把学习马克思主义，特别是学习和践行中国化马克思主义的最新成果，作为党的建设伟大工程的重大举措。</w:t>
      </w:r>
      <w:r>
        <w:rPr>
          <w:rFonts w:hint="eastAsia" w:ascii="宋体" w:hAnsi="宋体" w:eastAsia="宋体" w:cs="宋体"/>
          <w:color w:val="0D0D0D"/>
          <w:kern w:val="0"/>
          <w:szCs w:val="24"/>
        </w:rPr>
        <w:t>中国共产党正是通过持续开展马克思主义理论的全党学习，增强全党的立场坚定性和政治敏锐性，增强党组织的创新力、凝聚力和战斗力，使百年大党永葆青春。</w:t>
      </w:r>
    </w:p>
    <w:p w14:paraId="01A0BA99">
      <w:pPr>
        <w:widowControl/>
        <w:spacing w:line="400" w:lineRule="exact"/>
        <w:ind w:firstLine="1401" w:firstLineChars="500"/>
        <w:rPr>
          <w:rFonts w:ascii="宋体" w:hAnsi="宋体" w:eastAsia="宋体" w:cs="宋体"/>
          <w:b/>
          <w:color w:val="0D0D0D"/>
          <w:kern w:val="0"/>
          <w:sz w:val="28"/>
          <w:szCs w:val="28"/>
        </w:rPr>
      </w:pPr>
      <w:r>
        <w:rPr>
          <w:rFonts w:hint="eastAsia" w:ascii="Calibri" w:hAnsi="Calibri" w:eastAsia="宋体" w:cs="Times New Roman"/>
          <w:b/>
          <w:color w:val="0D0D0D"/>
          <w:sz w:val="28"/>
          <w:szCs w:val="28"/>
        </w:rPr>
        <w:t>一、中国马克思主义学习型政党建设的百年历程</w:t>
      </w:r>
    </w:p>
    <w:p w14:paraId="5F2C5A0E">
      <w:pPr>
        <w:widowControl/>
        <w:spacing w:line="400" w:lineRule="exact"/>
        <w:ind w:firstLine="420" w:firstLineChars="200"/>
        <w:rPr>
          <w:rFonts w:ascii="宋体" w:hAnsi="宋体" w:eastAsia="宋体" w:cs="宋体"/>
          <w:color w:val="auto"/>
          <w:kern w:val="0"/>
          <w:szCs w:val="24"/>
        </w:rPr>
      </w:pPr>
      <w:r>
        <w:rPr>
          <w:rFonts w:hint="eastAsia" w:ascii="宋体" w:hAnsi="宋体" w:eastAsia="宋体" w:cs="宋体"/>
          <w:color w:val="0D0D0D"/>
          <w:kern w:val="0"/>
          <w:szCs w:val="24"/>
        </w:rPr>
        <w:t>中国共产党自从成立以来就高度重视马克思主义理论的武装，不断学习马克思主义理论是中国共产党兴旺发达的重要经验。中国共产党的全部历史就是善于学习和勇于学习马克思主义的历史，也是运用不断发展着的马克思主义武装和教育广大党员、干部的历史。百年大党一直是个马克思主义学习型政党，这是中国共产党与生俱来的品质。建设马克思主义学习型政党是深刻总结中国共产党百年历史经验的重要结论，也是我们党的几代领导人一贯思想和不懈追求。</w:t>
      </w:r>
    </w:p>
    <w:p w14:paraId="02C0A870">
      <w:pPr>
        <w:widowControl/>
        <w:spacing w:line="400" w:lineRule="exact"/>
        <w:ind w:firstLine="420" w:firstLineChars="200"/>
        <w:rPr>
          <w:rFonts w:ascii="Calibri" w:hAnsi="Calibri" w:eastAsia="宋体" w:cs="Times New Roman"/>
          <w:b/>
          <w:color w:val="auto"/>
          <w:szCs w:val="24"/>
        </w:rPr>
      </w:pPr>
      <w:r>
        <w:rPr>
          <w:rFonts w:hint="eastAsia" w:ascii="Calibri" w:hAnsi="Calibri" w:eastAsia="宋体" w:cs="Times New Roman"/>
          <w:b/>
          <w:color w:val="auto"/>
          <w:szCs w:val="24"/>
        </w:rPr>
        <w:t>（一）改造学习：破解新民主主义革命重大问题</w:t>
      </w:r>
    </w:p>
    <w:p w14:paraId="79652553">
      <w:pPr>
        <w:pBdr>
          <w:bottom w:val="single" w:color="auto" w:sz="6" w:space="1"/>
        </w:pBdr>
        <w:spacing w:line="400" w:lineRule="exact"/>
        <w:jc w:val="center"/>
        <w:rPr>
          <w:rFonts w:ascii="Arial" w:hAnsi="Calibri" w:eastAsia="宋体" w:cs="Times New Roman"/>
          <w:vanish/>
          <w:color w:val="auto"/>
          <w:sz w:val="16"/>
          <w:szCs w:val="24"/>
        </w:rPr>
      </w:pPr>
      <w:r>
        <w:rPr>
          <w:rFonts w:ascii="Arial" w:hAnsi="Calibri" w:eastAsia="宋体" w:cs="Times New Roman"/>
          <w:vanish/>
          <w:color w:val="auto"/>
          <w:sz w:val="16"/>
          <w:szCs w:val="24"/>
        </w:rPr>
        <w:t>窗体顶端</w:t>
      </w:r>
    </w:p>
    <w:p w14:paraId="173F6B9C">
      <w:pPr>
        <w:widowControl/>
        <w:spacing w:line="400" w:lineRule="exact"/>
        <w:ind w:firstLine="420" w:firstLineChars="200"/>
        <w:rPr>
          <w:rFonts w:ascii="宋体" w:hAnsi="宋体" w:eastAsia="宋体" w:cs="宋体"/>
          <w:color w:val="auto"/>
          <w:kern w:val="0"/>
          <w:szCs w:val="24"/>
        </w:rPr>
      </w:pPr>
      <w:r>
        <w:rPr>
          <w:rFonts w:hint="eastAsia" w:ascii="宋体" w:hAnsi="宋体" w:eastAsia="宋体" w:cs="宋体"/>
          <w:color w:val="auto"/>
          <w:kern w:val="0"/>
          <w:szCs w:val="24"/>
        </w:rPr>
        <w:t>中国共产党自成立之初就是以马克思主义学习者的姿态探索救亡图存的道路。早在建党之前，李大钊、陈独秀等优秀人物就积极成立马克思主义研究会，向全国人民宣传马克思主义。建党之后，更是把学习和宣传马列主义作为每一个党员干部的重要任务，在全国各地纷纷成立社会科学的研究会，提出要“设立党校养成指导人才”，翻译介绍马克思列宁主义的经典著作，用马克思列宁主义指导中国革命。</w:t>
      </w:r>
      <w:r>
        <w:rPr>
          <w:rFonts w:hint="eastAsia" w:ascii="宋体" w:hAnsi="宋体" w:eastAsia="宋体" w:cs="宋体"/>
          <w:b/>
          <w:bCs/>
          <w:color w:val="auto"/>
          <w:kern w:val="0"/>
          <w:szCs w:val="24"/>
        </w:rPr>
        <w:t>毛泽东是党内理论联系实际地学习马克思主义的典范，他明确提出“马克思主义的‘本本’是要学的，但是必须同我国的实际情况相结合”</w:t>
      </w:r>
      <w:r>
        <w:rPr>
          <w:rFonts w:ascii="宋体" w:hAnsi="宋体" w:eastAsia="宋体" w:cs="宋体"/>
          <w:b/>
          <w:bCs/>
          <w:color w:val="auto"/>
          <w:kern w:val="0"/>
          <w:sz w:val="21"/>
          <w:szCs w:val="21"/>
          <w:vertAlign w:val="superscript"/>
        </w:rPr>
        <w:t>[1]</w:t>
      </w:r>
      <w:r>
        <w:rPr>
          <w:rFonts w:hint="eastAsia" w:ascii="宋体" w:hAnsi="宋体" w:eastAsia="宋体" w:cs="宋体"/>
          <w:b/>
          <w:bCs/>
          <w:color w:val="auto"/>
          <w:kern w:val="0"/>
          <w:szCs w:val="24"/>
        </w:rPr>
        <w:t>，并撰写了著名的《改造我们的学习》等文章，开展延安整风运动，反对本本主义和教条主义，使全党更加科学地认识“怎样学习”。毛泽东高度重视干部的学习，他说，领导工作、改善工作与建设大党,便是我们学习运动的直接原因。“如果我们党有一百个至两百个系统地不是零碎地、实际地而不是空洞地学会了马克思列宁主义的同志，就会大大地提高我们党的战斗力”</w:t>
      </w:r>
      <w:r>
        <w:rPr>
          <w:rFonts w:hint="eastAsia" w:ascii="宋体" w:hAnsi="宋体" w:eastAsia="宋体" w:cs="宋体"/>
          <w:b/>
          <w:bCs/>
          <w:color w:val="auto"/>
          <w:kern w:val="0"/>
          <w:sz w:val="21"/>
          <w:szCs w:val="21"/>
          <w:vertAlign w:val="superscript"/>
        </w:rPr>
        <w:t>[2]</w:t>
      </w:r>
      <w:r>
        <w:rPr>
          <w:rFonts w:hint="eastAsia" w:ascii="宋体" w:hAnsi="宋体" w:eastAsia="宋体" w:cs="宋体"/>
          <w:b/>
          <w:bCs/>
          <w:color w:val="auto"/>
          <w:kern w:val="0"/>
          <w:szCs w:val="24"/>
        </w:rPr>
        <w:t>，“全党干部都应当学习和研究马列主义的理论及其在中国的具体运用”，要加强“在工作中学习”和“工作以外的学习”。并建立在职干部平均每日学习两小时的制度。</w:t>
      </w:r>
      <w:r>
        <w:rPr>
          <w:rFonts w:hint="eastAsia" w:ascii="宋体" w:hAnsi="宋体" w:eastAsia="宋体" w:cs="宋体"/>
          <w:color w:val="auto"/>
          <w:kern w:val="0"/>
          <w:szCs w:val="24"/>
        </w:rPr>
        <w:t>为了迎接即将成立的新中国，毛泽东指出，全党必须学会管理城市和建设城市，“必须用极大的努力去学习生产的技术和管理生产的方法”</w:t>
      </w:r>
      <w:r>
        <w:rPr>
          <w:rFonts w:hint="eastAsia" w:ascii="宋体" w:hAnsi="宋体" w:eastAsia="宋体" w:cs="宋体"/>
          <w:color w:val="auto"/>
          <w:kern w:val="0"/>
          <w:sz w:val="21"/>
          <w:szCs w:val="21"/>
          <w:vertAlign w:val="superscript"/>
        </w:rPr>
        <w:t>[3]</w:t>
      </w:r>
      <w:r>
        <w:rPr>
          <w:rFonts w:hint="eastAsia" w:ascii="宋体" w:hAnsi="宋体" w:eastAsia="宋体" w:cs="宋体"/>
          <w:color w:val="auto"/>
          <w:kern w:val="0"/>
          <w:szCs w:val="24"/>
        </w:rPr>
        <w:t>。为提高学习的针对性和实效性，</w:t>
      </w:r>
      <w:r>
        <w:rPr>
          <w:rFonts w:hint="eastAsia" w:ascii="宋体" w:hAnsi="宋体" w:eastAsia="宋体" w:cs="宋体"/>
          <w:b/>
          <w:bCs/>
          <w:color w:val="auto"/>
          <w:kern w:val="0"/>
          <w:szCs w:val="24"/>
        </w:rPr>
        <w:t>毛泽东向“七大”代表提出“我们要读五本马列主义的书。”为党员干部开列了12本“必读”书目。</w:t>
      </w:r>
      <w:r>
        <w:rPr>
          <w:rFonts w:hint="eastAsia" w:ascii="宋体" w:hAnsi="宋体" w:eastAsia="宋体" w:cs="宋体"/>
          <w:color w:val="auto"/>
          <w:kern w:val="0"/>
          <w:sz w:val="21"/>
          <w:szCs w:val="21"/>
          <w:vertAlign w:val="superscript"/>
        </w:rPr>
        <w:t>[4]</w:t>
      </w:r>
      <w:r>
        <w:rPr>
          <w:rFonts w:hint="eastAsia" w:ascii="宋体" w:hAnsi="宋体" w:eastAsia="宋体" w:cs="宋体"/>
          <w:color w:val="auto"/>
          <w:kern w:val="0"/>
          <w:szCs w:val="24"/>
        </w:rPr>
        <w:t>他说:“严重的经济建设任务摆在我们面前。”</w:t>
      </w:r>
      <w:r>
        <w:rPr>
          <w:rFonts w:hint="eastAsia" w:ascii="宋体" w:hAnsi="宋体" w:eastAsia="宋体" w:cs="宋体"/>
          <w:color w:val="auto"/>
          <w:kern w:val="0"/>
          <w:sz w:val="21"/>
          <w:szCs w:val="21"/>
          <w:vertAlign w:val="superscript"/>
        </w:rPr>
        <w:t>[5]</w:t>
      </w:r>
      <w:r>
        <w:rPr>
          <w:rFonts w:hint="eastAsia" w:ascii="宋体" w:hAnsi="宋体" w:eastAsia="宋体" w:cs="宋体"/>
          <w:color w:val="auto"/>
          <w:kern w:val="0"/>
          <w:szCs w:val="24"/>
        </w:rPr>
        <w:t>这是我们遇到的新任务，“必须向一切内行的人们”学习。拜他们为师，好好地学习，真诚地学习。来不得半点虚假。</w:t>
      </w:r>
    </w:p>
    <w:p w14:paraId="600023F1">
      <w:pPr>
        <w:widowControl/>
        <w:spacing w:line="400" w:lineRule="exact"/>
        <w:ind w:firstLine="420" w:firstLineChars="200"/>
        <w:rPr>
          <w:rFonts w:ascii="Calibri" w:hAnsi="Calibri" w:eastAsia="宋体" w:cs="Times New Roman"/>
          <w:b/>
          <w:color w:val="auto"/>
          <w:szCs w:val="24"/>
        </w:rPr>
      </w:pPr>
      <w:r>
        <w:rPr>
          <w:rFonts w:hint="eastAsia" w:ascii="Calibri" w:hAnsi="Calibri" w:eastAsia="宋体" w:cs="Times New Roman"/>
          <w:b/>
          <w:color w:val="auto"/>
          <w:szCs w:val="24"/>
        </w:rPr>
        <w:t>（二）重新学习：破解社会主义建设重大问题</w:t>
      </w:r>
    </w:p>
    <w:p w14:paraId="04D78B7F">
      <w:pPr>
        <w:widowControl/>
        <w:spacing w:line="400" w:lineRule="exact"/>
        <w:ind w:firstLine="420" w:firstLineChars="200"/>
        <w:rPr>
          <w:rFonts w:ascii="宋体" w:hAnsi="宋体" w:eastAsia="宋体" w:cs="宋体"/>
          <w:color w:val="auto"/>
          <w:kern w:val="0"/>
          <w:szCs w:val="24"/>
        </w:rPr>
      </w:pPr>
      <w:r>
        <w:rPr>
          <w:rFonts w:hint="eastAsia" w:ascii="宋体" w:hAnsi="宋体" w:eastAsia="宋体" w:cs="宋体"/>
          <w:b/>
          <w:bCs/>
          <w:color w:val="auto"/>
          <w:kern w:val="0"/>
          <w:szCs w:val="24"/>
        </w:rPr>
        <w:t>1949年到1978年的这段历史，是中国共产党积极探索建设马克思主义学习型执政党的重要时期。新中国的成立，中国共产党完成了建国任务，建国后的大规模经济建设摆在全党面前，重新学习的任务迫在眉睫。为此，全党围绕党的过渡时期总路线开展了学习活动，相继开展了整风整党运动，在建设马克思主义学习型政党的理论探索上，1951年3月，《关于加强理论教育的决定(草案)》正式实施，在党的历史上第一次对领导干部的马克思主义理论学习作出了具有长远意义的全面部署和具体安排。</w:t>
      </w:r>
      <w:r>
        <w:rPr>
          <w:rFonts w:hint="eastAsia" w:ascii="宋体" w:hAnsi="宋体" w:eastAsia="宋体" w:cs="宋体"/>
          <w:color w:val="auto"/>
          <w:kern w:val="0"/>
          <w:szCs w:val="24"/>
        </w:rPr>
        <w:t>为配合马克思主义理论学习的深入开展，党中央编辑出版的《毛泽东选集》，成为新中国成立初期全党学习马克思主义理论的基本著作。随后，《斯大林全集》《列宁全集》《马克思恩格斯全集》相继出版，为全党学习马克思主义理论奠定了基础，加快了全党系统学习马克思主义的历史进程。随着生产资料私有制的“三大改造”的广泛深入开展，大规模的社会主义现代化建设摆到面前，毛泽东号召全党:要“钻社会主义工业化，钻社会主义改造，钻近代化的国防，并且开始要钻原子能的时代了”</w:t>
      </w:r>
      <w:r>
        <w:rPr>
          <w:rFonts w:hint="eastAsia" w:ascii="宋体" w:hAnsi="宋体" w:eastAsia="宋体" w:cs="宋体"/>
          <w:color w:val="auto"/>
          <w:kern w:val="0"/>
          <w:sz w:val="21"/>
          <w:szCs w:val="21"/>
          <w:vertAlign w:val="superscript"/>
        </w:rPr>
        <w:t>[6]</w:t>
      </w:r>
      <w:r>
        <w:rPr>
          <w:rFonts w:hint="eastAsia" w:ascii="宋体" w:hAnsi="宋体" w:eastAsia="宋体" w:cs="宋体"/>
          <w:color w:val="auto"/>
          <w:kern w:val="0"/>
          <w:szCs w:val="24"/>
        </w:rPr>
        <w:t>，全党同志必须积极钻研，认真学习，克服困难，成为又红又专的社会主义人才，打赢这场新的战争。毛泽东还明确提出了“向外国学习”。他说：“我们的方针是，一切民族、一切国家的长处都要学”</w:t>
      </w:r>
      <w:r>
        <w:rPr>
          <w:rFonts w:hint="eastAsia" w:ascii="宋体" w:hAnsi="宋体" w:eastAsia="宋体" w:cs="宋体"/>
          <w:color w:val="auto"/>
          <w:kern w:val="0"/>
          <w:sz w:val="21"/>
          <w:szCs w:val="21"/>
          <w:vertAlign w:val="superscript"/>
        </w:rPr>
        <w:t>[7]</w:t>
      </w:r>
      <w:r>
        <w:rPr>
          <w:rFonts w:hint="eastAsia" w:ascii="宋体" w:hAnsi="宋体" w:eastAsia="宋体" w:cs="宋体"/>
          <w:color w:val="auto"/>
          <w:kern w:val="0"/>
          <w:szCs w:val="24"/>
        </w:rPr>
        <w:t>，要积极利用人类的一切文明成果建设社会主义，但是，对国外的经验要结合中国实际，决不能盲目的照抄照搬，必须有分析有批判地学，洋为中用，推陈出新。为以苏为戒，探索适合新中国国情的社会主义建设道路，毛泽东提出来要注意纠正实际工作中的“左”的错误问题，他向全党发出号召，要深入开展读书活动，带头研讨苏联《政治经济学(教科书)》，结合中国经济建设实际，发表了大量评论，形成了新颖独到的中国社会主义经济建设思想，为中国经济建设开展提供了科学指南。在“文化大革命”的非常时期，毛泽东仍然多次强调加强学习特别是加强马列著作学习。针对党内个别人“不读马列的书”的现象，他明确指出，党的干部，尤其是“高级干部”，一定要提高马克思主义理论修养，工作不论多忙，一定要要挤出读书时间，多研读一些马列的经典原著，这有助于区别真假马列主义。</w:t>
      </w:r>
    </w:p>
    <w:p w14:paraId="399F67F9">
      <w:pPr>
        <w:widowControl/>
        <w:spacing w:line="400" w:lineRule="exact"/>
        <w:ind w:firstLine="420" w:firstLineChars="200"/>
        <w:rPr>
          <w:rFonts w:ascii="Calibri" w:hAnsi="Calibri" w:eastAsia="宋体" w:cs="Times New Roman"/>
          <w:b/>
          <w:color w:val="auto"/>
          <w:szCs w:val="24"/>
        </w:rPr>
      </w:pPr>
      <w:r>
        <w:rPr>
          <w:rFonts w:hint="eastAsia" w:ascii="Calibri" w:hAnsi="Calibri" w:eastAsia="宋体" w:cs="Times New Roman"/>
          <w:b/>
          <w:color w:val="auto"/>
          <w:szCs w:val="24"/>
        </w:rPr>
        <w:t>（三）带头学习：破解执政党建设的重大问题（本人有幸曾在2004年为中央政治局集体学习作过讲解）</w:t>
      </w:r>
    </w:p>
    <w:p w14:paraId="484DCE95">
      <w:pPr>
        <w:widowControl/>
        <w:spacing w:line="400" w:lineRule="exact"/>
        <w:ind w:firstLine="420" w:firstLineChars="200"/>
        <w:rPr>
          <w:rFonts w:ascii="宋体" w:hAnsi="宋体" w:eastAsia="宋体" w:cs="宋体"/>
          <w:color w:val="0D0D0D"/>
          <w:kern w:val="0"/>
          <w:szCs w:val="24"/>
        </w:rPr>
      </w:pPr>
      <w:r>
        <w:rPr>
          <w:rFonts w:hint="eastAsia" w:ascii="宋体" w:hAnsi="宋体" w:eastAsia="宋体" w:cs="宋体"/>
          <w:b/>
          <w:bCs/>
          <w:color w:val="auto"/>
          <w:kern w:val="0"/>
          <w:szCs w:val="24"/>
        </w:rPr>
        <w:t>1978年的十一届三中全会到2012年的十八大，这段历史是中国共产党带头学习，恢复和发展学习制度的重要阶段。</w:t>
      </w:r>
      <w:r>
        <w:rPr>
          <w:rFonts w:hint="eastAsia" w:ascii="宋体" w:hAnsi="宋体" w:eastAsia="宋体" w:cs="宋体"/>
          <w:color w:val="auto"/>
          <w:kern w:val="0"/>
          <w:szCs w:val="24"/>
        </w:rPr>
        <w:t>十一届三中全会的胜利召开，确立了以经济建设为中心的基本路线，实现了党和国家工作重心的转移，中国共产党开始了带头学习的新征程。邓小平明确指出，社会主义现代化建设是前所未有的事业，“全党同志一定要善于学习，善于重新学习”</w:t>
      </w:r>
      <w:r>
        <w:rPr>
          <w:rFonts w:hint="eastAsia" w:ascii="宋体" w:hAnsi="宋体" w:eastAsia="宋体" w:cs="宋体"/>
          <w:color w:val="auto"/>
          <w:kern w:val="0"/>
          <w:sz w:val="21"/>
          <w:szCs w:val="21"/>
          <w:vertAlign w:val="superscript"/>
        </w:rPr>
        <w:t>[8]</w:t>
      </w:r>
      <w:r>
        <w:rPr>
          <w:rFonts w:hint="eastAsia" w:ascii="宋体" w:hAnsi="宋体" w:eastAsia="宋体" w:cs="宋体"/>
          <w:color w:val="auto"/>
          <w:kern w:val="0"/>
          <w:szCs w:val="24"/>
        </w:rPr>
        <w:t>，“根本的是要学习马列主义、毛泽东思想”</w:t>
      </w:r>
      <w:r>
        <w:rPr>
          <w:rFonts w:hint="eastAsia" w:ascii="宋体" w:hAnsi="宋体" w:eastAsia="宋体" w:cs="宋体"/>
          <w:color w:val="auto"/>
          <w:kern w:val="0"/>
          <w:sz w:val="21"/>
          <w:szCs w:val="21"/>
          <w:vertAlign w:val="superscript"/>
        </w:rPr>
        <w:t>[9]</w:t>
      </w:r>
      <w:r>
        <w:rPr>
          <w:rFonts w:hint="eastAsia" w:ascii="宋体" w:hAnsi="宋体" w:eastAsia="宋体" w:cs="宋体"/>
          <w:color w:val="auto"/>
          <w:kern w:val="0"/>
          <w:szCs w:val="24"/>
        </w:rPr>
        <w:t>。要立足社会主义初级阶段的中国国情，大胆吸收和借鉴人类社会创造的一切文明成果，追赶世界发展潮流，但要站稳中国立场，决不能照抄照搬，反对崇洋媚外。江泽民把学习马克思主义经典著作同“三讲教育”联系起来，领导干部要“有的放矢地选读马克思主义的经典著作”</w:t>
      </w:r>
      <w:r>
        <w:rPr>
          <w:rFonts w:hint="eastAsia" w:ascii="宋体" w:hAnsi="宋体" w:eastAsia="宋体" w:cs="宋体"/>
          <w:color w:val="auto"/>
          <w:kern w:val="0"/>
          <w:sz w:val="21"/>
          <w:szCs w:val="21"/>
          <w:vertAlign w:val="superscript"/>
        </w:rPr>
        <w:t>[10]</w:t>
      </w:r>
      <w:r>
        <w:rPr>
          <w:rFonts w:hint="eastAsia" w:ascii="宋体" w:hAnsi="宋体" w:eastAsia="宋体" w:cs="宋体"/>
          <w:color w:val="auto"/>
          <w:kern w:val="0"/>
          <w:szCs w:val="24"/>
        </w:rPr>
        <w:t>增强党性修养，提升马克思主义理论水平，锻造引领经济社会发展的真正本领。胡锦涛指出：“推动理论学习，提高全党理论素养，是一项紧迫的政治任务。”</w:t>
      </w:r>
      <w:r>
        <w:rPr>
          <w:rFonts w:hint="eastAsia" w:ascii="宋体" w:hAnsi="宋体" w:eastAsia="宋体" w:cs="宋体"/>
          <w:color w:val="auto"/>
          <w:kern w:val="0"/>
          <w:sz w:val="21"/>
          <w:szCs w:val="21"/>
          <w:vertAlign w:val="superscript"/>
        </w:rPr>
        <w:t>[11]</w:t>
      </w:r>
      <w:r>
        <w:rPr>
          <w:rFonts w:hint="eastAsia" w:ascii="宋体" w:hAnsi="宋体" w:eastAsia="宋体" w:cs="宋体"/>
          <w:color w:val="auto"/>
          <w:kern w:val="0"/>
          <w:szCs w:val="24"/>
        </w:rPr>
        <w:t>要全面开展马克思主义的学习教育，把马克思主义作为我们认识问题，分析问题，解决问题的看家本领，全党要积极学习马克思主义的立场、观点和方法，毛泽东思想的人民情怀和革命精神，尤其是中国特色社会主义理论体系的时代意义和实践价值，积极推进党的先进性教育。他非常注重常规化、制度化的学习建设，逐步建立起稳定的学习制</w:t>
      </w:r>
      <w:r>
        <w:rPr>
          <w:rFonts w:hint="eastAsia" w:ascii="宋体" w:hAnsi="宋体" w:eastAsia="宋体" w:cs="宋体"/>
          <w:color w:val="0D0D0D"/>
          <w:kern w:val="0"/>
          <w:szCs w:val="24"/>
        </w:rPr>
        <w:t>度和长效学习机制，建立领导干部学习制度，强化领导干部带头学习的传统。十六届四中明确规划了“努力建设学习型政党”的任务，在党的历史上是第一次。十七届四中全会进一步提出“建设马克思主义学习型政党”，这一目标的明确，是中国共产党的建设马克思主义色彩进一步凸显。2010年，党中央提出，推进学习型党组织建设，以学习马克思主义，浓厚党的学风，以学习中国特色社会主义理论体系，凝聚党的力量，通过学习型党组织建设使党立于不败之地。</w:t>
      </w:r>
    </w:p>
    <w:p w14:paraId="3959A83D">
      <w:pPr>
        <w:widowControl/>
        <w:spacing w:line="400" w:lineRule="exact"/>
        <w:ind w:firstLine="420" w:firstLineChars="200"/>
        <w:rPr>
          <w:rFonts w:ascii="Calibri" w:hAnsi="Calibri" w:eastAsia="宋体" w:cs="Times New Roman"/>
          <w:bCs/>
          <w:color w:val="auto"/>
          <w:szCs w:val="24"/>
        </w:rPr>
      </w:pPr>
      <w:r>
        <w:rPr>
          <w:rFonts w:hint="eastAsia" w:ascii="Calibri" w:hAnsi="Calibri" w:eastAsia="宋体" w:cs="Times New Roman"/>
          <w:bCs/>
          <w:color w:val="auto"/>
          <w:szCs w:val="24"/>
        </w:rPr>
        <w:t>（四）革新学习：破解新时代两个变局重大问题</w:t>
      </w:r>
    </w:p>
    <w:p w14:paraId="2BCD78DA">
      <w:pPr>
        <w:spacing w:line="360" w:lineRule="auto"/>
        <w:ind w:firstLine="420" w:firstLineChars="200"/>
        <w:rPr>
          <w:rFonts w:ascii="Calibri" w:hAnsi="Calibri" w:eastAsia="宋体" w:cs="Times New Roman"/>
          <w:color w:val="0D0D0D"/>
          <w:szCs w:val="24"/>
        </w:rPr>
      </w:pPr>
      <w:r>
        <w:rPr>
          <w:rFonts w:hint="eastAsia" w:ascii="Calibri" w:hAnsi="Calibri" w:eastAsia="宋体" w:cs="Times New Roman"/>
          <w:bCs/>
          <w:color w:val="auto"/>
          <w:szCs w:val="24"/>
        </w:rPr>
        <w:t>党的十八大以来，马克思主义学习型政党建设进入新时代。面对百年未有大变局，民族复兴的伟大任务日益迫切，中国特色社会主义日益展现出前所未有的勃勃生机，习近平总书记以治国理政的高度强调马克思主义经典著作的学习。习近平多次强调，要克服本领恐慌，必须提升马克思主义素养，马克思主义“是我们做好一切工作的看家本领”</w:t>
      </w:r>
      <w:r>
        <w:rPr>
          <w:rFonts w:hint="eastAsia" w:ascii="Calibri" w:hAnsi="Calibri" w:eastAsia="宋体" w:cs="Times New Roman"/>
          <w:bCs/>
          <w:color w:val="auto"/>
          <w:szCs w:val="24"/>
          <w:vertAlign w:val="superscript"/>
        </w:rPr>
        <w:t>[12]</w:t>
      </w:r>
      <w:r>
        <w:rPr>
          <w:rFonts w:hint="eastAsia" w:ascii="Calibri" w:hAnsi="Calibri" w:eastAsia="宋体" w:cs="Times New Roman"/>
          <w:bCs/>
          <w:color w:val="auto"/>
          <w:szCs w:val="24"/>
        </w:rPr>
        <w:t>。要“在全党营造善于学习、勇于实践的浓厚氛围，建设马克思主义学习型政党，推动建设学习大国”</w:t>
      </w:r>
      <w:r>
        <w:rPr>
          <w:rFonts w:hint="eastAsia" w:ascii="Calibri" w:hAnsi="Calibri" w:eastAsia="宋体" w:cs="Times New Roman"/>
          <w:bCs/>
          <w:color w:val="auto"/>
          <w:szCs w:val="24"/>
          <w:vertAlign w:val="superscript"/>
        </w:rPr>
        <w:t>[13]</w:t>
      </w:r>
      <w:r>
        <w:rPr>
          <w:rFonts w:hint="eastAsia" w:ascii="Calibri" w:hAnsi="Calibri" w:eastAsia="宋体" w:cs="Times New Roman"/>
          <w:bCs/>
          <w:color w:val="auto"/>
          <w:szCs w:val="24"/>
        </w:rPr>
        <w:t>，“共产党人要把读马克思主义经典、悟马克思主义原理当作一种生活习惯”</w:t>
      </w:r>
      <w:r>
        <w:rPr>
          <w:rFonts w:hint="eastAsia" w:ascii="Calibri" w:hAnsi="Calibri" w:eastAsia="宋体" w:cs="Times New Roman"/>
          <w:bCs/>
          <w:color w:val="auto"/>
          <w:szCs w:val="24"/>
          <w:vertAlign w:val="superscript"/>
        </w:rPr>
        <w:t>[14]</w:t>
      </w:r>
      <w:r>
        <w:rPr>
          <w:rFonts w:hint="eastAsia" w:ascii="Calibri" w:hAnsi="Calibri" w:eastAsia="宋体" w:cs="Times New Roman"/>
          <w:bCs/>
          <w:color w:val="auto"/>
          <w:szCs w:val="24"/>
        </w:rPr>
        <w:t>。</w:t>
      </w:r>
      <w:r>
        <w:rPr>
          <w:rFonts w:hint="eastAsia" w:ascii="Calibri" w:hAnsi="Calibri" w:eastAsia="宋体" w:cs="Times New Roman"/>
          <w:color w:val="auto"/>
          <w:szCs w:val="24"/>
        </w:rPr>
        <w:t>马克思主义的理论学习要“把自己摆进去、把职责摆进去”，“做到学、思、用贯通，</w:t>
      </w:r>
      <w:r>
        <w:rPr>
          <w:rFonts w:hint="eastAsia" w:ascii="Calibri" w:hAnsi="Calibri" w:eastAsia="宋体" w:cs="Times New Roman"/>
          <w:color w:val="0D0D0D"/>
          <w:szCs w:val="24"/>
        </w:rPr>
        <w:t>知、信、行统一”</w:t>
      </w:r>
      <w:r>
        <w:rPr>
          <w:rFonts w:hint="eastAsia" w:ascii="Calibri" w:hAnsi="Calibri" w:eastAsia="宋体" w:cs="Times New Roman"/>
          <w:color w:val="0D0D0D"/>
          <w:szCs w:val="24"/>
          <w:vertAlign w:val="superscript"/>
        </w:rPr>
        <w:t>[15]</w:t>
      </w:r>
      <w:r>
        <w:rPr>
          <w:rFonts w:hint="eastAsia" w:ascii="Calibri" w:hAnsi="Calibri" w:eastAsia="宋体" w:cs="Times New Roman"/>
          <w:color w:val="0D0D0D"/>
          <w:szCs w:val="24"/>
        </w:rPr>
        <w:t>。</w:t>
      </w:r>
      <w:r>
        <w:rPr>
          <w:rFonts w:ascii="Calibri" w:hAnsi="Calibri" w:eastAsia="宋体" w:cs="Times New Roman"/>
          <w:color w:val="0D0D0D"/>
          <w:szCs w:val="24"/>
        </w:rPr>
        <w:t>读经典既要读马克思主义的经典，同时也要读马克思主义来源的经典，有利于理解马克思主义吸收、借鉴、批判的整个脉络。</w:t>
      </w:r>
      <w:r>
        <w:rPr>
          <w:rFonts w:hint="eastAsia" w:ascii="Calibri" w:hAnsi="Calibri" w:eastAsia="宋体" w:cs="Times New Roman"/>
          <w:color w:val="0D0D0D"/>
          <w:szCs w:val="24"/>
        </w:rPr>
        <w:t>习近平特别注重广大党员干部对党史、国史的学习，从事关党和国家事业的战略高度强调学习党史、国史的重要意义。他指出</w:t>
      </w:r>
      <w:r>
        <w:rPr>
          <w:rFonts w:ascii="Calibri" w:hAnsi="Calibri" w:eastAsia="宋体" w:cs="Times New Roman"/>
          <w:color w:val="0D0D0D"/>
          <w:szCs w:val="24"/>
        </w:rPr>
        <w:t>:</w:t>
      </w:r>
      <w:r>
        <w:rPr>
          <w:rFonts w:hint="eastAsia" w:ascii="Calibri" w:hAnsi="Calibri" w:eastAsia="宋体" w:cs="Times New Roman"/>
          <w:color w:val="0D0D0D"/>
          <w:szCs w:val="24"/>
        </w:rPr>
        <w:t>历史是一面镜子，中国共产党百年历史是一个宝库，她的辉煌历史是我们的骄傲，“学习党史、国史，是坚持和发展中国特色社会主义、把党和国家各项事业继续推向前进的必修课。”要不忘初心，牢记使命，“知史爱党，知史爱国。”</w:t>
      </w:r>
      <w:r>
        <w:rPr>
          <w:rFonts w:hint="eastAsia" w:ascii="Calibri" w:hAnsi="Calibri" w:eastAsia="宋体" w:cs="Times New Roman"/>
          <w:color w:val="0D0D0D"/>
          <w:szCs w:val="24"/>
          <w:vertAlign w:val="superscript"/>
        </w:rPr>
        <w:t>[16]</w:t>
      </w:r>
      <w:r>
        <w:rPr>
          <w:rFonts w:hint="eastAsia" w:ascii="Calibri" w:hAnsi="Calibri" w:eastAsia="宋体" w:cs="Times New Roman"/>
          <w:color w:val="0D0D0D"/>
          <w:szCs w:val="24"/>
        </w:rPr>
        <w:t>“在对历史的深入思考中做好现实工作、更好走向未来。”</w:t>
      </w:r>
      <w:r>
        <w:rPr>
          <w:rFonts w:hint="eastAsia" w:ascii="Calibri" w:hAnsi="Calibri" w:eastAsia="宋体" w:cs="Times New Roman"/>
          <w:color w:val="0D0D0D"/>
          <w:szCs w:val="24"/>
          <w:vertAlign w:val="superscript"/>
        </w:rPr>
        <w:t>[17]</w:t>
      </w:r>
      <w:r>
        <w:rPr>
          <w:rFonts w:hint="eastAsia" w:ascii="Calibri" w:hAnsi="Calibri" w:eastAsia="宋体" w:cs="Times New Roman"/>
          <w:color w:val="0D0D0D"/>
          <w:szCs w:val="24"/>
        </w:rPr>
        <w:t>这些论述构成了完整的习近平马克思主义经典著作学习观。党依托“两学一做”和“</w:t>
      </w:r>
      <w:r>
        <w:fldChar w:fldCharType="begin"/>
      </w:r>
      <w:r>
        <w:instrText xml:space="preserve"> HYPERLINK "http://www.baidu.com/link?url=RaQ-bUVTpvTRjckEeK6XB-DxOPW25O-np5NeE_KXU4EZ-HOvlWZbAtC2jW89bPCrUSnIraxf4t98RA5qaRmeRGJbiG1Tu7bOA-b5K0T6obq" \t "https://www.baidu.com/_blank" </w:instrText>
      </w:r>
      <w:r>
        <w:fldChar w:fldCharType="separate"/>
      </w:r>
      <w:r>
        <w:rPr>
          <w:rFonts w:ascii="Calibri" w:hAnsi="Calibri" w:eastAsia="宋体" w:cs="Times New Roman"/>
          <w:color w:val="0D0D0D"/>
          <w:szCs w:val="24"/>
        </w:rPr>
        <w:t>党史学习</w:t>
      </w:r>
      <w:r>
        <w:rPr>
          <w:rFonts w:hint="eastAsia" w:ascii="Calibri" w:hAnsi="Calibri" w:eastAsia="宋体" w:cs="Times New Roman"/>
          <w:color w:val="0D0D0D"/>
          <w:szCs w:val="24"/>
        </w:rPr>
        <w:t>”等</w:t>
      </w:r>
      <w:r>
        <w:rPr>
          <w:rFonts w:ascii="Calibri" w:hAnsi="Calibri" w:eastAsia="宋体" w:cs="Times New Roman"/>
          <w:color w:val="0D0D0D"/>
          <w:szCs w:val="24"/>
        </w:rPr>
        <w:t>活动</w:t>
      </w:r>
      <w:r>
        <w:rPr>
          <w:rFonts w:ascii="Calibri" w:hAnsi="Calibri" w:eastAsia="宋体" w:cs="Times New Roman"/>
          <w:color w:val="0D0D0D"/>
          <w:szCs w:val="24"/>
        </w:rPr>
        <w:fldChar w:fldCharType="end"/>
      </w:r>
      <w:r>
        <w:rPr>
          <w:rFonts w:hint="eastAsia" w:ascii="Calibri" w:hAnsi="Calibri" w:eastAsia="宋体" w:cs="Times New Roman"/>
          <w:color w:val="0D0D0D"/>
          <w:szCs w:val="24"/>
        </w:rPr>
        <w:t>，在全党开展了一场场普遍的马克思主义教育活动，提高了党员干部运用马克思主义治国理政的能力。</w:t>
      </w:r>
    </w:p>
    <w:p w14:paraId="02C48C3D">
      <w:pPr>
        <w:widowControl/>
        <w:spacing w:line="400" w:lineRule="exact"/>
        <w:ind w:firstLine="420" w:firstLineChars="200"/>
        <w:rPr>
          <w:rFonts w:ascii="宋体" w:hAnsi="宋体" w:eastAsia="宋体" w:cs="宋体"/>
          <w:bCs/>
          <w:color w:val="0D0D0D"/>
          <w:kern w:val="0"/>
          <w:szCs w:val="24"/>
        </w:rPr>
      </w:pPr>
      <w:r>
        <w:rPr>
          <w:rFonts w:hint="eastAsia" w:ascii="宋体" w:hAnsi="宋体" w:eastAsia="宋体" w:cs="宋体"/>
          <w:color w:val="0D0D0D"/>
          <w:szCs w:val="24"/>
        </w:rPr>
        <w:t>中国马克思主义学习型政党建设的百年伟大历程中，毛泽东无疑是理论和实践的勇于开拓者。邓小平、江泽民、胡锦涛把这一建设不断推向新高度，使党的马克思主义学习型政党</w:t>
      </w:r>
      <w:r>
        <w:rPr>
          <w:rFonts w:hint="eastAsia" w:ascii="宋体" w:hAnsi="宋体" w:eastAsia="宋体" w:cs="宋体"/>
          <w:color w:val="0D0D0D"/>
          <w:kern w:val="0"/>
          <w:szCs w:val="24"/>
        </w:rPr>
        <w:t>建设理论与实践不断深化与巩固。党的十八大以来，习近平总书记高度重视新时代马克思主义学习型政党建设，并把这一建设推进到21世纪的新高度，彰显了新时代中国共产党建设“学习大党”和学习强国的坚强决心和意志。</w:t>
      </w:r>
    </w:p>
    <w:p w14:paraId="36F4AB1D">
      <w:pPr>
        <w:widowControl/>
        <w:spacing w:line="400" w:lineRule="exact"/>
        <w:rPr>
          <w:rFonts w:ascii="Calibri" w:hAnsi="Calibri" w:eastAsia="宋体" w:cs="Times New Roman"/>
          <w:b/>
          <w:color w:val="0D0D0D"/>
          <w:sz w:val="28"/>
          <w:szCs w:val="28"/>
        </w:rPr>
      </w:pPr>
      <w:r>
        <w:rPr>
          <w:rFonts w:hint="eastAsia" w:ascii="Calibri" w:hAnsi="Calibri" w:eastAsia="宋体" w:cs="Times New Roman"/>
          <w:b/>
          <w:color w:val="0D0D0D"/>
          <w:sz w:val="28"/>
          <w:szCs w:val="28"/>
        </w:rPr>
        <w:t xml:space="preserve">        二、中国马克思主义学习型政党建设的百年经验</w:t>
      </w:r>
    </w:p>
    <w:p w14:paraId="3BF6204D">
      <w:pPr>
        <w:widowControl/>
        <w:spacing w:line="400" w:lineRule="exact"/>
        <w:ind w:firstLine="420" w:firstLineChars="200"/>
        <w:rPr>
          <w:rFonts w:ascii="宋体" w:hAnsi="宋体" w:eastAsia="宋体" w:cs="宋体"/>
          <w:color w:val="0D0D0D"/>
          <w:kern w:val="0"/>
          <w:szCs w:val="24"/>
        </w:rPr>
      </w:pPr>
      <w:r>
        <w:rPr>
          <w:rFonts w:hint="eastAsia" w:ascii="宋体" w:hAnsi="宋体" w:eastAsia="宋体" w:cs="宋体"/>
          <w:color w:val="0D0D0D"/>
          <w:kern w:val="0"/>
          <w:szCs w:val="24"/>
        </w:rPr>
        <w:t>重视学习马克思主义经典理论，善于把马克思主义与中国实际相结合，勤于学习马克思主义中国化成果，是中国共产党的优良传统和鲜明特色。建设马克思主义学习型政党就是为了永葆党在政治上的先进性，是中国共产党不断成长和自我完善的动力源泉，也是百年大党的成功经验。</w:t>
      </w:r>
    </w:p>
    <w:p w14:paraId="307C7B12">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（一）始终坚持服务于马克思主义学习型政党建设的伟大工程</w:t>
      </w:r>
    </w:p>
    <w:p w14:paraId="56C9576F">
      <w:pPr>
        <w:widowControl/>
        <w:spacing w:line="400" w:lineRule="exact"/>
        <w:ind w:firstLine="420" w:firstLineChars="200"/>
        <w:rPr>
          <w:rFonts w:ascii="宋体" w:hAnsi="宋体" w:eastAsia="宋体" w:cs="宋体"/>
          <w:color w:val="0D0D0D"/>
          <w:kern w:val="0"/>
          <w:szCs w:val="24"/>
        </w:rPr>
      </w:pPr>
      <w:r>
        <w:rPr>
          <w:rFonts w:hint="eastAsia" w:ascii="宋体" w:hAnsi="宋体" w:eastAsia="宋体" w:cs="宋体"/>
          <w:color w:val="0D0D0D"/>
          <w:kern w:val="0"/>
          <w:szCs w:val="24"/>
        </w:rPr>
        <w:t>中国共产党是马克思主义学习型政党，在中国特色社会主义现代化建设中居于领导核心地位。在中国共产党百年辉煌的历史进程中，在不同的历史时期，面对不同的历史任务，为完成历史赋予的重任，中国共产党人善于学习马克思主义，善于从自身历史中汲取经验，在加强马克思主义学习型政党建设中克服了一系列艰难险阻，战胜了各种挑战。学习的内容也是与党在不同时期的历史使命紧密联系在一起的。革命、建设和改革的伟大事业，是建设马克思主义学习型政党的力量和源泉所在。马克思主义学习型政党的建设工程一直与革命、建设和改革的伟大事业紧密结合。为了完成抗战的伟大任务，为了使我们党成为真正的马克思主义学习型政党，为了解决党内存在的教条主义和经验主义，中国共产党开展的延安整风，实现了马克思主义与中国革命实际相结合的毛泽东思想在全党指导思想地位的确立，奠定了中国革命最终胜利的思想基础和组织基础。改革开放以来，马克思主义学习型政党建设的实践也证明，党之所以能领导改革开放事业取得巨大成功，之所以能够跟上时代步伐领导人民在站起来的基础上又富起来，那就是解放思想、实事求是地围绕中心任务，推进党的建设。政治属性是马克思主义政党的第一属性，政治建设是马克思主义政党建设的内在要求。十八大以来，党中央在强化党的领导、强化党内监督、持续开展反腐败斗争等方面加强党的建设的伟大工程，取得了空前成效。习近平还进一步指出:全党只有通过学习马克思主义和实践马克思主义，才能不断增强本领，“‘两个一百年’的奋斗目标才能实现，中华民族伟大复兴的‘中国梦’才能梦想成真”</w:t>
      </w:r>
      <w:r>
        <w:rPr>
          <w:rFonts w:hint="eastAsia" w:ascii="宋体" w:hAnsi="宋体" w:eastAsia="宋体" w:cs="宋体"/>
          <w:color w:val="0D0D0D"/>
          <w:kern w:val="0"/>
          <w:sz w:val="21"/>
          <w:szCs w:val="21"/>
          <w:vertAlign w:val="superscript"/>
        </w:rPr>
        <w:t>[18]</w:t>
      </w:r>
      <w:r>
        <w:rPr>
          <w:rFonts w:hint="eastAsia" w:ascii="宋体" w:hAnsi="宋体" w:eastAsia="宋体" w:cs="宋体"/>
          <w:color w:val="0D0D0D"/>
          <w:kern w:val="0"/>
          <w:szCs w:val="24"/>
        </w:rPr>
        <w:t>。</w:t>
      </w:r>
      <w:r>
        <w:rPr>
          <w:rFonts w:hint="eastAsia" w:ascii="宋体" w:hAnsi="宋体" w:eastAsia="宋体" w:cs="宋体"/>
          <w:color w:val="0D0D0D"/>
          <w:szCs w:val="24"/>
        </w:rPr>
        <w:t>新时代要把党建设成为始终走在时代前列、人民衷心拥护、勇于自我革命、经得起各种风浪考验、朝气蓬勃的马克思主义执政党，</w:t>
      </w:r>
      <w:r>
        <w:rPr>
          <w:rFonts w:hint="eastAsia" w:ascii="宋体" w:hAnsi="宋体" w:eastAsia="宋体" w:cs="宋体"/>
          <w:color w:val="0D0D0D"/>
          <w:kern w:val="0"/>
          <w:szCs w:val="24"/>
        </w:rPr>
        <w:t>就必须要求全党在学习马克思主义中推进党的建设的伟大工程，只有这样，才能更好地承载起团结带领各族人民实现社会主义现代化建设目标的重任。</w:t>
      </w:r>
    </w:p>
    <w:p w14:paraId="01963D45">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（二）始终坚持学习马克思主义与批判非马克思主义的统一</w:t>
      </w:r>
    </w:p>
    <w:p w14:paraId="33C8F4D4">
      <w:pPr>
        <w:spacing w:line="400" w:lineRule="exact"/>
        <w:ind w:firstLine="420" w:firstLineChars="200"/>
        <w:rPr>
          <w:rFonts w:ascii="宋体" w:hAnsi="宋体" w:eastAsia="宋体" w:cs="宋体"/>
          <w:color w:val="0D0D0D"/>
          <w:szCs w:val="24"/>
        </w:rPr>
      </w:pPr>
      <w:r>
        <w:rPr>
          <w:rFonts w:hint="eastAsia" w:ascii="宋体" w:hAnsi="宋体" w:eastAsia="宋体" w:cs="宋体"/>
          <w:color w:val="0D0D0D"/>
          <w:kern w:val="0"/>
          <w:szCs w:val="24"/>
        </w:rPr>
        <w:t>马克思主义是无产阶级政党的世界观和方法论，中国共产党人的学习首先是要学习马克思主义，这是我们党对自身学习的基本要求，体现了我们党在学习问题上鲜明的党性立场和价值取向。只有在坚持不懈的学习中深刻地理解、牢固地信仰、自觉地运用马克思主义，中国共产党才能确保全党在思想上、组织上和行动上的统一，确保具有强大的战斗力。如果忽视了马克思主义分析问题认识问题的根本立场，忽视马克思主义对错误思潮的批判精神，马克思主义学习型政党建设就容易误入歧途，就会丧失意识形态领导权，要积极建构中国特色社会主义哲学和社会科学的学科体系和话语体系，用中国特色社会主义理论武装全党，批判形形色色的错误思潮。因此，党员干部始终高度重视研读马克思主义批判精神，深刻领悟马克思主义的劳动阶级和人民立场，自觉抵制和批判各种非（反）马克思主义的观点，</w:t>
      </w:r>
      <w:r>
        <w:rPr>
          <w:rFonts w:hint="eastAsia" w:ascii="宋体" w:hAnsi="宋体" w:eastAsia="宋体" w:cs="宋体"/>
          <w:color w:val="0D0D0D"/>
          <w:szCs w:val="24"/>
        </w:rPr>
        <w:t>不断夯实马克思主义在新时代意识形态领域的指导地位。</w:t>
      </w:r>
      <w:r>
        <w:rPr>
          <w:rFonts w:hint="eastAsia" w:ascii="宋体" w:hAnsi="宋体" w:eastAsia="宋体" w:cs="宋体"/>
          <w:color w:val="0D0D0D"/>
          <w:kern w:val="0"/>
          <w:szCs w:val="24"/>
        </w:rPr>
        <w:t>学习马克思主义经典著作，要防止和批判对马克思主义的修正主义和教条主义；向实践学习，要防止和批判不顾时间地点变化的抱残守缺的经验主义和实用主义；向群众学习，要防止和批判尾巴主义和官僚主义；向外国学习，要防止和批判拿来主义和盲崇主义。</w:t>
      </w:r>
      <w:r>
        <w:rPr>
          <w:rFonts w:hint="eastAsia" w:ascii="宋体" w:hAnsi="宋体" w:eastAsia="宋体" w:cs="宋体"/>
          <w:color w:val="0D0D0D"/>
          <w:szCs w:val="24"/>
        </w:rPr>
        <w:t>在社会主义现代化建设新时代，针对西方新自由主义和历史虚无主义的泛滥，习近平总书记明确指出，我们要警惕和抵制一段时期以来泛滥的历史虚无主义，坚持辩证地看待中国共产党的百年历史，反对党史研究中曾经存在的前后两个三十年相互否定的错误观点和错误倾向。“正确处理两个时期关系这个重大政治问题，必须发扬斗争精神，增强斗争本领。”</w:t>
      </w:r>
      <w:r>
        <w:rPr>
          <w:rFonts w:hint="eastAsia" w:ascii="Calibri" w:hAnsi="Calibri" w:eastAsia="宋体" w:cs="Times New Roman"/>
          <w:color w:val="0D0D0D"/>
          <w:szCs w:val="24"/>
          <w:vertAlign w:val="superscript"/>
        </w:rPr>
        <w:t>[19]</w:t>
      </w:r>
      <w:r>
        <w:rPr>
          <w:rFonts w:hint="eastAsia" w:ascii="宋体" w:hAnsi="宋体" w:eastAsia="宋体" w:cs="宋体"/>
          <w:color w:val="0D0D0D"/>
          <w:szCs w:val="24"/>
        </w:rPr>
        <w:t>反对以美国为样板的宪政主义和新自由主义，事关社会科学和意识形态领导权，事关国家发展、政治安全和人民福祉，必须旗帜鲜明，敢于亮剑。</w:t>
      </w:r>
    </w:p>
    <w:p w14:paraId="5CEA8228">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（三）始终坚持学习马克思主义与指导中国具体实践的统一</w:t>
      </w:r>
    </w:p>
    <w:p w14:paraId="5EC42196">
      <w:pPr>
        <w:spacing w:line="400" w:lineRule="exact"/>
        <w:ind w:firstLine="420" w:firstLineChars="200"/>
        <w:jc w:val="left"/>
        <w:rPr>
          <w:rFonts w:ascii="宋体" w:hAnsi="宋体" w:eastAsia="宋体" w:cs="宋体"/>
          <w:color w:val="0D0D0D"/>
          <w:szCs w:val="24"/>
        </w:rPr>
      </w:pPr>
      <w:r>
        <w:rPr>
          <w:rFonts w:hint="eastAsia" w:ascii="宋体" w:hAnsi="宋体" w:eastAsia="宋体" w:cs="宋体"/>
          <w:color w:val="0D0D0D"/>
          <w:szCs w:val="24"/>
        </w:rPr>
        <w:t>习近平总书记明确指出，马克思主义是中国共产党的指导思想，她揭示了人类历史发展变化的本质属性和内在规律，是无产阶级“伟大的认识工具”，是中国共产党认识国情，指导中国革命、建设和改革的有力思想武器；马克思主义的实践品格在于，不仅致力于“解释世界”，而且致力于“改变世界”。马克思主义经典作家们之所以能够准确地把握时代的脉搏和人类社会历史发展的基本规律，进而进行科学的预测，同他们始终坚持理论联系实际分不开。以毛泽东为代表的第一代中国共产党人当把马克思主义理论作为认识世界，改造中国的革命工具。不但学习马克思主义研究问题的阶级立场和革命理念，而且把这一理论与中国新民主主义革命的现实结合起来，把武装斗争、根据地建设和党的领导紧密结合起来，开辟了一条半封建半殖民地人民成功革命的道路。正如毛泽东指出：“马克思列宁主义之箭，必须用了去射中国革命之的。”</w:t>
      </w:r>
      <w:r>
        <w:rPr>
          <w:rFonts w:hint="eastAsia" w:ascii="宋体" w:hAnsi="宋体" w:eastAsia="宋体" w:cs="宋体"/>
          <w:color w:val="0D0D0D"/>
          <w:kern w:val="0"/>
          <w:szCs w:val="24"/>
        </w:rPr>
        <w:t>“读书是学习，使用也是学习，而且是更重要的学习。”</w:t>
      </w:r>
      <w:r>
        <w:rPr>
          <w:rFonts w:hint="eastAsia" w:ascii="宋体" w:hAnsi="宋体" w:eastAsia="宋体" w:cs="宋体"/>
          <w:color w:val="0D0D0D"/>
          <w:kern w:val="0"/>
          <w:sz w:val="21"/>
          <w:szCs w:val="21"/>
          <w:vertAlign w:val="superscript"/>
        </w:rPr>
        <w:t>[20]</w:t>
      </w:r>
      <w:r>
        <w:rPr>
          <w:rFonts w:hint="eastAsia" w:ascii="宋体" w:hAnsi="宋体" w:eastAsia="宋体" w:cs="宋体"/>
          <w:color w:val="0D0D0D"/>
          <w:kern w:val="0"/>
          <w:szCs w:val="24"/>
        </w:rPr>
        <w:t>习近平特别强调，学习马克思主义的“根本目的是增强工作本领、提高解决实际问题的水平”</w:t>
      </w:r>
      <w:r>
        <w:rPr>
          <w:rFonts w:hint="eastAsia" w:ascii="宋体" w:hAnsi="宋体" w:eastAsia="宋体" w:cs="宋体"/>
          <w:color w:val="0D0D0D"/>
          <w:kern w:val="0"/>
          <w:sz w:val="21"/>
          <w:szCs w:val="21"/>
          <w:vertAlign w:val="superscript"/>
        </w:rPr>
        <w:t>[21]</w:t>
      </w:r>
      <w:r>
        <w:rPr>
          <w:rFonts w:hint="eastAsia" w:ascii="宋体" w:hAnsi="宋体" w:eastAsia="宋体" w:cs="宋体"/>
          <w:color w:val="0D0D0D"/>
          <w:szCs w:val="24"/>
        </w:rPr>
        <w:t>中国共产党人通过理论与实践的结合，开创了中国特色的社会主义革命和建设模式。中国共产党学习马克思主义的历史，就是坚持理论联系实际的马克思主义学风，将马克思主义认识问题，改造世界的立场观点和方法，与中国特殊的革命和建设的国情相结合，探索中国道路和中国模式。</w:t>
      </w:r>
    </w:p>
    <w:p w14:paraId="763CB445">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（四）始终坚持学习马克思主义与发展马克思主义的统一</w:t>
      </w:r>
    </w:p>
    <w:p w14:paraId="7681090C">
      <w:pPr>
        <w:widowControl/>
        <w:spacing w:line="400" w:lineRule="exact"/>
        <w:ind w:firstLine="420" w:firstLineChars="200"/>
        <w:rPr>
          <w:rFonts w:ascii="宋体" w:hAnsi="宋体" w:eastAsia="宋体" w:cs="宋体"/>
          <w:color w:val="0D0D0D"/>
          <w:szCs w:val="24"/>
        </w:rPr>
      </w:pPr>
      <w:r>
        <w:rPr>
          <w:rFonts w:hint="eastAsia" w:ascii="宋体" w:hAnsi="宋体" w:eastAsia="宋体" w:cs="宋体"/>
          <w:color w:val="0D0D0D"/>
          <w:szCs w:val="24"/>
        </w:rPr>
        <w:t>恩格斯指出，马克思的整个世界观不是教义，而是进一步研究的出发点和供这种研究使用的方法。建设马克思主义学习型政党必须与推进党的指导思想的理论创新紧密结合。中国</w:t>
      </w:r>
      <w:r>
        <w:rPr>
          <w:rFonts w:hint="eastAsia" w:ascii="宋体" w:hAnsi="宋体" w:eastAsia="宋体" w:cs="宋体"/>
          <w:color w:val="0D0D0D"/>
          <w:kern w:val="0"/>
          <w:szCs w:val="24"/>
        </w:rPr>
        <w:t>共产党就是在学习马克思主义中，坚持马克思主义，从而不断推进理论创新，引领党和国家事业的发展。新民主主义革命时期</w:t>
      </w:r>
      <w:r>
        <w:rPr>
          <w:rFonts w:hint="eastAsia" w:ascii="宋体" w:hAnsi="宋体" w:eastAsia="宋体" w:cs="宋体"/>
          <w:color w:val="0D0D0D"/>
          <w:szCs w:val="24"/>
        </w:rPr>
        <w:t>，王明先后犯了“左”和右的错误路线，曾一度主导党中央工作，两次不同错误路线的本质都是教条式地对待马克思主义。他们照抄照搬马克思主义，从不考虑中国新民主主义革命的具体实际和特殊国情，把活的马克思主义理论绝对化和教条化，把万里之外的共产国际决议和苏联经验机械化和神圣化，使整个中国革命几乎陷入绝境。以毛泽东为代表的中国共产党人，坚持学习马克思主义与发展马克思主义相统一，深刻把握近代中国的国情，农民占人口的绝大多数，敌人在农村的统治极其薄弱，积极探索出一条农村包围城市、武装夺取政权的中国特色革命道路，发展了马克思主义的革命理论，创立了毛泽东思想。改革开放初期，“两个凡是”的教条主义禁锢了党的事业，邓小平大声疾呼，一个党，一个国家，一个民族，如果一切从本本出发，思想僵化，就要亡党亡国。他积极推动实践是检验真理的唯一标准讨论，提出解放思想，实事求是，要在新的历史条件下坚持毛泽东思想，发展毛泽东思想，把毛泽东开创的马克思主义中国化事业不断推进，坚持学习马克思主义与发展马克思主义的统一，创立了邓小平理论。不过，邓小平指出：“过去两个总书记都没有站住，并不是选的时候不合格，选的时候没有选错，但后来他们在根本问题上，就是在坚持四项基本原则的问题上犯了错误，栽了跟头。四个坚持中最核心的是党的领导和社会主义。四个坚持的对立面是资产阶级自由化。”</w:t>
      </w:r>
      <w:r>
        <w:rPr>
          <w:rFonts w:hint="eastAsia" w:ascii="宋体" w:hAnsi="宋体" w:eastAsia="宋体" w:cs="宋体"/>
          <w:color w:val="0D0D0D"/>
          <w:kern w:val="0"/>
          <w:sz w:val="21"/>
          <w:szCs w:val="21"/>
          <w:vertAlign w:val="superscript"/>
        </w:rPr>
        <w:t>[22]</w:t>
      </w:r>
      <w:r>
        <w:rPr>
          <w:rFonts w:hint="eastAsia" w:ascii="宋体" w:hAnsi="宋体" w:eastAsia="宋体" w:cs="宋体"/>
          <w:color w:val="0D0D0D"/>
          <w:szCs w:val="24"/>
        </w:rPr>
        <w:t>新时代新阶段，中国特色社会主义面临百年未有之大变局，为实现历代中国共产党人的民族复兴伟大梦想，习近平总书记坚持全面从严治党，全面建设小康社会，全面依法治国，全面深化改革，积极推进马克思主义学习型政党建设，在坚持马克思主义中发展马克思主义，创立了习近平新时代中国特色社会主义思想，为21世纪的马克思主义增添了新的篇章。</w:t>
      </w:r>
      <w:r>
        <w:rPr>
          <w:rFonts w:hint="eastAsia" w:ascii="宋体" w:hAnsi="宋体" w:eastAsia="宋体" w:cs="宋体"/>
          <w:color w:val="0D0D0D"/>
          <w:kern w:val="0"/>
          <w:szCs w:val="24"/>
        </w:rPr>
        <w:t>党在百年的革命、建设和改革的进程中，持续学习，不断推进马克思主义理论创新。</w:t>
      </w:r>
      <w:r>
        <w:rPr>
          <w:rFonts w:hint="eastAsia" w:ascii="宋体" w:hAnsi="宋体" w:eastAsia="宋体" w:cs="宋体"/>
          <w:color w:val="0D0D0D"/>
          <w:szCs w:val="24"/>
        </w:rPr>
        <w:t>中国共产党的诞生和成长，中国革命和建设的探索和成功，就是不断学习马克思主义并持续发展马克思主义的结果。</w:t>
      </w:r>
    </w:p>
    <w:p w14:paraId="6A85544D">
      <w:pPr>
        <w:widowControl/>
        <w:spacing w:line="400" w:lineRule="exact"/>
        <w:rPr>
          <w:rFonts w:ascii="Calibri" w:hAnsi="Calibri" w:eastAsia="宋体" w:cs="Times New Roman"/>
          <w:b/>
          <w:color w:val="0D0D0D"/>
          <w:sz w:val="28"/>
          <w:szCs w:val="28"/>
        </w:rPr>
      </w:pPr>
      <w:r>
        <w:rPr>
          <w:rFonts w:hint="eastAsia" w:ascii="Calibri" w:hAnsi="Calibri" w:eastAsia="宋体" w:cs="Times New Roman"/>
          <w:b/>
          <w:color w:val="0D0D0D"/>
          <w:sz w:val="28"/>
          <w:szCs w:val="28"/>
        </w:rPr>
        <w:t xml:space="preserve">         三、中国马克思主义学习型政党建设的推进路径</w:t>
      </w:r>
    </w:p>
    <w:p w14:paraId="3ECBF294">
      <w:pPr>
        <w:spacing w:line="400" w:lineRule="exact"/>
        <w:ind w:firstLine="420" w:firstLineChars="200"/>
        <w:rPr>
          <w:rFonts w:ascii="宋体" w:hAnsi="宋体" w:eastAsia="宋体" w:cs="宋体"/>
          <w:b/>
          <w:bCs/>
          <w:color w:val="0D0D0D"/>
          <w:szCs w:val="24"/>
          <w:shd w:val="clear" w:color="auto" w:fill="FFFFFF"/>
        </w:rPr>
      </w:pPr>
      <w:r>
        <w:rPr>
          <w:rFonts w:hint="eastAsia" w:ascii="宋体" w:hAnsi="宋体" w:eastAsia="宋体" w:cs="宋体"/>
          <w:color w:val="0D0D0D"/>
          <w:kern w:val="0"/>
          <w:szCs w:val="24"/>
        </w:rPr>
        <w:t>新时代，中国特色社会主义现代化建设面临百年未有大变局，尤其是当前新冠世界大流疫，资本主义和社会主义两种制度的发展模式局孰优孰劣日见分晓，中华民族伟大复兴的中国梦日益临近，中国日益走近世界舞台的中央。中国共产党必须按照科学理论武装、具有世界眼光、善于把握规律、富有创新精神，积极推进马克思主义学习型政党建设。</w:t>
      </w:r>
    </w:p>
    <w:p w14:paraId="0C45927E">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（一）科学理论武装，践行习近平新时代中国特色社会主义思想</w:t>
      </w:r>
    </w:p>
    <w:p w14:paraId="1439F1CD">
      <w:pPr>
        <w:widowControl/>
        <w:spacing w:line="400" w:lineRule="exact"/>
        <w:ind w:firstLine="420" w:firstLineChars="200"/>
        <w:rPr>
          <w:rFonts w:ascii="宋体" w:hAnsi="宋体" w:eastAsia="宋体" w:cs="宋体"/>
          <w:color w:val="0D0D0D"/>
          <w:kern w:val="0"/>
          <w:szCs w:val="24"/>
        </w:rPr>
      </w:pPr>
      <w:r>
        <w:rPr>
          <w:rFonts w:hint="eastAsia" w:ascii="宋体" w:hAnsi="宋体" w:eastAsia="宋体" w:cs="宋体"/>
          <w:color w:val="0D0D0D"/>
          <w:kern w:val="0"/>
          <w:szCs w:val="24"/>
        </w:rPr>
        <w:t>伴随改革开放的深入，社会主义现代化建设逐步推进，一段时期以来，新自由主义、历史虚无主义、西方普世价值观等错误思潮借助于互联网攻城略地泛滥成灾，它们粉饰资本主义，攻击马克思主义，假借学术自由，扮装前沿学术，侵蚀主流意识形态，甚至打着马克思主义旗号，通过断章取义、以偏概全的方式对马克思主义经典著作进行误读曲解，这些反（非）马克思主义错误思潮严重妨害中国共产党的建设。一些党员“无视党纪党规,不仅党员身份意识淡化，模范带头作用丧失，甚至屡屡违反党的政治纪律，破坏党的政治规矩，”“更有的党员公然发表反共反社会主义言论。”</w:t>
      </w:r>
      <w:r>
        <w:rPr>
          <w:rFonts w:hint="eastAsia" w:ascii="宋体" w:hAnsi="宋体" w:eastAsia="宋体" w:cs="宋体"/>
          <w:color w:val="0D0D0D"/>
          <w:kern w:val="0"/>
          <w:szCs w:val="24"/>
          <w:vertAlign w:val="superscript"/>
        </w:rPr>
        <w:t>[23]</w:t>
      </w:r>
      <w:r>
        <w:rPr>
          <w:rFonts w:hint="eastAsia" w:ascii="宋体" w:hAnsi="宋体" w:eastAsia="宋体" w:cs="宋体"/>
          <w:color w:val="0D0D0D"/>
          <w:kern w:val="0"/>
          <w:szCs w:val="24"/>
        </w:rPr>
        <w:t>还有些人“思想道德素质欠缺，主体意识和反叛意识又强，对问题的看法和评价很难客观科学。”</w:t>
      </w:r>
      <w:r>
        <w:rPr>
          <w:rFonts w:hint="eastAsia" w:ascii="宋体" w:hAnsi="宋体" w:eastAsia="宋体" w:cs="宋体"/>
          <w:color w:val="0D0D0D"/>
          <w:kern w:val="0"/>
          <w:szCs w:val="24"/>
          <w:vertAlign w:val="superscript"/>
        </w:rPr>
        <w:t>[24]</w:t>
      </w:r>
      <w:r>
        <w:rPr>
          <w:rFonts w:hint="eastAsia" w:ascii="宋体" w:hAnsi="宋体" w:eastAsia="宋体" w:cs="宋体"/>
          <w:color w:val="0D0D0D"/>
          <w:kern w:val="0"/>
          <w:szCs w:val="24"/>
        </w:rPr>
        <w:t>十八大以来，党中央坚持马克思主义，积极推进国家治理能力和治理体系现代化，正本清源，强化意识形态领导权，建构中国特色社会主义哲学社会科学体系，尤其是以习近平新时代中国特色社会主义思想武装全党。在新时代中国，马克思主义及其中国化理论不仅要坚持进入国民教育体系，而且党员干部应分级别必读马列主义及其中国化理论的经典文献，系统学习习近平新时代中国特色社会主义思想。比如，入党前应必读恩格斯《共产主义原理》、列宁《马克思主义的三个来源和三个组成部分》、毛泽东《为人民服务》《学习张思德》、邓小平《坚持四项基本原则》、《习近平谈治国理政》1-3卷；部级干部应必读《马克思恩格斯文集》1-10卷、《列宁专题文集》1-5卷、《毛泽东选集》1-4卷和《毛泽东文集》1-8卷、《邓小平文选》1-3卷、《江泽民文选》1-3卷、《胡锦涛文集》1-3卷以及习近平所有公开发表的论著和讲话；科级、处级和局级党员干部可选择部级干部必读的部分文献。正如习近平总书记指出:“要加快推进马克思主义学习型政党、学习大国建设，坚持把学习贯彻新时代中国特色社会主义思想作为重中之重。”</w:t>
      </w:r>
      <w:r>
        <w:rPr>
          <w:rFonts w:hint="eastAsia" w:ascii="宋体" w:hAnsi="宋体" w:eastAsia="宋体" w:cs="宋体"/>
          <w:color w:val="0D0D0D"/>
          <w:kern w:val="0"/>
          <w:sz w:val="21"/>
          <w:szCs w:val="21"/>
          <w:vertAlign w:val="superscript"/>
        </w:rPr>
        <w:t>[25]</w:t>
      </w:r>
      <w:r>
        <w:rPr>
          <w:rFonts w:hint="eastAsia" w:ascii="宋体" w:hAnsi="宋体" w:eastAsia="宋体" w:cs="宋体"/>
          <w:color w:val="0D0D0D"/>
          <w:kern w:val="0"/>
          <w:szCs w:val="24"/>
        </w:rPr>
        <w:t>。新时代加强马克思主义学习型政党建设，就必须积极引导广大党员干部全面学习马克思主义理论，特别是深入学习习近平新时代中国特色社会主义思想。用科学理论武装全党，就要把马克思主义基本原理与中国当代实践和时代特征相结合，赋予马克思主义新的时代内涵，让马克思主义的真理为人民群众所掌握。用科学理论武装全党，就要深入开展社会主义发展史、党史、新中国史、改革开放史的学习教育，让党员干部树立正确的历史观、人民观，坚定马克思主义信仰和和共产主义理想。</w:t>
      </w:r>
    </w:p>
    <w:p w14:paraId="3EE8D006">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（二）坚持世界眼光，提高新时代中国共产党治国理政水平</w:t>
      </w:r>
    </w:p>
    <w:p w14:paraId="3CA5CBD1">
      <w:pPr>
        <w:widowControl/>
        <w:spacing w:line="400" w:lineRule="exact"/>
        <w:ind w:firstLine="420" w:firstLineChars="200"/>
        <w:rPr>
          <w:rFonts w:ascii="宋体" w:hAnsi="宋体" w:eastAsia="宋体" w:cs="宋体"/>
          <w:color w:val="0D0D0D"/>
          <w:kern w:val="0"/>
          <w:szCs w:val="24"/>
        </w:rPr>
      </w:pPr>
      <w:r>
        <w:rPr>
          <w:rFonts w:hint="eastAsia" w:ascii="宋体" w:hAnsi="宋体" w:eastAsia="宋体" w:cs="宋体"/>
          <w:color w:val="0D0D0D"/>
          <w:kern w:val="0"/>
          <w:szCs w:val="24"/>
        </w:rPr>
        <w:t>建设马克思主义学习型政党的世界眼光就是中国共产党应具备的国际视野，这一视野要求新时代的中国共产党人必须坚定马克思主义立场，以人民利益为中心，准确把握百年未有之大变局，深入研究世界历史发展的规律，以宽广的世界历史看待中华民族伟大复兴，以比较的方法看待中国共产党的百年历史，以世界社会主义500年和中华民族5000年的长镜头审视中国特色社会主义的辉煌业绩和历史地位，站在21世纪人类发展的新时代的高度审视中国特色社会主义发展道路，对中华民族伟大复兴所面临的具有全局性、时代性、战略性的新情况、新问题作出马克思主义的科学分析和正确的回答。马克思主义的宽广视野，是世界历史发展进步的产物，中国共产党的发展历程是勇于学习和善于学习世界优秀文化成果的光辉历程。推进新时代马克思主义学习型政党建设，21世纪的中国共产党要有科学的世界眼光，要胸怀世界，放眼全球。既要运用马克思主义的理论武器敏锐地把握民族复兴的时代特征和历史契机，对当今的时代性问题和战略性方向，要立足于发展中国特色社会主义的目的，科学回答和正确应对，并经得起历史检验。与此同时，又必须秉持世界眼光，古为今用，洋为中用，批判地继承人类一切有益的优秀成果，如饥似渴地学习各国有益发展经验，为发展马克思主义累积时代营养和国际元素。只有始终立足中国实际，根植中国立场，坚持道路自信、制度自信、理论自信、文化自信，并以宽广的眼界，开放的心态，汲取国际经验，为我所用，增强中国特色社会主义的发展能力，并不断升华中国道路的实践经验，为发展中国家的发展提供有别于西方资本主义掠夺性发展模式的中国方案。具有世界眼光的中国共产党，就必须自觉了解国外特别是资本主义发达国家发展的最新状况，以开放包容的心态批判地吸收利用世界发达国家长期积累的文明成果，提高我们党治国理政的能力和水平。中国共产党始终为顺应时代发展潮流和完成党的历史使命而坚持不懈地以宽广的世界胸怀汲取力量，这是我们党历经磨难而始终走在时代前列的根本前提。</w:t>
      </w:r>
    </w:p>
    <w:p w14:paraId="5046BA59">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（三）善于把握规律，立足新时代中国特色社会主义的应然实践</w:t>
      </w:r>
    </w:p>
    <w:p w14:paraId="30172665">
      <w:pPr>
        <w:spacing w:line="400" w:lineRule="exact"/>
        <w:ind w:firstLine="420" w:firstLineChars="200"/>
        <w:rPr>
          <w:rFonts w:ascii="宋体" w:hAnsi="宋体" w:eastAsia="宋体" w:cs="宋体"/>
          <w:color w:val="0D0D0D"/>
          <w:kern w:val="0"/>
          <w:szCs w:val="24"/>
        </w:rPr>
      </w:pPr>
      <w:r>
        <w:rPr>
          <w:rFonts w:hint="eastAsia" w:ascii="宋体" w:hAnsi="宋体" w:eastAsia="宋体" w:cs="宋体"/>
          <w:color w:val="0D0D0D"/>
          <w:kern w:val="0"/>
          <w:szCs w:val="24"/>
        </w:rPr>
        <w:t>规律是事物发展过程中的本质联系和必然趋势。尊重规律，把握规律，按规律办事，这是我们党从革命、建设和改革实践中得出的一条基本经验。人类社会的发展具有内在规律，毛泽东思想的形成就是中国共产党认识和把握中国新民主主义革命规律和社会主义革命和建设规律的经验总结。中国特色社会主义思想思想体系是中国共产党对改革开放以来中国特色社会主义建设规律的认知和把握的理论成果。面对新时代的新世情、新国情、新党情，习近平总书记立足新时代中国特色社会主义现实，科学把握时代脉搏，正确应对各种挑战，形成了习近平新时代中国特色社会主义思想。</w:t>
      </w:r>
      <w:r>
        <w:rPr>
          <w:rFonts w:hint="eastAsia" w:ascii="宋体" w:hAnsi="宋体" w:eastAsia="宋体" w:cs="宋体"/>
          <w:color w:val="0D0D0D"/>
          <w:szCs w:val="24"/>
          <w:shd w:val="clear" w:color="auto" w:fill="FFFFFF"/>
        </w:rPr>
        <w:t>首先，把握规律，</w:t>
      </w:r>
      <w:r>
        <w:rPr>
          <w:rFonts w:hint="eastAsia" w:ascii="宋体" w:hAnsi="宋体" w:eastAsia="宋体" w:cs="宋体"/>
          <w:color w:val="0D0D0D"/>
          <w:kern w:val="0"/>
          <w:szCs w:val="24"/>
        </w:rPr>
        <w:t>要立足于新时代中华民族伟大复兴的新国情，着眼于在全面实现小康社会以后，依据社会发展历史规律，积极推进马克思主义学习型政党建设。“</w:t>
      </w:r>
      <w:r>
        <w:rPr>
          <w:rFonts w:hint="eastAsia" w:ascii="Calibri" w:hAnsi="Calibri" w:eastAsia="宋体" w:cs="Times New Roman"/>
          <w:color w:val="0D0D0D"/>
          <w:szCs w:val="24"/>
        </w:rPr>
        <w:t>我国社会历史的发展经历了五个大的阶段，这五个大的阶段是原始社会时期、奴隶社会时期、封建社会时期、半殖民地半封建社会时期和社会主义社会时期。</w:t>
      </w:r>
      <w:r>
        <w:rPr>
          <w:rFonts w:hint="eastAsia" w:ascii="宋体" w:hAnsi="宋体" w:eastAsia="宋体" w:cs="宋体"/>
          <w:color w:val="0D0D0D"/>
          <w:kern w:val="0"/>
          <w:szCs w:val="24"/>
        </w:rPr>
        <w:t>”。</w:t>
      </w:r>
      <w:r>
        <w:rPr>
          <w:rFonts w:hint="eastAsia" w:ascii="宋体" w:hAnsi="宋体" w:eastAsia="宋体" w:cs="宋体"/>
          <w:color w:val="0D0D0D"/>
          <w:kern w:val="0"/>
          <w:sz w:val="21"/>
          <w:szCs w:val="21"/>
          <w:vertAlign w:val="superscript"/>
        </w:rPr>
        <w:t>[26]</w:t>
      </w:r>
      <w:r>
        <w:rPr>
          <w:rFonts w:hint="eastAsia" w:ascii="宋体" w:hAnsi="宋体" w:eastAsia="宋体" w:cs="宋体"/>
          <w:color w:val="0D0D0D"/>
          <w:kern w:val="0"/>
          <w:szCs w:val="24"/>
        </w:rPr>
        <w:t>我们要在全面了解中国发展历史的基础上认清中国特色社会主义演进规律和体制机制，把马克思主义学习型政党建设不断推进。</w:t>
      </w:r>
      <w:r>
        <w:rPr>
          <w:rFonts w:hint="eastAsia" w:ascii="宋体" w:hAnsi="宋体" w:eastAsia="宋体" w:cs="宋体"/>
          <w:color w:val="0D0D0D"/>
          <w:szCs w:val="24"/>
          <w:shd w:val="clear" w:color="auto" w:fill="FFFFFF"/>
        </w:rPr>
        <w:t>其次，把握规律，</w:t>
      </w:r>
      <w:r>
        <w:rPr>
          <w:rFonts w:hint="eastAsia" w:ascii="宋体" w:hAnsi="宋体" w:eastAsia="宋体" w:cs="宋体"/>
          <w:color w:val="0D0D0D"/>
          <w:kern w:val="0"/>
          <w:szCs w:val="24"/>
        </w:rPr>
        <w:t>要立足今天的新世情，着眼于百年未有大变局，加强马克思主义学习型政党建设，就要积极推进“一带一路”建设，让广大发展中国家搭上中国改革开放和经济发展的快车，为世界发展做出中国贡献。要“顺应各国人民的共同愿望，吸取他们的智慧与力量，按照共商、共建、共享的全球治理观和国际民主原则”</w:t>
      </w:r>
      <w:r>
        <w:rPr>
          <w:rFonts w:hint="eastAsia" w:ascii="宋体" w:hAnsi="宋体" w:eastAsia="宋体" w:cs="宋体"/>
          <w:color w:val="0D0D0D"/>
          <w:kern w:val="0"/>
          <w:sz w:val="21"/>
          <w:szCs w:val="21"/>
          <w:vertAlign w:val="superscript"/>
        </w:rPr>
        <w:t>[27]</w:t>
      </w:r>
      <w:r>
        <w:rPr>
          <w:rFonts w:hint="eastAsia" w:ascii="宋体" w:hAnsi="宋体" w:eastAsia="宋体" w:cs="宋体"/>
          <w:color w:val="0D0D0D"/>
          <w:kern w:val="0"/>
          <w:szCs w:val="24"/>
        </w:rPr>
        <w:t>，积极建构人类命运共同体，为国际治理提供中国方案，为世界学习型政党建设提供中国模式。应有计划地选派干部到国外学习考察，重点听取外国马克思主义学者对世情的科学研判，以便不被西方资本主义的主流舆论和主流学术所误导。</w:t>
      </w:r>
      <w:r>
        <w:rPr>
          <w:rFonts w:hint="eastAsia" w:ascii="宋体" w:hAnsi="宋体" w:eastAsia="宋体" w:cs="宋体"/>
          <w:color w:val="0D0D0D"/>
          <w:szCs w:val="24"/>
          <w:shd w:val="clear" w:color="auto" w:fill="FFFFFF"/>
        </w:rPr>
        <w:t>再次，把握规律，要立足今天的新</w:t>
      </w:r>
      <w:r>
        <w:rPr>
          <w:rFonts w:hint="eastAsia" w:ascii="宋体" w:hAnsi="宋体" w:eastAsia="宋体" w:cs="宋体"/>
          <w:color w:val="0D0D0D"/>
          <w:kern w:val="0"/>
          <w:szCs w:val="24"/>
        </w:rPr>
        <w:t>党情。中国特色社会主义最本质的特征是中国共产党领导。新时代新党情，中国共产党正在进行具有许多新的历史特点的伟大斗争，亟待进行全面深化改革，全面从严治党。尤其是全面从严治党实现了主体、客体、内容由窄视角到全视域的覆盖，开创了新时代马克思主义学习型政党建设新局面。加强党的建设就必须加强党性锻炼，使我党在各种挑战和考验中永远立于不败之地。</w:t>
      </w:r>
    </w:p>
    <w:p w14:paraId="1390744E">
      <w:pPr>
        <w:widowControl/>
        <w:spacing w:line="400" w:lineRule="exact"/>
        <w:ind w:firstLine="420" w:firstLineChars="200"/>
        <w:rPr>
          <w:rFonts w:ascii="Calibri" w:hAnsi="Calibri" w:eastAsia="宋体" w:cs="Times New Roman"/>
          <w:b/>
          <w:color w:val="0D0D0D"/>
          <w:szCs w:val="24"/>
        </w:rPr>
      </w:pPr>
      <w:r>
        <w:rPr>
          <w:rFonts w:hint="eastAsia" w:ascii="Calibri" w:hAnsi="Calibri" w:eastAsia="宋体" w:cs="Times New Roman"/>
          <w:b/>
          <w:color w:val="0D0D0D"/>
          <w:szCs w:val="24"/>
        </w:rPr>
        <w:t>（四）富有创新精神，不断开辟马克思主义理论发展新境界</w:t>
      </w:r>
    </w:p>
    <w:p w14:paraId="5987103E">
      <w:pPr>
        <w:spacing w:line="400" w:lineRule="exact"/>
        <w:ind w:firstLine="420" w:firstLineChars="200"/>
        <w:rPr>
          <w:rFonts w:ascii="宋体" w:hAnsi="宋体" w:eastAsia="宋体" w:cs="宋体"/>
          <w:color w:val="0D0D0D"/>
          <w:szCs w:val="24"/>
          <w:shd w:val="clear" w:color="auto" w:fill="FFFFFF"/>
        </w:rPr>
      </w:pPr>
      <w:r>
        <w:rPr>
          <w:rFonts w:hint="eastAsia" w:ascii="宋体" w:hAnsi="宋体" w:eastAsia="宋体" w:cs="宋体"/>
          <w:bCs/>
          <w:color w:val="0D0D0D"/>
          <w:szCs w:val="24"/>
        </w:rPr>
        <w:t>中国共产党</w:t>
      </w:r>
      <w:r>
        <w:rPr>
          <w:rFonts w:hint="eastAsia" w:ascii="宋体" w:hAnsi="宋体" w:eastAsia="宋体" w:cs="宋体"/>
          <w:color w:val="0D0D0D"/>
          <w:szCs w:val="24"/>
          <w:shd w:val="clear" w:color="auto" w:fill="FFFFFF"/>
        </w:rPr>
        <w:t>的生命力就在于在实践中不断创新。新时代的</w:t>
      </w:r>
      <w:r>
        <w:rPr>
          <w:rFonts w:hint="eastAsia" w:ascii="宋体" w:hAnsi="宋体" w:eastAsia="宋体" w:cs="宋体"/>
          <w:bCs/>
          <w:color w:val="0D0D0D"/>
          <w:szCs w:val="24"/>
        </w:rPr>
        <w:t>中国共产党</w:t>
      </w:r>
      <w:r>
        <w:rPr>
          <w:rFonts w:hint="eastAsia" w:ascii="宋体" w:hAnsi="宋体" w:eastAsia="宋体" w:cs="宋体"/>
          <w:color w:val="0D0D0D"/>
          <w:szCs w:val="24"/>
          <w:shd w:val="clear" w:color="auto" w:fill="FFFFFF"/>
        </w:rPr>
        <w:t>要以马克思主义理论创新的巨大勇气，不断总结百年未有大变局下中国特色社会主义现代化建设的实践经验，认真分析研究新时代中国特色社会主义建设的新起点、新发展、新要求、新挑战，在思想理论上不断作出新总结和新概括，不断形成新的认识成果。要顺应改革发展和现代化建设的时代潮流，认真研究和解决好前进中面临的突出问题，以开放自信的精神和推陈出新的能力促进自身思想理论的变革和发展，在相互交流和比较借鉴的基础上，着眼于全球政治、经济和整个社会发展基本走向，提出符合时代要求和具有前瞻性、战略性的发展战略，不断开辟思想理论创新的视野和境界。首先，富有创新精神，要</w:t>
      </w:r>
      <w:r>
        <w:rPr>
          <w:rFonts w:hint="eastAsia" w:ascii="宋体" w:hAnsi="宋体" w:eastAsia="宋体" w:cs="宋体"/>
          <w:color w:val="0D0D0D"/>
          <w:kern w:val="0"/>
          <w:szCs w:val="24"/>
        </w:rPr>
        <w:t>创新学习。要在学习马克思主义经典理论的基础上，结合新时代中国特色社会主义实践，不断发展马克思主义。使马克思主义不断汲取时代元素和实践经验，焕发勃勃生机。在继承中创新，在创新中发展，这是马克思主义学习型政党必不可缺的两翼。</w:t>
      </w:r>
      <w:r>
        <w:rPr>
          <w:rFonts w:hint="eastAsia" w:ascii="宋体" w:hAnsi="宋体" w:eastAsia="宋体" w:cs="宋体"/>
          <w:color w:val="0D0D0D"/>
          <w:szCs w:val="24"/>
          <w:shd w:val="clear" w:color="auto" w:fill="FFFFFF"/>
        </w:rPr>
        <w:t>其次，富有创新精神，要</w:t>
      </w:r>
      <w:r>
        <w:rPr>
          <w:rFonts w:hint="eastAsia" w:ascii="宋体" w:hAnsi="宋体" w:eastAsia="宋体" w:cs="宋体"/>
          <w:color w:val="0D0D0D"/>
          <w:kern w:val="0"/>
          <w:szCs w:val="24"/>
        </w:rPr>
        <w:t>深度学习。不但向书本学习，更为重要的是要向人民学习、向世界学习，向自己的历史经验学习，要讲究学习的正确方法。习近平高度赞扬陈云提炼出“不唯上、不唯书、只唯实，交换、比较、反复”“十五字诀”</w:t>
      </w:r>
      <w:r>
        <w:rPr>
          <w:rFonts w:hint="eastAsia" w:ascii="宋体" w:hAnsi="宋体" w:eastAsia="宋体" w:cs="宋体"/>
          <w:color w:val="0D0D0D"/>
          <w:kern w:val="0"/>
          <w:sz w:val="21"/>
          <w:szCs w:val="21"/>
          <w:vertAlign w:val="superscript"/>
        </w:rPr>
        <w:t>[28]</w:t>
      </w:r>
      <w:r>
        <w:rPr>
          <w:rFonts w:hint="eastAsia" w:ascii="宋体" w:hAnsi="宋体" w:eastAsia="宋体" w:cs="宋体"/>
          <w:color w:val="0D0D0D"/>
          <w:kern w:val="0"/>
          <w:szCs w:val="24"/>
        </w:rPr>
        <w:t>的学习方法。这十五个字，既有唯物论，又有辩证法，是唯物辩证法的内在统一。</w:t>
      </w:r>
      <w:r>
        <w:rPr>
          <w:rFonts w:hint="eastAsia" w:ascii="宋体" w:hAnsi="宋体" w:eastAsia="宋体" w:cs="宋体"/>
          <w:color w:val="0D0D0D"/>
          <w:szCs w:val="24"/>
          <w:shd w:val="clear" w:color="auto" w:fill="FFFFFF"/>
        </w:rPr>
        <w:t>再次，富有创新精神，要</w:t>
      </w:r>
      <w:r>
        <w:rPr>
          <w:rFonts w:hint="eastAsia" w:ascii="宋体" w:hAnsi="宋体" w:eastAsia="宋体" w:cs="宋体"/>
          <w:color w:val="0D0D0D"/>
          <w:kern w:val="0"/>
          <w:szCs w:val="24"/>
        </w:rPr>
        <w:t>在干中学习。学习的目的是运用，要在本职工作的岗位上做到学习生活化和生活学习化的统一。</w:t>
      </w:r>
      <w:r>
        <w:rPr>
          <w:rFonts w:hint="eastAsia" w:ascii="宋体" w:hAnsi="宋体" w:eastAsia="宋体" w:cs="宋体"/>
          <w:color w:val="0D0D0D"/>
          <w:szCs w:val="24"/>
          <w:shd w:val="clear" w:color="auto" w:fill="FFFFFF"/>
        </w:rPr>
        <w:t>新时代加强中国马克思主义学习型政党建设，必须运用马克思主义立场观点方法，研究中国特色社会主义建设的新情况、新问题，大力推进中国特色社会主义建设，用不断创新的马克思主义武装全党，指导实践。</w:t>
      </w:r>
    </w:p>
    <w:p w14:paraId="7CC3D7C8">
      <w:pPr>
        <w:spacing w:line="400" w:lineRule="exact"/>
        <w:ind w:firstLine="420" w:firstLineChars="200"/>
        <w:rPr>
          <w:rFonts w:ascii="宋体" w:hAnsi="宋体" w:eastAsia="宋体" w:cs="宋体"/>
          <w:bCs/>
          <w:color w:val="0D0D0D"/>
          <w:szCs w:val="24"/>
        </w:rPr>
      </w:pPr>
      <w:r>
        <w:rPr>
          <w:rFonts w:hint="eastAsia" w:ascii="宋体" w:hAnsi="宋体" w:eastAsia="宋体" w:cs="宋体"/>
          <w:bCs/>
          <w:color w:val="0D0D0D"/>
          <w:szCs w:val="24"/>
        </w:rPr>
        <w:t>总之，任何自然科学和社会科学的主要理论均为个别人或极少数人发现和阐述，绝大多数人通过学习来掌握，马克思主义及其发展也是遵循这一规律的。“在创发主体层面来界定，马克思主义是由马克思和恩格斯开创并由后继者日益发展完善的理论体系。”</w:t>
      </w:r>
      <w:r>
        <w:rPr>
          <w:rFonts w:hint="eastAsia" w:ascii="宋体" w:hAnsi="宋体" w:eastAsia="宋体" w:cs="宋体"/>
          <w:color w:val="0D0D0D"/>
          <w:kern w:val="0"/>
          <w:sz w:val="21"/>
          <w:szCs w:val="21"/>
          <w:vertAlign w:val="superscript"/>
        </w:rPr>
        <w:t>[29]</w:t>
      </w:r>
      <w:r>
        <w:rPr>
          <w:rFonts w:hint="eastAsia" w:ascii="宋体" w:hAnsi="宋体" w:eastAsia="宋体" w:cs="宋体"/>
          <w:bCs/>
          <w:color w:val="0D0D0D"/>
          <w:szCs w:val="24"/>
        </w:rPr>
        <w:t>无产阶级政党是通过学习马克思主义而建立和发展的，因而学习是中国共产党固有的本质特征。中国共产党是善于学习的马克思主义政党，学习型政党是无产阶级先进政党的标志，是中国共产党与任何其他政党相区别的显著标志，担负民族复兴伟大梦想的中国共产党，将会以海纳百川的胸怀屹立于世界。</w:t>
      </w:r>
    </w:p>
    <w:p w14:paraId="28D97856">
      <w:pPr>
        <w:spacing w:line="400" w:lineRule="exact"/>
        <w:ind w:firstLine="482"/>
        <w:jc w:val="center"/>
        <w:rPr>
          <w:rFonts w:ascii="宋体" w:hAnsi="宋体" w:eastAsia="宋体" w:cs="宋体"/>
          <w:b/>
          <w:bCs/>
          <w:color w:val="0D0D0D"/>
          <w:szCs w:val="24"/>
        </w:rPr>
      </w:pPr>
      <w:r>
        <w:rPr>
          <w:rFonts w:ascii="宋体" w:hAnsi="宋体" w:eastAsia="宋体" w:cs="宋体"/>
          <w:b/>
          <w:bCs/>
          <w:color w:val="0D0D0D"/>
          <w:szCs w:val="24"/>
        </w:rPr>
        <w:t>[参考文献]</w:t>
      </w:r>
    </w:p>
    <w:p w14:paraId="46B1AEB7">
      <w:pPr>
        <w:adjustRightInd w:val="0"/>
        <w:snapToGrid w:val="0"/>
        <w:spacing w:line="400" w:lineRule="exact"/>
        <w:ind w:firstLine="420" w:firstLineChars="200"/>
        <w:jc w:val="left"/>
        <w:rPr>
          <w:rFonts w:cs="Times New Roman"/>
          <w:color w:val="0D0D0D"/>
          <w:szCs w:val="24"/>
        </w:rPr>
      </w:pPr>
      <w:r>
        <w:rPr>
          <w:rFonts w:hint="eastAsia" w:cs="Times New Roman"/>
          <w:color w:val="0D0D0D"/>
          <w:szCs w:val="24"/>
          <w:vertAlign w:val="superscript"/>
        </w:rPr>
        <w:t>[1</w:t>
      </w:r>
      <w:r>
        <w:rPr>
          <w:rFonts w:hint="eastAsia" w:cs="Times New Roman"/>
          <w:color w:val="0D0D0D"/>
          <w:szCs w:val="24"/>
        </w:rPr>
        <w:t>]《</w:t>
      </w:r>
      <w:r>
        <w:rPr>
          <w:rFonts w:cs="Times New Roman"/>
          <w:color w:val="0D0D0D"/>
          <w:kern w:val="0"/>
          <w:szCs w:val="24"/>
        </w:rPr>
        <w:t>毛泽东选集</w:t>
      </w:r>
      <w:r>
        <w:rPr>
          <w:rFonts w:hint="eastAsia" w:cs="Times New Roman"/>
          <w:color w:val="0D0D0D"/>
          <w:szCs w:val="24"/>
        </w:rPr>
        <w:t>》</w:t>
      </w:r>
      <w:r>
        <w:rPr>
          <w:rFonts w:cs="Times New Roman"/>
          <w:color w:val="0D0D0D"/>
          <w:kern w:val="0"/>
          <w:szCs w:val="24"/>
        </w:rPr>
        <w:t>第1卷</w:t>
      </w:r>
      <w:r>
        <w:rPr>
          <w:rFonts w:hint="eastAsia" w:cs="Times New Roman"/>
          <w:color w:val="0D0D0D"/>
          <w:kern w:val="0"/>
          <w:szCs w:val="24"/>
        </w:rPr>
        <w:t>，</w:t>
      </w:r>
      <w:r>
        <w:rPr>
          <w:rFonts w:cs="Times New Roman"/>
          <w:color w:val="0D0D0D"/>
          <w:kern w:val="0"/>
          <w:szCs w:val="24"/>
        </w:rPr>
        <w:t>北京：人民出版社，1991</w:t>
      </w:r>
      <w:r>
        <w:rPr>
          <w:rFonts w:hint="eastAsia" w:cs="Times New Roman"/>
          <w:color w:val="0D0D0D"/>
          <w:kern w:val="0"/>
          <w:szCs w:val="24"/>
        </w:rPr>
        <w:t>年，第</w:t>
      </w:r>
      <w:r>
        <w:rPr>
          <w:rFonts w:cs="Times New Roman"/>
          <w:color w:val="0D0D0D"/>
          <w:kern w:val="0"/>
          <w:szCs w:val="24"/>
        </w:rPr>
        <w:t>111</w:t>
      </w:r>
      <w:r>
        <w:rPr>
          <w:rFonts w:hint="eastAsia" w:cs="Times New Roman"/>
          <w:color w:val="0D0D0D"/>
          <w:kern w:val="0"/>
          <w:szCs w:val="24"/>
        </w:rPr>
        <w:t>-</w:t>
      </w:r>
      <w:r>
        <w:rPr>
          <w:rFonts w:cs="Times New Roman"/>
          <w:color w:val="0D0D0D"/>
          <w:kern w:val="0"/>
          <w:szCs w:val="24"/>
        </w:rPr>
        <w:t>112</w:t>
      </w:r>
      <w:r>
        <w:rPr>
          <w:rFonts w:hint="eastAsia" w:cs="Times New Roman"/>
          <w:color w:val="0D0D0D"/>
          <w:kern w:val="0"/>
          <w:szCs w:val="24"/>
        </w:rPr>
        <w:t>页。</w:t>
      </w:r>
    </w:p>
    <w:p w14:paraId="2BB48713">
      <w:pPr>
        <w:adjustRightInd w:val="0"/>
        <w:snapToGrid w:val="0"/>
        <w:spacing w:line="400" w:lineRule="exact"/>
        <w:ind w:firstLine="420" w:firstLineChars="200"/>
        <w:jc w:val="left"/>
        <w:rPr>
          <w:rFonts w:cs="Times New Roman"/>
          <w:color w:val="0D0D0D"/>
          <w:szCs w:val="24"/>
        </w:rPr>
      </w:pPr>
      <w:r>
        <w:rPr>
          <w:rFonts w:hint="eastAsia" w:cs="Times New Roman"/>
          <w:color w:val="0D0D0D"/>
          <w:szCs w:val="24"/>
          <w:vertAlign w:val="superscript"/>
        </w:rPr>
        <w:t>[2</w:t>
      </w:r>
      <w:r>
        <w:rPr>
          <w:rFonts w:hint="eastAsia" w:cs="Times New Roman"/>
          <w:color w:val="0D0D0D"/>
          <w:szCs w:val="24"/>
        </w:rPr>
        <w:t>]《</w:t>
      </w:r>
      <w:r>
        <w:rPr>
          <w:rFonts w:cs="Times New Roman"/>
          <w:color w:val="0D0D0D"/>
          <w:kern w:val="0"/>
          <w:szCs w:val="24"/>
        </w:rPr>
        <w:t>毛泽东选集</w:t>
      </w:r>
      <w:r>
        <w:rPr>
          <w:rFonts w:hint="eastAsia" w:cs="Times New Roman"/>
          <w:color w:val="0D0D0D"/>
          <w:szCs w:val="24"/>
        </w:rPr>
        <w:t>》</w:t>
      </w:r>
      <w:r>
        <w:rPr>
          <w:rFonts w:cs="Times New Roman"/>
          <w:color w:val="0D0D0D"/>
          <w:kern w:val="0"/>
          <w:szCs w:val="24"/>
        </w:rPr>
        <w:t>第2卷</w:t>
      </w:r>
      <w:r>
        <w:rPr>
          <w:rFonts w:hint="eastAsia" w:cs="Times New Roman"/>
          <w:color w:val="0D0D0D"/>
          <w:kern w:val="0"/>
          <w:szCs w:val="24"/>
        </w:rPr>
        <w:t>，</w:t>
      </w:r>
      <w:r>
        <w:rPr>
          <w:rFonts w:cs="Times New Roman"/>
          <w:color w:val="0D0D0D"/>
          <w:kern w:val="0"/>
          <w:szCs w:val="24"/>
        </w:rPr>
        <w:t>北京：人民出版社，1991</w:t>
      </w:r>
      <w:r>
        <w:rPr>
          <w:rFonts w:hint="eastAsia" w:cs="Times New Roman"/>
          <w:color w:val="0D0D0D"/>
          <w:kern w:val="0"/>
          <w:szCs w:val="24"/>
        </w:rPr>
        <w:t>年，第</w:t>
      </w:r>
      <w:r>
        <w:rPr>
          <w:rFonts w:cs="Times New Roman"/>
          <w:color w:val="0D0D0D"/>
          <w:kern w:val="0"/>
          <w:szCs w:val="24"/>
        </w:rPr>
        <w:t>533</w:t>
      </w:r>
      <w:r>
        <w:rPr>
          <w:rFonts w:hint="eastAsia" w:cs="Times New Roman"/>
          <w:color w:val="0D0D0D"/>
          <w:kern w:val="0"/>
          <w:szCs w:val="24"/>
        </w:rPr>
        <w:t>页。</w:t>
      </w:r>
    </w:p>
    <w:p w14:paraId="1D37A2EF">
      <w:pPr>
        <w:adjustRightInd w:val="0"/>
        <w:snapToGrid w:val="0"/>
        <w:spacing w:line="400" w:lineRule="exact"/>
        <w:ind w:firstLine="420" w:firstLineChars="200"/>
        <w:jc w:val="left"/>
        <w:rPr>
          <w:rFonts w:cs="Times New Roman"/>
          <w:color w:val="0D0D0D"/>
          <w:szCs w:val="24"/>
        </w:rPr>
      </w:pPr>
      <w:r>
        <w:rPr>
          <w:rFonts w:hint="eastAsia" w:cs="Times New Roman"/>
          <w:color w:val="0D0D0D"/>
          <w:szCs w:val="24"/>
          <w:vertAlign w:val="superscript"/>
        </w:rPr>
        <w:t>[3</w:t>
      </w:r>
      <w:r>
        <w:rPr>
          <w:rFonts w:hint="eastAsia" w:cs="Times New Roman"/>
          <w:color w:val="0D0D0D"/>
          <w:szCs w:val="24"/>
        </w:rPr>
        <w:t>]《</w:t>
      </w:r>
      <w:r>
        <w:rPr>
          <w:rFonts w:cs="Times New Roman"/>
          <w:color w:val="0D0D0D"/>
          <w:kern w:val="0"/>
          <w:szCs w:val="24"/>
        </w:rPr>
        <w:t>毛泽东选集</w:t>
      </w:r>
      <w:r>
        <w:rPr>
          <w:rFonts w:hint="eastAsia" w:cs="Times New Roman"/>
          <w:color w:val="0D0D0D"/>
          <w:szCs w:val="24"/>
        </w:rPr>
        <w:t>》</w:t>
      </w:r>
      <w:r>
        <w:rPr>
          <w:rFonts w:cs="Times New Roman"/>
          <w:color w:val="0D0D0D"/>
          <w:kern w:val="0"/>
          <w:szCs w:val="24"/>
        </w:rPr>
        <w:t>第4卷</w:t>
      </w:r>
      <w:r>
        <w:rPr>
          <w:rFonts w:hint="eastAsia" w:cs="Times New Roman"/>
          <w:color w:val="0D0D0D"/>
          <w:kern w:val="0"/>
          <w:szCs w:val="24"/>
        </w:rPr>
        <w:t>，</w:t>
      </w:r>
      <w:r>
        <w:rPr>
          <w:rFonts w:cs="Times New Roman"/>
          <w:color w:val="0D0D0D"/>
          <w:kern w:val="0"/>
          <w:szCs w:val="24"/>
        </w:rPr>
        <w:t>北京：人民出版社，1991</w:t>
      </w:r>
      <w:r>
        <w:rPr>
          <w:rFonts w:hint="eastAsia" w:cs="Times New Roman"/>
          <w:color w:val="0D0D0D"/>
          <w:kern w:val="0"/>
          <w:szCs w:val="24"/>
        </w:rPr>
        <w:t>年，第</w:t>
      </w:r>
      <w:r>
        <w:rPr>
          <w:rFonts w:cs="Times New Roman"/>
          <w:color w:val="0D0D0D"/>
          <w:kern w:val="0"/>
          <w:szCs w:val="24"/>
        </w:rPr>
        <w:t>1427</w:t>
      </w:r>
      <w:r>
        <w:rPr>
          <w:rFonts w:hint="eastAsia" w:cs="Times New Roman"/>
          <w:color w:val="0D0D0D"/>
          <w:kern w:val="0"/>
          <w:szCs w:val="24"/>
        </w:rPr>
        <w:t>-</w:t>
      </w:r>
      <w:r>
        <w:rPr>
          <w:rFonts w:cs="Times New Roman"/>
          <w:color w:val="0D0D0D"/>
          <w:kern w:val="0"/>
          <w:szCs w:val="24"/>
        </w:rPr>
        <w:t>1428</w:t>
      </w:r>
      <w:r>
        <w:rPr>
          <w:rFonts w:hint="eastAsia" w:cs="Times New Roman"/>
          <w:color w:val="0D0D0D"/>
          <w:kern w:val="0"/>
          <w:szCs w:val="24"/>
        </w:rPr>
        <w:t>页。</w:t>
      </w:r>
    </w:p>
    <w:p w14:paraId="7AC5BA01">
      <w:pPr>
        <w:widowControl/>
        <w:spacing w:line="400" w:lineRule="exact"/>
        <w:ind w:firstLine="420" w:firstLineChars="200"/>
        <w:rPr>
          <w:rFonts w:ascii="Calibri" w:hAnsi="Calibri" w:eastAsia="宋体" w:cs="Times New Roman"/>
          <w:color w:val="0D0D0D"/>
          <w:sz w:val="21"/>
          <w:szCs w:val="24"/>
        </w:rPr>
      </w:pPr>
      <w:r>
        <w:rPr>
          <w:rFonts w:hint="eastAsia" w:cs="Times New Roman"/>
          <w:color w:val="0D0D0D"/>
          <w:szCs w:val="24"/>
          <w:vertAlign w:val="superscript"/>
        </w:rPr>
        <w:t>[4</w:t>
      </w:r>
      <w:r>
        <w:rPr>
          <w:rFonts w:hint="eastAsia" w:cs="Times New Roman"/>
          <w:color w:val="0D0D0D"/>
          <w:szCs w:val="24"/>
        </w:rPr>
        <w:t>]这五本书是：《共产党宣言》《社会主义从空想到科学的发展》《在民主革命中社会民主党的两个策略》（后译为《社会民主党在民主革命中的两种策略》）《共产主义运动中的“左派”幼稚病》《联共布党史简明教程》。12本书目新增的书为:《国家与革命》、《帝国主义是资本主义的最高阶段》、《论列宁主义基础》、《列宁斯大林论中国》、《列宁斯大林论社会主义建设》、《马恩列斯思想方法论》、《社会发展史》、《政治经济学》(列昂节夫著)。新增加的旨在为建设新中国作准备。</w:t>
      </w:r>
    </w:p>
    <w:p w14:paraId="3B68733B">
      <w:pPr>
        <w:adjustRightInd w:val="0"/>
        <w:snapToGrid w:val="0"/>
        <w:spacing w:line="400" w:lineRule="exact"/>
        <w:ind w:firstLine="420" w:firstLineChars="200"/>
        <w:jc w:val="left"/>
        <w:rPr>
          <w:rFonts w:cs="Times New Roman"/>
          <w:color w:val="0D0D0D"/>
          <w:szCs w:val="24"/>
        </w:rPr>
      </w:pPr>
      <w:r>
        <w:rPr>
          <w:rFonts w:hint="eastAsia" w:cs="Times New Roman"/>
          <w:color w:val="0D0D0D"/>
          <w:szCs w:val="24"/>
          <w:vertAlign w:val="superscript"/>
        </w:rPr>
        <w:t>[5</w:t>
      </w:r>
      <w:r>
        <w:rPr>
          <w:rFonts w:hint="eastAsia" w:cs="Times New Roman"/>
          <w:color w:val="0D0D0D"/>
          <w:szCs w:val="24"/>
        </w:rPr>
        <w:t>]《</w:t>
      </w:r>
      <w:r>
        <w:rPr>
          <w:rFonts w:cs="Times New Roman"/>
          <w:color w:val="0D0D0D"/>
          <w:kern w:val="0"/>
          <w:szCs w:val="24"/>
        </w:rPr>
        <w:t>毛泽东选集</w:t>
      </w:r>
      <w:r>
        <w:rPr>
          <w:rFonts w:hint="eastAsia" w:cs="Times New Roman"/>
          <w:color w:val="0D0D0D"/>
          <w:szCs w:val="24"/>
        </w:rPr>
        <w:t>》</w:t>
      </w:r>
      <w:r>
        <w:rPr>
          <w:rFonts w:cs="Times New Roman"/>
          <w:color w:val="0D0D0D"/>
          <w:kern w:val="0"/>
          <w:szCs w:val="24"/>
        </w:rPr>
        <w:t>第4卷</w:t>
      </w:r>
      <w:r>
        <w:rPr>
          <w:rFonts w:hint="eastAsia" w:cs="Times New Roman"/>
          <w:color w:val="0D0D0D"/>
          <w:kern w:val="0"/>
          <w:szCs w:val="24"/>
        </w:rPr>
        <w:t>，</w:t>
      </w:r>
      <w:r>
        <w:rPr>
          <w:rFonts w:cs="Times New Roman"/>
          <w:color w:val="0D0D0D"/>
          <w:kern w:val="0"/>
          <w:szCs w:val="24"/>
        </w:rPr>
        <w:t>北京：人民出版社，1991</w:t>
      </w:r>
      <w:r>
        <w:rPr>
          <w:rFonts w:hint="eastAsia" w:cs="Times New Roman"/>
          <w:color w:val="0D0D0D"/>
          <w:kern w:val="0"/>
          <w:szCs w:val="24"/>
        </w:rPr>
        <w:t>年，第</w:t>
      </w:r>
      <w:r>
        <w:rPr>
          <w:rFonts w:cs="Times New Roman"/>
          <w:color w:val="0D0D0D"/>
          <w:kern w:val="0"/>
          <w:szCs w:val="24"/>
        </w:rPr>
        <w:t>1480</w:t>
      </w:r>
      <w:r>
        <w:rPr>
          <w:rFonts w:hint="eastAsia" w:cs="Times New Roman"/>
          <w:color w:val="0D0D0D"/>
          <w:kern w:val="0"/>
          <w:szCs w:val="24"/>
        </w:rPr>
        <w:t>-</w:t>
      </w:r>
      <w:r>
        <w:rPr>
          <w:rFonts w:cs="Times New Roman"/>
          <w:color w:val="0D0D0D"/>
          <w:kern w:val="0"/>
          <w:szCs w:val="24"/>
        </w:rPr>
        <w:t>1481</w:t>
      </w:r>
      <w:r>
        <w:rPr>
          <w:rFonts w:hint="eastAsia" w:cs="Times New Roman"/>
          <w:color w:val="0D0D0D"/>
          <w:kern w:val="0"/>
          <w:szCs w:val="24"/>
        </w:rPr>
        <w:t>页。</w:t>
      </w:r>
    </w:p>
    <w:p w14:paraId="649C4450">
      <w:pPr>
        <w:adjustRightInd w:val="0"/>
        <w:snapToGri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[6</w:t>
      </w:r>
      <w:r>
        <w:rPr>
          <w:rFonts w:hint="eastAsia" w:cs="Times New Roman"/>
          <w:color w:val="0D0D0D"/>
          <w:szCs w:val="24"/>
        </w:rPr>
        <w:t>]《</w:t>
      </w:r>
      <w:r>
        <w:rPr>
          <w:rFonts w:cs="Times New Roman"/>
          <w:color w:val="0D0D0D"/>
          <w:kern w:val="0"/>
          <w:szCs w:val="24"/>
        </w:rPr>
        <w:t>建国以来毛泽东文稿</w:t>
      </w:r>
      <w:r>
        <w:rPr>
          <w:rFonts w:hint="eastAsia" w:cs="Times New Roman"/>
          <w:color w:val="0D0D0D"/>
          <w:szCs w:val="24"/>
        </w:rPr>
        <w:t>》</w:t>
      </w:r>
      <w:r>
        <w:rPr>
          <w:rFonts w:cs="Times New Roman"/>
          <w:color w:val="0D0D0D"/>
          <w:kern w:val="0"/>
          <w:szCs w:val="24"/>
        </w:rPr>
        <w:t>第5册</w:t>
      </w:r>
      <w:r>
        <w:rPr>
          <w:rFonts w:hint="eastAsia" w:cs="Times New Roman"/>
          <w:color w:val="0D0D0D"/>
          <w:kern w:val="0"/>
          <w:szCs w:val="24"/>
        </w:rPr>
        <w:t>，</w:t>
      </w:r>
      <w:r>
        <w:rPr>
          <w:rFonts w:cs="Times New Roman"/>
          <w:color w:val="0D0D0D"/>
          <w:kern w:val="0"/>
          <w:szCs w:val="24"/>
        </w:rPr>
        <w:t>北京：中央文献出版，1991</w:t>
      </w:r>
      <w:r>
        <w:rPr>
          <w:rFonts w:hint="eastAsia" w:cs="Times New Roman"/>
          <w:color w:val="0D0D0D"/>
          <w:kern w:val="0"/>
          <w:szCs w:val="24"/>
        </w:rPr>
        <w:t>年，第</w:t>
      </w:r>
      <w:r>
        <w:rPr>
          <w:rFonts w:cs="Times New Roman"/>
          <w:color w:val="0D0D0D"/>
          <w:kern w:val="0"/>
          <w:szCs w:val="24"/>
        </w:rPr>
        <w:t>71</w:t>
      </w:r>
      <w:r>
        <w:rPr>
          <w:rFonts w:hint="eastAsia" w:cs="Times New Roman"/>
          <w:color w:val="0D0D0D"/>
          <w:kern w:val="0"/>
          <w:szCs w:val="24"/>
        </w:rPr>
        <w:t>-</w:t>
      </w:r>
      <w:r>
        <w:rPr>
          <w:rFonts w:cs="Times New Roman"/>
          <w:color w:val="0D0D0D"/>
          <w:kern w:val="0"/>
          <w:szCs w:val="24"/>
        </w:rPr>
        <w:t>72</w:t>
      </w:r>
      <w:r>
        <w:rPr>
          <w:rFonts w:hint="eastAsia" w:cs="Times New Roman"/>
          <w:color w:val="0D0D0D"/>
          <w:kern w:val="0"/>
          <w:szCs w:val="24"/>
        </w:rPr>
        <w:t>页。</w:t>
      </w:r>
    </w:p>
    <w:p w14:paraId="31B7B887">
      <w:pPr>
        <w:adjustRightInd w:val="0"/>
        <w:snapToGri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[7</w:t>
      </w:r>
      <w:r>
        <w:rPr>
          <w:rFonts w:hint="eastAsia" w:cs="Times New Roman"/>
          <w:color w:val="0D0D0D"/>
          <w:szCs w:val="24"/>
        </w:rPr>
        <w:t>]《</w:t>
      </w:r>
      <w:r>
        <w:rPr>
          <w:rFonts w:cs="Times New Roman"/>
          <w:color w:val="0D0D0D"/>
          <w:kern w:val="0"/>
          <w:szCs w:val="24"/>
        </w:rPr>
        <w:t>毛泽东文集</w:t>
      </w:r>
      <w:r>
        <w:rPr>
          <w:rFonts w:hint="eastAsia" w:cs="Times New Roman"/>
          <w:color w:val="0D0D0D"/>
          <w:szCs w:val="24"/>
        </w:rPr>
        <w:t>》</w:t>
      </w:r>
      <w:r>
        <w:rPr>
          <w:rFonts w:cs="Times New Roman"/>
          <w:color w:val="0D0D0D"/>
          <w:kern w:val="0"/>
          <w:szCs w:val="24"/>
        </w:rPr>
        <w:t>第7卷</w:t>
      </w:r>
      <w:r>
        <w:rPr>
          <w:rFonts w:hint="eastAsia" w:cs="Times New Roman"/>
          <w:color w:val="0D0D0D"/>
          <w:kern w:val="0"/>
          <w:szCs w:val="24"/>
        </w:rPr>
        <w:t>，</w:t>
      </w:r>
      <w:r>
        <w:rPr>
          <w:rFonts w:cs="Times New Roman"/>
          <w:color w:val="0D0D0D"/>
          <w:kern w:val="0"/>
          <w:szCs w:val="24"/>
        </w:rPr>
        <w:t>北京：人民出版社，1999</w:t>
      </w:r>
      <w:r>
        <w:rPr>
          <w:rFonts w:hint="eastAsia" w:cs="Times New Roman"/>
          <w:color w:val="0D0D0D"/>
          <w:kern w:val="0"/>
          <w:szCs w:val="24"/>
        </w:rPr>
        <w:t>年，第</w:t>
      </w:r>
      <w:r>
        <w:rPr>
          <w:rFonts w:cs="Times New Roman"/>
          <w:color w:val="0D0D0D"/>
          <w:kern w:val="0"/>
          <w:szCs w:val="24"/>
        </w:rPr>
        <w:t>41、42</w:t>
      </w:r>
      <w:r>
        <w:rPr>
          <w:rFonts w:hint="eastAsia" w:cs="Times New Roman"/>
          <w:color w:val="0D0D0D"/>
          <w:kern w:val="0"/>
          <w:szCs w:val="24"/>
        </w:rPr>
        <w:t>页。</w:t>
      </w:r>
    </w:p>
    <w:p w14:paraId="2D1B52FB">
      <w:pPr>
        <w:adjustRightInd w:val="0"/>
        <w:snapToGri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[8</w:t>
      </w:r>
      <w:r>
        <w:rPr>
          <w:rFonts w:hint="eastAsia" w:cs="Times New Roman"/>
          <w:color w:val="0D0D0D"/>
          <w:szCs w:val="24"/>
        </w:rPr>
        <w:t>]《</w:t>
      </w:r>
      <w:r>
        <w:rPr>
          <w:rFonts w:cs="Times New Roman"/>
          <w:color w:val="0D0D0D"/>
          <w:kern w:val="0"/>
          <w:szCs w:val="24"/>
        </w:rPr>
        <w:t>邓小平文选</w:t>
      </w:r>
      <w:r>
        <w:rPr>
          <w:rFonts w:hint="eastAsia" w:cs="Times New Roman"/>
          <w:color w:val="0D0D0D"/>
          <w:szCs w:val="24"/>
        </w:rPr>
        <w:t>》</w:t>
      </w:r>
      <w:r>
        <w:rPr>
          <w:rFonts w:cs="Times New Roman"/>
          <w:color w:val="0D0D0D"/>
          <w:kern w:val="0"/>
          <w:szCs w:val="24"/>
        </w:rPr>
        <w:t>第2卷</w:t>
      </w:r>
      <w:r>
        <w:rPr>
          <w:rFonts w:hint="eastAsia" w:cs="Times New Roman"/>
          <w:color w:val="0D0D0D"/>
          <w:kern w:val="0"/>
          <w:szCs w:val="24"/>
        </w:rPr>
        <w:t>，</w:t>
      </w:r>
      <w:r>
        <w:rPr>
          <w:rFonts w:cs="Times New Roman"/>
          <w:color w:val="0D0D0D"/>
          <w:kern w:val="0"/>
          <w:szCs w:val="24"/>
        </w:rPr>
        <w:t>北京：人民出版社，1994</w:t>
      </w:r>
      <w:r>
        <w:rPr>
          <w:rFonts w:hint="eastAsia" w:cs="Times New Roman"/>
          <w:color w:val="0D0D0D"/>
          <w:kern w:val="0"/>
          <w:szCs w:val="24"/>
        </w:rPr>
        <w:t>年，第</w:t>
      </w:r>
      <w:r>
        <w:rPr>
          <w:rFonts w:cs="Times New Roman"/>
          <w:color w:val="0D0D0D"/>
          <w:kern w:val="0"/>
          <w:szCs w:val="24"/>
        </w:rPr>
        <w:t>152</w:t>
      </w:r>
      <w:r>
        <w:rPr>
          <w:rFonts w:hint="eastAsia" w:cs="Times New Roman"/>
          <w:color w:val="0D0D0D"/>
          <w:kern w:val="0"/>
          <w:szCs w:val="24"/>
        </w:rPr>
        <w:t>-153页</w:t>
      </w:r>
    </w:p>
    <w:p w14:paraId="599D5ED0">
      <w:pPr>
        <w:adjustRightInd w:val="0"/>
        <w:snapToGrid w:val="0"/>
        <w:spacing w:line="400" w:lineRule="exact"/>
        <w:ind w:firstLine="420" w:firstLineChars="200"/>
        <w:jc w:val="left"/>
        <w:rPr>
          <w:rFonts w:cs="Times New Roman"/>
          <w:color w:val="0D0D0D"/>
          <w:szCs w:val="24"/>
        </w:rPr>
      </w:pPr>
      <w:r>
        <w:rPr>
          <w:rFonts w:hint="eastAsia" w:cs="Times New Roman"/>
          <w:color w:val="0D0D0D"/>
          <w:szCs w:val="24"/>
          <w:vertAlign w:val="superscript"/>
        </w:rPr>
        <w:t>[9</w:t>
      </w:r>
      <w:r>
        <w:rPr>
          <w:rFonts w:hint="eastAsia" w:cs="Times New Roman"/>
          <w:color w:val="0D0D0D"/>
          <w:szCs w:val="24"/>
        </w:rPr>
        <w:t>]《</w:t>
      </w:r>
      <w:r>
        <w:rPr>
          <w:rFonts w:cs="Times New Roman"/>
          <w:color w:val="0D0D0D"/>
          <w:kern w:val="0"/>
          <w:szCs w:val="24"/>
        </w:rPr>
        <w:t>邓小平文选</w:t>
      </w:r>
      <w:r>
        <w:rPr>
          <w:rFonts w:hint="eastAsia" w:cs="Times New Roman"/>
          <w:color w:val="0D0D0D"/>
          <w:szCs w:val="24"/>
        </w:rPr>
        <w:t>》</w:t>
      </w:r>
      <w:r>
        <w:rPr>
          <w:rFonts w:cs="Times New Roman"/>
          <w:color w:val="0D0D0D"/>
          <w:kern w:val="0"/>
          <w:szCs w:val="24"/>
        </w:rPr>
        <w:t>第3卷</w:t>
      </w:r>
      <w:r>
        <w:rPr>
          <w:rFonts w:hint="eastAsia" w:cs="Times New Roman"/>
          <w:color w:val="0D0D0D"/>
          <w:kern w:val="0"/>
          <w:szCs w:val="24"/>
        </w:rPr>
        <w:t>，</w:t>
      </w:r>
      <w:r>
        <w:rPr>
          <w:rFonts w:cs="Times New Roman"/>
          <w:color w:val="0D0D0D"/>
          <w:kern w:val="0"/>
          <w:szCs w:val="24"/>
        </w:rPr>
        <w:t>北京：人民出版社，1993</w:t>
      </w:r>
      <w:r>
        <w:rPr>
          <w:rFonts w:hint="eastAsia" w:cs="Times New Roman"/>
          <w:color w:val="0D0D0D"/>
          <w:kern w:val="0"/>
          <w:szCs w:val="24"/>
        </w:rPr>
        <w:t>年，第</w:t>
      </w:r>
      <w:r>
        <w:rPr>
          <w:rFonts w:cs="Times New Roman"/>
          <w:color w:val="0D0D0D"/>
          <w:kern w:val="0"/>
          <w:szCs w:val="24"/>
        </w:rPr>
        <w:t>373</w:t>
      </w:r>
      <w:r>
        <w:rPr>
          <w:rFonts w:hint="eastAsia" w:cs="Times New Roman"/>
          <w:color w:val="0D0D0D"/>
          <w:kern w:val="0"/>
          <w:szCs w:val="24"/>
        </w:rPr>
        <w:t>页。</w:t>
      </w:r>
    </w:p>
    <w:p w14:paraId="5517DFF0">
      <w:pPr>
        <w:adjustRightInd w:val="0"/>
        <w:snapToGri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0]</w:t>
      </w:r>
      <w:r>
        <w:rPr>
          <w:rFonts w:hint="eastAsia" w:cs="Times New Roman"/>
          <w:color w:val="0D0D0D"/>
          <w:kern w:val="0"/>
          <w:szCs w:val="24"/>
        </w:rPr>
        <w:t>江泽民：《论党的建设》，北京：中央文献出版社，2001年，第11页。</w:t>
      </w:r>
    </w:p>
    <w:p w14:paraId="7764ED56">
      <w:pPr>
        <w:adjustRightInd w:val="0"/>
        <w:snapToGri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1]《</w:t>
      </w:r>
      <w:r>
        <w:rPr>
          <w:rFonts w:hint="eastAsia" w:cs="Times New Roman"/>
          <w:color w:val="0D0D0D"/>
          <w:kern w:val="0"/>
          <w:szCs w:val="24"/>
        </w:rPr>
        <w:t>十七大以来重要文献选编</w:t>
      </w:r>
      <w:r>
        <w:rPr>
          <w:rFonts w:hint="eastAsia" w:cs="Times New Roman"/>
          <w:color w:val="0D0D0D"/>
          <w:szCs w:val="24"/>
        </w:rPr>
        <w:t>》</w:t>
      </w:r>
      <w:r>
        <w:rPr>
          <w:rFonts w:hint="eastAsia" w:cs="Times New Roman"/>
          <w:color w:val="0D0D0D"/>
          <w:kern w:val="0"/>
          <w:szCs w:val="24"/>
        </w:rPr>
        <w:t>（中），北京：中央文献出版社，2011年，第638页。</w:t>
      </w:r>
    </w:p>
    <w:p w14:paraId="571642D3">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2]</w:t>
      </w:r>
      <w:r>
        <w:rPr>
          <w:rFonts w:hint="eastAsia" w:cs="Times New Roman"/>
          <w:color w:val="0D0D0D"/>
          <w:kern w:val="0"/>
          <w:szCs w:val="24"/>
        </w:rPr>
        <w:t>习近平：《在中央党校建校80周年庆祝大会暨2013年春季学期开学典礼上的讲话》，北京：人民出版社，2013年，第7页。</w:t>
      </w:r>
    </w:p>
    <w:p w14:paraId="35F90BCE">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3]</w:t>
      </w:r>
      <w:r>
        <w:rPr>
          <w:rFonts w:hint="eastAsia" w:cs="Times New Roman"/>
          <w:color w:val="0D0D0D"/>
          <w:kern w:val="0"/>
          <w:szCs w:val="24"/>
        </w:rPr>
        <w:t>习近平：《决胜全面建成小康社会 夺取新时代中国特色社会主义伟大胜利》，北京：人民出版社，2017年，第68页。</w:t>
      </w:r>
    </w:p>
    <w:p w14:paraId="3A77DA06">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4]</w:t>
      </w:r>
      <w:r>
        <w:rPr>
          <w:rFonts w:hint="eastAsia" w:cs="Times New Roman"/>
          <w:color w:val="0D0D0D"/>
          <w:kern w:val="0"/>
          <w:szCs w:val="24"/>
        </w:rPr>
        <w:t>习近平：《在纪念马克思诞辰200周年大会上的讲话》，北京：人民出版社，2018年，第26页。</w:t>
      </w:r>
    </w:p>
    <w:p w14:paraId="01EC6CD4">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5]</w:t>
      </w:r>
      <w:r>
        <w:rPr>
          <w:rFonts w:hint="eastAsia" w:cs="Times New Roman"/>
          <w:color w:val="0D0D0D"/>
          <w:kern w:val="0"/>
          <w:szCs w:val="24"/>
        </w:rPr>
        <w:t>习近平：《在中央党校（国家行政学院）中青年干部培训班开班式上发表重要讲话》，《人民日报》2019年3月2日，第1版。</w:t>
      </w:r>
    </w:p>
    <w:p w14:paraId="5A7C7050">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6]</w:t>
      </w:r>
      <w:r>
        <w:rPr>
          <w:rFonts w:hint="eastAsia" w:cs="Times New Roman"/>
          <w:color w:val="0D0D0D"/>
          <w:kern w:val="0"/>
          <w:szCs w:val="24"/>
        </w:rPr>
        <w:t>习近平：《在中央党校建校80周年庆祝大会暨2013年春季学期开学典礼上的讲话》，《人民日报》2013年3月3日，第1版。</w:t>
      </w:r>
    </w:p>
    <w:p w14:paraId="5D68AB71">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[1</w:t>
      </w:r>
      <w:r>
        <w:rPr>
          <w:rFonts w:hint="eastAsia" w:cs="Times New Roman"/>
          <w:color w:val="0D0D0D"/>
          <w:szCs w:val="24"/>
        </w:rPr>
        <w:t>7]</w:t>
      </w:r>
      <w:r>
        <w:rPr>
          <w:rFonts w:hint="eastAsia" w:cs="Times New Roman"/>
          <w:color w:val="0D0D0D"/>
          <w:kern w:val="0"/>
          <w:szCs w:val="24"/>
        </w:rPr>
        <w:t>习近平：《在对历史的深入思考中更好走向未来 交出发展中国特色社会主义合格答卷》，《人民日报》2013年6月27日，第1版。</w:t>
      </w:r>
    </w:p>
    <w:p w14:paraId="2861EE11">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w:t>
      </w:r>
      <w:r>
        <w:rPr>
          <w:rFonts w:hint="eastAsia" w:cs="Times New Roman"/>
          <w:color w:val="0D0D0D"/>
          <w:szCs w:val="24"/>
        </w:rPr>
        <w:t>18]</w:t>
      </w:r>
      <w:r>
        <w:rPr>
          <w:rFonts w:hint="eastAsia" w:cs="Times New Roman"/>
          <w:color w:val="0D0D0D"/>
          <w:kern w:val="0"/>
          <w:szCs w:val="24"/>
        </w:rPr>
        <w:t>习近平：《在中央党校建校80周年庆祝大会暨2013年春季学期开学典礼上的讲话》，《人民日报》2013年3月3日，第1版。</w:t>
      </w:r>
    </w:p>
    <w:p w14:paraId="2D5FBBC3">
      <w:pPr>
        <w:widowControl/>
        <w:adjustRightInd w:val="0"/>
        <w:spacing w:line="400" w:lineRule="exact"/>
        <w:ind w:firstLine="420" w:firstLineChars="200"/>
        <w:rPr>
          <w:rFonts w:cs="Times New Roman"/>
          <w:color w:val="0D0D0D"/>
          <w:kern w:val="0"/>
          <w:szCs w:val="24"/>
        </w:rPr>
      </w:pPr>
      <w:r>
        <w:rPr>
          <w:rFonts w:hint="eastAsia" w:cs="Times New Roman"/>
          <w:color w:val="0D0D0D"/>
          <w:szCs w:val="24"/>
          <w:vertAlign w:val="superscript"/>
        </w:rPr>
        <w:t>[</w:t>
      </w:r>
      <w:r>
        <w:rPr>
          <w:rFonts w:hint="eastAsia" w:cs="Times New Roman"/>
          <w:color w:val="0D0D0D"/>
          <w:szCs w:val="24"/>
        </w:rPr>
        <w:t>19]</w:t>
      </w:r>
      <w:r>
        <w:rPr>
          <w:rFonts w:hint="eastAsia" w:cs="Times New Roman"/>
          <w:color w:val="0D0D0D"/>
          <w:kern w:val="0"/>
          <w:szCs w:val="24"/>
        </w:rPr>
        <w:t>龚云：《正确处理改革开放前后两个历史时期关系》，《海派经济学》2021年第1期。</w:t>
      </w:r>
    </w:p>
    <w:p w14:paraId="2EBA5502">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w:t>
      </w:r>
      <w:r>
        <w:rPr>
          <w:rFonts w:hint="eastAsia" w:cs="Times New Roman"/>
          <w:color w:val="0D0D0D"/>
          <w:szCs w:val="24"/>
        </w:rPr>
        <w:t>20]</w:t>
      </w:r>
      <w:r>
        <w:rPr>
          <w:rFonts w:hint="eastAsia" w:cs="Times New Roman"/>
          <w:color w:val="0D0D0D"/>
          <w:kern w:val="0"/>
          <w:szCs w:val="24"/>
        </w:rPr>
        <w:t>毛泽东选集（第1卷），北京：人民出版社，1991年，第181页。</w:t>
      </w:r>
    </w:p>
    <w:p w14:paraId="11B381F0">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[2</w:t>
      </w:r>
      <w:r>
        <w:rPr>
          <w:rFonts w:hint="eastAsia" w:cs="Times New Roman"/>
          <w:color w:val="0D0D0D"/>
          <w:szCs w:val="24"/>
        </w:rPr>
        <w:t>1]</w:t>
      </w:r>
      <w:r>
        <w:rPr>
          <w:rFonts w:hint="eastAsia" w:cs="Times New Roman"/>
          <w:color w:val="0D0D0D"/>
          <w:kern w:val="0"/>
          <w:szCs w:val="24"/>
        </w:rPr>
        <w:t>习近平：《在中央党校建校80周年庆祝大会暨2013年春季学期开学典礼上的讲话》，《人民日报》2013年3月3日，第1版。</w:t>
      </w:r>
    </w:p>
    <w:p w14:paraId="2CB01F61">
      <w:pPr>
        <w:adjustRightInd w:val="0"/>
        <w:spacing w:line="400" w:lineRule="exact"/>
        <w:ind w:firstLine="420" w:firstLineChars="200"/>
        <w:jc w:val="left"/>
        <w:rPr>
          <w:rFonts w:ascii="Calibri" w:hAnsi="Calibri" w:eastAsia="宋体" w:cs="Times New Roman"/>
          <w:color w:val="0D0D0D"/>
          <w:sz w:val="21"/>
          <w:szCs w:val="24"/>
        </w:rPr>
      </w:pPr>
      <w:r>
        <w:rPr>
          <w:rFonts w:hint="eastAsia" w:cs="Times New Roman"/>
          <w:color w:val="0D0D0D"/>
          <w:szCs w:val="24"/>
          <w:vertAlign w:val="superscript"/>
        </w:rPr>
        <w:t>[</w:t>
      </w:r>
      <w:r>
        <w:rPr>
          <w:rFonts w:hint="eastAsia" w:cs="Times New Roman"/>
          <w:color w:val="0D0D0D"/>
          <w:szCs w:val="24"/>
        </w:rPr>
        <w:t>22]</w:t>
      </w:r>
      <w:r>
        <w:rPr>
          <w:rFonts w:cs="Times New Roman"/>
          <w:color w:val="0D0D0D"/>
          <w:kern w:val="0"/>
          <w:szCs w:val="24"/>
        </w:rPr>
        <w:t>邓小平文选（第3卷）</w:t>
      </w:r>
      <w:r>
        <w:rPr>
          <w:rFonts w:hint="eastAsia" w:cs="Times New Roman"/>
          <w:color w:val="0D0D0D"/>
          <w:kern w:val="0"/>
          <w:szCs w:val="24"/>
        </w:rPr>
        <w:t>，</w:t>
      </w:r>
      <w:r>
        <w:rPr>
          <w:rFonts w:cs="Times New Roman"/>
          <w:color w:val="0D0D0D"/>
          <w:kern w:val="0"/>
          <w:szCs w:val="24"/>
        </w:rPr>
        <w:t>北京：人民出版社，1993</w:t>
      </w:r>
      <w:r>
        <w:rPr>
          <w:rFonts w:hint="eastAsia" w:cs="Times New Roman"/>
          <w:color w:val="0D0D0D"/>
          <w:kern w:val="0"/>
          <w:szCs w:val="24"/>
        </w:rPr>
        <w:t>年，第</w:t>
      </w:r>
      <w:r>
        <w:rPr>
          <w:rFonts w:cs="Times New Roman"/>
          <w:color w:val="0D0D0D"/>
          <w:kern w:val="0"/>
          <w:szCs w:val="24"/>
        </w:rPr>
        <w:t>3</w:t>
      </w:r>
      <w:r>
        <w:rPr>
          <w:rFonts w:hint="eastAsia" w:cs="Times New Roman"/>
          <w:color w:val="0D0D0D"/>
          <w:kern w:val="0"/>
          <w:szCs w:val="24"/>
        </w:rPr>
        <w:t>24页。</w:t>
      </w:r>
    </w:p>
    <w:p w14:paraId="3F491054">
      <w:pPr>
        <w:widowControl/>
        <w:adjustRightInd w:val="0"/>
        <w:spacing w:line="400" w:lineRule="exact"/>
        <w:ind w:firstLine="420" w:firstLineChars="200"/>
        <w:rPr>
          <w:rFonts w:cs="Times New Roman"/>
          <w:color w:val="0D0D0D"/>
          <w:kern w:val="0"/>
          <w:szCs w:val="24"/>
        </w:rPr>
      </w:pPr>
      <w:r>
        <w:rPr>
          <w:rFonts w:hint="eastAsia" w:cs="Times New Roman"/>
          <w:color w:val="0D0D0D"/>
          <w:szCs w:val="24"/>
          <w:vertAlign w:val="superscript"/>
        </w:rPr>
        <w:t>[</w:t>
      </w:r>
      <w:r>
        <w:rPr>
          <w:rFonts w:hint="eastAsia" w:cs="Times New Roman"/>
          <w:color w:val="0D0D0D"/>
          <w:szCs w:val="24"/>
        </w:rPr>
        <w:t>23]</w:t>
      </w:r>
      <w:r>
        <w:rPr>
          <w:rFonts w:hint="eastAsia" w:cs="Times New Roman"/>
          <w:color w:val="0D0D0D"/>
          <w:kern w:val="0"/>
          <w:szCs w:val="24"/>
        </w:rPr>
        <w:t>朱继东：《新时代旗帜鲜明讲政治的深刻内涵、紧迫性和科学路径》，《海派经济学》2021年第1期。</w:t>
      </w:r>
    </w:p>
    <w:p w14:paraId="0FFFA891">
      <w:pPr>
        <w:widowControl/>
        <w:adjustRightInd w:val="0"/>
        <w:spacing w:line="400" w:lineRule="exact"/>
        <w:ind w:firstLine="420" w:firstLineChars="200"/>
        <w:rPr>
          <w:rFonts w:cs="Times New Roman"/>
          <w:color w:val="0D0D0D"/>
          <w:kern w:val="0"/>
          <w:szCs w:val="24"/>
        </w:rPr>
      </w:pPr>
      <w:r>
        <w:rPr>
          <w:rFonts w:hint="eastAsia" w:cs="Times New Roman"/>
          <w:color w:val="0D0D0D"/>
          <w:szCs w:val="24"/>
          <w:vertAlign w:val="superscript"/>
        </w:rPr>
        <w:t>[</w:t>
      </w:r>
      <w:r>
        <w:rPr>
          <w:rFonts w:hint="eastAsia" w:cs="Times New Roman"/>
          <w:color w:val="0D0D0D"/>
          <w:szCs w:val="24"/>
        </w:rPr>
        <w:t>24]</w:t>
      </w:r>
      <w:r>
        <w:rPr>
          <w:rFonts w:hint="eastAsia" w:cs="Times New Roman"/>
          <w:color w:val="0D0D0D"/>
          <w:kern w:val="0"/>
          <w:szCs w:val="24"/>
        </w:rPr>
        <w:t>葛聪，赵姗：《互联网舆论场视阈下主流意识形态话语权建设研究》，《海派经济学》2021年第1期。</w:t>
      </w:r>
    </w:p>
    <w:p w14:paraId="44EC6AA4">
      <w:pPr>
        <w:widowControl/>
        <w:adjustRightInd w:val="0"/>
        <w:snapToGrid w:val="0"/>
        <w:spacing w:line="400" w:lineRule="exact"/>
        <w:ind w:firstLine="420" w:firstLineChars="200"/>
        <w:rPr>
          <w:rFonts w:cs="Times New Roman"/>
          <w:color w:val="0D0D0D"/>
          <w:kern w:val="0"/>
          <w:szCs w:val="24"/>
        </w:rPr>
      </w:pPr>
      <w:r>
        <w:rPr>
          <w:rFonts w:hint="eastAsia" w:cs="Times New Roman"/>
          <w:color w:val="0D0D0D"/>
          <w:szCs w:val="24"/>
          <w:vertAlign w:val="superscript"/>
        </w:rPr>
        <w:t>[2</w:t>
      </w:r>
      <w:r>
        <w:rPr>
          <w:rFonts w:hint="eastAsia" w:cs="Times New Roman"/>
          <w:color w:val="0D0D0D"/>
          <w:szCs w:val="24"/>
        </w:rPr>
        <w:t>5]</w:t>
      </w:r>
      <w:r>
        <w:rPr>
          <w:rFonts w:hint="eastAsia" w:cs="Times New Roman"/>
          <w:color w:val="0D0D0D"/>
          <w:kern w:val="0"/>
          <w:szCs w:val="24"/>
        </w:rPr>
        <w:t>习近平：《为第五批全国干部学习培训教材作序》，《人民日报》2019年3月1日，第1版。</w:t>
      </w:r>
    </w:p>
    <w:p w14:paraId="32CF4117">
      <w:pPr>
        <w:widowControl/>
        <w:adjustRightIn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[2</w:t>
      </w:r>
      <w:r>
        <w:rPr>
          <w:rFonts w:hint="eastAsia" w:cs="Times New Roman"/>
          <w:color w:val="0D0D0D"/>
          <w:szCs w:val="24"/>
        </w:rPr>
        <w:t>6]</w:t>
      </w:r>
      <w:r>
        <w:rPr>
          <w:rFonts w:hint="eastAsia" w:cs="Times New Roman"/>
          <w:color w:val="0D0D0D"/>
          <w:kern w:val="0"/>
          <w:szCs w:val="24"/>
        </w:rPr>
        <w:t>张顺洪、甄小东：《马克思主义“五形态说”是符合历史实际的——兼评王伟光主编，&lt;中国社会形态史纲&gt;》，《政治经济学研究》2021年第2期。</w:t>
      </w:r>
    </w:p>
    <w:p w14:paraId="53EC00CF">
      <w:pPr>
        <w:widowControl/>
        <w:adjustRightInd w:val="0"/>
        <w:spacing w:line="400" w:lineRule="exact"/>
        <w:ind w:firstLine="420" w:firstLineChars="200"/>
        <w:jc w:val="left"/>
        <w:rPr>
          <w:rFonts w:cs="Times New Roman"/>
          <w:color w:val="0D0D0D"/>
          <w:kern w:val="0"/>
          <w:szCs w:val="24"/>
        </w:rPr>
      </w:pPr>
      <w:r>
        <w:rPr>
          <w:rFonts w:hint="eastAsia" w:cs="Times New Roman"/>
          <w:color w:val="0D0D0D"/>
          <w:szCs w:val="24"/>
          <w:vertAlign w:val="superscript"/>
        </w:rPr>
        <w:t>[2</w:t>
      </w:r>
      <w:r>
        <w:rPr>
          <w:rFonts w:hint="eastAsia" w:cs="Times New Roman"/>
          <w:color w:val="0D0D0D"/>
          <w:szCs w:val="24"/>
        </w:rPr>
        <w:t>7]</w:t>
      </w:r>
      <w:r>
        <w:rPr>
          <w:rFonts w:hint="eastAsia" w:cs="Times New Roman"/>
          <w:color w:val="0D0D0D"/>
          <w:kern w:val="0"/>
          <w:szCs w:val="24"/>
        </w:rPr>
        <w:t>王岩：《人类文明的历史走向——访国际儒学联合会第五届会长滕文生》，《马克思主义文化研究》，2021年第1期。</w:t>
      </w:r>
    </w:p>
    <w:p w14:paraId="1CFF0726">
      <w:pPr>
        <w:widowControl/>
        <w:adjustRightInd w:val="0"/>
        <w:spacing w:line="400" w:lineRule="exact"/>
        <w:ind w:firstLine="420" w:firstLineChars="200"/>
        <w:rPr>
          <w:rFonts w:cs="Times New Roman"/>
          <w:b/>
          <w:bCs/>
          <w:color w:val="0D0D0D"/>
          <w:kern w:val="0"/>
          <w:szCs w:val="24"/>
        </w:rPr>
      </w:pPr>
      <w:r>
        <w:rPr>
          <w:rFonts w:hint="eastAsia" w:cs="Times New Roman"/>
          <w:color w:val="0D0D0D"/>
          <w:szCs w:val="24"/>
          <w:vertAlign w:val="superscript"/>
        </w:rPr>
        <w:t>[2</w:t>
      </w:r>
      <w:r>
        <w:rPr>
          <w:rFonts w:hint="eastAsia" w:cs="Times New Roman"/>
          <w:color w:val="0D0D0D"/>
          <w:szCs w:val="24"/>
        </w:rPr>
        <w:t>8]《</w:t>
      </w:r>
      <w:r>
        <w:rPr>
          <w:rFonts w:hint="eastAsia" w:cs="Times New Roman"/>
          <w:color w:val="0D0D0D"/>
          <w:kern w:val="0"/>
          <w:szCs w:val="24"/>
        </w:rPr>
        <w:t>陈云文选</w:t>
      </w:r>
      <w:r>
        <w:rPr>
          <w:rFonts w:hint="eastAsia" w:cs="Times New Roman"/>
          <w:color w:val="0D0D0D"/>
          <w:szCs w:val="24"/>
        </w:rPr>
        <w:t>》</w:t>
      </w:r>
      <w:r>
        <w:rPr>
          <w:rFonts w:hint="eastAsia" w:cs="Times New Roman"/>
          <w:color w:val="0D0D0D"/>
          <w:kern w:val="0"/>
          <w:szCs w:val="24"/>
        </w:rPr>
        <w:t>第3卷，北京：人民出版社，1995年，第371、372页。</w:t>
      </w:r>
    </w:p>
    <w:p w14:paraId="758D8D16">
      <w:pPr>
        <w:widowControl/>
        <w:adjustRightInd w:val="0"/>
        <w:spacing w:line="400" w:lineRule="exact"/>
        <w:ind w:firstLine="420" w:firstLineChars="200"/>
        <w:rPr>
          <w:rFonts w:hint="eastAsia" w:cs="Times New Roman"/>
          <w:color w:val="0D0D0D"/>
          <w:kern w:val="0"/>
          <w:szCs w:val="24"/>
        </w:rPr>
      </w:pPr>
      <w:r>
        <w:rPr>
          <w:rFonts w:hint="eastAsia" w:cs="Times New Roman"/>
          <w:color w:val="0D0D0D"/>
          <w:szCs w:val="24"/>
          <w:vertAlign w:val="superscript"/>
        </w:rPr>
        <w:t>[2</w:t>
      </w:r>
      <w:r>
        <w:rPr>
          <w:rFonts w:hint="eastAsia" w:cs="Times New Roman"/>
          <w:color w:val="0D0D0D"/>
          <w:szCs w:val="24"/>
        </w:rPr>
        <w:t>9]</w:t>
      </w:r>
      <w:r>
        <w:rPr>
          <w:rFonts w:hint="eastAsia" w:cs="Times New Roman"/>
          <w:color w:val="0D0D0D"/>
          <w:kern w:val="0"/>
          <w:szCs w:val="24"/>
        </w:rPr>
        <w:t>程恩富：《在学术生涯中形成十大马克思主义观》，《毛泽东邓小平理论研究》2020年第5期。</w:t>
      </w:r>
    </w:p>
    <w:p w14:paraId="45C54670">
      <w:pPr>
        <w:widowControl/>
        <w:adjustRightInd w:val="0"/>
        <w:spacing w:line="400" w:lineRule="exact"/>
        <w:ind w:firstLine="420" w:firstLineChars="200"/>
        <w:rPr>
          <w:rFonts w:hint="eastAsia" w:eastAsia="楷体" w:cs="Times New Roman"/>
          <w:color w:val="0D0D0D"/>
          <w:kern w:val="0"/>
          <w:szCs w:val="24"/>
          <w:lang w:eastAsia="zh-CN"/>
        </w:rPr>
      </w:pPr>
      <w:r>
        <w:rPr>
          <w:rFonts w:hint="eastAsia" w:cs="Times New Roman"/>
          <w:color w:val="0D0D0D"/>
          <w:kern w:val="0"/>
          <w:szCs w:val="24"/>
          <w:lang w:eastAsia="zh-CN"/>
        </w:rPr>
        <w:t>（</w:t>
      </w:r>
      <w:r>
        <w:rPr>
          <w:rFonts w:hint="eastAsia" w:cs="Times New Roman"/>
          <w:color w:val="0D0D0D"/>
          <w:kern w:val="0"/>
          <w:szCs w:val="24"/>
          <w:lang w:val="en-US" w:eastAsia="zh-CN"/>
        </w:rPr>
        <w:t>原载《山东社会科学》2022年第1期，第一作者张国献。</w:t>
      </w:r>
      <w:r>
        <w:rPr>
          <w:rFonts w:hint="eastAsia" w:cs="Times New Roman"/>
          <w:color w:val="0D0D0D"/>
          <w:kern w:val="0"/>
          <w:szCs w:val="24"/>
          <w:lang w:eastAsia="zh-CN"/>
        </w:rPr>
        <w:t>）</w:t>
      </w:r>
    </w:p>
    <w:p w14:paraId="39241BC3">
      <w:pPr>
        <w:widowControl/>
        <w:adjustRightInd w:val="0"/>
        <w:spacing w:line="400" w:lineRule="exact"/>
        <w:ind w:firstLine="420" w:firstLineChars="200"/>
        <w:rPr>
          <w:rFonts w:hint="eastAsia" w:cs="Times New Roman"/>
          <w:color w:val="0D0D0D"/>
          <w:kern w:val="0"/>
          <w:szCs w:val="24"/>
        </w:rPr>
      </w:pPr>
    </w:p>
    <w:p w14:paraId="3010FC03">
      <w:pPr>
        <w:spacing w:line="360" w:lineRule="auto"/>
        <w:ind w:firstLine="420" w:firstLineChars="200"/>
        <w:rPr>
          <w:rFonts w:ascii="宋体" w:hAnsi="宋体" w:eastAsia="宋体" w:cs="Times New Roman"/>
          <w:szCs w:val="24"/>
        </w:rPr>
        <w:sectPr>
          <w:footerReference r:id="rId11" w:type="default"/>
          <w:footnotePr>
            <w:numFmt w:val="decimalEnclosedCircleChinese"/>
            <w:numRestart w:val="eachPage"/>
          </w:footnotePr>
          <w:type w:val="continuous"/>
          <w:pgSz w:w="11850" w:h="16783"/>
          <w:pgMar w:top="1440" w:right="1800" w:bottom="1440" w:left="1800" w:header="851" w:footer="992" w:gutter="0"/>
          <w:pgNumType w:fmt="decimal"/>
          <w:cols w:space="425" w:num="1"/>
          <w:docGrid w:type="lines" w:linePitch="312" w:charSpace="0"/>
        </w:sectPr>
      </w:pPr>
    </w:p>
    <w:p w14:paraId="0E4579F3">
      <w:pPr>
        <w:ind w:firstLine="1682" w:firstLineChars="800"/>
        <w:outlineLvl w:val="1"/>
        <w:rPr>
          <w:rFonts w:ascii="宋体" w:hAnsi="宋体" w:eastAsia="宋体" w:cs="宋体"/>
          <w:szCs w:val="21"/>
        </w:rPr>
      </w:pPr>
      <w:bookmarkStart w:id="134" w:name="_Toc1933941106"/>
      <w:bookmarkStart w:id="135" w:name="_Toc1277238725"/>
      <w:bookmarkStart w:id="136" w:name="_Toc78713277"/>
      <w:bookmarkStart w:id="137" w:name="_Toc30978"/>
      <w:bookmarkStart w:id="138" w:name="_Toc884053624"/>
      <w:bookmarkStart w:id="139" w:name="_Toc1207175367"/>
      <w:bookmarkStart w:id="140" w:name="_Toc1832315069"/>
      <w:r>
        <w:rPr>
          <w:rFonts w:hint="eastAsia" w:ascii="宋体" w:hAnsi="宋体" w:eastAsia="宋体" w:cs="宋体"/>
          <w:b/>
          <w:bCs/>
          <w:sz w:val="21"/>
          <w:szCs w:val="21"/>
          <w:lang w:val="en-US" w:eastAsia="zh-CN"/>
        </w:rPr>
        <w:t>15</w:t>
      </w:r>
      <w:r>
        <w:rPr>
          <w:rFonts w:hint="eastAsia" w:ascii="宋体" w:hAnsi="宋体" w:eastAsia="宋体" w:cs="宋体"/>
          <w:b/>
          <w:bCs/>
          <w:sz w:val="21"/>
          <w:szCs w:val="21"/>
        </w:rPr>
        <w:t>论社会主义发展的三个阶段：经济制度与具体运行</w:t>
      </w:r>
      <w:bookmarkEnd w:id="134"/>
      <w:bookmarkEnd w:id="135"/>
      <w:bookmarkEnd w:id="136"/>
      <w:bookmarkEnd w:id="137"/>
      <w:bookmarkEnd w:id="138"/>
      <w:bookmarkEnd w:id="139"/>
      <w:bookmarkEnd w:id="140"/>
    </w:p>
    <w:p w14:paraId="565C9E3A">
      <w:pPr>
        <w:pStyle w:val="13"/>
        <w:ind w:firstLine="420" w:firstLineChars="200"/>
        <w:rPr>
          <w:rFonts w:ascii="宋体" w:hAnsi="宋体" w:eastAsia="宋体" w:cs="宋体"/>
          <w:sz w:val="21"/>
          <w:szCs w:val="21"/>
        </w:rPr>
      </w:pPr>
      <w:r>
        <w:rPr>
          <w:rFonts w:hint="eastAsia" w:ascii="宋体" w:hAnsi="宋体" w:eastAsia="宋体" w:cs="宋体"/>
          <w:sz w:val="21"/>
          <w:szCs w:val="21"/>
        </w:rPr>
        <w:t>【内容提要】本文阐述由生产力引起的生产关系或经济制度的部分质变形成社会主义三个阶段，即初级社会主义经济制度＝多种公有制主体（私有制辅体）＋市场型按劳分配主体（按资分配辅体）＋国家（计划）主导型市场经济；中级社会主义＝多种公有制＋多种商品型按劳分配＋国家主体型计划经济（市场调节辅体）；高级社会主义＝单一全民公有制＋产品型按劳分配＋完全计划经济；共产主义＝单一全民公有制＋产品型按需分配主体（个别供不应求的新消费品按劳分配）＋完全计划经济；现代资本主义经济制度＝私有制为主体＋按资分配主体＋国家指导型市场经济。并详略不同地分析在各个阶段如何</w:t>
      </w:r>
      <w:r>
        <w:rPr>
          <w:rFonts w:hint="eastAsia" w:ascii="宋体" w:hAnsi="宋体" w:eastAsia="宋体" w:cs="宋体"/>
          <w:sz w:val="21"/>
          <w:szCs w:val="21"/>
          <w:lang w:bidi="ar"/>
        </w:rPr>
        <w:t>组织</w:t>
      </w:r>
      <w:r>
        <w:rPr>
          <w:rFonts w:hint="eastAsia" w:ascii="宋体" w:hAnsi="宋体" w:eastAsia="宋体" w:cs="宋体"/>
          <w:sz w:val="21"/>
          <w:szCs w:val="21"/>
        </w:rPr>
        <w:t>生产、交换、分配的特点和运行，适当论及上层建筑的政治和国家问题。“社会主义三阶段论”这一新理论合理协调了马克思主义经典理论的各种制度标准，汲取了中外社会主义经济实践的经验教训，客观界定了不同社会及其发展阶段，有益于逻辑自洽地揭示社会主义初级阶段与共产主义远大制度目标的本质联系，说明初级社会主义是与时俱进的科学社会主义的初级形态，因而具有重要的理论价值和具体操作意义。</w:t>
      </w:r>
    </w:p>
    <w:p w14:paraId="2CA42C73">
      <w:pPr>
        <w:pStyle w:val="13"/>
        <w:ind w:firstLine="420" w:firstLineChars="200"/>
        <w:rPr>
          <w:rFonts w:ascii="宋体" w:hAnsi="宋体" w:eastAsia="宋体" w:cs="宋体"/>
          <w:sz w:val="21"/>
          <w:szCs w:val="21"/>
        </w:rPr>
      </w:pPr>
      <w:r>
        <w:rPr>
          <w:rFonts w:hint="eastAsia" w:ascii="宋体" w:hAnsi="宋体" w:eastAsia="宋体" w:cs="宋体"/>
          <w:sz w:val="21"/>
          <w:szCs w:val="21"/>
        </w:rPr>
        <w:t>【关键词】社会主义三阶段论  产权制度  分配制度  调节制度  马克思主义  社会主义经济  政治经济学</w:t>
      </w:r>
    </w:p>
    <w:p w14:paraId="384742B6">
      <w:pPr>
        <w:pStyle w:val="13"/>
        <w:widowControl/>
        <w:ind w:firstLine="420" w:firstLineChars="200"/>
        <w:rPr>
          <w:rFonts w:ascii="宋体" w:hAnsi="宋体" w:eastAsia="宋体" w:cs="宋体"/>
          <w:sz w:val="21"/>
          <w:szCs w:val="21"/>
        </w:rPr>
      </w:pPr>
    </w:p>
    <w:p w14:paraId="5BD4D5EE">
      <w:pPr>
        <w:pStyle w:val="13"/>
        <w:widowControl/>
        <w:ind w:firstLine="420" w:firstLineChars="200"/>
        <w:rPr>
          <w:rFonts w:ascii="宋体" w:hAnsi="宋体" w:eastAsia="宋体" w:cs="宋体"/>
          <w:sz w:val="21"/>
          <w:szCs w:val="21"/>
        </w:rPr>
      </w:pPr>
      <w:r>
        <w:rPr>
          <w:rFonts w:hint="eastAsia" w:ascii="宋体" w:hAnsi="宋体" w:eastAsia="宋体" w:cs="宋体"/>
          <w:sz w:val="21"/>
          <w:szCs w:val="21"/>
        </w:rPr>
        <w:t xml:space="preserve">     本文与中国官方以生产力和生活水平来划分社会主义初级阶段理论有重大不同，与目前中国的经济发展现状也有重要不同，将遵循马克思主义理论的精神，以生产关系变化为直接标志，即以产权制度、分配制度、调节制度的部分质变来分析社会主义经济制度与核心要素的三个阶段：初级阶段、中级阶段和高级阶段，并详略不同地分析在各个阶段如何</w:t>
      </w:r>
      <w:r>
        <w:rPr>
          <w:rFonts w:hint="eastAsia" w:ascii="宋体" w:hAnsi="宋体" w:eastAsia="宋体" w:cs="宋体"/>
          <w:sz w:val="21"/>
          <w:szCs w:val="21"/>
          <w:lang w:bidi="ar"/>
        </w:rPr>
        <w:t>组织</w:t>
      </w:r>
      <w:r>
        <w:rPr>
          <w:rFonts w:hint="eastAsia" w:ascii="宋体" w:hAnsi="宋体" w:eastAsia="宋体" w:cs="宋体"/>
          <w:sz w:val="21"/>
          <w:szCs w:val="21"/>
        </w:rPr>
        <w:t>生产、交换、分配的特点和运行，以及微观、中观和宏观的经济管理，探讨</w:t>
      </w:r>
      <w:r>
        <w:rPr>
          <w:rFonts w:hint="eastAsia" w:ascii="宋体" w:hAnsi="宋体" w:eastAsia="宋体" w:cs="宋体"/>
          <w:sz w:val="21"/>
          <w:szCs w:val="21"/>
          <w:lang w:bidi="ar"/>
        </w:rPr>
        <w:t>开发出一套体制框架，以解决各种冲突和限制因素，并</w:t>
      </w:r>
      <w:r>
        <w:rPr>
          <w:rFonts w:hint="eastAsia" w:ascii="宋体" w:hAnsi="宋体" w:eastAsia="宋体" w:cs="宋体"/>
          <w:sz w:val="21"/>
          <w:szCs w:val="21"/>
        </w:rPr>
        <w:t>适当论及上层建筑的政治和国家问题。</w:t>
      </w:r>
    </w:p>
    <w:p w14:paraId="798C8296">
      <w:pPr>
        <w:ind w:firstLine="420"/>
        <w:jc w:val="left"/>
        <w:rPr>
          <w:rFonts w:ascii="宋体" w:hAnsi="宋体" w:eastAsia="宋体" w:cs="宋体"/>
          <w:szCs w:val="21"/>
        </w:rPr>
      </w:pPr>
      <w:r>
        <w:rPr>
          <w:rFonts w:hint="eastAsia" w:ascii="宋体" w:hAnsi="宋体" w:eastAsia="宋体" w:cs="宋体"/>
          <w:sz w:val="21"/>
          <w:szCs w:val="21"/>
        </w:rPr>
        <w:t>社会主义初级阶段的主要经济制度与核心要素及其运行的框架设计，我们分如下三个大问题来详略不同的阐述。</w:t>
      </w:r>
    </w:p>
    <w:p w14:paraId="1F2D8BC4">
      <w:pPr>
        <w:ind w:firstLine="420" w:firstLineChars="200"/>
        <w:jc w:val="left"/>
        <w:rPr>
          <w:rFonts w:ascii="宋体" w:hAnsi="宋体" w:eastAsia="宋体" w:cs="宋体"/>
          <w:szCs w:val="21"/>
        </w:rPr>
      </w:pPr>
      <w:r>
        <w:rPr>
          <w:rFonts w:hint="eastAsia" w:ascii="宋体" w:hAnsi="宋体" w:eastAsia="宋体" w:cs="宋体"/>
          <w:sz w:val="21"/>
          <w:szCs w:val="21"/>
        </w:rPr>
        <w:t>一、产权制度：社会主义初级阶段的主要经济制度与核心要素之一</w:t>
      </w:r>
    </w:p>
    <w:p w14:paraId="7EC4ACCC">
      <w:pPr>
        <w:ind w:firstLine="420" w:firstLineChars="200"/>
        <w:jc w:val="left"/>
        <w:rPr>
          <w:rFonts w:ascii="宋体" w:hAnsi="宋体" w:eastAsia="宋体" w:cs="宋体"/>
          <w:szCs w:val="21"/>
        </w:rPr>
      </w:pPr>
      <w:r>
        <w:rPr>
          <w:rFonts w:hint="eastAsia" w:ascii="宋体" w:hAnsi="宋体" w:eastAsia="宋体" w:cs="宋体"/>
          <w:sz w:val="21"/>
          <w:szCs w:val="21"/>
        </w:rPr>
        <w:t>在产权制度上，实行公有主体型的多种类产权制度。既要坚持公有制的主体地位和国有经济的主导作用，又要推动作为辅体的非公经济良性发展，这是社会主义的根本经济制度，也是坚持社会主义经济性质与方向的主要经济标准。在全社会所有制结构上，大约下列比例较为适合：全民所有制性质的国家所有制占30%，城乡集体所有制或合作所有制占30%，个体所有制、私营所有制和外资所有制占30%，即形成“343所有制模式”。这并不妨碍不同性质的资本实行各种占比的混合所有制。而国有企业、集体企业、合作企业、股份合作企业以及不同公有资本参股混合的公有企业，便构成公有制的多种形式。</w:t>
      </w:r>
    </w:p>
    <w:p w14:paraId="2091DF36">
      <w:pPr>
        <w:numPr>
          <w:ilvl w:val="0"/>
          <w:numId w:val="3"/>
        </w:numPr>
        <w:ind w:firstLine="420" w:firstLineChars="200"/>
        <w:jc w:val="left"/>
        <w:rPr>
          <w:rFonts w:ascii="宋体" w:hAnsi="宋体" w:eastAsia="宋体" w:cs="宋体"/>
          <w:szCs w:val="21"/>
        </w:rPr>
      </w:pPr>
      <w:r>
        <w:rPr>
          <w:rFonts w:hint="eastAsia" w:ascii="宋体" w:hAnsi="宋体" w:eastAsia="宋体" w:cs="宋体"/>
          <w:sz w:val="21"/>
          <w:szCs w:val="21"/>
        </w:rPr>
        <w:t>积极发展国有经济。</w:t>
      </w:r>
    </w:p>
    <w:p w14:paraId="5B532153">
      <w:pPr>
        <w:ind w:firstLine="420" w:firstLineChars="200"/>
        <w:jc w:val="left"/>
        <w:rPr>
          <w:rFonts w:ascii="宋体" w:hAnsi="宋体" w:eastAsia="宋体" w:cs="宋体"/>
          <w:szCs w:val="21"/>
        </w:rPr>
      </w:pPr>
      <w:r>
        <w:rPr>
          <w:rFonts w:hint="eastAsia" w:ascii="宋体" w:hAnsi="宋体" w:eastAsia="宋体" w:cs="宋体"/>
          <w:sz w:val="21"/>
          <w:szCs w:val="21"/>
        </w:rPr>
        <w:t>社会主义国家应成立省市县各级国有资产管理部门，全权集中管理同级国有资产和资本，从市场公开选聘国有企业董事会和经理层，实行严格考核和重奖重罚制度。国有企业自觉按照国家产业政策和国内外市场竞争状况来制定经营计划，除非较大资本的投资需上报同级国家国有资产管理部门批准之外，其他均有国有企业自主经营决策。其税后利润主要留给该企业扩大再生产等，也可视国家需要上交一部分给同级财政。国有企业主要分布在高新科技战略产业、建筑等支柱性产业、水电网等城乡基础设施、开采性自然资源产业、生态环境重要产业、主要金融产业和高盈利服务产业等，从而真正在国计民生和国内外中高端竞争中发挥主导功能，较快赶超发达的资本主义国家科技和经济。中国工商银行、中国航天科工集团等便是典型。白俄罗斯实行的“社会主义方向的市场经济模式”中，目前国有经济就占工业的70%，</w:t>
      </w:r>
      <w:r>
        <w:rPr>
          <w:rStyle w:val="20"/>
          <w:rFonts w:hint="eastAsia" w:ascii="宋体" w:hAnsi="宋体" w:eastAsia="宋体" w:cs="宋体"/>
          <w:sz w:val="21"/>
          <w:szCs w:val="21"/>
        </w:rPr>
        <w:footnoteReference w:id="254"/>
      </w:r>
      <w:r>
        <w:rPr>
          <w:rFonts w:hint="eastAsia" w:ascii="宋体" w:hAnsi="宋体" w:eastAsia="宋体" w:cs="宋体"/>
          <w:sz w:val="21"/>
          <w:szCs w:val="21"/>
        </w:rPr>
        <w:t>而目前“中国特色社会主义市场经济模式”的国有经济却只占工业的20%。</w:t>
      </w:r>
    </w:p>
    <w:p w14:paraId="5056C816">
      <w:pPr>
        <w:ind w:firstLine="420" w:firstLineChars="200"/>
        <w:jc w:val="left"/>
        <w:rPr>
          <w:rFonts w:ascii="宋体" w:hAnsi="宋体" w:eastAsia="宋体" w:cs="宋体"/>
          <w:szCs w:val="21"/>
        </w:rPr>
      </w:pPr>
      <w:r>
        <w:rPr>
          <w:rFonts w:hint="eastAsia" w:ascii="宋体" w:hAnsi="宋体" w:eastAsia="宋体" w:cs="宋体"/>
          <w:sz w:val="21"/>
          <w:szCs w:val="21"/>
        </w:rPr>
        <w:t>2、大力发展集体经济。</w:t>
      </w:r>
    </w:p>
    <w:p w14:paraId="61A19E2D">
      <w:pPr>
        <w:ind w:firstLine="420" w:firstLineChars="200"/>
        <w:jc w:val="left"/>
        <w:rPr>
          <w:rFonts w:ascii="宋体" w:hAnsi="宋体" w:eastAsia="宋体" w:cs="宋体"/>
          <w:szCs w:val="21"/>
        </w:rPr>
      </w:pPr>
      <w:r>
        <w:rPr>
          <w:rFonts w:hint="eastAsia" w:ascii="宋体" w:hAnsi="宋体" w:eastAsia="宋体" w:cs="宋体"/>
          <w:sz w:val="21"/>
          <w:szCs w:val="21"/>
        </w:rPr>
        <w:t>集体所有制的特征是该集体企业的全体职工整体拥有集体的一切资产（在农村含土地所有权），而不能把集体所有的资产量化到个人；全体职工人人都在本企业劳动，实行按劳分配；实行企业管理委员会（类似国有企业董事会的职能，含有少数普通职工代表）领导下的总经理负责制，完全自主决策企业一切事务。集体所有制一般适合城乡中小企业，尤其适合干部有较强组织能力的乡村等。中国的南街村、日本的山岸社都是这类集体所有制经济略有差别的典型。</w:t>
      </w:r>
    </w:p>
    <w:p w14:paraId="4E571DD7">
      <w:pPr>
        <w:ind w:firstLine="420" w:firstLineChars="200"/>
        <w:jc w:val="left"/>
        <w:rPr>
          <w:rFonts w:ascii="宋体" w:hAnsi="宋体" w:eastAsia="宋体" w:cs="宋体"/>
          <w:szCs w:val="21"/>
        </w:rPr>
      </w:pPr>
      <w:r>
        <w:rPr>
          <w:rFonts w:hint="eastAsia" w:ascii="宋体" w:hAnsi="宋体" w:eastAsia="宋体" w:cs="宋体"/>
          <w:sz w:val="21"/>
          <w:szCs w:val="21"/>
        </w:rPr>
        <w:t>3、规范发展股份合作经济。</w:t>
      </w:r>
    </w:p>
    <w:p w14:paraId="65795CCF">
      <w:pPr>
        <w:ind w:firstLine="420" w:firstLineChars="200"/>
        <w:jc w:val="left"/>
        <w:rPr>
          <w:rFonts w:ascii="宋体" w:hAnsi="宋体" w:eastAsia="宋体" w:cs="宋体"/>
          <w:szCs w:val="21"/>
        </w:rPr>
      </w:pPr>
      <w:r>
        <w:rPr>
          <w:rFonts w:hint="eastAsia" w:ascii="宋体" w:hAnsi="宋体" w:eastAsia="宋体" w:cs="宋体"/>
          <w:sz w:val="21"/>
          <w:szCs w:val="21"/>
        </w:rPr>
        <w:t>西班牙蒙德拉贡集团公司是当今世界股份合作制的最佳模式，其成功经验在于坚持并发展了合作社原则，把合作社与股份制优化组合，实现了合作社与市场经济的有机统一。</w:t>
      </w:r>
      <w:r>
        <w:rPr>
          <w:rStyle w:val="20"/>
          <w:rFonts w:hint="eastAsia" w:ascii="宋体" w:hAnsi="宋体" w:eastAsia="宋体" w:cs="宋体"/>
          <w:sz w:val="21"/>
          <w:szCs w:val="21"/>
        </w:rPr>
        <w:footnoteReference w:id="255"/>
      </w:r>
      <w:r>
        <w:rPr>
          <w:rFonts w:hint="eastAsia" w:ascii="宋体" w:hAnsi="宋体" w:eastAsia="宋体" w:cs="宋体"/>
          <w:sz w:val="21"/>
          <w:szCs w:val="21"/>
        </w:rPr>
        <w:t>社会主义可以借鉴此种产权模式：一是在产权制度上，实行联合起来的劳动者共有制，职工个人所有与集体共有相结合。绝大多数员工持股，股份基本一致，在职期间不得退股。二是在法人治理制度上，建立最高权力机构即全体成员联合大会，在企业重大问题决策上实行一人一票，选举管理委员会（或董事会）、和监督委员会。管理委员会任命经营班子。</w:t>
      </w:r>
    </w:p>
    <w:p w14:paraId="1BE95CEE">
      <w:pPr>
        <w:ind w:left="420"/>
        <w:jc w:val="left"/>
        <w:rPr>
          <w:rFonts w:ascii="宋体" w:hAnsi="宋体" w:eastAsia="宋体" w:cs="宋体"/>
          <w:szCs w:val="21"/>
        </w:rPr>
      </w:pPr>
      <w:r>
        <w:rPr>
          <w:rFonts w:hint="eastAsia" w:ascii="宋体" w:hAnsi="宋体" w:eastAsia="宋体" w:cs="宋体"/>
          <w:sz w:val="21"/>
          <w:szCs w:val="21"/>
        </w:rPr>
        <w:t>4、适度发展非公经济。当社会主义国家处于世界极少数的开放条件下，极</w:t>
      </w:r>
    </w:p>
    <w:p w14:paraId="69FC9116">
      <w:pPr>
        <w:jc w:val="left"/>
        <w:rPr>
          <w:rFonts w:ascii="宋体" w:hAnsi="宋体" w:eastAsia="宋体" w:cs="宋体"/>
          <w:szCs w:val="21"/>
        </w:rPr>
      </w:pPr>
      <w:r>
        <w:rPr>
          <w:rFonts w:hint="eastAsia" w:ascii="宋体" w:hAnsi="宋体" w:eastAsia="宋体" w:cs="宋体"/>
          <w:sz w:val="21"/>
          <w:szCs w:val="21"/>
        </w:rPr>
        <w:t>少数社会主义国家引进的外资大都属于资本主义国家的私人资本，因而存在外资企业和私营企业个体户等多种非公经济。外资企业和私营企业是建立在私有制基础上的，实行按资分配，存在私人资本雇佣劳动的经济剥削关系。在个体经济中，</w:t>
      </w:r>
      <w:r>
        <w:rPr>
          <w:rFonts w:hint="eastAsia" w:ascii="宋体" w:hAnsi="宋体" w:eastAsia="宋体" w:cs="宋体"/>
          <w:sz w:val="21"/>
          <w:szCs w:val="21"/>
          <w:shd w:val="clear" w:color="auto" w:fill="FFFFFF"/>
        </w:rPr>
        <w:t>生产经营者既是直接的劳动者，又是生产资料的私有者，劳动者主要依靠自己的劳动取得收入，是一种不带有剥削关系的私有经济。</w:t>
      </w:r>
    </w:p>
    <w:p w14:paraId="140F247A">
      <w:pPr>
        <w:numPr>
          <w:ilvl w:val="0"/>
          <w:numId w:val="4"/>
        </w:numPr>
        <w:ind w:left="420" w:firstLine="420" w:firstLineChars="200"/>
        <w:jc w:val="left"/>
        <w:rPr>
          <w:rFonts w:ascii="宋体" w:hAnsi="宋体" w:eastAsia="宋体" w:cs="宋体"/>
          <w:szCs w:val="21"/>
        </w:rPr>
      </w:pPr>
      <w:r>
        <w:rPr>
          <w:rFonts w:hint="eastAsia" w:ascii="宋体" w:hAnsi="宋体" w:eastAsia="宋体" w:cs="宋体"/>
          <w:sz w:val="21"/>
          <w:szCs w:val="21"/>
        </w:rPr>
        <w:t>分配制度：社会主义初级阶段的主要经济制度与核心要素之二</w:t>
      </w:r>
    </w:p>
    <w:p w14:paraId="3523A802">
      <w:pPr>
        <w:ind w:firstLine="420" w:firstLineChars="200"/>
        <w:jc w:val="left"/>
        <w:rPr>
          <w:rFonts w:ascii="宋体" w:hAnsi="宋体" w:eastAsia="宋体" w:cs="宋体"/>
          <w:szCs w:val="21"/>
        </w:rPr>
      </w:pPr>
      <w:r>
        <w:rPr>
          <w:rFonts w:hint="eastAsia" w:ascii="宋体" w:hAnsi="宋体" w:eastAsia="宋体" w:cs="宋体"/>
          <w:sz w:val="21"/>
          <w:szCs w:val="21"/>
        </w:rPr>
        <w:t>在分配制度上，实行劳动主体型的多要素产权分配制度和多种调节制度。以市场型按劳分配为主体、</w:t>
      </w:r>
      <w:r>
        <w:rPr>
          <w:rStyle w:val="20"/>
          <w:rFonts w:hint="eastAsia" w:ascii="宋体" w:hAnsi="宋体" w:eastAsia="宋体" w:cs="宋体"/>
          <w:sz w:val="21"/>
          <w:szCs w:val="21"/>
        </w:rPr>
        <w:footnoteReference w:id="256"/>
      </w:r>
      <w:r>
        <w:rPr>
          <w:rFonts w:hint="eastAsia" w:ascii="宋体" w:hAnsi="宋体" w:eastAsia="宋体" w:cs="宋体"/>
          <w:sz w:val="21"/>
          <w:szCs w:val="21"/>
        </w:rPr>
        <w:t>按资分配为辅体、个体劳动获得收入，这是实行公有主体型的多种类产权制度的必然结果。应在企业、国家和民间三个层面上进行合理的分配和多种调节方式，以便有利于消除贫富两极分化，实现共同富裕，从而让社会主义发展的成果惠及全体人民。</w:t>
      </w:r>
    </w:p>
    <w:p w14:paraId="08A6DD87">
      <w:pPr>
        <w:numPr>
          <w:ilvl w:val="0"/>
          <w:numId w:val="5"/>
        </w:numPr>
        <w:ind w:firstLine="420" w:firstLineChars="200"/>
        <w:jc w:val="left"/>
        <w:rPr>
          <w:rFonts w:ascii="宋体" w:hAnsi="宋体" w:eastAsia="宋体" w:cs="宋体"/>
          <w:szCs w:val="21"/>
        </w:rPr>
      </w:pPr>
      <w:r>
        <w:rPr>
          <w:rFonts w:hint="eastAsia" w:ascii="宋体" w:hAnsi="宋体" w:eastAsia="宋体" w:cs="宋体"/>
          <w:sz w:val="21"/>
          <w:szCs w:val="21"/>
        </w:rPr>
        <w:t>在企业层面进行的国民收入初次分配。</w:t>
      </w:r>
    </w:p>
    <w:p w14:paraId="7D067A51">
      <w:pPr>
        <w:ind w:firstLine="420" w:firstLineChars="200"/>
        <w:jc w:val="left"/>
        <w:rPr>
          <w:rFonts w:ascii="宋体" w:hAnsi="宋体" w:eastAsia="宋体" w:cs="宋体"/>
          <w:szCs w:val="21"/>
        </w:rPr>
      </w:pPr>
      <w:r>
        <w:rPr>
          <w:rFonts w:hint="eastAsia" w:ascii="宋体" w:hAnsi="宋体" w:eastAsia="宋体" w:cs="宋体"/>
          <w:sz w:val="21"/>
          <w:szCs w:val="21"/>
        </w:rPr>
        <w:t>其一，国有企业的收入分配应处理好国家、企业、企业管理者和职工个人四者的利益关系，处理好上交税收和利润、留用利润扩大再生产与集体福利的分配关系，处理好管理者、科技人员与一般职工的分配关系。国有企业管理者的收入变动，应与企业的效益和一般职工收入的变动挂钩（一般不超过职工平均收入的5倍）。企业按月发放基础薪水，按年度考核结果发放业绩奖金。同时，国有企业在经济效益较好的条件下，其所有员工的年收入可以超过国有事业单位的员工和公务员，但也要保持三者的大体平衡，以利于人才市场配置和流动的合理性。</w:t>
      </w:r>
      <w:r>
        <w:rPr>
          <w:rStyle w:val="20"/>
          <w:rFonts w:hint="eastAsia" w:ascii="宋体" w:hAnsi="宋体" w:eastAsia="宋体" w:cs="宋体"/>
          <w:sz w:val="21"/>
          <w:szCs w:val="21"/>
        </w:rPr>
        <w:footnoteReference w:id="257"/>
      </w:r>
    </w:p>
    <w:p w14:paraId="6210DF49">
      <w:pPr>
        <w:ind w:firstLine="420" w:firstLineChars="200"/>
        <w:jc w:val="left"/>
        <w:rPr>
          <w:rFonts w:ascii="宋体" w:hAnsi="宋体" w:eastAsia="宋体" w:cs="宋体"/>
          <w:szCs w:val="21"/>
          <w:shd w:val="clear" w:color="auto" w:fill="FFFFFF"/>
        </w:rPr>
      </w:pPr>
      <w:r>
        <w:rPr>
          <w:rFonts w:hint="eastAsia" w:ascii="宋体" w:hAnsi="宋体" w:eastAsia="宋体" w:cs="宋体"/>
          <w:sz w:val="21"/>
          <w:szCs w:val="21"/>
        </w:rPr>
        <w:t>其二，集体所有制企业和股份合作制企业的分配，应兼顾当前利益和企业发展、个人利益和整体利益。在企业的总收入中扣除成本和税收，其剩余部分应根据民主制定的原则，将在投资、储备基金、个人收入和集体消费之间按一定比例进行分配。其中，以按劳分配的原则直接分配给个人的货币，与全体职工集体福利的比例，有一定的伸缩性</w:t>
      </w:r>
      <w:r>
        <w:rPr>
          <w:rFonts w:hint="eastAsia" w:ascii="宋体" w:hAnsi="宋体" w:eastAsia="宋体" w:cs="宋体"/>
          <w:sz w:val="21"/>
          <w:szCs w:val="21"/>
          <w:shd w:val="clear" w:color="auto" w:fill="FFFFFF"/>
        </w:rPr>
        <w:t>。目前中国南街村强调共同富裕，因而实行前者占30%，后者占70%的分配制度（住房、上学、医疗、养老等费用全部由村集体来统一支付。</w:t>
      </w:r>
    </w:p>
    <w:p w14:paraId="6C59D29B">
      <w:pPr>
        <w:ind w:firstLine="420" w:firstLineChars="200"/>
        <w:jc w:val="left"/>
        <w:rPr>
          <w:rFonts w:ascii="宋体" w:hAnsi="宋体" w:eastAsia="宋体" w:cs="宋体"/>
          <w:szCs w:val="21"/>
          <w:shd w:val="clear" w:color="auto" w:fill="FFFFFF"/>
        </w:rPr>
      </w:pPr>
      <w:r>
        <w:rPr>
          <w:rFonts w:hint="eastAsia" w:ascii="宋体" w:hAnsi="宋体" w:eastAsia="宋体" w:cs="宋体"/>
          <w:sz w:val="21"/>
          <w:szCs w:val="21"/>
          <w:shd w:val="clear" w:color="auto" w:fill="FFFFFF"/>
        </w:rPr>
        <w:t>其三，</w:t>
      </w:r>
      <w:r>
        <w:rPr>
          <w:rFonts w:hint="eastAsia" w:ascii="宋体" w:hAnsi="宋体" w:eastAsia="宋体" w:cs="宋体"/>
          <w:sz w:val="21"/>
          <w:szCs w:val="21"/>
        </w:rPr>
        <w:t>私</w:t>
      </w:r>
      <w:r>
        <w:rPr>
          <w:rFonts w:hint="eastAsia" w:ascii="宋体" w:hAnsi="宋体" w:eastAsia="宋体" w:cs="宋体"/>
          <w:sz w:val="21"/>
          <w:szCs w:val="21"/>
          <w:shd w:val="clear" w:color="auto" w:fill="FFFFFF"/>
        </w:rPr>
        <w:t>营企业应逐步实行的职工持股制和利润分享制，以减少经济剥削的程度。资本主义国家极少数私营企业由于某种原因而实行。社会主义国家以劳动人民而非以私人资本为中心来发展经济和分享利润，就应当立法并逐步强制推行。华为公司不搞传统个别私人控股的股份制，其公司内部有大约一半职工持股，但只具有分配意义，其企业性质不属于一般的集体所有制和股份合作制，而是一种独特的私营企业。</w:t>
      </w:r>
    </w:p>
    <w:p w14:paraId="6C7A0B55">
      <w:pPr>
        <w:numPr>
          <w:ilvl w:val="0"/>
          <w:numId w:val="5"/>
        </w:numPr>
        <w:ind w:firstLine="420" w:firstLineChars="200"/>
        <w:jc w:val="left"/>
        <w:rPr>
          <w:rFonts w:ascii="宋体" w:hAnsi="宋体" w:eastAsia="宋体" w:cs="宋体"/>
          <w:szCs w:val="21"/>
        </w:rPr>
      </w:pPr>
      <w:r>
        <w:rPr>
          <w:rFonts w:hint="eastAsia" w:ascii="宋体" w:hAnsi="宋体" w:eastAsia="宋体" w:cs="宋体"/>
          <w:sz w:val="21"/>
          <w:szCs w:val="21"/>
        </w:rPr>
        <w:t>在国家层面进行的国民收入再分配。</w:t>
      </w:r>
    </w:p>
    <w:p w14:paraId="7EF532C1">
      <w:pPr>
        <w:ind w:firstLine="420" w:firstLineChars="200"/>
        <w:jc w:val="left"/>
        <w:rPr>
          <w:rFonts w:ascii="宋体" w:hAnsi="宋体" w:eastAsia="宋体" w:cs="宋体"/>
          <w:szCs w:val="21"/>
        </w:rPr>
      </w:pPr>
      <w:r>
        <w:rPr>
          <w:rFonts w:hint="eastAsia" w:ascii="宋体" w:hAnsi="宋体" w:eastAsia="宋体" w:cs="宋体"/>
          <w:sz w:val="21"/>
          <w:szCs w:val="21"/>
        </w:rPr>
        <w:t>其一，实行不断提高的社会保障制度。社会主义社会建立以后，应在经济实力允许的条件下充分体现社会主义的优越性，即国家要尽快地为全体居民逐步实行教育、医疗、养老的免费供给制，并为失业、妇女哺乳期等提供一定补贴，但有不能造成失业补贴金与最低工资的差距太小而导致人们懒得就业的不良状况（如过去瑞典改革前那样）。</w:t>
      </w:r>
    </w:p>
    <w:p w14:paraId="37C65E47">
      <w:pPr>
        <w:ind w:firstLine="420" w:firstLineChars="200"/>
        <w:jc w:val="left"/>
        <w:rPr>
          <w:rFonts w:ascii="宋体" w:hAnsi="宋体" w:eastAsia="宋体" w:cs="宋体"/>
          <w:szCs w:val="21"/>
        </w:rPr>
      </w:pPr>
      <w:r>
        <w:rPr>
          <w:rFonts w:hint="eastAsia" w:ascii="宋体" w:hAnsi="宋体" w:eastAsia="宋体" w:cs="宋体"/>
          <w:sz w:val="21"/>
          <w:szCs w:val="21"/>
        </w:rPr>
        <w:t>其二，实行有基本保障的灵活住房制度。农村居民住房可实行集体或国家划定的宅基地，有农民家庭自行建造或集体统一建造后再按不同情况统一分配。城市居民实行租赁公有住房为主，与私人完全产权住房、租赁私有住房、公私共有住房等并存的多种住房模式。在城市达到结婚年龄的工作者，每人可以租赁国家建造的基本需要的公有住房（譬如30平方室内面积等）；如果需要居住面积更大或品质和地段更好住房的话，都可以申请获得企事业单位或国家提供的共有住房。即按照市场房价，个人出资一部分，单位或国家出资一部分，其出资比例视各个城市的房价和收入水平而确定和变动。共有住房的居民只能自己居住，而不能在市场上自由出租和出售，但可以按市场价买下属于国家的产权部分或出售个人产权部分给国家。这就可以灵活适应迁徙住处和个人收入变动的需要。目前中国已纠正城市居民住房从改革前完全公有和改革后完全私有的两种极端体制，正在逐步开展共有产权住房的生产和供给。</w:t>
      </w:r>
    </w:p>
    <w:p w14:paraId="2E41B5E8">
      <w:pPr>
        <w:ind w:firstLine="420" w:firstLineChars="200"/>
        <w:jc w:val="left"/>
        <w:rPr>
          <w:rFonts w:ascii="宋体" w:hAnsi="宋体" w:eastAsia="宋体" w:cs="宋体"/>
          <w:szCs w:val="21"/>
        </w:rPr>
      </w:pPr>
      <w:r>
        <w:rPr>
          <w:rFonts w:hint="eastAsia" w:ascii="宋体" w:hAnsi="宋体" w:eastAsia="宋体" w:cs="宋体"/>
          <w:sz w:val="21"/>
          <w:szCs w:val="21"/>
        </w:rPr>
        <w:t>其三，实行有力有效的财政转移支付制度。其中最重要的财政举措：一是摆脱绝对贫困举措。应通过以财政转移支付为主的多种措施，尽快逐步消灭国家规定的最低收入下的绝对贫困，并建立脱贫的长效机制。2021年年中中国将宣布14亿人已全部摆脱了绝对贫困，当然经济实力是允许在前一二十年完成的，这是价值观和政策选择问题。二是缩小区域发展和生活水平过大差距的举措。为了缩小城市与农村、落后与发达地区的经济社会发展和生活水平的较大差距，应采取各种方式的财政转移支付。</w:t>
      </w:r>
    </w:p>
    <w:p w14:paraId="4577E094">
      <w:pPr>
        <w:ind w:firstLine="420" w:firstLineChars="200"/>
        <w:jc w:val="left"/>
        <w:rPr>
          <w:rFonts w:ascii="宋体" w:hAnsi="宋体" w:eastAsia="宋体" w:cs="宋体"/>
          <w:szCs w:val="21"/>
        </w:rPr>
      </w:pPr>
      <w:r>
        <w:rPr>
          <w:rFonts w:hint="eastAsia" w:ascii="宋体" w:hAnsi="宋体" w:eastAsia="宋体" w:cs="宋体"/>
          <w:sz w:val="21"/>
          <w:szCs w:val="21"/>
        </w:rPr>
        <w:t>其四，实行多种税收调节分配的制度。其中至少包括两项制度：一是实行最高为90%的累进遗产税。马克思主义经典作家早就提出过遗产税的措施。二是实行劳动收入与资本收入较低的个调税。2020年，中国新推行的个调税，在起征点和最高税率方面，劳动收入均高于资本收入。这既不符合基于马克思劳动价值论的公平原则，也会扩大不合理的贫富差距。二是实行退籍税举措。应借鉴美国等国家实行本国居民退出本国国籍时须交纳不同税率的制度，目的在于减少本国富豪带走利用本国资源产生的大量财富的现象，维护和促进全体人民的共富共享共福。中国曾宣布“让一分部人先富起来，然后先富帮后富以达到共同富裕”，但事实上并未实现，近几年大量先富起来的富豪和超级富豪通过更换国籍或离岸信托来转移财富，并逃避本国相对较高的个调税，而中国至今没有实行退籍税和治理离岸信托。</w:t>
      </w:r>
    </w:p>
    <w:p w14:paraId="11633FBC">
      <w:pPr>
        <w:ind w:firstLine="420" w:firstLineChars="200"/>
        <w:jc w:val="left"/>
        <w:rPr>
          <w:rFonts w:ascii="宋体" w:hAnsi="宋体" w:eastAsia="宋体" w:cs="宋体"/>
          <w:szCs w:val="21"/>
        </w:rPr>
      </w:pPr>
      <w:r>
        <w:rPr>
          <w:rFonts w:hint="eastAsia" w:ascii="宋体" w:hAnsi="宋体" w:eastAsia="宋体" w:cs="宋体"/>
          <w:sz w:val="21"/>
          <w:szCs w:val="21"/>
        </w:rPr>
        <w:t>其五，实行“壮国企、多分红”的全民共享制度。为了使全体公民认同做强做优做大国有企业的必要性和国有企业的全民所有制性质，可以实行国有企业的部分利润分配平均给在年满18岁以上的公民。可以借鉴中国澳门人人每年可获国家分红的经验。</w:t>
      </w:r>
    </w:p>
    <w:p w14:paraId="66D7503D">
      <w:pPr>
        <w:numPr>
          <w:ilvl w:val="0"/>
          <w:numId w:val="6"/>
        </w:numPr>
        <w:ind w:firstLine="420" w:firstLineChars="200"/>
        <w:jc w:val="left"/>
        <w:rPr>
          <w:rFonts w:ascii="宋体" w:hAnsi="宋体" w:eastAsia="宋体" w:cs="宋体"/>
          <w:szCs w:val="21"/>
        </w:rPr>
      </w:pPr>
      <w:r>
        <w:rPr>
          <w:rFonts w:hint="eastAsia" w:ascii="宋体" w:hAnsi="宋体" w:eastAsia="宋体" w:cs="宋体"/>
          <w:sz w:val="21"/>
          <w:szCs w:val="21"/>
        </w:rPr>
        <w:t>在民间层面进行的国民收入再分配。</w:t>
      </w:r>
    </w:p>
    <w:p w14:paraId="657D8F05">
      <w:pPr>
        <w:ind w:firstLine="420" w:firstLineChars="200"/>
        <w:jc w:val="left"/>
        <w:rPr>
          <w:rFonts w:ascii="宋体" w:hAnsi="宋体" w:eastAsia="宋体" w:cs="宋体"/>
          <w:szCs w:val="21"/>
        </w:rPr>
      </w:pPr>
      <w:r>
        <w:rPr>
          <w:rFonts w:hint="eastAsia" w:ascii="宋体" w:hAnsi="宋体" w:eastAsia="宋体" w:cs="宋体"/>
          <w:sz w:val="21"/>
          <w:szCs w:val="21"/>
        </w:rPr>
        <w:t>例如，建立民间的社会主义慈善制度。与美国等资本主义国家公益性和慈善性的基金会本质上是免交遗产税等不同（因为基金会只需拨出基金的利息等收益的5%用于公益事业或分配给有特殊困难人群的慈善事业），</w:t>
      </w:r>
      <w:r>
        <w:rPr>
          <w:rStyle w:val="20"/>
          <w:rFonts w:hint="eastAsia" w:ascii="宋体" w:hAnsi="宋体" w:eastAsia="宋体" w:cs="宋体"/>
          <w:sz w:val="21"/>
          <w:szCs w:val="21"/>
        </w:rPr>
        <w:footnoteReference w:id="258"/>
      </w:r>
      <w:r>
        <w:rPr>
          <w:rFonts w:hint="eastAsia" w:ascii="宋体" w:hAnsi="宋体" w:eastAsia="宋体" w:cs="宋体"/>
          <w:sz w:val="21"/>
          <w:szCs w:val="21"/>
        </w:rPr>
        <w:t>社会主义国家的公益或慈善基金会必须用基金的利息等收益全部用于公益事业或分配给有特殊困难人群的慈善事业，从而真正成为民间之间进行的国民收入再分配重要途径。目前中国关于各类基金会的立法是遵循这一正确原则的，主要是国有企事业单位而不是私营企业设立了之类基金会。</w:t>
      </w:r>
    </w:p>
    <w:p w14:paraId="712AB822">
      <w:pPr>
        <w:numPr>
          <w:ilvl w:val="0"/>
          <w:numId w:val="4"/>
        </w:numPr>
        <w:ind w:left="420" w:firstLine="420" w:firstLineChars="200"/>
        <w:jc w:val="left"/>
        <w:rPr>
          <w:rFonts w:ascii="宋体" w:hAnsi="宋体" w:eastAsia="宋体" w:cs="宋体"/>
          <w:szCs w:val="21"/>
        </w:rPr>
      </w:pPr>
      <w:r>
        <w:rPr>
          <w:rFonts w:hint="eastAsia" w:ascii="宋体" w:hAnsi="宋体" w:eastAsia="宋体" w:cs="宋体"/>
          <w:sz w:val="21"/>
          <w:szCs w:val="21"/>
        </w:rPr>
        <w:t>调节制度：社会主义初级阶段的主要经济制度与核心要素之三</w:t>
      </w:r>
    </w:p>
    <w:p w14:paraId="62B2D1ED">
      <w:pPr>
        <w:ind w:firstLine="420" w:firstLineChars="200"/>
        <w:jc w:val="left"/>
        <w:rPr>
          <w:rFonts w:ascii="宋体" w:hAnsi="宋体" w:eastAsia="宋体" w:cs="宋体"/>
          <w:szCs w:val="21"/>
        </w:rPr>
      </w:pPr>
      <w:r>
        <w:rPr>
          <w:rFonts w:hint="eastAsia" w:ascii="宋体" w:hAnsi="宋体" w:eastAsia="宋体" w:cs="宋体"/>
          <w:sz w:val="21"/>
          <w:szCs w:val="21"/>
        </w:rPr>
        <w:t>在调节制度上，实行国家主导型的多结构市场制度。在社会主义初级阶段，可以实行社会主义市场经济，即公有制为主体、国有制为主导这一类型和性质的市场经济体制。该体制总体上应实行“以市场调节为基础、国家调节为主导”的功能性双重调节体系。既要发挥市场对一般资源短期配置的基础性作用，同时又要加强国家的宏观、中观、微观和对外经济的调节作用。这个问题十分复杂和具体，争议也很多，因而需要用较大篇幅来阐述。</w:t>
      </w:r>
    </w:p>
    <w:p w14:paraId="6F4C653F">
      <w:pPr>
        <w:ind w:firstLine="420" w:firstLineChars="200"/>
        <w:rPr>
          <w:rFonts w:ascii="宋体" w:hAnsi="宋体" w:eastAsia="宋体" w:cs="宋体"/>
          <w:szCs w:val="21"/>
        </w:rPr>
      </w:pPr>
      <w:r>
        <w:rPr>
          <w:rFonts w:hint="eastAsia" w:ascii="宋体" w:hAnsi="宋体" w:eastAsia="宋体" w:cs="宋体"/>
          <w:sz w:val="21"/>
          <w:szCs w:val="21"/>
        </w:rPr>
        <w:t>1、要重视市场调节及其功能强弱点。</w:t>
      </w:r>
    </w:p>
    <w:p w14:paraId="089B0E02">
      <w:pPr>
        <w:ind w:firstLine="420" w:firstLineChars="200"/>
        <w:rPr>
          <w:rFonts w:ascii="宋体" w:hAnsi="宋体" w:eastAsia="宋体" w:cs="宋体"/>
          <w:szCs w:val="21"/>
        </w:rPr>
      </w:pPr>
      <w:r>
        <w:rPr>
          <w:rFonts w:hint="eastAsia" w:ascii="宋体" w:hAnsi="宋体" w:eastAsia="宋体" w:cs="宋体"/>
          <w:sz w:val="21"/>
          <w:szCs w:val="21"/>
        </w:rPr>
        <w:t>价值规律是商品生产和商品交换的内在本质联系，市场经济是通过价值规律自行调节的经济体制和经济运行方式。市场调节功能会随着国民经济社会化程度和经济外向化程度的提高而不断增强，客观上要求在更大范围内和更大程度上重视价值规律及其表现方式即市场调节的作用。</w:t>
      </w:r>
    </w:p>
    <w:p w14:paraId="724208A8">
      <w:pPr>
        <w:rPr>
          <w:rFonts w:ascii="宋体" w:hAnsi="宋体" w:eastAsia="宋体" w:cs="宋体"/>
          <w:szCs w:val="21"/>
        </w:rPr>
      </w:pPr>
      <w:r>
        <w:rPr>
          <w:rFonts w:hint="eastAsia" w:ascii="宋体" w:hAnsi="宋体" w:eastAsia="宋体" w:cs="宋体"/>
          <w:sz w:val="21"/>
          <w:szCs w:val="21"/>
        </w:rPr>
        <w:t xml:space="preserve">    所谓市场调节，就是通过价格、竞争和供求等机制的共同作用，调节商品和资源的供求，引导经济资源在社会各方面流动，并使经济利益在不同利益主体之间进行相应的分配，从而促进国民经济的增长和健康发展。具体来说，市场调节功能的强点或积极效应体现在五个方面：一是微观经济均衡功能，即市场引导自主决策个体的生产经营行为紧随现实需求的变化，从而能够在微观层面调节供求关系及其平衡；二是资源短期配置功能，即市场可以在短期内迅速引导经济资源向效益高的领域流动，直接影响经济主体的资源短期调配；三是市场信号传递功能，即市场可以通过价格信号反映市场供求、竞争强弱等情况，引导生产经营者快速和自主决策；四是科学技术创新功能，即市场可以引导生产经营者改进生产资料、提高生产技术水平和商品质量，提高社会生产力水平；五是局部利益驱动功能，即市场可以驱使生产者基于局部利益考虑来加强经营管理和内外部的合作，从而促进经济发展。</w:t>
      </w:r>
    </w:p>
    <w:p w14:paraId="4EAA90C1">
      <w:pPr>
        <w:rPr>
          <w:rFonts w:ascii="宋体" w:hAnsi="宋体" w:eastAsia="宋体" w:cs="宋体"/>
          <w:szCs w:val="21"/>
        </w:rPr>
      </w:pPr>
      <w:r>
        <w:rPr>
          <w:rFonts w:hint="eastAsia" w:ascii="宋体" w:hAnsi="宋体" w:eastAsia="宋体" w:cs="宋体"/>
          <w:sz w:val="21"/>
          <w:szCs w:val="21"/>
        </w:rPr>
        <w:t xml:space="preserve">    不过，市场调节也存在着自身难以克服的功能弱点。首先，易偏离宏观经济目标。由于市场调节具有自发性、滞后性和无序性，市场行为主体出于自身利益考虑，难以关心全社会的宏观经济整体目标和长远利益。其次，调节领域易受限。现实中并不是所有的领域都适合采用市场调节。与一般商品生产和交换领域不同，在某些因规模经济导致自然垄断的领域，如交通运输等基础设施，供水、供电等领域，完全采用市场调节的效果并不理想。在公益性和非营利性领域，如教育、卫生、环境保护、文化保护、基础研究、国防经济等，试图以市场调节起主导作用更会引起不良后果。其三，易导致贫富分化。如果社会的财富和收入分配问题完全交给市场来支配，实际上就是交给资本尤其是私人资本来支配，这势必导致“马太效应”的产生。四是产业协调难度较大。市场调节往往促使生产者更关注短期资源配置和短期收益状况，那些回收资金周期长、具有长远战略意义的基础产业往往被忽略，产能容易过剩。五是现实交易成本较大。在日益庞大的现代市场经济中，供需情况、交易价格等因素相互影响、变化频繁，必然导致市场主体花费大量的搜寻成本、决策成本、适应成本甚至是纠错成本，使微观个体和社会整体均承担较高的代价。</w:t>
      </w:r>
    </w:p>
    <w:p w14:paraId="78495C23">
      <w:pPr>
        <w:rPr>
          <w:rFonts w:ascii="宋体" w:hAnsi="宋体" w:eastAsia="宋体" w:cs="宋体"/>
          <w:szCs w:val="21"/>
        </w:rPr>
      </w:pPr>
      <w:r>
        <w:rPr>
          <w:rFonts w:hint="eastAsia" w:ascii="宋体" w:hAnsi="宋体" w:eastAsia="宋体" w:cs="宋体"/>
          <w:sz w:val="21"/>
          <w:szCs w:val="21"/>
        </w:rPr>
        <w:t xml:space="preserve">    需要指出的是，对于市场配置资源的功能缺陷，西方学者提出了诸如市场结构理论、公共产品论、外溢性或外部效应、信息不对称、市场不完全、分配不公等观点，值得重视。市场配置资源的作用在现实生活中并非没有约束条件，也不完全是自发地实现。19世纪以来，西方资本主义市场经济的众多大大小小经济危机、金融危机和财政危机，以及贫富对立等事实，均证实上述理论分析的客观性，证实市场功能的利弊需要有扬有弃。</w:t>
      </w:r>
    </w:p>
    <w:p w14:paraId="413BE3FA">
      <w:pPr>
        <w:numPr>
          <w:ilvl w:val="0"/>
          <w:numId w:val="5"/>
        </w:numPr>
        <w:spacing w:before="156" w:beforeLines="50" w:after="156" w:afterLines="50"/>
        <w:ind w:firstLine="420" w:firstLineChars="200"/>
        <w:rPr>
          <w:rFonts w:ascii="宋体" w:hAnsi="宋体" w:eastAsia="宋体" w:cs="宋体"/>
          <w:szCs w:val="21"/>
        </w:rPr>
      </w:pPr>
      <w:r>
        <w:rPr>
          <w:rFonts w:hint="eastAsia" w:ascii="宋体" w:hAnsi="宋体" w:eastAsia="宋体" w:cs="宋体"/>
          <w:sz w:val="21"/>
          <w:szCs w:val="21"/>
        </w:rPr>
        <w:t>要重视国家调节及其功能强弱点。</w:t>
      </w:r>
    </w:p>
    <w:p w14:paraId="42D2B8D7">
      <w:pPr>
        <w:spacing w:before="156" w:beforeLines="50" w:after="156" w:afterLines="50"/>
        <w:rPr>
          <w:rFonts w:ascii="宋体" w:hAnsi="宋体" w:eastAsia="宋体" w:cs="宋体"/>
          <w:szCs w:val="21"/>
        </w:rPr>
      </w:pPr>
      <w:r>
        <w:rPr>
          <w:rFonts w:hint="eastAsia" w:ascii="宋体" w:hAnsi="宋体" w:eastAsia="宋体" w:cs="宋体"/>
          <w:sz w:val="21"/>
          <w:szCs w:val="21"/>
        </w:rPr>
        <w:t xml:space="preserve">    国家经济行为是现代经济活动的重要组成部分。什么是国家调节？广义的国家调节涵盖国家的立法机构和行政机构的调节，它大于政府调节的概念。在20世纪30年代西方大危机以后，国家对经济生活的干预和调节已成为各国经济运行中的常态现象。所谓国家调节，就是国家运用经济、法律、行政、劝导等手段调节各类经济主体的经济行为，以实现经济社会发展的整体和长远目标。国家调节不是随心所欲、杂乱无章而没有内在规律可循的，其内含应遵循按比例发展和有计划发展等规律。现代经济社会的持续健康发展，本质上要求在市场发挥资源配置基础性作用的同时，社会自觉地按照经济发展的总体目标进行宏观和中观的调控及微观规制。国家承担这一职能具有客观必然性。那么，国家调节的功能强弱点有哪些呢？</w:t>
      </w:r>
    </w:p>
    <w:p w14:paraId="1BD910E0">
      <w:pPr>
        <w:rPr>
          <w:rFonts w:ascii="宋体" w:hAnsi="宋体" w:eastAsia="宋体" w:cs="宋体"/>
          <w:szCs w:val="21"/>
        </w:rPr>
      </w:pPr>
      <w:r>
        <w:rPr>
          <w:rFonts w:hint="eastAsia" w:ascii="宋体" w:hAnsi="宋体" w:eastAsia="宋体" w:cs="宋体"/>
          <w:sz w:val="21"/>
          <w:szCs w:val="21"/>
        </w:rPr>
        <w:t xml:space="preserve">    一是在宏观层面，社会主义国家科学调节功能的优势，在于制定和实现经济社会发展总体目标。国家调控的首要目标是宏观经济稳定。科学的宏观调控，是发挥社会主义市场经济体制优势的内在要求，而这恰恰是国家的职能所在，解决这一领域的问题并不是市场这种手段的优势。就业关系到社会稳定，但一般的市场主体并不关心就业总体状况；物价的稳定决定着市场价格信号的准确，而作为个体的市场经营者往往利用透明或不透明的信号谋利；总供求均衡和国际收支平衡由千千万万的生产经营者的整体行为决定，而一般经营者没有能力和动力维持两者的均衡；国际收支失衡已经对某些国家，特别是发展中国家的经济形成巨大冲击，并产生了严重的负面影响；非公经济关注微观经济收益，难以通过市场调节来解决企业内部和全社会的贫富悬殊问题；单一市场主体关注的是微观经济效益，难以自觉增进全社会整体的经济效益、社会效益和生态效益。国家职能和宏观调控的另一个层面，是整个经济、社会、文化、生态文明等建设方面的作用。这方面已远超出了资源配置的范围，不能都由市场决定。实践也证明，在宏观经济社会发展目标的实现上，国家能够超脱单个企业出于短期和局部利益而作出的经济决策，因而能够更多地站在全局和整体角度调节资源配置和经济运行，从而保持宏观经济稳定，确保充分就业、物价稳定、总供求平衡、国际收支平衡、共同富裕以及人口、资源与环境可持续发展等目标的实现。</w:t>
      </w:r>
    </w:p>
    <w:p w14:paraId="694C5B1B">
      <w:pPr>
        <w:rPr>
          <w:rFonts w:ascii="宋体" w:hAnsi="宋体" w:eastAsia="宋体" w:cs="宋体"/>
          <w:szCs w:val="21"/>
        </w:rPr>
      </w:pPr>
      <w:r>
        <w:rPr>
          <w:rFonts w:hint="eastAsia" w:ascii="宋体" w:hAnsi="宋体" w:eastAsia="宋体" w:cs="宋体"/>
          <w:sz w:val="21"/>
          <w:szCs w:val="21"/>
        </w:rPr>
        <w:t xml:space="preserve">    二是在中观层面，</w:t>
      </w:r>
      <w:r>
        <w:rPr>
          <w:rStyle w:val="20"/>
          <w:rFonts w:hint="eastAsia" w:ascii="宋体" w:hAnsi="宋体" w:eastAsia="宋体" w:cs="宋体"/>
          <w:sz w:val="21"/>
          <w:szCs w:val="21"/>
        </w:rPr>
        <w:footnoteReference w:id="259"/>
      </w:r>
      <w:r>
        <w:rPr>
          <w:rFonts w:hint="eastAsia" w:ascii="宋体" w:hAnsi="宋体" w:eastAsia="宋体" w:cs="宋体"/>
          <w:sz w:val="21"/>
          <w:szCs w:val="21"/>
        </w:rPr>
        <w:t>社会主义国家科学调节功能的优势，在于能够化解经济发展中产业结构和区域经济的发展不平衡问题。由于国家调节具备一定的前瞻性、全局性和战略性，在产业和区域发展上能够更注重协调发展和综合平衡。与市场调节过于注重资源的短期配置不同，国家调节可以注重弥补经济社会发展的“短板”，注重投资于周期较长、战略意义大的新兴产业、关系国计民生的基础产业和区域发展战略。比如，国家可以通过财税政策等工具来促进新技术的大规模应用，加快淘汰落后产能，从而加快产业结构转型升级。中国珠三角、长三角、京津冀、中西部和东北部等区域经济和“带路经济”（长江带、陆上和海上丝绸之路）先后规划和较快发展，便与中央和地方政府的积极调控密切相关。</w:t>
      </w:r>
    </w:p>
    <w:p w14:paraId="40623932">
      <w:pPr>
        <w:rPr>
          <w:rFonts w:ascii="宋体" w:hAnsi="宋体" w:eastAsia="宋体" w:cs="宋体"/>
          <w:szCs w:val="21"/>
        </w:rPr>
      </w:pPr>
      <w:r>
        <w:rPr>
          <w:rFonts w:hint="eastAsia" w:ascii="宋体" w:hAnsi="宋体" w:eastAsia="宋体" w:cs="宋体"/>
          <w:sz w:val="21"/>
          <w:szCs w:val="21"/>
        </w:rPr>
        <w:t xml:space="preserve">    三是在微观层面，社会主义国家科学调节的功能优势，在于其必要的规制或监管的效能。现代市场经济的有序性和高效性，不能单纯地建立在市场主体的自觉和自律基础上。国家调节具有公正性和权威性，能够更好地规制经济主体的合法和诚信经营，也可以通过准入、惩罚、黑名单制度等经济和行政管理手段，来维护市场正常秩序。其中，事先、事中和事后的监管视情况不同而各司其职，缺一不可。如在最低工资制度、劳动者权益、环保评估等方面，国家利用政策和法规进行规范，便能有效保障劳动者的利益，维护社会公众的利益，这是市场调节所做不好的。</w:t>
      </w:r>
    </w:p>
    <w:p w14:paraId="6CACA386">
      <w:pPr>
        <w:rPr>
          <w:rFonts w:ascii="宋体" w:hAnsi="宋体" w:eastAsia="宋体" w:cs="宋体"/>
          <w:szCs w:val="21"/>
        </w:rPr>
      </w:pPr>
      <w:r>
        <w:rPr>
          <w:rFonts w:hint="eastAsia" w:ascii="宋体" w:hAnsi="宋体" w:eastAsia="宋体" w:cs="宋体"/>
          <w:sz w:val="21"/>
          <w:szCs w:val="21"/>
        </w:rPr>
        <w:t xml:space="preserve">    不过，国家调节同样存在着失灵现象。就国家调节功能的劣势和不足而言，主要是与国家偏好的主观性、调节方向的转换机制、部门间的协调和调节承担者的动力机制有关。具体说来，一是国家调节的偏好不当，易于使国家调节的目标偏离全社会的要求。如“GDP”至上的偏好会导致盲目投资和忽视民生及生态建设等。二是国家调节的程序不妥，易于使决策走向程序非民主化、措施延迟化和代价增大化，难以及时和灵活地应对市场变动状况。三是国家调节的配套性弱，易于使调节目标受制于具体执行部门的利益和地方的利益，形成政策性内耗。四是国家调节的动力不足，易于使国家调节的主动性减弱，导致已暴露出来的矛盾和问题迁延日久和难以解决，导致国家机构的官僚作风，降低国家调节的效率。</w:t>
      </w:r>
    </w:p>
    <w:p w14:paraId="3813628F">
      <w:pPr>
        <w:spacing w:before="156" w:beforeLines="50" w:after="156" w:afterLines="50"/>
        <w:ind w:firstLine="420" w:firstLineChars="200"/>
        <w:rPr>
          <w:rFonts w:ascii="宋体" w:hAnsi="宋体" w:eastAsia="宋体" w:cs="宋体"/>
          <w:szCs w:val="21"/>
        </w:rPr>
      </w:pPr>
      <w:r>
        <w:rPr>
          <w:rFonts w:hint="eastAsia" w:ascii="宋体" w:hAnsi="宋体" w:eastAsia="宋体" w:cs="宋体"/>
          <w:sz w:val="21"/>
          <w:szCs w:val="21"/>
        </w:rPr>
        <w:t>3、要重视市场调节与国家调节的不同特点</w:t>
      </w:r>
    </w:p>
    <w:p w14:paraId="749E47AC">
      <w:pPr>
        <w:rPr>
          <w:rFonts w:ascii="宋体" w:hAnsi="宋体" w:eastAsia="宋体" w:cs="宋体"/>
          <w:szCs w:val="21"/>
        </w:rPr>
      </w:pPr>
      <w:r>
        <w:rPr>
          <w:rFonts w:hint="eastAsia" w:ascii="宋体" w:hAnsi="宋体" w:eastAsia="宋体" w:cs="宋体"/>
          <w:sz w:val="21"/>
          <w:szCs w:val="21"/>
        </w:rPr>
        <w:t xml:space="preserve">    一是市场与国家在宏微观层次上的不同作用，社会主义“市场基础性作用论”强调，要采用国家的宏观调控和微观规制，来共同矫正某些“市场决定性作用”。要健全以国家发展战略和规划为导向、以财政政策和货币政策为主要手段的宏观调控体系。价值规律的自发作用仍会带来消极后果，必须运用国家的宏观调控、微观规制，来避免或降低这些消极后果。宏观调控主要是通过财政、货币等经济手段和政策，以及必要的行政手段对投资和消费等市场活动，事先、事中或事后进行各种调节，以实现就业充分、物价稳定、结构合理和国际收支平衡等宏观经济目标。微观规制或调节主要是综合运用经济、法律、行政等手段对微观经济主体进行行为管理，以维护正常的市场竞争秩序、推动科技创新、发展自主知识产权、促进社会和谐以及保持生态良好，从而实现经济、政治、社会、文化和生态全面协调与可持续发展。</w:t>
      </w:r>
    </w:p>
    <w:p w14:paraId="7585CB27">
      <w:pPr>
        <w:rPr>
          <w:rFonts w:ascii="宋体" w:hAnsi="宋体" w:eastAsia="宋体" w:cs="宋体"/>
          <w:szCs w:val="21"/>
        </w:rPr>
      </w:pPr>
      <w:r>
        <w:rPr>
          <w:rFonts w:hint="eastAsia" w:ascii="宋体" w:hAnsi="宋体" w:eastAsia="宋体" w:cs="宋体"/>
          <w:sz w:val="21"/>
          <w:szCs w:val="21"/>
        </w:rPr>
        <w:t xml:space="preserve">    二是市场与国家在物质资源范围上的不同作用。正确的认识和操作在于：市场对一般资源的短期配置，与国家对地藏资源和基础设施等特殊资源的直接配置、与国家对不少一般资源的长期配置相结合。“市场基础性作用”的有效性，主要体现在价值规律通过短期利益的驱动对一般资源的短期配置，而国家配置资源的有效性，主要体现在对许多一般资源的长期配置和对地藏资源、基础设施、交通运输等特殊资源的调控配置。因此，在一般资源的短期配置中，市场发挥完全的决定性作用。在某些一般资源的长期配置中，国家通过统筹短期利益与长远利益来实现规划配置。而由于地藏资源等特殊资源的不可再生性，国家则通过统筹短期利益与长远利益、局部利益与整体利益来加强这些资源的调控配置。具体生产经营项目的市场化操作不等于市场决定，因为市场决定的实质是微观经济主体自行决定资源的生产经营项目，而事实上不少涉及国计民生的重要项目往往先由国家规划决定，然后再进行市场化操作和运营。中国改革开放以来，曾经在稀土、煤炭等资源配置上实行“市场决定性作用”，结果导致资源的破坏性低效开采和低价在国际上销售，并造成暴富的“煤老板”和矿难频发现象，教训深刻；前几年，钢铁、煤炭等行业的大规模产能过剩，居民住房的高房价与房地产“泡沫”并存，都与市场作用发挥过度和国家作用缺位有关。</w:t>
      </w:r>
    </w:p>
    <w:p w14:paraId="50405A65">
      <w:pPr>
        <w:rPr>
          <w:rFonts w:ascii="宋体" w:hAnsi="宋体" w:eastAsia="宋体" w:cs="宋体"/>
          <w:szCs w:val="21"/>
        </w:rPr>
      </w:pPr>
      <w:r>
        <w:rPr>
          <w:rFonts w:hint="eastAsia" w:ascii="宋体" w:hAnsi="宋体" w:eastAsia="宋体" w:cs="宋体"/>
          <w:sz w:val="21"/>
          <w:szCs w:val="21"/>
        </w:rPr>
        <w:t xml:space="preserve">    三是市场与国家在教育、文化和医疗卫生等非物质生产领域资源配置上的不同作用。一般文化资源和医疗卫生资源的配置，可以发挥市场的决定性作用，但总体上说，在教育、文化、医疗卫生等非物质生产领域的资源配置中，国家的主导性作用应与市场的重要作用相结合。教育和文化大发展是经济社会发展的重要内容，是社会主义核心价值体系和核心价值观的主要载体，应把社会效益放在首位，并与经济效益相结合，因而通过市场作用来实现相关资源的配置要相对小一些。教育和文化中的许多项目对经济社会发展具有全局性、长期性的智力支持功能、文化传承功能、文化凝聚功能和文化导向功能，它只能通过国家发挥主导性作用，以实现非物质资源的高效配置。在2020年初全球开始防治新冠病毒的工作中，中国之所以比美国、欧洲、印度、巴西等资本主义国家做得好，主要在于社会主义国家调节的一系列制度和能力与之不同。美国教授约瑟夫.奈和福山认为，不是中国社会主义制度比西方资本主义制度优越，而只能各国政府治理能力的不同。这显然是错误的，社会制度与社会治理能力能如此割裂开来吗？</w:t>
      </w:r>
    </w:p>
    <w:p w14:paraId="61238342">
      <w:pPr>
        <w:ind w:firstLine="420" w:firstLineChars="200"/>
        <w:rPr>
          <w:rFonts w:ascii="宋体" w:hAnsi="宋体" w:eastAsia="宋体" w:cs="宋体"/>
          <w:szCs w:val="21"/>
        </w:rPr>
      </w:pPr>
      <w:r>
        <w:rPr>
          <w:rFonts w:hint="eastAsia" w:ascii="宋体" w:hAnsi="宋体" w:eastAsia="宋体" w:cs="宋体"/>
          <w:sz w:val="21"/>
          <w:szCs w:val="21"/>
        </w:rPr>
        <w:t>四是是市场与国家在资源产权配置的不同作用。资源配置仅仅涉及市场与国家的关系吗？完整地说，资源配置有两个层面，一是市场配置与国家配置，二是私有配置与公有配置。从两种配置关系来分析，社会主义“市场基础性作用论”与公有制为主体的混合经济相联系。在质上和量上占优势的公有制为主体，是社会主义市场经济的内在要求，也是其本质特征。在社会主义经济中，国有经济的作用不是像在资本主义制度中那样，主要从事私有企业不愿意经营的部门，补充私人企业和市场机制的不足，而是为了实现国民经济的持续稳定协调发展，巩固和完善社会主义制度。如果公有制在社会主义经济中不再具有主体地位，国家调控能效便会大大削弱，便会严重影响到国家经济社会发展战略的实施，使国家缺乏保证人民群众根本利益和共同富裕的经济基础。中国那种主张既要大卖公有企业，又要大卖公立学校和公立医院的改革道路，属于新自由主义的典型措施。</w:t>
      </w:r>
    </w:p>
    <w:p w14:paraId="33BA772A">
      <w:pPr>
        <w:ind w:firstLine="420" w:firstLineChars="200"/>
        <w:rPr>
          <w:rFonts w:ascii="宋体" w:hAnsi="宋体" w:eastAsia="宋体" w:cs="宋体"/>
          <w:szCs w:val="21"/>
        </w:rPr>
      </w:pPr>
      <w:r>
        <w:rPr>
          <w:rFonts w:hint="eastAsia" w:ascii="宋体" w:hAnsi="宋体" w:eastAsia="宋体" w:cs="宋体"/>
          <w:sz w:val="21"/>
          <w:szCs w:val="21"/>
        </w:rPr>
        <w:t>在社会主义初级阶段，以公有制为主体、多种所有制共同发展的基本经济制度，就比以私有制为主体的当代资本主义经济制度更适合现代市场经济的内在要求，具有更高的绩效和公平。数百年中外经济实践表明，公有制为主体、国有制为主导，就不会像各种资本主义模式那样，时常出现金融危机、经济危机和财政危机，以及贫富两极分化等。初级社会主义与资本主义在根本经济制度上具有决定意义的差别，就在于生产资料社会所有制结构，即在于以公有资本，还是以私有资本控股的混合所有制占优势。</w:t>
      </w:r>
    </w:p>
    <w:p w14:paraId="5483296E">
      <w:pPr>
        <w:rPr>
          <w:rFonts w:ascii="宋体" w:hAnsi="宋体" w:eastAsia="宋体" w:cs="宋体"/>
          <w:szCs w:val="21"/>
        </w:rPr>
      </w:pPr>
      <w:r>
        <w:rPr>
          <w:rFonts w:hint="eastAsia" w:ascii="宋体" w:hAnsi="宋体" w:eastAsia="宋体" w:cs="宋体"/>
          <w:sz w:val="21"/>
          <w:szCs w:val="21"/>
        </w:rPr>
        <w:t xml:space="preserve">    从经济学上说，社会主义信念首先表现为公有制信念，以及由此决定的共同富裕信念。并且，经济决定政治，经济基础决定上层建筑，公有制是工人阶级政党执政等社会主义上层建筑的社会主义经济基础，是初级社会主义社会多种经济基础中的支柱和主体。</w:t>
      </w:r>
    </w:p>
    <w:p w14:paraId="0190AF84">
      <w:pPr>
        <w:rPr>
          <w:rFonts w:ascii="宋体" w:hAnsi="宋体" w:eastAsia="宋体" w:cs="宋体"/>
          <w:szCs w:val="21"/>
        </w:rPr>
      </w:pPr>
      <w:r>
        <w:rPr>
          <w:rFonts w:hint="eastAsia" w:ascii="宋体" w:hAnsi="宋体" w:eastAsia="宋体" w:cs="宋体"/>
          <w:sz w:val="21"/>
          <w:szCs w:val="21"/>
        </w:rPr>
        <w:t xml:space="preserve">    五是市场与国家在分配领域的不同作用。在分配领域，市场与国家在财富和收入的多次分配领域各自发挥较大的调节作用。首先，在初次分配环节，市场通过价值规律的自发作用，对财富和收入的分配发挥较大调节作用，而国家则通过相关法律法规的制定和执行，对财富和收入的分配同样发挥一定的调节作用。只有这样，才能真正实现劳动收入在初次分配中的占比增加，切实维护劳动权益，实现“限高、提低、扩中”的目标。其次，在再分配环节，国家要发挥较大作用，对初次分配可能造成的贫富分化等问题进行矫正和调节，促进居民财富和收入的实际增长，应与经济发展同步。过去，中国在城市居民住房问题上强调市场的决定性作用，结果导致房价大涨，开发商暴富，老百姓意见极大，直到近几年才积极发挥国家的调节作用，使住房这一重要的民生保障问题出现转机。</w:t>
      </w:r>
    </w:p>
    <w:p w14:paraId="1D2888E6">
      <w:pPr>
        <w:rPr>
          <w:rFonts w:ascii="宋体" w:hAnsi="宋体" w:eastAsia="宋体" w:cs="宋体"/>
          <w:szCs w:val="21"/>
        </w:rPr>
      </w:pPr>
      <w:r>
        <w:rPr>
          <w:rFonts w:hint="eastAsia" w:ascii="宋体" w:hAnsi="宋体" w:eastAsia="宋体" w:cs="宋体"/>
          <w:sz w:val="21"/>
          <w:szCs w:val="21"/>
        </w:rPr>
        <w:t xml:space="preserve">    4、要重视市场与国家作用的功能互补优势。</w:t>
      </w:r>
    </w:p>
    <w:p w14:paraId="15EEFAE1">
      <w:pPr>
        <w:ind w:firstLine="420" w:firstLineChars="200"/>
        <w:rPr>
          <w:rFonts w:ascii="宋体" w:hAnsi="宋体" w:eastAsia="宋体" w:cs="宋体"/>
          <w:szCs w:val="21"/>
        </w:rPr>
      </w:pPr>
      <w:r>
        <w:rPr>
          <w:rFonts w:hint="eastAsia" w:ascii="宋体" w:hAnsi="宋体" w:eastAsia="宋体" w:cs="宋体"/>
          <w:sz w:val="21"/>
          <w:szCs w:val="21"/>
        </w:rPr>
        <w:t>市场与国家的作用和功能是此消彼长的吗？不是的。二者是层次、领域和功能不尽一致的经济调节方式和运行机制。人们需要将市场决定性作用和更好发挥国家作用看作一个有机整体，而不是此消彼长的截然对立关系。既要用市场调节的优良功能去抑制“国家调节失灵”，又要用国家调节的优良功能来纠正“市场调节失灵”，从而形成作用较大的高效市场即强市场、作用较大的高效国家即强国家这一“双高”“双强”总格局。这样，既有利于发挥社会主义国家的良性调节功能，同时在顶层设计时避免踏入新自由主义陷阱和遭遇金融经济危机风险。当前，西方左翼学者和各派凯恩斯主义者都猛烈抨击的市场原教旨主义“唯市场化”及其改革，因而中国等社会主义国家在改革中不宜弱化必要的国家宏观和中观经济的调控和微观经济的规制。</w:t>
      </w:r>
    </w:p>
    <w:p w14:paraId="029FC085">
      <w:pPr>
        <w:ind w:firstLine="1050" w:firstLineChars="500"/>
        <w:jc w:val="left"/>
        <w:rPr>
          <w:rFonts w:ascii="宋体" w:hAnsi="宋体" w:eastAsia="宋体" w:cs="宋体"/>
          <w:szCs w:val="21"/>
        </w:rPr>
      </w:pPr>
      <w:r>
        <w:rPr>
          <w:rFonts w:hint="eastAsia" w:ascii="宋体" w:hAnsi="宋体" w:eastAsia="宋体" w:cs="宋体"/>
          <w:sz w:val="21"/>
          <w:szCs w:val="21"/>
        </w:rPr>
        <w:t>四、社会主义中级和高级阶段的经济特征与核心要素</w:t>
      </w:r>
    </w:p>
    <w:p w14:paraId="295E03DB">
      <w:pPr>
        <w:ind w:firstLine="420"/>
        <w:jc w:val="left"/>
        <w:rPr>
          <w:rFonts w:ascii="宋体" w:hAnsi="宋体" w:eastAsia="宋体" w:cs="宋体"/>
          <w:szCs w:val="21"/>
        </w:rPr>
      </w:pPr>
      <w:r>
        <w:rPr>
          <w:rFonts w:hint="eastAsia" w:ascii="宋体" w:hAnsi="宋体" w:eastAsia="宋体" w:cs="宋体"/>
          <w:sz w:val="21"/>
          <w:szCs w:val="21"/>
        </w:rPr>
        <w:t>马克思、恩格斯、列宁离现时代已有很多年，他们关于未来社会阶段划分的基本视角和某些科学预见是要坚持的，但由于他们没有社会主义具体实践的经验，或者没有二战后社会主义经济体制改革的实践经验，因而对他们关于社会主义发展阶段的个别论断需要重新研究，以便进一步丰富和发展科学的社会主义学说。</w:t>
      </w:r>
    </w:p>
    <w:p w14:paraId="664208B7">
      <w:pPr>
        <w:ind w:firstLine="525" w:firstLineChars="250"/>
        <w:rPr>
          <w:rFonts w:ascii="宋体" w:hAnsi="宋体" w:eastAsia="宋体" w:cs="宋体"/>
          <w:szCs w:val="21"/>
        </w:rPr>
      </w:pPr>
      <w:r>
        <w:rPr>
          <w:rFonts w:hint="eastAsia" w:ascii="宋体" w:hAnsi="宋体" w:eastAsia="宋体" w:cs="宋体"/>
          <w:sz w:val="21"/>
          <w:szCs w:val="21"/>
        </w:rPr>
        <w:t>笔者认为，目前中国官方以生产力和生活水平来划分社会主义初级阶段理论只是一种分析角度，且这一理论与中国的经济发展现状也有重要差异，因而有必要将遵循马克思的方法论精神，以生产力变化为间接标志或终极的标志，以生产关系变化为直接标志，即以产权制度、分配制度、调节制度的部分质变来分析社会主义经济制度的三个阶段：初级阶段、中级阶段和高级阶段。但由于各国及其发展阶段的生产力与生产关系即经济制度有多种复杂的组合，以生产力变化为间接标志或终极的标志，更多地是总结以往的历史，因而这里不具体阐述生产力的变化。下面，通过进一步分析社会主义社会将经历的三个阶段，来具体说明生产关系在划分社会主义发展阶段的作用。</w:t>
      </w:r>
    </w:p>
    <w:p w14:paraId="5D9BFC03">
      <w:pPr>
        <w:ind w:firstLine="525" w:firstLineChars="250"/>
        <w:rPr>
          <w:rFonts w:ascii="宋体" w:hAnsi="宋体" w:eastAsia="宋体" w:cs="宋体"/>
          <w:szCs w:val="21"/>
        </w:rPr>
      </w:pPr>
      <w:r>
        <w:rPr>
          <w:rFonts w:hint="eastAsia" w:ascii="宋体" w:hAnsi="宋体" w:eastAsia="宋体" w:cs="宋体"/>
          <w:sz w:val="21"/>
          <w:szCs w:val="21"/>
        </w:rPr>
        <w:t>第一，生产资料所有制形式在不同发展阶段的部分质变。生产资料的公有制形式是整个社会主义发展时期的共同特征，然而它的成熟和完善程度是不同的。在公有制形式从低级到高级逐步成熟和完善的发展过程以及与其他所有制的组合联系中，其部分质变便显示着它的阶段性。依据马克思的理论思路和社会主义国家实践的经验教训，社会主义社会生产资料所有制将经历以多种公有制形式为主体的多元所有制结构、以多种公有制形式为特征的所有制结构、以单一的全社会所有制为特征的所有制结构这三个部分性质的变化，依次显示着我国社会主义社会的初级阶段、中级阶段和高级阶段。社会民主主义主张以私有制占主体，这是与科学的社会主义观的根本分歧点。</w:t>
      </w:r>
    </w:p>
    <w:p w14:paraId="76A1B332">
      <w:pPr>
        <w:ind w:firstLine="525" w:firstLineChars="250"/>
        <w:rPr>
          <w:rFonts w:ascii="宋体" w:hAnsi="宋体" w:eastAsia="宋体" w:cs="宋体"/>
          <w:szCs w:val="21"/>
        </w:rPr>
      </w:pPr>
      <w:r>
        <w:rPr>
          <w:rFonts w:hint="eastAsia" w:ascii="宋体" w:hAnsi="宋体" w:eastAsia="宋体" w:cs="宋体"/>
          <w:sz w:val="21"/>
          <w:szCs w:val="21"/>
        </w:rPr>
        <w:t>第二，分配制度在不同发展阶段的部分质变。在社会发展的不同阶段，分配形式将随着生产资料所有制形式的部分质变而发生变化。当所有制形式为以多种公有制形式为主体的多元所有制结构，分配形式便呈现为以多种按劳分配形式为主体的多元分配结构;当所有制形式为以多种公有制形式为特征的所有制结构时，分配形式便呈现为以多种按劳分配形式为特征的分配结构;当所有制形式为单一的全社会所有制结构时，分配形式便呈现为单一的一级按劳分配结构。初级社会主义的生产力水平相对较低，还存在多种经济成份，因而除了推行多种按劳分配形式之外，有必要让按经营成果分配、按资分配和按劳动力价值分配等多种非按劳分配形式作为补充。这种以多种按劳分配形式为主体的多元分配结构，与上述所有制结构及经济活动方式和运行机制的初级特征一起，共同构成了社会主义社会初级阶段的生产关系基本内容。</w:t>
      </w:r>
    </w:p>
    <w:p w14:paraId="1E87B2DD">
      <w:pPr>
        <w:ind w:firstLine="420" w:firstLineChars="200"/>
        <w:rPr>
          <w:rFonts w:ascii="宋体" w:hAnsi="宋体" w:eastAsia="宋体" w:cs="宋体"/>
          <w:szCs w:val="21"/>
        </w:rPr>
      </w:pPr>
      <w:r>
        <w:rPr>
          <w:rFonts w:hint="eastAsia" w:ascii="宋体" w:hAnsi="宋体" w:eastAsia="宋体" w:cs="宋体"/>
          <w:sz w:val="21"/>
          <w:szCs w:val="21"/>
        </w:rPr>
        <w:t>第三，社会经济活动的方式和运行机制在不同发展阶段的部分质变。社会经济活动的方式是受不同的生产资料所有制和产权形式制约的，它作为生产资料所有制形式的某种体现，进一步深化了生产关系在划分社会发展阶段中的作用。由于在社会主义初级阶段构建的是多种公有制形式为主体的多元所有制结构，这在一定意义上决定了社会经济活动的方式是新型计划主导下的市场经济体制，经济运行机制需以市场调节为基础，以国家调节为主导。然而在中级阶段，由于生产力和所有制结构发生了重大的变化，因而这时的经济体制本质上是有商品关系存在的产品经济体制，商品经济和市场机制的作用将有明显的减弱，计划调节的因素将日趋强化。至于在高级阶段，单一的全社会所有制结构下将是单一的计划调节。商品经济已不复存在，撇开对外经济关系，社会主义将进入马克思所设想的典型的完善阶段。</w:t>
      </w:r>
    </w:p>
    <w:p w14:paraId="5D4798A2">
      <w:pPr>
        <w:ind w:firstLine="420"/>
        <w:jc w:val="left"/>
        <w:rPr>
          <w:rFonts w:ascii="宋体" w:hAnsi="宋体" w:eastAsia="宋体" w:cs="宋体"/>
          <w:szCs w:val="21"/>
        </w:rPr>
      </w:pPr>
      <w:r>
        <w:rPr>
          <w:rFonts w:hint="eastAsia" w:ascii="宋体" w:hAnsi="宋体" w:eastAsia="宋体" w:cs="宋体"/>
          <w:sz w:val="21"/>
          <w:szCs w:val="21"/>
        </w:rPr>
        <w:t>社会主义社会中级阶段、高级阶段，现在不可能讲得很具体，但是其社会主义性质一定比初级阶段更多，非社会主义东西一定比初级阶段更少。其中社会主义中级阶段的部分质变表现在：一是在产权制度上，生产资料公有制较成熟，实行多种形式的生产资料公有制；二是在分配制度上，按劳分配较充分，实行多种形式的按劳分配；三是在调节制度上，计划经济较完全，实行含计划主体性的产品经济。在此经济基础上，社会主义中级阶段的上层建筑表现为民主制度较充分，专政只在防御外国侵略的意义上存在，国家要维护按劳分配等权利，还没有完全消亡。</w:t>
      </w:r>
    </w:p>
    <w:p w14:paraId="7BCA51F4">
      <w:pPr>
        <w:ind w:firstLine="420"/>
        <w:jc w:val="left"/>
        <w:rPr>
          <w:rFonts w:ascii="宋体" w:hAnsi="宋体" w:eastAsia="宋体" w:cs="宋体"/>
          <w:szCs w:val="21"/>
        </w:rPr>
      </w:pPr>
      <w:r>
        <w:rPr>
          <w:rFonts w:hint="eastAsia" w:ascii="宋体" w:hAnsi="宋体" w:eastAsia="宋体" w:cs="宋体"/>
          <w:sz w:val="21"/>
          <w:szCs w:val="21"/>
        </w:rPr>
        <w:t>而以马克思主义创始人的预见为理论依据的社会主义高级阶段的部分质变则表现在，一是在产权制度上，是生产资料公有制成熟，实行全社会统一的生产资料公有制；二是在分配制度上，按劳分配充分，实行全社会统一的按劳分配；三是在调节制度上，计划经济完全，实行纯粹的产品经济。在此经济基础上，社会主义高级阶段的上层建筑表现为民主制度十分充分，专政只在防御外国侵略的意义上存在，国家还要维护按劳分配等权利，也还没有完全消亡。</w:t>
      </w:r>
    </w:p>
    <w:p w14:paraId="4DFF5DB5">
      <w:pPr>
        <w:ind w:firstLine="840" w:firstLineChars="400"/>
        <w:jc w:val="left"/>
        <w:rPr>
          <w:rFonts w:ascii="宋体" w:hAnsi="宋体" w:eastAsia="宋体" w:cs="宋体"/>
          <w:szCs w:val="21"/>
        </w:rPr>
      </w:pPr>
    </w:p>
    <w:p w14:paraId="29A68945">
      <w:pPr>
        <w:ind w:firstLine="840" w:firstLineChars="400"/>
        <w:jc w:val="left"/>
        <w:rPr>
          <w:rFonts w:ascii="宋体" w:hAnsi="宋体" w:eastAsia="宋体" w:cs="宋体"/>
          <w:szCs w:val="21"/>
        </w:rPr>
      </w:pPr>
      <w:r>
        <w:rPr>
          <w:rFonts w:hint="eastAsia" w:ascii="宋体" w:hAnsi="宋体" w:eastAsia="宋体" w:cs="宋体"/>
          <w:sz w:val="21"/>
          <w:szCs w:val="21"/>
        </w:rPr>
        <w:t>五、社会主义与现代资本主义和共产主义经济制度与核心要素的区别</w:t>
      </w:r>
    </w:p>
    <w:p w14:paraId="6751D583">
      <w:pPr>
        <w:widowControl/>
        <w:ind w:firstLine="420" w:firstLineChars="200"/>
        <w:rPr>
          <w:rFonts w:ascii="宋体" w:hAnsi="宋体" w:eastAsia="宋体" w:cs="宋体"/>
          <w:szCs w:val="21"/>
        </w:rPr>
      </w:pPr>
      <w:r>
        <w:rPr>
          <w:rFonts w:hint="eastAsia" w:ascii="宋体" w:hAnsi="宋体" w:eastAsia="宋体" w:cs="宋体"/>
          <w:sz w:val="21"/>
          <w:szCs w:val="21"/>
        </w:rPr>
        <w:t>1、三种社会经济制度的主要区别。</w:t>
      </w:r>
    </w:p>
    <w:p w14:paraId="24CBEED0">
      <w:pPr>
        <w:widowControl/>
        <w:ind w:firstLine="420" w:firstLineChars="200"/>
        <w:rPr>
          <w:rFonts w:ascii="宋体" w:hAnsi="宋体" w:eastAsia="宋体" w:cs="宋体"/>
          <w:szCs w:val="21"/>
        </w:rPr>
      </w:pPr>
      <w:r>
        <w:rPr>
          <w:rFonts w:hint="eastAsia" w:ascii="宋体" w:hAnsi="宋体" w:eastAsia="宋体" w:cs="宋体"/>
          <w:sz w:val="21"/>
          <w:szCs w:val="21"/>
        </w:rPr>
        <w:t>概括起来说，笔者针对“以生产力发展的水平为标志”“以现代化的实现和相应的生活水平为标志”“以生产关系和生产资料所有制为标志”“以社会经济运行机制为标志”等观点，认为按照马克思主义关于社会经济形态和发展阶段的一般理论，无论是划分历史上的不同社会经济形态，还是划分同一社会经济形态中的不同发展阶段，都既要看到生产力的终极作用和间接或终极标志，又要看到生产关系的直接作用、直接标志，并认为由生产力引起的生产关系或经济制度的部分质变形成社会主义三个阶段（这与主要直接从GDP和生活水平来划分社会主义发展阶段的观点可以并存），即初级社会主义经济制度＝多种公有制主体（私有制辅体）＋市场型按劳分配主体（按资分配辅体）＋国家（计划）主导型市场经济；中级社会主义＝多种公有制＋多种商品型按劳分配＋国家主体型计划经济（市场调节辅体）；高级社会主义＝单一全民公有制＋产品型按劳分配＋完全计划经济；共产主义＝单一全民公有制＋产品型按需分配主体（个别供不应求的新消费品按劳分配）＋完全计划经济；现代资本主义经济制度＝私有制为主体＋按资分配主体＋国家指导型市场经济。这一新理论客观界定了不同社会及其发展阶段，有益于理论自洽地揭示社会主义初级阶段与共产主义远大制度目标的本质联系，说明初级社会主义是科学社会主义的初级形态。</w:t>
      </w:r>
    </w:p>
    <w:tbl>
      <w:tblPr>
        <w:tblStyle w:val="15"/>
        <w:tblW w:w="90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1714"/>
        <w:gridCol w:w="2309"/>
        <w:gridCol w:w="2933"/>
      </w:tblGrid>
      <w:tr w14:paraId="46DF300D">
        <w:tc>
          <w:tcPr>
            <w:tcW w:w="2130" w:type="dxa"/>
          </w:tcPr>
          <w:p w14:paraId="499753DB">
            <w:pPr>
              <w:rPr>
                <w:rFonts w:ascii="宋体" w:hAnsi="宋体" w:eastAsia="宋体" w:cs="宋体"/>
                <w:kern w:val="0"/>
                <w:sz w:val="20"/>
                <w:szCs w:val="21"/>
              </w:rPr>
            </w:pPr>
          </w:p>
        </w:tc>
        <w:tc>
          <w:tcPr>
            <w:tcW w:w="1714" w:type="dxa"/>
          </w:tcPr>
          <w:p w14:paraId="1A596F8E">
            <w:pPr>
              <w:rPr>
                <w:rFonts w:ascii="宋体" w:hAnsi="宋体" w:eastAsia="宋体" w:cs="宋体"/>
                <w:kern w:val="0"/>
                <w:sz w:val="20"/>
                <w:szCs w:val="21"/>
              </w:rPr>
            </w:pPr>
            <w:r>
              <w:rPr>
                <w:rFonts w:hint="eastAsia" w:ascii="宋体" w:hAnsi="宋体" w:eastAsia="宋体" w:cs="宋体"/>
                <w:kern w:val="0"/>
                <w:sz w:val="21"/>
                <w:szCs w:val="21"/>
              </w:rPr>
              <w:t>产权制度</w:t>
            </w:r>
          </w:p>
        </w:tc>
        <w:tc>
          <w:tcPr>
            <w:tcW w:w="2309" w:type="dxa"/>
          </w:tcPr>
          <w:p w14:paraId="0FCADD22">
            <w:pPr>
              <w:rPr>
                <w:rFonts w:ascii="宋体" w:hAnsi="宋体" w:eastAsia="宋体" w:cs="宋体"/>
                <w:kern w:val="0"/>
                <w:sz w:val="20"/>
                <w:szCs w:val="21"/>
              </w:rPr>
            </w:pPr>
            <w:r>
              <w:rPr>
                <w:rFonts w:hint="eastAsia" w:ascii="宋体" w:hAnsi="宋体" w:eastAsia="宋体" w:cs="宋体"/>
                <w:kern w:val="0"/>
                <w:sz w:val="21"/>
                <w:szCs w:val="21"/>
              </w:rPr>
              <w:t>分配制度</w:t>
            </w:r>
          </w:p>
        </w:tc>
        <w:tc>
          <w:tcPr>
            <w:tcW w:w="2933" w:type="dxa"/>
          </w:tcPr>
          <w:p w14:paraId="08980054">
            <w:pPr>
              <w:rPr>
                <w:rFonts w:ascii="宋体" w:hAnsi="宋体" w:eastAsia="宋体" w:cs="宋体"/>
                <w:kern w:val="0"/>
                <w:sz w:val="20"/>
                <w:szCs w:val="21"/>
              </w:rPr>
            </w:pPr>
            <w:r>
              <w:rPr>
                <w:rFonts w:hint="eastAsia" w:ascii="宋体" w:hAnsi="宋体" w:eastAsia="宋体" w:cs="宋体"/>
                <w:kern w:val="0"/>
                <w:sz w:val="21"/>
                <w:szCs w:val="21"/>
              </w:rPr>
              <w:t>调节制度</w:t>
            </w:r>
          </w:p>
        </w:tc>
      </w:tr>
      <w:tr w14:paraId="1C8ACB54">
        <w:tc>
          <w:tcPr>
            <w:tcW w:w="2130" w:type="dxa"/>
          </w:tcPr>
          <w:p w14:paraId="37A67BA9">
            <w:pPr>
              <w:rPr>
                <w:rFonts w:ascii="宋体" w:hAnsi="宋体" w:eastAsia="宋体" w:cs="宋体"/>
                <w:kern w:val="0"/>
                <w:sz w:val="20"/>
                <w:szCs w:val="21"/>
              </w:rPr>
            </w:pPr>
            <w:r>
              <w:rPr>
                <w:rFonts w:hint="eastAsia" w:ascii="宋体" w:hAnsi="宋体" w:eastAsia="宋体" w:cs="宋体"/>
                <w:kern w:val="0"/>
                <w:sz w:val="21"/>
                <w:szCs w:val="21"/>
              </w:rPr>
              <w:t>现代资本主义</w:t>
            </w:r>
          </w:p>
        </w:tc>
        <w:tc>
          <w:tcPr>
            <w:tcW w:w="1714" w:type="dxa"/>
          </w:tcPr>
          <w:p w14:paraId="36AB2010">
            <w:pPr>
              <w:rPr>
                <w:rFonts w:ascii="宋体" w:hAnsi="宋体" w:eastAsia="宋体" w:cs="宋体"/>
                <w:kern w:val="0"/>
                <w:sz w:val="20"/>
                <w:szCs w:val="21"/>
              </w:rPr>
            </w:pPr>
            <w:r>
              <w:rPr>
                <w:rFonts w:hint="eastAsia" w:ascii="宋体" w:hAnsi="宋体" w:eastAsia="宋体" w:cs="宋体"/>
                <w:kern w:val="0"/>
                <w:sz w:val="21"/>
                <w:szCs w:val="21"/>
              </w:rPr>
              <w:t>私有制为主体</w:t>
            </w:r>
          </w:p>
        </w:tc>
        <w:tc>
          <w:tcPr>
            <w:tcW w:w="2309" w:type="dxa"/>
          </w:tcPr>
          <w:p w14:paraId="7C1CB5AA">
            <w:pPr>
              <w:rPr>
                <w:rFonts w:ascii="宋体" w:hAnsi="宋体" w:eastAsia="宋体" w:cs="宋体"/>
                <w:kern w:val="0"/>
                <w:sz w:val="20"/>
                <w:szCs w:val="21"/>
              </w:rPr>
            </w:pPr>
            <w:r>
              <w:rPr>
                <w:rFonts w:hint="eastAsia" w:ascii="宋体" w:hAnsi="宋体" w:eastAsia="宋体" w:cs="宋体"/>
                <w:kern w:val="0"/>
                <w:sz w:val="21"/>
                <w:szCs w:val="21"/>
              </w:rPr>
              <w:t>按资分配主体</w:t>
            </w:r>
          </w:p>
        </w:tc>
        <w:tc>
          <w:tcPr>
            <w:tcW w:w="2933" w:type="dxa"/>
          </w:tcPr>
          <w:p w14:paraId="5C37EBC3">
            <w:pPr>
              <w:rPr>
                <w:rFonts w:ascii="宋体" w:hAnsi="宋体" w:eastAsia="宋体" w:cs="宋体"/>
                <w:kern w:val="0"/>
                <w:sz w:val="20"/>
                <w:szCs w:val="21"/>
              </w:rPr>
            </w:pPr>
            <w:r>
              <w:rPr>
                <w:rFonts w:hint="eastAsia" w:ascii="宋体" w:hAnsi="宋体" w:eastAsia="宋体" w:cs="宋体"/>
                <w:kern w:val="0"/>
                <w:sz w:val="21"/>
                <w:szCs w:val="21"/>
              </w:rPr>
              <w:t>国家指导型市场经济</w:t>
            </w:r>
          </w:p>
        </w:tc>
      </w:tr>
      <w:tr w14:paraId="63E7E97F">
        <w:tc>
          <w:tcPr>
            <w:tcW w:w="2130" w:type="dxa"/>
          </w:tcPr>
          <w:p w14:paraId="55779B65">
            <w:pPr>
              <w:rPr>
                <w:rFonts w:ascii="宋体" w:hAnsi="宋体" w:eastAsia="宋体" w:cs="宋体"/>
                <w:kern w:val="0"/>
                <w:sz w:val="20"/>
                <w:szCs w:val="21"/>
              </w:rPr>
            </w:pPr>
            <w:r>
              <w:rPr>
                <w:rFonts w:hint="eastAsia" w:ascii="宋体" w:hAnsi="宋体" w:eastAsia="宋体" w:cs="宋体"/>
                <w:kern w:val="0"/>
                <w:sz w:val="21"/>
                <w:szCs w:val="21"/>
              </w:rPr>
              <w:t>社会主义初级阶段</w:t>
            </w:r>
          </w:p>
        </w:tc>
        <w:tc>
          <w:tcPr>
            <w:tcW w:w="1714" w:type="dxa"/>
          </w:tcPr>
          <w:p w14:paraId="3BB26587">
            <w:pPr>
              <w:rPr>
                <w:rFonts w:ascii="宋体" w:hAnsi="宋体" w:eastAsia="宋体" w:cs="宋体"/>
                <w:kern w:val="0"/>
                <w:sz w:val="20"/>
                <w:szCs w:val="21"/>
              </w:rPr>
            </w:pPr>
            <w:r>
              <w:rPr>
                <w:rFonts w:hint="eastAsia" w:ascii="宋体" w:hAnsi="宋体" w:eastAsia="宋体" w:cs="宋体"/>
                <w:kern w:val="0"/>
                <w:sz w:val="21"/>
                <w:szCs w:val="21"/>
              </w:rPr>
              <w:t>多种公有制主体（私有制辅体）</w:t>
            </w:r>
          </w:p>
        </w:tc>
        <w:tc>
          <w:tcPr>
            <w:tcW w:w="2309" w:type="dxa"/>
          </w:tcPr>
          <w:p w14:paraId="584F188B">
            <w:pPr>
              <w:rPr>
                <w:rFonts w:ascii="宋体" w:hAnsi="宋体" w:eastAsia="宋体" w:cs="宋体"/>
                <w:kern w:val="0"/>
                <w:sz w:val="20"/>
                <w:szCs w:val="21"/>
              </w:rPr>
            </w:pPr>
            <w:r>
              <w:rPr>
                <w:rFonts w:hint="eastAsia" w:ascii="宋体" w:hAnsi="宋体" w:eastAsia="宋体" w:cs="宋体"/>
                <w:kern w:val="0"/>
                <w:sz w:val="21"/>
                <w:szCs w:val="21"/>
              </w:rPr>
              <w:t>市场型按劳分配主体（按资分配辅体）</w:t>
            </w:r>
          </w:p>
        </w:tc>
        <w:tc>
          <w:tcPr>
            <w:tcW w:w="2933" w:type="dxa"/>
          </w:tcPr>
          <w:p w14:paraId="4E03C0FE">
            <w:pPr>
              <w:rPr>
                <w:rFonts w:ascii="宋体" w:hAnsi="宋体" w:eastAsia="宋体" w:cs="宋体"/>
                <w:kern w:val="0"/>
                <w:sz w:val="20"/>
                <w:szCs w:val="21"/>
              </w:rPr>
            </w:pPr>
            <w:r>
              <w:rPr>
                <w:rFonts w:hint="eastAsia" w:ascii="宋体" w:hAnsi="宋体" w:eastAsia="宋体" w:cs="宋体"/>
                <w:kern w:val="0"/>
                <w:sz w:val="21"/>
                <w:szCs w:val="21"/>
              </w:rPr>
              <w:t>国家主导型市场经济</w:t>
            </w:r>
          </w:p>
        </w:tc>
      </w:tr>
      <w:tr w14:paraId="5844400C">
        <w:tc>
          <w:tcPr>
            <w:tcW w:w="2130" w:type="dxa"/>
          </w:tcPr>
          <w:p w14:paraId="01FC3CBA">
            <w:pPr>
              <w:rPr>
                <w:rFonts w:ascii="宋体" w:hAnsi="宋体" w:eastAsia="宋体" w:cs="宋体"/>
                <w:kern w:val="0"/>
                <w:sz w:val="20"/>
                <w:szCs w:val="21"/>
              </w:rPr>
            </w:pPr>
            <w:r>
              <w:rPr>
                <w:rFonts w:hint="eastAsia" w:ascii="宋体" w:hAnsi="宋体" w:eastAsia="宋体" w:cs="宋体"/>
                <w:kern w:val="0"/>
                <w:sz w:val="21"/>
                <w:szCs w:val="21"/>
              </w:rPr>
              <w:t>社会主义中级阶段</w:t>
            </w:r>
          </w:p>
        </w:tc>
        <w:tc>
          <w:tcPr>
            <w:tcW w:w="1714" w:type="dxa"/>
          </w:tcPr>
          <w:p w14:paraId="773AEFB9">
            <w:pPr>
              <w:rPr>
                <w:rFonts w:ascii="宋体" w:hAnsi="宋体" w:eastAsia="宋体" w:cs="宋体"/>
                <w:kern w:val="0"/>
                <w:sz w:val="20"/>
                <w:szCs w:val="21"/>
              </w:rPr>
            </w:pPr>
            <w:r>
              <w:rPr>
                <w:rFonts w:hint="eastAsia" w:ascii="宋体" w:hAnsi="宋体" w:eastAsia="宋体" w:cs="宋体"/>
                <w:kern w:val="0"/>
                <w:sz w:val="21"/>
                <w:szCs w:val="21"/>
              </w:rPr>
              <w:t>多种公有制</w:t>
            </w:r>
          </w:p>
        </w:tc>
        <w:tc>
          <w:tcPr>
            <w:tcW w:w="2309" w:type="dxa"/>
          </w:tcPr>
          <w:p w14:paraId="2983C508">
            <w:pPr>
              <w:rPr>
                <w:rFonts w:ascii="宋体" w:hAnsi="宋体" w:eastAsia="宋体" w:cs="宋体"/>
                <w:kern w:val="0"/>
                <w:sz w:val="20"/>
                <w:szCs w:val="21"/>
              </w:rPr>
            </w:pPr>
            <w:r>
              <w:rPr>
                <w:rFonts w:hint="eastAsia" w:ascii="宋体" w:hAnsi="宋体" w:eastAsia="宋体" w:cs="宋体"/>
                <w:kern w:val="0"/>
                <w:sz w:val="21"/>
                <w:szCs w:val="21"/>
              </w:rPr>
              <w:t>多种商品型按劳分配</w:t>
            </w:r>
          </w:p>
        </w:tc>
        <w:tc>
          <w:tcPr>
            <w:tcW w:w="2933" w:type="dxa"/>
          </w:tcPr>
          <w:p w14:paraId="1FA9C261">
            <w:pPr>
              <w:rPr>
                <w:rFonts w:ascii="宋体" w:hAnsi="宋体" w:eastAsia="宋体" w:cs="宋体"/>
                <w:kern w:val="0"/>
                <w:sz w:val="20"/>
                <w:szCs w:val="21"/>
              </w:rPr>
            </w:pPr>
            <w:r>
              <w:rPr>
                <w:rFonts w:hint="eastAsia" w:ascii="宋体" w:hAnsi="宋体" w:eastAsia="宋体" w:cs="宋体"/>
                <w:kern w:val="0"/>
                <w:sz w:val="21"/>
                <w:szCs w:val="21"/>
              </w:rPr>
              <w:t>国家主体型计划经济</w:t>
            </w:r>
          </w:p>
          <w:p w14:paraId="7E618783">
            <w:pPr>
              <w:rPr>
                <w:rFonts w:ascii="宋体" w:hAnsi="宋体" w:eastAsia="宋体" w:cs="宋体"/>
                <w:kern w:val="0"/>
                <w:sz w:val="20"/>
                <w:szCs w:val="21"/>
              </w:rPr>
            </w:pPr>
            <w:r>
              <w:rPr>
                <w:rFonts w:hint="eastAsia" w:ascii="宋体" w:hAnsi="宋体" w:eastAsia="宋体" w:cs="宋体"/>
                <w:kern w:val="0"/>
                <w:sz w:val="21"/>
                <w:szCs w:val="21"/>
              </w:rPr>
              <w:t>（市场调节为辅体）</w:t>
            </w:r>
          </w:p>
        </w:tc>
      </w:tr>
      <w:tr w14:paraId="104B2957">
        <w:tc>
          <w:tcPr>
            <w:tcW w:w="2130" w:type="dxa"/>
          </w:tcPr>
          <w:p w14:paraId="57CA84E2">
            <w:pPr>
              <w:rPr>
                <w:rFonts w:ascii="宋体" w:hAnsi="宋体" w:eastAsia="宋体" w:cs="宋体"/>
                <w:kern w:val="0"/>
                <w:sz w:val="20"/>
                <w:szCs w:val="21"/>
              </w:rPr>
            </w:pPr>
            <w:r>
              <w:rPr>
                <w:rFonts w:hint="eastAsia" w:ascii="宋体" w:hAnsi="宋体" w:eastAsia="宋体" w:cs="宋体"/>
                <w:kern w:val="0"/>
                <w:sz w:val="21"/>
                <w:szCs w:val="21"/>
              </w:rPr>
              <w:t>社会主义高级阶段</w:t>
            </w:r>
          </w:p>
        </w:tc>
        <w:tc>
          <w:tcPr>
            <w:tcW w:w="1714" w:type="dxa"/>
          </w:tcPr>
          <w:p w14:paraId="209F2133">
            <w:pPr>
              <w:rPr>
                <w:rFonts w:ascii="宋体" w:hAnsi="宋体" w:eastAsia="宋体" w:cs="宋体"/>
                <w:kern w:val="0"/>
                <w:sz w:val="20"/>
                <w:szCs w:val="21"/>
              </w:rPr>
            </w:pPr>
            <w:r>
              <w:rPr>
                <w:rFonts w:hint="eastAsia" w:ascii="宋体" w:hAnsi="宋体" w:eastAsia="宋体" w:cs="宋体"/>
                <w:kern w:val="0"/>
                <w:sz w:val="21"/>
                <w:szCs w:val="21"/>
              </w:rPr>
              <w:t>单一全民公有制</w:t>
            </w:r>
          </w:p>
        </w:tc>
        <w:tc>
          <w:tcPr>
            <w:tcW w:w="2309" w:type="dxa"/>
          </w:tcPr>
          <w:p w14:paraId="65AD6A19">
            <w:pPr>
              <w:rPr>
                <w:rFonts w:ascii="宋体" w:hAnsi="宋体" w:eastAsia="宋体" w:cs="宋体"/>
                <w:kern w:val="0"/>
                <w:sz w:val="20"/>
                <w:szCs w:val="21"/>
              </w:rPr>
            </w:pPr>
            <w:r>
              <w:rPr>
                <w:rFonts w:hint="eastAsia" w:ascii="宋体" w:hAnsi="宋体" w:eastAsia="宋体" w:cs="宋体"/>
                <w:kern w:val="0"/>
                <w:sz w:val="21"/>
                <w:szCs w:val="21"/>
              </w:rPr>
              <w:t>产品型按劳分配</w:t>
            </w:r>
          </w:p>
        </w:tc>
        <w:tc>
          <w:tcPr>
            <w:tcW w:w="2933" w:type="dxa"/>
          </w:tcPr>
          <w:p w14:paraId="0AF87613">
            <w:pPr>
              <w:rPr>
                <w:rFonts w:ascii="宋体" w:hAnsi="宋体" w:eastAsia="宋体" w:cs="宋体"/>
                <w:kern w:val="0"/>
                <w:sz w:val="20"/>
                <w:szCs w:val="21"/>
              </w:rPr>
            </w:pPr>
            <w:r>
              <w:rPr>
                <w:rFonts w:hint="eastAsia" w:ascii="宋体" w:hAnsi="宋体" w:eastAsia="宋体" w:cs="宋体"/>
                <w:kern w:val="0"/>
                <w:sz w:val="21"/>
                <w:szCs w:val="21"/>
              </w:rPr>
              <w:t>完全计划经济</w:t>
            </w:r>
          </w:p>
        </w:tc>
      </w:tr>
      <w:tr w14:paraId="102DA6BB">
        <w:tc>
          <w:tcPr>
            <w:tcW w:w="2130" w:type="dxa"/>
          </w:tcPr>
          <w:p w14:paraId="1BF66D27">
            <w:pPr>
              <w:rPr>
                <w:rFonts w:ascii="宋体" w:hAnsi="宋体" w:eastAsia="宋体" w:cs="宋体"/>
                <w:kern w:val="0"/>
                <w:sz w:val="20"/>
                <w:szCs w:val="21"/>
              </w:rPr>
            </w:pPr>
            <w:r>
              <w:rPr>
                <w:rFonts w:hint="eastAsia" w:ascii="宋体" w:hAnsi="宋体" w:eastAsia="宋体" w:cs="宋体"/>
                <w:kern w:val="0"/>
                <w:sz w:val="21"/>
                <w:szCs w:val="21"/>
              </w:rPr>
              <w:t>共产主义</w:t>
            </w:r>
          </w:p>
        </w:tc>
        <w:tc>
          <w:tcPr>
            <w:tcW w:w="1714" w:type="dxa"/>
          </w:tcPr>
          <w:p w14:paraId="0CC89AEB">
            <w:pPr>
              <w:rPr>
                <w:rFonts w:ascii="宋体" w:hAnsi="宋体" w:eastAsia="宋体" w:cs="宋体"/>
                <w:kern w:val="0"/>
                <w:sz w:val="20"/>
                <w:szCs w:val="21"/>
              </w:rPr>
            </w:pPr>
            <w:r>
              <w:rPr>
                <w:rFonts w:hint="eastAsia" w:ascii="宋体" w:hAnsi="宋体" w:eastAsia="宋体" w:cs="宋体"/>
                <w:kern w:val="0"/>
                <w:sz w:val="21"/>
                <w:szCs w:val="21"/>
              </w:rPr>
              <w:t>单一全民公有制</w:t>
            </w:r>
          </w:p>
        </w:tc>
        <w:tc>
          <w:tcPr>
            <w:tcW w:w="2309" w:type="dxa"/>
          </w:tcPr>
          <w:p w14:paraId="6A4A7396">
            <w:pPr>
              <w:rPr>
                <w:rFonts w:ascii="宋体" w:hAnsi="宋体" w:eastAsia="宋体" w:cs="宋体"/>
                <w:kern w:val="0"/>
                <w:sz w:val="20"/>
                <w:szCs w:val="21"/>
              </w:rPr>
            </w:pPr>
            <w:r>
              <w:rPr>
                <w:rFonts w:hint="eastAsia" w:ascii="宋体" w:hAnsi="宋体" w:eastAsia="宋体" w:cs="宋体"/>
                <w:kern w:val="0"/>
                <w:sz w:val="21"/>
                <w:szCs w:val="21"/>
              </w:rPr>
              <w:t>产品型按需分配主体（个别供不应求的新消费品按其他原则分配）</w:t>
            </w:r>
          </w:p>
        </w:tc>
        <w:tc>
          <w:tcPr>
            <w:tcW w:w="2933" w:type="dxa"/>
          </w:tcPr>
          <w:p w14:paraId="22AF48CF">
            <w:pPr>
              <w:rPr>
                <w:rFonts w:ascii="宋体" w:hAnsi="宋体" w:eastAsia="宋体" w:cs="宋体"/>
                <w:kern w:val="0"/>
                <w:sz w:val="20"/>
                <w:szCs w:val="21"/>
              </w:rPr>
            </w:pPr>
            <w:r>
              <w:rPr>
                <w:rFonts w:hint="eastAsia" w:ascii="宋体" w:hAnsi="宋体" w:eastAsia="宋体" w:cs="宋体"/>
                <w:kern w:val="0"/>
                <w:sz w:val="21"/>
                <w:szCs w:val="21"/>
              </w:rPr>
              <w:t>完全计划经济</w:t>
            </w:r>
          </w:p>
        </w:tc>
      </w:tr>
    </w:tbl>
    <w:p w14:paraId="6D49D3E3">
      <w:pPr>
        <w:rPr>
          <w:rFonts w:ascii="宋体" w:hAnsi="宋体" w:eastAsia="宋体" w:cs="宋体"/>
          <w:szCs w:val="21"/>
        </w:rPr>
      </w:pPr>
      <w:r>
        <w:rPr>
          <w:rFonts w:hint="eastAsia" w:ascii="宋体" w:hAnsi="宋体" w:eastAsia="宋体" w:cs="宋体"/>
          <w:sz w:val="21"/>
          <w:szCs w:val="21"/>
        </w:rPr>
        <w:t>图示：现代资本主义、社会主义（初级、中级与高级）、共产主义经济制度的核心特征和要素</w:t>
      </w:r>
    </w:p>
    <w:p w14:paraId="426F0D67">
      <w:pPr>
        <w:ind w:firstLine="420" w:firstLineChars="200"/>
        <w:jc w:val="left"/>
        <w:rPr>
          <w:rFonts w:ascii="宋体" w:hAnsi="宋体" w:eastAsia="宋体" w:cs="宋体"/>
          <w:szCs w:val="21"/>
        </w:rPr>
      </w:pPr>
      <w:r>
        <w:rPr>
          <w:rFonts w:hint="eastAsia" w:ascii="宋体" w:hAnsi="宋体" w:eastAsia="宋体" w:cs="宋体"/>
          <w:sz w:val="21"/>
          <w:szCs w:val="21"/>
        </w:rPr>
        <w:t>2、社会主义社会过渡到共产主义社会的五个条件。</w:t>
      </w:r>
    </w:p>
    <w:p w14:paraId="1B5C34A4">
      <w:pPr>
        <w:ind w:firstLine="420" w:firstLineChars="200"/>
        <w:jc w:val="left"/>
        <w:rPr>
          <w:rFonts w:ascii="宋体" w:hAnsi="宋体" w:eastAsia="宋体" w:cs="宋体"/>
          <w:szCs w:val="21"/>
        </w:rPr>
      </w:pPr>
      <w:r>
        <w:rPr>
          <w:rFonts w:hint="eastAsia" w:ascii="宋体" w:hAnsi="宋体" w:eastAsia="宋体" w:cs="宋体"/>
          <w:sz w:val="21"/>
          <w:szCs w:val="21"/>
        </w:rPr>
        <w:t>社会主义初级、中级和高级阶段的共同特征是生产资料的公有制形式，然而它的成熟和完善程度是不同的。在社会主义高级阶段，公有制形式将走向成熟和完善，而它与共产主义经济制度的主要区别，在于是否实现按需分配，以最高经济公平和经济效率为特征的共产主义制度，是人类社会发展的大方向，但其实现需要一系列的条件和相当长的时间，必须具备五个基本条件，一是物质条件——生产力的高度发展；二是经济条件——单一的生产资料共产主义全民所有制、计划经济和按需分配；三是社会条件——教育科技文化卫生的高度发展及消灭脑力劳动和体力劳动的重大差别；四是精神条件——思想觉悟和道德品质的极大提高；五是政治条件——消灭阶级和国家自行消亡是实现共产主义必需的政治条件。</w:t>
      </w:r>
    </w:p>
    <w:p w14:paraId="67AFB596">
      <w:pPr>
        <w:numPr>
          <w:ilvl w:val="0"/>
          <w:numId w:val="5"/>
        </w:numPr>
        <w:ind w:firstLine="420" w:firstLineChars="200"/>
        <w:jc w:val="left"/>
        <w:rPr>
          <w:rFonts w:ascii="宋体" w:hAnsi="宋体" w:eastAsia="宋体" w:cs="宋体"/>
          <w:szCs w:val="21"/>
        </w:rPr>
      </w:pPr>
      <w:r>
        <w:rPr>
          <w:rFonts w:hint="eastAsia" w:ascii="宋体" w:hAnsi="宋体" w:eastAsia="宋体" w:cs="宋体"/>
          <w:sz w:val="21"/>
          <w:szCs w:val="21"/>
        </w:rPr>
        <w:t>要系统认知和谨慎操作经济政治文化制度。</w:t>
      </w:r>
    </w:p>
    <w:p w14:paraId="12D34310">
      <w:pPr>
        <w:ind w:firstLine="420" w:firstLineChars="200"/>
        <w:jc w:val="left"/>
        <w:rPr>
          <w:rFonts w:ascii="宋体" w:hAnsi="宋体" w:eastAsia="宋体" w:cs="宋体"/>
          <w:szCs w:val="21"/>
          <w:shd w:val="clear" w:color="auto" w:fill="FFFFFF"/>
        </w:rPr>
      </w:pPr>
      <w:r>
        <w:rPr>
          <w:rFonts w:hint="eastAsia" w:ascii="宋体" w:hAnsi="宋体" w:eastAsia="宋体" w:cs="宋体"/>
          <w:sz w:val="21"/>
          <w:szCs w:val="21"/>
          <w:shd w:val="clear" w:color="auto" w:fill="FFFFFF"/>
        </w:rPr>
        <w:t>首先，要系统弄通不同发展阶段的经济制度。</w:t>
      </w:r>
      <w:r>
        <w:rPr>
          <w:rFonts w:hint="eastAsia" w:ascii="宋体" w:hAnsi="宋体" w:eastAsia="宋体" w:cs="宋体"/>
          <w:sz w:val="21"/>
          <w:szCs w:val="21"/>
        </w:rPr>
        <w:t>社会主义初级阶段是打基础的阶段，也是向社会主义中级阶段和高级阶段的过渡阶段。在这一过程中，社会主义经济制度也会产生相应的质变。这种质变，只能是公有制经济越来越发展壮大、按劳分配越来越成为分配主体的历史过程，只能是社会主义国家调控力量越来越强大的过程。</w:t>
      </w:r>
      <w:r>
        <w:rPr>
          <w:rFonts w:hint="eastAsia" w:ascii="宋体" w:hAnsi="宋体" w:eastAsia="宋体" w:cs="宋体"/>
          <w:sz w:val="21"/>
          <w:szCs w:val="21"/>
          <w:shd w:val="clear" w:color="auto" w:fill="FFFFFF"/>
        </w:rPr>
        <w:t>也就是说，应从产权、分配和调节三大经济制度体系在不同发展阶段的重要差别和趋势，来系统认知和把握当下与未来经济.中国有舆论宣扬即使在改革中建立了基本私有化或民营化的经济基础，作为上层建筑的工人阶级政党长期执政和领导也没有风险。这是偏离唯物史观的误论。须知</w:t>
      </w:r>
      <w:r>
        <w:rPr>
          <w:rFonts w:hint="eastAsia" w:ascii="宋体" w:hAnsi="宋体" w:eastAsia="宋体" w:cs="宋体"/>
          <w:kern w:val="0"/>
          <w:sz w:val="21"/>
          <w:szCs w:val="21"/>
        </w:rPr>
        <w:t>，工人阶级政党执政、公有制为主体、马克思主义为指导的“三位一体”，共同构成了社会主义制度体系、核心要素和本质内涵，是缺一不可的。</w:t>
      </w:r>
    </w:p>
    <w:p w14:paraId="1C28B758">
      <w:pPr>
        <w:ind w:firstLine="420" w:firstLineChars="200"/>
        <w:rPr>
          <w:rFonts w:ascii="宋体" w:hAnsi="宋体" w:eastAsia="宋体" w:cs="宋体"/>
          <w:szCs w:val="21"/>
          <w:shd w:val="clear" w:color="auto" w:fill="FFFFFF"/>
        </w:rPr>
      </w:pPr>
      <w:r>
        <w:rPr>
          <w:rFonts w:hint="eastAsia" w:ascii="宋体" w:hAnsi="宋体" w:eastAsia="宋体" w:cs="宋体"/>
          <w:sz w:val="21"/>
          <w:szCs w:val="21"/>
          <w:shd w:val="clear" w:color="auto" w:fill="FFFFFF"/>
        </w:rPr>
        <w:t>其次，要系统弄通不同社会的政治制度。其中，在社会主义社会，工人阶级政党执政（必要时实行多党合作）是社会主义国家的政治本质；国家最高权力机构是人民代表大会（具体名称用什么都可以，如越南和古巴称之为国会），并由它组建政府、法院、检察院、监察院等，是社会主义国家的政治规定；坚持工人阶级政党的领导、人民当家作主、依法治国三者有机统一，加强国家治理体系和治理能力的现代化，是社会主义国家的政治方向；实行必要的民族区域自治制度和城乡基层群众充分自治制度，是社会主义国家的政治基础。简言之，社会主义国家的这些国体与政体，显然与体现西方垄断资产阶级专政和民主的本质和形式有着重要区别。</w:t>
      </w:r>
    </w:p>
    <w:p w14:paraId="52421359">
      <w:pPr>
        <w:ind w:firstLine="420" w:firstLineChars="200"/>
        <w:rPr>
          <w:rFonts w:ascii="宋体" w:hAnsi="宋体" w:eastAsia="宋体" w:cs="宋体"/>
          <w:szCs w:val="21"/>
          <w:shd w:val="clear" w:color="auto" w:fill="FFFFFF"/>
        </w:rPr>
      </w:pPr>
      <w:r>
        <w:rPr>
          <w:rFonts w:hint="eastAsia" w:ascii="宋体" w:hAnsi="宋体" w:eastAsia="宋体" w:cs="宋体"/>
          <w:sz w:val="21"/>
          <w:szCs w:val="21"/>
          <w:shd w:val="clear" w:color="auto" w:fill="FFFFFF"/>
        </w:rPr>
        <w:t>再次要系统弄通不同社会的文化制度。即使在初级社会主义社会，</w:t>
      </w:r>
      <w:r>
        <w:rPr>
          <w:rFonts w:hint="eastAsia" w:ascii="宋体" w:hAnsi="宋体" w:eastAsia="宋体" w:cs="宋体"/>
          <w:sz w:val="21"/>
          <w:szCs w:val="21"/>
        </w:rPr>
        <w:t>以社会主义核心价值观为主体（如公有共富的经济价值观、民主集中的政治价值观、法治和谐的社会价值观、自由开放的文化价值观等）、包容多样性的文化传播制度，以公有制为主体、多种所有制共同发展的文化产权制度，以文化产业为主体、发展公益性文化事业的文化企事业制度，以民族文化为主体、吸收外来有益文化的文化开放制度，以政府为引导、发挥市场积极作用的文化调控制度。在这一制度体系中，强调文学艺术、教育学术、宣传媒体等均应以社会效益为首，尽量结合经济效益，而非“唯市场化”“收益挂帅”。这些与资本主义国家的文化制度也有重大区别。</w:t>
      </w:r>
    </w:p>
    <w:p w14:paraId="18256E66">
      <w:pPr>
        <w:ind w:firstLine="1260" w:firstLineChars="600"/>
        <w:rPr>
          <w:rFonts w:ascii="宋体" w:hAnsi="宋体" w:eastAsia="宋体" w:cs="宋体"/>
          <w:szCs w:val="21"/>
        </w:rPr>
      </w:pPr>
      <w:r>
        <w:rPr>
          <w:rFonts w:hint="eastAsia" w:ascii="宋体" w:hAnsi="宋体" w:eastAsia="宋体" w:cs="宋体"/>
          <w:sz w:val="21"/>
          <w:szCs w:val="21"/>
        </w:rPr>
        <w:t>六、结语：“社会主义三阶段论”的经典依据与意义</w:t>
      </w:r>
    </w:p>
    <w:p w14:paraId="31B953EA">
      <w:pPr>
        <w:ind w:firstLine="420" w:firstLineChars="200"/>
        <w:rPr>
          <w:rFonts w:ascii="宋体" w:hAnsi="宋体" w:eastAsia="宋体" w:cs="宋体"/>
          <w:szCs w:val="21"/>
        </w:rPr>
      </w:pPr>
      <w:r>
        <w:rPr>
          <w:rFonts w:hint="eastAsia" w:ascii="宋体" w:hAnsi="宋体" w:eastAsia="宋体" w:cs="宋体"/>
          <w:sz w:val="21"/>
          <w:szCs w:val="21"/>
        </w:rPr>
        <w:t>从英国托马斯.莫尔1516年发表《</w:t>
      </w:r>
      <w:r>
        <w:rPr>
          <w:rFonts w:hint="eastAsia" w:ascii="宋体" w:hAnsi="宋体" w:eastAsia="宋体" w:cs="宋体"/>
          <w:sz w:val="21"/>
          <w:szCs w:val="21"/>
          <w:shd w:val="clear" w:color="auto" w:fill="FFFFFF"/>
        </w:rPr>
        <w:t>关于最完美的国家制度和乌托邦新岛的既有益又有趣的金书</w:t>
      </w:r>
      <w:r>
        <w:rPr>
          <w:rFonts w:hint="eastAsia" w:ascii="宋体" w:hAnsi="宋体" w:eastAsia="宋体" w:cs="宋体"/>
          <w:sz w:val="21"/>
          <w:szCs w:val="21"/>
        </w:rPr>
        <w:t>》一书开始，世界社会主义思想和实践迄今已略超过500年。欧洲绝大多数批判的空想社会主义者都把私有制、商品、货币、市场当作罪恶的渊薮，这是有重要思想价值的。马克思、恩格斯和列宁都认为工人阶级夺取政权以后，旧社会在向共产主义社会（含第一阶段或低级阶段的社会主义社会）的过渡时期，可以存在极少的私有制、信用制度（商品货币关系）和合作经济等，而只有彻底消灭私有制、合作经济和商品货币关系，才能正式之进入共产主义社会。这是马克思、恩格斯和列宁确立的第一种社会主义经济制度与核心要素观及其标准，是严格意义上的社会主义社会观。越南至今还坚持这一社会主义社会的标准，宣称现阶段仍然处于向社会主义社会的过渡时期，而没有宣布进入社会主义社会。</w:t>
      </w:r>
    </w:p>
    <w:p w14:paraId="4B502341">
      <w:pPr>
        <w:ind w:firstLine="420" w:firstLineChars="200"/>
        <w:rPr>
          <w:rFonts w:ascii="宋体" w:hAnsi="宋体" w:eastAsia="宋体" w:cs="宋体"/>
          <w:szCs w:val="21"/>
        </w:rPr>
      </w:pPr>
      <w:r>
        <w:rPr>
          <w:rFonts w:hint="eastAsia" w:ascii="宋体" w:hAnsi="宋体" w:eastAsia="宋体" w:cs="宋体"/>
          <w:sz w:val="21"/>
          <w:szCs w:val="21"/>
        </w:rPr>
        <w:t>当然，列宁有时也把含有一定私有制、合作经济和商品经济的新经济政策时期，称之为社会主义，那只是从工人阶级及其政党执政等特殊意义上说的。否则，就不会后来斯大林降低标准，还存在合作经济、商品货币关系和发货币工资而非劳动券的情况下，于1936年</w:t>
      </w:r>
      <w:r>
        <w:rPr>
          <w:rFonts w:hint="eastAsia" w:ascii="宋体" w:hAnsi="宋体" w:eastAsia="宋体" w:cs="宋体"/>
          <w:sz w:val="21"/>
          <w:szCs w:val="21"/>
          <w:shd w:val="clear" w:color="auto" w:fill="FFFFFF"/>
        </w:rPr>
        <w:t>苏维埃第八次非常代表大会上通过的苏维埃宪法宣布苏联已建成社会主义社会。毛泽东赞成苏联的标准，在与苏联相同的情况下，于1956年宣布结束从旧社会向社会主义社会的过渡时期（即中国新民主主义社会），正式进入社会主义社会。这是斯大林和毛泽东确立的第二种</w:t>
      </w:r>
      <w:r>
        <w:rPr>
          <w:rFonts w:hint="eastAsia" w:ascii="宋体" w:hAnsi="宋体" w:eastAsia="宋体" w:cs="宋体"/>
          <w:sz w:val="21"/>
          <w:szCs w:val="21"/>
        </w:rPr>
        <w:t>社会主义经济制度与核心要素观及其标准。</w:t>
      </w:r>
    </w:p>
    <w:p w14:paraId="5C3BFD16">
      <w:pPr>
        <w:ind w:firstLine="420" w:firstLineChars="200"/>
        <w:rPr>
          <w:rFonts w:ascii="宋体" w:hAnsi="宋体" w:eastAsia="宋体" w:cs="宋体"/>
          <w:szCs w:val="21"/>
        </w:rPr>
      </w:pPr>
      <w:r>
        <w:rPr>
          <w:rFonts w:hint="eastAsia" w:ascii="宋体" w:hAnsi="宋体" w:eastAsia="宋体" w:cs="宋体"/>
          <w:sz w:val="21"/>
          <w:szCs w:val="21"/>
        </w:rPr>
        <w:t>中国在改革开放以后，《宪法》于20世纪90年代规定实行公有制为主体、非公经济为重要部分的产权制度和社会主义市场经济制度，这就进一步降低社会主义社会的标准。这是邓小平为代表的第三种社会主义经济制度与核心要素观及其标准。至于现实中非公经济是否已超过公有经济而成为主体，这是实际操作中要不要严格依宪治国和制度调整的另一个问题。</w:t>
      </w:r>
    </w:p>
    <w:p w14:paraId="1A3DC365">
      <w:pPr>
        <w:ind w:firstLine="420" w:firstLineChars="200"/>
        <w:rPr>
          <w:rFonts w:ascii="宋体" w:hAnsi="宋体" w:eastAsia="宋体" w:cs="宋体"/>
          <w:szCs w:val="21"/>
        </w:rPr>
      </w:pPr>
      <w:r>
        <w:rPr>
          <w:rFonts w:hint="eastAsia" w:ascii="宋体" w:hAnsi="宋体" w:eastAsia="宋体" w:cs="宋体"/>
          <w:sz w:val="21"/>
          <w:szCs w:val="21"/>
        </w:rPr>
        <w:t>上述三种社会主义经济制度与核心要素观及其标准，没有对错问题，只是各自的价值观和规定的经济制度标准的高低不同。笔者对此作了理论协调和充实，大体上把第一种社会主义经济制度与核心要素观及其标准界定为社会主义高级阶段，把第二种社会主义经济制度与核心要素观及其标准界定为社会主义中级阶段，把第三种社会主义经济制度与核心要素观及其标准界定为社会主义高级阶段。可见，本文主张的“社会主义三阶段论”，是以前人学术研究作为思想资源，</w:t>
      </w:r>
      <w:r>
        <w:rPr>
          <w:rStyle w:val="20"/>
          <w:rFonts w:hint="eastAsia" w:ascii="宋体" w:hAnsi="宋体" w:eastAsia="宋体" w:cs="宋体"/>
          <w:sz w:val="21"/>
          <w:szCs w:val="21"/>
        </w:rPr>
        <w:footnoteReference w:id="260"/>
      </w:r>
      <w:r>
        <w:rPr>
          <w:rFonts w:hint="eastAsia" w:ascii="宋体" w:hAnsi="宋体" w:eastAsia="宋体" w:cs="宋体"/>
          <w:sz w:val="21"/>
          <w:szCs w:val="21"/>
        </w:rPr>
        <w:t>尤其是具有马克思主义经典依据和实践经验的。这一新理论逻辑自洽地回答了什么是社会主义、如何操作和运行社会主义的难题，具有基础性、原则性、根本性的学术价值和实际意义，并与“社会主义无规定论”“社会主义与资本主义趋同论”“高福利就是社会主义”“社会主义初级阶段永恒论”等观点，存在明显的区别。</w:t>
      </w:r>
    </w:p>
    <w:p w14:paraId="1B530C80">
      <w:pPr>
        <w:rPr>
          <w:rFonts w:ascii="宋体" w:hAnsi="宋体" w:eastAsia="宋体" w:cs="宋体"/>
          <w:szCs w:val="21"/>
        </w:rPr>
      </w:pPr>
    </w:p>
    <w:p w14:paraId="75838221">
      <w:pPr>
        <w:ind w:firstLine="420" w:firstLineChars="200"/>
        <w:rPr>
          <w:rFonts w:ascii="宋体" w:hAnsi="宋体" w:eastAsia="宋体" w:cs="宋体"/>
          <w:b/>
          <w:bCs/>
          <w:szCs w:val="21"/>
        </w:rPr>
      </w:pPr>
      <w:r>
        <w:rPr>
          <w:rFonts w:hint="eastAsia" w:ascii="宋体" w:hAnsi="宋体" w:eastAsia="宋体" w:cs="宋体"/>
          <w:b/>
          <w:bCs/>
          <w:sz w:val="21"/>
          <w:szCs w:val="21"/>
        </w:rPr>
        <w:t>（原文主要内容将刊发美国《科学与社会》2022年第4期）</w:t>
      </w:r>
    </w:p>
    <w:p w14:paraId="66E07942">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sz w:val="24"/>
          <w:lang w:eastAsia="zh-CN"/>
        </w:rPr>
      </w:pPr>
    </w:p>
    <w:p w14:paraId="7C8CA4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2EB30E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48BFB8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51E3C6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0486A378">
      <w:pPr>
        <w:pStyle w:val="2"/>
        <w:bidi w:val="0"/>
        <w:rPr>
          <w:rFonts w:hint="eastAsia"/>
          <w:lang w:val="en-US" w:eastAsia="zh-CN"/>
        </w:rPr>
      </w:pPr>
      <w:bookmarkStart w:id="141" w:name="_Toc28086"/>
      <w:bookmarkStart w:id="142" w:name="_Toc1718379960"/>
      <w:bookmarkStart w:id="143" w:name="_Toc1583171197"/>
      <w:bookmarkStart w:id="144" w:name="_Toc1997388622"/>
      <w:bookmarkStart w:id="145" w:name="_Toc304715663"/>
      <w:bookmarkStart w:id="146" w:name="_Toc803866703"/>
      <w:r>
        <w:rPr>
          <w:rFonts w:hint="eastAsia"/>
          <w:lang w:val="en-US" w:eastAsia="zh-CN"/>
        </w:rPr>
        <w:t>2023年</w:t>
      </w:r>
      <w:bookmarkEnd w:id="141"/>
      <w:bookmarkEnd w:id="142"/>
      <w:bookmarkEnd w:id="143"/>
      <w:bookmarkEnd w:id="144"/>
      <w:bookmarkEnd w:id="145"/>
      <w:bookmarkEnd w:id="146"/>
    </w:p>
    <w:p w14:paraId="36C99992">
      <w:pPr>
        <w:bidi w:val="0"/>
        <w:rPr>
          <w:rFonts w:hint="eastAsia"/>
        </w:rPr>
      </w:pPr>
    </w:p>
    <w:p w14:paraId="33F1D31C">
      <w:pPr>
        <w:bidi w:val="0"/>
        <w:rPr>
          <w:rFonts w:hint="eastAsia"/>
        </w:rPr>
      </w:pPr>
    </w:p>
    <w:p w14:paraId="14DD012A">
      <w:pPr>
        <w:pStyle w:val="3"/>
        <w:bidi w:val="0"/>
        <w:rPr>
          <w:rFonts w:hint="eastAsia"/>
          <w:lang w:eastAsia="zh-CN"/>
        </w:rPr>
      </w:pPr>
      <w:bookmarkStart w:id="147" w:name="_Toc4927"/>
      <w:bookmarkStart w:id="148" w:name="_Toc1451902864"/>
      <w:bookmarkStart w:id="149" w:name="_Toc1035921649"/>
      <w:bookmarkStart w:id="150" w:name="_Toc646200050"/>
      <w:bookmarkStart w:id="151" w:name="_Toc1755133593"/>
      <w:bookmarkStart w:id="152" w:name="_Toc768054044"/>
      <w:r>
        <w:rPr>
          <w:rFonts w:hint="eastAsia"/>
          <w:lang w:val="en-US" w:eastAsia="zh-CN"/>
        </w:rPr>
        <w:t>1</w:t>
      </w:r>
      <w:r>
        <w:rPr>
          <w:rFonts w:hint="eastAsia"/>
          <w:lang w:eastAsia="zh-CN"/>
        </w:rPr>
        <w:t>大力发展新质生产力加速推进中国式现代化</w:t>
      </w:r>
      <w:bookmarkEnd w:id="147"/>
      <w:bookmarkEnd w:id="148"/>
      <w:bookmarkEnd w:id="149"/>
      <w:bookmarkEnd w:id="150"/>
      <w:bookmarkEnd w:id="151"/>
      <w:bookmarkEnd w:id="152"/>
    </w:p>
    <w:p w14:paraId="5701A39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lang w:eastAsia="zh-CN"/>
        </w:rPr>
      </w:pPr>
    </w:p>
    <w:p w14:paraId="666B33E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7"/>
          <w:lang w:eastAsia="zh-CN"/>
        </w:rPr>
      </w:pPr>
      <w:r>
        <w:rPr>
          <w:rFonts w:hint="eastAsia" w:ascii="宋体" w:hAnsi="宋体" w:eastAsia="宋体" w:cs="宋体"/>
          <w:spacing w:val="0"/>
          <w:w w:val="100"/>
          <w:position w:val="0"/>
          <w:sz w:val="24"/>
          <w:szCs w:val="17"/>
          <w:lang w:eastAsia="zh-CN"/>
        </w:rPr>
        <w:t>摘要：习近平关于发展新质生产力的重要论述具有深厚的理论渊源，是对马克思主义及其中国化理论关于科技生产力思想的继承与发展。同时，习近平关于发展新质生产力的重要论述也具有鲜明的中国特色，其具有在实践中凸显中国式现代化关于实现高质量发展和实现全体人民共同富裕的本质要求等内涵特征。因此，发展新质生产力，对于加速建设中国式现代化意义重大。基于此，必须加大顶层布局力度，为发展新质生产力提供宏观指导；大力发展新产业，形成新产业为主导的现代化产业体系；加大传统产业的转型升级发展，拓宽新质生产力的发展空间；充分发挥知识产权优势，筑牢新质生产力发展的根基。</w:t>
      </w:r>
    </w:p>
    <w:p w14:paraId="53D29AF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7"/>
          <w:lang w:eastAsia="zh-CN"/>
        </w:rPr>
      </w:pPr>
      <w:r>
        <w:rPr>
          <w:rFonts w:hint="eastAsia" w:ascii="宋体" w:hAnsi="宋体" w:eastAsia="宋体" w:cs="宋体"/>
          <w:spacing w:val="0"/>
          <w:w w:val="100"/>
          <w:position w:val="0"/>
          <w:sz w:val="24"/>
          <w:szCs w:val="17"/>
          <w:lang w:eastAsia="zh-CN"/>
        </w:rPr>
        <w:t>关键词：新质生产力；战略性新兴产业；中国式现代化；政治经济学分析</w:t>
      </w:r>
    </w:p>
    <w:p w14:paraId="2154C404">
      <w:pPr>
        <w:pStyle w:val="4"/>
        <w:bidi w:val="0"/>
        <w:rPr>
          <w:rFonts w:hint="eastAsia"/>
          <w:lang w:eastAsia="zh-CN"/>
        </w:rPr>
      </w:pPr>
      <w:r>
        <w:rPr>
          <w:rFonts w:hint="eastAsia"/>
          <w:lang w:eastAsia="zh-CN"/>
        </w:rPr>
        <w:t>一、引言</w:t>
      </w:r>
    </w:p>
    <w:p w14:paraId="63AB1DA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lang w:eastAsia="zh-CN"/>
        </w:rPr>
      </w:pPr>
    </w:p>
    <w:p w14:paraId="110616C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20"/>
          <w:lang w:eastAsia="zh-CN"/>
        </w:rPr>
        <w:t>2023</w:t>
      </w:r>
      <w:r>
        <w:rPr>
          <w:rFonts w:hint="eastAsia" w:ascii="宋体" w:hAnsi="宋体" w:eastAsia="宋体" w:cs="宋体"/>
          <w:spacing w:val="0"/>
          <w:w w:val="100"/>
          <w:position w:val="0"/>
          <w:sz w:val="24"/>
          <w:szCs w:val="19"/>
          <w:lang w:eastAsia="zh-CN"/>
        </w:rPr>
        <w:t>年</w:t>
      </w:r>
      <w:r>
        <w:rPr>
          <w:rFonts w:hint="eastAsia" w:ascii="宋体" w:hAnsi="宋体" w:eastAsia="宋体" w:cs="宋体"/>
          <w:spacing w:val="0"/>
          <w:w w:val="100"/>
          <w:position w:val="0"/>
          <w:sz w:val="24"/>
          <w:szCs w:val="20"/>
          <w:lang w:eastAsia="zh-CN"/>
        </w:rPr>
        <w:t>9</w:t>
      </w:r>
      <w:r>
        <w:rPr>
          <w:rFonts w:hint="eastAsia" w:ascii="宋体" w:hAnsi="宋体" w:eastAsia="宋体" w:cs="宋体"/>
          <w:spacing w:val="0"/>
          <w:w w:val="100"/>
          <w:position w:val="0"/>
          <w:sz w:val="24"/>
          <w:szCs w:val="19"/>
          <w:lang w:eastAsia="zh-CN"/>
        </w:rPr>
        <w:t>月</w:t>
      </w:r>
      <w:r>
        <w:rPr>
          <w:rFonts w:hint="eastAsia" w:ascii="宋体" w:hAnsi="宋体" w:eastAsia="宋体" w:cs="宋体"/>
          <w:spacing w:val="0"/>
          <w:w w:val="100"/>
          <w:position w:val="0"/>
          <w:sz w:val="24"/>
          <w:szCs w:val="20"/>
          <w:lang w:eastAsia="zh-CN"/>
        </w:rPr>
        <w:t>7</w:t>
      </w:r>
      <w:r>
        <w:rPr>
          <w:rFonts w:hint="eastAsia" w:ascii="宋体" w:hAnsi="宋体" w:eastAsia="宋体" w:cs="宋体"/>
          <w:spacing w:val="0"/>
          <w:w w:val="100"/>
          <w:position w:val="0"/>
          <w:sz w:val="24"/>
          <w:szCs w:val="19"/>
          <w:lang w:eastAsia="zh-CN"/>
        </w:rPr>
        <w:t>日，习近平在主持召开新时代推动东北全面振兴座谈会上指出：“积极培育新能源、新材料、先进制造、电子信息等战略性新兴产业，积极培育未来产业，加快形成新质生产力，增强发展新动能。”</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20"/>
          <w:lang w:eastAsia="zh-CN"/>
        </w:rPr>
        <w:t>2023</w:t>
      </w:r>
      <w:r>
        <w:rPr>
          <w:rFonts w:hint="eastAsia" w:ascii="宋体" w:hAnsi="宋体" w:eastAsia="宋体" w:cs="宋体"/>
          <w:spacing w:val="0"/>
          <w:w w:val="100"/>
          <w:position w:val="0"/>
          <w:sz w:val="24"/>
          <w:szCs w:val="19"/>
          <w:lang w:eastAsia="zh-CN"/>
        </w:rPr>
        <w:t>年</w:t>
      </w:r>
      <w:r>
        <w:rPr>
          <w:rFonts w:hint="eastAsia" w:ascii="宋体" w:hAnsi="宋体" w:eastAsia="宋体" w:cs="宋体"/>
          <w:spacing w:val="0"/>
          <w:w w:val="100"/>
          <w:position w:val="0"/>
          <w:sz w:val="24"/>
          <w:szCs w:val="20"/>
          <w:lang w:eastAsia="zh-CN"/>
        </w:rPr>
        <w:t>9</w:t>
      </w:r>
      <w:r>
        <w:rPr>
          <w:rFonts w:hint="eastAsia" w:ascii="宋体" w:hAnsi="宋体" w:eastAsia="宋体" w:cs="宋体"/>
          <w:spacing w:val="0"/>
          <w:w w:val="100"/>
          <w:position w:val="0"/>
          <w:sz w:val="24"/>
          <w:szCs w:val="19"/>
          <w:lang w:eastAsia="zh-CN"/>
        </w:rPr>
        <w:t>月</w:t>
      </w:r>
      <w:r>
        <w:rPr>
          <w:rFonts w:hint="eastAsia" w:ascii="宋体" w:hAnsi="宋体" w:eastAsia="宋体" w:cs="宋体"/>
          <w:spacing w:val="0"/>
          <w:w w:val="100"/>
          <w:position w:val="0"/>
          <w:sz w:val="24"/>
          <w:szCs w:val="20"/>
          <w:lang w:eastAsia="zh-CN"/>
        </w:rPr>
        <w:t>8</w:t>
      </w:r>
      <w:r>
        <w:rPr>
          <w:rFonts w:hint="eastAsia" w:ascii="宋体" w:hAnsi="宋体" w:eastAsia="宋体" w:cs="宋体"/>
          <w:spacing w:val="0"/>
          <w:w w:val="100"/>
          <w:position w:val="0"/>
          <w:sz w:val="24"/>
          <w:szCs w:val="19"/>
          <w:lang w:eastAsia="zh-CN"/>
        </w:rPr>
        <w:t>日，习近平在听取黑龙江省委、省政府的工作汇报时，再一次强调要加快形成新质生产力。可见，新时代新征程大力发展新质生产力，已经成为推进中国式现代化走深走好、推动高质量发展主题的关键性战略举措。</w:t>
      </w:r>
    </w:p>
    <w:p w14:paraId="63601F9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rPr>
        <mc:AlternateContent>
          <mc:Choice Requires="wps">
            <w:drawing>
              <wp:anchor distT="0" distB="0" distL="114300" distR="114300" simplePos="0" relativeHeight="251683840" behindDoc="0" locked="0" layoutInCell="1" allowOverlap="1">
                <wp:simplePos x="0" y="0"/>
                <wp:positionH relativeFrom="column">
                  <wp:posOffset>560070</wp:posOffset>
                </wp:positionH>
                <wp:positionV relativeFrom="paragraph">
                  <wp:posOffset>1644015</wp:posOffset>
                </wp:positionV>
                <wp:extent cx="2002155" cy="179070"/>
                <wp:effectExtent l="0" t="0" r="0" b="0"/>
                <wp:wrapNone/>
                <wp:docPr id="242" name="文本框 242"/>
                <wp:cNvGraphicFramePr/>
                <a:graphic xmlns:a="http://schemas.openxmlformats.org/drawingml/2006/main">
                  <a:graphicData uri="http://schemas.microsoft.com/office/word/2010/wordprocessingShape">
                    <wps:wsp>
                      <wps:cNvSpPr txBox="1"/>
                      <wps:spPr>
                        <a:xfrm>
                          <a:off x="0" y="0"/>
                          <a:ext cx="2002155" cy="179070"/>
                        </a:xfrm>
                        <a:prstGeom prst="rect">
                          <a:avLst/>
                        </a:prstGeom>
                        <a:noFill/>
                        <a:ln>
                          <a:noFill/>
                        </a:ln>
                      </wps:spPr>
                      <wps:txbx>
                        <w:txbxContent>
                          <w:p w14:paraId="76EF3A09">
                            <w:pPr>
                              <w:tabs>
                                <w:tab w:val="left" w:pos="3132"/>
                              </w:tabs>
                              <w:spacing w:before="19"/>
                              <w:ind w:left="20"/>
                            </w:pPr>
                          </w:p>
                        </w:txbxContent>
                      </wps:txbx>
                      <wps:bodyPr lIns="0" tIns="0" rIns="0" bIns="0" upright="1"/>
                    </wps:wsp>
                  </a:graphicData>
                </a:graphic>
              </wp:anchor>
            </w:drawing>
          </mc:Choice>
          <mc:Fallback>
            <w:pict>
              <v:shape id="_x0000_s1026" o:spid="_x0000_s1026" o:spt="202" type="#_x0000_t202" style="position:absolute;left:0pt;margin-left:44.1pt;margin-top:129.45pt;height:14.1pt;width:157.65pt;z-index:251683840;mso-width-relative:page;mso-height-relative:page;" filled="f" stroked="f" coordsize="21600,21600" o:gfxdata="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MUx1ytkAAAAKAQAADwAAAAAAAAABACAAAAAiAAAAZHJzL2Rvd25yZXYueG1s&#10;UEsBAhQAFAAAAAgAh07iQGdxVj2+AQAAdgMAAA4AAAAAAAAAAQAgAAAAKAEAAGRycy9lMm9Eb2Mu&#10;eG1sUEsFBgAAAAAGAAYAWQEAAFgFAAAAAA==&#10;">
                <v:fill on="f" focussize="0,0"/>
                <v:stroke on="f"/>
                <v:imagedata o:title=""/>
                <o:lock v:ext="edit" aspectratio="f"/>
                <v:textbox inset="0mm,0mm,0mm,0mm">
                  <w:txbxContent>
                    <w:p w14:paraId="76EF3A09">
                      <w:pPr>
                        <w:tabs>
                          <w:tab w:val="left" w:pos="3132"/>
                        </w:tabs>
                        <w:spacing w:before="19"/>
                        <w:ind w:left="20"/>
                      </w:pPr>
                    </w:p>
                  </w:txbxContent>
                </v:textbox>
              </v:shape>
            </w:pict>
          </mc:Fallback>
        </mc:AlternateContent>
      </w:r>
      <w:r>
        <w:rPr>
          <w:rFonts w:hint="eastAsia" w:ascii="宋体" w:hAnsi="宋体" w:eastAsia="宋体" w:cs="宋体"/>
          <w:spacing w:val="0"/>
          <w:w w:val="100"/>
          <w:position w:val="0"/>
          <w:sz w:val="24"/>
          <w:szCs w:val="19"/>
          <w:lang w:eastAsia="zh-CN"/>
        </w:rPr>
        <w:t>习近平之所以如此重视发展新质生产力，一方面，发展新质生产力能够统筹好安全和发展的关系，提升我国产业在全球价值链中的位置，培育发展新动能，建立安全可控的现代化产业体系，摆脱在关键核心技术上受制于人的问题，赢得在国际竞争中的战略主动；另一方面，发展新质生产力也是马克思主义政党的庄严使命。中国共产党是先进生产力发展要求的代表者，这就决定了中国共产党必然会大力发展新质生产力，强调以科技创新促进各类产业和整个国民经济的发展。譬如，早在</w:t>
      </w:r>
      <w:r>
        <w:rPr>
          <w:rFonts w:hint="eastAsia" w:ascii="宋体" w:hAnsi="宋体" w:eastAsia="宋体" w:cs="宋体"/>
          <w:spacing w:val="0"/>
          <w:w w:val="100"/>
          <w:position w:val="0"/>
          <w:sz w:val="24"/>
          <w:szCs w:val="20"/>
          <w:lang w:eastAsia="zh-CN"/>
        </w:rPr>
        <w:t>1958</w:t>
      </w:r>
      <w:r>
        <w:rPr>
          <w:rFonts w:hint="eastAsia" w:ascii="宋体" w:hAnsi="宋体" w:eastAsia="宋体" w:cs="宋体"/>
          <w:spacing w:val="0"/>
          <w:w w:val="100"/>
          <w:position w:val="0"/>
          <w:sz w:val="24"/>
          <w:szCs w:val="19"/>
          <w:lang w:eastAsia="zh-CN"/>
        </w:rPr>
        <w:t>年，我国第一台电子管计算机试制成功，随后半导体三极管、二极管以及两弹一星一艇（核潜艇）等相继研制成功，尤其是近年来我国在高铁技术、5G、6G、航天航空航海等技术领域实现了重大突破，走在世界前列，这表明新中国成立以来，中国共产党人一直非常重视科技创新在推动生产力发展中的作用。在新时代新征程，面对美西方国家加大技术霸权和封锁，以习近平同志为核心的党中央更加强调科技创新在促进生产力发展中的作用。</w:t>
      </w:r>
    </w:p>
    <w:p w14:paraId="57E187B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lang w:eastAsia="zh-CN"/>
        </w:rPr>
      </w:pPr>
      <w:r>
        <w:rPr>
          <w:rFonts w:hint="eastAsia" w:ascii="宋体" w:hAnsi="宋体" w:eastAsia="宋体" w:cs="宋体"/>
          <w:spacing w:val="0"/>
          <w:w w:val="100"/>
          <w:position w:val="0"/>
          <w:sz w:val="24"/>
          <w:szCs w:val="19"/>
          <w:lang w:eastAsia="zh-CN"/>
        </w:rPr>
        <w:t>同时，发展新质生产力是实现人民物质和精神共同富裕的必然举措。党的二十大报告在论述中国式现代化的主要特色时强调中国式现代化是全体人民共同富裕的现代化，而全体人民共同富裕不仅包括物质富裕，也包括精神富裕，这种物质和精神的富裕要想更好地实现，也离不开新科技、新业态为代表的新质生产力的大力发展，生产出满足人民物质和精神需要的高质量产品。因此，新时代新征程以新质生产力发展推动中国式现代化走深走好意义重大，学术界有必要进行相关研究，为更好地发展新质生产力、加速推进中国式现代化提供理论支撑和政策建议。</w:t>
      </w:r>
    </w:p>
    <w:p w14:paraId="7D1F5B3D">
      <w:pPr>
        <w:pStyle w:val="4"/>
        <w:bidi w:val="0"/>
        <w:rPr>
          <w:rFonts w:hint="eastAsia" w:ascii="宋体" w:hAnsi="宋体" w:eastAsia="宋体" w:cs="宋体"/>
          <w:spacing w:val="0"/>
          <w:w w:val="100"/>
          <w:position w:val="0"/>
          <w:sz w:val="24"/>
          <w:lang w:eastAsia="zh-CN"/>
        </w:rPr>
      </w:pPr>
      <w:r>
        <w:rPr>
          <w:rFonts w:hint="eastAsia"/>
          <w:lang w:eastAsia="zh-CN"/>
        </w:rPr>
        <w:t>二、习近平关于新质生产力重要论述的思想溯源</w:t>
      </w:r>
    </w:p>
    <w:p w14:paraId="10BCCF4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习近平关于新质生产力的重要论述具有丰富的思想渊源，是对马克思主义科技生产力理论的继承与发展，其思想渊源主要表现在如下方面。</w:t>
      </w:r>
    </w:p>
    <w:p w14:paraId="0C4D35CC">
      <w:pPr>
        <w:bidi w:val="0"/>
        <w:ind w:firstLine="420" w:firstLineChars="0"/>
        <w:rPr>
          <w:rFonts w:hint="eastAsia"/>
          <w:lang w:eastAsia="zh-CN"/>
        </w:rPr>
      </w:pPr>
      <w:r>
        <w:rPr>
          <w:rFonts w:hint="eastAsia"/>
          <w:lang w:eastAsia="zh-CN"/>
        </w:rPr>
        <w:t>1.对马克思恩格斯科技生产力理论的继承与发展</w:t>
      </w:r>
    </w:p>
    <w:p w14:paraId="10959B1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马克思恩格斯的论著中多次强调科技生产力发展对生产、生活和增进人类福祉方面的巨大作用，形成了内涵丰富的马克思恩格斯科技生产力理论。一是马克思恩格斯强调科学技术属于生产力的重要组成部分。马克思指出：“生产力中也包括科学技术”。</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2</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基于对马克思主义经典作家这一论述继承与发展，习近平提出要加快形成新质生产力，通过发挥科技创新在生产力中的主导作用，实现经济发展的高效能、高质量。二是马克思恩格斯强调科技工业的发展带来了生产和生活方式的变革。恩格斯在对英国工人阶级的状况进行考察时，对于机器大工业等先进科技对生产方式和生活方式带来的变革是持肯定态度的。他指出：“印花业由于机械方面的一系列极其辉煌的发明，又有了新的高涨；由于这种高涨以及棉纺织业的发展引起的这类营业部门的扩大，这些行业空前地繁荣起来了。”</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3</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395</w:t>
      </w:r>
      <w:r>
        <w:rPr>
          <w:rFonts w:hint="eastAsia" w:ascii="宋体" w:hAnsi="宋体" w:eastAsia="宋体" w:cs="宋体"/>
          <w:spacing w:val="0"/>
          <w:w w:val="100"/>
          <w:position w:val="0"/>
          <w:sz w:val="24"/>
          <w:szCs w:val="19"/>
          <w:lang w:eastAsia="zh-CN"/>
        </w:rPr>
        <w:t>可见，在新科技、新技术融入传统产业之中，不仅能够促进传统产业优化升级，实现规模化发展，也能带来商业等其他部门的发展，因而在新时代新征程，我们要大力发展新质生产力，以新质生产力的发展促进美好生活的实现和各行业的复兴与繁荣。三是马克思恩格斯强调科技革命的意义。马克思恩格斯指出：“工业革命对英国的意义，就像政治革命对法国，哲学革命对德国一样。”</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3</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402</w:t>
      </w:r>
      <w:r>
        <w:rPr>
          <w:rFonts w:hint="eastAsia" w:ascii="宋体" w:hAnsi="宋体" w:eastAsia="宋体" w:cs="宋体"/>
          <w:spacing w:val="0"/>
          <w:w w:val="100"/>
          <w:position w:val="0"/>
          <w:sz w:val="24"/>
          <w:szCs w:val="19"/>
          <w:lang w:eastAsia="zh-CN"/>
        </w:rPr>
        <w:t>恩格斯写道：“在马克思看来，科学是一种在历史上起推动作用的、革命的力量。”</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4</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马克思主义经典作家对于新科技的重大意义是持肯定态度的，而习近平所强调的新质生产力，就是代表新科技革命发展趋势的高质量生产力，因此，其对于中国全面建设社会主义现代化强国意义重大。四是马克思恩格斯强调科学技术的应用不仅可以提高生产效率，还能造福人类。如恩格斯在《德法年鉴》上指出：“科学又日益使自然力受人类支配，这种无法估量的生产能力，一旦被自觉地运用并为大众造福，人类肩负的劳动就会很快地减少到最低限度。”</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3</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77</w:t>
      </w:r>
      <w:r>
        <w:rPr>
          <w:rFonts w:hint="eastAsia" w:ascii="宋体" w:hAnsi="宋体" w:eastAsia="宋体" w:cs="宋体"/>
          <w:spacing w:val="0"/>
          <w:w w:val="100"/>
          <w:position w:val="0"/>
          <w:sz w:val="24"/>
          <w:szCs w:val="19"/>
          <w:lang w:eastAsia="zh-CN"/>
        </w:rPr>
        <w:t>在马克思主义看来，科学技术本身不具有阶级性，关键看科学技术是由哪个阶级来主导，而习近平强调包括科技在内的一切工作都要“以人民为中心”“必须以满足人民日益增长的美好生活需要为出发点和落脚点，把发展成果不断转化为生活品质，不断增强人民群众的获得感、幸福感、安全感。”</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5</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这就丰富和发展了马克思主义关于科技造福人类的思想。</w:t>
      </w:r>
    </w:p>
    <w:p w14:paraId="2B385D6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由此也可以看出，如果是坚持以劳动人民为中心的无产阶级来主导，必然会用科学技术为本国人民和整个人类造福，而如果是以私人资本为中心的资产阶级主导，则必然会运用科技实施对内对外的剥削和财富掠夺，实施科技和经济的国际霸权行径。这就是为何今天美国等西方国家新科技发展并没有使广大劳动人民的实际收入和财富获得应有的增长，反而凭借科技领域的先发优势推行科技霸权，阻碍广大发展中国家和地区发展经济和提升民生福祉；而我国在中国共产党领导下不仅坚持科技发展造福本国人民，还坚持与世界各国共享科技成果和科技现代化带来的红利，在与其他国家科技合作中坚持互利共赢原则，共同推进科技发展。</w:t>
      </w:r>
    </w:p>
    <w:p w14:paraId="139CA09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要言之，马克思主义经典作家科技生产力思想蕴含着要发挥新科技、新技术等先进生产力对生产效率提升、增进人类福祉等的作用，习近平关于新质生产力的重要论述是对马克思主义经典作家生产力理论的继承与发展。</w:t>
      </w:r>
    </w:p>
    <w:p w14:paraId="4004FF4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2.对中国化马克思主义科技生产力理论的继承与发展</w:t>
      </w:r>
    </w:p>
    <w:p w14:paraId="456249F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新中国成立以来，以毛泽东、邓小平、江泽民、胡锦涛为主要代表的中国共产党人在继承马克思主义经典作家科技生产力理论的基础上，不断推进理论与实践创新，形成了内涵丰富的中国化马克思主义科技生产力理论。</w:t>
      </w:r>
    </w:p>
    <w:p w14:paraId="5AF464E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新中国成立初期，为了摆脱</w:t>
      </w:r>
      <w:r>
        <w:rPr>
          <w:rFonts w:hint="eastAsia" w:ascii="宋体" w:hAnsi="宋体" w:eastAsia="宋体" w:cs="宋体"/>
          <w:spacing w:val="0"/>
          <w:w w:val="100"/>
          <w:position w:val="0"/>
          <w:sz w:val="24"/>
          <w:szCs w:val="20"/>
          <w:lang w:eastAsia="zh-CN"/>
        </w:rPr>
        <w:t>1840</w:t>
      </w:r>
      <w:r>
        <w:rPr>
          <w:rFonts w:hint="eastAsia" w:ascii="宋体" w:hAnsi="宋体" w:eastAsia="宋体" w:cs="宋体"/>
          <w:spacing w:val="0"/>
          <w:w w:val="100"/>
          <w:position w:val="0"/>
          <w:sz w:val="24"/>
          <w:szCs w:val="19"/>
          <w:lang w:eastAsia="zh-CN"/>
        </w:rPr>
        <w:t>年鸦片战争以来“三座大山”压迫造成的贫穷落后困局，毛泽东同志高度重视科技生产力发展，多次强调要重视科技创新，采用先进技术，并把科学技术提高到战略高度予以重视。他指出：“科学技术这一仗，一定要打，而且必须打好。”</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6</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351</w:t>
      </w:r>
      <w:r>
        <w:rPr>
          <w:rFonts w:hint="eastAsia" w:ascii="宋体" w:hAnsi="宋体" w:eastAsia="宋体" w:cs="宋体"/>
          <w:spacing w:val="0"/>
          <w:w w:val="100"/>
          <w:position w:val="0"/>
          <w:sz w:val="24"/>
          <w:szCs w:val="19"/>
          <w:lang w:eastAsia="zh-CN"/>
        </w:rPr>
        <w:t>“资本主义各国，苏联，都是靠采用最先进的技术，来赶上最先进的国家，我国也要这样。”</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6</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126</w:t>
      </w:r>
      <w:r>
        <w:rPr>
          <w:rFonts w:hint="eastAsia" w:ascii="宋体" w:hAnsi="宋体" w:eastAsia="宋体" w:cs="宋体"/>
          <w:spacing w:val="0"/>
          <w:w w:val="100"/>
          <w:position w:val="0"/>
          <w:sz w:val="24"/>
          <w:szCs w:val="19"/>
          <w:lang w:eastAsia="zh-CN"/>
        </w:rPr>
        <w:t>同时，为了更好地推进科学技术现代化、促进经济社会发展、巩固新生的人民政权，以毛泽东同志为主要代表的中国共产党人还提出了“向科学进军”的口号，动员社会各界大力发展科学技术。正是由于对科学技术的高度重视，这一时期我国尽管遭到帝国主义国家的全面经济技术封锁，但科学技术在很多方面还是有重大突破（当然与五十年代苏联的大力经济建设援助密切相关），有力促进了生产力的发展，为实行改革开放奠定了坚实基础、提供了自立自强的保障。</w:t>
      </w:r>
    </w:p>
    <w:p w14:paraId="2CB00E3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1"/>
        </w:rPr>
      </w:pPr>
      <w:r>
        <w:rPr>
          <w:rFonts w:hint="eastAsia" w:ascii="宋体" w:hAnsi="宋体" w:eastAsia="宋体" w:cs="宋体"/>
          <w:spacing w:val="0"/>
          <w:w w:val="100"/>
          <w:position w:val="0"/>
          <w:sz w:val="24"/>
          <w:szCs w:val="19"/>
          <w:lang w:eastAsia="zh-CN"/>
        </w:rPr>
        <w:t>改革开放后，以邓小平同志为主要代表的中国共产党人也非常重视科技生产力的发展，不断推动理论与实践创新，丰富和发展了中国化马克思主义科技生产力理论。邓小平同志不仅强调科学技术是第一生产力，还对科学技术如何发展进行了论述，指出：“现代科学为生产技术的进步开辟道路，决定它的发展方向。许多新的生产工具新的工艺，首先在科学实验室里被创造出来。”</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7</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87</w:t>
      </w:r>
      <w:r>
        <w:rPr>
          <w:rFonts w:hint="eastAsia" w:ascii="宋体" w:hAnsi="宋体" w:eastAsia="宋体" w:cs="宋体"/>
          <w:spacing w:val="0"/>
          <w:w w:val="100"/>
          <w:position w:val="0"/>
          <w:sz w:val="24"/>
          <w:szCs w:val="19"/>
          <w:lang w:eastAsia="zh-CN"/>
        </w:rPr>
        <w:t>他强调要进行科技体制改革，提出科技事业的发展，“要搞统一规划。规划中，不单是确定研究项目，对研究机构的调整，哪些该合，哪些该分，也都要考虑”</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7</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52</w:t>
      </w:r>
      <w:r>
        <w:rPr>
          <w:rFonts w:hint="eastAsia" w:ascii="宋体" w:hAnsi="宋体" w:eastAsia="宋体" w:cs="宋体"/>
          <w:spacing w:val="0"/>
          <w:w w:val="100"/>
          <w:position w:val="0"/>
          <w:sz w:val="24"/>
          <w:szCs w:val="19"/>
          <w:lang w:eastAsia="zh-CN"/>
        </w:rPr>
        <w:t>。他还强调通过实施教育优先发展战略为科技的发展提供人才支撑，指出：“一个十亿人口的大国，教育搞上去了，人才资源的巨大优势是任何国家比不了的。”</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8</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他强调要加强科技交流合作，积极学习和借鉴国外先进科学技术：“科学技术是人类共同创造的财富。任何一个民族，一个国家，都需要学习别的民族、别的国家的长处，学习人家的先进科学技术。</w:t>
      </w:r>
      <w:r>
        <w:rPr>
          <w:rFonts w:hint="eastAsia" w:ascii="宋体" w:hAnsi="宋体" w:eastAsia="宋体" w:cs="宋体"/>
          <w:spacing w:val="0"/>
          <w:w w:val="100"/>
          <w:position w:val="0"/>
          <w:sz w:val="24"/>
          <w:szCs w:val="19"/>
        </w:rPr>
        <w:t>”</w:t>
      </w:r>
      <w:r>
        <w:rPr>
          <w:rFonts w:hint="eastAsia" w:ascii="宋体" w:hAnsi="宋体" w:eastAsia="宋体" w:cs="宋体"/>
          <w:spacing w:val="0"/>
          <w:w w:val="100"/>
          <w:position w:val="0"/>
          <w:sz w:val="24"/>
          <w:szCs w:val="24"/>
        </w:rPr>
        <w:t>[</w:t>
      </w:r>
      <w:r>
        <w:rPr>
          <w:rFonts w:hint="eastAsia" w:ascii="宋体" w:hAnsi="宋体" w:eastAsia="宋体" w:cs="宋体"/>
          <w:spacing w:val="0"/>
          <w:w w:val="100"/>
          <w:position w:val="0"/>
          <w:sz w:val="24"/>
          <w:szCs w:val="11"/>
        </w:rPr>
        <w:t>7</w:t>
      </w:r>
      <w:r>
        <w:rPr>
          <w:rFonts w:hint="eastAsia" w:ascii="宋体" w:hAnsi="宋体" w:eastAsia="宋体" w:cs="宋体"/>
          <w:spacing w:val="0"/>
          <w:w w:val="100"/>
          <w:position w:val="0"/>
          <w:sz w:val="24"/>
          <w:szCs w:val="24"/>
        </w:rPr>
        <w:t>]</w:t>
      </w:r>
      <w:r>
        <w:rPr>
          <w:rFonts w:hint="eastAsia" w:ascii="宋体" w:hAnsi="宋体" w:eastAsia="宋体" w:cs="宋体"/>
          <w:spacing w:val="0"/>
          <w:w w:val="100"/>
          <w:position w:val="0"/>
          <w:sz w:val="24"/>
          <w:szCs w:val="11"/>
        </w:rPr>
        <w:t>91</w:t>
      </w:r>
    </w:p>
    <w:p w14:paraId="627AC03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以江泽民同志为主要代表的中国共产党人在实践中不断推进马克思主义科技生产力理论。江泽民同志将科学技术对生产力的作用提高到新的高度予以重视，提出“大力推动科技进步和创新，不断用先进科技改造和提高国民经济，努力实现我国生产力发展的跨越。这是我们党代表中国先进生产力发展要求必须履行的重要职责”。</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9</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275</w:t>
      </w:r>
      <w:r>
        <w:rPr>
          <w:rFonts w:hint="eastAsia" w:ascii="宋体" w:hAnsi="宋体" w:eastAsia="宋体" w:cs="宋体"/>
          <w:spacing w:val="0"/>
          <w:w w:val="100"/>
          <w:position w:val="0"/>
          <w:sz w:val="24"/>
          <w:szCs w:val="19"/>
          <w:lang w:eastAsia="zh-CN"/>
        </w:rPr>
        <w:t>在坚持科学技术是第一生产力的基础上，他进一步指出：“科学技术是先进生产力的集中体现和主要标志”。</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9</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261</w:t>
      </w:r>
      <w:r>
        <w:rPr>
          <w:rFonts w:hint="eastAsia" w:ascii="宋体" w:hAnsi="宋体" w:eastAsia="宋体" w:cs="宋体"/>
          <w:spacing w:val="0"/>
          <w:w w:val="100"/>
          <w:position w:val="0"/>
          <w:sz w:val="24"/>
          <w:szCs w:val="19"/>
          <w:lang w:eastAsia="zh-CN"/>
        </w:rPr>
        <w:t>这一时期，江泽民同志代表党中央在党的十五大上将科教兴国战略提升到新高度，作为国家重大发展战略，并且成立由国务院总理担任负责人的国家科技教育领导小组，还注重通过法律法规的建立和完善，促进科技生产力的发展。如制定了《中华人民共和国科学技术进步法》等法律法规。</w:t>
      </w:r>
    </w:p>
    <w:p w14:paraId="58E08FA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进入新世纪新阶段，以胡锦涛同志为主要代表的中国共产党人，继承和发展了马克思主义科技生产力理论，为推动科技生产力发展提供了重要思想指导。胡锦涛同志在继承邓小平同志提出的科学技术是第一生产力的基础上，将科学技术在经济社会发展中的地位提高到新高度，他指出：“科学技术是第一生产力，是推动人类文明进步的革命力量。”</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10</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这一时期以胡锦涛同志为总书记的党中央高度重视科技自主创新、科技体制改革、发展创新文化、创新型科技人才培养、生态环境保护技术的发展等的重要性。他指出：“提高自主创新能力，建设创新型国家。这是国家发展战略的核心，是提高综合国力的关键。”</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11</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629</w:t>
      </w:r>
      <w:r>
        <w:rPr>
          <w:rFonts w:hint="eastAsia" w:ascii="宋体" w:hAnsi="宋体" w:eastAsia="宋体" w:cs="宋体"/>
          <w:spacing w:val="0"/>
          <w:w w:val="100"/>
          <w:position w:val="0"/>
          <w:sz w:val="24"/>
          <w:szCs w:val="19"/>
          <w:lang w:eastAsia="zh-CN"/>
        </w:rPr>
        <w:t>“要坚持有所为有所不为的方针，选择事关我国经济社会发展、国家安全、人民生命健康和生态环境全局的若干领域，重点突破，努力在关键领域和若干技术发展前沿掌握核心技术，拥有一批自主知识产权。”</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11</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194</w:t>
      </w:r>
      <w:r>
        <w:rPr>
          <w:rFonts w:hint="eastAsia" w:ascii="宋体" w:hAnsi="宋体" w:eastAsia="宋体" w:cs="宋体"/>
          <w:spacing w:val="0"/>
          <w:w w:val="100"/>
          <w:position w:val="0"/>
          <w:sz w:val="24"/>
          <w:szCs w:val="19"/>
          <w:lang w:eastAsia="zh-CN"/>
        </w:rPr>
        <w:t>在党的十七大报告中，胡锦涛同志把建立创新型国家作为经济建设若干重大举措之首。</w:t>
      </w:r>
    </w:p>
    <w:p w14:paraId="1C28437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要言之，马克思主义经典作家和历届中国共产党人关于推动科技生产力发展的理论，丰富和发展了马克思主义及其中国化的科技生产力理论，为习近平关于新质生产力的论述提供了重要思想渊源。</w:t>
      </w:r>
    </w:p>
    <w:p w14:paraId="2289070E">
      <w:pPr>
        <w:pStyle w:val="4"/>
        <w:bidi w:val="0"/>
        <w:rPr>
          <w:rFonts w:hint="eastAsia" w:ascii="宋体" w:hAnsi="宋体" w:eastAsia="宋体" w:cs="宋体"/>
          <w:spacing w:val="0"/>
          <w:w w:val="100"/>
          <w:position w:val="0"/>
          <w:sz w:val="24"/>
          <w:lang w:eastAsia="zh-CN"/>
        </w:rPr>
      </w:pPr>
      <w:r>
        <w:rPr>
          <w:rFonts w:hint="eastAsia"/>
          <w:lang w:eastAsia="zh-CN"/>
        </w:rPr>
        <w:t>三、习近平关于新质生产力重要论述的内涵特征</w:t>
      </w:r>
    </w:p>
    <w:p w14:paraId="4F1051C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习近平关于新质生产力的论述，是习近平新时代中国特色社会主义思想的重要组成部分，其是在继承马克思主义科技生产力理论的基础上，结合新时代新特点，主动契合推动高质量发展主题，而进行的理论创新。之所以说其是适应新时代新征程高质量发展主题的关键，主要在于新质生产力是生产力的一种跃迁式发展，它是一种强调科技创新在其中发挥主导性作用的生产力，其发展具有显著的高效率、高质量的特点，这就与新时代新征程高质量发展主题相契合，是对传统粗放型发展路径的一种超越，强调发挥创新在推动经济社会发展中的作用，注重新产业新业态的培育和发展，形成新产业新业态为主导的现代化产业体系，积极推动各类产业优化升级，采用人工智能、大数据等新技术，推动高质量发展。其内涵特征主要表现如下。</w:t>
      </w:r>
    </w:p>
    <w:p w14:paraId="19EC056F">
      <w:pPr>
        <w:bidi w:val="0"/>
        <w:rPr>
          <w:rFonts w:hint="eastAsia"/>
          <w:lang w:eastAsia="zh-CN"/>
        </w:rPr>
      </w:pPr>
      <w:r>
        <w:rPr>
          <w:rFonts w:hint="eastAsia"/>
          <w:lang w:eastAsia="zh-CN"/>
        </w:rPr>
        <w:t>1.凸显中国式现代化关于实现高质量发展的本质要求</w:t>
      </w:r>
    </w:p>
    <w:p w14:paraId="6AC664C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党的二十大报告将高质量发展作为全面建设社会主义现代化国家的首要任务，这就赋予了新时代新征程党和国家推动高质量发展的重要使命，而发展新质生产力的提出，便是对推动高质量发展主题的积极回应。具体来讲：第一，新质生产力是强调发挥新科技重要作用的生产力，这种生产力必然需要高素质的科技人才、高水平的研发机构和生产机构、高质量的生产资料等，这就必然倒逼各高校、科研院所、生产性企业等供给高水平科技人才、研发高科技产品、生产高质量产品等，这些就必然使得生产和再生产各环节实施好高质量发展。第二，新质生产力强调发挥新产业新业态的主导作用，是经济高质量发展的主攻方向。新产业新业态主要包括世界一流芯片、人工智能、世界一流机器人技术、</w:t>
      </w:r>
      <w:r>
        <w:rPr>
          <w:rFonts w:hint="eastAsia" w:ascii="宋体" w:hAnsi="宋体" w:eastAsia="宋体" w:cs="宋体"/>
          <w:spacing w:val="0"/>
          <w:w w:val="100"/>
          <w:position w:val="0"/>
          <w:sz w:val="24"/>
          <w:szCs w:val="20"/>
          <w:lang w:eastAsia="zh-CN"/>
        </w:rPr>
        <w:t>5G</w:t>
      </w:r>
      <w:r>
        <w:rPr>
          <w:rFonts w:hint="eastAsia" w:ascii="宋体" w:hAnsi="宋体" w:eastAsia="宋体" w:cs="宋体"/>
          <w:spacing w:val="0"/>
          <w:w w:val="100"/>
          <w:position w:val="0"/>
          <w:sz w:val="24"/>
          <w:szCs w:val="19"/>
          <w:lang w:eastAsia="zh-CN"/>
        </w:rPr>
        <w:t>和</w:t>
      </w:r>
      <w:r>
        <w:rPr>
          <w:rFonts w:hint="eastAsia" w:ascii="宋体" w:hAnsi="宋体" w:eastAsia="宋体" w:cs="宋体"/>
          <w:spacing w:val="0"/>
          <w:w w:val="100"/>
          <w:position w:val="0"/>
          <w:sz w:val="24"/>
          <w:szCs w:val="20"/>
          <w:lang w:eastAsia="zh-CN"/>
        </w:rPr>
        <w:t>6G</w:t>
      </w:r>
      <w:r>
        <w:rPr>
          <w:rFonts w:hint="eastAsia" w:ascii="宋体" w:hAnsi="宋体" w:eastAsia="宋体" w:cs="宋体"/>
          <w:spacing w:val="0"/>
          <w:w w:val="100"/>
          <w:position w:val="0"/>
          <w:sz w:val="24"/>
          <w:szCs w:val="19"/>
          <w:lang w:eastAsia="zh-CN"/>
        </w:rPr>
        <w:t>移动通信技术和设备等具有较高科技含量的产业，这类产业如能在产业体系中发挥主导作用，必将更好地推动高质量发展。因此，其发展具有鲜明的高质量发展的导向性。第三，新质生产力强调对传统产业的升级改造。要想更好地推动新质生产力发展，不仅要发展好新产业，还应采用新科技、新技术加快对传统产业的改造升级，才能形成新质生产力发展的合力，促进传统产业的智能化和高质量发展。</w:t>
      </w:r>
    </w:p>
    <w:p w14:paraId="618507C5">
      <w:pPr>
        <w:bidi w:val="0"/>
        <w:ind w:firstLine="420" w:firstLineChars="0"/>
        <w:rPr>
          <w:rFonts w:hint="eastAsia" w:ascii="宋体" w:hAnsi="宋体" w:eastAsia="宋体" w:cs="宋体"/>
          <w:spacing w:val="0"/>
          <w:w w:val="100"/>
          <w:position w:val="0"/>
          <w:sz w:val="24"/>
          <w:szCs w:val="20"/>
          <w:lang w:eastAsia="zh-CN"/>
        </w:rPr>
      </w:pPr>
      <w:r>
        <w:rPr>
          <w:rFonts w:hint="eastAsia" w:ascii="宋体" w:hAnsi="宋体" w:eastAsia="宋体" w:cs="宋体"/>
          <w:spacing w:val="0"/>
          <w:w w:val="100"/>
          <w:position w:val="0"/>
          <w:sz w:val="24"/>
          <w:szCs w:val="20"/>
          <w:lang w:eastAsia="zh-CN"/>
        </w:rPr>
        <w:t>2.凸显中国式现代化关于实现全体人民共同富裕的本质要求</w:t>
      </w:r>
    </w:p>
    <w:p w14:paraId="060A50C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党的二十大报告明确强调中国式现代化是全体人民共同富裕的现代化，而新质生产力的发展能够凸显中国式现代化这一本质要求，促进发展成果由人民共享。其一，新质生产力的发展能够为共同富裕而有效提升整个产业体系的生产效率。以大数据、人工智能、高端芯片等为主要代表新产业的快速发展，既能形成新产业高端发展产业链，不断提升新产业在整个产业体系中的主导作用和生产效率，而且大数据、区块链等新技术在发展中对于传统产业的改造升级作用明显，尤其是随着新一代数字化技术推动的第四次科技革命的来临，数字化有力促进了其他新科技的发展，如促进了大数据、云计算和物联网等的发展，</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12</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从而形成了新科技促进传统产业改造升级的合力，如此也必然会从整体上提升生产效率，为夯实促进共同富裕的物质基础助力。其二，新质生产力的发展能够为共享共富创造新平台、提供新保障。新技术、新产业的发展，不仅创造更多就业创业机会，也为不同区域公平地共享各种信息资源、商业资源等提供了平台保障，平台经济也可以借助大力发展新质生产力的契机，实现巨大发展。其三，新质生产力的发展也能为城乡之间、区域之间资源合理布局和优化、破解发展不平衡不充分问题提供新契机。对于农村地区、中西部地区也可以借助新质生产力的发展，补齐利用各种优质资源不足的短板。</w:t>
      </w:r>
    </w:p>
    <w:p w14:paraId="0EED748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简言之，新质生产力的发展具有凸显中国式现代化关于实现全体人民共同富裕的本质要求的内涵特征，是实现美好生活和智慧社会的物质技术基础。</w:t>
      </w:r>
    </w:p>
    <w:p w14:paraId="2754BA71">
      <w:pPr>
        <w:pStyle w:val="4"/>
        <w:bidi w:val="0"/>
        <w:rPr>
          <w:rFonts w:hint="eastAsia"/>
          <w:lang w:eastAsia="zh-CN"/>
        </w:rPr>
      </w:pPr>
      <w:r>
        <w:rPr>
          <w:rFonts w:hint="eastAsia"/>
          <w:lang w:eastAsia="zh-CN"/>
        </w:rPr>
        <w:t>四、积极发展新质生产力，加速推动中国式现代化建设</w:t>
      </w:r>
    </w:p>
    <w:p w14:paraId="725565C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新时代新征程，必须通过大力发展新质生产力，才能加速推动中国式现代化建设。</w:t>
      </w:r>
    </w:p>
    <w:p w14:paraId="1D76A4C8">
      <w:pPr>
        <w:bidi w:val="0"/>
        <w:ind w:firstLine="420" w:firstLineChars="0"/>
        <w:rPr>
          <w:rFonts w:hint="eastAsia" w:ascii="宋体" w:hAnsi="宋体" w:eastAsia="宋体" w:cs="宋体"/>
          <w:spacing w:val="0"/>
          <w:w w:val="100"/>
          <w:kern w:val="0"/>
          <w:position w:val="0"/>
          <w:sz w:val="24"/>
          <w:szCs w:val="19"/>
          <w:lang w:val="zh-CN" w:eastAsia="zh-CN" w:bidi="zh-CN"/>
        </w:rPr>
      </w:pPr>
      <w:r>
        <w:rPr>
          <w:rFonts w:hint="eastAsia" w:ascii="宋体" w:hAnsi="宋体" w:eastAsia="宋体" w:cs="宋体"/>
          <w:spacing w:val="0"/>
          <w:w w:val="100"/>
          <w:kern w:val="0"/>
          <w:position w:val="0"/>
          <w:sz w:val="24"/>
          <w:szCs w:val="19"/>
          <w:lang w:val="zh-CN" w:eastAsia="zh-CN" w:bidi="zh-CN"/>
        </w:rPr>
        <w:t>1.加大顶层布局力度，为发展新质生产力提供宏观指导</w:t>
      </w:r>
    </w:p>
    <w:p w14:paraId="1FCECF2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纵观新中国成立以来</w:t>
      </w:r>
      <w:r>
        <w:rPr>
          <w:rFonts w:hint="eastAsia" w:ascii="宋体" w:hAnsi="宋体" w:eastAsia="宋体" w:cs="宋体"/>
          <w:spacing w:val="0"/>
          <w:w w:val="100"/>
          <w:position w:val="0"/>
          <w:sz w:val="24"/>
          <w:szCs w:val="20"/>
          <w:lang w:eastAsia="zh-CN"/>
        </w:rPr>
        <w:t>70</w:t>
      </w:r>
      <w:r>
        <w:rPr>
          <w:rFonts w:hint="eastAsia" w:ascii="宋体" w:hAnsi="宋体" w:eastAsia="宋体" w:cs="宋体"/>
          <w:spacing w:val="0"/>
          <w:w w:val="100"/>
          <w:position w:val="0"/>
          <w:sz w:val="24"/>
          <w:szCs w:val="19"/>
          <w:lang w:eastAsia="zh-CN"/>
        </w:rPr>
        <w:t>余年的经济发展史可知，经济领域取得的巨大成就与良好的顶层设计是分不开的，因此，新质生产力要想更好地推进，必须加快相关顶层设计，提供宏观指导。</w:t>
      </w:r>
    </w:p>
    <w:p w14:paraId="7056D8D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一是从中央层面成立由国家领导同志担任负责人的新质生产力推进机构，专门负责进行新质生产力发展的顶层设计及对各地方政府发展新质生产力的情况进行督察落实。具体来讲，一方面，在相关机构的建立上，应建立由国务院相关职能部门负责人参与的新质生产力相关推进领导小组，国务院相关分管领导，担任组长，专门负责统筹推进相关顶层设计规划、政策制定、督察考核等工作，明确各相关部门的相关职责，如政策制定、督察考核由哪些部门负责，应进行明确，并制定详细的督察考核体系，同时，对于各地方新质生产力发展的考核督察等应和第三方评估相结合，形成官方督察和第三方评估协调联动的考核评估体系，从而确保考核评估的科学性、精准性。另一方面，领导小组还应建立常态化的调研机制，为进行相关顶层设计提供依据，确保进行的顶层设计能够接地气，提升政策制定和宏观布局的精准性。</w:t>
      </w:r>
    </w:p>
    <w:p w14:paraId="2023C64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二是加快出台相关鼓励性支持和引导政策，助力形成鼓励发展新质生产力的氛围。如对于发展新质生产力的企业等市场主体给予何种奖励性支持政策，应通过政策的设计予以明确；同时制订鼓励性引导政策，如通过税收、贷款、财政资金等倾斜性支持政策，促进新质生产力发展，以及鼓励性支持和引导政策应建立精准的企业分类范围，对于哪种类型的企业进行鼓励和支持应进行明确；另外还要通过有效的政策制度设计，防止鼓励和支持新质生产力发展的政策、资金等被挪作他用。</w:t>
      </w:r>
    </w:p>
    <w:p w14:paraId="073B5D0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三是确定若干个新质生产力发展示范区，发挥对全国新质生产力发展的示范引领作用。如对于科技基础优势比较突出、具有发展新质生产力广阔前景的地方，从中央层面确立为全国新质生产力发展示范区和国家级新质生产力发展创新园区，为示范区提供倾斜性的支持政策，促进新质生产力发展。</w:t>
      </w:r>
    </w:p>
    <w:p w14:paraId="4B959DF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四是从中央层面建立若干个世界一流的大数据、人工智能、云计算、高端芯片等新技术国际科技创新中心，为支撑新产业和传统产业转型升级发展提供可持续的科技基础支撑。具体来讲，一方面，应鼓励各地方主动申请建设国际世界一流的国际科技创新中心的任务，采取“揭榜挂帅”等方式推进此项工作，明确目标责任状，确保能够在关键核心技术方面有所突破；另一方面，从中央层面赋予一些科技基础好、具有重大科技创新潜力的省市、地区建设国际科技创新中心的任务，但是，也同样需要严格考核，明确在一定时间实现相关关键核心技术突破。</w:t>
      </w:r>
    </w:p>
    <w:p w14:paraId="67DC647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五是从中央层面布局好战略性新兴产业和未来产业，防止一哄而上，造成资源浪费，项目重复建设等问题。当前中央层面应做好相关顶层设计规划，发挥好有为政府的作用，对于一些项目的审批等应进行科学合理的评估，对于各地方应做好相关指导，同时发挥市场和政府的双重资源配置和经济调节作用，减少资源浪费和项目重复建设等问题。</w:t>
      </w:r>
    </w:p>
    <w:p w14:paraId="06EB862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通过以上顶层设计，推动形成新产业为主体、传统产业转型升级为方向的现代化产业体系，为加速推动中国式现代化建设提供宏观指导。</w:t>
      </w:r>
    </w:p>
    <w:p w14:paraId="0EF18DD0">
      <w:pPr>
        <w:bidi w:val="0"/>
        <w:ind w:firstLine="420" w:firstLineChars="0"/>
        <w:rPr>
          <w:rFonts w:hint="eastAsia" w:ascii="宋体" w:hAnsi="宋体" w:eastAsia="宋体" w:cs="宋体"/>
          <w:spacing w:val="0"/>
          <w:w w:val="100"/>
          <w:kern w:val="0"/>
          <w:position w:val="0"/>
          <w:sz w:val="24"/>
          <w:szCs w:val="19"/>
          <w:lang w:val="zh-CN" w:eastAsia="zh-CN" w:bidi="zh-CN"/>
        </w:rPr>
      </w:pPr>
      <w:r>
        <w:rPr>
          <w:rFonts w:hint="eastAsia" w:ascii="宋体" w:hAnsi="宋体" w:eastAsia="宋体" w:cs="宋体"/>
          <w:spacing w:val="0"/>
          <w:w w:val="100"/>
          <w:kern w:val="0"/>
          <w:position w:val="0"/>
          <w:sz w:val="24"/>
          <w:szCs w:val="19"/>
          <w:lang w:val="zh-CN" w:eastAsia="zh-CN" w:bidi="zh-CN"/>
        </w:rPr>
        <w:t>2.大力发展新产业，形成新产业为主导的现代化产业体系</w:t>
      </w:r>
    </w:p>
    <w:p w14:paraId="5073D59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新产业是新质生产力的主要支撑，是高质量发展的重要体现，基于此，必须通过切实举措加快促进新产业的发展，形成新产业为主导的现代化产业体系，助力新质生产力大发展、大繁荣。</w:t>
      </w:r>
    </w:p>
    <w:p w14:paraId="5ABDF73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一是充分发挥科技创新对于新产业发展的支撑和引擎作用。要想形成新产业为主导的现代化产业体系，必须进行大数据、云计算、物联网等新科技的技术创新，形成向纵深推进的新产业体系，实现新科技的产业化、全覆盖，尤其是要加大新产业在中西部地区、农村地区的布局力度，如此，不仅可以助力形成新产业在国家整个产业体系中的主导地位，还有利于发挥好其对城乡一体化发展、区域协调发展的作用，从而为促进全体人民共同富裕目标的实现助力，彰显中国式现代化关于实现全体人民共同富裕的本质要求，促进科技向善。</w:t>
      </w:r>
    </w:p>
    <w:p w14:paraId="18D25F0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二是将新产业发展与国家重大战略的实施进行有机结合，从而确保新产业能够在国家重大战略的布局和推进中获得稳步推进。国家为了推进重大战略稳步实施，投入了大量的人力、物力和财力，并出台了系列支持性政策，新质生产力如果能够与这些重大战略进行对接，必将助力新质生产力更快、更稳发展，如新质生产力可以借助国家构建西部大开发新格局、中部崛起战略、区域协调发展战略、乡村振兴战略、长三角一体化发展战略、京津冀协同发展战略、新基建等国家重大战略部署带来的政策、资金、人才等方面的优势，促进新质生产力发展。</w:t>
      </w:r>
    </w:p>
    <w:p w14:paraId="3AAF6A7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三是深入实施人才强国战略，通过高校、科研院所等平台，加快新产业所需人才的培养，建立强大的人才供给体系。新时代新征程，要想以中国式现代化全面推进中华民族伟大复兴，必须通过切实举措，深入实施好人才强国战略，加快培育新质生产力发展所需的人才，为建设好中国式现代化助力。其一，各高校、科研院所应加快建立新质生产力发展相关专业的本硕博人才培养体系，高标准、高水平进行相关人才培养，为新质生产力发展提供可持续的人才保障。如设立新能源专业的本硕博专业等。其二，各高校、科研院所应对标高水平科技自立自强目标任务，注重新质生产力相关专业人才培养的创新意识培育，形成有利于创新的本硕博培养体系，摆脱传统的唯分数、唯论文等单项学业考评体系，形成多维度的人才培养体系，从而助力学生创新意识的培育，进而精准培养出新质生产力发展所需的人才。其三，各高校、科研院所应积极和企业进行合作性人才培养，不仅开展冠名班等本科人才培养，还开展联合培养硕士、博士，共建博士后流动站等，从而培养出能够满足新质生产力发展所需的真正人才。其四，建立充分利用中国强大的继续教育、中职、高职体系，发挥这些教育资源在培养新质生产力发展所需的高级技术工人方面的作用。通过以上举措，为新质生产力发展提供可持续的人才保障。</w:t>
      </w:r>
    </w:p>
    <w:p w14:paraId="5415E86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四是以“一带一路”高质量发展为契机，积极拓宽中国新产业的海外布局。形成国内布局与国外布局的协调联动，在拓展中国新产业发展空间中促进中国新产业做大做强。今年是“一带一路”倡议提出</w:t>
      </w:r>
      <w:r>
        <w:rPr>
          <w:rFonts w:hint="eastAsia" w:ascii="宋体" w:hAnsi="宋体" w:eastAsia="宋体" w:cs="宋体"/>
          <w:spacing w:val="0"/>
          <w:w w:val="100"/>
          <w:position w:val="0"/>
          <w:sz w:val="24"/>
          <w:szCs w:val="20"/>
          <w:lang w:eastAsia="zh-CN"/>
        </w:rPr>
        <w:t>10</w:t>
      </w:r>
      <w:r>
        <w:rPr>
          <w:rFonts w:hint="eastAsia" w:ascii="宋体" w:hAnsi="宋体" w:eastAsia="宋体" w:cs="宋体"/>
          <w:spacing w:val="0"/>
          <w:w w:val="100"/>
          <w:position w:val="0"/>
          <w:sz w:val="24"/>
          <w:szCs w:val="19"/>
          <w:lang w:eastAsia="zh-CN"/>
        </w:rPr>
        <w:t>周年，“一带一路”经过</w:t>
      </w:r>
      <w:r>
        <w:rPr>
          <w:rFonts w:hint="eastAsia" w:ascii="宋体" w:hAnsi="宋体" w:eastAsia="宋体" w:cs="宋体"/>
          <w:spacing w:val="0"/>
          <w:w w:val="100"/>
          <w:position w:val="0"/>
          <w:sz w:val="24"/>
          <w:szCs w:val="20"/>
          <w:lang w:eastAsia="zh-CN"/>
        </w:rPr>
        <w:t>10</w:t>
      </w:r>
      <w:r>
        <w:rPr>
          <w:rFonts w:hint="eastAsia" w:ascii="宋体" w:hAnsi="宋体" w:eastAsia="宋体" w:cs="宋体"/>
          <w:spacing w:val="0"/>
          <w:w w:val="100"/>
          <w:position w:val="0"/>
          <w:sz w:val="24"/>
          <w:szCs w:val="19"/>
          <w:lang w:eastAsia="zh-CN"/>
        </w:rPr>
        <w:t>年的建设，有力地促进了世界经济的发展和“一带一路”沿线国家民生福祉的提升，这将为新质生产力发展空间的拓展提供了新契机。正如习近平在第三届“一带一路”国际合作高峰论坛开幕式上的主旨演讲指出：“</w:t>
      </w:r>
      <w:r>
        <w:rPr>
          <w:rFonts w:hint="eastAsia" w:ascii="宋体" w:hAnsi="宋体" w:eastAsia="宋体" w:cs="宋体"/>
          <w:spacing w:val="0"/>
          <w:w w:val="100"/>
          <w:position w:val="0"/>
          <w:sz w:val="24"/>
          <w:szCs w:val="20"/>
          <w:lang w:eastAsia="zh-CN"/>
        </w:rPr>
        <w:t>10</w:t>
      </w:r>
      <w:r>
        <w:rPr>
          <w:rFonts w:hint="eastAsia" w:ascii="宋体" w:hAnsi="宋体" w:eastAsia="宋体" w:cs="宋体"/>
          <w:spacing w:val="0"/>
          <w:w w:val="100"/>
          <w:position w:val="0"/>
          <w:sz w:val="24"/>
          <w:szCs w:val="19"/>
          <w:lang w:eastAsia="zh-CN"/>
        </w:rPr>
        <w:t>年来，我们致力于构建以经济走廊为引领，以大通道和信息高速公路为骨架，以铁路、公路、机场、港口、管网为依托，涵盖陆、海、天、网的全球互联互通网络，有效促进了各国商品、资金、技术、人员的大流通，推动绵亘千年的古丝绸之路在新时代焕发新活力。”</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13</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新时代新征程要想更好地推进好“一带一路”高质量发展，必须以“一带一路”建设“创新之路”的契机，积极在“一带一路”布局中国新产业，如此，不仅能为沿线各国提供高质量产品和服务，也能提升中国新产业的国际竞争力。同时，为了更好地推进中国新产业在“一带一路”沿线的投资布局，还应创新投资方式，如可以采用与当地合资、合作等方式进行，如此，可以与当地政府、企业等主体形成利益共同体，确保企业能够在投资、运营等各个环节顺利推进，为中国新产业做大做强提供空间保障。</w:t>
      </w:r>
    </w:p>
    <w:p w14:paraId="6AD9D7D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五是对标构建新发展格局的目标任务，加快推进新产业发展。一方面，构建新发展格局的本质特征是实现高水平自立自强，而实现高水平自立自强很显然也包括实现高水平科技自立自强。因此，应对标构建新发展格局关于实现科技自立自强的本质特征，加快对大数据、人工智能、高端芯片、航空航天、</w:t>
      </w:r>
      <w:r>
        <w:rPr>
          <w:rFonts w:hint="eastAsia" w:ascii="宋体" w:hAnsi="宋体" w:eastAsia="宋体" w:cs="宋体"/>
          <w:spacing w:val="0"/>
          <w:w w:val="100"/>
          <w:position w:val="0"/>
          <w:sz w:val="24"/>
          <w:szCs w:val="20"/>
          <w:lang w:eastAsia="zh-CN"/>
        </w:rPr>
        <w:t>5G</w:t>
      </w:r>
      <w:r>
        <w:rPr>
          <w:rFonts w:hint="eastAsia" w:ascii="宋体" w:hAnsi="宋体" w:eastAsia="宋体" w:cs="宋体"/>
          <w:spacing w:val="0"/>
          <w:w w:val="100"/>
          <w:position w:val="0"/>
          <w:sz w:val="24"/>
          <w:szCs w:val="19"/>
          <w:lang w:eastAsia="zh-CN"/>
        </w:rPr>
        <w:t>和</w:t>
      </w:r>
      <w:r>
        <w:rPr>
          <w:rFonts w:hint="eastAsia" w:ascii="宋体" w:hAnsi="宋体" w:eastAsia="宋体" w:cs="宋体"/>
          <w:spacing w:val="0"/>
          <w:w w:val="100"/>
          <w:position w:val="0"/>
          <w:sz w:val="24"/>
          <w:szCs w:val="20"/>
          <w:lang w:eastAsia="zh-CN"/>
        </w:rPr>
        <w:t>6G</w:t>
      </w:r>
      <w:r>
        <w:rPr>
          <w:rFonts w:hint="eastAsia" w:ascii="宋体" w:hAnsi="宋体" w:eastAsia="宋体" w:cs="宋体"/>
          <w:spacing w:val="0"/>
          <w:w w:val="100"/>
          <w:position w:val="0"/>
          <w:sz w:val="24"/>
          <w:szCs w:val="19"/>
          <w:lang w:eastAsia="zh-CN"/>
        </w:rPr>
        <w:t>技术等关键核心技术的攻关力度，建立突破世界一流技术短板的重大攻关机制，促进科技自立自强，破解西方大国的技术“卡脖子”问题，提升新产业的国际竞争力。另一方面，发挥新技术为代表的新产业在畅通国内大市场、联通国内国际市场中的作用。如充分发挥</w:t>
      </w:r>
      <w:r>
        <w:rPr>
          <w:rFonts w:hint="eastAsia" w:ascii="宋体" w:hAnsi="宋体" w:eastAsia="宋体" w:cs="宋体"/>
          <w:spacing w:val="0"/>
          <w:w w:val="100"/>
          <w:position w:val="0"/>
          <w:sz w:val="24"/>
          <w:szCs w:val="20"/>
          <w:lang w:eastAsia="zh-CN"/>
        </w:rPr>
        <w:t>5G</w:t>
      </w:r>
      <w:r>
        <w:rPr>
          <w:rFonts w:hint="eastAsia" w:ascii="宋体" w:hAnsi="宋体" w:eastAsia="宋体" w:cs="宋体"/>
          <w:spacing w:val="0"/>
          <w:w w:val="100"/>
          <w:position w:val="0"/>
          <w:sz w:val="24"/>
          <w:szCs w:val="19"/>
          <w:lang w:eastAsia="zh-CN"/>
        </w:rPr>
        <w:t>和</w:t>
      </w:r>
      <w:r>
        <w:rPr>
          <w:rFonts w:hint="eastAsia" w:ascii="宋体" w:hAnsi="宋体" w:eastAsia="宋体" w:cs="宋体"/>
          <w:spacing w:val="0"/>
          <w:w w:val="100"/>
          <w:position w:val="0"/>
          <w:sz w:val="24"/>
          <w:szCs w:val="20"/>
          <w:lang w:eastAsia="zh-CN"/>
        </w:rPr>
        <w:t>6G</w:t>
      </w:r>
      <w:r>
        <w:rPr>
          <w:rFonts w:hint="eastAsia" w:ascii="宋体" w:hAnsi="宋体" w:eastAsia="宋体" w:cs="宋体"/>
          <w:spacing w:val="0"/>
          <w:w w:val="100"/>
          <w:position w:val="0"/>
          <w:sz w:val="24"/>
          <w:szCs w:val="19"/>
          <w:lang w:eastAsia="zh-CN"/>
        </w:rPr>
        <w:t>等新基建在互联互通建设中的作用，而且新基建目前在互联互通方面具有巨大的发展空间，因为目前城乡之间、区域之间在新基建方面还存在一定差距，如农村、中西部地区与东部沿海地区的新基建水平还存在差距，这就为在农村、中西部地区进行新基建布局提供了广阔的发展空间，等等。通过以上举措，形成新产业为主导的现代化产业体系。</w:t>
      </w:r>
    </w:p>
    <w:p w14:paraId="2ADCB1AB">
      <w:pPr>
        <w:bidi w:val="0"/>
        <w:rPr>
          <w:rFonts w:hint="eastAsia"/>
          <w:lang w:eastAsia="zh-CN"/>
        </w:rPr>
      </w:pPr>
      <w:r>
        <w:rPr>
          <w:rFonts w:hint="eastAsia"/>
          <w:lang w:eastAsia="zh-CN"/>
        </w:rPr>
        <w:t>3.加大传统产业的转型升级发展，拓宽新质生产力的发展空间</w:t>
      </w:r>
    </w:p>
    <w:p w14:paraId="1EF5BF0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经过新中国成立以来</w:t>
      </w:r>
      <w:r>
        <w:rPr>
          <w:rFonts w:hint="eastAsia" w:ascii="宋体" w:hAnsi="宋体" w:eastAsia="宋体" w:cs="宋体"/>
          <w:spacing w:val="0"/>
          <w:w w:val="100"/>
          <w:position w:val="0"/>
          <w:sz w:val="24"/>
          <w:szCs w:val="20"/>
          <w:lang w:eastAsia="zh-CN"/>
        </w:rPr>
        <w:t>70</w:t>
      </w:r>
      <w:r>
        <w:rPr>
          <w:rFonts w:hint="eastAsia" w:ascii="宋体" w:hAnsi="宋体" w:eastAsia="宋体" w:cs="宋体"/>
          <w:spacing w:val="0"/>
          <w:w w:val="100"/>
          <w:position w:val="0"/>
          <w:sz w:val="24"/>
          <w:szCs w:val="19"/>
          <w:lang w:eastAsia="zh-CN"/>
        </w:rPr>
        <w:t>余年的发展，我国已经建立了门类齐全的产业体系，在这些产业中传统产业还占有较大比重，而且传统产业的发展对于新产业发展也具有重要支撑作用，新产业发展所需的原材料、零部件等也需要传统产业高质量供给。因此，应加快路径举措创新推进这些传统产业向高效率、高质量方向发展，凸显新质生产力的特色，成为新质生产力的重要组成部分。</w:t>
      </w:r>
    </w:p>
    <w:p w14:paraId="46544DD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一是加快新技术、新科技与传统制造业的深度融合发展。我国传统制造业大都是国有企业，如中国一汽等企业，其发展是解决就业的主要力量，也是巩固我国国有经济主导作用的主要力量，更是实现共同富裕的根本力量，其发展好意义重大。因此，必须通过切实举措使其能够更好地适应高质量发展主题，提升全球竞争力，这就需要发挥其主动迎接第四次科技革命带来的新契机，加快融合新技术、新科技，从而提升发展效能，凸显高质量、高效率性，如对于传统制造业应加快推进智慧制造、智能制造建设，不仅在生产环节融入新技术新科技，在管理、流通等环节也应采用新技术新科技，实现生产、流通等各环节的智能化、高效化，从而使得传统制造业实现系统全面转型高质量发展，进而提升我国传统制造业的国际竞争力。</w:t>
      </w:r>
    </w:p>
    <w:p w14:paraId="00B6CE1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二是加快对高耗能、效率低的传统产业进行改造升级，促进其向高质量方向发展。我国高耗能、效率低的传统产业改造好对于经济发展、民生保障都具有重要意义，因此，必须通过切实举措，促进其转型升级发展，如采用新技术、新设备加快对高耗能、效率低的传统产业进行改造升级；注重新投资的传统产业的质量，严把质量关，使其在前期投资源头上就注重高质量性，能够采用新技术、新设备提升企业发展效能；对于高污染、低效能，且没有改造价值的传统产业应实施关停或整体转型，但在这一过程中不能一关了之，应采用新技术、新科技在原有的厂房、设备等基础上发展创新创意等新产业，如一些高污染、低效能的小型钢铁厂、化工厂等在进行关停的同时，融入新科技等元素，改造成新产业，这既可以减少资源浪费，又能够为经济高质量发展注入新的创新元素，开辟新质生产力发展新空间。</w:t>
      </w:r>
    </w:p>
    <w:p w14:paraId="02EE368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三是加快利用新技术、新科技促进传统产业向高端化、高效能、高质量的集群化方向发展，打造具有世界竞争力和影响力的一流现代化产业集群。要想提升产业发展水平，为中国式现代化建设提供可持续性产业支撑，必须打造世界级现代化产业集群，形成发展现代产业的合力。具体来讲，一方面，应加快新技术、新科技对于传统产业集群化高质量发展的支撑力度，形成万物互联的现代化产业体系，形成利益互联、联合攻关重大科技创新的产业发展共同体；另一方面，对标世界前沿科技发展水平，加快研发力度，形成世界前沿科技支撑传统产业高端化、高效能、智能化发展的现代化科技创新体系。</w:t>
      </w:r>
    </w:p>
    <w:p w14:paraId="50EAE94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四是切实发挥科技创新对于实体经济类等传统产业的支撑性、引领性作用。实体经济是国民经济的根基，这也是我们党一直非常重视实体经济的原因，多次强调要促进实体经济发展，防止金融体系和实体经济“脱实向虚”。美国等西方国家发展教训表明，虚拟经济过旺，容易造成经济危机等系列经济社会问题，因此，必须通过切实举措，促进实体经济等传统产业的高质量发展。具体来讲，就是要发挥科技创新、科技自立自强在促进实体经济高质量发展中的作用。一方面，加快实体经济等传统产业的科技创新能力的提升，提升其产品附加值和影响力；另一方面，还应对实体经济等传统产业实施整体性技术改造，通过科技创新赋能实体经济等传统产业高质量发展。</w:t>
      </w:r>
    </w:p>
    <w:p w14:paraId="193AC4E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五是建立有利于在利用新科技、新成果改造传统产业中培育新产业的发展体系。新产业的发展不仅对于高质量发展意义重大，也对于满足人民美好生活需要具有重要意义。而新产业不仅产生于新投资、新布局之中，也产生于对传统产业进行改造升级中，通过采用新科技、新成果对传统产业进行改造升级中也会催生新能源汽车、新医药、新材料等新产业，应充分利用好这一契机，在改造传统产业中，催生新产业新业态的发展。通过以上举措，促进传统产业转型升级发展，拓宽新质生产力发展空间。</w:t>
      </w:r>
    </w:p>
    <w:p w14:paraId="2BB7EC3E">
      <w:pPr>
        <w:bidi w:val="0"/>
        <w:ind w:firstLine="420" w:firstLineChars="0"/>
        <w:rPr>
          <w:rFonts w:hint="eastAsia" w:ascii="宋体" w:hAnsi="宋体" w:eastAsia="宋体" w:cs="宋体"/>
          <w:spacing w:val="0"/>
          <w:w w:val="100"/>
          <w:kern w:val="0"/>
          <w:position w:val="0"/>
          <w:sz w:val="24"/>
          <w:szCs w:val="19"/>
          <w:lang w:val="zh-CN" w:eastAsia="zh-CN" w:bidi="zh-CN"/>
        </w:rPr>
      </w:pPr>
      <w:r>
        <w:rPr>
          <w:rFonts w:hint="eastAsia" w:ascii="宋体" w:hAnsi="宋体" w:eastAsia="宋体" w:cs="宋体"/>
          <w:spacing w:val="0"/>
          <w:w w:val="100"/>
          <w:kern w:val="0"/>
          <w:position w:val="0"/>
          <w:sz w:val="24"/>
          <w:szCs w:val="19"/>
          <w:lang w:val="zh-CN" w:eastAsia="zh-CN" w:bidi="zh-CN"/>
        </w:rPr>
        <w:t>4.充分发挥知识产权优势，筑牢新质生产力发展的根基</w:t>
      </w:r>
    </w:p>
    <w:p w14:paraId="7785466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要想赢得在国际发展中的战略主动权，必须发挥知识产权优势。所谓知识产权优势，是一种超越了传统竞争优势和比较优势的第三种经济优势，这种经济优势强调和突出自主知识产权的重要性，这种优势不仅要体现在我国高新技术产业、战略性产业部门，还应体现在我国传统产业、中低端产业部门，其实质都需要掌握具有自主研发和自主知识产权的核心技术，实现高水平科技自立自强，并培育具有自主知识产权的国际知名品牌，这对于新质生产力的发展意义重大。基于此，拟提出如下举措，以充分发挥知识产权优势，筑牢新质生产力发展的根基。</w:t>
      </w:r>
    </w:p>
    <w:p w14:paraId="013DCBE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一是牢固树立全社会知识产权保护意识，统筹好发展和安全问题，为新质生产力发展保驾护航。当今世界，各国之间的竞争日益复杂，知识产权的竞争已经成为各国竞争的重要方面，这种竞争随着第四次科技革命的来临，显得更为激烈，西方发达国家凭借在知识产品领域的优势，在世界交往中获得更大利益，甚至实施技术霸权主义等，造成了南北国家发展差距日益加大。因此，要想提升广大发展中国家和地区的地位，促进全球化向包容普惠方向发展，广大发展中国家和地区必须树立知识产权保护意识，但是长期以来，广大发展中国家和地区在知识产权保护方面还存在意识不强、重视程度不够等问题，这一问题的存在，使得广大发展中国家和地区在全球产业价值链体系中长期处于中低端位置，中国作为世界最大的发展中国家，理应通过切实举措做好表率，发挥对广大发展中国家和地区进行知识产权保护的示范引领作用。其一，通过宣传教育，使得各类企业、高校科研院所树立知识产权保护意识，对于发明创造应主动申请专利。其二，对于商标等应主动注册各种类型商标，牢固树立商标意识。像索尼等跨国公司拥有的注册商标的数量高达上万件，其商标注册的数量超过我国一个城市商标注册数量的总和，这也是索尼公司自</w:t>
      </w:r>
      <w:r>
        <w:rPr>
          <w:rFonts w:hint="eastAsia" w:ascii="宋体" w:hAnsi="宋体" w:eastAsia="宋体" w:cs="宋体"/>
          <w:spacing w:val="0"/>
          <w:w w:val="100"/>
          <w:position w:val="0"/>
          <w:sz w:val="24"/>
          <w:szCs w:val="20"/>
          <w:lang w:eastAsia="zh-CN"/>
        </w:rPr>
        <w:t>1946</w:t>
      </w:r>
      <w:r>
        <w:rPr>
          <w:rFonts w:hint="eastAsia" w:ascii="宋体" w:hAnsi="宋体" w:eastAsia="宋体" w:cs="宋体"/>
          <w:spacing w:val="0"/>
          <w:w w:val="100"/>
          <w:position w:val="0"/>
          <w:sz w:val="24"/>
          <w:szCs w:val="19"/>
          <w:lang w:eastAsia="zh-CN"/>
        </w:rPr>
        <w:t>年成立至今，能够从一家不起眼的小公司迅速发展壮大，成为国际知名跨国公司的重要原因之一。因此，我国企业在发展中应积极学习借鉴国际知名跨国公司经验，加快在商标注册领域的布局，抢占商标注册先机，树立商标战略意识。其三，国家相关部门也应进行知识产权保护领域法律法规的完善，为我国各类企业、高校科研院所、个人等进行专利申请等知识产权保护提供制度依据，同时相关执法部门应做好知识产权保护的督察工作，确保知识产权保护能够落地实处，营造一种知识产权保护的浓郁氛围；其四，还应打造具有自主知识产品的国际标准体系，助力中国标准走出去，如此，不仅对于提升中国话语权和影响力意义重大，也有利于维护好广大发展中国家和地区利益，促进全球化向代表人类整体利益的方向发展。如可以通过“一带一路”建设将中国标准在“一带一路”沿线先行先试，赢得广大发展中国家和地区认可后，让沿线广大发展中国家和地区得到切实的实惠后，再向全球推进。通过以上举措，在全社会营造一种知识产权保护意识，统筹好发展和安全问题，助力新质生产力发展。</w:t>
      </w:r>
    </w:p>
    <w:p w14:paraId="0D5B91D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二是深入实施高水平科技自立自强，掌握具有自主知识产权的关键核心技术，为打造享誉海内外的国际知名品牌提供基础性支撑，助力新质生产力发展。知识产权的保护是基础，创新是目标。纵观发达国家的经济现代化发展，掌握关键核心技术和国际知名品牌这两个核心竞争力，不仅对于企业在发展中赢得战略主动，迅速掌握世界市场意义重大，也对于一个国家的现代化发展意义重大，更是一个国家维护国家安全、促进世界和平的重要保障。如苏联之所以能够在世界反法西斯战争中取得胜利，苏联当时强大的技术支撑是重要保障。</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14</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基于此，中华民族伟大复兴，必须加快推动我国各类产业涉及的技术的创新力度，实现在关键核心技术方面的自立自强，在关键核心技术方面拥有自主知识产权，摆脱在关键核心技术方面受制于人的问题，如此也能为打造国际知名品牌提供基础性支撑，助力新质生产力大发展、大繁荣。具体来讲，其一，应深入实施创新驱动发展战略，发挥新型举国体制优势，集中攻克关键核心技术，为新质生产力发展提供关键核心技术支撑，确保新质生产力发展的安全性，增强我国产业链韧性，这就需要发挥党、政府、高校科研院所、企业等各种力量，形成攻克关键核心技术的合力，形成主动创新、主动攻关关键核心技术的氛围；其二，鼓励各高校科研院所、企业等加快建立能够体现科研人员价值的科技创新体系，形成鼓励攻克关键核心技术创新的氛围，如对于科技人员的发明创造产生的收益可以采用按照贡献进行分红等举措，鼓励科技人员创新，如此也有利于共同富裕目标的实现；其三，加快企业与高校科研院所对接平台的打造，为企业科技创新提供保障。目前很多企业缺少科研平台，而且由于实力、时间等因素，如果依靠自身力量进行科技创新，还存在一些短板，必须发挥高校科研院所的作用，实现二者的对接，在这过程中需要打造相关平台，确保各类企业能够有产品创新的平台，而且如果缺少这一平台将使得这些企业不得不高价进口国外相关技术，从而形成对国外技术的依赖，不利于高水平科技自立自强。通过以上举措，掌握具有自主知识产品的关键核心技术，为打造国际知名品牌提供基础性科技支撑。</w:t>
      </w:r>
    </w:p>
    <w:p w14:paraId="3473C2B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pacing w:val="0"/>
          <w:w w:val="100"/>
          <w:position w:val="0"/>
          <w:sz w:val="24"/>
          <w:szCs w:val="19"/>
          <w:lang w:eastAsia="zh-CN"/>
        </w:rPr>
      </w:pPr>
      <w:r>
        <w:rPr>
          <w:rFonts w:hint="eastAsia" w:ascii="宋体" w:hAnsi="宋体" w:eastAsia="宋体" w:cs="宋体"/>
          <w:spacing w:val="0"/>
          <w:w w:val="100"/>
          <w:position w:val="0"/>
          <w:sz w:val="24"/>
          <w:szCs w:val="19"/>
          <w:lang w:eastAsia="zh-CN"/>
        </w:rPr>
        <w:t>三是打造具有自主知识产权的最具价值国际知名品牌。当前随着我国人民生活水平的显著提升，人民对美好生活的需要日益强烈，品牌意识也逐渐增强，人民往往倾向于购买具有较高知名度的品牌，认为品牌知名度高的产品，质量肯定好。因此，往往品牌知名度高的产品，其市场占有率往往较高，而且随着我国互联网的发展，农村新型基础设施建设的推进，占人口多数的农民群体的品牌意识也逐渐增强，这就表明广大人民群众的品牌意识已经从总体上获得显著提升。同时，世界发达国家的现代化发展经验也表明，品牌多少是一个国家综合竞争力的体现，品牌对于一个国家经济的可持续发展意义重大，美国、日本、德国、韩国等国家都有相当数量的国际知名品牌，美国的通用、日本的松下、德国的奔驰、韩国的三星等，都在国际市场的相关产品门类中具有长期的可持续的占有率，有效地支撑了这些国家经济的发展，基于此，我国必须通过切实举措打造一批具有自主知识产权的国际知名品牌，助力新质生产力发展，推动中国式现代化走深走好。其一，通过对标推进高水平对外开放的目标任务，加大“出口创牌”力度，提升我国品牌的国际知名度。我国的华为产品、比亚迪汽车、高铁等之所以能够打造成世界知名品牌，与其长期坚持的“出口创牌”战略是分不开的，基于此，我国各类企业应深入实施好“出口创牌”战略，打响国际知名度，而不是围绕眼前利益，以出口创汇为主，应在有一定效益的同时，花大力气提升企业的产品知名度，从而形成长期稳定的客户源，如此才能实现可持续的出口创汇，因为“现代市场经济从某种意义上讲是‘品牌经济’”</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1"/>
          <w:lang w:eastAsia="zh-CN"/>
        </w:rPr>
        <w:t>15</w:t>
      </w:r>
      <w:r>
        <w:rPr>
          <w:rFonts w:hint="eastAsia" w:ascii="宋体" w:hAnsi="宋体" w:eastAsia="宋体" w:cs="宋体"/>
          <w:spacing w:val="0"/>
          <w:w w:val="100"/>
          <w:position w:val="0"/>
          <w:sz w:val="24"/>
          <w:szCs w:val="24"/>
          <w:lang w:eastAsia="zh-CN"/>
        </w:rPr>
        <w:t>]</w:t>
      </w:r>
      <w:r>
        <w:rPr>
          <w:rFonts w:hint="eastAsia" w:ascii="宋体" w:hAnsi="宋体" w:eastAsia="宋体" w:cs="宋体"/>
          <w:spacing w:val="0"/>
          <w:w w:val="100"/>
          <w:position w:val="0"/>
          <w:sz w:val="24"/>
          <w:szCs w:val="19"/>
          <w:lang w:eastAsia="zh-CN"/>
        </w:rPr>
        <w:t>。因此，我国企业要实现高质量发展，必须树立品牌意识，打造以品牌提升为导向的高质量发展体系；其二，应对标构建以国内大循环为主体、国内国际双循环新发展格局的目标任务，针对我国具有</w:t>
      </w:r>
      <w:r>
        <w:rPr>
          <w:rFonts w:hint="eastAsia" w:ascii="宋体" w:hAnsi="宋体" w:eastAsia="宋体" w:cs="宋体"/>
          <w:spacing w:val="0"/>
          <w:w w:val="100"/>
          <w:position w:val="0"/>
          <w:sz w:val="24"/>
          <w:szCs w:val="20"/>
          <w:lang w:eastAsia="zh-CN"/>
        </w:rPr>
        <w:t>14</w:t>
      </w:r>
      <w:r>
        <w:rPr>
          <w:rFonts w:hint="eastAsia" w:ascii="宋体" w:hAnsi="宋体" w:eastAsia="宋体" w:cs="宋体"/>
          <w:spacing w:val="0"/>
          <w:w w:val="100"/>
          <w:position w:val="0"/>
          <w:sz w:val="24"/>
          <w:szCs w:val="19"/>
          <w:lang w:eastAsia="zh-CN"/>
        </w:rPr>
        <w:t>亿人口的大市场这一现实，在我国百姓中通过产品质量和信誉打响产品品牌，形成内部客源和外部客源协调联动的产品需求体系，共同推动品牌知名度的提升；其三，深入实施品牌知名度提升战略，不管对于新产业，还是对于传统产业，都需要在掌握具有自主知识产权的关键核心技术的同时，对于品牌知名度的提升，进行前瞻性的布局和谋划，对标世界一流国际知名品牌的建设标准，进行培育和打造，如我国各类企业应充分利用“一带一路”建设的契机，展现良好的信誉和质量，提升品牌知名度。</w:t>
      </w:r>
    </w:p>
    <w:p w14:paraId="0572B67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b/>
          <w:bCs/>
          <w:lang w:eastAsia="zh-CN"/>
        </w:rPr>
      </w:pPr>
      <w:r>
        <w:rPr>
          <w:rFonts w:hint="eastAsia"/>
          <w:b/>
          <w:bCs/>
          <w:lang w:eastAsia="zh-CN"/>
        </w:rPr>
        <w:t>参考文献</w:t>
      </w:r>
    </w:p>
    <w:p w14:paraId="7577BDD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[1]习近平主持召开新时代推动东北全面振兴座谈会强调：牢牢把握东北的重要使命奋力谱写东北全面振兴新篇章[N].人民日报，2023-09-10(001).</w:t>
      </w:r>
    </w:p>
    <w:p w14:paraId="051C9D68">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[2]马克思恩格斯文集：第8卷[M].北京：人民出版社，2009:188.[3]马克思恩格斯文集：第1卷[M].北京：人民出版社，2009.</w:t>
      </w:r>
    </w:p>
    <w:p w14:paraId="4D247389">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[4]马克思恩格斯文集：第3卷[M].北京：人民出版社，2009:602.</w:t>
      </w:r>
    </w:p>
    <w:p w14:paraId="161D672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[5]牢牢把握高质量发展这个首要任务[N].人民日报，2023-03-06(001).</w:t>
      </w:r>
    </w:p>
    <w:p w14:paraId="0F78B4C9">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[6]毛泽东文集：第8卷[M].北京：人民出版社，1999.[7]邓小平文选：第2卷[M].北京：人民出版社，1994.</w:t>
      </w:r>
    </w:p>
    <w:p w14:paraId="5C7A8EA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[8]邓小平文选：第3卷[M].北京：人民出版社，1993:120.[9]江泽民文选：第3卷[M].北京：人民出版社，2006.</w:t>
      </w:r>
    </w:p>
    <w:p w14:paraId="2800BF50">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rPr>
      </w:pPr>
      <w:r>
        <w:rPr>
          <w:rFonts w:hint="eastAsia"/>
          <w:lang w:eastAsia="zh-CN"/>
        </w:rPr>
        <w:t>[10]坚持走中国特色自主创新道路为建设创新型国家而努力奋斗—在全国科学技术大会上的讲话[EB/OL].</w:t>
      </w:r>
      <w:r>
        <w:rPr>
          <w:rFonts w:hint="eastAsia"/>
        </w:rPr>
        <w:t>(2006-01-09)[2023-11-12].https://www.gov.cn/ldhd/2006-01/09/content_152487.htm.</w:t>
      </w:r>
    </w:p>
    <w:p w14:paraId="1B52314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[11]胡锦涛文选：第2卷[M].北京：人民出版社，2016.</w:t>
      </w:r>
    </w:p>
    <w:p w14:paraId="0E5694F9">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[12]宋宪萍，程恩富．马克思主义的分工理论及其当代发展[J].上海：海派经济学，2023(3):1-16.</w:t>
      </w:r>
    </w:p>
    <w:p w14:paraId="4DE126B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[13]习近平．建设开放包容、互联互通、共同发展的世界—在第三届“一带一路”国际合作高峰论坛开幕式上的主旨演讲(2023年10月18日，北京）[N].人民日报，2023-10-19(002).</w:t>
      </w:r>
    </w:p>
    <w:p w14:paraId="1CEE8FF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lang w:eastAsia="zh-CN"/>
        </w:rPr>
      </w:pPr>
      <w:r>
        <w:rPr>
          <w:rFonts w:hint="eastAsia"/>
          <w:lang w:eastAsia="zh-CN"/>
        </w:rPr>
        <w:t>[14]程恩富，刘长明，李卓儒，潘越．苏联与美国综合国力发展比较：“两个如果”的历史假设分析——兼论苏联被摧毁的国内外主因[J].上海：政治经济学研究，2022(4):82-101.</w:t>
      </w:r>
    </w:p>
    <w:p w14:paraId="141B20B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rPr>
      </w:pPr>
      <w:r>
        <w:rPr>
          <w:rFonts w:hint="eastAsia"/>
          <w:lang w:eastAsia="zh-CN"/>
        </w:rPr>
        <w:t>[15]程恩富，丁晓钦．构建知识产权优势理论与战略—兼论比较优势和竞争优势理论[J].长春：当代经济研究，2003</w:t>
      </w:r>
      <w:r>
        <w:rPr>
          <w:rFonts w:hint="eastAsia"/>
        </w:rPr>
        <w:t>(9):20-25+73.</w:t>
      </w:r>
    </w:p>
    <w:p w14:paraId="29257A1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cs="宋体"/>
          <w:spacing w:val="0"/>
          <w:w w:val="100"/>
          <w:position w:val="0"/>
          <w:sz w:val="24"/>
          <w:lang w:val="en-US" w:eastAsia="zh-CN"/>
        </w:rPr>
      </w:pPr>
      <w:r>
        <w:rPr>
          <w:rFonts w:hint="eastAsia" w:ascii="宋体" w:hAnsi="宋体" w:cs="宋体"/>
          <w:spacing w:val="0"/>
          <w:w w:val="100"/>
          <w:position w:val="0"/>
          <w:sz w:val="24"/>
          <w:lang w:val="en-US" w:eastAsia="zh-CN"/>
        </w:rPr>
        <w:t>（原载《当代经济研究》2023年第12期，第二作者为陈健。）</w:t>
      </w:r>
    </w:p>
    <w:p w14:paraId="587DA88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cs="宋体"/>
          <w:spacing w:val="0"/>
          <w:w w:val="100"/>
          <w:position w:val="0"/>
          <w:sz w:val="24"/>
          <w:lang w:val="en-US" w:eastAsia="zh-CN"/>
        </w:rPr>
      </w:pPr>
    </w:p>
    <w:p w14:paraId="2D21DBFB">
      <w:pPr>
        <w:bidi w:val="0"/>
        <w:rPr>
          <w:rFonts w:hint="eastAsia"/>
        </w:rPr>
      </w:pPr>
    </w:p>
    <w:p w14:paraId="28F34579">
      <w:pPr>
        <w:pStyle w:val="3"/>
        <w:bidi w:val="0"/>
        <w:rPr>
          <w:rFonts w:hint="eastAsia"/>
          <w:sz w:val="24"/>
          <w:lang w:val="en-US" w:eastAsia="zh-CN"/>
        </w:rPr>
      </w:pPr>
      <w:bookmarkStart w:id="153" w:name="_Toc9079"/>
      <w:bookmarkStart w:id="154" w:name="_Toc274754387"/>
      <w:bookmarkStart w:id="155" w:name="_Toc859437471"/>
      <w:bookmarkStart w:id="156" w:name="_Toc1085228514"/>
      <w:bookmarkStart w:id="157" w:name="_Toc694922359"/>
      <w:bookmarkStart w:id="158" w:name="_Toc160115391"/>
      <w:r>
        <w:rPr>
          <w:rFonts w:hint="eastAsia"/>
          <w:sz w:val="28"/>
          <w:szCs w:val="28"/>
          <w:lang w:val="en-US" w:eastAsia="zh-CN"/>
        </w:rPr>
        <w:t>2党支部领办合作社基础上农业托管服务模式创新</w:t>
      </w:r>
      <w:r>
        <w:rPr>
          <w:rFonts w:hint="eastAsia"/>
          <w:sz w:val="28"/>
          <w:szCs w:val="28"/>
          <w:lang w:val="en-US" w:eastAsia="zh-CN"/>
        </w:rPr>
        <w:br w:type="textWrapping"/>
      </w:r>
      <w:r>
        <w:rPr>
          <w:rFonts w:hint="eastAsia"/>
          <w:sz w:val="24"/>
          <w:lang w:val="en-US" w:eastAsia="zh-CN"/>
        </w:rPr>
        <w:t>——以山东等地为例</w:t>
      </w:r>
      <w:bookmarkEnd w:id="153"/>
      <w:bookmarkEnd w:id="154"/>
      <w:bookmarkEnd w:id="155"/>
      <w:bookmarkEnd w:id="156"/>
      <w:bookmarkEnd w:id="157"/>
      <w:bookmarkEnd w:id="158"/>
    </w:p>
    <w:p w14:paraId="7F3FCA9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摘要：新时代全面推进乡村振兴，优先发展农业农村，需要扭转劳动力、土地、资金等资源要素持续流出的“失血”局面，以“输血”增强“造血”功能，现代化要素注入与乡村内生发展力增强有机统一，破解农民弱势、农业弱质、乡村碎片化、农民原子化等“乡村振而难兴”的深层次难点问题。党支部领办合作社基础上多模式开展农业托管服务，组织农民更好地对接和联结农业托管服务主体，拓展延伸产业链供应链价值链创新链，增强乡村内生发展动力活力能力，为进一步纵横向联合合作打开空间，为工农城乡资源要素自由流动优化配置，以县域为切入点协调推动城乡融合发展提供了有效载体和实现路径，是确保国家粮食安全、建设农业强国的积极探索。</w:t>
      </w:r>
    </w:p>
    <w:p w14:paraId="6831F6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关键词：党支部领办合作社  农业托管服务  乡村振兴  农业强国</w:t>
      </w:r>
      <w:r>
        <w:rPr>
          <w:rFonts w:hint="eastAsia"/>
          <w:sz w:val="24"/>
          <w:lang w:val="en-US" w:eastAsia="zh-CN"/>
        </w:rPr>
        <w:tab/>
      </w:r>
    </w:p>
    <w:p w14:paraId="442386E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中图分类号：     文献标识码：</w:t>
      </w:r>
    </w:p>
    <w:p w14:paraId="4198A5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1B31A8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36135C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党支部领办合作社基础上开展农业托管服务，是乡村振兴的新模式，具有重要的实践创新和现实意义。托管，顾名思义是委托管理。土地托管，即农民把承包土地委托给另外一个主体经营管理。从托管主体的角度来看，就是受承包农户之委托提供农业生产经营服务，属于农业社会化服务体系的重要部分。现实实践中托管服务范围早已经突破了承包土地的种养环节，而涉及到了农林牧副渔各个领域，产加销储运等产前产中产后各个环节，更准确地讲，可以称之为“农业托管服务”。</w:t>
      </w:r>
    </w:p>
    <w:p w14:paraId="505124E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一、问题的提出与相关研究简述</w:t>
      </w:r>
    </w:p>
    <w:p w14:paraId="315724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规模实力、市场价格和内外环境等各种限定条件下，个体农户单纯依靠承包土地主粮种植实现富裕难度非常大。在种地挣钱难的大背景下，农村青壮年劳动力大规模外出务工经商，农业生产劳动力趋于老龄化、妇女化，乡村资源要素持续单向流出。老一代农业劳动力渐渐老去，新生代农业劳动力缺乏，特别是九零后、零零后青壮年劳动力不愿返乡也不会种地，出现了空心村、空壳村、空巢老人、留守妇女、留守儿童、土地撂荒等现象，如何在确保国家粮食安全、社会安全的基础上全面推进乡村振兴等问题越来越提上日程。</w:t>
      </w:r>
    </w:p>
    <w:p w14:paraId="644801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把饭碗牢牢端在自己手里，确保国家粮食安全，需要提升主粮作物的生产效率和经济效益，而不能仅仅看经济作物耕种效益。主粮作物生产效率与效益决定着中国农业生产力与综合效益的总体水平，是确保国家粮食安全、建设农业强国需要解决的核心问题。供销社、农机合作社、涉农企业等为不愿种地、无力种地的农民开展农业托管服务，在不改变土地所有权、农民承包权的前提下，以农业规模化服务的方式实现农业集约化机械化生产，推广应用先进科技装备，解决了乡村劳动力持续流出情况下“谁种地”“如何种”，特别是主粮种植问题，有效化解了农民务工与务农的矛盾，减轻了农民劳动负担，闲余时间还可再获取一份收入。即便丧失劳动能力的孤寡老人，依靠承包土地的托管收益也可勉强维持基本生存。</w:t>
      </w:r>
    </w:p>
    <w:p w14:paraId="139A739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学术界围绕着农业托管的内涵、理论与现实依据、重大意义、时代背景、实践模式、托管效果、问题与困境等进行了广泛探讨，初步回答了“为何托管”“如何托管”“谁托管”“托管给谁”“如何运营”“托管效果如何”等一系列问题。有学者认为，不同于土地经营权完全让渡的土地流转，土地托管是土地经营权细分后的优化配置</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1"/>
      </w:r>
      <w:r>
        <w:rPr>
          <w:rStyle w:val="18"/>
          <w:rFonts w:hint="eastAsia" w:ascii="宋体" w:hAnsi="宋体" w:eastAsia="宋体" w:cs="宋体"/>
          <w:color w:val="auto"/>
          <w:sz w:val="24"/>
          <w:szCs w:val="21"/>
          <w:lang w:val="en-US" w:eastAsia="zh-CN"/>
        </w:rPr>
        <w:t>]</w:t>
      </w:r>
      <w:r>
        <w:rPr>
          <w:rFonts w:hint="eastAsia"/>
          <w:sz w:val="24"/>
          <w:lang w:val="en-US" w:eastAsia="zh-CN"/>
        </w:rPr>
        <w:t>，是小农户在保留集体土地承包权、剩余索取权的基础上通过合约的委托—代理关系，把承包土地经营权部分或者全部委托给相关主体</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2"/>
      </w:r>
      <w:r>
        <w:rPr>
          <w:rStyle w:val="18"/>
          <w:rFonts w:hint="eastAsia" w:ascii="宋体" w:hAnsi="宋体" w:eastAsia="宋体" w:cs="宋体"/>
          <w:color w:val="auto"/>
          <w:sz w:val="24"/>
          <w:szCs w:val="21"/>
          <w:lang w:val="en-US" w:eastAsia="zh-CN"/>
        </w:rPr>
        <w:t>]</w:t>
      </w:r>
      <w:r>
        <w:rPr>
          <w:rFonts w:hint="eastAsia"/>
          <w:sz w:val="24"/>
          <w:lang w:val="en-US" w:eastAsia="zh-CN"/>
        </w:rPr>
        <w:t>，通过集成先进科技装备、耕作技术、规模购销等社会化规模服务，推动农业适度规模经营，实现了小农户与现代农业有机衔接</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3"/>
      </w:r>
      <w:r>
        <w:rPr>
          <w:rStyle w:val="18"/>
          <w:rFonts w:hint="eastAsia" w:ascii="宋体" w:hAnsi="宋体" w:eastAsia="宋体" w:cs="宋体"/>
          <w:color w:val="auto"/>
          <w:sz w:val="24"/>
          <w:szCs w:val="21"/>
          <w:lang w:val="en-US" w:eastAsia="zh-CN"/>
        </w:rPr>
        <w:t>]</w:t>
      </w:r>
      <w:r>
        <w:rPr>
          <w:rFonts w:hint="eastAsia"/>
          <w:sz w:val="24"/>
          <w:lang w:val="en-US" w:eastAsia="zh-CN"/>
        </w:rPr>
        <w:t>，解决家庭细碎经营问题，提高小农户组织化程度，有效化解了小农家庭经营的现代化矛盾</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4"/>
      </w:r>
      <w:r>
        <w:rPr>
          <w:rStyle w:val="18"/>
          <w:rFonts w:hint="eastAsia" w:ascii="宋体" w:hAnsi="宋体" w:eastAsia="宋体" w:cs="宋体"/>
          <w:color w:val="auto"/>
          <w:sz w:val="24"/>
          <w:szCs w:val="21"/>
          <w:lang w:val="en-US" w:eastAsia="zh-CN"/>
        </w:rPr>
        <w:t>]</w:t>
      </w:r>
      <w:r>
        <w:rPr>
          <w:rFonts w:hint="eastAsia"/>
          <w:sz w:val="24"/>
          <w:lang w:val="en-US" w:eastAsia="zh-CN"/>
        </w:rPr>
        <w:t>，解决了农业谁承包、谁种地、谁服务等问题，实现了农民得实惠、企业得利润、国家粮食得安全。</w:t>
      </w:r>
    </w:p>
    <w:p w14:paraId="6F387B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但是，农业托管服务主体与亿万个体小农打交道存在着组织、签约、执行、生产、市场等成本，实践中遭遇了嵌入乡村社会难，土地规模连片难，交易成本高，面临着自然风险、市场风险、政策风险、诚信风险等多重风险，单纯从事种植环节利润微薄</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5"/>
      </w:r>
      <w:r>
        <w:rPr>
          <w:rStyle w:val="18"/>
          <w:rFonts w:hint="eastAsia" w:ascii="宋体" w:hAnsi="宋体" w:eastAsia="宋体" w:cs="宋体"/>
          <w:color w:val="auto"/>
          <w:sz w:val="24"/>
          <w:szCs w:val="21"/>
          <w:lang w:val="en-US" w:eastAsia="zh-CN"/>
        </w:rPr>
        <w:t>]</w:t>
      </w:r>
      <w:r>
        <w:rPr>
          <w:rFonts w:hint="eastAsia"/>
          <w:sz w:val="24"/>
          <w:lang w:val="en-US" w:eastAsia="zh-CN"/>
        </w:rPr>
        <w:t>，且大多数利益被托管主体拿走，家庭农户从中获得的利益增加非常有限，带动农民致富，改变乡村面貌的效果并不明显。如何通过模式创新破解农业托管服务和乡村振兴实践中面临的难题，从根本上扭转劳动力等资源要素持续流出农业农村的局面，以“输血”增强“造血”功能，增强乡村内生发展力，在理论与实践上有待进一步探索。本文结合山东等地“党支部领办合作社”基础上开展农业托管服务的实践探索，探讨通过农业托管服务模式创新，破解农民弱势、农业弱质、乡村碎片化、农民原子化等乡村振兴深层次难题，深入阐述其实现路径和实践模式。</w:t>
      </w:r>
    </w:p>
    <w:p w14:paraId="715C03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破解农民弱势与农业弱质难题：党支部领办合作社基础上</w:t>
      </w:r>
    </w:p>
    <w:p w14:paraId="09D49C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农业托管服务</w:t>
      </w:r>
    </w:p>
    <w:p w14:paraId="56AA0C9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家庭承包经营实现了劳动者与农村集体土地等生产资料的直接结合，以其激励约束成本低，适应农业生产生物性、季节性、复杂性、难监管、难量化等特点，易破产也易再生，具有顽强的生命力，对短时间内解决温饱问题发挥了重要作用，老人妇女农业迄今依然是中国粮食安全和农产品供应的主要保障和主体力量</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6"/>
      </w:r>
      <w:r>
        <w:rPr>
          <w:rStyle w:val="18"/>
          <w:rFonts w:hint="eastAsia" w:ascii="宋体" w:hAnsi="宋体" w:eastAsia="宋体" w:cs="宋体"/>
          <w:color w:val="auto"/>
          <w:sz w:val="24"/>
          <w:szCs w:val="21"/>
          <w:lang w:val="en-US" w:eastAsia="zh-CN"/>
        </w:rPr>
        <w:t>]</w:t>
      </w:r>
      <w:r>
        <w:rPr>
          <w:rFonts w:hint="eastAsia"/>
          <w:sz w:val="24"/>
          <w:lang w:val="en-US" w:eastAsia="zh-CN"/>
        </w:rPr>
        <w:t>。</w:t>
      </w:r>
    </w:p>
    <w:p w14:paraId="68B48A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然而，一家一户的个体经营方式与大生产、大市场内在矛盾和不相容，大多数农民以家庭为单位分散经营、细碎耕作，不利于现代农业技术装备推广应用、产业融合发展、产业链供应链价值链拓展提升、公共事业发展、基础设施建设等。家庭联产承包责任制的初衷是家庭层面分散经营为基础，集体层面统一经营为主导，建立统分结合的双层经营体制。但是，在现实实施过程中大多数农村地区形成“有分无统”“只分不统”的局面，集体层面统一经营缺失，乡村集体经济、合作经济趋于消弱，农田水利和基础设施建设、农产品运销加工等许多环节仅仅依靠家庭搞不了，搞不好，搞起来不经济，党组织因缺乏集体经济物质基础支撑而软弱涣散，个体小农因缺乏拓展延伸产业链供应链价值链创新链的能力而陷入“温饱却难富裕”困境，农民之间缺乏共同的利益联结而一盘散沙，乡村因劳动力等资源要素持续流出而趋于凋敝空壳，在激烈的市场和产业竞争中，个体农民在乡村经济社会发展中的主体地位与作用日渐缺失和消弱，形成了农民弱势、农业弱质、乡村碎片化、农民原子化等难题。</w:t>
      </w:r>
    </w:p>
    <w:p w14:paraId="1DC0E6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农业弱质，其核心是农业产业比较效益低的问题，实质上是主粮作物种养环节的比较效益低，多数承包农户被限定在初级产品种养环节增收困难。农业生产不仅环节与过程复杂，劳动分工与监管难度大，对自然环境、气候条件、生命成长规律等依赖程度高、难掌控，投资大、风险高、周期长，农户为单位的家庭分散经营，规模小、资金少、技术薄弱，产业链条短，依然处于马克思所讲的农业发展三个历史阶段中的初级阶段，即传统农业耕作方式，滞后于资本主义大农业和社会主义大农业</w:t>
      </w:r>
      <w:r>
        <w:rPr>
          <w:rStyle w:val="20"/>
          <w:rFonts w:hint="eastAsia" w:ascii="宋体" w:hAnsi="宋体" w:eastAsia="宋体" w:cs="宋体"/>
          <w:color w:val="auto"/>
          <w:sz w:val="24"/>
          <w:szCs w:val="21"/>
          <w:lang w:val="en-US" w:eastAsia="zh-CN"/>
        </w:rPr>
        <w:footnoteReference w:id="267"/>
      </w:r>
      <w:r>
        <w:rPr>
          <w:rFonts w:hint="eastAsia"/>
          <w:sz w:val="24"/>
          <w:lang w:val="en-US" w:eastAsia="zh-CN"/>
        </w:rPr>
        <w:t>。</w:t>
      </w:r>
    </w:p>
    <w:p w14:paraId="555AAF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农民弱势，其核心是农民组织化知识化程度和水平比较低，分散经营的同质化个体农民生产生活在特定地域范围内，因血缘、地缘等聚集而又被切割成碎片化的群体，缺乏集体经济基础支撑的党组织软弱涣散，乡村社会缺乏凝聚力组织力，农民依靠个体力量在组织化的市场主体、社会主体面前处于劣势博弈地位，呈现出马克思所说自私自利一盘散沙的“一袋马铃薯</w:t>
      </w:r>
      <w:r>
        <w:rPr>
          <w:rStyle w:val="20"/>
          <w:rFonts w:hint="eastAsia" w:ascii="宋体" w:hAnsi="宋体" w:eastAsia="宋体" w:cs="宋体"/>
          <w:color w:val="auto"/>
          <w:sz w:val="24"/>
          <w:szCs w:val="21"/>
          <w:lang w:val="en-US" w:eastAsia="zh-CN"/>
        </w:rPr>
        <w:footnoteReference w:id="268"/>
      </w:r>
      <w:r>
        <w:rPr>
          <w:rFonts w:hint="eastAsia"/>
          <w:sz w:val="24"/>
          <w:lang w:val="en-US" w:eastAsia="zh-CN"/>
        </w:rPr>
        <w:t>”状态，乡村社会日益碎片化，农民日益原子化，劳动力、资金、土地等资源要素持续流出，由此形成恶性循环，致使“三农”困局迟迟难以根本扭转。</w:t>
      </w:r>
    </w:p>
    <w:p w14:paraId="09F34F1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单个农户需求、文化素质、家庭状况等千差万别、参差不一，承包土地细碎分割，交错分布，不同类型农户需求的多样性、耕地耕作条件的差异性、经营作物种类的复杂性等，决定了选择农业托管服务的需求与偏好也不同。农业托管服务主体面对碎片化的乡村社会和原子化的农民个体，要满足众多农户的个体需求，了解和熟悉作为签约对象的每户农民，并分别签订农业托管服务协议，其组织成本、交易成本、谈判成本、诚信成本、违约成本等非常高。如果不愿意进行农业托管的土地夹杂在托管土地中间形不成规模连片，托管协议就很难达成。市场价格、单产等限定了主粮作物耕种环节的利润总水平，农业托管服务主体所能获取的利益有限，农户为此支付过高费用，托管服务也会难以为继。</w:t>
      </w:r>
    </w:p>
    <w:p w14:paraId="08E5FCF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乡村是关系社会、熟人社会，血缘、地缘、情缘关系发挥着重要作用。为解决上述问题，农业托管服务主体大多是在当地政府部门支持下，依托嵌入乡村社会内部的集体组织，即村两委，与千家万户农民打交道，调整土地实现规模连片，协调交易纠纷和矛盾，先把农户承包土地和服务需求分类集中，在村民与村集体签订合同之后，农业托管服务主体再同集体组织签订服务合同，形成“农户+集体组织+农业托管服务主体”的托管服务模式。</w:t>
      </w:r>
    </w:p>
    <w:p w14:paraId="666663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根据课题组在鲁西南的调研，农业托管主体从大面积耕作中通过降低耕作成本，增加产量，提高农产品市场谈判价格，从中获得一定的收益。托管服务主体与农户、村集体之间的分配机制大多采取土地流转式全程托管服务，种植小麦、玉米等粮食作物，根据农户的利益诉求、地块地力等不同，分类托管，托管价格从400元/亩到1200元/亩不等（相当于当地比较高的土地流转费用，小麦和玉米季结束后进行结算），采取“保底收益+盈余分红”的分配方式，扣除全部种植成本和保底收益后，盈余部分农业托管服务主体与村集体、农户之间再按照一定比例分红，一般都会优先照顾农户和村集体。但是，由于农业托管服务主体具有规模和组织优势，事实上，增收利润的盈余分配大多数由托管主体分得，即便农民、托管主体、村集体按照60:30:10的比例分配，按照每亩地节约成本增收30元计算，农民能够分得18元/亩，托管主体分得9元/亩，村集体分得3元/亩。同时，依托规模优势和产品质量优势，增强市场谈判地位，提升农产品价格，比如，小麦价格比市场均价高出0.1元/斤，按照每亩地800斤小麦计算，可以增收80元，其中，农户分得48元，托管主体可以分得24元，村集体可以分得8元。一户农民家庭5口人，人均承包1.5亩土地，共承包7.5亩，除保底收益之外，预计通过节约成本和市场溢价获得盈余分红增收共计：18x7.5+48x7.5=495（元）。加上每亩土地800元保底收益，全年承包土地托管收益为：800x7.5+495=6495（元）。托管服务主体经营5000亩地，收获小麦5000x800=4000000（斤），通过节约成本，提高市场溢价，按比例分成为：</w:t>
      </w:r>
    </w:p>
    <w:p w14:paraId="1DE86B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5000x30x30%+5000x800x0.1x0.3=45000+120000=165000（元）。</w:t>
      </w:r>
    </w:p>
    <w:p w14:paraId="50484F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村集体动员农户参加土地托管的数额越多，从中分得的收益也就越多。如果按照协调适度连片2000亩土地，该村集体按比例分成为：</w:t>
      </w:r>
    </w:p>
    <w:p w14:paraId="655F1EC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2000x30x10%+2000x800x0.1x0.1=6000+16000=22000（元）。</w:t>
      </w:r>
    </w:p>
    <w:p w14:paraId="5D5D0F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在这种农业托管模式中，乡村集体组织作为中介，在农业托管服务主体与农户之间发挥资源整合与利益协调作用，乡村集体组织从中获取中间人的协调和管理服务费用。农业生产资料生产经营者、农机专业合作社等农业托管服务主体通过托管农户承包土地，取代家庭承包农户成为农业生产经营的主体力量，通过技术、设备、资金、规模、市场、信息等优势，扩大农资使用范围和数量，增加自身业务量的同时还可以赚取个体农户难以得到的规模收益，机械化耕作，规模化购销，降低耕作成本和劳动强度，提升农产品销售价格，提质增效。这也是大多数农业托管服务主体介入相关业务的利益驱动力。相对于自己直接经营土地，广大承包农户通过土地托管获取的收入增加则非常有限，甚至还有所减少，其作用主要是从承包土地上解放了劳动力，缓解了农民“离土离乡”的后顾之忧，但并不能扭转劳动力等资源要素持续流出乡村的局面，客观上反而加速了农民“离土离乡”进程。</w:t>
      </w:r>
    </w:p>
    <w:p w14:paraId="4163B1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这种模式之所以难以改变乡村资源持续流出的失血局面，其根源在于农业托管服务主体与集体组织、家庭农户是彼此独立的利益主体和经营主体，未能形成紧密的利益共同体和发展共同体。农业托管服务主体、作为中介存在的集体组织，与农户之间是一种建立在契约之上的“利益交易”关系，是外生于乡村社区、外在于农民的利益主体，与农民之间既存在共同利益交融，也存在不同利益纷争，并没有形成利益和发展共同体，相互之间反而存在着利益博弈、猜忌和纷争。当利益纷争大于利益交融的时候，双方就会发生利益冲突，很难仅仅依靠合同的约束力或者乡土关系等化解。这种农业托管服务模式中，村干部和村集体从中得到的“好处”很有限，而协调、化解、整合农户之间千差万别的利益诉求难度很大，还要为此承担一定风险，因此，工作积极性并不高。广大农户依然是分散独立的原子化、碎片化个体，依靠家庭力量独自谋生。由此看来，“农户+集体组织+农业托管服务主体”模式并不能解决农民弱势、农业弱质难题，起到组织农民发展生产建设家园的作用，更难以扭转乡村劳动力等资源要素持续单向流出的“失血”局面。</w:t>
      </w:r>
    </w:p>
    <w:p w14:paraId="79507E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破解农业弱质、农民弱势难题，解决乡村社会碎片化、农民原子化困境的根本路径在于，健全党组织领导下的乡村集体组织统一经营功能与作用，完善统分结合的双层经营体制，化解小生产与社会化大生产、大市场的矛盾，联合有实力又乐于服务“三农”的农业托管服务主体，不断拓展延伸产业链供应链价值链创新链，组织农民，发展新型集体经济、合作经济</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69"/>
      </w:r>
      <w:r>
        <w:rPr>
          <w:rStyle w:val="18"/>
          <w:rFonts w:hint="eastAsia" w:ascii="宋体" w:hAnsi="宋体" w:eastAsia="宋体" w:cs="宋体"/>
          <w:color w:val="auto"/>
          <w:sz w:val="24"/>
          <w:szCs w:val="21"/>
          <w:lang w:val="en-US" w:eastAsia="zh-CN"/>
        </w:rPr>
        <w:t>]</w:t>
      </w:r>
      <w:r>
        <w:rPr>
          <w:rFonts w:hint="eastAsia"/>
          <w:sz w:val="24"/>
          <w:lang w:val="en-US" w:eastAsia="zh-CN"/>
        </w:rPr>
        <w:t>，“小农民”“小农业”转变成为“大农民”“大农业”，“弱农民”“弱农业”转变成为“强农民”“强农业”。早在福建工作时，习近平就指出，“‘统’与‘分’是相互关系的，不是相互排斥的。不能一说‘分’，就排斥任何形式的‘统’；一说‘统’，又不分青红皂白地否定‘分’。正是这种‘统’与‘分’的结合，构成了目前农村有中国特色的社会主义经营体制的基本形式。</w:t>
      </w:r>
      <w:r>
        <w:rPr>
          <w:rStyle w:val="20"/>
          <w:rFonts w:hint="eastAsia" w:ascii="宋体" w:hAnsi="宋体" w:eastAsia="宋体" w:cs="宋体"/>
          <w:color w:val="auto"/>
          <w:sz w:val="24"/>
          <w:szCs w:val="21"/>
          <w:lang w:val="en-US" w:eastAsia="zh-CN"/>
        </w:rPr>
        <w:footnoteReference w:id="270"/>
      </w:r>
      <w:r>
        <w:rPr>
          <w:rFonts w:hint="eastAsia"/>
          <w:sz w:val="24"/>
          <w:lang w:val="en-US" w:eastAsia="zh-CN"/>
        </w:rPr>
        <w:t>”“家庭承包制包括家庭经营和集体统一经营两个层次。这两个层次，既有相互不可替代的作用和特点，又是一个相互不可分离的有机整体。忽视任何一个层次的作用，都不能充分发挥双层经营体制的整体效益。</w:t>
      </w:r>
      <w:r>
        <w:rPr>
          <w:rStyle w:val="20"/>
          <w:rFonts w:hint="eastAsia" w:ascii="宋体" w:hAnsi="宋体" w:eastAsia="宋体" w:cs="宋体"/>
          <w:color w:val="auto"/>
          <w:sz w:val="24"/>
          <w:szCs w:val="21"/>
          <w:lang w:val="en-US" w:eastAsia="zh-CN"/>
        </w:rPr>
        <w:footnoteReference w:id="271"/>
      </w:r>
      <w:r>
        <w:rPr>
          <w:rFonts w:hint="eastAsia"/>
          <w:sz w:val="24"/>
          <w:lang w:val="en-US" w:eastAsia="zh-CN"/>
        </w:rPr>
        <w:t>”“加强集体经济力量，目的在于发挥集体经济组织‘统’的职能。</w:t>
      </w:r>
      <w:r>
        <w:rPr>
          <w:rStyle w:val="20"/>
          <w:rFonts w:hint="eastAsia" w:ascii="宋体" w:hAnsi="宋体" w:eastAsia="宋体" w:cs="宋体"/>
          <w:color w:val="auto"/>
          <w:sz w:val="24"/>
          <w:szCs w:val="21"/>
          <w:lang w:val="en-US" w:eastAsia="zh-CN"/>
        </w:rPr>
        <w:footnoteReference w:id="272"/>
      </w:r>
      <w:r>
        <w:rPr>
          <w:rFonts w:hint="eastAsia"/>
          <w:sz w:val="24"/>
          <w:lang w:val="en-US" w:eastAsia="zh-CN"/>
        </w:rPr>
        <w:t>”“什么是大农业呢？大农业是朝着多功能、开放式、综合性方向发展的立体农业。它区别于传统的、主要集中在耕地经营的、单一的、平面的小农业。</w:t>
      </w:r>
      <w:r>
        <w:rPr>
          <w:rStyle w:val="20"/>
          <w:rFonts w:hint="eastAsia" w:ascii="宋体" w:hAnsi="宋体" w:eastAsia="宋体" w:cs="宋体"/>
          <w:color w:val="auto"/>
          <w:sz w:val="24"/>
          <w:szCs w:val="21"/>
          <w:lang w:val="en-US" w:eastAsia="zh-CN"/>
        </w:rPr>
        <w:footnoteReference w:id="273"/>
      </w:r>
      <w:r>
        <w:rPr>
          <w:rFonts w:hint="eastAsia"/>
          <w:sz w:val="24"/>
          <w:lang w:val="en-US" w:eastAsia="zh-CN"/>
        </w:rPr>
        <w:t>”</w:t>
      </w:r>
    </w:p>
    <w:p w14:paraId="13FD75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破解托管服务主体与千家万户的个体农民打交道的碎片化、原子化困境，完善乡村集体层面“统”的功能与作用，健全农村统分结合的双层经营制度，只能由内生于乡村社区、内在于农民的权威组织重新组织农民发展新型农村集体经济、合作经济和股份合作经济，与农民形成利益共同体和发展共同体。因此，改变“三农”困局的社会基础和组织基础是在基层党组织领导下把分散的农民组织起来，组建新型合作经济组织和集体经济组织，形成集体合力和组织力量，改变农民与各类主体“打交道”的弱势博弈困境，克服乡村社会一盘散沙状态。在此基础上，依托产业特色和资源优势，打破区域、行业限制，通过资源合作、资产合作、资本合作等方式，与有意愿带领农民致富的农业托管服务主体合作，形成紧密的利益联结机制，不断拓展延伸产业链供应链价值链创新链，推动农业农村多业态多功能开发发展，获取农产品加工储运等产业链各个环节的更高利润，进而形成农业托管服务模式“升级版”。这既是化解农民原子化、乡村碎片化困境，组织农民发展大农业的需要，也是农业托管服务主体降低交易成本，持续健康开展农业托管服务的需要。在这样的情况下，根据党中央的部署要求，山东等地涌现出“党支部领办合作社”基础上开展农业托管服务的实践探索。</w:t>
      </w:r>
    </w:p>
    <w:p w14:paraId="6F0314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习近平总书记指出：“实施乡村振兴战略，各级党委和党组织必须加强领导，汇聚起全党上下、社会各方的强大力量。要把好乡村振兴战略的政治方向，坚持农村土地集体所有制性质，发展新型集体经济，走共同富裕道路。</w:t>
      </w:r>
      <w:r>
        <w:rPr>
          <w:rStyle w:val="20"/>
          <w:rFonts w:hint="eastAsia" w:ascii="宋体" w:hAnsi="宋体" w:eastAsia="宋体" w:cs="宋体"/>
          <w:b w:val="0"/>
          <w:bCs w:val="0"/>
          <w:color w:val="auto"/>
          <w:sz w:val="24"/>
          <w:szCs w:val="21"/>
          <w:lang w:val="en-US" w:eastAsia="zh-CN"/>
        </w:rPr>
        <w:footnoteReference w:id="274"/>
      </w:r>
      <w:r>
        <w:rPr>
          <w:rFonts w:hint="eastAsia"/>
          <w:sz w:val="24"/>
          <w:lang w:val="en-US" w:eastAsia="zh-CN"/>
        </w:rPr>
        <w:t>”2018年11月,中组部、财政部、农业农村部三部委联合印发了《关于坚持和加强农村基层党组织领导扶持壮大村级集体经济的通知》（中组发〔2018〕18号），指出，“充分发挥农村基层党组织的政治功能、组织优势，把党员、群众组织起来，有效利用各类资源资产资金，因地制宜发展壮大村级集体经济。”</w:t>
      </w:r>
    </w:p>
    <w:p w14:paraId="0366F8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1：山东烟台市委组织部响应党中央的号召，以基层党建为引领，严格选拔“好人+能人”的乡村发展带头人和领导群体，党支部作为社区农民集体利益的代表，由党支部书记代表村集体，或者由村集体经济组织以其部分经营性资产，组织、动员和领导农民以多种方式组建农民合作社</w:t>
      </w:r>
      <w:r>
        <w:rPr>
          <w:rStyle w:val="20"/>
          <w:rFonts w:hint="eastAsia" w:ascii="宋体" w:hAnsi="宋体" w:eastAsia="宋体" w:cs="宋体"/>
          <w:color w:val="auto"/>
          <w:sz w:val="24"/>
          <w:szCs w:val="21"/>
          <w:lang w:val="en-US" w:eastAsia="zh-CN"/>
        </w:rPr>
        <w:footnoteReference w:id="275"/>
      </w:r>
      <w:r>
        <w:rPr>
          <w:rFonts w:hint="eastAsia"/>
          <w:sz w:val="24"/>
          <w:lang w:val="en-US" w:eastAsia="zh-CN"/>
        </w:rPr>
        <w:t>，完善统分结合的双层经营体制，解决一家一户办不好、办不了、不好办的难题，提升农民组织化程度与水平，并与外部农业服务和经营主体合作，变“输血式”扶贫为“造血式”致富</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76"/>
      </w:r>
      <w:r>
        <w:rPr>
          <w:rStyle w:val="18"/>
          <w:rFonts w:hint="eastAsia" w:ascii="宋体" w:hAnsi="宋体" w:eastAsia="宋体" w:cs="宋体"/>
          <w:color w:val="auto"/>
          <w:sz w:val="24"/>
          <w:szCs w:val="21"/>
          <w:lang w:val="en-US" w:eastAsia="zh-CN"/>
        </w:rPr>
        <w:t>]</w:t>
      </w:r>
      <w:r>
        <w:rPr>
          <w:rFonts w:hint="eastAsia"/>
          <w:sz w:val="24"/>
          <w:lang w:val="en-US" w:eastAsia="zh-CN"/>
        </w:rPr>
        <w:t>。其中，烟台市YJ村在村支部书记YYL的带领下组建了农民股份合作社，依靠集体的力量修路、建滴灌设施，大大改善了村庄的生产生活条件，通过引进龙头企业拓展产业链，种桃树、建猪舍、种木耳等，短短五年左右，把仅有50多户人家的穷山村建设成为山东省景区化村庄、乡土产业名品村。</w:t>
      </w:r>
    </w:p>
    <w:p w14:paraId="4CA02D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val="en-US" w:eastAsia="zh-CN"/>
        </w:rPr>
        <w:t>案例2：山东有很多农村党组织带领本地农民组建合作社，发展集体经济的成功案例。</w:t>
      </w:r>
      <w:r>
        <w:rPr>
          <w:rFonts w:hint="eastAsia"/>
          <w:sz w:val="24"/>
          <w:lang w:eastAsia="zh-CN"/>
        </w:rPr>
        <w:t>山东济南长清区万德街道</w:t>
      </w:r>
      <w:r>
        <w:rPr>
          <w:rFonts w:hint="eastAsia"/>
          <w:sz w:val="24"/>
          <w:lang w:val="en-US" w:eastAsia="zh-CN"/>
        </w:rPr>
        <w:t>MT村</w:t>
      </w:r>
      <w:r>
        <w:rPr>
          <w:rFonts w:hint="eastAsia"/>
          <w:sz w:val="24"/>
          <w:lang w:eastAsia="zh-CN"/>
        </w:rPr>
        <w:t>地处泰山西北麓，三面环山，有着得天独厚的自然资源与地理位置，</w:t>
      </w:r>
      <w:r>
        <w:rPr>
          <w:rFonts w:hint="eastAsia"/>
          <w:sz w:val="24"/>
          <w:lang w:val="en-US" w:eastAsia="zh-CN"/>
        </w:rPr>
        <w:t>非常适合种植茶叶</w:t>
      </w:r>
      <w:r>
        <w:rPr>
          <w:rFonts w:hint="eastAsia"/>
          <w:sz w:val="24"/>
          <w:lang w:eastAsia="zh-CN"/>
        </w:rPr>
        <w:t>。由于</w:t>
      </w:r>
      <w:r>
        <w:rPr>
          <w:rFonts w:hint="eastAsia"/>
          <w:sz w:val="24"/>
          <w:lang w:val="en-US" w:eastAsia="zh-CN"/>
        </w:rPr>
        <w:t>村民个体</w:t>
      </w:r>
      <w:r>
        <w:rPr>
          <w:rFonts w:hint="eastAsia"/>
          <w:sz w:val="24"/>
          <w:lang w:eastAsia="zh-CN"/>
        </w:rPr>
        <w:t>种植</w:t>
      </w:r>
      <w:r>
        <w:rPr>
          <w:rFonts w:hint="eastAsia"/>
          <w:sz w:val="24"/>
          <w:lang w:val="en-US" w:eastAsia="zh-CN"/>
        </w:rPr>
        <w:t>茶叶</w:t>
      </w:r>
      <w:r>
        <w:rPr>
          <w:rFonts w:hint="eastAsia"/>
          <w:sz w:val="24"/>
          <w:lang w:eastAsia="zh-CN"/>
        </w:rPr>
        <w:t>规模小、销路不畅，</w:t>
      </w:r>
      <w:r>
        <w:rPr>
          <w:rFonts w:hint="eastAsia"/>
          <w:sz w:val="24"/>
          <w:lang w:val="en-US" w:eastAsia="zh-CN"/>
        </w:rPr>
        <w:t>与入驻村庄的公司合作，</w:t>
      </w:r>
      <w:r>
        <w:rPr>
          <w:rFonts w:hint="eastAsia"/>
          <w:sz w:val="24"/>
          <w:lang w:eastAsia="zh-CN"/>
        </w:rPr>
        <w:t>只能当打工仔，</w:t>
      </w:r>
      <w:r>
        <w:rPr>
          <w:rFonts w:hint="eastAsia"/>
          <w:sz w:val="24"/>
          <w:lang w:val="en-US" w:eastAsia="zh-CN"/>
        </w:rPr>
        <w:t>绝大多数</w:t>
      </w:r>
      <w:r>
        <w:rPr>
          <w:rFonts w:hint="eastAsia"/>
          <w:sz w:val="24"/>
          <w:lang w:eastAsia="zh-CN"/>
        </w:rPr>
        <w:t>收益</w:t>
      </w:r>
      <w:r>
        <w:rPr>
          <w:rFonts w:hint="eastAsia"/>
          <w:sz w:val="24"/>
          <w:lang w:val="en-US" w:eastAsia="zh-CN"/>
        </w:rPr>
        <w:t>归</w:t>
      </w:r>
      <w:r>
        <w:rPr>
          <w:rFonts w:hint="eastAsia"/>
          <w:sz w:val="24"/>
          <w:lang w:eastAsia="zh-CN"/>
        </w:rPr>
        <w:t>公司。</w:t>
      </w:r>
      <w:r>
        <w:rPr>
          <w:rFonts w:hint="eastAsia"/>
          <w:sz w:val="24"/>
          <w:lang w:val="en-US" w:eastAsia="zh-CN"/>
        </w:rPr>
        <w:t>村</w:t>
      </w:r>
      <w:r>
        <w:rPr>
          <w:rFonts w:hint="eastAsia"/>
          <w:sz w:val="24"/>
          <w:lang w:eastAsia="zh-CN"/>
        </w:rPr>
        <w:t>两委调查发现，问题出在</w:t>
      </w:r>
      <w:r>
        <w:rPr>
          <w:rFonts w:hint="eastAsia"/>
          <w:sz w:val="24"/>
          <w:lang w:val="en-US" w:eastAsia="zh-CN"/>
        </w:rPr>
        <w:t>村内</w:t>
      </w:r>
      <w:r>
        <w:rPr>
          <w:rFonts w:hint="eastAsia"/>
          <w:sz w:val="24"/>
          <w:lang w:eastAsia="zh-CN"/>
        </w:rPr>
        <w:t>缺少加工环节，</w:t>
      </w:r>
      <w:r>
        <w:rPr>
          <w:rFonts w:hint="eastAsia"/>
          <w:sz w:val="24"/>
          <w:lang w:val="en-US" w:eastAsia="zh-CN"/>
        </w:rPr>
        <w:t>需要</w:t>
      </w:r>
      <w:r>
        <w:rPr>
          <w:rFonts w:hint="eastAsia"/>
          <w:sz w:val="24"/>
          <w:lang w:eastAsia="zh-CN"/>
        </w:rPr>
        <w:t>延长产业链，</w:t>
      </w:r>
      <w:r>
        <w:rPr>
          <w:rFonts w:hint="eastAsia"/>
          <w:sz w:val="24"/>
          <w:lang w:val="en-US" w:eastAsia="zh-CN"/>
        </w:rPr>
        <w:t>建立村民自己的茶厂</w:t>
      </w:r>
      <w:r>
        <w:rPr>
          <w:rFonts w:hint="eastAsia"/>
          <w:sz w:val="24"/>
          <w:lang w:eastAsia="zh-CN"/>
        </w:rPr>
        <w:t>。</w:t>
      </w:r>
      <w:r>
        <w:rPr>
          <w:rFonts w:hint="eastAsia"/>
          <w:sz w:val="24"/>
          <w:lang w:val="en-US" w:eastAsia="zh-CN"/>
        </w:rPr>
        <w:t>村党支部动员</w:t>
      </w:r>
      <w:r>
        <w:rPr>
          <w:rFonts w:hint="eastAsia"/>
          <w:sz w:val="24"/>
          <w:lang w:eastAsia="zh-CN"/>
        </w:rPr>
        <w:t>两委成员和村民以土地或资金入股，成立</w:t>
      </w:r>
      <w:r>
        <w:rPr>
          <w:rFonts w:hint="eastAsia"/>
          <w:sz w:val="24"/>
          <w:lang w:val="en-US" w:eastAsia="zh-CN"/>
        </w:rPr>
        <w:t>将军山</w:t>
      </w:r>
      <w:r>
        <w:rPr>
          <w:rFonts w:hint="eastAsia"/>
          <w:sz w:val="24"/>
          <w:lang w:eastAsia="zh-CN"/>
        </w:rPr>
        <w:t>茶叶合作社，</w:t>
      </w:r>
      <w:r>
        <w:rPr>
          <w:rFonts w:hint="eastAsia"/>
          <w:sz w:val="24"/>
          <w:lang w:val="en-US" w:eastAsia="zh-CN"/>
        </w:rPr>
        <w:t>逐渐完善</w:t>
      </w:r>
      <w:r>
        <w:rPr>
          <w:rFonts w:hint="eastAsia"/>
          <w:sz w:val="24"/>
          <w:lang w:eastAsia="zh-CN"/>
        </w:rPr>
        <w:t>产业链，</w:t>
      </w:r>
      <w:r>
        <w:rPr>
          <w:rFonts w:hint="eastAsia"/>
          <w:sz w:val="24"/>
          <w:lang w:val="en-US" w:eastAsia="zh-CN"/>
        </w:rPr>
        <w:t>形成</w:t>
      </w:r>
      <w:r>
        <w:rPr>
          <w:rFonts w:hint="eastAsia"/>
          <w:sz w:val="24"/>
          <w:lang w:eastAsia="zh-CN"/>
        </w:rPr>
        <w:t>济南本地</w:t>
      </w:r>
      <w:r>
        <w:rPr>
          <w:rFonts w:hint="eastAsia"/>
          <w:sz w:val="24"/>
          <w:lang w:val="en-US" w:eastAsia="zh-CN"/>
        </w:rPr>
        <w:t>茶叶品牌</w:t>
      </w:r>
      <w:r>
        <w:rPr>
          <w:rFonts w:hint="eastAsia"/>
          <w:sz w:val="24"/>
          <w:lang w:eastAsia="zh-CN"/>
        </w:rPr>
        <w:t>——马套将军山茶。以茶产业为平台，以农耕文化为纽带，串联起</w:t>
      </w:r>
      <w:r>
        <w:rPr>
          <w:rFonts w:hint="eastAsia"/>
          <w:sz w:val="24"/>
          <w:lang w:val="en-US" w:eastAsia="zh-CN"/>
        </w:rPr>
        <w:t>周边</w:t>
      </w:r>
      <w:r>
        <w:rPr>
          <w:rFonts w:hint="eastAsia"/>
          <w:sz w:val="24"/>
          <w:lang w:eastAsia="zh-CN"/>
        </w:rPr>
        <w:t>村庄，</w:t>
      </w:r>
      <w:r>
        <w:rPr>
          <w:rFonts w:hint="eastAsia"/>
          <w:sz w:val="24"/>
          <w:lang w:val="en-US" w:eastAsia="zh-CN"/>
        </w:rPr>
        <w:t>组建</w:t>
      </w:r>
      <w:r>
        <w:rPr>
          <w:rFonts w:hint="eastAsia"/>
          <w:sz w:val="24"/>
          <w:lang w:eastAsia="zh-CN"/>
        </w:rPr>
        <w:t>党建联合体</w:t>
      </w:r>
      <w:r>
        <w:rPr>
          <w:rFonts w:hint="eastAsia"/>
          <w:sz w:val="24"/>
          <w:lang w:val="en-US" w:eastAsia="zh-CN"/>
        </w:rPr>
        <w:t>和利益共同体，通过</w:t>
      </w:r>
      <w:r>
        <w:rPr>
          <w:rFonts w:hint="eastAsia"/>
          <w:sz w:val="24"/>
          <w:lang w:eastAsia="zh-CN"/>
        </w:rPr>
        <w:t>“党支部</w:t>
      </w:r>
      <w:r>
        <w:rPr>
          <w:rFonts w:hint="eastAsia"/>
          <w:sz w:val="24"/>
          <w:lang w:val="en-US" w:eastAsia="zh-CN"/>
        </w:rPr>
        <w:t>领办</w:t>
      </w:r>
      <w:r>
        <w:rPr>
          <w:rFonts w:hint="eastAsia"/>
          <w:sz w:val="24"/>
          <w:lang w:eastAsia="zh-CN"/>
        </w:rPr>
        <w:t>合作社+资金股东+房屋股民”方式</w:t>
      </w:r>
      <w:r>
        <w:rPr>
          <w:rFonts w:hint="eastAsia"/>
          <w:sz w:val="24"/>
          <w:lang w:val="en-US" w:eastAsia="zh-CN"/>
        </w:rPr>
        <w:t>整合</w:t>
      </w:r>
      <w:r>
        <w:rPr>
          <w:rFonts w:hint="eastAsia"/>
          <w:sz w:val="24"/>
          <w:lang w:eastAsia="zh-CN"/>
        </w:rPr>
        <w:t>资源，“文农旅商”有机结合，成立将军山旅游合作社，打造独具田园特色的乡村民宿，开辟农耕文化体验区，</w:t>
      </w:r>
      <w:r>
        <w:rPr>
          <w:rFonts w:hint="eastAsia"/>
          <w:sz w:val="24"/>
          <w:lang w:val="en-US" w:eastAsia="zh-CN"/>
        </w:rPr>
        <w:t>打造</w:t>
      </w:r>
      <w:r>
        <w:rPr>
          <w:rFonts w:hint="eastAsia"/>
          <w:sz w:val="24"/>
          <w:lang w:eastAsia="zh-CN"/>
        </w:rPr>
        <w:t>集观光、研学、培训、休闲、养生、度假等功能为一体的美丽乡村示范线路——齐鲁8号风情路。</w:t>
      </w:r>
      <w:r>
        <w:rPr>
          <w:rFonts w:hint="eastAsia"/>
          <w:sz w:val="24"/>
          <w:lang w:val="en-US" w:eastAsia="zh-CN"/>
        </w:rPr>
        <w:t>还通过</w:t>
      </w:r>
      <w:r>
        <w:rPr>
          <w:rFonts w:hint="eastAsia"/>
          <w:sz w:val="24"/>
          <w:lang w:eastAsia="zh-CN"/>
        </w:rPr>
        <w:t>“党支部</w:t>
      </w:r>
      <w:r>
        <w:rPr>
          <w:rFonts w:hint="eastAsia"/>
          <w:sz w:val="24"/>
          <w:lang w:val="en-US" w:eastAsia="zh-CN"/>
        </w:rPr>
        <w:t>领办</w:t>
      </w:r>
      <w:r>
        <w:rPr>
          <w:rFonts w:hint="eastAsia"/>
          <w:sz w:val="24"/>
          <w:lang w:eastAsia="zh-CN"/>
        </w:rPr>
        <w:t>合作社+电商平台”</w:t>
      </w:r>
      <w:r>
        <w:rPr>
          <w:rFonts w:hint="eastAsia"/>
          <w:sz w:val="24"/>
          <w:lang w:val="en-US" w:eastAsia="zh-CN"/>
        </w:rPr>
        <w:t>等</w:t>
      </w:r>
      <w:r>
        <w:rPr>
          <w:rFonts w:hint="eastAsia"/>
          <w:sz w:val="24"/>
          <w:lang w:eastAsia="zh-CN"/>
        </w:rPr>
        <w:t>模式，</w:t>
      </w:r>
      <w:r>
        <w:rPr>
          <w:rFonts w:hint="eastAsia"/>
          <w:sz w:val="24"/>
          <w:lang w:val="en-US" w:eastAsia="zh-CN"/>
        </w:rPr>
        <w:t>同时</w:t>
      </w:r>
      <w:r>
        <w:rPr>
          <w:rFonts w:hint="eastAsia"/>
          <w:sz w:val="24"/>
          <w:lang w:eastAsia="zh-CN"/>
        </w:rPr>
        <w:t>线上销售泰山板栗等农副产品以及旅游纪念品。</w:t>
      </w:r>
    </w:p>
    <w:p w14:paraId="6582B7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如果说“农业托管服务主体+农户”是最原始的农业托管服务模式，“农业托管服务主体+集体组织+农户”则属于农业托管服务原始模式的改进版，那么，“党支部领办合作社+农业托管服务主体”则属于农业托管服务模式的升级版。党支部领办合作社基础上开展农业托管服务，至少具有以下几个方面的优势和特色：</w:t>
      </w:r>
    </w:p>
    <w:p w14:paraId="16B6F7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一，它使得基层党组织与入社社员群众形成内生于乡村、内在于农民的利益共同体和发展共同体，落实、巩固、加强了党在农村工作中的领导地位与作用，弥补了集体层面统一经营缺失的不足，为破解乡村碎片化、农民原子化难题，增强农民在乡村经济社会发展中的主体地位与作用，全面推进乡村振兴奠定了组织基础和社会基础。</w:t>
      </w:r>
    </w:p>
    <w:p w14:paraId="52C0791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党支部领办合作社”的基础上开展农业托管服务，与“农户+集体组织+农业托管服务主体”模式之间最大的区别在于，党支部通过合作社利益联结机制，与入社的农民共同组成一个利益共享、风险共担、荣辱与共的利益共同体和发展共同体。党支部领办合作社是内生于乡村、内在于农民的合作经济组织。所谓内生于乡村社会、内在于农民，是指产生发展于乡村社会内部，且与大多数农民群众利益一致。内生于乡村，才能熟悉和了解社区农户；内在于农民，才能与大多数农民形成利益和发展共同体。党支部领办合作社不同于“党支部+合作社”“党支部书记领办合作社”，更不同于企业和大户等市场主体牵头的合作社，是农民自己的组织，党组织与农民成为“一家人”，而不是外在于农民的利益主体，不是“两家人”“各顾各”，共同利益、根本利益的一致性使得党组织把外部交易内部化，更易于化解、协调内部利益纠纷与冲突，形成组织合力。</w:t>
      </w:r>
    </w:p>
    <w:p w14:paraId="792750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党对农村工作的全面领导不是停留在文件里、口号里，而是落实在党组织领导农民发展生产建设家园的实践中。基层党组织能否组织农民、带领农民发展新型集体经济、合作经济，解决农民生产生活困难，关系到党在农村长期执政的经济基础和社会基础。如果缺乏集体经济、合作经济支撑，不能带领农民过上更美好生活，党对农村工作的领导就会落空。</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77"/>
      </w:r>
      <w:r>
        <w:rPr>
          <w:rStyle w:val="18"/>
          <w:rFonts w:hint="eastAsia" w:ascii="宋体" w:hAnsi="宋体" w:eastAsia="宋体" w:cs="宋体"/>
          <w:color w:val="auto"/>
          <w:sz w:val="24"/>
          <w:szCs w:val="21"/>
          <w:lang w:val="en-US" w:eastAsia="zh-CN"/>
        </w:rPr>
        <w:t>]</w:t>
      </w:r>
      <w:r>
        <w:rPr>
          <w:rFonts w:hint="eastAsia"/>
          <w:sz w:val="24"/>
          <w:lang w:val="en-US" w:eastAsia="zh-CN"/>
        </w:rPr>
        <w:t>以党建为引领，打造信仰坚定、甘于奉献、善于经营的“好人+能人”的乡村社区领导群体，通过“党支部领办合作社”发挥集体层面统一经营作用，解决集体经济组织虚化虚置、集体层面统一经营缺失等问题，提升农民组织化程度与水平，增强乡村社会凝聚力、向心力、号召力、发展力，改变乡村碎片化、农民原子化的弱势局面，巩固和加强党对农业农村工作的全面领导，增厚党在农村长期执政的社会基础、组织基础。</w:t>
      </w:r>
    </w:p>
    <w:p w14:paraId="6762D8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二，它不仅破解了农业托管服务主体与单个农户打交道成本高等难题，还可以借助托管服务主体的资金、技术、设备、信息、市场等优势，发展大农业，推进产业融合发展，为解决农业弱质难题，组织农民增强乡村内生发展力提供了实现路径、组织载体。</w:t>
      </w:r>
    </w:p>
    <w:p w14:paraId="5E572D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通过党支部领办合作社，农民以组织化的方式与有实力又乐于服务“三农”的农业托管服务主体合作联合，把托管服务主体的资金、技术、设备、人才、信息、市场等优势，与乡土内生组织化优势，以及农村适度规模化的土地、劳动力等相结合，在优势互补的基础上形成稳定的合作关系，按照不同农户的托管服务需求分类，依托本地产业特色和资源禀赋，整合社区资源，与供销社、农民合作社、涉农企业等托管服务主体建立紧密稳定的利益联结机制，既解决了农业托管服务主体与单个农户的交易困境，又借助农业托管服务主体的优势和实力，有效化解农民拓展延伸产业链供应链价值链创新链能力不足问题，为组织农民发展集体经济、合作经济，增强农民为主体的乡村内生发展活力动力能力找到了实践载体、组织形式和实现路径。</w:t>
      </w:r>
    </w:p>
    <w:p w14:paraId="4A87D70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三，它在党支部领办合作社基础上与农业托管服务主体等参股组建联合社、合作社联合体、企业集团或产业集群，形成各利益主体的联合与合作，突破地域、产业、领域等限制，进一步纵横联合和拓展延伸，为城乡资源要素自由流动优化配置，更大范围、更大规模地推进城乡融合发展打开了空间，拓展了领域，畅通了渠道。</w:t>
      </w:r>
    </w:p>
    <w:p w14:paraId="66D720D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农村集体经济组织具有特定的社区界限，以土地等集体财产为纽带，依法代表集体成员承担社区集体资产经营管理服务，具有社区户籍的成员天然是集体经济组织成员，经营集体资产需要通过村民代表大会等方式征得大多数村民同意，一般遵循稳健原则。党支部领办合作社没有社区户籍资格等限制，并不排斥资金、技术等入股，经营活动更具有灵活性，是农民自愿联合与合作形成的互助组织，通过党建联盟、合作社联合体、产业园区等方式，与农业托管服务主体等进一步组建跨行业、跨区域的经济组织和产业集团，形成片区化、区域化、产业化的联合体，打通产加销储运等产前产中产后各个环节，贯通工农城乡，现代化要素注入与乡村内生发展力增强有机统一，为城乡资源要素自由流动优化配置，构建新型工农城乡关系提供了实现路径、组织形式和有效载体。</w:t>
      </w:r>
    </w:p>
    <w:p w14:paraId="4BE17C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“党支部领办合作社”基础上农业托管服务的实践模式探索</w:t>
      </w:r>
    </w:p>
    <w:p w14:paraId="387C29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党支部领办合作社的组织形式是多样的，党支部领办合作社基础上开展农业托管服务的模式也是多样的，各地根据具体情况和条件确定。围绕党支部如何领办合作社，在党支部领办合作社的基础上“加谁”“如何加”“如何托管”“如何拓展延伸产业链供应链价值链创新链”等方面，山东等地进行了广泛探索，涌现出了多种多样的实践模式。</w:t>
      </w:r>
    </w:p>
    <w:p w14:paraId="474BA8A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1.党支部领办合作社基础上供销社牵头托管</w:t>
      </w:r>
    </w:p>
    <w:p w14:paraId="3BD90A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供销合作社上联政府，下联农民，可以有效解决政府失灵和市场失灵问题，在推进乡村振兴中具有不可替代的作用。山东大规模土地托管服务就是由供销社系统牵头推动的。习近平总书记强调供销合作社是党领导下为农服务的综合性合作经济组织，“牢记为农服务根本宗旨，持续深化综合改革，完善体制机制，拓展服务领域，加快成为服务农民生产生活的综合平台，成为党和政府密切联系农民群众的桥梁纽带”</w:t>
      </w:r>
      <w:r>
        <w:rPr>
          <w:rStyle w:val="20"/>
          <w:rFonts w:hint="eastAsia" w:ascii="宋体" w:hAnsi="宋体" w:eastAsia="宋体" w:cs="宋体"/>
          <w:color w:val="auto"/>
          <w:sz w:val="24"/>
          <w:szCs w:val="21"/>
          <w:lang w:val="en-US" w:eastAsia="zh-CN"/>
        </w:rPr>
        <w:footnoteReference w:id="278"/>
      </w:r>
      <w:r>
        <w:rPr>
          <w:rFonts w:hint="eastAsia"/>
          <w:sz w:val="24"/>
          <w:lang w:val="en-US" w:eastAsia="zh-CN"/>
        </w:rPr>
        <w:t>。2015年3月，中共中央、国务院发布了《关于深化供销合作社综合改革的决定(中发[2015]11号)》，指出“把供销合作社系统打造成为与农民联结更紧密、为农服务功能更完备、市场化运行更高效的合作经济组织体系，成为服务农民生产生活的生力军和综合平台”。山东省政府办公厅出台了《关于支持供销合作社深化农业托管服务 增强为农服务能力的指导意见（鲁政办字[2021]7号）》</w:t>
      </w:r>
      <w:r>
        <w:rPr>
          <w:rStyle w:val="20"/>
          <w:rFonts w:hint="eastAsia" w:ascii="宋体" w:hAnsi="宋体" w:eastAsia="宋体" w:cs="宋体"/>
          <w:color w:val="auto"/>
          <w:sz w:val="24"/>
          <w:szCs w:val="21"/>
          <w:lang w:val="en-US" w:eastAsia="zh-CN"/>
        </w:rPr>
        <w:footnoteReference w:id="279"/>
      </w:r>
      <w:r>
        <w:rPr>
          <w:rFonts w:hint="eastAsia"/>
          <w:sz w:val="24"/>
          <w:lang w:val="en-US" w:eastAsia="zh-CN"/>
        </w:rPr>
        <w:t>。山东省供销社系统贯彻习近平总书记和党中央关于供销社改革的重要精神，坚持“姓农、为农、务农”原则，率先进行了大规模“为农民打工”的土地托管服务实践，成立了山东供销农业服务集团股份有限公司、山东供销现代农业发展集团有限公司等，作为省级综合平台和农业社会化服务的龙头企业，在推动党支部领办股份合作社基础上，促进农业适度规模经营，引领社有企业跨区域、跨领域联合合作，打造农业社会化服务“国家队”和供销品牌。</w:t>
      </w:r>
    </w:p>
    <w:p w14:paraId="14F460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山东省供销社联合地方党委政府，由乡镇党委政府和村两委引导农民自愿以承包土地经营权等入股，村集体以溢出土地、基础设施、管理服务等入股，带动农民组建股份合作社，供销社在当地成立农业托管服务公司或为农服务中心，组建专业服务队伍，整合有关资源力量，以基层党建为引领，推广“党支部领办股份合作社+农业托管服务”模式，通过“党建带社建，村社共建”、“全程托管+保底承诺”等方式为土地股份合作社开展托管服务，推行“三化五统十服务”</w:t>
      </w:r>
      <w:r>
        <w:rPr>
          <w:rStyle w:val="20"/>
          <w:rFonts w:hint="eastAsia" w:ascii="宋体" w:hAnsi="宋体" w:eastAsia="宋体" w:cs="宋体"/>
          <w:color w:val="auto"/>
          <w:sz w:val="24"/>
          <w:szCs w:val="21"/>
          <w:lang w:val="en-US" w:eastAsia="zh-CN"/>
        </w:rPr>
        <w:footnoteReference w:id="280"/>
      </w:r>
      <w:r>
        <w:rPr>
          <w:rFonts w:hint="eastAsia"/>
          <w:sz w:val="24"/>
          <w:lang w:val="en-US" w:eastAsia="zh-CN"/>
        </w:rPr>
        <w:t>，进行机械化智能化规模化耕种收作业，采用精量播种、智能配肥、粮食烘干等先进农业技术，节省耕作成本，提高生产效率和产出率，减少灾害霉变损失，构建供销社现代农业发展服务体系，把供销社服务优势和党的组织优势结合起来，把乡村产业发展与乡村建设结合起来，实现基层供销社与乡村社区共建共治共享，部分领导干部交叉任职，降低农业托管服务成本，提高服务的稳定性和效率质量，采取“保底收益+盈余分红”等分配机制，确保农民利益不受损，“离田不离地”，土地“小田变大田”</w:t>
      </w:r>
      <w:r>
        <w:rPr>
          <w:rStyle w:val="20"/>
          <w:rFonts w:hint="eastAsia" w:ascii="宋体" w:hAnsi="宋体" w:eastAsia="宋体" w:cs="宋体"/>
          <w:color w:val="auto"/>
          <w:sz w:val="24"/>
          <w:szCs w:val="21"/>
          <w:lang w:val="en-US" w:eastAsia="zh-CN"/>
        </w:rPr>
        <w:footnoteReference w:id="281"/>
      </w:r>
      <w:r>
        <w:rPr>
          <w:rFonts w:hint="eastAsia"/>
          <w:sz w:val="24"/>
          <w:lang w:val="en-US" w:eastAsia="zh-CN"/>
        </w:rPr>
        <w:t>。</w:t>
      </w:r>
    </w:p>
    <w:p w14:paraId="6AB208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随着农业托管业务的扩展，山东省供销社系统积极拓展服务领域，创新服务方式，服务对象由龙头企业、农民合作社、家庭农场、专业大户等适度规模经营主体向分散经营农户延伸；服务领域由大田粮食作物向山区、丘陵经济作物延伸；服务手段由机械化服务向全产业链科技进步提升；服务方式由提高农业生产水平向促进一二三产业融合发展提升。山东省供销社采取资本联合、项目合作等方式，组建山东供销资本投资(集团)公司等省级社会化服务平台，深化供销社内部改革，上下联动、功能互补，优化服务流程，以供销供应链管理公司为龙头，组织所属商超企业开展联采分销，建设县级综合集配中心、乡镇综合服务站、村级综合服务社，组建日用品、农资等流通企业、县级配送中心、连锁经营网点等，提供生产资料购销、农产品销售、生活用品等便民服务，构建农村现代商贸流通服务体系。</w:t>
      </w:r>
      <w:r>
        <w:rPr>
          <w:rStyle w:val="20"/>
          <w:rFonts w:hint="eastAsia" w:ascii="宋体" w:hAnsi="宋体" w:eastAsia="宋体" w:cs="宋体"/>
          <w:color w:val="auto"/>
          <w:sz w:val="24"/>
          <w:szCs w:val="21"/>
          <w:lang w:val="en-US" w:eastAsia="zh-CN"/>
        </w:rPr>
        <w:footnoteReference w:id="282"/>
      </w:r>
    </w:p>
    <w:p w14:paraId="13155B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3：山东济宁市供销社系统组建山东儒家圣地供销集团、山东圣地供销农业服务公司等服务龙头，通过股权合作，引领社有企业跨区域横向联合和跨层级纵向合作，整体提升供销系统农业托管服务能力。以县域为切入点，成立县级供销集团、农业服务联合体、合作社联盟，乡镇成立供销为农服务中心、农民合作社联合体，平原一般以3-5公里为服务半径，辐射面积3-5万亩，山区一般以6-10公里为服务半径，辐射面积6-10万亩。在村级层面，积极探索“支部领办+土地入股+整建制托管+农业保险+保底分红”的托管模式，农民以土地承包经营权折价入股，村集体以农田水电设施、办公场所使用权折价及溢出土地入股，供销社以现金出资、服务设施入股，在嘉祥、泗水、汶上等县市组建土地股份合作社，入社农民除享受土地保底收益外，根据交易量（额）享受合作社二次分红；村集体获得稳定的股权收益和管理费用。以汶上、金乡为试点，组织实力强的涉农龙头企业、基层社，整合社员土地进行机械化规模化智能化耕作，农资统采统购、病虫害统防统治等全方位农业托管服务</w:t>
      </w:r>
      <w:r>
        <w:rPr>
          <w:rFonts w:hint="eastAsia"/>
          <w:sz w:val="24"/>
        </w:rPr>
        <w:t>。</w:t>
      </w:r>
      <w:r>
        <w:rPr>
          <w:rFonts w:hint="eastAsia"/>
          <w:sz w:val="24"/>
          <w:lang w:val="en-US" w:eastAsia="zh-CN"/>
        </w:rPr>
        <w:t>山东德州、枣庄、滨州、潍坊等地市供销社系统成立农业服务公司，村党支部引导农民组建土地股份合作社，整合土地成方连片，开展全方位农业托管服务</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83"/>
      </w:r>
      <w:r>
        <w:rPr>
          <w:rStyle w:val="18"/>
          <w:rFonts w:hint="eastAsia" w:ascii="宋体" w:hAnsi="宋体" w:eastAsia="宋体" w:cs="宋体"/>
          <w:color w:val="auto"/>
          <w:sz w:val="24"/>
          <w:szCs w:val="21"/>
          <w:lang w:val="en-US" w:eastAsia="zh-CN"/>
        </w:rPr>
        <w:t>]</w:t>
      </w:r>
      <w:r>
        <w:rPr>
          <w:rFonts w:hint="eastAsia"/>
          <w:sz w:val="24"/>
          <w:lang w:val="en-US" w:eastAsia="zh-CN"/>
        </w:rPr>
        <w:t>。</w:t>
      </w:r>
    </w:p>
    <w:p w14:paraId="18024D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2.党支部领办合作社基础上整合本地资源直接开展托管服务</w:t>
      </w:r>
    </w:p>
    <w:p w14:paraId="223F9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本地从事农业生产资料、农机耕作的涉农企业、家庭农场、农民合作社、种田大户等进行托管经营，对建设家乡具有较多的社会责任感。村集体以资产、土地、服务、基础设施等入股，农户以承包土地入股，以党支部领办村级集体股份合作社为基础和服务载体，整合周边农机具、农机手、合作社和涉农企业，和农户签订农业生产托管服务合同，提供耕、种、防、收、农资供应、产品储存、烘干、销售等全部或部分作业环节服务，与农民形成相对均衡的谈判地位、较为稳定的合作关系和利益联结机制，既服务了农民，又扩大了经营业务规模，获得了稳定的种养基地、原料来源和市场规模。按照农业托管服务规模和实际要求，合作社组织村民代表择优选定农资供应商和托管服务主体，村干部入户对接、集中统计，摸清农户具体需求种类和数量，制定全托管或半托管“A、B、C、D”金额不等的服务套餐，供农户选择，统一托管无力种地、不愿种地农户的土地，集中托管一家一户办不了、办不好或办起来不划算的生产环节，农资统一购采供应，连片耕作。</w:t>
      </w:r>
    </w:p>
    <w:p w14:paraId="6440033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4：山东省临朐县在推进村党支部领办合作社过程中，坚持立足本地资源禀赋条件，深度融合当地产业发展，探索了“党支部领办合作社+行业联合社、主导产业、龙头企业、劳务合作”等模式。山东临朐县冶源街道LG村2017年开始党支部领办合作社，通过流转土地1100亩，以西山以及小蚕山为基础打造千亩花椒基地。2022年，共收购花椒71667斤，实现销售收入215万元，户均增收8000多元，村集体收入26万元。在镇党委的协调下，2022年又联合周边7个村成立合作社联合社，实行“联合社+合作社+农户+基地”经营模式，辐射赤良峪、平安峪、米山、湾头河等村，花椒产业发展到4000多亩，并加大花椒深加工力度，开发花椒酱、花椒油、花椒咸菜等新产品。临朐县城关街道HLL村党支部于2020年联合周边村庄21家大樱桃合作社，成立了临朐县HQ大樱桃农民专业合作社联合社，充分发挥党支部领办合作社的引领作用，建立了城关街道大棚樱桃特色产业园，推动种植规模化、经营产业化，初步成为带动临朐县西部片区樱桃产业发展的领头社。2022年，合作社经营收入589万元，增加村集体经济收入28.9万元。</w:t>
      </w:r>
    </w:p>
    <w:p w14:paraId="0757D1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3.党建联盟为统领，整合组建区域性为农服务中心和服务综合体</w:t>
      </w:r>
    </w:p>
    <w:p w14:paraId="720679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单纯依靠合作社或者某一个农业托管服务主体，很难有实力和条件提供全产业链、全方位托管服务，在这种情况下，以党组织为领导核心，依托某一个或几个主要的有实力、有意愿服务农民的农业托管服务主体，整合各类主体和功能要素组建区域服务中心和产业联盟，提供全产业链托管服务和集成高效的解决方案。</w:t>
      </w:r>
    </w:p>
    <w:p w14:paraId="3D8743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5：山东潍坊高密市实行社区、合作社、供销社、信用社“四社”共建，通过村庄片区化整合，组建党建联合体，以党建联合体与供销社牵头建立社区为农服务中心为“1”，农业农村、粮食、金融、气象等部门为“N”，构建“1+N”协同为农服务体系，为土地托管和集约化经营，推动农业现代化保驾护航。社区党组织整合资源，联系供销社、信用社，定期邀请专家授课，为村级合作社提供信息等服务。供销社发挥农资供销优势，建成19处为农服务中心，吸纳农业龙头企业、种养大户、家庭农场，参与土地托管和集约化经营，提供技术指导、农资供应、测土配方、粮食销售等“一站式”服务。农村信用社发挥信贷资金优势，开展特色金融服务，提供各类支农惠农资金。合作社负责流转土地，通过集体自营、流转外包、合作共建等模式提供农业托管服务。集体自营，即整合村集体所有的荒地、复垦地等，由合作社直接经营，自负盈亏。流转外包，即合作社把村民手中土地集中流转给种粮大户或企业经营，从中收取管理服务费。合作共建，即合作社依托为农服务中心统一管理流转土地，按照既定比例进行分红。</w:t>
      </w:r>
    </w:p>
    <w:p w14:paraId="2C1BC1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4.党支部领办合作社基础上推动社区化整合和城乡融合发展</w:t>
      </w:r>
    </w:p>
    <w:p w14:paraId="57BC3E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为整合乡村资源，增强乡村内生发展力，山东许多地区依托村级党支部领办合作社，以县域为切入点，乡镇为运作单位，进行乡村社区化整合，联合供销社、涉农企业、合作社等农业托管服务主体，以党建联合体、乡村振兴样板示范区、产业园区、农村综合性改革试验区等形式，通过“土地入股+保底分红”等利益联结方式，以组织融合促服务融合、治理融合、产业融合，打破地域、行业、领域等限制，进一步实现生产经营科技数智化、机械化、规模化、集约化，推动共建共治共享，推动城乡融合发展和新型工农城乡关系的构建。</w:t>
      </w:r>
    </w:p>
    <w:p w14:paraId="33633A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6：山东诸城展开了全域范围内党支部领办合作社基础上农业托管服务，并推动村庄进行社区化整合规划。诸城百尺河镇通过党员议事会、群众代表会议、入户走访等多种方式，动员农民把土地流转到党支部领办的合作社，重新整合镇域村庄为桃元社区、岳沟社区、小仁和社区、大仁和社区、河套社区等乡村发展示范片区，支持成立23家规模较大的农机专业合作社，引进一批智能联合收割机、激光平地仪、无人驾驶拖拉机、旋转式喷溉机、撒肥机、植保无人机、收割机、粮食烘干机等高科技智能化农机设备，耕、种、保、收、存、运等机械化、规模化、科技化、智能化，发展迈饶、源丰、百兴等仓储物流项目，规划建设源晟粮食全产业链生产加工中心，实行仓储、物流、贸易、深加工全产业链服务，通过“党支部领办，合作社经营，老百姓分红”等方式，农田标准化、品种良种化、收购订单化、加工销售品牌化，“产收储加销”一体化经营，发挥产业园集群优势，既保障粮食的生产仓储，又延长产业链，实现由一家一户个体经营向适度规模化集体经营转变。</w:t>
      </w:r>
    </w:p>
    <w:p w14:paraId="670EE7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5.国有企业等牵头农业托管服务模式</w:t>
      </w:r>
    </w:p>
    <w:p w14:paraId="66AEB0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除了山东大规模推进党支部领办合作社基础上的农业托管服务之外，全国很多地方也纷纷进行了相关实践探索。北大荒集团作为农业国企龙头之一，依托自身雄厚实力和经营网络，通过“国有农垦公司+地方党委政府+集体组织+农户”等模式，积极开展垦地合作，由地方党委政府和农村集体组织协调广大农户服务需求，统一采购供应农业生产资料，统一提供农业融资保险、收储物流、销售加工、技术指导，推广应用智能化大型农机装备，打造数字农业智慧服务平台，向地方“平移”先进的生产模式、作业方式、生产标准，从散户种植向规模化、专业化、集约化、智能化种植转变，建构新型农业生产体系、经营体系，把个体小农户纳入供产销、储加运于一体的现代化经营体系</w:t>
      </w:r>
      <w:r>
        <w:rPr>
          <w:rStyle w:val="20"/>
          <w:rFonts w:hint="eastAsia" w:ascii="宋体" w:hAnsi="宋体" w:eastAsia="宋体" w:cs="宋体"/>
          <w:color w:val="auto"/>
          <w:sz w:val="24"/>
          <w:szCs w:val="21"/>
          <w:lang w:val="en-US" w:eastAsia="zh-CN"/>
        </w:rPr>
        <w:footnoteReference w:id="284"/>
      </w:r>
      <w:r>
        <w:rPr>
          <w:rFonts w:hint="eastAsia"/>
          <w:sz w:val="24"/>
          <w:lang w:val="en-US" w:eastAsia="zh-CN"/>
        </w:rPr>
        <w:t>，立足东北，向河北、山东、河南、浙江、湖南、江西、湖北、安徽等省市地区推广，大大节约了耕作成本，提高了生产效率和农产品品质，担负起保障国家粮食安全、推动乡村振兴的重大历史和社会责任。</w:t>
      </w:r>
    </w:p>
    <w:p w14:paraId="31A1FE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案例7：农村改革“发源地”安徽小岗村把村内最贫瘠、落差8米的陡坡旱地委托给北大荒集团，建设成为生产机械化、信息化、智能化的七星农场</w:t>
      </w:r>
      <w:r>
        <w:rPr>
          <w:rStyle w:val="20"/>
          <w:rFonts w:hint="eastAsia" w:ascii="宋体" w:hAnsi="宋体" w:eastAsia="宋体" w:cs="宋体"/>
          <w:color w:val="auto"/>
          <w:sz w:val="24"/>
          <w:szCs w:val="21"/>
          <w:lang w:val="en-US" w:eastAsia="zh-CN"/>
        </w:rPr>
        <w:footnoteReference w:id="285"/>
      </w:r>
      <w:r>
        <w:rPr>
          <w:rFonts w:hint="eastAsia"/>
          <w:sz w:val="24"/>
          <w:lang w:val="en-US" w:eastAsia="zh-CN"/>
        </w:rPr>
        <w:t>，成为了亩产千斤以上的水稻良田。北大荒集团推动小岗村农业发展转型升级，建成了集特色农产品展厅、物联网管理服务大厅、农机大院、仓储中心、烘干中心、育秧工厂等功能区于一体的安徽农垦小岗生态农业服务中心</w:t>
      </w:r>
      <w:r>
        <w:rPr>
          <w:rStyle w:val="20"/>
          <w:rFonts w:hint="eastAsia" w:ascii="宋体" w:hAnsi="宋体" w:eastAsia="宋体" w:cs="宋体"/>
          <w:color w:val="auto"/>
          <w:sz w:val="24"/>
          <w:szCs w:val="21"/>
          <w:lang w:val="en-US" w:eastAsia="zh-CN"/>
        </w:rPr>
        <w:footnoteReference w:id="286"/>
      </w:r>
      <w:r>
        <w:rPr>
          <w:rFonts w:hint="eastAsia"/>
          <w:sz w:val="24"/>
          <w:lang w:val="en-US" w:eastAsia="zh-CN"/>
        </w:rPr>
        <w:t>。小岗村在党组织领导下成立集体资产股份合作社，开展资源变资产、资金变股金、农民变股东“三变改革”，给村民发放股权证，“家家包地”变成“人人持股”，确权不确地，集体保留土地调整权，而不愿意耕种的土地交给合作社整合，包括溢出土地、集体荒地等托管给现代企业集团耕作</w:t>
      </w:r>
      <w:r>
        <w:rPr>
          <w:rStyle w:val="20"/>
          <w:rFonts w:hint="eastAsia" w:ascii="宋体" w:hAnsi="宋体" w:eastAsia="宋体" w:cs="宋体"/>
          <w:color w:val="auto"/>
          <w:sz w:val="24"/>
          <w:szCs w:val="21"/>
          <w:lang w:val="en-US" w:eastAsia="zh-CN"/>
        </w:rPr>
        <w:footnoteReference w:id="287"/>
      </w:r>
      <w:r>
        <w:rPr>
          <w:rFonts w:hint="eastAsia"/>
          <w:sz w:val="24"/>
          <w:lang w:val="en-US" w:eastAsia="zh-CN"/>
        </w:rPr>
        <w:t>。</w:t>
      </w:r>
    </w:p>
    <w:p w14:paraId="16B79C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“党支部领办合作社”基础上农业托管服务的现实难题与</w:t>
      </w:r>
    </w:p>
    <w:p w14:paraId="51631E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实践经验</w:t>
      </w:r>
    </w:p>
    <w:p w14:paraId="52C7B4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要推动“党支部领办合作社+农业托管服务”的持续健康发展，以此为抓手促进乡村全面振兴，面临着组织农民难、产业发展难、权力监管难、共同致富难等一些问题，主要表现在以下几个方面：一是如何组织农民更好地对接农业托管服务主体；二是如何依托有实力有意愿带领农民振兴乡村的农业托管服务主体，突破初级产品种养环节，不断增强拓展延伸产业链供应链价值链创新链的能力，协同推进新型农村工业化、城镇化、信息化和农业现代化；三是发展过程中如何建立科学合理的利益联结与分配机制，特别是如何使得普通农户分享初级产品种养环节之外的更高利润；四是如何防止新型农村集体经济、合作经济发展过程中的“微腐败”，防止异化变质为“干部经济”。针对农业托管服务中出现的一系列问题和难题，山东等地在实践中探索出一些好的经验做法。</w:t>
      </w:r>
    </w:p>
    <w:p w14:paraId="5352C7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首先，党建引领，打造“好人+能人”的乡村带头人队伍，充分发挥基层党组织的战斗堡垒作用，组织农民组建各种类型的合作社，以组织振兴推进产业振兴。</w:t>
      </w:r>
    </w:p>
    <w:p w14:paraId="274E5D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习近平总书记指出：“办好农村的事情，实现乡村振兴，关键在党。”“坚持五级书记抓乡村振兴。”</w:t>
      </w:r>
      <w:r>
        <w:rPr>
          <w:rStyle w:val="20"/>
          <w:rFonts w:hint="eastAsia" w:ascii="宋体" w:hAnsi="宋体" w:eastAsia="宋体" w:cs="宋体"/>
          <w:color w:val="auto"/>
          <w:sz w:val="24"/>
          <w:szCs w:val="21"/>
          <w:lang w:val="en-US" w:eastAsia="zh-CN"/>
        </w:rPr>
        <w:footnoteReference w:id="288"/>
      </w:r>
      <w:r>
        <w:rPr>
          <w:rFonts w:hint="eastAsia"/>
          <w:sz w:val="24"/>
          <w:lang w:val="en-US" w:eastAsia="zh-CN"/>
        </w:rPr>
        <w:t>“农村工作千头万绪，抓好农村基层组织建设是关键。</w:t>
      </w:r>
      <w:r>
        <w:rPr>
          <w:rStyle w:val="20"/>
          <w:rFonts w:hint="eastAsia" w:ascii="宋体" w:hAnsi="宋体" w:eastAsia="宋体" w:cs="宋体"/>
          <w:color w:val="auto"/>
          <w:sz w:val="24"/>
          <w:szCs w:val="21"/>
          <w:lang w:val="en-US" w:eastAsia="zh-CN"/>
        </w:rPr>
        <w:footnoteReference w:id="289"/>
      </w:r>
      <w:r>
        <w:rPr>
          <w:rFonts w:hint="eastAsia"/>
          <w:sz w:val="24"/>
          <w:lang w:val="en-US" w:eastAsia="zh-CN"/>
        </w:rPr>
        <w:t>”农村基层党组织是乡村振兴的直接组织者、实施者和推动者，山东实施“头雁领航”工程，念好“选、育、管、用”四字诀，着力建强农村党支部书记队伍，制定五级书记抓乡村振兴责任《实施细则》，各司其职、形成合力，将组织振兴纳入综合绩效考核、基层党建工作纳入述职评议考核，以党组织建设带动组织振兴，全面推行党组织领办合作社，创新组织设置方式，推进党组织联建共建，依托产业特色和资源禀赋，整合力量，发展产业项目，构建共建共治共享的乡村治理格局。2022年，山东省4.24万家合作社带动集体增收18.9亿元、社员增收73.5亿元。平均每个合作社增加集体收入4.46万元，成员户均增收2416.31元。</w:t>
      </w:r>
      <w:r>
        <w:rPr>
          <w:rStyle w:val="20"/>
          <w:rFonts w:hint="eastAsia" w:ascii="宋体" w:hAnsi="宋体" w:eastAsia="宋体" w:cs="宋体"/>
          <w:color w:val="auto"/>
          <w:sz w:val="24"/>
          <w:szCs w:val="21"/>
          <w:lang w:val="en-US" w:eastAsia="zh-CN"/>
        </w:rPr>
        <w:footnoteReference w:id="290"/>
      </w:r>
    </w:p>
    <w:p w14:paraId="4BDE0D0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农村不缺能人，但是缺乏愿意带领农民共同致富的“带头人”，组织农民最主要的条件是，培育“好人+能人”的乡村振兴带头人队伍，建立强有力的基层党组织，一般需要政府扶持下加强对乡村能人或者“新乡贤群体”的党性教育</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91"/>
      </w:r>
      <w:r>
        <w:rPr>
          <w:rStyle w:val="18"/>
          <w:rFonts w:hint="eastAsia" w:ascii="宋体" w:hAnsi="宋体" w:eastAsia="宋体" w:cs="宋体"/>
          <w:color w:val="auto"/>
          <w:sz w:val="24"/>
          <w:szCs w:val="21"/>
          <w:lang w:val="en-US" w:eastAsia="zh-CN"/>
        </w:rPr>
        <w:t>]</w:t>
      </w:r>
      <w:r>
        <w:rPr>
          <w:rFonts w:hint="eastAsia"/>
          <w:sz w:val="24"/>
          <w:lang w:val="en-US" w:eastAsia="zh-CN"/>
        </w:rPr>
        <w:t>，许多地方还把帮助托管服务主体协调农民整合土地规模作为对乡村干部进行绩效考核的重要指标。党支部领办合作社作为内生于乡村、内在于农民的利益共同体和发展共同体，可以通过确权不确地、土地互换、股份合作、村庄片区化开发等方式，使得土地规模连片的同时，还通过消灭部分田埂、田间小道等增加溢出土地，掌握大片土地的经营权。根据农户的利益诉求、地块地力等不同，分类托管给供销社、专业合作社、涉农企业等有实力的服务主体，或者再次租赁、承包给大户种植瓜果蔬菜、中药材等收益更高的经济作物，获取高于粮食作物的亩均效益。有条件的党支部还可以整合土地等资源，留出一部分土地组织农民直接经营，依托供销社、涉农企业等，拓展延伸产业链供应链价值链，发展集体经济、合作经济。</w:t>
      </w:r>
    </w:p>
    <w:p w14:paraId="668D309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8：山东淄博桓台县以村党支部领办合作社为根本举措，依托供销社等农业托管服务主体，以乡镇为基本运作单元进行片区化整合，设立镇级综合服务平台，负责统购、统管、统销，提供各环节托管服务，优势叠加互补，拓展延伸产业链价值链，激发乡村振兴内生发展力。果里镇SJ村党支部领办合作社流转土地种植特色芦笋，与下游深加工企业签订订单，并逐步增加合作社深加工能力，促进集体和农民增收。</w:t>
      </w:r>
      <w:r>
        <w:rPr>
          <w:rStyle w:val="20"/>
          <w:rFonts w:hint="eastAsia" w:ascii="宋体" w:hAnsi="宋体" w:eastAsia="宋体" w:cs="宋体"/>
          <w:color w:val="auto"/>
          <w:sz w:val="24"/>
          <w:szCs w:val="21"/>
          <w:lang w:val="en-US" w:eastAsia="zh-CN"/>
        </w:rPr>
        <w:footnoteReference w:id="292"/>
      </w:r>
    </w:p>
    <w:p w14:paraId="6AC01F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案例9：山东烟台市福山区高疃镇DK村党支部领办了清洋河农民专业合作社，发展设施果蔬种植，建立草莓采摘园、红石榴绿色农场，依托村庄山清水秀的优质自然环境，与专业文旅公司达成战略合作协议，按照保护性开发和原生态打造的理念，激活乡村资源，形成了农家乐＋旅游观光＋特色民宿于一体的文旅产业。</w:t>
      </w:r>
      <w:r>
        <w:rPr>
          <w:rStyle w:val="20"/>
          <w:rFonts w:hint="eastAsia" w:ascii="宋体" w:hAnsi="宋体" w:eastAsia="宋体" w:cs="宋体"/>
          <w:color w:val="auto"/>
          <w:sz w:val="24"/>
          <w:szCs w:val="21"/>
          <w:lang w:val="en-US" w:eastAsia="zh-CN"/>
        </w:rPr>
        <w:footnoteReference w:id="293"/>
      </w:r>
    </w:p>
    <w:p w14:paraId="2E6934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突破区域、行业、领域等限制,以县域为切入点，乡镇为基本运作单位，以党支部领办合作社为基础，以党建联盟为统领，纵横向联合与合作，形成产业联合体和服务综合体，以组织融合促进产业融合和工农城乡融合发展。</w:t>
      </w:r>
    </w:p>
    <w:p w14:paraId="41C92DF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全面推进乡村振兴，优先发展农业农村，就要扭转劳动力、土地、资金等资源要素持续单向流出的“失血”局面，以“输血”增强“造血”功能，现代化要素注入与乡村内生发展力增强有机统一。从调研情况看，由于青壮年劳动力持续流出，“党支部领办合作社”后，仅依靠村集体组织和留守老人、妇女等自身力量发展起来难度非常大，要么是“无心无力”，要么是“有心无力”。现代产业体系和经济体系的深度、广度早已突破单一村庄、单一产品、单一环节的限制，以村域范围内的人才、土地、资金、技术等很难支撑农产品精深加工和先进科技装备的推广应用。大农业并非是简单地扩大经营规模，不是传统耕作方式的合并，也不是简单停留在初级产品生产环节。党支部领办合作社不是抵制、排斥资本、人才、技术等各类现代化要素注入农业农村，而是把农业托管服务主体的资金、技术、人才等优势与农村劳动力、土地、生态等优势以组织化的方式更好结合起来，依托产业特色和资源禀赋，注入新技术、新管理、新知识、新装备等现代化要素，突破低附加值初级产品种养环节的限制，增强农业农村综合效益与发展竞争力，推进现代科技成果的应用，发展智慧农业、循环农业、有机农业、体验型农业等，夯实农业生产能力，开发农业的生态、教育、文化、康养、休闲、旅游、农事体验等功能，建设宜居宜业和美乡村，走出一条“小农业、穷农村、弱农民——大农业、新农村、强农民——强农业、美农村、新农民”的乡村振兴新路（见图1）。</w:t>
      </w:r>
    </w:p>
    <w:p w14:paraId="6A5358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郡县治，天下安</w:t>
      </w:r>
      <w:r>
        <w:rPr>
          <w:rStyle w:val="20"/>
          <w:rFonts w:hint="eastAsia" w:ascii="宋体" w:hAnsi="宋体" w:eastAsia="宋体" w:cs="宋体"/>
          <w:color w:val="auto"/>
          <w:sz w:val="24"/>
          <w:szCs w:val="21"/>
          <w:lang w:val="en-US" w:eastAsia="zh-CN"/>
        </w:rPr>
        <w:footnoteReference w:id="294"/>
      </w:r>
      <w:r>
        <w:rPr>
          <w:rFonts w:hint="eastAsia"/>
          <w:sz w:val="24"/>
          <w:lang w:val="en-US" w:eastAsia="zh-CN"/>
        </w:rPr>
        <w:t>。县域是城乡融合发展的交汇点、契合点，拥有较完备的产业体系和社会功能，更易于以工农城乡要素双向流动为支撑推动融合发展，是乡村振兴的主战场。政府投入基础建设，更好地服务农民的生产生活，需要一定规模效益，村庄小型化和农民分散居住构成严重的制约因素。以县域为切入点，以村级合作社为基础单元，以党建联合体为统领，以产业区和乡镇为运作单位，以“党支部领办合作社+供销社、涉农企业”、“党支部领办合作社+党建联合体、合作社联合体+村庄片区化发展、乡村振兴示范片区、乡镇综合服务中心（平台）+托管服务主体”等多种模式，组建区域性社会化服务综合平台和服务联盟，规范经营服务标准和利益分配联结机制，以先进科技装备为支撑，开展全链条、全过程、全要素、全方位的农业托管服务。在做好传统村庄保护、生态空间规划的基础上，以产业发展为纽带，适度规模地合村并居建设新型乡村社区，通过党支部领办合作社基础上组建党建联盟、合作社联合社、为农服务中心等，进行资源整合，与供销社、国有企业、托管服务企业等联合形成乡村振兴示范区、产业园区、城乡融合发展区等，进一步纵横联合和拓展延伸，积极推进县域工农城乡融合发展，推进以县城为重要载体，以中心村、产业园区、特色小镇等为重要依托的新型城镇化，统筹县域城乡产业发展、生态治理、园区建设、城乡规划、公共服务，优化城乡生产生活生态空间，形成更大规模、更大空间、更宽领域的农业托管服务升级版的2.0版，甚至3.0版，协调推进新型农村工业化、城镇化、信息化和农业现代化，为构建新型工农城乡关系和新发展格局提供实践路径。</w:t>
      </w:r>
    </w:p>
    <w:p w14:paraId="7503DE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drawing>
          <wp:inline distT="0" distB="0" distL="114300" distR="114300">
            <wp:extent cx="5497195" cy="2929890"/>
            <wp:effectExtent l="0" t="0" r="14605" b="16510"/>
            <wp:docPr id="243" name="图片 243" descr="24f1c54b0bfe2438ea21303998b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24f1c54b0bfe2438ea21303998b8719"/>
                    <pic:cNvPicPr>
                      <a:picLocks noChangeAspect="1"/>
                    </pic:cNvPicPr>
                  </pic:nvPicPr>
                  <pic:blipFill>
                    <a:blip r:embed="rId36"/>
                    <a:stretch>
                      <a:fillRect/>
                    </a:stretch>
                  </pic:blipFill>
                  <pic:spPr>
                    <a:xfrm>
                      <a:off x="0" y="0"/>
                      <a:ext cx="5497195" cy="2929890"/>
                    </a:xfrm>
                    <a:prstGeom prst="rect">
                      <a:avLst/>
                    </a:prstGeom>
                    <a:noFill/>
                    <a:ln>
                      <a:noFill/>
                    </a:ln>
                  </pic:spPr>
                </pic:pic>
              </a:graphicData>
            </a:graphic>
          </wp:inline>
        </w:drawing>
      </w:r>
    </w:p>
    <w:p w14:paraId="50F0BB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图1 持续增强乡村内生发展力的乡村振兴新路图示</w:t>
      </w:r>
    </w:p>
    <w:p w14:paraId="0FB99D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再次，在党支部领办合作社的基础上完善相关主体的利益联结机制与合作机制，充分发挥农民主体地位与作用，打造农业托管服务主体与农民的利益共同体和发展共同体。</w:t>
      </w:r>
    </w:p>
    <w:p w14:paraId="3ACFB2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习近平总书记指出，“要发挥亿万农民的主体作用和首创精神，调动他们的积极性、主动性、创造性。</w:t>
      </w:r>
      <w:r>
        <w:rPr>
          <w:rStyle w:val="20"/>
          <w:rFonts w:hint="eastAsia" w:ascii="宋体" w:hAnsi="宋体" w:eastAsia="宋体" w:cs="宋体"/>
          <w:color w:val="auto"/>
          <w:sz w:val="24"/>
          <w:szCs w:val="21"/>
          <w:lang w:val="en-US" w:eastAsia="zh-CN"/>
        </w:rPr>
        <w:footnoteReference w:id="295"/>
      </w:r>
      <w:r>
        <w:rPr>
          <w:rFonts w:hint="eastAsia"/>
          <w:sz w:val="24"/>
          <w:lang w:val="en-US" w:eastAsia="zh-CN"/>
        </w:rPr>
        <w:t>”“关键是完善利益联结机制，不能富了老板、丢了老乡，……要让农民合理分享全产业链增值收益。</w:t>
      </w:r>
      <w:r>
        <w:rPr>
          <w:rStyle w:val="20"/>
          <w:rFonts w:hint="eastAsia" w:ascii="宋体" w:hAnsi="宋体" w:eastAsia="宋体" w:cs="宋体"/>
          <w:color w:val="auto"/>
          <w:sz w:val="24"/>
          <w:szCs w:val="21"/>
          <w:lang w:val="en-US" w:eastAsia="zh-CN"/>
        </w:rPr>
        <w:footnoteReference w:id="296"/>
      </w:r>
      <w:r>
        <w:rPr>
          <w:rFonts w:hint="eastAsia"/>
          <w:sz w:val="24"/>
          <w:lang w:val="en-US" w:eastAsia="zh-CN"/>
        </w:rPr>
        <w:t>”《中华人民共和国乡村振兴促进法》第四条规定：“坚持农民主体地位，充分尊重农民意愿，保障农民民主权利和其他合法权益，调动农民的积极性、主动性、创造性，维护农民根本利益”。据课题组调查，大量财政支农资金激发农业农村内生发展动力活力能力的“四两拨千斤”作用并不明显，实际上，大量资金被少数私人联合有关部门和人员套取，农民成为乡村振兴的“看客”，没能发挥农民的主体地位与作用。这也是乡村“振而难兴”的原因之一。农业托管服务不是“驱赶”农民离开农业农村，而是通过党支部领办合作社等组织化的方式，</w:t>
      </w:r>
      <w:r>
        <w:rPr>
          <w:rFonts w:hint="eastAsia"/>
          <w:sz w:val="24"/>
          <w:lang w:eastAsia="zh-CN"/>
        </w:rPr>
        <w:t>改变</w:t>
      </w:r>
      <w:r>
        <w:rPr>
          <w:rFonts w:hint="eastAsia"/>
          <w:sz w:val="24"/>
          <w:lang w:val="en-US" w:eastAsia="zh-CN"/>
        </w:rPr>
        <w:t>农民与其他各类组织“打交道”中“非对称博弈”</w:t>
      </w:r>
      <w:r>
        <w:rPr>
          <w:rFonts w:hint="eastAsia"/>
          <w:sz w:val="24"/>
          <w:lang w:eastAsia="zh-CN"/>
        </w:rPr>
        <w:t>弱势困境</w:t>
      </w:r>
      <w:r>
        <w:rPr>
          <w:rFonts w:hint="eastAsia"/>
          <w:sz w:val="24"/>
          <w:lang w:val="en-US" w:eastAsia="zh-CN"/>
        </w:rPr>
        <w:t>，更好对接农业托管服务主体，弥补集体层面统一经营缺失的不足，完善统分结合的双层经营体制，发展新型农村集体经济、合作经济，以高质量产业发展、公共服务、城乡融合发展等吸引更多农民建设家乡。</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97"/>
      </w:r>
      <w:r>
        <w:rPr>
          <w:rStyle w:val="18"/>
          <w:rFonts w:hint="eastAsia" w:ascii="宋体" w:hAnsi="宋体" w:eastAsia="宋体" w:cs="宋体"/>
          <w:color w:val="auto"/>
          <w:sz w:val="24"/>
          <w:szCs w:val="21"/>
          <w:lang w:val="en-US" w:eastAsia="zh-CN"/>
        </w:rPr>
        <w:t>]</w:t>
      </w:r>
    </w:p>
    <w:p w14:paraId="163375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大多数党支部领办的是农民土地股份合作社。这种农民股份合作社不排斥有意愿加入而没有资金、技术等优势的农民，可以最大限度整合承包土地等各类资源，明确了各个农户在组织中的权益和责任，更有利于建立健全激励约束机制和监督机制，防止所谓公地悲剧和搭便车问题，为防止微腐败奠定制度基础。由于党支部不能直接作为法人注册合作社等经济组织，山东各地一般由村党支部成员代表村集体注册成立有法人资格的合作社，同时制定好村党支部与合作社理事职务双向终止契约并提前开会申明。村集体通过集体土地、集体资产、集体资金、上级扶持资金等入股，农民以土地、资金、劳动力等入股，通过订立契约、股份合作等方式，把广大农民纳入乡村振兴整体进程中。在股权设置上向村民倾斜、向村集体倾斜，一般村集体占股不低于10%，个人和其他主体占股不超过10%，农民社员数不低于80%，避免合作社被少数人操控，沦为少数人谋利的组织。社员在不损害集体和其他社员利益的前提下，入社自愿、退社自由。在分配模式上，普遍实行“保底收益+盈余分红”，全年获得利润根据农户入股数量分为两季兑付分红，初次分红更多让利于农民、村集体。为获取更多产业利润，二次分配或多次分配中可适度增加农业托管服务主体的分红比例。当前，由于缺乏农产品深加工企业及其利润，农业托管服务依然集中在初级农产品种植环节，大多数地区农户很难分享到产业链其他环节高附加值利润。</w:t>
      </w:r>
    </w:p>
    <w:p w14:paraId="58EBE1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新型农村集体经济是党在农村执政、人民当家作主的经济基础，在大规模基础设施建设、乡村公共事业、生态环境，以及社区福利、社会保障等方面具有不可替代的作用和功能</w:t>
      </w:r>
      <w:r>
        <w:rPr>
          <w:rStyle w:val="18"/>
          <w:rFonts w:hint="eastAsia" w:ascii="宋体" w:hAnsi="宋体" w:eastAsia="宋体" w:cs="宋体"/>
          <w:color w:val="auto"/>
          <w:sz w:val="24"/>
          <w:szCs w:val="21"/>
          <w:lang w:val="en-US" w:eastAsia="zh-CN"/>
        </w:rPr>
        <w:t>[</w:t>
      </w:r>
      <w:r>
        <w:rPr>
          <w:rStyle w:val="20"/>
          <w:rFonts w:hint="eastAsia" w:ascii="宋体" w:hAnsi="宋体" w:eastAsia="宋体" w:cs="宋体"/>
          <w:color w:val="auto"/>
          <w:sz w:val="24"/>
          <w:szCs w:val="21"/>
          <w:lang w:val="en-US" w:eastAsia="zh-CN"/>
        </w:rPr>
        <w:footnoteReference w:id="298"/>
      </w:r>
      <w:r>
        <w:rPr>
          <w:rStyle w:val="18"/>
          <w:rFonts w:hint="eastAsia" w:ascii="宋体" w:hAnsi="宋体" w:eastAsia="宋体" w:cs="宋体"/>
          <w:color w:val="auto"/>
          <w:sz w:val="24"/>
          <w:szCs w:val="21"/>
          <w:lang w:val="en-US" w:eastAsia="zh-CN"/>
        </w:rPr>
        <w:t>]</w:t>
      </w:r>
      <w:r>
        <w:rPr>
          <w:rFonts w:hint="eastAsia"/>
          <w:sz w:val="24"/>
          <w:lang w:val="en-US" w:eastAsia="zh-CN"/>
        </w:rPr>
        <w:t>。党的二十大报告指出，“巩固和完善农村基本经营制度，发展新型农村集体经济。”</w:t>
      </w:r>
      <w:r>
        <w:rPr>
          <w:rStyle w:val="20"/>
          <w:rFonts w:hint="eastAsia" w:ascii="宋体" w:hAnsi="宋体" w:eastAsia="宋体" w:cs="宋体"/>
          <w:color w:val="auto"/>
          <w:sz w:val="24"/>
          <w:szCs w:val="21"/>
          <w:lang w:val="en-US" w:eastAsia="zh-CN"/>
        </w:rPr>
        <w:footnoteReference w:id="299"/>
      </w:r>
      <w:r>
        <w:rPr>
          <w:rFonts w:hint="eastAsia"/>
          <w:sz w:val="24"/>
          <w:lang w:val="en-US" w:eastAsia="zh-CN"/>
        </w:rPr>
        <w:t>从山东等地的实践来看，农业托管服务主要解决了“谁种粮”“如何种”等问题，但并非适合所有地区、所有农作物的“万能药”，主要适合易于规模连片的平原地区，集中在耕种、管理等环节相对简单且易于规模化、标准化操作的主粮作物种植，中药材等经济作物的种植由于耕种复杂度、管理难度等因素，进行托管服务难度较大。而且，土地规模的扩大不等于劳动和生产效率提升，有些地区承包土地的托管服务并没能增加产出率。保障国家农产品安全，全面推进乡村振兴，应当在党支部领办合作社的基础上，充分发挥集体层面统一经营的主导作用，主要路径是在与托管服务主体合作的过程中，不断增强自身的经营能力，发展集体经济，才能更大程度上普惠于社区农民，获取更多收益。根据合作社自身的经营能力、产业特征及赢利水平等不同，直接参与经营的情况也不同，应因社施策，因地制宜。</w:t>
      </w:r>
    </w:p>
    <w:p w14:paraId="7D45AE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第四，参照国有企业改革发展的经验，建立健全科学合理的激励约束机制和集体资产监管机制，提升农民组织化知识化程度与水平，不断提升和增强民主管理和运营能力，形成严密有力的“微腐败”防范体系，厘清权力边界，防止集体经济异化为“干部经济”，确保集体经济和公有资产保值增值。</w:t>
      </w:r>
    </w:p>
    <w:p w14:paraId="251DAFC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如果不能建立起</w:t>
      </w:r>
      <w:r>
        <w:rPr>
          <w:rFonts w:hint="eastAsia"/>
          <w:sz w:val="24"/>
          <w:lang w:val="en-US" w:eastAsia="zh-CN"/>
        </w:rPr>
        <w:t>民主管理和监督制约机制，容易出现集权和少数人利用权力侵吞公有财富的问题，容易导致官僚主义、贪污腐败、以权谋私、化公为私，最终导致公有制经济异化变质和腐化解体。通过民主理财、村财乡（镇）管、乡（镇）财县管，以及委托农村信用社等资质好的第三方金融财务机构代管财务资金，加强审计监督和组织监督等多种措施确保集体资产保值增值，构建科学合理的利益生成、联结、分配机制，按照产权关系明晰、治理架构科学、经营方式稳健、收益分配合理的要求，完善民主集中制和激励约束机制，参照国有企业改革的经验，对集体经济、合作经济带头人、技术人员等，既要按照劳动、资本、技术等贡献度进行经济激励和奖励，也要防止财富和收入的贫富的过份悬殊，处理好民主与集中、个体与集体、公与私等各方面关系和利益分配，真正做到按劳分配为主体和按产权贡献分配的有机结合，最大限度地调动广大干部群众的积极性，扎实推进各群体各阶层的共同富裕。</w:t>
      </w:r>
    </w:p>
    <w:p w14:paraId="5079B3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（原载《毛泽东邓小平理论研究》2023年第11期，第一作者为冯道杰。）</w:t>
      </w:r>
    </w:p>
    <w:p w14:paraId="4F52B1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ECBD55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9A33D60">
      <w:pPr>
        <w:pStyle w:val="3"/>
        <w:bidi w:val="0"/>
        <w:rPr>
          <w:rFonts w:hint="eastAsia"/>
        </w:rPr>
      </w:pPr>
      <w:bookmarkStart w:id="159" w:name="_Toc1544015327"/>
      <w:bookmarkStart w:id="160" w:name="_Toc857020827"/>
      <w:bookmarkStart w:id="161" w:name="_Toc707141259"/>
      <w:bookmarkStart w:id="162" w:name="_Toc19783"/>
      <w:bookmarkStart w:id="163" w:name="_Toc590565375"/>
      <w:bookmarkStart w:id="164" w:name="_Toc262366846"/>
      <w:r>
        <w:rPr>
          <w:rFonts w:hint="eastAsia"/>
          <w:lang w:val="en-US" w:eastAsia="zh-CN"/>
        </w:rPr>
        <w:t>3</w:t>
      </w:r>
      <w:r>
        <w:rPr>
          <w:rFonts w:hint="eastAsia"/>
        </w:rPr>
        <w:t>乡村全过程人民民主的主体制约与化解路径</w:t>
      </w:r>
      <w:bookmarkEnd w:id="159"/>
      <w:bookmarkEnd w:id="160"/>
      <w:bookmarkEnd w:id="161"/>
      <w:bookmarkEnd w:id="162"/>
      <w:bookmarkEnd w:id="163"/>
      <w:bookmarkEnd w:id="164"/>
    </w:p>
    <w:p w14:paraId="0F21630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2CC2088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摘要:人民民主是全过程民主。新时代乡村全过程人民民主的主体制约表现</w:t>
      </w:r>
      <w:r>
        <w:rPr>
          <w:rFonts w:hint="eastAsia" w:ascii="宋体" w:hAnsi="宋体" w:eastAsia="宋体" w:cs="宋体"/>
          <w:spacing w:val="12"/>
          <w:sz w:val="24"/>
          <w:szCs w:val="24"/>
        </w:rPr>
        <w:t>在:能力不足与责任迷失的主</w:t>
      </w:r>
      <w:r>
        <w:rPr>
          <w:rFonts w:hint="eastAsia" w:ascii="宋体" w:hAnsi="宋体" w:eastAsia="宋体" w:cs="宋体"/>
          <w:spacing w:val="11"/>
          <w:sz w:val="24"/>
          <w:szCs w:val="24"/>
        </w:rPr>
        <w:t>体局限;平等问题与公共缺失的主体迷思;政治冷漠与简单多数的依赖倾向;</w:t>
      </w:r>
      <w:r>
        <w:rPr>
          <w:rFonts w:hint="eastAsia" w:ascii="宋体" w:hAnsi="宋体" w:eastAsia="宋体" w:cs="宋体"/>
          <w:spacing w:val="10"/>
          <w:sz w:val="24"/>
          <w:szCs w:val="24"/>
        </w:rPr>
        <w:t>意识偏差与包容衰退的思维瓶</w:t>
      </w:r>
      <w:r>
        <w:rPr>
          <w:rFonts w:hint="eastAsia" w:ascii="宋体" w:hAnsi="宋体" w:eastAsia="宋体" w:cs="宋体"/>
          <w:spacing w:val="11"/>
          <w:sz w:val="24"/>
          <w:szCs w:val="24"/>
        </w:rPr>
        <w:t>颈。主体制约成因在于:乡村空心与私利至上的场</w:t>
      </w:r>
      <w:r>
        <w:rPr>
          <w:rFonts w:hint="eastAsia" w:ascii="宋体" w:hAnsi="宋体" w:eastAsia="宋体" w:cs="宋体"/>
          <w:spacing w:val="10"/>
          <w:sz w:val="24"/>
          <w:szCs w:val="24"/>
        </w:rPr>
        <w:t>域制约;头雁素质与宗旨薄弱的组织制约;利益失衡与经</w:t>
      </w:r>
      <w:r>
        <w:rPr>
          <w:rFonts w:hint="eastAsia" w:ascii="宋体" w:hAnsi="宋体" w:eastAsia="宋体" w:cs="宋体"/>
          <w:spacing w:val="11"/>
          <w:sz w:val="24"/>
          <w:szCs w:val="24"/>
        </w:rPr>
        <w:t>济压力的经济制约;阶层分化与利益多元的社会制约。主体制约的化解路径包括:</w:t>
      </w:r>
      <w:r>
        <w:rPr>
          <w:rFonts w:hint="eastAsia" w:ascii="宋体" w:hAnsi="宋体" w:eastAsia="宋体" w:cs="宋体"/>
          <w:spacing w:val="10"/>
          <w:sz w:val="24"/>
          <w:szCs w:val="24"/>
        </w:rPr>
        <w:t>组织队伍与宗旨意识协同强化,隐蔽议程和政治冷漠协同消除,理性精神与参与能力协同培育</w:t>
      </w:r>
      <w:r>
        <w:rPr>
          <w:rFonts w:hint="eastAsia" w:ascii="宋体" w:hAnsi="宋体" w:eastAsia="宋体" w:cs="宋体"/>
          <w:spacing w:val="9"/>
          <w:sz w:val="24"/>
          <w:szCs w:val="24"/>
        </w:rPr>
        <w:t>,经济振兴与村民富裕协同发力。</w:t>
      </w:r>
    </w:p>
    <w:p w14:paraId="7A22AD0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lang w:eastAsia="zh-CN"/>
        </w:rPr>
      </w:pPr>
      <w:r>
        <w:rPr>
          <w:rFonts w:hint="eastAsia" w:ascii="宋体" w:hAnsi="宋体" w:eastAsia="宋体" w:cs="宋体"/>
          <w:spacing w:val="12"/>
          <w:sz w:val="24"/>
          <w:szCs w:val="24"/>
        </w:rPr>
        <w:t>关键词:乡村振兴;全过程人民民主;社会治理现代化;政</w:t>
      </w:r>
      <w:r>
        <w:rPr>
          <w:rFonts w:hint="eastAsia" w:ascii="宋体" w:hAnsi="宋体" w:eastAsia="宋体" w:cs="宋体"/>
          <w:spacing w:val="11"/>
          <w:sz w:val="24"/>
          <w:szCs w:val="24"/>
        </w:rPr>
        <w:t>治经济学</w:t>
      </w:r>
    </w:p>
    <w:p w14:paraId="6AB269E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发展全过程人民民主,对于促进乡村振兴、以中国式现代化全面推进中华民族伟大复兴</w:t>
      </w:r>
      <w:r>
        <w:rPr>
          <w:rFonts w:hint="eastAsia" w:ascii="宋体" w:hAnsi="宋体" w:eastAsia="宋体" w:cs="宋体"/>
          <w:spacing w:val="5"/>
          <w:sz w:val="24"/>
          <w:szCs w:val="24"/>
        </w:rPr>
        <w:t>有重要意义。乡村全过程人民民主的主体是乡村民主的参与者,回答的是“由谁参与”的问</w:t>
      </w:r>
      <w:r>
        <w:rPr>
          <w:rFonts w:hint="eastAsia" w:ascii="宋体" w:hAnsi="宋体" w:eastAsia="宋体" w:cs="宋体"/>
          <w:spacing w:val="7"/>
          <w:sz w:val="24"/>
          <w:szCs w:val="24"/>
        </w:rPr>
        <w:t>题。从参与角度来看,乡村全过程人民民主的主体是基层政府、社</w:t>
      </w:r>
      <w:r>
        <w:rPr>
          <w:rFonts w:hint="eastAsia" w:ascii="宋体" w:hAnsi="宋体" w:eastAsia="宋体" w:cs="宋体"/>
          <w:spacing w:val="6"/>
          <w:sz w:val="24"/>
          <w:szCs w:val="24"/>
        </w:rPr>
        <w:t>会组织、村民等。基于数</w:t>
      </w:r>
      <w:r>
        <w:rPr>
          <w:rFonts w:hint="eastAsia" w:ascii="宋体" w:hAnsi="宋体" w:eastAsia="宋体" w:cs="宋体"/>
          <w:spacing w:val="10"/>
          <w:sz w:val="24"/>
          <w:szCs w:val="24"/>
        </w:rPr>
        <w:t>量和构成考量,可划分为乡村群体主体和乡村个人主体。基于资源所有权考量,可划分为普</w:t>
      </w:r>
      <w:r>
        <w:rPr>
          <w:rFonts w:hint="eastAsia" w:ascii="宋体" w:hAnsi="宋体" w:eastAsia="宋体" w:cs="宋体"/>
          <w:spacing w:val="2"/>
          <w:sz w:val="24"/>
          <w:szCs w:val="24"/>
        </w:rPr>
        <w:t>通农民和乡村精英。可见,乡村党组织、乡村政府、村民组织、村民等都是乡村全过程人民民</w:t>
      </w:r>
      <w:r>
        <w:rPr>
          <w:rFonts w:hint="eastAsia" w:ascii="宋体" w:hAnsi="宋体" w:eastAsia="宋体" w:cs="宋体"/>
          <w:spacing w:val="4"/>
          <w:sz w:val="24"/>
          <w:szCs w:val="24"/>
        </w:rPr>
        <w:t>主的主体。这一主体具有政治责任性、社会包容性、协商理性和民主平等性等政</w:t>
      </w:r>
      <w:r>
        <w:rPr>
          <w:rFonts w:hint="eastAsia" w:ascii="宋体" w:hAnsi="宋体" w:eastAsia="宋体" w:cs="宋体"/>
          <w:spacing w:val="3"/>
          <w:sz w:val="24"/>
          <w:szCs w:val="24"/>
        </w:rPr>
        <w:t>治品质。乡</w:t>
      </w:r>
      <w:r>
        <w:rPr>
          <w:rFonts w:hint="eastAsia" w:ascii="宋体" w:hAnsi="宋体" w:eastAsia="宋体" w:cs="宋体"/>
          <w:spacing w:val="8"/>
          <w:sz w:val="24"/>
          <w:szCs w:val="24"/>
        </w:rPr>
        <w:t>村全过程人民民主是乡村主体的全过程人民民主,党支部、乡村管理机构、村落组织和农民都应该具有获取信息、平等参与和理性表达的权利和机会,乡村民主主体的自主性和能动性</w:t>
      </w:r>
      <w:r>
        <w:rPr>
          <w:rFonts w:hint="eastAsia" w:ascii="宋体" w:hAnsi="宋体" w:eastAsia="宋体" w:cs="宋体"/>
          <w:spacing w:val="13"/>
          <w:sz w:val="24"/>
          <w:szCs w:val="24"/>
        </w:rPr>
        <w:t>发挥程度事关全过程人民民主的乡村治理效能。因此,深入</w:t>
      </w:r>
      <w:r>
        <w:rPr>
          <w:rFonts w:hint="eastAsia" w:ascii="宋体" w:hAnsi="宋体" w:eastAsia="宋体" w:cs="宋体"/>
          <w:spacing w:val="12"/>
          <w:sz w:val="24"/>
          <w:szCs w:val="24"/>
        </w:rPr>
        <w:t>研究乡村全过程人民民主的主</w:t>
      </w:r>
      <w:r>
        <w:rPr>
          <w:rFonts w:hint="eastAsia" w:ascii="宋体" w:hAnsi="宋体" w:eastAsia="宋体" w:cs="宋体"/>
          <w:spacing w:val="10"/>
          <w:sz w:val="24"/>
          <w:szCs w:val="24"/>
        </w:rPr>
        <w:t>体制约与化解路径具有重要的理论意义与现实价值。本文基于乡村实践,注重问题揭示,深</w:t>
      </w:r>
      <w:r>
        <w:rPr>
          <w:rFonts w:hint="eastAsia" w:ascii="宋体" w:hAnsi="宋体" w:eastAsia="宋体" w:cs="宋体"/>
          <w:spacing w:val="8"/>
          <w:sz w:val="24"/>
          <w:szCs w:val="24"/>
        </w:rPr>
        <w:t>描治理效能,优化主体路径。</w:t>
      </w:r>
    </w:p>
    <w:p w14:paraId="50138028">
      <w:pPr>
        <w:pStyle w:val="4"/>
        <w:bidi w:val="0"/>
        <w:rPr>
          <w:rFonts w:hint="eastAsia"/>
        </w:rPr>
      </w:pPr>
      <w:r>
        <w:rPr>
          <w:rFonts w:hint="eastAsia"/>
        </w:rPr>
        <w:t>一、乡村全过程人民民主的主体制约表征</w:t>
      </w:r>
    </w:p>
    <w:p w14:paraId="346D589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0D7A684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乡村全过程人民民主是对我国人民当家作主民主政治</w:t>
      </w:r>
      <w:r>
        <w:rPr>
          <w:rFonts w:hint="eastAsia" w:ascii="宋体" w:hAnsi="宋体" w:eastAsia="宋体" w:cs="宋体"/>
          <w:spacing w:val="9"/>
          <w:sz w:val="24"/>
          <w:szCs w:val="24"/>
        </w:rPr>
        <w:t>制度体系本质特征的概括,</w:t>
      </w:r>
      <w:r>
        <w:rPr>
          <w:rStyle w:val="20"/>
          <w:rFonts w:hint="eastAsia" w:ascii="宋体" w:hAnsi="宋体" w:eastAsia="宋体" w:cs="宋体"/>
          <w:spacing w:val="9"/>
          <w:sz w:val="24"/>
          <w:szCs w:val="24"/>
        </w:rPr>
        <w:footnoteReference w:id="300"/>
      </w:r>
      <w:r>
        <w:rPr>
          <w:rFonts w:hint="eastAsia" w:ascii="宋体" w:hAnsi="宋体" w:eastAsia="宋体" w:cs="宋体"/>
          <w:spacing w:val="9"/>
          <w:sz w:val="24"/>
          <w:szCs w:val="24"/>
        </w:rPr>
        <w:t>是民</w:t>
      </w:r>
      <w:r>
        <w:rPr>
          <w:rFonts w:hint="eastAsia" w:ascii="宋体" w:hAnsi="宋体" w:eastAsia="宋体" w:cs="宋体"/>
          <w:spacing w:val="13"/>
          <w:sz w:val="24"/>
          <w:szCs w:val="24"/>
        </w:rPr>
        <w:t>心政治的理论呈现,</w:t>
      </w:r>
      <w:r>
        <w:rPr>
          <w:rStyle w:val="20"/>
          <w:rFonts w:hint="eastAsia" w:ascii="宋体" w:hAnsi="宋体" w:eastAsia="宋体" w:cs="宋体"/>
          <w:spacing w:val="13"/>
          <w:sz w:val="24"/>
          <w:szCs w:val="24"/>
        </w:rPr>
        <w:footnoteReference w:id="301"/>
      </w:r>
      <w:r>
        <w:rPr>
          <w:rFonts w:hint="eastAsia" w:ascii="宋体" w:hAnsi="宋体" w:eastAsia="宋体" w:cs="宋体"/>
          <w:spacing w:val="13"/>
          <w:sz w:val="24"/>
          <w:szCs w:val="24"/>
        </w:rPr>
        <w:t>在乡村领域,这意味着乡村公共决策的过</w:t>
      </w:r>
      <w:r>
        <w:rPr>
          <w:rFonts w:hint="eastAsia" w:ascii="宋体" w:hAnsi="宋体" w:eastAsia="宋体" w:cs="宋体"/>
          <w:spacing w:val="12"/>
          <w:sz w:val="24"/>
          <w:szCs w:val="24"/>
        </w:rPr>
        <w:t>程不仅要求以民主的方式进</w:t>
      </w:r>
      <w:r>
        <w:rPr>
          <w:rFonts w:hint="eastAsia" w:ascii="宋体" w:hAnsi="宋体" w:eastAsia="宋体" w:cs="宋体"/>
          <w:spacing w:val="13"/>
          <w:sz w:val="24"/>
          <w:szCs w:val="24"/>
        </w:rPr>
        <w:t>行,而且要求参与民主的乡村主体具有珍视理性与公正的价值理念</w:t>
      </w:r>
      <w:r>
        <w:rPr>
          <w:rFonts w:hint="eastAsia" w:ascii="宋体" w:hAnsi="宋体" w:eastAsia="宋体" w:cs="宋体"/>
          <w:spacing w:val="12"/>
          <w:sz w:val="24"/>
          <w:szCs w:val="24"/>
        </w:rPr>
        <w:t>。乡村主体的民主活动</w:t>
      </w:r>
      <w:r>
        <w:rPr>
          <w:rFonts w:hint="eastAsia" w:ascii="宋体" w:hAnsi="宋体" w:eastAsia="宋体" w:cs="宋体"/>
          <w:spacing w:val="13"/>
          <w:sz w:val="24"/>
          <w:szCs w:val="24"/>
        </w:rPr>
        <w:t>是一种社会性政治活动,是在特定的乡村场域中进行的民主治理</w:t>
      </w:r>
      <w:r>
        <w:rPr>
          <w:rFonts w:hint="eastAsia" w:ascii="宋体" w:hAnsi="宋体" w:eastAsia="宋体" w:cs="宋体"/>
          <w:spacing w:val="12"/>
          <w:sz w:val="24"/>
          <w:szCs w:val="24"/>
        </w:rPr>
        <w:t>。乡村民主主体具有各自</w:t>
      </w:r>
      <w:r>
        <w:rPr>
          <w:rFonts w:hint="eastAsia" w:ascii="宋体" w:hAnsi="宋体" w:eastAsia="宋体" w:cs="宋体"/>
          <w:spacing w:val="6"/>
          <w:sz w:val="24"/>
          <w:szCs w:val="24"/>
        </w:rPr>
        <w:t>特定的行动方式、认识模式和思维方法,深受各种主客观因素的影响,基于</w:t>
      </w:r>
      <w:r>
        <w:rPr>
          <w:rFonts w:hint="eastAsia" w:ascii="宋体" w:hAnsi="宋体" w:eastAsia="宋体" w:cs="宋体"/>
          <w:spacing w:val="5"/>
          <w:sz w:val="24"/>
          <w:szCs w:val="24"/>
        </w:rPr>
        <w:t>自己已有立场、思</w:t>
      </w:r>
      <w:r>
        <w:rPr>
          <w:rFonts w:hint="eastAsia" w:ascii="宋体" w:hAnsi="宋体" w:eastAsia="宋体" w:cs="宋体"/>
          <w:sz w:val="24"/>
          <w:szCs w:val="24"/>
        </w:rPr>
        <w:t>想观念、社会利益、参与方法、科学素养、文化知识和</w:t>
      </w:r>
      <w:r>
        <w:rPr>
          <w:rFonts w:hint="eastAsia" w:ascii="宋体" w:hAnsi="宋体" w:eastAsia="宋体" w:cs="宋体"/>
          <w:spacing w:val="-1"/>
          <w:sz w:val="24"/>
          <w:szCs w:val="24"/>
        </w:rPr>
        <w:t>历史经验参与乡村民主全过程。这既是</w:t>
      </w:r>
      <w:r>
        <w:rPr>
          <w:rFonts w:hint="eastAsia" w:ascii="宋体" w:hAnsi="宋体" w:eastAsia="宋体" w:cs="宋体"/>
          <w:spacing w:val="10"/>
          <w:sz w:val="24"/>
          <w:szCs w:val="24"/>
        </w:rPr>
        <w:t>乡村全过程人民民主发展的现实基础,也是其创新的制约条件。当前,乡村民主主体的主人翁意识勃发,权利意识增强,但在实践中也不同程度地存在着主体制约问题,</w:t>
      </w:r>
      <w:r>
        <w:rPr>
          <w:rStyle w:val="20"/>
          <w:rFonts w:hint="eastAsia" w:ascii="宋体" w:hAnsi="宋体" w:eastAsia="宋体" w:cs="宋体"/>
          <w:spacing w:val="10"/>
          <w:sz w:val="24"/>
          <w:szCs w:val="24"/>
        </w:rPr>
        <w:footnoteReference w:id="302"/>
      </w:r>
      <w:r>
        <w:rPr>
          <w:rFonts w:hint="eastAsia" w:ascii="宋体" w:hAnsi="宋体" w:eastAsia="宋体" w:cs="宋体"/>
          <w:spacing w:val="10"/>
          <w:sz w:val="24"/>
          <w:szCs w:val="24"/>
        </w:rPr>
        <w:t>并成为乡村全</w:t>
      </w:r>
      <w:r>
        <w:rPr>
          <w:rFonts w:hint="eastAsia" w:ascii="宋体" w:hAnsi="宋体" w:eastAsia="宋体" w:cs="宋体"/>
          <w:spacing w:val="9"/>
          <w:sz w:val="24"/>
          <w:szCs w:val="24"/>
        </w:rPr>
        <w:t>过程人民民主发展的制约因素,影响乡村全过程人民民主的治理效能。</w:t>
      </w:r>
    </w:p>
    <w:p w14:paraId="4A65695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(一)主体局限:能力不足与责任迷失</w:t>
      </w:r>
    </w:p>
    <w:p w14:paraId="24C53D6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乡村全过程人民民主内含着权力和权利两条基本线索,村民既可以在政治生活中参与</w:t>
      </w:r>
      <w:r>
        <w:rPr>
          <w:rFonts w:hint="eastAsia" w:ascii="宋体" w:hAnsi="宋体" w:eastAsia="宋体" w:cs="宋体"/>
          <w:spacing w:val="7"/>
          <w:sz w:val="24"/>
          <w:szCs w:val="24"/>
        </w:rPr>
        <w:t>行使国家权力,也能够在基层社会事务中实现充分的自我管理。</w:t>
      </w:r>
      <w:r>
        <w:rPr>
          <w:rStyle w:val="20"/>
          <w:rFonts w:hint="eastAsia" w:ascii="宋体" w:hAnsi="宋体" w:eastAsia="宋体" w:cs="宋体"/>
          <w:spacing w:val="7"/>
          <w:sz w:val="24"/>
          <w:szCs w:val="24"/>
        </w:rPr>
        <w:footnoteReference w:id="303"/>
      </w:r>
      <w:r>
        <w:rPr>
          <w:rFonts w:hint="eastAsia" w:ascii="宋体" w:hAnsi="宋体" w:eastAsia="宋体" w:cs="宋体"/>
          <w:spacing w:val="7"/>
          <w:position w:val="5"/>
          <w:sz w:val="24"/>
          <w:szCs w:val="24"/>
        </w:rPr>
        <w:t>④</w:t>
      </w:r>
      <w:r>
        <w:rPr>
          <w:rFonts w:hint="eastAsia" w:ascii="宋体" w:hAnsi="宋体" w:eastAsia="宋体" w:cs="宋体"/>
          <w:spacing w:val="7"/>
          <w:sz w:val="24"/>
          <w:szCs w:val="24"/>
        </w:rPr>
        <w:t>村民能力不足的一种情形</w:t>
      </w:r>
      <w:r>
        <w:rPr>
          <w:rFonts w:hint="eastAsia" w:ascii="宋体" w:hAnsi="宋体" w:eastAsia="宋体" w:cs="宋体"/>
          <w:spacing w:val="10"/>
          <w:sz w:val="24"/>
          <w:szCs w:val="24"/>
        </w:rPr>
        <w:t>是因自身民主素养不足而不能实现有效参与乡村民主全过程,这在实践中被称为能力失效。</w:t>
      </w:r>
      <w:r>
        <w:rPr>
          <w:rFonts w:hint="eastAsia" w:ascii="宋体" w:hAnsi="宋体" w:eastAsia="宋体" w:cs="宋体"/>
          <w:spacing w:val="8"/>
          <w:sz w:val="24"/>
          <w:szCs w:val="24"/>
        </w:rPr>
        <w:t>另一种情形是由于机会、资源、制度等外在条件限制导致的乡村民主生活失效,这被称为影</w:t>
      </w:r>
      <w:r>
        <w:rPr>
          <w:rFonts w:hint="eastAsia" w:ascii="宋体" w:hAnsi="宋体" w:eastAsia="宋体" w:cs="宋体"/>
          <w:spacing w:val="9"/>
          <w:sz w:val="24"/>
          <w:szCs w:val="24"/>
        </w:rPr>
        <w:t>响失效。不管是哪种情形的能力不足,其结果都会导致乡村全过程人民民主中的公开排斥。</w:t>
      </w:r>
      <w:r>
        <w:rPr>
          <w:rFonts w:hint="eastAsia" w:ascii="宋体" w:hAnsi="宋体" w:eastAsia="宋体" w:cs="宋体"/>
          <w:spacing w:val="14"/>
          <w:sz w:val="24"/>
          <w:szCs w:val="24"/>
        </w:rPr>
        <w:t>乡村现行的政治制度和政治秩序都赋予农民</w:t>
      </w:r>
      <w:r>
        <w:rPr>
          <w:rFonts w:hint="eastAsia" w:ascii="宋体" w:hAnsi="宋体" w:eastAsia="宋体" w:cs="宋体"/>
          <w:spacing w:val="13"/>
          <w:sz w:val="24"/>
          <w:szCs w:val="24"/>
        </w:rPr>
        <w:t>神圣的政治地位和充分的民主权利,农民必须</w:t>
      </w:r>
      <w:r>
        <w:rPr>
          <w:rFonts w:hint="eastAsia" w:ascii="宋体" w:hAnsi="宋体" w:eastAsia="宋体" w:cs="宋体"/>
          <w:spacing w:val="5"/>
          <w:sz w:val="24"/>
          <w:szCs w:val="24"/>
        </w:rPr>
        <w:t>通过自己的行为来行使规定的民主权利。但受经济状况</w:t>
      </w:r>
      <w:r>
        <w:rPr>
          <w:rFonts w:hint="eastAsia" w:ascii="宋体" w:hAnsi="宋体" w:eastAsia="宋体" w:cs="宋体"/>
          <w:spacing w:val="4"/>
          <w:sz w:val="24"/>
          <w:szCs w:val="24"/>
        </w:rPr>
        <w:t>、教育程度、政治理念和民主素养等</w:t>
      </w:r>
      <w:r>
        <w:rPr>
          <w:rFonts w:hint="eastAsia" w:ascii="宋体" w:hAnsi="宋体" w:eastAsia="宋体" w:cs="宋体"/>
          <w:spacing w:val="6"/>
          <w:sz w:val="24"/>
          <w:szCs w:val="24"/>
        </w:rPr>
        <w:t>因素限制,不少农民参与乡村全过程人民民主的积极性不高,协商对话、理性讨</w:t>
      </w:r>
      <w:r>
        <w:rPr>
          <w:rFonts w:hint="eastAsia" w:ascii="宋体" w:hAnsi="宋体" w:eastAsia="宋体" w:cs="宋体"/>
          <w:spacing w:val="5"/>
          <w:sz w:val="24"/>
          <w:szCs w:val="24"/>
        </w:rPr>
        <w:t>论、提案审议</w:t>
      </w:r>
      <w:r>
        <w:rPr>
          <w:rFonts w:hint="eastAsia" w:ascii="宋体" w:hAnsi="宋体" w:eastAsia="宋体" w:cs="宋体"/>
          <w:spacing w:val="13"/>
          <w:sz w:val="24"/>
          <w:szCs w:val="24"/>
        </w:rPr>
        <w:t>的能力和理性明显不足,对如何实现有效的民主参与有时也显得茫然</w:t>
      </w:r>
      <w:r>
        <w:rPr>
          <w:rFonts w:hint="eastAsia" w:ascii="宋体" w:hAnsi="宋体" w:eastAsia="宋体" w:cs="宋体"/>
          <w:spacing w:val="12"/>
          <w:sz w:val="24"/>
          <w:szCs w:val="24"/>
        </w:rPr>
        <w:t>无措。如果组织者或</w:t>
      </w:r>
      <w:r>
        <w:rPr>
          <w:rFonts w:hint="eastAsia" w:ascii="宋体" w:hAnsi="宋体" w:eastAsia="宋体" w:cs="宋体"/>
          <w:spacing w:val="14"/>
          <w:sz w:val="24"/>
          <w:szCs w:val="24"/>
        </w:rPr>
        <w:t>管理者在农民乡村事务参与中的协商技巧不</w:t>
      </w:r>
      <w:r>
        <w:rPr>
          <w:rFonts w:hint="eastAsia" w:ascii="宋体" w:hAnsi="宋体" w:eastAsia="宋体" w:cs="宋体"/>
          <w:spacing w:val="13"/>
          <w:sz w:val="24"/>
          <w:szCs w:val="24"/>
        </w:rPr>
        <w:t>足,在乡村民主决策时会因意见的片面性和建</w:t>
      </w:r>
      <w:r>
        <w:rPr>
          <w:rFonts w:hint="eastAsia" w:ascii="宋体" w:hAnsi="宋体" w:eastAsia="宋体" w:cs="宋体"/>
          <w:spacing w:val="7"/>
          <w:sz w:val="24"/>
          <w:szCs w:val="24"/>
        </w:rPr>
        <w:t>议的碎片化而致使部分农民成为“沉默的大多数”,出现民主讨论时的失</w:t>
      </w:r>
      <w:r>
        <w:rPr>
          <w:rFonts w:hint="eastAsia" w:ascii="宋体" w:hAnsi="宋体" w:eastAsia="宋体" w:cs="宋体"/>
          <w:spacing w:val="6"/>
          <w:sz w:val="24"/>
          <w:szCs w:val="24"/>
        </w:rPr>
        <w:t>语状态,从而只能被</w:t>
      </w:r>
      <w:r>
        <w:rPr>
          <w:rFonts w:hint="eastAsia" w:ascii="宋体" w:hAnsi="宋体" w:eastAsia="宋体" w:cs="宋体"/>
          <w:spacing w:val="8"/>
          <w:sz w:val="24"/>
          <w:szCs w:val="24"/>
        </w:rPr>
        <w:t>动默认乡村精英的决策建议。村民能力不足严重制约着乡村全过程人民民主的治理效能。</w:t>
      </w:r>
    </w:p>
    <w:p w14:paraId="027B2B5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马克思主义的人民主体理论是中国革命和建设的理论之源,也是乡村全过程人民民主</w:t>
      </w:r>
      <w:r>
        <w:rPr>
          <w:rFonts w:hint="eastAsia" w:ascii="宋体" w:hAnsi="宋体" w:eastAsia="宋体" w:cs="宋体"/>
          <w:spacing w:val="9"/>
          <w:sz w:val="24"/>
          <w:szCs w:val="24"/>
        </w:rPr>
        <w:t>的思想之基。主体意识实际上是对自身主体地位的确认。</w:t>
      </w:r>
      <w:r>
        <w:rPr>
          <w:rStyle w:val="20"/>
          <w:rFonts w:hint="eastAsia" w:ascii="宋体" w:hAnsi="宋体" w:eastAsia="宋体" w:cs="宋体"/>
          <w:spacing w:val="9"/>
          <w:sz w:val="24"/>
          <w:szCs w:val="24"/>
        </w:rPr>
        <w:footnoteReference w:id="304"/>
      </w:r>
      <w:r>
        <w:rPr>
          <w:rFonts w:hint="eastAsia" w:ascii="宋体" w:hAnsi="宋体" w:eastAsia="宋体" w:cs="宋体"/>
          <w:spacing w:val="8"/>
          <w:position w:val="5"/>
          <w:sz w:val="24"/>
          <w:szCs w:val="24"/>
        </w:rPr>
        <w:t>⑤</w:t>
      </w:r>
      <w:r>
        <w:rPr>
          <w:rFonts w:hint="eastAsia" w:ascii="宋体" w:hAnsi="宋体" w:eastAsia="宋体" w:cs="宋体"/>
          <w:spacing w:val="8"/>
          <w:sz w:val="24"/>
          <w:szCs w:val="24"/>
        </w:rPr>
        <w:t>权责观是乡村全过程人民民主</w:t>
      </w:r>
      <w:r>
        <w:rPr>
          <w:rFonts w:hint="eastAsia" w:ascii="宋体" w:hAnsi="宋体" w:eastAsia="宋体" w:cs="宋体"/>
          <w:spacing w:val="10"/>
          <w:sz w:val="24"/>
          <w:szCs w:val="24"/>
        </w:rPr>
        <w:t>中主体意识的关键,是村民对法律赋予其权利和义务的认识和态度。新中国成立以来,农民</w:t>
      </w:r>
      <w:r>
        <w:rPr>
          <w:rFonts w:hint="eastAsia" w:ascii="宋体" w:hAnsi="宋体" w:eastAsia="宋体" w:cs="宋体"/>
          <w:spacing w:val="13"/>
          <w:sz w:val="24"/>
          <w:szCs w:val="24"/>
        </w:rPr>
        <w:t>当家作主,是国家政治和乡村社会的主人。改革开放以后,在普法教育和村民自治实践中,</w:t>
      </w:r>
      <w:r>
        <w:rPr>
          <w:rFonts w:hint="eastAsia" w:ascii="宋体" w:hAnsi="宋体" w:eastAsia="宋体" w:cs="宋体"/>
          <w:spacing w:val="10"/>
          <w:sz w:val="24"/>
          <w:szCs w:val="24"/>
        </w:rPr>
        <w:t>尤其是市场经济的发展和村民科学文化的提高,极大地增强了村民的权利意识。但是,村民对乡村公共责任的担当意识并没有与权益意识同步觉醒提升。在乡村全过</w:t>
      </w:r>
      <w:r>
        <w:rPr>
          <w:rFonts w:hint="eastAsia" w:ascii="宋体" w:hAnsi="宋体" w:eastAsia="宋体" w:cs="宋体"/>
          <w:spacing w:val="9"/>
          <w:sz w:val="24"/>
          <w:szCs w:val="24"/>
        </w:rPr>
        <w:t>程人民民主实践</w:t>
      </w:r>
      <w:r>
        <w:rPr>
          <w:rFonts w:hint="eastAsia" w:ascii="宋体" w:hAnsi="宋体" w:eastAsia="宋体" w:cs="宋体"/>
          <w:spacing w:val="13"/>
          <w:sz w:val="24"/>
          <w:szCs w:val="24"/>
        </w:rPr>
        <w:t>中,有些村民往往从个人角度提出自己的价值关切,追求自己的经济利益,而关涉乡村公共</w:t>
      </w:r>
      <w:r>
        <w:rPr>
          <w:rFonts w:hint="eastAsia" w:ascii="宋体" w:hAnsi="宋体" w:eastAsia="宋体" w:cs="宋体"/>
          <w:spacing w:val="3"/>
          <w:sz w:val="24"/>
          <w:szCs w:val="24"/>
        </w:rPr>
        <w:t>事务和公共利益的事情却不同程度地抱有“事</w:t>
      </w:r>
      <w:r>
        <w:rPr>
          <w:rFonts w:hint="eastAsia" w:ascii="宋体" w:hAnsi="宋体" w:eastAsia="宋体" w:cs="宋体"/>
          <w:spacing w:val="2"/>
          <w:sz w:val="24"/>
          <w:szCs w:val="24"/>
        </w:rPr>
        <w:t>不关己,高高挂起”“多一事不如少一事”的心</w:t>
      </w:r>
      <w:r>
        <w:rPr>
          <w:rFonts w:hint="eastAsia" w:ascii="宋体" w:hAnsi="宋体" w:eastAsia="宋体" w:cs="宋体"/>
          <w:spacing w:val="10"/>
          <w:sz w:val="24"/>
          <w:szCs w:val="24"/>
        </w:rPr>
        <w:t>理,将自己置身于乡村公共事务之外,缺乏乡村民主主体的主人翁意识。有些村民社会责任</w:t>
      </w:r>
      <w:r>
        <w:rPr>
          <w:rFonts w:hint="eastAsia" w:ascii="宋体" w:hAnsi="宋体" w:eastAsia="宋体" w:cs="宋体"/>
          <w:spacing w:val="7"/>
          <w:sz w:val="24"/>
          <w:szCs w:val="24"/>
        </w:rPr>
        <w:t>感淡薄,不能理性地把个人对他人、社会和国家的相应责任作为社会关系的</w:t>
      </w:r>
      <w:r>
        <w:rPr>
          <w:rFonts w:hint="eastAsia" w:ascii="宋体" w:hAnsi="宋体" w:eastAsia="宋体" w:cs="宋体"/>
          <w:spacing w:val="6"/>
          <w:sz w:val="24"/>
          <w:szCs w:val="24"/>
        </w:rPr>
        <w:t>总和来理解。由</w:t>
      </w:r>
      <w:r>
        <w:rPr>
          <w:rFonts w:hint="eastAsia" w:ascii="宋体" w:hAnsi="宋体" w:eastAsia="宋体" w:cs="宋体"/>
          <w:spacing w:val="7"/>
          <w:sz w:val="24"/>
          <w:szCs w:val="24"/>
        </w:rPr>
        <w:t>于怕承担责任,有些村民在乡村全过程人民民主实践中更愿意“搭便车</w:t>
      </w:r>
      <w:r>
        <w:rPr>
          <w:rFonts w:hint="eastAsia" w:ascii="宋体" w:hAnsi="宋体" w:eastAsia="宋体" w:cs="宋体"/>
          <w:spacing w:val="6"/>
          <w:sz w:val="24"/>
          <w:szCs w:val="24"/>
        </w:rPr>
        <w:t>”,时常把乡村公共事</w:t>
      </w:r>
      <w:r>
        <w:rPr>
          <w:rFonts w:hint="eastAsia" w:ascii="宋体" w:hAnsi="宋体" w:eastAsia="宋体" w:cs="宋体"/>
          <w:spacing w:val="10"/>
          <w:sz w:val="24"/>
          <w:szCs w:val="24"/>
        </w:rPr>
        <w:t>务作为茶余饭后的谈资,而不是在乡村民主过程中表达意见,理性协商,</w:t>
      </w:r>
      <w:r>
        <w:rPr>
          <w:rFonts w:hint="eastAsia" w:ascii="宋体" w:hAnsi="宋体" w:eastAsia="宋体" w:cs="宋体"/>
          <w:spacing w:val="9"/>
          <w:sz w:val="24"/>
          <w:szCs w:val="24"/>
        </w:rPr>
        <w:t>共同解决。</w:t>
      </w:r>
    </w:p>
    <w:p w14:paraId="5DDEF6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(二)主体迷思:平等问题与公共缺失</w:t>
      </w:r>
    </w:p>
    <w:p w14:paraId="7A6A7C1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spacing w:val="5"/>
          <w:sz w:val="24"/>
          <w:szCs w:val="24"/>
        </w:rPr>
        <w:t>马克思、恩格斯指出:“平等是人在实践领域中对自身的意识,也就是人意识到别人是和</w:t>
      </w:r>
      <w:r>
        <w:rPr>
          <w:rFonts w:hint="eastAsia" w:ascii="宋体" w:hAnsi="宋体" w:eastAsia="宋体" w:cs="宋体"/>
          <w:spacing w:val="-18"/>
          <w:sz w:val="24"/>
          <w:szCs w:val="24"/>
        </w:rPr>
        <w:t>自己平等的人。</w:t>
      </w:r>
      <w:r>
        <w:rPr>
          <w:rFonts w:hint="eastAsia" w:ascii="宋体" w:hAnsi="宋体" w:eastAsia="宋体" w:cs="宋体"/>
          <w:spacing w:val="-18"/>
          <w:position w:val="4"/>
          <w:sz w:val="24"/>
          <w:szCs w:val="24"/>
        </w:rPr>
        <w:t>”</w:t>
      </w:r>
      <w:r>
        <w:rPr>
          <w:rStyle w:val="20"/>
          <w:rFonts w:hint="eastAsia" w:ascii="宋体" w:hAnsi="宋体" w:eastAsia="宋体" w:cs="宋体"/>
          <w:spacing w:val="-18"/>
          <w:position w:val="4"/>
          <w:sz w:val="24"/>
          <w:szCs w:val="24"/>
        </w:rPr>
        <w:footnoteReference w:id="305"/>
      </w:r>
      <w:r>
        <w:rPr>
          <w:rFonts w:hint="eastAsia" w:ascii="宋体" w:hAnsi="宋体" w:eastAsia="宋体" w:cs="宋体"/>
          <w:spacing w:val="17"/>
          <w:sz w:val="24"/>
          <w:szCs w:val="24"/>
        </w:rPr>
        <w:t>在乡村全过程人民民主的制度设计上,政治平等是基于</w:t>
      </w:r>
      <w:r>
        <w:rPr>
          <w:rFonts w:hint="eastAsia" w:ascii="宋体" w:hAnsi="宋体" w:eastAsia="宋体" w:cs="宋体"/>
          <w:spacing w:val="16"/>
          <w:sz w:val="24"/>
          <w:szCs w:val="24"/>
        </w:rPr>
        <w:t>程序公正以保证</w:t>
      </w:r>
      <w:r>
        <w:rPr>
          <w:rFonts w:hint="eastAsia" w:ascii="宋体" w:hAnsi="宋体" w:eastAsia="宋体" w:cs="宋体"/>
          <w:spacing w:val="15"/>
          <w:sz w:val="24"/>
          <w:szCs w:val="24"/>
        </w:rPr>
        <w:t>乡村民主主体通过公开的理性讨论制约公权任性,参与者在主体和权利上理应是平等的。</w:t>
      </w:r>
      <w:r>
        <w:rPr>
          <w:rFonts w:hint="eastAsia" w:ascii="宋体" w:hAnsi="宋体" w:eastAsia="宋体" w:cs="宋体"/>
          <w:spacing w:val="8"/>
          <w:sz w:val="24"/>
          <w:szCs w:val="24"/>
        </w:rPr>
        <w:t>随着乡村经济的发展和社会组织的发育,多元乡村民主主体既包括国家层面的乡镇政府、村</w:t>
      </w:r>
      <w:r>
        <w:rPr>
          <w:rFonts w:hint="eastAsia" w:ascii="宋体" w:hAnsi="宋体" w:eastAsia="宋体" w:cs="宋体"/>
          <w:spacing w:val="6"/>
          <w:sz w:val="24"/>
          <w:szCs w:val="24"/>
        </w:rPr>
        <w:t>级党组织、村委员会、村民代表大会,又包括社会层面的各种社会组织,还</w:t>
      </w:r>
      <w:r>
        <w:rPr>
          <w:rFonts w:hint="eastAsia" w:ascii="宋体" w:hAnsi="宋体" w:eastAsia="宋体" w:cs="宋体"/>
          <w:spacing w:val="5"/>
          <w:sz w:val="24"/>
          <w:szCs w:val="24"/>
        </w:rPr>
        <w:t>包括个人层面的所</w:t>
      </w:r>
      <w:r>
        <w:rPr>
          <w:rFonts w:hint="eastAsia" w:ascii="宋体" w:hAnsi="宋体" w:eastAsia="宋体" w:cs="宋体"/>
          <w:spacing w:val="12"/>
          <w:sz w:val="24"/>
          <w:szCs w:val="24"/>
        </w:rPr>
        <w:t>有村民。显然,乡村全过程人民民主中呈现的是多主体性特征。乡村民主主体因自身特点</w:t>
      </w:r>
      <w:r>
        <w:rPr>
          <w:rFonts w:hint="eastAsia" w:ascii="宋体" w:hAnsi="宋体" w:eastAsia="宋体" w:cs="宋体"/>
          <w:spacing w:val="11"/>
          <w:sz w:val="24"/>
          <w:szCs w:val="24"/>
        </w:rPr>
        <w:t>和内在条件的限制,特别是财富、知识和能力等主体身份的不平等,必然导致农民在乡</w:t>
      </w:r>
      <w:r>
        <w:rPr>
          <w:rFonts w:hint="eastAsia" w:ascii="宋体" w:hAnsi="宋体" w:eastAsia="宋体" w:cs="宋体"/>
          <w:spacing w:val="10"/>
          <w:sz w:val="24"/>
          <w:szCs w:val="24"/>
        </w:rPr>
        <w:t>村全</w:t>
      </w:r>
      <w:r>
        <w:rPr>
          <w:rFonts w:hint="eastAsia" w:ascii="宋体" w:hAnsi="宋体" w:eastAsia="宋体" w:cs="宋体"/>
          <w:spacing w:val="7"/>
          <w:sz w:val="24"/>
          <w:szCs w:val="24"/>
        </w:rPr>
        <w:t>过程人民民主中获得资源、信息等机会不平等。学界把乡村政治不平等分为三种类型:一是</w:t>
      </w:r>
      <w:r>
        <w:rPr>
          <w:rFonts w:hint="eastAsia" w:ascii="宋体" w:hAnsi="宋体" w:eastAsia="宋体" w:cs="宋体"/>
          <w:spacing w:val="14"/>
          <w:sz w:val="24"/>
          <w:szCs w:val="24"/>
        </w:rPr>
        <w:t>权力不平等影响农民参与乡村公共领域社会事务的机会;二是交流不平等制约农民参与能力在乡村民主过程中的有效性发挥;三是能力不平等使农民不可能全然参与到乡村公共事</w:t>
      </w:r>
      <w:r>
        <w:rPr>
          <w:rFonts w:hint="eastAsia" w:ascii="宋体" w:hAnsi="宋体" w:eastAsia="宋体" w:cs="宋体"/>
          <w:spacing w:val="13"/>
          <w:sz w:val="24"/>
          <w:szCs w:val="24"/>
        </w:rPr>
        <w:t>务之中。乡村政治不平等导致农民参与乡村全过程人民民主的困难</w:t>
      </w:r>
      <w:r>
        <w:rPr>
          <w:rFonts w:hint="eastAsia" w:ascii="宋体" w:hAnsi="宋体" w:eastAsia="宋体" w:cs="宋体"/>
          <w:spacing w:val="12"/>
          <w:sz w:val="24"/>
          <w:szCs w:val="24"/>
        </w:rPr>
        <w:t>,使得乡村民主过程中</w:t>
      </w:r>
      <w:r>
        <w:rPr>
          <w:rFonts w:hint="eastAsia" w:ascii="宋体" w:hAnsi="宋体" w:eastAsia="宋体" w:cs="宋体"/>
          <w:spacing w:val="8"/>
          <w:sz w:val="24"/>
          <w:szCs w:val="24"/>
        </w:rPr>
        <w:t>难以充分体现农民在主体上的平等性。</w:t>
      </w:r>
    </w:p>
    <w:p w14:paraId="17E2438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在“百年未有之大变局”和“国内大循环为主体格局”的时代背景</w:t>
      </w:r>
      <w:r>
        <w:rPr>
          <w:rFonts w:hint="eastAsia" w:ascii="宋体" w:hAnsi="宋体" w:eastAsia="宋体" w:cs="宋体"/>
          <w:spacing w:val="1"/>
          <w:sz w:val="24"/>
          <w:szCs w:val="24"/>
        </w:rPr>
        <w:t>下,乡村全过程人民民</w:t>
      </w:r>
      <w:r>
        <w:rPr>
          <w:rFonts w:hint="eastAsia" w:ascii="宋体" w:hAnsi="宋体" w:eastAsia="宋体" w:cs="宋体"/>
          <w:spacing w:val="14"/>
          <w:sz w:val="24"/>
          <w:szCs w:val="24"/>
        </w:rPr>
        <w:t>主在中西对比过程中建构出一套具有中国特色</w:t>
      </w:r>
      <w:r>
        <w:rPr>
          <w:rFonts w:hint="eastAsia" w:ascii="宋体" w:hAnsi="宋体" w:eastAsia="宋体" w:cs="宋体"/>
          <w:spacing w:val="13"/>
          <w:sz w:val="24"/>
          <w:szCs w:val="24"/>
        </w:rPr>
        <w:t>的话语体系,展示出乡村民主政治的旺盛生</w:t>
      </w:r>
      <w:r>
        <w:rPr>
          <w:rFonts w:hint="eastAsia" w:ascii="宋体" w:hAnsi="宋体" w:eastAsia="宋体" w:cs="宋体"/>
          <w:spacing w:val="5"/>
          <w:sz w:val="24"/>
          <w:szCs w:val="24"/>
        </w:rPr>
        <w:t>命力,促进了乡村民主的文化性建构、规范性建构和体系性建构。</w:t>
      </w:r>
      <w:r>
        <w:rPr>
          <w:rStyle w:val="20"/>
          <w:rFonts w:hint="eastAsia" w:ascii="宋体" w:hAnsi="宋体" w:eastAsia="宋体" w:cs="宋体"/>
          <w:spacing w:val="5"/>
          <w:sz w:val="24"/>
          <w:szCs w:val="24"/>
        </w:rPr>
        <w:footnoteReference w:id="306"/>
      </w:r>
      <w:r>
        <w:rPr>
          <w:rFonts w:hint="eastAsia" w:ascii="宋体" w:hAnsi="宋体" w:eastAsia="宋体" w:cs="宋体"/>
          <w:spacing w:val="5"/>
          <w:sz w:val="24"/>
          <w:szCs w:val="24"/>
        </w:rPr>
        <w:t>改革开</w:t>
      </w:r>
      <w:r>
        <w:rPr>
          <w:rFonts w:hint="eastAsia" w:ascii="宋体" w:hAnsi="宋体" w:eastAsia="宋体" w:cs="宋体"/>
          <w:spacing w:val="4"/>
          <w:sz w:val="24"/>
          <w:szCs w:val="24"/>
        </w:rPr>
        <w:t>放前,政府以行政</w:t>
      </w:r>
      <w:r>
        <w:rPr>
          <w:rFonts w:hint="eastAsia" w:ascii="宋体" w:hAnsi="宋体" w:eastAsia="宋体" w:cs="宋体"/>
          <w:spacing w:val="10"/>
          <w:sz w:val="24"/>
          <w:szCs w:val="24"/>
        </w:rPr>
        <w:t>方式深度介入乡村民主,乡村社会事务的公共性比较突出。改革开放后,市场因素和利益观</w:t>
      </w:r>
      <w:r>
        <w:rPr>
          <w:rFonts w:hint="eastAsia" w:ascii="宋体" w:hAnsi="宋体" w:eastAsia="宋体" w:cs="宋体"/>
          <w:spacing w:val="8"/>
          <w:sz w:val="24"/>
          <w:szCs w:val="24"/>
        </w:rPr>
        <w:t>念不断渗透到乡村社会,传承千年的“差序格局”日益模糊,价值趋于多元且不断出</w:t>
      </w:r>
      <w:r>
        <w:rPr>
          <w:rFonts w:hint="eastAsia" w:ascii="宋体" w:hAnsi="宋体" w:eastAsia="宋体" w:cs="宋体"/>
          <w:spacing w:val="7"/>
          <w:sz w:val="24"/>
          <w:szCs w:val="24"/>
        </w:rPr>
        <w:t>新,民主</w:t>
      </w:r>
      <w:r>
        <w:rPr>
          <w:rFonts w:hint="eastAsia" w:ascii="宋体" w:hAnsi="宋体" w:eastAsia="宋体" w:cs="宋体"/>
          <w:spacing w:val="8"/>
          <w:sz w:val="24"/>
          <w:szCs w:val="24"/>
        </w:rPr>
        <w:t>理念深入人心,乡村社会的公共性逐渐让位</w:t>
      </w:r>
      <w:r>
        <w:rPr>
          <w:rFonts w:hint="eastAsia" w:ascii="宋体" w:hAnsi="宋体" w:eastAsia="宋体" w:cs="宋体"/>
          <w:spacing w:val="7"/>
          <w:sz w:val="24"/>
          <w:szCs w:val="24"/>
        </w:rPr>
        <w:t>于经济利益的共同性。经济财富、社会资本、宗</w:t>
      </w:r>
      <w:r>
        <w:rPr>
          <w:rFonts w:hint="eastAsia" w:ascii="宋体" w:hAnsi="宋体" w:eastAsia="宋体" w:cs="宋体"/>
          <w:spacing w:val="5"/>
          <w:sz w:val="24"/>
          <w:szCs w:val="24"/>
        </w:rPr>
        <w:t>族声望、灰色影响、文化层次把乡村传统的扁平社会划分</w:t>
      </w:r>
      <w:r>
        <w:rPr>
          <w:rFonts w:hint="eastAsia" w:ascii="宋体" w:hAnsi="宋体" w:eastAsia="宋体" w:cs="宋体"/>
          <w:spacing w:val="4"/>
          <w:sz w:val="24"/>
          <w:szCs w:val="24"/>
        </w:rPr>
        <w:t>出不同的差序模块。以自我为中心</w:t>
      </w:r>
      <w:r>
        <w:rPr>
          <w:rFonts w:hint="eastAsia" w:ascii="宋体" w:hAnsi="宋体" w:eastAsia="宋体" w:cs="宋体"/>
          <w:spacing w:val="8"/>
          <w:sz w:val="24"/>
          <w:szCs w:val="24"/>
        </w:rPr>
        <w:t>的个人主义、以利益为中心的市场理念,成</w:t>
      </w:r>
      <w:r>
        <w:rPr>
          <w:rFonts w:hint="eastAsia" w:ascii="宋体" w:hAnsi="宋体" w:eastAsia="宋体" w:cs="宋体"/>
          <w:spacing w:val="7"/>
          <w:sz w:val="24"/>
          <w:szCs w:val="24"/>
        </w:rPr>
        <w:t>为乡村社会评价事物的重要考量。乡村社会有时</w:t>
      </w:r>
      <w:r>
        <w:rPr>
          <w:rFonts w:hint="eastAsia" w:ascii="宋体" w:hAnsi="宋体" w:eastAsia="宋体" w:cs="宋体"/>
          <w:spacing w:val="16"/>
          <w:sz w:val="24"/>
          <w:szCs w:val="24"/>
        </w:rPr>
        <w:t>不是基于乡村事务的公共性进行理性分析,而是建立在</w:t>
      </w:r>
      <w:r>
        <w:rPr>
          <w:rFonts w:hint="eastAsia" w:ascii="宋体" w:hAnsi="宋体" w:eastAsia="宋体" w:cs="宋体"/>
          <w:spacing w:val="15"/>
          <w:sz w:val="24"/>
          <w:szCs w:val="24"/>
        </w:rPr>
        <w:t>利益关系的基础上进行阶层分割。</w:t>
      </w:r>
      <w:r>
        <w:rPr>
          <w:rFonts w:hint="eastAsia" w:ascii="宋体" w:hAnsi="宋体" w:eastAsia="宋体" w:cs="宋体"/>
          <w:spacing w:val="7"/>
          <w:sz w:val="24"/>
          <w:szCs w:val="24"/>
        </w:rPr>
        <w:t>如果乡村事务和个体之间没有太大的利益关系,乡村个体则时常遵从“少管闲事,少惹是非”</w:t>
      </w:r>
      <w:r>
        <w:rPr>
          <w:rFonts w:hint="eastAsia" w:ascii="宋体" w:hAnsi="宋体" w:eastAsia="宋体" w:cs="宋体"/>
          <w:spacing w:val="13"/>
          <w:sz w:val="24"/>
          <w:szCs w:val="24"/>
        </w:rPr>
        <w:t>的原则处理乡村公共事务。一些村民时常漠视乡村公共事务的正当性,</w:t>
      </w:r>
      <w:r>
        <w:rPr>
          <w:rFonts w:hint="eastAsia" w:ascii="宋体" w:hAnsi="宋体" w:eastAsia="宋体" w:cs="宋体"/>
          <w:spacing w:val="12"/>
          <w:sz w:val="24"/>
          <w:szCs w:val="24"/>
        </w:rPr>
        <w:t>缺乏维护乡村正义</w:t>
      </w:r>
      <w:r>
        <w:rPr>
          <w:rFonts w:hint="eastAsia" w:ascii="宋体" w:hAnsi="宋体" w:eastAsia="宋体" w:cs="宋体"/>
          <w:spacing w:val="8"/>
          <w:sz w:val="24"/>
          <w:szCs w:val="24"/>
        </w:rPr>
        <w:t>的积极性。乡村集体经济的虚置,也可能导</w:t>
      </w:r>
      <w:r>
        <w:rPr>
          <w:rFonts w:hint="eastAsia" w:ascii="宋体" w:hAnsi="宋体" w:eastAsia="宋体" w:cs="宋体"/>
          <w:spacing w:val="7"/>
          <w:sz w:val="24"/>
          <w:szCs w:val="24"/>
        </w:rPr>
        <w:t>致乡村公共理念缺乏、公共精神缺失、公共责任</w:t>
      </w:r>
      <w:r>
        <w:rPr>
          <w:rFonts w:hint="eastAsia" w:ascii="宋体" w:hAnsi="宋体" w:eastAsia="宋体" w:cs="宋体"/>
          <w:spacing w:val="10"/>
          <w:sz w:val="24"/>
          <w:szCs w:val="24"/>
        </w:rPr>
        <w:t>感缺位。尤其是基于乡村公共利益的政治参与,一些村民往往是事不关己高高挂起,少有基</w:t>
      </w:r>
      <w:r>
        <w:rPr>
          <w:rFonts w:hint="eastAsia" w:ascii="宋体" w:hAnsi="宋体" w:eastAsia="宋体" w:cs="宋体"/>
          <w:spacing w:val="14"/>
          <w:sz w:val="24"/>
          <w:szCs w:val="24"/>
        </w:rPr>
        <w:t>于发展大局和长远利益的谋划与付出,更缺乏</w:t>
      </w:r>
      <w:r>
        <w:rPr>
          <w:rFonts w:hint="eastAsia" w:ascii="宋体" w:hAnsi="宋体" w:eastAsia="宋体" w:cs="宋体"/>
          <w:spacing w:val="13"/>
          <w:sz w:val="24"/>
          <w:szCs w:val="24"/>
        </w:rPr>
        <w:t>积极参与乡村全过程人民民主实践的意识和</w:t>
      </w:r>
      <w:r>
        <w:rPr>
          <w:rFonts w:hint="eastAsia" w:ascii="宋体" w:hAnsi="宋体" w:eastAsia="宋体" w:cs="宋体"/>
          <w:spacing w:val="10"/>
          <w:sz w:val="24"/>
          <w:szCs w:val="24"/>
        </w:rPr>
        <w:t>行动。因此,着力建构适应乡村全过程人民民主的文化性、规范性和体系性的公共理性,便</w:t>
      </w:r>
      <w:r>
        <w:rPr>
          <w:rFonts w:hint="eastAsia" w:ascii="宋体" w:hAnsi="宋体" w:eastAsia="宋体" w:cs="宋体"/>
          <w:spacing w:val="7"/>
          <w:sz w:val="24"/>
          <w:szCs w:val="24"/>
        </w:rPr>
        <w:t>成为当务之急。</w:t>
      </w:r>
    </w:p>
    <w:p w14:paraId="16541EC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0084C1E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sectPr>
          <w:footerReference r:id="rId12" w:type="default"/>
          <w:footnotePr>
            <w:numFmt w:val="decimalEnclosedCircleChinese"/>
            <w:numRestart w:val="eachPage"/>
          </w:footnotePr>
          <w:type w:val="continuous"/>
          <w:pgSz w:w="11900" w:h="16160"/>
          <w:pgMar w:top="1615" w:right="1763" w:bottom="547" w:left="407" w:header="1285" w:footer="354" w:gutter="0"/>
          <w:pgNumType w:fmt="decimal"/>
          <w:cols w:space="720" w:num="1"/>
        </w:sectPr>
      </w:pPr>
    </w:p>
    <w:p w14:paraId="1D9FCDE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(三)依赖倾向:政治冷漠与简单多数</w:t>
      </w:r>
    </w:p>
    <w:p w14:paraId="1C9241F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乡村全过程人民民主中的政治冷漠是指村民参与乡村事务的积极心理缺乏、履行公民</w:t>
      </w:r>
      <w:r>
        <w:rPr>
          <w:rFonts w:hint="eastAsia" w:ascii="宋体" w:hAnsi="宋体" w:eastAsia="宋体" w:cs="宋体"/>
          <w:spacing w:val="7"/>
          <w:sz w:val="24"/>
          <w:szCs w:val="24"/>
        </w:rPr>
        <w:t>义务的内在情感不足、参加公共事务的政治立场摇摆。在</w:t>
      </w:r>
      <w:r>
        <w:rPr>
          <w:rFonts w:hint="eastAsia" w:ascii="宋体" w:hAnsi="宋体" w:eastAsia="宋体" w:cs="宋体"/>
          <w:spacing w:val="6"/>
          <w:sz w:val="24"/>
          <w:szCs w:val="24"/>
        </w:rPr>
        <w:t>乡村全过程人民民主实践中,囿于</w:t>
      </w:r>
      <w:r>
        <w:rPr>
          <w:rFonts w:hint="eastAsia" w:ascii="宋体" w:hAnsi="宋体" w:eastAsia="宋体" w:cs="宋体"/>
          <w:spacing w:val="9"/>
          <w:sz w:val="24"/>
          <w:szCs w:val="24"/>
        </w:rPr>
        <w:t>自身利益的考量,村民常衍生出政治冷漠心理。目前,乡村全过程人民民主实践尚处于创新</w:t>
      </w:r>
      <w:r>
        <w:rPr>
          <w:rFonts w:hint="eastAsia" w:ascii="宋体" w:hAnsi="宋体" w:eastAsia="宋体" w:cs="宋体"/>
          <w:spacing w:val="11"/>
          <w:sz w:val="24"/>
          <w:szCs w:val="24"/>
        </w:rPr>
        <w:t>阶段,在短时期内村民很难充分感受到乡村公共利益的社会性,乡村民主过程一时还</w:t>
      </w:r>
      <w:r>
        <w:rPr>
          <w:rFonts w:hint="eastAsia" w:ascii="宋体" w:hAnsi="宋体" w:eastAsia="宋体" w:cs="宋体"/>
          <w:spacing w:val="10"/>
          <w:sz w:val="24"/>
          <w:szCs w:val="24"/>
        </w:rPr>
        <w:t>无法满</w:t>
      </w:r>
      <w:r>
        <w:rPr>
          <w:rFonts w:hint="eastAsia" w:ascii="宋体" w:hAnsi="宋体" w:eastAsia="宋体" w:cs="宋体"/>
          <w:spacing w:val="7"/>
          <w:sz w:val="24"/>
          <w:szCs w:val="24"/>
        </w:rPr>
        <w:t>足他们的“获得感”。村民政治冷漠也具有认知上的现实基础。比如,</w:t>
      </w:r>
      <w:r>
        <w:rPr>
          <w:rFonts w:hint="eastAsia" w:ascii="宋体" w:hAnsi="宋体" w:eastAsia="宋体" w:cs="宋体"/>
          <w:spacing w:val="6"/>
          <w:sz w:val="24"/>
          <w:szCs w:val="24"/>
        </w:rPr>
        <w:t>在讨论乡村公共事务</w:t>
      </w:r>
      <w:r>
        <w:rPr>
          <w:rFonts w:hint="eastAsia" w:ascii="宋体" w:hAnsi="宋体" w:eastAsia="宋体" w:cs="宋体"/>
          <w:spacing w:val="14"/>
          <w:sz w:val="24"/>
          <w:szCs w:val="24"/>
        </w:rPr>
        <w:t>时,或因其意见很少被列入议题,或即便被列入议题也很难影响决策,</w:t>
      </w:r>
      <w:r>
        <w:rPr>
          <w:rFonts w:hint="eastAsia" w:ascii="宋体" w:hAnsi="宋体" w:eastAsia="宋体" w:cs="宋体"/>
          <w:spacing w:val="13"/>
          <w:sz w:val="24"/>
          <w:szCs w:val="24"/>
        </w:rPr>
        <w:t>这就必然削弱村民参与乡村全过程人民民主的积极性。有时乡村全过程人民民主的决</w:t>
      </w:r>
      <w:r>
        <w:rPr>
          <w:rFonts w:hint="eastAsia" w:ascii="宋体" w:hAnsi="宋体" w:eastAsia="宋体" w:cs="宋体"/>
          <w:spacing w:val="12"/>
          <w:sz w:val="24"/>
          <w:szCs w:val="24"/>
        </w:rPr>
        <w:t>策难以快速落实,村民会</w:t>
      </w:r>
      <w:r>
        <w:rPr>
          <w:rFonts w:hint="eastAsia" w:ascii="宋体" w:hAnsi="宋体" w:eastAsia="宋体" w:cs="宋体"/>
          <w:spacing w:val="13"/>
          <w:sz w:val="24"/>
          <w:szCs w:val="24"/>
        </w:rPr>
        <w:t>产生民主过程无用论的心理,从而降低其参与乡村民主决策的动</w:t>
      </w:r>
      <w:r>
        <w:rPr>
          <w:rFonts w:hint="eastAsia" w:ascii="宋体" w:hAnsi="宋体" w:eastAsia="宋体" w:cs="宋体"/>
          <w:spacing w:val="12"/>
          <w:sz w:val="24"/>
          <w:szCs w:val="24"/>
        </w:rPr>
        <w:t>力和热情。有些村民发现</w:t>
      </w:r>
      <w:r>
        <w:rPr>
          <w:rFonts w:hint="eastAsia" w:ascii="宋体" w:hAnsi="宋体" w:eastAsia="宋体" w:cs="宋体"/>
          <w:spacing w:val="11"/>
          <w:sz w:val="24"/>
          <w:szCs w:val="24"/>
        </w:rPr>
        <w:t>乡村民主话题与自己的利益关涉不大,往往无心参与甚至反对开展民主过程,还有一</w:t>
      </w:r>
      <w:r>
        <w:rPr>
          <w:rFonts w:hint="eastAsia" w:ascii="宋体" w:hAnsi="宋体" w:eastAsia="宋体" w:cs="宋体"/>
          <w:spacing w:val="10"/>
          <w:sz w:val="24"/>
          <w:szCs w:val="24"/>
        </w:rPr>
        <w:t>些村民</w:t>
      </w:r>
      <w:r>
        <w:rPr>
          <w:rFonts w:hint="eastAsia" w:ascii="宋体" w:hAnsi="宋体" w:eastAsia="宋体" w:cs="宋体"/>
          <w:spacing w:val="8"/>
          <w:sz w:val="24"/>
          <w:szCs w:val="24"/>
        </w:rPr>
        <w:t>抱着投机心态,奉行“有利就干,无利免谈”的原则,消极对待乡村民主活动。因</w:t>
      </w:r>
      <w:r>
        <w:rPr>
          <w:rFonts w:hint="eastAsia" w:ascii="宋体" w:hAnsi="宋体" w:eastAsia="宋体" w:cs="宋体"/>
          <w:spacing w:val="7"/>
          <w:sz w:val="24"/>
          <w:szCs w:val="24"/>
        </w:rPr>
        <w:t>利益考量而</w:t>
      </w:r>
      <w:r>
        <w:rPr>
          <w:rFonts w:hint="eastAsia" w:ascii="宋体" w:hAnsi="宋体" w:eastAsia="宋体" w:cs="宋体"/>
          <w:spacing w:val="13"/>
          <w:sz w:val="24"/>
          <w:szCs w:val="24"/>
        </w:rPr>
        <w:t>导致的政治冷漠侵蚀着村民对乡村全过程人民民主决策结果的认知,削弱了村民参与乡村</w:t>
      </w:r>
      <w:r>
        <w:rPr>
          <w:rFonts w:hint="eastAsia" w:ascii="宋体" w:hAnsi="宋体" w:eastAsia="宋体" w:cs="宋体"/>
          <w:spacing w:val="8"/>
          <w:sz w:val="24"/>
          <w:szCs w:val="24"/>
        </w:rPr>
        <w:t>全过程人民民主实践的主动性。</w:t>
      </w:r>
    </w:p>
    <w:p w14:paraId="6F38402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依赖倾向中的简单多数是指在乡村全过程人民民主中基于少</w:t>
      </w:r>
      <w:r>
        <w:rPr>
          <w:rFonts w:hint="eastAsia" w:ascii="宋体" w:hAnsi="宋体" w:eastAsia="宋体" w:cs="宋体"/>
          <w:spacing w:val="8"/>
          <w:sz w:val="24"/>
          <w:szCs w:val="24"/>
        </w:rPr>
        <w:t>数服从多数原则(无论是单纯多数规则,还是比例多数规则)而无视少数人的合理要求,损害少数人的合法权益。在乡村</w:t>
      </w:r>
      <w:r>
        <w:rPr>
          <w:rFonts w:hint="eastAsia" w:ascii="宋体" w:hAnsi="宋体" w:eastAsia="宋体" w:cs="宋体"/>
          <w:spacing w:val="3"/>
          <w:sz w:val="24"/>
          <w:szCs w:val="24"/>
        </w:rPr>
        <w:t>全过程人民民主实践中,同宗同族人群、经济利益共同者等社会群体往往采取内部协商一致原</w:t>
      </w:r>
      <w:r>
        <w:rPr>
          <w:rFonts w:hint="eastAsia" w:ascii="宋体" w:hAnsi="宋体" w:eastAsia="宋体" w:cs="宋体"/>
          <w:spacing w:val="6"/>
          <w:sz w:val="24"/>
          <w:szCs w:val="24"/>
        </w:rPr>
        <w:t>则,目的是彰显其团体力量,影响乡村公共决策,维</w:t>
      </w:r>
      <w:r>
        <w:rPr>
          <w:rFonts w:hint="eastAsia" w:ascii="宋体" w:hAnsi="宋体" w:eastAsia="宋体" w:cs="宋体"/>
          <w:spacing w:val="5"/>
          <w:sz w:val="24"/>
          <w:szCs w:val="24"/>
        </w:rPr>
        <w:t>护少数人的私利,损害乡村公共利益。在少</w:t>
      </w:r>
      <w:r>
        <w:rPr>
          <w:rFonts w:hint="eastAsia" w:ascii="宋体" w:hAnsi="宋体" w:eastAsia="宋体" w:cs="宋体"/>
          <w:spacing w:val="6"/>
          <w:sz w:val="24"/>
          <w:szCs w:val="24"/>
        </w:rPr>
        <w:t>数极端情景中,利益关联的乡村主体为了维护自身利益或者攫取团体非法利益,往往采取内部</w:t>
      </w:r>
      <w:r>
        <w:rPr>
          <w:rFonts w:hint="eastAsia" w:ascii="宋体" w:hAnsi="宋体" w:eastAsia="宋体" w:cs="宋体"/>
          <w:spacing w:val="2"/>
          <w:sz w:val="24"/>
          <w:szCs w:val="24"/>
        </w:rPr>
        <w:t>结盟,协商一致,共同行动,在选举或协商中损害少数人的合法利益</w:t>
      </w:r>
      <w:r>
        <w:rPr>
          <w:rFonts w:hint="eastAsia" w:ascii="宋体" w:hAnsi="宋体" w:eastAsia="宋体" w:cs="宋体"/>
          <w:spacing w:val="1"/>
          <w:sz w:val="24"/>
          <w:szCs w:val="24"/>
        </w:rPr>
        <w:t>。如此“简单多数”原则,实</w:t>
      </w:r>
      <w:r>
        <w:rPr>
          <w:rFonts w:hint="eastAsia" w:ascii="宋体" w:hAnsi="宋体" w:eastAsia="宋体" w:cs="宋体"/>
          <w:spacing w:val="6"/>
          <w:sz w:val="24"/>
          <w:szCs w:val="24"/>
        </w:rPr>
        <w:t>质上脱离了乡村公共利益,维护了个人私利,他们借口的乡村利益公共性则可能沦为虚假或仅</w:t>
      </w:r>
      <w:r>
        <w:rPr>
          <w:rFonts w:hint="eastAsia" w:ascii="宋体" w:hAnsi="宋体" w:eastAsia="宋体" w:cs="宋体"/>
          <w:spacing w:val="5"/>
          <w:sz w:val="24"/>
          <w:szCs w:val="24"/>
        </w:rPr>
        <w:t>仅是名义上的。乡村全过程人民民主不能为了维护一部分人的合法利益而牺牲</w:t>
      </w:r>
      <w:r>
        <w:rPr>
          <w:rFonts w:hint="eastAsia" w:ascii="宋体" w:hAnsi="宋体" w:eastAsia="宋体" w:cs="宋体"/>
          <w:spacing w:val="4"/>
          <w:sz w:val="24"/>
          <w:szCs w:val="24"/>
        </w:rPr>
        <w:t>另一部分人的</w:t>
      </w:r>
      <w:r>
        <w:rPr>
          <w:rFonts w:hint="eastAsia" w:ascii="宋体" w:hAnsi="宋体" w:eastAsia="宋体" w:cs="宋体"/>
          <w:spacing w:val="6"/>
          <w:sz w:val="24"/>
          <w:szCs w:val="24"/>
        </w:rPr>
        <w:t>合法利益,也绝不能仅仅借重少数服从多数原则,以损害少数人合法权益为代价来促进乡村公</w:t>
      </w:r>
      <w:r>
        <w:rPr>
          <w:rFonts w:hint="eastAsia" w:ascii="宋体" w:hAnsi="宋体" w:eastAsia="宋体" w:cs="宋体"/>
          <w:spacing w:val="5"/>
          <w:sz w:val="24"/>
          <w:szCs w:val="24"/>
        </w:rPr>
        <w:t>共利益的实现。乡村全过程人民民主要通过民主监管和法律保障切实维护乡村</w:t>
      </w:r>
      <w:r>
        <w:rPr>
          <w:rFonts w:hint="eastAsia" w:ascii="宋体" w:hAnsi="宋体" w:eastAsia="宋体" w:cs="宋体"/>
          <w:spacing w:val="4"/>
          <w:sz w:val="24"/>
          <w:szCs w:val="24"/>
        </w:rPr>
        <w:t>社会每个人的合法权益。只有这样,才能维护乡村公平,实现乡村善治,促进乡村振兴。</w:t>
      </w:r>
    </w:p>
    <w:p w14:paraId="2D1C17D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14:textOutline w14:w="2540" w14:cap="rnd" w14:cmpd="sng">
            <w14:solidFill>
              <w14:srgbClr w14:val="231F20"/>
            </w14:solidFill>
            <w14:prstDash w14:val="solid"/>
            <w14:bevel/>
          </w14:textOutline>
        </w:rPr>
        <w:t>(四)思维瓶颈:意识偏差与包容衰退</w:t>
      </w:r>
    </w:p>
    <w:p w14:paraId="796B070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民主意识是乡村全过程人民民主治理效能发挥的重要条件,是在乡村民主参与和社会</w:t>
      </w:r>
      <w:r>
        <w:rPr>
          <w:rFonts w:hint="eastAsia" w:ascii="宋体" w:hAnsi="宋体" w:eastAsia="宋体" w:cs="宋体"/>
          <w:spacing w:val="16"/>
          <w:sz w:val="24"/>
          <w:szCs w:val="24"/>
        </w:rPr>
        <w:t>治理过程中形成的民主思维和民主行为的内在心理,它包括主体</w:t>
      </w:r>
      <w:r>
        <w:rPr>
          <w:rFonts w:hint="eastAsia" w:ascii="宋体" w:hAnsi="宋体" w:eastAsia="宋体" w:cs="宋体"/>
          <w:spacing w:val="15"/>
          <w:sz w:val="24"/>
          <w:szCs w:val="24"/>
        </w:rPr>
        <w:t>意识、责任意识和权利意</w:t>
      </w:r>
      <w:r>
        <w:rPr>
          <w:rFonts w:hint="eastAsia" w:ascii="宋体" w:hAnsi="宋体" w:eastAsia="宋体" w:cs="宋体"/>
          <w:spacing w:val="11"/>
          <w:sz w:val="24"/>
          <w:szCs w:val="24"/>
        </w:rPr>
        <w:t>识。民主意识是多元乡村主体主动参与全过程人民民主的内在因素。在乡村全过程人民民</w:t>
      </w:r>
      <w:r>
        <w:rPr>
          <w:rFonts w:hint="eastAsia" w:ascii="宋体" w:hAnsi="宋体" w:eastAsia="宋体" w:cs="宋体"/>
          <w:spacing w:val="14"/>
          <w:sz w:val="24"/>
          <w:szCs w:val="24"/>
        </w:rPr>
        <w:t>主实践中,民主意识薄弱的基层干部有时会对乡村民主造成极大损害</w:t>
      </w:r>
      <w:r>
        <w:rPr>
          <w:rFonts w:hint="eastAsia" w:ascii="宋体" w:hAnsi="宋体" w:eastAsia="宋体" w:cs="宋体"/>
          <w:spacing w:val="13"/>
          <w:sz w:val="24"/>
          <w:szCs w:val="24"/>
        </w:rPr>
        <w:t>。“治理的不断技术化,并不一定能够强化行政体系对于具体社会问题的感受力和应变力,反而会使后者变得越</w:t>
      </w:r>
      <w:r>
        <w:rPr>
          <w:rFonts w:hint="eastAsia" w:ascii="宋体" w:hAnsi="宋体" w:eastAsia="宋体" w:cs="宋体"/>
          <w:spacing w:val="5"/>
          <w:sz w:val="24"/>
          <w:szCs w:val="24"/>
        </w:rPr>
        <w:t>加迟钝。</w:t>
      </w:r>
      <w:r>
        <w:rPr>
          <w:rFonts w:hint="eastAsia" w:ascii="宋体" w:hAnsi="宋体" w:eastAsia="宋体" w:cs="宋体"/>
          <w:spacing w:val="5"/>
          <w:position w:val="4"/>
          <w:sz w:val="24"/>
          <w:szCs w:val="24"/>
        </w:rPr>
        <w:t>”</w:t>
      </w:r>
      <w:r>
        <w:rPr>
          <w:rStyle w:val="20"/>
          <w:rFonts w:hint="eastAsia" w:ascii="宋体" w:hAnsi="宋体" w:eastAsia="宋体" w:cs="宋体"/>
          <w:spacing w:val="5"/>
          <w:position w:val="4"/>
          <w:sz w:val="24"/>
          <w:szCs w:val="24"/>
        </w:rPr>
        <w:footnoteReference w:id="307"/>
      </w:r>
      <w:r>
        <w:rPr>
          <w:rFonts w:hint="eastAsia" w:ascii="宋体" w:hAnsi="宋体" w:eastAsia="宋体" w:cs="宋体"/>
          <w:spacing w:val="5"/>
          <w:sz w:val="24"/>
          <w:szCs w:val="24"/>
        </w:rPr>
        <w:t>由于官本位和人治思想的“胎记”影响,一些乡村干</w:t>
      </w:r>
      <w:r>
        <w:rPr>
          <w:rFonts w:hint="eastAsia" w:ascii="宋体" w:hAnsi="宋体" w:eastAsia="宋体" w:cs="宋体"/>
          <w:spacing w:val="4"/>
          <w:sz w:val="24"/>
          <w:szCs w:val="24"/>
        </w:rPr>
        <w:t>部倾向于制定强制性计划,下</w:t>
      </w:r>
      <w:r>
        <w:rPr>
          <w:rFonts w:hint="eastAsia" w:ascii="宋体" w:hAnsi="宋体" w:eastAsia="宋体" w:cs="宋体"/>
          <w:spacing w:val="13"/>
          <w:sz w:val="24"/>
          <w:szCs w:val="24"/>
        </w:rPr>
        <w:t>达强制性命令,时常抑制农民参与乡村事务的民主意识,大大弱化乡村全过程人民民主中农</w:t>
      </w:r>
      <w:r>
        <w:rPr>
          <w:rFonts w:hint="eastAsia" w:ascii="宋体" w:hAnsi="宋体" w:eastAsia="宋体" w:cs="宋体"/>
          <w:spacing w:val="7"/>
          <w:sz w:val="24"/>
          <w:szCs w:val="24"/>
        </w:rPr>
        <w:t>民的协商功能和参与热情。也有个别乡村干部借口农民民主素质低、思想</w:t>
      </w:r>
      <w:r>
        <w:rPr>
          <w:rFonts w:hint="eastAsia" w:ascii="宋体" w:hAnsi="宋体" w:eastAsia="宋体" w:cs="宋体"/>
          <w:spacing w:val="6"/>
          <w:sz w:val="24"/>
          <w:szCs w:val="24"/>
        </w:rPr>
        <w:t>觉悟差、民主技巧</w:t>
      </w:r>
      <w:r>
        <w:rPr>
          <w:rFonts w:hint="eastAsia" w:ascii="宋体" w:hAnsi="宋体" w:eastAsia="宋体" w:cs="宋体"/>
          <w:spacing w:val="11"/>
          <w:sz w:val="24"/>
          <w:szCs w:val="24"/>
        </w:rPr>
        <w:t>少、协商能力弱等问题,害怕影响个人权威,不愿在管理层面推动乡村</w:t>
      </w:r>
      <w:r>
        <w:rPr>
          <w:rFonts w:hint="eastAsia" w:ascii="宋体" w:hAnsi="宋体" w:eastAsia="宋体" w:cs="宋体"/>
          <w:spacing w:val="10"/>
          <w:sz w:val="24"/>
          <w:szCs w:val="24"/>
        </w:rPr>
        <w:t>全过程人民民主,造成</w:t>
      </w:r>
      <w:r>
        <w:rPr>
          <w:rFonts w:hint="eastAsia" w:ascii="宋体" w:hAnsi="宋体" w:eastAsia="宋体" w:cs="宋体"/>
          <w:spacing w:val="15"/>
          <w:sz w:val="24"/>
          <w:szCs w:val="24"/>
        </w:rPr>
        <w:t>乡村民主渠道狭窄、全过程人民民主的链条缺失,治理效果不佳。还有些村民简单地认为</w:t>
      </w:r>
      <w:r>
        <w:rPr>
          <w:rFonts w:hint="eastAsia" w:ascii="宋体" w:hAnsi="宋体" w:eastAsia="宋体" w:cs="宋体"/>
          <w:spacing w:val="4"/>
          <w:sz w:val="24"/>
          <w:szCs w:val="24"/>
        </w:rPr>
        <w:t>“民主”就是乡村问题投票解决,“一人一票”</w:t>
      </w:r>
      <w:r>
        <w:rPr>
          <w:rFonts w:hint="eastAsia" w:ascii="宋体" w:hAnsi="宋体" w:eastAsia="宋体" w:cs="宋体"/>
          <w:spacing w:val="3"/>
          <w:sz w:val="24"/>
          <w:szCs w:val="24"/>
        </w:rPr>
        <w:t>是最民主的方式。乡村民主主体的意识偏差不</w:t>
      </w:r>
      <w:r>
        <w:rPr>
          <w:rFonts w:hint="eastAsia" w:ascii="宋体" w:hAnsi="宋体" w:eastAsia="宋体" w:cs="宋体"/>
          <w:spacing w:val="11"/>
          <w:sz w:val="24"/>
          <w:szCs w:val="24"/>
        </w:rPr>
        <w:t>仅影响利益冲突问题的解决方式,而且影响乡村全过程人民民主链条的完整性,削弱</w:t>
      </w:r>
      <w:r>
        <w:rPr>
          <w:rFonts w:hint="eastAsia" w:ascii="宋体" w:hAnsi="宋体" w:eastAsia="宋体" w:cs="宋体"/>
          <w:spacing w:val="10"/>
          <w:sz w:val="24"/>
          <w:szCs w:val="24"/>
        </w:rPr>
        <w:t>民主协</w:t>
      </w:r>
      <w:r>
        <w:rPr>
          <w:rFonts w:hint="eastAsia" w:ascii="宋体" w:hAnsi="宋体" w:eastAsia="宋体" w:cs="宋体"/>
          <w:spacing w:val="9"/>
          <w:sz w:val="24"/>
          <w:szCs w:val="24"/>
        </w:rPr>
        <w:t>商结果,从而消解乡村全过程人民民主的治理效能。</w:t>
      </w:r>
    </w:p>
    <w:p w14:paraId="736F961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乡村全过程人民民主中的政治包容,体现在特定的乡村社会环境中</w:t>
      </w:r>
      <w:r>
        <w:rPr>
          <w:rFonts w:hint="eastAsia" w:ascii="宋体" w:hAnsi="宋体" w:eastAsia="宋体" w:cs="宋体"/>
          <w:spacing w:val="10"/>
          <w:sz w:val="24"/>
          <w:szCs w:val="24"/>
        </w:rPr>
        <w:t>,不同的乡村民主主</w:t>
      </w:r>
      <w:r>
        <w:rPr>
          <w:rFonts w:hint="eastAsia" w:ascii="宋体" w:hAnsi="宋体" w:eastAsia="宋体" w:cs="宋体"/>
          <w:spacing w:val="13"/>
          <w:sz w:val="24"/>
          <w:szCs w:val="24"/>
        </w:rPr>
        <w:t>体基于乡村共同责任包容不同的观点和建议;也体现在诉求不同的乡村主体以多元价值取</w:t>
      </w:r>
      <w:r>
        <w:rPr>
          <w:rFonts w:hint="eastAsia" w:ascii="宋体" w:hAnsi="宋体" w:eastAsia="宋体" w:cs="宋体"/>
          <w:spacing w:val="9"/>
          <w:sz w:val="24"/>
          <w:szCs w:val="24"/>
        </w:rPr>
        <w:t>向为前提,以平等协商、民主对话、和平竞争的方式,运用说</w:t>
      </w:r>
      <w:r>
        <w:rPr>
          <w:rFonts w:hint="eastAsia" w:ascii="宋体" w:hAnsi="宋体" w:eastAsia="宋体" w:cs="宋体"/>
          <w:spacing w:val="8"/>
          <w:sz w:val="24"/>
          <w:szCs w:val="24"/>
        </w:rPr>
        <w:t>服的逻辑力量而达成民主共识;</w:t>
      </w:r>
      <w:r>
        <w:rPr>
          <w:rFonts w:hint="eastAsia" w:ascii="宋体" w:hAnsi="宋体" w:eastAsia="宋体" w:cs="宋体"/>
          <w:spacing w:val="11"/>
          <w:sz w:val="24"/>
          <w:szCs w:val="24"/>
        </w:rPr>
        <w:t>还体现在乡村权力拥有者能够吸收不同的意见观点,接受群众的批评和建议,进而修正个人</w:t>
      </w:r>
      <w:r>
        <w:rPr>
          <w:rFonts w:hint="eastAsia" w:ascii="宋体" w:hAnsi="宋体" w:eastAsia="宋体" w:cs="宋体"/>
          <w:spacing w:val="13"/>
          <w:sz w:val="24"/>
          <w:szCs w:val="24"/>
        </w:rPr>
        <w:t>偏好,完善行政决策。乡村社会的政治平等以政治包容为前提,在乡村全过程人民民主中,</w:t>
      </w:r>
      <w:r>
        <w:rPr>
          <w:rFonts w:hint="eastAsia" w:ascii="宋体" w:hAnsi="宋体" w:eastAsia="宋体" w:cs="宋体"/>
          <w:spacing w:val="10"/>
          <w:sz w:val="24"/>
          <w:szCs w:val="24"/>
        </w:rPr>
        <w:t>乡村多元主体都应平等地被纳入全过程人民民主的全链条之中。而在目前</w:t>
      </w:r>
      <w:r>
        <w:rPr>
          <w:rFonts w:hint="eastAsia" w:ascii="宋体" w:hAnsi="宋体" w:eastAsia="宋体" w:cs="宋体"/>
          <w:spacing w:val="9"/>
          <w:sz w:val="24"/>
          <w:szCs w:val="24"/>
        </w:rPr>
        <w:t>的乡村全过程人</w:t>
      </w:r>
      <w:r>
        <w:rPr>
          <w:rFonts w:hint="eastAsia" w:ascii="宋体" w:hAnsi="宋体" w:eastAsia="宋体" w:cs="宋体"/>
          <w:spacing w:val="1"/>
          <w:sz w:val="24"/>
          <w:szCs w:val="24"/>
        </w:rPr>
        <w:t>民民主实践中,往往会呈现“精英俘获”或“寡头民主”的“包容衰退”倾向,与之相伴</w:t>
      </w:r>
      <w:r>
        <w:rPr>
          <w:rFonts w:hint="eastAsia" w:ascii="宋体" w:hAnsi="宋体" w:eastAsia="宋体" w:cs="宋体"/>
          <w:sz w:val="24"/>
          <w:szCs w:val="24"/>
        </w:rPr>
        <w:t>随的是</w:t>
      </w:r>
      <w:r>
        <w:rPr>
          <w:rFonts w:hint="eastAsia" w:ascii="宋体" w:hAnsi="宋体" w:eastAsia="宋体" w:cs="宋体"/>
          <w:spacing w:val="7"/>
          <w:sz w:val="24"/>
          <w:szCs w:val="24"/>
        </w:rPr>
        <w:t>普通农民的政治冷漠,这种冷漠甚至蔓延到乡村民主的全过程,继而严重破坏“充满活力的”</w:t>
      </w:r>
      <w:r>
        <w:rPr>
          <w:rFonts w:hint="eastAsia" w:ascii="宋体" w:hAnsi="宋体" w:eastAsia="宋体" w:cs="宋体"/>
          <w:spacing w:val="10"/>
          <w:sz w:val="24"/>
          <w:szCs w:val="24"/>
        </w:rPr>
        <w:t>乡村民主生态。在这样的民主生态中,村民不再追求乡村公共利益,而是热衷于狭隘场域中的个人或家族利益。不仅如此,包容衰退的阻塞效应还严重影响乡村稳定,使村民的归属感</w:t>
      </w:r>
      <w:r>
        <w:rPr>
          <w:rFonts w:hint="eastAsia" w:ascii="宋体" w:hAnsi="宋体" w:eastAsia="宋体" w:cs="宋体"/>
          <w:spacing w:val="6"/>
          <w:sz w:val="24"/>
          <w:szCs w:val="24"/>
        </w:rPr>
        <w:t>和幸福感大大削弱,其民主意愿的表达会出现“非理性化”倾向,“在沟通不</w:t>
      </w:r>
      <w:r>
        <w:rPr>
          <w:rFonts w:hint="eastAsia" w:ascii="宋体" w:hAnsi="宋体" w:eastAsia="宋体" w:cs="宋体"/>
          <w:spacing w:val="5"/>
          <w:sz w:val="24"/>
          <w:szCs w:val="24"/>
        </w:rPr>
        <w:t>畅的情况下很容</w:t>
      </w:r>
      <w:r>
        <w:rPr>
          <w:rFonts w:hint="eastAsia" w:ascii="宋体" w:hAnsi="宋体" w:eastAsia="宋体" w:cs="宋体"/>
          <w:sz w:val="24"/>
          <w:szCs w:val="24"/>
        </w:rPr>
        <w:t>易以社会事件的方式来非理性地加以表达”。</w:t>
      </w:r>
      <w:r>
        <w:rPr>
          <w:rStyle w:val="20"/>
          <w:rFonts w:hint="eastAsia" w:ascii="宋体" w:hAnsi="宋体" w:eastAsia="宋体" w:cs="宋体"/>
          <w:sz w:val="24"/>
          <w:szCs w:val="24"/>
        </w:rPr>
        <w:footnoteReference w:id="308"/>
      </w:r>
    </w:p>
    <w:p w14:paraId="03DACC6C">
      <w:pPr>
        <w:pStyle w:val="4"/>
        <w:bidi w:val="0"/>
        <w:rPr>
          <w:rFonts w:hint="eastAsia"/>
        </w:rPr>
      </w:pPr>
      <w:r>
        <w:rPr>
          <w:rFonts w:hint="eastAsia"/>
        </w:rPr>
        <w:t>二、乡村全过程人民民主的主体制约成因</w:t>
      </w:r>
    </w:p>
    <w:p w14:paraId="73F705B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正确认识乡村全过程人民民主的主体制约及</w:t>
      </w:r>
      <w:r>
        <w:rPr>
          <w:rFonts w:hint="eastAsia" w:ascii="宋体" w:hAnsi="宋体" w:eastAsia="宋体" w:cs="宋体"/>
          <w:spacing w:val="10"/>
          <w:sz w:val="24"/>
          <w:szCs w:val="24"/>
        </w:rPr>
        <w:t>其生成机理是促进乡村全过程人民民主日</w:t>
      </w:r>
      <w:r>
        <w:rPr>
          <w:rFonts w:hint="eastAsia" w:ascii="宋体" w:hAnsi="宋体" w:eastAsia="宋体" w:cs="宋体"/>
          <w:spacing w:val="12"/>
          <w:sz w:val="24"/>
          <w:szCs w:val="24"/>
        </w:rPr>
        <w:t>益完善的现实逻辑。乡村全过程人民民主的主体制约根源在于中国乡村独特的</w:t>
      </w:r>
      <w:r>
        <w:rPr>
          <w:rFonts w:hint="eastAsia" w:ascii="宋体" w:hAnsi="宋体" w:eastAsia="宋体" w:cs="宋体"/>
          <w:spacing w:val="11"/>
          <w:sz w:val="24"/>
          <w:szCs w:val="24"/>
        </w:rPr>
        <w:t>历史因素、</w:t>
      </w:r>
      <w:r>
        <w:rPr>
          <w:rFonts w:hint="eastAsia" w:ascii="宋体" w:hAnsi="宋体" w:eastAsia="宋体" w:cs="宋体"/>
          <w:spacing w:val="5"/>
          <w:sz w:val="24"/>
          <w:szCs w:val="24"/>
        </w:rPr>
        <w:t>社会现实、经济水平、体制机制、思想观念和文化基</w:t>
      </w:r>
      <w:r>
        <w:rPr>
          <w:rFonts w:hint="eastAsia" w:ascii="宋体" w:hAnsi="宋体" w:eastAsia="宋体" w:cs="宋体"/>
          <w:spacing w:val="4"/>
          <w:sz w:val="24"/>
          <w:szCs w:val="24"/>
        </w:rPr>
        <w:t>因等因素。多维视角分析主体制约的成</w:t>
      </w:r>
      <w:r>
        <w:rPr>
          <w:rFonts w:hint="eastAsia" w:ascii="宋体" w:hAnsi="宋体" w:eastAsia="宋体" w:cs="宋体"/>
          <w:spacing w:val="9"/>
          <w:sz w:val="24"/>
          <w:szCs w:val="24"/>
        </w:rPr>
        <w:t>因是科学破解乡村全过程人民民主主体制约的前提和</w:t>
      </w:r>
      <w:r>
        <w:rPr>
          <w:rFonts w:hint="eastAsia" w:ascii="宋体" w:hAnsi="宋体" w:eastAsia="宋体" w:cs="宋体"/>
          <w:spacing w:val="8"/>
          <w:sz w:val="24"/>
          <w:szCs w:val="24"/>
        </w:rPr>
        <w:t>基础。</w:t>
      </w:r>
    </w:p>
    <w:p w14:paraId="7423174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(一)场域制约:乡村空心与私利凸显</w:t>
      </w:r>
    </w:p>
    <w:p w14:paraId="65FA04E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1995年,中国农村人口达到历史峰值,8.6亿人。随着城镇化、工业化的迅速发展,到</w:t>
      </w:r>
      <w:r>
        <w:rPr>
          <w:rFonts w:hint="eastAsia" w:ascii="宋体" w:hAnsi="宋体" w:eastAsia="宋体" w:cs="宋体"/>
          <w:spacing w:val="3"/>
          <w:sz w:val="24"/>
          <w:szCs w:val="24"/>
        </w:rPr>
        <w:t>2021年底,中国流动人口已达3.85亿人,乡村常住人口锐减至4.98亿,相比</w:t>
      </w:r>
      <w:r>
        <w:rPr>
          <w:rFonts w:hint="eastAsia" w:ascii="宋体" w:hAnsi="宋体" w:eastAsia="宋体" w:cs="宋体"/>
          <w:spacing w:val="2"/>
          <w:sz w:val="24"/>
          <w:szCs w:val="24"/>
        </w:rPr>
        <w:t>1995年,下降</w:t>
      </w:r>
      <w:r>
        <w:rPr>
          <w:rFonts w:hint="eastAsia" w:ascii="宋体" w:hAnsi="宋体" w:eastAsia="宋体" w:cs="宋体"/>
          <w:spacing w:val="10"/>
          <w:sz w:val="24"/>
          <w:szCs w:val="24"/>
        </w:rPr>
        <w:t>了3.62亿。现代化和城市化的迅猛发展,村民</w:t>
      </w:r>
      <w:r>
        <w:rPr>
          <w:rFonts w:hint="eastAsia" w:ascii="宋体" w:hAnsi="宋体" w:eastAsia="宋体" w:cs="宋体"/>
          <w:spacing w:val="9"/>
          <w:sz w:val="24"/>
          <w:szCs w:val="24"/>
        </w:rPr>
        <w:t>之间基于乡情伦理的交往日益消减,乡村社</w:t>
      </w:r>
      <w:r>
        <w:rPr>
          <w:rFonts w:hint="eastAsia" w:ascii="宋体" w:hAnsi="宋体" w:eastAsia="宋体" w:cs="宋体"/>
          <w:spacing w:val="10"/>
          <w:sz w:val="24"/>
          <w:szCs w:val="24"/>
        </w:rPr>
        <w:t>会变得越来越智能化、市场化和城市化,以亲缘</w:t>
      </w:r>
      <w:r>
        <w:rPr>
          <w:rFonts w:hint="eastAsia" w:ascii="宋体" w:hAnsi="宋体" w:eastAsia="宋体" w:cs="宋体"/>
          <w:spacing w:val="9"/>
          <w:sz w:val="24"/>
          <w:szCs w:val="24"/>
        </w:rPr>
        <w:t>和地缘为纽带的乡村亲情逐渐淡化,以利益</w:t>
      </w:r>
      <w:r>
        <w:rPr>
          <w:rFonts w:hint="eastAsia" w:ascii="宋体" w:hAnsi="宋体" w:eastAsia="宋体" w:cs="宋体"/>
          <w:spacing w:val="6"/>
          <w:sz w:val="24"/>
          <w:szCs w:val="24"/>
        </w:rPr>
        <w:t>和权利为核心的社会理性日益增强。人口分散、人数锐减的乡村集体经济空心虚无,自然环</w:t>
      </w:r>
      <w:r>
        <w:rPr>
          <w:rFonts w:hint="eastAsia" w:ascii="宋体" w:hAnsi="宋体" w:eastAsia="宋体" w:cs="宋体"/>
          <w:spacing w:val="10"/>
          <w:sz w:val="24"/>
          <w:szCs w:val="24"/>
        </w:rPr>
        <w:t>境和社会环境中的市场元素和工业元素日益增多。现代乡村的自然面貌工业化、</w:t>
      </w:r>
      <w:r>
        <w:rPr>
          <w:rFonts w:hint="eastAsia" w:ascii="宋体" w:hAnsi="宋体" w:eastAsia="宋体" w:cs="宋体"/>
          <w:spacing w:val="9"/>
          <w:sz w:val="24"/>
          <w:szCs w:val="24"/>
        </w:rPr>
        <w:t>邻里关系</w:t>
      </w:r>
      <w:r>
        <w:rPr>
          <w:rFonts w:hint="eastAsia" w:ascii="宋体" w:hAnsi="宋体" w:eastAsia="宋体" w:cs="宋体"/>
          <w:spacing w:val="4"/>
          <w:sz w:val="24"/>
          <w:szCs w:val="24"/>
        </w:rPr>
        <w:t>市场化,传统的共同价值和行为规范逐渐瓦解。自由、文明、舒适的现代化城市生活,吸引着</w:t>
      </w:r>
      <w:r>
        <w:rPr>
          <w:rFonts w:hint="eastAsia" w:ascii="宋体" w:hAnsi="宋体" w:eastAsia="宋体" w:cs="宋体"/>
          <w:spacing w:val="11"/>
          <w:sz w:val="24"/>
          <w:szCs w:val="24"/>
        </w:rPr>
        <w:t>越来越多的农村人口尤其是新生代到城市工作和生活,乡村人口大量流出,价值观念多元变</w:t>
      </w:r>
      <w:r>
        <w:rPr>
          <w:rFonts w:hint="eastAsia" w:ascii="宋体" w:hAnsi="宋体" w:eastAsia="宋体" w:cs="宋体"/>
          <w:spacing w:val="9"/>
          <w:sz w:val="24"/>
          <w:szCs w:val="24"/>
        </w:rPr>
        <w:t>化,社会生机缺失。乡村日益空心化是当前</w:t>
      </w:r>
      <w:r>
        <w:rPr>
          <w:rFonts w:hint="eastAsia" w:ascii="宋体" w:hAnsi="宋体" w:eastAsia="宋体" w:cs="宋体"/>
          <w:spacing w:val="8"/>
          <w:sz w:val="24"/>
          <w:szCs w:val="24"/>
        </w:rPr>
        <w:t>乡村民主主体制约的场域根源。</w:t>
      </w:r>
    </w:p>
    <w:p w14:paraId="595849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乡村利益是乡村全过程人民民主的基础,指的是乡村主体的生活环境与生产环节为其</w:t>
      </w:r>
      <w:r>
        <w:rPr>
          <w:rFonts w:hint="eastAsia" w:ascii="宋体" w:hAnsi="宋体" w:eastAsia="宋体" w:cs="宋体"/>
          <w:spacing w:val="10"/>
          <w:sz w:val="24"/>
          <w:szCs w:val="24"/>
        </w:rPr>
        <w:t>带来的综合收益。乡村利益的价值蕴含在千百年约定俗成的村社制度、</w:t>
      </w:r>
      <w:r>
        <w:rPr>
          <w:rFonts w:hint="eastAsia" w:ascii="宋体" w:hAnsi="宋体" w:eastAsia="宋体" w:cs="宋体"/>
          <w:spacing w:val="9"/>
          <w:sz w:val="24"/>
          <w:szCs w:val="24"/>
        </w:rPr>
        <w:t>婚丧礼仪、生活习</w:t>
      </w:r>
      <w:r>
        <w:rPr>
          <w:rFonts w:hint="eastAsia" w:ascii="宋体" w:hAnsi="宋体" w:eastAsia="宋体" w:cs="宋体"/>
          <w:spacing w:val="11"/>
          <w:sz w:val="24"/>
          <w:szCs w:val="24"/>
        </w:rPr>
        <w:t>俗、乡情理念和行为规范之中,属于村民既定的价值选择,是一种惯常接受并不断创</w:t>
      </w:r>
      <w:r>
        <w:rPr>
          <w:rFonts w:hint="eastAsia" w:ascii="宋体" w:hAnsi="宋体" w:eastAsia="宋体" w:cs="宋体"/>
          <w:spacing w:val="10"/>
          <w:sz w:val="24"/>
          <w:szCs w:val="24"/>
        </w:rPr>
        <w:t>新的乡村理念,有其特定的价值指向。集体经济的空洞消解了乡村利益内在的规范性和约束力,期望再组织化的乡村因为内生动力不足只能寄希望于农民公共意识的觉醒</w:t>
      </w:r>
      <w:r>
        <w:rPr>
          <w:rFonts w:hint="eastAsia" w:ascii="宋体" w:hAnsi="宋体" w:eastAsia="宋体" w:cs="宋体"/>
          <w:spacing w:val="9"/>
          <w:sz w:val="24"/>
          <w:szCs w:val="24"/>
        </w:rPr>
        <w:t>。乡村利益应以正</w:t>
      </w:r>
      <w:r>
        <w:rPr>
          <w:rFonts w:hint="eastAsia" w:ascii="宋体" w:hAnsi="宋体" w:eastAsia="宋体" w:cs="宋体"/>
          <w:spacing w:val="13"/>
          <w:sz w:val="24"/>
          <w:szCs w:val="24"/>
        </w:rPr>
        <w:t>式制度来表达,但义务性规范、禁止性规范常常因法律规则的模糊表达而只能成为乡村倡</w:t>
      </w:r>
      <w:r>
        <w:rPr>
          <w:rFonts w:hint="eastAsia" w:ascii="宋体" w:hAnsi="宋体" w:eastAsia="宋体" w:cs="宋体"/>
          <w:spacing w:val="11"/>
          <w:sz w:val="24"/>
          <w:szCs w:val="24"/>
        </w:rPr>
        <w:t>议,主体缺失和责任模糊的正式制度与乡村民主行动时常分庭抗礼,私人利益至上的市场倾</w:t>
      </w:r>
      <w:r>
        <w:rPr>
          <w:rFonts w:hint="eastAsia" w:ascii="宋体" w:hAnsi="宋体" w:eastAsia="宋体" w:cs="宋体"/>
          <w:spacing w:val="16"/>
          <w:sz w:val="24"/>
          <w:szCs w:val="24"/>
        </w:rPr>
        <w:t>向在改革开放四十多年的岁月里不断消解曾经在乡村社会治理中发挥重要作用的制度规</w:t>
      </w:r>
      <w:r>
        <w:rPr>
          <w:rFonts w:hint="eastAsia" w:ascii="宋体" w:hAnsi="宋体" w:eastAsia="宋体" w:cs="宋体"/>
          <w:spacing w:val="13"/>
          <w:sz w:val="24"/>
          <w:szCs w:val="24"/>
        </w:rPr>
        <w:t>制。百年乡村变迁使原有乡村利益的固有内涵日益虚置,新时</w:t>
      </w:r>
      <w:r>
        <w:rPr>
          <w:rFonts w:hint="eastAsia" w:ascii="宋体" w:hAnsi="宋体" w:eastAsia="宋体" w:cs="宋体"/>
          <w:spacing w:val="12"/>
          <w:sz w:val="24"/>
          <w:szCs w:val="24"/>
        </w:rPr>
        <w:t>代具有约束力的乡村非正式</w:t>
      </w:r>
      <w:r>
        <w:rPr>
          <w:rFonts w:hint="eastAsia" w:ascii="宋体" w:hAnsi="宋体" w:eastAsia="宋体" w:cs="宋体"/>
          <w:spacing w:val="7"/>
          <w:sz w:val="24"/>
          <w:szCs w:val="24"/>
        </w:rPr>
        <w:t>制度如自治章程、村规民约等尚未完全定型。私人利益与乡村利益之间人为制造的鸿沟,亟</w:t>
      </w:r>
      <w:r>
        <w:rPr>
          <w:rFonts w:hint="eastAsia" w:ascii="宋体" w:hAnsi="宋体" w:eastAsia="宋体" w:cs="宋体"/>
          <w:spacing w:val="9"/>
          <w:sz w:val="24"/>
          <w:szCs w:val="24"/>
        </w:rPr>
        <w:t>待在乡村全过程人民民主中通过科学的理性制度予</w:t>
      </w:r>
      <w:r>
        <w:rPr>
          <w:rFonts w:hint="eastAsia" w:ascii="宋体" w:hAnsi="宋体" w:eastAsia="宋体" w:cs="宋体"/>
          <w:spacing w:val="8"/>
          <w:sz w:val="24"/>
          <w:szCs w:val="24"/>
        </w:rPr>
        <w:t>以弥合。</w:t>
      </w:r>
    </w:p>
    <w:p w14:paraId="6AF5A18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(二)组织制约:干部素质与服务宗旨意识薄弱</w:t>
      </w:r>
    </w:p>
    <w:p w14:paraId="5D2E0D2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乡村全过程人民民主是以基层党组织为核心的社会主义基层民主,基层党员干部队伍</w:t>
      </w:r>
      <w:r>
        <w:rPr>
          <w:rFonts w:hint="eastAsia" w:ascii="宋体" w:hAnsi="宋体" w:eastAsia="宋体" w:cs="宋体"/>
          <w:spacing w:val="10"/>
          <w:sz w:val="24"/>
          <w:szCs w:val="24"/>
        </w:rPr>
        <w:t>是乡村全过程人民民主建设的主力。当前,乡村干部队伍建设成效显著,尤其是乡镇干部的能力提升明显,但村级支部书记的选拔培养还存在不少问题。其中,乡村基层党组织缺乏高</w:t>
      </w:r>
      <w:r>
        <w:rPr>
          <w:rFonts w:hint="eastAsia" w:ascii="宋体" w:hAnsi="宋体" w:eastAsia="宋体" w:cs="宋体"/>
          <w:spacing w:val="8"/>
          <w:sz w:val="24"/>
          <w:szCs w:val="24"/>
        </w:rPr>
        <w:t>素质的“领头雁”,这是乡村全过程人民民主主体制约的一个重要因素。新时代的乡村只有</w:t>
      </w:r>
      <w:r>
        <w:rPr>
          <w:rFonts w:hint="eastAsia" w:ascii="宋体" w:hAnsi="宋体" w:eastAsia="宋体" w:cs="宋体"/>
          <w:spacing w:val="11"/>
          <w:sz w:val="24"/>
          <w:szCs w:val="24"/>
        </w:rPr>
        <w:t>配备踏实能干、甘于奉献的党组织带头人,才能建立起强有力的乡村领导班子,从而确保基</w:t>
      </w:r>
      <w:r>
        <w:rPr>
          <w:rFonts w:hint="eastAsia" w:ascii="宋体" w:hAnsi="宋体" w:eastAsia="宋体" w:cs="宋体"/>
          <w:spacing w:val="13"/>
          <w:sz w:val="24"/>
          <w:szCs w:val="24"/>
        </w:rPr>
        <w:t>层党组织在乡村全过程人民民主实践中发挥战斗堡垒作用,带领村民有条不紊地进行民主</w:t>
      </w:r>
      <w:r>
        <w:rPr>
          <w:rFonts w:hint="eastAsia" w:ascii="宋体" w:hAnsi="宋体" w:eastAsia="宋体" w:cs="宋体"/>
          <w:spacing w:val="1"/>
          <w:sz w:val="24"/>
          <w:szCs w:val="24"/>
        </w:rPr>
        <w:t>参与、民主协商、民主监督、民主选举,做到乡村主体全覆盖,乡村民主全过程、民主过</w:t>
      </w:r>
      <w:r>
        <w:rPr>
          <w:rFonts w:hint="eastAsia" w:ascii="宋体" w:hAnsi="宋体" w:eastAsia="宋体" w:cs="宋体"/>
          <w:sz w:val="24"/>
          <w:szCs w:val="24"/>
        </w:rPr>
        <w:t>程全链</w:t>
      </w:r>
      <w:r>
        <w:rPr>
          <w:rFonts w:hint="eastAsia" w:ascii="宋体" w:hAnsi="宋体" w:eastAsia="宋体" w:cs="宋体"/>
          <w:spacing w:val="7"/>
          <w:sz w:val="24"/>
          <w:szCs w:val="24"/>
        </w:rPr>
        <w:t>条,保证村民自治的有效性。然而,由于收入低</w:t>
      </w:r>
      <w:r>
        <w:rPr>
          <w:rFonts w:hint="eastAsia" w:ascii="宋体" w:hAnsi="宋体" w:eastAsia="宋体" w:cs="宋体"/>
          <w:spacing w:val="6"/>
          <w:sz w:val="24"/>
          <w:szCs w:val="24"/>
        </w:rPr>
        <w:t>、晋升前景渺茫,许多人才无心回乡。现有乡村“头雁”培育和激励机制不健全,部分干部存在干</w:t>
      </w:r>
      <w:r>
        <w:rPr>
          <w:rFonts w:hint="eastAsia" w:ascii="宋体" w:hAnsi="宋体" w:eastAsia="宋体" w:cs="宋体"/>
          <w:spacing w:val="5"/>
          <w:sz w:val="24"/>
          <w:szCs w:val="24"/>
        </w:rPr>
        <w:t>劲不足,能力不强,交差应付的现象。</w:t>
      </w:r>
    </w:p>
    <w:p w14:paraId="6064EB8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服务乡村、服务农民是乡村基层党组织的基本功能。在计划经济时期,乡村基层党组织掌</w:t>
      </w:r>
      <w:r>
        <w:rPr>
          <w:rFonts w:hint="eastAsia" w:ascii="宋体" w:hAnsi="宋体" w:eastAsia="宋体" w:cs="宋体"/>
          <w:spacing w:val="-1"/>
          <w:sz w:val="24"/>
          <w:szCs w:val="24"/>
        </w:rPr>
        <w:t>握着乡村的经济、政治、文化等资源,处于“</w:t>
      </w:r>
      <w:r>
        <w:rPr>
          <w:rFonts w:hint="eastAsia" w:ascii="宋体" w:hAnsi="宋体" w:eastAsia="宋体" w:cs="宋体"/>
          <w:spacing w:val="-2"/>
          <w:sz w:val="24"/>
          <w:szCs w:val="24"/>
        </w:rPr>
        <w:t>领导核心”地位,为人民服务的宗旨意识比较浓厚。</w:t>
      </w:r>
      <w:r>
        <w:rPr>
          <w:rFonts w:hint="eastAsia" w:ascii="宋体" w:hAnsi="宋体" w:eastAsia="宋体" w:cs="宋体"/>
          <w:spacing w:val="7"/>
          <w:sz w:val="24"/>
          <w:szCs w:val="24"/>
        </w:rPr>
        <w:t>改革开放后,受集体经济空置,社会资源分散,工作中心转换等因素影响,一些乡村党员干部全</w:t>
      </w:r>
      <w:r>
        <w:rPr>
          <w:rFonts w:hint="eastAsia" w:ascii="宋体" w:hAnsi="宋体" w:eastAsia="宋体" w:cs="宋体"/>
          <w:spacing w:val="6"/>
          <w:sz w:val="24"/>
          <w:szCs w:val="24"/>
        </w:rPr>
        <w:t>心全意为人民服务的宗旨意识有所弱化。另外,基层党组织未能及</w:t>
      </w:r>
      <w:r>
        <w:rPr>
          <w:rFonts w:hint="eastAsia" w:ascii="宋体" w:hAnsi="宋体" w:eastAsia="宋体" w:cs="宋体"/>
          <w:spacing w:val="5"/>
          <w:sz w:val="24"/>
          <w:szCs w:val="24"/>
        </w:rPr>
        <w:t>时转变工作理念,从管理职</w:t>
      </w:r>
      <w:r>
        <w:rPr>
          <w:rFonts w:hint="eastAsia" w:ascii="宋体" w:hAnsi="宋体" w:eastAsia="宋体" w:cs="宋体"/>
          <w:spacing w:val="9"/>
          <w:sz w:val="24"/>
          <w:szCs w:val="24"/>
        </w:rPr>
        <w:t>能向服务职能转变,仍然习惯于用行政命令的方式管束群众,缺乏服务意识,党群关系和干群</w:t>
      </w:r>
      <w:r>
        <w:rPr>
          <w:rFonts w:hint="eastAsia" w:ascii="宋体" w:hAnsi="宋体" w:eastAsia="宋体" w:cs="宋体"/>
          <w:spacing w:val="10"/>
          <w:sz w:val="24"/>
          <w:szCs w:val="24"/>
        </w:rPr>
        <w:t>关系也出现了僵化和疏离的现象。这都削弱了党在乡村全过程人民民主中的形象和群众基</w:t>
      </w:r>
      <w:r>
        <w:rPr>
          <w:rFonts w:hint="eastAsia" w:ascii="宋体" w:hAnsi="宋体" w:eastAsia="宋体" w:cs="宋体"/>
          <w:spacing w:val="4"/>
          <w:sz w:val="24"/>
          <w:szCs w:val="24"/>
        </w:rPr>
        <w:t>础,造成乡村全过程人民民主主体的组织制约问题。</w:t>
      </w:r>
    </w:p>
    <w:p w14:paraId="05CC35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(三)经济制约:利益失衡与经济压力</w:t>
      </w:r>
    </w:p>
    <w:p w14:paraId="3BCE2C3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因自然禀赋和政策差异,乡村经济发展与全过</w:t>
      </w:r>
      <w:r>
        <w:rPr>
          <w:rFonts w:hint="eastAsia" w:ascii="宋体" w:hAnsi="宋体" w:eastAsia="宋体" w:cs="宋体"/>
          <w:spacing w:val="10"/>
          <w:sz w:val="24"/>
          <w:szCs w:val="24"/>
        </w:rPr>
        <w:t>程民主之间时常失衡,普遍存在诸如乡村</w:t>
      </w:r>
      <w:r>
        <w:rPr>
          <w:rFonts w:hint="eastAsia" w:ascii="宋体" w:hAnsi="宋体" w:eastAsia="宋体" w:cs="宋体"/>
          <w:spacing w:val="5"/>
          <w:sz w:val="24"/>
          <w:szCs w:val="24"/>
        </w:rPr>
        <w:t>集体经济增收动力不足、村级债务负担沉重、村庄基</w:t>
      </w:r>
      <w:r>
        <w:rPr>
          <w:rFonts w:hint="eastAsia" w:ascii="宋体" w:hAnsi="宋体" w:eastAsia="宋体" w:cs="宋体"/>
          <w:spacing w:val="4"/>
          <w:sz w:val="24"/>
          <w:szCs w:val="24"/>
        </w:rPr>
        <w:t>础设施建设滞后等现实性问题。多年的</w:t>
      </w:r>
      <w:r>
        <w:rPr>
          <w:rFonts w:hint="eastAsia" w:ascii="宋体" w:hAnsi="宋体" w:eastAsia="宋体" w:cs="宋体"/>
          <w:spacing w:val="13"/>
          <w:sz w:val="24"/>
          <w:szCs w:val="24"/>
        </w:rPr>
        <w:t>市场化改革和民营化发展导致乡村集体经济向非公经济转换急促而高效,不同经济成分之</w:t>
      </w:r>
      <w:r>
        <w:rPr>
          <w:rFonts w:hint="eastAsia" w:ascii="宋体" w:hAnsi="宋体" w:eastAsia="宋体" w:cs="宋体"/>
          <w:spacing w:val="10"/>
          <w:sz w:val="24"/>
          <w:szCs w:val="24"/>
        </w:rPr>
        <w:t>间边界模糊。多样化的乡村经济主体和乡村社会资源、失衡的利益分配以</w:t>
      </w:r>
      <w:r>
        <w:rPr>
          <w:rFonts w:hint="eastAsia" w:ascii="宋体" w:hAnsi="宋体" w:eastAsia="宋体" w:cs="宋体"/>
          <w:spacing w:val="9"/>
          <w:sz w:val="24"/>
          <w:szCs w:val="24"/>
        </w:rPr>
        <w:t>及悬殊的经济实</w:t>
      </w:r>
      <w:r>
        <w:rPr>
          <w:rFonts w:hint="eastAsia" w:ascii="宋体" w:hAnsi="宋体" w:eastAsia="宋体" w:cs="宋体"/>
          <w:spacing w:val="12"/>
          <w:sz w:val="24"/>
          <w:szCs w:val="24"/>
        </w:rPr>
        <w:t>力使边缘群体和新兴势力的价值取向分立。因缺乏经济利益共享的意识,曾一度引</w:t>
      </w:r>
      <w:r>
        <w:rPr>
          <w:rFonts w:hint="eastAsia" w:ascii="宋体" w:hAnsi="宋体" w:eastAsia="宋体" w:cs="宋体"/>
          <w:spacing w:val="11"/>
          <w:sz w:val="24"/>
          <w:szCs w:val="24"/>
        </w:rPr>
        <w:t>发乡村</w:t>
      </w:r>
      <w:r>
        <w:rPr>
          <w:rFonts w:hint="eastAsia" w:ascii="宋体" w:hAnsi="宋体" w:eastAsia="宋体" w:cs="宋体"/>
          <w:spacing w:val="13"/>
          <w:sz w:val="24"/>
          <w:szCs w:val="24"/>
        </w:rPr>
        <w:t>弱势群体的非制度性抗争。以浙江为例,改革开放初期,浙江乡村经济发展滞后,经济基础</w:t>
      </w:r>
      <w:r>
        <w:rPr>
          <w:rFonts w:hint="eastAsia" w:ascii="宋体" w:hAnsi="宋体" w:eastAsia="宋体" w:cs="宋体"/>
          <w:spacing w:val="11"/>
          <w:sz w:val="24"/>
          <w:szCs w:val="24"/>
        </w:rPr>
        <w:t>薄弱,在村级集体经济规模不足10万元时,基本上没有需</w:t>
      </w:r>
      <w:r>
        <w:rPr>
          <w:rFonts w:hint="eastAsia" w:ascii="宋体" w:hAnsi="宋体" w:eastAsia="宋体" w:cs="宋体"/>
          <w:spacing w:val="10"/>
          <w:sz w:val="24"/>
          <w:szCs w:val="24"/>
        </w:rPr>
        <w:t>要与村民协商的公共事务。当集</w:t>
      </w:r>
      <w:r>
        <w:rPr>
          <w:rFonts w:hint="eastAsia" w:ascii="宋体" w:hAnsi="宋体" w:eastAsia="宋体" w:cs="宋体"/>
          <w:spacing w:val="11"/>
          <w:sz w:val="24"/>
          <w:szCs w:val="24"/>
        </w:rPr>
        <w:t>体经济发展到几十万元乃至上百万元规模时,村里出现剩余资金,村级公共设施建设能</w:t>
      </w:r>
      <w:r>
        <w:rPr>
          <w:rFonts w:hint="eastAsia" w:ascii="宋体" w:hAnsi="宋体" w:eastAsia="宋体" w:cs="宋体"/>
          <w:spacing w:val="10"/>
          <w:sz w:val="24"/>
          <w:szCs w:val="24"/>
        </w:rPr>
        <w:t>力勃</w:t>
      </w:r>
      <w:r>
        <w:rPr>
          <w:rFonts w:hint="eastAsia" w:ascii="宋体" w:hAnsi="宋体" w:eastAsia="宋体" w:cs="宋体"/>
          <w:spacing w:val="12"/>
          <w:sz w:val="24"/>
          <w:szCs w:val="24"/>
        </w:rPr>
        <w:t>发,村委员会和村民的关系相对和谐。这是乡村全过程人民民主的档口期。当村庄集体经</w:t>
      </w:r>
      <w:r>
        <w:rPr>
          <w:rFonts w:hint="eastAsia" w:ascii="宋体" w:hAnsi="宋体" w:eastAsia="宋体" w:cs="宋体"/>
          <w:spacing w:val="13"/>
          <w:sz w:val="24"/>
          <w:szCs w:val="24"/>
        </w:rPr>
        <w:t>济发展到上千万元的规模时,因缺乏有效的</w:t>
      </w:r>
      <w:r>
        <w:rPr>
          <w:rFonts w:hint="eastAsia" w:ascii="宋体" w:hAnsi="宋体" w:eastAsia="宋体" w:cs="宋体"/>
          <w:spacing w:val="12"/>
          <w:sz w:val="24"/>
          <w:szCs w:val="24"/>
        </w:rPr>
        <w:t>监督机制,出现村民利益分配不均的现实,乡村</w:t>
      </w:r>
      <w:r>
        <w:rPr>
          <w:rFonts w:hint="eastAsia" w:ascii="宋体" w:hAnsi="宋体" w:eastAsia="宋体" w:cs="宋体"/>
          <w:spacing w:val="13"/>
          <w:sz w:val="24"/>
          <w:szCs w:val="24"/>
        </w:rPr>
        <w:t>矛盾时常尖锐,社会稳定的任务相当艰巨。乡村利益失衡导致乡</w:t>
      </w:r>
      <w:r>
        <w:rPr>
          <w:rFonts w:hint="eastAsia" w:ascii="宋体" w:hAnsi="宋体" w:eastAsia="宋体" w:cs="宋体"/>
          <w:spacing w:val="12"/>
          <w:sz w:val="24"/>
          <w:szCs w:val="24"/>
        </w:rPr>
        <w:t>村全过程人民民主主体的</w:t>
      </w:r>
      <w:r>
        <w:rPr>
          <w:rFonts w:hint="eastAsia" w:ascii="宋体" w:hAnsi="宋体" w:eastAsia="宋体" w:cs="宋体"/>
          <w:spacing w:val="6"/>
          <w:sz w:val="24"/>
          <w:szCs w:val="24"/>
        </w:rPr>
        <w:t>平等性受限。</w:t>
      </w:r>
    </w:p>
    <w:p w14:paraId="23674F1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村民政治参与的愿意、程度和效果往往与乡村经济发展状况密切相关。当前,乡村财政</w:t>
      </w:r>
      <w:r>
        <w:rPr>
          <w:rFonts w:hint="eastAsia" w:ascii="宋体" w:hAnsi="宋体" w:eastAsia="宋体" w:cs="宋体"/>
          <w:spacing w:val="11"/>
          <w:sz w:val="24"/>
          <w:szCs w:val="24"/>
        </w:rPr>
        <w:t>大多面临着资金短缺的问题,乡村财政收入有限</w:t>
      </w:r>
      <w:r>
        <w:rPr>
          <w:rFonts w:hint="eastAsia" w:ascii="宋体" w:hAnsi="宋体" w:eastAsia="宋体" w:cs="宋体"/>
          <w:spacing w:val="10"/>
          <w:sz w:val="24"/>
          <w:szCs w:val="24"/>
        </w:rPr>
        <w:t>,融资渠道也有限,很难获得外部经济支持。</w:t>
      </w:r>
      <w:r>
        <w:rPr>
          <w:rFonts w:hint="eastAsia" w:ascii="宋体" w:hAnsi="宋体" w:eastAsia="宋体" w:cs="宋体"/>
          <w:spacing w:val="8"/>
          <w:sz w:val="24"/>
          <w:szCs w:val="24"/>
        </w:rPr>
        <w:t>但农村基础设施建设、教育、医疗等方面的支出却较大,许多乡镇的财政状况是艰难而窘迫</w:t>
      </w:r>
      <w:r>
        <w:rPr>
          <w:rFonts w:hint="eastAsia" w:ascii="宋体" w:hAnsi="宋体" w:eastAsia="宋体" w:cs="宋体"/>
          <w:spacing w:val="10"/>
          <w:sz w:val="24"/>
          <w:szCs w:val="24"/>
        </w:rPr>
        <w:t>的。为了缓解乡村经济压力,基层政府各部门的工作重心不得不侧重于发展地方经济,激发</w:t>
      </w:r>
      <w:r>
        <w:rPr>
          <w:rFonts w:hint="eastAsia" w:ascii="宋体" w:hAnsi="宋体" w:eastAsia="宋体" w:cs="宋体"/>
          <w:spacing w:val="11"/>
          <w:sz w:val="24"/>
          <w:szCs w:val="24"/>
        </w:rPr>
        <w:t>了乡村干部亲资本逐利润的内在冲动,导致行</w:t>
      </w:r>
      <w:r>
        <w:rPr>
          <w:rFonts w:hint="eastAsia" w:ascii="宋体" w:hAnsi="宋体" w:eastAsia="宋体" w:cs="宋体"/>
          <w:spacing w:val="10"/>
          <w:sz w:val="24"/>
          <w:szCs w:val="24"/>
        </w:rPr>
        <w:t>政意志与资本逻辑相互勾连,乡村全过程人民民主出现空转。在经济压力下,乡村基层政府的主要工作就是积极向上级争取资金和项目,搞征地拆迁,招商引资,刺激地方经济的超速增长。营利性的行政逻辑导致部分官员错误地</w:t>
      </w:r>
      <w:r>
        <w:rPr>
          <w:rFonts w:hint="eastAsia" w:ascii="宋体" w:hAnsi="宋体" w:eastAsia="宋体" w:cs="宋体"/>
          <w:spacing w:val="14"/>
          <w:sz w:val="24"/>
          <w:szCs w:val="24"/>
        </w:rPr>
        <w:t>认为,村民参与乡村公共事务显得烦琐而多余,甚至有碍于经济指标的完成,</w:t>
      </w:r>
      <w:r>
        <w:rPr>
          <w:rFonts w:hint="eastAsia" w:ascii="宋体" w:hAnsi="宋体" w:eastAsia="宋体" w:cs="宋体"/>
          <w:spacing w:val="13"/>
          <w:sz w:val="24"/>
          <w:szCs w:val="24"/>
        </w:rPr>
        <w:t>从而对乡村全</w:t>
      </w:r>
      <w:r>
        <w:rPr>
          <w:rFonts w:hint="eastAsia" w:ascii="宋体" w:hAnsi="宋体" w:eastAsia="宋体" w:cs="宋体"/>
          <w:spacing w:val="3"/>
          <w:sz w:val="24"/>
          <w:szCs w:val="24"/>
        </w:rPr>
        <w:t>过程人民民主的环节、过程和覆盖面“偷工减料”。因经济压力和利益疏离的双重因素,村里</w:t>
      </w:r>
      <w:r>
        <w:rPr>
          <w:rFonts w:hint="eastAsia" w:ascii="宋体" w:hAnsi="宋体" w:eastAsia="宋体" w:cs="宋体"/>
          <w:spacing w:val="11"/>
          <w:sz w:val="24"/>
          <w:szCs w:val="24"/>
        </w:rPr>
        <w:t>的青壮年甚至有劳动能力的老年人争相走出熟悉的乡村,融入现代化的陌生都市,外出务工</w:t>
      </w:r>
      <w:r>
        <w:rPr>
          <w:rFonts w:hint="eastAsia" w:ascii="宋体" w:hAnsi="宋体" w:eastAsia="宋体" w:cs="宋体"/>
          <w:spacing w:val="9"/>
          <w:sz w:val="24"/>
          <w:szCs w:val="24"/>
        </w:rPr>
        <w:t>的农民对乡村民主活动逐渐疏离,村民的参与性缺失致使乡村全过程人民民主陷入困顿。</w:t>
      </w:r>
    </w:p>
    <w:p w14:paraId="7B6124F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14:textOutline w14:w="2540" w14:cap="rnd" w14:cmpd="sng">
            <w14:solidFill>
              <w14:srgbClr w14:val="231F20"/>
            </w14:solidFill>
            <w14:prstDash w14:val="solid"/>
            <w14:bevel/>
          </w14:textOutline>
        </w:rPr>
        <w:t>(四)社会制约:阶层分化与利益多元</w:t>
      </w:r>
    </w:p>
    <w:p w14:paraId="4C88891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人民公社时期,乡村社会在计划经济基础上形成了一个相对封闭、空间有限的政治共同</w:t>
      </w:r>
      <w:r>
        <w:rPr>
          <w:rFonts w:hint="eastAsia" w:ascii="宋体" w:hAnsi="宋体" w:eastAsia="宋体" w:cs="宋体"/>
          <w:spacing w:val="13"/>
          <w:sz w:val="24"/>
          <w:szCs w:val="24"/>
        </w:rPr>
        <w:t>体。人民公社是村民政治信息输出输入的主要来源,政治活动的基</w:t>
      </w:r>
      <w:r>
        <w:rPr>
          <w:rFonts w:hint="eastAsia" w:ascii="宋体" w:hAnsi="宋体" w:eastAsia="宋体" w:cs="宋体"/>
          <w:spacing w:val="12"/>
          <w:sz w:val="24"/>
          <w:szCs w:val="24"/>
        </w:rPr>
        <w:t>本领域局限于公社这一</w:t>
      </w:r>
      <w:r>
        <w:rPr>
          <w:rFonts w:hint="eastAsia" w:ascii="宋体" w:hAnsi="宋体" w:eastAsia="宋体" w:cs="宋体"/>
          <w:spacing w:val="10"/>
          <w:sz w:val="24"/>
          <w:szCs w:val="24"/>
        </w:rPr>
        <w:t>单元内。改革开放后,随着基本经济制度和产业</w:t>
      </w:r>
      <w:r>
        <w:rPr>
          <w:rFonts w:hint="eastAsia" w:ascii="宋体" w:hAnsi="宋体" w:eastAsia="宋体" w:cs="宋体"/>
          <w:spacing w:val="9"/>
          <w:sz w:val="24"/>
          <w:szCs w:val="24"/>
        </w:rPr>
        <w:t>结构的变化,由于集体经济衰退和社会分化</w:t>
      </w:r>
      <w:r>
        <w:rPr>
          <w:rFonts w:hint="eastAsia" w:ascii="宋体" w:hAnsi="宋体" w:eastAsia="宋体" w:cs="宋体"/>
          <w:spacing w:val="1"/>
          <w:sz w:val="24"/>
          <w:szCs w:val="24"/>
        </w:rPr>
        <w:t>效应,乡村共同体逐渐碎片化,农民逐渐演化为农业劳动者、企业职工、农民工、乡村干</w:t>
      </w:r>
      <w:r>
        <w:rPr>
          <w:rFonts w:hint="eastAsia" w:ascii="宋体" w:hAnsi="宋体" w:eastAsia="宋体" w:cs="宋体"/>
          <w:sz w:val="24"/>
          <w:szCs w:val="24"/>
        </w:rPr>
        <w:t>部、乡</w:t>
      </w:r>
      <w:r>
        <w:rPr>
          <w:rFonts w:hint="eastAsia" w:ascii="宋体" w:hAnsi="宋体" w:eastAsia="宋体" w:cs="宋体"/>
          <w:spacing w:val="7"/>
          <w:sz w:val="24"/>
          <w:szCs w:val="24"/>
        </w:rPr>
        <w:t>村知识分子、个体劳动者、私营企业主等多个阶层。乡村阶层分化带来利益多元,为滋生不</w:t>
      </w:r>
      <w:r>
        <w:rPr>
          <w:rFonts w:hint="eastAsia" w:ascii="宋体" w:hAnsi="宋体" w:eastAsia="宋体" w:cs="宋体"/>
          <w:spacing w:val="12"/>
          <w:sz w:val="24"/>
          <w:szCs w:val="24"/>
        </w:rPr>
        <w:t>同价值观提供了社会基础。市场经济条件下,由政治地位决定的资源控制</w:t>
      </w:r>
      <w:r>
        <w:rPr>
          <w:rFonts w:hint="eastAsia" w:ascii="宋体" w:hAnsi="宋体" w:eastAsia="宋体" w:cs="宋体"/>
          <w:spacing w:val="11"/>
          <w:sz w:val="24"/>
          <w:szCs w:val="24"/>
        </w:rPr>
        <w:t>权在乡村社会中</w:t>
      </w:r>
      <w:r>
        <w:rPr>
          <w:rFonts w:hint="eastAsia" w:ascii="宋体" w:hAnsi="宋体" w:eastAsia="宋体" w:cs="宋体"/>
          <w:spacing w:val="14"/>
          <w:sz w:val="24"/>
          <w:szCs w:val="24"/>
        </w:rPr>
        <w:t>逐渐缩小,现代经济的新兴市场主体则不断趋强,他们因利益聚合,逐渐形</w:t>
      </w:r>
      <w:r>
        <w:rPr>
          <w:rFonts w:hint="eastAsia" w:ascii="宋体" w:hAnsi="宋体" w:eastAsia="宋体" w:cs="宋体"/>
          <w:spacing w:val="13"/>
          <w:sz w:val="24"/>
          <w:szCs w:val="24"/>
        </w:rPr>
        <w:t>成了新的乡村利益共同体。当下农民已经不是传统的农业工作者,而是新时代乡村</w:t>
      </w:r>
      <w:r>
        <w:rPr>
          <w:rFonts w:hint="eastAsia" w:ascii="宋体" w:hAnsi="宋体" w:eastAsia="宋体" w:cs="宋体"/>
          <w:spacing w:val="12"/>
          <w:sz w:val="24"/>
          <w:szCs w:val="24"/>
        </w:rPr>
        <w:t>全过程人民民主的多元</w:t>
      </w:r>
      <w:r>
        <w:rPr>
          <w:rFonts w:hint="eastAsia" w:ascii="宋体" w:hAnsi="宋体" w:eastAsia="宋体" w:cs="宋体"/>
          <w:spacing w:val="7"/>
          <w:sz w:val="24"/>
          <w:szCs w:val="24"/>
        </w:rPr>
        <w:t>主体。乡村再也不是原来的简单样式,而是融合了经济、政治、社会和文化等诸多因素的多</w:t>
      </w:r>
      <w:r>
        <w:rPr>
          <w:rFonts w:hint="eastAsia" w:ascii="宋体" w:hAnsi="宋体" w:eastAsia="宋体" w:cs="宋体"/>
          <w:spacing w:val="13"/>
          <w:sz w:val="24"/>
          <w:szCs w:val="24"/>
        </w:rPr>
        <w:t>层次复合体。不同阶层、不同地区甚至同一村庄内部的不同农民,</w:t>
      </w:r>
      <w:r>
        <w:rPr>
          <w:rFonts w:hint="eastAsia" w:ascii="宋体" w:hAnsi="宋体" w:eastAsia="宋体" w:cs="宋体"/>
          <w:spacing w:val="12"/>
          <w:sz w:val="24"/>
          <w:szCs w:val="24"/>
        </w:rPr>
        <w:t>利益需求都存在很大差</w:t>
      </w:r>
      <w:r>
        <w:rPr>
          <w:rFonts w:hint="eastAsia" w:ascii="宋体" w:hAnsi="宋体" w:eastAsia="宋体" w:cs="宋体"/>
          <w:spacing w:val="9"/>
          <w:sz w:val="24"/>
          <w:szCs w:val="24"/>
        </w:rPr>
        <w:t>别,</w:t>
      </w:r>
      <w:r>
        <w:rPr>
          <w:rStyle w:val="20"/>
          <w:rFonts w:hint="eastAsia" w:ascii="宋体" w:hAnsi="宋体" w:eastAsia="宋体" w:cs="宋体"/>
          <w:spacing w:val="9"/>
          <w:sz w:val="24"/>
          <w:szCs w:val="24"/>
        </w:rPr>
        <w:footnoteReference w:id="309"/>
      </w:r>
      <w:r>
        <w:rPr>
          <w:rFonts w:hint="eastAsia" w:ascii="宋体" w:hAnsi="宋体" w:eastAsia="宋体" w:cs="宋体"/>
          <w:spacing w:val="9"/>
          <w:position w:val="5"/>
          <w:sz w:val="24"/>
          <w:szCs w:val="24"/>
        </w:rPr>
        <w:t>①</w:t>
      </w:r>
      <w:r>
        <w:rPr>
          <w:rFonts w:hint="eastAsia" w:ascii="宋体" w:hAnsi="宋体" w:eastAsia="宋体" w:cs="宋体"/>
          <w:spacing w:val="9"/>
          <w:sz w:val="24"/>
          <w:szCs w:val="24"/>
        </w:rPr>
        <w:t>从而造成乡村全过程人民民主实践中的主体制约问题。</w:t>
      </w:r>
    </w:p>
    <w:p w14:paraId="4E07E06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由于历史或现实的多重原因,乡村利益往往与社会不平等联系在一起。乡村理性人参</w:t>
      </w:r>
      <w:r>
        <w:rPr>
          <w:rFonts w:hint="eastAsia" w:ascii="宋体" w:hAnsi="宋体" w:eastAsia="宋体" w:cs="宋体"/>
          <w:spacing w:val="10"/>
          <w:sz w:val="24"/>
          <w:szCs w:val="24"/>
        </w:rPr>
        <w:t>与乡村全过程人民民主的动机都是以维护或追求现实或未来的权益为基础</w:t>
      </w:r>
      <w:r>
        <w:rPr>
          <w:rFonts w:hint="eastAsia" w:ascii="宋体" w:hAnsi="宋体" w:eastAsia="宋体" w:cs="宋体"/>
          <w:spacing w:val="9"/>
          <w:sz w:val="24"/>
          <w:szCs w:val="24"/>
        </w:rPr>
        <w:t>。多元利益在政</w:t>
      </w:r>
      <w:r>
        <w:rPr>
          <w:rFonts w:hint="eastAsia" w:ascii="宋体" w:hAnsi="宋体" w:eastAsia="宋体" w:cs="宋体"/>
          <w:spacing w:val="14"/>
          <w:sz w:val="24"/>
          <w:szCs w:val="24"/>
        </w:rPr>
        <w:t>治上或社会观念中被固定在不同的社会阶层,存在利益冲突时,乡村协商</w:t>
      </w:r>
      <w:r>
        <w:rPr>
          <w:rFonts w:hint="eastAsia" w:ascii="宋体" w:hAnsi="宋体" w:eastAsia="宋体" w:cs="宋体"/>
          <w:spacing w:val="13"/>
          <w:sz w:val="24"/>
          <w:szCs w:val="24"/>
        </w:rPr>
        <w:t>很难达成共识,处</w:t>
      </w:r>
      <w:r>
        <w:rPr>
          <w:rFonts w:hint="eastAsia" w:ascii="宋体" w:hAnsi="宋体" w:eastAsia="宋体" w:cs="宋体"/>
          <w:spacing w:val="10"/>
          <w:sz w:val="24"/>
          <w:szCs w:val="24"/>
        </w:rPr>
        <w:t>于主导地位的强势主体强调自身利益的合理性,弱势群体则强调自身利益的必然性,因缺乏共同的利益基础,双方都不愿意妥协,从而导致乡</w:t>
      </w:r>
      <w:r>
        <w:rPr>
          <w:rFonts w:hint="eastAsia" w:ascii="宋体" w:hAnsi="宋体" w:eastAsia="宋体" w:cs="宋体"/>
          <w:spacing w:val="9"/>
          <w:sz w:val="24"/>
          <w:szCs w:val="24"/>
        </w:rPr>
        <w:t>村全过程人民民主的主体制约问题。</w:t>
      </w:r>
    </w:p>
    <w:p w14:paraId="2BD06D8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综上所述,这些主客观条件的限制,是乡村全过程人民民主主体制约的主要原因。深刻</w:t>
      </w:r>
      <w:r>
        <w:rPr>
          <w:rFonts w:hint="eastAsia" w:ascii="宋体" w:hAnsi="宋体" w:eastAsia="宋体" w:cs="宋体"/>
          <w:spacing w:val="14"/>
          <w:sz w:val="24"/>
          <w:szCs w:val="24"/>
        </w:rPr>
        <w:t>剖析其根源,积极促进乡村全过程人民民主建设,要紧紧依靠党和人</w:t>
      </w:r>
      <w:r>
        <w:rPr>
          <w:rFonts w:hint="eastAsia" w:ascii="宋体" w:hAnsi="宋体" w:eastAsia="宋体" w:cs="宋体"/>
          <w:spacing w:val="13"/>
          <w:sz w:val="24"/>
          <w:szCs w:val="24"/>
        </w:rPr>
        <w:t>民群众,充分尊重人民</w:t>
      </w:r>
      <w:r>
        <w:rPr>
          <w:rFonts w:hint="eastAsia" w:ascii="宋体" w:hAnsi="宋体" w:eastAsia="宋体" w:cs="宋体"/>
          <w:spacing w:val="10"/>
          <w:sz w:val="24"/>
          <w:szCs w:val="24"/>
        </w:rPr>
        <w:t>群众的主体地位,扎实推进乡村全过程人民民主的制度化、机制化和智能化。只有这样,才</w:t>
      </w:r>
      <w:r>
        <w:rPr>
          <w:rFonts w:hint="eastAsia" w:ascii="宋体" w:hAnsi="宋体" w:eastAsia="宋体" w:cs="宋体"/>
          <w:spacing w:val="9"/>
          <w:sz w:val="24"/>
          <w:szCs w:val="24"/>
        </w:rPr>
        <w:t>能充分发挥乡村全过程人民民主的治理效能,以中国式现代化推进中华民族伟大复兴。</w:t>
      </w:r>
    </w:p>
    <w:p w14:paraId="0903ACB6">
      <w:pPr>
        <w:pStyle w:val="4"/>
        <w:bidi w:val="0"/>
        <w:rPr>
          <w:rFonts w:hint="eastAsia" w:ascii="宋体" w:hAnsi="宋体" w:eastAsia="宋体" w:cs="宋体"/>
          <w:sz w:val="24"/>
          <w:szCs w:val="24"/>
        </w:rPr>
      </w:pPr>
      <w:r>
        <w:rPr>
          <w:rFonts w:hint="eastAsia"/>
        </w:rPr>
        <w:t>三、乡村全过程人民民主的主体化解路径</w:t>
      </w:r>
    </w:p>
    <w:p w14:paraId="7F7E34F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创新乡村治理体系,走乡村善治之路,就是要大力发</w:t>
      </w:r>
      <w:r>
        <w:rPr>
          <w:rFonts w:hint="eastAsia" w:ascii="宋体" w:hAnsi="宋体" w:eastAsia="宋体" w:cs="宋体"/>
          <w:spacing w:val="10"/>
          <w:sz w:val="24"/>
          <w:szCs w:val="24"/>
        </w:rPr>
        <w:t>展乡村全过程人民民主,健全自治、</w:t>
      </w:r>
      <w:r>
        <w:rPr>
          <w:rFonts w:hint="eastAsia" w:ascii="宋体" w:hAnsi="宋体" w:eastAsia="宋体" w:cs="宋体"/>
          <w:spacing w:val="7"/>
          <w:sz w:val="24"/>
          <w:szCs w:val="24"/>
        </w:rPr>
        <w:t>法治、德治相结合的乡村全过程人民民主的治理模式。这是乡村治理现代化的时代课题,也是振兴乡村的重要举措。</w:t>
      </w:r>
    </w:p>
    <w:p w14:paraId="0967A87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(一)组织队伍与宗旨意识的协同强化</w:t>
      </w:r>
    </w:p>
    <w:p w14:paraId="470D498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新时代,要进一步树好政治导向,优化基层党组织的干部队伍,为化解乡村全过程人民</w:t>
      </w:r>
      <w:r>
        <w:rPr>
          <w:rFonts w:hint="eastAsia" w:ascii="宋体" w:hAnsi="宋体" w:eastAsia="宋体" w:cs="宋体"/>
          <w:spacing w:val="12"/>
          <w:sz w:val="24"/>
          <w:szCs w:val="24"/>
        </w:rPr>
        <w:t>民主的主体制约提供组织保障。乡村党建工作的</w:t>
      </w:r>
      <w:r>
        <w:rPr>
          <w:rFonts w:hint="eastAsia" w:ascii="宋体" w:hAnsi="宋体" w:eastAsia="宋体" w:cs="宋体"/>
          <w:spacing w:val="11"/>
          <w:sz w:val="24"/>
          <w:szCs w:val="24"/>
        </w:rPr>
        <w:t>开展,关键在于过硬的基层干部队伍。推</w:t>
      </w:r>
      <w:r>
        <w:rPr>
          <w:rFonts w:hint="eastAsia" w:ascii="宋体" w:hAnsi="宋体" w:eastAsia="宋体" w:cs="宋体"/>
          <w:spacing w:val="13"/>
          <w:sz w:val="24"/>
          <w:szCs w:val="24"/>
        </w:rPr>
        <w:t>进乡村党建的高质量发展,应树好用人导向,优化干部队伍建设。首先,重视选拔乡村基层</w:t>
      </w:r>
      <w:r>
        <w:rPr>
          <w:rFonts w:hint="eastAsia" w:ascii="宋体" w:hAnsi="宋体" w:eastAsia="宋体" w:cs="宋体"/>
          <w:spacing w:val="4"/>
          <w:sz w:val="24"/>
          <w:szCs w:val="24"/>
        </w:rPr>
        <w:t>党组织的“领头雁”。应按照“德才兼备、唯才是举”的原则,</w:t>
      </w:r>
      <w:r>
        <w:rPr>
          <w:rFonts w:hint="eastAsia" w:ascii="宋体" w:hAnsi="宋体" w:eastAsia="宋体" w:cs="宋体"/>
          <w:spacing w:val="3"/>
          <w:sz w:val="24"/>
          <w:szCs w:val="24"/>
        </w:rPr>
        <w:t>扩大选人视野,拓宽选人渠道,</w:t>
      </w:r>
      <w:r>
        <w:rPr>
          <w:rFonts w:hint="eastAsia" w:ascii="宋体" w:hAnsi="宋体" w:eastAsia="宋体" w:cs="宋体"/>
          <w:spacing w:val="13"/>
          <w:sz w:val="24"/>
          <w:szCs w:val="24"/>
        </w:rPr>
        <w:t>推选公道正派而又勇于干事创业的优秀人才担任村干部。只有这样</w:t>
      </w:r>
      <w:r>
        <w:rPr>
          <w:rFonts w:hint="eastAsia" w:ascii="宋体" w:hAnsi="宋体" w:eastAsia="宋体" w:cs="宋体"/>
          <w:spacing w:val="12"/>
          <w:sz w:val="24"/>
          <w:szCs w:val="24"/>
        </w:rPr>
        <w:t>,乡村全过程人民民主才有坚强的领导核心。其次,重视培养乡村基层党组织的后备干部。培养和选拔优秀的后</w:t>
      </w:r>
      <w:r>
        <w:rPr>
          <w:rFonts w:hint="eastAsia" w:ascii="宋体" w:hAnsi="宋体" w:eastAsia="宋体" w:cs="宋体"/>
          <w:spacing w:val="15"/>
          <w:sz w:val="24"/>
          <w:szCs w:val="24"/>
        </w:rPr>
        <w:t>备干部是优化乡村干部队伍建设的重点,也是推进乡村全过程人民民主建设的重要一环。</w:t>
      </w:r>
      <w:r>
        <w:rPr>
          <w:rFonts w:hint="eastAsia" w:ascii="宋体" w:hAnsi="宋体" w:eastAsia="宋体" w:cs="宋体"/>
          <w:spacing w:val="5"/>
          <w:sz w:val="24"/>
          <w:szCs w:val="24"/>
        </w:rPr>
        <w:t>要把党性观念强、工作作风实、群众口碑好的优秀青</w:t>
      </w:r>
      <w:r>
        <w:rPr>
          <w:rFonts w:hint="eastAsia" w:ascii="宋体" w:hAnsi="宋体" w:eastAsia="宋体" w:cs="宋体"/>
          <w:spacing w:val="4"/>
          <w:sz w:val="24"/>
          <w:szCs w:val="24"/>
        </w:rPr>
        <w:t>年人才充实到村级后备干部人才库。有</w:t>
      </w:r>
      <w:r>
        <w:rPr>
          <w:rFonts w:hint="eastAsia" w:ascii="宋体" w:hAnsi="宋体" w:eastAsia="宋体" w:cs="宋体"/>
          <w:spacing w:val="5"/>
          <w:sz w:val="24"/>
          <w:szCs w:val="24"/>
        </w:rPr>
        <w:t>组织地提升乡村年轻后备干部在全过程人民民主中的服务意识、创新思维、法治观念和治理</w:t>
      </w:r>
      <w:r>
        <w:rPr>
          <w:rFonts w:hint="eastAsia" w:ascii="宋体" w:hAnsi="宋体" w:eastAsia="宋体" w:cs="宋体"/>
          <w:spacing w:val="15"/>
          <w:sz w:val="24"/>
          <w:szCs w:val="24"/>
        </w:rPr>
        <w:t>能力。最后,重视对乡村党员干部的激励。应适当提升乡村干部的待遇,拓展职业晋升空</w:t>
      </w:r>
      <w:r>
        <w:rPr>
          <w:rFonts w:hint="eastAsia" w:ascii="宋体" w:hAnsi="宋体" w:eastAsia="宋体" w:cs="宋体"/>
          <w:sz w:val="24"/>
          <w:szCs w:val="24"/>
        </w:rPr>
        <w:t>间,做到“待遇留人、事业留人、感情留人”,把乡村视为干事创业、充满希</w:t>
      </w:r>
      <w:r>
        <w:rPr>
          <w:rFonts w:hint="eastAsia" w:ascii="宋体" w:hAnsi="宋体" w:eastAsia="宋体" w:cs="宋体"/>
          <w:spacing w:val="-1"/>
          <w:sz w:val="24"/>
          <w:szCs w:val="24"/>
        </w:rPr>
        <w:t>望的平台,使乡村基</w:t>
      </w:r>
      <w:r>
        <w:rPr>
          <w:rFonts w:hint="eastAsia" w:ascii="宋体" w:hAnsi="宋体" w:eastAsia="宋体" w:cs="宋体"/>
          <w:spacing w:val="7"/>
          <w:sz w:val="24"/>
          <w:szCs w:val="24"/>
        </w:rPr>
        <w:t>层干部成为受人尊敬、大有可为的群体,为乡</w:t>
      </w:r>
      <w:r>
        <w:rPr>
          <w:rFonts w:hint="eastAsia" w:ascii="宋体" w:hAnsi="宋体" w:eastAsia="宋体" w:cs="宋体"/>
          <w:spacing w:val="6"/>
          <w:sz w:val="24"/>
          <w:szCs w:val="24"/>
        </w:rPr>
        <w:t>村全过程人民民主建设奠定组织基础。</w:t>
      </w:r>
    </w:p>
    <w:p w14:paraId="4F9D3ED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促进基层党组织转变政治作风,践行党的宗旨,为化解乡村全过程人民民主主体制约提</w:t>
      </w:r>
      <w:r>
        <w:rPr>
          <w:rFonts w:hint="eastAsia" w:ascii="宋体" w:hAnsi="宋体" w:eastAsia="宋体" w:cs="宋体"/>
          <w:spacing w:val="13"/>
          <w:sz w:val="24"/>
          <w:szCs w:val="24"/>
        </w:rPr>
        <w:t>供政治保障。全过程人民民主是对乡村政治生活的全局性理解和整</w:t>
      </w:r>
      <w:r>
        <w:rPr>
          <w:rFonts w:hint="eastAsia" w:ascii="宋体" w:hAnsi="宋体" w:eastAsia="宋体" w:cs="宋体"/>
          <w:spacing w:val="12"/>
          <w:sz w:val="24"/>
          <w:szCs w:val="24"/>
        </w:rPr>
        <w:t>体性把握,包括其价值</w:t>
      </w:r>
      <w:r>
        <w:rPr>
          <w:rFonts w:hint="eastAsia" w:ascii="宋体" w:hAnsi="宋体" w:eastAsia="宋体" w:cs="宋体"/>
          <w:spacing w:val="11"/>
          <w:sz w:val="24"/>
          <w:szCs w:val="24"/>
        </w:rPr>
        <w:t>内核和机制功能,还包括串联民主各环节的体制逻辑与制度安排,这是乡村民主全链条、全</w:t>
      </w:r>
      <w:r>
        <w:rPr>
          <w:rFonts w:hint="eastAsia" w:ascii="宋体" w:hAnsi="宋体" w:eastAsia="宋体" w:cs="宋体"/>
          <w:spacing w:val="13"/>
          <w:sz w:val="24"/>
          <w:szCs w:val="24"/>
        </w:rPr>
        <w:t>环节和全领域能够形成有机关联的必要基础。乡村党组织身处人民</w:t>
      </w:r>
      <w:r>
        <w:rPr>
          <w:rFonts w:hint="eastAsia" w:ascii="宋体" w:hAnsi="宋体" w:eastAsia="宋体" w:cs="宋体"/>
          <w:spacing w:val="12"/>
          <w:sz w:val="24"/>
          <w:szCs w:val="24"/>
        </w:rPr>
        <w:t>群众之中,直接面对广</w:t>
      </w:r>
      <w:r>
        <w:rPr>
          <w:rFonts w:hint="eastAsia" w:ascii="宋体" w:hAnsi="宋体" w:eastAsia="宋体" w:cs="宋体"/>
          <w:spacing w:val="10"/>
          <w:sz w:val="24"/>
          <w:szCs w:val="24"/>
        </w:rPr>
        <w:t>大群众,是党的群众路线的践行者,也是党的全心全意为人民服务宗旨意识的体现者。乡村</w:t>
      </w:r>
      <w:r>
        <w:rPr>
          <w:rFonts w:hint="eastAsia" w:ascii="宋体" w:hAnsi="宋体" w:eastAsia="宋体" w:cs="宋体"/>
          <w:spacing w:val="13"/>
          <w:sz w:val="24"/>
          <w:szCs w:val="24"/>
        </w:rPr>
        <w:t>党组织的工作状况直接决定着党的路线方针政策能否顺利实施,乡村党的建设质量如何直</w:t>
      </w:r>
      <w:r>
        <w:rPr>
          <w:rFonts w:hint="eastAsia" w:ascii="宋体" w:hAnsi="宋体" w:eastAsia="宋体" w:cs="宋体"/>
          <w:spacing w:val="6"/>
          <w:sz w:val="24"/>
          <w:szCs w:val="24"/>
        </w:rPr>
        <w:t>接关系着党在人民群众心目中的地位和威望。要落实乡村全过程人民民主,实行乡村“四议两公开”,</w:t>
      </w:r>
      <w:r>
        <w:rPr>
          <w:rStyle w:val="20"/>
          <w:rFonts w:hint="eastAsia" w:ascii="宋体" w:hAnsi="宋体" w:eastAsia="宋体" w:cs="宋体"/>
          <w:spacing w:val="6"/>
          <w:sz w:val="24"/>
          <w:szCs w:val="24"/>
        </w:rPr>
        <w:footnoteReference w:id="310"/>
      </w:r>
      <w:r>
        <w:rPr>
          <w:rFonts w:hint="eastAsia" w:ascii="宋体" w:hAnsi="宋体" w:eastAsia="宋体" w:cs="宋体"/>
          <w:spacing w:val="6"/>
          <w:sz w:val="24"/>
          <w:szCs w:val="24"/>
        </w:rPr>
        <w:t>就应努力做到以下两点:其一,树立</w:t>
      </w:r>
      <w:r>
        <w:rPr>
          <w:rFonts w:hint="eastAsia" w:ascii="宋体" w:hAnsi="宋体" w:eastAsia="宋体" w:cs="宋体"/>
          <w:spacing w:val="5"/>
          <w:sz w:val="24"/>
          <w:szCs w:val="24"/>
        </w:rPr>
        <w:t>正确的政绩观。把“人民拥护不拥护、人民赞</w:t>
      </w:r>
      <w:r>
        <w:rPr>
          <w:rFonts w:hint="eastAsia" w:ascii="宋体" w:hAnsi="宋体" w:eastAsia="宋体" w:cs="宋体"/>
          <w:spacing w:val="8"/>
          <w:sz w:val="24"/>
          <w:szCs w:val="24"/>
        </w:rPr>
        <w:t>成不赞成、人民高兴不高兴”作为乡村党组织开展工作的出发点和落脚点,把群众认同和人</w:t>
      </w:r>
      <w:r>
        <w:rPr>
          <w:rFonts w:hint="eastAsia" w:ascii="宋体" w:hAnsi="宋体" w:eastAsia="宋体" w:cs="宋体"/>
          <w:spacing w:val="6"/>
          <w:sz w:val="24"/>
          <w:szCs w:val="24"/>
        </w:rPr>
        <w:t>民拥护作为最大的“政治”,以全心全意为人民服务作为乡村基层党组织建设的价值目标,以</w:t>
      </w:r>
      <w:r>
        <w:rPr>
          <w:rFonts w:hint="eastAsia" w:ascii="宋体" w:hAnsi="宋体" w:eastAsia="宋体" w:cs="宋体"/>
          <w:spacing w:val="7"/>
          <w:sz w:val="24"/>
          <w:szCs w:val="24"/>
        </w:rPr>
        <w:t>增强民众福祉、赢得群众认同作为乡村基层党组织的最大政绩。其二,增强广大民众的获得</w:t>
      </w:r>
      <w:r>
        <w:rPr>
          <w:rFonts w:hint="eastAsia" w:ascii="宋体" w:hAnsi="宋体" w:eastAsia="宋体" w:cs="宋体"/>
          <w:spacing w:val="13"/>
          <w:sz w:val="24"/>
          <w:szCs w:val="24"/>
        </w:rPr>
        <w:t>感。乡村基层党组织应在具体决策和实践中,深入了解民众所需,及时解决民众所急,切实</w:t>
      </w:r>
      <w:r>
        <w:rPr>
          <w:rFonts w:hint="eastAsia" w:ascii="宋体" w:hAnsi="宋体" w:eastAsia="宋体" w:cs="宋体"/>
          <w:spacing w:val="10"/>
          <w:sz w:val="24"/>
          <w:szCs w:val="24"/>
        </w:rPr>
        <w:t>满足民众所愿,最大限度地维护和实现农民的各种利益</w:t>
      </w:r>
      <w:r>
        <w:rPr>
          <w:rFonts w:hint="eastAsia" w:ascii="宋体" w:hAnsi="宋体" w:eastAsia="宋体" w:cs="宋体"/>
          <w:spacing w:val="9"/>
          <w:sz w:val="24"/>
          <w:szCs w:val="24"/>
        </w:rPr>
        <w:t>,不断增强农民的获得感和幸福感。</w:t>
      </w:r>
    </w:p>
    <w:p w14:paraId="30131FD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14:textOutline w14:w="2540" w14:cap="rnd" w14:cmpd="sng">
            <w14:solidFill>
              <w14:srgbClr w14:val="231F20"/>
            </w14:solidFill>
            <w14:prstDash w14:val="solid"/>
            <w14:bevel/>
          </w14:textOutline>
        </w:rPr>
        <w:t>(二)隐蔽议程和政治冷漠的协同消除</w:t>
      </w:r>
    </w:p>
    <w:p w14:paraId="6B5BE73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隐蔽议程是基于权力流失在政府之外,或者流失在政府周</w:t>
      </w:r>
      <w:r>
        <w:rPr>
          <w:rFonts w:hint="eastAsia" w:ascii="宋体" w:hAnsi="宋体" w:eastAsia="宋体" w:cs="宋体"/>
          <w:spacing w:val="13"/>
          <w:sz w:val="24"/>
          <w:szCs w:val="24"/>
        </w:rPr>
        <w:t>围,导致私人与政府合谋,将</w:t>
      </w:r>
      <w:r>
        <w:rPr>
          <w:rFonts w:hint="eastAsia" w:ascii="宋体" w:hAnsi="宋体" w:eastAsia="宋体" w:cs="宋体"/>
          <w:spacing w:val="11"/>
          <w:sz w:val="24"/>
          <w:szCs w:val="24"/>
        </w:rPr>
        <w:t>至关重要的政治问题排除在公共政策的过程之外,一方面限制政策的出台,另一方面影响公</w:t>
      </w:r>
      <w:r>
        <w:rPr>
          <w:rFonts w:hint="eastAsia" w:ascii="宋体" w:hAnsi="宋体" w:eastAsia="宋体" w:cs="宋体"/>
          <w:spacing w:val="3"/>
          <w:sz w:val="24"/>
          <w:szCs w:val="24"/>
        </w:rPr>
        <w:t>共利益。乡村全过程人民民主“以人民群众的需求为起点,以人民群众的选举</w:t>
      </w:r>
      <w:r>
        <w:rPr>
          <w:rFonts w:hint="eastAsia" w:ascii="宋体" w:hAnsi="宋体" w:eastAsia="宋体" w:cs="宋体"/>
          <w:spacing w:val="2"/>
          <w:sz w:val="24"/>
          <w:szCs w:val="24"/>
        </w:rPr>
        <w:t>、协商、决策、</w:t>
      </w:r>
      <w:r>
        <w:rPr>
          <w:rFonts w:hint="eastAsia" w:ascii="宋体" w:hAnsi="宋体" w:eastAsia="宋体" w:cs="宋体"/>
          <w:spacing w:val="16"/>
          <w:sz w:val="24"/>
          <w:szCs w:val="24"/>
        </w:rPr>
        <w:t>管理为关键点,以人民群众的监督为终点,构筑了一个各个环节相互连接、有机互动的整</w:t>
      </w:r>
      <w:r>
        <w:rPr>
          <w:rFonts w:hint="eastAsia" w:ascii="宋体" w:hAnsi="宋体" w:eastAsia="宋体" w:cs="宋体"/>
          <w:spacing w:val="-15"/>
          <w:w w:val="80"/>
          <w:sz w:val="24"/>
          <w:szCs w:val="24"/>
        </w:rPr>
        <w:t>体”。</w:t>
      </w:r>
      <w:r>
        <w:rPr>
          <w:rStyle w:val="20"/>
          <w:rFonts w:hint="eastAsia" w:ascii="宋体" w:hAnsi="宋体" w:eastAsia="宋体" w:cs="宋体"/>
          <w:spacing w:val="-15"/>
          <w:w w:val="80"/>
          <w:sz w:val="24"/>
          <w:szCs w:val="24"/>
        </w:rPr>
        <w:footnoteReference w:id="311"/>
      </w:r>
      <w:r>
        <w:rPr>
          <w:rFonts w:hint="eastAsia" w:ascii="宋体" w:hAnsi="宋体" w:eastAsia="宋体" w:cs="宋体"/>
          <w:spacing w:val="12"/>
          <w:sz w:val="24"/>
          <w:szCs w:val="24"/>
        </w:rPr>
        <w:t>首先,消解隐蔽议程的关键在于,扩大乡村全过程人民民主参与者的范围,使制度化</w:t>
      </w:r>
      <w:r>
        <w:rPr>
          <w:rFonts w:hint="eastAsia" w:ascii="宋体" w:hAnsi="宋体" w:eastAsia="宋体" w:cs="宋体"/>
          <w:spacing w:val="16"/>
          <w:sz w:val="24"/>
          <w:szCs w:val="24"/>
        </w:rPr>
        <w:t>参与的乡村主体不再仅仅局限于乡村精英,而</w:t>
      </w:r>
      <w:r>
        <w:rPr>
          <w:rFonts w:hint="eastAsia" w:ascii="宋体" w:hAnsi="宋体" w:eastAsia="宋体" w:cs="宋体"/>
          <w:spacing w:val="15"/>
          <w:sz w:val="24"/>
          <w:szCs w:val="24"/>
        </w:rPr>
        <w:t>是让所有普通村民都能够平等自主地参与。</w:t>
      </w:r>
      <w:r>
        <w:rPr>
          <w:rFonts w:hint="eastAsia" w:ascii="宋体" w:hAnsi="宋体" w:eastAsia="宋体" w:cs="宋体"/>
          <w:spacing w:val="11"/>
          <w:sz w:val="24"/>
          <w:szCs w:val="24"/>
        </w:rPr>
        <w:t>以公共精神培育为抓手,扩大乡村全过程人民民主的参与范围,为村民的理性表达和平等参与提供平台,使乡村全过程人民民主不仅体现在国家制度层面的政治民主形式上,也能体现</w:t>
      </w:r>
      <w:r>
        <w:rPr>
          <w:rFonts w:hint="eastAsia" w:ascii="宋体" w:hAnsi="宋体" w:eastAsia="宋体" w:cs="宋体"/>
          <w:spacing w:val="10"/>
          <w:sz w:val="24"/>
          <w:szCs w:val="24"/>
        </w:rPr>
        <w:t>在基层治理层面的社会民主形态中。其次,通过乡村精英和普通民众的广泛参与,建构理性</w:t>
      </w:r>
      <w:r>
        <w:rPr>
          <w:rFonts w:hint="eastAsia" w:ascii="宋体" w:hAnsi="宋体" w:eastAsia="宋体" w:cs="宋体"/>
          <w:spacing w:val="7"/>
          <w:sz w:val="24"/>
          <w:szCs w:val="24"/>
        </w:rPr>
        <w:t>对话、平等协商的机制体制,推进公共服务型乡村政府建设。在促进以公共服务为导向的乡</w:t>
      </w:r>
      <w:r>
        <w:rPr>
          <w:rFonts w:hint="eastAsia" w:ascii="宋体" w:hAnsi="宋体" w:eastAsia="宋体" w:cs="宋体"/>
          <w:spacing w:val="11"/>
          <w:sz w:val="24"/>
          <w:szCs w:val="24"/>
        </w:rPr>
        <w:t>村全过程人民民主时,作为社会利益监管者的乡村政府应以农民利益为核心,保持在乡村经</w:t>
      </w:r>
    </w:p>
    <w:p w14:paraId="475B9D4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济和社会事务中的超然地位。再次,加强乡村基层政府人员的道德建设,加强乡村公共利益和公共价值的引导,消除基层政府因追逐私利而形成的隐蔽议程。又次,健全乡村权力监督</w:t>
      </w:r>
      <w:r>
        <w:rPr>
          <w:rFonts w:hint="eastAsia" w:ascii="宋体" w:hAnsi="宋体" w:eastAsia="宋体" w:cs="宋体"/>
          <w:spacing w:val="8"/>
          <w:sz w:val="24"/>
          <w:szCs w:val="24"/>
        </w:rPr>
        <w:t>和责任追究机制。树立“有权必有责,用权必监督,违权必追究”的法治理念,促</w:t>
      </w:r>
      <w:r>
        <w:rPr>
          <w:rFonts w:hint="eastAsia" w:ascii="宋体" w:hAnsi="宋体" w:eastAsia="宋体" w:cs="宋体"/>
          <w:spacing w:val="7"/>
          <w:sz w:val="24"/>
          <w:szCs w:val="24"/>
        </w:rPr>
        <w:t>进乡村权力</w:t>
      </w:r>
      <w:r>
        <w:rPr>
          <w:rFonts w:hint="eastAsia" w:ascii="宋体" w:hAnsi="宋体" w:eastAsia="宋体" w:cs="宋体"/>
          <w:spacing w:val="5"/>
          <w:sz w:val="24"/>
          <w:szCs w:val="24"/>
        </w:rPr>
        <w:t>回归公共价值。最后,发挥社会舆论作为“第四项权力”的作用,通过主动设置乡村议程、放</w:t>
      </w:r>
      <w:r>
        <w:rPr>
          <w:rFonts w:hint="eastAsia" w:ascii="宋体" w:hAnsi="宋体" w:eastAsia="宋体" w:cs="宋体"/>
          <w:spacing w:val="1"/>
          <w:sz w:val="24"/>
          <w:szCs w:val="24"/>
        </w:rPr>
        <w:t>大公众议程、曝光隐蔽议程,提案公开、决议公开、程序公开、措施公开,将乡村全</w:t>
      </w:r>
      <w:r>
        <w:rPr>
          <w:rFonts w:hint="eastAsia" w:ascii="宋体" w:hAnsi="宋体" w:eastAsia="宋体" w:cs="宋体"/>
          <w:sz w:val="24"/>
          <w:szCs w:val="24"/>
        </w:rPr>
        <w:t>过程人民民</w:t>
      </w:r>
      <w:r>
        <w:rPr>
          <w:rFonts w:hint="eastAsia" w:ascii="宋体" w:hAnsi="宋体" w:eastAsia="宋体" w:cs="宋体"/>
          <w:spacing w:val="11"/>
          <w:sz w:val="24"/>
          <w:szCs w:val="24"/>
        </w:rPr>
        <w:t>主相关信息通过多种手段和多个平台公布,使其成为乡村社会关注的焦点,对企图遮</w:t>
      </w:r>
      <w:r>
        <w:rPr>
          <w:rFonts w:hint="eastAsia" w:ascii="宋体" w:hAnsi="宋体" w:eastAsia="宋体" w:cs="宋体"/>
          <w:spacing w:val="10"/>
          <w:sz w:val="24"/>
          <w:szCs w:val="24"/>
        </w:rPr>
        <w:t>蔽者造</w:t>
      </w:r>
      <w:r>
        <w:rPr>
          <w:rFonts w:hint="eastAsia" w:ascii="宋体" w:hAnsi="宋体" w:eastAsia="宋体" w:cs="宋体"/>
          <w:spacing w:val="9"/>
          <w:sz w:val="24"/>
          <w:szCs w:val="24"/>
        </w:rPr>
        <w:t>成强大的社会压力,用全过程人民民主的乡村范式化解乡村主体信息制约的现实问题。</w:t>
      </w:r>
    </w:p>
    <w:p w14:paraId="4658203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村民对乡村民主不参与、不关心的政治冷漠,实质上是村民对乡村民主的疏远和逃避。</w:t>
      </w:r>
      <w:r>
        <w:rPr>
          <w:rFonts w:hint="eastAsia" w:ascii="宋体" w:hAnsi="宋体" w:eastAsia="宋体" w:cs="宋体"/>
          <w:spacing w:val="11"/>
          <w:sz w:val="24"/>
          <w:szCs w:val="24"/>
        </w:rPr>
        <w:t>在人口流动的背景下,消除政治冷漠要依托发展乡村网络民主,提升农民网络民主意识和参</w:t>
      </w:r>
      <w:r>
        <w:rPr>
          <w:rFonts w:hint="eastAsia" w:ascii="宋体" w:hAnsi="宋体" w:eastAsia="宋体" w:cs="宋体"/>
          <w:spacing w:val="12"/>
          <w:sz w:val="24"/>
          <w:szCs w:val="24"/>
        </w:rPr>
        <w:t>与能力。一是提升农民的民主参与能力。民主参与能力不仅包括科学知识和文化素质,还</w:t>
      </w:r>
      <w:r>
        <w:rPr>
          <w:rFonts w:hint="eastAsia" w:ascii="宋体" w:hAnsi="宋体" w:eastAsia="宋体" w:cs="宋体"/>
          <w:spacing w:val="5"/>
          <w:sz w:val="24"/>
          <w:szCs w:val="24"/>
        </w:rPr>
        <w:t>包括权利意识和法治精神、偏好表达和民主技能。基层</w:t>
      </w:r>
      <w:r>
        <w:rPr>
          <w:rFonts w:hint="eastAsia" w:ascii="宋体" w:hAnsi="宋体" w:eastAsia="宋体" w:cs="宋体"/>
          <w:spacing w:val="4"/>
          <w:sz w:val="24"/>
          <w:szCs w:val="24"/>
        </w:rPr>
        <w:t>政府应提升农民的民主能力、思想意</w:t>
      </w:r>
      <w:r>
        <w:rPr>
          <w:rFonts w:hint="eastAsia" w:ascii="宋体" w:hAnsi="宋体" w:eastAsia="宋体" w:cs="宋体"/>
          <w:spacing w:val="9"/>
          <w:sz w:val="24"/>
          <w:szCs w:val="24"/>
        </w:rPr>
        <w:t>识和公民素养,让法治教育发挥主导作用,并让农民在乡村民</w:t>
      </w:r>
      <w:r>
        <w:rPr>
          <w:rFonts w:hint="eastAsia" w:ascii="宋体" w:hAnsi="宋体" w:eastAsia="宋体" w:cs="宋体"/>
          <w:spacing w:val="8"/>
          <w:sz w:val="24"/>
          <w:szCs w:val="24"/>
        </w:rPr>
        <w:t>主实践中累积经验、拓宽视野,</w:t>
      </w:r>
      <w:r>
        <w:rPr>
          <w:rFonts w:hint="eastAsia" w:ascii="宋体" w:hAnsi="宋体" w:eastAsia="宋体" w:cs="宋体"/>
          <w:spacing w:val="9"/>
          <w:sz w:val="24"/>
          <w:szCs w:val="24"/>
        </w:rPr>
        <w:t>亲身感受民主参与的重要性。二是科学设置乡村网络民主的议程和议题。农民参与乡村网</w:t>
      </w:r>
      <w:r>
        <w:rPr>
          <w:rFonts w:hint="eastAsia" w:ascii="宋体" w:hAnsi="宋体" w:eastAsia="宋体" w:cs="宋体"/>
          <w:spacing w:val="13"/>
          <w:sz w:val="24"/>
          <w:szCs w:val="24"/>
        </w:rPr>
        <w:t>络民主的程度与个人利益密切相关。政府部门要积极拓展农民获取乡村治</w:t>
      </w:r>
      <w:r>
        <w:rPr>
          <w:rFonts w:hint="eastAsia" w:ascii="宋体" w:hAnsi="宋体" w:eastAsia="宋体" w:cs="宋体"/>
          <w:spacing w:val="12"/>
          <w:sz w:val="24"/>
          <w:szCs w:val="24"/>
        </w:rPr>
        <w:t>理信息的渠道,</w:t>
      </w:r>
      <w:r>
        <w:rPr>
          <w:rFonts w:hint="eastAsia" w:ascii="宋体" w:hAnsi="宋体" w:eastAsia="宋体" w:cs="宋体"/>
          <w:spacing w:val="3"/>
          <w:sz w:val="24"/>
          <w:szCs w:val="24"/>
        </w:rPr>
        <w:t>免费提供用工就业、子女教育、权益维护、技能培训等与他们切身利益相关的信息,提高农民</w:t>
      </w:r>
      <w:r>
        <w:rPr>
          <w:rFonts w:hint="eastAsia" w:ascii="宋体" w:hAnsi="宋体" w:eastAsia="宋体" w:cs="宋体"/>
          <w:spacing w:val="8"/>
          <w:sz w:val="24"/>
          <w:szCs w:val="24"/>
        </w:rPr>
        <w:t>参加乡村全过程人民民主的积极性和主动性。</w:t>
      </w:r>
    </w:p>
    <w:p w14:paraId="64A3731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14:textOutline w14:w="2540" w14:cap="rnd" w14:cmpd="sng">
            <w14:solidFill>
              <w14:srgbClr w14:val="231F20"/>
            </w14:solidFill>
            <w14:prstDash w14:val="solid"/>
            <w14:bevel/>
          </w14:textOutline>
        </w:rPr>
        <w:t>(三)理性精神与参与能力的协同培育</w:t>
      </w:r>
    </w:p>
    <w:p w14:paraId="5D2226B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乡村民主主体“应具有公共理性与公共情怀,还应</w:t>
      </w:r>
      <w:r>
        <w:rPr>
          <w:rFonts w:hint="eastAsia" w:ascii="宋体" w:hAnsi="宋体" w:eastAsia="宋体" w:cs="宋体"/>
          <w:spacing w:val="6"/>
          <w:sz w:val="24"/>
          <w:szCs w:val="24"/>
        </w:rPr>
        <w:t>追求公共性与公共利益”。</w:t>
      </w:r>
      <w:r>
        <w:rPr>
          <w:rStyle w:val="20"/>
          <w:rFonts w:hint="eastAsia" w:ascii="宋体" w:hAnsi="宋体" w:eastAsia="宋体" w:cs="宋体"/>
          <w:spacing w:val="6"/>
          <w:sz w:val="24"/>
          <w:szCs w:val="24"/>
        </w:rPr>
        <w:footnoteReference w:id="312"/>
      </w:r>
      <w:r>
        <w:rPr>
          <w:rFonts w:hint="eastAsia" w:ascii="宋体" w:hAnsi="宋体" w:eastAsia="宋体" w:cs="宋体"/>
          <w:spacing w:val="6"/>
          <w:sz w:val="24"/>
          <w:szCs w:val="24"/>
        </w:rPr>
        <w:t>公民理</w:t>
      </w:r>
      <w:r>
        <w:rPr>
          <w:rFonts w:hint="eastAsia" w:ascii="宋体" w:hAnsi="宋体" w:eastAsia="宋体" w:cs="宋体"/>
          <w:spacing w:val="8"/>
          <w:sz w:val="24"/>
          <w:szCs w:val="24"/>
        </w:rPr>
        <w:t>性精神是乡村全过程人民民主的重要组成部分,表征为村民对乡村公共事务的热心、关爱和</w:t>
      </w:r>
      <w:r>
        <w:rPr>
          <w:rFonts w:hint="eastAsia" w:ascii="宋体" w:hAnsi="宋体" w:eastAsia="宋体" w:cs="宋体"/>
          <w:spacing w:val="13"/>
          <w:sz w:val="24"/>
          <w:szCs w:val="24"/>
        </w:rPr>
        <w:t>尊重,以及公民崇高的公共品德与素养,是化解乡村全过程人民民主主体制约的重要方面。</w:t>
      </w:r>
      <w:r>
        <w:rPr>
          <w:rFonts w:hint="eastAsia" w:ascii="宋体" w:hAnsi="宋体" w:eastAsia="宋体" w:cs="宋体"/>
          <w:spacing w:val="11"/>
          <w:sz w:val="24"/>
          <w:szCs w:val="24"/>
        </w:rPr>
        <w:t>在村民理性精神的培育中,应注重消除村民的理性碎片化和价值分立化等倾向,克服其小农意识和冷漠心理,缩小村民与正规制度之间的心理距离,提升村民群体的政治责任感和社会</w:t>
      </w:r>
      <w:r>
        <w:rPr>
          <w:rFonts w:hint="eastAsia" w:ascii="宋体" w:hAnsi="宋体" w:eastAsia="宋体" w:cs="宋体"/>
          <w:spacing w:val="8"/>
          <w:sz w:val="24"/>
          <w:szCs w:val="24"/>
        </w:rPr>
        <w:t>荣耀感。首先,加强公民美德教育,使乡村共同体成员之间能够相互理解、相互尊重,节制乡</w:t>
      </w:r>
      <w:r>
        <w:rPr>
          <w:rFonts w:hint="eastAsia" w:ascii="宋体" w:hAnsi="宋体" w:eastAsia="宋体" w:cs="宋体"/>
          <w:spacing w:val="10"/>
          <w:sz w:val="24"/>
          <w:szCs w:val="24"/>
        </w:rPr>
        <w:t>村民主实践中的不合理诉求。其次,强化村民责任感教育,明确村民个体在乡村政治共同体中的地位和价值,使乡村全过程人民民主的主体性充分发挥。最后,强化乡村基层政府人员</w:t>
      </w:r>
      <w:r>
        <w:rPr>
          <w:rFonts w:hint="eastAsia" w:ascii="宋体" w:hAnsi="宋体" w:eastAsia="宋体" w:cs="宋体"/>
          <w:spacing w:val="13"/>
          <w:sz w:val="24"/>
          <w:szCs w:val="24"/>
        </w:rPr>
        <w:t>的公共精神教育。政府权力的政治性和公共性要求乡村政府要为乡村公</w:t>
      </w:r>
      <w:r>
        <w:rPr>
          <w:rFonts w:hint="eastAsia" w:ascii="宋体" w:hAnsi="宋体" w:eastAsia="宋体" w:cs="宋体"/>
          <w:spacing w:val="12"/>
          <w:sz w:val="24"/>
          <w:szCs w:val="24"/>
        </w:rPr>
        <w:t>共利益服务,应本</w:t>
      </w:r>
      <w:r>
        <w:rPr>
          <w:rFonts w:hint="eastAsia" w:ascii="宋体" w:hAnsi="宋体" w:eastAsia="宋体" w:cs="宋体"/>
          <w:spacing w:val="5"/>
          <w:sz w:val="24"/>
          <w:szCs w:val="24"/>
        </w:rPr>
        <w:t>着公平、公正、公开的原则通过民主全过程为人民服务。</w:t>
      </w:r>
      <w:r>
        <w:rPr>
          <w:rFonts w:hint="eastAsia" w:ascii="宋体" w:hAnsi="宋体" w:eastAsia="宋体" w:cs="宋体"/>
          <w:spacing w:val="4"/>
          <w:sz w:val="24"/>
          <w:szCs w:val="24"/>
        </w:rPr>
        <w:t>乡村政府制定政策必须密切关注和</w:t>
      </w:r>
      <w:r>
        <w:rPr>
          <w:rFonts w:hint="eastAsia" w:ascii="宋体" w:hAnsi="宋体" w:eastAsia="宋体" w:cs="宋体"/>
          <w:spacing w:val="11"/>
          <w:sz w:val="24"/>
          <w:szCs w:val="24"/>
        </w:rPr>
        <w:t>认真回应村民关切,促进乡村政策的合理性与公共利益的实现,消除乡村全过程人民民主中</w:t>
      </w:r>
      <w:r>
        <w:rPr>
          <w:rFonts w:hint="eastAsia" w:ascii="宋体" w:hAnsi="宋体" w:eastAsia="宋体" w:cs="宋体"/>
          <w:spacing w:val="7"/>
          <w:sz w:val="24"/>
          <w:szCs w:val="24"/>
        </w:rPr>
        <w:t>的主体制约问题。</w:t>
      </w:r>
    </w:p>
    <w:p w14:paraId="63CAE22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乡村全过程人民民主制度的持续有效性依赖于农</w:t>
      </w:r>
      <w:r>
        <w:rPr>
          <w:rFonts w:hint="eastAsia" w:ascii="宋体" w:hAnsi="宋体" w:eastAsia="宋体" w:cs="宋体"/>
          <w:spacing w:val="9"/>
          <w:sz w:val="24"/>
          <w:szCs w:val="24"/>
        </w:rPr>
        <w:t>民参与能力。乡村传统社会的封闭性</w:t>
      </w:r>
      <w:r>
        <w:rPr>
          <w:rFonts w:hint="eastAsia" w:ascii="宋体" w:hAnsi="宋体" w:eastAsia="宋体" w:cs="宋体"/>
          <w:spacing w:val="11"/>
          <w:sz w:val="24"/>
          <w:szCs w:val="24"/>
        </w:rPr>
        <w:t>和小农经济的脆弱性,是村民参与能力不强的历史因素和现实制约,其外在表征为村民民主</w:t>
      </w:r>
      <w:r>
        <w:rPr>
          <w:rFonts w:hint="eastAsia" w:ascii="宋体" w:hAnsi="宋体" w:eastAsia="宋体" w:cs="宋体"/>
          <w:spacing w:val="13"/>
          <w:sz w:val="24"/>
          <w:szCs w:val="24"/>
        </w:rPr>
        <w:t>参与意愿低落和民主技术缺失,在乡村民主实践中不能真实表达参与选举和理性协商的内心意愿,更缺乏参与乡村事务的行政能力和民主技巧。因此,化解乡村民主主体制约,就必</w:t>
      </w:r>
      <w:r>
        <w:rPr>
          <w:rFonts w:hint="eastAsia" w:ascii="宋体" w:hAnsi="宋体" w:eastAsia="宋体" w:cs="宋体"/>
          <w:spacing w:val="10"/>
          <w:sz w:val="24"/>
          <w:szCs w:val="24"/>
        </w:rPr>
        <w:t>须培养村民参与能力。村民的协商能力、监督能力和民主技能的培育与乡</w:t>
      </w:r>
      <w:r>
        <w:rPr>
          <w:rFonts w:hint="eastAsia" w:ascii="宋体" w:hAnsi="宋体" w:eastAsia="宋体" w:cs="宋体"/>
          <w:spacing w:val="9"/>
          <w:sz w:val="24"/>
          <w:szCs w:val="24"/>
        </w:rPr>
        <w:t>村全过程人民民</w:t>
      </w:r>
      <w:r>
        <w:rPr>
          <w:rFonts w:hint="eastAsia" w:ascii="宋体" w:hAnsi="宋体" w:eastAsia="宋体" w:cs="宋体"/>
          <w:spacing w:val="10"/>
          <w:sz w:val="24"/>
          <w:szCs w:val="24"/>
        </w:rPr>
        <w:t>主建设是硬币的同体两面。也就是说,只有在乡村全过程人民民主实践中,村民的参与能力</w:t>
      </w:r>
      <w:r>
        <w:rPr>
          <w:rFonts w:hint="eastAsia" w:ascii="宋体" w:hAnsi="宋体" w:eastAsia="宋体" w:cs="宋体"/>
          <w:spacing w:val="7"/>
          <w:sz w:val="24"/>
          <w:szCs w:val="24"/>
        </w:rPr>
        <w:t>才能得到不断提升。在乡村全过程人民民主实践中,一方面应注重提高村民的言语表达、合</w:t>
      </w:r>
      <w:r>
        <w:rPr>
          <w:rFonts w:hint="eastAsia" w:ascii="宋体" w:hAnsi="宋体" w:eastAsia="宋体" w:cs="宋体"/>
          <w:spacing w:val="2"/>
          <w:sz w:val="24"/>
          <w:szCs w:val="24"/>
        </w:rPr>
        <w:t>理判断、审慎思考、理性讨论、有效沟通等能力。如在参与乡村全过程人民民主时,考虑问题</w:t>
      </w:r>
      <w:r>
        <w:rPr>
          <w:rFonts w:hint="eastAsia" w:ascii="宋体" w:hAnsi="宋体" w:eastAsia="宋体" w:cs="宋体"/>
          <w:spacing w:val="8"/>
          <w:sz w:val="24"/>
          <w:szCs w:val="24"/>
        </w:rPr>
        <w:t>要以乡村发展的长远利益、公共利益为出发点,应具备政治判断力、政策落实力和民主监督</w:t>
      </w:r>
      <w:r>
        <w:rPr>
          <w:rFonts w:hint="eastAsia" w:ascii="宋体" w:hAnsi="宋体" w:eastAsia="宋体" w:cs="宋体"/>
          <w:spacing w:val="5"/>
          <w:sz w:val="24"/>
          <w:szCs w:val="24"/>
        </w:rPr>
        <w:t>力,应树立人人平等、理性包容、互利互惠、勇于担责和遵循规则的民主理念。另一方面,要</w:t>
      </w:r>
      <w:r>
        <w:rPr>
          <w:rFonts w:hint="eastAsia" w:ascii="宋体" w:hAnsi="宋体" w:eastAsia="宋体" w:cs="宋体"/>
          <w:spacing w:val="8"/>
          <w:sz w:val="24"/>
          <w:szCs w:val="24"/>
        </w:rPr>
        <w:t>尽可能提供一定场景或机会使村民与政治权威直接对话,激发村民勇于参加民主决策、履行</w:t>
      </w:r>
      <w:r>
        <w:rPr>
          <w:rFonts w:hint="eastAsia" w:ascii="宋体" w:hAnsi="宋体" w:eastAsia="宋体" w:cs="宋体"/>
          <w:spacing w:val="7"/>
          <w:sz w:val="24"/>
          <w:szCs w:val="24"/>
        </w:rPr>
        <w:t>民主职责、强化民主信心的践行能力。将全过程民主理念内化为村民的一种心理习惯,外化</w:t>
      </w:r>
      <w:r>
        <w:rPr>
          <w:rFonts w:hint="eastAsia" w:ascii="宋体" w:hAnsi="宋体" w:eastAsia="宋体" w:cs="宋体"/>
          <w:spacing w:val="13"/>
          <w:sz w:val="24"/>
          <w:szCs w:val="24"/>
        </w:rPr>
        <w:t>为村民的民主参与行为。只有这样,才能把提高农民的参与能力</w:t>
      </w:r>
      <w:r>
        <w:rPr>
          <w:rFonts w:hint="eastAsia" w:ascii="宋体" w:hAnsi="宋体" w:eastAsia="宋体" w:cs="宋体"/>
          <w:spacing w:val="12"/>
          <w:sz w:val="24"/>
          <w:szCs w:val="24"/>
        </w:rPr>
        <w:t>这一乡村全过程人民民主</w:t>
      </w:r>
      <w:r>
        <w:rPr>
          <w:rFonts w:hint="eastAsia" w:ascii="宋体" w:hAnsi="宋体" w:eastAsia="宋体" w:cs="宋体"/>
          <w:spacing w:val="9"/>
          <w:sz w:val="24"/>
          <w:szCs w:val="24"/>
        </w:rPr>
        <w:t>建设的基础性环节做扎实,才能真正化解乡村全过程人民民主的主体制约问题。</w:t>
      </w:r>
    </w:p>
    <w:p w14:paraId="3A3E32F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14:textOutline w14:w="2540" w14:cap="rnd" w14:cmpd="sng">
            <w14:solidFill>
              <w14:srgbClr w14:val="231F20"/>
            </w14:solidFill>
            <w14:prstDash w14:val="solid"/>
            <w14:bevel/>
          </w14:textOutline>
        </w:rPr>
        <w:t>(四)经济振兴与村民富裕的协同发力</w:t>
      </w:r>
    </w:p>
    <w:p w14:paraId="373CC8D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全过程人民民主的乡村基础是乡村经济的高质量发展。乡村经济的</w:t>
      </w:r>
      <w:r>
        <w:rPr>
          <w:rFonts w:hint="eastAsia" w:ascii="宋体" w:hAnsi="宋体" w:eastAsia="宋体" w:cs="宋体"/>
          <w:spacing w:val="9"/>
          <w:sz w:val="24"/>
          <w:szCs w:val="24"/>
        </w:rPr>
        <w:t>振兴程度与农民的</w:t>
      </w:r>
      <w:r>
        <w:rPr>
          <w:rFonts w:hint="eastAsia" w:ascii="宋体" w:hAnsi="宋体" w:eastAsia="宋体" w:cs="宋体"/>
          <w:spacing w:val="7"/>
          <w:sz w:val="24"/>
          <w:szCs w:val="24"/>
        </w:rPr>
        <w:t>理性意识、参与意识和自主意识的养成往往呈现正相关性。促进乡村经济振兴,加速农业现</w:t>
      </w:r>
      <w:r>
        <w:rPr>
          <w:rFonts w:hint="eastAsia" w:ascii="宋体" w:hAnsi="宋体" w:eastAsia="宋体" w:cs="宋体"/>
          <w:spacing w:val="9"/>
          <w:sz w:val="24"/>
          <w:szCs w:val="24"/>
        </w:rPr>
        <w:t>代化、民主数字化、城乡经济一体化,让田间的农民走</w:t>
      </w:r>
      <w:r>
        <w:rPr>
          <w:rFonts w:hint="eastAsia" w:ascii="宋体" w:hAnsi="宋体" w:eastAsia="宋体" w:cs="宋体"/>
          <w:spacing w:val="8"/>
          <w:sz w:val="24"/>
          <w:szCs w:val="24"/>
        </w:rPr>
        <w:t>向富裕,让高新技术带动乡村经济,让</w:t>
      </w:r>
      <w:r>
        <w:rPr>
          <w:rFonts w:hint="eastAsia" w:ascii="宋体" w:hAnsi="宋体" w:eastAsia="宋体" w:cs="宋体"/>
          <w:spacing w:val="12"/>
          <w:sz w:val="24"/>
          <w:szCs w:val="24"/>
        </w:rPr>
        <w:t>发达城市辐射乡村社会。只有这样,才能为乡村全过程人民民主打下坚实的经济基础。没</w:t>
      </w:r>
      <w:r>
        <w:rPr>
          <w:rFonts w:hint="eastAsia" w:ascii="宋体" w:hAnsi="宋体" w:eastAsia="宋体" w:cs="宋体"/>
          <w:spacing w:val="10"/>
          <w:sz w:val="24"/>
          <w:szCs w:val="24"/>
        </w:rPr>
        <w:t>有发达的经济支撑,乡村协商的公共事务问题就很难解决。也就是说,乡村经济的发展赋予了乡村公共事务的民主性。经济发展了,乡村全过程</w:t>
      </w:r>
      <w:r>
        <w:rPr>
          <w:rFonts w:hint="eastAsia" w:ascii="宋体" w:hAnsi="宋体" w:eastAsia="宋体" w:cs="宋体"/>
          <w:spacing w:val="9"/>
          <w:sz w:val="24"/>
          <w:szCs w:val="24"/>
        </w:rPr>
        <w:t>人民民主才有更大空间。因此,要不断深化“集体经济攻坚党旗红”的理念,重建新型集体经</w:t>
      </w:r>
      <w:r>
        <w:rPr>
          <w:rFonts w:hint="eastAsia" w:ascii="宋体" w:hAnsi="宋体" w:eastAsia="宋体" w:cs="宋体"/>
          <w:spacing w:val="8"/>
          <w:sz w:val="24"/>
          <w:szCs w:val="24"/>
        </w:rPr>
        <w:t>济,壮大薄弱村的经济实力,发展空壳</w:t>
      </w:r>
      <w:r>
        <w:rPr>
          <w:rFonts w:hint="eastAsia" w:ascii="宋体" w:hAnsi="宋体" w:eastAsia="宋体" w:cs="宋体"/>
          <w:spacing w:val="10"/>
          <w:sz w:val="24"/>
          <w:szCs w:val="24"/>
        </w:rPr>
        <w:t>村的经济规模,使乡村集体经济为乡村全过程人民民主奠定经济基础。振兴乡村经济,要大</w:t>
      </w:r>
      <w:r>
        <w:rPr>
          <w:rFonts w:hint="eastAsia" w:ascii="宋体" w:hAnsi="宋体" w:eastAsia="宋体" w:cs="宋体"/>
          <w:spacing w:val="11"/>
          <w:sz w:val="24"/>
          <w:szCs w:val="24"/>
        </w:rPr>
        <w:t>力改善农村基础设施,净化乡村社会氛围,为乡村全过程人民民主的深入开展提供得心</w:t>
      </w:r>
      <w:r>
        <w:rPr>
          <w:rFonts w:hint="eastAsia" w:ascii="宋体" w:hAnsi="宋体" w:eastAsia="宋体" w:cs="宋体"/>
          <w:spacing w:val="10"/>
          <w:sz w:val="24"/>
          <w:szCs w:val="24"/>
        </w:rPr>
        <w:t>应手</w:t>
      </w:r>
      <w:r>
        <w:rPr>
          <w:rFonts w:hint="eastAsia" w:ascii="宋体" w:hAnsi="宋体" w:eastAsia="宋体" w:cs="宋体"/>
          <w:spacing w:val="9"/>
          <w:sz w:val="24"/>
          <w:szCs w:val="24"/>
        </w:rPr>
        <w:t>的施展空间,为化解乡村全过程人民民主的主体制约打下坚实的经济基础。</w:t>
      </w:r>
    </w:p>
    <w:p w14:paraId="5240AC0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共同富裕是发展乡村全过程人民民主的治本之策,也是</w:t>
      </w:r>
      <w:r>
        <w:rPr>
          <w:rFonts w:hint="eastAsia" w:ascii="宋体" w:hAnsi="宋体" w:eastAsia="宋体" w:cs="宋体"/>
          <w:spacing w:val="13"/>
          <w:sz w:val="24"/>
          <w:szCs w:val="24"/>
        </w:rPr>
        <w:t>化解乡村全过程人民民主的主</w:t>
      </w:r>
      <w:r>
        <w:rPr>
          <w:rFonts w:hint="eastAsia" w:ascii="宋体" w:hAnsi="宋体" w:eastAsia="宋体" w:cs="宋体"/>
          <w:spacing w:val="10"/>
          <w:sz w:val="24"/>
          <w:szCs w:val="24"/>
        </w:rPr>
        <w:t>体制约问题的重要手段。贫富分化导致的价值分立是乡村全过程人民民主</w:t>
      </w:r>
      <w:r>
        <w:rPr>
          <w:rFonts w:hint="eastAsia" w:ascii="宋体" w:hAnsi="宋体" w:eastAsia="宋体" w:cs="宋体"/>
          <w:spacing w:val="9"/>
          <w:sz w:val="24"/>
          <w:szCs w:val="24"/>
        </w:rPr>
        <w:t>难以达成共识的</w:t>
      </w:r>
      <w:r>
        <w:rPr>
          <w:rFonts w:hint="eastAsia" w:ascii="宋体" w:hAnsi="宋体" w:eastAsia="宋体" w:cs="宋体"/>
          <w:spacing w:val="10"/>
          <w:sz w:val="24"/>
          <w:szCs w:val="24"/>
        </w:rPr>
        <w:t>根源。消除贫富分化是社会主义的本质要求,也是中国共</w:t>
      </w:r>
      <w:r>
        <w:rPr>
          <w:rFonts w:hint="eastAsia" w:ascii="宋体" w:hAnsi="宋体" w:eastAsia="宋体" w:cs="宋体"/>
          <w:spacing w:val="9"/>
          <w:sz w:val="24"/>
          <w:szCs w:val="24"/>
        </w:rPr>
        <w:t>产党的历史责任。新中国成立后,人民当家作主,生产资料公有、普遍的按劳分配,人人</w:t>
      </w:r>
      <w:r>
        <w:rPr>
          <w:rFonts w:hint="eastAsia" w:ascii="宋体" w:hAnsi="宋体" w:eastAsia="宋体" w:cs="宋体"/>
          <w:spacing w:val="8"/>
          <w:sz w:val="24"/>
          <w:szCs w:val="24"/>
        </w:rPr>
        <w:t>政治平等,都已成为中国人民难忘的历</w:t>
      </w:r>
      <w:r>
        <w:rPr>
          <w:rFonts w:hint="eastAsia" w:ascii="宋体" w:hAnsi="宋体" w:eastAsia="宋体" w:cs="宋体"/>
          <w:spacing w:val="15"/>
          <w:sz w:val="24"/>
          <w:szCs w:val="24"/>
        </w:rPr>
        <w:t>史记忆。改革开放后,中国城乡收入分配由于制度和机制问题,长期以来没有发挥应有作</w:t>
      </w:r>
      <w:r>
        <w:rPr>
          <w:rFonts w:hint="eastAsia" w:ascii="宋体" w:hAnsi="宋体" w:eastAsia="宋体" w:cs="宋体"/>
          <w:spacing w:val="13"/>
          <w:sz w:val="24"/>
          <w:szCs w:val="24"/>
        </w:rPr>
        <w:t>用,却产生逆调节效应。实现乡村社会和谐,促进乡村共同富裕,社会主义公有制和按劳分</w:t>
      </w:r>
      <w:r>
        <w:rPr>
          <w:rFonts w:hint="eastAsia" w:ascii="宋体" w:hAnsi="宋体" w:eastAsia="宋体" w:cs="宋体"/>
          <w:spacing w:val="11"/>
          <w:sz w:val="24"/>
          <w:szCs w:val="24"/>
        </w:rPr>
        <w:t>配非常关键,而私有化是社会分化和贫富差距的总根源,各级政府的政策调控应指向共</w:t>
      </w:r>
      <w:r>
        <w:rPr>
          <w:rFonts w:hint="eastAsia" w:ascii="宋体" w:hAnsi="宋体" w:eastAsia="宋体" w:cs="宋体"/>
          <w:spacing w:val="10"/>
          <w:sz w:val="24"/>
          <w:szCs w:val="24"/>
        </w:rPr>
        <w:t>享共</w:t>
      </w:r>
      <w:r>
        <w:rPr>
          <w:rFonts w:hint="eastAsia" w:ascii="宋体" w:hAnsi="宋体" w:eastAsia="宋体" w:cs="宋体"/>
          <w:spacing w:val="13"/>
          <w:sz w:val="24"/>
          <w:szCs w:val="24"/>
        </w:rPr>
        <w:t>富共福式的发展。乡村基层政府要坚定地站稳人民至上的政治立场</w:t>
      </w:r>
      <w:r>
        <w:rPr>
          <w:rFonts w:hint="eastAsia" w:ascii="宋体" w:hAnsi="宋体" w:eastAsia="宋体" w:cs="宋体"/>
          <w:spacing w:val="12"/>
          <w:sz w:val="24"/>
          <w:szCs w:val="24"/>
        </w:rPr>
        <w:t>,切实摆正资本与劳动</w:t>
      </w:r>
      <w:r>
        <w:rPr>
          <w:rFonts w:hint="eastAsia" w:ascii="宋体" w:hAnsi="宋体" w:eastAsia="宋体" w:cs="宋体"/>
          <w:spacing w:val="10"/>
          <w:sz w:val="24"/>
          <w:szCs w:val="24"/>
        </w:rPr>
        <w:t>的辩证关系,破除权力与资本的利益结盟,为乡村全过程人民民主发展保驾护航。农村集体</w:t>
      </w:r>
      <w:r>
        <w:rPr>
          <w:rFonts w:hint="eastAsia" w:ascii="宋体" w:hAnsi="宋体" w:eastAsia="宋体" w:cs="宋体"/>
          <w:spacing w:val="11"/>
          <w:sz w:val="24"/>
          <w:szCs w:val="24"/>
        </w:rPr>
        <w:t>经济的发展壮大能凝聚起乡村民心,也为党的执政地位巩固提供经济基础,乡村全过程</w:t>
      </w:r>
      <w:r>
        <w:rPr>
          <w:rFonts w:hint="eastAsia" w:ascii="宋体" w:hAnsi="宋体" w:eastAsia="宋体" w:cs="宋体"/>
          <w:spacing w:val="10"/>
          <w:sz w:val="24"/>
          <w:szCs w:val="24"/>
        </w:rPr>
        <w:t>人民</w:t>
      </w:r>
      <w:r>
        <w:rPr>
          <w:rFonts w:hint="eastAsia" w:ascii="宋体" w:hAnsi="宋体" w:eastAsia="宋体" w:cs="宋体"/>
          <w:spacing w:val="13"/>
          <w:sz w:val="24"/>
          <w:szCs w:val="24"/>
        </w:rPr>
        <w:t>民主也能得到坚实的经济保障。只依赖于家庭经营的个体经济,</w:t>
      </w:r>
      <w:r>
        <w:rPr>
          <w:rFonts w:hint="eastAsia" w:ascii="宋体" w:hAnsi="宋体" w:eastAsia="宋体" w:cs="宋体"/>
          <w:spacing w:val="12"/>
          <w:sz w:val="24"/>
          <w:szCs w:val="24"/>
        </w:rPr>
        <w:t>而没有农村集体经济的真</w:t>
      </w:r>
      <w:r>
        <w:rPr>
          <w:rFonts w:hint="eastAsia" w:ascii="宋体" w:hAnsi="宋体" w:eastAsia="宋体" w:cs="宋体"/>
          <w:spacing w:val="10"/>
          <w:sz w:val="24"/>
          <w:szCs w:val="24"/>
        </w:rPr>
        <w:t>正发展,共同富裕的目标就会弱化,乡村全过程人民民主就会虚化。乡村公共政策的制定要</w:t>
      </w:r>
      <w:r>
        <w:rPr>
          <w:rFonts w:hint="eastAsia" w:ascii="宋体" w:hAnsi="宋体" w:eastAsia="宋体" w:cs="宋体"/>
          <w:spacing w:val="13"/>
          <w:sz w:val="24"/>
          <w:szCs w:val="24"/>
        </w:rPr>
        <w:t>摆脱经济主义的痼疾,回归人民立场,着力解决乡村不同群体之间的收入差距,促进乡村治</w:t>
      </w:r>
      <w:r>
        <w:rPr>
          <w:rFonts w:hint="eastAsia" w:ascii="宋体" w:hAnsi="宋体" w:eastAsia="宋体" w:cs="宋体"/>
          <w:spacing w:val="11"/>
          <w:sz w:val="24"/>
          <w:szCs w:val="24"/>
        </w:rPr>
        <w:t>理法治化,消除资本对劳动的超经济压榨,为化解乡村全过程人民民主的主体制约问题</w:t>
      </w:r>
      <w:r>
        <w:rPr>
          <w:rFonts w:hint="eastAsia" w:ascii="宋体" w:hAnsi="宋体" w:eastAsia="宋体" w:cs="宋体"/>
          <w:spacing w:val="10"/>
          <w:sz w:val="24"/>
          <w:szCs w:val="24"/>
        </w:rPr>
        <w:t>创造条件。大力发展乡村新型集体经济、数字经济,促进新时代乡村经济振兴,实现乡村共富共</w:t>
      </w:r>
      <w:r>
        <w:rPr>
          <w:rFonts w:hint="eastAsia" w:ascii="宋体" w:hAnsi="宋体" w:eastAsia="宋体" w:cs="宋体"/>
          <w:spacing w:val="9"/>
          <w:sz w:val="24"/>
          <w:szCs w:val="24"/>
        </w:rPr>
        <w:t>享,这是消解乡村民主主体经济制约的重要举措。</w:t>
      </w:r>
    </w:p>
    <w:p w14:paraId="0979FA8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总之,乡村全过程人民民主不是设计出来的,而是培育和优化出来的</w:t>
      </w:r>
      <w:r>
        <w:rPr>
          <w:rFonts w:hint="eastAsia" w:ascii="宋体" w:hAnsi="宋体" w:eastAsia="宋体" w:cs="宋体"/>
          <w:spacing w:val="13"/>
          <w:sz w:val="24"/>
          <w:szCs w:val="24"/>
        </w:rPr>
        <w:t>,是基于乡村主体</w:t>
      </w:r>
      <w:r>
        <w:rPr>
          <w:rFonts w:hint="eastAsia" w:ascii="宋体" w:hAnsi="宋体" w:eastAsia="宋体" w:cs="宋体"/>
          <w:spacing w:val="10"/>
          <w:sz w:val="24"/>
          <w:szCs w:val="24"/>
        </w:rPr>
        <w:t>制约因素的破解继而促进主体优化而实现的。当人们坚定地相信乡村民主</w:t>
      </w:r>
      <w:r>
        <w:rPr>
          <w:rFonts w:hint="eastAsia" w:ascii="宋体" w:hAnsi="宋体" w:eastAsia="宋体" w:cs="宋体"/>
          <w:spacing w:val="9"/>
          <w:sz w:val="24"/>
          <w:szCs w:val="24"/>
        </w:rPr>
        <w:t>、政府规治应当</w:t>
      </w:r>
      <w:r>
        <w:rPr>
          <w:rFonts w:hint="eastAsia" w:ascii="宋体" w:hAnsi="宋体" w:eastAsia="宋体" w:cs="宋体"/>
          <w:spacing w:val="11"/>
          <w:sz w:val="24"/>
          <w:szCs w:val="24"/>
        </w:rPr>
        <w:t>按照全过程人民民主的规则来运作,当人们形成全过程人民民主的信念及其政治文化时</w:t>
      </w:r>
      <w:r>
        <w:rPr>
          <w:rFonts w:hint="eastAsia" w:ascii="宋体" w:hAnsi="宋体" w:eastAsia="宋体" w:cs="宋体"/>
          <w:spacing w:val="10"/>
          <w:sz w:val="24"/>
          <w:szCs w:val="24"/>
        </w:rPr>
        <w:t>,全</w:t>
      </w:r>
      <w:r>
        <w:rPr>
          <w:rFonts w:hint="eastAsia" w:ascii="宋体" w:hAnsi="宋体" w:eastAsia="宋体" w:cs="宋体"/>
          <w:spacing w:val="9"/>
          <w:sz w:val="24"/>
          <w:szCs w:val="24"/>
        </w:rPr>
        <w:t>过程人民民主才能真正成为一种乡村习惯,才能对乡村治理与权力运作产生深远影响。</w:t>
      </w:r>
    </w:p>
    <w:p w14:paraId="1801534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原载《东南学术》2023年第6期，第一作者为李燕，第三作者为张国献。</w:t>
      </w:r>
      <w:r>
        <w:rPr>
          <w:rFonts w:hint="eastAsia" w:ascii="宋体" w:hAnsi="宋体" w:eastAsia="宋体" w:cs="宋体"/>
          <w:sz w:val="24"/>
          <w:szCs w:val="24"/>
          <w:lang w:eastAsia="zh-CN"/>
        </w:rPr>
        <w:t>）</w:t>
      </w:r>
    </w:p>
    <w:p w14:paraId="5EDBE96C">
      <w:pPr>
        <w:pStyle w:val="3"/>
        <w:bidi w:val="0"/>
      </w:pPr>
      <w:bookmarkStart w:id="165" w:name="_Toc73210541"/>
      <w:bookmarkStart w:id="166" w:name="_Toc27038"/>
      <w:bookmarkStart w:id="167" w:name="_Toc748637515"/>
      <w:bookmarkStart w:id="168" w:name="_Toc2110324838"/>
      <w:bookmarkStart w:id="169" w:name="_Toc776218960"/>
      <w:bookmarkStart w:id="170" w:name="_Toc815653431"/>
      <w:r>
        <w:rPr>
          <w:rFonts w:hint="eastAsia"/>
          <w:lang w:val="en-US" w:eastAsia="zh-CN"/>
        </w:rPr>
        <w:t>4</w:t>
      </w:r>
      <w:r>
        <w:rPr>
          <w:rFonts w:hint="eastAsia"/>
        </w:rPr>
        <w:t>智能经济条件下劳动过程新变化</w:t>
      </w:r>
      <w:r>
        <w:rPr>
          <w:rFonts w:hint="eastAsia"/>
        </w:rPr>
        <w:br w:type="textWrapping"/>
      </w:r>
      <w:r>
        <w:rPr>
          <w:rFonts w:hint="eastAsia"/>
        </w:rPr>
        <w:t>——基于马克思主义劳动过程理论</w:t>
      </w:r>
      <w:bookmarkEnd w:id="165"/>
      <w:bookmarkEnd w:id="166"/>
      <w:bookmarkEnd w:id="167"/>
      <w:bookmarkEnd w:id="168"/>
      <w:bookmarkEnd w:id="169"/>
      <w:bookmarkEnd w:id="170"/>
    </w:p>
    <w:p w14:paraId="79EF4092">
      <w:pPr>
        <w:jc w:val="center"/>
        <w:rPr>
          <w:rFonts w:ascii="楷体" w:hAnsi="楷体" w:eastAsia="楷体"/>
          <w:color w:val="000000" w:themeColor="text1"/>
          <w:sz w:val="24"/>
          <w:szCs w:val="24"/>
          <w14:textFill>
            <w14:solidFill>
              <w14:schemeClr w14:val="tx1"/>
            </w14:solidFill>
          </w14:textFill>
        </w:rPr>
      </w:pPr>
    </w:p>
    <w:p w14:paraId="26441B54">
      <w:pPr>
        <w:jc w:val="center"/>
        <w:rPr>
          <w:rFonts w:ascii="楷体" w:hAnsi="楷体" w:eastAsia="楷体"/>
          <w:color w:val="000000" w:themeColor="text1"/>
          <w:sz w:val="24"/>
          <w:szCs w:val="24"/>
          <w14:textFill>
            <w14:solidFill>
              <w14:schemeClr w14:val="tx1"/>
            </w14:solidFill>
          </w14:textFill>
        </w:rPr>
      </w:pPr>
    </w:p>
    <w:p w14:paraId="1FC2BB34">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ascii="宋体" w:hAnsi="宋体" w:eastAsia="宋体"/>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摘 要：</w:t>
      </w:r>
      <w:r>
        <w:rPr>
          <w:rFonts w:hint="eastAsia" w:ascii="宋体" w:hAnsi="宋体" w:eastAsia="宋体"/>
          <w:color w:val="000000" w:themeColor="text1"/>
          <w:sz w:val="24"/>
          <w:szCs w:val="24"/>
          <w14:textFill>
            <w14:solidFill>
              <w14:schemeClr w14:val="tx1"/>
            </w14:solidFill>
          </w14:textFill>
        </w:rPr>
        <w:t>智能经济深刻影响企业的直接生产过程。要认识劳动过程的新变化必须以马克思主义劳动过程理论为指导，其理论框架包括要素组织、过程管理和所有制关系。智能经济条件下，劳动过程的要素构成和技术组织形式呈现出一系列智能化特征。社会组织形式的新变化一方面表现为劳动协作的数字化、分散化和扩大化；另一方面表现为智能经济对私有企业雇佣关系和公有企业录用关系的不同影响。劳动过程的要素运动、劳动者技能的变化以及其主体性的彰显等在不同企业中也存在较大差异。对劳动过程的管理而言，智能技术使科层制高效化、制度算法化、企业文化灵活化。在所有制关系中，委托代理关系的监督成本下降，信息不对称问题弱化；管理关系的组织协调更高效，劳动监督更严格；私有企业中劳动者竞争加剧，公有企业中劳动竞赛的意愿提高。</w:t>
      </w:r>
    </w:p>
    <w:p w14:paraId="0672CB2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ascii="宋体" w:hAnsi="宋体" w:eastAsia="宋体"/>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关键词：</w:t>
      </w:r>
      <w:r>
        <w:rPr>
          <w:rFonts w:hint="eastAsia" w:ascii="宋体" w:hAnsi="宋体" w:eastAsia="宋体"/>
          <w:color w:val="000000" w:themeColor="text1"/>
          <w:sz w:val="24"/>
          <w:szCs w:val="24"/>
          <w14:textFill>
            <w14:solidFill>
              <w14:schemeClr w14:val="tx1"/>
            </w14:solidFill>
          </w14:textFill>
        </w:rPr>
        <w:t>智能经济；劳动过程；生产关系；所有制；政治经济学分析</w:t>
      </w:r>
    </w:p>
    <w:p w14:paraId="1C3E49EC">
      <w:pPr>
        <w:spacing w:line="300" w:lineRule="auto"/>
        <w:rPr>
          <w:rFonts w:ascii="楷体" w:hAnsi="楷体" w:eastAsia="楷体"/>
          <w:color w:val="000000" w:themeColor="text1"/>
          <w:sz w:val="24"/>
          <w:szCs w:val="24"/>
          <w14:textFill>
            <w14:solidFill>
              <w14:schemeClr w14:val="tx1"/>
            </w14:solidFill>
          </w14:textFill>
        </w:rPr>
      </w:pPr>
    </w:p>
    <w:p w14:paraId="55F56CA8">
      <w:pPr>
        <w:pStyle w:val="4"/>
        <w:bidi w:val="0"/>
      </w:pPr>
      <w:r>
        <w:rPr>
          <w:rFonts w:hint="eastAsia"/>
        </w:rPr>
        <w:t>一、引 言</w:t>
      </w:r>
    </w:p>
    <w:p w14:paraId="1A1DC8DD">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自1</w:t>
      </w:r>
      <w:r>
        <w:rPr>
          <w:rFonts w:ascii="宋体" w:hAnsi="宋体" w:eastAsia="宋体"/>
          <w:color w:val="000000" w:themeColor="text1"/>
          <w:sz w:val="24"/>
          <w:szCs w:val="24"/>
          <w14:textFill>
            <w14:solidFill>
              <w14:schemeClr w14:val="tx1"/>
            </w14:solidFill>
          </w14:textFill>
        </w:rPr>
        <w:t>956</w:t>
      </w:r>
      <w:r>
        <w:rPr>
          <w:rFonts w:hint="eastAsia" w:ascii="宋体" w:hAnsi="宋体" w:eastAsia="宋体"/>
          <w:color w:val="000000" w:themeColor="text1"/>
          <w:sz w:val="24"/>
          <w:szCs w:val="24"/>
          <w14:textFill>
            <w14:solidFill>
              <w14:schemeClr w14:val="tx1"/>
            </w14:solidFill>
          </w14:textFill>
        </w:rPr>
        <w:t>年人工智能概念提出以来，智能经济已经历三次快速发展阶段。各国政府纷纷出台产业政策，智能经济及其相关产业爆发式增长，呈现出算法不断优化、算力不断提升、数据不断增加的发展趋势。智能经济就是以人工智能算法为核心，以算力为基础，以数据为要素，实现劳动过程智能化，进一步促进生产社会化发展的经济新形态。智能经济深刻地改变生产和生活的诸多方面，尤其影响企业内部的直接生产过程。机器对人的劳动的代替不再仅仅局限于体力劳动，人工智能算法开始赋予机器越来越高的类人智能，劳动过程及相应的生产关系被重塑。要认识劳动过程的这种变化，需要以马克思主义劳动过程理论为指导。</w:t>
      </w:r>
    </w:p>
    <w:p w14:paraId="7E3F819D">
      <w:pPr>
        <w:pStyle w:val="4"/>
        <w:bidi w:val="0"/>
      </w:pPr>
      <w:r>
        <w:rPr>
          <w:rFonts w:hint="eastAsia"/>
        </w:rPr>
        <w:t>二、文献综述</w:t>
      </w:r>
    </w:p>
    <w:p w14:paraId="5193E334">
      <w:pPr>
        <w:spacing w:line="400" w:lineRule="exact"/>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智能经济的兴起也带动学界相关研究的发展。在最初阶段，智能技术与经济增长速度、就业数量波动以及劳动收入份额变化等的关系是研究的主要内容。而随着智能经济的进一步发展，关于智能技术对劳动过程的影响的研究成果开始不断涌现。</w:t>
      </w:r>
    </w:p>
    <w:p w14:paraId="4ABA8E91">
      <w:pPr>
        <w:pStyle w:val="5"/>
        <w:bidi w:val="0"/>
      </w:pPr>
      <w:r>
        <w:rPr>
          <w:rFonts w:hint="eastAsia"/>
        </w:rPr>
        <w:t>（一）国内研究综述</w:t>
      </w:r>
    </w:p>
    <w:p w14:paraId="157F3F1B">
      <w:pPr>
        <w:spacing w:line="400" w:lineRule="exact"/>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国内现有研究主要集中在智能技术对劳动分工与工人技能、劳动和生产组织形式、劳动控制与劳资关系、劳动者的主体性发挥等方面。</w:t>
      </w:r>
    </w:p>
    <w:p w14:paraId="59E1804C">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数字技术使劳动分工和工人技能发展呈现新的特点，其将现实世界中的劳动分工体系虚拟化并映射到数字世界中，而数字经济的发展会导致工人的分化，对工人素质和技能提出新的要求</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从事简单劳动的低技能工人将变成“无用阶级”,劳资之间的收入差距呈现扩大趋势</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w:t>
      </w:r>
      <w:r>
        <w:rPr>
          <w:rFonts w:hint="eastAsia" w:ascii="宋体" w:hAnsi="宋体" w:eastAsia="宋体"/>
          <w:bCs/>
          <w:color w:val="000000" w:themeColor="text1"/>
          <w:sz w:val="24"/>
          <w:szCs w:val="24"/>
          <w14:textFill>
            <w14:solidFill>
              <w14:schemeClr w14:val="tx1"/>
            </w14:solidFill>
          </w14:textFill>
        </w:rPr>
        <w:t>。</w:t>
      </w:r>
    </w:p>
    <w:p w14:paraId="16615FC4">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数字化、智能化发展也导致劳动和生产组织形式的变革，韩文龙、刘璐将数字劳动过程划分为传统雇佣经济领域下的数字劳动过程、互联网平台零工经济中的数字劳动过程、数字资本公司技术工人的数字劳动过程和非雇佣形式的产销者的数字劳动过程四种类型</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3]</w:t>
      </w:r>
      <w:r>
        <w:rPr>
          <w:rFonts w:hint="eastAsia" w:ascii="宋体" w:hAnsi="宋体" w:eastAsia="宋体"/>
          <w:bCs/>
          <w:color w:val="000000" w:themeColor="text1"/>
          <w:sz w:val="24"/>
          <w:szCs w:val="24"/>
          <w14:textFill>
            <w14:solidFill>
              <w14:schemeClr w14:val="tx1"/>
            </w14:solidFill>
          </w14:textFill>
        </w:rPr>
        <w:t>。生产组织方式也随之改变，数字技术正在重塑传统的生产模式，使生产过程逐渐网络化、协同化、生态化</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4]</w:t>
      </w:r>
      <w:r>
        <w:rPr>
          <w:rFonts w:hint="eastAsia" w:ascii="宋体" w:hAnsi="宋体" w:eastAsia="宋体"/>
          <w:bCs/>
          <w:color w:val="000000" w:themeColor="text1"/>
          <w:sz w:val="24"/>
          <w:szCs w:val="24"/>
          <w14:textFill>
            <w14:solidFill>
              <w14:schemeClr w14:val="tx1"/>
            </w14:solidFill>
          </w14:textFill>
        </w:rPr>
        <w:t>。</w:t>
      </w:r>
    </w:p>
    <w:p w14:paraId="0657CA18">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劳动和生产方式被重塑的同时，数字技术对劳动过程的控制能力也有极大的提升，劳资关系表现为工人对资本的从属增强，平台资本对劳动的控制正从专制转向霸权、从实体转向虚拟</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5]</w:t>
      </w:r>
      <w:r>
        <w:rPr>
          <w:rFonts w:hint="eastAsia" w:ascii="宋体" w:hAnsi="宋体" w:eastAsia="宋体"/>
          <w:bCs/>
          <w:color w:val="000000" w:themeColor="text1"/>
          <w:sz w:val="24"/>
          <w:szCs w:val="24"/>
          <w14:textFill>
            <w14:solidFill>
              <w14:schemeClr w14:val="tx1"/>
            </w14:solidFill>
          </w14:textFill>
        </w:rPr>
        <w:t>。智能技术在数字技术的基础上使得劳动控制进一步增强。</w:t>
      </w:r>
      <w:r>
        <w:rPr>
          <w:rFonts w:ascii="宋体" w:hAnsi="宋体" w:eastAsia="宋体"/>
          <w:bCs/>
          <w:color w:val="000000" w:themeColor="text1"/>
          <w:sz w:val="24"/>
          <w:szCs w:val="24"/>
          <w14:textFill>
            <w14:solidFill>
              <w14:schemeClr w14:val="tx1"/>
            </w14:solidFill>
          </w14:textFill>
        </w:rPr>
        <w:t>杨善奇</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刘岩</w:t>
      </w:r>
      <w:r>
        <w:rPr>
          <w:rFonts w:hint="eastAsia" w:ascii="宋体" w:hAnsi="宋体" w:eastAsia="宋体"/>
          <w:bCs/>
          <w:color w:val="000000" w:themeColor="text1"/>
          <w:sz w:val="24"/>
          <w:szCs w:val="24"/>
          <w14:textFill>
            <w14:solidFill>
              <w14:schemeClr w14:val="tx1"/>
            </w14:solidFill>
          </w14:textFill>
        </w:rPr>
        <w:t>从任务分配、劳动过程监管、绩效考核和非雇佣化无酬劳动四个方面考察智能算法对劳动过程控制的强化</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6]</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算法将传统数字资本主义升级为“自动化新自由主义”，其算法政治和算法文化凝聚而成的算法霸权，仍服务于数字资本增殖</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7]</w:t>
      </w:r>
      <w:r>
        <w:rPr>
          <w:rFonts w:ascii="宋体" w:hAnsi="宋体" w:eastAsia="宋体"/>
          <w:bCs/>
          <w:color w:val="000000" w:themeColor="text1"/>
          <w:sz w:val="24"/>
          <w:szCs w:val="24"/>
          <w14:textFill>
            <w14:solidFill>
              <w14:schemeClr w14:val="tx1"/>
            </w14:solidFill>
          </w14:textFill>
        </w:rPr>
        <w:t>。</w:t>
      </w:r>
      <w:r>
        <w:rPr>
          <w:rFonts w:hint="eastAsia" w:ascii="宋体" w:hAnsi="宋体" w:eastAsia="宋体"/>
          <w:bCs/>
          <w:color w:val="000000" w:themeColor="text1"/>
          <w:sz w:val="24"/>
          <w:szCs w:val="24"/>
          <w14:textFill>
            <w14:solidFill>
              <w14:schemeClr w14:val="tx1"/>
            </w14:solidFill>
          </w14:textFill>
        </w:rPr>
        <w:t>劳动控制的强化也导致劳资关系的新表现。数字经济时代灵活就业发展迅速，由此也导致劳动产品归属方式权属不明，劳动者权益无法得到有效保障</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8]</w:t>
      </w:r>
      <w:r>
        <w:rPr>
          <w:rFonts w:hint="eastAsia" w:ascii="宋体" w:hAnsi="宋体" w:eastAsia="宋体"/>
          <w:bCs/>
          <w:color w:val="000000" w:themeColor="text1"/>
          <w:sz w:val="24"/>
          <w:szCs w:val="24"/>
          <w14:textFill>
            <w14:solidFill>
              <w14:schemeClr w14:val="tx1"/>
            </w14:solidFill>
          </w14:textFill>
        </w:rPr>
        <w:t>。这种控制的强化也阻碍工人主体性的彰显。</w:t>
      </w:r>
    </w:p>
    <w:p w14:paraId="61AAA5BB">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以人工智能为核心的数字技术被资本所利用，会阻碍劳动者的主体性发挥，从而导致劳动的新异化，例如“主动性受迫劳动”等</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9]</w:t>
      </w:r>
      <w:r>
        <w:rPr>
          <w:rFonts w:hint="eastAsia" w:ascii="宋体" w:hAnsi="宋体" w:eastAsia="宋体"/>
          <w:bCs/>
          <w:color w:val="000000" w:themeColor="text1"/>
          <w:sz w:val="24"/>
          <w:szCs w:val="24"/>
          <w14:textFill>
            <w14:solidFill>
              <w14:schemeClr w14:val="tx1"/>
            </w14:solidFill>
          </w14:textFill>
        </w:rPr>
        <w:t>。表面上看是劳动过程的自由度增加，实质上是工人主体性的降低。资本主义社会中的数字劳动是以</w:t>
      </w:r>
      <w:r>
        <w:rPr>
          <w:rFonts w:ascii="宋体" w:hAnsi="宋体" w:eastAsia="宋体"/>
          <w:bCs/>
          <w:color w:val="000000" w:themeColor="text1"/>
          <w:sz w:val="24"/>
          <w:szCs w:val="24"/>
          <w14:textFill>
            <w14:solidFill>
              <w14:schemeClr w14:val="tx1"/>
            </w14:solidFill>
          </w14:textFill>
        </w:rPr>
        <w:t>异化</w:t>
      </w:r>
      <w:r>
        <w:rPr>
          <w:rFonts w:hint="eastAsia" w:ascii="宋体" w:hAnsi="宋体" w:eastAsia="宋体"/>
          <w:bCs/>
          <w:color w:val="000000" w:themeColor="text1"/>
          <w:sz w:val="24"/>
          <w:szCs w:val="24"/>
          <w14:textFill>
            <w14:solidFill>
              <w14:schemeClr w14:val="tx1"/>
            </w14:solidFill>
          </w14:textFill>
        </w:rPr>
        <w:t>于工人自己、劳动客体以及劳动产品的四重异化为基础</w:t>
      </w:r>
      <w:r>
        <w:rPr>
          <w:rFonts w:ascii="宋体" w:hAnsi="宋体" w:eastAsia="宋体"/>
          <w:bCs/>
          <w:color w:val="000000" w:themeColor="text1"/>
          <w:sz w:val="24"/>
          <w:szCs w:val="24"/>
          <w14:textFill>
            <w14:solidFill>
              <w14:schemeClr w14:val="tx1"/>
            </w14:solidFill>
          </w14:textFill>
        </w:rPr>
        <w:t>的数字工作</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10]</w:t>
      </w:r>
      <w:r>
        <w:rPr>
          <w:rFonts w:hint="eastAsia" w:ascii="宋体" w:hAnsi="宋体" w:eastAsia="宋体"/>
          <w:bCs/>
          <w:color w:val="000000" w:themeColor="text1"/>
          <w:sz w:val="24"/>
          <w:szCs w:val="24"/>
          <w14:textFill>
            <w14:solidFill>
              <w14:schemeClr w14:val="tx1"/>
            </w14:solidFill>
          </w14:textFill>
        </w:rPr>
        <w:t>。平台资本通过大数据等技术手段、惩罚奖励等制度建设以及文化宣传等多种方式加强了对劳动过程的控制，而劳动者主体性多表现为被动反抗以及极端情况下的抗争，整体来看难以彰显</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11]</w:t>
      </w:r>
      <w:r>
        <w:rPr>
          <w:rFonts w:hint="eastAsia" w:ascii="宋体" w:hAnsi="宋体" w:eastAsia="宋体"/>
          <w:bCs/>
          <w:color w:val="000000" w:themeColor="text1"/>
          <w:sz w:val="24"/>
          <w:szCs w:val="24"/>
          <w14:textFill>
            <w14:solidFill>
              <w14:schemeClr w14:val="tx1"/>
            </w14:solidFill>
          </w14:textFill>
        </w:rPr>
        <w:t>。</w:t>
      </w:r>
    </w:p>
    <w:p w14:paraId="1B10B979">
      <w:pPr>
        <w:pStyle w:val="5"/>
        <w:bidi w:val="0"/>
      </w:pPr>
      <w:r>
        <w:rPr>
          <w:rFonts w:hint="eastAsia"/>
        </w:rPr>
        <w:t>（二）国外研究综述</w:t>
      </w:r>
    </w:p>
    <w:p w14:paraId="4B858DAB">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国外学者关于劳动过程与劳动控制的研究成果也较为丰富。劳动过程的数字化突出表现在平台经济中，其劳动控制也呈现出数字化的特征。</w:t>
      </w:r>
      <w:r>
        <w:rPr>
          <w:rFonts w:ascii="宋体" w:hAnsi="宋体" w:eastAsia="宋体"/>
          <w:bCs/>
          <w:color w:val="000000" w:themeColor="text1"/>
          <w:sz w:val="24"/>
          <w:szCs w:val="24"/>
          <w14:textFill>
            <w14:solidFill>
              <w14:schemeClr w14:val="tx1"/>
            </w14:solidFill>
          </w14:textFill>
        </w:rPr>
        <w:t>Paula McDonald</w:t>
      </w:r>
      <w:r>
        <w:rPr>
          <w:rFonts w:hint="eastAsia" w:ascii="宋体" w:hAnsi="宋体" w:eastAsia="宋体"/>
          <w:bCs/>
          <w:color w:val="000000" w:themeColor="text1"/>
          <w:sz w:val="24"/>
          <w:szCs w:val="24"/>
          <w14:textFill>
            <w14:solidFill>
              <w14:schemeClr w14:val="tx1"/>
            </w14:solidFill>
          </w14:textFill>
        </w:rPr>
        <w:t>等运用劳动过程理论研究澳大利亚护理服务的数字平台对劳动过程的四种控制手段</w:t>
      </w:r>
      <w:r>
        <w:rPr>
          <w:rFonts w:ascii="宋体" w:hAnsi="宋体" w:eastAsia="宋体"/>
          <w:bCs/>
          <w:color w:val="000000" w:themeColor="text1"/>
          <w:sz w:val="24"/>
          <w:szCs w:val="24"/>
          <w14:textFill>
            <w14:solidFill>
              <w14:schemeClr w14:val="tx1"/>
            </w14:solidFill>
          </w14:textFill>
        </w:rPr>
        <w:t>,</w:t>
      </w:r>
      <w:r>
        <w:rPr>
          <w:rFonts w:hint="eastAsia" w:ascii="宋体" w:hAnsi="宋体" w:eastAsia="宋体"/>
          <w:bCs/>
          <w:color w:val="000000" w:themeColor="text1"/>
          <w:sz w:val="24"/>
          <w:szCs w:val="24"/>
          <w14:textFill>
            <w14:solidFill>
              <w14:schemeClr w14:val="tx1"/>
            </w14:solidFill>
          </w14:textFill>
        </w:rPr>
        <w:t>彰显了</w:t>
      </w:r>
      <w:r>
        <w:rPr>
          <w:rFonts w:ascii="宋体" w:hAnsi="宋体" w:eastAsia="宋体"/>
          <w:bCs/>
          <w:color w:val="000000" w:themeColor="text1"/>
          <w:sz w:val="24"/>
          <w:szCs w:val="24"/>
          <w14:textFill>
            <w14:solidFill>
              <w14:schemeClr w14:val="tx1"/>
            </w14:solidFill>
          </w14:textFill>
        </w:rPr>
        <w:t>劳动过程理论对</w:t>
      </w:r>
      <w:r>
        <w:rPr>
          <w:rFonts w:hint="eastAsia" w:ascii="宋体" w:hAnsi="宋体" w:eastAsia="宋体"/>
          <w:bCs/>
          <w:color w:val="000000" w:themeColor="text1"/>
          <w:sz w:val="24"/>
          <w:szCs w:val="24"/>
          <w14:textFill>
            <w14:solidFill>
              <w14:schemeClr w14:val="tx1"/>
            </w14:solidFill>
          </w14:textFill>
        </w:rPr>
        <w:t>当代新兴</w:t>
      </w:r>
      <w:r>
        <w:rPr>
          <w:rFonts w:ascii="宋体" w:hAnsi="宋体" w:eastAsia="宋体"/>
          <w:bCs/>
          <w:color w:val="000000" w:themeColor="text1"/>
          <w:sz w:val="24"/>
          <w:szCs w:val="24"/>
          <w14:textFill>
            <w14:solidFill>
              <w14:schemeClr w14:val="tx1"/>
            </w14:solidFill>
          </w14:textFill>
        </w:rPr>
        <w:t>工作和劳</w:t>
      </w:r>
      <w:r>
        <w:rPr>
          <w:rFonts w:hint="eastAsia" w:ascii="宋体" w:hAnsi="宋体" w:eastAsia="宋体"/>
          <w:bCs/>
          <w:color w:val="000000" w:themeColor="text1"/>
          <w:sz w:val="24"/>
          <w:szCs w:val="24"/>
          <w14:textFill>
            <w14:solidFill>
              <w14:schemeClr w14:val="tx1"/>
            </w14:solidFill>
          </w14:textFill>
        </w:rPr>
        <w:t>动形式的解释力</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12]</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Alex Veen</w:t>
      </w:r>
      <w:r>
        <w:rPr>
          <w:rFonts w:hint="eastAsia" w:ascii="宋体" w:hAnsi="宋体" w:eastAsia="宋体"/>
          <w:bCs/>
          <w:color w:val="000000" w:themeColor="text1"/>
          <w:sz w:val="24"/>
          <w:szCs w:val="24"/>
          <w14:textFill>
            <w14:solidFill>
              <w14:schemeClr w14:val="tx1"/>
            </w14:solidFill>
          </w14:textFill>
        </w:rPr>
        <w:t>等则以食品配送平台为例，揭示资本对劳动过程的控制不仅是算法管理还是多面性的</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13]</w:t>
      </w:r>
      <w:r>
        <w:rPr>
          <w:rFonts w:hint="eastAsia" w:ascii="宋体" w:hAnsi="宋体" w:eastAsia="宋体"/>
          <w:bCs/>
          <w:color w:val="000000" w:themeColor="text1"/>
          <w:sz w:val="24"/>
          <w:szCs w:val="24"/>
          <w14:textFill>
            <w14:solidFill>
              <w14:schemeClr w14:val="tx1"/>
            </w14:solidFill>
          </w14:textFill>
        </w:rPr>
        <w:t>。也有不少学者聚焦于将劳动过程理论应用于数字化的劳动过程本身。</w:t>
      </w:r>
      <w:r>
        <w:rPr>
          <w:rFonts w:ascii="宋体" w:hAnsi="宋体" w:eastAsia="宋体"/>
          <w:bCs/>
          <w:color w:val="000000" w:themeColor="text1"/>
          <w:sz w:val="24"/>
          <w:szCs w:val="24"/>
          <w14:textFill>
            <w14:solidFill>
              <w14:schemeClr w14:val="tx1"/>
            </w14:solidFill>
          </w14:textFill>
        </w:rPr>
        <w:t>Kathryn Hayes</w:t>
      </w:r>
      <w:r>
        <w:rPr>
          <w:rFonts w:hint="eastAsia" w:ascii="宋体" w:hAnsi="宋体" w:eastAsia="宋体"/>
          <w:bCs/>
          <w:color w:val="000000" w:themeColor="text1"/>
          <w:sz w:val="24"/>
          <w:szCs w:val="24"/>
          <w14:textFill>
            <w14:solidFill>
              <w14:schemeClr w14:val="tx1"/>
            </w14:solidFill>
          </w14:textFill>
        </w:rPr>
        <w:t>从劳动过程理论出发，考虑数字化劳动力和工作过程之间的联系，以探索数字化对记者工作方式的影响</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14]</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Greenhill A</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Fletcher G.</w:t>
      </w:r>
      <w:r>
        <w:rPr>
          <w:rFonts w:hint="eastAsia" w:ascii="宋体" w:hAnsi="宋体" w:eastAsia="宋体"/>
          <w:bCs/>
          <w:color w:val="000000" w:themeColor="text1"/>
          <w:sz w:val="24"/>
          <w:szCs w:val="24"/>
          <w14:textFill>
            <w14:solidFill>
              <w14:schemeClr w14:val="tx1"/>
            </w14:solidFill>
          </w14:textFill>
        </w:rPr>
        <w:t>探讨了虚拟游戏世界中的劳动实践，以探索劳动和工作的概念在信息系统领域的呈现，并检验现有的劳动过程理论在虚拟世界的问题性和扩展性空间中的稳健性</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15]</w:t>
      </w:r>
      <w:r>
        <w:rPr>
          <w:rFonts w:hint="eastAsia" w:ascii="宋体" w:hAnsi="宋体" w:eastAsia="宋体"/>
          <w:bCs/>
          <w:color w:val="000000" w:themeColor="text1"/>
          <w:sz w:val="24"/>
          <w:szCs w:val="24"/>
          <w14:textFill>
            <w14:solidFill>
              <w14:schemeClr w14:val="tx1"/>
            </w14:solidFill>
          </w14:textFill>
        </w:rPr>
        <w:t>。</w:t>
      </w:r>
    </w:p>
    <w:p w14:paraId="27885D35">
      <w:pPr>
        <w:pStyle w:val="5"/>
        <w:bidi w:val="0"/>
      </w:pPr>
      <w:r>
        <w:rPr>
          <w:rFonts w:hint="eastAsia"/>
        </w:rPr>
        <w:t>（三）现有研究的不足</w:t>
      </w:r>
    </w:p>
    <w:p w14:paraId="5293DFFE">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国外研究以劳动过程理论为基础，这得益于西方劳动过程理论自上世纪七十年代以来的发展。不少学者也曾向国内学界介绍西方劳动过程理论的主要观点和发展脉络，并以此为基础对中国当代劳动过程相关发展进行分析。然而，西方劳动过程理论在发展过程中存在背离马克思主义之处，这在后文关于劳动过程理论的发展部分还会提及。</w:t>
      </w:r>
    </w:p>
    <w:p w14:paraId="424F9FCD">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国内不少研究以马克思主义劳动过程理论为基础，但马克思关于劳动过程的论述散落于诸多著作中，后续发展过程中同样存在类似问题，故而相关研究难以对劳动过程进行系统的分析。因此，提炼马克思主义劳动过程理论的基本内容并以此为理论基础对智能经济下劳动过程的变化进行全面的分析就十分必要。另外，智能技术在劳动过程中的应用既可能促进</w:t>
      </w:r>
      <w:r>
        <w:rPr>
          <w:rFonts w:ascii="宋体" w:hAnsi="宋体" w:eastAsia="宋体"/>
          <w:bCs/>
          <w:color w:val="000000" w:themeColor="text1"/>
          <w:sz w:val="24"/>
          <w:szCs w:val="24"/>
          <w14:textFill>
            <w14:solidFill>
              <w14:schemeClr w14:val="tx1"/>
            </w14:solidFill>
          </w14:textFill>
        </w:rPr>
        <w:t>劳动解放</w:t>
      </w:r>
      <w:r>
        <w:rPr>
          <w:rFonts w:hint="eastAsia" w:ascii="宋体" w:hAnsi="宋体" w:eastAsia="宋体"/>
          <w:bCs/>
          <w:color w:val="000000" w:themeColor="text1"/>
          <w:sz w:val="24"/>
          <w:szCs w:val="24"/>
          <w14:textFill>
            <w14:solidFill>
              <w14:schemeClr w14:val="tx1"/>
            </w14:solidFill>
          </w14:textFill>
        </w:rPr>
        <w:t>和</w:t>
      </w:r>
      <w:r>
        <w:rPr>
          <w:rFonts w:ascii="宋体" w:hAnsi="宋体" w:eastAsia="宋体"/>
          <w:bCs/>
          <w:color w:val="000000" w:themeColor="text1"/>
          <w:sz w:val="24"/>
          <w:szCs w:val="24"/>
          <w14:textFill>
            <w14:solidFill>
              <w14:schemeClr w14:val="tx1"/>
            </w14:solidFill>
          </w14:textFill>
        </w:rPr>
        <w:t>劳动能力发展，也</w:t>
      </w:r>
      <w:r>
        <w:rPr>
          <w:rFonts w:hint="eastAsia" w:ascii="宋体" w:hAnsi="宋体" w:eastAsia="宋体"/>
          <w:bCs/>
          <w:color w:val="000000" w:themeColor="text1"/>
          <w:sz w:val="24"/>
          <w:szCs w:val="24"/>
          <w14:textFill>
            <w14:solidFill>
              <w14:schemeClr w14:val="tx1"/>
            </w14:solidFill>
          </w14:textFill>
        </w:rPr>
        <w:t>可能导致</w:t>
      </w:r>
      <w:r>
        <w:rPr>
          <w:rFonts w:ascii="宋体" w:hAnsi="宋体" w:eastAsia="宋体"/>
          <w:bCs/>
          <w:color w:val="000000" w:themeColor="text1"/>
          <w:sz w:val="24"/>
          <w:szCs w:val="24"/>
          <w14:textFill>
            <w14:solidFill>
              <w14:schemeClr w14:val="tx1"/>
            </w14:solidFill>
          </w14:textFill>
        </w:rPr>
        <w:t>劳动权利丧失、劳动强度增大、劳动能力退化</w:t>
      </w:r>
      <w:r>
        <w:rPr>
          <w:rFonts w:hint="eastAsia" w:ascii="宋体" w:hAnsi="宋体" w:eastAsia="宋体"/>
          <w:bCs/>
          <w:color w:val="000000" w:themeColor="text1"/>
          <w:sz w:val="24"/>
          <w:szCs w:val="24"/>
          <w14:textFill>
            <w14:solidFill>
              <w14:schemeClr w14:val="tx1"/>
            </w14:solidFill>
          </w14:textFill>
        </w:rPr>
        <w:t>等一系列问题</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16]</w:t>
      </w:r>
      <w:r>
        <w:rPr>
          <w:rFonts w:ascii="宋体" w:hAnsi="宋体" w:eastAsia="宋体"/>
          <w:bCs/>
          <w:color w:val="000000" w:themeColor="text1"/>
          <w:sz w:val="24"/>
          <w:szCs w:val="24"/>
          <w14:textFill>
            <w14:solidFill>
              <w14:schemeClr w14:val="tx1"/>
            </w14:solidFill>
          </w14:textFill>
        </w:rPr>
        <w:t>。</w:t>
      </w:r>
      <w:r>
        <w:rPr>
          <w:rFonts w:hint="eastAsia" w:ascii="宋体" w:hAnsi="宋体" w:eastAsia="宋体"/>
          <w:bCs/>
          <w:color w:val="000000" w:themeColor="text1"/>
          <w:sz w:val="24"/>
          <w:szCs w:val="24"/>
          <w14:textFill>
            <w14:solidFill>
              <w14:schemeClr w14:val="tx1"/>
            </w14:solidFill>
          </w14:textFill>
        </w:rPr>
        <w:t>然而从现有研究来看，国内相关研究主要集中在对资本主义私有制生产方式下的批判，而忽视了智能技术对社会主义市场经济公有制企业中的劳动过程的影响。区分智能经济下社会主义市场经济中不同所有制企业内部劳动过程变化的不同特征，对于全面分析智能经济对劳动过程的影响和发挥社会主义市场经济的优势以及推动中国式现代化建设具有重要意义。</w:t>
      </w:r>
    </w:p>
    <w:p w14:paraId="7AB7CF0E">
      <w:pPr>
        <w:pStyle w:val="4"/>
        <w:bidi w:val="0"/>
      </w:pPr>
      <w:r>
        <w:rPr>
          <w:rFonts w:hint="eastAsia"/>
        </w:rPr>
        <w:t>三、马克思主义劳动过程理论的创立和发展</w:t>
      </w:r>
    </w:p>
    <w:p w14:paraId="3A5FEDF9">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劳动过程理论由马克思创立，其理论框架可以概括为：要素组织、过程管理和所有制关系。经过马克思主义经典作家的发展，劳动过程理论内容逐渐丰富。西方学界将劳动过程作为专门的研究领域，但也有背离马克思主义理论。</w:t>
      </w:r>
    </w:p>
    <w:p w14:paraId="4FD5F4E2">
      <w:pPr>
        <w:pStyle w:val="5"/>
        <w:bidi w:val="0"/>
      </w:pPr>
      <w:r>
        <w:rPr>
          <w:rFonts w:hint="eastAsia"/>
        </w:rPr>
        <w:t>（一）劳动过程理论的创立</w:t>
      </w:r>
    </w:p>
    <w:p w14:paraId="2B1DF9EF">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t>在创立劳动过程理论</w:t>
      </w:r>
      <w:r>
        <w:rPr>
          <w:rFonts w:hint="eastAsia" w:ascii="宋体" w:hAnsi="宋体" w:eastAsia="宋体"/>
          <w:color w:val="000000" w:themeColor="text1"/>
          <w:sz w:val="24"/>
          <w:szCs w:val="24"/>
          <w14:textFill>
            <w14:solidFill>
              <w14:schemeClr w14:val="tx1"/>
            </w14:solidFill>
          </w14:textFill>
        </w:rPr>
        <w:t>时，</w:t>
      </w:r>
      <w:r>
        <w:rPr>
          <w:rFonts w:ascii="宋体" w:hAnsi="宋体" w:eastAsia="宋体"/>
          <w:color w:val="000000" w:themeColor="text1"/>
          <w:sz w:val="24"/>
          <w:szCs w:val="24"/>
          <w14:textFill>
            <w14:solidFill>
              <w14:schemeClr w14:val="tx1"/>
            </w14:solidFill>
          </w14:textFill>
        </w:rPr>
        <w:t>马克思遵循从简单抽象到丰富具体的路径，先论述劳动过程的一般，再具体到资本主义劳动过程。</w:t>
      </w:r>
    </w:p>
    <w:p w14:paraId="3A96B7C6">
      <w:pPr>
        <w:spacing w:line="300" w:lineRule="auto"/>
        <w:ind w:firstLine="480" w:firstLineChars="200"/>
        <w:rPr>
          <w:rFonts w:ascii="宋体" w:hAnsi="宋体" w:eastAsia="宋体"/>
          <w:b/>
          <w:bCs/>
          <w:color w:val="000000" w:themeColor="text1"/>
          <w:sz w:val="24"/>
          <w:szCs w:val="24"/>
          <w14:textFill>
            <w14:solidFill>
              <w14:schemeClr w14:val="tx1"/>
            </w14:solidFill>
          </w14:textFill>
        </w:rPr>
      </w:pPr>
      <w:r>
        <w:rPr>
          <w:rFonts w:ascii="宋体" w:hAnsi="宋体" w:eastAsia="宋体"/>
          <w:b/>
          <w:bCs/>
          <w:color w:val="000000" w:themeColor="text1"/>
          <w:sz w:val="24"/>
          <w:szCs w:val="24"/>
          <w14:textFill>
            <w14:solidFill>
              <w14:schemeClr w14:val="tx1"/>
            </w14:solidFill>
          </w14:textFill>
        </w:rPr>
        <w:t>1</w:t>
      </w:r>
      <w:r>
        <w:rPr>
          <w:rFonts w:hint="eastAsia" w:ascii="宋体" w:hAnsi="宋体" w:eastAsia="宋体"/>
          <w:b/>
          <w:bCs/>
          <w:color w:val="000000" w:themeColor="text1"/>
          <w:sz w:val="24"/>
          <w:szCs w:val="24"/>
          <w14:textFill>
            <w14:solidFill>
              <w14:schemeClr w14:val="tx1"/>
            </w14:solidFill>
          </w14:textFill>
        </w:rPr>
        <w:t>.</w:t>
      </w:r>
      <w:r>
        <w:rPr>
          <w:rFonts w:ascii="宋体" w:hAnsi="宋体" w:eastAsia="宋体"/>
          <w:b/>
          <w:bCs/>
          <w:color w:val="000000" w:themeColor="text1"/>
          <w:sz w:val="24"/>
          <w:szCs w:val="24"/>
          <w14:textFill>
            <w14:solidFill>
              <w14:schemeClr w14:val="tx1"/>
            </w14:solidFill>
          </w14:textFill>
        </w:rPr>
        <w:t>劳动过程的要素构成与组织形式</w:t>
      </w:r>
    </w:p>
    <w:p w14:paraId="68BEE519">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“劳动过程，就我们在上面把它描述为它的简单的、抽象的要素来说，是制造使用价值的有目的的活动”</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17]215</w:t>
      </w:r>
      <w:r>
        <w:rPr>
          <w:rFonts w:hint="eastAsia" w:ascii="宋体" w:hAnsi="宋体" w:eastAsia="宋体"/>
          <w:color w:val="000000" w:themeColor="text1"/>
          <w:sz w:val="24"/>
          <w:szCs w:val="24"/>
          <w14:textFill>
            <w14:solidFill>
              <w14:schemeClr w14:val="tx1"/>
            </w14:solidFill>
          </w14:textFill>
        </w:rPr>
        <w:t>，是一切社会形式所共有的，这里涉及的主要是构成劳动过程的诸多要素及其技术组织形式。</w:t>
      </w:r>
      <w:r>
        <w:rPr>
          <w:rFonts w:ascii="宋体" w:hAnsi="宋体" w:eastAsia="宋体"/>
          <w:color w:val="000000" w:themeColor="text1"/>
          <w:sz w:val="24"/>
          <w:szCs w:val="24"/>
          <w14:textFill>
            <w14:solidFill>
              <w14:schemeClr w14:val="tx1"/>
            </w14:solidFill>
          </w14:textFill>
        </w:rPr>
        <w:t>“劳动过程的简单要素是：有目的的活动或劳动本身，劳动对象和劳动资料</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[17]208</w:t>
      </w:r>
      <w:r>
        <w:rPr>
          <w:rFonts w:hint="eastAsia" w:ascii="宋体" w:hAnsi="宋体" w:eastAsia="宋体"/>
          <w:color w:val="000000" w:themeColor="text1"/>
          <w:sz w:val="24"/>
          <w:szCs w:val="24"/>
          <w14:textFill>
            <w14:solidFill>
              <w14:schemeClr w14:val="tx1"/>
            </w14:solidFill>
          </w14:textFill>
        </w:rPr>
        <w:t>从静态来看，劳动过程由物的要素和人的要素按照一定的技术组织形式和社会组织形式构成。这种静态结构是劳动过程得以进行的前提，因而也是劳动过程理论的首要研究内容。劳动过程的技术组织形式从质和量上决定物的要素之间以及物的要素与人的要素的结合。人的要素之间的结合方式则属于社会组织形式。</w:t>
      </w:r>
    </w:p>
    <w:p w14:paraId="77C84F27">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技术组织形式决定生产的规模和方式，为社会组织形式的发展提供了可能。这种可能性的实现会受到所有制关系的影响。“手推磨产生的是封建主的社会，蒸汽磨产生的是工业资本家的社会。”</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18]602</w:t>
      </w:r>
      <w:r>
        <w:rPr>
          <w:rFonts w:hint="eastAsia" w:ascii="宋体" w:hAnsi="宋体" w:eastAsia="宋体"/>
          <w:color w:val="000000" w:themeColor="text1"/>
          <w:sz w:val="24"/>
          <w:szCs w:val="24"/>
          <w14:textFill>
            <w14:solidFill>
              <w14:schemeClr w14:val="tx1"/>
            </w14:solidFill>
          </w14:textFill>
        </w:rPr>
        <w:t>在劳动者拥有生产资料或者小业主生产时期，劳动过程往往还只是劳动者个人的事情。随着资本主义所有制确立，协作逐渐成为劳动过程的社会组织形式。“人数较多的工人在同一时间、同一空间（或者说同一劳动场所），为了生产同种商品，在同一资本家的指挥下工作，这在历史上和概念上都是资本主义生产的起点。”</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w:t>
      </w:r>
      <w:r>
        <w:rPr>
          <w:rFonts w:hint="eastAsia" w:ascii="宋体" w:hAnsi="宋体" w:eastAsia="宋体"/>
          <w:color w:val="000000" w:themeColor="text1"/>
          <w:sz w:val="24"/>
          <w:szCs w:val="24"/>
          <w:vertAlign w:val="superscript"/>
          <w14:textFill>
            <w14:solidFill>
              <w14:schemeClr w14:val="tx1"/>
            </w14:solidFill>
          </w14:textFill>
        </w:rPr>
        <w:t>3</w:t>
      </w:r>
      <w:r>
        <w:rPr>
          <w:rFonts w:ascii="宋体" w:hAnsi="宋体" w:eastAsia="宋体"/>
          <w:color w:val="000000" w:themeColor="text1"/>
          <w:sz w:val="24"/>
          <w:szCs w:val="24"/>
          <w:vertAlign w:val="superscript"/>
          <w14:textFill>
            <w14:solidFill>
              <w14:schemeClr w14:val="tx1"/>
            </w14:solidFill>
          </w14:textFill>
        </w:rPr>
        <w:t>74</w:t>
      </w:r>
      <w:r>
        <w:rPr>
          <w:rFonts w:hint="eastAsia" w:ascii="宋体" w:hAnsi="宋体" w:eastAsia="宋体"/>
          <w:color w:val="000000" w:themeColor="text1"/>
          <w:sz w:val="24"/>
          <w:szCs w:val="24"/>
          <w14:textFill>
            <w14:solidFill>
              <w14:schemeClr w14:val="tx1"/>
            </w14:solidFill>
          </w14:textFill>
        </w:rPr>
        <w:t>生产的社会化或者说协作是资本主义劳动过程社会组织形式的基本特征，这种协作是基于雇佣劳动制度的。</w:t>
      </w:r>
    </w:p>
    <w:p w14:paraId="7D77C408">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b/>
          <w:bCs/>
          <w:color w:val="000000" w:themeColor="text1"/>
          <w:sz w:val="24"/>
          <w:szCs w:val="24"/>
          <w14:textFill>
            <w14:solidFill>
              <w14:schemeClr w14:val="tx1"/>
            </w14:solidFill>
          </w14:textFill>
        </w:rPr>
        <w:t>2</w:t>
      </w:r>
      <w:r>
        <w:rPr>
          <w:rFonts w:hint="eastAsia" w:ascii="宋体" w:hAnsi="宋体" w:eastAsia="宋体"/>
          <w:b/>
          <w:bCs/>
          <w:color w:val="000000" w:themeColor="text1"/>
          <w:sz w:val="24"/>
          <w:szCs w:val="24"/>
          <w14:textFill>
            <w14:solidFill>
              <w14:schemeClr w14:val="tx1"/>
            </w14:solidFill>
          </w14:textFill>
        </w:rPr>
        <w:t>.劳动过程中要素运动及其管理</w:t>
      </w:r>
    </w:p>
    <w:p w14:paraId="4E626240">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劳动过程并不是要素的静态组合，而是劳动者与生产资料相互结合、共同运动的动态过程。作为动态过程的劳动过程要受到管理，这不仅是生产的技术条件的要求，同时也是生产资料所有者经济利益的体现。参与劳动过程的要素带有各自的所有制特征，作为要素运动的总和的劳动过程同样存在归谁所有的问题，因而也就涉及由谁来管理和如何管理的问题。</w:t>
      </w:r>
    </w:p>
    <w:p w14:paraId="06F2F2D7">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资本主义条件下，技术服务于资本增殖，资本家借助机器的大规模应用来延长劳动时间、提高劳动强度，劳动者丧失其主体性，逐渐沦为机器的附庸。机器“作为资本的承担者，首先在它直接占领的工业中，成了把工作日延长到超过一切自然界限的最有力的手段”</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17]463</w:t>
      </w:r>
      <w:r>
        <w:rPr>
          <w:rFonts w:hint="eastAsia" w:ascii="宋体" w:hAnsi="宋体" w:eastAsia="宋体"/>
          <w:color w:val="000000" w:themeColor="text1"/>
          <w:sz w:val="24"/>
          <w:szCs w:val="24"/>
          <w14:textFill>
            <w14:solidFill>
              <w14:schemeClr w14:val="tx1"/>
            </w14:solidFill>
          </w14:textFill>
        </w:rPr>
        <w:t>。这种劳动时间的延长往往还伴随着劳动强度的提高。“随着机器的进步和机器工人这一特殊类别工人的经验积累，劳动的速度，从而劳动的强度，自然也会增加。”</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17]471</w:t>
      </w:r>
      <w:r>
        <w:rPr>
          <w:rFonts w:hint="eastAsia" w:ascii="宋体" w:hAnsi="宋体" w:eastAsia="宋体"/>
          <w:color w:val="000000" w:themeColor="text1"/>
          <w:sz w:val="24"/>
          <w:szCs w:val="24"/>
          <w14:textFill>
            <w14:solidFill>
              <w14:schemeClr w14:val="tx1"/>
            </w14:solidFill>
          </w14:textFill>
        </w:rPr>
        <w:t>资本的积累带来生产规模的扩大，工人之间的协作也快速发展，而“一旦从属于资本的劳动成为协作劳动，这种管理、监督和调节的职能就成为资本的职能”</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17]384</w:t>
      </w:r>
      <w:r>
        <w:rPr>
          <w:rFonts w:hint="eastAsia" w:ascii="宋体" w:hAnsi="宋体" w:eastAsia="宋体"/>
          <w:color w:val="000000" w:themeColor="text1"/>
          <w:sz w:val="24"/>
          <w:szCs w:val="24"/>
          <w14:textFill>
            <w14:solidFill>
              <w14:schemeClr w14:val="tx1"/>
            </w14:solidFill>
          </w14:textFill>
        </w:rPr>
        <w:t>。资本对劳动过程的管理的根本目的在于资本增殖，雇佣工人不能有自己的意志而必须服从于资本，工人逐渐沦为机器的附庸。</w:t>
      </w:r>
    </w:p>
    <w:p w14:paraId="34E0793C">
      <w:pPr>
        <w:spacing w:line="300" w:lineRule="auto"/>
        <w:ind w:firstLine="480" w:firstLineChars="200"/>
        <w:rPr>
          <w:rFonts w:ascii="宋体" w:hAnsi="宋体" w:eastAsia="宋体"/>
          <w:b/>
          <w:bCs/>
          <w:color w:val="000000" w:themeColor="text1"/>
          <w:sz w:val="24"/>
          <w:szCs w:val="24"/>
          <w14:textFill>
            <w14:solidFill>
              <w14:schemeClr w14:val="tx1"/>
            </w14:solidFill>
          </w14:textFill>
        </w:rPr>
      </w:pPr>
      <w:r>
        <w:rPr>
          <w:rFonts w:ascii="宋体" w:hAnsi="宋体" w:eastAsia="宋体"/>
          <w:b/>
          <w:bCs/>
          <w:color w:val="000000" w:themeColor="text1"/>
          <w:sz w:val="24"/>
          <w:szCs w:val="24"/>
          <w14:textFill>
            <w14:solidFill>
              <w14:schemeClr w14:val="tx1"/>
            </w14:solidFill>
          </w14:textFill>
        </w:rPr>
        <w:t>3</w:t>
      </w:r>
      <w:r>
        <w:rPr>
          <w:rFonts w:hint="eastAsia" w:ascii="宋体" w:hAnsi="宋体" w:eastAsia="宋体"/>
          <w:b/>
          <w:bCs/>
          <w:color w:val="000000" w:themeColor="text1"/>
          <w:sz w:val="24"/>
          <w:szCs w:val="24"/>
          <w14:textFill>
            <w14:solidFill>
              <w14:schemeClr w14:val="tx1"/>
            </w14:solidFill>
          </w14:textFill>
        </w:rPr>
        <w:t>.</w:t>
      </w:r>
      <w:r>
        <w:rPr>
          <w:rFonts w:ascii="宋体" w:hAnsi="宋体" w:eastAsia="宋体"/>
          <w:b/>
          <w:bCs/>
          <w:color w:val="000000" w:themeColor="text1"/>
          <w:sz w:val="24"/>
          <w:szCs w:val="24"/>
          <w14:textFill>
            <w14:solidFill>
              <w14:schemeClr w14:val="tx1"/>
            </w14:solidFill>
          </w14:textFill>
        </w:rPr>
        <w:t>劳动过程中的</w:t>
      </w:r>
      <w:r>
        <w:rPr>
          <w:rFonts w:hint="eastAsia" w:ascii="宋体" w:hAnsi="宋体" w:eastAsia="宋体"/>
          <w:b/>
          <w:bCs/>
          <w:color w:val="000000" w:themeColor="text1"/>
          <w:sz w:val="24"/>
          <w:szCs w:val="24"/>
          <w14:textFill>
            <w14:solidFill>
              <w14:schemeClr w14:val="tx1"/>
            </w14:solidFill>
          </w14:textFill>
        </w:rPr>
        <w:t>所有制</w:t>
      </w:r>
      <w:r>
        <w:rPr>
          <w:rFonts w:ascii="宋体" w:hAnsi="宋体" w:eastAsia="宋体"/>
          <w:b/>
          <w:bCs/>
          <w:color w:val="000000" w:themeColor="text1"/>
          <w:sz w:val="24"/>
          <w:szCs w:val="24"/>
          <w14:textFill>
            <w14:solidFill>
              <w14:schemeClr w14:val="tx1"/>
            </w14:solidFill>
          </w14:textFill>
        </w:rPr>
        <w:t>关系</w:t>
      </w:r>
    </w:p>
    <w:p w14:paraId="6DD054F2">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马克思指出：“创造资本关系的过程，只能是劳动者和他的劳动条件的所有权分离的过程，这个过程一方面使社会的生活资料和生产资料转化为资本，另一方面使直接生产者转化为雇佣工人。”</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17]822</w:t>
      </w:r>
      <w:r>
        <w:rPr>
          <w:rFonts w:hint="eastAsia" w:ascii="宋体" w:hAnsi="宋体" w:eastAsia="宋体"/>
          <w:color w:val="000000" w:themeColor="text1"/>
          <w:sz w:val="24"/>
          <w:szCs w:val="24"/>
          <w14:textFill>
            <w14:solidFill>
              <w14:schemeClr w14:val="tx1"/>
            </w14:solidFill>
          </w14:textFill>
        </w:rPr>
        <w:t>在全部生产关系中，所有制关系处于基础地位。生产资料的所有制关系也决定了劳动产品的价值分配关系。“劳动过程，就它是资本家消费劳动力的过程来说，显示出两个特殊现象</w:t>
      </w:r>
      <w:r>
        <w:rPr>
          <w:rFonts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工人的劳动属于资本家，工人在资本家的监督下劳动；劳动产品全部归属于资本家</w:t>
      </w:r>
      <w:r>
        <w:rPr>
          <w:rFonts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其次，产品是资本家的所有物，而不是直接生产者工人的所有物。</w:t>
      </w:r>
      <w:r>
        <w:rPr>
          <w:rFonts w:hint="eastAsia"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17]216</w:t>
      </w:r>
      <w:r>
        <w:rPr>
          <w:rFonts w:hint="eastAsia" w:ascii="宋体" w:hAnsi="宋体" w:eastAsia="宋体"/>
          <w:color w:val="000000" w:themeColor="text1"/>
          <w:sz w:val="24"/>
          <w:szCs w:val="24"/>
          <w14:textFill>
            <w14:solidFill>
              <w14:schemeClr w14:val="tx1"/>
            </w14:solidFill>
          </w14:textFill>
        </w:rPr>
        <w:t>此外，资本主义私有制也决定了劳动过程中人与人的关系。除上文已经提到的雇佣工人之间的协作关系和资本所有者对劳动者的管理监督关系外，工人之间的竞争关系同样不能忽视。首先是补充劳动力，即妇女和儿童，对传统成年男性劳动力就业的冲击，“机器把工人家庭的全体成员都抛到劳动市场上”</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17]454</w:t>
      </w:r>
      <w:r>
        <w:rPr>
          <w:rFonts w:hint="eastAsia" w:ascii="宋体" w:hAnsi="宋体" w:eastAsia="宋体"/>
          <w:color w:val="000000" w:themeColor="text1"/>
          <w:sz w:val="24"/>
          <w:szCs w:val="24"/>
          <w14:textFill>
            <w14:solidFill>
              <w14:schemeClr w14:val="tx1"/>
            </w14:solidFill>
          </w14:textFill>
        </w:rPr>
        <w:t>。其次是已就业的工人为避免失业而不得不相互竞争，而相对过剩人口和产业后备军的存在也加剧了这一竞争关系。</w:t>
      </w:r>
    </w:p>
    <w:p w14:paraId="057D6221">
      <w:pPr>
        <w:pStyle w:val="5"/>
        <w:bidi w:val="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（二）劳动过程理论的发展</w:t>
      </w:r>
    </w:p>
    <w:p w14:paraId="362A3F3D">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劳动过程理论由马克思创立，其发展可以大致分为两条路径。一方面，经过马克思主义经典作家的不断发展，其内容日渐丰富；另一方面，西方马克思主义学者将劳动过程理论作为专门的研究领域，但其发展存在背离马克思主义理论之处。</w:t>
      </w:r>
    </w:p>
    <w:p w14:paraId="0DC8EA4B">
      <w:pPr>
        <w:spacing w:line="300" w:lineRule="auto"/>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列宁和斯大林将劳动过程理论应用于苏联的具体实践。</w:t>
      </w:r>
      <w:r>
        <w:rPr>
          <w:rFonts w:ascii="宋体" w:hAnsi="宋体" w:eastAsia="宋体"/>
          <w:bCs/>
          <w:color w:val="000000" w:themeColor="text1"/>
          <w:sz w:val="24"/>
          <w:szCs w:val="24"/>
          <w14:textFill>
            <w14:solidFill>
              <w14:schemeClr w14:val="tx1"/>
            </w14:solidFill>
          </w14:textFill>
        </w:rPr>
        <w:t>列宁在马克思主义劳动过程理论的基础上，分析资本主义生产方式在俄国农业和工业领域的确立过程，进一步揭露资本主义劳动过程对俄国无产阶级的损害并对社会主义劳动过程进行初步探索。在对资本主义劳动过程的揭露中，列宁全面分析泰罗制这一资本主义管理制度的双重性质</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泰罗制不仅是“资产阶级剥削的最巧妙的残酷手段，又包含一系列的最丰富的科学成就，它分析劳动中的机械动作，省去多余的笨拙的动作，制定最适当的工作方法，实行最完善的计算和监督方法等等”</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19]</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继列宁之后，斯大林面临如何建设苏联社会主义的重大课题，这要求进一步探索社会主义劳动过程的特殊形式。斯大林一方面继承并发扬列宁关于劳动竞赛的论述，</w:t>
      </w:r>
      <w:r>
        <w:rPr>
          <w:rFonts w:hint="eastAsia" w:ascii="宋体" w:hAnsi="宋体" w:eastAsia="宋体"/>
          <w:bCs/>
          <w:color w:val="000000" w:themeColor="text1"/>
          <w:sz w:val="24"/>
          <w:szCs w:val="24"/>
          <w14:textFill>
            <w14:solidFill>
              <w14:schemeClr w14:val="tx1"/>
            </w14:solidFill>
          </w14:textFill>
        </w:rPr>
        <w:t>称赞</w:t>
      </w:r>
      <w:r>
        <w:rPr>
          <w:rFonts w:ascii="宋体" w:hAnsi="宋体" w:eastAsia="宋体"/>
          <w:bCs/>
          <w:color w:val="000000" w:themeColor="text1"/>
          <w:sz w:val="24"/>
          <w:szCs w:val="24"/>
          <w14:textFill>
            <w14:solidFill>
              <w14:schemeClr w14:val="tx1"/>
            </w14:solidFill>
          </w14:textFill>
        </w:rPr>
        <w:t>“竞赛是工人</w:t>
      </w:r>
      <w:r>
        <w:rPr>
          <w:rFonts w:hint="eastAsia" w:ascii="宋体" w:hAnsi="宋体" w:eastAsia="宋体"/>
          <w:bCs/>
          <w:color w:val="000000" w:themeColor="text1"/>
          <w:sz w:val="24"/>
          <w:szCs w:val="24"/>
          <w14:textFill>
            <w14:solidFill>
              <w14:schemeClr w14:val="tx1"/>
            </w14:solidFill>
          </w14:textFill>
        </w:rPr>
        <w:t>阶级</w:t>
      </w:r>
      <w:r>
        <w:rPr>
          <w:rFonts w:ascii="宋体" w:hAnsi="宋体" w:eastAsia="宋体"/>
          <w:bCs/>
          <w:color w:val="000000" w:themeColor="text1"/>
          <w:sz w:val="24"/>
          <w:szCs w:val="24"/>
          <w14:textFill>
            <w14:solidFill>
              <w14:schemeClr w14:val="tx1"/>
            </w14:solidFill>
          </w14:textFill>
        </w:rPr>
        <w:t>在社会主义基础上</w:t>
      </w:r>
      <w:r>
        <w:rPr>
          <w:rFonts w:hint="eastAsia" w:ascii="宋体" w:hAnsi="宋体" w:eastAsia="宋体"/>
          <w:bCs/>
          <w:color w:val="000000" w:themeColor="text1"/>
          <w:sz w:val="24"/>
          <w:szCs w:val="24"/>
          <w14:textFill>
            <w14:solidFill>
              <w14:schemeClr w14:val="tx1"/>
            </w14:solidFill>
          </w14:textFill>
        </w:rPr>
        <w:t>改造</w:t>
      </w:r>
      <w:r>
        <w:rPr>
          <w:rFonts w:ascii="宋体" w:hAnsi="宋体" w:eastAsia="宋体"/>
          <w:bCs/>
          <w:color w:val="000000" w:themeColor="text1"/>
          <w:sz w:val="24"/>
          <w:szCs w:val="24"/>
          <w14:textFill>
            <w14:solidFill>
              <w14:schemeClr w14:val="tx1"/>
            </w14:solidFill>
          </w14:textFill>
        </w:rPr>
        <w:t>国家全部经济生活和文化生活的杠杆”</w:t>
      </w:r>
      <w:r>
        <w:rPr>
          <w:rFonts w:ascii="宋体" w:hAnsi="宋体" w:eastAsia="宋体"/>
          <w:bCs/>
          <w:color w:val="000000" w:themeColor="text1"/>
          <w:sz w:val="24"/>
          <w:szCs w:val="24"/>
          <w:vertAlign w:val="superscript"/>
          <w14:textFill>
            <w14:solidFill>
              <w14:schemeClr w14:val="tx1"/>
            </w14:solidFill>
          </w14:textFill>
        </w:rPr>
        <w:t>[20]194</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另一方面推动农业劳动的集体化发展，同时也对社会主义下的工业劳动过程提出一系列要求。</w:t>
      </w:r>
    </w:p>
    <w:p w14:paraId="6FD0FEA2">
      <w:pPr>
        <w:spacing w:line="400" w:lineRule="exact"/>
        <w:ind w:firstLine="480" w:firstLineChars="200"/>
        <w:rPr>
          <w:rFonts w:ascii="宋体" w:hAnsi="宋体" w:eastAsia="宋体"/>
          <w:bCs/>
          <w:color w:val="000000" w:themeColor="text1"/>
          <w:sz w:val="24"/>
          <w:szCs w:val="24"/>
          <w14:textFill>
            <w14:solidFill>
              <w14:schemeClr w14:val="tx1"/>
            </w14:solidFill>
          </w14:textFill>
        </w:rPr>
      </w:pPr>
      <w:r>
        <w:rPr>
          <w:rFonts w:ascii="宋体" w:hAnsi="宋体" w:eastAsia="宋体"/>
          <w:bCs/>
          <w:color w:val="000000" w:themeColor="text1"/>
          <w:sz w:val="24"/>
          <w:szCs w:val="24"/>
          <w14:textFill>
            <w14:solidFill>
              <w14:schemeClr w14:val="tx1"/>
            </w14:solidFill>
          </w14:textFill>
        </w:rPr>
        <w:t>如何把马克思主义</w:t>
      </w:r>
      <w:r>
        <w:rPr>
          <w:rFonts w:hint="eastAsia" w:ascii="宋体" w:hAnsi="宋体" w:eastAsia="宋体"/>
          <w:bCs/>
          <w:color w:val="000000" w:themeColor="text1"/>
          <w:sz w:val="24"/>
          <w:szCs w:val="24"/>
          <w14:textFill>
            <w14:solidFill>
              <w14:schemeClr w14:val="tx1"/>
            </w14:solidFill>
          </w14:textFill>
        </w:rPr>
        <w:t>劳动过程</w:t>
      </w:r>
      <w:r>
        <w:rPr>
          <w:rFonts w:ascii="宋体" w:hAnsi="宋体" w:eastAsia="宋体"/>
          <w:bCs/>
          <w:color w:val="000000" w:themeColor="text1"/>
          <w:sz w:val="24"/>
          <w:szCs w:val="24"/>
          <w14:textFill>
            <w14:solidFill>
              <w14:schemeClr w14:val="tx1"/>
            </w14:solidFill>
          </w14:textFill>
        </w:rPr>
        <w:t>理论同中国现实相结合是中国共产党面临的重大问题。</w:t>
      </w:r>
      <w:r>
        <w:rPr>
          <w:rFonts w:hint="eastAsia" w:ascii="宋体" w:hAnsi="宋体" w:eastAsia="宋体"/>
          <w:bCs/>
          <w:color w:val="000000" w:themeColor="text1"/>
          <w:sz w:val="24"/>
          <w:szCs w:val="24"/>
          <w14:textFill>
            <w14:solidFill>
              <w14:schemeClr w14:val="tx1"/>
            </w14:solidFill>
          </w14:textFill>
        </w:rPr>
        <w:t>毛泽东借鉴苏联社会主义劳动竞赛的经验，在中国广泛开展竞赛和大生产运动，并建立起劳动模范制度；推动农业劳动的集体化发展，建立农业合作社；强调劳动纪律建设和劳动生产率的提高。中国特色社会主义理论体系进一步发展劳动过程理论，邓小平着重强调科技对提高劳动生产率的重要作用，提出科技是第一生产力的论断；江泽民认识到非物质劳动的重要性，指出要尊重和保护一切有益于人民和社会的劳动；胡锦涛提出科学发展观，重点关注劳动者素质的提高和劳动者权益的保障。面对国内国际新形势，习近平更加强调劳模精神、劳动精神以及工匠精神的重要作用，要求提高劳动者队伍素质，提出要保障劳动者合法权益。</w:t>
      </w:r>
    </w:p>
    <w:p w14:paraId="16D879D2">
      <w:pPr>
        <w:spacing w:line="400" w:lineRule="exact"/>
        <w:ind w:firstLine="480" w:firstLineChars="200"/>
        <w:rPr>
          <w:rFonts w:ascii="宋体" w:hAnsi="宋体" w:eastAsia="宋体"/>
          <w:bCs/>
          <w:color w:val="000000" w:themeColor="text1"/>
          <w:sz w:val="24"/>
          <w:szCs w:val="24"/>
          <w14:textFill>
            <w14:solidFill>
              <w14:schemeClr w14:val="tx1"/>
            </w14:solidFill>
          </w14:textFill>
        </w:rPr>
      </w:pPr>
      <w:r>
        <w:rPr>
          <w:rFonts w:hint="eastAsia" w:ascii="宋体" w:hAnsi="宋体" w:eastAsia="宋体"/>
          <w:bCs/>
          <w:color w:val="000000" w:themeColor="text1"/>
          <w:sz w:val="24"/>
          <w:szCs w:val="24"/>
          <w14:textFill>
            <w14:solidFill>
              <w14:schemeClr w14:val="tx1"/>
            </w14:solidFill>
          </w14:textFill>
        </w:rPr>
        <w:t>西方</w:t>
      </w:r>
      <w:r>
        <w:rPr>
          <w:rFonts w:ascii="宋体" w:hAnsi="宋体" w:eastAsia="宋体"/>
          <w:bCs/>
          <w:color w:val="000000" w:themeColor="text1"/>
          <w:sz w:val="24"/>
          <w:szCs w:val="24"/>
          <w14:textFill>
            <w14:solidFill>
              <w14:schemeClr w14:val="tx1"/>
            </w14:solidFill>
          </w14:textFill>
        </w:rPr>
        <w:t>劳动过程理论的发展可以分为四个阶段</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21]</w:t>
      </w:r>
      <w:r>
        <w:rPr>
          <w:rFonts w:ascii="宋体" w:hAnsi="宋体" w:eastAsia="宋体"/>
          <w:bCs/>
          <w:color w:val="000000" w:themeColor="text1"/>
          <w:sz w:val="24"/>
          <w:szCs w:val="24"/>
          <w14:textFill>
            <w14:solidFill>
              <w14:schemeClr w14:val="tx1"/>
            </w14:solidFill>
          </w14:textFill>
        </w:rPr>
        <w:t>。</w:t>
      </w:r>
      <w:r>
        <w:rPr>
          <w:rFonts w:hint="eastAsia" w:ascii="宋体" w:hAnsi="宋体" w:eastAsia="宋体"/>
          <w:bCs/>
          <w:color w:val="000000" w:themeColor="text1"/>
          <w:sz w:val="24"/>
          <w:szCs w:val="24"/>
          <w14:textFill>
            <w14:solidFill>
              <w14:schemeClr w14:val="tx1"/>
            </w14:solidFill>
          </w14:textFill>
        </w:rPr>
        <w:t>马格林</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22]</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Marglin</w:t>
      </w:r>
      <w:r>
        <w:rPr>
          <w:rFonts w:hint="eastAsia" w:ascii="宋体" w:hAnsi="宋体" w:eastAsia="宋体"/>
          <w:bCs/>
          <w:color w:val="000000" w:themeColor="text1"/>
          <w:sz w:val="24"/>
          <w:szCs w:val="24"/>
          <w14:textFill>
            <w14:solidFill>
              <w14:schemeClr w14:val="tx1"/>
            </w14:solidFill>
          </w14:textFill>
        </w:rPr>
        <w:t>）、斯通</w:t>
      </w:r>
      <w:r>
        <w:rPr>
          <w:rFonts w:ascii="宋体" w:hAnsi="宋体" w:eastAsia="宋体"/>
          <w:bCs/>
          <w:color w:val="000000" w:themeColor="text1"/>
          <w:sz w:val="24"/>
          <w:szCs w:val="24"/>
          <w:vertAlign w:val="superscript"/>
          <w14:textFill>
            <w14:solidFill>
              <w14:schemeClr w14:val="tx1"/>
            </w14:solidFill>
          </w14:textFill>
        </w:rPr>
        <w:t>[23]</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Stone</w:t>
      </w:r>
      <w:r>
        <w:rPr>
          <w:rFonts w:hint="eastAsia" w:ascii="宋体" w:hAnsi="宋体" w:eastAsia="宋体"/>
          <w:bCs/>
          <w:color w:val="000000" w:themeColor="text1"/>
          <w:sz w:val="24"/>
          <w:szCs w:val="24"/>
          <w14:textFill>
            <w14:solidFill>
              <w14:schemeClr w14:val="tx1"/>
            </w14:solidFill>
          </w14:textFill>
        </w:rPr>
        <w:t>）、高兹</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24]</w:t>
      </w:r>
      <w:r>
        <w:rPr>
          <w:rFonts w:hint="eastAsia" w:ascii="宋体" w:hAnsi="宋体" w:eastAsia="宋体"/>
          <w:bCs/>
          <w:color w:val="000000" w:themeColor="text1"/>
          <w:sz w:val="24"/>
          <w:szCs w:val="24"/>
          <w14:textFill>
            <w14:solidFill>
              <w14:schemeClr w14:val="tx1"/>
            </w14:solidFill>
          </w14:textFill>
        </w:rPr>
        <w:t>（</w:t>
      </w:r>
      <w:r>
        <w:rPr>
          <w:rFonts w:ascii="宋体" w:hAnsi="宋体" w:eastAsia="宋体"/>
          <w:bCs/>
          <w:color w:val="000000" w:themeColor="text1"/>
          <w:sz w:val="24"/>
          <w:szCs w:val="24"/>
          <w14:textFill>
            <w14:solidFill>
              <w14:schemeClr w14:val="tx1"/>
            </w14:solidFill>
          </w14:textFill>
        </w:rPr>
        <w:t>Gorz</w:t>
      </w:r>
      <w:r>
        <w:rPr>
          <w:rFonts w:hint="eastAsia" w:ascii="宋体" w:hAnsi="宋体" w:eastAsia="宋体"/>
          <w:bCs/>
          <w:color w:val="000000" w:themeColor="text1"/>
          <w:sz w:val="24"/>
          <w:szCs w:val="24"/>
          <w14:textFill>
            <w14:solidFill>
              <w14:schemeClr w14:val="tx1"/>
            </w14:solidFill>
          </w14:textFill>
        </w:rPr>
        <w:t>）等人的研究使得劳动过程逐渐成为一个重要的研究领域</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25]</w:t>
      </w:r>
      <w:r>
        <w:rPr>
          <w:rFonts w:hint="eastAsia" w:ascii="宋体" w:hAnsi="宋体" w:eastAsia="宋体"/>
          <w:bCs/>
          <w:color w:val="000000" w:themeColor="text1"/>
          <w:sz w:val="24"/>
          <w:szCs w:val="24"/>
          <w14:textFill>
            <w14:solidFill>
              <w14:schemeClr w14:val="tx1"/>
            </w14:solidFill>
          </w14:textFill>
        </w:rPr>
        <w:t>。西方劳动过程理论的真正复兴则得益于布雷弗曼</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26]</w:t>
      </w:r>
      <w:r>
        <w:rPr>
          <w:rFonts w:hint="eastAsia" w:ascii="宋体" w:hAnsi="宋体" w:eastAsia="宋体"/>
          <w:bCs/>
          <w:color w:val="000000" w:themeColor="text1"/>
          <w:sz w:val="24"/>
          <w:szCs w:val="24"/>
          <w14:textFill>
            <w14:solidFill>
              <w14:schemeClr w14:val="tx1"/>
            </w14:solidFill>
          </w14:textFill>
        </w:rPr>
        <w:t>对劳动和垄断资本的研究。</w:t>
      </w:r>
      <w:r>
        <w:rPr>
          <w:rFonts w:ascii="宋体" w:hAnsi="宋体" w:eastAsia="宋体"/>
          <w:bCs/>
          <w:color w:val="000000" w:themeColor="text1"/>
          <w:sz w:val="24"/>
          <w:szCs w:val="24"/>
          <w14:textFill>
            <w14:solidFill>
              <w14:schemeClr w14:val="tx1"/>
            </w14:solidFill>
          </w14:textFill>
        </w:rPr>
        <w:t>在西方劳动过程理论发展的第二阶段，布若威</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27]</w:t>
      </w:r>
      <w:r>
        <w:rPr>
          <w:rFonts w:ascii="宋体" w:hAnsi="宋体" w:eastAsia="宋体"/>
          <w:bCs/>
          <w:color w:val="000000" w:themeColor="text1"/>
          <w:sz w:val="24"/>
          <w:szCs w:val="24"/>
          <w14:textFill>
            <w14:solidFill>
              <w14:schemeClr w14:val="tx1"/>
            </w14:solidFill>
          </w14:textFill>
        </w:rPr>
        <w:t>（Burawoy）、弗莱德曼</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28]</w:t>
      </w:r>
      <w:r>
        <w:rPr>
          <w:rFonts w:ascii="宋体" w:hAnsi="宋体" w:eastAsia="宋体"/>
          <w:bCs/>
          <w:color w:val="000000" w:themeColor="text1"/>
          <w:sz w:val="24"/>
          <w:szCs w:val="24"/>
          <w14:textFill>
            <w14:solidFill>
              <w14:schemeClr w14:val="tx1"/>
            </w14:solidFill>
          </w14:textFill>
        </w:rPr>
        <w:t>（Friedman）、埃德沃兹</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29]</w:t>
      </w:r>
      <w:r>
        <w:rPr>
          <w:rFonts w:ascii="宋体" w:hAnsi="宋体" w:eastAsia="宋体"/>
          <w:bCs/>
          <w:color w:val="000000" w:themeColor="text1"/>
          <w:sz w:val="24"/>
          <w:szCs w:val="24"/>
          <w14:textFill>
            <w14:solidFill>
              <w14:schemeClr w14:val="tx1"/>
            </w14:solidFill>
          </w14:textFill>
        </w:rPr>
        <w:t>（R.Edwards）等学者</w:t>
      </w:r>
      <w:r>
        <w:rPr>
          <w:rFonts w:hint="eastAsia" w:ascii="宋体" w:hAnsi="宋体" w:eastAsia="宋体"/>
          <w:bCs/>
          <w:color w:val="000000" w:themeColor="text1"/>
          <w:sz w:val="24"/>
          <w:szCs w:val="24"/>
          <w14:textFill>
            <w14:solidFill>
              <w14:schemeClr w14:val="tx1"/>
            </w14:solidFill>
          </w14:textFill>
        </w:rPr>
        <w:t>深入研究了</w:t>
      </w:r>
      <w:r>
        <w:rPr>
          <w:rFonts w:ascii="宋体" w:hAnsi="宋体" w:eastAsia="宋体"/>
          <w:bCs/>
          <w:color w:val="000000" w:themeColor="text1"/>
          <w:sz w:val="24"/>
          <w:szCs w:val="24"/>
          <w14:textFill>
            <w14:solidFill>
              <w14:schemeClr w14:val="tx1"/>
            </w14:solidFill>
          </w14:textFill>
        </w:rPr>
        <w:t>劳动控制的历史演进。</w:t>
      </w:r>
      <w:r>
        <w:rPr>
          <w:rFonts w:hint="eastAsia" w:ascii="宋体" w:hAnsi="宋体" w:eastAsia="宋体"/>
          <w:bCs/>
          <w:color w:val="000000" w:themeColor="text1"/>
          <w:sz w:val="24"/>
          <w:szCs w:val="24"/>
          <w14:textFill>
            <w14:solidFill>
              <w14:schemeClr w14:val="tx1"/>
            </w14:solidFill>
          </w14:textFill>
        </w:rPr>
        <w:t>在第三个阶段，西方劳动过程理论开始受到新的生产范式和后现代主义理论的冲击。</w:t>
      </w:r>
      <w:r>
        <w:rPr>
          <w:rFonts w:ascii="宋体" w:hAnsi="宋体" w:eastAsia="宋体"/>
          <w:bCs/>
          <w:color w:val="000000" w:themeColor="text1"/>
          <w:sz w:val="24"/>
          <w:szCs w:val="24"/>
          <w14:textFill>
            <w14:solidFill>
              <w14:schemeClr w14:val="tx1"/>
            </w14:solidFill>
          </w14:textFill>
        </w:rPr>
        <w:t>灵活专业化、精益生产和知识经济</w:t>
      </w:r>
      <w:r>
        <w:rPr>
          <w:rFonts w:hint="eastAsia" w:ascii="宋体" w:hAnsi="宋体" w:eastAsia="宋体"/>
          <w:bCs/>
          <w:color w:val="000000" w:themeColor="text1"/>
          <w:sz w:val="24"/>
          <w:szCs w:val="24"/>
          <w14:textFill>
            <w14:solidFill>
              <w14:schemeClr w14:val="tx1"/>
            </w14:solidFill>
          </w14:textFill>
        </w:rPr>
        <w:t>等新型生产范式的出现对劳动过程理论提出新的要求，而后现代主义理论学者则批评劳动过程理论忽视对劳动者主体性问题的分析</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30]</w:t>
      </w:r>
      <w:r>
        <w:rPr>
          <w:rFonts w:hint="eastAsia" w:ascii="宋体" w:hAnsi="宋体" w:eastAsia="宋体"/>
          <w:bCs/>
          <w:color w:val="000000" w:themeColor="text1"/>
          <w:sz w:val="24"/>
          <w:szCs w:val="24"/>
          <w14:textFill>
            <w14:solidFill>
              <w14:schemeClr w14:val="tx1"/>
            </w14:solidFill>
          </w14:textFill>
        </w:rPr>
        <w:t>。在第四个阶段是西方劳动过程理论向</w:t>
      </w:r>
      <w:r>
        <w:rPr>
          <w:rFonts w:ascii="宋体" w:hAnsi="宋体" w:eastAsia="宋体"/>
          <w:bCs/>
          <w:color w:val="000000" w:themeColor="text1"/>
          <w:sz w:val="24"/>
          <w:szCs w:val="24"/>
          <w14:textFill>
            <w14:solidFill>
              <w14:schemeClr w14:val="tx1"/>
            </w14:solidFill>
          </w14:textFill>
        </w:rPr>
        <w:t>更广泛的政治经济学</w:t>
      </w:r>
      <w:r>
        <w:rPr>
          <w:rFonts w:hint="eastAsia" w:ascii="宋体" w:hAnsi="宋体" w:eastAsia="宋体"/>
          <w:bCs/>
          <w:color w:val="000000" w:themeColor="text1"/>
          <w:sz w:val="24"/>
          <w:szCs w:val="24"/>
          <w14:textFill>
            <w14:solidFill>
              <w14:schemeClr w14:val="tx1"/>
            </w14:solidFill>
          </w14:textFill>
        </w:rPr>
        <w:t>领域的应用。西方劳动过程理论历经几十年的发展，但是其理论边界和研究任务仍然是模糊不清的，并且也有背离马克思主义的理论，使得理论本身难以应对后现代主义等理论的外部冲击。因此，西方马克思主义学者呼吁西方劳动过程理论回归马克思主义，例如阿德勒（</w:t>
      </w:r>
      <w:r>
        <w:rPr>
          <w:rFonts w:ascii="宋体" w:hAnsi="宋体" w:eastAsia="宋体"/>
          <w:bCs/>
          <w:color w:val="000000" w:themeColor="text1"/>
          <w:sz w:val="24"/>
          <w:szCs w:val="24"/>
          <w14:textFill>
            <w14:solidFill>
              <w14:schemeClr w14:val="tx1"/>
            </w14:solidFill>
          </w14:textFill>
        </w:rPr>
        <w:t>Adler</w:t>
      </w:r>
      <w:r>
        <w:rPr>
          <w:rFonts w:hint="eastAsia" w:ascii="宋体" w:hAnsi="宋体" w:eastAsia="宋体"/>
          <w:bCs/>
          <w:color w:val="000000" w:themeColor="text1"/>
          <w:sz w:val="24"/>
          <w:szCs w:val="24"/>
          <w14:textFill>
            <w14:solidFill>
              <w14:schemeClr w14:val="tx1"/>
            </w14:solidFill>
          </w14:textFill>
        </w:rPr>
        <w:t>）指出近年来西方劳动过程理论的研究</w:t>
      </w:r>
      <w:r>
        <w:rPr>
          <w:rFonts w:ascii="宋体" w:hAnsi="宋体" w:eastAsia="宋体"/>
          <w:bCs/>
          <w:color w:val="000000" w:themeColor="text1"/>
          <w:sz w:val="24"/>
          <w:szCs w:val="24"/>
          <w14:textFill>
            <w14:solidFill>
              <w14:schemeClr w14:val="tx1"/>
            </w14:solidFill>
          </w14:textFill>
        </w:rPr>
        <w:t>在很大程度上抛弃了马克思主义基础，忽略了马克思所看到的劳动过程的渐进“社会化”与资本主义</w:t>
      </w:r>
      <w:r>
        <w:rPr>
          <w:rFonts w:hint="eastAsia" w:ascii="宋体" w:hAnsi="宋体" w:eastAsia="宋体"/>
          <w:bCs/>
          <w:color w:val="000000" w:themeColor="text1"/>
          <w:sz w:val="24"/>
          <w:szCs w:val="24"/>
          <w14:textFill>
            <w14:solidFill>
              <w14:schemeClr w14:val="tx1"/>
            </w14:solidFill>
          </w14:textFill>
        </w:rPr>
        <w:t>固有的</w:t>
      </w:r>
      <w:r>
        <w:rPr>
          <w:rFonts w:ascii="宋体" w:hAnsi="宋体" w:eastAsia="宋体"/>
          <w:bCs/>
          <w:color w:val="000000" w:themeColor="text1"/>
          <w:sz w:val="24"/>
          <w:szCs w:val="24"/>
          <w14:textFill>
            <w14:solidFill>
              <w14:schemeClr w14:val="tx1"/>
            </w14:solidFill>
          </w14:textFill>
        </w:rPr>
        <w:t>“</w:t>
      </w:r>
      <w:r>
        <w:rPr>
          <w:rFonts w:hint="eastAsia" w:ascii="宋体" w:hAnsi="宋体" w:eastAsia="宋体"/>
          <w:bCs/>
          <w:color w:val="000000" w:themeColor="text1"/>
          <w:sz w:val="24"/>
          <w:szCs w:val="24"/>
          <w14:textFill>
            <w14:solidFill>
              <w14:schemeClr w14:val="tx1"/>
            </w14:solidFill>
          </w14:textFill>
        </w:rPr>
        <w:t>价值</w:t>
      </w:r>
      <w:r>
        <w:rPr>
          <w:rFonts w:ascii="宋体" w:hAnsi="宋体" w:eastAsia="宋体"/>
          <w:bCs/>
          <w:color w:val="000000" w:themeColor="text1"/>
          <w:sz w:val="24"/>
          <w:szCs w:val="24"/>
          <w14:textFill>
            <w14:solidFill>
              <w14:schemeClr w14:val="tx1"/>
            </w14:solidFill>
          </w14:textFill>
        </w:rPr>
        <w:t>化”约束之间的根本矛盾</w:t>
      </w:r>
      <w:r>
        <w:rPr>
          <w:rFonts w:hint="eastAsia" w:ascii="宋体" w:hAnsi="宋体" w:eastAsia="宋体"/>
          <w:bCs/>
          <w:color w:val="000000" w:themeColor="text1"/>
          <w:sz w:val="24"/>
          <w:szCs w:val="24"/>
          <w:vertAlign w:val="superscript"/>
          <w14:textFill>
            <w14:solidFill>
              <w14:schemeClr w14:val="tx1"/>
            </w14:solidFill>
          </w14:textFill>
        </w:rPr>
        <w:t>[</w:t>
      </w:r>
      <w:r>
        <w:rPr>
          <w:rFonts w:ascii="宋体" w:hAnsi="宋体" w:eastAsia="宋体"/>
          <w:bCs/>
          <w:color w:val="000000" w:themeColor="text1"/>
          <w:sz w:val="24"/>
          <w:szCs w:val="24"/>
          <w:vertAlign w:val="superscript"/>
          <w14:textFill>
            <w14:solidFill>
              <w14:schemeClr w14:val="tx1"/>
            </w14:solidFill>
          </w14:textFill>
        </w:rPr>
        <w:t>31]</w:t>
      </w:r>
      <w:r>
        <w:rPr>
          <w:rFonts w:hint="eastAsia" w:ascii="宋体" w:hAnsi="宋体" w:eastAsia="宋体"/>
          <w:bCs/>
          <w:color w:val="000000" w:themeColor="text1"/>
          <w:sz w:val="24"/>
          <w:szCs w:val="24"/>
          <w14:textFill>
            <w14:solidFill>
              <w14:schemeClr w14:val="tx1"/>
            </w14:solidFill>
          </w14:textFill>
        </w:rPr>
        <w:t>，这严重阻碍理论的发展。</w:t>
      </w:r>
    </w:p>
    <w:p w14:paraId="71C355E3">
      <w:pPr>
        <w:pStyle w:val="4"/>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四、劳动过程要素构成与组织形式新变化</w:t>
      </w:r>
    </w:p>
    <w:p w14:paraId="0BBE9CF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经济会对劳动过程的要素构成产生重要影响，主要表现在以下几点：数据成为新的劳动对象，智能机器成为新型劳动工具，劳动场所呈现数字化、智能化的特征，劳动者的技能结构与技能水平也随之发生变化。智能机器的广泛应用深刻地改变劳动过程的技术组织形式，“让机器生产机器”成为智能经济时期的重要特征。社会组织形式的变化则直接体现在协作和雇佣劳动制度或市场型自由联合劳动制度的发展上。</w:t>
      </w:r>
    </w:p>
    <w:p w14:paraId="678D32E7">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（一）</w:t>
      </w:r>
      <w:r>
        <w:rPr>
          <w:rFonts w:ascii="宋体" w:hAnsi="宋体" w:eastAsia="宋体"/>
          <w:b/>
          <w:bCs/>
          <w:color w:val="000000" w:themeColor="text1"/>
          <w:sz w:val="24"/>
          <w:szCs w:val="24"/>
          <w14:textFill>
            <w14:solidFill>
              <w14:schemeClr w14:val="tx1"/>
            </w14:solidFill>
          </w14:textFill>
        </w:rPr>
        <w:t>劳动</w:t>
      </w:r>
      <w:r>
        <w:rPr>
          <w:rFonts w:hint="eastAsia" w:ascii="宋体" w:hAnsi="宋体" w:eastAsia="宋体"/>
          <w:b/>
          <w:bCs/>
          <w:color w:val="000000" w:themeColor="text1"/>
          <w:sz w:val="24"/>
          <w:szCs w:val="24"/>
          <w14:textFill>
            <w14:solidFill>
              <w14:schemeClr w14:val="tx1"/>
            </w14:solidFill>
          </w14:textFill>
        </w:rPr>
        <w:t>过程要素构成</w:t>
      </w:r>
      <w:r>
        <w:rPr>
          <w:rFonts w:ascii="宋体" w:hAnsi="宋体" w:eastAsia="宋体"/>
          <w:b/>
          <w:bCs/>
          <w:color w:val="000000" w:themeColor="text1"/>
          <w:sz w:val="24"/>
          <w:szCs w:val="24"/>
          <w14:textFill>
            <w14:solidFill>
              <w14:schemeClr w14:val="tx1"/>
            </w14:solidFill>
          </w14:textFill>
        </w:rPr>
        <w:t>新变化</w:t>
      </w:r>
    </w:p>
    <w:p w14:paraId="4D217A38">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首先，智能经济下劳动过程中劳动对象的变化突出地体现在数据成为劳动对象。数据之所以成为劳动对象，一方面是因为数据可以对生产过程起到监督和管理作用；另一方面是因为有用信息隐藏在大量无用数据之中需要被挖掘出来才可以使用。其次，算法和智能机器以及数字化劳动场所逐渐发展起来。随着智能机器的发展，较为复杂的智力劳动逐渐被智能机器替代。数字化劳动场所逐渐发展起来，越来越多的劳动者脱离实体劳动场所转而在虚拟的数字空间中劳动。最后，劳动者的技能结构和技能水平都发生重大变革。随着智能经济的发展和成熟，智能机器技术必然向绝大多数生产部门扩散，那时编程将会成为大部分劳动者的基础技能。</w:t>
      </w:r>
    </w:p>
    <w:p w14:paraId="683FCB61">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（二）劳动过程技术组织形式</w:t>
      </w:r>
      <w:r>
        <w:rPr>
          <w:rFonts w:ascii="宋体" w:hAnsi="宋体" w:eastAsia="宋体"/>
          <w:b/>
          <w:bCs/>
          <w:color w:val="000000" w:themeColor="text1"/>
          <w:sz w:val="24"/>
          <w:szCs w:val="24"/>
          <w14:textFill>
            <w14:solidFill>
              <w14:schemeClr w14:val="tx1"/>
            </w14:solidFill>
          </w14:textFill>
        </w:rPr>
        <w:t>新变化</w:t>
      </w:r>
    </w:p>
    <w:p w14:paraId="4041C71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机器的自适应、自学习能力不断发展，已经可以自主地指挥机器生产。物联网、工业互联网等的发展使得智能机器体系的规模更大，各机器的协作更连贯和流畅。拥有自主决策能力和全面感知能力的智能机器毫无疑问是劳动资料的“神经系统”的核心。如果说“用机器生产机器”是机器大工业生产确立的标志，那么“让机器生产机器”则是智能经济时期的重要特征。智能机器的广泛应用使得劳动资料之间、劳动资料和劳动对象之间以及劳动者和劳动资料之间的结合方式不断优化，劳动者与智能机器的结合程度不断加深，人机协同作业愈发普遍。技术组织形式的这种变化重塑了生产的形式，具体来说智能经济下的生产是大规模定制化智能生产。</w:t>
      </w:r>
    </w:p>
    <w:p w14:paraId="53DFAEC6">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（三）劳动过程社会组织形式新变化</w:t>
      </w:r>
    </w:p>
    <w:p w14:paraId="15C8EA3D">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智能技术可以“有效促进劳动过程中不同操作之间的分工与协作”</w:t>
      </w:r>
      <w:r>
        <w:rPr>
          <w:rFonts w:ascii="宋体" w:hAnsi="宋体" w:eastAsia="宋体"/>
          <w:color w:val="000000" w:themeColor="text1"/>
          <w:sz w:val="24"/>
          <w:szCs w:val="24"/>
          <w:vertAlign w:val="superscript"/>
          <w14:textFill>
            <w14:solidFill>
              <w14:schemeClr w14:val="tx1"/>
            </w14:solidFill>
          </w14:textFill>
        </w:rPr>
        <w:t>[32]</w:t>
      </w:r>
      <w:r>
        <w:rPr>
          <w:rFonts w:hint="eastAsia" w:ascii="宋体" w:hAnsi="宋体" w:eastAsia="宋体"/>
          <w:color w:val="000000" w:themeColor="text1"/>
          <w:sz w:val="24"/>
          <w:szCs w:val="24"/>
          <w14:textFill>
            <w14:solidFill>
              <w14:schemeClr w14:val="tx1"/>
            </w14:solidFill>
          </w14:textFill>
        </w:rPr>
        <w:t>，劳动协作方式呈现出数字化、分散化和扩大化的趋势。劳动的协作方式向数字化发展具体表现在：劳动资料的数字化、劳动过程的数字化和劳动成果的数字化。协作的分散化是以协作的数字化为基础的，主要依赖于劳动场所的数字化以及数字信息设备的普及。协作的数字化、分散化以及生产规模的增加促进了协作的扩大化发展。从广度上看，协作的人数更多，涉及的空间范围更广，时间跨度更大；从深度上看，协作的复杂性更高，协作的联系更紧密。</w:t>
      </w:r>
    </w:p>
    <w:p w14:paraId="2E6441F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经济条件下，雇佣劳动制度的突出变化表现为雇佣时间更灵活、雇佣关系不稳定、雇佣形式更隐蔽。首先，在智能经济条件下，劳动者名义上可以根据自己的时间灵活选择工作时间，且资本家根据生产的需要随时增加或者减少雇佣工人人数，从而导致雇佣时间愈发灵活。其次，劳动场所的虚拟化以及劳动时间的灵活化使得雇佣关系变得很不稳定，劳动者和平台的雇佣关系可以在短时间内频繁变动。最后，在智能经济条件下雇佣劳动采取劳务派遣、业务外包、兼职等多种混合用工形式，这些隐蔽的雇佣形式使得平台企业在获得劳动者劳动的同时规避一系列责任和义务。</w:t>
      </w:r>
    </w:p>
    <w:p w14:paraId="5E40FEE1">
      <w:pPr>
        <w:spacing w:line="300" w:lineRule="auto"/>
        <w:ind w:firstLine="480" w:firstLineChars="20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自由联合劳动是社会主义劳动过程的社会组织形式，具有自由性和联合性两个主要特征。所谓劳动的自由性主要包括职业的选择、劳动过程本身以及劳动产品分配的自由。而联合性不仅包括劳动的协作性也包括劳动的社会性。自由联合劳动需要基于全社会计划性生产，因此也可以称之为计划型自由联合劳动。在社会主义初级阶段，劳动过程的社会组织形式还不是计划型自由联合劳动制度而是市场型自由联合劳动制度，二者的区别主要在于后者的不完全的自由性和有限的联合性。不完全的自由性表现为劳动者的职业选择通过劳动力市场完成，劳动过程受企业直接控制，以及劳动产品分配采用市场型按劳分配。有限的联合性表现为劳动的协作性和社会性分化为社会和企业内部两个层面。一方面，公有企业内部劳动的协作性较高，但在社会层面上劳动的协作性还有待提升；另一方面，企业内部的共同劳动不能直接成为社会劳动，而必须通过商品交换迂回实现。市场型自由联合劳动制度下企业所有者与劳动者的关系表现为录用关系。</w:t>
      </w:r>
    </w:p>
    <w:p w14:paraId="3974527A">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智能经济下，公有企业可以在用工时间更灵活、形式更多样的情况下维持明确且稳定的录用关系。智能算法的应用可以使得企业实时掌握生产过程的各个环节对劳动力的需求，从而将二者智能匹配起来，并减少劳动者切换工作以及签订劳动合同等的时间成本。公有制企业可以利用智能技术在就业的高度灵活性中实现较强的稳定性。从整体看，劳动者的就业是不断变动的，因而具有灵活性；从单个阶段看，劳动者的每一次就业都会与企业签订劳动合同，合法权益都可以得到保障，因而具有稳定性。</w:t>
      </w:r>
    </w:p>
    <w:p w14:paraId="4EED847D">
      <w:pPr>
        <w:pStyle w:val="4"/>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五、劳动过程要素运动与管理方式新变化</w:t>
      </w:r>
    </w:p>
    <w:p w14:paraId="5890289A">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劳动过程中，物的要素和人的要素都会经历一系列运动。物的要素的一系列物理、化学变化并不在劳动过程理论的研究范围内，劳动过程中劳动者的相关变化才是应当关注的重点，主要表现在劳动者的技能、劳动强度与劳动时间、劳动者的主体性三个方面。劳动过程的管理主要依赖于组织设定、制度规范和文化约束。智能技术提高信息收集、传递和处理能力，深刻地改变劳动过程的管理方式。对劳动过程的分析离不开所有制关系，不同所有制下劳动过程要素运动与管理方式也不尽相同，并且在智能经济条件下的发展变化也呈现出不同特征。</w:t>
      </w:r>
    </w:p>
    <w:p w14:paraId="522CAEBE">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（一）劳动过程要素运动新变化</w:t>
      </w:r>
    </w:p>
    <w:p w14:paraId="5F044B0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智能经济条件下，普通工人愈发被智能算法或智能机器控制，劳动者逐渐分化成去技能化的机器附庸和智能机器暂时难以代替的高技能工人。智能经济技术提供全方位的监督手段，提高劳动强度和延长劳动时间的问题更加严重。延长劳动时间不仅体现在企业管理者对劳动者在岗时间或劳动时间的精准把握，而且体现在劳动时间的隐性延长。在智能经济条件下，劳动过程可以发生在数字空间中，劳动者上班与下班的界限不再泾渭分明，劳动时间的延长压缩了工人的生活时间。劳动者主体性虚假彰显，劳动者看似更自由实则愈发受到资本的控制。 “在数字资本主义搭建的生产平台上，数字自身成为支配人的方式。”</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33]</w:t>
      </w:r>
    </w:p>
    <w:p w14:paraId="6B0861B3">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技术在私有制企中的应用加剧劳动者技能的两极分化、提高劳动强度、延长劳动时间以及虚假地彰显劳动者的主体性。但在公有制企业中，智能技术理论上可以促进劳动者的技能发展、减轻劳动强度、减少劳动时间以及促进劳动者主体性的彰显。首先，从理论上看公有制企业可以更好地促进劳动者技能水平的优化和提高。智能机器代替工人的工作，使工人转换岗位、提高劳动技能成为可能。其次，智能技术的发展“</w:t>
      </w:r>
      <w:r>
        <w:rPr>
          <w:rFonts w:ascii="宋体" w:hAnsi="宋体" w:eastAsia="宋体"/>
          <w:color w:val="000000" w:themeColor="text1"/>
          <w:sz w:val="24"/>
          <w:szCs w:val="24"/>
          <w14:textFill>
            <w14:solidFill>
              <w14:schemeClr w14:val="tx1"/>
            </w14:solidFill>
          </w14:textFill>
        </w:rPr>
        <w:t>减少了整个社会的必要劳动时间,极大地解放了生产力,使人们拥有了更多的闲暇时间和自由时间</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[34]</w:t>
      </w:r>
      <w:r>
        <w:rPr>
          <w:rFonts w:hint="eastAsia" w:ascii="宋体" w:hAnsi="宋体" w:eastAsia="宋体"/>
          <w:color w:val="000000" w:themeColor="text1"/>
          <w:sz w:val="24"/>
          <w:szCs w:val="24"/>
          <w14:textFill>
            <w14:solidFill>
              <w14:schemeClr w14:val="tx1"/>
            </w14:solidFill>
          </w14:textFill>
        </w:rPr>
        <w:t>。私有制企业只有在使用机器的收益大于使用雇佣工人的收益的情况下才会采用新机器，公有制企业则可以不受短期收益的限制，优先采用有利于降低劳动强度和减少劳动时间的新技术、新机器</w:t>
      </w:r>
      <w:r>
        <w:rPr>
          <w:rFonts w:ascii="宋体" w:hAnsi="宋体" w:eastAsia="宋体"/>
          <w:color w:val="000000" w:themeColor="text1"/>
          <w:sz w:val="24"/>
          <w:szCs w:val="24"/>
          <w:vertAlign w:val="superscript"/>
          <w14:textFill>
            <w14:solidFill>
              <w14:schemeClr w14:val="tx1"/>
            </w14:solidFill>
          </w14:textFill>
        </w:rPr>
        <w:t>[35]</w:t>
      </w:r>
      <w:r>
        <w:rPr>
          <w:rFonts w:hint="eastAsia" w:ascii="宋体" w:hAnsi="宋体" w:eastAsia="宋体"/>
          <w:color w:val="000000" w:themeColor="text1"/>
          <w:sz w:val="24"/>
          <w:szCs w:val="24"/>
          <w14:textFill>
            <w14:solidFill>
              <w14:schemeClr w14:val="tx1"/>
            </w14:solidFill>
          </w14:textFill>
        </w:rPr>
        <w:t>。最后，在公有制企业中，工人可以使用智能机器再次成为劳动过程的主人，其主体性得到实现。但目前来看，公有制企业并未发挥出其应有的优势，也存在“工作与生活的界限同样越来越模糊</w:t>
      </w:r>
      <w:r>
        <w:rPr>
          <w:rFonts w:ascii="Times New Roman" w:hAnsi="Times New Roman" w:eastAsia="宋体" w:cs="Times New Roman"/>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劳动的异化程度不断加深</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[36]</w:t>
      </w:r>
      <w:r>
        <w:rPr>
          <w:rFonts w:hint="eastAsia" w:ascii="宋体" w:hAnsi="宋体" w:eastAsia="宋体"/>
          <w:color w:val="000000" w:themeColor="text1"/>
          <w:sz w:val="24"/>
          <w:szCs w:val="24"/>
          <w14:textFill>
            <w14:solidFill>
              <w14:schemeClr w14:val="tx1"/>
            </w14:solidFill>
          </w14:textFill>
        </w:rPr>
        <w:t>等问题，这与企业的劳动过程管理体系密切相关。</w:t>
      </w:r>
    </w:p>
    <w:p w14:paraId="44C7D909">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（二）劳动过程管理的组织设定新变化</w:t>
      </w:r>
    </w:p>
    <w:p w14:paraId="4B790493">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现代企业的管理组织形式基本都以科层制为基础。“为了系统协调多人的工作以完成大规模行政任务而设计的组织类型，我们称之为科层制。”</w:t>
      </w:r>
      <w:r>
        <w:rPr>
          <w:rFonts w:ascii="宋体" w:hAnsi="宋体" w:eastAsia="宋体"/>
          <w:color w:val="000000" w:themeColor="text1"/>
          <w:sz w:val="24"/>
          <w:szCs w:val="24"/>
          <w:vertAlign w:val="superscript"/>
          <w14:textFill>
            <w14:solidFill>
              <w14:schemeClr w14:val="tx1"/>
            </w14:solidFill>
          </w14:textFill>
        </w:rPr>
        <w:t>[37]</w:t>
      </w:r>
      <w:r>
        <w:rPr>
          <w:rFonts w:hint="eastAsia" w:ascii="宋体" w:hAnsi="宋体" w:eastAsia="宋体"/>
          <w:color w:val="000000" w:themeColor="text1"/>
          <w:sz w:val="24"/>
          <w:szCs w:val="24"/>
          <w14:textFill>
            <w14:solidFill>
              <w14:schemeClr w14:val="tx1"/>
            </w14:solidFill>
          </w14:textFill>
        </w:rPr>
        <w:t>科层制的优势和历史作用是毋庸置疑的，理想状态的科层制在“形式上可以应用于一切任务”</w:t>
      </w:r>
      <w:r>
        <w:rPr>
          <w:rFonts w:ascii="宋体" w:hAnsi="宋体" w:eastAsia="宋体"/>
          <w:color w:val="000000" w:themeColor="text1"/>
          <w:sz w:val="24"/>
          <w:szCs w:val="24"/>
          <w:vertAlign w:val="superscript"/>
          <w14:textFill>
            <w14:solidFill>
              <w14:schemeClr w14:val="tx1"/>
            </w14:solidFill>
          </w14:textFill>
        </w:rPr>
        <w:t>[38]</w:t>
      </w:r>
      <w:r>
        <w:rPr>
          <w:rFonts w:hint="eastAsia" w:ascii="宋体" w:hAnsi="宋体" w:eastAsia="宋体"/>
          <w:color w:val="000000" w:themeColor="text1"/>
          <w:sz w:val="24"/>
          <w:szCs w:val="24"/>
          <w14:textFill>
            <w14:solidFill>
              <w14:schemeClr w14:val="tx1"/>
            </w14:solidFill>
          </w14:textFill>
        </w:rPr>
        <w:t>。然而韦伯提出的纯粹理性的科层制在现实中难以实现，真实的科层制往往面临治理的现实困境，其弊端主要包括：规则的过分刚性、保守主义以及层级固化。科层制的三种弊端使企业内信息传递受阻，直接导致科层制治理效率的下降。智能技术对科层制的影响突出表现在信息采集、传输和处理效率的提升上。智能技术能有效提高信息的采集效率，信息传输过程的优化则体现在减少信息传递的层级损耗和畅通同级信息共享渠道上。不仅如此，智能技术具有自主处理数据的能力，能够提高信息处理效率和避免企业科层组织的非理性化问题。科层制效率的提升在私有制企业中被应用于强化对劳动者的监督和控制，而在公有制企业中则可以服务于自上而下和自下而上的监督管理相结合的管理模式的实现。</w:t>
      </w:r>
    </w:p>
    <w:p w14:paraId="0AB11C08">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（三）劳动过程管理的制度规范新变化</w:t>
      </w:r>
    </w:p>
    <w:p w14:paraId="251CCE2C">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制度经济学的代表人物之一康芒斯认为制度是“集体行为控制个体行为”</w:t>
      </w:r>
      <w:r>
        <w:rPr>
          <w:rFonts w:ascii="宋体" w:hAnsi="宋体" w:eastAsia="宋体"/>
          <w:color w:val="000000" w:themeColor="text1"/>
          <w:sz w:val="24"/>
          <w:szCs w:val="24"/>
          <w:vertAlign w:val="superscript"/>
          <w14:textFill>
            <w14:solidFill>
              <w14:schemeClr w14:val="tx1"/>
            </w14:solidFill>
          </w14:textFill>
        </w:rPr>
        <w:t>[39]</w:t>
      </w:r>
      <w:r>
        <w:rPr>
          <w:rFonts w:hint="eastAsia" w:ascii="宋体" w:hAnsi="宋体" w:eastAsia="宋体"/>
          <w:color w:val="000000" w:themeColor="text1"/>
          <w:sz w:val="24"/>
          <w:szCs w:val="24"/>
          <w14:textFill>
            <w14:solidFill>
              <w14:schemeClr w14:val="tx1"/>
            </w14:solidFill>
          </w14:textFill>
        </w:rPr>
        <w:t>，可以概括地说制度就是集体规范个体客观行为的准则。从形式上看，企业制度主要分为正式制度和非正式制度，前者主要是指正式规则，如以文件形式发布的规章等，后者主要是指非正式规则，如习俗、行为准则和自我约束的行为规范等。</w:t>
      </w:r>
    </w:p>
    <w:p w14:paraId="165FF1B7">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智能经济条件下，传统的劳动过程管理制度的弊端有可能被克服。正式制度不再单纯以文件等形式呈现，而是内化在智能算法和程序中，也即制度算法化。制度算法化完善了企业对劳动过程的管理制度，具体表现在以下三个方面：覆盖面更广、灵活性增加以及执行成本降低。算法构建了类似于科层制的分级管理的技术网络，将劳动者纳入其中，由此在私有制企业中产生一种超级控制技术，即所谓的算法治理术</w:t>
      </w:r>
      <w:r>
        <w:rPr>
          <w:rFonts w:ascii="宋体" w:hAnsi="宋体" w:eastAsia="宋体"/>
          <w:color w:val="000000" w:themeColor="text1"/>
          <w:sz w:val="24"/>
          <w:szCs w:val="24"/>
          <w:vertAlign w:val="superscript"/>
          <w14:textFill>
            <w14:solidFill>
              <w14:schemeClr w14:val="tx1"/>
            </w14:solidFill>
          </w14:textFill>
        </w:rPr>
        <w:t>[40]</w:t>
      </w:r>
      <w:r>
        <w:rPr>
          <w:rFonts w:hint="eastAsia" w:ascii="宋体" w:hAnsi="宋体" w:eastAsia="宋体"/>
          <w:color w:val="000000" w:themeColor="text1"/>
          <w:sz w:val="24"/>
          <w:szCs w:val="24"/>
          <w14:textFill>
            <w14:solidFill>
              <w14:schemeClr w14:val="tx1"/>
            </w14:solidFill>
          </w14:textFill>
        </w:rPr>
        <w:t>。</w:t>
      </w:r>
    </w:p>
    <w:p w14:paraId="06FF6D09">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经济条件下制度呈现出算法化的趋势，私有制企业以此来强化对员工及其劳动过程的控制，以便获得更多剩余价值；而公有制企业可以借此来解决科层制僵化的问题，切实发挥公有制的制度优势。在管理过程中，因分工不同而导致不同工作岗位的权威性存在差异，这种单纯因工作而产生的权威很容易向工作生活的全部方面蔓延。按照公有制企业管理的原则设计出具有公有制特征的管理制度，通过制度的算法化避免在执行过程中出现权威的滥用，才能真正体现公有制企业对劳动过程管理的制度优势。</w:t>
      </w:r>
    </w:p>
    <w:p w14:paraId="725DB1B5">
      <w:pPr>
        <w:pStyle w:val="5"/>
        <w:bidi w:val="0"/>
      </w:pPr>
      <w:r>
        <w:rPr>
          <w:rFonts w:hint="eastAsia"/>
        </w:rPr>
        <w:t>（四）劳动过程管理的文化约束新变化</w:t>
      </w:r>
    </w:p>
    <w:p w14:paraId="6F4AA14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广义上的文化是人类社会所创造物质财富和精神财富的总和，而狭义上的文化则是指社会意识形态以及与之相适应的制度和组织机构</w:t>
      </w:r>
      <w:r>
        <w:rPr>
          <w:rFonts w:ascii="宋体" w:hAnsi="宋体" w:eastAsia="宋体"/>
          <w:color w:val="000000" w:themeColor="text1"/>
          <w:sz w:val="24"/>
          <w:szCs w:val="24"/>
          <w:vertAlign w:val="superscript"/>
          <w14:textFill>
            <w14:solidFill>
              <w14:schemeClr w14:val="tx1"/>
            </w14:solidFill>
          </w14:textFill>
        </w:rPr>
        <w:t>[41]</w:t>
      </w:r>
      <w:r>
        <w:rPr>
          <w:rFonts w:hint="eastAsia" w:ascii="宋体" w:hAnsi="宋体" w:eastAsia="宋体"/>
          <w:color w:val="000000" w:themeColor="text1"/>
          <w:sz w:val="24"/>
          <w:szCs w:val="24"/>
          <w14:textFill>
            <w14:solidFill>
              <w14:schemeClr w14:val="tx1"/>
            </w14:solidFill>
          </w14:textFill>
        </w:rPr>
        <w:t>。相应地，狭义的企业文化即是指企业意识形态及其制度和组织。制度和组织的内容已在上文介绍过，劳动过程管理的文化约束中的文化主要指企业的意识形态。</w:t>
      </w:r>
    </w:p>
    <w:p w14:paraId="72B8BA6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智能经济条件下，私有制企业对劳动过程的文化管理愈发强化，企业文化的内容、形式、传播手段都呈现出新的特点。随着智能技术的应用，生产可以随时调整，因而弹性工作制、不定时工作制等逐渐兴起。相应地，传统的准时文化逐渐被“随时”文化所代替。所谓的“随时”文化是指企业员工的工作时间由固定的时间段转变为全天候，工作时间与休息时间的界限变得模糊。企业文化的载体种类更多，既包括纸质书籍、文件等，也包括视频、音乐甚至是游戏等。企业文化的传播手段也开始多样化、隐蔽化。智能技术对劳动场所和劳动过程的掌控愈发全面，可以通过工作环境的改变、劳动流程的优化等影响员工心理，也能够实时掌控员工的手机、电脑等运行状态，全天候、全方位对员工施加影响。</w:t>
      </w:r>
    </w:p>
    <w:p w14:paraId="1CC4758F">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技术可以被公有制企业用于彰显员工的主人翁地位。公有制企业文化的核心在于促进人的自由全面发展。智能化的生产方式为减少劳动时间和改善劳动环境提供可能，公有制企业可以在智能生产的基础上形成真正的弹性工作文化。一旦企业抛弃片面追求延长劳动时间和过度内卷的企业文化，真正的创新文化才有可能形成。在科层制层级减少和制度算法化的基础上，公有制企业可以建立真正的民主文化。这种民主文化不仅是企业员工作为生产资料所有者的地位的彰显，而且对于遏制官僚主义和形式主义等不良文化也会起到至关重要的作用。</w:t>
      </w:r>
    </w:p>
    <w:p w14:paraId="63A52F1B">
      <w:pPr>
        <w:pStyle w:val="4"/>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六、劳动过程所有制关系新变化</w:t>
      </w:r>
    </w:p>
    <w:p w14:paraId="3DFDF1F3">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劳动过程所涉及的生产关系中最根本的是所有制关系，在私有制企业中表现为企业所有者与企业员工的雇佣关系，而在公有制企业中则表现为录用关系，在前文关于劳动过程的社会组织形式部分已经详细论述，除此之外主要包括三种：企业所有者与企业管理者之间的委托代理关系、企业管理者与劳动者之间的管理关系、劳动者相互之间的竞争或竞赛关系。不同所有制的企业所涉及的生产关系也略有不同，在智能经济条件下，这些生产关系的变化也存在差异。</w:t>
      </w:r>
    </w:p>
    <w:p w14:paraId="15735AF2">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（一）委托代理关系新变化</w:t>
      </w:r>
    </w:p>
    <w:p w14:paraId="7D5AF0C3">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随着企业规模不断扩大，以往由资本家亲自负责的企业管理职能现在大多由职业经理人来完成。职业经理人作为企业的管理者，与企业所有者之间一般是委托代理关系。在智能经济条件下，委托代理关系最为显著的新变化在于监督成本的下降和信息不对称问题的弱化。随着制度逐渐算法化，企业管理也向数字化治理发展，管理活动的可记录、可查找能够有效降低监督成本。不仅如此，制度的算法化使得监督的便捷性和可操作性都极大地提升。</w:t>
      </w:r>
    </w:p>
    <w:p w14:paraId="230D4C3C">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与私有制企业相比，公有制企业委托代理关系最突出的问题在于委托代理关系的层级数过高。以生产资料全民所有制的国有企业为例，委托代理关系高达六层</w:t>
      </w:r>
      <w:r>
        <w:rPr>
          <w:rFonts w:ascii="宋体" w:hAnsi="宋体" w:eastAsia="宋体"/>
          <w:color w:val="000000" w:themeColor="text1"/>
          <w:sz w:val="24"/>
          <w:szCs w:val="24"/>
          <w:vertAlign w:val="superscript"/>
          <w14:textFill>
            <w14:solidFill>
              <w14:schemeClr w14:val="tx1"/>
            </w14:solidFill>
          </w14:textFill>
        </w:rPr>
        <w:t>[42]</w:t>
      </w:r>
      <w:r>
        <w:rPr>
          <w:rFonts w:hint="eastAsia" w:ascii="宋体" w:hAnsi="宋体" w:eastAsia="宋体"/>
          <w:color w:val="000000" w:themeColor="text1"/>
          <w:sz w:val="24"/>
          <w:szCs w:val="24"/>
          <w14:textFill>
            <w14:solidFill>
              <w14:schemeClr w14:val="tx1"/>
            </w14:solidFill>
          </w14:textFill>
        </w:rPr>
        <w:t>。一旦委托代理层级过多，信息不对称的问题就尤为凸显。智能技术可以有效减少信息传递的损耗和失真，公有制企业委托代理关系层级过高所导致的信息不对称问题以及代理人的监督和激励问题可以得到明显改善。在信息传递效率和准确性都较高的情况下，监督和激励能够起到良好的效果。同时，初始委托人即全体人民或集体成员对企业的外部监督更加便捷、高效。</w:t>
      </w:r>
    </w:p>
    <w:p w14:paraId="6B1379CE">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（二）管理者与劳动者之间的管理关系新变化</w:t>
      </w:r>
    </w:p>
    <w:p w14:paraId="2D8C2AF7">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企业管理者对劳动者的管理既包括对生产的组织协调，也包括对劳动者的劳动监督。智能经济条件下，劳动过程组织协调更高效。一方面，企业管理者能够通过智能设备实时了解生产的具体情况和劳动者的全部动态；另一方面，企业内部智能化水平的整体提高为信息的高速传输奠定基础，管理者可以快速实现劳动者和智能机器的同步调整。智能技术也可以自动监视并判断劳动者的劳动状态，从而提高劳动监督水平。</w:t>
      </w:r>
    </w:p>
    <w:p w14:paraId="740F18E2">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社会主义公有制企业的劳动过程同样需要组织管理，其与私有制企业在协作生产的组织协调方面并没有根本区别，不同点在于公有制企业更严格的劳动监督是建立在市场型自由联合劳动基础上的，这种自上而下的监督是计算性质的而非剥削性质的，同时公有制企业中还存在自下而上的监督关系。私有制企业将智能技术用于延长劳动时间和提高劳动强度，而公有制企业将之应用于减少不必要的物质资料和劳动力的耗费以及更精确地根据劳动量来进行劳动成果的分配。智能经济条件下，公有制企业中自上而下的劳动监督更加精准，而自下而上的劳动监督更高效。以算法化的制度为依据，借助可视化、透明化的企业数据，企业员工可以对公有制企业的管理者进行高效的自下而上的监督。</w:t>
      </w:r>
    </w:p>
    <w:p w14:paraId="77C735FC">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（三）劳动者的竞争或竞赛关系新变化</w:t>
      </w:r>
    </w:p>
    <w:p w14:paraId="4300C6C1">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劳动者之间的关系既包括合作关系也包括对抗关系。在私有制企业中，合作关系主要表现为雇佣劳动基础上的协作生产，而对抗关系则主要表现为劳动者之间的相互竞争。这种协作关系在劳动过程的社会组织形式部分已经分析过。智能机器开始对人的智力劳动进行代替，资本有机构成进一步提高，相对过剩人口增多，竞争关系进一步激化。</w:t>
      </w:r>
    </w:p>
    <w:p w14:paraId="2ABDC0DE">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“竞争就是追逐利润的竞赛”</w:t>
      </w:r>
      <w:r>
        <w:rPr>
          <w:rFonts w:ascii="宋体" w:hAnsi="宋体" w:eastAsia="宋体"/>
          <w:color w:val="000000" w:themeColor="text1"/>
          <w:sz w:val="24"/>
          <w:szCs w:val="24"/>
          <w:vertAlign w:val="superscript"/>
          <w14:textFill>
            <w14:solidFill>
              <w14:schemeClr w14:val="tx1"/>
            </w14:solidFill>
          </w14:textFill>
        </w:rPr>
        <w:t>[18]631</w:t>
      </w:r>
      <w:r>
        <w:rPr>
          <w:rFonts w:hint="eastAsia" w:ascii="宋体" w:hAnsi="宋体" w:eastAsia="宋体"/>
          <w:color w:val="000000" w:themeColor="text1"/>
          <w:sz w:val="24"/>
          <w:szCs w:val="24"/>
          <w14:textFill>
            <w14:solidFill>
              <w14:schemeClr w14:val="tx1"/>
            </w14:solidFill>
          </w14:textFill>
        </w:rPr>
        <w:t>，在公有制企业中工人之间不再以竞争为主，取而代之的是社会主义竞赛。西方学者污蔑社会主义国家不存在竞赛，但事实上“社会主义不仅不窒息竞赛，反而第一次造成真正广泛地、真正大规模地运用竞赛的可能”</w:t>
      </w:r>
      <w:r>
        <w:rPr>
          <w:rFonts w:hint="eastAsia" w:ascii="宋体" w:hAnsi="宋体" w:eastAsia="宋体"/>
          <w:color w:val="000000" w:themeColor="text1"/>
          <w:sz w:val="24"/>
          <w:szCs w:val="24"/>
          <w:vertAlign w:val="superscript"/>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43]</w:t>
      </w:r>
      <w:r>
        <w:rPr>
          <w:rFonts w:hint="eastAsia" w:ascii="宋体" w:hAnsi="宋体" w:eastAsia="宋体"/>
          <w:color w:val="000000" w:themeColor="text1"/>
          <w:sz w:val="24"/>
          <w:szCs w:val="24"/>
          <w14:textFill>
            <w14:solidFill>
              <w14:schemeClr w14:val="tx1"/>
            </w14:solidFill>
          </w14:textFill>
        </w:rPr>
        <w:t>。斯大林指出“竞争的原则是：一些人的失败和死亡，另一些人的胜利和统治。社会主义竞赛的原则是：先进者给予落后者以同志的帮助，从而达到普遍的提高”</w:t>
      </w:r>
      <w:r>
        <w:rPr>
          <w:rFonts w:ascii="宋体" w:hAnsi="宋体" w:eastAsia="宋体"/>
          <w:color w:val="000000" w:themeColor="text1"/>
          <w:sz w:val="24"/>
          <w:szCs w:val="24"/>
          <w:vertAlign w:val="superscript"/>
          <w14:textFill>
            <w14:solidFill>
              <w14:schemeClr w14:val="tx1"/>
            </w14:solidFill>
          </w14:textFill>
        </w:rPr>
        <w:t>[20]195</w:t>
      </w:r>
      <w:r>
        <w:rPr>
          <w:rFonts w:hint="eastAsia" w:ascii="宋体" w:hAnsi="宋体" w:eastAsia="宋体"/>
          <w:color w:val="000000" w:themeColor="text1"/>
          <w:sz w:val="24"/>
          <w:szCs w:val="24"/>
          <w14:textFill>
            <w14:solidFill>
              <w14:schemeClr w14:val="tx1"/>
            </w14:solidFill>
          </w14:textFill>
        </w:rPr>
        <w:t>。改革开放以来，随着社会主义市场经济的建立，劳动竞赛逐渐淡化。其原因一方面在于公有制企业中劳动采用市场型自由联合劳动的形式，科层制存在体制僵化问题，以及自下而上的监督没有真正贯彻执行；另一方面在于公有制企业外部竞争关系的侵蚀。</w:t>
      </w:r>
    </w:p>
    <w:p w14:paraId="20BD6C58">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智能经济条件下，公有制企业科层制僵化的问题得到明显改善，自下而上的监督更加便捷和高效，因而劳动者的“主人翁”意识逐渐恢复，劳动积极性提高，自觉发动劳动竞赛的意愿应明显提高。同时，智能技术提高信息传递和处理效率，增强企业管理者对企业的管理能力，使得组织大范围、长时间的劳动竞赛成为可能。不仅如此，智能技术对劳动过程的精准掌握也为准确计量劳动者的努力程度从而公正地执行竞赛的奖惩制度奠定基础。</w:t>
      </w:r>
    </w:p>
    <w:p w14:paraId="53059EFB">
      <w:pPr>
        <w:pStyle w:val="4"/>
        <w:bidi w:val="0"/>
      </w:pPr>
      <w:r>
        <w:rPr>
          <w:rFonts w:hint="eastAsia"/>
        </w:rPr>
        <w:t>七、结语</w:t>
      </w:r>
    </w:p>
    <w:p w14:paraId="3DE91CA5">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智能技术在不同所有制经济中的应用有所不同，对劳动过程的影响也存在差异，主要原因在于智能技术代表更先进更高级的生产力，以私有制为基础的生产关系和以公有制为基础的生产关系对其的反作用不同。社会主义作为更高级的社会形态理论上能够更有效地利用智能技术，并促进智能技术的更快发展。理论转化为现实需要一系列条件，要切实促进中国特色社会主义市场经济的发展，就必须引导非公有制经济合理利用智能技术，运用智能技术发挥公有制经济优势。</w:t>
      </w:r>
    </w:p>
    <w:p w14:paraId="213150FD">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（一）引导非公有制经济合理利用智能技术</w:t>
      </w:r>
    </w:p>
    <w:p w14:paraId="5F28EC25">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引导非公有制经济合理利用智能技术，防范技术滥用损害劳动者权益是社会主义市场经济的基本要求。首先，在要素组织层面，需要在保证劳动过程灵活性的基础上给予劳动者应有的保障，有效避免雇佣关系不稳定的问题。其次，在过程管理层面，一方面要鼓励私有制企业加强员工培训，提高劳动者技能，尽可能避免工人技能两极分化，还要鼓励私有制企业改善员工劳动环境，并适度保障劳动者主体性的实现；另一方面要坚决执行相关法律法规，防止私有制企业过度提高劳动强度和延长劳动时间，避免损害劳动者生理和心理健康。最后，在所有制关系层面，需要在全社会营造和谐创新的文化氛围，防止焦虑内卷文化的泛滥，减少劳动者之间的恶性竞争，从而引导非公企业经济发展和改善劳资关系。</w:t>
      </w:r>
    </w:p>
    <w:p w14:paraId="5DC478B5">
      <w:pPr>
        <w:pStyle w:val="5"/>
        <w:bidi w:val="0"/>
        <w:rPr>
          <w:rFonts w:ascii="宋体" w:hAnsi="宋体" w:eastAsia="宋体"/>
          <w:b/>
          <w:bCs/>
          <w:color w:val="000000" w:themeColor="text1"/>
          <w:sz w:val="24"/>
          <w:szCs w:val="24"/>
          <w14:textFill>
            <w14:solidFill>
              <w14:schemeClr w14:val="tx1"/>
            </w14:solidFill>
          </w14:textFill>
        </w:rPr>
      </w:pPr>
      <w:r>
        <w:rPr>
          <w:rFonts w:hint="eastAsia" w:ascii="宋体" w:hAnsi="宋体" w:eastAsia="宋体"/>
          <w:b/>
          <w:bCs/>
          <w:color w:val="000000" w:themeColor="text1"/>
          <w:sz w:val="24"/>
          <w:szCs w:val="24"/>
          <w14:textFill>
            <w14:solidFill>
              <w14:schemeClr w14:val="tx1"/>
            </w14:solidFill>
          </w14:textFill>
        </w:rPr>
        <w:t>（二）运用智能技术发挥公有制经济优势</w:t>
      </w:r>
    </w:p>
    <w:p w14:paraId="22B4BAF5">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运用智能技术发挥公有制经济优势对于建设中国式现代化、实现中华民族伟大复兴具有重要意义。在要素组织层面，需要提高劳动过程的自由性和社会性，促进劳动者自由全面发展；在过程管理层面，应当构建中国式劳动过程管理体系；在所有制关系层面，必须营造高效和谐的生产关系。而这些主要依赖于国家主导规律发挥作用。“中国特色社会主义政治经济学必须坚持国家主导型的市场原则</w:t>
      </w:r>
      <w:r>
        <w:rPr>
          <w:rFonts w:ascii="Times New Roman" w:hAnsi="Times New Roman" w:eastAsia="宋体" w:cs="Times New Roman"/>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要在国家调控主导下发挥市场在资源配置中的基础性作用</w:t>
      </w:r>
      <w:r>
        <w:rPr>
          <w:rFonts w:ascii="宋体" w:hAnsi="宋体" w:eastAsia="宋体"/>
          <w:color w:val="000000" w:themeColor="text1"/>
          <w:sz w:val="24"/>
          <w:szCs w:val="24"/>
          <w14:textFill>
            <w14:solidFill>
              <w14:schemeClr w14:val="tx1"/>
            </w14:solidFill>
          </w14:textFill>
        </w:rPr>
        <w:t>,使市场在一般资源配置中起决定性作用和更好发挥政府作用</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vertAlign w:val="superscript"/>
          <w14:textFill>
            <w14:solidFill>
              <w14:schemeClr w14:val="tx1"/>
            </w14:solidFill>
          </w14:textFill>
        </w:rPr>
        <w:t>[44]</w:t>
      </w:r>
    </w:p>
    <w:p w14:paraId="13EDBC4A">
      <w:pPr>
        <w:spacing w:line="30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具体来看，首先，劳动者职业选择的自由需要依靠更灵活、更统一的全国劳动力市场。这需要建立国家级劳动者数据库和就业信息平台，在应用智能算法的情况下实现劳动者和工作的快速匹配。其次，劳动者在劳动过程中及劳动产品分配中的自由则需要坚持公有制经济的主体地位。不仅如此，要提高劳动过程的联合性，不仅要进一步促进劳动协作的发展，还要切实发挥国家主导规律对经济运行的调节作用，实现全社会供给和需求之间的相互匹配。最后，构建中国式劳动过程管理体系以及营造高效和谐的生产关系，同样离不开国家主导下的全社会合作。运用智能技术发挥公有制经济优势，完善兼具中国特色和社会主义优越性的劳动组织形式和管理体系，才能切实推进中国式现代化的发展。</w:t>
      </w:r>
    </w:p>
    <w:p w14:paraId="28B46757">
      <w:pPr>
        <w:spacing w:line="300" w:lineRule="auto"/>
        <w:ind w:firstLine="480" w:firstLineChars="200"/>
        <w:rPr>
          <w:rFonts w:ascii="宋体" w:hAnsi="宋体" w:eastAsia="宋体"/>
          <w:color w:val="000000" w:themeColor="text1"/>
          <w:sz w:val="24"/>
          <w:szCs w:val="24"/>
          <w14:textFill>
            <w14:solidFill>
              <w14:schemeClr w14:val="tx1"/>
            </w14:solidFill>
          </w14:textFill>
        </w:rPr>
      </w:pPr>
    </w:p>
    <w:p w14:paraId="47B6B64E">
      <w:pPr>
        <w:spacing w:line="300" w:lineRule="auto"/>
        <w:ind w:firstLine="480" w:firstLineChars="200"/>
        <w:rPr>
          <w:rFonts w:ascii="宋体" w:hAnsi="宋体" w:eastAsia="宋体"/>
          <w:color w:val="000000" w:themeColor="text1"/>
          <w:sz w:val="24"/>
          <w:szCs w:val="24"/>
          <w14:textFill>
            <w14:solidFill>
              <w14:schemeClr w14:val="tx1"/>
            </w14:solidFill>
          </w14:textFill>
        </w:rPr>
      </w:pPr>
    </w:p>
    <w:p w14:paraId="43A21911">
      <w:pPr>
        <w:pStyle w:val="4"/>
        <w:bidi w:val="0"/>
      </w:pPr>
      <w:r>
        <w:rPr>
          <w:rFonts w:hint="eastAsia"/>
        </w:rPr>
        <w:t>参考文献:</w:t>
      </w:r>
    </w:p>
    <w:p w14:paraId="3AFD7BFC">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[1]胡莹.数字经济时代我国的劳动过程分析:基于马克思劳动过程理论的视角[J].社会主义研究,2021(4):41-48.</w:t>
      </w:r>
    </w:p>
    <w:p w14:paraId="30DF4981">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[2]盖凯程,李孟杰.工业智能化的政治经济学分析:基于“技术—劳动过程—劳资关系”三维作用机制[J].财经科学,2022 (6):50-61.</w:t>
      </w:r>
    </w:p>
    <w:p w14:paraId="60D804C4">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[3]韩文龙,刘璐.数字劳动过程及其四种表现形式[J].财经科学,2020(1):67-79.</w:t>
      </w:r>
    </w:p>
    <w:p w14:paraId="6A6F02BE">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[4]王梦菲,张昕蔚.数字经济时代技术变革对生产过程的影响机制研究[J].经济学家,2020(1):52-58.</w:t>
      </w:r>
    </w:p>
    <w:p w14:paraId="23DBFF6D">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[5]陈龙.“数字控制”下的劳动秩序:外卖骑手的劳动控制研究[J].社会学研究,2020 (6):113-135+244.</w:t>
      </w:r>
    </w:p>
    <w:p w14:paraId="23A0DEB2">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[6]杨善奇,刘岩.智能算法控制下的劳动过程研究[J].经济学家,2021(12):31-40.</w:t>
      </w:r>
    </w:p>
    <w:p w14:paraId="197714FD">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[7]杨又.算法资本主义：重新定义监控和剥削的逻辑[J].毛泽东邓小平理论研究,2022 (12):56-64+104-105.</w:t>
      </w:r>
    </w:p>
    <w:p w14:paraId="563D0B8C">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[8]戚聿东,刘翠花,丁述磊.数字经济发展、就业结构优化与就业质量提升[J].经济学动态,2020(11):17-35.</w:t>
      </w:r>
    </w:p>
    <w:p w14:paraId="4079ECBD">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[9]肖峰.数字技术资本化与劳动新异化[J].马克思主义研究,2022(5):121-132+156.</w:t>
      </w:r>
    </w:p>
    <w:p w14:paraId="78D0C1DE">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[10]燕连福,谢芳芳.福克斯数字劳动概念探析[J].马克思主义与现实,2017(2):113-120.</w:t>
      </w:r>
    </w:p>
    <w:p w14:paraId="517BC552">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[11]冯向楠,詹婧.人工智能时代互联网平台劳动过程研究:以平台外卖骑手为例[J].社会发展研究,2019(3):61～83+243.</w:t>
      </w:r>
    </w:p>
    <w:p w14:paraId="07AF2CC8">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[12]</w:t>
      </w:r>
      <w:r>
        <w:rPr>
          <w:rFonts w:ascii="宋体" w:hAnsi="宋体" w:eastAsia="宋体" w:cs="Times New Roman"/>
          <w:caps/>
          <w:color w:val="000000" w:themeColor="text1"/>
          <w:sz w:val="24"/>
          <w:szCs w:val="24"/>
          <w14:textFill>
            <w14:solidFill>
              <w14:schemeClr w14:val="tx1"/>
            </w14:solidFill>
          </w14:textFill>
        </w:rPr>
        <w:t>McDonald P, Williams P, Mayes R</w:t>
      </w:r>
      <w:r>
        <w:rPr>
          <w:rFonts w:ascii="宋体" w:hAnsi="宋体" w:eastAsia="宋体" w:cs="Times New Roman"/>
          <w:color w:val="000000" w:themeColor="text1"/>
          <w:sz w:val="24"/>
          <w:szCs w:val="24"/>
          <w14:textFill>
            <w14:solidFill>
              <w14:schemeClr w14:val="tx1"/>
            </w14:solidFill>
          </w14:textFill>
        </w:rPr>
        <w:t>. Means of control in the organization of digitally intermediated care work[J]. Work, employment and society, 2021(5):872</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890.</w:t>
      </w:r>
    </w:p>
    <w:p w14:paraId="07156076">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 xml:space="preserve">[13] </w:t>
      </w:r>
      <w:r>
        <w:rPr>
          <w:rFonts w:ascii="宋体" w:hAnsi="宋体" w:eastAsia="宋体" w:cs="Times New Roman"/>
          <w:caps/>
          <w:color w:val="000000" w:themeColor="text1"/>
          <w:sz w:val="24"/>
          <w:szCs w:val="24"/>
          <w14:textFill>
            <w14:solidFill>
              <w14:schemeClr w14:val="tx1"/>
            </w14:solidFill>
          </w14:textFill>
        </w:rPr>
        <w:t>Veen A, Barratt T, Goods C.</w:t>
      </w:r>
      <w:r>
        <w:rPr>
          <w:rFonts w:ascii="宋体" w:hAnsi="宋体" w:eastAsia="宋体" w:cs="Times New Roman"/>
          <w:color w:val="000000" w:themeColor="text1"/>
          <w:sz w:val="24"/>
          <w:szCs w:val="24"/>
          <w14:textFill>
            <w14:solidFill>
              <w14:schemeClr w14:val="tx1"/>
            </w14:solidFill>
          </w14:textFill>
        </w:rPr>
        <w:t xml:space="preserve"> Platform-capital’s “appetite” for control: a labour process analysis of food-Delivery work in Australia[J]. Work, employment and society, 2020(3):388</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406.</w:t>
      </w:r>
    </w:p>
    <w:p w14:paraId="788D9685">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 xml:space="preserve">[14] </w:t>
      </w:r>
      <w:r>
        <w:rPr>
          <w:rFonts w:ascii="宋体" w:hAnsi="宋体" w:eastAsia="宋体" w:cs="Times New Roman"/>
          <w:caps/>
          <w:color w:val="000000" w:themeColor="text1"/>
          <w:sz w:val="24"/>
          <w:szCs w:val="24"/>
          <w14:textFill>
            <w14:solidFill>
              <w14:schemeClr w14:val="tx1"/>
            </w14:solidFill>
          </w14:textFill>
        </w:rPr>
        <w:t>Hayes K.</w:t>
      </w:r>
      <w:r>
        <w:rPr>
          <w:rFonts w:ascii="宋体" w:hAnsi="宋体" w:eastAsia="宋体" w:cs="Times New Roman"/>
          <w:color w:val="000000" w:themeColor="text1"/>
          <w:sz w:val="24"/>
          <w:szCs w:val="24"/>
          <w14:textFill>
            <w14:solidFill>
              <w14:schemeClr w14:val="tx1"/>
            </w14:solidFill>
          </w14:textFill>
        </w:rPr>
        <w:t xml:space="preserve"> The networked newsroom: navigating new boundaries of work[J]. Journalism practice, 2021(3):1</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15.</w:t>
      </w:r>
    </w:p>
    <w:p w14:paraId="73315207">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 xml:space="preserve">[15] </w:t>
      </w:r>
      <w:r>
        <w:rPr>
          <w:rFonts w:ascii="宋体" w:hAnsi="宋体" w:eastAsia="宋体" w:cs="Times New Roman"/>
          <w:caps/>
          <w:color w:val="000000" w:themeColor="text1"/>
          <w:sz w:val="24"/>
          <w:szCs w:val="24"/>
          <w14:textFill>
            <w14:solidFill>
              <w14:schemeClr w14:val="tx1"/>
            </w14:solidFill>
          </w14:textFill>
        </w:rPr>
        <w:t>Greenhill A, Fletcher G.</w:t>
      </w:r>
      <w:r>
        <w:rPr>
          <w:rFonts w:ascii="宋体" w:hAnsi="宋体" w:eastAsia="宋体" w:cs="Times New Roman"/>
          <w:color w:val="000000" w:themeColor="text1"/>
          <w:sz w:val="24"/>
          <w:szCs w:val="24"/>
          <w14:textFill>
            <w14:solidFill>
              <w14:schemeClr w14:val="tx1"/>
            </w14:solidFill>
          </w14:textFill>
        </w:rPr>
        <w:t xml:space="preserve"> Laboring online: are there “new” labor processes in virtual game worlds? [J]. Journal of the association for information systems, 2013(11):672</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693.</w:t>
      </w:r>
    </w:p>
    <w:p w14:paraId="0370F207">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[16]祝黄河,孙兴.人工智能时代劳动发展的逻辑与实践[J].思想理论教育导刊,2023 (4):56-64.</w:t>
      </w:r>
    </w:p>
    <w:p w14:paraId="1D183CAC">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[17]马克思恩格斯文集:第 5卷[M].北京：人民出版社,2009.</w:t>
      </w:r>
    </w:p>
    <w:p w14:paraId="5ACD9EDD">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[18]马克思恩格斯文集:第1卷[M].北京：人民出版社</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2009.</w:t>
      </w:r>
    </w:p>
    <w:p w14:paraId="380B8C8A">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[19]列宁全集:第34卷[M].北京：人民出版社,2017:170.</w:t>
      </w:r>
    </w:p>
    <w:p w14:paraId="3FA002F1">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[20]斯大林选集:下卷[M].北京：人民出版社,1979.</w:t>
      </w:r>
    </w:p>
    <w:p w14:paraId="6B1C8983">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[21]</w:t>
      </w:r>
      <w:r>
        <w:rPr>
          <w:rFonts w:ascii="宋体" w:hAnsi="宋体" w:eastAsia="宋体" w:cs="Times New Roman"/>
          <w:caps/>
          <w:color w:val="000000" w:themeColor="text1"/>
          <w:sz w:val="24"/>
          <w:szCs w:val="24"/>
          <w14:textFill>
            <w14:solidFill>
              <w14:schemeClr w14:val="tx1"/>
            </w14:solidFill>
          </w14:textFill>
        </w:rPr>
        <w:t>Kaufman B E</w:t>
      </w:r>
      <w:r>
        <w:rPr>
          <w:rFonts w:ascii="宋体" w:hAnsi="宋体" w:eastAsia="宋体" w:cs="Times New Roman"/>
          <w:color w:val="000000" w:themeColor="text1"/>
          <w:sz w:val="24"/>
          <w:szCs w:val="24"/>
          <w14:textFill>
            <w14:solidFill>
              <w14:schemeClr w14:val="tx1"/>
            </w14:solidFill>
          </w14:textFill>
        </w:rPr>
        <w:t>. Theoretical perspectives on work and the employment relationship[M]. Cornell: Cornell University Press, 2004:133</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162.</w:t>
      </w:r>
    </w:p>
    <w:p w14:paraId="2ED472F1">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[22]</w:t>
      </w:r>
      <w:r>
        <w:rPr>
          <w:rFonts w:ascii="宋体" w:hAnsi="宋体" w:eastAsia="宋体" w:cs="Times New Roman"/>
          <w:caps/>
          <w:color w:val="000000" w:themeColor="text1"/>
          <w:sz w:val="24"/>
          <w:szCs w:val="24"/>
          <w14:textFill>
            <w14:solidFill>
              <w14:schemeClr w14:val="tx1"/>
            </w14:solidFill>
          </w14:textFill>
        </w:rPr>
        <w:t>Marglin, Stephen A.</w:t>
      </w:r>
      <w:r>
        <w:rPr>
          <w:rFonts w:ascii="宋体" w:hAnsi="宋体" w:eastAsia="宋体" w:cs="Times New Roman"/>
          <w:color w:val="000000" w:themeColor="text1"/>
          <w:sz w:val="24"/>
          <w:szCs w:val="24"/>
          <w14:textFill>
            <w14:solidFill>
              <w14:schemeClr w14:val="tx1"/>
            </w14:solidFill>
          </w14:textFill>
        </w:rPr>
        <w:t xml:space="preserve"> What do bosses Do: the origins and functions of hierarchy in capitalist production[J]. Review of radical political economics, 1974(6):60-112.</w:t>
      </w:r>
    </w:p>
    <w:p w14:paraId="40F5F412">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[23]</w:t>
      </w:r>
      <w:r>
        <w:rPr>
          <w:rFonts w:ascii="宋体" w:hAnsi="宋体" w:eastAsia="宋体" w:cs="Times New Roman"/>
          <w:caps/>
          <w:color w:val="000000" w:themeColor="text1"/>
          <w:sz w:val="24"/>
          <w:szCs w:val="24"/>
          <w14:textFill>
            <w14:solidFill>
              <w14:schemeClr w14:val="tx1"/>
            </w14:solidFill>
          </w14:textFill>
        </w:rPr>
        <w:t>Stone k.</w:t>
      </w:r>
      <w:r>
        <w:rPr>
          <w:rFonts w:ascii="宋体" w:hAnsi="宋体" w:eastAsia="宋体" w:cs="Times New Roman"/>
          <w:color w:val="000000" w:themeColor="text1"/>
          <w:sz w:val="24"/>
          <w:szCs w:val="24"/>
          <w14:textFill>
            <w14:solidFill>
              <w14:schemeClr w14:val="tx1"/>
            </w14:solidFill>
          </w14:textFill>
        </w:rPr>
        <w:t xml:space="preserve"> The origins of job structures in the steel industry[J]. Review of radical political economics, 1974(6):113</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173.</w:t>
      </w:r>
    </w:p>
    <w:p w14:paraId="15426073">
      <w:pPr>
        <w:pStyle w:val="11"/>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[24]</w:t>
      </w:r>
      <w:r>
        <w:rPr>
          <w:rFonts w:ascii="宋体" w:hAnsi="宋体" w:eastAsia="宋体" w:cs="Times New Roman"/>
          <w:caps/>
          <w:color w:val="000000" w:themeColor="text1"/>
          <w:sz w:val="24"/>
          <w:szCs w:val="24"/>
          <w14:textFill>
            <w14:solidFill>
              <w14:schemeClr w14:val="tx1"/>
            </w14:solidFill>
          </w14:textFill>
        </w:rPr>
        <w:t>Gorz a.</w:t>
      </w:r>
      <w:r>
        <w:rPr>
          <w:rFonts w:ascii="宋体" w:hAnsi="宋体" w:eastAsia="宋体" w:cs="Times New Roman"/>
          <w:color w:val="000000" w:themeColor="text1"/>
          <w:sz w:val="24"/>
          <w:szCs w:val="24"/>
          <w14:textFill>
            <w14:solidFill>
              <w14:schemeClr w14:val="tx1"/>
            </w14:solidFill>
          </w14:textFill>
        </w:rPr>
        <w:t xml:space="preserve"> The division of labour: the labour process and class-struggle in modern capitalism[M]. Hassocks: Harvester Press</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 xml:space="preserve"> 1976:8.</w:t>
      </w:r>
    </w:p>
    <w:p w14:paraId="5FCCD64A">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[25]谢富胜,宋宪萍.资本主义劳动过程研究:从缺失到复兴[J].马克思主义研究,2011(10):74-83.</w:t>
      </w:r>
    </w:p>
    <w:p w14:paraId="1ED663A7">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[26]哈里·布雷弗曼.劳动与垄断资本[M].方生等译，北京：商务印书馆出版社,1979:1.</w:t>
      </w:r>
    </w:p>
    <w:p w14:paraId="6FE3FB09">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[27]迈克尔·布若威.制造同意:垄断资本主义劳动过程的变迁[M].李荣译，北京：商务印书馆,2008:87-89.</w:t>
      </w:r>
    </w:p>
    <w:p w14:paraId="7F33A333">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[28]</w:t>
      </w:r>
      <w:r>
        <w:rPr>
          <w:rFonts w:ascii="宋体" w:hAnsi="宋体" w:eastAsia="宋体" w:cs="Times New Roman"/>
          <w:caps/>
          <w:color w:val="000000" w:themeColor="text1"/>
          <w:sz w:val="24"/>
          <w:szCs w:val="24"/>
          <w14:textFill>
            <w14:solidFill>
              <w14:schemeClr w14:val="tx1"/>
            </w14:solidFill>
          </w14:textFill>
        </w:rPr>
        <w:t>Friedman a l</w:t>
      </w:r>
      <w:r>
        <w:rPr>
          <w:rFonts w:ascii="宋体" w:hAnsi="宋体" w:eastAsia="宋体" w:cs="Times New Roman"/>
          <w:color w:val="000000" w:themeColor="text1"/>
          <w:sz w:val="24"/>
          <w:szCs w:val="24"/>
          <w14:textFill>
            <w14:solidFill>
              <w14:schemeClr w14:val="tx1"/>
            </w14:solidFill>
          </w14:textFill>
        </w:rPr>
        <w:t>. Industry and labour class structure at work and monopoly capitalism[M].London: The Macmillan Press Ltd, 1977:78.</w:t>
      </w:r>
    </w:p>
    <w:p w14:paraId="3DEEDA31">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[29]</w:t>
      </w:r>
      <w:r>
        <w:rPr>
          <w:rFonts w:ascii="宋体" w:hAnsi="宋体" w:eastAsia="宋体" w:cs="Times New Roman"/>
          <w:caps/>
          <w:color w:val="000000" w:themeColor="text1"/>
          <w:sz w:val="24"/>
          <w:szCs w:val="24"/>
          <w14:textFill>
            <w14:solidFill>
              <w14:schemeClr w14:val="tx1"/>
            </w14:solidFill>
          </w14:textFill>
        </w:rPr>
        <w:t>Edwards R C</w:t>
      </w:r>
      <w:r>
        <w:rPr>
          <w:rFonts w:ascii="宋体" w:hAnsi="宋体" w:eastAsia="宋体" w:cs="Times New Roman"/>
          <w:color w:val="000000" w:themeColor="text1"/>
          <w:sz w:val="24"/>
          <w:szCs w:val="24"/>
          <w14:textFill>
            <w14:solidFill>
              <w14:schemeClr w14:val="tx1"/>
            </w14:solidFill>
          </w14:textFill>
        </w:rPr>
        <w:t>. Contested terrain the transformation of the workplace in the twentieth century[M]. New York: Basic Books Inc., 1979:20.</w:t>
      </w:r>
    </w:p>
    <w:p w14:paraId="6B3D26F6">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[30]</w:t>
      </w:r>
      <w:r>
        <w:rPr>
          <w:rFonts w:ascii="宋体" w:hAnsi="宋体" w:eastAsia="宋体" w:cs="Times New Roman"/>
          <w:caps/>
          <w:color w:val="000000" w:themeColor="text1"/>
          <w:sz w:val="24"/>
          <w:szCs w:val="24"/>
          <w14:textFill>
            <w14:solidFill>
              <w14:schemeClr w14:val="tx1"/>
            </w14:solidFill>
          </w14:textFill>
        </w:rPr>
        <w:t>Knights, D, Willmott h.</w:t>
      </w:r>
      <w:r>
        <w:rPr>
          <w:rFonts w:ascii="宋体" w:hAnsi="宋体" w:eastAsia="宋体" w:cs="Times New Roman"/>
          <w:color w:val="000000" w:themeColor="text1"/>
          <w:sz w:val="24"/>
          <w:szCs w:val="24"/>
          <w14:textFill>
            <w14:solidFill>
              <w14:schemeClr w14:val="tx1"/>
            </w14:solidFill>
          </w14:textFill>
        </w:rPr>
        <w:t xml:space="preserve"> Power and subjectivity at work: from degradation to subjugation in social relations[J]. Sociology, 1989(4):535</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558.</w:t>
      </w:r>
    </w:p>
    <w:p w14:paraId="202FAC19">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[31]</w:t>
      </w:r>
      <w:r>
        <w:rPr>
          <w:rFonts w:ascii="宋体" w:hAnsi="宋体" w:eastAsia="宋体" w:cs="Times New Roman"/>
          <w:caps/>
          <w:color w:val="000000" w:themeColor="text1"/>
          <w:sz w:val="24"/>
          <w:szCs w:val="24"/>
          <w14:textFill>
            <w14:solidFill>
              <w14:schemeClr w14:val="tx1"/>
            </w14:solidFill>
          </w14:textFill>
        </w:rPr>
        <w:t>Adler P S.</w:t>
      </w:r>
      <w:r>
        <w:rPr>
          <w:rFonts w:ascii="宋体" w:hAnsi="宋体" w:eastAsia="宋体" w:cs="Times New Roman"/>
          <w:color w:val="000000" w:themeColor="text1"/>
          <w:sz w:val="24"/>
          <w:szCs w:val="24"/>
          <w14:textFill>
            <w14:solidFill>
              <w14:schemeClr w14:val="tx1"/>
            </w14:solidFill>
          </w14:textFill>
        </w:rPr>
        <w:t xml:space="preserve"> The future of critical management studies: a paleo-marxist critique of labour process theory[J].Organization studies, 2007(9):1313</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1345.</w:t>
      </w:r>
    </w:p>
    <w:p w14:paraId="7E2DA3B6">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[32]易森，赵磊，彭卓.数字技术赋能下的新时代中国分工优化与利益共享[J].海派经济学，2022(4):105-115.</w:t>
      </w:r>
    </w:p>
    <w:p w14:paraId="76BDD753">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[33]王富军，翟佳欣.对数字资本主义与数字帝国主义的双重批判：耦合与超越[J].政治经济学研究，2022(4):135-143.</w:t>
      </w:r>
    </w:p>
    <w:p w14:paraId="05F1088D">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[34]李增军,卢嘉瑞.马克思恩格斯“机器排挤工人”理论及其当代价值[J].政治经济学研究,2022 (3):6-17.</w:t>
      </w:r>
    </w:p>
    <w:p w14:paraId="0C04CF0F">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[35]程恩富,段学慧.《资本论》中关于共产主义经济形态的思想阐释(上)[J].经济纵横,2017(4):1-15.</w:t>
      </w:r>
    </w:p>
    <w:p w14:paraId="429832D7">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[36]王少光.大数据时代数字劳动异化问题探究[J].海派经济学,2021(4):29-41.</w:t>
      </w:r>
    </w:p>
    <w:p w14:paraId="239D2165">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[37]彼得·布劳，马歇尔·梅耶.现代社会中的科层制[M].马戎等译，上海：学林出版社，2001：1-2.</w:t>
      </w:r>
    </w:p>
    <w:p w14:paraId="67CA18B6">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[38]马克斯·韦伯.经济与社会：上卷[M].林荣远译，北京：商务印书馆，1997：248.</w:t>
      </w:r>
    </w:p>
    <w:p w14:paraId="2C5317CF">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[39]康芒斯.制度经济学[M].北京：商务印书馆，1962：87.</w:t>
      </w:r>
    </w:p>
    <w:p w14:paraId="272B2AD4">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[40]高斯扬，程恩富.监控资本主义视阈下的技术权力探析[J].内蒙古社会科学,2020( 4):55-62.</w:t>
      </w:r>
    </w:p>
    <w:p w14:paraId="37E2D786">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[41]程恩富.论创立“大文化”经济学[J].江西社会科学,1993(12):36-41.</w:t>
      </w:r>
    </w:p>
    <w:p w14:paraId="7E9CED76">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[42]张淑敏,刘军.委托代理理论与中国国有企业改革模式构建[J].财经问题研究,2006(7):78-84.</w:t>
      </w:r>
    </w:p>
    <w:p w14:paraId="5FD87D4F">
      <w:pPr>
        <w:spacing w:line="300" w:lineRule="auto"/>
        <w:ind w:left="480" w:hanging="480" w:hanging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[43]列宁专题文集：论社会主义[M].北京：人民出版社</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2009:53-54.</w:t>
      </w:r>
    </w:p>
    <w:p w14:paraId="1DF96E13">
      <w:pPr>
        <w:spacing w:line="300" w:lineRule="auto"/>
        <w:ind w:left="480" w:hanging="480" w:hangingChars="200"/>
        <w:rPr>
          <w:rFonts w:ascii="Times New Roman" w:hAnsi="Times New Roman" w:eastAsia="楷体" w:cs="Times New Roman"/>
          <w:color w:val="000000" w:themeColor="text1"/>
          <w:szCs w:val="21"/>
          <w14:textFill>
            <w14:solidFill>
              <w14:schemeClr w14:val="tx1"/>
            </w14:solidFill>
          </w14:textFill>
        </w:rPr>
      </w:pP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44]程恩富</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要坚持中国特色社会主义政治经济学的八个重大原则</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J]经济纵横,2016</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3</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:1</w:t>
      </w:r>
      <w:r>
        <w:rPr>
          <w:rFonts w:hint="eastAsia" w:ascii="宋体" w:hAnsi="宋体" w:eastAsia="宋体" w:cs="Times New Roman"/>
          <w:color w:val="000000" w:themeColor="text1"/>
          <w:sz w:val="24"/>
          <w:szCs w:val="24"/>
          <w14:textFill>
            <w14:solidFill>
              <w14:schemeClr w14:val="tx1"/>
            </w14:solidFill>
          </w14:textFill>
        </w:rPr>
        <w:t>-</w:t>
      </w:r>
      <w:r>
        <w:rPr>
          <w:rFonts w:ascii="宋体" w:hAnsi="宋体" w:eastAsia="宋体" w:cs="Times New Roman"/>
          <w:color w:val="000000" w:themeColor="text1"/>
          <w:sz w:val="24"/>
          <w:szCs w:val="24"/>
          <w14:textFill>
            <w14:solidFill>
              <w14:schemeClr w14:val="tx1"/>
            </w14:solidFill>
          </w14:textFill>
        </w:rPr>
        <w:t>6</w:t>
      </w:r>
      <w:r>
        <w:rPr>
          <w:rFonts w:hint="eastAsia" w:ascii="宋体" w:hAnsi="宋体" w:eastAsia="宋体" w:cs="Times New Roman"/>
          <w:color w:val="000000" w:themeColor="text1"/>
          <w:sz w:val="24"/>
          <w:szCs w:val="24"/>
          <w14:textFill>
            <w14:solidFill>
              <w14:schemeClr w14:val="tx1"/>
            </w14:solidFill>
          </w14:textFill>
        </w:rPr>
        <w:t>.</w:t>
      </w:r>
    </w:p>
    <w:p w14:paraId="233C21DB">
      <w:pPr>
        <w:spacing w:line="300" w:lineRule="auto"/>
        <w:ind w:firstLine="420" w:firstLineChars="200"/>
        <w:rPr>
          <w:rFonts w:ascii="Times New Roman" w:hAnsi="Times New Roman" w:eastAsia="楷体" w:cs="Times New Roman"/>
          <w:color w:val="000000" w:themeColor="text1"/>
          <w:szCs w:val="21"/>
          <w14:textFill>
            <w14:solidFill>
              <w14:schemeClr w14:val="tx1"/>
            </w14:solidFill>
          </w14:textFill>
        </w:rPr>
      </w:pPr>
    </w:p>
    <w:p w14:paraId="4E6688EA">
      <w:pPr>
        <w:spacing w:line="300" w:lineRule="auto"/>
        <w:ind w:firstLine="420" w:firstLineChars="200"/>
        <w:rPr>
          <w:rFonts w:hint="eastAsia" w:ascii="Times New Roman" w:hAnsi="Times New Roman" w:eastAsia="楷体" w:cs="Times New Roman"/>
          <w:color w:val="000000" w:themeColor="text1"/>
          <w:szCs w:val="21"/>
          <w:lang w:eastAsia="zh-CN"/>
          <w14:textFill>
            <w14:solidFill>
              <w14:schemeClr w14:val="tx1"/>
            </w14:solidFill>
          </w14:textFill>
        </w:rPr>
      </w:pPr>
      <w:r>
        <w:rPr>
          <w:rFonts w:hint="eastAsia" w:ascii="Times New Roman" w:hAnsi="Times New Roman" w:eastAsia="楷体" w:cs="Times New Roman"/>
          <w:color w:val="000000" w:themeColor="text1"/>
          <w:szCs w:val="21"/>
          <w:lang w:eastAsia="zh-CN"/>
          <w14:textFill>
            <w14:solidFill>
              <w14:schemeClr w14:val="tx1"/>
            </w14:solidFill>
          </w14:textFill>
        </w:rPr>
        <w:t>（</w:t>
      </w:r>
      <w:r>
        <w:rPr>
          <w:rFonts w:hint="eastAsia" w:ascii="Times New Roman" w:hAnsi="Times New Roman" w:eastAsia="楷体" w:cs="Times New Roman"/>
          <w:color w:val="000000" w:themeColor="text1"/>
          <w:szCs w:val="21"/>
          <w:lang w:val="en-US" w:eastAsia="zh-CN"/>
          <w14:textFill>
            <w14:solidFill>
              <w14:schemeClr w14:val="tx1"/>
            </w14:solidFill>
          </w14:textFill>
        </w:rPr>
        <w:t>原载《管理学刊》2023年第4期，第二作者为潘越。</w:t>
      </w:r>
      <w:r>
        <w:rPr>
          <w:rFonts w:hint="eastAsia" w:ascii="Times New Roman" w:hAnsi="Times New Roman" w:eastAsia="楷体" w:cs="Times New Roman"/>
          <w:color w:val="000000" w:themeColor="text1"/>
          <w:szCs w:val="21"/>
          <w:lang w:eastAsia="zh-CN"/>
          <w14:textFill>
            <w14:solidFill>
              <w14:schemeClr w14:val="tx1"/>
            </w14:solidFill>
          </w14:textFill>
        </w:rPr>
        <w:t>）</w:t>
      </w:r>
    </w:p>
    <w:p w14:paraId="0F5EF524">
      <w:pPr>
        <w:spacing w:line="300" w:lineRule="auto"/>
        <w:rPr>
          <w:rFonts w:ascii="Times New Roman" w:hAnsi="Times New Roman" w:eastAsia="楷体" w:cs="Times New Roman"/>
          <w:color w:val="000000" w:themeColor="text1"/>
          <w:sz w:val="18"/>
          <w:szCs w:val="18"/>
          <w14:textFill>
            <w14:solidFill>
              <w14:schemeClr w14:val="tx1"/>
            </w14:solidFill>
          </w14:textFill>
        </w:rPr>
      </w:pPr>
    </w:p>
    <w:p w14:paraId="7A836B2F">
      <w:pPr>
        <w:pStyle w:val="3"/>
        <w:bidi w:val="0"/>
        <w:rPr>
          <w:rFonts w:hint="default"/>
          <w:lang w:eastAsia="zh-CN"/>
        </w:rPr>
      </w:pPr>
      <w:bookmarkStart w:id="171" w:name="_Toc2088916503"/>
      <w:bookmarkStart w:id="172" w:name="_Toc2997"/>
      <w:bookmarkStart w:id="173" w:name="_Toc2096388842"/>
      <w:bookmarkStart w:id="174" w:name="_Toc389638414"/>
      <w:bookmarkStart w:id="175" w:name="_Toc244026832"/>
      <w:bookmarkStart w:id="176" w:name="_Toc1299096016"/>
      <w:r>
        <w:rPr>
          <w:rFonts w:hint="eastAsia"/>
          <w:lang w:val="en-US" w:eastAsia="zh-CN"/>
        </w:rPr>
        <w:t>5</w:t>
      </w:r>
      <w:r>
        <w:rPr>
          <w:rFonts w:hint="default"/>
          <w:lang w:eastAsia="zh-CN"/>
        </w:rPr>
        <w:t>马克思主义的分工理论及其当代发展</w:t>
      </w:r>
      <w:bookmarkEnd w:id="171"/>
      <w:bookmarkEnd w:id="172"/>
      <w:bookmarkEnd w:id="173"/>
      <w:bookmarkEnd w:id="174"/>
      <w:bookmarkEnd w:id="175"/>
      <w:bookmarkEnd w:id="176"/>
    </w:p>
    <w:p w14:paraId="7D00B50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lang w:eastAsia="zh-CN"/>
        </w:rPr>
      </w:pPr>
    </w:p>
    <w:p w14:paraId="28A0C69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9"/>
          <w:sz w:val="24"/>
          <w:szCs w:val="24"/>
          <w:lang w:eastAsia="zh-CN"/>
          <w14:textOutline w14:w="2540" w14:cap="rnd" w14:cmpd="sng" w14:algn="ctr">
            <w14:solidFill>
              <w14:srgbClr w14:val="231F20"/>
            </w14:solidFill>
            <w14:prstDash w14:val="solid"/>
            <w14:bevel/>
          </w14:textOutline>
        </w:rPr>
        <w:t>内容提要</w:t>
      </w:r>
      <w:r>
        <w:rPr>
          <w:rFonts w:hint="eastAsia" w:ascii="Times New Roman" w:hAnsi="Times New Roman" w:eastAsia="宋体" w:cs="Times New Roman"/>
          <w:spacing w:val="9"/>
          <w:sz w:val="24"/>
          <w:szCs w:val="24"/>
          <w:lang w:val="en-US" w:eastAsia="zh-CN"/>
          <w14:textOutline w14:w="2540" w14:cap="rnd" w14:cmpd="sng" w14:algn="ctr">
            <w14:solidFill>
              <w14:srgbClr w14:val="231F20"/>
            </w14:solidFill>
            <w14:prstDash w14:val="solid"/>
            <w14:bevel/>
          </w14:textOutline>
        </w:rPr>
        <w:t xml:space="preserve"> </w:t>
      </w:r>
      <w:r>
        <w:rPr>
          <w:rFonts w:hint="default" w:ascii="Times New Roman" w:hAnsi="Times New Roman" w:eastAsia="宋体" w:cs="Times New Roman"/>
          <w:spacing w:val="9"/>
          <w:sz w:val="24"/>
          <w:szCs w:val="24"/>
          <w:lang w:eastAsia="zh-CN"/>
        </w:rPr>
        <w:t>马克思主义的分工理论将分工内化于经济过程的现实批判思</w:t>
      </w:r>
      <w:r>
        <w:rPr>
          <w:rFonts w:hint="default" w:ascii="Times New Roman" w:hAnsi="Times New Roman" w:eastAsia="宋体" w:cs="Times New Roman"/>
          <w:spacing w:val="2"/>
          <w:sz w:val="24"/>
          <w:szCs w:val="24"/>
          <w:lang w:eastAsia="zh-CN"/>
        </w:rPr>
        <w:t>路,集中体现在分工的产生与深化、分工的类别、分工</w:t>
      </w:r>
      <w:r>
        <w:rPr>
          <w:rFonts w:hint="default" w:ascii="Times New Roman" w:hAnsi="Times New Roman" w:eastAsia="宋体" w:cs="Times New Roman"/>
          <w:spacing w:val="1"/>
          <w:sz w:val="24"/>
          <w:szCs w:val="24"/>
          <w:lang w:eastAsia="zh-CN"/>
        </w:rPr>
        <w:t>的作用、国际分工以及对</w:t>
      </w:r>
      <w:r>
        <w:rPr>
          <w:rFonts w:hint="default" w:ascii="Times New Roman" w:hAnsi="Times New Roman" w:eastAsia="宋体" w:cs="Times New Roman"/>
          <w:spacing w:val="9"/>
          <w:sz w:val="24"/>
          <w:szCs w:val="24"/>
          <w:lang w:eastAsia="zh-CN"/>
        </w:rPr>
        <w:t>分工的未来设想方面。马克思主义分工理论的当代发展主要表现在两个方面:</w:t>
      </w:r>
      <w:r>
        <w:rPr>
          <w:rFonts w:hint="default" w:ascii="Times New Roman" w:hAnsi="Times New Roman" w:eastAsia="宋体" w:cs="Times New Roman"/>
          <w:spacing w:val="10"/>
          <w:sz w:val="24"/>
          <w:szCs w:val="24"/>
          <w:lang w:eastAsia="zh-CN"/>
        </w:rPr>
        <w:t>一方面是对马克思主义分工理论的文本解读和逻辑</w:t>
      </w:r>
      <w:r>
        <w:rPr>
          <w:rFonts w:hint="default" w:ascii="Times New Roman" w:hAnsi="Times New Roman" w:eastAsia="宋体" w:cs="Times New Roman"/>
          <w:spacing w:val="9"/>
          <w:sz w:val="24"/>
          <w:szCs w:val="24"/>
          <w:lang w:eastAsia="zh-CN"/>
        </w:rPr>
        <w:t>梳理;另一方面主要是应用</w:t>
      </w:r>
      <w:r>
        <w:rPr>
          <w:rFonts w:hint="default" w:ascii="Times New Roman" w:hAnsi="Times New Roman" w:eastAsia="宋体" w:cs="Times New Roman"/>
          <w:spacing w:val="12"/>
          <w:sz w:val="24"/>
          <w:szCs w:val="24"/>
          <w:lang w:eastAsia="zh-CN"/>
        </w:rPr>
        <w:t>马克思主义分工理论对丰富鲜活的现实问题进行具体运用和深度分析。分工</w:t>
      </w:r>
      <w:r>
        <w:rPr>
          <w:rFonts w:hint="default" w:ascii="Times New Roman" w:hAnsi="Times New Roman" w:eastAsia="宋体" w:cs="Times New Roman"/>
          <w:spacing w:val="10"/>
          <w:sz w:val="24"/>
          <w:szCs w:val="24"/>
          <w:lang w:eastAsia="zh-CN"/>
        </w:rPr>
        <w:t>理论的马克思主义范式解读,既为我们探究理论源流提供了充分的诠释理据作用,又为我们关照现实中的分工现象提供了重要的</w:t>
      </w:r>
      <w:r>
        <w:rPr>
          <w:rFonts w:hint="default" w:ascii="Times New Roman" w:hAnsi="Times New Roman" w:eastAsia="宋体" w:cs="Times New Roman"/>
          <w:spacing w:val="9"/>
          <w:sz w:val="24"/>
          <w:szCs w:val="24"/>
          <w:lang w:eastAsia="zh-CN"/>
        </w:rPr>
        <w:t>价值导向作用。</w:t>
      </w:r>
    </w:p>
    <w:p w14:paraId="2872828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14:textOutline w14:w="2540" w14:cap="rnd" w14:cmpd="sng" w14:algn="ctr">
            <w14:solidFill>
              <w14:srgbClr w14:val="231F20"/>
            </w14:solidFill>
            <w14:prstDash w14:val="solid"/>
            <w14:bevel/>
          </w14:textOutline>
        </w:rPr>
        <w:t>关键词</w:t>
      </w:r>
      <w:r>
        <w:rPr>
          <w:rFonts w:hint="default" w:ascii="Times New Roman" w:hAnsi="Times New Roman" w:eastAsia="宋体" w:cs="Times New Roman"/>
          <w:spacing w:val="11"/>
          <w:sz w:val="24"/>
          <w:szCs w:val="24"/>
          <w:lang w:eastAsia="zh-CN"/>
        </w:rPr>
        <w:t>马克思主义;分工理论;社会分工;劳</w:t>
      </w:r>
      <w:r>
        <w:rPr>
          <w:rFonts w:hint="default" w:ascii="Times New Roman" w:hAnsi="Times New Roman" w:eastAsia="宋体" w:cs="Times New Roman"/>
          <w:spacing w:val="10"/>
          <w:sz w:val="24"/>
          <w:szCs w:val="24"/>
          <w:lang w:eastAsia="zh-CN"/>
        </w:rPr>
        <w:t>动分工</w:t>
      </w:r>
    </w:p>
    <w:p w14:paraId="0DE223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lang w:eastAsia="zh-CN"/>
        </w:rPr>
      </w:pPr>
    </w:p>
    <w:p w14:paraId="026D7CB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作为生产的基本形式和劳动的社会性存在方式,分工是一个伴随人类社</w:t>
      </w:r>
      <w:r>
        <w:rPr>
          <w:rFonts w:hint="default" w:ascii="Times New Roman" w:hAnsi="Times New Roman" w:eastAsia="宋体" w:cs="Times New Roman"/>
          <w:spacing w:val="13"/>
          <w:sz w:val="24"/>
          <w:szCs w:val="24"/>
          <w:lang w:eastAsia="zh-CN"/>
        </w:rPr>
        <w:t>会发展历久弥新的历史性实践过程。人类社会经济发展</w:t>
      </w:r>
      <w:r>
        <w:rPr>
          <w:rFonts w:hint="default" w:ascii="Times New Roman" w:hAnsi="Times New Roman" w:eastAsia="宋体" w:cs="Times New Roman"/>
          <w:spacing w:val="12"/>
          <w:sz w:val="24"/>
          <w:szCs w:val="24"/>
          <w:lang w:eastAsia="zh-CN"/>
        </w:rPr>
        <w:t>的过程,在某种程度</w:t>
      </w:r>
      <w:r>
        <w:rPr>
          <w:rFonts w:hint="default" w:ascii="Times New Roman" w:hAnsi="Times New Roman" w:eastAsia="宋体" w:cs="Times New Roman"/>
          <w:spacing w:val="13"/>
          <w:sz w:val="24"/>
          <w:szCs w:val="24"/>
          <w:lang w:eastAsia="zh-CN"/>
        </w:rPr>
        <w:t>上就是劳动不断分化的过程,即分工。各个国家和民族</w:t>
      </w:r>
      <w:r>
        <w:rPr>
          <w:rFonts w:hint="default" w:ascii="Times New Roman" w:hAnsi="Times New Roman" w:eastAsia="宋体" w:cs="Times New Roman"/>
          <w:spacing w:val="12"/>
          <w:sz w:val="24"/>
          <w:szCs w:val="24"/>
          <w:lang w:eastAsia="zh-CN"/>
        </w:rPr>
        <w:t>不同历史发展阶段对</w:t>
      </w:r>
      <w:r>
        <w:rPr>
          <w:rFonts w:hint="default" w:ascii="Times New Roman" w:hAnsi="Times New Roman" w:eastAsia="宋体" w:cs="Times New Roman"/>
          <w:spacing w:val="7"/>
          <w:sz w:val="24"/>
          <w:szCs w:val="24"/>
          <w:lang w:eastAsia="zh-CN"/>
        </w:rPr>
        <w:t>应的科学技术水平、资源配置方式、生产组织模式等因素的不同,经历的具体</w:t>
      </w:r>
      <w:r>
        <w:rPr>
          <w:rFonts w:hint="default" w:ascii="Times New Roman" w:hAnsi="Times New Roman" w:eastAsia="宋体" w:cs="Times New Roman"/>
          <w:spacing w:val="6"/>
          <w:sz w:val="24"/>
          <w:szCs w:val="24"/>
          <w:lang w:eastAsia="zh-CN"/>
        </w:rPr>
        <w:t>社会分工形式也不尽一致,进而呈现出文明的多样性景观。随</w:t>
      </w:r>
      <w:r>
        <w:rPr>
          <w:rFonts w:hint="default" w:ascii="Times New Roman" w:hAnsi="Times New Roman" w:eastAsia="宋体" w:cs="Times New Roman"/>
          <w:spacing w:val="5"/>
          <w:sz w:val="24"/>
          <w:szCs w:val="24"/>
          <w:lang w:eastAsia="zh-CN"/>
        </w:rPr>
        <w:t>着大数据、云计</w:t>
      </w:r>
      <w:r>
        <w:rPr>
          <w:rFonts w:hint="default" w:ascii="Times New Roman" w:hAnsi="Times New Roman" w:eastAsia="宋体" w:cs="Times New Roman"/>
          <w:spacing w:val="7"/>
          <w:sz w:val="24"/>
          <w:szCs w:val="24"/>
          <w:lang w:eastAsia="zh-CN"/>
        </w:rPr>
        <w:t>算、物联网等全球科技革命的迭代升级,人类社会已经处在了第四次工业革命</w:t>
      </w:r>
      <w:r>
        <w:rPr>
          <w:rFonts w:hint="default" w:ascii="Times New Roman" w:hAnsi="Times New Roman" w:eastAsia="宋体" w:cs="Times New Roman"/>
          <w:spacing w:val="11"/>
          <w:sz w:val="24"/>
          <w:szCs w:val="24"/>
          <w:lang w:eastAsia="zh-CN"/>
        </w:rPr>
        <w:t>的开端,新技术的发明和应用推动了社会和部门内部分工的发展和</w:t>
      </w:r>
      <w:r>
        <w:rPr>
          <w:rFonts w:hint="default" w:ascii="Times New Roman" w:hAnsi="Times New Roman" w:eastAsia="宋体" w:cs="Times New Roman"/>
          <w:spacing w:val="10"/>
          <w:sz w:val="24"/>
          <w:szCs w:val="24"/>
          <w:lang w:eastAsia="zh-CN"/>
        </w:rPr>
        <w:t>重塑,分工</w:t>
      </w:r>
      <w:r>
        <w:rPr>
          <w:rFonts w:hint="default" w:ascii="Times New Roman" w:hAnsi="Times New Roman" w:eastAsia="宋体" w:cs="Times New Roman"/>
          <w:spacing w:val="13"/>
          <w:sz w:val="24"/>
          <w:szCs w:val="24"/>
          <w:lang w:eastAsia="zh-CN"/>
        </w:rPr>
        <w:t>的规模经济和范围经济逐渐提升,企业间网络化分工协作和企业内</w:t>
      </w:r>
      <w:r>
        <w:rPr>
          <w:rFonts w:hint="default" w:ascii="Times New Roman" w:hAnsi="Times New Roman" w:eastAsia="宋体" w:cs="Times New Roman"/>
          <w:spacing w:val="12"/>
          <w:sz w:val="24"/>
          <w:szCs w:val="24"/>
          <w:lang w:eastAsia="zh-CN"/>
        </w:rPr>
        <w:t>部数字劳</w:t>
      </w:r>
      <w:r>
        <w:rPr>
          <w:rFonts w:hint="default" w:ascii="Times New Roman" w:hAnsi="Times New Roman" w:eastAsia="宋体" w:cs="Times New Roman"/>
          <w:spacing w:val="7"/>
          <w:sz w:val="24"/>
          <w:szCs w:val="24"/>
          <w:lang w:eastAsia="zh-CN"/>
        </w:rPr>
        <w:t>动过程不断深化。如何从马克思主义分工理论视域认识数字化分工变化特质</w:t>
      </w:r>
      <w:r>
        <w:rPr>
          <w:rFonts w:hint="default" w:ascii="Times New Roman" w:hAnsi="Times New Roman" w:eastAsia="宋体" w:cs="Times New Roman"/>
          <w:spacing w:val="11"/>
          <w:sz w:val="24"/>
          <w:szCs w:val="24"/>
          <w:lang w:eastAsia="zh-CN"/>
        </w:rPr>
        <w:t>与规律,并做好应对数字经济带来的分工变化和影响,是我们不得不面对的重</w:t>
      </w:r>
      <w:r>
        <w:rPr>
          <w:rFonts w:hint="default" w:ascii="Times New Roman" w:hAnsi="Times New Roman" w:eastAsia="宋体" w:cs="Times New Roman"/>
          <w:spacing w:val="13"/>
          <w:sz w:val="24"/>
          <w:szCs w:val="24"/>
          <w:lang w:eastAsia="zh-CN"/>
        </w:rPr>
        <w:t>大时代问题。本文试从马克思主义视角对分工理论进行</w:t>
      </w:r>
      <w:r>
        <w:rPr>
          <w:rFonts w:hint="default" w:ascii="Times New Roman" w:hAnsi="Times New Roman" w:eastAsia="宋体" w:cs="Times New Roman"/>
          <w:spacing w:val="12"/>
          <w:sz w:val="24"/>
          <w:szCs w:val="24"/>
          <w:lang w:eastAsia="zh-CN"/>
        </w:rPr>
        <w:t>梳理,尝试挖掘马克</w:t>
      </w:r>
      <w:r>
        <w:rPr>
          <w:rFonts w:hint="default" w:ascii="Times New Roman" w:hAnsi="Times New Roman" w:eastAsia="宋体" w:cs="Times New Roman"/>
          <w:spacing w:val="6"/>
          <w:sz w:val="24"/>
          <w:szCs w:val="24"/>
          <w:lang w:eastAsia="zh-CN"/>
        </w:rPr>
        <w:t>思主义分工理论的解释进路。</w:t>
      </w:r>
    </w:p>
    <w:p w14:paraId="0E87A7E1">
      <w:pPr>
        <w:pStyle w:val="4"/>
        <w:bidi w:val="0"/>
        <w:rPr>
          <w:rFonts w:hint="default"/>
          <w:lang w:eastAsia="zh-CN"/>
        </w:rPr>
      </w:pPr>
      <w:r>
        <w:rPr>
          <w:rFonts w:hint="default"/>
          <w:lang w:eastAsia="zh-CN"/>
        </w:rPr>
        <w:t>一、马克思主义的分工理论</w:t>
      </w:r>
    </w:p>
    <w:p w14:paraId="728AF3C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3"/>
          <w:sz w:val="24"/>
          <w:szCs w:val="24"/>
          <w:lang w:eastAsia="zh-CN"/>
        </w:rPr>
        <w:t>最早提出分工理论的是亚当·斯密,在斯密之前,虽然也有学者注意到了</w:t>
      </w:r>
      <w:r>
        <w:rPr>
          <w:rFonts w:hint="default" w:ascii="Times New Roman" w:hAnsi="Times New Roman" w:eastAsia="宋体" w:cs="Times New Roman"/>
          <w:spacing w:val="11"/>
          <w:sz w:val="24"/>
          <w:szCs w:val="24"/>
          <w:lang w:eastAsia="zh-CN"/>
        </w:rPr>
        <w:t>分工的重要作用</w:t>
      </w:r>
      <w:r>
        <w:rPr>
          <w:rStyle w:val="20"/>
          <w:rFonts w:hint="default" w:ascii="Times New Roman" w:hAnsi="Times New Roman" w:eastAsia="宋体" w:cs="Times New Roman"/>
          <w:spacing w:val="11"/>
          <w:sz w:val="24"/>
          <w:szCs w:val="24"/>
          <w:lang w:eastAsia="zh-CN"/>
        </w:rPr>
        <w:footnoteReference w:id="313"/>
      </w:r>
      <w:r>
        <w:rPr>
          <w:rFonts w:hint="default" w:ascii="Times New Roman" w:hAnsi="Times New Roman" w:eastAsia="宋体" w:cs="Times New Roman"/>
          <w:spacing w:val="11"/>
          <w:sz w:val="24"/>
          <w:szCs w:val="24"/>
          <w:lang w:eastAsia="zh-CN"/>
        </w:rPr>
        <w:t>,但第一次把分工放到了经济学研究首要位置的是斯密。</w:t>
      </w:r>
      <w:r>
        <w:rPr>
          <w:rFonts w:hint="default" w:ascii="Times New Roman" w:hAnsi="Times New Roman" w:eastAsia="宋体" w:cs="Times New Roman"/>
          <w:spacing w:val="5"/>
          <w:sz w:val="24"/>
          <w:szCs w:val="24"/>
          <w:lang w:eastAsia="zh-CN"/>
        </w:rPr>
        <w:t>斯密系统的分工经济思想主要体现在他</w:t>
      </w:r>
      <w:r>
        <w:rPr>
          <w:rFonts w:hint="default" w:ascii="Times New Roman" w:hAnsi="Times New Roman" w:eastAsia="宋体" w:cs="Times New Roman"/>
          <w:spacing w:val="5"/>
          <w:position w:val="-2"/>
          <w:sz w:val="24"/>
          <w:szCs w:val="24"/>
          <w:lang w:eastAsia="zh-CN"/>
        </w:rPr>
        <w:t>1776</w:t>
      </w:r>
      <w:r>
        <w:rPr>
          <w:rFonts w:hint="default" w:ascii="Times New Roman" w:hAnsi="Times New Roman" w:eastAsia="宋体" w:cs="Times New Roman"/>
          <w:spacing w:val="5"/>
          <w:sz w:val="24"/>
          <w:szCs w:val="24"/>
          <w:lang w:eastAsia="zh-CN"/>
        </w:rPr>
        <w:t>年出版的《国民财</w:t>
      </w:r>
      <w:r>
        <w:rPr>
          <w:rFonts w:hint="default" w:ascii="Times New Roman" w:hAnsi="Times New Roman" w:eastAsia="宋体" w:cs="Times New Roman"/>
          <w:spacing w:val="4"/>
          <w:sz w:val="24"/>
          <w:szCs w:val="24"/>
          <w:lang w:eastAsia="zh-CN"/>
        </w:rPr>
        <w:t>富的性质和原</w:t>
      </w:r>
      <w:r>
        <w:rPr>
          <w:rFonts w:hint="default" w:ascii="Times New Roman" w:hAnsi="Times New Roman" w:eastAsia="宋体" w:cs="Times New Roman"/>
          <w:spacing w:val="6"/>
          <w:sz w:val="24"/>
          <w:szCs w:val="24"/>
          <w:lang w:eastAsia="zh-CN"/>
        </w:rPr>
        <w:t>因的研究》一书中,斯密确立了分工在经济学研究中的首要地位。然而之后分</w:t>
      </w:r>
      <w:r>
        <w:rPr>
          <w:rFonts w:hint="default" w:ascii="Times New Roman" w:hAnsi="Times New Roman" w:eastAsia="宋体" w:cs="Times New Roman"/>
          <w:spacing w:val="15"/>
          <w:sz w:val="24"/>
          <w:szCs w:val="24"/>
          <w:lang w:eastAsia="zh-CN"/>
        </w:rPr>
        <w:t>工理论就在主流经济学中消失了,即使后来有凤毛麟角的学者重拾分工理</w:t>
      </w:r>
      <w:r>
        <w:rPr>
          <w:rFonts w:hint="default" w:ascii="Times New Roman" w:hAnsi="Times New Roman" w:eastAsia="宋体" w:cs="Times New Roman"/>
          <w:spacing w:val="12"/>
          <w:sz w:val="24"/>
          <w:szCs w:val="24"/>
          <w:lang w:eastAsia="zh-CN"/>
        </w:rPr>
        <w:t>论</w:t>
      </w:r>
      <w:r>
        <w:rPr>
          <w:rStyle w:val="20"/>
          <w:rFonts w:hint="default" w:ascii="Times New Roman" w:hAnsi="Times New Roman" w:eastAsia="宋体" w:cs="Times New Roman"/>
          <w:spacing w:val="12"/>
          <w:sz w:val="24"/>
          <w:szCs w:val="24"/>
          <w:lang w:eastAsia="zh-CN"/>
        </w:rPr>
        <w:footnoteReference w:id="314"/>
      </w:r>
      <w:r>
        <w:rPr>
          <w:rFonts w:hint="default" w:ascii="Times New Roman" w:hAnsi="Times New Roman" w:eastAsia="宋体" w:cs="Times New Roman"/>
          <w:spacing w:val="12"/>
          <w:sz w:val="24"/>
          <w:szCs w:val="24"/>
          <w:lang w:eastAsia="zh-CN"/>
        </w:rPr>
        <w:t>,却依然没有超越斯密,更别提超越马克思了。马</w:t>
      </w:r>
      <w:r>
        <w:rPr>
          <w:rFonts w:hint="default" w:ascii="Times New Roman" w:hAnsi="Times New Roman" w:eastAsia="宋体" w:cs="Times New Roman"/>
          <w:spacing w:val="11"/>
          <w:sz w:val="24"/>
          <w:szCs w:val="24"/>
          <w:lang w:eastAsia="zh-CN"/>
        </w:rPr>
        <w:t>克思主义经典作家是在批判地借鉴吸收斯密分工理论的基础上,立足于资本主义生产方</w:t>
      </w:r>
      <w:r>
        <w:rPr>
          <w:rFonts w:hint="default" w:ascii="Times New Roman" w:hAnsi="Times New Roman" w:eastAsia="宋体" w:cs="Times New Roman"/>
          <w:spacing w:val="10"/>
          <w:sz w:val="24"/>
          <w:szCs w:val="24"/>
          <w:lang w:eastAsia="zh-CN"/>
        </w:rPr>
        <w:t>式,在对资本</w:t>
      </w:r>
      <w:r>
        <w:rPr>
          <w:rFonts w:hint="default" w:ascii="Times New Roman" w:hAnsi="Times New Roman" w:eastAsia="宋体" w:cs="Times New Roman"/>
          <w:spacing w:val="12"/>
          <w:sz w:val="24"/>
          <w:szCs w:val="24"/>
          <w:lang w:eastAsia="zh-CN"/>
        </w:rPr>
        <w:t>主义经济发展规律进行解析的过程中,创立了马克思主义的分工理论。马克思主义分工理论着眼于人类社会的进步和人的自由全面发展,将分工理论置</w:t>
      </w:r>
      <w:r>
        <w:rPr>
          <w:rFonts w:hint="default" w:ascii="Times New Roman" w:hAnsi="Times New Roman" w:eastAsia="宋体" w:cs="Times New Roman"/>
          <w:spacing w:val="7"/>
          <w:sz w:val="24"/>
          <w:szCs w:val="24"/>
          <w:lang w:eastAsia="zh-CN"/>
        </w:rPr>
        <w:t>于生产力、生产关系和社会再生产之中展开,在对传统分工理论批判、扬弃的</w:t>
      </w:r>
      <w:r>
        <w:rPr>
          <w:rFonts w:hint="default" w:ascii="Times New Roman" w:hAnsi="Times New Roman" w:eastAsia="宋体" w:cs="Times New Roman"/>
          <w:spacing w:val="6"/>
          <w:sz w:val="24"/>
          <w:szCs w:val="24"/>
          <w:lang w:eastAsia="zh-CN"/>
        </w:rPr>
        <w:t>基础之上,形成了与古典经济学以增长为核心的分工理论有着本质区别的、系</w:t>
      </w:r>
      <w:r>
        <w:rPr>
          <w:rFonts w:hint="default" w:ascii="Times New Roman" w:hAnsi="Times New Roman" w:eastAsia="宋体" w:cs="Times New Roman"/>
          <w:spacing w:val="-2"/>
          <w:sz w:val="24"/>
          <w:szCs w:val="24"/>
          <w:lang w:eastAsia="zh-CN"/>
        </w:rPr>
        <w:t>统的、科学的分工理论。</w:t>
      </w:r>
    </w:p>
    <w:p w14:paraId="10D77F6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(一)分工的产生与深化</w:t>
      </w:r>
    </w:p>
    <w:p w14:paraId="23F9419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社会分工是人类社会生产力发展到一定程度的产物。无商品交换的</w:t>
      </w:r>
      <w:r>
        <w:rPr>
          <w:rFonts w:hint="default" w:ascii="Times New Roman" w:hAnsi="Times New Roman" w:eastAsia="宋体" w:cs="Times New Roman"/>
          <w:spacing w:val="7"/>
          <w:sz w:val="24"/>
          <w:szCs w:val="24"/>
          <w:lang w:eastAsia="zh-CN"/>
        </w:rPr>
        <w:t>性别</w:t>
      </w:r>
      <w:r>
        <w:rPr>
          <w:rFonts w:hint="default" w:ascii="Times New Roman" w:hAnsi="Times New Roman" w:eastAsia="宋体" w:cs="Times New Roman"/>
          <w:spacing w:val="4"/>
          <w:sz w:val="24"/>
          <w:szCs w:val="24"/>
          <w:lang w:eastAsia="zh-CN"/>
        </w:rPr>
        <w:t>分工、年龄分工或地域分工被称为自然分工,自然分工依据的基础不是劳动本</w:t>
      </w:r>
      <w:r>
        <w:rPr>
          <w:rFonts w:hint="default" w:ascii="Times New Roman" w:hAnsi="Times New Roman" w:eastAsia="宋体" w:cs="Times New Roman"/>
          <w:spacing w:val="11"/>
          <w:sz w:val="24"/>
          <w:szCs w:val="24"/>
          <w:lang w:eastAsia="zh-CN"/>
        </w:rPr>
        <w:t>身的性质,因此这当然不是马克思主义要研究的分工,马</w:t>
      </w:r>
      <w:r>
        <w:rPr>
          <w:rFonts w:hint="default" w:ascii="Times New Roman" w:hAnsi="Times New Roman" w:eastAsia="宋体" w:cs="Times New Roman"/>
          <w:spacing w:val="10"/>
          <w:sz w:val="24"/>
          <w:szCs w:val="24"/>
          <w:lang w:eastAsia="zh-CN"/>
        </w:rPr>
        <w:t>克思主义要研究的分</w:t>
      </w:r>
      <w:r>
        <w:rPr>
          <w:rFonts w:hint="default" w:ascii="Times New Roman" w:hAnsi="Times New Roman" w:eastAsia="宋体" w:cs="Times New Roman"/>
          <w:spacing w:val="9"/>
          <w:sz w:val="24"/>
          <w:szCs w:val="24"/>
          <w:lang w:eastAsia="zh-CN"/>
        </w:rPr>
        <w:t>工是一定社会生产方式中的分工。在自然分工的过程中,劳动者得以集中较</w:t>
      </w:r>
      <w:r>
        <w:rPr>
          <w:rFonts w:hint="default" w:ascii="Times New Roman" w:hAnsi="Times New Roman" w:eastAsia="宋体" w:cs="Times New Roman"/>
          <w:spacing w:val="12"/>
          <w:sz w:val="24"/>
          <w:szCs w:val="24"/>
          <w:lang w:eastAsia="zh-CN"/>
        </w:rPr>
        <w:t>多精力于少数几种劳动事务中,从而在一定程度上提高了劳动技能</w:t>
      </w:r>
      <w:r>
        <w:rPr>
          <w:rFonts w:hint="default" w:ascii="Times New Roman" w:hAnsi="Times New Roman" w:eastAsia="宋体" w:cs="Times New Roman"/>
          <w:spacing w:val="11"/>
          <w:sz w:val="24"/>
          <w:szCs w:val="24"/>
          <w:lang w:eastAsia="zh-CN"/>
        </w:rPr>
        <w:t>,增加了劳</w:t>
      </w:r>
      <w:r>
        <w:rPr>
          <w:rFonts w:hint="default" w:ascii="Times New Roman" w:hAnsi="Times New Roman" w:eastAsia="宋体" w:cs="Times New Roman"/>
          <w:spacing w:val="8"/>
          <w:sz w:val="24"/>
          <w:szCs w:val="24"/>
          <w:lang w:eastAsia="zh-CN"/>
        </w:rPr>
        <w:t>动剩余。随着自然分工的发展和社会生产力的进步,生产剩余产品逐渐增多,</w:t>
      </w:r>
      <w:r>
        <w:rPr>
          <w:rFonts w:hint="default" w:ascii="Times New Roman" w:hAnsi="Times New Roman" w:eastAsia="宋体" w:cs="Times New Roman"/>
          <w:spacing w:val="6"/>
          <w:sz w:val="24"/>
          <w:szCs w:val="24"/>
          <w:lang w:eastAsia="zh-CN"/>
        </w:rPr>
        <w:t>人们之间发生了交换,以商品交换为基础的社会分工便最终产生。“作为独立</w:t>
      </w:r>
      <w:r>
        <w:rPr>
          <w:rFonts w:hint="default" w:ascii="Times New Roman" w:hAnsi="Times New Roman" w:eastAsia="宋体" w:cs="Times New Roman"/>
          <w:spacing w:val="14"/>
          <w:sz w:val="24"/>
          <w:szCs w:val="24"/>
          <w:lang w:eastAsia="zh-CN"/>
        </w:rPr>
        <w:t>生产者的私事而各自独立进行的各种有用劳动的这</w:t>
      </w:r>
      <w:r>
        <w:rPr>
          <w:rFonts w:hint="default" w:ascii="Times New Roman" w:hAnsi="Times New Roman" w:eastAsia="宋体" w:cs="Times New Roman"/>
          <w:spacing w:val="13"/>
          <w:sz w:val="24"/>
          <w:szCs w:val="24"/>
          <w:lang w:eastAsia="zh-CN"/>
        </w:rPr>
        <w:t>种质的区别,发展成一个</w:t>
      </w:r>
      <w:r>
        <w:rPr>
          <w:rFonts w:hint="default" w:ascii="Times New Roman" w:hAnsi="Times New Roman" w:eastAsia="宋体" w:cs="Times New Roman"/>
          <w:spacing w:val="4"/>
          <w:sz w:val="24"/>
          <w:szCs w:val="24"/>
          <w:lang w:eastAsia="zh-CN"/>
        </w:rPr>
        <w:t>多支的体系,发展成社会分工。</w:t>
      </w:r>
      <w:r>
        <w:rPr>
          <w:rFonts w:hint="default" w:ascii="Times New Roman" w:hAnsi="Times New Roman" w:eastAsia="宋体" w:cs="Times New Roman"/>
          <w:spacing w:val="4"/>
          <w:sz w:val="24"/>
          <w:szCs w:val="24"/>
        </w:rPr>
        <w:t>”</w:t>
      </w:r>
      <w:r>
        <w:rPr>
          <w:rStyle w:val="20"/>
          <w:rFonts w:hint="default" w:ascii="Times New Roman" w:hAnsi="Times New Roman" w:eastAsia="宋体" w:cs="Times New Roman"/>
          <w:spacing w:val="4"/>
          <w:sz w:val="24"/>
          <w:szCs w:val="24"/>
        </w:rPr>
        <w:footnoteReference w:id="315"/>
      </w:r>
    </w:p>
    <w:p w14:paraId="0BA6E9E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分工的出现使交换成为必然,分工导致交换产生后,便与交换在历</w:t>
      </w:r>
      <w:r>
        <w:rPr>
          <w:rFonts w:hint="default" w:ascii="Times New Roman" w:hAnsi="Times New Roman" w:eastAsia="宋体" w:cs="Times New Roman"/>
          <w:spacing w:val="10"/>
          <w:sz w:val="24"/>
          <w:szCs w:val="24"/>
          <w:lang w:eastAsia="zh-CN"/>
        </w:rPr>
        <w:t>史互动</w:t>
      </w:r>
      <w:r>
        <w:rPr>
          <w:rFonts w:hint="default" w:ascii="Times New Roman" w:hAnsi="Times New Roman" w:eastAsia="宋体" w:cs="Times New Roman"/>
          <w:spacing w:val="6"/>
          <w:sz w:val="24"/>
          <w:szCs w:val="24"/>
          <w:lang w:eastAsia="zh-CN"/>
        </w:rPr>
        <w:t>中共同发展、不断深化。马克思指出,最初的交换活动发生在人类原始共同体</w:t>
      </w:r>
      <w:r>
        <w:rPr>
          <w:rFonts w:hint="default" w:ascii="Times New Roman" w:hAnsi="Times New Roman" w:eastAsia="宋体" w:cs="Times New Roman"/>
          <w:spacing w:val="13"/>
          <w:sz w:val="24"/>
          <w:szCs w:val="24"/>
          <w:lang w:eastAsia="zh-CN"/>
        </w:rPr>
        <w:t>(公社)之间,由于各个部落内部有了剩余的产品,各个部落之间会发生偶然的</w:t>
      </w:r>
      <w:r>
        <w:rPr>
          <w:rFonts w:hint="default" w:ascii="Times New Roman" w:hAnsi="Times New Roman" w:eastAsia="宋体" w:cs="Times New Roman"/>
          <w:spacing w:val="12"/>
          <w:sz w:val="24"/>
          <w:szCs w:val="24"/>
          <w:lang w:eastAsia="zh-CN"/>
        </w:rPr>
        <w:t>和不固定的产品交换,这就形成了市场的雏形。在第一</w:t>
      </w:r>
      <w:r>
        <w:rPr>
          <w:rFonts w:hint="default" w:ascii="Times New Roman" w:hAnsi="Times New Roman" w:eastAsia="宋体" w:cs="Times New Roman"/>
          <w:spacing w:val="11"/>
          <w:sz w:val="24"/>
          <w:szCs w:val="24"/>
          <w:lang w:eastAsia="zh-CN"/>
        </w:rPr>
        <w:t>次社会大分工出现以后,剩余产品的交换变得经常和固定了,市场也在不断发展。在竞</w:t>
      </w:r>
      <w:r>
        <w:rPr>
          <w:rFonts w:hint="default" w:ascii="Times New Roman" w:hAnsi="Times New Roman" w:eastAsia="宋体" w:cs="Times New Roman"/>
          <w:spacing w:val="10"/>
          <w:sz w:val="24"/>
          <w:szCs w:val="24"/>
          <w:lang w:eastAsia="zh-CN"/>
        </w:rPr>
        <w:t>争机制和价格机制的作用下,生产者必须用更有效率的方法去生产市场需要的商品,而社</w:t>
      </w:r>
      <w:r>
        <w:rPr>
          <w:rFonts w:hint="default" w:ascii="Times New Roman" w:hAnsi="Times New Roman" w:eastAsia="宋体" w:cs="Times New Roman"/>
          <w:spacing w:val="11"/>
          <w:sz w:val="24"/>
          <w:szCs w:val="24"/>
          <w:lang w:eastAsia="zh-CN"/>
        </w:rPr>
        <w:t>会分工能够提高劳动者的熟练程度,改进生产的技术和提高劳动生产率,它是</w:t>
      </w:r>
      <w:r>
        <w:rPr>
          <w:rFonts w:hint="default" w:ascii="Times New Roman" w:hAnsi="Times New Roman" w:eastAsia="宋体" w:cs="Times New Roman"/>
          <w:spacing w:val="9"/>
          <w:sz w:val="24"/>
          <w:szCs w:val="24"/>
          <w:lang w:eastAsia="zh-CN"/>
        </w:rPr>
        <w:t>达到这个目的的有效途径,因而一次次的社会大分工相继出现,每一</w:t>
      </w:r>
      <w:r>
        <w:rPr>
          <w:rFonts w:hint="default" w:ascii="Times New Roman" w:hAnsi="Times New Roman" w:eastAsia="宋体" w:cs="Times New Roman"/>
          <w:spacing w:val="8"/>
          <w:sz w:val="24"/>
          <w:szCs w:val="24"/>
          <w:lang w:eastAsia="zh-CN"/>
        </w:rPr>
        <w:t>个生产部</w:t>
      </w:r>
      <w:r>
        <w:rPr>
          <w:rFonts w:hint="default" w:ascii="Times New Roman" w:hAnsi="Times New Roman" w:eastAsia="宋体" w:cs="Times New Roman"/>
          <w:sz w:val="24"/>
          <w:szCs w:val="24"/>
          <w:lang w:eastAsia="zh-CN"/>
        </w:rPr>
        <w:t>门内的社会分工也在不断深化。恩格斯在《家庭、私有制和国家的起源》中认</w:t>
      </w:r>
      <w:r>
        <w:rPr>
          <w:rFonts w:hint="default" w:ascii="Times New Roman" w:hAnsi="Times New Roman" w:eastAsia="宋体" w:cs="Times New Roman"/>
          <w:spacing w:val="11"/>
          <w:sz w:val="24"/>
          <w:szCs w:val="24"/>
          <w:lang w:eastAsia="zh-CN"/>
        </w:rPr>
        <w:t>为,第一次社会大分工出现的标志是游牧部落从其余的野蛮人</w:t>
      </w:r>
      <w:r>
        <w:rPr>
          <w:rFonts w:hint="default" w:ascii="Times New Roman" w:hAnsi="Times New Roman" w:eastAsia="宋体" w:cs="Times New Roman"/>
          <w:spacing w:val="10"/>
          <w:sz w:val="24"/>
          <w:szCs w:val="24"/>
          <w:lang w:eastAsia="zh-CN"/>
        </w:rPr>
        <w:t>群中分离出来,</w:t>
      </w:r>
      <w:r>
        <w:rPr>
          <w:rFonts w:hint="default" w:ascii="Times New Roman" w:hAnsi="Times New Roman" w:eastAsia="宋体" w:cs="Times New Roman"/>
          <w:spacing w:val="14"/>
          <w:sz w:val="24"/>
          <w:szCs w:val="24"/>
          <w:lang w:eastAsia="zh-CN"/>
        </w:rPr>
        <w:t>第二次社会大分工出现的标志是手工业和农业分离,第</w:t>
      </w:r>
      <w:r>
        <w:rPr>
          <w:rFonts w:hint="default" w:ascii="Times New Roman" w:hAnsi="Times New Roman" w:eastAsia="宋体" w:cs="Times New Roman"/>
          <w:spacing w:val="13"/>
          <w:sz w:val="24"/>
          <w:szCs w:val="24"/>
          <w:lang w:eastAsia="zh-CN"/>
        </w:rPr>
        <w:t>三次社会大分工出现</w:t>
      </w:r>
      <w:r>
        <w:rPr>
          <w:rFonts w:hint="default" w:ascii="Times New Roman" w:hAnsi="Times New Roman" w:eastAsia="宋体" w:cs="Times New Roman"/>
          <w:spacing w:val="9"/>
          <w:sz w:val="24"/>
          <w:szCs w:val="24"/>
          <w:lang w:eastAsia="zh-CN"/>
        </w:rPr>
        <w:t>的标志是仅仅从事产品交换的商人阶级形成。</w:t>
      </w:r>
      <w:r>
        <w:rPr>
          <w:rStyle w:val="20"/>
          <w:rFonts w:hint="default" w:ascii="Times New Roman" w:hAnsi="Times New Roman" w:eastAsia="宋体" w:cs="Times New Roman"/>
          <w:spacing w:val="9"/>
          <w:sz w:val="24"/>
          <w:szCs w:val="24"/>
          <w:lang w:eastAsia="zh-CN"/>
        </w:rPr>
        <w:footnoteReference w:id="316"/>
      </w:r>
      <w:r>
        <w:rPr>
          <w:rFonts w:hint="default" w:ascii="Times New Roman" w:hAnsi="Times New Roman" w:eastAsia="宋体" w:cs="Times New Roman"/>
          <w:spacing w:val="9"/>
          <w:sz w:val="24"/>
          <w:szCs w:val="24"/>
          <w:lang w:eastAsia="zh-CN"/>
        </w:rPr>
        <w:t>随着社会分工的不断演进,</w:t>
      </w:r>
      <w:r>
        <w:rPr>
          <w:rFonts w:hint="default" w:ascii="Times New Roman" w:hAnsi="Times New Roman" w:eastAsia="宋体" w:cs="Times New Roman"/>
          <w:spacing w:val="11"/>
          <w:sz w:val="24"/>
          <w:szCs w:val="24"/>
          <w:lang w:eastAsia="zh-CN"/>
        </w:rPr>
        <w:t>社会分工系统形成,原始的市场形态也逐渐发展成现代市场经济,竞争机制与</w:t>
      </w:r>
      <w:r>
        <w:rPr>
          <w:rFonts w:hint="default" w:ascii="Times New Roman" w:hAnsi="Times New Roman" w:eastAsia="宋体" w:cs="Times New Roman"/>
          <w:spacing w:val="6"/>
          <w:sz w:val="24"/>
          <w:szCs w:val="24"/>
          <w:lang w:eastAsia="zh-CN"/>
        </w:rPr>
        <w:t>价格机制也都赋予了现代内涵,并且日益发达。因此,社会分工与市场是经济</w:t>
      </w:r>
      <w:r>
        <w:rPr>
          <w:rFonts w:hint="default" w:ascii="Times New Roman" w:hAnsi="Times New Roman" w:eastAsia="宋体" w:cs="Times New Roman"/>
          <w:spacing w:val="7"/>
          <w:sz w:val="24"/>
          <w:szCs w:val="24"/>
          <w:lang w:eastAsia="zh-CN"/>
        </w:rPr>
        <w:t>发展历史中的交互活动。</w:t>
      </w:r>
    </w:p>
    <w:p w14:paraId="28F032D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0"/>
          <w:sz w:val="24"/>
          <w:szCs w:val="24"/>
          <w:lang w:eastAsia="zh-CN"/>
        </w:rPr>
        <w:t>在分工与市场的互动演进中,分工不断深化,出现了更多的产业</w:t>
      </w:r>
      <w:r>
        <w:rPr>
          <w:rFonts w:hint="default" w:ascii="Times New Roman" w:hAnsi="Times New Roman" w:eastAsia="宋体" w:cs="Times New Roman"/>
          <w:spacing w:val="9"/>
          <w:sz w:val="24"/>
          <w:szCs w:val="24"/>
          <w:lang w:eastAsia="zh-CN"/>
        </w:rPr>
        <w:t>、更多</w:t>
      </w:r>
      <w:r>
        <w:rPr>
          <w:rFonts w:hint="default" w:ascii="Times New Roman" w:hAnsi="Times New Roman" w:eastAsia="宋体" w:cs="Times New Roman"/>
          <w:spacing w:val="14"/>
          <w:sz w:val="24"/>
          <w:szCs w:val="24"/>
          <w:lang w:eastAsia="zh-CN"/>
        </w:rPr>
        <w:t>的行业,同时也使整个市场扩大了,世界市场形成。机器的生产和革新,形</w:t>
      </w:r>
      <w:r>
        <w:rPr>
          <w:rFonts w:hint="default" w:ascii="Times New Roman" w:hAnsi="Times New Roman" w:eastAsia="宋体" w:cs="Times New Roman"/>
          <w:spacing w:val="9"/>
          <w:sz w:val="24"/>
          <w:szCs w:val="24"/>
          <w:lang w:eastAsia="zh-CN"/>
        </w:rPr>
        <w:t>成以生产力发达的资本主义国家为主导的国际分工和国际市场。“由于机</w:t>
      </w:r>
      <w:r>
        <w:rPr>
          <w:rFonts w:hint="default" w:ascii="Times New Roman" w:hAnsi="Times New Roman" w:eastAsia="宋体" w:cs="Times New Roman"/>
          <w:spacing w:val="19"/>
          <w:sz w:val="24"/>
          <w:szCs w:val="24"/>
          <w:lang w:eastAsia="zh-CN"/>
        </w:rPr>
        <w:t>器和蒸汽的应用,分工的规模已使脱离了本国基地的大工业完全依赖于世</w:t>
      </w:r>
      <w:r>
        <w:rPr>
          <w:rFonts w:hint="default" w:ascii="Times New Roman" w:hAnsi="Times New Roman" w:eastAsia="宋体" w:cs="Times New Roman"/>
          <w:spacing w:val="8"/>
          <w:sz w:val="24"/>
          <w:szCs w:val="24"/>
          <w:lang w:eastAsia="zh-CN"/>
        </w:rPr>
        <w:t>界市场、国际交换和国际分工。”</w:t>
      </w:r>
      <w:r>
        <w:rPr>
          <w:rStyle w:val="20"/>
          <w:rFonts w:hint="default" w:ascii="Times New Roman" w:hAnsi="Times New Roman" w:eastAsia="宋体" w:cs="Times New Roman"/>
          <w:spacing w:val="8"/>
          <w:sz w:val="24"/>
          <w:szCs w:val="24"/>
          <w:lang w:eastAsia="zh-CN"/>
        </w:rPr>
        <w:footnoteReference w:id="317"/>
      </w:r>
      <w:r>
        <w:rPr>
          <w:rFonts w:hint="default" w:ascii="Times New Roman" w:hAnsi="Times New Roman" w:eastAsia="宋体" w:cs="Times New Roman"/>
          <w:spacing w:val="8"/>
          <w:sz w:val="24"/>
          <w:szCs w:val="24"/>
          <w:lang w:eastAsia="zh-CN"/>
        </w:rPr>
        <w:t>分工使生产效率得到很</w:t>
      </w:r>
      <w:r>
        <w:rPr>
          <w:rFonts w:hint="default" w:ascii="Times New Roman" w:hAnsi="Times New Roman" w:eastAsia="宋体" w:cs="Times New Roman"/>
          <w:spacing w:val="7"/>
          <w:sz w:val="24"/>
          <w:szCs w:val="24"/>
          <w:lang w:eastAsia="zh-CN"/>
        </w:rPr>
        <w:t>大提升,过剩的产</w:t>
      </w:r>
      <w:r>
        <w:rPr>
          <w:rFonts w:hint="default" w:ascii="Times New Roman" w:hAnsi="Times New Roman" w:eastAsia="宋体" w:cs="Times New Roman"/>
          <w:spacing w:val="15"/>
          <w:sz w:val="24"/>
          <w:szCs w:val="24"/>
          <w:lang w:eastAsia="zh-CN"/>
        </w:rPr>
        <w:t>品需要寻找商品销售地和原料供给地。“大工</w:t>
      </w:r>
      <w:r>
        <w:rPr>
          <w:rFonts w:hint="default" w:ascii="Times New Roman" w:hAnsi="Times New Roman" w:eastAsia="宋体" w:cs="Times New Roman"/>
          <w:spacing w:val="14"/>
          <w:sz w:val="24"/>
          <w:szCs w:val="24"/>
          <w:lang w:eastAsia="zh-CN"/>
        </w:rPr>
        <w:t>业造成的新的世界市场关系</w:t>
      </w:r>
      <w:r>
        <w:rPr>
          <w:rFonts w:hint="default" w:ascii="Times New Roman" w:hAnsi="Times New Roman" w:eastAsia="宋体" w:cs="Times New Roman"/>
          <w:spacing w:val="12"/>
          <w:sz w:val="24"/>
          <w:szCs w:val="24"/>
          <w:lang w:eastAsia="zh-CN"/>
        </w:rPr>
        <w:t>也引起产品的精致和多样化。不仅有更多的外国消费品同本国的产品相交</w:t>
      </w:r>
      <w:r>
        <w:rPr>
          <w:rFonts w:hint="default" w:ascii="Times New Roman" w:hAnsi="Times New Roman" w:eastAsia="宋体" w:cs="Times New Roman"/>
          <w:spacing w:val="17"/>
          <w:sz w:val="24"/>
          <w:szCs w:val="24"/>
          <w:lang w:eastAsia="zh-CN"/>
        </w:rPr>
        <w:t>换,而且还有更多的外国原料、材料、半成品等作为</w:t>
      </w:r>
      <w:r>
        <w:rPr>
          <w:rFonts w:hint="default" w:ascii="Times New Roman" w:hAnsi="Times New Roman" w:eastAsia="宋体" w:cs="Times New Roman"/>
          <w:spacing w:val="16"/>
          <w:sz w:val="24"/>
          <w:szCs w:val="24"/>
          <w:lang w:eastAsia="zh-CN"/>
        </w:rPr>
        <w:t>生产资料进入本国工</w:t>
      </w:r>
      <w:r>
        <w:rPr>
          <w:rFonts w:hint="default" w:ascii="Times New Roman" w:hAnsi="Times New Roman" w:eastAsia="宋体" w:cs="Times New Roman"/>
          <w:spacing w:val="9"/>
          <w:sz w:val="24"/>
          <w:szCs w:val="24"/>
          <w:lang w:eastAsia="zh-CN"/>
        </w:rPr>
        <w:t>业。”</w:t>
      </w:r>
      <w:r>
        <w:rPr>
          <w:rStyle w:val="20"/>
          <w:rFonts w:hint="default" w:ascii="Times New Roman" w:hAnsi="Times New Roman" w:eastAsia="宋体" w:cs="Times New Roman"/>
          <w:spacing w:val="9"/>
          <w:sz w:val="24"/>
          <w:szCs w:val="24"/>
          <w:lang w:eastAsia="zh-CN"/>
        </w:rPr>
        <w:footnoteReference w:id="318"/>
      </w:r>
      <w:r>
        <w:rPr>
          <w:rFonts w:hint="default" w:ascii="Times New Roman" w:hAnsi="Times New Roman" w:eastAsia="宋体" w:cs="Times New Roman"/>
          <w:spacing w:val="9"/>
          <w:sz w:val="24"/>
          <w:szCs w:val="24"/>
          <w:lang w:eastAsia="zh-CN"/>
        </w:rPr>
        <w:t>大量产品的生产使国际分工呈现结构化特征,“一种与机器生产中心</w:t>
      </w:r>
      <w:r>
        <w:rPr>
          <w:rFonts w:hint="default" w:ascii="Times New Roman" w:hAnsi="Times New Roman" w:eastAsia="宋体" w:cs="Times New Roman"/>
          <w:spacing w:val="15"/>
          <w:sz w:val="24"/>
          <w:szCs w:val="24"/>
          <w:lang w:eastAsia="zh-CN"/>
        </w:rPr>
        <w:t>相适应的新的国际分工产生了,它使地球</w:t>
      </w:r>
      <w:r>
        <w:rPr>
          <w:rFonts w:hint="default" w:ascii="Times New Roman" w:hAnsi="Times New Roman" w:eastAsia="宋体" w:cs="Times New Roman"/>
          <w:spacing w:val="14"/>
          <w:sz w:val="24"/>
          <w:szCs w:val="24"/>
          <w:lang w:eastAsia="zh-CN"/>
        </w:rPr>
        <w:t>的一部分转变为主要从事农业的</w:t>
      </w:r>
      <w:r>
        <w:rPr>
          <w:rFonts w:hint="default" w:ascii="Times New Roman" w:hAnsi="Times New Roman" w:eastAsia="宋体" w:cs="Times New Roman"/>
          <w:spacing w:val="12"/>
          <w:sz w:val="24"/>
          <w:szCs w:val="24"/>
          <w:lang w:eastAsia="zh-CN"/>
        </w:rPr>
        <w:t>生产地区,以服务于另一部分主要从事工业的生产地区”</w:t>
      </w:r>
      <w:r>
        <w:rPr>
          <w:rStyle w:val="20"/>
          <w:rFonts w:hint="default" w:ascii="Times New Roman" w:hAnsi="Times New Roman" w:eastAsia="宋体" w:cs="Times New Roman"/>
          <w:spacing w:val="12"/>
          <w:sz w:val="24"/>
          <w:szCs w:val="24"/>
          <w:lang w:eastAsia="zh-CN"/>
        </w:rPr>
        <w:footnoteReference w:id="319"/>
      </w:r>
      <w:r>
        <w:rPr>
          <w:rFonts w:hint="default" w:ascii="Times New Roman" w:hAnsi="Times New Roman" w:eastAsia="宋体" w:cs="Times New Roman"/>
          <w:spacing w:val="11"/>
          <w:sz w:val="24"/>
          <w:szCs w:val="24"/>
          <w:lang w:eastAsia="zh-CN"/>
        </w:rPr>
        <w:t>。列宁十分赞同</w:t>
      </w:r>
      <w:r>
        <w:rPr>
          <w:rFonts w:hint="default" w:ascii="Times New Roman" w:hAnsi="Times New Roman" w:eastAsia="宋体" w:cs="Times New Roman"/>
          <w:spacing w:val="19"/>
          <w:sz w:val="24"/>
          <w:szCs w:val="24"/>
          <w:lang w:eastAsia="zh-CN"/>
        </w:rPr>
        <w:t>马克思关于分工是商品生产的基础以及市场与分工互动演进的观点,并且</w:t>
      </w:r>
      <w:r>
        <w:rPr>
          <w:rFonts w:hint="default" w:ascii="Times New Roman" w:hAnsi="Times New Roman" w:eastAsia="宋体" w:cs="Times New Roman"/>
          <w:spacing w:val="18"/>
          <w:sz w:val="24"/>
          <w:szCs w:val="24"/>
          <w:lang w:eastAsia="zh-CN"/>
        </w:rPr>
        <w:t>从俄国的经济现实出发提出:“这种商业性的(和资本主义的)农业的专业</w:t>
      </w:r>
      <w:r>
        <w:rPr>
          <w:rFonts w:hint="default" w:ascii="Times New Roman" w:hAnsi="Times New Roman" w:eastAsia="宋体" w:cs="Times New Roman"/>
          <w:spacing w:val="14"/>
          <w:sz w:val="24"/>
          <w:szCs w:val="24"/>
          <w:lang w:eastAsia="zh-CN"/>
        </w:rPr>
        <w:t>化,出现在所有的资本主义国家中,出现在国际分工</w:t>
      </w:r>
      <w:r>
        <w:rPr>
          <w:rFonts w:hint="default" w:ascii="Times New Roman" w:hAnsi="Times New Roman" w:eastAsia="宋体" w:cs="Times New Roman"/>
          <w:spacing w:val="13"/>
          <w:sz w:val="24"/>
          <w:szCs w:val="24"/>
          <w:lang w:eastAsia="zh-CN"/>
        </w:rPr>
        <w:t>中,也出现在改革后的</w:t>
      </w:r>
      <w:r>
        <w:rPr>
          <w:rFonts w:hint="default" w:ascii="Times New Roman" w:hAnsi="Times New Roman" w:eastAsia="宋体" w:cs="Times New Roman"/>
          <w:spacing w:val="7"/>
          <w:sz w:val="24"/>
          <w:szCs w:val="24"/>
          <w:lang w:eastAsia="zh-CN"/>
        </w:rPr>
        <w:t>俄国”</w:t>
      </w:r>
      <w:r>
        <w:rPr>
          <w:rStyle w:val="20"/>
          <w:rFonts w:hint="default" w:ascii="Times New Roman" w:hAnsi="Times New Roman" w:eastAsia="宋体" w:cs="Times New Roman"/>
          <w:spacing w:val="7"/>
          <w:sz w:val="24"/>
          <w:szCs w:val="24"/>
          <w:lang w:eastAsia="zh-CN"/>
        </w:rPr>
        <w:footnoteReference w:id="320"/>
      </w:r>
      <w:r>
        <w:rPr>
          <w:rFonts w:hint="default" w:ascii="Times New Roman" w:hAnsi="Times New Roman" w:eastAsia="宋体" w:cs="Times New Roman"/>
          <w:spacing w:val="12"/>
          <w:sz w:val="24"/>
          <w:szCs w:val="24"/>
          <w:lang w:eastAsia="zh-CN"/>
        </w:rPr>
        <w:t>,充分肯定社会分工影响俄国经济发展的客观事实,极力批判俄国民</w:t>
      </w:r>
      <w:r>
        <w:rPr>
          <w:rFonts w:hint="default" w:ascii="Times New Roman" w:hAnsi="Times New Roman" w:eastAsia="宋体" w:cs="Times New Roman"/>
          <w:spacing w:val="3"/>
          <w:sz w:val="24"/>
          <w:szCs w:val="24"/>
          <w:lang w:eastAsia="zh-CN"/>
        </w:rPr>
        <w:t>粹派理论对俄国社会分工的抹杀。列宁认为:“‘市场’这一概念和社会分工</w:t>
      </w:r>
      <w:r>
        <w:rPr>
          <w:rFonts w:hint="default" w:ascii="Times New Roman" w:hAnsi="Times New Roman" w:eastAsia="宋体" w:cs="Times New Roman"/>
          <w:spacing w:val="8"/>
          <w:sz w:val="24"/>
          <w:szCs w:val="24"/>
          <w:lang w:eastAsia="zh-CN"/>
        </w:rPr>
        <w:t>[即马克思所说的‘任何商品生产(我们加上一句,因</w:t>
      </w:r>
      <w:r>
        <w:rPr>
          <w:rFonts w:hint="default" w:ascii="Times New Roman" w:hAnsi="Times New Roman" w:eastAsia="宋体" w:cs="Times New Roman"/>
          <w:spacing w:val="7"/>
          <w:sz w:val="24"/>
          <w:szCs w:val="24"/>
          <w:lang w:eastAsia="zh-CN"/>
        </w:rPr>
        <w:t>而也是资本主义生产)的</w:t>
      </w:r>
      <w:r>
        <w:rPr>
          <w:rFonts w:hint="default" w:ascii="Times New Roman" w:hAnsi="Times New Roman" w:eastAsia="宋体" w:cs="Times New Roman"/>
          <w:spacing w:val="9"/>
          <w:sz w:val="24"/>
          <w:szCs w:val="24"/>
          <w:lang w:eastAsia="zh-CN"/>
        </w:rPr>
        <w:t>共同基础’]这一概念是完全分不开的。哪里有社会分工和商品生产,哪</w:t>
      </w:r>
      <w:r>
        <w:rPr>
          <w:rFonts w:hint="default" w:ascii="Times New Roman" w:hAnsi="Times New Roman" w:eastAsia="宋体" w:cs="Times New Roman"/>
          <w:spacing w:val="8"/>
          <w:sz w:val="24"/>
          <w:szCs w:val="24"/>
          <w:lang w:eastAsia="zh-CN"/>
        </w:rPr>
        <w:t>里就</w:t>
      </w:r>
      <w:r>
        <w:rPr>
          <w:rFonts w:hint="default" w:ascii="Times New Roman" w:hAnsi="Times New Roman" w:eastAsia="宋体" w:cs="Times New Roman"/>
          <w:spacing w:val="-1"/>
          <w:sz w:val="24"/>
          <w:szCs w:val="24"/>
          <w:lang w:eastAsia="zh-CN"/>
        </w:rPr>
        <w:t>有‘市场’;社会分工和商品生产发展到什么程度,‘市场’就发展到什么程度。</w:t>
      </w:r>
      <w:r>
        <w:rPr>
          <w:rFonts w:hint="default" w:ascii="Times New Roman" w:hAnsi="Times New Roman" w:eastAsia="宋体" w:cs="Times New Roman"/>
          <w:spacing w:val="5"/>
          <w:sz w:val="24"/>
          <w:szCs w:val="24"/>
          <w:lang w:eastAsia="zh-CN"/>
        </w:rPr>
        <w:t>市场量和社会劳动专业化的程度有不可分割的联系。”</w:t>
      </w:r>
      <w:r>
        <w:rPr>
          <w:rStyle w:val="20"/>
          <w:rFonts w:hint="default" w:ascii="Times New Roman" w:hAnsi="Times New Roman" w:eastAsia="宋体" w:cs="Times New Roman"/>
          <w:spacing w:val="5"/>
          <w:sz w:val="24"/>
          <w:szCs w:val="24"/>
          <w:lang w:eastAsia="zh-CN"/>
        </w:rPr>
        <w:footnoteReference w:id="321"/>
      </w:r>
      <w:r>
        <w:rPr>
          <w:rFonts w:hint="default" w:ascii="Times New Roman" w:hAnsi="Times New Roman" w:eastAsia="宋体" w:cs="Times New Roman"/>
          <w:spacing w:val="5"/>
          <w:sz w:val="24"/>
          <w:szCs w:val="24"/>
          <w:lang w:eastAsia="zh-CN"/>
        </w:rPr>
        <w:t>他把社会分工作为市</w:t>
      </w:r>
      <w:r>
        <w:rPr>
          <w:rFonts w:hint="default" w:ascii="Times New Roman" w:hAnsi="Times New Roman" w:eastAsia="宋体" w:cs="Times New Roman"/>
          <w:spacing w:val="12"/>
          <w:sz w:val="24"/>
          <w:szCs w:val="24"/>
          <w:lang w:eastAsia="zh-CN"/>
        </w:rPr>
        <w:t>场经济的基础,把生产社会化划分为社会联系和社会分工两个方面,认为市场经济与社会分工有着不可分割的内在联系,在市场经济与社会分工的互动演</w:t>
      </w:r>
      <w:r>
        <w:rPr>
          <w:rFonts w:hint="default" w:ascii="Times New Roman" w:hAnsi="Times New Roman" w:eastAsia="宋体" w:cs="Times New Roman"/>
          <w:spacing w:val="11"/>
          <w:sz w:val="24"/>
          <w:szCs w:val="24"/>
          <w:lang w:eastAsia="zh-CN"/>
        </w:rPr>
        <w:t>进中,双方进一步深化。</w:t>
      </w:r>
    </w:p>
    <w:p w14:paraId="728790B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3"/>
          <w:sz w:val="24"/>
          <w:szCs w:val="24"/>
          <w:lang w:eastAsia="zh-CN"/>
        </w:rPr>
        <w:t>(二)分工的类别</w:t>
      </w:r>
    </w:p>
    <w:p w14:paraId="448891D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尽管斯密对分工给予了应有的关注并进行了深刻的分析,然而斯密</w:t>
      </w:r>
      <w:r>
        <w:rPr>
          <w:rFonts w:hint="default" w:ascii="Times New Roman" w:hAnsi="Times New Roman" w:eastAsia="宋体" w:cs="Times New Roman"/>
          <w:spacing w:val="13"/>
          <w:sz w:val="24"/>
          <w:szCs w:val="24"/>
          <w:lang w:eastAsia="zh-CN"/>
        </w:rPr>
        <w:t>并没</w:t>
      </w:r>
      <w:r>
        <w:rPr>
          <w:rFonts w:hint="default" w:ascii="Times New Roman" w:hAnsi="Times New Roman" w:eastAsia="宋体" w:cs="Times New Roman"/>
          <w:spacing w:val="10"/>
          <w:sz w:val="24"/>
          <w:szCs w:val="24"/>
          <w:lang w:eastAsia="zh-CN"/>
        </w:rPr>
        <w:t>有对分工进行类别上的深入剖析。在斯密那里,分工就是分工,没</w:t>
      </w:r>
      <w:r>
        <w:rPr>
          <w:rFonts w:hint="default" w:ascii="Times New Roman" w:hAnsi="Times New Roman" w:eastAsia="宋体" w:cs="Times New Roman"/>
          <w:spacing w:val="9"/>
          <w:sz w:val="24"/>
          <w:szCs w:val="24"/>
          <w:lang w:eastAsia="zh-CN"/>
        </w:rPr>
        <w:t>有企业分工和社会分工的区别,他认为,“这种社会分工和工场手工业分工的区别只</w:t>
      </w:r>
      <w:r>
        <w:rPr>
          <w:rFonts w:hint="default" w:ascii="Times New Roman" w:hAnsi="Times New Roman" w:eastAsia="宋体" w:cs="Times New Roman"/>
          <w:spacing w:val="8"/>
          <w:sz w:val="24"/>
          <w:szCs w:val="24"/>
          <w:lang w:eastAsia="zh-CN"/>
        </w:rPr>
        <w:t>是主</w:t>
      </w:r>
      <w:r>
        <w:rPr>
          <w:rFonts w:hint="default" w:ascii="Times New Roman" w:hAnsi="Times New Roman" w:eastAsia="宋体" w:cs="Times New Roman"/>
          <w:spacing w:val="13"/>
          <w:sz w:val="24"/>
          <w:szCs w:val="24"/>
          <w:lang w:eastAsia="zh-CN"/>
        </w:rPr>
        <w:t>观的,也就是说,只是对观察者才存在的,因为观</w:t>
      </w:r>
      <w:r>
        <w:rPr>
          <w:rFonts w:hint="default" w:ascii="Times New Roman" w:hAnsi="Times New Roman" w:eastAsia="宋体" w:cs="Times New Roman"/>
          <w:spacing w:val="12"/>
          <w:sz w:val="24"/>
          <w:szCs w:val="24"/>
          <w:lang w:eastAsia="zh-CN"/>
        </w:rPr>
        <w:t>察者在工场手工业分工的场</w:t>
      </w:r>
      <w:r>
        <w:rPr>
          <w:rFonts w:hint="default" w:ascii="Times New Roman" w:hAnsi="Times New Roman" w:eastAsia="宋体" w:cs="Times New Roman"/>
          <w:spacing w:val="11"/>
          <w:sz w:val="24"/>
          <w:szCs w:val="24"/>
          <w:lang w:eastAsia="zh-CN"/>
        </w:rPr>
        <w:t>合一眼就可以在空间上看到各种各样局部劳动,而在社会分工的场合,</w:t>
      </w:r>
      <w:r>
        <w:rPr>
          <w:rFonts w:hint="default" w:ascii="Times New Roman" w:hAnsi="Times New Roman" w:eastAsia="宋体" w:cs="Times New Roman"/>
          <w:spacing w:val="10"/>
          <w:sz w:val="24"/>
          <w:szCs w:val="24"/>
          <w:lang w:eastAsia="zh-CN"/>
        </w:rPr>
        <w:t>各种局部劳动分散在广大的面上,每个特殊部门都雇</w:t>
      </w:r>
      <w:r>
        <w:rPr>
          <w:rFonts w:hint="default" w:ascii="Times New Roman" w:hAnsi="Times New Roman" w:eastAsia="宋体" w:cs="Times New Roman"/>
          <w:spacing w:val="9"/>
          <w:sz w:val="24"/>
          <w:szCs w:val="24"/>
          <w:lang w:eastAsia="zh-CN"/>
        </w:rPr>
        <w:t>用大量的人,因而使这种联系模</w:t>
      </w:r>
      <w:r>
        <w:rPr>
          <w:rFonts w:hint="default" w:ascii="Times New Roman" w:hAnsi="Times New Roman" w:eastAsia="宋体" w:cs="Times New Roman"/>
          <w:spacing w:val="3"/>
          <w:sz w:val="24"/>
          <w:szCs w:val="24"/>
          <w:lang w:eastAsia="zh-CN"/>
        </w:rPr>
        <w:t>糊不清”</w:t>
      </w:r>
      <w:r>
        <w:rPr>
          <w:rStyle w:val="20"/>
          <w:rFonts w:hint="default" w:ascii="Times New Roman" w:hAnsi="Times New Roman" w:eastAsia="宋体" w:cs="Times New Roman"/>
          <w:spacing w:val="3"/>
          <w:sz w:val="24"/>
          <w:szCs w:val="24"/>
          <w:lang w:eastAsia="zh-CN"/>
        </w:rPr>
        <w:footnoteReference w:id="322"/>
      </w:r>
      <w:r>
        <w:rPr>
          <w:rFonts w:hint="default" w:ascii="Times New Roman" w:hAnsi="Times New Roman" w:eastAsia="宋体" w:cs="Times New Roman"/>
          <w:spacing w:val="3"/>
          <w:sz w:val="24"/>
          <w:szCs w:val="24"/>
          <w:lang w:eastAsia="zh-CN"/>
        </w:rPr>
        <w:t>。在斯密著名的扣针生产的例子中,是管理这只“看得</w:t>
      </w:r>
      <w:r>
        <w:rPr>
          <w:rFonts w:hint="default" w:ascii="Times New Roman" w:hAnsi="Times New Roman" w:eastAsia="宋体" w:cs="Times New Roman"/>
          <w:spacing w:val="2"/>
          <w:sz w:val="24"/>
          <w:szCs w:val="24"/>
          <w:lang w:eastAsia="zh-CN"/>
        </w:rPr>
        <w:t>见的手”在操</w:t>
      </w:r>
      <w:r>
        <w:rPr>
          <w:rFonts w:hint="default" w:ascii="Times New Roman" w:hAnsi="Times New Roman" w:eastAsia="宋体" w:cs="Times New Roman"/>
          <w:spacing w:val="11"/>
          <w:sz w:val="24"/>
          <w:szCs w:val="24"/>
          <w:lang w:eastAsia="zh-CN"/>
        </w:rPr>
        <w:t>纵着一切,安排着工厂里的每一个工人在制针的每一道工序上</w:t>
      </w:r>
      <w:r>
        <w:rPr>
          <w:rFonts w:hint="default" w:ascii="Times New Roman" w:hAnsi="Times New Roman" w:eastAsia="宋体" w:cs="Times New Roman"/>
          <w:spacing w:val="10"/>
          <w:sz w:val="24"/>
          <w:szCs w:val="24"/>
          <w:lang w:eastAsia="zh-CN"/>
        </w:rPr>
        <w:t>的分工和合作;</w:t>
      </w:r>
      <w:r>
        <w:rPr>
          <w:rFonts w:hint="default" w:ascii="Times New Roman" w:hAnsi="Times New Roman" w:eastAsia="宋体" w:cs="Times New Roman"/>
          <w:spacing w:val="5"/>
          <w:sz w:val="24"/>
          <w:szCs w:val="24"/>
          <w:lang w:eastAsia="zh-CN"/>
        </w:rPr>
        <w:t>他所倡导的著名的“看不见的手”则决定着这家制针厂该用多少煤和机器,而</w:t>
      </w:r>
      <w:r>
        <w:rPr>
          <w:rFonts w:hint="default" w:ascii="Times New Roman" w:hAnsi="Times New Roman" w:eastAsia="宋体" w:cs="Times New Roman"/>
          <w:spacing w:val="8"/>
          <w:sz w:val="24"/>
          <w:szCs w:val="24"/>
          <w:lang w:eastAsia="zh-CN"/>
        </w:rPr>
        <w:t>这一点在斯密列举的分工的事例中却没有体现。可见,在斯密那里,两种分工</w:t>
      </w:r>
      <w:r>
        <w:rPr>
          <w:rFonts w:hint="default" w:ascii="Times New Roman" w:hAnsi="Times New Roman" w:eastAsia="宋体" w:cs="Times New Roman"/>
          <w:spacing w:val="4"/>
          <w:sz w:val="24"/>
          <w:szCs w:val="24"/>
          <w:lang w:eastAsia="zh-CN"/>
        </w:rPr>
        <w:t>是含混的。</w:t>
      </w:r>
    </w:p>
    <w:p w14:paraId="3A45A11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马克思主义在批判与继承斯密分工理论的基础上,第一次提</w:t>
      </w:r>
      <w:r>
        <w:rPr>
          <w:rFonts w:hint="default" w:ascii="Times New Roman" w:hAnsi="Times New Roman" w:eastAsia="宋体" w:cs="Times New Roman"/>
          <w:spacing w:val="13"/>
          <w:sz w:val="24"/>
          <w:szCs w:val="24"/>
          <w:lang w:eastAsia="zh-CN"/>
        </w:rPr>
        <w:t>出社会分工</w:t>
      </w:r>
      <w:r>
        <w:rPr>
          <w:rFonts w:hint="default" w:ascii="Times New Roman" w:hAnsi="Times New Roman" w:eastAsia="宋体" w:cs="Times New Roman"/>
          <w:spacing w:val="2"/>
          <w:sz w:val="24"/>
          <w:szCs w:val="24"/>
          <w:lang w:eastAsia="zh-CN"/>
        </w:rPr>
        <w:t>论,社会分工既包括农业和工业等“一般的分工”,也包括部门内部的“特殊的</w:t>
      </w:r>
      <w:r>
        <w:rPr>
          <w:rFonts w:hint="default" w:ascii="Times New Roman" w:hAnsi="Times New Roman" w:eastAsia="宋体" w:cs="Times New Roman"/>
          <w:spacing w:val="1"/>
          <w:sz w:val="24"/>
          <w:szCs w:val="24"/>
          <w:lang w:eastAsia="zh-CN"/>
        </w:rPr>
        <w:t>分工”,而生产组织内部的分工属于“个别的分工”。马克思主</w:t>
      </w:r>
      <w:r>
        <w:rPr>
          <w:rFonts w:hint="default" w:ascii="Times New Roman" w:hAnsi="Times New Roman" w:eastAsia="宋体" w:cs="Times New Roman"/>
          <w:sz w:val="24"/>
          <w:szCs w:val="24"/>
          <w:lang w:eastAsia="zh-CN"/>
        </w:rPr>
        <w:t>要立足资本主义</w:t>
      </w:r>
      <w:r>
        <w:rPr>
          <w:rFonts w:hint="default" w:ascii="Times New Roman" w:hAnsi="Times New Roman" w:eastAsia="宋体" w:cs="Times New Roman"/>
          <w:spacing w:val="10"/>
          <w:sz w:val="24"/>
          <w:szCs w:val="24"/>
          <w:lang w:eastAsia="zh-CN"/>
        </w:rPr>
        <w:t>生产方式,着重分析的是社会分工与工场手工业的分工。与斯密认为社会分</w:t>
      </w:r>
      <w:r>
        <w:rPr>
          <w:rFonts w:hint="default" w:ascii="Times New Roman" w:hAnsi="Times New Roman" w:eastAsia="宋体" w:cs="Times New Roman"/>
          <w:spacing w:val="15"/>
          <w:sz w:val="24"/>
          <w:szCs w:val="24"/>
          <w:lang w:eastAsia="zh-CN"/>
        </w:rPr>
        <w:t>工和工场手工业分工的区别只是主观的(即</w:t>
      </w:r>
      <w:r>
        <w:rPr>
          <w:rFonts w:hint="default" w:ascii="Times New Roman" w:hAnsi="Times New Roman" w:eastAsia="宋体" w:cs="Times New Roman"/>
          <w:spacing w:val="14"/>
          <w:sz w:val="24"/>
          <w:szCs w:val="24"/>
          <w:lang w:eastAsia="zh-CN"/>
        </w:rPr>
        <w:t>只是对观察者才存在的观点)不</w:t>
      </w:r>
      <w:r>
        <w:rPr>
          <w:rFonts w:hint="default" w:ascii="Times New Roman" w:hAnsi="Times New Roman" w:eastAsia="宋体" w:cs="Times New Roman"/>
          <w:spacing w:val="11"/>
          <w:sz w:val="24"/>
          <w:szCs w:val="24"/>
          <w:lang w:eastAsia="zh-CN"/>
        </w:rPr>
        <w:t>同,马克思主义认为社会分工与工场手工业分工既有区别又有联系。在马克</w:t>
      </w:r>
      <w:r>
        <w:rPr>
          <w:rFonts w:hint="default" w:ascii="Times New Roman" w:hAnsi="Times New Roman" w:eastAsia="宋体" w:cs="Times New Roman"/>
          <w:spacing w:val="14"/>
          <w:sz w:val="24"/>
          <w:szCs w:val="24"/>
          <w:lang w:eastAsia="zh-CN"/>
        </w:rPr>
        <w:t>思看来,劳动的社会分工是指构成社会总体劳动的各个不</w:t>
      </w:r>
      <w:r>
        <w:rPr>
          <w:rFonts w:hint="default" w:ascii="Times New Roman" w:hAnsi="Times New Roman" w:eastAsia="宋体" w:cs="Times New Roman"/>
          <w:spacing w:val="13"/>
          <w:sz w:val="24"/>
          <w:szCs w:val="24"/>
          <w:lang w:eastAsia="zh-CN"/>
        </w:rPr>
        <w:t>同的劳动部门分别</w:t>
      </w:r>
      <w:r>
        <w:rPr>
          <w:rFonts w:hint="default" w:ascii="Times New Roman" w:hAnsi="Times New Roman" w:eastAsia="宋体" w:cs="Times New Roman"/>
          <w:spacing w:val="10"/>
          <w:sz w:val="24"/>
          <w:szCs w:val="24"/>
          <w:lang w:eastAsia="zh-CN"/>
        </w:rPr>
        <w:t>生产完全不同的商品,它们之间只有通过商品交换才能发生联系;工</w:t>
      </w:r>
      <w:r>
        <w:rPr>
          <w:rFonts w:hint="default" w:ascii="Times New Roman" w:hAnsi="Times New Roman" w:eastAsia="宋体" w:cs="Times New Roman"/>
          <w:spacing w:val="9"/>
          <w:sz w:val="24"/>
          <w:szCs w:val="24"/>
          <w:lang w:eastAsia="zh-CN"/>
        </w:rPr>
        <w:t>场手工业</w:t>
      </w:r>
      <w:r>
        <w:rPr>
          <w:rFonts w:hint="default" w:ascii="Times New Roman" w:hAnsi="Times New Roman" w:eastAsia="宋体" w:cs="Times New Roman"/>
          <w:spacing w:val="11"/>
          <w:sz w:val="24"/>
          <w:szCs w:val="24"/>
          <w:lang w:eastAsia="zh-CN"/>
        </w:rPr>
        <w:t>分工则是在同一个工场内部生产同一种商品时的分工,它们之间的联系不需</w:t>
      </w:r>
      <w:r>
        <w:rPr>
          <w:rFonts w:hint="default" w:ascii="Times New Roman" w:hAnsi="Times New Roman" w:eastAsia="宋体" w:cs="Times New Roman"/>
          <w:spacing w:val="8"/>
          <w:sz w:val="24"/>
          <w:szCs w:val="24"/>
          <w:lang w:eastAsia="zh-CN"/>
        </w:rPr>
        <w:t>要通过商品交换。马克思称前者为第一类分工,称后者为第二类分工,对于二</w:t>
      </w:r>
      <w:r>
        <w:rPr>
          <w:rFonts w:hint="default" w:ascii="Times New Roman" w:hAnsi="Times New Roman" w:eastAsia="宋体" w:cs="Times New Roman"/>
          <w:spacing w:val="10"/>
          <w:sz w:val="24"/>
          <w:szCs w:val="24"/>
          <w:lang w:eastAsia="zh-CN"/>
        </w:rPr>
        <w:t>者的联系,“很清楚,(1)这种分工(工场手工业分工</w:t>
      </w:r>
      <w:r>
        <w:rPr>
          <w:rFonts w:hint="default" w:ascii="Times New Roman" w:hAnsi="Times New Roman" w:eastAsia="宋体" w:cs="Times New Roman"/>
          <w:b/>
          <w:bCs/>
          <w:spacing w:val="25"/>
          <w:sz w:val="24"/>
          <w:szCs w:val="24"/>
          <w:lang w:eastAsia="zh-CN"/>
        </w:rPr>
        <w:t>—</w:t>
      </w:r>
      <w:r>
        <w:rPr>
          <w:rFonts w:hint="default" w:ascii="Times New Roman" w:hAnsi="Times New Roman" w:eastAsia="宋体" w:cs="Times New Roman"/>
          <w:spacing w:val="25"/>
          <w:sz w:val="24"/>
          <w:szCs w:val="24"/>
          <w:lang w:eastAsia="zh-CN"/>
        </w:rPr>
        <w:t>作者注)以社会分工为</w:t>
      </w:r>
      <w:r>
        <w:rPr>
          <w:rFonts w:hint="default" w:ascii="Times New Roman" w:hAnsi="Times New Roman" w:eastAsia="宋体" w:cs="Times New Roman"/>
          <w:spacing w:val="12"/>
          <w:sz w:val="24"/>
          <w:szCs w:val="24"/>
          <w:lang w:eastAsia="zh-CN"/>
        </w:rPr>
        <w:t>前提。只是由于在商品交换中发展起来的社会劳动的分化,不同的劳动部门才互相分离,使每个特殊部门从事专门劳动,在这种专门劳动内部又会发</w:t>
      </w:r>
      <w:r>
        <w:rPr>
          <w:rFonts w:hint="default" w:ascii="Times New Roman" w:hAnsi="Times New Roman" w:eastAsia="宋体" w:cs="Times New Roman"/>
          <w:spacing w:val="11"/>
          <w:sz w:val="24"/>
          <w:szCs w:val="24"/>
          <w:lang w:eastAsia="zh-CN"/>
        </w:rPr>
        <w:t>生分</w:t>
      </w:r>
      <w:r>
        <w:rPr>
          <w:rFonts w:hint="default" w:ascii="Times New Roman" w:hAnsi="Times New Roman" w:eastAsia="宋体" w:cs="Times New Roman"/>
          <w:spacing w:val="9"/>
          <w:sz w:val="24"/>
          <w:szCs w:val="24"/>
          <w:lang w:eastAsia="zh-CN"/>
        </w:rPr>
        <w:t>工,专门劳动的分解。(2)同样也很清楚,第二类分工又必然会发生反作</w:t>
      </w:r>
      <w:r>
        <w:rPr>
          <w:rFonts w:hint="default" w:ascii="Times New Roman" w:hAnsi="Times New Roman" w:eastAsia="宋体" w:cs="Times New Roman"/>
          <w:spacing w:val="8"/>
          <w:sz w:val="24"/>
          <w:szCs w:val="24"/>
          <w:lang w:eastAsia="zh-CN"/>
        </w:rPr>
        <w:t>用,扩</w:t>
      </w:r>
      <w:r>
        <w:rPr>
          <w:rFonts w:hint="default" w:ascii="Times New Roman" w:hAnsi="Times New Roman" w:eastAsia="宋体" w:cs="Times New Roman"/>
          <w:spacing w:val="9"/>
          <w:sz w:val="24"/>
          <w:szCs w:val="24"/>
          <w:lang w:eastAsia="zh-CN"/>
        </w:rPr>
        <w:t>大第一类分工”</w:t>
      </w:r>
      <w:r>
        <w:rPr>
          <w:rStyle w:val="20"/>
          <w:rFonts w:hint="default" w:ascii="Times New Roman" w:hAnsi="Times New Roman" w:eastAsia="宋体" w:cs="Times New Roman"/>
          <w:spacing w:val="9"/>
          <w:sz w:val="24"/>
          <w:szCs w:val="24"/>
          <w:lang w:eastAsia="zh-CN"/>
        </w:rPr>
        <w:footnoteReference w:id="323"/>
      </w:r>
      <w:r>
        <w:rPr>
          <w:rFonts w:hint="default" w:ascii="Times New Roman" w:hAnsi="Times New Roman" w:eastAsia="宋体" w:cs="Times New Roman"/>
          <w:spacing w:val="9"/>
          <w:sz w:val="24"/>
          <w:szCs w:val="24"/>
          <w:lang w:eastAsia="zh-CN"/>
        </w:rPr>
        <w:t>。在离上述引文不远的地方,马克思把两类分</w:t>
      </w:r>
      <w:r>
        <w:rPr>
          <w:rFonts w:hint="default" w:ascii="Times New Roman" w:hAnsi="Times New Roman" w:eastAsia="宋体" w:cs="Times New Roman"/>
          <w:spacing w:val="8"/>
          <w:sz w:val="24"/>
          <w:szCs w:val="24"/>
          <w:lang w:eastAsia="zh-CN"/>
        </w:rPr>
        <w:t>工之间的相互</w:t>
      </w:r>
      <w:r>
        <w:rPr>
          <w:rFonts w:hint="default" w:ascii="Times New Roman" w:hAnsi="Times New Roman" w:eastAsia="宋体" w:cs="Times New Roman"/>
          <w:spacing w:val="2"/>
          <w:sz w:val="24"/>
          <w:szCs w:val="24"/>
          <w:lang w:eastAsia="zh-CN"/>
        </w:rPr>
        <w:t>作用关系称为:“分工导致了进一步的分工。”</w:t>
      </w:r>
      <w:r>
        <w:rPr>
          <w:rStyle w:val="20"/>
          <w:rFonts w:hint="default" w:ascii="Times New Roman" w:hAnsi="Times New Roman" w:eastAsia="宋体" w:cs="Times New Roman"/>
          <w:spacing w:val="2"/>
          <w:sz w:val="24"/>
          <w:szCs w:val="24"/>
          <w:lang w:eastAsia="zh-CN"/>
        </w:rPr>
        <w:footnoteReference w:id="324"/>
      </w:r>
      <w:r>
        <w:rPr>
          <w:rFonts w:hint="default" w:ascii="Times New Roman" w:hAnsi="Times New Roman" w:eastAsia="宋体" w:cs="Times New Roman"/>
          <w:spacing w:val="2"/>
          <w:sz w:val="24"/>
          <w:szCs w:val="24"/>
          <w:lang w:eastAsia="zh-CN"/>
        </w:rPr>
        <w:t>社会分</w:t>
      </w:r>
      <w:r>
        <w:rPr>
          <w:rFonts w:hint="default" w:ascii="Times New Roman" w:hAnsi="Times New Roman" w:eastAsia="宋体" w:cs="Times New Roman"/>
          <w:spacing w:val="1"/>
          <w:sz w:val="24"/>
          <w:szCs w:val="24"/>
          <w:lang w:eastAsia="zh-CN"/>
        </w:rPr>
        <w:t>工是工场手工业分工的</w:t>
      </w:r>
      <w:r>
        <w:rPr>
          <w:rFonts w:hint="default" w:ascii="Times New Roman" w:hAnsi="Times New Roman" w:eastAsia="宋体" w:cs="Times New Roman"/>
          <w:spacing w:val="13"/>
          <w:sz w:val="24"/>
          <w:szCs w:val="24"/>
          <w:lang w:eastAsia="zh-CN"/>
        </w:rPr>
        <w:t>前提,工场手工业分工的发展又会使某一种特殊的劳动</w:t>
      </w:r>
      <w:r>
        <w:rPr>
          <w:rFonts w:hint="default" w:ascii="Times New Roman" w:hAnsi="Times New Roman" w:eastAsia="宋体" w:cs="Times New Roman"/>
          <w:spacing w:val="12"/>
          <w:sz w:val="24"/>
          <w:szCs w:val="24"/>
          <w:lang w:eastAsia="zh-CN"/>
        </w:rPr>
        <w:t>发展为独立的生产部</w:t>
      </w:r>
      <w:r>
        <w:rPr>
          <w:rFonts w:hint="default" w:ascii="Times New Roman" w:hAnsi="Times New Roman" w:eastAsia="宋体" w:cs="Times New Roman"/>
          <w:spacing w:val="8"/>
          <w:sz w:val="24"/>
          <w:szCs w:val="24"/>
          <w:lang w:eastAsia="zh-CN"/>
        </w:rPr>
        <w:t>门,使社会分工扩大。</w:t>
      </w:r>
    </w:p>
    <w:p w14:paraId="7B7360D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9"/>
          <w:sz w:val="24"/>
          <w:szCs w:val="24"/>
          <w:lang w:eastAsia="zh-CN"/>
        </w:rPr>
        <w:t>马克思同时指出,虽然在一定历史阶段上,社会分工与工场内部分工这两</w:t>
      </w:r>
      <w:r>
        <w:rPr>
          <w:rFonts w:hint="default" w:ascii="Times New Roman" w:hAnsi="Times New Roman" w:eastAsia="宋体" w:cs="Times New Roman"/>
          <w:spacing w:val="10"/>
          <w:sz w:val="24"/>
          <w:szCs w:val="24"/>
          <w:lang w:eastAsia="zh-CN"/>
        </w:rPr>
        <w:t>种分工常常同时存在、同时发展,且相互之间可以转换,但这种转换是有</w:t>
      </w:r>
      <w:r>
        <w:rPr>
          <w:rFonts w:hint="default" w:ascii="Times New Roman" w:hAnsi="Times New Roman" w:eastAsia="宋体" w:cs="Times New Roman"/>
          <w:spacing w:val="9"/>
          <w:sz w:val="24"/>
          <w:szCs w:val="24"/>
          <w:lang w:eastAsia="zh-CN"/>
        </w:rPr>
        <w:t>条件的,而不是主观和任意的。在新制度经济学中,主张“</w:t>
      </w:r>
      <w:r>
        <w:rPr>
          <w:rFonts w:hint="default" w:ascii="Times New Roman" w:hAnsi="Times New Roman" w:eastAsia="宋体" w:cs="Times New Roman"/>
          <w:spacing w:val="8"/>
          <w:sz w:val="24"/>
          <w:szCs w:val="24"/>
          <w:lang w:eastAsia="zh-CN"/>
        </w:rPr>
        <w:t>企业是市场的替代物”,</w:t>
      </w:r>
      <w:r>
        <w:rPr>
          <w:rFonts w:hint="default" w:ascii="Times New Roman" w:hAnsi="Times New Roman" w:eastAsia="宋体" w:cs="Times New Roman"/>
          <w:spacing w:val="14"/>
          <w:sz w:val="24"/>
          <w:szCs w:val="24"/>
          <w:lang w:eastAsia="zh-CN"/>
        </w:rPr>
        <w:t>认为企业与市场间的相互替代只涉及交易成本问题,实</w:t>
      </w:r>
      <w:r>
        <w:rPr>
          <w:rFonts w:hint="default" w:ascii="Times New Roman" w:hAnsi="Times New Roman" w:eastAsia="宋体" w:cs="Times New Roman"/>
          <w:spacing w:val="13"/>
          <w:sz w:val="24"/>
          <w:szCs w:val="24"/>
          <w:lang w:eastAsia="zh-CN"/>
        </w:rPr>
        <w:t>际上是假定社会分工</w:t>
      </w:r>
      <w:r>
        <w:rPr>
          <w:rFonts w:hint="default" w:ascii="Times New Roman" w:hAnsi="Times New Roman" w:eastAsia="宋体" w:cs="Times New Roman"/>
          <w:spacing w:val="15"/>
          <w:sz w:val="24"/>
          <w:szCs w:val="24"/>
          <w:lang w:eastAsia="zh-CN"/>
        </w:rPr>
        <w:t>与工场内部分工可以无条件地互相转换,或者说混淆了这两种分工形式。</w:t>
      </w:r>
      <w:r>
        <w:rPr>
          <w:rStyle w:val="20"/>
          <w:rFonts w:hint="default" w:ascii="Times New Roman" w:hAnsi="Times New Roman" w:eastAsia="宋体" w:cs="Times New Roman"/>
          <w:spacing w:val="15"/>
          <w:sz w:val="24"/>
          <w:szCs w:val="24"/>
          <w:lang w:eastAsia="zh-CN"/>
        </w:rPr>
        <w:footnoteReference w:id="325"/>
      </w:r>
      <w:r>
        <w:rPr>
          <w:rFonts w:hint="default" w:ascii="Times New Roman" w:hAnsi="Times New Roman" w:eastAsia="宋体" w:cs="Times New Roman"/>
          <w:spacing w:val="12"/>
          <w:sz w:val="24"/>
          <w:szCs w:val="24"/>
          <w:lang w:eastAsia="zh-CN"/>
        </w:rPr>
        <w:t>对于二者之间的矛盾关系,马克思以资本主义生产方式为例,认为二</w:t>
      </w:r>
      <w:r>
        <w:rPr>
          <w:rFonts w:hint="default" w:ascii="Times New Roman" w:hAnsi="Times New Roman" w:eastAsia="宋体" w:cs="Times New Roman"/>
          <w:spacing w:val="11"/>
          <w:sz w:val="24"/>
          <w:szCs w:val="24"/>
          <w:lang w:eastAsia="zh-CN"/>
        </w:rPr>
        <w:t>者之间的区别主要表现在下述方面:第一,媒介不同。社会内部的分工以不同劳动</w:t>
      </w:r>
      <w:r>
        <w:rPr>
          <w:rFonts w:hint="default" w:ascii="Times New Roman" w:hAnsi="Times New Roman" w:eastAsia="宋体" w:cs="Times New Roman"/>
          <w:spacing w:val="10"/>
          <w:sz w:val="24"/>
          <w:szCs w:val="24"/>
          <w:lang w:eastAsia="zh-CN"/>
        </w:rPr>
        <w:t>部门</w:t>
      </w:r>
      <w:r>
        <w:rPr>
          <w:rFonts w:hint="default" w:ascii="Times New Roman" w:hAnsi="Times New Roman" w:eastAsia="宋体" w:cs="Times New Roman"/>
          <w:spacing w:val="12"/>
          <w:sz w:val="24"/>
          <w:szCs w:val="24"/>
          <w:lang w:eastAsia="zh-CN"/>
        </w:rPr>
        <w:t>的产品的买卖为媒介;工场手工业内部各局部劳动之间的联系,以不</w:t>
      </w:r>
      <w:r>
        <w:rPr>
          <w:rFonts w:hint="default" w:ascii="Times New Roman" w:hAnsi="Times New Roman" w:eastAsia="宋体" w:cs="Times New Roman"/>
          <w:spacing w:val="11"/>
          <w:sz w:val="24"/>
          <w:szCs w:val="24"/>
          <w:lang w:eastAsia="zh-CN"/>
        </w:rPr>
        <w:t>同的劳动</w:t>
      </w:r>
      <w:r>
        <w:rPr>
          <w:rFonts w:hint="default" w:ascii="Times New Roman" w:hAnsi="Times New Roman" w:eastAsia="宋体" w:cs="Times New Roman"/>
          <w:spacing w:val="12"/>
          <w:sz w:val="24"/>
          <w:szCs w:val="24"/>
          <w:lang w:eastAsia="zh-CN"/>
        </w:rPr>
        <w:t>力出卖给同一个资本家,而这个资本家把它们作为一个结合劳动力来使用为</w:t>
      </w:r>
      <w:r>
        <w:rPr>
          <w:rFonts w:hint="default" w:ascii="Times New Roman" w:hAnsi="Times New Roman" w:eastAsia="宋体" w:cs="Times New Roman"/>
          <w:spacing w:val="9"/>
          <w:sz w:val="24"/>
          <w:szCs w:val="24"/>
          <w:lang w:eastAsia="zh-CN"/>
        </w:rPr>
        <w:t>媒介。社会分工的特征是劳动者生产的产品是</w:t>
      </w:r>
      <w:r>
        <w:rPr>
          <w:rFonts w:hint="default" w:ascii="Times New Roman" w:hAnsi="Times New Roman" w:eastAsia="宋体" w:cs="Times New Roman"/>
          <w:spacing w:val="8"/>
          <w:sz w:val="24"/>
          <w:szCs w:val="24"/>
          <w:lang w:eastAsia="zh-CN"/>
        </w:rPr>
        <w:t>商品,企业内部分工的特征是劳动者生产的产品不是商品,他们共同的产品才是商品。第二,前提不同。社</w:t>
      </w:r>
      <w:r>
        <w:rPr>
          <w:rFonts w:hint="default" w:ascii="Times New Roman" w:hAnsi="Times New Roman" w:eastAsia="宋体" w:cs="Times New Roman"/>
          <w:spacing w:val="14"/>
          <w:sz w:val="24"/>
          <w:szCs w:val="24"/>
          <w:lang w:eastAsia="zh-CN"/>
        </w:rPr>
        <w:t>会分工是以生产资料分散在许多互不依赖的生产者手里</w:t>
      </w:r>
      <w:r>
        <w:rPr>
          <w:rFonts w:hint="default" w:ascii="Times New Roman" w:hAnsi="Times New Roman" w:eastAsia="宋体" w:cs="Times New Roman"/>
          <w:spacing w:val="13"/>
          <w:sz w:val="24"/>
          <w:szCs w:val="24"/>
          <w:lang w:eastAsia="zh-CN"/>
        </w:rPr>
        <w:t>为前提,而工场内部</w:t>
      </w:r>
      <w:r>
        <w:rPr>
          <w:rFonts w:hint="default" w:ascii="Times New Roman" w:hAnsi="Times New Roman" w:eastAsia="宋体" w:cs="Times New Roman"/>
          <w:spacing w:val="11"/>
          <w:sz w:val="24"/>
          <w:szCs w:val="24"/>
          <w:lang w:eastAsia="zh-CN"/>
        </w:rPr>
        <w:t>分工是以生产资料集中在一个资本家手里为前提。第三,</w:t>
      </w:r>
      <w:r>
        <w:rPr>
          <w:rFonts w:hint="default" w:ascii="Times New Roman" w:hAnsi="Times New Roman" w:eastAsia="宋体" w:cs="Times New Roman"/>
          <w:spacing w:val="10"/>
          <w:sz w:val="24"/>
          <w:szCs w:val="24"/>
          <w:lang w:eastAsia="zh-CN"/>
        </w:rPr>
        <w:t>支配分工的规律不</w:t>
      </w:r>
      <w:r>
        <w:rPr>
          <w:rFonts w:hint="default" w:ascii="Times New Roman" w:hAnsi="Times New Roman" w:eastAsia="宋体" w:cs="Times New Roman"/>
          <w:spacing w:val="12"/>
          <w:sz w:val="24"/>
          <w:szCs w:val="24"/>
          <w:lang w:eastAsia="zh-CN"/>
        </w:rPr>
        <w:t>同。社会分工是由价格规律来调节的,工场内部的分工则是按照管理规律来</w:t>
      </w:r>
      <w:r>
        <w:rPr>
          <w:rFonts w:hint="default" w:ascii="Times New Roman" w:hAnsi="Times New Roman" w:eastAsia="宋体" w:cs="Times New Roman"/>
          <w:spacing w:val="10"/>
          <w:sz w:val="24"/>
          <w:szCs w:val="24"/>
          <w:lang w:eastAsia="zh-CN"/>
        </w:rPr>
        <w:t>调节的。第四,服从的权威不同。社会分工只承认竞争的权威,工场内部的分</w:t>
      </w:r>
      <w:r>
        <w:rPr>
          <w:rFonts w:hint="default" w:ascii="Times New Roman" w:hAnsi="Times New Roman" w:eastAsia="宋体" w:cs="Times New Roman"/>
          <w:spacing w:val="9"/>
          <w:sz w:val="24"/>
          <w:szCs w:val="24"/>
          <w:lang w:eastAsia="zh-CN"/>
        </w:rPr>
        <w:t>工则承认资本家的权威。因此,马克思认为这两类分工既</w:t>
      </w:r>
      <w:r>
        <w:rPr>
          <w:rFonts w:hint="default" w:ascii="Times New Roman" w:hAnsi="Times New Roman" w:eastAsia="宋体" w:cs="Times New Roman"/>
          <w:spacing w:val="8"/>
          <w:sz w:val="24"/>
          <w:szCs w:val="24"/>
          <w:lang w:eastAsia="zh-CN"/>
        </w:rPr>
        <w:t>有统一的一面,又有</w:t>
      </w:r>
      <w:r>
        <w:rPr>
          <w:rFonts w:hint="default" w:ascii="Times New Roman" w:hAnsi="Times New Roman" w:eastAsia="宋体" w:cs="Times New Roman"/>
          <w:spacing w:val="12"/>
          <w:sz w:val="24"/>
          <w:szCs w:val="24"/>
          <w:lang w:eastAsia="zh-CN"/>
        </w:rPr>
        <w:t>冲突的一面,而冲突的一面正是私有制市场经济中必然存</w:t>
      </w:r>
      <w:r>
        <w:rPr>
          <w:rFonts w:hint="default" w:ascii="Times New Roman" w:hAnsi="Times New Roman" w:eastAsia="宋体" w:cs="Times New Roman"/>
          <w:spacing w:val="11"/>
          <w:sz w:val="24"/>
          <w:szCs w:val="24"/>
          <w:lang w:eastAsia="zh-CN"/>
        </w:rPr>
        <w:t>在的根本矛盾在分</w:t>
      </w:r>
      <w:r>
        <w:rPr>
          <w:rFonts w:hint="default" w:ascii="Times New Roman" w:hAnsi="Times New Roman" w:eastAsia="宋体" w:cs="Times New Roman"/>
          <w:spacing w:val="7"/>
          <w:sz w:val="24"/>
          <w:szCs w:val="24"/>
          <w:lang w:eastAsia="zh-CN"/>
        </w:rPr>
        <w:t>工制度上的集中体现。</w:t>
      </w:r>
    </w:p>
    <w:p w14:paraId="162C9A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3"/>
          <w:sz w:val="24"/>
          <w:szCs w:val="24"/>
          <w:lang w:eastAsia="zh-CN"/>
        </w:rPr>
        <w:t>(三)分工的作用</w:t>
      </w:r>
    </w:p>
    <w:p w14:paraId="151DDB7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马克思通过对分工理论的哲学分析和批判,赋予分</w:t>
      </w:r>
      <w:r>
        <w:rPr>
          <w:rFonts w:hint="default" w:ascii="Times New Roman" w:hAnsi="Times New Roman" w:eastAsia="宋体" w:cs="Times New Roman"/>
          <w:spacing w:val="10"/>
          <w:sz w:val="24"/>
          <w:szCs w:val="24"/>
          <w:lang w:eastAsia="zh-CN"/>
        </w:rPr>
        <w:t>工以经济学哲学内涵,</w:t>
      </w:r>
      <w:r>
        <w:rPr>
          <w:rFonts w:hint="default" w:ascii="Times New Roman" w:hAnsi="Times New Roman" w:eastAsia="宋体" w:cs="Times New Roman"/>
          <w:spacing w:val="22"/>
          <w:sz w:val="24"/>
          <w:szCs w:val="24"/>
          <w:lang w:eastAsia="zh-CN"/>
        </w:rPr>
        <w:t>开启了从分工的视角透视人的生存方式及其命运的研究路向。如果说在</w:t>
      </w:r>
      <w:r>
        <w:rPr>
          <w:rFonts w:hint="default" w:ascii="Times New Roman" w:hAnsi="Times New Roman" w:eastAsia="宋体" w:cs="Times New Roman"/>
          <w:spacing w:val="8"/>
          <w:position w:val="-1"/>
          <w:sz w:val="24"/>
          <w:szCs w:val="24"/>
          <w:lang w:eastAsia="zh-CN"/>
        </w:rPr>
        <w:t>《1844</w:t>
      </w:r>
      <w:r>
        <w:rPr>
          <w:rFonts w:hint="default" w:ascii="Times New Roman" w:hAnsi="Times New Roman" w:eastAsia="宋体" w:cs="Times New Roman"/>
          <w:spacing w:val="8"/>
          <w:sz w:val="24"/>
          <w:szCs w:val="24"/>
          <w:lang w:eastAsia="zh-CN"/>
        </w:rPr>
        <w:t>年经济学哲学手稿》中,马克思更加偏重于在人本主义异化哲学的解释</w:t>
      </w:r>
      <w:r>
        <w:rPr>
          <w:rFonts w:hint="default" w:ascii="Times New Roman" w:hAnsi="Times New Roman" w:eastAsia="宋体" w:cs="Times New Roman"/>
          <w:spacing w:val="2"/>
          <w:sz w:val="24"/>
          <w:szCs w:val="24"/>
          <w:lang w:eastAsia="zh-CN"/>
        </w:rPr>
        <w:t>框架中对分工进行剖析;而在《德意志意识形态》中却稀释了“异化”这一理论</w:t>
      </w:r>
      <w:r>
        <w:rPr>
          <w:rFonts w:hint="default" w:ascii="Times New Roman" w:hAnsi="Times New Roman" w:eastAsia="宋体" w:cs="Times New Roman"/>
          <w:spacing w:val="15"/>
          <w:sz w:val="24"/>
          <w:szCs w:val="24"/>
          <w:lang w:eastAsia="zh-CN"/>
        </w:rPr>
        <w:t>范式,更加注重运用唯物史观的方法论,从人的历史发展和人的本质力量出发</w:t>
      </w:r>
      <w:r>
        <w:rPr>
          <w:rFonts w:hint="default" w:ascii="Times New Roman" w:hAnsi="Times New Roman" w:eastAsia="宋体" w:cs="Times New Roman"/>
          <w:spacing w:val="14"/>
          <w:sz w:val="24"/>
          <w:szCs w:val="24"/>
          <w:lang w:eastAsia="zh-CN"/>
        </w:rPr>
        <w:t>审视分工,在经济学视角下及社会历史的发展演变中展开其分</w:t>
      </w:r>
      <w:r>
        <w:rPr>
          <w:rFonts w:hint="default" w:ascii="Times New Roman" w:hAnsi="Times New Roman" w:eastAsia="宋体" w:cs="Times New Roman"/>
          <w:spacing w:val="13"/>
          <w:sz w:val="24"/>
          <w:szCs w:val="24"/>
          <w:lang w:eastAsia="zh-CN"/>
        </w:rPr>
        <w:t>工思想。也就</w:t>
      </w:r>
      <w:r>
        <w:rPr>
          <w:rFonts w:hint="default" w:ascii="Times New Roman" w:hAnsi="Times New Roman" w:eastAsia="宋体" w:cs="Times New Roman"/>
          <w:spacing w:val="15"/>
          <w:sz w:val="24"/>
          <w:szCs w:val="24"/>
          <w:lang w:eastAsia="zh-CN"/>
        </w:rPr>
        <w:t>是说,马克思从不主张从分工一般来讨论经济发展和演变,而是更加注重分工</w:t>
      </w:r>
      <w:r>
        <w:rPr>
          <w:rFonts w:hint="default" w:ascii="Times New Roman" w:hAnsi="Times New Roman" w:eastAsia="宋体" w:cs="Times New Roman"/>
          <w:spacing w:val="13"/>
          <w:sz w:val="24"/>
          <w:szCs w:val="24"/>
          <w:lang w:eastAsia="zh-CN"/>
        </w:rPr>
        <w:t>在具体社会中所呈现出来的样态,因为分工不仅体现生产力</w:t>
      </w:r>
      <w:r>
        <w:rPr>
          <w:rFonts w:hint="default" w:ascii="Times New Roman" w:hAnsi="Times New Roman" w:eastAsia="宋体" w:cs="Times New Roman"/>
          <w:spacing w:val="12"/>
          <w:sz w:val="24"/>
          <w:szCs w:val="24"/>
          <w:lang w:eastAsia="zh-CN"/>
        </w:rPr>
        <w:t>的性质,还体现生</w:t>
      </w:r>
      <w:r>
        <w:rPr>
          <w:rFonts w:hint="default" w:ascii="Times New Roman" w:hAnsi="Times New Roman" w:eastAsia="宋体" w:cs="Times New Roman"/>
          <w:spacing w:val="10"/>
          <w:sz w:val="24"/>
          <w:szCs w:val="24"/>
          <w:lang w:eastAsia="zh-CN"/>
        </w:rPr>
        <w:t>产关系的性质,“这种种分工的相互关系取决</w:t>
      </w:r>
      <w:r>
        <w:rPr>
          <w:rFonts w:hint="default" w:ascii="Times New Roman" w:hAnsi="Times New Roman" w:eastAsia="宋体" w:cs="Times New Roman"/>
          <w:spacing w:val="9"/>
          <w:sz w:val="24"/>
          <w:szCs w:val="24"/>
          <w:lang w:eastAsia="zh-CN"/>
        </w:rPr>
        <w:t>于农业劳动、工业劳动和商业劳</w:t>
      </w:r>
      <w:r>
        <w:rPr>
          <w:rFonts w:hint="default" w:ascii="Times New Roman" w:hAnsi="Times New Roman" w:eastAsia="宋体" w:cs="Times New Roman"/>
          <w:spacing w:val="3"/>
          <w:sz w:val="24"/>
          <w:szCs w:val="24"/>
          <w:lang w:eastAsia="zh-CN"/>
        </w:rPr>
        <w:t>动的经营方式(父权制、奴隶制、等级、阶级)”</w:t>
      </w:r>
      <w:r>
        <w:rPr>
          <w:rStyle w:val="20"/>
          <w:rFonts w:hint="default" w:ascii="Times New Roman" w:hAnsi="Times New Roman" w:eastAsia="宋体" w:cs="Times New Roman"/>
          <w:spacing w:val="3"/>
          <w:sz w:val="24"/>
          <w:szCs w:val="24"/>
          <w:lang w:eastAsia="zh-CN"/>
        </w:rPr>
        <w:footnoteReference w:id="326"/>
      </w:r>
      <w:r>
        <w:rPr>
          <w:rFonts w:hint="default" w:ascii="Times New Roman" w:hAnsi="Times New Roman" w:eastAsia="宋体" w:cs="Times New Roman"/>
          <w:spacing w:val="3"/>
          <w:sz w:val="24"/>
          <w:szCs w:val="24"/>
          <w:lang w:eastAsia="zh-CN"/>
        </w:rPr>
        <w:t>。马克</w:t>
      </w:r>
      <w:r>
        <w:rPr>
          <w:rFonts w:hint="default" w:ascii="Times New Roman" w:hAnsi="Times New Roman" w:eastAsia="宋体" w:cs="Times New Roman"/>
          <w:spacing w:val="2"/>
          <w:sz w:val="24"/>
          <w:szCs w:val="24"/>
          <w:lang w:eastAsia="zh-CN"/>
        </w:rPr>
        <w:t>思一直反对将社会分工</w:t>
      </w:r>
      <w:r>
        <w:rPr>
          <w:rFonts w:hint="default" w:ascii="Times New Roman" w:hAnsi="Times New Roman" w:eastAsia="宋体" w:cs="Times New Roman"/>
          <w:spacing w:val="18"/>
          <w:sz w:val="24"/>
          <w:szCs w:val="24"/>
          <w:lang w:eastAsia="zh-CN"/>
        </w:rPr>
        <w:t>的概念抽象化和永恒化,从这个意义上说来,关于历史唯物主义本身的问题,</w:t>
      </w:r>
      <w:r>
        <w:rPr>
          <w:rFonts w:hint="default" w:ascii="Times New Roman" w:hAnsi="Times New Roman" w:eastAsia="宋体" w:cs="Times New Roman"/>
          <w:spacing w:val="1"/>
          <w:sz w:val="24"/>
          <w:szCs w:val="24"/>
          <w:lang w:eastAsia="zh-CN"/>
        </w:rPr>
        <w:t>“从分工的观点来看问题最容易理解”</w:t>
      </w:r>
      <w:r>
        <w:rPr>
          <w:rStyle w:val="20"/>
          <w:rFonts w:hint="default" w:ascii="Times New Roman" w:hAnsi="Times New Roman" w:eastAsia="宋体" w:cs="Times New Roman"/>
          <w:spacing w:val="1"/>
          <w:sz w:val="24"/>
          <w:szCs w:val="24"/>
          <w:lang w:eastAsia="zh-CN"/>
        </w:rPr>
        <w:footnoteReference w:id="327"/>
      </w:r>
      <w:r>
        <w:rPr>
          <w:rFonts w:hint="default" w:ascii="Times New Roman" w:hAnsi="Times New Roman" w:eastAsia="宋体" w:cs="Times New Roman"/>
          <w:spacing w:val="1"/>
          <w:sz w:val="24"/>
          <w:szCs w:val="24"/>
          <w:lang w:eastAsia="zh-CN"/>
        </w:rPr>
        <w:t>。</w:t>
      </w:r>
    </w:p>
    <w:p w14:paraId="13AF92D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马克思认为,分工表现出生产力和生产关系的二重属性,发挥双重作用。</w:t>
      </w:r>
      <w:r>
        <w:rPr>
          <w:rFonts w:hint="default" w:ascii="Times New Roman" w:hAnsi="Times New Roman" w:eastAsia="宋体" w:cs="Times New Roman"/>
          <w:spacing w:val="15"/>
          <w:sz w:val="24"/>
          <w:szCs w:val="24"/>
          <w:u w:val="single" w:color="231F20"/>
          <w:lang w:eastAsia="zh-CN"/>
        </w:rPr>
        <w:t>一方面,从生产力</w:t>
      </w:r>
      <w:r>
        <w:rPr>
          <w:rFonts w:hint="default" w:ascii="Times New Roman" w:hAnsi="Times New Roman" w:eastAsia="宋体" w:cs="Times New Roman"/>
          <w:spacing w:val="15"/>
          <w:sz w:val="24"/>
          <w:szCs w:val="24"/>
          <w:lang w:eastAsia="zh-CN"/>
        </w:rPr>
        <w:t>的角度看,无论是社会分工还是工场内部分工,劳动分工作</w:t>
      </w:r>
      <w:r>
        <w:rPr>
          <w:rFonts w:hint="default" w:ascii="Times New Roman" w:hAnsi="Times New Roman" w:eastAsia="宋体" w:cs="Times New Roman"/>
          <w:spacing w:val="11"/>
          <w:sz w:val="24"/>
          <w:szCs w:val="24"/>
          <w:lang w:eastAsia="zh-CN"/>
        </w:rPr>
        <w:t>为生产组织方式,都充分发挥了协作优势,极大地促进</w:t>
      </w:r>
      <w:r>
        <w:rPr>
          <w:rFonts w:hint="default" w:ascii="Times New Roman" w:hAnsi="Times New Roman" w:eastAsia="宋体" w:cs="Times New Roman"/>
          <w:spacing w:val="10"/>
          <w:sz w:val="24"/>
          <w:szCs w:val="24"/>
          <w:lang w:eastAsia="zh-CN"/>
        </w:rPr>
        <w:t>了生产力的发展。马克思指出:“一个民族的生产力发展的水平,最明</w:t>
      </w:r>
      <w:r>
        <w:rPr>
          <w:rFonts w:hint="default" w:ascii="Times New Roman" w:hAnsi="Times New Roman" w:eastAsia="宋体" w:cs="Times New Roman"/>
          <w:spacing w:val="9"/>
          <w:sz w:val="24"/>
          <w:szCs w:val="24"/>
          <w:lang w:eastAsia="zh-CN"/>
        </w:rPr>
        <w:t>显地表现于该民族分工的发展</w:t>
      </w:r>
      <w:r>
        <w:rPr>
          <w:rFonts w:hint="default" w:ascii="Times New Roman" w:hAnsi="Times New Roman" w:eastAsia="宋体" w:cs="Times New Roman"/>
          <w:spacing w:val="15"/>
          <w:sz w:val="24"/>
          <w:szCs w:val="24"/>
          <w:lang w:eastAsia="zh-CN"/>
        </w:rPr>
        <w:t>程度。任何新的生产力,只要它不是迄今已知的生产</w:t>
      </w:r>
      <w:r>
        <w:rPr>
          <w:rFonts w:hint="default" w:ascii="Times New Roman" w:hAnsi="Times New Roman" w:eastAsia="宋体" w:cs="Times New Roman"/>
          <w:spacing w:val="14"/>
          <w:sz w:val="24"/>
          <w:szCs w:val="24"/>
          <w:lang w:eastAsia="zh-CN"/>
        </w:rPr>
        <w:t>力单纯的量的扩大(例</w:t>
      </w:r>
      <w:r>
        <w:rPr>
          <w:rFonts w:hint="default" w:ascii="Times New Roman" w:hAnsi="Times New Roman" w:eastAsia="宋体" w:cs="Times New Roman"/>
          <w:spacing w:val="7"/>
          <w:sz w:val="24"/>
          <w:szCs w:val="24"/>
          <w:lang w:eastAsia="zh-CN"/>
        </w:rPr>
        <w:t>如,开垦土地),都会引起分工的进一步发展。”</w:t>
      </w:r>
      <w:r>
        <w:rPr>
          <w:rStyle w:val="20"/>
          <w:rFonts w:hint="default" w:ascii="Times New Roman" w:hAnsi="Times New Roman" w:eastAsia="宋体" w:cs="Times New Roman"/>
          <w:spacing w:val="7"/>
          <w:sz w:val="24"/>
          <w:szCs w:val="24"/>
          <w:lang w:eastAsia="zh-CN"/>
        </w:rPr>
        <w:footnoteReference w:id="328"/>
      </w:r>
      <w:r>
        <w:rPr>
          <w:rFonts w:hint="default" w:ascii="Times New Roman" w:hAnsi="Times New Roman" w:eastAsia="宋体" w:cs="Times New Roman"/>
          <w:spacing w:val="7"/>
          <w:sz w:val="24"/>
          <w:szCs w:val="24"/>
          <w:lang w:eastAsia="zh-CN"/>
        </w:rPr>
        <w:t>在工场手工业中,“构成工场</w:t>
      </w:r>
      <w:r>
        <w:rPr>
          <w:rFonts w:hint="default" w:ascii="Times New Roman" w:hAnsi="Times New Roman" w:eastAsia="宋体" w:cs="Times New Roman"/>
          <w:spacing w:val="9"/>
          <w:sz w:val="24"/>
          <w:szCs w:val="24"/>
          <w:lang w:eastAsia="zh-CN"/>
        </w:rPr>
        <w:t>手工业活机构的结合总体工人,完全是由这些片面的局部工人组成的</w:t>
      </w:r>
      <w:r>
        <w:rPr>
          <w:rFonts w:hint="default" w:ascii="Times New Roman" w:hAnsi="Times New Roman" w:eastAsia="宋体" w:cs="Times New Roman"/>
          <w:spacing w:val="8"/>
          <w:sz w:val="24"/>
          <w:szCs w:val="24"/>
          <w:lang w:eastAsia="zh-CN"/>
        </w:rPr>
        <w:t>。因此,</w:t>
      </w:r>
      <w:r>
        <w:rPr>
          <w:rFonts w:hint="default" w:ascii="Times New Roman" w:hAnsi="Times New Roman" w:eastAsia="宋体" w:cs="Times New Roman"/>
          <w:spacing w:val="15"/>
          <w:sz w:val="24"/>
          <w:szCs w:val="24"/>
          <w:lang w:eastAsia="zh-CN"/>
        </w:rPr>
        <w:t>与独立的手工业比较,在较短时间内能生产出</w:t>
      </w:r>
      <w:r>
        <w:rPr>
          <w:rFonts w:hint="default" w:ascii="Times New Roman" w:hAnsi="Times New Roman" w:eastAsia="宋体" w:cs="Times New Roman"/>
          <w:spacing w:val="14"/>
          <w:sz w:val="24"/>
          <w:szCs w:val="24"/>
          <w:lang w:eastAsia="zh-CN"/>
        </w:rPr>
        <w:t>较多的东西,或者说,劳动生产</w:t>
      </w:r>
      <w:r>
        <w:rPr>
          <w:rFonts w:hint="default" w:ascii="Times New Roman" w:hAnsi="Times New Roman" w:eastAsia="宋体" w:cs="Times New Roman"/>
          <w:spacing w:val="13"/>
          <w:sz w:val="24"/>
          <w:szCs w:val="24"/>
          <w:lang w:eastAsia="zh-CN"/>
        </w:rPr>
        <w:t>力提高了。在局部劳动独立化为一个人的专门职能之后,局部劳</w:t>
      </w:r>
      <w:r>
        <w:rPr>
          <w:rFonts w:hint="default" w:ascii="Times New Roman" w:hAnsi="Times New Roman" w:eastAsia="宋体" w:cs="Times New Roman"/>
          <w:spacing w:val="12"/>
          <w:sz w:val="24"/>
          <w:szCs w:val="24"/>
          <w:lang w:eastAsia="zh-CN"/>
        </w:rPr>
        <w:t>动的方法也</w:t>
      </w:r>
      <w:r>
        <w:rPr>
          <w:rFonts w:hint="default" w:ascii="Times New Roman" w:hAnsi="Times New Roman" w:eastAsia="宋体" w:cs="Times New Roman"/>
          <w:spacing w:val="13"/>
          <w:sz w:val="24"/>
          <w:szCs w:val="24"/>
          <w:lang w:eastAsia="zh-CN"/>
        </w:rPr>
        <w:t>就完善起来。经常重复做同一种有限的动作,并把注意力集中在</w:t>
      </w:r>
      <w:r>
        <w:rPr>
          <w:rFonts w:hint="default" w:ascii="Times New Roman" w:hAnsi="Times New Roman" w:eastAsia="宋体" w:cs="Times New Roman"/>
          <w:spacing w:val="12"/>
          <w:sz w:val="24"/>
          <w:szCs w:val="24"/>
          <w:lang w:eastAsia="zh-CN"/>
        </w:rPr>
        <w:t>这种有限的</w:t>
      </w:r>
      <w:r>
        <w:rPr>
          <w:rFonts w:hint="default" w:ascii="Times New Roman" w:hAnsi="Times New Roman" w:eastAsia="宋体" w:cs="Times New Roman"/>
          <w:spacing w:val="8"/>
          <w:sz w:val="24"/>
          <w:szCs w:val="24"/>
          <w:lang w:eastAsia="zh-CN"/>
        </w:rPr>
        <w:t>动作上,就能够从经验中学会消耗最少的力量达到预期的</w:t>
      </w:r>
      <w:r>
        <w:rPr>
          <w:rFonts w:hint="default" w:ascii="Times New Roman" w:hAnsi="Times New Roman" w:eastAsia="宋体" w:cs="Times New Roman"/>
          <w:spacing w:val="7"/>
          <w:sz w:val="24"/>
          <w:szCs w:val="24"/>
          <w:lang w:eastAsia="zh-CN"/>
        </w:rPr>
        <w:t>效果”</w:t>
      </w:r>
      <w:r>
        <w:rPr>
          <w:rStyle w:val="20"/>
          <w:rFonts w:hint="default" w:ascii="Times New Roman" w:hAnsi="Times New Roman" w:eastAsia="宋体" w:cs="Times New Roman"/>
          <w:spacing w:val="7"/>
          <w:sz w:val="24"/>
          <w:szCs w:val="24"/>
          <w:lang w:eastAsia="zh-CN"/>
        </w:rPr>
        <w:footnoteReference w:id="329"/>
      </w:r>
      <w:r>
        <w:rPr>
          <w:rFonts w:hint="default" w:ascii="Times New Roman" w:hAnsi="Times New Roman" w:eastAsia="宋体" w:cs="Times New Roman"/>
          <w:spacing w:val="7"/>
          <w:sz w:val="24"/>
          <w:szCs w:val="24"/>
          <w:lang w:eastAsia="zh-CN"/>
        </w:rPr>
        <w:t>。马克思认</w:t>
      </w:r>
      <w:r>
        <w:rPr>
          <w:rFonts w:hint="default" w:ascii="Times New Roman" w:hAnsi="Times New Roman" w:eastAsia="宋体" w:cs="Times New Roman"/>
          <w:spacing w:val="15"/>
          <w:sz w:val="24"/>
          <w:szCs w:val="24"/>
          <w:lang w:eastAsia="zh-CN"/>
        </w:rPr>
        <w:t>为,分工所带来的劳动生产率的提高源于下述几个方面:第一,仅仅是将更多</w:t>
      </w:r>
      <w:r>
        <w:rPr>
          <w:rFonts w:hint="default" w:ascii="Times New Roman" w:hAnsi="Times New Roman" w:eastAsia="宋体" w:cs="Times New Roman"/>
          <w:spacing w:val="12"/>
          <w:sz w:val="24"/>
          <w:szCs w:val="24"/>
          <w:lang w:eastAsia="zh-CN"/>
        </w:rPr>
        <w:t>的劳动者集合在一起的简单协作,就可以创造出一种集体力,“在劳动的作用</w:t>
      </w:r>
      <w:r>
        <w:rPr>
          <w:rFonts w:hint="default" w:ascii="Times New Roman" w:hAnsi="Times New Roman" w:eastAsia="宋体" w:cs="Times New Roman"/>
          <w:spacing w:val="19"/>
          <w:sz w:val="24"/>
          <w:szCs w:val="24"/>
          <w:lang w:eastAsia="zh-CN"/>
        </w:rPr>
        <w:t>范围扩大的同时劳动空间范围的这种缩小,会</w:t>
      </w:r>
      <w:r>
        <w:rPr>
          <w:rFonts w:hint="default" w:ascii="Times New Roman" w:hAnsi="Times New Roman" w:eastAsia="宋体" w:cs="Times New Roman"/>
          <w:spacing w:val="18"/>
          <w:sz w:val="24"/>
          <w:szCs w:val="24"/>
          <w:lang w:eastAsia="zh-CN"/>
        </w:rPr>
        <w:t>节约非生产费用(</w:t>
      </w:r>
      <w:r>
        <w:rPr>
          <w:rFonts w:hint="default" w:ascii="Times New Roman" w:hAnsi="Times New Roman" w:eastAsia="宋体" w:cs="Times New Roman"/>
          <w:sz w:val="24"/>
          <w:szCs w:val="24"/>
          <w:lang w:eastAsia="zh-CN"/>
        </w:rPr>
        <w:t>f</w:t>
      </w:r>
      <w:r>
        <w:rPr>
          <w:rFonts w:hint="default" w:ascii="Times New Roman" w:hAnsi="Times New Roman" w:eastAsia="宋体" w:cs="Times New Roman"/>
          <w:position w:val="-2"/>
          <w:sz w:val="24"/>
          <w:szCs w:val="24"/>
          <w:lang w:eastAsia="zh-CN"/>
        </w:rPr>
        <w:t>aux</w:t>
      </w:r>
      <w:r>
        <w:rPr>
          <w:rFonts w:hint="default" w:ascii="Times New Roman" w:hAnsi="Times New Roman" w:eastAsia="宋体" w:cs="Times New Roman"/>
          <w:position w:val="-1"/>
          <w:sz w:val="24"/>
          <w:szCs w:val="24"/>
          <w:lang w:eastAsia="zh-CN"/>
        </w:rPr>
        <w:t>frais</w:t>
      </w:r>
      <w:r>
        <w:rPr>
          <w:rFonts w:hint="default" w:ascii="Times New Roman" w:hAnsi="Times New Roman" w:eastAsia="宋体" w:cs="Times New Roman"/>
          <w:spacing w:val="18"/>
          <w:position w:val="-1"/>
          <w:sz w:val="24"/>
          <w:szCs w:val="24"/>
          <w:lang w:eastAsia="zh-CN"/>
        </w:rPr>
        <w:t>)</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6"/>
          <w:sz w:val="24"/>
          <w:szCs w:val="24"/>
          <w:lang w:eastAsia="zh-CN"/>
        </w:rPr>
        <w:t>这种缩小是由劳动者的集结、不同劳动过程的靠拢和生</w:t>
      </w:r>
      <w:r>
        <w:rPr>
          <w:rFonts w:hint="default" w:ascii="Times New Roman" w:hAnsi="Times New Roman" w:eastAsia="宋体" w:cs="Times New Roman"/>
          <w:spacing w:val="15"/>
          <w:sz w:val="24"/>
          <w:szCs w:val="24"/>
          <w:lang w:eastAsia="zh-CN"/>
        </w:rPr>
        <w:t>产资料的积聚造成</w:t>
      </w:r>
      <w:r>
        <w:rPr>
          <w:rFonts w:hint="default" w:ascii="Times New Roman" w:hAnsi="Times New Roman" w:eastAsia="宋体" w:cs="Times New Roman"/>
          <w:spacing w:val="3"/>
          <w:sz w:val="24"/>
          <w:szCs w:val="24"/>
          <w:lang w:eastAsia="zh-CN"/>
        </w:rPr>
        <w:t>的”</w:t>
      </w:r>
      <w:r>
        <w:rPr>
          <w:rStyle w:val="20"/>
          <w:rFonts w:hint="default" w:ascii="Times New Roman" w:hAnsi="Times New Roman" w:eastAsia="宋体" w:cs="Times New Roman"/>
          <w:spacing w:val="-3"/>
          <w:w w:val="36"/>
          <w:position w:val="5"/>
          <w:sz w:val="24"/>
          <w:szCs w:val="24"/>
          <w:lang w:eastAsia="zh-CN"/>
        </w:rPr>
        <w:footnoteReference w:id="330"/>
      </w:r>
      <w:r>
        <w:rPr>
          <w:rFonts w:hint="default" w:ascii="Times New Roman" w:hAnsi="Times New Roman" w:eastAsia="宋体" w:cs="Times New Roman"/>
          <w:spacing w:val="11"/>
          <w:sz w:val="24"/>
          <w:szCs w:val="24"/>
          <w:lang w:eastAsia="zh-CN"/>
        </w:rPr>
        <w:t>。而分工是一种特殊的协作,“它的许多优越性都是由协作的一般性质</w:t>
      </w:r>
      <w:r>
        <w:rPr>
          <w:rFonts w:hint="default" w:ascii="Times New Roman" w:hAnsi="Times New Roman" w:eastAsia="宋体" w:cs="Times New Roman"/>
          <w:spacing w:val="-11"/>
          <w:sz w:val="24"/>
          <w:szCs w:val="24"/>
          <w:lang w:eastAsia="zh-CN"/>
        </w:rPr>
        <w:t>产生的”</w:t>
      </w:r>
      <w:r>
        <w:rPr>
          <w:rStyle w:val="20"/>
          <w:rFonts w:hint="default" w:ascii="Times New Roman" w:hAnsi="Times New Roman" w:eastAsia="宋体" w:cs="Times New Roman"/>
          <w:spacing w:val="-11"/>
          <w:sz w:val="24"/>
          <w:szCs w:val="24"/>
          <w:lang w:eastAsia="zh-CN"/>
        </w:rPr>
        <w:footnoteReference w:id="331"/>
      </w:r>
      <w:r>
        <w:rPr>
          <w:rFonts w:hint="default" w:ascii="Times New Roman" w:hAnsi="Times New Roman" w:eastAsia="宋体" w:cs="Times New Roman"/>
          <w:spacing w:val="-11"/>
          <w:sz w:val="24"/>
          <w:szCs w:val="24"/>
          <w:lang w:eastAsia="zh-CN"/>
        </w:rPr>
        <w:t>。第</w:t>
      </w:r>
      <w:r>
        <w:rPr>
          <w:rFonts w:hint="default" w:ascii="Times New Roman" w:hAnsi="Times New Roman" w:eastAsia="宋体" w:cs="Times New Roman"/>
          <w:spacing w:val="16"/>
          <w:sz w:val="24"/>
          <w:szCs w:val="24"/>
          <w:lang w:eastAsia="zh-CN"/>
        </w:rPr>
        <w:t>二,由于协作的共同劳动所引起的竞争和精力振奋,可以提高</w:t>
      </w:r>
      <w:r>
        <w:rPr>
          <w:rFonts w:hint="default" w:ascii="Times New Roman" w:hAnsi="Times New Roman" w:eastAsia="宋体" w:cs="Times New Roman"/>
          <w:spacing w:val="1"/>
          <w:sz w:val="24"/>
          <w:szCs w:val="24"/>
          <w:lang w:eastAsia="zh-CN"/>
        </w:rPr>
        <w:t>个人工作效率。第三,相对多的劳动者对厂房、仓储设</w:t>
      </w:r>
      <w:r>
        <w:rPr>
          <w:rFonts w:hint="default" w:ascii="Times New Roman" w:hAnsi="Times New Roman" w:eastAsia="宋体" w:cs="Times New Roman"/>
          <w:sz w:val="24"/>
          <w:szCs w:val="24"/>
          <w:lang w:eastAsia="zh-CN"/>
        </w:rPr>
        <w:t>施、工具、装备等的共同</w:t>
      </w:r>
      <w:r>
        <w:rPr>
          <w:rFonts w:hint="default" w:ascii="Times New Roman" w:hAnsi="Times New Roman" w:eastAsia="宋体" w:cs="Times New Roman"/>
          <w:spacing w:val="14"/>
          <w:sz w:val="24"/>
          <w:szCs w:val="24"/>
          <w:lang w:eastAsia="zh-CN"/>
        </w:rPr>
        <w:t>使用,降低了人均生产资料占用量。第四,即使不改</w:t>
      </w:r>
      <w:r>
        <w:rPr>
          <w:rFonts w:hint="default" w:ascii="Times New Roman" w:hAnsi="Times New Roman" w:eastAsia="宋体" w:cs="Times New Roman"/>
          <w:spacing w:val="13"/>
          <w:sz w:val="24"/>
          <w:szCs w:val="24"/>
          <w:lang w:eastAsia="zh-CN"/>
        </w:rPr>
        <w:t>变生产工具和操作方法,</w:t>
      </w:r>
      <w:r>
        <w:rPr>
          <w:rFonts w:hint="default" w:ascii="Times New Roman" w:hAnsi="Times New Roman" w:eastAsia="宋体" w:cs="Times New Roman"/>
          <w:spacing w:val="12"/>
          <w:sz w:val="24"/>
          <w:szCs w:val="24"/>
          <w:lang w:eastAsia="zh-CN"/>
        </w:rPr>
        <w:t>仅通过操作的分解和专业化,也可以节省学习时间和费用。一个在商品的生</w:t>
      </w:r>
      <w:r>
        <w:rPr>
          <w:rFonts w:hint="default" w:ascii="Times New Roman" w:hAnsi="Times New Roman" w:eastAsia="宋体" w:cs="Times New Roman"/>
          <w:spacing w:val="13"/>
          <w:sz w:val="24"/>
          <w:szCs w:val="24"/>
          <w:lang w:eastAsia="zh-CN"/>
        </w:rPr>
        <w:t>产中依次完成各个局部过程的手工业者,必须经常变更位置,经常调换工具,</w:t>
      </w:r>
      <w:r>
        <w:rPr>
          <w:rFonts w:hint="default" w:ascii="Times New Roman" w:hAnsi="Times New Roman" w:eastAsia="宋体" w:cs="Times New Roman"/>
          <w:spacing w:val="4"/>
          <w:sz w:val="24"/>
          <w:szCs w:val="24"/>
          <w:lang w:eastAsia="zh-CN"/>
        </w:rPr>
        <w:t>而“由一种操作转到另一种操作会打断他的劳动流程,造成他的工作日中某种</w:t>
      </w:r>
      <w:r>
        <w:rPr>
          <w:rFonts w:hint="default" w:ascii="Times New Roman" w:hAnsi="Times New Roman" w:eastAsia="宋体" w:cs="Times New Roman"/>
          <w:spacing w:val="9"/>
          <w:sz w:val="24"/>
          <w:szCs w:val="24"/>
          <w:lang w:eastAsia="zh-CN"/>
        </w:rPr>
        <w:t>空隙。一旦手工业者整天不断地从事同一种操作,这些空隙就会缩小,或者说</w:t>
      </w:r>
      <w:r>
        <w:rPr>
          <w:rFonts w:hint="default" w:ascii="Times New Roman" w:hAnsi="Times New Roman" w:eastAsia="宋体" w:cs="Times New Roman"/>
          <w:spacing w:val="11"/>
          <w:sz w:val="24"/>
          <w:szCs w:val="24"/>
          <w:lang w:eastAsia="zh-CN"/>
        </w:rPr>
        <w:t>会随着他的操作变化的减少而趋于消失。在这里,劳动生产率的提高,或者是</w:t>
      </w:r>
      <w:r>
        <w:rPr>
          <w:rFonts w:hint="default" w:ascii="Times New Roman" w:hAnsi="Times New Roman" w:eastAsia="宋体" w:cs="Times New Roman"/>
          <w:spacing w:val="12"/>
          <w:sz w:val="24"/>
          <w:szCs w:val="24"/>
          <w:lang w:eastAsia="zh-CN"/>
        </w:rPr>
        <w:t>由于增加了一定时间内劳动力的支出,也就是提高了劳动强度,或者是由于减</w:t>
      </w:r>
      <w:r>
        <w:rPr>
          <w:rFonts w:hint="default" w:ascii="Times New Roman" w:hAnsi="Times New Roman" w:eastAsia="宋体" w:cs="Times New Roman"/>
          <w:spacing w:val="6"/>
          <w:sz w:val="24"/>
          <w:szCs w:val="24"/>
          <w:lang w:eastAsia="zh-CN"/>
        </w:rPr>
        <w:t>少了劳动力的非生产耗费”</w:t>
      </w:r>
      <w:r>
        <w:rPr>
          <w:rStyle w:val="20"/>
          <w:rFonts w:hint="default" w:ascii="Times New Roman" w:hAnsi="Times New Roman" w:eastAsia="宋体" w:cs="Times New Roman"/>
          <w:spacing w:val="6"/>
          <w:sz w:val="24"/>
          <w:szCs w:val="24"/>
          <w:lang w:eastAsia="zh-CN"/>
        </w:rPr>
        <w:footnoteReference w:id="332"/>
      </w:r>
      <w:r>
        <w:rPr>
          <w:rFonts w:hint="default" w:ascii="Times New Roman" w:hAnsi="Times New Roman" w:eastAsia="宋体" w:cs="Times New Roman"/>
          <w:spacing w:val="6"/>
          <w:sz w:val="24"/>
          <w:szCs w:val="24"/>
          <w:lang w:eastAsia="zh-CN"/>
        </w:rPr>
        <w:t>。第五,相对简单的操作可以减少工作失误。</w:t>
      </w:r>
    </w:p>
    <w:p w14:paraId="6AF7D77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6"/>
          <w:sz w:val="24"/>
          <w:szCs w:val="24"/>
          <w:lang w:eastAsia="zh-CN"/>
        </w:rPr>
        <w:t>另一方面,从生产关系的角度看,马克思认为,分工在推动人类社会不断</w:t>
      </w:r>
      <w:r>
        <w:rPr>
          <w:rFonts w:hint="default" w:ascii="Times New Roman" w:hAnsi="Times New Roman" w:eastAsia="宋体" w:cs="Times New Roman"/>
          <w:spacing w:val="12"/>
          <w:sz w:val="24"/>
          <w:szCs w:val="24"/>
          <w:lang w:eastAsia="zh-CN"/>
        </w:rPr>
        <w:t>发展的同时,也造成了阻碍人类发展的一些桎梏。分工是生产力与生产关系</w:t>
      </w:r>
      <w:r>
        <w:rPr>
          <w:rFonts w:hint="default" w:ascii="Times New Roman" w:hAnsi="Times New Roman" w:eastAsia="宋体" w:cs="Times New Roman"/>
          <w:spacing w:val="7"/>
          <w:sz w:val="24"/>
          <w:szCs w:val="24"/>
          <w:lang w:eastAsia="zh-CN"/>
        </w:rPr>
        <w:t>的有机结合,“分工的各个不同发展阶段,同时也就是所有制的各种不同形</w:t>
      </w:r>
      <w:r>
        <w:rPr>
          <w:rFonts w:hint="default" w:ascii="Times New Roman" w:hAnsi="Times New Roman" w:eastAsia="宋体" w:cs="Times New Roman"/>
          <w:spacing w:val="6"/>
          <w:sz w:val="24"/>
          <w:szCs w:val="24"/>
          <w:lang w:eastAsia="zh-CN"/>
        </w:rPr>
        <w:t>式。这就是说,分工的每一个阶段还决定个人在劳动材料、劳动工具和劳动产品方</w:t>
      </w:r>
      <w:r>
        <w:rPr>
          <w:rFonts w:hint="default" w:ascii="Times New Roman" w:hAnsi="Times New Roman" w:eastAsia="宋体" w:cs="Times New Roman"/>
          <w:spacing w:val="4"/>
          <w:sz w:val="24"/>
          <w:szCs w:val="24"/>
          <w:lang w:eastAsia="zh-CN"/>
        </w:rPr>
        <w:t>面的相互关系”</w:t>
      </w:r>
      <w:r>
        <w:rPr>
          <w:rStyle w:val="20"/>
          <w:rFonts w:hint="default" w:ascii="Times New Roman" w:hAnsi="Times New Roman" w:eastAsia="宋体" w:cs="Times New Roman"/>
          <w:spacing w:val="4"/>
          <w:sz w:val="24"/>
          <w:szCs w:val="24"/>
          <w:lang w:eastAsia="zh-CN"/>
        </w:rPr>
        <w:footnoteReference w:id="333"/>
      </w:r>
      <w:r>
        <w:rPr>
          <w:rFonts w:hint="default" w:ascii="Times New Roman" w:hAnsi="Times New Roman" w:eastAsia="宋体" w:cs="Times New Roman"/>
          <w:spacing w:val="4"/>
          <w:sz w:val="24"/>
          <w:szCs w:val="24"/>
          <w:lang w:eastAsia="zh-CN"/>
        </w:rPr>
        <w:t>。马克思《资本论》的研究对象就是资本主义生产方式以及</w:t>
      </w:r>
      <w:r>
        <w:rPr>
          <w:rFonts w:hint="default" w:ascii="Times New Roman" w:hAnsi="Times New Roman" w:eastAsia="宋体" w:cs="Times New Roman"/>
          <w:spacing w:val="12"/>
          <w:sz w:val="24"/>
          <w:szCs w:val="24"/>
          <w:lang w:eastAsia="zh-CN"/>
        </w:rPr>
        <w:t>和它相适应的生产关系和交换关系,因此,马克思主要阐释了资本主义</w:t>
      </w:r>
      <w:r>
        <w:rPr>
          <w:rFonts w:hint="default" w:ascii="Times New Roman" w:hAnsi="Times New Roman" w:eastAsia="宋体" w:cs="Times New Roman"/>
          <w:spacing w:val="11"/>
          <w:sz w:val="24"/>
          <w:szCs w:val="24"/>
          <w:lang w:eastAsia="zh-CN"/>
        </w:rPr>
        <w:t>条件下</w:t>
      </w:r>
      <w:r>
        <w:rPr>
          <w:rFonts w:hint="default" w:ascii="Times New Roman" w:hAnsi="Times New Roman" w:eastAsia="宋体" w:cs="Times New Roman"/>
          <w:spacing w:val="10"/>
          <w:sz w:val="24"/>
          <w:szCs w:val="24"/>
          <w:lang w:eastAsia="zh-CN"/>
        </w:rPr>
        <w:t>的分工演化结果。马克思认为,在资本主义私有制下,分工的积极效应所带来</w:t>
      </w:r>
      <w:r>
        <w:rPr>
          <w:rFonts w:hint="default" w:ascii="Times New Roman" w:hAnsi="Times New Roman" w:eastAsia="宋体" w:cs="Times New Roman"/>
          <w:spacing w:val="11"/>
          <w:sz w:val="24"/>
          <w:szCs w:val="24"/>
          <w:lang w:eastAsia="zh-CN"/>
        </w:rPr>
        <w:t>的生产力的提高,实际上提高的是资本的生产力,劳动者反而成为固化在资本</w:t>
      </w:r>
      <w:r>
        <w:rPr>
          <w:rFonts w:hint="default" w:ascii="Times New Roman" w:hAnsi="Times New Roman" w:eastAsia="宋体" w:cs="Times New Roman"/>
          <w:spacing w:val="12"/>
          <w:sz w:val="24"/>
          <w:szCs w:val="24"/>
          <w:lang w:eastAsia="zh-CN"/>
        </w:rPr>
        <w:t>主义分工链条中的局部工人,个人的自由全面发展和资本无限增殖之间出现</w:t>
      </w:r>
      <w:r>
        <w:rPr>
          <w:rFonts w:hint="default" w:ascii="Times New Roman" w:hAnsi="Times New Roman" w:eastAsia="宋体" w:cs="Times New Roman"/>
          <w:spacing w:val="13"/>
          <w:sz w:val="24"/>
          <w:szCs w:val="24"/>
          <w:lang w:eastAsia="zh-CN"/>
        </w:rPr>
        <w:t>不可调和的矛盾。在资本主义条件下,分工既是不平等的社</w:t>
      </w:r>
      <w:r>
        <w:rPr>
          <w:rFonts w:hint="default" w:ascii="Times New Roman" w:hAnsi="Times New Roman" w:eastAsia="宋体" w:cs="Times New Roman"/>
          <w:spacing w:val="12"/>
          <w:sz w:val="24"/>
          <w:szCs w:val="24"/>
          <w:lang w:eastAsia="zh-CN"/>
        </w:rPr>
        <w:t>会制度和生产关</w:t>
      </w:r>
      <w:r>
        <w:rPr>
          <w:rFonts w:hint="default" w:ascii="Times New Roman" w:hAnsi="Times New Roman" w:eastAsia="宋体" w:cs="Times New Roman"/>
          <w:spacing w:val="13"/>
          <w:sz w:val="24"/>
          <w:szCs w:val="24"/>
          <w:lang w:eastAsia="zh-CN"/>
        </w:rPr>
        <w:t>系形成的内在原因,同时社会分工也是不平等的社会制度和生产关系在生产</w:t>
      </w:r>
      <w:r>
        <w:rPr>
          <w:rFonts w:hint="default" w:ascii="Times New Roman" w:hAnsi="Times New Roman" w:eastAsia="宋体" w:cs="Times New Roman"/>
          <w:spacing w:val="12"/>
          <w:sz w:val="24"/>
          <w:szCs w:val="24"/>
          <w:lang w:eastAsia="zh-CN"/>
        </w:rPr>
        <w:t>领域内造成的结果,这种不平等分工的结果进一步巩固并加速了社会阶层的</w:t>
      </w:r>
      <w:r>
        <w:rPr>
          <w:rFonts w:hint="default" w:ascii="Times New Roman" w:hAnsi="Times New Roman" w:eastAsia="宋体" w:cs="Times New Roman"/>
          <w:spacing w:val="6"/>
          <w:sz w:val="24"/>
          <w:szCs w:val="24"/>
          <w:lang w:eastAsia="zh-CN"/>
        </w:rPr>
        <w:t>分化和固化。在资本主义分工形式下,局部工人的劳动被分解为一般的、不断</w:t>
      </w:r>
      <w:r>
        <w:rPr>
          <w:rFonts w:hint="default" w:ascii="Times New Roman" w:hAnsi="Times New Roman" w:eastAsia="宋体" w:cs="Times New Roman"/>
          <w:spacing w:val="7"/>
          <w:sz w:val="24"/>
          <w:szCs w:val="24"/>
          <w:lang w:eastAsia="zh-CN"/>
        </w:rPr>
        <w:t>重复的各种标准化动作,流水线生产的出现使手脑的分离、概念和执行的分离</w:t>
      </w:r>
      <w:r>
        <w:rPr>
          <w:rFonts w:hint="default" w:ascii="Times New Roman" w:hAnsi="Times New Roman" w:eastAsia="宋体" w:cs="Times New Roman"/>
          <w:spacing w:val="12"/>
          <w:sz w:val="24"/>
          <w:szCs w:val="24"/>
          <w:lang w:eastAsia="zh-CN"/>
        </w:rPr>
        <w:t>达到了极为严格的程度,管理部门取得了对装配速度的绝对控制,工人的</w:t>
      </w:r>
      <w:r>
        <w:rPr>
          <w:rFonts w:hint="default" w:ascii="Times New Roman" w:hAnsi="Times New Roman" w:eastAsia="宋体" w:cs="Times New Roman"/>
          <w:spacing w:val="11"/>
          <w:sz w:val="24"/>
          <w:szCs w:val="24"/>
          <w:lang w:eastAsia="zh-CN"/>
        </w:rPr>
        <w:t>劳动</w:t>
      </w:r>
      <w:r>
        <w:rPr>
          <w:rFonts w:hint="default" w:ascii="Times New Roman" w:hAnsi="Times New Roman" w:eastAsia="宋体" w:cs="Times New Roman"/>
          <w:spacing w:val="12"/>
          <w:sz w:val="24"/>
          <w:szCs w:val="24"/>
          <w:lang w:eastAsia="zh-CN"/>
        </w:rPr>
        <w:t>强度达到了非常高的程度,劳动者成为一个工具而已,从而产生了机器对</w:t>
      </w:r>
      <w:r>
        <w:rPr>
          <w:rFonts w:hint="default" w:ascii="Times New Roman" w:hAnsi="Times New Roman" w:eastAsia="宋体" w:cs="Times New Roman"/>
          <w:spacing w:val="11"/>
          <w:sz w:val="24"/>
          <w:szCs w:val="24"/>
          <w:lang w:eastAsia="zh-CN"/>
        </w:rPr>
        <w:t>工人</w:t>
      </w:r>
      <w:r>
        <w:rPr>
          <w:rFonts w:hint="default" w:ascii="Times New Roman" w:hAnsi="Times New Roman" w:eastAsia="宋体" w:cs="Times New Roman"/>
          <w:spacing w:val="10"/>
          <w:sz w:val="24"/>
          <w:szCs w:val="24"/>
          <w:lang w:eastAsia="zh-CN"/>
        </w:rPr>
        <w:t>的专制。因此,局部工人身上被打上了私有财产的烙印,变成生产资料</w:t>
      </w:r>
      <w:r>
        <w:rPr>
          <w:rFonts w:hint="default" w:ascii="Times New Roman" w:hAnsi="Times New Roman" w:eastAsia="宋体" w:cs="Times New Roman"/>
          <w:spacing w:val="9"/>
          <w:sz w:val="24"/>
          <w:szCs w:val="24"/>
          <w:lang w:eastAsia="zh-CN"/>
        </w:rPr>
        <w:t>所有者</w:t>
      </w:r>
      <w:r>
        <w:rPr>
          <w:rFonts w:hint="default" w:ascii="Times New Roman" w:hAnsi="Times New Roman" w:eastAsia="宋体" w:cs="Times New Roman"/>
          <w:spacing w:val="12"/>
          <w:sz w:val="24"/>
          <w:szCs w:val="24"/>
          <w:lang w:eastAsia="zh-CN"/>
        </w:rPr>
        <w:t>的私有财产,因此这种提高生产力的分工方式成为资本无限增殖的方式,</w:t>
      </w:r>
      <w:r>
        <w:rPr>
          <w:rFonts w:hint="default" w:ascii="Times New Roman" w:hAnsi="Times New Roman" w:eastAsia="宋体" w:cs="Times New Roman"/>
          <w:spacing w:val="11"/>
          <w:sz w:val="24"/>
          <w:szCs w:val="24"/>
          <w:lang w:eastAsia="zh-CN"/>
        </w:rPr>
        <w:t>成为</w:t>
      </w:r>
      <w:r>
        <w:rPr>
          <w:rFonts w:hint="default" w:ascii="Times New Roman" w:hAnsi="Times New Roman" w:eastAsia="宋体" w:cs="Times New Roman"/>
          <w:spacing w:val="8"/>
          <w:sz w:val="24"/>
          <w:szCs w:val="24"/>
          <w:lang w:eastAsia="zh-CN"/>
        </w:rPr>
        <w:t>生产剩余价值的手段。“由许多单个的局部工人组成的社会生产机构是属于</w:t>
      </w:r>
      <w:r>
        <w:rPr>
          <w:rFonts w:hint="default" w:ascii="Times New Roman" w:hAnsi="Times New Roman" w:eastAsia="宋体" w:cs="Times New Roman"/>
          <w:spacing w:val="12"/>
          <w:sz w:val="24"/>
          <w:szCs w:val="24"/>
          <w:lang w:eastAsia="zh-CN"/>
        </w:rPr>
        <w:t>资本家的。因此,由各种劳动的结合所产生的生产</w:t>
      </w:r>
      <w:r>
        <w:rPr>
          <w:rFonts w:hint="default" w:ascii="Times New Roman" w:hAnsi="Times New Roman" w:eastAsia="宋体" w:cs="Times New Roman"/>
          <w:spacing w:val="11"/>
          <w:sz w:val="24"/>
          <w:szCs w:val="24"/>
          <w:lang w:eastAsia="zh-CN"/>
        </w:rPr>
        <w:t>力也就表现为资本的生产</w:t>
      </w:r>
      <w:r>
        <w:rPr>
          <w:rFonts w:hint="default" w:ascii="Times New Roman" w:hAnsi="Times New Roman" w:eastAsia="宋体" w:cs="Times New Roman"/>
          <w:spacing w:val="16"/>
          <w:sz w:val="24"/>
          <w:szCs w:val="24"/>
          <w:lang w:eastAsia="zh-CN"/>
        </w:rPr>
        <w:t>力……工场手工业把工人变成畸形物,它压抑工人的多种多样的生产志趣和</w:t>
      </w:r>
      <w:r>
        <w:rPr>
          <w:rFonts w:hint="default" w:ascii="Times New Roman" w:hAnsi="Times New Roman" w:eastAsia="宋体" w:cs="Times New Roman"/>
          <w:spacing w:val="9"/>
          <w:sz w:val="24"/>
          <w:szCs w:val="24"/>
          <w:lang w:eastAsia="zh-CN"/>
        </w:rPr>
        <w:t>生产才能,人为地培植工人片面的技巧。”</w:t>
      </w:r>
      <w:r>
        <w:rPr>
          <w:rStyle w:val="20"/>
          <w:rFonts w:hint="default" w:ascii="Times New Roman" w:hAnsi="Times New Roman" w:eastAsia="宋体" w:cs="Times New Roman"/>
          <w:spacing w:val="9"/>
          <w:sz w:val="24"/>
          <w:szCs w:val="24"/>
          <w:lang w:eastAsia="zh-CN"/>
        </w:rPr>
        <w:footnoteReference w:id="334"/>
      </w:r>
      <w:r>
        <w:rPr>
          <w:rFonts w:hint="default" w:ascii="Times New Roman" w:hAnsi="Times New Roman" w:eastAsia="宋体" w:cs="Times New Roman"/>
          <w:spacing w:val="9"/>
          <w:sz w:val="24"/>
          <w:szCs w:val="24"/>
          <w:lang w:eastAsia="zh-CN"/>
        </w:rPr>
        <w:t>局部工人是分工在资本逻辑推动</w:t>
      </w:r>
      <w:r>
        <w:rPr>
          <w:rFonts w:hint="default" w:ascii="Times New Roman" w:hAnsi="Times New Roman" w:eastAsia="宋体" w:cs="Times New Roman"/>
          <w:spacing w:val="11"/>
          <w:sz w:val="24"/>
          <w:szCs w:val="24"/>
          <w:lang w:eastAsia="zh-CN"/>
        </w:rPr>
        <w:t>下的结果,同时也是摧毁这种分工的力量源泉。马克思所设想的新型</w:t>
      </w:r>
      <w:r>
        <w:rPr>
          <w:rFonts w:hint="default" w:ascii="Times New Roman" w:hAnsi="Times New Roman" w:eastAsia="宋体" w:cs="Times New Roman"/>
          <w:spacing w:val="10"/>
          <w:sz w:val="24"/>
          <w:szCs w:val="24"/>
          <w:lang w:eastAsia="zh-CN"/>
        </w:rPr>
        <w:t>的分工</w:t>
      </w:r>
      <w:r>
        <w:rPr>
          <w:rFonts w:hint="default" w:ascii="Times New Roman" w:hAnsi="Times New Roman" w:eastAsia="宋体" w:cs="Times New Roman"/>
          <w:spacing w:val="1"/>
          <w:sz w:val="24"/>
          <w:szCs w:val="24"/>
          <w:lang w:eastAsia="zh-CN"/>
        </w:rPr>
        <w:t>是消灭分工中工人受生产资料支配的“自发分工”,建立起工</w:t>
      </w:r>
      <w:r>
        <w:rPr>
          <w:rFonts w:hint="default" w:ascii="Times New Roman" w:hAnsi="Times New Roman" w:eastAsia="宋体" w:cs="Times New Roman"/>
          <w:sz w:val="24"/>
          <w:szCs w:val="24"/>
          <w:lang w:eastAsia="zh-CN"/>
        </w:rPr>
        <w:t>人自觉自愿进行</w:t>
      </w:r>
      <w:r>
        <w:rPr>
          <w:rFonts w:hint="default" w:ascii="Times New Roman" w:hAnsi="Times New Roman" w:eastAsia="宋体" w:cs="Times New Roman"/>
          <w:spacing w:val="-4"/>
          <w:sz w:val="24"/>
          <w:szCs w:val="24"/>
          <w:lang w:eastAsia="zh-CN"/>
        </w:rPr>
        <w:t>劳动的“自觉分工”。</w:t>
      </w:r>
    </w:p>
    <w:p w14:paraId="7EBED9D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3"/>
          <w:sz w:val="24"/>
          <w:szCs w:val="24"/>
          <w:lang w:eastAsia="zh-CN"/>
        </w:rPr>
        <w:t>(四)国际分工</w:t>
      </w:r>
    </w:p>
    <w:p w14:paraId="0E419A7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3"/>
          <w:sz w:val="24"/>
          <w:szCs w:val="24"/>
          <w:lang w:eastAsia="zh-CN"/>
        </w:rPr>
        <w:t>在马克思看来,分工不仅出现在国内,同时在国际市场与贸易中也适用,</w:t>
      </w:r>
      <w:r>
        <w:rPr>
          <w:rFonts w:hint="default" w:ascii="Times New Roman" w:hAnsi="Times New Roman" w:eastAsia="宋体" w:cs="Times New Roman"/>
          <w:spacing w:val="1"/>
          <w:sz w:val="24"/>
          <w:szCs w:val="24"/>
          <w:lang w:eastAsia="zh-CN"/>
        </w:rPr>
        <w:t>在资本主义生产方式下,从劳动、分工、需要、交换价值等这些抽象的内容上升</w:t>
      </w:r>
      <w:r>
        <w:rPr>
          <w:rFonts w:hint="default" w:ascii="Times New Roman" w:hAnsi="Times New Roman" w:eastAsia="宋体" w:cs="Times New Roman"/>
          <w:spacing w:val="7"/>
          <w:sz w:val="24"/>
          <w:szCs w:val="24"/>
          <w:lang w:eastAsia="zh-CN"/>
        </w:rPr>
        <w:t>到国家、国际分工与交换和世界市场等各种具体内</w:t>
      </w:r>
      <w:r>
        <w:rPr>
          <w:rFonts w:hint="default" w:ascii="Times New Roman" w:hAnsi="Times New Roman" w:eastAsia="宋体" w:cs="Times New Roman"/>
          <w:spacing w:val="6"/>
          <w:sz w:val="24"/>
          <w:szCs w:val="24"/>
          <w:lang w:eastAsia="zh-CN"/>
        </w:rPr>
        <w:t>容是一种必然,因此按照马</w:t>
      </w:r>
      <w:r>
        <w:rPr>
          <w:rFonts w:hint="default" w:ascii="Times New Roman" w:hAnsi="Times New Roman" w:eastAsia="宋体" w:cs="Times New Roman"/>
          <w:sz w:val="24"/>
          <w:szCs w:val="24"/>
          <w:lang w:eastAsia="zh-CN"/>
        </w:rPr>
        <w:t>克思的六册构想,“生产的国际关系、国际分</w:t>
      </w:r>
      <w:r>
        <w:rPr>
          <w:rFonts w:hint="default" w:ascii="Times New Roman" w:hAnsi="Times New Roman" w:eastAsia="宋体" w:cs="Times New Roman"/>
          <w:spacing w:val="-1"/>
          <w:sz w:val="24"/>
          <w:szCs w:val="24"/>
          <w:lang w:eastAsia="zh-CN"/>
        </w:rPr>
        <w:t>工、国际交换、输出和输入、汇</w:t>
      </w:r>
      <w:r>
        <w:rPr>
          <w:rFonts w:hint="default" w:ascii="Times New Roman" w:hAnsi="Times New Roman" w:eastAsia="宋体" w:cs="Times New Roman"/>
          <w:spacing w:val="1"/>
          <w:sz w:val="24"/>
          <w:szCs w:val="24"/>
          <w:lang w:eastAsia="zh-CN"/>
        </w:rPr>
        <w:t>率”</w:t>
      </w:r>
      <w:r>
        <w:rPr>
          <w:rStyle w:val="20"/>
          <w:rFonts w:hint="default" w:ascii="Times New Roman" w:hAnsi="Times New Roman" w:eastAsia="宋体" w:cs="Times New Roman"/>
          <w:spacing w:val="1"/>
          <w:sz w:val="24"/>
          <w:szCs w:val="24"/>
          <w:lang w:eastAsia="zh-CN"/>
        </w:rPr>
        <w:footnoteReference w:id="335"/>
      </w:r>
      <w:r>
        <w:rPr>
          <w:rFonts w:hint="default" w:ascii="Times New Roman" w:hAnsi="Times New Roman" w:eastAsia="宋体" w:cs="Times New Roman"/>
          <w:spacing w:val="3"/>
          <w:sz w:val="24"/>
          <w:szCs w:val="24"/>
          <w:lang w:eastAsia="zh-CN"/>
        </w:rPr>
        <w:t>是一个重要研究内容。国际分工是生产力发展推动国内社会分工向国</w:t>
      </w:r>
      <w:r>
        <w:rPr>
          <w:rFonts w:hint="default" w:ascii="Times New Roman" w:hAnsi="Times New Roman" w:eastAsia="宋体" w:cs="Times New Roman"/>
          <w:spacing w:val="12"/>
          <w:sz w:val="24"/>
          <w:szCs w:val="24"/>
          <w:lang w:eastAsia="zh-CN"/>
        </w:rPr>
        <w:t>际扩展的延续,是资本主义生产方式持续扩张的结果,国际分工和国际</w:t>
      </w:r>
      <w:r>
        <w:rPr>
          <w:rFonts w:hint="default" w:ascii="Times New Roman" w:hAnsi="Times New Roman" w:eastAsia="宋体" w:cs="Times New Roman"/>
          <w:spacing w:val="11"/>
          <w:sz w:val="24"/>
          <w:szCs w:val="24"/>
          <w:lang w:eastAsia="zh-CN"/>
        </w:rPr>
        <w:t>商品交</w:t>
      </w:r>
      <w:r>
        <w:rPr>
          <w:rFonts w:hint="default" w:ascii="Times New Roman" w:hAnsi="Times New Roman" w:eastAsia="宋体" w:cs="Times New Roman"/>
          <w:spacing w:val="12"/>
          <w:sz w:val="24"/>
          <w:szCs w:val="24"/>
          <w:lang w:eastAsia="zh-CN"/>
        </w:rPr>
        <w:t>换同样遵循价值规律,只不过在国内交换中起支配作用的是国内价值规</w:t>
      </w:r>
      <w:r>
        <w:rPr>
          <w:rFonts w:hint="default" w:ascii="Times New Roman" w:hAnsi="Times New Roman" w:eastAsia="宋体" w:cs="Times New Roman"/>
          <w:spacing w:val="11"/>
          <w:sz w:val="24"/>
          <w:szCs w:val="24"/>
          <w:lang w:eastAsia="zh-CN"/>
        </w:rPr>
        <w:t>律,而</w:t>
      </w:r>
      <w:r>
        <w:rPr>
          <w:rFonts w:hint="default" w:ascii="Times New Roman" w:hAnsi="Times New Roman" w:eastAsia="宋体" w:cs="Times New Roman"/>
          <w:spacing w:val="8"/>
          <w:sz w:val="24"/>
          <w:szCs w:val="24"/>
          <w:lang w:eastAsia="zh-CN"/>
        </w:rPr>
        <w:t>在国际分工和国际商品交换中起支配作用的是国际价值规律。</w:t>
      </w:r>
    </w:p>
    <w:p w14:paraId="5BA495C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6"/>
          <w:sz w:val="24"/>
          <w:szCs w:val="24"/>
          <w:lang w:eastAsia="zh-CN"/>
        </w:rPr>
        <w:t>由于各个国家经济发展水平不同、技术程度不同、劳动生产率不同,一般</w:t>
      </w:r>
      <w:r>
        <w:rPr>
          <w:rFonts w:hint="default" w:ascii="Times New Roman" w:hAnsi="Times New Roman" w:eastAsia="宋体" w:cs="Times New Roman"/>
          <w:spacing w:val="10"/>
          <w:sz w:val="24"/>
          <w:szCs w:val="24"/>
          <w:lang w:eastAsia="zh-CN"/>
        </w:rPr>
        <w:t>来说,“一个国家的资本主义生产越发达,那里的国民劳动的强度和生产率,就</w:t>
      </w:r>
      <w:r>
        <w:rPr>
          <w:rFonts w:hint="default" w:ascii="Times New Roman" w:hAnsi="Times New Roman" w:eastAsia="宋体" w:cs="Times New Roman"/>
          <w:spacing w:val="12"/>
          <w:sz w:val="24"/>
          <w:szCs w:val="24"/>
          <w:lang w:eastAsia="zh-CN"/>
        </w:rPr>
        <w:t>越超过国际水平。因此,不同国家在同一劳动时</w:t>
      </w:r>
      <w:r>
        <w:rPr>
          <w:rFonts w:hint="default" w:ascii="Times New Roman" w:hAnsi="Times New Roman" w:eastAsia="宋体" w:cs="Times New Roman"/>
          <w:spacing w:val="11"/>
          <w:sz w:val="24"/>
          <w:szCs w:val="24"/>
          <w:lang w:eastAsia="zh-CN"/>
        </w:rPr>
        <w:t>间内所生产的同种商品的不</w:t>
      </w:r>
      <w:r>
        <w:rPr>
          <w:rFonts w:hint="default" w:ascii="Times New Roman" w:hAnsi="Times New Roman" w:eastAsia="宋体" w:cs="Times New Roman"/>
          <w:spacing w:val="15"/>
          <w:sz w:val="24"/>
          <w:szCs w:val="24"/>
          <w:lang w:eastAsia="zh-CN"/>
        </w:rPr>
        <w:t>同量,有不同的国际价值,从而表现为不同的价格,即表现为按各自的国际价</w:t>
      </w:r>
      <w:r>
        <w:rPr>
          <w:rFonts w:hint="default" w:ascii="Times New Roman" w:hAnsi="Times New Roman" w:eastAsia="宋体" w:cs="Times New Roman"/>
          <w:spacing w:val="9"/>
          <w:sz w:val="24"/>
          <w:szCs w:val="24"/>
          <w:lang w:eastAsia="zh-CN"/>
        </w:rPr>
        <w:t>值而不同的货币额”</w:t>
      </w:r>
      <w:r>
        <w:rPr>
          <w:rStyle w:val="20"/>
          <w:rFonts w:hint="default" w:ascii="Times New Roman" w:hAnsi="Times New Roman" w:eastAsia="宋体" w:cs="Times New Roman"/>
          <w:spacing w:val="9"/>
          <w:sz w:val="24"/>
          <w:szCs w:val="24"/>
          <w:lang w:eastAsia="zh-CN"/>
        </w:rPr>
        <w:footnoteReference w:id="336"/>
      </w:r>
      <w:r>
        <w:rPr>
          <w:rFonts w:hint="default" w:ascii="Times New Roman" w:hAnsi="Times New Roman" w:eastAsia="宋体" w:cs="Times New Roman"/>
          <w:spacing w:val="9"/>
          <w:sz w:val="24"/>
          <w:szCs w:val="24"/>
          <w:lang w:eastAsia="zh-CN"/>
        </w:rPr>
        <w:t>。发达国家的劳动生产率高,较多商</w:t>
      </w:r>
      <w:r>
        <w:rPr>
          <w:rFonts w:hint="default" w:ascii="Times New Roman" w:hAnsi="Times New Roman" w:eastAsia="宋体" w:cs="Times New Roman"/>
          <w:spacing w:val="8"/>
          <w:sz w:val="24"/>
          <w:szCs w:val="24"/>
          <w:lang w:eastAsia="zh-CN"/>
        </w:rPr>
        <w:t>品的国别价值低于</w:t>
      </w:r>
      <w:r>
        <w:rPr>
          <w:rFonts w:hint="default" w:ascii="Times New Roman" w:hAnsi="Times New Roman" w:eastAsia="宋体" w:cs="Times New Roman"/>
          <w:spacing w:val="12"/>
          <w:sz w:val="24"/>
          <w:szCs w:val="24"/>
          <w:u w:val="single" w:color="231F20"/>
          <w:lang w:eastAsia="zh-CN"/>
        </w:rPr>
        <w:t>国际价值,在以国</w:t>
      </w:r>
      <w:r>
        <w:rPr>
          <w:rFonts w:hint="default" w:ascii="Times New Roman" w:hAnsi="Times New Roman" w:eastAsia="宋体" w:cs="Times New Roman"/>
          <w:spacing w:val="12"/>
          <w:sz w:val="24"/>
          <w:szCs w:val="24"/>
          <w:lang w:eastAsia="zh-CN"/>
        </w:rPr>
        <w:t>际价值为基础进行等价交换的情况下,就可以稳定</w:t>
      </w:r>
      <w:r>
        <w:rPr>
          <w:rFonts w:hint="default" w:ascii="Times New Roman" w:hAnsi="Times New Roman" w:eastAsia="宋体" w:cs="Times New Roman"/>
          <w:spacing w:val="11"/>
          <w:sz w:val="24"/>
          <w:szCs w:val="24"/>
          <w:lang w:eastAsia="zh-CN"/>
        </w:rPr>
        <w:t>地获得大高于国内市场的超额利润。不仅如此,马克思认为:</w:t>
      </w:r>
      <w:r>
        <w:rPr>
          <w:rFonts w:hint="default" w:ascii="Times New Roman" w:hAnsi="Times New Roman" w:eastAsia="宋体" w:cs="Times New Roman"/>
          <w:spacing w:val="10"/>
          <w:sz w:val="24"/>
          <w:szCs w:val="24"/>
          <w:lang w:eastAsia="zh-CN"/>
        </w:rPr>
        <w:t>“价值规律在国际上的</w:t>
      </w:r>
      <w:r>
        <w:rPr>
          <w:rFonts w:hint="default" w:ascii="Times New Roman" w:hAnsi="Times New Roman" w:eastAsia="宋体" w:cs="Times New Roman"/>
          <w:spacing w:val="12"/>
          <w:sz w:val="24"/>
          <w:szCs w:val="24"/>
          <w:lang w:eastAsia="zh-CN"/>
        </w:rPr>
        <w:t>应用,还会由于下述情况而发生更大的变化:只要生产效率</w:t>
      </w:r>
      <w:r>
        <w:rPr>
          <w:rFonts w:hint="default" w:ascii="Times New Roman" w:hAnsi="Times New Roman" w:eastAsia="宋体" w:cs="Times New Roman"/>
          <w:spacing w:val="11"/>
          <w:sz w:val="24"/>
          <w:szCs w:val="24"/>
          <w:lang w:eastAsia="zh-CN"/>
        </w:rPr>
        <w:t>较高的国家没有因</w:t>
      </w:r>
      <w:r>
        <w:rPr>
          <w:rFonts w:hint="default" w:ascii="Times New Roman" w:hAnsi="Times New Roman" w:eastAsia="宋体" w:cs="Times New Roman"/>
          <w:spacing w:val="14"/>
          <w:sz w:val="24"/>
          <w:szCs w:val="24"/>
          <w:lang w:eastAsia="zh-CN"/>
        </w:rPr>
        <w:t>竞争而被迫把它们的商品的出售价格降低到</w:t>
      </w:r>
      <w:r>
        <w:rPr>
          <w:rFonts w:hint="default" w:ascii="Times New Roman" w:hAnsi="Times New Roman" w:eastAsia="宋体" w:cs="Times New Roman"/>
          <w:spacing w:val="13"/>
          <w:sz w:val="24"/>
          <w:szCs w:val="24"/>
          <w:lang w:eastAsia="zh-CN"/>
        </w:rPr>
        <w:t>和商品的价值相等的程度,生产</w:t>
      </w:r>
      <w:r>
        <w:rPr>
          <w:rFonts w:hint="default" w:ascii="Times New Roman" w:hAnsi="Times New Roman" w:eastAsia="宋体" w:cs="Times New Roman"/>
          <w:spacing w:val="8"/>
          <w:sz w:val="24"/>
          <w:szCs w:val="24"/>
          <w:lang w:eastAsia="zh-CN"/>
        </w:rPr>
        <w:t>效率较高的国民劳动在世界市场上也被算作强度较大的劳动。”</w:t>
      </w:r>
      <w:r>
        <w:rPr>
          <w:rStyle w:val="20"/>
          <w:rFonts w:hint="default" w:ascii="Times New Roman" w:hAnsi="Times New Roman" w:eastAsia="宋体" w:cs="Times New Roman"/>
          <w:spacing w:val="8"/>
          <w:sz w:val="24"/>
          <w:szCs w:val="24"/>
          <w:lang w:eastAsia="zh-CN"/>
        </w:rPr>
        <w:footnoteReference w:id="337"/>
      </w:r>
      <w:r>
        <w:rPr>
          <w:rFonts w:hint="default" w:ascii="Times New Roman" w:hAnsi="Times New Roman" w:eastAsia="宋体" w:cs="Times New Roman"/>
          <w:spacing w:val="8"/>
          <w:sz w:val="24"/>
          <w:szCs w:val="24"/>
          <w:lang w:eastAsia="zh-CN"/>
        </w:rPr>
        <w:t>因而,发达</w:t>
      </w:r>
      <w:r>
        <w:rPr>
          <w:rFonts w:hint="default" w:ascii="Times New Roman" w:hAnsi="Times New Roman" w:eastAsia="宋体" w:cs="Times New Roman"/>
          <w:spacing w:val="12"/>
          <w:sz w:val="24"/>
          <w:szCs w:val="24"/>
          <w:lang w:eastAsia="zh-CN"/>
        </w:rPr>
        <w:t>国家能够从高价出售产品中获取更多的贸易利益。另一方面,从</w:t>
      </w:r>
      <w:r>
        <w:rPr>
          <w:rFonts w:hint="default" w:ascii="Times New Roman" w:hAnsi="Times New Roman" w:eastAsia="宋体" w:cs="Times New Roman"/>
          <w:spacing w:val="11"/>
          <w:sz w:val="24"/>
          <w:szCs w:val="24"/>
          <w:lang w:eastAsia="zh-CN"/>
        </w:rPr>
        <w:t>劳动生产率</w:t>
      </w:r>
      <w:r>
        <w:rPr>
          <w:rFonts w:hint="default" w:ascii="Times New Roman" w:hAnsi="Times New Roman" w:eastAsia="宋体" w:cs="Times New Roman"/>
          <w:spacing w:val="12"/>
          <w:sz w:val="24"/>
          <w:szCs w:val="24"/>
          <w:lang w:eastAsia="zh-CN"/>
        </w:rPr>
        <w:t>较低的国家来看,由于其国别价值即个别价值有可能等于或</w:t>
      </w:r>
      <w:r>
        <w:rPr>
          <w:rFonts w:hint="default" w:ascii="Times New Roman" w:hAnsi="Times New Roman" w:eastAsia="宋体" w:cs="Times New Roman"/>
          <w:spacing w:val="11"/>
          <w:sz w:val="24"/>
          <w:szCs w:val="24"/>
          <w:lang w:eastAsia="zh-CN"/>
        </w:rPr>
        <w:t>高于国际价值,在</w:t>
      </w:r>
      <w:r>
        <w:rPr>
          <w:rFonts w:hint="default" w:ascii="Times New Roman" w:hAnsi="Times New Roman" w:eastAsia="宋体" w:cs="Times New Roman"/>
          <w:spacing w:val="10"/>
          <w:sz w:val="24"/>
          <w:szCs w:val="24"/>
          <w:lang w:eastAsia="zh-CN"/>
        </w:rPr>
        <w:t>与发达国家进行商品交换时,确实处于不利地位。</w:t>
      </w:r>
    </w:p>
    <w:p w14:paraId="6BAB74B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基于这种利益分工格局,在大工业生产的资本主义生产方式下,“各个企</w:t>
      </w:r>
      <w:r>
        <w:rPr>
          <w:rFonts w:hint="default" w:ascii="Times New Roman" w:hAnsi="Times New Roman" w:eastAsia="宋体" w:cs="Times New Roman"/>
          <w:spacing w:val="7"/>
          <w:sz w:val="24"/>
          <w:szCs w:val="24"/>
          <w:lang w:eastAsia="zh-CN"/>
        </w:rPr>
        <w:t>业、各个工业部门和各个国家的发展必然是不平衡的,跳跃式的”</w:t>
      </w:r>
      <w:r>
        <w:rPr>
          <w:rStyle w:val="20"/>
          <w:rFonts w:hint="default" w:ascii="Times New Roman" w:hAnsi="Times New Roman" w:eastAsia="宋体" w:cs="Times New Roman"/>
          <w:spacing w:val="7"/>
          <w:sz w:val="24"/>
          <w:szCs w:val="24"/>
          <w:lang w:eastAsia="zh-CN"/>
        </w:rPr>
        <w:footnoteReference w:id="338"/>
      </w:r>
      <w:r>
        <w:rPr>
          <w:rFonts w:hint="default" w:ascii="Times New Roman" w:hAnsi="Times New Roman" w:eastAsia="宋体" w:cs="Times New Roman"/>
          <w:spacing w:val="7"/>
          <w:sz w:val="24"/>
          <w:szCs w:val="24"/>
          <w:lang w:eastAsia="zh-CN"/>
        </w:rPr>
        <w:t>。当世界</w:t>
      </w:r>
      <w:r>
        <w:rPr>
          <w:rFonts w:hint="default" w:ascii="Times New Roman" w:hAnsi="Times New Roman" w:eastAsia="宋体" w:cs="Times New Roman"/>
          <w:spacing w:val="14"/>
          <w:sz w:val="24"/>
          <w:szCs w:val="24"/>
          <w:lang w:eastAsia="zh-CN"/>
        </w:rPr>
        <w:t>某一些地方成为主要的工业生产区域时,其他各地则转</w:t>
      </w:r>
      <w:r>
        <w:rPr>
          <w:rFonts w:hint="default" w:ascii="Times New Roman" w:hAnsi="Times New Roman" w:eastAsia="宋体" w:cs="Times New Roman"/>
          <w:spacing w:val="13"/>
          <w:sz w:val="24"/>
          <w:szCs w:val="24"/>
          <w:lang w:eastAsia="zh-CN"/>
        </w:rPr>
        <w:t>化为主要的农业生产</w:t>
      </w:r>
      <w:r>
        <w:rPr>
          <w:rFonts w:hint="default" w:ascii="Times New Roman" w:hAnsi="Times New Roman" w:eastAsia="宋体" w:cs="Times New Roman"/>
          <w:spacing w:val="11"/>
          <w:sz w:val="24"/>
          <w:szCs w:val="24"/>
          <w:lang w:eastAsia="zh-CN"/>
        </w:rPr>
        <w:t>区域,发展中国家成为发达国家大规模商品的原材料供应国和产</w:t>
      </w:r>
      <w:r>
        <w:rPr>
          <w:rFonts w:hint="default" w:ascii="Times New Roman" w:hAnsi="Times New Roman" w:eastAsia="宋体" w:cs="Times New Roman"/>
          <w:spacing w:val="10"/>
          <w:sz w:val="24"/>
          <w:szCs w:val="24"/>
          <w:lang w:eastAsia="zh-CN"/>
        </w:rPr>
        <w:t>成品销售国,</w:t>
      </w:r>
      <w:r>
        <w:rPr>
          <w:rFonts w:hint="default" w:ascii="Times New Roman" w:hAnsi="Times New Roman" w:eastAsia="宋体" w:cs="Times New Roman"/>
          <w:spacing w:val="14"/>
          <w:sz w:val="24"/>
          <w:szCs w:val="24"/>
          <w:lang w:eastAsia="zh-CN"/>
        </w:rPr>
        <w:t>这种两极分化的分工格局来源于资本逻辑在全球的拓展。尤其当垄断形成</w:t>
      </w:r>
      <w:r>
        <w:rPr>
          <w:rFonts w:hint="default" w:ascii="Times New Roman" w:hAnsi="Times New Roman" w:eastAsia="宋体" w:cs="Times New Roman"/>
          <w:spacing w:val="3"/>
          <w:sz w:val="24"/>
          <w:szCs w:val="24"/>
          <w:lang w:eastAsia="zh-CN"/>
        </w:rPr>
        <w:t>后,“随着资本输出的增加,随着最大垄断同盟的国外联系、殖</w:t>
      </w:r>
      <w:r>
        <w:rPr>
          <w:rFonts w:hint="default" w:ascii="Times New Roman" w:hAnsi="Times New Roman" w:eastAsia="宋体" w:cs="Times New Roman"/>
          <w:spacing w:val="2"/>
          <w:sz w:val="24"/>
          <w:szCs w:val="24"/>
          <w:lang w:eastAsia="zh-CN"/>
        </w:rPr>
        <w:t>民地联系和‘势</w:t>
      </w:r>
      <w:r>
        <w:rPr>
          <w:rFonts w:hint="default" w:ascii="Times New Roman" w:hAnsi="Times New Roman" w:eastAsia="宋体" w:cs="Times New Roman"/>
          <w:spacing w:val="1"/>
          <w:sz w:val="24"/>
          <w:szCs w:val="24"/>
          <w:lang w:eastAsia="zh-CN"/>
        </w:rPr>
        <w:t>力范围’的极力扩大,这些垄断同盟就‘自然地’走向达成世界性的协议,形成</w:t>
      </w:r>
      <w:r>
        <w:rPr>
          <w:rFonts w:hint="default" w:ascii="Times New Roman" w:hAnsi="Times New Roman" w:eastAsia="宋体" w:cs="Times New Roman"/>
          <w:spacing w:val="10"/>
          <w:sz w:val="24"/>
          <w:szCs w:val="24"/>
          <w:lang w:eastAsia="zh-CN"/>
        </w:rPr>
        <w:t>国际卡特尔”</w:t>
      </w:r>
      <w:r>
        <w:rPr>
          <w:rStyle w:val="20"/>
          <w:rFonts w:hint="default" w:ascii="Times New Roman" w:hAnsi="Times New Roman" w:eastAsia="宋体" w:cs="Times New Roman"/>
          <w:spacing w:val="10"/>
          <w:sz w:val="24"/>
          <w:szCs w:val="24"/>
          <w:lang w:eastAsia="zh-CN"/>
        </w:rPr>
        <w:footnoteReference w:id="339"/>
      </w:r>
      <w:r>
        <w:rPr>
          <w:rFonts w:hint="default" w:ascii="Times New Roman" w:hAnsi="Times New Roman" w:eastAsia="宋体" w:cs="Times New Roman"/>
          <w:spacing w:val="10"/>
          <w:sz w:val="24"/>
          <w:szCs w:val="24"/>
          <w:lang w:eastAsia="zh-CN"/>
        </w:rPr>
        <w:t>。位居国际分工体系等级制顶端的国家通过资本输出实现了</w:t>
      </w:r>
      <w:r>
        <w:rPr>
          <w:rFonts w:hint="default" w:ascii="Times New Roman" w:hAnsi="Times New Roman" w:eastAsia="宋体" w:cs="Times New Roman"/>
          <w:spacing w:val="7"/>
          <w:sz w:val="24"/>
          <w:szCs w:val="24"/>
          <w:lang w:eastAsia="zh-CN"/>
        </w:rPr>
        <w:t>对发展中国家的剥削。</w:t>
      </w:r>
    </w:p>
    <w:p w14:paraId="72B641F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(五)对分工的未来设想</w:t>
      </w:r>
    </w:p>
    <w:p w14:paraId="64A57E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马克思通过分工范畴探索社会基本矛盾和人类社会发展的一</w:t>
      </w:r>
      <w:r>
        <w:rPr>
          <w:rFonts w:hint="default" w:ascii="Times New Roman" w:hAnsi="Times New Roman" w:eastAsia="宋体" w:cs="Times New Roman"/>
          <w:spacing w:val="13"/>
          <w:sz w:val="24"/>
          <w:szCs w:val="24"/>
          <w:lang w:eastAsia="zh-CN"/>
        </w:rPr>
        <w:t>般规律,进而考查资本主义生产方式,为唯物史观的构建奠定了基础</w:t>
      </w:r>
      <w:r>
        <w:rPr>
          <w:rFonts w:hint="default" w:ascii="Times New Roman" w:hAnsi="Times New Roman" w:eastAsia="宋体" w:cs="Times New Roman"/>
          <w:spacing w:val="12"/>
          <w:sz w:val="24"/>
          <w:szCs w:val="24"/>
          <w:lang w:eastAsia="zh-CN"/>
        </w:rPr>
        <w:t>。在马克思主义看</w:t>
      </w:r>
      <w:r>
        <w:rPr>
          <w:rFonts w:hint="default" w:ascii="Times New Roman" w:hAnsi="Times New Roman" w:eastAsia="宋体" w:cs="Times New Roman"/>
          <w:spacing w:val="18"/>
          <w:sz w:val="24"/>
          <w:szCs w:val="24"/>
          <w:lang w:eastAsia="zh-CN"/>
        </w:rPr>
        <w:t>来,作为生产的基本形式和劳动的社会性存</w:t>
      </w:r>
      <w:r>
        <w:rPr>
          <w:rFonts w:hint="default" w:ascii="Times New Roman" w:hAnsi="Times New Roman" w:eastAsia="宋体" w:cs="Times New Roman"/>
          <w:spacing w:val="17"/>
          <w:sz w:val="24"/>
          <w:szCs w:val="24"/>
          <w:lang w:eastAsia="zh-CN"/>
        </w:rPr>
        <w:t>在方式,分工是一个历史性的范</w:t>
      </w:r>
      <w:r>
        <w:rPr>
          <w:rFonts w:hint="default" w:ascii="Times New Roman" w:hAnsi="Times New Roman" w:eastAsia="宋体" w:cs="Times New Roman"/>
          <w:spacing w:val="9"/>
          <w:sz w:val="24"/>
          <w:szCs w:val="24"/>
          <w:lang w:eastAsia="zh-CN"/>
        </w:rPr>
        <w:t>畴,要理解分工的发展,就必须结合分工所处的特殊历史时</w:t>
      </w:r>
      <w:r>
        <w:rPr>
          <w:rFonts w:hint="default" w:ascii="Times New Roman" w:hAnsi="Times New Roman" w:eastAsia="宋体" w:cs="Times New Roman"/>
          <w:spacing w:val="8"/>
          <w:sz w:val="24"/>
          <w:szCs w:val="24"/>
          <w:lang w:eastAsia="zh-CN"/>
        </w:rPr>
        <w:t>期来分析分工的时</w:t>
      </w:r>
      <w:r>
        <w:rPr>
          <w:rFonts w:hint="default" w:ascii="Times New Roman" w:hAnsi="Times New Roman" w:eastAsia="宋体" w:cs="Times New Roman"/>
          <w:spacing w:val="7"/>
          <w:sz w:val="24"/>
          <w:szCs w:val="24"/>
          <w:lang w:eastAsia="zh-CN"/>
        </w:rPr>
        <w:t>代特点和历史性质。</w:t>
      </w:r>
    </w:p>
    <w:p w14:paraId="12267A7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在资本主义条件下,尽管人们摆脱了人身依附关系,但分工和交换却使得</w:t>
      </w:r>
      <w:r>
        <w:rPr>
          <w:rFonts w:hint="default" w:ascii="Times New Roman" w:hAnsi="Times New Roman" w:eastAsia="宋体" w:cs="Times New Roman"/>
          <w:spacing w:val="3"/>
          <w:sz w:val="24"/>
          <w:szCs w:val="24"/>
          <w:lang w:eastAsia="zh-CN"/>
        </w:rPr>
        <w:t>人们创造的生产力转化成一种具有盲目性的、不依赖于人的意志而存在</w:t>
      </w:r>
      <w:r>
        <w:rPr>
          <w:rFonts w:hint="default" w:ascii="Times New Roman" w:hAnsi="Times New Roman" w:eastAsia="宋体" w:cs="Times New Roman"/>
          <w:spacing w:val="2"/>
          <w:sz w:val="24"/>
          <w:szCs w:val="24"/>
          <w:lang w:eastAsia="zh-CN"/>
        </w:rPr>
        <w:t>的、支</w:t>
      </w:r>
      <w:r>
        <w:rPr>
          <w:rFonts w:hint="default" w:ascii="Times New Roman" w:hAnsi="Times New Roman" w:eastAsia="宋体" w:cs="Times New Roman"/>
          <w:spacing w:val="10"/>
          <w:sz w:val="24"/>
          <w:szCs w:val="24"/>
          <w:lang w:eastAsia="zh-CN"/>
        </w:rPr>
        <w:t>配和压迫着人的力量,使人们成为自己所创造的物的奴隶,这种以个人的片面</w:t>
      </w:r>
      <w:r>
        <w:rPr>
          <w:rFonts w:hint="default" w:ascii="Times New Roman" w:hAnsi="Times New Roman" w:eastAsia="宋体" w:cs="Times New Roman"/>
          <w:spacing w:val="7"/>
          <w:sz w:val="24"/>
          <w:szCs w:val="24"/>
          <w:lang w:eastAsia="zh-CN"/>
        </w:rPr>
        <w:t>发展换得社会发展的分工必将限制或牺牲人的全面发展。马克思和恩格斯认</w:t>
      </w:r>
      <w:r>
        <w:rPr>
          <w:rFonts w:hint="default" w:ascii="Times New Roman" w:hAnsi="Times New Roman" w:eastAsia="宋体" w:cs="Times New Roman"/>
          <w:spacing w:val="11"/>
          <w:sz w:val="24"/>
          <w:szCs w:val="24"/>
          <w:lang w:eastAsia="zh-CN"/>
        </w:rPr>
        <w:t>为,要使人们摆脱物的力量的控制和威慑,就</w:t>
      </w:r>
      <w:r>
        <w:rPr>
          <w:rFonts w:hint="default" w:ascii="Times New Roman" w:hAnsi="Times New Roman" w:eastAsia="宋体" w:cs="Times New Roman"/>
          <w:spacing w:val="10"/>
          <w:sz w:val="24"/>
          <w:szCs w:val="24"/>
          <w:lang w:eastAsia="zh-CN"/>
        </w:rPr>
        <w:t>只有使人们在自由联合的基础上</w:t>
      </w:r>
      <w:r>
        <w:rPr>
          <w:rFonts w:hint="default" w:ascii="Times New Roman" w:hAnsi="Times New Roman" w:eastAsia="宋体" w:cs="Times New Roman"/>
          <w:spacing w:val="7"/>
          <w:sz w:val="24"/>
          <w:szCs w:val="24"/>
          <w:lang w:eastAsia="zh-CN"/>
        </w:rPr>
        <w:t>结成共同体,消灭奴役性的分工,即消灭作为人的自由自主活动之桎梏的旧的</w:t>
      </w:r>
      <w:r>
        <w:rPr>
          <w:rFonts w:hint="default" w:ascii="Times New Roman" w:hAnsi="Times New Roman" w:eastAsia="宋体" w:cs="Times New Roman"/>
          <w:spacing w:val="2"/>
          <w:sz w:val="24"/>
          <w:szCs w:val="24"/>
          <w:lang w:eastAsia="zh-CN"/>
        </w:rPr>
        <w:t>分工。因此,马克思主义提出的“消灭分工”不是消灭劳动分工,而是消灭因私</w:t>
      </w:r>
      <w:r>
        <w:rPr>
          <w:rFonts w:hint="default" w:ascii="Times New Roman" w:hAnsi="Times New Roman" w:eastAsia="宋体" w:cs="Times New Roman"/>
          <w:sz w:val="24"/>
          <w:szCs w:val="24"/>
          <w:lang w:eastAsia="zh-CN"/>
        </w:rPr>
        <w:t>有制关系而产生的自发性、固定性、奴役性的旧式分工,取而代之是自觉性、自</w:t>
      </w:r>
      <w:r>
        <w:rPr>
          <w:rFonts w:hint="default" w:ascii="Times New Roman" w:hAnsi="Times New Roman" w:eastAsia="宋体" w:cs="Times New Roman"/>
          <w:spacing w:val="7"/>
          <w:sz w:val="24"/>
          <w:szCs w:val="24"/>
          <w:lang w:eastAsia="zh-CN"/>
        </w:rPr>
        <w:t>由性、平等性的新式分工,即马克思主义认为消失的“不是[</w:t>
      </w:r>
      <w:r>
        <w:rPr>
          <w:rFonts w:hint="default" w:ascii="Times New Roman" w:hAnsi="Times New Roman" w:eastAsia="宋体" w:cs="Times New Roman"/>
          <w:spacing w:val="6"/>
          <w:sz w:val="24"/>
          <w:szCs w:val="24"/>
          <w:lang w:eastAsia="zh-CN"/>
        </w:rPr>
        <w:t>一般]分工,而是</w:t>
      </w:r>
      <w:r>
        <w:rPr>
          <w:rFonts w:hint="default" w:ascii="Times New Roman" w:hAnsi="Times New Roman" w:eastAsia="宋体" w:cs="Times New Roman"/>
          <w:spacing w:val="-1"/>
          <w:sz w:val="24"/>
          <w:szCs w:val="24"/>
          <w:lang w:eastAsia="zh-CN"/>
        </w:rPr>
        <w:t>以交换为基础的分工”</w:t>
      </w:r>
      <w:r>
        <w:rPr>
          <w:rStyle w:val="20"/>
          <w:rFonts w:hint="default" w:ascii="Times New Roman" w:hAnsi="Times New Roman" w:eastAsia="宋体" w:cs="Times New Roman"/>
          <w:spacing w:val="-1"/>
          <w:sz w:val="24"/>
          <w:szCs w:val="24"/>
          <w:lang w:eastAsia="zh-CN"/>
        </w:rPr>
        <w:footnoteReference w:id="340"/>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6"/>
          <w:sz w:val="24"/>
          <w:szCs w:val="24"/>
          <w:lang w:eastAsia="zh-CN"/>
        </w:rPr>
        <w:t>要消灭在各个人、各个民族之间筑起藩篱的旧式分工,使世界历</w:t>
      </w:r>
      <w:r>
        <w:rPr>
          <w:rFonts w:hint="default" w:ascii="Times New Roman" w:hAnsi="Times New Roman" w:eastAsia="宋体" w:cs="Times New Roman"/>
          <w:spacing w:val="5"/>
          <w:sz w:val="24"/>
          <w:szCs w:val="24"/>
          <w:lang w:eastAsia="zh-CN"/>
        </w:rPr>
        <w:t>史乃至共</w:t>
      </w:r>
      <w:r>
        <w:rPr>
          <w:rFonts w:hint="default" w:ascii="Times New Roman" w:hAnsi="Times New Roman" w:eastAsia="宋体" w:cs="Times New Roman"/>
          <w:spacing w:val="12"/>
          <w:sz w:val="24"/>
          <w:szCs w:val="24"/>
          <w:lang w:eastAsia="zh-CN"/>
        </w:rPr>
        <w:t>产主义真正得以实现,就必须不断发展生产力,生产力的巨大增长和</w:t>
      </w:r>
      <w:r>
        <w:rPr>
          <w:rFonts w:hint="default" w:ascii="Times New Roman" w:hAnsi="Times New Roman" w:eastAsia="宋体" w:cs="Times New Roman"/>
          <w:spacing w:val="11"/>
          <w:sz w:val="24"/>
          <w:szCs w:val="24"/>
          <w:lang w:eastAsia="zh-CN"/>
        </w:rPr>
        <w:t>世界交往</w:t>
      </w:r>
      <w:r>
        <w:rPr>
          <w:rFonts w:hint="default" w:ascii="Times New Roman" w:hAnsi="Times New Roman" w:eastAsia="宋体" w:cs="Times New Roman"/>
          <w:spacing w:val="9"/>
          <w:sz w:val="24"/>
          <w:szCs w:val="24"/>
          <w:lang w:eastAsia="zh-CN"/>
        </w:rPr>
        <w:t>的普遍发展才是消灭旧式分工的基础。只有生产力获得了充分发</w:t>
      </w:r>
      <w:r>
        <w:rPr>
          <w:rFonts w:hint="default" w:ascii="Times New Roman" w:hAnsi="Times New Roman" w:eastAsia="宋体" w:cs="Times New Roman"/>
          <w:spacing w:val="8"/>
          <w:sz w:val="24"/>
          <w:szCs w:val="24"/>
          <w:lang w:eastAsia="zh-CN"/>
        </w:rPr>
        <w:t>展,人才能</w:t>
      </w:r>
      <w:r>
        <w:rPr>
          <w:rFonts w:hint="default" w:ascii="Times New Roman" w:hAnsi="Times New Roman" w:eastAsia="宋体" w:cs="Times New Roman"/>
          <w:spacing w:val="9"/>
          <w:sz w:val="24"/>
          <w:szCs w:val="24"/>
          <w:lang w:eastAsia="zh-CN"/>
        </w:rPr>
        <w:t>得到全面的发展,不仅仅是体力和智力的发展,而且是各方面整体能</w:t>
      </w:r>
      <w:r>
        <w:rPr>
          <w:rFonts w:hint="default" w:ascii="Times New Roman" w:hAnsi="Times New Roman" w:eastAsia="宋体" w:cs="Times New Roman"/>
          <w:spacing w:val="8"/>
          <w:sz w:val="24"/>
          <w:szCs w:val="24"/>
          <w:lang w:eastAsia="zh-CN"/>
        </w:rPr>
        <w:t>力的全面</w:t>
      </w:r>
      <w:r>
        <w:rPr>
          <w:rFonts w:hint="default" w:ascii="Times New Roman" w:hAnsi="Times New Roman" w:eastAsia="宋体" w:cs="Times New Roman"/>
          <w:spacing w:val="10"/>
          <w:sz w:val="24"/>
          <w:szCs w:val="24"/>
          <w:lang w:eastAsia="zh-CN"/>
        </w:rPr>
        <w:t>性提升。在共产主义新式分工中,生产力高度发展,</w:t>
      </w:r>
      <w:r>
        <w:rPr>
          <w:rFonts w:hint="default" w:ascii="Times New Roman" w:hAnsi="Times New Roman" w:eastAsia="宋体" w:cs="Times New Roman"/>
          <w:spacing w:val="9"/>
          <w:sz w:val="24"/>
          <w:szCs w:val="24"/>
          <w:lang w:eastAsia="zh-CN"/>
        </w:rPr>
        <w:t>消灭了固定的专业和职业</w:t>
      </w:r>
      <w:r>
        <w:rPr>
          <w:rFonts w:hint="default" w:ascii="Times New Roman" w:hAnsi="Times New Roman" w:eastAsia="宋体" w:cs="Times New Roman"/>
          <w:spacing w:val="3"/>
          <w:sz w:val="24"/>
          <w:szCs w:val="24"/>
          <w:lang w:eastAsia="zh-CN"/>
        </w:rPr>
        <w:t>划分,消灭了个人绝对地服从分工的情形,每个人都能自由、自主、自觉</w:t>
      </w:r>
      <w:r>
        <w:rPr>
          <w:rFonts w:hint="default" w:ascii="Times New Roman" w:hAnsi="Times New Roman" w:eastAsia="宋体" w:cs="Times New Roman"/>
          <w:spacing w:val="2"/>
          <w:sz w:val="24"/>
          <w:szCs w:val="24"/>
          <w:lang w:eastAsia="zh-CN"/>
        </w:rPr>
        <w:t>地从事</w:t>
      </w:r>
      <w:r>
        <w:rPr>
          <w:rFonts w:hint="default" w:ascii="Times New Roman" w:hAnsi="Times New Roman" w:eastAsia="宋体" w:cs="Times New Roman"/>
          <w:spacing w:val="10"/>
          <w:sz w:val="24"/>
          <w:szCs w:val="24"/>
          <w:lang w:eastAsia="zh-CN"/>
        </w:rPr>
        <w:t>自己想要从事的工作,劳动成为生活的第一</w:t>
      </w:r>
      <w:r>
        <w:rPr>
          <w:rFonts w:hint="default" w:ascii="Times New Roman" w:hAnsi="Times New Roman" w:eastAsia="宋体" w:cs="Times New Roman"/>
          <w:spacing w:val="9"/>
          <w:sz w:val="24"/>
          <w:szCs w:val="24"/>
          <w:lang w:eastAsia="zh-CN"/>
        </w:rPr>
        <w:t>需要。在这种情况下,社会产品极</w:t>
      </w:r>
      <w:r>
        <w:rPr>
          <w:rFonts w:hint="default" w:ascii="Times New Roman" w:hAnsi="Times New Roman" w:eastAsia="宋体" w:cs="Times New Roman"/>
          <w:spacing w:val="11"/>
          <w:sz w:val="24"/>
          <w:szCs w:val="24"/>
          <w:lang w:eastAsia="zh-CN"/>
        </w:rPr>
        <w:t>大丰富,社会生产的东西能够充分满足个人的消费,脱离“物役化”的新式分</w:t>
      </w:r>
      <w:r>
        <w:rPr>
          <w:rFonts w:hint="default" w:ascii="Times New Roman" w:hAnsi="Times New Roman" w:eastAsia="宋体" w:cs="Times New Roman"/>
          <w:spacing w:val="12"/>
          <w:sz w:val="24"/>
          <w:szCs w:val="24"/>
          <w:lang w:eastAsia="zh-CN"/>
        </w:rPr>
        <w:t>工,不仅使每个人能够享受物质财富,也可以充分享受精神文化创造。同时,</w:t>
      </w:r>
      <w:r>
        <w:rPr>
          <w:rFonts w:hint="default" w:ascii="Times New Roman" w:hAnsi="Times New Roman" w:eastAsia="宋体" w:cs="Times New Roman"/>
          <w:spacing w:val="11"/>
          <w:sz w:val="24"/>
          <w:szCs w:val="24"/>
          <w:lang w:eastAsia="zh-CN"/>
        </w:rPr>
        <w:t>人不再拘泥于特定的生产关系之内,不再受社会权利和资本</w:t>
      </w:r>
      <w:r>
        <w:rPr>
          <w:rFonts w:hint="default" w:ascii="Times New Roman" w:hAnsi="Times New Roman" w:eastAsia="宋体" w:cs="Times New Roman"/>
          <w:spacing w:val="10"/>
          <w:sz w:val="24"/>
          <w:szCs w:val="24"/>
          <w:lang w:eastAsia="zh-CN"/>
        </w:rPr>
        <w:t>的支配,人不仅成为社会生产的主人,而且成为社会关系的主人,可以积极利用各种生产工具展现自主的本质力量,促进个人自我实现价值的充分发展。在这一</w:t>
      </w:r>
      <w:r>
        <w:rPr>
          <w:rFonts w:hint="default" w:ascii="Times New Roman" w:hAnsi="Times New Roman" w:eastAsia="宋体" w:cs="Times New Roman"/>
          <w:spacing w:val="9"/>
          <w:sz w:val="24"/>
          <w:szCs w:val="24"/>
          <w:lang w:eastAsia="zh-CN"/>
        </w:rPr>
        <w:t>阶段,人们从</w:t>
      </w:r>
      <w:r>
        <w:rPr>
          <w:rFonts w:hint="default" w:ascii="Times New Roman" w:hAnsi="Times New Roman" w:eastAsia="宋体" w:cs="Times New Roman"/>
          <w:spacing w:val="7"/>
          <w:sz w:val="24"/>
          <w:szCs w:val="24"/>
          <w:lang w:eastAsia="zh-CN"/>
        </w:rPr>
        <w:t>事活动的特征完全是自由的、自觉的,没有内在对人本身的压迫和外在对物的</w:t>
      </w:r>
      <w:r>
        <w:rPr>
          <w:rFonts w:hint="default" w:ascii="Times New Roman" w:hAnsi="Times New Roman" w:eastAsia="宋体" w:cs="Times New Roman"/>
          <w:spacing w:val="9"/>
          <w:sz w:val="24"/>
          <w:szCs w:val="24"/>
          <w:lang w:eastAsia="zh-CN"/>
        </w:rPr>
        <w:t>从属,完全是在充足的物质基础和高度的精神自觉的基础之上从事生产劳动。</w:t>
      </w:r>
      <w:r>
        <w:rPr>
          <w:rFonts w:hint="default" w:ascii="Times New Roman" w:hAnsi="Times New Roman" w:eastAsia="宋体" w:cs="Times New Roman"/>
          <w:spacing w:val="17"/>
          <w:sz w:val="24"/>
          <w:szCs w:val="24"/>
          <w:lang w:eastAsia="zh-CN"/>
        </w:rPr>
        <w:t>因此,在未来社会中,新式分工将摆脱旧式分工中存在</w:t>
      </w:r>
      <w:r>
        <w:rPr>
          <w:rFonts w:hint="default" w:ascii="Times New Roman" w:hAnsi="Times New Roman" w:eastAsia="宋体" w:cs="Times New Roman"/>
          <w:spacing w:val="16"/>
          <w:sz w:val="24"/>
          <w:szCs w:val="24"/>
          <w:lang w:eastAsia="zh-CN"/>
        </w:rPr>
        <w:t>的阶级剥削和阶级压</w:t>
      </w:r>
      <w:r>
        <w:rPr>
          <w:rFonts w:hint="default" w:ascii="Times New Roman" w:hAnsi="Times New Roman" w:eastAsia="宋体" w:cs="Times New Roman"/>
          <w:spacing w:val="8"/>
          <w:sz w:val="24"/>
          <w:szCs w:val="24"/>
          <w:lang w:eastAsia="zh-CN"/>
        </w:rPr>
        <w:t>迫,让人们在新的劳动分工中尽享和谐、公正和平等,劳动者分工将</w:t>
      </w:r>
      <w:r>
        <w:rPr>
          <w:rFonts w:hint="default" w:ascii="Times New Roman" w:hAnsi="Times New Roman" w:eastAsia="宋体" w:cs="Times New Roman"/>
          <w:spacing w:val="7"/>
          <w:sz w:val="24"/>
          <w:szCs w:val="24"/>
          <w:lang w:eastAsia="zh-CN"/>
        </w:rPr>
        <w:t>消亡。然</w:t>
      </w:r>
      <w:r>
        <w:rPr>
          <w:rFonts w:hint="default" w:ascii="Times New Roman" w:hAnsi="Times New Roman" w:eastAsia="宋体" w:cs="Times New Roman"/>
          <w:spacing w:val="15"/>
          <w:sz w:val="24"/>
          <w:szCs w:val="24"/>
          <w:lang w:eastAsia="zh-CN"/>
        </w:rPr>
        <w:t>而,劳动分工却将在科技进步中得到不断发展,呈现出细分化和专业化的特</w:t>
      </w:r>
      <w:r>
        <w:rPr>
          <w:rFonts w:hint="default" w:ascii="Times New Roman" w:hAnsi="Times New Roman" w:eastAsia="宋体" w:cs="Times New Roman"/>
          <w:spacing w:val="10"/>
          <w:sz w:val="24"/>
          <w:szCs w:val="24"/>
          <w:lang w:eastAsia="zh-CN"/>
        </w:rPr>
        <w:t>点。随着社会化大生产的发展,行业及其内部的分工合作会更加紧密协调,并且会涌现出更多新兴的行业和部门,生产的社会化与分工的专业化能够协调</w:t>
      </w:r>
      <w:r>
        <w:rPr>
          <w:rFonts w:hint="default" w:ascii="Times New Roman" w:hAnsi="Times New Roman" w:eastAsia="宋体" w:cs="Times New Roman"/>
          <w:spacing w:val="-7"/>
          <w:sz w:val="24"/>
          <w:szCs w:val="24"/>
          <w:lang w:eastAsia="zh-CN"/>
        </w:rPr>
        <w:t>一致、同频共振。</w:t>
      </w:r>
    </w:p>
    <w:p w14:paraId="1B25752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5"/>
          <w:sz w:val="24"/>
          <w:szCs w:val="24"/>
          <w:lang w:eastAsia="zh-CN"/>
        </w:rPr>
        <w:t>马克思以分工演变为视角和主要线索,通过对旧式分工的“扬弃”来探索个人成长、发展和寻求自由的新式分工的可能性,在历史的不断生成展开中探</w:t>
      </w:r>
      <w:r>
        <w:rPr>
          <w:rFonts w:hint="default" w:ascii="Times New Roman" w:hAnsi="Times New Roman" w:eastAsia="宋体" w:cs="Times New Roman"/>
          <w:spacing w:val="8"/>
          <w:sz w:val="24"/>
          <w:szCs w:val="24"/>
          <w:lang w:eastAsia="zh-CN"/>
        </w:rPr>
        <w:t>寻到了真正实现个人解放的现实道路。分工演进的历史过程的辩证逻辑是形</w:t>
      </w:r>
      <w:r>
        <w:rPr>
          <w:rFonts w:hint="default" w:ascii="Times New Roman" w:hAnsi="Times New Roman" w:eastAsia="宋体" w:cs="Times New Roman"/>
          <w:spacing w:val="9"/>
          <w:sz w:val="24"/>
          <w:szCs w:val="24"/>
          <w:lang w:eastAsia="zh-CN"/>
        </w:rPr>
        <w:t>成一切社会关系的基础,这种将分工内化于经济过程的现实批判思路,进一步</w:t>
      </w:r>
      <w:r>
        <w:rPr>
          <w:rFonts w:hint="default" w:ascii="Times New Roman" w:hAnsi="Times New Roman" w:eastAsia="宋体" w:cs="Times New Roman"/>
          <w:spacing w:val="6"/>
          <w:sz w:val="24"/>
          <w:szCs w:val="24"/>
          <w:lang w:eastAsia="zh-CN"/>
        </w:rPr>
        <w:t>丰富了其分工理论。</w:t>
      </w:r>
    </w:p>
    <w:p w14:paraId="7C634B20">
      <w:pPr>
        <w:pStyle w:val="4"/>
        <w:bidi w:val="0"/>
        <w:rPr>
          <w:rFonts w:hint="default"/>
          <w:lang w:eastAsia="zh-CN"/>
        </w:rPr>
      </w:pPr>
      <w:r>
        <w:rPr>
          <w:rFonts w:hint="default"/>
          <w:lang w:eastAsia="zh-CN"/>
        </w:rPr>
        <w:t>二、马克思主义分工理论的当代发展</w:t>
      </w:r>
    </w:p>
    <w:p w14:paraId="5AB0650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多年来,学者们对马克思主义分工理论一直很关注,认为马克思主义分工</w:t>
      </w:r>
      <w:r>
        <w:rPr>
          <w:rFonts w:hint="default" w:ascii="Times New Roman" w:hAnsi="Times New Roman" w:eastAsia="宋体" w:cs="Times New Roman"/>
          <w:spacing w:val="12"/>
          <w:sz w:val="24"/>
          <w:szCs w:val="24"/>
          <w:lang w:eastAsia="zh-CN"/>
        </w:rPr>
        <w:t>理论是理解社会生产方式的重要媒介,不断挖掘马克思主义的分工理</w:t>
      </w:r>
      <w:r>
        <w:rPr>
          <w:rFonts w:hint="default" w:ascii="Times New Roman" w:hAnsi="Times New Roman" w:eastAsia="宋体" w:cs="Times New Roman"/>
          <w:spacing w:val="11"/>
          <w:sz w:val="24"/>
          <w:szCs w:val="24"/>
          <w:lang w:eastAsia="zh-CN"/>
        </w:rPr>
        <w:t>论,秉承</w:t>
      </w:r>
      <w:r>
        <w:rPr>
          <w:rFonts w:hint="default" w:ascii="Times New Roman" w:hAnsi="Times New Roman" w:eastAsia="宋体" w:cs="Times New Roman"/>
          <w:spacing w:val="12"/>
          <w:sz w:val="24"/>
          <w:szCs w:val="24"/>
          <w:lang w:eastAsia="zh-CN"/>
        </w:rPr>
        <w:t>马克思主义的研究范式,应用马克思主义分工理论来阐释现实问题</w:t>
      </w:r>
      <w:r>
        <w:rPr>
          <w:rFonts w:hint="default" w:ascii="Times New Roman" w:hAnsi="Times New Roman" w:eastAsia="宋体" w:cs="Times New Roman"/>
          <w:spacing w:val="11"/>
          <w:sz w:val="24"/>
          <w:szCs w:val="24"/>
          <w:lang w:eastAsia="zh-CN"/>
        </w:rPr>
        <w:t>。学者们</w:t>
      </w:r>
      <w:r>
        <w:rPr>
          <w:rFonts w:hint="default" w:ascii="Times New Roman" w:hAnsi="Times New Roman" w:eastAsia="宋体" w:cs="Times New Roman"/>
          <w:spacing w:val="10"/>
          <w:sz w:val="24"/>
          <w:szCs w:val="24"/>
          <w:lang w:eastAsia="zh-CN"/>
        </w:rPr>
        <w:t>对分工理论的阐释主要表现在两个方面:一方面,对马克思主义分工</w:t>
      </w:r>
      <w:r>
        <w:rPr>
          <w:rFonts w:hint="default" w:ascii="Times New Roman" w:hAnsi="Times New Roman" w:eastAsia="宋体" w:cs="Times New Roman"/>
          <w:spacing w:val="9"/>
          <w:sz w:val="24"/>
          <w:szCs w:val="24"/>
          <w:lang w:eastAsia="zh-CN"/>
        </w:rPr>
        <w:t>理论的文</w:t>
      </w:r>
      <w:r>
        <w:rPr>
          <w:rFonts w:hint="default" w:ascii="Times New Roman" w:hAnsi="Times New Roman" w:eastAsia="宋体" w:cs="Times New Roman"/>
          <w:spacing w:val="13"/>
          <w:sz w:val="24"/>
          <w:szCs w:val="24"/>
          <w:lang w:eastAsia="zh-CN"/>
        </w:rPr>
        <w:t>本解读和逻辑梳理,围绕分工的历史生成及其结构</w:t>
      </w:r>
      <w:r>
        <w:rPr>
          <w:rFonts w:hint="default" w:ascii="Times New Roman" w:hAnsi="Times New Roman" w:eastAsia="宋体" w:cs="Times New Roman"/>
          <w:spacing w:val="12"/>
          <w:sz w:val="24"/>
          <w:szCs w:val="24"/>
          <w:lang w:eastAsia="zh-CN"/>
        </w:rPr>
        <w:t>性存在之间的内在关系与</w:t>
      </w:r>
      <w:r>
        <w:rPr>
          <w:rFonts w:hint="default" w:ascii="Times New Roman" w:hAnsi="Times New Roman" w:eastAsia="宋体" w:cs="Times New Roman"/>
          <w:spacing w:val="14"/>
          <w:sz w:val="24"/>
          <w:szCs w:val="24"/>
          <w:lang w:eastAsia="zh-CN"/>
        </w:rPr>
        <w:t>深层矛盾问题展开研究,认为科学阐释马克思主义的</w:t>
      </w:r>
      <w:r>
        <w:rPr>
          <w:rFonts w:hint="default" w:ascii="Times New Roman" w:hAnsi="Times New Roman" w:eastAsia="宋体" w:cs="Times New Roman"/>
          <w:spacing w:val="13"/>
          <w:sz w:val="24"/>
          <w:szCs w:val="24"/>
          <w:lang w:eastAsia="zh-CN"/>
        </w:rPr>
        <w:t>分工理论是把握马克思</w:t>
      </w:r>
      <w:r>
        <w:rPr>
          <w:rFonts w:hint="default" w:ascii="Times New Roman" w:hAnsi="Times New Roman" w:eastAsia="宋体" w:cs="Times New Roman"/>
          <w:spacing w:val="14"/>
          <w:sz w:val="24"/>
          <w:szCs w:val="24"/>
          <w:lang w:eastAsia="zh-CN"/>
        </w:rPr>
        <w:t>主义理论要旨的关键,并从不同视角对马克思主义分</w:t>
      </w:r>
      <w:r>
        <w:rPr>
          <w:rFonts w:hint="default" w:ascii="Times New Roman" w:hAnsi="Times New Roman" w:eastAsia="宋体" w:cs="Times New Roman"/>
          <w:spacing w:val="13"/>
          <w:sz w:val="24"/>
          <w:szCs w:val="24"/>
          <w:lang w:eastAsia="zh-CN"/>
        </w:rPr>
        <w:t>工理论进行了挖掘和剖</w:t>
      </w:r>
      <w:r>
        <w:rPr>
          <w:rFonts w:hint="default" w:ascii="Times New Roman" w:hAnsi="Times New Roman" w:eastAsia="宋体" w:cs="Times New Roman"/>
          <w:spacing w:val="10"/>
          <w:sz w:val="24"/>
          <w:szCs w:val="24"/>
          <w:lang w:eastAsia="zh-CN"/>
        </w:rPr>
        <w:t>析;另一方面,应用马克思主义分工理论对丰富鲜活的现实问题进行具体运用</w:t>
      </w:r>
      <w:r>
        <w:rPr>
          <w:rFonts w:hint="default" w:ascii="Times New Roman" w:hAnsi="Times New Roman" w:eastAsia="宋体" w:cs="Times New Roman"/>
          <w:spacing w:val="7"/>
          <w:sz w:val="24"/>
          <w:szCs w:val="24"/>
          <w:lang w:eastAsia="zh-CN"/>
        </w:rPr>
        <w:t>和深度分析,这些现实问题包括技术进步、生产组织、数字平台经济、产业集</w:t>
      </w:r>
      <w:r>
        <w:rPr>
          <w:rFonts w:hint="default" w:ascii="Times New Roman" w:hAnsi="Times New Roman" w:eastAsia="宋体" w:cs="Times New Roman"/>
          <w:spacing w:val="-6"/>
          <w:sz w:val="24"/>
          <w:szCs w:val="24"/>
          <w:lang w:eastAsia="zh-CN"/>
        </w:rPr>
        <w:t>聚、城市发展、制度变迁、国际贸易等各个</w:t>
      </w:r>
      <w:r>
        <w:rPr>
          <w:rFonts w:hint="default" w:ascii="Times New Roman" w:hAnsi="Times New Roman" w:eastAsia="宋体" w:cs="Times New Roman"/>
          <w:spacing w:val="-7"/>
          <w:sz w:val="24"/>
          <w:szCs w:val="24"/>
          <w:lang w:eastAsia="zh-CN"/>
        </w:rPr>
        <w:t>领域。</w:t>
      </w:r>
    </w:p>
    <w:p w14:paraId="174E4C4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(一)马克思主义分工理论的文本解读和逻辑梳理</w:t>
      </w:r>
      <w:r>
        <w:rPr>
          <w:rFonts w:hint="default" w:ascii="Times New Roman" w:hAnsi="Times New Roman" w:eastAsia="宋体" w:cs="Times New Roman"/>
          <w:spacing w:val="9"/>
          <w:sz w:val="24"/>
          <w:szCs w:val="24"/>
          <w:lang w:eastAsia="zh-CN"/>
        </w:rPr>
        <w:t>这方面的研究又分为三个层次:</w:t>
      </w:r>
    </w:p>
    <w:p w14:paraId="0B52B39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8"/>
          <w:sz w:val="24"/>
          <w:szCs w:val="24"/>
          <w:lang w:eastAsia="zh-CN"/>
        </w:rPr>
        <w:t>一是着重对马克思主义分工理论的文本研究。</w:t>
      </w:r>
      <w:r>
        <w:rPr>
          <w:rFonts w:hint="default" w:ascii="Times New Roman" w:hAnsi="Times New Roman" w:eastAsia="宋体" w:cs="Times New Roman"/>
          <w:spacing w:val="7"/>
          <w:sz w:val="24"/>
          <w:szCs w:val="24"/>
          <w:lang w:eastAsia="zh-CN"/>
        </w:rPr>
        <w:t>马克思主义分工理论的形</w:t>
      </w:r>
      <w:r>
        <w:rPr>
          <w:rFonts w:hint="default" w:ascii="Times New Roman" w:hAnsi="Times New Roman" w:eastAsia="宋体" w:cs="Times New Roman"/>
          <w:spacing w:val="17"/>
          <w:sz w:val="24"/>
          <w:szCs w:val="24"/>
          <w:lang w:eastAsia="zh-CN"/>
        </w:rPr>
        <w:t>成是一个不断发展完善的过程,这一视角是联系当时语境和马克思的思想脉</w:t>
      </w:r>
      <w:r>
        <w:rPr>
          <w:rFonts w:hint="default" w:ascii="Times New Roman" w:hAnsi="Times New Roman" w:eastAsia="宋体" w:cs="Times New Roman"/>
          <w:spacing w:val="13"/>
          <w:sz w:val="24"/>
          <w:szCs w:val="24"/>
          <w:lang w:eastAsia="zh-CN"/>
        </w:rPr>
        <w:t>络对不同时期马克思主义的文本进行梳理和理解,学者们从早期的《1844年</w:t>
      </w:r>
      <w:r>
        <w:rPr>
          <w:rFonts w:hint="default" w:ascii="Times New Roman" w:hAnsi="Times New Roman" w:eastAsia="宋体" w:cs="Times New Roman"/>
          <w:spacing w:val="5"/>
          <w:sz w:val="24"/>
          <w:szCs w:val="24"/>
          <w:lang w:eastAsia="zh-CN"/>
        </w:rPr>
        <w:t>经济学哲学手稿》开始,到唯物史观确立的《德</w:t>
      </w:r>
      <w:r>
        <w:rPr>
          <w:rFonts w:hint="default" w:ascii="Times New Roman" w:hAnsi="Times New Roman" w:eastAsia="宋体" w:cs="Times New Roman"/>
          <w:spacing w:val="4"/>
          <w:sz w:val="24"/>
          <w:szCs w:val="24"/>
          <w:lang w:eastAsia="zh-CN"/>
        </w:rPr>
        <w:t>意志意识形态》以及论战性著作</w:t>
      </w:r>
      <w:r>
        <w:rPr>
          <w:rFonts w:hint="default" w:ascii="Times New Roman" w:hAnsi="Times New Roman" w:eastAsia="宋体" w:cs="Times New Roman"/>
          <w:spacing w:val="-2"/>
          <w:sz w:val="24"/>
          <w:szCs w:val="24"/>
          <w:lang w:eastAsia="zh-CN"/>
        </w:rPr>
        <w:t>《哲学的贫困》、政治经济学巨著《资本论》中,梳理了马克思主义对分工的</w:t>
      </w:r>
      <w:r>
        <w:rPr>
          <w:rFonts w:hint="default" w:ascii="Times New Roman" w:hAnsi="Times New Roman" w:eastAsia="宋体" w:cs="Times New Roman"/>
          <w:spacing w:val="-3"/>
          <w:sz w:val="24"/>
          <w:szCs w:val="24"/>
          <w:lang w:eastAsia="zh-CN"/>
        </w:rPr>
        <w:t>不断</w:t>
      </w:r>
      <w:r>
        <w:rPr>
          <w:rFonts w:hint="default" w:ascii="Times New Roman" w:hAnsi="Times New Roman" w:eastAsia="宋体" w:cs="Times New Roman"/>
          <w:spacing w:val="9"/>
          <w:sz w:val="24"/>
          <w:szCs w:val="24"/>
          <w:lang w:eastAsia="zh-CN"/>
        </w:rPr>
        <w:t>深化认识。</w:t>
      </w:r>
      <w:r>
        <w:rPr>
          <w:rStyle w:val="20"/>
          <w:rFonts w:hint="default" w:ascii="Times New Roman" w:hAnsi="Times New Roman" w:eastAsia="宋体" w:cs="Times New Roman"/>
          <w:spacing w:val="9"/>
          <w:sz w:val="24"/>
          <w:szCs w:val="24"/>
          <w:lang w:eastAsia="zh-CN"/>
        </w:rPr>
        <w:footnoteReference w:id="341"/>
      </w:r>
    </w:p>
    <w:p w14:paraId="3215086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8"/>
          <w:sz w:val="24"/>
          <w:szCs w:val="24"/>
          <w:lang w:eastAsia="zh-CN"/>
        </w:rPr>
        <w:t>二是着重对马克思主义分工理论的若干专题进行研究</w:t>
      </w:r>
      <w:r>
        <w:rPr>
          <w:rFonts w:hint="default" w:ascii="Times New Roman" w:hAnsi="Times New Roman" w:eastAsia="宋体" w:cs="Times New Roman"/>
          <w:spacing w:val="7"/>
          <w:sz w:val="24"/>
          <w:szCs w:val="24"/>
          <w:lang w:eastAsia="zh-CN"/>
        </w:rPr>
        <w:t>。马克思主义的分</w:t>
      </w:r>
      <w:r>
        <w:rPr>
          <w:rFonts w:hint="default" w:ascii="Times New Roman" w:hAnsi="Times New Roman" w:eastAsia="宋体" w:cs="Times New Roman"/>
          <w:spacing w:val="10"/>
          <w:sz w:val="24"/>
          <w:szCs w:val="24"/>
          <w:lang w:eastAsia="zh-CN"/>
        </w:rPr>
        <w:t>工理论非常丰富,这一视角的研究主要是侧</w:t>
      </w:r>
      <w:r>
        <w:rPr>
          <w:rFonts w:hint="default" w:ascii="Times New Roman" w:hAnsi="Times New Roman" w:eastAsia="宋体" w:cs="Times New Roman"/>
          <w:spacing w:val="9"/>
          <w:sz w:val="24"/>
          <w:szCs w:val="24"/>
          <w:lang w:eastAsia="zh-CN"/>
        </w:rPr>
        <w:t>重某一方面分专题进行深入挖掘。</w:t>
      </w:r>
      <w:r>
        <w:rPr>
          <w:rFonts w:hint="default" w:ascii="Times New Roman" w:hAnsi="Times New Roman" w:eastAsia="宋体" w:cs="Times New Roman"/>
          <w:spacing w:val="15"/>
          <w:sz w:val="24"/>
          <w:szCs w:val="24"/>
          <w:lang w:eastAsia="zh-CN"/>
        </w:rPr>
        <w:t>例如,关于分工的历史演进,学者们基于经济史和经济思想史演变视角,对分</w:t>
      </w:r>
      <w:r>
        <w:rPr>
          <w:rFonts w:hint="default" w:ascii="Times New Roman" w:hAnsi="Times New Roman" w:eastAsia="宋体" w:cs="Times New Roman"/>
          <w:spacing w:val="10"/>
          <w:sz w:val="24"/>
          <w:szCs w:val="24"/>
          <w:lang w:eastAsia="zh-CN"/>
        </w:rPr>
        <w:t>工的演进进行了系统梳理。</w:t>
      </w:r>
      <w:r>
        <w:rPr>
          <w:rStyle w:val="20"/>
          <w:rFonts w:hint="default" w:ascii="Times New Roman" w:hAnsi="Times New Roman" w:eastAsia="宋体" w:cs="Times New Roman"/>
          <w:spacing w:val="10"/>
          <w:sz w:val="24"/>
          <w:szCs w:val="24"/>
          <w:lang w:eastAsia="zh-CN"/>
        </w:rPr>
        <w:footnoteReference w:id="342"/>
      </w:r>
      <w:r>
        <w:rPr>
          <w:rFonts w:hint="default" w:ascii="Times New Roman" w:hAnsi="Times New Roman" w:eastAsia="宋体" w:cs="Times New Roman"/>
          <w:spacing w:val="10"/>
          <w:sz w:val="24"/>
          <w:szCs w:val="24"/>
          <w:lang w:eastAsia="zh-CN"/>
        </w:rPr>
        <w:t>更有学者认为,马克思对社会经济转型的根本</w:t>
      </w:r>
      <w:r>
        <w:rPr>
          <w:rFonts w:hint="default" w:ascii="Times New Roman" w:hAnsi="Times New Roman" w:eastAsia="宋体" w:cs="Times New Roman"/>
          <w:spacing w:val="14"/>
          <w:sz w:val="24"/>
          <w:szCs w:val="24"/>
          <w:lang w:eastAsia="zh-CN"/>
        </w:rPr>
        <w:t>贡献在于表明,一种新的劳动分工体系的出现需要改变</w:t>
      </w:r>
      <w:r>
        <w:rPr>
          <w:rFonts w:hint="default" w:ascii="Times New Roman" w:hAnsi="Times New Roman" w:eastAsia="宋体" w:cs="Times New Roman"/>
          <w:spacing w:val="13"/>
          <w:sz w:val="24"/>
          <w:szCs w:val="24"/>
          <w:lang w:eastAsia="zh-CN"/>
        </w:rPr>
        <w:t>现有劳动分工体系实体之间的关系,劳动和实现劳动的条件之间的分离决定了分工制度的变化方</w:t>
      </w:r>
      <w:r>
        <w:rPr>
          <w:rFonts w:hint="default" w:ascii="Times New Roman" w:hAnsi="Times New Roman" w:eastAsia="宋体" w:cs="Times New Roman"/>
          <w:spacing w:val="12"/>
          <w:sz w:val="24"/>
          <w:szCs w:val="24"/>
          <w:lang w:eastAsia="zh-CN"/>
        </w:rPr>
        <w:t>向,正是这一历史性的社会进程为现有的劳动分工制度赋予了新的功能。</w:t>
      </w:r>
      <w:r>
        <w:rPr>
          <w:rStyle w:val="20"/>
          <w:rFonts w:hint="default" w:ascii="Times New Roman" w:hAnsi="Times New Roman" w:eastAsia="宋体" w:cs="Times New Roman"/>
          <w:spacing w:val="12"/>
          <w:sz w:val="24"/>
          <w:szCs w:val="24"/>
          <w:lang w:eastAsia="zh-CN"/>
        </w:rPr>
        <w:footnoteReference w:id="343"/>
      </w:r>
      <w:r>
        <w:rPr>
          <w:rFonts w:hint="default" w:ascii="Times New Roman" w:hAnsi="Times New Roman" w:eastAsia="宋体" w:cs="Times New Roman"/>
          <w:spacing w:val="10"/>
          <w:sz w:val="24"/>
          <w:szCs w:val="24"/>
          <w:lang w:eastAsia="zh-CN"/>
        </w:rPr>
        <w:t>关于分工的不同类型,学者们基于对马克思主义分工类型的认识,联系现实发展了马克思主义的分工形态理论,丰富了对分工不同形态的理解。</w:t>
      </w:r>
      <w:r>
        <w:rPr>
          <w:rStyle w:val="20"/>
          <w:rFonts w:hint="default" w:ascii="Times New Roman" w:hAnsi="Times New Roman" w:eastAsia="宋体" w:cs="Times New Roman"/>
          <w:spacing w:val="10"/>
          <w:sz w:val="24"/>
          <w:szCs w:val="24"/>
          <w:lang w:eastAsia="zh-CN"/>
        </w:rPr>
        <w:footnoteReference w:id="344"/>
      </w:r>
      <w:r>
        <w:rPr>
          <w:rFonts w:hint="default" w:ascii="Times New Roman" w:hAnsi="Times New Roman" w:eastAsia="宋体" w:cs="Times New Roman"/>
          <w:spacing w:val="10"/>
          <w:position w:val="5"/>
          <w:sz w:val="24"/>
          <w:szCs w:val="24"/>
          <w:lang w:eastAsia="zh-CN"/>
        </w:rPr>
        <w:t>④</w:t>
      </w:r>
      <w:r>
        <w:rPr>
          <w:rFonts w:hint="default" w:ascii="Times New Roman" w:hAnsi="Times New Roman" w:eastAsia="宋体" w:cs="Times New Roman"/>
          <w:spacing w:val="10"/>
          <w:sz w:val="24"/>
          <w:szCs w:val="24"/>
          <w:lang w:eastAsia="zh-CN"/>
        </w:rPr>
        <w:t>关于分工的本质,学者们深刻揭示了社会分工的本质特征,认为社会分工具有</w:t>
      </w:r>
      <w:r>
        <w:rPr>
          <w:rFonts w:hint="default" w:ascii="Times New Roman" w:hAnsi="Times New Roman" w:eastAsia="宋体" w:cs="Times New Roman"/>
          <w:spacing w:val="9"/>
          <w:sz w:val="24"/>
          <w:szCs w:val="24"/>
          <w:lang w:eastAsia="zh-CN"/>
        </w:rPr>
        <w:t>历史的</w:t>
      </w:r>
      <w:r>
        <w:rPr>
          <w:rFonts w:hint="default" w:ascii="Times New Roman" w:hAnsi="Times New Roman" w:eastAsia="宋体" w:cs="Times New Roman"/>
          <w:spacing w:val="5"/>
          <w:sz w:val="24"/>
          <w:szCs w:val="24"/>
          <w:lang w:eastAsia="zh-CN"/>
        </w:rPr>
        <w:t>继承性、内在的不平等性、地理上的不均衡性以及人的自由和解放的可</w:t>
      </w:r>
      <w:r>
        <w:rPr>
          <w:rFonts w:hint="default" w:ascii="Times New Roman" w:hAnsi="Times New Roman" w:eastAsia="宋体" w:cs="Times New Roman"/>
          <w:spacing w:val="4"/>
          <w:sz w:val="24"/>
          <w:szCs w:val="24"/>
          <w:lang w:eastAsia="zh-CN"/>
        </w:rPr>
        <w:t>能性,</w:t>
      </w:r>
      <w:r>
        <w:rPr>
          <w:rFonts w:hint="default" w:ascii="Times New Roman" w:hAnsi="Times New Roman" w:eastAsia="宋体" w:cs="Times New Roman"/>
          <w:spacing w:val="9"/>
          <w:sz w:val="24"/>
          <w:szCs w:val="24"/>
          <w:lang w:eastAsia="zh-CN"/>
        </w:rPr>
        <w:t>这些构成了马克思主义分工理论的思想精髓。</w:t>
      </w:r>
      <w:r>
        <w:rPr>
          <w:rStyle w:val="20"/>
          <w:rFonts w:hint="default" w:ascii="Times New Roman" w:hAnsi="Times New Roman" w:eastAsia="宋体" w:cs="Times New Roman"/>
          <w:spacing w:val="9"/>
          <w:sz w:val="24"/>
          <w:szCs w:val="24"/>
          <w:lang w:eastAsia="zh-CN"/>
        </w:rPr>
        <w:footnoteReference w:id="345"/>
      </w:r>
      <w:r>
        <w:rPr>
          <w:rFonts w:hint="default" w:ascii="Times New Roman" w:hAnsi="Times New Roman" w:eastAsia="宋体" w:cs="Times New Roman"/>
          <w:spacing w:val="9"/>
          <w:sz w:val="24"/>
          <w:szCs w:val="24"/>
          <w:lang w:eastAsia="zh-CN"/>
        </w:rPr>
        <w:t>关于分工与异化的关系,学</w:t>
      </w:r>
      <w:r>
        <w:rPr>
          <w:rFonts w:hint="default" w:ascii="Times New Roman" w:hAnsi="Times New Roman" w:eastAsia="宋体" w:cs="Times New Roman"/>
          <w:spacing w:val="12"/>
          <w:sz w:val="24"/>
          <w:szCs w:val="24"/>
          <w:lang w:eastAsia="zh-CN"/>
        </w:rPr>
        <w:t>者们认为不应该将异化视为分工的充分和必然产物,异化的根源并不在于劳动分工而在于分工收益的分配不合理,这种不合理的收</w:t>
      </w:r>
      <w:r>
        <w:rPr>
          <w:rFonts w:hint="default" w:ascii="Times New Roman" w:hAnsi="Times New Roman" w:eastAsia="宋体" w:cs="Times New Roman"/>
          <w:spacing w:val="11"/>
          <w:sz w:val="24"/>
          <w:szCs w:val="24"/>
          <w:lang w:eastAsia="zh-CN"/>
        </w:rPr>
        <w:t>益分配又源于社会权</w:t>
      </w:r>
      <w:r>
        <w:rPr>
          <w:rFonts w:hint="default" w:ascii="Times New Roman" w:hAnsi="Times New Roman" w:eastAsia="宋体" w:cs="Times New Roman"/>
          <w:spacing w:val="14"/>
          <w:sz w:val="24"/>
          <w:szCs w:val="24"/>
          <w:lang w:eastAsia="zh-CN"/>
        </w:rPr>
        <w:t>力的不平等以及相应的财产关系和社会制度,开辟了一</w:t>
      </w:r>
      <w:r>
        <w:rPr>
          <w:rFonts w:hint="default" w:ascii="Times New Roman" w:hAnsi="Times New Roman" w:eastAsia="宋体" w:cs="Times New Roman"/>
          <w:spacing w:val="13"/>
          <w:sz w:val="24"/>
          <w:szCs w:val="24"/>
          <w:lang w:eastAsia="zh-CN"/>
        </w:rPr>
        <w:t>个从人们的生产劳动</w:t>
      </w:r>
      <w:r>
        <w:rPr>
          <w:rFonts w:hint="default" w:ascii="Times New Roman" w:hAnsi="Times New Roman" w:eastAsia="宋体" w:cs="Times New Roman"/>
          <w:spacing w:val="5"/>
          <w:sz w:val="24"/>
          <w:szCs w:val="24"/>
          <w:lang w:eastAsia="zh-CN"/>
        </w:rPr>
        <w:t>中认识生产关系、社会关系形成和发展的唯物史观思路。</w:t>
      </w:r>
      <w:r>
        <w:rPr>
          <w:rStyle w:val="20"/>
          <w:rFonts w:hint="default" w:ascii="Times New Roman" w:hAnsi="Times New Roman" w:eastAsia="宋体" w:cs="Times New Roman"/>
          <w:spacing w:val="5"/>
          <w:sz w:val="24"/>
          <w:szCs w:val="24"/>
          <w:lang w:eastAsia="zh-CN"/>
        </w:rPr>
        <w:footnoteReference w:id="346"/>
      </w:r>
      <w:r>
        <w:rPr>
          <w:rFonts w:hint="default" w:ascii="Times New Roman" w:hAnsi="Times New Roman" w:eastAsia="宋体" w:cs="Times New Roman"/>
          <w:spacing w:val="5"/>
          <w:sz w:val="24"/>
          <w:szCs w:val="24"/>
          <w:lang w:eastAsia="zh-CN"/>
        </w:rPr>
        <w:t>关于分工与人的</w:t>
      </w:r>
      <w:r>
        <w:rPr>
          <w:rFonts w:hint="default" w:ascii="Times New Roman" w:hAnsi="Times New Roman" w:eastAsia="宋体" w:cs="Times New Roman"/>
          <w:spacing w:val="13"/>
          <w:sz w:val="24"/>
          <w:szCs w:val="24"/>
          <w:lang w:eastAsia="zh-CN"/>
        </w:rPr>
        <w:t>发展,学者们也有很多深刻认识,主要围绕马克思主义分工理论的人学意蕴,</w:t>
      </w:r>
      <w:r>
        <w:rPr>
          <w:rFonts w:hint="default" w:ascii="Times New Roman" w:hAnsi="Times New Roman" w:eastAsia="宋体" w:cs="Times New Roman"/>
          <w:spacing w:val="3"/>
          <w:sz w:val="24"/>
          <w:szCs w:val="24"/>
          <w:lang w:eastAsia="zh-CN"/>
        </w:rPr>
        <w:t>对分工条件下人的存在方式进行深切思考。</w:t>
      </w:r>
      <w:r>
        <w:rPr>
          <w:rStyle w:val="20"/>
          <w:rFonts w:hint="default" w:ascii="Times New Roman" w:hAnsi="Times New Roman" w:eastAsia="宋体" w:cs="Times New Roman"/>
          <w:spacing w:val="3"/>
          <w:sz w:val="24"/>
          <w:szCs w:val="24"/>
          <w:lang w:eastAsia="zh-CN"/>
        </w:rPr>
        <w:footnoteReference w:id="347"/>
      </w:r>
    </w:p>
    <w:p w14:paraId="62EEB1F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8"/>
          <w:sz w:val="24"/>
          <w:szCs w:val="24"/>
          <w:lang w:eastAsia="zh-CN"/>
        </w:rPr>
        <w:t>三是对马克思主义分工理论与其他分工理论的</w:t>
      </w:r>
      <w:r>
        <w:rPr>
          <w:rFonts w:hint="default" w:ascii="Times New Roman" w:hAnsi="Times New Roman" w:eastAsia="宋体" w:cs="Times New Roman"/>
          <w:spacing w:val="7"/>
          <w:sz w:val="24"/>
          <w:szCs w:val="24"/>
          <w:lang w:eastAsia="zh-CN"/>
        </w:rPr>
        <w:t>比较进行研究。这一视角</w:t>
      </w:r>
      <w:r>
        <w:rPr>
          <w:rFonts w:hint="default" w:ascii="Times New Roman" w:hAnsi="Times New Roman" w:eastAsia="宋体" w:cs="Times New Roman"/>
          <w:spacing w:val="12"/>
          <w:sz w:val="24"/>
          <w:szCs w:val="24"/>
          <w:lang w:eastAsia="zh-CN"/>
        </w:rPr>
        <w:t>的研究着重从横向比较方面来考察马克思与</w:t>
      </w:r>
      <w:r>
        <w:rPr>
          <w:rFonts w:hint="default" w:ascii="Times New Roman" w:hAnsi="Times New Roman" w:eastAsia="宋体" w:cs="Times New Roman"/>
          <w:spacing w:val="11"/>
          <w:sz w:val="24"/>
          <w:szCs w:val="24"/>
          <w:lang w:eastAsia="zh-CN"/>
        </w:rPr>
        <w:t>其他学者关于分工思想的异同,</w:t>
      </w:r>
      <w:r>
        <w:rPr>
          <w:rFonts w:hint="default" w:ascii="Times New Roman" w:hAnsi="Times New Roman" w:eastAsia="宋体" w:cs="Times New Roman"/>
          <w:spacing w:val="13"/>
          <w:sz w:val="24"/>
          <w:szCs w:val="24"/>
          <w:lang w:eastAsia="zh-CN"/>
        </w:rPr>
        <w:t>从而深化对马克思主义分工理论的理解。例如马克思与斯密的分工思想比</w:t>
      </w:r>
      <w:r>
        <w:rPr>
          <w:rFonts w:hint="default" w:ascii="Times New Roman" w:hAnsi="Times New Roman" w:eastAsia="宋体" w:cs="Times New Roman"/>
          <w:spacing w:val="16"/>
          <w:sz w:val="24"/>
          <w:szCs w:val="24"/>
          <w:lang w:eastAsia="zh-CN"/>
        </w:rPr>
        <w:t>较,学者们认为斯密和马克思的分工理论虽然有联系,却存在很大的差异,分</w:t>
      </w:r>
      <w:r>
        <w:rPr>
          <w:rFonts w:hint="default" w:ascii="Times New Roman" w:hAnsi="Times New Roman" w:eastAsia="宋体" w:cs="Times New Roman"/>
          <w:spacing w:val="6"/>
          <w:sz w:val="24"/>
          <w:szCs w:val="24"/>
          <w:lang w:eastAsia="zh-CN"/>
        </w:rPr>
        <w:t>别从劳动分工的起因、类型、结果等方面进行比较,从而更好地理解马克思主</w:t>
      </w:r>
      <w:r>
        <w:rPr>
          <w:rFonts w:hint="default" w:ascii="Times New Roman" w:hAnsi="Times New Roman" w:eastAsia="宋体" w:cs="Times New Roman"/>
          <w:spacing w:val="2"/>
          <w:sz w:val="24"/>
          <w:szCs w:val="24"/>
          <w:lang w:eastAsia="zh-CN"/>
        </w:rPr>
        <w:t>义是如何跨越“斯密阶段”的发展逻辑和范</w:t>
      </w:r>
      <w:r>
        <w:rPr>
          <w:rFonts w:hint="default" w:ascii="Times New Roman" w:hAnsi="Times New Roman" w:eastAsia="宋体" w:cs="Times New Roman"/>
          <w:spacing w:val="1"/>
          <w:sz w:val="24"/>
          <w:szCs w:val="24"/>
          <w:lang w:eastAsia="zh-CN"/>
        </w:rPr>
        <w:t>式转换。</w:t>
      </w:r>
      <w:r>
        <w:rPr>
          <w:rStyle w:val="20"/>
          <w:rFonts w:hint="default" w:ascii="Times New Roman" w:hAnsi="Times New Roman" w:eastAsia="宋体" w:cs="Times New Roman"/>
          <w:spacing w:val="1"/>
          <w:sz w:val="24"/>
          <w:szCs w:val="24"/>
          <w:lang w:eastAsia="zh-CN"/>
        </w:rPr>
        <w:footnoteReference w:id="348"/>
      </w:r>
      <w:r>
        <w:rPr>
          <w:rFonts w:hint="default" w:ascii="Times New Roman" w:hAnsi="Times New Roman" w:eastAsia="宋体" w:cs="Times New Roman"/>
          <w:spacing w:val="1"/>
          <w:sz w:val="24"/>
          <w:szCs w:val="24"/>
          <w:lang w:eastAsia="zh-CN"/>
        </w:rPr>
        <w:t>另外还有学者展开关于</w:t>
      </w:r>
      <w:r>
        <w:rPr>
          <w:rFonts w:hint="default" w:ascii="Times New Roman" w:hAnsi="Times New Roman" w:eastAsia="宋体" w:cs="Times New Roman"/>
          <w:spacing w:val="10"/>
          <w:sz w:val="24"/>
          <w:szCs w:val="24"/>
          <w:lang w:eastAsia="zh-CN"/>
        </w:rPr>
        <w:t>马克思与杨小凯的分工思想比较</w:t>
      </w:r>
      <w:r>
        <w:rPr>
          <w:rStyle w:val="20"/>
          <w:rFonts w:hint="default" w:ascii="Times New Roman" w:hAnsi="Times New Roman" w:eastAsia="宋体" w:cs="Times New Roman"/>
          <w:spacing w:val="10"/>
          <w:sz w:val="24"/>
          <w:szCs w:val="24"/>
          <w:lang w:eastAsia="zh-CN"/>
        </w:rPr>
        <w:footnoteReference w:id="349"/>
      </w:r>
      <w:r>
        <w:rPr>
          <w:rFonts w:hint="default" w:ascii="Times New Roman" w:hAnsi="Times New Roman" w:eastAsia="宋体" w:cs="Times New Roman"/>
          <w:spacing w:val="10"/>
          <w:sz w:val="24"/>
          <w:szCs w:val="24"/>
          <w:lang w:eastAsia="zh-CN"/>
        </w:rPr>
        <w:t>、马克思与涂尔干的分工理论比较</w:t>
      </w:r>
      <w:r>
        <w:rPr>
          <w:rStyle w:val="20"/>
          <w:rFonts w:hint="default" w:ascii="Times New Roman" w:hAnsi="Times New Roman" w:eastAsia="宋体" w:cs="Times New Roman"/>
          <w:spacing w:val="10"/>
          <w:sz w:val="24"/>
          <w:szCs w:val="24"/>
          <w:lang w:eastAsia="zh-CN"/>
        </w:rPr>
        <w:footnoteReference w:id="350"/>
      </w:r>
      <w:r>
        <w:rPr>
          <w:rFonts w:hint="default" w:ascii="Times New Roman" w:hAnsi="Times New Roman" w:eastAsia="宋体" w:cs="Times New Roman"/>
          <w:spacing w:val="10"/>
          <w:sz w:val="24"/>
          <w:szCs w:val="24"/>
          <w:lang w:eastAsia="zh-CN"/>
        </w:rPr>
        <w:t>等,在这些比较中厘清彼此的不同,加深对马克思主义分工理论的理解。</w:t>
      </w:r>
    </w:p>
    <w:p w14:paraId="2A1929C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0"/>
          <w:sz w:val="24"/>
          <w:szCs w:val="24"/>
          <w:lang w:eastAsia="zh-CN"/>
        </w:rPr>
        <w:t>(二)应用马克思主义分工理论对丰富鲜活的现实问题进行具体运用和深</w:t>
      </w:r>
      <w:r>
        <w:rPr>
          <w:rFonts w:hint="default" w:ascii="Times New Roman" w:hAnsi="Times New Roman" w:eastAsia="宋体" w:cs="Times New Roman"/>
          <w:spacing w:val="7"/>
          <w:sz w:val="24"/>
          <w:szCs w:val="24"/>
          <w:lang w:eastAsia="zh-CN"/>
        </w:rPr>
        <w:t>度分析</w:t>
      </w:r>
    </w:p>
    <w:p w14:paraId="2CA7211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9"/>
          <w:sz w:val="24"/>
          <w:szCs w:val="24"/>
          <w:lang w:eastAsia="zh-CN"/>
        </w:rPr>
        <w:t>这方面的成果也可以具体分为三个层次:</w:t>
      </w:r>
    </w:p>
    <w:p w14:paraId="5934E8D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5"/>
          <w:sz w:val="24"/>
          <w:szCs w:val="24"/>
          <w:lang w:eastAsia="zh-CN"/>
        </w:rPr>
        <w:t>一是微观层次的现实问题分析,例如,有学者以马克思在《资本论》中所阐</w:t>
      </w:r>
      <w:r>
        <w:rPr>
          <w:rFonts w:hint="default" w:ascii="Times New Roman" w:hAnsi="Times New Roman" w:eastAsia="宋体" w:cs="Times New Roman"/>
          <w:spacing w:val="12"/>
          <w:sz w:val="24"/>
          <w:szCs w:val="24"/>
          <w:lang w:eastAsia="zh-CN"/>
        </w:rPr>
        <w:t>述的分工协作思想为基础,分析了资本主义经济组织的演变过程,从包买</w:t>
      </w:r>
      <w:r>
        <w:rPr>
          <w:rFonts w:hint="default" w:ascii="Times New Roman" w:hAnsi="Times New Roman" w:eastAsia="宋体" w:cs="Times New Roman"/>
          <w:spacing w:val="11"/>
          <w:sz w:val="24"/>
          <w:szCs w:val="24"/>
          <w:lang w:eastAsia="zh-CN"/>
        </w:rPr>
        <w:t>商制</w:t>
      </w:r>
      <w:r>
        <w:rPr>
          <w:rFonts w:hint="default" w:ascii="Times New Roman" w:hAnsi="Times New Roman" w:eastAsia="宋体" w:cs="Times New Roman"/>
          <w:spacing w:val="14"/>
          <w:sz w:val="24"/>
          <w:szCs w:val="24"/>
          <w:lang w:eastAsia="zh-CN"/>
        </w:rPr>
        <w:t>度到工厂制度,福特制的形成与发展,以及网络化生产组织的产生,从而</w:t>
      </w:r>
      <w:r>
        <w:rPr>
          <w:rFonts w:hint="default" w:ascii="Times New Roman" w:hAnsi="Times New Roman" w:eastAsia="宋体" w:cs="Times New Roman"/>
          <w:spacing w:val="13"/>
          <w:sz w:val="24"/>
          <w:szCs w:val="24"/>
          <w:lang w:eastAsia="zh-CN"/>
        </w:rPr>
        <w:t>概括</w:t>
      </w:r>
      <w:r>
        <w:rPr>
          <w:rFonts w:hint="default" w:ascii="Times New Roman" w:hAnsi="Times New Roman" w:eastAsia="宋体" w:cs="Times New Roman"/>
          <w:spacing w:val="11"/>
          <w:sz w:val="24"/>
          <w:szCs w:val="24"/>
          <w:lang w:eastAsia="zh-CN"/>
        </w:rPr>
        <w:t>了生产组织变迁的理论。</w:t>
      </w:r>
      <w:r>
        <w:rPr>
          <w:rStyle w:val="20"/>
          <w:rFonts w:hint="default" w:ascii="Times New Roman" w:hAnsi="Times New Roman" w:eastAsia="宋体" w:cs="Times New Roman"/>
          <w:spacing w:val="11"/>
          <w:sz w:val="24"/>
          <w:szCs w:val="24"/>
          <w:lang w:eastAsia="zh-CN"/>
        </w:rPr>
        <w:footnoteReference w:id="351"/>
      </w:r>
      <w:r>
        <w:rPr>
          <w:rFonts w:hint="default" w:ascii="Times New Roman" w:hAnsi="Times New Roman" w:eastAsia="宋体" w:cs="Times New Roman"/>
          <w:spacing w:val="11"/>
          <w:sz w:val="24"/>
          <w:szCs w:val="24"/>
          <w:lang w:eastAsia="zh-CN"/>
        </w:rPr>
        <w:t>随着数字经济的发展,也有很多学者基于马克思</w:t>
      </w:r>
      <w:r>
        <w:rPr>
          <w:rFonts w:hint="default" w:ascii="Times New Roman" w:hAnsi="Times New Roman" w:eastAsia="宋体" w:cs="Times New Roman"/>
          <w:spacing w:val="14"/>
          <w:sz w:val="24"/>
          <w:szCs w:val="24"/>
          <w:lang w:eastAsia="zh-CN"/>
        </w:rPr>
        <w:t>主义分工范式,应用分工理论对跨国公司主导的数字经济</w:t>
      </w:r>
      <w:r>
        <w:rPr>
          <w:rFonts w:hint="default" w:ascii="Times New Roman" w:hAnsi="Times New Roman" w:eastAsia="宋体" w:cs="Times New Roman"/>
          <w:spacing w:val="13"/>
          <w:sz w:val="24"/>
          <w:szCs w:val="24"/>
          <w:lang w:eastAsia="zh-CN"/>
        </w:rPr>
        <w:t>平台或数字劳动进</w:t>
      </w:r>
      <w:r>
        <w:rPr>
          <w:rFonts w:hint="default" w:ascii="Times New Roman" w:hAnsi="Times New Roman" w:eastAsia="宋体" w:cs="Times New Roman"/>
          <w:spacing w:val="-5"/>
          <w:sz w:val="24"/>
          <w:szCs w:val="24"/>
          <w:lang w:eastAsia="zh-CN"/>
        </w:rPr>
        <w:t>行了深入分析。</w:t>
      </w:r>
      <w:r>
        <w:rPr>
          <w:rStyle w:val="20"/>
          <w:rFonts w:hint="default" w:ascii="Times New Roman" w:hAnsi="Times New Roman" w:eastAsia="宋体" w:cs="Times New Roman"/>
          <w:spacing w:val="-5"/>
          <w:sz w:val="24"/>
          <w:szCs w:val="24"/>
          <w:lang w:eastAsia="zh-CN"/>
        </w:rPr>
        <w:footnoteReference w:id="352"/>
      </w:r>
    </w:p>
    <w:p w14:paraId="0F75ED0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8"/>
          <w:sz w:val="24"/>
          <w:szCs w:val="24"/>
          <w:lang w:eastAsia="zh-CN"/>
        </w:rPr>
        <w:t>二是中观层次的现实问题分析。关于分工与产业的发展,一直是学者们</w:t>
      </w:r>
      <w:r>
        <w:rPr>
          <w:rFonts w:hint="default" w:ascii="Times New Roman" w:hAnsi="Times New Roman" w:eastAsia="宋体" w:cs="Times New Roman"/>
          <w:spacing w:val="12"/>
          <w:sz w:val="24"/>
          <w:szCs w:val="24"/>
          <w:lang w:eastAsia="zh-CN"/>
        </w:rPr>
        <w:t>关注的热点。有学者基于马克思主义理论,详细阐释了马克思关于劳动分工</w:t>
      </w:r>
      <w:r>
        <w:rPr>
          <w:rFonts w:hint="default" w:ascii="Times New Roman" w:hAnsi="Times New Roman" w:eastAsia="宋体" w:cs="Times New Roman"/>
          <w:spacing w:val="10"/>
          <w:sz w:val="24"/>
          <w:szCs w:val="24"/>
          <w:lang w:eastAsia="zh-CN"/>
        </w:rPr>
        <w:t>与制造业之间的辩证关系,认为马克思将制造</w:t>
      </w:r>
      <w:r>
        <w:rPr>
          <w:rFonts w:hint="default" w:ascii="Times New Roman" w:hAnsi="Times New Roman" w:eastAsia="宋体" w:cs="Times New Roman"/>
          <w:spacing w:val="9"/>
          <w:sz w:val="24"/>
          <w:szCs w:val="24"/>
          <w:lang w:eastAsia="zh-CN"/>
        </w:rPr>
        <w:t>业的分工和劳动生产率的提高、</w:t>
      </w:r>
      <w:r>
        <w:rPr>
          <w:rFonts w:hint="default" w:ascii="Times New Roman" w:hAnsi="Times New Roman" w:eastAsia="宋体" w:cs="Times New Roman"/>
          <w:spacing w:val="11"/>
          <w:sz w:val="24"/>
          <w:szCs w:val="24"/>
          <w:lang w:eastAsia="zh-CN"/>
        </w:rPr>
        <w:t>剩余价值率的提高联系起来,劳动分工是通过制造业来实现的。</w:t>
      </w:r>
      <w:r>
        <w:rPr>
          <w:rStyle w:val="20"/>
          <w:rFonts w:hint="default" w:ascii="Times New Roman" w:hAnsi="Times New Roman" w:eastAsia="宋体" w:cs="Times New Roman"/>
          <w:spacing w:val="11"/>
          <w:sz w:val="24"/>
          <w:szCs w:val="24"/>
          <w:lang w:eastAsia="zh-CN"/>
        </w:rPr>
        <w:footnoteReference w:id="353"/>
      </w:r>
      <w:r>
        <w:rPr>
          <w:rFonts w:hint="default" w:ascii="Times New Roman" w:hAnsi="Times New Roman" w:eastAsia="宋体" w:cs="Times New Roman"/>
          <w:spacing w:val="11"/>
          <w:sz w:val="24"/>
          <w:szCs w:val="24"/>
          <w:lang w:eastAsia="zh-CN"/>
        </w:rPr>
        <w:t>有学者应</w:t>
      </w:r>
      <w:r>
        <w:rPr>
          <w:rFonts w:hint="default" w:ascii="Times New Roman" w:hAnsi="Times New Roman" w:eastAsia="宋体" w:cs="Times New Roman"/>
          <w:spacing w:val="14"/>
          <w:sz w:val="24"/>
          <w:szCs w:val="24"/>
          <w:lang w:eastAsia="zh-CN"/>
        </w:rPr>
        <w:t>用分工理论对我国产业发展进行分析,认为中国制</w:t>
      </w:r>
      <w:r>
        <w:rPr>
          <w:rFonts w:hint="default" w:ascii="Times New Roman" w:hAnsi="Times New Roman" w:eastAsia="宋体" w:cs="Times New Roman"/>
          <w:spacing w:val="13"/>
          <w:sz w:val="24"/>
          <w:szCs w:val="24"/>
          <w:lang w:eastAsia="zh-CN"/>
        </w:rPr>
        <w:t>造业价值链升级需要重新</w:t>
      </w:r>
      <w:r>
        <w:rPr>
          <w:rFonts w:hint="default" w:ascii="Times New Roman" w:hAnsi="Times New Roman" w:eastAsia="宋体" w:cs="Times New Roman"/>
          <w:spacing w:val="12"/>
          <w:sz w:val="24"/>
          <w:szCs w:val="24"/>
          <w:lang w:eastAsia="zh-CN"/>
        </w:rPr>
        <w:t>审视国际化分工。</w:t>
      </w:r>
      <w:r>
        <w:rPr>
          <w:rStyle w:val="20"/>
          <w:rFonts w:hint="default" w:ascii="Times New Roman" w:hAnsi="Times New Roman" w:eastAsia="宋体" w:cs="Times New Roman"/>
          <w:spacing w:val="12"/>
          <w:sz w:val="24"/>
          <w:szCs w:val="24"/>
          <w:lang w:eastAsia="zh-CN"/>
        </w:rPr>
        <w:footnoteReference w:id="354"/>
      </w:r>
      <w:r>
        <w:rPr>
          <w:rFonts w:hint="default" w:ascii="Times New Roman" w:hAnsi="Times New Roman" w:eastAsia="宋体" w:cs="Times New Roman"/>
          <w:spacing w:val="12"/>
          <w:sz w:val="24"/>
          <w:szCs w:val="24"/>
          <w:lang w:eastAsia="zh-CN"/>
        </w:rPr>
        <w:t>有的学者认为,社会分工体系是区域平衡充分发展系统</w:t>
      </w:r>
      <w:r>
        <w:rPr>
          <w:rFonts w:hint="default" w:ascii="Times New Roman" w:hAnsi="Times New Roman" w:eastAsia="宋体" w:cs="Times New Roman"/>
          <w:spacing w:val="14"/>
          <w:sz w:val="24"/>
          <w:szCs w:val="24"/>
          <w:lang w:eastAsia="zh-CN"/>
        </w:rPr>
        <w:t>的一个重要组成部分,需要研究平衡充分发展的社</w:t>
      </w:r>
      <w:r>
        <w:rPr>
          <w:rFonts w:hint="default" w:ascii="Times New Roman" w:hAnsi="Times New Roman" w:eastAsia="宋体" w:cs="Times New Roman"/>
          <w:spacing w:val="13"/>
          <w:sz w:val="24"/>
          <w:szCs w:val="24"/>
          <w:lang w:eastAsia="zh-CN"/>
        </w:rPr>
        <w:t>会分工体系在区域平衡充</w:t>
      </w:r>
      <w:r>
        <w:rPr>
          <w:rFonts w:hint="default" w:ascii="Times New Roman" w:hAnsi="Times New Roman" w:eastAsia="宋体" w:cs="Times New Roman"/>
          <w:spacing w:val="12"/>
          <w:sz w:val="24"/>
          <w:szCs w:val="24"/>
          <w:lang w:eastAsia="zh-CN"/>
        </w:rPr>
        <w:t>分发展战略研制中的作用。</w:t>
      </w:r>
      <w:r>
        <w:rPr>
          <w:rStyle w:val="20"/>
          <w:rFonts w:hint="default" w:ascii="Times New Roman" w:hAnsi="Times New Roman" w:eastAsia="宋体" w:cs="Times New Roman"/>
          <w:spacing w:val="12"/>
          <w:sz w:val="24"/>
          <w:szCs w:val="24"/>
          <w:lang w:eastAsia="zh-CN"/>
        </w:rPr>
        <w:footnoteReference w:id="355"/>
      </w:r>
      <w:r>
        <w:rPr>
          <w:rFonts w:hint="default" w:ascii="Times New Roman" w:hAnsi="Times New Roman" w:eastAsia="宋体" w:cs="Times New Roman"/>
          <w:spacing w:val="12"/>
          <w:sz w:val="24"/>
          <w:szCs w:val="24"/>
          <w:lang w:eastAsia="zh-CN"/>
        </w:rPr>
        <w:t>还有学者立足资本主义生产的空间结构,把分</w:t>
      </w:r>
      <w:r>
        <w:rPr>
          <w:rFonts w:hint="default" w:ascii="Times New Roman" w:hAnsi="Times New Roman" w:eastAsia="宋体" w:cs="Times New Roman"/>
          <w:spacing w:val="6"/>
          <w:sz w:val="24"/>
          <w:szCs w:val="24"/>
          <w:lang w:eastAsia="zh-CN"/>
        </w:rPr>
        <w:t>工置于全球化与世界经济的发展背景中,考察“空间分工”所带来的资本主义</w:t>
      </w:r>
      <w:r>
        <w:rPr>
          <w:rFonts w:hint="default" w:ascii="Times New Roman" w:hAnsi="Times New Roman" w:eastAsia="宋体" w:cs="Times New Roman"/>
          <w:spacing w:val="2"/>
          <w:sz w:val="24"/>
          <w:szCs w:val="24"/>
          <w:lang w:eastAsia="zh-CN"/>
        </w:rPr>
        <w:t>不平衡发展及其不平等再生产。</w:t>
      </w:r>
      <w:r>
        <w:rPr>
          <w:rStyle w:val="20"/>
          <w:rFonts w:hint="default" w:ascii="Times New Roman" w:hAnsi="Times New Roman" w:eastAsia="宋体" w:cs="Times New Roman"/>
          <w:spacing w:val="2"/>
          <w:sz w:val="24"/>
          <w:szCs w:val="24"/>
          <w:lang w:eastAsia="zh-CN"/>
        </w:rPr>
        <w:footnoteReference w:id="356"/>
      </w:r>
    </w:p>
    <w:p w14:paraId="2FE8692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三是宏观层次的现实问题分析。这个层次的分析比较丰富,学者们的视角也有很大不同。分工与协调是辩证的一体两面,有学者根据古典政</w:t>
      </w:r>
      <w:r>
        <w:rPr>
          <w:rFonts w:hint="default" w:ascii="Times New Roman" w:hAnsi="Times New Roman" w:eastAsia="宋体" w:cs="Times New Roman"/>
          <w:spacing w:val="11"/>
          <w:sz w:val="24"/>
          <w:szCs w:val="24"/>
          <w:lang w:eastAsia="zh-CN"/>
        </w:rPr>
        <w:t>治经济</w:t>
      </w:r>
      <w:r>
        <w:rPr>
          <w:rFonts w:hint="default" w:ascii="Times New Roman" w:hAnsi="Times New Roman" w:eastAsia="宋体" w:cs="Times New Roman"/>
          <w:spacing w:val="14"/>
          <w:sz w:val="24"/>
          <w:szCs w:val="24"/>
          <w:lang w:eastAsia="zh-CN"/>
        </w:rPr>
        <w:t>学和马克思主义经济学建立了社会互动模型,用来分析</w:t>
      </w:r>
      <w:r>
        <w:rPr>
          <w:rFonts w:hint="default" w:ascii="Times New Roman" w:hAnsi="Times New Roman" w:eastAsia="宋体" w:cs="Times New Roman"/>
          <w:spacing w:val="13"/>
          <w:sz w:val="24"/>
          <w:szCs w:val="24"/>
          <w:lang w:eastAsia="zh-CN"/>
        </w:rPr>
        <w:t>社会分工基础上的协</w:t>
      </w:r>
      <w:r>
        <w:rPr>
          <w:rFonts w:hint="default" w:ascii="Times New Roman" w:hAnsi="Times New Roman" w:eastAsia="宋体" w:cs="Times New Roman"/>
          <w:spacing w:val="-16"/>
          <w:w w:val="99"/>
          <w:sz w:val="24"/>
          <w:szCs w:val="24"/>
          <w:lang w:eastAsia="zh-CN"/>
        </w:rPr>
        <w:t>调问题。</w:t>
      </w:r>
      <w:r>
        <w:rPr>
          <w:rStyle w:val="20"/>
          <w:rFonts w:hint="default" w:ascii="Times New Roman" w:hAnsi="Times New Roman" w:eastAsia="宋体" w:cs="Times New Roman"/>
          <w:spacing w:val="-16"/>
          <w:w w:val="99"/>
          <w:sz w:val="24"/>
          <w:szCs w:val="24"/>
          <w:lang w:eastAsia="zh-CN"/>
        </w:rPr>
        <w:footnoteReference w:id="357"/>
      </w:r>
      <w:r>
        <w:rPr>
          <w:rFonts w:hint="default" w:ascii="Times New Roman" w:hAnsi="Times New Roman" w:eastAsia="宋体" w:cs="Times New Roman"/>
          <w:spacing w:val="19"/>
          <w:sz w:val="24"/>
          <w:szCs w:val="24"/>
          <w:lang w:eastAsia="zh-CN"/>
        </w:rPr>
        <w:t>分工与技术进步密不可分,有学者通过劳动分工,特别是生产过</w:t>
      </w:r>
      <w:r>
        <w:rPr>
          <w:rFonts w:hint="default" w:ascii="Times New Roman" w:hAnsi="Times New Roman" w:eastAsia="宋体" w:cs="Times New Roman"/>
          <w:spacing w:val="14"/>
          <w:sz w:val="24"/>
          <w:szCs w:val="24"/>
          <w:lang w:eastAsia="zh-CN"/>
        </w:rPr>
        <w:t>程、社会分工和技术进步之间的相互作用,揭示了马克</w:t>
      </w:r>
      <w:r>
        <w:rPr>
          <w:rFonts w:hint="default" w:ascii="Times New Roman" w:hAnsi="Times New Roman" w:eastAsia="宋体" w:cs="Times New Roman"/>
          <w:spacing w:val="13"/>
          <w:sz w:val="24"/>
          <w:szCs w:val="24"/>
          <w:lang w:eastAsia="zh-CN"/>
        </w:rPr>
        <w:t>思对生产力发展的看</w:t>
      </w:r>
      <w:r>
        <w:rPr>
          <w:rFonts w:hint="default" w:ascii="Times New Roman" w:hAnsi="Times New Roman" w:eastAsia="宋体" w:cs="Times New Roman"/>
          <w:spacing w:val="12"/>
          <w:sz w:val="24"/>
          <w:szCs w:val="24"/>
          <w:lang w:eastAsia="zh-CN"/>
        </w:rPr>
        <w:t>法,即认为马克思确立了生产力的发展构成宏观经济结构性质的累积和演化</w:t>
      </w:r>
      <w:r>
        <w:rPr>
          <w:rFonts w:hint="default" w:ascii="Times New Roman" w:hAnsi="Times New Roman" w:eastAsia="宋体" w:cs="Times New Roman"/>
          <w:spacing w:val="9"/>
          <w:sz w:val="24"/>
          <w:szCs w:val="24"/>
          <w:lang w:eastAsia="zh-CN"/>
        </w:rPr>
        <w:t>过程的基础。</w:t>
      </w:r>
      <w:r>
        <w:rPr>
          <w:rStyle w:val="20"/>
          <w:rFonts w:hint="default" w:ascii="Times New Roman" w:hAnsi="Times New Roman" w:eastAsia="宋体" w:cs="Times New Roman"/>
          <w:spacing w:val="9"/>
          <w:sz w:val="24"/>
          <w:szCs w:val="24"/>
          <w:lang w:eastAsia="zh-CN"/>
        </w:rPr>
        <w:footnoteReference w:id="358"/>
      </w:r>
      <w:r>
        <w:rPr>
          <w:rFonts w:hint="default" w:ascii="Times New Roman" w:hAnsi="Times New Roman" w:eastAsia="宋体" w:cs="Times New Roman"/>
          <w:spacing w:val="9"/>
          <w:sz w:val="24"/>
          <w:szCs w:val="24"/>
          <w:lang w:eastAsia="zh-CN"/>
        </w:rPr>
        <w:t>分工的国际化也是引起学者们广泛关注的一个问题,这方面</w:t>
      </w:r>
      <w:r>
        <w:rPr>
          <w:rFonts w:hint="default" w:ascii="Times New Roman" w:hAnsi="Times New Roman" w:eastAsia="宋体" w:cs="Times New Roman"/>
          <w:spacing w:val="7"/>
          <w:sz w:val="24"/>
          <w:szCs w:val="24"/>
          <w:lang w:eastAsia="zh-CN"/>
        </w:rPr>
        <w:t>有学者梳理了马克思主义视角下当代国际分工理论的缺失、复归与融合,认为</w:t>
      </w:r>
      <w:r>
        <w:rPr>
          <w:rFonts w:hint="default" w:ascii="Times New Roman" w:hAnsi="Times New Roman" w:eastAsia="宋体" w:cs="Times New Roman"/>
          <w:spacing w:val="10"/>
          <w:sz w:val="24"/>
          <w:szCs w:val="24"/>
          <w:lang w:eastAsia="zh-CN"/>
        </w:rPr>
        <w:t>马克思主义国际劳动分工的分析应当充分融合地方性因素塑造的劳动过程、</w:t>
      </w:r>
      <w:r>
        <w:rPr>
          <w:rFonts w:hint="default" w:ascii="Times New Roman" w:hAnsi="Times New Roman" w:eastAsia="宋体" w:cs="Times New Roman"/>
          <w:spacing w:val="8"/>
          <w:sz w:val="24"/>
          <w:szCs w:val="24"/>
          <w:lang w:eastAsia="zh-CN"/>
        </w:rPr>
        <w:t>基于地方性再生产条件形成的资本差异化积累能力</w:t>
      </w:r>
      <w:r>
        <w:rPr>
          <w:rFonts w:hint="default" w:ascii="Times New Roman" w:hAnsi="Times New Roman" w:eastAsia="宋体" w:cs="Times New Roman"/>
          <w:spacing w:val="7"/>
          <w:sz w:val="24"/>
          <w:szCs w:val="24"/>
          <w:lang w:eastAsia="zh-CN"/>
        </w:rPr>
        <w:t>。</w:t>
      </w:r>
      <w:r>
        <w:rPr>
          <w:rStyle w:val="20"/>
          <w:rFonts w:hint="default" w:ascii="Times New Roman" w:hAnsi="Times New Roman" w:eastAsia="宋体" w:cs="Times New Roman"/>
          <w:spacing w:val="7"/>
          <w:sz w:val="24"/>
          <w:szCs w:val="24"/>
          <w:lang w:eastAsia="zh-CN"/>
        </w:rPr>
        <w:footnoteReference w:id="359"/>
      </w:r>
      <w:r>
        <w:rPr>
          <w:rFonts w:hint="default" w:ascii="Times New Roman" w:hAnsi="Times New Roman" w:eastAsia="宋体" w:cs="Times New Roman"/>
          <w:spacing w:val="7"/>
          <w:sz w:val="24"/>
          <w:szCs w:val="24"/>
          <w:lang w:eastAsia="zh-CN"/>
        </w:rPr>
        <w:t>也有学者应用马克思</w:t>
      </w:r>
      <w:r>
        <w:rPr>
          <w:rFonts w:hint="default" w:ascii="Times New Roman" w:hAnsi="Times New Roman" w:eastAsia="宋体" w:cs="Times New Roman"/>
          <w:spacing w:val="14"/>
          <w:sz w:val="24"/>
          <w:szCs w:val="24"/>
          <w:lang w:eastAsia="zh-CN"/>
        </w:rPr>
        <w:t>主义的分工理论对经济全球化的不同模式进行分析,认</w:t>
      </w:r>
      <w:r>
        <w:rPr>
          <w:rFonts w:hint="default" w:ascii="Times New Roman" w:hAnsi="Times New Roman" w:eastAsia="宋体" w:cs="Times New Roman"/>
          <w:spacing w:val="13"/>
          <w:sz w:val="24"/>
          <w:szCs w:val="24"/>
          <w:lang w:eastAsia="zh-CN"/>
        </w:rPr>
        <w:t>为资本主义经济全球化通过国际分工使资本主义生产方式在世界范围内扩张,分工协作的</w:t>
      </w:r>
      <w:r>
        <w:rPr>
          <w:rFonts w:hint="default" w:ascii="Times New Roman" w:hAnsi="Times New Roman" w:eastAsia="宋体" w:cs="Times New Roman"/>
          <w:spacing w:val="12"/>
          <w:sz w:val="24"/>
          <w:szCs w:val="24"/>
          <w:lang w:eastAsia="zh-CN"/>
        </w:rPr>
        <w:t>生产力效应异化为资本主义中心国家的成果,利益分配不平衡。而在新型</w:t>
      </w:r>
      <w:r>
        <w:rPr>
          <w:rFonts w:hint="default" w:ascii="Times New Roman" w:hAnsi="Times New Roman" w:eastAsia="宋体" w:cs="Times New Roman"/>
          <w:spacing w:val="11"/>
          <w:sz w:val="24"/>
          <w:szCs w:val="24"/>
          <w:lang w:eastAsia="zh-CN"/>
        </w:rPr>
        <w:t>经济全球</w:t>
      </w:r>
      <w:r>
        <w:rPr>
          <w:rFonts w:hint="default" w:ascii="Times New Roman" w:hAnsi="Times New Roman" w:eastAsia="宋体" w:cs="Times New Roman"/>
          <w:spacing w:val="12"/>
          <w:sz w:val="24"/>
          <w:szCs w:val="24"/>
          <w:lang w:eastAsia="zh-CN"/>
        </w:rPr>
        <w:t>化模式中,以分工为基础的协作创造的生产力成果由各参与国共同分</w:t>
      </w:r>
      <w:r>
        <w:rPr>
          <w:rFonts w:hint="default" w:ascii="Times New Roman" w:hAnsi="Times New Roman" w:eastAsia="宋体" w:cs="Times New Roman"/>
          <w:spacing w:val="11"/>
          <w:sz w:val="24"/>
          <w:szCs w:val="24"/>
          <w:lang w:eastAsia="zh-CN"/>
        </w:rPr>
        <w:t>享,构建</w:t>
      </w:r>
      <w:r>
        <w:rPr>
          <w:rFonts w:hint="default" w:ascii="Times New Roman" w:hAnsi="Times New Roman" w:eastAsia="宋体" w:cs="Times New Roman"/>
          <w:spacing w:val="4"/>
          <w:sz w:val="24"/>
          <w:szCs w:val="24"/>
          <w:lang w:eastAsia="zh-CN"/>
        </w:rPr>
        <w:t>起以全人类共同富裕为目标的命运共同体。</w:t>
      </w:r>
      <w:r>
        <w:rPr>
          <w:rStyle w:val="20"/>
          <w:rFonts w:hint="default" w:ascii="Times New Roman" w:hAnsi="Times New Roman" w:eastAsia="宋体" w:cs="Times New Roman"/>
          <w:spacing w:val="4"/>
          <w:sz w:val="24"/>
          <w:szCs w:val="24"/>
          <w:lang w:eastAsia="zh-CN"/>
        </w:rPr>
        <w:footnoteReference w:id="360"/>
      </w:r>
    </w:p>
    <w:p w14:paraId="1C14775E">
      <w:pPr>
        <w:pStyle w:val="4"/>
        <w:bidi w:val="0"/>
        <w:rPr>
          <w:rFonts w:hint="default"/>
          <w:lang w:eastAsia="zh-CN"/>
        </w:rPr>
      </w:pPr>
      <w:r>
        <w:rPr>
          <w:rFonts w:hint="default"/>
          <w:lang w:eastAsia="zh-CN"/>
        </w:rPr>
        <w:t>三、马克思主义分工理论及其当代发展的价值意蕴</w:t>
      </w:r>
    </w:p>
    <w:p w14:paraId="5E6C06B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马克思主义分工理论及其当代发展丰富而多元,涉及面广、研</w:t>
      </w:r>
      <w:r>
        <w:rPr>
          <w:rFonts w:hint="default" w:ascii="Times New Roman" w:hAnsi="Times New Roman" w:eastAsia="宋体" w:cs="Times New Roman"/>
          <w:spacing w:val="11"/>
          <w:sz w:val="24"/>
          <w:szCs w:val="24"/>
          <w:lang w:eastAsia="zh-CN"/>
        </w:rPr>
        <w:t>究度深,其内在性特质和鲜明价值主张与马克思主义的历史唯物主义方法论相互因应、</w:t>
      </w:r>
      <w:r>
        <w:rPr>
          <w:rFonts w:hint="default" w:ascii="Times New Roman" w:hAnsi="Times New Roman" w:eastAsia="宋体" w:cs="Times New Roman"/>
          <w:spacing w:val="10"/>
          <w:sz w:val="24"/>
          <w:szCs w:val="24"/>
          <w:lang w:eastAsia="zh-CN"/>
        </w:rPr>
        <w:t>有机反映,为我们探究理论源流提供了充分的诠释理据。同时,分工理论</w:t>
      </w:r>
      <w:r>
        <w:rPr>
          <w:rFonts w:hint="default" w:ascii="Times New Roman" w:hAnsi="Times New Roman" w:eastAsia="宋体" w:cs="Times New Roman"/>
          <w:spacing w:val="9"/>
          <w:sz w:val="24"/>
          <w:szCs w:val="24"/>
          <w:lang w:eastAsia="zh-CN"/>
        </w:rPr>
        <w:t>的马</w:t>
      </w:r>
      <w:r>
        <w:rPr>
          <w:rFonts w:hint="default" w:ascii="Times New Roman" w:hAnsi="Times New Roman" w:eastAsia="宋体" w:cs="Times New Roman"/>
          <w:spacing w:val="13"/>
          <w:sz w:val="24"/>
          <w:szCs w:val="24"/>
          <w:lang w:eastAsia="zh-CN"/>
        </w:rPr>
        <w:t>克思主义范式解读,对于我们关照现实中各种各样的分工关涉现象的深</w:t>
      </w:r>
      <w:r>
        <w:rPr>
          <w:rFonts w:hint="default" w:ascii="Times New Roman" w:hAnsi="Times New Roman" w:eastAsia="宋体" w:cs="Times New Roman"/>
          <w:spacing w:val="12"/>
          <w:sz w:val="24"/>
          <w:szCs w:val="24"/>
          <w:lang w:eastAsia="zh-CN"/>
        </w:rPr>
        <w:t>层主</w:t>
      </w:r>
      <w:r>
        <w:rPr>
          <w:rFonts w:hint="default" w:ascii="Times New Roman" w:hAnsi="Times New Roman" w:eastAsia="宋体" w:cs="Times New Roman"/>
          <w:spacing w:val="11"/>
          <w:sz w:val="24"/>
          <w:szCs w:val="24"/>
          <w:lang w:eastAsia="zh-CN"/>
        </w:rPr>
        <w:t>旨与合理性意蕴,也具有重要的价值导向作用。具体来说,马克思主义分工理</w:t>
      </w:r>
      <w:r>
        <w:rPr>
          <w:rFonts w:hint="default" w:ascii="Times New Roman" w:hAnsi="Times New Roman" w:eastAsia="宋体" w:cs="Times New Roman"/>
          <w:spacing w:val="8"/>
          <w:sz w:val="24"/>
          <w:szCs w:val="24"/>
          <w:lang w:eastAsia="zh-CN"/>
        </w:rPr>
        <w:t>论及其当代发展的价值意蕴具体表现在以下几个方面。</w:t>
      </w:r>
    </w:p>
    <w:p w14:paraId="07AB395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(一)提高了对国际分工秩序的本质及其表</w:t>
      </w:r>
      <w:r>
        <w:rPr>
          <w:rFonts w:hint="default" w:ascii="Times New Roman" w:hAnsi="Times New Roman" w:eastAsia="宋体" w:cs="Times New Roman"/>
          <w:spacing w:val="10"/>
          <w:sz w:val="24"/>
          <w:szCs w:val="24"/>
          <w:lang w:eastAsia="zh-CN"/>
        </w:rPr>
        <w:t>现形式的认识</w:t>
      </w:r>
    </w:p>
    <w:p w14:paraId="138F2EE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2"/>
          <w:sz w:val="24"/>
          <w:szCs w:val="24"/>
          <w:lang w:eastAsia="zh-CN"/>
        </w:rPr>
        <w:t>随着资本主义的发展,国家与国家之间的分工</w:t>
      </w:r>
      <w:r>
        <w:rPr>
          <w:rFonts w:hint="default" w:ascii="Times New Roman" w:hAnsi="Times New Roman" w:eastAsia="宋体" w:cs="Times New Roman"/>
          <w:spacing w:val="11"/>
          <w:sz w:val="24"/>
          <w:szCs w:val="24"/>
          <w:lang w:eastAsia="zh-CN"/>
        </w:rPr>
        <w:t>呈现一种结构化特征,发达</w:t>
      </w:r>
      <w:r>
        <w:rPr>
          <w:rFonts w:hint="default" w:ascii="Times New Roman" w:hAnsi="Times New Roman" w:eastAsia="宋体" w:cs="Times New Roman"/>
          <w:spacing w:val="10"/>
          <w:sz w:val="24"/>
          <w:szCs w:val="24"/>
          <w:lang w:eastAsia="zh-CN"/>
        </w:rPr>
        <w:t>国家(中心)的产业发展与发展中国家(外围)的产</w:t>
      </w:r>
      <w:r>
        <w:rPr>
          <w:rFonts w:hint="default" w:ascii="Times New Roman" w:hAnsi="Times New Roman" w:eastAsia="宋体" w:cs="Times New Roman"/>
          <w:spacing w:val="9"/>
          <w:sz w:val="24"/>
          <w:szCs w:val="24"/>
          <w:lang w:eastAsia="zh-CN"/>
        </w:rPr>
        <w:t>业发展之间的关系最终表现</w:t>
      </w:r>
      <w:r>
        <w:rPr>
          <w:rFonts w:hint="default" w:ascii="Times New Roman" w:hAnsi="Times New Roman" w:eastAsia="宋体" w:cs="Times New Roman"/>
          <w:spacing w:val="12"/>
          <w:sz w:val="24"/>
          <w:szCs w:val="24"/>
          <w:lang w:eastAsia="zh-CN"/>
        </w:rPr>
        <w:t>为价值的转移运动,这种世界规模的积累表现为一种非对称模式,</w:t>
      </w:r>
      <w:r>
        <w:rPr>
          <w:rFonts w:hint="default" w:ascii="Times New Roman" w:hAnsi="Times New Roman" w:eastAsia="宋体" w:cs="Times New Roman"/>
          <w:spacing w:val="11"/>
          <w:sz w:val="24"/>
          <w:szCs w:val="24"/>
          <w:lang w:eastAsia="zh-CN"/>
        </w:rPr>
        <w:t>生产力的分</w:t>
      </w:r>
      <w:r>
        <w:rPr>
          <w:rFonts w:hint="default" w:ascii="Times New Roman" w:hAnsi="Times New Roman" w:eastAsia="宋体" w:cs="Times New Roman"/>
          <w:spacing w:val="-1"/>
          <w:sz w:val="24"/>
          <w:szCs w:val="24"/>
          <w:lang w:eastAsia="zh-CN"/>
        </w:rPr>
        <w:t>布极不平等,“中心”对“外围”的经济统治通过</w:t>
      </w:r>
      <w:r>
        <w:rPr>
          <w:rFonts w:hint="default" w:ascii="Times New Roman" w:hAnsi="Times New Roman" w:eastAsia="宋体" w:cs="Times New Roman"/>
          <w:spacing w:val="-2"/>
          <w:sz w:val="24"/>
          <w:szCs w:val="24"/>
          <w:lang w:eastAsia="zh-CN"/>
        </w:rPr>
        <w:t>国际分工的形式(在世界贸易结</w:t>
      </w:r>
      <w:r>
        <w:rPr>
          <w:rFonts w:hint="default" w:ascii="Times New Roman" w:hAnsi="Times New Roman" w:eastAsia="宋体" w:cs="Times New Roman"/>
          <w:spacing w:val="-7"/>
          <w:sz w:val="24"/>
          <w:szCs w:val="24"/>
          <w:lang w:eastAsia="zh-CN"/>
        </w:rPr>
        <w:t>构中,“中心”根据自身的需要对“外围”加以改造)和“外围”增长的投资结构的</w:t>
      </w:r>
      <w:r>
        <w:rPr>
          <w:rFonts w:hint="default" w:ascii="Times New Roman" w:hAnsi="Times New Roman" w:eastAsia="宋体" w:cs="Times New Roman"/>
          <w:spacing w:val="5"/>
          <w:sz w:val="24"/>
          <w:szCs w:val="24"/>
          <w:lang w:eastAsia="zh-CN"/>
        </w:rPr>
        <w:t>依附方式(外国资本积累的原动力)表现出来。</w:t>
      </w:r>
      <w:r>
        <w:rPr>
          <w:rStyle w:val="20"/>
          <w:rFonts w:hint="default" w:ascii="Times New Roman" w:hAnsi="Times New Roman" w:eastAsia="宋体" w:cs="Times New Roman"/>
          <w:spacing w:val="5"/>
          <w:position w:val="5"/>
          <w:sz w:val="24"/>
          <w:szCs w:val="24"/>
          <w:lang w:eastAsia="zh-CN"/>
        </w:rPr>
        <w:footnoteReference w:id="361"/>
      </w:r>
    </w:p>
    <w:p w14:paraId="160EE7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0"/>
          <w:sz w:val="24"/>
          <w:szCs w:val="24"/>
          <w:lang w:eastAsia="zh-CN"/>
        </w:rPr>
        <w:t>关于国家分工秩序的解读,无论是以劳尔</w:t>
      </w:r>
      <w:r>
        <w:rPr>
          <w:rFonts w:hint="default" w:ascii="Times New Roman" w:hAnsi="Times New Roman" w:eastAsia="宋体" w:cs="Times New Roman"/>
          <w:spacing w:val="10"/>
          <w:position w:val="1"/>
          <w:sz w:val="24"/>
          <w:szCs w:val="24"/>
          <w:lang w:eastAsia="zh-CN"/>
        </w:rPr>
        <w:t>·</w:t>
      </w:r>
      <w:r>
        <w:rPr>
          <w:rFonts w:hint="default" w:ascii="Times New Roman" w:hAnsi="Times New Roman" w:eastAsia="宋体" w:cs="Times New Roman"/>
          <w:spacing w:val="10"/>
          <w:sz w:val="24"/>
          <w:szCs w:val="24"/>
          <w:lang w:eastAsia="zh-CN"/>
        </w:rPr>
        <w:t>普雷维什(</w:t>
      </w:r>
      <w:r>
        <w:rPr>
          <w:rFonts w:hint="default" w:ascii="Times New Roman" w:hAnsi="Times New Roman" w:eastAsia="宋体" w:cs="Times New Roman"/>
          <w:sz w:val="24"/>
          <w:szCs w:val="24"/>
          <w:lang w:eastAsia="zh-CN"/>
        </w:rPr>
        <w:t>R</w:t>
      </w:r>
      <w:r>
        <w:rPr>
          <w:rFonts w:hint="default" w:ascii="Times New Roman" w:hAnsi="Times New Roman" w:eastAsia="宋体" w:cs="Times New Roman"/>
          <w:position w:val="-2"/>
          <w:sz w:val="24"/>
          <w:szCs w:val="24"/>
          <w:lang w:eastAsia="zh-CN"/>
        </w:rPr>
        <w:t>aul</w:t>
      </w:r>
      <w:r>
        <w:rPr>
          <w:rFonts w:hint="eastAsia" w:ascii="Times New Roman" w:hAnsi="Times New Roman" w:eastAsia="宋体" w:cs="Times New Roman"/>
          <w:position w:val="-2"/>
          <w:sz w:val="24"/>
          <w:szCs w:val="24"/>
          <w:lang w:val="en-US" w:eastAsia="zh-CN"/>
        </w:rPr>
        <w:t xml:space="preserve"> </w:t>
      </w:r>
      <w:r>
        <w:rPr>
          <w:rFonts w:hint="default" w:ascii="Times New Roman" w:hAnsi="Times New Roman" w:eastAsia="宋体" w:cs="Times New Roman"/>
          <w:position w:val="-2"/>
          <w:sz w:val="24"/>
          <w:szCs w:val="24"/>
          <w:lang w:eastAsia="zh-CN"/>
        </w:rPr>
        <w:t>Prebisc</w:t>
      </w:r>
      <w:r>
        <w:rPr>
          <w:rFonts w:hint="default" w:ascii="Times New Roman" w:hAnsi="Times New Roman" w:eastAsia="宋体" w:cs="Times New Roman"/>
          <w:sz w:val="24"/>
          <w:szCs w:val="24"/>
          <w:lang w:eastAsia="zh-CN"/>
        </w:rPr>
        <w:t>h</w:t>
      </w:r>
      <w:r>
        <w:rPr>
          <w:rFonts w:hint="default" w:ascii="Times New Roman" w:hAnsi="Times New Roman" w:eastAsia="宋体" w:cs="Times New Roman"/>
          <w:spacing w:val="10"/>
          <w:sz w:val="24"/>
          <w:szCs w:val="24"/>
          <w:lang w:eastAsia="zh-CN"/>
        </w:rPr>
        <w:t>)</w:t>
      </w:r>
      <w:r>
        <w:rPr>
          <w:rFonts w:hint="default" w:ascii="Times New Roman" w:hAnsi="Times New Roman" w:eastAsia="宋体" w:cs="Times New Roman"/>
          <w:spacing w:val="10"/>
          <w:position w:val="1"/>
          <w:sz w:val="24"/>
          <w:szCs w:val="24"/>
          <w:lang w:eastAsia="zh-CN"/>
        </w:rPr>
        <w:t>、</w:t>
      </w:r>
      <w:r>
        <w:rPr>
          <w:rFonts w:hint="default" w:ascii="Times New Roman" w:hAnsi="Times New Roman" w:eastAsia="宋体" w:cs="Times New Roman"/>
          <w:spacing w:val="10"/>
          <w:sz w:val="24"/>
          <w:szCs w:val="24"/>
          <w:lang w:eastAsia="zh-CN"/>
        </w:rPr>
        <w:t>安</w:t>
      </w:r>
      <w:r>
        <w:rPr>
          <w:rFonts w:hint="default" w:ascii="Times New Roman" w:hAnsi="Times New Roman" w:eastAsia="宋体" w:cs="Times New Roman"/>
          <w:spacing w:val="24"/>
          <w:sz w:val="24"/>
          <w:szCs w:val="24"/>
          <w:lang w:eastAsia="zh-CN"/>
        </w:rPr>
        <w:t>德烈</w:t>
      </w:r>
      <w:r>
        <w:rPr>
          <w:rFonts w:hint="default" w:ascii="Times New Roman" w:hAnsi="Times New Roman" w:eastAsia="宋体" w:cs="Times New Roman"/>
          <w:spacing w:val="24"/>
          <w:position w:val="1"/>
          <w:sz w:val="24"/>
          <w:szCs w:val="24"/>
          <w:lang w:eastAsia="zh-CN"/>
        </w:rPr>
        <w:t>·</w:t>
      </w:r>
      <w:r>
        <w:rPr>
          <w:rFonts w:hint="default" w:ascii="Times New Roman" w:hAnsi="Times New Roman" w:eastAsia="宋体" w:cs="Times New Roman"/>
          <w:spacing w:val="24"/>
          <w:sz w:val="24"/>
          <w:szCs w:val="24"/>
          <w:lang w:eastAsia="zh-CN"/>
        </w:rPr>
        <w:t>贡德</w:t>
      </w:r>
      <w:r>
        <w:rPr>
          <w:rFonts w:hint="default" w:ascii="Times New Roman" w:hAnsi="Times New Roman" w:eastAsia="宋体" w:cs="Times New Roman"/>
          <w:spacing w:val="24"/>
          <w:position w:val="1"/>
          <w:sz w:val="24"/>
          <w:szCs w:val="24"/>
          <w:lang w:eastAsia="zh-CN"/>
        </w:rPr>
        <w:t>·</w:t>
      </w:r>
      <w:r>
        <w:rPr>
          <w:rFonts w:hint="default" w:ascii="Times New Roman" w:hAnsi="Times New Roman" w:eastAsia="宋体" w:cs="Times New Roman"/>
          <w:spacing w:val="24"/>
          <w:sz w:val="24"/>
          <w:szCs w:val="24"/>
          <w:lang w:eastAsia="zh-CN"/>
        </w:rPr>
        <w:t>弗兰克(</w:t>
      </w:r>
      <w:r>
        <w:rPr>
          <w:rFonts w:hint="default" w:ascii="Times New Roman" w:hAnsi="Times New Roman" w:eastAsia="宋体" w:cs="Times New Roman"/>
          <w:sz w:val="24"/>
          <w:szCs w:val="24"/>
          <w:lang w:eastAsia="zh-CN"/>
        </w:rPr>
        <w:t>A</w:t>
      </w:r>
      <w:r>
        <w:rPr>
          <w:rFonts w:hint="default" w:ascii="Times New Roman" w:hAnsi="Times New Roman" w:eastAsia="宋体" w:cs="Times New Roman"/>
          <w:position w:val="-1"/>
          <w:sz w:val="24"/>
          <w:szCs w:val="24"/>
          <w:lang w:eastAsia="zh-CN"/>
        </w:rPr>
        <w:t>ndre</w:t>
      </w:r>
      <w:r>
        <w:rPr>
          <w:rFonts w:hint="eastAsia" w:ascii="Times New Roman" w:hAnsi="Times New Roman" w:eastAsia="宋体" w:cs="Times New Roman"/>
          <w:position w:val="-1"/>
          <w:sz w:val="24"/>
          <w:szCs w:val="24"/>
          <w:lang w:val="en-US" w:eastAsia="zh-CN"/>
        </w:rPr>
        <w:t xml:space="preserve"> </w:t>
      </w:r>
      <w:r>
        <w:rPr>
          <w:rFonts w:hint="default" w:ascii="Times New Roman" w:hAnsi="Times New Roman" w:eastAsia="宋体" w:cs="Times New Roman"/>
          <w:position w:val="-1"/>
          <w:sz w:val="24"/>
          <w:szCs w:val="24"/>
          <w:lang w:eastAsia="zh-CN"/>
        </w:rPr>
        <w:t>Gunder</w:t>
      </w:r>
      <w:r>
        <w:rPr>
          <w:rFonts w:hint="eastAsia" w:ascii="Times New Roman" w:hAnsi="Times New Roman" w:eastAsia="宋体" w:cs="Times New Roman"/>
          <w:position w:val="-1"/>
          <w:sz w:val="24"/>
          <w:szCs w:val="24"/>
          <w:lang w:val="en-US" w:eastAsia="zh-CN"/>
        </w:rPr>
        <w:t xml:space="preserve"> </w:t>
      </w:r>
      <w:r>
        <w:rPr>
          <w:rFonts w:hint="default" w:ascii="Times New Roman" w:hAnsi="Times New Roman" w:eastAsia="宋体" w:cs="Times New Roman"/>
          <w:position w:val="-1"/>
          <w:sz w:val="24"/>
          <w:szCs w:val="24"/>
          <w:lang w:eastAsia="zh-CN"/>
        </w:rPr>
        <w:t>Fran</w:t>
      </w:r>
      <w:r>
        <w:rPr>
          <w:rFonts w:hint="default" w:ascii="Times New Roman" w:hAnsi="Times New Roman" w:eastAsia="宋体" w:cs="Times New Roman"/>
          <w:sz w:val="24"/>
          <w:szCs w:val="24"/>
          <w:lang w:eastAsia="zh-CN"/>
        </w:rPr>
        <w:t>k</w:t>
      </w:r>
      <w:r>
        <w:rPr>
          <w:rFonts w:hint="default" w:ascii="Times New Roman" w:hAnsi="Times New Roman" w:eastAsia="宋体" w:cs="Times New Roman"/>
          <w:spacing w:val="24"/>
          <w:sz w:val="24"/>
          <w:szCs w:val="24"/>
          <w:lang w:eastAsia="zh-CN"/>
        </w:rPr>
        <w:t>)</w:t>
      </w:r>
      <w:r>
        <w:rPr>
          <w:rFonts w:hint="default" w:ascii="Times New Roman" w:hAnsi="Times New Roman" w:eastAsia="宋体" w:cs="Times New Roman"/>
          <w:spacing w:val="24"/>
          <w:position w:val="1"/>
          <w:sz w:val="24"/>
          <w:szCs w:val="24"/>
          <w:lang w:eastAsia="zh-CN"/>
        </w:rPr>
        <w:t>、</w:t>
      </w:r>
      <w:r>
        <w:rPr>
          <w:rFonts w:hint="default" w:ascii="Times New Roman" w:hAnsi="Times New Roman" w:eastAsia="宋体" w:cs="Times New Roman"/>
          <w:spacing w:val="24"/>
          <w:sz w:val="24"/>
          <w:szCs w:val="24"/>
          <w:lang w:eastAsia="zh-CN"/>
        </w:rPr>
        <w:t>萨米尔</w:t>
      </w:r>
      <w:r>
        <w:rPr>
          <w:rFonts w:hint="default" w:ascii="Times New Roman" w:hAnsi="Times New Roman" w:eastAsia="宋体" w:cs="Times New Roman"/>
          <w:spacing w:val="24"/>
          <w:position w:val="1"/>
          <w:sz w:val="24"/>
          <w:szCs w:val="24"/>
          <w:lang w:eastAsia="zh-CN"/>
        </w:rPr>
        <w:t>·</w:t>
      </w:r>
      <w:r>
        <w:rPr>
          <w:rFonts w:hint="default" w:ascii="Times New Roman" w:hAnsi="Times New Roman" w:eastAsia="宋体" w:cs="Times New Roman"/>
          <w:spacing w:val="24"/>
          <w:sz w:val="24"/>
          <w:szCs w:val="24"/>
          <w:lang w:eastAsia="zh-CN"/>
        </w:rPr>
        <w:t>阿明(</w:t>
      </w:r>
      <w:r>
        <w:rPr>
          <w:rFonts w:hint="default" w:ascii="Times New Roman" w:hAnsi="Times New Roman" w:eastAsia="宋体" w:cs="Times New Roman"/>
          <w:sz w:val="24"/>
          <w:szCs w:val="24"/>
          <w:lang w:eastAsia="zh-CN"/>
        </w:rPr>
        <w:t>S</w:t>
      </w:r>
      <w:r>
        <w:rPr>
          <w:rFonts w:hint="default" w:ascii="Times New Roman" w:hAnsi="Times New Roman" w:eastAsia="宋体" w:cs="Times New Roman"/>
          <w:position w:val="-1"/>
          <w:sz w:val="24"/>
          <w:szCs w:val="24"/>
          <w:lang w:eastAsia="zh-CN"/>
        </w:rPr>
        <w:t>amir</w:t>
      </w:r>
      <w:r>
        <w:rPr>
          <w:rFonts w:hint="eastAsia" w:ascii="Times New Roman" w:hAnsi="Times New Roman" w:eastAsia="宋体" w:cs="Times New Roman"/>
          <w:position w:val="-1"/>
          <w:sz w:val="24"/>
          <w:szCs w:val="24"/>
          <w:lang w:val="en-US" w:eastAsia="zh-CN"/>
        </w:rPr>
        <w:t xml:space="preserve"> </w:t>
      </w:r>
      <w:r>
        <w:rPr>
          <w:rFonts w:hint="default" w:ascii="Times New Roman" w:hAnsi="Times New Roman" w:eastAsia="宋体" w:cs="Times New Roman"/>
          <w:position w:val="-1"/>
          <w:sz w:val="24"/>
          <w:szCs w:val="24"/>
          <w:lang w:eastAsia="zh-CN"/>
        </w:rPr>
        <w:t>Amin</w:t>
      </w:r>
      <w:r>
        <w:rPr>
          <w:rFonts w:hint="default" w:ascii="Times New Roman" w:hAnsi="Times New Roman" w:eastAsia="宋体" w:cs="Times New Roman"/>
          <w:spacing w:val="24"/>
          <w:position w:val="1"/>
          <w:sz w:val="24"/>
          <w:szCs w:val="24"/>
          <w:lang w:eastAsia="zh-CN"/>
        </w:rPr>
        <w:t>)、</w:t>
      </w:r>
      <w:r>
        <w:rPr>
          <w:rFonts w:hint="default" w:ascii="Times New Roman" w:hAnsi="Times New Roman" w:eastAsia="宋体" w:cs="Times New Roman"/>
          <w:spacing w:val="14"/>
          <w:sz w:val="24"/>
          <w:szCs w:val="24"/>
          <w:lang w:eastAsia="zh-CN"/>
        </w:rPr>
        <w:t>特奥托尼奥</w:t>
      </w:r>
      <w:r>
        <w:rPr>
          <w:rFonts w:hint="default" w:ascii="Times New Roman" w:hAnsi="Times New Roman" w:eastAsia="宋体" w:cs="Times New Roman"/>
          <w:spacing w:val="14"/>
          <w:position w:val="1"/>
          <w:sz w:val="24"/>
          <w:szCs w:val="24"/>
          <w:lang w:eastAsia="zh-CN"/>
        </w:rPr>
        <w:t>·</w:t>
      </w:r>
      <w:r>
        <w:rPr>
          <w:rFonts w:hint="default" w:ascii="Times New Roman" w:hAnsi="Times New Roman" w:eastAsia="宋体" w:cs="Times New Roman"/>
          <w:spacing w:val="14"/>
          <w:sz w:val="24"/>
          <w:szCs w:val="24"/>
          <w:lang w:eastAsia="zh-CN"/>
        </w:rPr>
        <w:t>多斯桑托斯(</w:t>
      </w:r>
      <w:r>
        <w:rPr>
          <w:rFonts w:hint="default" w:ascii="Times New Roman" w:hAnsi="Times New Roman" w:eastAsia="宋体" w:cs="Times New Roman"/>
          <w:sz w:val="24"/>
          <w:szCs w:val="24"/>
          <w:lang w:eastAsia="zh-CN"/>
        </w:rPr>
        <w:t>Th</w:t>
      </w:r>
      <w:r>
        <w:rPr>
          <w:rFonts w:hint="default" w:ascii="Times New Roman" w:hAnsi="Times New Roman" w:eastAsia="宋体" w:cs="Times New Roman"/>
          <w:position w:val="-2"/>
          <w:sz w:val="24"/>
          <w:szCs w:val="24"/>
          <w:lang w:eastAsia="zh-CN"/>
        </w:rPr>
        <w:t>eotonio</w:t>
      </w:r>
      <w:r>
        <w:rPr>
          <w:rFonts w:hint="eastAsia" w:ascii="Times New Roman" w:hAnsi="Times New Roman" w:eastAsia="宋体" w:cs="Times New Roman"/>
          <w:position w:val="-2"/>
          <w:sz w:val="24"/>
          <w:szCs w:val="24"/>
          <w:lang w:val="en-US" w:eastAsia="zh-CN"/>
        </w:rPr>
        <w:t xml:space="preserve"> </w:t>
      </w:r>
      <w:r>
        <w:rPr>
          <w:rFonts w:hint="default" w:ascii="Times New Roman" w:hAnsi="Times New Roman" w:eastAsia="宋体" w:cs="Times New Roman"/>
          <w:position w:val="-2"/>
          <w:sz w:val="24"/>
          <w:szCs w:val="24"/>
          <w:lang w:eastAsia="zh-CN"/>
        </w:rPr>
        <w:t>Dos</w:t>
      </w:r>
      <w:r>
        <w:rPr>
          <w:rFonts w:hint="eastAsia" w:ascii="Times New Roman" w:hAnsi="Times New Roman" w:eastAsia="宋体" w:cs="Times New Roman"/>
          <w:position w:val="-2"/>
          <w:sz w:val="24"/>
          <w:szCs w:val="24"/>
          <w:lang w:val="en-US" w:eastAsia="zh-CN"/>
        </w:rPr>
        <w:t xml:space="preserve"> </w:t>
      </w:r>
      <w:r>
        <w:rPr>
          <w:rFonts w:hint="default" w:ascii="Times New Roman" w:hAnsi="Times New Roman" w:eastAsia="宋体" w:cs="Times New Roman"/>
          <w:position w:val="-2"/>
          <w:sz w:val="24"/>
          <w:szCs w:val="24"/>
          <w:lang w:eastAsia="zh-CN"/>
        </w:rPr>
        <w:t>Santos</w:t>
      </w:r>
      <w:r>
        <w:rPr>
          <w:rFonts w:hint="default" w:ascii="Times New Roman" w:hAnsi="Times New Roman" w:eastAsia="宋体" w:cs="Times New Roman"/>
          <w:spacing w:val="14"/>
          <w:position w:val="1"/>
          <w:sz w:val="24"/>
          <w:szCs w:val="24"/>
          <w:lang w:eastAsia="zh-CN"/>
        </w:rPr>
        <w:t>)、</w:t>
      </w:r>
      <w:r>
        <w:rPr>
          <w:rFonts w:hint="default" w:ascii="Times New Roman" w:hAnsi="Times New Roman" w:eastAsia="宋体" w:cs="Times New Roman"/>
          <w:spacing w:val="14"/>
          <w:sz w:val="24"/>
          <w:szCs w:val="24"/>
          <w:lang w:eastAsia="zh-CN"/>
        </w:rPr>
        <w:t>费尔南多</w:t>
      </w:r>
      <w:r>
        <w:rPr>
          <w:rFonts w:hint="default" w:ascii="Times New Roman" w:hAnsi="Times New Roman" w:eastAsia="宋体" w:cs="Times New Roman"/>
          <w:spacing w:val="14"/>
          <w:position w:val="1"/>
          <w:sz w:val="24"/>
          <w:szCs w:val="24"/>
          <w:lang w:eastAsia="zh-CN"/>
        </w:rPr>
        <w:t>·</w:t>
      </w:r>
      <w:r>
        <w:rPr>
          <w:rFonts w:hint="default" w:ascii="Times New Roman" w:hAnsi="Times New Roman" w:eastAsia="宋体" w:cs="Times New Roman"/>
          <w:spacing w:val="13"/>
          <w:sz w:val="24"/>
          <w:szCs w:val="24"/>
          <w:lang w:eastAsia="zh-CN"/>
        </w:rPr>
        <w:t>卡多索(</w:t>
      </w:r>
      <w:r>
        <w:rPr>
          <w:rFonts w:hint="default" w:ascii="Times New Roman" w:hAnsi="Times New Roman" w:eastAsia="宋体" w:cs="Times New Roman"/>
          <w:sz w:val="24"/>
          <w:szCs w:val="24"/>
          <w:lang w:eastAsia="zh-CN"/>
        </w:rPr>
        <w:t>Fer</w:t>
      </w:r>
      <w:r>
        <w:rPr>
          <w:rFonts w:hint="default" w:ascii="Times New Roman" w:hAnsi="Times New Roman" w:eastAsia="宋体" w:cs="Times New Roman"/>
          <w:spacing w:val="13"/>
          <w:position w:val="-2"/>
          <w:sz w:val="24"/>
          <w:szCs w:val="24"/>
          <w:lang w:eastAsia="zh-CN"/>
        </w:rPr>
        <w:t>-</w:t>
      </w:r>
      <w:r>
        <w:rPr>
          <w:rFonts w:hint="default" w:ascii="Times New Roman" w:hAnsi="Times New Roman" w:eastAsia="宋体" w:cs="Times New Roman"/>
          <w:position w:val="-2"/>
          <w:sz w:val="24"/>
          <w:szCs w:val="24"/>
          <w:lang w:eastAsia="zh-CN"/>
        </w:rPr>
        <w:t>nando</w:t>
      </w:r>
      <w:r>
        <w:rPr>
          <w:rFonts w:hint="eastAsia" w:ascii="Times New Roman" w:hAnsi="Times New Roman" w:eastAsia="宋体" w:cs="Times New Roman"/>
          <w:position w:val="-2"/>
          <w:sz w:val="24"/>
          <w:szCs w:val="24"/>
          <w:lang w:val="en-US" w:eastAsia="zh-CN"/>
        </w:rPr>
        <w:t xml:space="preserve"> </w:t>
      </w:r>
      <w:r>
        <w:rPr>
          <w:rFonts w:hint="default" w:ascii="Times New Roman" w:hAnsi="Times New Roman" w:eastAsia="宋体" w:cs="Times New Roman"/>
          <w:position w:val="-2"/>
          <w:sz w:val="24"/>
          <w:szCs w:val="24"/>
          <w:lang w:eastAsia="zh-CN"/>
        </w:rPr>
        <w:t>Cardozo</w:t>
      </w:r>
      <w:r>
        <w:rPr>
          <w:rFonts w:hint="default" w:ascii="Times New Roman" w:hAnsi="Times New Roman" w:eastAsia="宋体" w:cs="Times New Roman"/>
          <w:spacing w:val="10"/>
          <w:sz w:val="24"/>
          <w:szCs w:val="24"/>
          <w:lang w:eastAsia="zh-CN"/>
        </w:rPr>
        <w:t>)为代表的依附论者</w:t>
      </w:r>
      <w:r>
        <w:rPr>
          <w:rStyle w:val="20"/>
          <w:rFonts w:hint="default" w:ascii="Times New Roman" w:hAnsi="Times New Roman" w:eastAsia="宋体" w:cs="Times New Roman"/>
          <w:spacing w:val="10"/>
          <w:sz w:val="24"/>
          <w:szCs w:val="24"/>
          <w:lang w:eastAsia="zh-CN"/>
        </w:rPr>
        <w:footnoteReference w:id="362"/>
      </w:r>
      <w:r>
        <w:rPr>
          <w:rFonts w:hint="default" w:ascii="Times New Roman" w:hAnsi="Times New Roman" w:eastAsia="宋体" w:cs="Times New Roman"/>
          <w:spacing w:val="10"/>
          <w:position w:val="1"/>
          <w:sz w:val="24"/>
          <w:szCs w:val="24"/>
          <w:lang w:eastAsia="zh-CN"/>
        </w:rPr>
        <w:t>,</w:t>
      </w:r>
      <w:r>
        <w:rPr>
          <w:rFonts w:hint="default" w:ascii="Times New Roman" w:hAnsi="Times New Roman" w:eastAsia="宋体" w:cs="Times New Roman"/>
          <w:spacing w:val="10"/>
          <w:sz w:val="24"/>
          <w:szCs w:val="24"/>
          <w:lang w:eastAsia="zh-CN"/>
        </w:rPr>
        <w:t>还是以伊曼纽尔</w:t>
      </w:r>
      <w:r>
        <w:rPr>
          <w:rFonts w:hint="default" w:ascii="Times New Roman" w:hAnsi="Times New Roman" w:eastAsia="宋体" w:cs="Times New Roman"/>
          <w:spacing w:val="10"/>
          <w:position w:val="1"/>
          <w:sz w:val="24"/>
          <w:szCs w:val="24"/>
          <w:lang w:eastAsia="zh-CN"/>
        </w:rPr>
        <w:t>·</w:t>
      </w:r>
      <w:r>
        <w:rPr>
          <w:rFonts w:hint="default" w:ascii="Times New Roman" w:hAnsi="Times New Roman" w:eastAsia="宋体" w:cs="Times New Roman"/>
          <w:spacing w:val="10"/>
          <w:sz w:val="24"/>
          <w:szCs w:val="24"/>
          <w:lang w:eastAsia="zh-CN"/>
        </w:rPr>
        <w:t>沃勒斯坦(</w:t>
      </w:r>
      <w:r>
        <w:rPr>
          <w:rFonts w:hint="default" w:ascii="Times New Roman" w:hAnsi="Times New Roman" w:eastAsia="宋体" w:cs="Times New Roman"/>
          <w:sz w:val="24"/>
          <w:szCs w:val="24"/>
          <w:lang w:eastAsia="zh-CN"/>
        </w:rPr>
        <w:t>Immanue</w:t>
      </w:r>
      <w:r>
        <w:rPr>
          <w:rFonts w:hint="default" w:ascii="Times New Roman" w:hAnsi="Times New Roman" w:eastAsia="宋体" w:cs="Times New Roman"/>
          <w:position w:val="-2"/>
          <w:sz w:val="24"/>
          <w:szCs w:val="24"/>
          <w:lang w:eastAsia="zh-CN"/>
        </w:rPr>
        <w:t>l</w:t>
      </w:r>
      <w:r>
        <w:rPr>
          <w:rFonts w:hint="eastAsia" w:ascii="Times New Roman" w:hAnsi="Times New Roman" w:eastAsia="宋体" w:cs="Times New Roman"/>
          <w:position w:val="-2"/>
          <w:sz w:val="24"/>
          <w:szCs w:val="24"/>
          <w:lang w:val="en-US" w:eastAsia="zh-CN"/>
        </w:rPr>
        <w:t xml:space="preserve"> </w:t>
      </w:r>
      <w:r>
        <w:rPr>
          <w:rFonts w:hint="default" w:ascii="Times New Roman" w:hAnsi="Times New Roman" w:eastAsia="宋体" w:cs="Times New Roman"/>
          <w:position w:val="-2"/>
          <w:sz w:val="24"/>
          <w:szCs w:val="24"/>
          <w:lang w:eastAsia="zh-CN"/>
        </w:rPr>
        <w:t>Wallerstein</w:t>
      </w:r>
      <w:r>
        <w:rPr>
          <w:rFonts w:hint="default" w:ascii="Times New Roman" w:hAnsi="Times New Roman" w:eastAsia="宋体" w:cs="Times New Roman"/>
          <w:spacing w:val="10"/>
          <w:sz w:val="24"/>
          <w:szCs w:val="24"/>
          <w:lang w:eastAsia="zh-CN"/>
        </w:rPr>
        <w:t>)为代表的世界体系论者,虽然对国家与国家之间的关系进行了结</w:t>
      </w:r>
      <w:r>
        <w:rPr>
          <w:rFonts w:hint="default" w:ascii="Times New Roman" w:hAnsi="Times New Roman" w:eastAsia="宋体" w:cs="Times New Roman"/>
          <w:spacing w:val="-1"/>
          <w:sz w:val="24"/>
          <w:szCs w:val="24"/>
          <w:lang w:eastAsia="zh-CN"/>
        </w:rPr>
        <w:t>构化的解读,并从“中心—外围”发展到“中心—半外围—外围”的结构,但</w:t>
      </w:r>
      <w:r>
        <w:rPr>
          <w:rFonts w:hint="default" w:ascii="Times New Roman" w:hAnsi="Times New Roman" w:eastAsia="宋体" w:cs="Times New Roman"/>
          <w:spacing w:val="-2"/>
          <w:sz w:val="24"/>
          <w:szCs w:val="24"/>
          <w:lang w:eastAsia="zh-CN"/>
        </w:rPr>
        <w:t>是都</w:t>
      </w:r>
      <w:r>
        <w:rPr>
          <w:rFonts w:hint="default" w:ascii="Times New Roman" w:hAnsi="Times New Roman" w:eastAsia="宋体" w:cs="Times New Roman"/>
          <w:spacing w:val="15"/>
          <w:sz w:val="24"/>
          <w:szCs w:val="24"/>
          <w:lang w:eastAsia="zh-CN"/>
        </w:rPr>
        <w:t>未能上升到生产层面解释资本权力不对等的根源。按照马克</w:t>
      </w:r>
      <w:r>
        <w:rPr>
          <w:rFonts w:hint="default" w:ascii="Times New Roman" w:hAnsi="Times New Roman" w:eastAsia="宋体" w:cs="Times New Roman"/>
          <w:spacing w:val="14"/>
          <w:sz w:val="24"/>
          <w:szCs w:val="24"/>
          <w:lang w:eastAsia="zh-CN"/>
        </w:rPr>
        <w:t>思主义分工理</w:t>
      </w:r>
      <w:r>
        <w:rPr>
          <w:rFonts w:hint="default" w:ascii="Times New Roman" w:hAnsi="Times New Roman" w:eastAsia="宋体" w:cs="Times New Roman"/>
          <w:spacing w:val="10"/>
          <w:sz w:val="24"/>
          <w:szCs w:val="24"/>
          <w:lang w:eastAsia="zh-CN"/>
        </w:rPr>
        <w:t>论,分工的演化结果由居于统治地位的生产方式的性质所决定,资本主义</w:t>
      </w:r>
      <w:r>
        <w:rPr>
          <w:rFonts w:hint="default" w:ascii="Times New Roman" w:hAnsi="Times New Roman" w:eastAsia="宋体" w:cs="Times New Roman"/>
          <w:spacing w:val="9"/>
          <w:sz w:val="24"/>
          <w:szCs w:val="24"/>
          <w:lang w:eastAsia="zh-CN"/>
        </w:rPr>
        <w:t>国家</w:t>
      </w:r>
      <w:r>
        <w:rPr>
          <w:rFonts w:hint="default" w:ascii="Times New Roman" w:hAnsi="Times New Roman" w:eastAsia="宋体" w:cs="Times New Roman"/>
          <w:spacing w:val="8"/>
          <w:sz w:val="24"/>
          <w:szCs w:val="24"/>
          <w:lang w:eastAsia="zh-CN"/>
        </w:rPr>
        <w:t>主导的国际分工秩序反映了资本主义生产力与生产关系的内生矛盾。“中心”与“外围”国家的结构化,本质上是中心国家资</w:t>
      </w:r>
      <w:r>
        <w:rPr>
          <w:rFonts w:hint="default" w:ascii="Times New Roman" w:hAnsi="Times New Roman" w:eastAsia="宋体" w:cs="Times New Roman"/>
          <w:spacing w:val="7"/>
          <w:sz w:val="24"/>
          <w:szCs w:val="24"/>
          <w:lang w:eastAsia="zh-CN"/>
        </w:rPr>
        <w:t>本主义生产方式内在矛盾的反</w:t>
      </w:r>
      <w:r>
        <w:rPr>
          <w:rFonts w:hint="default" w:ascii="Times New Roman" w:hAnsi="Times New Roman" w:eastAsia="宋体" w:cs="Times New Roman"/>
          <w:spacing w:val="13"/>
          <w:sz w:val="24"/>
          <w:szCs w:val="24"/>
          <w:lang w:eastAsia="zh-CN"/>
        </w:rPr>
        <w:t>映。在中心国家资本主义生产方式下,资本的逻辑本身就蕴含着资本</w:t>
      </w:r>
      <w:r>
        <w:rPr>
          <w:rFonts w:hint="default" w:ascii="Times New Roman" w:hAnsi="Times New Roman" w:eastAsia="宋体" w:cs="Times New Roman"/>
          <w:spacing w:val="12"/>
          <w:sz w:val="24"/>
          <w:szCs w:val="24"/>
          <w:lang w:eastAsia="zh-CN"/>
        </w:rPr>
        <w:t>逻辑内部各要素之间的张力,当价值生产与价值实现之间的矛盾不可调和时,在资本</w:t>
      </w:r>
      <w:r>
        <w:rPr>
          <w:rFonts w:hint="default" w:ascii="Times New Roman" w:hAnsi="Times New Roman" w:eastAsia="宋体" w:cs="Times New Roman"/>
          <w:spacing w:val="14"/>
          <w:sz w:val="24"/>
          <w:szCs w:val="24"/>
          <w:lang w:eastAsia="zh-CN"/>
        </w:rPr>
        <w:t>积累压力的驱动下,这种致力于缓和中心国家利润率趋向下降而进行</w:t>
      </w:r>
      <w:r>
        <w:rPr>
          <w:rFonts w:hint="default" w:ascii="Times New Roman" w:hAnsi="Times New Roman" w:eastAsia="宋体" w:cs="Times New Roman"/>
          <w:spacing w:val="13"/>
          <w:sz w:val="24"/>
          <w:szCs w:val="24"/>
          <w:lang w:eastAsia="zh-CN"/>
        </w:rPr>
        <w:t>的向外</w:t>
      </w:r>
      <w:r>
        <w:rPr>
          <w:rFonts w:hint="default" w:ascii="Times New Roman" w:hAnsi="Times New Roman" w:eastAsia="宋体" w:cs="Times New Roman"/>
          <w:spacing w:val="12"/>
          <w:sz w:val="24"/>
          <w:szCs w:val="24"/>
          <w:lang w:eastAsia="zh-CN"/>
        </w:rPr>
        <w:t>围国家的空间延展,使发展中国家被纳入扩大了的世界资本主义体系中,被动</w:t>
      </w:r>
      <w:r>
        <w:rPr>
          <w:rFonts w:hint="default" w:ascii="Times New Roman" w:hAnsi="Times New Roman" w:eastAsia="宋体" w:cs="Times New Roman"/>
          <w:spacing w:val="11"/>
          <w:sz w:val="24"/>
          <w:szCs w:val="24"/>
          <w:lang w:eastAsia="zh-CN"/>
        </w:rPr>
        <w:t>承载了解决资本主义生产方式矛盾的重任,当然这种南辕北辙的解决方式只</w:t>
      </w:r>
      <w:r>
        <w:rPr>
          <w:rFonts w:hint="default" w:ascii="Times New Roman" w:hAnsi="Times New Roman" w:eastAsia="宋体" w:cs="Times New Roman"/>
          <w:spacing w:val="12"/>
          <w:sz w:val="24"/>
          <w:szCs w:val="24"/>
          <w:lang w:eastAsia="zh-CN"/>
        </w:rPr>
        <w:t>是造成结构化特征,而无助于发达国家矛盾的解决,更无助于发展</w:t>
      </w:r>
      <w:r>
        <w:rPr>
          <w:rFonts w:hint="default" w:ascii="Times New Roman" w:hAnsi="Times New Roman" w:eastAsia="宋体" w:cs="Times New Roman"/>
          <w:spacing w:val="11"/>
          <w:sz w:val="24"/>
          <w:szCs w:val="24"/>
          <w:lang w:eastAsia="zh-CN"/>
        </w:rPr>
        <w:t>中国家自身</w:t>
      </w:r>
      <w:r>
        <w:rPr>
          <w:rFonts w:hint="default" w:ascii="Times New Roman" w:hAnsi="Times New Roman" w:eastAsia="宋体" w:cs="Times New Roman"/>
          <w:spacing w:val="7"/>
          <w:sz w:val="24"/>
          <w:szCs w:val="24"/>
          <w:lang w:eastAsia="zh-CN"/>
        </w:rPr>
        <w:t>的经济发展。因此,按照马克思主义的分工理论,当前国际分工秩序的本质是资本主义生产方式内在矛盾的反映,“中心—外围”的结构化特征只是一</w:t>
      </w:r>
      <w:r>
        <w:rPr>
          <w:rFonts w:hint="default" w:ascii="Times New Roman" w:hAnsi="Times New Roman" w:eastAsia="宋体" w:cs="Times New Roman"/>
          <w:spacing w:val="6"/>
          <w:sz w:val="24"/>
          <w:szCs w:val="24"/>
          <w:lang w:eastAsia="zh-CN"/>
        </w:rPr>
        <w:t>种表</w:t>
      </w:r>
      <w:r>
        <w:rPr>
          <w:rFonts w:hint="default" w:ascii="Times New Roman" w:hAnsi="Times New Roman" w:eastAsia="宋体" w:cs="Times New Roman"/>
          <w:spacing w:val="10"/>
          <w:sz w:val="24"/>
          <w:szCs w:val="24"/>
          <w:lang w:eastAsia="zh-CN"/>
        </w:rPr>
        <w:t>现形式。相信经过2008年金融危机以及后来的欧债危机,再加上本次新冠肺</w:t>
      </w:r>
      <w:r>
        <w:rPr>
          <w:rFonts w:hint="default" w:ascii="Times New Roman" w:hAnsi="Times New Roman" w:eastAsia="宋体" w:cs="Times New Roman"/>
          <w:spacing w:val="12"/>
          <w:sz w:val="24"/>
          <w:szCs w:val="24"/>
          <w:lang w:eastAsia="zh-CN"/>
        </w:rPr>
        <w:t>炎全球大流行的重创,人们会对以新自由主义霸权为基础的国际分工秩序的</w:t>
      </w:r>
      <w:r>
        <w:rPr>
          <w:rFonts w:hint="default" w:ascii="Times New Roman" w:hAnsi="Times New Roman" w:eastAsia="宋体" w:cs="Times New Roman"/>
          <w:spacing w:val="7"/>
          <w:sz w:val="24"/>
          <w:szCs w:val="24"/>
          <w:lang w:eastAsia="zh-CN"/>
        </w:rPr>
        <w:t>本质认识得更加深入。</w:t>
      </w:r>
    </w:p>
    <w:p w14:paraId="79446E9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0"/>
          <w:sz w:val="24"/>
          <w:szCs w:val="24"/>
          <w:lang w:eastAsia="zh-CN"/>
        </w:rPr>
        <w:t>(二)拓展了对中国在全球价值链中的产品内分工及其超越的认识</w:t>
      </w:r>
    </w:p>
    <w:p w14:paraId="3DAA7DA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如果说对国际分工秩序的认识是从宏观视角来解读的,从全</w:t>
      </w:r>
      <w:r>
        <w:rPr>
          <w:rFonts w:hint="default" w:ascii="Times New Roman" w:hAnsi="Times New Roman" w:eastAsia="宋体" w:cs="Times New Roman"/>
          <w:spacing w:val="13"/>
          <w:sz w:val="24"/>
          <w:szCs w:val="24"/>
          <w:lang w:eastAsia="zh-CN"/>
        </w:rPr>
        <w:t>球价值链的</w:t>
      </w:r>
      <w:r>
        <w:rPr>
          <w:rFonts w:hint="default" w:ascii="Times New Roman" w:hAnsi="Times New Roman" w:eastAsia="宋体" w:cs="Times New Roman"/>
          <w:spacing w:val="6"/>
          <w:sz w:val="24"/>
          <w:szCs w:val="24"/>
          <w:lang w:eastAsia="zh-CN"/>
        </w:rPr>
        <w:t>产品内分工的认识则是从微观视角来解读的。当前发展中国家企业融入全球</w:t>
      </w:r>
      <w:r>
        <w:rPr>
          <w:rFonts w:hint="default" w:ascii="Times New Roman" w:hAnsi="Times New Roman" w:eastAsia="宋体" w:cs="Times New Roman"/>
          <w:spacing w:val="14"/>
          <w:sz w:val="24"/>
          <w:szCs w:val="24"/>
          <w:lang w:eastAsia="zh-CN"/>
        </w:rPr>
        <w:t>化,由以最终产品的分工和交换为研究对象的产业间和</w:t>
      </w:r>
      <w:r>
        <w:rPr>
          <w:rFonts w:hint="default" w:ascii="Times New Roman" w:hAnsi="Times New Roman" w:eastAsia="宋体" w:cs="Times New Roman"/>
          <w:spacing w:val="13"/>
          <w:sz w:val="24"/>
          <w:szCs w:val="24"/>
          <w:lang w:eastAsia="zh-CN"/>
        </w:rPr>
        <w:t>产业内分工过渡到以</w:t>
      </w:r>
      <w:r>
        <w:rPr>
          <w:rFonts w:hint="default" w:ascii="Times New Roman" w:hAnsi="Times New Roman" w:eastAsia="宋体" w:cs="Times New Roman"/>
          <w:spacing w:val="7"/>
          <w:sz w:val="24"/>
          <w:szCs w:val="24"/>
          <w:lang w:eastAsia="zh-CN"/>
        </w:rPr>
        <w:t>中间产品为分析对象的产品内分工。</w:t>
      </w:r>
      <w:r>
        <w:rPr>
          <w:rStyle w:val="20"/>
          <w:rFonts w:hint="default" w:ascii="Times New Roman" w:hAnsi="Times New Roman" w:eastAsia="宋体" w:cs="Times New Roman"/>
          <w:spacing w:val="7"/>
          <w:sz w:val="24"/>
          <w:szCs w:val="24"/>
          <w:lang w:eastAsia="zh-CN"/>
        </w:rPr>
        <w:footnoteReference w:id="363"/>
      </w:r>
      <w:r>
        <w:rPr>
          <w:rFonts w:hint="default" w:ascii="Times New Roman" w:hAnsi="Times New Roman" w:eastAsia="宋体" w:cs="Times New Roman"/>
          <w:spacing w:val="7"/>
          <w:sz w:val="24"/>
          <w:szCs w:val="24"/>
          <w:lang w:eastAsia="zh-CN"/>
        </w:rPr>
        <w:t>这种产品内的工序分工打破了</w:t>
      </w:r>
      <w:r>
        <w:rPr>
          <w:rFonts w:hint="default" w:ascii="Times New Roman" w:hAnsi="Times New Roman" w:eastAsia="宋体" w:cs="Times New Roman"/>
          <w:spacing w:val="6"/>
          <w:sz w:val="24"/>
          <w:szCs w:val="24"/>
          <w:lang w:eastAsia="zh-CN"/>
        </w:rPr>
        <w:t>原来一</w:t>
      </w:r>
      <w:r>
        <w:rPr>
          <w:rFonts w:hint="default" w:ascii="Times New Roman" w:hAnsi="Times New Roman" w:eastAsia="宋体" w:cs="Times New Roman"/>
          <w:spacing w:val="13"/>
          <w:sz w:val="24"/>
          <w:szCs w:val="24"/>
          <w:lang w:eastAsia="zh-CN"/>
        </w:rPr>
        <w:t>体化的企业组织结构,实现了垂直分离。全球价值链分为</w:t>
      </w:r>
      <w:r>
        <w:rPr>
          <w:rFonts w:hint="default" w:ascii="Times New Roman" w:hAnsi="Times New Roman" w:eastAsia="宋体" w:cs="Times New Roman"/>
          <w:spacing w:val="12"/>
          <w:sz w:val="24"/>
          <w:szCs w:val="24"/>
          <w:lang w:eastAsia="zh-CN"/>
        </w:rPr>
        <w:t>生产者驱动和购买</w:t>
      </w:r>
      <w:r>
        <w:rPr>
          <w:rFonts w:hint="default" w:ascii="Times New Roman" w:hAnsi="Times New Roman" w:eastAsia="宋体" w:cs="Times New Roman"/>
          <w:spacing w:val="18"/>
          <w:sz w:val="24"/>
          <w:szCs w:val="24"/>
          <w:lang w:eastAsia="zh-CN"/>
        </w:rPr>
        <w:t>者驱动两种,无论是以生产型跨国公司为主导,还是以销售型跨国公司为主</w:t>
      </w:r>
      <w:r>
        <w:rPr>
          <w:rFonts w:hint="default" w:ascii="Times New Roman" w:hAnsi="Times New Roman" w:eastAsia="宋体" w:cs="Times New Roman"/>
          <w:spacing w:val="12"/>
          <w:sz w:val="24"/>
          <w:szCs w:val="24"/>
          <w:lang w:eastAsia="zh-CN"/>
        </w:rPr>
        <w:t>导,都是发达国家跨国公司在新一轮全球价值体系重构中,所构建的价</w:t>
      </w:r>
      <w:r>
        <w:rPr>
          <w:rFonts w:hint="default" w:ascii="Times New Roman" w:hAnsi="Times New Roman" w:eastAsia="宋体" w:cs="Times New Roman"/>
          <w:spacing w:val="11"/>
          <w:sz w:val="24"/>
          <w:szCs w:val="24"/>
          <w:lang w:eastAsia="zh-CN"/>
        </w:rPr>
        <w:t>值攫取</w:t>
      </w:r>
      <w:r>
        <w:rPr>
          <w:rFonts w:hint="default" w:ascii="Times New Roman" w:hAnsi="Times New Roman" w:eastAsia="宋体" w:cs="Times New Roman"/>
          <w:spacing w:val="13"/>
          <w:sz w:val="24"/>
          <w:szCs w:val="24"/>
          <w:lang w:eastAsia="zh-CN"/>
        </w:rPr>
        <w:t>工具,是发达国家跨国公司全球战略意图与核心竞争力的</w:t>
      </w:r>
      <w:r>
        <w:rPr>
          <w:rFonts w:hint="default" w:ascii="Times New Roman" w:hAnsi="Times New Roman" w:eastAsia="宋体" w:cs="Times New Roman"/>
          <w:spacing w:val="12"/>
          <w:sz w:val="24"/>
          <w:szCs w:val="24"/>
          <w:lang w:eastAsia="zh-CN"/>
        </w:rPr>
        <w:t>组织载体。这些跨</w:t>
      </w:r>
      <w:r>
        <w:rPr>
          <w:rFonts w:hint="default" w:ascii="Times New Roman" w:hAnsi="Times New Roman" w:eastAsia="宋体" w:cs="Times New Roman"/>
          <w:spacing w:val="10"/>
          <w:sz w:val="24"/>
          <w:szCs w:val="24"/>
          <w:lang w:eastAsia="zh-CN"/>
        </w:rPr>
        <w:t>国公司凭借资本优势,积极推动市场换技术,通过套牢、锁定代工企业,建立稳</w:t>
      </w:r>
      <w:r>
        <w:rPr>
          <w:rFonts w:hint="default" w:ascii="Times New Roman" w:hAnsi="Times New Roman" w:eastAsia="宋体" w:cs="Times New Roman"/>
          <w:spacing w:val="-3"/>
          <w:sz w:val="24"/>
          <w:szCs w:val="24"/>
          <w:lang w:eastAsia="zh-CN"/>
        </w:rPr>
        <w:t>定的价值体系,寻求包括“低成本、高质量、弹性供应”的多维关系绩效。同时,</w:t>
      </w:r>
      <w:r>
        <w:rPr>
          <w:rFonts w:hint="default" w:ascii="Times New Roman" w:hAnsi="Times New Roman" w:eastAsia="宋体" w:cs="Times New Roman"/>
          <w:spacing w:val="12"/>
          <w:sz w:val="24"/>
          <w:szCs w:val="24"/>
          <w:lang w:eastAsia="zh-CN"/>
        </w:rPr>
        <w:t>发展中国家长期代工所积累的生产制造能力,</w:t>
      </w:r>
      <w:r>
        <w:rPr>
          <w:rFonts w:hint="default" w:ascii="Times New Roman" w:hAnsi="Times New Roman" w:eastAsia="宋体" w:cs="Times New Roman"/>
          <w:spacing w:val="11"/>
          <w:sz w:val="24"/>
          <w:szCs w:val="24"/>
          <w:lang w:eastAsia="zh-CN"/>
        </w:rPr>
        <w:t>使得代工企业自身也形成了路径依赖,由于多数企业通过贴牌代工的方式融入全球价值链,代工企业</w:t>
      </w:r>
      <w:r>
        <w:rPr>
          <w:rFonts w:hint="default" w:ascii="Times New Roman" w:hAnsi="Times New Roman" w:eastAsia="宋体" w:cs="Times New Roman"/>
          <w:spacing w:val="10"/>
          <w:sz w:val="24"/>
          <w:szCs w:val="24"/>
          <w:lang w:eastAsia="zh-CN"/>
        </w:rPr>
        <w:t>只需按</w:t>
      </w:r>
      <w:r>
        <w:rPr>
          <w:rFonts w:hint="default" w:ascii="Times New Roman" w:hAnsi="Times New Roman" w:eastAsia="宋体" w:cs="Times New Roman"/>
          <w:spacing w:val="12"/>
          <w:sz w:val="24"/>
          <w:szCs w:val="24"/>
          <w:lang w:eastAsia="zh-CN"/>
        </w:rPr>
        <w:t>照跨国公司的外包订单要求,从事简单的生产加工,完全不用考虑价值</w:t>
      </w:r>
      <w:r>
        <w:rPr>
          <w:rFonts w:hint="default" w:ascii="Times New Roman" w:hAnsi="Times New Roman" w:eastAsia="宋体" w:cs="Times New Roman"/>
          <w:spacing w:val="11"/>
          <w:sz w:val="24"/>
          <w:szCs w:val="24"/>
          <w:lang w:eastAsia="zh-CN"/>
        </w:rPr>
        <w:t>链两端</w:t>
      </w:r>
      <w:r>
        <w:rPr>
          <w:rFonts w:hint="default" w:ascii="Times New Roman" w:hAnsi="Times New Roman" w:eastAsia="宋体" w:cs="Times New Roman"/>
          <w:spacing w:val="6"/>
          <w:sz w:val="24"/>
          <w:szCs w:val="24"/>
          <w:lang w:eastAsia="zh-CN"/>
        </w:rPr>
        <w:t>的研发设计和营销服务等环节,被动等待订单。</w:t>
      </w:r>
      <w:r>
        <w:rPr>
          <w:rStyle w:val="20"/>
          <w:rFonts w:hint="default" w:ascii="Times New Roman" w:hAnsi="Times New Roman" w:eastAsia="宋体" w:cs="Times New Roman"/>
          <w:spacing w:val="6"/>
          <w:sz w:val="24"/>
          <w:szCs w:val="24"/>
          <w:lang w:eastAsia="zh-CN"/>
        </w:rPr>
        <w:footnoteReference w:id="364"/>
      </w:r>
    </w:p>
    <w:p w14:paraId="564DB1E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全球价值链理论虽然明晰了不同企业在产品内分工中的角</w:t>
      </w:r>
      <w:r>
        <w:rPr>
          <w:rFonts w:hint="default" w:ascii="Times New Roman" w:hAnsi="Times New Roman" w:eastAsia="宋体" w:cs="Times New Roman"/>
          <w:spacing w:val="10"/>
          <w:sz w:val="24"/>
          <w:szCs w:val="24"/>
          <w:lang w:eastAsia="zh-CN"/>
        </w:rPr>
        <w:t>色,但是脱离</w:t>
      </w:r>
      <w:r>
        <w:rPr>
          <w:rFonts w:hint="default" w:ascii="Times New Roman" w:hAnsi="Times New Roman" w:eastAsia="宋体" w:cs="Times New Roman"/>
          <w:spacing w:val="14"/>
          <w:sz w:val="24"/>
          <w:szCs w:val="24"/>
          <w:lang w:eastAsia="zh-CN"/>
        </w:rPr>
        <w:t>马克思主义分工理论的研究仅仅局限于不同国家的经济绩效和参与度的考</w:t>
      </w:r>
      <w:r>
        <w:rPr>
          <w:rFonts w:hint="default" w:ascii="Times New Roman" w:hAnsi="Times New Roman" w:eastAsia="宋体" w:cs="Times New Roman"/>
          <w:spacing w:val="11"/>
          <w:sz w:val="24"/>
          <w:szCs w:val="24"/>
          <w:lang w:eastAsia="zh-CN"/>
        </w:rPr>
        <w:t>察,完全忽视了竞争力背后的资本—劳动关系,从而对我国实现高端嵌入全球</w:t>
      </w:r>
      <w:r>
        <w:rPr>
          <w:rFonts w:hint="default" w:ascii="Times New Roman" w:hAnsi="Times New Roman" w:eastAsia="宋体" w:cs="Times New Roman"/>
          <w:spacing w:val="16"/>
          <w:sz w:val="24"/>
          <w:szCs w:val="24"/>
          <w:lang w:eastAsia="zh-CN"/>
        </w:rPr>
        <w:t>价值链的路径策略,也主要是从关注如何实现生产技术的改进和提</w:t>
      </w:r>
      <w:r>
        <w:rPr>
          <w:rFonts w:hint="default" w:ascii="Times New Roman" w:hAnsi="Times New Roman" w:eastAsia="宋体" w:cs="Times New Roman"/>
          <w:spacing w:val="15"/>
          <w:sz w:val="24"/>
          <w:szCs w:val="24"/>
          <w:lang w:eastAsia="zh-CN"/>
        </w:rPr>
        <w:t>升入手。</w:t>
      </w:r>
      <w:r>
        <w:rPr>
          <w:rFonts w:hint="default" w:ascii="Times New Roman" w:hAnsi="Times New Roman" w:eastAsia="宋体" w:cs="Times New Roman"/>
          <w:spacing w:val="13"/>
          <w:sz w:val="24"/>
          <w:szCs w:val="24"/>
          <w:lang w:eastAsia="zh-CN"/>
        </w:rPr>
        <w:t>按照马克思主义分工理论,任何分工演进都需要从生产力和生产</w:t>
      </w:r>
      <w:r>
        <w:rPr>
          <w:rFonts w:hint="default" w:ascii="Times New Roman" w:hAnsi="Times New Roman" w:eastAsia="宋体" w:cs="Times New Roman"/>
          <w:spacing w:val="12"/>
          <w:sz w:val="24"/>
          <w:szCs w:val="24"/>
          <w:lang w:eastAsia="zh-CN"/>
        </w:rPr>
        <w:t>关系两方面</w:t>
      </w:r>
      <w:r>
        <w:rPr>
          <w:rFonts w:hint="default" w:ascii="Times New Roman" w:hAnsi="Times New Roman" w:eastAsia="宋体" w:cs="Times New Roman"/>
          <w:spacing w:val="10"/>
          <w:sz w:val="24"/>
          <w:szCs w:val="24"/>
          <w:lang w:eastAsia="zh-CN"/>
        </w:rPr>
        <w:t>来进行考察。实现在全球价值链中的高端嵌入,不仅需要建立创新引领的技术体系,抓住科技创新这把“金钥匙”,推动高新技术的研发与应用,着力推进</w:t>
      </w:r>
      <w:r>
        <w:rPr>
          <w:rFonts w:hint="default" w:ascii="Times New Roman" w:hAnsi="Times New Roman" w:eastAsia="宋体" w:cs="Times New Roman"/>
          <w:spacing w:val="5"/>
          <w:sz w:val="24"/>
          <w:szCs w:val="24"/>
          <w:lang w:eastAsia="zh-CN"/>
        </w:rPr>
        <w:t>关键核心技术攻关,实现对“卡脖子”技术和共性技术供给不</w:t>
      </w:r>
      <w:r>
        <w:rPr>
          <w:rFonts w:hint="default" w:ascii="Times New Roman" w:hAnsi="Times New Roman" w:eastAsia="宋体" w:cs="Times New Roman"/>
          <w:spacing w:val="4"/>
          <w:sz w:val="24"/>
          <w:szCs w:val="24"/>
          <w:lang w:eastAsia="zh-CN"/>
        </w:rPr>
        <w:t>足等问题的突破;</w:t>
      </w:r>
      <w:r>
        <w:rPr>
          <w:rFonts w:hint="default" w:ascii="Times New Roman" w:hAnsi="Times New Roman" w:eastAsia="宋体" w:cs="Times New Roman"/>
          <w:spacing w:val="15"/>
          <w:sz w:val="24"/>
          <w:szCs w:val="24"/>
          <w:lang w:eastAsia="zh-CN"/>
        </w:rPr>
        <w:t>同时,还需要着手扎实改善资本与劳动的关系,尤其要合理规范资本的应用,</w:t>
      </w:r>
      <w:r>
        <w:rPr>
          <w:rFonts w:hint="default" w:ascii="Times New Roman" w:hAnsi="Times New Roman" w:eastAsia="宋体" w:cs="Times New Roman"/>
          <w:sz w:val="24"/>
          <w:szCs w:val="24"/>
          <w:lang w:eastAsia="zh-CN"/>
        </w:rPr>
        <w:t>消解资本对工人的压制,科学设置资本“红绿灯”,引导资本有序、规范、健康发</w:t>
      </w:r>
      <w:r>
        <w:rPr>
          <w:rFonts w:hint="default" w:ascii="Times New Roman" w:hAnsi="Times New Roman" w:eastAsia="宋体" w:cs="Times New Roman"/>
          <w:spacing w:val="11"/>
          <w:sz w:val="24"/>
          <w:szCs w:val="24"/>
          <w:lang w:eastAsia="zh-CN"/>
        </w:rPr>
        <w:t>展,促进资本作为重要生产要素的积极作用,同时又能够最</w:t>
      </w:r>
      <w:r>
        <w:rPr>
          <w:rFonts w:hint="default" w:ascii="Times New Roman" w:hAnsi="Times New Roman" w:eastAsia="宋体" w:cs="Times New Roman"/>
          <w:spacing w:val="10"/>
          <w:sz w:val="24"/>
          <w:szCs w:val="24"/>
          <w:lang w:eastAsia="zh-CN"/>
        </w:rPr>
        <w:t>大程度地保障工人</w:t>
      </w:r>
      <w:r>
        <w:rPr>
          <w:rFonts w:hint="default" w:ascii="Times New Roman" w:hAnsi="Times New Roman" w:eastAsia="宋体" w:cs="Times New Roman"/>
          <w:spacing w:val="12"/>
          <w:sz w:val="24"/>
          <w:szCs w:val="24"/>
          <w:lang w:eastAsia="zh-CN"/>
        </w:rPr>
        <w:t>的权益,最大程度地满足人民美好生活需要的社会主义目标。只有两方</w:t>
      </w:r>
      <w:r>
        <w:rPr>
          <w:rFonts w:hint="default" w:ascii="Times New Roman" w:hAnsi="Times New Roman" w:eastAsia="宋体" w:cs="Times New Roman"/>
          <w:spacing w:val="11"/>
          <w:sz w:val="24"/>
          <w:szCs w:val="24"/>
          <w:lang w:eastAsia="zh-CN"/>
        </w:rPr>
        <w:t>面同</w:t>
      </w:r>
      <w:r>
        <w:rPr>
          <w:rFonts w:hint="default" w:ascii="Times New Roman" w:hAnsi="Times New Roman" w:eastAsia="宋体" w:cs="Times New Roman"/>
          <w:spacing w:val="9"/>
          <w:sz w:val="24"/>
          <w:szCs w:val="24"/>
          <w:lang w:eastAsia="zh-CN"/>
        </w:rPr>
        <w:t>时推进,才能实现高水平对外开放。</w:t>
      </w:r>
    </w:p>
    <w:p w14:paraId="4C3D6BD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1"/>
          <w:sz w:val="24"/>
          <w:szCs w:val="24"/>
          <w:lang w:eastAsia="zh-CN"/>
        </w:rPr>
        <w:t>(三)推进了对数字劳动分工内涵及其发展的</w:t>
      </w:r>
      <w:r>
        <w:rPr>
          <w:rFonts w:hint="default" w:ascii="Times New Roman" w:hAnsi="Times New Roman" w:eastAsia="宋体" w:cs="Times New Roman"/>
          <w:spacing w:val="10"/>
          <w:sz w:val="24"/>
          <w:szCs w:val="24"/>
          <w:lang w:eastAsia="zh-CN"/>
        </w:rPr>
        <w:t>认识</w:t>
      </w:r>
    </w:p>
    <w:p w14:paraId="65EDF74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0"/>
          <w:sz w:val="24"/>
          <w:szCs w:val="24"/>
          <w:lang w:eastAsia="zh-CN"/>
        </w:rPr>
        <w:t>在分工的演进中,当前的一个突出现象就是数字劳动分工的出现。伴随</w:t>
      </w:r>
      <w:r>
        <w:rPr>
          <w:rFonts w:hint="default" w:ascii="Times New Roman" w:hAnsi="Times New Roman" w:eastAsia="宋体" w:cs="Times New Roman"/>
          <w:spacing w:val="7"/>
          <w:sz w:val="24"/>
          <w:szCs w:val="24"/>
          <w:lang w:eastAsia="zh-CN"/>
        </w:rPr>
        <w:t>着新一代信息数字化技术推动的第四次科技革命,数字化促进了互联网、物联</w:t>
      </w:r>
      <w:r>
        <w:rPr>
          <w:rFonts w:hint="default" w:ascii="Times New Roman" w:hAnsi="Times New Roman" w:eastAsia="宋体" w:cs="Times New Roman"/>
          <w:spacing w:val="5"/>
          <w:sz w:val="24"/>
          <w:szCs w:val="24"/>
          <w:lang w:eastAsia="zh-CN"/>
        </w:rPr>
        <w:t>网、大数据、云计算的发展,数字劳动推动新的分工体系不断形</w:t>
      </w:r>
      <w:r>
        <w:rPr>
          <w:rFonts w:hint="default" w:ascii="Times New Roman" w:hAnsi="Times New Roman" w:eastAsia="宋体" w:cs="Times New Roman"/>
          <w:spacing w:val="4"/>
          <w:sz w:val="24"/>
          <w:szCs w:val="24"/>
          <w:lang w:eastAsia="zh-CN"/>
        </w:rPr>
        <w:t>成,分工的精细</w:t>
      </w:r>
      <w:r>
        <w:rPr>
          <w:rFonts w:hint="default" w:ascii="Times New Roman" w:hAnsi="Times New Roman" w:eastAsia="宋体" w:cs="Times New Roman"/>
          <w:spacing w:val="14"/>
          <w:sz w:val="24"/>
          <w:szCs w:val="24"/>
          <w:lang w:eastAsia="zh-CN"/>
        </w:rPr>
        <w:t>化和专业化得到进一步加强,产业数字化和数字</w:t>
      </w:r>
      <w:r>
        <w:rPr>
          <w:rFonts w:hint="default" w:ascii="Times New Roman" w:hAnsi="Times New Roman" w:eastAsia="宋体" w:cs="Times New Roman"/>
          <w:spacing w:val="13"/>
          <w:sz w:val="24"/>
          <w:szCs w:val="24"/>
          <w:lang w:eastAsia="zh-CN"/>
        </w:rPr>
        <w:t>产业化使得数字劳动成为继</w:t>
      </w:r>
      <w:r>
        <w:rPr>
          <w:rFonts w:hint="default" w:ascii="Times New Roman" w:hAnsi="Times New Roman" w:eastAsia="宋体" w:cs="Times New Roman"/>
          <w:spacing w:val="7"/>
          <w:sz w:val="24"/>
          <w:szCs w:val="24"/>
          <w:lang w:eastAsia="zh-CN"/>
        </w:rPr>
        <w:t>农业劳动、工业劳动和商业劳动之后的新的劳动形态。数字劳动分工运作的</w:t>
      </w:r>
      <w:r>
        <w:rPr>
          <w:rFonts w:hint="default" w:ascii="Times New Roman" w:hAnsi="Times New Roman" w:eastAsia="宋体" w:cs="Times New Roman"/>
          <w:spacing w:val="6"/>
          <w:sz w:val="24"/>
          <w:szCs w:val="24"/>
          <w:lang w:eastAsia="zh-CN"/>
        </w:rPr>
        <w:t>光速传播、下沉式沉浸、精准智能分工与全球延伸,使得人类的生产和协调效</w:t>
      </w:r>
      <w:r>
        <w:rPr>
          <w:rFonts w:hint="default" w:ascii="Times New Roman" w:hAnsi="Times New Roman" w:eastAsia="宋体" w:cs="Times New Roman"/>
          <w:spacing w:val="5"/>
          <w:sz w:val="24"/>
          <w:szCs w:val="24"/>
          <w:lang w:eastAsia="zh-CN"/>
        </w:rPr>
        <w:t>率不断提高。</w:t>
      </w:r>
    </w:p>
    <w:p w14:paraId="247E4DC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3"/>
          <w:sz w:val="24"/>
          <w:szCs w:val="24"/>
          <w:lang w:eastAsia="zh-CN"/>
        </w:rPr>
        <w:t>尽管学者们对数字劳动分工的研究如雨后春笋</w:t>
      </w:r>
      <w:r>
        <w:rPr>
          <w:rFonts w:hint="default" w:ascii="Times New Roman" w:hAnsi="Times New Roman" w:eastAsia="宋体" w:cs="Times New Roman"/>
          <w:spacing w:val="12"/>
          <w:sz w:val="24"/>
          <w:szCs w:val="24"/>
          <w:lang w:eastAsia="zh-CN"/>
        </w:rPr>
        <w:t>,都关注到了数字劳动分</w:t>
      </w:r>
      <w:r>
        <w:rPr>
          <w:rFonts w:hint="default" w:ascii="Times New Roman" w:hAnsi="Times New Roman" w:eastAsia="宋体" w:cs="Times New Roman"/>
          <w:spacing w:val="9"/>
          <w:sz w:val="24"/>
          <w:szCs w:val="24"/>
          <w:lang w:eastAsia="zh-CN"/>
        </w:rPr>
        <w:t>工带给人们生产生活的深刻变化和结构重塑,然而由于研究起</w:t>
      </w:r>
      <w:r>
        <w:rPr>
          <w:rFonts w:hint="default" w:ascii="Times New Roman" w:hAnsi="Times New Roman" w:eastAsia="宋体" w:cs="Times New Roman"/>
          <w:spacing w:val="8"/>
          <w:sz w:val="24"/>
          <w:szCs w:val="24"/>
          <w:lang w:eastAsia="zh-CN"/>
        </w:rPr>
        <w:t>点、研究视角、</w:t>
      </w:r>
      <w:r>
        <w:rPr>
          <w:rFonts w:hint="default" w:ascii="Times New Roman" w:hAnsi="Times New Roman" w:eastAsia="宋体" w:cs="Times New Roman"/>
          <w:spacing w:val="14"/>
          <w:sz w:val="24"/>
          <w:szCs w:val="24"/>
          <w:lang w:eastAsia="zh-CN"/>
        </w:rPr>
        <w:t>研究背景不同,很多研究存在泛化的趋势,要么认为所有与数据有关的产品、</w:t>
      </w:r>
      <w:r>
        <w:rPr>
          <w:rFonts w:hint="default" w:ascii="Times New Roman" w:hAnsi="Times New Roman" w:eastAsia="宋体" w:cs="Times New Roman"/>
          <w:spacing w:val="8"/>
          <w:sz w:val="24"/>
          <w:szCs w:val="24"/>
          <w:lang w:eastAsia="zh-CN"/>
        </w:rPr>
        <w:t>行为、资源都为数据商品,混淆了生产性劳动与非生产性劳动;要么明显具有</w:t>
      </w:r>
      <w:r>
        <w:rPr>
          <w:rFonts w:hint="default" w:ascii="Times New Roman" w:hAnsi="Times New Roman" w:eastAsia="宋体" w:cs="Times New Roman"/>
          <w:spacing w:val="12"/>
          <w:sz w:val="24"/>
          <w:szCs w:val="24"/>
          <w:lang w:eastAsia="zh-CN"/>
        </w:rPr>
        <w:t>技术决定论色彩,夸大了数据信息的解放潜能,忽视了社会生产关系</w:t>
      </w:r>
      <w:r>
        <w:rPr>
          <w:rFonts w:hint="default" w:ascii="Times New Roman" w:hAnsi="Times New Roman" w:eastAsia="宋体" w:cs="Times New Roman"/>
          <w:spacing w:val="11"/>
          <w:sz w:val="24"/>
          <w:szCs w:val="24"/>
          <w:lang w:eastAsia="zh-CN"/>
        </w:rPr>
        <w:t>对技术的</w:t>
      </w:r>
      <w:r>
        <w:rPr>
          <w:rFonts w:hint="default" w:ascii="Times New Roman" w:hAnsi="Times New Roman" w:eastAsia="宋体" w:cs="Times New Roman"/>
          <w:spacing w:val="5"/>
          <w:sz w:val="24"/>
          <w:szCs w:val="24"/>
          <w:lang w:eastAsia="zh-CN"/>
        </w:rPr>
        <w:t>建构;要么从公共改良的视角强调数据的公共服务属性,将“</w:t>
      </w:r>
      <w:r>
        <w:rPr>
          <w:rFonts w:hint="default" w:ascii="Times New Roman" w:hAnsi="Times New Roman" w:eastAsia="宋体" w:cs="Times New Roman"/>
          <w:spacing w:val="4"/>
          <w:sz w:val="24"/>
          <w:szCs w:val="24"/>
          <w:lang w:eastAsia="zh-CN"/>
        </w:rPr>
        <w:t>大数据”的承诺置</w:t>
      </w:r>
      <w:r>
        <w:rPr>
          <w:rFonts w:hint="default" w:ascii="Times New Roman" w:hAnsi="Times New Roman" w:eastAsia="宋体" w:cs="Times New Roman"/>
          <w:spacing w:val="7"/>
          <w:sz w:val="24"/>
          <w:szCs w:val="24"/>
          <w:lang w:eastAsia="zh-CN"/>
        </w:rPr>
        <w:t>于数字前沿的乌托邦想象中。</w:t>
      </w:r>
    </w:p>
    <w:p w14:paraId="4A96489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4"/>
          <w:sz w:val="24"/>
          <w:szCs w:val="24"/>
          <w:lang w:eastAsia="zh-CN"/>
        </w:rPr>
        <w:t>依据马克思主义的分工理论,对现代性的批判不是仅仅使用马克思主义</w:t>
      </w:r>
      <w:r>
        <w:rPr>
          <w:rFonts w:hint="default" w:ascii="Times New Roman" w:hAnsi="Times New Roman" w:eastAsia="宋体" w:cs="Times New Roman"/>
          <w:spacing w:val="10"/>
          <w:sz w:val="24"/>
          <w:szCs w:val="24"/>
          <w:lang w:eastAsia="zh-CN"/>
        </w:rPr>
        <w:t>的术语和符码,而是秉承马克思主义的研究范式,在历史与逻辑相统一的唯物</w:t>
      </w:r>
      <w:r>
        <w:rPr>
          <w:rFonts w:hint="default" w:ascii="Times New Roman" w:hAnsi="Times New Roman" w:eastAsia="宋体" w:cs="Times New Roman"/>
          <w:spacing w:val="7"/>
          <w:sz w:val="24"/>
          <w:szCs w:val="24"/>
          <w:lang w:eastAsia="zh-CN"/>
        </w:rPr>
        <w:t>主义意蕴中来研究数字劳动分工。数字劳动分工中使用的数据</w:t>
      </w:r>
      <w:r>
        <w:rPr>
          <w:rFonts w:hint="default" w:ascii="Times New Roman" w:hAnsi="Times New Roman" w:eastAsia="宋体" w:cs="Times New Roman"/>
          <w:spacing w:val="6"/>
          <w:sz w:val="24"/>
          <w:szCs w:val="24"/>
          <w:lang w:eastAsia="zh-CN"/>
        </w:rPr>
        <w:t>并不见得都是</w:t>
      </w:r>
      <w:r>
        <w:rPr>
          <w:rFonts w:hint="default" w:ascii="Times New Roman" w:hAnsi="Times New Roman" w:eastAsia="宋体" w:cs="Times New Roman"/>
          <w:spacing w:val="11"/>
          <w:sz w:val="24"/>
          <w:szCs w:val="24"/>
          <w:lang w:eastAsia="zh-CN"/>
        </w:rPr>
        <w:t>商品,只有具有使用价值和价值并用于交换的数据才是商品。在</w:t>
      </w:r>
      <w:r>
        <w:rPr>
          <w:rFonts w:hint="default" w:ascii="Times New Roman" w:hAnsi="Times New Roman" w:eastAsia="宋体" w:cs="Times New Roman"/>
          <w:spacing w:val="10"/>
          <w:sz w:val="24"/>
          <w:szCs w:val="24"/>
          <w:lang w:eastAsia="zh-CN"/>
        </w:rPr>
        <w:t>不考虑垄断的情形下,数据价值由生产过程中耗费的社会必要劳动时间来度量,而与用户</w:t>
      </w:r>
      <w:r>
        <w:rPr>
          <w:rFonts w:hint="default" w:ascii="Times New Roman" w:hAnsi="Times New Roman" w:eastAsia="宋体" w:cs="Times New Roman"/>
          <w:spacing w:val="14"/>
          <w:sz w:val="24"/>
          <w:szCs w:val="24"/>
          <w:lang w:eastAsia="zh-CN"/>
        </w:rPr>
        <w:t>在线活动时间的长短并不相关,数据资本的利润来源产</w:t>
      </w:r>
      <w:r>
        <w:rPr>
          <w:rFonts w:hint="default" w:ascii="Times New Roman" w:hAnsi="Times New Roman" w:eastAsia="宋体" w:cs="Times New Roman"/>
          <w:spacing w:val="13"/>
          <w:sz w:val="24"/>
          <w:szCs w:val="24"/>
          <w:lang w:eastAsia="zh-CN"/>
        </w:rPr>
        <w:t>生于数据工人的剩余</w:t>
      </w:r>
      <w:r>
        <w:rPr>
          <w:rFonts w:hint="default" w:ascii="Times New Roman" w:hAnsi="Times New Roman" w:eastAsia="宋体" w:cs="Times New Roman"/>
          <w:spacing w:val="5"/>
          <w:sz w:val="24"/>
          <w:szCs w:val="24"/>
          <w:lang w:eastAsia="zh-CN"/>
        </w:rPr>
        <w:t>劳动。尽管机器参与社会分工的范围不断扩大,开始从代替人的体力劳动、脑</w:t>
      </w:r>
      <w:r>
        <w:rPr>
          <w:rFonts w:hint="default" w:ascii="Times New Roman" w:hAnsi="Times New Roman" w:eastAsia="宋体" w:cs="Times New Roman"/>
          <w:spacing w:val="14"/>
          <w:sz w:val="24"/>
          <w:szCs w:val="24"/>
          <w:lang w:eastAsia="zh-CN"/>
        </w:rPr>
        <w:t>力劳动向代替人的智力劳动发展,但是机器学习系统只</w:t>
      </w:r>
      <w:r>
        <w:rPr>
          <w:rFonts w:hint="default" w:ascii="Times New Roman" w:hAnsi="Times New Roman" w:eastAsia="宋体" w:cs="Times New Roman"/>
          <w:spacing w:val="13"/>
          <w:sz w:val="24"/>
          <w:szCs w:val="24"/>
          <w:lang w:eastAsia="zh-CN"/>
        </w:rPr>
        <w:t>是改变了生产利润的</w:t>
      </w:r>
      <w:r>
        <w:rPr>
          <w:rFonts w:hint="default" w:ascii="Times New Roman" w:hAnsi="Times New Roman" w:eastAsia="宋体" w:cs="Times New Roman"/>
          <w:spacing w:val="8"/>
          <w:sz w:val="24"/>
          <w:szCs w:val="24"/>
          <w:lang w:eastAsia="zh-CN"/>
        </w:rPr>
        <w:t>手段,而不是利润的源泉,人的活劳动才是创造价值的唯一源泉。</w:t>
      </w:r>
      <w:r>
        <w:rPr>
          <w:rStyle w:val="20"/>
          <w:rFonts w:hint="default" w:ascii="Times New Roman" w:hAnsi="Times New Roman" w:eastAsia="宋体" w:cs="Times New Roman"/>
          <w:spacing w:val="8"/>
          <w:sz w:val="24"/>
          <w:szCs w:val="24"/>
          <w:lang w:eastAsia="zh-CN"/>
        </w:rPr>
        <w:footnoteReference w:id="365"/>
      </w:r>
      <w:r>
        <w:rPr>
          <w:rFonts w:hint="default" w:ascii="Times New Roman" w:hAnsi="Times New Roman" w:eastAsia="宋体" w:cs="Times New Roman"/>
          <w:spacing w:val="8"/>
          <w:sz w:val="24"/>
          <w:szCs w:val="24"/>
          <w:lang w:eastAsia="zh-CN"/>
        </w:rPr>
        <w:t>数字劳动分工所引致的生产方式内在矛盾与前三次科技革命下的生产方式矛盾过程一</w:t>
      </w:r>
      <w:r>
        <w:rPr>
          <w:rFonts w:hint="default" w:ascii="Times New Roman" w:hAnsi="Times New Roman" w:eastAsia="宋体" w:cs="Times New Roman"/>
          <w:spacing w:val="12"/>
          <w:sz w:val="24"/>
          <w:szCs w:val="24"/>
          <w:lang w:eastAsia="zh-CN"/>
        </w:rPr>
        <w:t>样,带有双刃剑特性,只有在生产力与生产关系的辩证关系中才能科</w:t>
      </w:r>
      <w:r>
        <w:rPr>
          <w:rFonts w:hint="default" w:ascii="Times New Roman" w:hAnsi="Times New Roman" w:eastAsia="宋体" w:cs="Times New Roman"/>
          <w:spacing w:val="11"/>
          <w:sz w:val="24"/>
          <w:szCs w:val="24"/>
          <w:lang w:eastAsia="zh-CN"/>
        </w:rPr>
        <w:t>学把握数</w:t>
      </w:r>
      <w:r>
        <w:rPr>
          <w:rFonts w:hint="default" w:ascii="Times New Roman" w:hAnsi="Times New Roman" w:eastAsia="宋体" w:cs="Times New Roman"/>
          <w:spacing w:val="5"/>
          <w:sz w:val="24"/>
          <w:szCs w:val="24"/>
          <w:lang w:eastAsia="zh-CN"/>
        </w:rPr>
        <w:t>字劳动分工的性质及其发展。</w:t>
      </w:r>
    </w:p>
    <w:p w14:paraId="0DFC94B4">
      <w:pPr>
        <w:bidi w:val="0"/>
        <w:rPr>
          <w:rFonts w:hint="default"/>
          <w:lang w:eastAsia="zh-CN"/>
        </w:rPr>
      </w:pPr>
      <w:r>
        <w:rPr>
          <w:rFonts w:hint="default"/>
          <w:lang w:eastAsia="zh-CN"/>
        </w:rPr>
        <w:t>参考文献</w:t>
      </w:r>
    </w:p>
    <w:p w14:paraId="0A5A0C6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6"/>
          <w:sz w:val="24"/>
          <w:szCs w:val="24"/>
          <w:lang w:eastAsia="zh-CN"/>
        </w:rPr>
        <w:t>[1]程恩富、胡乐明:《当代国外马克思主义经济学基本理论研究》,北京:中国</w:t>
      </w:r>
      <w:r>
        <w:rPr>
          <w:rFonts w:hint="default" w:ascii="Times New Roman" w:hAnsi="Times New Roman" w:eastAsia="宋体" w:cs="Times New Roman"/>
          <w:spacing w:val="5"/>
          <w:sz w:val="24"/>
          <w:szCs w:val="24"/>
          <w:lang w:eastAsia="zh-CN"/>
        </w:rPr>
        <w:t>社会科</w:t>
      </w:r>
      <w:r>
        <w:rPr>
          <w:rFonts w:hint="default" w:ascii="Times New Roman" w:hAnsi="Times New Roman" w:eastAsia="宋体" w:cs="Times New Roman"/>
          <w:spacing w:val="4"/>
          <w:sz w:val="24"/>
          <w:szCs w:val="24"/>
          <w:lang w:eastAsia="zh-CN"/>
        </w:rPr>
        <w:t>学院出版社</w:t>
      </w:r>
      <w:r>
        <w:rPr>
          <w:rFonts w:hint="default" w:ascii="Times New Roman" w:hAnsi="Times New Roman" w:eastAsia="宋体" w:cs="Times New Roman"/>
          <w:spacing w:val="4"/>
          <w:position w:val="1"/>
          <w:sz w:val="24"/>
          <w:szCs w:val="24"/>
          <w:lang w:eastAsia="zh-CN"/>
        </w:rPr>
        <w:t>,</w:t>
      </w:r>
      <w:r>
        <w:rPr>
          <w:rFonts w:hint="default" w:ascii="Times New Roman" w:hAnsi="Times New Roman" w:eastAsia="宋体" w:cs="Times New Roman"/>
          <w:spacing w:val="4"/>
          <w:position w:val="-1"/>
          <w:sz w:val="24"/>
          <w:szCs w:val="24"/>
          <w:lang w:eastAsia="zh-CN"/>
        </w:rPr>
        <w:t>2019</w:t>
      </w:r>
      <w:r>
        <w:rPr>
          <w:rFonts w:hint="default" w:ascii="Times New Roman" w:hAnsi="Times New Roman" w:eastAsia="宋体" w:cs="Times New Roman"/>
          <w:spacing w:val="4"/>
          <w:sz w:val="24"/>
          <w:szCs w:val="24"/>
          <w:lang w:eastAsia="zh-CN"/>
        </w:rPr>
        <w:t>年</w:t>
      </w:r>
      <w:r>
        <w:rPr>
          <w:rFonts w:hint="default" w:ascii="Times New Roman" w:hAnsi="Times New Roman" w:eastAsia="宋体" w:cs="Times New Roman"/>
          <w:spacing w:val="4"/>
          <w:position w:val="1"/>
          <w:sz w:val="24"/>
          <w:szCs w:val="24"/>
          <w:lang w:eastAsia="zh-CN"/>
        </w:rPr>
        <w:t>。</w:t>
      </w:r>
    </w:p>
    <w:p w14:paraId="328DC07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[2]王虎学:《马克思分工思想的人学意蕴</w:t>
      </w:r>
      <w:r>
        <w:rPr>
          <w:rFonts w:hint="default" w:ascii="Times New Roman" w:hAnsi="Times New Roman" w:eastAsia="宋体" w:cs="Times New Roman"/>
          <w:b/>
          <w:bCs/>
          <w:sz w:val="24"/>
          <w:szCs w:val="24"/>
          <w:lang w:eastAsia="zh-CN"/>
        </w:rPr>
        <w:t>—</w:t>
      </w:r>
      <w:r>
        <w:rPr>
          <w:rFonts w:hint="default" w:ascii="Times New Roman" w:hAnsi="Times New Roman" w:eastAsia="宋体" w:cs="Times New Roman"/>
          <w:sz w:val="24"/>
          <w:szCs w:val="24"/>
          <w:lang w:eastAsia="zh-CN"/>
        </w:rPr>
        <w:t>从“</w:t>
      </w:r>
      <w:r>
        <w:rPr>
          <w:rFonts w:hint="default" w:ascii="Times New Roman" w:hAnsi="Times New Roman" w:eastAsia="宋体" w:cs="Times New Roman"/>
          <w:spacing w:val="-1"/>
          <w:sz w:val="24"/>
          <w:szCs w:val="24"/>
          <w:lang w:eastAsia="zh-CN"/>
        </w:rPr>
        <w:t>分工的观点”看“人”的发展》,《哲学</w:t>
      </w:r>
      <w:r>
        <w:rPr>
          <w:rFonts w:hint="default" w:ascii="Times New Roman" w:hAnsi="Times New Roman" w:eastAsia="宋体" w:cs="Times New Roman"/>
          <w:spacing w:val="-2"/>
          <w:sz w:val="24"/>
          <w:szCs w:val="24"/>
          <w:lang w:eastAsia="zh-CN"/>
        </w:rPr>
        <w:t>动态》2011年第</w:t>
      </w:r>
      <w:r>
        <w:rPr>
          <w:rFonts w:hint="default" w:ascii="Times New Roman" w:hAnsi="Times New Roman" w:eastAsia="宋体" w:cs="Times New Roman"/>
          <w:spacing w:val="-2"/>
          <w:position w:val="-1"/>
          <w:sz w:val="24"/>
          <w:szCs w:val="24"/>
          <w:lang w:eastAsia="zh-CN"/>
        </w:rPr>
        <w:t>4</w:t>
      </w:r>
      <w:r>
        <w:rPr>
          <w:rFonts w:hint="default" w:ascii="Times New Roman" w:hAnsi="Times New Roman" w:eastAsia="宋体" w:cs="Times New Roman"/>
          <w:spacing w:val="-2"/>
          <w:sz w:val="24"/>
          <w:szCs w:val="24"/>
          <w:lang w:eastAsia="zh-CN"/>
        </w:rPr>
        <w:t>期</w:t>
      </w:r>
      <w:r>
        <w:rPr>
          <w:rFonts w:hint="default" w:ascii="Times New Roman" w:hAnsi="Times New Roman" w:eastAsia="宋体" w:cs="Times New Roman"/>
          <w:spacing w:val="-2"/>
          <w:position w:val="1"/>
          <w:sz w:val="24"/>
          <w:szCs w:val="24"/>
          <w:lang w:eastAsia="zh-CN"/>
        </w:rPr>
        <w:t>。</w:t>
      </w:r>
    </w:p>
    <w:p w14:paraId="6258FB8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6"/>
          <w:sz w:val="24"/>
          <w:szCs w:val="24"/>
          <w:lang w:eastAsia="zh-CN"/>
        </w:rPr>
        <w:t>[3]任劭婷:《从“自然秩序”到“资本逻辑”</w:t>
      </w:r>
      <w:r>
        <w:rPr>
          <w:rFonts w:hint="default" w:ascii="Times New Roman" w:hAnsi="Times New Roman" w:eastAsia="宋体" w:cs="Times New Roman"/>
          <w:b/>
          <w:bCs/>
          <w:spacing w:val="6"/>
          <w:sz w:val="24"/>
          <w:szCs w:val="24"/>
          <w:lang w:eastAsia="zh-CN"/>
        </w:rPr>
        <w:t>—</w:t>
      </w:r>
      <w:r>
        <w:rPr>
          <w:rFonts w:hint="default" w:ascii="Times New Roman" w:hAnsi="Times New Roman" w:eastAsia="宋体" w:cs="Times New Roman"/>
          <w:spacing w:val="6"/>
          <w:sz w:val="24"/>
          <w:szCs w:val="24"/>
          <w:lang w:eastAsia="zh-CN"/>
        </w:rPr>
        <w:t>论斯密与马克思的劳动分工思想及其</w:t>
      </w:r>
      <w:r>
        <w:rPr>
          <w:rFonts w:hint="default" w:ascii="Times New Roman" w:hAnsi="Times New Roman" w:eastAsia="宋体" w:cs="Times New Roman"/>
          <w:spacing w:val="-3"/>
          <w:sz w:val="24"/>
          <w:szCs w:val="24"/>
          <w:lang w:eastAsia="zh-CN"/>
        </w:rPr>
        <w:t>当代意义》,《山东社会科学》2016年第</w:t>
      </w:r>
      <w:r>
        <w:rPr>
          <w:rFonts w:hint="default" w:ascii="Times New Roman" w:hAnsi="Times New Roman" w:eastAsia="宋体" w:cs="Times New Roman"/>
          <w:spacing w:val="-3"/>
          <w:position w:val="-2"/>
          <w:sz w:val="24"/>
          <w:szCs w:val="24"/>
          <w:lang w:eastAsia="zh-CN"/>
        </w:rPr>
        <w:t>2</w:t>
      </w:r>
      <w:r>
        <w:rPr>
          <w:rFonts w:hint="default" w:ascii="Times New Roman" w:hAnsi="Times New Roman" w:eastAsia="宋体" w:cs="Times New Roman"/>
          <w:spacing w:val="-3"/>
          <w:sz w:val="24"/>
          <w:szCs w:val="24"/>
          <w:lang w:eastAsia="zh-CN"/>
        </w:rPr>
        <w:t>期。</w:t>
      </w:r>
    </w:p>
    <w:p w14:paraId="06C9A62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
          <w:sz w:val="24"/>
          <w:szCs w:val="24"/>
          <w:lang w:eastAsia="zh-CN"/>
        </w:rPr>
        <w:t>[4]刘成运:《斯密和马克思分工理论比较》,《</w:t>
      </w:r>
      <w:r>
        <w:rPr>
          <w:rFonts w:hint="default" w:ascii="Times New Roman" w:hAnsi="Times New Roman" w:eastAsia="宋体" w:cs="Times New Roman"/>
          <w:sz w:val="24"/>
          <w:szCs w:val="24"/>
          <w:lang w:eastAsia="zh-CN"/>
        </w:rPr>
        <w:t>经济研究导刊</w:t>
      </w:r>
      <w:r>
        <w:rPr>
          <w:rFonts w:hint="default" w:ascii="Times New Roman" w:hAnsi="Times New Roman" w:eastAsia="宋体" w:cs="Times New Roman"/>
          <w:position w:val="-1"/>
          <w:sz w:val="24"/>
          <w:szCs w:val="24"/>
          <w:lang w:eastAsia="zh-CN"/>
        </w:rPr>
        <w:t>》2011</w:t>
      </w:r>
      <w:r>
        <w:rPr>
          <w:rFonts w:hint="default" w:ascii="Times New Roman" w:hAnsi="Times New Roman" w:eastAsia="宋体" w:cs="Times New Roman"/>
          <w:sz w:val="24"/>
          <w:szCs w:val="24"/>
          <w:lang w:eastAsia="zh-CN"/>
        </w:rPr>
        <w:t>年第</w:t>
      </w:r>
      <w:r>
        <w:rPr>
          <w:rFonts w:hint="default" w:ascii="Times New Roman" w:hAnsi="Times New Roman" w:eastAsia="宋体" w:cs="Times New Roman"/>
          <w:position w:val="-2"/>
          <w:sz w:val="24"/>
          <w:szCs w:val="24"/>
          <w:lang w:eastAsia="zh-CN"/>
        </w:rPr>
        <w:t>12</w:t>
      </w:r>
      <w:r>
        <w:rPr>
          <w:rFonts w:hint="default" w:ascii="Times New Roman" w:hAnsi="Times New Roman" w:eastAsia="宋体" w:cs="Times New Roman"/>
          <w:sz w:val="24"/>
          <w:szCs w:val="24"/>
          <w:lang w:eastAsia="zh-CN"/>
        </w:rPr>
        <w:t>期。</w:t>
      </w:r>
    </w:p>
    <w:p w14:paraId="0CBE071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1"/>
          <w:sz w:val="24"/>
          <w:szCs w:val="24"/>
          <w:lang w:eastAsia="zh-CN"/>
        </w:rPr>
        <w:t>[5]易淼、赵磊、彭卓:《数字技术赋能下的新时代中国分工优化与利益共享》,《海派经</w:t>
      </w:r>
      <w:r>
        <w:rPr>
          <w:rFonts w:hint="default" w:ascii="Times New Roman" w:hAnsi="Times New Roman" w:eastAsia="宋体" w:cs="Times New Roman"/>
          <w:spacing w:val="-2"/>
          <w:sz w:val="24"/>
          <w:szCs w:val="24"/>
          <w:lang w:eastAsia="zh-CN"/>
        </w:rPr>
        <w:t>济学》2022年第</w:t>
      </w:r>
      <w:r>
        <w:rPr>
          <w:rFonts w:hint="default" w:ascii="Times New Roman" w:hAnsi="Times New Roman" w:eastAsia="宋体" w:cs="Times New Roman"/>
          <w:spacing w:val="-2"/>
          <w:position w:val="-1"/>
          <w:sz w:val="24"/>
          <w:szCs w:val="24"/>
          <w:lang w:eastAsia="zh-CN"/>
        </w:rPr>
        <w:t>4</w:t>
      </w:r>
      <w:r>
        <w:rPr>
          <w:rFonts w:hint="default" w:ascii="Times New Roman" w:hAnsi="Times New Roman" w:eastAsia="宋体" w:cs="Times New Roman"/>
          <w:spacing w:val="-2"/>
          <w:sz w:val="24"/>
          <w:szCs w:val="24"/>
          <w:lang w:eastAsia="zh-CN"/>
        </w:rPr>
        <w:t>期</w:t>
      </w:r>
      <w:r>
        <w:rPr>
          <w:rFonts w:hint="default" w:ascii="Times New Roman" w:hAnsi="Times New Roman" w:eastAsia="宋体" w:cs="Times New Roman"/>
          <w:spacing w:val="-2"/>
          <w:position w:val="1"/>
          <w:sz w:val="24"/>
          <w:szCs w:val="24"/>
          <w:lang w:eastAsia="zh-CN"/>
        </w:rPr>
        <w:t>。</w:t>
      </w:r>
    </w:p>
    <w:p w14:paraId="7C4064D4">
      <w:pPr>
        <w:bidi w:val="0"/>
        <w:rPr>
          <w:rFonts w:hint="eastAsia"/>
          <w:lang w:eastAsia="zh-CN"/>
        </w:rPr>
      </w:pPr>
      <w:r>
        <w:rPr>
          <w:rFonts w:hint="eastAsia"/>
          <w:lang w:eastAsia="zh-CN"/>
        </w:rPr>
        <w:t>（</w:t>
      </w:r>
      <w:r>
        <w:rPr>
          <w:rFonts w:hint="eastAsia"/>
          <w:lang w:val="en-US" w:eastAsia="zh-CN"/>
        </w:rPr>
        <w:t>原载《海派经济学》2023年第3期，第一作者为宋宪萍。</w:t>
      </w:r>
      <w:r>
        <w:rPr>
          <w:rFonts w:hint="eastAsia"/>
          <w:lang w:eastAsia="zh-CN"/>
        </w:rPr>
        <w:t>）</w:t>
      </w:r>
    </w:p>
    <w:p w14:paraId="51708E49">
      <w:pPr>
        <w:bidi w:val="0"/>
        <w:rPr>
          <w:rFonts w:hint="default"/>
        </w:rPr>
      </w:pPr>
    </w:p>
    <w:p w14:paraId="74866562">
      <w:pPr>
        <w:bidi w:val="0"/>
        <w:rPr>
          <w:rFonts w:hint="eastAsia"/>
        </w:rPr>
      </w:pPr>
    </w:p>
    <w:p w14:paraId="3B9B2D99">
      <w:pPr>
        <w:pStyle w:val="3"/>
        <w:bidi w:val="0"/>
        <w:rPr>
          <w:rFonts w:hint="eastAsia"/>
        </w:rPr>
      </w:pPr>
      <w:bookmarkStart w:id="177" w:name="_Toc1357004765"/>
      <w:bookmarkStart w:id="178" w:name="_Toc1812683301"/>
      <w:bookmarkStart w:id="179" w:name="_Toc975184395"/>
      <w:bookmarkStart w:id="180" w:name="_Toc13002"/>
      <w:bookmarkStart w:id="181" w:name="_Toc243071165"/>
      <w:bookmarkStart w:id="182" w:name="_Toc440501863"/>
      <w:r>
        <w:rPr>
          <w:rFonts w:hint="eastAsia"/>
          <w:lang w:val="en-US" w:eastAsia="zh-CN"/>
        </w:rPr>
        <w:t>6</w:t>
      </w:r>
      <w:r>
        <w:rPr>
          <w:rFonts w:hint="eastAsia"/>
        </w:rPr>
        <w:t>全球经济新格局与中国新型工业化</w:t>
      </w:r>
      <w:bookmarkEnd w:id="177"/>
      <w:bookmarkEnd w:id="178"/>
      <w:bookmarkEnd w:id="179"/>
      <w:bookmarkEnd w:id="180"/>
      <w:bookmarkEnd w:id="181"/>
      <w:bookmarkEnd w:id="182"/>
    </w:p>
    <w:p w14:paraId="33A40511">
      <w:pPr>
        <w:adjustRightInd w:val="0"/>
        <w:snapToGrid w:val="0"/>
        <w:spacing w:line="360" w:lineRule="auto"/>
        <w:rPr>
          <w:rFonts w:ascii="楷体" w:hAnsi="楷体" w:eastAsia="楷体" w:cs="楷体"/>
          <w:sz w:val="24"/>
          <w:szCs w:val="24"/>
        </w:rPr>
      </w:pPr>
      <w:r>
        <w:rPr>
          <w:rFonts w:hint="eastAsia" w:ascii="黑体" w:hAnsi="黑体" w:eastAsia="黑体" w:cs="黑体"/>
          <w:b/>
          <w:bCs/>
          <w:color w:val="000000" w:themeColor="text1"/>
          <w:sz w:val="24"/>
          <w:szCs w:val="24"/>
          <w14:textFill>
            <w14:solidFill>
              <w14:schemeClr w14:val="tx1"/>
            </w14:solidFill>
          </w14:textFill>
        </w:rPr>
        <w:t>内容提要</w:t>
      </w:r>
      <w:r>
        <w:rPr>
          <w:rFonts w:hint="eastAsia" w:ascii="宋体" w:hAnsi="宋体" w:eastAsia="宋体"/>
          <w:b/>
          <w:color w:val="000000" w:themeColor="text1"/>
          <w:sz w:val="24"/>
          <w:szCs w:val="24"/>
          <w14:textFill>
            <w14:solidFill>
              <w14:schemeClr w14:val="tx1"/>
            </w14:solidFill>
          </w14:textFill>
        </w:rPr>
        <w:t>：</w:t>
      </w:r>
      <w:r>
        <w:rPr>
          <w:rFonts w:hint="eastAsia" w:ascii="楷体" w:hAnsi="楷体" w:eastAsia="楷体" w:cs="楷体"/>
          <w:sz w:val="24"/>
          <w:szCs w:val="24"/>
        </w:rPr>
        <w:t>随着第四次工业革命的到来，世界经济秩序在动态中不断进行调整，全球经济新格局正在形成。“大政府”</w:t>
      </w:r>
      <w:r>
        <w:rPr>
          <w:rFonts w:ascii="楷体" w:hAnsi="楷体" w:eastAsia="楷体" w:cs="楷体"/>
          <w:sz w:val="24"/>
          <w:szCs w:val="24"/>
        </w:rPr>
        <w:t xml:space="preserve"> 取代“大市场”</w:t>
      </w:r>
      <w:r>
        <w:rPr>
          <w:rFonts w:hint="eastAsia" w:ascii="楷体" w:hAnsi="楷体" w:eastAsia="楷体" w:cs="楷体"/>
          <w:sz w:val="24"/>
          <w:szCs w:val="24"/>
        </w:rPr>
        <w:t>，贸易保护取代贸易自由，全球价值链的本土化、区域化取代全球化，数字经济取代传统经济。全球价值链</w:t>
      </w:r>
      <w:r>
        <w:rPr>
          <w:rFonts w:ascii="楷体" w:hAnsi="楷体" w:eastAsia="楷体" w:cs="楷体"/>
          <w:sz w:val="24"/>
          <w:szCs w:val="24"/>
        </w:rPr>
        <w:t>本身是一个资本逻辑统领的</w:t>
      </w:r>
      <w:r>
        <w:rPr>
          <w:rFonts w:hint="eastAsia" w:ascii="楷体" w:hAnsi="楷体" w:eastAsia="楷体" w:cs="楷体"/>
          <w:sz w:val="24"/>
          <w:szCs w:val="24"/>
        </w:rPr>
        <w:t>结构化</w:t>
      </w:r>
      <w:r>
        <w:rPr>
          <w:rFonts w:ascii="楷体" w:hAnsi="楷体" w:eastAsia="楷体" w:cs="楷体"/>
          <w:sz w:val="24"/>
          <w:szCs w:val="24"/>
        </w:rPr>
        <w:t>的分工体系</w:t>
      </w:r>
      <w:r>
        <w:rPr>
          <w:rFonts w:hint="eastAsia" w:ascii="楷体" w:hAnsi="楷体" w:eastAsia="楷体" w:cs="楷体"/>
          <w:sz w:val="24"/>
          <w:szCs w:val="24"/>
        </w:rPr>
        <w:t>，中国新型工业化的逻辑起点应是国家自主创新能力的重构。为了</w:t>
      </w:r>
      <w:r>
        <w:rPr>
          <w:rFonts w:ascii="楷体" w:hAnsi="楷体" w:eastAsia="楷体" w:cs="楷体"/>
          <w:sz w:val="24"/>
          <w:szCs w:val="24"/>
        </w:rPr>
        <w:t>解决当前的发展困境，我国需要</w:t>
      </w:r>
      <w:r>
        <w:rPr>
          <w:rFonts w:hint="eastAsia" w:ascii="楷体" w:hAnsi="楷体" w:eastAsia="楷体" w:cs="楷体"/>
          <w:sz w:val="24"/>
          <w:szCs w:val="24"/>
        </w:rPr>
        <w:t>继续实施多边主义构筑制造业升级机遇，努力实现制造业转型升级的高质量发展，着重推动制造业关键核心技术的新型举国体制以及加大培育完整内需体系的</w:t>
      </w:r>
      <w:r>
        <w:rPr>
          <w:rFonts w:ascii="楷体" w:hAnsi="楷体" w:eastAsia="楷体" w:cs="楷体"/>
          <w:sz w:val="24"/>
          <w:szCs w:val="24"/>
        </w:rPr>
        <w:t>系统化环境生成</w:t>
      </w:r>
      <w:r>
        <w:rPr>
          <w:rFonts w:hint="eastAsia" w:ascii="楷体" w:hAnsi="楷体" w:eastAsia="楷体" w:cs="楷体"/>
          <w:sz w:val="24"/>
          <w:szCs w:val="24"/>
        </w:rPr>
        <w:t>。</w:t>
      </w:r>
    </w:p>
    <w:p w14:paraId="4FB5F1F9">
      <w:pPr>
        <w:adjustRightInd w:val="0"/>
        <w:snapToGrid w:val="0"/>
        <w:spacing w:line="360" w:lineRule="auto"/>
        <w:rPr>
          <w:rStyle w:val="22"/>
          <w:rFonts w:ascii="宋体" w:hAnsi="宋体" w:eastAsia="宋体" w:cs="宋体"/>
          <w:color w:val="000000" w:themeColor="text1"/>
          <w:sz w:val="24"/>
          <w:szCs w:val="24"/>
          <w14:textFill>
            <w14:solidFill>
              <w14:schemeClr w14:val="tx1"/>
            </w14:solidFill>
          </w14:textFill>
        </w:rPr>
      </w:pPr>
      <w:r>
        <w:rPr>
          <w:rFonts w:hint="eastAsia" w:ascii="黑体" w:hAnsi="黑体" w:eastAsia="黑体" w:cs="黑体"/>
          <w:b/>
          <w:bCs/>
          <w:color w:val="000000" w:themeColor="text1"/>
          <w:sz w:val="24"/>
          <w:szCs w:val="24"/>
          <w14:textFill>
            <w14:solidFill>
              <w14:schemeClr w14:val="tx1"/>
            </w14:solidFill>
          </w14:textFill>
        </w:rPr>
        <w:t>关 键 词</w:t>
      </w:r>
      <w:r>
        <w:rPr>
          <w:rFonts w:hint="eastAsia" w:ascii="宋体" w:hAnsi="宋体" w:eastAsia="宋体"/>
          <w:b/>
          <w:color w:val="000000" w:themeColor="text1"/>
          <w:sz w:val="24"/>
          <w:szCs w:val="24"/>
          <w14:textFill>
            <w14:solidFill>
              <w14:schemeClr w14:val="tx1"/>
            </w14:solidFill>
          </w14:textFill>
        </w:rPr>
        <w:t>：</w:t>
      </w:r>
      <w:r>
        <w:rPr>
          <w:rFonts w:hint="eastAsia" w:ascii="楷体" w:hAnsi="楷体" w:eastAsia="楷体" w:cs="楷体"/>
          <w:sz w:val="24"/>
          <w:szCs w:val="24"/>
        </w:rPr>
        <w:t>全球</w:t>
      </w:r>
      <w:r>
        <w:rPr>
          <w:rFonts w:ascii="楷体" w:hAnsi="楷体" w:eastAsia="楷体" w:cs="楷体"/>
          <w:sz w:val="24"/>
          <w:szCs w:val="24"/>
        </w:rPr>
        <w:t>经济</w:t>
      </w:r>
      <w:r>
        <w:rPr>
          <w:rFonts w:hint="eastAsia" w:ascii="楷体" w:hAnsi="楷体" w:eastAsia="楷体" w:cs="楷体"/>
          <w:sz w:val="24"/>
          <w:szCs w:val="24"/>
        </w:rPr>
        <w:t>；分工；全球</w:t>
      </w:r>
      <w:r>
        <w:rPr>
          <w:rFonts w:ascii="楷体" w:hAnsi="楷体" w:eastAsia="楷体" w:cs="楷体"/>
          <w:sz w:val="24"/>
          <w:szCs w:val="24"/>
        </w:rPr>
        <w:t>价值链</w:t>
      </w:r>
      <w:r>
        <w:rPr>
          <w:rFonts w:hint="eastAsia" w:ascii="楷体" w:hAnsi="楷体" w:eastAsia="楷体" w:cs="楷体"/>
          <w:sz w:val="24"/>
          <w:szCs w:val="24"/>
        </w:rPr>
        <w:t>；</w:t>
      </w:r>
      <w:r>
        <w:rPr>
          <w:rFonts w:ascii="楷体" w:hAnsi="楷体" w:eastAsia="楷体" w:cs="楷体"/>
          <w:sz w:val="24"/>
          <w:szCs w:val="24"/>
        </w:rPr>
        <w:t>新型工业化</w:t>
      </w:r>
      <w:r>
        <w:rPr>
          <w:rFonts w:hint="eastAsia" w:ascii="楷体" w:hAnsi="楷体" w:eastAsia="楷体" w:cs="楷体"/>
          <w:sz w:val="24"/>
          <w:szCs w:val="24"/>
        </w:rPr>
        <w:t>；</w:t>
      </w:r>
      <w:r>
        <w:rPr>
          <w:rFonts w:ascii="楷体" w:hAnsi="楷体" w:eastAsia="楷体" w:cs="楷体"/>
          <w:sz w:val="24"/>
          <w:szCs w:val="24"/>
        </w:rPr>
        <w:t>自主创新</w:t>
      </w:r>
    </w:p>
    <w:p w14:paraId="76BE1B0E">
      <w:pPr>
        <w:adjustRightInd w:val="0"/>
        <w:snapToGrid w:val="0"/>
        <w:spacing w:line="360" w:lineRule="auto"/>
        <w:ind w:firstLine="480" w:firstLineChars="200"/>
        <w:rPr>
          <w:rStyle w:val="22"/>
          <w:rFonts w:cs="宋体"/>
          <w:color w:val="000000" w:themeColor="text1"/>
          <w:sz w:val="24"/>
          <w:szCs w:val="24"/>
          <w14:textFill>
            <w14:solidFill>
              <w14:schemeClr w14:val="tx1"/>
            </w14:solidFill>
          </w14:textFill>
        </w:rPr>
      </w:pPr>
    </w:p>
    <w:p w14:paraId="78B5948E">
      <w:pPr>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当前</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国际经济形势依然复杂严峻，受美欧等主要经济体紧缩的货币政策和更高的实际利率、持续高企的能源价格、疲软的实际家庭收入增长和信心下降等多重</w:t>
      </w:r>
      <w:r>
        <w:rPr>
          <w:rFonts w:ascii="宋体" w:hAnsi="宋体" w:eastAsia="宋体" w:cs="AdobeHeitiStd-Regular"/>
          <w:color w:val="000000" w:themeColor="text1"/>
          <w:kern w:val="0"/>
          <w:sz w:val="24"/>
          <w:szCs w:val="24"/>
          <w14:textFill>
            <w14:solidFill>
              <w14:schemeClr w14:val="tx1"/>
            </w14:solidFill>
          </w14:textFill>
        </w:rPr>
        <w:t>危机</w:t>
      </w:r>
      <w:r>
        <w:rPr>
          <w:rFonts w:hint="eastAsia" w:ascii="宋体" w:hAnsi="宋体" w:eastAsia="宋体" w:cs="AdobeHeitiStd-Regular"/>
          <w:color w:val="000000" w:themeColor="text1"/>
          <w:kern w:val="0"/>
          <w:sz w:val="24"/>
          <w:szCs w:val="24"/>
          <w14:textFill>
            <w14:solidFill>
              <w14:schemeClr w14:val="tx1"/>
            </w14:solidFill>
          </w14:textFill>
        </w:rPr>
        <w:t>交汇</w:t>
      </w:r>
      <w:r>
        <w:rPr>
          <w:rFonts w:ascii="宋体" w:hAnsi="宋体" w:eastAsia="宋体" w:cs="AdobeHeitiStd-Regular"/>
          <w:color w:val="000000" w:themeColor="text1"/>
          <w:kern w:val="0"/>
          <w:sz w:val="24"/>
          <w:szCs w:val="24"/>
          <w14:textFill>
            <w14:solidFill>
              <w14:schemeClr w14:val="tx1"/>
            </w14:solidFill>
          </w14:textFill>
        </w:rPr>
        <w:t>的影响</w:t>
      </w:r>
      <w:r>
        <w:rPr>
          <w:rFonts w:hint="eastAsia" w:ascii="宋体" w:hAnsi="宋体" w:eastAsia="宋体" w:cs="AdobeHeitiStd-Regular"/>
          <w:color w:val="000000" w:themeColor="text1"/>
          <w:kern w:val="0"/>
          <w:sz w:val="24"/>
          <w:szCs w:val="24"/>
          <w14:textFill>
            <w14:solidFill>
              <w14:schemeClr w14:val="tx1"/>
            </w14:solidFill>
          </w14:textFill>
        </w:rPr>
        <w:t>，世界经济运行中的各种短期问题和长期矛盾交织叠加，</w:t>
      </w:r>
      <w:r>
        <w:rPr>
          <w:rFonts w:ascii="宋体" w:hAnsi="宋体" w:eastAsia="宋体" w:cs="AdobeHeitiStd-Regular"/>
          <w:color w:val="000000" w:themeColor="text1"/>
          <w:kern w:val="0"/>
          <w:sz w:val="24"/>
          <w:szCs w:val="24"/>
          <w14:textFill>
            <w14:solidFill>
              <w14:schemeClr w14:val="tx1"/>
            </w14:solidFill>
          </w14:textFill>
        </w:rPr>
        <w:t>2023 年世界经济下行压力</w:t>
      </w:r>
      <w:r>
        <w:rPr>
          <w:rFonts w:hint="eastAsia" w:ascii="宋体" w:hAnsi="宋体" w:eastAsia="宋体" w:cs="AdobeHeitiStd-Regular"/>
          <w:color w:val="000000" w:themeColor="text1"/>
          <w:kern w:val="0"/>
          <w:sz w:val="24"/>
          <w:szCs w:val="24"/>
          <w14:textFill>
            <w14:solidFill>
              <w14:schemeClr w14:val="tx1"/>
            </w14:solidFill>
          </w14:textFill>
        </w:rPr>
        <w:t>持续</w:t>
      </w:r>
      <w:r>
        <w:rPr>
          <w:rFonts w:ascii="宋体" w:hAnsi="宋体" w:eastAsia="宋体" w:cs="AdobeHeitiStd-Regular"/>
          <w:color w:val="000000" w:themeColor="text1"/>
          <w:kern w:val="0"/>
          <w:sz w:val="24"/>
          <w:szCs w:val="24"/>
          <w14:textFill>
            <w14:solidFill>
              <w14:schemeClr w14:val="tx1"/>
            </w14:solidFill>
          </w14:textFill>
        </w:rPr>
        <w:t>增大、</w:t>
      </w:r>
      <w:r>
        <w:rPr>
          <w:rFonts w:hint="eastAsia" w:ascii="宋体" w:hAnsi="宋体" w:eastAsia="宋体" w:cs="AdobeHeitiStd-Regular"/>
          <w:color w:val="000000" w:themeColor="text1"/>
          <w:kern w:val="0"/>
          <w:sz w:val="24"/>
          <w:szCs w:val="24"/>
          <w14:textFill>
            <w14:solidFill>
              <w14:schemeClr w14:val="tx1"/>
            </w14:solidFill>
          </w14:textFill>
        </w:rPr>
        <w:t>衰退风险逐渐上升。国际货币基金组织</w:t>
      </w:r>
      <w:r>
        <w:rPr>
          <w:rFonts w:ascii="宋体" w:hAnsi="宋体" w:eastAsia="宋体" w:cs="AdobeHeitiStd-Regular"/>
          <w:color w:val="000000" w:themeColor="text1"/>
          <w:kern w:val="0"/>
          <w:sz w:val="24"/>
          <w:szCs w:val="24"/>
          <w14:textFill>
            <w14:solidFill>
              <w14:schemeClr w14:val="tx1"/>
            </w14:solidFill>
          </w14:textFill>
        </w:rPr>
        <w:t>(IMF)</w:t>
      </w:r>
      <w:r>
        <w:rPr>
          <w:rFonts w:hint="eastAsia" w:ascii="宋体" w:hAnsi="宋体" w:eastAsia="宋体" w:cs="AdobeHeitiStd-Regular"/>
          <w:color w:val="000000" w:themeColor="text1"/>
          <w:kern w:val="0"/>
          <w:sz w:val="24"/>
          <w:szCs w:val="24"/>
          <w14:textFill>
            <w14:solidFill>
              <w14:schemeClr w14:val="tx1"/>
            </w14:solidFill>
          </w14:textFill>
        </w:rPr>
        <w:t>发布</w:t>
      </w:r>
      <w:r>
        <w:rPr>
          <w:rFonts w:ascii="宋体" w:hAnsi="宋体" w:eastAsia="宋体" w:cs="AdobeHeitiStd-Regular"/>
          <w:color w:val="000000" w:themeColor="text1"/>
          <w:kern w:val="0"/>
          <w:sz w:val="24"/>
          <w:szCs w:val="24"/>
          <w14:textFill>
            <w14:solidFill>
              <w14:schemeClr w14:val="tx1"/>
            </w14:solidFill>
          </w14:textFill>
        </w:rPr>
        <w:t>的《</w:t>
      </w:r>
      <w:r>
        <w:rPr>
          <w:rFonts w:hint="eastAsia" w:ascii="宋体" w:hAnsi="宋体" w:eastAsia="宋体" w:cs="AdobeHeitiStd-Regular"/>
          <w:color w:val="000000" w:themeColor="text1"/>
          <w:kern w:val="0"/>
          <w:sz w:val="24"/>
          <w:szCs w:val="24"/>
          <w14:textFill>
            <w14:solidFill>
              <w14:schemeClr w14:val="tx1"/>
            </w14:solidFill>
          </w14:textFill>
        </w:rPr>
        <w:t>世界</w:t>
      </w:r>
      <w:r>
        <w:rPr>
          <w:rFonts w:ascii="宋体" w:hAnsi="宋体" w:eastAsia="宋体" w:cs="AdobeHeitiStd-Regular"/>
          <w:color w:val="000000" w:themeColor="text1"/>
          <w:kern w:val="0"/>
          <w:sz w:val="24"/>
          <w:szCs w:val="24"/>
          <w14:textFill>
            <w14:solidFill>
              <w14:schemeClr w14:val="tx1"/>
            </w14:solidFill>
          </w14:textFill>
        </w:rPr>
        <w:t>经济展望报告》</w:t>
      </w:r>
      <w:r>
        <w:rPr>
          <w:rFonts w:hint="eastAsia" w:ascii="宋体" w:hAnsi="宋体" w:eastAsia="宋体" w:cs="AdobeHeitiStd-Regular"/>
          <w:color w:val="000000" w:themeColor="text1"/>
          <w:kern w:val="0"/>
          <w:sz w:val="24"/>
          <w:szCs w:val="24"/>
          <w14:textFill>
            <w14:solidFill>
              <w14:schemeClr w14:val="tx1"/>
            </w14:solidFill>
          </w14:textFill>
        </w:rPr>
        <w:t>显示</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全球增长预计将从</w:t>
      </w:r>
      <w:r>
        <w:rPr>
          <w:rFonts w:ascii="宋体" w:hAnsi="宋体" w:eastAsia="宋体" w:cs="AdobeHeitiStd-Regular"/>
          <w:color w:val="000000" w:themeColor="text1"/>
          <w:kern w:val="0"/>
          <w:sz w:val="24"/>
          <w:szCs w:val="24"/>
          <w14:textFill>
            <w14:solidFill>
              <w14:schemeClr w14:val="tx1"/>
            </w14:solidFill>
          </w14:textFill>
        </w:rPr>
        <w:t>2022年的3.4%下降到2023年的2.9%</w:t>
      </w:r>
      <w:r>
        <w:rPr>
          <w:rFonts w:hint="eastAsia"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66"/>
      </w:r>
      <w:r>
        <w:rPr>
          <w:rFonts w:hint="eastAsia" w:ascii="宋体" w:hAnsi="宋体" w:eastAsia="宋体" w:cs="AdobeHeitiStd-Regular"/>
          <w:color w:val="000000" w:themeColor="text1"/>
          <w:kern w:val="0"/>
          <w:sz w:val="24"/>
          <w:szCs w:val="24"/>
          <w14:textFill>
            <w14:solidFill>
              <w14:schemeClr w14:val="tx1"/>
            </w14:solidFill>
          </w14:textFill>
        </w:rPr>
        <w:t xml:space="preserve"> 联合国《</w:t>
      </w:r>
      <w:r>
        <w:rPr>
          <w:rFonts w:ascii="宋体" w:hAnsi="宋体" w:eastAsia="宋体" w:cs="AdobeHeitiStd-Regular"/>
          <w:color w:val="000000" w:themeColor="text1"/>
          <w:kern w:val="0"/>
          <w:sz w:val="24"/>
          <w:szCs w:val="24"/>
          <w14:textFill>
            <w14:solidFill>
              <w14:schemeClr w14:val="tx1"/>
            </w14:solidFill>
          </w14:textFill>
        </w:rPr>
        <w:t>2023 年世界经济形势与展望》报告</w:t>
      </w:r>
      <w:r>
        <w:rPr>
          <w:rFonts w:hint="eastAsia" w:ascii="宋体" w:hAnsi="宋体" w:eastAsia="宋体" w:cs="AdobeHeitiStd-Regular"/>
          <w:color w:val="000000" w:themeColor="text1"/>
          <w:kern w:val="0"/>
          <w:sz w:val="24"/>
          <w:szCs w:val="24"/>
          <w14:textFill>
            <w14:solidFill>
              <w14:schemeClr w14:val="tx1"/>
            </w14:solidFill>
          </w14:textFill>
        </w:rPr>
        <w:t>认为</w:t>
      </w:r>
      <w:r>
        <w:rPr>
          <w:rFonts w:ascii="宋体" w:hAnsi="宋体" w:eastAsia="宋体" w:cs="AdobeHeitiStd-Regular"/>
          <w:color w:val="000000" w:themeColor="text1"/>
          <w:kern w:val="0"/>
          <w:sz w:val="24"/>
          <w:szCs w:val="24"/>
          <w14:textFill>
            <w14:solidFill>
              <w14:schemeClr w14:val="tx1"/>
            </w14:solidFill>
          </w14:textFill>
        </w:rPr>
        <w:t>，2023 年全球经济增速预计为1.9%，成为数十年来增速最低的年份之一。</w:t>
      </w:r>
      <w:r>
        <w:rPr>
          <w:rStyle w:val="20"/>
          <w:rFonts w:ascii="宋体" w:hAnsi="宋体" w:eastAsia="宋体" w:cs="AdobeHeitiStd-Regular"/>
          <w:color w:val="000000" w:themeColor="text1"/>
          <w:kern w:val="0"/>
          <w:sz w:val="24"/>
          <w:szCs w:val="24"/>
          <w14:textFill>
            <w14:solidFill>
              <w14:schemeClr w14:val="tx1"/>
            </w14:solidFill>
          </w14:textFill>
        </w:rPr>
        <w:footnoteReference w:id="367"/>
      </w:r>
      <w:r>
        <w:rPr>
          <w:rFonts w:hint="eastAsia" w:ascii="宋体" w:hAnsi="宋体" w:eastAsia="宋体" w:cs="AdobeHeitiStd-Regular"/>
          <w:color w:val="000000" w:themeColor="text1"/>
          <w:kern w:val="0"/>
          <w:sz w:val="24"/>
          <w:szCs w:val="24"/>
          <w14:textFill>
            <w14:solidFill>
              <w14:schemeClr w14:val="tx1"/>
            </w14:solidFill>
          </w14:textFill>
        </w:rPr>
        <w:t xml:space="preserve"> 世界银行发布的最新一期《全球经济展望》报告指出，经济增长急剧下滑将是一个普遍现象，几乎所有发达经济体和约2/3的新兴市场与发展中经济体和</w:t>
      </w:r>
      <w:r>
        <w:rPr>
          <w:rFonts w:ascii="宋体" w:hAnsi="宋体" w:eastAsia="宋体" w:cs="AdobeHeitiStd-Regular"/>
          <w:color w:val="000000" w:themeColor="text1"/>
          <w:kern w:val="0"/>
          <w:sz w:val="24"/>
          <w:szCs w:val="24"/>
          <w14:textFill>
            <w14:solidFill>
              <w14:schemeClr w14:val="tx1"/>
            </w14:solidFill>
          </w14:textFill>
        </w:rPr>
        <w:t>低收入国家</w:t>
      </w:r>
      <w:r>
        <w:rPr>
          <w:rFonts w:hint="eastAsia" w:ascii="宋体" w:hAnsi="宋体" w:eastAsia="宋体" w:cs="AdobeHeitiStd-Regular"/>
          <w:color w:val="000000" w:themeColor="text1"/>
          <w:kern w:val="0"/>
          <w:sz w:val="24"/>
          <w:szCs w:val="24"/>
          <w14:textFill>
            <w14:solidFill>
              <w14:schemeClr w14:val="tx1"/>
            </w14:solidFill>
          </w14:textFill>
        </w:rPr>
        <w:t>的增长预测都被下调，</w:t>
      </w:r>
      <w:r>
        <w:rPr>
          <w:rFonts w:ascii="宋体" w:hAnsi="宋体" w:eastAsia="宋体" w:cs="AdobeHeitiStd-Regular"/>
          <w:color w:val="000000" w:themeColor="text1"/>
          <w:kern w:val="0"/>
          <w:sz w:val="24"/>
          <w:szCs w:val="24"/>
          <w14:textFill>
            <w14:solidFill>
              <w14:schemeClr w14:val="tx1"/>
            </w14:solidFill>
          </w14:textFill>
        </w:rPr>
        <w:t>发达经济体的增长预计将从2022年的2.5%降至2023年的0.5%</w:t>
      </w:r>
      <w:r>
        <w:rPr>
          <w:rFonts w:hint="eastAsia" w:ascii="宋体" w:hAnsi="宋体" w:eastAsia="宋体" w:cs="AdobeHeitiStd-Regular"/>
          <w:color w:val="000000" w:themeColor="text1"/>
          <w:kern w:val="0"/>
          <w:sz w:val="24"/>
          <w:szCs w:val="24"/>
          <w14:textFill>
            <w14:solidFill>
              <w14:schemeClr w14:val="tx1"/>
            </w14:solidFill>
          </w14:textFill>
        </w:rPr>
        <w:t>；新兴市场经济体的增长前景严重恶化，</w:t>
      </w:r>
      <w:r>
        <w:rPr>
          <w:rFonts w:ascii="宋体" w:hAnsi="宋体" w:eastAsia="宋体" w:cs="AdobeHeitiStd-Regular"/>
          <w:color w:val="000000" w:themeColor="text1"/>
          <w:kern w:val="0"/>
          <w:sz w:val="24"/>
          <w:szCs w:val="24"/>
          <w14:textFill>
            <w14:solidFill>
              <w14:schemeClr w14:val="tx1"/>
            </w14:solidFill>
          </w14:textFill>
        </w:rPr>
        <w:t>2023年的预测下调了0.8个百分点，降至3.4%</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在目前的经济形势下，任何新的不利因素都可能将全球经济推入衰退</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如果出现这种情况，那将是80多年来首次在同一个10年期内连续发生两次全球衰退。</w:t>
      </w:r>
      <w:r>
        <w:rPr>
          <w:rStyle w:val="20"/>
          <w:rFonts w:ascii="宋体" w:hAnsi="宋体" w:eastAsia="宋体" w:cs="AdobeHeitiStd-Regular"/>
          <w:color w:val="000000" w:themeColor="text1"/>
          <w:kern w:val="0"/>
          <w:sz w:val="24"/>
          <w:szCs w:val="24"/>
          <w14:textFill>
            <w14:solidFill>
              <w14:schemeClr w14:val="tx1"/>
            </w14:solidFill>
          </w14:textFill>
        </w:rPr>
        <w:footnoteReference w:id="368"/>
      </w:r>
      <w:r>
        <w:rPr>
          <w:rFonts w:hint="eastAsia" w:ascii="Times New Roman" w:hAnsi="Times New Roman" w:eastAsia="宋体" w:cs="Times New Roman"/>
          <w:b/>
          <w:bCs/>
          <w:color w:val="000000" w:themeColor="text1"/>
          <w:kern w:val="0"/>
          <w:sz w:val="24"/>
          <w:szCs w:val="24"/>
          <w14:textFill>
            <w14:solidFill>
              <w14:schemeClr w14:val="tx1"/>
            </w14:solidFill>
          </w14:textFill>
        </w:rPr>
        <w:t xml:space="preserve"> </w:t>
      </w:r>
      <w:r>
        <w:rPr>
          <w:rFonts w:hint="eastAsia" w:ascii="宋体" w:hAnsi="宋体" w:eastAsia="宋体" w:cs="AdobeHeitiStd-Regular"/>
          <w:color w:val="000000" w:themeColor="text1"/>
          <w:kern w:val="0"/>
          <w:sz w:val="24"/>
          <w:szCs w:val="24"/>
          <w14:textFill>
            <w14:solidFill>
              <w14:schemeClr w14:val="tx1"/>
            </w14:solidFill>
          </w14:textFill>
        </w:rPr>
        <w:t>经济前景</w:t>
      </w:r>
      <w:r>
        <w:rPr>
          <w:rFonts w:ascii="宋体" w:hAnsi="宋体" w:eastAsia="宋体" w:cs="AdobeHeitiStd-Regular"/>
          <w:color w:val="000000" w:themeColor="text1"/>
          <w:kern w:val="0"/>
          <w:sz w:val="24"/>
          <w:szCs w:val="24"/>
          <w14:textFill>
            <w14:solidFill>
              <w14:schemeClr w14:val="tx1"/>
            </w14:solidFill>
          </w14:textFill>
        </w:rPr>
        <w:t>的黯淡</w:t>
      </w:r>
      <w:r>
        <w:rPr>
          <w:rFonts w:hint="eastAsia" w:ascii="宋体" w:hAnsi="宋体" w:eastAsia="宋体" w:cs="AdobeHeitiStd-Regular"/>
          <w:color w:val="000000" w:themeColor="text1"/>
          <w:kern w:val="0"/>
          <w:sz w:val="24"/>
          <w:szCs w:val="24"/>
          <w14:textFill>
            <w14:solidFill>
              <w14:schemeClr w14:val="tx1"/>
            </w14:solidFill>
          </w14:textFill>
        </w:rPr>
        <w:t>促使不同</w:t>
      </w:r>
      <w:r>
        <w:rPr>
          <w:rFonts w:ascii="宋体" w:hAnsi="宋体" w:eastAsia="宋体" w:cs="AdobeHeitiStd-Regular"/>
          <w:color w:val="000000" w:themeColor="text1"/>
          <w:kern w:val="0"/>
          <w:sz w:val="24"/>
          <w:szCs w:val="24"/>
          <w14:textFill>
            <w14:solidFill>
              <w14:schemeClr w14:val="tx1"/>
            </w14:solidFill>
          </w14:textFill>
        </w:rPr>
        <w:t>类型的国家利益分化，</w:t>
      </w:r>
      <w:r>
        <w:rPr>
          <w:rFonts w:hint="eastAsia" w:ascii="宋体" w:hAnsi="宋体" w:eastAsia="宋体" w:cs="AdobeHeitiStd-Regular"/>
          <w:color w:val="000000" w:themeColor="text1"/>
          <w:kern w:val="0"/>
          <w:sz w:val="24"/>
          <w:szCs w:val="24"/>
          <w14:textFill>
            <w14:solidFill>
              <w14:schemeClr w14:val="tx1"/>
            </w14:solidFill>
          </w14:textFill>
        </w:rPr>
        <w:t>全球主要大国或国家集团之间的竞合关系处于深度调整之中，甚至出现大国之间的零和博弈逐步发展为“负和博弈”，大国关系的组合和调整正在推动构筑分化世界的平行体系。在分化</w:t>
      </w:r>
      <w:r>
        <w:rPr>
          <w:rFonts w:ascii="宋体" w:hAnsi="宋体" w:eastAsia="宋体" w:cs="AdobeHeitiStd-Regular"/>
          <w:color w:val="000000" w:themeColor="text1"/>
          <w:kern w:val="0"/>
          <w:sz w:val="24"/>
          <w:szCs w:val="24"/>
          <w14:textFill>
            <w14:solidFill>
              <w14:schemeClr w14:val="tx1"/>
            </w14:solidFill>
          </w14:textFill>
        </w:rPr>
        <w:t>中的挣扎</w:t>
      </w:r>
      <w:r>
        <w:rPr>
          <w:rFonts w:hint="eastAsia" w:ascii="宋体" w:hAnsi="宋体" w:eastAsia="宋体" w:cs="AdobeHeitiStd-Regular"/>
          <w:color w:val="000000" w:themeColor="text1"/>
          <w:kern w:val="0"/>
          <w:sz w:val="24"/>
          <w:szCs w:val="24"/>
          <w14:textFill>
            <w14:solidFill>
              <w14:schemeClr w14:val="tx1"/>
            </w14:solidFill>
          </w14:textFill>
        </w:rPr>
        <w:t>中</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全球经济“慢性萧条”趋向已经显现，之前的总量扩张、自稳定战略机遇期正在缩小。在</w:t>
      </w:r>
      <w:r>
        <w:rPr>
          <w:rFonts w:ascii="宋体" w:hAnsi="宋体" w:eastAsia="宋体" w:cs="AdobeHeitiStd-Regular"/>
          <w:color w:val="000000" w:themeColor="text1"/>
          <w:kern w:val="0"/>
          <w:sz w:val="24"/>
          <w:szCs w:val="24"/>
          <w14:textFill>
            <w14:solidFill>
              <w14:schemeClr w14:val="tx1"/>
            </w14:solidFill>
          </w14:textFill>
        </w:rPr>
        <w:t>这种情况下，</w:t>
      </w:r>
      <w:r>
        <w:rPr>
          <w:rFonts w:hint="eastAsia" w:ascii="宋体" w:hAnsi="宋体" w:eastAsia="宋体" w:cs="AdobeHeitiStd-Regular"/>
          <w:color w:val="000000" w:themeColor="text1"/>
          <w:kern w:val="0"/>
          <w:sz w:val="24"/>
          <w:szCs w:val="24"/>
          <w14:textFill>
            <w14:solidFill>
              <w14:schemeClr w14:val="tx1"/>
            </w14:solidFill>
          </w14:textFill>
        </w:rPr>
        <w:t>如何看待当前全球经济新格局，全球经济新格局有哪些变化，这种格局的内在实质是什么？我国当前</w:t>
      </w:r>
      <w:r>
        <w:rPr>
          <w:rFonts w:ascii="宋体" w:hAnsi="宋体" w:eastAsia="宋体" w:cs="AdobeHeitiStd-Regular"/>
          <w:color w:val="000000" w:themeColor="text1"/>
          <w:kern w:val="0"/>
          <w:sz w:val="24"/>
          <w:szCs w:val="24"/>
          <w14:textFill>
            <w14:solidFill>
              <w14:schemeClr w14:val="tx1"/>
            </w14:solidFill>
          </w14:textFill>
        </w:rPr>
        <w:t>也</w:t>
      </w:r>
      <w:r>
        <w:rPr>
          <w:rFonts w:hint="eastAsia" w:ascii="宋体" w:hAnsi="宋体" w:eastAsia="宋体" w:cs="AdobeHeitiStd-Regular"/>
          <w:color w:val="000000" w:themeColor="text1"/>
          <w:kern w:val="0"/>
          <w:sz w:val="24"/>
          <w:szCs w:val="24"/>
          <w14:textFill>
            <w14:solidFill>
              <w14:schemeClr w14:val="tx1"/>
            </w14:solidFill>
          </w14:textFill>
        </w:rPr>
        <w:t>面临国内需求收缩、供给冲击、预期转弱的三重压力，那么我们需要通过追溯世界经济的格局动态及其</w:t>
      </w:r>
      <w:r>
        <w:rPr>
          <w:rFonts w:ascii="宋体" w:hAnsi="宋体" w:eastAsia="宋体" w:cs="AdobeHeitiStd-Regular"/>
          <w:color w:val="000000" w:themeColor="text1"/>
          <w:kern w:val="0"/>
          <w:sz w:val="24"/>
          <w:szCs w:val="24"/>
          <w14:textFill>
            <w14:solidFill>
              <w14:schemeClr w14:val="tx1"/>
            </w14:solidFill>
          </w14:textFill>
        </w:rPr>
        <w:t>内在实质</w:t>
      </w:r>
      <w:r>
        <w:rPr>
          <w:rFonts w:hint="eastAsia" w:ascii="宋体" w:hAnsi="宋体" w:eastAsia="宋体" w:cs="AdobeHeitiStd-Regular"/>
          <w:color w:val="000000" w:themeColor="text1"/>
          <w:kern w:val="0"/>
          <w:sz w:val="24"/>
          <w:szCs w:val="24"/>
          <w14:textFill>
            <w14:solidFill>
              <w14:schemeClr w14:val="tx1"/>
            </w14:solidFill>
          </w14:textFill>
        </w:rPr>
        <w:t>，思索中国经济在“大变局”与“大复兴”的历史交汇期如何转型发展的核心问题与关键路径。</w:t>
      </w:r>
    </w:p>
    <w:p w14:paraId="64FA8125">
      <w:pPr>
        <w:spacing w:before="312" w:beforeLines="100" w:after="312" w:afterLines="100" w:line="400" w:lineRule="exact"/>
        <w:jc w:val="center"/>
        <w:rPr>
          <w:rFonts w:ascii="黑体" w:hAnsi="黑体" w:eastAsia="黑体" w:cs="黑体"/>
          <w:b/>
          <w:bCs/>
          <w:color w:val="000000" w:themeColor="text1"/>
          <w:sz w:val="24"/>
          <w:szCs w:val="24"/>
          <w14:textFill>
            <w14:solidFill>
              <w14:schemeClr w14:val="tx1"/>
            </w14:solidFill>
          </w14:textFill>
        </w:rPr>
      </w:pPr>
      <w:r>
        <w:rPr>
          <w:rFonts w:hint="eastAsia" w:ascii="黑体" w:hAnsi="黑体" w:eastAsia="黑体" w:cs="黑体"/>
          <w:b/>
          <w:bCs/>
          <w:color w:val="000000" w:themeColor="text1"/>
          <w:sz w:val="24"/>
          <w:szCs w:val="24"/>
          <w14:textFill>
            <w14:solidFill>
              <w14:schemeClr w14:val="tx1"/>
            </w14:solidFill>
          </w14:textFill>
        </w:rPr>
        <w:t>一</w:t>
      </w:r>
      <w:r>
        <w:rPr>
          <w:rFonts w:ascii="黑体" w:hAnsi="黑体" w:eastAsia="黑体" w:cs="黑体"/>
          <w:b/>
          <w:bCs/>
          <w:color w:val="000000" w:themeColor="text1"/>
          <w:sz w:val="24"/>
          <w:szCs w:val="24"/>
          <w14:textFill>
            <w14:solidFill>
              <w14:schemeClr w14:val="tx1"/>
            </w14:solidFill>
          </w14:textFill>
        </w:rPr>
        <w:t>、</w:t>
      </w:r>
      <w:r>
        <w:rPr>
          <w:rFonts w:hint="eastAsia" w:ascii="黑体" w:hAnsi="黑体" w:eastAsia="黑体" w:cs="黑体"/>
          <w:b/>
          <w:bCs/>
          <w:color w:val="000000" w:themeColor="text1"/>
          <w:sz w:val="24"/>
          <w:szCs w:val="24"/>
          <w14:textFill>
            <w14:solidFill>
              <w14:schemeClr w14:val="tx1"/>
            </w14:solidFill>
          </w14:textFill>
        </w:rPr>
        <w:t>全球经济新格局</w:t>
      </w:r>
    </w:p>
    <w:p w14:paraId="33F6338E">
      <w:pPr>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新古典经济理论认为，随着经济的增长必然会出现纵向的“涓流效应”和横向的“扩散效应”,两种效应会自发促使经济福利得以扩展推广，并最终形成社会</w:t>
      </w:r>
      <w:r>
        <w:rPr>
          <w:rFonts w:ascii="宋体" w:hAnsi="宋体" w:eastAsia="宋体" w:cs="AdobeHeitiStd-Regular"/>
          <w:color w:val="000000" w:themeColor="text1"/>
          <w:kern w:val="0"/>
          <w:sz w:val="24"/>
          <w:szCs w:val="24"/>
          <w14:textFill>
            <w14:solidFill>
              <w14:schemeClr w14:val="tx1"/>
            </w14:solidFill>
          </w14:textFill>
        </w:rPr>
        <w:t>的</w:t>
      </w:r>
      <w:r>
        <w:rPr>
          <w:rFonts w:hint="eastAsia" w:ascii="宋体" w:hAnsi="宋体" w:eastAsia="宋体" w:cs="AdobeHeitiStd-Regular"/>
          <w:color w:val="000000" w:themeColor="text1"/>
          <w:kern w:val="0"/>
          <w:sz w:val="24"/>
          <w:szCs w:val="24"/>
          <w14:textFill>
            <w14:solidFill>
              <w14:schemeClr w14:val="tx1"/>
            </w14:solidFill>
          </w14:textFill>
        </w:rPr>
        <w:t>帕累托最优状态。然而</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这种以均衡为前提来演绎均衡结论的循环论证</w:t>
      </w:r>
      <w:r>
        <w:rPr>
          <w:rFonts w:ascii="宋体" w:hAnsi="宋体" w:eastAsia="宋体" w:cs="AdobeHeitiStd-Regular"/>
          <w:color w:val="000000" w:themeColor="text1"/>
          <w:kern w:val="0"/>
          <w:sz w:val="24"/>
          <w:szCs w:val="24"/>
          <w14:textFill>
            <w14:solidFill>
              <w14:schemeClr w14:val="tx1"/>
            </w14:solidFill>
          </w14:textFill>
        </w:rPr>
        <w:t>，并不能解释现实。</w:t>
      </w:r>
      <w:r>
        <w:rPr>
          <w:rFonts w:hint="eastAsia" w:ascii="宋体" w:hAnsi="宋体" w:eastAsia="宋体" w:cs="AdobeHeitiStd-Regular"/>
          <w:color w:val="000000" w:themeColor="text1"/>
          <w:kern w:val="0"/>
          <w:sz w:val="24"/>
          <w:szCs w:val="24"/>
          <w14:textFill>
            <w14:solidFill>
              <w14:schemeClr w14:val="tx1"/>
            </w14:solidFill>
          </w14:textFill>
        </w:rPr>
        <w:t>市场作为社会建构，并非自然之物，而是一个动态的竞争过程</w:t>
      </w:r>
      <w:r>
        <w:rPr>
          <w:rFonts w:ascii="宋体" w:hAnsi="宋体" w:eastAsia="宋体" w:cs="AdobeHeitiStd-Regular"/>
          <w:color w:val="000000" w:themeColor="text1"/>
          <w:kern w:val="0"/>
          <w:sz w:val="24"/>
          <w:szCs w:val="24"/>
          <w14:textFill>
            <w14:solidFill>
              <w14:schemeClr w14:val="tx1"/>
            </w14:solidFill>
          </w14:textFill>
        </w:rPr>
        <w:t>，反映</w:t>
      </w:r>
      <w:r>
        <w:rPr>
          <w:rFonts w:hint="eastAsia" w:ascii="宋体" w:hAnsi="宋体" w:eastAsia="宋体" w:cs="AdobeHeitiStd-Regular"/>
          <w:color w:val="000000" w:themeColor="text1"/>
          <w:kern w:val="0"/>
          <w:sz w:val="24"/>
          <w:szCs w:val="24"/>
          <w14:textFill>
            <w14:solidFill>
              <w14:schemeClr w14:val="tx1"/>
            </w14:solidFill>
          </w14:textFill>
        </w:rPr>
        <w:t>着</w:t>
      </w:r>
      <w:r>
        <w:rPr>
          <w:rFonts w:ascii="宋体" w:hAnsi="宋体" w:eastAsia="宋体" w:cs="AdobeHeitiStd-Regular"/>
          <w:color w:val="000000" w:themeColor="text1"/>
          <w:kern w:val="0"/>
          <w:sz w:val="24"/>
          <w:szCs w:val="24"/>
          <w14:textFill>
            <w14:solidFill>
              <w14:schemeClr w14:val="tx1"/>
            </w14:solidFill>
          </w14:textFill>
        </w:rPr>
        <w:t>不同主体的相互关系</w:t>
      </w:r>
      <w:r>
        <w:rPr>
          <w:rFonts w:hint="eastAsia" w:ascii="宋体" w:hAnsi="宋体" w:eastAsia="宋体" w:cs="AdobeHeitiStd-Regular"/>
          <w:color w:val="000000" w:themeColor="text1"/>
          <w:kern w:val="0"/>
          <w:sz w:val="24"/>
          <w:szCs w:val="24"/>
          <w14:textFill>
            <w14:solidFill>
              <w14:schemeClr w14:val="tx1"/>
            </w14:solidFill>
          </w14:textFill>
        </w:rPr>
        <w:t>，不同</w:t>
      </w:r>
      <w:r>
        <w:rPr>
          <w:rFonts w:ascii="宋体" w:hAnsi="宋体" w:eastAsia="宋体" w:cs="AdobeHeitiStd-Regular"/>
          <w:color w:val="000000" w:themeColor="text1"/>
          <w:kern w:val="0"/>
          <w:sz w:val="24"/>
          <w:szCs w:val="24"/>
          <w14:textFill>
            <w14:solidFill>
              <w14:schemeClr w14:val="tx1"/>
            </w14:solidFill>
          </w14:textFill>
        </w:rPr>
        <w:t>主体的相对关系变化</w:t>
      </w:r>
      <w:r>
        <w:rPr>
          <w:rFonts w:hint="eastAsia" w:ascii="宋体" w:hAnsi="宋体" w:eastAsia="宋体" w:cs="AdobeHeitiStd-Regular"/>
          <w:color w:val="000000" w:themeColor="text1"/>
          <w:kern w:val="0"/>
          <w:sz w:val="24"/>
          <w:szCs w:val="24"/>
          <w14:textFill>
            <w14:solidFill>
              <w14:schemeClr w14:val="tx1"/>
            </w14:solidFill>
          </w14:textFill>
        </w:rPr>
        <w:t>及其</w:t>
      </w:r>
      <w:r>
        <w:rPr>
          <w:rFonts w:ascii="宋体" w:hAnsi="宋体" w:eastAsia="宋体" w:cs="AdobeHeitiStd-Regular"/>
          <w:color w:val="000000" w:themeColor="text1"/>
          <w:kern w:val="0"/>
          <w:sz w:val="24"/>
          <w:szCs w:val="24"/>
          <w14:textFill>
            <w14:solidFill>
              <w14:schemeClr w14:val="tx1"/>
            </w14:solidFill>
          </w14:textFill>
        </w:rPr>
        <w:t>非均衡</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非线性发展</w:t>
      </w:r>
      <w:r>
        <w:rPr>
          <w:rFonts w:hint="eastAsia" w:ascii="宋体" w:hAnsi="宋体" w:eastAsia="宋体" w:cs="AdobeHeitiStd-Regular"/>
          <w:color w:val="000000" w:themeColor="text1"/>
          <w:kern w:val="0"/>
          <w:sz w:val="24"/>
          <w:szCs w:val="24"/>
          <w14:textFill>
            <w14:solidFill>
              <w14:schemeClr w14:val="tx1"/>
            </w14:solidFill>
          </w14:textFill>
        </w:rPr>
        <w:t>才是</w:t>
      </w:r>
      <w:r>
        <w:rPr>
          <w:rFonts w:ascii="宋体" w:hAnsi="宋体" w:eastAsia="宋体" w:cs="AdobeHeitiStd-Regular"/>
          <w:color w:val="000000" w:themeColor="text1"/>
          <w:kern w:val="0"/>
          <w:sz w:val="24"/>
          <w:szCs w:val="24"/>
          <w14:textFill>
            <w14:solidFill>
              <w14:schemeClr w14:val="tx1"/>
            </w14:solidFill>
          </w14:textFill>
        </w:rPr>
        <w:t>常态。</w:t>
      </w:r>
      <w:r>
        <w:rPr>
          <w:rFonts w:hint="eastAsia" w:ascii="宋体" w:hAnsi="宋体" w:eastAsia="宋体" w:cs="AdobeHeitiStd-Regular"/>
          <w:color w:val="000000" w:themeColor="text1"/>
          <w:kern w:val="0"/>
          <w:sz w:val="24"/>
          <w:szCs w:val="24"/>
          <w14:textFill>
            <w14:solidFill>
              <w14:schemeClr w14:val="tx1"/>
            </w14:solidFill>
          </w14:textFill>
        </w:rPr>
        <w:t>每一轮工业革命的展开，既是突破性技术大量涌现的过程，也是与这些技术相适应的政府治理系统和国家间治理规则调整的过程，是一场技术与经济范式的协同建构，是技术和组织方式共同的“创造性毁灭”过程。国家间的利益冲突以及相应的战略规划和政策调整，必将对既有的全球治理体系形成强烈冲击和</w:t>
      </w:r>
      <w:r>
        <w:rPr>
          <w:rFonts w:ascii="宋体" w:hAnsi="宋体" w:eastAsia="宋体" w:cs="AdobeHeitiStd-Regular"/>
          <w:color w:val="000000" w:themeColor="text1"/>
          <w:kern w:val="0"/>
          <w:sz w:val="24"/>
          <w:szCs w:val="24"/>
          <w14:textFill>
            <w14:solidFill>
              <w14:schemeClr w14:val="tx1"/>
            </w14:solidFill>
          </w14:textFill>
        </w:rPr>
        <w:t>重新诠释</w:t>
      </w:r>
      <w:r>
        <w:rPr>
          <w:rFonts w:hint="eastAsia" w:ascii="宋体" w:hAnsi="宋体" w:eastAsia="宋体" w:cs="AdobeHeitiStd-Regular"/>
          <w:color w:val="000000" w:themeColor="text1"/>
          <w:kern w:val="0"/>
          <w:sz w:val="24"/>
          <w:szCs w:val="24"/>
          <w14:textFill>
            <w14:solidFill>
              <w14:schemeClr w14:val="tx1"/>
            </w14:solidFill>
          </w14:textFill>
        </w:rPr>
        <w:t>，导致既有的治理规则受到挑战。随着第四次工业</w:t>
      </w:r>
      <w:r>
        <w:rPr>
          <w:rFonts w:ascii="宋体" w:hAnsi="宋体" w:eastAsia="宋体" w:cs="AdobeHeitiStd-Regular"/>
          <w:color w:val="000000" w:themeColor="text1"/>
          <w:kern w:val="0"/>
          <w:sz w:val="24"/>
          <w:szCs w:val="24"/>
          <w14:textFill>
            <w14:solidFill>
              <w14:schemeClr w14:val="tx1"/>
            </w14:solidFill>
          </w14:textFill>
        </w:rPr>
        <w:t>革命的到来，</w:t>
      </w:r>
      <w:r>
        <w:rPr>
          <w:rFonts w:hint="eastAsia" w:ascii="宋体" w:hAnsi="宋体" w:eastAsia="宋体" w:cs="AdobeHeitiStd-Regular"/>
          <w:color w:val="000000" w:themeColor="text1"/>
          <w:kern w:val="0"/>
          <w:sz w:val="24"/>
          <w:szCs w:val="24"/>
          <w14:textFill>
            <w14:solidFill>
              <w14:schemeClr w14:val="tx1"/>
            </w14:solidFill>
          </w14:textFill>
        </w:rPr>
        <w:t>世界经济秩序在动态</w:t>
      </w:r>
      <w:r>
        <w:rPr>
          <w:rFonts w:ascii="宋体" w:hAnsi="宋体" w:eastAsia="宋体" w:cs="AdobeHeitiStd-Regular"/>
          <w:color w:val="000000" w:themeColor="text1"/>
          <w:kern w:val="0"/>
          <w:sz w:val="24"/>
          <w:szCs w:val="24"/>
          <w14:textFill>
            <w14:solidFill>
              <w14:schemeClr w14:val="tx1"/>
            </w14:solidFill>
          </w14:textFill>
        </w:rPr>
        <w:t>中</w:t>
      </w:r>
      <w:r>
        <w:rPr>
          <w:rFonts w:hint="eastAsia" w:ascii="宋体" w:hAnsi="宋体" w:eastAsia="宋体" w:cs="AdobeHeitiStd-Regular"/>
          <w:color w:val="000000" w:themeColor="text1"/>
          <w:kern w:val="0"/>
          <w:sz w:val="24"/>
          <w:szCs w:val="24"/>
          <w14:textFill>
            <w14:solidFill>
              <w14:schemeClr w14:val="tx1"/>
            </w14:solidFill>
          </w14:textFill>
        </w:rPr>
        <w:t>不断</w:t>
      </w:r>
      <w:r>
        <w:rPr>
          <w:rFonts w:ascii="宋体" w:hAnsi="宋体" w:eastAsia="宋体" w:cs="AdobeHeitiStd-Regular"/>
          <w:color w:val="000000" w:themeColor="text1"/>
          <w:kern w:val="0"/>
          <w:sz w:val="24"/>
          <w:szCs w:val="24"/>
          <w14:textFill>
            <w14:solidFill>
              <w14:schemeClr w14:val="tx1"/>
            </w14:solidFill>
          </w14:textFill>
        </w:rPr>
        <w:t>进行调整，全球经济</w:t>
      </w:r>
      <w:r>
        <w:rPr>
          <w:rFonts w:hint="eastAsia" w:ascii="宋体" w:hAnsi="宋体" w:eastAsia="宋体" w:cs="AdobeHeitiStd-Regular"/>
          <w:color w:val="000000" w:themeColor="text1"/>
          <w:kern w:val="0"/>
          <w:sz w:val="24"/>
          <w:szCs w:val="24"/>
          <w14:textFill>
            <w14:solidFill>
              <w14:schemeClr w14:val="tx1"/>
            </w14:solidFill>
          </w14:textFill>
        </w:rPr>
        <w:t>新格局</w:t>
      </w:r>
      <w:r>
        <w:rPr>
          <w:rFonts w:ascii="宋体" w:hAnsi="宋体" w:eastAsia="宋体" w:cs="AdobeHeitiStd-Regular"/>
          <w:color w:val="000000" w:themeColor="text1"/>
          <w:kern w:val="0"/>
          <w:sz w:val="24"/>
          <w:szCs w:val="24"/>
          <w14:textFill>
            <w14:solidFill>
              <w14:schemeClr w14:val="tx1"/>
            </w14:solidFill>
          </w14:textFill>
        </w:rPr>
        <w:t>正在形成。</w:t>
      </w:r>
    </w:p>
    <w:p w14:paraId="219B7EE3">
      <w:pPr>
        <w:pStyle w:val="4"/>
        <w:adjustRightInd w:val="0"/>
        <w:snapToGrid w:val="0"/>
        <w:spacing w:before="0" w:after="0" w:line="360" w:lineRule="auto"/>
        <w:ind w:firstLine="480" w:firstLineChars="200"/>
        <w:rPr>
          <w:rStyle w:val="21"/>
          <w:rFonts w:ascii="宋体" w:hAnsi="宋体" w:eastAsia="宋体"/>
          <w:b/>
          <w:bCs w:val="0"/>
          <w:color w:val="000000" w:themeColor="text1"/>
          <w:sz w:val="24"/>
          <w:szCs w:val="24"/>
          <w14:textFill>
            <w14:solidFill>
              <w14:schemeClr w14:val="tx1"/>
            </w14:solidFill>
          </w14:textFill>
        </w:rPr>
      </w:pPr>
      <w:bookmarkStart w:id="183" w:name="_Toc1565223565"/>
      <w:bookmarkStart w:id="184" w:name="_Toc328932861"/>
      <w:bookmarkStart w:id="185" w:name="_Toc783173561"/>
      <w:bookmarkStart w:id="186" w:name="_Toc902754215"/>
      <w:bookmarkStart w:id="187" w:name="_Toc32111"/>
      <w:bookmarkStart w:id="188" w:name="_Toc1138680232"/>
      <w:r>
        <w:rPr>
          <w:rStyle w:val="21"/>
          <w:rFonts w:hint="eastAsia" w:ascii="宋体" w:hAnsi="宋体" w:eastAsia="宋体"/>
          <w:b/>
          <w:bCs w:val="0"/>
          <w:color w:val="000000" w:themeColor="text1"/>
          <w:sz w:val="24"/>
          <w:szCs w:val="24"/>
          <w14:textFill>
            <w14:solidFill>
              <w14:schemeClr w14:val="tx1"/>
            </w14:solidFill>
          </w14:textFill>
        </w:rPr>
        <w:t>（一） “大政府”</w:t>
      </w:r>
      <w:r>
        <w:rPr>
          <w:rStyle w:val="21"/>
          <w:rFonts w:ascii="宋体" w:hAnsi="宋体" w:eastAsia="宋体"/>
          <w:b/>
          <w:bCs w:val="0"/>
          <w:color w:val="000000" w:themeColor="text1"/>
          <w:sz w:val="24"/>
          <w:szCs w:val="24"/>
          <w14:textFill>
            <w14:solidFill>
              <w14:schemeClr w14:val="tx1"/>
            </w14:solidFill>
          </w14:textFill>
        </w:rPr>
        <w:t xml:space="preserve"> </w:t>
      </w:r>
      <w:r>
        <w:rPr>
          <w:rStyle w:val="21"/>
          <w:rFonts w:hint="eastAsia" w:ascii="宋体" w:hAnsi="宋体" w:eastAsia="宋体"/>
          <w:b/>
          <w:bCs w:val="0"/>
          <w:color w:val="000000" w:themeColor="text1"/>
          <w:sz w:val="24"/>
          <w:szCs w:val="24"/>
          <w14:textFill>
            <w14:solidFill>
              <w14:schemeClr w14:val="tx1"/>
            </w14:solidFill>
          </w14:textFill>
        </w:rPr>
        <w:t>取代“大市场”</w:t>
      </w:r>
    </w:p>
    <w:bookmarkEnd w:id="183"/>
    <w:bookmarkEnd w:id="184"/>
    <w:bookmarkEnd w:id="185"/>
    <w:bookmarkEnd w:id="186"/>
    <w:bookmarkEnd w:id="187"/>
    <w:bookmarkEnd w:id="188"/>
    <w:p w14:paraId="529ABF67">
      <w:pPr>
        <w:autoSpaceDE w:val="0"/>
        <w:autoSpaceDN w:val="0"/>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2008年</w:t>
      </w:r>
      <w:r>
        <w:rPr>
          <w:rFonts w:ascii="宋体" w:hAnsi="宋体" w:eastAsia="宋体" w:cs="AdobeHeitiStd-Regular"/>
          <w:color w:val="000000" w:themeColor="text1"/>
          <w:kern w:val="0"/>
          <w:sz w:val="24"/>
          <w:szCs w:val="24"/>
          <w14:textFill>
            <w14:solidFill>
              <w14:schemeClr w14:val="tx1"/>
            </w14:solidFill>
          </w14:textFill>
        </w:rPr>
        <w:t>金融危机的爆发</w:t>
      </w:r>
      <w:r>
        <w:rPr>
          <w:rFonts w:hint="eastAsia" w:ascii="宋体" w:hAnsi="宋体" w:eastAsia="宋体" w:cs="AdobeHeitiStd-Regular"/>
          <w:color w:val="000000" w:themeColor="text1"/>
          <w:kern w:val="0"/>
          <w:sz w:val="24"/>
          <w:szCs w:val="24"/>
          <w14:textFill>
            <w14:solidFill>
              <w14:schemeClr w14:val="tx1"/>
            </w14:solidFill>
          </w14:textFill>
        </w:rPr>
        <w:t>之前</w:t>
      </w:r>
      <w:r>
        <w:rPr>
          <w:rFonts w:ascii="宋体" w:hAnsi="宋体" w:eastAsia="宋体" w:cs="AdobeHeitiStd-Regular"/>
          <w:color w:val="000000" w:themeColor="text1"/>
          <w:kern w:val="0"/>
          <w:sz w:val="24"/>
          <w:szCs w:val="24"/>
          <w14:textFill>
            <w14:solidFill>
              <w14:schemeClr w14:val="tx1"/>
            </w14:solidFill>
          </w14:textFill>
        </w:rPr>
        <w:t>，新自由主义</w:t>
      </w:r>
      <w:r>
        <w:rPr>
          <w:rFonts w:hint="eastAsia" w:ascii="宋体" w:hAnsi="宋体" w:eastAsia="宋体" w:cs="AdobeHeitiStd-Regular"/>
          <w:color w:val="000000" w:themeColor="text1"/>
          <w:kern w:val="0"/>
          <w:sz w:val="24"/>
          <w:szCs w:val="24"/>
          <w14:textFill>
            <w14:solidFill>
              <w14:schemeClr w14:val="tx1"/>
            </w14:solidFill>
          </w14:textFill>
        </w:rPr>
        <w:t>大行其道</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新自由</w:t>
      </w:r>
      <w:r>
        <w:rPr>
          <w:rFonts w:ascii="宋体" w:hAnsi="宋体" w:eastAsia="宋体" w:cs="AdobeHeitiStd-Regular"/>
          <w:color w:val="000000" w:themeColor="text1"/>
          <w:kern w:val="0"/>
          <w:sz w:val="24"/>
          <w:szCs w:val="24"/>
          <w14:textFill>
            <w14:solidFill>
              <w14:schemeClr w14:val="tx1"/>
            </w14:solidFill>
          </w14:textFill>
        </w:rPr>
        <w:t>主义崇尚</w:t>
      </w:r>
      <w:r>
        <w:rPr>
          <w:rFonts w:hint="eastAsia" w:ascii="宋体" w:hAnsi="宋体" w:eastAsia="宋体" w:cs="AdobeHeitiStd-Regular"/>
          <w:color w:val="000000" w:themeColor="text1"/>
          <w:kern w:val="0"/>
          <w:sz w:val="24"/>
          <w:szCs w:val="24"/>
          <w14:textFill>
            <w14:solidFill>
              <w14:schemeClr w14:val="tx1"/>
            </w14:solidFill>
          </w14:textFill>
        </w:rPr>
        <w:t>“大市场”，反对任何国家对经济的实质性介入，认为</w:t>
      </w:r>
      <w:r>
        <w:rPr>
          <w:rFonts w:ascii="宋体" w:hAnsi="宋体" w:eastAsia="宋体" w:cs="AdobeHeitiStd-Regular"/>
          <w:color w:val="000000" w:themeColor="text1"/>
          <w:kern w:val="0"/>
          <w:sz w:val="24"/>
          <w:szCs w:val="24"/>
          <w14:textFill>
            <w14:solidFill>
              <w14:schemeClr w14:val="tx1"/>
            </w14:solidFill>
          </w14:textFill>
        </w:rPr>
        <w:t>基于</w:t>
      </w:r>
      <w:r>
        <w:rPr>
          <w:rFonts w:hint="eastAsia" w:ascii="宋体" w:hAnsi="宋体" w:eastAsia="宋体" w:cs="AdobeHeitiStd-Regular"/>
          <w:color w:val="000000" w:themeColor="text1"/>
          <w:kern w:val="0"/>
          <w:sz w:val="24"/>
          <w:szCs w:val="24"/>
          <w14:textFill>
            <w14:solidFill>
              <w14:schemeClr w14:val="tx1"/>
            </w14:solidFill>
          </w14:textFill>
        </w:rPr>
        <w:t>经济均衡理论的各要素在整体性和功能性上的适应性改变和相机调整，可以促进国际多边力量推动和世界经济内在规律主导双重因素促成的“自然秩序”。但是2008年</w:t>
      </w:r>
      <w:r>
        <w:rPr>
          <w:rFonts w:ascii="宋体" w:hAnsi="宋体" w:eastAsia="宋体" w:cs="AdobeHeitiStd-Regular"/>
          <w:color w:val="000000" w:themeColor="text1"/>
          <w:kern w:val="0"/>
          <w:sz w:val="24"/>
          <w:szCs w:val="24"/>
          <w14:textFill>
            <w14:solidFill>
              <w14:schemeClr w14:val="tx1"/>
            </w14:solidFill>
          </w14:textFill>
        </w:rPr>
        <w:t>金融危机的爆发，</w:t>
      </w:r>
      <w:r>
        <w:rPr>
          <w:rFonts w:hint="eastAsia" w:ascii="宋体" w:hAnsi="宋体" w:eastAsia="宋体" w:cs="AdobeHeitiStd-Regular"/>
          <w:color w:val="000000" w:themeColor="text1"/>
          <w:kern w:val="0"/>
          <w:sz w:val="24"/>
          <w:szCs w:val="24"/>
          <w14:textFill>
            <w14:solidFill>
              <w14:schemeClr w14:val="tx1"/>
            </w14:solidFill>
          </w14:textFill>
        </w:rPr>
        <w:t>使</w:t>
      </w:r>
      <w:r>
        <w:rPr>
          <w:rFonts w:ascii="宋体" w:hAnsi="宋体" w:eastAsia="宋体" w:cs="AdobeHeitiStd-Regular"/>
          <w:color w:val="000000" w:themeColor="text1"/>
          <w:kern w:val="0"/>
          <w:sz w:val="24"/>
          <w:szCs w:val="24"/>
          <w14:textFill>
            <w14:solidFill>
              <w14:schemeClr w14:val="tx1"/>
            </w14:solidFill>
          </w14:textFill>
        </w:rPr>
        <w:t>新自由主义进程</w:t>
      </w:r>
      <w:r>
        <w:rPr>
          <w:rFonts w:hint="eastAsia" w:ascii="宋体" w:hAnsi="宋体" w:eastAsia="宋体" w:cs="AdobeHeitiStd-Regular"/>
          <w:color w:val="000000" w:themeColor="text1"/>
          <w:kern w:val="0"/>
          <w:sz w:val="24"/>
          <w:szCs w:val="24"/>
          <w14:textFill>
            <w14:solidFill>
              <w14:schemeClr w14:val="tx1"/>
            </w14:solidFill>
          </w14:textFill>
        </w:rPr>
        <w:t>受</w:t>
      </w:r>
      <w:r>
        <w:rPr>
          <w:rFonts w:ascii="宋体" w:hAnsi="宋体" w:eastAsia="宋体" w:cs="AdobeHeitiStd-Regular"/>
          <w:color w:val="000000" w:themeColor="text1"/>
          <w:kern w:val="0"/>
          <w:sz w:val="24"/>
          <w:szCs w:val="24"/>
          <w14:textFill>
            <w14:solidFill>
              <w14:schemeClr w14:val="tx1"/>
            </w14:solidFill>
          </w14:textFill>
        </w:rPr>
        <w:t>到</w:t>
      </w:r>
      <w:r>
        <w:rPr>
          <w:rFonts w:hint="eastAsia" w:ascii="宋体" w:hAnsi="宋体" w:eastAsia="宋体" w:cs="AdobeHeitiStd-Regular"/>
          <w:color w:val="000000" w:themeColor="text1"/>
          <w:kern w:val="0"/>
          <w:sz w:val="24"/>
          <w:szCs w:val="24"/>
          <w14:textFill>
            <w14:solidFill>
              <w14:schemeClr w14:val="tx1"/>
            </w14:solidFill>
          </w14:textFill>
        </w:rPr>
        <w:t>严重</w:t>
      </w:r>
      <w:r>
        <w:rPr>
          <w:rFonts w:ascii="宋体" w:hAnsi="宋体" w:eastAsia="宋体" w:cs="AdobeHeitiStd-Regular"/>
          <w:color w:val="000000" w:themeColor="text1"/>
          <w:kern w:val="0"/>
          <w:sz w:val="24"/>
          <w:szCs w:val="24"/>
          <w14:textFill>
            <w14:solidFill>
              <w14:schemeClr w14:val="tx1"/>
            </w14:solidFill>
          </w14:textFill>
        </w:rPr>
        <w:t>影响，</w:t>
      </w:r>
      <w:r>
        <w:rPr>
          <w:rFonts w:hint="eastAsia" w:ascii="宋体" w:hAnsi="宋体" w:eastAsia="宋体" w:cs="AdobeHeitiStd-Regular"/>
          <w:color w:val="000000" w:themeColor="text1"/>
          <w:kern w:val="0"/>
          <w:sz w:val="24"/>
          <w:szCs w:val="24"/>
          <w14:textFill>
            <w14:solidFill>
              <w14:schemeClr w14:val="tx1"/>
            </w14:solidFill>
          </w14:textFill>
        </w:rPr>
        <w:t>与新自由主义模式下政府在产业政策制定过程中的“无为”表现不同，当前</w:t>
      </w:r>
      <w:r>
        <w:rPr>
          <w:rFonts w:ascii="宋体" w:hAnsi="宋体" w:eastAsia="宋体" w:cs="AdobeHeitiStd-Regular"/>
          <w:color w:val="000000" w:themeColor="text1"/>
          <w:kern w:val="0"/>
          <w:sz w:val="24"/>
          <w:szCs w:val="24"/>
          <w14:textFill>
            <w14:solidFill>
              <w14:schemeClr w14:val="tx1"/>
            </w14:solidFill>
          </w14:textFill>
        </w:rPr>
        <w:t>全球经济推崇</w:t>
      </w:r>
      <w:r>
        <w:rPr>
          <w:rFonts w:hint="eastAsia" w:ascii="宋体" w:hAnsi="宋体" w:eastAsia="宋体" w:cs="AdobeHeitiStd-Regular"/>
          <w:color w:val="000000" w:themeColor="text1"/>
          <w:kern w:val="0"/>
          <w:sz w:val="24"/>
          <w:szCs w:val="24"/>
          <w14:textFill>
            <w14:solidFill>
              <w14:schemeClr w14:val="tx1"/>
            </w14:solidFill>
          </w14:textFill>
        </w:rPr>
        <w:t>政府进行行之有效的工具干预，进行大量财政资源投入和市场资源引导。无论是奥巴马政府的“重振美国制造业”</w:t>
      </w:r>
      <w:r>
        <w:rPr>
          <w:rFonts w:hint="eastAsia" w:ascii="宋体" w:hAnsi="宋体" w:eastAsia="宋体" w:cs="SSJ0+ZKRHnk-7"/>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特朗普政府的“贸易战”还是拜登政府的“供应链韧性”战略，美国都在不断通过政府力量加大对微观层面的普遍干预和特定产业的定向支持，这既包括对国内的产业扶持举措，也包括不遗余力的经济外交策略，如联合盟国和伙伴国来重塑特定产业的全球生产体系。</w:t>
      </w:r>
      <w:r>
        <w:rPr>
          <w:rStyle w:val="20"/>
          <w:rFonts w:ascii="宋体" w:hAnsi="宋体" w:eastAsia="宋体" w:cs="AdobeHeitiStd-Regular"/>
          <w:color w:val="000000" w:themeColor="text1"/>
          <w:kern w:val="0"/>
          <w:sz w:val="24"/>
          <w:szCs w:val="24"/>
          <w14:textFill>
            <w14:solidFill>
              <w14:schemeClr w14:val="tx1"/>
            </w14:solidFill>
          </w14:textFill>
        </w:rPr>
        <w:footnoteReference w:id="369"/>
      </w:r>
      <w:r>
        <w:rPr>
          <w:rFonts w:hint="eastAsia" w:ascii="宋体" w:hAnsi="宋体" w:eastAsia="宋体" w:cs="AdobeHeitiStd-Regular"/>
          <w:color w:val="000000" w:themeColor="text1"/>
          <w:kern w:val="0"/>
          <w:sz w:val="24"/>
          <w:szCs w:val="24"/>
          <w14:textFill>
            <w14:solidFill>
              <w14:schemeClr w14:val="tx1"/>
            </w14:solidFill>
          </w14:textFill>
        </w:rPr>
        <w:t>其他</w:t>
      </w:r>
      <w:r>
        <w:rPr>
          <w:rFonts w:ascii="宋体" w:hAnsi="宋体" w:eastAsia="宋体" w:cs="AdobeHeitiStd-Regular"/>
          <w:color w:val="000000" w:themeColor="text1"/>
          <w:kern w:val="0"/>
          <w:sz w:val="24"/>
          <w:szCs w:val="24"/>
          <w14:textFill>
            <w14:solidFill>
              <w14:schemeClr w14:val="tx1"/>
            </w14:solidFill>
          </w14:textFill>
        </w:rPr>
        <w:t>发达国家也纷纷采</w:t>
      </w:r>
      <w:r>
        <w:rPr>
          <w:rFonts w:hint="eastAsia" w:ascii="宋体" w:hAnsi="宋体" w:eastAsia="宋体" w:cs="AdobeHeitiStd-Regular"/>
          <w:color w:val="000000" w:themeColor="text1"/>
          <w:kern w:val="0"/>
          <w:sz w:val="24"/>
          <w:szCs w:val="24"/>
          <w14:textFill>
            <w14:solidFill>
              <w14:schemeClr w14:val="tx1"/>
            </w14:solidFill>
          </w14:textFill>
        </w:rPr>
        <w:t>用这种“大政府”取代“大市场”的</w:t>
      </w:r>
      <w:r>
        <w:rPr>
          <w:rFonts w:ascii="宋体" w:hAnsi="宋体" w:eastAsia="宋体" w:cs="AdobeHeitiStd-Regular"/>
          <w:color w:val="000000" w:themeColor="text1"/>
          <w:kern w:val="0"/>
          <w:sz w:val="24"/>
          <w:szCs w:val="24"/>
          <w14:textFill>
            <w14:solidFill>
              <w14:schemeClr w14:val="tx1"/>
            </w14:solidFill>
          </w14:textFill>
        </w:rPr>
        <w:t>模式</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表现出了</w:t>
      </w:r>
      <w:r>
        <w:rPr>
          <w:rFonts w:hint="eastAsia" w:ascii="宋体" w:hAnsi="宋体" w:eastAsia="宋体" w:cs="AdobeHeitiStd-Regular"/>
          <w:color w:val="000000" w:themeColor="text1"/>
          <w:kern w:val="0"/>
          <w:sz w:val="24"/>
          <w:szCs w:val="24"/>
          <w14:textFill>
            <w14:solidFill>
              <w14:schemeClr w14:val="tx1"/>
            </w14:solidFill>
          </w14:textFill>
        </w:rPr>
        <w:t>从大危机中涌现出的新国家</w:t>
      </w:r>
      <w:r>
        <w:rPr>
          <w:rFonts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Times New Roman"/>
          <w:color w:val="000000" w:themeColor="text1"/>
          <w:kern w:val="0"/>
          <w:sz w:val="24"/>
          <w:szCs w:val="24"/>
          <w14:textFill>
            <w14:solidFill>
              <w14:schemeClr w14:val="tx1"/>
            </w14:solidFill>
          </w14:textFill>
        </w:rPr>
        <w:t>new state</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样貌</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即</w:t>
      </w:r>
      <w:r>
        <w:rPr>
          <w:rFonts w:ascii="宋体" w:hAnsi="宋体" w:eastAsia="宋体" w:cs="AdobeHeitiStd-Regular"/>
          <w:color w:val="000000" w:themeColor="text1"/>
          <w:kern w:val="0"/>
          <w:sz w:val="24"/>
          <w:szCs w:val="24"/>
          <w14:textFill>
            <w14:solidFill>
              <w14:schemeClr w14:val="tx1"/>
            </w14:solidFill>
          </w14:textFill>
        </w:rPr>
        <w:t>为了解决危机和</w:t>
      </w:r>
      <w:r>
        <w:rPr>
          <w:rFonts w:hint="eastAsia" w:ascii="宋体" w:hAnsi="宋体" w:eastAsia="宋体" w:cs="AdobeHeitiStd-Regular"/>
          <w:color w:val="000000" w:themeColor="text1"/>
          <w:kern w:val="0"/>
          <w:sz w:val="24"/>
          <w:szCs w:val="24"/>
          <w14:textFill>
            <w14:solidFill>
              <w14:schemeClr w14:val="tx1"/>
            </w14:solidFill>
          </w14:textFill>
        </w:rPr>
        <w:t>最近</w:t>
      </w:r>
      <w:r>
        <w:rPr>
          <w:rFonts w:ascii="宋体" w:hAnsi="宋体" w:eastAsia="宋体" w:cs="AdobeHeitiStd-Regular"/>
          <w:color w:val="000000" w:themeColor="text1"/>
          <w:kern w:val="0"/>
          <w:sz w:val="24"/>
          <w:szCs w:val="24"/>
          <w14:textFill>
            <w14:solidFill>
              <w14:schemeClr w14:val="tx1"/>
            </w14:solidFill>
          </w14:textFill>
        </w:rPr>
        <w:t>几年的</w:t>
      </w:r>
      <w:r>
        <w:rPr>
          <w:rFonts w:hint="eastAsia" w:ascii="宋体" w:hAnsi="宋体" w:eastAsia="宋体" w:cs="AdobeHeitiStd-Regular"/>
          <w:color w:val="000000" w:themeColor="text1"/>
          <w:kern w:val="0"/>
          <w:sz w:val="24"/>
          <w:szCs w:val="24"/>
          <w14:textFill>
            <w14:solidFill>
              <w14:schemeClr w14:val="tx1"/>
            </w14:solidFill>
          </w14:textFill>
        </w:rPr>
        <w:t>疫情</w:t>
      </w:r>
      <w:r>
        <w:rPr>
          <w:rFonts w:ascii="宋体" w:hAnsi="宋体" w:eastAsia="宋体" w:cs="AdobeHeitiStd-Regular"/>
          <w:color w:val="000000" w:themeColor="text1"/>
          <w:kern w:val="0"/>
          <w:sz w:val="24"/>
          <w:szCs w:val="24"/>
          <w14:textFill>
            <w14:solidFill>
              <w14:schemeClr w14:val="tx1"/>
            </w14:solidFill>
          </w14:textFill>
        </w:rPr>
        <w:t>大流行</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政府</w:t>
      </w:r>
      <w:r>
        <w:rPr>
          <w:rFonts w:hint="eastAsia" w:ascii="宋体" w:hAnsi="宋体" w:eastAsia="宋体" w:cs="AdobeHeitiStd-Regular"/>
          <w:color w:val="000000" w:themeColor="text1"/>
          <w:kern w:val="0"/>
          <w:sz w:val="24"/>
          <w:szCs w:val="24"/>
          <w14:textFill>
            <w14:solidFill>
              <w14:schemeClr w14:val="tx1"/>
            </w14:solidFill>
          </w14:textFill>
        </w:rPr>
        <w:t>成为</w:t>
      </w:r>
      <w:r>
        <w:rPr>
          <w:rFonts w:ascii="宋体" w:hAnsi="宋体" w:eastAsia="宋体" w:cs="AdobeHeitiStd-Regular"/>
          <w:color w:val="000000" w:themeColor="text1"/>
          <w:kern w:val="0"/>
          <w:sz w:val="24"/>
          <w:szCs w:val="24"/>
          <w14:textFill>
            <w14:solidFill>
              <w14:schemeClr w14:val="tx1"/>
            </w14:solidFill>
          </w14:textFill>
        </w:rPr>
        <w:t>一个生产性</w:t>
      </w:r>
      <w:r>
        <w:rPr>
          <w:rFonts w:hint="eastAsia" w:ascii="宋体" w:hAnsi="宋体" w:eastAsia="宋体" w:cs="AdobeHeitiStd-Regular"/>
          <w:color w:val="000000" w:themeColor="text1"/>
          <w:kern w:val="0"/>
          <w:sz w:val="24"/>
          <w:szCs w:val="24"/>
          <w14:textFill>
            <w14:solidFill>
              <w14:schemeClr w14:val="tx1"/>
            </w14:solidFill>
          </w14:textFill>
        </w:rPr>
        <w:t>主体</w:t>
      </w:r>
      <w:r>
        <w:rPr>
          <w:rFonts w:ascii="宋体" w:hAnsi="宋体" w:eastAsia="宋体" w:cs="AdobeHeitiStd-Regular"/>
          <w:color w:val="000000" w:themeColor="text1"/>
          <w:kern w:val="0"/>
          <w:sz w:val="24"/>
          <w:szCs w:val="24"/>
          <w14:textFill>
            <w14:solidFill>
              <w14:schemeClr w14:val="tx1"/>
            </w14:solidFill>
          </w14:textFill>
        </w:rPr>
        <w:t>，而不再是市场</w:t>
      </w:r>
      <w:r>
        <w:rPr>
          <w:rFonts w:hint="eastAsia" w:ascii="宋体" w:hAnsi="宋体" w:eastAsia="宋体" w:cs="AdobeHeitiStd-Regular"/>
          <w:color w:val="000000" w:themeColor="text1"/>
          <w:kern w:val="0"/>
          <w:sz w:val="24"/>
          <w:szCs w:val="24"/>
          <w14:textFill>
            <w14:solidFill>
              <w14:schemeClr w14:val="tx1"/>
            </w14:solidFill>
          </w14:textFill>
        </w:rPr>
        <w:t>失灵</w:t>
      </w:r>
      <w:r>
        <w:rPr>
          <w:rFonts w:ascii="宋体" w:hAnsi="宋体" w:eastAsia="宋体" w:cs="AdobeHeitiStd-Regular"/>
          <w:color w:val="000000" w:themeColor="text1"/>
          <w:kern w:val="0"/>
          <w:sz w:val="24"/>
          <w:szCs w:val="24"/>
          <w14:textFill>
            <w14:solidFill>
              <w14:schemeClr w14:val="tx1"/>
            </w14:solidFill>
          </w14:textFill>
        </w:rPr>
        <w:t>的替代品</w:t>
      </w:r>
      <w:r>
        <w:rPr>
          <w:rFonts w:hint="eastAsia" w:ascii="宋体" w:hAnsi="宋体" w:eastAsia="宋体" w:cs="AdobeHeitiStd-Regular"/>
          <w:color w:val="000000" w:themeColor="text1"/>
          <w:kern w:val="0"/>
          <w:sz w:val="24"/>
          <w:szCs w:val="24"/>
          <w14:textFill>
            <w14:solidFill>
              <w14:schemeClr w14:val="tx1"/>
            </w14:solidFill>
          </w14:textFill>
        </w:rPr>
        <w:t>，同时政府开始用干预主义来回应来自社会大众的自我保护诉求。国家不断扩展它的干预范围，为发展的形式和节奏确立实质参照点，以承担计划者的角色避免未来的风险。在</w:t>
      </w:r>
      <w:r>
        <w:rPr>
          <w:rFonts w:ascii="宋体" w:hAnsi="宋体" w:eastAsia="宋体" w:cs="AdobeHeitiStd-Regular"/>
          <w:color w:val="000000" w:themeColor="text1"/>
          <w:kern w:val="0"/>
          <w:sz w:val="24"/>
          <w:szCs w:val="24"/>
          <w14:textFill>
            <w14:solidFill>
              <w14:schemeClr w14:val="tx1"/>
            </w14:solidFill>
          </w14:textFill>
        </w:rPr>
        <w:t>这种范式中，</w:t>
      </w:r>
      <w:r>
        <w:rPr>
          <w:rFonts w:hint="eastAsia" w:ascii="宋体" w:hAnsi="宋体" w:eastAsia="宋体" w:cs="AdobeHeitiStd-Regular"/>
          <w:color w:val="000000" w:themeColor="text1"/>
          <w:kern w:val="0"/>
          <w:sz w:val="24"/>
          <w:szCs w:val="24"/>
          <w14:textFill>
            <w14:solidFill>
              <w14:schemeClr w14:val="tx1"/>
            </w14:solidFill>
          </w14:textFill>
        </w:rPr>
        <w:t>国家不能确保未来事件的确定性，但是它可以保证惯例的确定性。尤其是，各国为了应对疫情而采取的大规模财政刺激，持续的财政支持导致各国公共债务和赤字率明显上升，全球债务压力再次加重，“</w:t>
      </w:r>
      <w:r>
        <w:rPr>
          <w:rFonts w:ascii="宋体" w:hAnsi="宋体" w:eastAsia="宋体" w:cs="AdobeHeitiStd-Regular"/>
          <w:color w:val="000000" w:themeColor="text1"/>
          <w:kern w:val="0"/>
          <w:sz w:val="24"/>
          <w:szCs w:val="24"/>
          <w14:textFill>
            <w14:solidFill>
              <w14:schemeClr w14:val="tx1"/>
            </w14:solidFill>
          </w14:textFill>
        </w:rPr>
        <w:t>2020年由大流行引发的衰退导致了至少自1970年以来全球债务的最大单年激增。这一飙升发生在长达十年的全球债务浪潮之后，这是自1970年以来规模最大、速度最快、基础最广泛的债务浪潮。</w:t>
      </w:r>
      <w:r>
        <w:rPr>
          <w:rFonts w:hint="eastAsia"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70"/>
      </w:r>
      <w:r>
        <w:rPr>
          <w:rFonts w:hint="eastAsia" w:ascii="宋体" w:hAnsi="宋体" w:eastAsia="宋体" w:cs="AdobeHeitiStd-Regular"/>
          <w:color w:val="000000" w:themeColor="text1"/>
          <w:kern w:val="0"/>
          <w:sz w:val="24"/>
          <w:szCs w:val="24"/>
          <w14:textFill>
            <w14:solidFill>
              <w14:schemeClr w14:val="tx1"/>
            </w14:solidFill>
          </w14:textFill>
        </w:rPr>
        <w:t>如</w:t>
      </w:r>
      <w:r>
        <w:rPr>
          <w:rFonts w:ascii="宋体" w:hAnsi="宋体" w:eastAsia="宋体" w:cs="AdobeHeitiStd-Regular"/>
          <w:color w:val="000000" w:themeColor="text1"/>
          <w:kern w:val="0"/>
          <w:sz w:val="24"/>
          <w:szCs w:val="24"/>
          <w14:textFill>
            <w14:solidFill>
              <w14:schemeClr w14:val="tx1"/>
            </w14:solidFill>
          </w14:textFill>
        </w:rPr>
        <w:t>图1所示</w:t>
      </w:r>
      <w:r>
        <w:rPr>
          <w:rFonts w:hint="eastAsia" w:ascii="宋体" w:hAnsi="宋体" w:eastAsia="宋体" w:cs="AdobeHeitiStd-Regular"/>
          <w:color w:val="000000" w:themeColor="text1"/>
          <w:kern w:val="0"/>
          <w:sz w:val="24"/>
          <w:szCs w:val="24"/>
          <w14:textFill>
            <w14:solidFill>
              <w14:schemeClr w14:val="tx1"/>
            </w14:solidFill>
          </w14:textFill>
        </w:rPr>
        <w:t>。当前美国联邦政府已经达到了</w:t>
      </w:r>
      <w:r>
        <w:rPr>
          <w:rFonts w:ascii="宋体" w:hAnsi="宋体" w:eastAsia="宋体" w:cs="AdobeHeitiStd-Regular"/>
          <w:color w:val="000000" w:themeColor="text1"/>
          <w:kern w:val="0"/>
          <w:sz w:val="24"/>
          <w:szCs w:val="24"/>
          <w14:textFill>
            <w14:solidFill>
              <w14:schemeClr w14:val="tx1"/>
            </w14:solidFill>
          </w14:textFill>
        </w:rPr>
        <w:t>法定债务上限，</w:t>
      </w:r>
      <w:r>
        <w:rPr>
          <w:rFonts w:hint="eastAsia" w:ascii="宋体" w:hAnsi="宋体" w:eastAsia="宋体" w:cs="AdobeHeitiStd-Regular"/>
          <w:color w:val="000000" w:themeColor="text1"/>
          <w:kern w:val="0"/>
          <w:sz w:val="24"/>
          <w:szCs w:val="24"/>
          <w14:textFill>
            <w14:solidFill>
              <w14:schemeClr w14:val="tx1"/>
            </w14:solidFill>
          </w14:textFill>
        </w:rPr>
        <w:t>而美联储2022年以来多次激进加息，利率的上升也使美国联邦政府债务压力越来越大。</w:t>
      </w:r>
    </w:p>
    <w:p w14:paraId="042BF6E2">
      <w:pPr>
        <w:autoSpaceDE w:val="0"/>
        <w:autoSpaceDN w:val="0"/>
        <w:adjustRightInd w:val="0"/>
        <w:snapToGrid w:val="0"/>
        <w:spacing w:line="360" w:lineRule="auto"/>
        <w:ind w:firstLine="420" w:firstLineChars="200"/>
        <w:rPr>
          <w:rFonts w:ascii="AdobeHeitiStd-Regular" w:eastAsia="AdobeHeitiStd-Regular" w:cs="AdobeHeitiStd-Regular"/>
          <w:color w:val="000000" w:themeColor="text1"/>
          <w:kern w:val="0"/>
          <w:sz w:val="24"/>
          <w:szCs w:val="24"/>
          <w14:textFill>
            <w14:solidFill>
              <w14:schemeClr w14:val="tx1"/>
            </w14:solidFill>
          </w14:textFill>
        </w:rPr>
      </w:pPr>
      <w:r>
        <w:drawing>
          <wp:inline distT="0" distB="0" distL="0" distR="0">
            <wp:extent cx="5040630" cy="3924300"/>
            <wp:effectExtent l="6350" t="6350" r="7620" b="6350"/>
            <wp:docPr id="244" name="图表 244" descr="7b0a202020202263686172745265734964223a202234363530303532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33F18EE">
      <w:pPr>
        <w:autoSpaceDE w:val="0"/>
        <w:autoSpaceDN w:val="0"/>
        <w:adjustRightInd w:val="0"/>
        <w:snapToGrid w:val="0"/>
        <w:ind w:firstLine="420" w:firstLineChars="200"/>
        <w:rPr>
          <w:rFonts w:ascii="宋体" w:hAnsi="宋体" w:eastAsia="宋体" w:cs="AdobeHeitiStd-Regular"/>
          <w:b/>
          <w:color w:val="000000" w:themeColor="text1"/>
          <w:kern w:val="0"/>
          <w:szCs w:val="21"/>
          <w14:textFill>
            <w14:solidFill>
              <w14:schemeClr w14:val="tx1"/>
            </w14:solidFill>
          </w14:textFill>
        </w:rPr>
      </w:pPr>
      <w:r>
        <w:rPr>
          <w:rFonts w:hint="eastAsia" w:ascii="宋体" w:hAnsi="宋体" w:eastAsia="宋体" w:cs="AdobeHeitiStd-Regular"/>
          <w:b/>
          <w:color w:val="000000" w:themeColor="text1"/>
          <w:kern w:val="0"/>
          <w:szCs w:val="21"/>
          <w14:textFill>
            <w14:solidFill>
              <w14:schemeClr w14:val="tx1"/>
            </w14:solidFill>
          </w14:textFill>
        </w:rPr>
        <w:t>数据</w:t>
      </w:r>
      <w:r>
        <w:rPr>
          <w:rFonts w:ascii="宋体" w:hAnsi="宋体" w:eastAsia="宋体" w:cs="AdobeHeitiStd-Regular"/>
          <w:b/>
          <w:color w:val="000000" w:themeColor="text1"/>
          <w:kern w:val="0"/>
          <w:szCs w:val="21"/>
          <w14:textFill>
            <w14:solidFill>
              <w14:schemeClr w14:val="tx1"/>
            </w14:solidFill>
          </w14:textFill>
        </w:rPr>
        <w:t>来源：</w:t>
      </w:r>
      <w:r>
        <w:rPr>
          <w:rFonts w:hint="eastAsia" w:ascii="宋体" w:hAnsi="宋体" w:eastAsia="宋体" w:cs="AdobeHeitiStd-Regular"/>
          <w:b/>
          <w:color w:val="000000" w:themeColor="text1"/>
          <w:kern w:val="0"/>
          <w:szCs w:val="21"/>
          <w14:textFill>
            <w14:solidFill>
              <w14:schemeClr w14:val="tx1"/>
            </w14:solidFill>
          </w14:textFill>
        </w:rPr>
        <w:t>国际</w:t>
      </w:r>
      <w:r>
        <w:rPr>
          <w:rFonts w:ascii="宋体" w:hAnsi="宋体" w:eastAsia="宋体" w:cs="AdobeHeitiStd-Regular"/>
          <w:b/>
          <w:color w:val="000000" w:themeColor="text1"/>
          <w:kern w:val="0"/>
          <w:szCs w:val="21"/>
          <w14:textFill>
            <w14:solidFill>
              <w14:schemeClr w14:val="tx1"/>
            </w14:solidFill>
          </w14:textFill>
        </w:rPr>
        <w:t>货币基金组织</w:t>
      </w:r>
      <w:r>
        <w:rPr>
          <w:rFonts w:hint="eastAsia" w:ascii="宋体" w:hAnsi="宋体" w:eastAsia="宋体" w:cs="AdobeHeitiStd-Regular"/>
          <w:b/>
          <w:color w:val="000000" w:themeColor="text1"/>
          <w:kern w:val="0"/>
          <w:szCs w:val="21"/>
          <w14:textFill>
            <w14:solidFill>
              <w14:schemeClr w14:val="tx1"/>
            </w14:solidFill>
          </w14:textFill>
        </w:rPr>
        <w:t>全球债务数据库</w:t>
      </w:r>
      <w:r>
        <w:rPr>
          <w:rFonts w:ascii="宋体" w:hAnsi="宋体" w:eastAsia="宋体" w:cs="AdobeHeitiStd-Regular"/>
          <w:b/>
          <w:color w:val="000000" w:themeColor="text1"/>
          <w:kern w:val="0"/>
          <w:szCs w:val="21"/>
          <w14:textFill>
            <w14:solidFill>
              <w14:schemeClr w14:val="tx1"/>
            </w14:solidFill>
          </w14:textFill>
        </w:rPr>
        <w:t xml:space="preserve"> (GDD)</w:t>
      </w:r>
      <w:r>
        <w:rPr>
          <w:rFonts w:hint="eastAsia" w:ascii="宋体" w:hAnsi="宋体" w:eastAsia="宋体" w:cs="AdobeHeitiStd-Regular"/>
          <w:b/>
          <w:color w:val="000000" w:themeColor="text1"/>
          <w:kern w:val="0"/>
          <w:szCs w:val="21"/>
          <w14:textFill>
            <w14:solidFill>
              <w14:schemeClr w14:val="tx1"/>
            </w14:solidFill>
          </w14:textFill>
        </w:rPr>
        <w:t>，</w:t>
      </w:r>
    </w:p>
    <w:p w14:paraId="7EDEA466">
      <w:pPr>
        <w:autoSpaceDE w:val="0"/>
        <w:autoSpaceDN w:val="0"/>
        <w:adjustRightInd w:val="0"/>
        <w:snapToGrid w:val="0"/>
        <w:spacing w:line="360" w:lineRule="auto"/>
        <w:ind w:firstLine="1470" w:firstLineChars="700"/>
        <w:rPr>
          <w:rFonts w:ascii="Times New Roman" w:hAnsi="Times New Roman" w:eastAsia="宋体" w:cs="Times New Roman"/>
          <w:b/>
          <w:color w:val="000000" w:themeColor="text1"/>
          <w:szCs w:val="21"/>
          <w14:textFill>
            <w14:solidFill>
              <w14:schemeClr w14:val="tx1"/>
            </w14:solidFill>
          </w14:textFill>
        </w:rPr>
      </w:pPr>
      <w:r>
        <w:fldChar w:fldCharType="begin"/>
      </w:r>
      <w:r>
        <w:instrText xml:space="preserve"> HYPERLINK "https://www.imf.org/external/datamapper/datasets/GDD" </w:instrText>
      </w:r>
      <w:r>
        <w:fldChar w:fldCharType="separate"/>
      </w:r>
      <w:r>
        <w:rPr>
          <w:rFonts w:ascii="Times New Roman" w:hAnsi="Times New Roman" w:eastAsia="宋体" w:cs="Times New Roman"/>
          <w:b/>
          <w:color w:val="000000" w:themeColor="text1"/>
          <w:szCs w:val="21"/>
          <w14:textFill>
            <w14:solidFill>
              <w14:schemeClr w14:val="tx1"/>
            </w14:solidFill>
          </w14:textFill>
        </w:rPr>
        <w:t>https://www.imf.org/external/datamapper/datasets/GDD</w:t>
      </w:r>
      <w:r>
        <w:rPr>
          <w:rFonts w:ascii="Times New Roman" w:hAnsi="Times New Roman" w:eastAsia="宋体" w:cs="Times New Roman"/>
          <w:b/>
          <w:color w:val="000000" w:themeColor="text1"/>
          <w:szCs w:val="21"/>
          <w14:textFill>
            <w14:solidFill>
              <w14:schemeClr w14:val="tx1"/>
            </w14:solidFill>
          </w14:textFill>
        </w:rPr>
        <w:fldChar w:fldCharType="end"/>
      </w:r>
    </w:p>
    <w:p w14:paraId="2CF47A99">
      <w:pPr>
        <w:autoSpaceDE w:val="0"/>
        <w:autoSpaceDN w:val="0"/>
        <w:adjustRightInd w:val="0"/>
        <w:snapToGrid w:val="0"/>
        <w:spacing w:line="360" w:lineRule="auto"/>
        <w:ind w:firstLine="480" w:firstLineChars="200"/>
        <w:jc w:val="center"/>
        <w:rPr>
          <w:rFonts w:ascii="宋体" w:hAnsi="宋体" w:eastAsia="宋体" w:cs="AdobeHeitiStd-Regular"/>
          <w:b/>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图1  一般</w:t>
      </w:r>
      <w:r>
        <w:rPr>
          <w:rFonts w:ascii="宋体" w:hAnsi="宋体" w:eastAsia="宋体" w:cs="AdobeHeitiStd-Regular"/>
          <w:b/>
          <w:color w:val="000000" w:themeColor="text1"/>
          <w:kern w:val="0"/>
          <w:sz w:val="24"/>
          <w:szCs w:val="24"/>
          <w14:textFill>
            <w14:solidFill>
              <w14:schemeClr w14:val="tx1"/>
            </w14:solidFill>
          </w14:textFill>
        </w:rPr>
        <w:t>政府债务占</w:t>
      </w:r>
      <w:r>
        <w:rPr>
          <w:rFonts w:hint="eastAsia" w:ascii="宋体" w:hAnsi="宋体" w:eastAsia="宋体" w:cs="AdobeHeitiStd-Regular"/>
          <w:b/>
          <w:color w:val="000000" w:themeColor="text1"/>
          <w:kern w:val="0"/>
          <w:sz w:val="24"/>
          <w:szCs w:val="24"/>
          <w14:textFill>
            <w14:solidFill>
              <w14:schemeClr w14:val="tx1"/>
            </w14:solidFill>
          </w14:textFill>
        </w:rPr>
        <w:t>GDP的百分比</w:t>
      </w:r>
    </w:p>
    <w:p w14:paraId="06665BB8">
      <w:pPr>
        <w:pStyle w:val="4"/>
        <w:adjustRightInd w:val="0"/>
        <w:snapToGrid w:val="0"/>
        <w:spacing w:before="0" w:after="0" w:line="360" w:lineRule="auto"/>
        <w:ind w:firstLine="480" w:firstLineChars="200"/>
        <w:rPr>
          <w:rStyle w:val="21"/>
          <w:rFonts w:ascii="宋体" w:hAnsi="宋体" w:eastAsia="宋体"/>
          <w:b/>
          <w:bCs w:val="0"/>
          <w:color w:val="000000" w:themeColor="text1"/>
          <w:sz w:val="24"/>
          <w:szCs w:val="24"/>
          <w14:textFill>
            <w14:solidFill>
              <w14:schemeClr w14:val="tx1"/>
            </w14:solidFill>
          </w14:textFill>
        </w:rPr>
      </w:pPr>
      <w:bookmarkStart w:id="189" w:name="_Toc618125450"/>
      <w:bookmarkStart w:id="190" w:name="_Toc751687449"/>
      <w:bookmarkStart w:id="191" w:name="_Toc37781205"/>
      <w:bookmarkStart w:id="192" w:name="_Toc870767264"/>
      <w:bookmarkStart w:id="193" w:name="_Toc26116"/>
      <w:bookmarkStart w:id="194" w:name="_Toc1571880807"/>
      <w:r>
        <w:rPr>
          <w:rStyle w:val="21"/>
          <w:rFonts w:hint="eastAsia" w:ascii="宋体" w:hAnsi="宋体" w:eastAsia="宋体"/>
          <w:b/>
          <w:bCs w:val="0"/>
          <w:color w:val="000000" w:themeColor="text1"/>
          <w:sz w:val="24"/>
          <w:szCs w:val="24"/>
          <w14:textFill>
            <w14:solidFill>
              <w14:schemeClr w14:val="tx1"/>
            </w14:solidFill>
          </w14:textFill>
        </w:rPr>
        <w:t>（二）</w:t>
      </w:r>
      <w:r>
        <w:rPr>
          <w:rStyle w:val="21"/>
          <w:rFonts w:ascii="宋体" w:hAnsi="宋体" w:eastAsia="宋体"/>
          <w:b/>
          <w:bCs w:val="0"/>
          <w:color w:val="000000" w:themeColor="text1"/>
          <w:sz w:val="24"/>
          <w:szCs w:val="24"/>
          <w14:textFill>
            <w14:solidFill>
              <w14:schemeClr w14:val="tx1"/>
            </w14:solidFill>
          </w14:textFill>
        </w:rPr>
        <w:t>贸易保护取代贸易自由</w:t>
      </w:r>
    </w:p>
    <w:bookmarkEnd w:id="189"/>
    <w:bookmarkEnd w:id="190"/>
    <w:bookmarkEnd w:id="191"/>
    <w:bookmarkEnd w:id="192"/>
    <w:bookmarkEnd w:id="193"/>
    <w:bookmarkEnd w:id="194"/>
    <w:p w14:paraId="7B2229AC">
      <w:pPr>
        <w:adjustRightInd w:val="0"/>
        <w:snapToGrid w:val="0"/>
        <w:spacing w:line="360" w:lineRule="auto"/>
        <w:ind w:firstLine="480" w:firstLineChars="200"/>
        <w:rPr>
          <w:color w:val="000000" w:themeColor="text1"/>
          <w:sz w:val="24"/>
          <w:szCs w:val="24"/>
          <w14:textFill>
            <w14:solidFill>
              <w14:schemeClr w14:val="tx1"/>
            </w14:solidFill>
          </w14:textFill>
        </w:rPr>
        <w:sectPr>
          <w:footerReference r:id="rId13" w:type="default"/>
          <w:footnotePr>
            <w:numFmt w:val="decimalEnclosedCircleChinese"/>
            <w:numRestart w:val="eachPage"/>
          </w:footnotePr>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AdobeHeitiStd-Regular"/>
          <w:color w:val="000000" w:themeColor="text1"/>
          <w:kern w:val="0"/>
          <w:sz w:val="24"/>
          <w:szCs w:val="24"/>
          <w14:textFill>
            <w14:solidFill>
              <w14:schemeClr w14:val="tx1"/>
            </w14:solidFill>
          </w14:textFill>
        </w:rPr>
        <w:t>近几年来发达国家各国政府为了挽救经济衰退，纷纷实施了一系列短期和长期博弈的政策组合，选择牺牲贸易自由作为走出经济危机的政策工具，这些策略植根于一种强大的新重商主义模式，这种模式与日益高涨的贸易保护主义相契合。</w:t>
      </w:r>
      <w:r>
        <w:rPr>
          <w:rFonts w:hint="eastAsia" w:ascii="宋体" w:hAnsi="宋体" w:eastAsia="宋体"/>
          <w:color w:val="000000" w:themeColor="text1"/>
          <w:sz w:val="24"/>
          <w:szCs w:val="24"/>
          <w14:textFill>
            <w14:solidFill>
              <w14:schemeClr w14:val="tx1"/>
            </w14:solidFill>
          </w14:textFill>
        </w:rPr>
        <w:t>基于控制资本流动和减少国内消费以增加外汇储备和促进资本发展而采取的保护主义政策,其目的是在发达国家发展出口市场，获取战略资本，同时保持其国际竞争优势。</w:t>
      </w:r>
      <w:r>
        <w:rPr>
          <w:rStyle w:val="20"/>
          <w:rFonts w:ascii="宋体" w:hAnsi="宋体" w:eastAsia="宋体"/>
          <w:color w:val="000000" w:themeColor="text1"/>
          <w:sz w:val="24"/>
          <w:szCs w:val="24"/>
          <w14:textFill>
            <w14:solidFill>
              <w14:schemeClr w14:val="tx1"/>
            </w14:solidFill>
          </w14:textFill>
        </w:rPr>
        <w:footnoteReference w:id="371"/>
      </w:r>
      <w:r>
        <w:rPr>
          <w:rFonts w:hint="eastAsia" w:ascii="宋体" w:hAnsi="宋体" w:eastAsia="宋体"/>
          <w:color w:val="000000" w:themeColor="text1"/>
          <w:sz w:val="24"/>
          <w:szCs w:val="24"/>
          <w14:textFill>
            <w14:solidFill>
              <w14:schemeClr w14:val="tx1"/>
            </w14:solidFill>
          </w14:textFill>
        </w:rPr>
        <w:t xml:space="preserve"> 尤其注重运用若干贸易规则进行干预，例如增加使用非关税壁垒，非关税壁垒包括监管和标签要求，以及政府对健康和安全标准的规定，另外还包括禁止在国家工业的某些领域购买和分销进口商品的规则。因此，</w:t>
      </w:r>
      <w:r>
        <w:rPr>
          <w:rFonts w:hint="eastAsia" w:ascii="宋体" w:hAnsi="宋体" w:eastAsia="宋体" w:cs="AdobeHeitiStd-Regular"/>
          <w:color w:val="000000" w:themeColor="text1"/>
          <w:kern w:val="0"/>
          <w:sz w:val="24"/>
          <w:szCs w:val="24"/>
          <w14:textFill>
            <w14:solidFill>
              <w14:schemeClr w14:val="tx1"/>
            </w14:solidFill>
          </w14:textFill>
        </w:rPr>
        <w:t>作为当今世界最重要的多边贸易治理机制，世界贸易组织的职能发挥受到严重阻碍，</w:t>
      </w:r>
      <w:r>
        <w:rPr>
          <w:rFonts w:ascii="Times New Roman" w:hAnsi="Times New Roman" w:eastAsia="宋体" w:cs="Times New Roman"/>
          <w:color w:val="000000" w:themeColor="text1"/>
          <w:kern w:val="0"/>
          <w:sz w:val="24"/>
          <w:szCs w:val="24"/>
          <w14:textFill>
            <w14:solidFill>
              <w14:schemeClr w14:val="tx1"/>
            </w14:solidFill>
          </w14:textFill>
        </w:rPr>
        <w:t>WTO</w:t>
      </w:r>
      <w:r>
        <w:rPr>
          <w:rFonts w:ascii="宋体" w:hAnsi="宋体" w:eastAsia="宋体" w:cs="AdobeHeitiStd-Regular"/>
          <w:color w:val="000000" w:themeColor="text1"/>
          <w:kern w:val="0"/>
          <w:sz w:val="24"/>
          <w:szCs w:val="24"/>
          <w14:textFill>
            <w14:solidFill>
              <w14:schemeClr w14:val="tx1"/>
            </w14:solidFill>
          </w14:textFill>
        </w:rPr>
        <w:t>不仅未能有效</w:t>
      </w:r>
      <w:r>
        <w:rPr>
          <w:rFonts w:hint="eastAsia" w:ascii="宋体" w:hAnsi="宋体" w:eastAsia="宋体" w:cs="AdobeHeitiStd-Regular"/>
          <w:color w:val="000000" w:themeColor="text1"/>
          <w:kern w:val="0"/>
          <w:sz w:val="24"/>
          <w:szCs w:val="24"/>
          <w14:textFill>
            <w14:solidFill>
              <w14:schemeClr w14:val="tx1"/>
            </w14:solidFill>
          </w14:textFill>
        </w:rPr>
        <w:t>抑制</w:t>
      </w:r>
      <w:r>
        <w:rPr>
          <w:rFonts w:ascii="宋体" w:hAnsi="宋体" w:eastAsia="宋体" w:cs="AdobeHeitiStd-Regular"/>
          <w:color w:val="000000" w:themeColor="text1"/>
          <w:kern w:val="0"/>
          <w:sz w:val="24"/>
          <w:szCs w:val="24"/>
          <w14:textFill>
            <w14:solidFill>
              <w14:schemeClr w14:val="tx1"/>
            </w14:solidFill>
          </w14:textFill>
        </w:rPr>
        <w:t>全球</w:t>
      </w:r>
      <w:r>
        <w:rPr>
          <w:rFonts w:hint="eastAsia" w:ascii="宋体" w:hAnsi="宋体" w:eastAsia="宋体" w:cs="AdobeHeitiStd-Regular"/>
          <w:color w:val="000000" w:themeColor="text1"/>
          <w:kern w:val="0"/>
          <w:sz w:val="24"/>
          <w:szCs w:val="24"/>
          <w14:textFill>
            <w14:solidFill>
              <w14:schemeClr w14:val="tx1"/>
            </w14:solidFill>
          </w14:textFill>
        </w:rPr>
        <w:t>愈演愈烈</w:t>
      </w:r>
      <w:r>
        <w:rPr>
          <w:rFonts w:ascii="宋体" w:hAnsi="宋体" w:eastAsia="宋体" w:cs="AdobeHeitiStd-Regular"/>
          <w:color w:val="000000" w:themeColor="text1"/>
          <w:kern w:val="0"/>
          <w:sz w:val="24"/>
          <w:szCs w:val="24"/>
          <w14:textFill>
            <w14:solidFill>
              <w14:schemeClr w14:val="tx1"/>
            </w14:solidFill>
          </w14:textFill>
        </w:rPr>
        <w:t>的贸易保护主义</w:t>
      </w:r>
      <w:r>
        <w:rPr>
          <w:rFonts w:hint="eastAsia" w:ascii="宋体" w:hAnsi="宋体" w:eastAsia="宋体" w:cs="AdobeHeitiStd-Regular"/>
          <w:color w:val="000000" w:themeColor="text1"/>
          <w:kern w:val="0"/>
          <w:sz w:val="24"/>
          <w:szCs w:val="24"/>
          <w14:textFill>
            <w14:solidFill>
              <w14:schemeClr w14:val="tx1"/>
            </w14:solidFill>
          </w14:textFill>
        </w:rPr>
        <w:t>倾向</w:t>
      </w:r>
      <w:r>
        <w:rPr>
          <w:rFonts w:ascii="宋体" w:hAnsi="宋体" w:eastAsia="宋体" w:cs="AdobeHeitiStd-Regular"/>
          <w:color w:val="000000" w:themeColor="text1"/>
          <w:kern w:val="0"/>
          <w:sz w:val="24"/>
          <w:szCs w:val="24"/>
          <w14:textFill>
            <w14:solidFill>
              <w14:schemeClr w14:val="tx1"/>
            </w14:solidFill>
          </w14:textFill>
        </w:rPr>
        <w:t>，还面临</w:t>
      </w:r>
      <w:r>
        <w:rPr>
          <w:rFonts w:hint="eastAsia" w:ascii="宋体" w:hAnsi="宋体" w:eastAsia="宋体" w:cs="AdobeHeitiStd-Regular"/>
          <w:color w:val="000000" w:themeColor="text1"/>
          <w:kern w:val="0"/>
          <w:sz w:val="24"/>
          <w:szCs w:val="24"/>
          <w14:textFill>
            <w14:solidFill>
              <w14:schemeClr w14:val="tx1"/>
            </w14:solidFill>
          </w14:textFill>
        </w:rPr>
        <w:t>各国</w:t>
      </w:r>
      <w:r>
        <w:rPr>
          <w:rFonts w:ascii="宋体" w:hAnsi="宋体" w:eastAsia="宋体" w:cs="AdobeHeitiStd-Regular"/>
          <w:color w:val="000000" w:themeColor="text1"/>
          <w:kern w:val="0"/>
          <w:sz w:val="24"/>
          <w:szCs w:val="24"/>
          <w14:textFill>
            <w14:solidFill>
              <w14:schemeClr w14:val="tx1"/>
            </w14:solidFill>
          </w14:textFill>
        </w:rPr>
        <w:t>争端解决机制停摆、经贸谈判</w:t>
      </w:r>
      <w:r>
        <w:rPr>
          <w:rFonts w:hint="eastAsia" w:ascii="宋体" w:hAnsi="宋体" w:eastAsia="宋体" w:cs="AdobeHeitiStd-Regular"/>
          <w:color w:val="000000" w:themeColor="text1"/>
          <w:kern w:val="0"/>
          <w:sz w:val="24"/>
          <w:szCs w:val="24"/>
          <w14:textFill>
            <w14:solidFill>
              <w14:schemeClr w14:val="tx1"/>
            </w14:solidFill>
          </w14:textFill>
        </w:rPr>
        <w:t>功能丧失、治理成效弱化</w:t>
      </w:r>
      <w:r>
        <w:rPr>
          <w:rFonts w:ascii="宋体" w:hAnsi="宋体" w:eastAsia="宋体" w:cs="AdobeHeitiStd-Regular"/>
          <w:color w:val="000000" w:themeColor="text1"/>
          <w:kern w:val="0"/>
          <w:sz w:val="24"/>
          <w:szCs w:val="24"/>
          <w14:textFill>
            <w14:solidFill>
              <w14:schemeClr w14:val="tx1"/>
            </w14:solidFill>
          </w14:textFill>
        </w:rPr>
        <w:t>和监督效率</w:t>
      </w:r>
      <w:r>
        <w:rPr>
          <w:rFonts w:hint="eastAsia" w:ascii="宋体" w:hAnsi="宋体" w:eastAsia="宋体" w:cs="AdobeHeitiStd-Regular"/>
          <w:color w:val="000000" w:themeColor="text1"/>
          <w:kern w:val="0"/>
          <w:sz w:val="24"/>
          <w:szCs w:val="24"/>
          <w14:textFill>
            <w14:solidFill>
              <w14:schemeClr w14:val="tx1"/>
            </w14:solidFill>
          </w14:textFill>
        </w:rPr>
        <w:t>缺失</w:t>
      </w:r>
      <w:r>
        <w:rPr>
          <w:rFonts w:ascii="宋体" w:hAnsi="宋体" w:eastAsia="宋体" w:cs="AdobeHeitiStd-Regular"/>
          <w:color w:val="000000" w:themeColor="text1"/>
          <w:kern w:val="0"/>
          <w:sz w:val="24"/>
          <w:szCs w:val="24"/>
          <w14:textFill>
            <w14:solidFill>
              <w14:schemeClr w14:val="tx1"/>
            </w14:solidFill>
          </w14:textFill>
        </w:rPr>
        <w:t>等一系列问题。</w:t>
      </w:r>
      <w:r>
        <w:rPr>
          <w:rFonts w:hint="eastAsia" w:ascii="宋体" w:hAnsi="宋体" w:eastAsia="宋体" w:cs="AdobeHeitiStd-Regular"/>
          <w:color w:val="000000" w:themeColor="text1"/>
          <w:kern w:val="0"/>
          <w:sz w:val="24"/>
          <w:szCs w:val="24"/>
          <w14:textFill>
            <w14:solidFill>
              <w14:schemeClr w14:val="tx1"/>
            </w14:solidFill>
          </w14:textFill>
        </w:rPr>
        <w:t>根据全球贸易预警</w:t>
      </w:r>
      <w:r>
        <w:rPr>
          <w:rFonts w:ascii="宋体" w:hAnsi="宋体" w:eastAsia="宋体" w:cs="AdobeHeitiStd-Regular"/>
          <w:color w:val="000000" w:themeColor="text1"/>
          <w:kern w:val="0"/>
          <w:sz w:val="24"/>
          <w:szCs w:val="24"/>
          <w14:textFill>
            <w14:solidFill>
              <w14:schemeClr w14:val="tx1"/>
            </w14:solidFill>
          </w14:textFill>
        </w:rPr>
        <w:t xml:space="preserve">( </w:t>
      </w:r>
      <w:r>
        <w:rPr>
          <w:rFonts w:ascii="Times New Roman" w:hAnsi="Times New Roman" w:eastAsia="宋体" w:cs="Times New Roman"/>
          <w:color w:val="000000" w:themeColor="text1"/>
          <w:kern w:val="0"/>
          <w:sz w:val="24"/>
          <w:szCs w:val="24"/>
          <w14:textFill>
            <w14:solidFill>
              <w14:schemeClr w14:val="tx1"/>
            </w14:solidFill>
          </w14:textFill>
        </w:rPr>
        <w:t>GTA</w:t>
      </w:r>
      <w:r>
        <w:rPr>
          <w:rFonts w:ascii="宋体" w:hAnsi="宋体" w:eastAsia="宋体" w:cs="AdobeHeitiStd-Regular"/>
          <w:color w:val="000000" w:themeColor="text1"/>
          <w:kern w:val="0"/>
          <w:sz w:val="24"/>
          <w:szCs w:val="24"/>
          <w14:textFill>
            <w14:solidFill>
              <w14:schemeClr w14:val="tx1"/>
            </w14:solidFill>
          </w14:textFill>
        </w:rPr>
        <w:t>) 数据库的信息，</w:t>
      </w:r>
      <w:r>
        <w:rPr>
          <w:rFonts w:hint="eastAsia" w:ascii="宋体" w:hAnsi="宋体" w:eastAsia="宋体" w:cs="AdobeHeitiStd-Regular"/>
          <w:color w:val="000000" w:themeColor="text1"/>
          <w:kern w:val="0"/>
          <w:sz w:val="24"/>
          <w:szCs w:val="24"/>
          <w14:textFill>
            <w14:solidFill>
              <w14:schemeClr w14:val="tx1"/>
            </w14:solidFill>
          </w14:textFill>
        </w:rPr>
        <w:t>自</w:t>
      </w:r>
      <w:r>
        <w:rPr>
          <w:rFonts w:ascii="宋体" w:hAnsi="宋体" w:eastAsia="宋体" w:cs="AdobeHeitiStd-Regular"/>
          <w:color w:val="000000" w:themeColor="text1"/>
          <w:kern w:val="0"/>
          <w:sz w:val="24"/>
          <w:szCs w:val="24"/>
          <w14:textFill>
            <w14:solidFill>
              <w14:schemeClr w14:val="tx1"/>
            </w14:solidFill>
          </w14:textFill>
        </w:rPr>
        <w:t>2008年</w:t>
      </w:r>
      <w:r>
        <w:rPr>
          <w:rFonts w:hint="eastAsia" w:ascii="宋体" w:hAnsi="宋体" w:eastAsia="宋体" w:cs="AdobeHeitiStd-Regular"/>
          <w:color w:val="000000" w:themeColor="text1"/>
          <w:kern w:val="0"/>
          <w:sz w:val="24"/>
          <w:szCs w:val="24"/>
          <w14:textFill>
            <w14:solidFill>
              <w14:schemeClr w14:val="tx1"/>
            </w14:solidFill>
          </w14:textFill>
        </w:rPr>
        <w:t>金融危机</w:t>
      </w:r>
      <w:r>
        <w:rPr>
          <w:rFonts w:ascii="宋体" w:hAnsi="宋体" w:eastAsia="宋体" w:cs="AdobeHeitiStd-Regular"/>
          <w:color w:val="000000" w:themeColor="text1"/>
          <w:kern w:val="0"/>
          <w:sz w:val="24"/>
          <w:szCs w:val="24"/>
          <w14:textFill>
            <w14:solidFill>
              <w14:schemeClr w14:val="tx1"/>
            </w14:solidFill>
          </w14:textFill>
        </w:rPr>
        <w:t>以来</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全球妨碍</w:t>
      </w:r>
      <w:r>
        <w:rPr>
          <w:rFonts w:hint="eastAsia" w:ascii="宋体" w:hAnsi="宋体" w:eastAsia="宋体" w:cs="AdobeHeitiStd-Regular"/>
          <w:color w:val="000000" w:themeColor="text1"/>
          <w:kern w:val="0"/>
          <w:sz w:val="24"/>
          <w:szCs w:val="24"/>
          <w14:textFill>
            <w14:solidFill>
              <w14:schemeClr w14:val="tx1"/>
            </w14:solidFill>
          </w14:textFill>
        </w:rPr>
        <w:t>贸易自由化的干预措施数量不断增加，目前</w:t>
      </w:r>
      <w:r>
        <w:rPr>
          <w:rFonts w:ascii="宋体" w:hAnsi="宋体" w:eastAsia="宋体" w:cs="AdobeHeitiStd-Regular"/>
          <w:color w:val="000000" w:themeColor="text1"/>
          <w:kern w:val="0"/>
          <w:sz w:val="24"/>
          <w:szCs w:val="24"/>
          <w14:textFill>
            <w14:solidFill>
              <w14:schemeClr w14:val="tx1"/>
            </w14:solidFill>
          </w14:textFill>
        </w:rPr>
        <w:t>实施的干预措施总数已达到39501</w:t>
      </w:r>
      <w:r>
        <w:rPr>
          <w:rFonts w:hint="eastAsia" w:ascii="宋体" w:hAnsi="宋体" w:eastAsia="宋体" w:cs="AdobeHeitiStd-Regular"/>
          <w:color w:val="000000" w:themeColor="text1"/>
          <w:kern w:val="0"/>
          <w:sz w:val="24"/>
          <w:szCs w:val="24"/>
          <w14:textFill>
            <w14:solidFill>
              <w14:schemeClr w14:val="tx1"/>
            </w14:solidFill>
          </w14:textFill>
        </w:rPr>
        <w:t>项</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其中已经实施且几乎肯定歧视外国商业利益的政府干预在</w:t>
      </w:r>
      <w:r>
        <w:rPr>
          <w:rFonts w:ascii="宋体" w:hAnsi="宋体" w:eastAsia="宋体" w:cs="AdobeHeitiStd-Regular"/>
          <w:color w:val="000000" w:themeColor="text1"/>
          <w:kern w:val="0"/>
          <w:sz w:val="24"/>
          <w:szCs w:val="24"/>
          <w14:textFill>
            <w14:solidFill>
              <w14:schemeClr w14:val="tx1"/>
            </w14:solidFill>
          </w14:textFill>
        </w:rPr>
        <w:t>2020 年达到了</w:t>
      </w:r>
      <w:r>
        <w:rPr>
          <w:rFonts w:hint="eastAsia" w:ascii="宋体" w:hAnsi="宋体" w:eastAsia="宋体" w:cs="AdobeHeitiStd-Regular"/>
          <w:color w:val="000000" w:themeColor="text1"/>
          <w:kern w:val="0"/>
          <w:sz w:val="24"/>
          <w:szCs w:val="24"/>
          <w14:textFill>
            <w14:solidFill>
              <w14:schemeClr w14:val="tx1"/>
            </w14:solidFill>
          </w14:textFill>
        </w:rPr>
        <w:t>最高</w:t>
      </w:r>
      <w:r>
        <w:rPr>
          <w:rFonts w:ascii="宋体" w:hAnsi="宋体" w:eastAsia="宋体" w:cs="AdobeHeitiStd-Regular"/>
          <w:color w:val="000000" w:themeColor="text1"/>
          <w:kern w:val="0"/>
          <w:sz w:val="24"/>
          <w:szCs w:val="24"/>
          <w14:textFill>
            <w14:solidFill>
              <w14:schemeClr w14:val="tx1"/>
            </w14:solidFill>
          </w14:textFill>
        </w:rPr>
        <w:t>，为5344 项，</w:t>
      </w:r>
      <w:r>
        <w:rPr>
          <w:rFonts w:hint="eastAsia" w:ascii="宋体" w:hAnsi="宋体" w:eastAsia="宋体" w:cs="AdobeHeitiStd-Regular"/>
          <w:color w:val="000000" w:themeColor="text1"/>
          <w:kern w:val="0"/>
          <w:sz w:val="24"/>
          <w:szCs w:val="24"/>
          <w14:textFill>
            <w14:solidFill>
              <w14:schemeClr w14:val="tx1"/>
            </w14:solidFill>
          </w14:textFill>
        </w:rPr>
        <w:t>约为2009年2142项的2.5倍</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此后</w:t>
      </w:r>
      <w:r>
        <w:rPr>
          <w:rFonts w:ascii="宋体" w:hAnsi="宋体" w:eastAsia="宋体" w:cs="AdobeHeitiStd-Regular"/>
          <w:color w:val="000000" w:themeColor="text1"/>
          <w:kern w:val="0"/>
          <w:sz w:val="24"/>
          <w:szCs w:val="24"/>
          <w14:textFill>
            <w14:solidFill>
              <w14:schemeClr w14:val="tx1"/>
            </w14:solidFill>
          </w14:textFill>
        </w:rPr>
        <w:t>略有下降，</w:t>
      </w:r>
      <w:r>
        <w:rPr>
          <w:rFonts w:hint="eastAsia" w:ascii="宋体" w:hAnsi="宋体" w:eastAsia="宋体" w:cs="AdobeHeitiStd-Regular"/>
          <w:color w:val="000000" w:themeColor="text1"/>
          <w:kern w:val="0"/>
          <w:sz w:val="24"/>
          <w:szCs w:val="24"/>
          <w14:textFill>
            <w14:solidFill>
              <w14:schemeClr w14:val="tx1"/>
            </w14:solidFill>
          </w14:textFill>
        </w:rPr>
        <w:t>2021年为40</w:t>
      </w:r>
      <w:r>
        <w:rPr>
          <w:rFonts w:ascii="宋体" w:hAnsi="宋体" w:eastAsia="宋体" w:cs="AdobeHeitiStd-Regular"/>
          <w:color w:val="000000" w:themeColor="text1"/>
          <w:kern w:val="0"/>
          <w:sz w:val="24"/>
          <w:szCs w:val="24"/>
          <w14:textFill>
            <w14:solidFill>
              <w14:schemeClr w14:val="tx1"/>
            </w14:solidFill>
          </w14:textFill>
        </w:rPr>
        <w:t>85</w:t>
      </w:r>
      <w:r>
        <w:rPr>
          <w:rFonts w:hint="eastAsia" w:ascii="宋体" w:hAnsi="宋体" w:eastAsia="宋体" w:cs="AdobeHeitiStd-Regular"/>
          <w:color w:val="000000" w:themeColor="text1"/>
          <w:kern w:val="0"/>
          <w:sz w:val="24"/>
          <w:szCs w:val="24"/>
          <w14:textFill>
            <w14:solidFill>
              <w14:schemeClr w14:val="tx1"/>
            </w14:solidFill>
          </w14:textFill>
        </w:rPr>
        <w:t>项</w:t>
      </w:r>
      <w:r>
        <w:rPr>
          <w:rFonts w:ascii="宋体" w:hAnsi="宋体" w:eastAsia="宋体" w:cs="AdobeHeitiStd-Regular"/>
          <w:color w:val="000000" w:themeColor="text1"/>
          <w:kern w:val="0"/>
          <w:sz w:val="24"/>
          <w:szCs w:val="24"/>
          <w14:textFill>
            <w14:solidFill>
              <w14:schemeClr w14:val="tx1"/>
            </w14:solidFill>
          </w14:textFill>
        </w:rPr>
        <w:t>，2022</w:t>
      </w:r>
      <w:r>
        <w:rPr>
          <w:rFonts w:hint="eastAsia" w:ascii="宋体" w:hAnsi="宋体" w:eastAsia="宋体" w:cs="AdobeHeitiStd-Regular"/>
          <w:color w:val="000000" w:themeColor="text1"/>
          <w:kern w:val="0"/>
          <w:sz w:val="24"/>
          <w:szCs w:val="24"/>
          <w14:textFill>
            <w14:solidFill>
              <w14:schemeClr w14:val="tx1"/>
            </w14:solidFill>
          </w14:textFill>
        </w:rPr>
        <w:t>年</w:t>
      </w:r>
      <w:r>
        <w:rPr>
          <w:rFonts w:ascii="宋体" w:hAnsi="宋体" w:eastAsia="宋体" w:cs="AdobeHeitiStd-Regular"/>
          <w:color w:val="000000" w:themeColor="text1"/>
          <w:kern w:val="0"/>
          <w:sz w:val="24"/>
          <w:szCs w:val="24"/>
          <w14:textFill>
            <w14:solidFill>
              <w14:schemeClr w14:val="tx1"/>
            </w14:solidFill>
          </w14:textFill>
        </w:rPr>
        <w:t>为3226</w:t>
      </w:r>
      <w:r>
        <w:rPr>
          <w:rFonts w:hint="eastAsia" w:ascii="宋体" w:hAnsi="宋体" w:eastAsia="宋体" w:cs="AdobeHeitiStd-Regular"/>
          <w:color w:val="000000" w:themeColor="text1"/>
          <w:kern w:val="0"/>
          <w:sz w:val="24"/>
          <w:szCs w:val="24"/>
          <w14:textFill>
            <w14:solidFill>
              <w14:schemeClr w14:val="tx1"/>
            </w14:solidFill>
          </w14:textFill>
        </w:rPr>
        <w:t>项，</w:t>
      </w:r>
      <w:r>
        <w:rPr>
          <w:rFonts w:ascii="宋体" w:hAnsi="宋体" w:eastAsia="宋体" w:cs="AdobeHeitiStd-Regular"/>
          <w:color w:val="000000" w:themeColor="text1"/>
          <w:kern w:val="0"/>
          <w:sz w:val="24"/>
          <w:szCs w:val="24"/>
          <w14:textFill>
            <w14:solidFill>
              <w14:schemeClr w14:val="tx1"/>
            </w14:solidFill>
          </w14:textFill>
        </w:rPr>
        <w:t>如</w:t>
      </w:r>
      <w:r>
        <w:rPr>
          <w:rFonts w:hint="eastAsia" w:ascii="宋体" w:hAnsi="宋体" w:eastAsia="宋体" w:cs="AdobeHeitiStd-Regular"/>
          <w:color w:val="000000" w:themeColor="text1"/>
          <w:kern w:val="0"/>
          <w:sz w:val="24"/>
          <w:szCs w:val="24"/>
          <w14:textFill>
            <w14:solidFill>
              <w14:schemeClr w14:val="tx1"/>
            </w14:solidFill>
          </w14:textFill>
        </w:rPr>
        <w:t>图2所示。</w:t>
      </w:r>
      <w:r>
        <w:rPr>
          <w:rStyle w:val="20"/>
          <w:rFonts w:ascii="宋体" w:hAnsi="宋体" w:eastAsia="宋体" w:cs="AdobeHeitiStd-Regular"/>
          <w:color w:val="000000" w:themeColor="text1"/>
          <w:kern w:val="0"/>
          <w:sz w:val="24"/>
          <w:szCs w:val="24"/>
          <w14:textFill>
            <w14:solidFill>
              <w14:schemeClr w14:val="tx1"/>
            </w14:solidFill>
          </w14:textFill>
        </w:rPr>
        <w:footnoteReference w:id="372"/>
      </w:r>
      <w:r>
        <w:rPr>
          <w:rFonts w:hint="eastAsia" w:ascii="宋体" w:hAnsi="宋体" w:eastAsia="宋体" w:cs="AdobeHeitiStd-Regular"/>
          <w:color w:val="000000" w:themeColor="text1"/>
          <w:kern w:val="0"/>
          <w:sz w:val="24"/>
          <w:szCs w:val="24"/>
          <w14:textFill>
            <w14:solidFill>
              <w14:schemeClr w14:val="tx1"/>
            </w14:solidFill>
          </w14:textFill>
        </w:rPr>
        <w:t xml:space="preserve"> 在保护主义政策下，全球价值链分工赖以形成和运转的“低壁垒、低关税”机制遭到动摇，要素和产品的全球自由流动受到阻碍，贸易网络日益碎片化，各国对供应链安全的担忧可能会增加贸易成本，同时增加经济发展潜在的不确定性，引致消极预期，减缓经济</w:t>
      </w:r>
      <w:r>
        <w:rPr>
          <w:rFonts w:ascii="宋体" w:hAnsi="宋体" w:eastAsia="宋体" w:cs="AdobeHeitiStd-Regular"/>
          <w:color w:val="000000" w:themeColor="text1"/>
          <w:kern w:val="0"/>
          <w:sz w:val="24"/>
          <w:szCs w:val="24"/>
          <w14:textFill>
            <w14:solidFill>
              <w14:schemeClr w14:val="tx1"/>
            </w14:solidFill>
          </w14:textFill>
        </w:rPr>
        <w:t>和</w:t>
      </w:r>
      <w:r>
        <w:rPr>
          <w:rFonts w:hint="eastAsia" w:ascii="宋体" w:hAnsi="宋体" w:eastAsia="宋体" w:cs="AdobeHeitiStd-Regular"/>
          <w:color w:val="000000" w:themeColor="text1"/>
          <w:kern w:val="0"/>
          <w:sz w:val="24"/>
          <w:szCs w:val="24"/>
          <w14:textFill>
            <w14:solidFill>
              <w14:schemeClr w14:val="tx1"/>
            </w14:solidFill>
          </w14:textFill>
        </w:rPr>
        <w:t>贸易增长。事实</w:t>
      </w:r>
      <w:r>
        <w:rPr>
          <w:rFonts w:ascii="宋体" w:hAnsi="宋体" w:eastAsia="宋体" w:cs="AdobeHeitiStd-Regular"/>
          <w:color w:val="000000" w:themeColor="text1"/>
          <w:kern w:val="0"/>
          <w:sz w:val="24"/>
          <w:szCs w:val="24"/>
          <w14:textFill>
            <w14:solidFill>
              <w14:schemeClr w14:val="tx1"/>
            </w14:solidFill>
          </w14:textFill>
        </w:rPr>
        <w:t>上，</w:t>
      </w:r>
      <w:r>
        <w:rPr>
          <w:rFonts w:hint="eastAsia" w:ascii="宋体" w:hAnsi="宋体" w:eastAsia="宋体" w:cs="AdobeHeitiStd-Regular"/>
          <w:color w:val="000000" w:themeColor="text1"/>
          <w:kern w:val="0"/>
          <w:sz w:val="24"/>
          <w:szCs w:val="24"/>
          <w14:textFill>
            <w14:solidFill>
              <w14:schemeClr w14:val="tx1"/>
            </w14:solidFill>
          </w14:textFill>
        </w:rPr>
        <w:t>不合理</w:t>
      </w:r>
      <w:r>
        <w:rPr>
          <w:rFonts w:ascii="宋体" w:hAnsi="宋体" w:eastAsia="宋体" w:cs="AdobeHeitiStd-Regular"/>
          <w:color w:val="000000" w:themeColor="text1"/>
          <w:kern w:val="0"/>
          <w:sz w:val="24"/>
          <w:szCs w:val="24"/>
          <w14:textFill>
            <w14:solidFill>
              <w14:schemeClr w14:val="tx1"/>
            </w14:solidFill>
          </w14:textFill>
        </w:rPr>
        <w:t>的</w:t>
      </w:r>
      <w:r>
        <w:rPr>
          <w:rFonts w:hint="eastAsia" w:ascii="宋体" w:hAnsi="宋体" w:eastAsia="宋体" w:cs="AdobeHeitiStd-Regular"/>
          <w:color w:val="000000" w:themeColor="text1"/>
          <w:kern w:val="0"/>
          <w:sz w:val="24"/>
          <w:szCs w:val="24"/>
          <w14:textFill>
            <w14:solidFill>
              <w14:schemeClr w14:val="tx1"/>
            </w14:solidFill>
          </w14:textFill>
        </w:rPr>
        <w:t>贸易保护既无法改变全球化趋势，也无益于根本解决国内矛盾，更无法成为扭转关键优势、巩固本国经济地位的博弈手段，反而会从生产、贸易与投资以及治理的角度扰动全球化进程和</w:t>
      </w:r>
      <w:r>
        <w:rPr>
          <w:rFonts w:ascii="宋体" w:hAnsi="宋体" w:eastAsia="宋体" w:cs="AdobeHeitiStd-Regular"/>
          <w:color w:val="000000" w:themeColor="text1"/>
          <w:kern w:val="0"/>
          <w:sz w:val="24"/>
          <w:szCs w:val="24"/>
          <w14:textFill>
            <w14:solidFill>
              <w14:schemeClr w14:val="tx1"/>
            </w14:solidFill>
          </w14:textFill>
        </w:rPr>
        <w:t>秩序</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最终</w:t>
      </w:r>
      <w:r>
        <w:rPr>
          <w:rFonts w:hint="eastAsia" w:ascii="宋体" w:hAnsi="宋体" w:eastAsia="宋体" w:cs="AdobeHeitiStd-Regular"/>
          <w:color w:val="000000" w:themeColor="text1"/>
          <w:kern w:val="0"/>
          <w:sz w:val="24"/>
          <w:szCs w:val="24"/>
          <w14:textFill>
            <w14:solidFill>
              <w14:schemeClr w14:val="tx1"/>
            </w14:solidFill>
          </w14:textFill>
        </w:rPr>
        <w:t>阻碍世界经济发展。</w:t>
      </w:r>
      <w:r>
        <w:rPr>
          <w:rStyle w:val="20"/>
          <w:rFonts w:ascii="宋体" w:hAnsi="宋体" w:eastAsia="宋体" w:cs="AdobeHeitiStd-Regular"/>
          <w:color w:val="000000" w:themeColor="text1"/>
          <w:kern w:val="0"/>
          <w:sz w:val="24"/>
          <w:szCs w:val="24"/>
          <w14:textFill>
            <w14:solidFill>
              <w14:schemeClr w14:val="tx1"/>
            </w14:solidFill>
          </w14:textFill>
        </w:rPr>
        <w:footnoteReference w:id="373"/>
      </w:r>
    </w:p>
    <w:p w14:paraId="1DD494F3">
      <w:pPr>
        <w:autoSpaceDE w:val="0"/>
        <w:autoSpaceDN w:val="0"/>
        <w:adjustRightInd w:val="0"/>
        <w:snapToGrid w:val="0"/>
        <w:spacing w:line="360" w:lineRule="auto"/>
        <w:ind w:firstLine="480" w:firstLineChars="200"/>
        <w:jc w:val="left"/>
        <w:rPr>
          <w:rFonts w:ascii="AdobeHeitiStd-Regular" w:eastAsia="AdobeHeitiStd-Regular" w:cs="AdobeHeitiStd-Regular"/>
          <w:color w:val="000000" w:themeColor="text1"/>
          <w:kern w:val="0"/>
          <w:sz w:val="24"/>
          <w:szCs w:val="24"/>
          <w14:textFill>
            <w14:solidFill>
              <w14:schemeClr w14:val="tx1"/>
            </w14:solidFill>
          </w14:textFill>
        </w:rPr>
      </w:pPr>
    </w:p>
    <w:p w14:paraId="20AA803C">
      <w:pPr>
        <w:autoSpaceDE w:val="0"/>
        <w:autoSpaceDN w:val="0"/>
        <w:adjustRightInd w:val="0"/>
        <w:snapToGrid w:val="0"/>
        <w:spacing w:line="360" w:lineRule="auto"/>
        <w:jc w:val="center"/>
        <w:rPr>
          <w:rFonts w:ascii="AdobeHeitiStd-Regular" w:eastAsia="AdobeHeitiStd-Regular" w:cs="AdobeHeitiStd-Regular"/>
          <w:color w:val="000000" w:themeColor="text1"/>
          <w:kern w:val="0"/>
          <w:sz w:val="24"/>
          <w:szCs w:val="24"/>
          <w14:textFill>
            <w14:solidFill>
              <w14:schemeClr w14:val="tx1"/>
            </w14:solidFill>
          </w14:textFill>
        </w:rPr>
      </w:pPr>
      <w:r>
        <w:drawing>
          <wp:inline distT="0" distB="0" distL="0" distR="0">
            <wp:extent cx="4815205" cy="4044950"/>
            <wp:effectExtent l="6350" t="6350" r="29845" b="12700"/>
            <wp:docPr id="245" name="图表 245" descr="7b0a202020202263686172745265734964223a202234363530303532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08B4AF9">
      <w:pPr>
        <w:autoSpaceDE w:val="0"/>
        <w:autoSpaceDN w:val="0"/>
        <w:adjustRightInd w:val="0"/>
        <w:snapToGrid w:val="0"/>
        <w:spacing w:line="360" w:lineRule="auto"/>
        <w:jc w:val="center"/>
        <w:rPr>
          <w:rFonts w:ascii="AdobeHeitiStd-Regular" w:eastAsia="AdobeHeitiStd-Regular" w:cs="AdobeHeitiStd-Regular"/>
          <w:b/>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Cs w:val="21"/>
          <w14:textFill>
            <w14:solidFill>
              <w14:schemeClr w14:val="tx1"/>
            </w14:solidFill>
          </w14:textFill>
        </w:rPr>
        <w:t>数据来源</w:t>
      </w:r>
      <w:r>
        <w:rPr>
          <w:rFonts w:ascii="宋体" w:hAnsi="宋体" w:eastAsia="宋体" w:cs="AdobeHeitiStd-Regular"/>
          <w:color w:val="000000" w:themeColor="text1"/>
          <w:kern w:val="0"/>
          <w:szCs w:val="21"/>
          <w14:textFill>
            <w14:solidFill>
              <w14:schemeClr w14:val="tx1"/>
            </w14:solidFill>
          </w14:textFill>
        </w:rPr>
        <w:t>：</w:t>
      </w:r>
      <w:r>
        <w:rPr>
          <w:rFonts w:hint="eastAsia" w:ascii="宋体" w:hAnsi="宋体" w:eastAsia="宋体" w:cs="AdobeHeitiStd-Regular"/>
          <w:color w:val="000000" w:themeColor="text1"/>
          <w:kern w:val="0"/>
          <w:szCs w:val="21"/>
          <w14:textFill>
            <w14:solidFill>
              <w14:schemeClr w14:val="tx1"/>
            </w14:solidFill>
          </w14:textFill>
        </w:rPr>
        <w:t>全球贸易预警</w:t>
      </w:r>
      <w:r>
        <w:rPr>
          <w:rFonts w:ascii="宋体" w:hAnsi="宋体" w:eastAsia="宋体" w:cs="AdobeHeitiStd-Regular"/>
          <w:color w:val="000000" w:themeColor="text1"/>
          <w:kern w:val="0"/>
          <w:szCs w:val="21"/>
          <w14:textFill>
            <w14:solidFill>
              <w14:schemeClr w14:val="tx1"/>
            </w14:solidFill>
          </w14:textFill>
        </w:rPr>
        <w:t>( GTA) 数据库</w:t>
      </w:r>
      <w:r>
        <w:rPr>
          <w:rFonts w:hint="eastAsia" w:ascii="宋体" w:hAnsi="宋体" w:eastAsia="宋体" w:cs="AdobeHeitiStd-Regular"/>
          <w:color w:val="000000" w:themeColor="text1"/>
          <w:kern w:val="0"/>
          <w:szCs w:val="21"/>
          <w14:textFill>
            <w14:solidFill>
              <w14:schemeClr w14:val="tx1"/>
            </w14:solidFill>
          </w14:textFill>
        </w:rPr>
        <w:t>，</w:t>
      </w:r>
      <w:r>
        <w:rPr>
          <w:rFonts w:ascii="Times New Roman" w:hAnsi="Times New Roman" w:eastAsia="AdobeHeitiStd-Regular" w:cs="Times New Roman"/>
          <w:color w:val="000000" w:themeColor="text1"/>
          <w:kern w:val="0"/>
          <w:szCs w:val="21"/>
          <w14:textFill>
            <w14:solidFill>
              <w14:schemeClr w14:val="tx1"/>
            </w14:solidFill>
          </w14:textFill>
        </w:rPr>
        <w:t>https://www.globaltradealert.org/global_dynamics</w:t>
      </w:r>
      <w:r>
        <w:rPr>
          <w:rFonts w:hint="eastAsia" w:ascii="AdobeHeitiStd-Regular" w:eastAsia="AdobeHeitiStd-Regular" w:cs="AdobeHeitiStd-Regular"/>
          <w:b/>
          <w:color w:val="000000" w:themeColor="text1"/>
          <w:kern w:val="0"/>
          <w:sz w:val="24"/>
          <w:szCs w:val="24"/>
          <w14:textFill>
            <w14:solidFill>
              <w14:schemeClr w14:val="tx1"/>
            </w14:solidFill>
          </w14:textFill>
        </w:rPr>
        <w:t>图2  全球每年新的</w:t>
      </w:r>
      <w:r>
        <w:rPr>
          <w:rFonts w:ascii="AdobeHeitiStd-Regular" w:eastAsia="AdobeHeitiStd-Regular" w:cs="AdobeHeitiStd-Regular"/>
          <w:b/>
          <w:color w:val="000000" w:themeColor="text1"/>
          <w:kern w:val="0"/>
          <w:sz w:val="24"/>
          <w:szCs w:val="24"/>
          <w14:textFill>
            <w14:solidFill>
              <w14:schemeClr w14:val="tx1"/>
            </w14:solidFill>
          </w14:textFill>
        </w:rPr>
        <w:t>干预措施</w:t>
      </w:r>
    </w:p>
    <w:p w14:paraId="1FCC5578">
      <w:pPr>
        <w:pStyle w:val="4"/>
        <w:adjustRightInd w:val="0"/>
        <w:snapToGrid w:val="0"/>
        <w:spacing w:before="0" w:after="0" w:line="360" w:lineRule="auto"/>
        <w:ind w:firstLine="480" w:firstLineChars="200"/>
        <w:rPr>
          <w:rStyle w:val="21"/>
          <w:rFonts w:ascii="宋体" w:hAnsi="宋体" w:eastAsia="宋体"/>
          <w:b/>
          <w:bCs w:val="0"/>
          <w:color w:val="000000" w:themeColor="text1"/>
          <w:sz w:val="24"/>
          <w:szCs w:val="24"/>
          <w14:textFill>
            <w14:solidFill>
              <w14:schemeClr w14:val="tx1"/>
            </w14:solidFill>
          </w14:textFill>
        </w:rPr>
      </w:pPr>
      <w:bookmarkStart w:id="195" w:name="_Toc2031835390"/>
      <w:bookmarkStart w:id="196" w:name="_Toc1456037611"/>
      <w:bookmarkStart w:id="197" w:name="_Toc1481036570"/>
      <w:bookmarkStart w:id="198" w:name="_Toc31275"/>
      <w:bookmarkStart w:id="199" w:name="_Toc2112143689"/>
      <w:bookmarkStart w:id="200" w:name="_Toc256897855"/>
      <w:r>
        <w:rPr>
          <w:rStyle w:val="21"/>
          <w:rFonts w:hint="eastAsia" w:ascii="宋体" w:hAnsi="宋体" w:eastAsia="宋体"/>
          <w:b/>
          <w:bCs w:val="0"/>
          <w:color w:val="000000" w:themeColor="text1"/>
          <w:sz w:val="24"/>
          <w:szCs w:val="24"/>
          <w14:textFill>
            <w14:solidFill>
              <w14:schemeClr w14:val="tx1"/>
            </w14:solidFill>
          </w14:textFill>
        </w:rPr>
        <w:t>（三）全球价值链的本土化、</w:t>
      </w:r>
      <w:r>
        <w:rPr>
          <w:rStyle w:val="21"/>
          <w:rFonts w:ascii="宋体" w:hAnsi="宋体" w:eastAsia="宋体"/>
          <w:b/>
          <w:bCs w:val="0"/>
          <w:color w:val="000000" w:themeColor="text1"/>
          <w:sz w:val="24"/>
          <w:szCs w:val="24"/>
          <w14:textFill>
            <w14:solidFill>
              <w14:schemeClr w14:val="tx1"/>
            </w14:solidFill>
          </w14:textFill>
        </w:rPr>
        <w:t>区域化</w:t>
      </w:r>
      <w:r>
        <w:rPr>
          <w:rStyle w:val="21"/>
          <w:rFonts w:hint="eastAsia" w:ascii="宋体" w:hAnsi="宋体" w:eastAsia="宋体"/>
          <w:b/>
          <w:bCs w:val="0"/>
          <w:color w:val="000000" w:themeColor="text1"/>
          <w:sz w:val="24"/>
          <w:szCs w:val="24"/>
          <w14:textFill>
            <w14:solidFill>
              <w14:schemeClr w14:val="tx1"/>
            </w14:solidFill>
          </w14:textFill>
        </w:rPr>
        <w:t>取代</w:t>
      </w:r>
      <w:r>
        <w:rPr>
          <w:rStyle w:val="21"/>
          <w:rFonts w:ascii="宋体" w:hAnsi="宋体" w:eastAsia="宋体"/>
          <w:b/>
          <w:bCs w:val="0"/>
          <w:color w:val="000000" w:themeColor="text1"/>
          <w:sz w:val="24"/>
          <w:szCs w:val="24"/>
          <w14:textFill>
            <w14:solidFill>
              <w14:schemeClr w14:val="tx1"/>
            </w14:solidFill>
          </w14:textFill>
        </w:rPr>
        <w:t>全球化</w:t>
      </w:r>
    </w:p>
    <w:bookmarkEnd w:id="195"/>
    <w:bookmarkEnd w:id="196"/>
    <w:bookmarkEnd w:id="197"/>
    <w:bookmarkEnd w:id="198"/>
    <w:bookmarkEnd w:id="199"/>
    <w:bookmarkEnd w:id="200"/>
    <w:p w14:paraId="624E233A">
      <w:pPr>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ascii="宋体" w:hAnsi="宋体" w:eastAsia="宋体" w:cs="AdobeHeitiStd-Regular"/>
          <w:color w:val="000000" w:themeColor="text1"/>
          <w:kern w:val="0"/>
          <w:sz w:val="24"/>
          <w:szCs w:val="24"/>
          <w14:textFill>
            <w14:solidFill>
              <w14:schemeClr w14:val="tx1"/>
            </w14:solidFill>
          </w14:textFill>
        </w:rPr>
        <w:t>2020</w:t>
      </w:r>
      <w:r>
        <w:rPr>
          <w:rFonts w:hint="eastAsia" w:ascii="宋体" w:hAnsi="宋体" w:eastAsia="宋体" w:cs="AdobeHeitiStd-Regular"/>
          <w:color w:val="000000" w:themeColor="text1"/>
          <w:kern w:val="0"/>
          <w:sz w:val="24"/>
          <w:szCs w:val="24"/>
          <w14:textFill>
            <w14:solidFill>
              <w14:schemeClr w14:val="tx1"/>
            </w14:solidFill>
          </w14:textFill>
        </w:rPr>
        <w:t>年由于新冠</w:t>
      </w:r>
      <w:r>
        <w:rPr>
          <w:rFonts w:ascii="宋体" w:hAnsi="宋体" w:eastAsia="宋体" w:cs="AdobeHeitiStd-Regular"/>
          <w:color w:val="000000" w:themeColor="text1"/>
          <w:kern w:val="0"/>
          <w:sz w:val="24"/>
          <w:szCs w:val="24"/>
          <w14:textFill>
            <w14:solidFill>
              <w14:schemeClr w14:val="tx1"/>
            </w14:solidFill>
          </w14:textFill>
        </w:rPr>
        <w:t>疫情各国</w:t>
      </w:r>
      <w:r>
        <w:rPr>
          <w:rFonts w:hint="eastAsia" w:ascii="宋体" w:hAnsi="宋体" w:eastAsia="宋体" w:cs="AdobeHeitiStd-Regular"/>
          <w:color w:val="000000" w:themeColor="text1"/>
          <w:kern w:val="0"/>
          <w:sz w:val="24"/>
          <w:szCs w:val="24"/>
          <w14:textFill>
            <w14:solidFill>
              <w14:schemeClr w14:val="tx1"/>
            </w14:solidFill>
          </w14:textFill>
        </w:rPr>
        <w:t>滚动封锁造成的运输中断和输入供应中断，加剧了全球</w:t>
      </w:r>
      <w:r>
        <w:rPr>
          <w:rFonts w:ascii="宋体" w:hAnsi="宋体" w:eastAsia="宋体" w:cs="AdobeHeitiStd-Regular"/>
          <w:color w:val="000000" w:themeColor="text1"/>
          <w:kern w:val="0"/>
          <w:sz w:val="24"/>
          <w:szCs w:val="24"/>
          <w14:textFill>
            <w14:solidFill>
              <w14:schemeClr w14:val="tx1"/>
            </w14:solidFill>
          </w14:textFill>
        </w:rPr>
        <w:t>价值链</w:t>
      </w:r>
      <w:r>
        <w:rPr>
          <w:rFonts w:hint="eastAsia" w:ascii="宋体" w:hAnsi="宋体" w:eastAsia="宋体" w:cs="AdobeHeitiStd-Regular"/>
          <w:color w:val="000000" w:themeColor="text1"/>
          <w:kern w:val="0"/>
          <w:sz w:val="24"/>
          <w:szCs w:val="24"/>
          <w14:textFill>
            <w14:solidFill>
              <w14:schemeClr w14:val="tx1"/>
            </w14:solidFill>
          </w14:textFill>
        </w:rPr>
        <w:t>向在岸、近岸和建立区域供应链的趋势，超级</w:t>
      </w:r>
      <w:r>
        <w:rPr>
          <w:rFonts w:ascii="宋体" w:hAnsi="宋体" w:eastAsia="宋体" w:cs="AdobeHeitiStd-Regular"/>
          <w:color w:val="000000" w:themeColor="text1"/>
          <w:kern w:val="0"/>
          <w:sz w:val="24"/>
          <w:szCs w:val="24"/>
          <w14:textFill>
            <w14:solidFill>
              <w14:schemeClr w14:val="tx1"/>
            </w14:solidFill>
          </w14:textFill>
        </w:rPr>
        <w:t>全球化（</w:t>
      </w:r>
      <w:r>
        <w:rPr>
          <w:rFonts w:ascii="Times New Roman" w:hAnsi="Times New Roman" w:eastAsia="宋体" w:cs="Times New Roman"/>
          <w:color w:val="000000" w:themeColor="text1"/>
          <w:kern w:val="0"/>
          <w:sz w:val="24"/>
          <w:szCs w:val="24"/>
          <w14:textFill>
            <w14:solidFill>
              <w14:schemeClr w14:val="tx1"/>
            </w14:solidFill>
          </w14:textFill>
        </w:rPr>
        <w:t>hyperglobalization</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向慢全球化（</w:t>
      </w:r>
      <w:r>
        <w:rPr>
          <w:rFonts w:ascii="Times New Roman" w:hAnsi="Times New Roman" w:eastAsia="宋体" w:cs="Times New Roman"/>
          <w:color w:val="000000" w:themeColor="text1"/>
          <w:kern w:val="0"/>
          <w:sz w:val="24"/>
          <w:szCs w:val="24"/>
          <w14:textFill>
            <w14:solidFill>
              <w14:schemeClr w14:val="tx1"/>
            </w14:solidFill>
          </w14:textFill>
        </w:rPr>
        <w:t>slowbalization</w:t>
      </w:r>
      <w:r>
        <w:rPr>
          <w:rFonts w:hint="eastAsia" w:ascii="宋体" w:hAnsi="宋体" w:eastAsia="宋体" w:cs="AdobeHeitiStd-Regular"/>
          <w:color w:val="000000" w:themeColor="text1"/>
          <w:kern w:val="0"/>
          <w:sz w:val="24"/>
          <w:szCs w:val="24"/>
          <w14:textFill>
            <w14:solidFill>
              <w14:schemeClr w14:val="tx1"/>
            </w14:solidFill>
          </w14:textFill>
        </w:rPr>
        <w:t>）转变</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全球价值链本土化、</w:t>
      </w:r>
      <w:r>
        <w:rPr>
          <w:rFonts w:ascii="宋体" w:hAnsi="宋体" w:eastAsia="宋体" w:cs="AdobeHeitiStd-Regular"/>
          <w:color w:val="000000" w:themeColor="text1"/>
          <w:kern w:val="0"/>
          <w:sz w:val="24"/>
          <w:szCs w:val="24"/>
          <w14:textFill>
            <w14:solidFill>
              <w14:schemeClr w14:val="tx1"/>
            </w14:solidFill>
          </w14:textFill>
        </w:rPr>
        <w:t>区域化</w:t>
      </w:r>
      <w:r>
        <w:rPr>
          <w:rFonts w:hint="eastAsia" w:ascii="宋体" w:hAnsi="宋体" w:eastAsia="宋体" w:cs="AdobeHeitiStd-Regular"/>
          <w:color w:val="000000" w:themeColor="text1"/>
          <w:kern w:val="0"/>
          <w:sz w:val="24"/>
          <w:szCs w:val="24"/>
          <w14:textFill>
            <w14:solidFill>
              <w14:schemeClr w14:val="tx1"/>
            </w14:solidFill>
          </w14:textFill>
        </w:rPr>
        <w:t>增强。新冠疫情</w:t>
      </w:r>
      <w:r>
        <w:rPr>
          <w:rFonts w:ascii="宋体" w:hAnsi="宋体" w:eastAsia="宋体" w:cs="AdobeHeitiStd-Regular"/>
          <w:color w:val="000000" w:themeColor="text1"/>
          <w:kern w:val="0"/>
          <w:sz w:val="24"/>
          <w:szCs w:val="24"/>
          <w14:textFill>
            <w14:solidFill>
              <w14:schemeClr w14:val="tx1"/>
            </w14:solidFill>
          </w14:textFill>
        </w:rPr>
        <w:t>只是</w:t>
      </w:r>
      <w:r>
        <w:rPr>
          <w:rFonts w:hint="eastAsia" w:ascii="宋体" w:hAnsi="宋体" w:eastAsia="宋体" w:cs="AdobeHeitiStd-Regular"/>
          <w:color w:val="000000" w:themeColor="text1"/>
          <w:kern w:val="0"/>
          <w:sz w:val="24"/>
          <w:szCs w:val="24"/>
          <w14:textFill>
            <w14:solidFill>
              <w14:schemeClr w14:val="tx1"/>
            </w14:solidFill>
          </w14:textFill>
        </w:rPr>
        <w:t>全球</w:t>
      </w:r>
      <w:r>
        <w:rPr>
          <w:rFonts w:ascii="宋体" w:hAnsi="宋体" w:eastAsia="宋体" w:cs="AdobeHeitiStd-Regular"/>
          <w:color w:val="000000" w:themeColor="text1"/>
          <w:kern w:val="0"/>
          <w:sz w:val="24"/>
          <w:szCs w:val="24"/>
          <w14:textFill>
            <w14:solidFill>
              <w14:schemeClr w14:val="tx1"/>
            </w14:solidFill>
          </w14:textFill>
        </w:rPr>
        <w:t>价值链本土化</w:t>
      </w:r>
      <w:r>
        <w:rPr>
          <w:rFonts w:hint="eastAsia" w:ascii="宋体" w:hAnsi="宋体" w:eastAsia="宋体" w:cs="AdobeHeitiStd-Regular"/>
          <w:color w:val="000000" w:themeColor="text1"/>
          <w:kern w:val="0"/>
          <w:sz w:val="24"/>
          <w:szCs w:val="24"/>
          <w14:textFill>
            <w14:solidFill>
              <w14:schemeClr w14:val="tx1"/>
            </w14:solidFill>
          </w14:textFill>
        </w:rPr>
        <w:t>、区域化的</w:t>
      </w:r>
      <w:r>
        <w:rPr>
          <w:rFonts w:ascii="宋体" w:hAnsi="宋体" w:eastAsia="宋体" w:cs="AdobeHeitiStd-Regular"/>
          <w:color w:val="000000" w:themeColor="text1"/>
          <w:kern w:val="0"/>
          <w:sz w:val="24"/>
          <w:szCs w:val="24"/>
          <w14:textFill>
            <w14:solidFill>
              <w14:schemeClr w14:val="tx1"/>
            </w14:solidFill>
          </w14:textFill>
        </w:rPr>
        <w:t>导火索，是一个偶然</w:t>
      </w:r>
      <w:r>
        <w:rPr>
          <w:rFonts w:hint="eastAsia" w:ascii="宋体" w:hAnsi="宋体" w:eastAsia="宋体" w:cs="AdobeHeitiStd-Regular"/>
          <w:color w:val="000000" w:themeColor="text1"/>
          <w:kern w:val="0"/>
          <w:sz w:val="24"/>
          <w:szCs w:val="24"/>
          <w14:textFill>
            <w14:solidFill>
              <w14:schemeClr w14:val="tx1"/>
            </w14:solidFill>
          </w14:textFill>
        </w:rPr>
        <w:t>事件</w:t>
      </w:r>
      <w:r>
        <w:rPr>
          <w:rFonts w:ascii="宋体" w:hAnsi="宋体" w:eastAsia="宋体" w:cs="AdobeHeitiStd-Regular"/>
          <w:color w:val="000000" w:themeColor="text1"/>
          <w:kern w:val="0"/>
          <w:sz w:val="24"/>
          <w:szCs w:val="24"/>
          <w14:textFill>
            <w14:solidFill>
              <w14:schemeClr w14:val="tx1"/>
            </w14:solidFill>
          </w14:textFill>
        </w:rPr>
        <w:t>，随着疫情的结束，全球价值链本土化</w:t>
      </w:r>
      <w:r>
        <w:rPr>
          <w:rFonts w:hint="eastAsia" w:ascii="宋体" w:hAnsi="宋体" w:eastAsia="宋体" w:cs="AdobeHeitiStd-Regular"/>
          <w:color w:val="000000" w:themeColor="text1"/>
          <w:kern w:val="0"/>
          <w:sz w:val="24"/>
          <w:szCs w:val="24"/>
          <w14:textFill>
            <w14:solidFill>
              <w14:schemeClr w14:val="tx1"/>
            </w14:solidFill>
          </w14:textFill>
        </w:rPr>
        <w:t>、区域化</w:t>
      </w:r>
      <w:r>
        <w:rPr>
          <w:rFonts w:ascii="宋体" w:hAnsi="宋体" w:eastAsia="宋体" w:cs="AdobeHeitiStd-Regular"/>
          <w:color w:val="000000" w:themeColor="text1"/>
          <w:kern w:val="0"/>
          <w:sz w:val="24"/>
          <w:szCs w:val="24"/>
          <w14:textFill>
            <w14:solidFill>
              <w14:schemeClr w14:val="tx1"/>
            </w14:solidFill>
          </w14:textFill>
        </w:rPr>
        <w:t>倾向不会改变。</w:t>
      </w:r>
      <w:r>
        <w:rPr>
          <w:rFonts w:hint="eastAsia" w:ascii="宋体" w:hAnsi="宋体" w:eastAsia="宋体" w:cs="AdobeHeitiStd-Regular"/>
          <w:color w:val="000000" w:themeColor="text1"/>
          <w:kern w:val="0"/>
          <w:sz w:val="24"/>
          <w:szCs w:val="24"/>
          <w14:textFill>
            <w14:solidFill>
              <w14:schemeClr w14:val="tx1"/>
            </w14:solidFill>
          </w14:textFill>
        </w:rPr>
        <w:t>全球</w:t>
      </w:r>
      <w:r>
        <w:rPr>
          <w:rFonts w:ascii="宋体" w:hAnsi="宋体" w:eastAsia="宋体" w:cs="AdobeHeitiStd-Regular"/>
          <w:color w:val="000000" w:themeColor="text1"/>
          <w:kern w:val="0"/>
          <w:sz w:val="24"/>
          <w:szCs w:val="24"/>
          <w14:textFill>
            <w14:solidFill>
              <w14:schemeClr w14:val="tx1"/>
            </w14:solidFill>
          </w14:textFill>
        </w:rPr>
        <w:t>价值链的本土化</w:t>
      </w:r>
      <w:r>
        <w:rPr>
          <w:rFonts w:hint="eastAsia" w:ascii="宋体" w:hAnsi="宋体" w:eastAsia="宋体" w:cs="AdobeHeitiStd-Regular"/>
          <w:color w:val="000000" w:themeColor="text1"/>
          <w:kern w:val="0"/>
          <w:sz w:val="24"/>
          <w:szCs w:val="24"/>
          <w14:textFill>
            <w14:solidFill>
              <w14:schemeClr w14:val="tx1"/>
            </w14:solidFill>
          </w14:textFill>
        </w:rPr>
        <w:t>、区域化</w:t>
      </w:r>
      <w:r>
        <w:rPr>
          <w:rFonts w:ascii="宋体" w:hAnsi="宋体" w:eastAsia="宋体" w:cs="AdobeHeitiStd-Regular"/>
          <w:color w:val="000000" w:themeColor="text1"/>
          <w:kern w:val="0"/>
          <w:sz w:val="24"/>
          <w:szCs w:val="24"/>
          <w14:textFill>
            <w14:solidFill>
              <w14:schemeClr w14:val="tx1"/>
            </w14:solidFill>
          </w14:textFill>
        </w:rPr>
        <w:t>来源于</w:t>
      </w:r>
      <w:r>
        <w:rPr>
          <w:rFonts w:hint="eastAsia" w:ascii="宋体" w:hAnsi="宋体" w:eastAsia="宋体" w:cs="AdobeHeitiStd-Regular"/>
          <w:color w:val="000000" w:themeColor="text1"/>
          <w:kern w:val="0"/>
          <w:sz w:val="24"/>
          <w:szCs w:val="24"/>
          <w14:textFill>
            <w14:solidFill>
              <w14:schemeClr w14:val="tx1"/>
            </w14:solidFill>
          </w14:textFill>
        </w:rPr>
        <w:t>两个</w:t>
      </w:r>
      <w:r>
        <w:rPr>
          <w:rFonts w:ascii="宋体" w:hAnsi="宋体" w:eastAsia="宋体" w:cs="AdobeHeitiStd-Regular"/>
          <w:color w:val="000000" w:themeColor="text1"/>
          <w:kern w:val="0"/>
          <w:sz w:val="24"/>
          <w:szCs w:val="24"/>
          <w14:textFill>
            <w14:solidFill>
              <w14:schemeClr w14:val="tx1"/>
            </w14:solidFill>
          </w14:textFill>
        </w:rPr>
        <w:t>方面，</w:t>
      </w:r>
      <w:r>
        <w:rPr>
          <w:rFonts w:hint="eastAsia" w:ascii="宋体" w:hAnsi="宋体" w:eastAsia="宋体" w:cs="AdobeHeitiStd-Regular"/>
          <w:color w:val="000000" w:themeColor="text1"/>
          <w:kern w:val="0"/>
          <w:sz w:val="24"/>
          <w:szCs w:val="24"/>
          <w14:textFill>
            <w14:solidFill>
              <w14:schemeClr w14:val="tx1"/>
            </w14:solidFill>
          </w14:textFill>
        </w:rPr>
        <w:t>一方面</w:t>
      </w:r>
      <w:r>
        <w:rPr>
          <w:rFonts w:ascii="宋体" w:hAnsi="宋体" w:eastAsia="宋体" w:cs="AdobeHeitiStd-Regular"/>
          <w:color w:val="000000" w:themeColor="text1"/>
          <w:kern w:val="0"/>
          <w:sz w:val="24"/>
          <w:szCs w:val="24"/>
          <w14:textFill>
            <w14:solidFill>
              <w14:schemeClr w14:val="tx1"/>
            </w14:solidFill>
          </w14:textFill>
        </w:rPr>
        <w:t>是</w:t>
      </w:r>
      <w:r>
        <w:rPr>
          <w:rFonts w:hint="eastAsia" w:ascii="宋体" w:hAnsi="宋体" w:eastAsia="宋体" w:cs="AdobeHeitiStd-Regular"/>
          <w:color w:val="000000" w:themeColor="text1"/>
          <w:kern w:val="0"/>
          <w:sz w:val="24"/>
          <w:szCs w:val="24"/>
          <w14:textFill>
            <w14:solidFill>
              <w14:schemeClr w14:val="tx1"/>
            </w14:solidFill>
          </w14:textFill>
        </w:rPr>
        <w:t>国家</w:t>
      </w:r>
      <w:r>
        <w:rPr>
          <w:rFonts w:ascii="宋体" w:hAnsi="宋体" w:eastAsia="宋体" w:cs="AdobeHeitiStd-Regular"/>
          <w:color w:val="000000" w:themeColor="text1"/>
          <w:kern w:val="0"/>
          <w:sz w:val="24"/>
          <w:szCs w:val="24"/>
          <w14:textFill>
            <w14:solidFill>
              <w14:schemeClr w14:val="tx1"/>
            </w14:solidFill>
          </w14:textFill>
        </w:rPr>
        <w:t>行为，</w:t>
      </w:r>
      <w:r>
        <w:rPr>
          <w:rFonts w:hint="eastAsia" w:ascii="宋体" w:hAnsi="宋体" w:eastAsia="宋体" w:cs="AdobeHeitiStd-Regular"/>
          <w:color w:val="000000" w:themeColor="text1"/>
          <w:kern w:val="0"/>
          <w:sz w:val="24"/>
          <w:szCs w:val="24"/>
          <w14:textFill>
            <w14:solidFill>
              <w14:schemeClr w14:val="tx1"/>
            </w14:solidFill>
          </w14:textFill>
        </w:rPr>
        <w:t>全球价值链</w:t>
      </w:r>
      <w:r>
        <w:rPr>
          <w:rFonts w:ascii="宋体" w:hAnsi="宋体" w:eastAsia="宋体" w:cs="AdobeHeitiStd-Regular"/>
          <w:color w:val="000000" w:themeColor="text1"/>
          <w:kern w:val="0"/>
          <w:sz w:val="24"/>
          <w:szCs w:val="24"/>
          <w14:textFill>
            <w14:solidFill>
              <w14:schemeClr w14:val="tx1"/>
            </w14:solidFill>
          </w14:textFill>
        </w:rPr>
        <w:t>的断裂</w:t>
      </w:r>
      <w:r>
        <w:rPr>
          <w:rFonts w:hint="eastAsia" w:ascii="宋体" w:hAnsi="宋体" w:eastAsia="宋体" w:cs="AdobeHeitiStd-Regular"/>
          <w:color w:val="000000" w:themeColor="text1"/>
          <w:kern w:val="0"/>
          <w:sz w:val="24"/>
          <w:szCs w:val="24"/>
          <w14:textFill>
            <w14:solidFill>
              <w14:schemeClr w14:val="tx1"/>
            </w14:solidFill>
          </w14:textFill>
        </w:rPr>
        <w:t>，加速了产能的本土化、</w:t>
      </w:r>
      <w:r>
        <w:rPr>
          <w:rFonts w:ascii="宋体" w:hAnsi="宋体" w:eastAsia="宋体" w:cs="AdobeHeitiStd-Regular"/>
          <w:color w:val="000000" w:themeColor="text1"/>
          <w:kern w:val="0"/>
          <w:sz w:val="24"/>
          <w:szCs w:val="24"/>
          <w14:textFill>
            <w14:solidFill>
              <w14:schemeClr w14:val="tx1"/>
            </w14:solidFill>
          </w14:textFill>
        </w:rPr>
        <w:t>区域化</w:t>
      </w:r>
      <w:r>
        <w:rPr>
          <w:rFonts w:hint="eastAsia" w:ascii="宋体" w:hAnsi="宋体" w:eastAsia="宋体" w:cs="AdobeHeitiStd-Regular"/>
          <w:color w:val="000000" w:themeColor="text1"/>
          <w:kern w:val="0"/>
          <w:sz w:val="24"/>
          <w:szCs w:val="24"/>
          <w14:textFill>
            <w14:solidFill>
              <w14:schemeClr w14:val="tx1"/>
            </w14:solidFill>
          </w14:textFill>
        </w:rPr>
        <w:t>部署，强化了本土及其附近区域的经济主权和经济安全性。特朗普政府采取</w:t>
      </w:r>
      <w:r>
        <w:rPr>
          <w:rFonts w:ascii="宋体" w:hAnsi="宋体" w:eastAsia="宋体" w:cs="AdobeHeitiStd-Regular"/>
          <w:color w:val="000000" w:themeColor="text1"/>
          <w:kern w:val="0"/>
          <w:sz w:val="24"/>
          <w:szCs w:val="24"/>
          <w14:textFill>
            <w14:solidFill>
              <w14:schemeClr w14:val="tx1"/>
            </w14:solidFill>
          </w14:textFill>
        </w:rPr>
        <w:t>主动断链行为</w:t>
      </w:r>
      <w:r>
        <w:rPr>
          <w:rFonts w:hint="eastAsia" w:ascii="宋体" w:hAnsi="宋体" w:eastAsia="宋体" w:cs="AdobeHeitiStd-Regular"/>
          <w:color w:val="000000" w:themeColor="text1"/>
          <w:kern w:val="0"/>
          <w:sz w:val="24"/>
          <w:szCs w:val="24"/>
          <w14:textFill>
            <w14:solidFill>
              <w14:schemeClr w14:val="tx1"/>
            </w14:solidFill>
          </w14:textFill>
        </w:rPr>
        <w:t>，呼吁高科技产业回归，采取限制技术类出口清单；拜登政府则在５G、人工智能和半导体等关键高科技领域或对所谓的安全相关领域的技术类产品采取部分“脱钩”断链，通过部分断供、加大在美技术公司的资产审查、收紧知识产权政策，形成</w:t>
      </w:r>
      <w:r>
        <w:rPr>
          <w:rFonts w:ascii="宋体" w:hAnsi="宋体" w:eastAsia="宋体" w:cs="AdobeHeitiStd-Regular"/>
          <w:color w:val="000000" w:themeColor="text1"/>
          <w:kern w:val="0"/>
          <w:sz w:val="24"/>
          <w:szCs w:val="24"/>
          <w14:textFill>
            <w14:solidFill>
              <w14:schemeClr w14:val="tx1"/>
            </w14:solidFill>
          </w14:textFill>
        </w:rPr>
        <w:t>供应链的回归</w:t>
      </w:r>
      <w:r>
        <w:rPr>
          <w:rFonts w:hint="eastAsia" w:ascii="宋体" w:hAnsi="宋体" w:eastAsia="宋体" w:cs="AdobeHeitiStd-Regular"/>
          <w:color w:val="000000" w:themeColor="text1"/>
          <w:kern w:val="0"/>
          <w:sz w:val="24"/>
          <w:szCs w:val="24"/>
          <w14:textFill>
            <w14:solidFill>
              <w14:schemeClr w14:val="tx1"/>
            </w14:solidFill>
          </w14:textFill>
        </w:rPr>
        <w:t>；欧日部分国家迫于美国压力，追随美国与中国脱钩，选择性地在高科技领域和知识产权相关议题方面进行本土化</w:t>
      </w:r>
      <w:r>
        <w:rPr>
          <w:rFonts w:ascii="宋体" w:hAnsi="宋体" w:eastAsia="宋体" w:cs="AdobeHeitiStd-Regular"/>
          <w:color w:val="000000" w:themeColor="text1"/>
          <w:kern w:val="0"/>
          <w:sz w:val="24"/>
          <w:szCs w:val="24"/>
          <w14:textFill>
            <w14:solidFill>
              <w14:schemeClr w14:val="tx1"/>
            </w14:solidFill>
          </w14:textFill>
        </w:rPr>
        <w:t>战略</w:t>
      </w:r>
      <w:r>
        <w:rPr>
          <w:rFonts w:hint="eastAsia"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74"/>
      </w:r>
      <w:r>
        <w:rPr>
          <w:rFonts w:hint="eastAsia" w:ascii="宋体" w:hAnsi="宋体" w:eastAsia="宋体" w:cs="AdobeHeitiStd-Regular"/>
          <w:color w:val="000000" w:themeColor="text1"/>
          <w:kern w:val="0"/>
          <w:sz w:val="24"/>
          <w:szCs w:val="24"/>
          <w14:textFill>
            <w14:solidFill>
              <w14:schemeClr w14:val="tx1"/>
            </w14:solidFill>
          </w14:textFill>
        </w:rPr>
        <w:t>另一方面</w:t>
      </w:r>
      <w:r>
        <w:rPr>
          <w:rFonts w:ascii="宋体" w:hAnsi="宋体" w:eastAsia="宋体" w:cs="AdobeHeitiStd-Regular"/>
          <w:color w:val="000000" w:themeColor="text1"/>
          <w:kern w:val="0"/>
          <w:sz w:val="24"/>
          <w:szCs w:val="24"/>
          <w14:textFill>
            <w14:solidFill>
              <w14:schemeClr w14:val="tx1"/>
            </w14:solidFill>
          </w14:textFill>
        </w:rPr>
        <w:t>是</w:t>
      </w:r>
      <w:r>
        <w:rPr>
          <w:rFonts w:hint="eastAsia" w:ascii="宋体" w:hAnsi="宋体" w:eastAsia="宋体" w:cs="AdobeHeitiStd-Regular"/>
          <w:color w:val="000000" w:themeColor="text1"/>
          <w:kern w:val="0"/>
          <w:sz w:val="24"/>
          <w:szCs w:val="24"/>
          <w14:textFill>
            <w14:solidFill>
              <w14:schemeClr w14:val="tx1"/>
            </w14:solidFill>
          </w14:textFill>
        </w:rPr>
        <w:t>技术</w:t>
      </w:r>
      <w:r>
        <w:rPr>
          <w:rFonts w:ascii="宋体" w:hAnsi="宋体" w:eastAsia="宋体" w:cs="AdobeHeitiStd-Regular"/>
          <w:color w:val="000000" w:themeColor="text1"/>
          <w:kern w:val="0"/>
          <w:sz w:val="24"/>
          <w:szCs w:val="24"/>
          <w14:textFill>
            <w14:solidFill>
              <w14:schemeClr w14:val="tx1"/>
            </w14:solidFill>
          </w14:textFill>
        </w:rPr>
        <w:t>导致。</w:t>
      </w:r>
      <w:r>
        <w:rPr>
          <w:rFonts w:hint="eastAsia" w:ascii="宋体" w:hAnsi="宋体" w:eastAsia="宋体" w:cs="AdobeHeitiStd-Regular"/>
          <w:color w:val="000000" w:themeColor="text1"/>
          <w:kern w:val="0"/>
          <w:sz w:val="24"/>
          <w:szCs w:val="24"/>
          <w14:textFill>
            <w14:solidFill>
              <w14:schemeClr w14:val="tx1"/>
            </w14:solidFill>
          </w14:textFill>
        </w:rPr>
        <w:t>第四次工业革命将催生分散式的物联网基础设施建设，降低商品和服务生产及配送过程中的通信、能源和物流边际成本。通过去除价值链中几乎所有中间环节的交易成本，中小型企业和数十亿的产消者可以在协同共享下以近乎零的边际成本直接分享商品和服务</w:t>
      </w:r>
      <w:r>
        <w:rPr>
          <w:rStyle w:val="20"/>
          <w:rFonts w:ascii="宋体" w:hAnsi="宋体" w:eastAsia="宋体" w:cs="AdobeHeitiStd-Regular"/>
          <w:color w:val="000000" w:themeColor="text1"/>
          <w:kern w:val="0"/>
          <w:sz w:val="24"/>
          <w:szCs w:val="24"/>
          <w14:textFill>
            <w14:solidFill>
              <w14:schemeClr w14:val="tx1"/>
            </w14:solidFill>
          </w14:textFill>
        </w:rPr>
        <w:footnoteReference w:id="375"/>
      </w:r>
      <w:r>
        <w:rPr>
          <w:rFonts w:hint="eastAsia" w:ascii="宋体" w:hAnsi="宋体" w:eastAsia="宋体" w:cs="AdobeHeitiStd-Regular"/>
          <w:color w:val="000000" w:themeColor="text1"/>
          <w:kern w:val="0"/>
          <w:sz w:val="24"/>
          <w:szCs w:val="24"/>
          <w14:textFill>
            <w14:solidFill>
              <w14:schemeClr w14:val="tx1"/>
            </w14:solidFill>
          </w14:textFill>
        </w:rPr>
        <w:t>，降低了中小企业参与地区贸易和区域价值链分工的门槛。随着本地区工业体系的日渐完善，相当一部分商品生产的原材料来自当地，商品的生产和贸易都将以当地市场为主导，内部贸易的比例将显著</w:t>
      </w:r>
      <w:r>
        <w:rPr>
          <w:rFonts w:ascii="宋体" w:hAnsi="宋体" w:eastAsia="宋体" w:cs="AdobeHeitiStd-Regular"/>
          <w:color w:val="000000" w:themeColor="text1"/>
          <w:kern w:val="0"/>
          <w:sz w:val="24"/>
          <w:szCs w:val="24"/>
          <w14:textFill>
            <w14:solidFill>
              <w14:schemeClr w14:val="tx1"/>
            </w14:solidFill>
          </w14:textFill>
        </w:rPr>
        <w:t>提</w:t>
      </w:r>
      <w:r>
        <w:rPr>
          <w:rFonts w:hint="eastAsia" w:ascii="宋体" w:hAnsi="宋体" w:eastAsia="宋体" w:cs="AdobeHeitiStd-Regular"/>
          <w:color w:val="000000" w:themeColor="text1"/>
          <w:kern w:val="0"/>
          <w:sz w:val="24"/>
          <w:szCs w:val="24"/>
          <w14:textFill>
            <w14:solidFill>
              <w14:schemeClr w14:val="tx1"/>
            </w14:solidFill>
          </w14:textFill>
        </w:rPr>
        <w:t>高。例如美国从中国进口最多的产品都有可能的替代供应国，美国推动制造业向墨西哥、巴西等拉美国家转移，德法英等欧洲国家推动制造业向东欧和土耳其等国家转移的“周边化生产”，很可能成为未来美欧推动全球供应链本地化和区域化的战略重点。</w:t>
      </w:r>
      <w:r>
        <w:rPr>
          <w:rStyle w:val="20"/>
          <w:rFonts w:ascii="宋体" w:hAnsi="宋体" w:eastAsia="宋体" w:cs="AdobeHeitiStd-Regular"/>
          <w:color w:val="000000" w:themeColor="text1"/>
          <w:kern w:val="0"/>
          <w:sz w:val="24"/>
          <w:szCs w:val="24"/>
          <w14:textFill>
            <w14:solidFill>
              <w14:schemeClr w14:val="tx1"/>
            </w14:solidFill>
          </w14:textFill>
        </w:rPr>
        <w:footnoteReference w:id="376"/>
      </w:r>
      <w:r>
        <w:rPr>
          <w:rFonts w:hint="eastAsia" w:ascii="宋体" w:hAnsi="宋体" w:eastAsia="宋体" w:cs="AdobeHeitiStd-Regular"/>
          <w:color w:val="000000" w:themeColor="text1"/>
          <w:kern w:val="0"/>
          <w:sz w:val="24"/>
          <w:szCs w:val="24"/>
          <w14:textFill>
            <w14:solidFill>
              <w14:schemeClr w14:val="tx1"/>
            </w14:solidFill>
          </w14:textFill>
        </w:rPr>
        <w:t>甚至《经济学人》（</w:t>
      </w:r>
      <w:r>
        <w:rPr>
          <w:rFonts w:ascii="Times New Roman" w:hAnsi="Times New Roman" w:eastAsia="宋体" w:cs="Times New Roman"/>
          <w:color w:val="000000" w:themeColor="text1"/>
          <w:kern w:val="0"/>
          <w:sz w:val="24"/>
          <w:szCs w:val="24"/>
          <w14:textFill>
            <w14:solidFill>
              <w14:schemeClr w14:val="tx1"/>
            </w14:solidFill>
          </w14:textFill>
        </w:rPr>
        <w:t>The Economist</w:t>
      </w:r>
      <w:r>
        <w:rPr>
          <w:rFonts w:ascii="宋体" w:hAnsi="宋体" w:eastAsia="宋体" w:cs="AdobeHeitiStd-Regular"/>
          <w:color w:val="000000" w:themeColor="text1"/>
          <w:kern w:val="0"/>
          <w:sz w:val="24"/>
          <w:szCs w:val="24"/>
          <w14:textFill>
            <w14:solidFill>
              <w14:schemeClr w14:val="tx1"/>
            </w14:solidFill>
          </w14:textFill>
        </w:rPr>
        <w:t>）在</w:t>
      </w:r>
      <w:r>
        <w:rPr>
          <w:rFonts w:hint="eastAsia" w:ascii="宋体" w:hAnsi="宋体" w:eastAsia="宋体" w:cs="AdobeHeitiStd-Regular"/>
          <w:color w:val="000000" w:themeColor="text1"/>
          <w:kern w:val="0"/>
          <w:sz w:val="24"/>
          <w:szCs w:val="24"/>
          <w14:textFill>
            <w14:solidFill>
              <w14:schemeClr w14:val="tx1"/>
            </w14:solidFill>
          </w14:textFill>
        </w:rPr>
        <w:t>今年</w:t>
      </w:r>
      <w:r>
        <w:rPr>
          <w:rFonts w:ascii="宋体" w:hAnsi="宋体" w:eastAsia="宋体" w:cs="AdobeHeitiStd-Regular"/>
          <w:color w:val="000000" w:themeColor="text1"/>
          <w:kern w:val="0"/>
          <w:sz w:val="24"/>
          <w:szCs w:val="24"/>
          <w14:textFill>
            <w14:solidFill>
              <w14:schemeClr w14:val="tx1"/>
            </w14:solidFill>
          </w14:textFill>
        </w:rPr>
        <w:t>2月提出</w:t>
      </w:r>
      <w:r>
        <w:rPr>
          <w:rFonts w:ascii="Times New Roman" w:hAnsi="Times New Roman" w:eastAsia="宋体" w:cs="Times New Roman"/>
          <w:color w:val="000000" w:themeColor="text1"/>
          <w:kern w:val="0"/>
          <w:sz w:val="24"/>
          <w:szCs w:val="24"/>
          <w14:textFill>
            <w14:solidFill>
              <w14:schemeClr w14:val="tx1"/>
            </w14:solidFill>
          </w14:textFill>
        </w:rPr>
        <w:t>Altasia</w:t>
      </w:r>
      <w:r>
        <w:rPr>
          <w:rFonts w:ascii="宋体" w:hAnsi="宋体" w:eastAsia="宋体" w:cs="AdobeHeitiStd-Regular"/>
          <w:color w:val="000000" w:themeColor="text1"/>
          <w:kern w:val="0"/>
          <w:sz w:val="24"/>
          <w:szCs w:val="24"/>
          <w14:textFill>
            <w14:solidFill>
              <w14:schemeClr w14:val="tx1"/>
            </w14:solidFill>
          </w14:textFill>
        </w:rPr>
        <w:t>这</w:t>
      </w:r>
      <w:r>
        <w:rPr>
          <w:rFonts w:hint="eastAsia" w:ascii="宋体" w:hAnsi="宋体" w:eastAsia="宋体" w:cs="AdobeHeitiStd-Regular"/>
          <w:color w:val="000000" w:themeColor="text1"/>
          <w:kern w:val="0"/>
          <w:sz w:val="24"/>
          <w:szCs w:val="24"/>
          <w14:textFill>
            <w14:solidFill>
              <w14:schemeClr w14:val="tx1"/>
            </w14:solidFill>
          </w14:textFill>
        </w:rPr>
        <w:t>个</w:t>
      </w:r>
      <w:r>
        <w:rPr>
          <w:rFonts w:ascii="宋体" w:hAnsi="宋体" w:eastAsia="宋体" w:cs="AdobeHeitiStd-Regular"/>
          <w:color w:val="000000" w:themeColor="text1"/>
          <w:kern w:val="0"/>
          <w:sz w:val="24"/>
          <w:szCs w:val="24"/>
          <w14:textFill>
            <w14:solidFill>
              <w14:schemeClr w14:val="tx1"/>
            </w14:solidFill>
          </w14:textFill>
        </w:rPr>
        <w:t>概念</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认为</w:t>
      </w:r>
      <w:r>
        <w:rPr>
          <w:rFonts w:hint="eastAsia" w:ascii="宋体" w:hAnsi="宋体" w:eastAsia="宋体" w:cs="AdobeHeitiStd-Regular"/>
          <w:color w:val="000000" w:themeColor="text1"/>
          <w:kern w:val="0"/>
          <w:sz w:val="24"/>
          <w:szCs w:val="24"/>
          <w14:textFill>
            <w14:solidFill>
              <w14:schemeClr w14:val="tx1"/>
            </w14:solidFill>
          </w14:textFill>
        </w:rPr>
        <w:t>亚洲</w:t>
      </w:r>
      <w:r>
        <w:rPr>
          <w:rFonts w:ascii="宋体" w:hAnsi="宋体" w:eastAsia="宋体" w:cs="AdobeHeitiStd-Regular"/>
          <w:color w:val="000000" w:themeColor="text1"/>
          <w:kern w:val="0"/>
          <w:sz w:val="24"/>
          <w:szCs w:val="24"/>
          <w14:textFill>
            <w14:solidFill>
              <w14:schemeClr w14:val="tx1"/>
            </w14:solidFill>
          </w14:textFill>
        </w:rPr>
        <w:t>14个国家或地区构成的</w:t>
      </w:r>
      <w:r>
        <w:rPr>
          <w:rFonts w:ascii="Times New Roman" w:hAnsi="Times New Roman" w:eastAsia="宋体" w:cs="Times New Roman"/>
          <w:color w:val="000000" w:themeColor="text1"/>
          <w:kern w:val="0"/>
          <w:sz w:val="24"/>
          <w:szCs w:val="24"/>
          <w14:textFill>
            <w14:solidFill>
              <w14:schemeClr w14:val="tx1"/>
            </w14:solidFill>
          </w14:textFill>
        </w:rPr>
        <w:t>Altasia</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将成为</w:t>
      </w:r>
      <w:r>
        <w:rPr>
          <w:rFonts w:ascii="宋体" w:hAnsi="宋体" w:eastAsia="宋体" w:cs="AdobeHeitiStd-Regular"/>
          <w:color w:val="000000" w:themeColor="text1"/>
          <w:kern w:val="0"/>
          <w:sz w:val="24"/>
          <w:szCs w:val="24"/>
          <w14:textFill>
            <w14:solidFill>
              <w14:schemeClr w14:val="tx1"/>
            </w14:solidFill>
          </w14:textFill>
        </w:rPr>
        <w:t>亚洲替代供应链，未来数年可能逐步取代中国大陆</w:t>
      </w:r>
      <w:r>
        <w:rPr>
          <w:rFonts w:hint="eastAsia" w:ascii="宋体" w:hAnsi="宋体" w:eastAsia="宋体" w:cs="AdobeHeitiStd-Regular"/>
          <w:color w:val="000000" w:themeColor="text1"/>
          <w:kern w:val="0"/>
          <w:sz w:val="24"/>
          <w:szCs w:val="24"/>
          <w14:textFill>
            <w14:solidFill>
              <w14:schemeClr w14:val="tx1"/>
            </w14:solidFill>
          </w14:textFill>
        </w:rPr>
        <w:t>。这种本地化和区域化的</w:t>
      </w:r>
      <w:r>
        <w:rPr>
          <w:rFonts w:ascii="宋体" w:hAnsi="宋体" w:eastAsia="宋体" w:cs="AdobeHeitiStd-Regular"/>
          <w:color w:val="000000" w:themeColor="text1"/>
          <w:kern w:val="0"/>
          <w:sz w:val="24"/>
          <w:szCs w:val="24"/>
          <w14:textFill>
            <w14:solidFill>
              <w14:schemeClr w14:val="tx1"/>
            </w14:solidFill>
          </w14:textFill>
        </w:rPr>
        <w:t>部署</w:t>
      </w:r>
      <w:r>
        <w:rPr>
          <w:rFonts w:hint="eastAsia" w:ascii="宋体" w:hAnsi="宋体" w:eastAsia="宋体" w:cs="AdobeHeitiStd-Regular"/>
          <w:color w:val="000000" w:themeColor="text1"/>
          <w:kern w:val="0"/>
          <w:sz w:val="24"/>
          <w:szCs w:val="24"/>
          <w14:textFill>
            <w14:solidFill>
              <w14:schemeClr w14:val="tx1"/>
            </w14:solidFill>
          </w14:textFill>
        </w:rPr>
        <w:t>不仅由于政治上美欧工业强国对这些国家具有很强的影响力，可以确保其供应链安全，而且由于</w:t>
      </w:r>
      <w:r>
        <w:rPr>
          <w:rFonts w:ascii="宋体" w:hAnsi="宋体" w:eastAsia="宋体" w:cs="AdobeHeitiStd-Regular"/>
          <w:color w:val="000000" w:themeColor="text1"/>
          <w:kern w:val="0"/>
          <w:sz w:val="24"/>
          <w:szCs w:val="24"/>
          <w14:textFill>
            <w14:solidFill>
              <w14:schemeClr w14:val="tx1"/>
            </w14:solidFill>
          </w14:textFill>
        </w:rPr>
        <w:t>这</w:t>
      </w:r>
      <w:r>
        <w:rPr>
          <w:rFonts w:hint="eastAsia" w:ascii="宋体" w:hAnsi="宋体" w:eastAsia="宋体" w:cs="AdobeHeitiStd-Regular"/>
          <w:color w:val="000000" w:themeColor="text1"/>
          <w:kern w:val="0"/>
          <w:sz w:val="24"/>
          <w:szCs w:val="24"/>
          <w14:textFill>
            <w14:solidFill>
              <w14:schemeClr w14:val="tx1"/>
            </w14:solidFill>
          </w14:textFill>
        </w:rPr>
        <w:t>些国家地理上毗邻，可以提高供应链的经济效率。</w:t>
      </w:r>
      <w:r>
        <w:rPr>
          <w:rFonts w:ascii="宋体" w:hAnsi="宋体" w:eastAsia="宋体" w:cs="AdobeHeitiStd-Regular"/>
          <w:color w:val="000000" w:themeColor="text1"/>
          <w:kern w:val="0"/>
          <w:sz w:val="24"/>
          <w:szCs w:val="24"/>
          <w14:textFill>
            <w14:solidFill>
              <w14:schemeClr w14:val="tx1"/>
            </w14:solidFill>
          </w14:textFill>
        </w:rPr>
        <w:t xml:space="preserve"> </w:t>
      </w:r>
    </w:p>
    <w:tbl>
      <w:tblPr>
        <w:tblStyle w:val="14"/>
        <w:tblW w:w="6662" w:type="dxa"/>
        <w:tblInd w:w="828" w:type="dxa"/>
        <w:tblLayout w:type="fixed"/>
        <w:tblCellMar>
          <w:top w:w="0" w:type="dxa"/>
          <w:left w:w="108" w:type="dxa"/>
          <w:bottom w:w="0" w:type="dxa"/>
          <w:right w:w="108" w:type="dxa"/>
        </w:tblCellMar>
      </w:tblPr>
      <w:tblGrid>
        <w:gridCol w:w="3560"/>
        <w:gridCol w:w="3102"/>
      </w:tblGrid>
      <w:tr w14:paraId="3971FC75">
        <w:trPr>
          <w:trHeight w:val="318" w:hRule="atLeast"/>
        </w:trPr>
        <w:tc>
          <w:tcPr>
            <w:tcW w:w="6662" w:type="dxa"/>
            <w:gridSpan w:val="2"/>
            <w:tcBorders>
              <w:top w:val="nil"/>
              <w:left w:val="nil"/>
              <w:bottom w:val="nil"/>
              <w:right w:val="nil"/>
            </w:tcBorders>
            <w:shd w:val="clear" w:color="auto" w:fill="auto"/>
            <w:noWrap/>
            <w:vAlign w:val="bottom"/>
          </w:tcPr>
          <w:p w14:paraId="37129379">
            <w:pPr>
              <w:widowControl/>
              <w:jc w:val="center"/>
              <w:textAlignment w:val="bottom"/>
              <w:rPr>
                <w:rFonts w:ascii="宋体" w:hAnsi="宋体" w:eastAsia="宋体" w:cs="等线"/>
                <w:b/>
                <w:color w:val="000000" w:themeColor="text1"/>
                <w:sz w:val="24"/>
                <w:szCs w:val="24"/>
                <w14:textFill>
                  <w14:solidFill>
                    <w14:schemeClr w14:val="tx1"/>
                  </w14:solidFill>
                </w14:textFill>
              </w:rPr>
            </w:pPr>
            <w:r>
              <w:rPr>
                <w:rFonts w:hint="eastAsia" w:ascii="宋体" w:hAnsi="宋体" w:eastAsia="宋体" w:cs="等线"/>
                <w:b/>
                <w:color w:val="000000" w:themeColor="text1"/>
                <w:kern w:val="0"/>
                <w:sz w:val="24"/>
                <w:szCs w:val="24"/>
                <w:lang w:bidi="ar"/>
                <w14:textFill>
                  <w14:solidFill>
                    <w14:schemeClr w14:val="tx1"/>
                  </w14:solidFill>
                </w14:textFill>
              </w:rPr>
              <w:t>表1  美国从中国进口最多的产品以及可能的替代供应国</w:t>
            </w:r>
          </w:p>
        </w:tc>
      </w:tr>
      <w:tr w14:paraId="51F36E3A">
        <w:trPr>
          <w:trHeight w:val="329" w:hRule="atLeast"/>
        </w:trPr>
        <w:tc>
          <w:tcPr>
            <w:tcW w:w="3560" w:type="dxa"/>
            <w:tcBorders>
              <w:top w:val="single" w:color="000000" w:sz="4" w:space="0"/>
              <w:left w:val="nil"/>
              <w:bottom w:val="single" w:color="000000" w:sz="4" w:space="0"/>
              <w:right w:val="single" w:color="000000" w:sz="4" w:space="0"/>
            </w:tcBorders>
            <w:shd w:val="clear" w:color="auto" w:fill="auto"/>
            <w:noWrap/>
            <w:vAlign w:val="bottom"/>
          </w:tcPr>
          <w:p w14:paraId="6F71C581">
            <w:pPr>
              <w:widowControl/>
              <w:jc w:val="center"/>
              <w:textAlignment w:val="bottom"/>
              <w:rPr>
                <w:rFonts w:ascii="宋体" w:hAnsi="宋体" w:eastAsia="宋体" w:cs="等线"/>
                <w:b/>
                <w:color w:val="000000" w:themeColor="text1"/>
                <w:sz w:val="24"/>
                <w:szCs w:val="24"/>
                <w14:textFill>
                  <w14:solidFill>
                    <w14:schemeClr w14:val="tx1"/>
                  </w14:solidFill>
                </w14:textFill>
              </w:rPr>
            </w:pPr>
            <w:r>
              <w:rPr>
                <w:rFonts w:hint="eastAsia" w:ascii="宋体" w:hAnsi="宋体" w:eastAsia="宋体" w:cs="等线"/>
                <w:b/>
                <w:color w:val="000000" w:themeColor="text1"/>
                <w:kern w:val="0"/>
                <w:sz w:val="24"/>
                <w:szCs w:val="24"/>
                <w:lang w:bidi="ar"/>
                <w14:textFill>
                  <w14:solidFill>
                    <w14:schemeClr w14:val="tx1"/>
                  </w14:solidFill>
                </w14:textFill>
              </w:rPr>
              <w:t>产品</w:t>
            </w:r>
          </w:p>
        </w:tc>
        <w:tc>
          <w:tcPr>
            <w:tcW w:w="3102" w:type="dxa"/>
            <w:tcBorders>
              <w:top w:val="single" w:color="000000" w:sz="4" w:space="0"/>
              <w:left w:val="nil"/>
              <w:bottom w:val="single" w:color="000000" w:sz="4" w:space="0"/>
              <w:right w:val="nil"/>
            </w:tcBorders>
            <w:shd w:val="clear" w:color="auto" w:fill="auto"/>
            <w:noWrap/>
            <w:vAlign w:val="bottom"/>
          </w:tcPr>
          <w:p w14:paraId="44583E0D">
            <w:pPr>
              <w:widowControl/>
              <w:jc w:val="center"/>
              <w:textAlignment w:val="bottom"/>
              <w:rPr>
                <w:rFonts w:ascii="宋体" w:hAnsi="宋体" w:eastAsia="宋体" w:cs="等线"/>
                <w:b/>
                <w:color w:val="000000" w:themeColor="text1"/>
                <w:sz w:val="24"/>
                <w:szCs w:val="24"/>
                <w14:textFill>
                  <w14:solidFill>
                    <w14:schemeClr w14:val="tx1"/>
                  </w14:solidFill>
                </w14:textFill>
              </w:rPr>
            </w:pPr>
            <w:r>
              <w:rPr>
                <w:rFonts w:hint="eastAsia" w:ascii="宋体" w:hAnsi="宋体" w:eastAsia="宋体" w:cs="等线"/>
                <w:b/>
                <w:color w:val="000000" w:themeColor="text1"/>
                <w:kern w:val="0"/>
                <w:sz w:val="24"/>
                <w:szCs w:val="24"/>
                <w:lang w:bidi="ar"/>
                <w14:textFill>
                  <w14:solidFill>
                    <w14:schemeClr w14:val="tx1"/>
                  </w14:solidFill>
                </w14:textFill>
              </w:rPr>
              <w:t>可能的替代供应国</w:t>
            </w:r>
          </w:p>
        </w:tc>
      </w:tr>
      <w:tr w14:paraId="74A77020">
        <w:trPr>
          <w:trHeight w:val="329" w:hRule="atLeast"/>
        </w:trPr>
        <w:tc>
          <w:tcPr>
            <w:tcW w:w="3560" w:type="dxa"/>
            <w:tcBorders>
              <w:top w:val="single" w:color="000000" w:sz="4" w:space="0"/>
              <w:left w:val="nil"/>
              <w:bottom w:val="nil"/>
              <w:right w:val="single" w:color="000000" w:sz="4" w:space="0"/>
            </w:tcBorders>
            <w:shd w:val="clear" w:color="auto" w:fill="auto"/>
            <w:noWrap/>
            <w:vAlign w:val="bottom"/>
          </w:tcPr>
          <w:p w14:paraId="505E8D7A">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电气、电子设备</w:t>
            </w:r>
          </w:p>
        </w:tc>
        <w:tc>
          <w:tcPr>
            <w:tcW w:w="3102" w:type="dxa"/>
            <w:tcBorders>
              <w:top w:val="single" w:color="000000" w:sz="4" w:space="0"/>
              <w:left w:val="nil"/>
              <w:bottom w:val="nil"/>
              <w:right w:val="nil"/>
            </w:tcBorders>
            <w:shd w:val="clear" w:color="auto" w:fill="auto"/>
            <w:noWrap/>
            <w:vAlign w:val="bottom"/>
          </w:tcPr>
          <w:p w14:paraId="3E0BA4CD">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巴西</w:t>
            </w:r>
          </w:p>
        </w:tc>
      </w:tr>
      <w:tr w14:paraId="6A68E90C">
        <w:trPr>
          <w:trHeight w:val="318" w:hRule="atLeast"/>
        </w:trPr>
        <w:tc>
          <w:tcPr>
            <w:tcW w:w="3560" w:type="dxa"/>
            <w:tcBorders>
              <w:top w:val="nil"/>
              <w:left w:val="nil"/>
              <w:bottom w:val="nil"/>
              <w:right w:val="single" w:color="000000" w:sz="4" w:space="0"/>
            </w:tcBorders>
            <w:shd w:val="clear" w:color="auto" w:fill="auto"/>
            <w:noWrap/>
            <w:vAlign w:val="bottom"/>
          </w:tcPr>
          <w:p w14:paraId="232E4ADF">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机械、核反应堆、锅炉</w:t>
            </w:r>
          </w:p>
        </w:tc>
        <w:tc>
          <w:tcPr>
            <w:tcW w:w="3102" w:type="dxa"/>
            <w:tcBorders>
              <w:top w:val="nil"/>
              <w:left w:val="nil"/>
              <w:bottom w:val="nil"/>
              <w:right w:val="nil"/>
            </w:tcBorders>
            <w:shd w:val="clear" w:color="auto" w:fill="auto"/>
            <w:noWrap/>
            <w:vAlign w:val="bottom"/>
          </w:tcPr>
          <w:p w14:paraId="11495DB9">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智利、新加坡</w:t>
            </w:r>
          </w:p>
        </w:tc>
      </w:tr>
      <w:tr w14:paraId="7316D472">
        <w:trPr>
          <w:trHeight w:val="318" w:hRule="atLeast"/>
        </w:trPr>
        <w:tc>
          <w:tcPr>
            <w:tcW w:w="3560" w:type="dxa"/>
            <w:tcBorders>
              <w:top w:val="nil"/>
              <w:left w:val="nil"/>
              <w:bottom w:val="nil"/>
              <w:right w:val="single" w:color="000000" w:sz="4" w:space="0"/>
            </w:tcBorders>
            <w:shd w:val="clear" w:color="auto" w:fill="auto"/>
            <w:noWrap/>
            <w:vAlign w:val="bottom"/>
          </w:tcPr>
          <w:p w14:paraId="23150219">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玩具、游戏、运动必需品</w:t>
            </w:r>
          </w:p>
        </w:tc>
        <w:tc>
          <w:tcPr>
            <w:tcW w:w="3102" w:type="dxa"/>
            <w:tcBorders>
              <w:top w:val="nil"/>
              <w:left w:val="nil"/>
              <w:bottom w:val="nil"/>
              <w:right w:val="nil"/>
            </w:tcBorders>
            <w:shd w:val="clear" w:color="auto" w:fill="auto"/>
            <w:noWrap/>
            <w:vAlign w:val="bottom"/>
          </w:tcPr>
          <w:p w14:paraId="2E695A85">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墨西哥、巴西</w:t>
            </w:r>
          </w:p>
        </w:tc>
      </w:tr>
      <w:tr w14:paraId="37EEF629">
        <w:trPr>
          <w:trHeight w:val="318" w:hRule="atLeast"/>
        </w:trPr>
        <w:tc>
          <w:tcPr>
            <w:tcW w:w="3560" w:type="dxa"/>
            <w:tcBorders>
              <w:top w:val="nil"/>
              <w:left w:val="nil"/>
              <w:bottom w:val="nil"/>
              <w:right w:val="single" w:color="000000" w:sz="4" w:space="0"/>
            </w:tcBorders>
            <w:shd w:val="clear" w:color="auto" w:fill="auto"/>
            <w:noWrap/>
            <w:vAlign w:val="bottom"/>
          </w:tcPr>
          <w:p w14:paraId="37BA29AD">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家具、照明标志、预制建筑</w:t>
            </w:r>
          </w:p>
        </w:tc>
        <w:tc>
          <w:tcPr>
            <w:tcW w:w="3102" w:type="dxa"/>
            <w:tcBorders>
              <w:top w:val="nil"/>
              <w:left w:val="nil"/>
              <w:bottom w:val="nil"/>
              <w:right w:val="nil"/>
            </w:tcBorders>
            <w:shd w:val="clear" w:color="auto" w:fill="auto"/>
            <w:noWrap/>
            <w:vAlign w:val="bottom"/>
          </w:tcPr>
          <w:p w14:paraId="1C45A41E">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墨西哥</w:t>
            </w:r>
          </w:p>
        </w:tc>
      </w:tr>
      <w:tr w14:paraId="2BB9DA17">
        <w:trPr>
          <w:trHeight w:val="318" w:hRule="atLeast"/>
        </w:trPr>
        <w:tc>
          <w:tcPr>
            <w:tcW w:w="3560" w:type="dxa"/>
            <w:tcBorders>
              <w:top w:val="nil"/>
              <w:left w:val="nil"/>
              <w:bottom w:val="nil"/>
              <w:right w:val="single" w:color="000000" w:sz="4" w:space="0"/>
            </w:tcBorders>
            <w:shd w:val="clear" w:color="auto" w:fill="auto"/>
            <w:noWrap/>
            <w:vAlign w:val="bottom"/>
          </w:tcPr>
          <w:p w14:paraId="4590D2C0">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塑料</w:t>
            </w:r>
          </w:p>
        </w:tc>
        <w:tc>
          <w:tcPr>
            <w:tcW w:w="3102" w:type="dxa"/>
            <w:tcBorders>
              <w:top w:val="nil"/>
              <w:left w:val="nil"/>
              <w:bottom w:val="nil"/>
              <w:right w:val="nil"/>
            </w:tcBorders>
            <w:shd w:val="clear" w:color="auto" w:fill="auto"/>
            <w:noWrap/>
            <w:vAlign w:val="bottom"/>
          </w:tcPr>
          <w:p w14:paraId="20653450">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墨西哥、巴西</w:t>
            </w:r>
          </w:p>
        </w:tc>
      </w:tr>
      <w:tr w14:paraId="47F7FD86">
        <w:trPr>
          <w:trHeight w:val="318" w:hRule="atLeast"/>
        </w:trPr>
        <w:tc>
          <w:tcPr>
            <w:tcW w:w="3560" w:type="dxa"/>
            <w:tcBorders>
              <w:top w:val="nil"/>
              <w:left w:val="nil"/>
              <w:bottom w:val="nil"/>
              <w:right w:val="single" w:color="000000" w:sz="4" w:space="0"/>
            </w:tcBorders>
            <w:shd w:val="clear" w:color="auto" w:fill="auto"/>
            <w:noWrap/>
            <w:vAlign w:val="bottom"/>
          </w:tcPr>
          <w:p w14:paraId="77EBBFBB">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铁路、电车轨道以外的车辆</w:t>
            </w:r>
          </w:p>
        </w:tc>
        <w:tc>
          <w:tcPr>
            <w:tcW w:w="3102" w:type="dxa"/>
            <w:tcBorders>
              <w:top w:val="nil"/>
              <w:left w:val="nil"/>
              <w:bottom w:val="nil"/>
              <w:right w:val="nil"/>
            </w:tcBorders>
            <w:shd w:val="clear" w:color="auto" w:fill="auto"/>
            <w:noWrap/>
            <w:vAlign w:val="bottom"/>
          </w:tcPr>
          <w:p w14:paraId="6C38C2F7">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智利、哥伦比亚、印度</w:t>
            </w:r>
          </w:p>
        </w:tc>
      </w:tr>
      <w:tr w14:paraId="057CA411">
        <w:trPr>
          <w:trHeight w:val="318" w:hRule="atLeast"/>
        </w:trPr>
        <w:tc>
          <w:tcPr>
            <w:tcW w:w="3560" w:type="dxa"/>
            <w:tcBorders>
              <w:top w:val="nil"/>
              <w:left w:val="nil"/>
              <w:bottom w:val="nil"/>
              <w:right w:val="single" w:color="000000" w:sz="4" w:space="0"/>
            </w:tcBorders>
            <w:shd w:val="clear" w:color="auto" w:fill="auto"/>
            <w:noWrap/>
            <w:vAlign w:val="bottom"/>
          </w:tcPr>
          <w:p w14:paraId="19A34D8A">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钢铁制品</w:t>
            </w:r>
          </w:p>
        </w:tc>
        <w:tc>
          <w:tcPr>
            <w:tcW w:w="3102" w:type="dxa"/>
            <w:tcBorders>
              <w:top w:val="nil"/>
              <w:left w:val="nil"/>
              <w:bottom w:val="nil"/>
              <w:right w:val="nil"/>
            </w:tcBorders>
            <w:shd w:val="clear" w:color="auto" w:fill="auto"/>
            <w:noWrap/>
            <w:vAlign w:val="bottom"/>
          </w:tcPr>
          <w:p w14:paraId="1D36B281">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加拿大、墨西哥</w:t>
            </w:r>
          </w:p>
        </w:tc>
      </w:tr>
      <w:tr w14:paraId="4A5508FA">
        <w:trPr>
          <w:trHeight w:val="318" w:hRule="atLeast"/>
        </w:trPr>
        <w:tc>
          <w:tcPr>
            <w:tcW w:w="3560" w:type="dxa"/>
            <w:tcBorders>
              <w:top w:val="nil"/>
              <w:left w:val="nil"/>
              <w:bottom w:val="nil"/>
              <w:right w:val="single" w:color="000000" w:sz="4" w:space="0"/>
            </w:tcBorders>
            <w:shd w:val="clear" w:color="auto" w:fill="auto"/>
            <w:noWrap/>
            <w:vAlign w:val="bottom"/>
          </w:tcPr>
          <w:p w14:paraId="75440EAA">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光学、照片、技术、医疗器械</w:t>
            </w:r>
          </w:p>
        </w:tc>
        <w:tc>
          <w:tcPr>
            <w:tcW w:w="3102" w:type="dxa"/>
            <w:tcBorders>
              <w:top w:val="nil"/>
              <w:left w:val="nil"/>
              <w:bottom w:val="nil"/>
              <w:right w:val="nil"/>
            </w:tcBorders>
            <w:shd w:val="clear" w:color="auto" w:fill="auto"/>
            <w:noWrap/>
            <w:vAlign w:val="bottom"/>
          </w:tcPr>
          <w:p w14:paraId="76C9E213">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哥伦比亚、巴西、印度</w:t>
            </w:r>
          </w:p>
        </w:tc>
      </w:tr>
      <w:tr w14:paraId="1AFB02A8">
        <w:trPr>
          <w:trHeight w:val="318" w:hRule="atLeast"/>
        </w:trPr>
        <w:tc>
          <w:tcPr>
            <w:tcW w:w="3560" w:type="dxa"/>
            <w:tcBorders>
              <w:top w:val="nil"/>
              <w:left w:val="nil"/>
              <w:bottom w:val="single" w:color="000000" w:sz="4" w:space="0"/>
              <w:right w:val="single" w:color="000000" w:sz="4" w:space="0"/>
            </w:tcBorders>
            <w:shd w:val="clear" w:color="auto" w:fill="auto"/>
            <w:noWrap/>
            <w:vAlign w:val="bottom"/>
          </w:tcPr>
          <w:p w14:paraId="76B3CCA3">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针织或钩编服装</w:t>
            </w:r>
          </w:p>
        </w:tc>
        <w:tc>
          <w:tcPr>
            <w:tcW w:w="3102" w:type="dxa"/>
            <w:tcBorders>
              <w:top w:val="nil"/>
              <w:left w:val="nil"/>
              <w:bottom w:val="single" w:color="000000" w:sz="4" w:space="0"/>
              <w:right w:val="nil"/>
            </w:tcBorders>
            <w:shd w:val="clear" w:color="auto" w:fill="auto"/>
            <w:noWrap/>
            <w:vAlign w:val="bottom"/>
          </w:tcPr>
          <w:p w14:paraId="5B713DED">
            <w:pPr>
              <w:widowControl/>
              <w:jc w:val="left"/>
              <w:textAlignment w:val="bottom"/>
              <w:rPr>
                <w:rFonts w:ascii="宋体" w:hAnsi="宋体" w:eastAsia="宋体" w:cs="等线"/>
                <w:color w:val="000000" w:themeColor="text1"/>
                <w:sz w:val="24"/>
                <w:szCs w:val="24"/>
                <w14:textFill>
                  <w14:solidFill>
                    <w14:schemeClr w14:val="tx1"/>
                  </w14:solidFill>
                </w14:textFill>
              </w:rPr>
            </w:pPr>
            <w:r>
              <w:rPr>
                <w:rFonts w:hint="eastAsia" w:ascii="宋体" w:hAnsi="宋体" w:eastAsia="宋体" w:cs="等线"/>
                <w:color w:val="000000" w:themeColor="text1"/>
                <w:kern w:val="0"/>
                <w:sz w:val="24"/>
                <w:szCs w:val="24"/>
                <w:lang w:bidi="ar"/>
                <w14:textFill>
                  <w14:solidFill>
                    <w14:schemeClr w14:val="tx1"/>
                  </w14:solidFill>
                </w14:textFill>
              </w:rPr>
              <w:t>巴西、加拿大</w:t>
            </w:r>
          </w:p>
        </w:tc>
      </w:tr>
    </w:tbl>
    <w:p w14:paraId="4CCED8A9">
      <w:pPr>
        <w:adjustRightInd w:val="0"/>
        <w:ind w:firstLine="735" w:firstLineChars="350"/>
        <w:rPr>
          <w:rFonts w:ascii="宋体" w:hAnsi="宋体" w:eastAsia="宋体" w:cs="等线"/>
          <w:color w:val="000000" w:themeColor="text1"/>
          <w:kern w:val="0"/>
          <w:szCs w:val="21"/>
          <w:lang w:bidi="ar"/>
          <w14:textFill>
            <w14:solidFill>
              <w14:schemeClr w14:val="tx1"/>
            </w14:solidFill>
          </w14:textFill>
        </w:rPr>
      </w:pPr>
      <w:r>
        <w:rPr>
          <w:rFonts w:hint="eastAsia" w:ascii="宋体" w:hAnsi="宋体" w:eastAsia="宋体" w:cs="等线"/>
          <w:color w:val="000000" w:themeColor="text1"/>
          <w:kern w:val="0"/>
          <w:szCs w:val="21"/>
          <w:lang w:bidi="ar"/>
          <w14:textFill>
            <w14:solidFill>
              <w14:schemeClr w14:val="tx1"/>
            </w14:solidFill>
          </w14:textFill>
        </w:rPr>
        <w:t>数据来源：全球经济指标网站,</w:t>
      </w:r>
    </w:p>
    <w:p w14:paraId="6FE75416">
      <w:pPr>
        <w:adjustRightInd w:val="0"/>
        <w:snapToGrid w:val="0"/>
        <w:spacing w:line="360" w:lineRule="auto"/>
        <w:ind w:firstLine="1680" w:firstLineChars="800"/>
        <w:rPr>
          <w:rFonts w:ascii="Times New Roman" w:hAnsi="Times New Roman" w:eastAsia="宋体" w:cs="Times New Roman"/>
          <w:color w:val="000000" w:themeColor="text1"/>
          <w:kern w:val="0"/>
          <w:szCs w:val="21"/>
          <w14:textFill>
            <w14:solidFill>
              <w14:schemeClr w14:val="tx1"/>
            </w14:solidFill>
          </w14:textFill>
        </w:rPr>
      </w:pPr>
      <w:r>
        <w:rPr>
          <w:rFonts w:hint="eastAsia" w:ascii="等线" w:hAnsi="等线" w:eastAsia="等线" w:cs="等线"/>
          <w:color w:val="000000" w:themeColor="text1"/>
          <w:kern w:val="0"/>
          <w:szCs w:val="21"/>
          <w:lang w:bidi="ar"/>
          <w14:textFill>
            <w14:solidFill>
              <w14:schemeClr w14:val="tx1"/>
            </w14:solidFill>
          </w14:textFill>
        </w:rPr>
        <w:t xml:space="preserve"> </w:t>
      </w:r>
      <w:r>
        <w:rPr>
          <w:rFonts w:ascii="Times New Roman" w:hAnsi="Times New Roman" w:eastAsia="宋体" w:cs="Times New Roman"/>
          <w:color w:val="000000" w:themeColor="text1"/>
          <w:kern w:val="0"/>
          <w:szCs w:val="21"/>
          <w:lang w:bidi="ar"/>
          <w14:textFill>
            <w14:solidFill>
              <w14:schemeClr w14:val="tx1"/>
            </w14:solidFill>
          </w14:textFill>
        </w:rPr>
        <w:t xml:space="preserve">https://tradingeconomics.com/united-states/imports/china </w:t>
      </w:r>
    </w:p>
    <w:p w14:paraId="034A7D53">
      <w:pPr>
        <w:pStyle w:val="4"/>
        <w:adjustRightInd w:val="0"/>
        <w:snapToGrid w:val="0"/>
        <w:spacing w:before="0" w:after="0" w:line="360" w:lineRule="auto"/>
        <w:ind w:firstLine="480" w:firstLineChars="200"/>
        <w:rPr>
          <w:rStyle w:val="21"/>
          <w:rFonts w:ascii="宋体" w:hAnsi="宋体" w:eastAsia="宋体"/>
          <w:b/>
          <w:bCs w:val="0"/>
          <w:color w:val="000000" w:themeColor="text1"/>
          <w:sz w:val="24"/>
          <w:szCs w:val="24"/>
          <w14:textFill>
            <w14:solidFill>
              <w14:schemeClr w14:val="tx1"/>
            </w14:solidFill>
          </w14:textFill>
        </w:rPr>
      </w:pPr>
      <w:bookmarkStart w:id="201" w:name="_Toc298679613"/>
      <w:bookmarkStart w:id="202" w:name="_Toc894296113"/>
      <w:bookmarkStart w:id="203" w:name="_Toc7601"/>
      <w:bookmarkStart w:id="204" w:name="_Toc1919928783"/>
      <w:bookmarkStart w:id="205" w:name="_Toc1047970512"/>
      <w:bookmarkStart w:id="206" w:name="_Toc1240118515"/>
      <w:r>
        <w:rPr>
          <w:rStyle w:val="21"/>
          <w:rFonts w:hint="eastAsia" w:ascii="宋体" w:hAnsi="宋体" w:eastAsia="宋体"/>
          <w:b/>
          <w:bCs w:val="0"/>
          <w:color w:val="000000" w:themeColor="text1"/>
          <w:sz w:val="24"/>
          <w:szCs w:val="24"/>
          <w14:textFill>
            <w14:solidFill>
              <w14:schemeClr w14:val="tx1"/>
            </w14:solidFill>
          </w14:textFill>
        </w:rPr>
        <w:t>（四）</w:t>
      </w:r>
      <w:r>
        <w:rPr>
          <w:rStyle w:val="21"/>
          <w:rFonts w:ascii="宋体" w:hAnsi="宋体" w:eastAsia="宋体"/>
          <w:b/>
          <w:bCs w:val="0"/>
          <w:color w:val="000000" w:themeColor="text1"/>
          <w:sz w:val="24"/>
          <w:szCs w:val="24"/>
          <w14:textFill>
            <w14:solidFill>
              <w14:schemeClr w14:val="tx1"/>
            </w14:solidFill>
          </w14:textFill>
        </w:rPr>
        <w:t>数字经济取代传统经济</w:t>
      </w:r>
    </w:p>
    <w:bookmarkEnd w:id="201"/>
    <w:bookmarkEnd w:id="202"/>
    <w:bookmarkEnd w:id="203"/>
    <w:bookmarkEnd w:id="204"/>
    <w:bookmarkEnd w:id="205"/>
    <w:bookmarkEnd w:id="206"/>
    <w:p w14:paraId="0F0523F7">
      <w:pPr>
        <w:adjustRightInd w:val="0"/>
        <w:snapToGrid w:val="0"/>
        <w:spacing w:line="360" w:lineRule="auto"/>
        <w:rPr>
          <w:rStyle w:val="19"/>
          <w:rFonts w:ascii="宋体" w:hAnsi="宋体" w:eastAsia="宋体" w:cs="AdobeHeitiStd-Regular"/>
          <w:color w:val="000000" w:themeColor="text1"/>
          <w:kern w:val="0"/>
          <w:sz w:val="24"/>
          <w:szCs w:val="24"/>
          <w:u w:val="none"/>
          <w14:textFill>
            <w14:solidFill>
              <w14:schemeClr w14:val="tx1"/>
            </w14:solidFill>
          </w14:textFill>
        </w:rPr>
      </w:pPr>
      <w:r>
        <w:rPr>
          <w:rFonts w:hint="eastAsia" w:ascii="等线" w:hAnsi="等线" w:eastAsia="等线" w:cs="等线"/>
          <w:color w:val="000000" w:themeColor="text1"/>
          <w:kern w:val="0"/>
          <w:sz w:val="24"/>
          <w:szCs w:val="24"/>
          <w14:textFill>
            <w14:solidFill>
              <w14:schemeClr w14:val="tx1"/>
            </w14:solidFill>
          </w14:textFill>
        </w:rPr>
        <w:t></w:t>
      </w:r>
      <w:r>
        <w:rPr>
          <w:rFonts w:ascii="等线" w:hAnsi="等线" w:eastAsia="等线" w:cs="等线"/>
          <w:color w:val="000000" w:themeColor="text1"/>
          <w:kern w:val="0"/>
          <w:sz w:val="24"/>
          <w:szCs w:val="24"/>
          <w14:textFill>
            <w14:solidFill>
              <w14:schemeClr w14:val="tx1"/>
            </w14:solidFill>
          </w14:textFill>
        </w:rPr>
        <w:t xml:space="preserve">    </w:t>
      </w:r>
      <w:r>
        <w:rPr>
          <w:rFonts w:hint="eastAsia" w:ascii="宋体" w:hAnsi="宋体" w:eastAsia="宋体" w:cs="AdobeHeitiStd-Regular"/>
          <w:color w:val="000000" w:themeColor="text1"/>
          <w:kern w:val="0"/>
          <w:sz w:val="24"/>
          <w:szCs w:val="24"/>
          <w14:textFill>
            <w14:solidFill>
              <w14:schemeClr w14:val="tx1"/>
            </w14:solidFill>
          </w14:textFill>
        </w:rPr>
        <w:t>随着云计算、大数据、算法技术等条件的成熟，数字</w:t>
      </w:r>
      <w:r>
        <w:rPr>
          <w:rFonts w:ascii="宋体" w:hAnsi="宋体" w:eastAsia="宋体" w:cs="AdobeHeitiStd-Regular"/>
          <w:color w:val="000000" w:themeColor="text1"/>
          <w:kern w:val="0"/>
          <w:sz w:val="24"/>
          <w:szCs w:val="24"/>
          <w14:textFill>
            <w14:solidFill>
              <w14:schemeClr w14:val="tx1"/>
            </w14:solidFill>
          </w14:textFill>
        </w:rPr>
        <w:t>技术在消费提升、产品优化、应对气候变化、攻克顽疾等方面表现出</w:t>
      </w:r>
      <w:r>
        <w:rPr>
          <w:rFonts w:hint="eastAsia" w:ascii="宋体" w:hAnsi="宋体" w:eastAsia="宋体" w:cs="AdobeHeitiStd-Regular"/>
          <w:color w:val="000000" w:themeColor="text1"/>
          <w:kern w:val="0"/>
          <w:sz w:val="24"/>
          <w:szCs w:val="24"/>
          <w14:textFill>
            <w14:solidFill>
              <w14:schemeClr w14:val="tx1"/>
            </w14:solidFill>
          </w14:textFill>
        </w:rPr>
        <w:t>强大的能量</w:t>
      </w:r>
      <w:r>
        <w:rPr>
          <w:rFonts w:ascii="宋体" w:hAnsi="宋体" w:eastAsia="宋体" w:cs="AdobeHeitiStd-Regular"/>
          <w:color w:val="000000" w:themeColor="text1"/>
          <w:kern w:val="0"/>
          <w:sz w:val="24"/>
          <w:szCs w:val="24"/>
          <w14:textFill>
            <w14:solidFill>
              <w14:schemeClr w14:val="tx1"/>
            </w14:solidFill>
          </w14:textFill>
        </w:rPr>
        <w:t>，勾画出</w:t>
      </w:r>
      <w:r>
        <w:rPr>
          <w:rFonts w:hint="eastAsia" w:ascii="宋体" w:hAnsi="宋体" w:eastAsia="宋体" w:cs="AdobeHeitiStd-Regular"/>
          <w:color w:val="000000" w:themeColor="text1"/>
          <w:kern w:val="0"/>
          <w:sz w:val="24"/>
          <w:szCs w:val="24"/>
          <w14:textFill>
            <w14:solidFill>
              <w14:schemeClr w14:val="tx1"/>
            </w14:solidFill>
          </w14:textFill>
        </w:rPr>
        <w:t>了数字经济</w:t>
      </w:r>
      <w:r>
        <w:rPr>
          <w:rFonts w:ascii="宋体" w:hAnsi="宋体" w:eastAsia="宋体" w:cs="AdobeHeitiStd-Regular"/>
          <w:color w:val="000000" w:themeColor="text1"/>
          <w:kern w:val="0"/>
          <w:sz w:val="24"/>
          <w:szCs w:val="24"/>
          <w14:textFill>
            <w14:solidFill>
              <w14:schemeClr w14:val="tx1"/>
            </w14:solidFill>
          </w14:textFill>
        </w:rPr>
        <w:t>的实施路径和资源图谱</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成为宏观和微观主体竞相布局和激烈竞争的领域。</w:t>
      </w:r>
      <w:r>
        <w:rPr>
          <w:rFonts w:hint="eastAsia" w:ascii="宋体" w:hAnsi="宋体" w:eastAsia="宋体" w:cs="AdobeHeitiStd-Regular"/>
          <w:color w:val="000000" w:themeColor="text1"/>
          <w:kern w:val="0"/>
          <w:sz w:val="24"/>
          <w:szCs w:val="24"/>
          <w14:textFill>
            <w14:solidFill>
              <w14:schemeClr w14:val="tx1"/>
            </w14:solidFill>
          </w14:textFill>
        </w:rPr>
        <w:t>作为新兴发展业态，数字经济成为世界经济复苏的重要驱动力，大规模定制、动态供应链、智能生产和服务、精准推送等成为现代产业的新特点，并将改变全球经济发展和大国竞争模式。一个崭新的全球“数据价值链”已经形成，构建数字平台的企业在数据驱动引领经济中占有无可比拟的优势。全球“超级平台”</w:t>
      </w:r>
      <w:r>
        <w:rPr>
          <w:rFonts w:ascii="Times New Roman" w:hAnsi="Times New Roman" w:eastAsia="宋体" w:cs="Times New Roman"/>
          <w:color w:val="000000" w:themeColor="text1"/>
          <w:kern w:val="0"/>
          <w:sz w:val="24"/>
          <w:szCs w:val="24"/>
          <w14:textFill>
            <w14:solidFill>
              <w14:schemeClr w14:val="tx1"/>
            </w14:solidFill>
          </w14:textFill>
        </w:rPr>
        <w:t>GAFAM——谷歌（Google）/字母控股（Alphabet）、亚马逊(Amazon)、脸书（Facebook）、苹果(Apple)和微软(Microsoft)</w:t>
      </w:r>
      <w:r>
        <w:rPr>
          <w:rFonts w:hint="eastAsia" w:ascii="宋体" w:hAnsi="宋体" w:eastAsia="宋体" w:cs="AdobeHeitiStd-Regular"/>
          <w:color w:val="000000" w:themeColor="text1"/>
          <w:kern w:val="0"/>
          <w:sz w:val="24"/>
          <w:szCs w:val="24"/>
          <w14:textFill>
            <w14:solidFill>
              <w14:schemeClr w14:val="tx1"/>
            </w14:solidFill>
          </w14:textFill>
        </w:rPr>
        <w:t>不断成长并主导了关键的细分市场，尤其</w:t>
      </w:r>
      <w:r>
        <w:rPr>
          <w:rFonts w:ascii="宋体" w:hAnsi="宋体" w:eastAsia="宋体" w:cs="AdobeHeitiStd-Regular"/>
          <w:color w:val="000000" w:themeColor="text1"/>
          <w:kern w:val="0"/>
          <w:sz w:val="24"/>
          <w:szCs w:val="24"/>
          <w14:textFill>
            <w14:solidFill>
              <w14:schemeClr w14:val="tx1"/>
            </w14:solidFill>
          </w14:textFill>
        </w:rPr>
        <w:t>是</w:t>
      </w:r>
      <w:r>
        <w:rPr>
          <w:rFonts w:hint="eastAsia" w:ascii="宋体" w:hAnsi="宋体" w:eastAsia="宋体" w:cs="AdobeHeitiStd-Regular"/>
          <w:color w:val="000000" w:themeColor="text1"/>
          <w:kern w:val="0"/>
          <w:sz w:val="24"/>
          <w:szCs w:val="24"/>
          <w14:textFill>
            <w14:solidFill>
              <w14:schemeClr w14:val="tx1"/>
            </w14:solidFill>
          </w14:textFill>
        </w:rPr>
        <w:t>新冠疫情极大改变了贸易环境，这些</w:t>
      </w:r>
      <w:r>
        <w:rPr>
          <w:rFonts w:ascii="宋体" w:hAnsi="宋体" w:eastAsia="宋体" w:cs="AdobeHeitiStd-Regular"/>
          <w:color w:val="000000" w:themeColor="text1"/>
          <w:kern w:val="0"/>
          <w:sz w:val="24"/>
          <w:szCs w:val="24"/>
          <w14:textFill>
            <w14:solidFill>
              <w14:schemeClr w14:val="tx1"/>
            </w14:solidFill>
          </w14:textFill>
        </w:rPr>
        <w:t>平台</w:t>
      </w:r>
      <w:r>
        <w:rPr>
          <w:rFonts w:hint="eastAsia" w:ascii="宋体" w:hAnsi="宋体" w:eastAsia="宋体" w:cs="AdobeHeitiStd-Regular"/>
          <w:color w:val="000000" w:themeColor="text1"/>
          <w:kern w:val="0"/>
          <w:sz w:val="24"/>
          <w:szCs w:val="24"/>
          <w14:textFill>
            <w14:solidFill>
              <w14:schemeClr w14:val="tx1"/>
            </w14:solidFill>
          </w14:textFill>
        </w:rPr>
        <w:t>革新了全球贸易形态以及方式，数字技术逐渐成为全球供应链变革的主要内驱力。人工智能、区块链、物联网等技术在全球贸易中的应用，</w:t>
      </w:r>
      <w:r>
        <w:rPr>
          <w:rFonts w:ascii="宋体" w:hAnsi="宋体" w:eastAsia="宋体" w:cs="AdobeHeitiStd-Regular"/>
          <w:color w:val="000000" w:themeColor="text1"/>
          <w:kern w:val="0"/>
          <w:sz w:val="24"/>
          <w:szCs w:val="24"/>
          <w14:textFill>
            <w14:solidFill>
              <w14:schemeClr w14:val="tx1"/>
            </w14:solidFill>
          </w14:textFill>
        </w:rPr>
        <w:t>使</w:t>
      </w:r>
      <w:r>
        <w:rPr>
          <w:rFonts w:hint="eastAsia" w:ascii="宋体" w:hAnsi="宋体" w:eastAsia="宋体" w:cs="AdobeHeitiStd-Regular"/>
          <w:color w:val="000000" w:themeColor="text1"/>
          <w:kern w:val="0"/>
          <w:sz w:val="24"/>
          <w:szCs w:val="24"/>
          <w14:textFill>
            <w14:solidFill>
              <w14:schemeClr w14:val="tx1"/>
            </w14:solidFill>
          </w14:textFill>
        </w:rPr>
        <w:t>服务贸易的</w:t>
      </w:r>
      <w:r>
        <w:rPr>
          <w:rFonts w:ascii="宋体" w:hAnsi="宋体" w:eastAsia="宋体" w:cs="AdobeHeitiStd-Regular"/>
          <w:color w:val="000000" w:themeColor="text1"/>
          <w:kern w:val="0"/>
          <w:sz w:val="24"/>
          <w:szCs w:val="24"/>
          <w14:textFill>
            <w14:solidFill>
              <w14:schemeClr w14:val="tx1"/>
            </w14:solidFill>
          </w14:textFill>
        </w:rPr>
        <w:t>数字化倾向</w:t>
      </w:r>
      <w:r>
        <w:rPr>
          <w:rFonts w:hint="eastAsia" w:ascii="宋体" w:hAnsi="宋体" w:eastAsia="宋体" w:cs="AdobeHeitiStd-Regular"/>
          <w:color w:val="000000" w:themeColor="text1"/>
          <w:kern w:val="0"/>
          <w:sz w:val="24"/>
          <w:szCs w:val="24"/>
          <w14:textFill>
            <w14:solidFill>
              <w14:schemeClr w14:val="tx1"/>
            </w14:solidFill>
          </w14:textFill>
        </w:rPr>
        <w:t>加速演进，数字贸易的虚拟分拆潜力和</w:t>
      </w:r>
      <w:r>
        <w:rPr>
          <w:rFonts w:ascii="宋体" w:hAnsi="宋体" w:eastAsia="宋体" w:cs="AdobeHeitiStd-Regular"/>
          <w:color w:val="000000" w:themeColor="text1"/>
          <w:kern w:val="0"/>
          <w:sz w:val="24"/>
          <w:szCs w:val="24"/>
          <w14:textFill>
            <w14:solidFill>
              <w14:schemeClr w14:val="tx1"/>
            </w14:solidFill>
          </w14:textFill>
        </w:rPr>
        <w:t>空间</w:t>
      </w:r>
      <w:r>
        <w:rPr>
          <w:rFonts w:hint="eastAsia" w:ascii="宋体" w:hAnsi="宋体" w:eastAsia="宋体" w:cs="AdobeHeitiStd-Regular"/>
          <w:color w:val="000000" w:themeColor="text1"/>
          <w:kern w:val="0"/>
          <w:sz w:val="24"/>
          <w:szCs w:val="24"/>
          <w14:textFill>
            <w14:solidFill>
              <w14:schemeClr w14:val="tx1"/>
            </w14:solidFill>
          </w14:textFill>
        </w:rPr>
        <w:t>依托</w:t>
      </w:r>
      <w:r>
        <w:rPr>
          <w:rFonts w:ascii="宋体" w:hAnsi="宋体" w:eastAsia="宋体" w:cs="AdobeHeitiStd-Regular"/>
          <w:color w:val="000000" w:themeColor="text1"/>
          <w:kern w:val="0"/>
          <w:sz w:val="24"/>
          <w:szCs w:val="24"/>
          <w14:textFill>
            <w14:solidFill>
              <w14:schemeClr w14:val="tx1"/>
            </w14:solidFill>
          </w14:textFill>
        </w:rPr>
        <w:t>范围</w:t>
      </w:r>
      <w:r>
        <w:rPr>
          <w:rFonts w:hint="eastAsia" w:ascii="宋体" w:hAnsi="宋体" w:eastAsia="宋体" w:cs="AdobeHeitiStd-Regular"/>
          <w:color w:val="000000" w:themeColor="text1"/>
          <w:kern w:val="0"/>
          <w:sz w:val="24"/>
          <w:szCs w:val="24"/>
          <w14:textFill>
            <w14:solidFill>
              <w14:schemeClr w14:val="tx1"/>
            </w14:solidFill>
          </w14:textFill>
        </w:rPr>
        <w:t>得到进一步释放。越来越多的政府采取了促进经济变革</w:t>
      </w:r>
      <w:r>
        <w:rPr>
          <w:rFonts w:ascii="宋体" w:hAnsi="宋体" w:eastAsia="宋体" w:cs="AdobeHeitiStd-Regular"/>
          <w:color w:val="000000" w:themeColor="text1"/>
          <w:kern w:val="0"/>
          <w:sz w:val="24"/>
          <w:szCs w:val="24"/>
          <w14:textFill>
            <w14:solidFill>
              <w14:schemeClr w14:val="tx1"/>
            </w14:solidFill>
          </w14:textFill>
        </w:rPr>
        <w:t>图强</w:t>
      </w:r>
      <w:r>
        <w:rPr>
          <w:rFonts w:hint="eastAsia" w:ascii="宋体" w:hAnsi="宋体" w:eastAsia="宋体" w:cs="AdobeHeitiStd-Regular"/>
          <w:color w:val="000000" w:themeColor="text1"/>
          <w:kern w:val="0"/>
          <w:sz w:val="24"/>
          <w:szCs w:val="24"/>
          <w14:textFill>
            <w14:solidFill>
              <w14:schemeClr w14:val="tx1"/>
            </w14:solidFill>
          </w14:textFill>
        </w:rPr>
        <w:t>创新和数字技术研发进步的政策，如</w:t>
      </w:r>
      <w:r>
        <w:rPr>
          <w:rFonts w:ascii="宋体" w:hAnsi="宋体" w:eastAsia="宋体" w:cs="AdobeHeitiStd-Regular"/>
          <w:color w:val="000000" w:themeColor="text1"/>
          <w:kern w:val="0"/>
          <w:sz w:val="24"/>
          <w:szCs w:val="24"/>
          <w14:textFill>
            <w14:solidFill>
              <w14:schemeClr w14:val="tx1"/>
            </w14:solidFill>
          </w14:textFill>
        </w:rPr>
        <w:t>表</w:t>
      </w:r>
      <w:r>
        <w:rPr>
          <w:rFonts w:hint="eastAsia" w:ascii="宋体" w:hAnsi="宋体" w:eastAsia="宋体" w:cs="AdobeHeitiStd-Regular"/>
          <w:color w:val="000000" w:themeColor="text1"/>
          <w:kern w:val="0"/>
          <w:sz w:val="24"/>
          <w:szCs w:val="24"/>
          <w14:textFill>
            <w14:solidFill>
              <w14:schemeClr w14:val="tx1"/>
            </w14:solidFill>
          </w14:textFill>
        </w:rPr>
        <w:t>2所示</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数字经济战略的制定体现出较强的产业扶持和生产要素培育的发展逻辑，这一趋势对贸易和规则产生了影响。由于数字经济具有典型的资本密集型和技术密集型的产业特征，需要在高速宽带、算法应用、数据存储等领域进行大规模的基础设施建设和研发投入。对于大部分尚未完成工业化的发展中国家而言，基于现有的产业技术和资本壁垒等诸多因素的限制，将难以实现传统模式下的“赶超型”发展，与发达国家之间的“数字鸿沟”将日渐突出。此外，受到不同工业化发展阶段，产业结构竞争力差异等因素的影响，这种发展分化在新兴经济体内部也在同步发生，新兴经济体内部的</w:t>
      </w:r>
      <w:r>
        <w:rPr>
          <w:rFonts w:ascii="宋体" w:hAnsi="宋体" w:eastAsia="宋体" w:cs="AdobeHeitiStd-Regular"/>
          <w:color w:val="000000" w:themeColor="text1"/>
          <w:kern w:val="0"/>
          <w:sz w:val="24"/>
          <w:szCs w:val="24"/>
          <w14:textFill>
            <w14:solidFill>
              <w14:schemeClr w14:val="tx1"/>
            </w14:solidFill>
          </w14:textFill>
        </w:rPr>
        <w:t>不平衡不充分</w:t>
      </w:r>
      <w:r>
        <w:rPr>
          <w:rFonts w:hint="eastAsia" w:ascii="宋体" w:hAnsi="宋体" w:eastAsia="宋体" w:cs="AdobeHeitiStd-Regular"/>
          <w:color w:val="000000" w:themeColor="text1"/>
          <w:kern w:val="0"/>
          <w:sz w:val="24"/>
          <w:szCs w:val="24"/>
          <w14:textFill>
            <w14:solidFill>
              <w14:schemeClr w14:val="tx1"/>
            </w14:solidFill>
          </w14:textFill>
        </w:rPr>
        <w:t>现象</w:t>
      </w:r>
      <w:r>
        <w:rPr>
          <w:rFonts w:ascii="宋体" w:hAnsi="宋体" w:eastAsia="宋体" w:cs="AdobeHeitiStd-Regular"/>
          <w:color w:val="000000" w:themeColor="text1"/>
          <w:kern w:val="0"/>
          <w:sz w:val="24"/>
          <w:szCs w:val="24"/>
          <w14:textFill>
            <w14:solidFill>
              <w14:schemeClr w14:val="tx1"/>
            </w14:solidFill>
          </w14:textFill>
        </w:rPr>
        <w:t>比较严重</w:t>
      </w:r>
      <w:r>
        <w:rPr>
          <w:rFonts w:hint="eastAsia" w:ascii="宋体" w:hAnsi="宋体" w:eastAsia="宋体" w:cs="AdobeHeitiStd-Regular"/>
          <w:color w:val="000000" w:themeColor="text1"/>
          <w:kern w:val="0"/>
          <w:sz w:val="24"/>
          <w:szCs w:val="24"/>
          <w14:textFill>
            <w14:solidFill>
              <w14:schemeClr w14:val="tx1"/>
            </w14:solidFill>
          </w14:textFill>
        </w:rPr>
        <w:t>。因此</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数字经济作为一种分化的力量，将不断推动全球生产格局的深刻演变。</w:t>
      </w:r>
    </w:p>
    <w:p w14:paraId="4E07C3FE">
      <w:pPr>
        <w:jc w:val="center"/>
        <w:rPr>
          <w:color w:val="000000" w:themeColor="text1"/>
          <w14:textFill>
            <w14:solidFill>
              <w14:schemeClr w14:val="tx1"/>
            </w14:solidFill>
          </w14:textFill>
        </w:rPr>
      </w:pPr>
      <w:r>
        <w:rPr>
          <w:rFonts w:hint="eastAsia" w:ascii="宋体" w:hAnsi="宋体" w:eastAsia="宋体" w:cs="宋体"/>
          <w:b/>
          <w:color w:val="000000" w:themeColor="text1"/>
          <w:kern w:val="0"/>
          <w:sz w:val="24"/>
          <w:szCs w:val="24"/>
          <w:lang w:bidi="ar"/>
          <w14:textFill>
            <w14:solidFill>
              <w14:schemeClr w14:val="tx1"/>
            </w14:solidFill>
          </w14:textFill>
        </w:rPr>
        <w:t>表2</w:t>
      </w:r>
      <w:r>
        <w:rPr>
          <w:rFonts w:ascii="宋体" w:hAnsi="宋体" w:eastAsia="宋体" w:cs="宋体"/>
          <w:b/>
          <w:color w:val="000000" w:themeColor="text1"/>
          <w:kern w:val="0"/>
          <w:sz w:val="24"/>
          <w:lang w:bidi="ar"/>
          <w14:textFill>
            <w14:solidFill>
              <w14:schemeClr w14:val="tx1"/>
            </w14:solidFill>
          </w14:textFill>
        </w:rPr>
        <w:t xml:space="preserve">  </w:t>
      </w:r>
      <w:r>
        <w:rPr>
          <w:rFonts w:hint="eastAsia" w:ascii="宋体" w:hAnsi="宋体" w:eastAsia="宋体" w:cs="宋体"/>
          <w:b/>
          <w:color w:val="000000" w:themeColor="text1"/>
          <w:kern w:val="0"/>
          <w:sz w:val="24"/>
          <w:szCs w:val="24"/>
          <w:lang w:bidi="ar"/>
          <w14:textFill>
            <w14:solidFill>
              <w14:schemeClr w14:val="tx1"/>
            </w14:solidFill>
          </w14:textFill>
        </w:rPr>
        <w:t>2016年和2019年全球数字政策目标的演变</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8"/>
        <w:gridCol w:w="1559"/>
        <w:gridCol w:w="1588"/>
        <w:gridCol w:w="2098"/>
      </w:tblGrid>
      <w:tr w14:paraId="472763C5">
        <w:trPr>
          <w:jc w:val="center"/>
        </w:trPr>
        <w:tc>
          <w:tcPr>
            <w:tcW w:w="2518" w:type="dxa"/>
            <w:vAlign w:val="center"/>
          </w:tcPr>
          <w:p w14:paraId="24F83DA2">
            <w:pPr>
              <w:widowControl/>
              <w:jc w:val="center"/>
              <w:textAlignment w:val="center"/>
              <w:rPr>
                <w:rFonts w:ascii="宋体" w:hAnsi="宋体" w:eastAsia="宋体" w:cs="宋体"/>
                <w:b/>
                <w:color w:val="000000" w:themeColor="text1"/>
                <w:kern w:val="0"/>
                <w:sz w:val="22"/>
                <w:szCs w:val="22"/>
                <w14:textFill>
                  <w14:solidFill>
                    <w14:schemeClr w14:val="tx1"/>
                  </w14:solidFill>
                </w14:textFill>
              </w:rPr>
            </w:pPr>
            <w:r>
              <w:rPr>
                <w:rFonts w:hint="eastAsia" w:ascii="宋体" w:hAnsi="宋体" w:eastAsia="宋体" w:cs="宋体"/>
                <w:b/>
                <w:color w:val="000000" w:themeColor="text1"/>
                <w:kern w:val="0"/>
                <w:sz w:val="22"/>
                <w:szCs w:val="22"/>
                <w:lang w:bidi="ar"/>
                <w14:textFill>
                  <w14:solidFill>
                    <w14:schemeClr w14:val="tx1"/>
                  </w14:solidFill>
                </w14:textFill>
              </w:rPr>
              <w:t>政策目标</w:t>
            </w:r>
          </w:p>
        </w:tc>
        <w:tc>
          <w:tcPr>
            <w:tcW w:w="1559" w:type="dxa"/>
            <w:vAlign w:val="center"/>
          </w:tcPr>
          <w:p w14:paraId="0358D430">
            <w:pPr>
              <w:widowControl/>
              <w:jc w:val="center"/>
              <w:textAlignment w:val="center"/>
              <w:rPr>
                <w:rFonts w:ascii="宋体" w:hAnsi="宋体" w:eastAsia="宋体" w:cs="宋体"/>
                <w:b/>
                <w:color w:val="000000" w:themeColor="text1"/>
                <w:kern w:val="0"/>
                <w:sz w:val="22"/>
                <w:szCs w:val="22"/>
                <w:lang w:bidi="ar"/>
                <w14:textFill>
                  <w14:solidFill>
                    <w14:schemeClr w14:val="tx1"/>
                  </w14:solidFill>
                </w14:textFill>
              </w:rPr>
            </w:pPr>
            <w:r>
              <w:rPr>
                <w:rFonts w:hint="eastAsia" w:ascii="宋体" w:hAnsi="宋体" w:eastAsia="宋体" w:cs="宋体"/>
                <w:b/>
                <w:color w:val="000000" w:themeColor="text1"/>
                <w:kern w:val="0"/>
                <w:sz w:val="22"/>
                <w:szCs w:val="22"/>
                <w:lang w:bidi="ar"/>
                <w14:textFill>
                  <w14:solidFill>
                    <w14:schemeClr w14:val="tx1"/>
                  </w14:solidFill>
                </w14:textFill>
              </w:rPr>
              <w:t>2016年优先</w:t>
            </w:r>
          </w:p>
          <w:p w14:paraId="03B5F775">
            <w:pPr>
              <w:widowControl/>
              <w:jc w:val="center"/>
              <w:textAlignment w:val="center"/>
              <w:rPr>
                <w:rFonts w:ascii="宋体" w:hAnsi="宋体" w:eastAsia="宋体" w:cs="宋体"/>
                <w:b/>
                <w:color w:val="000000" w:themeColor="text1"/>
                <w:kern w:val="0"/>
                <w:sz w:val="22"/>
                <w:szCs w:val="22"/>
                <w14:textFill>
                  <w14:solidFill>
                    <w14:schemeClr w14:val="tx1"/>
                  </w14:solidFill>
                </w14:textFill>
              </w:rPr>
            </w:pPr>
            <w:r>
              <w:rPr>
                <w:rFonts w:ascii="宋体" w:hAnsi="宋体" w:eastAsia="宋体" w:cs="宋体"/>
                <w:b/>
                <w:color w:val="000000" w:themeColor="text1"/>
                <w:kern w:val="0"/>
                <w:sz w:val="22"/>
                <w:szCs w:val="22"/>
                <w:lang w:bidi="ar"/>
                <w14:textFill>
                  <w14:solidFill>
                    <w14:schemeClr w14:val="tx1"/>
                  </w14:solidFill>
                </w14:textFill>
              </w:rPr>
              <w:t>级别</w:t>
            </w:r>
            <w:r>
              <w:rPr>
                <w:rFonts w:hint="eastAsia" w:ascii="宋体" w:hAnsi="宋体" w:eastAsia="宋体" w:cs="宋体"/>
                <w:b/>
                <w:color w:val="000000" w:themeColor="text1"/>
                <w:kern w:val="0"/>
                <w:sz w:val="22"/>
                <w:szCs w:val="22"/>
                <w:lang w:bidi="ar"/>
                <w14:textFill>
                  <w14:solidFill>
                    <w14:schemeClr w14:val="tx1"/>
                  </w14:solidFill>
                </w14:textFill>
              </w:rPr>
              <w:t>（排名）</w:t>
            </w:r>
          </w:p>
        </w:tc>
        <w:tc>
          <w:tcPr>
            <w:tcW w:w="1588" w:type="dxa"/>
            <w:vAlign w:val="center"/>
          </w:tcPr>
          <w:p w14:paraId="1A75A793">
            <w:pPr>
              <w:widowControl/>
              <w:jc w:val="center"/>
              <w:textAlignment w:val="center"/>
              <w:rPr>
                <w:rFonts w:ascii="宋体" w:hAnsi="宋体" w:eastAsia="宋体" w:cs="宋体"/>
                <w:b/>
                <w:color w:val="000000" w:themeColor="text1"/>
                <w:kern w:val="0"/>
                <w:sz w:val="22"/>
                <w:szCs w:val="22"/>
                <w:lang w:bidi="ar"/>
                <w14:textFill>
                  <w14:solidFill>
                    <w14:schemeClr w14:val="tx1"/>
                  </w14:solidFill>
                </w14:textFill>
              </w:rPr>
            </w:pPr>
            <w:r>
              <w:rPr>
                <w:rFonts w:hint="eastAsia" w:ascii="宋体" w:hAnsi="宋体" w:eastAsia="宋体" w:cs="宋体"/>
                <w:b/>
                <w:color w:val="000000" w:themeColor="text1"/>
                <w:kern w:val="0"/>
                <w:sz w:val="22"/>
                <w:szCs w:val="22"/>
                <w:lang w:bidi="ar"/>
                <w14:textFill>
                  <w14:solidFill>
                    <w14:schemeClr w14:val="tx1"/>
                  </w14:solidFill>
                </w14:textFill>
              </w:rPr>
              <w:t>2019年优先</w:t>
            </w:r>
          </w:p>
          <w:p w14:paraId="734F7BCB">
            <w:pPr>
              <w:widowControl/>
              <w:jc w:val="center"/>
              <w:textAlignment w:val="center"/>
              <w:rPr>
                <w:rFonts w:ascii="宋体" w:hAnsi="宋体" w:eastAsia="宋体" w:cs="宋体"/>
                <w:b/>
                <w:color w:val="000000" w:themeColor="text1"/>
                <w:kern w:val="0"/>
                <w:sz w:val="22"/>
                <w:szCs w:val="22"/>
                <w14:textFill>
                  <w14:solidFill>
                    <w14:schemeClr w14:val="tx1"/>
                  </w14:solidFill>
                </w14:textFill>
              </w:rPr>
            </w:pPr>
            <w:r>
              <w:rPr>
                <w:rFonts w:hint="eastAsia" w:ascii="宋体" w:hAnsi="宋体" w:eastAsia="宋体" w:cs="宋体"/>
                <w:b/>
                <w:color w:val="000000" w:themeColor="text1"/>
                <w:kern w:val="0"/>
                <w:sz w:val="22"/>
                <w:szCs w:val="22"/>
                <w:lang w:bidi="ar"/>
                <w14:textFill>
                  <w14:solidFill>
                    <w14:schemeClr w14:val="tx1"/>
                  </w14:solidFill>
                </w14:textFill>
              </w:rPr>
              <w:t>级别（排名）</w:t>
            </w:r>
          </w:p>
        </w:tc>
        <w:tc>
          <w:tcPr>
            <w:tcW w:w="2098" w:type="dxa"/>
            <w:vAlign w:val="center"/>
          </w:tcPr>
          <w:p w14:paraId="660E5DE5">
            <w:pPr>
              <w:widowControl/>
              <w:jc w:val="center"/>
              <w:textAlignment w:val="center"/>
              <w:rPr>
                <w:rFonts w:ascii="宋体" w:hAnsi="宋体" w:eastAsia="宋体" w:cs="宋体"/>
                <w:b/>
                <w:color w:val="000000" w:themeColor="text1"/>
                <w:kern w:val="0"/>
                <w:sz w:val="22"/>
                <w:szCs w:val="22"/>
                <w14:textFill>
                  <w14:solidFill>
                    <w14:schemeClr w14:val="tx1"/>
                  </w14:solidFill>
                </w14:textFill>
              </w:rPr>
            </w:pPr>
            <w:r>
              <w:rPr>
                <w:rFonts w:hint="eastAsia" w:ascii="宋体" w:hAnsi="宋体" w:eastAsia="宋体" w:cs="宋体"/>
                <w:b/>
                <w:color w:val="000000" w:themeColor="text1"/>
                <w:kern w:val="0"/>
                <w:sz w:val="22"/>
                <w:szCs w:val="22"/>
                <w:lang w:bidi="ar"/>
                <w14:textFill>
                  <w14:solidFill>
                    <w14:schemeClr w14:val="tx1"/>
                  </w14:solidFill>
                </w14:textFill>
              </w:rPr>
              <w:t>以该目标为特征的国家数字战略数量</w:t>
            </w:r>
          </w:p>
        </w:tc>
      </w:tr>
      <w:tr w14:paraId="38B6C146">
        <w:trPr>
          <w:jc w:val="center"/>
        </w:trPr>
        <w:tc>
          <w:tcPr>
            <w:tcW w:w="2518" w:type="dxa"/>
            <w:vAlign w:val="center"/>
          </w:tcPr>
          <w:p w14:paraId="1CB4D26C">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加强数字政府建设</w:t>
            </w:r>
          </w:p>
        </w:tc>
        <w:tc>
          <w:tcPr>
            <w:tcW w:w="1559" w:type="dxa"/>
            <w:vAlign w:val="center"/>
          </w:tcPr>
          <w:p w14:paraId="3E42B9F7">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w:t>
            </w:r>
          </w:p>
        </w:tc>
        <w:tc>
          <w:tcPr>
            <w:tcW w:w="1588" w:type="dxa"/>
            <w:vAlign w:val="center"/>
          </w:tcPr>
          <w:p w14:paraId="45AEC90F">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w:t>
            </w:r>
          </w:p>
        </w:tc>
        <w:tc>
          <w:tcPr>
            <w:tcW w:w="2098" w:type="dxa"/>
            <w:vAlign w:val="center"/>
          </w:tcPr>
          <w:p w14:paraId="405B4C76">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26</w:t>
            </w:r>
          </w:p>
        </w:tc>
      </w:tr>
      <w:tr w14:paraId="639987F3">
        <w:trPr>
          <w:jc w:val="center"/>
        </w:trPr>
        <w:tc>
          <w:tcPr>
            <w:tcW w:w="2518" w:type="dxa"/>
            <w:vAlign w:val="center"/>
          </w:tcPr>
          <w:p w14:paraId="0A913746">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发展电信基础设施</w:t>
            </w:r>
          </w:p>
        </w:tc>
        <w:tc>
          <w:tcPr>
            <w:tcW w:w="1559" w:type="dxa"/>
            <w:vAlign w:val="center"/>
          </w:tcPr>
          <w:p w14:paraId="6BCB45E3">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w:t>
            </w:r>
          </w:p>
        </w:tc>
        <w:tc>
          <w:tcPr>
            <w:tcW w:w="1588" w:type="dxa"/>
            <w:vAlign w:val="center"/>
          </w:tcPr>
          <w:p w14:paraId="3AA9BA4A">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w:t>
            </w:r>
          </w:p>
        </w:tc>
        <w:tc>
          <w:tcPr>
            <w:tcW w:w="2098" w:type="dxa"/>
            <w:vAlign w:val="center"/>
          </w:tcPr>
          <w:p w14:paraId="604CF7B6">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26</w:t>
            </w:r>
          </w:p>
        </w:tc>
      </w:tr>
      <w:tr w14:paraId="0FC9988F">
        <w:trPr>
          <w:jc w:val="center"/>
        </w:trPr>
        <w:tc>
          <w:tcPr>
            <w:tcW w:w="2518" w:type="dxa"/>
            <w:vAlign w:val="center"/>
          </w:tcPr>
          <w:p w14:paraId="156833C9">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促进数字技术创新</w:t>
            </w:r>
          </w:p>
        </w:tc>
        <w:tc>
          <w:tcPr>
            <w:tcW w:w="1559" w:type="dxa"/>
            <w:vAlign w:val="center"/>
          </w:tcPr>
          <w:p w14:paraId="57E3171A">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w:t>
            </w:r>
          </w:p>
        </w:tc>
        <w:tc>
          <w:tcPr>
            <w:tcW w:w="1588" w:type="dxa"/>
            <w:vAlign w:val="center"/>
          </w:tcPr>
          <w:p w14:paraId="236DDE3C">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w:t>
            </w:r>
          </w:p>
        </w:tc>
        <w:tc>
          <w:tcPr>
            <w:tcW w:w="2098" w:type="dxa"/>
            <w:vAlign w:val="center"/>
          </w:tcPr>
          <w:p w14:paraId="7EA51977">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25</w:t>
            </w:r>
          </w:p>
        </w:tc>
      </w:tr>
      <w:tr w14:paraId="07C5A4B9">
        <w:trPr>
          <w:jc w:val="center"/>
        </w:trPr>
        <w:tc>
          <w:tcPr>
            <w:tcW w:w="2518" w:type="dxa"/>
            <w:vAlign w:val="center"/>
          </w:tcPr>
          <w:p w14:paraId="1B2E74B5">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培养数字化转型的技能</w:t>
            </w:r>
          </w:p>
        </w:tc>
        <w:tc>
          <w:tcPr>
            <w:tcW w:w="1559" w:type="dxa"/>
            <w:vAlign w:val="center"/>
          </w:tcPr>
          <w:p w14:paraId="18B15C69">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w:t>
            </w:r>
          </w:p>
        </w:tc>
        <w:tc>
          <w:tcPr>
            <w:tcW w:w="1588" w:type="dxa"/>
            <w:vAlign w:val="center"/>
          </w:tcPr>
          <w:p w14:paraId="11FB8AA3">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4</w:t>
            </w:r>
          </w:p>
        </w:tc>
        <w:tc>
          <w:tcPr>
            <w:tcW w:w="2098" w:type="dxa"/>
            <w:vAlign w:val="center"/>
          </w:tcPr>
          <w:p w14:paraId="466C78B9">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25</w:t>
            </w:r>
          </w:p>
        </w:tc>
      </w:tr>
      <w:tr w14:paraId="4E68072D">
        <w:trPr>
          <w:jc w:val="center"/>
        </w:trPr>
        <w:tc>
          <w:tcPr>
            <w:tcW w:w="2518" w:type="dxa"/>
            <w:vAlign w:val="center"/>
          </w:tcPr>
          <w:p w14:paraId="379AEBC4">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提高数字安全性</w:t>
            </w:r>
          </w:p>
        </w:tc>
        <w:tc>
          <w:tcPr>
            <w:tcW w:w="1559" w:type="dxa"/>
            <w:vAlign w:val="center"/>
          </w:tcPr>
          <w:p w14:paraId="19FD6889">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4</w:t>
            </w:r>
          </w:p>
        </w:tc>
        <w:tc>
          <w:tcPr>
            <w:tcW w:w="1588" w:type="dxa"/>
            <w:vAlign w:val="center"/>
          </w:tcPr>
          <w:p w14:paraId="75649962">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5</w:t>
            </w:r>
          </w:p>
        </w:tc>
        <w:tc>
          <w:tcPr>
            <w:tcW w:w="2098" w:type="dxa"/>
            <w:vAlign w:val="center"/>
          </w:tcPr>
          <w:p w14:paraId="491BA4E5">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21</w:t>
            </w:r>
          </w:p>
        </w:tc>
      </w:tr>
      <w:tr w14:paraId="4AD9231E">
        <w:trPr>
          <w:jc w:val="center"/>
        </w:trPr>
        <w:tc>
          <w:tcPr>
            <w:tcW w:w="2518" w:type="dxa"/>
            <w:vAlign w:val="center"/>
          </w:tcPr>
          <w:p w14:paraId="5DD87CF0">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增强数据治理能力</w:t>
            </w:r>
          </w:p>
        </w:tc>
        <w:tc>
          <w:tcPr>
            <w:tcW w:w="1559" w:type="dxa"/>
            <w:vAlign w:val="center"/>
          </w:tcPr>
          <w:p w14:paraId="19FD8C5E">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5</w:t>
            </w:r>
          </w:p>
        </w:tc>
        <w:tc>
          <w:tcPr>
            <w:tcW w:w="1588" w:type="dxa"/>
            <w:vAlign w:val="center"/>
          </w:tcPr>
          <w:p w14:paraId="6AD94996">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6</w:t>
            </w:r>
          </w:p>
        </w:tc>
        <w:tc>
          <w:tcPr>
            <w:tcW w:w="2098" w:type="dxa"/>
            <w:vAlign w:val="center"/>
          </w:tcPr>
          <w:p w14:paraId="54A22759">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10</w:t>
            </w:r>
          </w:p>
        </w:tc>
      </w:tr>
      <w:tr w14:paraId="1A17E2E4">
        <w:trPr>
          <w:jc w:val="center"/>
        </w:trPr>
        <w:tc>
          <w:tcPr>
            <w:tcW w:w="2518" w:type="dxa"/>
            <w:vAlign w:val="center"/>
          </w:tcPr>
          <w:p w14:paraId="4126002D">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促进企业数字化吸收</w:t>
            </w:r>
          </w:p>
        </w:tc>
        <w:tc>
          <w:tcPr>
            <w:tcW w:w="1559" w:type="dxa"/>
            <w:vAlign w:val="center"/>
          </w:tcPr>
          <w:p w14:paraId="6642755D">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6</w:t>
            </w:r>
          </w:p>
        </w:tc>
        <w:tc>
          <w:tcPr>
            <w:tcW w:w="1588" w:type="dxa"/>
            <w:vAlign w:val="center"/>
          </w:tcPr>
          <w:p w14:paraId="5306B800">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7</w:t>
            </w:r>
          </w:p>
        </w:tc>
        <w:tc>
          <w:tcPr>
            <w:tcW w:w="2098" w:type="dxa"/>
            <w:vAlign w:val="center"/>
          </w:tcPr>
          <w:p w14:paraId="7A9635B2">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19</w:t>
            </w:r>
          </w:p>
        </w:tc>
      </w:tr>
      <w:tr w14:paraId="3C93DC64">
        <w:trPr>
          <w:jc w:val="center"/>
        </w:trPr>
        <w:tc>
          <w:tcPr>
            <w:tcW w:w="2518" w:type="dxa"/>
            <w:vAlign w:val="center"/>
          </w:tcPr>
          <w:p w14:paraId="620A47DE">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促进个人数字化吸收</w:t>
            </w:r>
          </w:p>
        </w:tc>
        <w:tc>
          <w:tcPr>
            <w:tcW w:w="1559" w:type="dxa"/>
            <w:vAlign w:val="center"/>
          </w:tcPr>
          <w:p w14:paraId="617E8B3E">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w:t>
            </w:r>
          </w:p>
        </w:tc>
        <w:tc>
          <w:tcPr>
            <w:tcW w:w="1588" w:type="dxa"/>
            <w:vAlign w:val="center"/>
          </w:tcPr>
          <w:p w14:paraId="59EFC8B4">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8</w:t>
            </w:r>
          </w:p>
        </w:tc>
        <w:tc>
          <w:tcPr>
            <w:tcW w:w="2098" w:type="dxa"/>
            <w:vAlign w:val="center"/>
          </w:tcPr>
          <w:p w14:paraId="1C00F3C3">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22</w:t>
            </w:r>
          </w:p>
        </w:tc>
      </w:tr>
      <w:tr w14:paraId="368B1C45">
        <w:trPr>
          <w:jc w:val="center"/>
        </w:trPr>
        <w:tc>
          <w:tcPr>
            <w:tcW w:w="2518" w:type="dxa"/>
            <w:vAlign w:val="center"/>
          </w:tcPr>
          <w:p w14:paraId="7550EB27">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加强在线消费者保护</w:t>
            </w:r>
          </w:p>
        </w:tc>
        <w:tc>
          <w:tcPr>
            <w:tcW w:w="1559" w:type="dxa"/>
            <w:vAlign w:val="center"/>
          </w:tcPr>
          <w:p w14:paraId="34507348">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8</w:t>
            </w:r>
          </w:p>
        </w:tc>
        <w:tc>
          <w:tcPr>
            <w:tcW w:w="1588" w:type="dxa"/>
            <w:vAlign w:val="center"/>
          </w:tcPr>
          <w:p w14:paraId="75469CC1">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9</w:t>
            </w:r>
          </w:p>
        </w:tc>
        <w:tc>
          <w:tcPr>
            <w:tcW w:w="2098" w:type="dxa"/>
            <w:vAlign w:val="center"/>
          </w:tcPr>
          <w:p w14:paraId="420CD93A">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w:t>
            </w:r>
          </w:p>
        </w:tc>
      </w:tr>
      <w:tr w14:paraId="0368B819">
        <w:trPr>
          <w:jc w:val="center"/>
        </w:trPr>
        <w:tc>
          <w:tcPr>
            <w:tcW w:w="2518" w:type="dxa"/>
            <w:vAlign w:val="center"/>
          </w:tcPr>
          <w:p w14:paraId="0E15614E">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加强互联网治理</w:t>
            </w:r>
          </w:p>
        </w:tc>
        <w:tc>
          <w:tcPr>
            <w:tcW w:w="1559" w:type="dxa"/>
            <w:vAlign w:val="center"/>
          </w:tcPr>
          <w:p w14:paraId="26FFFBE1">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7</w:t>
            </w:r>
          </w:p>
        </w:tc>
        <w:tc>
          <w:tcPr>
            <w:tcW w:w="1588" w:type="dxa"/>
            <w:vAlign w:val="center"/>
          </w:tcPr>
          <w:p w14:paraId="0ACC0394">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10</w:t>
            </w:r>
          </w:p>
        </w:tc>
        <w:tc>
          <w:tcPr>
            <w:tcW w:w="2098" w:type="dxa"/>
            <w:vAlign w:val="center"/>
          </w:tcPr>
          <w:p w14:paraId="50679E3A">
            <w:pPr>
              <w:widowControl/>
              <w:jc w:val="center"/>
              <w:textAlignment w:val="center"/>
              <w:rPr>
                <w:rFonts w:ascii="宋体" w:hAnsi="宋体" w:eastAsia="宋体" w:cs="宋体"/>
                <w:color w:val="000000" w:themeColor="text1"/>
                <w:kern w:val="0"/>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w:t>
            </w:r>
          </w:p>
        </w:tc>
      </w:tr>
    </w:tbl>
    <w:p w14:paraId="5B4B2DB1">
      <w:pPr>
        <w:adjustRightInd w:val="0"/>
        <w:snapToGrid w:val="0"/>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注：该排名基于来自35个国家的2016年和31个国家的2019年自我报告的优先事项。2016年的问卷包括八个目标，重要的是没有包括政策优先事项“促进数字技术创新”和“促进个人数字吸收”。</w:t>
      </w:r>
    </w:p>
    <w:p w14:paraId="59B65484">
      <w:pPr>
        <w:adjustRightInd w:val="0"/>
        <w:snapToGrid w:val="0"/>
        <w:rPr>
          <w:rStyle w:val="19"/>
          <w:rFonts w:ascii="Times New Roman" w:hAnsi="Times New Roman" w:eastAsia="宋体" w:cs="Times New Roman"/>
          <w:color w:val="000000" w:themeColor="text1"/>
          <w:u w:val="none"/>
          <w14:textFill>
            <w14:solidFill>
              <w14:schemeClr w14:val="tx1"/>
            </w14:solidFill>
          </w14:textFill>
        </w:rPr>
      </w:pPr>
      <w:r>
        <w:rPr>
          <w:rFonts w:hint="eastAsia" w:ascii="宋体" w:hAnsi="宋体" w:eastAsia="宋体"/>
          <w:color w:val="000000" w:themeColor="text1"/>
          <w14:textFill>
            <w14:solidFill>
              <w14:schemeClr w14:val="tx1"/>
            </w14:solidFill>
          </w14:textFill>
        </w:rPr>
        <w:t>资料来源：</w:t>
      </w:r>
      <w:r>
        <w:rPr>
          <w:rFonts w:ascii="Times New Roman" w:hAnsi="Times New Roman" w:eastAsia="宋体" w:cs="Times New Roman"/>
          <w:color w:val="000000" w:themeColor="text1"/>
          <w14:textFill>
            <w14:solidFill>
              <w14:schemeClr w14:val="tx1"/>
            </w14:solidFill>
          </w14:textFill>
        </w:rPr>
        <w:t>经合组织 2020 年数字经济展望（OECD Digital Economy Outlook 2020）</w:t>
      </w:r>
      <w:r>
        <w:fldChar w:fldCharType="begin"/>
      </w:r>
      <w:r>
        <w:instrText xml:space="preserve"> HYPERLINK "https://read.oecd-ilibrary.org/science-and-technology/oecd-digital-economy-outlook-2020_bb167041-en" \l "page38" </w:instrText>
      </w:r>
      <w:r>
        <w:fldChar w:fldCharType="separate"/>
      </w:r>
      <w:r>
        <w:rPr>
          <w:rStyle w:val="19"/>
          <w:rFonts w:hint="eastAsia" w:ascii="Times New Roman" w:hAnsi="Times New Roman" w:eastAsia="宋体" w:cs="Times New Roman"/>
          <w:color w:val="000000" w:themeColor="text1"/>
          <w14:textFill>
            <w14:solidFill>
              <w14:schemeClr w14:val="tx1"/>
            </w14:solidFill>
          </w14:textFill>
        </w:rPr>
        <w:t>https://read.oecd-ilibrary.org/science-and-technology/oecd-digital-economy-outlook-2020_bb167041-en#page38</w:t>
      </w:r>
      <w:r>
        <w:rPr>
          <w:rStyle w:val="19"/>
          <w:rFonts w:hint="eastAsia" w:ascii="Times New Roman" w:hAnsi="Times New Roman" w:eastAsia="宋体" w:cs="Times New Roman"/>
          <w:color w:val="000000" w:themeColor="text1"/>
          <w14:textFill>
            <w14:solidFill>
              <w14:schemeClr w14:val="tx1"/>
            </w14:solidFill>
          </w14:textFill>
        </w:rPr>
        <w:fldChar w:fldCharType="end"/>
      </w:r>
    </w:p>
    <w:p w14:paraId="36D9EAB1">
      <w:pPr>
        <w:spacing w:before="312" w:beforeLines="100" w:after="312" w:afterLines="100" w:line="400" w:lineRule="exact"/>
        <w:jc w:val="center"/>
        <w:rPr>
          <w:rFonts w:ascii="黑体" w:hAnsi="黑体" w:eastAsia="黑体" w:cs="黑体"/>
          <w:b/>
          <w:bCs/>
          <w:color w:val="000000" w:themeColor="text1"/>
          <w:sz w:val="24"/>
          <w:szCs w:val="24"/>
          <w14:textFill>
            <w14:solidFill>
              <w14:schemeClr w14:val="tx1"/>
            </w14:solidFill>
          </w14:textFill>
        </w:rPr>
      </w:pPr>
      <w:r>
        <w:rPr>
          <w:rFonts w:hint="eastAsia" w:ascii="黑体" w:hAnsi="黑体" w:eastAsia="黑体" w:cs="黑体"/>
          <w:b/>
          <w:bCs/>
          <w:color w:val="000000" w:themeColor="text1"/>
          <w:sz w:val="24"/>
          <w:szCs w:val="24"/>
          <w14:textFill>
            <w14:solidFill>
              <w14:schemeClr w14:val="tx1"/>
            </w14:solidFill>
          </w14:textFill>
        </w:rPr>
        <w:t>二</w:t>
      </w:r>
      <w:r>
        <w:rPr>
          <w:rFonts w:ascii="黑体" w:hAnsi="黑体" w:eastAsia="黑体" w:cs="黑体"/>
          <w:b/>
          <w:bCs/>
          <w:color w:val="000000" w:themeColor="text1"/>
          <w:sz w:val="24"/>
          <w:szCs w:val="24"/>
          <w14:textFill>
            <w14:solidFill>
              <w14:schemeClr w14:val="tx1"/>
            </w14:solidFill>
          </w14:textFill>
        </w:rPr>
        <w:t>、</w:t>
      </w:r>
      <w:r>
        <w:rPr>
          <w:rFonts w:hint="eastAsia" w:ascii="黑体" w:hAnsi="黑体" w:eastAsia="黑体" w:cs="黑体"/>
          <w:b/>
          <w:bCs/>
          <w:color w:val="000000" w:themeColor="text1"/>
          <w:sz w:val="24"/>
          <w:szCs w:val="24"/>
          <w14:textFill>
            <w14:solidFill>
              <w14:schemeClr w14:val="tx1"/>
            </w14:solidFill>
          </w14:textFill>
        </w:rPr>
        <w:t>全球经济</w:t>
      </w:r>
      <w:r>
        <w:rPr>
          <w:rFonts w:ascii="黑体" w:hAnsi="黑体" w:eastAsia="黑体" w:cs="黑体"/>
          <w:b/>
          <w:bCs/>
          <w:color w:val="000000" w:themeColor="text1"/>
          <w:sz w:val="24"/>
          <w:szCs w:val="24"/>
          <w14:textFill>
            <w14:solidFill>
              <w14:schemeClr w14:val="tx1"/>
            </w14:solidFill>
          </w14:textFill>
        </w:rPr>
        <w:t>的分工</w:t>
      </w:r>
      <w:r>
        <w:rPr>
          <w:rFonts w:hint="eastAsia" w:ascii="黑体" w:hAnsi="黑体" w:eastAsia="黑体" w:cs="黑体"/>
          <w:b/>
          <w:bCs/>
          <w:color w:val="000000" w:themeColor="text1"/>
          <w:sz w:val="24"/>
          <w:szCs w:val="24"/>
          <w14:textFill>
            <w14:solidFill>
              <w14:schemeClr w14:val="tx1"/>
            </w14:solidFill>
          </w14:textFill>
        </w:rPr>
        <w:t>实质</w:t>
      </w:r>
    </w:p>
    <w:p w14:paraId="0F2D0421">
      <w:pPr>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2</w:t>
      </w:r>
      <w:r>
        <w:rPr>
          <w:rFonts w:ascii="宋体" w:hAnsi="宋体" w:eastAsia="宋体" w:cs="AdobeHeitiStd-Regular"/>
          <w:color w:val="000000" w:themeColor="text1"/>
          <w:kern w:val="0"/>
          <w:sz w:val="24"/>
          <w:szCs w:val="24"/>
          <w14:textFill>
            <w14:solidFill>
              <w14:schemeClr w14:val="tx1"/>
            </w14:solidFill>
          </w14:textFill>
        </w:rPr>
        <w:t>0</w:t>
      </w:r>
      <w:r>
        <w:rPr>
          <w:rFonts w:hint="eastAsia" w:ascii="宋体" w:hAnsi="宋体" w:eastAsia="宋体" w:cs="AdobeHeitiStd-Regular"/>
          <w:color w:val="000000" w:themeColor="text1"/>
          <w:kern w:val="0"/>
          <w:sz w:val="24"/>
          <w:szCs w:val="24"/>
          <w14:textFill>
            <w14:solidFill>
              <w14:schemeClr w14:val="tx1"/>
            </w14:solidFill>
          </w14:textFill>
        </w:rPr>
        <w:t>世纪9</w:t>
      </w:r>
      <w:r>
        <w:rPr>
          <w:rFonts w:ascii="宋体" w:hAnsi="宋体" w:eastAsia="宋体" w:cs="AdobeHeitiStd-Regular"/>
          <w:color w:val="000000" w:themeColor="text1"/>
          <w:kern w:val="0"/>
          <w:sz w:val="24"/>
          <w:szCs w:val="24"/>
          <w14:textFill>
            <w14:solidFill>
              <w14:schemeClr w14:val="tx1"/>
            </w14:solidFill>
          </w14:textFill>
        </w:rPr>
        <w:t>0</w:t>
      </w:r>
      <w:r>
        <w:rPr>
          <w:rFonts w:hint="eastAsia" w:ascii="宋体" w:hAnsi="宋体" w:eastAsia="宋体" w:cs="AdobeHeitiStd-Regular"/>
          <w:color w:val="000000" w:themeColor="text1"/>
          <w:kern w:val="0"/>
          <w:sz w:val="24"/>
          <w:szCs w:val="24"/>
          <w14:textFill>
            <w14:solidFill>
              <w14:schemeClr w14:val="tx1"/>
            </w14:solidFill>
          </w14:textFill>
        </w:rPr>
        <w:t>年代以来在</w:t>
      </w:r>
      <w:r>
        <w:rPr>
          <w:rFonts w:ascii="宋体" w:hAnsi="宋体" w:eastAsia="宋体" w:cs="AdobeHeitiStd-Regular"/>
          <w:color w:val="000000" w:themeColor="text1"/>
          <w:kern w:val="0"/>
          <w:sz w:val="24"/>
          <w:szCs w:val="24"/>
          <w14:textFill>
            <w14:solidFill>
              <w14:schemeClr w14:val="tx1"/>
            </w14:solidFill>
          </w14:textFill>
        </w:rPr>
        <w:t>信息和通信技术革命</w:t>
      </w:r>
      <w:r>
        <w:rPr>
          <w:rFonts w:hint="eastAsia" w:ascii="宋体" w:hAnsi="宋体" w:eastAsia="宋体" w:cs="AdobeHeitiStd-Regular"/>
          <w:color w:val="000000" w:themeColor="text1"/>
          <w:kern w:val="0"/>
          <w:sz w:val="24"/>
          <w:szCs w:val="24"/>
          <w14:textFill>
            <w14:solidFill>
              <w14:schemeClr w14:val="tx1"/>
            </w14:solidFill>
          </w14:textFill>
        </w:rPr>
        <w:t>为</w:t>
      </w:r>
      <w:r>
        <w:rPr>
          <w:rFonts w:ascii="宋体" w:hAnsi="宋体" w:eastAsia="宋体" w:cs="AdobeHeitiStd-Regular"/>
          <w:color w:val="000000" w:themeColor="text1"/>
          <w:kern w:val="0"/>
          <w:sz w:val="24"/>
          <w:szCs w:val="24"/>
          <w14:textFill>
            <w14:solidFill>
              <w14:schemeClr w14:val="tx1"/>
            </w14:solidFill>
          </w14:textFill>
        </w:rPr>
        <w:t>标志</w:t>
      </w:r>
      <w:r>
        <w:rPr>
          <w:rFonts w:hint="eastAsia" w:ascii="宋体" w:hAnsi="宋体" w:eastAsia="宋体" w:cs="AdobeHeitiStd-Regular"/>
          <w:color w:val="000000" w:themeColor="text1"/>
          <w:kern w:val="0"/>
          <w:sz w:val="24"/>
          <w:szCs w:val="24"/>
          <w14:textFill>
            <w14:solidFill>
              <w14:schemeClr w14:val="tx1"/>
            </w14:solidFill>
          </w14:textFill>
        </w:rPr>
        <w:t>的</w:t>
      </w:r>
      <w:r>
        <w:rPr>
          <w:rFonts w:ascii="宋体" w:hAnsi="宋体" w:eastAsia="宋体" w:cs="AdobeHeitiStd-Regular"/>
          <w:color w:val="000000" w:themeColor="text1"/>
          <w:kern w:val="0"/>
          <w:sz w:val="24"/>
          <w:szCs w:val="24"/>
          <w14:textFill>
            <w14:solidFill>
              <w14:schemeClr w14:val="tx1"/>
            </w14:solidFill>
          </w14:textFill>
        </w:rPr>
        <w:t>第三次工业革命</w:t>
      </w:r>
      <w:r>
        <w:rPr>
          <w:rFonts w:hint="eastAsia" w:ascii="宋体" w:hAnsi="宋体" w:eastAsia="宋体" w:cs="AdobeHeitiStd-Regular"/>
          <w:color w:val="000000" w:themeColor="text1"/>
          <w:kern w:val="0"/>
          <w:sz w:val="24"/>
          <w:szCs w:val="24"/>
          <w14:textFill>
            <w14:solidFill>
              <w14:schemeClr w14:val="tx1"/>
            </w14:solidFill>
          </w14:textFill>
        </w:rPr>
        <w:t>推动</w:t>
      </w:r>
      <w:r>
        <w:rPr>
          <w:rFonts w:ascii="宋体" w:hAnsi="宋体" w:eastAsia="宋体" w:cs="AdobeHeitiStd-Regular"/>
          <w:color w:val="000000" w:themeColor="text1"/>
          <w:kern w:val="0"/>
          <w:sz w:val="24"/>
          <w:szCs w:val="24"/>
          <w14:textFill>
            <w14:solidFill>
              <w14:schemeClr w14:val="tx1"/>
            </w14:solidFill>
          </w14:textFill>
        </w:rPr>
        <w:t>下，</w:t>
      </w:r>
      <w:r>
        <w:rPr>
          <w:rFonts w:hint="eastAsia" w:ascii="宋体" w:hAnsi="宋体" w:eastAsia="宋体" w:cs="AdobeHeitiStd-Regular"/>
          <w:color w:val="000000" w:themeColor="text1"/>
          <w:kern w:val="0"/>
          <w:sz w:val="24"/>
          <w:szCs w:val="24"/>
          <w14:textFill>
            <w14:solidFill>
              <w14:schemeClr w14:val="tx1"/>
            </w14:solidFill>
          </w14:textFill>
        </w:rPr>
        <w:t>以往的产业间分工、产业内分工模式逐渐向产品内分工模式不断演化，逐步形成了以美国等发达经济体为主导的全球产业链、全球供应链和全球价值链相互协同耦合的新国际分工体系。在要素禀赋差异的推动下，高收入经济体和中低收入经济体之间非熟练劳动力工资的巨大绝对差异，使得跨境生产共享有利可图。信息和通信技术革命使利用国际生产碎片化的潜在利益成为可能，从而以相对较低的成本实现复杂任务的远程协调。新国际分工体系使得产品价值创造体系的各个环节分散于不同国家和地区</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发达国家与发展中国家以</w:t>
      </w:r>
      <w:r>
        <w:rPr>
          <w:rFonts w:ascii="宋体" w:hAnsi="宋体" w:eastAsia="宋体" w:cs="AdobeHeitiStd-Regular"/>
          <w:color w:val="000000" w:themeColor="text1"/>
          <w:kern w:val="0"/>
          <w:sz w:val="24"/>
          <w:szCs w:val="24"/>
          <w14:textFill>
            <w14:solidFill>
              <w14:schemeClr w14:val="tx1"/>
            </w14:solidFill>
          </w14:textFill>
        </w:rPr>
        <w:t>不同的</w:t>
      </w:r>
      <w:r>
        <w:rPr>
          <w:rFonts w:hint="eastAsia" w:ascii="宋体" w:hAnsi="宋体" w:eastAsia="宋体" w:cs="AdobeHeitiStd-Regular"/>
          <w:color w:val="000000" w:themeColor="text1"/>
          <w:kern w:val="0"/>
          <w:sz w:val="24"/>
          <w:szCs w:val="24"/>
          <w14:textFill>
            <w14:solidFill>
              <w14:schemeClr w14:val="tx1"/>
            </w14:solidFill>
          </w14:textFill>
        </w:rPr>
        <w:t>企业角色和企业网络特征分别嵌入全球价值链的不同价值环节。</w:t>
      </w:r>
    </w:p>
    <w:p w14:paraId="6291365B">
      <w:pPr>
        <w:adjustRightInd w:val="0"/>
        <w:snapToGrid w:val="0"/>
        <w:spacing w:line="360" w:lineRule="auto"/>
        <w:ind w:firstLine="480" w:firstLineChars="200"/>
        <w:rPr>
          <w:rFonts w:ascii="Tahoma" w:hAnsi="Tahoma" w:eastAsia="宋体" w:cs="Tahoma"/>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在以外包为治理基础的全球价值链分工体系下，发达国家以及</w:t>
      </w:r>
      <w:r>
        <w:rPr>
          <w:rFonts w:ascii="宋体" w:hAnsi="宋体" w:eastAsia="宋体" w:cs="AdobeHeitiStd-Regular"/>
          <w:color w:val="000000" w:themeColor="text1"/>
          <w:kern w:val="0"/>
          <w:sz w:val="24"/>
          <w:szCs w:val="24"/>
          <w14:textFill>
            <w14:solidFill>
              <w14:schemeClr w14:val="tx1"/>
            </w14:solidFill>
          </w14:textFill>
        </w:rPr>
        <w:t>发展中国家之间的贸易是一种任务贸易</w:t>
      </w:r>
      <w:r>
        <w:rPr>
          <w:rFonts w:hint="eastAsia" w:ascii="宋体" w:hAnsi="宋体" w:eastAsia="宋体" w:cs="AdobeHeitiStd-Regular"/>
          <w:color w:val="000000" w:themeColor="text1"/>
          <w:kern w:val="0"/>
          <w:sz w:val="24"/>
          <w:szCs w:val="24"/>
          <w14:textFill>
            <w14:solidFill>
              <w14:schemeClr w14:val="tx1"/>
            </w14:solidFill>
          </w14:textFill>
        </w:rPr>
        <w:t>，意味着一个低收入或中等收入的经济体，由于其非熟练劳动力相对丰富，将完成和出口制造过程中涉及的非熟练劳动力密集型任务，通常是最终组装；同时，一个相对资本密集或技术密集的国家将出口中间产品（如资本货物）和服务（如设计和研发）。</w:t>
      </w:r>
      <w:r>
        <w:rPr>
          <w:rFonts w:hint="eastAsia" w:ascii="Tahoma" w:hAnsi="Tahoma" w:eastAsia="宋体" w:cs="Tahoma"/>
          <w:color w:val="000000" w:themeColor="text1"/>
          <w:kern w:val="0"/>
          <w:sz w:val="24"/>
          <w:szCs w:val="24"/>
          <w14:textFill>
            <w14:solidFill>
              <w14:schemeClr w14:val="tx1"/>
            </w14:solidFill>
          </w14:textFill>
        </w:rPr>
        <w:t>分拆任务</w:t>
      </w:r>
      <w:r>
        <w:rPr>
          <w:rFonts w:ascii="Tahoma" w:hAnsi="Tahoma" w:eastAsia="宋体" w:cs="Tahoma"/>
          <w:color w:val="000000" w:themeColor="text1"/>
          <w:kern w:val="0"/>
          <w:sz w:val="24"/>
          <w:szCs w:val="24"/>
          <w14:textFill>
            <w14:solidFill>
              <w14:schemeClr w14:val="tx1"/>
            </w14:solidFill>
          </w14:textFill>
        </w:rPr>
        <w:t>的生产方式使得发展中国家不需要完备的生产体系也</w:t>
      </w:r>
      <w:r>
        <w:rPr>
          <w:rFonts w:hint="eastAsia" w:ascii="Tahoma" w:hAnsi="Tahoma" w:eastAsia="宋体" w:cs="Tahoma"/>
          <w:color w:val="000000" w:themeColor="text1"/>
          <w:kern w:val="0"/>
          <w:sz w:val="24"/>
          <w:szCs w:val="24"/>
          <w14:textFill>
            <w14:solidFill>
              <w14:schemeClr w14:val="tx1"/>
            </w14:solidFill>
          </w14:textFill>
        </w:rPr>
        <w:t>可以进入全球市场，为其快速融入全球生产网格提供了便利。</w:t>
      </w:r>
      <w:r>
        <w:rPr>
          <w:rFonts w:hint="eastAsia" w:ascii="宋体" w:hAnsi="宋体" w:eastAsia="宋体" w:cs="AdobeHeitiStd-Regular"/>
          <w:color w:val="000000" w:themeColor="text1"/>
          <w:kern w:val="0"/>
          <w:sz w:val="24"/>
          <w:szCs w:val="24"/>
          <w14:textFill>
            <w14:solidFill>
              <w14:schemeClr w14:val="tx1"/>
            </w14:solidFill>
          </w14:textFill>
        </w:rPr>
        <w:t>发达</w:t>
      </w:r>
      <w:r>
        <w:rPr>
          <w:rFonts w:ascii="宋体" w:hAnsi="宋体" w:eastAsia="宋体" w:cs="AdobeHeitiStd-Regular"/>
          <w:color w:val="000000" w:themeColor="text1"/>
          <w:kern w:val="0"/>
          <w:sz w:val="24"/>
          <w:szCs w:val="24"/>
          <w14:textFill>
            <w14:solidFill>
              <w14:schemeClr w14:val="tx1"/>
            </w14:solidFill>
          </w14:textFill>
        </w:rPr>
        <w:t>国家以跨国公司为主要载体，</w:t>
      </w:r>
      <w:r>
        <w:rPr>
          <w:rFonts w:hint="eastAsia" w:ascii="宋体" w:hAnsi="宋体" w:eastAsia="宋体" w:cs="AdobeHeitiStd-Regular"/>
          <w:color w:val="000000" w:themeColor="text1"/>
          <w:kern w:val="0"/>
          <w:sz w:val="24"/>
          <w:szCs w:val="24"/>
          <w14:textFill>
            <w14:solidFill>
              <w14:schemeClr w14:val="tx1"/>
            </w14:solidFill>
          </w14:textFill>
        </w:rPr>
        <w:t>以技术变革的强大引擎为动力，在复杂的动态结构中建立具备本土</w:t>
      </w:r>
      <w:r>
        <w:rPr>
          <w:rFonts w:ascii="宋体" w:hAnsi="宋体" w:eastAsia="宋体" w:cs="AdobeHeitiStd-Regular"/>
          <w:color w:val="000000" w:themeColor="text1"/>
          <w:kern w:val="0"/>
          <w:sz w:val="24"/>
          <w:szCs w:val="24"/>
          <w14:textFill>
            <w14:solidFill>
              <w14:schemeClr w14:val="tx1"/>
            </w14:solidFill>
          </w14:textFill>
        </w:rPr>
        <w:t>到</w:t>
      </w:r>
      <w:r>
        <w:rPr>
          <w:rFonts w:hint="eastAsia" w:ascii="宋体" w:hAnsi="宋体" w:eastAsia="宋体" w:cs="AdobeHeitiStd-Regular"/>
          <w:color w:val="000000" w:themeColor="text1"/>
          <w:kern w:val="0"/>
          <w:sz w:val="24"/>
          <w:szCs w:val="24"/>
          <w14:textFill>
            <w14:solidFill>
              <w14:schemeClr w14:val="tx1"/>
            </w14:solidFill>
          </w14:textFill>
        </w:rPr>
        <w:t>全球地方不同空间层级动力系统的经济竞争力，</w:t>
      </w:r>
      <w:r>
        <w:rPr>
          <w:rFonts w:ascii="宋体" w:hAnsi="宋体" w:eastAsia="宋体" w:cs="AdobeHeitiStd-Regular"/>
          <w:color w:val="000000" w:themeColor="text1"/>
          <w:kern w:val="0"/>
          <w:sz w:val="24"/>
          <w:szCs w:val="24"/>
          <w14:textFill>
            <w14:solidFill>
              <w14:schemeClr w14:val="tx1"/>
            </w14:solidFill>
          </w14:textFill>
        </w:rPr>
        <w:t>而将技术含量</w:t>
      </w:r>
      <w:r>
        <w:rPr>
          <w:rFonts w:hint="eastAsia" w:ascii="宋体" w:hAnsi="宋体" w:eastAsia="宋体" w:cs="AdobeHeitiStd-Regular"/>
          <w:color w:val="000000" w:themeColor="text1"/>
          <w:kern w:val="0"/>
          <w:sz w:val="24"/>
          <w:szCs w:val="24"/>
          <w14:textFill>
            <w14:solidFill>
              <w14:schemeClr w14:val="tx1"/>
            </w14:solidFill>
          </w14:textFill>
        </w:rPr>
        <w:t>较低</w:t>
      </w:r>
      <w:r>
        <w:rPr>
          <w:rFonts w:ascii="宋体" w:hAnsi="宋体" w:eastAsia="宋体" w:cs="AdobeHeitiStd-Regular"/>
          <w:color w:val="000000" w:themeColor="text1"/>
          <w:kern w:val="0"/>
          <w:sz w:val="24"/>
          <w:szCs w:val="24"/>
          <w14:textFill>
            <w14:solidFill>
              <w14:schemeClr w14:val="tx1"/>
            </w14:solidFill>
          </w14:textFill>
        </w:rPr>
        <w:t>的环节外包给发</w:t>
      </w:r>
      <w:r>
        <w:rPr>
          <w:rFonts w:hint="eastAsia" w:ascii="宋体" w:hAnsi="宋体" w:eastAsia="宋体" w:cs="AdobeHeitiStd-Regular"/>
          <w:color w:val="000000" w:themeColor="text1"/>
          <w:kern w:val="0"/>
          <w:sz w:val="24"/>
          <w:szCs w:val="24"/>
          <w14:textFill>
            <w14:solidFill>
              <w14:schemeClr w14:val="tx1"/>
            </w14:solidFill>
          </w14:textFill>
        </w:rPr>
        <w:t>展中国家。发达</w:t>
      </w:r>
      <w:r>
        <w:rPr>
          <w:rFonts w:ascii="宋体" w:hAnsi="宋体" w:eastAsia="宋体" w:cs="AdobeHeitiStd-Regular"/>
          <w:color w:val="000000" w:themeColor="text1"/>
          <w:kern w:val="0"/>
          <w:sz w:val="24"/>
          <w:szCs w:val="24"/>
          <w14:textFill>
            <w14:solidFill>
              <w14:schemeClr w14:val="tx1"/>
            </w14:solidFill>
          </w14:textFill>
        </w:rPr>
        <w:t>国家的跨国公司越来越专注于无形资产的开发</w:t>
      </w:r>
      <w:r>
        <w:rPr>
          <w:rFonts w:hint="eastAsia" w:ascii="宋体" w:hAnsi="宋体" w:eastAsia="宋体" w:cs="AdobeHeitiStd-Regular"/>
          <w:color w:val="000000" w:themeColor="text1"/>
          <w:kern w:val="0"/>
          <w:sz w:val="24"/>
          <w:szCs w:val="24"/>
          <w14:textFill>
            <w14:solidFill>
              <w14:schemeClr w14:val="tx1"/>
            </w14:solidFill>
          </w14:textFill>
        </w:rPr>
        <w:t>，包括</w:t>
      </w:r>
      <w:r>
        <w:rPr>
          <w:rFonts w:ascii="宋体" w:hAnsi="宋体" w:eastAsia="宋体" w:cs="AdobeHeitiStd-Regular"/>
          <w:color w:val="000000" w:themeColor="text1"/>
          <w:kern w:val="0"/>
          <w:sz w:val="24"/>
          <w:szCs w:val="24"/>
          <w14:textFill>
            <w14:solidFill>
              <w14:schemeClr w14:val="tx1"/>
            </w14:solidFill>
          </w14:textFill>
        </w:rPr>
        <w:t>研发、产品设计、品牌、营销</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零售与服务，</w:t>
      </w:r>
      <w:r>
        <w:rPr>
          <w:rFonts w:hint="eastAsia" w:ascii="Tahoma" w:hAnsi="Tahoma" w:eastAsia="宋体" w:cs="Tahoma"/>
          <w:color w:val="000000" w:themeColor="text1"/>
          <w:kern w:val="0"/>
          <w:sz w:val="24"/>
          <w:szCs w:val="24"/>
          <w14:textFill>
            <w14:solidFill>
              <w14:schemeClr w14:val="tx1"/>
            </w14:solidFill>
          </w14:textFill>
        </w:rPr>
        <w:t>发达</w:t>
      </w:r>
      <w:r>
        <w:rPr>
          <w:rFonts w:ascii="Tahoma" w:hAnsi="Tahoma" w:eastAsia="宋体" w:cs="Tahoma"/>
          <w:color w:val="000000" w:themeColor="text1"/>
          <w:kern w:val="0"/>
          <w:sz w:val="24"/>
          <w:szCs w:val="24"/>
          <w14:textFill>
            <w14:solidFill>
              <w14:schemeClr w14:val="tx1"/>
            </w14:solidFill>
          </w14:textFill>
        </w:rPr>
        <w:t>国家的跨国公司由于</w:t>
      </w:r>
      <w:r>
        <w:rPr>
          <w:rFonts w:hint="eastAsia" w:ascii="Tahoma" w:hAnsi="Tahoma" w:eastAsia="宋体" w:cs="Tahoma"/>
          <w:color w:val="000000" w:themeColor="text1"/>
          <w:kern w:val="0"/>
          <w:sz w:val="24"/>
          <w:szCs w:val="24"/>
          <w14:textFill>
            <w14:solidFill>
              <w14:schemeClr w14:val="tx1"/>
            </w14:solidFill>
          </w14:textFill>
        </w:rPr>
        <w:t>拥有</w:t>
      </w:r>
      <w:r>
        <w:rPr>
          <w:rFonts w:ascii="Tahoma" w:hAnsi="Tahoma" w:eastAsia="宋体" w:cs="Tahoma"/>
          <w:color w:val="000000" w:themeColor="text1"/>
          <w:kern w:val="0"/>
          <w:sz w:val="24"/>
          <w:szCs w:val="24"/>
          <w14:textFill>
            <w14:solidFill>
              <w14:schemeClr w14:val="tx1"/>
            </w14:solidFill>
          </w14:textFill>
        </w:rPr>
        <w:t>制造产品的知识产权或设计权</w:t>
      </w:r>
      <w:r>
        <w:rPr>
          <w:rFonts w:hint="eastAsia" w:ascii="Tahoma" w:hAnsi="Tahoma" w:eastAsia="宋体" w:cs="Tahoma"/>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通过垄断无形资产，</w:t>
      </w:r>
      <w:r>
        <w:rPr>
          <w:rFonts w:hint="eastAsia" w:ascii="Tahoma" w:hAnsi="Tahoma" w:eastAsia="宋体" w:cs="Tahoma"/>
          <w:color w:val="000000" w:themeColor="text1"/>
          <w:kern w:val="0"/>
          <w:sz w:val="24"/>
          <w:szCs w:val="24"/>
          <w14:textFill>
            <w14:solidFill>
              <w14:schemeClr w14:val="tx1"/>
            </w14:solidFill>
          </w14:textFill>
        </w:rPr>
        <w:t>成为</w:t>
      </w:r>
      <w:r>
        <w:rPr>
          <w:rFonts w:ascii="Tahoma" w:hAnsi="Tahoma" w:eastAsia="宋体" w:cs="Tahoma"/>
          <w:color w:val="000000" w:themeColor="text1"/>
          <w:kern w:val="0"/>
          <w:sz w:val="24"/>
          <w:szCs w:val="24"/>
          <w14:textFill>
            <w14:solidFill>
              <w14:schemeClr w14:val="tx1"/>
            </w14:solidFill>
          </w14:textFill>
        </w:rPr>
        <w:t>无工厂制造商。典型的无工厂制造商包括全球最大的消费电子产品制造商苹果</w:t>
      </w:r>
      <w:r>
        <w:rPr>
          <w:rFonts w:hint="eastAsia" w:ascii="Tahoma" w:hAnsi="Tahoma" w:eastAsia="宋体" w:cs="Tahoma"/>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世界第一运动鞋制造商耐克</w:t>
      </w:r>
      <w:r>
        <w:rPr>
          <w:rFonts w:hint="eastAsia" w:ascii="Tahoma" w:hAnsi="Tahoma" w:eastAsia="宋体" w:cs="Tahoma"/>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无晶圆厂半导体制造商先进微器件（</w:t>
      </w:r>
      <w:r>
        <w:rPr>
          <w:rFonts w:ascii="Times New Roman" w:hAnsi="Times New Roman" w:eastAsia="宋体" w:cs="Times New Roman"/>
          <w:color w:val="000000" w:themeColor="text1"/>
          <w:kern w:val="0"/>
          <w:sz w:val="24"/>
          <w:szCs w:val="24"/>
          <w14:textFill>
            <w14:solidFill>
              <w14:schemeClr w14:val="tx1"/>
            </w14:solidFill>
          </w14:textFill>
        </w:rPr>
        <w:t>AMD</w:t>
      </w:r>
      <w:r>
        <w:rPr>
          <w:rFonts w:ascii="Tahoma" w:hAnsi="Tahoma" w:eastAsia="宋体" w:cs="Tahoma"/>
          <w:color w:val="000000" w:themeColor="text1"/>
          <w:kern w:val="0"/>
          <w:sz w:val="24"/>
          <w:szCs w:val="24"/>
          <w14:textFill>
            <w14:solidFill>
              <w14:schemeClr w14:val="tx1"/>
            </w14:solidFill>
          </w14:textFill>
        </w:rPr>
        <w:t>）</w:t>
      </w:r>
      <w:r>
        <w:rPr>
          <w:rFonts w:hint="eastAsia" w:ascii="Tahoma" w:hAnsi="Tahoma" w:eastAsia="宋体" w:cs="Tahoma"/>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日本最大的时装生产商迅销公司</w:t>
      </w:r>
      <w:r>
        <w:rPr>
          <w:rFonts w:hint="eastAsia" w:ascii="Tahoma" w:hAnsi="Tahoma" w:eastAsia="宋体" w:cs="Tahoma"/>
          <w:color w:val="000000" w:themeColor="text1"/>
          <w:kern w:val="0"/>
          <w:sz w:val="24"/>
          <w:szCs w:val="24"/>
          <w14:textFill>
            <w14:solidFill>
              <w14:schemeClr w14:val="tx1"/>
            </w14:solidFill>
          </w14:textFill>
        </w:rPr>
        <w:t>等诸多</w:t>
      </w:r>
      <w:r>
        <w:rPr>
          <w:rFonts w:ascii="Tahoma" w:hAnsi="Tahoma" w:eastAsia="宋体" w:cs="Tahoma"/>
          <w:color w:val="000000" w:themeColor="text1"/>
          <w:kern w:val="0"/>
          <w:sz w:val="24"/>
          <w:szCs w:val="24"/>
          <w14:textFill>
            <w14:solidFill>
              <w14:schemeClr w14:val="tx1"/>
            </w14:solidFill>
          </w14:textFill>
        </w:rPr>
        <w:t>生产外包</w:t>
      </w:r>
      <w:r>
        <w:rPr>
          <w:rFonts w:hint="eastAsia" w:ascii="Tahoma" w:hAnsi="Tahoma" w:eastAsia="宋体" w:cs="Tahoma"/>
          <w:color w:val="000000" w:themeColor="text1"/>
          <w:kern w:val="0"/>
          <w:sz w:val="24"/>
          <w:szCs w:val="24"/>
          <w14:textFill>
            <w14:solidFill>
              <w14:schemeClr w14:val="tx1"/>
            </w14:solidFill>
          </w14:textFill>
        </w:rPr>
        <w:t>企业。</w:t>
      </w:r>
    </w:p>
    <w:p w14:paraId="17579EB4">
      <w:pPr>
        <w:adjustRightInd w:val="0"/>
        <w:snapToGrid w:val="0"/>
        <w:spacing w:line="360" w:lineRule="auto"/>
        <w:ind w:firstLine="480" w:firstLineChars="200"/>
        <w:rPr>
          <w:rFonts w:ascii="Tahoma" w:hAnsi="Tahoma" w:eastAsia="宋体" w:cs="Tahoma"/>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在全球价值链分工格局下</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发展中国家的低成本商品纷纷涌入发达国家，既帮助发达国家平抑了通货膨胀，又使其保持了宽松的货币政策，从而形成经济的“大稳健”（</w:t>
      </w:r>
      <w:r>
        <w:rPr>
          <w:rFonts w:ascii="Times New Roman" w:hAnsi="Times New Roman" w:eastAsia="宋体" w:cs="Times New Roman"/>
          <w:color w:val="000000" w:themeColor="text1"/>
          <w:kern w:val="0"/>
          <w:sz w:val="24"/>
          <w:szCs w:val="24"/>
          <w14:textFill>
            <w14:solidFill>
              <w14:schemeClr w14:val="tx1"/>
            </w14:solidFill>
          </w14:textFill>
        </w:rPr>
        <w:t>the great moderation</w:t>
      </w:r>
      <w:r>
        <w:rPr>
          <w:rFonts w:hint="eastAsia"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77"/>
      </w:r>
      <w:r>
        <w:rPr>
          <w:rFonts w:hint="eastAsia" w:ascii="宋体" w:hAnsi="宋体" w:eastAsia="宋体" w:cs="AdobeHeitiStd-Regular"/>
          <w:color w:val="000000" w:themeColor="text1"/>
          <w:kern w:val="0"/>
          <w:sz w:val="24"/>
          <w:szCs w:val="24"/>
          <w14:textFill>
            <w14:solidFill>
              <w14:schemeClr w14:val="tx1"/>
            </w14:solidFill>
          </w14:textFill>
        </w:rPr>
        <w:t>。对于经济系统的“大稳健”，一些</w:t>
      </w:r>
      <w:r>
        <w:rPr>
          <w:rFonts w:ascii="宋体" w:hAnsi="宋体" w:eastAsia="宋体" w:cs="AdobeHeitiStd-Regular"/>
          <w:color w:val="000000" w:themeColor="text1"/>
          <w:kern w:val="0"/>
          <w:sz w:val="24"/>
          <w:szCs w:val="24"/>
          <w14:textFill>
            <w14:solidFill>
              <w14:schemeClr w14:val="tx1"/>
            </w14:solidFill>
          </w14:textFill>
        </w:rPr>
        <w:t>学者认为</w:t>
      </w:r>
      <w:r>
        <w:rPr>
          <w:rFonts w:hint="eastAsia" w:ascii="宋体" w:hAnsi="宋体" w:eastAsia="宋体" w:cs="AdobeHeitiStd-Regular"/>
          <w:color w:val="000000" w:themeColor="text1"/>
          <w:kern w:val="0"/>
          <w:sz w:val="24"/>
          <w:szCs w:val="24"/>
          <w14:textFill>
            <w14:solidFill>
              <w14:schemeClr w14:val="tx1"/>
            </w14:solidFill>
          </w14:textFill>
        </w:rPr>
        <w:t>是</w:t>
      </w:r>
      <w:r>
        <w:rPr>
          <w:rFonts w:ascii="宋体" w:hAnsi="宋体" w:eastAsia="宋体" w:cs="AdobeHeitiStd-Regular"/>
          <w:color w:val="000000" w:themeColor="text1"/>
          <w:kern w:val="0"/>
          <w:sz w:val="24"/>
          <w:szCs w:val="24"/>
          <w14:textFill>
            <w14:solidFill>
              <w14:schemeClr w14:val="tx1"/>
            </w14:solidFill>
          </w14:textFill>
        </w:rPr>
        <w:t>根源于</w:t>
      </w:r>
      <w:r>
        <w:rPr>
          <w:rFonts w:hint="eastAsia" w:ascii="宋体" w:hAnsi="宋体" w:eastAsia="宋体" w:cs="AdobeHeitiStd-Regular"/>
          <w:color w:val="000000" w:themeColor="text1"/>
          <w:kern w:val="0"/>
          <w:sz w:val="24"/>
          <w:szCs w:val="24"/>
          <w14:textFill>
            <w14:solidFill>
              <w14:schemeClr w14:val="tx1"/>
            </w14:solidFill>
          </w14:textFill>
        </w:rPr>
        <w:t>全球价值链</w:t>
      </w:r>
      <w:r>
        <w:rPr>
          <w:rFonts w:ascii="宋体" w:hAnsi="宋体" w:eastAsia="宋体" w:cs="AdobeHeitiStd-Regular"/>
          <w:color w:val="000000" w:themeColor="text1"/>
          <w:kern w:val="0"/>
          <w:sz w:val="24"/>
          <w:szCs w:val="24"/>
          <w14:textFill>
            <w14:solidFill>
              <w14:schemeClr w14:val="tx1"/>
            </w14:solidFill>
          </w14:textFill>
        </w:rPr>
        <w:t>的分工效应</w:t>
      </w:r>
      <w:r>
        <w:rPr>
          <w:rFonts w:hint="eastAsia" w:ascii="宋体" w:hAnsi="宋体" w:eastAsia="宋体" w:cs="AdobeHeitiStd-Regular"/>
          <w:color w:val="000000" w:themeColor="text1"/>
          <w:kern w:val="0"/>
          <w:sz w:val="24"/>
          <w:szCs w:val="24"/>
          <w14:textFill>
            <w14:solidFill>
              <w14:schemeClr w14:val="tx1"/>
            </w14:solidFill>
          </w14:textFill>
        </w:rPr>
        <w:t>，从2</w:t>
      </w:r>
      <w:r>
        <w:rPr>
          <w:rFonts w:ascii="宋体" w:hAnsi="宋体" w:eastAsia="宋体" w:cs="AdobeHeitiStd-Regular"/>
          <w:color w:val="000000" w:themeColor="text1"/>
          <w:kern w:val="0"/>
          <w:sz w:val="24"/>
          <w:szCs w:val="24"/>
          <w14:textFill>
            <w14:solidFill>
              <w14:schemeClr w14:val="tx1"/>
            </w14:solidFill>
          </w14:textFill>
        </w:rPr>
        <w:t>0</w:t>
      </w:r>
      <w:r>
        <w:rPr>
          <w:rFonts w:hint="eastAsia" w:ascii="宋体" w:hAnsi="宋体" w:eastAsia="宋体" w:cs="AdobeHeitiStd-Regular"/>
          <w:color w:val="000000" w:themeColor="text1"/>
          <w:kern w:val="0"/>
          <w:sz w:val="24"/>
          <w:szCs w:val="24"/>
          <w14:textFill>
            <w14:solidFill>
              <w14:schemeClr w14:val="tx1"/>
            </w14:solidFill>
          </w14:textFill>
        </w:rPr>
        <w:t>世纪9</w:t>
      </w:r>
      <w:r>
        <w:rPr>
          <w:rFonts w:ascii="宋体" w:hAnsi="宋体" w:eastAsia="宋体" w:cs="AdobeHeitiStd-Regular"/>
          <w:color w:val="000000" w:themeColor="text1"/>
          <w:kern w:val="0"/>
          <w:sz w:val="24"/>
          <w:szCs w:val="24"/>
          <w14:textFill>
            <w14:solidFill>
              <w14:schemeClr w14:val="tx1"/>
            </w14:solidFill>
          </w14:textFill>
        </w:rPr>
        <w:t>0</w:t>
      </w:r>
      <w:r>
        <w:rPr>
          <w:rFonts w:hint="eastAsia" w:ascii="宋体" w:hAnsi="宋体" w:eastAsia="宋体" w:cs="AdobeHeitiStd-Regular"/>
          <w:color w:val="000000" w:themeColor="text1"/>
          <w:kern w:val="0"/>
          <w:sz w:val="24"/>
          <w:szCs w:val="24"/>
          <w14:textFill>
            <w14:solidFill>
              <w14:schemeClr w14:val="tx1"/>
            </w14:solidFill>
          </w14:textFill>
        </w:rPr>
        <w:t>年代初开始，垂直专业化生产体系尤其在亚洲</w:t>
      </w:r>
      <w:r>
        <w:rPr>
          <w:rFonts w:ascii="宋体" w:hAnsi="宋体" w:eastAsia="宋体" w:cs="AdobeHeitiStd-Regular"/>
          <w:color w:val="000000" w:themeColor="text1"/>
          <w:kern w:val="0"/>
          <w:sz w:val="24"/>
          <w:szCs w:val="24"/>
          <w14:textFill>
            <w14:solidFill>
              <w14:schemeClr w14:val="tx1"/>
            </w14:solidFill>
          </w14:textFill>
        </w:rPr>
        <w:t>得以迅猛发展，</w:t>
      </w:r>
      <w:r>
        <w:rPr>
          <w:rFonts w:hint="eastAsia" w:ascii="宋体" w:hAnsi="宋体" w:eastAsia="宋体" w:cs="AdobeHeitiStd-Regular"/>
          <w:color w:val="000000" w:themeColor="text1"/>
          <w:kern w:val="0"/>
          <w:sz w:val="24"/>
          <w:szCs w:val="24"/>
          <w14:textFill>
            <w14:solidFill>
              <w14:schemeClr w14:val="tx1"/>
            </w14:solidFill>
          </w14:textFill>
        </w:rPr>
        <w:t>价值链分工下的国际贸易对全球经济“大稳健”的出现，具有决定性意义。</w:t>
      </w:r>
      <w:r>
        <w:rPr>
          <w:rStyle w:val="20"/>
          <w:rFonts w:ascii="宋体" w:hAnsi="宋体" w:eastAsia="宋体" w:cs="AdobeHeitiStd-Regular"/>
          <w:color w:val="000000" w:themeColor="text1"/>
          <w:kern w:val="0"/>
          <w:sz w:val="24"/>
          <w:szCs w:val="24"/>
          <w14:textFill>
            <w14:solidFill>
              <w14:schemeClr w14:val="tx1"/>
            </w14:solidFill>
          </w14:textFill>
        </w:rPr>
        <w:footnoteReference w:id="378"/>
      </w:r>
      <w:r>
        <w:rPr>
          <w:rFonts w:hint="eastAsia" w:ascii="宋体" w:hAnsi="宋体" w:eastAsia="宋体" w:cs="AdobeHeitiStd-Regular"/>
          <w:color w:val="000000" w:themeColor="text1"/>
          <w:kern w:val="0"/>
          <w:sz w:val="24"/>
          <w:szCs w:val="24"/>
          <w14:textFill>
            <w14:solidFill>
              <w14:schemeClr w14:val="tx1"/>
            </w14:solidFill>
          </w14:textFill>
        </w:rPr>
        <w:t xml:space="preserve"> 但是，</w:t>
      </w:r>
      <w:r>
        <w:rPr>
          <w:rFonts w:ascii="宋体" w:hAnsi="宋体" w:eastAsia="宋体" w:cs="AdobeHeitiStd-Regular"/>
          <w:color w:val="000000" w:themeColor="text1"/>
          <w:kern w:val="0"/>
          <w:sz w:val="24"/>
          <w:szCs w:val="24"/>
          <w14:textFill>
            <w14:solidFill>
              <w14:schemeClr w14:val="tx1"/>
            </w14:solidFill>
          </w14:textFill>
        </w:rPr>
        <w:t>对于</w:t>
      </w:r>
      <w:r>
        <w:rPr>
          <w:rFonts w:hint="eastAsia" w:ascii="宋体" w:hAnsi="宋体" w:eastAsia="宋体" w:cs="AdobeHeitiStd-Regular"/>
          <w:color w:val="000000" w:themeColor="text1"/>
          <w:kern w:val="0"/>
          <w:sz w:val="24"/>
          <w:szCs w:val="24"/>
          <w14:textFill>
            <w14:solidFill>
              <w14:schemeClr w14:val="tx1"/>
            </w14:solidFill>
          </w14:textFill>
        </w:rPr>
        <w:t>发展中国家来说，</w:t>
      </w:r>
      <w:r>
        <w:rPr>
          <w:rFonts w:hint="eastAsia" w:ascii="宋体" w:hAnsi="宋体" w:eastAsia="宋体"/>
          <w:color w:val="000000" w:themeColor="text1"/>
          <w:sz w:val="24"/>
          <w:szCs w:val="24"/>
          <w14:textFill>
            <w14:solidFill>
              <w14:schemeClr w14:val="tx1"/>
            </w14:solidFill>
          </w14:textFill>
        </w:rPr>
        <w:t>全球价值链在空间上明显地表现出一种去地方（</w:t>
      </w:r>
      <w:r>
        <w:rPr>
          <w:rFonts w:ascii="Times New Roman" w:hAnsi="Times New Roman" w:eastAsia="宋体" w:cs="Times New Roman"/>
          <w:color w:val="000000" w:themeColor="text1"/>
          <w:sz w:val="24"/>
          <w:szCs w:val="24"/>
          <w14:textFill>
            <w14:solidFill>
              <w14:schemeClr w14:val="tx1"/>
            </w14:solidFill>
          </w14:textFill>
        </w:rPr>
        <w:t>delocalization</w:t>
      </w:r>
      <w:r>
        <w:rPr>
          <w:rFonts w:hint="eastAsia" w:ascii="宋体" w:hAnsi="宋体" w:eastAsia="宋体"/>
          <w:color w:val="000000" w:themeColor="text1"/>
          <w:sz w:val="24"/>
          <w:szCs w:val="24"/>
          <w14:textFill>
            <w14:solidFill>
              <w14:schemeClr w14:val="tx1"/>
            </w14:solidFill>
          </w14:textFill>
        </w:rPr>
        <w:t>）的倾向。在全球价值链的形成过程中，链主并不是要助推具有议价能力的本土供应商，更不是要培养具有本土意义的竞争对手，而是要加固自己在全球的网络控制权，通过“时间</w:t>
      </w:r>
      <w:r>
        <w:rPr>
          <w:rFonts w:ascii="宋体" w:hAnsi="宋体" w:eastAsia="宋体"/>
          <w:color w:val="000000" w:themeColor="text1"/>
          <w:sz w:val="24"/>
          <w:szCs w:val="24"/>
          <w14:textFill>
            <w14:solidFill>
              <w14:schemeClr w14:val="tx1"/>
            </w14:solidFill>
          </w14:textFill>
        </w:rPr>
        <w:t>消灭空间</w:t>
      </w:r>
      <w:r>
        <w:rPr>
          <w:rFonts w:hint="eastAsia" w:ascii="宋体" w:hAnsi="宋体" w:eastAsia="宋体"/>
          <w:color w:val="000000" w:themeColor="text1"/>
          <w:sz w:val="24"/>
          <w:szCs w:val="24"/>
          <w14:textFill>
            <w14:solidFill>
              <w14:schemeClr w14:val="tx1"/>
            </w14:solidFill>
          </w14:textFill>
        </w:rPr>
        <w:t>”的空间生产</w:t>
      </w:r>
      <w:r>
        <w:rPr>
          <w:rFonts w:ascii="宋体" w:hAnsi="宋体" w:eastAsia="宋体"/>
          <w:color w:val="000000" w:themeColor="text1"/>
          <w:sz w:val="24"/>
          <w:szCs w:val="24"/>
          <w14:textFill>
            <w14:solidFill>
              <w14:schemeClr w14:val="tx1"/>
            </w14:solidFill>
          </w14:textFill>
        </w:rPr>
        <w:t>实现</w:t>
      </w:r>
      <w:r>
        <w:rPr>
          <w:rFonts w:hint="eastAsia" w:ascii="宋体" w:hAnsi="宋体" w:eastAsia="宋体"/>
          <w:color w:val="000000" w:themeColor="text1"/>
          <w:sz w:val="24"/>
          <w:szCs w:val="24"/>
          <w14:textFill>
            <w14:solidFill>
              <w14:schemeClr w14:val="tx1"/>
            </w14:solidFill>
          </w14:textFill>
        </w:rPr>
        <w:t>品牌优势、渠道控制，不断强化对发展中国家供应商的市场不对称地位和垄断势力，以获得更丰厚的利润率回报。</w:t>
      </w:r>
      <w:r>
        <w:rPr>
          <w:rStyle w:val="20"/>
          <w:rFonts w:ascii="宋体" w:hAnsi="宋体" w:eastAsia="宋体"/>
          <w:color w:val="000000" w:themeColor="text1"/>
          <w:sz w:val="24"/>
          <w:szCs w:val="24"/>
          <w14:textFill>
            <w14:solidFill>
              <w14:schemeClr w14:val="tx1"/>
            </w14:solidFill>
          </w14:textFill>
        </w:rPr>
        <w:footnoteReference w:id="379"/>
      </w:r>
    </w:p>
    <w:p w14:paraId="680B5506">
      <w:pPr>
        <w:adjustRightInd w:val="0"/>
        <w:snapToGrid w:val="0"/>
        <w:spacing w:line="360" w:lineRule="auto"/>
        <w:ind w:firstLine="480" w:firstLineChars="200"/>
        <w:rPr>
          <w:rFonts w:ascii="Tahoma" w:hAnsi="Tahoma" w:eastAsia="宋体" w:cs="Tahoma"/>
          <w:color w:val="000000" w:themeColor="text1"/>
          <w:kern w:val="0"/>
          <w:sz w:val="24"/>
          <w:szCs w:val="24"/>
          <w14:textFill>
            <w14:solidFill>
              <w14:schemeClr w14:val="tx1"/>
            </w14:solidFill>
          </w14:textFill>
        </w:rPr>
      </w:pPr>
      <w:r>
        <w:rPr>
          <w:rFonts w:hint="eastAsia" w:ascii="Tahoma" w:hAnsi="Tahoma" w:eastAsia="宋体" w:cs="Tahoma"/>
          <w:color w:val="000000" w:themeColor="text1"/>
          <w:kern w:val="0"/>
          <w:sz w:val="24"/>
          <w:szCs w:val="24"/>
          <w14:textFill>
            <w14:solidFill>
              <w14:schemeClr w14:val="tx1"/>
            </w14:solidFill>
          </w14:textFill>
        </w:rPr>
        <w:t>发达国家从全球价值链中获得的收益更多地依赖于无形资产而非实物。跨国公司向其世界各地的附属公司发送的无形资产——包括软件、品牌、设计、运营流程和总部开发的其他知识产权——代表着巨大的价值，但它们通常没有定价和追踪，</w:t>
      </w:r>
      <w:r>
        <w:rPr>
          <w:rFonts w:hint="eastAsia" w:ascii="宋体" w:hAnsi="宋体" w:eastAsia="宋体" w:cs="Tahoma"/>
          <w:color w:val="000000" w:themeColor="text1"/>
          <w:kern w:val="0"/>
          <w:sz w:val="24"/>
          <w:szCs w:val="24"/>
          <w14:textFill>
            <w14:solidFill>
              <w14:schemeClr w14:val="tx1"/>
            </w14:solidFill>
          </w14:textFill>
        </w:rPr>
        <w:t>除非被作为知识产权获取收费，无工厂</w:t>
      </w:r>
      <w:r>
        <w:rPr>
          <w:rFonts w:ascii="宋体" w:hAnsi="宋体" w:eastAsia="宋体" w:cs="Tahoma"/>
          <w:color w:val="000000" w:themeColor="text1"/>
          <w:kern w:val="0"/>
          <w:sz w:val="24"/>
          <w:szCs w:val="24"/>
          <w14:textFill>
            <w14:solidFill>
              <w14:schemeClr w14:val="tx1"/>
            </w14:solidFill>
          </w14:textFill>
        </w:rPr>
        <w:t>制造商深刻地改变了南北</w:t>
      </w:r>
      <w:r>
        <w:rPr>
          <w:rFonts w:hint="eastAsia" w:ascii="宋体" w:hAnsi="宋体" w:eastAsia="宋体" w:cs="Tahoma"/>
          <w:color w:val="000000" w:themeColor="text1"/>
          <w:kern w:val="0"/>
          <w:sz w:val="24"/>
          <w:szCs w:val="24"/>
          <w14:textFill>
            <w14:solidFill>
              <w14:schemeClr w14:val="tx1"/>
            </w14:solidFill>
          </w14:textFill>
        </w:rPr>
        <w:t>交易</w:t>
      </w:r>
      <w:r>
        <w:rPr>
          <w:rFonts w:ascii="宋体" w:hAnsi="宋体" w:eastAsia="宋体" w:cs="Tahoma"/>
          <w:color w:val="000000" w:themeColor="text1"/>
          <w:kern w:val="0"/>
          <w:sz w:val="24"/>
          <w:szCs w:val="24"/>
          <w14:textFill>
            <w14:solidFill>
              <w14:schemeClr w14:val="tx1"/>
            </w14:solidFill>
          </w14:textFill>
        </w:rPr>
        <w:t>的</w:t>
      </w:r>
      <w:r>
        <w:rPr>
          <w:rFonts w:hint="eastAsia" w:ascii="宋体" w:hAnsi="宋体" w:eastAsia="宋体" w:cs="Tahoma"/>
          <w:color w:val="000000" w:themeColor="text1"/>
          <w:kern w:val="0"/>
          <w:sz w:val="24"/>
          <w:szCs w:val="24"/>
          <w14:textFill>
            <w14:solidFill>
              <w14:schemeClr w14:val="tx1"/>
            </w14:solidFill>
          </w14:textFill>
        </w:rPr>
        <w:t>贸易</w:t>
      </w:r>
      <w:r>
        <w:rPr>
          <w:rFonts w:ascii="宋体" w:hAnsi="宋体" w:eastAsia="宋体" w:cs="Tahoma"/>
          <w:color w:val="000000" w:themeColor="text1"/>
          <w:kern w:val="0"/>
          <w:sz w:val="24"/>
          <w:szCs w:val="24"/>
          <w14:textFill>
            <w14:solidFill>
              <w14:schemeClr w14:val="tx1"/>
            </w14:solidFill>
          </w14:textFill>
        </w:rPr>
        <w:t>状况。</w:t>
      </w:r>
      <w:r>
        <w:rPr>
          <w:rFonts w:hint="eastAsia" w:ascii="宋体" w:hAnsi="宋体" w:eastAsia="宋体" w:cs="Tahoma"/>
          <w:color w:val="000000" w:themeColor="text1"/>
          <w:kern w:val="0"/>
          <w:sz w:val="24"/>
          <w:szCs w:val="24"/>
          <w14:textFill>
            <w14:solidFill>
              <w14:schemeClr w14:val="tx1"/>
            </w14:solidFill>
          </w14:textFill>
        </w:rPr>
        <w:t>根据苹果</w:t>
      </w:r>
      <w:r>
        <w:rPr>
          <w:rFonts w:ascii="宋体" w:hAnsi="宋体" w:eastAsia="宋体" w:cs="Tahoma"/>
          <w:color w:val="000000" w:themeColor="text1"/>
          <w:kern w:val="0"/>
          <w:sz w:val="24"/>
          <w:szCs w:val="24"/>
          <w14:textFill>
            <w14:solidFill>
              <w14:schemeClr w14:val="tx1"/>
            </w14:solidFill>
          </w14:textFill>
        </w:rPr>
        <w:t>公司</w:t>
      </w:r>
      <w:r>
        <w:rPr>
          <w:rFonts w:hint="eastAsia" w:ascii="宋体" w:hAnsi="宋体" w:eastAsia="宋体" w:cs="Tahoma"/>
          <w:color w:val="000000" w:themeColor="text1"/>
          <w:kern w:val="0"/>
          <w:sz w:val="24"/>
          <w:szCs w:val="24"/>
          <w14:textFill>
            <w14:solidFill>
              <w14:schemeClr w14:val="tx1"/>
            </w14:solidFill>
          </w14:textFill>
        </w:rPr>
        <w:t>2018年</w:t>
      </w:r>
      <w:r>
        <w:rPr>
          <w:rFonts w:ascii="宋体" w:hAnsi="宋体" w:eastAsia="宋体" w:cs="Tahoma"/>
          <w:color w:val="000000" w:themeColor="text1"/>
          <w:kern w:val="0"/>
          <w:sz w:val="24"/>
          <w:szCs w:val="24"/>
          <w14:textFill>
            <w14:solidFill>
              <w14:schemeClr w14:val="tx1"/>
            </w14:solidFill>
          </w14:textFill>
        </w:rPr>
        <w:t>的数据，2018年</w:t>
      </w:r>
      <w:r>
        <w:rPr>
          <w:rFonts w:hint="eastAsia" w:ascii="宋体" w:hAnsi="宋体" w:eastAsia="宋体" w:cs="Tahoma"/>
          <w:color w:val="000000" w:themeColor="text1"/>
          <w:kern w:val="0"/>
          <w:sz w:val="24"/>
          <w:szCs w:val="24"/>
          <w14:textFill>
            <w14:solidFill>
              <w14:schemeClr w14:val="tx1"/>
            </w14:solidFill>
          </w14:textFill>
        </w:rPr>
        <w:t>苹果</w:t>
      </w:r>
      <w:r>
        <w:rPr>
          <w:rFonts w:ascii="宋体" w:hAnsi="宋体" w:eastAsia="宋体" w:cs="Tahoma"/>
          <w:color w:val="000000" w:themeColor="text1"/>
          <w:kern w:val="0"/>
          <w:sz w:val="24"/>
          <w:szCs w:val="24"/>
          <w14:textFill>
            <w14:solidFill>
              <w14:schemeClr w14:val="tx1"/>
            </w14:solidFill>
          </w14:textFill>
        </w:rPr>
        <w:t>对中国的销售额为519亿美元，</w:t>
      </w:r>
      <w:r>
        <w:rPr>
          <w:rFonts w:hint="eastAsia" w:ascii="宋体" w:hAnsi="宋体" w:eastAsia="宋体" w:cs="Tahoma"/>
          <w:color w:val="000000" w:themeColor="text1"/>
          <w:kern w:val="0"/>
          <w:sz w:val="24"/>
          <w:szCs w:val="24"/>
          <w14:textFill>
            <w14:solidFill>
              <w14:schemeClr w14:val="tx1"/>
            </w14:solidFill>
          </w14:textFill>
        </w:rPr>
        <w:t>而根据联合国（</w:t>
      </w:r>
      <w:r>
        <w:rPr>
          <w:rFonts w:ascii="Times New Roman" w:hAnsi="Times New Roman" w:eastAsia="宋体" w:cs="Times New Roman"/>
          <w:color w:val="000000" w:themeColor="text1"/>
          <w:kern w:val="0"/>
          <w:sz w:val="24"/>
          <w:szCs w:val="24"/>
          <w14:textFill>
            <w14:solidFill>
              <w14:schemeClr w14:val="tx1"/>
            </w14:solidFill>
          </w14:textFill>
        </w:rPr>
        <w:t>UN）Comtrade</w:t>
      </w:r>
      <w:r>
        <w:rPr>
          <w:rFonts w:ascii="宋体" w:hAnsi="宋体" w:eastAsia="宋体" w:cs="Tahoma"/>
          <w:color w:val="000000" w:themeColor="text1"/>
          <w:kern w:val="0"/>
          <w:sz w:val="24"/>
          <w:szCs w:val="24"/>
          <w14:textFill>
            <w14:solidFill>
              <w14:schemeClr w14:val="tx1"/>
            </w14:solidFill>
          </w14:textFill>
        </w:rPr>
        <w:t>数据库</w:t>
      </w:r>
      <w:r>
        <w:rPr>
          <w:rFonts w:hint="eastAsia" w:ascii="宋体" w:hAnsi="宋体" w:eastAsia="宋体" w:cs="Tahoma"/>
          <w:color w:val="000000" w:themeColor="text1"/>
          <w:kern w:val="0"/>
          <w:sz w:val="24"/>
          <w:szCs w:val="24"/>
          <w14:textFill>
            <w14:solidFill>
              <w14:schemeClr w14:val="tx1"/>
            </w14:solidFill>
          </w14:textFill>
        </w:rPr>
        <w:t>，中国从美国进口了</w:t>
      </w:r>
      <w:r>
        <w:rPr>
          <w:rFonts w:ascii="宋体" w:hAnsi="宋体" w:eastAsia="宋体" w:cs="Tahoma"/>
          <w:color w:val="000000" w:themeColor="text1"/>
          <w:kern w:val="0"/>
          <w:sz w:val="24"/>
          <w:szCs w:val="24"/>
          <w14:textFill>
            <w14:solidFill>
              <w14:schemeClr w14:val="tx1"/>
            </w14:solidFill>
          </w14:textFill>
        </w:rPr>
        <w:t>410万美元的笔记本电脑、手机和类似产品</w:t>
      </w:r>
      <w:r>
        <w:rPr>
          <w:rFonts w:hint="eastAsia" w:ascii="宋体" w:hAnsi="宋体" w:eastAsia="宋体" w:cs="Tahoma"/>
          <w:color w:val="000000" w:themeColor="text1"/>
          <w:kern w:val="0"/>
          <w:sz w:val="24"/>
          <w:szCs w:val="24"/>
          <w14:textFill>
            <w14:solidFill>
              <w14:schemeClr w14:val="tx1"/>
            </w14:solidFill>
          </w14:textFill>
        </w:rPr>
        <w:t>，苹果</w:t>
      </w:r>
      <w:r>
        <w:rPr>
          <w:rFonts w:ascii="宋体" w:hAnsi="宋体" w:eastAsia="宋体" w:cs="Tahoma"/>
          <w:color w:val="000000" w:themeColor="text1"/>
          <w:kern w:val="0"/>
          <w:sz w:val="24"/>
          <w:szCs w:val="24"/>
          <w14:textFill>
            <w14:solidFill>
              <w14:schemeClr w14:val="tx1"/>
            </w14:solidFill>
          </w14:textFill>
        </w:rPr>
        <w:t>销售额</w:t>
      </w:r>
      <w:r>
        <w:rPr>
          <w:rFonts w:hint="eastAsia" w:ascii="宋体" w:hAnsi="宋体" w:eastAsia="宋体" w:cs="Tahoma"/>
          <w:color w:val="000000" w:themeColor="text1"/>
          <w:kern w:val="0"/>
          <w:sz w:val="24"/>
          <w:szCs w:val="24"/>
          <w14:textFill>
            <w14:solidFill>
              <w14:schemeClr w14:val="tx1"/>
            </w14:solidFill>
          </w14:textFill>
        </w:rPr>
        <w:t>是</w:t>
      </w:r>
      <w:r>
        <w:rPr>
          <w:rFonts w:ascii="宋体" w:hAnsi="宋体" w:eastAsia="宋体" w:cs="Tahoma"/>
          <w:color w:val="000000" w:themeColor="text1"/>
          <w:kern w:val="0"/>
          <w:sz w:val="24"/>
          <w:szCs w:val="24"/>
          <w14:textFill>
            <w14:solidFill>
              <w14:schemeClr w14:val="tx1"/>
            </w14:solidFill>
          </w14:textFill>
        </w:rPr>
        <w:t>中国从美国进口</w:t>
      </w:r>
      <w:r>
        <w:rPr>
          <w:rFonts w:hint="eastAsia" w:ascii="宋体" w:hAnsi="宋体" w:eastAsia="宋体" w:cs="Tahoma"/>
          <w:color w:val="000000" w:themeColor="text1"/>
          <w:kern w:val="0"/>
          <w:sz w:val="24"/>
          <w:szCs w:val="24"/>
          <w14:textFill>
            <w14:solidFill>
              <w14:schemeClr w14:val="tx1"/>
            </w14:solidFill>
          </w14:textFill>
        </w:rPr>
        <w:t>的</w:t>
      </w:r>
      <w:r>
        <w:rPr>
          <w:rFonts w:ascii="宋体" w:hAnsi="宋体" w:eastAsia="宋体" w:cs="Tahoma"/>
          <w:color w:val="000000" w:themeColor="text1"/>
          <w:kern w:val="0"/>
          <w:sz w:val="24"/>
          <w:szCs w:val="24"/>
          <w14:textFill>
            <w14:solidFill>
              <w14:schemeClr w14:val="tx1"/>
            </w14:solidFill>
          </w14:textFill>
        </w:rPr>
        <w:t>笔记本电脑和手机的总额</w:t>
      </w:r>
      <w:r>
        <w:rPr>
          <w:rFonts w:hint="eastAsia" w:ascii="宋体" w:hAnsi="宋体" w:eastAsia="宋体" w:cs="Tahoma"/>
          <w:color w:val="000000" w:themeColor="text1"/>
          <w:kern w:val="0"/>
          <w:sz w:val="24"/>
          <w:szCs w:val="24"/>
          <w14:textFill>
            <w14:solidFill>
              <w14:schemeClr w14:val="tx1"/>
            </w14:solidFill>
          </w14:textFill>
        </w:rPr>
        <w:t>的</w:t>
      </w:r>
      <w:r>
        <w:rPr>
          <w:rFonts w:ascii="宋体" w:hAnsi="宋体" w:eastAsia="宋体" w:cs="Tahoma"/>
          <w:color w:val="000000" w:themeColor="text1"/>
          <w:kern w:val="0"/>
          <w:sz w:val="24"/>
          <w:szCs w:val="24"/>
          <w14:textFill>
            <w14:solidFill>
              <w14:schemeClr w14:val="tx1"/>
            </w14:solidFill>
          </w14:textFill>
        </w:rPr>
        <w:t>12000多倍</w:t>
      </w:r>
      <w:r>
        <w:rPr>
          <w:rFonts w:hint="eastAsia" w:ascii="宋体" w:hAnsi="宋体" w:eastAsia="宋体" w:cs="Tahoma"/>
          <w:color w:val="000000" w:themeColor="text1"/>
          <w:kern w:val="0"/>
          <w:sz w:val="24"/>
          <w:szCs w:val="24"/>
          <w14:textFill>
            <w14:solidFill>
              <w14:schemeClr w14:val="tx1"/>
            </w14:solidFill>
          </w14:textFill>
        </w:rPr>
        <w:t>。销售数据和贸易数据差距</w:t>
      </w:r>
      <w:r>
        <w:rPr>
          <w:rFonts w:ascii="宋体" w:hAnsi="宋体" w:eastAsia="宋体" w:cs="Tahoma"/>
          <w:color w:val="000000" w:themeColor="text1"/>
          <w:kern w:val="0"/>
          <w:sz w:val="24"/>
          <w:szCs w:val="24"/>
          <w14:textFill>
            <w14:solidFill>
              <w14:schemeClr w14:val="tx1"/>
            </w14:solidFill>
          </w14:textFill>
        </w:rPr>
        <w:t>如此</w:t>
      </w:r>
      <w:r>
        <w:rPr>
          <w:rFonts w:hint="eastAsia" w:ascii="宋体" w:hAnsi="宋体" w:eastAsia="宋体" w:cs="Tahoma"/>
          <w:color w:val="000000" w:themeColor="text1"/>
          <w:kern w:val="0"/>
          <w:sz w:val="24"/>
          <w:szCs w:val="24"/>
          <w14:textFill>
            <w14:solidFill>
              <w14:schemeClr w14:val="tx1"/>
            </w14:solidFill>
          </w14:textFill>
        </w:rPr>
        <w:t>之大，无法用统计错误或苹果极高的毛利率来解释</w:t>
      </w:r>
      <w:r>
        <w:rPr>
          <w:rFonts w:ascii="宋体" w:hAnsi="宋体" w:eastAsia="宋体" w:cs="Tahoma"/>
          <w:color w:val="000000" w:themeColor="text1"/>
          <w:kern w:val="0"/>
          <w:sz w:val="24"/>
          <w:szCs w:val="24"/>
          <w14:textFill>
            <w14:solidFill>
              <w14:schemeClr w14:val="tx1"/>
            </w14:solidFill>
          </w14:textFill>
        </w:rPr>
        <w:t>。</w:t>
      </w:r>
      <w:r>
        <w:rPr>
          <w:rFonts w:hint="eastAsia" w:ascii="宋体" w:hAnsi="宋体" w:eastAsia="宋体" w:cs="Tahoma"/>
          <w:color w:val="000000" w:themeColor="text1"/>
          <w:kern w:val="0"/>
          <w:sz w:val="24"/>
          <w:szCs w:val="24"/>
          <w14:textFill>
            <w14:solidFill>
              <w14:schemeClr w14:val="tx1"/>
            </w14:solidFill>
          </w14:textFill>
        </w:rPr>
        <w:t>如果</w:t>
      </w:r>
      <w:r>
        <w:rPr>
          <w:rFonts w:ascii="宋体" w:hAnsi="宋体" w:eastAsia="宋体" w:cs="Tahoma"/>
          <w:color w:val="000000" w:themeColor="text1"/>
          <w:kern w:val="0"/>
          <w:sz w:val="24"/>
          <w:szCs w:val="24"/>
          <w14:textFill>
            <w14:solidFill>
              <w14:schemeClr w14:val="tx1"/>
            </w14:solidFill>
          </w14:textFill>
        </w:rPr>
        <w:t>考虑到</w:t>
      </w:r>
      <w:r>
        <w:rPr>
          <w:rFonts w:hint="eastAsia" w:ascii="宋体" w:hAnsi="宋体" w:eastAsia="宋体" w:cs="Tahoma"/>
          <w:color w:val="000000" w:themeColor="text1"/>
          <w:kern w:val="0"/>
          <w:sz w:val="24"/>
          <w:szCs w:val="24"/>
          <w14:textFill>
            <w14:solidFill>
              <w14:schemeClr w14:val="tx1"/>
            </w14:solidFill>
          </w14:textFill>
        </w:rPr>
        <w:t>苹果</w:t>
      </w:r>
      <w:r>
        <w:rPr>
          <w:rFonts w:ascii="宋体" w:hAnsi="宋体" w:eastAsia="宋体" w:cs="Tahoma"/>
          <w:color w:val="000000" w:themeColor="text1"/>
          <w:kern w:val="0"/>
          <w:sz w:val="24"/>
          <w:szCs w:val="24"/>
          <w14:textFill>
            <w14:solidFill>
              <w14:schemeClr w14:val="tx1"/>
            </w14:solidFill>
          </w14:textFill>
        </w:rPr>
        <w:t>的制造业成本</w:t>
      </w:r>
      <w:r>
        <w:rPr>
          <w:rFonts w:hint="eastAsia" w:ascii="宋体" w:hAnsi="宋体" w:eastAsia="宋体" w:cs="Tahoma"/>
          <w:color w:val="000000" w:themeColor="text1"/>
          <w:kern w:val="0"/>
          <w:sz w:val="24"/>
          <w:szCs w:val="24"/>
          <w14:textFill>
            <w14:solidFill>
              <w14:schemeClr w14:val="tx1"/>
            </w14:solidFill>
          </w14:textFill>
        </w:rPr>
        <w:t>，差距仍然十分巨大。</w:t>
      </w:r>
      <w:r>
        <w:rPr>
          <w:rFonts w:ascii="宋体" w:hAnsi="宋体" w:eastAsia="宋体" w:cs="Tahoma"/>
          <w:color w:val="000000" w:themeColor="text1"/>
          <w:kern w:val="0"/>
          <w:sz w:val="24"/>
          <w:szCs w:val="24"/>
          <w14:textFill>
            <w14:solidFill>
              <w14:schemeClr w14:val="tx1"/>
            </w14:solidFill>
          </w14:textFill>
        </w:rPr>
        <w:t>2018年在中国销售的苹果产品的生产成本估计为321亿美元，几乎是当年中国从美国进口笔记本电脑和手机的8000倍</w:t>
      </w:r>
      <w:r>
        <w:rPr>
          <w:rFonts w:hint="eastAsia" w:ascii="宋体" w:hAnsi="宋体" w:eastAsia="宋体" w:cs="Tahoma"/>
          <w:color w:val="000000" w:themeColor="text1"/>
          <w:kern w:val="0"/>
          <w:sz w:val="24"/>
          <w:szCs w:val="24"/>
          <w14:textFill>
            <w14:solidFill>
              <w14:schemeClr w14:val="tx1"/>
            </w14:solidFill>
          </w14:textFill>
        </w:rPr>
        <w:t>。表3</w:t>
      </w:r>
      <w:r>
        <w:rPr>
          <w:rFonts w:ascii="宋体" w:hAnsi="宋体" w:eastAsia="宋体" w:cs="Tahoma"/>
          <w:color w:val="000000" w:themeColor="text1"/>
          <w:kern w:val="0"/>
          <w:sz w:val="24"/>
          <w:szCs w:val="24"/>
          <w14:textFill>
            <w14:solidFill>
              <w14:schemeClr w14:val="tx1"/>
            </w14:solidFill>
          </w14:textFill>
        </w:rPr>
        <w:t>显示了2015年至2018年中国</w:t>
      </w:r>
      <w:r>
        <w:rPr>
          <w:rFonts w:hint="eastAsia" w:ascii="宋体" w:hAnsi="宋体" w:eastAsia="宋体" w:cs="Tahoma"/>
          <w:color w:val="000000" w:themeColor="text1"/>
          <w:kern w:val="0"/>
          <w:sz w:val="24"/>
          <w:szCs w:val="24"/>
          <w14:textFill>
            <w14:solidFill>
              <w14:schemeClr w14:val="tx1"/>
            </w14:solidFill>
          </w14:textFill>
        </w:rPr>
        <w:t>和日本</w:t>
      </w:r>
      <w:r>
        <w:rPr>
          <w:rFonts w:ascii="宋体" w:hAnsi="宋体" w:eastAsia="宋体" w:cs="Tahoma"/>
          <w:color w:val="000000" w:themeColor="text1"/>
          <w:kern w:val="0"/>
          <w:sz w:val="24"/>
          <w:szCs w:val="24"/>
          <w14:textFill>
            <w14:solidFill>
              <w14:schemeClr w14:val="tx1"/>
            </w14:solidFill>
          </w14:textFill>
        </w:rPr>
        <w:t>从美国进口的笔记本电脑和手机，并将其与苹果在中国</w:t>
      </w:r>
      <w:r>
        <w:rPr>
          <w:rFonts w:hint="eastAsia" w:ascii="宋体" w:hAnsi="宋体" w:eastAsia="宋体" w:cs="Tahoma"/>
          <w:color w:val="000000" w:themeColor="text1"/>
          <w:kern w:val="0"/>
          <w:sz w:val="24"/>
          <w:szCs w:val="24"/>
          <w14:textFill>
            <w14:solidFill>
              <w14:schemeClr w14:val="tx1"/>
            </w14:solidFill>
          </w14:textFill>
        </w:rPr>
        <w:t>和</w:t>
      </w:r>
      <w:r>
        <w:rPr>
          <w:rFonts w:ascii="宋体" w:hAnsi="宋体" w:eastAsia="宋体" w:cs="Tahoma"/>
          <w:color w:val="000000" w:themeColor="text1"/>
          <w:kern w:val="0"/>
          <w:sz w:val="24"/>
          <w:szCs w:val="24"/>
          <w14:textFill>
            <w14:solidFill>
              <w14:schemeClr w14:val="tx1"/>
            </w14:solidFill>
          </w14:textFill>
        </w:rPr>
        <w:t>日本的年销售额以及相应的制造成本进行了比较</w:t>
      </w:r>
      <w:r>
        <w:rPr>
          <w:rFonts w:hint="eastAsia" w:ascii="宋体" w:hAnsi="宋体" w:eastAsia="宋体" w:cs="Tahoma"/>
          <w:color w:val="000000" w:themeColor="text1"/>
          <w:kern w:val="0"/>
          <w:sz w:val="24"/>
          <w:szCs w:val="24"/>
          <w14:textFill>
            <w14:solidFill>
              <w14:schemeClr w14:val="tx1"/>
            </w14:solidFill>
          </w14:textFill>
        </w:rPr>
        <w:t>，</w:t>
      </w:r>
      <w:r>
        <w:rPr>
          <w:rFonts w:ascii="宋体" w:hAnsi="宋体" w:eastAsia="宋体" w:cs="Tahoma"/>
          <w:color w:val="000000" w:themeColor="text1"/>
          <w:kern w:val="0"/>
          <w:sz w:val="24"/>
          <w:szCs w:val="24"/>
          <w14:textFill>
            <w14:solidFill>
              <w14:schemeClr w14:val="tx1"/>
            </w14:solidFill>
          </w14:textFill>
        </w:rPr>
        <w:t>这些差距是</w:t>
      </w:r>
      <w:r>
        <w:rPr>
          <w:rFonts w:hint="eastAsia" w:ascii="宋体" w:hAnsi="宋体" w:eastAsia="宋体" w:cs="Tahoma"/>
          <w:color w:val="000000" w:themeColor="text1"/>
          <w:kern w:val="0"/>
          <w:sz w:val="24"/>
          <w:szCs w:val="24"/>
          <w14:textFill>
            <w14:solidFill>
              <w14:schemeClr w14:val="tx1"/>
            </w14:solidFill>
          </w14:textFill>
        </w:rPr>
        <w:t>相当</w:t>
      </w:r>
      <w:r>
        <w:rPr>
          <w:rFonts w:ascii="宋体" w:hAnsi="宋体" w:eastAsia="宋体" w:cs="Tahoma"/>
          <w:color w:val="000000" w:themeColor="text1"/>
          <w:kern w:val="0"/>
          <w:sz w:val="24"/>
          <w:szCs w:val="24"/>
          <w14:textFill>
            <w14:solidFill>
              <w14:schemeClr w14:val="tx1"/>
            </w14:solidFill>
          </w14:textFill>
        </w:rPr>
        <w:t>巨大的</w:t>
      </w:r>
      <w:r>
        <w:rPr>
          <w:rFonts w:hint="eastAsia" w:ascii="宋体" w:hAnsi="宋体" w:eastAsia="宋体" w:cs="Tahoma"/>
          <w:color w:val="000000" w:themeColor="text1"/>
          <w:kern w:val="0"/>
          <w:sz w:val="24"/>
          <w:szCs w:val="24"/>
          <w14:textFill>
            <w14:solidFill>
              <w14:schemeClr w14:val="tx1"/>
            </w14:solidFill>
          </w14:textFill>
        </w:rPr>
        <w:t>。</w:t>
      </w:r>
      <w:r>
        <w:rPr>
          <w:rFonts w:ascii="宋体" w:hAnsi="宋体" w:eastAsia="宋体" w:cs="Tahoma"/>
          <w:color w:val="000000" w:themeColor="text1"/>
          <w:kern w:val="0"/>
          <w:sz w:val="24"/>
          <w:szCs w:val="24"/>
          <w14:textFill>
            <w14:solidFill>
              <w14:schemeClr w14:val="tx1"/>
            </w14:solidFill>
          </w14:textFill>
        </w:rPr>
        <w:t>造成这种差异的唯一</w:t>
      </w:r>
      <w:r>
        <w:rPr>
          <w:rFonts w:ascii="Tahoma" w:hAnsi="Tahoma" w:eastAsia="宋体" w:cs="Tahoma"/>
          <w:color w:val="000000" w:themeColor="text1"/>
          <w:kern w:val="0"/>
          <w:sz w:val="24"/>
          <w:szCs w:val="24"/>
          <w14:textFill>
            <w14:solidFill>
              <w14:schemeClr w14:val="tx1"/>
            </w14:solidFill>
          </w14:textFill>
        </w:rPr>
        <w:t>可能解释是，官方贸易统计数据没有将苹果在中国</w:t>
      </w:r>
      <w:r>
        <w:rPr>
          <w:rFonts w:hint="eastAsia" w:ascii="Tahoma" w:hAnsi="Tahoma" w:eastAsia="宋体" w:cs="Tahoma"/>
          <w:color w:val="000000" w:themeColor="text1"/>
          <w:kern w:val="0"/>
          <w:sz w:val="24"/>
          <w:szCs w:val="24"/>
          <w14:textFill>
            <w14:solidFill>
              <w14:schemeClr w14:val="tx1"/>
            </w14:solidFill>
          </w14:textFill>
        </w:rPr>
        <w:t>和日本</w:t>
      </w:r>
      <w:r>
        <w:rPr>
          <w:rFonts w:ascii="Tahoma" w:hAnsi="Tahoma" w:eastAsia="宋体" w:cs="Tahoma"/>
          <w:color w:val="000000" w:themeColor="text1"/>
          <w:kern w:val="0"/>
          <w:sz w:val="24"/>
          <w:szCs w:val="24"/>
          <w14:textFill>
            <w14:solidFill>
              <w14:schemeClr w14:val="tx1"/>
            </w14:solidFill>
          </w14:textFill>
        </w:rPr>
        <w:t>的销售额确认为美国出口</w:t>
      </w:r>
      <w:r>
        <w:rPr>
          <w:rFonts w:hint="eastAsia" w:ascii="Tahoma" w:hAnsi="Tahoma" w:eastAsia="宋体" w:cs="Tahoma"/>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官方贸易统计数据中</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缺失</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Tahoma" w:hAnsi="Tahoma" w:eastAsia="宋体" w:cs="Tahoma"/>
          <w:color w:val="000000" w:themeColor="text1"/>
          <w:kern w:val="0"/>
          <w:sz w:val="24"/>
          <w:szCs w:val="24"/>
          <w14:textFill>
            <w14:solidFill>
              <w14:schemeClr w14:val="tx1"/>
            </w14:solidFill>
          </w14:textFill>
        </w:rPr>
        <w:t>了美国无工厂制造商的大量</w:t>
      </w:r>
      <w:r>
        <w:rPr>
          <w:rFonts w:hint="eastAsia" w:ascii="Tahoma" w:hAnsi="Tahoma" w:eastAsia="宋体" w:cs="Tahoma"/>
          <w:color w:val="000000" w:themeColor="text1"/>
          <w:kern w:val="0"/>
          <w:sz w:val="24"/>
          <w:szCs w:val="24"/>
          <w14:textFill>
            <w14:solidFill>
              <w14:schemeClr w14:val="tx1"/>
            </w14:solidFill>
          </w14:textFill>
        </w:rPr>
        <w:t>出口，</w:t>
      </w:r>
      <w:r>
        <w:rPr>
          <w:rFonts w:ascii="Tahoma" w:hAnsi="Tahoma" w:eastAsia="宋体" w:cs="Tahoma"/>
          <w:color w:val="000000" w:themeColor="text1"/>
          <w:kern w:val="0"/>
          <w:sz w:val="24"/>
          <w:szCs w:val="24"/>
          <w14:textFill>
            <w14:solidFill>
              <w14:schemeClr w14:val="tx1"/>
            </w14:solidFill>
          </w14:textFill>
        </w:rPr>
        <w:t>也就是说，目前的贸易统计数据无法记录价值链贸易的</w:t>
      </w:r>
      <w:r>
        <w:rPr>
          <w:rFonts w:hint="eastAsia" w:ascii="Tahoma" w:hAnsi="Tahoma" w:eastAsia="宋体" w:cs="Tahoma"/>
          <w:color w:val="000000" w:themeColor="text1"/>
          <w:kern w:val="0"/>
          <w:sz w:val="24"/>
          <w:szCs w:val="24"/>
          <w14:textFill>
            <w14:solidFill>
              <w14:schemeClr w14:val="tx1"/>
            </w14:solidFill>
          </w14:textFill>
        </w:rPr>
        <w:t>真实</w:t>
      </w:r>
      <w:r>
        <w:rPr>
          <w:rFonts w:ascii="Tahoma" w:hAnsi="Tahoma" w:eastAsia="宋体" w:cs="Tahoma"/>
          <w:color w:val="000000" w:themeColor="text1"/>
          <w:kern w:val="0"/>
          <w:sz w:val="24"/>
          <w:szCs w:val="24"/>
          <w14:textFill>
            <w14:solidFill>
              <w14:schemeClr w14:val="tx1"/>
            </w14:solidFill>
          </w14:textFill>
        </w:rPr>
        <w:t>流量</w:t>
      </w:r>
      <w:r>
        <w:rPr>
          <w:rFonts w:hint="eastAsia" w:ascii="Tahoma" w:hAnsi="Tahoma" w:eastAsia="宋体" w:cs="Tahoma"/>
          <w:color w:val="000000" w:themeColor="text1"/>
          <w:kern w:val="0"/>
          <w:sz w:val="24"/>
          <w:szCs w:val="24"/>
          <w14:textFill>
            <w14:solidFill>
              <w14:schemeClr w14:val="tx1"/>
            </w14:solidFill>
          </w14:textFill>
        </w:rPr>
        <w:t>。如果不计算无工厂制造商的无形资产服务贸易，无疑低估了发达国家从前所未有的全球化中获益的程度，更重要的是，这扭曲了南北之间的贸易平衡。</w:t>
      </w:r>
      <w:r>
        <w:rPr>
          <w:rStyle w:val="20"/>
          <w:rFonts w:ascii="Tahoma" w:hAnsi="Tahoma" w:eastAsia="宋体" w:cs="Tahoma"/>
          <w:color w:val="000000" w:themeColor="text1"/>
          <w:kern w:val="0"/>
          <w:sz w:val="24"/>
          <w:szCs w:val="24"/>
          <w14:textFill>
            <w14:solidFill>
              <w14:schemeClr w14:val="tx1"/>
            </w14:solidFill>
          </w14:textFill>
        </w:rPr>
        <w:footnoteReference w:id="380"/>
      </w:r>
    </w:p>
    <w:p w14:paraId="0299CB72">
      <w:pPr>
        <w:jc w:val="center"/>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表3  苹果</w:t>
      </w:r>
      <w:r>
        <w:rPr>
          <w:rFonts w:ascii="宋体" w:hAnsi="宋体" w:eastAsia="宋体"/>
          <w:b/>
          <w:color w:val="000000" w:themeColor="text1"/>
          <w:sz w:val="24"/>
          <w:szCs w:val="24"/>
          <w14:textFill>
            <w14:solidFill>
              <w14:schemeClr w14:val="tx1"/>
            </w14:solidFill>
          </w14:textFill>
        </w:rPr>
        <w:t>公司</w:t>
      </w:r>
      <w:r>
        <w:rPr>
          <w:rFonts w:hint="eastAsia" w:ascii="宋体" w:hAnsi="宋体" w:eastAsia="宋体"/>
          <w:b/>
          <w:color w:val="000000" w:themeColor="text1"/>
          <w:sz w:val="24"/>
          <w:szCs w:val="24"/>
          <w14:textFill>
            <w14:solidFill>
              <w14:schemeClr w14:val="tx1"/>
            </w14:solidFill>
          </w14:textFill>
        </w:rPr>
        <w:t>向</w:t>
      </w:r>
      <w:r>
        <w:rPr>
          <w:rFonts w:ascii="宋体" w:hAnsi="宋体" w:eastAsia="宋体"/>
          <w:b/>
          <w:color w:val="000000" w:themeColor="text1"/>
          <w:sz w:val="24"/>
          <w:szCs w:val="24"/>
          <w14:textFill>
            <w14:solidFill>
              <w14:schemeClr w14:val="tx1"/>
            </w14:solidFill>
          </w14:textFill>
        </w:rPr>
        <w:t>中国和日本的出口</w:t>
      </w:r>
      <w:r>
        <w:rPr>
          <w:rFonts w:hint="eastAsia" w:ascii="宋体" w:hAnsi="宋体" w:eastAsia="宋体"/>
          <w:b/>
          <w:color w:val="000000" w:themeColor="text1"/>
          <w:sz w:val="24"/>
          <w:szCs w:val="24"/>
          <w14:textFill>
            <w14:solidFill>
              <w14:schemeClr w14:val="tx1"/>
            </w14:solidFill>
          </w14:textFill>
        </w:rPr>
        <w:t>数据</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7"/>
        <w:gridCol w:w="2947"/>
        <w:gridCol w:w="1176"/>
        <w:gridCol w:w="1176"/>
        <w:gridCol w:w="1176"/>
        <w:gridCol w:w="1176"/>
      </w:tblGrid>
      <w:tr w14:paraId="1C1E11D8">
        <w:tc>
          <w:tcPr>
            <w:tcW w:w="704" w:type="dxa"/>
          </w:tcPr>
          <w:p w14:paraId="30E8B879">
            <w:pPr>
              <w:rPr>
                <w:rFonts w:ascii="宋体" w:hAnsi="宋体" w:eastAsia="宋体"/>
                <w:b/>
                <w:color w:val="000000" w:themeColor="text1"/>
                <w:kern w:val="0"/>
                <w:sz w:val="24"/>
                <w:szCs w:val="24"/>
                <w14:textFill>
                  <w14:solidFill>
                    <w14:schemeClr w14:val="tx1"/>
                  </w14:solidFill>
                </w14:textFill>
              </w:rPr>
            </w:pPr>
            <w:r>
              <w:rPr>
                <w:rFonts w:hint="eastAsia" w:ascii="宋体" w:hAnsi="宋体" w:eastAsia="宋体"/>
                <w:b/>
                <w:color w:val="000000" w:themeColor="text1"/>
                <w:kern w:val="0"/>
                <w:sz w:val="24"/>
                <w:szCs w:val="24"/>
                <w14:textFill>
                  <w14:solidFill>
                    <w14:schemeClr w14:val="tx1"/>
                  </w14:solidFill>
                </w14:textFill>
              </w:rPr>
              <w:t>国别</w:t>
            </w:r>
          </w:p>
        </w:tc>
        <w:tc>
          <w:tcPr>
            <w:tcW w:w="3402" w:type="dxa"/>
          </w:tcPr>
          <w:p w14:paraId="781A5702">
            <w:pPr>
              <w:jc w:val="center"/>
              <w:rPr>
                <w:rFonts w:ascii="宋体" w:hAnsi="宋体" w:eastAsia="宋体"/>
                <w:b/>
                <w:color w:val="000000" w:themeColor="text1"/>
                <w:kern w:val="0"/>
                <w:sz w:val="24"/>
                <w:szCs w:val="24"/>
                <w14:textFill>
                  <w14:solidFill>
                    <w14:schemeClr w14:val="tx1"/>
                  </w14:solidFill>
                </w14:textFill>
              </w:rPr>
            </w:pPr>
            <w:r>
              <w:rPr>
                <w:rFonts w:hint="eastAsia" w:ascii="宋体" w:hAnsi="宋体" w:eastAsia="宋体"/>
                <w:b/>
                <w:color w:val="000000" w:themeColor="text1"/>
                <w:kern w:val="0"/>
                <w:sz w:val="24"/>
                <w:szCs w:val="24"/>
                <w14:textFill>
                  <w14:solidFill>
                    <w14:schemeClr w14:val="tx1"/>
                  </w14:solidFill>
                </w14:textFill>
              </w:rPr>
              <w:t>苹果</w:t>
            </w:r>
            <w:r>
              <w:rPr>
                <w:rFonts w:ascii="宋体" w:hAnsi="宋体" w:eastAsia="宋体"/>
                <w:b/>
                <w:color w:val="000000" w:themeColor="text1"/>
                <w:kern w:val="0"/>
                <w:sz w:val="24"/>
                <w:szCs w:val="24"/>
                <w14:textFill>
                  <w14:solidFill>
                    <w14:schemeClr w14:val="tx1"/>
                  </w14:solidFill>
                </w14:textFill>
              </w:rPr>
              <w:t>公司的</w:t>
            </w:r>
            <w:r>
              <w:rPr>
                <w:rFonts w:hint="eastAsia" w:ascii="宋体" w:hAnsi="宋体" w:eastAsia="宋体"/>
                <w:b/>
                <w:color w:val="000000" w:themeColor="text1"/>
                <w:kern w:val="0"/>
                <w:sz w:val="24"/>
                <w:szCs w:val="24"/>
                <w14:textFill>
                  <w14:solidFill>
                    <w14:schemeClr w14:val="tx1"/>
                  </w14:solidFill>
                </w14:textFill>
              </w:rPr>
              <w:t>出</w:t>
            </w:r>
            <w:r>
              <w:rPr>
                <w:rFonts w:ascii="宋体" w:hAnsi="宋体" w:eastAsia="宋体"/>
                <w:b/>
                <w:color w:val="000000" w:themeColor="text1"/>
                <w:kern w:val="0"/>
                <w:sz w:val="24"/>
                <w:szCs w:val="24"/>
                <w14:textFill>
                  <w14:solidFill>
                    <w14:schemeClr w14:val="tx1"/>
                  </w14:solidFill>
                </w14:textFill>
              </w:rPr>
              <w:t>口</w:t>
            </w:r>
            <w:r>
              <w:rPr>
                <w:rFonts w:hint="eastAsia" w:ascii="宋体" w:hAnsi="宋体" w:eastAsia="宋体"/>
                <w:b/>
                <w:color w:val="000000" w:themeColor="text1"/>
                <w:kern w:val="0"/>
                <w:sz w:val="24"/>
                <w:szCs w:val="24"/>
                <w14:textFill>
                  <w14:solidFill>
                    <w14:schemeClr w14:val="tx1"/>
                  </w14:solidFill>
                </w14:textFill>
              </w:rPr>
              <w:t>数据</w:t>
            </w:r>
          </w:p>
        </w:tc>
        <w:tc>
          <w:tcPr>
            <w:tcW w:w="1047" w:type="dxa"/>
          </w:tcPr>
          <w:p w14:paraId="5572BDE2">
            <w:pPr>
              <w:rPr>
                <w:rFonts w:ascii="宋体" w:hAnsi="宋体" w:eastAsia="宋体"/>
                <w:b/>
                <w:color w:val="000000" w:themeColor="text1"/>
                <w:kern w:val="0"/>
                <w:sz w:val="24"/>
                <w:szCs w:val="24"/>
                <w14:textFill>
                  <w14:solidFill>
                    <w14:schemeClr w14:val="tx1"/>
                  </w14:solidFill>
                </w14:textFill>
              </w:rPr>
            </w:pPr>
            <w:r>
              <w:rPr>
                <w:rFonts w:hint="eastAsia" w:ascii="宋体" w:hAnsi="宋体" w:eastAsia="宋体"/>
                <w:b/>
                <w:color w:val="000000" w:themeColor="text1"/>
                <w:kern w:val="0"/>
                <w:sz w:val="24"/>
                <w:szCs w:val="24"/>
                <w14:textFill>
                  <w14:solidFill>
                    <w14:schemeClr w14:val="tx1"/>
                  </w14:solidFill>
                </w14:textFill>
              </w:rPr>
              <w:t>2015年</w:t>
            </w:r>
          </w:p>
        </w:tc>
        <w:tc>
          <w:tcPr>
            <w:tcW w:w="1048" w:type="dxa"/>
          </w:tcPr>
          <w:p w14:paraId="354F2060">
            <w:pPr>
              <w:rPr>
                <w:rFonts w:ascii="宋体" w:hAnsi="宋体" w:eastAsia="宋体"/>
                <w:b/>
                <w:color w:val="000000" w:themeColor="text1"/>
                <w:kern w:val="0"/>
                <w:sz w:val="24"/>
                <w:szCs w:val="24"/>
                <w14:textFill>
                  <w14:solidFill>
                    <w14:schemeClr w14:val="tx1"/>
                  </w14:solidFill>
                </w14:textFill>
              </w:rPr>
            </w:pPr>
            <w:r>
              <w:rPr>
                <w:rFonts w:hint="eastAsia" w:ascii="宋体" w:hAnsi="宋体" w:eastAsia="宋体"/>
                <w:b/>
                <w:color w:val="000000" w:themeColor="text1"/>
                <w:kern w:val="0"/>
                <w:sz w:val="24"/>
                <w:szCs w:val="24"/>
                <w14:textFill>
                  <w14:solidFill>
                    <w14:schemeClr w14:val="tx1"/>
                  </w14:solidFill>
                </w14:textFill>
              </w:rPr>
              <w:t>2016年</w:t>
            </w:r>
          </w:p>
        </w:tc>
        <w:tc>
          <w:tcPr>
            <w:tcW w:w="1047" w:type="dxa"/>
          </w:tcPr>
          <w:p w14:paraId="646E51C9">
            <w:pPr>
              <w:rPr>
                <w:rFonts w:ascii="宋体" w:hAnsi="宋体" w:eastAsia="宋体"/>
                <w:b/>
                <w:color w:val="000000" w:themeColor="text1"/>
                <w:kern w:val="0"/>
                <w:sz w:val="24"/>
                <w:szCs w:val="24"/>
                <w14:textFill>
                  <w14:solidFill>
                    <w14:schemeClr w14:val="tx1"/>
                  </w14:solidFill>
                </w14:textFill>
              </w:rPr>
            </w:pPr>
            <w:r>
              <w:rPr>
                <w:rFonts w:hint="eastAsia" w:ascii="宋体" w:hAnsi="宋体" w:eastAsia="宋体"/>
                <w:b/>
                <w:color w:val="000000" w:themeColor="text1"/>
                <w:kern w:val="0"/>
                <w:sz w:val="24"/>
                <w:szCs w:val="24"/>
                <w14:textFill>
                  <w14:solidFill>
                    <w14:schemeClr w14:val="tx1"/>
                  </w14:solidFill>
                </w14:textFill>
              </w:rPr>
              <w:t>2017年</w:t>
            </w:r>
          </w:p>
        </w:tc>
        <w:tc>
          <w:tcPr>
            <w:tcW w:w="1048" w:type="dxa"/>
          </w:tcPr>
          <w:p w14:paraId="1B39AA45">
            <w:pPr>
              <w:rPr>
                <w:rFonts w:ascii="宋体" w:hAnsi="宋体" w:eastAsia="宋体"/>
                <w:b/>
                <w:color w:val="000000" w:themeColor="text1"/>
                <w:kern w:val="0"/>
                <w:sz w:val="24"/>
                <w:szCs w:val="24"/>
                <w14:textFill>
                  <w14:solidFill>
                    <w14:schemeClr w14:val="tx1"/>
                  </w14:solidFill>
                </w14:textFill>
              </w:rPr>
            </w:pPr>
            <w:r>
              <w:rPr>
                <w:rFonts w:hint="eastAsia" w:ascii="宋体" w:hAnsi="宋体" w:eastAsia="宋体"/>
                <w:b/>
                <w:color w:val="000000" w:themeColor="text1"/>
                <w:kern w:val="0"/>
                <w:sz w:val="24"/>
                <w:szCs w:val="24"/>
                <w14:textFill>
                  <w14:solidFill>
                    <w14:schemeClr w14:val="tx1"/>
                  </w14:solidFill>
                </w14:textFill>
              </w:rPr>
              <w:t>2018年</w:t>
            </w:r>
          </w:p>
        </w:tc>
      </w:tr>
      <w:tr w14:paraId="5028660A">
        <w:tc>
          <w:tcPr>
            <w:tcW w:w="704" w:type="dxa"/>
            <w:vMerge w:val="restart"/>
          </w:tcPr>
          <w:p w14:paraId="53697DC0">
            <w:pPr>
              <w:jc w:val="center"/>
              <w:rPr>
                <w:rFonts w:ascii="宋体" w:hAnsi="宋体" w:eastAsia="宋体"/>
                <w:color w:val="000000" w:themeColor="text1"/>
                <w:kern w:val="0"/>
                <w:sz w:val="24"/>
                <w:szCs w:val="24"/>
                <w14:textFill>
                  <w14:solidFill>
                    <w14:schemeClr w14:val="tx1"/>
                  </w14:solidFill>
                </w14:textFill>
              </w:rPr>
            </w:pPr>
          </w:p>
          <w:p w14:paraId="727AAFFD">
            <w:pPr>
              <w:rPr>
                <w:rFonts w:ascii="宋体" w:hAnsi="宋体" w:eastAsia="宋体"/>
                <w:color w:val="000000" w:themeColor="text1"/>
                <w:kern w:val="0"/>
                <w:sz w:val="24"/>
                <w:szCs w:val="24"/>
                <w14:textFill>
                  <w14:solidFill>
                    <w14:schemeClr w14:val="tx1"/>
                  </w14:solidFill>
                </w14:textFill>
              </w:rPr>
            </w:pPr>
          </w:p>
          <w:p w14:paraId="4F05A5DF">
            <w:pPr>
              <w:jc w:val="center"/>
              <w:rPr>
                <w:rFonts w:ascii="宋体" w:hAnsi="宋体" w:eastAsia="宋体"/>
                <w:color w:val="000000" w:themeColor="text1"/>
                <w:kern w:val="0"/>
                <w:sz w:val="24"/>
                <w:szCs w:val="24"/>
                <w14:textFill>
                  <w14:solidFill>
                    <w14:schemeClr w14:val="tx1"/>
                  </w14:solidFill>
                </w14:textFill>
              </w:rPr>
            </w:pPr>
          </w:p>
          <w:p w14:paraId="1097D3D9">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中国</w:t>
            </w:r>
          </w:p>
          <w:p w14:paraId="233D8641">
            <w:pPr>
              <w:rPr>
                <w:rFonts w:ascii="宋体" w:hAnsi="宋体" w:eastAsia="宋体"/>
                <w:color w:val="000000" w:themeColor="text1"/>
                <w:kern w:val="0"/>
                <w:sz w:val="24"/>
                <w:szCs w:val="24"/>
                <w14:textFill>
                  <w14:solidFill>
                    <w14:schemeClr w14:val="tx1"/>
                  </w14:solidFill>
                </w14:textFill>
              </w:rPr>
            </w:pPr>
          </w:p>
        </w:tc>
        <w:tc>
          <w:tcPr>
            <w:tcW w:w="3402" w:type="dxa"/>
          </w:tcPr>
          <w:p w14:paraId="7F859382">
            <w:pP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A：中国从美国进口的笔记本电脑和手机（单位：百万美元）</w:t>
            </w:r>
          </w:p>
        </w:tc>
        <w:tc>
          <w:tcPr>
            <w:tcW w:w="1047" w:type="dxa"/>
            <w:vAlign w:val="center"/>
          </w:tcPr>
          <w:p w14:paraId="673D4632">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1.67</w:t>
            </w:r>
          </w:p>
        </w:tc>
        <w:tc>
          <w:tcPr>
            <w:tcW w:w="1048" w:type="dxa"/>
            <w:vAlign w:val="center"/>
          </w:tcPr>
          <w:p w14:paraId="3E9BC732">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3.60</w:t>
            </w:r>
          </w:p>
        </w:tc>
        <w:tc>
          <w:tcPr>
            <w:tcW w:w="1047" w:type="dxa"/>
            <w:vAlign w:val="center"/>
          </w:tcPr>
          <w:p w14:paraId="5EDB41F1">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2.98</w:t>
            </w:r>
          </w:p>
        </w:tc>
        <w:tc>
          <w:tcPr>
            <w:tcW w:w="1048" w:type="dxa"/>
            <w:vAlign w:val="center"/>
          </w:tcPr>
          <w:p w14:paraId="1C8F84DD">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4.05</w:t>
            </w:r>
          </w:p>
        </w:tc>
      </w:tr>
      <w:tr w14:paraId="58419A11">
        <w:tc>
          <w:tcPr>
            <w:tcW w:w="704" w:type="dxa"/>
            <w:vMerge w:val="continue"/>
          </w:tcPr>
          <w:p w14:paraId="4191A03A">
            <w:pPr>
              <w:rPr>
                <w:rFonts w:ascii="宋体" w:hAnsi="宋体" w:eastAsia="宋体"/>
                <w:color w:val="000000" w:themeColor="text1"/>
                <w:kern w:val="0"/>
                <w:sz w:val="24"/>
                <w:szCs w:val="24"/>
                <w14:textFill>
                  <w14:solidFill>
                    <w14:schemeClr w14:val="tx1"/>
                  </w14:solidFill>
                </w14:textFill>
              </w:rPr>
            </w:pPr>
          </w:p>
        </w:tc>
        <w:tc>
          <w:tcPr>
            <w:tcW w:w="3402" w:type="dxa"/>
          </w:tcPr>
          <w:p w14:paraId="3B65EFE7">
            <w:pP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B：苹果公司在中国的销售额（单位：十亿美元）</w:t>
            </w:r>
          </w:p>
        </w:tc>
        <w:tc>
          <w:tcPr>
            <w:tcW w:w="1047" w:type="dxa"/>
            <w:vAlign w:val="center"/>
          </w:tcPr>
          <w:p w14:paraId="2553B36B">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58.72</w:t>
            </w:r>
          </w:p>
        </w:tc>
        <w:tc>
          <w:tcPr>
            <w:tcW w:w="1048" w:type="dxa"/>
            <w:vAlign w:val="center"/>
          </w:tcPr>
          <w:p w14:paraId="0676D106">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48.49</w:t>
            </w:r>
          </w:p>
        </w:tc>
        <w:tc>
          <w:tcPr>
            <w:tcW w:w="1047" w:type="dxa"/>
            <w:vAlign w:val="center"/>
          </w:tcPr>
          <w:p w14:paraId="171267B5">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44.76</w:t>
            </w:r>
          </w:p>
        </w:tc>
        <w:tc>
          <w:tcPr>
            <w:tcW w:w="1048" w:type="dxa"/>
            <w:vAlign w:val="center"/>
          </w:tcPr>
          <w:p w14:paraId="6EFF4414">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51.94</w:t>
            </w:r>
          </w:p>
        </w:tc>
      </w:tr>
      <w:tr w14:paraId="176810CF">
        <w:tc>
          <w:tcPr>
            <w:tcW w:w="704" w:type="dxa"/>
            <w:vMerge w:val="continue"/>
          </w:tcPr>
          <w:p w14:paraId="3BBE3965">
            <w:pPr>
              <w:rPr>
                <w:rFonts w:ascii="宋体" w:hAnsi="宋体" w:eastAsia="宋体"/>
                <w:color w:val="000000" w:themeColor="text1"/>
                <w:kern w:val="0"/>
                <w:sz w:val="24"/>
                <w:szCs w:val="24"/>
                <w14:textFill>
                  <w14:solidFill>
                    <w14:schemeClr w14:val="tx1"/>
                  </w14:solidFill>
                </w14:textFill>
              </w:rPr>
            </w:pPr>
          </w:p>
        </w:tc>
        <w:tc>
          <w:tcPr>
            <w:tcW w:w="3402" w:type="dxa"/>
          </w:tcPr>
          <w:p w14:paraId="45280610">
            <w:pP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C：在中国销售的苹果产品的制造成本（单位：十亿美元）</w:t>
            </w:r>
          </w:p>
        </w:tc>
        <w:tc>
          <w:tcPr>
            <w:tcW w:w="1047" w:type="dxa"/>
            <w:vAlign w:val="center"/>
          </w:tcPr>
          <w:p w14:paraId="550EF880">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35.17</w:t>
            </w:r>
          </w:p>
        </w:tc>
        <w:tc>
          <w:tcPr>
            <w:tcW w:w="1048" w:type="dxa"/>
            <w:vAlign w:val="center"/>
          </w:tcPr>
          <w:p w14:paraId="67B67CF8">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29.53</w:t>
            </w:r>
          </w:p>
        </w:tc>
        <w:tc>
          <w:tcPr>
            <w:tcW w:w="1047" w:type="dxa"/>
            <w:vAlign w:val="center"/>
          </w:tcPr>
          <w:p w14:paraId="59E3162D">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27.53</w:t>
            </w:r>
          </w:p>
        </w:tc>
        <w:tc>
          <w:tcPr>
            <w:tcW w:w="1048" w:type="dxa"/>
            <w:vAlign w:val="center"/>
          </w:tcPr>
          <w:p w14:paraId="48E04B32">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32.05</w:t>
            </w:r>
          </w:p>
        </w:tc>
      </w:tr>
      <w:tr w14:paraId="72F03004">
        <w:tc>
          <w:tcPr>
            <w:tcW w:w="704" w:type="dxa"/>
            <w:vMerge w:val="continue"/>
          </w:tcPr>
          <w:p w14:paraId="7DBFFD7E">
            <w:pPr>
              <w:rPr>
                <w:rFonts w:ascii="宋体" w:hAnsi="宋体" w:eastAsia="宋体"/>
                <w:color w:val="000000" w:themeColor="text1"/>
                <w:kern w:val="0"/>
                <w:sz w:val="24"/>
                <w:szCs w:val="24"/>
                <w14:textFill>
                  <w14:solidFill>
                    <w14:schemeClr w14:val="tx1"/>
                  </w14:solidFill>
                </w14:textFill>
              </w:rPr>
            </w:pPr>
          </w:p>
        </w:tc>
        <w:tc>
          <w:tcPr>
            <w:tcW w:w="3402" w:type="dxa"/>
          </w:tcPr>
          <w:p w14:paraId="66CB22CA">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B/A（1000倍）</w:t>
            </w:r>
          </w:p>
        </w:tc>
        <w:tc>
          <w:tcPr>
            <w:tcW w:w="1047" w:type="dxa"/>
            <w:vAlign w:val="center"/>
          </w:tcPr>
          <w:p w14:paraId="25485D86">
            <w:pPr>
              <w:widowControl/>
              <w:jc w:val="cente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35.2</w:t>
            </w:r>
          </w:p>
        </w:tc>
        <w:tc>
          <w:tcPr>
            <w:tcW w:w="1048" w:type="dxa"/>
            <w:vAlign w:val="center"/>
          </w:tcPr>
          <w:p w14:paraId="165B861E">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13.5</w:t>
            </w:r>
          </w:p>
        </w:tc>
        <w:tc>
          <w:tcPr>
            <w:tcW w:w="1047" w:type="dxa"/>
            <w:vAlign w:val="center"/>
          </w:tcPr>
          <w:p w14:paraId="61AED1B8">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15.0</w:t>
            </w:r>
          </w:p>
        </w:tc>
        <w:tc>
          <w:tcPr>
            <w:tcW w:w="1048" w:type="dxa"/>
            <w:vAlign w:val="center"/>
          </w:tcPr>
          <w:p w14:paraId="516BFB24">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12.8</w:t>
            </w:r>
          </w:p>
        </w:tc>
      </w:tr>
      <w:tr w14:paraId="757AEAA4">
        <w:tc>
          <w:tcPr>
            <w:tcW w:w="704" w:type="dxa"/>
            <w:vMerge w:val="continue"/>
          </w:tcPr>
          <w:p w14:paraId="46035D4A">
            <w:pPr>
              <w:rPr>
                <w:rFonts w:ascii="宋体" w:hAnsi="宋体" w:eastAsia="宋体"/>
                <w:color w:val="000000" w:themeColor="text1"/>
                <w:kern w:val="0"/>
                <w:sz w:val="24"/>
                <w:szCs w:val="24"/>
                <w14:textFill>
                  <w14:solidFill>
                    <w14:schemeClr w14:val="tx1"/>
                  </w14:solidFill>
                </w14:textFill>
              </w:rPr>
            </w:pPr>
          </w:p>
        </w:tc>
        <w:tc>
          <w:tcPr>
            <w:tcW w:w="3402" w:type="dxa"/>
          </w:tcPr>
          <w:p w14:paraId="22C57AE4">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C/A（1000倍）</w:t>
            </w:r>
          </w:p>
        </w:tc>
        <w:tc>
          <w:tcPr>
            <w:tcW w:w="1047" w:type="dxa"/>
            <w:vAlign w:val="center"/>
          </w:tcPr>
          <w:p w14:paraId="47AF7CCC">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21.1</w:t>
            </w:r>
          </w:p>
        </w:tc>
        <w:tc>
          <w:tcPr>
            <w:tcW w:w="1048" w:type="dxa"/>
            <w:vAlign w:val="center"/>
          </w:tcPr>
          <w:p w14:paraId="06327516">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8.2</w:t>
            </w:r>
          </w:p>
        </w:tc>
        <w:tc>
          <w:tcPr>
            <w:tcW w:w="1047" w:type="dxa"/>
            <w:vAlign w:val="center"/>
          </w:tcPr>
          <w:p w14:paraId="4FB52F9B">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9.2</w:t>
            </w:r>
          </w:p>
        </w:tc>
        <w:tc>
          <w:tcPr>
            <w:tcW w:w="1048" w:type="dxa"/>
            <w:vAlign w:val="center"/>
          </w:tcPr>
          <w:p w14:paraId="3CD863C5">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7.9</w:t>
            </w:r>
          </w:p>
        </w:tc>
      </w:tr>
      <w:tr w14:paraId="0B38C8CE">
        <w:tc>
          <w:tcPr>
            <w:tcW w:w="704" w:type="dxa"/>
            <w:vMerge w:val="restart"/>
          </w:tcPr>
          <w:p w14:paraId="4D950CDC">
            <w:pPr>
              <w:jc w:val="center"/>
              <w:rPr>
                <w:rFonts w:ascii="宋体" w:hAnsi="宋体" w:eastAsia="宋体"/>
                <w:color w:val="000000" w:themeColor="text1"/>
                <w:kern w:val="0"/>
                <w:sz w:val="24"/>
                <w:szCs w:val="24"/>
                <w14:textFill>
                  <w14:solidFill>
                    <w14:schemeClr w14:val="tx1"/>
                  </w14:solidFill>
                </w14:textFill>
              </w:rPr>
            </w:pPr>
          </w:p>
          <w:p w14:paraId="0D716FD6">
            <w:pPr>
              <w:rPr>
                <w:rFonts w:ascii="宋体" w:hAnsi="宋体" w:eastAsia="宋体"/>
                <w:color w:val="000000" w:themeColor="text1"/>
                <w:kern w:val="0"/>
                <w:sz w:val="24"/>
                <w:szCs w:val="24"/>
                <w14:textFill>
                  <w14:solidFill>
                    <w14:schemeClr w14:val="tx1"/>
                  </w14:solidFill>
                </w14:textFill>
              </w:rPr>
            </w:pPr>
          </w:p>
          <w:p w14:paraId="0767FDA3">
            <w:pPr>
              <w:jc w:val="center"/>
              <w:rPr>
                <w:rFonts w:ascii="宋体" w:hAnsi="宋体" w:eastAsia="宋体"/>
                <w:color w:val="000000" w:themeColor="text1"/>
                <w:kern w:val="0"/>
                <w:sz w:val="24"/>
                <w:szCs w:val="24"/>
                <w14:textFill>
                  <w14:solidFill>
                    <w14:schemeClr w14:val="tx1"/>
                  </w14:solidFill>
                </w14:textFill>
              </w:rPr>
            </w:pPr>
          </w:p>
          <w:p w14:paraId="69878768">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日本</w:t>
            </w:r>
          </w:p>
        </w:tc>
        <w:tc>
          <w:tcPr>
            <w:tcW w:w="3402" w:type="dxa"/>
          </w:tcPr>
          <w:p w14:paraId="0B0C36B3">
            <w:pP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A：日本从美国进口的笔记本电脑和手机（单位：百万美元）</w:t>
            </w:r>
          </w:p>
        </w:tc>
        <w:tc>
          <w:tcPr>
            <w:tcW w:w="1047" w:type="dxa"/>
            <w:vAlign w:val="center"/>
          </w:tcPr>
          <w:p w14:paraId="30559C73">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7.30</w:t>
            </w:r>
          </w:p>
        </w:tc>
        <w:tc>
          <w:tcPr>
            <w:tcW w:w="1048" w:type="dxa"/>
            <w:vAlign w:val="center"/>
          </w:tcPr>
          <w:p w14:paraId="2DA5E92C">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8.61</w:t>
            </w:r>
          </w:p>
        </w:tc>
        <w:tc>
          <w:tcPr>
            <w:tcW w:w="1047" w:type="dxa"/>
            <w:vAlign w:val="center"/>
          </w:tcPr>
          <w:p w14:paraId="2EFD10B1">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8.24</w:t>
            </w:r>
          </w:p>
        </w:tc>
        <w:tc>
          <w:tcPr>
            <w:tcW w:w="1048" w:type="dxa"/>
            <w:vAlign w:val="center"/>
          </w:tcPr>
          <w:p w14:paraId="2655BFA5">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8.69</w:t>
            </w:r>
          </w:p>
        </w:tc>
      </w:tr>
      <w:tr w14:paraId="01CA51EE">
        <w:tc>
          <w:tcPr>
            <w:tcW w:w="704" w:type="dxa"/>
            <w:vMerge w:val="continue"/>
          </w:tcPr>
          <w:p w14:paraId="381F544F">
            <w:pPr>
              <w:rPr>
                <w:rFonts w:ascii="宋体" w:hAnsi="宋体" w:eastAsia="宋体"/>
                <w:color w:val="000000" w:themeColor="text1"/>
                <w:kern w:val="0"/>
                <w:sz w:val="24"/>
                <w:szCs w:val="24"/>
                <w14:textFill>
                  <w14:solidFill>
                    <w14:schemeClr w14:val="tx1"/>
                  </w14:solidFill>
                </w14:textFill>
              </w:rPr>
            </w:pPr>
          </w:p>
        </w:tc>
        <w:tc>
          <w:tcPr>
            <w:tcW w:w="3402" w:type="dxa"/>
          </w:tcPr>
          <w:p w14:paraId="071EAA89">
            <w:pP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B：苹果公司在日本的销售额（单位：十亿美元）</w:t>
            </w:r>
          </w:p>
        </w:tc>
        <w:tc>
          <w:tcPr>
            <w:tcW w:w="1047" w:type="dxa"/>
            <w:vAlign w:val="center"/>
          </w:tcPr>
          <w:p w14:paraId="1547687D">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15.71</w:t>
            </w:r>
          </w:p>
        </w:tc>
        <w:tc>
          <w:tcPr>
            <w:tcW w:w="1048" w:type="dxa"/>
            <w:vAlign w:val="center"/>
          </w:tcPr>
          <w:p w14:paraId="65CF6FCF">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16.93</w:t>
            </w:r>
          </w:p>
        </w:tc>
        <w:tc>
          <w:tcPr>
            <w:tcW w:w="1047" w:type="dxa"/>
            <w:vAlign w:val="center"/>
          </w:tcPr>
          <w:p w14:paraId="2A5D0DF7">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17.73</w:t>
            </w:r>
          </w:p>
        </w:tc>
        <w:tc>
          <w:tcPr>
            <w:tcW w:w="1048" w:type="dxa"/>
            <w:vAlign w:val="center"/>
          </w:tcPr>
          <w:p w14:paraId="038D7388">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21.73</w:t>
            </w:r>
          </w:p>
        </w:tc>
      </w:tr>
      <w:tr w14:paraId="1CAFAC12">
        <w:tc>
          <w:tcPr>
            <w:tcW w:w="704" w:type="dxa"/>
            <w:vMerge w:val="continue"/>
          </w:tcPr>
          <w:p w14:paraId="49D6B676">
            <w:pPr>
              <w:rPr>
                <w:rFonts w:ascii="宋体" w:hAnsi="宋体" w:eastAsia="宋体"/>
                <w:color w:val="000000" w:themeColor="text1"/>
                <w:kern w:val="0"/>
                <w:sz w:val="24"/>
                <w:szCs w:val="24"/>
                <w14:textFill>
                  <w14:solidFill>
                    <w14:schemeClr w14:val="tx1"/>
                  </w14:solidFill>
                </w14:textFill>
              </w:rPr>
            </w:pPr>
          </w:p>
        </w:tc>
        <w:tc>
          <w:tcPr>
            <w:tcW w:w="3402" w:type="dxa"/>
          </w:tcPr>
          <w:p w14:paraId="777ED0B1">
            <w:pP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C：在日本销售的苹果产品的制造成本（单位：十亿美元）</w:t>
            </w:r>
          </w:p>
        </w:tc>
        <w:tc>
          <w:tcPr>
            <w:tcW w:w="1047" w:type="dxa"/>
            <w:vAlign w:val="center"/>
          </w:tcPr>
          <w:p w14:paraId="76F815B1">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9.41</w:t>
            </w:r>
          </w:p>
        </w:tc>
        <w:tc>
          <w:tcPr>
            <w:tcW w:w="1048" w:type="dxa"/>
            <w:vAlign w:val="center"/>
          </w:tcPr>
          <w:p w14:paraId="1D021B45">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10.31</w:t>
            </w:r>
          </w:p>
        </w:tc>
        <w:tc>
          <w:tcPr>
            <w:tcW w:w="1047" w:type="dxa"/>
            <w:vAlign w:val="center"/>
          </w:tcPr>
          <w:p w14:paraId="512558F9">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10.91</w:t>
            </w:r>
          </w:p>
        </w:tc>
        <w:tc>
          <w:tcPr>
            <w:tcW w:w="1048" w:type="dxa"/>
            <w:vAlign w:val="center"/>
          </w:tcPr>
          <w:p w14:paraId="1B7C677C">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13.41</w:t>
            </w:r>
          </w:p>
        </w:tc>
      </w:tr>
      <w:tr w14:paraId="0548ECFE">
        <w:tc>
          <w:tcPr>
            <w:tcW w:w="704" w:type="dxa"/>
            <w:vMerge w:val="continue"/>
          </w:tcPr>
          <w:p w14:paraId="64E47934">
            <w:pPr>
              <w:rPr>
                <w:rFonts w:ascii="宋体" w:hAnsi="宋体" w:eastAsia="宋体"/>
                <w:color w:val="000000" w:themeColor="text1"/>
                <w:kern w:val="0"/>
                <w:sz w:val="24"/>
                <w:szCs w:val="24"/>
                <w14:textFill>
                  <w14:solidFill>
                    <w14:schemeClr w14:val="tx1"/>
                  </w14:solidFill>
                </w14:textFill>
              </w:rPr>
            </w:pPr>
          </w:p>
        </w:tc>
        <w:tc>
          <w:tcPr>
            <w:tcW w:w="3402" w:type="dxa"/>
          </w:tcPr>
          <w:p w14:paraId="5FD455FC">
            <w:pPr>
              <w:jc w:val="cente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B/A（1000倍）</w:t>
            </w:r>
          </w:p>
        </w:tc>
        <w:tc>
          <w:tcPr>
            <w:tcW w:w="1047" w:type="dxa"/>
            <w:vAlign w:val="center"/>
          </w:tcPr>
          <w:p w14:paraId="62BFED86">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2.2</w:t>
            </w:r>
          </w:p>
        </w:tc>
        <w:tc>
          <w:tcPr>
            <w:tcW w:w="1048" w:type="dxa"/>
            <w:vAlign w:val="center"/>
          </w:tcPr>
          <w:p w14:paraId="65634F67">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2.0</w:t>
            </w:r>
          </w:p>
        </w:tc>
        <w:tc>
          <w:tcPr>
            <w:tcW w:w="1047" w:type="dxa"/>
            <w:vAlign w:val="center"/>
          </w:tcPr>
          <w:p w14:paraId="59D33FA4">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2.2</w:t>
            </w:r>
          </w:p>
        </w:tc>
        <w:tc>
          <w:tcPr>
            <w:tcW w:w="1048" w:type="dxa"/>
            <w:vAlign w:val="center"/>
          </w:tcPr>
          <w:p w14:paraId="30191679">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2.5</w:t>
            </w:r>
          </w:p>
        </w:tc>
      </w:tr>
      <w:tr w14:paraId="75EBEF91">
        <w:tc>
          <w:tcPr>
            <w:tcW w:w="704" w:type="dxa"/>
            <w:vMerge w:val="continue"/>
          </w:tcPr>
          <w:p w14:paraId="4CB83D42">
            <w:pPr>
              <w:rPr>
                <w:rFonts w:ascii="宋体" w:hAnsi="宋体" w:eastAsia="宋体"/>
                <w:color w:val="000000" w:themeColor="text1"/>
                <w:kern w:val="0"/>
                <w:sz w:val="24"/>
                <w:szCs w:val="24"/>
                <w14:textFill>
                  <w14:solidFill>
                    <w14:schemeClr w14:val="tx1"/>
                  </w14:solidFill>
                </w14:textFill>
              </w:rPr>
            </w:pPr>
          </w:p>
        </w:tc>
        <w:tc>
          <w:tcPr>
            <w:tcW w:w="3402" w:type="dxa"/>
          </w:tcPr>
          <w:p w14:paraId="26CEC674">
            <w:pPr>
              <w:jc w:val="center"/>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C/A（1000倍）</w:t>
            </w:r>
          </w:p>
        </w:tc>
        <w:tc>
          <w:tcPr>
            <w:tcW w:w="1047" w:type="dxa"/>
            <w:vAlign w:val="center"/>
          </w:tcPr>
          <w:p w14:paraId="7ACF0DC3">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1.3</w:t>
            </w:r>
          </w:p>
        </w:tc>
        <w:tc>
          <w:tcPr>
            <w:tcW w:w="1048" w:type="dxa"/>
            <w:vAlign w:val="center"/>
          </w:tcPr>
          <w:p w14:paraId="4B235B30">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1.2</w:t>
            </w:r>
          </w:p>
        </w:tc>
        <w:tc>
          <w:tcPr>
            <w:tcW w:w="1047" w:type="dxa"/>
            <w:vAlign w:val="center"/>
          </w:tcPr>
          <w:p w14:paraId="2FA3EDB0">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1.3</w:t>
            </w:r>
          </w:p>
        </w:tc>
        <w:tc>
          <w:tcPr>
            <w:tcW w:w="1048" w:type="dxa"/>
            <w:vAlign w:val="center"/>
          </w:tcPr>
          <w:p w14:paraId="4E74A071">
            <w:pPr>
              <w:jc w:val="center"/>
              <w:rPr>
                <w:rFonts w:ascii="宋体" w:hAnsi="宋体" w:eastAsia="宋体"/>
                <w:color w:val="000000" w:themeColor="text1"/>
                <w:kern w:val="0"/>
                <w:sz w:val="24"/>
                <w:szCs w:val="24"/>
                <w14:textFill>
                  <w14:solidFill>
                    <w14:schemeClr w14:val="tx1"/>
                  </w14:solidFill>
                </w14:textFill>
              </w:rPr>
            </w:pPr>
            <w:r>
              <w:rPr>
                <w:rFonts w:hint="eastAsia" w:ascii="宋体" w:hAnsi="宋体" w:eastAsia="宋体"/>
                <w:color w:val="000000" w:themeColor="text1"/>
                <w:kern w:val="0"/>
                <w:sz w:val="24"/>
                <w:szCs w:val="24"/>
                <w14:textFill>
                  <w14:solidFill>
                    <w14:schemeClr w14:val="tx1"/>
                  </w14:solidFill>
                </w14:textFill>
              </w:rPr>
              <w:t>1.5</w:t>
            </w:r>
          </w:p>
        </w:tc>
      </w:tr>
    </w:tbl>
    <w:p w14:paraId="2F34997A">
      <w:pPr>
        <w:rPr>
          <w:rStyle w:val="22"/>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资料</w:t>
      </w:r>
      <w:r>
        <w:rPr>
          <w:rFonts w:ascii="宋体" w:hAnsi="宋体" w:eastAsia="宋体"/>
          <w:color w:val="000000" w:themeColor="text1"/>
          <w14:textFill>
            <w14:solidFill>
              <w14:schemeClr w14:val="tx1"/>
            </w14:solidFill>
          </w14:textFill>
        </w:rPr>
        <w:t>来源：</w:t>
      </w:r>
      <w:r>
        <w:rPr>
          <w:rFonts w:ascii="Times New Roman" w:hAnsi="Times New Roman" w:cs="Times New Roman"/>
          <w:color w:val="000000" w:themeColor="text1"/>
          <w:szCs w:val="21"/>
          <w14:textFill>
            <w14:solidFill>
              <w14:schemeClr w14:val="tx1"/>
            </w14:solidFill>
          </w14:textFill>
        </w:rPr>
        <w:t xml:space="preserve">Yuqing Xing, “Factoryless Manufacturers and International Trade in the Age of Global Value Chains”, GRIPS </w:t>
      </w:r>
      <w:r>
        <w:rPr>
          <w:rFonts w:ascii="Times New Roman" w:hAnsi="Times New Roman" w:cs="Times New Roman"/>
          <w:color w:val="000000" w:themeColor="text1"/>
          <w:kern w:val="0"/>
          <w:szCs w:val="21"/>
          <w14:textFill>
            <w14:solidFill>
              <w14:schemeClr w14:val="tx1"/>
            </w14:solidFill>
          </w14:textFill>
        </w:rPr>
        <w:t>Discussion Paper 21-02</w:t>
      </w:r>
      <w:r>
        <w:rPr>
          <w:rFonts w:ascii="Times New Roman" w:hAnsi="Times New Roman" w:cs="Times New Roman"/>
          <w:color w:val="000000" w:themeColor="text1"/>
          <w:szCs w:val="21"/>
          <w14:textFill>
            <w14:solidFill>
              <w14:schemeClr w14:val="tx1"/>
            </w14:solidFill>
          </w14:textFill>
        </w:rPr>
        <w:t>, 2021,Tokyo: National Graduate Institute for Policy Studies.</w:t>
      </w:r>
    </w:p>
    <w:p w14:paraId="4A3787BD">
      <w:pPr>
        <w:autoSpaceDE w:val="0"/>
        <w:autoSpaceDN w:val="0"/>
        <w:adjustRightInd w:val="0"/>
        <w:spacing w:line="360" w:lineRule="auto"/>
        <w:ind w:firstLine="480" w:firstLineChars="200"/>
        <w:rPr>
          <w:rFonts w:ascii="宋体" w:hAnsi="宋体" w:eastAsia="宋体"/>
          <w:color w:val="000000" w:themeColor="text1"/>
          <w:sz w:val="24"/>
          <w:szCs w:val="24"/>
          <w14:textFill>
            <w14:solidFill>
              <w14:schemeClr w14:val="tx1"/>
            </w14:solidFill>
          </w14:textFill>
        </w:rPr>
      </w:pPr>
      <w:r>
        <w:rPr>
          <w:rStyle w:val="22"/>
          <w:rFonts w:hint="eastAsia" w:ascii="宋体" w:hAnsi="宋体" w:eastAsia="宋体" w:cs="宋体"/>
          <w:color w:val="000000" w:themeColor="text1"/>
          <w:sz w:val="24"/>
          <w:szCs w:val="24"/>
          <w14:textFill>
            <w14:solidFill>
              <w14:schemeClr w14:val="tx1"/>
            </w14:solidFill>
          </w14:textFill>
        </w:rPr>
        <w:t>因此，全球价值链</w:t>
      </w:r>
      <w:r>
        <w:rPr>
          <w:rStyle w:val="22"/>
          <w:rFonts w:ascii="宋体" w:hAnsi="宋体" w:eastAsia="宋体" w:cs="宋体"/>
          <w:color w:val="000000" w:themeColor="text1"/>
          <w:sz w:val="24"/>
          <w:szCs w:val="24"/>
          <w14:textFill>
            <w14:solidFill>
              <w14:schemeClr w14:val="tx1"/>
            </w14:solidFill>
          </w14:textFill>
        </w:rPr>
        <w:t>本身是一个资本逻辑统领的</w:t>
      </w:r>
      <w:r>
        <w:rPr>
          <w:rStyle w:val="22"/>
          <w:rFonts w:hint="eastAsia" w:ascii="宋体" w:hAnsi="宋体" w:eastAsia="宋体" w:cs="宋体"/>
          <w:color w:val="000000" w:themeColor="text1"/>
          <w:sz w:val="24"/>
          <w:szCs w:val="24"/>
          <w14:textFill>
            <w14:solidFill>
              <w14:schemeClr w14:val="tx1"/>
            </w14:solidFill>
          </w14:textFill>
        </w:rPr>
        <w:t>结构化</w:t>
      </w:r>
      <w:r>
        <w:rPr>
          <w:rStyle w:val="22"/>
          <w:rFonts w:ascii="宋体" w:hAnsi="宋体" w:eastAsia="宋体" w:cs="宋体"/>
          <w:color w:val="000000" w:themeColor="text1"/>
          <w:sz w:val="24"/>
          <w:szCs w:val="24"/>
          <w14:textFill>
            <w14:solidFill>
              <w14:schemeClr w14:val="tx1"/>
            </w14:solidFill>
          </w14:textFill>
        </w:rPr>
        <w:t>的分工体系。</w:t>
      </w:r>
      <w:r>
        <w:rPr>
          <w:rFonts w:hint="eastAsia" w:ascii="宋体" w:hAnsi="宋体" w:eastAsia="宋体"/>
          <w:color w:val="000000" w:themeColor="text1"/>
          <w:sz w:val="24"/>
          <w:szCs w:val="24"/>
          <w14:textFill>
            <w14:solidFill>
              <w14:schemeClr w14:val="tx1"/>
            </w14:solidFill>
          </w14:textFill>
        </w:rPr>
        <w:t>全球价值链</w:t>
      </w:r>
      <w:r>
        <w:rPr>
          <w:rFonts w:ascii="宋体" w:hAnsi="宋体" w:eastAsia="宋体"/>
          <w:color w:val="000000" w:themeColor="text1"/>
          <w:sz w:val="24"/>
          <w:szCs w:val="24"/>
          <w14:textFill>
            <w14:solidFill>
              <w14:schemeClr w14:val="tx1"/>
            </w14:solidFill>
          </w14:textFill>
        </w:rPr>
        <w:t>的</w:t>
      </w:r>
      <w:r>
        <w:rPr>
          <w:rFonts w:hint="eastAsia" w:ascii="宋体" w:hAnsi="宋体" w:eastAsia="宋体"/>
          <w:color w:val="000000" w:themeColor="text1"/>
          <w:sz w:val="24"/>
          <w:szCs w:val="24"/>
          <w14:textFill>
            <w14:solidFill>
              <w14:schemeClr w14:val="tx1"/>
            </w14:solidFill>
          </w14:textFill>
        </w:rPr>
        <w:t>分工</w:t>
      </w:r>
      <w:r>
        <w:rPr>
          <w:rFonts w:ascii="宋体" w:hAnsi="宋体" w:eastAsia="宋体"/>
          <w:color w:val="000000" w:themeColor="text1"/>
          <w:sz w:val="24"/>
          <w:szCs w:val="24"/>
          <w14:textFill>
            <w14:solidFill>
              <w14:schemeClr w14:val="tx1"/>
            </w14:solidFill>
          </w14:textFill>
        </w:rPr>
        <w:t>格局是资本全球化的产物，</w:t>
      </w:r>
      <w:r>
        <w:rPr>
          <w:rStyle w:val="22"/>
          <w:rFonts w:hint="eastAsia" w:ascii="宋体" w:hAnsi="宋体" w:eastAsia="宋体" w:cs="宋体"/>
          <w:color w:val="000000" w:themeColor="text1"/>
          <w:kern w:val="0"/>
          <w:sz w:val="24"/>
          <w:szCs w:val="24"/>
          <w14:textFill>
            <w14:solidFill>
              <w14:schemeClr w14:val="tx1"/>
            </w14:solidFill>
          </w14:textFill>
        </w:rPr>
        <w:t>是将资本、劳动和技术等生产要素在全球范围内跨空间重组为特征的新一轮经济全球化，意在建立或维护全球“生产流水线式”全球价值链，实质上仍然是一个有中心和外围、有主导和依附关系的国际劳动分工体系，</w:t>
      </w:r>
      <w:r>
        <w:rPr>
          <w:rStyle w:val="22"/>
          <w:rFonts w:ascii="宋体" w:hAnsi="宋体" w:eastAsia="宋体" w:cs="宋体"/>
          <w:color w:val="000000" w:themeColor="text1"/>
          <w:kern w:val="0"/>
          <w:sz w:val="24"/>
          <w:szCs w:val="24"/>
          <w14:textFill>
            <w14:solidFill>
              <w14:schemeClr w14:val="tx1"/>
            </w14:solidFill>
          </w14:textFill>
        </w:rPr>
        <w:t>是资本逻辑</w:t>
      </w:r>
      <w:r>
        <w:rPr>
          <w:rStyle w:val="22"/>
          <w:rFonts w:hint="eastAsia" w:ascii="宋体" w:hAnsi="宋体" w:eastAsia="宋体" w:cs="宋体"/>
          <w:color w:val="000000" w:themeColor="text1"/>
          <w:kern w:val="0"/>
          <w:sz w:val="24"/>
          <w:szCs w:val="24"/>
          <w14:textFill>
            <w14:solidFill>
              <w14:schemeClr w14:val="tx1"/>
            </w14:solidFill>
          </w14:textFill>
        </w:rPr>
        <w:t>不断</w:t>
      </w:r>
      <w:r>
        <w:rPr>
          <w:rStyle w:val="22"/>
          <w:rFonts w:ascii="宋体" w:hAnsi="宋体" w:eastAsia="宋体" w:cs="宋体"/>
          <w:color w:val="000000" w:themeColor="text1"/>
          <w:kern w:val="0"/>
          <w:sz w:val="24"/>
          <w:szCs w:val="24"/>
          <w14:textFill>
            <w14:solidFill>
              <w14:schemeClr w14:val="tx1"/>
            </w14:solidFill>
          </w14:textFill>
        </w:rPr>
        <w:t>展开并运行的现实反映</w:t>
      </w:r>
      <w:r>
        <w:rPr>
          <w:rStyle w:val="22"/>
          <w:rFonts w:hint="eastAsia" w:ascii="宋体" w:hAnsi="宋体" w:eastAsia="宋体" w:cs="宋体"/>
          <w:color w:val="000000" w:themeColor="text1"/>
          <w:kern w:val="0"/>
          <w:sz w:val="24"/>
          <w:szCs w:val="24"/>
          <w14:textFill>
            <w14:solidFill>
              <w14:schemeClr w14:val="tx1"/>
            </w14:solidFill>
          </w14:textFill>
        </w:rPr>
        <w:t>。</w:t>
      </w:r>
      <w:r>
        <w:rPr>
          <w:rStyle w:val="20"/>
          <w:rFonts w:ascii="宋体" w:hAnsi="宋体" w:eastAsia="宋体" w:cs="宋体"/>
          <w:color w:val="000000" w:themeColor="text1"/>
          <w:kern w:val="0"/>
          <w:sz w:val="24"/>
          <w:szCs w:val="24"/>
          <w14:textFill>
            <w14:solidFill>
              <w14:schemeClr w14:val="tx1"/>
            </w14:solidFill>
          </w14:textFill>
        </w:rPr>
        <w:footnoteReference w:id="381"/>
      </w:r>
      <w:r>
        <w:rPr>
          <w:rFonts w:hint="eastAsia" w:ascii="宋体" w:hAnsi="宋体" w:eastAsia="宋体"/>
          <w:color w:val="000000" w:themeColor="text1"/>
          <w:sz w:val="24"/>
          <w:szCs w:val="24"/>
          <w14:textFill>
            <w14:solidFill>
              <w14:schemeClr w14:val="tx1"/>
            </w14:solidFill>
          </w14:textFill>
        </w:rPr>
        <w:t xml:space="preserve"> 拥有选择空间与流动性优势的资本力量占尽优势，</w:t>
      </w:r>
      <w:r>
        <w:rPr>
          <w:rFonts w:hint="eastAsia" w:ascii="宋体" w:hAnsi="宋体" w:eastAsia="宋体" w:cs="AdobeHeitiStd-Regular"/>
          <w:color w:val="000000" w:themeColor="text1"/>
          <w:kern w:val="0"/>
          <w:sz w:val="24"/>
          <w:szCs w:val="24"/>
          <w14:textFill>
            <w14:solidFill>
              <w14:schemeClr w14:val="tx1"/>
            </w14:solidFill>
          </w14:textFill>
        </w:rPr>
        <w:t>资本不断设法突破生产的空间限制，将无论是新增资本还是原有资本，</w:t>
      </w:r>
      <w:r>
        <w:rPr>
          <w:rFonts w:ascii="宋体" w:hAnsi="宋体" w:eastAsia="宋体" w:cs="AdobeHeitiStd-Regular"/>
          <w:color w:val="000000" w:themeColor="text1"/>
          <w:kern w:val="0"/>
          <w:sz w:val="24"/>
          <w:szCs w:val="24"/>
          <w14:textFill>
            <w14:solidFill>
              <w14:schemeClr w14:val="tx1"/>
            </w14:solidFill>
          </w14:textFill>
        </w:rPr>
        <w:t>都</w:t>
      </w:r>
      <w:r>
        <w:rPr>
          <w:rFonts w:hint="eastAsia" w:ascii="宋体" w:hAnsi="宋体" w:eastAsia="宋体" w:cs="AdobeHeitiStd-Regular"/>
          <w:color w:val="000000" w:themeColor="text1"/>
          <w:kern w:val="0"/>
          <w:sz w:val="24"/>
          <w:szCs w:val="24"/>
          <w14:textFill>
            <w14:solidFill>
              <w14:schemeClr w14:val="tx1"/>
            </w14:solidFill>
          </w14:textFill>
        </w:rPr>
        <w:t>投向劳动生产率相对较低的国家和地区，用“时间去消灭空间”方式来获取更高的利润。发展</w:t>
      </w:r>
      <w:r>
        <w:rPr>
          <w:rFonts w:ascii="宋体" w:hAnsi="宋体" w:eastAsia="宋体" w:cs="AdobeHeitiStd-Regular"/>
          <w:color w:val="000000" w:themeColor="text1"/>
          <w:kern w:val="0"/>
          <w:sz w:val="24"/>
          <w:szCs w:val="24"/>
          <w14:textFill>
            <w14:solidFill>
              <w14:schemeClr w14:val="tx1"/>
            </w14:solidFill>
          </w14:textFill>
        </w:rPr>
        <w:t>中国家参与全球价值链分工的主要方式，是以加工中间品的方式嵌入到全球价值链中，</w:t>
      </w:r>
      <w:r>
        <w:rPr>
          <w:rFonts w:hint="eastAsia" w:ascii="宋体" w:hAnsi="宋体" w:eastAsia="宋体" w:cs="AdobeHeitiStd-Regular"/>
          <w:color w:val="000000" w:themeColor="text1"/>
          <w:kern w:val="0"/>
          <w:sz w:val="24"/>
          <w:szCs w:val="24"/>
          <w14:textFill>
            <w14:solidFill>
              <w14:schemeClr w14:val="tx1"/>
            </w14:solidFill>
          </w14:textFill>
        </w:rPr>
        <w:t>简单</w:t>
      </w:r>
      <w:r>
        <w:rPr>
          <w:rFonts w:ascii="宋体" w:hAnsi="宋体" w:eastAsia="宋体" w:cs="AdobeHeitiStd-Regular"/>
          <w:color w:val="000000" w:themeColor="text1"/>
          <w:kern w:val="0"/>
          <w:sz w:val="24"/>
          <w:szCs w:val="24"/>
          <w14:textFill>
            <w14:solidFill>
              <w14:schemeClr w14:val="tx1"/>
            </w14:solidFill>
          </w14:textFill>
        </w:rPr>
        <w:t>标准化的</w:t>
      </w:r>
      <w:r>
        <w:rPr>
          <w:rFonts w:hint="eastAsia" w:ascii="宋体" w:hAnsi="宋体" w:eastAsia="宋体" w:cs="AdobeHeitiStd-Regular"/>
          <w:color w:val="000000" w:themeColor="text1"/>
          <w:kern w:val="0"/>
          <w:sz w:val="24"/>
          <w:szCs w:val="24"/>
          <w14:textFill>
            <w14:solidFill>
              <w14:schemeClr w14:val="tx1"/>
            </w14:solidFill>
          </w14:textFill>
        </w:rPr>
        <w:t>中间</w:t>
      </w:r>
      <w:r>
        <w:rPr>
          <w:rFonts w:ascii="宋体" w:hAnsi="宋体" w:eastAsia="宋体" w:cs="AdobeHeitiStd-Regular"/>
          <w:color w:val="000000" w:themeColor="text1"/>
          <w:kern w:val="0"/>
          <w:sz w:val="24"/>
          <w:szCs w:val="24"/>
          <w14:textFill>
            <w14:solidFill>
              <w14:schemeClr w14:val="tx1"/>
            </w14:solidFill>
          </w14:textFill>
        </w:rPr>
        <w:t>产品容易被复制和模仿，</w:t>
      </w:r>
      <w:r>
        <w:rPr>
          <w:rFonts w:hint="eastAsia" w:ascii="宋体" w:hAnsi="宋体" w:eastAsia="宋体" w:cs="AdobeHeitiStd-Regular"/>
          <w:color w:val="000000" w:themeColor="text1"/>
          <w:kern w:val="0"/>
          <w:sz w:val="24"/>
          <w:szCs w:val="24"/>
          <w14:textFill>
            <w14:solidFill>
              <w14:schemeClr w14:val="tx1"/>
            </w14:solidFill>
          </w14:textFill>
        </w:rPr>
        <w:t>使发展中国家经济波动的</w:t>
      </w:r>
      <w:r>
        <w:rPr>
          <w:rFonts w:ascii="宋体" w:hAnsi="宋体" w:eastAsia="宋体" w:cs="AdobeHeitiStd-Regular"/>
          <w:color w:val="000000" w:themeColor="text1"/>
          <w:kern w:val="0"/>
          <w:sz w:val="24"/>
          <w:szCs w:val="24"/>
          <w14:textFill>
            <w14:solidFill>
              <w14:schemeClr w14:val="tx1"/>
            </w14:solidFill>
          </w14:textFill>
        </w:rPr>
        <w:t>风险也</w:t>
      </w:r>
      <w:r>
        <w:rPr>
          <w:rFonts w:hint="eastAsia" w:ascii="宋体" w:hAnsi="宋体" w:eastAsia="宋体" w:cs="AdobeHeitiStd-Regular"/>
          <w:color w:val="000000" w:themeColor="text1"/>
          <w:kern w:val="0"/>
          <w:sz w:val="24"/>
          <w:szCs w:val="24"/>
          <w14:textFill>
            <w14:solidFill>
              <w14:schemeClr w14:val="tx1"/>
            </w14:solidFill>
          </w14:textFill>
        </w:rPr>
        <w:t>更大了。</w:t>
      </w:r>
      <w:r>
        <w:rPr>
          <w:rFonts w:hint="eastAsia" w:ascii="宋体" w:hAnsi="宋体" w:eastAsia="宋体"/>
          <w:color w:val="000000" w:themeColor="text1"/>
          <w:sz w:val="24"/>
          <w:szCs w:val="24"/>
          <w14:textFill>
            <w14:solidFill>
              <w14:schemeClr w14:val="tx1"/>
            </w14:solidFill>
          </w14:textFill>
        </w:rPr>
        <w:t>世界经济及其危机只不过是</w:t>
      </w:r>
      <w:r>
        <w:rPr>
          <w:rFonts w:ascii="宋体" w:hAnsi="宋体" w:eastAsia="宋体"/>
          <w:color w:val="000000" w:themeColor="text1"/>
          <w:sz w:val="24"/>
          <w:szCs w:val="24"/>
          <w14:textFill>
            <w14:solidFill>
              <w14:schemeClr w14:val="tx1"/>
            </w14:solidFill>
          </w14:textFill>
        </w:rPr>
        <w:t>资本主义</w:t>
      </w:r>
      <w:r>
        <w:rPr>
          <w:rFonts w:hint="eastAsia" w:ascii="宋体" w:hAnsi="宋体" w:eastAsia="宋体"/>
          <w:color w:val="000000" w:themeColor="text1"/>
          <w:sz w:val="24"/>
          <w:szCs w:val="24"/>
          <w14:textFill>
            <w14:solidFill>
              <w14:schemeClr w14:val="tx1"/>
            </w14:solidFill>
          </w14:textFill>
        </w:rPr>
        <w:t>经济一切矛盾的累积因果和强制平衡，在这些危机和</w:t>
      </w:r>
      <w:r>
        <w:rPr>
          <w:rFonts w:ascii="宋体" w:hAnsi="宋体" w:eastAsia="宋体"/>
          <w:color w:val="000000" w:themeColor="text1"/>
          <w:sz w:val="24"/>
          <w:szCs w:val="24"/>
          <w14:textFill>
            <w14:solidFill>
              <w14:schemeClr w14:val="tx1"/>
            </w14:solidFill>
          </w14:textFill>
        </w:rPr>
        <w:t>风险</w:t>
      </w:r>
      <w:r>
        <w:rPr>
          <w:rFonts w:hint="eastAsia" w:ascii="宋体" w:hAnsi="宋体" w:eastAsia="宋体"/>
          <w:color w:val="000000" w:themeColor="text1"/>
          <w:sz w:val="24"/>
          <w:szCs w:val="24"/>
          <w14:textFill>
            <w14:solidFill>
              <w14:schemeClr w14:val="tx1"/>
            </w14:solidFill>
          </w14:textFill>
        </w:rPr>
        <w:t>中体现出来的各个因素，必然在资本逻辑</w:t>
      </w:r>
      <w:r>
        <w:rPr>
          <w:rFonts w:ascii="宋体" w:hAnsi="宋体" w:eastAsia="宋体"/>
          <w:color w:val="000000" w:themeColor="text1"/>
          <w:sz w:val="24"/>
          <w:szCs w:val="24"/>
          <w14:textFill>
            <w14:solidFill>
              <w14:schemeClr w14:val="tx1"/>
            </w14:solidFill>
          </w14:textFill>
        </w:rPr>
        <w:t>主导</w:t>
      </w:r>
      <w:r>
        <w:rPr>
          <w:rFonts w:hint="eastAsia" w:ascii="宋体" w:hAnsi="宋体" w:eastAsia="宋体"/>
          <w:color w:val="000000" w:themeColor="text1"/>
          <w:sz w:val="24"/>
          <w:szCs w:val="24"/>
          <w14:textFill>
            <w14:solidFill>
              <w14:schemeClr w14:val="tx1"/>
            </w14:solidFill>
          </w14:textFill>
        </w:rPr>
        <w:t>经济的每一个领域中出现并得到印证。随着第四次</w:t>
      </w:r>
      <w:r>
        <w:rPr>
          <w:rFonts w:ascii="宋体" w:hAnsi="宋体" w:eastAsia="宋体"/>
          <w:color w:val="000000" w:themeColor="text1"/>
          <w:sz w:val="24"/>
          <w:szCs w:val="24"/>
          <w14:textFill>
            <w14:solidFill>
              <w14:schemeClr w14:val="tx1"/>
            </w14:solidFill>
          </w14:textFill>
        </w:rPr>
        <w:t>工业革命的到来,相对于以往</w:t>
      </w:r>
      <w:r>
        <w:rPr>
          <w:rFonts w:hint="eastAsia" w:ascii="宋体" w:hAnsi="宋体" w:eastAsia="宋体"/>
          <w:color w:val="000000" w:themeColor="text1"/>
          <w:sz w:val="24"/>
          <w:szCs w:val="24"/>
          <w14:textFill>
            <w14:solidFill>
              <w14:schemeClr w14:val="tx1"/>
            </w14:solidFill>
          </w14:textFill>
        </w:rPr>
        <w:t>的</w:t>
      </w:r>
      <w:r>
        <w:rPr>
          <w:rFonts w:ascii="宋体" w:hAnsi="宋体" w:eastAsia="宋体"/>
          <w:color w:val="000000" w:themeColor="text1"/>
          <w:sz w:val="24"/>
          <w:szCs w:val="24"/>
          <w14:textFill>
            <w14:solidFill>
              <w14:schemeClr w14:val="tx1"/>
            </w14:solidFill>
          </w14:textFill>
        </w:rPr>
        <w:t>工业3.0 时代,微笑曲线</w:t>
      </w:r>
      <w:r>
        <w:rPr>
          <w:rFonts w:hint="eastAsia" w:ascii="宋体" w:hAnsi="宋体" w:eastAsia="宋体"/>
          <w:color w:val="000000" w:themeColor="text1"/>
          <w:sz w:val="24"/>
          <w:szCs w:val="24"/>
          <w14:textFill>
            <w14:solidFill>
              <w14:schemeClr w14:val="tx1"/>
            </w14:solidFill>
          </w14:textFill>
        </w:rPr>
        <w:t>两端更加倾斜</w:t>
      </w:r>
      <w:r>
        <w:rPr>
          <w:rFonts w:ascii="宋体" w:hAnsi="宋体" w:eastAsia="宋体"/>
          <w:color w:val="000000" w:themeColor="text1"/>
          <w:sz w:val="24"/>
          <w:szCs w:val="24"/>
          <w14:textFill>
            <w14:solidFill>
              <w14:schemeClr w14:val="tx1"/>
            </w14:solidFill>
          </w14:textFill>
        </w:rPr>
        <w:t>陡峭,意味着一</w:t>
      </w:r>
      <w:r>
        <w:rPr>
          <w:rFonts w:hint="eastAsia" w:ascii="宋体" w:hAnsi="宋体" w:eastAsia="宋体"/>
          <w:color w:val="000000" w:themeColor="text1"/>
          <w:sz w:val="24"/>
          <w:szCs w:val="24"/>
          <w14:textFill>
            <w14:solidFill>
              <w14:schemeClr w14:val="tx1"/>
            </w14:solidFill>
          </w14:textFill>
        </w:rPr>
        <w:t>条完整的制造业产业链各环节所能产生的附加值空间差异更加显著</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左端</w:t>
      </w:r>
      <w:r>
        <w:rPr>
          <w:rFonts w:ascii="宋体" w:hAnsi="宋体" w:eastAsia="宋体"/>
          <w:color w:val="000000" w:themeColor="text1"/>
          <w:sz w:val="24"/>
          <w:szCs w:val="24"/>
          <w14:textFill>
            <w14:solidFill>
              <w14:schemeClr w14:val="tx1"/>
            </w14:solidFill>
          </w14:textFill>
        </w:rPr>
        <w:t>的</w:t>
      </w:r>
      <w:r>
        <w:rPr>
          <w:rFonts w:hint="eastAsia" w:ascii="宋体" w:hAnsi="宋体" w:eastAsia="宋体"/>
          <w:color w:val="000000" w:themeColor="text1"/>
          <w:sz w:val="24"/>
          <w:szCs w:val="24"/>
          <w14:textFill>
            <w14:solidFill>
              <w14:schemeClr w14:val="tx1"/>
            </w14:solidFill>
          </w14:textFill>
        </w:rPr>
        <w:t>研发设计和右端</w:t>
      </w:r>
      <w:r>
        <w:rPr>
          <w:rFonts w:ascii="宋体" w:hAnsi="宋体" w:eastAsia="宋体"/>
          <w:color w:val="000000" w:themeColor="text1"/>
          <w:sz w:val="24"/>
          <w:szCs w:val="24"/>
          <w14:textFill>
            <w14:solidFill>
              <w14:schemeClr w14:val="tx1"/>
            </w14:solidFill>
          </w14:textFill>
        </w:rPr>
        <w:t>的</w:t>
      </w:r>
      <w:r>
        <w:rPr>
          <w:rFonts w:hint="eastAsia" w:ascii="宋体" w:hAnsi="宋体" w:eastAsia="宋体"/>
          <w:color w:val="000000" w:themeColor="text1"/>
          <w:sz w:val="24"/>
          <w:szCs w:val="24"/>
          <w14:textFill>
            <w14:solidFill>
              <w14:schemeClr w14:val="tx1"/>
            </w14:solidFill>
          </w14:textFill>
        </w:rPr>
        <w:t>品牌服务等环节利润空间更大，</w:t>
      </w:r>
      <w:r>
        <w:rPr>
          <w:rFonts w:ascii="宋体" w:hAnsi="宋体" w:eastAsia="宋体"/>
          <w:color w:val="000000" w:themeColor="text1"/>
          <w:sz w:val="24"/>
          <w:szCs w:val="24"/>
          <w14:textFill>
            <w14:solidFill>
              <w14:schemeClr w14:val="tx1"/>
            </w14:solidFill>
          </w14:textFill>
        </w:rPr>
        <w:t>如图</w:t>
      </w:r>
      <w:r>
        <w:rPr>
          <w:rFonts w:hint="eastAsia" w:ascii="宋体" w:hAnsi="宋体" w:eastAsia="宋体"/>
          <w:color w:val="000000" w:themeColor="text1"/>
          <w:sz w:val="24"/>
          <w:szCs w:val="24"/>
          <w14:textFill>
            <w14:solidFill>
              <w14:schemeClr w14:val="tx1"/>
            </w14:solidFill>
          </w14:textFill>
        </w:rPr>
        <w:t>3</w:t>
      </w:r>
      <w:r>
        <w:rPr>
          <w:rFonts w:ascii="宋体" w:hAnsi="宋体" w:eastAsia="宋体"/>
          <w:color w:val="000000" w:themeColor="text1"/>
          <w:sz w:val="24"/>
          <w:szCs w:val="24"/>
          <w14:textFill>
            <w14:solidFill>
              <w14:schemeClr w14:val="tx1"/>
            </w14:solidFill>
          </w14:textFill>
        </w:rPr>
        <w:t>所示</w:t>
      </w:r>
      <w:r>
        <w:rPr>
          <w:rFonts w:hint="eastAsia" w:ascii="宋体" w:hAnsi="宋体" w:eastAsia="宋体"/>
          <w:color w:val="000000" w:themeColor="text1"/>
          <w:sz w:val="24"/>
          <w:szCs w:val="24"/>
          <w14:textFill>
            <w14:solidFill>
              <w14:schemeClr w14:val="tx1"/>
            </w14:solidFill>
          </w14:textFill>
        </w:rPr>
        <w:t>。</w:t>
      </w:r>
    </w:p>
    <w:p w14:paraId="6D98DBCC">
      <w:pPr>
        <w:autoSpaceDE w:val="0"/>
        <w:autoSpaceDN w:val="0"/>
        <w:adjustRightInd w:val="0"/>
        <w:spacing w:line="360" w:lineRule="auto"/>
        <w:jc w:val="right"/>
        <w:rPr>
          <w:rFonts w:ascii="宋体" w:hAnsi="宋体" w:eastAsia="宋体"/>
          <w:color w:val="000000" w:themeColor="text1"/>
          <w:sz w:val="24"/>
          <w:szCs w:val="24"/>
          <w14:textFill>
            <w14:solidFill>
              <w14:schemeClr w14:val="tx1"/>
            </w14:solidFill>
          </w14:textFill>
        </w:rPr>
      </w:pPr>
      <w:r>
        <w:drawing>
          <wp:inline distT="0" distB="0" distL="0" distR="0">
            <wp:extent cx="4975225" cy="2664460"/>
            <wp:effectExtent l="0" t="0" r="0" b="0"/>
            <wp:docPr id="2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
                    <pic:cNvPicPr>
                      <a:picLocks noChangeAspect="1"/>
                    </pic:cNvPicPr>
                  </pic:nvPicPr>
                  <pic:blipFill>
                    <a:blip r:embed="rId39"/>
                    <a:stretch>
                      <a:fillRect/>
                    </a:stretch>
                  </pic:blipFill>
                  <pic:spPr>
                    <a:xfrm>
                      <a:off x="0" y="0"/>
                      <a:ext cx="4983941" cy="2668982"/>
                    </a:xfrm>
                    <a:prstGeom prst="rect">
                      <a:avLst/>
                    </a:prstGeom>
                  </pic:spPr>
                </pic:pic>
              </a:graphicData>
            </a:graphic>
          </wp:inline>
        </w:drawing>
      </w:r>
    </w:p>
    <w:p w14:paraId="6EBA9895">
      <w:pPr>
        <w:autoSpaceDE w:val="0"/>
        <w:autoSpaceDN w:val="0"/>
        <w:adjustRightInd w:val="0"/>
        <w:spacing w:line="360" w:lineRule="auto"/>
        <w:ind w:firstLine="420" w:firstLineChars="200"/>
        <w:jc w:val="left"/>
        <w:rPr>
          <w:rFonts w:ascii="宋体" w:hAnsi="宋体" w:eastAsia="宋体" w:cs="AdobeHeitiStd-Regular"/>
          <w:color w:val="000000" w:themeColor="text1"/>
          <w:kern w:val="0"/>
          <w:szCs w:val="21"/>
          <w14:textFill>
            <w14:solidFill>
              <w14:schemeClr w14:val="tx1"/>
            </w14:solidFill>
          </w14:textFill>
        </w:rPr>
      </w:pPr>
      <w:r>
        <w:rPr>
          <w:rFonts w:hint="eastAsia" w:ascii="宋体" w:hAnsi="宋体" w:eastAsia="宋体" w:cs="AdobeHeitiStd-Regular"/>
          <w:color w:val="000000" w:themeColor="text1"/>
          <w:kern w:val="0"/>
          <w:szCs w:val="21"/>
          <w14:textFill>
            <w14:solidFill>
              <w14:schemeClr w14:val="tx1"/>
            </w14:solidFill>
          </w14:textFill>
        </w:rPr>
        <w:t>资料来源</w:t>
      </w:r>
      <w:r>
        <w:rPr>
          <w:rFonts w:ascii="宋体" w:hAnsi="宋体" w:eastAsia="宋体" w:cs="AdobeHeitiStd-Regular"/>
          <w:color w:val="000000" w:themeColor="text1"/>
          <w:kern w:val="0"/>
          <w:szCs w:val="21"/>
          <w14:textFill>
            <w14:solidFill>
              <w14:schemeClr w14:val="tx1"/>
            </w14:solidFill>
          </w14:textFill>
        </w:rPr>
        <w:t>：</w:t>
      </w:r>
      <w:r>
        <w:rPr>
          <w:rFonts w:hint="eastAsia" w:ascii="宋体" w:hAnsi="宋体" w:eastAsia="宋体" w:cs="AdobeHeitiStd-Regular"/>
          <w:color w:val="000000" w:themeColor="text1"/>
          <w:kern w:val="0"/>
          <w:szCs w:val="21"/>
          <w14:textFill>
            <w14:solidFill>
              <w14:schemeClr w14:val="tx1"/>
            </w14:solidFill>
          </w14:textFill>
        </w:rPr>
        <w:t>作者自绘</w:t>
      </w:r>
      <w:r>
        <w:rPr>
          <w:rFonts w:ascii="宋体" w:hAnsi="宋体" w:eastAsia="宋体" w:cs="AdobeHeitiStd-Regular"/>
          <w:color w:val="000000" w:themeColor="text1"/>
          <w:kern w:val="0"/>
          <w:szCs w:val="21"/>
          <w14:textFill>
            <w14:solidFill>
              <w14:schemeClr w14:val="tx1"/>
            </w14:solidFill>
          </w14:textFill>
        </w:rPr>
        <w:t>。</w:t>
      </w:r>
    </w:p>
    <w:p w14:paraId="6936341E">
      <w:pPr>
        <w:autoSpaceDE w:val="0"/>
        <w:autoSpaceDN w:val="0"/>
        <w:adjustRightInd w:val="0"/>
        <w:snapToGrid w:val="0"/>
        <w:spacing w:line="360" w:lineRule="auto"/>
        <w:jc w:val="center"/>
        <w:rPr>
          <w:rFonts w:ascii="宋体" w:hAnsi="宋体" w:eastAsia="宋体" w:cs="AdobeHeitiStd-Regular"/>
          <w:b/>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 xml:space="preserve">图3  </w:t>
      </w:r>
      <w:r>
        <w:rPr>
          <w:rFonts w:hint="eastAsia" w:ascii="宋体" w:hAnsi="宋体" w:eastAsia="宋体" w:cs="宋体"/>
          <w:b/>
          <w:bCs/>
          <w:color w:val="000000" w:themeColor="text1"/>
          <w:sz w:val="24"/>
          <w:szCs w:val="24"/>
          <w14:textFill>
            <w14:solidFill>
              <w14:schemeClr w14:val="tx1"/>
            </w14:solidFill>
          </w14:textFill>
        </w:rPr>
        <w:t>20世纪末期的全球</w:t>
      </w:r>
      <w:r>
        <w:rPr>
          <w:rFonts w:ascii="宋体" w:hAnsi="宋体" w:eastAsia="宋体" w:cs="宋体"/>
          <w:b/>
          <w:bCs/>
          <w:color w:val="000000" w:themeColor="text1"/>
          <w:sz w:val="24"/>
          <w:szCs w:val="24"/>
          <w14:textFill>
            <w14:solidFill>
              <w14:schemeClr w14:val="tx1"/>
            </w14:solidFill>
          </w14:textFill>
        </w:rPr>
        <w:t>价值链</w:t>
      </w:r>
      <w:r>
        <w:rPr>
          <w:rFonts w:hint="eastAsia" w:ascii="宋体" w:hAnsi="宋体" w:eastAsia="宋体" w:cs="宋体"/>
          <w:b/>
          <w:bCs/>
          <w:color w:val="000000" w:themeColor="text1"/>
          <w:sz w:val="24"/>
          <w:szCs w:val="24"/>
          <w14:textFill>
            <w14:solidFill>
              <w14:schemeClr w14:val="tx1"/>
            </w14:solidFill>
          </w14:textFill>
        </w:rPr>
        <w:t>与21世纪的全球价值链</w:t>
      </w:r>
    </w:p>
    <w:p w14:paraId="2159503A">
      <w:pPr>
        <w:spacing w:before="312" w:beforeLines="100" w:after="312" w:afterLines="100" w:line="400" w:lineRule="exact"/>
        <w:jc w:val="center"/>
        <w:rPr>
          <w:rFonts w:ascii="黑体" w:hAnsi="黑体" w:eastAsia="黑体" w:cs="黑体"/>
          <w:b/>
          <w:bCs/>
          <w:color w:val="000000" w:themeColor="text1"/>
          <w:sz w:val="24"/>
          <w:szCs w:val="24"/>
          <w14:textFill>
            <w14:solidFill>
              <w14:schemeClr w14:val="tx1"/>
            </w14:solidFill>
          </w14:textFill>
        </w:rPr>
      </w:pPr>
      <w:r>
        <w:rPr>
          <w:rFonts w:hint="eastAsia" w:ascii="黑体" w:hAnsi="黑体" w:eastAsia="黑体" w:cs="黑体"/>
          <w:b/>
          <w:bCs/>
          <w:color w:val="000000" w:themeColor="text1"/>
          <w:sz w:val="24"/>
          <w:szCs w:val="24"/>
          <w14:textFill>
            <w14:solidFill>
              <w14:schemeClr w14:val="tx1"/>
            </w14:solidFill>
          </w14:textFill>
        </w:rPr>
        <w:t>三</w:t>
      </w:r>
      <w:r>
        <w:rPr>
          <w:rFonts w:ascii="黑体" w:hAnsi="黑体" w:eastAsia="黑体" w:cs="黑体"/>
          <w:b/>
          <w:bCs/>
          <w:color w:val="000000" w:themeColor="text1"/>
          <w:sz w:val="24"/>
          <w:szCs w:val="24"/>
          <w14:textFill>
            <w14:solidFill>
              <w14:schemeClr w14:val="tx1"/>
            </w14:solidFill>
          </w14:textFill>
        </w:rPr>
        <w:t>、</w:t>
      </w:r>
      <w:r>
        <w:rPr>
          <w:rFonts w:hint="eastAsia" w:ascii="黑体" w:hAnsi="黑体" w:eastAsia="黑体" w:cs="黑体"/>
          <w:b/>
          <w:bCs/>
          <w:color w:val="000000" w:themeColor="text1"/>
          <w:sz w:val="24"/>
          <w:szCs w:val="24"/>
          <w14:textFill>
            <w14:solidFill>
              <w14:schemeClr w14:val="tx1"/>
            </w14:solidFill>
          </w14:textFill>
        </w:rPr>
        <w:t>中国新型工业化的逻辑起点</w:t>
      </w:r>
      <w:r>
        <w:rPr>
          <w:rFonts w:ascii="黑体" w:hAnsi="黑体" w:eastAsia="黑体" w:cs="黑体"/>
          <w:b/>
          <w:bCs/>
          <w:color w:val="000000" w:themeColor="text1"/>
          <w:sz w:val="24"/>
          <w:szCs w:val="24"/>
          <w14:textFill>
            <w14:solidFill>
              <w14:schemeClr w14:val="tx1"/>
            </w14:solidFill>
          </w14:textFill>
        </w:rPr>
        <w:t>及</w:t>
      </w:r>
      <w:r>
        <w:rPr>
          <w:rFonts w:hint="eastAsia" w:ascii="黑体" w:hAnsi="黑体" w:eastAsia="黑体" w:cs="黑体"/>
          <w:b/>
          <w:bCs/>
          <w:color w:val="000000" w:themeColor="text1"/>
          <w:sz w:val="24"/>
          <w:szCs w:val="24"/>
          <w14:textFill>
            <w14:solidFill>
              <w14:schemeClr w14:val="tx1"/>
            </w14:solidFill>
          </w14:textFill>
        </w:rPr>
        <w:t>发展困境</w:t>
      </w:r>
    </w:p>
    <w:p w14:paraId="43FA7D55">
      <w:pPr>
        <w:autoSpaceDE w:val="0"/>
        <w:autoSpaceDN w:val="0"/>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在全球经济格局变化中，基于新工业革命的战略机遇，主要工业国家纷纷出台更加积极的科技政策和产业政策，推动新技术开发，</w:t>
      </w:r>
      <w:r>
        <w:rPr>
          <w:rFonts w:ascii="宋体" w:hAnsi="宋体" w:eastAsia="宋体" w:cs="AdobeHeitiStd-Regular"/>
          <w:color w:val="000000" w:themeColor="text1"/>
          <w:kern w:val="0"/>
          <w:sz w:val="24"/>
          <w:szCs w:val="24"/>
          <w14:textFill>
            <w14:solidFill>
              <w14:schemeClr w14:val="tx1"/>
            </w14:solidFill>
          </w14:textFill>
        </w:rPr>
        <w:t>夯实</w:t>
      </w:r>
      <w:r>
        <w:rPr>
          <w:rFonts w:hint="eastAsia" w:ascii="宋体" w:hAnsi="宋体" w:eastAsia="宋体" w:cs="AdobeHeitiStd-Regular"/>
          <w:color w:val="000000" w:themeColor="text1"/>
          <w:kern w:val="0"/>
          <w:sz w:val="24"/>
          <w:szCs w:val="24"/>
          <w14:textFill>
            <w14:solidFill>
              <w14:schemeClr w14:val="tx1"/>
            </w14:solidFill>
          </w14:textFill>
        </w:rPr>
        <w:t>新产业发展，抢占新一轮工业革命的制高点，如美国的“先进制造业国家战略”、德国的“工业４</w:t>
      </w:r>
      <w:r>
        <w:rPr>
          <w:rFonts w:ascii="宋体" w:hAnsi="宋体" w:eastAsia="宋体" w:cs="AdobeHeitiStd-Regular"/>
          <w:color w:val="000000" w:themeColor="text1"/>
          <w:kern w:val="0"/>
          <w:sz w:val="24"/>
          <w:szCs w:val="24"/>
          <w14:textFill>
            <w14:solidFill>
              <w14:schemeClr w14:val="tx1"/>
            </w14:solidFill>
          </w14:textFill>
        </w:rPr>
        <w:t>.0</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、法国的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新工业法国战略</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、欧盟的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欧洲工业数字化战略</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、俄罗斯的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国家技术计划</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、日本的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机器人新战略</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、韩国的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新增长动力战略</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、西班牙的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工业连接4.0</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、印度的</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印度制造战略</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等等，</w:t>
      </w:r>
      <w:r>
        <w:rPr>
          <w:rFonts w:hint="eastAsia" w:ascii="宋体" w:hAnsi="宋体" w:eastAsia="宋体" w:cs="AdobeHeitiStd-Regular"/>
          <w:color w:val="000000" w:themeColor="text1"/>
          <w:kern w:val="0"/>
          <w:sz w:val="24"/>
          <w:szCs w:val="24"/>
          <w14:textFill>
            <w14:solidFill>
              <w14:schemeClr w14:val="tx1"/>
            </w14:solidFill>
          </w14:textFill>
        </w:rPr>
        <w:t>积极推动一场新的产业和技术变革，这些措施使中国制造业在发展中面临的竞争更加激烈。</w:t>
      </w:r>
    </w:p>
    <w:p w14:paraId="27D0CF30">
      <w:pPr>
        <w:autoSpaceDE w:val="0"/>
        <w:autoSpaceDN w:val="0"/>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全球经济中这种对制造业的重构和重视，</w:t>
      </w:r>
      <w:r>
        <w:rPr>
          <w:rFonts w:ascii="宋体" w:hAnsi="宋体" w:eastAsia="宋体" w:cs="AdobeHeitiStd-Regular"/>
          <w:color w:val="000000" w:themeColor="text1"/>
          <w:kern w:val="0"/>
          <w:sz w:val="24"/>
          <w:szCs w:val="24"/>
          <w14:textFill>
            <w14:solidFill>
              <w14:schemeClr w14:val="tx1"/>
            </w14:solidFill>
          </w14:textFill>
        </w:rPr>
        <w:t>并非</w:t>
      </w:r>
      <w:r>
        <w:rPr>
          <w:rFonts w:hint="eastAsia" w:ascii="宋体" w:hAnsi="宋体" w:eastAsia="宋体" w:cs="AdobeHeitiStd-Regular"/>
          <w:color w:val="000000" w:themeColor="text1"/>
          <w:kern w:val="0"/>
          <w:sz w:val="24"/>
          <w:szCs w:val="24"/>
          <w14:textFill>
            <w14:solidFill>
              <w14:schemeClr w14:val="tx1"/>
            </w14:solidFill>
          </w14:textFill>
        </w:rPr>
        <w:t>只是应对失业问题，</w:t>
      </w:r>
      <w:r>
        <w:rPr>
          <w:rFonts w:ascii="宋体" w:hAnsi="宋体" w:eastAsia="宋体" w:cs="AdobeHeitiStd-Regular"/>
          <w:color w:val="000000" w:themeColor="text1"/>
          <w:kern w:val="0"/>
          <w:sz w:val="24"/>
          <w:szCs w:val="24"/>
          <w14:textFill>
            <w14:solidFill>
              <w14:schemeClr w14:val="tx1"/>
            </w14:solidFill>
          </w14:textFill>
        </w:rPr>
        <w:t>事实上</w:t>
      </w:r>
      <w:r>
        <w:rPr>
          <w:rFonts w:hint="eastAsia" w:ascii="宋体" w:hAnsi="宋体" w:eastAsia="宋体" w:cs="AdobeHeitiStd-Regular"/>
          <w:color w:val="000000" w:themeColor="text1"/>
          <w:kern w:val="0"/>
          <w:sz w:val="24"/>
          <w:szCs w:val="24"/>
          <w14:textFill>
            <w14:solidFill>
              <w14:schemeClr w14:val="tx1"/>
            </w14:solidFill>
          </w14:textFill>
        </w:rPr>
        <w:t>，制造业的生产存在规模报酬递增效应，制造业之所以被视为经济发展的引擎，在于制造业相较于农业和服务业，具有更强的产业关联性和更高的分工水平，更为广泛的“前向联系”和“后向联系”，从而</w:t>
      </w:r>
      <w:r>
        <w:rPr>
          <w:rFonts w:ascii="宋体" w:hAnsi="宋体" w:eastAsia="宋体" w:cs="AdobeHeitiStd-Regular"/>
          <w:color w:val="000000" w:themeColor="text1"/>
          <w:kern w:val="0"/>
          <w:sz w:val="24"/>
          <w:szCs w:val="24"/>
          <w14:textFill>
            <w14:solidFill>
              <w14:schemeClr w14:val="tx1"/>
            </w14:solidFill>
          </w14:textFill>
        </w:rPr>
        <w:t>具有</w:t>
      </w:r>
      <w:r>
        <w:rPr>
          <w:rFonts w:hint="eastAsia" w:ascii="宋体" w:hAnsi="宋体" w:eastAsia="宋体" w:cs="AdobeHeitiStd-Regular"/>
          <w:color w:val="000000" w:themeColor="text1"/>
          <w:kern w:val="0"/>
          <w:sz w:val="24"/>
          <w:szCs w:val="24"/>
          <w14:textFill>
            <w14:solidFill>
              <w14:schemeClr w14:val="tx1"/>
            </w14:solidFill>
          </w14:textFill>
        </w:rPr>
        <w:t>更大的生产率增长空间，更容易发挥规模报酬递增经济和外部经济的效应</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长期以来，制造业活动的增长与整体经济增长之间存在着强有力的关联，“卡尔多增长定律”的经验意义显著，正如卡尔多指出的</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GDP增长</w:t>
      </w:r>
      <w:r>
        <w:rPr>
          <w:rFonts w:ascii="宋体" w:hAnsi="宋体" w:eastAsia="宋体" w:cs="AdobeHeitiStd-Regular"/>
          <w:color w:val="000000" w:themeColor="text1"/>
          <w:kern w:val="0"/>
          <w:sz w:val="24"/>
          <w:szCs w:val="24"/>
          <w14:textFill>
            <w14:solidFill>
              <w14:schemeClr w14:val="tx1"/>
            </w14:solidFill>
          </w14:textFill>
        </w:rPr>
        <w:t>与</w:t>
      </w:r>
      <w:r>
        <w:rPr>
          <w:rFonts w:hint="eastAsia" w:ascii="宋体" w:hAnsi="宋体" w:eastAsia="宋体" w:cs="AdobeHeitiStd-Regular"/>
          <w:color w:val="000000" w:themeColor="text1"/>
          <w:kern w:val="0"/>
          <w:sz w:val="24"/>
          <w:szCs w:val="24"/>
          <w14:textFill>
            <w14:solidFill>
              <w14:schemeClr w14:val="tx1"/>
            </w14:solidFill>
          </w14:textFill>
        </w:rPr>
        <w:t>制造业部门的产出增长正相关，制造业生产率的增长速度与制造业产出增长速度正相关，整个经济的生产率增长率与制造业部门的产出增长率正相关</w:t>
      </w:r>
      <w:r>
        <w:rPr>
          <w:rFonts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82"/>
      </w:r>
      <w:r>
        <w:rPr>
          <w:rFonts w:hint="eastAsia" w:ascii="宋体" w:hAnsi="宋体" w:eastAsia="宋体" w:cs="AdobeHeitiStd-Regular"/>
          <w:color w:val="000000" w:themeColor="text1"/>
          <w:kern w:val="0"/>
          <w:sz w:val="24"/>
          <w:szCs w:val="24"/>
          <w14:textFill>
            <w14:solidFill>
              <w14:schemeClr w14:val="tx1"/>
            </w14:solidFill>
          </w14:textFill>
        </w:rPr>
        <w:t>经济历史表明，处于</w:t>
      </w:r>
      <w:r>
        <w:rPr>
          <w:rFonts w:ascii="宋体" w:hAnsi="宋体" w:eastAsia="宋体" w:cs="AdobeHeitiStd-Regular"/>
          <w:color w:val="000000" w:themeColor="text1"/>
          <w:kern w:val="0"/>
          <w:sz w:val="24"/>
          <w:szCs w:val="24"/>
          <w14:textFill>
            <w14:solidFill>
              <w14:schemeClr w14:val="tx1"/>
            </w14:solidFill>
          </w14:textFill>
        </w:rPr>
        <w:t>18世纪工业革命前沿的国家现在</w:t>
      </w:r>
      <w:r>
        <w:rPr>
          <w:rFonts w:hint="eastAsia" w:ascii="宋体" w:hAnsi="宋体" w:eastAsia="宋体" w:cs="AdobeHeitiStd-Regular"/>
          <w:color w:val="000000" w:themeColor="text1"/>
          <w:kern w:val="0"/>
          <w:sz w:val="24"/>
          <w:szCs w:val="24"/>
          <w14:textFill>
            <w14:solidFill>
              <w14:schemeClr w14:val="tx1"/>
            </w14:solidFill>
          </w14:textFill>
        </w:rPr>
        <w:t>都</w:t>
      </w:r>
      <w:r>
        <w:rPr>
          <w:rFonts w:ascii="宋体" w:hAnsi="宋体" w:eastAsia="宋体" w:cs="AdobeHeitiStd-Regular"/>
          <w:color w:val="000000" w:themeColor="text1"/>
          <w:kern w:val="0"/>
          <w:sz w:val="24"/>
          <w:szCs w:val="24"/>
          <w14:textFill>
            <w14:solidFill>
              <w14:schemeClr w14:val="tx1"/>
            </w14:solidFill>
          </w14:textFill>
        </w:rPr>
        <w:t>是世界上最富有的经济体之一</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当今几乎所有的高收入国家都以制造业为</w:t>
      </w:r>
      <w:r>
        <w:rPr>
          <w:rFonts w:hint="eastAsia" w:ascii="宋体" w:hAnsi="宋体" w:eastAsia="宋体" w:cs="AdobeHeitiStd-Regular"/>
          <w:color w:val="000000" w:themeColor="text1"/>
          <w:kern w:val="0"/>
          <w:sz w:val="24"/>
          <w:szCs w:val="24"/>
          <w14:textFill>
            <w14:solidFill>
              <w14:schemeClr w14:val="tx1"/>
            </w14:solidFill>
          </w14:textFill>
        </w:rPr>
        <w:t>拉动</w:t>
      </w:r>
      <w:r>
        <w:rPr>
          <w:rFonts w:ascii="宋体" w:hAnsi="宋体" w:eastAsia="宋体" w:cs="AdobeHeitiStd-Regular"/>
          <w:color w:val="000000" w:themeColor="text1"/>
          <w:kern w:val="0"/>
          <w:sz w:val="24"/>
          <w:szCs w:val="24"/>
          <w14:textFill>
            <w14:solidFill>
              <w14:schemeClr w14:val="tx1"/>
            </w14:solidFill>
          </w14:textFill>
        </w:rPr>
        <w:t>产业，在其顶峰时期，</w:t>
      </w:r>
      <w:r>
        <w:rPr>
          <w:rFonts w:hint="eastAsia" w:ascii="宋体" w:hAnsi="宋体" w:eastAsia="宋体" w:cs="AdobeHeitiStd-Regular"/>
          <w:color w:val="000000" w:themeColor="text1"/>
          <w:kern w:val="0"/>
          <w:sz w:val="24"/>
          <w:szCs w:val="24"/>
          <w14:textFill>
            <w14:solidFill>
              <w14:schemeClr w14:val="tx1"/>
            </w14:solidFill>
          </w14:textFill>
        </w:rPr>
        <w:t>制造业</w:t>
      </w:r>
      <w:r>
        <w:rPr>
          <w:rFonts w:ascii="宋体" w:hAnsi="宋体" w:eastAsia="宋体" w:cs="AdobeHeitiStd-Regular"/>
          <w:color w:val="000000" w:themeColor="text1"/>
          <w:kern w:val="0"/>
          <w:sz w:val="24"/>
          <w:szCs w:val="24"/>
          <w14:textFill>
            <w14:solidFill>
              <w14:schemeClr w14:val="tx1"/>
            </w14:solidFill>
          </w14:textFill>
        </w:rPr>
        <w:t>占</w:t>
      </w:r>
      <w:r>
        <w:rPr>
          <w:rFonts w:hint="eastAsia" w:ascii="宋体" w:hAnsi="宋体" w:eastAsia="宋体" w:cs="AdobeHeitiStd-Regular"/>
          <w:color w:val="000000" w:themeColor="text1"/>
          <w:kern w:val="0"/>
          <w:sz w:val="24"/>
          <w:szCs w:val="24"/>
          <w14:textFill>
            <w14:solidFill>
              <w14:schemeClr w14:val="tx1"/>
            </w14:solidFill>
          </w14:textFill>
        </w:rPr>
        <w:t>其</w:t>
      </w:r>
      <w:r>
        <w:rPr>
          <w:rFonts w:ascii="宋体" w:hAnsi="宋体" w:eastAsia="宋体" w:cs="AdobeHeitiStd-Regular"/>
          <w:color w:val="000000" w:themeColor="text1"/>
          <w:kern w:val="0"/>
          <w:sz w:val="24"/>
          <w:szCs w:val="24"/>
          <w14:textFill>
            <w14:solidFill>
              <w14:schemeClr w14:val="tx1"/>
            </w14:solidFill>
          </w14:textFill>
        </w:rPr>
        <w:t>国内生产总值的25-35%。</w:t>
      </w:r>
      <w:r>
        <w:rPr>
          <w:rStyle w:val="20"/>
          <w:rFonts w:ascii="宋体" w:hAnsi="宋体" w:eastAsia="宋体" w:cs="AdobeHeitiStd-Regular"/>
          <w:color w:val="000000" w:themeColor="text1"/>
          <w:kern w:val="0"/>
          <w:sz w:val="24"/>
          <w:szCs w:val="24"/>
          <w14:textFill>
            <w14:solidFill>
              <w14:schemeClr w14:val="tx1"/>
            </w14:solidFill>
          </w14:textFill>
        </w:rPr>
        <w:footnoteReference w:id="383"/>
      </w:r>
      <w:r>
        <w:rPr>
          <w:rFonts w:ascii="宋体" w:hAnsi="宋体" w:eastAsia="宋体" w:cs="AdobeHeitiStd-Regular"/>
          <w:color w:val="000000" w:themeColor="text1"/>
          <w:kern w:val="0"/>
          <w:sz w:val="24"/>
          <w:szCs w:val="24"/>
          <w14:textFill>
            <w14:solidFill>
              <w14:schemeClr w14:val="tx1"/>
            </w14:solidFill>
          </w14:textFill>
        </w:rPr>
        <w:t xml:space="preserve"> </w:t>
      </w:r>
    </w:p>
    <w:p w14:paraId="14F818D5">
      <w:pPr>
        <w:autoSpaceDE w:val="0"/>
        <w:autoSpaceDN w:val="0"/>
        <w:adjustRightInd w:val="0"/>
        <w:snapToGrid w:val="0"/>
        <w:spacing w:line="360" w:lineRule="auto"/>
        <w:ind w:firstLine="512"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olor w:val="000000" w:themeColor="text1"/>
          <w:spacing w:val="8"/>
          <w:sz w:val="24"/>
          <w:szCs w:val="24"/>
          <w:shd w:val="clear" w:color="auto" w:fill="FFFFFF"/>
          <w14:textFill>
            <w14:solidFill>
              <w14:schemeClr w14:val="tx1"/>
            </w14:solidFill>
          </w14:textFill>
        </w:rPr>
        <w:t>尤其</w:t>
      </w:r>
      <w:r>
        <w:rPr>
          <w:rFonts w:ascii="宋体" w:hAnsi="宋体" w:eastAsia="宋体"/>
          <w:color w:val="000000" w:themeColor="text1"/>
          <w:spacing w:val="8"/>
          <w:sz w:val="24"/>
          <w:szCs w:val="24"/>
          <w:shd w:val="clear" w:color="auto" w:fill="FFFFFF"/>
          <w14:textFill>
            <w14:solidFill>
              <w14:schemeClr w14:val="tx1"/>
            </w14:solidFill>
          </w14:textFill>
        </w:rPr>
        <w:t>对于后发国家来说，</w:t>
      </w:r>
      <w:r>
        <w:rPr>
          <w:rFonts w:hint="eastAsia" w:ascii="宋体" w:hAnsi="宋体" w:eastAsia="宋体"/>
          <w:color w:val="000000" w:themeColor="text1"/>
          <w:spacing w:val="8"/>
          <w:sz w:val="24"/>
          <w:szCs w:val="24"/>
          <w:shd w:val="clear" w:color="auto" w:fill="FFFFFF"/>
          <w14:textFill>
            <w14:solidFill>
              <w14:schemeClr w14:val="tx1"/>
            </w14:solidFill>
          </w14:textFill>
        </w:rPr>
        <w:t>制造业长期以来被视为后发国家赶超的必由之路。这是</w:t>
      </w:r>
      <w:r>
        <w:rPr>
          <w:rFonts w:ascii="宋体" w:hAnsi="宋体" w:eastAsia="宋体"/>
          <w:color w:val="000000" w:themeColor="text1"/>
          <w:spacing w:val="8"/>
          <w:sz w:val="24"/>
          <w:szCs w:val="24"/>
          <w:shd w:val="clear" w:color="auto" w:fill="FFFFFF"/>
          <w14:textFill>
            <w14:solidFill>
              <w14:schemeClr w14:val="tx1"/>
            </w14:solidFill>
          </w14:textFill>
        </w:rPr>
        <w:t>因为，</w:t>
      </w:r>
      <w:r>
        <w:rPr>
          <w:rFonts w:hint="eastAsia" w:ascii="宋体" w:hAnsi="宋体" w:eastAsia="宋体"/>
          <w:color w:val="000000" w:themeColor="text1"/>
          <w:spacing w:val="8"/>
          <w:sz w:val="24"/>
          <w:szCs w:val="24"/>
          <w:shd w:val="clear" w:color="auto" w:fill="FFFFFF"/>
          <w14:textFill>
            <w14:solidFill>
              <w14:schemeClr w14:val="tx1"/>
            </w14:solidFill>
          </w14:textFill>
        </w:rPr>
        <w:t>对于后发国家而言，较为</w:t>
      </w:r>
      <w:r>
        <w:rPr>
          <w:rFonts w:ascii="宋体" w:hAnsi="宋体" w:eastAsia="宋体"/>
          <w:color w:val="000000" w:themeColor="text1"/>
          <w:spacing w:val="8"/>
          <w:sz w:val="24"/>
          <w:szCs w:val="24"/>
          <w:shd w:val="clear" w:color="auto" w:fill="FFFFFF"/>
          <w14:textFill>
            <w14:solidFill>
              <w14:schemeClr w14:val="tx1"/>
            </w14:solidFill>
          </w14:textFill>
        </w:rPr>
        <w:t>雄厚</w:t>
      </w:r>
      <w:r>
        <w:rPr>
          <w:rFonts w:hint="eastAsia" w:ascii="宋体" w:hAnsi="宋体" w:eastAsia="宋体"/>
          <w:color w:val="000000" w:themeColor="text1"/>
          <w:spacing w:val="8"/>
          <w:sz w:val="24"/>
          <w:szCs w:val="24"/>
          <w:shd w:val="clear" w:color="auto" w:fill="FFFFFF"/>
          <w14:textFill>
            <w14:solidFill>
              <w14:schemeClr w14:val="tx1"/>
            </w14:solidFill>
          </w14:textFill>
        </w:rPr>
        <w:t>的资本、熟练的劳动力和较高的教育水平等资源</w:t>
      </w:r>
      <w:r>
        <w:rPr>
          <w:rFonts w:ascii="宋体" w:hAnsi="宋体" w:eastAsia="宋体"/>
          <w:color w:val="000000" w:themeColor="text1"/>
          <w:spacing w:val="8"/>
          <w:sz w:val="24"/>
          <w:szCs w:val="24"/>
          <w:shd w:val="clear" w:color="auto" w:fill="FFFFFF"/>
          <w14:textFill>
            <w14:solidFill>
              <w14:schemeClr w14:val="tx1"/>
            </w14:solidFill>
          </w14:textFill>
        </w:rPr>
        <w:t>相对匮乏，</w:t>
      </w:r>
      <w:r>
        <w:rPr>
          <w:rFonts w:hint="eastAsia" w:ascii="宋体" w:hAnsi="宋体" w:eastAsia="宋体"/>
          <w:color w:val="000000" w:themeColor="text1"/>
          <w:spacing w:val="8"/>
          <w:sz w:val="24"/>
          <w:szCs w:val="24"/>
          <w:shd w:val="clear" w:color="auto" w:fill="FFFFFF"/>
          <w14:textFill>
            <w14:solidFill>
              <w14:schemeClr w14:val="tx1"/>
            </w14:solidFill>
          </w14:textFill>
        </w:rPr>
        <w:t>无法通过直接发展资本密集型或高附加值型服务业来实现效率改进以及就业提升</w:t>
      </w:r>
      <w:r>
        <w:rPr>
          <w:rFonts w:ascii="宋体" w:hAnsi="宋体" w:eastAsia="宋体"/>
          <w:color w:val="000000" w:themeColor="text1"/>
          <w:spacing w:val="8"/>
          <w:sz w:val="24"/>
          <w:szCs w:val="24"/>
          <w:shd w:val="clear" w:color="auto" w:fill="FFFFFF"/>
          <w14:textFill>
            <w14:solidFill>
              <w14:schemeClr w14:val="tx1"/>
            </w14:solidFill>
          </w14:textFill>
        </w:rPr>
        <w:t>的双向</w:t>
      </w:r>
      <w:r>
        <w:rPr>
          <w:rFonts w:hint="eastAsia" w:ascii="宋体" w:hAnsi="宋体" w:eastAsia="宋体"/>
          <w:color w:val="000000" w:themeColor="text1"/>
          <w:spacing w:val="8"/>
          <w:sz w:val="24"/>
          <w:szCs w:val="24"/>
          <w:shd w:val="clear" w:color="auto" w:fill="FFFFFF"/>
          <w14:textFill>
            <w14:solidFill>
              <w14:schemeClr w14:val="tx1"/>
            </w14:solidFill>
          </w14:textFill>
        </w:rPr>
        <w:t>保障和双重目标。</w:t>
      </w:r>
      <w:r>
        <w:rPr>
          <w:rStyle w:val="20"/>
          <w:rFonts w:ascii="宋体" w:hAnsi="宋体" w:eastAsia="宋体"/>
          <w:color w:val="000000" w:themeColor="text1"/>
          <w:spacing w:val="8"/>
          <w:sz w:val="24"/>
          <w:szCs w:val="24"/>
          <w:shd w:val="clear" w:color="auto" w:fill="FFFFFF"/>
          <w14:textFill>
            <w14:solidFill>
              <w14:schemeClr w14:val="tx1"/>
            </w14:solidFill>
          </w14:textFill>
        </w:rPr>
        <w:footnoteReference w:id="384"/>
      </w:r>
      <w:r>
        <w:rPr>
          <w:rFonts w:hint="eastAsia" w:ascii="宋体" w:hAnsi="宋体" w:eastAsia="宋体"/>
          <w:color w:val="000000" w:themeColor="text1"/>
          <w:spacing w:val="8"/>
          <w:sz w:val="24"/>
          <w:szCs w:val="24"/>
          <w:shd w:val="clear" w:color="auto" w:fill="FFFFFF"/>
          <w14:textFill>
            <w14:solidFill>
              <w14:schemeClr w14:val="tx1"/>
            </w14:solidFill>
          </w14:textFill>
        </w:rPr>
        <w:t>而制造业在国际市场上的可交易性，不仅加强了规模经济和技术扩散，而且重要的是，还提供了更多的机会来获取国内市场以外的需求，并强化了竞争。相比较</w:t>
      </w:r>
      <w:r>
        <w:rPr>
          <w:rFonts w:ascii="宋体" w:hAnsi="宋体" w:eastAsia="宋体"/>
          <w:color w:val="000000" w:themeColor="text1"/>
          <w:spacing w:val="8"/>
          <w:sz w:val="24"/>
          <w:szCs w:val="24"/>
          <w:shd w:val="clear" w:color="auto" w:fill="FFFFFF"/>
          <w14:textFill>
            <w14:solidFill>
              <w14:schemeClr w14:val="tx1"/>
            </w14:solidFill>
          </w14:textFill>
        </w:rPr>
        <w:t>而言，</w:t>
      </w:r>
      <w:r>
        <w:rPr>
          <w:rFonts w:hint="eastAsia" w:ascii="宋体" w:hAnsi="宋体" w:eastAsia="宋体"/>
          <w:color w:val="000000" w:themeColor="text1"/>
          <w:spacing w:val="8"/>
          <w:sz w:val="24"/>
          <w:szCs w:val="24"/>
          <w:shd w:val="clear" w:color="auto" w:fill="FFFFFF"/>
          <w14:textFill>
            <w14:solidFill>
              <w14:schemeClr w14:val="tx1"/>
            </w14:solidFill>
          </w14:textFill>
        </w:rPr>
        <w:t>农业部门虽然</w:t>
      </w:r>
      <w:r>
        <w:rPr>
          <w:rFonts w:ascii="宋体" w:hAnsi="宋体" w:eastAsia="宋体"/>
          <w:color w:val="000000" w:themeColor="text1"/>
          <w:spacing w:val="8"/>
          <w:sz w:val="24"/>
          <w:szCs w:val="24"/>
          <w:shd w:val="clear" w:color="auto" w:fill="FFFFFF"/>
          <w14:textFill>
            <w14:solidFill>
              <w14:schemeClr w14:val="tx1"/>
            </w14:solidFill>
          </w14:textFill>
        </w:rPr>
        <w:t>也</w:t>
      </w:r>
      <w:r>
        <w:rPr>
          <w:rFonts w:hint="eastAsia" w:ascii="宋体" w:hAnsi="宋体" w:eastAsia="宋体"/>
          <w:color w:val="000000" w:themeColor="text1"/>
          <w:spacing w:val="8"/>
          <w:sz w:val="24"/>
          <w:szCs w:val="24"/>
          <w:shd w:val="clear" w:color="auto" w:fill="FFFFFF"/>
          <w14:textFill>
            <w14:solidFill>
              <w14:schemeClr w14:val="tx1"/>
            </w14:solidFill>
          </w14:textFill>
        </w:rPr>
        <w:t>是可交易的，但由于需求的收入弹性低，在缺乏需求拉动的前提下规模有限。低端服务业虽然可以吸收农业剩余劳动力，但</w:t>
      </w:r>
      <w:r>
        <w:rPr>
          <w:rFonts w:ascii="宋体" w:hAnsi="宋体" w:eastAsia="宋体"/>
          <w:color w:val="000000" w:themeColor="text1"/>
          <w:spacing w:val="8"/>
          <w:sz w:val="24"/>
          <w:szCs w:val="24"/>
          <w:shd w:val="clear" w:color="auto" w:fill="FFFFFF"/>
          <w14:textFill>
            <w14:solidFill>
              <w14:schemeClr w14:val="tx1"/>
            </w14:solidFill>
          </w14:textFill>
        </w:rPr>
        <w:t>是</w:t>
      </w:r>
      <w:r>
        <w:rPr>
          <w:rFonts w:hint="eastAsia" w:ascii="宋体" w:hAnsi="宋体" w:eastAsia="宋体"/>
          <w:color w:val="000000" w:themeColor="text1"/>
          <w:spacing w:val="8"/>
          <w:sz w:val="24"/>
          <w:szCs w:val="24"/>
          <w:shd w:val="clear" w:color="auto" w:fill="FFFFFF"/>
          <w14:textFill>
            <w14:solidFill>
              <w14:schemeClr w14:val="tx1"/>
            </w14:solidFill>
          </w14:textFill>
        </w:rPr>
        <w:t>对生产率增长的贡献很小。因此</w:t>
      </w:r>
      <w:r>
        <w:rPr>
          <w:rFonts w:ascii="宋体" w:hAnsi="宋体" w:eastAsia="宋体"/>
          <w:color w:val="000000" w:themeColor="text1"/>
          <w:spacing w:val="8"/>
          <w:sz w:val="24"/>
          <w:szCs w:val="24"/>
          <w:shd w:val="clear" w:color="auto" w:fill="FFFFFF"/>
          <w14:textFill>
            <w14:solidFill>
              <w14:schemeClr w14:val="tx1"/>
            </w14:solidFill>
          </w14:textFill>
        </w:rPr>
        <w:t>，</w:t>
      </w:r>
      <w:r>
        <w:rPr>
          <w:rFonts w:hint="eastAsia" w:ascii="宋体" w:hAnsi="宋体" w:eastAsia="宋体"/>
          <w:color w:val="000000" w:themeColor="text1"/>
          <w:spacing w:val="8"/>
          <w:sz w:val="24"/>
          <w:szCs w:val="24"/>
          <w:shd w:val="clear" w:color="auto" w:fill="FFFFFF"/>
          <w14:textFill>
            <w14:solidFill>
              <w14:schemeClr w14:val="tx1"/>
            </w14:solidFill>
          </w14:textFill>
        </w:rPr>
        <w:t>只有制造业可以在吸收大量非熟练劳动力的同时，兼具规模效应和生产率提升效应</w:t>
      </w:r>
      <w:r>
        <w:rPr>
          <w:rFonts w:ascii="宋体" w:hAnsi="宋体" w:eastAsia="宋体"/>
          <w:color w:val="000000" w:themeColor="text1"/>
          <w:spacing w:val="8"/>
          <w:sz w:val="24"/>
          <w:szCs w:val="24"/>
          <w:shd w:val="clear" w:color="auto" w:fill="FFFFFF"/>
          <w14:textFill>
            <w14:solidFill>
              <w14:schemeClr w14:val="tx1"/>
            </w14:solidFill>
          </w14:textFill>
        </w:rPr>
        <w:t>。</w:t>
      </w:r>
      <w:r>
        <w:rPr>
          <w:rStyle w:val="20"/>
          <w:rFonts w:ascii="宋体" w:hAnsi="宋体" w:eastAsia="宋体"/>
          <w:color w:val="000000" w:themeColor="text1"/>
          <w:spacing w:val="8"/>
          <w:sz w:val="24"/>
          <w:szCs w:val="24"/>
          <w:shd w:val="clear" w:color="auto" w:fill="FFFFFF"/>
          <w14:textFill>
            <w14:solidFill>
              <w14:schemeClr w14:val="tx1"/>
            </w14:solidFill>
          </w14:textFill>
        </w:rPr>
        <w:footnoteReference w:id="385"/>
      </w:r>
    </w:p>
    <w:p w14:paraId="3173EDE5">
      <w:pPr>
        <w:autoSpaceDE w:val="0"/>
        <w:autoSpaceDN w:val="0"/>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中国经过70多年</w:t>
      </w:r>
      <w:r>
        <w:rPr>
          <w:rFonts w:ascii="宋体" w:hAnsi="宋体" w:eastAsia="宋体" w:cs="AdobeHeitiStd-Regular"/>
          <w:color w:val="000000" w:themeColor="text1"/>
          <w:kern w:val="0"/>
          <w:sz w:val="24"/>
          <w:szCs w:val="24"/>
          <w14:textFill>
            <w14:solidFill>
              <w14:schemeClr w14:val="tx1"/>
            </w14:solidFill>
          </w14:textFill>
        </w:rPr>
        <w:t>的工业化路径，</w:t>
      </w:r>
      <w:r>
        <w:rPr>
          <w:rFonts w:hint="eastAsia" w:ascii="宋体" w:hAnsi="宋体" w:eastAsia="宋体" w:cs="AdobeHeitiStd-Regular"/>
          <w:color w:val="000000" w:themeColor="text1"/>
          <w:kern w:val="0"/>
          <w:sz w:val="24"/>
          <w:szCs w:val="24"/>
          <w14:textFill>
            <w14:solidFill>
              <w14:schemeClr w14:val="tx1"/>
            </w14:solidFill>
          </w14:textFill>
        </w:rPr>
        <w:t>经济成就</w:t>
      </w:r>
      <w:r>
        <w:rPr>
          <w:rFonts w:ascii="宋体" w:hAnsi="宋体" w:eastAsia="宋体" w:cs="AdobeHeitiStd-Regular"/>
          <w:color w:val="000000" w:themeColor="text1"/>
          <w:kern w:val="0"/>
          <w:sz w:val="24"/>
          <w:szCs w:val="24"/>
          <w14:textFill>
            <w14:solidFill>
              <w14:schemeClr w14:val="tx1"/>
            </w14:solidFill>
          </w14:textFill>
        </w:rPr>
        <w:t>斐然。</w:t>
      </w:r>
      <w:r>
        <w:rPr>
          <w:rFonts w:hint="eastAsia" w:ascii="宋体" w:hAnsi="宋体" w:eastAsia="宋体" w:cs="AdobeHeitiStd-Regular"/>
          <w:color w:val="000000" w:themeColor="text1"/>
          <w:kern w:val="0"/>
          <w:sz w:val="24"/>
          <w:szCs w:val="24"/>
          <w14:textFill>
            <w14:solidFill>
              <w14:schemeClr w14:val="tx1"/>
            </w14:solidFill>
          </w14:textFill>
        </w:rPr>
        <w:t>2001年</w:t>
      </w:r>
      <w:r>
        <w:rPr>
          <w:rFonts w:ascii="宋体" w:hAnsi="宋体" w:eastAsia="宋体" w:cs="AdobeHeitiStd-Regular"/>
          <w:color w:val="000000" w:themeColor="text1"/>
          <w:kern w:val="0"/>
          <w:sz w:val="24"/>
          <w:szCs w:val="24"/>
          <w14:textFill>
            <w14:solidFill>
              <w14:schemeClr w14:val="tx1"/>
            </w14:solidFill>
          </w14:textFill>
        </w:rPr>
        <w:t>中国加入世界贸易组织，开启了融入</w:t>
      </w:r>
      <w:r>
        <w:rPr>
          <w:rFonts w:hint="eastAsia" w:ascii="宋体" w:hAnsi="宋体" w:eastAsia="宋体" w:cs="AdobeHeitiStd-Regular"/>
          <w:color w:val="000000" w:themeColor="text1"/>
          <w:kern w:val="0"/>
          <w:sz w:val="24"/>
          <w:szCs w:val="24"/>
          <w14:textFill>
            <w14:solidFill>
              <w14:schemeClr w14:val="tx1"/>
            </w14:solidFill>
          </w14:textFill>
        </w:rPr>
        <w:t>经济</w:t>
      </w:r>
      <w:r>
        <w:rPr>
          <w:rFonts w:ascii="宋体" w:hAnsi="宋体" w:eastAsia="宋体" w:cs="AdobeHeitiStd-Regular"/>
          <w:color w:val="000000" w:themeColor="text1"/>
          <w:kern w:val="0"/>
          <w:sz w:val="24"/>
          <w:szCs w:val="24"/>
          <w14:textFill>
            <w14:solidFill>
              <w14:schemeClr w14:val="tx1"/>
            </w14:solidFill>
          </w14:textFill>
        </w:rPr>
        <w:t>全球化的新篇章</w:t>
      </w:r>
      <w:r>
        <w:rPr>
          <w:rFonts w:hint="eastAsia" w:ascii="宋体" w:hAnsi="宋体" w:eastAsia="宋体" w:cs="AdobeHeitiStd-Regular"/>
          <w:color w:val="000000" w:themeColor="text1"/>
          <w:kern w:val="0"/>
          <w:sz w:val="24"/>
          <w:szCs w:val="24"/>
          <w14:textFill>
            <w14:solidFill>
              <w14:schemeClr w14:val="tx1"/>
            </w14:solidFill>
          </w14:textFill>
        </w:rPr>
        <w:t>。伴随着中国</w:t>
      </w:r>
      <w:r>
        <w:rPr>
          <w:rFonts w:ascii="宋体" w:hAnsi="宋体" w:eastAsia="宋体" w:cs="AdobeHeitiStd-Regular"/>
          <w:color w:val="000000" w:themeColor="text1"/>
          <w:kern w:val="0"/>
          <w:sz w:val="24"/>
          <w:szCs w:val="24"/>
          <w14:textFill>
            <w14:solidFill>
              <w14:schemeClr w14:val="tx1"/>
            </w14:solidFill>
          </w14:textFill>
        </w:rPr>
        <w:t>改革开放</w:t>
      </w:r>
      <w:r>
        <w:rPr>
          <w:rFonts w:hint="eastAsia" w:ascii="宋体" w:hAnsi="宋体" w:eastAsia="宋体" w:cs="AdobeHeitiStd-Regular"/>
          <w:color w:val="000000" w:themeColor="text1"/>
          <w:kern w:val="0"/>
          <w:sz w:val="24"/>
          <w:szCs w:val="24"/>
          <w14:textFill>
            <w14:solidFill>
              <w14:schemeClr w14:val="tx1"/>
            </w14:solidFill>
          </w14:textFill>
        </w:rPr>
        <w:t>的</w:t>
      </w:r>
      <w:r>
        <w:rPr>
          <w:rFonts w:ascii="宋体" w:hAnsi="宋体" w:eastAsia="宋体" w:cs="AdobeHeitiStd-Regular"/>
          <w:color w:val="000000" w:themeColor="text1"/>
          <w:kern w:val="0"/>
          <w:sz w:val="24"/>
          <w:szCs w:val="24"/>
          <w14:textFill>
            <w14:solidFill>
              <w14:schemeClr w14:val="tx1"/>
            </w14:solidFill>
          </w14:textFill>
        </w:rPr>
        <w:t>节奏加快，</w:t>
      </w:r>
      <w:r>
        <w:rPr>
          <w:rFonts w:hint="eastAsia" w:ascii="宋体" w:hAnsi="宋体" w:eastAsia="宋体" w:cs="AdobeHeitiStd-Regular"/>
          <w:color w:val="000000" w:themeColor="text1"/>
          <w:kern w:val="0"/>
          <w:sz w:val="24"/>
          <w:szCs w:val="24"/>
          <w14:textFill>
            <w14:solidFill>
              <w14:schemeClr w14:val="tx1"/>
            </w14:solidFill>
          </w14:textFill>
        </w:rPr>
        <w:t>因应</w:t>
      </w:r>
      <w:r>
        <w:rPr>
          <w:rFonts w:ascii="宋体" w:hAnsi="宋体" w:eastAsia="宋体" w:cs="AdobeHeitiStd-Regular"/>
          <w:color w:val="000000" w:themeColor="text1"/>
          <w:kern w:val="0"/>
          <w:sz w:val="24"/>
          <w:szCs w:val="24"/>
          <w14:textFill>
            <w14:solidFill>
              <w14:schemeClr w14:val="tx1"/>
            </w14:solidFill>
          </w14:textFill>
        </w:rPr>
        <w:t>全球化</w:t>
      </w:r>
      <w:r>
        <w:rPr>
          <w:rFonts w:hint="eastAsia" w:ascii="宋体" w:hAnsi="宋体" w:eastAsia="宋体" w:cs="AdobeHeitiStd-Regular"/>
          <w:color w:val="000000" w:themeColor="text1"/>
          <w:kern w:val="0"/>
          <w:sz w:val="24"/>
          <w:szCs w:val="24"/>
          <w14:textFill>
            <w14:solidFill>
              <w14:schemeClr w14:val="tx1"/>
            </w14:solidFill>
          </w14:textFill>
        </w:rPr>
        <w:t>转型</w:t>
      </w:r>
      <w:r>
        <w:rPr>
          <w:rFonts w:ascii="宋体" w:hAnsi="宋体" w:eastAsia="宋体" w:cs="AdobeHeitiStd-Regular"/>
          <w:color w:val="000000" w:themeColor="text1"/>
          <w:kern w:val="0"/>
          <w:sz w:val="24"/>
          <w:szCs w:val="24"/>
          <w14:textFill>
            <w14:solidFill>
              <w14:schemeClr w14:val="tx1"/>
            </w14:solidFill>
          </w14:textFill>
        </w:rPr>
        <w:t>的</w:t>
      </w:r>
      <w:r>
        <w:rPr>
          <w:rFonts w:hint="eastAsia" w:ascii="宋体" w:hAnsi="宋体" w:eastAsia="宋体" w:cs="AdobeHeitiStd-Regular"/>
          <w:color w:val="000000" w:themeColor="text1"/>
          <w:kern w:val="0"/>
          <w:sz w:val="24"/>
          <w:szCs w:val="24"/>
          <w14:textFill>
            <w14:solidFill>
              <w14:schemeClr w14:val="tx1"/>
            </w14:solidFill>
          </w14:textFill>
        </w:rPr>
        <w:t>相对自主性的</w:t>
      </w:r>
      <w:r>
        <w:rPr>
          <w:rFonts w:ascii="宋体" w:hAnsi="宋体" w:eastAsia="宋体" w:cs="AdobeHeitiStd-Regular"/>
          <w:color w:val="000000" w:themeColor="text1"/>
          <w:kern w:val="0"/>
          <w:sz w:val="24"/>
          <w:szCs w:val="24"/>
          <w14:textFill>
            <w14:solidFill>
              <w14:schemeClr w14:val="tx1"/>
            </w14:solidFill>
          </w14:textFill>
        </w:rPr>
        <w:t>宏观逻辑</w:t>
      </w:r>
      <w:r>
        <w:rPr>
          <w:rFonts w:hint="eastAsia" w:ascii="宋体" w:hAnsi="宋体" w:eastAsia="宋体" w:cs="AdobeHeitiStd-Regular"/>
          <w:color w:val="000000" w:themeColor="text1"/>
          <w:kern w:val="0"/>
          <w:sz w:val="24"/>
          <w:szCs w:val="24"/>
          <w14:textFill>
            <w14:solidFill>
              <w14:schemeClr w14:val="tx1"/>
            </w14:solidFill>
          </w14:textFill>
        </w:rPr>
        <w:t>建构</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2</w:t>
      </w:r>
      <w:r>
        <w:rPr>
          <w:rFonts w:ascii="宋体" w:hAnsi="宋体" w:eastAsia="宋体" w:cs="AdobeHeitiStd-Regular"/>
          <w:color w:val="000000" w:themeColor="text1"/>
          <w:kern w:val="0"/>
          <w:sz w:val="24"/>
          <w:szCs w:val="24"/>
          <w14:textFill>
            <w14:solidFill>
              <w14:schemeClr w14:val="tx1"/>
            </w14:solidFill>
          </w14:textFill>
        </w:rPr>
        <w:t>002</w:t>
      </w:r>
      <w:r>
        <w:rPr>
          <w:rFonts w:hint="eastAsia" w:ascii="宋体" w:hAnsi="宋体" w:eastAsia="宋体" w:cs="AdobeHeitiStd-Regular"/>
          <w:color w:val="000000" w:themeColor="text1"/>
          <w:kern w:val="0"/>
          <w:sz w:val="24"/>
          <w:szCs w:val="24"/>
          <w14:textFill>
            <w14:solidFill>
              <w14:schemeClr w14:val="tx1"/>
            </w14:solidFill>
          </w14:textFill>
        </w:rPr>
        <w:t>年中国提出新型</w:t>
      </w:r>
      <w:r>
        <w:rPr>
          <w:rFonts w:ascii="宋体" w:hAnsi="宋体" w:eastAsia="宋体" w:cs="AdobeHeitiStd-Regular"/>
          <w:color w:val="000000" w:themeColor="text1"/>
          <w:kern w:val="0"/>
          <w:sz w:val="24"/>
          <w:szCs w:val="24"/>
          <w14:textFill>
            <w14:solidFill>
              <w14:schemeClr w14:val="tx1"/>
            </w14:solidFill>
          </w14:textFill>
        </w:rPr>
        <w:t>工业化，</w:t>
      </w:r>
      <w:r>
        <w:rPr>
          <w:rFonts w:hint="eastAsia" w:ascii="宋体" w:hAnsi="宋体" w:eastAsia="宋体" w:cs="AdobeHeitiStd-Regular"/>
          <w:color w:val="000000" w:themeColor="text1"/>
          <w:kern w:val="0"/>
          <w:sz w:val="24"/>
          <w:szCs w:val="24"/>
          <w14:textFill>
            <w14:solidFill>
              <w14:schemeClr w14:val="tx1"/>
            </w14:solidFill>
          </w14:textFill>
        </w:rPr>
        <w:t>基本内涵是坚持以信息化带动工业化，以工业化促进信息化，走出一条科技含量高、经济效益好、资源消耗低、环境污染少、人力资源优势得到充分发挥的新型工业化路子。</w:t>
      </w:r>
      <w:r>
        <w:rPr>
          <w:rStyle w:val="20"/>
          <w:rFonts w:ascii="宋体" w:hAnsi="宋体" w:eastAsia="宋体" w:cs="AdobeHeitiStd-Regular"/>
          <w:color w:val="000000" w:themeColor="text1"/>
          <w:kern w:val="0"/>
          <w:sz w:val="24"/>
          <w:szCs w:val="24"/>
          <w14:textFill>
            <w14:solidFill>
              <w14:schemeClr w14:val="tx1"/>
            </w14:solidFill>
          </w14:textFill>
        </w:rPr>
        <w:footnoteReference w:id="386"/>
      </w:r>
      <w:r>
        <w:rPr>
          <w:rFonts w:hint="eastAsia" w:ascii="宋体" w:hAnsi="宋体" w:eastAsia="宋体" w:cs="AdobeHeitiStd-Regular"/>
          <w:color w:val="000000" w:themeColor="text1"/>
          <w:kern w:val="0"/>
          <w:sz w:val="24"/>
          <w:szCs w:val="24"/>
          <w14:textFill>
            <w14:solidFill>
              <w14:schemeClr w14:val="tx1"/>
            </w14:solidFill>
          </w14:textFill>
        </w:rPr>
        <w:t xml:space="preserve"> 新型工业化相对于传统工业化道路，更加强调与信息化融合、提高科技含量和经济效率、保护资源环境和充分发挥中国人力资源丰富优势的工业化道路。此后围绕新型</w:t>
      </w:r>
      <w:r>
        <w:rPr>
          <w:rFonts w:ascii="宋体" w:hAnsi="宋体" w:eastAsia="宋体" w:cs="AdobeHeitiStd-Regular"/>
          <w:color w:val="000000" w:themeColor="text1"/>
          <w:kern w:val="0"/>
          <w:sz w:val="24"/>
          <w:szCs w:val="24"/>
          <w14:textFill>
            <w14:solidFill>
              <w14:schemeClr w14:val="tx1"/>
            </w14:solidFill>
          </w14:textFill>
        </w:rPr>
        <w:t>工业化</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我国</w:t>
      </w:r>
      <w:r>
        <w:rPr>
          <w:rFonts w:hint="eastAsia" w:ascii="宋体" w:hAnsi="宋体" w:eastAsia="宋体" w:cs="AdobeHeitiStd-Regular"/>
          <w:color w:val="000000" w:themeColor="text1"/>
          <w:kern w:val="0"/>
          <w:sz w:val="24"/>
          <w:szCs w:val="24"/>
          <w14:textFill>
            <w14:solidFill>
              <w14:schemeClr w14:val="tx1"/>
            </w14:solidFill>
          </w14:textFill>
        </w:rPr>
        <w:t>不断探索创新工业化道路，着眼于保障经济高速增长基础</w:t>
      </w:r>
      <w:r>
        <w:rPr>
          <w:rFonts w:ascii="宋体" w:hAnsi="宋体" w:eastAsia="宋体" w:cs="AdobeHeitiStd-Regular"/>
          <w:color w:val="000000" w:themeColor="text1"/>
          <w:kern w:val="0"/>
          <w:sz w:val="24"/>
          <w:szCs w:val="24"/>
          <w14:textFill>
            <w14:solidFill>
              <w14:schemeClr w14:val="tx1"/>
            </w14:solidFill>
          </w14:textFill>
        </w:rPr>
        <w:t>上的经济结构</w:t>
      </w:r>
      <w:r>
        <w:rPr>
          <w:rFonts w:hint="eastAsia" w:ascii="宋体" w:hAnsi="宋体" w:eastAsia="宋体" w:cs="AdobeHeitiStd-Regular"/>
          <w:color w:val="000000" w:themeColor="text1"/>
          <w:kern w:val="0"/>
          <w:sz w:val="24"/>
          <w:szCs w:val="24"/>
          <w14:textFill>
            <w14:solidFill>
              <w14:schemeClr w14:val="tx1"/>
            </w14:solidFill>
          </w14:textFill>
        </w:rPr>
        <w:t>日趋</w:t>
      </w:r>
      <w:r>
        <w:rPr>
          <w:rFonts w:ascii="宋体" w:hAnsi="宋体" w:eastAsia="宋体" w:cs="AdobeHeitiStd-Regular"/>
          <w:color w:val="000000" w:themeColor="text1"/>
          <w:kern w:val="0"/>
          <w:sz w:val="24"/>
          <w:szCs w:val="24"/>
          <w14:textFill>
            <w14:solidFill>
              <w14:schemeClr w14:val="tx1"/>
            </w14:solidFill>
          </w14:textFill>
        </w:rPr>
        <w:t>完善</w:t>
      </w:r>
      <w:r>
        <w:rPr>
          <w:rFonts w:hint="eastAsia" w:ascii="宋体" w:hAnsi="宋体" w:eastAsia="宋体" w:cs="AdobeHeitiStd-Regular"/>
          <w:color w:val="000000" w:themeColor="text1"/>
          <w:kern w:val="0"/>
          <w:sz w:val="24"/>
          <w:szCs w:val="24"/>
          <w14:textFill>
            <w14:solidFill>
              <w14:schemeClr w14:val="tx1"/>
            </w14:solidFill>
          </w14:textFill>
        </w:rPr>
        <w:t>的现代化转型内涵</w:t>
      </w:r>
      <w:r>
        <w:rPr>
          <w:rFonts w:ascii="宋体" w:hAnsi="宋体" w:eastAsia="宋体" w:cs="AdobeHeitiStd-Regular"/>
          <w:color w:val="000000" w:themeColor="text1"/>
          <w:kern w:val="0"/>
          <w:sz w:val="24"/>
          <w:szCs w:val="24"/>
          <w14:textFill>
            <w14:solidFill>
              <w14:schemeClr w14:val="tx1"/>
            </w14:solidFill>
          </w14:textFill>
        </w:rPr>
        <w:t>，并</w:t>
      </w:r>
      <w:r>
        <w:rPr>
          <w:rFonts w:hint="eastAsia" w:ascii="宋体" w:hAnsi="宋体" w:eastAsia="宋体" w:cs="AdobeHeitiStd-Regular"/>
          <w:color w:val="000000" w:themeColor="text1"/>
          <w:kern w:val="0"/>
          <w:sz w:val="24"/>
          <w:szCs w:val="24"/>
          <w14:textFill>
            <w14:solidFill>
              <w14:schemeClr w14:val="tx1"/>
            </w14:solidFill>
          </w14:textFill>
        </w:rPr>
        <w:t>在立足新发展阶段、贯彻新发展理念、构建新发展格局的</w:t>
      </w:r>
      <w:r>
        <w:rPr>
          <w:rFonts w:ascii="宋体" w:hAnsi="宋体" w:eastAsia="宋体" w:cs="AdobeHeitiStd-Regular"/>
          <w:color w:val="000000" w:themeColor="text1"/>
          <w:kern w:val="0"/>
          <w:sz w:val="24"/>
          <w:szCs w:val="24"/>
          <w14:textFill>
            <w14:solidFill>
              <w14:schemeClr w14:val="tx1"/>
            </w14:solidFill>
          </w14:textFill>
        </w:rPr>
        <w:t>不断深化过程中</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积极推进</w:t>
      </w:r>
      <w:r>
        <w:rPr>
          <w:rFonts w:hint="eastAsia" w:ascii="宋体" w:hAnsi="宋体" w:eastAsia="宋体" w:cs="AdobeHeitiStd-Regular"/>
          <w:color w:val="000000" w:themeColor="text1"/>
          <w:kern w:val="0"/>
          <w:sz w:val="24"/>
          <w:szCs w:val="24"/>
          <w14:textFill>
            <w14:solidFill>
              <w14:schemeClr w14:val="tx1"/>
            </w14:solidFill>
          </w14:textFill>
        </w:rPr>
        <w:t>如何建设现代化经济体系，旨在</w:t>
      </w:r>
      <w:r>
        <w:rPr>
          <w:rFonts w:ascii="宋体" w:hAnsi="宋体" w:eastAsia="宋体" w:cs="AdobeHeitiStd-Regular"/>
          <w:color w:val="000000" w:themeColor="text1"/>
          <w:kern w:val="0"/>
          <w:sz w:val="24"/>
          <w:szCs w:val="24"/>
          <w14:textFill>
            <w14:solidFill>
              <w14:schemeClr w14:val="tx1"/>
            </w14:solidFill>
          </w14:textFill>
        </w:rPr>
        <w:t>揭示并非</w:t>
      </w:r>
      <w:r>
        <w:rPr>
          <w:rFonts w:hint="eastAsia" w:ascii="宋体" w:hAnsi="宋体" w:eastAsia="宋体" w:cs="AdobeHeitiStd-Regular"/>
          <w:color w:val="000000" w:themeColor="text1"/>
          <w:kern w:val="0"/>
          <w:sz w:val="24"/>
          <w:szCs w:val="24"/>
          <w14:textFill>
            <w14:solidFill>
              <w14:schemeClr w14:val="tx1"/>
            </w14:solidFill>
          </w14:textFill>
        </w:rPr>
        <w:t>只有一种单一的、同质的、最大化</w:t>
      </w:r>
      <w:r>
        <w:rPr>
          <w:rFonts w:ascii="宋体" w:hAnsi="宋体" w:eastAsia="宋体" w:cs="AdobeHeitiStd-Regular"/>
          <w:color w:val="000000" w:themeColor="text1"/>
          <w:kern w:val="0"/>
          <w:sz w:val="24"/>
          <w:szCs w:val="24"/>
          <w14:textFill>
            <w14:solidFill>
              <w14:schemeClr w14:val="tx1"/>
            </w14:solidFill>
          </w14:textFill>
        </w:rPr>
        <w:t>导向的</w:t>
      </w:r>
      <w:r>
        <w:rPr>
          <w:rFonts w:hint="eastAsia" w:ascii="宋体" w:hAnsi="宋体" w:eastAsia="宋体" w:cs="AdobeHeitiStd-Regular"/>
          <w:color w:val="000000" w:themeColor="text1"/>
          <w:kern w:val="0"/>
          <w:sz w:val="24"/>
          <w:szCs w:val="24"/>
          <w14:textFill>
            <w14:solidFill>
              <w14:schemeClr w14:val="tx1"/>
            </w14:solidFill>
          </w14:textFill>
        </w:rPr>
        <w:t>经济现代化模式，需要</w:t>
      </w:r>
      <w:r>
        <w:rPr>
          <w:rFonts w:ascii="宋体" w:hAnsi="宋体" w:eastAsia="宋体" w:cs="AdobeHeitiStd-Regular"/>
          <w:color w:val="000000" w:themeColor="text1"/>
          <w:kern w:val="0"/>
          <w:sz w:val="24"/>
          <w:szCs w:val="24"/>
          <w14:textFill>
            <w14:solidFill>
              <w14:schemeClr w14:val="tx1"/>
            </w14:solidFill>
          </w14:textFill>
        </w:rPr>
        <w:t>在</w:t>
      </w:r>
      <w:r>
        <w:rPr>
          <w:rFonts w:hint="eastAsia" w:ascii="宋体" w:hAnsi="宋体" w:eastAsia="宋体" w:cs="AdobeHeitiStd-Regular"/>
          <w:color w:val="000000" w:themeColor="text1"/>
          <w:kern w:val="0"/>
          <w:sz w:val="24"/>
          <w:szCs w:val="24"/>
          <w14:textFill>
            <w14:solidFill>
              <w14:schemeClr w14:val="tx1"/>
            </w14:solidFill>
          </w14:textFill>
        </w:rPr>
        <w:t>更丰富</w:t>
      </w:r>
      <w:r>
        <w:rPr>
          <w:rFonts w:ascii="宋体" w:hAnsi="宋体" w:eastAsia="宋体" w:cs="AdobeHeitiStd-Regular"/>
          <w:color w:val="000000" w:themeColor="text1"/>
          <w:kern w:val="0"/>
          <w:sz w:val="24"/>
          <w:szCs w:val="24"/>
          <w14:textFill>
            <w14:solidFill>
              <w14:schemeClr w14:val="tx1"/>
            </w14:solidFill>
          </w14:textFill>
        </w:rPr>
        <w:t>内涵、更</w:t>
      </w:r>
      <w:r>
        <w:rPr>
          <w:rFonts w:hint="eastAsia" w:ascii="宋体" w:hAnsi="宋体" w:eastAsia="宋体" w:cs="AdobeHeitiStd-Regular"/>
          <w:color w:val="000000" w:themeColor="text1"/>
          <w:kern w:val="0"/>
          <w:sz w:val="24"/>
          <w:szCs w:val="24"/>
          <w14:textFill>
            <w14:solidFill>
              <w14:schemeClr w14:val="tx1"/>
            </w14:solidFill>
          </w14:textFill>
        </w:rPr>
        <w:t>多</w:t>
      </w:r>
      <w:r>
        <w:rPr>
          <w:rFonts w:ascii="宋体" w:hAnsi="宋体" w:eastAsia="宋体" w:cs="AdobeHeitiStd-Regular"/>
          <w:color w:val="000000" w:themeColor="text1"/>
          <w:kern w:val="0"/>
          <w:sz w:val="24"/>
          <w:szCs w:val="24"/>
          <w14:textFill>
            <w14:solidFill>
              <w14:schemeClr w14:val="tx1"/>
            </w14:solidFill>
          </w14:textFill>
        </w:rPr>
        <w:t>层次、更具体面向和更系统协成的基础上实现</w:t>
      </w:r>
      <w:r>
        <w:rPr>
          <w:rFonts w:hint="eastAsia" w:ascii="宋体" w:hAnsi="宋体" w:eastAsia="宋体" w:cs="AdobeHeitiStd-Regular"/>
          <w:color w:val="000000" w:themeColor="text1"/>
          <w:kern w:val="0"/>
          <w:sz w:val="24"/>
          <w:szCs w:val="24"/>
          <w14:textFill>
            <w14:solidFill>
              <w14:schemeClr w14:val="tx1"/>
            </w14:solidFill>
          </w14:textFill>
        </w:rPr>
        <w:t>符合</w:t>
      </w:r>
      <w:r>
        <w:rPr>
          <w:rFonts w:ascii="宋体" w:hAnsi="宋体" w:eastAsia="宋体" w:cs="AdobeHeitiStd-Regular"/>
          <w:color w:val="000000" w:themeColor="text1"/>
          <w:kern w:val="0"/>
          <w:sz w:val="24"/>
          <w:szCs w:val="24"/>
          <w14:textFill>
            <w14:solidFill>
              <w14:schemeClr w14:val="tx1"/>
            </w14:solidFill>
          </w14:textFill>
        </w:rPr>
        <w:t>中国特色社会主义道路的现代化</w:t>
      </w:r>
      <w:r>
        <w:rPr>
          <w:rFonts w:hint="eastAsia" w:ascii="宋体" w:hAnsi="宋体" w:eastAsia="宋体" w:cs="AdobeHeitiStd-Regular"/>
          <w:color w:val="000000" w:themeColor="text1"/>
          <w:kern w:val="0"/>
          <w:sz w:val="24"/>
          <w:szCs w:val="24"/>
          <w14:textFill>
            <w14:solidFill>
              <w14:schemeClr w14:val="tx1"/>
            </w14:solidFill>
          </w14:textFill>
        </w:rPr>
        <w:t>路径</w:t>
      </w:r>
      <w:r>
        <w:rPr>
          <w:rFonts w:ascii="宋体" w:hAnsi="宋体" w:eastAsia="宋体" w:cs="AdobeHeitiStd-Regular"/>
          <w:color w:val="000000" w:themeColor="text1"/>
          <w:kern w:val="0"/>
          <w:sz w:val="24"/>
          <w:szCs w:val="24"/>
          <w14:textFill>
            <w14:solidFill>
              <w14:schemeClr w14:val="tx1"/>
            </w14:solidFill>
          </w14:textFill>
        </w:rPr>
        <w:t>。</w:t>
      </w:r>
    </w:p>
    <w:p w14:paraId="6517A0D7">
      <w:pPr>
        <w:autoSpaceDE w:val="0"/>
        <w:autoSpaceDN w:val="0"/>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新型</w:t>
      </w:r>
      <w:r>
        <w:rPr>
          <w:rFonts w:ascii="宋体" w:hAnsi="宋体" w:eastAsia="宋体" w:cs="AdobeHeitiStd-Regular"/>
          <w:b/>
          <w:color w:val="000000" w:themeColor="text1"/>
          <w:kern w:val="0"/>
          <w:sz w:val="24"/>
          <w:szCs w:val="24"/>
          <w14:textFill>
            <w14:solidFill>
              <w14:schemeClr w14:val="tx1"/>
            </w14:solidFill>
          </w14:textFill>
        </w:rPr>
        <w:t>工业化的逻辑起点是</w:t>
      </w:r>
      <w:r>
        <w:rPr>
          <w:rFonts w:hint="eastAsia" w:ascii="宋体" w:hAnsi="宋体" w:eastAsia="宋体" w:cs="AdobeHeitiStd-Regular"/>
          <w:b/>
          <w:color w:val="000000" w:themeColor="text1"/>
          <w:kern w:val="0"/>
          <w:sz w:val="24"/>
          <w:szCs w:val="24"/>
          <w14:textFill>
            <w14:solidFill>
              <w14:schemeClr w14:val="tx1"/>
            </w14:solidFill>
          </w14:textFill>
        </w:rPr>
        <w:t>国家自主创新</w:t>
      </w:r>
      <w:r>
        <w:rPr>
          <w:rFonts w:ascii="宋体" w:hAnsi="宋体" w:eastAsia="宋体" w:cs="AdobeHeitiStd-Regular"/>
          <w:b/>
          <w:color w:val="000000" w:themeColor="text1"/>
          <w:kern w:val="0"/>
          <w:sz w:val="24"/>
          <w:szCs w:val="24"/>
          <w14:textFill>
            <w14:solidFill>
              <w14:schemeClr w14:val="tx1"/>
            </w14:solidFill>
          </w14:textFill>
        </w:rPr>
        <w:t>能力的重构。</w:t>
      </w:r>
      <w:r>
        <w:rPr>
          <w:rFonts w:hint="eastAsia" w:ascii="宋体" w:hAnsi="宋体" w:eastAsia="宋体" w:cs="AdobeHeitiStd-Regular"/>
          <w:color w:val="000000" w:themeColor="text1"/>
          <w:kern w:val="0"/>
          <w:sz w:val="24"/>
          <w:szCs w:val="24"/>
          <w14:textFill>
            <w14:solidFill>
              <w14:schemeClr w14:val="tx1"/>
            </w14:solidFill>
          </w14:textFill>
        </w:rPr>
        <w:t>基于“雁阵模式”的产业转移虽然能够在经济起飞阶段帮助发展中国家实现高速增长，但长期看，发达国家凭借其掌握的关键核心技术优势对中国高科技领域进行针对性遏制，暴露出我国巨大的经济安全短板和市场需求缺口。跨国公司始终将核心技术保留在母国，仅将成熟技术向发展中东道国转移，在发展中东道国的技术开发基本上是出于满足东道国本国市场需求的适应性改进，因此跨国公司在发展中国家开展的创新多是“利用型”的微小改进。这也意味着，一旦成熟技术转移的红利被收割完毕，而发展中国家本土的企业又不能成功打开技术赶超的空间，其经济增长就会进入长期相对停滞的状态，</w:t>
      </w:r>
      <w:r>
        <w:rPr>
          <w:rFonts w:ascii="宋体" w:hAnsi="宋体" w:eastAsia="宋体" w:cs="AdobeHeitiStd-Regular"/>
          <w:color w:val="000000" w:themeColor="text1"/>
          <w:kern w:val="0"/>
          <w:sz w:val="24"/>
          <w:szCs w:val="24"/>
          <w14:textFill>
            <w14:solidFill>
              <w14:schemeClr w14:val="tx1"/>
            </w14:solidFill>
          </w14:textFill>
        </w:rPr>
        <w:t>甚至有可能跌入</w:t>
      </w:r>
      <w:r>
        <w:rPr>
          <w:rFonts w:hint="eastAsia" w:ascii="宋体" w:hAnsi="宋体" w:eastAsia="宋体" w:cs="AdobeHeitiStd-Regular"/>
          <w:color w:val="000000" w:themeColor="text1"/>
          <w:kern w:val="0"/>
          <w:sz w:val="24"/>
          <w:szCs w:val="24"/>
          <w14:textFill>
            <w14:solidFill>
              <w14:schemeClr w14:val="tx1"/>
            </w14:solidFill>
          </w14:textFill>
        </w:rPr>
        <w:t>“中等</w:t>
      </w:r>
      <w:r>
        <w:rPr>
          <w:rFonts w:ascii="宋体" w:hAnsi="宋体" w:eastAsia="宋体" w:cs="AdobeHeitiStd-Regular"/>
          <w:color w:val="000000" w:themeColor="text1"/>
          <w:kern w:val="0"/>
          <w:sz w:val="24"/>
          <w:szCs w:val="24"/>
          <w14:textFill>
            <w14:solidFill>
              <w14:schemeClr w14:val="tx1"/>
            </w14:solidFill>
          </w14:textFill>
        </w:rPr>
        <w:t>收入陷阱</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因此</w:t>
      </w:r>
      <w:r>
        <w:rPr>
          <w:rFonts w:hint="eastAsia" w:ascii="宋体" w:hAnsi="宋体" w:eastAsia="宋体" w:cs="AdobeHeitiStd-Regular"/>
          <w:color w:val="000000" w:themeColor="text1"/>
          <w:kern w:val="0"/>
          <w:sz w:val="24"/>
          <w:szCs w:val="24"/>
          <w14:textFill>
            <w14:solidFill>
              <w14:schemeClr w14:val="tx1"/>
            </w14:solidFill>
          </w14:textFill>
        </w:rPr>
        <w:t>新型</w:t>
      </w:r>
      <w:r>
        <w:rPr>
          <w:rFonts w:ascii="宋体" w:hAnsi="宋体" w:eastAsia="宋体" w:cs="AdobeHeitiStd-Regular"/>
          <w:color w:val="000000" w:themeColor="text1"/>
          <w:kern w:val="0"/>
          <w:sz w:val="24"/>
          <w:szCs w:val="24"/>
          <w14:textFill>
            <w14:solidFill>
              <w14:schemeClr w14:val="tx1"/>
            </w14:solidFill>
          </w14:textFill>
        </w:rPr>
        <w:t>工业化的逻辑起点</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是</w:t>
      </w:r>
      <w:r>
        <w:rPr>
          <w:rFonts w:hint="eastAsia" w:ascii="宋体" w:hAnsi="宋体" w:eastAsia="宋体" w:cs="AdobeHeitiStd-Regular"/>
          <w:color w:val="000000" w:themeColor="text1"/>
          <w:kern w:val="0"/>
          <w:sz w:val="24"/>
          <w:szCs w:val="24"/>
          <w14:textFill>
            <w14:solidFill>
              <w14:schemeClr w14:val="tx1"/>
            </w14:solidFill>
          </w14:textFill>
        </w:rPr>
        <w:t>利用自身研发实力进行原始创新类型的自主性突破，并实现技术与市场的精准对接，研发与应用的交互迭代，不断提高技术的可靠性，这</w:t>
      </w:r>
      <w:r>
        <w:rPr>
          <w:rFonts w:ascii="宋体" w:hAnsi="宋体" w:eastAsia="宋体" w:cs="AdobeHeitiStd-Regular"/>
          <w:color w:val="000000" w:themeColor="text1"/>
          <w:kern w:val="0"/>
          <w:sz w:val="24"/>
          <w:szCs w:val="24"/>
          <w14:textFill>
            <w14:solidFill>
              <w14:schemeClr w14:val="tx1"/>
            </w14:solidFill>
          </w14:textFill>
        </w:rPr>
        <w:t>才</w:t>
      </w:r>
      <w:r>
        <w:rPr>
          <w:rFonts w:hint="eastAsia" w:ascii="宋体" w:hAnsi="宋体" w:eastAsia="宋体" w:cs="AdobeHeitiStd-Regular"/>
          <w:color w:val="000000" w:themeColor="text1"/>
          <w:kern w:val="0"/>
          <w:sz w:val="24"/>
          <w:szCs w:val="24"/>
          <w14:textFill>
            <w14:solidFill>
              <w14:schemeClr w14:val="tx1"/>
            </w14:solidFill>
          </w14:textFill>
        </w:rPr>
        <w:t>是后发</w:t>
      </w:r>
      <w:r>
        <w:rPr>
          <w:rFonts w:ascii="宋体" w:hAnsi="宋体" w:eastAsia="宋体" w:cs="AdobeHeitiStd-Regular"/>
          <w:color w:val="000000" w:themeColor="text1"/>
          <w:kern w:val="0"/>
          <w:sz w:val="24"/>
          <w:szCs w:val="24"/>
          <w14:textFill>
            <w14:solidFill>
              <w14:schemeClr w14:val="tx1"/>
            </w14:solidFill>
          </w14:textFill>
        </w:rPr>
        <w:t>国家</w:t>
      </w:r>
      <w:r>
        <w:rPr>
          <w:rFonts w:hint="eastAsia" w:ascii="宋体" w:hAnsi="宋体" w:eastAsia="宋体" w:cs="AdobeHeitiStd-Regular"/>
          <w:color w:val="000000" w:themeColor="text1"/>
          <w:kern w:val="0"/>
          <w:sz w:val="24"/>
          <w:szCs w:val="24"/>
          <w14:textFill>
            <w14:solidFill>
              <w14:schemeClr w14:val="tx1"/>
            </w14:solidFill>
          </w14:textFill>
        </w:rPr>
        <w:t>发展定位</w:t>
      </w:r>
      <w:r>
        <w:rPr>
          <w:rFonts w:ascii="宋体" w:hAnsi="宋体" w:eastAsia="宋体" w:cs="AdobeHeitiStd-Regular"/>
          <w:color w:val="000000" w:themeColor="text1"/>
          <w:kern w:val="0"/>
          <w:sz w:val="24"/>
          <w:szCs w:val="24"/>
          <w14:textFill>
            <w14:solidFill>
              <w14:schemeClr w14:val="tx1"/>
            </w14:solidFill>
          </w14:textFill>
        </w:rPr>
        <w:t>的再审视</w:t>
      </w:r>
      <w:r>
        <w:rPr>
          <w:rFonts w:hint="eastAsia"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87"/>
      </w:r>
    </w:p>
    <w:p w14:paraId="5E3FA742">
      <w:pPr>
        <w:autoSpaceDE w:val="0"/>
        <w:autoSpaceDN w:val="0"/>
        <w:adjustRightInd w:val="0"/>
        <w:snapToGrid w:val="0"/>
        <w:spacing w:line="360" w:lineRule="auto"/>
        <w:ind w:firstLine="480" w:firstLineChars="200"/>
        <w:jc w:val="left"/>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color w:val="000000" w:themeColor="text1"/>
          <w:kern w:val="0"/>
          <w:sz w:val="24"/>
          <w:szCs w:val="24"/>
          <w14:textFill>
            <w14:solidFill>
              <w14:schemeClr w14:val="tx1"/>
            </w14:solidFill>
          </w14:textFill>
        </w:rPr>
        <w:t>在从要素驱动型、投资驱动型向创新驱动型转型，沿着全球价值链低端向上攀升的过程中，不可避免地遇到处于全球价值链链主地位的技术优先国家及跨国公司各种手段的挤压和绞杀。2</w:t>
      </w:r>
      <w:r>
        <w:rPr>
          <w:rFonts w:ascii="宋体" w:hAnsi="宋体" w:eastAsia="宋体" w:cs="AdobeHeitiStd-Regular"/>
          <w:color w:val="000000" w:themeColor="text1"/>
          <w:kern w:val="0"/>
          <w:sz w:val="24"/>
          <w:szCs w:val="24"/>
          <w14:textFill>
            <w14:solidFill>
              <w14:schemeClr w14:val="tx1"/>
            </w14:solidFill>
          </w14:textFill>
        </w:rPr>
        <w:t>020</w:t>
      </w:r>
      <w:r>
        <w:rPr>
          <w:rFonts w:hint="eastAsia" w:ascii="宋体" w:hAnsi="宋体" w:eastAsia="宋体" w:cs="AdobeHeitiStd-Regular"/>
          <w:color w:val="000000" w:themeColor="text1"/>
          <w:kern w:val="0"/>
          <w:sz w:val="24"/>
          <w:szCs w:val="24"/>
          <w14:textFill>
            <w14:solidFill>
              <w14:schemeClr w14:val="tx1"/>
            </w14:solidFill>
          </w14:textFill>
        </w:rPr>
        <w:t>年中国基本实现了工业化，但是，还没有全面实现工业化，还面临着继续深化工业化进程、解决发展不平衡不充分问题、推进全面实现工业化的重大任务。</w:t>
      </w:r>
      <w:r>
        <w:rPr>
          <w:rStyle w:val="20"/>
          <w:rFonts w:ascii="宋体" w:hAnsi="宋体" w:eastAsia="宋体" w:cs="AdobeHeitiStd-Regular"/>
          <w:color w:val="000000" w:themeColor="text1"/>
          <w:kern w:val="0"/>
          <w:sz w:val="24"/>
          <w:szCs w:val="24"/>
          <w14:textFill>
            <w14:solidFill>
              <w14:schemeClr w14:val="tx1"/>
            </w14:solidFill>
          </w14:textFill>
        </w:rPr>
        <w:footnoteReference w:id="388"/>
      </w:r>
      <w:r>
        <w:rPr>
          <w:rFonts w:hint="eastAsia" w:ascii="宋体" w:hAnsi="宋体" w:eastAsia="宋体" w:cs="AdobeHeitiStd-Regular"/>
          <w:color w:val="000000" w:themeColor="text1"/>
          <w:kern w:val="0"/>
          <w:sz w:val="24"/>
          <w:szCs w:val="24"/>
          <w14:textFill>
            <w14:solidFill>
              <w14:schemeClr w14:val="tx1"/>
            </w14:solidFill>
          </w14:textFill>
        </w:rPr>
        <w:t>具体</w:t>
      </w:r>
      <w:r>
        <w:rPr>
          <w:rFonts w:ascii="宋体" w:hAnsi="宋体" w:eastAsia="宋体" w:cs="AdobeHeitiStd-Regular"/>
          <w:color w:val="000000" w:themeColor="text1"/>
          <w:kern w:val="0"/>
          <w:sz w:val="24"/>
          <w:szCs w:val="24"/>
          <w14:textFill>
            <w14:solidFill>
              <w14:schemeClr w14:val="tx1"/>
            </w14:solidFill>
          </w14:textFill>
        </w:rPr>
        <w:t>来说，当前的发展困境主要体现在</w:t>
      </w:r>
      <w:r>
        <w:rPr>
          <w:rFonts w:hint="eastAsia" w:ascii="宋体" w:hAnsi="宋体" w:eastAsia="宋体" w:cs="AdobeHeitiStd-Regular"/>
          <w:color w:val="000000" w:themeColor="text1"/>
          <w:kern w:val="0"/>
          <w:sz w:val="24"/>
          <w:szCs w:val="24"/>
          <w14:textFill>
            <w14:solidFill>
              <w14:schemeClr w14:val="tx1"/>
            </w14:solidFill>
          </w14:textFill>
        </w:rPr>
        <w:t>制造业</w:t>
      </w:r>
      <w:r>
        <w:rPr>
          <w:rFonts w:ascii="宋体" w:hAnsi="宋体" w:eastAsia="宋体" w:cs="AdobeHeitiStd-Regular"/>
          <w:color w:val="000000" w:themeColor="text1"/>
          <w:kern w:val="0"/>
          <w:sz w:val="24"/>
          <w:szCs w:val="24"/>
          <w14:textFill>
            <w14:solidFill>
              <w14:schemeClr w14:val="tx1"/>
            </w14:solidFill>
          </w14:textFill>
        </w:rPr>
        <w:t>量的方面、</w:t>
      </w:r>
      <w:r>
        <w:rPr>
          <w:rFonts w:hint="eastAsia" w:ascii="宋体" w:hAnsi="宋体" w:eastAsia="宋体" w:cs="AdobeHeitiStd-Regular"/>
          <w:color w:val="000000" w:themeColor="text1"/>
          <w:kern w:val="0"/>
          <w:sz w:val="24"/>
          <w:szCs w:val="24"/>
          <w14:textFill>
            <w14:solidFill>
              <w14:schemeClr w14:val="tx1"/>
            </w14:solidFill>
          </w14:textFill>
        </w:rPr>
        <w:t>质的方面</w:t>
      </w:r>
      <w:r>
        <w:rPr>
          <w:rFonts w:ascii="宋体" w:hAnsi="宋体" w:eastAsia="宋体" w:cs="AdobeHeitiStd-Regular"/>
          <w:color w:val="000000" w:themeColor="text1"/>
          <w:kern w:val="0"/>
          <w:sz w:val="24"/>
          <w:szCs w:val="24"/>
          <w14:textFill>
            <w14:solidFill>
              <w14:schemeClr w14:val="tx1"/>
            </w14:solidFill>
          </w14:textFill>
        </w:rPr>
        <w:t>以及系统环境生成方面</w:t>
      </w:r>
      <w:r>
        <w:rPr>
          <w:rFonts w:hint="eastAsia" w:ascii="宋体" w:hAnsi="宋体" w:eastAsia="宋体" w:cs="AdobeHeitiStd-Regular"/>
          <w:color w:val="000000" w:themeColor="text1"/>
          <w:kern w:val="0"/>
          <w:sz w:val="24"/>
          <w:szCs w:val="24"/>
          <w14:textFill>
            <w14:solidFill>
              <w14:schemeClr w14:val="tx1"/>
            </w14:solidFill>
          </w14:textFill>
        </w:rPr>
        <w:t>。</w:t>
      </w:r>
    </w:p>
    <w:p w14:paraId="0968CE6F">
      <w:pPr>
        <w:autoSpaceDE w:val="0"/>
        <w:autoSpaceDN w:val="0"/>
        <w:adjustRightInd w:val="0"/>
        <w:snapToGrid w:val="0"/>
        <w:spacing w:line="360" w:lineRule="auto"/>
        <w:ind w:firstLine="480" w:firstLineChars="200"/>
        <w:rPr>
          <w:rFonts w:ascii="宋体" w:hAnsi="宋体" w:eastAsia="宋体" w:cs="AdobeHeitiStd-Regular"/>
          <w:b/>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首先，</w:t>
      </w:r>
      <w:r>
        <w:rPr>
          <w:rFonts w:ascii="宋体" w:hAnsi="宋体" w:eastAsia="宋体" w:cs="AdobeHeitiStd-Regular"/>
          <w:b/>
          <w:color w:val="000000" w:themeColor="text1"/>
          <w:kern w:val="0"/>
          <w:sz w:val="24"/>
          <w:szCs w:val="24"/>
          <w14:textFill>
            <w14:solidFill>
              <w14:schemeClr w14:val="tx1"/>
            </w14:solidFill>
          </w14:textFill>
        </w:rPr>
        <w:t>量的方面，</w:t>
      </w:r>
      <w:r>
        <w:rPr>
          <w:rFonts w:hint="eastAsia" w:ascii="宋体" w:hAnsi="宋体" w:eastAsia="宋体" w:cs="AdobeHeitiStd-Regular"/>
          <w:b/>
          <w:color w:val="000000" w:themeColor="text1"/>
          <w:kern w:val="0"/>
          <w:sz w:val="24"/>
          <w:szCs w:val="24"/>
          <w14:textFill>
            <w14:solidFill>
              <w14:schemeClr w14:val="tx1"/>
            </w14:solidFill>
          </w14:textFill>
        </w:rPr>
        <w:t>制造业在国民经济中的比重下降较快。</w:t>
      </w:r>
      <w:r>
        <w:rPr>
          <w:rFonts w:hint="eastAsia" w:ascii="宋体" w:hAnsi="宋体" w:eastAsia="宋体" w:cs="AdobeHeitiStd-Regular"/>
          <w:color w:val="000000" w:themeColor="text1"/>
          <w:kern w:val="0"/>
          <w:sz w:val="24"/>
          <w:szCs w:val="24"/>
          <w14:textFill>
            <w14:solidFill>
              <w14:schemeClr w14:val="tx1"/>
            </w14:solidFill>
          </w14:textFill>
        </w:rPr>
        <w:t>我国虽然已成为制造业第一大国，但大而不强的问题依旧存在，尤其是在部分高端制造领域，与欧美国家差距较大。尤其在</w:t>
      </w:r>
      <w:r>
        <w:rPr>
          <w:rFonts w:ascii="宋体" w:hAnsi="宋体" w:eastAsia="宋体" w:cs="AdobeHeitiStd-Regular"/>
          <w:color w:val="000000" w:themeColor="text1"/>
          <w:kern w:val="0"/>
          <w:sz w:val="24"/>
          <w:szCs w:val="24"/>
          <w14:textFill>
            <w14:solidFill>
              <w14:schemeClr w14:val="tx1"/>
            </w14:solidFill>
          </w14:textFill>
        </w:rPr>
        <w:t>数量上，</w:t>
      </w:r>
      <w:r>
        <w:rPr>
          <w:rFonts w:hint="eastAsia" w:ascii="宋体" w:hAnsi="宋体" w:eastAsia="宋体" w:cs="AdobeHeitiStd-Regular"/>
          <w:color w:val="000000" w:themeColor="text1"/>
          <w:kern w:val="0"/>
          <w:sz w:val="24"/>
          <w:szCs w:val="24"/>
          <w14:textFill>
            <w14:solidFill>
              <w14:schemeClr w14:val="tx1"/>
            </w14:solidFill>
          </w14:textFill>
        </w:rPr>
        <w:t>制造业实际占比和生产效率增速同时出现下降趋势，在理论上、经验上和现实层面都可能出现了“过早去工业化”现象。</w:t>
      </w:r>
      <w:r>
        <w:rPr>
          <w:rStyle w:val="20"/>
          <w:rFonts w:ascii="宋体" w:hAnsi="宋体" w:eastAsia="宋体" w:cs="AdobeHeitiStd-Regular"/>
          <w:color w:val="000000" w:themeColor="text1"/>
          <w:kern w:val="0"/>
          <w:sz w:val="24"/>
          <w:szCs w:val="24"/>
          <w14:textFill>
            <w14:solidFill>
              <w14:schemeClr w14:val="tx1"/>
            </w14:solidFill>
          </w14:textFill>
        </w:rPr>
        <w:footnoteReference w:id="389"/>
      </w:r>
      <w:r>
        <w:rPr>
          <w:rFonts w:hint="eastAsia" w:ascii="宋体" w:hAnsi="宋体" w:eastAsia="宋体" w:cs="AdobeHeitiStd-Regular"/>
          <w:color w:val="000000" w:themeColor="text1"/>
          <w:kern w:val="0"/>
          <w:sz w:val="24"/>
          <w:szCs w:val="24"/>
          <w14:textFill>
            <w14:solidFill>
              <w14:schemeClr w14:val="tx1"/>
            </w14:solidFill>
          </w14:textFill>
        </w:rPr>
        <w:t>在</w:t>
      </w:r>
      <w:r>
        <w:rPr>
          <w:rFonts w:ascii="宋体" w:hAnsi="宋体" w:eastAsia="宋体" w:cs="AdobeHeitiStd-Regular"/>
          <w:color w:val="000000" w:themeColor="text1"/>
          <w:kern w:val="0"/>
          <w:sz w:val="24"/>
          <w:szCs w:val="24"/>
          <w14:textFill>
            <w14:solidFill>
              <w14:schemeClr w14:val="tx1"/>
            </w14:solidFill>
          </w14:textFill>
        </w:rPr>
        <w:t>国家的后发追赶中，一般来说，</w:t>
      </w:r>
      <w:r>
        <w:rPr>
          <w:rFonts w:hint="eastAsia" w:ascii="宋体" w:hAnsi="宋体" w:eastAsia="宋体" w:cs="AdobeHeitiStd-Regular"/>
          <w:color w:val="000000" w:themeColor="text1"/>
          <w:kern w:val="0"/>
          <w:sz w:val="24"/>
          <w:szCs w:val="24"/>
          <w14:textFill>
            <w14:solidFill>
              <w14:schemeClr w14:val="tx1"/>
            </w14:solidFill>
          </w14:textFill>
        </w:rPr>
        <w:t>基于效率提升的制造业占比下降是产业</w:t>
      </w:r>
      <w:r>
        <w:rPr>
          <w:rFonts w:ascii="宋体" w:hAnsi="宋体" w:eastAsia="宋体" w:cs="AdobeHeitiStd-Regular"/>
          <w:color w:val="000000" w:themeColor="text1"/>
          <w:kern w:val="0"/>
          <w:sz w:val="24"/>
          <w:szCs w:val="24"/>
          <w14:textFill>
            <w14:solidFill>
              <w14:schemeClr w14:val="tx1"/>
            </w14:solidFill>
          </w14:textFill>
        </w:rPr>
        <w:t>发展规律的内生要求</w:t>
      </w:r>
      <w:r>
        <w:rPr>
          <w:rFonts w:hint="eastAsia" w:ascii="宋体" w:hAnsi="宋体" w:eastAsia="宋体" w:cs="AdobeHeitiStd-Regular"/>
          <w:color w:val="000000" w:themeColor="text1"/>
          <w:kern w:val="0"/>
          <w:sz w:val="24"/>
          <w:szCs w:val="24"/>
          <w14:textFill>
            <w14:solidFill>
              <w14:schemeClr w14:val="tx1"/>
            </w14:solidFill>
          </w14:textFill>
        </w:rPr>
        <w:t>，而由效率恶化导致的制造业占比萎缩则属于异化风险</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需要严加防范。从</w:t>
      </w:r>
      <w:r>
        <w:rPr>
          <w:rFonts w:ascii="宋体" w:hAnsi="宋体" w:eastAsia="宋体" w:cs="AdobeHeitiStd-Regular"/>
          <w:color w:val="000000" w:themeColor="text1"/>
          <w:kern w:val="0"/>
          <w:sz w:val="24"/>
          <w:szCs w:val="24"/>
          <w14:textFill>
            <w14:solidFill>
              <w14:schemeClr w14:val="tx1"/>
            </w14:solidFill>
          </w14:textFill>
        </w:rPr>
        <w:t>图</w:t>
      </w:r>
      <w:r>
        <w:rPr>
          <w:rFonts w:hint="eastAsia" w:ascii="宋体" w:hAnsi="宋体" w:eastAsia="宋体" w:cs="AdobeHeitiStd-Regular"/>
          <w:color w:val="000000" w:themeColor="text1"/>
          <w:kern w:val="0"/>
          <w:sz w:val="24"/>
          <w:szCs w:val="24"/>
          <w14:textFill>
            <w14:solidFill>
              <w14:schemeClr w14:val="tx1"/>
            </w14:solidFill>
          </w14:textFill>
        </w:rPr>
        <w:t>4可以</w:t>
      </w:r>
      <w:r>
        <w:rPr>
          <w:rFonts w:ascii="宋体" w:hAnsi="宋体" w:eastAsia="宋体" w:cs="AdobeHeitiStd-Regular"/>
          <w:color w:val="000000" w:themeColor="text1"/>
          <w:kern w:val="0"/>
          <w:sz w:val="24"/>
          <w:szCs w:val="24"/>
          <w14:textFill>
            <w14:solidFill>
              <w14:schemeClr w14:val="tx1"/>
            </w14:solidFill>
          </w14:textFill>
        </w:rPr>
        <w:t>看出，</w:t>
      </w:r>
      <w:r>
        <w:rPr>
          <w:rFonts w:hint="eastAsia" w:ascii="宋体" w:hAnsi="宋体" w:eastAsia="宋体" w:cs="AdobeHeitiStd-Regular"/>
          <w:color w:val="000000" w:themeColor="text1"/>
          <w:kern w:val="0"/>
          <w:sz w:val="24"/>
          <w:szCs w:val="24"/>
          <w14:textFill>
            <w14:solidFill>
              <w14:schemeClr w14:val="tx1"/>
            </w14:solidFill>
          </w14:textFill>
        </w:rPr>
        <w:t>第二产业从</w:t>
      </w:r>
      <w:r>
        <w:rPr>
          <w:rFonts w:ascii="宋体" w:hAnsi="宋体" w:eastAsia="宋体" w:cs="AdobeHeitiStd-Regular"/>
          <w:color w:val="000000" w:themeColor="text1"/>
          <w:kern w:val="0"/>
          <w:sz w:val="24"/>
          <w:szCs w:val="24"/>
          <w14:textFill>
            <w14:solidFill>
              <w14:schemeClr w14:val="tx1"/>
            </w14:solidFill>
          </w14:textFill>
        </w:rPr>
        <w:t>2012</w:t>
      </w:r>
      <w:r>
        <w:rPr>
          <w:rFonts w:hint="eastAsia" w:ascii="宋体" w:hAnsi="宋体" w:eastAsia="宋体" w:cs="AdobeHeitiStd-Regular"/>
          <w:color w:val="000000" w:themeColor="text1"/>
          <w:kern w:val="0"/>
          <w:sz w:val="24"/>
          <w:szCs w:val="24"/>
          <w14:textFill>
            <w14:solidFill>
              <w14:schemeClr w14:val="tx1"/>
            </w14:solidFill>
          </w14:textFill>
        </w:rPr>
        <w:t>年开始出现了“去工业化”进程。美国、英国、德国等发达国家开始“去工业化”时，人均</w:t>
      </w:r>
      <w:r>
        <w:rPr>
          <w:rFonts w:ascii="宋体" w:hAnsi="宋体" w:eastAsia="宋体" w:cs="AdobeHeitiStd-Regular"/>
          <w:color w:val="000000" w:themeColor="text1"/>
          <w:kern w:val="0"/>
          <w:sz w:val="24"/>
          <w:szCs w:val="24"/>
          <w14:textFill>
            <w14:solidFill>
              <w14:schemeClr w14:val="tx1"/>
            </w14:solidFill>
          </w14:textFill>
        </w:rPr>
        <w:t>GDP 已达到10000</w:t>
      </w:r>
      <w:r>
        <w:rPr>
          <w:rFonts w:hint="eastAsia" w:ascii="宋体" w:hAnsi="宋体" w:eastAsia="宋体" w:cs="AdobeHeitiStd-Regular"/>
          <w:color w:val="000000" w:themeColor="text1"/>
          <w:kern w:val="0"/>
          <w:sz w:val="24"/>
          <w:szCs w:val="24"/>
          <w14:textFill>
            <w14:solidFill>
              <w14:schemeClr w14:val="tx1"/>
            </w14:solidFill>
          </w14:textFill>
        </w:rPr>
        <w:t>美元左右（按</w:t>
      </w:r>
      <w:r>
        <w:rPr>
          <w:rFonts w:ascii="宋体" w:hAnsi="宋体" w:eastAsia="宋体" w:cs="AdobeHeitiStd-Regular"/>
          <w:color w:val="000000" w:themeColor="text1"/>
          <w:kern w:val="0"/>
          <w:sz w:val="24"/>
          <w:szCs w:val="24"/>
          <w14:textFill>
            <w14:solidFill>
              <w14:schemeClr w14:val="tx1"/>
            </w14:solidFill>
          </w14:textFill>
        </w:rPr>
        <w:t>1990 年不变价计算），巴西在人均GDP 达到5000 美元时开始了</w:t>
      </w:r>
      <w:r>
        <w:rPr>
          <w:rFonts w:hint="eastAsia" w:ascii="宋体" w:hAnsi="宋体" w:eastAsia="宋体" w:cs="AdobeHeitiStd-Regular"/>
          <w:color w:val="000000" w:themeColor="text1"/>
          <w:kern w:val="0"/>
          <w:sz w:val="24"/>
          <w:szCs w:val="24"/>
          <w14:textFill>
            <w14:solidFill>
              <w14:schemeClr w14:val="tx1"/>
            </w14:solidFill>
          </w14:textFill>
        </w:rPr>
        <w:t>“去工业化”</w:t>
      </w:r>
      <w:r>
        <w:rPr>
          <w:rFonts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90"/>
      </w:r>
      <w:r>
        <w:rPr>
          <w:rFonts w:hint="eastAsia" w:ascii="宋体" w:hAnsi="宋体" w:eastAsia="宋体" w:cs="AdobeHeitiStd-Regular"/>
          <w:color w:val="000000" w:themeColor="text1"/>
          <w:kern w:val="0"/>
          <w:sz w:val="24"/>
          <w:szCs w:val="24"/>
          <w14:textFill>
            <w14:solidFill>
              <w14:schemeClr w14:val="tx1"/>
            </w14:solidFill>
          </w14:textFill>
        </w:rPr>
        <w:t xml:space="preserve"> </w:t>
      </w:r>
      <w:r>
        <w:rPr>
          <w:rFonts w:ascii="宋体" w:hAnsi="宋体" w:eastAsia="宋体" w:cs="AdobeHeitiStd-Regular"/>
          <w:color w:val="000000" w:themeColor="text1"/>
          <w:kern w:val="0"/>
          <w:sz w:val="24"/>
          <w:szCs w:val="24"/>
          <w14:textFill>
            <w14:solidFill>
              <w14:schemeClr w14:val="tx1"/>
            </w14:solidFill>
          </w14:textFill>
        </w:rPr>
        <w:t>按1990年不变价计算，中国2012 年为2538 美</w:t>
      </w:r>
      <w:r>
        <w:rPr>
          <w:rFonts w:hint="eastAsia" w:ascii="宋体" w:hAnsi="宋体" w:eastAsia="宋体" w:cs="AdobeHeitiStd-Regular"/>
          <w:color w:val="000000" w:themeColor="text1"/>
          <w:kern w:val="0"/>
          <w:sz w:val="24"/>
          <w:szCs w:val="24"/>
          <w14:textFill>
            <w14:solidFill>
              <w14:schemeClr w14:val="tx1"/>
            </w14:solidFill>
          </w14:textFill>
        </w:rPr>
        <w:t>元，即使</w:t>
      </w:r>
      <w:r>
        <w:rPr>
          <w:rFonts w:ascii="宋体" w:hAnsi="宋体" w:eastAsia="宋体" w:cs="AdobeHeitiStd-Regular"/>
          <w:color w:val="000000" w:themeColor="text1"/>
          <w:kern w:val="0"/>
          <w:sz w:val="24"/>
          <w:szCs w:val="24"/>
          <w14:textFill>
            <w14:solidFill>
              <w14:schemeClr w14:val="tx1"/>
            </w14:solidFill>
          </w14:textFill>
        </w:rPr>
        <w:t>2022年</w:t>
      </w:r>
      <w:r>
        <w:rPr>
          <w:rFonts w:hint="eastAsia" w:ascii="宋体" w:hAnsi="宋体" w:eastAsia="宋体" w:cs="AdobeHeitiStd-Regular"/>
          <w:color w:val="000000" w:themeColor="text1"/>
          <w:kern w:val="0"/>
          <w:sz w:val="24"/>
          <w:szCs w:val="24"/>
          <w14:textFill>
            <w14:solidFill>
              <w14:schemeClr w14:val="tx1"/>
            </w14:solidFill>
          </w14:textFill>
        </w:rPr>
        <w:t>也仅为</w:t>
      </w:r>
      <w:r>
        <w:rPr>
          <w:rFonts w:ascii="宋体" w:hAnsi="宋体" w:eastAsia="宋体" w:cs="AdobeHeitiStd-Regular"/>
          <w:color w:val="000000" w:themeColor="text1"/>
          <w:kern w:val="0"/>
          <w:sz w:val="24"/>
          <w:szCs w:val="24"/>
          <w14:textFill>
            <w14:solidFill>
              <w14:schemeClr w14:val="tx1"/>
            </w14:solidFill>
          </w14:textFill>
        </w:rPr>
        <w:t>6374.06美元</w:t>
      </w:r>
      <w:r>
        <w:rPr>
          <w:rFonts w:hint="eastAsia" w:ascii="宋体" w:hAnsi="宋体" w:eastAsia="宋体" w:cs="AdobeHeitiStd-Regular"/>
          <w:color w:val="000000" w:themeColor="text1"/>
          <w:kern w:val="0"/>
          <w:sz w:val="24"/>
          <w:szCs w:val="24"/>
          <w14:textFill>
            <w14:solidFill>
              <w14:schemeClr w14:val="tx1"/>
            </w14:solidFill>
          </w14:textFill>
        </w:rPr>
        <w:t>，远</w:t>
      </w:r>
      <w:r>
        <w:rPr>
          <w:rFonts w:ascii="宋体" w:hAnsi="宋体" w:eastAsia="宋体" w:cs="AdobeHeitiStd-Regular"/>
          <w:color w:val="000000" w:themeColor="text1"/>
          <w:kern w:val="0"/>
          <w:sz w:val="24"/>
          <w:szCs w:val="24"/>
          <w14:textFill>
            <w14:solidFill>
              <w14:schemeClr w14:val="tx1"/>
            </w14:solidFill>
          </w14:textFill>
        </w:rPr>
        <w:t>未达到10000美元</w:t>
      </w:r>
      <w:r>
        <w:rPr>
          <w:rFonts w:hint="eastAsia" w:ascii="宋体" w:hAnsi="宋体" w:eastAsia="宋体" w:cs="AdobeHeitiStd-Regular"/>
          <w:color w:val="000000" w:themeColor="text1"/>
          <w:kern w:val="0"/>
          <w:sz w:val="24"/>
          <w:szCs w:val="24"/>
          <w14:textFill>
            <w14:solidFill>
              <w14:schemeClr w14:val="tx1"/>
            </w14:solidFill>
          </w14:textFill>
        </w:rPr>
        <w:t>。</w:t>
      </w:r>
      <w:r>
        <w:rPr>
          <w:rStyle w:val="20"/>
          <w:rFonts w:ascii="宋体" w:hAnsi="宋体" w:eastAsia="宋体" w:cs="AdobeHeitiStd-Regular"/>
          <w:color w:val="000000" w:themeColor="text1"/>
          <w:kern w:val="0"/>
          <w:sz w:val="24"/>
          <w:szCs w:val="24"/>
          <w14:textFill>
            <w14:solidFill>
              <w14:schemeClr w14:val="tx1"/>
            </w14:solidFill>
          </w14:textFill>
        </w:rPr>
        <w:footnoteReference w:id="391"/>
      </w:r>
      <w:r>
        <w:rPr>
          <w:rFonts w:hint="eastAsia" w:ascii="宋体" w:hAnsi="宋体" w:eastAsia="宋体" w:cs="AdobeHeitiStd-Regular"/>
          <w:color w:val="000000" w:themeColor="text1"/>
          <w:kern w:val="0"/>
          <w:sz w:val="24"/>
          <w:szCs w:val="24"/>
          <w14:textFill>
            <w14:solidFill>
              <w14:schemeClr w14:val="tx1"/>
            </w14:solidFill>
          </w14:textFill>
        </w:rPr>
        <w:t>若考虑</w:t>
      </w:r>
      <w:r>
        <w:rPr>
          <w:rFonts w:ascii="宋体" w:hAnsi="宋体" w:eastAsia="宋体" w:cs="AdobeHeitiStd-Regular"/>
          <w:color w:val="000000" w:themeColor="text1"/>
          <w:kern w:val="0"/>
          <w:sz w:val="24"/>
          <w:szCs w:val="24"/>
          <w14:textFill>
            <w14:solidFill>
              <w14:schemeClr w14:val="tx1"/>
            </w14:solidFill>
          </w14:textFill>
        </w:rPr>
        <w:t>到不同的地区结构，中西部地区人均GDP 更低，国民收入水平同发达国家</w:t>
      </w:r>
      <w:r>
        <w:rPr>
          <w:rFonts w:hint="eastAsia" w:ascii="宋体" w:hAnsi="宋体" w:eastAsia="宋体" w:cs="AdobeHeitiStd-Regular"/>
          <w:color w:val="000000" w:themeColor="text1"/>
          <w:kern w:val="0"/>
          <w:sz w:val="24"/>
          <w:szCs w:val="24"/>
          <w14:textFill>
            <w14:solidFill>
              <w14:schemeClr w14:val="tx1"/>
            </w14:solidFill>
          </w14:textFill>
        </w:rPr>
        <w:t>“去工业化”</w:t>
      </w:r>
      <w:r>
        <w:rPr>
          <w:rFonts w:ascii="宋体" w:hAnsi="宋体" w:eastAsia="宋体" w:cs="AdobeHeitiStd-Regular"/>
          <w:color w:val="000000" w:themeColor="text1"/>
          <w:kern w:val="0"/>
          <w:sz w:val="24"/>
          <w:szCs w:val="24"/>
          <w14:textFill>
            <w14:solidFill>
              <w14:schemeClr w14:val="tx1"/>
            </w14:solidFill>
          </w14:textFill>
        </w:rPr>
        <w:t>时相</w:t>
      </w:r>
      <w:r>
        <w:rPr>
          <w:rFonts w:hint="eastAsia" w:ascii="宋体" w:hAnsi="宋体" w:eastAsia="宋体" w:cs="AdobeHeitiStd-Regular"/>
          <w:color w:val="000000" w:themeColor="text1"/>
          <w:kern w:val="0"/>
          <w:sz w:val="24"/>
          <w:szCs w:val="24"/>
          <w14:textFill>
            <w14:solidFill>
              <w14:schemeClr w14:val="tx1"/>
            </w14:solidFill>
          </w14:textFill>
        </w:rPr>
        <w:t>比存在很大差距。中国</w:t>
      </w:r>
      <w:r>
        <w:rPr>
          <w:rFonts w:ascii="宋体" w:hAnsi="宋体" w:eastAsia="宋体" w:cs="AdobeHeitiStd-Regular"/>
          <w:color w:val="000000" w:themeColor="text1"/>
          <w:kern w:val="0"/>
          <w:sz w:val="24"/>
          <w:szCs w:val="24"/>
          <w14:textFill>
            <w14:solidFill>
              <w14:schemeClr w14:val="tx1"/>
            </w14:solidFill>
          </w14:textFill>
        </w:rPr>
        <w:t>的</w:t>
      </w:r>
      <w:r>
        <w:rPr>
          <w:rFonts w:hint="eastAsia" w:ascii="宋体" w:hAnsi="宋体" w:eastAsia="宋体" w:cs="AdobeHeitiStd-Regular"/>
          <w:color w:val="000000" w:themeColor="text1"/>
          <w:kern w:val="0"/>
          <w:sz w:val="24"/>
          <w:szCs w:val="24"/>
          <w14:textFill>
            <w14:solidFill>
              <w14:schemeClr w14:val="tx1"/>
            </w14:solidFill>
          </w14:textFill>
        </w:rPr>
        <w:t>“过早去工业化”问题</w:t>
      </w:r>
      <w:r>
        <w:rPr>
          <w:rFonts w:ascii="宋体" w:hAnsi="宋体" w:eastAsia="宋体" w:cs="AdobeHeitiStd-Regular"/>
          <w:color w:val="000000" w:themeColor="text1"/>
          <w:kern w:val="0"/>
          <w:sz w:val="24"/>
          <w:szCs w:val="24"/>
          <w14:textFill>
            <w14:solidFill>
              <w14:schemeClr w14:val="tx1"/>
            </w14:solidFill>
          </w14:textFill>
        </w:rPr>
        <w:t>来源于两个原因。</w:t>
      </w:r>
      <w:r>
        <w:rPr>
          <w:rFonts w:hint="eastAsia" w:ascii="宋体" w:hAnsi="宋体" w:eastAsia="宋体" w:cs="AdobeHeitiStd-Regular"/>
          <w:color w:val="000000" w:themeColor="text1"/>
          <w:kern w:val="0"/>
          <w:sz w:val="24"/>
          <w:szCs w:val="24"/>
          <w14:textFill>
            <w14:solidFill>
              <w14:schemeClr w14:val="tx1"/>
            </w14:solidFill>
          </w14:textFill>
        </w:rPr>
        <w:t>一方面是主</w:t>
      </w:r>
      <w:r>
        <w:rPr>
          <w:rFonts w:ascii="宋体" w:hAnsi="宋体" w:eastAsia="宋体" w:cs="AdobeHeitiStd-Regular"/>
          <w:color w:val="000000" w:themeColor="text1"/>
          <w:kern w:val="0"/>
          <w:sz w:val="24"/>
          <w:szCs w:val="24"/>
          <w14:textFill>
            <w14:solidFill>
              <w14:schemeClr w14:val="tx1"/>
            </w14:solidFill>
          </w14:textFill>
        </w:rPr>
        <w:t>动</w:t>
      </w:r>
      <w:r>
        <w:rPr>
          <w:rFonts w:hint="eastAsia" w:ascii="宋体" w:hAnsi="宋体" w:eastAsia="宋体" w:cs="AdobeHeitiStd-Regular"/>
          <w:color w:val="000000" w:themeColor="text1"/>
          <w:kern w:val="0"/>
          <w:sz w:val="24"/>
          <w:szCs w:val="24"/>
          <w14:textFill>
            <w14:solidFill>
              <w14:schemeClr w14:val="tx1"/>
            </w14:solidFill>
          </w14:textFill>
        </w:rPr>
        <w:t>的“去工业化”，由于中国的工业企业大多处于全球价值链中低端，出于</w:t>
      </w:r>
      <w:r>
        <w:rPr>
          <w:rFonts w:ascii="宋体" w:hAnsi="宋体" w:eastAsia="宋体" w:cs="AdobeHeitiStd-Regular"/>
          <w:color w:val="000000" w:themeColor="text1"/>
          <w:kern w:val="0"/>
          <w:sz w:val="24"/>
          <w:szCs w:val="24"/>
          <w14:textFill>
            <w14:solidFill>
              <w14:schemeClr w14:val="tx1"/>
            </w14:solidFill>
          </w14:textFill>
        </w:rPr>
        <w:t>对价值链</w:t>
      </w:r>
      <w:r>
        <w:rPr>
          <w:rFonts w:hint="eastAsia" w:ascii="宋体" w:hAnsi="宋体" w:eastAsia="宋体" w:cs="AdobeHeitiStd-Regular"/>
          <w:color w:val="000000" w:themeColor="text1"/>
          <w:kern w:val="0"/>
          <w:sz w:val="24"/>
          <w:szCs w:val="24"/>
          <w14:textFill>
            <w14:solidFill>
              <w14:schemeClr w14:val="tx1"/>
            </w14:solidFill>
          </w14:textFill>
        </w:rPr>
        <w:t>分工固化</w:t>
      </w:r>
      <w:r>
        <w:rPr>
          <w:rFonts w:ascii="宋体" w:hAnsi="宋体" w:eastAsia="宋体" w:cs="AdobeHeitiStd-Regular"/>
          <w:color w:val="000000" w:themeColor="text1"/>
          <w:kern w:val="0"/>
          <w:sz w:val="24"/>
          <w:szCs w:val="24"/>
          <w14:textFill>
            <w14:solidFill>
              <w14:schemeClr w14:val="tx1"/>
            </w14:solidFill>
          </w14:textFill>
        </w:rPr>
        <w:t>风险</w:t>
      </w:r>
      <w:r>
        <w:rPr>
          <w:rFonts w:hint="eastAsia" w:ascii="宋体" w:hAnsi="宋体" w:eastAsia="宋体" w:cs="AdobeHeitiStd-Regular"/>
          <w:color w:val="000000" w:themeColor="text1"/>
          <w:kern w:val="0"/>
          <w:sz w:val="24"/>
          <w:szCs w:val="24"/>
          <w14:textFill>
            <w14:solidFill>
              <w14:schemeClr w14:val="tx1"/>
            </w14:solidFill>
          </w14:textFill>
        </w:rPr>
        <w:t>进行规避</w:t>
      </w:r>
      <w:r>
        <w:rPr>
          <w:rFonts w:ascii="宋体" w:hAnsi="宋体" w:eastAsia="宋体" w:cs="AdobeHeitiStd-Regular"/>
          <w:color w:val="000000" w:themeColor="text1"/>
          <w:kern w:val="0"/>
          <w:sz w:val="24"/>
          <w:szCs w:val="24"/>
          <w14:textFill>
            <w14:solidFill>
              <w14:schemeClr w14:val="tx1"/>
            </w14:solidFill>
          </w14:textFill>
        </w:rPr>
        <w:t>和防控</w:t>
      </w:r>
      <w:r>
        <w:rPr>
          <w:rFonts w:hint="eastAsia" w:ascii="宋体" w:hAnsi="宋体" w:eastAsia="宋体" w:cs="AdobeHeitiStd-Regular"/>
          <w:color w:val="000000" w:themeColor="text1"/>
          <w:kern w:val="0"/>
          <w:sz w:val="24"/>
          <w:szCs w:val="24"/>
          <w14:textFill>
            <w14:solidFill>
              <w14:schemeClr w14:val="tx1"/>
            </w14:solidFill>
          </w14:textFill>
        </w:rPr>
        <w:t>的</w:t>
      </w:r>
      <w:r>
        <w:rPr>
          <w:rFonts w:ascii="宋体" w:hAnsi="宋体" w:eastAsia="宋体" w:cs="AdobeHeitiStd-Regular"/>
          <w:color w:val="000000" w:themeColor="text1"/>
          <w:kern w:val="0"/>
          <w:sz w:val="24"/>
          <w:szCs w:val="24"/>
          <w14:textFill>
            <w14:solidFill>
              <w14:schemeClr w14:val="tx1"/>
            </w14:solidFill>
          </w14:textFill>
        </w:rPr>
        <w:t>考虑</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同时由于</w:t>
      </w:r>
      <w:r>
        <w:rPr>
          <w:rFonts w:hint="eastAsia" w:ascii="宋体" w:hAnsi="宋体" w:eastAsia="宋体" w:cs="AdobeHeitiStd-Regular"/>
          <w:color w:val="000000" w:themeColor="text1"/>
          <w:kern w:val="0"/>
          <w:sz w:val="24"/>
          <w:szCs w:val="24"/>
          <w14:textFill>
            <w14:solidFill>
              <w14:schemeClr w14:val="tx1"/>
            </w14:solidFill>
          </w14:textFill>
        </w:rPr>
        <w:t>环境质量问题</w:t>
      </w:r>
      <w:r>
        <w:rPr>
          <w:rFonts w:ascii="宋体" w:hAnsi="宋体" w:eastAsia="宋体" w:cs="AdobeHeitiStd-Regular"/>
          <w:color w:val="000000" w:themeColor="text1"/>
          <w:kern w:val="0"/>
          <w:sz w:val="24"/>
          <w:szCs w:val="24"/>
          <w14:textFill>
            <w14:solidFill>
              <w14:schemeClr w14:val="tx1"/>
            </w14:solidFill>
          </w14:textFill>
        </w:rPr>
        <w:t>没有</w:t>
      </w:r>
      <w:r>
        <w:rPr>
          <w:rFonts w:hint="eastAsia" w:ascii="宋体" w:hAnsi="宋体" w:eastAsia="宋体" w:cs="AdobeHeitiStd-Regular"/>
          <w:color w:val="000000" w:themeColor="text1"/>
          <w:kern w:val="0"/>
          <w:sz w:val="24"/>
          <w:szCs w:val="24"/>
          <w14:textFill>
            <w14:solidFill>
              <w14:schemeClr w14:val="tx1"/>
            </w14:solidFill>
          </w14:textFill>
        </w:rPr>
        <w:t>根本</w:t>
      </w:r>
      <w:r>
        <w:rPr>
          <w:rFonts w:ascii="宋体" w:hAnsi="宋体" w:eastAsia="宋体" w:cs="AdobeHeitiStd-Regular"/>
          <w:color w:val="000000" w:themeColor="text1"/>
          <w:kern w:val="0"/>
          <w:sz w:val="24"/>
          <w:szCs w:val="24"/>
          <w14:textFill>
            <w14:solidFill>
              <w14:schemeClr w14:val="tx1"/>
            </w14:solidFill>
          </w14:textFill>
        </w:rPr>
        <w:t>解决</w:t>
      </w:r>
      <w:r>
        <w:rPr>
          <w:rFonts w:hint="eastAsia" w:ascii="宋体" w:hAnsi="宋体" w:eastAsia="宋体" w:cs="AdobeHeitiStd-Regular"/>
          <w:color w:val="000000" w:themeColor="text1"/>
          <w:kern w:val="0"/>
          <w:sz w:val="24"/>
          <w:szCs w:val="24"/>
          <w14:textFill>
            <w14:solidFill>
              <w14:schemeClr w14:val="tx1"/>
            </w14:solidFill>
          </w14:textFill>
        </w:rPr>
        <w:t>，传统工业发展方式的弊端也暴露得更为明显，一些</w:t>
      </w:r>
      <w:r>
        <w:rPr>
          <w:rFonts w:ascii="宋体" w:hAnsi="宋体" w:eastAsia="宋体" w:cs="AdobeHeitiStd-Regular"/>
          <w:color w:val="000000" w:themeColor="text1"/>
          <w:kern w:val="0"/>
          <w:sz w:val="24"/>
          <w:szCs w:val="24"/>
          <w14:textFill>
            <w14:solidFill>
              <w14:schemeClr w14:val="tx1"/>
            </w14:solidFill>
          </w14:textFill>
        </w:rPr>
        <w:t>地区</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一些行业</w:t>
      </w:r>
      <w:r>
        <w:rPr>
          <w:rFonts w:hint="eastAsia" w:ascii="宋体" w:hAnsi="宋体" w:eastAsia="宋体" w:cs="AdobeHeitiStd-Regular"/>
          <w:color w:val="000000" w:themeColor="text1"/>
          <w:kern w:val="0"/>
          <w:sz w:val="24"/>
          <w:szCs w:val="24"/>
          <w14:textFill>
            <w14:solidFill>
              <w14:schemeClr w14:val="tx1"/>
            </w14:solidFill>
          </w14:textFill>
        </w:rPr>
        <w:t>主动推动由工业主导向服务业主导的产业结构升级，从而使得制造业在国民经济中的比重下降。另一方面是被动的“去工业化”，随着中国劳动力、土地等生产要素成本的连年快速上涨，支撑中国工业化的传统比较优势趋于弱化，在</w:t>
      </w:r>
      <w:r>
        <w:rPr>
          <w:rFonts w:ascii="宋体" w:hAnsi="宋体" w:eastAsia="宋体" w:cs="AdobeHeitiStd-Regular"/>
          <w:color w:val="000000" w:themeColor="text1"/>
          <w:kern w:val="0"/>
          <w:sz w:val="24"/>
          <w:szCs w:val="24"/>
          <w14:textFill>
            <w14:solidFill>
              <w14:schemeClr w14:val="tx1"/>
            </w14:solidFill>
          </w14:textFill>
        </w:rPr>
        <w:t>制造业</w:t>
      </w:r>
      <w:r>
        <w:rPr>
          <w:rFonts w:hint="eastAsia" w:ascii="宋体" w:hAnsi="宋体" w:eastAsia="宋体" w:cs="AdobeHeitiStd-Regular"/>
          <w:color w:val="000000" w:themeColor="text1"/>
          <w:kern w:val="0"/>
          <w:sz w:val="24"/>
          <w:szCs w:val="24"/>
          <w14:textFill>
            <w14:solidFill>
              <w14:schemeClr w14:val="tx1"/>
            </w14:solidFill>
          </w14:textFill>
        </w:rPr>
        <w:t>经营绩效</w:t>
      </w:r>
      <w:r>
        <w:rPr>
          <w:rFonts w:ascii="宋体" w:hAnsi="宋体" w:eastAsia="宋体" w:cs="AdobeHeitiStd-Regular"/>
          <w:color w:val="000000" w:themeColor="text1"/>
          <w:kern w:val="0"/>
          <w:sz w:val="24"/>
          <w:szCs w:val="24"/>
          <w14:textFill>
            <w14:solidFill>
              <w14:schemeClr w14:val="tx1"/>
            </w14:solidFill>
          </w14:textFill>
        </w:rPr>
        <w:t>和利润</w:t>
      </w:r>
      <w:r>
        <w:rPr>
          <w:rFonts w:hint="eastAsia" w:ascii="宋体" w:hAnsi="宋体" w:eastAsia="宋体" w:cs="AdobeHeitiStd-Regular"/>
          <w:color w:val="000000" w:themeColor="text1"/>
          <w:kern w:val="0"/>
          <w:sz w:val="24"/>
          <w:szCs w:val="24"/>
          <w14:textFill>
            <w14:solidFill>
              <w14:schemeClr w14:val="tx1"/>
            </w14:solidFill>
          </w14:textFill>
        </w:rPr>
        <w:t>水平严重</w:t>
      </w:r>
      <w:r>
        <w:rPr>
          <w:rFonts w:ascii="宋体" w:hAnsi="宋体" w:eastAsia="宋体" w:cs="AdobeHeitiStd-Regular"/>
          <w:color w:val="000000" w:themeColor="text1"/>
          <w:kern w:val="0"/>
          <w:sz w:val="24"/>
          <w:szCs w:val="24"/>
          <w14:textFill>
            <w14:solidFill>
              <w14:schemeClr w14:val="tx1"/>
            </w14:solidFill>
          </w14:textFill>
        </w:rPr>
        <w:t>压缩的同时，服务业尤其是</w:t>
      </w:r>
      <w:r>
        <w:rPr>
          <w:rFonts w:hint="eastAsia" w:ascii="宋体" w:hAnsi="宋体" w:eastAsia="宋体" w:cs="AdobeHeitiStd-Regular"/>
          <w:color w:val="000000" w:themeColor="text1"/>
          <w:kern w:val="0"/>
          <w:sz w:val="24"/>
          <w:szCs w:val="24"/>
          <w14:textFill>
            <w14:solidFill>
              <w14:schemeClr w14:val="tx1"/>
            </w14:solidFill>
          </w14:textFill>
        </w:rPr>
        <w:t>房地产业和金融业的投资表现</w:t>
      </w:r>
      <w:r>
        <w:rPr>
          <w:rFonts w:ascii="宋体" w:hAnsi="宋体" w:eastAsia="宋体" w:cs="AdobeHeitiStd-Regular"/>
          <w:color w:val="000000" w:themeColor="text1"/>
          <w:kern w:val="0"/>
          <w:sz w:val="24"/>
          <w:szCs w:val="24"/>
          <w14:textFill>
            <w14:solidFill>
              <w14:schemeClr w14:val="tx1"/>
            </w14:solidFill>
          </w14:textFill>
        </w:rPr>
        <w:t>强劲</w:t>
      </w:r>
      <w:r>
        <w:rPr>
          <w:rFonts w:hint="eastAsia" w:ascii="宋体" w:hAnsi="宋体" w:eastAsia="宋体" w:cs="AdobeHeitiStd-Regular"/>
          <w:color w:val="000000" w:themeColor="text1"/>
          <w:kern w:val="0"/>
          <w:sz w:val="24"/>
          <w:szCs w:val="24"/>
          <w14:textFill>
            <w14:solidFill>
              <w14:schemeClr w14:val="tx1"/>
            </w14:solidFill>
          </w14:textFill>
        </w:rPr>
        <w:t>，呈现</w:t>
      </w:r>
      <w:r>
        <w:rPr>
          <w:rFonts w:ascii="宋体" w:hAnsi="宋体" w:eastAsia="宋体" w:cs="AdobeHeitiStd-Regular"/>
          <w:color w:val="000000" w:themeColor="text1"/>
          <w:kern w:val="0"/>
          <w:sz w:val="24"/>
          <w:szCs w:val="24"/>
          <w14:textFill>
            <w14:solidFill>
              <w14:schemeClr w14:val="tx1"/>
            </w14:solidFill>
          </w14:textFill>
        </w:rPr>
        <w:t>了与世界资本的金融化走势相一致的趋势</w:t>
      </w:r>
      <w:r>
        <w:rPr>
          <w:rFonts w:hint="eastAsia" w:ascii="宋体" w:hAnsi="宋体" w:eastAsia="宋体" w:cs="AdobeHeitiStd-Regular"/>
          <w:color w:val="000000" w:themeColor="text1"/>
          <w:kern w:val="0"/>
          <w:sz w:val="24"/>
          <w:szCs w:val="24"/>
          <w14:textFill>
            <w14:solidFill>
              <w14:schemeClr w14:val="tx1"/>
            </w14:solidFill>
          </w14:textFill>
        </w:rPr>
        <w:t>，越来越多的制造业企业为了</w:t>
      </w:r>
      <w:r>
        <w:rPr>
          <w:rFonts w:ascii="宋体" w:hAnsi="宋体" w:eastAsia="宋体" w:cs="AdobeHeitiStd-Regular"/>
          <w:color w:val="000000" w:themeColor="text1"/>
          <w:kern w:val="0"/>
          <w:sz w:val="24"/>
          <w:szCs w:val="24"/>
          <w14:textFill>
            <w14:solidFill>
              <w14:schemeClr w14:val="tx1"/>
            </w14:solidFill>
          </w14:textFill>
        </w:rPr>
        <w:t>获得更多的利润率，</w:t>
      </w:r>
      <w:r>
        <w:rPr>
          <w:rFonts w:hint="eastAsia" w:ascii="宋体" w:hAnsi="宋体" w:eastAsia="宋体" w:cs="AdobeHeitiStd-Regular"/>
          <w:color w:val="000000" w:themeColor="text1"/>
          <w:kern w:val="0"/>
          <w:sz w:val="24"/>
          <w:szCs w:val="24"/>
          <w14:textFill>
            <w14:solidFill>
              <w14:schemeClr w14:val="tx1"/>
            </w14:solidFill>
          </w14:textFill>
        </w:rPr>
        <w:t>开始被动地拓展非制造业活动，出现了“脱实向虚”的趋势。</w:t>
      </w:r>
    </w:p>
    <w:p w14:paraId="7A4E4ED3">
      <w:pPr>
        <w:autoSpaceDE w:val="0"/>
        <w:autoSpaceDN w:val="0"/>
        <w:adjustRightInd w:val="0"/>
        <w:snapToGrid w:val="0"/>
        <w:spacing w:line="360" w:lineRule="auto"/>
        <w:jc w:val="center"/>
        <w:rPr>
          <w:rFonts w:ascii="AdobeHeitiStd-Regular" w:eastAsia="AdobeHeitiStd-Regular" w:cs="AdobeHeitiStd-Regular"/>
          <w:color w:val="000000" w:themeColor="text1"/>
          <w:kern w:val="0"/>
          <w:sz w:val="24"/>
          <w:szCs w:val="24"/>
          <w14:textFill>
            <w14:solidFill>
              <w14:schemeClr w14:val="tx1"/>
            </w14:solidFill>
          </w14:textFill>
        </w:rPr>
      </w:pPr>
      <w:r>
        <w:rPr>
          <w:color w:val="000000" w:themeColor="text1"/>
          <w14:textFill>
            <w14:solidFill>
              <w14:schemeClr w14:val="tx1"/>
            </w14:solidFill>
          </w14:textFill>
        </w:rPr>
        <w:drawing>
          <wp:inline distT="0" distB="0" distL="0" distR="0">
            <wp:extent cx="5274310" cy="2597150"/>
            <wp:effectExtent l="0" t="0" r="8890" b="19050"/>
            <wp:docPr id="247" name="图表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1B6380A">
      <w:pPr>
        <w:autoSpaceDE w:val="0"/>
        <w:autoSpaceDN w:val="0"/>
        <w:adjustRightInd w:val="0"/>
        <w:snapToGrid w:val="0"/>
        <w:spacing w:line="360" w:lineRule="auto"/>
        <w:ind w:firstLine="420" w:firstLineChars="200"/>
        <w:rPr>
          <w:rFonts w:ascii="Times New Roman" w:hAnsi="Times New Roman" w:eastAsia="宋体" w:cs="Times New Roman"/>
          <w:b/>
          <w:color w:val="000000" w:themeColor="text1"/>
          <w:kern w:val="0"/>
          <w:szCs w:val="21"/>
          <w14:textFill>
            <w14:solidFill>
              <w14:schemeClr w14:val="tx1"/>
            </w14:solidFill>
          </w14:textFill>
        </w:rPr>
      </w:pPr>
      <w:r>
        <w:rPr>
          <w:rFonts w:hint="eastAsia" w:ascii="宋体" w:hAnsi="宋体" w:eastAsia="宋体" w:cs="AdobeHeitiStd-Regular"/>
          <w:b/>
          <w:color w:val="000000" w:themeColor="text1"/>
          <w:kern w:val="0"/>
          <w:szCs w:val="21"/>
          <w14:textFill>
            <w14:solidFill>
              <w14:schemeClr w14:val="tx1"/>
            </w14:solidFill>
          </w14:textFill>
        </w:rPr>
        <w:t>数据来源</w:t>
      </w:r>
      <w:r>
        <w:rPr>
          <w:rFonts w:ascii="宋体" w:hAnsi="宋体" w:eastAsia="宋体" w:cs="AdobeHeitiStd-Regular"/>
          <w:b/>
          <w:color w:val="000000" w:themeColor="text1"/>
          <w:kern w:val="0"/>
          <w:szCs w:val="21"/>
          <w14:textFill>
            <w14:solidFill>
              <w14:schemeClr w14:val="tx1"/>
            </w14:solidFill>
          </w14:textFill>
        </w:rPr>
        <w:t>：</w:t>
      </w:r>
      <w:r>
        <w:rPr>
          <w:rFonts w:hint="eastAsia" w:ascii="宋体" w:hAnsi="宋体" w:eastAsia="宋体" w:cs="AdobeHeitiStd-Regular"/>
          <w:b/>
          <w:color w:val="000000" w:themeColor="text1"/>
          <w:kern w:val="0"/>
          <w:szCs w:val="21"/>
          <w14:textFill>
            <w14:solidFill>
              <w14:schemeClr w14:val="tx1"/>
            </w14:solidFill>
          </w14:textFill>
        </w:rPr>
        <w:t>国家统计局网站，</w:t>
      </w:r>
      <w:r>
        <w:rPr>
          <w:rFonts w:ascii="Times New Roman" w:hAnsi="Times New Roman" w:eastAsia="宋体" w:cs="Times New Roman"/>
          <w:b/>
          <w:color w:val="000000" w:themeColor="text1"/>
          <w:kern w:val="0"/>
          <w:szCs w:val="21"/>
          <w14:textFill>
            <w14:solidFill>
              <w14:schemeClr w14:val="tx1"/>
            </w14:solidFill>
          </w14:textFill>
        </w:rPr>
        <w:t>http://www.stats.gov.cn/tjsj/</w:t>
      </w:r>
    </w:p>
    <w:p w14:paraId="30F70311">
      <w:pPr>
        <w:autoSpaceDE w:val="0"/>
        <w:autoSpaceDN w:val="0"/>
        <w:adjustRightInd w:val="0"/>
        <w:snapToGrid w:val="0"/>
        <w:spacing w:line="360" w:lineRule="auto"/>
        <w:jc w:val="center"/>
        <w:rPr>
          <w:rFonts w:ascii="宋体" w:hAnsi="宋体" w:eastAsia="宋体" w:cs="AdobeHeitiStd-Regular"/>
          <w:b/>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图</w:t>
      </w:r>
      <w:r>
        <w:rPr>
          <w:rFonts w:ascii="宋体" w:hAnsi="宋体" w:eastAsia="宋体" w:cs="AdobeHeitiStd-Regular"/>
          <w:b/>
          <w:color w:val="000000" w:themeColor="text1"/>
          <w:kern w:val="0"/>
          <w:sz w:val="24"/>
          <w:szCs w:val="24"/>
          <w14:textFill>
            <w14:solidFill>
              <w14:schemeClr w14:val="tx1"/>
            </w14:solidFill>
          </w14:textFill>
        </w:rPr>
        <w:t>4</w:t>
      </w:r>
      <w:r>
        <w:rPr>
          <w:rFonts w:hint="eastAsia" w:ascii="宋体" w:hAnsi="宋体" w:eastAsia="宋体" w:cs="AdobeHeitiStd-Regular"/>
          <w:b/>
          <w:color w:val="000000" w:themeColor="text1"/>
          <w:kern w:val="0"/>
          <w:sz w:val="24"/>
          <w:szCs w:val="24"/>
          <w14:textFill>
            <w14:solidFill>
              <w14:schemeClr w14:val="tx1"/>
            </w14:solidFill>
          </w14:textFill>
        </w:rPr>
        <w:t xml:space="preserve">  </w:t>
      </w:r>
      <w:r>
        <w:rPr>
          <w:rFonts w:ascii="宋体" w:hAnsi="宋体" w:eastAsia="宋体" w:cs="Times New Roman"/>
          <w:b/>
          <w:bCs/>
          <w:color w:val="000000" w:themeColor="text1"/>
          <w:sz w:val="24"/>
          <w:szCs w:val="24"/>
          <w14:textFill>
            <w14:solidFill>
              <w14:schemeClr w14:val="tx1"/>
            </w14:solidFill>
          </w14:textFill>
        </w:rPr>
        <w:t>中国三次产业、工业、制造业增加值占GDP的比重（2000-2022年）</w:t>
      </w:r>
    </w:p>
    <w:p w14:paraId="17845DF5">
      <w:pPr>
        <w:autoSpaceDE w:val="0"/>
        <w:autoSpaceDN w:val="0"/>
        <w:adjustRightInd w:val="0"/>
        <w:snapToGrid w:val="0"/>
        <w:spacing w:line="360" w:lineRule="auto"/>
        <w:ind w:firstLine="480" w:firstLineChars="200"/>
        <w:rPr>
          <w:rFonts w:ascii="宋体" w:hAnsi="宋体" w:eastAsia="宋体" w:cs="AdobeHeitiStd-Regular"/>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其次，质的方面</w:t>
      </w:r>
      <w:r>
        <w:rPr>
          <w:rFonts w:ascii="宋体" w:hAnsi="宋体" w:eastAsia="宋体" w:cs="AdobeHeitiStd-Regular"/>
          <w:b/>
          <w:color w:val="000000" w:themeColor="text1"/>
          <w:kern w:val="0"/>
          <w:sz w:val="24"/>
          <w:szCs w:val="24"/>
          <w14:textFill>
            <w14:solidFill>
              <w14:schemeClr w14:val="tx1"/>
            </w14:solidFill>
          </w14:textFill>
        </w:rPr>
        <w:t>，</w:t>
      </w:r>
      <w:r>
        <w:rPr>
          <w:rFonts w:hint="eastAsia" w:ascii="宋体" w:hAnsi="宋体" w:eastAsia="宋体" w:cs="AdobeHeitiStd-Regular"/>
          <w:b/>
          <w:color w:val="000000" w:themeColor="text1"/>
          <w:kern w:val="0"/>
          <w:sz w:val="24"/>
          <w:szCs w:val="24"/>
          <w14:textFill>
            <w14:solidFill>
              <w14:schemeClr w14:val="tx1"/>
            </w14:solidFill>
          </w14:textFill>
        </w:rPr>
        <w:t>关键核心技术领域发展不足。</w:t>
      </w:r>
      <w:r>
        <w:rPr>
          <w:rFonts w:hint="eastAsia" w:ascii="宋体" w:hAnsi="宋体" w:eastAsia="宋体" w:cs="AdobeHeitiStd-Regular"/>
          <w:color w:val="000000" w:themeColor="text1"/>
          <w:kern w:val="0"/>
          <w:sz w:val="24"/>
          <w:szCs w:val="24"/>
          <w14:textFill>
            <w14:solidFill>
              <w14:schemeClr w14:val="tx1"/>
            </w14:solidFill>
          </w14:textFill>
        </w:rPr>
        <w:t>世界知识产权组织发布最新报告指出，</w:t>
      </w:r>
      <w:r>
        <w:rPr>
          <w:rFonts w:ascii="宋体" w:hAnsi="宋体" w:eastAsia="宋体" w:cs="AdobeHeitiStd-Regular"/>
          <w:color w:val="000000" w:themeColor="text1"/>
          <w:kern w:val="0"/>
          <w:sz w:val="24"/>
          <w:szCs w:val="24"/>
          <w14:textFill>
            <w14:solidFill>
              <w14:schemeClr w14:val="tx1"/>
            </w14:solidFill>
          </w14:textFill>
        </w:rPr>
        <w:t>2022年，对专利保护的需求继续增长，中国、美国、日本、韩国和德国的创新者在该机构《专利合作条约》PCT国际专利申请量处于领先地位，中国继续排名首位，占申请总量的四分之一以上。</w:t>
      </w:r>
      <w:r>
        <w:rPr>
          <w:rStyle w:val="20"/>
          <w:rFonts w:ascii="宋体" w:hAnsi="宋体" w:eastAsia="宋体" w:cs="AdobeHeitiStd-Regular"/>
          <w:color w:val="000000" w:themeColor="text1"/>
          <w:kern w:val="0"/>
          <w:sz w:val="24"/>
          <w:szCs w:val="24"/>
          <w14:textFill>
            <w14:solidFill>
              <w14:schemeClr w14:val="tx1"/>
            </w14:solidFill>
          </w14:textFill>
        </w:rPr>
        <w:footnoteReference w:id="392"/>
      </w:r>
      <w:r>
        <w:rPr>
          <w:rFonts w:hint="eastAsia" w:ascii="宋体" w:hAnsi="宋体" w:eastAsia="宋体" w:cs="AdobeHeitiStd-Regular"/>
          <w:color w:val="000000" w:themeColor="text1"/>
          <w:kern w:val="0"/>
          <w:sz w:val="24"/>
          <w:szCs w:val="24"/>
          <w14:textFill>
            <w14:solidFill>
              <w14:schemeClr w14:val="tx1"/>
            </w14:solidFill>
          </w14:textFill>
        </w:rPr>
        <w:t xml:space="preserve"> 中国</w:t>
      </w:r>
      <w:r>
        <w:rPr>
          <w:rFonts w:ascii="宋体" w:hAnsi="宋体" w:eastAsia="宋体" w:cs="AdobeHeitiStd-Regular"/>
          <w:color w:val="000000" w:themeColor="text1"/>
          <w:kern w:val="0"/>
          <w:sz w:val="24"/>
          <w:szCs w:val="24"/>
          <w14:textFill>
            <w14:solidFill>
              <w14:schemeClr w14:val="tx1"/>
            </w14:solidFill>
          </w14:textFill>
        </w:rPr>
        <w:t>虽然专利数量连续增</w:t>
      </w:r>
      <w:r>
        <w:rPr>
          <w:rFonts w:hint="eastAsia" w:ascii="宋体" w:hAnsi="宋体" w:eastAsia="宋体" w:cs="AdobeHeitiStd-Regular"/>
          <w:color w:val="000000" w:themeColor="text1"/>
          <w:kern w:val="0"/>
          <w:sz w:val="24"/>
          <w:szCs w:val="24"/>
          <w14:textFill>
            <w14:solidFill>
              <w14:schemeClr w14:val="tx1"/>
            </w14:solidFill>
          </w14:textFill>
        </w:rPr>
        <w:t>长</w:t>
      </w:r>
      <w:r>
        <w:rPr>
          <w:rFonts w:ascii="宋体" w:hAnsi="宋体" w:eastAsia="宋体" w:cs="AdobeHeitiStd-Regular"/>
          <w:color w:val="000000" w:themeColor="text1"/>
          <w:kern w:val="0"/>
          <w:sz w:val="24"/>
          <w:szCs w:val="24"/>
          <w14:textFill>
            <w14:solidFill>
              <w14:schemeClr w14:val="tx1"/>
            </w14:solidFill>
          </w14:textFill>
        </w:rPr>
        <w:t>，但是体现关键核心技术的专利数量</w:t>
      </w:r>
      <w:r>
        <w:rPr>
          <w:rFonts w:hint="eastAsia" w:ascii="宋体" w:hAnsi="宋体" w:eastAsia="宋体" w:cs="AdobeHeitiStd-Regular"/>
          <w:color w:val="000000" w:themeColor="text1"/>
          <w:kern w:val="0"/>
          <w:sz w:val="24"/>
          <w:szCs w:val="24"/>
          <w14:textFill>
            <w14:solidFill>
              <w14:schemeClr w14:val="tx1"/>
            </w14:solidFill>
          </w14:textFill>
        </w:rPr>
        <w:t>还是不够理想</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关键核心技术往往表现为产业共性技术，对产业技术发展起着决定性作用，是“卡脖子”技术的来源。关键</w:t>
      </w:r>
      <w:r>
        <w:rPr>
          <w:rFonts w:ascii="宋体" w:hAnsi="宋体" w:eastAsia="宋体" w:cs="AdobeHeitiStd-Regular"/>
          <w:color w:val="000000" w:themeColor="text1"/>
          <w:kern w:val="0"/>
          <w:sz w:val="24"/>
          <w:szCs w:val="24"/>
          <w14:textFill>
            <w14:solidFill>
              <w14:schemeClr w14:val="tx1"/>
            </w14:solidFill>
          </w14:textFill>
        </w:rPr>
        <w:t>核心技术</w:t>
      </w:r>
      <w:r>
        <w:rPr>
          <w:rFonts w:hint="eastAsia" w:ascii="宋体" w:hAnsi="宋体" w:eastAsia="宋体" w:cs="AdobeHeitiStd-Regular"/>
          <w:color w:val="000000" w:themeColor="text1"/>
          <w:kern w:val="0"/>
          <w:sz w:val="24"/>
          <w:szCs w:val="24"/>
          <w14:textFill>
            <w14:solidFill>
              <w14:schemeClr w14:val="tx1"/>
            </w14:solidFill>
          </w14:textFill>
        </w:rPr>
        <w:t>突破界定不仅在于技术质的演化，包括突破式创新与破坏式创新</w:t>
      </w:r>
      <w:r>
        <w:rPr>
          <w:rFonts w:ascii="宋体" w:hAnsi="宋体" w:eastAsia="宋体" w:cs="AdobeHeitiStd-Regular"/>
          <w:color w:val="000000" w:themeColor="text1"/>
          <w:kern w:val="0"/>
          <w:sz w:val="24"/>
          <w:szCs w:val="24"/>
          <w14:textFill>
            <w14:solidFill>
              <w14:schemeClr w14:val="tx1"/>
            </w14:solidFill>
          </w14:textFill>
        </w:rPr>
        <w:t>，而且</w:t>
      </w:r>
      <w:r>
        <w:rPr>
          <w:rFonts w:hint="eastAsia" w:ascii="宋体" w:hAnsi="宋体" w:eastAsia="宋体" w:cs="AdobeHeitiStd-Regular"/>
          <w:color w:val="000000" w:themeColor="text1"/>
          <w:kern w:val="0"/>
          <w:sz w:val="24"/>
          <w:szCs w:val="24"/>
          <w14:textFill>
            <w14:solidFill>
              <w14:schemeClr w14:val="tx1"/>
            </w14:solidFill>
          </w14:textFill>
        </w:rPr>
        <w:t>涉及市场对基于新技术所开发产品的应用。比起一般技术，关键核心技术具有更强的外部性特征和</w:t>
      </w:r>
      <w:r>
        <w:rPr>
          <w:rFonts w:ascii="宋体" w:hAnsi="宋体" w:eastAsia="宋体" w:cs="AdobeHeitiStd-Regular"/>
          <w:color w:val="000000" w:themeColor="text1"/>
          <w:kern w:val="0"/>
          <w:sz w:val="24"/>
          <w:szCs w:val="24"/>
          <w14:textFill>
            <w14:solidFill>
              <w14:schemeClr w14:val="tx1"/>
            </w14:solidFill>
          </w14:textFill>
        </w:rPr>
        <w:t>(准)公共物品属性</w:t>
      </w:r>
      <w:r>
        <w:rPr>
          <w:rFonts w:hint="eastAsia" w:ascii="宋体" w:hAnsi="宋体" w:eastAsia="宋体" w:cs="AdobeHeitiStd-Regular"/>
          <w:color w:val="000000" w:themeColor="text1"/>
          <w:kern w:val="0"/>
          <w:sz w:val="24"/>
          <w:szCs w:val="24"/>
          <w14:textFill>
            <w14:solidFill>
              <w14:schemeClr w14:val="tx1"/>
            </w14:solidFill>
          </w14:textFill>
        </w:rPr>
        <w:t>，突破关键核心技术需要动用极大的社会资源，其创新的成本及收益不能完全内生，会产生较强的外部性、非竞争性或非排他性，正的外部性可以带动上下游产业链以及配套产业网良性可持续发展。</w:t>
      </w:r>
      <w:r>
        <w:rPr>
          <w:rStyle w:val="20"/>
          <w:rFonts w:ascii="宋体" w:hAnsi="宋体" w:eastAsia="宋体" w:cs="AdobeHeitiStd-Regular"/>
          <w:color w:val="000000" w:themeColor="text1"/>
          <w:kern w:val="0"/>
          <w:sz w:val="24"/>
          <w:szCs w:val="24"/>
          <w14:textFill>
            <w14:solidFill>
              <w14:schemeClr w14:val="tx1"/>
            </w14:solidFill>
          </w14:textFill>
        </w:rPr>
        <w:footnoteReference w:id="393"/>
      </w:r>
      <w:r>
        <w:rPr>
          <w:rFonts w:hint="eastAsia" w:ascii="宋体" w:hAnsi="宋体" w:eastAsia="宋体" w:cs="AdobeHeitiStd-Regular"/>
          <w:color w:val="000000" w:themeColor="text1"/>
          <w:kern w:val="0"/>
          <w:sz w:val="24"/>
          <w:szCs w:val="24"/>
          <w14:textFill>
            <w14:solidFill>
              <w14:schemeClr w14:val="tx1"/>
            </w14:solidFill>
          </w14:textFill>
        </w:rPr>
        <w:t>虽然我国在高铁</w:t>
      </w:r>
      <w:r>
        <w:rPr>
          <w:rFonts w:ascii="宋体" w:hAnsi="宋体" w:eastAsia="宋体" w:cs="AdobeHeitiStd-Regular"/>
          <w:color w:val="000000" w:themeColor="text1"/>
          <w:kern w:val="0"/>
          <w:sz w:val="24"/>
          <w:szCs w:val="24"/>
          <w14:textFill>
            <w14:solidFill>
              <w14:schemeClr w14:val="tx1"/>
            </w14:solidFill>
          </w14:textFill>
        </w:rPr>
        <w:t>、盾构机和柴油发</w:t>
      </w:r>
      <w:r>
        <w:rPr>
          <w:rFonts w:hint="eastAsia" w:ascii="宋体" w:hAnsi="宋体" w:eastAsia="宋体" w:cs="AdobeHeitiStd-Regular"/>
          <w:color w:val="000000" w:themeColor="text1"/>
          <w:kern w:val="0"/>
          <w:sz w:val="24"/>
          <w:szCs w:val="24"/>
          <w14:textFill>
            <w14:solidFill>
              <w14:schemeClr w14:val="tx1"/>
            </w14:solidFill>
          </w14:textFill>
        </w:rPr>
        <w:t>动机</w:t>
      </w:r>
      <w:r>
        <w:rPr>
          <w:rFonts w:ascii="宋体" w:hAnsi="宋体" w:eastAsia="宋体" w:cs="AdobeHeitiStd-Regular"/>
          <w:color w:val="000000" w:themeColor="text1"/>
          <w:kern w:val="0"/>
          <w:sz w:val="24"/>
          <w:szCs w:val="24"/>
          <w14:textFill>
            <w14:solidFill>
              <w14:schemeClr w14:val="tx1"/>
            </w14:solidFill>
          </w14:textFill>
        </w:rPr>
        <w:t>等领域</w:t>
      </w:r>
      <w:r>
        <w:rPr>
          <w:rFonts w:hint="eastAsia" w:ascii="宋体" w:hAnsi="宋体" w:eastAsia="宋体" w:cs="AdobeHeitiStd-Regular"/>
          <w:color w:val="000000" w:themeColor="text1"/>
          <w:kern w:val="0"/>
          <w:sz w:val="24"/>
          <w:szCs w:val="24"/>
          <w14:textFill>
            <w14:solidFill>
              <w14:schemeClr w14:val="tx1"/>
            </w14:solidFill>
          </w14:textFill>
        </w:rPr>
        <w:t>实现</w:t>
      </w:r>
      <w:r>
        <w:rPr>
          <w:rFonts w:ascii="宋体" w:hAnsi="宋体" w:eastAsia="宋体" w:cs="AdobeHeitiStd-Regular"/>
          <w:color w:val="000000" w:themeColor="text1"/>
          <w:kern w:val="0"/>
          <w:sz w:val="24"/>
          <w:szCs w:val="24"/>
          <w14:textFill>
            <w14:solidFill>
              <w14:schemeClr w14:val="tx1"/>
            </w14:solidFill>
          </w14:textFill>
        </w:rPr>
        <w:t>关键核心技术突破，但由于中美科技战加剧全球芯片领域竞争格局</w:t>
      </w:r>
      <w:r>
        <w:rPr>
          <w:rFonts w:hint="eastAsia" w:ascii="宋体" w:hAnsi="宋体" w:eastAsia="宋体" w:cs="AdobeHeitiStd-Regular"/>
          <w:color w:val="000000" w:themeColor="text1"/>
          <w:kern w:val="0"/>
          <w:sz w:val="24"/>
          <w:szCs w:val="24"/>
          <w14:textFill>
            <w14:solidFill>
              <w14:schemeClr w14:val="tx1"/>
            </w14:solidFill>
          </w14:textFill>
        </w:rPr>
        <w:t>动荡，高端芯片的“卡脖子”问题还非常严重，尤其那些真正会影响国家经济命脉的“卡脖子”技术，还有一定</w:t>
      </w:r>
      <w:r>
        <w:rPr>
          <w:rFonts w:ascii="宋体" w:hAnsi="宋体" w:eastAsia="宋体" w:cs="AdobeHeitiStd-Regular"/>
          <w:color w:val="000000" w:themeColor="text1"/>
          <w:kern w:val="0"/>
          <w:sz w:val="24"/>
          <w:szCs w:val="24"/>
          <w14:textFill>
            <w14:solidFill>
              <w14:schemeClr w14:val="tx1"/>
            </w14:solidFill>
          </w14:textFill>
        </w:rPr>
        <w:t>差距</w:t>
      </w:r>
      <w:r>
        <w:rPr>
          <w:rFonts w:hint="eastAsia" w:ascii="宋体" w:hAnsi="宋体" w:eastAsia="宋体" w:cs="AdobeHeitiStd-Regular"/>
          <w:color w:val="000000" w:themeColor="text1"/>
          <w:kern w:val="0"/>
          <w:sz w:val="24"/>
          <w:szCs w:val="24"/>
          <w14:textFill>
            <w14:solidFill>
              <w14:schemeClr w14:val="tx1"/>
            </w14:solidFill>
          </w14:textFill>
        </w:rPr>
        <w:t>。当前</w:t>
      </w:r>
      <w:r>
        <w:rPr>
          <w:rFonts w:ascii="宋体" w:hAnsi="宋体" w:eastAsia="宋体" w:cs="AdobeHeitiStd-Regular"/>
          <w:color w:val="000000" w:themeColor="text1"/>
          <w:kern w:val="0"/>
          <w:sz w:val="24"/>
          <w:szCs w:val="24"/>
          <w14:textFill>
            <w14:solidFill>
              <w14:schemeClr w14:val="tx1"/>
            </w14:solidFill>
          </w14:textFill>
        </w:rPr>
        <w:t>我国</w:t>
      </w:r>
      <w:r>
        <w:rPr>
          <w:rFonts w:hint="eastAsia" w:ascii="宋体" w:hAnsi="宋体" w:eastAsia="宋体" w:cs="AdobeHeitiStd-Regular"/>
          <w:color w:val="000000" w:themeColor="text1"/>
          <w:kern w:val="0"/>
          <w:sz w:val="24"/>
          <w:szCs w:val="24"/>
          <w14:textFill>
            <w14:solidFill>
              <w14:schemeClr w14:val="tx1"/>
            </w14:solidFill>
          </w14:textFill>
        </w:rPr>
        <w:t>被卡脖子的</w:t>
      </w:r>
      <w:r>
        <w:rPr>
          <w:rFonts w:ascii="宋体" w:hAnsi="宋体" w:eastAsia="宋体" w:cs="AdobeHeitiStd-Regular"/>
          <w:color w:val="000000" w:themeColor="text1"/>
          <w:kern w:val="0"/>
          <w:sz w:val="24"/>
          <w:szCs w:val="24"/>
          <w14:textFill>
            <w14:solidFill>
              <w14:schemeClr w14:val="tx1"/>
            </w14:solidFill>
          </w14:textFill>
        </w:rPr>
        <w:t>关键技术中，</w:t>
      </w:r>
      <w:r>
        <w:rPr>
          <w:rFonts w:hint="eastAsia" w:ascii="宋体" w:hAnsi="宋体" w:eastAsia="宋体" w:cs="AdobeHeitiStd-Regular"/>
          <w:color w:val="000000" w:themeColor="text1"/>
          <w:kern w:val="0"/>
          <w:sz w:val="24"/>
          <w:szCs w:val="24"/>
          <w14:textFill>
            <w14:solidFill>
              <w14:schemeClr w14:val="tx1"/>
            </w14:solidFill>
          </w14:textFill>
        </w:rPr>
        <w:t>包括芯片、核心算法、新型显示材料、新一代半导体、医学影像设备元器件、扫描电子显微镜、机器人操作系统、无人驾驶、交通智能化监测、智慧生物育种、智能门锁生物识别、废物焚烧智能诊断等急需攻克的技术中，多数体现在高端制造上。</w:t>
      </w:r>
      <w:r>
        <w:rPr>
          <w:rFonts w:ascii="宋体" w:hAnsi="宋体" w:eastAsia="宋体" w:cs="AdobeHeitiStd-Regular"/>
          <w:color w:val="000000" w:themeColor="text1"/>
          <w:kern w:val="0"/>
          <w:sz w:val="24"/>
          <w:szCs w:val="24"/>
          <w14:textFill>
            <w14:solidFill>
              <w14:schemeClr w14:val="tx1"/>
            </w14:solidFill>
          </w14:textFill>
        </w:rPr>
        <w:t>制造业的关键基础</w:t>
      </w:r>
      <w:r>
        <w:rPr>
          <w:rFonts w:hint="eastAsia" w:ascii="宋体" w:hAnsi="宋体" w:eastAsia="宋体" w:cs="AdobeHeitiStd-Regular"/>
          <w:color w:val="000000" w:themeColor="text1"/>
          <w:kern w:val="0"/>
          <w:sz w:val="24"/>
          <w:szCs w:val="24"/>
          <w14:textFill>
            <w14:solidFill>
              <w14:schemeClr w14:val="tx1"/>
            </w14:solidFill>
          </w14:textFill>
        </w:rPr>
        <w:t>材料、基础零部件</w:t>
      </w:r>
      <w:r>
        <w:rPr>
          <w:rFonts w:ascii="宋体" w:hAnsi="宋体" w:eastAsia="宋体" w:cs="AdobeHeitiStd-Regular"/>
          <w:color w:val="000000" w:themeColor="text1"/>
          <w:kern w:val="0"/>
          <w:sz w:val="24"/>
          <w:szCs w:val="24"/>
          <w14:textFill>
            <w14:solidFill>
              <w14:schemeClr w14:val="tx1"/>
            </w14:solidFill>
          </w14:textFill>
        </w:rPr>
        <w:t>(元器件)、先进基础工艺、产业技</w:t>
      </w:r>
      <w:r>
        <w:rPr>
          <w:rFonts w:hint="eastAsia" w:ascii="宋体" w:hAnsi="宋体" w:eastAsia="宋体" w:cs="AdobeHeitiStd-Regular"/>
          <w:color w:val="000000" w:themeColor="text1"/>
          <w:kern w:val="0"/>
          <w:sz w:val="24"/>
          <w:szCs w:val="24"/>
          <w14:textFill>
            <w14:solidFill>
              <w14:schemeClr w14:val="tx1"/>
            </w14:solidFill>
          </w14:textFill>
        </w:rPr>
        <w:t>术基础和工业基础软件</w:t>
      </w:r>
      <w:r>
        <w:rPr>
          <w:rFonts w:ascii="宋体" w:hAnsi="宋体" w:eastAsia="宋体" w:cs="AdobeHeitiStd-Regular"/>
          <w:color w:val="000000" w:themeColor="text1"/>
          <w:kern w:val="0"/>
          <w:sz w:val="24"/>
          <w:szCs w:val="24"/>
          <w14:textFill>
            <w14:solidFill>
              <w14:schemeClr w14:val="tx1"/>
            </w14:solidFill>
          </w14:textFill>
        </w:rPr>
        <w:t>(工业五基)成为关键核心技</w:t>
      </w:r>
      <w:r>
        <w:rPr>
          <w:rFonts w:hint="eastAsia" w:ascii="宋体" w:hAnsi="宋体" w:eastAsia="宋体" w:cs="AdobeHeitiStd-Regular"/>
          <w:color w:val="000000" w:themeColor="text1"/>
          <w:kern w:val="0"/>
          <w:sz w:val="24"/>
          <w:szCs w:val="24"/>
          <w14:textFill>
            <w14:solidFill>
              <w14:schemeClr w14:val="tx1"/>
            </w14:solidFill>
          </w14:textFill>
        </w:rPr>
        <w:t>术“卡脖子”的重灾区。</w:t>
      </w:r>
    </w:p>
    <w:p w14:paraId="7CA84589">
      <w:pPr>
        <w:autoSpaceDE w:val="0"/>
        <w:autoSpaceDN w:val="0"/>
        <w:adjustRightInd w:val="0"/>
        <w:snapToGrid w:val="0"/>
        <w:spacing w:line="360" w:lineRule="auto"/>
        <w:ind w:firstLine="480" w:firstLineChars="200"/>
        <w:rPr>
          <w:rFonts w:ascii="宋体" w:hAnsi="宋体" w:eastAsia="宋体" w:cs="AdobeHeitiStd-Regular"/>
          <w:b/>
          <w:color w:val="000000" w:themeColor="text1"/>
          <w:kern w:val="0"/>
          <w:sz w:val="24"/>
          <w:szCs w:val="24"/>
          <w14:textFill>
            <w14:solidFill>
              <w14:schemeClr w14:val="tx1"/>
            </w14:solidFill>
          </w14:textFill>
        </w:rPr>
      </w:pPr>
      <w:r>
        <w:rPr>
          <w:rFonts w:hint="eastAsia" w:ascii="宋体" w:hAnsi="宋体" w:eastAsia="宋体" w:cs="AdobeHeitiStd-Regular"/>
          <w:b/>
          <w:color w:val="000000" w:themeColor="text1"/>
          <w:kern w:val="0"/>
          <w:sz w:val="24"/>
          <w:szCs w:val="24"/>
          <w14:textFill>
            <w14:solidFill>
              <w14:schemeClr w14:val="tx1"/>
            </w14:solidFill>
          </w14:textFill>
        </w:rPr>
        <w:t>再次，</w:t>
      </w:r>
      <w:r>
        <w:rPr>
          <w:rFonts w:ascii="宋体" w:hAnsi="宋体" w:eastAsia="宋体" w:cs="AdobeHeitiStd-Regular"/>
          <w:b/>
          <w:color w:val="000000" w:themeColor="text1"/>
          <w:kern w:val="0"/>
          <w:sz w:val="24"/>
          <w:szCs w:val="24"/>
          <w14:textFill>
            <w14:solidFill>
              <w14:schemeClr w14:val="tx1"/>
            </w14:solidFill>
          </w14:textFill>
        </w:rPr>
        <w:t>在系统环境生成方面，</w:t>
      </w:r>
      <w:r>
        <w:rPr>
          <w:rFonts w:hint="eastAsia" w:ascii="宋体" w:hAnsi="宋体" w:eastAsia="宋体" w:cs="AdobeHeitiStd-Regular"/>
          <w:b/>
          <w:color w:val="000000" w:themeColor="text1"/>
          <w:kern w:val="0"/>
          <w:sz w:val="24"/>
          <w:szCs w:val="24"/>
          <w14:textFill>
            <w14:solidFill>
              <w14:schemeClr w14:val="tx1"/>
            </w14:solidFill>
          </w14:textFill>
        </w:rPr>
        <w:t>协同推进新型工业化、信息化、城镇化和农业现代化同步发展方面</w:t>
      </w:r>
      <w:r>
        <w:rPr>
          <w:rFonts w:ascii="宋体" w:hAnsi="宋体" w:eastAsia="宋体" w:cs="AdobeHeitiStd-Regular"/>
          <w:b/>
          <w:color w:val="000000" w:themeColor="text1"/>
          <w:kern w:val="0"/>
          <w:sz w:val="24"/>
          <w:szCs w:val="24"/>
          <w14:textFill>
            <w14:solidFill>
              <w14:schemeClr w14:val="tx1"/>
            </w14:solidFill>
          </w14:textFill>
        </w:rPr>
        <w:t>还有</w:t>
      </w:r>
      <w:r>
        <w:rPr>
          <w:rFonts w:hint="eastAsia" w:ascii="宋体" w:hAnsi="宋体" w:eastAsia="宋体" w:cs="AdobeHeitiStd-Regular"/>
          <w:b/>
          <w:color w:val="000000" w:themeColor="text1"/>
          <w:kern w:val="0"/>
          <w:sz w:val="24"/>
          <w:szCs w:val="24"/>
          <w14:textFill>
            <w14:solidFill>
              <w14:schemeClr w14:val="tx1"/>
            </w14:solidFill>
          </w14:textFill>
        </w:rPr>
        <w:t>一定</w:t>
      </w:r>
      <w:r>
        <w:rPr>
          <w:rFonts w:ascii="宋体" w:hAnsi="宋体" w:eastAsia="宋体" w:cs="AdobeHeitiStd-Regular"/>
          <w:b/>
          <w:color w:val="000000" w:themeColor="text1"/>
          <w:kern w:val="0"/>
          <w:sz w:val="24"/>
          <w:szCs w:val="24"/>
          <w14:textFill>
            <w14:solidFill>
              <w14:schemeClr w14:val="tx1"/>
            </w14:solidFill>
          </w14:textFill>
        </w:rPr>
        <w:t>的增长空间。</w:t>
      </w:r>
      <w:r>
        <w:rPr>
          <w:rFonts w:hint="eastAsia" w:ascii="宋体" w:hAnsi="宋体" w:eastAsia="宋体" w:cs="AdobeHeitiStd-Regular"/>
          <w:color w:val="000000" w:themeColor="text1"/>
          <w:kern w:val="0"/>
          <w:sz w:val="24"/>
          <w:szCs w:val="24"/>
          <w14:textFill>
            <w14:solidFill>
              <w14:schemeClr w14:val="tx1"/>
            </w14:solidFill>
          </w14:textFill>
        </w:rPr>
        <w:t>当前新型工业化、信息化、城镇化和农业现代化同步发展</w:t>
      </w:r>
      <w:r>
        <w:rPr>
          <w:rFonts w:ascii="宋体" w:hAnsi="宋体" w:eastAsia="宋体" w:cs="AdobeHeitiStd-Regular"/>
          <w:color w:val="000000" w:themeColor="text1"/>
          <w:kern w:val="0"/>
          <w:sz w:val="24"/>
          <w:szCs w:val="24"/>
          <w14:textFill>
            <w14:solidFill>
              <w14:schemeClr w14:val="tx1"/>
            </w14:solidFill>
          </w14:textFill>
        </w:rPr>
        <w:t>的</w:t>
      </w:r>
      <w:r>
        <w:rPr>
          <w:rFonts w:hint="eastAsia" w:ascii="宋体" w:hAnsi="宋体" w:eastAsia="宋体" w:cs="AdobeHeitiStd-Regular"/>
          <w:color w:val="000000" w:themeColor="text1"/>
          <w:kern w:val="0"/>
          <w:sz w:val="24"/>
          <w:szCs w:val="24"/>
          <w14:textFill>
            <w14:solidFill>
              <w14:schemeClr w14:val="tx1"/>
            </w14:solidFill>
          </w14:textFill>
        </w:rPr>
        <w:t>问题，突出</w:t>
      </w:r>
      <w:r>
        <w:rPr>
          <w:rFonts w:ascii="宋体" w:hAnsi="宋体" w:eastAsia="宋体" w:cs="AdobeHeitiStd-Regular"/>
          <w:color w:val="000000" w:themeColor="text1"/>
          <w:kern w:val="0"/>
          <w:sz w:val="24"/>
          <w:szCs w:val="24"/>
          <w14:textFill>
            <w14:solidFill>
              <w14:schemeClr w14:val="tx1"/>
            </w14:solidFill>
          </w14:textFill>
        </w:rPr>
        <w:t>表现在</w:t>
      </w:r>
      <w:r>
        <w:rPr>
          <w:rFonts w:hint="eastAsia" w:ascii="宋体" w:hAnsi="宋体" w:eastAsia="宋体" w:cs="AdobeHeitiStd-Regular"/>
          <w:color w:val="000000" w:themeColor="text1"/>
          <w:kern w:val="0"/>
          <w:sz w:val="24"/>
          <w:szCs w:val="24"/>
          <w14:textFill>
            <w14:solidFill>
              <w14:schemeClr w14:val="tx1"/>
            </w14:solidFill>
          </w14:textFill>
        </w:rPr>
        <w:t>“四化”质量不高和“四化”之间协同性不足等，而这也是经济发展不平衡不充分的集中体现，</w:t>
      </w:r>
      <w:r>
        <w:rPr>
          <w:rFonts w:ascii="宋体" w:hAnsi="宋体" w:eastAsia="宋体" w:cs="AdobeHeitiStd-Regular"/>
          <w:color w:val="000000" w:themeColor="text1"/>
          <w:kern w:val="0"/>
          <w:sz w:val="24"/>
          <w:szCs w:val="24"/>
          <w14:textFill>
            <w14:solidFill>
              <w14:schemeClr w14:val="tx1"/>
            </w14:solidFill>
          </w14:textFill>
        </w:rPr>
        <w:t>因此，</w:t>
      </w:r>
      <w:r>
        <w:rPr>
          <w:rFonts w:hint="eastAsia" w:ascii="宋体" w:hAnsi="宋体" w:eastAsia="宋体" w:cs="AdobeHeitiStd-Regular"/>
          <w:color w:val="000000" w:themeColor="text1"/>
          <w:kern w:val="0"/>
          <w:sz w:val="24"/>
          <w:szCs w:val="24"/>
          <w14:textFill>
            <w14:solidFill>
              <w14:schemeClr w14:val="tx1"/>
            </w14:solidFill>
          </w14:textFill>
        </w:rPr>
        <w:t>新发展</w:t>
      </w:r>
      <w:r>
        <w:rPr>
          <w:rFonts w:ascii="宋体" w:hAnsi="宋体" w:eastAsia="宋体" w:cs="AdobeHeitiStd-Regular"/>
          <w:color w:val="000000" w:themeColor="text1"/>
          <w:kern w:val="0"/>
          <w:sz w:val="24"/>
          <w:szCs w:val="24"/>
          <w14:textFill>
            <w14:solidFill>
              <w14:schemeClr w14:val="tx1"/>
            </w14:solidFill>
          </w14:textFill>
        </w:rPr>
        <w:t>格局下</w:t>
      </w:r>
      <w:r>
        <w:rPr>
          <w:rFonts w:hint="eastAsia" w:ascii="宋体" w:hAnsi="宋体" w:eastAsia="宋体" w:cs="AdobeHeitiStd-Regular"/>
          <w:color w:val="000000" w:themeColor="text1"/>
          <w:kern w:val="0"/>
          <w:sz w:val="24"/>
          <w:szCs w:val="24"/>
          <w14:textFill>
            <w14:solidFill>
              <w14:schemeClr w14:val="tx1"/>
            </w14:solidFill>
          </w14:textFill>
        </w:rPr>
        <w:t>“四化”的</w:t>
      </w:r>
      <w:r>
        <w:rPr>
          <w:rFonts w:ascii="宋体" w:hAnsi="宋体" w:eastAsia="宋体" w:cs="AdobeHeitiStd-Regular"/>
          <w:color w:val="000000" w:themeColor="text1"/>
          <w:kern w:val="0"/>
          <w:sz w:val="24"/>
          <w:szCs w:val="24"/>
          <w14:textFill>
            <w14:solidFill>
              <w14:schemeClr w14:val="tx1"/>
            </w14:solidFill>
          </w14:textFill>
        </w:rPr>
        <w:t>难点在于系统</w:t>
      </w:r>
      <w:r>
        <w:rPr>
          <w:rFonts w:hint="eastAsia" w:ascii="宋体" w:hAnsi="宋体" w:eastAsia="宋体" w:cs="AdobeHeitiStd-Regular"/>
          <w:color w:val="000000" w:themeColor="text1"/>
          <w:kern w:val="0"/>
          <w:sz w:val="24"/>
          <w:szCs w:val="24"/>
          <w14:textFill>
            <w14:solidFill>
              <w14:schemeClr w14:val="tx1"/>
            </w14:solidFill>
          </w14:textFill>
        </w:rPr>
        <w:t>联动与功能聚合</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从工业化与信息化关系看，我国以信息化带动工业化发展的发展过程中，面对移动互联网、智能终端设备与无线网络的普及，新型工业化和信息化的</w:t>
      </w:r>
      <w:r>
        <w:rPr>
          <w:rFonts w:ascii="宋体" w:hAnsi="宋体" w:eastAsia="宋体" w:cs="AdobeHeitiStd-Regular"/>
          <w:color w:val="000000" w:themeColor="text1"/>
          <w:kern w:val="0"/>
          <w:sz w:val="24"/>
          <w:szCs w:val="24"/>
          <w14:textFill>
            <w14:solidFill>
              <w14:schemeClr w14:val="tx1"/>
            </w14:solidFill>
          </w14:textFill>
        </w:rPr>
        <w:t>协同机制还</w:t>
      </w:r>
      <w:r>
        <w:rPr>
          <w:rFonts w:hint="eastAsia" w:ascii="宋体" w:hAnsi="宋体" w:eastAsia="宋体" w:cs="AdobeHeitiStd-Regular"/>
          <w:color w:val="000000" w:themeColor="text1"/>
          <w:kern w:val="0"/>
          <w:sz w:val="24"/>
          <w:szCs w:val="24"/>
          <w14:textFill>
            <w14:solidFill>
              <w14:schemeClr w14:val="tx1"/>
            </w14:solidFill>
          </w14:textFill>
        </w:rPr>
        <w:t>不尽完善</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产业</w:t>
      </w:r>
      <w:r>
        <w:rPr>
          <w:rFonts w:ascii="宋体" w:hAnsi="宋体" w:eastAsia="宋体" w:cs="AdobeHeitiStd-Regular"/>
          <w:color w:val="000000" w:themeColor="text1"/>
          <w:kern w:val="0"/>
          <w:sz w:val="24"/>
          <w:szCs w:val="24"/>
          <w14:textFill>
            <w14:solidFill>
              <w14:schemeClr w14:val="tx1"/>
            </w14:solidFill>
          </w14:textFill>
        </w:rPr>
        <w:t>数字化与数字产业化</w:t>
      </w:r>
      <w:r>
        <w:rPr>
          <w:rFonts w:hint="eastAsia" w:ascii="宋体" w:hAnsi="宋体" w:eastAsia="宋体" w:cs="AdobeHeitiStd-Regular"/>
          <w:color w:val="000000" w:themeColor="text1"/>
          <w:kern w:val="0"/>
          <w:sz w:val="24"/>
          <w:szCs w:val="24"/>
          <w14:textFill>
            <w14:solidFill>
              <w14:schemeClr w14:val="tx1"/>
            </w14:solidFill>
          </w14:textFill>
        </w:rPr>
        <w:t>的</w:t>
      </w:r>
      <w:r>
        <w:rPr>
          <w:rFonts w:ascii="宋体" w:hAnsi="宋体" w:eastAsia="宋体" w:cs="AdobeHeitiStd-Regular"/>
          <w:color w:val="000000" w:themeColor="text1"/>
          <w:kern w:val="0"/>
          <w:sz w:val="24"/>
          <w:szCs w:val="24"/>
          <w14:textFill>
            <w14:solidFill>
              <w14:schemeClr w14:val="tx1"/>
            </w14:solidFill>
          </w14:textFill>
        </w:rPr>
        <w:t>绩效水平需要进一步</w:t>
      </w:r>
      <w:r>
        <w:rPr>
          <w:rFonts w:hint="eastAsia" w:ascii="宋体" w:hAnsi="宋体" w:eastAsia="宋体" w:cs="AdobeHeitiStd-Regular"/>
          <w:color w:val="000000" w:themeColor="text1"/>
          <w:kern w:val="0"/>
          <w:sz w:val="24"/>
          <w:szCs w:val="24"/>
          <w14:textFill>
            <w14:solidFill>
              <w14:schemeClr w14:val="tx1"/>
            </w14:solidFill>
          </w14:textFill>
        </w:rPr>
        <w:t>拓宽工具箱，</w:t>
      </w:r>
      <w:r>
        <w:rPr>
          <w:rFonts w:ascii="宋体" w:hAnsi="宋体" w:eastAsia="宋体" w:cs="AdobeHeitiStd-Regular"/>
          <w:color w:val="000000" w:themeColor="text1"/>
          <w:kern w:val="0"/>
          <w:sz w:val="24"/>
          <w:szCs w:val="24"/>
          <w14:textFill>
            <w14:solidFill>
              <w14:schemeClr w14:val="tx1"/>
            </w14:solidFill>
          </w14:textFill>
        </w:rPr>
        <w:t>5G、物联网、工业互联网</w:t>
      </w:r>
      <w:r>
        <w:rPr>
          <w:rFonts w:hint="eastAsia" w:ascii="宋体" w:hAnsi="宋体" w:eastAsia="宋体" w:cs="AdobeHeitiStd-Regular"/>
          <w:color w:val="000000" w:themeColor="text1"/>
          <w:kern w:val="0"/>
          <w:sz w:val="24"/>
          <w:szCs w:val="24"/>
          <w14:textFill>
            <w14:solidFill>
              <w14:schemeClr w14:val="tx1"/>
            </w14:solidFill>
          </w14:textFill>
        </w:rPr>
        <w:t>等新型基础设施建设还有待加强，深度</w:t>
      </w:r>
      <w:r>
        <w:rPr>
          <w:rFonts w:ascii="宋体" w:hAnsi="宋体" w:eastAsia="宋体" w:cs="AdobeHeitiStd-Regular"/>
          <w:color w:val="000000" w:themeColor="text1"/>
          <w:kern w:val="0"/>
          <w:sz w:val="24"/>
          <w:szCs w:val="24"/>
          <w14:textFill>
            <w14:solidFill>
              <w14:schemeClr w14:val="tx1"/>
            </w14:solidFill>
          </w14:textFill>
        </w:rPr>
        <w:t>应用</w:t>
      </w:r>
      <w:r>
        <w:rPr>
          <w:rFonts w:hint="eastAsia" w:ascii="宋体" w:hAnsi="宋体" w:eastAsia="宋体" w:cs="AdobeHeitiStd-Regular"/>
          <w:color w:val="000000" w:themeColor="text1"/>
          <w:kern w:val="0"/>
          <w:sz w:val="24"/>
          <w:szCs w:val="24"/>
          <w14:textFill>
            <w14:solidFill>
              <w14:schemeClr w14:val="tx1"/>
            </w14:solidFill>
          </w14:textFill>
        </w:rPr>
        <w:t>互联网、大数据、人工智能和实体经济的融合程度</w:t>
      </w:r>
      <w:r>
        <w:rPr>
          <w:rFonts w:ascii="宋体" w:hAnsi="宋体" w:eastAsia="宋体" w:cs="AdobeHeitiStd-Regular"/>
          <w:color w:val="000000" w:themeColor="text1"/>
          <w:kern w:val="0"/>
          <w:sz w:val="24"/>
          <w:szCs w:val="24"/>
          <w14:textFill>
            <w14:solidFill>
              <w14:schemeClr w14:val="tx1"/>
            </w14:solidFill>
          </w14:textFill>
        </w:rPr>
        <w:t>方面</w:t>
      </w:r>
      <w:r>
        <w:rPr>
          <w:rFonts w:hint="eastAsia" w:ascii="宋体" w:hAnsi="宋体" w:eastAsia="宋体" w:cs="AdobeHeitiStd-Regular"/>
          <w:color w:val="000000" w:themeColor="text1"/>
          <w:kern w:val="0"/>
          <w:sz w:val="24"/>
          <w:szCs w:val="24"/>
          <w14:textFill>
            <w14:solidFill>
              <w14:schemeClr w14:val="tx1"/>
            </w14:solidFill>
          </w14:textFill>
        </w:rPr>
        <w:t>需要不断</w:t>
      </w:r>
      <w:r>
        <w:rPr>
          <w:rFonts w:ascii="宋体" w:hAnsi="宋体" w:eastAsia="宋体" w:cs="AdobeHeitiStd-Regular"/>
          <w:color w:val="000000" w:themeColor="text1"/>
          <w:kern w:val="0"/>
          <w:sz w:val="24"/>
          <w:szCs w:val="24"/>
          <w14:textFill>
            <w14:solidFill>
              <w14:schemeClr w14:val="tx1"/>
            </w14:solidFill>
          </w14:textFill>
        </w:rPr>
        <w:t>突出</w:t>
      </w:r>
      <w:r>
        <w:rPr>
          <w:rFonts w:hint="eastAsia" w:ascii="宋体" w:hAnsi="宋体" w:eastAsia="宋体" w:cs="AdobeHeitiStd-Regular"/>
          <w:color w:val="000000" w:themeColor="text1"/>
          <w:kern w:val="0"/>
          <w:sz w:val="24"/>
          <w:szCs w:val="24"/>
          <w14:textFill>
            <w14:solidFill>
              <w14:schemeClr w14:val="tx1"/>
            </w14:solidFill>
          </w14:textFill>
        </w:rPr>
        <w:t>，工业软件、高性能芯片等还严重落后于世界先进水平，制造业信息化水平、智能制造能力都有待提升。从工业化与城镇化关系看，工业化与城镇化的良性互动发展还不充分，城镇化进程总体落后于工业化进程，产业发展和城市发展之间存在着“时间上不同步”和“空间上无互动”的双重错位</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一方面，城镇公共服务供给滞后，影响了产业转型升级的正常节奏；另一方面，产业集聚效果不明显，制约了城镇承载功能的完善。工业化和城镇化不能实现良性互动，就会造成产业因缺乏城市聚力而孤岛化、城市因缺乏产业支撑而空心化的问题。从工业化与农业现代化关系看，农业现代化与工业化的协调发展还不充分，农业现代化还是制约我国现代化进程的短板，农业的机械化、科学化、水利化、电气化、绿色化、信息化、产业化水平都与我国工业化阶段不相适应，</w:t>
      </w:r>
      <w:r>
        <w:rPr>
          <w:rFonts w:ascii="宋体" w:hAnsi="宋体" w:eastAsia="宋体" w:cs="AdobeHeitiStd-Regular"/>
          <w:color w:val="000000" w:themeColor="text1"/>
          <w:kern w:val="0"/>
          <w:sz w:val="24"/>
          <w:szCs w:val="24"/>
          <w14:textFill>
            <w14:solidFill>
              <w14:schemeClr w14:val="tx1"/>
            </w14:solidFill>
          </w14:textFill>
        </w:rPr>
        <w:t>存在</w:t>
      </w:r>
      <w:r>
        <w:rPr>
          <w:rFonts w:hint="eastAsia" w:ascii="宋体" w:hAnsi="宋体" w:eastAsia="宋体" w:cs="AdobeHeitiStd-Regular"/>
          <w:color w:val="000000" w:themeColor="text1"/>
          <w:kern w:val="0"/>
          <w:sz w:val="24"/>
          <w:szCs w:val="24"/>
          <w14:textFill>
            <w14:solidFill>
              <w14:schemeClr w14:val="tx1"/>
            </w14:solidFill>
          </w14:textFill>
        </w:rPr>
        <w:t>农业供给结构性失衡、农业发展方式粗放、农产品质量安全风险等问题，都有待通过农业现代化水平的进一步提升来解决。因此</w:t>
      </w:r>
      <w:r>
        <w:rPr>
          <w:rFonts w:ascii="宋体" w:hAnsi="宋体" w:eastAsia="宋体" w:cs="AdobeHeitiStd-Regular"/>
          <w:color w:val="000000" w:themeColor="text1"/>
          <w:kern w:val="0"/>
          <w:sz w:val="24"/>
          <w:szCs w:val="24"/>
          <w14:textFill>
            <w14:solidFill>
              <w14:schemeClr w14:val="tx1"/>
            </w14:solidFill>
          </w14:textFill>
        </w:rPr>
        <w:t>，</w:t>
      </w:r>
      <w:r>
        <w:rPr>
          <w:rFonts w:hint="eastAsia" w:ascii="宋体" w:hAnsi="宋体" w:eastAsia="宋体" w:cs="AdobeHeitiStd-Regular"/>
          <w:color w:val="000000" w:themeColor="text1"/>
          <w:kern w:val="0"/>
          <w:sz w:val="24"/>
          <w:szCs w:val="24"/>
          <w14:textFill>
            <w14:solidFill>
              <w14:schemeClr w14:val="tx1"/>
            </w14:solidFill>
          </w14:textFill>
        </w:rPr>
        <w:t>在新发展阶段新型</w:t>
      </w:r>
      <w:r>
        <w:rPr>
          <w:rFonts w:ascii="宋体" w:hAnsi="宋体" w:eastAsia="宋体" w:cs="AdobeHeitiStd-Regular"/>
          <w:color w:val="000000" w:themeColor="text1"/>
          <w:kern w:val="0"/>
          <w:sz w:val="24"/>
          <w:szCs w:val="24"/>
          <w14:textFill>
            <w14:solidFill>
              <w14:schemeClr w14:val="tx1"/>
            </w14:solidFill>
          </w14:textFill>
        </w:rPr>
        <w:t>工业化</w:t>
      </w:r>
      <w:r>
        <w:rPr>
          <w:rFonts w:hint="eastAsia" w:ascii="宋体" w:hAnsi="宋体" w:eastAsia="宋体" w:cs="AdobeHeitiStd-Regular"/>
          <w:color w:val="000000" w:themeColor="text1"/>
          <w:kern w:val="0"/>
          <w:sz w:val="24"/>
          <w:szCs w:val="24"/>
          <w14:textFill>
            <w14:solidFill>
              <w14:schemeClr w14:val="tx1"/>
            </w14:solidFill>
          </w14:textFill>
        </w:rPr>
        <w:t>与信息化、城镇化和农业现代化的融合，更加</w:t>
      </w:r>
      <w:r>
        <w:rPr>
          <w:rFonts w:ascii="宋体" w:hAnsi="宋体" w:eastAsia="宋体" w:cs="AdobeHeitiStd-Regular"/>
          <w:color w:val="000000" w:themeColor="text1"/>
          <w:kern w:val="0"/>
          <w:sz w:val="24"/>
          <w:szCs w:val="24"/>
          <w14:textFill>
            <w14:solidFill>
              <w14:schemeClr w14:val="tx1"/>
            </w14:solidFill>
          </w14:textFill>
        </w:rPr>
        <w:t>需要</w:t>
      </w:r>
      <w:r>
        <w:rPr>
          <w:rFonts w:hint="eastAsia" w:ascii="宋体" w:hAnsi="宋体" w:eastAsia="宋体" w:cs="AdobeHeitiStd-Regular"/>
          <w:color w:val="000000" w:themeColor="text1"/>
          <w:kern w:val="0"/>
          <w:sz w:val="24"/>
          <w:szCs w:val="24"/>
          <w14:textFill>
            <w14:solidFill>
              <w14:schemeClr w14:val="tx1"/>
            </w14:solidFill>
          </w14:textFill>
        </w:rPr>
        <w:t>加强</w:t>
      </w:r>
      <w:r>
        <w:rPr>
          <w:rFonts w:ascii="宋体" w:hAnsi="宋体" w:eastAsia="宋体" w:cs="AdobeHeitiStd-Regular"/>
          <w:color w:val="000000" w:themeColor="text1"/>
          <w:kern w:val="0"/>
          <w:sz w:val="24"/>
          <w:szCs w:val="24"/>
          <w14:textFill>
            <w14:solidFill>
              <w14:schemeClr w14:val="tx1"/>
            </w14:solidFill>
          </w14:textFill>
        </w:rPr>
        <w:t>新型工业化</w:t>
      </w:r>
      <w:r>
        <w:rPr>
          <w:rFonts w:hint="eastAsia" w:ascii="宋体" w:hAnsi="宋体" w:eastAsia="宋体" w:cs="AdobeHeitiStd-Regular"/>
          <w:color w:val="000000" w:themeColor="text1"/>
          <w:kern w:val="0"/>
          <w:sz w:val="24"/>
          <w:szCs w:val="24"/>
          <w14:textFill>
            <w14:solidFill>
              <w14:schemeClr w14:val="tx1"/>
            </w14:solidFill>
          </w14:textFill>
        </w:rPr>
        <w:t>的系统根植性、内生性、自主创新性和主导市场性特征，更加需要中国式</w:t>
      </w:r>
      <w:r>
        <w:rPr>
          <w:rFonts w:ascii="宋体" w:hAnsi="宋体" w:eastAsia="宋体" w:cs="AdobeHeitiStd-Regular"/>
          <w:color w:val="000000" w:themeColor="text1"/>
          <w:kern w:val="0"/>
          <w:sz w:val="24"/>
          <w:szCs w:val="24"/>
          <w14:textFill>
            <w14:solidFill>
              <w14:schemeClr w14:val="tx1"/>
            </w14:solidFill>
          </w14:textFill>
        </w:rPr>
        <w:t>现代化的</w:t>
      </w:r>
      <w:r>
        <w:rPr>
          <w:rFonts w:hint="eastAsia" w:ascii="宋体" w:hAnsi="宋体" w:eastAsia="宋体" w:cs="AdobeHeitiStd-Regular"/>
          <w:color w:val="000000" w:themeColor="text1"/>
          <w:kern w:val="0"/>
          <w:sz w:val="24"/>
          <w:szCs w:val="24"/>
          <w14:textFill>
            <w14:solidFill>
              <w14:schemeClr w14:val="tx1"/>
            </w14:solidFill>
          </w14:textFill>
        </w:rPr>
        <w:t>并联式叠加</w:t>
      </w:r>
      <w:r>
        <w:rPr>
          <w:rFonts w:ascii="宋体" w:hAnsi="宋体" w:eastAsia="宋体" w:cs="AdobeHeitiStd-Regular"/>
          <w:color w:val="000000" w:themeColor="text1"/>
          <w:kern w:val="0"/>
          <w:sz w:val="24"/>
          <w:szCs w:val="24"/>
          <w14:textFill>
            <w14:solidFill>
              <w14:schemeClr w14:val="tx1"/>
            </w14:solidFill>
          </w14:textFill>
        </w:rPr>
        <w:t>和</w:t>
      </w:r>
      <w:r>
        <w:rPr>
          <w:rFonts w:hint="eastAsia" w:ascii="宋体" w:hAnsi="宋体" w:eastAsia="宋体" w:cs="AdobeHeitiStd-Regular"/>
          <w:color w:val="000000" w:themeColor="text1"/>
          <w:kern w:val="0"/>
          <w:sz w:val="24"/>
          <w:szCs w:val="24"/>
          <w14:textFill>
            <w14:solidFill>
              <w14:schemeClr w14:val="tx1"/>
            </w14:solidFill>
          </w14:textFill>
        </w:rPr>
        <w:t>整体性</w:t>
      </w:r>
      <w:r>
        <w:rPr>
          <w:rFonts w:ascii="宋体" w:hAnsi="宋体" w:eastAsia="宋体" w:cs="AdobeHeitiStd-Regular"/>
          <w:color w:val="000000" w:themeColor="text1"/>
          <w:kern w:val="0"/>
          <w:sz w:val="24"/>
          <w:szCs w:val="24"/>
          <w14:textFill>
            <w14:solidFill>
              <w14:schemeClr w14:val="tx1"/>
            </w14:solidFill>
          </w14:textFill>
        </w:rPr>
        <w:t>跃迁</w:t>
      </w:r>
      <w:r>
        <w:rPr>
          <w:rFonts w:hint="eastAsia" w:ascii="宋体" w:hAnsi="宋体" w:eastAsia="宋体" w:cs="AdobeHeitiStd-Regular"/>
          <w:color w:val="000000" w:themeColor="text1"/>
          <w:kern w:val="0"/>
          <w:sz w:val="24"/>
          <w:szCs w:val="24"/>
          <w14:textFill>
            <w14:solidFill>
              <w14:schemeClr w14:val="tx1"/>
            </w14:solidFill>
          </w14:textFill>
        </w:rPr>
        <w:t>，</w:t>
      </w:r>
      <w:r>
        <w:rPr>
          <w:rFonts w:ascii="宋体" w:hAnsi="宋体" w:eastAsia="宋体" w:cs="AdobeHeitiStd-Regular"/>
          <w:color w:val="000000" w:themeColor="text1"/>
          <w:kern w:val="0"/>
          <w:sz w:val="24"/>
          <w:szCs w:val="24"/>
          <w14:textFill>
            <w14:solidFill>
              <w14:schemeClr w14:val="tx1"/>
            </w14:solidFill>
          </w14:textFill>
        </w:rPr>
        <w:t>如图</w:t>
      </w:r>
      <w:r>
        <w:rPr>
          <w:rFonts w:hint="eastAsia" w:ascii="宋体" w:hAnsi="宋体" w:eastAsia="宋体" w:cs="AdobeHeitiStd-Regular"/>
          <w:color w:val="000000" w:themeColor="text1"/>
          <w:kern w:val="0"/>
          <w:sz w:val="24"/>
          <w:szCs w:val="24"/>
          <w14:textFill>
            <w14:solidFill>
              <w14:schemeClr w14:val="tx1"/>
            </w14:solidFill>
          </w14:textFill>
        </w:rPr>
        <w:t>5</w:t>
      </w:r>
      <w:r>
        <w:rPr>
          <w:rFonts w:ascii="宋体" w:hAnsi="宋体" w:eastAsia="宋体" w:cs="AdobeHeitiStd-Regular"/>
          <w:color w:val="000000" w:themeColor="text1"/>
          <w:kern w:val="0"/>
          <w:sz w:val="24"/>
          <w:szCs w:val="24"/>
          <w14:textFill>
            <w14:solidFill>
              <w14:schemeClr w14:val="tx1"/>
            </w14:solidFill>
          </w14:textFill>
        </w:rPr>
        <w:t>所示</w:t>
      </w:r>
      <w:r>
        <w:rPr>
          <w:rFonts w:hint="eastAsia" w:ascii="宋体" w:hAnsi="宋体" w:eastAsia="宋体" w:cs="AdobeHeitiStd-Regular"/>
          <w:color w:val="000000" w:themeColor="text1"/>
          <w:kern w:val="0"/>
          <w:sz w:val="24"/>
          <w:szCs w:val="24"/>
          <w14:textFill>
            <w14:solidFill>
              <w14:schemeClr w14:val="tx1"/>
            </w14:solidFill>
          </w14:textFill>
        </w:rPr>
        <w:t>。</w:t>
      </w:r>
    </w:p>
    <w:p w14:paraId="02F999D1">
      <w:pPr>
        <w:autoSpaceDE w:val="0"/>
        <w:autoSpaceDN w:val="0"/>
        <w:adjustRightInd w:val="0"/>
        <w:spacing w:line="360" w:lineRule="auto"/>
        <w:ind w:firstLine="420" w:firstLineChars="200"/>
        <w:jc w:val="center"/>
        <w:rPr>
          <w:rFonts w:ascii="AdobeHeitiStd-Regular" w:eastAsia="AdobeHeitiStd-Regular" w:cs="AdobeHeitiStd-Regular"/>
          <w:color w:val="000000" w:themeColor="text1"/>
          <w:kern w:val="0"/>
          <w:sz w:val="24"/>
          <w:szCs w:val="24"/>
          <w14:textFill>
            <w14:solidFill>
              <w14:schemeClr w14:val="tx1"/>
            </w14:solidFill>
          </w14:textFill>
        </w:rPr>
      </w:pPr>
      <w:r>
        <w:rPr>
          <w:color w:val="000000" w:themeColor="text1"/>
          <w14:textFill>
            <w14:solidFill>
              <w14:schemeClr w14:val="tx1"/>
            </w14:solidFill>
          </w14:textFill>
        </w:rPr>
        <w:drawing>
          <wp:inline distT="0" distB="0" distL="114300" distR="114300">
            <wp:extent cx="4060190" cy="2772410"/>
            <wp:effectExtent l="0" t="0" r="3810" b="0"/>
            <wp:docPr id="2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
                    <pic:cNvPicPr>
                      <a:picLocks noChangeAspect="1"/>
                    </pic:cNvPicPr>
                  </pic:nvPicPr>
                  <pic:blipFill>
                    <a:blip r:embed="rId41"/>
                    <a:stretch>
                      <a:fillRect/>
                    </a:stretch>
                  </pic:blipFill>
                  <pic:spPr>
                    <a:xfrm>
                      <a:off x="0" y="0"/>
                      <a:ext cx="4060190" cy="2772410"/>
                    </a:xfrm>
                    <a:prstGeom prst="rect">
                      <a:avLst/>
                    </a:prstGeom>
                    <a:noFill/>
                    <a:ln>
                      <a:noFill/>
                    </a:ln>
                  </pic:spPr>
                </pic:pic>
              </a:graphicData>
            </a:graphic>
          </wp:inline>
        </w:drawing>
      </w:r>
    </w:p>
    <w:p w14:paraId="7E564F38">
      <w:pPr>
        <w:autoSpaceDE w:val="0"/>
        <w:autoSpaceDN w:val="0"/>
        <w:adjustRightInd w:val="0"/>
        <w:spacing w:line="360" w:lineRule="auto"/>
        <w:ind w:firstLine="1051" w:firstLineChars="500"/>
        <w:jc w:val="left"/>
        <w:rPr>
          <w:rFonts w:ascii="宋体" w:hAnsi="宋体" w:eastAsia="宋体" w:cs="Times New Roman"/>
          <w:b/>
          <w:bCs/>
          <w:color w:val="000000" w:themeColor="text1"/>
          <w:szCs w:val="21"/>
          <w14:textFill>
            <w14:solidFill>
              <w14:schemeClr w14:val="tx1"/>
            </w14:solidFill>
          </w14:textFill>
        </w:rPr>
      </w:pPr>
      <w:r>
        <w:rPr>
          <w:rFonts w:hint="eastAsia" w:ascii="宋体" w:hAnsi="宋体" w:eastAsia="宋体" w:cs="Times New Roman"/>
          <w:b/>
          <w:bCs/>
          <w:color w:val="000000" w:themeColor="text1"/>
          <w:szCs w:val="21"/>
          <w14:textFill>
            <w14:solidFill>
              <w14:schemeClr w14:val="tx1"/>
            </w14:solidFill>
          </w14:textFill>
        </w:rPr>
        <w:t>资料</w:t>
      </w:r>
      <w:r>
        <w:rPr>
          <w:rFonts w:ascii="宋体" w:hAnsi="宋体" w:eastAsia="宋体" w:cs="Times New Roman"/>
          <w:b/>
          <w:bCs/>
          <w:color w:val="000000" w:themeColor="text1"/>
          <w:szCs w:val="21"/>
          <w14:textFill>
            <w14:solidFill>
              <w14:schemeClr w14:val="tx1"/>
            </w14:solidFill>
          </w14:textFill>
        </w:rPr>
        <w:t>来源：作者自绘。</w:t>
      </w:r>
      <w:r>
        <w:rPr>
          <w:rFonts w:hint="eastAsia" w:ascii="宋体" w:hAnsi="宋体" w:eastAsia="宋体" w:cs="Times New Roman"/>
          <w:b/>
          <w:bCs/>
          <w:color w:val="000000" w:themeColor="text1"/>
          <w:szCs w:val="21"/>
          <w14:textFill>
            <w14:solidFill>
              <w14:schemeClr w14:val="tx1"/>
            </w14:solidFill>
          </w14:textFill>
        </w:rPr>
        <w:t xml:space="preserve"> </w:t>
      </w:r>
    </w:p>
    <w:p w14:paraId="052CE434">
      <w:pPr>
        <w:autoSpaceDE w:val="0"/>
        <w:autoSpaceDN w:val="0"/>
        <w:adjustRightInd w:val="0"/>
        <w:snapToGrid w:val="0"/>
        <w:spacing w:line="360" w:lineRule="auto"/>
        <w:jc w:val="center"/>
        <w:rPr>
          <w:rFonts w:ascii="宋体" w:hAnsi="宋体" w:eastAsia="宋体" w:cs="Times New Roman"/>
          <w:b/>
          <w:bCs/>
          <w:color w:val="000000" w:themeColor="text1"/>
          <w:sz w:val="24"/>
          <w:szCs w:val="24"/>
          <w14:textFill>
            <w14:solidFill>
              <w14:schemeClr w14:val="tx1"/>
            </w14:solidFill>
          </w14:textFill>
        </w:rPr>
      </w:pPr>
      <w:r>
        <w:rPr>
          <w:rFonts w:hint="eastAsia" w:ascii="宋体" w:hAnsi="宋体" w:eastAsia="宋体" w:cs="Times New Roman"/>
          <w:b/>
          <w:bCs/>
          <w:color w:val="000000" w:themeColor="text1"/>
          <w:sz w:val="24"/>
          <w:szCs w:val="24"/>
          <w14:textFill>
            <w14:solidFill>
              <w14:schemeClr w14:val="tx1"/>
            </w14:solidFill>
          </w14:textFill>
        </w:rPr>
        <w:t>图</w:t>
      </w:r>
      <w:r>
        <w:rPr>
          <w:rFonts w:ascii="宋体" w:hAnsi="宋体" w:eastAsia="宋体" w:cs="Times New Roman"/>
          <w:b/>
          <w:bCs/>
          <w:color w:val="000000" w:themeColor="text1"/>
          <w:sz w:val="24"/>
          <w:szCs w:val="24"/>
          <w14:textFill>
            <w14:solidFill>
              <w14:schemeClr w14:val="tx1"/>
            </w14:solidFill>
          </w14:textFill>
        </w:rPr>
        <w:t>5</w:t>
      </w:r>
      <w:r>
        <w:rPr>
          <w:rFonts w:hint="eastAsia" w:ascii="宋体" w:hAnsi="宋体" w:eastAsia="宋体" w:cs="Times New Roman"/>
          <w:b/>
          <w:bCs/>
          <w:color w:val="000000" w:themeColor="text1"/>
          <w:sz w:val="24"/>
          <w:szCs w:val="24"/>
          <w14:textFill>
            <w14:solidFill>
              <w14:schemeClr w14:val="tx1"/>
            </w14:solidFill>
          </w14:textFill>
        </w:rPr>
        <w:t xml:space="preserve">  新型工业化、信息化、城镇化和农业现代化的</w:t>
      </w:r>
      <w:r>
        <w:rPr>
          <w:rFonts w:ascii="宋体" w:hAnsi="宋体" w:eastAsia="宋体" w:cs="Times New Roman"/>
          <w:b/>
          <w:bCs/>
          <w:color w:val="000000" w:themeColor="text1"/>
          <w:sz w:val="24"/>
          <w:szCs w:val="24"/>
          <w14:textFill>
            <w14:solidFill>
              <w14:schemeClr w14:val="tx1"/>
            </w14:solidFill>
          </w14:textFill>
        </w:rPr>
        <w:t>关系图</w:t>
      </w:r>
    </w:p>
    <w:p w14:paraId="0F3445F1">
      <w:pPr>
        <w:spacing w:before="312" w:beforeLines="100" w:after="312" w:afterLines="100" w:line="400" w:lineRule="exact"/>
        <w:jc w:val="center"/>
        <w:rPr>
          <w:rFonts w:ascii="黑体" w:hAnsi="黑体" w:eastAsia="黑体" w:cs="黑体"/>
          <w:b/>
          <w:bCs/>
          <w:color w:val="000000" w:themeColor="text1"/>
          <w:sz w:val="24"/>
          <w:szCs w:val="24"/>
          <w14:textFill>
            <w14:solidFill>
              <w14:schemeClr w14:val="tx1"/>
            </w14:solidFill>
          </w14:textFill>
        </w:rPr>
      </w:pPr>
      <w:r>
        <w:rPr>
          <w:rFonts w:hint="eastAsia" w:ascii="黑体" w:hAnsi="黑体" w:eastAsia="黑体" w:cs="黑体"/>
          <w:b/>
          <w:bCs/>
          <w:color w:val="000000" w:themeColor="text1"/>
          <w:sz w:val="24"/>
          <w:szCs w:val="24"/>
          <w14:textFill>
            <w14:solidFill>
              <w14:schemeClr w14:val="tx1"/>
            </w14:solidFill>
          </w14:textFill>
        </w:rPr>
        <w:t>四</w:t>
      </w:r>
      <w:r>
        <w:rPr>
          <w:rFonts w:ascii="黑体" w:hAnsi="黑体" w:eastAsia="黑体" w:cs="黑体"/>
          <w:b/>
          <w:bCs/>
          <w:color w:val="000000" w:themeColor="text1"/>
          <w:sz w:val="24"/>
          <w:szCs w:val="24"/>
          <w14:textFill>
            <w14:solidFill>
              <w14:schemeClr w14:val="tx1"/>
            </w14:solidFill>
          </w14:textFill>
        </w:rPr>
        <w:t>、</w:t>
      </w:r>
      <w:r>
        <w:rPr>
          <w:rFonts w:hint="eastAsia" w:ascii="黑体" w:hAnsi="黑体" w:eastAsia="黑体" w:cs="黑体"/>
          <w:b/>
          <w:bCs/>
          <w:color w:val="000000" w:themeColor="text1"/>
          <w:sz w:val="24"/>
          <w:szCs w:val="24"/>
          <w14:textFill>
            <w14:solidFill>
              <w14:schemeClr w14:val="tx1"/>
            </w14:solidFill>
          </w14:textFill>
        </w:rPr>
        <w:t>全球</w:t>
      </w:r>
      <w:r>
        <w:rPr>
          <w:rFonts w:ascii="黑体" w:hAnsi="黑体" w:eastAsia="黑体" w:cs="黑体"/>
          <w:b/>
          <w:bCs/>
          <w:color w:val="000000" w:themeColor="text1"/>
          <w:sz w:val="24"/>
          <w:szCs w:val="24"/>
          <w14:textFill>
            <w14:solidFill>
              <w14:schemeClr w14:val="tx1"/>
            </w14:solidFill>
          </w14:textFill>
        </w:rPr>
        <w:t>经济</w:t>
      </w:r>
      <w:r>
        <w:rPr>
          <w:rFonts w:hint="eastAsia" w:ascii="黑体" w:hAnsi="黑体" w:eastAsia="黑体" w:cs="黑体"/>
          <w:b/>
          <w:bCs/>
          <w:color w:val="000000" w:themeColor="text1"/>
          <w:sz w:val="24"/>
          <w:szCs w:val="24"/>
          <w14:textFill>
            <w14:solidFill>
              <w14:schemeClr w14:val="tx1"/>
            </w14:solidFill>
          </w14:textFill>
        </w:rPr>
        <w:t>治理</w:t>
      </w:r>
      <w:r>
        <w:rPr>
          <w:rFonts w:ascii="黑体" w:hAnsi="黑体" w:eastAsia="黑体" w:cs="黑体"/>
          <w:b/>
          <w:bCs/>
          <w:color w:val="000000" w:themeColor="text1"/>
          <w:sz w:val="24"/>
          <w:szCs w:val="24"/>
          <w14:textFill>
            <w14:solidFill>
              <w14:schemeClr w14:val="tx1"/>
            </w14:solidFill>
          </w14:textFill>
        </w:rPr>
        <w:t>重塑</w:t>
      </w:r>
      <w:r>
        <w:rPr>
          <w:rFonts w:hint="eastAsia" w:ascii="黑体" w:hAnsi="黑体" w:eastAsia="黑体" w:cs="黑体"/>
          <w:b/>
          <w:bCs/>
          <w:color w:val="000000" w:themeColor="text1"/>
          <w:sz w:val="24"/>
          <w:szCs w:val="24"/>
          <w14:textFill>
            <w14:solidFill>
              <w14:schemeClr w14:val="tx1"/>
            </w14:solidFill>
          </w14:textFill>
        </w:rPr>
        <w:t>中</w:t>
      </w:r>
      <w:r>
        <w:rPr>
          <w:rFonts w:ascii="黑体" w:hAnsi="黑体" w:eastAsia="黑体" w:cs="黑体"/>
          <w:b/>
          <w:bCs/>
          <w:color w:val="000000" w:themeColor="text1"/>
          <w:sz w:val="24"/>
          <w:szCs w:val="24"/>
          <w14:textFill>
            <w14:solidFill>
              <w14:schemeClr w14:val="tx1"/>
            </w14:solidFill>
          </w14:textFill>
        </w:rPr>
        <w:t>的中国新型工业化</w:t>
      </w:r>
      <w:r>
        <w:rPr>
          <w:rFonts w:hint="eastAsia" w:ascii="黑体" w:hAnsi="黑体" w:eastAsia="黑体" w:cs="黑体"/>
          <w:b/>
          <w:bCs/>
          <w:color w:val="000000" w:themeColor="text1"/>
          <w:sz w:val="24"/>
          <w:szCs w:val="24"/>
          <w14:textFill>
            <w14:solidFill>
              <w14:schemeClr w14:val="tx1"/>
            </w14:solidFill>
          </w14:textFill>
        </w:rPr>
        <w:t>完善</w:t>
      </w:r>
      <w:r>
        <w:rPr>
          <w:rFonts w:ascii="黑体" w:hAnsi="黑体" w:eastAsia="黑体" w:cs="黑体"/>
          <w:b/>
          <w:bCs/>
          <w:color w:val="000000" w:themeColor="text1"/>
          <w:sz w:val="24"/>
          <w:szCs w:val="24"/>
          <w14:textFill>
            <w14:solidFill>
              <w14:schemeClr w14:val="tx1"/>
            </w14:solidFill>
          </w14:textFill>
        </w:rPr>
        <w:t>建议</w:t>
      </w:r>
    </w:p>
    <w:p w14:paraId="4A82062E">
      <w:pPr>
        <w:autoSpaceDE w:val="0"/>
        <w:autoSpaceDN w:val="0"/>
        <w:adjustRightInd w:val="0"/>
        <w:snapToGrid w:val="0"/>
        <w:spacing w:line="360" w:lineRule="auto"/>
        <w:ind w:firstLine="480" w:firstLineChars="200"/>
        <w:rPr>
          <w:rFonts w:ascii="宋体" w:hAnsi="宋体" w:eastAsia="宋体" w:cs="Times New Roman"/>
          <w:color w:val="000000" w:themeColor="text1"/>
          <w:kern w:val="0"/>
          <w:sz w:val="24"/>
          <w:szCs w:val="24"/>
          <w14:textFill>
            <w14:solidFill>
              <w14:schemeClr w14:val="tx1"/>
            </w14:solidFill>
          </w14:textFill>
        </w:rPr>
      </w:pPr>
      <w:r>
        <w:rPr>
          <w:rFonts w:ascii="宋体" w:hAnsi="宋体" w:eastAsia="宋体" w:cs="Times New Roman"/>
          <w:color w:val="000000" w:themeColor="text1"/>
          <w:kern w:val="0"/>
          <w:sz w:val="24"/>
          <w:szCs w:val="24"/>
          <w14:textFill>
            <w14:solidFill>
              <w14:schemeClr w14:val="tx1"/>
            </w14:solidFill>
          </w14:textFill>
        </w:rPr>
        <w:t>面对信息化驱动的新一轮工业革命，在全球经济治理重塑中，中国的制造强国战略、俄罗斯的“国家技术计划”、阿根廷的“国家生产计划”以及印度的“印度制造战略”等，都体现了广大发展中国家广泛参与新一轮工业革命的正当诉求和试图给人类迎接新工业革命做出贡献的理想抱负。中国经济的发展是世界经济发展的重要组成部分，转变发展格局是中国基于自身发展要求与世界变化趋势而主动选择的“新适应状态”。新发展格局下，开放的国内国际双循环要求以共商共建共享为原则，通过发挥内需潜力，使国内市场和国际市场更好地联通，利用国际国内两个市场、两种资源，更强劲、更可持续、更安全地推动中国新型工业化的发展。</w:t>
      </w:r>
      <w:r>
        <w:rPr>
          <w:rStyle w:val="20"/>
          <w:rFonts w:ascii="宋体" w:hAnsi="宋体" w:eastAsia="宋体" w:cs="Times New Roman"/>
          <w:color w:val="000000" w:themeColor="text1"/>
          <w:kern w:val="0"/>
          <w:sz w:val="24"/>
          <w:szCs w:val="24"/>
          <w14:textFill>
            <w14:solidFill>
              <w14:schemeClr w14:val="tx1"/>
            </w14:solidFill>
          </w14:textFill>
        </w:rPr>
        <w:footnoteReference w:id="394"/>
      </w:r>
      <w:r>
        <w:rPr>
          <w:rFonts w:ascii="宋体" w:hAnsi="宋体" w:eastAsia="宋体" w:cs="Times New Roman"/>
          <w:color w:val="000000" w:themeColor="text1"/>
          <w:kern w:val="0"/>
          <w:sz w:val="24"/>
          <w:szCs w:val="24"/>
          <w14:textFill>
            <w14:solidFill>
              <w14:schemeClr w14:val="tx1"/>
            </w14:solidFill>
          </w14:textFill>
        </w:rPr>
        <w:t xml:space="preserve"> </w:t>
      </w:r>
    </w:p>
    <w:p w14:paraId="10900729">
      <w:pPr>
        <w:pStyle w:val="4"/>
        <w:adjustRightInd w:val="0"/>
        <w:snapToGrid w:val="0"/>
        <w:spacing w:before="0" w:after="0" w:line="360" w:lineRule="auto"/>
        <w:ind w:firstLine="360" w:firstLineChars="150"/>
        <w:rPr>
          <w:rStyle w:val="21"/>
          <w:rFonts w:ascii="宋体" w:hAnsi="宋体" w:eastAsia="宋体" w:cs="Times New Roman"/>
          <w:b/>
          <w:bCs/>
          <w:color w:val="000000" w:themeColor="text1"/>
          <w:sz w:val="24"/>
          <w:szCs w:val="24"/>
          <w14:textFill>
            <w14:solidFill>
              <w14:schemeClr w14:val="tx1"/>
            </w14:solidFill>
          </w14:textFill>
        </w:rPr>
      </w:pPr>
      <w:bookmarkStart w:id="207" w:name="_Toc1238972652"/>
      <w:bookmarkStart w:id="208" w:name="_Toc30236"/>
      <w:bookmarkStart w:id="209" w:name="_Toc153776059"/>
      <w:bookmarkStart w:id="210" w:name="_Toc196725838"/>
      <w:bookmarkStart w:id="211" w:name="_Toc1727006137"/>
      <w:bookmarkStart w:id="212" w:name="_Toc1343087470"/>
      <w:r>
        <w:rPr>
          <w:rStyle w:val="21"/>
          <w:rFonts w:ascii="宋体" w:hAnsi="宋体" w:eastAsia="宋体" w:cs="Times New Roman"/>
          <w:b/>
          <w:bCs/>
          <w:color w:val="000000" w:themeColor="text1"/>
          <w:sz w:val="24"/>
          <w:szCs w:val="24"/>
          <w14:textFill>
            <w14:solidFill>
              <w14:schemeClr w14:val="tx1"/>
            </w14:solidFill>
          </w14:textFill>
        </w:rPr>
        <w:t>（一）继续实施多边主义构筑制造业升级机遇</w:t>
      </w:r>
    </w:p>
    <w:bookmarkEnd w:id="207"/>
    <w:bookmarkEnd w:id="208"/>
    <w:bookmarkEnd w:id="209"/>
    <w:bookmarkEnd w:id="210"/>
    <w:bookmarkEnd w:id="211"/>
    <w:bookmarkEnd w:id="212"/>
    <w:p w14:paraId="2739FEFB">
      <w:pPr>
        <w:autoSpaceDE w:val="0"/>
        <w:autoSpaceDN w:val="0"/>
        <w:adjustRightInd w:val="0"/>
        <w:snapToGrid w:val="0"/>
        <w:spacing w:line="360" w:lineRule="auto"/>
        <w:ind w:firstLine="480" w:firstLineChars="200"/>
        <w:rPr>
          <w:rFonts w:ascii="宋体" w:hAnsi="宋体" w:eastAsia="宋体" w:cs="Times New Roman"/>
          <w:color w:val="000000" w:themeColor="text1"/>
          <w:kern w:val="0"/>
          <w:sz w:val="24"/>
          <w:szCs w:val="24"/>
          <w14:textFill>
            <w14:solidFill>
              <w14:schemeClr w14:val="tx1"/>
            </w14:solidFill>
          </w14:textFill>
        </w:rPr>
      </w:pPr>
      <w:r>
        <w:rPr>
          <w:rFonts w:ascii="宋体" w:hAnsi="宋体" w:eastAsia="宋体" w:cs="Times New Roman"/>
          <w:color w:val="000000" w:themeColor="text1"/>
          <w:kern w:val="0"/>
          <w:sz w:val="24"/>
          <w:szCs w:val="24"/>
          <w14:textFill>
            <w14:solidFill>
              <w14:schemeClr w14:val="tx1"/>
            </w14:solidFill>
          </w14:textFill>
        </w:rPr>
        <w:t>无论全球经济治理多么崎岖，更深层次、更多元化的国际市场仍然是我们提高供应弹性的最佳选择，多边主义仍然是一国能够更大程度分享全球经济红利和工业革命红利的主导制度范式，也是有效应对全球价值链断裂和工业革命挑战的根本出路，是全球治理变革必须坚持的主流方向和主导逻辑。</w:t>
      </w:r>
      <w:r>
        <w:rPr>
          <w:rStyle w:val="20"/>
          <w:rFonts w:ascii="宋体" w:hAnsi="宋体" w:eastAsia="宋体" w:cs="Times New Roman"/>
          <w:color w:val="000000" w:themeColor="text1"/>
          <w:kern w:val="0"/>
          <w:sz w:val="24"/>
          <w:szCs w:val="24"/>
          <w14:textFill>
            <w14:solidFill>
              <w14:schemeClr w14:val="tx1"/>
            </w14:solidFill>
          </w14:textFill>
        </w:rPr>
        <w:footnoteReference w:id="395"/>
      </w:r>
      <w:r>
        <w:rPr>
          <w:rFonts w:ascii="宋体" w:hAnsi="宋体" w:eastAsia="宋体" w:cs="Times New Roman"/>
          <w:color w:val="000000" w:themeColor="text1"/>
          <w:kern w:val="0"/>
          <w:sz w:val="24"/>
          <w:szCs w:val="24"/>
          <w14:textFill>
            <w14:solidFill>
              <w14:schemeClr w14:val="tx1"/>
            </w14:solidFill>
          </w14:textFill>
        </w:rPr>
        <w:t xml:space="preserve"> 海关统计显示，</w:t>
      </w:r>
      <w:r>
        <w:rPr>
          <w:rFonts w:ascii="宋体" w:hAnsi="宋体" w:eastAsia="宋体" w:cs="Times New Roman"/>
          <w:color w:val="000000" w:themeColor="text1"/>
          <w:sz w:val="24"/>
          <w:szCs w:val="24"/>
          <w:shd w:val="clear" w:color="auto" w:fill="FFFFFF"/>
          <w14:textFill>
            <w14:solidFill>
              <w14:schemeClr w14:val="tx1"/>
            </w14:solidFill>
          </w14:textFill>
        </w:rPr>
        <w:t>2022年，</w:t>
      </w:r>
      <w:r>
        <w:rPr>
          <w:rFonts w:ascii="宋体" w:hAnsi="宋体" w:eastAsia="宋体" w:cs="Times New Roman"/>
          <w:color w:val="000000" w:themeColor="text1"/>
          <w:kern w:val="0"/>
          <w:sz w:val="24"/>
          <w:szCs w:val="24"/>
          <w14:textFill>
            <w14:solidFill>
              <w14:schemeClr w14:val="tx1"/>
            </w14:solidFill>
          </w14:textFill>
        </w:rPr>
        <w:t>全年进出口总值首次突破40万亿元关口，连续6年保持世界第一货物贸易国地位。其中，</w:t>
      </w:r>
      <w:r>
        <w:rPr>
          <w:rFonts w:ascii="宋体" w:hAnsi="宋体" w:eastAsia="宋体" w:cs="Times New Roman"/>
          <w:color w:val="000000" w:themeColor="text1"/>
          <w:sz w:val="24"/>
          <w:szCs w:val="24"/>
          <w:shd w:val="clear" w:color="auto" w:fill="FFFFFF"/>
          <w14:textFill>
            <w14:solidFill>
              <w14:schemeClr w14:val="tx1"/>
            </w14:solidFill>
          </w14:textFill>
        </w:rPr>
        <w:t>我国对东盟、欧盟、美国分别进出口6.52万亿元、5.65万亿元和5.05万亿元，分别增长15%、5.6%和3.7%。同期，对“一带一路”沿线国家进出口增长19.4%，占外贸总值的32.9%，提升3.2个百分点；对《区域全面经济伙伴关系协定》（RCEP）其他14个成员国进出口增长7.5%，占外贸总值的30.8%。</w:t>
      </w:r>
      <w:r>
        <w:rPr>
          <w:rFonts w:ascii="宋体" w:hAnsi="宋体" w:eastAsia="宋体" w:cs="Times New Roman"/>
          <w:color w:val="000000" w:themeColor="text1"/>
          <w:kern w:val="0"/>
          <w:sz w:val="24"/>
          <w:szCs w:val="24"/>
          <w14:textFill>
            <w14:solidFill>
              <w14:schemeClr w14:val="tx1"/>
            </w14:solidFill>
          </w14:textFill>
        </w:rPr>
        <w:t>“一带一路”是中国向全球治理提供的重要方案，是中国为世界发展提供的国际公共产品，是推动构建人类命运共同体的重要实践平台。作为全球治理的重要参与者、建设者和贡献者，中国将继续积极推动共建“一带一路”高质量发展逆势前行，为改善全球治理体系和促进全球共同发展持续注入新动能。2023年是中国共建“一带一路”倡议提出十周年，2013年至2022年，中国与沿线国家的进出口年均增长8.6%。2022年，与沿线国家贸易继续保持了快速增长，进出口13.83万亿元，高出整体增速11.7个百分点。</w:t>
      </w:r>
      <w:r>
        <w:rPr>
          <w:rStyle w:val="20"/>
          <w:rFonts w:ascii="宋体" w:hAnsi="宋体" w:eastAsia="宋体" w:cs="Times New Roman"/>
          <w:color w:val="000000" w:themeColor="text1"/>
          <w:kern w:val="0"/>
          <w:sz w:val="24"/>
          <w:szCs w:val="24"/>
          <w14:textFill>
            <w14:solidFill>
              <w14:schemeClr w14:val="tx1"/>
            </w14:solidFill>
          </w14:textFill>
        </w:rPr>
        <w:footnoteReference w:id="396"/>
      </w:r>
      <w:r>
        <w:rPr>
          <w:rFonts w:ascii="宋体" w:hAnsi="宋体" w:eastAsia="宋体" w:cs="Times New Roman"/>
          <w:color w:val="000000" w:themeColor="text1"/>
          <w:kern w:val="0"/>
          <w:sz w:val="24"/>
          <w:szCs w:val="24"/>
          <w14:textFill>
            <w14:solidFill>
              <w14:schemeClr w14:val="tx1"/>
            </w14:solidFill>
          </w14:textFill>
        </w:rPr>
        <w:t>未来的发展空间仍然十分充足，沿线国家对于产业园区的需求依然比较旺盛，新的投资机遇将主要集中在包含绿色能源相关的基础设施建设以及大数据、云计算等数字经济领域的合作，着重提高数字基础设施以及信息技术的服务外包等数字贸易领域。</w:t>
      </w:r>
      <w:r>
        <w:rPr>
          <w:rFonts w:ascii="宋体" w:hAnsi="宋体" w:eastAsia="宋体" w:cs="Times New Roman"/>
          <w:color w:val="000000" w:themeColor="text1"/>
          <w:sz w:val="24"/>
          <w:szCs w:val="24"/>
          <w:shd w:val="clear" w:color="auto" w:fill="FFFFFF"/>
          <w14:textFill>
            <w14:solidFill>
              <w14:schemeClr w14:val="tx1"/>
            </w14:solidFill>
          </w14:textFill>
        </w:rPr>
        <w:t>RCEP生效实施已满一年，RCEP 作为全球人口最多、经贸规模最大、最具发展潜力的自贸协定，为我国外贸企业发展带来重大机遇。这一协定明显提高了成员国贸易水平，并与我国已有自贸区、物流大通道等形成叠加效应，红利持续释放。2022年，我国对RCEP其他成员国进出口12.95万亿元，对RCEP其他成员国进出口增速超过两位数的达到了8个，其中对印度尼西亚、新加坡、缅甸、柬埔寨、老挝进出口增速均超过了20%。今后将着重有序引导外贸企业关注RCEP 成员国相关技术性贸易措施动向，加强RCEP 项下享惠数据分析，对标国际先进标准，为促进制造业升级，提升产业竞争力提供决策参考。</w:t>
      </w:r>
    </w:p>
    <w:p w14:paraId="36E3F3F5">
      <w:pPr>
        <w:pStyle w:val="4"/>
        <w:adjustRightInd w:val="0"/>
        <w:snapToGrid w:val="0"/>
        <w:spacing w:before="0" w:after="0" w:line="360" w:lineRule="auto"/>
        <w:ind w:firstLine="480" w:firstLineChars="200"/>
        <w:rPr>
          <w:rStyle w:val="21"/>
          <w:rFonts w:ascii="宋体" w:hAnsi="宋体" w:eastAsia="宋体" w:cs="Times New Roman"/>
          <w:b/>
          <w:bCs w:val="0"/>
          <w:color w:val="000000" w:themeColor="text1"/>
          <w:sz w:val="24"/>
          <w:szCs w:val="24"/>
          <w14:textFill>
            <w14:solidFill>
              <w14:schemeClr w14:val="tx1"/>
            </w14:solidFill>
          </w14:textFill>
        </w:rPr>
      </w:pPr>
      <w:bookmarkStart w:id="213" w:name="_Toc15126"/>
      <w:bookmarkStart w:id="214" w:name="_Toc1411920852"/>
      <w:bookmarkStart w:id="215" w:name="_Toc1091396272"/>
      <w:bookmarkStart w:id="216" w:name="_Toc1393826533"/>
      <w:bookmarkStart w:id="217" w:name="_Toc403171707"/>
      <w:bookmarkStart w:id="218" w:name="_Toc1070494673"/>
      <w:r>
        <w:rPr>
          <w:rStyle w:val="21"/>
          <w:rFonts w:ascii="宋体" w:hAnsi="宋体" w:eastAsia="宋体" w:cs="Times New Roman"/>
          <w:b/>
          <w:bCs/>
          <w:color w:val="000000" w:themeColor="text1"/>
          <w:sz w:val="24"/>
          <w:szCs w:val="24"/>
          <w14:textFill>
            <w14:solidFill>
              <w14:schemeClr w14:val="tx1"/>
            </w14:solidFill>
          </w14:textFill>
        </w:rPr>
        <w:t>（二）努力</w:t>
      </w:r>
      <w:r>
        <w:rPr>
          <w:rStyle w:val="21"/>
          <w:rFonts w:ascii="宋体" w:hAnsi="宋体" w:eastAsia="宋体" w:cs="Times New Roman"/>
          <w:b/>
          <w:bCs w:val="0"/>
          <w:color w:val="000000" w:themeColor="text1"/>
          <w:sz w:val="24"/>
          <w:szCs w:val="24"/>
          <w14:textFill>
            <w14:solidFill>
              <w14:schemeClr w14:val="tx1"/>
            </w14:solidFill>
          </w14:textFill>
        </w:rPr>
        <w:t>实现制造业转型升级的高质量发展</w:t>
      </w:r>
    </w:p>
    <w:bookmarkEnd w:id="213"/>
    <w:bookmarkEnd w:id="214"/>
    <w:bookmarkEnd w:id="215"/>
    <w:bookmarkEnd w:id="216"/>
    <w:bookmarkEnd w:id="217"/>
    <w:bookmarkEnd w:id="218"/>
    <w:p w14:paraId="44ED108C">
      <w:pPr>
        <w:autoSpaceDE w:val="0"/>
        <w:autoSpaceDN w:val="0"/>
        <w:adjustRightInd w:val="0"/>
        <w:snapToGrid w:val="0"/>
        <w:spacing w:line="360" w:lineRule="auto"/>
        <w:ind w:firstLine="480" w:firstLineChars="200"/>
        <w:rPr>
          <w:rFonts w:ascii="宋体" w:hAnsi="宋体" w:eastAsia="宋体" w:cs="Times New Roman"/>
          <w:color w:val="000000" w:themeColor="text1"/>
          <w:kern w:val="0"/>
          <w:sz w:val="24"/>
          <w:szCs w:val="24"/>
          <w14:textFill>
            <w14:solidFill>
              <w14:schemeClr w14:val="tx1"/>
            </w14:solidFill>
          </w14:textFill>
        </w:rPr>
      </w:pPr>
      <w:r>
        <w:rPr>
          <w:rFonts w:ascii="宋体" w:hAnsi="宋体" w:eastAsia="宋体" w:cs="Times New Roman"/>
          <w:color w:val="000000" w:themeColor="text1"/>
          <w:kern w:val="0"/>
          <w:sz w:val="24"/>
          <w:szCs w:val="24"/>
          <w14:textFill>
            <w14:solidFill>
              <w14:schemeClr w14:val="tx1"/>
            </w14:solidFill>
          </w14:textFill>
        </w:rPr>
        <w:t>全球经济格局的变化及全球经济治理的重塑，既是挑战也是机会。中国拥有世界上最完整的工业体系、超大规模的用户市场，在以国内大循环为主体的双循环新发展格局下，封锁打压使得企业专注于国内增量需求开发和存量需求循环，中国正在转变传统的“投资+房地产+出口”的增长模式，走向</w:t>
      </w:r>
      <w:r>
        <w:rPr>
          <w:rFonts w:hint="eastAsia" w:ascii="宋体" w:hAnsi="宋体" w:eastAsia="宋体" w:cs="Times New Roman"/>
          <w:color w:val="000000" w:themeColor="text1"/>
          <w:kern w:val="0"/>
          <w:sz w:val="24"/>
          <w:szCs w:val="24"/>
          <w14:textFill>
            <w14:solidFill>
              <w14:schemeClr w14:val="tx1"/>
            </w14:solidFill>
          </w14:textFill>
        </w:rPr>
        <w:t>“</w:t>
      </w:r>
      <w:r>
        <w:rPr>
          <w:rFonts w:ascii="宋体" w:hAnsi="宋体" w:eastAsia="宋体" w:cs="Times New Roman"/>
          <w:color w:val="000000" w:themeColor="text1"/>
          <w:kern w:val="0"/>
          <w:sz w:val="24"/>
          <w:szCs w:val="24"/>
          <w14:textFill>
            <w14:solidFill>
              <w14:schemeClr w14:val="tx1"/>
            </w14:solidFill>
          </w14:textFill>
        </w:rPr>
        <w:t>消费、制造和科技创新</w:t>
      </w:r>
      <w:r>
        <w:rPr>
          <w:rFonts w:hint="eastAsia" w:ascii="宋体" w:hAnsi="宋体" w:eastAsia="宋体" w:cs="Times New Roman"/>
          <w:color w:val="000000" w:themeColor="text1"/>
          <w:kern w:val="0"/>
          <w:sz w:val="24"/>
          <w:szCs w:val="24"/>
          <w14:textFill>
            <w14:solidFill>
              <w14:schemeClr w14:val="tx1"/>
            </w14:solidFill>
          </w14:textFill>
        </w:rPr>
        <w:t>”协同提升</w:t>
      </w:r>
      <w:r>
        <w:rPr>
          <w:rFonts w:ascii="宋体" w:hAnsi="宋体" w:eastAsia="宋体" w:cs="Times New Roman"/>
          <w:color w:val="000000" w:themeColor="text1"/>
          <w:kern w:val="0"/>
          <w:sz w:val="24"/>
          <w:szCs w:val="24"/>
          <w14:textFill>
            <w14:solidFill>
              <w14:schemeClr w14:val="tx1"/>
            </w14:solidFill>
          </w14:textFill>
        </w:rPr>
        <w:t>的新增长模式。服务业存在传统服务业与现代服务业、生产性服务业与消费性服务业之分，以消费性服务业为主体的传统服务业的生产率一般低于工业部门，在服务业同工业存在生产率差距的情况下，服务业比重的快速上升会产生服务业高价格同其低效率不相匹配的“鲍莫尔成本病”，进而拖累经济增长，导致一国落入“服务业低效率陷阱”，难以顺利向高收入经济体跃升。</w:t>
      </w:r>
      <w:r>
        <w:rPr>
          <w:rStyle w:val="20"/>
          <w:rFonts w:ascii="宋体" w:hAnsi="宋体" w:eastAsia="宋体" w:cs="Times New Roman"/>
          <w:color w:val="000000" w:themeColor="text1"/>
          <w:kern w:val="0"/>
          <w:sz w:val="24"/>
          <w:szCs w:val="24"/>
          <w14:textFill>
            <w14:solidFill>
              <w14:schemeClr w14:val="tx1"/>
            </w14:solidFill>
          </w14:textFill>
        </w:rPr>
        <w:footnoteReference w:id="397"/>
      </w:r>
      <w:r>
        <w:rPr>
          <w:rFonts w:ascii="宋体" w:hAnsi="宋体" w:eastAsia="宋体" w:cs="Times New Roman"/>
          <w:color w:val="000000" w:themeColor="text1"/>
          <w:kern w:val="0"/>
          <w:sz w:val="24"/>
          <w:szCs w:val="24"/>
          <w14:textFill>
            <w14:solidFill>
              <w14:schemeClr w14:val="tx1"/>
            </w14:solidFill>
          </w14:textFill>
        </w:rPr>
        <w:t>在当前中国工业化不平衡不充分、国民收入水平和生产效率较低的背景下，服务业的发展不应建立在“过早去工业化”的基础之上。以先进制造业为主体的工业依然是支撑中国经济实现持续稳定的中高速增长的重要动力，坚持把发展经济的着力点放在制造业上，推动制造业的高质量发展，加快建设全球领先的重要的先进制造业中心，坚持制造业的持续动能，释放高质量发展。即使是经济较为发达的东部沿海地区，其工业化的任务也远未真正全部完成，仍应通过创新来提升工业质量和竞争力，充分发挥先进制造业对地区经济增长的主要支撑作用。在新发展格局下，中国制造业增长要由依靠要素投入驱动工业规模扩张和比重提升的扩张型工业化，转向主要依靠创新驱动来提高工业质量和竞争力。着重通过质量变革、效率变革、动力变革，推进智慧高效、绿色低碳的高质量新型工业化，切实提升工业企业竞争力，实现工业的高质量发展，把工业增加值和就业比重保持在与发展阶段相适应的合理区间。超前规划我国技术创新关键领域、优势产业布局和前沿基础研究</w:t>
      </w:r>
      <w:r>
        <w:rPr>
          <w:rStyle w:val="20"/>
          <w:rFonts w:ascii="宋体" w:hAnsi="宋体" w:eastAsia="宋体" w:cs="Times New Roman"/>
          <w:color w:val="000000" w:themeColor="text1"/>
          <w:kern w:val="0"/>
          <w:sz w:val="24"/>
          <w:szCs w:val="24"/>
          <w14:textFill>
            <w14:solidFill>
              <w14:schemeClr w14:val="tx1"/>
            </w14:solidFill>
          </w14:textFill>
        </w:rPr>
        <w:footnoteReference w:id="398"/>
      </w:r>
      <w:r>
        <w:rPr>
          <w:rFonts w:ascii="宋体" w:hAnsi="宋体" w:eastAsia="宋体" w:cs="Times New Roman"/>
          <w:color w:val="000000" w:themeColor="text1"/>
          <w:kern w:val="0"/>
          <w:sz w:val="24"/>
          <w:szCs w:val="24"/>
          <w14:textFill>
            <w14:solidFill>
              <w14:schemeClr w14:val="tx1"/>
            </w14:solidFill>
          </w14:textFill>
        </w:rPr>
        <w:t>，要保持制造业比重，不宜过早过快下降，我国制造业增加值占GDP 比重应保持在35%左右，同时，生产性服务业占服务业比重也应从目前的25%左右增长到50%以上。制造业比重的提升在于锚定智能制造，聚焦大能源、大数据、大机械，在先进领域进行前瞻布局，大力发展智能制造和服务型制造，积极推动制造业服务化进程，促进先进制造业与现代服务业深度融合，保证制造产业的不断转型升级。</w:t>
      </w:r>
    </w:p>
    <w:p w14:paraId="1DA6052C">
      <w:pPr>
        <w:pStyle w:val="4"/>
        <w:adjustRightInd w:val="0"/>
        <w:snapToGrid w:val="0"/>
        <w:spacing w:before="0" w:after="0" w:line="360" w:lineRule="auto"/>
        <w:ind w:firstLine="480" w:firstLineChars="200"/>
        <w:rPr>
          <w:rStyle w:val="21"/>
          <w:rFonts w:ascii="宋体" w:hAnsi="宋体" w:eastAsia="宋体" w:cs="Times New Roman"/>
          <w:b/>
          <w:bCs/>
          <w:color w:val="000000" w:themeColor="text1"/>
          <w:sz w:val="24"/>
          <w:szCs w:val="24"/>
          <w14:textFill>
            <w14:solidFill>
              <w14:schemeClr w14:val="tx1"/>
            </w14:solidFill>
          </w14:textFill>
        </w:rPr>
      </w:pPr>
      <w:bookmarkStart w:id="219" w:name="_Toc1439314477"/>
      <w:bookmarkStart w:id="220" w:name="_Toc459460214"/>
      <w:bookmarkStart w:id="221" w:name="_Toc31716"/>
      <w:bookmarkStart w:id="222" w:name="_Toc1290918655"/>
      <w:bookmarkStart w:id="223" w:name="_Toc795973264"/>
      <w:bookmarkStart w:id="224" w:name="_Toc185974545"/>
      <w:r>
        <w:rPr>
          <w:rStyle w:val="21"/>
          <w:rFonts w:ascii="宋体" w:hAnsi="宋体" w:eastAsia="宋体" w:cs="Times New Roman"/>
          <w:b/>
          <w:bCs w:val="0"/>
          <w:color w:val="000000" w:themeColor="text1"/>
          <w:sz w:val="24"/>
          <w:szCs w:val="24"/>
          <w14:textFill>
            <w14:solidFill>
              <w14:schemeClr w14:val="tx1"/>
            </w14:solidFill>
          </w14:textFill>
        </w:rPr>
        <w:t>（三）</w:t>
      </w:r>
      <w:r>
        <w:rPr>
          <w:rStyle w:val="21"/>
          <w:rFonts w:ascii="宋体" w:hAnsi="宋体" w:eastAsia="宋体" w:cs="Times New Roman"/>
          <w:b/>
          <w:bCs/>
          <w:color w:val="000000" w:themeColor="text1"/>
          <w:sz w:val="24"/>
          <w:szCs w:val="24"/>
          <w14:textFill>
            <w14:solidFill>
              <w14:schemeClr w14:val="tx1"/>
            </w14:solidFill>
          </w14:textFill>
        </w:rPr>
        <w:t>着重推动制造业关键核心技术的新型举国体制</w:t>
      </w:r>
    </w:p>
    <w:bookmarkEnd w:id="219"/>
    <w:bookmarkEnd w:id="220"/>
    <w:bookmarkEnd w:id="221"/>
    <w:bookmarkEnd w:id="222"/>
    <w:bookmarkEnd w:id="223"/>
    <w:bookmarkEnd w:id="224"/>
    <w:p w14:paraId="31CBBEFD">
      <w:pPr>
        <w:adjustRightInd w:val="0"/>
        <w:snapToGrid w:val="0"/>
        <w:spacing w:line="360" w:lineRule="auto"/>
        <w:ind w:firstLine="480" w:firstLineChars="200"/>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制造业的关键核心技术是包括基础元件、制造工艺以及前沿知识集成与创新的技术体系，具有产业链前端基础性研究、价值链高端前沿性研究、生态链战略引领性研究的属性，需要长期高强度的研发投入进而形成独特性的技术体系。由于关键核心技术上的攻坚和突破是一项复杂的系统工程，需要投入巨额的资金、经历漫长的周期、承担极大的风险，因此需要政府围绕国家战略需求，优化配置创新资源，系统性地统筹不同主体间的特征与利益诉求，合理地促进各主体相互协同，将国家基因转化为新发展格局下的独特优势。在战略性和全局紧迫性领域构建国家创新体系，以大型国有企业为主导，发挥政治和资源优势，集中统一调配全国各类创新资源流向具有紧迫性的关键核心技术攻关，不断破解关键原材料、核心零部件、基础元器件供给瓶颈，形成韧性足、渗透强、功能优、可追溯、自主可控、安全可靠的产业链、供应链、价值链、创新链。</w:t>
      </w:r>
      <w:r>
        <w:rPr>
          <w:rFonts w:ascii="宋体" w:hAnsi="宋体" w:eastAsia="宋体" w:cs="Times New Roman"/>
          <w:color w:val="000000" w:themeColor="text1"/>
          <w:sz w:val="24"/>
          <w:szCs w:val="24"/>
          <w:vertAlign w:val="superscript"/>
          <w14:textFill>
            <w14:solidFill>
              <w14:schemeClr w14:val="tx1"/>
            </w14:solidFill>
          </w14:textFill>
        </w:rPr>
        <w:footnoteReference w:id="399"/>
      </w:r>
      <w:r>
        <w:rPr>
          <w:rFonts w:ascii="宋体" w:hAnsi="宋体" w:eastAsia="宋体" w:cs="Times New Roman"/>
          <w:color w:val="000000" w:themeColor="text1"/>
          <w:sz w:val="24"/>
          <w:szCs w:val="24"/>
          <w14:textFill>
            <w14:solidFill>
              <w14:schemeClr w14:val="tx1"/>
            </w14:solidFill>
          </w14:textFill>
        </w:rPr>
        <w:t>着重就“卡脖子”问题，优先进行涉及我国科技竞争过程的国家战略安全、关键产业安全与基本民生保障的关键核心技术突破，保证这类领域的关键核心技术自主可控，促进创新参与者自有知识的聚集、整合与创造。在竞争性和局部紧迫性领域，政府应当为企业创新提供资源支持和政策保障，基于能力导向与需求导向开展关键核心技术突破过程中的产业政策与科技政策制定及系统优化，构建支撑产学研有效运转的政策环境与制度生态，最大限度地通过创新政策与产业政策孵化与催化各类创新主体并使其参与到产学研融通组织中。通过产业链链主牵引产业链内具备创新能力的行业领头企业联合高校、科研院所和行业上下游企业开展融通创新，形成关键核心技术创新过程中的技术互补、需求耦合与价值共享的创新要素融通、创新载体融通与创新制度融合的关键核心技术攻关的融通组织，共建企业创新网络，发挥大企业的支撑作用和小企业的创新作用，实现系统化创新发展。另外，近年来各国政府均把基础研究作为获得经济竞争力的创造性技术的来源给予高度重视。基础研究虽然不能直接产生经济效益，但是它是技术开发工作的坚强的后台支持。因此基础研究是科技发展的根基。同时基础研究方面的实力也是一个国家科技竞争力的重要体现。正因为基础研究没有直接经济上的产出，国家的支持才显得尤为重要。</w:t>
      </w:r>
    </w:p>
    <w:p w14:paraId="0BD005C8">
      <w:pPr>
        <w:pStyle w:val="4"/>
        <w:adjustRightInd w:val="0"/>
        <w:snapToGrid w:val="0"/>
        <w:spacing w:before="0" w:after="0" w:line="360" w:lineRule="auto"/>
        <w:ind w:firstLine="480" w:firstLineChars="200"/>
        <w:rPr>
          <w:rStyle w:val="21"/>
          <w:rFonts w:ascii="宋体" w:hAnsi="宋体" w:eastAsia="宋体" w:cs="Times New Roman"/>
          <w:b/>
          <w:bCs/>
          <w:color w:val="000000" w:themeColor="text1"/>
          <w:sz w:val="24"/>
          <w:szCs w:val="24"/>
          <w14:textFill>
            <w14:solidFill>
              <w14:schemeClr w14:val="tx1"/>
            </w14:solidFill>
          </w14:textFill>
        </w:rPr>
      </w:pPr>
      <w:bookmarkStart w:id="225" w:name="_Toc442548944"/>
      <w:bookmarkStart w:id="226" w:name="_Toc1247010885"/>
      <w:bookmarkStart w:id="227" w:name="_Toc23284"/>
      <w:bookmarkStart w:id="228" w:name="_Toc1944105733"/>
      <w:bookmarkStart w:id="229" w:name="_Toc1302615131"/>
      <w:bookmarkStart w:id="230" w:name="_Toc1085471430"/>
      <w:r>
        <w:rPr>
          <w:rStyle w:val="21"/>
          <w:rFonts w:ascii="宋体" w:hAnsi="宋体" w:eastAsia="宋体" w:cs="Times New Roman"/>
          <w:b/>
          <w:bCs/>
          <w:color w:val="000000" w:themeColor="text1"/>
          <w:sz w:val="24"/>
          <w:szCs w:val="24"/>
          <w14:textFill>
            <w14:solidFill>
              <w14:schemeClr w14:val="tx1"/>
            </w14:solidFill>
          </w14:textFill>
        </w:rPr>
        <w:t>（四）加大培育完整内需体系的系统化环境生成</w:t>
      </w:r>
    </w:p>
    <w:bookmarkEnd w:id="225"/>
    <w:bookmarkEnd w:id="226"/>
    <w:bookmarkEnd w:id="227"/>
    <w:bookmarkEnd w:id="228"/>
    <w:bookmarkEnd w:id="229"/>
    <w:bookmarkEnd w:id="230"/>
    <w:p w14:paraId="77F81439">
      <w:pPr>
        <w:autoSpaceDE w:val="0"/>
        <w:autoSpaceDN w:val="0"/>
        <w:adjustRightInd w:val="0"/>
        <w:snapToGrid w:val="0"/>
        <w:spacing w:line="360" w:lineRule="auto"/>
        <w:ind w:firstLine="480" w:firstLineChars="200"/>
        <w:rPr>
          <w:rFonts w:ascii="宋体" w:hAnsi="宋体" w:eastAsia="宋体" w:cs="Times New Roman"/>
          <w:color w:val="000000" w:themeColor="text1"/>
          <w:kern w:val="0"/>
          <w:sz w:val="24"/>
          <w:szCs w:val="24"/>
          <w14:textFill>
            <w14:solidFill>
              <w14:schemeClr w14:val="tx1"/>
            </w14:solidFill>
          </w14:textFill>
        </w:rPr>
      </w:pPr>
      <w:r>
        <w:rPr>
          <w:rFonts w:ascii="宋体" w:hAnsi="宋体" w:eastAsia="宋体" w:cs="Times New Roman"/>
          <w:color w:val="000000" w:themeColor="text1"/>
          <w:kern w:val="0"/>
          <w:sz w:val="24"/>
          <w:szCs w:val="24"/>
          <w14:textFill>
            <w14:solidFill>
              <w14:schemeClr w14:val="tx1"/>
            </w14:solidFill>
          </w14:textFill>
        </w:rPr>
        <w:t>构建新发展格局要从重视工业化进程到重视协同推进新型工业化、信息化、城镇化和农业现代化同步发展，而新型工业化、信息化、城镇化和农业现代化同步发展的系统化环境生成，需要顺应消费升级趋势，增强消费对经济发展的引导作用。依托满足内需为导向，以完整的内需体系为抓手，根据市场需求差异、市场需求规模和市场需求增长，通过原始创新——集成创新——引进消化吸收再创新以及协同创新，提升数字技术赋能制造业质量提升的原创性水平，增强产业链供应链的韧性, 进一步优化中国制造业出口需求结构,提升中国制造的产品竞争力，从而打破发达国家的技术垄断，降低制造业对出口的依赖度。当前中国拥有巨大的市场空间，2022年社会消费品零售总额439733亿元</w:t>
      </w:r>
      <w:r>
        <w:rPr>
          <w:rStyle w:val="20"/>
          <w:rFonts w:ascii="宋体" w:hAnsi="宋体" w:eastAsia="宋体" w:cs="Times New Roman"/>
          <w:color w:val="000000" w:themeColor="text1"/>
          <w:kern w:val="0"/>
          <w:sz w:val="24"/>
          <w:szCs w:val="24"/>
          <w14:textFill>
            <w14:solidFill>
              <w14:schemeClr w14:val="tx1"/>
            </w14:solidFill>
          </w14:textFill>
        </w:rPr>
        <w:footnoteReference w:id="400"/>
      </w:r>
      <w:r>
        <w:rPr>
          <w:rFonts w:ascii="宋体" w:hAnsi="宋体" w:eastAsia="宋体" w:cs="Times New Roman"/>
          <w:color w:val="000000" w:themeColor="text1"/>
          <w:kern w:val="0"/>
          <w:sz w:val="24"/>
          <w:szCs w:val="24"/>
          <w14:textFill>
            <w14:solidFill>
              <w14:schemeClr w14:val="tx1"/>
            </w14:solidFill>
          </w14:textFill>
        </w:rPr>
        <w:t>，面临复杂严峻的经济环境,我国内需市场发展长期向好的基本面没有改变,新发展格局下内需强大的有利条件没有改变，人民群众对美好生活的追求随着生活水平的提高不断升级,进一步推动了制造业以国内高质量需求导向提高自身产品质量,实现制造业转型升级发展迈进之路。新型工业化、信息化、城镇化和农业现代化的同步发展需要放在区域经济一体化发展的高度上，要发挥本地区经济发展优势，推进“四化”融合创新发展。一方面要结合要素市场化配置改革，加快建设统一开放市场，打破地域分割和行业垄断，加强区域合作和一体化竞争,发挥各地区比较优势，将核心企业布局在各城市群的中心和副中心城市，利用人才、金融等资源优势形成创新中心，打造区域经济核心增长极；不断优化区域性创新创业环境，形成科技创新与工业发展相互匹配和支持的区域经济格局，促进京津冀、长三角、粤港澳大湾区等地世界级先进制造业集群，做大做强，引领全国新型工业化进程。另一方面结合乡村振兴战略，丰富适合农村消费者的商品供给，加强农产品供应链体系建设，将协作企业迁移到中小城市或有条件的县城，利用劳动力成本优势从事模块化生产，形成优势互补、高质量发展的区域经济布局，促进工业品下乡和农产品进城双向流通。地方政府要根据当地定位，建设供应链配套的工业园区、打通城市群内部的物流交通网络，积极为先进制造业发展或承接产业转移，提供财政支持和融资渠道。国内生产网络的远距离组织和协调，需要数字基础设施，我国当前已经具备5G、工业互联网等技术基础，未来还将加快建设进度，发展新型智能化计算设施等，不断优化国内生产网络的发展生态。</w:t>
      </w:r>
    </w:p>
    <w:p w14:paraId="544EDF82">
      <w:pPr>
        <w:spacing w:before="312" w:beforeLines="100" w:after="312" w:afterLines="100" w:line="400" w:lineRule="exact"/>
        <w:jc w:val="center"/>
        <w:rPr>
          <w:rFonts w:ascii="黑体" w:hAnsi="黑体" w:eastAsia="黑体" w:cs="黑体"/>
          <w:b/>
          <w:bCs/>
          <w:color w:val="000000" w:themeColor="text1"/>
          <w:sz w:val="24"/>
          <w:szCs w:val="24"/>
          <w14:textFill>
            <w14:solidFill>
              <w14:schemeClr w14:val="tx1"/>
            </w14:solidFill>
          </w14:textFill>
        </w:rPr>
      </w:pPr>
      <w:r>
        <w:rPr>
          <w:rFonts w:ascii="黑体" w:hAnsi="黑体" w:eastAsia="黑体" w:cs="黑体"/>
          <w:b/>
          <w:bCs/>
          <w:color w:val="000000" w:themeColor="text1"/>
          <w:sz w:val="24"/>
          <w:szCs w:val="24"/>
          <w14:textFill>
            <w14:solidFill>
              <w14:schemeClr w14:val="tx1"/>
            </w14:solidFill>
          </w14:textFill>
        </w:rPr>
        <w:t>五、结论</w:t>
      </w:r>
    </w:p>
    <w:p w14:paraId="469DF81A">
      <w:pPr>
        <w:adjustRightInd w:val="0"/>
        <w:snapToGrid w:val="0"/>
        <w:spacing w:line="360" w:lineRule="auto"/>
        <w:ind w:firstLine="480" w:firstLineChars="200"/>
        <w:rPr>
          <w:rFonts w:ascii="宋体" w:hAnsi="宋体" w:eastAsia="宋体" w:cs="Times New Roman"/>
          <w:color w:val="000000" w:themeColor="text1"/>
          <w:kern w:val="0"/>
          <w:sz w:val="24"/>
          <w:szCs w:val="24"/>
          <w14:textFill>
            <w14:solidFill>
              <w14:schemeClr w14:val="tx1"/>
            </w14:solidFill>
          </w14:textFill>
        </w:rPr>
      </w:pPr>
      <w:r>
        <w:rPr>
          <w:rFonts w:ascii="宋体" w:hAnsi="宋体" w:eastAsia="宋体" w:cs="Times New Roman"/>
          <w:color w:val="000000" w:themeColor="text1"/>
          <w:kern w:val="0"/>
          <w:sz w:val="24"/>
          <w:szCs w:val="24"/>
          <w14:textFill>
            <w14:solidFill>
              <w14:schemeClr w14:val="tx1"/>
            </w14:solidFill>
          </w14:textFill>
        </w:rPr>
        <w:t>生产</w:t>
      </w:r>
      <w:r>
        <w:rPr>
          <w:rFonts w:hint="eastAsia" w:ascii="宋体" w:hAnsi="宋体" w:eastAsia="宋体" w:cs="Times New Roman"/>
          <w:color w:val="000000" w:themeColor="text1"/>
          <w:kern w:val="0"/>
          <w:sz w:val="24"/>
          <w:szCs w:val="24"/>
          <w14:textFill>
            <w14:solidFill>
              <w14:schemeClr w14:val="tx1"/>
            </w14:solidFill>
          </w14:textFill>
        </w:rPr>
        <w:t>分工的</w:t>
      </w:r>
      <w:r>
        <w:rPr>
          <w:rFonts w:ascii="宋体" w:hAnsi="宋体" w:eastAsia="宋体" w:cs="Times New Roman"/>
          <w:color w:val="000000" w:themeColor="text1"/>
          <w:kern w:val="0"/>
          <w:sz w:val="24"/>
          <w:szCs w:val="24"/>
          <w14:textFill>
            <w14:solidFill>
              <w14:schemeClr w14:val="tx1"/>
            </w14:solidFill>
          </w14:textFill>
        </w:rPr>
        <w:t>社会化将世界各国置于一个利益共同体，各个国家统筹双向互动，产业链在经济全球化背景下相</w:t>
      </w:r>
      <w:r>
        <w:rPr>
          <w:rFonts w:hint="eastAsia" w:ascii="宋体" w:hAnsi="宋体" w:eastAsia="宋体" w:cs="Times New Roman"/>
          <w:color w:val="000000" w:themeColor="text1"/>
          <w:kern w:val="0"/>
          <w:sz w:val="24"/>
          <w:szCs w:val="24"/>
          <w14:textFill>
            <w14:solidFill>
              <w14:schemeClr w14:val="tx1"/>
            </w14:solidFill>
          </w14:textFill>
        </w:rPr>
        <w:t>互</w:t>
      </w:r>
      <w:r>
        <w:rPr>
          <w:rFonts w:ascii="宋体" w:hAnsi="宋体" w:eastAsia="宋体" w:cs="Times New Roman"/>
          <w:color w:val="000000" w:themeColor="text1"/>
          <w:kern w:val="0"/>
          <w:sz w:val="24"/>
          <w:szCs w:val="24"/>
          <w14:textFill>
            <w14:solidFill>
              <w14:schemeClr w14:val="tx1"/>
            </w14:solidFill>
          </w14:textFill>
        </w:rPr>
        <w:t>嵌入、相互交融，没有哪个国家可以置身事外、独善其身，现有全球价值链的单一向度、极化结构和僵化治理，与世界经济体系日益复杂多元的动态现实相距甚远。全球经济的高关联特征使一国的经济不稳定可能会引起全球经济动荡，尤其是主要经济体之间的相互关系很大程度上决定着全球经济格局的稳定性；同时世界经济波动也会传导至各国内部，冲击本国的经济序列和结构。随着新兴国家积极参与全球治理体系，非西方国家在全球治理领域的议程设置能力与话语权逐渐上升，发展中国家结构性改革是世界体系“再平衡”的有机组成和积极因素。全球经济增长格局将从美国“一家独大”的单极世界向多个经济体协同共治的多极世界转变，经济发展路径也将从一元模式走向多元化。</w:t>
      </w:r>
      <w:r>
        <w:rPr>
          <w:rStyle w:val="20"/>
          <w:rFonts w:ascii="宋体" w:hAnsi="宋体" w:eastAsia="宋体" w:cs="Times New Roman"/>
          <w:color w:val="000000" w:themeColor="text1"/>
          <w:kern w:val="0"/>
          <w:sz w:val="24"/>
          <w:szCs w:val="24"/>
          <w14:textFill>
            <w14:solidFill>
              <w14:schemeClr w14:val="tx1"/>
            </w14:solidFill>
          </w14:textFill>
        </w:rPr>
        <w:footnoteReference w:id="401"/>
      </w:r>
      <w:r>
        <w:rPr>
          <w:rFonts w:ascii="宋体" w:hAnsi="宋体" w:eastAsia="宋体" w:cs="Times New Roman"/>
          <w:color w:val="000000" w:themeColor="text1"/>
          <w:kern w:val="0"/>
          <w:sz w:val="24"/>
          <w:szCs w:val="24"/>
          <w14:textFill>
            <w14:solidFill>
              <w14:schemeClr w14:val="tx1"/>
            </w14:solidFill>
          </w14:textFill>
        </w:rPr>
        <w:t>西方国家应当认识到国际社会多元治理模式的合理性和必要性，积极关注新兴国家对国际秩序规范的主动塑造。面对人类社会日益严峻的问题与挑战，以和平与发展为主旋律的良好世界秩序的最终达成，需要全世界的深入合作和共同努力，各个国家需要具备在开放系统中“渐进调适”的改革思维与适应能力，重建国家间信任，重回国际关系良性互动的正轨，共同承担推动良好世界秩序发展的国际责任。</w:t>
      </w:r>
    </w:p>
    <w:p w14:paraId="1249E7CB">
      <w:pPr>
        <w:adjustRightInd w:val="0"/>
        <w:snapToGrid w:val="0"/>
        <w:spacing w:line="360" w:lineRule="auto"/>
        <w:ind w:firstLine="480" w:firstLineChars="200"/>
        <w:rPr>
          <w:rFonts w:hint="eastAsia" w:ascii="宋体" w:hAnsi="宋体" w:eastAsia="宋体" w:cs="Times New Roman"/>
          <w:color w:val="000000" w:themeColor="text1"/>
          <w:kern w:val="0"/>
          <w:sz w:val="24"/>
          <w:szCs w:val="24"/>
          <w:lang w:eastAsia="zh-CN"/>
          <w14:textFill>
            <w14:solidFill>
              <w14:schemeClr w14:val="tx1"/>
            </w14:solidFill>
          </w14:textFill>
        </w:rPr>
      </w:pPr>
      <w:r>
        <w:rPr>
          <w:rFonts w:hint="eastAsia" w:ascii="宋体" w:hAnsi="宋体" w:eastAsia="宋体" w:cs="Times New Roman"/>
          <w:color w:val="000000" w:themeColor="text1"/>
          <w:kern w:val="0"/>
          <w:sz w:val="24"/>
          <w:szCs w:val="24"/>
          <w:lang w:eastAsia="zh-CN"/>
          <w14:textFill>
            <w14:solidFill>
              <w14:schemeClr w14:val="tx1"/>
            </w14:solidFill>
          </w14:textFill>
        </w:rPr>
        <w:t>（</w:t>
      </w:r>
      <w:r>
        <w:rPr>
          <w:rFonts w:hint="eastAsia" w:ascii="宋体" w:hAnsi="宋体" w:eastAsia="宋体" w:cs="Times New Roman"/>
          <w:color w:val="000000" w:themeColor="text1"/>
          <w:kern w:val="0"/>
          <w:sz w:val="24"/>
          <w:szCs w:val="24"/>
          <w:lang w:val="en-US" w:eastAsia="zh-CN"/>
          <w14:textFill>
            <w14:solidFill>
              <w14:schemeClr w14:val="tx1"/>
            </w14:solidFill>
          </w14:textFill>
        </w:rPr>
        <w:t>原载《政治经济学评论》2023年第5期，第二作者为宋宪萍。</w:t>
      </w:r>
      <w:r>
        <w:rPr>
          <w:rFonts w:hint="eastAsia" w:ascii="宋体" w:hAnsi="宋体" w:eastAsia="宋体" w:cs="Times New Roman"/>
          <w:color w:val="000000" w:themeColor="text1"/>
          <w:kern w:val="0"/>
          <w:sz w:val="24"/>
          <w:szCs w:val="24"/>
          <w:lang w:eastAsia="zh-CN"/>
          <w14:textFill>
            <w14:solidFill>
              <w14:schemeClr w14:val="tx1"/>
            </w14:solidFill>
          </w14:textFill>
        </w:rPr>
        <w:t>）</w:t>
      </w:r>
    </w:p>
    <w:p w14:paraId="0C9FD7CF">
      <w:pPr>
        <w:adjustRightInd w:val="0"/>
        <w:snapToGrid w:val="0"/>
        <w:spacing w:line="360" w:lineRule="auto"/>
        <w:jc w:val="center"/>
        <w:rPr>
          <w:rFonts w:ascii="Times New Roman" w:hAnsi="Times New Roman" w:eastAsia="宋体" w:cs="Times New Roman"/>
          <w:i/>
          <w:color w:val="000000" w:themeColor="text1"/>
          <w:sz w:val="24"/>
          <w:szCs w:val="24"/>
          <w14:textFill>
            <w14:solidFill>
              <w14:schemeClr w14:val="tx1"/>
            </w14:solidFill>
          </w14:textFill>
        </w:rPr>
      </w:pPr>
    </w:p>
    <w:p w14:paraId="782B465C">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p>
    <w:p w14:paraId="2DA44591">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p>
    <w:p w14:paraId="6BAAE3F1">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p>
    <w:p w14:paraId="7106D8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E0D9F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21C780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D010B4E">
      <w:pPr>
        <w:pStyle w:val="3"/>
        <w:bidi w:val="0"/>
        <w:rPr>
          <w:rFonts w:hint="eastAsia"/>
        </w:rPr>
      </w:pPr>
      <w:bookmarkStart w:id="231" w:name="_Toc1219033122"/>
      <w:bookmarkStart w:id="232" w:name="_Toc621365426"/>
      <w:bookmarkStart w:id="233" w:name="_Toc10052"/>
      <w:bookmarkStart w:id="234" w:name="_Toc1184232247"/>
      <w:bookmarkStart w:id="235" w:name="_Toc1604209199"/>
      <w:bookmarkStart w:id="236" w:name="_Toc644742745"/>
      <w:r>
        <w:rPr>
          <w:rFonts w:hint="eastAsia"/>
          <w:lang w:val="en-US" w:eastAsia="zh-CN"/>
        </w:rPr>
        <w:t>7</w:t>
      </w:r>
      <w:r>
        <w:rPr>
          <w:rFonts w:hint="eastAsia"/>
        </w:rPr>
        <w:t>新形势下中俄务实合作的基础与前景</w:t>
      </w:r>
      <w:bookmarkEnd w:id="231"/>
      <w:bookmarkEnd w:id="232"/>
      <w:bookmarkEnd w:id="233"/>
      <w:bookmarkEnd w:id="234"/>
      <w:bookmarkEnd w:id="235"/>
      <w:bookmarkEnd w:id="236"/>
    </w:p>
    <w:p w14:paraId="69D62C93">
      <w:pPr>
        <w:bidi w:val="0"/>
        <w:rPr>
          <w:rFonts w:hint="eastAsia"/>
        </w:rPr>
      </w:pPr>
      <w:r>
        <w:rPr>
          <w:rFonts w:hint="eastAsia"/>
        </w:rPr>
        <w:t>内容提要：世界动荡变革呈现新的特点与趋势，表现为全球经济增速大幅放缓、国际贸易增长不断萎缩、全球债务水平不断攀升、金融市场动荡持续加剧、去全球化消极互动明显。世界经济发展呈现新形势，即以七国集团为代表的美西方经济重要性和全球 GDP 贡献占比下降，而中国、俄罗斯等金砖国家为代表的东方国家和南方国家经济重要性和全球 GDP 贡献占比上升。在此背景下，中俄务实合作的基础表现为“政治互信”的中俄双边合作日益稳固、“经济互补”的中俄双边贸易日趋密切、“共商共治”的中俄全球治理理念为多边主义注入新动能。未来中俄两国可在经贸、科技、金融等领域展开深度务实合作，双方可联合国际一切友好正义力量，共同反对霸权主义同盟在世界各地的扩张和挑战。</w:t>
      </w:r>
    </w:p>
    <w:p w14:paraId="46CC57C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关键词：世界经济新形势；中国；俄罗斯；务实合作 </w:t>
      </w:r>
    </w:p>
    <w:p w14:paraId="12490C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43161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近一个时期，疫情、地缘冲突以及全球经济长期停滞，使世界经济格局受到严重扰动。在世界经济新形势的发展变化中，全球性风险挑战变得日益复杂严峻，各国人民的前途命运越来越紧密地联系在一起，如何准确认识当前世界经济发展的问题和趋势，尤其是深刻分析中国和俄罗斯务实合作的前景和重大作用，是全球治理体系普遍关注的重要议题，也是我国智库需要研究的紧迫课题。</w:t>
      </w:r>
    </w:p>
    <w:p w14:paraId="7C59D4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 xml:space="preserve">    一、当前世界经济发展的问题与趋势</w:t>
      </w:r>
    </w:p>
    <w:p w14:paraId="790C2D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当前，新一轮人工智能技术发展如火如荼，数字经济产业变革全面而深入，国际力量对比剧烈调整，世界动荡变革呈现新的特点与趋势。尤其2020年以来，在新冠疫情影响下，约90%的国家经济活动出现萎缩，超过了在两次世界大战、20世纪30年代的大萧条、20世纪80年代的新兴经济债务危机和2008年国际金融危机期间出现经济下滑的国家数量，是上世纪以来少有的一次世界经济大幅度产出萎缩。</w:t>
      </w:r>
      <w:r>
        <w:rPr>
          <w:rStyle w:val="20"/>
          <w:rFonts w:hint="eastAsia" w:ascii="宋体" w:hAnsi="宋体" w:eastAsia="宋体" w:cs="宋体"/>
          <w:sz w:val="24"/>
          <w:szCs w:val="21"/>
        </w:rPr>
        <w:footnoteReference w:id="402"/>
      </w:r>
      <w:r>
        <w:rPr>
          <w:rFonts w:hint="eastAsia"/>
          <w:sz w:val="24"/>
        </w:rPr>
        <w:t>随着世界进入大动荡、大变革、大发展的新时期，世界发展趋势不仅受到突发性全球公共卫生事件的后遗症影响，还面临国际经济、政治和社会发展等多种因素的影响，困难和挑战增多。具体表现在：</w:t>
      </w:r>
    </w:p>
    <w:p w14:paraId="7208E9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全球经济增速大幅放缓。疫情后的世界经济复苏步伐正在放缓，各经济领域、各地区之间的差距不断扩大。多国央行为抑制通胀而提高政策利率的措施持续对经济活动构成压力，全球经济增速放缓逐步加大，国际机构对全球经济形势仍呈保守看法，频频修正增长预期。世界银行最新一期《全球经济展望》指出，在全球利率上升的背景下，全球经济岌岌可危。全球增长预计将从2022年的3.1%放缓至2023年的2.1%，在中国以外的新兴市场和发展中经济体，增长率将从去年的4.1%下降至今年的2.9%，这些最新预测反映了对全球经济体增长前景的广泛下调。发达经济体的经济增长率将从2022年的2.6%降至今年的0.7%，2024年仍将保持疲软。美国经济在2023年增长1.1%之后，到2024年经济将减速至0.8%,主要原因是过去一年半利率大幅上升的影响挥之不去；在欧元区，由于紧缩货币政策和能源价格上涨的滞后效应，预计增长率将从2022年的3.5%降至2023年的0.4%；在低收入国家，特别是最贫穷国家，破坏是严峻的，在这些国家中，超过三分之一的国家，2024年的人均收入仍将低于2019年的水平。</w:t>
      </w:r>
      <w:r>
        <w:rPr>
          <w:rStyle w:val="20"/>
          <w:rFonts w:hint="eastAsia" w:ascii="宋体" w:hAnsi="宋体" w:eastAsia="宋体" w:cs="宋体"/>
          <w:sz w:val="24"/>
          <w:szCs w:val="21"/>
        </w:rPr>
        <w:footnoteReference w:id="403"/>
      </w:r>
      <w:r>
        <w:rPr>
          <w:rFonts w:hint="eastAsia"/>
          <w:sz w:val="24"/>
        </w:rPr>
        <w:t xml:space="preserve">根据国际货币基金组织（IMF）2023年7月最新发布的《世界经济展望报告》显示，IMF将2023年世界经济增长预期上调至3.0%，比4月预测值略高0.2个百分点。但IMF指出，全球经济复苏仍在放缓，经济部门和地区之间的差异不断扩大，未来仍然面临多重经济下行风险，远低于2000年至2019年间3.8%的平均水平。 </w:t>
      </w:r>
    </w:p>
    <w:p w14:paraId="7455D6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国际贸易增长不断萎缩。受中美两国贸易摩擦以及美国与世界其他国家的贸易冲突影响，国际贸易在2019年出现萎缩，并在2020年新冠疫情冲击下，萎缩幅度进一步加大。疫情之后，大宗商品价格飙升，部分原因是全球的供应链中断，部分原因是包括美国在内的许多经济体实施的扩张性财政政策和货币政策，2022年食品价格同比上涨18%（与2019年相比增长了65%），能源价格同比也上涨了58%（与2019年相比为93%）。高能源价格导致总体价格上涨，通货膨胀不断加剧。为了控制通货膨胀，世界各地的中央银行开始提高利率，但这又增加了消费者支出的压力。世贸组织发布最新的《2023届年度报告》显示，尽管自去年秋季以来GDP预测略有上调，但预计2023年的全球贸易增长仍将低于平均水平，受俄乌冲突、居高不下的通货膨胀、货币政策收紧和金融市场不确定性的影响，预计2023年全球货物贸易量将增长1.7%，而2022年的增长为2.7%。</w:t>
      </w:r>
      <w:r>
        <w:rPr>
          <w:rStyle w:val="20"/>
          <w:rFonts w:hint="eastAsia"/>
          <w:sz w:val="24"/>
        </w:rPr>
        <w:footnoteReference w:id="404"/>
      </w:r>
      <w:r>
        <w:rPr>
          <w:rFonts w:hint="eastAsia"/>
          <w:sz w:val="24"/>
        </w:rPr>
        <w:t xml:space="preserve"> 展望2024年，随着GDP回升至2.6%，贸易增长应该会反弹至3.2%，但由于存在重大下行风险，包括地缘政治紧张局势、粮食供应冲击以及货币紧缩可能带来的不可预见的后果，这一预测存在较大不确定性。在国际直接投资（FDI）方面，2023 年第一季度的初步估计显示，全球 FDI 流量较 2022 年第四季度的极低水平增长了两倍，达到 4400 亿美元。然而，与去年同期相比，全球 FDI 流量仍比 2022 年第一季度记录的水平低 25%。</w:t>
      </w:r>
      <w:r>
        <w:rPr>
          <w:rStyle w:val="20"/>
          <w:rFonts w:hint="eastAsia" w:ascii="宋体" w:hAnsi="宋体" w:eastAsia="宋体" w:cs="宋体"/>
          <w:sz w:val="24"/>
          <w:szCs w:val="21"/>
        </w:rPr>
        <w:footnoteReference w:id="405"/>
      </w:r>
      <w:r>
        <w:rPr>
          <w:rFonts w:hint="eastAsia"/>
          <w:sz w:val="24"/>
        </w:rPr>
        <w:t>。可见，国际贸易增长动力仍然严重不足，面临巨大的下行压力。与此同时，发达国家和发展中国家吸引FDI能力也出现不同程度的分化，这也将进一步加剧国际贸易发展的不平衡与不充分问题。</w:t>
      </w:r>
    </w:p>
    <w:p w14:paraId="31E417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全球债务水平不断攀升。全球债务规模的快速扩张，为世界经济长期发展埋下隐患。据国际金融协会（IIF）数据估算，2022年发达市场财政赤字占GDP比重下降至3.6%，新兴市场财政赤字占GDP比重则上升至6.1%。公共债务水平方面，2022年发达市场政府总债务占GDP比重112.4%，较上一年下降5.5%，其中美国和欧元区的政府总债务占比为122.1%和 93.0%，较上一年分别下降6.0%和2.3%；同期，新兴市场政府总债务占GDP比重64.5%，较上一年上升0.8%，其中中国、巴西和印度的政府总债务占比为76.9%、88.2%和83.4%，中国上升5.4%，巴西和印度分别下降4.8%和0.8%</w:t>
      </w:r>
      <w:r>
        <w:rPr>
          <w:rStyle w:val="20"/>
          <w:rFonts w:hint="eastAsia" w:ascii="宋体" w:hAnsi="宋体" w:eastAsia="宋体" w:cs="宋体"/>
          <w:sz w:val="24"/>
          <w:szCs w:val="21"/>
        </w:rPr>
        <w:footnoteReference w:id="406"/>
      </w:r>
      <w:r>
        <w:rPr>
          <w:rFonts w:hint="eastAsia"/>
          <w:sz w:val="24"/>
        </w:rPr>
        <w:t>。而在国际金融协会（IIF）最新《全球债务监测》季度报告中显示，2023年前三个月，全球债务较2022年底增加了8.3万亿美元，达到304.9万亿美元，是去年第一季度以来最高，也是有史以来第二高的季度数据。现在的全球债务比新冠疫情大流行前水平高出45万亿美元，预计将继续快速增加。在国际金融协会（IIF）覆盖的新兴市场国家范畴内，75%的国家第一季以美元计算的债务水平有所上升，总债务规模首次超过100万亿美元，相当于其GDP的250%，并且较2019年的75万亿美元增长了34%。在新兴市场中，墨西哥、巴西、印度和土耳其等国家的债务增幅最大。不过，受日本、美国、法国和英国推动，发达市场的债务增长比新兴市场更为明显，并出现一定的分化。</w:t>
      </w:r>
    </w:p>
    <w:p w14:paraId="45FD78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四，金融市场动荡持续加剧。2023年以来，美国多家银行关闭以及瑞士信贷银行因陷入危机而被瑞银集团强制收购，引发了全球对银行业危机的担忧，使得全球市场陷入动荡，这些紧张局势增加了世界经济的下行风险，并使得风险评估的不确定性大大提高。受新冠疫情与乌克兰危机等因素冲击，全球通胀水平持续攀升，各国实施的货币政策力求保证金融稳定，又要继续控制通胀。据国际货币基金组织（IMF）估计，2022年全球全年平均通胀率为8.8%，较2021年上涨4.0个百分点</w:t>
      </w:r>
      <w:r>
        <w:rPr>
          <w:rStyle w:val="20"/>
          <w:rFonts w:hint="eastAsia" w:ascii="宋体" w:hAnsi="宋体" w:eastAsia="宋体" w:cs="宋体"/>
          <w:sz w:val="24"/>
          <w:szCs w:val="21"/>
        </w:rPr>
        <w:footnoteReference w:id="407"/>
      </w:r>
      <w:r>
        <w:rPr>
          <w:rFonts w:hint="eastAsia"/>
          <w:sz w:val="24"/>
        </w:rPr>
        <w:t>。美国劳工统计局（Bureau of Labor Statistics）数据显示，2022年9月美国消费者价格指数（CPI）同比上涨 8.2%，环比上涨0.4%；剔除食品和能源价格的核心CPI同比上涨6.6%，创1982年8月以来最高水平。显然，通胀的顽固程度超过了国际货币基金组织（IMF）之前的预期，高通胀迫使发达市场央行加快了加息进程，新兴市场和美国的利差收窄，引发美元加速回流美国，新兴市场面临汇率危机乃至全面经济危机。那么，金融市场动荡加剧可能与全球经济衰退、地缘政治冲突白热化相互交织、相互强化，而最终实体经济的恶化又会反过来冲击金融市场信心。</w:t>
      </w:r>
    </w:p>
    <w:p w14:paraId="25D89B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第五，去全球化消极互动明显。截至2020年全球价值链参与率为44.4%</w:t>
      </w:r>
      <w:r>
        <w:rPr>
          <w:rStyle w:val="20"/>
          <w:rFonts w:hint="eastAsia" w:ascii="宋体" w:hAnsi="宋体" w:eastAsia="宋体" w:cs="宋体"/>
          <w:sz w:val="24"/>
          <w:szCs w:val="21"/>
        </w:rPr>
        <w:footnoteReference w:id="408"/>
      </w:r>
      <w:r>
        <w:rPr>
          <w:rFonts w:hint="eastAsia"/>
          <w:sz w:val="24"/>
        </w:rPr>
        <w:t>，低于近十年平均水平，这种由全球化进程放缓带来的逆全球化趋势背后，是美国的独裁单边主义、狭隘保护主义、霸权霸道霸凌行径所带来的贸易冲击。</w:t>
      </w:r>
      <w:r>
        <w:rPr>
          <w:rStyle w:val="20"/>
          <w:rFonts w:hint="eastAsia" w:ascii="宋体" w:hAnsi="宋体" w:eastAsia="宋体" w:cs="宋体"/>
          <w:sz w:val="24"/>
          <w:szCs w:val="21"/>
        </w:rPr>
        <w:footnoteReference w:id="409"/>
      </w:r>
      <w:r>
        <w:rPr>
          <w:rFonts w:hint="eastAsia"/>
          <w:sz w:val="24"/>
        </w:rPr>
        <w:t>大国之间的零和博弈逐步发展为以损伤本国利益为代价削弱对手竞争力的“负和博弈”，在这种“负和博弈”过程中，“去全球化”的消极互动成为大国之间经济互动的主要特征。一方面，以美国为首的西方霸权主义不断将国际贸易问题升级为地缘政治冲突和意识形态对抗，并与之盟国一起推动国际经济关系、科技关系、人文关系政治化，主动放弃共商共建、合作共赢的发展方式，遏制新兴市场和发展中经济体的全球价值链的嵌入。另一方面，美国越来越频繁地使用贸易管制与金融制裁，据全球贸易预警数据库（Global Trade Alert Database）数据显示，2021年全球实施贸易阻碍措施3281起，高于新冠疫情前平均水平，美国对新兴市场尤其是中国进行单边制裁和“长臂管辖”，加大科技遏华力度，推动高端技术生产链与价值链“去中国化”，加大了中美两国在经济上“脱钩”的风险，对新兴市场和发展中经济体产业链升级带来严重冲击，这样的做法在短期内进一步恶化了全球经济形势。这些“去全球化”消极互动强化了逆全球化趋势，让自由主义国际秩序的危机更加严重，迫使全球价值链面临碎片化、冗余化的风险。</w:t>
      </w:r>
    </w:p>
    <w:p w14:paraId="16C02D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当今世界中，除了要看到上述世界经济发展的种种问题和困难，还应深刻认识到世界经济发展的新格局和全球经济治理的变革。2008年美西方爆发的金融经济危机、2022年美西方引发的俄乌冲突以来，国际经济新格局趋向为“西降东升”（与“西强东弱”、“以弱取胜”的格局并存）</w:t>
      </w:r>
      <w:r>
        <w:rPr>
          <w:rStyle w:val="20"/>
          <w:rFonts w:hint="eastAsia"/>
          <w:sz w:val="24"/>
        </w:rPr>
        <w:footnoteReference w:id="410"/>
      </w:r>
      <w:r>
        <w:rPr>
          <w:rFonts w:hint="eastAsia"/>
          <w:sz w:val="24"/>
        </w:rPr>
        <w:t>，即以七国集团为代表的美西方经济重要性和全球贡献GDP的占比下降，而中国、俄罗斯等金砖国家为代表的东方国家和南方国家经济重要性和全球贡献GDP的占比上升。2023年4月9 日，据英国宏观经济研究公司Acorn Macro Consulting最新公布的数据显示，在基于购买力平价的水平下，由世界5个主要发展中经济体组成的金砖国家集团占全球GDP)中所占份额已超过七国集团 (G7)。具体数据来看，巴西、俄罗斯、印度、中国和南非等金砖五国集团贡献了全球 GDP 的 31.5%。与此同时，由美国、加拿大、法国、德国、意大利、日本和英国组成的七国集团（G7）加起来则占全球GDP的30.7%。</w:t>
      </w:r>
      <w:r>
        <w:rPr>
          <w:rStyle w:val="20"/>
          <w:rFonts w:hint="eastAsia" w:ascii="宋体" w:hAnsi="宋体" w:eastAsia="宋体" w:cs="宋体"/>
          <w:sz w:val="24"/>
          <w:szCs w:val="21"/>
        </w:rPr>
        <w:footnoteReference w:id="411"/>
      </w:r>
      <w:r>
        <w:rPr>
          <w:rFonts w:hint="eastAsia"/>
          <w:sz w:val="24"/>
        </w:rPr>
        <w:t>换句话说，金砖五国GDP总量占全球GDP的比重已经超过了G7的比重。尤其是中国表现突出，据国际货币基金组织（IMF）等资料，仅从汇率而不是人民币购买力平价的占比看，1978年中国GDP总量占世界比重为1.8%，中国由1990年的最低的1.76%，开始触底反弹；2022年，中国大陆GDP总量对美国的占比为71.1%，出于汇率变化因素，较上年（75.9%）有所下降。若将两岸四地合并计算（中国大陆、港澳台），则GDP合计19.2万亿美元，占比美国为75.6%。中国大陆GDP已达到世界第三名日本的4.3倍，且超过日、德、印、英、法之和。2022年，欧盟27国GDP合计16.6万亿美元，低于中国。2022年中国GDP实际增速3.0%，规模121万亿元（18万亿美元），相当于美国约71%，占全球GDP比重约18%，稳居全球第二大经济体。2022年美国GDP同比实际增长2.1，总量达到25.47万亿美元，占比全球的25.55%。中国与美国GDP规模差距快速缩小，相当于美国的70%，预计2030年中国GDP总量赶超美国。</w:t>
      </w:r>
    </w:p>
    <w:p w14:paraId="08E2759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西降东升”的世界经济新格局是美国的国内外众多矛盾、霸权衰落的机制和规律所决定的，是各发展中国家立足本国实际情况，积极参与全球发展合作，积极拓展发展渠道，坚持自力更生、独立自主的有为结果。作为发展中大国，中国高度重视作为兴国强国的第一要务，成功推进和拓展了中国式现代化，取得了举世瞩目的发展成就。中美之间差距的缩小是美国式现代化与中国式现代化各自不同的发展道路的效果，而非中国的经济发展负面影响了美国；恰恰相反，中国的经济发展是不断受到美国违反国际法的非法制裁和打压的。</w:t>
      </w:r>
    </w:p>
    <w:p w14:paraId="617DBF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目前美国政府对国际多边机制的损害性运用，已经严重影响到国际制度的权威性与可信性，传统全球经济治理体系缺乏包容性和公平性问题不断凸显，无法实现对全球经济运行失衡的破局，因而全球经济治理体系正悄然嬗变。由于新兴市场和发展中国家经济崛起，客观上削弱了霸权国家在全球经济治理的绝对主导地位，全球经济权力呈多极化态势，霸权国家为维护自身利益，实施贸易保护主义的同时也降低了其全球公共产品供给的积极性，原有大国霸权治理向多主体合作共治转变。然而，拜登政府极力维护美国自称的全球“领导地位”，并不断强化跨大西洋联盟和跨太平洋联盟，以期形成对所谓“非市场经济体”的共同贸易、金融和科技政策，并加大力度逼迫发展中国家做出选择，企图改变世界多极化发展趋势。不过，二十国集团（G20）等新型区域经济治理组织的出现，促使发展中经济体也逐渐被纳入到全球治理体系之中，促成了区域合作与高层对话，成为通向更高层次多边合作的重要平台。尤其是中国所倡导的人类命运共同体构建，为全球经济治理拓展了新思路。</w:t>
      </w:r>
    </w:p>
    <w:p w14:paraId="750B20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2022年11月10日，在联合国举行的第21次会议上，作为代表77国集团成员国和中国的联合国会员国，巴基斯坦代表提出了题为“走向国际经济新秩序”的决议草案；2022年11月21日，联合国在第22次会议上通过了题为“走向国际经济新秩序”的决议。其中，中国、俄罗斯等124票赞成，美国、乌克兰、英国、日本、韩国等50票反对、土耳其等2票弃权。这充分反映美国等新帝国主义及其盟国维护不合理的国际经济秩序，以及中国、俄罗斯等为代表的广大发展中国家积极要求改革不公正的国际经济旧秩序和加强国际经济治理的良好愿望。可见，世界进步友好国家抵制和反制“美国式”经济政治军事的霸权治理，联手打造利益共同体、责任共同体、命运共同体，这既是各国走向共同繁荣的现实利益需要，也是维护世界和平与发展的治理需要。</w:t>
      </w:r>
    </w:p>
    <w:p w14:paraId="31123F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二、中俄两国务实合作的深厚基础</w:t>
      </w:r>
    </w:p>
    <w:p w14:paraId="61E864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全球经济“和平赤字、发展赤字、安全赤字、治理赤字”日益加重的情况下，世界之变、时代之变、历史之变正以前所未有的方式展开，世界人民对公平正义的呼声更加强烈，对合作共赢的追求更加坚定。大国关系事关全球战略稳定，大国间相互合作才能实现全球发展共赢。纵观当前世界上各个大国关系发展态势，中俄关系是世界上重要的双边关系之一，中俄在创造积极的大国关系新范式方面具有广阔前景、强大的内生发展动力以及重要的世界意义。推进大国协调合作，构建总体稳定、均衡发展的大国关系框架，是新时代中国特色大国外交的重要组成部分。2017年7月，两国元首达成“四个相互坚定支持”共识，进一步丰富中俄共同外交理念，双边伙伴关系提质升级，成为中俄两国战略合作关系发展的战略增强版。此后中俄两国元首于在不同场合会晤高达到10次之多，表明近年来两国战略协作伙伴关系趋向于全面、深入和高效发展。</w:t>
      </w:r>
    </w:p>
    <w:p w14:paraId="49C38B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（一）“政治互信”：中俄双边合作日益稳固</w:t>
      </w:r>
    </w:p>
    <w:p w14:paraId="7A5BAA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俄关系不仅在亚太地区，乃至全球均发挥着至关重要的作用，是21世纪新型大国关系的重要典范。作为“好邻居、好朋友、好伙伴”，中俄两国具有共同周边，肩负着维护所处地区和平、稳定和繁荣的特殊使命。中俄多次就当前世界形势和重大国际问题签署并发表联合声明，互相认同对方和平与发展的外交主张，倡导世界多极化和国际关系民主化，主张以合作共赢的方式来解决全球性问题。</w:t>
      </w:r>
      <w:r>
        <w:rPr>
          <w:rStyle w:val="20"/>
          <w:rFonts w:hint="eastAsia" w:ascii="宋体" w:hAnsi="宋体" w:eastAsia="宋体" w:cs="宋体"/>
          <w:sz w:val="24"/>
          <w:szCs w:val="21"/>
        </w:rPr>
        <w:footnoteReference w:id="412"/>
      </w:r>
      <w:r>
        <w:rPr>
          <w:rFonts w:hint="eastAsia"/>
          <w:sz w:val="24"/>
        </w:rPr>
        <w:t>2023年3月签署的《中俄关于深化新时代全面战略协作伙伴关系的联合声明》中指出，“中俄关系不是类似冷战时期的军事政治同盟，而是超越该种国家关系模式，具有不结盟、不对抗、不针对第三国的性质”。俄罗斯在2023年版《俄罗斯联邦外交政策构想》中明确表示将进一步加强与中国的全面战略协作伙伴关系，发展双方在各领域的互利合作，与中国在国际舞台上相互支持、加强协调，以确保欧亚大陆和世界其他地区的安全、稳定和可持续发展。在中俄两国元首的顶层设计和战略引领之下，中俄建立起多层次、全领域合作机制，除元首会晤机制外，“长江—伏尔加河”、“东北—远东”两大区域性合作机制的建立，进一步深化了中俄毗邻及非毗邻地区合作，中俄（贸易）博览会、中国—亚欧博览会的举办，也为加强区域间企业交流与合作提供了重要平台，并借助中国“一带一路”在欧亚地区筑牢以中俄关系为核心的大国关系，实现跨越式发展。中俄两国加快战略对接进程，有利于促成世界和平与发展的战略均衡格局。</w:t>
      </w:r>
    </w:p>
    <w:p w14:paraId="6859E4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（二）“经济互补”：中俄双边贸易日趋密切</w:t>
      </w:r>
    </w:p>
    <w:p w14:paraId="66B1AC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俄在经济上也有很大的互补性，中国具有世界上最大的市场、优势产业和投资能力，俄罗斯具有丰富的自然资源和发达的科技基础，中俄两国贸易合作潜力巨大、前景可观。尤其在“一带一路”倡议提出后，中俄互惠贸易增长势头强劲，两国战略性大型合作项目稳</w:t>
      </w:r>
    </w:p>
    <w:p w14:paraId="54D5C8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有进，合作领域不断拓宽，合作程度不断加深，不断释放出新动能。2013年中俄贸易额仅为892.6亿美元，2019年在中俄建交70周年之际，双边贸易额突破1000亿美元大关，达到1109.4亿美元。为进一步把高水平政治互信转化为务实合作成果，夯实两国新时代全面战略协作伙伴关系的物质基础，2019年6月中俄两国明确提出推动双边贸易向2000亿美元迈进。2022年，中俄双边贸易额达到创纪录的1902.71亿美元，同比增长29.3%，其中，中国对俄出口761.23亿美元，增长12.8 %；中国自俄进口1141.49亿美元，增长43.4%，中国连续13年稳居俄罗斯第一大贸易伙伴国。根据我国海关总署公布的最新统计数据显示，2023年1到6月份半年的时间，中俄之间的贸易总额就已经创下了纪录，达到了1459.6亿美元，贸易额累计比去年同期增加了50.9%。</w:t>
      </w:r>
      <w:r>
        <w:rPr>
          <w:rStyle w:val="20"/>
          <w:rFonts w:hint="eastAsia" w:ascii="宋体" w:hAnsi="宋体" w:eastAsia="宋体" w:cs="宋体"/>
          <w:sz w:val="24"/>
          <w:szCs w:val="21"/>
        </w:rPr>
        <w:footnoteReference w:id="413"/>
      </w:r>
      <w:r>
        <w:rPr>
          <w:rFonts w:hint="eastAsia"/>
          <w:sz w:val="24"/>
        </w:rPr>
        <w:t>俄罗斯已经进入到我国前四大外贸伙伴的行列了，仅次于美国日本韩国，而且很有可能今年下半年中俄之间的贸易总额还会大幅增长，也就是说未来俄罗斯将成为我国重要的贸易伙伴。中俄经贸合作稳步推进，能源、基础设施、科技、航空航天、数字经济、农业、旅游等领域合作取得新成果，为两国共同发展提供了助力。尤其是中俄两国能源战略具有很高的契合度，有着一系列共同、长远的利益，中俄能源合作之路由一般油气贸易发展到勘探、开发及油气管道建设、再到油气产品精炼的全方位合作，体现了中俄战略协作伙伴关系到全面战略协作伙伴关系提升及深化的全过程。中国与俄罗斯在工业机器人、工业设备、发电机等技术领域的贸易也有较大幅度的增长。</w:t>
      </w:r>
    </w:p>
    <w:p w14:paraId="7A941C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（三）“共商共治”：中俄注入多边主义新动能</w:t>
      </w:r>
    </w:p>
    <w:p w14:paraId="60D193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3月21日下午，中国国家主席习近平在莫斯科克里姆林宫同俄罗斯总统普京举行会谈，习近平总书记指出，“当前，百年变局加速演进，国际力量对比深刻演变。作为联合国安理会常任理事国和世界主要大国，中俄责无旁贷，应该共同努力，引导和推动全球治理朝着符合国际社会期待的方向前进，推动构建人类命运共同体。双方要在涉及彼此核心利益问题上相互支持，共同抵制外部势力干涉内政。要加强在国际事务特别是联合国、上海合作组织、金砖国家合作机制等多边框架内的沟通协调，践行真正的多边主义”。</w:t>
      </w:r>
      <w:r>
        <w:rPr>
          <w:rStyle w:val="20"/>
          <w:rFonts w:hint="eastAsia" w:ascii="宋体" w:hAnsi="宋体" w:eastAsia="宋体" w:cs="宋体"/>
          <w:sz w:val="24"/>
          <w:szCs w:val="21"/>
        </w:rPr>
        <w:footnoteReference w:id="414"/>
      </w:r>
      <w:r>
        <w:rPr>
          <w:rFonts w:hint="eastAsia"/>
          <w:sz w:val="24"/>
        </w:rPr>
        <w:t>在中俄共同的引领推动下，上海合作组织、金砖国家以及中俄印、中俄蒙合作等机制应运而生，两国在联合国、二十国集团、上合组织、金砖国家、亚洲相互协作与信任措施会议（亚信会议）等共同参与的多边框架下有效协调。以金砖国家合作为例，中俄作为金砖国家合作机制的创始成员与核心主体，共同推进金砖合作的机制化、系统化、实心化，并通过“金砖+”平台建立全球发展伙伴关系。2021年金砖五国经济总量约占世界的25.24%，贸易总额占世界的 17.9%，作为金砖国家合作的标志性成果之一，新开发银行（New Development Bank）成立7年多来已批准99个贷款项目，总额超过340亿美元，成为新兴市场和发展中经济体可持续发展的重要保障，也成为国际多边开放机构的参考样板。“中俄引领”的强大驱动力促进了中俄深化战略协作，构成了从“双边—多边—双边”的正向循环结构，为促进全球疫后经济复苏，推动多极化趋势发展，推动全球治理体系变革完善注入新动能，也为丰富新型大国关系的理论内涵提供新范式。</w:t>
      </w:r>
    </w:p>
    <w:p w14:paraId="59E863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w:t>
      </w:r>
      <w:r>
        <w:rPr>
          <w:rFonts w:hint="eastAsia"/>
          <w:b/>
          <w:bCs/>
          <w:sz w:val="24"/>
        </w:rPr>
        <w:t xml:space="preserve"> 三、中俄两国务实合作的前景展望</w:t>
      </w:r>
    </w:p>
    <w:p w14:paraId="0D9E1B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乌克兰危机引发的美欧对俄经济制裁以及中美贸易摩擦频发，成为中俄经贸关系的重要转折点，也进一步强化了中俄合作意向。当前俄罗斯的经济表现强劲，2022年俄罗斯的商品和服务规模达到2.3万亿美元，成为全球第八大经济体，超过了加拿大、意大利和韩国。同时俄罗斯的战略中心正视东方，加强与亚洲特别是中国的战略合作。中国也将俄罗斯视为重要的经贸伙伴，据清华大学战略与安全研究中心（CISS）发布的《“中国人的国际安全观”民意调查报告（2023）》显示，民众对俄罗斯的好感度最高，达到58.4%，中国民众希望中国采取更加积极进取的外交姿态。在共同的外部压力下，中俄强化合作方向为双边经贸共同创造光明的经济发展前景打下坚实基础。</w:t>
      </w:r>
    </w:p>
    <w:p w14:paraId="7D30978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方面，中俄战略合作有望进一步加强。其一，加强贸易合作。进一步扩大贸易合作深度和广度，推动能源领域中俄合作规模不断扩大，农业领域中俄农副产品贸易种类、数量不断增加，服务贸易领域，运输、旅游、商品售后服务等多类型服贸合作不断深化。据最新统计资料显示，2023年1-4月，中俄贸易额为731.48亿美元，同比增长41.3%。其中，中国对俄出口336.86亿美元，增长67.2%；中国自俄进口394.62亿美元，增长24.8%。其二，加强科技合作。在欧亚地区共建“一带一路”中，除了能源合作、通道建设等传统合作领域外，高科技、数字经济等领域逐渐成为中俄两国战略合作的新方向、新领域、新业态，中俄在数字治理、竞争力、安全领域各有所长。在北京冬奥会俄罗斯总统普京访华期间，中俄达成涉及航空航天、石油天然气、信息与数字化等诸多领域15项技术合作协议，积极推进多个航空航天、卫星导航项目的技术合作，并计划2035年共同在月球上建立国际科研站。在数字经济合作方面，以“一带一路”倡议为蓝图，中俄共同推动欧亚区域互联网基础设施建设与数字经济相关政策对接，共享数字经济发展成果。其三，加强金融合作。人民币在中俄双边贸易结算中占比自2014年的3.1%已提升至2021年的17.9%，本币作为支付手段的作用逐步增强，能够有效降低企业汇率风险、节约汇率成本，本币结算对中俄双边贸易的促进优势越来越显著，两国企业对本币结算需求不断上升。BWC中文网长期独家跟进全球去美元化进程，据统计，截至5月19日至少112个国家已经开始了不同方法的“去美元化”。塔斯社5月24日消息，俄罗斯总理米舒斯京24日表示，俄中之间70%的跨境结算已经在使用卢布和人民币。中俄双方在加强进一步的“去美元化”方面将会更有力的合作，双方未来将通过推进本币结算和可替代美元的其他国际货币结算，逐步摆脱西方控制的国际支付体系等方式，降低美国制裁带来的风险。</w:t>
      </w:r>
    </w:p>
    <w:p w14:paraId="734D1D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习近平主席指出：“地方合作是中俄开展全方位互利合作的重要力量”</w:t>
      </w:r>
      <w:r>
        <w:rPr>
          <w:rStyle w:val="20"/>
          <w:rFonts w:hint="eastAsia"/>
          <w:sz w:val="24"/>
        </w:rPr>
        <w:footnoteReference w:id="415"/>
      </w:r>
      <w:r>
        <w:rPr>
          <w:rFonts w:hint="eastAsia"/>
          <w:sz w:val="24"/>
        </w:rPr>
        <w:t>。中俄两国边境区域合作项目大有潜力可挖，能够助力实现双方合作战略升级，促进双方全面加强各领域务实合作。因此中俄两国战略合作前景要以地方合作为抓手，携手搭建地方合作交流平台。据俄罗斯卫星通讯社6月28日报道，俄罗斯滨海边疆区政府负责人表示，计划在该地区建立展示俄中朝产品的工贸园区。这样，东北亚地区就是未来中俄应大力推进合作的区域发展方向，推动中俄区域战略合作，实现更高层次、更高领域的发展，逐步达到开辟北极航线的理想目标。</w:t>
      </w:r>
    </w:p>
    <w:p w14:paraId="18B9A0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另一方面，中俄战略合作之路也将面临诸多挑战。其一，新冠疫情之前，全球价值链即呈现出重构趋势，新冠疫情进一步加速全球产业链供应链既有变化趋势。在逆全球化趋势下，美国通过制造业回流政策重塑本土制造业的全球竞争力，不断增加高端产业技术壁垒与出口商品知识产权摩擦，以期牢牢占据价值链高端，并联合盟友加大对中俄遏制、加速产业链脱钩，给全球价值链重构与中俄经贸合作带来不小的压力。其二，乌克兰危机重塑欧洲地缘政治格局，中俄正常经贸活动可能受到国际政治因素的干扰，某些方面的合作难度加大。其三，美国在中国周边造成围堵态势，韩国和日本参与北约和针对俄罗斯和中国的不良活动日渐增多，美韩针对朝鲜半岛的军事演习和挑衅不断增强，可能影响中俄之间以及与朝鲜经贸合作的国际形势。</w:t>
      </w:r>
    </w:p>
    <w:p w14:paraId="6892C3D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当今世界各国深度嵌入全球价值链所形成的高度依赖关系，决定了无论何时、无论国际形势发生什么变化，中国对外开放的大门不会关闭，中国促进高水平开放和维护国家总体安全的决心不会变。中国将与俄罗斯一道，始终秉承求同存异、共商共建的基本理念，高举和平合作、开放包容、互学互鉴、互利共赢的丝路精神旗帜，联合国际一切友好正义力量，共同反对霸权主义同盟在世界各地的扩张和挑战，共同打造政治互信、经济融合、文化包容、军事合作的利益共同体、责任共同体和命运共同体。</w:t>
      </w:r>
    </w:p>
    <w:p w14:paraId="40EE3EE9">
      <w:pPr>
        <w:bidi w:val="0"/>
        <w:rPr>
          <w:rFonts w:hint="eastAsia"/>
          <w:lang w:eastAsia="zh-CN"/>
        </w:rPr>
      </w:pPr>
      <w:r>
        <w:rPr>
          <w:rFonts w:hint="eastAsia"/>
          <w:lang w:eastAsia="zh-CN"/>
        </w:rPr>
        <w:t>（</w:t>
      </w:r>
      <w:r>
        <w:rPr>
          <w:rFonts w:hint="eastAsia"/>
          <w:lang w:val="en-US" w:eastAsia="zh-CN"/>
        </w:rPr>
        <w:t>原载《当代中国与世界》2023年第3期，第二三作者为</w:t>
      </w:r>
      <w:r>
        <w:rPr>
          <w:rFonts w:hint="eastAsia"/>
        </w:rPr>
        <w:t>宋宪萍</w:t>
      </w:r>
      <w:r>
        <w:rPr>
          <w:rFonts w:hint="eastAsia"/>
          <w:lang w:eastAsia="zh-CN"/>
        </w:rPr>
        <w:t>、</w:t>
      </w:r>
      <w:r>
        <w:rPr>
          <w:rFonts w:hint="eastAsia"/>
        </w:rPr>
        <w:t>李卓儒</w:t>
      </w:r>
      <w:r>
        <w:rPr>
          <w:rFonts w:hint="eastAsia"/>
          <w:lang w:eastAsia="zh-CN"/>
        </w:rPr>
        <w:t>。）</w:t>
      </w:r>
    </w:p>
    <w:p w14:paraId="44108B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C92BBB0">
      <w:pPr>
        <w:pStyle w:val="3"/>
        <w:bidi w:val="0"/>
        <w:rPr>
          <w:rFonts w:hint="eastAsia"/>
        </w:rPr>
      </w:pPr>
      <w:bookmarkStart w:id="237" w:name="_Toc1295689074"/>
      <w:bookmarkStart w:id="238" w:name="_Toc23557"/>
      <w:bookmarkStart w:id="239" w:name="_Toc512934933"/>
      <w:bookmarkStart w:id="240" w:name="_Toc286819508"/>
      <w:bookmarkStart w:id="241" w:name="_Toc75739421"/>
      <w:bookmarkStart w:id="242" w:name="_Toc2136316100"/>
      <w:r>
        <w:rPr>
          <w:rFonts w:hint="eastAsia"/>
          <w:lang w:val="en-US" w:eastAsia="zh-CN"/>
        </w:rPr>
        <w:t>8</w:t>
      </w:r>
      <w:r>
        <w:rPr>
          <w:rFonts w:hint="eastAsia"/>
        </w:rPr>
        <w:t>数字经济时代的数据垄断与掠夺路径分析</w:t>
      </w:r>
      <w:bookmarkEnd w:id="237"/>
      <w:bookmarkEnd w:id="238"/>
      <w:bookmarkEnd w:id="239"/>
      <w:bookmarkEnd w:id="240"/>
      <w:bookmarkEnd w:id="241"/>
      <w:bookmarkEnd w:id="242"/>
    </w:p>
    <w:p w14:paraId="5AE9FD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 要]数据是数字经济时代十分核心的生产要素，在社会生产、消费、分配各环节发挥着重要作用，数据的重要性毋庸置疑。在数字经济时代，数据竞争成为企业竞争的核心要素，数据垄断表现出双轮垄断的特征。这也造成资本的增殖空间的扩大、资本统治力度的增强，也对传统经济空间造成了挤压，导致实体经济和虚拟经济失衡等问题。数据垄断的前提是数据的集中，而集中的数据是掌握在作为数据载体的私人平台企业中，平台企业对数字技术和算法的掌握是实现数据垄断的“另一条腿”。数据垄断三种掠夺方式，一是用户“数字劳动”的无偿占有，二是基于数据垄断优势的需求制造问题，三是对数据空间收取“数据租金”。因此我们需要正确审视数字经济时代的新变化，才能制定符合实际的监管方法。</w:t>
      </w:r>
    </w:p>
    <w:p w14:paraId="76ADDCE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[关键词]数字经济；数据垄断；平台经济；政治经济学分析</w:t>
      </w:r>
    </w:p>
    <w:p w14:paraId="5DF3638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w:t>
      </w:r>
    </w:p>
    <w:p w14:paraId="395A0C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近年来，随着科学技术的发展，人类从信息化迈向数字化、智能化时代。在全世界，以互联网+为特征的生产工具的变革，不仅推动了生产力水平的提高，而且极大地影响了社会经济运行方式、人们的生产生活方式。2020年4月，中共中央、国务院发布《关于构建更加完善的要素市场化配置体制机制的意见》，在中国，数据首次被列入为生产要素的范畴，并且确定其可以按贡献参与分配。一方面，数据成为数字经济发展的关键生产要素，不断地促进产业结构的调整和重塑，为社会经济发展增添新动能；另一方面由于数据垄断所带来的负面影响也扰乱了公平竞争的市场环境。“十四五”规划中指出要“切实用好数据要素”，就要发挥数据要素的优势作用，规避数据垄断带来的负面影响，推动我国数字经济健康发展。</w:t>
      </w:r>
    </w:p>
    <w:p w14:paraId="7CD083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本文的分析框架如下。首先通过对数据的基本特点和在社会生产中发挥的作用进行研究；其次，对数字经济时代的数据垄断的表现与特征、数据垄断形成的原因进行分析；再次，在此基础上对数字经济时代的掠夺路径进行分析概括，更加清晰地从理论上认识数字经济时代的新变化，促进我们更好地应对数据垄断问题，从而为促进互联网健康发展提供参考。</w:t>
      </w:r>
    </w:p>
    <w:p w14:paraId="3F26F8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一、数据的基本特点及作用</w:t>
      </w:r>
    </w:p>
    <w:p w14:paraId="74A64F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（一）数据的特征</w:t>
      </w:r>
    </w:p>
    <w:p w14:paraId="66B60B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是载有信息和知识的数字，其背后隐含着人与人之间的社会关系，具有社会属性。数据是依托数字来进行编码，在互联网时代数据传播的媒介主要是互联网，因此数字经济时代的数据具有以下特点：一可复制和分享。数据承载自然界和人类社会的各类信息，在第一次生产后可供人们重复的复制、传递和分享。二可无限增长和供给。在人类的社会生活中，每时每刻都在产生数据，数据生产可以无限增长和供给。三非实体性。数据的表达必须依赖于一定的媒介，比如报纸或者网络，其本身不具有实体性。四时效性。人们每天都在生产着数据，数字技术的进步和发展和社会环境的变化必然导致数据随着时间的推移其所承载的信息的价值具有逐渐衰退的特点。</w:t>
      </w:r>
    </w:p>
    <w:p w14:paraId="74EC32B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作为生产要素的数据与传统生产要素有着本质的区别。首先，不考虑产权的专有性，数据本身不具有唯一性和排他性，而传统的生产要素如土地、资本等生产要素具有唯一性和排他性。由于数据的可复制性和可分享性，相同的数据可以被不同的使用者使用，数据可以多次分享和消费，具有非排他性。从理论上说，不考虑数据的控制权，人们都可以使用已产生的数据。其次，数据与传统的生产要素不同，不具有明晰的产权所属关系，数据是由大众生产和消费，由少数人所占有整体控制权和使用权，即数据在一方面是纯粹的公共品，另一方面是私人品。[1](p23-31)最后，数据作为一种生产要素不同于其他生产要素，其他生产要素可以直接投入生产过程，数据需要进行相应的处理后方可投入到社会生产过程。</w:t>
      </w:r>
    </w:p>
    <w:p w14:paraId="7763487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数据在社会生产中的作用</w:t>
      </w:r>
    </w:p>
    <w:p w14:paraId="17EB14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进入web2.0时代以来，数据在经济发展中发挥着重要作用越发凸显。“数字经济的高渗透性已经对产业链与价值链产生深远影响”[2](p77)，而数据作为数字经济的核心生产要素，更是在社会生产中发挥着如下作用：</w:t>
      </w:r>
    </w:p>
    <w:p w14:paraId="4F1B06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降低生产成本和流通成本。数据及相关技术的有效使用可以通过提高对生产过程的控制与优化，合理安排生产计划，减少原材料入库、折损、看管机器等方面产生的成本，降低商品的成本价格，提高商品竞争力；数据的有效使用也可以通过合理布局原材料购入点、商品售出点，减少运输成本、加快流通速度，尽可能避免原材料供不应求耽误生产和商品滞销的情况，从而降低商品的流通成本，使相对更多的资本投入生产过程，创造和实现更多的价值。</w:t>
      </w:r>
    </w:p>
    <w:p w14:paraId="4D48FD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提高生产和流通的效率。数据的有效使用，可以帮助资本家及时获取市场上关于原材料和商品的价格以及供求情况，从而合理布局原材料的购入和商品的出售，降低生产中断，提高原材料的利用率和劳动生产率；数据生产方式的更高效率，根源在于它对人类脑力劳动的替代，以及对人类体力劳动的整合。这种生产方式，在本质上可以看作是一种结合劳动，因而可以产生“结合的生产力”，从根本上大大地节约社会劳动时间。从现实的情况看，通过使用数据提高生产和流通效率的影响是巨大的，不仅提高了生产运行的效率，而且可以提高资本的使用效率，因为提高了资本的周转速度，因而能获取更多的利润；提高劳动生产率，减少流失时间，不断转换劳动过程从而提高效率，以此获取更多的利润，是资本家强大的动力来源之一。</w:t>
      </w:r>
    </w:p>
    <w:p w14:paraId="6F879E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分析趋势、调整供给。随着社会生活水平的提高，批量生产的标准化产品已不能满足人们的需求，一个工厂只需要生产同质化产品的时代已经过去，人们对个性化的生产要求越来越高，并且这将会是一种长久的趋势；消费者的个性化需求给厂家的生产带来了挑战——如何批量生产个性化商品。从批量生产到批量定制，以大数据、物联网、云计算、人工智能等作为支撑的智能化生产是关键，快速获取消费者偏好信息、精准匹配个性化商品的买卖双方，已经成为当今时代企业的重要手段。此外，不少商家不仅利用数据做到了分析趋势，调整供给，甚至还开始利用数据优势“制造需求”。</w:t>
      </w:r>
    </w:p>
    <w:p w14:paraId="4C7620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加快创新产品供给，更快占领市场。数字企业要想在市场上占据主导地位，就必须要领先开发出新一代产品。如果说传统经济中，资本的竞争存在“大鱼吃小鱼”的特点，那么，在当今时代，“快鱼吃慢鱼”则是资本发展的显著特征——是否能够领先开发出新技术、新产品，对数字企业的发展具有至关重要的作用。但是，能否抢先用创新产品占领市场不仅与其创新产品的能力有关，有的中小企业即便拥有创新性技术或产品也会因为其势力不够而被大型垄断企业进行技术兼并。</w:t>
      </w:r>
    </w:p>
    <w:p w14:paraId="4896EE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二、数据垄断的表现与影响</w:t>
      </w:r>
    </w:p>
    <w:p w14:paraId="18ACAC9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进入21世纪以来，伴随着数字技术的飞速进步和知识经济的发展，许多国家涌现出一大批基于信息技术的互联网企业，尤其是近10年以来，数字经济异军突起，“数据信息成为互联网数字平台上最重要的生产资料”[3]（p2），全球数字经济竞争和数据资源争夺愈演愈烈。</w:t>
      </w:r>
    </w:p>
    <w:p w14:paraId="5BFC4B0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（一）数据垄断的表现</w:t>
      </w:r>
    </w:p>
    <w:p w14:paraId="469A1E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1.数据成为企业竞争的关键要素</w:t>
      </w:r>
    </w:p>
    <w:p w14:paraId="578ED9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上面的分析中我们知道，数据在生产的各个环节都能发挥出其优势作用。数字经济之父唐·泰普斯科特认为，数据将成为数字时代最强大的资产，《经济学人》杂志和很多企业家也将数据视为数字经济时代的新石油。因此进入数字经济时代，企业竞争的焦点从传统的生产要素聚焦到新的生产要素——数据上，能否掌握和使用数据在很大程度决定着企业能否在竞争中脱颖而出。</w:t>
      </w:r>
    </w:p>
    <w:p w14:paraId="1DE386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2.数据双轮垄断——横向跨界、纵向渗透</w:t>
      </w:r>
    </w:p>
    <w:p w14:paraId="7EF4224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数据垄断更多的以双轮垄断的形式呈现，“双轮垄断是基于平台的基础垄断地位将垄断地位衍生到新领域的跨界垄断”[3](p3）。数据垄断不局限于本身的领域，它在横向进行延伸，在纵向上进行渗透。</w:t>
      </w:r>
    </w:p>
    <w:p w14:paraId="732014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1）在横向上</w:t>
      </w:r>
    </w:p>
    <w:p w14:paraId="1E5C49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对于数据垄断主体的竞争者，一方面，大型互联网平台为了保持自身的竞争优势和垄断地位，会限制其他竞争对手获得平台的数据和用户，其次通过合并、控股等方式扩大自身对数据掌握的全面性。另一方面，一些极具垄断地位的平台利用自身强大的实力，对一些还没有发展起来的潜在竞争者进行杀手式并购或者掠夺，通过自身优势抄袭小微企业的产品，卷走其用户，强化自身的垄断优势。</w:t>
      </w:r>
    </w:p>
    <w:p w14:paraId="4FEDAD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2）在纵向上</w:t>
      </w:r>
    </w:p>
    <w:p w14:paraId="5936A0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是具有数据垄断的主体利用自身的垄断地位进行自我优待。自我优待是指数据垄断主体既是平台的提供者，也是平台上的商户。其往往利用自己的支配地位给自营产品予以优待，比如亚马逊平台利用自身所掌握的商家数据，调整其自营产品的销售策略。</w:t>
      </w:r>
    </w:p>
    <w:p w14:paraId="3D397DB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是渗透到消费者使用的各个场景。首先是被迫开放自己的数据权限。用户在进入各类互联网平台时都得给平台提供授权服务，否则就不能正常使用相应的平台。而用户所提供的授权服务往往超过平台提供的服务范围。其次，被迫“站队”。例如一些大型电商平台利用其在市场中的主导地位，与具有一定依赖性的商家签订协议，排斥同行业的竞争，具有明显的强迫性和排他性。从客观上来说，一些商家对于一些大型平台具有一定的依赖性，容易形成用户粘性，由于数据迁移等方面的难度，这些商家甚至不能脱离平台生存。而这种依赖性恰恰成为平台强迫商家进行排他性选择的重要因素。这种具有强迫性质的“站队”行为，严重损害用户的权益，在其获得垄断性高利润的同时，排斥同行竞争，强化其自身的垄断地位。最后，“大数据杀熟”或差别定价。用户在接入平台后就向平台授权了其对自己的数据收集权，平台根据收集的用户数据分析其在互联网平台上的行为，如浏览记录、点赞评论、交易数量等对用户进行大数据精准画像，对用户的习惯、偏好进行模拟，进而对其采取差别定价，实施“价格歧视”。随着技术手段的进步和营销方式的多样化，平台会依据用户画像和算法，随机生成各类优惠券和价格组合，“大数据杀熟”也越来越具有隐蔽性。[4](p69）</w:t>
      </w:r>
    </w:p>
    <w:p w14:paraId="3FDD57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（二）数据垄断的影响</w:t>
      </w:r>
    </w:p>
    <w:p w14:paraId="4246FC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1.数据垄断扩大了资本增殖的空间</w:t>
      </w:r>
    </w:p>
    <w:p w14:paraId="52B5B1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资本主义社会进入后工业阶段，依然表现为“市场的扩张赶不上生产的扩张”[5](p556），此时对于所有的生产者来说，找的新的市场是最为关键的，现在不再是生产决定消费，而是“消费决定生产”。在数字经济时代，大数据画像技术为资本增殖提供了技术支持，数据垄断是大数据画像得以开展的前提。大数据画像技术是基于对用户多维度的信息数据进行收集、统计,利用定性与定量相结合的方法对数据进行分析，并据此推测用户的兴趣与需求，将结果以标签体系的形式呈现，进而为用户推荐适销对路的产品和服务，以此来实现抽象用户信息全貌的一种技术手段。这也是现代营销不同于传统营销的一个关键原因，重点不在于商品是否物美价廉，而在于是否和推测的目标人群的需求和兴趣相一致。</w:t>
      </w:r>
    </w:p>
    <w:p w14:paraId="19BD69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大数据画像技术企业要想对人们实现大数据画像首先是拥有海量数据，这对于已经具有垄断地位的平台是轻易而举的事情，因此他们更容易利用自身的数据垄断优势，采取大数据画像技术对用户进行分析，进而进行相应推荐，这些方式都有助于拓宽资本增殖的空间。</w:t>
      </w:r>
    </w:p>
    <w:p w14:paraId="6B8C44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2.数据垄断增强了资本的统治力度</w:t>
      </w:r>
    </w:p>
    <w:p w14:paraId="62C6A1E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数字经济时代，数据已经渗透生产、消费、流通等各个领域，马克思指出“物质生活的生产方式制约着整个社会生活、政治生活和精神生活的过程”[6](p591），这种新的生产方式极大的影响人们生活的各个领域。不同于传统的垄断企业，以数据垄断和算法垄断为核心的平台企业，并不需要把生产的物质资料集中起来，它依靠于核心的计算机核心技术、核心的数据和算法的垄断就可以把庞大的、分散的小资本联系起来。在一个巨大的平台上，是一个集散式的网络结构，一个大资本就可以协调调度更大规模的分工协作，并由其主导分配消费。资本的统治力度在数据垄断的加持下得到增强。</w:t>
      </w:r>
    </w:p>
    <w:p w14:paraId="38D8BE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3.数据垄断挤压传统经济空间，造成数字经济与实体经济的失衡</w:t>
      </w:r>
    </w:p>
    <w:p w14:paraId="4087996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根据前面的分析，数据的集中产生的是数据垄断和数据资本与物质资本的分离。一方面，数字经济独立于实体经济，另一方面数字经济又没有办法离开实体经济而发展。线上数据、算法不断集中，和线下实体的分散状态产生对立。平台企业凭借数据垄断优势调动更大的社会资本，但平台本身并从事实体生产，而资本又大量积累在平台企业家那里，随着数据垄断走向数据寡头，传统的经济生产完全受制于数据寡头，实体经济的生产受制于数字经济，这种对立与倒置将会导致整个经济结构的不稳定。</w:t>
      </w:r>
    </w:p>
    <w:p w14:paraId="4BF2BF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三、数据垄断的形成路径</w:t>
      </w:r>
    </w:p>
    <w:p w14:paraId="71B2E6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垄断主要是指的是拥有数据绝对优势的企业基于对数据来源和渠道的控制，并在此基础上利用技术优势在数据交易、数据分析、数据使用等环节实施垄断行为。从实践角度讲，处于互联网中的人每天都在生产数据，但这些数据并不都能成为人们的生产资料，基于平台的网络外部性，数据的集中成为必然，而作为其载体的平台具有先天数据垄断的优势，而其有用的数字技术和数据处理能力为其建立了极强的排他壁垒。</w:t>
      </w:r>
    </w:p>
    <w:p w14:paraId="7FC3AF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（一）数据的集中——转化为数据资本的前提</w:t>
      </w:r>
    </w:p>
    <w:p w14:paraId="19B4CA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字经济时代的数据不同于传统时代的数据，在互联网技术、大数据等现代计算机网络支持下，智能设备可以将所有的传统设备产生的数据都链接进入互联网络中。数据的集中就像原始的劳动对象——土地的兼并，集中的数据更有价值和竞争力。数据作为生产要素参与到整个社会生产流通过程，在劳动过程中，数据属于劳动对象，数据集中后才能进一步形成数据资本，而且在互联网虚拟空间中数据比其他物质资料在现实空间运行更容易形成垄断。</w:t>
      </w:r>
    </w:p>
    <w:p w14:paraId="0AFEE1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数字经济时代，对数据的掌握是平台之间竞争的关键要素。在传统的行业竞争中，对物质生产资料占有的多少是一个企业是否能够做大做强的条件之一，而在数字经济时代，对数据的占有是其能否从竞争中脱颖而出的先决条件。数据的集中有两方面的要求，首先是数据量的规模；其实是数据所涉及的广度和宽度。基于此也必然要求企业有相应的数据收集和存储能力。数据的收集并不能产生价值，还要求企业有相应的数据挖掘和分析处理能力或者有相应的算法来处理数据。但是，由于数据的价值密度较低，因而无论是数据挖掘还是机器学习，都需要建立在大量数据的基础之上，并且数据的涉及面广也有助于得出全面、立体、准确的信息。从这个角度来说，只有大规模、多结构、多类型的数据才能真正发挥大数据的真正优势。现实中，往往只有大型平台或者大型公司控制并分析这些数据的能力。</w:t>
      </w:r>
    </w:p>
    <w:p w14:paraId="75EB3B2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企业拥有数据优势不仅利于技术开发、也能在定价策略、营销策略、个性化服务、行业预测等方面发挥积极作用，与此同时，数据的这种优势还能自我强化，呈现出马太效应，即拥有数据绝对优势的企业居于“赢者通吃”的地位。这种现象的形成，有以下几种原因：</w:t>
      </w:r>
    </w:p>
    <w:p w14:paraId="55A41C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方面，算法和数字技术优化具有技术壁垒，易于具有数据、技术、资本基础的企业形成绝对优势。算法是运用数学和统计学知识，运用计算机程序解决问题的步骤，其核心是建立模型。模型需要足够的数据支持，才能形成并进一步优化，提高准确性。</w:t>
      </w:r>
    </w:p>
    <w:p w14:paraId="66D68A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另一方面，由于数据迁移难度大、消费习惯等造成的用户黏性。尤其是在平台模式下，平台内有大量的经营者，由于数据迁移的难度和成本，这些经营者对平台往往具有一定的依赖性；而平台由于着力于对用户数据的收集，因此也会对用户喜好等信息较为了解，能够更快的实现商品与用户的匹配，从而更能获得消费者的青睐，比如线上购物平台、网约车平台等。具有数据优势的企业往往由于能够提供更好、更便利的服务，留住和吸引更多的用户，从而获得更多的数据。此外，拥有数据优势的企业，还能利用其优势，刺激消费者消费甚至“制造需求”，引导消费。</w:t>
      </w:r>
    </w:p>
    <w:p w14:paraId="5CA474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（二）平台型企业的崛起——数据垄断的载体</w:t>
      </w:r>
    </w:p>
    <w:p w14:paraId="3B3E8B4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垄断实质是以平台为主体的垄断”[7](p35)，平台经济的快速崛起，对于精准匹配商品、消费的提供者和消费者、优化资源配置、推动产业升级都起到了显著的作用。平台经济是以互联网等现代信息技术为基础，基于平台将消费者、广告商、服务提供商、生产商、供应商等聚集在一起，从而整合多主体资源和关系，从而创造价值，使多主体利益最大化的一种新型经济。</w:t>
      </w:r>
    </w:p>
    <w:p w14:paraId="25567A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平台型企业的崛起，具有一定的合理性和必然性。一般来说，平台企业使消费者和生产者更容易直接见面，促进人的需要的多样化和个性化。平台企业能够大大满足现代社会中消费者的个性化需求，顺应了买方市场下社会生产的发展趋势。平台企业的崛起，还在于它在提高社会生产效率方面同样具有优势，能够加强对生产过程的控制，大幅提高制造效率，改善产品质量，降低产品成本和资源消耗，最终实现由传统工业转向智能化生产的新阶段。从商品流通来看，平台提供了一个场所，让生产者与消费者通过能为双方产生价值的互动而集中到一起，制定交易流程和规则，提供网络配套服务，使商品的供需方快速配对。</w:t>
      </w:r>
    </w:p>
    <w:p w14:paraId="68D938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平台具有大规模数据收集、存储、分析和应用的优势。平台存在多边主体，平台之上产生的交易信息、用户的偏好信息和背景信息、包括各类产品和服务的供求信息等，都可以被平台所有者收集、存储，进而运用于生产经营。“数字经济平台型企业天然具有从竞争到垄断的发展趋势”[3](p2)，由此，作为劳动资料的数据也具有自然的垄断属性。作为各种类型的大型平台往往集数据收集能力和数据处理能力与一体，比如亚马逊，不仅可以通过线上购物平台收集来自各方的信息，而且它还拥有自身的数据平台AWS，形成其他企业难以企及的强大的数据优势。</w:t>
      </w:r>
    </w:p>
    <w:p w14:paraId="6D0755E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平台经济中，数据的有效使用是降低生产成本、提高生产流通效率、提高竞争优势的关键。数据成为各科技公司争夺的主要对象，但是在实践中真正有价值的数据主要掌握在少数数据寡头手里。这种数据的集中化，实际上形成了数据垄断和平台巨头竞争优势的基础。事实上，大型平台企业的垄断往往是围绕核心业务部门的生态系统的扩张[8](p115)。与传统的企业垄断不同的是，平台既不是单纯的纵向兼并供应链上下游企业，也不是横向兼并直接竞争对手，它们不仅致力于在某一核心业务的垄断，而且往往会围绕核心业务进行扩张，致力于形成闭环的生态系统。在不断的跨行业整合中，大型平台掌握的数据规模和数据面的广度都是其他中小企业难以企及的，其数据优势地位也将越来越难以被撼动。</w:t>
      </w:r>
    </w:p>
    <w:p w14:paraId="7C46F7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BCF51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（三）数据处理技术和算法——数据垄断的基石</w:t>
      </w:r>
    </w:p>
    <w:p w14:paraId="489F2B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作为关键的生产要素进入到生产消费全过程，是科技革命发展的产物，是数字经济时代的显著特征。很多数据本身无所谓价值，当数据的量积累到一定程度，通过一系列的处理和分析提取出满足人们需要的内容，数据才真正具有了使用价值。</w:t>
      </w:r>
    </w:p>
    <w:p w14:paraId="6BD7AF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大数据时代，传统的人工分析数据的方法在当下已经难以完成有效的数据分析，这与如今数据的特点直接相关：首先是数据的规模很大，人们每天生活、学习、娱乐、生产等各方面的行为都可能作为数据被收集，庞大的数据规模使得人工分析数据变得艰难；其次是数据的类型繁多，结构复杂，整合处理的难度升级；再次，目前由于数据的规模过大，因而数据的价值密度相对过低；最后，很多数据具有较强的时效性，如果处理能力有限，很可能无法跟上数据更新的速度。面对海量、复杂的数据，处理数据、获取信息的效率至关重要，而处理数据、获取信息的效率关键取决于企业是否拥有大量数据，以及是否拥有数据存储、分析的能力。因此，对数据处理技术和算法的掌握是数据竞争能否取胜的一个关键。</w:t>
      </w:r>
    </w:p>
    <w:p w14:paraId="2AD624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基于上述分析，“大型数字平台得以不断强化甚或固化其市场支配力,使平台经济领域呈现出愈发显著的‘双轮垄断’态势”[9](p30)。</w:t>
      </w:r>
    </w:p>
    <w:p w14:paraId="4775EE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数字经济时代数据垄断的掠夺路径</w:t>
      </w:r>
    </w:p>
    <w:p w14:paraId="7FA1D5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本来，数据的集中可以为人“自由而全面的发展”提供助力，然而我们所面临的是由于数据要素市场治理机制不完善，数据产权界定困难等问题又面临全球化的迅猛发展。数字平台利用自身的数据垄断的地位一步步加强掠夺。首先是利用平台和用户本身的不平等地位，无偿收集用户数据，无偿占有用户的“数字劳动”，其次是基于大数据的需求制造，而这个需求并不一定是人的真实需求。最后，利用自身垄断地位收取“数据租金”[10](p9)。</w:t>
      </w:r>
    </w:p>
    <w:p w14:paraId="6A893D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（一）无偿占有用户的“数字劳动”</w:t>
      </w:r>
    </w:p>
    <w:p w14:paraId="4863B9E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根据《中国互联网发展状况统计报告》指出，截至2022年6月，我国移动互联网用户为14.15亿</w:t>
      </w:r>
      <w:r>
        <w:rPr>
          <w:rStyle w:val="20"/>
          <w:rFonts w:hint="eastAsia" w:ascii="宋体" w:hAnsi="宋体" w:eastAsia="宋体" w:cs="宋体"/>
          <w:sz w:val="24"/>
          <w:szCs w:val="21"/>
        </w:rPr>
        <w:footnoteReference w:id="416"/>
      </w:r>
      <w:r>
        <w:rPr>
          <w:rFonts w:hint="eastAsia"/>
          <w:sz w:val="24"/>
        </w:rPr>
        <w:t>，全球移动互联网用户49亿人</w:t>
      </w:r>
      <w:r>
        <w:rPr>
          <w:rStyle w:val="20"/>
          <w:rFonts w:hint="eastAsia" w:ascii="宋体" w:hAnsi="宋体" w:eastAsia="宋体" w:cs="宋体"/>
          <w:sz w:val="24"/>
          <w:szCs w:val="21"/>
        </w:rPr>
        <w:footnoteReference w:id="417"/>
      </w:r>
      <w:r>
        <w:rPr>
          <w:rFonts w:hint="eastAsia"/>
          <w:sz w:val="24"/>
        </w:rPr>
        <w:t>。每一个用户在进入任何一个网络平台时都要签定数据授权协议，平台可以免费收集用户产生的各类数据。平台商利用梅特卡夫法则即网络价值以用户数量的平方的速度增长，也就是所谓的网络外部性。每一个先加入网络平台的人都成为后来用户的吸引者，并且由于数据转移的困难，增加了用户的黏性。逐渐实现自身的垄断地位。在此基础上。数字平台利用互联网技术对用户数据进行无征求的抓取，形成的海量数据缺乏大众有意识的直接参与，用户在不知情的情况下成为了生产数据的“免费劳工”。对这些自愿贡献数据(volunteered data)看似合理的占有，实则是一种剥夺。网络平台以宣扬数字网络空间中的社区构建和用户权利来掩盖对“数字劳动”的无偿占有。比如，互联网中网页导入链接的数量和质量是谷歌网页搜索排名得以实现的关键指标，而每一个网页链接的背后都凝结着网民的免费劳动。网页链接的庞大集合，自然物化了不容忽略的数字劳动。[11](p124-135)用户越多、用户提供的数据越多，也为数字平台获得竞争优势和垄断地位提供了支撑。</w:t>
      </w:r>
    </w:p>
    <w:p w14:paraId="005D86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（二）基于大数据的需求制造</w:t>
      </w:r>
    </w:p>
    <w:p w14:paraId="2D6CC5B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随着互联网技术的发展和用户的集中，平台所掌握的数据规模变得无比庞大。这为资本主义找到新的市场找到了新的突破口——制造需求。这里需要说明的是需求和需要是不一样的，在政治经济学视域下，需要是客观的，需求是主观的。[12](p13-25)在资本主义以前的社会中，人们进行生产主要是为了满足自己的需要，而其需要的内容也主要是其生产的内容，“他的需要的界限也就是他生产的界限”[13](p180)。在不同时代背景下，人们的需要也是随着社会的发展而不断变化的。随着社会生产力的发展，人们需要的内容不断地扩充、丰富。在资本主义早期阶段，由于物质生产力相对还不够发达，资本家为了追求剩余价值，把工人的需要降到最低的限度，只维持了工人必要的需求；资本主义发展到今天，物质生产水平有了极大的提高，随着蛋糕的做大，工人阶级所获得的绝对份额也在增加，并且最重要的是，社会生产力的水平远远超过提供人们必要生活需求所需的生产力水平——资本主义生产过剩的问题一直存在，并且会随着科学技术水平的提高而加剧；在发达资本主义国家，人们的生活必需品已经在一定程度上得到了满足，甚至还有些过剩，资本在这个领域获取利润的空间缩小、难度加大；于是出现了一种现象——资本为了能够持续获利，通过广告、意识形态灌输等方式，人为制造需求，以此来开拓市场，这是资本逐利本性的必然结果。</w:t>
      </w:r>
    </w:p>
    <w:p w14:paraId="54EE04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大数据是需求制造的重要前提。对单个用户的浏览、交易等数据进行分析，找到其感兴趣的方面，推荐其可能感兴趣的产品；对平台所有用户的数据进行分析，可以更为精准的找到人们可能想要的需求。在过去的商品交换中“一方只有符合另一方的意志，就是说每一方只有通过双方共同一致的意志行为，才能让渡自己的产品”[14](p103)，然而在数字经济时代即使人们不一定有这个需求，也就是开始时人们对一些商品的态度并不与资本家一致，而资本家通过大数据、互联网平台的垄断地位铺天盖地的营销宣传，让人们“自觉”的接受这些制造出来的需求，实现了这种“一致”，因为用户大多数情况下是处于被动接受平台提供信息的地位，从而顺利实现找到新市场进而增殖的目的。从实践角度讲，虽然一方面消费者对个性化商品要求逐渐提升，而另一方面数据垄断主体利用平台快速掌握消费者偏好，经过数据分析等操作后，制造出满足人们“需要”的需求，正如法兰克福学派指出的那样“人们似乎为了商品而生活”[15](p9)。换句话说，拥有足量数据、具有一定资本规模并掌握先进技术的大型垄断平台，不仅能够获取消费者的偏好，将其提供给厂家，也能通过智能化生产系统进行个性化商品的批量生产，还能迅速匹配商品的买卖双方，甚至通过一些方式，人为制造需求，这将导致生产与人类追求幸福自由的目的的对立。</w:t>
      </w:r>
    </w:p>
    <w:p w14:paraId="76D3ED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（三）“数据租金”</w:t>
      </w:r>
    </w:p>
    <w:p w14:paraId="245A4F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字经济时代，平台上聚集的用户越多，该平台就越具有在竞争中获胜的潜力，出现“强者愈强、弱者愈弱”的马太效应。数字平台在竞争中具有多方面的优势，比如用户粘性、数据垄断、网络外部性等，这些优势会进一步强化平台的技术垄断、市场垄断等，进而形成稳定性垄断，甚至成为超级平台。平台形成垄断后，其利润来源主要是平台“数据租金”。</w:t>
      </w:r>
    </w:p>
    <w:p w14:paraId="4A0CDF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资本论》第三卷中，马克思详尽论述了地租的三种基本形式，即级差地租、绝对地租和垄断地租。级差地租产生于地理位置优越、土壤肥沃的土地上，其实质是投在个别的土地上所产生的个别利润高于平均利润的余额；绝对地租产生的根本原因是土地所有权的垄断，即农业资本家获得的农产品价值高于社会生产价格所产生的超额利润；垄断地租是由于商品价格不由价值规律约束、直接取决于消费者的购买欲望和支付能力而产生的，是以垄断价格为基础而获得的地租。“我们把第三种地租称为刚需地租，它的剥削对象主要是消费者，如果相应的商品是消费品的话。而如果相应的商品是生产资料，购买者是资本家，那么刚需地租的获得者并没有剥削资本家，而是要么瓜分资本家剥削来的剩余价值，要么伙同或借助资本家剥削利用这个生产资料生产出来的商品的消费者”。[16](p84)</w:t>
      </w:r>
    </w:p>
    <w:p w14:paraId="4E9FA8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字平台有两种方式获得“数据租金”。一种是利用自身数据垄断优势对平台的收入中进行抽成。比如以美国硅谷的网约车Uber为例，Uber在2009年成立于美国旧金山，其通过旗下的同名打车软件连接乘客与司机，给人们带来了出行的便利，并在美国车租车市场迅速扩展，对传统出租车行业造成了较大的冲击，但是基本没有旗下车辆的所有权。Uber从一开始就有其明确的盈利模式，即对平台用户的每次收入中抽取一定份额的租金，刚开始通过优惠吸引更多的消费者，并且培养消费习惯，形成用户黏性。平台可以在每一次出行订单中获取用户信息，以减少出租车主与消费者之间的信息不对称，以此提高用户体验，这是其优势不断自我强化的过程。在积累了一定的用户人群时，平台开始提高价格，以此获取更大的利润。从Uber的利润来源可以看出，它的利润与马克思所讲的地租性质基本是一致的。另一种是在数字平台上为广告商提供广告空间，广告商支付租赁费用。比如淘宝直通车，如果商家支付一定的租金，平台会给其商品提供更好的权重展示，更容易让数字平台用户看到。</w:t>
      </w:r>
    </w:p>
    <w:p w14:paraId="206E4D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五、结论</w:t>
      </w:r>
    </w:p>
    <w:p w14:paraId="746623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类进入信息化时代以来，人们每天都在生产数据，而这些数据在互联网等计算机技术的支持下可以被收集起来，进而化为左右这个时代社会生产、消费的重要因素。从数据的特征即分享性、无限性、非实体性和时效性等出发，阐释数据在社会生产中的重要作用。用好数据可以降低成本、分析趋势、调整供给、提高生产和流通的效率、加快创新产品供给、更快占领市场等方面发挥重要作用。而在现实生活中掌握和使用数据的是那些数据垄断商，数据垄断也是一把双刃剑，一方面数据的集中可以发挥其在生产生活中的优势作用；另一方面，由于数据的集中并不是掌握在国家手中，因而数据的滥用也引发了很多问题，数据垄断商利用自己的垄断地位进行自我优待，限制竞争，而用户本身处于弱势地位更是不得不面临强迫授权、价格歧视等问题。数据垄断也扩大了资本增殖空间，增强了资本的统治力度，也挤压了传统的经济空间，导致实体经济和虚拟经济的失衡，这给国家经济稳定带来了很多不确定性。数字经济时代的数据垄断为资本家进一步掠夺提供了新的空间，首先数字平台无偿占有用户的“数字劳动”，利用垄断协议收集用户的各类数据。他们以掌握数据垄断优势去获得“数据租金”，依据对数据垄断优势制造需求。</w:t>
      </w:r>
    </w:p>
    <w:p w14:paraId="19D9D1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数据垄断的根本原因在于数据资源的私人占有，而掌握数据的是平台，因此，管好平台是解决数据垄断的关键。一方面，数字经济是目前经济发展中的重要组成部分，另一方面数据垄断等新表现确实带来了一系列问题，因此我们需要正确审视数字经济时代的新变化，才能制定符合实际的监管方法。</w:t>
      </w:r>
    </w:p>
    <w:p w14:paraId="601B98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7487E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参考文献</w:t>
      </w:r>
    </w:p>
    <w:p w14:paraId="7D5EE5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[1]易宪容,陈颖颖,位玉双.数字经济中的几个重大理论问题研究——基于现代经济学的一般性分析[J].经济学家,2019(07).</w:t>
      </w:r>
    </w:p>
    <w:p w14:paraId="27E883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[2]周小亮.发展数字经济  促进产业链现代化[J].政治经济学研究,2022(02).</w:t>
      </w:r>
    </w:p>
    <w:p w14:paraId="49628C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[3]程恩富,王爱华.数字平台经济垄断的基本特征、内在逻辑与规制思路[J].南通大学学报(社会科学版),2022(05).</w:t>
      </w:r>
    </w:p>
    <w:p w14:paraId="30C8BE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[4]张菲,朱桐雨.互联网平台企业的数据垄断问题研究[J].国际经济合作,2022(05).</w:t>
      </w:r>
    </w:p>
    <w:p w14:paraId="06DED7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[5]马克思恩格斯文集:第3卷[M].北京：人民出版社,2009.</w:t>
      </w:r>
    </w:p>
    <w:p w14:paraId="569B5A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[6]马克思恩格斯文集:第2卷[M].北京：人民出版社,2009.</w:t>
      </w:r>
    </w:p>
    <w:p w14:paraId="1C7F4C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[7]林丹,李建建.数据垄断与反垄断的政治经济学分析[J].福建论坛(人文社会科学版),2022(09).</w:t>
      </w:r>
    </w:p>
    <w:p w14:paraId="55A0D4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[8]尼克·斯尔尼塞克.平台资本主义[M].程水英,译.广东人民出版社,2018.</w:t>
      </w:r>
    </w:p>
    <w:p w14:paraId="23BA76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[9]冯旭,李雪艳,姚宇.数字经济的价值创造探赜——基于新马克思经济学综合学派“新的活劳动价值一元论”的理论阐释[J].海派经济学,2022(04).</w:t>
      </w:r>
    </w:p>
    <w:p w14:paraId="575A24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[10]石先梅.互联网平台企业垄断形成机理：从数据竞争到数据租金[J].管理学刊,2021(06).</w:t>
      </w:r>
    </w:p>
    <w:p w14:paraId="2A7325A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[11]黄再胜.数据的资本化与当代资本主义价值运动新特点[J].马克思主义研究,2020(06).</w:t>
      </w:r>
    </w:p>
    <w:p w14:paraId="1B742C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[12]刘凤义,刘子嘉.政治经济学视域下“需要”与“需求”的关系研究[J].南开经济研究,2021(01).</w:t>
      </w:r>
    </w:p>
    <w:p w14:paraId="3D61D6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[13]马克思恩格斯文集:第1卷[M].北京：人民出版社,2009.</w:t>
      </w:r>
    </w:p>
    <w:p w14:paraId="0AA127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[14]马克思恩格斯文集:第5卷[M].北京：人民出版社,2009.</w:t>
      </w:r>
    </w:p>
    <w:p w14:paraId="2DF106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[15]赫伯特·马尔库塞.单向度的人——发达工业社会意识形态研究[M].刘继,译.上海译文出版社,2008.</w:t>
      </w:r>
    </w:p>
    <w:p w14:paraId="6EAF69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[16]余斌.“数字劳动”与“数字资本”的政治经济学分析[J].马克思主义研究,2021(05).</w:t>
      </w:r>
    </w:p>
    <w:p w14:paraId="5E65F0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w:t>
      </w:r>
      <w:r>
        <w:rPr>
          <w:rFonts w:hint="eastAsia"/>
          <w:sz w:val="24"/>
          <w:lang w:val="en-US" w:eastAsia="zh-CN"/>
        </w:rPr>
        <w:t>原载《理论月刊》2023年第9期，第二作者为余晓爽</w:t>
      </w:r>
      <w:r>
        <w:rPr>
          <w:rFonts w:hint="eastAsia"/>
          <w:sz w:val="24"/>
          <w:lang w:eastAsia="zh-CN"/>
        </w:rPr>
        <w:t>）</w:t>
      </w:r>
    </w:p>
    <w:p w14:paraId="0A21D3BE">
      <w:pPr>
        <w:bidi w:val="0"/>
        <w:rPr>
          <w:rFonts w:hint="eastAsia" w:ascii="宋体" w:hAnsi="宋体" w:eastAsia="宋体" w:cs="宋体"/>
          <w:sz w:val="24"/>
          <w:szCs w:val="24"/>
        </w:rPr>
      </w:pPr>
    </w:p>
    <w:p w14:paraId="1CCD0BEC">
      <w:pPr>
        <w:bidi w:val="0"/>
        <w:rPr>
          <w:rFonts w:hint="eastAsia" w:ascii="宋体" w:hAnsi="宋体" w:eastAsia="宋体" w:cs="宋体"/>
          <w:sz w:val="24"/>
          <w:szCs w:val="24"/>
        </w:rPr>
      </w:pPr>
    </w:p>
    <w:p w14:paraId="13B6D746">
      <w:pPr>
        <w:bidi w:val="0"/>
        <w:rPr>
          <w:rFonts w:hint="eastAsia" w:ascii="宋体" w:hAnsi="宋体" w:eastAsia="宋体" w:cs="宋体"/>
          <w:sz w:val="24"/>
          <w:szCs w:val="24"/>
        </w:rPr>
      </w:pPr>
    </w:p>
    <w:p w14:paraId="212126B4">
      <w:pPr>
        <w:bidi w:val="0"/>
        <w:rPr>
          <w:rFonts w:hint="eastAsia" w:ascii="宋体" w:hAnsi="宋体" w:eastAsia="宋体" w:cs="宋体"/>
          <w:sz w:val="24"/>
          <w:szCs w:val="24"/>
        </w:rPr>
      </w:pPr>
    </w:p>
    <w:p w14:paraId="0A80D5FA">
      <w:pPr>
        <w:pStyle w:val="3"/>
        <w:bidi w:val="0"/>
        <w:rPr>
          <w:rFonts w:hint="eastAsia"/>
        </w:rPr>
      </w:pPr>
      <w:bookmarkStart w:id="243" w:name="_Toc898059873"/>
      <w:bookmarkStart w:id="244" w:name="_Toc1162086138"/>
      <w:bookmarkStart w:id="245" w:name="_Toc1642129723"/>
      <w:bookmarkStart w:id="246" w:name="_Toc11810"/>
      <w:bookmarkStart w:id="247" w:name="_Toc1622167088"/>
      <w:bookmarkStart w:id="248" w:name="_Toc1285598507"/>
      <w:r>
        <w:rPr>
          <w:rFonts w:hint="eastAsia"/>
          <w:lang w:val="en-US" w:eastAsia="zh-CN"/>
        </w:rPr>
        <w:t>9</w:t>
      </w:r>
      <w:r>
        <w:rPr>
          <w:rFonts w:hint="eastAsia"/>
        </w:rPr>
        <w:t>政治经济学视角下美国财政制度演变 与资本主义发展阶段关联性分析</w:t>
      </w:r>
      <w:bookmarkEnd w:id="243"/>
      <w:bookmarkEnd w:id="244"/>
      <w:bookmarkEnd w:id="245"/>
      <w:bookmarkEnd w:id="246"/>
      <w:bookmarkEnd w:id="247"/>
      <w:bookmarkEnd w:id="248"/>
    </w:p>
    <w:p w14:paraId="44FB0173">
      <w:pPr>
        <w:bidi w:val="0"/>
        <w:rPr>
          <w:rFonts w:hint="eastAsia" w:ascii="宋体" w:hAnsi="宋体" w:eastAsia="宋体" w:cs="宋体"/>
          <w:sz w:val="24"/>
          <w:szCs w:val="24"/>
        </w:rPr>
      </w:pPr>
    </w:p>
    <w:p w14:paraId="0CF54FC4">
      <w:pPr>
        <w:bidi w:val="0"/>
        <w:rPr>
          <w:rFonts w:hint="eastAsia" w:ascii="宋体" w:hAnsi="宋体" w:eastAsia="宋体" w:cs="宋体"/>
          <w:sz w:val="24"/>
          <w:szCs w:val="24"/>
        </w:rPr>
      </w:pPr>
    </w:p>
    <w:p w14:paraId="34929D78">
      <w:pPr>
        <w:bidi w:val="0"/>
        <w:rPr>
          <w:rFonts w:hint="eastAsia" w:ascii="宋体" w:hAnsi="宋体" w:eastAsia="宋体" w:cs="宋体"/>
          <w:sz w:val="24"/>
          <w:szCs w:val="24"/>
        </w:rPr>
      </w:pPr>
      <w:r>
        <w:rPr>
          <w:rFonts w:hint="eastAsia" w:ascii="宋体" w:hAnsi="宋体" w:eastAsia="宋体" w:cs="宋体"/>
          <w:sz w:val="24"/>
          <w:szCs w:val="24"/>
        </w:rPr>
        <w:t>【提  要】通过对美国财政制度演变及其对经济和社会的影响进行分析，指出财政制度演变是影响美国经济和社会发展的重要因素。同时，从资本主义发展历程看，美国财政制度演变的过程，也与资本主义发展阶段紧密相关。美国财政危机的出现和加剧，正是资本主义金融垄断发展的外在表现。</w:t>
      </w:r>
    </w:p>
    <w:p w14:paraId="6F03F595">
      <w:pPr>
        <w:bidi w:val="0"/>
        <w:rPr>
          <w:rFonts w:hint="eastAsia" w:ascii="宋体" w:hAnsi="宋体" w:eastAsia="宋体" w:cs="宋体"/>
          <w:sz w:val="24"/>
          <w:szCs w:val="24"/>
        </w:rPr>
      </w:pPr>
      <w:r>
        <w:rPr>
          <w:rFonts w:hint="eastAsia" w:ascii="宋体" w:hAnsi="宋体" w:eastAsia="宋体" w:cs="宋体"/>
          <w:sz w:val="24"/>
          <w:szCs w:val="24"/>
        </w:rPr>
        <w:t>【关键词】 财政制度演变   资本主义发展阶段    政治经济学理论</w:t>
      </w:r>
    </w:p>
    <w:p w14:paraId="421EEAE1">
      <w:pPr>
        <w:bidi w:val="0"/>
        <w:rPr>
          <w:rFonts w:hint="eastAsia" w:ascii="宋体" w:hAnsi="宋体" w:eastAsia="宋体" w:cs="宋体"/>
          <w:sz w:val="24"/>
          <w:szCs w:val="24"/>
        </w:rPr>
      </w:pPr>
    </w:p>
    <w:p w14:paraId="4C228A3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2008金融危机之后，金融自由主义成为指导美国经济发展的主流思想并推动美国向金融经济转变，也推动全球经济周期与金融周期趋于一致。与之相对应，金融自由主义与金融垄断相互推动，促使全球金融周期的生成机制和资本形态及结构发生重大变化。在这一背景下，对作为兼具政治、经济属性的国家制度组成部分的财政制度进行分析，探寻其与全球金融周期的生成机制与资本形态及结构变化的关系，对于分析资本主义制度发展的内在规律和未来走向，具有重大的意义。</w:t>
      </w:r>
    </w:p>
    <w:p w14:paraId="6359623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资本主义经济、社会的发展的周期性决定了美国财政制度演变必然会遵循这一周期的发展，并在这一周期的发展中与经济、社会发展形成对立统一的关系。因此，对美国财政制度演变的考察，可以将其与资本主义发展的阶段相结合进行。</w:t>
      </w:r>
    </w:p>
    <w:p w14:paraId="2BFEF370">
      <w:pPr>
        <w:pStyle w:val="4"/>
        <w:bidi w:val="0"/>
        <w:rPr>
          <w:rFonts w:hint="eastAsia"/>
        </w:rPr>
      </w:pPr>
      <w:r>
        <w:rPr>
          <w:rFonts w:hint="eastAsia"/>
        </w:rPr>
        <w:t>一、“自由”的没落：垄断竞争阶段下美国财政制度的演变</w:t>
      </w:r>
    </w:p>
    <w:p w14:paraId="24B90ECE">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19世纪末至20世纪20年代的“进步时代”是整个资本主义发展中最为重要的时期之一，这一时期对资本主义发展的贡献主要表现在几个方面。第一，推动了资本主义从自由竞争向垄断竞争的转变。在这一时期，以美国代表的西方新兴国家大量采用了第二次工业革命的成果，资本主义经济受新的技术和管理方式推动，取得了迅猛的发展。但是，受政治垄断集团的影响，在狭隘的部门利益和私人利益驱动下，不同政府机构和部门在政治、经济和社会管理中各行其是。官商勾结、贪污腐败等寻租行为大量存在且日益严重，造成两极分化不断加剧，社会矛盾日益尖锐，严重阻碍了西方国家经济、政治和社会的发展。为打破这种局面，美国率先实行了现代国家制度体系变革，在对政治垄断集团进行打击的同时，利用国家权威建立了政府干预市场经济运行的机制，推动自由竞争模式向垄断竞争发展，引导企业向垄断发展并走上符合国家经济和政治制度的垄断竞争发展阶段。第二，金融资产阶级开始正式走上政治、经济发展的舞台并推动经济蓬勃发展。在这一时期，由金融资产阶级建立的银行等金融机构通过与政府进行不同层次和形式的合作，如英国政府与英格兰银行合作，开立了统一的公共账户并规范资金收支，将所有的政府收支行为纳入并统一管理，美国在第一合众国银行、第二合众国银行基础上成立了美联储等。这标志着资本主义经济发展周期中，经济金融化开始萌芽并逐渐成长。第三，资本主义社会的经济中心开始逐渐从欧洲转移到了美国。这一时期，美国完成了对政治垄断的打击和对现代国家制度基础的建设，并在对欧洲国家新技术和新理念的借鉴和发展的基础上，实现了经济的快速发展，从而取代欧洲国家成为世界经济最发达的国家。</w:t>
      </w:r>
    </w:p>
    <w:p w14:paraId="3527546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进步时代”也是美国财政制度演变过程中最重要的时期之一。这一时期，在一系列现代国家制度基础上，美国的现代财政制度开始建立并推动了美国制度体系的不断演变，主要表现为：第一，确立了联邦政府利用政治权利，对市场运行和经济发展进行有效干预的原则。“进步运动”的参与者们一方面对处于同一时期欧洲爆发的无产阶级革命运动持敌视和抵制的态度，另一方面将市场无序运行而产生的竞争混乱、财富过度集中造成的两极分化看作对美国资本主义制度存在和发展的威胁。他们主张建立与当前资本主义发展阶段相一致的现代财政制度，利用财政制度本身所具备的合理配置资源、推动社会公平和促进经济发展等职能，对美国经济和社会的发展秩序进行“有效净化”和合理规范，进而推动美国经济、政治和社会的稳定和发展。第二，建立了现代财政制度框架下的现代预算制度。美国的现代预算制度延续了其在“镀金时代”对政治、经济制度进行的变革思路，将扩大和规范政府部门的预算权力作为现代财政预算制度发展的方向，通过对预算平衡的价值和作用进行评估，对财政收支状况进行规范和对财政赤字规模进行限定。在得到国会授权的基础上，美国政府建立了一个高效的行政和预算体系（总统经济和效率委员会），所有的财政活动都被纳入这一体系，并在系统的、具体的技术手段下接受全面而详细的监督和考核。在1912年行政和预算体系（总统经济和效率委员会）向美国国会提交的《对国家预算的需求》这一专项报告得到批准后，美国的现代财政预算制度初具雏形并开始运行。第三，推动了建立在现代财政预算制度基础上的美国联邦税制改革。改进税制对以市场为主进行资源配置产生的扭曲、推进经济增长和实现社会公平是“进步运动”时期民众对现代财政制度演变的基本要求和出发点之一，也是推动美国联邦税制改革的内在因素。在这一潮流下，一度被停止了的美国联邦政府所得税重新开征，并成为“进步运动”所取得的一项最重要的成果，使其成为美国联邦税制变革的根本标志。在收入方面，新的联邦税制引入了企业（公司）所得税和个人所得税，并使所得税逐渐发展成为联邦政府的主体税种。这一方面使美国资产阶级政权的稳固和发展具备了坚实的物质基础，另一方面通过个人所得税累进税率的设计和实施，在资源配置效率的提高和社会产品再分配的公平等方面实现了进步，为国家进行宏观层面的干预和经济发展提供了稳定的社会基础。支出方面，现代财政制度体系下的预算制度，通过对公共预算过程中存在的浪费和寻租等现象进行规范和遏制并在联邦政府的公共部门中推行财政预算绩效考核模式等措施，将原来“看不见的政府”（没有预算和预算不明晰的政府）转变为“看得见的政府”（有明确和严格财政预算的政府）。从而实现了美国现代财政预算制度的建立和完善。</w:t>
      </w:r>
    </w:p>
    <w:p w14:paraId="1C69455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进步时代”美国现代财政制度的建立对美国乃至整个西方资本主义国家政治、经济和社会发展都产生了深远的影响。一方面，它明确地规范了政府行为，将政府活动的细节通过民众对财政收支的监督实现了透明化，有效地遏制了浪费和贪污、腐败等寻租行为，推动了美国民主社会发展的进程，改善了政府与民众之间不断加深的敌视关系，树立了政府的权威并为其干预市场运行和经济发展奠定了制度基础。对现代财政制度的改革使政府内部的权力和领导力得到了进一步的统一和加强，使政府的整体运行效率得到了明显的提高。另一方面，它为政府干预市场运行和经济发展提供了法律保障。在对资本主义发展转型时期出现的无序竞争和垄断进行规范的同时，利用现代财政制度所具备的资源配置职能，使政府实现了对市场运行的干预和引导，在很大程度上有效地避免了无序竞争所导致的市场失灵的发生，为经济的平稳发展提供了客观条件。同时，通过现代财政制度对社会产品再分配调节职能的发挥，资本主义国家的贫富分化在表面上受到了限制，结合资本主义民主进程的推进，极大地缓和了社会矛盾，促进了经济和社会的发展。</w:t>
      </w:r>
    </w:p>
    <w:p w14:paraId="5529F121">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但是，受生产资料私有制的影响，美国现代财政制度的建立也存在着局限性，并对后来美国和资本主义发展带来了消极影响。主要表现为金融资本逐渐强大并开始谋求政治权力，从而使贫富分化在事实上逐渐扩大，受《综合赤字拨款法》影响，国会对财政拨款的审议法制化成为后来财政困境下美国政府停摆的基础性法律等。</w:t>
      </w:r>
    </w:p>
    <w:p w14:paraId="43C4E0D5">
      <w:pPr>
        <w:pStyle w:val="4"/>
        <w:bidi w:val="0"/>
        <w:rPr>
          <w:rFonts w:hint="eastAsia"/>
        </w:rPr>
      </w:pPr>
      <w:r>
        <w:rPr>
          <w:rFonts w:hint="eastAsia"/>
        </w:rPr>
        <w:t>二、罗斯福新政：垄断竞争下的经济危机与财政赤字长期化</w:t>
      </w:r>
    </w:p>
    <w:p w14:paraId="2164307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罗斯福新政是资本主义世界性经济危机的产物，大危机对建立在西方传统经济学基础上的自我调节理论提出了严重挑战。随着美国现代财政制度的建立和发展，金融资本的实力不断增强，通过推动货币制度演变促进经济增长，以谋求政治权力。同时，在国家干预下，美国的资本主义实现了从自由竞争转变为垄断竞争。这些因素都体现了资本家在削弱政府干预、强化市场自我调节等方面的要求，在与金融资本结合后，这些目标逐渐被实现。但是，这种经济发展模式从客观上加重了生产社会化与有购买能力的需求相对不足之间的矛盾，并引发了严重的经济危机。为应对危机、遏制衰退并刺激经济增长，罗斯福总统接受了凯恩斯主义经济理论，并在其指导下实行了以增加财政赤字、扩大政府支出、大规模干预经济和“利用杠杆调节代替计划调节的经济改革并将其政策手段演变为运用所得税制、预算拨款、政府债券和银行信贷等财政融资杠杆”</w:t>
      </w:r>
      <w:r>
        <w:rPr>
          <w:rFonts w:hint="eastAsia" w:ascii="宋体" w:hAnsi="宋体" w:eastAsia="宋体" w:cs="宋体"/>
          <w:sz w:val="24"/>
          <w:szCs w:val="24"/>
          <w:vertAlign w:val="superscript"/>
        </w:rPr>
        <w:t>[1]</w:t>
      </w:r>
      <w:r>
        <w:rPr>
          <w:rFonts w:hint="eastAsia" w:ascii="宋体" w:hAnsi="宋体" w:eastAsia="宋体" w:cs="宋体"/>
          <w:sz w:val="24"/>
          <w:szCs w:val="24"/>
        </w:rPr>
        <w:t>对经济运行进行宏观调控、对社会产品分配机制进行调整、对国民经济发展中的重要环节进行推动、对不利于资本主义经济稳定和发展的行为进行严管等为主要内容的财政制度改革。</w:t>
      </w:r>
    </w:p>
    <w:p w14:paraId="4539F45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与传统西方经济学理论所倡导的“供给自动创造需求”理论不同，凯恩斯主义既承认在资本主义社会中存在着需求不足的现象，也认为这种需求不足是导致资本主义经济陷入危机的根本原因。但是，凯恩斯主义进一步指出，消费者购买意愿的不足即有效需求不足是引发资本主义经济危机的根本原因，而解决危机的途径是由政府为消费者提供支持，使其回到充分就业，在促进购买力提高的前提下保证充分需求。因此，凯恩斯主义主张将财政和信贷两个杠杆综合利用，对经济发展进行调节。这也是资本主义发展阶段中，解决有效需求不足、延缓和减轻资本主义经济危机的一个重要转变。而这一转变也在实际上为货币政策介入经济发展并谋求政治权力提供了理论支持，并在客观上推动了美国经济金融化的发展。</w:t>
      </w:r>
    </w:p>
    <w:p w14:paraId="7C11A43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以凯恩斯主义为指导的美国财政制度演变，主要目的是解决资本主义经济在市场自发调节机制下生产过剩和供大于求的顽疾。在货币制度的配合下，以政府投资为引导，通过推动管辖机制建设，为经济、社会发展创造了诸多条件如实行了失业保险、医疗保险和养老保险等社会保障制度，为美国经济和社会发展打造“安全网”和“内在稳定器”；通过实行劳工政策和推行农业补贴等，为工人和中小农场主提供了收入保障，在一定程度上延缓了贫富两极分化的进程；通过增加财政支出，推动以福利制度为中心的社会保障制度建设，缓和了由贫富分化引起的社会矛盾；增加国防开支、推动军事社会整合与工业发展和新技术在生产中的运用，不仅使资本家能够得到超额利润，而且也促进了新产品的开发和新市场的开辟，进而推动了就业和经济增长。从总体上来看，以凯恩斯主义为指导的罗斯福新政开创了政府通过财政制度演变大规模干预经济的先河，此后美国的财政政策虽然经历了保守主义思潮回暖等变化，但直到20世纪70年代，都没有其他的经济学理论能够动摇凯恩斯主义对资本主义经济发展的指导地位，随着国家干预对战后资本主义经济发展显示出巨大的推动作用，政府大规模干预经济所形成的财政赤字上升成为资本主义经济周期中的常态。</w:t>
      </w:r>
      <w:r>
        <w:rPr>
          <w:rFonts w:hint="eastAsia" w:ascii="宋体" w:hAnsi="宋体" w:eastAsia="宋体" w:cs="宋体"/>
          <w:sz w:val="24"/>
          <w:szCs w:val="24"/>
          <w:vertAlign w:val="superscript"/>
        </w:rPr>
        <w:t>[2]</w:t>
      </w:r>
    </w:p>
    <w:p w14:paraId="221A21F2">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虽然罗斯福新政对经济发展显示出了巨大的推动作用，但它也造成了很大的负面影响，主要表现在受资本主义私有制影响，财政支出扩大首先以弥补私人总需求缺口为主。这种财政支出扩大造成了财政赤字规模的长期增加，增加了财政的负担，并使现代财政制度中预算平衡的理念被放弃和颠覆，严格来说，这种财政政策造成了财政支出对私人总需求的“挤出效应”。</w:t>
      </w:r>
      <w:r>
        <w:rPr>
          <w:rFonts w:hint="eastAsia" w:ascii="宋体" w:hAnsi="宋体" w:eastAsia="宋体" w:cs="宋体"/>
          <w:sz w:val="24"/>
          <w:szCs w:val="24"/>
          <w:vertAlign w:val="superscript"/>
        </w:rPr>
        <w:t>[3]</w:t>
      </w:r>
      <w:r>
        <w:rPr>
          <w:rFonts w:hint="eastAsia" w:ascii="宋体" w:hAnsi="宋体" w:eastAsia="宋体" w:cs="宋体"/>
          <w:sz w:val="24"/>
          <w:szCs w:val="24"/>
        </w:rPr>
        <w:t>以公共建设支出为例，虽然美国的公共建设支出由大危机前的不足20%迅速上涨到罗斯福新政时期的40%以上。从表面上看，推动经济发展所需的投资得到了巨大的增加，但新增建设支出却始终未能恢复到危机前的水平。这种高财政支出带来的高税收和高赤字，造成了私人负担的进一步加重，对本就处于低水平的总需求产生了抑制的作用，从而使经济自然恢复的进程受到较大影响，这为后来资本主义经济周期中出现的“滞涨”现象提供了现实依据。同时，高税负的实行，一方面带来了对私人部门总需求的打击，造成了私人部门对经济复苏贡献乏力。</w:t>
      </w:r>
      <w:r>
        <w:rPr>
          <w:rFonts w:hint="eastAsia" w:ascii="宋体" w:hAnsi="宋体" w:eastAsia="宋体" w:cs="宋体"/>
          <w:sz w:val="24"/>
          <w:szCs w:val="24"/>
          <w:vertAlign w:val="superscript"/>
        </w:rPr>
        <w:t>[4]</w:t>
      </w:r>
      <w:r>
        <w:rPr>
          <w:rFonts w:hint="eastAsia" w:ascii="宋体" w:hAnsi="宋体" w:eastAsia="宋体" w:cs="宋体"/>
          <w:sz w:val="24"/>
          <w:szCs w:val="24"/>
        </w:rPr>
        <w:t>另一方面，高税负带来的是工人阶级负担的加重，这使得贫富分化在实际上加剧的同时，也造成为了提高社会福利水平而造成的财政支出长期大量增加，从而造成了财政危机风险的积累增加。</w:t>
      </w:r>
    </w:p>
    <w:p w14:paraId="7412CD92">
      <w:pPr>
        <w:pStyle w:val="4"/>
        <w:bidi w:val="0"/>
        <w:rPr>
          <w:rFonts w:hint="eastAsia"/>
        </w:rPr>
      </w:pPr>
      <w:r>
        <w:rPr>
          <w:rFonts w:hint="eastAsia"/>
        </w:rPr>
        <w:t>三、新自由主义：“滞涨”状态与紧缩性财政制度改革</w:t>
      </w:r>
    </w:p>
    <w:p w14:paraId="37F17FAA">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二战后，建立在布雷顿森林体系基础上、以美元为中心的国际货币体系使美国开始以美元为工具，通过货币政策的变化，对其他国家的经济进行影响；同时，为应对美苏争霸的需要，美国的军费开支不断上涨，使财政支出大幅增加，并推动美国的财政赤字规模不断上升，短期的财政扩张政策也逐渐发展成为长期的、经常性扩张的财政政策。在20世纪70年代两次石油危机的冲击下，美国的经济受到巨大打击。这一时期，美国长期实行的以凯恩斯主义为指导、通过增加政府投资刺激社会总需求的扩张性财政制度，成为通货膨胀加剧的主要原因。为了抑制通货膨胀并增加就业，尼克松政府推动了以压缩政府开支为主要内容的财政制度演变。但是，在无法解决由此引发的“两高一低”即高通胀、高失业和低增长问题之后，尼克松政府又回到了美国长期实行的扩张性财政政策上来。这一时期出现的经济停滞与通货膨胀共存的“滞涨”困局已经是凯恩斯主义无法解释和解决的。资本主义发展中新的状态——“滞涨”也由美国发源，并随着20世纪</w:t>
      </w:r>
      <w:r>
        <w:rPr>
          <w:rFonts w:hint="eastAsia" w:ascii="宋体" w:hAnsi="宋体" w:eastAsia="宋体" w:cs="宋体"/>
          <w:sz w:val="24"/>
          <w:szCs w:val="24"/>
        </w:rPr>
        <w:tab/>
      </w:r>
      <w:r>
        <w:rPr>
          <w:rFonts w:hint="eastAsia" w:ascii="宋体" w:hAnsi="宋体" w:eastAsia="宋体" w:cs="宋体"/>
          <w:sz w:val="24"/>
          <w:szCs w:val="24"/>
        </w:rPr>
        <w:t>70年代经济危机的爆发蔓延至全世界。为应对“滞涨”带来的经济困境，美国率先推动了财政制度改革，以新自由主义代替了凯恩斯主义，其代表是建立在新自由主义基础上的里根经济学。</w:t>
      </w:r>
    </w:p>
    <w:p w14:paraId="7A243AF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里根经济学被看作是美国保守主义思潮的顶峰，其主要特点是“极度自由化、极度私有化、极度市场化和政府的极小化”。在以新自由主义为指导的财政制度改革中，首先要通过尽可能地弱化政府监管，缩小政府规模，压缩政府开支，减少财政支出以达到预算平衡。其次要在政府监管弱化的基础上，推行极度的自由市场竞争，通过市场的自我控制、自我调节，在推动资源配置市场化和经济发展的同时，减少政府干预而引起的财政支出。再次，新自由主义推行的极度私有化，主要通过将部分国家所有和承担的公共基础设施交由私人部门提供，使公共品和公共服务的提供由私人承担。里根经济学在表面上推动了财政制度向紧缩性转变，但在实际上，因为军费开支、国债利息和社会保障等财政支出的刚性增长，加上两次大幅削减个人所得税和公司所得税的税率以及推行医疗改革增加的费用，都需要用大量的财政资金来支撑。因此，从实际上看，里根经济学实行的仍然是扩张性的财政政策，而这一政策决定了其财政制度体系下的预算平衡无法实现。但是，从实际效果上看，极小化政府的目标使财政支出的规模相对减少，而极度的市场化又从一定程度上使经济发展得到了推动。</w:t>
      </w:r>
    </w:p>
    <w:p w14:paraId="04C9BB9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以里根经济学为代表的财政制度演变促进了资本主义经济在20世纪80年代的复兴和增长，推动了资本主义发展中“滞涨”问题的解决，但却带来了高赤字和高负债的问题。</w:t>
      </w:r>
      <w:r>
        <w:rPr>
          <w:rFonts w:hint="eastAsia" w:ascii="宋体" w:hAnsi="宋体" w:eastAsia="宋体" w:cs="宋体"/>
          <w:sz w:val="24"/>
          <w:szCs w:val="24"/>
          <w:vertAlign w:val="superscript"/>
        </w:rPr>
        <w:t>[5]</w:t>
      </w:r>
      <w:r>
        <w:rPr>
          <w:rFonts w:hint="eastAsia" w:ascii="宋体" w:hAnsi="宋体" w:eastAsia="宋体" w:cs="宋体"/>
          <w:sz w:val="24"/>
          <w:szCs w:val="24"/>
        </w:rPr>
        <w:t>这些问题造成了西方国家贸易逆差的不断增加，对其国内生产造成了重大打击，也使供给学派推崇的预算可以通过减税自然走向平衡的理论彻底失败。</w:t>
      </w:r>
    </w:p>
    <w:p w14:paraId="301CB13E">
      <w:pPr>
        <w:pStyle w:val="4"/>
        <w:bidi w:val="0"/>
      </w:pPr>
      <w:r>
        <w:t>四、克林顿经济学：财政重构与“长期繁荣”</w:t>
      </w:r>
    </w:p>
    <w:p w14:paraId="1FD8F5A5">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克林顿执政期间推行的经济改革主要是财政制度改革，实现了美国财政史上的一次根本性转变。在近一个世纪中，美国财政首次完成了从财政赤字向财政盈余的转变，即实现了预算平衡，在推动美国经济持续增长了十年的同时，带动西方资本主义国家经济的长期发展，这一时期也被称为资本主义“长期繁荣”时期。</w:t>
      </w:r>
    </w:p>
    <w:p w14:paraId="5FF430F1">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克林顿经济学的核心是在财政制度演变中，在对新保守主义中的有效部分进行借鉴的前提下，吸收了新凯恩斯主义的思想，充分发挥财政制度“供应管理职能”，增强政府对企业的干预和扶持，实现产业结构优化；把推动经济增长的目标建立在全要素生产率提高的基础上，形成以内生增长理论为指导的宏观经济政策并推动财政政策在实践方面的重构，从而使财政预算由“外生性超均衡预算”转变为“内生性超均衡预算”。</w:t>
      </w:r>
      <w:r>
        <w:rPr>
          <w:rFonts w:hint="eastAsia" w:ascii="宋体" w:hAnsi="宋体" w:eastAsia="宋体" w:cs="宋体"/>
          <w:sz w:val="24"/>
          <w:szCs w:val="24"/>
          <w:vertAlign w:val="superscript"/>
        </w:rPr>
        <w:t>[6]</w:t>
      </w:r>
    </w:p>
    <w:p w14:paraId="45913008">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84864" behindDoc="0" locked="0" layoutInCell="1" allowOverlap="1">
                <wp:simplePos x="0" y="0"/>
                <wp:positionH relativeFrom="column">
                  <wp:posOffset>3511550</wp:posOffset>
                </wp:positionH>
                <wp:positionV relativeFrom="paragraph">
                  <wp:posOffset>410845</wp:posOffset>
                </wp:positionV>
                <wp:extent cx="290830" cy="7634605"/>
                <wp:effectExtent l="0" t="0" r="0" b="0"/>
                <wp:wrapNone/>
                <wp:docPr id="249" name="文本框 249"/>
                <wp:cNvGraphicFramePr/>
                <a:graphic xmlns:a="http://schemas.openxmlformats.org/drawingml/2006/main">
                  <a:graphicData uri="http://schemas.microsoft.com/office/word/2010/wordprocessingShape">
                    <wps:wsp>
                      <wps:cNvSpPr txBox="1"/>
                      <wps:spPr>
                        <a:xfrm>
                          <a:off x="0" y="0"/>
                          <a:ext cx="290830" cy="7634605"/>
                        </a:xfrm>
                        <a:prstGeom prst="rect">
                          <a:avLst/>
                        </a:prstGeom>
                        <a:noFill/>
                        <a:ln>
                          <a:noFill/>
                        </a:ln>
                      </wps:spPr>
                      <wps:txbx>
                        <w:txbxContent>
                          <w:p w14:paraId="5973E67B"/>
                        </w:txbxContent>
                      </wps:txbx>
                      <wps:bodyPr lIns="0" tIns="0" rIns="0" bIns="0" upright="1"/>
                    </wps:wsp>
                  </a:graphicData>
                </a:graphic>
              </wp:anchor>
            </w:drawing>
          </mc:Choice>
          <mc:Fallback>
            <w:pict>
              <v:shape id="_x0000_s1026" o:spid="_x0000_s1026" o:spt="202" type="#_x0000_t202" style="position:absolute;left:0pt;margin-left:276.5pt;margin-top:32.35pt;height:601.15pt;width:22.9pt;z-index:251684864;mso-width-relative:page;mso-height-relative:page;" filled="f" stroked="f" coordsize="21600,21600" o:gfxdata="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d5likNoAAAALAQAADwAAAAAAAAABACAAAAAiAAAAZHJzL2Rvd25yZXYueG1s&#10;UEsBAhQAFAAAAAgAh07iQGsQHwu9AQAAdgMAAA4AAAAAAAAAAQAgAAAAKQEAAGRycy9lMm9Eb2Mu&#10;eG1sUEsFBgAAAAAGAAYAWQEAAFgFAAAAAA==&#10;">
                <v:fill on="f" focussize="0,0"/>
                <v:stroke on="f"/>
                <v:imagedata o:title=""/>
                <o:lock v:ext="edit" aspectratio="f"/>
                <v:textbox inset="0mm,0mm,0mm,0mm">
                  <w:txbxContent>
                    <w:p w14:paraId="5973E67B"/>
                  </w:txbxContent>
                </v:textbox>
              </v:shape>
            </w:pict>
          </mc:Fallback>
        </mc:AlternateContent>
      </w:r>
      <w:r>
        <w:rPr>
          <w:rFonts w:hint="eastAsia" w:ascii="宋体" w:hAnsi="宋体" w:eastAsia="宋体" w:cs="宋体"/>
          <w:sz w:val="24"/>
          <w:szCs w:val="24"/>
        </w:rPr>
        <w:t>在政策层面上，克林顿经济学提倡的财政制度创新与重构的基本架构是，以美联储中性的货币政策为辅助，实行以增强经济增长潜力并削减非生产性支出、进而减少财政赤字的紧缩型财政政策，并使这种紧缩性的财政政策表现出明显的结构性特征，从而使具体的宏观财政制度微观化。</w:t>
      </w:r>
    </w:p>
    <w:p w14:paraId="78C17C43">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在税收制度改革上，克林顿经济学实行了“增中有减”的方式：一是提高个人所得税税率和企业所得税税率；二是对创新型企业进行的风险投资实行部分的税收减免；三是对低收入者实行税收减免和补贴。在财政支出上，克林顿经济学实行了“减中有增”的策略：一是大幅度裁减政府机构和人员，减少财政开支；二是压缩行政开支和军费开支，打破财政资金在军费开支领域的绝对刚性增长；三是增加了为增强经济发展内生力量的“资本性支出”，推动经济的转型和持续增长。</w:t>
      </w:r>
    </w:p>
    <w:p w14:paraId="21CB396A">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克林顿经济学实现了美国财政从赤字转向盈余这一意义重大的转变，并推动美国带领主要资本主义国家进入“长期繁荣”，为资本主义发展赢得了宝贵的条件。克林顿经济学的理论基础是西方经济学理论体系中的新凯恩斯主义和新保守主义，对于新凯恩斯主义，克林顿经济学充分发挥了利用政府干预市场提高资源配置效率的主张；对于新保守主义，克林顿经济学则是利用了其压缩政府规模缩减财政支出的目标。同时，克林顿经济学充分利用了美国金融垄断资本的力量，与20世纪90年代兴起的以计算机技术和网络科技为中心的信息产业革命结合，推动了美国在技术创新方向的发展，提高了美国的技术竞争力，通过在包括税收、政府采购和财政对科研的支持等财政制度的倾斜，形成了以信息技术为中心的高新技术产业集群。</w:t>
      </w:r>
    </w:p>
    <w:p w14:paraId="0933EB35">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但是，必须看到的是，在资本主义私有制下，克林顿经济学所带来的高新技术产业集群总体上是由金融垄断资本参与和控制的，这种产业集群在提高了劳动生产率的同时，也加重了资产阶级国家对工人阶级的剥削。这种剥削使得西方国家的贫富分化越来越严重，而基于克林顿经济学进行的财政制度演变，却无法改变这种现象背后社会产品再分配越来越不公平的本质。</w:t>
      </w:r>
    </w:p>
    <w:p w14:paraId="06A2C3BB">
      <w:pPr>
        <w:pStyle w:val="4"/>
        <w:bidi w:val="0"/>
        <w:rPr>
          <w:rFonts w:hint="eastAsia"/>
        </w:rPr>
      </w:pPr>
      <w:r>
        <w:rPr>
          <w:rFonts w:hint="eastAsia"/>
        </w:rPr>
        <w:t>五、经济金融化与财政赤字货币化：资本主义发展的新变化</w:t>
      </w:r>
    </w:p>
    <w:p w14:paraId="575D2D0E">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21世纪初的小布什时期，由于9.11恐怖袭击和反恐战争的开展，美国结束了长达十年的经济增长周期，其财政状况也由预算盈余转变为财政赤字。为救助2008年金融危机，美国政府增加了7000亿美元的赤字。至此，美国的赤字规模达到了空前的新高。虽然小布什不断重申要推动以减税为中心的财政制度演变，但他却也不得不面对压缩财政支出、削减财政赤字的任务。</w:t>
      </w:r>
      <w:r>
        <w:rPr>
          <w:rFonts w:hint="eastAsia" w:ascii="宋体" w:hAnsi="宋体" w:eastAsia="宋体" w:cs="宋体"/>
          <w:sz w:val="24"/>
          <w:szCs w:val="24"/>
          <w:vertAlign w:val="superscript"/>
        </w:rPr>
        <w:t>[7]</w:t>
      </w:r>
    </w:p>
    <w:p w14:paraId="009A3A2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随着金融垄断资本实现了对美国经济和政治的操纵和控制，美国的经济发展模式也由传统的资本主义产业经济向金融化经济转变。美国政府开始将货币制度改革作为经济制度改革的主要方向，利用货币政策可以创造出财政政策无法比拟的资金优势来刺激经济增长。而财政制度仅仅被作为货币制度的附属，为货币制度改革刺激经济增长进行补充。这种补充主要体现在政府实行退税改革、向特定对象进行转移性支出方式的税收补贴以及对企业实行退税优惠等方面。</w:t>
      </w:r>
    </w:p>
    <w:p w14:paraId="2E0E5B85">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2008年金融危机和2020年“新冠”疫情对美国经济和世界经济造成了重大的打击，遏制经济衰退、刺激经济复苏成为以美国为首的西方国家的首要任务。以财政赤字货币化为核心的财政制度改革也被美国和西方国家所提出和运用。这种财政制度演变的核心是利用扩大政府支出主要是转移性支出刺激经济增长。为了维持预算平衡，因转移性支出增加而产生的财政赤字由财政部发行的国家债务来弥补，而财政部发行的超出国家财政负担的国家债务，则由美联储通过公开市场业务，利用增加货币流动性的方式购买持有，并将部分美国国债出售给外国投资者，以吸引外国投资推动经济增长。这种以发行国债为起点的经济发展模式，形成了资本主义发展中的新变化。</w:t>
      </w:r>
    </w:p>
    <w:p w14:paraId="1B41D36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财政赤字货币化是资本主义发展中财政制度演变中的新产物，它的基础是资本主义生产资料私有制，先决条件是资产阶级经济金融化，实现路径是通过发行国债弥补财政赤字并将国债出售给以美联储为代表的金融垄断集团。通过财政赤字货币化，美国的金融垄断集团实现了对美国政治、经济的全面掌控，并在以美元为中心的现代国际货币体系架构下，为资产阶级利用金融资本剥削工人阶级和其他国家的人民奠定了基础。</w:t>
      </w:r>
    </w:p>
    <w:p w14:paraId="2686DD46">
      <w:pPr>
        <w:pStyle w:val="4"/>
        <w:bidi w:val="0"/>
        <w:rPr>
          <w:rFonts w:hint="eastAsia"/>
        </w:rPr>
      </w:pPr>
      <w:r>
        <w:rPr>
          <w:rFonts w:hint="eastAsia"/>
        </w:rPr>
        <w:t>六、新财政刺激计划：财政危机的加剧与新自由主义破产</w:t>
      </w:r>
    </w:p>
    <w:p w14:paraId="75EDEB51">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20世纪80年代以来，以新自由主义为指导的经济理论否定了凯恩斯主义主张的利用财政投资拉动经济增长的思路，以“小政府、大市场”为指导，通过货币政策影响经济运行，并将财政政策作为调节收入分配的手段使用。自里根总统以来的绝大多数美国政府都会在税收和福利等政策等方面进行财政制度的改革，反映出这一时期财政制度职能的转变。</w:t>
      </w:r>
    </w:p>
    <w:p w14:paraId="4DA103E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2020年以来，为应对“新冠”疫情造成的经济衰退和提高美国经济的竞争力，拜登政府提出了以“基建法案”和“重建美好未来”为中心的新财政刺激计划。与以往财政制度变革不同，新财政刺激计划中的一部分通过直接支付的方式进行，重点关注的对象和内容主要包括以下几个方面：一是关注的对象主要是居民个人，以发放消费券、现金和提供带薪休假的方式对居民进行资金补助以刺激居民的消费需求，这一政策主要继承自特朗普执政时期；二是新财政刺激计划更加倾向于小型企业，主要借助美联储的货币政策工具，从信贷和流动性等方面对企业进行支持，以增强企业的生存和发展能力；三是增加公共支出主要是医疗支出，缓解疫情压力，从而保持经济正常运行。</w:t>
      </w:r>
    </w:p>
    <w:p w14:paraId="7760725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从客观上看，新财政刺激计划在稳定经济增长和推动经济复苏等方面起到了积极的作用，就业、消费、制造业和投资信心等方面的数据表明，美国的经济迅速走出了低谷，开始复苏。但是，新财政刺激计划也带来了新的后果。</w:t>
      </w:r>
    </w:p>
    <w:p w14:paraId="618FDF47">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第一，新财政刺激通过财政赤字货币化引起了全球金融周期及其表现形式的变化。2008年金融危机之后，为挽救经济，美国推行了财政赤字货币化和量化宽松结合的经济政策，以扩大赤字规模为起点，增加国债额度为媒介，增发货币为手段，通过以美元为中心的国际货币体系迅速将金融风险和危机向全球传递。这在客观上造成了一种明显的结果，即：在金融自由化思想指导下，金融资本不断向全球流动并不断扩张，促使全球金融周期形成机制与美国金融周期的行为机制日趋融合，全球经济变动与美国金融周期变动的联动效应不断增强，为金融垄断寡头攫取利润和控制其他国家提供了条件，也使“金融霸权越来越成为新帝国主义重要形式”</w:t>
      </w:r>
      <w:r>
        <w:rPr>
          <w:rFonts w:hint="eastAsia" w:ascii="宋体" w:hAnsi="宋体" w:eastAsia="宋体" w:cs="宋体"/>
          <w:sz w:val="24"/>
          <w:szCs w:val="24"/>
          <w:vertAlign w:val="superscript"/>
        </w:rPr>
        <w:t>[8]</w:t>
      </w:r>
      <w:r>
        <w:rPr>
          <w:rFonts w:hint="eastAsia" w:ascii="宋体" w:hAnsi="宋体" w:eastAsia="宋体" w:cs="宋体"/>
          <w:sz w:val="24"/>
          <w:szCs w:val="24"/>
        </w:rPr>
        <w:t>越来越明显。</w:t>
      </w:r>
    </w:p>
    <w:p w14:paraId="79B8F75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第二，新财政刺激计划引起了美国资本形态和结构的变化。在财政赤字货币化政策下，由金融垄断寡头主导的新财政刺激计划所需资金均由美联储以增发货币的形式提供。大量新增货币流入市场且进行“明显的非对称性”</w:t>
      </w:r>
      <w:r>
        <w:rPr>
          <w:rFonts w:hint="eastAsia" w:ascii="宋体" w:hAnsi="宋体" w:eastAsia="宋体" w:cs="宋体"/>
          <w:sz w:val="24"/>
          <w:szCs w:val="24"/>
          <w:vertAlign w:val="superscript"/>
        </w:rPr>
        <w:t>[9]</w:t>
      </w:r>
      <w:r>
        <w:rPr>
          <w:rFonts w:hint="eastAsia" w:ascii="宋体" w:hAnsi="宋体" w:eastAsia="宋体" w:cs="宋体"/>
          <w:sz w:val="24"/>
          <w:szCs w:val="24"/>
        </w:rPr>
        <w:t>流动，在刺激经济的同时，提高了通货膨胀风险。这种风险与2022年俄乌战争爆发后的能源价格上涨等因素叠加，使美国的通货膨胀率急剧上升，引发经济衰退风险并促使美联储不得不采用暴力加息的方式应对。严峻的经济形势与数字经济形态下形成的“数字霸权下的数字帝国主义兴起”</w:t>
      </w:r>
      <w:r>
        <w:rPr>
          <w:rFonts w:hint="eastAsia" w:ascii="宋体" w:hAnsi="宋体" w:eastAsia="宋体" w:cs="宋体"/>
          <w:sz w:val="24"/>
          <w:szCs w:val="24"/>
          <w:vertAlign w:val="superscript"/>
        </w:rPr>
        <w:t>[10]</w:t>
      </w:r>
      <w:r>
        <w:rPr>
          <w:rFonts w:hint="eastAsia" w:ascii="宋体" w:hAnsi="宋体" w:eastAsia="宋体" w:cs="宋体"/>
          <w:sz w:val="24"/>
          <w:szCs w:val="24"/>
        </w:rPr>
        <w:t>使美国资本形态和结构发生重大变化，推动资本主义进入新的阶段（极端垄断阶段）。这一阶段的特征主要表现在以下几个方面：一是垄断层次的极端性。金融垄断寡头通过经济金融化形成对整个国家经济的垄断，从而完全替代了整个资产阶级对国家进行垄断。二是垄断内容的极端性。美国资本形态逐渐以财富向金融垄断资本集中为主，金融垄断寡头在垄断了经济资源的同时，也垄断了政治资源，逐渐形成金融资本对国家的全面垄断。三是垄断规则的极端性。从方向上看，寡头垄断向着“以我优先”的方向发展；从模式上看，寡头垄断向着“完全排他”的模式演变；从途径上看，寡头垄断向着“恃权夺取”的途径转变。</w:t>
      </w:r>
    </w:p>
    <w:p w14:paraId="72D7A9E8">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第三，新财政刺激计划加剧了美国财政危机。美国财政的现状决定了新财政刺激计划所需的资金必然来源于财政赤字，以及为弥补赤字而增发的国债。就当前来看，美国的国家债务占GDP的比重已达124%，从外部看，美国的国债规模已无法通过正常经济发展实现清偿，加上近年来美国经济面临的衰退风险和暴力加息引起的全球经济震荡，以及极端垄断条件下美国金融资本对外国投资者的恃权强夺，大量外部投资者为规避风险而抛售美国国债，这使美国以债务危机为中心的财政危机不断加剧。从内部看，随着美国政党斗争不断激化，债务问题成为双方博弈的重要工具，债务违约风险始终客观存在且无法从根本上解决，这也成为财政危机无法根除甚至无法避免的直接原因。</w:t>
      </w:r>
    </w:p>
    <w:p w14:paraId="1590E15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第四，新财政刺激计划引发了新自由主义的破产。一方面，在经济金融化和“大市场”机制下，居民在得到新财政刺激计划实施后释放的资金后，为寻求利润最大化，大量将其用于购买金融产品，这种行为不但不能通过刺激个体消费推动经济增长，反而使这些资金进一步集中流向由金融垄断资本控制的资本市场，在加剧经济金融化和金融垄断的同时，使美国经济更加远离工业化和实体化。同时，金融垄断的加剧使美国乃至全球贫富分化急剧拉大，“大部分弱势群体有效需求不足的问题不仅没有得到解决，而且还有加剧之势”</w:t>
      </w:r>
      <w:r>
        <w:rPr>
          <w:rFonts w:hint="eastAsia" w:ascii="宋体" w:hAnsi="宋体" w:eastAsia="宋体" w:cs="宋体"/>
          <w:sz w:val="24"/>
          <w:szCs w:val="24"/>
          <w:vertAlign w:val="superscript"/>
        </w:rPr>
        <w:t>[11]</w:t>
      </w:r>
      <w:r>
        <w:rPr>
          <w:rFonts w:hint="eastAsia" w:ascii="宋体" w:hAnsi="宋体" w:eastAsia="宋体" w:cs="宋体"/>
          <w:sz w:val="24"/>
          <w:szCs w:val="24"/>
        </w:rPr>
        <w:t>。这说明，新自由主义所推崇的自由化已经成为阻碍经济发展的重要原因。另一方面，“小政府”理念下，政府无法制定或合理运用政治、经济手段对经济发展进行必要的干预和调节，使资源在配置过程中出现扭曲，这成为美国经济衰退和财政危机加剧的内在原因。因此，从美国面临挑战角度出发，在对美国自由市场理论和政策反思的基础上，美国国家安全助理沙利文认为美国面临根本挑战的原因是“一系列主张减税和放松管制、私有化而非公共行为以及贸易自由化的错误想法”“所有这些政策的核心都含有一个假设：市场总是有效的分配资源”。</w:t>
      </w:r>
      <w:r>
        <w:rPr>
          <w:rFonts w:hint="eastAsia" w:ascii="宋体" w:hAnsi="宋体" w:eastAsia="宋体" w:cs="宋体"/>
          <w:sz w:val="24"/>
          <w:szCs w:val="24"/>
          <w:vertAlign w:val="superscript"/>
        </w:rPr>
        <w:t>[12]</w:t>
      </w:r>
      <w:r>
        <w:rPr>
          <w:rFonts w:hint="eastAsia" w:ascii="宋体" w:hAnsi="宋体" w:eastAsia="宋体" w:cs="宋体"/>
          <w:sz w:val="24"/>
          <w:szCs w:val="24"/>
        </w:rPr>
        <w:t>而这一论断，也标志着新自由主义经济思想的破产。</w:t>
      </w:r>
    </w:p>
    <w:p w14:paraId="142F547A">
      <w:pPr>
        <w:pStyle w:val="4"/>
        <w:bidi w:val="0"/>
        <w:jc w:val="center"/>
        <w:rPr>
          <w:rFonts w:hint="eastAsia"/>
        </w:rPr>
      </w:pPr>
      <w:r>
        <w:rPr>
          <w:rFonts w:hint="eastAsia"/>
        </w:rPr>
        <w:t>结论</w:t>
      </w:r>
    </w:p>
    <w:p w14:paraId="114AEBC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textAlignment w:val="baseline"/>
        <w:rPr>
          <w:rFonts w:hint="eastAsia" w:ascii="宋体" w:hAnsi="宋体" w:eastAsia="宋体" w:cs="宋体"/>
          <w:sz w:val="24"/>
          <w:szCs w:val="24"/>
        </w:rPr>
      </w:pPr>
      <w:r>
        <w:rPr>
          <w:rFonts w:hint="eastAsia" w:ascii="宋体" w:hAnsi="宋体" w:eastAsia="宋体" w:cs="宋体"/>
          <w:sz w:val="24"/>
          <w:szCs w:val="24"/>
        </w:rPr>
        <w:t>作为兼具政治属性与经济属性的国家制度组成部分，财政制度演变对美国的发展影响重大。在资本主义发展的早期阶段，美国财政制度演变也对其经济和社会发展起到了推动作用。但是，随着经济金融化和金融垄断的发展和财政制度对经济干预和调节的功能逐渐弱化，美国经济失衡并导致财政危机出现，最终引起资本主义金融周期和资本形态及结构发生重大变化。通过对美国财政制度在资本主义不同阶段演变以及财政危机出现和加剧进行分析可以发现：1.美国财政制度建立在资本主义私有制基础之上，其演变必然与资本主义发展阶段相联系，财政制度演变与资本主义制度发展呈对立统一关系。2.美国财政制度演变趋势总体受金融资本影响和操纵，并为金融资本服务，主要表现为美国财政制度日益从属于货币制度，其功能也从干预和引导经济发展转变成为调节收入分配的手段。3.金融自由化和以美元为中心的国际货币体系推动美国金融周期与国际经济周期日趋融合，从而使资本主义金融周期发生变化，进而影响到资本主义国家资本形态和结构变化。4.金融自由化和金融垄断的发展使美国经济结构失衡并引发财政危机，主要表现为因债务危机而引发的金融危机。这种危机与资本主义金融周期和资本形态及结构变化结合，促使资本主义垄断进入极端阶段，并从客观上证明了新自由主义的错误性。</w:t>
      </w:r>
    </w:p>
    <w:p w14:paraId="3610C2E1">
      <w:pPr>
        <w:bidi w:val="0"/>
        <w:rPr>
          <w:rFonts w:hint="eastAsia" w:ascii="宋体" w:hAnsi="宋体" w:eastAsia="宋体" w:cs="宋体"/>
          <w:sz w:val="24"/>
          <w:szCs w:val="24"/>
        </w:rPr>
      </w:pPr>
    </w:p>
    <w:p w14:paraId="5D96F80B">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注释</w:t>
      </w:r>
    </w:p>
    <w:p w14:paraId="26474663">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[ 1]Robert  Eisner,  How Real Is the  Federal Deficit? ， Simon and Schuster, 2010, pp. 26-63.</w:t>
      </w:r>
    </w:p>
    <w:p w14:paraId="71569F99">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[2]Paul  Studenski, Herman E. Krooss, Financial History ofthe United States: Fical, Monetary, Banking, andTarif,  Including Financial Administration and State and Local Finance, McGraw-Hill, 1963, pp. 277～278.</w:t>
      </w:r>
    </w:p>
    <w:p w14:paraId="52708D81">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[3]Ákos   Dombi   and   István   Dedák,   "Public   Debt   and Economic Growth: What Do Neoclassical Growth Models Teach Us?", AppliedEconomics 51. 29 (2019): 3104-3121.</w:t>
      </w:r>
    </w:p>
    <w:p w14:paraId="7ED57847">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 转引自 ：刘畅：《美国财政史》，社会科学文献出版社 2013年版，第252~253 页。</w:t>
      </w:r>
    </w:p>
    <w:p w14:paraId="0CC524E8">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[5]Earl C Ravenal,  "Reagan's  1983  Defense Budget: An Analysis  and  an  Alternative",  Cato Institute,  1982,  pp. 57-78.</w:t>
      </w:r>
    </w:p>
    <w:p w14:paraId="63AE89E3">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[6]Henning Bohn, "The Behavior of US Public Debt and Deficits", Quarterly Journal ofEconomics , 113. 3 ( 1998): 949-963.</w:t>
      </w:r>
    </w:p>
    <w:p w14:paraId="038AB78C">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[7]Moritz  Schularick,  "Public Debt  and Financial  Crises in the Twentieth Century", European Review ofHistory: Revue Europee ned'Histoire 19.6 (2012): 881-897.</w:t>
      </w:r>
    </w:p>
    <w:p w14:paraId="408FE1B5">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[8]李宗圆：《中国美债持仓策略大调整及其战略意蕴》，《海 派经济学》2022年第2 期。</w:t>
      </w:r>
    </w:p>
    <w:p w14:paraId="02A8C8AE">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 伍抱一、周瑞：《美国与拉美国家相互投资及其与中国 的比较》，《海派经济学》2022年第4 期。</w:t>
      </w:r>
    </w:p>
    <w:p w14:paraId="5521C10E">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[ 10] 王富军、翟佳欣：《对数字资本主义与数字帝国主义的  双重批判：耦合与超越》，《政治经济学研究》2022年第4 期。</w:t>
      </w:r>
    </w:p>
    <w:p w14:paraId="1BE0BC3C">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[ 11] 陈荣荣：《简评〈李慎明论金融危机〉》，《政治经济学 研究》2023年第 1 期。</w:t>
      </w:r>
    </w:p>
    <w:p w14:paraId="5790BC39">
      <w:pPr>
        <w:bidi w:val="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[ 12] 尹国明：《美国不经意间送给中国的是一份特大“礼 物”，越琢磨越意义重大》。 &gt;</w:t>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"https://www.kunlunce.com/"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https://www.kunlunce.com/</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t xml:space="preserve"> ssjj/guojipinglun/2023-05-12/ 169162.htm&lt;</w:t>
      </w:r>
    </w:p>
    <w:p w14:paraId="6543E7D5">
      <w:pPr>
        <w:bidi w:val="0"/>
        <w:rPr>
          <w:rFonts w:hint="eastAsia" w:ascii="宋体" w:hAnsi="宋体" w:eastAsia="宋体" w:cs="宋体"/>
          <w:sz w:val="24"/>
          <w:szCs w:val="24"/>
        </w:rPr>
      </w:pPr>
    </w:p>
    <w:p w14:paraId="0215D636">
      <w:pPr>
        <w:bidi w:val="0"/>
        <w:rPr>
          <w:rFonts w:hint="eastAsia"/>
          <w:sz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原载《理论视野》2023年第8期，第一作者任传普。</w:t>
      </w:r>
      <w:r>
        <w:rPr>
          <w:rFonts w:hint="eastAsia" w:ascii="宋体" w:hAnsi="宋体" w:eastAsia="宋体" w:cs="宋体"/>
          <w:sz w:val="24"/>
          <w:szCs w:val="24"/>
          <w:lang w:eastAsia="zh-CN"/>
        </w:rPr>
        <w:t>）</w:t>
      </w:r>
    </w:p>
    <w:p w14:paraId="46220FC4">
      <w:pPr>
        <w:pStyle w:val="3"/>
        <w:bidi w:val="0"/>
        <w:rPr>
          <w:rFonts w:hint="eastAsia"/>
        </w:rPr>
      </w:pPr>
      <w:bookmarkStart w:id="249" w:name="_Toc1965435548"/>
      <w:bookmarkStart w:id="250" w:name="_Toc28256"/>
      <w:bookmarkStart w:id="251" w:name="_Toc1457349351"/>
      <w:bookmarkStart w:id="252" w:name="_Toc1961906864"/>
      <w:bookmarkStart w:id="253" w:name="_Toc1177214395"/>
      <w:bookmarkStart w:id="254" w:name="_Toc1221134682"/>
      <w:r>
        <w:rPr>
          <w:rFonts w:hint="eastAsia"/>
          <w:lang w:val="en-US" w:eastAsia="zh-CN"/>
        </w:rPr>
        <w:t>10</w:t>
      </w:r>
      <w:r>
        <w:rPr>
          <w:rFonts w:hint="eastAsia"/>
        </w:rPr>
        <w:t>发挥动态比较优势 加快建设现代化产业体系</w:t>
      </w:r>
      <w:bookmarkEnd w:id="249"/>
      <w:bookmarkEnd w:id="250"/>
      <w:bookmarkEnd w:id="251"/>
      <w:bookmarkEnd w:id="252"/>
      <w:bookmarkEnd w:id="253"/>
      <w:bookmarkEnd w:id="254"/>
    </w:p>
    <w:p w14:paraId="0B9699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共中央政治局7月24日召开会议，分析研究当前经济形势，部署下半年经济工作。会议指出，要大力推动现代化产业体系建设。现代化产业体系是现代化经济体系的重要内容。新征程加快建设现代化产业体系，是完整、准确、全面贯彻新发展理念、加快构建新发展格局、实现高质量发展的必然要求，对于全面建设社会主义现代化国家、顺利实现第二个百年奋斗目标具有重要意义。</w:t>
      </w:r>
    </w:p>
    <w:p w14:paraId="729420F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构建现代化产业体系意义重大</w:t>
      </w:r>
    </w:p>
    <w:p w14:paraId="4BE856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构建现代化产业体系是构建新发展格局的有力支撑。在新发展阶段，要构建新发展格局，就是要实现经济循环流转和产业关联畅通，这种产业关联畅通既包括区域层面的，也包括产业相互之间的，而区域层面的产业关联畅通有赖于形成科学合理的区域产业体系。产业层面的关联畅通则是要形成以融合、协同为主要特征的现代化产业体系，这个过程也是产业转型升级的过程。通过这一过程，才能打通循环堵点，进一步畅通经济循环，推动高质量发展。贵州作为西部经济大省、西南地区交通枢纽和长江经济带重要组成部分，具备构建较完整产业体系的市场空间和条件。当前，构建现代化产业体系就是要更好发挥动态比较优势、综合竞争优势和知识产权优势的有机结合，充分释放改革开放活力，推动产业间协同发展，为推动贵州经济社会高质量发展作出积极贡献。</w:t>
      </w:r>
    </w:p>
    <w:p w14:paraId="0CCCAA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构建现代化产业体系是推进中国式现代化的物质保障。党的二十大报告提出，从现在起，中国共产党的中心任务就是团结带领全国各族人民全面建成社会主义现代化强国、实现第二个百年奋斗目标，以中国式现代化全面推进中华民族伟大复兴。推进中国式现代化是实现中华民族伟大复兴的根本之路，而中国式现代化必然是建立在先进生产力基础上的现代化，这就要求我们必须要建立现代化产业体系。贵州在加快建设富有贵州特色、在国家产业格局中具有重要地位的现代化产业体系的实践中，进一步解放和发展了生产力。今年上半年，贵州经济延续了恢复回升的态势，巩固了稳步向好的趋势，保持了高质量发展的大势。生产力发展了，经济水平提高了，才能更好地满足人民群众日益增长的美好生活需要，实现全体人民共同富裕。</w:t>
      </w:r>
    </w:p>
    <w:p w14:paraId="6989CA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构建现代化产业体系是把握新一轮科技革命与产业变革的重大举措。新一轮科技革命和产业变革深入发展，涌现出一大批新兴技术和产业，给生产力水平带来颠覆性影响，引发全球产业结构和布局趋势性调整重塑，这为我国产业转型升级提供了难得的历史机遇。我国产业发展面临高端回流和中低端分流的双重压力局面，能否建设与时代特征相适应的现代化产业体系，决定了能否在未来发展和激烈的国际竞争中赢得战略主动。近年来，贵州着力培育壮大战略性新兴产业，完善新能源材料产业布局，壮大数字产品制造业，大力推进产业数字化，为我国抢占产业竞争制高点、增强产业国际竞争力、牢牢把握发展主动权作出了卓越贡献。</w:t>
      </w:r>
    </w:p>
    <w:p w14:paraId="25CA98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贵州现代化产业体系建设成效</w:t>
      </w:r>
    </w:p>
    <w:p w14:paraId="745676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产业总体规模持续扩大。上半年，贵州交出了稳中有进的成绩单，根据地区生产总值统一核算结果，上半年贵州全省地区生产总值10218.75亿元，按不变价格计算，比上年同期增长4.4%，比一季度加快1.9个百分点，也明显高于去年全年1.2%的经济增速。其中，第一产业增加值1126.10亿元，增长3.1%；第二产业增加值3833.61亿元，增长4.7%；第三产业增加值5259.03亿元，增长4.4%。全省经济由逐步恢复转向常态化增长的轨道，展现出良好的韧性和修复力。</w:t>
      </w:r>
    </w:p>
    <w:p w14:paraId="69E41F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产业结构优化升级成效明显。从农业看，全省农林牧渔业总产值1952.39亿元，比上年同期增长3.3%，其中粮油保障总体稳定，中药材、园林水果、茶叶等经济作物持续增长。从工业看，工业生产正在恢复向好，高新技术产业发展迅速，装备制造业、高技术制造业增加值分别增长22.1%、25%，新能源电池及材料产业增加值增长36.5%，大数据电子信息制造业增加值增长41.3%。从服务业看，服务业增速明显回升，上半年，服务业增加值同比增长4.4%，快于一季度1.8个百分点，有力支撑了经济增长。</w:t>
      </w:r>
    </w:p>
    <w:p w14:paraId="198D3D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战略性新兴产业发展壮大。加快新能源电池及材料产业延链、补链、强链，推动已建成项目加快释放产能，加快构建上中下游有效衔接、功能配套完善的新能源电池及材料产业体系，2022年新能源电池及材料产业产值增长115.6%、总量突破532.82亿元。加快壮大数字产品制造业，培育区块链、人工智能、信创、数据清洗加工等新兴数字产业，2022年规模以上大数据电子信息产业增加值增长37.5%。大力发展航空航天等装备制造产业，围绕建设关键零部件、关键材料、关键设备等产业备份基地，大力推进中航重机贵阳航空产业园等重大项目建设，航空航天等装备制造产业增加值增长7%以上。</w:t>
      </w:r>
    </w:p>
    <w:p w14:paraId="7FE3BB3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传统产业改造升级深入推进。推动酱香白酒产业高质量发展，聚焦打造全国重要的白酒生产基地，加快重点酒企技改扩能项目建设，做大做强大型企业。持续推进清理整治退出一批、就地改造提升一批、兼并重组做大一批“三个一批”，推动现代化工产业高端化发展，2022年规模以上酱香白酒产业增加值增长高达38.7%。因地制宜发展劳动密集型产业。加强新型建材产品开发与市场推广。加快发展生态特色食品产业，提高规模和效益。</w:t>
      </w:r>
    </w:p>
    <w:p w14:paraId="39AB44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贵州构建现代化产业体系的对策建议</w:t>
      </w:r>
    </w:p>
    <w:p w14:paraId="72AC19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发挥动态比较的竞争优势。把动态比较优势转化为综合竞争优势，积极实施自主知识产权战略，是贵州探寻高质量发展之路，建设现代化产业体系的关键环节。贵州具有战略安全优势，是国家战略防御的纵深地带，能矿资源富集且组合良好，集聚了一批国家部委、行业企业的数据中心，是保障国家产业链安全、能源安全、数据安全的重要基地。要大力发展战略安全产业，既促进区域经济发展，又服务国家战略安全大局。贵州具有特色产业优势，在大数据等新兴产业发展方面抢占了先机，酒、烟、茶、药、特色食品等名片产业发展势头强劲，现代山地特色高效农业发展迅猛。要立足现有基础，在科技创新和产业提升上狠下功夫，努力走出一条成熟的产业高端化、绿色化、集约化发展路子，为构建现代化产业体系提供关键支撑。贵州具有交通枢纽优势，要围绕交通大通道打造物流大枢纽，大力发展枢纽经济，加快让交通枢纽变成经济枢纽。</w:t>
      </w:r>
    </w:p>
    <w:p w14:paraId="4527D60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全面坚持系统观念。现代化产业体系是中国式现代化背景下的产业发展思想和产业建设目标，是习近平经济思想的组成部分，体现出鲜明的系统观念。贵州建设现代化产业体系，要从强基提质、融合创新、安全发展三个方面入手。一是强化产业基础设施建设，发展原料型产业。二是推动传统产业和新兴产业间的融合，激发传统产业活力、创新产业链形态；推动传统产业和新兴产业各自的融合，激发产业内生动力、优化升级产业链。三是实现以种子安全为要的农业自主、实现以核心技术和关键零部件可控可靠为要的制造业自主、实现以国内能源和自然资源安全供给为要的能源资源自主。</w:t>
      </w:r>
    </w:p>
    <w:p w14:paraId="39C0DE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大力发展实体经济。今年5月5日，习近平总书记主持召开二十届中央财经委员会第一次会议发表重要讲话强调，现代化产业体系是现代化国家的物质技术基础，必须把发展经济的着力点放在实体经济上，为实现第二个百年奋斗目标提供坚强物质支撑。贵州要聚焦实体经济夯实强省之基，推进资源要素向实体经济集聚、政策措施向实体经济倾斜、工作力量向实体经济加强，以算力迭代升级赋能实体经济，加快建设富有贵州特色、在国家产业格局中具有重要地位的现代化产业体系。</w:t>
      </w:r>
    </w:p>
    <w:p w14:paraId="112963B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（《贵州日报》2023年8月2日第06版</w:t>
      </w:r>
      <w:r>
        <w:rPr>
          <w:rFonts w:hint="eastAsia"/>
          <w:sz w:val="24"/>
          <w:lang w:eastAsia="zh-CN"/>
        </w:rPr>
        <w:t>。</w:t>
      </w:r>
      <w:r>
        <w:rPr>
          <w:rFonts w:hint="eastAsia"/>
          <w:sz w:val="24"/>
        </w:rPr>
        <w:t>）</w:t>
      </w:r>
    </w:p>
    <w:p w14:paraId="4D95F3E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45D43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9C0DE8C">
      <w:pPr>
        <w:pStyle w:val="3"/>
        <w:bidi w:val="0"/>
        <w:ind w:left="0" w:leftChars="0" w:firstLine="0" w:firstLineChars="0"/>
        <w:jc w:val="center"/>
        <w:rPr>
          <w:rFonts w:hint="eastAsia"/>
          <w:lang w:val="en-US" w:eastAsia="zh-CN"/>
        </w:rPr>
      </w:pPr>
      <w:bookmarkStart w:id="255" w:name="_Toc675496954"/>
      <w:bookmarkStart w:id="256" w:name="_Toc13015"/>
      <w:bookmarkStart w:id="257" w:name="_Toc1304747210"/>
      <w:bookmarkStart w:id="258" w:name="_Toc1619548222"/>
      <w:bookmarkStart w:id="259" w:name="_Toc481797082"/>
      <w:bookmarkStart w:id="260" w:name="_Toc109385995"/>
      <w:r>
        <w:rPr>
          <w:rFonts w:hint="eastAsia"/>
          <w:lang w:val="en-US" w:eastAsia="zh-CN"/>
        </w:rPr>
        <w:t>11习近平新时代中国特色社会主义思想</w:t>
      </w:r>
      <w:r>
        <w:rPr>
          <w:rFonts w:hint="eastAsia"/>
          <w:lang w:val="en-US" w:eastAsia="zh-CN"/>
        </w:rPr>
        <w:br w:type="textWrapping"/>
      </w:r>
      <w:r>
        <w:rPr>
          <w:rFonts w:hint="eastAsia"/>
          <w:lang w:val="en-US" w:eastAsia="zh-CN"/>
        </w:rPr>
        <w:t>对社会主义本质内涵的丰富和发展</w:t>
      </w:r>
      <w:bookmarkEnd w:id="255"/>
      <w:bookmarkEnd w:id="256"/>
      <w:bookmarkEnd w:id="257"/>
      <w:bookmarkEnd w:id="258"/>
      <w:bookmarkEnd w:id="259"/>
      <w:bookmarkEnd w:id="260"/>
    </w:p>
    <w:p w14:paraId="0D700455">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sz w:val="24"/>
        </w:rPr>
      </w:pPr>
    </w:p>
    <w:p w14:paraId="706D69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要：马克思主义认为科学的理论是对客观事物的本质及其发展规律的认识，而事物的本质是有层次的，其来自于全部社会生活的实践活动。党的二十大报告强调了人民性是马克思主义的本质属性，指明了中国特色社会主义最本质的特征是中国共产党领导，深刻、完整阐释了中国式现代化的本质要求。根据这一阐释精神，可以得出：习近平新时代中国特色社会主义思想丰富和发展了社会主义的本质内涵的理论，阐明了坚持以公有制为主体的共同富裕是中国特色社会主义的经济本质，坚持中国共产党领导是中国特色社会主义的政治本质和最本质特征，坚持马克思主义及其中国化理论指导是中国特色社会主义的文化本质，坚持以人民为中心的社会和谐是中国特色社会主义的社会本质，坚持人与自然和谐共生是中国特色社会主义的生态文明本质，坚持构建以国家总体安全为基础的人类命运共同体是中国特色社会主义的外交本质，从而构成“六位一体”完整的中国特色社会主义本质内涵体系的基本理论。</w:t>
      </w:r>
    </w:p>
    <w:p w14:paraId="5FD57CA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关键词：习近平新时代中国特色社会主义思想；党的二十大；社会主义本质；“六位一体”；政治经济学理论</w:t>
      </w:r>
    </w:p>
    <w:p w14:paraId="058C0D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41E0BF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一、引言：要重视马克思主义关于事物本质的观点</w:t>
      </w:r>
    </w:p>
    <w:p w14:paraId="4BC852C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习近平总书记在党的二十大报告中指出：“实践没有止境，理论创新也没有止境。不断谱写马克思主义中国化时代化新篇章，是当代中国共产党人的庄严历史责任。”</w:t>
      </w:r>
      <w:r>
        <w:rPr>
          <w:rStyle w:val="20"/>
          <w:rFonts w:hint="eastAsia" w:ascii="宋体" w:hAnsi="宋体" w:eastAsia="宋体" w:cs="宋体"/>
          <w:b/>
          <w:bCs/>
          <w:sz w:val="24"/>
          <w:szCs w:val="21"/>
        </w:rPr>
        <w:footnoteReference w:id="418"/>
      </w:r>
      <w:r>
        <w:rPr>
          <w:rFonts w:hint="eastAsia"/>
          <w:sz w:val="24"/>
        </w:rPr>
        <w:t>这就必须要坚持系统观念，“善于通过历史看现实、透过现象看本质，把握好全局和局部、当前和长远、宏观和微观、主要矛盾和次要矛盾、特殊和一般的关系，不断提高战略思维、历史思维、辩证思维、系统思维、创新思维、法治思维、底线思维能力，为前瞻性思考、全局性谋划、整体性推进党和国家各项事业提供科学思想方法。”</w:t>
      </w:r>
      <w:r>
        <w:rPr>
          <w:rStyle w:val="20"/>
          <w:rFonts w:hint="eastAsia" w:ascii="宋体" w:hAnsi="宋体" w:eastAsia="宋体" w:cs="宋体"/>
          <w:b/>
          <w:bCs/>
          <w:sz w:val="24"/>
          <w:szCs w:val="21"/>
        </w:rPr>
        <w:footnoteReference w:id="419"/>
      </w:r>
      <w:r>
        <w:rPr>
          <w:rFonts w:hint="eastAsia"/>
          <w:sz w:val="24"/>
        </w:rPr>
        <w:t>而拥有马克思主义的科学理论指导才是“党坚定信仰信念、把握历史主动的根本所在”</w:t>
      </w:r>
      <w:r>
        <w:rPr>
          <w:rStyle w:val="20"/>
          <w:rFonts w:hint="eastAsia" w:ascii="宋体" w:hAnsi="宋体" w:eastAsia="宋体" w:cs="宋体"/>
          <w:b/>
          <w:bCs/>
          <w:sz w:val="24"/>
          <w:szCs w:val="21"/>
        </w:rPr>
        <w:footnoteReference w:id="420"/>
      </w:r>
      <w:r>
        <w:rPr>
          <w:rFonts w:hint="eastAsia"/>
          <w:sz w:val="24"/>
        </w:rPr>
        <w:t>。习近平总书记指出：“马克思主义揭示了事物的本质、内在联系及发展规律，是‘伟大的认识工具’。”</w:t>
      </w:r>
      <w:r>
        <w:rPr>
          <w:rStyle w:val="20"/>
          <w:rFonts w:hint="eastAsia" w:ascii="宋体" w:hAnsi="宋体" w:eastAsia="宋体" w:cs="宋体"/>
          <w:b/>
          <w:bCs/>
          <w:sz w:val="24"/>
          <w:szCs w:val="21"/>
        </w:rPr>
        <w:footnoteReference w:id="421"/>
      </w:r>
      <w:r>
        <w:rPr>
          <w:rFonts w:hint="eastAsia"/>
          <w:sz w:val="24"/>
        </w:rPr>
        <w:t>马克思主义关于事物本质及其认识的论述值得高度重视。</w:t>
      </w:r>
    </w:p>
    <w:p w14:paraId="189175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马克思主义认为科学的理论是对客观事物的本质及其发展规律的认识。对任何理论的本质的认识把握是难以穷极的，不可能一蹴而就，这也是真理的相对性的内在规定。随着实践和时代的发展，以及客观事物的变化，理论的本质内涵也会随之扩容和深化，从而更好地指导实践。毛泽东在《实践论》中说：“感觉只解决现象问题，理论才解决本质问题。”</w:t>
      </w:r>
      <w:r>
        <w:rPr>
          <w:rStyle w:val="20"/>
          <w:rFonts w:hint="eastAsia" w:ascii="宋体" w:hAnsi="宋体" w:eastAsia="宋体" w:cs="宋体"/>
          <w:b/>
          <w:bCs/>
          <w:sz w:val="24"/>
          <w:szCs w:val="21"/>
        </w:rPr>
        <w:footnoteReference w:id="422"/>
      </w:r>
      <w:r>
        <w:rPr>
          <w:rFonts w:hint="eastAsia"/>
          <w:sz w:val="24"/>
        </w:rPr>
        <w:t>毛泽东在《关于农业合作化问题》中也曾强调分析事物应多看“本质方面，主流方面”</w:t>
      </w:r>
      <w:r>
        <w:rPr>
          <w:rStyle w:val="20"/>
          <w:rFonts w:hint="eastAsia" w:ascii="宋体" w:hAnsi="宋体" w:eastAsia="宋体" w:cs="宋体"/>
          <w:b/>
          <w:bCs/>
          <w:sz w:val="24"/>
          <w:szCs w:val="21"/>
        </w:rPr>
        <w:footnoteReference w:id="423"/>
      </w:r>
      <w:r>
        <w:rPr>
          <w:rFonts w:hint="eastAsia"/>
          <w:sz w:val="24"/>
        </w:rPr>
        <w:t>。马克思主义理论之所以能够占据真理的制高点，总是能够反映和揭示客观事物和社会实践发展的内在本质及其变化规律，就在于其与时俱进地丰富发展自身的理论内涵。</w:t>
      </w:r>
    </w:p>
    <w:p w14:paraId="5419BE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第二，马克思主义认为事物的本质是层次的。列宁曾在《哲学笔记》中指出：“外观的东西是本质的一个规定，本质的一个方面，本质的一个环节。本质具有某种外观。外观是本质自身在自身中的表现”</w:t>
      </w:r>
      <w:r>
        <w:rPr>
          <w:rStyle w:val="20"/>
          <w:rFonts w:hint="eastAsia" w:ascii="宋体" w:hAnsi="宋体" w:eastAsia="宋体" w:cs="宋体"/>
          <w:b/>
          <w:bCs/>
          <w:sz w:val="24"/>
          <w:szCs w:val="21"/>
        </w:rPr>
        <w:footnoteReference w:id="424"/>
      </w:r>
      <w:r>
        <w:rPr>
          <w:rFonts w:hint="eastAsia"/>
          <w:sz w:val="24"/>
        </w:rPr>
        <w:t>。列宁还认为：“人对事物、现象、过程等等的认识深化的无限过程，从现象到本质、从不甚深刻的本质到更深刻的本质。”</w:t>
      </w:r>
      <w:r>
        <w:rPr>
          <w:rStyle w:val="20"/>
          <w:rFonts w:hint="eastAsia" w:ascii="宋体" w:hAnsi="宋体" w:eastAsia="宋体" w:cs="宋体"/>
          <w:b/>
          <w:bCs/>
          <w:sz w:val="24"/>
          <w:szCs w:val="21"/>
        </w:rPr>
        <w:footnoteReference w:id="425"/>
      </w:r>
      <w:r>
        <w:rPr>
          <w:rFonts w:hint="eastAsia"/>
          <w:sz w:val="24"/>
        </w:rPr>
        <w:t>这就是说，事物的本质是具有层次性的，既具有最本质的特征，又具有一般的本质特征，还具有透过各个不同现象所反映出的不同方面的本质特征。在列宁看来，本质既是有层次的，又是随着实践的深入而不断丰富和发展，即“从现象到本质、从不甚深刻的本质到更深刻的本质”</w:t>
      </w:r>
      <w:r>
        <w:rPr>
          <w:rStyle w:val="20"/>
          <w:rFonts w:hint="eastAsia" w:ascii="宋体" w:hAnsi="宋体" w:eastAsia="宋体" w:cs="宋体"/>
          <w:b/>
          <w:bCs/>
          <w:sz w:val="24"/>
          <w:szCs w:val="21"/>
        </w:rPr>
        <w:footnoteReference w:id="426"/>
      </w:r>
      <w:r>
        <w:rPr>
          <w:rFonts w:hint="eastAsia"/>
          <w:sz w:val="24"/>
        </w:rPr>
        <w:t>。毛泽东在《矛盾论》中也认为在共同的本质中蕴含着特殊的本质，而且还有许多深入尚待研究的本质。他说：“当着人们已经认识了这种共同的本质以后，就以这种共同的认识为指导，继续地向着尚未研究过的或者尚未深入地研究过的各种具体的事物进行研究，找出其特殊的本质，这样才可以补充、丰富和发展这种共同的本质的认识，而使这种共同的本质的认识不致变成枯槁的和僵死的东西。”</w:t>
      </w:r>
      <w:r>
        <w:rPr>
          <w:rStyle w:val="20"/>
          <w:rFonts w:hint="eastAsia" w:ascii="宋体" w:hAnsi="宋体" w:eastAsia="宋体" w:cs="宋体"/>
          <w:b/>
          <w:bCs/>
          <w:sz w:val="24"/>
          <w:szCs w:val="21"/>
        </w:rPr>
        <w:footnoteReference w:id="427"/>
      </w:r>
    </w:p>
    <w:p w14:paraId="0F9E239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马克思主义认为“全部社会生活在本质上是实践的。”</w:t>
      </w:r>
      <w:r>
        <w:rPr>
          <w:rStyle w:val="20"/>
          <w:rFonts w:hint="eastAsia" w:ascii="宋体" w:hAnsi="宋体" w:eastAsia="宋体" w:cs="宋体"/>
          <w:b/>
          <w:bCs/>
          <w:sz w:val="24"/>
          <w:szCs w:val="21"/>
        </w:rPr>
        <w:footnoteReference w:id="428"/>
      </w:r>
      <w:r>
        <w:rPr>
          <w:rFonts w:hint="eastAsia"/>
          <w:sz w:val="24"/>
        </w:rPr>
        <w:t>社会主义的本质内涵也会随着社会主义的建设和发展不断丰富。从理论创新、历史方位、现实指向等多个维度来看，习近平新时代中国特色社会主义思想就是在马克思主义中国化的具体实践中对社会主义本质内涵的时代性延展和赋义。</w:t>
      </w:r>
    </w:p>
    <w:p w14:paraId="442C18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运用以上马克思主义关于事物本质及其认识论述的方法论，可以清楚地认识到习近平新时代中国特色社会主义思想是丰富和发展了社会主义本质内涵的理论。在党的二十大报告中，习近平总书记深刻、完整地阐释了中国式现代化的本质要求，即“坚持中国共产党领导，坚持中国特色社会主义，实现高质量发展，发展全过程人民民主，丰富人民精神世界，实现全体人民共同富裕，促进人与自然和谐共生，推动构建人类命运共同体，创造人类文明新形态。”</w:t>
      </w:r>
      <w:r>
        <w:rPr>
          <w:rStyle w:val="20"/>
          <w:rFonts w:hint="eastAsia" w:ascii="宋体" w:hAnsi="宋体" w:eastAsia="宋体" w:cs="宋体"/>
          <w:b/>
          <w:bCs/>
          <w:sz w:val="24"/>
          <w:szCs w:val="21"/>
        </w:rPr>
        <w:footnoteReference w:id="429"/>
      </w:r>
      <w:r>
        <w:rPr>
          <w:rFonts w:hint="eastAsia"/>
          <w:sz w:val="24"/>
        </w:rPr>
        <w:t>其中含有经济、政治、文化、社会、生态文明、外交的“六位一体”的实践本质与内涵。下面从这六个方面来阐述习近平新时代中国特色社会主义思想是如何丰富和发展社会主义本质体系理论的。</w:t>
      </w:r>
    </w:p>
    <w:p w14:paraId="7E1F73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67519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w:t>
      </w:r>
      <w:r>
        <w:rPr>
          <w:rFonts w:hint="eastAsia"/>
          <w:b/>
          <w:bCs/>
          <w:sz w:val="24"/>
        </w:rPr>
        <w:t xml:space="preserve"> 二、坚持以公有制为主体的共同富裕是中国特色社会主义的经济本质</w:t>
      </w:r>
    </w:p>
    <w:p w14:paraId="682BA5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唯物史观出发，生产资料所有制所决定的经济本质是一个社会的主要经济基础，直接或间接决定该社会的上层建筑。恩格斯在《共产党宣言》1883年德文版序言中明确强调：“每一历史时代的经济生产以及必然由此产生的社会结构，是该时代政治的和精神的历史的基础。”</w:t>
      </w:r>
      <w:r>
        <w:rPr>
          <w:rStyle w:val="20"/>
          <w:rFonts w:hint="eastAsia" w:ascii="宋体" w:hAnsi="宋体" w:eastAsia="宋体" w:cs="宋体"/>
          <w:b/>
          <w:bCs/>
          <w:sz w:val="24"/>
          <w:szCs w:val="21"/>
        </w:rPr>
        <w:footnoteReference w:id="430"/>
      </w:r>
      <w:r>
        <w:rPr>
          <w:rFonts w:hint="eastAsia"/>
          <w:sz w:val="24"/>
        </w:rPr>
        <w:t>马克思指出：“随着经济基础的变更，全部庞大的上层建筑也或慢或快地发生变革。”</w:t>
      </w:r>
      <w:r>
        <w:rPr>
          <w:rStyle w:val="20"/>
          <w:rFonts w:hint="eastAsia" w:ascii="宋体" w:hAnsi="宋体" w:eastAsia="宋体" w:cs="宋体"/>
          <w:b/>
          <w:bCs/>
          <w:sz w:val="24"/>
          <w:szCs w:val="21"/>
        </w:rPr>
        <w:footnoteReference w:id="431"/>
      </w:r>
      <w:r>
        <w:rPr>
          <w:rFonts w:hint="eastAsia"/>
          <w:sz w:val="24"/>
        </w:rPr>
        <w:t>“资本主义经营本质上就是私人经营，即使由联合的资本家代替单个资本家，也是如此。”</w:t>
      </w:r>
      <w:r>
        <w:rPr>
          <w:rStyle w:val="20"/>
          <w:rFonts w:hint="eastAsia" w:ascii="宋体" w:hAnsi="宋体" w:eastAsia="宋体" w:cs="宋体"/>
          <w:b/>
          <w:bCs/>
          <w:sz w:val="24"/>
          <w:szCs w:val="21"/>
        </w:rPr>
        <w:footnoteReference w:id="432"/>
      </w:r>
      <w:r>
        <w:rPr>
          <w:rFonts w:hint="eastAsia"/>
          <w:sz w:val="24"/>
        </w:rPr>
        <w:t>资本主义社会的经济本质就是生产资料的资产阶级私有制或垄断私有制，并由此从根本上决定资本主义社会的政治和文化上层建筑性质和宗旨。</w:t>
      </w:r>
    </w:p>
    <w:p w14:paraId="6523A68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邓小平指出：“社会主义的本质，是解放生产力，发展生产力，消灭剥削，消除两极分化，最终达到共同富裕。”</w:t>
      </w:r>
      <w:r>
        <w:rPr>
          <w:rStyle w:val="20"/>
          <w:rFonts w:hint="eastAsia" w:ascii="宋体" w:hAnsi="宋体" w:eastAsia="宋体" w:cs="宋体"/>
          <w:b/>
          <w:bCs/>
          <w:sz w:val="24"/>
          <w:szCs w:val="21"/>
        </w:rPr>
        <w:footnoteReference w:id="433"/>
      </w:r>
      <w:r>
        <w:rPr>
          <w:rFonts w:hint="eastAsia"/>
          <w:sz w:val="24"/>
        </w:rPr>
        <w:t>“在改革中，我们始终坚持两条根本原则，一是以社会主义公有制经济为主体，一是共同富裕”</w:t>
      </w:r>
      <w:r>
        <w:rPr>
          <w:rStyle w:val="20"/>
          <w:rFonts w:hint="eastAsia" w:ascii="宋体" w:hAnsi="宋体" w:eastAsia="宋体" w:cs="宋体"/>
          <w:b/>
          <w:bCs/>
          <w:sz w:val="24"/>
          <w:szCs w:val="21"/>
        </w:rPr>
        <w:footnoteReference w:id="434"/>
      </w:r>
      <w:r>
        <w:rPr>
          <w:rFonts w:hint="eastAsia"/>
          <w:sz w:val="24"/>
        </w:rPr>
        <w:t>。这就指明了中国特色社会主义的两个本质性特征。党的二十大报告再次强调：“共同富裕是中国特色社会主义的本质要求，也是一个长期的历史过程。”</w:t>
      </w:r>
      <w:r>
        <w:rPr>
          <w:rStyle w:val="20"/>
          <w:rFonts w:hint="eastAsia" w:ascii="宋体" w:hAnsi="宋体" w:eastAsia="宋体" w:cs="宋体"/>
          <w:b/>
          <w:bCs/>
          <w:sz w:val="24"/>
          <w:szCs w:val="21"/>
        </w:rPr>
        <w:footnoteReference w:id="435"/>
      </w:r>
      <w:r>
        <w:rPr>
          <w:rFonts w:hint="eastAsia"/>
          <w:sz w:val="24"/>
        </w:rPr>
        <w:t>习近平新时代中国特色社会主义思想进一步丰富和发展了社会主义的经济本质规定和中国式现代化的本质要求。</w:t>
      </w:r>
    </w:p>
    <w:p w14:paraId="0476F89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强调决定社会主义经济本质的公有制主体地位和国有经济主导作用不能动摇。习近平指出：“我国基本经济制度是中国特色社会主义制度的重要支柱，也是社会主义市场经济体制的根基，公有制主体地位不能动摇，国有经济主导作用不能动摇。这是保证我国各族人民共享发展成果的制度性保证，也是巩固党的执政地位、坚持我国社会主义制度的重要保证。”</w:t>
      </w:r>
      <w:r>
        <w:rPr>
          <w:rStyle w:val="20"/>
          <w:rFonts w:hint="eastAsia" w:ascii="宋体" w:hAnsi="宋体" w:eastAsia="宋体" w:cs="宋体"/>
          <w:b/>
          <w:bCs/>
          <w:sz w:val="24"/>
          <w:szCs w:val="21"/>
        </w:rPr>
        <w:footnoteReference w:id="436"/>
      </w:r>
      <w:r>
        <w:rPr>
          <w:rFonts w:hint="eastAsia"/>
          <w:sz w:val="24"/>
        </w:rPr>
        <w:t>“国有企业是中国特色社会主义的重要物质基础和政治基础，是我们党执政兴国的重要支柱和依靠力量。”</w:t>
      </w:r>
      <w:r>
        <w:rPr>
          <w:rStyle w:val="20"/>
          <w:rFonts w:hint="eastAsia" w:ascii="宋体" w:hAnsi="宋体" w:eastAsia="宋体" w:cs="宋体"/>
          <w:b/>
          <w:bCs/>
          <w:sz w:val="24"/>
          <w:szCs w:val="21"/>
        </w:rPr>
        <w:footnoteReference w:id="437"/>
      </w:r>
      <w:r>
        <w:rPr>
          <w:rFonts w:hint="eastAsia"/>
          <w:sz w:val="24"/>
        </w:rPr>
        <w:t>数次强调要“做强做优做大国有企业”。这就阐明了公有制主体地位和国有经济主导性作用是中国特色社会主义的重要经济基础和政治基础，彰显了中国特色社会主义的经济本质特征。社会主义公有制作为社会主义最根本的本质特征，是因为如果体制机制操作得当，其完全可以高效地与市场经济有机融合，在公平与效率层面会比资本主义私有制体现出无法比拟的优越性，从根本上克服资本主义市场经济的生产资料私有制这一本质性缺陷。社会主义公有制企业可以通过矫正价值规律的功能弱点来体现社会整体的绩效优势，通过提供强大的财力支撑来促进经济增长，还可以在国有企业内部的初次分配中避免贫富差距过大，以此来为国计民生的较快全面发展提供重要的产权保障。</w:t>
      </w:r>
      <w:r>
        <w:rPr>
          <w:rStyle w:val="20"/>
          <w:rFonts w:hint="eastAsia" w:ascii="宋体" w:hAnsi="宋体" w:eastAsia="宋体" w:cs="宋体"/>
          <w:b/>
          <w:bCs/>
          <w:sz w:val="24"/>
          <w:szCs w:val="21"/>
        </w:rPr>
        <w:footnoteReference w:id="438"/>
      </w:r>
    </w:p>
    <w:p w14:paraId="1F76D1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第二，提出要把消除贫困、改善民生、逐步实现共同富裕作为社会主义的本质要求。习近平总书记指出：“消除贫困、改善民生、实现共同富裕，是社会主义的本质要求。”</w:t>
      </w:r>
      <w:r>
        <w:rPr>
          <w:rStyle w:val="20"/>
          <w:rFonts w:hint="eastAsia" w:ascii="宋体" w:hAnsi="宋体" w:eastAsia="宋体" w:cs="宋体"/>
          <w:b/>
          <w:bCs/>
          <w:sz w:val="24"/>
          <w:szCs w:val="21"/>
        </w:rPr>
        <w:footnoteReference w:id="439"/>
      </w:r>
      <w:r>
        <w:rPr>
          <w:rFonts w:hint="eastAsia"/>
          <w:sz w:val="24"/>
        </w:rPr>
        <w:t xml:space="preserve"> “共同富裕是中国特色社会主义的根本原则，所以必须使发展成果更多更公平惠及全体人民，朝着共同富裕方向稳步前进。”</w:t>
      </w:r>
      <w:r>
        <w:rPr>
          <w:rStyle w:val="20"/>
          <w:rFonts w:hint="eastAsia" w:ascii="宋体" w:hAnsi="宋体" w:eastAsia="宋体" w:cs="宋体"/>
          <w:b/>
          <w:bCs/>
          <w:sz w:val="24"/>
          <w:szCs w:val="21"/>
        </w:rPr>
        <w:footnoteReference w:id="440"/>
      </w:r>
      <w:r>
        <w:rPr>
          <w:rFonts w:hint="eastAsia"/>
          <w:sz w:val="24"/>
        </w:rPr>
        <w:t>党的十八大以来，以习近平总书记为核心的党中央不忘初心、牢记使命，团结带领全党全国各族人民，始终朝着实现共同富裕的目标不懈努力，决战脱贫攻坚取得全面胜利，全面建成小康社会取得伟大历史性成就。在党的十九届五中全会上，习近平总书记进一步突出强调了“扎实推动共同富裕”，以及到2035年“全体人民共同富裕取得更为明显的实质性进展”，</w:t>
      </w:r>
      <w:r>
        <w:rPr>
          <w:rStyle w:val="20"/>
          <w:rFonts w:hint="eastAsia" w:ascii="宋体" w:hAnsi="宋体" w:eastAsia="宋体" w:cs="宋体"/>
          <w:b/>
          <w:bCs/>
          <w:sz w:val="24"/>
          <w:szCs w:val="21"/>
        </w:rPr>
        <w:footnoteReference w:id="441"/>
      </w:r>
      <w:r>
        <w:rPr>
          <w:rFonts w:hint="eastAsia"/>
          <w:sz w:val="24"/>
        </w:rPr>
        <w:t>提出提高人民收入水平、强化就业优先政策、健全多层次社会保障体系等一系列重大举措。从全面建成小康社会到发展建设共同富裕示范区，共同富裕的社会主义本质特征进一步突显。这就更加需要做强做优做大国有企业和国有资本，充分发挥国有经济战略支撑作用，防止资本无序扩张，以此来缩小适合阶层之间财富和收入的差距、壮大共同富裕的根基。党的二十大报告强调：“深化国资国企改革，加快国有经济布局优化和结构调整，推动国有资本和国有企业做强做优做大，提升企业核心竞争力。”</w:t>
      </w:r>
      <w:r>
        <w:rPr>
          <w:rStyle w:val="20"/>
          <w:rFonts w:hint="eastAsia" w:ascii="宋体" w:hAnsi="宋体" w:eastAsia="宋体" w:cs="宋体"/>
          <w:b/>
          <w:bCs/>
          <w:sz w:val="24"/>
          <w:szCs w:val="21"/>
        </w:rPr>
        <w:footnoteReference w:id="442"/>
      </w:r>
      <w:r>
        <w:rPr>
          <w:rFonts w:hint="eastAsia"/>
          <w:sz w:val="24"/>
        </w:rPr>
        <w:t>相较党的十九大报告，二十大报告中的一处重大变化是把“推动国有资本做强做优做大”，</w:t>
      </w:r>
      <w:r>
        <w:rPr>
          <w:rStyle w:val="20"/>
          <w:rFonts w:hint="eastAsia" w:ascii="宋体" w:hAnsi="宋体" w:eastAsia="宋体" w:cs="宋体"/>
          <w:b/>
          <w:bCs/>
          <w:sz w:val="24"/>
          <w:szCs w:val="21"/>
        </w:rPr>
        <w:t xml:space="preserve"> </w:t>
      </w:r>
      <w:r>
        <w:rPr>
          <w:rStyle w:val="20"/>
          <w:rFonts w:hint="eastAsia" w:ascii="宋体" w:hAnsi="宋体" w:eastAsia="宋体" w:cs="宋体"/>
          <w:b/>
          <w:bCs/>
          <w:sz w:val="24"/>
          <w:szCs w:val="21"/>
        </w:rPr>
        <w:footnoteReference w:id="443"/>
      </w:r>
      <w:r>
        <w:rPr>
          <w:rFonts w:hint="eastAsia"/>
          <w:sz w:val="24"/>
        </w:rPr>
        <w:t>完善为“国有资本和国有企业做强做优做大”。在新征程上，国资国企决不是单纯的资本形态，两者的共促共建是党执政兴国的重要支柱和依靠力量，是彰显工人阶级领导阶级地位的集中体现，是发挥集中力量办大事的新型举国体制的优势所在，是全面建设社会主义现代化强国以及实现共同富裕的主力军和压舱石。</w:t>
      </w:r>
    </w:p>
    <w:p w14:paraId="108A461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把按劳分配为主体的分配关系与公有制主体的产权关系作为一组不可分割的经济制度本质规定。党的十九届四中全会对我国基本经济制度作了新的概括，把公有制为主体、多种所有制经济共同发展和按劳分配为主体、多种分配方式并存二者共同纳入初级阶段社会主义基本经济制度。这一新概括既体现了社会主义制度优越性，又突显出以公有制和按劳分配“两个主体”的共同富裕的经济本质，是习近平新时代中国特色社会主义思想的理论创新。党的二十大报告又进一步明确把分配制度作为促进共同富裕的基础性制度。其中，公有制为主体的所有制结构是根本经济制度，反映出中国特色社会主义的经济本质，决定了中国特色社会主义经济性质的总体格局；按劳分配为主体的分配结构是所有制结构的利益实现，决定了共富共享共福的总体格局。那种割裂公有制主体与共同富裕的错误观点是背离经济辩证法的。当然，要把发展公有制为主体与非公经济有机地结合起来，以便互补共促国计民生的较快提升；进一步解放和发展生产力，就是要“自觉通过调整生产关系激发社会生产力发展活力”</w:t>
      </w:r>
      <w:r>
        <w:rPr>
          <w:rStyle w:val="20"/>
          <w:rFonts w:hint="eastAsia" w:ascii="宋体" w:hAnsi="宋体" w:eastAsia="宋体" w:cs="宋体"/>
          <w:b/>
          <w:bCs/>
          <w:sz w:val="24"/>
          <w:szCs w:val="21"/>
        </w:rPr>
        <w:footnoteReference w:id="444"/>
      </w:r>
      <w:r>
        <w:rPr>
          <w:rFonts w:hint="eastAsia"/>
          <w:sz w:val="24"/>
        </w:rPr>
        <w:t>。</w:t>
      </w:r>
    </w:p>
    <w:p w14:paraId="1A6944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DFE45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三、坚持中国共产党领导是中国特色社会主义的政治本质和最本质特征</w:t>
      </w:r>
    </w:p>
    <w:p w14:paraId="363F52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认为，无产阶级政党的领导是社会主义事业取得成功的政治保证。离开了无产阶级政党的领导，社会主义事业也就失去了实现社会变革最根本的政治力量。马克思指出：“无产阶级在反对有产阶级联合力量的斗争中，只有把自身组织成为与有产阶级建立的一切旧政党不同的、相对立的政党，才能作为一个阶级来行动”。</w:t>
      </w:r>
      <w:r>
        <w:rPr>
          <w:rStyle w:val="20"/>
          <w:rFonts w:hint="eastAsia" w:ascii="宋体" w:hAnsi="宋体" w:eastAsia="宋体" w:cs="宋体"/>
          <w:b/>
          <w:bCs/>
          <w:sz w:val="24"/>
          <w:szCs w:val="21"/>
        </w:rPr>
        <w:footnoteReference w:id="445"/>
      </w:r>
      <w:r>
        <w:rPr>
          <w:rFonts w:hint="eastAsia"/>
          <w:sz w:val="24"/>
        </w:rPr>
        <w:t>只有在无产阶级政党的领导下，群众才会被动员起来，才会形成强大的政治力量，社会主义革命和建设事业才会有坚强的组织基础。列宁更是一针见血地指出：“在我国，国家政权的一切政治经济工作都是由工人阶级觉悟的先锋队共产党领导。”</w:t>
      </w:r>
      <w:r>
        <w:rPr>
          <w:rStyle w:val="20"/>
          <w:rFonts w:hint="eastAsia" w:ascii="宋体" w:hAnsi="宋体" w:eastAsia="宋体" w:cs="宋体"/>
          <w:b/>
          <w:bCs/>
          <w:sz w:val="24"/>
          <w:szCs w:val="21"/>
        </w:rPr>
        <w:footnoteReference w:id="446"/>
      </w:r>
      <w:r>
        <w:rPr>
          <w:rFonts w:hint="eastAsia"/>
          <w:sz w:val="24"/>
        </w:rPr>
        <w:t>无产阶级政党对社会主义国家政权的领导和对社会主义经济建设的领导确保了社会主义各项事业顺利进行。</w:t>
      </w:r>
    </w:p>
    <w:p w14:paraId="7D6E3A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总书记丰富和发展了社会主义政治本质的理论。第一，提出中国共产党领导是中国特色社会主义最本质的特征。在党的二十大上，习近平总书记回顾了从十八大召开至今的十年间，党和国家事业所取得的历史性成就、发生的历史性变革。其中的成就之一是，“全面加强党的领导，明确中国特色社会主义最本质的特征是中国共产党领导，中国特色社会主义制度的最大优势是中国共产党领导，中国共产党是最高政治领导力量，坚持党中央集中统一领导是最高政治原则，系统完善党的领导制度体系”。</w:t>
      </w:r>
      <w:r>
        <w:rPr>
          <w:rStyle w:val="20"/>
          <w:rFonts w:hint="eastAsia" w:ascii="宋体" w:hAnsi="宋体" w:eastAsia="宋体" w:cs="宋体"/>
          <w:b/>
          <w:bCs/>
          <w:sz w:val="24"/>
          <w:szCs w:val="21"/>
        </w:rPr>
        <w:footnoteReference w:id="447"/>
      </w:r>
      <w:r>
        <w:rPr>
          <w:rFonts w:hint="eastAsia"/>
          <w:sz w:val="24"/>
        </w:rPr>
        <w:t>把中国共产党的领导与社会主义的政治本质以及最深层次的本质相联系，是科学社会主义的基本原则与中国特色社会主义发展实践相结合所形成的理论创新成果，也是对党的执政规律和社会主义建设规律的深化认识。这与列宁关于政治是经济的集中体现的思想是一致的。</w:t>
      </w:r>
    </w:p>
    <w:p w14:paraId="20801A2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提出中国共产党是中国特色社会主义事业的领导核心，坚持党的领导是社会主义政治的本根。在中国共产党的领导下，中国的革命、建设、改革事业取得了巨大的成就，中国的政治稳定、经济发展、民族团结、社会稳定有了最根本的政治保障。可以说，中国共产党是实现中国特色社会主义事业发展的最根本的政治力量，坚持中国共产党的领导是做好党和国家各项工作的根本保证。正如习近平所揭示的，“我们治国理政的本根，就是中国共产党领导和社会主义制度。”</w:t>
      </w:r>
      <w:r>
        <w:rPr>
          <w:rStyle w:val="20"/>
          <w:rFonts w:hint="eastAsia" w:ascii="宋体" w:hAnsi="宋体" w:eastAsia="宋体" w:cs="宋体"/>
          <w:b/>
          <w:bCs/>
          <w:sz w:val="24"/>
          <w:szCs w:val="21"/>
        </w:rPr>
        <w:footnoteReference w:id="448"/>
      </w:r>
      <w:r>
        <w:rPr>
          <w:rFonts w:hint="eastAsia"/>
          <w:sz w:val="24"/>
        </w:rPr>
        <w:t xml:space="preserve">  </w:t>
      </w:r>
    </w:p>
    <w:p w14:paraId="55AADC1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提出坚持党的领导体现了中国特色社会主义制度的政治优势。党政军民学，东西南北中，党是领导一切的。中国共产党的领导有利于集中力量办大事，充分体现了中国特色社会主义制度的政治优势。无论是全面建成小康社会的伟大胜利，还是开启社会主义现代化强国建设的新征程，在中国共产党的领导下，以公有企事业单位为主力，社会的人力、物力、财力被充分地调动起来了，全国人民大团结的政治局面不断巩固，中国特色社会主义事业势如破竹，稳步向前。特别是面对突如其来的新冠肺炎疫情全球大流行，在中国共产党的领导下，全国人民一致抗疫，打赢了疫情防控的阻击战，这再一次体现了中国共产党的英明领导和集中力量办大事的政治经济优势。正如习近平所明示的：“这次应对新冠肺炎疫情全球大流行，各国的领导力和制度优越性如何，高下立判。时与势在我们一边，这是我们定力和底气所在，也是我们的决心和信心所在。”</w:t>
      </w:r>
      <w:r>
        <w:rPr>
          <w:rStyle w:val="20"/>
          <w:rFonts w:hint="eastAsia" w:ascii="宋体" w:hAnsi="宋体" w:eastAsia="宋体" w:cs="宋体"/>
          <w:b/>
          <w:bCs/>
          <w:sz w:val="24"/>
          <w:szCs w:val="21"/>
        </w:rPr>
        <w:footnoteReference w:id="449"/>
      </w:r>
    </w:p>
    <w:p w14:paraId="31F82E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7249D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四、坚持马克思主义及其中国化理论指导是中国特色社会主义的文化本质</w:t>
      </w:r>
    </w:p>
    <w:p w14:paraId="3D5379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理论是无产阶级政党的行动指南与思想理论基础，是无产阶级政党能够取得事业成功的思想保证，也是社会主义思想文化体系的核心和灵魂。恩格斯指出，“我们党有个很大的优点，就是有一个新的科学的世界观作为理论的基础。”</w:t>
      </w:r>
      <w:r>
        <w:rPr>
          <w:rStyle w:val="20"/>
          <w:rFonts w:hint="eastAsia" w:ascii="宋体" w:hAnsi="宋体" w:eastAsia="宋体" w:cs="宋体"/>
          <w:b/>
          <w:bCs/>
          <w:sz w:val="24"/>
          <w:szCs w:val="21"/>
        </w:rPr>
        <w:footnoteReference w:id="450"/>
      </w:r>
      <w:r>
        <w:rPr>
          <w:rFonts w:hint="eastAsia"/>
          <w:sz w:val="24"/>
        </w:rPr>
        <w:t>毛泽东在《新民主主义论》中写道：“在‘五四’以后，中国产生了完全崭新的文化生力军，这就是中国共产党人所领导的共产主义的文化思想，即共产主义的宇宙观和社会革命论”。</w:t>
      </w:r>
      <w:r>
        <w:rPr>
          <w:rStyle w:val="20"/>
          <w:rFonts w:hint="eastAsia" w:ascii="宋体" w:hAnsi="宋体" w:eastAsia="宋体" w:cs="宋体"/>
          <w:b/>
          <w:bCs/>
          <w:sz w:val="24"/>
          <w:szCs w:val="21"/>
          <w:shd w:val="clear" w:color="auto" w:fill="FFFFFF"/>
        </w:rPr>
        <w:footnoteReference w:id="451"/>
      </w:r>
      <w:r>
        <w:rPr>
          <w:rFonts w:hint="eastAsia"/>
          <w:sz w:val="24"/>
        </w:rPr>
        <w:t>邓小平强调说：“属于文化领域的东西，一定要用马克思主义对它们的思想内容和表现方法进行分析、鉴别和批判”</w:t>
      </w:r>
      <w:r>
        <w:rPr>
          <w:rStyle w:val="20"/>
          <w:rFonts w:hint="eastAsia" w:ascii="宋体" w:hAnsi="宋体" w:eastAsia="宋体" w:cs="宋体"/>
          <w:b/>
          <w:bCs/>
          <w:sz w:val="24"/>
          <w:szCs w:val="21"/>
        </w:rPr>
        <w:footnoteReference w:id="452"/>
      </w:r>
      <w:r>
        <w:rPr>
          <w:rFonts w:hint="eastAsia"/>
          <w:sz w:val="24"/>
        </w:rPr>
        <w:t>。针对思想文化领域中存在的种种乱象，他进一步指出：“一定要彻底扭转这种不正常的局面，使得马克思的和社会主义、共产主义的宣传，特别是在一切重大理论性、原则性问题上的正确观点，在思想界真正发挥主导作用。”</w:t>
      </w:r>
      <w:r>
        <w:rPr>
          <w:rStyle w:val="20"/>
          <w:rFonts w:hint="eastAsia" w:ascii="宋体" w:hAnsi="宋体" w:eastAsia="宋体" w:cs="宋体"/>
          <w:b/>
          <w:bCs/>
          <w:sz w:val="24"/>
          <w:szCs w:val="21"/>
        </w:rPr>
        <w:footnoteReference w:id="453"/>
      </w:r>
      <w:r>
        <w:rPr>
          <w:rFonts w:hint="eastAsia"/>
          <w:sz w:val="24"/>
        </w:rPr>
        <w:t>习近平总书记在党的二十大报告中进一步强调，把马克思主义基本原理同中国具体实际相结合、同中华优秀传统文化相结合，是正确回答时代和实践提出的重大问题以及始终保持马克思主义蓬勃生机和旺盛活力的理论和实践保障。他指明：“坚持和发展马克思主义，必须同中华优秀传统文化相结合。只有植根本国、本民族历史文化沃土，马克思主义真理之树才能根深叶茂。”</w:t>
      </w:r>
      <w:r>
        <w:rPr>
          <w:rStyle w:val="20"/>
          <w:rFonts w:hint="eastAsia" w:ascii="宋体" w:hAnsi="宋体" w:eastAsia="宋体" w:cs="宋体"/>
          <w:b/>
          <w:bCs/>
          <w:sz w:val="24"/>
          <w:szCs w:val="21"/>
        </w:rPr>
        <w:footnoteReference w:id="454"/>
      </w:r>
    </w:p>
    <w:p w14:paraId="60D3AA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遵循习近平新时代中国特色社会主义思想的精神，马克思主义是我们立党立国的根本指导思想，马克思主义及其中国化理论指导是中国特色社会主义的文化本质特征。在习近平的相关系列论述中：第一，提出在马克思主义指导下，坚持中国特色社会主义的共同理想是全党全国人民团结奋斗共同的思想基础。共产主义远大理想和中国特色社会主义共同理想凝聚着一代又一代中国共产党人的不懈追求和英勇奋斗。正是在这一理想信念的激励和引领下，中国共产党才具有高度的理论自觉、政治自觉和实践自觉，才会带领中国人民和中华民族取得了伟大的成就。因此，树立共产主义的远大理想和中国特色社会主义的共同理想，凝结了中国共产党人和中国人民的共同思想基础，使中国人民和中华民族有了共同的信仰。正如习近平所指出的：“宣传思想文化工作必须牢牢把握巩固马克思主义在意识形态领域指导地位、巩固全党全国人民团结奋斗共同思想基础的根本任务。”</w:t>
      </w:r>
      <w:r>
        <w:rPr>
          <w:rFonts w:hint="eastAsia"/>
          <w:sz w:val="24"/>
        </w:rPr>
        <w:footnoteReference w:id="455"/>
      </w:r>
    </w:p>
    <w:p w14:paraId="57E126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提出马克思主义及其中国化理论指导为我国文化强国建设指明了正确方向。实现中华民族伟大复兴，需要物质文明极大发展，也需要精神文明极大发展，建设社会主义文化强国是中华民族几千年文化积淀赋予中国共产党人的历史使命。新时代以来，以习近平总书记为核心的党中央以马克思主义为指导，坚守中华文化立场，立足当代中国现实，结合当今时代条件，积极发展面向现代化、面向世界、面向未来的，民族的科学的大众的社会主义文化，走中国特色社会主义文化发展道路，为社会主义文化强国建设指明了正确方向。</w:t>
      </w:r>
    </w:p>
    <w:p w14:paraId="135841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提出马克思主义及其中国化理论指导是构建中国特色哲学社会科学、掌握国际话语权的重要条件。习近平指出，“坚持以马克思主义为指导，是当代中国哲学社会科学区别于其他哲学社会科学的根本标志，必须旗帜鲜明加以坚持。” </w:t>
      </w:r>
      <w:r>
        <w:rPr>
          <w:rStyle w:val="20"/>
          <w:rFonts w:hint="eastAsia" w:ascii="宋体" w:hAnsi="宋体" w:eastAsia="宋体" w:cs="宋体"/>
          <w:b/>
          <w:bCs/>
          <w:sz w:val="24"/>
          <w:szCs w:val="21"/>
        </w:rPr>
        <w:footnoteReference w:id="456"/>
      </w:r>
      <w:r>
        <w:rPr>
          <w:rFonts w:hint="eastAsia"/>
          <w:sz w:val="24"/>
        </w:rPr>
        <w:t>如果不坚持马克思主义为指导，哲学社会科学就会失去灵魂、迷失方向，最终也不能发挥应有的作用。因此，当今的中国要形成具有中国特色、中国风格、中国气派的哲学社会科学，就必须要坚持马克思主义的理论指导，注重哲学社会科学的继承性和民族性、原创性和时代性、系统性和专业性，不断发挥马克思主义基本理论的学科优势，更加及时地发出中国声音、更加鲜明地展现中国思想、更加响亮地提出中国主张。</w:t>
      </w:r>
    </w:p>
    <w:p w14:paraId="266BCD3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66FA2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五、坚持以人民为中心的社会和谐是中国特色社会主义的社会本质</w:t>
      </w:r>
    </w:p>
    <w:p w14:paraId="070A35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社会占有生产资料和生产力高度发达的基础上，建立一个自由人的联合体，实现人的自由全面发展和社会的真正和谐，是马克思主义者的社会理想和奋斗目标。恩格斯指出：一旦社会占有了生产资料，“不仅可能保证一切社会成员有富足的和一天比一天充裕的物质生活，而且还可能保证他们的体力和智力获得充分的自由的发展和运用”</w:t>
      </w:r>
      <w:r>
        <w:rPr>
          <w:rStyle w:val="20"/>
          <w:rFonts w:hint="eastAsia" w:ascii="宋体" w:hAnsi="宋体" w:eastAsia="宋体" w:cs="宋体"/>
          <w:b/>
          <w:bCs/>
          <w:sz w:val="24"/>
          <w:szCs w:val="21"/>
        </w:rPr>
        <w:footnoteReference w:id="457"/>
      </w:r>
      <w:r>
        <w:rPr>
          <w:rFonts w:hint="eastAsia"/>
          <w:sz w:val="24"/>
        </w:rPr>
        <w:t>。列宁说：社会主义生产是要“保证社会全体成员的充分福利和自由的全面发展”</w:t>
      </w:r>
      <w:r>
        <w:rPr>
          <w:rStyle w:val="20"/>
          <w:rFonts w:hint="eastAsia" w:ascii="宋体" w:hAnsi="宋体" w:eastAsia="宋体" w:cs="宋体"/>
          <w:b/>
          <w:bCs/>
          <w:sz w:val="24"/>
          <w:szCs w:val="21"/>
        </w:rPr>
        <w:footnoteReference w:id="458"/>
      </w:r>
      <w:r>
        <w:rPr>
          <w:rFonts w:hint="eastAsia"/>
          <w:sz w:val="24"/>
        </w:rPr>
        <w:t>，“只有社会主义才可能广泛推行和真正支配根据科学原则进行的产品的社会生产和分配，以便使所有劳动者过最美好的、最幸福的生活。只有社会主义才能实现这一点”</w:t>
      </w:r>
      <w:r>
        <w:rPr>
          <w:rStyle w:val="20"/>
          <w:rFonts w:hint="eastAsia" w:ascii="宋体" w:hAnsi="宋体" w:eastAsia="宋体" w:cs="宋体"/>
          <w:b/>
          <w:bCs/>
          <w:sz w:val="24"/>
          <w:szCs w:val="21"/>
        </w:rPr>
        <w:footnoteReference w:id="459"/>
      </w:r>
      <w:r>
        <w:rPr>
          <w:rFonts w:hint="eastAsia"/>
          <w:sz w:val="24"/>
        </w:rPr>
        <w:t>。</w:t>
      </w:r>
    </w:p>
    <w:p w14:paraId="593A237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习近平指出，“社会和谐是中国特色社会主义的本质属性”。</w:t>
      </w:r>
      <w:r>
        <w:rPr>
          <w:rStyle w:val="20"/>
          <w:rFonts w:hint="eastAsia" w:ascii="宋体" w:hAnsi="宋体" w:eastAsia="宋体" w:cs="宋体"/>
          <w:b/>
          <w:bCs/>
          <w:sz w:val="24"/>
          <w:szCs w:val="21"/>
        </w:rPr>
        <w:footnoteReference w:id="460"/>
      </w:r>
      <w:r>
        <w:rPr>
          <w:rFonts w:hint="eastAsia"/>
          <w:sz w:val="24"/>
        </w:rPr>
        <w:t>他在党的二十大报告中也明确强调，“江山就是人民，人民就是江山。中国共产党领导人民打江山、守江山，守的是人民的心。治国有常，利民为本”，由此，“为民造福是立党为公、执政为民的本质要求”。</w:t>
      </w:r>
      <w:r>
        <w:rPr>
          <w:rStyle w:val="20"/>
          <w:rFonts w:hint="eastAsia" w:ascii="宋体" w:hAnsi="宋体" w:eastAsia="宋体" w:cs="宋体"/>
          <w:b/>
          <w:bCs/>
          <w:sz w:val="24"/>
          <w:szCs w:val="21"/>
        </w:rPr>
        <w:footnoteReference w:id="461"/>
      </w:r>
      <w:r>
        <w:rPr>
          <w:rFonts w:hint="eastAsia"/>
          <w:sz w:val="24"/>
        </w:rPr>
        <w:t>社会主义就是要实现好维护好发展好最广大人民群众的根本利益，使全体人民在根本利益一致的基础上实现共同富裕和社会和谐，这充分体现了中国特色社会主义的社会本质。</w:t>
      </w:r>
    </w:p>
    <w:p w14:paraId="699106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依据习近平的相关系列论述，一方面，坚持以人民为中心的发展，不断提高全体人民的生活质量，推进社会和谐是社会主义的社会本质属性。习近平指出，“要随时随刻倾听人民呼声、回应人民期待，保证人民平等参与、平等发展权利，维护社会公平正义，在学有所教、老有所得、病有所医、老有所养、住有所居上持续取得新进展，不断实现好、维护好、发展好最广大人民根本利益，使发展成果更多更公平惠及全体人民，在经济社会不断发展的基础上，朝着共同富裕方向稳步前进”。</w:t>
      </w:r>
      <w:r>
        <w:rPr>
          <w:rStyle w:val="20"/>
          <w:rFonts w:hint="eastAsia" w:ascii="宋体" w:hAnsi="宋体" w:eastAsia="宋体" w:cs="宋体"/>
          <w:b/>
          <w:bCs/>
          <w:sz w:val="24"/>
          <w:szCs w:val="21"/>
        </w:rPr>
        <w:footnoteReference w:id="462"/>
      </w:r>
      <w:r>
        <w:rPr>
          <w:rFonts w:hint="eastAsia"/>
          <w:sz w:val="24"/>
        </w:rPr>
        <w:t>中国特色社会主义根植于人民，人民对美好生活的向往就是中国共产党的奋斗目标。中国共产党始终把实现好、维护好、发展好最广大人民的根本利益作为一切工作的出发点和落脚点，不断解决好人民最关心最直接最现实的利益问题，努力让人民过上更好生活，不断确保人民安居乐业、社会安定有序、国家长治久安，以此来推动以人民为中心的和谐社会的发展，这充分体现了社会主义让全体人民过上最美好、最幸福生活的本质要求。</w:t>
      </w:r>
    </w:p>
    <w:p w14:paraId="62F4254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另一方面，坚持以人民为中心的发展，在维护全体人民根本利益基础上协调好不同利益群体的关系，维护社会公平正义与和谐稳定，体现了社会主义的社会本质属性。习近平强调，“要坚持社会主义基本经济制度和分配制度，调整收入分配格局，完善以税收、社会保障、转移支付等为主要手段的再分配调节机制，维护社会公平正义，解决好收入差距问题，使发展成果更多更公平惠及全体人民。”</w:t>
      </w:r>
      <w:r>
        <w:rPr>
          <w:rStyle w:val="20"/>
          <w:rFonts w:hint="eastAsia" w:ascii="宋体" w:hAnsi="宋体" w:eastAsia="宋体" w:cs="宋体"/>
          <w:b/>
          <w:bCs/>
          <w:sz w:val="24"/>
          <w:szCs w:val="21"/>
        </w:rPr>
        <w:footnoteReference w:id="463"/>
      </w:r>
      <w:r>
        <w:rPr>
          <w:rFonts w:hint="eastAsia"/>
          <w:sz w:val="24"/>
        </w:rPr>
        <w:t>在新时代，以习近平总书记为核心的党中央通过全面深化改革，不断破解经济社会发展中的难题，努力缩小地区、城乡之间的发展差距，奋力实现社会的公平正义与和谐稳定。</w:t>
      </w:r>
    </w:p>
    <w:p w14:paraId="3E3E45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25E65EE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六、坚持人与自然和谐共生是中国特色社会主义的生态文明本质</w:t>
      </w:r>
    </w:p>
    <w:p w14:paraId="6609DF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人与自然始终处于不可分割的辩证统一体之中。作为辩证唯物主义自然观重要维度的生态文明思想，本质上是对这一统一体的科学把握。恩格斯指出，随着人类社会的进步，人类“自身和自然界的一体性”</w:t>
      </w:r>
      <w:r>
        <w:rPr>
          <w:rStyle w:val="20"/>
          <w:rFonts w:hint="eastAsia" w:ascii="宋体" w:hAnsi="宋体" w:eastAsia="宋体" w:cs="宋体"/>
          <w:b/>
          <w:bCs/>
          <w:sz w:val="24"/>
          <w:szCs w:val="21"/>
        </w:rPr>
        <w:footnoteReference w:id="464"/>
      </w:r>
      <w:r>
        <w:rPr>
          <w:rFonts w:hint="eastAsia"/>
          <w:sz w:val="24"/>
        </w:rPr>
        <w:t>就越来越被人们所认识。他警告说：“不要过分陶醉于我们人类对自然界的胜利。对于每一次这样的胜利，自然界都对我们进行报复。”</w:t>
      </w:r>
      <w:r>
        <w:rPr>
          <w:rStyle w:val="20"/>
          <w:rFonts w:hint="eastAsia" w:ascii="宋体" w:hAnsi="宋体" w:eastAsia="宋体" w:cs="宋体"/>
          <w:b/>
          <w:bCs/>
          <w:sz w:val="24"/>
          <w:szCs w:val="21"/>
        </w:rPr>
        <w:footnoteReference w:id="465"/>
      </w:r>
    </w:p>
    <w:p w14:paraId="3ACED8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习近平提出的“人与自然和谐共生”</w:t>
      </w:r>
      <w:r>
        <w:rPr>
          <w:rStyle w:val="20"/>
          <w:rFonts w:hint="eastAsia" w:ascii="宋体" w:hAnsi="宋体" w:eastAsia="宋体" w:cs="宋体"/>
          <w:b/>
          <w:bCs/>
          <w:sz w:val="24"/>
          <w:szCs w:val="21"/>
        </w:rPr>
        <w:footnoteReference w:id="466"/>
      </w:r>
      <w:r>
        <w:rPr>
          <w:rFonts w:hint="eastAsia"/>
          <w:sz w:val="24"/>
        </w:rPr>
        <w:t>的思想，反映了中国特色社会主义的生态文明本质。党的二十大报告也明确指明：“尊重自然、顺应自然、保护自然，是全面建设社会主义现代化国家的内在要求。”</w:t>
      </w:r>
      <w:r>
        <w:rPr>
          <w:rStyle w:val="20"/>
          <w:rFonts w:hint="eastAsia" w:ascii="宋体" w:hAnsi="宋体" w:eastAsia="宋体" w:cs="宋体"/>
          <w:b/>
          <w:bCs/>
          <w:sz w:val="24"/>
          <w:szCs w:val="21"/>
        </w:rPr>
        <w:footnoteReference w:id="467"/>
      </w:r>
    </w:p>
    <w:p w14:paraId="6FF9F4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第一，揭示出两种社会制度的生态文明本质特征。习近平曾说：“从上世纪30年代开始，一些西方国家相继发生多起环境公害事件，损失巨大，震惊世界，引发了人们对资本主义发展模式的深刻反思。”</w:t>
      </w:r>
      <w:r>
        <w:rPr>
          <w:rStyle w:val="20"/>
          <w:rFonts w:hint="eastAsia" w:ascii="宋体" w:hAnsi="宋体" w:eastAsia="宋体" w:cs="宋体"/>
          <w:b/>
          <w:bCs/>
          <w:sz w:val="24"/>
          <w:szCs w:val="21"/>
        </w:rPr>
        <w:footnoteReference w:id="468"/>
      </w:r>
      <w:r>
        <w:rPr>
          <w:rFonts w:hint="eastAsia"/>
          <w:sz w:val="24"/>
        </w:rPr>
        <w:t>与片面追逐私人利润最大化而不惜以破坏生态环境为代价的资本主义制度相比，“人与自然和谐共生”成为中国特色社会主义在生态文明层面的鲜明本质。资本主义的生态危机与生产资料私有制直接相关，是资本逐利性的直接产物，而且发达资本主义国家经常把本国的生态环境问题转嫁给广大发展中国家。因此，“生态环境问题归根结底是发展方式和生活方式问题，要从根本上解决生态环境问题，必须贯彻创新、协调、绿色、开放、共享的发展理念。”</w:t>
      </w:r>
      <w:r>
        <w:rPr>
          <w:rStyle w:val="20"/>
          <w:rFonts w:hint="eastAsia" w:ascii="宋体" w:hAnsi="宋体" w:eastAsia="宋体" w:cs="宋体"/>
          <w:b/>
          <w:bCs/>
          <w:sz w:val="24"/>
          <w:szCs w:val="21"/>
        </w:rPr>
        <w:footnoteReference w:id="469"/>
      </w:r>
      <w:r>
        <w:rPr>
          <w:rFonts w:hint="eastAsia"/>
          <w:sz w:val="24"/>
        </w:rPr>
        <w:t>与贯彻新发展理念、以公有制为主体、以人民为中心的社会主义生产方式，更加彰显出“人与自然和谐共生”的中国特色社会主义生态本质。</w:t>
      </w:r>
    </w:p>
    <w:p w14:paraId="51A1FC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“绿水青山就是金山银山”的理念丰富与发展了生态文明本质。习近平指出：“我们既要绿水青山，也要金山银山。宁要绿水青山，不要金山银山，而且绿水青山就是金山银山。”</w:t>
      </w:r>
      <w:r>
        <w:rPr>
          <w:rStyle w:val="20"/>
          <w:rFonts w:hint="eastAsia" w:ascii="宋体" w:hAnsi="宋体" w:eastAsia="宋体" w:cs="宋体"/>
          <w:b/>
          <w:bCs/>
          <w:sz w:val="24"/>
          <w:szCs w:val="21"/>
        </w:rPr>
        <w:footnoteReference w:id="470"/>
      </w:r>
      <w:r>
        <w:rPr>
          <w:rFonts w:hint="eastAsia"/>
          <w:sz w:val="24"/>
        </w:rPr>
        <w:t>这一本质要求在经济发展与环境保护发生冲突时，必须把保护环境放在首位，绿水青山比金山银山更具战略价值。这就从生态文明的本质上把握了人与自然之间关系的战略定位。他进一步指出：“绿水青山既是自然财富、生态财富，又是社会财富、经济财富。保护生态环境就是保护自然价值和增值自然资本，就是保护经济社会发展潜力和后劲，使绿水青山持续发挥生态效益和经济社会效益。”</w:t>
      </w:r>
      <w:r>
        <w:rPr>
          <w:rStyle w:val="20"/>
          <w:rFonts w:hint="eastAsia" w:ascii="宋体" w:hAnsi="宋体" w:eastAsia="宋体" w:cs="宋体"/>
          <w:b/>
          <w:bCs/>
          <w:sz w:val="24"/>
          <w:szCs w:val="21"/>
        </w:rPr>
        <w:footnoteReference w:id="471"/>
      </w:r>
      <w:r>
        <w:rPr>
          <w:rFonts w:hint="eastAsia"/>
          <w:sz w:val="24"/>
        </w:rPr>
        <w:t>这就是说，保护生态环境就是保护生产力、改善生态环境就是发展生产力。</w:t>
      </w:r>
    </w:p>
    <w:p w14:paraId="562A8D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第三，通过构建人与自然生命共同体丰富与发展了生态文明本质。构建人与自然生命共同体是构建人类命运共同体和实现可持续发展的题中应有之义。习近平强调：“人与自然是生命共同体。”</w:t>
      </w:r>
      <w:r>
        <w:rPr>
          <w:rStyle w:val="20"/>
          <w:rFonts w:hint="eastAsia" w:ascii="宋体" w:hAnsi="宋体" w:eastAsia="宋体" w:cs="宋体"/>
          <w:b/>
          <w:bCs/>
          <w:sz w:val="24"/>
          <w:szCs w:val="21"/>
        </w:rPr>
        <w:footnoteReference w:id="472"/>
      </w:r>
      <w:r>
        <w:rPr>
          <w:rFonts w:hint="eastAsia"/>
          <w:sz w:val="24"/>
        </w:rPr>
        <w:t>“地球是人类共同的、唯一的家园”</w:t>
      </w:r>
      <w:r>
        <w:rPr>
          <w:rStyle w:val="20"/>
          <w:rFonts w:hint="eastAsia" w:ascii="宋体" w:hAnsi="宋体" w:eastAsia="宋体" w:cs="宋体"/>
          <w:b/>
          <w:bCs/>
          <w:sz w:val="24"/>
          <w:szCs w:val="21"/>
        </w:rPr>
        <w:footnoteReference w:id="473"/>
      </w:r>
      <w:r>
        <w:rPr>
          <w:rFonts w:hint="eastAsia"/>
          <w:sz w:val="24"/>
        </w:rPr>
        <w:t>。“建设美丽家园是人类的共同梦想。面对生态环境挑战，人类史一荣俱荣、一损俱损的命运共同体，没有哪个国家能独善其身。”</w:t>
      </w:r>
      <w:r>
        <w:rPr>
          <w:rStyle w:val="20"/>
          <w:rFonts w:hint="eastAsia" w:ascii="宋体" w:hAnsi="宋体" w:eastAsia="宋体" w:cs="宋体"/>
          <w:b/>
          <w:bCs/>
          <w:sz w:val="24"/>
          <w:szCs w:val="21"/>
        </w:rPr>
        <w:footnoteReference w:id="474"/>
      </w:r>
      <w:r>
        <w:rPr>
          <w:rFonts w:hint="eastAsia"/>
          <w:sz w:val="24"/>
        </w:rPr>
        <w:t>他在出席2021年领导人气候峰会时也强调，要坚持绿色发展，坚持多边主义，坚持共同但有区别的责任原则，共同构建人与自然生命共同体。</w:t>
      </w:r>
      <w:r>
        <w:rPr>
          <w:rStyle w:val="20"/>
          <w:rFonts w:hint="eastAsia" w:ascii="宋体" w:hAnsi="宋体" w:eastAsia="宋体" w:cs="宋体"/>
          <w:b/>
          <w:bCs/>
          <w:sz w:val="24"/>
          <w:szCs w:val="21"/>
        </w:rPr>
        <w:footnoteReference w:id="475"/>
      </w:r>
      <w:r>
        <w:rPr>
          <w:rFonts w:hint="eastAsia"/>
          <w:sz w:val="24"/>
        </w:rPr>
        <w:t>人类面临着诸如全球变暖、荒漠化、空气污染、极端气候等共同的生态危机挑战，而从《巴黎协定》的重要贡献者和积极践行者，到“力争2030年前二氧化碳排放达到峰值，努力争取2060年前实现碳中和”等一系列我国自主贡献的新举措，彰显出习近平生态文明思想是社会主义生态文明本质的科学自信和高度自觉。人与自然和谐共生的生态文明在本质上需要通过人类命运共同体以及人与自然生命共同体建设，世界各国携手合作，共同有效应对全球性生态环境问题。</w:t>
      </w:r>
    </w:p>
    <w:p w14:paraId="5374E47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20588F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七、坚持构建以总体国家安全为基础的人类命运共同体是中国特色社会主义的外交本质</w:t>
      </w:r>
    </w:p>
    <w:p w14:paraId="0CA82E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世界本身是一个不可分割的统一体，尤其是在经济全球化的推动和作用下，整个世界的联系更加紧密。马克思、恩格斯在《德意志意识形态》中指出：“各民族的原始封闭状态由于日益完善的生产方式、交往以及因交往而自然形成的不同民族之间的分工消灭得越是彻底，历史也就越是成为世界历史。”</w:t>
      </w:r>
      <w:r>
        <w:rPr>
          <w:rStyle w:val="20"/>
          <w:rFonts w:hint="eastAsia" w:ascii="宋体" w:hAnsi="宋体" w:eastAsia="宋体" w:cs="宋体"/>
          <w:b/>
          <w:bCs/>
          <w:color w:val="000000" w:themeColor="text1"/>
          <w:sz w:val="24"/>
          <w:szCs w:val="21"/>
          <w14:textFill>
            <w14:solidFill>
              <w14:schemeClr w14:val="tx1"/>
            </w14:solidFill>
          </w14:textFill>
        </w:rPr>
        <w:footnoteReference w:id="476"/>
      </w:r>
      <w:r>
        <w:rPr>
          <w:rFonts w:hint="eastAsia"/>
          <w:sz w:val="24"/>
        </w:rPr>
        <w:t>面对人类共同的命运与挑战时，世界上不同的思维方式可以联合形成一个共同体。恩格斯在《反杜林论》中指出：“因为被思考的存在、世界概念是统一的，所以现实的存在、现实的世界也是不可分割的统一体。”</w:t>
      </w:r>
      <w:r>
        <w:rPr>
          <w:rStyle w:val="20"/>
          <w:rFonts w:hint="eastAsia" w:ascii="宋体" w:hAnsi="宋体" w:eastAsia="宋体" w:cs="宋体"/>
          <w:b/>
          <w:bCs/>
          <w:color w:val="000000" w:themeColor="text1"/>
          <w:sz w:val="24"/>
          <w:szCs w:val="21"/>
          <w14:textFill>
            <w14:solidFill>
              <w14:schemeClr w14:val="tx1"/>
            </w14:solidFill>
          </w14:textFill>
        </w:rPr>
        <w:footnoteReference w:id="477"/>
      </w:r>
    </w:p>
    <w:p w14:paraId="1667B8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总书记在党的二十大报告中明确指出：“国家安全是民族复兴的根基，社会稳定是国家强盛的前提。必须坚定不移贯彻总体国家安全观，把维护国家安全贯穿党和国家工作各方面全过程，确保国家安全和社会稳定。”</w:t>
      </w:r>
      <w:r>
        <w:rPr>
          <w:rStyle w:val="20"/>
          <w:rFonts w:hint="eastAsia" w:ascii="宋体" w:hAnsi="宋体" w:eastAsia="宋体" w:cs="宋体"/>
          <w:b/>
          <w:bCs/>
          <w:color w:val="000000" w:themeColor="text1"/>
          <w:sz w:val="24"/>
          <w:szCs w:val="21"/>
          <w14:textFill>
            <w14:solidFill>
              <w14:schemeClr w14:val="tx1"/>
            </w14:solidFill>
          </w14:textFill>
        </w:rPr>
        <w:footnoteReference w:id="478"/>
      </w:r>
      <w:r>
        <w:rPr>
          <w:rFonts w:hint="eastAsia"/>
          <w:sz w:val="24"/>
        </w:rPr>
        <w:t>依照习近平的有关论述，构建以总体国家安全为基础的人类命运共同体是中国特色社会主义的外交本质。这可从以下两方面的论述得到说明。</w:t>
      </w:r>
    </w:p>
    <w:p w14:paraId="5CD619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一方面，提出总体国家安全观，事实上视其为中国特色社会主义的一个外交本质要求。习近平指出，对于发展中国特色社会主义而言，“国家安全是头等大事”</w:t>
      </w:r>
      <w:r>
        <w:rPr>
          <w:rStyle w:val="20"/>
          <w:rFonts w:hint="eastAsia" w:ascii="宋体" w:hAnsi="宋体" w:eastAsia="宋体" w:cs="宋体"/>
          <w:b/>
          <w:bCs/>
          <w:color w:val="000000" w:themeColor="text1"/>
          <w:sz w:val="24"/>
          <w:szCs w:val="21"/>
          <w14:textFill>
            <w14:solidFill>
              <w14:schemeClr w14:val="tx1"/>
            </w14:solidFill>
          </w14:textFill>
        </w:rPr>
        <w:footnoteReference w:id="479"/>
      </w:r>
      <w:r>
        <w:rPr>
          <w:rFonts w:hint="eastAsia"/>
          <w:sz w:val="24"/>
        </w:rPr>
        <w:t>“国家安全是安邦定国的重要基石，维护国家安全是全国各族人民根本利益所在。”</w:t>
      </w:r>
      <w:r>
        <w:rPr>
          <w:rStyle w:val="20"/>
          <w:rFonts w:hint="eastAsia" w:ascii="宋体" w:hAnsi="宋体" w:eastAsia="宋体" w:cs="宋体"/>
          <w:b/>
          <w:bCs/>
          <w:color w:val="000000" w:themeColor="text1"/>
          <w:sz w:val="24"/>
          <w:szCs w:val="21"/>
          <w14:textFill>
            <w14:solidFill>
              <w14:schemeClr w14:val="tx1"/>
            </w14:solidFill>
          </w14:textFill>
        </w:rPr>
        <w:footnoteReference w:id="480"/>
      </w:r>
      <w:r>
        <w:rPr>
          <w:rFonts w:hint="eastAsia"/>
          <w:sz w:val="24"/>
        </w:rPr>
        <w:t>“安全是发展的保障，发展是安全的目的”</w:t>
      </w:r>
      <w:r>
        <w:rPr>
          <w:rStyle w:val="20"/>
          <w:rFonts w:hint="eastAsia" w:ascii="宋体" w:hAnsi="宋体" w:eastAsia="宋体" w:cs="宋体"/>
          <w:b/>
          <w:bCs/>
          <w:color w:val="000000" w:themeColor="text1"/>
          <w:sz w:val="24"/>
          <w:szCs w:val="21"/>
          <w14:textFill>
            <w14:solidFill>
              <w14:schemeClr w14:val="tx1"/>
            </w14:solidFill>
          </w14:textFill>
        </w:rPr>
        <w:footnoteReference w:id="481"/>
      </w:r>
      <w:r>
        <w:rPr>
          <w:rFonts w:hint="eastAsia"/>
          <w:sz w:val="24"/>
        </w:rPr>
        <w:t>，“统筹发展和安全，增强忧患意识，做到居安思危”</w:t>
      </w:r>
      <w:r>
        <w:rPr>
          <w:rStyle w:val="20"/>
          <w:rFonts w:hint="eastAsia" w:ascii="宋体" w:hAnsi="宋体" w:eastAsia="宋体" w:cs="宋体"/>
          <w:b/>
          <w:bCs/>
          <w:color w:val="000000" w:themeColor="text1"/>
          <w:sz w:val="24"/>
          <w:szCs w:val="21"/>
          <w14:textFill>
            <w14:solidFill>
              <w14:schemeClr w14:val="tx1"/>
            </w14:solidFill>
          </w14:textFill>
        </w:rPr>
        <w:t xml:space="preserve"> </w:t>
      </w:r>
      <w:r>
        <w:rPr>
          <w:rStyle w:val="20"/>
          <w:rFonts w:hint="eastAsia" w:ascii="宋体" w:hAnsi="宋体" w:eastAsia="宋体" w:cs="宋体"/>
          <w:b/>
          <w:bCs/>
          <w:color w:val="000000" w:themeColor="text1"/>
          <w:sz w:val="24"/>
          <w:szCs w:val="21"/>
          <w14:textFill>
            <w14:solidFill>
              <w14:schemeClr w14:val="tx1"/>
            </w14:solidFill>
          </w14:textFill>
        </w:rPr>
        <w:footnoteReference w:id="482"/>
      </w:r>
      <w:r>
        <w:rPr>
          <w:rFonts w:hint="eastAsia"/>
          <w:sz w:val="24"/>
        </w:rPr>
        <w:t>全面贯彻落实总体国家安全观，就是要以政治安全为根本，以经济安全为基础，以人民安全为宗旨，以军事、文化、社会安全为保障，以促进国际安全为依托，处理好内部安全与外部安全、国土安全与国民安全、传统安全与非传统安全、发展问题与安全问题、自身安全与共同安全的关系。国家安全在党和国家工作全局以及中国特色社会主义理论体系中的重要地位日益凸显。在世界大变局和我国发展的黄金期相互交织的新时代，更加需要统筹好国际国内发展大势，不断统筹经济发展与国家安全两个方面。</w:t>
      </w:r>
    </w:p>
    <w:p w14:paraId="7CDA95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习近平强调：“安全应该是普遍的”</w:t>
      </w:r>
      <w:r>
        <w:rPr>
          <w:rStyle w:val="20"/>
          <w:rFonts w:hint="eastAsia" w:ascii="宋体" w:hAnsi="宋体" w:eastAsia="宋体" w:cs="宋体"/>
          <w:b/>
          <w:bCs/>
          <w:color w:val="000000" w:themeColor="text1"/>
          <w:sz w:val="24"/>
          <w:szCs w:val="21"/>
          <w14:textFill>
            <w14:solidFill>
              <w14:schemeClr w14:val="tx1"/>
            </w14:solidFill>
          </w14:textFill>
        </w:rPr>
        <w:footnoteReference w:id="483"/>
      </w:r>
      <w:r>
        <w:rPr>
          <w:rFonts w:hint="eastAsia"/>
          <w:sz w:val="24"/>
        </w:rPr>
        <w:t>。要坚持内部和外部的普遍安全观。在内部，外交本质要求在政治、经济、社会、国家等层面的普遍安全。也就是说，总体国家安全观贯穿于中国特色社会主义的本质特征之中，是其他本质特征的前提和保障，其要求坚持人民安全、政治安全、经济安全、社会安全、国家安全等有机统一。在外部，外交本质要求树立共同、综合、合作、可持续的安全观。只有坚持总体国家安全的外交本质特征，才能与世界各国共建人类命运共同体，并携手建设持久和平、普遍安全、共同繁荣、开放包容、清洁美丽的世界。</w:t>
      </w:r>
    </w:p>
    <w:p w14:paraId="39D49F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另一方面，提出构建人类命运共同体，事实上视其为中国特色社会主义的另一个外交本质要求。2015年习近平在联合国大会上呼吁各国“携手构建合作共赢新伙伴，同心打造人类命运共同体。让铸剑为犁、永不再战的理念深植人心，让发展繁荣、公平正义的理念践行人间！”构建人类命运共同体是在谋求本国发展中促进各国共同发展，内含整个人类共生互存的可持续发展观、共同安全观、共同权益观、共同治理观等一系列全球价值观，为应对人类社会面临的各种危机和挑战，提供了重要思路</w:t>
      </w:r>
      <w:r>
        <w:rPr>
          <w:rStyle w:val="20"/>
          <w:rFonts w:hint="eastAsia" w:ascii="宋体" w:hAnsi="宋体" w:eastAsia="宋体" w:cs="宋体"/>
          <w:b/>
          <w:bCs/>
          <w:color w:val="000000" w:themeColor="text1"/>
          <w:kern w:val="0"/>
          <w:sz w:val="24"/>
          <w:szCs w:val="21"/>
          <w14:textFill>
            <w14:solidFill>
              <w14:schemeClr w14:val="tx1"/>
            </w14:solidFill>
          </w14:textFill>
        </w:rPr>
        <w:footnoteReference w:id="484"/>
      </w:r>
      <w:r>
        <w:rPr>
          <w:rFonts w:hint="eastAsia"/>
          <w:sz w:val="24"/>
        </w:rPr>
        <w:t>。当今世界单边主义、贸易保护主义、逆全球化思潮不断抬头，并有新的表现形式。面对这股思潮，习近平强调“‘地球村’的世界决定了各国日益利益交融、命运与共”</w:t>
      </w:r>
      <w:r>
        <w:rPr>
          <w:rStyle w:val="20"/>
          <w:rFonts w:hint="eastAsia" w:ascii="宋体" w:hAnsi="宋体" w:eastAsia="宋体" w:cs="宋体"/>
          <w:b/>
          <w:bCs/>
          <w:color w:val="000000" w:themeColor="text1"/>
          <w:kern w:val="0"/>
          <w:sz w:val="24"/>
          <w:szCs w:val="21"/>
          <w14:textFill>
            <w14:solidFill>
              <w14:schemeClr w14:val="tx1"/>
            </w14:solidFill>
          </w14:textFill>
        </w:rPr>
        <w:footnoteReference w:id="485"/>
      </w:r>
      <w:r>
        <w:rPr>
          <w:rFonts w:hint="eastAsia"/>
          <w:sz w:val="24"/>
        </w:rPr>
        <w:t>，“开放合作是科技进步和生产力发展的必然逻辑”</w:t>
      </w:r>
      <w:r>
        <w:rPr>
          <w:rStyle w:val="20"/>
          <w:rFonts w:hint="eastAsia" w:ascii="宋体" w:hAnsi="宋体" w:eastAsia="宋体" w:cs="宋体"/>
          <w:b/>
          <w:bCs/>
          <w:color w:val="000000" w:themeColor="text1"/>
          <w:kern w:val="0"/>
          <w:sz w:val="24"/>
          <w:szCs w:val="21"/>
          <w14:textFill>
            <w14:solidFill>
              <w14:schemeClr w14:val="tx1"/>
            </w14:solidFill>
          </w14:textFill>
        </w:rPr>
        <w:footnoteReference w:id="486"/>
      </w:r>
      <w:r>
        <w:rPr>
          <w:rFonts w:hint="eastAsia"/>
          <w:sz w:val="24"/>
        </w:rPr>
        <w:t>。在习近平看来，“这是经济规律使然，不以人的意志为转移”</w:t>
      </w:r>
      <w:r>
        <w:rPr>
          <w:rStyle w:val="20"/>
          <w:rFonts w:hint="eastAsia" w:ascii="宋体" w:hAnsi="宋体" w:eastAsia="宋体" w:cs="宋体"/>
          <w:b/>
          <w:bCs/>
          <w:color w:val="000000" w:themeColor="text1"/>
          <w:kern w:val="0"/>
          <w:sz w:val="24"/>
          <w:szCs w:val="21"/>
          <w14:textFill>
            <w14:solidFill>
              <w14:schemeClr w14:val="tx1"/>
            </w14:solidFill>
          </w14:textFill>
        </w:rPr>
        <w:footnoteReference w:id="487"/>
      </w:r>
      <w:r>
        <w:rPr>
          <w:rFonts w:hint="eastAsia"/>
          <w:sz w:val="24"/>
        </w:rPr>
        <w:t>。构建人类命运共同体不仅能够维护世界的和平发展，而且能够进一步促进人类文明的多样性。人类命运应由人类共同掌握，世界事务应由各国人民共同治理，世界安全应由世界各国共同维护，国际规则应由世界各国共同制定，发展成果应由世界各国人民共同分享。这是历史发展的必然趋势和世界人民的共同诉求。</w:t>
      </w:r>
    </w:p>
    <w:p w14:paraId="4B7875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十八大以来，我国所倡导和组织的“一带一路”“亚投行”“金砖国家”“上海合作组织”等重要国际合作载体，便既是为中国人民谋幸福、为中华民族谋复兴，又是为人类谋和平与发展，充分体现出构建以总体国家安全为基础的人类命运共同体是中国特色社会主义的外交本质特征。</w:t>
      </w:r>
    </w:p>
    <w:p w14:paraId="115AF9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F5787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八、结语：辨证认识“六位一体”中国特色社会主义本质内涵体系</w:t>
      </w:r>
    </w:p>
    <w:p w14:paraId="41A0D5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根据习近平总书记在党的二十大报告中对中国式现代化的本质要求的完整阐释，综上所述，可以得出：习近平新时代中国特色社会主义思想丰富和发展了社会主义的本质内涵的理论，阐明了坚持以公有制为主体的共同富裕是中国特色社会主义的经济本质，坚持中国共产党领导是中国特色社会主义的政治本质和最本质特征，坚持马克思主义及其中国化理论指导是中国特色社会主义的文化本质，坚持以人民为中心的社会和谐是中国特色社会主义的社会本质，坚持人与自然和谐共生是中国特色社会主义的生态文明本质，坚持构建以国家总体安全为基础的人类命运共同体是中国特色社会主义的外交本质，从而构成“六位一体”完整的中国特色社会主义本质内涵体系的基本理论。依照历史唯物主义和唯物辩证法的一般原理，在经济、政治、文化、社会、生态和外交六个领域的社会主义本质层次体系中，经济本质属于最基础和最根本的层次，即从经济基础决定上层建筑这一意义上说，以公有制和按劳分配“两个主体”的共同富裕，是本质体系中的最根本特征、最决定要素；政治本质属于最高层和最本质的层次，即从政治是经济的集中体现这一意义上说，中国共产党领导是本质体系中的最本质特征、最关键要素；同时，各层本质均紧密联系、互相作用，合力地推动中国特色社会主义现代化建设，任何割裂各层本质关联的观点都是不准确的。</w:t>
      </w:r>
    </w:p>
    <w:p w14:paraId="4588CC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共产党的领导是历史和人民的抉择。中华民族伟大复兴的实践证明，只有中国共产才能领导中国，发展中国。中国共产党的领导是中国特色社会主义事业全面推进、是社会主义永不变质的根本保证。正如习近平所指出的，我们党的这些理论、路线、纲领和经验，“是最本质的东西，是体现共产党执政规律、社会主义建设规律、人类社会发展规律的东西”</w:t>
      </w:r>
      <w:r>
        <w:rPr>
          <w:rStyle w:val="20"/>
          <w:rFonts w:hint="eastAsia" w:ascii="宋体" w:hAnsi="宋体" w:eastAsia="宋体" w:cs="宋体"/>
          <w:b/>
          <w:bCs/>
          <w:sz w:val="24"/>
          <w:szCs w:val="21"/>
        </w:rPr>
        <w:footnoteReference w:id="488"/>
      </w:r>
      <w:r>
        <w:rPr>
          <w:rFonts w:hint="eastAsia"/>
          <w:sz w:val="24"/>
        </w:rPr>
        <w:t>。诚然，社会主义的本质内涵及其具体展示会在不断的实践中继续完善和丰富，与时俱进的马克思主义、尤其是习近平新时代中国特色社会主义思想也会对此作出更加广泛和深入的科学诠释。</w:t>
      </w:r>
    </w:p>
    <w:p w14:paraId="0E8860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B48BCE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（原载《内蒙古社会科学》2023年第4期</w:t>
      </w:r>
      <w:r>
        <w:rPr>
          <w:rFonts w:hint="eastAsia"/>
          <w:sz w:val="24"/>
          <w:lang w:eastAsia="zh-CN"/>
        </w:rPr>
        <w:t>，</w:t>
      </w:r>
      <w:r>
        <w:rPr>
          <w:rFonts w:hint="eastAsia"/>
          <w:sz w:val="24"/>
          <w:lang w:val="en-US" w:eastAsia="zh-CN"/>
        </w:rPr>
        <w:t>第二作者为董金明</w:t>
      </w:r>
      <w:r>
        <w:rPr>
          <w:rFonts w:hint="eastAsia"/>
          <w:sz w:val="24"/>
        </w:rPr>
        <w:t>）</w:t>
      </w:r>
    </w:p>
    <w:p w14:paraId="4FEA4563">
      <w:pPr>
        <w:pStyle w:val="3"/>
        <w:bidi w:val="0"/>
        <w:rPr>
          <w:rFonts w:hint="eastAsia"/>
        </w:rPr>
      </w:pPr>
      <w:bookmarkStart w:id="261" w:name="_Toc6931"/>
      <w:bookmarkStart w:id="262" w:name="_Toc930838953"/>
      <w:bookmarkStart w:id="263" w:name="_Toc391741429"/>
      <w:bookmarkStart w:id="264" w:name="_Toc1550207984"/>
      <w:bookmarkStart w:id="265" w:name="_Toc1478747836"/>
      <w:bookmarkStart w:id="266" w:name="_Toc204416133"/>
      <w:r>
        <w:rPr>
          <w:rFonts w:hint="eastAsia"/>
          <w:lang w:val="en-US" w:eastAsia="zh-CN"/>
        </w:rPr>
        <w:t>12对</w:t>
      </w:r>
      <w:r>
        <w:rPr>
          <w:rFonts w:hint="eastAsia"/>
        </w:rPr>
        <w:t>“第二轮土地承包</w:t>
      </w:r>
      <w:r>
        <w:rPr>
          <w:rFonts w:hint="eastAsia"/>
          <w:lang w:val="en-US" w:eastAsia="zh-CN"/>
        </w:rPr>
        <w:t>到期后</w:t>
      </w:r>
      <w:r>
        <w:rPr>
          <w:rFonts w:hint="eastAsia"/>
        </w:rPr>
        <w:t>再延长30年”政策的思考</w:t>
      </w:r>
      <w:bookmarkEnd w:id="261"/>
      <w:bookmarkEnd w:id="262"/>
      <w:bookmarkEnd w:id="263"/>
      <w:bookmarkEnd w:id="264"/>
      <w:bookmarkEnd w:id="265"/>
      <w:bookmarkEnd w:id="266"/>
    </w:p>
    <w:p w14:paraId="35E8DE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w:t>
      </w:r>
      <w:r>
        <w:rPr>
          <w:rFonts w:hint="eastAsia"/>
          <w:sz w:val="24"/>
          <w:lang w:val="en-US" w:eastAsia="zh-CN"/>
        </w:rPr>
        <w:t xml:space="preserve">  </w:t>
      </w:r>
      <w:r>
        <w:rPr>
          <w:rFonts w:hint="eastAsia"/>
          <w:sz w:val="24"/>
        </w:rPr>
        <w:t>要：“第二轮土地承包</w:t>
      </w:r>
      <w:r>
        <w:rPr>
          <w:rFonts w:hint="eastAsia"/>
          <w:sz w:val="24"/>
          <w:lang w:val="en-US" w:eastAsia="zh-CN"/>
        </w:rPr>
        <w:t>到期后</w:t>
      </w:r>
      <w:r>
        <w:rPr>
          <w:rFonts w:hint="eastAsia"/>
          <w:sz w:val="24"/>
        </w:rPr>
        <w:t>再延长30年”能够增强制度稳定性、提升农民对土地预期</w:t>
      </w:r>
      <w:r>
        <w:rPr>
          <w:rFonts w:hint="eastAsia"/>
          <w:sz w:val="24"/>
          <w:lang w:eastAsia="zh-Hans"/>
        </w:rPr>
        <w:t>，</w:t>
      </w:r>
      <w:r>
        <w:rPr>
          <w:rFonts w:hint="eastAsia"/>
          <w:sz w:val="24"/>
        </w:rPr>
        <w:t>发挥</w:t>
      </w:r>
      <w:r>
        <w:rPr>
          <w:rFonts w:hint="eastAsia"/>
          <w:sz w:val="24"/>
          <w:lang w:val="en-US" w:eastAsia="zh-CN"/>
        </w:rPr>
        <w:t>更</w:t>
      </w:r>
      <w:r>
        <w:rPr>
          <w:rFonts w:hint="eastAsia"/>
          <w:sz w:val="24"/>
        </w:rPr>
        <w:t>好的激励作用，</w:t>
      </w:r>
      <w:r>
        <w:rPr>
          <w:rFonts w:hint="eastAsia"/>
          <w:sz w:val="24"/>
          <w:lang w:val="en-US" w:eastAsia="zh-CN"/>
        </w:rPr>
        <w:t>还</w:t>
      </w:r>
      <w:r>
        <w:rPr>
          <w:rFonts w:hint="eastAsia"/>
          <w:sz w:val="24"/>
        </w:rPr>
        <w:t>为未来的政策调整和制度变革预留空间。但这项政策也存在</w:t>
      </w:r>
      <w:r>
        <w:rPr>
          <w:rFonts w:hint="eastAsia"/>
          <w:sz w:val="24"/>
          <w:lang w:val="en-US" w:eastAsia="zh-CN"/>
        </w:rPr>
        <w:t>一些</w:t>
      </w:r>
      <w:r>
        <w:rPr>
          <w:rFonts w:hint="eastAsia"/>
          <w:sz w:val="24"/>
        </w:rPr>
        <w:t>问题，如</w:t>
      </w:r>
      <w:r>
        <w:rPr>
          <w:rFonts w:hint="eastAsia"/>
          <w:sz w:val="24"/>
          <w:lang w:eastAsia="zh-CN"/>
        </w:rPr>
        <w:t>，</w:t>
      </w:r>
      <w:r>
        <w:rPr>
          <w:rFonts w:hint="eastAsia"/>
          <w:sz w:val="24"/>
        </w:rPr>
        <w:t>再延长30年是沿用第二轮的承包关系，不重新分地</w:t>
      </w:r>
      <w:r>
        <w:rPr>
          <w:rFonts w:hint="eastAsia"/>
          <w:sz w:val="24"/>
          <w:lang w:eastAsia="zh-CN"/>
        </w:rPr>
        <w:t>，</w:t>
      </w:r>
      <w:r>
        <w:rPr>
          <w:rFonts w:hint="eastAsia"/>
          <w:sz w:val="24"/>
        </w:rPr>
        <w:t>还是再延长30年，按照农村人口的变化结构，合理调整承包关系重新分地</w:t>
      </w:r>
      <w:r>
        <w:rPr>
          <w:rFonts w:hint="eastAsia"/>
          <w:sz w:val="24"/>
          <w:lang w:eastAsia="zh-CN"/>
        </w:rPr>
        <w:t>？</w:t>
      </w:r>
      <w:r>
        <w:rPr>
          <w:rFonts w:hint="eastAsia"/>
          <w:sz w:val="24"/>
          <w:lang w:val="en-US" w:eastAsia="zh-CN"/>
        </w:rPr>
        <w:t>为科学解决这一问题</w:t>
      </w:r>
      <w:r>
        <w:rPr>
          <w:rFonts w:hint="eastAsia"/>
          <w:sz w:val="24"/>
        </w:rPr>
        <w:t>，</w:t>
      </w:r>
      <w:r>
        <w:rPr>
          <w:rFonts w:hint="eastAsia"/>
          <w:sz w:val="24"/>
          <w:lang w:val="en-US" w:eastAsia="zh-CN"/>
        </w:rPr>
        <w:t>未来对</w:t>
      </w:r>
      <w:r>
        <w:rPr>
          <w:rFonts w:hint="eastAsia"/>
          <w:sz w:val="24"/>
        </w:rPr>
        <w:t>“第二轮</w:t>
      </w:r>
      <w:r>
        <w:rPr>
          <w:rFonts w:hint="eastAsia"/>
          <w:sz w:val="24"/>
          <w:lang w:val="en-US" w:eastAsia="zh-CN"/>
        </w:rPr>
        <w:t>土地</w:t>
      </w:r>
      <w:r>
        <w:rPr>
          <w:rFonts w:hint="eastAsia"/>
          <w:sz w:val="24"/>
        </w:rPr>
        <w:t>承包</w:t>
      </w:r>
      <w:r>
        <w:rPr>
          <w:rFonts w:hint="eastAsia"/>
          <w:sz w:val="24"/>
          <w:lang w:val="en-US" w:eastAsia="zh-CN"/>
        </w:rPr>
        <w:t>到期后</w:t>
      </w:r>
      <w:r>
        <w:rPr>
          <w:rFonts w:hint="eastAsia"/>
          <w:sz w:val="24"/>
        </w:rPr>
        <w:t>再延长30年”</w:t>
      </w:r>
      <w:r>
        <w:rPr>
          <w:rFonts w:hint="eastAsia"/>
          <w:sz w:val="24"/>
          <w:lang w:val="en-US" w:eastAsia="zh-CN"/>
        </w:rPr>
        <w:t>应</w:t>
      </w:r>
      <w:r>
        <w:rPr>
          <w:rFonts w:hint="eastAsia"/>
          <w:sz w:val="24"/>
        </w:rPr>
        <w:t>慎重考虑</w:t>
      </w:r>
      <w:r>
        <w:rPr>
          <w:rFonts w:hint="eastAsia"/>
          <w:sz w:val="24"/>
          <w:lang w:val="en-US" w:eastAsia="zh-CN"/>
        </w:rPr>
        <w:t>土地政策的“公平”与“效率”问题</w:t>
      </w:r>
      <w:r>
        <w:rPr>
          <w:rFonts w:hint="eastAsia"/>
          <w:sz w:val="24"/>
          <w:lang w:eastAsia="zh-CN"/>
        </w:rPr>
        <w:t>：</w:t>
      </w:r>
      <w:r>
        <w:rPr>
          <w:rFonts w:hint="eastAsia"/>
          <w:sz w:val="24"/>
          <w:lang w:val="en-US" w:eastAsia="zh-CN"/>
        </w:rPr>
        <w:t>科学</w:t>
      </w:r>
      <w:r>
        <w:rPr>
          <w:rFonts w:hint="eastAsia"/>
          <w:sz w:val="24"/>
          <w:lang w:eastAsia="zh-CN"/>
        </w:rPr>
        <w:t>处理</w:t>
      </w:r>
      <w:r>
        <w:rPr>
          <w:rFonts w:hint="eastAsia"/>
          <w:sz w:val="24"/>
          <w:lang w:val="en-US" w:eastAsia="zh-CN"/>
        </w:rPr>
        <w:t>好</w:t>
      </w:r>
      <w:r>
        <w:rPr>
          <w:rFonts w:hint="eastAsia"/>
          <w:sz w:val="24"/>
          <w:lang w:eastAsia="zh-CN"/>
        </w:rPr>
        <w:t>“生不增死不减”</w:t>
      </w:r>
      <w:r>
        <w:rPr>
          <w:rFonts w:hint="eastAsia"/>
          <w:sz w:val="24"/>
          <w:lang w:val="en-US" w:eastAsia="zh-CN"/>
        </w:rPr>
        <w:t>问题</w:t>
      </w:r>
      <w:r>
        <w:rPr>
          <w:rFonts w:hint="eastAsia"/>
          <w:sz w:val="24"/>
          <w:lang w:eastAsia="zh-CN"/>
        </w:rPr>
        <w:t>、“土地确权”</w:t>
      </w:r>
      <w:r>
        <w:rPr>
          <w:rFonts w:hint="eastAsia"/>
          <w:sz w:val="24"/>
          <w:lang w:val="en-US" w:eastAsia="zh-CN"/>
        </w:rPr>
        <w:t>历史问题</w:t>
      </w:r>
      <w:r>
        <w:rPr>
          <w:rFonts w:hint="eastAsia"/>
          <w:sz w:val="24"/>
          <w:lang w:eastAsia="zh-CN"/>
        </w:rPr>
        <w:t>、“三权分置”</w:t>
      </w:r>
      <w:r>
        <w:rPr>
          <w:rFonts w:hint="eastAsia"/>
          <w:sz w:val="24"/>
          <w:lang w:val="en-US" w:eastAsia="zh-CN"/>
        </w:rPr>
        <w:t>的</w:t>
      </w:r>
      <w:r>
        <w:rPr>
          <w:rFonts w:hint="eastAsia"/>
          <w:sz w:val="24"/>
          <w:lang w:eastAsia="zh-CN"/>
        </w:rPr>
        <w:t>土地流转</w:t>
      </w:r>
      <w:r>
        <w:rPr>
          <w:rFonts w:hint="eastAsia"/>
          <w:sz w:val="24"/>
          <w:lang w:val="en-US" w:eastAsia="zh-CN"/>
        </w:rPr>
        <w:t>问题并及时答复</w:t>
      </w:r>
      <w:r>
        <w:rPr>
          <w:rFonts w:hint="eastAsia"/>
          <w:sz w:val="24"/>
          <w:lang w:eastAsia="zh-CN"/>
        </w:rPr>
        <w:t>农民未来</w:t>
      </w:r>
      <w:r>
        <w:rPr>
          <w:rFonts w:hint="eastAsia"/>
          <w:sz w:val="24"/>
          <w:lang w:val="en-US" w:eastAsia="zh-CN"/>
        </w:rPr>
        <w:t>土地</w:t>
      </w:r>
      <w:r>
        <w:rPr>
          <w:rFonts w:hint="eastAsia"/>
          <w:sz w:val="24"/>
          <w:lang w:eastAsia="zh-CN"/>
        </w:rPr>
        <w:t>政策</w:t>
      </w:r>
      <w:r>
        <w:rPr>
          <w:rFonts w:hint="eastAsia"/>
          <w:sz w:val="24"/>
          <w:lang w:val="en-US" w:eastAsia="zh-CN"/>
        </w:rPr>
        <w:t>问题</w:t>
      </w:r>
      <w:r>
        <w:rPr>
          <w:rFonts w:hint="eastAsia"/>
          <w:sz w:val="24"/>
          <w:lang w:eastAsia="zh-CN"/>
        </w:rPr>
        <w:t>。</w:t>
      </w:r>
      <w:r>
        <w:rPr>
          <w:rFonts w:hint="eastAsia"/>
          <w:sz w:val="24"/>
          <w:lang w:val="en-US" w:eastAsia="zh-CN"/>
        </w:rPr>
        <w:t>同时，应在未来5年时间内，从</w:t>
      </w:r>
      <w:r>
        <w:rPr>
          <w:rFonts w:hint="eastAsia"/>
          <w:sz w:val="24"/>
        </w:rPr>
        <w:t>“筹地”“筹钱”“筹股”“筹业”“筹保”五个层面</w:t>
      </w:r>
      <w:r>
        <w:rPr>
          <w:rFonts w:hint="eastAsia"/>
          <w:sz w:val="24"/>
          <w:lang w:val="en-US" w:eastAsia="zh-CN"/>
        </w:rPr>
        <w:t>做好配套工作，保障</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val="en-US" w:eastAsia="zh-CN"/>
        </w:rPr>
        <w:t>政策</w:t>
      </w:r>
      <w:r>
        <w:rPr>
          <w:rFonts w:hint="eastAsia"/>
          <w:sz w:val="24"/>
        </w:rPr>
        <w:t>顺利</w:t>
      </w:r>
      <w:r>
        <w:rPr>
          <w:rFonts w:hint="eastAsia"/>
          <w:sz w:val="24"/>
          <w:lang w:val="en-US" w:eastAsia="zh-CN"/>
        </w:rPr>
        <w:t>实施</w:t>
      </w:r>
      <w:r>
        <w:rPr>
          <w:rFonts w:hint="eastAsia"/>
          <w:sz w:val="24"/>
        </w:rPr>
        <w:t>。</w:t>
      </w:r>
    </w:p>
    <w:p w14:paraId="73B5B91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rPr>
        <w:t>关键词：</w:t>
      </w:r>
      <w:r>
        <w:rPr>
          <w:rFonts w:hint="eastAsia"/>
          <w:sz w:val="24"/>
          <w:lang w:val="en-US" w:eastAsia="zh-CN"/>
        </w:rPr>
        <w:t>集体所有制；</w:t>
      </w:r>
      <w:r>
        <w:rPr>
          <w:rFonts w:hint="eastAsia"/>
          <w:sz w:val="24"/>
        </w:rPr>
        <w:t>家庭承包经营制；第二轮土地承包</w:t>
      </w:r>
      <w:r>
        <w:rPr>
          <w:rFonts w:hint="eastAsia"/>
          <w:sz w:val="24"/>
          <w:lang w:val="en-US" w:eastAsia="zh-CN"/>
        </w:rPr>
        <w:t>到期后再</w:t>
      </w:r>
      <w:r>
        <w:rPr>
          <w:rFonts w:hint="eastAsia"/>
          <w:sz w:val="24"/>
        </w:rPr>
        <w:t>延长30年；</w:t>
      </w:r>
      <w:r>
        <w:rPr>
          <w:rFonts w:hint="eastAsia"/>
          <w:sz w:val="24"/>
          <w:lang w:val="en-US" w:eastAsia="zh-CN"/>
        </w:rPr>
        <w:t>公平与效率</w:t>
      </w:r>
    </w:p>
    <w:p w14:paraId="209A90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党的二十大报告强调“确保中国人的饭碗牢牢端在自己手里”，这就要求我们必须做好现代农业的发展，</w:t>
      </w:r>
      <w:r>
        <w:rPr>
          <w:rFonts w:hint="eastAsia"/>
          <w:sz w:val="24"/>
          <w:lang w:val="en-US" w:eastAsia="zh-CN"/>
        </w:rPr>
        <w:t>特别是要进一步深化</w:t>
      </w:r>
      <w:r>
        <w:rPr>
          <w:rFonts w:hint="eastAsia"/>
          <w:sz w:val="24"/>
        </w:rPr>
        <w:t>农村土地制度改革。回顾历史，改革开放后中国农村土地承包期限经历了两次调整。第一轮于1982—1983 年开始，承包期为 15年</w:t>
      </w:r>
      <w:r>
        <w:rPr>
          <w:rFonts w:hint="eastAsia"/>
          <w:sz w:val="24"/>
          <w:lang w:eastAsia="zh-CN"/>
        </w:rPr>
        <w:t>；</w:t>
      </w:r>
      <w:r>
        <w:rPr>
          <w:rFonts w:hint="eastAsia"/>
          <w:sz w:val="24"/>
        </w:rPr>
        <w:t>第二轮于1997—1998年开始，承包期为30年</w:t>
      </w:r>
      <w:r>
        <w:rPr>
          <w:rFonts w:hint="eastAsia"/>
          <w:sz w:val="24"/>
          <w:lang w:eastAsia="zh-CN"/>
        </w:rPr>
        <w:t>。</w:t>
      </w:r>
      <w:r>
        <w:rPr>
          <w:rFonts w:hint="eastAsia"/>
          <w:sz w:val="24"/>
        </w:rPr>
        <w:t>党的十七届三中全会要求</w:t>
      </w:r>
      <w:r>
        <w:rPr>
          <w:rFonts w:hint="eastAsia"/>
          <w:sz w:val="24"/>
          <w:lang w:eastAsia="zh-CN"/>
        </w:rPr>
        <w:t>“</w:t>
      </w:r>
      <w:r>
        <w:rPr>
          <w:rFonts w:hint="eastAsia"/>
          <w:sz w:val="24"/>
        </w:rPr>
        <w:t>现有土地承包关系要保持稳定并长久不变”，党的十九大报告又指出“保持土地承包关系稳定并长久不变，第二轮土地承包到期后再延长三十年”。2019年11月，中共中央、国务院发布的《关于保持土地承包关系稳定并长久不变的意见》明确提出：“要坚持承包关系长久稳定，赋予农民更加充分而_有保障的土地权利。”当前，距第二轮土地承包到期不到5年时间，我们即将迎来“第二轮土地承包到期后再延长30年”的政策，如何推动土地制度改革的平稳过渡，成为各级政府和广大农民共同关注的热点问题。</w:t>
      </w:r>
    </w:p>
    <w:p w14:paraId="5FDC7B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一</w:t>
      </w:r>
      <w:r>
        <w:rPr>
          <w:rFonts w:hint="eastAsia"/>
          <w:b/>
          <w:bCs/>
          <w:sz w:val="24"/>
        </w:rPr>
        <w:t>、推行“第二轮土地承包</w:t>
      </w:r>
      <w:r>
        <w:rPr>
          <w:rFonts w:hint="eastAsia"/>
          <w:b/>
          <w:bCs/>
          <w:sz w:val="24"/>
          <w:lang w:val="en-US" w:eastAsia="zh-CN"/>
        </w:rPr>
        <w:t>到期后</w:t>
      </w:r>
      <w:r>
        <w:rPr>
          <w:rFonts w:hint="eastAsia"/>
          <w:b/>
          <w:bCs/>
          <w:sz w:val="24"/>
        </w:rPr>
        <w:t>再延长30年”</w:t>
      </w:r>
      <w:r>
        <w:rPr>
          <w:rFonts w:hint="eastAsia"/>
          <w:b/>
          <w:bCs/>
          <w:sz w:val="24"/>
          <w:lang w:val="en-US"/>
        </w:rPr>
        <w:t>政策</w:t>
      </w:r>
      <w:r>
        <w:rPr>
          <w:rFonts w:hint="eastAsia"/>
          <w:b/>
          <w:bCs/>
          <w:sz w:val="24"/>
          <w:lang w:val="en-US" w:eastAsia="zh-CN"/>
        </w:rPr>
        <w:t>的原因</w:t>
      </w:r>
    </w:p>
    <w:p w14:paraId="6BB6B9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处理好农民和土地的关系，是深化农村土地改革的主线。</w:t>
      </w:r>
      <w:r>
        <w:rPr>
          <w:rStyle w:val="18"/>
          <w:rFonts w:hint="eastAsia" w:ascii="宋体" w:hAnsi="宋体" w:eastAsia="宋体" w:cs="宋体"/>
          <w:sz w:val="24"/>
          <w:szCs w:val="21"/>
          <w:lang w:val="en-US" w:eastAsia="zh-CN"/>
        </w:rPr>
        <w:t>[</w:t>
      </w:r>
      <w:r>
        <w:rPr>
          <w:rStyle w:val="20"/>
          <w:rFonts w:hint="eastAsia" w:ascii="宋体" w:hAnsi="宋体" w:eastAsia="宋体" w:cs="宋体"/>
          <w:sz w:val="24"/>
          <w:szCs w:val="21"/>
          <w:lang w:val="en-US" w:eastAsia="zh-CN"/>
        </w:rPr>
        <w:footnoteReference w:id="489"/>
      </w:r>
      <w:r>
        <w:rPr>
          <w:rStyle w:val="18"/>
          <w:rFonts w:hint="eastAsia" w:ascii="宋体" w:hAnsi="宋体" w:eastAsia="宋体" w:cs="宋体"/>
          <w:sz w:val="24"/>
          <w:szCs w:val="21"/>
          <w:lang w:val="en-US" w:eastAsia="zh-CN"/>
        </w:rPr>
        <w:t>]</w:t>
      </w:r>
      <w:r>
        <w:rPr>
          <w:rFonts w:hint="eastAsia"/>
          <w:sz w:val="24"/>
          <w:lang w:eastAsia="zh-Hans"/>
        </w:rPr>
        <w:t>当前，我国农村土地承包关系总体稳定，各地政府为贯彻落实中央政策做了大量工作，</w:t>
      </w:r>
      <w:r>
        <w:rPr>
          <w:rFonts w:hint="eastAsia"/>
          <w:sz w:val="24"/>
        </w:rPr>
        <w:t>保持了</w:t>
      </w:r>
      <w:r>
        <w:rPr>
          <w:rFonts w:hint="eastAsia"/>
          <w:sz w:val="24"/>
          <w:lang w:eastAsia="zh-Hans"/>
        </w:rPr>
        <w:t>我们党</w:t>
      </w:r>
      <w:r>
        <w:rPr>
          <w:rFonts w:hint="eastAsia"/>
          <w:sz w:val="24"/>
        </w:rPr>
        <w:t>的</w:t>
      </w:r>
      <w:r>
        <w:rPr>
          <w:rFonts w:hint="eastAsia"/>
          <w:sz w:val="24"/>
          <w:lang w:eastAsia="zh-Hans"/>
        </w:rPr>
        <w:t>农村政策的连续性和稳定性。在第二轮土地承包期满后，中央决定</w:t>
      </w:r>
      <w:r>
        <w:rPr>
          <w:rFonts w:hint="eastAsia"/>
          <w:sz w:val="24"/>
        </w:rPr>
        <w:t>再延长</w:t>
      </w:r>
      <w:r>
        <w:rPr>
          <w:rFonts w:hint="eastAsia"/>
          <w:sz w:val="24"/>
          <w:lang w:eastAsia="zh-Hans"/>
        </w:rPr>
        <w:t>承包期</w:t>
      </w:r>
      <w:r>
        <w:rPr>
          <w:rFonts w:hint="eastAsia"/>
          <w:sz w:val="24"/>
        </w:rPr>
        <w:t>30年</w:t>
      </w:r>
      <w:r>
        <w:rPr>
          <w:rFonts w:hint="eastAsia"/>
          <w:sz w:val="24"/>
          <w:lang w:eastAsia="zh-Hans"/>
        </w:rPr>
        <w:t>，这将在制度稳定、产权激励等方面发挥积极作用，并为未来的制度调整</w:t>
      </w:r>
      <w:r>
        <w:rPr>
          <w:rFonts w:hint="eastAsia"/>
          <w:sz w:val="24"/>
        </w:rPr>
        <w:t>预留</w:t>
      </w:r>
      <w:r>
        <w:rPr>
          <w:rFonts w:hint="eastAsia"/>
          <w:sz w:val="24"/>
          <w:lang w:eastAsia="zh-Hans"/>
        </w:rPr>
        <w:t>空间，</w:t>
      </w:r>
      <w:r>
        <w:rPr>
          <w:rFonts w:hint="eastAsia"/>
          <w:sz w:val="24"/>
        </w:rPr>
        <w:t>是我们制定此项政策的</w:t>
      </w:r>
      <w:r>
        <w:rPr>
          <w:rFonts w:hint="eastAsia"/>
          <w:sz w:val="24"/>
          <w:lang w:eastAsia="zh-Hans"/>
        </w:rPr>
        <w:t>重要</w:t>
      </w:r>
      <w:r>
        <w:rPr>
          <w:rFonts w:hint="eastAsia"/>
          <w:sz w:val="24"/>
        </w:rPr>
        <w:t>出发点。</w:t>
      </w:r>
    </w:p>
    <w:p w14:paraId="46A400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1.增强</w:t>
      </w:r>
      <w:r>
        <w:rPr>
          <w:rFonts w:hint="eastAsia"/>
          <w:sz w:val="24"/>
        </w:rPr>
        <w:t>土地制度的稳定功能</w:t>
      </w:r>
    </w:p>
    <w:p w14:paraId="7EB627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改革开放</w:t>
      </w:r>
      <w:r>
        <w:rPr>
          <w:rFonts w:hint="eastAsia"/>
          <w:sz w:val="24"/>
          <w:lang w:val="en-US" w:eastAsia="zh-CN"/>
        </w:rPr>
        <w:t>充分证明了</w:t>
      </w:r>
      <w:r>
        <w:rPr>
          <w:rFonts w:hint="eastAsia"/>
          <w:sz w:val="24"/>
        </w:rPr>
        <w:t>家庭承包经营制是适合中国国情</w:t>
      </w:r>
      <w:r>
        <w:rPr>
          <w:rFonts w:hint="eastAsia"/>
          <w:sz w:val="24"/>
          <w:lang w:eastAsia="zh-Hans"/>
        </w:rPr>
        <w:t>和农村实际</w:t>
      </w:r>
      <w:r>
        <w:rPr>
          <w:rFonts w:hint="eastAsia"/>
          <w:sz w:val="24"/>
        </w:rPr>
        <w:t>的一项制度安排。为保持制度的稳定性</w:t>
      </w:r>
      <w:r>
        <w:rPr>
          <w:rFonts w:hint="eastAsia"/>
          <w:sz w:val="24"/>
          <w:lang w:val="en-US" w:eastAsia="zh-CN"/>
        </w:rPr>
        <w:t>并继续发挥此项制度效能</w:t>
      </w:r>
      <w:r>
        <w:rPr>
          <w:rFonts w:hint="eastAsia"/>
          <w:sz w:val="24"/>
        </w:rPr>
        <w:t>，中央政府提出“第二轮土地承包</w:t>
      </w:r>
      <w:r>
        <w:rPr>
          <w:rFonts w:hint="eastAsia"/>
          <w:sz w:val="24"/>
          <w:lang w:val="en-US" w:eastAsia="zh-CN"/>
        </w:rPr>
        <w:t>到期后</w:t>
      </w:r>
      <w:r>
        <w:rPr>
          <w:rFonts w:hint="eastAsia"/>
          <w:sz w:val="24"/>
        </w:rPr>
        <w:t>延长30年”</w:t>
      </w:r>
      <w:r>
        <w:rPr>
          <w:rFonts w:hint="eastAsia"/>
          <w:sz w:val="24"/>
          <w:lang w:eastAsia="zh-CN"/>
        </w:rPr>
        <w:t>。</w:t>
      </w:r>
    </w:p>
    <w:p w14:paraId="1D2FD6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其一，</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val="en-US" w:eastAsia="zh-CN"/>
        </w:rPr>
        <w:t>对</w:t>
      </w:r>
      <w:r>
        <w:rPr>
          <w:rFonts w:hint="eastAsia"/>
          <w:sz w:val="24"/>
        </w:rPr>
        <w:t>稳定农地政策具有必要性。农村土地承包期限再次做出调整</w:t>
      </w:r>
      <w:r>
        <w:rPr>
          <w:rFonts w:hint="eastAsia"/>
          <w:sz w:val="24"/>
          <w:lang w:eastAsia="zh-Hans"/>
        </w:rPr>
        <w:t>，</w:t>
      </w:r>
      <w:r>
        <w:rPr>
          <w:rFonts w:hint="eastAsia"/>
          <w:sz w:val="24"/>
          <w:lang w:val="en-US" w:eastAsia="zh-CN"/>
        </w:rPr>
        <w:t>即</w:t>
      </w:r>
      <w:r>
        <w:rPr>
          <w:rFonts w:hint="eastAsia"/>
          <w:sz w:val="24"/>
        </w:rPr>
        <w:t>延长30年</w:t>
      </w:r>
      <w:r>
        <w:rPr>
          <w:rFonts w:hint="eastAsia"/>
          <w:sz w:val="24"/>
          <w:lang w:eastAsia="zh-CN"/>
        </w:rPr>
        <w:t>，</w:t>
      </w:r>
      <w:r>
        <w:rPr>
          <w:rFonts w:hint="eastAsia"/>
          <w:sz w:val="24"/>
          <w:lang w:val="en-US" w:eastAsia="zh-CN"/>
        </w:rPr>
        <w:t>这</w:t>
      </w:r>
      <w:r>
        <w:rPr>
          <w:rFonts w:hint="eastAsia"/>
          <w:sz w:val="24"/>
        </w:rPr>
        <w:t>意味着农村土地承包制度不变</w:t>
      </w:r>
      <w:r>
        <w:rPr>
          <w:rFonts w:hint="eastAsia"/>
          <w:sz w:val="24"/>
          <w:lang w:eastAsia="zh-Hans"/>
        </w:rPr>
        <w:t>，</w:t>
      </w:r>
      <w:r>
        <w:rPr>
          <w:rFonts w:hint="eastAsia"/>
          <w:sz w:val="24"/>
        </w:rPr>
        <w:t>对于稳定农业发展、解决“三农”问题具有重要意义。</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0"/>
      </w:r>
      <w:r>
        <w:rPr>
          <w:rStyle w:val="18"/>
          <w:rFonts w:hint="eastAsia" w:ascii="宋体" w:hAnsi="宋体" w:eastAsia="宋体" w:cs="宋体"/>
          <w:color w:val="000000"/>
          <w:sz w:val="24"/>
          <w:szCs w:val="21"/>
        </w:rPr>
        <w:t>]</w:t>
      </w:r>
      <w:r>
        <w:rPr>
          <w:rFonts w:hint="eastAsia"/>
          <w:sz w:val="24"/>
          <w:lang w:val="en-US" w:eastAsia="zh-CN"/>
        </w:rPr>
        <w:t>不少学者也对这一观点表示认同</w:t>
      </w:r>
      <w:r>
        <w:rPr>
          <w:rFonts w:hint="eastAsia"/>
          <w:sz w:val="24"/>
          <w:lang w:eastAsia="zh-CN"/>
        </w:rPr>
        <w:t>，</w:t>
      </w:r>
      <w:r>
        <w:rPr>
          <w:rFonts w:hint="eastAsia"/>
          <w:sz w:val="24"/>
          <w:lang w:val="en-US" w:eastAsia="zh-CN"/>
        </w:rPr>
        <w:t>如</w:t>
      </w:r>
      <w:r>
        <w:rPr>
          <w:rFonts w:hint="eastAsia"/>
          <w:sz w:val="24"/>
        </w:rPr>
        <w:t>叶兴庆认为这次定调30年不变</w:t>
      </w:r>
      <w:r>
        <w:rPr>
          <w:rFonts w:hint="eastAsia"/>
          <w:sz w:val="24"/>
          <w:lang w:eastAsia="zh-Hans"/>
        </w:rPr>
        <w:t>，</w:t>
      </w:r>
      <w:r>
        <w:rPr>
          <w:rFonts w:hint="eastAsia"/>
          <w:sz w:val="24"/>
        </w:rPr>
        <w:t>是延续了第一轮承包到期以后第二轮延长30年的做法</w:t>
      </w:r>
      <w:r>
        <w:rPr>
          <w:rFonts w:hint="eastAsia"/>
          <w:sz w:val="24"/>
          <w:lang w:eastAsia="zh-Hans"/>
        </w:rPr>
        <w:t>，这样</w:t>
      </w:r>
      <w:r>
        <w:rPr>
          <w:rFonts w:hint="eastAsia"/>
          <w:sz w:val="24"/>
        </w:rPr>
        <w:t>既避免了各种纷争</w:t>
      </w:r>
      <w:r>
        <w:rPr>
          <w:rFonts w:hint="eastAsia"/>
          <w:sz w:val="24"/>
          <w:lang w:eastAsia="zh-Hans"/>
        </w:rPr>
        <w:t>，</w:t>
      </w:r>
      <w:r>
        <w:rPr>
          <w:rFonts w:hint="eastAsia"/>
          <w:sz w:val="24"/>
        </w:rPr>
        <w:t>也保持了政策的稳定和连续。</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1"/>
      </w:r>
      <w:r>
        <w:rPr>
          <w:rStyle w:val="18"/>
          <w:rFonts w:hint="eastAsia" w:ascii="宋体" w:hAnsi="宋体" w:eastAsia="宋体" w:cs="宋体"/>
          <w:color w:val="000000"/>
          <w:sz w:val="24"/>
          <w:szCs w:val="21"/>
        </w:rPr>
        <w:t>]</w:t>
      </w:r>
      <w:r>
        <w:rPr>
          <w:rFonts w:hint="eastAsia"/>
          <w:sz w:val="24"/>
        </w:rPr>
        <w:t>李文政认为土地使用权永佃化可以有效刺激我国农村经济高速发展，实现农民增收致富。</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2"/>
      </w:r>
      <w:r>
        <w:rPr>
          <w:rStyle w:val="18"/>
          <w:rFonts w:hint="eastAsia" w:ascii="宋体" w:hAnsi="宋体" w:eastAsia="宋体" w:cs="宋体"/>
          <w:color w:val="000000"/>
          <w:sz w:val="24"/>
          <w:szCs w:val="21"/>
        </w:rPr>
        <w:t>]</w:t>
      </w:r>
      <w:r>
        <w:rPr>
          <w:rFonts w:hint="eastAsia"/>
          <w:sz w:val="24"/>
        </w:rPr>
        <w:t>高</w:t>
      </w:r>
      <w:r>
        <w:rPr>
          <w:rFonts w:hint="eastAsia"/>
          <w:sz w:val="24"/>
          <w:lang w:eastAsia="zh-Hans"/>
        </w:rPr>
        <w:t>圣</w:t>
      </w:r>
      <w:r>
        <w:rPr>
          <w:rFonts w:hint="eastAsia"/>
          <w:sz w:val="24"/>
        </w:rPr>
        <w:t>平等认为，土地承包经营权稳定性或者永佃化对于保护耕地、促进土地流转、增加土地投资、稳定农户的心态</w:t>
      </w:r>
      <w:r>
        <w:rPr>
          <w:rFonts w:hint="eastAsia"/>
          <w:sz w:val="24"/>
          <w:lang w:val="en-US" w:eastAsia="zh-CN"/>
        </w:rPr>
        <w:t>等</w:t>
      </w:r>
      <w:r>
        <w:rPr>
          <w:rFonts w:hint="eastAsia"/>
          <w:sz w:val="24"/>
        </w:rPr>
        <w:t>具有正面的作用。</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3"/>
      </w:r>
      <w:r>
        <w:rPr>
          <w:rStyle w:val="18"/>
          <w:rFonts w:hint="eastAsia" w:ascii="宋体" w:hAnsi="宋体" w:eastAsia="宋体" w:cs="宋体"/>
          <w:color w:val="000000"/>
          <w:sz w:val="24"/>
          <w:szCs w:val="21"/>
        </w:rPr>
        <w:t>]</w:t>
      </w:r>
      <w:r>
        <w:rPr>
          <w:rFonts w:hint="eastAsia"/>
          <w:sz w:val="24"/>
        </w:rPr>
        <w:t>俞海等认为地权稳定有利于</w:t>
      </w:r>
      <w:r>
        <w:rPr>
          <w:rFonts w:hint="eastAsia"/>
          <w:sz w:val="24"/>
          <w:lang w:val="en-US" w:eastAsia="zh-CN"/>
        </w:rPr>
        <w:t>对农地施加长期肥力</w:t>
      </w:r>
      <w:r>
        <w:rPr>
          <w:rFonts w:hint="eastAsia"/>
          <w:sz w:val="24"/>
        </w:rPr>
        <w:t>。</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4"/>
      </w:r>
      <w:r>
        <w:rPr>
          <w:rStyle w:val="18"/>
          <w:rFonts w:hint="eastAsia" w:ascii="宋体" w:hAnsi="宋体" w:eastAsia="宋体" w:cs="宋体"/>
          <w:color w:val="000000"/>
          <w:sz w:val="24"/>
          <w:szCs w:val="21"/>
        </w:rPr>
        <w:t>]</w:t>
      </w:r>
      <w:r>
        <w:rPr>
          <w:rFonts w:hint="eastAsia"/>
          <w:sz w:val="24"/>
        </w:rPr>
        <w:t>罗必良等使用威廉姆森分析范式</w:t>
      </w:r>
      <w:r>
        <w:rPr>
          <w:rFonts w:hint="eastAsia"/>
          <w:sz w:val="24"/>
          <w:lang w:val="en-US" w:eastAsia="zh-CN"/>
        </w:rPr>
        <w:t>对广东省农户的农地流转交易费用进行研究</w:t>
      </w:r>
      <w:r>
        <w:rPr>
          <w:rFonts w:hint="eastAsia"/>
          <w:sz w:val="24"/>
        </w:rPr>
        <w:t>，得出的一个重要结论是农户行为和对政策的不确定性会明显影响到农地流转的交易费用</w:t>
      </w:r>
      <w:r>
        <w:rPr>
          <w:rFonts w:hint="eastAsia"/>
          <w:sz w:val="24"/>
          <w:lang w:eastAsia="zh-Hans"/>
        </w:rPr>
        <w:t>，</w:t>
      </w:r>
      <w:r>
        <w:rPr>
          <w:rFonts w:hint="eastAsia"/>
          <w:sz w:val="24"/>
        </w:rPr>
        <w:t>从而间接地表达了地权稳定的重要性。</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5"/>
      </w:r>
      <w:r>
        <w:rPr>
          <w:rStyle w:val="18"/>
          <w:rFonts w:hint="eastAsia" w:ascii="宋体" w:hAnsi="宋体" w:eastAsia="宋体" w:cs="宋体"/>
          <w:color w:val="000000"/>
          <w:sz w:val="24"/>
          <w:szCs w:val="21"/>
        </w:rPr>
        <w:t>]</w:t>
      </w:r>
      <w:r>
        <w:rPr>
          <w:rFonts w:hint="eastAsia"/>
          <w:sz w:val="24"/>
          <w:lang w:val="en-US" w:eastAsia="zh-CN"/>
        </w:rPr>
        <w:t>因此，再延长30年对</w:t>
      </w:r>
      <w:r>
        <w:rPr>
          <w:rFonts w:hint="eastAsia"/>
          <w:sz w:val="24"/>
        </w:rPr>
        <w:t>农村土地地权稳定性</w:t>
      </w:r>
      <w:r>
        <w:rPr>
          <w:rFonts w:hint="eastAsia"/>
          <w:sz w:val="24"/>
          <w:lang w:val="en-US" w:eastAsia="zh-CN"/>
        </w:rPr>
        <w:t>起到了</w:t>
      </w:r>
      <w:r>
        <w:rPr>
          <w:rFonts w:hint="eastAsia"/>
          <w:sz w:val="24"/>
        </w:rPr>
        <w:t>积极作用，</w:t>
      </w:r>
      <w:r>
        <w:rPr>
          <w:rFonts w:hint="eastAsia"/>
          <w:sz w:val="24"/>
          <w:lang w:val="en-US" w:eastAsia="zh-CN"/>
        </w:rPr>
        <w:t>也是集体所有制下农村土地制度微调的占优选择</w:t>
      </w:r>
      <w:r>
        <w:rPr>
          <w:rFonts w:hint="eastAsia"/>
          <w:sz w:val="24"/>
        </w:rPr>
        <w:t>。</w:t>
      </w:r>
    </w:p>
    <w:p w14:paraId="127F80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其二，</w:t>
      </w:r>
      <w:r>
        <w:rPr>
          <w:rFonts w:hint="eastAsia"/>
          <w:sz w:val="24"/>
        </w:rPr>
        <w:t>“第二轮土地承包</w:t>
      </w:r>
      <w:r>
        <w:rPr>
          <w:rFonts w:hint="eastAsia"/>
          <w:sz w:val="24"/>
          <w:lang w:val="en-US" w:eastAsia="zh-CN"/>
        </w:rPr>
        <w:t>到期后</w:t>
      </w:r>
      <w:r>
        <w:rPr>
          <w:rFonts w:hint="eastAsia"/>
          <w:sz w:val="24"/>
        </w:rPr>
        <w:t>再延长30年”对稳定农地政策具有必然性。近年来</w:t>
      </w:r>
      <w:r>
        <w:rPr>
          <w:rFonts w:hint="eastAsia"/>
          <w:sz w:val="24"/>
          <w:lang w:eastAsia="zh-CN"/>
        </w:rPr>
        <w:t>，</w:t>
      </w:r>
      <w:r>
        <w:rPr>
          <w:rFonts w:hint="eastAsia"/>
          <w:sz w:val="24"/>
        </w:rPr>
        <w:t>农业从业人员大量转移</w:t>
      </w:r>
      <w:r>
        <w:rPr>
          <w:rFonts w:hint="eastAsia"/>
          <w:sz w:val="24"/>
          <w:lang w:eastAsia="zh-Hans"/>
        </w:rPr>
        <w:t>，</w:t>
      </w:r>
      <w:r>
        <w:rPr>
          <w:rFonts w:hint="eastAsia"/>
          <w:sz w:val="24"/>
        </w:rPr>
        <w:t>土地经营权流转面积不断增加</w:t>
      </w:r>
      <w:r>
        <w:rPr>
          <w:rFonts w:hint="eastAsia"/>
          <w:sz w:val="24"/>
          <w:lang w:eastAsia="zh-Hans"/>
        </w:rPr>
        <w:t>，</w:t>
      </w:r>
      <w:r>
        <w:rPr>
          <w:rFonts w:hint="eastAsia"/>
          <w:sz w:val="24"/>
        </w:rPr>
        <w:t>现代农业投入不断加大</w:t>
      </w:r>
      <w:r>
        <w:rPr>
          <w:rFonts w:hint="eastAsia"/>
          <w:sz w:val="24"/>
          <w:lang w:eastAsia="zh-Hans"/>
        </w:rPr>
        <w:t>，</w:t>
      </w:r>
      <w:r>
        <w:rPr>
          <w:rFonts w:hint="eastAsia"/>
          <w:sz w:val="24"/>
        </w:rPr>
        <w:t>基础设施建设规模日益扩大</w:t>
      </w:r>
      <w:r>
        <w:rPr>
          <w:rFonts w:hint="eastAsia"/>
          <w:sz w:val="24"/>
          <w:lang w:eastAsia="zh-Hans"/>
        </w:rPr>
        <w:t>，</w:t>
      </w:r>
      <w:r>
        <w:rPr>
          <w:rFonts w:hint="eastAsia"/>
          <w:sz w:val="24"/>
        </w:rPr>
        <w:t>广大承包农户和新型农业经营主体都希望国家尽早明确土地承包政策下一步走向，这项政策及时</w:t>
      </w:r>
      <w:r>
        <w:rPr>
          <w:rFonts w:hint="eastAsia"/>
          <w:sz w:val="24"/>
          <w:lang w:val="en-US" w:eastAsia="zh-CN"/>
        </w:rPr>
        <w:t>给予的回应</w:t>
      </w:r>
      <w:r>
        <w:rPr>
          <w:rFonts w:hint="eastAsia"/>
          <w:sz w:val="24"/>
        </w:rPr>
        <w:t>充分体现了“长久不变”的精神，是中国农村经济发展进程中的必然选择。同时，再延长30年的承包政策还能促进登记制度和土地流转制度的进一步完善。</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6"/>
      </w:r>
      <w:r>
        <w:rPr>
          <w:rStyle w:val="18"/>
          <w:rFonts w:hint="eastAsia" w:ascii="宋体" w:hAnsi="宋体" w:eastAsia="宋体" w:cs="宋体"/>
          <w:color w:val="000000"/>
          <w:sz w:val="24"/>
          <w:szCs w:val="21"/>
        </w:rPr>
        <w:t>]</w:t>
      </w:r>
      <w:r>
        <w:rPr>
          <w:rFonts w:hint="eastAsia"/>
          <w:sz w:val="24"/>
        </w:rPr>
        <w:t>反向来看，若土地承包期太短会使农民认为登记可有可无</w:t>
      </w:r>
      <w:r>
        <w:rPr>
          <w:rFonts w:hint="eastAsia"/>
          <w:sz w:val="24"/>
          <w:lang w:eastAsia="zh-Hans"/>
        </w:rPr>
        <w:t>，</w:t>
      </w:r>
      <w:r>
        <w:rPr>
          <w:rFonts w:hint="eastAsia"/>
          <w:sz w:val="24"/>
        </w:rPr>
        <w:t>并不利于农村土地管理</w:t>
      </w:r>
      <w:r>
        <w:rPr>
          <w:rFonts w:hint="eastAsia"/>
          <w:sz w:val="24"/>
          <w:lang w:eastAsia="zh-CN"/>
        </w:rPr>
        <w:t>，</w:t>
      </w:r>
      <w:r>
        <w:rPr>
          <w:rFonts w:hint="eastAsia"/>
          <w:sz w:val="24"/>
        </w:rPr>
        <w:t>而土地登记是国家建立的关于土地权利的统一法律基础</w:t>
      </w:r>
      <w:r>
        <w:rPr>
          <w:rFonts w:hint="eastAsia"/>
          <w:sz w:val="24"/>
          <w:lang w:eastAsia="zh-Hans"/>
        </w:rPr>
        <w:t>，</w:t>
      </w:r>
      <w:r>
        <w:rPr>
          <w:rFonts w:hint="eastAsia"/>
          <w:sz w:val="24"/>
        </w:rPr>
        <w:t>也是为土地权利</w:t>
      </w:r>
      <w:r>
        <w:rPr>
          <w:rFonts w:hint="eastAsia"/>
          <w:sz w:val="24"/>
          <w:lang w:val="en-US" w:eastAsia="zh-CN"/>
        </w:rPr>
        <w:t>流转</w:t>
      </w:r>
      <w:r>
        <w:rPr>
          <w:rFonts w:hint="eastAsia"/>
          <w:sz w:val="24"/>
        </w:rPr>
        <w:t>提供的法律基础。</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7"/>
      </w:r>
      <w:r>
        <w:rPr>
          <w:rStyle w:val="18"/>
          <w:rFonts w:hint="eastAsia" w:ascii="宋体" w:hAnsi="宋体" w:eastAsia="宋体" w:cs="宋体"/>
          <w:color w:val="000000"/>
          <w:sz w:val="24"/>
          <w:szCs w:val="21"/>
        </w:rPr>
        <w:t>]</w:t>
      </w:r>
      <w:r>
        <w:rPr>
          <w:rFonts w:hint="eastAsia"/>
          <w:sz w:val="24"/>
          <w:lang w:val="en-US" w:eastAsia="zh-CN"/>
        </w:rPr>
        <w:t>此外，与城市土地相比，农村</w:t>
      </w:r>
      <w:r>
        <w:rPr>
          <w:rFonts w:hint="eastAsia"/>
          <w:sz w:val="24"/>
        </w:rPr>
        <w:t>土地承包期过短</w:t>
      </w:r>
      <w:r>
        <w:rPr>
          <w:rFonts w:hint="eastAsia"/>
          <w:sz w:val="24"/>
          <w:lang w:eastAsia="zh-Hans"/>
        </w:rPr>
        <w:t>，</w:t>
      </w:r>
      <w:r>
        <w:rPr>
          <w:rFonts w:hint="eastAsia"/>
          <w:sz w:val="24"/>
        </w:rPr>
        <w:t>尤其是耕地30年的承包期限</w:t>
      </w:r>
      <w:r>
        <w:rPr>
          <w:rFonts w:hint="eastAsia"/>
          <w:sz w:val="24"/>
          <w:lang w:eastAsia="zh-Hans"/>
        </w:rPr>
        <w:t>，</w:t>
      </w:r>
      <w:r>
        <w:rPr>
          <w:rFonts w:hint="eastAsia"/>
          <w:sz w:val="24"/>
        </w:rPr>
        <w:t>在城乡土地使用权中期限最短</w:t>
      </w:r>
      <w:r>
        <w:rPr>
          <w:rFonts w:hint="eastAsia"/>
          <w:sz w:val="24"/>
          <w:lang w:eastAsia="zh-Hans"/>
        </w:rPr>
        <w:t>，</w:t>
      </w:r>
      <w:r>
        <w:rPr>
          <w:rFonts w:hint="eastAsia"/>
          <w:sz w:val="24"/>
        </w:rPr>
        <w:t>造成了很多混乱，不利于农业生产经营的长期和稳定投资。</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8"/>
      </w:r>
      <w:r>
        <w:rPr>
          <w:rStyle w:val="18"/>
          <w:rFonts w:hint="eastAsia" w:ascii="宋体" w:hAnsi="宋体" w:eastAsia="宋体" w:cs="宋体"/>
          <w:color w:val="000000"/>
          <w:sz w:val="24"/>
          <w:szCs w:val="21"/>
        </w:rPr>
        <w:t>]</w:t>
      </w:r>
      <w:r>
        <w:rPr>
          <w:rFonts w:hint="eastAsia"/>
          <w:sz w:val="24"/>
          <w:lang w:val="en-US" w:eastAsia="zh-CN"/>
        </w:rPr>
        <w:t>因此</w:t>
      </w:r>
      <w:r>
        <w:rPr>
          <w:rFonts w:hint="eastAsia"/>
          <w:sz w:val="24"/>
        </w:rPr>
        <w:t>，“第二轮土地承包</w:t>
      </w:r>
      <w:r>
        <w:rPr>
          <w:rFonts w:hint="eastAsia"/>
          <w:sz w:val="24"/>
          <w:lang w:val="en-US" w:eastAsia="zh-CN"/>
        </w:rPr>
        <w:t>到期后</w:t>
      </w:r>
      <w:r>
        <w:rPr>
          <w:rFonts w:hint="eastAsia"/>
          <w:sz w:val="24"/>
        </w:rPr>
        <w:t>再延长30年”，是顺应农村经济发展大势、符合经济发展规律</w:t>
      </w:r>
      <w:r>
        <w:rPr>
          <w:rFonts w:hint="eastAsia"/>
          <w:sz w:val="24"/>
          <w:lang w:val="en-US" w:eastAsia="zh-CN"/>
        </w:rPr>
        <w:t>的必然</w:t>
      </w:r>
      <w:r>
        <w:rPr>
          <w:rFonts w:hint="eastAsia"/>
          <w:sz w:val="24"/>
        </w:rPr>
        <w:t>，更是中国农地政策制定的</w:t>
      </w:r>
      <w:r>
        <w:rPr>
          <w:rFonts w:hint="eastAsia"/>
          <w:sz w:val="24"/>
          <w:lang w:val="en-US" w:eastAsia="zh-CN"/>
        </w:rPr>
        <w:t>现实</w:t>
      </w:r>
      <w:r>
        <w:rPr>
          <w:rFonts w:hint="eastAsia"/>
          <w:sz w:val="24"/>
        </w:rPr>
        <w:t>选择。</w:t>
      </w:r>
    </w:p>
    <w:p w14:paraId="2C3972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2.</w:t>
      </w:r>
      <w:r>
        <w:rPr>
          <w:rFonts w:hint="eastAsia"/>
          <w:sz w:val="24"/>
        </w:rPr>
        <w:t>调动农民积极性</w:t>
      </w:r>
      <w:r>
        <w:rPr>
          <w:rFonts w:hint="eastAsia"/>
          <w:sz w:val="24"/>
          <w:lang w:val="en-US" w:eastAsia="zh-CN"/>
        </w:rPr>
        <w:t>并提升产权激励效应</w:t>
      </w:r>
    </w:p>
    <w:p w14:paraId="123477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自古以来，土地都是农民开展农业生产的重要载体，拥有属于自己的土地是农民获取自由的重要象征。农民土地问题不仅是一个重要的经济社会问题，更是一个涉及全局的问题。</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499"/>
      </w:r>
      <w:r>
        <w:rPr>
          <w:rStyle w:val="18"/>
          <w:rFonts w:hint="eastAsia" w:ascii="宋体" w:hAnsi="宋体" w:eastAsia="宋体" w:cs="宋体"/>
          <w:color w:val="000000"/>
          <w:sz w:val="24"/>
          <w:szCs w:val="21"/>
        </w:rPr>
        <w:t>]</w:t>
      </w:r>
      <w:r>
        <w:rPr>
          <w:rFonts w:hint="eastAsia"/>
          <w:sz w:val="24"/>
        </w:rPr>
        <w:t>新中国成立后，</w:t>
      </w:r>
      <w:r>
        <w:rPr>
          <w:rFonts w:hint="eastAsia"/>
          <w:sz w:val="24"/>
          <w:lang w:val="en-US" w:eastAsia="zh-CN"/>
        </w:rPr>
        <w:t>我国政府非常重视土地改革，先后探索实施了农民土地所有制、人民公社制、家庭联产承包责任制、“三权分置”等土地制度</w:t>
      </w:r>
      <w:r>
        <w:rPr>
          <w:rFonts w:hint="eastAsia"/>
          <w:sz w:val="24"/>
        </w:rPr>
        <w:t>，每一次改革都是为了让农民获得更加自由的土</w:t>
      </w:r>
      <w:r>
        <w:rPr>
          <w:rFonts w:hint="eastAsia"/>
          <w:sz w:val="24"/>
          <w:lang w:eastAsia="zh-CN"/>
        </w:rPr>
        <w:t>，</w:t>
      </w:r>
      <w:r>
        <w:rPr>
          <w:rFonts w:hint="eastAsia"/>
          <w:sz w:val="24"/>
        </w:rPr>
        <w:t>地使用权，极大地调动了农民的生产积极性。而作为农民基本生活保障的土地承包权</w:t>
      </w:r>
      <w:r>
        <w:rPr>
          <w:rFonts w:hint="eastAsia"/>
          <w:sz w:val="24"/>
          <w:lang w:eastAsia="zh-CN"/>
        </w:rPr>
        <w:t>，</w:t>
      </w:r>
      <w:r>
        <w:rPr>
          <w:rFonts w:hint="eastAsia"/>
          <w:sz w:val="24"/>
        </w:rPr>
        <w:t>对农民不仅起着“类似社保”的作用</w:t>
      </w:r>
      <w:r>
        <w:rPr>
          <w:rFonts w:hint="eastAsia"/>
          <w:sz w:val="24"/>
          <w:lang w:eastAsia="zh-Hans"/>
        </w:rPr>
        <w:t>，</w:t>
      </w:r>
      <w:r>
        <w:rPr>
          <w:rFonts w:hint="eastAsia"/>
          <w:sz w:val="24"/>
        </w:rPr>
        <w:t>更是其家庭经营收入的重要来源。</w:t>
      </w:r>
      <w:r>
        <w:rPr>
          <w:rFonts w:hint="eastAsia"/>
          <w:sz w:val="24"/>
          <w:lang w:val="en-US" w:eastAsia="zh-CN"/>
        </w:rPr>
        <w:t>不少学者也持有这一观点，如</w:t>
      </w:r>
      <w:r>
        <w:rPr>
          <w:rFonts w:hint="eastAsia"/>
          <w:sz w:val="24"/>
        </w:rPr>
        <w:t>高</w:t>
      </w:r>
      <w:r>
        <w:rPr>
          <w:rFonts w:hint="eastAsia"/>
          <w:sz w:val="24"/>
          <w:lang w:eastAsia="zh-Hans"/>
        </w:rPr>
        <w:t>圣</w:t>
      </w:r>
      <w:r>
        <w:rPr>
          <w:rFonts w:hint="eastAsia"/>
          <w:sz w:val="24"/>
        </w:rPr>
        <w:t>平等认为</w:t>
      </w:r>
      <w:r>
        <w:rPr>
          <w:rFonts w:hint="eastAsia"/>
          <w:sz w:val="24"/>
          <w:lang w:eastAsia="zh-CN"/>
        </w:rPr>
        <w:t>“第二轮土地承包</w:t>
      </w:r>
      <w:r>
        <w:rPr>
          <w:rFonts w:hint="eastAsia"/>
          <w:sz w:val="24"/>
          <w:lang w:val="en-US" w:eastAsia="zh-CN"/>
        </w:rPr>
        <w:t>到期后</w:t>
      </w:r>
      <w:r>
        <w:rPr>
          <w:rFonts w:hint="eastAsia"/>
          <w:sz w:val="24"/>
          <w:lang w:eastAsia="zh-CN"/>
        </w:rPr>
        <w:t>再延长30年”</w:t>
      </w:r>
      <w:r>
        <w:rPr>
          <w:rFonts w:hint="eastAsia"/>
          <w:sz w:val="24"/>
        </w:rPr>
        <w:t>顺应了民意、稳定了农户心态，增强了农户对土地长久持有的预期，这种预期会调动农户的投资欲望，增加农业生产的资本投入。</w:t>
      </w:r>
      <w:r>
        <w:rPr>
          <w:rStyle w:val="18"/>
          <w:rFonts w:hint="eastAsia" w:ascii="宋体" w:hAnsi="宋体" w:eastAsia="宋体" w:cs="宋体"/>
          <w:color w:val="000000"/>
          <w:sz w:val="24"/>
          <w:szCs w:val="21"/>
        </w:rPr>
        <w:t>[</w:t>
      </w:r>
      <w:r>
        <w:rPr>
          <w:rFonts w:hint="eastAsia"/>
          <w:sz w:val="24"/>
          <w:lang w:val="en-US" w:eastAsia="zh-CN"/>
        </w:rPr>
        <w:t>4</w:t>
      </w:r>
      <w:r>
        <w:rPr>
          <w:rStyle w:val="18"/>
          <w:rFonts w:hint="eastAsia" w:ascii="宋体" w:hAnsi="宋体" w:eastAsia="宋体" w:cs="宋体"/>
          <w:color w:val="000000"/>
          <w:sz w:val="24"/>
          <w:szCs w:val="21"/>
        </w:rPr>
        <w:t>]</w:t>
      </w:r>
      <w:r>
        <w:rPr>
          <w:rFonts w:hint="eastAsia"/>
          <w:sz w:val="24"/>
        </w:rPr>
        <w:t>马新彦认为“土地承包经营权因政策原因而频繁变更</w:t>
      </w:r>
      <w:r>
        <w:rPr>
          <w:rFonts w:hint="eastAsia"/>
          <w:sz w:val="24"/>
          <w:lang w:eastAsia="zh-Hans"/>
        </w:rPr>
        <w:t>，</w:t>
      </w:r>
      <w:r>
        <w:rPr>
          <w:rFonts w:hint="eastAsia"/>
          <w:sz w:val="24"/>
        </w:rPr>
        <w:t>势必会影响土地承包人持续投入、长期开发的信心</w:t>
      </w:r>
      <w:r>
        <w:rPr>
          <w:rFonts w:hint="eastAsia"/>
          <w:sz w:val="24"/>
          <w:lang w:eastAsia="zh-Hans"/>
        </w:rPr>
        <w:t>，</w:t>
      </w:r>
      <w:r>
        <w:rPr>
          <w:rFonts w:hint="eastAsia"/>
          <w:sz w:val="24"/>
        </w:rPr>
        <w:t>容易导致短期经营和掠夺开发的恶性循环；农业生产的投入收益周期较长，只有规定较长的土地承包期，才能增强农民的产权安全感，进而实现对土地的有效利用”。</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500"/>
      </w:r>
      <w:r>
        <w:rPr>
          <w:rStyle w:val="18"/>
          <w:rFonts w:hint="eastAsia" w:ascii="宋体" w:hAnsi="宋体" w:eastAsia="宋体" w:cs="宋体"/>
          <w:color w:val="000000"/>
          <w:sz w:val="24"/>
          <w:szCs w:val="21"/>
        </w:rPr>
        <w:t>]</w:t>
      </w:r>
      <w:r>
        <w:rPr>
          <w:rFonts w:hint="eastAsia"/>
          <w:sz w:val="24"/>
          <w:lang w:val="en-US" w:eastAsia="zh-CN"/>
        </w:rPr>
        <w:t>此外，</w:t>
      </w:r>
      <w:r>
        <w:rPr>
          <w:rFonts w:hint="eastAsia"/>
          <w:sz w:val="24"/>
        </w:rPr>
        <w:t>再延长30年</w:t>
      </w:r>
      <w:r>
        <w:rPr>
          <w:rFonts w:hint="eastAsia"/>
          <w:sz w:val="24"/>
          <w:lang w:val="en-US" w:eastAsia="zh-CN"/>
        </w:rPr>
        <w:t>的政策</w:t>
      </w:r>
      <w:r>
        <w:rPr>
          <w:rFonts w:hint="eastAsia"/>
          <w:sz w:val="24"/>
        </w:rPr>
        <w:t>，</w:t>
      </w:r>
      <w:r>
        <w:rPr>
          <w:rFonts w:hint="eastAsia"/>
          <w:sz w:val="24"/>
          <w:lang w:val="en-US" w:eastAsia="zh-CN"/>
        </w:rPr>
        <w:t>能够</w:t>
      </w:r>
      <w:r>
        <w:rPr>
          <w:rFonts w:hint="eastAsia"/>
          <w:sz w:val="24"/>
        </w:rPr>
        <w:t>保护农民集体经济组织成员</w:t>
      </w:r>
      <w:r>
        <w:rPr>
          <w:rFonts w:hint="eastAsia"/>
          <w:sz w:val="24"/>
          <w:lang w:val="en-US" w:eastAsia="zh-CN"/>
        </w:rPr>
        <w:t>的</w:t>
      </w:r>
      <w:r>
        <w:rPr>
          <w:rFonts w:hint="eastAsia"/>
          <w:sz w:val="24"/>
        </w:rPr>
        <w:t>权利，赋予农民更</w:t>
      </w:r>
      <w:r>
        <w:rPr>
          <w:rFonts w:hint="eastAsia"/>
          <w:sz w:val="24"/>
          <w:lang w:val="en-US" w:eastAsia="zh-CN"/>
        </w:rPr>
        <w:t>好的</w:t>
      </w:r>
      <w:r>
        <w:rPr>
          <w:rFonts w:hint="eastAsia"/>
          <w:sz w:val="24"/>
        </w:rPr>
        <w:t>财产性权利，让亿万农民承包户焕发出持续高涨的生产热情，为他们发展现代农业吃</w:t>
      </w:r>
      <w:r>
        <w:rPr>
          <w:rFonts w:hint="eastAsia"/>
          <w:sz w:val="24"/>
          <w:lang w:val="en-US" w:eastAsia="zh-CN"/>
        </w:rPr>
        <w:t>下</w:t>
      </w:r>
      <w:r>
        <w:rPr>
          <w:rFonts w:hint="eastAsia"/>
          <w:sz w:val="24"/>
        </w:rPr>
        <w:t>“定心丸”。</w:t>
      </w:r>
      <w:r>
        <w:rPr>
          <w:rStyle w:val="18"/>
          <w:rFonts w:hint="eastAsia" w:ascii="宋体" w:hAnsi="宋体" w:eastAsia="宋体" w:cs="宋体"/>
          <w:color w:val="000000"/>
          <w:sz w:val="24"/>
          <w:szCs w:val="21"/>
        </w:rPr>
        <w:t>[</w:t>
      </w:r>
      <w:r>
        <w:rPr>
          <w:rStyle w:val="20"/>
          <w:rFonts w:hint="eastAsia" w:ascii="宋体" w:hAnsi="宋体" w:eastAsia="宋体" w:cs="宋体"/>
          <w:color w:val="000000"/>
          <w:sz w:val="24"/>
          <w:szCs w:val="21"/>
        </w:rPr>
        <w:footnoteReference w:id="501"/>
      </w:r>
      <w:r>
        <w:rPr>
          <w:rStyle w:val="18"/>
          <w:rFonts w:hint="eastAsia" w:ascii="宋体" w:hAnsi="宋体" w:eastAsia="宋体" w:cs="宋体"/>
          <w:color w:val="000000"/>
          <w:sz w:val="24"/>
          <w:szCs w:val="21"/>
        </w:rPr>
        <w:t>]</w:t>
      </w:r>
      <w:r>
        <w:rPr>
          <w:rFonts w:hint="eastAsia"/>
          <w:sz w:val="24"/>
          <w:lang w:val="en-US" w:eastAsia="zh-CN"/>
        </w:rPr>
        <w:t>因此，</w:t>
      </w:r>
      <w:r>
        <w:rPr>
          <w:rFonts w:hint="eastAsia"/>
          <w:sz w:val="24"/>
        </w:rPr>
        <w:t>长远而稳定的农地产权制度，有助于增强农民</w:t>
      </w:r>
      <w:r>
        <w:rPr>
          <w:rFonts w:hint="eastAsia"/>
          <w:sz w:val="24"/>
          <w:lang w:val="en-US" w:eastAsia="zh-CN"/>
        </w:rPr>
        <w:t>的</w:t>
      </w:r>
      <w:r>
        <w:rPr>
          <w:rFonts w:hint="eastAsia"/>
          <w:sz w:val="24"/>
        </w:rPr>
        <w:t>土地预期，激发农民对土地的长期投资愿望，进而有效提高农业生产的资本有机构成。</w:t>
      </w:r>
    </w:p>
    <w:p w14:paraId="6D83EF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3.</w:t>
      </w:r>
      <w:r>
        <w:rPr>
          <w:rFonts w:hint="eastAsia"/>
          <w:sz w:val="24"/>
        </w:rPr>
        <w:t>为未来的政策调整和制度变革容留缓冲空间</w:t>
      </w:r>
    </w:p>
    <w:p w14:paraId="6C3E90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改革开放40</w:t>
      </w:r>
      <w:r>
        <w:rPr>
          <w:rFonts w:hint="eastAsia"/>
          <w:sz w:val="24"/>
          <w:lang w:val="en-US" w:eastAsia="zh-CN"/>
        </w:rPr>
        <w:t>余</w:t>
      </w:r>
      <w:r>
        <w:rPr>
          <w:rFonts w:hint="eastAsia"/>
          <w:sz w:val="24"/>
        </w:rPr>
        <w:t>年，中国在经历经济高速发展的同时，也积累了不少社会矛盾。</w:t>
      </w:r>
      <w:r>
        <w:rPr>
          <w:rFonts w:hint="eastAsia"/>
          <w:sz w:val="24"/>
          <w:lang w:eastAsia="zh-Hans"/>
        </w:rPr>
        <w:t>这</w:t>
      </w:r>
      <w:r>
        <w:rPr>
          <w:rFonts w:hint="eastAsia"/>
          <w:sz w:val="24"/>
        </w:rPr>
        <w:t>要求我们党和各级政府必须</w:t>
      </w:r>
      <w:r>
        <w:rPr>
          <w:rFonts w:hint="eastAsia"/>
          <w:sz w:val="24"/>
          <w:lang w:val="en-US" w:eastAsia="zh-CN"/>
        </w:rPr>
        <w:t>直面</w:t>
      </w:r>
      <w:r>
        <w:rPr>
          <w:rFonts w:hint="eastAsia"/>
          <w:sz w:val="24"/>
        </w:rPr>
        <w:t>困难，找出主要矛盾，推行改革以解决问题。在改革</w:t>
      </w:r>
      <w:r>
        <w:rPr>
          <w:rFonts w:hint="eastAsia"/>
          <w:sz w:val="24"/>
          <w:lang w:val="en-US" w:eastAsia="zh-CN"/>
        </w:rPr>
        <w:t>方法</w:t>
      </w:r>
      <w:r>
        <w:rPr>
          <w:rFonts w:hint="eastAsia"/>
          <w:sz w:val="24"/>
        </w:rPr>
        <w:t>上，有“休克疗法”式的激进派改革，有“以时间换空间”的渐进式改革，两种改革在中外历史上均发生过。当前，在世界百年未有之大变局和中华民族实现伟大复兴的历史关头，温和的改革</w:t>
      </w:r>
      <w:r>
        <w:rPr>
          <w:rFonts w:hint="eastAsia"/>
          <w:sz w:val="24"/>
          <w:lang w:val="en-US" w:eastAsia="zh-CN"/>
        </w:rPr>
        <w:t>方法</w:t>
      </w:r>
      <w:r>
        <w:rPr>
          <w:rFonts w:hint="eastAsia"/>
          <w:sz w:val="24"/>
        </w:rPr>
        <w:t>将是一个明智选择，温和型改革的前提是在发展中解决问题，而不能因为问题去放弃发展。</w:t>
      </w:r>
      <w:r>
        <w:rPr>
          <w:rFonts w:hint="eastAsia"/>
          <w:sz w:val="24"/>
          <w:lang w:eastAsia="zh-CN"/>
        </w:rPr>
        <w:t>“</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rPr>
        <w:t>是温和型的</w:t>
      </w:r>
      <w:r>
        <w:rPr>
          <w:rFonts w:hint="eastAsia"/>
          <w:sz w:val="24"/>
          <w:lang w:val="en-US" w:eastAsia="zh-CN"/>
        </w:rPr>
        <w:t>政策选择</w:t>
      </w:r>
      <w:r>
        <w:rPr>
          <w:rFonts w:hint="eastAsia"/>
          <w:sz w:val="24"/>
        </w:rPr>
        <w:t>，这“30年”不是随</w:t>
      </w:r>
      <w:r>
        <w:rPr>
          <w:rFonts w:hint="eastAsia"/>
          <w:sz w:val="24"/>
          <w:lang w:val="en-US" w:eastAsia="zh-CN"/>
        </w:rPr>
        <w:t>便确定的，其中的</w:t>
      </w:r>
      <w:r>
        <w:rPr>
          <w:rFonts w:hint="eastAsia"/>
          <w:sz w:val="24"/>
        </w:rPr>
        <w:t>一</w:t>
      </w:r>
      <w:r>
        <w:rPr>
          <w:rFonts w:hint="eastAsia"/>
          <w:sz w:val="24"/>
          <w:lang w:val="en-US" w:eastAsia="zh-CN"/>
        </w:rPr>
        <w:t>项</w:t>
      </w:r>
      <w:r>
        <w:rPr>
          <w:rFonts w:hint="eastAsia"/>
          <w:sz w:val="24"/>
        </w:rPr>
        <w:t>重要考虑是</w:t>
      </w:r>
      <w:r>
        <w:rPr>
          <w:rFonts w:hint="eastAsia"/>
          <w:sz w:val="24"/>
          <w:lang w:eastAsia="zh-Hans"/>
        </w:rPr>
        <w:t>，</w:t>
      </w:r>
      <w:r>
        <w:rPr>
          <w:rFonts w:hint="eastAsia"/>
          <w:sz w:val="24"/>
        </w:rPr>
        <w:t>同我们实现强国目标的时间点相吻合。一些学者</w:t>
      </w:r>
      <w:r>
        <w:rPr>
          <w:rFonts w:hint="eastAsia"/>
          <w:sz w:val="24"/>
          <w:lang w:val="en-US" w:eastAsia="zh-CN"/>
        </w:rPr>
        <w:t>对此也持有相同看法</w:t>
      </w:r>
      <w:r>
        <w:rPr>
          <w:rFonts w:hint="eastAsia"/>
          <w:sz w:val="24"/>
          <w:lang w:eastAsia="zh-CN"/>
        </w:rPr>
        <w:t>，</w:t>
      </w:r>
      <w:r>
        <w:rPr>
          <w:rFonts w:hint="eastAsia"/>
          <w:sz w:val="24"/>
        </w:rPr>
        <w:t>如叶兴庆认为未来包括“三权”分置制度</w:t>
      </w:r>
      <w:r>
        <w:rPr>
          <w:rFonts w:hint="eastAsia"/>
          <w:sz w:val="24"/>
          <w:lang w:eastAsia="zh-Hans"/>
        </w:rPr>
        <w:t>在内的土地制度，</w:t>
      </w:r>
      <w:r>
        <w:rPr>
          <w:rFonts w:hint="eastAsia"/>
          <w:sz w:val="24"/>
        </w:rPr>
        <w:t>会根据实践的发展进行相应的完善</w:t>
      </w:r>
      <w:r>
        <w:rPr>
          <w:rFonts w:hint="eastAsia"/>
          <w:sz w:val="24"/>
          <w:lang w:eastAsia="zh-Hans"/>
        </w:rPr>
        <w:t>，</w:t>
      </w:r>
      <w:r>
        <w:rPr>
          <w:rFonts w:hint="eastAsia"/>
          <w:sz w:val="24"/>
        </w:rPr>
        <w:t>所以要为未来的发展和完善留下足够的空间。</w:t>
      </w:r>
      <w:r>
        <w:rPr>
          <w:rFonts w:hint="eastAsia"/>
          <w:sz w:val="24"/>
          <w:lang w:val="en-US" w:eastAsia="zh-CN"/>
        </w:rPr>
        <w:t>[3]</w:t>
      </w:r>
      <w:r>
        <w:rPr>
          <w:rFonts w:hint="eastAsia"/>
          <w:sz w:val="24"/>
        </w:rPr>
        <w:t>第二轮土地承包</w:t>
      </w:r>
      <w:r>
        <w:rPr>
          <w:rFonts w:hint="eastAsia"/>
          <w:sz w:val="24"/>
          <w:lang w:val="en-US" w:eastAsia="zh-CN"/>
        </w:rPr>
        <w:t>到期后</w:t>
      </w:r>
      <w:r>
        <w:rPr>
          <w:rFonts w:hint="eastAsia"/>
          <w:sz w:val="24"/>
        </w:rPr>
        <w:t>再延长的时间定为30年</w:t>
      </w:r>
      <w:r>
        <w:rPr>
          <w:rFonts w:hint="eastAsia"/>
          <w:sz w:val="24"/>
          <w:lang w:eastAsia="zh-Hans"/>
        </w:rPr>
        <w:t>，</w:t>
      </w:r>
      <w:r>
        <w:rPr>
          <w:rFonts w:hint="eastAsia"/>
          <w:sz w:val="24"/>
        </w:rPr>
        <w:t>则既达到</w:t>
      </w:r>
      <w:r>
        <w:rPr>
          <w:rFonts w:hint="eastAsia"/>
          <w:sz w:val="24"/>
          <w:lang w:val="en-US" w:eastAsia="zh-CN"/>
        </w:rPr>
        <w:t>了</w:t>
      </w:r>
      <w:r>
        <w:rPr>
          <w:rFonts w:hint="eastAsia"/>
          <w:sz w:val="24"/>
        </w:rPr>
        <w:t>“定心丸”的效果</w:t>
      </w:r>
      <w:r>
        <w:rPr>
          <w:rFonts w:hint="eastAsia"/>
          <w:sz w:val="24"/>
          <w:lang w:eastAsia="zh-Hans"/>
        </w:rPr>
        <w:t>，</w:t>
      </w:r>
      <w:r>
        <w:rPr>
          <w:rFonts w:hint="eastAsia"/>
          <w:sz w:val="24"/>
        </w:rPr>
        <w:t>又根据实践的发展，为未来对农村土地制度的进一步完善预留了改进空间，是一个较为温和的改革方案。</w:t>
      </w:r>
      <w:r>
        <w:rPr>
          <w:rStyle w:val="18"/>
          <w:rFonts w:hint="eastAsia" w:ascii="宋体" w:hAnsi="宋体" w:eastAsia="宋体" w:cs="宋体"/>
          <w:sz w:val="24"/>
          <w:szCs w:val="21"/>
        </w:rPr>
        <w:t>[</w:t>
      </w:r>
      <w:r>
        <w:rPr>
          <w:rFonts w:hint="eastAsia"/>
          <w:sz w:val="24"/>
          <w:lang w:val="en-US" w:eastAsia="zh-CN"/>
        </w:rPr>
        <w:t>2</w:t>
      </w:r>
      <w:r>
        <w:rPr>
          <w:rStyle w:val="18"/>
          <w:rFonts w:hint="eastAsia" w:ascii="宋体" w:hAnsi="宋体" w:eastAsia="宋体" w:cs="宋体"/>
          <w:sz w:val="24"/>
          <w:szCs w:val="21"/>
        </w:rPr>
        <w:t>]</w:t>
      </w:r>
      <w:r>
        <w:rPr>
          <w:rFonts w:hint="eastAsia"/>
          <w:sz w:val="24"/>
          <w:lang w:val="en-US" w:eastAsia="zh-CN"/>
        </w:rPr>
        <w:t>同时，再延长30年</w:t>
      </w:r>
      <w:r>
        <w:rPr>
          <w:rFonts w:hint="eastAsia"/>
          <w:sz w:val="24"/>
        </w:rPr>
        <w:t>是</w:t>
      </w:r>
      <w:r>
        <w:rPr>
          <w:rFonts w:hint="eastAsia"/>
          <w:sz w:val="24"/>
          <w:lang w:val="en-US" w:eastAsia="zh-CN"/>
        </w:rPr>
        <w:t>与国家其他</w:t>
      </w:r>
      <w:r>
        <w:rPr>
          <w:rFonts w:hint="eastAsia"/>
          <w:sz w:val="24"/>
        </w:rPr>
        <w:t>发展目标</w:t>
      </w:r>
      <w:r>
        <w:rPr>
          <w:rFonts w:hint="eastAsia"/>
          <w:sz w:val="24"/>
          <w:lang w:val="en-US" w:eastAsia="zh-CN"/>
        </w:rPr>
        <w:t>相协同的</w:t>
      </w:r>
      <w:r>
        <w:rPr>
          <w:rFonts w:hint="eastAsia"/>
          <w:sz w:val="24"/>
          <w:lang w:eastAsia="zh-Hans"/>
        </w:rPr>
        <w:t>，</w:t>
      </w:r>
      <w:r>
        <w:rPr>
          <w:rFonts w:hint="eastAsia"/>
          <w:sz w:val="24"/>
        </w:rPr>
        <w:t>与党的十九大报告提出的“两个十五年”的阶段安排高度契合。</w:t>
      </w:r>
      <w:r>
        <w:rPr>
          <w:rStyle w:val="18"/>
          <w:rFonts w:hint="eastAsia" w:ascii="宋体" w:hAnsi="宋体" w:eastAsia="宋体" w:cs="宋体"/>
          <w:sz w:val="24"/>
          <w:szCs w:val="21"/>
          <w:vertAlign w:val="superscript"/>
        </w:rPr>
        <w:t>[</w:t>
      </w:r>
      <w:r>
        <w:rPr>
          <w:rFonts w:hint="eastAsia"/>
          <w:sz w:val="24"/>
          <w:vertAlign w:val="superscript"/>
          <w:lang w:val="en-US" w:eastAsia="zh-CN"/>
        </w:rPr>
        <w:t>7</w:t>
      </w:r>
      <w:r>
        <w:rPr>
          <w:rStyle w:val="18"/>
          <w:rFonts w:hint="eastAsia" w:ascii="宋体" w:hAnsi="宋体" w:eastAsia="宋体" w:cs="宋体"/>
          <w:sz w:val="24"/>
          <w:szCs w:val="21"/>
          <w:vertAlign w:val="superscript"/>
        </w:rPr>
        <w:t>]</w:t>
      </w:r>
    </w:p>
    <w:p w14:paraId="3FE553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2356CB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lang w:val="en-US" w:eastAsia="zh-CN"/>
        </w:rPr>
        <w:t>二</w:t>
      </w:r>
      <w:r>
        <w:rPr>
          <w:rFonts w:hint="eastAsia"/>
          <w:b/>
          <w:bCs/>
          <w:sz w:val="24"/>
        </w:rPr>
        <w:t>、</w:t>
      </w:r>
      <w:r>
        <w:rPr>
          <w:rFonts w:hint="eastAsia"/>
          <w:b/>
          <w:bCs/>
          <w:sz w:val="24"/>
          <w:lang w:val="en-US" w:eastAsia="zh-CN"/>
        </w:rPr>
        <w:t>实施</w:t>
      </w:r>
      <w:r>
        <w:rPr>
          <w:rFonts w:hint="eastAsia"/>
          <w:b/>
          <w:bCs/>
          <w:sz w:val="24"/>
        </w:rPr>
        <w:t>“第二轮土地承包</w:t>
      </w:r>
      <w:r>
        <w:rPr>
          <w:rFonts w:hint="eastAsia"/>
          <w:b/>
          <w:bCs/>
          <w:sz w:val="24"/>
          <w:lang w:val="en-US" w:eastAsia="zh-CN"/>
        </w:rPr>
        <w:t>到期后</w:t>
      </w:r>
      <w:r>
        <w:rPr>
          <w:rFonts w:hint="eastAsia"/>
          <w:b/>
          <w:bCs/>
          <w:sz w:val="24"/>
        </w:rPr>
        <w:t>再延长30年”</w:t>
      </w:r>
      <w:r>
        <w:rPr>
          <w:rFonts w:hint="eastAsia"/>
          <w:b/>
          <w:bCs/>
          <w:sz w:val="24"/>
          <w:lang w:val="en-US"/>
        </w:rPr>
        <w:t>政策</w:t>
      </w:r>
      <w:r>
        <w:rPr>
          <w:rFonts w:hint="eastAsia"/>
          <w:b/>
          <w:bCs/>
          <w:sz w:val="24"/>
          <w:lang w:val="en-US" w:eastAsia="zh-CN"/>
        </w:rPr>
        <w:t>的方式</w:t>
      </w:r>
    </w:p>
    <w:p w14:paraId="340801B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新中国成立以来，农村土地制度改革始终是围绕“公平”与“效率”的主线展开</w:t>
      </w:r>
      <w:r>
        <w:rPr>
          <w:rStyle w:val="18"/>
          <w:rFonts w:hint="eastAsia" w:ascii="宋体" w:hAnsi="宋体" w:eastAsia="宋体" w:cs="宋体"/>
          <w:sz w:val="24"/>
          <w:szCs w:val="21"/>
          <w:lang w:val="en-US" w:eastAsia="zh-CN"/>
        </w:rPr>
        <w:t>[</w:t>
      </w:r>
      <w:r>
        <w:rPr>
          <w:rStyle w:val="20"/>
          <w:rFonts w:hint="eastAsia" w:ascii="宋体" w:hAnsi="宋体" w:eastAsia="宋体" w:cs="宋体"/>
          <w:sz w:val="24"/>
          <w:szCs w:val="21"/>
          <w:lang w:val="en-US" w:eastAsia="zh-CN"/>
        </w:rPr>
        <w:footnoteReference w:id="502"/>
      </w:r>
      <w:r>
        <w:rPr>
          <w:rStyle w:val="18"/>
          <w:rFonts w:hint="eastAsia" w:ascii="宋体" w:hAnsi="宋体" w:eastAsia="宋体" w:cs="宋体"/>
          <w:sz w:val="24"/>
          <w:szCs w:val="21"/>
          <w:lang w:val="en-US" w:eastAsia="zh-CN"/>
        </w:rPr>
        <w:t>]</w:t>
      </w:r>
      <w:r>
        <w:rPr>
          <w:rFonts w:hint="eastAsia"/>
          <w:sz w:val="24"/>
        </w:rPr>
        <w:t>，</w:t>
      </w:r>
      <w:r>
        <w:rPr>
          <w:rFonts w:hint="eastAsia"/>
          <w:sz w:val="24"/>
          <w:lang w:val="en-US" w:eastAsia="zh-CN"/>
        </w:rPr>
        <w:t>兼顾</w:t>
      </w:r>
      <w:r>
        <w:rPr>
          <w:rFonts w:hint="eastAsia"/>
          <w:sz w:val="24"/>
        </w:rPr>
        <w:t>“公平”与“效率”，是理论界与政策界一致追求的共同目标。当前，关于第二轮土地承包</w:t>
      </w:r>
      <w:r>
        <w:rPr>
          <w:rFonts w:hint="eastAsia"/>
          <w:sz w:val="24"/>
          <w:lang w:val="en-US" w:eastAsia="zh-CN"/>
        </w:rPr>
        <w:t>到期后</w:t>
      </w:r>
      <w:r>
        <w:rPr>
          <w:rFonts w:hint="eastAsia"/>
          <w:sz w:val="24"/>
        </w:rPr>
        <w:t>如何再延长30年、是不分地直接延长30年、还是重新分地后再延长30年</w:t>
      </w:r>
      <w:r>
        <w:rPr>
          <w:rFonts w:hint="eastAsia"/>
          <w:sz w:val="24"/>
          <w:lang w:eastAsia="zh-CN"/>
        </w:rPr>
        <w:t>？</w:t>
      </w:r>
      <w:r>
        <w:rPr>
          <w:rFonts w:hint="eastAsia"/>
          <w:sz w:val="24"/>
        </w:rPr>
        <w:t>在这一问题上</w:t>
      </w:r>
      <w:r>
        <w:rPr>
          <w:rFonts w:hint="eastAsia"/>
          <w:sz w:val="24"/>
          <w:lang w:val="en-US" w:eastAsia="zh-CN"/>
        </w:rPr>
        <w:t>可以形成“不变说”和“变化说”两种实施方式</w:t>
      </w:r>
      <w:r>
        <w:rPr>
          <w:rFonts w:hint="eastAsia"/>
          <w:sz w:val="24"/>
        </w:rPr>
        <w:t>。</w:t>
      </w:r>
    </w:p>
    <w:p w14:paraId="59166A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1.</w:t>
      </w:r>
      <w:r>
        <w:rPr>
          <w:rFonts w:hint="eastAsia"/>
          <w:sz w:val="24"/>
        </w:rPr>
        <w:t>不变说：“第二轮土地承包</w:t>
      </w:r>
      <w:r>
        <w:rPr>
          <w:rFonts w:hint="eastAsia"/>
          <w:sz w:val="24"/>
          <w:lang w:val="en-US" w:eastAsia="zh-CN"/>
        </w:rPr>
        <w:t>到期后</w:t>
      </w:r>
      <w:r>
        <w:rPr>
          <w:rFonts w:hint="eastAsia"/>
          <w:sz w:val="24"/>
        </w:rPr>
        <w:t>再延长30年”不再重新分地</w:t>
      </w:r>
    </w:p>
    <w:p w14:paraId="49A6F05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基于“效率”角度出发，</w:t>
      </w:r>
      <w:r>
        <w:rPr>
          <w:rFonts w:hint="eastAsia"/>
          <w:sz w:val="24"/>
          <w:lang w:eastAsia="zh-CN"/>
        </w:rPr>
        <w:t>“</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rPr>
        <w:t>不再重新分地</w:t>
      </w:r>
      <w:r>
        <w:rPr>
          <w:rFonts w:hint="eastAsia"/>
          <w:sz w:val="24"/>
          <w:lang w:eastAsia="zh-CN"/>
        </w:rPr>
        <w:t>，</w:t>
      </w:r>
      <w:r>
        <w:rPr>
          <w:rFonts w:hint="eastAsia"/>
          <w:sz w:val="24"/>
          <w:lang w:val="en-US" w:eastAsia="zh-CN"/>
        </w:rPr>
        <w:t>可列示的理由至少包括以下几个方面</w:t>
      </w:r>
      <w:r>
        <w:rPr>
          <w:rFonts w:hint="eastAsia"/>
          <w:sz w:val="24"/>
        </w:rPr>
        <w:t>。</w:t>
      </w:r>
    </w:p>
    <w:p w14:paraId="1F6867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其一，</w:t>
      </w:r>
      <w:r>
        <w:rPr>
          <w:rFonts w:hint="eastAsia"/>
          <w:sz w:val="24"/>
        </w:rPr>
        <w:t>从历史角度看</w:t>
      </w:r>
      <w:r>
        <w:rPr>
          <w:rFonts w:hint="eastAsia"/>
          <w:sz w:val="24"/>
          <w:lang w:eastAsia="zh-CN"/>
        </w:rPr>
        <w:t>，</w:t>
      </w:r>
      <w:r>
        <w:rPr>
          <w:rFonts w:hint="eastAsia"/>
          <w:sz w:val="24"/>
        </w:rPr>
        <w:t>第一轮、第二轮土地承包已经在起点上较好地落实了“公平承包”，取得了应有的效果。自1978年安徽省凤阳县小岗村探索</w:t>
      </w:r>
      <w:r>
        <w:rPr>
          <w:rFonts w:hint="eastAsia"/>
          <w:sz w:val="24"/>
          <w:lang w:val="en-US" w:eastAsia="zh-CN"/>
        </w:rPr>
        <w:t>出“</w:t>
      </w:r>
      <w:r>
        <w:rPr>
          <w:rFonts w:hint="eastAsia"/>
          <w:sz w:val="24"/>
        </w:rPr>
        <w:t>家庭承包经营制</w:t>
      </w:r>
      <w:r>
        <w:rPr>
          <w:rFonts w:hint="eastAsia"/>
          <w:sz w:val="24"/>
          <w:lang w:eastAsia="zh-CN"/>
        </w:rPr>
        <w:t>”</w:t>
      </w:r>
      <w:r>
        <w:rPr>
          <w:rFonts w:hint="eastAsia"/>
          <w:sz w:val="24"/>
        </w:rPr>
        <w:t>以来，</w:t>
      </w:r>
      <w:r>
        <w:rPr>
          <w:rFonts w:hint="eastAsia"/>
          <w:sz w:val="24"/>
          <w:lang w:val="en-US" w:eastAsia="zh-CN"/>
        </w:rPr>
        <w:t>国家</w:t>
      </w:r>
      <w:r>
        <w:rPr>
          <w:rFonts w:hint="eastAsia"/>
          <w:sz w:val="24"/>
        </w:rPr>
        <w:t>通过出台一系列政策来稳定农民家庭的土地承包关系，保护了农民的自主经营</w:t>
      </w:r>
      <w:r>
        <w:rPr>
          <w:rFonts w:hint="eastAsia"/>
          <w:sz w:val="24"/>
          <w:lang w:val="en-US" w:eastAsia="zh-CN"/>
        </w:rPr>
        <w:t>权</w:t>
      </w:r>
      <w:r>
        <w:rPr>
          <w:rFonts w:hint="eastAsia"/>
          <w:sz w:val="24"/>
        </w:rPr>
        <w:t>，依法维护了农民承包土地的各项权利。</w:t>
      </w:r>
    </w:p>
    <w:p w14:paraId="4593637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其二，</w:t>
      </w:r>
      <w:r>
        <w:rPr>
          <w:rFonts w:hint="eastAsia"/>
          <w:sz w:val="24"/>
        </w:rPr>
        <w:t>从农户家庭看</w:t>
      </w:r>
      <w:r>
        <w:rPr>
          <w:rFonts w:hint="eastAsia"/>
          <w:sz w:val="24"/>
          <w:lang w:eastAsia="zh-CN"/>
        </w:rPr>
        <w:t>，</w:t>
      </w:r>
      <w:r>
        <w:rPr>
          <w:rFonts w:hint="eastAsia"/>
          <w:sz w:val="24"/>
        </w:rPr>
        <w:t>以家庭为单位承包土地，不管家庭成员数量增减变化，基于家庭关系的稳定性不会出现新增成员无地现象，家庭成员之间的再分配会很好</w:t>
      </w:r>
      <w:r>
        <w:rPr>
          <w:rFonts w:hint="eastAsia"/>
          <w:sz w:val="24"/>
          <w:lang w:val="en-US" w:eastAsia="zh-CN"/>
        </w:rPr>
        <w:t>地</w:t>
      </w:r>
      <w:r>
        <w:rPr>
          <w:rFonts w:hint="eastAsia"/>
          <w:sz w:val="24"/>
        </w:rPr>
        <w:t>解决这一问题。对于那些“人多地少”的农户家庭，他们会理性地安排家庭富余劳动力从事非农就业，进而获得工资性收入。</w:t>
      </w:r>
      <w:r>
        <w:rPr>
          <w:rFonts w:hint="eastAsia"/>
          <w:sz w:val="24"/>
          <w:lang w:val="en-US" w:eastAsia="zh-CN"/>
        </w:rPr>
        <w:t>若</w:t>
      </w:r>
      <w:r>
        <w:rPr>
          <w:rFonts w:hint="eastAsia"/>
          <w:sz w:val="24"/>
        </w:rPr>
        <w:t>按照家庭成员变化频繁调整承包地，反而</w:t>
      </w:r>
      <w:r>
        <w:rPr>
          <w:rFonts w:hint="eastAsia"/>
          <w:sz w:val="24"/>
          <w:lang w:val="en-US" w:eastAsia="zh-CN"/>
        </w:rPr>
        <w:t>会</w:t>
      </w:r>
      <w:r>
        <w:rPr>
          <w:rFonts w:hint="eastAsia"/>
          <w:sz w:val="24"/>
        </w:rPr>
        <w:t>增加基层工作负担，如协调农户家庭对地块位置和大小选择，</w:t>
      </w:r>
      <w:r>
        <w:rPr>
          <w:rFonts w:hint="eastAsia"/>
          <w:sz w:val="24"/>
          <w:lang w:val="en-US" w:eastAsia="zh-CN"/>
        </w:rPr>
        <w:t>由于</w:t>
      </w:r>
      <w:r>
        <w:rPr>
          <w:rFonts w:hint="eastAsia"/>
          <w:sz w:val="24"/>
        </w:rPr>
        <w:t>在“富地”和“贫地”之间很难做到绝对公平，</w:t>
      </w:r>
      <w:r>
        <w:rPr>
          <w:rFonts w:hint="eastAsia"/>
          <w:sz w:val="24"/>
          <w:lang w:val="en-US" w:eastAsia="zh-CN"/>
        </w:rPr>
        <w:t>频繁调地容易激起</w:t>
      </w:r>
      <w:r>
        <w:rPr>
          <w:rFonts w:hint="eastAsia"/>
          <w:sz w:val="24"/>
        </w:rPr>
        <w:t>农户家庭之间的矛盾。</w:t>
      </w:r>
    </w:p>
    <w:p w14:paraId="4DA8FE7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其三，</w:t>
      </w:r>
      <w:r>
        <w:rPr>
          <w:rFonts w:hint="eastAsia"/>
          <w:sz w:val="24"/>
        </w:rPr>
        <w:t>从国家政策看</w:t>
      </w:r>
      <w:r>
        <w:rPr>
          <w:rFonts w:hint="eastAsia"/>
          <w:sz w:val="24"/>
          <w:lang w:eastAsia="zh-CN"/>
        </w:rPr>
        <w:t>，</w:t>
      </w:r>
      <w:r>
        <w:rPr>
          <w:rFonts w:hint="eastAsia"/>
          <w:sz w:val="24"/>
        </w:rPr>
        <w:t>党的十九大报告明确提出“保持土地承包关系稳定并长久不变，第二轮土地承包期到期</w:t>
      </w:r>
      <w:r>
        <w:rPr>
          <w:rFonts w:hint="eastAsia"/>
          <w:sz w:val="24"/>
          <w:lang w:val="en-US" w:eastAsia="zh-CN"/>
        </w:rPr>
        <w:t>后</w:t>
      </w:r>
      <w:r>
        <w:rPr>
          <w:rFonts w:hint="eastAsia"/>
          <w:sz w:val="24"/>
        </w:rPr>
        <w:t>再延长三十年”。这个延长是法律已经确定好的，坚持的是延续原有的承包地，而不是将承包地打乱重分，</w:t>
      </w:r>
      <w:r>
        <w:rPr>
          <w:rFonts w:hint="eastAsia"/>
          <w:sz w:val="24"/>
          <w:lang w:val="en-US" w:eastAsia="zh-CN"/>
        </w:rPr>
        <w:t>如此就能</w:t>
      </w:r>
      <w:r>
        <w:rPr>
          <w:rFonts w:hint="eastAsia"/>
          <w:sz w:val="24"/>
        </w:rPr>
        <w:t>确保绝大多数农户原有承包地继续保持稳定。对于个别群众呼吁重新分地的地区，可按照“大稳定、小调整”的原则，由农</w:t>
      </w:r>
      <w:r>
        <w:rPr>
          <w:rFonts w:hint="eastAsia"/>
          <w:sz w:val="24"/>
          <w:lang w:val="en-US" w:eastAsia="zh-CN"/>
        </w:rPr>
        <w:t>村</w:t>
      </w:r>
      <w:r>
        <w:rPr>
          <w:rFonts w:hint="eastAsia"/>
          <w:sz w:val="24"/>
        </w:rPr>
        <w:t>集体结合各地实际情况民主协商，经本集体经济组织成员的村民会议三分之二以上成员同意，并报乡（镇）政府和县级政府农业等行政主管部门批准，可在个别农户间作适当调整。</w:t>
      </w:r>
    </w:p>
    <w:p w14:paraId="1BD29A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其四，</w:t>
      </w:r>
      <w:r>
        <w:rPr>
          <w:rFonts w:hint="eastAsia"/>
          <w:sz w:val="24"/>
        </w:rPr>
        <w:t>从</w:t>
      </w:r>
      <w:r>
        <w:rPr>
          <w:rFonts w:hint="eastAsia"/>
          <w:sz w:val="24"/>
          <w:lang w:val="en-US" w:eastAsia="zh-CN"/>
        </w:rPr>
        <w:t>现行</w:t>
      </w:r>
      <w:r>
        <w:rPr>
          <w:rFonts w:hint="eastAsia"/>
          <w:sz w:val="24"/>
        </w:rPr>
        <w:t>法规看</w:t>
      </w:r>
      <w:r>
        <w:rPr>
          <w:rFonts w:hint="eastAsia"/>
          <w:sz w:val="24"/>
          <w:lang w:eastAsia="zh-CN"/>
        </w:rPr>
        <w:t>，《</w:t>
      </w:r>
      <w:r>
        <w:rPr>
          <w:rFonts w:hint="eastAsia"/>
          <w:sz w:val="24"/>
        </w:rPr>
        <w:t>中共中央</w:t>
      </w:r>
      <w:r>
        <w:rPr>
          <w:rFonts w:hint="eastAsia"/>
          <w:sz w:val="24"/>
          <w:lang w:val="en-US" w:eastAsia="zh-CN"/>
        </w:rPr>
        <w:t xml:space="preserve"> </w:t>
      </w:r>
      <w:r>
        <w:rPr>
          <w:rFonts w:hint="eastAsia"/>
          <w:sz w:val="24"/>
        </w:rPr>
        <w:t>国务院关于保持土地承包关系稳定并长久不变的意见》已经指出，为避免承包地的频繁变动，防止耕地经营规模不断细分</w:t>
      </w:r>
      <w:r>
        <w:rPr>
          <w:rFonts w:hint="eastAsia"/>
          <w:sz w:val="24"/>
          <w:lang w:eastAsia="zh-CN"/>
        </w:rPr>
        <w:t>，</w:t>
      </w:r>
      <w:r>
        <w:rPr>
          <w:rFonts w:hint="eastAsia"/>
          <w:sz w:val="24"/>
          <w:lang w:val="en-US" w:eastAsia="zh-CN"/>
        </w:rPr>
        <w:t>不宜进行大规模的分地</w:t>
      </w:r>
      <w:r>
        <w:rPr>
          <w:rFonts w:hint="eastAsia"/>
          <w:sz w:val="24"/>
        </w:rPr>
        <w:t>。进入新的承包期后，因承包方家庭人口增加、缺地少地导致生活困难的，通过多渠道促进工业化和城镇化，做好劳动力转移工作，各级政府要帮助他们</w:t>
      </w:r>
      <w:r>
        <w:rPr>
          <w:rFonts w:hint="eastAsia"/>
          <w:sz w:val="24"/>
          <w:lang w:val="en-US" w:eastAsia="zh-CN"/>
        </w:rPr>
        <w:t>增加</w:t>
      </w:r>
      <w:r>
        <w:rPr>
          <w:rFonts w:hint="eastAsia"/>
          <w:sz w:val="24"/>
        </w:rPr>
        <w:t>就业技能、提供就业服务、做好社会保障工作。这项法规的一个重要目的是稳定地权，通过土地流转等</w:t>
      </w:r>
      <w:r>
        <w:rPr>
          <w:rFonts w:hint="eastAsia"/>
          <w:sz w:val="24"/>
          <w:lang w:val="en-US" w:eastAsia="zh-CN"/>
        </w:rPr>
        <w:t>措施</w:t>
      </w:r>
      <w:r>
        <w:rPr>
          <w:rFonts w:hint="eastAsia"/>
          <w:sz w:val="24"/>
        </w:rPr>
        <w:t>实现中国规模农业和现代农业发展。</w:t>
      </w:r>
    </w:p>
    <w:p w14:paraId="72B8CC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其五，</w:t>
      </w:r>
      <w:r>
        <w:rPr>
          <w:rFonts w:hint="eastAsia"/>
          <w:sz w:val="24"/>
        </w:rPr>
        <w:t>从农村矛盾看</w:t>
      </w:r>
      <w:r>
        <w:rPr>
          <w:rFonts w:hint="eastAsia"/>
          <w:sz w:val="24"/>
          <w:lang w:eastAsia="zh-CN"/>
        </w:rPr>
        <w:t>，</w:t>
      </w:r>
      <w:r>
        <w:rPr>
          <w:rFonts w:hint="eastAsia"/>
          <w:sz w:val="24"/>
        </w:rPr>
        <w:t>当前农村社会的主要矛盾已不再是人地矛盾。土地经营和农业生产</w:t>
      </w:r>
      <w:r>
        <w:rPr>
          <w:rFonts w:hint="eastAsia"/>
          <w:sz w:val="24"/>
          <w:lang w:val="en-US" w:eastAsia="zh-CN"/>
        </w:rPr>
        <w:t>并</w:t>
      </w:r>
      <w:r>
        <w:rPr>
          <w:rFonts w:hint="eastAsia"/>
          <w:sz w:val="24"/>
        </w:rPr>
        <w:t>不再是农民的主要收入来源，以中部地区农民家庭为例，每户大约承包3-5亩地，但每亩地的年均收入不到1000元，每年下来农业收入大约在3000-5000元，沿海城市打工1-2个月的工资就够全家一年</w:t>
      </w:r>
      <w:r>
        <w:rPr>
          <w:rFonts w:hint="eastAsia"/>
          <w:sz w:val="24"/>
          <w:lang w:val="en-US" w:eastAsia="zh-CN"/>
        </w:rPr>
        <w:t>的种粮</w:t>
      </w:r>
      <w:r>
        <w:rPr>
          <w:rFonts w:hint="eastAsia"/>
          <w:sz w:val="24"/>
        </w:rPr>
        <w:t>收入，农业经营性收入的数值基本平稳</w:t>
      </w:r>
      <w:r>
        <w:rPr>
          <w:rFonts w:hint="eastAsia"/>
          <w:sz w:val="24"/>
          <w:lang w:eastAsia="zh-CN"/>
        </w:rPr>
        <w:t>，</w:t>
      </w:r>
      <w:r>
        <w:rPr>
          <w:rFonts w:hint="eastAsia"/>
          <w:sz w:val="24"/>
        </w:rPr>
        <w:t>很难大幅增长。</w:t>
      </w:r>
      <w:r>
        <w:rPr>
          <w:rFonts w:hint="eastAsia"/>
          <w:sz w:val="24"/>
          <w:lang w:val="en-US" w:eastAsia="zh-CN"/>
        </w:rPr>
        <w:t>在</w:t>
      </w:r>
      <w:r>
        <w:rPr>
          <w:rFonts w:hint="eastAsia"/>
          <w:sz w:val="24"/>
        </w:rPr>
        <w:t>这种背景下，大部分农民不再将农业生产作为家庭经济收入的主要来源，反而想方设法从事非农就业获取工资性收入。</w:t>
      </w:r>
    </w:p>
    <w:p w14:paraId="5083FC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2.</w:t>
      </w:r>
      <w:r>
        <w:rPr>
          <w:rFonts w:hint="eastAsia"/>
          <w:sz w:val="24"/>
        </w:rPr>
        <w:t>变化说：“第二轮土地承包</w:t>
      </w:r>
      <w:r>
        <w:rPr>
          <w:rFonts w:hint="eastAsia"/>
          <w:sz w:val="24"/>
          <w:lang w:val="en-US" w:eastAsia="zh-CN"/>
        </w:rPr>
        <w:t>到期后</w:t>
      </w:r>
      <w:r>
        <w:rPr>
          <w:rFonts w:hint="eastAsia"/>
          <w:sz w:val="24"/>
        </w:rPr>
        <w:t>再延长30年”要因地制宜地重新分地</w:t>
      </w:r>
    </w:p>
    <w:p w14:paraId="70CEAC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基于“公平”角度，</w:t>
      </w:r>
      <w:r>
        <w:rPr>
          <w:rFonts w:hint="eastAsia"/>
          <w:sz w:val="24"/>
          <w:lang w:eastAsia="zh-CN"/>
        </w:rPr>
        <w:t>“</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rPr>
        <w:t>需要进行一次科学精确</w:t>
      </w:r>
      <w:r>
        <w:rPr>
          <w:rFonts w:hint="eastAsia"/>
          <w:sz w:val="24"/>
          <w:lang w:val="en-US" w:eastAsia="zh-CN"/>
        </w:rPr>
        <w:t>的</w:t>
      </w:r>
      <w:r>
        <w:rPr>
          <w:rFonts w:hint="eastAsia"/>
          <w:sz w:val="24"/>
        </w:rPr>
        <w:t>重新分地，</w:t>
      </w:r>
      <w:r>
        <w:rPr>
          <w:rFonts w:hint="eastAsia"/>
          <w:sz w:val="24"/>
          <w:lang w:val="en-US" w:eastAsia="zh-CN"/>
        </w:rPr>
        <w:t>理由如下</w:t>
      </w:r>
      <w:r>
        <w:rPr>
          <w:rFonts w:hint="eastAsia"/>
          <w:sz w:val="24"/>
        </w:rPr>
        <w:t>。</w:t>
      </w:r>
    </w:p>
    <w:p w14:paraId="03130E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其一</w:t>
      </w:r>
      <w:r>
        <w:rPr>
          <w:rFonts w:hint="eastAsia"/>
          <w:sz w:val="24"/>
        </w:rPr>
        <w:t>，从宪法角度看</w:t>
      </w:r>
      <w:r>
        <w:rPr>
          <w:rFonts w:hint="eastAsia"/>
          <w:sz w:val="24"/>
          <w:lang w:eastAsia="zh-CN"/>
        </w:rPr>
        <w:t>，</w:t>
      </w:r>
      <w:r>
        <w:rPr>
          <w:rFonts w:hint="eastAsia"/>
          <w:sz w:val="24"/>
        </w:rPr>
        <w:t>《中华人民共和国宪法》规定农村土地实行集体所有制。集体所有制设立的初衷是要保障每一位农民公平享有本集体的土地，这是</w:t>
      </w:r>
      <w:r>
        <w:rPr>
          <w:rFonts w:hint="eastAsia"/>
          <w:sz w:val="24"/>
          <w:lang w:val="en-US" w:eastAsia="zh-CN"/>
        </w:rPr>
        <w:t>宪法</w:t>
      </w:r>
      <w:r>
        <w:rPr>
          <w:rFonts w:hint="eastAsia"/>
          <w:sz w:val="24"/>
        </w:rPr>
        <w:t>赋予给每位农民的权利。但是，在“家庭联产承包经营制”的推行过程中，包括第一轮</w:t>
      </w:r>
      <w:r>
        <w:rPr>
          <w:rFonts w:hint="eastAsia"/>
          <w:sz w:val="24"/>
          <w:lang w:val="en-US" w:eastAsia="zh-CN"/>
        </w:rPr>
        <w:t>15年</w:t>
      </w:r>
      <w:r>
        <w:rPr>
          <w:rFonts w:hint="eastAsia"/>
          <w:sz w:val="24"/>
        </w:rPr>
        <w:t>、第二轮</w:t>
      </w:r>
      <w:r>
        <w:rPr>
          <w:rFonts w:hint="eastAsia"/>
          <w:sz w:val="24"/>
          <w:lang w:val="en-US" w:eastAsia="zh-CN"/>
        </w:rPr>
        <w:t>30年的周期中</w:t>
      </w:r>
      <w:r>
        <w:rPr>
          <w:rFonts w:hint="eastAsia"/>
          <w:sz w:val="24"/>
        </w:rPr>
        <w:t>，中国实行的是“增人不增地、减人不减地”的“死办法”，虽然能做到起点公平，但农村人口</w:t>
      </w:r>
      <w:r>
        <w:rPr>
          <w:rFonts w:hint="eastAsia"/>
          <w:sz w:val="24"/>
          <w:lang w:eastAsia="zh-CN"/>
        </w:rPr>
        <w:t>的</w:t>
      </w:r>
      <w:r>
        <w:rPr>
          <w:rFonts w:hint="eastAsia"/>
          <w:sz w:val="24"/>
        </w:rPr>
        <w:t>动态变化导致</w:t>
      </w:r>
      <w:r>
        <w:rPr>
          <w:rFonts w:hint="eastAsia"/>
          <w:sz w:val="24"/>
          <w:lang w:eastAsia="zh-CN"/>
        </w:rPr>
        <w:t>了</w:t>
      </w:r>
      <w:r>
        <w:rPr>
          <w:rFonts w:hint="eastAsia"/>
          <w:sz w:val="24"/>
        </w:rPr>
        <w:t>集体所有制的制度机理和承包土地的政策实践之间形成了冲突</w:t>
      </w:r>
      <w:r>
        <w:rPr>
          <w:rFonts w:hint="eastAsia"/>
          <w:sz w:val="24"/>
          <w:lang w:eastAsia="zh-CN"/>
        </w:rPr>
        <w:t>，</w:t>
      </w:r>
      <w:r>
        <w:rPr>
          <w:rFonts w:hint="eastAsia"/>
          <w:sz w:val="24"/>
        </w:rPr>
        <w:t>且随着时间积累，这种矛盾会不利于推动全体农民共同富裕。</w:t>
      </w:r>
    </w:p>
    <w:p w14:paraId="104810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其二</w:t>
      </w:r>
      <w:r>
        <w:rPr>
          <w:rFonts w:hint="eastAsia"/>
          <w:sz w:val="24"/>
        </w:rPr>
        <w:t>，从历史角度看</w:t>
      </w:r>
      <w:r>
        <w:rPr>
          <w:rFonts w:hint="eastAsia"/>
          <w:sz w:val="24"/>
          <w:lang w:eastAsia="zh-CN"/>
        </w:rPr>
        <w:t>，</w:t>
      </w:r>
      <w:r>
        <w:rPr>
          <w:rFonts w:hint="eastAsia"/>
          <w:sz w:val="24"/>
        </w:rPr>
        <w:t>一些地区在第一轮土地承包到期后，没有重新分地</w:t>
      </w:r>
      <w:r>
        <w:rPr>
          <w:rFonts w:hint="eastAsia"/>
          <w:sz w:val="24"/>
          <w:lang w:eastAsia="zh-CN"/>
        </w:rPr>
        <w:t>，</w:t>
      </w:r>
      <w:r>
        <w:rPr>
          <w:rFonts w:hint="eastAsia"/>
          <w:sz w:val="24"/>
        </w:rPr>
        <w:t>而且在第二轮承包的30年中，已经有很多人离开了集体经济组织，例如，自然死亡、出国、举家进城、</w:t>
      </w:r>
      <w:r>
        <w:rPr>
          <w:rFonts w:hint="eastAsia"/>
          <w:sz w:val="24"/>
          <w:lang w:val="en-US" w:eastAsia="zh-CN"/>
        </w:rPr>
        <w:t>售卖</w:t>
      </w:r>
      <w:r>
        <w:rPr>
          <w:rFonts w:hint="eastAsia"/>
          <w:sz w:val="24"/>
        </w:rPr>
        <w:t>承包地</w:t>
      </w:r>
      <w:r>
        <w:rPr>
          <w:rFonts w:hint="eastAsia"/>
          <w:sz w:val="24"/>
          <w:lang w:eastAsia="zh-CN"/>
        </w:rPr>
        <w:t>（</w:t>
      </w:r>
      <w:r>
        <w:rPr>
          <w:rFonts w:hint="eastAsia"/>
          <w:sz w:val="24"/>
          <w:lang w:val="en-US" w:eastAsia="zh-CN"/>
        </w:rPr>
        <w:t>不正规合约</w:t>
      </w:r>
      <w:r>
        <w:rPr>
          <w:rFonts w:hint="eastAsia"/>
          <w:sz w:val="24"/>
          <w:lang w:eastAsia="zh-CN"/>
        </w:rPr>
        <w:t>）</w:t>
      </w:r>
      <w:r>
        <w:rPr>
          <w:rFonts w:hint="eastAsia"/>
          <w:sz w:val="24"/>
        </w:rPr>
        <w:t>、易居</w:t>
      </w:r>
      <w:r>
        <w:rPr>
          <w:rFonts w:hint="eastAsia"/>
          <w:sz w:val="24"/>
          <w:lang w:val="en-US" w:eastAsia="zh-CN"/>
        </w:rPr>
        <w:t>其他</w:t>
      </w:r>
      <w:r>
        <w:rPr>
          <w:rFonts w:hint="eastAsia"/>
          <w:sz w:val="24"/>
        </w:rPr>
        <w:t>村集体等</w:t>
      </w:r>
      <w:r>
        <w:rPr>
          <w:rFonts w:hint="eastAsia"/>
          <w:sz w:val="24"/>
          <w:lang w:eastAsia="zh-CN"/>
        </w:rPr>
        <w:t>。</w:t>
      </w:r>
      <w:r>
        <w:rPr>
          <w:rFonts w:hint="eastAsia"/>
          <w:sz w:val="24"/>
        </w:rPr>
        <w:t>这类人群已经主动放弃了农村集体经济组织的成员权，承包地应该及时收</w:t>
      </w:r>
      <w:r>
        <w:rPr>
          <w:rFonts w:hint="eastAsia"/>
          <w:sz w:val="24"/>
          <w:lang w:val="en-US" w:eastAsia="zh-CN"/>
        </w:rPr>
        <w:t>归</w:t>
      </w:r>
      <w:r>
        <w:rPr>
          <w:rFonts w:hint="eastAsia"/>
          <w:sz w:val="24"/>
        </w:rPr>
        <w:t>集体，由原集体经济组织来统一安排。同时，集体经济组织在30年中又新增了很多成员，</w:t>
      </w:r>
      <w:r>
        <w:rPr>
          <w:rFonts w:hint="eastAsia"/>
          <w:sz w:val="24"/>
          <w:lang w:val="en-US" w:eastAsia="zh-CN"/>
        </w:rPr>
        <w:t>如</w:t>
      </w:r>
      <w:r>
        <w:rPr>
          <w:rFonts w:hint="eastAsia"/>
          <w:sz w:val="24"/>
        </w:rPr>
        <w:t>结婚生育的新增人口、二轮承包没有分到承包地的待分地人口等</w:t>
      </w:r>
      <w:r>
        <w:rPr>
          <w:rFonts w:hint="eastAsia"/>
          <w:sz w:val="24"/>
          <w:lang w:eastAsia="zh-CN"/>
        </w:rPr>
        <w:t>。</w:t>
      </w:r>
      <w:r>
        <w:rPr>
          <w:rFonts w:hint="eastAsia"/>
          <w:sz w:val="24"/>
        </w:rPr>
        <w:t>按照国家法律规定</w:t>
      </w:r>
      <w:r>
        <w:rPr>
          <w:rFonts w:hint="eastAsia"/>
          <w:sz w:val="24"/>
          <w:lang w:eastAsia="zh-CN"/>
        </w:rPr>
        <w:t>，</w:t>
      </w:r>
      <w:r>
        <w:rPr>
          <w:rFonts w:hint="eastAsia"/>
          <w:sz w:val="24"/>
        </w:rPr>
        <w:t>他们</w:t>
      </w:r>
      <w:r>
        <w:rPr>
          <w:rFonts w:hint="eastAsia"/>
          <w:sz w:val="24"/>
          <w:lang w:val="en-US" w:eastAsia="zh-CN"/>
        </w:rPr>
        <w:t>也</w:t>
      </w:r>
      <w:r>
        <w:rPr>
          <w:rFonts w:hint="eastAsia"/>
          <w:sz w:val="24"/>
        </w:rPr>
        <w:t>享有集体</w:t>
      </w:r>
      <w:r>
        <w:rPr>
          <w:rFonts w:hint="eastAsia"/>
          <w:sz w:val="24"/>
          <w:lang w:val="en-US" w:eastAsia="zh-CN"/>
        </w:rPr>
        <w:t>经济</w:t>
      </w:r>
      <w:r>
        <w:rPr>
          <w:rFonts w:hint="eastAsia"/>
          <w:sz w:val="24"/>
        </w:rPr>
        <w:t>组织的成员权，理应</w:t>
      </w:r>
      <w:r>
        <w:rPr>
          <w:rFonts w:hint="eastAsia"/>
          <w:sz w:val="24"/>
          <w:lang w:val="en-US" w:eastAsia="zh-CN"/>
        </w:rPr>
        <w:t>通过</w:t>
      </w:r>
      <w:r>
        <w:rPr>
          <w:rFonts w:hint="eastAsia"/>
          <w:sz w:val="24"/>
        </w:rPr>
        <w:t>重新分配获得属于自己的那一份承包地。综上，以上情况导致现在农村存在“有人无地”和“无人有地”两个极端现象</w:t>
      </w:r>
      <w:r>
        <w:rPr>
          <w:rFonts w:hint="eastAsia"/>
          <w:sz w:val="24"/>
          <w:lang w:eastAsia="zh-CN"/>
        </w:rPr>
        <w:t>，</w:t>
      </w:r>
      <w:r>
        <w:rPr>
          <w:rFonts w:hint="eastAsia"/>
          <w:sz w:val="24"/>
          <w:lang w:val="en-US" w:eastAsia="zh-CN"/>
        </w:rPr>
        <w:t>尽管比例不高，但随着再延长30年的时间积累，这个极化现象会在不断加重</w:t>
      </w:r>
      <w:r>
        <w:rPr>
          <w:rFonts w:hint="eastAsia"/>
          <w:sz w:val="24"/>
        </w:rPr>
        <w:t>，亟待第三轮土地承包时进行破解。</w:t>
      </w:r>
    </w:p>
    <w:p w14:paraId="352B09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其三</w:t>
      </w:r>
      <w:r>
        <w:rPr>
          <w:rFonts w:hint="eastAsia"/>
          <w:sz w:val="24"/>
        </w:rPr>
        <w:t>，从理论角度看</w:t>
      </w:r>
      <w:r>
        <w:rPr>
          <w:rFonts w:hint="eastAsia"/>
          <w:sz w:val="24"/>
          <w:lang w:eastAsia="zh-CN"/>
        </w:rPr>
        <w:t>，“第二轮土地承包</w:t>
      </w:r>
      <w:r>
        <w:rPr>
          <w:rFonts w:hint="eastAsia"/>
          <w:sz w:val="24"/>
          <w:lang w:val="en-US" w:eastAsia="zh-CN"/>
        </w:rPr>
        <w:t>到期后</w:t>
      </w:r>
      <w:r>
        <w:rPr>
          <w:rFonts w:hint="eastAsia"/>
          <w:sz w:val="24"/>
          <w:lang w:eastAsia="zh-CN"/>
        </w:rPr>
        <w:t>再延长30年”</w:t>
      </w:r>
      <w:r>
        <w:rPr>
          <w:rFonts w:hint="eastAsia"/>
          <w:sz w:val="24"/>
        </w:rPr>
        <w:t>是对过去“生不增、死不减”政策的延续，这从情理、法理上都是说不过去。从第一轮15年到第二轮30年</w:t>
      </w:r>
      <w:r>
        <w:rPr>
          <w:rFonts w:hint="eastAsia"/>
          <w:sz w:val="24"/>
          <w:lang w:val="en-US" w:eastAsia="zh-CN"/>
        </w:rPr>
        <w:t>的土地承包期限</w:t>
      </w:r>
      <w:r>
        <w:rPr>
          <w:rFonts w:hint="eastAsia"/>
          <w:sz w:val="24"/>
        </w:rPr>
        <w:t>，整整45年的时间，农村集体经济组织的成员结构在中国城市化和城乡人口流动的背景下，已经发生了巨大变化。如果再简单继续改革开放之初的制度规则，就不能很好解决当下存在的问题。这就需要</w:t>
      </w:r>
      <w:r>
        <w:rPr>
          <w:rFonts w:hint="eastAsia"/>
          <w:sz w:val="24"/>
          <w:lang w:val="en-US" w:eastAsia="zh-CN"/>
        </w:rPr>
        <w:t>国家</w:t>
      </w:r>
      <w:r>
        <w:rPr>
          <w:rFonts w:hint="eastAsia"/>
          <w:sz w:val="24"/>
        </w:rPr>
        <w:t>政策制定者攻坚克难，再创一个“公平”与“效率”兼顾的</w:t>
      </w:r>
      <w:r>
        <w:rPr>
          <w:rFonts w:hint="eastAsia"/>
          <w:sz w:val="24"/>
          <w:lang w:eastAsia="zh-CN"/>
        </w:rPr>
        <w:t>、</w:t>
      </w:r>
      <w:r>
        <w:rPr>
          <w:rFonts w:hint="eastAsia"/>
          <w:sz w:val="24"/>
          <w:lang w:val="en-US" w:eastAsia="zh-CN"/>
        </w:rPr>
        <w:t>而非简单延续的到期后</w:t>
      </w:r>
      <w:r>
        <w:rPr>
          <w:rFonts w:hint="eastAsia"/>
          <w:sz w:val="24"/>
        </w:rPr>
        <w:t>再延长30年的</w:t>
      </w:r>
      <w:r>
        <w:rPr>
          <w:rFonts w:hint="eastAsia"/>
          <w:sz w:val="24"/>
          <w:lang w:eastAsia="zh-CN"/>
        </w:rPr>
        <w:t>“</w:t>
      </w:r>
      <w:r>
        <w:rPr>
          <w:rFonts w:hint="eastAsia"/>
          <w:sz w:val="24"/>
          <w:lang w:val="en-US" w:eastAsia="zh-CN"/>
        </w:rPr>
        <w:t>老</w:t>
      </w:r>
      <w:r>
        <w:rPr>
          <w:rFonts w:hint="eastAsia"/>
          <w:sz w:val="24"/>
        </w:rPr>
        <w:t>政策</w:t>
      </w:r>
      <w:r>
        <w:rPr>
          <w:rFonts w:hint="eastAsia"/>
          <w:sz w:val="24"/>
          <w:lang w:eastAsia="zh-CN"/>
        </w:rPr>
        <w:t>”</w:t>
      </w:r>
      <w:r>
        <w:rPr>
          <w:rFonts w:hint="eastAsia"/>
          <w:sz w:val="24"/>
        </w:rPr>
        <w:t>。</w:t>
      </w:r>
    </w:p>
    <w:p w14:paraId="167D532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其四</w:t>
      </w:r>
      <w:r>
        <w:rPr>
          <w:rFonts w:hint="eastAsia"/>
          <w:sz w:val="24"/>
        </w:rPr>
        <w:t>，从</w:t>
      </w:r>
      <w:r>
        <w:rPr>
          <w:rFonts w:hint="eastAsia"/>
          <w:sz w:val="24"/>
          <w:lang w:val="en-US" w:eastAsia="zh-CN"/>
        </w:rPr>
        <w:t>实践</w:t>
      </w:r>
      <w:r>
        <w:rPr>
          <w:rFonts w:hint="eastAsia"/>
          <w:sz w:val="24"/>
        </w:rPr>
        <w:t>角度看</w:t>
      </w:r>
      <w:r>
        <w:rPr>
          <w:rFonts w:hint="eastAsia"/>
          <w:sz w:val="24"/>
          <w:lang w:eastAsia="zh-CN"/>
        </w:rPr>
        <w:t>，</w:t>
      </w:r>
      <w:r>
        <w:rPr>
          <w:rFonts w:hint="eastAsia"/>
          <w:sz w:val="24"/>
        </w:rPr>
        <w:t>承包地已成为农民的一项财产性权利，且当前的这种权利是单向的</w:t>
      </w:r>
      <w:r>
        <w:rPr>
          <w:rFonts w:hint="eastAsia"/>
          <w:sz w:val="24"/>
          <w:lang w:eastAsia="zh-Hans"/>
        </w:rPr>
        <w:t>，</w:t>
      </w:r>
      <w:r>
        <w:rPr>
          <w:rFonts w:hint="eastAsia"/>
          <w:sz w:val="24"/>
        </w:rPr>
        <w:t>没有义务性对价支出。在第一轮和第二轮部分时间的土地承包期限中，农民承包集体组织分配的土地是需要支付对价的，即承担集体组织成员</w:t>
      </w:r>
      <w:r>
        <w:rPr>
          <w:rFonts w:hint="eastAsia"/>
          <w:sz w:val="24"/>
          <w:lang w:eastAsia="zh-Hans"/>
        </w:rPr>
        <w:t>的一定</w:t>
      </w:r>
      <w:r>
        <w:rPr>
          <w:rFonts w:hint="eastAsia"/>
          <w:sz w:val="24"/>
        </w:rPr>
        <w:t>义务，如每年需要交纳农业税。自从2006年始，中国取消了延续2600多年的皇粮国税后，土地成为农民的单向权利资产。面对这个“诱人的资产”，理性</w:t>
      </w:r>
      <w:r>
        <w:rPr>
          <w:rFonts w:hint="eastAsia"/>
          <w:sz w:val="24"/>
          <w:lang w:val="en-US" w:eastAsia="zh-CN"/>
        </w:rPr>
        <w:t>的</w:t>
      </w:r>
      <w:r>
        <w:rPr>
          <w:rFonts w:hint="eastAsia"/>
          <w:sz w:val="24"/>
        </w:rPr>
        <w:t>农民家庭至少可以做出以下三种选择：一是尽可能多地获得承包土地，</w:t>
      </w:r>
      <w:r>
        <w:rPr>
          <w:rFonts w:hint="eastAsia"/>
          <w:sz w:val="24"/>
          <w:lang w:val="en-US" w:eastAsia="zh-CN"/>
        </w:rPr>
        <w:t>因为这项政策显现出“</w:t>
      </w:r>
      <w:r>
        <w:rPr>
          <w:rFonts w:hint="eastAsia"/>
          <w:sz w:val="24"/>
        </w:rPr>
        <w:t>30年</w:t>
      </w:r>
      <w:r>
        <w:rPr>
          <w:rFonts w:hint="eastAsia"/>
          <w:sz w:val="24"/>
          <w:lang w:val="en-US" w:eastAsia="zh-CN"/>
        </w:rPr>
        <w:t>不会变”</w:t>
      </w:r>
      <w:r>
        <w:rPr>
          <w:rFonts w:hint="eastAsia"/>
          <w:sz w:val="24"/>
        </w:rPr>
        <w:t>甚至</w:t>
      </w:r>
      <w:r>
        <w:rPr>
          <w:rFonts w:hint="eastAsia"/>
          <w:sz w:val="24"/>
          <w:lang w:eastAsia="zh-CN"/>
        </w:rPr>
        <w:t>“</w:t>
      </w:r>
      <w:r>
        <w:rPr>
          <w:rFonts w:hint="eastAsia"/>
          <w:sz w:val="24"/>
        </w:rPr>
        <w:t>以后更久都不会变化</w:t>
      </w:r>
      <w:r>
        <w:rPr>
          <w:rFonts w:hint="eastAsia"/>
          <w:sz w:val="24"/>
          <w:lang w:eastAsia="zh-CN"/>
        </w:rPr>
        <w:t>”</w:t>
      </w:r>
      <w:r>
        <w:rPr>
          <w:rFonts w:hint="eastAsia"/>
          <w:sz w:val="24"/>
        </w:rPr>
        <w:t>，这就意味着自己家族世代可享受这种“单向权利”；二是有了这种类似“私有”的财产权利后</w:t>
      </w:r>
      <w:r>
        <w:rPr>
          <w:rFonts w:hint="eastAsia"/>
          <w:sz w:val="24"/>
          <w:lang w:eastAsia="zh-CN"/>
        </w:rPr>
        <w:t>（</w:t>
      </w:r>
      <w:r>
        <w:rPr>
          <w:rFonts w:hint="eastAsia"/>
          <w:sz w:val="24"/>
          <w:lang w:val="en-US" w:eastAsia="zh-CN"/>
        </w:rPr>
        <w:t>超出法律规定最长租赁期限20年</w:t>
      </w:r>
      <w:r>
        <w:rPr>
          <w:rFonts w:hint="eastAsia"/>
          <w:sz w:val="24"/>
          <w:lang w:eastAsia="zh-CN"/>
        </w:rPr>
        <w:t>）</w:t>
      </w:r>
      <w:r>
        <w:rPr>
          <w:rFonts w:hint="eastAsia"/>
          <w:sz w:val="24"/>
        </w:rPr>
        <w:t>，农民可以自主支配这项财产，如想种地自己就能种地，不想种地就把地流转给别人，获得土地流转的租金</w:t>
      </w:r>
      <w:r>
        <w:rPr>
          <w:rFonts w:hint="eastAsia"/>
          <w:sz w:val="24"/>
          <w:lang w:eastAsia="zh-CN"/>
        </w:rPr>
        <w:t>；</w:t>
      </w:r>
      <w:r>
        <w:rPr>
          <w:rFonts w:hint="eastAsia"/>
          <w:sz w:val="24"/>
        </w:rPr>
        <w:t>三是这种制度惯性一旦形成，将来</w:t>
      </w:r>
      <w:r>
        <w:rPr>
          <w:rFonts w:hint="eastAsia"/>
          <w:sz w:val="24"/>
          <w:lang w:val="en-US" w:eastAsia="zh-CN"/>
        </w:rPr>
        <w:t>就</w:t>
      </w:r>
      <w:r>
        <w:rPr>
          <w:rFonts w:hint="eastAsia"/>
          <w:sz w:val="24"/>
        </w:rPr>
        <w:t>很难打破，既然农户承包的土地长久地成为一项单向的不需要支付对价的财产性权利，那么这种权利</w:t>
      </w:r>
      <w:r>
        <w:rPr>
          <w:rFonts w:hint="eastAsia"/>
          <w:sz w:val="24"/>
          <w:lang w:val="en-US" w:eastAsia="zh-CN"/>
        </w:rPr>
        <w:t>在</w:t>
      </w:r>
      <w:r>
        <w:rPr>
          <w:rFonts w:hint="eastAsia"/>
          <w:sz w:val="24"/>
        </w:rPr>
        <w:t>实践中完全是可以交易的，极有可能在农村土地市场上形成一种私下“买卖”承包土地的不良风气</w:t>
      </w:r>
      <w:r>
        <w:rPr>
          <w:rFonts w:hint="eastAsia"/>
          <w:sz w:val="24"/>
          <w:lang w:eastAsia="zh-CN"/>
        </w:rPr>
        <w:t>，</w:t>
      </w:r>
      <w:r>
        <w:rPr>
          <w:rFonts w:hint="eastAsia"/>
          <w:sz w:val="24"/>
          <w:lang w:val="en-US" w:eastAsia="zh-CN"/>
        </w:rPr>
        <w:t>届时农用地的“小产权”也会随之出现</w:t>
      </w:r>
      <w:r>
        <w:rPr>
          <w:rFonts w:hint="eastAsia"/>
          <w:sz w:val="24"/>
        </w:rPr>
        <w:t>。</w:t>
      </w:r>
    </w:p>
    <w:p w14:paraId="76B3D91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综上，</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lang w:val="en-US" w:eastAsia="zh-CN"/>
        </w:rPr>
        <w:t>不管是重新分地、还是不重新分地，我们都应兼顾两种观点的“利”与“弊”，从“效率”和“公平”两大视角审视</w:t>
      </w:r>
      <w:r>
        <w:rPr>
          <w:rFonts w:hint="eastAsia"/>
          <w:sz w:val="24"/>
          <w:lang w:eastAsia="zh-CN"/>
        </w:rPr>
        <w:t>“</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lang w:val="en-US" w:eastAsia="zh-CN"/>
        </w:rPr>
        <w:t>需要面对的多重问题</w:t>
      </w:r>
      <w:r>
        <w:rPr>
          <w:rFonts w:hint="eastAsia"/>
          <w:sz w:val="24"/>
          <w:lang w:eastAsia="zh-CN"/>
        </w:rPr>
        <w:t>。</w:t>
      </w:r>
      <w:r>
        <w:rPr>
          <w:rFonts w:hint="eastAsia"/>
          <w:sz w:val="24"/>
          <w:lang w:val="en-US" w:eastAsia="zh-CN"/>
        </w:rPr>
        <w:t>同时，</w:t>
      </w:r>
      <w:r>
        <w:rPr>
          <w:rFonts w:hint="eastAsia"/>
          <w:sz w:val="24"/>
        </w:rPr>
        <w:t>我们当前</w:t>
      </w:r>
      <w:r>
        <w:rPr>
          <w:rFonts w:hint="eastAsia"/>
          <w:sz w:val="24"/>
          <w:lang w:val="en-US" w:eastAsia="zh-CN"/>
        </w:rPr>
        <w:t>还要</w:t>
      </w:r>
      <w:r>
        <w:rPr>
          <w:rFonts w:hint="eastAsia"/>
          <w:sz w:val="24"/>
        </w:rPr>
        <w:t>在</w:t>
      </w:r>
      <w:r>
        <w:rPr>
          <w:rFonts w:hint="eastAsia"/>
          <w:sz w:val="24"/>
          <w:lang w:val="en-US" w:eastAsia="zh-CN"/>
        </w:rPr>
        <w:t>落实</w:t>
      </w:r>
      <w:r>
        <w:rPr>
          <w:rFonts w:hint="eastAsia"/>
          <w:sz w:val="24"/>
        </w:rPr>
        <w:t>第三轮土地承包政策时应</w:t>
      </w:r>
      <w:r>
        <w:rPr>
          <w:rFonts w:hint="eastAsia"/>
          <w:sz w:val="24"/>
          <w:lang w:val="en-US" w:eastAsia="zh-CN"/>
        </w:rPr>
        <w:t>提前做好多重准备工作</w:t>
      </w:r>
      <w:r>
        <w:rPr>
          <w:rFonts w:hint="eastAsia"/>
          <w:sz w:val="24"/>
        </w:rPr>
        <w:t>，</w:t>
      </w:r>
      <w:r>
        <w:rPr>
          <w:rFonts w:hint="eastAsia"/>
          <w:sz w:val="24"/>
          <w:lang w:val="en-US" w:eastAsia="zh-CN"/>
        </w:rPr>
        <w:t>对尚未实施制定的政策进行各种风险测试和模拟演练</w:t>
      </w:r>
      <w:r>
        <w:rPr>
          <w:rFonts w:hint="eastAsia"/>
          <w:sz w:val="24"/>
        </w:rPr>
        <w:t>，确保</w:t>
      </w:r>
      <w:r>
        <w:rPr>
          <w:rFonts w:hint="eastAsia"/>
          <w:sz w:val="24"/>
          <w:lang w:val="en-US" w:eastAsia="zh-CN"/>
        </w:rPr>
        <w:t>2027年</w:t>
      </w:r>
      <w:r>
        <w:rPr>
          <w:rFonts w:hint="eastAsia"/>
          <w:sz w:val="24"/>
        </w:rPr>
        <w:t>政策推出沿着</w:t>
      </w:r>
      <w:r>
        <w:rPr>
          <w:rFonts w:hint="eastAsia"/>
          <w:sz w:val="24"/>
          <w:lang w:val="en-US" w:eastAsia="zh-CN"/>
        </w:rPr>
        <w:t>全体农民</w:t>
      </w:r>
      <w:r>
        <w:rPr>
          <w:rFonts w:hint="eastAsia"/>
          <w:sz w:val="24"/>
        </w:rPr>
        <w:t>“共同富裕”的社会主义方向发展。</w:t>
      </w:r>
    </w:p>
    <w:p w14:paraId="30ECF6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p>
    <w:p w14:paraId="2669AE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三</w:t>
      </w:r>
      <w:r>
        <w:rPr>
          <w:rFonts w:hint="eastAsia"/>
          <w:b/>
          <w:bCs/>
          <w:sz w:val="24"/>
        </w:rPr>
        <w:t>、“第二轮土地承包</w:t>
      </w:r>
      <w:r>
        <w:rPr>
          <w:rFonts w:hint="eastAsia"/>
          <w:b/>
          <w:bCs/>
          <w:sz w:val="24"/>
          <w:lang w:val="en-US" w:eastAsia="zh-CN"/>
        </w:rPr>
        <w:t>到期后</w:t>
      </w:r>
      <w:r>
        <w:rPr>
          <w:rFonts w:hint="eastAsia"/>
          <w:b/>
          <w:bCs/>
          <w:sz w:val="24"/>
        </w:rPr>
        <w:t>再延长30年”</w:t>
      </w:r>
      <w:r>
        <w:rPr>
          <w:rFonts w:hint="eastAsia"/>
          <w:b/>
          <w:bCs/>
          <w:sz w:val="24"/>
          <w:lang w:val="en-US" w:eastAsia="zh-CN"/>
        </w:rPr>
        <w:t>需要关注的几个问题</w:t>
      </w:r>
    </w:p>
    <w:p w14:paraId="703DBC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“第二轮土地承包</w:t>
      </w:r>
      <w:r>
        <w:rPr>
          <w:rFonts w:hint="eastAsia"/>
          <w:sz w:val="24"/>
          <w:lang w:val="en-US" w:eastAsia="zh-CN"/>
        </w:rPr>
        <w:t>到期后</w:t>
      </w:r>
      <w:r>
        <w:rPr>
          <w:rFonts w:hint="eastAsia"/>
          <w:sz w:val="24"/>
        </w:rPr>
        <w:t>再延长30年”将是我国2027年</w:t>
      </w:r>
      <w:r>
        <w:rPr>
          <w:rFonts w:hint="eastAsia"/>
          <w:sz w:val="24"/>
          <w:lang w:val="en-US" w:eastAsia="zh-CN"/>
        </w:rPr>
        <w:t>前后</w:t>
      </w:r>
      <w:r>
        <w:rPr>
          <w:rFonts w:hint="eastAsia"/>
          <w:sz w:val="24"/>
        </w:rPr>
        <w:t>推出的一项既定</w:t>
      </w:r>
      <w:r>
        <w:rPr>
          <w:rFonts w:hint="eastAsia"/>
          <w:sz w:val="24"/>
          <w:lang w:val="en-US" w:eastAsia="zh-CN"/>
        </w:rPr>
        <w:t>国策</w:t>
      </w:r>
      <w:r>
        <w:rPr>
          <w:rFonts w:hint="eastAsia"/>
          <w:sz w:val="24"/>
        </w:rPr>
        <w:t>，</w:t>
      </w:r>
      <w:r>
        <w:rPr>
          <w:rFonts w:hint="eastAsia"/>
          <w:sz w:val="24"/>
          <w:lang w:val="en-US" w:eastAsia="zh-CN"/>
        </w:rPr>
        <w:t>不容质疑。</w:t>
      </w:r>
      <w:r>
        <w:rPr>
          <w:rFonts w:hint="eastAsia"/>
          <w:sz w:val="24"/>
          <w:lang w:eastAsia="zh-CN"/>
        </w:rPr>
        <w:t>每一次理论政策的重要调整都是围绕解决当时农业农村及国民经济发展面临的突出问题和</w:t>
      </w:r>
      <w:r>
        <w:rPr>
          <w:rFonts w:hint="eastAsia"/>
          <w:sz w:val="24"/>
          <w:lang w:val="en-US" w:eastAsia="zh-CN"/>
        </w:rPr>
        <w:t>主要</w:t>
      </w:r>
      <w:r>
        <w:rPr>
          <w:rFonts w:hint="eastAsia"/>
          <w:sz w:val="24"/>
          <w:lang w:eastAsia="zh-CN"/>
        </w:rPr>
        <w:t>矛盾而展开的, 也是理论政策服务于社会实践的充分体现。</w:t>
      </w:r>
      <w:r>
        <w:rPr>
          <w:rStyle w:val="18"/>
          <w:rFonts w:hint="eastAsia" w:ascii="宋体" w:hAnsi="宋体" w:eastAsia="宋体" w:cs="宋体"/>
          <w:sz w:val="24"/>
          <w:szCs w:val="21"/>
          <w:lang w:eastAsia="zh-CN"/>
        </w:rPr>
        <w:t>[</w:t>
      </w:r>
      <w:r>
        <w:rPr>
          <w:rStyle w:val="20"/>
          <w:rFonts w:hint="eastAsia" w:ascii="宋体" w:hAnsi="宋体" w:eastAsia="宋体" w:cs="宋体"/>
          <w:sz w:val="24"/>
          <w:szCs w:val="21"/>
          <w:lang w:eastAsia="zh-CN"/>
        </w:rPr>
        <w:footnoteReference w:id="503"/>
      </w:r>
      <w:r>
        <w:rPr>
          <w:rStyle w:val="18"/>
          <w:rFonts w:hint="eastAsia" w:ascii="宋体" w:hAnsi="宋体" w:eastAsia="宋体" w:cs="宋体"/>
          <w:sz w:val="24"/>
          <w:szCs w:val="21"/>
          <w:lang w:eastAsia="zh-CN"/>
        </w:rPr>
        <w:t>]</w:t>
      </w:r>
      <w:r>
        <w:rPr>
          <w:rFonts w:hint="eastAsia"/>
          <w:sz w:val="24"/>
          <w:lang w:val="en-US" w:eastAsia="zh-CN"/>
        </w:rPr>
        <w:t>同时，理论还要走在实践的前面，未来</w:t>
      </w:r>
      <w:r>
        <w:rPr>
          <w:rFonts w:hint="eastAsia"/>
          <w:sz w:val="24"/>
        </w:rPr>
        <w:t>第二轮土地承包</w:t>
      </w:r>
      <w:r>
        <w:rPr>
          <w:rFonts w:hint="eastAsia"/>
          <w:sz w:val="24"/>
          <w:lang w:val="en-US" w:eastAsia="zh-CN"/>
        </w:rPr>
        <w:t>到期后</w:t>
      </w:r>
      <w:r>
        <w:rPr>
          <w:rFonts w:hint="eastAsia"/>
          <w:sz w:val="24"/>
        </w:rPr>
        <w:t>如何延长</w:t>
      </w:r>
      <w:r>
        <w:rPr>
          <w:rFonts w:hint="eastAsia"/>
          <w:sz w:val="24"/>
          <w:lang w:eastAsia="zh-CN"/>
        </w:rPr>
        <w:t>、</w:t>
      </w:r>
      <w:r>
        <w:rPr>
          <w:rFonts w:hint="eastAsia"/>
          <w:sz w:val="24"/>
        </w:rPr>
        <w:t>是否重新分地、如何保障无地少地农民家庭利益</w:t>
      </w:r>
      <w:r>
        <w:rPr>
          <w:rFonts w:hint="eastAsia"/>
          <w:sz w:val="24"/>
          <w:lang w:val="en-US" w:eastAsia="zh-CN"/>
        </w:rPr>
        <w:t>等</w:t>
      </w:r>
      <w:r>
        <w:rPr>
          <w:rFonts w:hint="eastAsia"/>
          <w:sz w:val="24"/>
        </w:rPr>
        <w:t>，势必成为近</w:t>
      </w:r>
      <w:r>
        <w:rPr>
          <w:rFonts w:hint="eastAsia"/>
          <w:sz w:val="24"/>
          <w:lang w:val="en-US" w:eastAsia="zh-CN"/>
        </w:rPr>
        <w:t>5年内</w:t>
      </w:r>
      <w:r>
        <w:rPr>
          <w:rFonts w:hint="eastAsia"/>
          <w:sz w:val="24"/>
        </w:rPr>
        <w:t>理论界和政策制定者的重点关注问题。基于此，本文</w:t>
      </w:r>
      <w:r>
        <w:rPr>
          <w:rFonts w:hint="eastAsia"/>
          <w:sz w:val="24"/>
          <w:lang w:val="en-US" w:eastAsia="zh-CN"/>
        </w:rPr>
        <w:t>从理论研究的视角出发，</w:t>
      </w:r>
      <w:r>
        <w:rPr>
          <w:rFonts w:hint="eastAsia"/>
          <w:sz w:val="24"/>
        </w:rPr>
        <w:t>就科学探索“</w:t>
      </w:r>
      <w:r>
        <w:rPr>
          <w:rFonts w:hint="eastAsia"/>
          <w:sz w:val="24"/>
          <w:lang w:eastAsia="zh-CN"/>
        </w:rPr>
        <w:t>第二轮土地承包</w:t>
      </w:r>
      <w:r>
        <w:rPr>
          <w:rFonts w:hint="eastAsia"/>
          <w:sz w:val="24"/>
          <w:lang w:val="en-US" w:eastAsia="zh-CN"/>
        </w:rPr>
        <w:t>到期后</w:t>
      </w:r>
      <w:r>
        <w:rPr>
          <w:rFonts w:hint="eastAsia"/>
          <w:sz w:val="24"/>
          <w:lang w:eastAsia="zh-CN"/>
        </w:rPr>
        <w:t>再延长30年</w:t>
      </w:r>
      <w:r>
        <w:rPr>
          <w:rFonts w:hint="eastAsia"/>
          <w:sz w:val="24"/>
        </w:rPr>
        <w:t>”的最优决策，分别从“四个层面”提出</w:t>
      </w:r>
      <w:r>
        <w:rPr>
          <w:rFonts w:hint="eastAsia"/>
          <w:sz w:val="24"/>
          <w:lang w:val="en-US" w:eastAsia="zh-CN"/>
        </w:rPr>
        <w:t>相应的思考</w:t>
      </w:r>
      <w:r>
        <w:rPr>
          <w:rFonts w:hint="eastAsia"/>
          <w:sz w:val="24"/>
        </w:rPr>
        <w:t>。</w:t>
      </w:r>
    </w:p>
    <w:p w14:paraId="1DE869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1.</w:t>
      </w:r>
      <w:r>
        <w:rPr>
          <w:rFonts w:hint="eastAsia"/>
          <w:sz w:val="24"/>
        </w:rPr>
        <w:t>公平层面：妥善处理“生不增死不减”的制度缺憾</w:t>
      </w:r>
    </w:p>
    <w:p w14:paraId="00D52F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家庭联产承包责任制是集体所有制下的一种制度创新，其</w:t>
      </w:r>
      <w:r>
        <w:rPr>
          <w:rFonts w:hint="eastAsia"/>
          <w:sz w:val="24"/>
        </w:rPr>
        <w:t>将农村集体土地所有权和承包经营权实行“两权分离”，激发了农民的生产积极性，提高了农村的经济效率。但是，在第一轮15年和第二轮30年</w:t>
      </w:r>
      <w:r>
        <w:rPr>
          <w:rFonts w:hint="eastAsia"/>
          <w:sz w:val="24"/>
          <w:lang w:val="en-US" w:eastAsia="zh-CN"/>
        </w:rPr>
        <w:t>的</w:t>
      </w:r>
      <w:r>
        <w:rPr>
          <w:rFonts w:hint="eastAsia"/>
          <w:sz w:val="24"/>
        </w:rPr>
        <w:t>承包期限内，我们在分地方面，是坚持以家庭为单位的，采取“增人不增地，减人不减地”的政策</w:t>
      </w:r>
      <w:r>
        <w:rPr>
          <w:rFonts w:hint="eastAsia"/>
          <w:sz w:val="24"/>
          <w:lang w:eastAsia="zh-CN"/>
        </w:rPr>
        <w:t>。</w:t>
      </w:r>
      <w:r>
        <w:rPr>
          <w:rFonts w:hint="eastAsia"/>
          <w:sz w:val="24"/>
        </w:rPr>
        <w:t>一方面</w:t>
      </w:r>
      <w:r>
        <w:rPr>
          <w:rFonts w:hint="eastAsia"/>
          <w:sz w:val="24"/>
          <w:lang w:val="en-US" w:eastAsia="zh-CN"/>
        </w:rPr>
        <w:t>这项政策</w:t>
      </w:r>
      <w:r>
        <w:rPr>
          <w:rFonts w:hint="eastAsia"/>
          <w:sz w:val="24"/>
        </w:rPr>
        <w:t>稳定了地权，激发了农户家庭的投资意愿，对提升农村经济效率具有一定的意义；但另一方面，按照20年的代际人口更替，45年的时间内至少出生2代人，有的家庭“增人多”，有的家庭“减人多”，如果</w:t>
      </w:r>
      <w:r>
        <w:rPr>
          <w:rFonts w:hint="eastAsia"/>
          <w:sz w:val="24"/>
          <w:lang w:val="en-US" w:eastAsia="zh-CN"/>
        </w:rPr>
        <w:t>一直沿用这项政策，</w:t>
      </w:r>
      <w:r>
        <w:rPr>
          <w:rFonts w:hint="eastAsia"/>
          <w:sz w:val="24"/>
        </w:rPr>
        <w:t>势必在45年后产生社会不公</w:t>
      </w:r>
      <w:r>
        <w:rPr>
          <w:rFonts w:hint="eastAsia"/>
          <w:sz w:val="24"/>
          <w:lang w:val="en-US" w:eastAsia="zh-CN"/>
        </w:rPr>
        <w:t>现象</w:t>
      </w:r>
      <w:r>
        <w:rPr>
          <w:rFonts w:hint="eastAsia"/>
          <w:sz w:val="24"/>
        </w:rPr>
        <w:t>。此处还没有考虑城市化和人口流动造成的影响。如果在第三轮土地承包30年中，依旧沿用过去“生不增死不减”，那么</w:t>
      </w:r>
      <w:r>
        <w:rPr>
          <w:rFonts w:hint="eastAsia"/>
          <w:sz w:val="24"/>
          <w:lang w:val="en-US" w:eastAsia="zh-CN"/>
        </w:rPr>
        <w:t>我们在实践层面就需要提前准备，为这项制度顺利实施进行谋划</w:t>
      </w:r>
      <w:r>
        <w:rPr>
          <w:rFonts w:hint="eastAsia"/>
          <w:sz w:val="24"/>
        </w:rPr>
        <w:t>。</w:t>
      </w:r>
    </w:p>
    <w:p w14:paraId="33CABF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rPr>
        <w:t>面对这</w:t>
      </w:r>
      <w:r>
        <w:rPr>
          <w:rFonts w:hint="eastAsia"/>
          <w:sz w:val="24"/>
          <w:lang w:val="en-US" w:eastAsia="zh-CN"/>
        </w:rPr>
        <w:t>一</w:t>
      </w:r>
      <w:r>
        <w:rPr>
          <w:rFonts w:hint="eastAsia"/>
          <w:sz w:val="24"/>
        </w:rPr>
        <w:t>难题，我们在第三轮土地承包期内该采取什么政策呢？</w:t>
      </w:r>
      <w:r>
        <w:rPr>
          <w:rFonts w:hint="eastAsia"/>
          <w:sz w:val="24"/>
          <w:lang w:val="en-US" w:eastAsia="zh-CN"/>
        </w:rPr>
        <w:t>一个可行的路径是，</w:t>
      </w:r>
      <w:r>
        <w:rPr>
          <w:rFonts w:hint="eastAsia"/>
          <w:sz w:val="24"/>
          <w:lang w:eastAsia="zh-Hans"/>
        </w:rPr>
        <w:t>依托土地流转发展新型集体经济，实行“确权确股不确地”</w:t>
      </w:r>
      <w:r>
        <w:rPr>
          <w:rFonts w:hint="eastAsia"/>
          <w:sz w:val="24"/>
          <w:lang w:val="en-US" w:eastAsia="zh-CN"/>
        </w:rPr>
        <w:t>的政策方案</w:t>
      </w:r>
      <w:r>
        <w:rPr>
          <w:rFonts w:hint="eastAsia"/>
          <w:sz w:val="24"/>
          <w:lang w:eastAsia="zh-Hans"/>
        </w:rPr>
        <w:t>。随着中国农业的现代化水平和机械化程度的提升，规模经营的优势将会逐步显现。通过引导农户以土地入股等有偿方式，将连片的规模土地“反租倒包”给村集体，再由村集体进行统一规划整理，以公开“发包”</w:t>
      </w:r>
      <w:r>
        <w:rPr>
          <w:rFonts w:hint="eastAsia"/>
          <w:sz w:val="24"/>
        </w:rPr>
        <w:t>“租赁”</w:t>
      </w:r>
      <w:r>
        <w:rPr>
          <w:rFonts w:hint="eastAsia"/>
          <w:sz w:val="24"/>
          <w:lang w:eastAsia="zh-Hans"/>
        </w:rPr>
        <w:t>等方式发展规模</w:t>
      </w:r>
      <w:r>
        <w:rPr>
          <w:rFonts w:hint="eastAsia"/>
          <w:sz w:val="24"/>
        </w:rPr>
        <w:t>农业、现代农业</w:t>
      </w:r>
      <w:r>
        <w:rPr>
          <w:rFonts w:hint="eastAsia"/>
          <w:sz w:val="24"/>
          <w:lang w:eastAsia="zh-Hans"/>
        </w:rPr>
        <w:t>，可以有效地提高土地集约程度</w:t>
      </w:r>
      <w:r>
        <w:rPr>
          <w:rFonts w:hint="eastAsia"/>
          <w:sz w:val="24"/>
        </w:rPr>
        <w:t>和亩产经济效益</w:t>
      </w:r>
      <w:r>
        <w:rPr>
          <w:rFonts w:hint="eastAsia"/>
          <w:sz w:val="24"/>
          <w:lang w:eastAsia="zh-Hans"/>
        </w:rPr>
        <w:t>，</w:t>
      </w:r>
      <w:r>
        <w:rPr>
          <w:rFonts w:hint="eastAsia"/>
          <w:sz w:val="24"/>
          <w:lang w:val="en-US" w:eastAsia="zh-CN"/>
        </w:rPr>
        <w:t>促进</w:t>
      </w:r>
      <w:r>
        <w:rPr>
          <w:rFonts w:hint="eastAsia"/>
          <w:sz w:val="24"/>
          <w:lang w:eastAsia="zh-Hans"/>
        </w:rPr>
        <w:t>村民创收</w:t>
      </w:r>
      <w:r>
        <w:rPr>
          <w:rFonts w:hint="eastAsia"/>
          <w:sz w:val="24"/>
        </w:rPr>
        <w:t>致富</w:t>
      </w:r>
      <w:r>
        <w:rPr>
          <w:rFonts w:hint="eastAsia"/>
          <w:sz w:val="24"/>
          <w:lang w:eastAsia="zh-Hans"/>
        </w:rPr>
        <w:t>。同时，为了</w:t>
      </w:r>
      <w:r>
        <w:rPr>
          <w:rFonts w:hint="eastAsia"/>
          <w:sz w:val="24"/>
          <w:lang w:val="en-US" w:eastAsia="zh-CN"/>
        </w:rPr>
        <w:t>解决</w:t>
      </w:r>
      <w:r>
        <w:rPr>
          <w:rFonts w:hint="eastAsia"/>
          <w:sz w:val="24"/>
          <w:lang w:eastAsia="zh-Hans"/>
        </w:rPr>
        <w:t>村与村之间农民人均土地面积差距过大的问题，可在乡镇政府的指导下，将两个或多个行政村联合起来，</w:t>
      </w:r>
      <w:r>
        <w:rPr>
          <w:rFonts w:hint="eastAsia"/>
          <w:sz w:val="24"/>
          <w:lang w:val="en-US" w:eastAsia="zh-CN"/>
        </w:rPr>
        <w:t>探索</w:t>
      </w:r>
      <w:r>
        <w:rPr>
          <w:rFonts w:hint="eastAsia"/>
          <w:sz w:val="24"/>
          <w:lang w:eastAsia="zh-Hans"/>
        </w:rPr>
        <w:t>“跨村联营”新型集体经济</w:t>
      </w:r>
      <w:r>
        <w:rPr>
          <w:rFonts w:hint="eastAsia"/>
          <w:sz w:val="24"/>
          <w:lang w:val="en-US" w:eastAsia="zh-CN"/>
        </w:rPr>
        <w:t>的发展模式。这样不仅能够增加总体的耕地面积，而且可以借助集体经济的资源优势来提升规模经济效应，还可以</w:t>
      </w:r>
      <w:r>
        <w:rPr>
          <w:rFonts w:hint="eastAsia"/>
          <w:sz w:val="24"/>
          <w:lang w:eastAsia="zh-Hans"/>
        </w:rPr>
        <w:t>解决</w:t>
      </w:r>
      <w:r>
        <w:rPr>
          <w:rFonts w:hint="eastAsia"/>
          <w:sz w:val="24"/>
          <w:lang w:val="en-US" w:eastAsia="zh-CN"/>
        </w:rPr>
        <w:t>承包地面临的</w:t>
      </w:r>
      <w:r>
        <w:rPr>
          <w:rFonts w:hint="eastAsia"/>
          <w:sz w:val="24"/>
          <w:lang w:eastAsia="zh-Hans"/>
        </w:rPr>
        <w:t>“生不增死不减”的公平问题</w:t>
      </w:r>
      <w:r>
        <w:rPr>
          <w:rFonts w:hint="eastAsia"/>
          <w:sz w:val="24"/>
          <w:lang w:val="en-US" w:eastAsia="zh-CN"/>
        </w:rPr>
        <w:t>和</w:t>
      </w:r>
      <w:r>
        <w:rPr>
          <w:rFonts w:hint="eastAsia"/>
          <w:sz w:val="24"/>
          <w:lang w:eastAsia="zh-Hans"/>
        </w:rPr>
        <w:t>“搭配难”</w:t>
      </w:r>
      <w:r>
        <w:rPr>
          <w:rFonts w:hint="eastAsia"/>
          <w:sz w:val="24"/>
          <w:lang w:val="en-US" w:eastAsia="zh-CN"/>
        </w:rPr>
        <w:t>的</w:t>
      </w:r>
      <w:r>
        <w:rPr>
          <w:rFonts w:hint="eastAsia"/>
          <w:sz w:val="24"/>
          <w:lang w:eastAsia="zh-Hans"/>
        </w:rPr>
        <w:t>效率问题。</w:t>
      </w:r>
    </w:p>
    <w:p w14:paraId="408607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Hans"/>
        </w:rPr>
        <w:t>在发展集体经济条件不成熟的村落，应在2027年分地之前，以“乡镇”为单位，全面做好辖区内农户家庭的土地数量统计，科学计算辖区内所有农村户籍人口的人均分配土地的数值，</w:t>
      </w:r>
      <w:r>
        <w:rPr>
          <w:rFonts w:hint="eastAsia"/>
          <w:sz w:val="24"/>
          <w:lang w:val="en-US" w:eastAsia="zh-CN"/>
        </w:rPr>
        <w:t>绘制</w:t>
      </w:r>
      <w:r>
        <w:rPr>
          <w:rFonts w:hint="eastAsia"/>
          <w:sz w:val="24"/>
          <w:lang w:eastAsia="zh-Hans"/>
        </w:rPr>
        <w:t>辖区内农户家庭人均土地数值的区间分布图，做好最大值、最小值、中位数等数理统计，以此来</w:t>
      </w:r>
      <w:r>
        <w:rPr>
          <w:rFonts w:hint="eastAsia"/>
          <w:sz w:val="24"/>
          <w:lang w:val="en-US" w:eastAsia="zh-CN"/>
        </w:rPr>
        <w:t>测量</w:t>
      </w:r>
      <w:r>
        <w:rPr>
          <w:rFonts w:hint="eastAsia"/>
          <w:sz w:val="24"/>
          <w:lang w:eastAsia="zh-Hans"/>
        </w:rPr>
        <w:t>农户家庭土地分配的公平</w:t>
      </w:r>
      <w:r>
        <w:rPr>
          <w:rFonts w:hint="eastAsia"/>
          <w:sz w:val="24"/>
          <w:lang w:val="en-US" w:eastAsia="zh-CN"/>
        </w:rPr>
        <w:t>系数</w:t>
      </w:r>
      <w:r>
        <w:rPr>
          <w:rFonts w:hint="eastAsia"/>
          <w:sz w:val="24"/>
          <w:lang w:eastAsia="zh-CN"/>
        </w:rPr>
        <w:t>。</w:t>
      </w:r>
      <w:r>
        <w:rPr>
          <w:rFonts w:hint="eastAsia"/>
          <w:sz w:val="24"/>
          <w:lang w:eastAsia="zh-Hans"/>
        </w:rPr>
        <w:t>公平性程度高的</w:t>
      </w:r>
      <w:r>
        <w:rPr>
          <w:rFonts w:hint="eastAsia"/>
          <w:sz w:val="24"/>
          <w:lang w:val="en-US" w:eastAsia="zh-CN"/>
        </w:rPr>
        <w:t>村组</w:t>
      </w:r>
      <w:r>
        <w:rPr>
          <w:rFonts w:hint="eastAsia"/>
          <w:sz w:val="24"/>
          <w:lang w:eastAsia="zh-Hans"/>
        </w:rPr>
        <w:t>经乡镇政府同意，可以不再重新分地，而是直接在原有承包期限基础上再延长30年；公平性程度低的村</w:t>
      </w:r>
      <w:r>
        <w:rPr>
          <w:rFonts w:hint="eastAsia"/>
          <w:sz w:val="24"/>
          <w:lang w:val="en-US" w:eastAsia="zh-Hans"/>
        </w:rPr>
        <w:t>组</w:t>
      </w:r>
      <w:r>
        <w:rPr>
          <w:rFonts w:hint="eastAsia"/>
          <w:sz w:val="24"/>
          <w:lang w:eastAsia="zh-Hans"/>
        </w:rPr>
        <w:t>由乡镇政府指导这类村集体科学分配土地，确保每个农民家庭人均土地面积没有太大差距。</w:t>
      </w:r>
      <w:r>
        <w:rPr>
          <w:rFonts w:hint="eastAsia"/>
          <w:sz w:val="24"/>
        </w:rPr>
        <w:t>其他未尽事宜，可</w:t>
      </w:r>
      <w:r>
        <w:rPr>
          <w:rFonts w:hint="eastAsia"/>
          <w:sz w:val="24"/>
          <w:lang w:val="en-US" w:eastAsia="zh-CN"/>
        </w:rPr>
        <w:t>在</w:t>
      </w:r>
      <w:r>
        <w:rPr>
          <w:rFonts w:hint="eastAsia"/>
          <w:sz w:val="24"/>
        </w:rPr>
        <w:t>“调利不调地”的原则下，结合本地情况灵活应对，目的是在这个即将开启“新30年”的起点上，做好“</w:t>
      </w:r>
      <w:r>
        <w:rPr>
          <w:rFonts w:hint="eastAsia"/>
          <w:sz w:val="24"/>
          <w:lang w:eastAsia="zh-Hans"/>
        </w:rPr>
        <w:t>确权确</w:t>
      </w:r>
      <w:r>
        <w:rPr>
          <w:rFonts w:hint="eastAsia"/>
          <w:sz w:val="24"/>
        </w:rPr>
        <w:t>股”公平性，不能在起点就出现令农民不满的不公</w:t>
      </w:r>
      <w:r>
        <w:rPr>
          <w:rFonts w:hint="eastAsia"/>
          <w:sz w:val="24"/>
          <w:lang w:val="en-US" w:eastAsia="zh-CN"/>
        </w:rPr>
        <w:t>正问题</w:t>
      </w:r>
      <w:r>
        <w:rPr>
          <w:rFonts w:hint="eastAsia"/>
          <w:sz w:val="24"/>
        </w:rPr>
        <w:t>。</w:t>
      </w:r>
    </w:p>
    <w:p w14:paraId="4917D8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2.</w:t>
      </w:r>
      <w:r>
        <w:rPr>
          <w:rFonts w:hint="eastAsia"/>
          <w:sz w:val="24"/>
        </w:rPr>
        <w:t>历史层面：</w:t>
      </w:r>
      <w:r>
        <w:rPr>
          <w:rFonts w:hint="eastAsia"/>
          <w:sz w:val="24"/>
          <w:lang w:val="en-US" w:eastAsia="zh-CN"/>
        </w:rPr>
        <w:t>妥善</w:t>
      </w:r>
      <w:r>
        <w:rPr>
          <w:rFonts w:hint="eastAsia"/>
          <w:sz w:val="24"/>
        </w:rPr>
        <w:t>处理好与“土地确权”的关系</w:t>
      </w:r>
    </w:p>
    <w:p w14:paraId="0417E2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从理论逻辑看，推行农村土地确权目的是</w:t>
      </w:r>
      <w:r>
        <w:rPr>
          <w:rFonts w:hint="eastAsia"/>
          <w:sz w:val="24"/>
          <w:lang w:eastAsia="zh-CN"/>
        </w:rPr>
        <w:t>，</w:t>
      </w:r>
      <w:r>
        <w:rPr>
          <w:rFonts w:hint="eastAsia"/>
          <w:sz w:val="24"/>
        </w:rPr>
        <w:t>为农村土地流转做好明晰的产权保障，提高土地流转效率来实现农业经营的规模化</w:t>
      </w:r>
      <w:r>
        <w:rPr>
          <w:rFonts w:hint="eastAsia"/>
          <w:sz w:val="24"/>
          <w:lang w:eastAsia="zh-CN"/>
        </w:rPr>
        <w:t>、</w:t>
      </w:r>
      <w:r>
        <w:rPr>
          <w:rFonts w:hint="eastAsia"/>
          <w:sz w:val="24"/>
        </w:rPr>
        <w:t>现代化。所以，从2013年至2018年，</w:t>
      </w:r>
      <w:r>
        <w:rPr>
          <w:rFonts w:hint="eastAsia"/>
          <w:sz w:val="24"/>
          <w:lang w:val="en-US" w:eastAsia="zh-CN"/>
        </w:rPr>
        <w:t>我国开展了农村承包地确权登记颁证工作，</w:t>
      </w:r>
      <w:r>
        <w:rPr>
          <w:rFonts w:hint="eastAsia"/>
          <w:sz w:val="24"/>
        </w:rPr>
        <w:t>农户土地确权率超过96%</w:t>
      </w:r>
      <w:r>
        <w:rPr>
          <w:rFonts w:hint="eastAsia"/>
          <w:sz w:val="24"/>
          <w:lang w:eastAsia="zh-CN"/>
        </w:rPr>
        <w:t>。</w:t>
      </w:r>
      <w:r>
        <w:rPr>
          <w:rFonts w:hint="eastAsia"/>
          <w:sz w:val="24"/>
        </w:rPr>
        <w:t>如果</w:t>
      </w:r>
      <w:r>
        <w:rPr>
          <w:rFonts w:hint="eastAsia"/>
          <w:sz w:val="24"/>
          <w:lang w:val="en-US" w:eastAsia="zh-CN"/>
        </w:rPr>
        <w:t>在</w:t>
      </w:r>
      <w:r>
        <w:rPr>
          <w:rFonts w:hint="eastAsia"/>
          <w:sz w:val="24"/>
        </w:rPr>
        <w:t>第二轮土地承包</w:t>
      </w:r>
      <w:r>
        <w:rPr>
          <w:rFonts w:hint="eastAsia"/>
          <w:sz w:val="24"/>
          <w:lang w:val="en-US" w:eastAsia="zh-CN"/>
        </w:rPr>
        <w:t>到期后</w:t>
      </w:r>
      <w:r>
        <w:rPr>
          <w:rFonts w:hint="eastAsia"/>
          <w:sz w:val="24"/>
        </w:rPr>
        <w:t>再延长30年，一些经过论证不需要重新分地的村庄</w:t>
      </w:r>
      <w:r>
        <w:rPr>
          <w:rFonts w:hint="eastAsia"/>
          <w:sz w:val="24"/>
          <w:lang w:val="en-US" w:eastAsia="zh-CN"/>
        </w:rPr>
        <w:t>可仍旧沿用确权成果</w:t>
      </w:r>
      <w:r>
        <w:rPr>
          <w:rFonts w:hint="eastAsia"/>
          <w:sz w:val="24"/>
        </w:rPr>
        <w:t>，不需要重新丈量和重新分配土地，只不过是将农户承包期限再往后延长30年。如果一些村庄需要重新分配土地，那么确权就是一项历史沉淀成本，不再具有政策价值，</w:t>
      </w:r>
      <w:r>
        <w:rPr>
          <w:rFonts w:hint="eastAsia"/>
          <w:sz w:val="24"/>
          <w:lang w:val="en-US" w:eastAsia="zh-CN"/>
        </w:rPr>
        <w:t>而</w:t>
      </w:r>
      <w:r>
        <w:rPr>
          <w:rFonts w:hint="eastAsia"/>
          <w:sz w:val="24"/>
        </w:rPr>
        <w:t>重新分配农业土地（宅基地和集体建设用地除外）代表之前的土地确权证失效</w:t>
      </w:r>
      <w:r>
        <w:rPr>
          <w:rFonts w:hint="eastAsia"/>
          <w:sz w:val="24"/>
          <w:lang w:eastAsia="zh-CN"/>
        </w:rPr>
        <w:t>（“</w:t>
      </w:r>
      <w:r>
        <w:rPr>
          <w:rFonts w:hint="eastAsia"/>
          <w:sz w:val="24"/>
          <w:lang w:val="en-US" w:eastAsia="zh-CN"/>
        </w:rPr>
        <w:t>确权证”明晰了土地的四至和数量</w:t>
      </w:r>
      <w:r>
        <w:rPr>
          <w:rFonts w:hint="eastAsia"/>
          <w:sz w:val="24"/>
          <w:lang w:eastAsia="zh-CN"/>
        </w:rPr>
        <w:t>）</w:t>
      </w:r>
      <w:r>
        <w:rPr>
          <w:rFonts w:hint="eastAsia"/>
          <w:sz w:val="24"/>
        </w:rPr>
        <w:t>。</w:t>
      </w:r>
    </w:p>
    <w:p w14:paraId="54E925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那么，还有没有别的方式，尽可能地不影响之前的土地确权</w:t>
      </w:r>
      <w:r>
        <w:rPr>
          <w:rFonts w:hint="eastAsia"/>
          <w:sz w:val="24"/>
          <w:lang w:eastAsia="zh-CN"/>
        </w:rPr>
        <w:t>？</w:t>
      </w:r>
      <w:r>
        <w:rPr>
          <w:rFonts w:hint="eastAsia"/>
          <w:sz w:val="24"/>
        </w:rPr>
        <w:t>事实上，</w:t>
      </w:r>
      <w:r>
        <w:rPr>
          <w:rFonts w:hint="eastAsia"/>
          <w:sz w:val="24"/>
          <w:lang w:val="en-US" w:eastAsia="zh-CN"/>
        </w:rPr>
        <w:t>这个问题</w:t>
      </w:r>
      <w:r>
        <w:rPr>
          <w:rFonts w:hint="eastAsia"/>
          <w:sz w:val="24"/>
        </w:rPr>
        <w:t>是可以</w:t>
      </w:r>
      <w:r>
        <w:rPr>
          <w:rFonts w:hint="eastAsia"/>
          <w:sz w:val="24"/>
          <w:lang w:val="en-US" w:eastAsia="zh-CN"/>
        </w:rPr>
        <w:t>解决</w:t>
      </w:r>
      <w:r>
        <w:rPr>
          <w:rFonts w:hint="eastAsia"/>
          <w:sz w:val="24"/>
        </w:rPr>
        <w:t>的。例如，我们知道农村“三块地”中农业用地和宅基地的使用和收益是归农户所有的，而集体建设用地的收益归集体所有。在集体资金较为富足的村落，可探索以“</w:t>
      </w:r>
      <w:r>
        <w:rPr>
          <w:rFonts w:hint="eastAsia"/>
          <w:sz w:val="24"/>
          <w:lang w:val="en-US" w:eastAsia="zh-CN"/>
        </w:rPr>
        <w:t>存量集体</w:t>
      </w:r>
      <w:r>
        <w:rPr>
          <w:rFonts w:hint="eastAsia"/>
          <w:sz w:val="24"/>
        </w:rPr>
        <w:t>资金”来</w:t>
      </w:r>
      <w:r>
        <w:rPr>
          <w:rFonts w:hint="eastAsia"/>
          <w:sz w:val="24"/>
          <w:lang w:val="en-US" w:eastAsia="zh-CN"/>
        </w:rPr>
        <w:t>弥补少地的农户家庭</w:t>
      </w:r>
      <w:r>
        <w:rPr>
          <w:rFonts w:hint="eastAsia"/>
          <w:sz w:val="24"/>
        </w:rPr>
        <w:t>。另一个很好的发展方向是，发展集体经济组织和农业龙头企业</w:t>
      </w:r>
      <w:r>
        <w:rPr>
          <w:rFonts w:hint="eastAsia"/>
          <w:sz w:val="24"/>
          <w:lang w:eastAsia="zh-CN"/>
        </w:rPr>
        <w:t>，</w:t>
      </w:r>
      <w:r>
        <w:rPr>
          <w:rFonts w:hint="eastAsia"/>
          <w:sz w:val="24"/>
          <w:lang w:val="en-US" w:eastAsia="zh-CN"/>
        </w:rPr>
        <w:t>这</w:t>
      </w:r>
      <w:r>
        <w:rPr>
          <w:rFonts w:hint="eastAsia"/>
          <w:sz w:val="24"/>
        </w:rPr>
        <w:t>将是大势所趋，</w:t>
      </w:r>
      <w:r>
        <w:rPr>
          <w:rFonts w:hint="eastAsia"/>
          <w:sz w:val="24"/>
          <w:lang w:val="en-US" w:eastAsia="zh-CN"/>
        </w:rPr>
        <w:t>也</w:t>
      </w:r>
      <w:r>
        <w:rPr>
          <w:rFonts w:hint="eastAsia"/>
          <w:sz w:val="24"/>
        </w:rPr>
        <w:t>是</w:t>
      </w:r>
      <w:r>
        <w:rPr>
          <w:rFonts w:hint="eastAsia"/>
          <w:sz w:val="24"/>
          <w:lang w:val="en-US" w:eastAsia="zh-CN"/>
        </w:rPr>
        <w:t>实现</w:t>
      </w:r>
      <w:r>
        <w:rPr>
          <w:rFonts w:hint="eastAsia"/>
          <w:sz w:val="24"/>
        </w:rPr>
        <w:t>中国式农业现代化的必经之路</w:t>
      </w:r>
      <w:r>
        <w:rPr>
          <w:rFonts w:hint="eastAsia"/>
          <w:sz w:val="24"/>
          <w:lang w:eastAsia="zh-CN"/>
        </w:rPr>
        <w:t>。</w:t>
      </w:r>
      <w:r>
        <w:rPr>
          <w:rFonts w:hint="eastAsia"/>
          <w:sz w:val="24"/>
        </w:rPr>
        <w:t>在这个方向上，可以鼓励各村进行土地流转，将土地流转至集体组织和农投公司，最终将土地的收益平均分配给每个家庭的人口。这样就回避</w:t>
      </w:r>
      <w:r>
        <w:rPr>
          <w:rFonts w:hint="eastAsia"/>
          <w:sz w:val="24"/>
          <w:lang w:val="en-US" w:eastAsia="zh-CN"/>
        </w:rPr>
        <w:t>了</w:t>
      </w:r>
      <w:r>
        <w:rPr>
          <w:rFonts w:hint="eastAsia"/>
          <w:sz w:val="24"/>
        </w:rPr>
        <w:t>过去土地确权的历史问题，从经济权利上保证每户家庭的公平收益。未来，还可摸索预留集体的农业用地、集体资产保值增值、退出承包土地入池、繁荣集体经济和集体企业等，将集体经济组织做成一个现代化公司制的盈利机构，这样就不必拘束于土地是谁的、土地确权给了谁，最终要保障的是让土地获得更多的产出，让多出的经济收益公平分配至每个集体内部的所有成员。以上设计思路，是要考虑到土地确权的历史成本，在新一轮“公平”分配中，可以遵循“调利不调地”策略，结合各地实践，在确保农村土地确权成果继续有效情况下</w:t>
      </w:r>
      <w:r>
        <w:rPr>
          <w:rFonts w:hint="eastAsia"/>
          <w:sz w:val="24"/>
          <w:lang w:eastAsia="zh-CN"/>
        </w:rPr>
        <w:t>，</w:t>
      </w:r>
      <w:r>
        <w:rPr>
          <w:rFonts w:hint="eastAsia"/>
          <w:sz w:val="24"/>
        </w:rPr>
        <w:t>来保障农村土地集体所有制的公平性在任何时候都能有效发挥作用。</w:t>
      </w:r>
    </w:p>
    <w:p w14:paraId="4F985B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3.</w:t>
      </w:r>
      <w:r>
        <w:rPr>
          <w:rFonts w:hint="eastAsia"/>
          <w:sz w:val="24"/>
        </w:rPr>
        <w:t>效率层面：依托“三权分置”</w:t>
      </w:r>
      <w:r>
        <w:rPr>
          <w:rFonts w:hint="eastAsia"/>
          <w:sz w:val="24"/>
          <w:lang w:val="en-US" w:eastAsia="zh-CN"/>
        </w:rPr>
        <w:t>提升</w:t>
      </w:r>
      <w:r>
        <w:rPr>
          <w:rFonts w:hint="eastAsia"/>
          <w:sz w:val="24"/>
        </w:rPr>
        <w:t>土地</w:t>
      </w:r>
      <w:r>
        <w:rPr>
          <w:rFonts w:hint="eastAsia"/>
          <w:sz w:val="24"/>
          <w:lang w:val="en-US" w:eastAsia="zh-CN"/>
        </w:rPr>
        <w:t>经营效率</w:t>
      </w:r>
    </w:p>
    <w:p w14:paraId="507471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如果说土地确权是一项历史成本，那么“三权分置”的政策</w:t>
      </w:r>
      <w:r>
        <w:rPr>
          <w:rFonts w:hint="eastAsia"/>
          <w:sz w:val="24"/>
          <w:lang w:val="en-US" w:eastAsia="zh-CN"/>
        </w:rPr>
        <w:t>目的</w:t>
      </w:r>
      <w:r>
        <w:rPr>
          <w:rFonts w:hint="eastAsia"/>
          <w:sz w:val="24"/>
        </w:rPr>
        <w:t>就是</w:t>
      </w:r>
      <w:r>
        <w:rPr>
          <w:rFonts w:hint="eastAsia"/>
          <w:sz w:val="24"/>
          <w:lang w:val="en-US" w:eastAsia="zh-CN"/>
        </w:rPr>
        <w:t>将</w:t>
      </w:r>
      <w:r>
        <w:rPr>
          <w:rFonts w:hint="eastAsia"/>
          <w:sz w:val="24"/>
        </w:rPr>
        <w:t>这项成本支出回收，并把源源不断的收益分配给“集体-农户-企业”。“三权分置”是在“家庭承包经营制”的“两权分离”基础上演进而来，通过土地所有权归集体、土地承包权归农户、土地经营权归种粮大户或农业企业来实现规模农业、现代农业和科技农业，这项政策的最终落脚点是依托土地流转实现“大国大农”。</w:t>
      </w:r>
    </w:p>
    <w:p w14:paraId="7A465A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从理论逻辑分析，当前实现大国“大农”可以有两个路径：一</w:t>
      </w:r>
      <w:r>
        <w:rPr>
          <w:rFonts w:hint="eastAsia"/>
          <w:sz w:val="24"/>
          <w:lang w:val="en-US" w:eastAsia="zh-CN"/>
        </w:rPr>
        <w:t>条</w:t>
      </w:r>
      <w:r>
        <w:rPr>
          <w:rFonts w:hint="eastAsia"/>
          <w:sz w:val="24"/>
        </w:rPr>
        <w:t>路径是将土地流转至集体经济组织，由集体经济组织进行经营管理，这个路径不需要“三权分置”或“两权分离”；另一</w:t>
      </w:r>
      <w:r>
        <w:rPr>
          <w:rFonts w:hint="eastAsia"/>
          <w:sz w:val="24"/>
          <w:lang w:val="en-US" w:eastAsia="zh-CN"/>
        </w:rPr>
        <w:t>条</w:t>
      </w:r>
      <w:r>
        <w:rPr>
          <w:rFonts w:hint="eastAsia"/>
          <w:sz w:val="24"/>
        </w:rPr>
        <w:t>路径是在现有农村土地集体所有制不变的情况下，通过“三权分置”明晰各主体的权利和义务，并在尊重农民个体意愿基础上进行自由选择的土地流转，具有较长的历史过渡性。</w:t>
      </w:r>
      <w:r>
        <w:rPr>
          <w:rFonts w:hint="eastAsia"/>
          <w:sz w:val="24"/>
          <w:lang w:val="en-US" w:eastAsia="zh-CN"/>
        </w:rPr>
        <w:t>在历史的实践中</w:t>
      </w:r>
      <w:r>
        <w:rPr>
          <w:rFonts w:hint="eastAsia"/>
          <w:sz w:val="24"/>
        </w:rPr>
        <w:t>，</w:t>
      </w:r>
      <w:r>
        <w:rPr>
          <w:rFonts w:hint="eastAsia"/>
          <w:sz w:val="24"/>
          <w:lang w:val="en-US" w:eastAsia="zh-CN"/>
        </w:rPr>
        <w:t>除了部分典型地区还保留了第一种模式，中国</w:t>
      </w:r>
      <w:r>
        <w:rPr>
          <w:rFonts w:hint="eastAsia"/>
          <w:sz w:val="24"/>
        </w:rPr>
        <w:t>农村土地流转主要采取第二种模式，一些种粮大户和农户家庭或村集体之间签订了</w:t>
      </w:r>
      <w:r>
        <w:rPr>
          <w:rFonts w:hint="eastAsia"/>
          <w:sz w:val="24"/>
          <w:lang w:val="en-US" w:eastAsia="zh-CN"/>
        </w:rPr>
        <w:t>10</w:t>
      </w:r>
      <w:r>
        <w:rPr>
          <w:rFonts w:hint="eastAsia"/>
          <w:sz w:val="24"/>
        </w:rPr>
        <w:t>年、</w:t>
      </w:r>
      <w:r>
        <w:rPr>
          <w:rFonts w:hint="eastAsia"/>
          <w:sz w:val="24"/>
          <w:lang w:val="en-US" w:eastAsia="zh-CN"/>
        </w:rPr>
        <w:t>20</w:t>
      </w:r>
      <w:r>
        <w:rPr>
          <w:rFonts w:hint="eastAsia"/>
          <w:sz w:val="24"/>
        </w:rPr>
        <w:t>年甚至更长的土地流转合同</w:t>
      </w:r>
      <w:r>
        <w:rPr>
          <w:rFonts w:hint="eastAsia"/>
          <w:sz w:val="24"/>
          <w:lang w:eastAsia="zh-CN"/>
        </w:rPr>
        <w:t>。</w:t>
      </w:r>
      <w:r>
        <w:rPr>
          <w:rFonts w:hint="eastAsia"/>
          <w:sz w:val="24"/>
          <w:lang w:val="en-US" w:eastAsia="zh-CN"/>
        </w:rPr>
        <w:t>虽然法律规定租赁期限不超过20年，但在安徽、河南等地采访中，“抽屉合同”中超过20年的不在少数</w:t>
      </w:r>
      <w:r>
        <w:rPr>
          <w:rFonts w:hint="eastAsia"/>
          <w:sz w:val="24"/>
          <w:lang w:eastAsia="zh-CN"/>
        </w:rPr>
        <w:t>。</w:t>
      </w:r>
      <w:r>
        <w:rPr>
          <w:rFonts w:hint="eastAsia"/>
          <w:sz w:val="24"/>
          <w:lang w:val="en-US" w:eastAsia="zh-CN"/>
        </w:rPr>
        <w:t>这些合同</w:t>
      </w:r>
      <w:r>
        <w:rPr>
          <w:rFonts w:hint="eastAsia"/>
          <w:sz w:val="24"/>
        </w:rPr>
        <w:t>已经确立了地块和投资项目，这</w:t>
      </w:r>
      <w:r>
        <w:rPr>
          <w:rFonts w:hint="eastAsia"/>
          <w:sz w:val="24"/>
          <w:lang w:val="en-US" w:eastAsia="zh-CN"/>
        </w:rPr>
        <w:t>种</w:t>
      </w:r>
      <w:r>
        <w:rPr>
          <w:rFonts w:hint="eastAsia"/>
          <w:sz w:val="24"/>
        </w:rPr>
        <w:t>情况在第二轮土地承包</w:t>
      </w:r>
      <w:r>
        <w:rPr>
          <w:rFonts w:hint="eastAsia"/>
          <w:sz w:val="24"/>
          <w:lang w:val="en-US" w:eastAsia="zh-CN"/>
        </w:rPr>
        <w:t>到期后</w:t>
      </w:r>
      <w:r>
        <w:rPr>
          <w:rFonts w:hint="eastAsia"/>
          <w:sz w:val="24"/>
        </w:rPr>
        <w:t>该怎么处理，也是当下影响政策决策的一个重要因素。例如，一些农户将自己的耕地长周期地租给种粮大户和农业企业，对方已经对土地进行平整和基础投资，实现了机械化、规模化耕种，或种上了名贵花木</w:t>
      </w:r>
      <w:r>
        <w:rPr>
          <w:rFonts w:hint="eastAsia"/>
          <w:sz w:val="24"/>
          <w:lang w:eastAsia="zh-CN"/>
        </w:rPr>
        <w:t>。</w:t>
      </w:r>
      <w:r>
        <w:rPr>
          <w:rFonts w:hint="eastAsia"/>
          <w:sz w:val="24"/>
          <w:lang w:val="en-US" w:eastAsia="zh-CN"/>
        </w:rPr>
        <w:t>而由于农业生产具有较长周期，短时间无法收回投资成本，</w:t>
      </w:r>
      <w:r>
        <w:rPr>
          <w:rFonts w:hint="eastAsia"/>
          <w:sz w:val="24"/>
        </w:rPr>
        <w:t>如果</w:t>
      </w:r>
      <w:r>
        <w:rPr>
          <w:rFonts w:hint="eastAsia"/>
          <w:sz w:val="24"/>
          <w:lang w:val="en-US" w:eastAsia="zh-CN"/>
        </w:rPr>
        <w:t>这个时期</w:t>
      </w:r>
      <w:r>
        <w:rPr>
          <w:rFonts w:hint="eastAsia"/>
          <w:sz w:val="24"/>
        </w:rPr>
        <w:t>重新分地和调整不同农户的地块位置，势必会阻碍“三权分置”的稳定运行</w:t>
      </w:r>
      <w:r>
        <w:rPr>
          <w:rFonts w:hint="eastAsia"/>
          <w:sz w:val="24"/>
          <w:lang w:val="en-US" w:eastAsia="zh-CN"/>
        </w:rPr>
        <w:t>并损耗社会福利</w:t>
      </w:r>
      <w:r>
        <w:rPr>
          <w:rFonts w:hint="eastAsia"/>
          <w:sz w:val="24"/>
          <w:lang w:eastAsia="zh-CN"/>
        </w:rPr>
        <w:t>，</w:t>
      </w:r>
      <w:r>
        <w:rPr>
          <w:rFonts w:hint="eastAsia"/>
          <w:sz w:val="24"/>
          <w:lang w:val="en-US" w:eastAsia="zh-CN"/>
        </w:rPr>
        <w:t>或激起农村新的社会矛盾</w:t>
      </w:r>
      <w:r>
        <w:rPr>
          <w:rFonts w:hint="eastAsia"/>
          <w:sz w:val="24"/>
        </w:rPr>
        <w:t>。</w:t>
      </w:r>
    </w:p>
    <w:p w14:paraId="101E9C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这个时候就需要各个地方因地制宜。如果这些地方涉及土地流转问题，就应该以稳定租户的用益物权为主，重新分配土地的目标落在“确股不确地”上。如果不涉及土地流转，则可以按照上面公平层面和历史层面的操作，最终目的是让“三权分置”与“第二轮土地承包</w:t>
      </w:r>
      <w:r>
        <w:rPr>
          <w:rFonts w:hint="eastAsia"/>
          <w:sz w:val="24"/>
          <w:lang w:val="en-US" w:eastAsia="zh-CN"/>
        </w:rPr>
        <w:t>到期后</w:t>
      </w:r>
      <w:r>
        <w:rPr>
          <w:rFonts w:hint="eastAsia"/>
          <w:sz w:val="24"/>
        </w:rPr>
        <w:t>再延长30年”顺利衔接，以保障各方利益在新的制度体系下不受损。</w:t>
      </w:r>
    </w:p>
    <w:p w14:paraId="7AB5EE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4.</w:t>
      </w:r>
      <w:r>
        <w:rPr>
          <w:rFonts w:hint="eastAsia"/>
          <w:sz w:val="24"/>
        </w:rPr>
        <w:t>预期层面：</w:t>
      </w:r>
      <w:r>
        <w:rPr>
          <w:rFonts w:hint="eastAsia"/>
          <w:sz w:val="24"/>
          <w:lang w:val="en-US" w:eastAsia="zh-CN"/>
        </w:rPr>
        <w:t>理性答复</w:t>
      </w:r>
      <w:r>
        <w:rPr>
          <w:rFonts w:hint="eastAsia"/>
          <w:sz w:val="24"/>
        </w:rPr>
        <w:t>“第三轮</w:t>
      </w:r>
      <w:r>
        <w:rPr>
          <w:rFonts w:hint="eastAsia"/>
          <w:sz w:val="24"/>
          <w:lang w:val="en-US" w:eastAsia="zh-CN"/>
        </w:rPr>
        <w:t>土地</w:t>
      </w:r>
      <w:r>
        <w:rPr>
          <w:rFonts w:hint="eastAsia"/>
          <w:sz w:val="24"/>
        </w:rPr>
        <w:t>承包</w:t>
      </w:r>
      <w:r>
        <w:rPr>
          <w:rFonts w:hint="eastAsia"/>
          <w:sz w:val="24"/>
          <w:lang w:val="en-US" w:eastAsia="zh-CN"/>
        </w:rPr>
        <w:t>期限</w:t>
      </w:r>
      <w:r>
        <w:rPr>
          <w:rFonts w:hint="eastAsia"/>
          <w:sz w:val="24"/>
        </w:rPr>
        <w:t>30年再到期”</w:t>
      </w:r>
      <w:r>
        <w:rPr>
          <w:rFonts w:hint="eastAsia"/>
          <w:sz w:val="24"/>
          <w:lang w:val="en-US" w:eastAsia="zh-CN"/>
        </w:rPr>
        <w:t>的</w:t>
      </w:r>
      <w:r>
        <w:rPr>
          <w:rFonts w:hint="eastAsia"/>
          <w:sz w:val="24"/>
        </w:rPr>
        <w:t>未来政策</w:t>
      </w:r>
    </w:p>
    <w:p w14:paraId="6AC6E5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在任何时候，纯朴而理性的农民都愿意表达他们最真实的想法，家庭联产承包责任制就是理性小农闯出来的一条道路，由此开启了一条自下而上的农民主导型的土地改革之路。当下，</w:t>
      </w:r>
      <w:r>
        <w:rPr>
          <w:rFonts w:hint="eastAsia"/>
          <w:sz w:val="24"/>
          <w:lang w:eastAsia="zh-CN"/>
        </w:rPr>
        <w:t>“</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rPr>
        <w:t>，这项制度的推行会给农民带来哪些预期呢？</w:t>
      </w:r>
      <w:r>
        <w:rPr>
          <w:rFonts w:hint="eastAsia"/>
          <w:sz w:val="24"/>
          <w:lang w:val="en-US" w:eastAsia="zh-CN"/>
        </w:rPr>
        <w:t>这</w:t>
      </w:r>
      <w:r>
        <w:rPr>
          <w:rFonts w:hint="eastAsia"/>
          <w:sz w:val="24"/>
        </w:rPr>
        <w:t>也值得我们理论界和政策界</w:t>
      </w:r>
      <w:r>
        <w:rPr>
          <w:rFonts w:hint="eastAsia"/>
          <w:sz w:val="24"/>
          <w:lang w:val="en-US" w:eastAsia="zh-CN"/>
        </w:rPr>
        <w:t>在倾听农民的心声的基础上来进行</w:t>
      </w:r>
      <w:r>
        <w:rPr>
          <w:rFonts w:hint="eastAsia"/>
          <w:sz w:val="24"/>
        </w:rPr>
        <w:t>提前预判。</w:t>
      </w:r>
    </w:p>
    <w:p w14:paraId="023D1F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此处，本文提出以下几个设想：一是</w:t>
      </w:r>
      <w:r>
        <w:rPr>
          <w:rFonts w:hint="eastAsia"/>
          <w:sz w:val="24"/>
          <w:lang w:val="en-US" w:eastAsia="zh-CN"/>
        </w:rPr>
        <w:t>如果</w:t>
      </w:r>
      <w:r>
        <w:rPr>
          <w:rFonts w:hint="eastAsia"/>
          <w:sz w:val="24"/>
        </w:rPr>
        <w:t>第二轮的30年到期</w:t>
      </w:r>
      <w:r>
        <w:rPr>
          <w:rFonts w:hint="eastAsia"/>
          <w:sz w:val="24"/>
          <w:lang w:val="en-US" w:eastAsia="zh-CN"/>
        </w:rPr>
        <w:t>后</w:t>
      </w:r>
      <w:r>
        <w:rPr>
          <w:rFonts w:hint="eastAsia"/>
          <w:sz w:val="24"/>
        </w:rPr>
        <w:t>直接再延长30年，即</w:t>
      </w:r>
      <w:r>
        <w:rPr>
          <w:rFonts w:hint="eastAsia"/>
          <w:sz w:val="24"/>
          <w:lang w:eastAsia="zh-Hans"/>
        </w:rPr>
        <w:t>仍然采取“生不增、死不减”的静态管理办法，</w:t>
      </w:r>
      <w:r>
        <w:rPr>
          <w:rFonts w:hint="eastAsia"/>
          <w:sz w:val="24"/>
        </w:rPr>
        <w:t>不</w:t>
      </w:r>
      <w:r>
        <w:rPr>
          <w:rFonts w:hint="eastAsia"/>
          <w:sz w:val="24"/>
          <w:lang w:eastAsia="zh-Hans"/>
        </w:rPr>
        <w:t>进行动态调整</w:t>
      </w:r>
      <w:r>
        <w:rPr>
          <w:rFonts w:hint="eastAsia"/>
          <w:sz w:val="24"/>
        </w:rPr>
        <w:t>，那么会</w:t>
      </w:r>
      <w:r>
        <w:rPr>
          <w:rFonts w:hint="eastAsia"/>
          <w:sz w:val="24"/>
          <w:lang w:val="en-US" w:eastAsia="zh-CN"/>
        </w:rPr>
        <w:t>不会</w:t>
      </w:r>
      <w:r>
        <w:rPr>
          <w:rFonts w:hint="eastAsia"/>
          <w:sz w:val="24"/>
        </w:rPr>
        <w:t>在社会</w:t>
      </w:r>
      <w:r>
        <w:rPr>
          <w:rFonts w:hint="eastAsia"/>
          <w:sz w:val="24"/>
          <w:lang w:val="en-US" w:eastAsia="zh-CN"/>
        </w:rPr>
        <w:t>层面</w:t>
      </w:r>
      <w:r>
        <w:rPr>
          <w:rFonts w:hint="eastAsia"/>
          <w:sz w:val="24"/>
        </w:rPr>
        <w:t>认为这是农村土地私有化的前兆，农民会预判这个土地就是属于他们自己的，他们可以对土地享有自由的处分权利，甚至包括买卖。同时，没地或少分地的家庭会加深对这项制度的排斥，</w:t>
      </w:r>
      <w:r>
        <w:rPr>
          <w:rFonts w:hint="eastAsia"/>
          <w:sz w:val="24"/>
          <w:lang w:val="en-US" w:eastAsia="zh-CN"/>
        </w:rPr>
        <w:t>成为</w:t>
      </w:r>
      <w:r>
        <w:rPr>
          <w:rFonts w:hint="eastAsia"/>
          <w:sz w:val="24"/>
        </w:rPr>
        <w:t>引发农村贫富分化和社会矛盾的新动因</w:t>
      </w:r>
      <w:r>
        <w:rPr>
          <w:rFonts w:hint="eastAsia"/>
          <w:sz w:val="24"/>
          <w:lang w:eastAsia="zh-CN"/>
        </w:rPr>
        <w:t>，</w:t>
      </w:r>
      <w:r>
        <w:rPr>
          <w:rFonts w:hint="eastAsia"/>
          <w:sz w:val="24"/>
          <w:lang w:val="en-US" w:eastAsia="zh-CN"/>
        </w:rPr>
        <w:t>对此</w:t>
      </w:r>
      <w:r>
        <w:rPr>
          <w:rFonts w:hint="eastAsia"/>
          <w:sz w:val="24"/>
        </w:rPr>
        <w:t>我们要提前做好宣传和引导工作</w:t>
      </w:r>
      <w:r>
        <w:rPr>
          <w:rFonts w:hint="eastAsia"/>
          <w:sz w:val="24"/>
          <w:lang w:eastAsia="zh-CN"/>
        </w:rPr>
        <w:t>。</w:t>
      </w:r>
      <w:r>
        <w:rPr>
          <w:rFonts w:hint="eastAsia"/>
          <w:sz w:val="24"/>
        </w:rPr>
        <w:t>二是</w:t>
      </w:r>
      <w:r>
        <w:rPr>
          <w:rFonts w:hint="eastAsia"/>
          <w:sz w:val="24"/>
          <w:lang w:val="en-US" w:eastAsia="zh-CN"/>
        </w:rPr>
        <w:t>如果</w:t>
      </w:r>
      <w:r>
        <w:rPr>
          <w:rFonts w:hint="eastAsia"/>
          <w:sz w:val="24"/>
          <w:lang w:eastAsia="zh-CN"/>
        </w:rPr>
        <w:t>“</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eastAsia="zh-CN"/>
        </w:rPr>
        <w:t>”</w:t>
      </w:r>
      <w:r>
        <w:rPr>
          <w:rFonts w:hint="eastAsia"/>
          <w:sz w:val="24"/>
          <w:lang w:val="en-US" w:eastAsia="zh-CN"/>
        </w:rPr>
        <w:t>应</w:t>
      </w:r>
      <w:r>
        <w:rPr>
          <w:rFonts w:hint="eastAsia"/>
          <w:sz w:val="24"/>
        </w:rPr>
        <w:t>充分考虑少地无地农户家庭的情况，保障这些农民享有本集体（主要以本村为参照物）平均的土地权益，</w:t>
      </w:r>
      <w:r>
        <w:rPr>
          <w:rFonts w:hint="eastAsia"/>
          <w:sz w:val="24"/>
          <w:lang w:val="en-US" w:eastAsia="zh-CN"/>
        </w:rPr>
        <w:t>那么</w:t>
      </w:r>
      <w:r>
        <w:rPr>
          <w:rFonts w:hint="eastAsia"/>
          <w:sz w:val="24"/>
        </w:rPr>
        <w:t>不仅</w:t>
      </w:r>
      <w:r>
        <w:rPr>
          <w:rFonts w:hint="eastAsia"/>
          <w:sz w:val="24"/>
          <w:lang w:val="en-US" w:eastAsia="zh-CN"/>
        </w:rPr>
        <w:t>可以</w:t>
      </w:r>
      <w:r>
        <w:rPr>
          <w:rFonts w:hint="eastAsia"/>
          <w:sz w:val="24"/>
        </w:rPr>
        <w:t>加深全体农民对集体所有制公平性的认同感，而且能</w:t>
      </w:r>
      <w:r>
        <w:rPr>
          <w:rFonts w:hint="eastAsia"/>
          <w:sz w:val="24"/>
          <w:lang w:val="en-US" w:eastAsia="zh-CN"/>
        </w:rPr>
        <w:t>遏制</w:t>
      </w:r>
      <w:r>
        <w:rPr>
          <w:rFonts w:hint="eastAsia"/>
          <w:sz w:val="24"/>
        </w:rPr>
        <w:t>一些私下买卖土地的违规行为，进一步</w:t>
      </w:r>
      <w:r>
        <w:rPr>
          <w:rFonts w:hint="eastAsia"/>
          <w:sz w:val="24"/>
          <w:lang w:eastAsia="zh-Hans"/>
        </w:rPr>
        <w:t>筑</w:t>
      </w:r>
      <w:r>
        <w:rPr>
          <w:rFonts w:hint="eastAsia"/>
          <w:sz w:val="24"/>
          <w:lang w:val="en-US" w:eastAsia="zh-CN"/>
        </w:rPr>
        <w:t>固</w:t>
      </w:r>
      <w:r>
        <w:rPr>
          <w:rFonts w:hint="eastAsia"/>
          <w:sz w:val="24"/>
        </w:rPr>
        <w:t>集体所有制在农村的根本经济制度地位</w:t>
      </w:r>
      <w:r>
        <w:rPr>
          <w:rFonts w:hint="eastAsia"/>
          <w:sz w:val="24"/>
          <w:lang w:eastAsia="zh-CN"/>
        </w:rPr>
        <w:t>；</w:t>
      </w:r>
      <w:r>
        <w:rPr>
          <w:rFonts w:hint="eastAsia"/>
          <w:sz w:val="24"/>
          <w:lang w:eastAsia="zh-Hans"/>
        </w:rPr>
        <w:t>三是</w:t>
      </w:r>
      <w:r>
        <w:rPr>
          <w:rFonts w:hint="eastAsia"/>
          <w:sz w:val="24"/>
          <w:lang w:val="en-US" w:eastAsia="zh-CN"/>
        </w:rPr>
        <w:t>如果</w:t>
      </w:r>
      <w:r>
        <w:rPr>
          <w:rFonts w:hint="eastAsia"/>
          <w:sz w:val="24"/>
          <w:lang w:eastAsia="zh-Hans"/>
        </w:rPr>
        <w:t>第二轮土地</w:t>
      </w:r>
      <w:r>
        <w:rPr>
          <w:rFonts w:hint="eastAsia"/>
          <w:sz w:val="24"/>
          <w:lang w:val="en-US" w:eastAsia="zh-CN"/>
        </w:rPr>
        <w:t>承包</w:t>
      </w:r>
      <w:r>
        <w:rPr>
          <w:rFonts w:hint="eastAsia"/>
          <w:sz w:val="24"/>
          <w:lang w:eastAsia="zh-Hans"/>
        </w:rPr>
        <w:t>到期后重新</w:t>
      </w:r>
      <w:r>
        <w:rPr>
          <w:rFonts w:hint="eastAsia"/>
          <w:sz w:val="24"/>
          <w:lang w:val="en-US" w:eastAsia="zh-CN"/>
        </w:rPr>
        <w:t>进行</w:t>
      </w:r>
      <w:r>
        <w:rPr>
          <w:rFonts w:hint="eastAsia"/>
          <w:sz w:val="24"/>
          <w:lang w:eastAsia="zh-Hans"/>
        </w:rPr>
        <w:t>分地，</w:t>
      </w:r>
      <w:r>
        <w:rPr>
          <w:rFonts w:hint="eastAsia"/>
          <w:sz w:val="24"/>
          <w:lang w:val="en-US" w:eastAsia="zh-CN"/>
        </w:rPr>
        <w:t>可能会涉及</w:t>
      </w:r>
      <w:r>
        <w:rPr>
          <w:rFonts w:hint="eastAsia"/>
          <w:sz w:val="24"/>
          <w:lang w:eastAsia="zh-Hans"/>
        </w:rPr>
        <w:t>一部分农户、土地流入方的土地，</w:t>
      </w:r>
      <w:r>
        <w:rPr>
          <w:rFonts w:hint="eastAsia"/>
          <w:sz w:val="24"/>
          <w:lang w:val="en-US" w:eastAsia="zh-CN"/>
        </w:rPr>
        <w:t>此时</w:t>
      </w:r>
      <w:r>
        <w:rPr>
          <w:rFonts w:hint="eastAsia"/>
          <w:sz w:val="24"/>
          <w:lang w:eastAsia="zh-Hans"/>
        </w:rPr>
        <w:t>一定要尊重农户原有的土地承包权，保障他们合法投资收益的补偿（集体组织不能弥补</w:t>
      </w:r>
      <w:r>
        <w:rPr>
          <w:rFonts w:hint="eastAsia"/>
          <w:sz w:val="24"/>
          <w:lang w:val="en-US" w:eastAsia="zh-CN"/>
        </w:rPr>
        <w:t>收益</w:t>
      </w:r>
      <w:r>
        <w:rPr>
          <w:rFonts w:hint="eastAsia"/>
          <w:sz w:val="24"/>
          <w:lang w:eastAsia="zh-Hans"/>
        </w:rPr>
        <w:t>差额的，应有县级政府给与解决），要善于聆听</w:t>
      </w:r>
      <w:r>
        <w:rPr>
          <w:rFonts w:hint="eastAsia"/>
          <w:sz w:val="24"/>
        </w:rPr>
        <w:t>参与</w:t>
      </w:r>
      <w:r>
        <w:rPr>
          <w:rFonts w:hint="eastAsia"/>
          <w:sz w:val="24"/>
          <w:lang w:eastAsia="zh-Hans"/>
        </w:rPr>
        <w:t>土地流转</w:t>
      </w:r>
      <w:r>
        <w:rPr>
          <w:rFonts w:hint="eastAsia"/>
          <w:sz w:val="24"/>
        </w:rPr>
        <w:t>的</w:t>
      </w:r>
      <w:r>
        <w:rPr>
          <w:rFonts w:hint="eastAsia"/>
          <w:sz w:val="24"/>
          <w:lang w:eastAsia="zh-Hans"/>
        </w:rPr>
        <w:t>农民家庭意愿表达，并给与合理</w:t>
      </w:r>
      <w:r>
        <w:rPr>
          <w:rFonts w:hint="eastAsia"/>
          <w:sz w:val="24"/>
          <w:lang w:val="en-US" w:eastAsia="zh-CN"/>
        </w:rPr>
        <w:t>的</w:t>
      </w:r>
      <w:r>
        <w:rPr>
          <w:rFonts w:hint="eastAsia"/>
          <w:sz w:val="24"/>
          <w:lang w:eastAsia="zh-Hans"/>
        </w:rPr>
        <w:t>解决方案</w:t>
      </w:r>
      <w:r>
        <w:rPr>
          <w:rFonts w:hint="eastAsia"/>
          <w:sz w:val="24"/>
          <w:lang w:eastAsia="zh-CN"/>
        </w:rPr>
        <w:t>。</w:t>
      </w:r>
      <w:r>
        <w:rPr>
          <w:rFonts w:hint="eastAsia"/>
          <w:sz w:val="24"/>
          <w:lang w:eastAsia="zh-Hans"/>
        </w:rPr>
        <w:t>我们不能因为重新分地就随意损害原有承包农户和土地流入方的利益，否则即便土地承包权再延长30年也难以弥补政策</w:t>
      </w:r>
      <w:r>
        <w:rPr>
          <w:rFonts w:hint="eastAsia"/>
          <w:sz w:val="24"/>
          <w:lang w:val="en-US" w:eastAsia="zh-CN"/>
        </w:rPr>
        <w:t>的</w:t>
      </w:r>
      <w:r>
        <w:rPr>
          <w:rFonts w:hint="eastAsia"/>
          <w:sz w:val="24"/>
          <w:lang w:eastAsia="zh-Hans"/>
        </w:rPr>
        <w:t>不科学对“三权分置”的伤害。</w:t>
      </w:r>
      <w:r>
        <w:rPr>
          <w:rFonts w:hint="eastAsia"/>
          <w:sz w:val="24"/>
        </w:rPr>
        <w:t>除以上设想，我们还应充分考虑不同农民主体的意愿、当地集体组织的意愿、流入方企业的意愿，让政策尽量照顾到各主体，画出一个涉及各方利益最大面积的“同心圆”。</w:t>
      </w:r>
    </w:p>
    <w:p w14:paraId="3C8EAB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四</w:t>
      </w:r>
      <w:r>
        <w:rPr>
          <w:rFonts w:hint="eastAsia"/>
          <w:b/>
          <w:bCs/>
          <w:sz w:val="24"/>
        </w:rPr>
        <w:t>、</w:t>
      </w:r>
      <w:r>
        <w:rPr>
          <w:rFonts w:hint="eastAsia"/>
          <w:b/>
          <w:bCs/>
          <w:sz w:val="24"/>
          <w:lang w:val="en-US" w:eastAsia="zh-CN"/>
        </w:rPr>
        <w:t>顺利实施</w:t>
      </w:r>
      <w:r>
        <w:rPr>
          <w:rFonts w:hint="eastAsia"/>
          <w:b/>
          <w:bCs/>
          <w:sz w:val="24"/>
        </w:rPr>
        <w:t>“第二轮土地承包</w:t>
      </w:r>
      <w:r>
        <w:rPr>
          <w:rFonts w:hint="eastAsia"/>
          <w:b/>
          <w:bCs/>
          <w:sz w:val="24"/>
          <w:lang w:val="en-US" w:eastAsia="zh-CN"/>
        </w:rPr>
        <w:t>到期后</w:t>
      </w:r>
      <w:r>
        <w:rPr>
          <w:rFonts w:hint="eastAsia"/>
          <w:b/>
          <w:bCs/>
          <w:sz w:val="24"/>
        </w:rPr>
        <w:t>再延长30年”</w:t>
      </w:r>
      <w:r>
        <w:rPr>
          <w:rFonts w:hint="eastAsia"/>
          <w:b/>
          <w:bCs/>
          <w:sz w:val="24"/>
          <w:lang w:val="en-US" w:eastAsia="zh-CN"/>
        </w:rPr>
        <w:t>顺利实施的对策建议</w:t>
      </w:r>
    </w:p>
    <w:p w14:paraId="19B00D5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基于</w:t>
      </w:r>
      <w:r>
        <w:rPr>
          <w:rFonts w:hint="eastAsia"/>
          <w:sz w:val="24"/>
          <w:lang w:val="en-US" w:eastAsia="zh-CN"/>
        </w:rPr>
        <w:t>上文</w:t>
      </w:r>
      <w:r>
        <w:rPr>
          <w:rFonts w:hint="eastAsia"/>
          <w:sz w:val="24"/>
        </w:rPr>
        <w:t>提出</w:t>
      </w:r>
      <w:r>
        <w:rPr>
          <w:rFonts w:hint="eastAsia"/>
          <w:sz w:val="24"/>
          <w:lang w:val="en-US" w:eastAsia="zh-CN"/>
        </w:rPr>
        <w:t>的</w:t>
      </w:r>
      <w:r>
        <w:rPr>
          <w:rFonts w:hint="eastAsia"/>
          <w:sz w:val="24"/>
        </w:rPr>
        <w:t>四个</w:t>
      </w:r>
      <w:r>
        <w:rPr>
          <w:rFonts w:hint="eastAsia"/>
          <w:sz w:val="24"/>
          <w:lang w:val="en-US" w:eastAsia="zh-CN"/>
        </w:rPr>
        <w:t>问题</w:t>
      </w:r>
      <w:r>
        <w:rPr>
          <w:rFonts w:hint="eastAsia"/>
          <w:sz w:val="24"/>
        </w:rPr>
        <w:t>，“第二轮土地承包</w:t>
      </w:r>
      <w:r>
        <w:rPr>
          <w:rFonts w:hint="eastAsia"/>
          <w:sz w:val="24"/>
          <w:lang w:val="en-US" w:eastAsia="zh-CN"/>
        </w:rPr>
        <w:t>到期后</w:t>
      </w:r>
      <w:r>
        <w:rPr>
          <w:rFonts w:hint="eastAsia"/>
          <w:sz w:val="24"/>
        </w:rPr>
        <w:t>再延长30年”，不管是否重新分地，都应该在今后的5年内（即第三轮土地承包期限的政策出台前）做好以下五个方面的重点工作，为2027年前后土地政策的顺利调整和稳定过渡做好筹划和铺垫。</w:t>
      </w:r>
    </w:p>
    <w:p w14:paraId="6336F5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1.</w:t>
      </w:r>
      <w:r>
        <w:rPr>
          <w:rFonts w:hint="eastAsia"/>
          <w:sz w:val="24"/>
        </w:rPr>
        <w:t>筹地：让集体经济组织有更多的机动地</w:t>
      </w:r>
    </w:p>
    <w:p w14:paraId="6ED013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为帮助村集体更为从容地应对2027年到来的“第二轮承包</w:t>
      </w:r>
      <w:r>
        <w:rPr>
          <w:rFonts w:hint="eastAsia"/>
          <w:sz w:val="24"/>
          <w:lang w:val="en-US" w:eastAsia="zh-CN"/>
        </w:rPr>
        <w:t>到期后</w:t>
      </w:r>
      <w:r>
        <w:rPr>
          <w:rFonts w:hint="eastAsia"/>
          <w:sz w:val="24"/>
        </w:rPr>
        <w:t>再延长30年”的政策</w:t>
      </w:r>
      <w:r>
        <w:rPr>
          <w:rFonts w:hint="eastAsia"/>
          <w:sz w:val="24"/>
          <w:lang w:val="en-US" w:eastAsia="zh-CN"/>
        </w:rPr>
        <w:t>调整</w:t>
      </w:r>
      <w:r>
        <w:rPr>
          <w:rFonts w:hint="eastAsia"/>
          <w:sz w:val="24"/>
        </w:rPr>
        <w:t>，应当支持和鼓励村集体尽可能多的预留农村闲散的机动地。按照</w:t>
      </w:r>
      <w:r>
        <w:rPr>
          <w:rFonts w:hint="eastAsia"/>
          <w:sz w:val="24"/>
          <w:lang w:eastAsia="zh-CN"/>
        </w:rPr>
        <w:t>《</w:t>
      </w:r>
      <w:r>
        <w:rPr>
          <w:rFonts w:hint="eastAsia"/>
          <w:sz w:val="24"/>
        </w:rPr>
        <w:t>中华人民共和国土地管理法</w:t>
      </w:r>
      <w:r>
        <w:rPr>
          <w:rFonts w:hint="eastAsia"/>
          <w:sz w:val="24"/>
          <w:lang w:eastAsia="zh-CN"/>
        </w:rPr>
        <w:t>》</w:t>
      </w:r>
      <w:r>
        <w:rPr>
          <w:rFonts w:hint="eastAsia"/>
          <w:sz w:val="24"/>
        </w:rPr>
        <w:t>的规定，村集体预留机动地的总面积不能超过全村耕地面积的5%，这个比例在当前阶段可灵活浮动、</w:t>
      </w:r>
      <w:r>
        <w:rPr>
          <w:rFonts w:hint="eastAsia"/>
          <w:sz w:val="24"/>
          <w:lang w:val="en-US" w:eastAsia="zh-CN"/>
        </w:rPr>
        <w:t>或</w:t>
      </w:r>
      <w:r>
        <w:rPr>
          <w:rFonts w:hint="eastAsia"/>
          <w:sz w:val="24"/>
        </w:rPr>
        <w:t>适度提高</w:t>
      </w:r>
      <w:r>
        <w:rPr>
          <w:rFonts w:hint="eastAsia"/>
          <w:sz w:val="24"/>
          <w:lang w:eastAsia="zh-CN"/>
        </w:rPr>
        <w:t>，</w:t>
      </w:r>
      <w:r>
        <w:rPr>
          <w:rFonts w:hint="eastAsia"/>
          <w:sz w:val="24"/>
        </w:rPr>
        <w:t>或者近几年不设比例，目的是为未来政策过渡预留空间。过渡期间，机动地可短期出租</w:t>
      </w:r>
      <w:r>
        <w:rPr>
          <w:rFonts w:hint="eastAsia"/>
          <w:sz w:val="24"/>
          <w:lang w:val="en-US" w:eastAsia="zh-CN"/>
        </w:rPr>
        <w:t>来</w:t>
      </w:r>
      <w:r>
        <w:rPr>
          <w:rFonts w:hint="eastAsia"/>
          <w:sz w:val="24"/>
        </w:rPr>
        <w:t>获取短期经济收益。同时，在这5年的时间内，各地区村集体</w:t>
      </w:r>
      <w:r>
        <w:rPr>
          <w:rFonts w:hint="eastAsia"/>
          <w:sz w:val="24"/>
          <w:lang w:val="en-US" w:eastAsia="zh-CN"/>
        </w:rPr>
        <w:t>应尽快</w:t>
      </w:r>
      <w:r>
        <w:rPr>
          <w:rFonts w:hint="eastAsia"/>
          <w:sz w:val="24"/>
        </w:rPr>
        <w:t>把进城农户、外迁农户、消亡无承包权继承等农户的承包土地按照法定程序登记在集体组织名下</w:t>
      </w:r>
      <w:r>
        <w:rPr>
          <w:rFonts w:hint="eastAsia"/>
          <w:sz w:val="24"/>
          <w:lang w:eastAsia="zh-CN"/>
        </w:rPr>
        <w:t>。</w:t>
      </w:r>
      <w:r>
        <w:rPr>
          <w:rFonts w:hint="eastAsia"/>
          <w:sz w:val="24"/>
        </w:rPr>
        <w:t>对于一些有能力的村集体，可以鼓励</w:t>
      </w:r>
      <w:r>
        <w:rPr>
          <w:rFonts w:hint="eastAsia"/>
          <w:sz w:val="24"/>
          <w:lang w:val="en-US" w:eastAsia="zh-CN"/>
        </w:rPr>
        <w:t>其</w:t>
      </w:r>
      <w:r>
        <w:rPr>
          <w:rFonts w:hint="eastAsia"/>
          <w:sz w:val="24"/>
        </w:rPr>
        <w:t>让一些非农就业能力强的农户退出土地承包经营，并给与合理的经济补偿，增加集体经济组织的土地占有数量。可以预见的是，未来村集体预留的机动地和占有地的数量越多，这些村集体在“第二轮土地承包</w:t>
      </w:r>
      <w:r>
        <w:rPr>
          <w:rFonts w:hint="eastAsia"/>
          <w:sz w:val="24"/>
          <w:lang w:val="en-US" w:eastAsia="zh-CN"/>
        </w:rPr>
        <w:t>到期后</w:t>
      </w:r>
      <w:r>
        <w:rPr>
          <w:rFonts w:hint="eastAsia"/>
          <w:sz w:val="24"/>
        </w:rPr>
        <w:t>再延长30年”的改革中可协调的空间就越大，村集体有足够土地去保障本集体组织成员“公平分地”愿望，</w:t>
      </w:r>
      <w:r>
        <w:rPr>
          <w:rFonts w:hint="eastAsia"/>
          <w:sz w:val="24"/>
          <w:lang w:val="en-US" w:eastAsia="zh-CN"/>
        </w:rPr>
        <w:t>才能</w:t>
      </w:r>
      <w:r>
        <w:rPr>
          <w:rFonts w:hint="eastAsia"/>
          <w:sz w:val="24"/>
        </w:rPr>
        <w:t>为第三轮土地承包期开好头</w:t>
      </w:r>
      <w:r>
        <w:rPr>
          <w:rFonts w:hint="eastAsia"/>
          <w:sz w:val="24"/>
          <w:lang w:val="en-US" w:eastAsia="zh-CN"/>
        </w:rPr>
        <w:t>迈好步</w:t>
      </w:r>
      <w:r>
        <w:rPr>
          <w:rFonts w:hint="eastAsia"/>
          <w:sz w:val="24"/>
        </w:rPr>
        <w:t>。</w:t>
      </w:r>
    </w:p>
    <w:p w14:paraId="5F09D7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2.</w:t>
      </w:r>
      <w:r>
        <w:rPr>
          <w:rFonts w:hint="eastAsia"/>
          <w:sz w:val="24"/>
        </w:rPr>
        <w:t>筹钱：让集体经济组</w:t>
      </w:r>
      <w:r>
        <w:rPr>
          <w:rFonts w:hint="eastAsia"/>
          <w:sz w:val="24"/>
          <w:lang w:val="en-US" w:eastAsia="zh-CN"/>
        </w:rPr>
        <w:t>织</w:t>
      </w:r>
      <w:r>
        <w:rPr>
          <w:rFonts w:hint="eastAsia"/>
          <w:sz w:val="24"/>
        </w:rPr>
        <w:t>有更多的</w:t>
      </w:r>
      <w:r>
        <w:rPr>
          <w:rFonts w:hint="eastAsia"/>
          <w:sz w:val="24"/>
          <w:lang w:val="en-US" w:eastAsia="zh-CN"/>
        </w:rPr>
        <w:t>调节</w:t>
      </w:r>
      <w:r>
        <w:rPr>
          <w:rFonts w:hint="eastAsia"/>
          <w:sz w:val="24"/>
        </w:rPr>
        <w:t>资金</w:t>
      </w:r>
    </w:p>
    <w:p w14:paraId="518EB6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对于一些机动地和退出承包地都比较紧张的村集体，可以选择</w:t>
      </w:r>
      <w:r>
        <w:rPr>
          <w:rFonts w:hint="eastAsia"/>
          <w:sz w:val="24"/>
          <w:lang w:val="en-US" w:eastAsia="zh-CN"/>
        </w:rPr>
        <w:t>其他</w:t>
      </w:r>
      <w:r>
        <w:rPr>
          <w:rFonts w:hint="eastAsia"/>
          <w:sz w:val="24"/>
        </w:rPr>
        <w:t>方式</w:t>
      </w:r>
      <w:r>
        <w:rPr>
          <w:rFonts w:hint="eastAsia"/>
          <w:sz w:val="24"/>
          <w:lang w:val="en-US" w:eastAsia="zh-CN"/>
        </w:rPr>
        <w:t>来</w:t>
      </w:r>
      <w:r>
        <w:rPr>
          <w:rFonts w:hint="eastAsia"/>
          <w:sz w:val="24"/>
        </w:rPr>
        <w:t>保障2027年土地承包期限再延长30年</w:t>
      </w:r>
      <w:r>
        <w:rPr>
          <w:rFonts w:hint="eastAsia"/>
          <w:sz w:val="24"/>
          <w:lang w:val="en-US" w:eastAsia="zh-CN"/>
        </w:rPr>
        <w:t>政策</w:t>
      </w:r>
      <w:r>
        <w:rPr>
          <w:rFonts w:hint="eastAsia"/>
          <w:sz w:val="24"/>
        </w:rPr>
        <w:t>的顺利进行。</w:t>
      </w:r>
      <w:r>
        <w:rPr>
          <w:rFonts w:hint="eastAsia"/>
          <w:sz w:val="24"/>
          <w:lang w:val="en-US" w:eastAsia="zh-CN"/>
        </w:rPr>
        <w:t>例</w:t>
      </w:r>
      <w:r>
        <w:rPr>
          <w:rFonts w:hint="eastAsia"/>
          <w:sz w:val="24"/>
        </w:rPr>
        <w:t>如</w:t>
      </w:r>
      <w:r>
        <w:rPr>
          <w:rFonts w:hint="eastAsia"/>
          <w:sz w:val="24"/>
          <w:lang w:eastAsia="zh-CN"/>
        </w:rPr>
        <w:t>，</w:t>
      </w:r>
      <w:r>
        <w:rPr>
          <w:rFonts w:hint="eastAsia"/>
          <w:sz w:val="24"/>
        </w:rPr>
        <w:t>对于一些有集体资产的村集体，</w:t>
      </w:r>
      <w:r>
        <w:rPr>
          <w:rFonts w:hint="eastAsia"/>
          <w:sz w:val="24"/>
          <w:lang w:val="en-US" w:eastAsia="zh-CN"/>
        </w:rPr>
        <w:t>通过巩固提升农村集体产权制度改革成果、构建产权关系明晰、治理架构科学、经营方式稳健、收益分配合理的运行机制，探索资源发包、物业出租、资产参股等多途径发展农村集体经济，把</w:t>
      </w:r>
      <w:r>
        <w:rPr>
          <w:rFonts w:hint="eastAsia"/>
          <w:sz w:val="24"/>
        </w:rPr>
        <w:t>最近5年村集体资产收益</w:t>
      </w:r>
      <w:r>
        <w:rPr>
          <w:rFonts w:hint="eastAsia"/>
          <w:sz w:val="24"/>
          <w:lang w:val="en-US" w:eastAsia="zh-CN"/>
        </w:rPr>
        <w:t>适度</w:t>
      </w:r>
      <w:r>
        <w:rPr>
          <w:rFonts w:hint="eastAsia"/>
          <w:sz w:val="24"/>
        </w:rPr>
        <w:t>封存起来，在2027年重新签订承包协议时，根据每家农户的土地数量，对一些“少地多人”和“多地少人”的农户家庭进行调配，根据当地土地每亩经营收益，让少地的农户多领一些集体经济收入，让多地的农户少领一些集体经济的收入</w:t>
      </w:r>
      <w:r>
        <w:rPr>
          <w:rFonts w:hint="eastAsia"/>
          <w:sz w:val="24"/>
          <w:lang w:eastAsia="zh-CN"/>
        </w:rPr>
        <w:t>。</w:t>
      </w:r>
      <w:r>
        <w:rPr>
          <w:rFonts w:hint="eastAsia"/>
          <w:sz w:val="24"/>
        </w:rPr>
        <w:t>这个决策权应</w:t>
      </w:r>
      <w:r>
        <w:rPr>
          <w:rFonts w:hint="eastAsia"/>
          <w:sz w:val="24"/>
          <w:lang w:val="en-US" w:eastAsia="zh-CN"/>
        </w:rPr>
        <w:t>由</w:t>
      </w:r>
      <w:r>
        <w:rPr>
          <w:rFonts w:hint="eastAsia"/>
          <w:sz w:val="24"/>
        </w:rPr>
        <w:t>每个</w:t>
      </w:r>
      <w:r>
        <w:rPr>
          <w:rFonts w:hint="eastAsia"/>
          <w:sz w:val="24"/>
          <w:lang w:val="en-US" w:eastAsia="zh-CN"/>
        </w:rPr>
        <w:t>村的集体组织</w:t>
      </w:r>
      <w:r>
        <w:rPr>
          <w:rFonts w:hint="eastAsia"/>
          <w:sz w:val="24"/>
        </w:rPr>
        <w:t>自主协商，</w:t>
      </w:r>
      <w:r>
        <w:rPr>
          <w:rFonts w:hint="eastAsia"/>
          <w:sz w:val="24"/>
          <w:lang w:val="en-US" w:eastAsia="zh-CN"/>
        </w:rPr>
        <w:t>乡镇基层</w:t>
      </w:r>
      <w:r>
        <w:rPr>
          <w:rFonts w:hint="eastAsia"/>
          <w:sz w:val="24"/>
        </w:rPr>
        <w:t>政府</w:t>
      </w:r>
      <w:r>
        <w:rPr>
          <w:rFonts w:hint="eastAsia"/>
          <w:sz w:val="24"/>
          <w:lang w:val="en-US" w:eastAsia="zh-CN"/>
        </w:rPr>
        <w:t>进行监督和</w:t>
      </w:r>
      <w:r>
        <w:rPr>
          <w:rFonts w:hint="eastAsia"/>
          <w:sz w:val="24"/>
        </w:rPr>
        <w:t>指导。同时，一些出让集体建设用地和土地指标转换的村集体，也应把这些经济收入的集体部分封存起来，或留存一定的比例用于未来分地，目的是在签订第三轮土地承包合同时</w:t>
      </w:r>
      <w:r>
        <w:rPr>
          <w:rFonts w:hint="eastAsia"/>
          <w:sz w:val="24"/>
          <w:lang w:val="en-US" w:eastAsia="zh-CN"/>
        </w:rPr>
        <w:t>将阻碍提前清除</w:t>
      </w:r>
      <w:r>
        <w:rPr>
          <w:rFonts w:hint="eastAsia"/>
          <w:sz w:val="24"/>
        </w:rPr>
        <w:t>，</w:t>
      </w:r>
      <w:r>
        <w:rPr>
          <w:rFonts w:hint="eastAsia"/>
          <w:sz w:val="24"/>
          <w:lang w:val="en-US" w:eastAsia="zh-CN"/>
        </w:rPr>
        <w:t>用</w:t>
      </w:r>
      <w:r>
        <w:rPr>
          <w:rFonts w:hint="eastAsia"/>
          <w:sz w:val="24"/>
        </w:rPr>
        <w:t>不同的经济方式来实现本集体组织成员利益均等化，从而保障政策的顺利推</w:t>
      </w:r>
      <w:r>
        <w:rPr>
          <w:rFonts w:hint="eastAsia"/>
          <w:sz w:val="24"/>
          <w:lang w:val="en-US" w:eastAsia="zh-CN"/>
        </w:rPr>
        <w:t>行</w:t>
      </w:r>
      <w:r>
        <w:rPr>
          <w:rFonts w:hint="eastAsia"/>
          <w:sz w:val="24"/>
        </w:rPr>
        <w:t>。</w:t>
      </w:r>
    </w:p>
    <w:p w14:paraId="0DF45C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3.</w:t>
      </w:r>
      <w:r>
        <w:rPr>
          <w:rFonts w:hint="eastAsia"/>
          <w:sz w:val="24"/>
        </w:rPr>
        <w:t>筹股：让集体经济组织有更多的股份资产</w:t>
      </w:r>
    </w:p>
    <w:p w14:paraId="7F67E2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针对一些有集体企业和土地股份的农村</w:t>
      </w:r>
      <w:r>
        <w:rPr>
          <w:rFonts w:hint="eastAsia"/>
          <w:sz w:val="24"/>
          <w:lang w:val="en-US" w:eastAsia="zh-CN"/>
        </w:rPr>
        <w:t>集体</w:t>
      </w:r>
      <w:r>
        <w:rPr>
          <w:rFonts w:hint="eastAsia"/>
          <w:sz w:val="24"/>
        </w:rPr>
        <w:t>经济组织，可在最近5年筹备一些属于村集体所有的股份。部分地区的集体经济组织有自己的乡镇企业，这些企业的股权应在近几年内进行梳理</w:t>
      </w:r>
      <w:r>
        <w:rPr>
          <w:rFonts w:hint="eastAsia"/>
          <w:sz w:val="24"/>
          <w:lang w:eastAsia="zh-CN"/>
        </w:rPr>
        <w:t>。</w:t>
      </w:r>
      <w:r>
        <w:rPr>
          <w:rFonts w:hint="eastAsia"/>
          <w:sz w:val="24"/>
        </w:rPr>
        <w:t>对于一些迁出本集体经济组织或者退股的农户，应把这些股权回笼到集体经济组织名下，暂不分配。对于一些</w:t>
      </w:r>
      <w:r>
        <w:rPr>
          <w:rFonts w:hint="eastAsia"/>
          <w:sz w:val="24"/>
          <w:lang w:val="en-US" w:eastAsia="zh-CN"/>
        </w:rPr>
        <w:t>实行</w:t>
      </w:r>
      <w:r>
        <w:rPr>
          <w:rFonts w:hint="eastAsia"/>
          <w:sz w:val="24"/>
        </w:rPr>
        <w:t>农村土地股份制的村集体，也应统计</w:t>
      </w:r>
      <w:r>
        <w:rPr>
          <w:rFonts w:hint="eastAsia"/>
          <w:sz w:val="24"/>
          <w:lang w:val="en-US" w:eastAsia="zh-CN"/>
        </w:rPr>
        <w:t>股份</w:t>
      </w:r>
      <w:r>
        <w:rPr>
          <w:rFonts w:hint="eastAsia"/>
          <w:sz w:val="24"/>
        </w:rPr>
        <w:t>的数量，哪些属于农民</w:t>
      </w:r>
      <w:r>
        <w:rPr>
          <w:rFonts w:hint="eastAsia"/>
          <w:sz w:val="24"/>
          <w:lang w:val="en-US" w:eastAsia="zh-CN"/>
        </w:rPr>
        <w:t>土地</w:t>
      </w:r>
      <w:r>
        <w:rPr>
          <w:rFonts w:hint="eastAsia"/>
          <w:sz w:val="24"/>
        </w:rPr>
        <w:t>承包权入股，哪些属于集体预留土地入股，哪些属于退出承包后的遗留股份</w:t>
      </w:r>
      <w:r>
        <w:rPr>
          <w:rFonts w:hint="eastAsia"/>
          <w:sz w:val="24"/>
          <w:lang w:eastAsia="zh-CN"/>
        </w:rPr>
        <w:t>，</w:t>
      </w:r>
      <w:r>
        <w:rPr>
          <w:rFonts w:hint="eastAsia"/>
          <w:sz w:val="24"/>
          <w:lang w:val="en-US" w:eastAsia="zh-CN"/>
        </w:rPr>
        <w:t>都应提前</w:t>
      </w:r>
      <w:r>
        <w:rPr>
          <w:rFonts w:hint="eastAsia"/>
          <w:sz w:val="24"/>
        </w:rPr>
        <w:t>核定清楚，全面了解本集体可以调动的经济资源，</w:t>
      </w:r>
      <w:r>
        <w:rPr>
          <w:rFonts w:hint="eastAsia"/>
          <w:sz w:val="24"/>
          <w:lang w:val="en-US" w:eastAsia="zh-CN"/>
        </w:rPr>
        <w:t>如此可化解</w:t>
      </w:r>
      <w:r>
        <w:rPr>
          <w:rFonts w:hint="eastAsia"/>
          <w:sz w:val="24"/>
        </w:rPr>
        <w:t>2027年</w:t>
      </w:r>
      <w:r>
        <w:rPr>
          <w:rFonts w:hint="eastAsia"/>
          <w:sz w:val="24"/>
          <w:lang w:val="en-US" w:eastAsia="zh-CN"/>
        </w:rPr>
        <w:t>签订</w:t>
      </w:r>
      <w:r>
        <w:rPr>
          <w:rFonts w:hint="eastAsia"/>
          <w:sz w:val="24"/>
        </w:rPr>
        <w:t>第三轮土地承包合同</w:t>
      </w:r>
      <w:r>
        <w:rPr>
          <w:rFonts w:hint="eastAsia"/>
          <w:sz w:val="24"/>
          <w:lang w:val="en-US" w:eastAsia="zh-CN"/>
        </w:rPr>
        <w:t>时的</w:t>
      </w:r>
      <w:r>
        <w:rPr>
          <w:rFonts w:hint="eastAsia"/>
          <w:sz w:val="24"/>
        </w:rPr>
        <w:t>阻力。同时，筹股还有一个好处，就是通过承包权不动，经营权集中连片，结合农田整治和高标准农田建设，以村组为单位实现全域或分片的集中整理；让村民通过入股等流转方式实现土地规模经营，以达到规模经济效应，并把多出的经济效益通过股份公平地分配给每一户村民。</w:t>
      </w:r>
      <w:r>
        <w:rPr>
          <w:rFonts w:hint="eastAsia"/>
          <w:sz w:val="24"/>
          <w:lang w:val="en-US" w:eastAsia="zh-CN"/>
        </w:rPr>
        <w:t>此外</w:t>
      </w:r>
      <w:r>
        <w:rPr>
          <w:rFonts w:hint="eastAsia"/>
          <w:sz w:val="24"/>
        </w:rPr>
        <w:t>，在筹股实施过程中，必须尊重农民意愿，农民群众不认可的，可以等一等、放一放，</w:t>
      </w:r>
      <w:r>
        <w:rPr>
          <w:rFonts w:hint="eastAsia"/>
          <w:sz w:val="24"/>
          <w:lang w:val="en-US" w:eastAsia="zh-CN"/>
        </w:rPr>
        <w:t>以时间换空间</w:t>
      </w:r>
      <w:r>
        <w:rPr>
          <w:rFonts w:hint="eastAsia"/>
          <w:sz w:val="24"/>
          <w:lang w:eastAsia="zh-CN"/>
        </w:rPr>
        <w:t>，</w:t>
      </w:r>
      <w:r>
        <w:rPr>
          <w:rFonts w:hint="eastAsia"/>
          <w:sz w:val="24"/>
          <w:lang w:val="en-US" w:eastAsia="zh-CN"/>
        </w:rPr>
        <w:t>绝对</w:t>
      </w:r>
      <w:r>
        <w:rPr>
          <w:rFonts w:hint="eastAsia"/>
          <w:sz w:val="24"/>
        </w:rPr>
        <w:t>不</w:t>
      </w:r>
      <w:r>
        <w:rPr>
          <w:rFonts w:hint="eastAsia"/>
          <w:sz w:val="24"/>
          <w:lang w:val="en-US" w:eastAsia="zh-CN"/>
        </w:rPr>
        <w:t>能用</w:t>
      </w:r>
      <w:r>
        <w:rPr>
          <w:rFonts w:hint="eastAsia"/>
          <w:sz w:val="24"/>
        </w:rPr>
        <w:t>行政强行推动。如此</w:t>
      </w:r>
      <w:r>
        <w:rPr>
          <w:rFonts w:hint="eastAsia"/>
          <w:sz w:val="24"/>
          <w:lang w:val="en-US" w:eastAsia="zh-CN"/>
        </w:rPr>
        <w:t>一</w:t>
      </w:r>
      <w:r>
        <w:rPr>
          <w:rFonts w:hint="eastAsia"/>
          <w:sz w:val="24"/>
        </w:rPr>
        <w:t>来，我们既能让改革和谐平稳地推进，又能实现国家期</w:t>
      </w:r>
      <w:r>
        <w:rPr>
          <w:rFonts w:hint="eastAsia"/>
          <w:sz w:val="24"/>
          <w:lang w:val="en-US" w:eastAsia="zh-CN"/>
        </w:rPr>
        <w:t>冀</w:t>
      </w:r>
      <w:r>
        <w:rPr>
          <w:rFonts w:hint="eastAsia"/>
          <w:sz w:val="24"/>
        </w:rPr>
        <w:t>“整合土地资源推动规模经营”的宏观战略目标。</w:t>
      </w:r>
    </w:p>
    <w:p w14:paraId="1BFD09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4.</w:t>
      </w:r>
      <w:r>
        <w:rPr>
          <w:rFonts w:hint="eastAsia"/>
          <w:sz w:val="24"/>
        </w:rPr>
        <w:t>筹业：让集体经济组织谋划更多的非农就业岗位</w:t>
      </w:r>
    </w:p>
    <w:p w14:paraId="4E5BEA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积极发展新型农村集体经济，</w:t>
      </w:r>
      <w:r>
        <w:rPr>
          <w:rFonts w:hint="eastAsia"/>
          <w:sz w:val="24"/>
        </w:rPr>
        <w:t>各地区可结合自身的资源禀赋、市场定位、历史遗留和村民资源等发展本地区具有特色的集体经济组织</w:t>
      </w:r>
      <w:r>
        <w:rPr>
          <w:rFonts w:hint="eastAsia"/>
          <w:sz w:val="24"/>
          <w:lang w:eastAsia="zh-CN"/>
        </w:rPr>
        <w:t>，</w:t>
      </w:r>
      <w:r>
        <w:rPr>
          <w:rFonts w:hint="eastAsia"/>
          <w:sz w:val="24"/>
          <w:lang w:val="en-US" w:eastAsia="zh-CN"/>
        </w:rPr>
        <w:t>提供更多的非农就业岗位</w:t>
      </w:r>
      <w:r>
        <w:rPr>
          <w:rFonts w:hint="eastAsia"/>
          <w:sz w:val="24"/>
        </w:rPr>
        <w:t>。</w:t>
      </w:r>
      <w:r>
        <w:rPr>
          <w:rFonts w:hint="eastAsia"/>
          <w:sz w:val="24"/>
          <w:lang w:val="en-US" w:eastAsia="zh-CN"/>
        </w:rPr>
        <w:t>首先，加强农村集体经济组织建设，大力发展具有特色的农村集体经济，</w:t>
      </w:r>
      <w:r>
        <w:rPr>
          <w:rFonts w:hint="eastAsia"/>
          <w:sz w:val="24"/>
        </w:rPr>
        <w:t>以吸纳在农村没地或少地的农村户籍人口就业</w:t>
      </w:r>
      <w:r>
        <w:rPr>
          <w:rFonts w:hint="eastAsia"/>
          <w:sz w:val="24"/>
          <w:lang w:eastAsia="zh-CN"/>
        </w:rPr>
        <w:t>。</w:t>
      </w:r>
      <w:r>
        <w:rPr>
          <w:rFonts w:hint="eastAsia"/>
          <w:sz w:val="24"/>
          <w:lang w:val="en-US" w:eastAsia="zh-CN"/>
        </w:rPr>
        <w:t>其次，</w:t>
      </w:r>
      <w:r>
        <w:rPr>
          <w:rFonts w:hint="eastAsia"/>
          <w:sz w:val="24"/>
        </w:rPr>
        <w:t>各地区可以创新发展“供销合作社”，通过与农业息息相关的组织来提供更多工作岗位，重点吸纳在农村没地或少地的农村户籍人口就业</w:t>
      </w:r>
      <w:r>
        <w:rPr>
          <w:rFonts w:hint="eastAsia"/>
          <w:sz w:val="24"/>
          <w:lang w:eastAsia="zh-CN"/>
        </w:rPr>
        <w:t>。</w:t>
      </w:r>
      <w:r>
        <w:rPr>
          <w:rFonts w:hint="eastAsia"/>
          <w:sz w:val="24"/>
          <w:lang w:val="en-US" w:eastAsia="zh-CN"/>
        </w:rPr>
        <w:t>最后，加大与当地“农投公司”“农发公司”的合作力度，或引进社会资本投资本地区农业生产项目，鼓励</w:t>
      </w:r>
      <w:r>
        <w:rPr>
          <w:rFonts w:hint="eastAsia"/>
          <w:sz w:val="24"/>
        </w:rPr>
        <w:t>延</w:t>
      </w:r>
      <w:r>
        <w:rPr>
          <w:rFonts w:hint="eastAsia"/>
          <w:sz w:val="24"/>
          <w:lang w:val="en-US" w:eastAsia="zh-CN"/>
        </w:rPr>
        <w:t>伸</w:t>
      </w:r>
      <w:r>
        <w:rPr>
          <w:rFonts w:hint="eastAsia"/>
          <w:sz w:val="24"/>
        </w:rPr>
        <w:t>农业产业链条</w:t>
      </w:r>
      <w:r>
        <w:rPr>
          <w:rFonts w:hint="eastAsia"/>
          <w:sz w:val="24"/>
          <w:lang w:eastAsia="zh-CN"/>
        </w:rPr>
        <w:t>，</w:t>
      </w:r>
      <w:r>
        <w:rPr>
          <w:rFonts w:hint="eastAsia"/>
          <w:sz w:val="24"/>
        </w:rPr>
        <w:t>提升农业资本有机构成。这些资金、项目、企业</w:t>
      </w:r>
      <w:r>
        <w:rPr>
          <w:rFonts w:hint="eastAsia"/>
          <w:sz w:val="24"/>
          <w:lang w:val="en-US" w:eastAsia="zh-CN"/>
        </w:rPr>
        <w:t>可以</w:t>
      </w:r>
      <w:r>
        <w:rPr>
          <w:rFonts w:hint="eastAsia"/>
          <w:sz w:val="24"/>
        </w:rPr>
        <w:t>为本地拓展</w:t>
      </w:r>
      <w:r>
        <w:rPr>
          <w:rFonts w:hint="eastAsia"/>
          <w:sz w:val="24"/>
          <w:lang w:val="en-US" w:eastAsia="zh-CN"/>
        </w:rPr>
        <w:t>更多的</w:t>
      </w:r>
      <w:r>
        <w:rPr>
          <w:rFonts w:hint="eastAsia"/>
          <w:sz w:val="24"/>
        </w:rPr>
        <w:t>就业岗位，让本地村民有更多</w:t>
      </w:r>
      <w:r>
        <w:rPr>
          <w:rFonts w:hint="eastAsia"/>
          <w:sz w:val="24"/>
          <w:lang w:val="en-US" w:eastAsia="zh-CN"/>
        </w:rPr>
        <w:t>机会在</w:t>
      </w:r>
      <w:r>
        <w:rPr>
          <w:rFonts w:hint="eastAsia"/>
          <w:sz w:val="24"/>
        </w:rPr>
        <w:t>当地</w:t>
      </w:r>
      <w:r>
        <w:rPr>
          <w:rFonts w:hint="eastAsia"/>
          <w:sz w:val="24"/>
          <w:lang w:val="en-US" w:eastAsia="zh-CN"/>
        </w:rPr>
        <w:t>实现</w:t>
      </w:r>
      <w:r>
        <w:rPr>
          <w:rFonts w:hint="eastAsia"/>
          <w:sz w:val="24"/>
        </w:rPr>
        <w:t>非农就业。因而，未来5年</w:t>
      </w:r>
      <w:r>
        <w:rPr>
          <w:rFonts w:hint="eastAsia"/>
          <w:sz w:val="24"/>
          <w:lang w:eastAsia="zh-CN"/>
        </w:rPr>
        <w:t>，</w:t>
      </w:r>
      <w:r>
        <w:rPr>
          <w:rFonts w:hint="eastAsia"/>
          <w:sz w:val="24"/>
        </w:rPr>
        <w:t>一些有条件的地区也可以筹建相关涉农企业或项目，为当地少地农户优先提供非农就业机会</w:t>
      </w:r>
      <w:r>
        <w:rPr>
          <w:rFonts w:hint="eastAsia"/>
          <w:sz w:val="24"/>
          <w:lang w:val="en-US" w:eastAsia="zh-CN"/>
        </w:rPr>
        <w:t>和技术培训</w:t>
      </w:r>
      <w:r>
        <w:rPr>
          <w:rFonts w:hint="eastAsia"/>
          <w:sz w:val="24"/>
        </w:rPr>
        <w:t>，让他们从非农就业中获取工资性收入，</w:t>
      </w:r>
      <w:r>
        <w:rPr>
          <w:rFonts w:hint="eastAsia"/>
          <w:sz w:val="24"/>
          <w:lang w:val="en-US" w:eastAsia="zh-CN"/>
        </w:rPr>
        <w:t>以</w:t>
      </w:r>
      <w:r>
        <w:rPr>
          <w:rFonts w:hint="eastAsia"/>
          <w:sz w:val="24"/>
        </w:rPr>
        <w:t>维持当地正常的收入水平。</w:t>
      </w:r>
    </w:p>
    <w:p w14:paraId="2191AC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5.</w:t>
      </w:r>
      <w:r>
        <w:rPr>
          <w:rFonts w:hint="eastAsia"/>
          <w:sz w:val="24"/>
        </w:rPr>
        <w:t>筹保：为退出农户提供健全的社会保障补偿机制</w:t>
      </w:r>
    </w:p>
    <w:p w14:paraId="622BBBF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在第二轮土地</w:t>
      </w:r>
      <w:r>
        <w:rPr>
          <w:rFonts w:hint="eastAsia"/>
          <w:sz w:val="24"/>
          <w:lang w:val="en-US" w:eastAsia="zh-CN"/>
        </w:rPr>
        <w:t>承包</w:t>
      </w:r>
      <w:r>
        <w:rPr>
          <w:rFonts w:hint="eastAsia"/>
          <w:sz w:val="24"/>
        </w:rPr>
        <w:t>到期前的未来五年，</w:t>
      </w:r>
      <w:r>
        <w:rPr>
          <w:rFonts w:hint="eastAsia"/>
          <w:sz w:val="24"/>
          <w:lang w:val="en-US" w:eastAsia="zh-CN"/>
        </w:rPr>
        <w:t>一些经济条件好的地区</w:t>
      </w:r>
      <w:r>
        <w:rPr>
          <w:rFonts w:hint="eastAsia"/>
          <w:sz w:val="24"/>
        </w:rPr>
        <w:t>可以</w:t>
      </w:r>
      <w:r>
        <w:rPr>
          <w:rFonts w:hint="eastAsia"/>
          <w:sz w:val="24"/>
          <w:lang w:val="en-US" w:eastAsia="zh-CN"/>
        </w:rPr>
        <w:t>借鉴北京海淀区的经验，探索</w:t>
      </w:r>
      <w:r>
        <w:rPr>
          <w:rFonts w:hint="eastAsia"/>
          <w:sz w:val="24"/>
        </w:rPr>
        <w:t>老年农民退休</w:t>
      </w:r>
      <w:r>
        <w:rPr>
          <w:rFonts w:hint="eastAsia"/>
          <w:sz w:val="24"/>
          <w:lang w:val="en-US" w:eastAsia="zh-CN"/>
        </w:rPr>
        <w:t>模式。在此模式下，一些子女已经市民化的老年农民可以在农村退休，把承包地交给集体经济组织，由</w:t>
      </w:r>
      <w:r>
        <w:rPr>
          <w:rFonts w:hint="eastAsia"/>
          <w:sz w:val="24"/>
        </w:rPr>
        <w:t>当地政府和集体经济组织给与相应的社会保障和退休补贴。目前</w:t>
      </w:r>
      <w:r>
        <w:rPr>
          <w:rFonts w:hint="eastAsia"/>
          <w:sz w:val="24"/>
          <w:lang w:eastAsia="zh-CN"/>
        </w:rPr>
        <w:t>，</w:t>
      </w:r>
      <w:r>
        <w:rPr>
          <w:rFonts w:hint="eastAsia"/>
          <w:sz w:val="24"/>
        </w:rPr>
        <w:t>我国已构建起城镇职工基本养老保险和城乡居民基本养老保险两大平台，从制度上实现了对社会成员的全覆盖。但是，</w:t>
      </w:r>
      <w:r>
        <w:rPr>
          <w:rFonts w:hint="eastAsia"/>
          <w:sz w:val="24"/>
          <w:lang w:val="en-US" w:eastAsia="zh-CN"/>
        </w:rPr>
        <w:t>在面对</w:t>
      </w:r>
      <w:r>
        <w:rPr>
          <w:rFonts w:hint="eastAsia"/>
          <w:sz w:val="24"/>
        </w:rPr>
        <w:t>自愿退出土地的农户家庭</w:t>
      </w:r>
      <w:r>
        <w:rPr>
          <w:rFonts w:hint="eastAsia"/>
          <w:sz w:val="24"/>
          <w:lang w:val="en-US" w:eastAsia="zh-CN"/>
        </w:rPr>
        <w:t>时</w:t>
      </w:r>
      <w:r>
        <w:rPr>
          <w:rFonts w:hint="eastAsia"/>
          <w:sz w:val="24"/>
        </w:rPr>
        <w:t>，我们还没有统一科学的政策“安置”他们</w:t>
      </w:r>
      <w:r>
        <w:rPr>
          <w:rFonts w:hint="eastAsia"/>
          <w:sz w:val="24"/>
          <w:lang w:eastAsia="zh-CN"/>
        </w:rPr>
        <w:t>。</w:t>
      </w:r>
      <w:r>
        <w:rPr>
          <w:rFonts w:hint="eastAsia"/>
          <w:sz w:val="24"/>
          <w:lang w:val="en-US" w:eastAsia="zh-CN"/>
        </w:rPr>
        <w:t>结合世界上已有100多个国家推行农民退休制度</w:t>
      </w:r>
      <w:r>
        <w:rPr>
          <w:rFonts w:hint="eastAsia"/>
          <w:sz w:val="24"/>
          <w:lang w:eastAsia="zh-CN"/>
        </w:rPr>
        <w:t>，</w:t>
      </w:r>
      <w:r>
        <w:rPr>
          <w:rFonts w:hint="eastAsia"/>
          <w:sz w:val="24"/>
          <w:lang w:val="en-US" w:eastAsia="zh-CN"/>
        </w:rPr>
        <w:t>本文思考</w:t>
      </w:r>
      <w:r>
        <w:rPr>
          <w:rFonts w:hint="eastAsia"/>
          <w:sz w:val="24"/>
        </w:rPr>
        <w:t>我们</w:t>
      </w:r>
      <w:r>
        <w:rPr>
          <w:rFonts w:hint="eastAsia"/>
          <w:sz w:val="24"/>
          <w:lang w:val="en-US" w:eastAsia="zh-CN"/>
        </w:rPr>
        <w:t>未来也</w:t>
      </w:r>
      <w:r>
        <w:rPr>
          <w:rFonts w:hint="eastAsia"/>
          <w:sz w:val="24"/>
        </w:rPr>
        <w:t>可探索</w:t>
      </w:r>
      <w:r>
        <w:rPr>
          <w:rFonts w:hint="eastAsia"/>
          <w:sz w:val="24"/>
          <w:lang w:val="en-US" w:eastAsia="zh-CN"/>
        </w:rPr>
        <w:t>构建具有中国特色的农民退休制度。</w:t>
      </w:r>
      <w:r>
        <w:rPr>
          <w:rFonts w:hint="eastAsia"/>
          <w:sz w:val="24"/>
        </w:rPr>
        <w:t>退休农民的养老保险</w:t>
      </w:r>
      <w:r>
        <w:rPr>
          <w:rFonts w:hint="eastAsia"/>
          <w:sz w:val="24"/>
          <w:lang w:val="en-US" w:eastAsia="zh-CN"/>
        </w:rPr>
        <w:t>可以</w:t>
      </w:r>
      <w:r>
        <w:rPr>
          <w:rFonts w:hint="eastAsia"/>
          <w:sz w:val="24"/>
        </w:rPr>
        <w:t>实行个人缴费、集体补助、政府补贴相结合的筹资方式</w:t>
      </w:r>
      <w:r>
        <w:rPr>
          <w:rFonts w:hint="eastAsia"/>
          <w:sz w:val="24"/>
          <w:lang w:eastAsia="zh-CN"/>
        </w:rPr>
        <w:t>，</w:t>
      </w:r>
      <w:r>
        <w:rPr>
          <w:rFonts w:hint="eastAsia"/>
          <w:sz w:val="24"/>
        </w:rPr>
        <w:t>国家为每个参保人员建立终身记录的养老保险个人账户，地方人民政府对参保人的补助或补偿，可以选择记入个人账户。</w:t>
      </w:r>
      <w:r>
        <w:rPr>
          <w:rFonts w:hint="eastAsia"/>
          <w:sz w:val="24"/>
          <w:lang w:val="en-US" w:eastAsia="zh-CN"/>
        </w:rPr>
        <w:t>对退出土地的农民，</w:t>
      </w:r>
      <w:r>
        <w:rPr>
          <w:rFonts w:hint="eastAsia"/>
          <w:sz w:val="24"/>
        </w:rPr>
        <w:t>地方政府可以进行补贴，</w:t>
      </w:r>
      <w:r>
        <w:rPr>
          <w:rFonts w:hint="eastAsia"/>
          <w:sz w:val="24"/>
          <w:lang w:val="en-US" w:eastAsia="zh-CN"/>
        </w:rPr>
        <w:t>让</w:t>
      </w:r>
      <w:r>
        <w:rPr>
          <w:rFonts w:hint="eastAsia"/>
          <w:sz w:val="24"/>
        </w:rPr>
        <w:t>农民个人</w:t>
      </w:r>
      <w:r>
        <w:rPr>
          <w:rFonts w:hint="eastAsia"/>
          <w:sz w:val="24"/>
          <w:lang w:val="en-US" w:eastAsia="zh-CN"/>
        </w:rPr>
        <w:t>按实际经济状况灵活</w:t>
      </w:r>
      <w:r>
        <w:rPr>
          <w:rFonts w:hint="eastAsia"/>
          <w:sz w:val="24"/>
        </w:rPr>
        <w:t>缴费，</w:t>
      </w:r>
      <w:r>
        <w:rPr>
          <w:rFonts w:hint="eastAsia"/>
          <w:sz w:val="24"/>
          <w:lang w:val="en-US" w:eastAsia="zh-CN"/>
        </w:rPr>
        <w:t>提高他们</w:t>
      </w:r>
      <w:r>
        <w:rPr>
          <w:rFonts w:hint="eastAsia"/>
          <w:sz w:val="24"/>
        </w:rPr>
        <w:t>的养老金水平。</w:t>
      </w:r>
      <w:r>
        <w:rPr>
          <w:rFonts w:hint="eastAsia"/>
          <w:sz w:val="24"/>
          <w:lang w:val="en-US" w:eastAsia="zh-CN"/>
        </w:rPr>
        <w:t>因此，</w:t>
      </w:r>
      <w:r>
        <w:rPr>
          <w:rFonts w:hint="eastAsia"/>
          <w:sz w:val="24"/>
        </w:rPr>
        <w:t>未来5年我们应继续完善城乡居民养老保险制度，保障制度平稳运行，增强兜底保障功能</w:t>
      </w:r>
      <w:r>
        <w:rPr>
          <w:rFonts w:hint="eastAsia"/>
          <w:sz w:val="24"/>
          <w:lang w:eastAsia="zh-CN"/>
        </w:rPr>
        <w:t>；</w:t>
      </w:r>
      <w:r>
        <w:rPr>
          <w:rFonts w:hint="eastAsia"/>
          <w:sz w:val="24"/>
          <w:lang w:val="en-US" w:eastAsia="zh-CN"/>
        </w:rPr>
        <w:t>鼓励经济条件好的地区率先落实农民退休制度，科学</w:t>
      </w:r>
      <w:r>
        <w:rPr>
          <w:rFonts w:hint="eastAsia"/>
          <w:sz w:val="24"/>
        </w:rPr>
        <w:t>推动城乡居民养老待遇水平随经济发展而逐步提高，使退出土地的农民能够共享改革发展成果。</w:t>
      </w:r>
    </w:p>
    <w:p w14:paraId="1028F6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lang w:val="en-US" w:eastAsia="zh-CN"/>
        </w:rPr>
        <w:t>五</w:t>
      </w:r>
      <w:r>
        <w:rPr>
          <w:rFonts w:hint="eastAsia"/>
          <w:b/>
          <w:bCs/>
          <w:sz w:val="24"/>
        </w:rPr>
        <w:t>、余论</w:t>
      </w:r>
    </w:p>
    <w:p w14:paraId="726E3B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任何时候，农村土地制度改革一定要科学处理“理论、政策和实践”三者</w:t>
      </w:r>
      <w:r>
        <w:rPr>
          <w:rFonts w:hint="eastAsia"/>
          <w:sz w:val="24"/>
          <w:lang w:val="en-US" w:eastAsia="zh-CN"/>
        </w:rPr>
        <w:t>的</w:t>
      </w:r>
      <w:r>
        <w:rPr>
          <w:rFonts w:hint="eastAsia"/>
          <w:sz w:val="24"/>
        </w:rPr>
        <w:t>关系，通过科学的理论</w:t>
      </w:r>
      <w:r>
        <w:rPr>
          <w:rFonts w:hint="eastAsia"/>
          <w:sz w:val="24"/>
          <w:lang w:val="en-US" w:eastAsia="zh-CN"/>
        </w:rPr>
        <w:t>研究制定</w:t>
      </w:r>
      <w:r>
        <w:rPr>
          <w:rFonts w:hint="eastAsia"/>
          <w:sz w:val="24"/>
        </w:rPr>
        <w:t>出符合国情的政策以服务好农村经济实践。当前，距离2027年政策的“一锤定音”已不足5年</w:t>
      </w:r>
      <w:r>
        <w:rPr>
          <w:rFonts w:hint="eastAsia"/>
          <w:sz w:val="24"/>
          <w:lang w:eastAsia="zh-CN"/>
        </w:rPr>
        <w:t>。</w:t>
      </w:r>
      <w:r>
        <w:rPr>
          <w:rFonts w:hint="eastAsia"/>
          <w:sz w:val="24"/>
        </w:rPr>
        <w:t>从2020年起，农业农村部、中央农办已连续3年组织部分省份开展</w:t>
      </w:r>
      <w:r>
        <w:rPr>
          <w:rFonts w:hint="eastAsia"/>
          <w:sz w:val="24"/>
          <w:lang w:eastAsia="zh-CN"/>
        </w:rPr>
        <w:t>“第二轮土地承包</w:t>
      </w:r>
      <w:r>
        <w:rPr>
          <w:rFonts w:hint="eastAsia"/>
          <w:sz w:val="24"/>
          <w:lang w:val="en-US" w:eastAsia="zh-CN"/>
        </w:rPr>
        <w:t>到期后</w:t>
      </w:r>
      <w:r>
        <w:rPr>
          <w:rFonts w:hint="eastAsia"/>
          <w:sz w:val="24"/>
          <w:lang w:eastAsia="zh-CN"/>
        </w:rPr>
        <w:t>再延长30年”</w:t>
      </w:r>
      <w:r>
        <w:rPr>
          <w:rFonts w:hint="eastAsia"/>
          <w:sz w:val="24"/>
          <w:lang w:val="en-US" w:eastAsia="zh-CN"/>
        </w:rPr>
        <w:t>政策</w:t>
      </w:r>
      <w:r>
        <w:rPr>
          <w:rFonts w:hint="eastAsia"/>
          <w:sz w:val="24"/>
        </w:rPr>
        <w:t>试点，试点范围从村组逐步扩大到整乡镇、整县</w:t>
      </w:r>
      <w:r>
        <w:rPr>
          <w:rFonts w:hint="eastAsia"/>
          <w:sz w:val="24"/>
          <w:lang w:eastAsia="zh-CN"/>
        </w:rPr>
        <w:t>，</w:t>
      </w:r>
      <w:r>
        <w:rPr>
          <w:rFonts w:hint="eastAsia"/>
          <w:sz w:val="24"/>
          <w:lang w:val="en-US" w:eastAsia="zh-CN"/>
        </w:rPr>
        <w:t>以探索延包工作中重点难点问题的解决路径。</w:t>
      </w:r>
      <w:r>
        <w:rPr>
          <w:rFonts w:hint="eastAsia"/>
          <w:sz w:val="24"/>
        </w:rPr>
        <w:t>从试点情况看，各地通过试点摸清了承包关系，理清了延包程序，理顺了工作机制，找到了一些困难与问题。但是，遵循“理论源于实践，高于实践”的原则，对于实践中我们没有考虑清楚的一些问题，理论界要及时做出善意提醒，以指导实践更好地服务人民。我们无法预测2027年“第二轮土地承包</w:t>
      </w:r>
      <w:r>
        <w:rPr>
          <w:rFonts w:hint="eastAsia"/>
          <w:sz w:val="24"/>
          <w:lang w:val="en-US" w:eastAsia="zh-CN"/>
        </w:rPr>
        <w:t>到期后</w:t>
      </w:r>
      <w:r>
        <w:rPr>
          <w:rFonts w:hint="eastAsia"/>
          <w:sz w:val="24"/>
        </w:rPr>
        <w:t>再延长30年”政策的具体</w:t>
      </w:r>
      <w:r>
        <w:rPr>
          <w:rFonts w:hint="eastAsia"/>
          <w:sz w:val="24"/>
          <w:lang w:val="en-US" w:eastAsia="zh-CN"/>
        </w:rPr>
        <w:t>方案</w:t>
      </w:r>
      <w:r>
        <w:rPr>
          <w:rFonts w:hint="eastAsia"/>
          <w:sz w:val="24"/>
        </w:rPr>
        <w:t>，但我们相信党和政府绝不会简单地延长30年，而是有一个详细的政策安排，最终</w:t>
      </w:r>
      <w:r>
        <w:rPr>
          <w:rFonts w:hint="eastAsia"/>
          <w:sz w:val="24"/>
          <w:lang w:val="en-US" w:eastAsia="zh-CN"/>
        </w:rPr>
        <w:t>确保</w:t>
      </w:r>
      <w:r>
        <w:rPr>
          <w:rFonts w:hint="eastAsia"/>
          <w:sz w:val="24"/>
        </w:rPr>
        <w:t>“第二轮土地承包</w:t>
      </w:r>
      <w:r>
        <w:rPr>
          <w:rFonts w:hint="eastAsia"/>
          <w:sz w:val="24"/>
          <w:lang w:val="en-US" w:eastAsia="zh-CN"/>
        </w:rPr>
        <w:t>到期后</w:t>
      </w:r>
      <w:r>
        <w:rPr>
          <w:rFonts w:hint="eastAsia"/>
          <w:sz w:val="24"/>
        </w:rPr>
        <w:t>再延长30年”</w:t>
      </w:r>
      <w:r>
        <w:rPr>
          <w:rFonts w:hint="eastAsia"/>
          <w:sz w:val="24"/>
          <w:lang w:val="en-US" w:eastAsia="zh-CN"/>
        </w:rPr>
        <w:t>是一个有助于共同富裕的利国利民政策</w:t>
      </w:r>
      <w:r>
        <w:rPr>
          <w:rFonts w:hint="eastAsia"/>
          <w:sz w:val="24"/>
        </w:rPr>
        <w:t>。</w:t>
      </w:r>
    </w:p>
    <w:p w14:paraId="16D9AD49">
      <w:pPr>
        <w:pStyle w:val="7"/>
        <w:snapToGrid w:val="0"/>
        <w:rPr>
          <w:rStyle w:val="18"/>
          <w:rFonts w:hint="default" w:ascii="仿宋" w:hAnsi="仿宋" w:eastAsia="仿宋" w:cs="仿宋"/>
          <w:sz w:val="20"/>
          <w:szCs w:val="20"/>
          <w:vertAlign w:val="baseline"/>
          <w:lang w:val="en-US" w:eastAsia="zh-CN"/>
        </w:rPr>
      </w:pPr>
      <w:r>
        <w:rPr>
          <w:rFonts w:hint="eastAsia" w:ascii="仿宋" w:hAnsi="仿宋" w:eastAsia="仿宋" w:cs="仿宋"/>
          <w:sz w:val="20"/>
          <w:szCs w:val="20"/>
          <w:vertAlign w:val="baseline"/>
          <w:lang w:val="en-US" w:eastAsia="zh-CN"/>
        </w:rPr>
        <w:t>参考文献</w:t>
      </w:r>
    </w:p>
    <w:p w14:paraId="78B84C19">
      <w:pPr>
        <w:pStyle w:val="7"/>
        <w:snapToGrid w:val="0"/>
        <w:ind w:left="0" w:leftChars="0" w:firstLine="0" w:firstLineChars="0"/>
        <w:rPr>
          <w:rFonts w:ascii="仿宋" w:hAnsi="仿宋" w:eastAsia="仿宋" w:cs="仿宋"/>
          <w:sz w:val="20"/>
          <w:szCs w:val="20"/>
          <w:vertAlign w:val="baseline"/>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w:t>
      </w:r>
      <w:r>
        <w:rPr>
          <w:rStyle w:val="18"/>
          <w:rFonts w:hint="eastAsia" w:ascii="仿宋" w:hAnsi="仿宋" w:eastAsia="仿宋" w:cs="仿宋"/>
          <w:sz w:val="20"/>
          <w:szCs w:val="20"/>
          <w:vertAlign w:val="baseline"/>
        </w:rPr>
        <w:t>]</w:t>
      </w:r>
      <w:r>
        <w:rPr>
          <w:rFonts w:ascii="仿宋" w:hAnsi="仿宋" w:eastAsia="仿宋" w:cs="仿宋"/>
          <w:sz w:val="20"/>
          <w:szCs w:val="20"/>
          <w:vertAlign w:val="baseline"/>
        </w:rPr>
        <w:t>纪志耿、罗倩倩:促进乡村共同富裕的理论溯源及现实路径[J].政治经济学研究,2022,(02):173-174.</w:t>
      </w:r>
    </w:p>
    <w:p w14:paraId="17FAD95D">
      <w:pPr>
        <w:pStyle w:val="7"/>
        <w:snapToGrid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2</w:t>
      </w:r>
      <w:r>
        <w:rPr>
          <w:rStyle w:val="18"/>
          <w:rFonts w:hint="eastAsia" w:ascii="仿宋" w:hAnsi="仿宋" w:eastAsia="仿宋" w:cs="仿宋"/>
          <w:sz w:val="20"/>
          <w:szCs w:val="20"/>
          <w:vertAlign w:val="baseline"/>
        </w:rPr>
        <w:t>]</w:t>
      </w:r>
      <w:r>
        <w:rPr>
          <w:rFonts w:hint="eastAsia" w:ascii="仿宋" w:hAnsi="仿宋" w:eastAsia="仿宋" w:cs="仿宋"/>
          <w:sz w:val="20"/>
          <w:szCs w:val="20"/>
        </w:rPr>
        <w:t>马佳,胡鹏.土地承包期延长30年原因及利弊初探[J].南方农业,2017,11(32):44-45.</w:t>
      </w:r>
    </w:p>
    <w:p w14:paraId="59C0E113">
      <w:pPr>
        <w:pStyle w:val="7"/>
        <w:wordWrap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3</w:t>
      </w:r>
      <w:r>
        <w:rPr>
          <w:rStyle w:val="18"/>
          <w:rFonts w:hint="eastAsia" w:ascii="仿宋" w:hAnsi="仿宋" w:eastAsia="仿宋" w:cs="仿宋"/>
          <w:sz w:val="20"/>
          <w:szCs w:val="20"/>
          <w:vertAlign w:val="baseline"/>
        </w:rPr>
        <w:t>]</w:t>
      </w:r>
      <w:r>
        <w:rPr>
          <w:rFonts w:hint="eastAsia" w:ascii="仿宋" w:hAnsi="仿宋" w:eastAsia="仿宋" w:cs="仿宋"/>
          <w:sz w:val="20"/>
          <w:szCs w:val="20"/>
        </w:rPr>
        <w:t>叶兴庆</w:t>
      </w:r>
      <w:r>
        <w:rPr>
          <w:rFonts w:hint="eastAsia" w:ascii="仿宋" w:hAnsi="仿宋" w:eastAsia="仿宋" w:cs="仿宋"/>
          <w:sz w:val="20"/>
          <w:szCs w:val="20"/>
          <w:lang w:val="en-US" w:eastAsia="zh-CN"/>
        </w:rPr>
        <w:t>.</w:t>
      </w:r>
      <w:r>
        <w:rPr>
          <w:rFonts w:hint="eastAsia" w:ascii="仿宋" w:hAnsi="仿宋" w:eastAsia="仿宋" w:cs="仿宋"/>
          <w:sz w:val="20"/>
          <w:szCs w:val="20"/>
        </w:rPr>
        <w:t>如何实施乡村振兴战略[J].吉林农业,2018(02):6-9.</w:t>
      </w:r>
    </w:p>
    <w:p w14:paraId="2CA4EF63">
      <w:pPr>
        <w:pStyle w:val="7"/>
        <w:wordWrap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4</w:t>
      </w:r>
      <w:r>
        <w:rPr>
          <w:rStyle w:val="18"/>
          <w:rFonts w:hint="eastAsia" w:ascii="仿宋" w:hAnsi="仿宋" w:eastAsia="仿宋" w:cs="仿宋"/>
          <w:sz w:val="20"/>
          <w:szCs w:val="20"/>
          <w:vertAlign w:val="baseline"/>
        </w:rPr>
        <w:t>]</w:t>
      </w:r>
      <w:r>
        <w:rPr>
          <w:rFonts w:hint="eastAsia" w:ascii="仿宋" w:hAnsi="仿宋" w:eastAsia="仿宋" w:cs="仿宋"/>
          <w:sz w:val="20"/>
          <w:szCs w:val="20"/>
        </w:rPr>
        <w:t>李文政.“永佃理论”与农村土地制度改革[J].中国海洋大学学报(社会科学版),2008(04):94-96.</w:t>
      </w:r>
    </w:p>
    <w:p w14:paraId="74550FB6">
      <w:pPr>
        <w:pStyle w:val="7"/>
        <w:wordWrap w:val="0"/>
        <w:ind w:left="0" w:leftChars="0"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5</w:t>
      </w:r>
      <w:r>
        <w:rPr>
          <w:rStyle w:val="18"/>
          <w:rFonts w:hint="eastAsia" w:ascii="仿宋" w:hAnsi="仿宋" w:eastAsia="仿宋" w:cs="仿宋"/>
          <w:sz w:val="20"/>
          <w:szCs w:val="20"/>
          <w:vertAlign w:val="baseline"/>
        </w:rPr>
        <w:t>]</w:t>
      </w:r>
      <w:r>
        <w:rPr>
          <w:rFonts w:hint="eastAsia" w:ascii="仿宋" w:hAnsi="仿宋" w:eastAsia="仿宋" w:cs="仿宋"/>
          <w:sz w:val="20"/>
          <w:szCs w:val="20"/>
        </w:rPr>
        <w:t>高圣平,严之.“从长期稳定”到“长久不变”:土地承包经营权性质的再认识[J].云南大学学报(法学版),2009,22(04):34-39.</w:t>
      </w:r>
    </w:p>
    <w:p w14:paraId="36C9E8F4">
      <w:pPr>
        <w:pStyle w:val="7"/>
        <w:wordWrap w:val="0"/>
        <w:ind w:left="0" w:leftChars="0"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6</w:t>
      </w:r>
      <w:r>
        <w:rPr>
          <w:rStyle w:val="18"/>
          <w:rFonts w:hint="eastAsia" w:ascii="仿宋" w:hAnsi="仿宋" w:eastAsia="仿宋" w:cs="仿宋"/>
          <w:sz w:val="20"/>
          <w:szCs w:val="20"/>
          <w:vertAlign w:val="baseline"/>
        </w:rPr>
        <w:t>]</w:t>
      </w:r>
      <w:r>
        <w:rPr>
          <w:rFonts w:hint="eastAsia" w:ascii="仿宋" w:hAnsi="仿宋" w:eastAsia="仿宋" w:cs="仿宋"/>
          <w:sz w:val="20"/>
          <w:szCs w:val="20"/>
        </w:rPr>
        <w:t>俞海,黄季焜,Scott Rozelle,Loren Brandt,张林秀.地权稳定性、土地流转与农地资源持续利用[J].经济研究,2003(09):82-91+95.</w:t>
      </w:r>
    </w:p>
    <w:p w14:paraId="64039E91">
      <w:pPr>
        <w:pStyle w:val="7"/>
        <w:wordWrap w:val="0"/>
        <w:ind w:left="0" w:leftChars="0"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7</w:t>
      </w:r>
      <w:r>
        <w:rPr>
          <w:rStyle w:val="18"/>
          <w:rFonts w:hint="eastAsia" w:ascii="仿宋" w:hAnsi="仿宋" w:eastAsia="仿宋" w:cs="仿宋"/>
          <w:sz w:val="20"/>
          <w:szCs w:val="20"/>
          <w:vertAlign w:val="baseline"/>
        </w:rPr>
        <w:t>]</w:t>
      </w:r>
      <w:r>
        <w:rPr>
          <w:rFonts w:hint="eastAsia" w:ascii="仿宋" w:hAnsi="仿宋" w:eastAsia="仿宋" w:cs="仿宋"/>
          <w:sz w:val="20"/>
          <w:szCs w:val="20"/>
        </w:rPr>
        <w:t>罗必良,李尚蒲.农地流转的交易费用:威廉姆森分析范式及广东的证据[J].农业经济问题,2010,31(12):30-40+110-111.</w:t>
      </w:r>
    </w:p>
    <w:p w14:paraId="0E95ED66">
      <w:pPr>
        <w:pStyle w:val="7"/>
        <w:wordWrap w:val="0"/>
        <w:ind w:left="0" w:leftChars="0"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8</w:t>
      </w:r>
      <w:r>
        <w:rPr>
          <w:rStyle w:val="18"/>
          <w:rFonts w:hint="eastAsia" w:ascii="仿宋" w:hAnsi="仿宋" w:eastAsia="仿宋" w:cs="仿宋"/>
          <w:sz w:val="20"/>
          <w:szCs w:val="20"/>
          <w:vertAlign w:val="baseline"/>
        </w:rPr>
        <w:t>]</w:t>
      </w:r>
      <w:r>
        <w:rPr>
          <w:rFonts w:hint="eastAsia" w:ascii="仿宋" w:hAnsi="仿宋" w:eastAsia="仿宋" w:cs="仿宋"/>
          <w:sz w:val="20"/>
          <w:szCs w:val="20"/>
        </w:rPr>
        <w:t>李志伟.土地到期承包再延长30年是土地承包关系的新政策[J].实践(党的教育版),2018(01):21-22.</w:t>
      </w:r>
    </w:p>
    <w:p w14:paraId="5BA5CA58">
      <w:pPr>
        <w:pStyle w:val="7"/>
        <w:wordWrap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9</w:t>
      </w:r>
      <w:r>
        <w:rPr>
          <w:rStyle w:val="18"/>
          <w:rFonts w:hint="eastAsia" w:ascii="仿宋" w:hAnsi="仿宋" w:eastAsia="仿宋" w:cs="仿宋"/>
          <w:sz w:val="20"/>
          <w:szCs w:val="20"/>
          <w:vertAlign w:val="baseline"/>
        </w:rPr>
        <w:t>]</w:t>
      </w:r>
      <w:r>
        <w:rPr>
          <w:rFonts w:hint="eastAsia" w:ascii="仿宋" w:hAnsi="仿宋" w:eastAsia="仿宋" w:cs="仿宋"/>
          <w:sz w:val="20"/>
          <w:szCs w:val="20"/>
        </w:rPr>
        <w:t>梁亚荣, 陈彩虹.土地承包经营权登记问题初探[J].南京农业大学学报, 2004,(3).</w:t>
      </w:r>
    </w:p>
    <w:p w14:paraId="5095D684">
      <w:pPr>
        <w:pStyle w:val="7"/>
        <w:wordWrap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10</w:t>
      </w:r>
      <w:r>
        <w:rPr>
          <w:rStyle w:val="18"/>
          <w:rFonts w:hint="eastAsia" w:ascii="仿宋" w:hAnsi="仿宋" w:eastAsia="仿宋" w:cs="仿宋"/>
          <w:sz w:val="20"/>
          <w:szCs w:val="20"/>
          <w:vertAlign w:val="baseline"/>
        </w:rPr>
        <w:t>]</w:t>
      </w:r>
      <w:r>
        <w:rPr>
          <w:rFonts w:hint="eastAsia" w:ascii="仿宋" w:hAnsi="仿宋" w:eastAsia="仿宋" w:cs="仿宋"/>
          <w:sz w:val="20"/>
          <w:szCs w:val="20"/>
        </w:rPr>
        <w:t>王小映.农村土地承包期限影响土地流转[J].中国乡村建设,2009(02):28-30.</w:t>
      </w:r>
    </w:p>
    <w:p w14:paraId="44AF7B46">
      <w:pPr>
        <w:pStyle w:val="7"/>
        <w:snapToGrid w:val="0"/>
        <w:ind w:left="0" w:leftChars="0" w:firstLine="0" w:firstLineChars="0"/>
        <w:rPr>
          <w:rFonts w:ascii="仿宋" w:hAnsi="仿宋" w:eastAsia="仿宋" w:cs="仿宋"/>
          <w:sz w:val="20"/>
          <w:szCs w:val="20"/>
          <w:vertAlign w:val="baseline"/>
        </w:rPr>
      </w:pPr>
      <w:r>
        <w:rPr>
          <w:rStyle w:val="18"/>
          <w:rFonts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11</w:t>
      </w:r>
      <w:r>
        <w:rPr>
          <w:rStyle w:val="18"/>
          <w:rFonts w:ascii="仿宋" w:hAnsi="仿宋" w:eastAsia="仿宋" w:cs="仿宋"/>
          <w:sz w:val="20"/>
          <w:szCs w:val="20"/>
          <w:vertAlign w:val="baseline"/>
        </w:rPr>
        <w:t>]</w:t>
      </w:r>
      <w:r>
        <w:rPr>
          <w:rFonts w:hint="eastAsia" w:ascii="仿宋" w:hAnsi="仿宋" w:eastAsia="仿宋" w:cs="仿宋"/>
          <w:sz w:val="20"/>
          <w:szCs w:val="20"/>
          <w:vertAlign w:val="baseline"/>
        </w:rPr>
        <w:t>孙乐强.农民土地问题与中国道路选择的历史逻辑——透视中国共产党百年奋斗历程的一个重要维度[J].中国社会科学,2021,(06):49-76+205.</w:t>
      </w:r>
    </w:p>
    <w:p w14:paraId="754B049F">
      <w:pPr>
        <w:pStyle w:val="7"/>
        <w:wordWrap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12</w:t>
      </w:r>
      <w:r>
        <w:rPr>
          <w:rStyle w:val="18"/>
          <w:rFonts w:hint="eastAsia" w:ascii="仿宋" w:hAnsi="仿宋" w:eastAsia="仿宋" w:cs="仿宋"/>
          <w:sz w:val="20"/>
          <w:szCs w:val="20"/>
          <w:vertAlign w:val="baseline"/>
        </w:rPr>
        <w:t>]</w:t>
      </w:r>
      <w:r>
        <w:rPr>
          <w:rFonts w:hint="eastAsia" w:ascii="仿宋" w:hAnsi="仿宋" w:eastAsia="仿宋" w:cs="仿宋"/>
          <w:sz w:val="20"/>
          <w:szCs w:val="20"/>
        </w:rPr>
        <w:t>马新彦.中华人民共和国物权法法条精义与案例解析[M].中国法制出版社, 2007.</w:t>
      </w:r>
    </w:p>
    <w:p w14:paraId="20717282">
      <w:pPr>
        <w:pStyle w:val="7"/>
        <w:wordWrap w:val="0"/>
        <w:ind w:firstLine="0" w:firstLineChars="0"/>
        <w:rPr>
          <w:rFonts w:hint="eastAsia" w:ascii="仿宋" w:hAnsi="仿宋" w:eastAsia="仿宋" w:cs="仿宋"/>
          <w:sz w:val="20"/>
          <w:szCs w:val="20"/>
        </w:rPr>
      </w:pPr>
      <w:r>
        <w:rPr>
          <w:rStyle w:val="18"/>
          <w:rFonts w:hint="eastAsia"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13</w:t>
      </w:r>
      <w:r>
        <w:rPr>
          <w:rStyle w:val="18"/>
          <w:rFonts w:hint="eastAsia" w:ascii="仿宋" w:hAnsi="仿宋" w:eastAsia="仿宋" w:cs="仿宋"/>
          <w:sz w:val="20"/>
          <w:szCs w:val="20"/>
          <w:vertAlign w:val="baseline"/>
        </w:rPr>
        <w:t>]</w:t>
      </w:r>
      <w:r>
        <w:rPr>
          <w:rFonts w:hint="eastAsia" w:ascii="仿宋" w:hAnsi="仿宋" w:eastAsia="仿宋" w:cs="仿宋"/>
          <w:sz w:val="20"/>
          <w:szCs w:val="20"/>
        </w:rPr>
        <w:t>罗婷婷,陆林.“第二轮土地承包到期后再延长三十年”的价值及配套政策思考[J].西南大学学报(社会科学版),2022,48(05):96-106.</w:t>
      </w:r>
    </w:p>
    <w:p w14:paraId="690D4AEC">
      <w:pPr>
        <w:pStyle w:val="7"/>
        <w:wordWrap w:val="0"/>
        <w:ind w:left="0" w:leftChars="0" w:firstLine="0" w:firstLineChars="0"/>
        <w:rPr>
          <w:rFonts w:hint="eastAsia" w:ascii="宋体" w:hAnsi="宋体" w:eastAsia="宋体" w:cs="宋体"/>
          <w:sz w:val="20"/>
          <w:szCs w:val="20"/>
        </w:rPr>
      </w:pPr>
      <w:r>
        <w:rPr>
          <w:rStyle w:val="18"/>
          <w:rFonts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14</w:t>
      </w:r>
      <w:r>
        <w:rPr>
          <w:rStyle w:val="18"/>
          <w:rFonts w:ascii="仿宋" w:hAnsi="仿宋" w:eastAsia="仿宋" w:cs="仿宋"/>
          <w:sz w:val="20"/>
          <w:szCs w:val="20"/>
          <w:vertAlign w:val="baseline"/>
        </w:rPr>
        <w:t>]</w:t>
      </w:r>
      <w:r>
        <w:rPr>
          <w:rFonts w:hint="eastAsia" w:ascii="仿宋" w:hAnsi="仿宋" w:eastAsia="仿宋" w:cs="仿宋"/>
          <w:sz w:val="20"/>
          <w:szCs w:val="20"/>
          <w:vertAlign w:val="baseline"/>
        </w:rPr>
        <w:t>侯亚景,罗玉辉.中国农村土地坚持集体所有制的必然性与必要性[J].海派经济学,2017,15(02):76-87.</w:t>
      </w:r>
    </w:p>
    <w:p w14:paraId="1B0AB6D8">
      <w:pPr>
        <w:pStyle w:val="7"/>
        <w:wordWrap w:val="0"/>
        <w:snapToGrid w:val="0"/>
        <w:spacing w:line="20" w:lineRule="exact"/>
        <w:rPr>
          <w:rFonts w:ascii="仿宋" w:hAnsi="仿宋" w:eastAsia="仿宋" w:cs="仿宋"/>
          <w:sz w:val="20"/>
          <w:szCs w:val="20"/>
          <w:vertAlign w:val="baseline"/>
        </w:rPr>
      </w:pPr>
    </w:p>
    <w:p w14:paraId="1D0CBFE9">
      <w:pPr>
        <w:pStyle w:val="7"/>
        <w:snapToGrid w:val="0"/>
        <w:ind w:left="0" w:leftChars="0" w:firstLine="0" w:firstLineChars="0"/>
        <w:rPr>
          <w:rFonts w:hint="eastAsia"/>
          <w:sz w:val="24"/>
        </w:rPr>
      </w:pPr>
      <w:r>
        <w:rPr>
          <w:rStyle w:val="18"/>
          <w:rFonts w:ascii="仿宋" w:hAnsi="仿宋" w:eastAsia="仿宋" w:cs="仿宋"/>
          <w:sz w:val="20"/>
          <w:szCs w:val="20"/>
          <w:vertAlign w:val="baseline"/>
        </w:rPr>
        <w:t>[</w:t>
      </w:r>
      <w:r>
        <w:rPr>
          <w:rFonts w:hint="eastAsia" w:ascii="仿宋" w:hAnsi="仿宋" w:eastAsia="仿宋" w:cs="仿宋"/>
          <w:sz w:val="20"/>
          <w:szCs w:val="20"/>
          <w:vertAlign w:val="baseline"/>
          <w:lang w:val="en-US" w:eastAsia="zh-CN"/>
        </w:rPr>
        <w:t>15</w:t>
      </w:r>
      <w:r>
        <w:rPr>
          <w:rStyle w:val="18"/>
          <w:rFonts w:ascii="仿宋" w:hAnsi="仿宋" w:eastAsia="仿宋" w:cs="仿宋"/>
          <w:sz w:val="20"/>
          <w:szCs w:val="20"/>
          <w:vertAlign w:val="baseline"/>
        </w:rPr>
        <w:t>]</w:t>
      </w:r>
      <w:r>
        <w:rPr>
          <w:rFonts w:hint="eastAsia" w:ascii="仿宋" w:hAnsi="仿宋" w:eastAsia="仿宋" w:cs="仿宋"/>
          <w:sz w:val="20"/>
          <w:szCs w:val="20"/>
          <w:vertAlign w:val="baseline"/>
        </w:rPr>
        <w:t>曹俊杰. 新中国成立70年农业现代化理论政策和实践的演变[J]. 中州学刊,2019,(07):38-45.</w:t>
      </w:r>
    </w:p>
    <w:p w14:paraId="08FD12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w:t>
      </w:r>
      <w:r>
        <w:rPr>
          <w:rFonts w:hint="eastAsia"/>
          <w:sz w:val="24"/>
          <w:lang w:val="en-US" w:eastAsia="zh-CN"/>
        </w:rPr>
        <w:t>原载《中州学刊》2023年第5期，第一作者为罗玉辉。</w:t>
      </w:r>
      <w:r>
        <w:rPr>
          <w:rFonts w:hint="eastAsia"/>
          <w:sz w:val="24"/>
          <w:lang w:eastAsia="zh-CN"/>
        </w:rPr>
        <w:t>）</w:t>
      </w:r>
    </w:p>
    <w:p w14:paraId="628816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356F75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4A05A2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EB3988F">
      <w:pPr>
        <w:pStyle w:val="3"/>
        <w:bidi w:val="0"/>
        <w:rPr>
          <w:rFonts w:hint="eastAsia"/>
          <w:lang w:val="en-US" w:eastAsia="zh-CN"/>
        </w:rPr>
      </w:pPr>
      <w:bookmarkStart w:id="267" w:name="_Toc191914676"/>
      <w:bookmarkStart w:id="268" w:name="_Toc486632921"/>
      <w:bookmarkStart w:id="269" w:name="_Toc12777"/>
      <w:bookmarkStart w:id="270" w:name="_Toc1073981684"/>
      <w:bookmarkStart w:id="271" w:name="_Toc1960819148"/>
      <w:bookmarkStart w:id="272" w:name="_Toc1795595778"/>
      <w:r>
        <w:rPr>
          <w:rFonts w:hint="eastAsia"/>
          <w:lang w:val="en-US" w:eastAsia="zh-CN"/>
        </w:rPr>
        <w:t>13民本文化的历史嬗变与当代阐释</w:t>
      </w:r>
      <w:bookmarkEnd w:id="267"/>
      <w:bookmarkEnd w:id="268"/>
      <w:bookmarkEnd w:id="269"/>
      <w:bookmarkEnd w:id="270"/>
      <w:bookmarkEnd w:id="271"/>
      <w:bookmarkEnd w:id="272"/>
    </w:p>
    <w:p w14:paraId="4D212D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Style w:val="20"/>
          <w:rFonts w:hint="eastAsia" w:ascii="宋体" w:hAnsi="宋体" w:eastAsia="宋体" w:cs="宋体"/>
          <w:vanish/>
          <w:sz w:val="24"/>
          <w:szCs w:val="21"/>
        </w:rPr>
        <w:footnoteReference w:id="504"/>
      </w:r>
    </w:p>
    <w:p w14:paraId="7036F0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rPr>
        <w:t>摘</w:t>
      </w:r>
      <w:r>
        <w:rPr>
          <w:rFonts w:hint="eastAsia"/>
          <w:sz w:val="24"/>
          <w:lang w:val="en-US" w:eastAsia="zh-CN"/>
        </w:rPr>
        <w:t xml:space="preserve">  </w:t>
      </w:r>
      <w:r>
        <w:rPr>
          <w:rFonts w:hint="eastAsia"/>
          <w:sz w:val="24"/>
        </w:rPr>
        <w:t>要</w:t>
      </w:r>
      <w:r>
        <w:rPr>
          <w:rFonts w:hint="eastAsia"/>
          <w:sz w:val="24"/>
          <w:lang w:eastAsia="zh-CN"/>
        </w:rPr>
        <w:t>] 民本文化是中华优秀传统文化的重要组成部分。春秋战国时期，先秦诸子开显出厚重的民本文化资源，管子率先提出的以人为本、以百姓为天思想，晏子力倡的以民为本观，老子以百姓心为心的告诫，孟子民贵君轻的主张，便是民本文化的精彩华章。千年一贯的民本传统，历史地成为接引马克思主义的肥沃土壤。党的二十大报告塑往开来，对传统民本文化实现了具有决定意义的突破和升华：民本主张不再是权宜之计，</w:t>
      </w:r>
      <w:r>
        <w:rPr>
          <w:rFonts w:hint="eastAsia"/>
          <w:sz w:val="24"/>
          <w:lang w:val="en-US" w:eastAsia="zh-CN"/>
        </w:rPr>
        <w:t>全心全意为人民服务成为中国共产党的根本宗旨；民本倡导不再是用来巩固统治的工具，人民至上，享有当家作主的权利；民本策谋不再是手段，以人民为中心彰显了由手段到目的的升华；衡量标准不再是统治阶级，人民满意度成为检验一切工作的最高标准。</w:t>
      </w:r>
    </w:p>
    <w:p w14:paraId="084419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rPr>
        <w:t>关键词</w:t>
      </w:r>
      <w:r>
        <w:rPr>
          <w:rFonts w:hint="eastAsia"/>
          <w:sz w:val="24"/>
          <w:lang w:eastAsia="zh-CN"/>
        </w:rPr>
        <w:t xml:space="preserve">] </w:t>
      </w:r>
      <w:r>
        <w:rPr>
          <w:rFonts w:hint="eastAsia"/>
          <w:sz w:val="24"/>
          <w:lang w:val="en-US" w:eastAsia="zh-CN"/>
        </w:rPr>
        <w:t>民</w:t>
      </w:r>
      <w:r>
        <w:rPr>
          <w:rFonts w:hint="eastAsia"/>
          <w:sz w:val="24"/>
          <w:lang w:eastAsia="zh-CN"/>
        </w:rPr>
        <w:t>本文化；以人为本；二十大报告精神；人民至上；马克思主义理论</w:t>
      </w:r>
    </w:p>
    <w:p w14:paraId="4C16DF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2B1AC91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6419C5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中华优秀传统文化中有厚重的民本文化传统，特别是在百家争鸣</w:t>
      </w:r>
      <w:r>
        <w:rPr>
          <w:rFonts w:hint="eastAsia"/>
          <w:sz w:val="24"/>
        </w:rPr>
        <w:t>的春秋战国时期，</w:t>
      </w:r>
      <w:r>
        <w:rPr>
          <w:rFonts w:hint="eastAsia"/>
          <w:sz w:val="24"/>
          <w:lang w:eastAsia="zh-CN"/>
        </w:rPr>
        <w:t>民本文化成为重要的文化版块。在历史长河中，民本文化虽几经嬗变，但“民本”初心不改。这一优秀的民本传统，深耕中华大地两千多年，历史地成为中华民族的文化基因，并成为成功接引马克思主义的肥沃文化土壤。党的二十大报告塑往开来，在吸纳民本元素的同时，也对传统民本文化进行了具有决定意义的突破和升华。研究民本文化的历史嬗变和当代阐释，使经过改造后的民本文化成为社会主义先进文化的重要组成部分，回应时代之问，无疑是常研常新的时代课题。</w:t>
      </w:r>
    </w:p>
    <w:p w14:paraId="3011DA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一、管晏道儒：民本文化的历史嬗变</w:t>
      </w:r>
    </w:p>
    <w:p w14:paraId="55948B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中国的民本文化传统，肇始于中华文化源头《周易》中——“</w:t>
      </w:r>
      <w:r>
        <w:rPr>
          <w:rFonts w:hint="eastAsia"/>
          <w:sz w:val="24"/>
        </w:rPr>
        <w:t>吉凶与民同患</w:t>
      </w:r>
      <w:r>
        <w:rPr>
          <w:rFonts w:hint="eastAsia"/>
          <w:sz w:val="24"/>
          <w:lang w:eastAsia="zh-CN"/>
        </w:rPr>
        <w:t>”（《周易</w:t>
      </w:r>
      <w:r>
        <w:rPr>
          <w:rFonts w:hint="eastAsia"/>
          <w:sz w:val="24"/>
          <w:lang w:val="en-US" w:eastAsia="zh-CN"/>
        </w:rPr>
        <w:t>·系辞上</w:t>
      </w:r>
      <w:r>
        <w:rPr>
          <w:rFonts w:hint="eastAsia"/>
          <w:sz w:val="24"/>
          <w:lang w:eastAsia="zh-CN"/>
        </w:rPr>
        <w:t>》）、“</w:t>
      </w:r>
      <w:r>
        <w:rPr>
          <w:rFonts w:hint="eastAsia"/>
          <w:sz w:val="24"/>
        </w:rPr>
        <w:t>君子以容民畜众</w:t>
      </w:r>
      <w:r>
        <w:rPr>
          <w:rFonts w:hint="eastAsia"/>
          <w:sz w:val="24"/>
          <w:lang w:eastAsia="zh-CN"/>
        </w:rPr>
        <w:t>”（《周易</w:t>
      </w:r>
      <w:r>
        <w:rPr>
          <w:rFonts w:hint="eastAsia"/>
          <w:sz w:val="24"/>
          <w:lang w:val="en-US" w:eastAsia="zh-CN"/>
        </w:rPr>
        <w:t>·师</w:t>
      </w:r>
      <w:r>
        <w:rPr>
          <w:rFonts w:hint="eastAsia"/>
          <w:sz w:val="24"/>
          <w:lang w:eastAsia="zh-CN"/>
        </w:rPr>
        <w:t>》）、“</w:t>
      </w:r>
      <w:r>
        <w:rPr>
          <w:rFonts w:hint="eastAsia"/>
          <w:sz w:val="24"/>
        </w:rPr>
        <w:t>君子以辨上下，安民志</w:t>
      </w:r>
      <w:r>
        <w:rPr>
          <w:rFonts w:hint="eastAsia"/>
          <w:sz w:val="24"/>
          <w:lang w:eastAsia="zh-CN"/>
        </w:rPr>
        <w:t>”（《周易</w:t>
      </w:r>
      <w:r>
        <w:rPr>
          <w:rFonts w:hint="eastAsia"/>
          <w:sz w:val="24"/>
          <w:lang w:val="en-US" w:eastAsia="zh-CN"/>
        </w:rPr>
        <w:t>·履</w:t>
      </w:r>
      <w:r>
        <w:rPr>
          <w:rFonts w:hint="eastAsia"/>
          <w:sz w:val="24"/>
          <w:lang w:eastAsia="zh-CN"/>
        </w:rPr>
        <w:t>》）、“</w:t>
      </w:r>
      <w:r>
        <w:rPr>
          <w:rFonts w:hint="eastAsia"/>
          <w:sz w:val="24"/>
        </w:rPr>
        <w:t>观民设教</w:t>
      </w:r>
      <w:r>
        <w:rPr>
          <w:rFonts w:hint="eastAsia"/>
          <w:sz w:val="24"/>
          <w:lang w:eastAsia="zh-CN"/>
        </w:rPr>
        <w:t>”（《周易</w:t>
      </w:r>
      <w:r>
        <w:rPr>
          <w:rFonts w:hint="eastAsia"/>
          <w:sz w:val="24"/>
          <w:lang w:val="en-US" w:eastAsia="zh-CN"/>
        </w:rPr>
        <w:t>·观</w:t>
      </w:r>
      <w:r>
        <w:rPr>
          <w:rFonts w:hint="eastAsia"/>
          <w:sz w:val="24"/>
          <w:lang w:eastAsia="zh-CN"/>
        </w:rPr>
        <w:t>》）、“损上益下，民说无疆，自上下下，其道大光”（《周易</w:t>
      </w:r>
      <w:r>
        <w:rPr>
          <w:rFonts w:hint="eastAsia"/>
          <w:sz w:val="24"/>
          <w:lang w:val="en-US" w:eastAsia="zh-CN"/>
        </w:rPr>
        <w:t>·益</w:t>
      </w:r>
      <w:r>
        <w:rPr>
          <w:rFonts w:hint="eastAsia"/>
          <w:sz w:val="24"/>
          <w:lang w:eastAsia="zh-CN"/>
        </w:rPr>
        <w:t>》）等箴言，无不闪烁着民本思想的光辉。</w:t>
      </w:r>
      <w:r>
        <w:rPr>
          <w:rFonts w:hint="eastAsia"/>
          <w:sz w:val="24"/>
          <w:lang w:val="en-US" w:eastAsia="zh-CN"/>
        </w:rPr>
        <w:t>《尚书·五子之歌》在对早期帝王人亡政息的叹息之余，警示世人：“皇祖有训，民可近，不可下。民惟邦本，本固邦宁。”到春秋战国时期，经过以管子为代表的诸子百家的努力，民本文化渐趋成熟</w:t>
      </w:r>
      <w:r>
        <w:rPr>
          <w:rFonts w:hint="eastAsia"/>
          <w:sz w:val="24"/>
          <w:lang w:eastAsia="zh-CN"/>
        </w:rPr>
        <w:t>。本文主要以春秋战国时期民本文化的演进为线索，对民本文化的历史嬗变进行提纲挈领式的梳理和归纳。</w:t>
      </w:r>
    </w:p>
    <w:p w14:paraId="20FAA1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1.管子：首提以人为本、以百姓为天</w:t>
      </w:r>
    </w:p>
    <w:p w14:paraId="0729B2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春秋战国时期，管子最早明确提出“以人为本”的命题，率先将民本文化系统化并付诸治国理政实践。他说：“夫霸王之所始也，以人为本。本理则国固，本乱则国危。”（《管子·霸言》，以下只注篇名）沿着以人为本的思路，管子进一步提出了“以百姓为天”的命题。在回答齐桓公“王者何贵”之问时，管子一语中的：“贵天。”桓公仰而视天，管子释“天”曰：“所谓天者，非谓苍苍莽莽之天也。人君者，以百姓为天。”（刘向《说苑》）</w:t>
      </w:r>
    </w:p>
    <w:p w14:paraId="4D706C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为了将“以人为本”“以百姓为天”“从民所欲”的民本思想落到实处，在管仲相齐的实践中，力主贯彻“凡治国之道，必先富民”（《治国》）的方略，将富民作为第一要务。管子曰：“是以善为国者，必先</w:t>
      </w:r>
      <w:r>
        <w:rPr>
          <w:rFonts w:hint="eastAsia"/>
          <w:sz w:val="24"/>
          <w:lang w:val="en-US" w:eastAsia="zh-CN"/>
        </w:rPr>
        <w:fldChar w:fldCharType="begin"/>
      </w:r>
      <w:r>
        <w:rPr>
          <w:rFonts w:hint="eastAsia"/>
          <w:sz w:val="24"/>
          <w:lang w:val="en-US" w:eastAsia="zh-CN"/>
        </w:rPr>
        <w:instrText xml:space="preserve"> HYPERLINK "http://baike.baidu.com/view/933324.htm" \t "_blank" </w:instrText>
      </w:r>
      <w:r>
        <w:rPr>
          <w:rFonts w:hint="eastAsia"/>
          <w:sz w:val="24"/>
          <w:lang w:val="en-US" w:eastAsia="zh-CN"/>
        </w:rPr>
        <w:fldChar w:fldCharType="separate"/>
      </w:r>
      <w:r>
        <w:rPr>
          <w:rFonts w:hint="eastAsia"/>
          <w:sz w:val="24"/>
          <w:lang w:val="en-US" w:eastAsia="zh-CN"/>
        </w:rPr>
        <w:t>富民</w:t>
      </w:r>
      <w:r>
        <w:rPr>
          <w:rFonts w:hint="eastAsia"/>
          <w:sz w:val="24"/>
          <w:lang w:val="en-US" w:eastAsia="zh-CN"/>
        </w:rPr>
        <w:fldChar w:fldCharType="end"/>
      </w:r>
      <w:r>
        <w:rPr>
          <w:rFonts w:hint="eastAsia"/>
          <w:sz w:val="24"/>
          <w:lang w:val="en-US" w:eastAsia="zh-CN"/>
        </w:rPr>
        <w:t>，然后治之。”（《治国》）得民心是实现国家富强、社稷安定的关键；欲得民心，当以心系百姓为要；心系百姓者，必先使百姓富足——这就是管子“以天下之财，利天下之人”（《霸言》）的王道政治经济学要义。既然天下“非一人之天下”，而是万民共同的天下，那么，与天下人共享天下货财者，可得天下、安天下；独占天下货财者，虽成必败。管子告诫，独富之君，必有亡国之虞。管子在回答齐桓公如何理财之问时，阐述了藏富于民的理路：“王者藏于民，霸者藏于大夫，残国亡家藏于箧。”桓公曰：“何谓藏于民？”管子曰：“请散栈台之钱，散诸城阳；鹿台之布，散诸济阴。君下令于百姓曰：‘民富君无与贫，民贫君无与富。故赋无钱布，府无藏财，赀藏于民。’”（《山至数》）从民本思想出发，管子提出了包括“厚其生”“输之以财”“遗之以利”“宽其政”“匡其急”“振其穷”在内的“兴德六策”（《五辅》），以及包括“一曰老老，二曰慈幼，三曰恤孤，四曰养疾，五曰合独，六曰问疾，七曰通穷，八曰振困，九曰接绝”在内的“九惠之教”（《入国》）。管子还多次巡视四方，督促“兴德六策”和“九惠之教”的施行。</w:t>
      </w:r>
    </w:p>
    <w:p w14:paraId="3BEF4E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民之所欲，天必从之”（《尚书·泰誓上》）。基于民本思想，管子提出了“从民所欲”“与俗同好”“顺民因俗”“取于民有度”“重用其民”的政治主张。譬如，管子曰：“民恶忧劳，我佚乐之；民恶贫贱，我富贵之；民恶危坠，我存安之；民恶灭绝，我生育之。”（《牧民》）对此“从其四欲”的顺应民心之举，太史公予以高度评价道：“俗之所欲，因而予之；俗之所否，因而去之。”（《史记·管晏列传》）</w:t>
      </w:r>
    </w:p>
    <w:p w14:paraId="0620D6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作为民本文化的集大成者，管子还将民本思想巧妙推广到“九合一匡”实践中。公元前680年，鄄地会盟时的二合诸侯，推动会盟诸侯国达成共识，一起订立“养孤老，食常疾，收孤寡”（《幼官》）等关爱弱势群体的盟约；公元前679年，鄄地会盟时的三合诸侯，再次力促惠民条款的达成，订立体现民本思想的“田租百取五，市赋百取二，关赋百取一”（《幼官》）等条款。在此基础上，管子倡议参与会盟的诸侯国：“民之所利立之，所害除之。”（《幼官》）这些举措，使民本思想在各诸侯国不胫而走，影响深远。</w:t>
      </w:r>
    </w:p>
    <w:p w14:paraId="640FDF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可见，管子既是民本文化的集大成者，又是民本文化的践行者。自管子以降，民本文化之河形成汹涌奔流之势，润泽中华大地两千多年而不竭。</w:t>
      </w:r>
    </w:p>
    <w:p w14:paraId="1AF556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2.晏子：力倡以民为本、以民为先</w:t>
      </w:r>
    </w:p>
    <w:p w14:paraId="1401B4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val="en-US" w:eastAsia="zh-CN"/>
        </w:rPr>
        <w:t>晏子继承并发展了管子的民本思想，在管子“以人为本”基础上，首提“以民为本”。一部《晏子春秋》，对主人公爱民、先民、重民、扶危济困、</w:t>
      </w:r>
      <w:r>
        <w:rPr>
          <w:rFonts w:hint="eastAsia"/>
          <w:sz w:val="24"/>
        </w:rPr>
        <w:t>救民水火</w:t>
      </w:r>
      <w:r>
        <w:rPr>
          <w:rFonts w:hint="eastAsia"/>
          <w:sz w:val="24"/>
          <w:lang w:eastAsia="zh-CN"/>
        </w:rPr>
        <w:t>而</w:t>
      </w:r>
      <w:r>
        <w:rPr>
          <w:rFonts w:hint="eastAsia"/>
          <w:sz w:val="24"/>
        </w:rPr>
        <w:t>不自彰</w:t>
      </w:r>
      <w:r>
        <w:rPr>
          <w:rFonts w:hint="eastAsia"/>
          <w:sz w:val="24"/>
          <w:lang w:eastAsia="zh-CN"/>
        </w:rPr>
        <w:t>的民本文化，可谓不吝笔墨。</w:t>
      </w:r>
    </w:p>
    <w:p w14:paraId="3D9268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史载：</w:t>
      </w:r>
      <w:r>
        <w:rPr>
          <w:rFonts w:hint="eastAsia"/>
          <w:sz w:val="24"/>
        </w:rPr>
        <w:t>“叔向问晏子曰：‘世乱不遵道，上辟不用义；正行则民遗，曲行则道废。正行而遗民乎？与持民而遗道乎？’</w:t>
      </w:r>
      <w:r>
        <w:rPr>
          <w:rFonts w:hint="eastAsia"/>
          <w:sz w:val="24"/>
          <w:lang w:eastAsia="zh-CN"/>
        </w:rPr>
        <w:t>……</w:t>
      </w:r>
      <w:r>
        <w:rPr>
          <w:rFonts w:hint="eastAsia"/>
          <w:sz w:val="24"/>
        </w:rPr>
        <w:t>晏子对曰：‘婴闻之，卑而不失尊，曲而不失正者，以民为本也。苟持民矣，安有遗道！苟遗民矣，安有正行焉！’”（《</w:t>
      </w:r>
      <w:r>
        <w:rPr>
          <w:rFonts w:hint="eastAsia"/>
          <w:sz w:val="24"/>
          <w:lang w:eastAsia="zh-CN"/>
        </w:rPr>
        <w:t>晏子春秋</w:t>
      </w:r>
      <w:r>
        <w:rPr>
          <w:rFonts w:hint="eastAsia"/>
          <w:sz w:val="24"/>
          <w:lang w:val="en-US" w:eastAsia="zh-CN"/>
        </w:rPr>
        <w:t>·</w:t>
      </w:r>
      <w:r>
        <w:rPr>
          <w:rFonts w:hint="eastAsia"/>
          <w:sz w:val="24"/>
        </w:rPr>
        <w:t>问下》</w:t>
      </w:r>
      <w:r>
        <w:rPr>
          <w:rFonts w:hint="eastAsia"/>
          <w:sz w:val="24"/>
          <w:lang w:eastAsia="zh-CN"/>
        </w:rPr>
        <w:t>，以下只注篇名</w:t>
      </w:r>
      <w:r>
        <w:rPr>
          <w:rFonts w:hint="eastAsia"/>
          <w:sz w:val="24"/>
        </w:rPr>
        <w:t>）</w:t>
      </w:r>
      <w:r>
        <w:rPr>
          <w:rFonts w:hint="eastAsia"/>
          <w:sz w:val="24"/>
          <w:lang w:eastAsia="zh-CN"/>
        </w:rPr>
        <w:t>据此，晏子将</w:t>
      </w:r>
      <w:r>
        <w:rPr>
          <w:rFonts w:hint="eastAsia"/>
          <w:sz w:val="24"/>
        </w:rPr>
        <w:t>“以民为本”“度义因民”</w:t>
      </w:r>
      <w:r>
        <w:rPr>
          <w:rFonts w:hint="eastAsia"/>
          <w:sz w:val="24"/>
          <w:lang w:eastAsia="zh-CN"/>
        </w:rPr>
        <w:t>视作成就政事</w:t>
      </w:r>
      <w:r>
        <w:rPr>
          <w:rFonts w:hint="eastAsia"/>
          <w:sz w:val="24"/>
        </w:rPr>
        <w:t>的关键：“景公问晏子曰：‘谋必得，事必成，有术乎？’晏子对曰：‘有。’公曰：‘其术如何？’晏子曰：‘谋度于义者必得，事因于民者必成。’</w:t>
      </w:r>
      <w:r>
        <w:rPr>
          <w:rFonts w:hint="eastAsia"/>
          <w:sz w:val="24"/>
          <w:lang w:eastAsia="zh-CN"/>
        </w:rPr>
        <w:t>……</w:t>
      </w:r>
      <w:r>
        <w:rPr>
          <w:rFonts w:hint="eastAsia"/>
          <w:sz w:val="24"/>
        </w:rPr>
        <w:t>‘谋于上不违天，谋于下不违民。以此谋者必得矣。……傲民举事，虽成不荣。故臣闻：义，谋之法也；民，事之本也。故反义而谋，倍民而动，未闻存者也。昔三代之兴也，谋必度于义，事必因于民。及其衰也，建谋反义，兴事伤民。故度义因民，谋事之术也。’”（《问上》）晏子</w:t>
      </w:r>
      <w:r>
        <w:rPr>
          <w:rFonts w:hint="eastAsia"/>
          <w:sz w:val="24"/>
          <w:lang w:eastAsia="zh-CN"/>
        </w:rPr>
        <w:t>认为，</w:t>
      </w:r>
      <w:r>
        <w:rPr>
          <w:rFonts w:hint="eastAsia"/>
          <w:sz w:val="24"/>
        </w:rPr>
        <w:t>“先民而后身”</w:t>
      </w:r>
      <w:r>
        <w:rPr>
          <w:rFonts w:hint="eastAsia"/>
          <w:sz w:val="24"/>
          <w:lang w:eastAsia="zh-CN"/>
        </w:rPr>
        <w:t>才能长保“威强之道”</w:t>
      </w:r>
      <w:r>
        <w:rPr>
          <w:rFonts w:hint="eastAsia"/>
          <w:sz w:val="24"/>
        </w:rPr>
        <w:t>（《</w:t>
      </w:r>
      <w:r>
        <w:rPr>
          <w:rFonts w:hint="eastAsia"/>
          <w:sz w:val="24"/>
          <w:lang w:eastAsia="zh-CN"/>
        </w:rPr>
        <w:t>内篇</w:t>
      </w:r>
      <w:r>
        <w:rPr>
          <w:rFonts w:hint="eastAsia"/>
          <w:sz w:val="24"/>
        </w:rPr>
        <w:t>问下》）</w:t>
      </w:r>
      <w:r>
        <w:rPr>
          <w:rFonts w:hint="eastAsia"/>
          <w:sz w:val="24"/>
          <w:lang w:eastAsia="zh-CN"/>
        </w:rPr>
        <w:t>。晏子从民本思想出发，反对繁礼害民的倾向，提出</w:t>
      </w:r>
      <w:r>
        <w:rPr>
          <w:rFonts w:hint="eastAsia"/>
          <w:sz w:val="24"/>
        </w:rPr>
        <w:t>礼以御民</w:t>
      </w:r>
      <w:r>
        <w:rPr>
          <w:rFonts w:hint="eastAsia"/>
          <w:sz w:val="24"/>
          <w:lang w:eastAsia="zh-CN"/>
        </w:rPr>
        <w:t>、</w:t>
      </w:r>
      <w:r>
        <w:rPr>
          <w:rFonts w:hint="eastAsia"/>
          <w:sz w:val="24"/>
        </w:rPr>
        <w:t>礼以为民</w:t>
      </w:r>
      <w:r>
        <w:rPr>
          <w:rFonts w:hint="eastAsia"/>
          <w:sz w:val="24"/>
          <w:lang w:eastAsia="zh-CN"/>
        </w:rPr>
        <w:t>、</w:t>
      </w:r>
      <w:r>
        <w:rPr>
          <w:rFonts w:hint="eastAsia"/>
          <w:sz w:val="24"/>
        </w:rPr>
        <w:t>民高于礼</w:t>
      </w:r>
      <w:r>
        <w:rPr>
          <w:rFonts w:hint="eastAsia"/>
          <w:sz w:val="24"/>
          <w:lang w:eastAsia="zh-CN"/>
        </w:rPr>
        <w:t>的观点</w:t>
      </w:r>
      <w:r>
        <w:rPr>
          <w:rFonts w:hint="eastAsia"/>
          <w:sz w:val="24"/>
        </w:rPr>
        <w:t>：“夫礼，先王之所以临天下也，以其为民，是故尚之。”（《外上》）</w:t>
      </w:r>
      <w:r>
        <w:rPr>
          <w:rFonts w:hint="eastAsia"/>
          <w:sz w:val="24"/>
          <w:lang w:eastAsia="zh-CN"/>
        </w:rPr>
        <w:t>为了</w:t>
      </w:r>
      <w:r>
        <w:rPr>
          <w:rFonts w:hint="eastAsia"/>
          <w:sz w:val="24"/>
        </w:rPr>
        <w:t>走出“饰礼烦事，羡乐淫民，崇死以害生”（《外下》）的误区</w:t>
      </w:r>
      <w:r>
        <w:rPr>
          <w:rFonts w:hint="eastAsia"/>
          <w:sz w:val="24"/>
          <w:lang w:eastAsia="zh-CN"/>
        </w:rPr>
        <w:t>，</w:t>
      </w:r>
      <w:r>
        <w:rPr>
          <w:rFonts w:hint="eastAsia"/>
          <w:sz w:val="24"/>
        </w:rPr>
        <w:t>本着御民为民的宗旨，</w:t>
      </w:r>
      <w:r>
        <w:rPr>
          <w:rFonts w:hint="eastAsia"/>
          <w:sz w:val="24"/>
          <w:lang w:eastAsia="zh-CN"/>
        </w:rPr>
        <w:t>晏子提出了</w:t>
      </w:r>
      <w:r>
        <w:rPr>
          <w:rFonts w:hint="eastAsia"/>
          <w:sz w:val="24"/>
        </w:rPr>
        <w:t>“便事利民”</w:t>
      </w:r>
      <w:r>
        <w:rPr>
          <w:rFonts w:hint="eastAsia"/>
          <w:sz w:val="24"/>
          <w:lang w:eastAsia="zh-CN"/>
        </w:rPr>
        <w:t>的礼制改革</w:t>
      </w:r>
      <w:r>
        <w:rPr>
          <w:rFonts w:hint="eastAsia"/>
          <w:sz w:val="24"/>
        </w:rPr>
        <w:t>思路</w:t>
      </w:r>
      <w:r>
        <w:rPr>
          <w:rFonts w:hint="eastAsia"/>
          <w:sz w:val="24"/>
          <w:lang w:eastAsia="zh-CN"/>
        </w:rPr>
        <w:t>：</w:t>
      </w:r>
      <w:r>
        <w:rPr>
          <w:rFonts w:hint="eastAsia"/>
          <w:sz w:val="24"/>
        </w:rPr>
        <w:t>“制礼不羡于便事……制乐不羡于和民</w:t>
      </w:r>
      <w:r>
        <w:rPr>
          <w:rFonts w:hint="eastAsia"/>
          <w:sz w:val="24"/>
          <w:lang w:eastAsia="zh-CN"/>
        </w:rPr>
        <w:t>。</w:t>
      </w:r>
      <w:r>
        <w:rPr>
          <w:rFonts w:hint="eastAsia"/>
          <w:sz w:val="24"/>
        </w:rPr>
        <w:t>”（《外下》）晏子</w:t>
      </w:r>
      <w:r>
        <w:rPr>
          <w:rFonts w:hint="eastAsia"/>
          <w:sz w:val="24"/>
          <w:lang w:eastAsia="zh-CN"/>
        </w:rPr>
        <w:t>治国理政，总是以民众利益作为谋划和行动的</w:t>
      </w:r>
      <w:r>
        <w:rPr>
          <w:rFonts w:hint="eastAsia"/>
          <w:sz w:val="24"/>
        </w:rPr>
        <w:t>最高准则</w:t>
      </w:r>
      <w:r>
        <w:rPr>
          <w:rFonts w:hint="eastAsia"/>
          <w:sz w:val="24"/>
          <w:lang w:eastAsia="zh-CN"/>
        </w:rPr>
        <w:t>，因为</w:t>
      </w:r>
      <w:r>
        <w:rPr>
          <w:rFonts w:hint="eastAsia"/>
          <w:sz w:val="24"/>
        </w:rPr>
        <w:t>没有比爱护民众更高明的想法，没有比</w:t>
      </w:r>
      <w:r>
        <w:rPr>
          <w:rFonts w:hint="eastAsia"/>
          <w:sz w:val="24"/>
          <w:lang w:eastAsia="zh-CN"/>
        </w:rPr>
        <w:t>使</w:t>
      </w:r>
      <w:r>
        <w:rPr>
          <w:rFonts w:hint="eastAsia"/>
          <w:sz w:val="24"/>
        </w:rPr>
        <w:t>民众快乐更宽厚的</w:t>
      </w:r>
      <w:r>
        <w:rPr>
          <w:rFonts w:hint="eastAsia"/>
          <w:sz w:val="24"/>
          <w:lang w:eastAsia="zh-CN"/>
        </w:rPr>
        <w:t>行动——“</w:t>
      </w:r>
      <w:r>
        <w:rPr>
          <w:rFonts w:hint="eastAsia"/>
          <w:sz w:val="24"/>
        </w:rPr>
        <w:t>意莫高于爱民，行莫厚于乐民</w:t>
      </w:r>
      <w:r>
        <w:rPr>
          <w:rFonts w:hint="eastAsia"/>
          <w:sz w:val="24"/>
          <w:lang w:eastAsia="zh-CN"/>
        </w:rPr>
        <w:t>”</w:t>
      </w:r>
      <w:r>
        <w:rPr>
          <w:rFonts w:hint="eastAsia"/>
          <w:sz w:val="24"/>
        </w:rPr>
        <w:t>（《问下》）</w:t>
      </w:r>
      <w:r>
        <w:rPr>
          <w:rFonts w:hint="eastAsia"/>
          <w:sz w:val="24"/>
          <w:lang w:eastAsia="zh-CN"/>
        </w:rPr>
        <w:t>。</w:t>
      </w:r>
    </w:p>
    <w:p w14:paraId="7231570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晏子“以民为本”“以民为先”“度义因民”“与民同乐”的民本倡导，</w:t>
      </w:r>
      <w:r>
        <w:rPr>
          <w:rFonts w:hint="eastAsia"/>
          <w:sz w:val="24"/>
        </w:rPr>
        <w:t>是以富民为基础的。</w:t>
      </w:r>
      <w:r>
        <w:rPr>
          <w:rFonts w:hint="eastAsia"/>
          <w:sz w:val="24"/>
          <w:lang w:eastAsia="zh-CN"/>
        </w:rPr>
        <w:t>面对贫富悬殊的社会现实，为了夯实民本的基础，</w:t>
      </w:r>
      <w:r>
        <w:rPr>
          <w:rFonts w:hint="eastAsia"/>
          <w:sz w:val="24"/>
        </w:rPr>
        <w:t>晏子</w:t>
      </w:r>
      <w:r>
        <w:rPr>
          <w:rFonts w:hint="eastAsia"/>
          <w:sz w:val="24"/>
          <w:lang w:eastAsia="zh-CN"/>
        </w:rPr>
        <w:t>明确</w:t>
      </w:r>
      <w:r>
        <w:rPr>
          <w:rFonts w:hint="eastAsia"/>
          <w:sz w:val="24"/>
        </w:rPr>
        <w:t>提出“权有无，均贫富”的</w:t>
      </w:r>
      <w:r>
        <w:rPr>
          <w:rFonts w:hint="eastAsia"/>
          <w:sz w:val="24"/>
          <w:lang w:eastAsia="zh-CN"/>
        </w:rPr>
        <w:t>施政纲领</w:t>
      </w:r>
      <w:r>
        <w:rPr>
          <w:rFonts w:hint="eastAsia"/>
          <w:sz w:val="24"/>
        </w:rPr>
        <w:t>。他</w:t>
      </w:r>
      <w:r>
        <w:rPr>
          <w:rFonts w:hint="eastAsia"/>
          <w:sz w:val="24"/>
          <w:lang w:eastAsia="zh-CN"/>
        </w:rPr>
        <w:t>对</w:t>
      </w:r>
      <w:r>
        <w:rPr>
          <w:rFonts w:hint="eastAsia"/>
          <w:sz w:val="24"/>
        </w:rPr>
        <w:t>景公</w:t>
      </w:r>
      <w:r>
        <w:rPr>
          <w:rFonts w:hint="eastAsia"/>
          <w:sz w:val="24"/>
          <w:lang w:eastAsia="zh-CN"/>
        </w:rPr>
        <w:t>建言</w:t>
      </w:r>
      <w:r>
        <w:rPr>
          <w:rFonts w:hint="eastAsia"/>
          <w:sz w:val="24"/>
        </w:rPr>
        <w:t>：“薄于身而厚于民，约于身而广于世：其处上也，足以明政行教，不以威天下；其取财也，权有无，均贫富，不以养嗜欲。”（《</w:t>
      </w:r>
      <w:r>
        <w:rPr>
          <w:rFonts w:hint="eastAsia"/>
          <w:sz w:val="24"/>
          <w:lang w:eastAsia="zh-CN"/>
        </w:rPr>
        <w:t>内篇</w:t>
      </w:r>
      <w:r>
        <w:rPr>
          <w:rFonts w:hint="eastAsia"/>
          <w:sz w:val="24"/>
        </w:rPr>
        <w:t>问上》）</w:t>
      </w:r>
      <w:r>
        <w:rPr>
          <w:rFonts w:hint="eastAsia"/>
          <w:sz w:val="24"/>
          <w:lang w:eastAsia="zh-CN"/>
        </w:rPr>
        <w:t>在晏子看来，</w:t>
      </w:r>
      <w:r>
        <w:rPr>
          <w:rFonts w:hint="eastAsia"/>
          <w:sz w:val="24"/>
        </w:rPr>
        <w:t>只有缩小贫富差距，</w:t>
      </w:r>
      <w:r>
        <w:rPr>
          <w:rFonts w:hint="eastAsia"/>
          <w:sz w:val="24"/>
          <w:lang w:eastAsia="zh-CN"/>
        </w:rPr>
        <w:t>方可做到</w:t>
      </w:r>
      <w:r>
        <w:rPr>
          <w:rFonts w:hint="eastAsia"/>
          <w:sz w:val="24"/>
        </w:rPr>
        <w:t>“社稷之中，粒食之民，一意同欲”（《</w:t>
      </w:r>
      <w:r>
        <w:rPr>
          <w:rFonts w:hint="eastAsia"/>
          <w:sz w:val="24"/>
          <w:lang w:eastAsia="zh-CN"/>
        </w:rPr>
        <w:t>内篇</w:t>
      </w:r>
      <w:r>
        <w:rPr>
          <w:rFonts w:hint="eastAsia"/>
          <w:sz w:val="24"/>
        </w:rPr>
        <w:t>问上》）。</w:t>
      </w:r>
    </w:p>
    <w:p w14:paraId="572E55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晏子</w:t>
      </w:r>
      <w:r>
        <w:rPr>
          <w:rFonts w:hint="eastAsia"/>
          <w:sz w:val="24"/>
        </w:rPr>
        <w:t>心系百姓，扶危救困</w:t>
      </w:r>
      <w:r>
        <w:rPr>
          <w:rFonts w:hint="eastAsia"/>
          <w:sz w:val="24"/>
          <w:lang w:eastAsia="zh-CN"/>
        </w:rPr>
        <w:t>，其</w:t>
      </w:r>
      <w:r>
        <w:rPr>
          <w:rFonts w:hint="eastAsia"/>
          <w:sz w:val="24"/>
        </w:rPr>
        <w:t>民本思想</w:t>
      </w:r>
      <w:r>
        <w:rPr>
          <w:rFonts w:hint="eastAsia"/>
          <w:sz w:val="24"/>
          <w:lang w:eastAsia="zh-CN"/>
        </w:rPr>
        <w:t>贯穿</w:t>
      </w:r>
      <w:r>
        <w:rPr>
          <w:rFonts w:hint="eastAsia"/>
          <w:sz w:val="24"/>
        </w:rPr>
        <w:t>在他</w:t>
      </w:r>
      <w:r>
        <w:rPr>
          <w:rFonts w:hint="eastAsia"/>
          <w:sz w:val="24"/>
          <w:lang w:eastAsia="zh-CN"/>
        </w:rPr>
        <w:t>长达</w:t>
      </w:r>
      <w:r>
        <w:rPr>
          <w:rFonts w:hint="eastAsia"/>
          <w:sz w:val="24"/>
        </w:rPr>
        <w:t>半个多世纪</w:t>
      </w:r>
      <w:r>
        <w:rPr>
          <w:rFonts w:hint="eastAsia"/>
          <w:sz w:val="24"/>
          <w:lang w:eastAsia="zh-CN"/>
        </w:rPr>
        <w:t>的辅政实践中。“路有冻死骨”，而目睹此情此景的齐景公却</w:t>
      </w:r>
      <w:r>
        <w:rPr>
          <w:rFonts w:hint="eastAsia"/>
          <w:sz w:val="24"/>
        </w:rPr>
        <w:t>不闻不问，晏子劝谏道：“今君游于寒途</w:t>
      </w:r>
      <w:r>
        <w:rPr>
          <w:rFonts w:hint="eastAsia"/>
          <w:sz w:val="24"/>
          <w:lang w:eastAsia="zh-CN"/>
        </w:rPr>
        <w:t>，</w:t>
      </w:r>
      <w:r>
        <w:rPr>
          <w:rFonts w:hint="eastAsia"/>
          <w:sz w:val="24"/>
        </w:rPr>
        <w:t>据四十里之氓，殚财不足以奉敛，尽力不能周役，民氓饥寒冻馁，死胔相望，而君不问，失君道矣。”（《</w:t>
      </w:r>
      <w:r>
        <w:rPr>
          <w:rFonts w:hint="eastAsia"/>
          <w:sz w:val="24"/>
          <w:lang w:eastAsia="zh-CN"/>
        </w:rPr>
        <w:t>内篇</w:t>
      </w:r>
      <w:r>
        <w:rPr>
          <w:rFonts w:hint="eastAsia"/>
          <w:sz w:val="24"/>
        </w:rPr>
        <w:t>谏上》）</w:t>
      </w:r>
      <w:r>
        <w:rPr>
          <w:rFonts w:hint="eastAsia"/>
          <w:sz w:val="24"/>
          <w:lang w:eastAsia="zh-CN"/>
        </w:rPr>
        <w:t>晏子屡谏喜奢侈、好酒色的景公要“与民同乐”：</w:t>
      </w:r>
      <w:r>
        <w:rPr>
          <w:rFonts w:hint="eastAsia"/>
          <w:sz w:val="24"/>
        </w:rPr>
        <w:t>“</w:t>
      </w:r>
      <w:r>
        <w:rPr>
          <w:rFonts w:hint="eastAsia"/>
          <w:sz w:val="24"/>
          <w:lang w:eastAsia="zh-CN"/>
        </w:rPr>
        <w:t>夫乐者，上下同之。故天子与天下，诸侯与境内，大夫以下各与其僚，无有独乐。今上乐其乐，下伤其费，是独乐者也，不可！</w:t>
      </w:r>
      <w:r>
        <w:rPr>
          <w:rFonts w:hint="eastAsia"/>
          <w:sz w:val="24"/>
        </w:rPr>
        <w:t>”（《</w:t>
      </w:r>
      <w:r>
        <w:rPr>
          <w:rFonts w:hint="eastAsia"/>
          <w:sz w:val="24"/>
        </w:rPr>
        <w:fldChar w:fldCharType="begin"/>
      </w:r>
      <w:r>
        <w:rPr>
          <w:rFonts w:hint="eastAsia"/>
          <w:sz w:val="24"/>
        </w:rPr>
        <w:instrText xml:space="preserve"> HYPERLINK "http://baike.baidu.com/view/10247888.htm" \t "_blank" </w:instrText>
      </w:r>
      <w:r>
        <w:rPr>
          <w:rFonts w:hint="eastAsia"/>
          <w:sz w:val="24"/>
        </w:rPr>
        <w:fldChar w:fldCharType="separate"/>
      </w:r>
      <w:r>
        <w:rPr>
          <w:rFonts w:hint="eastAsia"/>
          <w:sz w:val="24"/>
          <w:lang w:eastAsia="zh-CN"/>
        </w:rPr>
        <w:t>内篇杂</w:t>
      </w:r>
      <w:r>
        <w:rPr>
          <w:rFonts w:hint="eastAsia"/>
          <w:sz w:val="24"/>
        </w:rPr>
        <w:t>上</w:t>
      </w:r>
      <w:r>
        <w:rPr>
          <w:rFonts w:hint="eastAsia"/>
          <w:sz w:val="24"/>
        </w:rPr>
        <w:fldChar w:fldCharType="end"/>
      </w:r>
      <w:r>
        <w:rPr>
          <w:rFonts w:hint="eastAsia"/>
          <w:sz w:val="24"/>
        </w:rPr>
        <w:t>》）</w:t>
      </w:r>
      <w:r>
        <w:rPr>
          <w:rFonts w:hint="eastAsia"/>
          <w:sz w:val="24"/>
          <w:lang w:eastAsia="zh-CN"/>
        </w:rPr>
        <w:t>要想</w:t>
      </w:r>
      <w:r>
        <w:rPr>
          <w:rFonts w:hint="eastAsia"/>
          <w:sz w:val="24"/>
        </w:rPr>
        <w:t>赢得百姓</w:t>
      </w:r>
      <w:r>
        <w:rPr>
          <w:rFonts w:hint="eastAsia"/>
          <w:sz w:val="24"/>
          <w:lang w:eastAsia="zh-CN"/>
        </w:rPr>
        <w:t>拥戴，当以百姓之乐为乐而非独乐乐。</w:t>
      </w:r>
      <w:r>
        <w:rPr>
          <w:rFonts w:hint="eastAsia"/>
          <w:sz w:val="24"/>
        </w:rPr>
        <w:t>对忠君为民</w:t>
      </w:r>
      <w:r>
        <w:rPr>
          <w:rFonts w:hint="eastAsia"/>
          <w:sz w:val="24"/>
          <w:lang w:eastAsia="zh-CN"/>
        </w:rPr>
        <w:t>、</w:t>
      </w:r>
      <w:r>
        <w:rPr>
          <w:rFonts w:hint="eastAsia"/>
          <w:sz w:val="24"/>
        </w:rPr>
        <w:t>上报君王下恤百姓</w:t>
      </w:r>
      <w:r>
        <w:rPr>
          <w:rFonts w:hint="eastAsia"/>
          <w:sz w:val="24"/>
          <w:lang w:eastAsia="zh-CN"/>
        </w:rPr>
        <w:t>的</w:t>
      </w:r>
      <w:r>
        <w:rPr>
          <w:rFonts w:hint="eastAsia"/>
          <w:sz w:val="24"/>
        </w:rPr>
        <w:t>晏子，太史公难掩仰慕之情</w:t>
      </w:r>
      <w:r>
        <w:rPr>
          <w:rFonts w:hint="eastAsia"/>
          <w:sz w:val="24"/>
          <w:lang w:eastAsia="zh-CN"/>
        </w:rPr>
        <w:t>，赞誉道</w:t>
      </w:r>
      <w:r>
        <w:rPr>
          <w:rFonts w:hint="eastAsia"/>
          <w:sz w:val="24"/>
        </w:rPr>
        <w:t>：“假令晏子而在，余虽为之执鞭，所忻慕焉。”</w:t>
      </w:r>
      <w:r>
        <w:rPr>
          <w:rFonts w:hint="eastAsia"/>
          <w:sz w:val="24"/>
          <w:lang w:val="en-US" w:eastAsia="zh-CN"/>
        </w:rPr>
        <w:t>（《史记·管晏列传》）</w:t>
      </w:r>
      <w:r>
        <w:rPr>
          <w:rFonts w:hint="eastAsia"/>
          <w:sz w:val="24"/>
          <w:lang w:eastAsia="zh-CN"/>
        </w:rPr>
        <w:t>。</w:t>
      </w:r>
    </w:p>
    <w:p w14:paraId="2494F9C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3.老子：告诫以百姓心为心、以民众为基</w:t>
      </w:r>
    </w:p>
    <w:p w14:paraId="0625F1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以老子为代表的道家，赋予民本文化丰富的哲学意蕴。</w:t>
      </w:r>
    </w:p>
    <w:p w14:paraId="7CEE15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以贱为本，以下为基。老子曰：“故贵以贱为本，高以下为基。是以侯王自谓孤、寡、不谷。此非以贱为本邪？”（《道德经·第39章》，以下只注篇名）本固则国兴，民安则上安。如果无视民众，则高而无民，贵而无位；在上无辅，在下无助。在上位的统治者，对作为根基的民众，当怀敬畏之心，“无狎其所居，无厌其所生”；否则，“民不畏威则大威至”（《第72章》）。</w:t>
      </w:r>
    </w:p>
    <w:p w14:paraId="343CB7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以民心为心，以民利为利。老子认为，统治者力戒私心太重，必须利万民之所利，想万民之所想。老子谆谆教诲：“圣人无常心，以百姓心为心。”（《第49章》）多藏必厚亡，统治者只有“去甚，去奢，去泰”（《第29章》），与天下人浑然一体不二，“为天下浑其心”（《第49章》），才是长治久安之道。</w:t>
      </w:r>
    </w:p>
    <w:p w14:paraId="077F9B9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损有利无，损盈补缺。老子深谙《易》之损益之道，并以损益之道解读民本文化。损者，亏损、减少也；益者，增多、充盈也。《易》之“损”卦显损下益上之象，以瘦补肥，增益少数人，结果必然是既损下又损上，损民终无益于君。《象》曰：“山下有泽，损。”（《周易·损》）指代山根被大泽浸蚀，隐喻国基动摇，征凶。风雷“益”卦，卦象寓意深刻，风雷互动，共生共赢。“益”卦呈损上益下之象，居上位者减损自己的利益以增益民众，损己利民，结果必然上下皆获益。老子的损益哲学充满辩证思维：“或损之而益，或益之而损。”（《第42章》）居于上位的统治者当仿效天道，“有余者损之，不足者补之……损有余而补不足……有余以奉天下”（《第77章》）。损己益民，恩加百姓，厚施下民，才算得上“有道者”。</w:t>
      </w:r>
    </w:p>
    <w:p w14:paraId="05B20A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为人愈有，与人愈多。针对“宠辱若惊，贵大患若身。得之若惊，失之若惊”（《第13章》）的现实，在《道德经》的最后一章，老子以空灵之笔写出旷世箴言：“圣人不积，既以为人己愈有，既以与人己愈多。天之道，利而不害；圣人之道，为而不争。”他警告“侯王”，不要与民争利，而应“善利万物而不争”（《第8章》）。“爱民治国”的统治者，当需“生而不有，为而不恃，功成弗居”（《第2章》）。</w:t>
      </w:r>
    </w:p>
    <w:p w14:paraId="0E7AD13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后身身先，外身身存。老子以能够“天长地久”的天地作比，喻示居上位者“身先”“身存”的要旨是“后其身”“外其身”。他说：“天长地久，天地之所以能长且久者，以其不自生，故能长生。是以圣人后其身而身先，外其身而身存。以其无私，故能成其私。”（《第7章》）先民后身，重民轻身，是基业长青的关键。</w:t>
      </w:r>
    </w:p>
    <w:p w14:paraId="3CA7BE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短短五千言《道德经》，有38次讲到“民”“百姓”。老子，实乃入世之高人，民本哲学之先导。</w:t>
      </w:r>
    </w:p>
    <w:p w14:paraId="34791A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4.孟子：主张民贵君轻</w:t>
      </w:r>
    </w:p>
    <w:p w14:paraId="2ECCA6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在孟子主张的“王道”政治视野中，唯有施行基于民本的仁政，才能实现天下大治。</w:t>
      </w:r>
    </w:p>
    <w:p w14:paraId="71800C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民贵君轻，政出于民。孟子主张将民众置于优先地位：民众第一，国家其次，君随其后。他说：“民为贵，</w:t>
      </w:r>
      <w:r>
        <w:rPr>
          <w:rFonts w:hint="eastAsia"/>
          <w:sz w:val="24"/>
          <w:lang w:val="en-US" w:eastAsia="zh-CN"/>
        </w:rPr>
        <w:fldChar w:fldCharType="begin"/>
      </w:r>
      <w:r>
        <w:rPr>
          <w:rFonts w:hint="eastAsia"/>
          <w:sz w:val="24"/>
          <w:lang w:val="en-US" w:eastAsia="zh-CN"/>
        </w:rPr>
        <w:instrText xml:space="preserve"> HYPERLINK "http://www.so.com/s?q=%E7%A4%BE%E7%A8%B7&amp;ie=utf-8&amp;src=internal_wenda_recommend_textn" \t "https://wenda.so.com/q/_blank" </w:instrText>
      </w:r>
      <w:r>
        <w:rPr>
          <w:rFonts w:hint="eastAsia"/>
          <w:sz w:val="24"/>
          <w:lang w:val="en-US" w:eastAsia="zh-CN"/>
        </w:rPr>
        <w:fldChar w:fldCharType="separate"/>
      </w:r>
      <w:r>
        <w:rPr>
          <w:rFonts w:hint="eastAsia"/>
          <w:sz w:val="24"/>
          <w:lang w:val="en-US" w:eastAsia="zh-CN"/>
        </w:rPr>
        <w:t>社稷</w:t>
      </w:r>
      <w:r>
        <w:rPr>
          <w:rFonts w:hint="eastAsia"/>
          <w:sz w:val="24"/>
          <w:lang w:val="en-US" w:eastAsia="zh-CN"/>
        </w:rPr>
        <w:fldChar w:fldCharType="end"/>
      </w:r>
      <w:r>
        <w:rPr>
          <w:rFonts w:hint="eastAsia"/>
          <w:sz w:val="24"/>
          <w:lang w:val="en-US" w:eastAsia="zh-CN"/>
        </w:rPr>
        <w:t>次之，君为轻。”（《孟子·尽心下》，以下只注篇名）既然“民为贵”，政出于民，那么，在举贤用人、决狱刑罚、政事决策中必须尊重民意：“国人皆曰贤，然后察之，见贤焉然后用之。……国人皆曰不可，然后察之，见不可焉然后去之。……国人皆曰可杀，然后察之，见可杀焉然后杀之。”（《梁惠王下》）在主张“民贵君轻”的孟子看来，关心居于第一位的民众是最为紧要的任务，“民事不可缓也”（《滕文公上》）。</w:t>
      </w:r>
    </w:p>
    <w:p w14:paraId="13B8B2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民心为天，得民在心。孟子十分重视民心向背，专门引用《尚书·太誓》语曰：“天视自我民视，天听自我民听。”（《万章上》）天意以民意为基准，代表民意，那么，民意也就是天意。表面看来，君王受上天制约，实际上受民意制约。孟子由此得出得天下之要在得民、得民之要在得民心的结论：“桀纣之失天下也，失其民也；失其民者，失其心也。得天下有道，得其民，斯得天下矣。得其民有道，得其心，斯得民矣。得其心有道，所欲与之聚之，所恶勿施，尔也。民之归仁也，犹水之就下、兽之走圹也。”（《离娄上》）既然民意就是天意在人世间的表现，孟子认为，如果君主无道，罔顾代表天意的民意，民众有权推翻无道昏君。</w:t>
      </w:r>
    </w:p>
    <w:p w14:paraId="45D3A7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或忧或乐，与民同之。孟子劝诫统治者，忧民之忧，乐民之乐，与民同忧同乐。孟子曰：“</w:t>
      </w:r>
      <w:r>
        <w:rPr>
          <w:rFonts w:hint="eastAsia"/>
          <w:sz w:val="24"/>
          <w:lang w:val="en-US" w:eastAsia="zh-CN"/>
        </w:rPr>
        <w:fldChar w:fldCharType="begin"/>
      </w:r>
      <w:r>
        <w:rPr>
          <w:rFonts w:hint="eastAsia"/>
          <w:sz w:val="24"/>
          <w:lang w:val="en-US" w:eastAsia="zh-CN"/>
        </w:rPr>
        <w:instrText xml:space="preserve"> HYPERLINK "http://www.so.com/s?q=%E4%B9%90%E6%B0%91&amp;ie=utf-8&amp;src=internal_wenda_recommend_textn" \t "https://wenda.so.com/q/_blank" </w:instrText>
      </w:r>
      <w:r>
        <w:rPr>
          <w:rFonts w:hint="eastAsia"/>
          <w:sz w:val="24"/>
          <w:lang w:val="en-US" w:eastAsia="zh-CN"/>
        </w:rPr>
        <w:fldChar w:fldCharType="separate"/>
      </w:r>
      <w:r>
        <w:rPr>
          <w:rFonts w:hint="eastAsia"/>
          <w:sz w:val="24"/>
          <w:lang w:val="en-US" w:eastAsia="zh-CN"/>
        </w:rPr>
        <w:t>乐民</w:t>
      </w:r>
      <w:r>
        <w:rPr>
          <w:rFonts w:hint="eastAsia"/>
          <w:sz w:val="24"/>
          <w:lang w:val="en-US" w:eastAsia="zh-CN"/>
        </w:rPr>
        <w:fldChar w:fldCharType="end"/>
      </w:r>
      <w:r>
        <w:rPr>
          <w:rFonts w:hint="eastAsia"/>
          <w:sz w:val="24"/>
          <w:lang w:val="en-US" w:eastAsia="zh-CN"/>
        </w:rPr>
        <w:fldChar w:fldCharType="begin"/>
      </w:r>
      <w:r>
        <w:rPr>
          <w:rFonts w:hint="eastAsia"/>
          <w:sz w:val="24"/>
          <w:lang w:val="en-US" w:eastAsia="zh-CN"/>
        </w:rPr>
        <w:instrText xml:space="preserve"> HYPERLINK "http://www.so.com/s?q=%E4%B9%8B%E4%B9%90&amp;ie=utf-8&amp;src=internal_wenda_recommend_textn" \t "https://wenda.so.com/q/_blank" </w:instrText>
      </w:r>
      <w:r>
        <w:rPr>
          <w:rFonts w:hint="eastAsia"/>
          <w:sz w:val="24"/>
          <w:lang w:val="en-US" w:eastAsia="zh-CN"/>
        </w:rPr>
        <w:fldChar w:fldCharType="separate"/>
      </w:r>
      <w:r>
        <w:rPr>
          <w:rFonts w:hint="eastAsia"/>
          <w:sz w:val="24"/>
          <w:lang w:val="en-US" w:eastAsia="zh-CN"/>
        </w:rPr>
        <w:t>之乐</w:t>
      </w:r>
      <w:r>
        <w:rPr>
          <w:rFonts w:hint="eastAsia"/>
          <w:sz w:val="24"/>
          <w:lang w:val="en-US" w:eastAsia="zh-CN"/>
        </w:rPr>
        <w:fldChar w:fldCharType="end"/>
      </w:r>
      <w:r>
        <w:rPr>
          <w:rFonts w:hint="eastAsia"/>
          <w:sz w:val="24"/>
          <w:lang w:val="en-US" w:eastAsia="zh-CN"/>
        </w:rPr>
        <w:t>者，民亦乐其乐；忧民之忧者，民亦忧其忧。乐以天下，忧以天下，然而不王者，未之有也。”（《梁惠王下》）史载，“齐人伐燕，胜之”。当回答齐宣王是否该吞并燕国之问时，孟子答曰：“取之而燕民悦，则取之……取之而燕民不悦，则勿取。”（《梁惠王下》）</w:t>
      </w:r>
    </w:p>
    <w:p w14:paraId="2EFC9A9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安民利民，制民之产。孟子认为：“民之为道也，有恒产者有恒心，无恒产者无恒心。”（《滕文公上》）民有恒产，进有恒心，才可安居乐业。孟子针对“庖有肥肉，厩有肥马，民有饥色，野有饿莩”的不平现象，愤愤然指责达官贵人不过是一群“率兽而食人”（《梁惠王上》）的食人兽。为改变这种现象，孟子给出的利民方案包括：“易其田畴，薄其税敛，民可使富也。”（《尽心上》）</w:t>
      </w:r>
    </w:p>
    <w:p w14:paraId="14213D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中华民本文化博大精深，为民众</w:t>
      </w:r>
      <w:r>
        <w:rPr>
          <w:rFonts w:hint="eastAsia"/>
          <w:sz w:val="24"/>
        </w:rPr>
        <w:t>“兴</w:t>
      </w:r>
      <w:r>
        <w:rPr>
          <w:rFonts w:hint="eastAsia"/>
          <w:sz w:val="24"/>
          <w:lang w:eastAsia="zh-CN"/>
        </w:rPr>
        <w:t>天下</w:t>
      </w:r>
      <w:r>
        <w:rPr>
          <w:rFonts w:hint="eastAsia"/>
          <w:sz w:val="24"/>
        </w:rPr>
        <w:t>之利，除天下之害”（《</w:t>
      </w:r>
      <w:r>
        <w:rPr>
          <w:rFonts w:hint="eastAsia"/>
          <w:sz w:val="24"/>
          <w:lang w:eastAsia="zh-CN"/>
        </w:rPr>
        <w:t>墨子</w:t>
      </w:r>
      <w:r>
        <w:rPr>
          <w:rFonts w:hint="eastAsia"/>
          <w:sz w:val="24"/>
          <w:lang w:val="en-US" w:eastAsia="zh-CN"/>
        </w:rPr>
        <w:t>·</w:t>
      </w:r>
      <w:r>
        <w:rPr>
          <w:rFonts w:hint="eastAsia"/>
          <w:sz w:val="24"/>
        </w:rPr>
        <w:t>兼爱下》）</w:t>
      </w:r>
      <w:r>
        <w:rPr>
          <w:rFonts w:hint="eastAsia"/>
          <w:sz w:val="24"/>
          <w:lang w:eastAsia="zh-CN"/>
        </w:rPr>
        <w:t>的墨家，提出“上下同欲者胜”（《孙子兵法</w:t>
      </w:r>
      <w:r>
        <w:rPr>
          <w:rFonts w:hint="eastAsia"/>
          <w:sz w:val="24"/>
          <w:lang w:val="en-US" w:eastAsia="zh-CN"/>
        </w:rPr>
        <w:t>·谋攻</w:t>
      </w:r>
      <w:r>
        <w:rPr>
          <w:rFonts w:hint="eastAsia"/>
          <w:sz w:val="24"/>
          <w:lang w:eastAsia="zh-CN"/>
        </w:rPr>
        <w:t>》）的兵家，等等，都有基于本学派视野的丰富民本思想，此不一一赘述，仅以上述四家代表性的民本思想为线索，勾勒出民本文化的历史嬗变。</w:t>
      </w:r>
    </w:p>
    <w:p w14:paraId="483826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二、民本传统：接引马克思主义的肥沃土壤</w:t>
      </w:r>
    </w:p>
    <w:p w14:paraId="45FFF8A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博大精深的民本文化传统，是中华优秀传统文化的重要版块。肇始自《周易》、集大成于管子的民本文化，几经历史嬗变，逐渐成为中国政治文化的主流之一，深耕中华大地两千多年，历史地成为中华文化的特定基因。作为文化积淀，民本思想历经王朝更替而不衰，大道一贯。经民本传统深耕的中华大地，客观上成为接引马克思主义的肥沃土壤；关于贵民、重民、恤民的教化也历史地成为“人民至上”思想的文化缘起。民本文化尽管与唯物史观视野下的民主和人民史观有很大差距，然而，就大方向而言，民本文化与马克思主义之间，仍然具有某种程度的契合，二者能够实现基于人民利益的会通。</w:t>
      </w:r>
    </w:p>
    <w:p w14:paraId="24B060A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1.民本文化与马克思主义视野中的“绝大多数人”</w:t>
      </w:r>
    </w:p>
    <w:p w14:paraId="40DAFB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从上述民本文化的历史嬗变可以看出，以“民为邦本，本固邦宁”“以人为本”“以民为天”“以民为本”“以民为先”“以百姓心为心”“民贵君轻”“忧乐与民同之”为要旨的民本思想一脉相承，从某种意义上说，“民本”已历史地成为中华文明的精神密码和文化基因，深深地影响着中华文明的走向。中华民本文化中的先民、重民、富民思想，与马克思主义“为绝大多数人谋利益”的宗旨具有天然的契合。</w:t>
      </w:r>
    </w:p>
    <w:p w14:paraId="6247B15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为了绝大多数人。以民本文化维度视之，“天之生民，非为王也；而天立王，以为民也”（</w:t>
      </w:r>
      <w:r>
        <w:rPr>
          <w:rFonts w:hint="eastAsia"/>
          <w:sz w:val="24"/>
          <w:lang w:eastAsia="zh-CN"/>
        </w:rPr>
        <w:t>董仲舒《春秋繁露》</w:t>
      </w:r>
      <w:r>
        <w:rPr>
          <w:rFonts w:hint="eastAsia"/>
          <w:sz w:val="24"/>
          <w:lang w:val="en-US" w:eastAsia="zh-CN"/>
        </w:rPr>
        <w:t>》）。国因民而立，因为民而兴，因背民而废，民心向背关乎国家存亡，关乎政权合法性。马克思、恩格斯指出：“过去的一切运动都是少数人的，或者为少数人谋利益的运动。无产阶级的运动是绝大多数人的，为绝大多数人谋利益的独立的运动。”</w:t>
      </w:r>
      <w:r>
        <w:rPr>
          <w:rStyle w:val="20"/>
          <w:rFonts w:hint="eastAsia" w:ascii="宋体" w:hAnsi="宋体" w:eastAsia="宋体" w:cs="宋体"/>
          <w:sz w:val="24"/>
          <w:szCs w:val="21"/>
          <w:lang w:val="en-US" w:eastAsia="zh-CN"/>
        </w:rPr>
        <w:footnoteReference w:id="505"/>
      </w:r>
      <w:r>
        <w:rPr>
          <w:rFonts w:hint="eastAsia"/>
          <w:sz w:val="24"/>
          <w:lang w:val="en-US" w:eastAsia="zh-CN"/>
        </w:rPr>
        <w:t>虽然诸子百家是为了王朝统治者的江山永固而倡行民本，主张民本文化的目的并不是为了民众本身，与“为绝大多数人谋利益”的标准相去甚远，然而，作为手段的民本依然能够起到约束统治者言行的作用，客观上也有利于改善民众的生活境遇。正因如此，经民本文化深耕的中华大地，能够顺理成章地接引真正为“为绝大多数人谋利益”的马克思主义。这就不难明白，当百年前马克思主义传到中国时，经民本文化熏染的国人对马克思主义并不陌生，反而有一种“似曾相识燕归来”的感觉，其中隐含着马克思主义这颗“金种子”能够很快在中华大地落地生根、开花结果并长成参天大树的深层历史文化逻辑。</w:t>
      </w:r>
    </w:p>
    <w:p w14:paraId="332356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依靠绝大多数人。民本文化认为，天下之治乱，在万民之忧乐，不在王侯将相之好恶。既然民众为国之根本，培根固本，需要依靠民众力量。正如水可载舟，亦能覆舟，乘风破浪的巨轮，需要依靠水的浮力。马克思主义认为，人民群众是推动历史进步的根本性力量，是创造社会物质财富和精神财富的主体。中国共产党的百年历史也雄辩地证明，只有相信群众、发动群众、依靠群众，永远与群众保持血肉联系，才能取得革命、建设和改革的胜利，否则一事无成。完全可以说，中国共产党人之所以能够在艰苦卓绝的斗争中披荆斩棘，解决一个个难题，取得一个个胜利，依靠人民群众，是其中的重要原因。毛泽东同志在《湖南农民运动考察报告》中指出：“目前农民运动的兴起是一个极大的问题。很短的时间内，将有几万万农民从中国中部、南部和北部各省起来，其势如暴风骤雨，迅猛异常，无论什么大的力量都将压抑不住。他们将冲决一切束缚他们的罗网，朝着解放的路上迅跑。一切帝国主义、军阀、贪官污吏、土豪劣绅，都将被他们葬入坟墓。”</w:t>
      </w:r>
      <w:r>
        <w:rPr>
          <w:rStyle w:val="20"/>
          <w:rFonts w:hint="eastAsia" w:ascii="宋体" w:hAnsi="宋体" w:eastAsia="宋体" w:cs="宋体"/>
          <w:sz w:val="24"/>
          <w:szCs w:val="21"/>
          <w:lang w:val="en-US" w:eastAsia="zh-CN"/>
        </w:rPr>
        <w:footnoteReference w:id="506"/>
      </w:r>
      <w:r>
        <w:rPr>
          <w:rFonts w:hint="eastAsia"/>
          <w:sz w:val="24"/>
          <w:lang w:val="en-US" w:eastAsia="zh-CN"/>
        </w:rPr>
        <w:t>而这已经觉醒的“几万万农民”，正是中国共产党进行革命的依靠力量。在抗日战争时期，毛泽东更是在《论持久战》中发现了战争新形态——人民战争的威力，信心满怀地指出：“战争的伟力之最深厚的根源，存在于民众之中。日本敢于欺负我们，主要的原因在于中国民众的无组织状态。克服了这一缺点，就把日本侵略者置于我们数万万站起来了的人民之前，使它像一匹野牛冲入火阵，我们一声唤也要把它吓一大跳，这匹野牛就非烧死不可。”</w:t>
      </w:r>
      <w:r>
        <w:rPr>
          <w:rStyle w:val="20"/>
          <w:rFonts w:hint="eastAsia" w:ascii="宋体" w:hAnsi="宋体" w:eastAsia="宋体" w:cs="宋体"/>
          <w:sz w:val="24"/>
          <w:szCs w:val="21"/>
          <w:lang w:val="en-US" w:eastAsia="zh-CN"/>
        </w:rPr>
        <w:footnoteReference w:id="507"/>
      </w:r>
      <w:r>
        <w:rPr>
          <w:rFonts w:hint="eastAsia"/>
          <w:sz w:val="24"/>
          <w:lang w:val="en-US" w:eastAsia="zh-CN"/>
        </w:rPr>
        <w:t>陈毅元帅曾感慨地表示：淮海战役的胜利，是人民群众用小车推出来的！回顾既往，中国共产党人相信并坚定地依靠群众，达到了第一个百年的既定目标；展望未来，只要我们一如既往地相信群众、依靠群众，第二个百年目标一定会如期实现。与群众打成一片，依靠群众，走群众路线，无疑是马克思主义中国化、时代化的要求，是在马克思主义指导下将民本文化在时代和实践熔炉中进行淬炼的结果。</w:t>
      </w:r>
    </w:p>
    <w:p w14:paraId="533593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2.利民富民与马克思主义的共同富裕观</w:t>
      </w:r>
    </w:p>
    <w:p w14:paraId="66BB37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从管子“必先富民”“赀藏于民”、晏子“度义因民”的治国理论与实践，到老子“为天下浑其心”的哲学解读，再到孟子“制民之产”“民可使富”的倡导，循史而察，不难发现，利民、富民、惠民、养民构成民本文化的重要内容。虽然统治者践行“政在养民”理念的结果仅仅在于有限度地改善民生，巩固统治秩序，尚不能等同于今天的共同富裕思想，但其中蕴含的民本文化元素，却历史地成为中国共产党领导人民实现共同富裕的文化资源。作为社会主义本质要求的共同富裕，具有深厚的中华民本文化底蕴。中国特色社会主义共同富裕思想，既是马克思主义中国化的结果，也是注入马克思主义灵魂的民本文化时代化的结果、与时偕行的必然。换言之，中国特色社会主义共同富裕思想，既得益于马克思主义的指导，也氤氲于中华民本文化的沃土。</w:t>
      </w:r>
    </w:p>
    <w:p w14:paraId="594B67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中国古代的民本思想家们对共同富裕的美好梦想进行了不懈探索，然而，由于历史局限、生产力水平低下、制度之弊、生产关系特别是所有制关系之梏以及阶级关系的对立，共同富裕一直像远方的地平线一样，遥不可及。马克思主义经典作家对未来理想社会的制度设计，使共同富裕拥有了赖以实现的制度基础和根本遵循，从而使共同富裕理论实现了由空想到科学的飞跃。</w:t>
      </w:r>
      <w:r>
        <w:rPr>
          <w:rFonts w:hint="eastAsia"/>
          <w:sz w:val="24"/>
        </w:rPr>
        <w:t>唯物史观和剩余价值论</w:t>
      </w:r>
      <w:r>
        <w:rPr>
          <w:rFonts w:hint="eastAsia"/>
          <w:sz w:val="24"/>
          <w:lang w:eastAsia="zh-CN"/>
        </w:rPr>
        <w:t>这两大发现，揭开了资本主义</w:t>
      </w:r>
      <w:r>
        <w:rPr>
          <w:rFonts w:hint="eastAsia"/>
          <w:sz w:val="24"/>
          <w:lang w:val="en-US" w:eastAsia="zh-CN"/>
        </w:rPr>
        <w:t>私有制</w:t>
      </w:r>
      <w:r>
        <w:rPr>
          <w:rFonts w:hint="eastAsia"/>
          <w:sz w:val="24"/>
          <w:lang w:eastAsia="zh-CN"/>
        </w:rPr>
        <w:t>剥削的所有秘密，开显出共同富裕的道义基础和法理基础，从而使共同富裕成为顺乎天而应乎人的历史性选择。</w:t>
      </w:r>
      <w:r>
        <w:rPr>
          <w:rFonts w:hint="eastAsia"/>
          <w:sz w:val="24"/>
        </w:rPr>
        <w:t>在马克思</w:t>
      </w:r>
      <w:r>
        <w:rPr>
          <w:rFonts w:hint="eastAsia"/>
          <w:sz w:val="24"/>
          <w:lang w:val="en-US" w:eastAsia="zh-CN"/>
        </w:rPr>
        <w:t>、</w:t>
      </w:r>
      <w:r>
        <w:rPr>
          <w:rFonts w:hint="eastAsia"/>
          <w:sz w:val="24"/>
        </w:rPr>
        <w:t>恩格斯</w:t>
      </w:r>
      <w:r>
        <w:rPr>
          <w:rFonts w:hint="eastAsia"/>
          <w:sz w:val="24"/>
          <w:lang w:eastAsia="zh-CN"/>
        </w:rPr>
        <w:t>对未来</w:t>
      </w:r>
      <w:r>
        <w:rPr>
          <w:rFonts w:hint="eastAsia"/>
          <w:sz w:val="24"/>
        </w:rPr>
        <w:t>“新社会制度”</w:t>
      </w:r>
      <w:r>
        <w:rPr>
          <w:rFonts w:hint="eastAsia"/>
          <w:sz w:val="24"/>
          <w:lang w:eastAsia="zh-CN"/>
        </w:rPr>
        <w:t>的构想中，</w:t>
      </w:r>
      <w:r>
        <w:rPr>
          <w:rFonts w:hint="eastAsia"/>
          <w:sz w:val="24"/>
        </w:rPr>
        <w:t>“生产将以所有人的富裕为目的”</w:t>
      </w:r>
      <w:r>
        <w:rPr>
          <w:rStyle w:val="20"/>
          <w:rFonts w:hint="eastAsia" w:ascii="宋体" w:hAnsi="宋体" w:eastAsia="宋体" w:cs="宋体"/>
          <w:sz w:val="24"/>
          <w:szCs w:val="21"/>
        </w:rPr>
        <w:footnoteReference w:id="508"/>
      </w:r>
      <w:r>
        <w:rPr>
          <w:rFonts w:hint="eastAsia"/>
          <w:sz w:val="24"/>
        </w:rPr>
        <w:t>，“所有人共同享受大家创造出来的福利”</w:t>
      </w:r>
      <w:r>
        <w:rPr>
          <w:rStyle w:val="20"/>
          <w:rFonts w:hint="eastAsia" w:ascii="宋体" w:hAnsi="宋体" w:eastAsia="宋体" w:cs="宋体"/>
          <w:sz w:val="24"/>
          <w:szCs w:val="21"/>
        </w:rPr>
        <w:footnoteReference w:id="509"/>
      </w:r>
      <w:r>
        <w:rPr>
          <w:rFonts w:hint="eastAsia"/>
          <w:sz w:val="24"/>
        </w:rPr>
        <w:t>。</w:t>
      </w:r>
      <w:r>
        <w:rPr>
          <w:rFonts w:hint="eastAsia"/>
          <w:sz w:val="24"/>
          <w:lang w:val="en-US" w:eastAsia="zh-CN"/>
        </w:rPr>
        <w:t>中国共产党对共同富裕的理论创新和实践探索，在以马克思主义共同富裕理论为指导的同时，也借鉴了中华传统民本文化中的利民富民思想，逐渐使共同富裕由模糊向往变成可观可感的明晰目标。在中国特色社会主义进入新时代后，民本文化的千年旋律，终于协奏出幸福民生的时代最强音。中国共产党追求的富裕，绝非独富，而是全体中国人民共同富裕。不断满足人民群众日益增长的美好生活需要，实现全体人民的共同富裕，促进人的全面自由发展，是中国共产党的使命所在，是中国特色社会主义理论的逻辑归宿。习近平同志在二十大报告中庄严宣告：“中国式现代化是全体人民共同富裕的现代化。共同富裕是中国特色社会主义的本质要求，也是一个长期的历史过程。我们坚持把实现人民对美好生活的向往作为现代化建设的出发点和落脚点，着力维护和促进社会公平正义，着力促进全体人民共同富裕，坚决防止两极分化。”</w:t>
      </w:r>
      <w:r>
        <w:rPr>
          <w:rStyle w:val="20"/>
          <w:rFonts w:hint="eastAsia" w:ascii="宋体" w:hAnsi="宋体" w:eastAsia="宋体" w:cs="宋体"/>
          <w:sz w:val="24"/>
          <w:szCs w:val="21"/>
          <w:lang w:val="en-US" w:eastAsia="zh-CN"/>
        </w:rPr>
        <w:footnoteReference w:id="510"/>
      </w:r>
    </w:p>
    <w:p w14:paraId="69FBC0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3.爱民、轻民的历史兴亡律与马克思主义的群众史观</w:t>
      </w:r>
    </w:p>
    <w:p w14:paraId="1D5C2D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民众如水，正如水可载舟行，亦能覆舟沉，民心向背完全可以改变一个王朝的命运。中国古代的民本思想家认识到，爱民则兴，暴民则亡。管子在“王者贵天”的答案中，有“百姓与之则安，辅之则强，非之则危，背之则亡”、“民怨其上，不遂亡者，未之有也”（刘向《说苑》）的警世之言；洞察兴衰存亡之道的晏子，从“</w:t>
      </w:r>
      <w:r>
        <w:rPr>
          <w:rFonts w:hint="eastAsia"/>
          <w:sz w:val="24"/>
        </w:rPr>
        <w:t>谋必度于义，事必因于民</w:t>
      </w:r>
      <w:r>
        <w:rPr>
          <w:rFonts w:hint="eastAsia"/>
          <w:sz w:val="24"/>
          <w:lang w:val="en-US" w:eastAsia="zh-CN"/>
        </w:rPr>
        <w:t>”的“</w:t>
      </w:r>
      <w:r>
        <w:rPr>
          <w:rFonts w:hint="eastAsia"/>
          <w:sz w:val="24"/>
        </w:rPr>
        <w:t>三代之兴</w:t>
      </w:r>
      <w:r>
        <w:rPr>
          <w:rFonts w:hint="eastAsia"/>
          <w:sz w:val="24"/>
          <w:lang w:val="en-US" w:eastAsia="zh-CN"/>
        </w:rPr>
        <w:t>”中，从“</w:t>
      </w:r>
      <w:r>
        <w:rPr>
          <w:rFonts w:hint="eastAsia"/>
          <w:sz w:val="24"/>
        </w:rPr>
        <w:t>建谋反义，兴事伤民</w:t>
      </w:r>
      <w:r>
        <w:rPr>
          <w:rFonts w:hint="eastAsia"/>
          <w:sz w:val="24"/>
          <w:lang w:val="en-US" w:eastAsia="zh-CN"/>
        </w:rPr>
        <w:t>”的衰亡颓势中，得出“</w:t>
      </w:r>
      <w:r>
        <w:rPr>
          <w:rFonts w:hint="eastAsia"/>
          <w:sz w:val="24"/>
        </w:rPr>
        <w:t>反义而谋，倍民而动，未闻存者也</w:t>
      </w:r>
      <w:r>
        <w:rPr>
          <w:rFonts w:hint="eastAsia"/>
          <w:sz w:val="24"/>
          <w:lang w:val="en-US" w:eastAsia="zh-CN"/>
        </w:rPr>
        <w:t>”的历史结论。贾谊在《过秦论》中回答“一夫作难而七庙隳，身死人手，为天下笑者，何也”之问时，给出的答案是：“仁义不施，而攻守之势异也！”无独有偶，杜牧在《阿房宫赋》的最后，如此归结六国及一扫六合后的秦朝灭亡的教训：“灭六国者六国也，非秦也。族秦者秦也，非天下也。嗟夫！使六国各爱其人，则足以拒秦；使秦复爱六国之人，则递三世可至万世而为君，谁得而族灭也？秦人不暇自哀，而后人哀之；后人哀之而不鉴之，亦使后人而复哀后人也。”先哲已经认识到，蕴藏在民众中的无穷力量，是决定王朝兴亡的重要力量。这样的认识高度，无疑有助于统治者做出改善民生的举措。</w:t>
      </w:r>
    </w:p>
    <w:p w14:paraId="6174D5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虽然民本思想家和统治阶级是为了规避舟覆政亡的结局而重视作为民众的“水”，还没有将民众视为社会发展的主体，但却为人民群众是社会发展的决定性力量的唯物史观奠定了理论基础，提供了丰富的素材。就是说，传统民本文化的历史逻辑，虽然没有导出人民群众创造历史的结论，却也蕴含着人民史观的核心元素。从这个意义上说，民本文化为接引马克思主义人民史观准备了丰厚沃土，或者说，是马克思主义人民史观的必要环节。马克思主义唯物史观认为，作为历史创造者的人民群众，既是认识活动的主体，也是社会的价值主体。毛泽东同志指出：“人民，只有人民，才是创造世界历史的动力。”</w:t>
      </w:r>
      <w:r>
        <w:rPr>
          <w:rStyle w:val="20"/>
          <w:rFonts w:hint="eastAsia" w:ascii="宋体" w:hAnsi="宋体" w:eastAsia="宋体" w:cs="宋体"/>
          <w:sz w:val="24"/>
          <w:szCs w:val="21"/>
          <w:lang w:val="en-US" w:eastAsia="zh-CN"/>
        </w:rPr>
        <w:footnoteReference w:id="511"/>
      </w:r>
      <w:r>
        <w:rPr>
          <w:rFonts w:hint="eastAsia"/>
          <w:sz w:val="24"/>
          <w:lang w:val="en-US" w:eastAsia="zh-CN"/>
        </w:rPr>
        <w:t>被视为党的生命线的群众路线，正是马克思主义人民史观中国化过程中吸纳了民本文化后的结晶，是在中国革命和建设实践中马克思主义人民史观和中华民本文化相结合的产物。中国共产党在长期革命和建设实践中形成的科学群众观——群众路线，既得益于马克思主义的指导，也氤氲于中华民本文化的土壤。中国共产党取得巨大成功的密码之一，就是创造历史的主体——人民群众的积极参与和全力支持。今天，在向第二个百年目标奋进的过程中，“全面建设社会主义现代化国家，必须充分发挥亿万人民的创造伟力。……树牢群众观点，贯彻群众路线，尊重人民首创精神”</w:t>
      </w:r>
      <w:r>
        <w:rPr>
          <w:rStyle w:val="20"/>
          <w:rFonts w:hint="eastAsia" w:ascii="宋体" w:hAnsi="宋体" w:eastAsia="宋体" w:cs="宋体"/>
          <w:sz w:val="24"/>
          <w:szCs w:val="21"/>
          <w:lang w:val="en-US" w:eastAsia="zh-CN"/>
        </w:rPr>
        <w:footnoteReference w:id="512"/>
      </w:r>
      <w:r>
        <w:rPr>
          <w:rFonts w:hint="eastAsia"/>
          <w:sz w:val="24"/>
          <w:lang w:val="en-US" w:eastAsia="zh-CN"/>
        </w:rPr>
        <w:t>。</w:t>
      </w:r>
    </w:p>
    <w:p w14:paraId="725C716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CN"/>
        </w:rPr>
      </w:pPr>
      <w:r>
        <w:rPr>
          <w:rFonts w:hint="eastAsia"/>
          <w:b/>
          <w:bCs/>
          <w:sz w:val="24"/>
          <w:lang w:eastAsia="zh-CN"/>
        </w:rPr>
        <w:t>三、塑往开来：二十大报告对民本文化的升华</w:t>
      </w:r>
    </w:p>
    <w:p w14:paraId="00373A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源远流长的中华民本文化，深深影响着中华文化的走向，却始终没有内生出真正的民本制度。即使是践行民本的仁政，更多意义上是一种开明帝王的恩赐，而非制度建构。民本思想家总是假借天意天威和道德说教劝诫统治者向施行仁政的仁君看齐，然而，天意天威遥不可及，道德说教软弱无力，所以，这种隔空喊话常常沦落为清谈。“穷人在这场没有硝烟的战争中所产生的饥饿、疾病和死亡都是”一种制度性的“社会谋杀”</w:t>
      </w:r>
      <w:r>
        <w:rPr>
          <w:rStyle w:val="20"/>
          <w:rFonts w:hint="eastAsia" w:ascii="宋体" w:hAnsi="宋体" w:eastAsia="宋体" w:cs="宋体"/>
          <w:sz w:val="24"/>
          <w:szCs w:val="21"/>
          <w:lang w:val="en-US" w:eastAsia="zh-CN"/>
        </w:rPr>
        <w:footnoteReference w:id="513"/>
      </w:r>
      <w:r>
        <w:rPr>
          <w:rFonts w:hint="eastAsia"/>
          <w:sz w:val="24"/>
          <w:lang w:val="en-US" w:eastAsia="zh-CN"/>
        </w:rPr>
        <w:t>，因此，没有经济政治制度保证的民本文化，终究不过是一种没有根基的“文化”。关涉民本的若干倡导，常常异化为口惠而实不至的口号。唯有“没有任何同整个无产阶级的利益不同的利益”</w:t>
      </w:r>
      <w:r>
        <w:rPr>
          <w:rStyle w:val="20"/>
          <w:rFonts w:hint="eastAsia" w:ascii="宋体" w:hAnsi="宋体" w:eastAsia="宋体" w:cs="宋体"/>
          <w:sz w:val="24"/>
          <w:szCs w:val="21"/>
          <w:lang w:val="en-US" w:eastAsia="zh-CN"/>
        </w:rPr>
        <w:footnoteReference w:id="514"/>
      </w:r>
      <w:r>
        <w:rPr>
          <w:rFonts w:hint="eastAsia"/>
          <w:sz w:val="24"/>
          <w:lang w:val="en-US" w:eastAsia="zh-CN"/>
        </w:rPr>
        <w:t>的共产党人，在谋求“绝大多数人的利益”的过程中，才突破了民本文化的旧制度藩篱，夯实了民本文化的社会主义经济政治制度基础，从而使民本文化实现了具有决定意义的飞跃。党的二十大报告用马克思主义对传统民本文化进行了重塑，形成了植根于时代和实践、实现了脱胎换骨、升级换代后“新民本文化”——以人民为中心的人民至上文化。</w:t>
      </w:r>
    </w:p>
    <w:p w14:paraId="5C68A35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1.宗旨的开显：全心全意为人民服务</w:t>
      </w:r>
    </w:p>
    <w:p w14:paraId="395E3D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维护帝王的“家天下”专制统治秩序，是民本文化的最高宗旨。民本学说虽然使套在百姓身上的锁链稍稍松弛了一环，或多或少改善了民众的生活境遇，在客观上对百姓有利，但这一学说的出发点和归宿点绝不是民众，而是为了巩固帝王的万世基业。因此，归根结底，民本文化不过是君主统御民众的工具。在帝王的“家天下”和民众利益之间，前者被置于无条件的优先地位。如果民众因生活所迫走上反抗道路，挑战民本思想家服务的王朝统治，为了维护既有统治秩序，曾经的民本文化倡导者在镇压民众时也会毫不手软。民本思想家担心和惧怕的，是覆舟之危，而往往不是水质本身——民众的生计。可见，不解决“为了谁”的根本问题，传统民本文化难免沦落为无厘头的高谈阔论。</w:t>
      </w:r>
    </w:p>
    <w:p w14:paraId="508BF55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为什么人的问题是任何政党必须回答的首要问题。</w:t>
      </w:r>
      <w:r>
        <w:rPr>
          <w:rFonts w:hint="eastAsia"/>
          <w:sz w:val="24"/>
        </w:rPr>
        <w:t>1942年</w:t>
      </w:r>
      <w:r>
        <w:rPr>
          <w:rFonts w:hint="eastAsia"/>
          <w:sz w:val="24"/>
          <w:lang w:eastAsia="zh-CN"/>
        </w:rPr>
        <w:t>，毛泽东</w:t>
      </w:r>
      <w:r>
        <w:rPr>
          <w:rFonts w:hint="eastAsia"/>
          <w:sz w:val="24"/>
        </w:rPr>
        <w:t>《在延安文艺座谈会上的讲话》中第一次使用为人民服务的概念</w:t>
      </w:r>
      <w:r>
        <w:rPr>
          <w:rFonts w:hint="eastAsia"/>
          <w:sz w:val="24"/>
          <w:lang w:eastAsia="zh-CN"/>
        </w:rPr>
        <w:t>；在党的“七大”政治报告中，毛泽东</w:t>
      </w:r>
      <w:r>
        <w:rPr>
          <w:rFonts w:hint="eastAsia"/>
          <w:sz w:val="24"/>
        </w:rPr>
        <w:t>第一次</w:t>
      </w:r>
      <w:r>
        <w:rPr>
          <w:rFonts w:hint="eastAsia"/>
          <w:sz w:val="24"/>
          <w:lang w:eastAsia="zh-CN"/>
        </w:rPr>
        <w:t>将</w:t>
      </w:r>
      <w:r>
        <w:rPr>
          <w:rFonts w:hint="eastAsia"/>
          <w:sz w:val="24"/>
        </w:rPr>
        <w:t>全心全意为人民服务</w:t>
      </w:r>
      <w:r>
        <w:rPr>
          <w:rFonts w:hint="eastAsia"/>
          <w:sz w:val="24"/>
          <w:lang w:eastAsia="zh-CN"/>
        </w:rPr>
        <w:t>提升到唯一宗旨的高度。</w:t>
      </w:r>
      <w:r>
        <w:rPr>
          <w:rFonts w:hint="eastAsia"/>
          <w:sz w:val="24"/>
          <w:lang w:val="en-US" w:eastAsia="zh-CN"/>
        </w:rPr>
        <w:t>马克思主义具有鲜明的人民性和阶级性，以马克思主义为指导的中国共产党是工人阶级和整个中华民族的先锋队，来自于人民，依靠人民，将全心全意为人民服务作为根本宗旨，“让‘为人民服务’沉甸甸的五个字变成重如泰山的承诺”</w:t>
      </w:r>
      <w:r>
        <w:rPr>
          <w:rStyle w:val="20"/>
          <w:rFonts w:hint="eastAsia" w:ascii="宋体" w:hAnsi="宋体" w:eastAsia="宋体" w:cs="宋体"/>
          <w:sz w:val="24"/>
          <w:szCs w:val="21"/>
          <w:lang w:val="en-US" w:eastAsia="zh-CN"/>
        </w:rPr>
        <w:footnoteReference w:id="515"/>
      </w:r>
      <w:r>
        <w:rPr>
          <w:rFonts w:hint="eastAsia"/>
          <w:sz w:val="24"/>
          <w:lang w:val="en-US" w:eastAsia="zh-CN"/>
        </w:rPr>
        <w:t>，始终把人民利益放在首位，从而成功解决了困扰传统民本文化的根本问题——为了谁的问题。党除了人民的利益绝没有自己的任何私利。</w:t>
      </w:r>
      <w:r>
        <w:rPr>
          <w:rFonts w:hint="eastAsia"/>
          <w:sz w:val="24"/>
          <w:lang w:eastAsia="zh-CN"/>
        </w:rPr>
        <w:t>笔者曾经撰文指出：“</w:t>
      </w:r>
      <w:r>
        <w:rPr>
          <w:rFonts w:hint="eastAsia"/>
          <w:sz w:val="24"/>
        </w:rPr>
        <w:t>坚持以人民为中心的发展思想是马克思主义政治经济学的根本立场</w:t>
      </w:r>
      <w:r>
        <w:rPr>
          <w:rFonts w:hint="eastAsia"/>
          <w:sz w:val="24"/>
          <w:lang w:eastAsia="zh-CN"/>
        </w:rPr>
        <w:t>。”</w:t>
      </w:r>
      <w:r>
        <w:rPr>
          <w:rStyle w:val="20"/>
          <w:rFonts w:hint="eastAsia" w:ascii="宋体" w:hAnsi="宋体" w:eastAsia="宋体" w:cs="宋体"/>
          <w:sz w:val="24"/>
          <w:szCs w:val="21"/>
          <w:lang w:eastAsia="zh-CN"/>
        </w:rPr>
        <w:footnoteReference w:id="516"/>
      </w:r>
      <w:r>
        <w:rPr>
          <w:rFonts w:hint="eastAsia"/>
          <w:sz w:val="24"/>
          <w:lang w:val="en-US" w:eastAsia="zh-CN"/>
        </w:rPr>
        <w:t>百年来，中国共产党秉持全心全意为人民服务的宗旨，始终把为中国人民谋幸福、为中华民族谋复兴作为自己的初心使命，突破了传统民本文化的局限，开辟出以公有制为主体、多种所有制共同发展和按劳分配为主体、多种分配方式并存的共同富裕制度新天地，进而实现了民本文化的时代转换和升级，形成了马克思主义中国化的最新理论成果。习近平同志指出：“为民造福是立党为公、执政为民的本质要求。必须坚持在发展中保障和改善民生，鼓励共同奋斗创造美好生活，不断实现人民对美好生活的向往。”</w:t>
      </w:r>
      <w:r>
        <w:rPr>
          <w:rStyle w:val="20"/>
          <w:rFonts w:hint="eastAsia" w:ascii="宋体" w:hAnsi="宋体" w:eastAsia="宋体" w:cs="宋体"/>
          <w:sz w:val="24"/>
          <w:szCs w:val="21"/>
          <w:highlight w:val="none"/>
          <w:lang w:val="en-US" w:eastAsia="zh-CN"/>
        </w:rPr>
        <w:footnoteReference w:id="517"/>
      </w:r>
    </w:p>
    <w:p w14:paraId="402A28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全心全意为人民服务的宗旨，不仅是中国共产党人的理论创新和意识形态建构，还是实实在在的行动纲领。为了将全心全意为人民服务的宗旨转化为行动范式，中国共产党人着力完善了以人民为中心的各项规制。在中国特色社会主义进入新时代后，为了充分保障和提升全体人民尤其是劳动人民在经济、政治、文化、教育、医疗、社会服务等领域的获得感、参与感和成就感，中国共产党以制度建设、法治完善、机制创新为先导，积极履行了全心全意为人民服务的使命。“功成不必在我、功成必定有我”，“我将无我，不负人民”，既是以习近平同志为主要代表的中国共产党人的自我写照，也是继续践行全心全意为人民服务宗旨的行动指南。为了履行全心全意为人民服务的神圣使命，一代代共产党人正是以“踏雪留痕，抓铁有印”的韧劲，从解决温饱、全面脱贫到</w:t>
      </w:r>
      <w:r>
        <w:rPr>
          <w:rFonts w:hint="eastAsia"/>
          <w:sz w:val="24"/>
        </w:rPr>
        <w:t>全面建成小康社会</w:t>
      </w:r>
      <w:r>
        <w:rPr>
          <w:rFonts w:hint="eastAsia"/>
          <w:sz w:val="24"/>
          <w:lang w:eastAsia="zh-CN"/>
        </w:rPr>
        <w:t>，再到通往共同富裕，接续努力，交上了无愧于人民、无愧于时代的出彩答卷，兑现了并将继续兑现为人民谋幸福的庄严承诺</w:t>
      </w:r>
      <w:r>
        <w:rPr>
          <w:rFonts w:hint="eastAsia"/>
          <w:sz w:val="24"/>
        </w:rPr>
        <w:t>。</w:t>
      </w:r>
    </w:p>
    <w:p w14:paraId="6D3D6C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eastAsia="zh-CN"/>
        </w:rPr>
        <w:t>在党的二十大报告精神中，人民成了共产党人全心全意服务的对象，而不再是民本文化中服务于统治秩序的对象；“</w:t>
      </w:r>
      <w:r>
        <w:rPr>
          <w:rFonts w:hint="eastAsia"/>
          <w:sz w:val="24"/>
          <w:lang w:val="en-US" w:eastAsia="zh-CN"/>
        </w:rPr>
        <w:t>我国社会主要矛盾是人民日益增长的美好生活需要和不平衡不充分的发展之间的矛盾，并紧紧围绕这个社会主要矛盾推进各项工作，不断丰富和发展人类文明新形态”</w:t>
      </w:r>
      <w:r>
        <w:rPr>
          <w:rStyle w:val="20"/>
          <w:rFonts w:hint="eastAsia" w:ascii="宋体" w:hAnsi="宋体" w:eastAsia="宋体" w:cs="宋体"/>
          <w:sz w:val="24"/>
          <w:szCs w:val="21"/>
          <w:lang w:val="en-US" w:eastAsia="zh-CN"/>
        </w:rPr>
        <w:footnoteReference w:id="518"/>
      </w:r>
      <w:r>
        <w:rPr>
          <w:rFonts w:hint="eastAsia"/>
          <w:sz w:val="24"/>
          <w:lang w:val="en-US" w:eastAsia="zh-CN"/>
        </w:rPr>
        <w:t>，而不再是民本文化背景下的主要矛盾——地主阶级和农民阶级之间的矛盾——主要为了缓和这一矛盾而倡导民本。</w:t>
      </w:r>
    </w:p>
    <w:p w14:paraId="679ABE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2.角色的转换：人民至上</w:t>
      </w:r>
    </w:p>
    <w:p w14:paraId="3AA9459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从本质上看，传统民本文化是从属于、服务于专制主义的封建文化。在民本思想家看来，民众是也仅仅是被施惠、被怜悯的对象，一群可以用仁政收买的对象。他们的内心是矛盾的：鄙视民众而又不得不重视这个群体。譬如，口头上“民贵君轻”的孟子，膜拜等级制度，将人分为“或劳心，或劳力”的三六九等，信奉“劳心者治人，劳力者治于人；治于人者食人，治人者食于人”（《滕文公上》），并将森严的等级秩序神化为“天下之通义”。在对待底层民众与上流社会的态度上，可谓泾渭分明。他一方面言之凿凿地提出“民贵君轻”，另一方面又指责主张“兼爱”的墨家是“无父无君”的“禽兽”。他更不无讽刺地指出：“无恒产而有恒心者，惟士为能。若民，则无恒产，因无恒心。”（《梁惠王上》）意思是说，有社会责任感的知识精英，不圉于物质利益，才能做到虽无恒产却有恒心；一般底层民众，有恒产才有恒心，若无恒产必无恒心，不守本分。对民众施与小恩小惠的目的，是为了让他们感恩戴德，恪守本分。在民本思想家的字典里，满是对侯王、圣王、天下主“为民作主”的劝教，从未见人民“当家作主”的只言片语。民本文化的立论基础是君本位，民众仅仅也只能处在被君主恩赐、抚慰的“子民”地位。</w:t>
      </w:r>
    </w:p>
    <w:p w14:paraId="7C4729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如果说传统民本文化的立论基础是王朝统治至上，“治人”的“劳心者”至上，资本主义文化的立论基础是私人利润至上，雇佣人的“资本者”至上，那么，社会主义文化的立论基础必然也必定是人民至上。坚持人民至上，尊重人民的主体地位，是中国共产党百年奋斗历程的成功经验，也是向第二个百年奋斗目标前进的根本遵循。正因如此，习近平同志要求全党：“要站稳人民立场、把握人民愿望、尊重人民创造、集中人民智慧。”</w:t>
      </w:r>
      <w:r>
        <w:rPr>
          <w:rStyle w:val="20"/>
          <w:rFonts w:hint="eastAsia" w:ascii="宋体" w:hAnsi="宋体" w:eastAsia="宋体" w:cs="宋体"/>
          <w:sz w:val="24"/>
          <w:szCs w:val="21"/>
          <w:lang w:val="en-US" w:eastAsia="zh-CN"/>
        </w:rPr>
        <w:footnoteReference w:id="519"/>
      </w:r>
      <w:r>
        <w:rPr>
          <w:rFonts w:hint="eastAsia"/>
          <w:sz w:val="24"/>
          <w:lang w:val="en-US" w:eastAsia="zh-CN"/>
        </w:rPr>
        <w:t>在中国化时代化马克思主义的视野内，人民居于至高无上的主体地位，中国共产党人所做的一切，譬如，实现全面脱贫、致力于全体人民共同富裕、增进人民福祉、促进人的全面发展，都是人民至上观的体现。党的群众路线从根本上解决了“我是谁，为了谁，依靠谁，谁是公仆，谁是主人”等束缚民本文化的一系列重大问题，从而实现了对传统民本文化的突破和超越。从统御对象到发展主体，人民的角色实现了具有决定意义的转换：人民至上，人民第一，是党一切工作的出发点和归宿点，而不再是民本文化视野内的名本实末；人民当家作主，人民是社会主义事业的主人翁，而不再是民本文化视野内足以覆舟的“群氓”；人民是创造历史的主体，“人民的创造性实践是理论创新的不竭源泉”</w:t>
      </w:r>
      <w:r>
        <w:rPr>
          <w:rStyle w:val="20"/>
          <w:rFonts w:hint="eastAsia" w:ascii="宋体" w:hAnsi="宋体" w:eastAsia="宋体" w:cs="宋体"/>
          <w:sz w:val="24"/>
          <w:szCs w:val="21"/>
          <w:lang w:val="en-US" w:eastAsia="zh-CN"/>
        </w:rPr>
        <w:footnoteReference w:id="520"/>
      </w:r>
      <w:r>
        <w:rPr>
          <w:rFonts w:hint="eastAsia"/>
          <w:sz w:val="24"/>
          <w:lang w:val="en-US" w:eastAsia="zh-CN"/>
        </w:rPr>
        <w:t>，而不再是被动受施的居于“治于人”地位的“劳力者”；作为主人的人民，在自己的先锋队——中国共产党领导下为属于自己的事业而奋斗，而不再是封建君主等剥削阶级的附属品。可以说，人民至上是传统民本文化浴火重生后的当代形态，是在扬弃传统民本文化基础上达到的新境界。</w:t>
      </w:r>
    </w:p>
    <w:p w14:paraId="0A7CD1D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3.目的的升华：以人民为中心</w:t>
      </w:r>
    </w:p>
    <w:p w14:paraId="460676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对民本思想家和统治者来说，看重的是民本文化在维护王朝统治中所发挥的“牧民”“御民”“治民”等工具性作用。譬如，在老子看来，要求侯王“善下之”的目的是“为百谷王”，“言下之”的目的是“欲上民”，“身后之”的目的是“欲先民”。“舍得”哲学在政治社会领域的目的化、功利化和庸俗化，由此可见一斑。</w:t>
      </w:r>
    </w:p>
    <w:p w14:paraId="3EB812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中国特色社会主义理论大厦不是空中楼阁，必须建立在厚实的包括民本文化在内的优秀传统文化基础上。列宁指出：“马克思主义这一革命无产阶级的意识形态赢得了世界历史性的意义，是因为它……吸收和改造了两千多年来人类思想和文化发展中一切有价值的东西。”</w:t>
      </w:r>
      <w:r>
        <w:rPr>
          <w:rStyle w:val="20"/>
          <w:rFonts w:hint="eastAsia" w:ascii="宋体" w:hAnsi="宋体" w:eastAsia="宋体" w:cs="宋体"/>
          <w:sz w:val="24"/>
          <w:szCs w:val="21"/>
          <w:lang w:val="en-US" w:eastAsia="zh-CN"/>
        </w:rPr>
        <w:footnoteReference w:id="521"/>
      </w:r>
      <w:r>
        <w:rPr>
          <w:rFonts w:hint="eastAsia"/>
          <w:sz w:val="24"/>
          <w:lang w:val="en-US" w:eastAsia="zh-CN"/>
        </w:rPr>
        <w:t>如果在借鉴传统民本文化的同时，不突破和改造传统民本文化服务于王朝统治的狭隘目的，就不能适应时代需要。为此，必须用共产党人的“公天下”思维取代传统民本文化的“家天下”（资本主义社会是“资天下”）思维。习近平总书记上任伊始，便提出了治国理政的基本要求——“夙夜在公”。由此说明，中国共产党人的“舍得”哲学是以自身之“舍”换取人民群众之“得”，由以巩固王朝统治为中心破天荒地升华为“以人民为中心”。由“牧民”到“为民”，一字之差，彰显的是目的的升华。在传统民本文化的“牧民”话语中，目的是“视民众为工具”，而在人民公仆“为民”的话语中，目的是“以人民为中心”。习近平同志指出：“中国共产党根基在人民、血脉在人民。坚持以人民为中心的发展思想，体现了党的理想信念、性质宗旨、初心使命，也是对党的奋斗历程和实践经验的深刻总结。……坚持以人民为中心的发展思想，必须坚持人民至上……并落实到各项决策部署和实际工作之中。”</w:t>
      </w:r>
      <w:r>
        <w:rPr>
          <w:rStyle w:val="20"/>
          <w:rFonts w:hint="eastAsia" w:ascii="宋体" w:hAnsi="宋体" w:eastAsia="宋体" w:cs="宋体"/>
          <w:sz w:val="24"/>
          <w:szCs w:val="21"/>
          <w:lang w:val="en-US" w:eastAsia="zh-CN"/>
        </w:rPr>
        <w:footnoteReference w:id="522"/>
      </w:r>
      <w:r>
        <w:rPr>
          <w:rFonts w:hint="eastAsia"/>
          <w:sz w:val="24"/>
          <w:lang w:val="en-US" w:eastAsia="zh-CN"/>
        </w:rPr>
        <w:t>以唯物史观维度视之，在社会主义条件下，全部社会生活本质上是人民的美好、幸福生活，因此，为了人民而发展，依靠人民而发展，由人民共享发展成果，这便是发展的全部意义，也是“以人民为中心”思想的理论基础和终极指归。</w:t>
      </w:r>
    </w:p>
    <w:p w14:paraId="34B3D2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4.标准的重塑：人民满意度</w:t>
      </w:r>
    </w:p>
    <w:p w14:paraId="7E3FE27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如果说检验民本文化效果的主要标准是王朝稳定、政通人和，那么，检验全心全意为人民服务、人民至上、以人民为中心的施行标准则是人民满意度。时代是出卷者，我们是答卷者，而唯有人民才是阅卷者。民心是最大的政治，民心是最高的标准。在党的二十大报告中，习近平同志强调：“江山就是人民，人民就是江山。中国共产党领导人民打江山、守江山，守的是人民的心。”</w:t>
      </w:r>
      <w:r>
        <w:rPr>
          <w:rStyle w:val="20"/>
          <w:rFonts w:hint="eastAsia" w:ascii="宋体" w:hAnsi="宋体" w:eastAsia="宋体" w:cs="宋体"/>
          <w:sz w:val="24"/>
          <w:szCs w:val="21"/>
          <w:lang w:val="en-US" w:eastAsia="zh-CN"/>
        </w:rPr>
        <w:footnoteReference w:id="523"/>
      </w:r>
      <w:r>
        <w:rPr>
          <w:rFonts w:hint="eastAsia"/>
          <w:sz w:val="24"/>
          <w:lang w:val="en-US" w:eastAsia="zh-CN"/>
        </w:rPr>
        <w:t>因此，人民满意度标准的确立，是中国共产党基于历史和实践双重维度，对历史发展规律和共产党执政规律的深度认知。为了履行全心全意为人民服务、人民至上、以人民为中心的崇高使命和庄严承诺，必须将人民的获得感、幸福感、安全感作为衡量工作成败的最基本指标，为人民谋求可观、可感、可量化的生活福祉与发展利益。</w:t>
      </w:r>
    </w:p>
    <w:p w14:paraId="7F46C72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曾几何时，管子将民本文化归结为“民心”二字：“政之所兴，在顺民心；政之所废，在逆民心。”（《牧民》）在悠悠历史长河中，民本文化几经历史嬗变，但万变不离其宗——民心。客观地说，传统民本文化虽有不可避免的局限性，但瑕不掩瑜，在当时历史条件下，注重民心的民本文化无疑是进步开明的文化。中国共产党正是在马克思主义指导下，汲取了民本文化的合理内核而形成了群众路线，实现了传统民本文化的现代性转换。中华人民共和国是以工农联盟为基础的人民民主专政国体，人民是中国共产党执政兴国的最大底气，而根植于传统民本文化的群众路线，则是中国共产党的看家本领。正因如此，习近平同志在二十大报告中概括中国式现代化的本质要求时，连用了三个关键词——“人民”（“发展全过程人民民主，丰富人民精神世界，实现全体人民共同富裕”</w:t>
      </w:r>
      <w:r>
        <w:rPr>
          <w:rStyle w:val="20"/>
          <w:rFonts w:hint="eastAsia" w:ascii="宋体" w:hAnsi="宋体" w:eastAsia="宋体" w:cs="宋体"/>
          <w:b w:val="0"/>
          <w:bCs w:val="0"/>
          <w:sz w:val="24"/>
          <w:szCs w:val="21"/>
          <w:lang w:val="en-US" w:eastAsia="zh-CN"/>
        </w:rPr>
        <w:footnoteReference w:id="524"/>
      </w:r>
      <w:r>
        <w:rPr>
          <w:rFonts w:hint="eastAsia"/>
          <w:sz w:val="24"/>
          <w:lang w:val="en-US" w:eastAsia="zh-CN"/>
        </w:rPr>
        <w:t>）。我们有理由相信，秉承人民至上、全心全意为人民服务的中国共产党，“用伟大奋斗创造了百年伟业，也一定能用新的伟大奋斗创造新的伟业”</w:t>
      </w:r>
      <w:r>
        <w:rPr>
          <w:rStyle w:val="20"/>
          <w:rFonts w:hint="eastAsia" w:ascii="宋体" w:hAnsi="宋体" w:eastAsia="宋体" w:cs="宋体"/>
          <w:sz w:val="24"/>
          <w:szCs w:val="21"/>
          <w:lang w:val="en-US" w:eastAsia="zh-CN"/>
        </w:rPr>
        <w:footnoteReference w:id="525"/>
      </w:r>
      <w:r>
        <w:rPr>
          <w:rFonts w:hint="eastAsia"/>
          <w:sz w:val="24"/>
          <w:lang w:val="en-US" w:eastAsia="zh-CN"/>
        </w:rPr>
        <w:t>。</w:t>
      </w:r>
    </w:p>
    <w:p w14:paraId="4BB629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（原载《山东社会科学》2023年第5期，第二作者为贾龙。）</w:t>
      </w:r>
    </w:p>
    <w:p w14:paraId="156B8C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678A2F6">
      <w:pPr>
        <w:pStyle w:val="3"/>
        <w:bidi w:val="0"/>
        <w:rPr>
          <w:rFonts w:hint="default"/>
          <w:lang w:eastAsia="zh-CN"/>
        </w:rPr>
      </w:pPr>
      <w:bookmarkStart w:id="273" w:name="_Toc28020"/>
      <w:bookmarkStart w:id="274" w:name="_Toc2137005385"/>
      <w:bookmarkStart w:id="275" w:name="_Toc1221775471"/>
      <w:bookmarkStart w:id="276" w:name="_Toc810109953"/>
      <w:bookmarkStart w:id="277" w:name="_Toc203373574"/>
      <w:bookmarkStart w:id="278" w:name="_Toc2138033202"/>
      <w:r>
        <w:rPr>
          <w:rFonts w:hint="eastAsia"/>
          <w:lang w:val="en-US" w:eastAsia="zh-CN"/>
        </w:rPr>
        <w:t>14</w:t>
      </w:r>
      <w:r>
        <w:rPr>
          <w:rFonts w:hint="default"/>
          <w:lang w:eastAsia="zh-CN"/>
        </w:rPr>
        <w:t>强基、融合、安全：以系统观念认识现代化产业体系*</w:t>
      </w:r>
      <w:bookmarkEnd w:id="273"/>
      <w:bookmarkEnd w:id="274"/>
      <w:bookmarkEnd w:id="275"/>
      <w:bookmarkEnd w:id="276"/>
      <w:bookmarkEnd w:id="277"/>
      <w:bookmarkEnd w:id="278"/>
    </w:p>
    <w:p w14:paraId="57580CC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p>
    <w:p w14:paraId="41731B41">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摘要：“现代化产业体系”一经党的二十大报告提出，便成为理论界的研究热点。不同于十九大报告出现的“现代化经济体系”，也不同于产业经济学、发展经济学中的“现代产业体系”，“现代化产业体系”是中国式现代化背景下的产业发展思想和产业建设目标，是习近平经济思想的组成部分，体现出鲜明的系统观念。针对中国当前产业发展存在的基础不强、融合不足、安全不够三大痛点，需要使系统观念寓于具体的工作内容中，从强基提质、融合创新、安全发展三个方面入手以消除痛点，打造自主可控、安全可靠、竞争力强的现代化产业体系，走中国式现代化产业发展道路。</w:t>
      </w:r>
    </w:p>
    <w:p w14:paraId="55625B5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关键词：现代化产业体系；习近平经济思想；系统观念；中国式现代化；政治经济学</w:t>
      </w:r>
    </w:p>
    <w:p w14:paraId="4E2108F8">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rPr>
      </w:pPr>
    </w:p>
    <w:p w14:paraId="160A4A1A">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建设现代化产业体系是推动高质量发展的必然要求，是赢得大国竞争主动的迫切需要，是全面建设社会主义现代化国家的重大举措。［1］作为党的二十大报告中出现的新表述，“现代化产业体系”一经提出，便成为理论界的研究热点。不同于十九大报告出现的“现代化经济体系”，也不同于产业经济学、发展经济学中的“现代产业体系”，“现代化产业体系”是中国式现代化背景下的产业发展思想和产业建设目标，是习近平经济思想的组成部分，体现出鲜明的系统观念。</w:t>
      </w:r>
    </w:p>
    <w:p w14:paraId="49A56655">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经济社会体系是一个普遍联系、多维多元的复杂系统，坚持系统观念，既是马克思主义理论的观点和方法，也是我们在实践中总结出的重要经验。［2］“现代化产业体系”的词义中便包含着系统性，将系统观念贯彻于建设现代化产业体系的全过程，在理论上是应然的。除了理论的应然性以系统观念认识现代化产业体系还具有现实的必要性。中国当前产业发展存在基础不强、融合不足、安全不够三大痛点，产业现代化的总体谋划、综合施策、体系整合、统筹协调尚存在不足需要使系统观念寓于具体的工作内容中，从强基提质、融合创新、安全发展三个方面入手，针对性地消除痛点，由此打造自主可控、安全可靠、竞争力强的现代化产业体系，走中国式现代化产业发展道路。</w:t>
      </w:r>
    </w:p>
    <w:p w14:paraId="47DFFDB6">
      <w:pPr>
        <w:pStyle w:val="4"/>
        <w:bidi w:val="0"/>
        <w:rPr>
          <w:rFonts w:hint="default"/>
          <w:lang w:eastAsia="zh-CN"/>
        </w:rPr>
      </w:pPr>
      <w:r>
        <w:rPr>
          <w:rFonts w:hint="default"/>
          <w:lang w:eastAsia="zh-CN"/>
        </w:rPr>
        <w:t>一、强基提质，系统加强产业基础和基础产业</w:t>
      </w:r>
    </w:p>
    <w:p w14:paraId="2C11A7C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强化基础是提高质量的途径和必要前提。“基础”有两层含义：产业基础，其中最显性的指标是产业基础设施状况；基础产业，主要指的是提供矿产品、农产品等原料的产业。产业基础和基础产业都需要得到系统性强化，由此提高现代化水平、向市场输出高质量的产品。</w:t>
      </w:r>
    </w:p>
    <w:p w14:paraId="7F037D3B">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（一）系统谋划产业基础强化工程，促进产业基础高级化</w:t>
      </w:r>
    </w:p>
    <w:p w14:paraId="1607BF5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着力提高不同类别产业基础建设的系统性，统筹经济和社会基础设施建设。通过分类考察经济基础设施（道路、电力和通信）和社会基础设施（教育、科研和卫生）对产业比较优势的影响，可知：各产业对于基础设施的使用密集度并不一致，不同类别的经济基础设施对产业比较优势的影响存在明显差别而社会基础设施则普遍有正向作用。［3］所以，地方政府需综合考虑基础设施建设的效用，相对加大社会基础设施投入。</w:t>
      </w:r>
    </w:p>
    <w:p w14:paraId="689E872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着力提高城乡产业基础建设的系统性，促进城乡协调发展。首先，依靠中心城市、小城镇向乡村的产业辐射，加强城乡产业分工与合作。地方政府主要负责价格和质量监管，维护公共利益和农民合法权益。其次，依靠转移支付、国有企业投资，辅之以社会资本参与，加强欠发达和区位条件不佳乡村的产业基础。创新投融资模式，确保农业生产型设施及时换新，重点解决这些地区美丽乡村生活型设施、生态农业设施滞后的问题。最后，通过推进农村新型基础设施建设，改善乡村的营商硬环境。节约投资成本，发挥固有的劳动力成本优势和土地成本优势，促进产业资本向乡村流动；推动知识、技术、管理、数据等生产要素介入农业，实现农业与数据产业的同频共振、生产与流通的高效对接，从而在很大程度上解决小农户分散经营与全国统一大市场构建的矛盾。</w:t>
      </w:r>
    </w:p>
    <w:p w14:paraId="4C86DDA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着力提高中国与其他发展中国家产业基础建设的系统性，促进人类减贫事业。有研究表明，基础设施互联互通不仅是区域经济一体化的关键工作，而且对新兴市场国家和发展中国家实现自身减贫目标也大有裨益。首先，基于亚投行71个成员国的样本［4］，排除其他影响因素并进行数种稳健性检验，能得出基础设施互联互通有助于减贫这一结论；其次，基础设施互联互通对新兴市场国家和发展中国家的减贫效果，不论减贫广度还是减贫深度，对比发达国家效果都更显著；最后，基础设施互联互通产生减贫作用主要依托的是技术创新效应和经济全球化效应。由此可见，中国需要在全球减贫事业中继续履行大国责任、发挥示范作用、做好各项服务，努力为全球提供更多公共产品，密切同“一带一路”沿线国家的跨境互联互通、新型基础设施建设等合作，重视发挥亚洲基础设施投资银行、金砖国家新开发银行等新兴市场国家带头发起的国际开发金融机构对减贫的作用，为商品和要素流动、人才跨国交流与合作、金融便利化创造有利条件，助力联合国2030年减贫目标如期实现。</w:t>
      </w:r>
    </w:p>
    <w:p w14:paraId="0053784D">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（二）系统思考基础产业发展方向，促进基础产业能力提升</w:t>
      </w:r>
    </w:p>
    <w:p w14:paraId="4780F38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审视原料产业在国民经济循环中的地位。原料产业是基础产业，因产品附加值不高、技术含量偏低、产品类型不够丰富、追求产量为主、门槛较低，而民营企业的产能边际增长又远快于国有企业，故导致大量民企投资涌入，使民企成为原料产业新增产能的主要贡献者。以钢铁为例，在20世纪90年代，中国钢铁产量每年仅增长数百万吨；但到了21世纪，钢铁产量每年平均增长三千万吨，数倍于过去。［5］于是，前些年出现</w:t>
      </w:r>
      <w:r>
        <w:rPr>
          <w:rFonts w:hint="default" w:ascii="Times New Roman" w:hAnsi="Times New Roman" w:eastAsia="宋体" w:cs="Times New Roman"/>
          <w:sz w:val="24"/>
          <w:szCs w:val="24"/>
          <w:lang w:eastAsia="zh-CN"/>
        </w:rPr>
        <w:tab/>
      </w:r>
      <w:r>
        <w:rPr>
          <w:rFonts w:hint="default" w:ascii="Times New Roman" w:hAnsi="Times New Roman" w:eastAsia="宋体" w:cs="Times New Roman"/>
          <w:sz w:val="24"/>
          <w:szCs w:val="24"/>
          <w:lang w:eastAsia="zh-CN"/>
        </w:rPr>
        <w:t>了原料产业产能过剩的局面，在“去产能”“双碳”的大背景下，原料生产企业普遍削减产能、服从“双碳”工作组织升级或转产。应当把政策主线由控制基础产品产能转变为增强基础产业能力，构建原料产业的标准化生产、规范化流通、便利化销售系统，确保原料产品的质量过关过硬、品质不断升级、对生态环境的影响降到最低限度。</w:t>
      </w:r>
    </w:p>
    <w:p w14:paraId="4815C843">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审视第一部类在国民经济循环中的地位。第一部类就是生产生产资料的部门，在长期倡导扩大内需战略和调节产业结构的思想影响下，人们往往认为国内第一部类已经非常强大，应把发展重点放在生产消费资料的部门上，于是出现了相对忽视第一部类的情况。但事实上，第一部类的强大更多体现在量和面上，具体到一些核心技术的“点”、新兴产业链的“线”以及产业的“质”上，还有滞后的地方。因此，要继续推动装备制造业发展与提升，为下游产业链提供优质、高新、环保的生产资料，保持生产资料和消费资料生产、分配、流通、消费的顺畅衔接，构建完整的上下游产业链。应加快推进装备制造业高端化、智能化、绿色化，突出装备制造业在加快发展先进制造业进程中的龙头作用，尽快解决装备制造业存在的核心技术、关键零部件不自主问题，努力实现具备领先水平的生产资料可在国内生产、可向境外出口。</w:t>
      </w:r>
    </w:p>
    <w:p w14:paraId="34E2342B">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审视制造业和生产性服务业协同集聚对国民经济循环的作用。生产性服务业作为脱胎于制造业内部生产服务部门，并作为制造业配套产业存在的一类服务业，通过将专业化的人力资源和知识资本引进到制造业企业，既保障了人才队伍的总体稳定，又促进了人才的合理流动，从而提高生产效率、工业技术水平和产业层次。各地区应紧扣自身的要素禀赋条件、产业基础，通过产业链整合、价值链重构、产业集聚区的耦合，提升制造业和生产性服务业的协同集聚水平，为生产要素的流动和要素配置的优化提供高质量的产业平台。制造业和生产性服务业协同集聚的主要途径就是进一步使社会分工细密化，探索从现有的制造业内部生产服务功能中再剥离出一部分，从而催生新的生产性服务业态，围绕制造业企业建立起包含研发设计、运输仓储、信息金融、节能环保、商务租赁、管理培训、经纪代理等服务内容的一整套生产性服务系统，形成协同聚集效应。</w:t>
      </w:r>
    </w:p>
    <w:p w14:paraId="4918DE4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（三）系统构建数据要素提高全要素生产率机制，促进产业基础与基础产业良性运转</w:t>
      </w:r>
    </w:p>
    <w:p w14:paraId="6EC8AEAE">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以数据要素系统提升产能利用率。异质性分析发现，在高资源错配程度企业和低集中度产业，数据要素投入能够更为显著地提升产能利用率。由此可见，应坚定实施数字强国战略，继续推动5G网络建设、提早布局6G网络研发，积极扩大大数据的应用场景，深入推广工业互联网、物联网。首先，通过数据要素介入，增强企业的信息分析和决策能力。尽量避免因信息不对称而导致的过度投资；要充分利用数字基础设施的共享性、便利性，有效地开发和利用信息资源。其次，发挥好数据要素带来的共享性、快捷性、精确性优势。依托数据要素改善企业的资源配置，正向影响其他生产要素的变动。最后，要结合“走出去”战略，借助数据要素重新塑造企业的国际竞争能力。通过大数据平台预测市场需求的动态变化趋势，为企业生产决策提供及时且可靠的市场信息［6］，重新定位出口目标市场。</w:t>
      </w:r>
    </w:p>
    <w:p w14:paraId="3D16342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以数据要素系统推动投资结构优化。为推进经济实现高质量发展，需要改变现有的投资渠道有限、投资结构不合理的状况，而数据要素可以成为投资结构优化的关键推动力。首先，要把握推动投资结构优化的资源禀赋条件，用好数据要素投资对资源配置的重置功能。地方政府应当把稳增长、稳就业摆在突出位置，正视本地区的要素构成现状，摒弃试图立竿见影的短视投资行为，避免盲目上马、重复建设、资源错配、产能过剩，杜绝资源浪费，精准发挥数据要素的功效，使投资行为助推产业质量的提升。其次，要把握推动投资结构优化的外部激励条件，抢占数据产业高地。应紧紧抓住各项双边多边经贸协议达成的契机，促使一系列涉外产业明确投资方向、完成企业发展战略的转变。政府通过金融、财政等手段积极引导产业投资结构的调整，注重科技型基础设施投资，鼓励投资流向生产性服务业和高新技术产业，进一步提高投资效率。最后，要把握推动投资结构优化的进步革新条件。数据要素是生产要素中最具创新性的成员，应重点投资数据科技型基础设施，加大力度研发数据科技产品，使数据要素作为政产学研用一体化协同创新体系构建中的核心驱动力，引领产业发展。</w:t>
      </w:r>
    </w:p>
    <w:p w14:paraId="4F95C4CA">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以数据要素系统改善人力资源的空间依赖性。首先，数据要素同人力资源空间自相关，共同对全要素生产率产生显著的促进效应。数据要素介入能够提高产业硬性基础的技术含量，从而为全要素生产率注入增长活力；人力资源则是同一空间环境中约束全要素生产率的软性因素，可为地区全要素生产率增长提供技术的载体。其次，数据要素能够激发人力资源，并与之一同突破空间依赖，带来全要素生产率跨地区联动增长。相比于作为技术载体供应者的人力资源，数据要素直接带来了技术革新，从而对技术载体即人力资源产生了聚集效应，影响人力资源的投向，促使人力资源突破空间限制向外溢出；人力资源转移，让转入地的市场环境发生改变，于是转入地与转出地的全要素生产率联动增长。最后，数据要素改善人力资源的空间依赖性，需要注重区域协调，真正实现全面高质量发展。地方政府和相关企业单位、金融机构、上级业务指导部门应建立数据要素市场的统筹机制，对于空间联系紧密的不同省市县之间，应当搭建有利于人力资源流动的互惠平台、采用有利于跨地区高质量发展的共赢模式，实现新技术、新知识在空间上的溢出与新兴产业的引进落地。</w:t>
      </w:r>
    </w:p>
    <w:p w14:paraId="0FECC05A">
      <w:pPr>
        <w:pStyle w:val="4"/>
        <w:bidi w:val="0"/>
        <w:rPr>
          <w:rFonts w:hint="default"/>
          <w:lang w:eastAsia="zh-CN"/>
        </w:rPr>
      </w:pPr>
      <w:r>
        <w:rPr>
          <w:rFonts w:hint="default"/>
          <w:lang w:eastAsia="zh-CN"/>
        </w:rPr>
        <w:t>二、融合创新，系统融合传统产业和新兴产业</w:t>
      </w:r>
    </w:p>
    <w:p w14:paraId="726F7AA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产业融合是产业创新的主抓手和主渠道。传统产业和新兴产业间的融合，能激发传统产业活力、创新产业链形态；传统产业和新兴产业各自的融合，能激发产业内生动力、优化升级产业链。应系统性地关注农村产业、变革产业技术、增强有效市场和有为政府融合度。</w:t>
      </w:r>
    </w:p>
    <w:p w14:paraId="47B6DD52">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（一）系统推进农村产业融合，创新乡村产业兴旺的实现途径</w:t>
      </w:r>
    </w:p>
    <w:p w14:paraId="2EABE28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培育农村产业绿色融合发展的市场。首先，挖掘乡村文化中的朴素环保理念，建立农村绿色融合发展的自觉。传统农业中就已经建立起不违农时、顺应自然、节制开垦、就地取材、循环造肥、用度节俭等朴素的环保意识。应汲取农耕文化和传统习俗中的积极因素，在广大农民群体中普遍树立绿色发展、生态文明观念，顺畅推动农村“双碳”工作，建设资源节约和环境友好的和美乡村。其次，完善农村绿色融合发展的政策体系，引导农民参与乡村生态治理。地方政府应完善农村产业融合与生态治理政策体系，坚持刚柔并济，主要依靠市场调节作用促进农村产业遵循节能低碳原则加快融合；同时，谨防城市污染产业和落后产能向农村转移，通过建立生态补偿机制、提供资金补贴和技术扶持［7］，满足农民生产生活需要，使经济发展与生态文明协同并进。最后，提升农业科技化水平，为农村绿色融合发展创造市场化前景。国内农村在育种、耕地质量提升、农业废弃物处理等生产环节已初步实现先进技术的导入与生产手段的革新，下一步需要注重培育农村绿色产业增长点。</w:t>
      </w:r>
    </w:p>
    <w:p w14:paraId="1D128B2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转变农村能源消费结构。首先，加快振兴生物质能源产业。应当在通过现代科技手段解决污染问题的同时，把握资源的循环使用方法，开拓生物质能源市场，为农村产业融合提供能源支撑。其次，加快构建融合型农村用能共享平台。充分依托农村信用合作社、供销合作社、农民专业合作社等集体经济或互助经济组织，尝试搭建融合型能源共享使用平台。最后，加快农村能源产业融合。应改变简单燃烧煤炭的能源消费方式，支持煤炭资源深度开发、集约使用，换用电能，利用本地可再生能源，普及光伏产业、太阳能热水器；促进农村能源产业与第三产业融合，通过农村电商物流服务水平的提升推广清洁能源设备，使产业融合施惠于农民。</w:t>
      </w:r>
    </w:p>
    <w:p w14:paraId="7EBFA53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推进农业经济体制和农业服务转型。首先，促进农业生产性服务主体和经营主体的融合。坚持以农村集体经济组织为生产性服务主体，将引进的农业产业化龙头企业同农机服务组织、股份合作社、家庭农场经营户、小农户等经营主体融合为农业产业化联合体，丰富农业内涵、扩大农业外延，创新农业发展路径，统筹农产品加工业、农产品流通业、休闲农业、乡村旅游业的发展。其次，促进农业社会化服务体系的构建。根据农村劳动力结构变化和农业市场需求，挖掘农业生产活动社会化服务的市场潜力，顺势而为，大力发展农业生产托管服务业，使农业生产的成本有所节约、效率有所增加、质量有所提高、风险有所降低。例如，通过打造智慧农业服务平台、发展涉农平台经济等方式，推动城市服务业与乡村农业融合发展。［8］最后，促进农业发展方式转变。着力开发农耕文化产品、农村旅游商品、地方特色手工艺品等融合式农业关联产品市场；统筹优势农产品主体功能区建设，按照“横向型拓展、纵向型延伸、侧向型拓宽”的思路，延长农业产业链，增加农民收益。［9］</w:t>
      </w:r>
    </w:p>
    <w:p w14:paraId="7281BD7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（二）系统推进产业技术变革，创新产业融合式发展的实现途径</w:t>
      </w:r>
    </w:p>
    <w:p w14:paraId="3FCBEFB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发展工业互联网，促进供应链与价值链融合。首先，把握好工业互联网平台规模化扩张的机遇期。2022年中国工业互联网产业规模达到1.2万亿元，正广泛影响我国40个国民经济大类；其中，国家级或行业级工业互联网平台超过150家，联结工业设备近7800万台（套），服务市场企业超过160万家。［10］工业互联网平台的市场缺口巨大，今后数年将继续保持扩张，预计2025年产业规模突破2万亿元。其次，把握好工业互联网背景下新型供应链的发展机遇期。工业互联网平台可高效衔接供应链与价值链，为制造业高质量发展以及上下游产业链企业资源整合提供技术支撑。应鼓励构建基于工业互联网技术环境的新型供应链，并使用工业互联网运作和管理可与价值链相融合的新型供应链。最后，把握好价值链基于工业互联互通再次分工的机遇期。现代工业体系下，生产主体从事价值创造活动便会形成一定的价值链条；工业互联互通不仅影响着产业链供应链，也带来了价值链的重构。工业互联网建设的推进促使价值链再次分工，为生产主体赢得新的发展机会。</w:t>
      </w:r>
    </w:p>
    <w:p w14:paraId="5674D75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耦合重化工业与高新技术产业的产业链，为高污染高耗能产业注入创新要素。以ICT（信息与通信技术）产业与AS（丙烯腈-苯乙烯）产业融合创新为例，AS产业是典型的化学材料工业，产品具有广泛的应用，但通过考察1981—2010年国内数据可知，该产业平均技术水平呈下降态势。因此，AS产业需要技术变革，以适应企业生产新的环保要求和市场对化工产品安全性的新要求。首先，ICT将供给侧创新要素融入AS产业。ICT沿产业链多方向进入AS产业群，通过内部化垂直方式或水平双重外部性方式，对产业链中的市场主体增加创新要素的供给，使AS产业的技术随ICT的进步而进步。其次，正确认识产业融合过程中的增长下降。产业融合中期过后，增速也会下降，甚至ICT会直接阻碍当期的AS产业技术进步［11］，但从技术变革的整体与长远影响看，AS产业的市场生存能力还是增强了。最后，ICT产业链与AS产业链耦合会产生新的业态。新旧产业链耦合后，在原有产业链中并不存在的生产性服务业出现，催生一批新的市场主体、释放新的就业岗位。</w:t>
      </w:r>
    </w:p>
    <w:p w14:paraId="7E45093D">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提高产业融合的供求匹配度，促进各地区制造业创新效率的平衡发展。首先，强化政企对接，培育多链协同的市场主体。依托线上政务服务平台，使政府政策指导、学者研究建议、企业投资建厂、银行贷款发放等多主体行为融于一体，提高产业政策与金融服务的针对性，提高政企对接效率，积极引导企业参与相关产业链的构建。其次，精准把握产业融合的地区不平衡性，制定差异性解决方案。以产业融合对制造业创新效率的影响为例，对东部、中部、西部、东北四大地区的影响依次减弱，其中东北呈负向影响［12］；东北也是制造业与数字经济产业融合水平仅有的呈下降趋势的地区。需要分析东北产业融合是否存在供求匹配度问题，切实推进东北振兴。最后，重点推动制造业和数字产业融合。尽管东北地区两项数据不佳，但单看制造业创新效率，仍呈稳步提升态势；制造业和数字产业融合对制造业创新效率也呈显著正向影响。这说明制造业和数字产业融合的效果或与地区产业基础、产业特点有关，大方向上还是该重点推动制造业和数字产业融合，促进制造业高质量发展。</w:t>
      </w:r>
    </w:p>
    <w:p w14:paraId="38EB03F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（三）系统增强有效市场和有为政府的融合度，创新服务保障实体经济方式</w:t>
      </w:r>
    </w:p>
    <w:p w14:paraId="54C482BE">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将推进产业智能化作为有效市场和有为政府融合点，增强创新要素供给系统。首先，牵引生产要素投向工业化智能化融合项目，实现经济包容性发展。深化供给侧结构性改革，改善供给质量、提升服务水平；统筹资金、技术、人才、劳动力，加快推广数字化、网络化、智能化教育和医疗设备，加快建设智能交通、智慧能源、智慧城市。其次，布局数字科技成果转化示范区，促进数字经济同实体经济的深度融合。政府应加强工作的前瞻性，重视先导科技的辐射带动作用，规划数字科技成果转化示范区建设，对数字领域前沿科技、核心科技、颠覆性科技的研发采取更加宽容的态度，深化数字科技及配套产业的产学研合作模式创新。最后，盘活现有要素市场，完成传统产业的智能化转型。地方政府应科学分析、准确把握本地区的产业基础、产业规模、产业优势，充分发挥要素市场作用，合理配置生产要素、分步骤改造升级生产资料，加快本地区传统产业数字化步伐，助力传统产业的高级化发展，建立集约、精细、高效的生产方式。</w:t>
      </w:r>
    </w:p>
    <w:p w14:paraId="30B3C61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将集聚高质量人力资源作为有效市场和有为政府融合点，增强劳动力要素供给系统。首先，吸引高新技术企业落户，促进高级劳动力要素集聚。应增强招商引资与招才引智工作的衔接性，引进高新技术企业落户生根，建设宜居、宜业、宜学的社区，使人才获得良好的发展条件和生活环境，从而加快高级劳动力要素集聚，促进产业融合创新。其次，遵循经济效益和社会效益相结合的原则，促进人才向短期收益不佳的区域转移。政府应引导企业立足长远、避免短视，在发展相对滞后地区投资兴业，积极发现蓝海领域；企业应积极关注政策，认真研判短期资本回报率不高的投资项目是否符合企业长远成长利益。通过人才地区间的合理转移，带动欠发达地区产业发展，提高项目的建设质量和边际产出。最后，强化地区间人才交流合作，实现更加平衡、更加充分的发展。政府一方面应通过产业集聚实现高质量人力资源更加充分的发展，另一方面应强化举措为地区间人才交流合作搭建平台，化解高质量人力资源分布不平衡和高质量人力资源需求间的矛盾。</w:t>
      </w:r>
    </w:p>
    <w:p w14:paraId="36DF2E2A">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将提升金融服务实体经济质效作为有效市场和有为政府融合点，增强资本要素供给系统。首先，开辟多元化融资渠道。扩大社会资本参与投资的范围，鼓励多元化投资主体通过规范形式参与到政府项目中，完善社会资本的准入和退出机制，创新社会资本同国有资本投融资合作的方式，降低中小微企业的融资成本，引导资本要素优先供给用于补齐产业链短板和发展实体经济的事项。其次，遵循资本要素市场化运行原则。在进一步完善金融监管和法规体系的前提下，消除不利于资本要素市场化运行的行政壁垒，提高政府金融工作和资本要素市场化配置的协同性；营造良性的市场竞争环境，吸引多方投资者参与竞争，尝试为竞争者“组队”，形成共赢格局。最后，增强金融业的资源配置能力。金融发展能更好地推动金融资源在创新领域的优化配置，政府应鼓励壮大金融业整体市场规模、发展现代金融服务业；金融机构与开展创新活动的客户之间存在信息不对称问题，政府应推动构建民族企业发展共同体和创新共同体［13］，加快资本要素与创新要素的融合。</w:t>
      </w:r>
    </w:p>
    <w:p w14:paraId="60A122DC">
      <w:pPr>
        <w:pStyle w:val="4"/>
        <w:bidi w:val="0"/>
        <w:rPr>
          <w:rFonts w:hint="default"/>
          <w:lang w:eastAsia="zh-CN"/>
        </w:rPr>
      </w:pPr>
      <w:r>
        <w:rPr>
          <w:rFonts w:hint="default"/>
          <w:lang w:eastAsia="zh-CN"/>
        </w:rPr>
        <w:t>三、安全发展，系统匹配产业发展和产业安全</w:t>
      </w:r>
    </w:p>
    <w:p w14:paraId="7ECBFCC2">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产业安全是产业发展的先决条件和有力保证。要实现以种子安全为要的农业自主、实现以核心技术和关键零部件可控可靠为要的制造业自主、实现以国内能源和自然资源安全供给为要的能源资源自主。产业安全和产业发展相辅相成，离不开系统性的匹配机制。</w:t>
      </w:r>
    </w:p>
    <w:p w14:paraId="3F216A9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（一）系统打造农业自主发展模式，保障种子安全和种业市场规范运行</w:t>
      </w:r>
    </w:p>
    <w:p w14:paraId="22DCB245">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推进涉农法治建设，监管种业市场主体。首先，完善种业市场准入法律制度。修订健全种企登记备案制度，设置种企准入资质条件，监管种子市场活动；修订健全种企档案管理制度，采取统一的种业档案记录格式；修订健全种业审查制度，有效降低劣质种子坑农害农风险，普及经过中国农业科研机构验证、符合中国人营养需求结构特点的农作物种子，谨防生物入侵。其次，完善种子市场执法司法机制。针对种子市场法律纠纷建立专业性诉讼、取证、调解机制；加强国家机关涉农案件沟通协作，设立种子市场投诉热线，推动联网联办、分类办理、快捷办理，方便农民反映种子市场出现的各类违法现象，及时纠正市场乱象；对涉农经济纠纷诉讼，确需法律救济的应当落实法律救济政策。最后，完善种子产业链中间环节的日常管理制度。一个经销商服务多家种业公司是种业经营杂乱的一大成因，应加大事前监管力度，设置一个经销商服务种业公司的上限；经销商必须分开存储不同种业公司的种子，精准开具票据、管理资料，从而避免发生因种子混合存放、运输带来的法律纠纷。</w:t>
      </w:r>
    </w:p>
    <w:p w14:paraId="2DBDD445">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制定种业发展规划，落实惠农产业政策。首先，建立统一的种业经营主体专业培训制度。种子经营主体必须建立一支符合国家种业安全资质的专业化队伍，参加一定课时的业务培训，从而整体上增强从业人员的安全警惕意识、提高自我监督本领。其次，建立规范的种子安全保险制度。尝试在涉农保险中专门就种子安全设立保险金，保障农民的农业生产收益安全，保障种子产业链各环节市场主体合法经营收益的安全。种业经营主体和消费群体的保险制度一经形成，将为全国种子产业的安全和市场稳定运行加上一道防线，因此要通过市场监督管理部门、农业农村部门、基层自治组织的细致工作，让种业经营者和农民都能参与种子安全保险。最后，建立种业有利农民的长效机制。种子安全是农业生产安全的一个关键前提，种业繁荣是农业增产、农产品品质提升的基础条件，种业发展的最终目的是创造农民的美好生活。应积极落实惠农产业政策，使农村劳动力向种子产业链转移，促进农民增收；进一步开发高质量农副产品，深度挖掘种子产业链的新增长点。</w:t>
      </w:r>
    </w:p>
    <w:p w14:paraId="613D101B">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系统推动标准化种子库建设，使中国的土地种植中国的种子。首先，建立基于标准化种子库的种子产权保护制度。政府投入资金，按照国家农业科技标准，分阶段建设标准化种子库，保护中国种子的知识产权；加大种子知识产权执法力度，打击市场上以次充好等违法行为；注重科学育种，加大对农业科研机构的资金投入，持续培育优良品种。其次，整合种业市场主体，形成种业矩阵。政府牵头整合规模较小、实力较弱、市场竞争力不强的种子企业，使从业者、投资人共同利益得到满足，避免低价低质竞争，壮大种业市场主体的实力，逐步发展出种业矩阵；牢牢捧住中国人自己的饭碗，同时积极改善中国人饭碗里食品的质量，既要吃得安全，又要吃得好。最后，构建民族种业产业链，增强农产品国际竞争力。建设民族种业产业链，形成以大型种业国企为链长、头部民企参与、国有和社会资本联合投资种业的生动局面，在保障国内农业产业链安全的基础上，实现农、林、牧、副、渔产品出口量增长和海外市场竞争力的提升，不让第一产业在现代化产业体系建设中掉队。</w:t>
      </w:r>
    </w:p>
    <w:p w14:paraId="61C49DE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（二）系统打造制造业自主发展模式，保障核心技术和关键零部件可控可靠</w:t>
      </w:r>
    </w:p>
    <w:p w14:paraId="73848DC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克服创新链受控问题，主导创新链系统。首先，吃透先进制造业的共性技术和标准规则，赢得产业自主的入场券。应当厘清创新链受控的主要节点、具体短板、风险程度，认识当前差距；加大对制造业共性技术支撑平台建设的支持力度，引导国内制造业头部企业加强对先进制造业科技基础架构和标准规则的研究；逐步提升中国企业在国际创新链系统中的实力地位、影响力和话语权。其次，跟踪先进制造业的前沿问题，赢得产业自主的主动权。应当全面剖析先进制造业发展竞争全景，预测未来趋势，力争从被动应变转为主动引变；政府积极通过对创新要素流的引导，对先进制造业发展施加影响；国内制造业头部企业可大量吸引创新主体在其技术方向路径上集聚，形成先进制造业发展潮流，壮大先进制造业的整体规模、扩大相关产业创新链的辐射范围。最后，研发可降低进口依赖度的先进制造业所需技术设备，赢得产业自主的先手棋。引导和支持国内创新主体聚合在创新链链长企业周围，寻找核心技术和关键零部件不依赖进口的替代性方案，完成中国制造业创新链的“弯道超车”。</w:t>
      </w:r>
    </w:p>
    <w:p w14:paraId="67B9614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克服价值链低端锁定问题，支配价值链系统。首先，重点扶持技术研发基础较好的创新主体。价值链遭到低端锁定的主因：国际垄断商提高许可费率或产品溢价率，增加竞争对手成本，限制竞争对手的研发能力。因此，中国制造业企业必须通过成本解套来打破低端锁定。政府应强化资金流的支持，维系好国内创新主体的研发投入，增强技术创新的可持续性。其次，重点布局先进制造业专利研发储备基地。针对目前国内制造业企业单项技术优势难以匹敌外国制造业企业的集团技术优势的现状，应由政府牵头建设先进制造业专利储备基地，构建由创新基金、研发共同体、专利池等构成的先进制造业专利储备体系，逐步赢得中国企业在国际价值链系统中的成本优势。最后，重点谋划拆解和反制专利壁垒的措施。针对外国专利壁垒，政府应支持企业会同专业科研机构进行风险梳理和评估，拿出应对风险的整体策略和拆解专利壁垒的实施办法；政府和企业都应增强警惕意识，主动发现威胁中国产业发展长期利益和产业安全的风险点，采取适当的反制措施，转被动防御为钳制突围。</w:t>
      </w:r>
    </w:p>
    <w:p w14:paraId="6701ACD9">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克服供应链风险问题，控制供应链系统。首先，确保国内制造业供应链畅通。政府应密切关注关键产品流的国内市场供应状况，在建设全国统一大市场的背景下，使产业链上下游保持稳定畅通；企业应强化对关键产品流的储备和培育，针对“卡脖子”供应节点寻找可替代的供应链新路径。其次，化解国际制造业供应链断链风险。供应链断链风险的主要原因在于垄断全球制造业供应链的跨国公司巨头，为打压新兴市场国家的大型企业而限制产品流，增加自身产业安全边际，减少竞争对手的产业安全边际。因此，政府应摸清关键供应链底数，理清供应来源单一、存在不可替代性的供应链节点，排查识别供应链风险点；鼓励国内企业之间开展海外供应链路径节点合作，准备好断链预案。最后，倡导建设全球供应链治理体系。从有利于全球供应链长期稳定的角度出发，应当建设全球供应链的治理体系，由发达经济体、新兴市场和发展中经济体共同参与，商讨全球供应链的若干准则、建立长效机制，打造符合全球发展利益的有强大韧性的供应链系统。</w:t>
      </w:r>
    </w:p>
    <w:p w14:paraId="3A8DBC4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（三）系统打造能源和自然资源自主发展模式，保障国内能源和自然资源安全供给</w:t>
      </w:r>
    </w:p>
    <w:p w14:paraId="3CFC1EB1">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构建自主可控的煤炭产业安全体系，推动煤炭资源利用清洁化。首先，推进煤炭生产手段现代化，提高生产过程的安全系数。完善煤炭地质勘查的理论体系，推广先进建井技术，发展快速掘进、巷道支护、排矸、辅助运输一体化装备，开发大功率、高强度、适应厚煤层的采煤系统，运用隔爆型运输车辆，促进煤矿作业智能化控制、高精度定位、系统性监测技术的持续发展。其次，推进煤炭清洁高效利用，提高先进煤化工业国产化水平。加快选煤、动力配煤、水煤浆、型煤等煤炭洁净物理加工技术的发展与应用，提高煤电机组效率、全面降低燃煤工业锅炉常规污染物的排放量，保持煤直接液化、煤间接液化、煤制甲醇、甲醇制烯烃、合成气制乙二醇等先进煤化工技术的国际领先水平，研发煤基新材料，探索煤气化固态炉渣的无害化处理。最后，推进煤炭产业全生命周期的安全保障能力建设。增强煤炭产业全生命周期地质安全、生产安全、供给安全、生态安全的保障能力，不搞简单的“去煤化”，加快建立以新一代信息技术与能源技术结合为基础的新型煤炭产业发展体系。［14］</w:t>
      </w:r>
    </w:p>
    <w:p w14:paraId="27ED870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构建自主可控的油气产业安全体系，推动油气储运智能化。首先，建立自主的油气储运平台系统，增强国内油气储运企业竞争力。应鼓励油气储运企业的发展壮大，集中优势资金和人才团队，抓紧建设一批国产油气储运平台，逐步追赶外国先进油气储运平台建设水平，降低对外国油气储运公司设备和技术的依赖度，争取早日建成国内油气储运产业集群。其次，建立自主的油气储运工业物联网系统，提高工业数据交换速度。自主品牌企业应逐步缩小在油气储运工业物联网数据采集、控制器及通讯传输方面与外国同行的差距，坚定打破外国公司对油气储运工业物联网产业垄断的信心。最后，建立自主的油气储运产学研体系，做好安全储运战略规划。针对工业自动化水平相对滞后的现状，政府应牵头加强安全储运战略谋划，引导各类交通运输企业参与油气储运现代化建设，增强自主研发意识、加大科技攻关力度，促进参与油气储运现代化建设的市场主体同大中专院校合作，培养和接收各层次人才，形成油气储运产业人才方阵。</w:t>
      </w:r>
    </w:p>
    <w:p w14:paraId="1F241A6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构建自主可控的稀土产业安全体系，推动稀土资源利用高端化。首先，体系化发展稀土市场，争取国际稀土市场定价主动权。中国在占据稀土储量和市场份额双优势的情况下却没有定价权，甚至在2014年WTO稀土案中败诉。［15］应推出稀土产业安全总体规划，尽快将体量和规模优势转化为产业综合实力，依据海外对中国各类稀土产品的需求把握价格谈判主动。其次，系统化升级稀土产业链，增强涉链企业产品的核心竞争力。针对国内稀土产业低端化竞争态势，应推出稀土产业链升级总体规划，打造以精密元器件、零部件为新特长的现代化稀土产业体系；设立稀土投资基金，资助示范产业园和产业群发展，加快稀土上下游产业链强链升链。最后，高端化利用稀土资源，增强稀土产业发展的可持续性。注重稀土资源的绿色开发，启动稀土资源区生态修复工程；实现高性能稀土永磁材料等高端产品的国产化，尽早结束“白菜价”出口稀土原料、“黄金价”进口先进科技产品及服务的历史；建立稀土储备体系，使稀土资源更长久地造福炎黄子孙。</w:t>
      </w:r>
    </w:p>
    <w:p w14:paraId="5931787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br w:type="column"/>
      </w:r>
    </w:p>
    <w:p w14:paraId="0DDB7BC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参考文献：</w:t>
      </w:r>
    </w:p>
    <w:p w14:paraId="64AD0633">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［1］《求是》杂志编辑部.为全面建设社会主义现代化</w:t>
      </w:r>
    </w:p>
    <w:p w14:paraId="41C122FC">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国家开好局起好步［J］.求是，2023，（4）：10-17.</w:t>
      </w:r>
    </w:p>
    <w:p w14:paraId="16DBBAD1">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［2］本报评论部.坚持系统观念，为党和国家各项事业</w:t>
      </w:r>
    </w:p>
    <w:p w14:paraId="1BE75DD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提供科学思想方法（人民观点）——全面把握习近平新时代中国特色社会主义思想的世界观和方法论⑥［N］.人民日报，2022-11-22（5）.</w:t>
      </w:r>
    </w:p>
    <w:p w14:paraId="3691576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［3］茹玉骢.基础设施供给、产业异质性与比较优势［J］.国际贸易问题，2015，（7）：12-24.</w:t>
      </w:r>
    </w:p>
    <w:p w14:paraId="2FD72E03">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［4］林峰，林淑佳.基础设施互联互通有助于实现减贫目标吗？——来自亚投行成员国的经验分析［J］.统计研究，2022，（9）：104-118.</w:t>
      </w:r>
    </w:p>
    <w:p w14:paraId="7820A03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［5］曹远征.供给侧结构性改革与中国基础产业发展［J］.国际金融，2016，（9）：3-12.</w:t>
      </w:r>
    </w:p>
    <w:p w14:paraId="5E4EAFE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［6］罗奇，陈梁，赵永亮.数字基础设施建设与企业产能利用率——来自“宽带中国”战略的经验证据［J］.产业经济研究，2022，（5）：1-14.</w:t>
      </w:r>
    </w:p>
    <w:p w14:paraId="15A438C8">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［7］王艳.“碳中和”背景下农村产业融合的路径分析［J］.农业经济，2022，（11）：113-115.</w:t>
      </w:r>
    </w:p>
    <w:p w14:paraId="2241A184">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［8］姜长云.发展数字经济引领带动农业转型和农村产业融合［J］.经济纵横，2022，（8）：41-49.</w:t>
      </w:r>
    </w:p>
    <w:p w14:paraId="0E771613">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［9］朱长明.中国农村产业融合发展质量测度及其驱动因素分析［J］.技术经济与管理研究，2022，（7）：112-117.</w:t>
      </w:r>
    </w:p>
    <w:p w14:paraId="2BEFC79F">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［10］石璋铭，杜琳.工业互联网平台对产业融合影响的实证研究［J］.科技进步与对策，2022，（19）：59-68.</w:t>
      </w:r>
    </w:p>
    <w:p w14:paraId="5E8D59AE">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［11］王丽君.信息化、产业融合与技术进步研究［J］.现代商贸工业，2022，（15）：1-7.</w:t>
      </w:r>
    </w:p>
    <w:p w14:paraId="19993917">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［12］李莹，程广斌.制造业与数字经济产业融合水平及创新效率测度［J］.统计与决策，2023，（1）：17-22.</w:t>
      </w:r>
    </w:p>
    <w:p w14:paraId="5754CA2E">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［13］高建昆.构建高水平社会主义市场经济体制［J］.政治经济学研究，2023，（1）：52-61.</w:t>
      </w:r>
    </w:p>
    <w:p w14:paraId="6A8451B6">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［14］王国法，李世军，张金虎，庞义辉，等.筑牢煤炭产业安全奠定能源安全基石［J］.中国煤炭，2022，（7）：1-9.</w:t>
      </w:r>
    </w:p>
    <w:p w14:paraId="51559667">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［15］李进.维护产业安全促进稀土产业高质量发展［J］.中国经贸导刊，2022，（9）：73-76.</w:t>
      </w:r>
    </w:p>
    <w:p w14:paraId="56D793C0">
      <w:pPr>
        <w:keepNext w:val="0"/>
        <w:keepLines w:val="0"/>
        <w:pageBreakBefore w:val="0"/>
        <w:widowControl/>
        <w:kinsoku w:val="0"/>
        <w:wordWrap/>
        <w:overflowPunct/>
        <w:topLinePunct w:val="0"/>
        <w:autoSpaceDE w:val="0"/>
        <w:autoSpaceDN w:val="0"/>
        <w:bidi w:val="0"/>
        <w:adjustRightInd w:val="0"/>
        <w:snapToGrid w:val="0"/>
        <w:spacing w:line="400" w:lineRule="exact"/>
        <w:ind w:firstLine="480" w:firstLineChars="200"/>
        <w:jc w:val="both"/>
        <w:textAlignment w:val="baseline"/>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原载《江淮论坛》2023年第2期，第一作者为王云鹏。</w:t>
      </w:r>
      <w:r>
        <w:rPr>
          <w:rFonts w:hint="eastAsia" w:ascii="Times New Roman" w:hAnsi="Times New Roman" w:eastAsia="宋体" w:cs="Times New Roman"/>
          <w:sz w:val="24"/>
          <w:szCs w:val="24"/>
          <w:lang w:eastAsia="zh-CN"/>
        </w:rPr>
        <w:t>）</w:t>
      </w:r>
    </w:p>
    <w:p w14:paraId="72131EB2">
      <w:pPr>
        <w:bidi w:val="0"/>
        <w:rPr>
          <w:rFonts w:hint="eastAsia"/>
        </w:rPr>
      </w:pPr>
    </w:p>
    <w:p w14:paraId="34D29C22">
      <w:pPr>
        <w:pStyle w:val="3"/>
        <w:bidi w:val="0"/>
        <w:rPr>
          <w:rFonts w:hint="eastAsia"/>
          <w:lang w:val="en-US" w:eastAsia="zh-Hans"/>
        </w:rPr>
      </w:pPr>
      <w:bookmarkStart w:id="279" w:name="_Toc471658091"/>
      <w:bookmarkStart w:id="280" w:name="_Toc1453175841"/>
      <w:bookmarkStart w:id="281" w:name="_Toc2132993267"/>
      <w:bookmarkStart w:id="282" w:name="_Toc141708483"/>
      <w:bookmarkStart w:id="283" w:name="_Toc11934"/>
      <w:bookmarkStart w:id="284" w:name="_Toc80160763"/>
      <w:r>
        <w:rPr>
          <w:rFonts w:hint="eastAsia"/>
          <w:lang w:val="en-US" w:eastAsia="zh-CN"/>
        </w:rPr>
        <w:t>15</w:t>
      </w:r>
      <w:r>
        <w:rPr>
          <w:rFonts w:hint="eastAsia"/>
          <w:lang w:val="en-US" w:eastAsia="zh-Hans"/>
        </w:rPr>
        <w:t>美元化形成机制与去美元化对策研究</w:t>
      </w:r>
      <w:bookmarkEnd w:id="279"/>
      <w:bookmarkEnd w:id="280"/>
      <w:bookmarkEnd w:id="281"/>
      <w:bookmarkEnd w:id="282"/>
      <w:bookmarkEnd w:id="283"/>
      <w:bookmarkEnd w:id="284"/>
    </w:p>
    <w:p w14:paraId="3A5B8B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Hans"/>
        </w:rPr>
      </w:pPr>
    </w:p>
    <w:p w14:paraId="48F258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45F7505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摘要：文章基于马克思主义货币理论分析了美元化的形成机制、现实影响及其应对措施。从金融化角度来看，美元主导的国际货币体系经历了黄金—美元体系、石油—美元体系以及制度—美元体系三个阶段；其中，制度—美元体系即全球金融化体系，是新自由主义制度下，以金融化为纽带实现的商品市场与金融市场融合、国内市场与国际市场融合，并在此基础上推动的美元国际货币权力进一步扩张；国际货币权力的扩张主要以美元化方式实现，而全球美元化通过商品金融化、技术金融化和制度金融化等三重金融化机制实现，其中商品金融化是全球美元化的形成基础，技术金融化是全球美元化的催化剂，制度金融化是全球美元化的根本保障；以美国利益为核心的美元化给外围国家带来严重后果，外围国可通过推进国际货币多元化、防止技术金融化、充分认识新自由主义“三化”改革的危害等方式去美元化，中国须关注国家对本国金融权力的掌控，应把经济高质量发展以及人民币国际化等作为去美元化根本战略。</w:t>
      </w:r>
    </w:p>
    <w:p w14:paraId="7DBDEF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关键词：全球金融化体系；美元化；去美元化；政治经济学金融理论</w:t>
      </w:r>
    </w:p>
    <w:p w14:paraId="51D9AE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Hans"/>
        </w:rPr>
      </w:pPr>
    </w:p>
    <w:p w14:paraId="49F36D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7013C4F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基金</w:t>
      </w:r>
      <w:r>
        <w:rPr>
          <w:rFonts w:hint="eastAsia"/>
          <w:sz w:val="24"/>
          <w:lang w:val="en-US" w:eastAsia="zh-Hans"/>
        </w:rPr>
        <w:t>项目</w:t>
      </w:r>
      <w:r>
        <w:rPr>
          <w:rFonts w:hint="eastAsia"/>
          <w:sz w:val="24"/>
          <w:lang w:eastAsia="zh-Hans"/>
        </w:rPr>
        <w:t>:</w:t>
      </w:r>
    </w:p>
    <w:p w14:paraId="302292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本文系</w:t>
      </w:r>
      <w:r>
        <w:rPr>
          <w:rFonts w:hint="eastAsia"/>
          <w:sz w:val="24"/>
          <w:lang w:eastAsia="zh-Hans"/>
        </w:rPr>
        <w:t>2022年国家社会科学基金一般项目:中国金融化的社会分层效应测度与政策研究(项目编号:22BJY202)阶段性成果之一；</w:t>
      </w:r>
    </w:p>
    <w:p w14:paraId="67D84A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Hans"/>
        </w:rPr>
      </w:pPr>
      <w:bookmarkStart w:id="285" w:name="_Toc164094859_WPSOffice_Level1"/>
      <w:bookmarkStart w:id="286" w:name="_Toc759251014_WPSOffice_Level1"/>
      <w:r>
        <w:rPr>
          <w:rFonts w:hint="eastAsia"/>
          <w:b/>
          <w:bCs/>
          <w:sz w:val="24"/>
          <w:lang w:eastAsia="zh-Hans"/>
        </w:rPr>
        <w:t>一、引言</w:t>
      </w:r>
      <w:bookmarkEnd w:id="285"/>
      <w:bookmarkEnd w:id="286"/>
    </w:p>
    <w:p w14:paraId="737CC0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2022年俄乌战争爆发，欧美冻结俄罗斯外汇储备，使得国际社会开始普遍质疑全球金融化体系中以美元为标的资产的安全性，黄金和大宗商品等将成为各国争相持有的储备。此时持有较多美元外汇储备的国家有两种方式维护自身利益，一是通过出售外汇资产购买俄罗斯等国的大宗商品，二是实施量化宽松政策以更多本国货币购买国外大宗商品，这都将导致美元通货膨胀。此时，美元化国家将遭受来自两个方面的损失：一方面，美元化国家将直接从美元通货膨胀中遭受损失；另一方面，美国采取的防通货膨胀政策直接影响美元化国家经济发展。事实上，已有不少关于美元化及其影响等方面的研究。</w:t>
      </w:r>
    </w:p>
    <w:p w14:paraId="1ECB77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美元化现象最早出现在18世纪末，典型的案例发生在</w:t>
      </w:r>
      <w:r>
        <w:rPr>
          <w:rFonts w:hint="eastAsia"/>
          <w:sz w:val="24"/>
          <w:lang w:eastAsia="zh-CN"/>
        </w:rPr>
        <w:t>20世纪70年代拉丁美洲国家。</w:t>
      </w:r>
      <w:r>
        <w:rPr>
          <w:rFonts w:hint="eastAsia"/>
          <w:sz w:val="24"/>
          <w:lang w:eastAsia="zh-Hans"/>
        </w:rPr>
        <w:t>美元化有多种方式，从美元影响范围来看，分为事实美元化、过程美元化和政策美元化（张宇燕，1999）；从货币替代的角度看，分为货币替代、固定汇率和法偿货币三个层次( 宋卫刚，2006)；从功能角度看，有交易美元化、资产美元化、存款美元化等（李扬、黄金老，1999；</w:t>
      </w:r>
      <w:r>
        <w:rPr>
          <w:rFonts w:hint="eastAsia"/>
          <w:sz w:val="24"/>
          <w:lang w:eastAsia="zh-CN"/>
        </w:rPr>
        <w:t>Reinhart，2003；Mwase，2015</w:t>
      </w:r>
      <w:r>
        <w:rPr>
          <w:rFonts w:hint="eastAsia"/>
          <w:sz w:val="24"/>
          <w:lang w:eastAsia="zh-Hans"/>
        </w:rPr>
        <w:t>），也有因套利而产生的美元化（</w:t>
      </w:r>
      <w:r>
        <w:rPr>
          <w:rFonts w:hint="eastAsia"/>
          <w:sz w:val="24"/>
          <w:lang w:eastAsia="zh-CN"/>
        </w:rPr>
        <w:t>Geng，2018）；</w:t>
      </w:r>
      <w:r>
        <w:rPr>
          <w:rFonts w:hint="eastAsia"/>
          <w:sz w:val="24"/>
          <w:lang w:eastAsia="zh-Hans"/>
        </w:rPr>
        <w:t>根据主导者不同，可将美元化分为</w:t>
      </w:r>
      <w:r>
        <w:rPr>
          <w:rFonts w:hint="eastAsia"/>
          <w:sz w:val="24"/>
          <w:lang w:eastAsia="zh-CN"/>
        </w:rPr>
        <w:t>官方美元化、半官方美元化、民间美元化等（蔡辉明、易纲，2003）；</w:t>
      </w:r>
      <w:r>
        <w:rPr>
          <w:rFonts w:hint="eastAsia"/>
          <w:sz w:val="24"/>
          <w:lang w:eastAsia="zh-Hans"/>
        </w:rPr>
        <w:t>如果按照程度划分，可分为完全美元化、部分美元化以及高、中、低美元化等（</w:t>
      </w:r>
      <w:r>
        <w:rPr>
          <w:rFonts w:hint="eastAsia"/>
          <w:sz w:val="24"/>
          <w:lang w:eastAsia="zh-CN"/>
        </w:rPr>
        <w:t>Husain，2006）；</w:t>
      </w:r>
      <w:r>
        <w:rPr>
          <w:rFonts w:hint="eastAsia"/>
          <w:sz w:val="24"/>
          <w:lang w:eastAsia="zh-Hans"/>
        </w:rPr>
        <w:t>多数西方经济学者认为，美元化对中小发展中国家（比如阿根廷、厄瓜多尔等）有降低通货膨胀、稳定金融市场的功能（</w:t>
      </w:r>
      <w:r>
        <w:rPr>
          <w:rFonts w:hint="eastAsia"/>
          <w:sz w:val="24"/>
          <w:lang w:eastAsia="zh-CN"/>
        </w:rPr>
        <w:t>Mary，2008），</w:t>
      </w:r>
      <w:r>
        <w:rPr>
          <w:rFonts w:hint="eastAsia"/>
          <w:sz w:val="24"/>
          <w:lang w:eastAsia="zh-Hans"/>
        </w:rPr>
        <w:t>而且对新兴经济体有稳定经济政策、提高金融市场效率的功能（</w:t>
      </w:r>
      <w:r>
        <w:rPr>
          <w:rFonts w:hint="eastAsia"/>
          <w:sz w:val="24"/>
          <w:lang w:eastAsia="zh-CN"/>
        </w:rPr>
        <w:t>Naceur，2015；Mendoza，2017</w:t>
      </w:r>
      <w:r>
        <w:rPr>
          <w:rFonts w:hint="eastAsia"/>
          <w:sz w:val="24"/>
          <w:lang w:eastAsia="zh-Hans"/>
        </w:rPr>
        <w:t>）。</w:t>
      </w:r>
    </w:p>
    <w:p w14:paraId="1A4B5F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关于美元化的原因，有学者从通货膨胀、外部冲击以及汇率变动等角度进行研究。通过对拉美国家美元化的案例研究发现</w:t>
      </w:r>
      <w:r>
        <w:rPr>
          <w:rFonts w:hint="eastAsia"/>
          <w:sz w:val="24"/>
          <w:lang w:eastAsia="zh-CN"/>
        </w:rPr>
        <w:t>贷款美元化和存款美元</w:t>
      </w:r>
      <w:r>
        <w:rPr>
          <w:rFonts w:hint="eastAsia"/>
          <w:sz w:val="24"/>
          <w:lang w:eastAsia="zh-Hans"/>
        </w:rPr>
        <w:t>化相互影响，存款的美元化促进了贷款的美元化（</w:t>
      </w:r>
      <w:r>
        <w:rPr>
          <w:rFonts w:hint="eastAsia"/>
          <w:sz w:val="24"/>
          <w:lang w:eastAsia="zh-CN"/>
        </w:rPr>
        <w:t>Luca，2008；Nendis，2009；Asel，2010；Escribano，2011</w:t>
      </w:r>
      <w:r>
        <w:rPr>
          <w:rFonts w:hint="eastAsia"/>
          <w:sz w:val="24"/>
          <w:lang w:eastAsia="zh-Hans"/>
        </w:rPr>
        <w:t>）；国际货币体系转变过程中，美元的国际货币地位不断提高，此时外围国的恶性通货膨胀以及货币大幅度贬值促使这些国家的美元化（何曾、梁晶晶，2015）；全球市场的外部冲击会影响经济体的美元化，大宗商品价格波动是促进资源型国家美元化的重要因素（</w:t>
      </w:r>
      <w:r>
        <w:rPr>
          <w:rFonts w:hint="eastAsia"/>
          <w:sz w:val="24"/>
          <w:lang w:eastAsia="zh-CN"/>
        </w:rPr>
        <w:t>Catao，2016）</w:t>
      </w:r>
      <w:r>
        <w:rPr>
          <w:rFonts w:hint="eastAsia"/>
          <w:sz w:val="24"/>
          <w:lang w:eastAsia="zh-Hans"/>
        </w:rPr>
        <w:t>；一些学者通过构建投资组合模型进行分析发现，部分欧洲或中亚经济体美元化的原因是由投资者套利驱动（</w:t>
      </w:r>
      <w:r>
        <w:rPr>
          <w:rFonts w:hint="eastAsia"/>
          <w:sz w:val="24"/>
          <w:lang w:eastAsia="zh-CN"/>
        </w:rPr>
        <w:t>Geng，2018</w:t>
      </w:r>
      <w:r>
        <w:rPr>
          <w:rFonts w:hint="eastAsia"/>
          <w:sz w:val="24"/>
          <w:lang w:eastAsia="zh-Hans"/>
        </w:rPr>
        <w:t>）；对于中亚国家而言，苏联解体导致</w:t>
      </w:r>
      <w:r>
        <w:rPr>
          <w:rFonts w:hint="eastAsia"/>
          <w:sz w:val="24"/>
          <w:lang w:val="en-US" w:eastAsia="zh-Hans"/>
        </w:rPr>
        <w:t>的</w:t>
      </w:r>
      <w:r>
        <w:rPr>
          <w:rFonts w:hint="eastAsia"/>
          <w:sz w:val="24"/>
          <w:lang w:eastAsia="zh-Hans"/>
        </w:rPr>
        <w:t>经济衰退是</w:t>
      </w:r>
      <w:r>
        <w:rPr>
          <w:rFonts w:hint="eastAsia"/>
          <w:sz w:val="24"/>
          <w:lang w:val="en-US" w:eastAsia="zh-Hans"/>
        </w:rPr>
        <w:t>其</w:t>
      </w:r>
      <w:r>
        <w:rPr>
          <w:rFonts w:hint="eastAsia"/>
          <w:sz w:val="24"/>
          <w:lang w:eastAsia="zh-Hans"/>
        </w:rPr>
        <w:t>高度美元化的直接原因（王炜等，2018、2019）。</w:t>
      </w:r>
    </w:p>
    <w:p w14:paraId="3E8FE6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从形成机制的角度来看，西方经济学者在自由市场制度框架的假设下，运用货币需求理论构建</w:t>
      </w:r>
      <w:r>
        <w:rPr>
          <w:rFonts w:hint="eastAsia"/>
          <w:sz w:val="24"/>
          <w:lang w:eastAsia="zh-CN"/>
        </w:rPr>
        <w:t>预留现金模型、交易费用模型</w:t>
      </w:r>
      <w:r>
        <w:rPr>
          <w:rFonts w:hint="eastAsia"/>
          <w:sz w:val="24"/>
          <w:lang w:eastAsia="zh-Hans"/>
        </w:rPr>
        <w:t>等，研究流通领域中存在多种货币之间相互替代的作用机制，指出美元化的关键是持有美元资产获得的长期高收益率（韦伟，2003）；与西方经济学者认为美元化成本是短期的，但能获得中长期的收益的观点不同，马克思主义经济学者通过构建存量—流量一致性模型指出，由于美元化国家无法使用汇率政策调节国际收支失衡，从而经常账户的恶化使国内生产总值和财政收入下降（</w:t>
      </w:r>
      <w:r>
        <w:rPr>
          <w:rFonts w:hint="eastAsia"/>
          <w:sz w:val="24"/>
          <w:lang w:eastAsia="zh-CN"/>
        </w:rPr>
        <w:t>Izurieta，2003)；</w:t>
      </w:r>
      <w:r>
        <w:rPr>
          <w:rFonts w:hint="eastAsia"/>
          <w:sz w:val="24"/>
          <w:lang w:eastAsia="zh-Hans"/>
        </w:rPr>
        <w:t>在</w:t>
      </w:r>
      <w:r>
        <w:rPr>
          <w:rFonts w:hint="eastAsia"/>
          <w:sz w:val="24"/>
          <w:lang w:eastAsia="zh-CN"/>
        </w:rPr>
        <w:t>瑟尔沃</w:t>
      </w:r>
      <w:r>
        <w:rPr>
          <w:rFonts w:hint="eastAsia"/>
          <w:sz w:val="24"/>
          <w:lang w:eastAsia="zh-Hans"/>
        </w:rPr>
        <w:t>模型基础上构建的美元化经济体增长模型进行分析发现，美元化国家的稳态经济增长率低于拥有主权货币国家的稳态经济增长率，而且美元化国家的经济增长相当不稳定，在其他条件不变的情况下，美元化国家更易陷入债务陷阱（</w:t>
      </w:r>
      <w:r>
        <w:rPr>
          <w:rFonts w:hint="eastAsia"/>
          <w:sz w:val="24"/>
          <w:lang w:eastAsia="zh-CN"/>
        </w:rPr>
        <w:t>Missaglia</w:t>
      </w:r>
      <w:r>
        <w:rPr>
          <w:rFonts w:hint="eastAsia"/>
          <w:sz w:val="24"/>
          <w:lang w:eastAsia="zh-Hans"/>
        </w:rPr>
        <w:t>，2021）；多数马克思主义学者认为，美元化是美元国际货币权力扩张的主要途径，美国通过财政赤字货币化等经济政策，加剧了美元化国家的困境（任传普、程恩富，2021；巩潇然、赵敏，2021；孙立冰，2021）。</w:t>
      </w:r>
    </w:p>
    <w:p w14:paraId="0D5F69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其实，在俄乌战争之前，由于次贷危机的发生，“去美元化”已成为全球热点。一般认为，由于美元化会削弱或消除一国货币政策以及汇率政策有效性，带来金融不稳定，导致金融风险增加，金融危机发生的概率上升，因此条件允许的经济体应尽快实现去美元化（</w:t>
      </w:r>
      <w:r>
        <w:rPr>
          <w:rFonts w:hint="eastAsia"/>
          <w:sz w:val="24"/>
          <w:lang w:eastAsia="zh-CN"/>
        </w:rPr>
        <w:t>Kokenyne，2010</w:t>
      </w:r>
      <w:r>
        <w:rPr>
          <w:rFonts w:hint="eastAsia"/>
          <w:sz w:val="24"/>
          <w:lang w:eastAsia="zh-Hans"/>
        </w:rPr>
        <w:t>）；对亚洲区域的研究发现，人民币是影响亚洲汇率波动的重要因素，其将成为国际货币体系多元化的重要一极，因此成为去美元化后可选国际储备之一（</w:t>
      </w:r>
      <w:r>
        <w:rPr>
          <w:rFonts w:hint="eastAsia"/>
          <w:sz w:val="24"/>
          <w:lang w:eastAsia="zh-CN"/>
        </w:rPr>
        <w:t>Fratzscher，2011</w:t>
      </w:r>
      <w:r>
        <w:rPr>
          <w:rFonts w:hint="eastAsia"/>
          <w:sz w:val="24"/>
          <w:lang w:eastAsia="zh-Hans"/>
        </w:rPr>
        <w:t>）；针对新兴经济体的研究表明，当前国际货币体系下美元特权的滥用是金融危机发生的重要原因，因此须尽快实现储备货币多元化（</w:t>
      </w:r>
      <w:r>
        <w:rPr>
          <w:rFonts w:hint="eastAsia"/>
          <w:sz w:val="24"/>
          <w:lang w:eastAsia="zh-CN"/>
        </w:rPr>
        <w:t xml:space="preserve">Fratzscher </w:t>
      </w:r>
      <w:r>
        <w:rPr>
          <w:rFonts w:hint="eastAsia"/>
          <w:sz w:val="24"/>
          <w:lang w:val="en-US" w:eastAsia="zh-Hans"/>
        </w:rPr>
        <w:t>et</w:t>
      </w:r>
      <w:r>
        <w:rPr>
          <w:rFonts w:hint="eastAsia"/>
          <w:sz w:val="24"/>
          <w:lang w:eastAsia="zh-Hans"/>
        </w:rPr>
        <w:t xml:space="preserve"> </w:t>
      </w:r>
      <w:r>
        <w:rPr>
          <w:rFonts w:hint="eastAsia"/>
          <w:sz w:val="24"/>
          <w:lang w:val="en-US" w:eastAsia="zh-Hans"/>
        </w:rPr>
        <w:t>al</w:t>
      </w:r>
      <w:r>
        <w:rPr>
          <w:rFonts w:hint="eastAsia"/>
          <w:sz w:val="24"/>
          <w:lang w:eastAsia="zh-Hans"/>
        </w:rPr>
        <w:t>.</w:t>
      </w:r>
      <w:r>
        <w:rPr>
          <w:rFonts w:hint="eastAsia"/>
          <w:sz w:val="24"/>
          <w:lang w:eastAsia="zh-CN"/>
        </w:rPr>
        <w:t>，2013</w:t>
      </w:r>
      <w:r>
        <w:rPr>
          <w:rFonts w:hint="eastAsia"/>
          <w:sz w:val="24"/>
          <w:lang w:eastAsia="zh-Hans"/>
        </w:rPr>
        <w:t>）。</w:t>
      </w:r>
    </w:p>
    <w:p w14:paraId="5E1171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一些学者聚焦美元化国家去美元化经验。研究表明，已有十几个国家</w:t>
      </w:r>
      <w:r>
        <w:rPr>
          <w:rStyle w:val="20"/>
          <w:rFonts w:hint="eastAsia" w:ascii="宋体" w:hAnsi="宋体" w:eastAsia="宋体" w:cs="宋体"/>
          <w:spacing w:val="11"/>
          <w:sz w:val="24"/>
          <w:szCs w:val="21"/>
          <w:lang w:eastAsia="zh-Hans"/>
        </w:rPr>
        <w:footnoteReference w:id="526"/>
      </w:r>
      <w:r>
        <w:rPr>
          <w:rFonts w:hint="eastAsia"/>
          <w:sz w:val="24"/>
          <w:lang w:eastAsia="zh-Hans"/>
        </w:rPr>
        <w:t>通过放宽汇率浮动区间、提高本外币存款利差以及外汇贷款利率等宏观政策，结合提高外币使用标准和外币存款保险费等微观措施，有效地实现了完全去美元化或部分去美元化（</w:t>
      </w:r>
      <w:r>
        <w:rPr>
          <w:rFonts w:hint="eastAsia"/>
          <w:sz w:val="24"/>
          <w:lang w:eastAsia="zh-CN"/>
        </w:rPr>
        <w:t>Cayazzo，2006；Kokenyne，2010</w:t>
      </w:r>
      <w:r>
        <w:rPr>
          <w:rFonts w:hint="eastAsia"/>
          <w:sz w:val="24"/>
          <w:lang w:eastAsia="zh-Hans"/>
        </w:rPr>
        <w:t>）。东南亚国家</w:t>
      </w:r>
      <w:r>
        <w:rPr>
          <w:rStyle w:val="20"/>
          <w:rFonts w:hint="eastAsia" w:ascii="宋体" w:hAnsi="宋体" w:eastAsia="宋体" w:cs="宋体"/>
          <w:spacing w:val="11"/>
          <w:sz w:val="24"/>
          <w:szCs w:val="21"/>
          <w:lang w:eastAsia="zh-Hans"/>
        </w:rPr>
        <w:footnoteReference w:id="527"/>
      </w:r>
      <w:r>
        <w:rPr>
          <w:rFonts w:hint="eastAsia"/>
          <w:sz w:val="24"/>
          <w:lang w:eastAsia="zh-Hans"/>
        </w:rPr>
        <w:t>正在通过一系列措施提升本币吸引力以降低本国美元的使用率（</w:t>
      </w:r>
      <w:r>
        <w:rPr>
          <w:rFonts w:hint="eastAsia"/>
          <w:sz w:val="24"/>
          <w:lang w:eastAsia="zh-CN"/>
        </w:rPr>
        <w:t>Kubo，2017），</w:t>
      </w:r>
      <w:r>
        <w:rPr>
          <w:rFonts w:hint="eastAsia"/>
          <w:sz w:val="24"/>
          <w:lang w:eastAsia="zh-Hans"/>
        </w:rPr>
        <w:t>尽快实现去美元化。部分</w:t>
      </w:r>
      <w:r>
        <w:rPr>
          <w:rFonts w:hint="eastAsia"/>
          <w:sz w:val="24"/>
          <w:lang w:eastAsia="zh-CN"/>
        </w:rPr>
        <w:t>“一带一路”倡议</w:t>
      </w:r>
      <w:r>
        <w:rPr>
          <w:rFonts w:hint="eastAsia"/>
          <w:sz w:val="24"/>
          <w:lang w:eastAsia="zh-Hans"/>
        </w:rPr>
        <w:t>国家，通过与中国货币合作，逐渐推进各类交易的本币计价，为去美元化打下基础（</w:t>
      </w:r>
      <w:r>
        <w:rPr>
          <w:rFonts w:hint="eastAsia"/>
          <w:sz w:val="24"/>
          <w:lang w:eastAsia="zh-CN"/>
        </w:rPr>
        <w:t>Linn &amp; Zucker，2019</w:t>
      </w:r>
      <w:r>
        <w:rPr>
          <w:rFonts w:hint="eastAsia"/>
          <w:sz w:val="24"/>
          <w:lang w:eastAsia="zh-Hans"/>
        </w:rPr>
        <w:t>）。值得关注的是，美元化对我国影响的研究表明，国际经济往来中的美元化对我国经济和社会福利产生较大负面影响，降低美元化程度能够削弱外部冲击，促进本国实体经济发展，大幅度改善社会福利（王胜、肖泽亮等，2022）。</w:t>
      </w:r>
    </w:p>
    <w:p w14:paraId="5F4333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可见，已有文献关于美元化的研究，主要以案例或实证的方式分析其含义、产生原因、发展过程以及带来的影响，对考察理解美元化问题有重要意义。但是，这些研究主要采用西方经济学方法，难以涉及到美元化的本质，尤其是对美元化形成机制的研究，仅在经济人等极端假设基础上分析，缺乏对社会制度环境转变的考虑，其结论容易背离现实。本文从马克思主义金融化理论入手，分析美元化的本质及其形成机制，对去美元化战略选择具有一定指导意义。</w:t>
      </w:r>
    </w:p>
    <w:p w14:paraId="528AA5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Hans"/>
        </w:rPr>
      </w:pPr>
      <w:bookmarkStart w:id="287" w:name="_Toc573292465_WPSOffice_Level1"/>
      <w:bookmarkStart w:id="288" w:name="_Toc383961824_WPSOffice_Level1"/>
      <w:r>
        <w:rPr>
          <w:rFonts w:hint="eastAsia"/>
          <w:b/>
          <w:bCs/>
          <w:sz w:val="24"/>
          <w:lang w:eastAsia="zh-Hans"/>
        </w:rPr>
        <w:t>二、马克思主义货币国际化理论</w:t>
      </w:r>
      <w:bookmarkEnd w:id="287"/>
      <w:bookmarkEnd w:id="288"/>
    </w:p>
    <w:p w14:paraId="433483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美元化的基础是美元的国际化。马克思认为货币的国际化表现为货币职能的国际化，其本质是货币权力的国际化。而美元化是</w:t>
      </w:r>
      <w:r>
        <w:rPr>
          <w:rFonts w:hint="eastAsia"/>
          <w:sz w:val="24"/>
          <w:lang w:eastAsia="zh-CN"/>
        </w:rPr>
        <w:t>国际货币权力扩张</w:t>
      </w:r>
      <w:r>
        <w:rPr>
          <w:rFonts w:hint="eastAsia"/>
          <w:sz w:val="24"/>
          <w:lang w:eastAsia="zh-Hans"/>
        </w:rPr>
        <w:t>的主要途径。</w:t>
      </w:r>
    </w:p>
    <w:p w14:paraId="1B6190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289" w:name="_Toc761410076_WPSOffice_Level2"/>
      <w:bookmarkStart w:id="290" w:name="_Toc399336327_WPSOffice_Level2"/>
      <w:r>
        <w:rPr>
          <w:rFonts w:hint="eastAsia"/>
          <w:sz w:val="24"/>
          <w:lang w:eastAsia="zh-Hans"/>
        </w:rPr>
        <w:t>（一）货币国际化的本质是货币权力的国际化</w:t>
      </w:r>
      <w:bookmarkEnd w:id="289"/>
      <w:bookmarkEnd w:id="290"/>
    </w:p>
    <w:p w14:paraId="447A52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根据劳动二重性原理，具体劳动生产使用价值，抽象劳动生产价值。而价值是生产中人与人之间的社会关系，本身也是抽象的、无形的。这种抽象的、无形的价值须通过有形载体存在，不同的载体就反映出不同的价值形态。价值的原生形态是使用价值，第二种形态是交换价值（即物物交换），第三种形态是货币（即一般等价物）。价值载体的变换是通过交易完成的：物物交换时，商品中价值以交换对象的使用价值为载体；货币交易时，商品中价值以“一般等价物”的货币为载体。可见，货币是价值的载体。</w:t>
      </w:r>
    </w:p>
    <w:p w14:paraId="32840C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同时，价值包含两层含义，一是劳动创造的价值对他人的作用与意义；二是他人因此而产生的对此劳动的依赖性。这种依赖性形成支配他人劳动的权力，即“他人想要获得此劳动提供的商品和服务，必须要为对方劳动”</w:t>
      </w:r>
      <w:r>
        <w:rPr>
          <w:rStyle w:val="20"/>
          <w:rFonts w:hint="eastAsia" w:ascii="宋体" w:hAnsi="宋体" w:eastAsia="宋体" w:cs="宋体"/>
          <w:color w:val="000000" w:themeColor="text1"/>
          <w:spacing w:val="11"/>
          <w:sz w:val="24"/>
          <w:szCs w:val="21"/>
          <w:lang w:eastAsia="zh-Hans"/>
          <w14:textFill>
            <w14:solidFill>
              <w14:schemeClr w14:val="tx1"/>
            </w14:solidFill>
          </w14:textFill>
        </w:rPr>
        <w:footnoteReference w:id="528"/>
      </w:r>
      <w:r>
        <w:rPr>
          <w:rFonts w:hint="eastAsia"/>
          <w:sz w:val="24"/>
          <w:lang w:eastAsia="zh-Hans"/>
        </w:rPr>
        <w:t>。于是，货币作为价值载体便具有了这种权力。“每个个人行使支配别人的活动或支配社会财富的权力，就在于他是交换价值的或货币的所有者。他在衣袋里装着自己的社会权力和自己同社会的联系”</w:t>
      </w:r>
      <w:r>
        <w:rPr>
          <w:rStyle w:val="20"/>
          <w:rFonts w:hint="eastAsia" w:ascii="宋体" w:hAnsi="宋体" w:eastAsia="宋体" w:cs="宋体"/>
          <w:spacing w:val="11"/>
          <w:sz w:val="24"/>
          <w:szCs w:val="21"/>
          <w:lang w:eastAsia="zh-Hans"/>
        </w:rPr>
        <w:footnoteReference w:id="529"/>
      </w:r>
      <w:r>
        <w:rPr>
          <w:rFonts w:hint="eastAsia"/>
          <w:sz w:val="24"/>
          <w:lang w:eastAsia="zh-Hans"/>
        </w:rPr>
        <w:t>。因此，货币既是人们为他人服务的劳动的社会价值的体现，也是人们拥有的支配社会资源的权力的符号（鲁品越，2018）。但是当前的主权货币（纸币、数字货币等）本身不具有价值和使用价值，不过在主权货币的发行中，国家通过政治力量使其吸收了劳动价值。因此，主权货币是政治力量与经济力量相结合的产物。</w:t>
      </w:r>
    </w:p>
    <w:p w14:paraId="1031AA9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主权货币发展成为世界货币，需具备供给与需求方面的条件。从供给方面来看，该货币价值稳定，被广泛使用，各国劳动者愿意将其作为劳动价值载体；从需求方面来看，限定各种国际交易以该货币进行，从而各国劳动者不得不将其作为劳动价值载体（袁辉，2021）。主权货币一旦成为世界货币，货币权力便扩展到国际层面，成为支配全世界社会资源的价值符号。美元正是这种国际货币：美国基于强大的经济</w:t>
      </w:r>
      <w:r>
        <w:rPr>
          <w:rFonts w:hint="eastAsia"/>
          <w:sz w:val="24"/>
          <w:lang w:eastAsia="zh-CN"/>
        </w:rPr>
        <w:t>和</w:t>
      </w:r>
      <w:r>
        <w:rPr>
          <w:rFonts w:hint="eastAsia"/>
          <w:sz w:val="24"/>
          <w:lang w:eastAsia="zh-Hans"/>
        </w:rPr>
        <w:t>军事实力，通过各种方式要求全球大宗商品交易以美元结算，从而吸收各国人民的劳动价值（鲁品越，2018）。</w:t>
      </w:r>
    </w:p>
    <w:p w14:paraId="210915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291" w:name="_Toc759251014_WPSOffice_Level2"/>
      <w:bookmarkStart w:id="292" w:name="_Toc164094859_WPSOffice_Level2"/>
      <w:r>
        <w:rPr>
          <w:rFonts w:hint="eastAsia"/>
          <w:sz w:val="24"/>
          <w:lang w:eastAsia="zh-Hans"/>
        </w:rPr>
        <w:t>（二）金融化推进国际货币权力扩张</w:t>
      </w:r>
      <w:bookmarkEnd w:id="291"/>
      <w:bookmarkEnd w:id="292"/>
    </w:p>
    <w:p w14:paraId="6E79E3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293" w:name="_Toc399336327_WPSOffice_Level3"/>
      <w:bookmarkStart w:id="294" w:name="_Toc761410076_WPSOffice_Level3"/>
      <w:r>
        <w:rPr>
          <w:rFonts w:hint="eastAsia"/>
          <w:sz w:val="24"/>
          <w:lang w:eastAsia="zh-Hans"/>
        </w:rPr>
        <w:t>1.金融化增强主权货币权力</w:t>
      </w:r>
      <w:bookmarkEnd w:id="293"/>
      <w:bookmarkEnd w:id="294"/>
    </w:p>
    <w:p w14:paraId="060957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马克思主义认为，货币作为价值的载体，反映了人与人之间的社会关系，具有支配他人劳动的权力，而金融化可以增强这种权力。首先，通过货币金融化提升货币支配能力。货币金融化是货币通过金融手段进一步衍生的现象，货币金融化创造出基于货币的衍生金融产品（比如货币期货、货币期权等），扩大了货币的支配范围，增强了其支配能力。</w:t>
      </w:r>
    </w:p>
    <w:p w14:paraId="1742A9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其次，通过商品金融化实现货币权力的衍生。金融化通过将各类商品、资产与货币更紧密联系起来，从而实现货币权力在商品和资产上的延伸。尤其是商品金融化，不仅仅增强了货币对该类商品的支配能力（因为金融化后更便于交易），而且金融化后的商品，除了本身所具有的价值和使用价值之外，也显示出一些货币特征（价值储藏等），因此金融化商品额外获得了主权货币的部分权力（即支配其他劳动的能力），这部分权力并不是主权货币权力的分割，而是金融化后由商品价值转化来的，其本质为在主权货币原始权力基础上的衍生权力。可见，商品的金融化，增强了主权货币的权力。</w:t>
      </w:r>
    </w:p>
    <w:p w14:paraId="7BE82C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295" w:name="_Toc383961824_WPSOffice_Level3"/>
      <w:bookmarkStart w:id="296" w:name="_Toc573292465_WPSOffice_Level3"/>
      <w:r>
        <w:rPr>
          <w:rFonts w:hint="eastAsia"/>
          <w:sz w:val="24"/>
          <w:lang w:eastAsia="zh-Hans"/>
        </w:rPr>
        <w:t>2.</w:t>
      </w:r>
      <w:bookmarkEnd w:id="295"/>
      <w:r>
        <w:rPr>
          <w:rFonts w:hint="eastAsia"/>
          <w:sz w:val="24"/>
          <w:lang w:eastAsia="zh-Hans"/>
        </w:rPr>
        <w:t>金融化促进信用美元的国际化</w:t>
      </w:r>
      <w:bookmarkEnd w:id="296"/>
    </w:p>
    <w:p w14:paraId="58EFB8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从价值锚定的角度来看，美元国际化经历了三个阶段：以黄金为锚的美元国际化，以石油为锚的美元国际化，以新自由主义制度为锚的美元国际化。相应地，二战以来国际货币体系也可以划分为：黄金—美元体系（即布雷顿森林体系）、石油—美元体系（即牙买加体系）和制度—美元体系（即金融化体系）。</w:t>
      </w:r>
    </w:p>
    <w:p w14:paraId="41087C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黄金—美元体系始于布雷顿森林会议，其本质是金汇兑本位制，美元与全球通用的黄金可直接兑换，其他国家主权货币可通过兑换美元而兑换黄金，因此世界各国愿意持有美元作为结算和储备货币，这是当时美元国际化的基础，美元的国际货币权力依赖于黄金的天然货币地位。但是，“特里芬难题”导致美国取消了美元与黄金兑换的承诺，黄金不再是美元国际化的基础。</w:t>
      </w:r>
    </w:p>
    <w:p w14:paraId="5AAAAD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为维持美元的国际货币权力，美国找到了新的价值之锚——各国工业赖以为生的石油，当时美国同意向沙特阿拉伯提供军火和保护，条件是沙特所有的石油交易都要用美元结算，即不可动摇协议</w:t>
      </w:r>
      <w:r>
        <w:rPr>
          <w:rStyle w:val="20"/>
          <w:rFonts w:hint="eastAsia" w:ascii="宋体" w:hAnsi="宋体" w:eastAsia="宋体" w:cs="宋体"/>
          <w:spacing w:val="11"/>
          <w:sz w:val="24"/>
          <w:szCs w:val="21"/>
          <w:lang w:eastAsia="zh-Hans"/>
        </w:rPr>
        <w:footnoteReference w:id="530"/>
      </w:r>
      <w:r>
        <w:rPr>
          <w:rFonts w:hint="eastAsia"/>
          <w:sz w:val="24"/>
          <w:lang w:eastAsia="zh-Hans"/>
        </w:rPr>
        <w:t>。由于沙特是OPEC中最大的产油国和全球最大的石油出口国，其他国家也很快采用美元进行石油交易，石油—美元体系从此确立。在石油等大宗商品被金融化之后，国际金融市场形成了一个以信用美元为核心的计价、结算循环体系，可称之为全球金融化体系或制度—美元体系（鲁春义，2021）。</w:t>
      </w:r>
    </w:p>
    <w:p w14:paraId="4DFF456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制度—美元体系始于华盛顿共识，其本质是在石油等大宗商品金融化的基础上，通过新自由主义制度实现各主权货币依附信用美元的国际货币体系</w:t>
      </w:r>
      <w:r>
        <w:rPr>
          <w:rStyle w:val="20"/>
          <w:rFonts w:hint="eastAsia" w:ascii="宋体" w:hAnsi="宋体" w:eastAsia="宋体" w:cs="宋体"/>
          <w:sz w:val="24"/>
          <w:szCs w:val="21"/>
          <w:lang w:eastAsia="zh-Hans"/>
        </w:rPr>
        <w:footnoteReference w:id="531"/>
      </w:r>
      <w:r>
        <w:rPr>
          <w:rFonts w:hint="eastAsia"/>
          <w:sz w:val="24"/>
          <w:lang w:eastAsia="zh-Hans"/>
        </w:rPr>
        <w:t>。该体系的关键特征是，以美元为锚的各国主权货币都被符号化，于是各主权货币的可替代性增加，导致以流动性作为衡量标准的可替代货币（各种准货币）充斥于发达的金融市场中；同时，各国大量被金融化的商品和资产也被顺利引入国际金融市场，国际金融市场成为主宰全球商品的权力中心，美元是货币权力中心的霸主。当然，美元同时也是主权货币，以其为核心的全球金融化体系本质上从属于美国国家意志。</w:t>
      </w:r>
    </w:p>
    <w:p w14:paraId="3FD50B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297" w:name="_Toc164094859_WPSOffice_Level3"/>
      <w:bookmarkStart w:id="298" w:name="_Toc759251014_WPSOffice_Level3"/>
      <w:r>
        <w:rPr>
          <w:rFonts w:hint="eastAsia"/>
          <w:sz w:val="24"/>
          <w:lang w:eastAsia="zh-Hans"/>
        </w:rPr>
        <w:t>3.金融化提高货币国际化循环速度</w:t>
      </w:r>
      <w:bookmarkEnd w:id="297"/>
      <w:bookmarkEnd w:id="298"/>
    </w:p>
    <w:p w14:paraId="2F2A18A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一国货币国际化之后，成为全球大多数国家在国际交易中使用的货币，具有公共属性，但是其无法摆脱本身为某一国货币的主权属性。因此，国际货币在全球发挥货币职能（价值尺度、流通手段以及储藏手段等）的同时，不得不在国内行使货币职能，于是货币发行国必然采取一系列措施使得国际市场中的货币回流，以满足本国经济运行的需要。这种回流机制，在货币国际化初期，可以通过对外商品贸易或正式协议（如布雷顿森林协议）实现。然而随着资本主义体系的膨胀和扩张，全球交易需要更多国际化货币，为获取巨额铸币税收入，同时应对“特里芬难题”，全球金融化体系应运而生。</w:t>
      </w:r>
    </w:p>
    <w:p w14:paraId="70E9DE8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该体系以金融化和金融自由化为主要内容，金融化是一套放大各类商品金融属性，并将其引入金融市场的经济机制，包括价格形成机制和交易机制。通过商品资产化和资产证券化等方式，使得社会生产、消费等经济活动与金融活动紧密相连，为国际化货币的回流打开通道。这个通道使得流回的货币能够迅速进入本国生产、消费等领域，实现回流货币与国内经济活动的无缝对接，从而将本国货币在全球各地吸收的剩余价值，输送给国内资本，形成本国资本全面受益的局面。全球金融化体系中的自由化金融交易，相对于商品贸易等形式，更便于实现国际货币的主权属性，不仅使回流货币满足本国经济运行需要，而且能有效</w:t>
      </w:r>
      <w:r>
        <w:rPr>
          <w:rFonts w:hint="eastAsia"/>
          <w:sz w:val="24"/>
          <w:lang w:val="en-US" w:eastAsia="zh-Hans"/>
        </w:rPr>
        <w:t>地</w:t>
      </w:r>
      <w:r>
        <w:rPr>
          <w:rFonts w:hint="eastAsia"/>
          <w:sz w:val="24"/>
          <w:lang w:eastAsia="zh-Hans"/>
        </w:rPr>
        <w:t>将国内资本循环与国际资本循环融为一体，通过制度设计实现国内经济政策控制全球经济的局面。</w:t>
      </w:r>
    </w:p>
    <w:p w14:paraId="700160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299" w:name="_Toc573292465_WPSOffice_Level2"/>
      <w:r>
        <w:rPr>
          <w:rFonts w:hint="eastAsia"/>
          <w:sz w:val="24"/>
          <w:lang w:eastAsia="zh-Hans"/>
        </w:rPr>
        <w:t>（三）金融化与全球化共同推进美元化</w:t>
      </w:r>
      <w:bookmarkEnd w:id="299"/>
    </w:p>
    <w:p w14:paraId="7233D3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美元化是美元国际化后的权力深化，是对其他主权货币权力的替代。此时，美元不仅在本国行使主权货币权力，还深入到其他国家内部，对这些国家经济金融产生更大的影响。一国金融化后其货币更容易被美元替代，其资源也更容易被美国控制。基于华盛顿共识形成的全球金融化体系，是典型的美元化时期，此时全球出现了大规模美元化。大量美元活跃在全球各个流通领域，取代一些国家主权货币的部分或全部职能，比如外围国使用美元进行计价、流通、投资、储备或者作为货币锚。</w:t>
      </w:r>
    </w:p>
    <w:p w14:paraId="4522CD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全球金融化体系时期，全球大宗商品中95%是以美元计价，国际贸易结算以及外汇交易中美元份额超过85%，其他国家只能作为价格接受者；布雷顿森林体系解体之后，美元作为全球国际储备曾下降至接近45%，而金融化货币体系时期该比例长期处于60%以上，甚至多年超过70%；而且，国际货币基金组织成员国中接近三分之一的国家直接将美元作为本国货币锚。上述现象表明，全球金融化体系下越来越多的国家用美元替代本国货币行使部分或全部职能。</w:t>
      </w:r>
    </w:p>
    <w:p w14:paraId="5B3053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可见，全球新自由主义金融化体系的建立，巩固并提升了信用美元的国际地位，也促进了主权国家的美元化。该货币体系中的信用美元通过三个层次的金融化实现美元化：第一层是大宗商品金融化，将原货币锚纳入金融体系，更方便了商品的流通、交易与投机；第二层是技术金融化，实现数字资本与金融资本的融合，促进数字金融资本形成，便于更高效的集聚、集中与垄断；第三层是制度金融化，通过推行“三化”改革，将金融化的商品、技术纳入全球金融市场，形成美元的全球环流体系。</w:t>
      </w:r>
    </w:p>
    <w:p w14:paraId="257656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Hans"/>
        </w:rPr>
      </w:pPr>
      <w:bookmarkStart w:id="300" w:name="_Toc58016733_WPSOffice_Level1"/>
      <w:bookmarkStart w:id="301" w:name="_Toc1714818813_WPSOffice_Level1"/>
      <w:r>
        <w:rPr>
          <w:rFonts w:hint="eastAsia"/>
          <w:b/>
          <w:bCs/>
          <w:sz w:val="24"/>
          <w:lang w:eastAsia="zh-Hans"/>
        </w:rPr>
        <w:t>三、商品金融化是全球美元化的基础</w:t>
      </w:r>
      <w:bookmarkEnd w:id="300"/>
      <w:bookmarkEnd w:id="301"/>
    </w:p>
    <w:p w14:paraId="73A54D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商品金融化提升信用美元国际货币地位，吸引更多国家用美元以及美元资产取代本国货币的部分职能，从而实现美元国际货币权力的进一步扩张。</w:t>
      </w:r>
    </w:p>
    <w:p w14:paraId="5D3D8C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02" w:name="_Toc1714818813_WPSOffice_Level2"/>
      <w:bookmarkStart w:id="303" w:name="_Toc383961824_WPSOffice_Level2"/>
      <w:r>
        <w:rPr>
          <w:rFonts w:hint="eastAsia"/>
          <w:sz w:val="24"/>
          <w:lang w:eastAsia="zh-Hans"/>
        </w:rPr>
        <w:t>（一）确立美元的大宗商品定价权</w:t>
      </w:r>
      <w:bookmarkEnd w:id="302"/>
      <w:bookmarkEnd w:id="303"/>
    </w:p>
    <w:p w14:paraId="0C349E3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获取大宗商品定价权是美元国际化的基础，美国通过控制中东地区，实现了对石油交易控制，并以石油美元体系带动整个大宗商品的美元化。掌握大宗商品定价权，就可通过调控大宗商品价格影响美元汇率，从而影响国际贸易；同时掌握大宗商品定价权，可在进口大宗商品时输出美元，促进美元跨境使用，实现各类资产的美元化。此时美元信用货币以大宗商品取代黄金为锚，成为国际通用的交易货币。</w:t>
      </w:r>
    </w:p>
    <w:p w14:paraId="262431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bookmarkStart w:id="304" w:name="_Toc58016733_WPSOffice_Level2"/>
      <w:bookmarkStart w:id="305" w:name="_Toc1729247351_WPSOffice_Level2"/>
      <w:r>
        <w:rPr>
          <w:rFonts w:hint="eastAsia"/>
          <w:sz w:val="24"/>
          <w:lang w:eastAsia="zh-CN"/>
        </w:rPr>
        <w:t>（</w:t>
      </w:r>
      <w:r>
        <w:rPr>
          <w:rFonts w:hint="eastAsia"/>
          <w:sz w:val="24"/>
          <w:lang w:eastAsia="zh-Hans"/>
        </w:rPr>
        <w:t>二</w:t>
      </w:r>
      <w:r>
        <w:rPr>
          <w:rFonts w:hint="eastAsia"/>
          <w:sz w:val="24"/>
          <w:lang w:eastAsia="zh-CN"/>
        </w:rPr>
        <w:t>）</w:t>
      </w:r>
      <w:r>
        <w:rPr>
          <w:rFonts w:hint="eastAsia"/>
          <w:sz w:val="24"/>
          <w:lang w:eastAsia="zh-Hans"/>
        </w:rPr>
        <w:t>以期货定价体系</w:t>
      </w:r>
      <w:bookmarkEnd w:id="304"/>
      <w:r>
        <w:rPr>
          <w:rFonts w:hint="eastAsia"/>
          <w:sz w:val="24"/>
          <w:lang w:eastAsia="zh-Hans"/>
        </w:rPr>
        <w:t>实现大宗商品金融化</w:t>
      </w:r>
      <w:bookmarkEnd w:id="305"/>
    </w:p>
    <w:p w14:paraId="0C97FA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Hans"/>
        </w:rPr>
        <w:t>大宗商品现货定价权确定之后，通过对大宗商品交易的标准化设计，确立了由美元衡量的大宗商品期货定价体系，实现大宗商品的金融化</w:t>
      </w:r>
      <w:r>
        <w:rPr>
          <w:rStyle w:val="20"/>
          <w:rFonts w:hint="eastAsia" w:ascii="宋体" w:hAnsi="宋体" w:eastAsia="宋体" w:cs="宋体"/>
          <w:sz w:val="24"/>
          <w:szCs w:val="21"/>
          <w:lang w:eastAsia="zh-Hans"/>
        </w:rPr>
        <w:footnoteReference w:id="532"/>
      </w:r>
      <w:r>
        <w:rPr>
          <w:rFonts w:hint="eastAsia"/>
          <w:sz w:val="24"/>
          <w:lang w:eastAsia="zh-Hans"/>
        </w:rPr>
        <w:t>。美国通过设立期货交易市场构建商品期货定价体系，这些期货交易市场在维护了美元国际计价货币地位的同时</w:t>
      </w:r>
      <w:r>
        <w:rPr>
          <w:rFonts w:hint="eastAsia"/>
          <w:sz w:val="24"/>
          <w:lang w:eastAsia="zh-CN"/>
        </w:rPr>
        <w:t>，</w:t>
      </w:r>
      <w:r>
        <w:rPr>
          <w:rFonts w:hint="eastAsia"/>
          <w:sz w:val="24"/>
          <w:lang w:eastAsia="zh-Hans"/>
        </w:rPr>
        <w:t>加强了对大宗商品现货市场的控制。除了在本国建立期货交易市场（期货交易所），美国通过欧洲援助计划，要求欧洲也建立以美元计价的期货交易所，最终形成了贵金属定价中心（纽约商品交易），工业金属定价中心（伦敦金属交易所、纽约商业交易所），能源类大宗商品定价中心（纽约商业交易所），农产品定价中心（芝加哥期货交易所、伦敦洲际交易所）等大宗商品定价中心。这些大宗商品定价都以美元为基准，直接决定了其他国家国际交易中对货币的选择。</w:t>
      </w:r>
    </w:p>
    <w:p w14:paraId="66E679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06" w:name="_Toc129655793_WPSOffice_Level2"/>
      <w:bookmarkStart w:id="307" w:name="_Toc1564033406_WPSOffice_Level2"/>
      <w:r>
        <w:rPr>
          <w:rFonts w:hint="eastAsia"/>
          <w:sz w:val="24"/>
          <w:lang w:eastAsia="zh-Hans"/>
        </w:rPr>
        <w:t>（三）大宗商品金融化提高信用美元的储备</w:t>
      </w:r>
      <w:bookmarkEnd w:id="306"/>
      <w:r>
        <w:rPr>
          <w:rFonts w:hint="eastAsia"/>
          <w:sz w:val="24"/>
          <w:lang w:eastAsia="zh-Hans"/>
        </w:rPr>
        <w:t>地位</w:t>
      </w:r>
      <w:bookmarkEnd w:id="307"/>
    </w:p>
    <w:p w14:paraId="5E4D43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商品金融化的过程，不但强化了美元国际贸易结算与计价货币地位，而且促使美元逐渐发展成为主要的国际投资货币。一方面，作为投资工具，美元已成为重要的金融交易产品，美元期货、美元期权等货币衍生品成为国际金融市场上主要的投资避险工具；另一方面，美元由对商品计价发展到对金融资产计价大大促进了国际金融市场发展。与此同时，世界各国为了贸易、结算、投资、避险等，更需要储备一定数量的美元，美元国际储备货币地位得到提升，进一步取代了外围国主权货币的储备职能。</w:t>
      </w:r>
    </w:p>
    <w:p w14:paraId="39B650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Hans"/>
        </w:rPr>
      </w:pPr>
      <w:bookmarkStart w:id="308" w:name="_Toc1729247351_WPSOffice_Level1"/>
      <w:bookmarkStart w:id="309" w:name="_Toc129655793_WPSOffice_Level1"/>
      <w:r>
        <w:rPr>
          <w:rFonts w:hint="eastAsia"/>
          <w:b/>
          <w:bCs/>
          <w:sz w:val="24"/>
          <w:lang w:eastAsia="zh-Hans"/>
        </w:rPr>
        <w:t>四、技术金融化是全球美元化的催化剂</w:t>
      </w:r>
      <w:bookmarkEnd w:id="308"/>
      <w:bookmarkEnd w:id="309"/>
    </w:p>
    <w:p w14:paraId="60F2C0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技术金融化体现在</w:t>
      </w:r>
      <w:r>
        <w:rPr>
          <w:rFonts w:hint="eastAsia"/>
          <w:sz w:val="24"/>
          <w:lang w:val="en-US" w:eastAsia="zh-Hans"/>
        </w:rPr>
        <w:t>四</w:t>
      </w:r>
      <w:r>
        <w:rPr>
          <w:rFonts w:hint="eastAsia"/>
          <w:sz w:val="24"/>
          <w:lang w:eastAsia="zh-Hans"/>
        </w:rPr>
        <w:t>个层面，一是新技术服务于金融资本，成为加速金融资本积累的工具，二是新技术研发依赖于金融资本的投资，三是技术进步带来数字资本的金融化，四是数字资本金融化强化美元国际地位，加速对其他国家货币的替代。</w:t>
      </w:r>
    </w:p>
    <w:p w14:paraId="35100A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10" w:name="_Toc1509615362_WPSOffice_Level2"/>
      <w:bookmarkStart w:id="311" w:name="_Toc1576494893_WPSOffice_Level2"/>
      <w:r>
        <w:rPr>
          <w:rFonts w:hint="eastAsia"/>
          <w:sz w:val="24"/>
          <w:lang w:eastAsia="zh-Hans"/>
        </w:rPr>
        <w:t>（一）科学技术的发展促进经济快速金融化</w:t>
      </w:r>
      <w:bookmarkEnd w:id="310"/>
      <w:bookmarkEnd w:id="311"/>
    </w:p>
    <w:p w14:paraId="4251254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当今世界，随着信息技术、人工智能等新技术的发展，金融与各类技术密切结合起来。信息技术以降低金融交易成本的方式，延长金融服务时间、拓展金融服务空间，助力金融融入经济社会中的方方面面，不仅促进了经济全面金融化，而且促进了社会金融化。</w:t>
      </w:r>
    </w:p>
    <w:p w14:paraId="663FF7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第一</w:t>
      </w:r>
      <w:r>
        <w:rPr>
          <w:rFonts w:hint="eastAsia"/>
          <w:sz w:val="24"/>
          <w:lang w:eastAsia="zh-Hans"/>
        </w:rPr>
        <w:t>，现代通讯技术的发展能够降低信息不对称，缓解企业融资难问题，从而提高金融资源配置效率；信息技术中的网络搜索，通过优化评估效率、便利交易服务等方式降低消费成本，吸引大量消费者进入金融市场；</w:t>
      </w:r>
      <w:r>
        <w:rPr>
          <w:rFonts w:hint="eastAsia"/>
          <w:sz w:val="24"/>
          <w:lang w:val="en-US" w:eastAsia="zh-Hans"/>
        </w:rPr>
        <w:t>第二</w:t>
      </w:r>
      <w:r>
        <w:rPr>
          <w:rFonts w:hint="eastAsia"/>
          <w:sz w:val="24"/>
          <w:lang w:eastAsia="zh-Hans"/>
        </w:rPr>
        <w:t>，以信息科技为基础的金融平台化发展，通过移动互联的方式实现了金融活动的现实场景化，将普通人生活中的融资、投资、支付等金融行为集合一起，并可瞬间完成，实现了金融与个人生活的无缝链接；</w:t>
      </w:r>
      <w:r>
        <w:rPr>
          <w:rFonts w:hint="eastAsia"/>
          <w:sz w:val="24"/>
          <w:lang w:val="en-US" w:eastAsia="zh-Hans"/>
        </w:rPr>
        <w:t>第三</w:t>
      </w:r>
      <w:r>
        <w:rPr>
          <w:rFonts w:hint="eastAsia"/>
          <w:sz w:val="24"/>
          <w:lang w:eastAsia="zh-Hans"/>
        </w:rPr>
        <w:t>，在上述基础上，与金融密切相关的科学技术专门独立出来，形成金融科技产业，其对金融行业的产品设计、业务流程、组织体系以及商业模式等产生持续、全面的影响，大大促进了全社会的金融化进程。</w:t>
      </w:r>
    </w:p>
    <w:p w14:paraId="3077C2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12" w:name="_Toc496429965_WPSOffice_Level2"/>
      <w:bookmarkStart w:id="313" w:name="_Toc1733583476_WPSOffice_Level2"/>
      <w:r>
        <w:rPr>
          <w:rFonts w:hint="eastAsia"/>
          <w:sz w:val="24"/>
          <w:lang w:eastAsia="zh-Hans"/>
        </w:rPr>
        <w:t>（二）技术进步离不开大量金融资本的投资</w:t>
      </w:r>
      <w:bookmarkEnd w:id="312"/>
      <w:bookmarkEnd w:id="313"/>
    </w:p>
    <w:p w14:paraId="6E11C0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伴随着时代的发展，技术创新全过程存在的各个环节都对资本有需求，尤其是信息化产业发展带来的较高的技术创新性和风险性，使其对风险资本有更强对依赖性。一方面，发明创造需要越来越多团队合作以及资金支持，单打独斗的创新概率越来越底，逐渐被市场淘汰；另一方面，由于新技术只有作为资本品为资本家带来利润才能被引入产业进行大规模使用，所以对经济社会产生重要影响的技术进步必然离不开金融资本的投资。这一现象使得资本市场逐渐取代银行资本成为产业创新发展的孵化器。</w:t>
      </w:r>
    </w:p>
    <w:p w14:paraId="060621E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14" w:name="_Toc524453160_WPSOffice_Level2"/>
      <w:bookmarkStart w:id="315" w:name="_Toc1426842283_WPSOffice_Level2"/>
      <w:r>
        <w:rPr>
          <w:rFonts w:hint="eastAsia"/>
          <w:sz w:val="24"/>
          <w:lang w:eastAsia="zh-Hans"/>
        </w:rPr>
        <w:t>（三）技术进步带来数字资本的金融化</w:t>
      </w:r>
      <w:bookmarkEnd w:id="314"/>
      <w:bookmarkEnd w:id="315"/>
    </w:p>
    <w:p w14:paraId="15B911C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马克思主义学者认为，信息技术在金融市场中的广泛应用，是资本主义发展到一定阶段的必然产物，是虚拟资本支配生产的重要表现（刘煜、程恩富，2022）。以信息技术为基础的数字化交易提高了</w:t>
      </w:r>
      <w:r>
        <w:rPr>
          <w:rFonts w:hint="eastAsia"/>
          <w:sz w:val="24"/>
          <w:lang w:eastAsia="zh-CN"/>
        </w:rPr>
        <w:t>全球金融产品的</w:t>
      </w:r>
      <w:r>
        <w:rPr>
          <w:rFonts w:hint="eastAsia"/>
          <w:sz w:val="24"/>
          <w:lang w:eastAsia="zh-Hans"/>
        </w:rPr>
        <w:t>流转</w:t>
      </w:r>
      <w:r>
        <w:rPr>
          <w:rFonts w:hint="eastAsia"/>
          <w:sz w:val="24"/>
          <w:lang w:eastAsia="zh-CN"/>
        </w:rPr>
        <w:t>速度，</w:t>
      </w:r>
      <w:r>
        <w:rPr>
          <w:rFonts w:hint="eastAsia"/>
          <w:sz w:val="24"/>
          <w:lang w:eastAsia="zh-Hans"/>
        </w:rPr>
        <w:t>促使各类金融衍生品层出不穷，导致金融业务越来越复杂，带来新的不确定性。</w:t>
      </w:r>
    </w:p>
    <w:p w14:paraId="5F9D90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第一</w:t>
      </w:r>
      <w:r>
        <w:rPr>
          <w:rFonts w:hint="eastAsia"/>
          <w:sz w:val="24"/>
          <w:lang w:eastAsia="zh-Hans"/>
        </w:rPr>
        <w:t>，大数据、人工智能等数字化革命带来的网络化经济模式，进一步降低生产成本与交易成本，使得每个经济主体被整合到网络化生产与交易的情境中，此时社会资源配置效率更高，社会化程度更高，其对剩余价值的占有程度超过了产业资本和金融资本时代的经济模式，被称为数字资本发展模式。</w:t>
      </w:r>
      <w:r>
        <w:rPr>
          <w:rFonts w:hint="eastAsia"/>
          <w:sz w:val="24"/>
          <w:lang w:val="en-US" w:eastAsia="zh-Hans"/>
        </w:rPr>
        <w:t>第二</w:t>
      </w:r>
      <w:r>
        <w:rPr>
          <w:rFonts w:hint="eastAsia"/>
          <w:sz w:val="24"/>
          <w:lang w:eastAsia="zh-Hans"/>
        </w:rPr>
        <w:t>，数字资本模式中，货币主动参与并主导资本增殖的全过程，在数字技术作用下，以更为虚拟的方式实现资本积累。数字平台的组织模式使得资本主义社会化大生产，呈现出前所未有的灵活性和自由度，克服之前各类资本价值运动的时空障碍，逐渐摆脱了生产过程，实现数字资本虚拟价值在流通中的无限增殖。</w:t>
      </w:r>
      <w:r>
        <w:rPr>
          <w:rFonts w:hint="eastAsia"/>
          <w:sz w:val="24"/>
          <w:lang w:val="en-US" w:eastAsia="zh-Hans"/>
        </w:rPr>
        <w:t>第三</w:t>
      </w:r>
      <w:r>
        <w:rPr>
          <w:rFonts w:hint="eastAsia"/>
          <w:sz w:val="24"/>
          <w:lang w:eastAsia="zh-Hans"/>
        </w:rPr>
        <w:t>，上述数字资本增殖过程是数字资本与金融资本结合对原虚拟资本的再虚拟化，这是数字资本金融化的重要特征，这种再虚拟化使得价值循环进一步脱离实体经济，不需要经过长周期的生产过程，就可实现巨额利润的即时获取。</w:t>
      </w:r>
    </w:p>
    <w:p w14:paraId="2A02C2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16" w:name="_Toc1211372832_WPSOffice_Level2"/>
      <w:bookmarkStart w:id="317" w:name="_Toc2135847979_WPSOffice_Level2"/>
      <w:r>
        <w:rPr>
          <w:rFonts w:hint="eastAsia"/>
          <w:sz w:val="24"/>
          <w:lang w:eastAsia="zh-Hans"/>
        </w:rPr>
        <w:t>（四）数字资本金融化强化美元国际地位</w:t>
      </w:r>
      <w:bookmarkEnd w:id="316"/>
      <w:bookmarkEnd w:id="317"/>
    </w:p>
    <w:p w14:paraId="590230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在产业资本、金融资本时代，美元已成为国际计价、结算和储备货币。信息技术的发展，使得产业资本、金融资本逐渐走向数字化转型，实现技术与金融的密切结合，使得数字资本引领资本主义世界新发展。美元作为资本主义世界的主导货币，得益于数字资本与金融资本融合的发展，其对外影响更加广泛和深入，更容易取代外围国主权货币行使相关货币职能。</w:t>
      </w:r>
    </w:p>
    <w:p w14:paraId="117E69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第一</w:t>
      </w:r>
      <w:r>
        <w:rPr>
          <w:rFonts w:hint="eastAsia"/>
          <w:sz w:val="24"/>
          <w:lang w:eastAsia="zh-Hans"/>
        </w:rPr>
        <w:t>，数字技术促使各类产品和服务数字化，并以数据信息的方式存在，这些数据信息被商品化，成为当前资本主义重要的生产要素。数据信息的商品化是数字资本家获取剩余价值的主要途径，是数字资本增殖的源泉。数字资本与金融资本结合的过程，就是数据信息商品金融化的过程，其金融化过程中借助通达全球的信息渠道必然与美元等国际货币发生联系。</w:t>
      </w:r>
      <w:r>
        <w:rPr>
          <w:rFonts w:hint="eastAsia"/>
          <w:sz w:val="24"/>
          <w:lang w:val="en-US" w:eastAsia="zh-Hans"/>
        </w:rPr>
        <w:t>第二</w:t>
      </w:r>
      <w:r>
        <w:rPr>
          <w:rFonts w:hint="eastAsia"/>
          <w:sz w:val="24"/>
          <w:lang w:eastAsia="zh-Hans"/>
        </w:rPr>
        <w:t>，信息数据商品的金融化，消除了时间与空间障碍，降低了各类要素流动的成本，进一步推动资本的全球化扩张，而且深化了资本在贸易、金融、生产、消费等方面的作用，尤其是提高了这些领域资本的金融化程度，使得美元等国际货币所能衡量和支配的商品种类和数量大增。</w:t>
      </w:r>
      <w:r>
        <w:rPr>
          <w:rFonts w:hint="eastAsia"/>
          <w:sz w:val="24"/>
          <w:lang w:val="en-US" w:eastAsia="zh-Hans"/>
        </w:rPr>
        <w:t>第三</w:t>
      </w:r>
      <w:r>
        <w:rPr>
          <w:rFonts w:hint="eastAsia"/>
          <w:sz w:val="24"/>
          <w:lang w:eastAsia="zh-Hans"/>
        </w:rPr>
        <w:t>，数字资本发展带来的频繁、大规模交易，增加了美元的使用量，进一步巩固美元的结算地位。比如，投资领域出现了基于数字技术的高频交易、量化投资、智能投顾等金融活动，大大增加了美元在金融市场交易的规模和频率；值得指出的是，基于数字技术的数字稳定币等各类数字货币主动与美元挂钩，这就将数字货币的交易叠加到美元上，扩大了美元的计价范围。而计价范围的扩大以及结算地位的上升，又进一步提高美元的储备价值。</w:t>
      </w:r>
    </w:p>
    <w:p w14:paraId="2A2B02A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Hans"/>
        </w:rPr>
      </w:pPr>
      <w:bookmarkStart w:id="318" w:name="_Toc1576494893_WPSOffice_Level1"/>
      <w:bookmarkStart w:id="319" w:name="_Toc1564033406_WPSOffice_Level1"/>
      <w:r>
        <w:rPr>
          <w:rFonts w:hint="eastAsia"/>
          <w:b/>
          <w:bCs/>
          <w:sz w:val="24"/>
          <w:lang w:eastAsia="zh-Hans"/>
        </w:rPr>
        <w:t>五、制度金融化是全球美元化的保障</w:t>
      </w:r>
      <w:bookmarkEnd w:id="318"/>
      <w:bookmarkEnd w:id="319"/>
    </w:p>
    <w:p w14:paraId="6E00ADA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前文分析可知，商品金融化以及技术金融化都提高了美元国际货币权力，增强了美国通过美元化对全世界的控制力，但是其前提是需要一系列有利于上述金融化的制度安排，可称之为制度金融化。基于金融化的制度设计，是实现全球美元化的重要保障。</w:t>
      </w:r>
    </w:p>
    <w:p w14:paraId="192FC5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20" w:name="_Toc2007823448_WPSOffice_Level2"/>
      <w:bookmarkStart w:id="321" w:name="_Toc1398213864_WPSOffice_Level2"/>
      <w:r>
        <w:rPr>
          <w:rFonts w:hint="eastAsia"/>
          <w:sz w:val="24"/>
          <w:lang w:eastAsia="zh-Hans"/>
        </w:rPr>
        <w:t>（一）新自由主义意识形态主导制度金融化</w:t>
      </w:r>
      <w:bookmarkEnd w:id="320"/>
      <w:bookmarkEnd w:id="321"/>
    </w:p>
    <w:p w14:paraId="637EF1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事实上，随着布雷顿森林体系崩溃以及牙买加体系发展，国际货币呈现多元化态势，美元不再是单一的大宗商品结算货币，美元国际地位有所削弱。为此，美国又通过制度金融化的方式保持其主要国际货币的地位，此时便进入了全球金融化体系</w:t>
      </w:r>
      <w:r>
        <w:rPr>
          <w:rStyle w:val="20"/>
          <w:rFonts w:hint="eastAsia" w:ascii="宋体" w:hAnsi="宋体" w:eastAsia="宋体" w:cs="宋体"/>
          <w:spacing w:val="11"/>
          <w:sz w:val="24"/>
          <w:szCs w:val="21"/>
          <w:lang w:eastAsia="zh-Hans"/>
        </w:rPr>
        <w:footnoteReference w:id="533"/>
      </w:r>
      <w:r>
        <w:rPr>
          <w:rFonts w:hint="eastAsia"/>
          <w:sz w:val="24"/>
          <w:lang w:eastAsia="zh-Hans"/>
        </w:rPr>
        <w:t>。所谓制度金融化是指一系列保持金融自由开放的体制机制，新自由主义思潮是制度金融化的基础。新自由主义是金融垄断资本倡导的意识形态，全球金融化体系是维护该意识形态的制度安排。这种制度安排是保障美元国际地位的关键。</w:t>
      </w:r>
    </w:p>
    <w:p w14:paraId="75C6CB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新自由主义始于20世纪70年代中期的世界性滞胀危机中，由美国和英国率先提倡并在全球推广，其核心主张是私有化、自由化、市场化和国际化。全球金融化体系正是以私有制、自由化为基础巩固美元国际地位的（李雪阳、孙立冰，2020）。以弗里德曼为代表的金融化体系设计者，认为一国经济制度的“绝对自由化”“彻底私有化”“全面市场化”是该国经济发展的基础（后简称“三化”机制）。他们指出，一是在国际经济交往中必须自由化，国内外一视同仁，因此需要取消非关税壁垒、减少关税、简化税则；二是实施国有资产的私有化政策，以合资、租赁、贩卖股份、全售产权等方式将国有企业等国有资产全部私有化；三是金融部门全面推行市场化改革，主要包括金融部门国有资产的私有化、利率汇率市场化、提高资本市场开放度、资本账户自由兑换、引入做空机制等。20世纪80年代以来，这种“三化”机制改革在不少发展中国家推行，为美元等主权货币成为吸收全世界劳动价值并支配他国劳动的国际货币扫清障碍，大大提高了美元的国际地位。</w:t>
      </w:r>
    </w:p>
    <w:p w14:paraId="111C01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22" w:name="_Toc2078145225_WPSOffice_Level2"/>
      <w:bookmarkStart w:id="323" w:name="_Toc2014346774_WPSOffice_Level2"/>
      <w:r>
        <w:rPr>
          <w:rFonts w:hint="eastAsia"/>
          <w:sz w:val="24"/>
          <w:lang w:eastAsia="zh-Hans"/>
        </w:rPr>
        <w:t>（二）“三化”机制促进商品金融化</w:t>
      </w:r>
      <w:bookmarkEnd w:id="322"/>
      <w:bookmarkEnd w:id="323"/>
    </w:p>
    <w:p w14:paraId="10D772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20世纪70年代资本主义国家出现的经济滞涨，其实质是资本积累矛盾导致的商品以及资本过剩，剩余价值无法在流通领域实现，为此推行了流通领域的金融化，包括商品金融化以及各类生产性资本的金融化，金融垄断资本迅速主导了全球经济。这里的商品金融化主要是指具有典型金融属性的大宗商品。</w:t>
      </w:r>
    </w:p>
    <w:p w14:paraId="4DB2EF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其一</w:t>
      </w:r>
      <w:r>
        <w:rPr>
          <w:rFonts w:hint="eastAsia"/>
          <w:sz w:val="24"/>
          <w:lang w:eastAsia="zh-Hans"/>
        </w:rPr>
        <w:t>，大宗商品定价由市场化机制决定。商品的价格由本身的价值和市场供求共同决定，价格围绕价值上下变动，未金融化的商品只具有使用价值，其价格波动不大；但是，金融化后的大宗商品，在原有使用价值的基础上衍生出投资价值，此时对其的大部分交易是以投机的方式实现资本增殖，使得原来由现货市场供求关系决定的大宗商品价格，转变为由期货市场的投资关系决定。据此，美国金融资本家根据金融市场交易规则制定了标准化的期货交易机制，使得在现货市场需要几个月甚至一年完成的交易，在期货市场只需几秒钟，大大增加了资本运行速度，提高资本利润率。当然，不管是现货交易还是期货交易，都是美国金融资本家制定的规则，完成资本循环的货币必须是美元。</w:t>
      </w:r>
    </w:p>
    <w:p w14:paraId="539BF5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其二</w:t>
      </w:r>
      <w:r>
        <w:rPr>
          <w:rFonts w:hint="eastAsia"/>
          <w:sz w:val="24"/>
          <w:lang w:eastAsia="zh-Hans"/>
        </w:rPr>
        <w:t>，大宗商品价格国际传导由市场化机制决定。在资本自由流动规则下，大宗商品价格的国际传导由汇率市场化机制决定。汇率市场化机制，取消了各国对本币与美元等国际货币之间兑换比例的控制，增大了国际金融市场中商品期货价格的波动程度，一方面便于金融资本以投机方式实现利润，另一方面使得发达国家金融资本能够随时通过金融市场进入他国获取剩余价值。这就提高了美元国际市场交易的频次，增加了国际市场交易的规模。</w:t>
      </w:r>
    </w:p>
    <w:p w14:paraId="272DAA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24" w:name="_Toc712761767_WPSOffice_Level2"/>
      <w:bookmarkStart w:id="325" w:name="_Toc46535663_WPSOffice_Level2"/>
      <w:r>
        <w:rPr>
          <w:rFonts w:hint="eastAsia"/>
          <w:sz w:val="24"/>
          <w:lang w:eastAsia="zh-Hans"/>
        </w:rPr>
        <w:t>（三）“三化”机制促进技术金融化</w:t>
      </w:r>
      <w:bookmarkEnd w:id="324"/>
      <w:bookmarkEnd w:id="325"/>
    </w:p>
    <w:p w14:paraId="43022B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技术发展过程中，如果资本大规模介入，能给参与创新的劳动者的劳动力再生产予以有效保障，就会吸引更多的劳动进入创新领域，从而提高了技术创新成功的概率。但创新不是资本的最终目的，其最终目的是获取利润。因此，信息化技术创新的成果相当一部分被用于加速资本流通实现利润，尤其是用于金融交易的即时通讯技术，实现了不到1秒钟就能完成一笔金融交易的高效率，大大促进了各类商品以及资本的金融化。当资本金融化后，资本只要在金融领域不断循环，就能不停的获取利润，实现增殖。在“三化”政策之下，通过对技术进行设计包装、估值等方式将其标准化，以路演的方式进行销售，最后成为可在金融市场上自由交易的金融产品。此时技术成为金融资本循环的中介，以风险资本为代表的金融资本并不期待“长远”技术产业化带来的利润，而是通过质押、抵押、股权转让等方式获取即时利润。技术金融化推进了金融领域的全面发展，大大促进了经济金融化进程，扩大了美元等国际货币的可支配领域。</w:t>
      </w:r>
    </w:p>
    <w:p w14:paraId="5190B9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26" w:name="_Toc440840533_WPSOffice_Level2"/>
      <w:bookmarkStart w:id="327" w:name="_Toc723235003_WPSOffice_Level2"/>
      <w:r>
        <w:rPr>
          <w:rFonts w:hint="eastAsia"/>
          <w:sz w:val="24"/>
          <w:lang w:eastAsia="zh-Hans"/>
        </w:rPr>
        <w:t>（四）“三化”机制促进金融全球化</w:t>
      </w:r>
      <w:bookmarkEnd w:id="326"/>
      <w:r>
        <w:rPr>
          <w:rFonts w:hint="eastAsia"/>
          <w:sz w:val="24"/>
          <w:lang w:eastAsia="zh-Hans"/>
        </w:rPr>
        <w:t>与全球美元化</w:t>
      </w:r>
      <w:bookmarkEnd w:id="327"/>
    </w:p>
    <w:p w14:paraId="302418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私有化、自由化、市场化是新自由主义全球化的基础，全球贸易市场、货币市场、资本市场以及人才市场等要素市场的自由开放，是国内不同市场之间、国际不同市场之间相互联通的制度基础。在此基础上，信息技术的应用消除了各市场之间的物理距离障碍，金融资本的空间转移成本大幅度下降，其在全球范围内的活动空间无限扩大，所到之处尽收当地劳动生产带来的利润。于是，全球化的发展使得金融资本的集聚与垄断能够以获取全球范围内生产的剩余价值为目标。因此，全球化促成了美元的全球循环，形成了以信用美元为基础的全球金融化货币体系，该体系通过美元化的方式实现美元霸权。具体来看，国际市场美元循环过程为：</w:t>
      </w:r>
    </w:p>
    <w:p w14:paraId="005F94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美联储发行美元，各国通过本国货币兑换或销售商品等方式获取美元，此时美元行使国际货币职能，并通过这种方式直接支配各国的货币、金融化的商品和技术；各国经济主体获取美元后，通过购买美元资产（主要是债券），使美元流回美国，供美国人民在国际商品市场上购买商品进行消费，此时美元行使主权货币职能；最终形成了美国国内少数货币政策主导者只需印刷美元就可以获得全球商品的局面（如图1所示）。这只是美元霸权的部分表现，作为美国的主权货币，美国可以根据自己的利益随意改变美元的价值，这就是所谓的美联储货币政策。</w:t>
      </w:r>
    </w:p>
    <w:p w14:paraId="016A41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780FCE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CN"/>
        </w:rPr>
        <w:drawing>
          <wp:inline distT="0" distB="0" distL="114300" distR="114300">
            <wp:extent cx="5266055" cy="2047875"/>
            <wp:effectExtent l="0" t="0" r="17145" b="0"/>
            <wp:docPr id="250" name="图片 250" descr="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流程图"/>
                    <pic:cNvPicPr>
                      <a:picLocks noChangeAspect="1"/>
                    </pic:cNvPicPr>
                  </pic:nvPicPr>
                  <pic:blipFill>
                    <a:blip r:embed="rId42"/>
                    <a:stretch>
                      <a:fillRect/>
                    </a:stretch>
                  </pic:blipFill>
                  <pic:spPr>
                    <a:xfrm>
                      <a:off x="0" y="0"/>
                      <a:ext cx="5266055" cy="2047875"/>
                    </a:xfrm>
                    <a:prstGeom prst="rect">
                      <a:avLst/>
                    </a:prstGeom>
                  </pic:spPr>
                </pic:pic>
              </a:graphicData>
            </a:graphic>
          </wp:inline>
        </w:drawing>
      </w:r>
    </w:p>
    <w:p w14:paraId="0C24076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28" w:name="_Toc653253401_WPSOffice_Level2"/>
      <w:bookmarkStart w:id="329" w:name="_Toc388255981_WPSOffice_Level2"/>
      <w:r>
        <w:rPr>
          <w:rFonts w:hint="eastAsia"/>
          <w:sz w:val="24"/>
          <w:lang w:eastAsia="zh-Hans"/>
        </w:rPr>
        <w:t>图1：全球金融化体系下的美元循环过程</w:t>
      </w:r>
      <w:bookmarkEnd w:id="328"/>
      <w:bookmarkEnd w:id="329"/>
    </w:p>
    <w:p w14:paraId="704265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011436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eastAsia="zh-Hans"/>
        </w:rPr>
      </w:pPr>
      <w:bookmarkStart w:id="330" w:name="_Toc1509615362_WPSOffice_Level1"/>
      <w:bookmarkStart w:id="331" w:name="_Toc496429965_WPSOffice_Level1"/>
      <w:r>
        <w:rPr>
          <w:rFonts w:hint="eastAsia"/>
          <w:b/>
          <w:bCs/>
          <w:sz w:val="24"/>
          <w:lang w:eastAsia="zh-Hans"/>
        </w:rPr>
        <w:t>六、美国利益至上货币政策的危害及去美元化措施</w:t>
      </w:r>
      <w:bookmarkEnd w:id="330"/>
      <w:bookmarkEnd w:id="331"/>
    </w:p>
    <w:p w14:paraId="1218C3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32" w:name="_Toc1293507143_WPSOffice_Level2"/>
      <w:bookmarkStart w:id="333" w:name="_Toc1362953081_WPSOffice_Level2"/>
      <w:r>
        <w:rPr>
          <w:rFonts w:hint="eastAsia"/>
          <w:sz w:val="24"/>
          <w:lang w:eastAsia="zh-Hans"/>
        </w:rPr>
        <w:t>（一）以美国利益为核心的美元货币政策调整的影响</w:t>
      </w:r>
      <w:bookmarkEnd w:id="332"/>
      <w:bookmarkEnd w:id="333"/>
    </w:p>
    <w:p w14:paraId="1084C5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在“三化”机制作用下，美联储通过以加息的方式调整货币政策对世界各国经济产生重大影响，比如20世纪80年代的拉美债务危机，1994年和1997年分别发生的墨西哥货币危机和亚洲金融危机，以及2007年发生的美国次贷危机及随后的欧洲债务危机。而且，2015年开始的美元加息引起大量资本流出，导致阿根廷等部分新兴经济体国家出现经济衰退（如表1所示）。</w:t>
      </w:r>
    </w:p>
    <w:p w14:paraId="6DE39E4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美元具有如此大的影响力和破坏力，根本原因就是其以“三化”机制为基础的国际货币地位。当美国以</w:t>
      </w:r>
      <w:r>
        <w:rPr>
          <w:rFonts w:hint="eastAsia"/>
          <w:sz w:val="24"/>
          <w:lang w:val="en-US" w:eastAsia="zh-Hans"/>
        </w:rPr>
        <w:t>降低</w:t>
      </w:r>
      <w:r>
        <w:rPr>
          <w:rFonts w:hint="eastAsia"/>
          <w:sz w:val="24"/>
          <w:lang w:eastAsia="zh-Hans"/>
        </w:rPr>
        <w:t>通货膨胀缓解劳资矛盾为</w:t>
      </w:r>
      <w:r>
        <w:rPr>
          <w:rFonts w:hint="eastAsia"/>
          <w:sz w:val="24"/>
          <w:lang w:val="en-US" w:eastAsia="zh-Hans"/>
        </w:rPr>
        <w:t>由</w:t>
      </w:r>
      <w:r>
        <w:rPr>
          <w:rFonts w:hint="eastAsia"/>
          <w:sz w:val="24"/>
          <w:lang w:eastAsia="zh-Hans"/>
        </w:rPr>
        <w:t>加息时，全球以美元衡量的资产收益率上升，负债</w:t>
      </w:r>
      <w:r>
        <w:rPr>
          <w:rFonts w:hint="eastAsia"/>
          <w:sz w:val="24"/>
          <w:lang w:val="en-US" w:eastAsia="zh-Hans"/>
        </w:rPr>
        <w:t>方面表现为</w:t>
      </w:r>
      <w:r>
        <w:rPr>
          <w:rFonts w:hint="eastAsia"/>
          <w:sz w:val="24"/>
          <w:lang w:eastAsia="zh-Hans"/>
        </w:rPr>
        <w:t>成本上升，于是国际市场中的美元缺乏者减少美元融资或归还美元贷款，美元富余者转变投资方向增加对美元资产（比如美元国债）的购买，这些经济行为都导致美元流回美国，加剧资本集聚和集中，巩固金融资本家垄断地位；在外围国家表现为资本外逃，严重者爆发金融危机，即货币贬值、各类资产暴跌，经济衰退，人民普遍遭受损失。当国内劳资矛盾暂时缓解，金融资本利润率实现，美国开始实施以降息为标志的量化宽松，大量印刷投放美元以满足国际市场对国际货币的需求，此时金融资本家能以极低价格兼并或收购外围国优质资产，频繁投机之后，又会导致外围国出现资产泡沫或负债过多。从历史上看，上述过程是周期往复的，其最终结果是外围国家由劳动创造的价值，逐渐被转移到以美国为中心的少数国家的金融资本家手中。</w:t>
      </w:r>
    </w:p>
    <w:p w14:paraId="4B2AD94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2022年，美联储又开始加息，至12月</w:t>
      </w:r>
      <w:r>
        <w:rPr>
          <w:rFonts w:hint="eastAsia"/>
          <w:sz w:val="24"/>
          <w:lang w:val="en-US" w:eastAsia="zh-Hans"/>
        </w:rPr>
        <w:t>底</w:t>
      </w:r>
      <w:r>
        <w:rPr>
          <w:rFonts w:hint="eastAsia"/>
          <w:sz w:val="24"/>
          <w:lang w:eastAsia="zh-Hans"/>
        </w:rPr>
        <w:t>已加息7次，加息幅度已达4.25%，此次加息背景是新冠疫情和俄乌冲突带来的美国高通货膨胀，但是新兴经济体也存在高通胀、高债务的情况，资本流出形势更加严峻。美</w:t>
      </w:r>
      <w:r>
        <w:rPr>
          <w:rFonts w:hint="eastAsia"/>
          <w:sz w:val="24"/>
          <w:lang w:eastAsia="zh-CN"/>
        </w:rPr>
        <w:t>国</w:t>
      </w:r>
      <w:r>
        <w:rPr>
          <w:rFonts w:hint="eastAsia"/>
          <w:sz w:val="24"/>
          <w:lang w:eastAsia="zh-Hans"/>
        </w:rPr>
        <w:t>只关注美元的主权货币职能，而不顾其应该行使的国际货币职能，高频率、大幅度的加息，将给外围国家带来灾难，同时必将削弱美元的国际货币地位。据统计，</w:t>
      </w:r>
      <w:r>
        <w:rPr>
          <w:rFonts w:hint="eastAsia"/>
          <w:sz w:val="24"/>
          <w:lang w:val="en-US" w:eastAsia="zh-Hans"/>
        </w:rPr>
        <w:t>在美联储加息政策的影响下</w:t>
      </w:r>
      <w:r>
        <w:rPr>
          <w:rFonts w:hint="eastAsia"/>
          <w:sz w:val="24"/>
          <w:lang w:eastAsia="zh-Hans"/>
        </w:rPr>
        <w:t>，</w:t>
      </w:r>
      <w:r>
        <w:rPr>
          <w:rFonts w:hint="eastAsia"/>
          <w:sz w:val="24"/>
          <w:lang w:val="en-US" w:eastAsia="zh-Hans"/>
        </w:rPr>
        <w:t>全球有超过</w:t>
      </w:r>
      <w:r>
        <w:rPr>
          <w:rFonts w:hint="eastAsia"/>
          <w:sz w:val="24"/>
          <w:lang w:eastAsia="zh-Hans"/>
        </w:rPr>
        <w:t>90</w:t>
      </w:r>
      <w:r>
        <w:rPr>
          <w:rFonts w:hint="eastAsia"/>
          <w:sz w:val="24"/>
          <w:lang w:val="en-US" w:eastAsia="zh-Hans"/>
        </w:rPr>
        <w:t>个经济体的金融管理部门实施了加息政策</w:t>
      </w:r>
      <w:r>
        <w:rPr>
          <w:rFonts w:hint="eastAsia"/>
          <w:sz w:val="24"/>
          <w:lang w:eastAsia="zh-Hans"/>
        </w:rPr>
        <w:t>，</w:t>
      </w:r>
      <w:r>
        <w:rPr>
          <w:rFonts w:hint="eastAsia"/>
          <w:sz w:val="24"/>
          <w:lang w:val="en-US" w:eastAsia="zh-Hans"/>
        </w:rPr>
        <w:t>加息总次数超过</w:t>
      </w:r>
      <w:r>
        <w:rPr>
          <w:rFonts w:hint="eastAsia"/>
          <w:sz w:val="24"/>
          <w:lang w:eastAsia="zh-Hans"/>
        </w:rPr>
        <w:t>300</w:t>
      </w:r>
      <w:r>
        <w:rPr>
          <w:rFonts w:hint="eastAsia"/>
          <w:sz w:val="24"/>
          <w:lang w:val="en-US" w:eastAsia="zh-Hans"/>
        </w:rPr>
        <w:t>次</w:t>
      </w:r>
      <w:r>
        <w:rPr>
          <w:rFonts w:hint="eastAsia"/>
          <w:sz w:val="24"/>
          <w:lang w:eastAsia="zh-Hans"/>
        </w:rPr>
        <w:t>，这些大幅度加息导致资金成本上升，是经济衰退的开始，意味着未来很多国家可能出现危机。其中，作为新兴经济体的阿根廷，2022年</w:t>
      </w:r>
      <w:r>
        <w:rPr>
          <w:rFonts w:hint="eastAsia"/>
          <w:sz w:val="24"/>
          <w:lang w:val="en-US" w:eastAsia="zh-Hans"/>
        </w:rPr>
        <w:t>全年加息</w:t>
      </w:r>
      <w:r>
        <w:rPr>
          <w:rFonts w:hint="eastAsia"/>
          <w:sz w:val="24"/>
          <w:lang w:eastAsia="zh-Hans"/>
        </w:rPr>
        <w:t>9次，利率高达75%，居民生活困苦不堪。阿根廷曾经是人均GDP很高的国家，但其从私有化、唯自由化、唯市场化机制改革开始直到现在，还反复处在经济金融危机或社会动乱之中，成为新自由主义市场经济理论在新兴市场国家应用的牺牲品。</w:t>
      </w:r>
    </w:p>
    <w:p w14:paraId="23F311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29E17E7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34" w:name="_Toc2091853465_WPSOffice_Level2"/>
      <w:bookmarkStart w:id="335" w:name="_Toc997593820_WPSOffice_Level2"/>
      <w:r>
        <w:rPr>
          <w:rFonts w:hint="eastAsia"/>
          <w:sz w:val="24"/>
          <w:lang w:eastAsia="zh-Hans"/>
        </w:rPr>
        <w:t>表1:美联储历次加息及其影响</w:t>
      </w:r>
      <w:bookmarkEnd w:id="334"/>
      <w:bookmarkEnd w:id="335"/>
    </w:p>
    <w:tbl>
      <w:tblPr>
        <w:tblStyle w:val="14"/>
        <w:tblW w:w="4829" w:type="pct"/>
        <w:tblInd w:w="2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955"/>
        <w:gridCol w:w="1346"/>
        <w:gridCol w:w="1251"/>
        <w:gridCol w:w="3505"/>
      </w:tblGrid>
      <w:tr w14:paraId="729FDB8E">
        <w:trPr>
          <w:trHeight w:val="285" w:hRule="atLeast"/>
        </w:trPr>
        <w:tc>
          <w:tcPr>
            <w:tcW w:w="1213" w:type="pct"/>
            <w:tcBorders>
              <w:tl2br w:val="nil"/>
              <w:tr2bl w:val="nil"/>
            </w:tcBorders>
            <w:shd w:val="clear" w:color="auto" w:fill="auto"/>
            <w:vAlign w:val="center"/>
          </w:tcPr>
          <w:p w14:paraId="57D2C1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加息时间</w:t>
            </w:r>
          </w:p>
        </w:tc>
        <w:tc>
          <w:tcPr>
            <w:tcW w:w="835" w:type="pct"/>
            <w:tcBorders>
              <w:tl2br w:val="nil"/>
              <w:tr2bl w:val="nil"/>
            </w:tcBorders>
            <w:shd w:val="clear" w:color="auto" w:fill="auto"/>
            <w:vAlign w:val="center"/>
          </w:tcPr>
          <w:p w14:paraId="4980A62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加息周期</w:t>
            </w:r>
          </w:p>
        </w:tc>
        <w:tc>
          <w:tcPr>
            <w:tcW w:w="776" w:type="pct"/>
            <w:tcBorders>
              <w:tl2br w:val="nil"/>
              <w:tr2bl w:val="nil"/>
            </w:tcBorders>
            <w:shd w:val="clear" w:color="auto" w:fill="auto"/>
            <w:vAlign w:val="center"/>
          </w:tcPr>
          <w:p w14:paraId="4EAA084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加息幅度</w:t>
            </w:r>
          </w:p>
        </w:tc>
        <w:tc>
          <w:tcPr>
            <w:tcW w:w="2174" w:type="pct"/>
            <w:tcBorders>
              <w:tl2br w:val="nil"/>
              <w:tr2bl w:val="nil"/>
            </w:tcBorders>
            <w:shd w:val="clear" w:color="auto" w:fill="auto"/>
            <w:vAlign w:val="center"/>
          </w:tcPr>
          <w:p w14:paraId="086333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全球影响</w:t>
            </w:r>
          </w:p>
        </w:tc>
      </w:tr>
      <w:tr w14:paraId="66B8104A">
        <w:trPr>
          <w:trHeight w:val="285" w:hRule="atLeast"/>
        </w:trPr>
        <w:tc>
          <w:tcPr>
            <w:tcW w:w="1213" w:type="pct"/>
            <w:tcBorders>
              <w:tl2br w:val="nil"/>
              <w:tr2bl w:val="nil"/>
            </w:tcBorders>
            <w:shd w:val="clear" w:color="auto" w:fill="auto"/>
            <w:vAlign w:val="center"/>
          </w:tcPr>
          <w:p w14:paraId="79E28D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 xml:space="preserve">1983.03 </w:t>
            </w:r>
            <w:r>
              <w:rPr>
                <w:rFonts w:hint="eastAsia"/>
                <w:sz w:val="24"/>
                <w:lang w:eastAsia="zh-Hans"/>
              </w:rPr>
              <w:t>—</w:t>
            </w:r>
            <w:r>
              <w:rPr>
                <w:rFonts w:hint="eastAsia"/>
                <w:sz w:val="24"/>
                <w:lang w:eastAsia="zh-CN"/>
              </w:rPr>
              <w:t xml:space="preserve"> 1984.08</w:t>
            </w:r>
          </w:p>
        </w:tc>
        <w:tc>
          <w:tcPr>
            <w:tcW w:w="835" w:type="pct"/>
            <w:tcBorders>
              <w:tl2br w:val="nil"/>
              <w:tr2bl w:val="nil"/>
            </w:tcBorders>
            <w:shd w:val="clear" w:color="auto" w:fill="auto"/>
            <w:vAlign w:val="center"/>
          </w:tcPr>
          <w:p w14:paraId="5615AB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18 个月</w:t>
            </w:r>
          </w:p>
        </w:tc>
        <w:tc>
          <w:tcPr>
            <w:tcW w:w="776" w:type="pct"/>
            <w:tcBorders>
              <w:tl2br w:val="nil"/>
              <w:tr2bl w:val="nil"/>
            </w:tcBorders>
            <w:shd w:val="clear" w:color="auto" w:fill="auto"/>
            <w:vAlign w:val="center"/>
          </w:tcPr>
          <w:p w14:paraId="27891D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3%</w:t>
            </w:r>
          </w:p>
        </w:tc>
        <w:tc>
          <w:tcPr>
            <w:tcW w:w="2174" w:type="pct"/>
            <w:vMerge w:val="restart"/>
            <w:tcBorders>
              <w:tl2br w:val="nil"/>
              <w:tr2bl w:val="nil"/>
            </w:tcBorders>
            <w:shd w:val="clear" w:color="auto" w:fill="auto"/>
            <w:vAlign w:val="center"/>
          </w:tcPr>
          <w:p w14:paraId="70BC04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拉美债务危机</w:t>
            </w:r>
          </w:p>
        </w:tc>
      </w:tr>
      <w:tr w14:paraId="3EB036DA">
        <w:trPr>
          <w:trHeight w:val="285" w:hRule="atLeast"/>
        </w:trPr>
        <w:tc>
          <w:tcPr>
            <w:tcW w:w="1213" w:type="pct"/>
            <w:tcBorders>
              <w:tl2br w:val="nil"/>
              <w:tr2bl w:val="nil"/>
            </w:tcBorders>
            <w:shd w:val="clear" w:color="auto" w:fill="auto"/>
            <w:vAlign w:val="center"/>
          </w:tcPr>
          <w:p w14:paraId="48BB75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 xml:space="preserve">1987.01 </w:t>
            </w:r>
            <w:r>
              <w:rPr>
                <w:rFonts w:hint="eastAsia"/>
                <w:sz w:val="24"/>
                <w:lang w:eastAsia="zh-Hans"/>
              </w:rPr>
              <w:t>—</w:t>
            </w:r>
            <w:r>
              <w:rPr>
                <w:rFonts w:hint="eastAsia"/>
                <w:sz w:val="24"/>
                <w:lang w:eastAsia="zh-CN"/>
              </w:rPr>
              <w:t xml:space="preserve"> 1989.05</w:t>
            </w:r>
          </w:p>
        </w:tc>
        <w:tc>
          <w:tcPr>
            <w:tcW w:w="835" w:type="pct"/>
            <w:tcBorders>
              <w:tl2br w:val="nil"/>
              <w:tr2bl w:val="nil"/>
            </w:tcBorders>
            <w:shd w:val="clear" w:color="auto" w:fill="auto"/>
            <w:vAlign w:val="center"/>
          </w:tcPr>
          <w:p w14:paraId="3DA764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29 个月</w:t>
            </w:r>
          </w:p>
        </w:tc>
        <w:tc>
          <w:tcPr>
            <w:tcW w:w="776" w:type="pct"/>
            <w:tcBorders>
              <w:tl2br w:val="nil"/>
              <w:tr2bl w:val="nil"/>
            </w:tcBorders>
            <w:shd w:val="clear" w:color="auto" w:fill="auto"/>
            <w:vAlign w:val="center"/>
          </w:tcPr>
          <w:p w14:paraId="3134FC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3.94%</w:t>
            </w:r>
          </w:p>
        </w:tc>
        <w:tc>
          <w:tcPr>
            <w:tcW w:w="2174" w:type="pct"/>
            <w:vMerge w:val="continue"/>
            <w:tcBorders>
              <w:tl2br w:val="nil"/>
              <w:tr2bl w:val="nil"/>
            </w:tcBorders>
            <w:shd w:val="clear" w:color="auto" w:fill="auto"/>
            <w:vAlign w:val="center"/>
          </w:tcPr>
          <w:p w14:paraId="46CB51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tc>
      </w:tr>
      <w:tr w14:paraId="7825C090">
        <w:trPr>
          <w:trHeight w:val="285" w:hRule="atLeast"/>
        </w:trPr>
        <w:tc>
          <w:tcPr>
            <w:tcW w:w="1213" w:type="pct"/>
            <w:tcBorders>
              <w:tl2br w:val="nil"/>
              <w:tr2bl w:val="nil"/>
            </w:tcBorders>
            <w:shd w:val="clear" w:color="auto" w:fill="auto"/>
            <w:vAlign w:val="center"/>
          </w:tcPr>
          <w:p w14:paraId="526A35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 xml:space="preserve">1994.02 </w:t>
            </w:r>
            <w:r>
              <w:rPr>
                <w:rFonts w:hint="eastAsia"/>
                <w:sz w:val="24"/>
                <w:lang w:eastAsia="zh-Hans"/>
              </w:rPr>
              <w:t>—</w:t>
            </w:r>
            <w:r>
              <w:rPr>
                <w:rFonts w:hint="eastAsia"/>
                <w:sz w:val="24"/>
                <w:lang w:eastAsia="zh-CN"/>
              </w:rPr>
              <w:t xml:space="preserve"> 1995.02</w:t>
            </w:r>
          </w:p>
        </w:tc>
        <w:tc>
          <w:tcPr>
            <w:tcW w:w="835" w:type="pct"/>
            <w:tcBorders>
              <w:tl2br w:val="nil"/>
              <w:tr2bl w:val="nil"/>
            </w:tcBorders>
            <w:shd w:val="clear" w:color="auto" w:fill="auto"/>
            <w:vAlign w:val="center"/>
          </w:tcPr>
          <w:p w14:paraId="393D75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13 个月</w:t>
            </w:r>
          </w:p>
        </w:tc>
        <w:tc>
          <w:tcPr>
            <w:tcW w:w="776" w:type="pct"/>
            <w:tcBorders>
              <w:tl2br w:val="nil"/>
              <w:tr2bl w:val="nil"/>
            </w:tcBorders>
            <w:shd w:val="clear" w:color="auto" w:fill="auto"/>
            <w:vAlign w:val="center"/>
          </w:tcPr>
          <w:p w14:paraId="0C1F9BF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3%</w:t>
            </w:r>
          </w:p>
        </w:tc>
        <w:tc>
          <w:tcPr>
            <w:tcW w:w="2174" w:type="pct"/>
            <w:tcBorders>
              <w:tl2br w:val="nil"/>
              <w:tr2bl w:val="nil"/>
            </w:tcBorders>
            <w:shd w:val="clear" w:color="auto" w:fill="auto"/>
            <w:vAlign w:val="center"/>
          </w:tcPr>
          <w:p w14:paraId="191EAD0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亚洲金融危机</w:t>
            </w:r>
          </w:p>
        </w:tc>
      </w:tr>
      <w:tr w14:paraId="145A45F1">
        <w:trPr>
          <w:trHeight w:val="285" w:hRule="atLeast"/>
        </w:trPr>
        <w:tc>
          <w:tcPr>
            <w:tcW w:w="1213" w:type="pct"/>
            <w:tcBorders>
              <w:tl2br w:val="nil"/>
              <w:tr2bl w:val="nil"/>
            </w:tcBorders>
            <w:shd w:val="clear" w:color="auto" w:fill="auto"/>
            <w:vAlign w:val="center"/>
          </w:tcPr>
          <w:p w14:paraId="49AB2B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 xml:space="preserve">1999.06 </w:t>
            </w:r>
            <w:r>
              <w:rPr>
                <w:rFonts w:hint="eastAsia"/>
                <w:sz w:val="24"/>
                <w:lang w:eastAsia="zh-Hans"/>
              </w:rPr>
              <w:t>—</w:t>
            </w:r>
            <w:r>
              <w:rPr>
                <w:rFonts w:hint="eastAsia"/>
                <w:sz w:val="24"/>
                <w:lang w:eastAsia="zh-CN"/>
              </w:rPr>
              <w:t xml:space="preserve"> 2000.05</w:t>
            </w:r>
          </w:p>
        </w:tc>
        <w:tc>
          <w:tcPr>
            <w:tcW w:w="835" w:type="pct"/>
            <w:tcBorders>
              <w:tl2br w:val="nil"/>
              <w:tr2bl w:val="nil"/>
            </w:tcBorders>
            <w:shd w:val="clear" w:color="auto" w:fill="auto"/>
            <w:vAlign w:val="center"/>
          </w:tcPr>
          <w:p w14:paraId="553EEF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12 个月</w:t>
            </w:r>
          </w:p>
        </w:tc>
        <w:tc>
          <w:tcPr>
            <w:tcW w:w="776" w:type="pct"/>
            <w:tcBorders>
              <w:tl2br w:val="nil"/>
              <w:tr2bl w:val="nil"/>
            </w:tcBorders>
            <w:shd w:val="clear" w:color="auto" w:fill="auto"/>
            <w:vAlign w:val="center"/>
          </w:tcPr>
          <w:p w14:paraId="5C3096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1.75%</w:t>
            </w:r>
          </w:p>
        </w:tc>
        <w:tc>
          <w:tcPr>
            <w:tcW w:w="2174" w:type="pct"/>
            <w:tcBorders>
              <w:tl2br w:val="nil"/>
              <w:tr2bl w:val="nil"/>
            </w:tcBorders>
            <w:shd w:val="clear" w:color="auto" w:fill="auto"/>
            <w:vAlign w:val="center"/>
          </w:tcPr>
          <w:p w14:paraId="1CA0B9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互联网泡沫危机</w:t>
            </w:r>
          </w:p>
        </w:tc>
      </w:tr>
      <w:tr w14:paraId="1AC40759">
        <w:trPr>
          <w:trHeight w:val="285" w:hRule="atLeast"/>
        </w:trPr>
        <w:tc>
          <w:tcPr>
            <w:tcW w:w="1213" w:type="pct"/>
            <w:tcBorders>
              <w:tl2br w:val="nil"/>
              <w:tr2bl w:val="nil"/>
            </w:tcBorders>
            <w:shd w:val="clear" w:color="auto" w:fill="auto"/>
            <w:vAlign w:val="center"/>
          </w:tcPr>
          <w:p w14:paraId="5ECD85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 xml:space="preserve">2004.06 </w:t>
            </w:r>
            <w:r>
              <w:rPr>
                <w:rFonts w:hint="eastAsia"/>
                <w:sz w:val="24"/>
                <w:lang w:eastAsia="zh-Hans"/>
              </w:rPr>
              <w:t>—</w:t>
            </w:r>
            <w:r>
              <w:rPr>
                <w:rFonts w:hint="eastAsia"/>
                <w:sz w:val="24"/>
                <w:lang w:eastAsia="zh-CN"/>
              </w:rPr>
              <w:t xml:space="preserve"> 2006.06</w:t>
            </w:r>
          </w:p>
        </w:tc>
        <w:tc>
          <w:tcPr>
            <w:tcW w:w="835" w:type="pct"/>
            <w:tcBorders>
              <w:tl2br w:val="nil"/>
              <w:tr2bl w:val="nil"/>
            </w:tcBorders>
            <w:shd w:val="clear" w:color="auto" w:fill="auto"/>
            <w:vAlign w:val="center"/>
          </w:tcPr>
          <w:p w14:paraId="4C05A0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25 个月</w:t>
            </w:r>
          </w:p>
        </w:tc>
        <w:tc>
          <w:tcPr>
            <w:tcW w:w="776" w:type="pct"/>
            <w:tcBorders>
              <w:tl2br w:val="nil"/>
              <w:tr2bl w:val="nil"/>
            </w:tcBorders>
            <w:shd w:val="clear" w:color="auto" w:fill="auto"/>
            <w:vAlign w:val="center"/>
          </w:tcPr>
          <w:p w14:paraId="26EEFC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4.25%</w:t>
            </w:r>
          </w:p>
        </w:tc>
        <w:tc>
          <w:tcPr>
            <w:tcW w:w="2174" w:type="pct"/>
            <w:tcBorders>
              <w:tl2br w:val="nil"/>
              <w:tr2bl w:val="nil"/>
            </w:tcBorders>
            <w:shd w:val="clear" w:color="auto" w:fill="auto"/>
            <w:vAlign w:val="center"/>
          </w:tcPr>
          <w:p w14:paraId="49499E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美国次贷危机、欧洲债务危机</w:t>
            </w:r>
          </w:p>
        </w:tc>
      </w:tr>
      <w:tr w14:paraId="7E6B184E">
        <w:trPr>
          <w:trHeight w:val="285" w:hRule="atLeast"/>
        </w:trPr>
        <w:tc>
          <w:tcPr>
            <w:tcW w:w="1213" w:type="pct"/>
            <w:tcBorders>
              <w:tl2br w:val="nil"/>
              <w:tr2bl w:val="nil"/>
            </w:tcBorders>
            <w:shd w:val="clear" w:color="auto" w:fill="auto"/>
            <w:vAlign w:val="center"/>
          </w:tcPr>
          <w:p w14:paraId="702745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 xml:space="preserve">2015.12 </w:t>
            </w:r>
            <w:r>
              <w:rPr>
                <w:rFonts w:hint="eastAsia"/>
                <w:sz w:val="24"/>
                <w:lang w:eastAsia="zh-Hans"/>
              </w:rPr>
              <w:t>—</w:t>
            </w:r>
            <w:r>
              <w:rPr>
                <w:rFonts w:hint="eastAsia"/>
                <w:sz w:val="24"/>
                <w:lang w:eastAsia="zh-CN"/>
              </w:rPr>
              <w:t xml:space="preserve"> 2018.12</w:t>
            </w:r>
          </w:p>
        </w:tc>
        <w:tc>
          <w:tcPr>
            <w:tcW w:w="835" w:type="pct"/>
            <w:tcBorders>
              <w:tl2br w:val="nil"/>
              <w:tr2bl w:val="nil"/>
            </w:tcBorders>
            <w:shd w:val="clear" w:color="auto" w:fill="auto"/>
            <w:vAlign w:val="center"/>
          </w:tcPr>
          <w:p w14:paraId="492E98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37 个月</w:t>
            </w:r>
          </w:p>
        </w:tc>
        <w:tc>
          <w:tcPr>
            <w:tcW w:w="776" w:type="pct"/>
            <w:tcBorders>
              <w:tl2br w:val="nil"/>
              <w:tr2bl w:val="nil"/>
            </w:tcBorders>
            <w:shd w:val="clear" w:color="auto" w:fill="auto"/>
            <w:vAlign w:val="center"/>
          </w:tcPr>
          <w:p w14:paraId="423EDFB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eastAsia="zh-CN"/>
              </w:rPr>
              <w:t>2.25%</w:t>
            </w:r>
          </w:p>
        </w:tc>
        <w:tc>
          <w:tcPr>
            <w:tcW w:w="2174" w:type="pct"/>
            <w:tcBorders>
              <w:tl2br w:val="nil"/>
              <w:tr2bl w:val="nil"/>
            </w:tcBorders>
            <w:shd w:val="clear" w:color="auto" w:fill="auto"/>
            <w:vAlign w:val="center"/>
          </w:tcPr>
          <w:p w14:paraId="1365E1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无限量化宽松</w:t>
            </w:r>
          </w:p>
        </w:tc>
      </w:tr>
      <w:tr w14:paraId="5E43D027">
        <w:trPr>
          <w:trHeight w:val="285" w:hRule="atLeast"/>
        </w:trPr>
        <w:tc>
          <w:tcPr>
            <w:tcW w:w="1213" w:type="pct"/>
            <w:tcBorders>
              <w:tl2br w:val="nil"/>
              <w:tr2bl w:val="nil"/>
            </w:tcBorders>
            <w:shd w:val="clear" w:color="auto" w:fill="auto"/>
            <w:vAlign w:val="center"/>
          </w:tcPr>
          <w:p w14:paraId="05F8B4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2022</w:t>
            </w:r>
            <w:r>
              <w:rPr>
                <w:rFonts w:hint="eastAsia"/>
                <w:sz w:val="24"/>
                <w:lang w:eastAsia="zh-Hans"/>
              </w:rPr>
              <w:t>.</w:t>
            </w:r>
            <w:r>
              <w:rPr>
                <w:rFonts w:hint="eastAsia"/>
                <w:sz w:val="24"/>
                <w:lang w:eastAsia="zh-CN"/>
              </w:rPr>
              <w:t>0</w:t>
            </w:r>
            <w:r>
              <w:rPr>
                <w:rFonts w:hint="eastAsia"/>
                <w:sz w:val="24"/>
                <w:lang w:eastAsia="zh-Hans"/>
              </w:rPr>
              <w:t>3 —</w:t>
            </w:r>
          </w:p>
        </w:tc>
        <w:tc>
          <w:tcPr>
            <w:tcW w:w="835" w:type="pct"/>
            <w:tcBorders>
              <w:tl2br w:val="nil"/>
              <w:tr2bl w:val="nil"/>
            </w:tcBorders>
            <w:shd w:val="clear" w:color="auto" w:fill="auto"/>
            <w:vAlign w:val="center"/>
          </w:tcPr>
          <w:p w14:paraId="04B402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Hans"/>
              </w:rPr>
              <w:t>—</w:t>
            </w:r>
          </w:p>
        </w:tc>
        <w:tc>
          <w:tcPr>
            <w:tcW w:w="776" w:type="pct"/>
            <w:tcBorders>
              <w:tl2br w:val="nil"/>
              <w:tr2bl w:val="nil"/>
            </w:tcBorders>
            <w:shd w:val="clear" w:color="auto" w:fill="auto"/>
            <w:vAlign w:val="center"/>
          </w:tcPr>
          <w:p w14:paraId="66DBBD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Hans"/>
              </w:rPr>
              <w:t>—</w:t>
            </w:r>
          </w:p>
        </w:tc>
        <w:tc>
          <w:tcPr>
            <w:tcW w:w="2174" w:type="pct"/>
            <w:tcBorders>
              <w:tl2br w:val="nil"/>
              <w:tr2bl w:val="nil"/>
            </w:tcBorders>
            <w:shd w:val="clear" w:color="auto" w:fill="auto"/>
            <w:vAlign w:val="center"/>
          </w:tcPr>
          <w:p w14:paraId="0F4225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Hans"/>
              </w:rPr>
              <w:t>全球经济衰退</w:t>
            </w:r>
            <w:r>
              <w:rPr>
                <w:rFonts w:hint="eastAsia"/>
                <w:sz w:val="24"/>
                <w:lang w:eastAsia="zh-Hans"/>
              </w:rPr>
              <w:t>、</w:t>
            </w:r>
            <w:r>
              <w:rPr>
                <w:rFonts w:hint="eastAsia"/>
                <w:sz w:val="24"/>
                <w:lang w:val="en-US" w:eastAsia="zh-Hans"/>
              </w:rPr>
              <w:t>新兴市场国家债务危机</w:t>
            </w:r>
          </w:p>
        </w:tc>
      </w:tr>
    </w:tbl>
    <w:p w14:paraId="4E9BD4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36" w:name="_Toc524453160_WPSOffice_Level1"/>
      <w:r>
        <w:rPr>
          <w:rFonts w:hint="eastAsia"/>
          <w:sz w:val="24"/>
          <w:lang w:eastAsia="zh-Hans"/>
        </w:rPr>
        <w:t>资料来源：美国联邦储备委员会</w:t>
      </w:r>
      <w:bookmarkEnd w:id="336"/>
    </w:p>
    <w:p w14:paraId="39D503A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2BC18A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37" w:name="_Toc1211372832_WPSOffice_Level1"/>
      <w:bookmarkStart w:id="338" w:name="_Toc1154500611_WPSOffice_Level2"/>
      <w:r>
        <w:rPr>
          <w:rFonts w:hint="eastAsia"/>
          <w:sz w:val="24"/>
          <w:lang w:eastAsia="zh-Hans"/>
        </w:rPr>
        <w:t>（二）外围国家去美元化的建议</w:t>
      </w:r>
      <w:bookmarkEnd w:id="337"/>
      <w:bookmarkEnd w:id="338"/>
    </w:p>
    <w:p w14:paraId="377A9F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除了货币政策调整的危害，2022年</w:t>
      </w:r>
      <w:r>
        <w:rPr>
          <w:rFonts w:hint="eastAsia"/>
          <w:sz w:val="24"/>
          <w:lang w:val="en-US" w:eastAsia="zh-Hans"/>
        </w:rPr>
        <w:t>底</w:t>
      </w:r>
      <w:r>
        <w:rPr>
          <w:rFonts w:hint="eastAsia"/>
          <w:sz w:val="24"/>
          <w:lang w:eastAsia="zh-Hans"/>
        </w:rPr>
        <w:t>美国联邦债务已</w:t>
      </w:r>
      <w:r>
        <w:rPr>
          <w:rFonts w:hint="eastAsia"/>
          <w:sz w:val="24"/>
          <w:lang w:val="en-US" w:eastAsia="zh-Hans"/>
        </w:rPr>
        <w:t>接近</w:t>
      </w:r>
      <w:r>
        <w:rPr>
          <w:rFonts w:hint="eastAsia"/>
          <w:sz w:val="24"/>
          <w:lang w:eastAsia="zh-Hans"/>
        </w:rPr>
        <w:t>31.4万亿美元，</w:t>
      </w:r>
      <w:r>
        <w:rPr>
          <w:rFonts w:hint="eastAsia"/>
          <w:sz w:val="24"/>
          <w:lang w:val="en-US" w:eastAsia="zh-Hans"/>
        </w:rPr>
        <w:t>即将到达其债务上限</w:t>
      </w:r>
      <w:r>
        <w:rPr>
          <w:rFonts w:hint="eastAsia"/>
          <w:sz w:val="24"/>
          <w:lang w:eastAsia="zh-Hans"/>
        </w:rPr>
        <w:t>，占GDP比重达122%，而且30多年来，美元购买力水平已经下降超过60%。鉴于此，全球已有40个国家开始了“去美元化”进程，比如有不少国家或地区以区块链技术或者货币互换等方式绕开美元进行交易、结算。但是美元化代表着美国支配世界的权力，因此去美元化不可能是一蹴而就的。我们认为相关国家从以下方面着手，能够有效推动去美元化进程。</w:t>
      </w:r>
    </w:p>
    <w:p w14:paraId="5DE201C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39" w:name="_Toc1326401218_WPSOffice_Level2"/>
      <w:bookmarkStart w:id="340" w:name="_Toc1714818813_WPSOffice_Level3"/>
      <w:r>
        <w:rPr>
          <w:rFonts w:hint="eastAsia"/>
          <w:sz w:val="24"/>
          <w:lang w:eastAsia="zh-Hans"/>
        </w:rPr>
        <w:t>1.推进国际货币多元化发展以降低对美元及其资产的依赖</w:t>
      </w:r>
      <w:bookmarkEnd w:id="339"/>
      <w:bookmarkEnd w:id="340"/>
    </w:p>
    <w:p w14:paraId="1E802B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一是合理配置国际储备，有条件的国家尽可能多</w:t>
      </w:r>
      <w:r>
        <w:rPr>
          <w:rFonts w:hint="eastAsia"/>
          <w:sz w:val="24"/>
          <w:lang w:val="en-US" w:eastAsia="zh-Hans"/>
        </w:rPr>
        <w:t>地</w:t>
      </w:r>
      <w:r>
        <w:rPr>
          <w:rFonts w:hint="eastAsia"/>
          <w:sz w:val="24"/>
          <w:lang w:eastAsia="zh-Hans"/>
        </w:rPr>
        <w:t>储备黄金，改善国际储备结构，削弱美国黄金垄断地位，同时尽快减持过多的美元债券，多元化配置国际资产。二是增持除美元之外的国际货币或较大潜力的新兴经济体货币，从而减少对美元的依赖。三是与关系紧密的贸易伙伴签订常备互换协议，提高本币在贸易和金融中使用比重，以增强本国贸易和金融市场的稳定性。四是积极构建新的货币支付体系，在现有</w:t>
      </w:r>
      <w:r>
        <w:rPr>
          <w:rFonts w:hint="eastAsia"/>
          <w:sz w:val="24"/>
          <w:lang w:eastAsia="zh-CN"/>
        </w:rPr>
        <w:t>欧盟INSTEX、中国CIPS</w:t>
      </w:r>
      <w:r>
        <w:rPr>
          <w:rFonts w:hint="eastAsia"/>
          <w:sz w:val="24"/>
          <w:lang w:eastAsia="zh-Hans"/>
        </w:rPr>
        <w:t>以及</w:t>
      </w:r>
      <w:r>
        <w:rPr>
          <w:rFonts w:hint="eastAsia"/>
          <w:sz w:val="24"/>
          <w:lang w:eastAsia="zh-CN"/>
        </w:rPr>
        <w:t>金砖五国BRICS Pay</w:t>
      </w:r>
      <w:r>
        <w:rPr>
          <w:rFonts w:hint="eastAsia"/>
          <w:sz w:val="24"/>
          <w:lang w:eastAsia="zh-Hans"/>
        </w:rPr>
        <w:t>等支付体系的基础上，联合、改进或新建国际支付体系，形成能与SWIFT竞争的支付体系，以保证支付的独立性和安全性。</w:t>
      </w:r>
    </w:p>
    <w:p w14:paraId="52EB7A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bookmarkStart w:id="341" w:name="_Toc1945015066_WPSOffice_Level2"/>
      <w:bookmarkStart w:id="342" w:name="_Toc1729247351_WPSOffice_Level3"/>
      <w:r>
        <w:rPr>
          <w:rFonts w:hint="eastAsia"/>
          <w:sz w:val="24"/>
          <w:lang w:eastAsia="zh-CN"/>
        </w:rPr>
        <w:t>2</w:t>
      </w:r>
      <w:r>
        <w:rPr>
          <w:rFonts w:hint="eastAsia"/>
          <w:sz w:val="24"/>
          <w:lang w:eastAsia="zh-Hans"/>
        </w:rPr>
        <w:t>.专注发展实体经济以扭转技术金融化趋势</w:t>
      </w:r>
      <w:bookmarkEnd w:id="341"/>
      <w:bookmarkEnd w:id="342"/>
    </w:p>
    <w:p w14:paraId="3F7F481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技术金融化，尤其数字金融资本的形成与发展，是美元未来强化自身国际地位的关键，各国应积极采取措施应对该发展趋势。首先，加强政府监管，减少或约束市场对纯粹金融技术的投资，引导资本从事生产技术的研发；其次，确保本国创新或国外引进的先进技术用来发展制造业等实体经济，防止其成为在金融领域投机的金融工具；最后，规范以数字平台为代表的数字资本的发展，约束数字平台运营中的金融化行为，防止高度垄断且易被美国控制的数字金融资本的形成。</w:t>
      </w:r>
    </w:p>
    <w:p w14:paraId="7293302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bookmarkStart w:id="343" w:name="_Toc872139628_WPSOffice_Level2"/>
      <w:bookmarkStart w:id="344" w:name="_Toc1564033406_WPSOffice_Level3"/>
      <w:r>
        <w:rPr>
          <w:rFonts w:hint="eastAsia"/>
          <w:sz w:val="24"/>
          <w:lang w:eastAsia="zh-CN"/>
        </w:rPr>
        <w:t>3</w:t>
      </w:r>
      <w:r>
        <w:rPr>
          <w:rFonts w:hint="eastAsia"/>
          <w:sz w:val="24"/>
          <w:lang w:eastAsia="zh-Hans"/>
        </w:rPr>
        <w:t>.充分认识到绝对“三化”改革对一国产生的危害</w:t>
      </w:r>
      <w:bookmarkEnd w:id="343"/>
      <w:bookmarkEnd w:id="344"/>
    </w:p>
    <w:p w14:paraId="0EB44D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Hans"/>
        </w:rPr>
        <w:t>全球各国，尤其是新兴市场国家，首先要关注国内经济的过度私有化问题，扩大公有制经济在整个国民经济的比重，才可以有效控制对国外资本的依赖。其次，实施适度对外自由化政策，积极进行产业调整，通过降低外向型产业规模，降低经济对外依存度；实施外汇管制政策，限制国际金融垄断资本的非正常资本流动。最后，关系国家命脉的行业不应完全市场化，应由政府直接管控，作为保持社会稳定的基石。这样就在一定程度上规避了全球金融化体系，减缓了美元货币政策调整带来的冲击。</w:t>
      </w:r>
    </w:p>
    <w:p w14:paraId="3FD5B3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45" w:name="_Toc1177018432_WPSOffice_Level2"/>
      <w:bookmarkStart w:id="346" w:name="_Toc1398213864_WPSOffice_Level1"/>
      <w:r>
        <w:rPr>
          <w:rFonts w:hint="eastAsia"/>
          <w:sz w:val="24"/>
          <w:lang w:eastAsia="zh-CN"/>
        </w:rPr>
        <w:t>（</w:t>
      </w:r>
      <w:r>
        <w:rPr>
          <w:rFonts w:hint="eastAsia"/>
          <w:sz w:val="24"/>
          <w:lang w:eastAsia="zh-Hans"/>
        </w:rPr>
        <w:t>三</w:t>
      </w:r>
      <w:r>
        <w:rPr>
          <w:rFonts w:hint="eastAsia"/>
          <w:sz w:val="24"/>
          <w:lang w:eastAsia="zh-CN"/>
        </w:rPr>
        <w:t>）</w:t>
      </w:r>
      <w:r>
        <w:rPr>
          <w:rFonts w:hint="eastAsia"/>
          <w:sz w:val="24"/>
          <w:lang w:eastAsia="zh-Hans"/>
        </w:rPr>
        <w:t>中国去美元化的启示</w:t>
      </w:r>
      <w:bookmarkEnd w:id="345"/>
      <w:bookmarkEnd w:id="346"/>
    </w:p>
    <w:p w14:paraId="19F583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按照广义的美元化概念，我国也是被美元化的国家（比如持有巨额美元债券等），鉴于当前的地缘政治局势以及美国频繁制裁中国企事业事件，去美元化是我国防范重大金融风险、保障金融安全的战略选择。根据美元化形成机制以及</w:t>
      </w:r>
      <w:r>
        <w:rPr>
          <w:rFonts w:hint="eastAsia"/>
          <w:sz w:val="24"/>
          <w:lang w:eastAsia="zh-CN"/>
        </w:rPr>
        <w:t>去</w:t>
      </w:r>
      <w:r>
        <w:rPr>
          <w:rFonts w:hint="eastAsia"/>
          <w:sz w:val="24"/>
          <w:lang w:eastAsia="zh-Hans"/>
        </w:rPr>
        <w:t>美元化国家的经验，我国去美元化需要关注三个方面：</w:t>
      </w:r>
    </w:p>
    <w:p w14:paraId="606A242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47" w:name="_Toc1474837021_WPSOffice_Level2"/>
      <w:bookmarkStart w:id="348" w:name="_Toc1509615362_WPSOffice_Level3"/>
      <w:r>
        <w:rPr>
          <w:rFonts w:hint="eastAsia"/>
          <w:sz w:val="24"/>
          <w:lang w:eastAsia="zh-Hans"/>
        </w:rPr>
        <w:t>1.国家掌握金融权力是去美元化的根本保证</w:t>
      </w:r>
      <w:bookmarkEnd w:id="347"/>
      <w:bookmarkEnd w:id="348"/>
    </w:p>
    <w:p w14:paraId="66EB3DC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改革开放以来，由于我国外向型经济发展迅速，储备了大量美元外汇，从而不得不放弃部分货币发行权以及资产定价权，此时再将多数金融资产私有化，极易被华尔街为中心的金融资本控制，严重威胁我国国家金融安全。首先，从阿根廷等新兴市场国家的教训中认清新自由主义“三化”改革的本质，将国家经济金融安全放在改革开放中首要考虑的位置。其次，金融是牵一发而动全身的国民经济命脉，金融权力不能掌握在少数人手里，金融改革发展中应确保金融系统中公有制占主体地位，从而保证广大人民群众对金融资产的监督管理。最后，民营金融机构或企业富有一定的创新性和灵活性，是我国金融体系发展的重要力量，因</w:t>
      </w:r>
      <w:r>
        <w:rPr>
          <w:rFonts w:hint="eastAsia"/>
          <w:sz w:val="24"/>
          <w:lang w:eastAsia="zh-CN"/>
        </w:rPr>
        <w:t>而</w:t>
      </w:r>
      <w:r>
        <w:rPr>
          <w:rFonts w:hint="eastAsia"/>
          <w:sz w:val="24"/>
          <w:lang w:eastAsia="zh-Hans"/>
        </w:rPr>
        <w:t>可通过加强引导和有效监管，实现其与国有金融机构的相辅相成、相得益彰，共同成为保障国家金融安全的力量。</w:t>
      </w:r>
    </w:p>
    <w:p w14:paraId="15CB49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49" w:name="_Toc1733583476_WPSOffice_Level3"/>
      <w:bookmarkStart w:id="350" w:name="_Toc1329558273_WPSOffice_Level2"/>
      <w:r>
        <w:rPr>
          <w:rFonts w:hint="eastAsia"/>
          <w:sz w:val="24"/>
          <w:lang w:eastAsia="zh-Hans"/>
        </w:rPr>
        <w:t>2.经济高质量发展是去美元化的坚实基础</w:t>
      </w:r>
      <w:bookmarkEnd w:id="349"/>
      <w:bookmarkEnd w:id="350"/>
    </w:p>
    <w:p w14:paraId="4C573B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去美元化有损美国金融资本家根本利益，只有实现经济高质量发展才能从根本上应对来自美国各方面的压力，实现真正意义上的去美元化。首先，防范国内经济“脱实向虚”。商品、技术等在流通领域的金融化提高了利润率，但是并没有促进本国经济增长，这种脱实向虚的经济低质量发展，便于以华尔街为中心的金融资本的劫掠。其次，提升基础研究能力实现核心技术突破。关键核心技术是经济高质量发展源动力，而人才是实现技术创新根本，长期来看可继续以多种方式支持国内高校和科研院所进行人才培养；短期来看可号召全球顶尖科技华人回国，或者积极招揽全球各国（包括俄罗斯、欧盟，甚至斯里兰卡等）优秀外籍科技人才来华生活</w:t>
      </w:r>
      <w:r>
        <w:rPr>
          <w:rFonts w:hint="eastAsia"/>
          <w:sz w:val="24"/>
          <w:lang w:eastAsia="zh-CN"/>
        </w:rPr>
        <w:t>，</w:t>
      </w:r>
      <w:r>
        <w:rPr>
          <w:rFonts w:hint="eastAsia"/>
          <w:sz w:val="24"/>
          <w:lang w:eastAsia="zh-Hans"/>
        </w:rPr>
        <w:t>从事顶尖科技研发。最后，推动高科技在实体经济中的应用。金融发展与技术创新有相互促进效应，但二者都服务实体经济，才能促进高质量发展</w:t>
      </w:r>
      <w:r>
        <w:rPr>
          <w:rFonts w:hint="eastAsia"/>
          <w:sz w:val="24"/>
          <w:lang w:eastAsia="zh-CN"/>
        </w:rPr>
        <w:t>。</w:t>
      </w:r>
      <w:r>
        <w:rPr>
          <w:rFonts w:hint="eastAsia"/>
          <w:sz w:val="24"/>
          <w:lang w:eastAsia="zh-Hans"/>
        </w:rPr>
        <w:t>比如通过设立产业基金、培养企业管理者等方式，支持以人工智能、大数据、区块链、量子通信等高新技术为基础的智能终端、远程医疗、集成电路、生物医药等实体产业发展，让新产业成为经济高质量发展的增长点。</w:t>
      </w:r>
    </w:p>
    <w:p w14:paraId="127E2FB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51" w:name="_Toc1318547276_WPSOffice_Level2"/>
      <w:bookmarkStart w:id="352" w:name="_Toc1426842283_WPSOffice_Level3"/>
      <w:r>
        <w:rPr>
          <w:rFonts w:hint="eastAsia"/>
          <w:sz w:val="24"/>
          <w:lang w:eastAsia="zh-Hans"/>
        </w:rPr>
        <w:t>3.人民币国际化是去美元化的重要途径</w:t>
      </w:r>
      <w:bookmarkEnd w:id="351"/>
      <w:bookmarkEnd w:id="352"/>
    </w:p>
    <w:p w14:paraId="4734F1B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val="en-US" w:eastAsia="zh-Hans"/>
        </w:rPr>
        <w:t>其一</w:t>
      </w:r>
      <w:r>
        <w:rPr>
          <w:rFonts w:hint="eastAsia"/>
          <w:sz w:val="24"/>
          <w:lang w:eastAsia="zh-Hans"/>
        </w:rPr>
        <w:t>，提高人民币在国际业务计价和结算中的比重。马克思主义货币理论和西方金融理论都指出，主权货币不适合长期充当国际中心货币，因</w:t>
      </w:r>
      <w:r>
        <w:rPr>
          <w:rFonts w:hint="eastAsia"/>
          <w:sz w:val="24"/>
          <w:lang w:eastAsia="zh-CN"/>
        </w:rPr>
        <w:t>而</w:t>
      </w:r>
      <w:r>
        <w:rPr>
          <w:rFonts w:hint="eastAsia"/>
          <w:sz w:val="24"/>
          <w:lang w:eastAsia="zh-Hans"/>
        </w:rPr>
        <w:t>人民币国际化应聚焦于人民币在国际业务中的计价和结算职能（刘伟、程恩富，2020），可通过在“一带一路”等区域推行数字人民币交易，形成数字人民币区域化网络，从而作为构建数字人民币国际结算体系的先行区，然后在其他相关区域推行。</w:t>
      </w:r>
      <w:r>
        <w:rPr>
          <w:rFonts w:hint="eastAsia"/>
          <w:sz w:val="24"/>
          <w:lang w:val="en-US" w:eastAsia="zh-Hans"/>
        </w:rPr>
        <w:t>其二</w:t>
      </w:r>
      <w:r>
        <w:rPr>
          <w:rFonts w:hint="eastAsia"/>
          <w:sz w:val="24"/>
          <w:lang w:eastAsia="zh-Hans"/>
        </w:rPr>
        <w:t>，审慎对待资本账户开放。</w:t>
      </w:r>
      <w:r>
        <w:rPr>
          <w:rStyle w:val="20"/>
          <w:rFonts w:hint="eastAsia" w:ascii="宋体" w:hAnsi="宋体" w:eastAsia="宋体" w:cs="宋体"/>
          <w:color w:val="000000" w:themeColor="text1"/>
          <w:spacing w:val="11"/>
          <w:sz w:val="24"/>
          <w:szCs w:val="21"/>
          <w:lang w:eastAsia="zh-Hans"/>
          <w14:textFill>
            <w14:solidFill>
              <w14:schemeClr w14:val="tx1"/>
            </w14:solidFill>
          </w14:textFill>
        </w:rPr>
        <w:footnoteReference w:id="534"/>
      </w:r>
      <w:r>
        <w:rPr>
          <w:rFonts w:hint="eastAsia"/>
          <w:sz w:val="24"/>
          <w:lang w:eastAsia="zh-Hans"/>
        </w:rPr>
        <w:t>人民币国际化必然涉及到一定程度的资本账户开放，而资本账户开放意味着进入美元主导的全球金融化体系，该过程须实施审慎、渐进的开放政策。在资本账户开放过程中，国际、国内政策调整或经济波动所导致的国际资本频繁进出可能被几倍、几十倍</w:t>
      </w:r>
      <w:r>
        <w:rPr>
          <w:rFonts w:hint="eastAsia"/>
          <w:sz w:val="24"/>
          <w:lang w:val="en-US" w:eastAsia="zh-Hans"/>
        </w:rPr>
        <w:t>地</w:t>
      </w:r>
      <w:r>
        <w:rPr>
          <w:rFonts w:hint="eastAsia"/>
          <w:sz w:val="24"/>
          <w:lang w:eastAsia="zh-Hans"/>
        </w:rPr>
        <w:t>放大，如果其中主要是投机资本，将对一国经济产生重大冲击，因此可适当采取征收托宾税、缴纳无偿准备金等措施限制投机资本流动。</w:t>
      </w:r>
    </w:p>
    <w:p w14:paraId="0E8D65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425B15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p>
    <w:p w14:paraId="1BBB049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bookmarkStart w:id="353" w:name="_Toc2014346774_WPSOffice_Level1"/>
      <w:r>
        <w:rPr>
          <w:rFonts w:hint="eastAsia"/>
          <w:sz w:val="24"/>
          <w:lang w:eastAsia="zh-Hans"/>
        </w:rPr>
        <w:t>参考文献：</w:t>
      </w:r>
      <w:bookmarkEnd w:id="353"/>
    </w:p>
    <w:p w14:paraId="5D4A18A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w:t>
      </w:r>
      <w:r>
        <w:rPr>
          <w:rFonts w:hint="eastAsia"/>
          <w:sz w:val="24"/>
          <w:lang w:val="en-US" w:eastAsia="zh-Hans"/>
        </w:rPr>
        <w:t>.</w:t>
      </w:r>
      <w:r>
        <w:rPr>
          <w:rFonts w:hint="eastAsia"/>
          <w:sz w:val="24"/>
          <w:lang w:eastAsia="zh-Hans"/>
        </w:rPr>
        <w:t>马克思恩格斯文集：第八卷[M].北京：人民出版社，2009:51.</w:t>
      </w:r>
    </w:p>
    <w:p w14:paraId="5A6D5A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w:t>
      </w:r>
      <w:r>
        <w:rPr>
          <w:rFonts w:hint="eastAsia"/>
          <w:sz w:val="24"/>
          <w:lang w:val="en-US" w:eastAsia="zh-Hans"/>
        </w:rPr>
        <w:t>.</w:t>
      </w:r>
      <w:r>
        <w:rPr>
          <w:rFonts w:hint="eastAsia"/>
          <w:sz w:val="24"/>
          <w:lang w:eastAsia="zh-Hans"/>
        </w:rPr>
        <w:t>刘伟,程恩富. 人民币国际化战略选择问题探析——基于马克思货币理论[J]. 上海经济研究,2020,(07):5-14.</w:t>
      </w:r>
    </w:p>
    <w:p w14:paraId="4604BE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w:t>
      </w:r>
      <w:r>
        <w:rPr>
          <w:rFonts w:hint="eastAsia"/>
          <w:sz w:val="24"/>
          <w:lang w:val="en-US" w:eastAsia="zh-Hans"/>
        </w:rPr>
        <w:t>.</w:t>
      </w:r>
      <w:r>
        <w:rPr>
          <w:rFonts w:hint="eastAsia"/>
          <w:sz w:val="24"/>
          <w:lang w:eastAsia="zh-Hans"/>
        </w:rPr>
        <w:t>程恩富,李静. “一带一路”建设海上合作的国际政治经济学分析[J]. 管理学刊,2021,34(01):1-12.</w:t>
      </w:r>
    </w:p>
    <w:p w14:paraId="1DD588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w:t>
      </w:r>
      <w:r>
        <w:rPr>
          <w:rFonts w:hint="eastAsia"/>
          <w:sz w:val="24"/>
          <w:lang w:val="en-US" w:eastAsia="zh-Hans"/>
        </w:rPr>
        <w:t>.</w:t>
      </w:r>
      <w:r>
        <w:rPr>
          <w:rFonts w:hint="eastAsia"/>
          <w:sz w:val="24"/>
          <w:lang w:eastAsia="zh-Hans"/>
        </w:rPr>
        <w:t>任传普,程恩富. 财政赤字货币化与美国金融危机的政治经济学分析[J]. 上海经济研究,2021,(03):5-20.</w:t>
      </w:r>
    </w:p>
    <w:p w14:paraId="251742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5</w:t>
      </w:r>
      <w:r>
        <w:rPr>
          <w:rFonts w:hint="eastAsia"/>
          <w:sz w:val="24"/>
          <w:lang w:val="en-US" w:eastAsia="zh-Hans"/>
        </w:rPr>
        <w:t>.</w:t>
      </w:r>
      <w:r>
        <w:rPr>
          <w:rFonts w:hint="eastAsia"/>
          <w:sz w:val="24"/>
          <w:lang w:eastAsia="zh-Hans"/>
        </w:rPr>
        <w:t>刘煜、程恩富:反对美国网络霸权,捍卫我国网络主权和安全[J]. 政治经济学研究,2022,(01):183-184.</w:t>
      </w:r>
    </w:p>
    <w:p w14:paraId="2200A9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6</w:t>
      </w:r>
      <w:r>
        <w:rPr>
          <w:rFonts w:hint="eastAsia"/>
          <w:sz w:val="24"/>
          <w:lang w:val="en-US" w:eastAsia="zh-Hans"/>
        </w:rPr>
        <w:t>.</w:t>
      </w:r>
      <w:r>
        <w:rPr>
          <w:rFonts w:hint="eastAsia"/>
          <w:sz w:val="24"/>
          <w:lang w:eastAsia="zh-Hans"/>
        </w:rPr>
        <w:t>杨子荣,肖立晟. 美联储历次加息的背景及影响[J]. 中国金融,2022,(11):68-69.</w:t>
      </w:r>
    </w:p>
    <w:p w14:paraId="4AF34A5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7</w:t>
      </w:r>
      <w:r>
        <w:rPr>
          <w:rFonts w:hint="eastAsia"/>
          <w:sz w:val="24"/>
          <w:lang w:val="en-US" w:eastAsia="zh-Hans"/>
        </w:rPr>
        <w:t>.</w:t>
      </w:r>
      <w:r>
        <w:rPr>
          <w:rFonts w:hint="eastAsia"/>
          <w:sz w:val="24"/>
          <w:lang w:eastAsia="zh-Hans"/>
        </w:rPr>
        <w:t>陶士贵,徐琳. 不同货币区域化形式的制度差异——基于美元化与欧元区制度的比较[J]. 改革与战略,2020,36(07):18-26.</w:t>
      </w:r>
    </w:p>
    <w:p w14:paraId="1E993D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8</w:t>
      </w:r>
      <w:r>
        <w:rPr>
          <w:rFonts w:hint="eastAsia"/>
          <w:sz w:val="24"/>
          <w:lang w:val="en-US" w:eastAsia="zh-Hans"/>
        </w:rPr>
        <w:t>.</w:t>
      </w:r>
      <w:r>
        <w:rPr>
          <w:rFonts w:hint="eastAsia"/>
          <w:sz w:val="24"/>
          <w:lang w:eastAsia="zh-Hans"/>
        </w:rPr>
        <w:t>刘方,王仕婷,李杰. 基于DSGE模型的美元化对宏观经济影响分析——以柬埔寨、老挝、越南为例[J]. 财经理论研究,2018,(03):86-98.</w:t>
      </w:r>
    </w:p>
    <w:p w14:paraId="2BEA47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9</w:t>
      </w:r>
      <w:r>
        <w:rPr>
          <w:rFonts w:hint="eastAsia"/>
          <w:sz w:val="24"/>
          <w:lang w:val="en-US" w:eastAsia="zh-Hans"/>
        </w:rPr>
        <w:t>.</w:t>
      </w:r>
      <w:r>
        <w:rPr>
          <w:rFonts w:hint="eastAsia"/>
          <w:sz w:val="24"/>
          <w:lang w:eastAsia="zh-Hans"/>
        </w:rPr>
        <w:t>王胜,肖泽亮,刘卫平,吴郁. 美元化与货币政策溢出效应[J]. 世界经济研究,2022,(06):79-94+136.</w:t>
      </w:r>
    </w:p>
    <w:p w14:paraId="0038D4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10</w:t>
      </w:r>
      <w:r>
        <w:rPr>
          <w:rFonts w:hint="eastAsia"/>
          <w:sz w:val="24"/>
          <w:lang w:val="en-US" w:eastAsia="zh-Hans"/>
        </w:rPr>
        <w:t>.</w:t>
      </w:r>
      <w:r>
        <w:rPr>
          <w:rFonts w:hint="eastAsia"/>
          <w:sz w:val="24"/>
          <w:lang w:eastAsia="zh-Hans"/>
        </w:rPr>
        <w:t>李欢丽,李石凯. 强势美元周期、去美元化浪潮与人民币国际化战略调整[J]. 经济学家,2019,(05):68-75.</w:t>
      </w:r>
    </w:p>
    <w:p w14:paraId="55B1F6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11</w:t>
      </w:r>
      <w:r>
        <w:rPr>
          <w:rFonts w:hint="eastAsia"/>
          <w:sz w:val="24"/>
          <w:lang w:val="en-US" w:eastAsia="zh-Hans"/>
        </w:rPr>
        <w:t>.</w:t>
      </w:r>
      <w:r>
        <w:rPr>
          <w:rFonts w:hint="eastAsia"/>
          <w:sz w:val="24"/>
          <w:lang w:eastAsia="zh-Hans"/>
        </w:rPr>
        <w:t>王炜,秦放鸣,刘琴. 中亚国家“去美元化”与人民币走出去策略研究[J]. 上海经济研究,2018,(02):74-83.</w:t>
      </w:r>
    </w:p>
    <w:p w14:paraId="2B0D45A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12</w:t>
      </w:r>
      <w:r>
        <w:rPr>
          <w:rFonts w:hint="eastAsia"/>
          <w:sz w:val="24"/>
          <w:lang w:val="en-US" w:eastAsia="zh-Hans"/>
        </w:rPr>
        <w:t>.</w:t>
      </w:r>
      <w:r>
        <w:rPr>
          <w:rFonts w:hint="eastAsia"/>
          <w:sz w:val="24"/>
          <w:lang w:eastAsia="zh-Hans"/>
        </w:rPr>
        <w:t>程恩富,夏晖.美元霸权:美国掠夺他国财富的重要手段[J].马克思主义研究,2007(12):28-34.</w:t>
      </w:r>
    </w:p>
    <w:p w14:paraId="0169D1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13</w:t>
      </w:r>
      <w:r>
        <w:rPr>
          <w:rFonts w:hint="eastAsia"/>
          <w:sz w:val="24"/>
          <w:lang w:val="en-US" w:eastAsia="zh-Hans"/>
        </w:rPr>
        <w:t>.</w:t>
      </w:r>
      <w:r>
        <w:rPr>
          <w:rFonts w:hint="eastAsia"/>
          <w:sz w:val="24"/>
          <w:lang w:eastAsia="zh-Hans"/>
        </w:rPr>
        <w:t>袁辉. 现代货币理论的马克思主义批判与超越[J]. 政治经济学研究,2021,(04):58-69.</w:t>
      </w:r>
    </w:p>
    <w:p w14:paraId="29B555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14</w:t>
      </w:r>
      <w:r>
        <w:rPr>
          <w:rFonts w:hint="eastAsia"/>
          <w:sz w:val="24"/>
          <w:lang w:val="en-US" w:eastAsia="zh-Hans"/>
        </w:rPr>
        <w:t>.</w:t>
      </w:r>
      <w:r>
        <w:rPr>
          <w:rFonts w:hint="eastAsia"/>
          <w:sz w:val="24"/>
          <w:lang w:eastAsia="zh-Hans"/>
        </w:rPr>
        <w:t>郑志国. 世界贫富多级分化与资本国际侵蚀[J]. 政治经济学研究,2020,(02):110-123.</w:t>
      </w:r>
    </w:p>
    <w:p w14:paraId="7DC742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15</w:t>
      </w:r>
      <w:r>
        <w:rPr>
          <w:rFonts w:hint="eastAsia"/>
          <w:sz w:val="24"/>
          <w:lang w:val="en-US" w:eastAsia="zh-Hans"/>
        </w:rPr>
        <w:t>.</w:t>
      </w:r>
      <w:r>
        <w:rPr>
          <w:rFonts w:hint="eastAsia"/>
          <w:sz w:val="24"/>
          <w:lang w:eastAsia="zh-Hans"/>
        </w:rPr>
        <w:t>韦伟,方卫东.美元化的定义、形成机制及成本和收益:一个文献综述[J].世界经济文汇,2003(01):66-80.</w:t>
      </w:r>
    </w:p>
    <w:p w14:paraId="77580F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16</w:t>
      </w:r>
      <w:r>
        <w:rPr>
          <w:rFonts w:hint="eastAsia"/>
          <w:sz w:val="24"/>
          <w:lang w:val="en-US" w:eastAsia="zh-Hans"/>
        </w:rPr>
        <w:t>.</w:t>
      </w:r>
      <w:r>
        <w:rPr>
          <w:rFonts w:hint="eastAsia"/>
          <w:sz w:val="24"/>
          <w:lang w:eastAsia="zh-Hans"/>
        </w:rPr>
        <w:t>本刊记者. 货币权力体系的发展与当代历史进程——访上海财经大学资深教授鲁品越[J]. 马克思主义研究,2018,(12):19-28.</w:t>
      </w:r>
    </w:p>
    <w:p w14:paraId="0EFBC3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17</w:t>
      </w:r>
      <w:r>
        <w:rPr>
          <w:rFonts w:hint="eastAsia"/>
          <w:sz w:val="24"/>
          <w:lang w:val="en-US" w:eastAsia="zh-Hans"/>
        </w:rPr>
        <w:t>.</w:t>
      </w:r>
      <w:r>
        <w:rPr>
          <w:rFonts w:hint="eastAsia"/>
          <w:sz w:val="24"/>
          <w:lang w:eastAsia="zh-Hans"/>
        </w:rPr>
        <w:t>巩潇然,赵敏. “一带一路”是不发达国家的债务陷阱吗?——基于政治经济学的分析[J]. 海派经济学,2021,19(03):87-104.</w:t>
      </w:r>
    </w:p>
    <w:p w14:paraId="310F429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18</w:t>
      </w:r>
      <w:r>
        <w:rPr>
          <w:rFonts w:hint="eastAsia"/>
          <w:sz w:val="24"/>
          <w:lang w:val="en-US" w:eastAsia="zh-Hans"/>
        </w:rPr>
        <w:t>.</w:t>
      </w:r>
      <w:r>
        <w:rPr>
          <w:rFonts w:hint="eastAsia"/>
          <w:sz w:val="24"/>
          <w:lang w:eastAsia="zh-Hans"/>
        </w:rPr>
        <w:t>李雪阳,孙立冰. 欧美抗疫实践及困局镜像之中的“新自由主义”魅影[J]. 海派经济学,2020,18(02):171-185.</w:t>
      </w:r>
    </w:p>
    <w:p w14:paraId="3FC4DC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19</w:t>
      </w:r>
      <w:r>
        <w:rPr>
          <w:rFonts w:hint="eastAsia"/>
          <w:sz w:val="24"/>
          <w:lang w:val="en-US" w:eastAsia="zh-Hans"/>
        </w:rPr>
        <w:t>.</w:t>
      </w:r>
      <w:r>
        <w:rPr>
          <w:rFonts w:hint="eastAsia"/>
          <w:sz w:val="24"/>
          <w:lang w:eastAsia="zh-Hans"/>
        </w:rPr>
        <w:t>王炜,秦放鸣,刘琴. 国际货币体系多元化下的中亚国家“去美元化”研究[J]. 金融理论与实践,2019,(06):109-118.</w:t>
      </w:r>
    </w:p>
    <w:p w14:paraId="341522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20</w:t>
      </w:r>
      <w:r>
        <w:rPr>
          <w:rFonts w:hint="eastAsia"/>
          <w:sz w:val="24"/>
          <w:lang w:val="en-US" w:eastAsia="zh-Hans"/>
        </w:rPr>
        <w:t>.</w:t>
      </w:r>
      <w:r>
        <w:rPr>
          <w:rFonts w:hint="eastAsia"/>
          <w:sz w:val="24"/>
          <w:lang w:eastAsia="zh-Hans"/>
        </w:rPr>
        <w:t>王胜,肖泽亮,刘卫平,吴郁. 美元化与货币政策溢出效应[J]. 世界经济研究,2022,(06):79-94+136.</w:t>
      </w:r>
    </w:p>
    <w:p w14:paraId="0D0B05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21</w:t>
      </w:r>
      <w:r>
        <w:rPr>
          <w:rFonts w:hint="eastAsia"/>
          <w:sz w:val="24"/>
          <w:lang w:val="en-US" w:eastAsia="zh-Hans"/>
        </w:rPr>
        <w:t>.</w:t>
      </w:r>
      <w:r>
        <w:rPr>
          <w:rFonts w:hint="eastAsia"/>
          <w:sz w:val="24"/>
          <w:lang w:eastAsia="zh-Hans"/>
        </w:rPr>
        <w:t>何曾,梁晶晶. 货币国际化路径研究——以东盟国家美元化为例[J]. 东南亚纵横,2015,(02):31-36.</w:t>
      </w:r>
    </w:p>
    <w:p w14:paraId="186F6A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22</w:t>
      </w:r>
      <w:r>
        <w:rPr>
          <w:rFonts w:hint="eastAsia"/>
          <w:sz w:val="24"/>
          <w:lang w:val="en-US" w:eastAsia="zh-Hans"/>
        </w:rPr>
        <w:t>.</w:t>
      </w:r>
      <w:r>
        <w:rPr>
          <w:rFonts w:hint="eastAsia"/>
          <w:sz w:val="24"/>
          <w:lang w:eastAsia="zh-Hans"/>
        </w:rPr>
        <w:t>蔡辉明,易纲. 美元化利弊及美国的态度[J]. 国际经济评论,2003,(02):5-10.</w:t>
      </w:r>
    </w:p>
    <w:p w14:paraId="46182D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23</w:t>
      </w:r>
      <w:r>
        <w:rPr>
          <w:rFonts w:hint="eastAsia"/>
          <w:sz w:val="24"/>
          <w:lang w:val="en-US" w:eastAsia="zh-Hans"/>
        </w:rPr>
        <w:t>.</w:t>
      </w:r>
      <w:r>
        <w:rPr>
          <w:rFonts w:hint="eastAsia"/>
          <w:sz w:val="24"/>
          <w:lang w:eastAsia="zh-Hans"/>
        </w:rPr>
        <w:t>韦伟,方卫东. 美元化的定义、形成机制及成本和收益:一个文献综述[J]. 世界经济文汇,2003,(01):66-80.</w:t>
      </w:r>
    </w:p>
    <w:p w14:paraId="28E48AF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24</w:t>
      </w:r>
      <w:r>
        <w:rPr>
          <w:rFonts w:hint="eastAsia"/>
          <w:sz w:val="24"/>
          <w:lang w:val="en-US" w:eastAsia="zh-Hans"/>
        </w:rPr>
        <w:t>.</w:t>
      </w:r>
      <w:r>
        <w:rPr>
          <w:rFonts w:hint="eastAsia"/>
          <w:sz w:val="24"/>
          <w:lang w:eastAsia="zh-Hans"/>
        </w:rPr>
        <w:t>宋卫刚. 美元化问题研究[J]. 财经问题研究,2006,(08):65-70.</w:t>
      </w:r>
    </w:p>
    <w:p w14:paraId="724979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25</w:t>
      </w:r>
      <w:r>
        <w:rPr>
          <w:rFonts w:hint="eastAsia"/>
          <w:sz w:val="24"/>
          <w:lang w:val="en-US" w:eastAsia="zh-Hans"/>
        </w:rPr>
        <w:t>.</w:t>
      </w:r>
      <w:r>
        <w:rPr>
          <w:rFonts w:hint="eastAsia"/>
          <w:sz w:val="24"/>
          <w:lang w:eastAsia="zh-Hans"/>
        </w:rPr>
        <w:t>李扬,黄金老. 美元化问题研究[J]. 金融研究,1999,(09):56-62+81.</w:t>
      </w:r>
    </w:p>
    <w:p w14:paraId="6D26838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26</w:t>
      </w:r>
      <w:r>
        <w:rPr>
          <w:rFonts w:hint="eastAsia"/>
          <w:sz w:val="24"/>
          <w:lang w:val="en-US" w:eastAsia="zh-Hans"/>
        </w:rPr>
        <w:t>.</w:t>
      </w:r>
      <w:r>
        <w:rPr>
          <w:rFonts w:hint="eastAsia"/>
          <w:sz w:val="24"/>
          <w:lang w:eastAsia="zh-Hans"/>
        </w:rPr>
        <w:t>张宇燕. 美元化:现实、理论及政策含义[J]. 世界经济,1999,(09):17-25.</w:t>
      </w:r>
    </w:p>
    <w:p w14:paraId="006D51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Hans"/>
        </w:rPr>
        <w:t>27</w:t>
      </w:r>
      <w:r>
        <w:rPr>
          <w:rFonts w:hint="eastAsia"/>
          <w:sz w:val="24"/>
          <w:lang w:val="en-US" w:eastAsia="zh-Hans"/>
        </w:rPr>
        <w:t>.</w:t>
      </w:r>
      <w:r>
        <w:rPr>
          <w:rFonts w:hint="eastAsia"/>
          <w:sz w:val="24"/>
          <w:lang w:eastAsia="zh-Hans"/>
        </w:rPr>
        <w:t>鲁春义. 经济金融化的理论机制及其实践——基于资本积累理论的视角[J]. 山东社会科学,2021,(08):130-136.</w:t>
      </w:r>
    </w:p>
    <w:p w14:paraId="5A7B545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Hans"/>
        </w:rPr>
        <w:t>28</w:t>
      </w:r>
      <w:r>
        <w:rPr>
          <w:rFonts w:hint="eastAsia"/>
          <w:sz w:val="24"/>
          <w:lang w:val="en-US" w:eastAsia="zh-Hans"/>
        </w:rPr>
        <w:t>.</w:t>
      </w:r>
      <w:r>
        <w:rPr>
          <w:rFonts w:hint="eastAsia"/>
          <w:sz w:val="24"/>
          <w:lang w:eastAsia="zh-CN"/>
        </w:rPr>
        <w:t>程恩富,孙业霞. “三元悖论”与我国资本项目开放的新考量[J]. 辽宁大学学报(哲学社会科学版),2015,43(05):1-7.</w:t>
      </w:r>
    </w:p>
    <w:p w14:paraId="58EA90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29</w:t>
      </w:r>
      <w:r>
        <w:rPr>
          <w:rFonts w:hint="eastAsia"/>
          <w:sz w:val="24"/>
          <w:lang w:val="en-US" w:eastAsia="zh-Hans"/>
        </w:rPr>
        <w:t>.</w:t>
      </w:r>
      <w:r>
        <w:rPr>
          <w:rFonts w:hint="eastAsia"/>
          <w:sz w:val="24"/>
          <w:lang w:eastAsia="zh-CN"/>
        </w:rPr>
        <w:t>鲁春义,丁晓钦. 经济金融化行为的政治经济学分析——一个演化博弈框架[J]. 财经研究,2016,42(07):52-62+74.</w:t>
      </w:r>
    </w:p>
    <w:p w14:paraId="50B77B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30</w:t>
      </w:r>
      <w:r>
        <w:rPr>
          <w:rFonts w:hint="eastAsia"/>
          <w:sz w:val="24"/>
          <w:lang w:val="en-US" w:eastAsia="zh-Hans"/>
        </w:rPr>
        <w:t>.</w:t>
      </w:r>
      <w:r>
        <w:rPr>
          <w:rFonts w:hint="eastAsia"/>
          <w:sz w:val="24"/>
          <w:lang w:eastAsia="zh-Hans"/>
        </w:rPr>
        <w:t>Aasim M. Husain. To Peg or Not to Peg: A Template for Assessing the Nobler[J]. IMF Working Paper, WP/06/54, 2006 (2):13.</w:t>
      </w:r>
    </w:p>
    <w:p w14:paraId="0063E2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31</w:t>
      </w:r>
      <w:r>
        <w:rPr>
          <w:rFonts w:hint="eastAsia"/>
          <w:sz w:val="24"/>
          <w:lang w:val="en-US" w:eastAsia="zh-Hans"/>
        </w:rPr>
        <w:t>.</w:t>
      </w:r>
      <w:r>
        <w:rPr>
          <w:rFonts w:hint="eastAsia"/>
          <w:sz w:val="24"/>
          <w:lang w:eastAsia="zh-Hans"/>
        </w:rPr>
        <w:t>Alina Luca,Iva Petrova.What drives credit dollarization in transition economies?[J].Journal of Banking &amp; Finance.2008,32(5).</w:t>
      </w:r>
    </w:p>
    <w:p w14:paraId="095E9A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32</w:t>
      </w:r>
      <w:r>
        <w:rPr>
          <w:rFonts w:hint="eastAsia"/>
          <w:sz w:val="24"/>
          <w:lang w:val="en-US" w:eastAsia="zh-Hans"/>
        </w:rPr>
        <w:t>.</w:t>
      </w:r>
      <w:r>
        <w:rPr>
          <w:rFonts w:hint="eastAsia"/>
          <w:sz w:val="24"/>
          <w:lang w:eastAsia="zh-Hans"/>
        </w:rPr>
        <w:t>Annamaria Kokenyne, Jeremy Ley, and Romain. Veyrune.Dedollarization[J]. IMF Working Paper,WP/10/188, 2010(8):19.</w:t>
      </w:r>
    </w:p>
    <w:p w14:paraId="5391C75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33</w:t>
      </w:r>
      <w:r>
        <w:rPr>
          <w:rFonts w:hint="eastAsia"/>
          <w:sz w:val="24"/>
          <w:lang w:val="en-US" w:eastAsia="zh-Hans"/>
        </w:rPr>
        <w:t>.</w:t>
      </w:r>
      <w:r>
        <w:rPr>
          <w:rFonts w:hint="eastAsia"/>
          <w:sz w:val="24"/>
          <w:lang w:eastAsia="zh-Hans"/>
        </w:rPr>
        <w:t>Asel Isakova. Financial Sector Development and Dollarization in the Economies of Central Asia[J]. Final Report, 2010(Grant No.RRC IX 69).</w:t>
      </w:r>
    </w:p>
    <w:p w14:paraId="5232AE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34</w:t>
      </w:r>
      <w:r>
        <w:rPr>
          <w:rFonts w:hint="eastAsia"/>
          <w:sz w:val="24"/>
          <w:lang w:val="en-US" w:eastAsia="zh-Hans"/>
        </w:rPr>
        <w:t>.</w:t>
      </w:r>
      <w:r>
        <w:rPr>
          <w:rFonts w:hint="eastAsia"/>
          <w:sz w:val="24"/>
          <w:lang w:eastAsia="zh-Hans"/>
        </w:rPr>
        <w:t>Carmen M. Reinhart &amp; Kenneth S. Rogoff &amp; Miguel A. Savastano, 2014. "Addicted to Dollars," Annals of Economics and Finance, Society for AEF, vol. 15(1):1-50.</w:t>
      </w:r>
    </w:p>
    <w:p w14:paraId="0E6AFB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35</w:t>
      </w:r>
      <w:r>
        <w:rPr>
          <w:rFonts w:hint="eastAsia"/>
          <w:sz w:val="24"/>
          <w:lang w:val="en-US" w:eastAsia="zh-Hans"/>
        </w:rPr>
        <w:t>.</w:t>
      </w:r>
      <w:r>
        <w:rPr>
          <w:rFonts w:hint="eastAsia"/>
          <w:sz w:val="24"/>
          <w:lang w:eastAsia="zh-Hans"/>
        </w:rPr>
        <w:t>Enrique G. Mendoza, Eugenio Rojas. Liability Dollarization, Sudden Stops &amp; Optimal Financial Policy [J]. NBER Working Papers, 2017(10): 2-10.</w:t>
      </w:r>
    </w:p>
    <w:p w14:paraId="445B21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36</w:t>
      </w:r>
      <w:r>
        <w:rPr>
          <w:rFonts w:hint="eastAsia"/>
          <w:sz w:val="24"/>
          <w:lang w:val="en-US" w:eastAsia="zh-Hans"/>
        </w:rPr>
        <w:t>.</w:t>
      </w:r>
      <w:r>
        <w:rPr>
          <w:rFonts w:hint="eastAsia"/>
          <w:sz w:val="24"/>
          <w:lang w:eastAsia="zh-Hans"/>
        </w:rPr>
        <w:t>Fusheng Xie,  Xiaolu Kuang,  Zhi Li. Financialisation of developing and emerging economies and China’s experience: how China resists financialisation. Cambridge Journal of Economics, beac037, https://doi.org/10.1093/cje/beac037. 26 July 2022.</w:t>
      </w:r>
    </w:p>
    <w:p w14:paraId="2C0D88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37</w:t>
      </w:r>
      <w:r>
        <w:rPr>
          <w:rFonts w:hint="eastAsia"/>
          <w:sz w:val="24"/>
          <w:lang w:val="en-US" w:eastAsia="zh-Hans"/>
        </w:rPr>
        <w:t>.</w:t>
      </w:r>
      <w:r>
        <w:rPr>
          <w:rFonts w:hint="eastAsia"/>
          <w:sz w:val="24"/>
          <w:lang w:eastAsia="zh-Hans"/>
        </w:rPr>
        <w:t xml:space="preserve">Izurieta, A. Dollarization as a Tight Rein on the Fiscal Stance. In Dollarization. Lessons from Europe and the Americas, edited by L. P. Rochon and M. Seccareccia. London: Routledge.2003. </w:t>
      </w:r>
    </w:p>
    <w:p w14:paraId="663BD70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38</w:t>
      </w:r>
      <w:r>
        <w:rPr>
          <w:rFonts w:hint="eastAsia"/>
          <w:sz w:val="24"/>
          <w:lang w:val="en-US" w:eastAsia="zh-Hans"/>
        </w:rPr>
        <w:t>.</w:t>
      </w:r>
      <w:r>
        <w:rPr>
          <w:rFonts w:hint="eastAsia"/>
          <w:sz w:val="24"/>
          <w:lang w:eastAsia="zh-Hans"/>
        </w:rPr>
        <w:t>Johannes F. Linn, Leo Zucker. An“Insideout”Perspective on the Impact of the Belt and Road Initiative in Central Asia and the South Caucasus: How to Maximize its Benefits and Manage its Risks[J]. 2019 Eurasia Meeting Emerging Markets Forum Background Paper, 2019: 10-14.</w:t>
      </w:r>
    </w:p>
    <w:p w14:paraId="1F78CB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39</w:t>
      </w:r>
      <w:r>
        <w:rPr>
          <w:rFonts w:hint="eastAsia"/>
          <w:sz w:val="24"/>
          <w:lang w:val="en-US" w:eastAsia="zh-Hans"/>
        </w:rPr>
        <w:t>.</w:t>
      </w:r>
      <w:r>
        <w:rPr>
          <w:rFonts w:hint="eastAsia"/>
          <w:sz w:val="24"/>
          <w:lang w:eastAsia="zh-Hans"/>
        </w:rPr>
        <w:t>Koji Kubo. Dollarization and De- dollarization in Transitional Economies of Southeast Asia[M]. Palgrave Macmillan. 2017.</w:t>
      </w:r>
    </w:p>
    <w:p w14:paraId="7E6E95E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40</w:t>
      </w:r>
      <w:r>
        <w:rPr>
          <w:rFonts w:hint="eastAsia"/>
          <w:sz w:val="24"/>
          <w:lang w:val="en-US" w:eastAsia="zh-Hans"/>
        </w:rPr>
        <w:t>.</w:t>
      </w:r>
      <w:r>
        <w:rPr>
          <w:rFonts w:hint="eastAsia"/>
          <w:sz w:val="24"/>
          <w:lang w:eastAsia="zh-Hans"/>
        </w:rPr>
        <w:t>Luis Catão &amp; Marco Terrones. Financial De-Dollarization: A Global Perspective and the Peruvian Experience. IMF Working Papers 2016/097.</w:t>
      </w:r>
    </w:p>
    <w:p w14:paraId="7475E86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41</w:t>
      </w:r>
      <w:r>
        <w:rPr>
          <w:rFonts w:hint="eastAsia"/>
          <w:sz w:val="24"/>
          <w:lang w:val="en-US" w:eastAsia="zh-Hans"/>
        </w:rPr>
        <w:t>.</w:t>
      </w:r>
      <w:r>
        <w:rPr>
          <w:rFonts w:hint="eastAsia"/>
          <w:sz w:val="24"/>
          <w:lang w:eastAsia="zh-Hans"/>
        </w:rPr>
        <w:t>Marcel Fratzscher, Arnaud Mehl. China’s Dominance Hypothesis and the Emergence of A TriPolar Global Currency System[J]. The Economic Journal, 2013(12):1343-1370.</w:t>
      </w:r>
    </w:p>
    <w:p w14:paraId="2C1640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42</w:t>
      </w:r>
      <w:r>
        <w:rPr>
          <w:rFonts w:hint="eastAsia"/>
          <w:sz w:val="24"/>
          <w:lang w:val="en-US" w:eastAsia="zh-Hans"/>
        </w:rPr>
        <w:t>.</w:t>
      </w:r>
      <w:r>
        <w:rPr>
          <w:rFonts w:hint="eastAsia"/>
          <w:sz w:val="24"/>
          <w:lang w:eastAsia="zh-Hans"/>
        </w:rPr>
        <w:t>Marco Missaglia. Understanding Dollarisation: A Keynesian/Kaleckian Perspective, Review of Political Economy, 2021(33): 656-686.</w:t>
      </w:r>
    </w:p>
    <w:p w14:paraId="363E2C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43</w:t>
      </w:r>
      <w:r>
        <w:rPr>
          <w:rFonts w:hint="eastAsia"/>
          <w:sz w:val="24"/>
          <w:lang w:val="en-US" w:eastAsia="zh-Hans"/>
        </w:rPr>
        <w:t>.</w:t>
      </w:r>
      <w:r>
        <w:rPr>
          <w:rFonts w:hint="eastAsia"/>
          <w:sz w:val="24"/>
          <w:lang w:eastAsia="zh-Hans"/>
        </w:rPr>
        <w:t>Nan Geng, Tiberiu Scutaru and Johannes Wiegand. Carry Trade vs. Deposit- Driven Euroization[J]. IMF Working Papers, WP/18/58, 2018(3):5-21.</w:t>
      </w:r>
    </w:p>
    <w:p w14:paraId="3FA8AC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44</w:t>
      </w:r>
      <w:r>
        <w:rPr>
          <w:rFonts w:hint="eastAsia"/>
          <w:sz w:val="24"/>
          <w:lang w:val="en-US" w:eastAsia="zh-Hans"/>
        </w:rPr>
        <w:t>.</w:t>
      </w:r>
      <w:r>
        <w:rPr>
          <w:rFonts w:hint="eastAsia"/>
          <w:sz w:val="24"/>
          <w:lang w:eastAsia="zh-Hans"/>
        </w:rPr>
        <w:t>Nkunde Mwase and Francis Y Kumah. Revisiting the Concept of Dollarization: The Global Financial Crisis and Dollarization in Low- Income Countries[J]. IMF Working Paper, WP/15/12, 2015(1):3.</w:t>
      </w:r>
    </w:p>
    <w:p w14:paraId="54EF5B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45</w:t>
      </w:r>
      <w:r>
        <w:rPr>
          <w:rFonts w:hint="eastAsia"/>
          <w:sz w:val="24"/>
          <w:lang w:val="en-US" w:eastAsia="zh-Hans"/>
        </w:rPr>
        <w:t>.</w:t>
      </w:r>
      <w:r>
        <w:rPr>
          <w:rFonts w:hint="eastAsia"/>
          <w:sz w:val="24"/>
          <w:lang w:eastAsia="zh-Hans"/>
        </w:rPr>
        <w:t>Queen Mary. Neoliberal Restructuring, Financialisation and Socio-political Competition in Argentina: the Convertibility System and the Contradictory Outcomes of Dollarisation 1989-2001[J]. Contemporary Politics 2008(14):335-355.</w:t>
      </w:r>
    </w:p>
    <w:p w14:paraId="4D4ED7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Hans"/>
        </w:rPr>
      </w:pPr>
      <w:r>
        <w:rPr>
          <w:rFonts w:hint="eastAsia"/>
          <w:sz w:val="24"/>
          <w:lang w:eastAsia="zh-Hans"/>
        </w:rPr>
        <w:t>46</w:t>
      </w:r>
      <w:r>
        <w:rPr>
          <w:rFonts w:hint="eastAsia"/>
          <w:sz w:val="24"/>
          <w:lang w:val="en-US" w:eastAsia="zh-Hans"/>
        </w:rPr>
        <w:t>.</w:t>
      </w:r>
      <w:r>
        <w:rPr>
          <w:rFonts w:hint="eastAsia"/>
          <w:sz w:val="24"/>
          <w:lang w:eastAsia="zh-Hans"/>
        </w:rPr>
        <w:t>Sami Ben Naceur, Amr Hosny and Gregory Hadjian. How to De-Dollarize Financial Systems in the Caucasus and Central Asia?[J]. IMF Working Paper, WP/15/203, 2015(9): 4.</w:t>
      </w:r>
    </w:p>
    <w:p w14:paraId="75C5885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eastAsiaTheme="minorEastAsia"/>
          <w:sz w:val="24"/>
          <w:lang w:val="en-US" w:eastAsia="zh-CN"/>
        </w:rPr>
      </w:pPr>
      <w:r>
        <w:rPr>
          <w:rFonts w:hint="eastAsia"/>
          <w:sz w:val="24"/>
          <w:lang w:val="en-US" w:eastAsia="zh-CN"/>
        </w:rPr>
        <w:t>（原载《上海经济研究》2023年第2期，第一作者为鲁春义。）</w:t>
      </w:r>
    </w:p>
    <w:p w14:paraId="77637643">
      <w:pPr>
        <w:bidi w:val="0"/>
        <w:rPr>
          <w:rFonts w:hint="eastAsia"/>
        </w:rPr>
      </w:pPr>
    </w:p>
    <w:p w14:paraId="7139AA21">
      <w:pPr>
        <w:pStyle w:val="3"/>
        <w:bidi w:val="0"/>
        <w:rPr>
          <w:rFonts w:hint="eastAsia"/>
        </w:rPr>
      </w:pPr>
      <w:bookmarkStart w:id="354" w:name="_Toc29678"/>
      <w:bookmarkStart w:id="355" w:name="_Toc1273319098"/>
      <w:bookmarkStart w:id="356" w:name="_Toc194842356"/>
      <w:bookmarkStart w:id="357" w:name="_Toc135109258"/>
      <w:bookmarkStart w:id="358" w:name="_Toc795394360"/>
      <w:bookmarkStart w:id="359" w:name="_Toc789697072"/>
      <w:r>
        <w:rPr>
          <w:rFonts w:hint="eastAsia"/>
          <w:lang w:val="en-US" w:eastAsia="zh-CN"/>
        </w:rPr>
        <w:t>16</w:t>
      </w:r>
      <w:r>
        <w:rPr>
          <w:rFonts w:hint="eastAsia"/>
        </w:rPr>
        <w:t>农业强县建设的五重维度</w:t>
      </w:r>
      <w:bookmarkEnd w:id="354"/>
      <w:bookmarkEnd w:id="355"/>
      <w:bookmarkEnd w:id="356"/>
      <w:bookmarkEnd w:id="357"/>
      <w:bookmarkEnd w:id="358"/>
      <w:bookmarkEnd w:id="359"/>
    </w:p>
    <w:p w14:paraId="6841B6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二十大报告指出，要加快建设农业强国，扎实推动乡村产业、人才、文化、生态、组织振兴。系统推进农业强国建设，要求实现农业全面升级、农村全面进步、农民全面发展。建设供给保障强、科技装备强、经营体系强、产业韧性强、竞争能力强的农业强县，需要综合考虑农业、农民、农资、农地和农村生态等基本要素，围绕“农业强、农村美、农民富、土地丰、资本足”五个方面，积极推进农业强县的各项工作。</w:t>
      </w:r>
    </w:p>
    <w:p w14:paraId="664EEC7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业强：以创新政府服务方式为中心变革小农生产方式。第一，坚定政府主动有所作为的决心。现代经济发展的实践证明，要发展经济，尤其在落后农村发展农业经济，不仅要靠市场“看不见的手”，更要依靠政府“看得见的手”的协调指挥。在中国特色社会主义市场经济条件下，政府只有通过多途径将分散的小农经济组织起来形成社会化大生产，产生规模效益，才能切实推动农业做大做强。第二，找准政府服务农村发展现代农业的切入点和关键点。通过特色强农、质量强农、产业融合强农、科技强农等手段，因地制宜地发展当地特色产业。第三，急农村所急，解农民所需。一方面做好对接市场、对接技术、对接生产资料、对接金融的服务，另一方面还要遵循市场经济规律，按照农村新趋势开展政府服务，从实际出发，因地制宜解决农民服务的问题。</w:t>
      </w:r>
    </w:p>
    <w:p w14:paraId="4F5408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村美：一体化推进宜居宜业美丽乡村建设。一要强化农村环境保护意识，推进农业绿色发展。通过推广有机农业、绿色种植等方式，减少化肥农药的使用量，降低农业对环境的污染，切实改善农产品的饮食安全状况。二是促进乡村生态旅游发展。结合当地文化传承特色，开发乡村旅游资源，推动农村经济转型升级，实现可持续发展。健全美丽乡村可持续发展的惩戒机制，实施以绿色生态为导向的农业生态治理补贴制度，进一步完善耕地保护补偿机制和耕地轮作休耕制度，建立耕地、碳汇、景观、生物多样性等生态保护补偿机制，落实好生态保护奖补政策。三是科学合理编制乡村建设规划。根据各个地区的地域特点和村民需求，制定具有特色的乡村建设规划，确保规划的针对性和可行性并建立健全后期监督管理制度，助推美丽乡村建设顺利实施和集中维护。</w:t>
      </w:r>
    </w:p>
    <w:p w14:paraId="778314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民富：多维度助推农民增收致富。一是大力培育农业合作经济组织，发展村集体层面的共富实体企业。成立农副产供销中介组织和相关服务配套机构，发展农村专业分工，变无序竞争为有序竞争。通过政府引导、政策扶持、市区镇村奖励等形式，培育一批善于开拓农副产品市场的经纪人组织。大力发展直接面对市场竞争的各类农村合作合股、中介经营等新经济组织，引导带领农民适时适度生产，调控供求关系，避免生产过剩或不足。二是加强农村基础设施建设，加快推进中心村镇建设，在村镇创造就业机会，增加农民收入。三是整合农村科技资源，推进农业技术升级和市场化运作。要推动新质生产力大发展，加强农业生产中科学农业、智慧农业、数字农业、体验农业的发展建设，实现“传统种植”向“现代工厂”转型。四是深化农村改革，赋予农民更多产权。通过深化改革增加收入，发展土地股份，推动资源变资产、资本变股份、农民变股东。完善农业支持保护体系，通过建立多层次社会保障体系，强化民生保障，增加收入。</w:t>
      </w:r>
    </w:p>
    <w:p w14:paraId="522E10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土地丰：全方位提升土地利用效率。第一，提高土地资源开发效益、生态价值，使得社会价值土地共享、有效利用，提高土地利用的经济效益。第二，通过对当地土地利用状况的调查，盘活农村闲置土地，提高土地利用效率，为区域振兴提供可复制、可推广的经验。第三，为了促进节约集约用地，严格控制并抵消建设用地增加，从紧约束土地供应。第四，在公平和效率的基础上，进一步改进和完善家庭承包为基础的双层经营制度，通过土地托管等深化农村土地制度改革，充分发挥市场配置土地资源的基础性作用，加快经营性基础设施和公共服务设施建设，推动产业结构调整和转型升级。第五，实施土地内涵挖潜和整治再开发战略，积极完成城镇低效用地再开发、农村建设用地整治、历史遗留工矿废弃地复垦利用等项目。</w:t>
      </w:r>
    </w:p>
    <w:p w14:paraId="69CF03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资本足：长效化推动资本与金融服务乡村振兴。首先，围绕做大做强当地主导产业，不断提高主导产业经济效益，增强贷款资金安全保障系数。应组织开展“平台+产业+服务”金融助农专项行动，引导金融机构聚焦地域特色产业发展，加大涉农信贷投放力度，推出一系列金融创新产品。打造绿色产业助农支农新模式，聚焦农业农村重点领域和薄弱环节，引导金融机构因“业”制宜，利用县域新兴能源特色，围绕清洁能源、节能环保、碳减排技术等重点领域，创新抵质押新型信贷产品，向具有显著减排效应的项目投放优惠利率贷款。其次，必须加大农业资金扶持，建立稳定、灵活的新型农业经营主体与农户合作联结机制，留住当地资本、引入外来资本，鼓励国有资本下乡，盘活政府与企业的资金，实现资产增值。构建“实体经济+科技创新+资本金融”齐头并进的现代经济新体系，全面推广“电商企业+基地+专业合作社+农户”模式，打造特色产业园区，实现产销一体化。</w:t>
      </w:r>
    </w:p>
    <w:p w14:paraId="7E82ED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（2023年9月27日《贵州日报》</w:t>
      </w:r>
      <w:r>
        <w:rPr>
          <w:rFonts w:hint="eastAsia"/>
          <w:sz w:val="24"/>
          <w:lang w:eastAsia="zh-CN"/>
        </w:rPr>
        <w:t>，</w:t>
      </w:r>
      <w:r>
        <w:rPr>
          <w:rFonts w:hint="eastAsia"/>
          <w:sz w:val="24"/>
          <w:lang w:val="en-US" w:eastAsia="zh-CN"/>
        </w:rPr>
        <w:t>第一作者为罗玉辉。</w:t>
      </w:r>
      <w:r>
        <w:rPr>
          <w:rFonts w:hint="eastAsia"/>
          <w:sz w:val="24"/>
        </w:rPr>
        <w:t>）</w:t>
      </w:r>
    </w:p>
    <w:p w14:paraId="68297F1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EDE9F71">
      <w:pPr>
        <w:pStyle w:val="3"/>
        <w:bidi w:val="0"/>
        <w:rPr>
          <w:rFonts w:hint="eastAsia"/>
          <w:lang w:val="en-US" w:eastAsia="zh-CN"/>
        </w:rPr>
      </w:pPr>
      <w:bookmarkStart w:id="360" w:name="_Toc7429"/>
      <w:bookmarkStart w:id="361" w:name="_Toc107305945"/>
      <w:bookmarkStart w:id="362" w:name="_Toc1950399264"/>
      <w:bookmarkStart w:id="363" w:name="_Toc999537731"/>
      <w:bookmarkStart w:id="364" w:name="_Toc891084327"/>
      <w:bookmarkStart w:id="365" w:name="_Toc989750644"/>
      <w:r>
        <w:rPr>
          <w:rFonts w:hint="eastAsia"/>
          <w:lang w:val="en-US" w:eastAsia="zh-CN"/>
        </w:rPr>
        <w:t>17推动高质量发展</w:t>
      </w:r>
      <w:bookmarkEnd w:id="360"/>
      <w:bookmarkEnd w:id="361"/>
      <w:bookmarkEnd w:id="362"/>
      <w:bookmarkEnd w:id="363"/>
      <w:bookmarkEnd w:id="364"/>
      <w:bookmarkEnd w:id="365"/>
    </w:p>
    <w:p w14:paraId="4BF5FB6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 xml:space="preserve">               </w:t>
      </w:r>
    </w:p>
    <w:p w14:paraId="5434F6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新征程上，推动高质量发展是统筹好安全和发展的重要战略部署，需要在多个维度进行路径创新。</w:t>
      </w:r>
    </w:p>
    <w:p w14:paraId="6041401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第一，在构建高水平社会主义市场经济体制中推动高质量发展。</w:t>
      </w:r>
    </w:p>
    <w:p w14:paraId="4C1B369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要坚持和完善社会主义基本经济制度，加大国有经济布局优化和结构调整，对标世界一流现代企业建设标准，加快完善中国特色现代企业制度，建立有利于国有资本保值增值的体制机制和政策体系。</w:t>
      </w:r>
    </w:p>
    <w:p w14:paraId="457B5C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要通过制度创新，健全宏观经济治理新体系。在市场准入、产权保护、公平竞争、社会信用等方面进行制度优化，为打造凸显公平正义和效率的营商环境提供制度保障。同时，建立以不发生系统性风险为底线的金融监管制度体系，建立既能有效利用资本又能防范资本消极影响的政策制度体系。</w:t>
      </w:r>
    </w:p>
    <w:p w14:paraId="059A0B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第二，在加快建设现代化产业体系中推动高质量发展。</w:t>
      </w:r>
    </w:p>
    <w:p w14:paraId="50FFEA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通过政策制度创新，建立有利于实体经济高质量发展的支撑体系。尤其要支持好制造业的发展，推动制造业绿色化、高端化和智能化发展。</w:t>
      </w:r>
    </w:p>
    <w:p w14:paraId="472D69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通过资金投入、财政补贴、政策制定等方式巩固优势产业地位，大力发展战略性新兴产业，维护国家战略安全，积极破解关键核心技术上的“卡脖子”问题。</w:t>
      </w:r>
    </w:p>
    <w:p w14:paraId="6195AF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同时，大力促进数字经济等新科技、新经济的产业化发展，并推动新科技、新经济与传统产业的融合性发展，实现传统产业的数字化发展；加快构建城乡一体的现代化物流体系，为打造畅通高效的国内大循环市场提供保障；加大现代服务业发展，构建现代化服务业新体系，为现代制造业、现代农业赋能。</w:t>
      </w:r>
    </w:p>
    <w:p w14:paraId="0BABFF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第三，在全面推进乡村振兴中推动高质量发展。</w:t>
      </w:r>
    </w:p>
    <w:p w14:paraId="537295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坚持农业农村优先发展，完善有利于城乡要素双向流动的体制机制，推动城乡融合发展；夯实粮食安全根基，拓宽粮食生产主渠道，实现种业生产安全可控，树立大粮食观。</w:t>
      </w:r>
    </w:p>
    <w:p w14:paraId="291C08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各级地方政府应从政策、资金和贷款等方面，加大对乡村特色产业发展的支持力度，形成具有乡村特色的现代化产业发展集群，并建立乡村产业发展与农民利益联结的体制机制，进一步拓宽农民的增收渠道。</w:t>
      </w:r>
    </w:p>
    <w:p w14:paraId="6947CAD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第四，在推进高水平对外开放中推动高质量发展。</w:t>
      </w:r>
    </w:p>
    <w:p w14:paraId="0D945A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深入挖掘大规模市场优势，发挥国内大市场对全球优质资源要素的虹吸效应，实现国内市场与国际市场的高质量协调联动。对标贸易强国建设目标，充分利用第四次科技革命的契机，大力发展数字贸易、大型电商，加快建立有利于货物贸易、服务贸易现代化发展的体制机制和政策体系，破解贸易“大而不强”等问题。</w:t>
      </w:r>
    </w:p>
    <w:p w14:paraId="4973300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要以“一带一路”高质量发展为抓手，高标准推进区域协调发展战略，优化生产力空间布局，推动东中西部地区之间在资源、交通、市场等各领域互联互通，助力改革开放的内陆地区变为新时代改革发展的前沿地带。</w:t>
      </w:r>
    </w:p>
    <w:p w14:paraId="2C2C1B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原载《解放日报》23年8月15日，第二作者为陈健。</w:t>
      </w:r>
    </w:p>
    <w:p w14:paraId="48EDA9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7FE3580D">
      <w:pPr>
        <w:keepNext w:val="0"/>
        <w:keepLines w:val="0"/>
        <w:pageBreakBefore w:val="0"/>
        <w:widowControl w:val="0"/>
        <w:kinsoku/>
        <w:wordWrap/>
        <w:overflowPunct/>
        <w:topLinePunct w:val="0"/>
        <w:autoSpaceDE/>
        <w:autoSpaceDN/>
        <w:bidi w:val="0"/>
        <w:adjustRightInd/>
        <w:snapToGrid/>
        <w:spacing w:line="440" w:lineRule="exact"/>
        <w:ind w:firstLine="640" w:firstLineChars="200"/>
        <w:jc w:val="center"/>
        <w:textAlignment w:val="auto"/>
        <w:outlineLvl w:val="1"/>
        <w:rPr>
          <w:rFonts w:hint="eastAsia"/>
          <w:sz w:val="24"/>
          <w:lang w:eastAsia="zh-CN"/>
        </w:rPr>
      </w:pPr>
      <w:bookmarkStart w:id="366" w:name="_Toc15453"/>
      <w:bookmarkStart w:id="367" w:name="_Toc1613558083"/>
      <w:bookmarkStart w:id="368" w:name="_Toc1170042240"/>
      <w:bookmarkStart w:id="369" w:name="_Toc2050813358"/>
      <w:bookmarkStart w:id="370" w:name="_Toc1752237782"/>
      <w:bookmarkStart w:id="371" w:name="_Toc330744046"/>
      <w:r>
        <w:rPr>
          <w:rStyle w:val="21"/>
          <w:rFonts w:hint="eastAsia"/>
          <w:lang w:val="en-US" w:eastAsia="zh-CN"/>
        </w:rPr>
        <w:t>18全面</w:t>
      </w:r>
      <w:r>
        <w:rPr>
          <w:rStyle w:val="21"/>
          <w:rFonts w:hint="eastAsia"/>
        </w:rPr>
        <w:t>深化改革</w:t>
      </w:r>
      <w:r>
        <w:rPr>
          <w:rStyle w:val="21"/>
          <w:rFonts w:hint="eastAsia"/>
          <w:lang w:val="en-US" w:eastAsia="zh-CN"/>
        </w:rPr>
        <w:t>开放若干焦点问题研究</w:t>
      </w:r>
      <w:bookmarkEnd w:id="366"/>
      <w:bookmarkEnd w:id="367"/>
      <w:bookmarkEnd w:id="368"/>
      <w:bookmarkEnd w:id="369"/>
      <w:bookmarkEnd w:id="370"/>
      <w:bookmarkEnd w:id="371"/>
    </w:p>
    <w:p w14:paraId="22CABB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5F8A04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一、党的十八大以来取得的历史性成就，您认为全面深化改革在其中起到了什么样的作用？哪几项改革开放举措您认为进展最明显、成效最突出、获得感最强？</w:t>
      </w:r>
    </w:p>
    <w:p w14:paraId="2121EF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1 十八大以来，我国社会主义现代化建设取得了历史性成就，其中加强党的全面领导和全面深化改革起到了重大作用。“改革开放是决定当代中国命运的关键一招，也是决定实现‘两个100年’奋斗目标、实现中华民族伟大复兴的关键一招。”党的十八届三中全会审议通过的《中共中央关于全面深化改革若干重大问题的决定》，提出了全面深化改革的指导思想、目标任务、重大原则，描绘了全面深化改革的新蓝图、新愿景。依据《决定》，党中央合理布局了深化改革的战略重点、优先顺序、主攻方向、工作机制、推进方式和时间表、路线图，紧紧围绕经济、政治、文化、社会、生态文明、党建等六大改革主线，全面增强改革的系统性、整体性和系统性。因而，全面深化改革对十八大以来取得的历史性成就起到了重大作用。 </w:t>
      </w:r>
    </w:p>
    <w:p w14:paraId="5657AD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2在各项改革中，三大攻坚战中的消除绝对贫困、生态环境改善的举措成效最突出。十八大以来，党中央从“体现我国社会主义制度的优越性”高度，把脱贫攻坚摆在治国理政的突出位置，部署实施 “六个精准”“五个一批”， 脱贫攻坚取得了重大历史性成就。“小康不小康，关键看老乡。”我国农村贫困人口全部脱贫，为实现全面建成小康社会目标任务作出了关键性贡献。</w:t>
      </w:r>
    </w:p>
    <w:p w14:paraId="31E408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面对我国生态环境持续恶化态势，以习近平为核心的党中央，坚持绿水青山就是金山银山的理念，全方位、全地域、全过程加强生态环境保护。通过系统全面改革，破除地方保护主义，倡导绿色发展理念，使得生态文明制度体系更加健全。随着绿色生产、绿色消费、绿色文化的普及、推广和深入人心，我国生态环境保护发生历史性、转折性、全局性变化。以往频繁发生的雾霾、沙尘暴天气大幅下降，人民群众对生态环境满意度大幅提升。 </w:t>
      </w:r>
    </w:p>
    <w:p w14:paraId="55F3926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不过，三大攻坚战的金融改革发展很不理想。从蚂蚁集团、恒大集团等已暴露和更多未披露的情况来看，根本原因在于金融领域没有很好落实习近平经济思想，而受西方新自由主义影响，金融管理制度机制混乱，欺上瞒下，自觉或不自觉地支持私人资本垄断和无序扩张。</w:t>
      </w:r>
    </w:p>
    <w:p w14:paraId="28831A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EADFA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有人认为，当前改革的氛围似乎有所弱化，您是否觉得应大力重提改革的必要性和紧迫性？与十一届三中全会和十八届三中全会时期相比，您认为新一轮全面深化改革开放处于什么样的历史方位，承担的使命任务有什么不同？内部和外部形势发生了哪些新的变化？</w:t>
      </w:r>
    </w:p>
    <w:p w14:paraId="75FEDF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 本人认为，党和政府不应大力重提改革的必要性和紧迫性。因为这样会给国内外造成一种错觉，似乎十八大以来各个领域的改革方向不够明确，力度不够有力，效果不够显著。事实上，十八大以来，在以习近平同志为核心的党中央领导下，全面深化改革持续推进，改革系统性、整体性、协调性不断优化，并取得了历史性成就。在这样背景下，重提改革的必要性和紧迫性，难免让人对近近十年改革方向、力度、成就怀疑与困惑。</w:t>
      </w:r>
    </w:p>
    <w:p w14:paraId="4FFFF9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2与十一届三中全会、十八届三中全会相比，我们所处历史方位无疑发生了显著变化。例如在经济体量上，我国已经连续三年GDP超过100万亿人民币 ，成为世界公认的全球增长引擎。在新历史阶段，中国共产党的中心任务就是团结带领全国各族人民全面建成社会主义现代化强国、实现第二个百年奋斗目标，以中国式现代化全面推进中华民族伟大复兴。因而，新一轮全面深化改革必须要服务于这一中心任务。正如习近平总书记指出的那样，“ 后半程，我们的主要历史任务是完善和发展中国特色社会主义制度，为党和国家事业发展、为人民幸福安康、为社会和谐稳定、为国家长治久安提供一整套更完备、更稳定、更管用的制度体系”。通过不断深化改革，完善社会主义制度，实现</w:t>
      </w:r>
      <w:r>
        <w:rPr>
          <w:rFonts w:hint="eastAsia"/>
          <w:sz w:val="24"/>
          <w:lang w:val="en-US" w:eastAsia="zh-CN"/>
        </w:rPr>
        <w:t>以高科技为代表的</w:t>
      </w:r>
      <w:r>
        <w:rPr>
          <w:rFonts w:hint="eastAsia"/>
          <w:sz w:val="24"/>
        </w:rPr>
        <w:t xml:space="preserve">高质量发展，从而使得我国社会主义现代化事业行稳致远。 </w:t>
      </w:r>
    </w:p>
    <w:p w14:paraId="1190F0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 十八大以来，我国内部和外部形势都发生了诸多值得关注的新变化。例如，从国内经济看：一方面，我国社会主义基本经济制度得到巩固，“两个毫不动摇”得到明确和坚持，经济发展在克服疫情等不利因素情况下持续向好。但另一方面，我国所有制结构发生了重大变化。非公经济已经从社会主义经济的“有益补充”“重要组成部分”，发展至在GDP、就业、税收等领域处于完全主体地位。非公经济的大发展，一方面调动有利于调动社会各方积极性、增强市场活力，但也带来了</w:t>
      </w:r>
      <w:r>
        <w:rPr>
          <w:rFonts w:hint="eastAsia"/>
          <w:sz w:val="24"/>
          <w:lang w:val="en-US" w:eastAsia="zh-CN"/>
        </w:rPr>
        <w:t>私人</w:t>
      </w:r>
      <w:r>
        <w:rPr>
          <w:rFonts w:hint="eastAsia"/>
          <w:sz w:val="24"/>
        </w:rPr>
        <w:t>资本无序扩张、居民</w:t>
      </w:r>
      <w:r>
        <w:rPr>
          <w:rFonts w:hint="eastAsia"/>
          <w:sz w:val="24"/>
          <w:lang w:val="en-US" w:eastAsia="zh-CN"/>
        </w:rPr>
        <w:t>财富和</w:t>
      </w:r>
      <w:r>
        <w:rPr>
          <w:rFonts w:hint="eastAsia"/>
          <w:sz w:val="24"/>
        </w:rPr>
        <w:t>收入差距悬殊、</w:t>
      </w:r>
      <w:r>
        <w:rPr>
          <w:rFonts w:hint="eastAsia"/>
          <w:sz w:val="24"/>
          <w:lang w:val="en-US" w:eastAsia="zh-CN"/>
        </w:rPr>
        <w:t>私人</w:t>
      </w:r>
      <w:r>
        <w:rPr>
          <w:rFonts w:hint="eastAsia"/>
          <w:sz w:val="24"/>
        </w:rPr>
        <w:t>资本围猎干部等经济社会问题。导致居民</w:t>
      </w:r>
      <w:r>
        <w:rPr>
          <w:rFonts w:hint="eastAsia"/>
          <w:sz w:val="24"/>
          <w:lang w:val="en-US" w:eastAsia="zh-CN"/>
        </w:rPr>
        <w:t>财富和</w:t>
      </w:r>
      <w:r>
        <w:rPr>
          <w:rFonts w:hint="eastAsia"/>
          <w:sz w:val="24"/>
        </w:rPr>
        <w:t>收入差距悬殊进一步导致内需增长缓慢、民众生育愿望下降、劳资关系紧张等一系列社会问题。居民</w:t>
      </w:r>
      <w:r>
        <w:rPr>
          <w:rFonts w:hint="eastAsia"/>
          <w:sz w:val="24"/>
          <w:lang w:val="en-US" w:eastAsia="zh-CN"/>
        </w:rPr>
        <w:t>财富和</w:t>
      </w:r>
      <w:r>
        <w:rPr>
          <w:rFonts w:hint="eastAsia"/>
          <w:sz w:val="24"/>
        </w:rPr>
        <w:t>收入差距持续拉大情况没有出现根本性扭转。在此背景下，适婚青年结婚、生育意愿持续走低，社会老龄化趋势加重。这些问题长期存在，势必对我们党的群众基础和阶级基础产生负面影响。因而，从进一步改革方向看，应更强调以人民为中心、特别是以劳动人民为中心的深化改革和精准改革。</w:t>
      </w:r>
    </w:p>
    <w:p w14:paraId="6EA894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 我国外部国际环境也发生了重大改变。一方面，美西方国家加紧了对我国现代化发展的遏制。2017年以来，中美关系持续下滑，出现了建交以来未有之低点。美国通过长臂管辖、外交胁迫等方式肆意对我国以芯片为代表高新产业和以华为为代表的企业进行制裁。意图采取“小院高墙” “脱钩断链”、阵营对抗、制造台海、南海紧张局势等方式，加紧遏制中国全面发展。对于美西方的两手，我们也应采取斗争与合作的两手应对。在与美西方斗争中求合作，在斗争中争取包括美西方国家内积极力量的支持，加快我国社会主义现代化建设。同时，我们也应统筹发展与安全，做好应对极端情况准备，确保我国国家主权、领土完整和发展利益。另一方面，世界正在进入震荡变革期。受俄乌冲突和世纪疫情影响，百年未有大变局加速演进。中国在国际社会角色发生显著变化。中国正在从以往秩序的接受者、参与者，转变为引领者、推动者和维护者。中国提出的人类命运共同体理念和全人类共同价值得到国际社会广泛认同，“一带一路”倡议得到普遍支持，上海合作组织、金砖国家组织成员和影响力持续扩大。党中央筹中华民族伟大复兴大局和世界百年未有之大变局，充分发挥中国特色大国外交优势，坚持公平正义，不断推动世界治理体系向着各加公正合理方向发展。在变乱交织背景下，中国为世界和平发展注入了确定性和正能量。</w:t>
      </w:r>
    </w:p>
    <w:p w14:paraId="18D10E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D3BE9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近年来，您感受过哪些基层改革出现异化变质的情况，请举例？（包括但不限于：以强化管理为名，走“回头路改革”；以强化监管为名，搞“甩锅改革”；以安全保密为名，搞“关门改革”；绕着核心矛盾走，搞“外围改革”； 以取消代替下放，搞“曲解改革”；以“政治正确”为名，搞一刀切改革；以发文件代替出实招，搞文件改革 等等）</w:t>
      </w:r>
    </w:p>
    <w:p w14:paraId="1ADF94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 房地产业急需深化改革。当前，人民群众对住房商品化市场化严重不滿；对以恒大、碧桂园等为代表的房企接连爆雷高度焦虑和恐慌。政府房价调控已陷入两难困境。推动国民经济高质量发展，必须重新审视房地产业在国民经济与国际竞争中的地位作用，不能再盲目刺激房地产业。大力发展高科技产业和培植“新质生产力”和高质生产力，下决心转变以房地产支撑GDP增长，以“土地财政”支撑政府财政支出的传统发展模式。坚决打击非法经营、资金外流、骗贷逃税、行贿受贿、坑害消费者等行为。应将积压房源，转为由政府供应的廉租房、公共租赁房、定向安置房等保障性住房，以解决进城农民工和毕业大学生以及城镇新引进高层次人才等各类人员住房需求是取消商品住房预售，严禁房企不得在商品房尚未盖好前预售以集聚资本，全部实行现房销售，“所见即所得、交房即交证”。</w:t>
      </w:r>
    </w:p>
    <w:p w14:paraId="08BB35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2 以安全保密为名，搞“关门改革”。 我国统计部门公布的经济社会发展统计数据，极不完整和连续。这种过度保密行为既不利于业界、学界依据我国真实经济社会发展数据做出合理分析、判断和建议，也徒增了社会民众对政府的不信任。例如我国长期不公布公有制企业、特别是国有企业资产价值总量、社会占比、损益变化等数据。这类数据对我国基本经济制度状况和社会主义公有制主体地位状态有着关键指示作用，理应向社会公布，接受社会监督。又如我国2022年公布了前十年的收入基尼系数，但没有同步公布财富基尼系数。在公布收入数据时，一般只公布居民平均收入、平均增幅，但很少或不公布更好反应收入水平的中位数。这样的结果，常常造成个体感受和国家公报数据存在巨大差异，降低了群众对数据的信任感和社会发展的获得感。 </w:t>
      </w:r>
    </w:p>
    <w:p w14:paraId="617CFF1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3绕着核心矛盾走，搞“外围改革”。长期以来，我国居民收入差距悬殊，</w:t>
      </w:r>
      <w:r>
        <w:rPr>
          <w:rFonts w:hint="eastAsia"/>
          <w:sz w:val="24"/>
          <w:lang w:val="en-US" w:eastAsia="zh-CN"/>
        </w:rPr>
        <w:t>财富和</w:t>
      </w:r>
      <w:r>
        <w:rPr>
          <w:rFonts w:hint="eastAsia"/>
          <w:sz w:val="24"/>
        </w:rPr>
        <w:t>收入拉大趋势长期没有得到根本性扭转。其根本原因在于，我国</w:t>
      </w:r>
      <w:r>
        <w:rPr>
          <w:rFonts w:hint="eastAsia"/>
          <w:sz w:val="24"/>
          <w:lang w:val="en-US" w:eastAsia="zh-CN"/>
        </w:rPr>
        <w:t>财富和</w:t>
      </w:r>
      <w:r>
        <w:rPr>
          <w:rFonts w:hint="eastAsia"/>
          <w:sz w:val="24"/>
        </w:rPr>
        <w:t xml:space="preserve">收入分配改革重点一直在分配领域，而没有进一步向扩大公有制经济所有制结构延伸。马克思主义认为，收入分配从根本上讲取决于所有制。在非公有制经济在就业、产值、税收等居于主体地位情况下， 市场经济势必导致收入上的两极分化。这既为马克思主义政治经济学所论证，也为近现代西方市场经济所实证。因而，中国特色社会主义市场经济，要避免两极分化，实现共同富裕，必须从根本上坚持社会主义公有制主体地位，为扎实推进共同富裕提供坚实经济基础和所有制基础。   </w:t>
      </w:r>
    </w:p>
    <w:p w14:paraId="3E226C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4以取消代替下放，搞“曲解改革”。2003年非典疫情爆发以来，虽然我国医药改革取得了一定成绩，但群众看病难、看病贵现象依然存在，甚至部分群众医药负担不减反增。2014年以来，医药改革放开了非公立医疗机构医疗服务价格到放开医保目录内低价药品价格。其结果是药品价格大幅上升，而不赚钱的救命药时常出现供给短缺。原有的国家疫苗安全追踪码被取消，在发生长生制药假疫苗案后才得以恢复。国有药店在全国前20家大药店，仅有1家。国有药店在医药流通领域的支撑、引导作用不明显。医药改革不利是导致近年医患矛盾加剧和部分农民纷纷退保的重要因素。因而，新一轮医药改革务必坚持“以人民为中心”，充分考虑人民群众负担，切实增加人民群众在医疗健康领域的获得感和认同感。 </w:t>
      </w:r>
    </w:p>
    <w:p w14:paraId="1D9358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5以发文件代替出实招，搞文件改革。金融市场健康稳定发展，是我国社会主义经济现代化的重要保障条件。但我国金融股票市场发展长期强差人意</w:t>
      </w:r>
      <w:r>
        <w:rPr>
          <w:rFonts w:hint="eastAsia"/>
          <w:sz w:val="24"/>
          <w:lang w:eastAsia="zh-CN"/>
        </w:rPr>
        <w:t>，</w:t>
      </w:r>
      <w:r>
        <w:rPr>
          <w:rFonts w:hint="eastAsia"/>
          <w:sz w:val="24"/>
          <w:lang w:val="en-US" w:eastAsia="zh-CN"/>
        </w:rPr>
        <w:t>管理体制机制问题不少</w:t>
      </w:r>
      <w:r>
        <w:rPr>
          <w:rFonts w:hint="eastAsia"/>
          <w:sz w:val="24"/>
        </w:rPr>
        <w:t>。 我国股票沪市A股市场综指自2007年达到3000点后，至今15年依然处于3000点附近。在这15年中，中国经济社会健康、持续发展，创造了“两个奇迹”。作为经济晴雨表的股市表现，却落后于某些经济发展缓慢、甚至完全停滞国家。这15年中，虽然股市改革文件接连出台，2023年还出台了注册制，但如何提高上市公司质量、促进上市企业稳定健康发展的根本问题依然没有得到实质解决。在5200多家上市公司中，有3800多家民营企业。受高市盈率、高发行价影响，其中欺骗上市者有，上市后大股东违规减持者有，财务报表造假者有。个别民营企业采取家族式一股独大，上市后不断圈钱、转移财产到海外，移民等方式，实现个人财产保全。 由于我国尚没有弃国税或弃籍税制度，一定程度上给这类资本外逃提供了条件。股市长期不振，致使投资者亏损累累，必然对我国经济持续健康发展产生严重消极影响，甚至引发社会群众对政府的严重不满。</w:t>
      </w:r>
    </w:p>
    <w:p w14:paraId="6F9AE45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FC23D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四、在新一轮全面深化改革中，如何进一步调动基层的积极性主动性？真正把自上而下的顶层设计和自下而上的基层探索结合起来？</w:t>
      </w:r>
    </w:p>
    <w:p w14:paraId="677AE2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 新一轮全面深化改革必须进一步调动基层积极性。由于我国幅员辽阔，地区差异显著，因而发挥顶层设计对基层实践的引领、规划、指导作用的同时，应鼓励各地从当地从实际出发进行探索，形成鼓励基层改革创新的合力，最大限度调动地方、基层以及各方面的积极性、主动性、创造性。</w:t>
      </w:r>
    </w:p>
    <w:p w14:paraId="348928C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要完善基层改革创新考核评价机制和激励机制。鼓励基层改革创新，首先需要赋予基层改革所必须的人权、事权、财权。如果三者不能统一，往往导致基层改革积极性不高，甚至改革半途而废。人权、事权、财权下放，难免又会与上级部门利益产生一定矛盾。这也就是基层改革时常遭遇旋转门、弹簧门而受挫的症结所在。因而，要调动基层积极性，就应首先打破部门利益，解决好人权、财权、事权配套问题。其次，改革激励、约束机制。既鼓励创新、表扬先进，也允许试错、宽容失败的氛围。否则，难免出现改革成功了成就归上级领导，而失败了责任却由基层干部担的局面。</w:t>
      </w:r>
    </w:p>
    <w:p w14:paraId="4BB7E8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 调查研究应倾听不同理论派别</w:t>
      </w:r>
      <w:r>
        <w:rPr>
          <w:rFonts w:hint="eastAsia"/>
          <w:sz w:val="24"/>
          <w:lang w:val="en-US" w:eastAsia="zh-CN"/>
        </w:rPr>
        <w:t>及其代表性学者</w:t>
      </w:r>
      <w:r>
        <w:rPr>
          <w:rFonts w:hint="eastAsia"/>
          <w:sz w:val="24"/>
        </w:rPr>
        <w:t>的声音。任何</w:t>
      </w:r>
      <w:r>
        <w:rPr>
          <w:rFonts w:hint="eastAsia"/>
          <w:sz w:val="24"/>
          <w:lang w:val="en-US" w:eastAsia="zh-CN"/>
        </w:rPr>
        <w:t>层次和领域的</w:t>
      </w:r>
      <w:r>
        <w:rPr>
          <w:rFonts w:hint="eastAsia"/>
          <w:sz w:val="24"/>
        </w:rPr>
        <w:t>改革创新要尽可能听取不同方面的声音，了解掌握不同利益主体的诉求。特别是关于国计民生、涉及百姓切身利益的重大改革，不宜由各部门未经全社会</w:t>
      </w:r>
      <w:r>
        <w:rPr>
          <w:rFonts w:hint="eastAsia"/>
          <w:sz w:val="24"/>
          <w:lang w:val="en-US" w:eastAsia="zh-CN"/>
        </w:rPr>
        <w:t>和理论界充分</w:t>
      </w:r>
      <w:r>
        <w:rPr>
          <w:rFonts w:hint="eastAsia"/>
          <w:sz w:val="24"/>
        </w:rPr>
        <w:t xml:space="preserve">讨论就做出决定。国家有关部门应在做出重大决定前，不应只邀请理论界某一方代表，而应邀请理论界各派代表性学者（特别要考虑代表工人、农民、中低收入者利益的学者）进行充分讨论和论证，之后再做出最后的决定。 </w:t>
      </w:r>
    </w:p>
    <w:p w14:paraId="13D9FF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 xml:space="preserve">五、 未来5—10年，您觉得实现高水平对外开放最需要在哪些方面或举措上取得突破？ </w:t>
      </w:r>
    </w:p>
    <w:p w14:paraId="32903F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1中国从2012年以来已处于世界经济体系的“准中心”地位，大约2035年将进入“中心”行列，2050 左右将成为数一数二的顶级“中心”国家。未来5-6年，是我国建设社会主义现代化的关键时期，也是我国从“准中心”向“中心”迈进的关键时期。因而，我国高水平对外开放应瞄准实现社会主义现代化这一中心任务，稳步实现从世界经济“准中心”向“中心”转化。</w:t>
      </w:r>
    </w:p>
    <w:p w14:paraId="5B83DC9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 为此，我国应：确立知识产权优势理论和战略，加快提升创新型国家建设的科技体系；确立金融“脱虚向实”的理论和战略，加快提升人民币国际化的金融体系；确立公有制为主体的科学理论和战略，加快提升多种所有制协同发展的产权体系；确立高质量发展的理论和战略，加快提升全面对等开放和国内外经济高度协调的产业体系；确立引导公正经济全球化的理论和战略，加快提升国际经济新秩序和共同经济安全的制度体系。</w:t>
      </w:r>
    </w:p>
    <w:p w14:paraId="5985BF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val="en-US" w:eastAsia="zh-CN"/>
        </w:rPr>
        <w:t>2023年12月2日</w:t>
      </w:r>
      <w:r>
        <w:rPr>
          <w:rFonts w:hint="eastAsia"/>
          <w:sz w:val="24"/>
          <w:lang w:eastAsia="zh-CN"/>
        </w:rPr>
        <w:t>（</w:t>
      </w:r>
      <w:r>
        <w:rPr>
          <w:rFonts w:hint="eastAsia"/>
          <w:sz w:val="24"/>
          <w:lang w:val="en-US" w:eastAsia="zh-CN"/>
        </w:rPr>
        <w:t>新华社已开出重点采用的证明</w:t>
      </w:r>
      <w:r>
        <w:rPr>
          <w:rFonts w:hint="eastAsia"/>
          <w:sz w:val="24"/>
          <w:lang w:eastAsia="zh-CN"/>
        </w:rPr>
        <w:t>）</w:t>
      </w:r>
    </w:p>
    <w:p w14:paraId="1717C2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sz w:val="24"/>
          <w:lang w:val="en-US" w:eastAsia="zh-CN"/>
        </w:rPr>
      </w:pPr>
    </w:p>
    <w:p w14:paraId="11F7E59D">
      <w:pPr>
        <w:spacing w:line="360" w:lineRule="auto"/>
        <w:ind w:firstLine="499"/>
        <w:outlineLvl w:val="1"/>
        <w:rPr>
          <w:rFonts w:ascii="宋体" w:hAnsi="宋体" w:eastAsia="宋体"/>
          <w:b/>
          <w:bCs/>
        </w:rPr>
      </w:pPr>
      <w:bookmarkStart w:id="372" w:name="_Toc15721"/>
      <w:bookmarkStart w:id="373" w:name="_Toc647206665"/>
      <w:bookmarkStart w:id="374" w:name="_Toc392172101"/>
      <w:bookmarkStart w:id="375" w:name="_Toc907573556"/>
      <w:bookmarkStart w:id="376" w:name="_Toc1417150763"/>
      <w:bookmarkStart w:id="377" w:name="_Toc1127502686"/>
      <w:r>
        <w:rPr>
          <w:rFonts w:hint="eastAsia" w:ascii="宋体" w:hAnsi="宋体" w:eastAsia="宋体"/>
          <w:b/>
          <w:bCs/>
          <w:lang w:val="en-US" w:eastAsia="zh-CN"/>
        </w:rPr>
        <w:t>19</w:t>
      </w:r>
      <w:r>
        <w:rPr>
          <w:rFonts w:hint="eastAsia" w:ascii="宋体" w:hAnsi="宋体" w:eastAsia="宋体"/>
          <w:b/>
          <w:bCs/>
        </w:rPr>
        <w:t>习近平新时代中国特色社会主义思想对社会主义本质内涵的丰富和发展</w:t>
      </w:r>
      <w:bookmarkEnd w:id="372"/>
      <w:bookmarkEnd w:id="373"/>
      <w:bookmarkEnd w:id="374"/>
      <w:bookmarkEnd w:id="375"/>
      <w:bookmarkEnd w:id="376"/>
      <w:bookmarkEnd w:id="377"/>
    </w:p>
    <w:p w14:paraId="14068E9F">
      <w:pPr>
        <w:spacing w:line="360" w:lineRule="auto"/>
        <w:ind w:firstLine="500"/>
        <w:rPr>
          <w:rFonts w:ascii="宋体" w:hAnsi="宋体" w:eastAsia="宋体"/>
          <w:b/>
          <w:bCs/>
        </w:rPr>
      </w:pPr>
    </w:p>
    <w:p w14:paraId="5E6DF98D">
      <w:pPr>
        <w:spacing w:line="360" w:lineRule="auto"/>
        <w:rPr>
          <w:rFonts w:ascii="宋体" w:hAnsi="宋体" w:eastAsia="宋体"/>
          <w:bCs/>
        </w:rPr>
      </w:pPr>
    </w:p>
    <w:p w14:paraId="7E6A17F8">
      <w:pPr>
        <w:spacing w:line="360" w:lineRule="auto"/>
        <w:ind w:firstLine="841" w:firstLineChars="400"/>
        <w:rPr>
          <w:rFonts w:ascii="宋体" w:hAnsi="宋体" w:eastAsia="宋体"/>
          <w:b/>
        </w:rPr>
      </w:pPr>
      <w:r>
        <w:rPr>
          <w:rFonts w:hint="eastAsia" w:ascii="宋体" w:hAnsi="宋体" w:eastAsia="宋体"/>
          <w:b/>
        </w:rPr>
        <w:t>一、引言：要重视马克思主义关于事物本质的观点</w:t>
      </w:r>
    </w:p>
    <w:p w14:paraId="1256A4E3">
      <w:pPr>
        <w:spacing w:line="360" w:lineRule="auto"/>
        <w:ind w:firstLine="420" w:firstLineChars="200"/>
        <w:rPr>
          <w:rFonts w:ascii="宋体" w:hAnsi="宋体" w:eastAsia="宋体"/>
          <w:bCs/>
        </w:rPr>
      </w:pPr>
      <w:r>
        <w:rPr>
          <w:rFonts w:hint="eastAsia" w:ascii="宋体" w:hAnsi="宋体" w:eastAsia="宋体"/>
          <w:bCs/>
        </w:rPr>
        <w:t>习近平总书记指出：“马克思主义揭示了事物的本质、内在联系及发展规律，是‘伟大的认识工具’。”</w:t>
      </w:r>
      <w:r>
        <w:rPr>
          <w:rStyle w:val="20"/>
          <w:rFonts w:ascii="宋体" w:hAnsi="宋体" w:eastAsia="宋体"/>
        </w:rPr>
        <w:footnoteReference w:id="535"/>
      </w:r>
      <w:r>
        <w:rPr>
          <w:rFonts w:hint="eastAsia" w:ascii="宋体" w:hAnsi="宋体" w:eastAsia="宋体"/>
        </w:rPr>
        <w:t>马克思主义关于事物本质及其认识的论述值得高度重视。</w:t>
      </w:r>
      <w:r>
        <w:rPr>
          <w:rFonts w:hint="eastAsia" w:ascii="宋体" w:hAnsi="宋体" w:eastAsia="宋体"/>
          <w:b/>
          <w:bCs/>
        </w:rPr>
        <w:t>第一，马克思主义认为科学的理论是对客观事物的本质及其发展规律的认识。</w:t>
      </w:r>
      <w:r>
        <w:rPr>
          <w:rFonts w:hint="eastAsia" w:ascii="宋体" w:hAnsi="宋体" w:eastAsia="宋体"/>
        </w:rPr>
        <w:t>对任何理论的本质的认识把握是难以穷极的，不可能一蹴而就，这也是真理的相对性的内在规定。随着实践和时代的发展，以及客观事物的变化，理论的本质内涵也会随之扩容和深化，从而更好地指导实践。</w:t>
      </w:r>
      <w:r>
        <w:rPr>
          <w:rFonts w:hint="eastAsia" w:ascii="宋体" w:hAnsi="宋体" w:eastAsia="宋体"/>
          <w:bCs/>
        </w:rPr>
        <w:t>毛泽东在《实践论》中说：“感觉只解决现象问题，理论才解决本质问题。”</w:t>
      </w:r>
      <w:r>
        <w:rPr>
          <w:rStyle w:val="20"/>
          <w:rFonts w:ascii="宋体" w:hAnsi="宋体" w:eastAsia="宋体"/>
        </w:rPr>
        <w:footnoteReference w:id="536"/>
      </w:r>
      <w:r>
        <w:rPr>
          <w:rFonts w:hint="eastAsia" w:ascii="宋体" w:hAnsi="宋体" w:eastAsia="宋体" w:cs="Times New Roman"/>
        </w:rPr>
        <w:t>毛泽东在《关于农业合作化问题》中也曾强调分析事物应多看“本质方面，主流方面”</w:t>
      </w:r>
      <w:r>
        <w:rPr>
          <w:rStyle w:val="20"/>
          <w:rFonts w:ascii="宋体" w:hAnsi="宋体" w:eastAsia="宋体" w:cs="Times New Roman"/>
        </w:rPr>
        <w:footnoteReference w:id="537"/>
      </w:r>
      <w:r>
        <w:rPr>
          <w:rFonts w:hint="eastAsia" w:ascii="宋体" w:hAnsi="宋体" w:eastAsia="宋体" w:cs="Times New Roman"/>
        </w:rPr>
        <w:t>。</w:t>
      </w:r>
      <w:r>
        <w:rPr>
          <w:rFonts w:hint="eastAsia" w:ascii="宋体" w:hAnsi="宋体" w:eastAsia="宋体"/>
          <w:bCs/>
        </w:rPr>
        <w:t>马克思主义理论之所以能够占据真理的制高点，总是能够反映和揭示客观事物和社会实践发展的内在本质及其变化规律，就在于其与时俱进地丰富发展自身的理论内涵。</w:t>
      </w:r>
    </w:p>
    <w:p w14:paraId="3129CC0A">
      <w:pPr>
        <w:spacing w:line="360" w:lineRule="auto"/>
        <w:ind w:firstLine="420" w:firstLineChars="200"/>
        <w:rPr>
          <w:rFonts w:ascii="宋体" w:hAnsi="宋体" w:eastAsia="宋体"/>
          <w:bCs/>
        </w:rPr>
      </w:pPr>
      <w:r>
        <w:rPr>
          <w:rFonts w:hint="eastAsia" w:ascii="宋体" w:hAnsi="宋体" w:eastAsia="宋体"/>
          <w:b/>
        </w:rPr>
        <w:t>第二，马克思主义认为事物的本质是层次的。</w:t>
      </w:r>
      <w:r>
        <w:rPr>
          <w:rFonts w:hint="eastAsia" w:ascii="宋体" w:hAnsi="宋体" w:eastAsia="宋体"/>
          <w:bCs/>
        </w:rPr>
        <w:t>列宁曾在《哲学笔记》中指出：“外观的东西是本质的一个规定，本质的一个方面，本质的一个环节。本质具有某种外观。外观是本质自身在自身中的表现”</w:t>
      </w:r>
      <w:r>
        <w:rPr>
          <w:rStyle w:val="20"/>
          <w:rFonts w:ascii="宋体" w:hAnsi="宋体" w:eastAsia="宋体"/>
        </w:rPr>
        <w:footnoteReference w:id="538"/>
      </w:r>
      <w:r>
        <w:rPr>
          <w:rFonts w:hint="eastAsia" w:ascii="宋体" w:hAnsi="宋体" w:eastAsia="宋体"/>
          <w:bCs/>
        </w:rPr>
        <w:t>。</w:t>
      </w:r>
      <w:r>
        <w:rPr>
          <w:rFonts w:hint="eastAsia" w:ascii="宋体" w:hAnsi="宋体" w:eastAsia="宋体"/>
        </w:rPr>
        <w:t>列宁还认为：“人对事物、现象、过程等等的认识深化的无限过程，从现象到本质、从不甚深刻的本质到更深刻的本质。”</w:t>
      </w:r>
      <w:r>
        <w:rPr>
          <w:rStyle w:val="20"/>
          <w:rFonts w:ascii="宋体" w:hAnsi="宋体" w:eastAsia="宋体"/>
        </w:rPr>
        <w:footnoteReference w:id="539"/>
      </w:r>
      <w:r>
        <w:rPr>
          <w:rFonts w:hint="eastAsia" w:ascii="宋体" w:hAnsi="宋体" w:eastAsia="宋体"/>
          <w:bCs/>
        </w:rPr>
        <w:t>这就是说，事物的本质是具有层次性的，既具有最本质的特征，又具有一般的本质特征，还具有透过各个不同现象所反映出的不同方面的本质特征。在列宁看来，本质既是有层次的，又是随着实践的深入而不断丰富和发展，即“从现象到本质、从不甚深刻的本质到更深刻的本质”</w:t>
      </w:r>
      <w:r>
        <w:rPr>
          <w:rStyle w:val="20"/>
          <w:rFonts w:ascii="宋体" w:hAnsi="宋体" w:eastAsia="宋体"/>
        </w:rPr>
        <w:footnoteReference w:id="540"/>
      </w:r>
      <w:r>
        <w:rPr>
          <w:rFonts w:hint="eastAsia" w:ascii="宋体" w:hAnsi="宋体" w:eastAsia="宋体"/>
          <w:bCs/>
        </w:rPr>
        <w:t>。毛泽东在《矛盾论》中也认为在共同的本质中蕴含着特殊的本质，而且还有许多深入尚待研究的本质。他说：“当着人们已经认识了这种共同的本质以后，就以这种共同的认识为指导，继续地向着尚未研究过的或者尚未深入地研究过的各种具体的事物进行研究，找出其特殊的本质，这样才可以补充、丰富和发展这种共同的本质的认识，而使这种共同的本质的认识不致变成枯槁的和僵死的东西。”</w:t>
      </w:r>
      <w:r>
        <w:rPr>
          <w:rStyle w:val="20"/>
          <w:rFonts w:ascii="宋体" w:hAnsi="宋体" w:eastAsia="宋体"/>
        </w:rPr>
        <w:footnoteReference w:id="541"/>
      </w:r>
    </w:p>
    <w:p w14:paraId="50EE34C1">
      <w:pPr>
        <w:numPr>
          <w:ilvl w:val="0"/>
          <w:numId w:val="7"/>
        </w:numPr>
        <w:spacing w:line="360" w:lineRule="auto"/>
        <w:ind w:firstLine="420" w:firstLineChars="200"/>
        <w:rPr>
          <w:rFonts w:ascii="宋体" w:hAnsi="宋体" w:eastAsia="宋体"/>
          <w:bCs/>
        </w:rPr>
      </w:pPr>
      <w:r>
        <w:rPr>
          <w:rFonts w:hint="eastAsia" w:ascii="宋体" w:hAnsi="宋体" w:eastAsia="宋体"/>
          <w:b/>
        </w:rPr>
        <w:t>马克思主义认为“全部社会生活在本质上是实践的。”</w:t>
      </w:r>
      <w:r>
        <w:rPr>
          <w:rStyle w:val="20"/>
          <w:rFonts w:ascii="宋体" w:hAnsi="宋体" w:eastAsia="宋体"/>
        </w:rPr>
        <w:footnoteReference w:id="542"/>
      </w:r>
      <w:r>
        <w:rPr>
          <w:rFonts w:hint="eastAsia" w:ascii="宋体" w:hAnsi="宋体" w:eastAsia="宋体"/>
          <w:bCs/>
        </w:rPr>
        <w:t>社会主义的本质内涵也会随着社会主义的建设和发展不断丰富。从理论创新、历史方位、现实指向等多个维度来看，习近平新时代中国特色社会主义思想就是在马克思主义中国化的具体实践中对社会主义本质内涵的时代性延展和赋义。运用以上马克思主义关于</w:t>
      </w:r>
      <w:r>
        <w:rPr>
          <w:rFonts w:hint="eastAsia" w:ascii="宋体" w:hAnsi="宋体" w:eastAsia="宋体"/>
        </w:rPr>
        <w:t>事物本质及其认识论述的</w:t>
      </w:r>
      <w:r>
        <w:rPr>
          <w:rFonts w:hint="eastAsia" w:ascii="宋体" w:hAnsi="宋体" w:eastAsia="宋体"/>
          <w:bCs/>
        </w:rPr>
        <w:t>方法论，可以清楚地认识到习近平新时代中国特色社会主义思想是丰富和发展了社会主义本质内涵的理论。以下从经济、政治、文化、社会、生态文明、外交“六位一体”的实践本质，来阐述习近平新时代中国特色社会主义思想是如何丰富和发展社会主义本质体系理论的。</w:t>
      </w:r>
    </w:p>
    <w:p w14:paraId="4ACC1DD2">
      <w:pPr>
        <w:numPr>
          <w:ilvl w:val="255"/>
          <w:numId w:val="0"/>
        </w:numPr>
        <w:spacing w:line="360" w:lineRule="auto"/>
        <w:rPr>
          <w:rFonts w:ascii="宋体" w:hAnsi="宋体" w:eastAsia="宋体"/>
          <w:bCs/>
        </w:rPr>
      </w:pPr>
    </w:p>
    <w:p w14:paraId="30DA3483">
      <w:pPr>
        <w:spacing w:line="360" w:lineRule="auto"/>
        <w:ind w:firstLine="420" w:firstLineChars="200"/>
        <w:jc w:val="left"/>
        <w:rPr>
          <w:rFonts w:ascii="宋体" w:hAnsi="宋体" w:eastAsia="宋体"/>
          <w:b/>
          <w:bCs/>
        </w:rPr>
      </w:pPr>
      <w:r>
        <w:rPr>
          <w:rFonts w:ascii="宋体" w:hAnsi="宋体" w:eastAsia="宋体"/>
          <w:bCs/>
        </w:rPr>
        <w:t xml:space="preserve">  </w:t>
      </w:r>
      <w:r>
        <w:rPr>
          <w:rFonts w:hint="eastAsia" w:ascii="宋体" w:hAnsi="宋体" w:eastAsia="宋体"/>
          <w:b/>
          <w:bCs/>
        </w:rPr>
        <w:t>二、坚持以公有制为主体的共同富裕是中国特色社会主义的经济本质</w:t>
      </w:r>
    </w:p>
    <w:p w14:paraId="4C12A865">
      <w:pPr>
        <w:spacing w:line="360" w:lineRule="auto"/>
        <w:ind w:firstLine="420" w:firstLineChars="200"/>
        <w:rPr>
          <w:rFonts w:ascii="宋体" w:hAnsi="宋体" w:eastAsia="宋体"/>
          <w:bCs/>
        </w:rPr>
      </w:pPr>
      <w:r>
        <w:rPr>
          <w:rFonts w:hint="eastAsia" w:ascii="宋体" w:hAnsi="宋体" w:eastAsia="宋体"/>
          <w:bCs/>
        </w:rPr>
        <w:t>从唯物史观出发，生产资料所有制所决定的经济本质是一个社会的主要经济基础，直接或间接决定该社会的上层建筑。恩格斯在《共产党宣言》</w:t>
      </w:r>
      <w:r>
        <w:rPr>
          <w:rFonts w:ascii="宋体" w:hAnsi="宋体" w:eastAsia="宋体"/>
          <w:bCs/>
        </w:rPr>
        <w:t>1883</w:t>
      </w:r>
      <w:r>
        <w:rPr>
          <w:rFonts w:hint="eastAsia" w:ascii="宋体" w:hAnsi="宋体" w:eastAsia="宋体"/>
          <w:bCs/>
        </w:rPr>
        <w:t>年德文版序言中明确强调：“每一历史时代的经济生产以及必然由此产生的社会结构，是该时代政治的和精神的历史的基础。”</w:t>
      </w:r>
      <w:r>
        <w:rPr>
          <w:rStyle w:val="20"/>
          <w:rFonts w:ascii="宋体" w:hAnsi="宋体" w:eastAsia="宋体"/>
        </w:rPr>
        <w:footnoteReference w:id="543"/>
      </w:r>
      <w:r>
        <w:rPr>
          <w:rFonts w:hint="eastAsia" w:ascii="宋体" w:hAnsi="宋体" w:eastAsia="宋体"/>
          <w:bCs/>
        </w:rPr>
        <w:t>马克思指出：“随着经济基础的变更，全部庞大的上层建筑也或慢或快地发生变革。”</w:t>
      </w:r>
      <w:r>
        <w:rPr>
          <w:rStyle w:val="20"/>
          <w:rFonts w:ascii="宋体" w:hAnsi="宋体" w:eastAsia="宋体"/>
        </w:rPr>
        <w:footnoteReference w:id="544"/>
      </w:r>
      <w:r>
        <w:rPr>
          <w:rFonts w:hint="eastAsia" w:ascii="宋体" w:hAnsi="宋体" w:eastAsia="宋体"/>
          <w:bCs/>
        </w:rPr>
        <w:t>“资本主义经营本质上就是私人经营，即使由联合的资本家代替单个资本家，也是如此。”</w:t>
      </w:r>
      <w:r>
        <w:rPr>
          <w:rStyle w:val="20"/>
          <w:rFonts w:ascii="宋体" w:hAnsi="宋体" w:eastAsia="宋体"/>
        </w:rPr>
        <w:footnoteReference w:id="545"/>
      </w:r>
      <w:r>
        <w:rPr>
          <w:rFonts w:hint="eastAsia" w:ascii="宋体" w:hAnsi="宋体" w:eastAsia="宋体"/>
          <w:bCs/>
        </w:rPr>
        <w:t>资本主义社会的经济本质就是生产资料的资产阶级私有制或垄断私有制，并由此从根本上决定资本主义社会的政治和文化上层建筑性质和宗旨。</w:t>
      </w:r>
    </w:p>
    <w:p w14:paraId="77B0FC73">
      <w:pPr>
        <w:spacing w:line="360" w:lineRule="auto"/>
        <w:ind w:firstLine="420" w:firstLineChars="200"/>
        <w:rPr>
          <w:rFonts w:ascii="宋体" w:hAnsi="宋体" w:eastAsia="宋体"/>
          <w:bCs/>
        </w:rPr>
      </w:pPr>
      <w:r>
        <w:rPr>
          <w:rFonts w:hint="eastAsia" w:ascii="宋体" w:hAnsi="宋体" w:eastAsia="宋体"/>
          <w:bCs/>
        </w:rPr>
        <w:t>邓小平指出：“社会主义的本质，是解放生产力，发展生产力，消灭剥削，消除两极分化，最终达到共同富裕。”</w:t>
      </w:r>
      <w:r>
        <w:rPr>
          <w:rStyle w:val="20"/>
          <w:rFonts w:ascii="宋体" w:hAnsi="宋体" w:eastAsia="宋体"/>
        </w:rPr>
        <w:footnoteReference w:id="546"/>
      </w:r>
      <w:r>
        <w:rPr>
          <w:rFonts w:hint="eastAsia" w:ascii="宋体" w:hAnsi="宋体" w:eastAsia="宋体"/>
          <w:bCs/>
        </w:rPr>
        <w:t>“在改革中，我们始终坚持两条根本原则，一是以社会主义公有制经济为主体，一是共同富裕”</w:t>
      </w:r>
      <w:r>
        <w:rPr>
          <w:rStyle w:val="20"/>
          <w:rFonts w:ascii="宋体" w:hAnsi="宋体" w:eastAsia="宋体"/>
        </w:rPr>
        <w:footnoteReference w:id="547"/>
      </w:r>
      <w:r>
        <w:rPr>
          <w:rFonts w:hint="eastAsia" w:ascii="宋体" w:hAnsi="宋体" w:eastAsia="宋体"/>
          <w:bCs/>
        </w:rPr>
        <w:t>。这就指明了中国特色社会主义的两个本质性特征。习近平新时代中国特色社会主义思想进一步丰富和发展了社会主义的经济本质规定。</w:t>
      </w:r>
    </w:p>
    <w:p w14:paraId="0B9FFC9D">
      <w:pPr>
        <w:spacing w:line="360" w:lineRule="auto"/>
        <w:ind w:firstLine="420" w:firstLineChars="200"/>
        <w:rPr>
          <w:rFonts w:ascii="宋体" w:hAnsi="宋体" w:eastAsia="宋体"/>
          <w:bCs/>
        </w:rPr>
      </w:pPr>
      <w:r>
        <w:rPr>
          <w:rFonts w:hint="eastAsia" w:ascii="宋体" w:hAnsi="宋体" w:eastAsia="宋体"/>
          <w:b/>
        </w:rPr>
        <w:t>第一，强调决定社会主义经济本质的公有制主体地位和国有经济主导作用不能动摇。</w:t>
      </w:r>
      <w:r>
        <w:rPr>
          <w:rFonts w:hint="eastAsia" w:ascii="宋体" w:hAnsi="宋体" w:eastAsia="宋体"/>
          <w:bCs/>
        </w:rPr>
        <w:t>习近平指出：“我国基本经济制度是中国特色社会主义制度的重要支柱，也是社会主义市场经济体制的根基，公有制主体地位不能动摇，国有经济主导作用不能动摇。这是保证我国各族人民共享发展成果的制度性保证，也是巩固党的执政地位、坚持我国社会主义制度的重要保证。”</w:t>
      </w:r>
      <w:r>
        <w:rPr>
          <w:rStyle w:val="20"/>
          <w:rFonts w:ascii="宋体" w:hAnsi="宋体" w:eastAsia="宋体"/>
        </w:rPr>
        <w:footnoteReference w:id="548"/>
      </w:r>
      <w:r>
        <w:rPr>
          <w:rFonts w:hint="eastAsia" w:ascii="宋体" w:hAnsi="宋体" w:eastAsia="宋体"/>
          <w:bCs/>
        </w:rPr>
        <w:t>“国有企业是中国特色社会主义的重要物质基础和政治基础，是我们党执政兴国的重要支柱和依靠力量。”</w:t>
      </w:r>
      <w:r>
        <w:rPr>
          <w:rStyle w:val="20"/>
          <w:rFonts w:ascii="宋体" w:hAnsi="宋体" w:eastAsia="宋体"/>
        </w:rPr>
        <w:footnoteReference w:id="549"/>
      </w:r>
      <w:r>
        <w:rPr>
          <w:rFonts w:hint="eastAsia" w:ascii="宋体" w:hAnsi="宋体" w:eastAsia="宋体"/>
          <w:bCs/>
        </w:rPr>
        <w:t>数次强调要“做强做优做大国有企业”。这就阐明了公有制主体地位和国有经济主导性作用是中国特色社会主义的重要经济基础和政治基础，彰显了中国特色社会主义的经济本质特征。社会主义公有制作为社会主义最根本的本质特征，是因为如果体制机制操作得当，其完全可以高效地与市场经济有机融合，在公平与效率层面会比资本主义私有制体现出无法比拟的优越性，从根本上克服资本主义市场经济的生产资料私有制这一本质性缺陷。社会主义公有制企业可以通过矫正价值规律的功能弱点来体现社会整体的绩效优势，通过提供强大的财力支撑来促进经济增长，还可以在国有企业内部的初次分配中避免贫富差距过大，以此来为国计民生的较快全面发展提供重要的产权保障。</w:t>
      </w:r>
      <w:r>
        <w:rPr>
          <w:rStyle w:val="20"/>
          <w:rFonts w:ascii="宋体" w:hAnsi="宋体" w:eastAsia="宋体"/>
        </w:rPr>
        <w:footnoteReference w:id="550"/>
      </w:r>
    </w:p>
    <w:p w14:paraId="32F1BA3B">
      <w:pPr>
        <w:spacing w:line="360" w:lineRule="auto"/>
        <w:ind w:firstLine="420" w:firstLineChars="200"/>
        <w:rPr>
          <w:rFonts w:ascii="宋体" w:hAnsi="宋体" w:eastAsia="宋体"/>
          <w:bCs/>
        </w:rPr>
      </w:pPr>
      <w:r>
        <w:rPr>
          <w:rFonts w:hint="eastAsia" w:ascii="宋体" w:hAnsi="宋体" w:eastAsia="宋体"/>
          <w:b/>
        </w:rPr>
        <w:t>第二，提出要把消除贫困、改善民生、逐步实现共同富裕作为社会主义的本质要求。</w:t>
      </w:r>
      <w:r>
        <w:rPr>
          <w:rFonts w:hint="eastAsia" w:ascii="宋体" w:hAnsi="宋体" w:eastAsia="宋体"/>
        </w:rPr>
        <w:t>习近平指出：“消除贫困、改善民生、实现共同富裕，是社会主义的本质要求。”</w:t>
      </w:r>
      <w:r>
        <w:rPr>
          <w:rStyle w:val="20"/>
          <w:rFonts w:ascii="宋体" w:hAnsi="宋体" w:eastAsia="宋体"/>
        </w:rPr>
        <w:footnoteReference w:id="551"/>
      </w:r>
      <w:r>
        <w:rPr>
          <w:rFonts w:hint="eastAsia" w:ascii="宋体" w:hAnsi="宋体" w:eastAsia="宋体"/>
          <w:bCs/>
        </w:rPr>
        <w:t>“共同富裕是中国特色社会主义的根本原则，所以必须使发展成果更多更公平惠及全体人民，朝着共同富裕方向稳步前进。”</w:t>
      </w:r>
      <w:r>
        <w:rPr>
          <w:rStyle w:val="20"/>
          <w:rFonts w:ascii="宋体" w:hAnsi="宋体" w:eastAsia="宋体"/>
        </w:rPr>
        <w:footnoteReference w:id="552"/>
      </w:r>
      <w:r>
        <w:rPr>
          <w:rFonts w:hint="eastAsia" w:ascii="宋体" w:hAnsi="宋体" w:eastAsia="宋体"/>
          <w:bCs/>
        </w:rPr>
        <w:t>党的十八大以来，以习近平总书记为核心的党中央不忘初心、牢记使命，团结带领全党全国各族人民，始终朝着实现共同富裕的目标不懈努力，决战脱贫攻坚取得全面胜利，全面建成小康社会取得伟大历史性成就。在党的十九届五中全会上，习近平进一步突出强调了“扎实推动共同富裕”，以及到</w:t>
      </w:r>
      <w:r>
        <w:rPr>
          <w:rFonts w:ascii="宋体" w:hAnsi="宋体" w:eastAsia="宋体"/>
          <w:bCs/>
        </w:rPr>
        <w:t>2035</w:t>
      </w:r>
      <w:r>
        <w:rPr>
          <w:rFonts w:hint="eastAsia" w:ascii="宋体" w:hAnsi="宋体" w:eastAsia="宋体"/>
          <w:bCs/>
        </w:rPr>
        <w:t>年“全体人民共同富裕取得更为明显的实质性进展”，</w:t>
      </w:r>
      <w:r>
        <w:rPr>
          <w:rStyle w:val="20"/>
          <w:rFonts w:ascii="宋体" w:hAnsi="宋体" w:eastAsia="宋体"/>
        </w:rPr>
        <w:footnoteReference w:id="553"/>
      </w:r>
      <w:r>
        <w:rPr>
          <w:rFonts w:hint="eastAsia" w:ascii="宋体" w:hAnsi="宋体" w:eastAsia="宋体"/>
          <w:bCs/>
        </w:rPr>
        <w:t>提出提高人民收入水平、强化就业优先政策、健全多层次社会保障体系等一系列重大举措。从全面建成小康社会到发展建设共同富裕示范区，共同富裕的社会主义本质特征进一步突显。这就更加需要做强做优做大国有企业和国有资本，充分发挥国有经济战略支撑作用，防止资本无序扩张，以此来缩小适合阶层之间财富和收入的差距、壮大共同富裕的根基。</w:t>
      </w:r>
    </w:p>
    <w:p w14:paraId="67E62A52">
      <w:pPr>
        <w:spacing w:line="360" w:lineRule="auto"/>
        <w:ind w:firstLine="420" w:firstLineChars="200"/>
        <w:rPr>
          <w:rFonts w:ascii="宋体" w:hAnsi="宋体" w:eastAsia="宋体"/>
          <w:bCs/>
        </w:rPr>
      </w:pPr>
      <w:r>
        <w:rPr>
          <w:rFonts w:hint="eastAsia" w:ascii="宋体" w:hAnsi="宋体" w:eastAsia="宋体"/>
          <w:b/>
          <w:bCs/>
        </w:rPr>
        <w:t>第三，把按劳分配为主体的分配关系与公有制主体的产权关系作为一组不可分割的经济制度本质规定。</w:t>
      </w:r>
      <w:r>
        <w:rPr>
          <w:rFonts w:hint="eastAsia" w:ascii="宋体" w:hAnsi="宋体" w:eastAsia="宋体"/>
          <w:bCs/>
        </w:rPr>
        <w:t>习近平在党的十九届四中全会对我国基本经济制度作了新的概括，把公有制为主体、多种所有制经济共同发展和按劳分配为主体、多种分配方式并存二者共同纳入初级阶段社会主义基本经济制度。这一新概括既体现了社会主义制度优越性，又突显出以公有制和按劳分配“两个主体”的共同富裕的经济本质，是习近平新时代中国特色社会主义思想的理论创新。其中，公有制为主体的所有制结构是根本经济制度，反映出中国特色社会主义的经济本质，决定了中国特色社会主义经济性质的总体格局；按劳分配为主体的分配结构是所有制结构的利益实现，决定了共富共享共福的总体格局。那种割裂公有制主体与共同富裕的错误观点是背离经济辩证法的。当然，要把发展公有制为主体与非公经济有机地结合起来，以便互补共促国计民生的较快提升；进一步解放和发展生产力，就是要“自觉通过调整生产关系激发社会生产力发展活力”</w:t>
      </w:r>
      <w:r>
        <w:rPr>
          <w:rStyle w:val="20"/>
          <w:rFonts w:ascii="宋体" w:hAnsi="宋体" w:eastAsia="宋体"/>
        </w:rPr>
        <w:footnoteReference w:id="554"/>
      </w:r>
      <w:r>
        <w:rPr>
          <w:rFonts w:hint="eastAsia" w:ascii="宋体" w:hAnsi="宋体" w:eastAsia="宋体"/>
          <w:bCs/>
        </w:rPr>
        <w:t>。</w:t>
      </w:r>
    </w:p>
    <w:p w14:paraId="51C4E951">
      <w:pPr>
        <w:spacing w:line="360" w:lineRule="auto"/>
        <w:ind w:firstLine="631" w:firstLineChars="300"/>
        <w:rPr>
          <w:rFonts w:ascii="宋体" w:hAnsi="宋体" w:eastAsia="宋体"/>
          <w:b/>
          <w:bCs/>
        </w:rPr>
      </w:pPr>
    </w:p>
    <w:p w14:paraId="7A911B14">
      <w:pPr>
        <w:spacing w:line="360" w:lineRule="auto"/>
        <w:ind w:firstLine="631" w:firstLineChars="300"/>
        <w:rPr>
          <w:rFonts w:ascii="宋体" w:hAnsi="宋体" w:eastAsia="宋体"/>
          <w:b/>
        </w:rPr>
      </w:pPr>
      <w:r>
        <w:rPr>
          <w:rFonts w:hint="eastAsia" w:ascii="宋体" w:hAnsi="宋体" w:eastAsia="宋体"/>
          <w:b/>
          <w:bCs/>
        </w:rPr>
        <w:t>三、坚持中国共产党领导是中国特色社会主义的政治本质和</w:t>
      </w:r>
      <w:r>
        <w:rPr>
          <w:rFonts w:hint="eastAsia" w:ascii="宋体" w:hAnsi="宋体" w:eastAsia="宋体"/>
          <w:b/>
        </w:rPr>
        <w:t>最本质特征</w:t>
      </w:r>
    </w:p>
    <w:p w14:paraId="70069B5D">
      <w:pPr>
        <w:spacing w:line="360" w:lineRule="auto"/>
        <w:ind w:firstLine="420" w:firstLineChars="200"/>
        <w:rPr>
          <w:rFonts w:ascii="宋体" w:hAnsi="宋体" w:eastAsia="宋体"/>
          <w:b/>
        </w:rPr>
      </w:pPr>
      <w:r>
        <w:rPr>
          <w:rFonts w:hint="eastAsia" w:ascii="宋体" w:hAnsi="宋体" w:eastAsia="宋体"/>
        </w:rPr>
        <w:t>马克思主义认为，无产阶级政党的领导是社会主义事业取得成功的政治保证。离开了无产阶级政党的领导，社会主义事业也就失去了实现社会变革最根本的政治力量。马克思指出：“无产阶级在反对有产阶级联合力量的斗争中，只有把自身组织成为与有产阶级建立的一切旧政党不同的、相对立的政党，才能作为一个阶级来行动”。</w:t>
      </w:r>
      <w:r>
        <w:rPr>
          <w:rStyle w:val="20"/>
          <w:rFonts w:ascii="宋体" w:hAnsi="宋体" w:eastAsia="宋体"/>
        </w:rPr>
        <w:footnoteReference w:id="555"/>
      </w:r>
      <w:r>
        <w:rPr>
          <w:rFonts w:hint="eastAsia" w:ascii="宋体" w:hAnsi="宋体" w:eastAsia="宋体"/>
        </w:rPr>
        <w:t>只有在无产阶级政党的领导下，群众才会被动员起来，才会形成强大的政治力量，社会主义革命和建设事业才会有坚强的组织基础。列宁更是一针见血地指出：“在我国，国家政权的一切政治经济工作都是由工人阶级觉悟的先锋队共产党领导。”</w:t>
      </w:r>
      <w:r>
        <w:rPr>
          <w:rStyle w:val="20"/>
          <w:rFonts w:ascii="宋体" w:hAnsi="宋体" w:eastAsia="宋体"/>
        </w:rPr>
        <w:footnoteReference w:id="556"/>
      </w:r>
      <w:r>
        <w:rPr>
          <w:rFonts w:hint="eastAsia" w:ascii="宋体" w:hAnsi="宋体" w:eastAsia="宋体"/>
        </w:rPr>
        <w:t>无产阶级政党对社会主义国家政权的领导和对社会主义经济建设的领导确保了社会主义各项事业顺利进行。</w:t>
      </w:r>
    </w:p>
    <w:p w14:paraId="781C0B08">
      <w:pPr>
        <w:spacing w:line="360" w:lineRule="auto"/>
        <w:ind w:firstLine="420" w:firstLineChars="200"/>
        <w:rPr>
          <w:rFonts w:ascii="宋体" w:hAnsi="宋体" w:eastAsia="宋体"/>
          <w:bCs/>
        </w:rPr>
      </w:pPr>
      <w:r>
        <w:rPr>
          <w:rFonts w:hint="eastAsia" w:ascii="宋体" w:hAnsi="宋体" w:eastAsia="宋体"/>
        </w:rPr>
        <w:t>习近平丰富和发展了社会主义政治本质的理论。</w:t>
      </w:r>
      <w:r>
        <w:rPr>
          <w:rFonts w:hint="eastAsia" w:ascii="宋体" w:hAnsi="宋体" w:eastAsia="宋体"/>
          <w:b/>
          <w:bCs/>
        </w:rPr>
        <w:t>第一，提出中国共产党领导是中国特色社会主义最本质的特征。</w:t>
      </w:r>
      <w:r>
        <w:rPr>
          <w:rFonts w:hint="eastAsia" w:ascii="宋体" w:hAnsi="宋体" w:eastAsia="宋体"/>
        </w:rPr>
        <w:t>习近平在十九届中央政治局第六次集体学习时指出：“中国特色社会主义最本质的特征是中国共产党领导，中国特色社会主义制度的最大优势是中国共产党领导，党是最高政治领导力量。”</w:t>
      </w:r>
      <w:r>
        <w:rPr>
          <w:rStyle w:val="20"/>
          <w:rFonts w:ascii="宋体" w:hAnsi="宋体" w:eastAsia="宋体"/>
        </w:rPr>
        <w:footnoteReference w:id="557"/>
      </w:r>
      <w:r>
        <w:rPr>
          <w:rFonts w:hint="eastAsia" w:ascii="宋体" w:hAnsi="宋体" w:eastAsia="宋体"/>
          <w:bCs/>
        </w:rPr>
        <w:t>把</w:t>
      </w:r>
      <w:r>
        <w:rPr>
          <w:rFonts w:hint="eastAsia" w:ascii="宋体" w:hAnsi="宋体" w:eastAsia="宋体"/>
        </w:rPr>
        <w:t>中国共产党的领导</w:t>
      </w:r>
      <w:r>
        <w:rPr>
          <w:rFonts w:hint="eastAsia" w:ascii="宋体" w:hAnsi="宋体" w:eastAsia="宋体"/>
          <w:bCs/>
        </w:rPr>
        <w:t>与社会主义的政治本质以及最深层次的本质相联系，是科学社会主义的基本原则与中国特色社会主义发展实践相结合所形成的理论创新成果，也是对党的执政规律和社会主义建设规律的深化认识。这与列宁关于政治是经济的集中体现的思想是一致的。</w:t>
      </w:r>
    </w:p>
    <w:p w14:paraId="3DC3911A">
      <w:pPr>
        <w:spacing w:line="360" w:lineRule="auto"/>
        <w:ind w:firstLine="420" w:firstLineChars="200"/>
        <w:rPr>
          <w:rFonts w:ascii="宋体" w:hAnsi="宋体" w:eastAsia="宋体"/>
        </w:rPr>
      </w:pPr>
      <w:r>
        <w:rPr>
          <w:rFonts w:hint="eastAsia" w:ascii="宋体" w:hAnsi="宋体" w:eastAsia="宋体"/>
          <w:b/>
        </w:rPr>
        <w:t>第二，提出中国共产党是中国特色社会主义事业的领导核心，坚持党的领导是社会主义政治的本根</w:t>
      </w:r>
      <w:r>
        <w:rPr>
          <w:rFonts w:hint="eastAsia" w:ascii="宋体" w:hAnsi="宋体" w:eastAsia="宋体"/>
        </w:rPr>
        <w:t>。</w:t>
      </w:r>
      <w:r>
        <w:rPr>
          <w:rFonts w:hint="eastAsia" w:ascii="宋体" w:hAnsi="宋体" w:eastAsia="宋体"/>
          <w:bCs/>
        </w:rPr>
        <w:t>在中国共产党的领导下，中国的革命、建设、改革事业取得了巨大的成就，中国的政治稳定、经济发展、民族团结、社会稳定有了最根本的政治保障。可以说，中国共产党是实现中国特色社会主义事业发展的最根本的政治力量，坚持中国共产党的领导是做好党和国家各项工作的根本保证。正如</w:t>
      </w:r>
      <w:r>
        <w:rPr>
          <w:rFonts w:hint="eastAsia" w:ascii="宋体" w:hAnsi="宋体" w:eastAsia="宋体"/>
        </w:rPr>
        <w:t>习近平所揭示的，“我们治国理政的本根，就是中国共产党领导和社会主义制度。”</w:t>
      </w:r>
      <w:r>
        <w:rPr>
          <w:rStyle w:val="20"/>
          <w:rFonts w:ascii="宋体" w:hAnsi="宋体" w:eastAsia="宋体"/>
        </w:rPr>
        <w:footnoteReference w:id="558"/>
      </w:r>
      <w:r>
        <w:rPr>
          <w:rFonts w:ascii="宋体" w:hAnsi="宋体" w:eastAsia="宋体"/>
        </w:rPr>
        <w:t xml:space="preserve">  </w:t>
      </w:r>
    </w:p>
    <w:p w14:paraId="63D1B5F8">
      <w:pPr>
        <w:spacing w:line="360" w:lineRule="auto"/>
        <w:ind w:firstLine="526" w:firstLineChars="250"/>
        <w:rPr>
          <w:rFonts w:ascii="宋体" w:hAnsi="宋体" w:eastAsia="宋体"/>
          <w:bCs/>
        </w:rPr>
      </w:pPr>
      <w:r>
        <w:rPr>
          <w:rFonts w:hint="eastAsia" w:ascii="宋体" w:hAnsi="宋体" w:eastAsia="宋体"/>
          <w:b/>
        </w:rPr>
        <w:t>第三，提出坚持党的领导体现了中国特色社会主义制度的政治优势</w:t>
      </w:r>
      <w:r>
        <w:rPr>
          <w:rFonts w:hint="eastAsia" w:ascii="宋体" w:hAnsi="宋体" w:eastAsia="宋体"/>
          <w:bCs/>
        </w:rPr>
        <w:t>。党政军民学，东西南北中，党是领导一切的。</w:t>
      </w:r>
      <w:r>
        <w:rPr>
          <w:rFonts w:hint="eastAsia" w:ascii="宋体" w:hAnsi="宋体" w:eastAsia="宋体"/>
        </w:rPr>
        <w:t>中国共产党的领导有利于集中力量办大事，充分体现了中国特色社会主义制度的政治优势。无论是全面建成小康社会的伟大胜利，还是开启社会主义现代化强国建设的新征程，在中国共产党的领导下，以公有企事业单位为主力，社会的人力、物力、财力被充分地调动起来了，全国人民大团结的政治局面不断巩固，中国特色社会主义事业势如破竹，稳步向前。特别是面对突如其来的新冠肺炎疫情全球大流行，在中国共产党的领导下，全国人民一致抗疫，打赢了疫情防控的阻击战，这再一次体现了中国共产党的英明领导和集中力量办大事的政治经济优势。正如</w:t>
      </w:r>
      <w:r>
        <w:rPr>
          <w:rFonts w:hint="eastAsia" w:ascii="宋体" w:hAnsi="宋体" w:eastAsia="宋体"/>
          <w:bCs/>
        </w:rPr>
        <w:t>习近平所明示的：“这次应对新冠肺炎疫情全球大流行，各国的领导力和制度优越性如何，高下立判。时与势在我们一边，这是我们定力和底气所在，也是我们的决心和信心所在。”</w:t>
      </w:r>
      <w:r>
        <w:rPr>
          <w:rStyle w:val="20"/>
          <w:rFonts w:ascii="宋体" w:hAnsi="宋体" w:eastAsia="宋体"/>
        </w:rPr>
        <w:footnoteReference w:id="559"/>
      </w:r>
    </w:p>
    <w:p w14:paraId="7BF5A605">
      <w:pPr>
        <w:spacing w:line="360" w:lineRule="auto"/>
        <w:ind w:firstLine="631" w:firstLineChars="300"/>
        <w:rPr>
          <w:rFonts w:ascii="宋体" w:hAnsi="宋体" w:eastAsia="宋体"/>
          <w:b/>
          <w:bCs/>
        </w:rPr>
      </w:pPr>
    </w:p>
    <w:p w14:paraId="7E6F3F66">
      <w:pPr>
        <w:spacing w:line="360" w:lineRule="auto"/>
        <w:ind w:firstLine="631" w:firstLineChars="300"/>
        <w:rPr>
          <w:rFonts w:ascii="宋体" w:hAnsi="宋体" w:eastAsia="宋体"/>
          <w:b/>
          <w:bCs/>
        </w:rPr>
      </w:pPr>
      <w:r>
        <w:rPr>
          <w:rFonts w:hint="eastAsia" w:ascii="宋体" w:hAnsi="宋体" w:eastAsia="宋体"/>
          <w:b/>
          <w:bCs/>
        </w:rPr>
        <w:t>四、坚持马克思主义及其中国化理论指导是中国特色社会主义的文化本质</w:t>
      </w:r>
    </w:p>
    <w:p w14:paraId="6E7C9065">
      <w:pPr>
        <w:spacing w:line="360" w:lineRule="auto"/>
        <w:ind w:firstLine="420" w:firstLineChars="200"/>
        <w:rPr>
          <w:rFonts w:ascii="宋体" w:hAnsi="宋体" w:eastAsia="宋体"/>
          <w:bCs/>
        </w:rPr>
      </w:pPr>
      <w:r>
        <w:rPr>
          <w:rFonts w:hint="eastAsia" w:ascii="宋体" w:hAnsi="宋体" w:eastAsia="宋体"/>
        </w:rPr>
        <w:t>马克思主义理论是无产阶级政党的行动指南与思想理论基础，是无产阶级政党能够取得事业成功的思想保证，也是社会主义思想文化体系的核心和灵魂。恩格斯指出，“我们党有个很大的优点，就是有一个新的科学的世界观作为理论的基础。”</w:t>
      </w:r>
      <w:r>
        <w:rPr>
          <w:rStyle w:val="20"/>
          <w:rFonts w:ascii="宋体" w:hAnsi="宋体" w:eastAsia="宋体"/>
        </w:rPr>
        <w:footnoteReference w:id="560"/>
      </w:r>
      <w:r>
        <w:rPr>
          <w:rFonts w:ascii="宋体" w:hAnsi="宋体" w:eastAsia="宋体"/>
        </w:rPr>
        <w:t>毛泽东在《新民主主义论》中写道：“</w:t>
      </w:r>
      <w:r>
        <w:rPr>
          <w:rFonts w:hint="eastAsia" w:ascii="宋体" w:hAnsi="宋体" w:eastAsia="宋体"/>
          <w:shd w:val="clear" w:color="auto" w:fill="FFFFFF"/>
        </w:rPr>
        <w:t>在‘五四’以后，中国产生了完全崭新的文化生力军，这就是中国共产党人所领导的共产主义的文化思想，即共产主义的宇宙观和社会革命论”。</w:t>
      </w:r>
      <w:r>
        <w:rPr>
          <w:rStyle w:val="20"/>
          <w:rFonts w:ascii="宋体" w:hAnsi="宋体" w:eastAsia="宋体"/>
          <w:shd w:val="clear" w:color="auto" w:fill="FFFFFF"/>
        </w:rPr>
        <w:footnoteReference w:id="561"/>
      </w:r>
      <w:r>
        <w:rPr>
          <w:rFonts w:hint="eastAsia" w:ascii="宋体" w:hAnsi="宋体" w:eastAsia="宋体"/>
          <w:bCs/>
        </w:rPr>
        <w:t>邓小平强调说：“属于文化领域的东西，一定要用马克思主义对它们的思想内容和表现方法进行分析、鉴别和批判”</w:t>
      </w:r>
      <w:r>
        <w:rPr>
          <w:rStyle w:val="20"/>
          <w:rFonts w:ascii="宋体" w:hAnsi="宋体" w:eastAsia="宋体"/>
        </w:rPr>
        <w:footnoteReference w:id="562"/>
      </w:r>
      <w:r>
        <w:rPr>
          <w:rFonts w:hint="eastAsia" w:ascii="宋体" w:hAnsi="宋体" w:eastAsia="宋体"/>
          <w:bCs/>
        </w:rPr>
        <w:t>。针对思想文化领域中存在的种种乱象，他进一步指出：“一定要彻底扭转这种不正常的局面，使得马克思的和社会主义、共产主义的宣传，特别是在一切重大理论性、原则性问题上的正确观点，在思想界真正发挥主导作用。”</w:t>
      </w:r>
      <w:r>
        <w:rPr>
          <w:rStyle w:val="20"/>
          <w:rFonts w:ascii="宋体" w:hAnsi="宋体" w:eastAsia="宋体"/>
        </w:rPr>
        <w:footnoteReference w:id="563"/>
      </w:r>
      <w:r>
        <w:rPr>
          <w:rFonts w:ascii="宋体" w:hAnsi="宋体" w:eastAsia="宋体"/>
          <w:bCs/>
        </w:rPr>
        <w:t xml:space="preserve"> </w:t>
      </w:r>
    </w:p>
    <w:p w14:paraId="7DF7F797">
      <w:pPr>
        <w:spacing w:line="360" w:lineRule="auto"/>
        <w:ind w:firstLine="420" w:firstLineChars="200"/>
        <w:rPr>
          <w:rFonts w:ascii="宋体" w:hAnsi="宋体" w:eastAsia="宋体"/>
        </w:rPr>
      </w:pPr>
      <w:r>
        <w:rPr>
          <w:rFonts w:hint="eastAsia" w:ascii="宋体" w:hAnsi="宋体" w:eastAsia="宋体"/>
        </w:rPr>
        <w:t>遵循习近平新时代中国特色社会主义思想的精神，马克思主义是我们立党立国的根本指导思想，马克思主义及其中国化理论指导是中国特色社会主义的文化本质特征。在习近平的相关系列论述中：</w:t>
      </w:r>
      <w:r>
        <w:rPr>
          <w:rFonts w:hint="eastAsia" w:ascii="宋体" w:hAnsi="宋体" w:eastAsia="宋体"/>
          <w:b/>
          <w:bCs/>
        </w:rPr>
        <w:t>第一，提出在马克思主义指导下，坚持中国特色社会主义的共同理想是全党全国人民团结奋斗共同的思想基础。</w:t>
      </w:r>
      <w:r>
        <w:rPr>
          <w:rFonts w:hint="eastAsia" w:ascii="宋体" w:hAnsi="宋体" w:eastAsia="宋体"/>
        </w:rPr>
        <w:t>共产主义远大理想和中国特色社会主义共同理想凝聚着一代又一代中国共产党人的不懈追求和英勇奋斗。正是在这一理想信念的激励和引领下，中国共产党才具有高度的理论自觉、政治自觉和实践自觉，才会带领中国人民和中华民族取得了伟大的成就。因此，树立共产主义的远大理想和中国特色社会主义的共同理想，凝结了中国共产党人和中国人民的共同思想基础，使中国人民和中华民族有了共同的信仰。正如习近平所指出的：“宣传思想文化工作必须牢牢把握巩固马克思主义在意识形态领域指导地位、巩固全党全国人民团结奋斗共同思想基础的根本任务。”</w:t>
      </w:r>
      <w:r>
        <w:rPr>
          <w:rFonts w:ascii="宋体" w:hAnsi="宋体" w:eastAsia="宋体"/>
          <w:vertAlign w:val="superscript"/>
        </w:rPr>
        <w:footnoteReference w:id="564"/>
      </w:r>
    </w:p>
    <w:p w14:paraId="2D6AD832">
      <w:pPr>
        <w:spacing w:line="360" w:lineRule="auto"/>
        <w:ind w:firstLine="412" w:firstLineChars="196"/>
        <w:rPr>
          <w:rFonts w:ascii="宋体" w:hAnsi="宋体" w:eastAsia="宋体"/>
          <w:b/>
          <w:bCs/>
        </w:rPr>
      </w:pPr>
      <w:r>
        <w:rPr>
          <w:rFonts w:hint="eastAsia" w:ascii="宋体" w:hAnsi="宋体" w:eastAsia="宋体"/>
          <w:b/>
        </w:rPr>
        <w:t>第二，提出马克思主义及其中国化理论指导为我国文化强国建设指明了正确方向。</w:t>
      </w:r>
      <w:r>
        <w:rPr>
          <w:rFonts w:hint="eastAsia" w:ascii="宋体" w:hAnsi="宋体" w:eastAsia="宋体"/>
          <w:bCs/>
        </w:rPr>
        <w:t>实现中华民族伟大复兴，需要物质文明极大发展，也需要精神文明极大发展，建设社会主义文化强国是中华民族几千年文化积淀赋予中国共产党人的历史使命。新时代以来，以习近平总书记为核心的党中央以马克思主义为指导，坚守中华文化立场，立足当代中国现实，结合当今时代条件，积极发展面向现代化、面向世界、面向未来的，民族的科学的大众的社会主义文化，走中国特色社会主义文化发展道路，为社会主义文化强国建设指明了正确方向。</w:t>
      </w:r>
    </w:p>
    <w:p w14:paraId="1E497426">
      <w:pPr>
        <w:numPr>
          <w:ilvl w:val="0"/>
          <w:numId w:val="8"/>
        </w:numPr>
        <w:spacing w:line="360" w:lineRule="auto"/>
        <w:ind w:firstLine="526" w:firstLineChars="250"/>
        <w:rPr>
          <w:rFonts w:ascii="宋体" w:hAnsi="宋体" w:eastAsia="宋体"/>
          <w:bCs/>
        </w:rPr>
      </w:pPr>
      <w:r>
        <w:rPr>
          <w:rFonts w:hint="eastAsia" w:ascii="宋体" w:hAnsi="宋体" w:eastAsia="宋体"/>
          <w:b/>
        </w:rPr>
        <w:t>提出马克思主义及其中国化理论指导是构建中国特色哲学社会科学、掌握</w:t>
      </w:r>
      <w:r>
        <w:rPr>
          <w:rFonts w:hint="eastAsia" w:ascii="宋体" w:hAnsi="宋体" w:eastAsia="宋体"/>
          <w:b/>
          <w:bCs/>
        </w:rPr>
        <w:t>国际</w:t>
      </w:r>
      <w:r>
        <w:rPr>
          <w:rFonts w:hint="eastAsia" w:ascii="宋体" w:hAnsi="宋体" w:eastAsia="宋体"/>
          <w:b/>
        </w:rPr>
        <w:t>话语权的重要条件。</w:t>
      </w:r>
      <w:r>
        <w:rPr>
          <w:rFonts w:hint="eastAsia" w:ascii="宋体" w:hAnsi="宋体" w:eastAsia="宋体"/>
        </w:rPr>
        <w:t>习近平指出，“坚持以马克思主义为指导，是当代中国哲学社会科学区别于其他哲学社会科学的根本标志，必须旗帜鲜明加以坚持。”</w:t>
      </w:r>
      <w:r>
        <w:rPr>
          <w:rFonts w:ascii="宋体" w:hAnsi="宋体" w:eastAsia="宋体"/>
        </w:rPr>
        <w:t xml:space="preserve"> </w:t>
      </w:r>
      <w:r>
        <w:rPr>
          <w:rStyle w:val="20"/>
          <w:rFonts w:ascii="宋体" w:hAnsi="宋体" w:eastAsia="宋体"/>
        </w:rPr>
        <w:footnoteReference w:id="565"/>
      </w:r>
      <w:r>
        <w:rPr>
          <w:rFonts w:hint="eastAsia" w:ascii="宋体" w:hAnsi="宋体" w:eastAsia="宋体"/>
          <w:bCs/>
        </w:rPr>
        <w:t>如果不坚持马克思主义为指导，哲学社会科学就会失去灵魂、迷失方向，最终也不能发挥应有的作用。因此，当今的中国要形成具有中国特色、中国风格、中国气派的哲学社会科学，就必须要坚持马克思主义的理论指导，注重哲学社会科学的继承性和民族性、原创性和时代性、系统性和专业性，不断发挥马克思主义基本理论的学科优势，更加及时地发出中国声音、更加鲜明地展现中国思想、更加响亮地提出中国主张。</w:t>
      </w:r>
    </w:p>
    <w:p w14:paraId="3359CC5E">
      <w:pPr>
        <w:spacing w:line="360" w:lineRule="auto"/>
        <w:ind w:firstLine="841" w:firstLineChars="400"/>
        <w:rPr>
          <w:rFonts w:ascii="宋体" w:hAnsi="宋体" w:eastAsia="宋体"/>
          <w:b/>
          <w:bCs/>
        </w:rPr>
      </w:pPr>
    </w:p>
    <w:p w14:paraId="389C8648">
      <w:pPr>
        <w:spacing w:line="360" w:lineRule="auto"/>
        <w:ind w:firstLine="841" w:firstLineChars="400"/>
        <w:rPr>
          <w:rFonts w:ascii="宋体" w:hAnsi="宋体" w:eastAsia="宋体"/>
        </w:rPr>
      </w:pPr>
      <w:r>
        <w:rPr>
          <w:rFonts w:hint="eastAsia" w:ascii="宋体" w:hAnsi="宋体" w:eastAsia="宋体"/>
          <w:b/>
          <w:bCs/>
        </w:rPr>
        <w:t>五、坚持以人民为中心的社会和谐是中国特色社会主义的社会本质</w:t>
      </w:r>
    </w:p>
    <w:p w14:paraId="27E16CD9">
      <w:pPr>
        <w:spacing w:line="360" w:lineRule="auto"/>
        <w:ind w:firstLine="420" w:firstLineChars="200"/>
        <w:rPr>
          <w:rFonts w:ascii="宋体" w:hAnsi="宋体" w:eastAsia="宋体"/>
        </w:rPr>
      </w:pPr>
      <w:r>
        <w:rPr>
          <w:rFonts w:hint="eastAsia" w:ascii="宋体" w:hAnsi="宋体" w:eastAsia="宋体"/>
        </w:rPr>
        <w:t>在社会占有生产资料和生产力高度发达的基础上，建立一个自由人的联合体，实现人的自由全面发展和社会的真正和谐，是马克思主义者的社会理想和奋斗目标。恩</w:t>
      </w:r>
      <w:r>
        <w:rPr>
          <w:rFonts w:hint="eastAsia" w:ascii="宋体" w:hAnsi="宋体" w:eastAsia="宋体"/>
          <w:spacing w:val="2"/>
        </w:rPr>
        <w:t>格斯指出：一旦社</w:t>
      </w:r>
      <w:r>
        <w:rPr>
          <w:rFonts w:hint="eastAsia" w:ascii="宋体" w:hAnsi="宋体" w:eastAsia="宋体"/>
        </w:rPr>
        <w:t>会占有了生产资料，</w:t>
      </w:r>
      <w:r>
        <w:rPr>
          <w:rFonts w:ascii="宋体" w:hAnsi="宋体" w:eastAsia="宋体"/>
        </w:rPr>
        <w:t>“</w:t>
      </w:r>
      <w:r>
        <w:rPr>
          <w:rFonts w:hint="eastAsia" w:ascii="宋体" w:hAnsi="宋体" w:eastAsia="宋体"/>
        </w:rPr>
        <w:t>不仅可能保证一切社会成员有富足的和一天比一天充裕的物质生活，而且还可能保证他们的体力和智力获得充分的自由的发展和运用”</w:t>
      </w:r>
      <w:r>
        <w:rPr>
          <w:rStyle w:val="20"/>
          <w:rFonts w:ascii="宋体" w:hAnsi="宋体" w:eastAsia="宋体"/>
        </w:rPr>
        <w:footnoteReference w:id="566"/>
      </w:r>
      <w:r>
        <w:rPr>
          <w:rFonts w:hint="eastAsia" w:ascii="宋体" w:hAnsi="宋体" w:eastAsia="宋体"/>
        </w:rPr>
        <w:t>。列宁说：社会主义生产是要“保证社会全体成员的充分福利和自由的全面发展”</w:t>
      </w:r>
      <w:r>
        <w:rPr>
          <w:rStyle w:val="20"/>
          <w:rFonts w:ascii="宋体" w:hAnsi="宋体" w:eastAsia="宋体"/>
        </w:rPr>
        <w:footnoteReference w:id="567"/>
      </w:r>
      <w:r>
        <w:rPr>
          <w:rFonts w:hint="eastAsia" w:ascii="宋体" w:hAnsi="宋体" w:eastAsia="宋体"/>
        </w:rPr>
        <w:t>，“只有社会主义才可能广泛推行和真正支配根据科学原则进行的产品的社会生产和分配，以便使所有劳动者过最美好的、最幸福的生活。只有社会主义才能实现这一点”</w:t>
      </w:r>
      <w:r>
        <w:rPr>
          <w:rStyle w:val="20"/>
          <w:rFonts w:ascii="宋体" w:hAnsi="宋体" w:eastAsia="宋体"/>
        </w:rPr>
        <w:footnoteReference w:id="568"/>
      </w:r>
      <w:r>
        <w:rPr>
          <w:rFonts w:hint="eastAsia" w:ascii="宋体" w:hAnsi="宋体" w:eastAsia="宋体"/>
        </w:rPr>
        <w:t>。</w:t>
      </w:r>
    </w:p>
    <w:p w14:paraId="534CB617">
      <w:pPr>
        <w:spacing w:line="360" w:lineRule="auto"/>
        <w:ind w:firstLine="420" w:firstLineChars="200"/>
        <w:rPr>
          <w:rFonts w:ascii="宋体" w:hAnsi="宋体" w:eastAsia="宋体"/>
        </w:rPr>
      </w:pPr>
      <w:r>
        <w:rPr>
          <w:rFonts w:hint="eastAsia" w:ascii="宋体" w:hAnsi="宋体" w:eastAsia="宋体"/>
        </w:rPr>
        <w:t>习近平指出，“社会和谐是中国特色社会主义的本质属性”。</w:t>
      </w:r>
      <w:r>
        <w:rPr>
          <w:rStyle w:val="20"/>
          <w:rFonts w:ascii="宋体" w:hAnsi="宋体" w:eastAsia="宋体"/>
        </w:rPr>
        <w:footnoteReference w:id="569"/>
      </w:r>
      <w:r>
        <w:rPr>
          <w:rFonts w:hint="eastAsia" w:ascii="宋体" w:hAnsi="宋体" w:eastAsia="宋体"/>
        </w:rPr>
        <w:t>社会主义就是要实现好维护好发展好最广大人民群众的根本利益，使全体人民在根本利益一致的基础上实现共同富裕和社会和谐，这充分体现了中国特色社会主义的社会本质。</w:t>
      </w:r>
    </w:p>
    <w:p w14:paraId="2988AC13">
      <w:pPr>
        <w:spacing w:line="360" w:lineRule="auto"/>
        <w:ind w:firstLine="420" w:firstLineChars="200"/>
        <w:rPr>
          <w:rFonts w:ascii="宋体" w:hAnsi="宋体" w:eastAsia="宋体"/>
          <w:b/>
          <w:bCs/>
        </w:rPr>
      </w:pPr>
      <w:r>
        <w:rPr>
          <w:rFonts w:hint="eastAsia" w:ascii="宋体" w:hAnsi="宋体" w:eastAsia="宋体"/>
        </w:rPr>
        <w:t>依据习近平的相关系列论述，</w:t>
      </w:r>
      <w:r>
        <w:rPr>
          <w:rFonts w:hint="eastAsia" w:ascii="宋体" w:hAnsi="宋体" w:eastAsia="宋体"/>
          <w:b/>
          <w:bCs/>
        </w:rPr>
        <w:t>第一，坚持以人民为中心的发展，不断提高全体人民的生活质量，推进社会和谐是社会主义的社会本质属性。</w:t>
      </w:r>
      <w:r>
        <w:rPr>
          <w:rFonts w:asciiTheme="minorHAnsi" w:hAnsiTheme="minorHAnsi" w:eastAsiaTheme="minorEastAsia"/>
          <w:szCs w:val="24"/>
        </w:rPr>
        <w:t>习近平指出，“要随时随刻倾听人民呼声、回应人民期待，保证人民平等参与、平等发展权利，维护社会公平正义，在学有所教、老有所得、病有所医、老有所养、住有所居上持续取得新进展，不断实现好、维护好、发展好最广大人民根本利益，使发展成果更多更公平惠及全体人民，在经济社会不断发展的基础上，朝着共同富裕方向稳步前进”。</w:t>
      </w:r>
      <w:r>
        <w:rPr>
          <w:rStyle w:val="20"/>
          <w:rFonts w:asciiTheme="minorHAnsi" w:hAnsiTheme="minorHAnsi" w:eastAsiaTheme="minorEastAsia"/>
          <w:b/>
          <w:bCs/>
          <w:szCs w:val="24"/>
        </w:rPr>
        <w:footnoteReference w:id="570"/>
      </w:r>
      <w:r>
        <w:rPr>
          <w:rFonts w:asciiTheme="minorHAnsi" w:hAnsiTheme="minorHAnsi" w:eastAsiaTheme="minorEastAsia"/>
        </w:rPr>
        <w:t>中国特色社会主义根植于人民，人民对美好</w:t>
      </w:r>
      <w:r>
        <w:rPr>
          <w:rFonts w:hint="eastAsia" w:ascii="宋体" w:hAnsi="宋体" w:eastAsia="宋体"/>
        </w:rPr>
        <w:t>生活的向往就是中国共产党的奋斗目标。</w:t>
      </w:r>
      <w:r>
        <w:rPr>
          <w:rFonts w:hint="eastAsia" w:ascii="宋体" w:hAnsi="宋体" w:eastAsia="宋体"/>
          <w:bCs/>
        </w:rPr>
        <w:t>中国共产党始终把实现好、维护好、发展好最广大人民的根本利益作为一切工作的出发点和落脚点，不断解决好人民最关心最直接最现实的利益问题，努力让人民过上更好生活，不断确保人民安居乐业、社会安定有序、国家长治久安，以此来推动以人民为中心的和谐社会的发展，这充分体现了社会主义让全体人民过上最美好、最幸福生活的本质要求。</w:t>
      </w:r>
    </w:p>
    <w:p w14:paraId="768F5A89">
      <w:pPr>
        <w:spacing w:line="360" w:lineRule="auto"/>
        <w:ind w:firstLine="420" w:firstLineChars="200"/>
        <w:jc w:val="left"/>
        <w:rPr>
          <w:rFonts w:ascii="宋体" w:hAnsi="宋体" w:eastAsia="宋体"/>
          <w:b/>
          <w:bCs/>
        </w:rPr>
      </w:pPr>
      <w:r>
        <w:rPr>
          <w:rFonts w:hint="eastAsia" w:ascii="宋体" w:hAnsi="宋体" w:eastAsia="宋体"/>
          <w:b/>
          <w:bCs/>
        </w:rPr>
        <w:t>第二，坚持以人民为中心的发展，在维护全体人民根本利益基础上协调好不同利益群体的关系，维护</w:t>
      </w:r>
      <w:r>
        <w:rPr>
          <w:rFonts w:hint="eastAsia" w:ascii="宋体" w:hAnsi="宋体" w:eastAsia="宋体"/>
          <w:b/>
        </w:rPr>
        <w:t>社会公平正义与和谐稳定，</w:t>
      </w:r>
      <w:r>
        <w:rPr>
          <w:rFonts w:hint="eastAsia" w:ascii="宋体" w:hAnsi="宋体" w:eastAsia="宋体"/>
          <w:b/>
          <w:bCs/>
        </w:rPr>
        <w:t>体现了社会主义的社会本质属性。</w:t>
      </w:r>
      <w:r>
        <w:rPr>
          <w:rFonts w:hint="eastAsia" w:ascii="宋体" w:hAnsi="宋体" w:eastAsia="宋体"/>
        </w:rPr>
        <w:t>习近平强调，“要坚持社会主义基本经济制度和分配制度，调整收入分配格局，完善以税收、社会保障、转移支付等为主要手段的再分配调节机制，维护社会公平正义，解决好收入差距问题，使发展成果更多更公平惠及全体人民。”</w:t>
      </w:r>
      <w:r>
        <w:rPr>
          <w:rStyle w:val="20"/>
          <w:rFonts w:ascii="宋体" w:hAnsi="宋体" w:eastAsia="宋体"/>
        </w:rPr>
        <w:footnoteReference w:id="571"/>
      </w:r>
      <w:r>
        <w:rPr>
          <w:rFonts w:hint="eastAsia" w:ascii="宋体" w:hAnsi="宋体" w:eastAsia="宋体"/>
        </w:rPr>
        <w:t>在</w:t>
      </w:r>
      <w:r>
        <w:rPr>
          <w:rFonts w:hint="eastAsia" w:ascii="宋体" w:hAnsi="宋体" w:eastAsia="宋体"/>
          <w:bCs/>
        </w:rPr>
        <w:t>新时代，以习近平总书记为核心的党中央通过全面深化改革，不断破解经济社会发展中的难题，努力缩小地区、城乡之间的发展差距，奋力实现社会的公平正义与和谐稳定。</w:t>
      </w:r>
    </w:p>
    <w:p w14:paraId="5149AF9D">
      <w:pPr>
        <w:spacing w:line="360" w:lineRule="auto"/>
        <w:jc w:val="center"/>
        <w:rPr>
          <w:rFonts w:ascii="宋体" w:hAnsi="宋体" w:eastAsia="宋体"/>
          <w:b/>
          <w:bCs/>
        </w:rPr>
      </w:pPr>
    </w:p>
    <w:p w14:paraId="6B670769">
      <w:pPr>
        <w:spacing w:line="360" w:lineRule="auto"/>
        <w:jc w:val="center"/>
        <w:rPr>
          <w:rFonts w:ascii="宋体" w:hAnsi="宋体" w:eastAsia="宋体"/>
          <w:b/>
          <w:bCs/>
        </w:rPr>
      </w:pPr>
      <w:r>
        <w:rPr>
          <w:rFonts w:hint="eastAsia" w:ascii="宋体" w:hAnsi="宋体" w:eastAsia="宋体"/>
          <w:b/>
          <w:bCs/>
        </w:rPr>
        <w:t>六、坚持人与自然和谐共生是中国特色社会主义的生态文明本质</w:t>
      </w:r>
    </w:p>
    <w:p w14:paraId="4B3B1E3E">
      <w:pPr>
        <w:spacing w:line="360" w:lineRule="auto"/>
        <w:ind w:firstLine="420" w:firstLineChars="200"/>
        <w:rPr>
          <w:rFonts w:ascii="宋体" w:hAnsi="宋体" w:eastAsia="宋体"/>
          <w:bCs/>
        </w:rPr>
      </w:pPr>
      <w:r>
        <w:rPr>
          <w:rFonts w:hint="eastAsia" w:ascii="宋体" w:hAnsi="宋体" w:eastAsia="宋体"/>
          <w:bCs/>
        </w:rPr>
        <w:t>人与自然始终处于不可分割的辩证统一体之中。作为辩证唯物主义自然观重要维度的生态文明思想，本质上是对这一统一体的科学把握。恩格斯指出，随着人类社会的进步，人类“自身和自然界的一体性”</w:t>
      </w:r>
      <w:r>
        <w:rPr>
          <w:rStyle w:val="20"/>
          <w:rFonts w:ascii="宋体" w:hAnsi="宋体" w:eastAsia="宋体"/>
        </w:rPr>
        <w:footnoteReference w:id="572"/>
      </w:r>
      <w:r>
        <w:rPr>
          <w:rFonts w:hint="eastAsia" w:ascii="宋体" w:hAnsi="宋体" w:eastAsia="宋体"/>
          <w:bCs/>
        </w:rPr>
        <w:t>就越来越被人们所认识。他警告说：“不要过分陶醉于我们人类对自然界的胜利。对于每一次这样的胜利，自然界都对我们进行报复。”</w:t>
      </w:r>
      <w:r>
        <w:rPr>
          <w:rStyle w:val="20"/>
          <w:rFonts w:ascii="宋体" w:hAnsi="宋体" w:eastAsia="宋体"/>
        </w:rPr>
        <w:footnoteReference w:id="573"/>
      </w:r>
    </w:p>
    <w:p w14:paraId="5CF1335A">
      <w:pPr>
        <w:spacing w:line="360" w:lineRule="auto"/>
        <w:ind w:firstLine="420" w:firstLineChars="200"/>
        <w:rPr>
          <w:rFonts w:ascii="宋体" w:hAnsi="宋体" w:eastAsia="宋体"/>
          <w:bCs/>
        </w:rPr>
      </w:pPr>
      <w:r>
        <w:rPr>
          <w:rFonts w:hint="eastAsia" w:ascii="宋体" w:hAnsi="宋体" w:eastAsia="宋体"/>
          <w:bCs/>
        </w:rPr>
        <w:t>习近平提出的“人与自然和谐共生”</w:t>
      </w:r>
      <w:r>
        <w:rPr>
          <w:rStyle w:val="20"/>
          <w:rFonts w:ascii="宋体" w:hAnsi="宋体" w:eastAsia="宋体"/>
        </w:rPr>
        <w:footnoteReference w:id="574"/>
      </w:r>
      <w:r>
        <w:rPr>
          <w:rFonts w:hint="eastAsia" w:ascii="宋体" w:hAnsi="宋体" w:eastAsia="宋体"/>
          <w:bCs/>
        </w:rPr>
        <w:t>的思想，反映了中国特色社会主义的生态文明本质。</w:t>
      </w:r>
      <w:r>
        <w:rPr>
          <w:rFonts w:hint="eastAsia" w:ascii="宋体" w:hAnsi="宋体" w:eastAsia="宋体"/>
          <w:b/>
        </w:rPr>
        <w:t>第一，揭示出两种社会制度的生态文明本质特征。</w:t>
      </w:r>
      <w:r>
        <w:rPr>
          <w:rFonts w:hint="eastAsia" w:ascii="宋体" w:hAnsi="宋体" w:eastAsia="宋体"/>
          <w:bCs/>
        </w:rPr>
        <w:t>习近平曾说：“从上世纪</w:t>
      </w:r>
      <w:r>
        <w:rPr>
          <w:rFonts w:ascii="宋体" w:hAnsi="宋体" w:eastAsia="宋体"/>
          <w:bCs/>
        </w:rPr>
        <w:t>30</w:t>
      </w:r>
      <w:r>
        <w:rPr>
          <w:rFonts w:hint="eastAsia" w:ascii="宋体" w:hAnsi="宋体" w:eastAsia="宋体"/>
          <w:bCs/>
        </w:rPr>
        <w:t>年代开始，一些西方国家相继发生多起环境公害事件，损失巨大，震惊世界，引发了人们对资本主义发展模式的深刻反思。”</w:t>
      </w:r>
      <w:r>
        <w:rPr>
          <w:rStyle w:val="20"/>
          <w:rFonts w:ascii="宋体" w:hAnsi="宋体" w:eastAsia="宋体"/>
        </w:rPr>
        <w:footnoteReference w:id="575"/>
      </w:r>
      <w:r>
        <w:rPr>
          <w:rFonts w:hint="eastAsia" w:ascii="宋体" w:hAnsi="宋体" w:eastAsia="宋体"/>
          <w:bCs/>
        </w:rPr>
        <w:t>与片面追逐私人利润最大化而不惜以破坏生态环境为代价的资本主义制度相比，“人与自然和谐共生”成为中国特色社会主义在生态文明层面的鲜明本质。资本主义的生态危机与生产资料私有制直接相关，是资本逐利性的直接产物，而且发达资本主义国家经常把本国的生态环境问题转嫁给广大发展中国家。因此，“生态环境问题归根结底是发展方式和生活方式问题，要从根本上解决生态环境问题，必须贯彻创新、协调、绿色、开放、共享的发展理念。”</w:t>
      </w:r>
      <w:r>
        <w:rPr>
          <w:rStyle w:val="20"/>
          <w:rFonts w:ascii="宋体" w:hAnsi="宋体" w:eastAsia="宋体"/>
        </w:rPr>
        <w:footnoteReference w:id="576"/>
      </w:r>
      <w:r>
        <w:rPr>
          <w:rFonts w:hint="eastAsia" w:ascii="宋体" w:hAnsi="宋体" w:eastAsia="宋体"/>
          <w:bCs/>
        </w:rPr>
        <w:t>与贯彻新发展理念、以公有制为主体、以人民为中心的社会主义生产方式，更加彰显出“人与自然和谐共生”的中国特色社会主义生态本质。</w:t>
      </w:r>
    </w:p>
    <w:p w14:paraId="0D7F9185">
      <w:pPr>
        <w:numPr>
          <w:ilvl w:val="0"/>
          <w:numId w:val="9"/>
        </w:numPr>
        <w:spacing w:line="360" w:lineRule="auto"/>
        <w:ind w:firstLine="480"/>
        <w:rPr>
          <w:rFonts w:ascii="宋体" w:hAnsi="宋体" w:eastAsia="宋体"/>
          <w:bCs/>
        </w:rPr>
      </w:pPr>
      <w:r>
        <w:rPr>
          <w:rFonts w:hint="eastAsia" w:ascii="宋体" w:hAnsi="宋体" w:eastAsia="宋体"/>
          <w:b/>
        </w:rPr>
        <w:t>“绿水青山就是金山银山”的理念丰富与发展了生态文明本质。</w:t>
      </w:r>
      <w:r>
        <w:rPr>
          <w:rFonts w:hint="eastAsia" w:ascii="宋体" w:hAnsi="宋体" w:eastAsia="宋体"/>
          <w:bCs/>
        </w:rPr>
        <w:t>习近平指出：“我们既要绿水青山，也要金山银山。宁要绿水青山，不要金山银山，而且绿水青山就是金山银山。”</w:t>
      </w:r>
      <w:r>
        <w:rPr>
          <w:rStyle w:val="20"/>
          <w:rFonts w:ascii="宋体" w:hAnsi="宋体" w:eastAsia="宋体"/>
        </w:rPr>
        <w:footnoteReference w:id="577"/>
      </w:r>
      <w:r>
        <w:rPr>
          <w:rFonts w:hint="eastAsia" w:ascii="宋体" w:hAnsi="宋体" w:eastAsia="宋体"/>
          <w:bCs/>
        </w:rPr>
        <w:t>这一本质要求在经济发展与环境保护发生冲突时，必须把保护环境放在首位，绿水青山比金山银山更具战略价值。这就从生态文明的本质上把握了人与自然之间关系的战略定位。他进一步指出：“绿水青山既是自然财富、生态财富，又是社会财富、经济财富。保护生态环境就是保护自然价值和增值自然资本，就是保护经济社会发展潜力和后劲，使绿水青山持续发挥生态效益和经济社会效益。”</w:t>
      </w:r>
      <w:r>
        <w:rPr>
          <w:rStyle w:val="20"/>
          <w:rFonts w:ascii="宋体" w:hAnsi="宋体" w:eastAsia="宋体"/>
        </w:rPr>
        <w:footnoteReference w:id="578"/>
      </w:r>
      <w:r>
        <w:rPr>
          <w:rFonts w:hint="eastAsia" w:ascii="宋体" w:hAnsi="宋体" w:eastAsia="宋体"/>
          <w:bCs/>
        </w:rPr>
        <w:t>这就是说，保护生态环境就是保护生产力、改善生态环境就是发展生产力。</w:t>
      </w:r>
    </w:p>
    <w:p w14:paraId="326D652C">
      <w:pPr>
        <w:numPr>
          <w:ilvl w:val="255"/>
          <w:numId w:val="0"/>
        </w:numPr>
        <w:spacing w:line="360" w:lineRule="auto"/>
        <w:ind w:firstLine="420" w:firstLineChars="200"/>
        <w:rPr>
          <w:rFonts w:ascii="宋体" w:hAnsi="宋体" w:eastAsia="宋体"/>
          <w:bCs/>
        </w:rPr>
      </w:pPr>
      <w:r>
        <w:rPr>
          <w:rFonts w:hint="eastAsia" w:ascii="宋体" w:hAnsi="宋体" w:eastAsia="宋体"/>
          <w:b/>
        </w:rPr>
        <w:t>第三，通过构建人与自然生命共同体丰富与发展了生态文明本质。</w:t>
      </w:r>
      <w:r>
        <w:rPr>
          <w:rFonts w:hint="eastAsia" w:ascii="宋体" w:hAnsi="宋体" w:eastAsia="宋体"/>
          <w:bCs/>
        </w:rPr>
        <w:t>构建人与自然生命共同体是构建人类命运共同体和实现可持续发展的题中应有之义。习近平强调：“人与自然是生命共同体。”</w:t>
      </w:r>
      <w:r>
        <w:rPr>
          <w:rStyle w:val="20"/>
          <w:rFonts w:ascii="宋体" w:hAnsi="宋体" w:eastAsia="宋体"/>
        </w:rPr>
        <w:footnoteReference w:id="579"/>
      </w:r>
      <w:r>
        <w:rPr>
          <w:rFonts w:hint="eastAsia" w:ascii="宋体" w:hAnsi="宋体" w:eastAsia="宋体"/>
          <w:bCs/>
        </w:rPr>
        <w:t>“地球是人类共同的、唯一的家园”</w:t>
      </w:r>
      <w:r>
        <w:rPr>
          <w:rStyle w:val="20"/>
          <w:rFonts w:ascii="宋体" w:hAnsi="宋体" w:eastAsia="宋体"/>
        </w:rPr>
        <w:footnoteReference w:id="580"/>
      </w:r>
      <w:r>
        <w:rPr>
          <w:rFonts w:hint="eastAsia" w:ascii="宋体" w:hAnsi="宋体" w:eastAsia="宋体"/>
          <w:bCs/>
        </w:rPr>
        <w:t>。“建设美丽家园是人类的共同梦想。面对生态环境挑战，人类史一荣俱荣、一损俱损的命运共同体，没有哪个国家能独善其身。”</w:t>
      </w:r>
      <w:r>
        <w:rPr>
          <w:rStyle w:val="20"/>
          <w:rFonts w:ascii="宋体" w:hAnsi="宋体" w:eastAsia="宋体"/>
        </w:rPr>
        <w:footnoteReference w:id="581"/>
      </w:r>
      <w:r>
        <w:rPr>
          <w:rFonts w:hint="eastAsia" w:ascii="宋体" w:hAnsi="宋体" w:eastAsia="宋体"/>
          <w:bCs/>
        </w:rPr>
        <w:t>他在出席</w:t>
      </w:r>
      <w:r>
        <w:rPr>
          <w:rFonts w:ascii="宋体" w:hAnsi="宋体" w:eastAsia="宋体"/>
          <w:bCs/>
        </w:rPr>
        <w:t>2021</w:t>
      </w:r>
      <w:r>
        <w:rPr>
          <w:rFonts w:hint="eastAsia" w:ascii="宋体" w:hAnsi="宋体" w:eastAsia="宋体"/>
          <w:bCs/>
        </w:rPr>
        <w:t>年领导人气候峰会时也强调，要坚持绿色发展，坚持多边主义，坚持共同但有区别的责任原则，共同构建人与自然生命共同体。</w:t>
      </w:r>
      <w:r>
        <w:rPr>
          <w:rStyle w:val="20"/>
          <w:rFonts w:ascii="宋体" w:hAnsi="宋体" w:eastAsia="宋体"/>
        </w:rPr>
        <w:footnoteReference w:id="582"/>
      </w:r>
      <w:r>
        <w:rPr>
          <w:rFonts w:hint="eastAsia" w:ascii="宋体" w:hAnsi="宋体" w:eastAsia="宋体"/>
          <w:bCs/>
        </w:rPr>
        <w:t>人类面临着诸如全球变暖、荒漠化、空气污染、极端气候等共同的生态危机挑战，而从《巴黎协定》的重要贡献者和积极践行者，到“力争</w:t>
      </w:r>
      <w:r>
        <w:rPr>
          <w:rFonts w:ascii="宋体" w:hAnsi="宋体" w:eastAsia="宋体"/>
          <w:bCs/>
        </w:rPr>
        <w:t>2030</w:t>
      </w:r>
      <w:r>
        <w:rPr>
          <w:rFonts w:hint="eastAsia" w:ascii="宋体" w:hAnsi="宋体" w:eastAsia="宋体"/>
          <w:bCs/>
        </w:rPr>
        <w:t>年前二氧化碳排放达到峰值，努力争取</w:t>
      </w:r>
      <w:r>
        <w:rPr>
          <w:rFonts w:ascii="宋体" w:hAnsi="宋体" w:eastAsia="宋体"/>
          <w:bCs/>
        </w:rPr>
        <w:t>2060</w:t>
      </w:r>
      <w:r>
        <w:rPr>
          <w:rFonts w:hint="eastAsia" w:ascii="宋体" w:hAnsi="宋体" w:eastAsia="宋体"/>
          <w:bCs/>
        </w:rPr>
        <w:t>年前实现碳中和”等一系列我国自主贡献的新举措，彰显出习近平生态文明思想是社会主义生态文明本质的科学自信和高度自觉。人与自然和谐共生的生态文明在本质上需要通过人类命运共同体以及人与自然生命共同体建设，世界各国携手合作，共同有效应对全球性生态环境问题。</w:t>
      </w:r>
    </w:p>
    <w:p w14:paraId="7434A4A3">
      <w:pPr>
        <w:spacing w:line="360" w:lineRule="auto"/>
        <w:rPr>
          <w:rFonts w:ascii="宋体" w:hAnsi="宋体" w:eastAsia="宋体"/>
          <w:b/>
          <w:bCs/>
        </w:rPr>
      </w:pPr>
    </w:p>
    <w:p w14:paraId="3F26FD68">
      <w:pPr>
        <w:spacing w:line="360" w:lineRule="auto"/>
        <w:ind w:firstLine="841" w:firstLineChars="400"/>
        <w:rPr>
          <w:rFonts w:ascii="宋体" w:hAnsi="宋体" w:eastAsia="宋体"/>
          <w:b/>
          <w:bCs/>
          <w:color w:val="000000" w:themeColor="text1"/>
          <w14:textFill>
            <w14:solidFill>
              <w14:schemeClr w14:val="tx1"/>
            </w14:solidFill>
          </w14:textFill>
        </w:rPr>
      </w:pPr>
      <w:r>
        <w:rPr>
          <w:rFonts w:hint="eastAsia" w:ascii="宋体" w:hAnsi="宋体" w:eastAsia="宋体"/>
          <w:b/>
          <w:bCs/>
          <w:color w:val="000000" w:themeColor="text1"/>
          <w14:textFill>
            <w14:solidFill>
              <w14:schemeClr w14:val="tx1"/>
            </w14:solidFill>
          </w14:textFill>
        </w:rPr>
        <w:t>七、坚持构建以总体国家安全为基础的人类命运共同体是中国特色社会主义的外交本质</w:t>
      </w:r>
    </w:p>
    <w:p w14:paraId="322AE1C9">
      <w:pPr>
        <w:spacing w:line="360" w:lineRule="auto"/>
        <w:ind w:firstLine="420" w:firstLineChars="200"/>
        <w:rPr>
          <w:rFonts w:ascii="宋体" w:hAnsi="宋体" w:eastAsia="宋体"/>
          <w:bCs/>
          <w:color w:val="000000" w:themeColor="text1"/>
          <w14:textFill>
            <w14:solidFill>
              <w14:schemeClr w14:val="tx1"/>
            </w14:solidFill>
          </w14:textFill>
        </w:rPr>
      </w:pPr>
      <w:r>
        <w:rPr>
          <w:rFonts w:hint="eastAsia" w:ascii="宋体" w:hAnsi="宋体" w:eastAsia="宋体"/>
          <w:bCs/>
          <w:color w:val="000000" w:themeColor="text1"/>
          <w14:textFill>
            <w14:solidFill>
              <w14:schemeClr w14:val="tx1"/>
            </w14:solidFill>
          </w14:textFill>
        </w:rPr>
        <w:t>世界本身是一个不可分割的统一体，尤其是在经济全球化的推动和作用下，整个世界的联系更加紧密。马克思、恩格斯在《德意志意识形态》中指出：“各民族的原始封闭状态由于日益完善的生产方式、交往以及因交往而自然形成的不同民族之间的分工消灭得越是彻底，历史也就越是成为世界历史。”</w:t>
      </w:r>
      <w:r>
        <w:rPr>
          <w:rStyle w:val="20"/>
          <w:rFonts w:ascii="宋体" w:hAnsi="宋体" w:eastAsia="宋体"/>
          <w:color w:val="000000" w:themeColor="text1"/>
          <w14:textFill>
            <w14:solidFill>
              <w14:schemeClr w14:val="tx1"/>
            </w14:solidFill>
          </w14:textFill>
        </w:rPr>
        <w:footnoteReference w:id="583"/>
      </w:r>
      <w:r>
        <w:rPr>
          <w:rFonts w:hint="eastAsia" w:ascii="宋体" w:hAnsi="宋体" w:eastAsia="宋体"/>
          <w:bCs/>
          <w:color w:val="000000" w:themeColor="text1"/>
          <w14:textFill>
            <w14:solidFill>
              <w14:schemeClr w14:val="tx1"/>
            </w14:solidFill>
          </w14:textFill>
        </w:rPr>
        <w:t>面对人类共同的命运与挑战时，世界上不同的思维方式可以联合形成一个共同体。恩格斯在《反杜林论》中指出：“因为被思考的存在、世界概念是统一的，所以现实的存在、现实的世界也是不可分割的统一体。”</w:t>
      </w:r>
      <w:r>
        <w:rPr>
          <w:rStyle w:val="20"/>
          <w:rFonts w:ascii="宋体" w:hAnsi="宋体" w:eastAsia="宋体"/>
          <w:color w:val="000000" w:themeColor="text1"/>
          <w14:textFill>
            <w14:solidFill>
              <w14:schemeClr w14:val="tx1"/>
            </w14:solidFill>
          </w14:textFill>
        </w:rPr>
        <w:footnoteReference w:id="584"/>
      </w:r>
    </w:p>
    <w:p w14:paraId="4E4CB23E">
      <w:pPr>
        <w:spacing w:line="360" w:lineRule="auto"/>
        <w:ind w:firstLine="420" w:firstLineChars="200"/>
        <w:rPr>
          <w:rFonts w:ascii="宋体" w:hAnsi="宋体" w:eastAsia="宋体"/>
          <w:bCs/>
          <w:color w:val="000000" w:themeColor="text1"/>
          <w14:textFill>
            <w14:solidFill>
              <w14:schemeClr w14:val="tx1"/>
            </w14:solidFill>
          </w14:textFill>
        </w:rPr>
      </w:pPr>
      <w:r>
        <w:rPr>
          <w:rFonts w:hint="eastAsia" w:ascii="宋体" w:hAnsi="宋体" w:eastAsia="宋体"/>
          <w:bCs/>
          <w:color w:val="000000" w:themeColor="text1"/>
          <w14:textFill>
            <w14:solidFill>
              <w14:schemeClr w14:val="tx1"/>
            </w14:solidFill>
          </w14:textFill>
        </w:rPr>
        <w:t>依照习近平的有关论述，构建</w:t>
      </w:r>
      <w:r>
        <w:rPr>
          <w:rFonts w:hint="eastAsia" w:ascii="宋体" w:hAnsi="宋体" w:eastAsia="宋体"/>
          <w:b/>
          <w:bCs/>
          <w:color w:val="000000" w:themeColor="text1"/>
          <w14:textFill>
            <w14:solidFill>
              <w14:schemeClr w14:val="tx1"/>
            </w14:solidFill>
          </w14:textFill>
        </w:rPr>
        <w:t>以总体国家安全为基础的人类命运共同体是中国特色社会主义的外交本质。</w:t>
      </w:r>
      <w:r>
        <w:rPr>
          <w:rFonts w:hint="eastAsia" w:ascii="宋体" w:hAnsi="宋体" w:eastAsia="宋体"/>
          <w:bCs/>
          <w:color w:val="000000" w:themeColor="text1"/>
          <w14:textFill>
            <w14:solidFill>
              <w14:schemeClr w14:val="tx1"/>
            </w14:solidFill>
          </w14:textFill>
        </w:rPr>
        <w:t>这可从以下两方面的论述得到说明。</w:t>
      </w:r>
    </w:p>
    <w:p w14:paraId="0664C405">
      <w:pPr>
        <w:numPr>
          <w:ilvl w:val="0"/>
          <w:numId w:val="10"/>
        </w:numPr>
        <w:spacing w:line="360" w:lineRule="auto"/>
        <w:ind w:firstLine="420"/>
        <w:rPr>
          <w:rFonts w:ascii="宋体" w:hAnsi="宋体" w:eastAsia="宋体"/>
          <w:bCs/>
          <w:color w:val="000000" w:themeColor="text1"/>
          <w14:textFill>
            <w14:solidFill>
              <w14:schemeClr w14:val="tx1"/>
            </w14:solidFill>
          </w14:textFill>
        </w:rPr>
      </w:pPr>
      <w:r>
        <w:rPr>
          <w:rFonts w:hint="eastAsia" w:ascii="宋体" w:hAnsi="宋体" w:eastAsia="宋体"/>
          <w:b/>
          <w:color w:val="000000" w:themeColor="text1"/>
          <w14:textFill>
            <w14:solidFill>
              <w14:schemeClr w14:val="tx1"/>
            </w14:solidFill>
          </w14:textFill>
        </w:rPr>
        <w:t>提出总体国家安全观，事实上视其为中国特色社会主义的一个外交本质要求。</w:t>
      </w:r>
      <w:r>
        <w:rPr>
          <w:rFonts w:hint="eastAsia" w:ascii="宋体" w:hAnsi="宋体" w:eastAsia="宋体"/>
          <w:bCs/>
          <w:color w:val="000000" w:themeColor="text1"/>
          <w14:textFill>
            <w14:solidFill>
              <w14:schemeClr w14:val="tx1"/>
            </w14:solidFill>
          </w14:textFill>
        </w:rPr>
        <w:t>习近平指出，对于发展中国特色社会主义而言，“国家安全是头等大事”</w:t>
      </w:r>
      <w:r>
        <w:rPr>
          <w:rStyle w:val="20"/>
          <w:rFonts w:ascii="宋体" w:hAnsi="宋体" w:eastAsia="宋体"/>
          <w:color w:val="000000" w:themeColor="text1"/>
          <w14:textFill>
            <w14:solidFill>
              <w14:schemeClr w14:val="tx1"/>
            </w14:solidFill>
          </w14:textFill>
        </w:rPr>
        <w:footnoteReference w:id="585"/>
      </w:r>
      <w:r>
        <w:rPr>
          <w:rFonts w:hint="eastAsia" w:ascii="宋体" w:hAnsi="宋体" w:eastAsia="宋体"/>
          <w:color w:val="000000" w:themeColor="text1"/>
          <w14:textFill>
            <w14:solidFill>
              <w14:schemeClr w14:val="tx1"/>
            </w14:solidFill>
          </w14:textFill>
        </w:rPr>
        <w:t>“国家安全是安邦定国的重要基石，维护国家安全是全国各族人民根本利益所在。”</w:t>
      </w:r>
      <w:r>
        <w:rPr>
          <w:rStyle w:val="20"/>
          <w:rFonts w:ascii="宋体" w:hAnsi="宋体" w:eastAsia="宋体"/>
          <w:color w:val="000000" w:themeColor="text1"/>
          <w14:textFill>
            <w14:solidFill>
              <w14:schemeClr w14:val="tx1"/>
            </w14:solidFill>
          </w14:textFill>
        </w:rPr>
        <w:footnoteReference w:id="586"/>
      </w:r>
      <w:r>
        <w:rPr>
          <w:rFonts w:hint="eastAsia" w:ascii="宋体" w:hAnsi="宋体" w:eastAsia="宋体"/>
          <w:bCs/>
          <w:color w:val="000000" w:themeColor="text1"/>
          <w14:textFill>
            <w14:solidFill>
              <w14:schemeClr w14:val="tx1"/>
            </w14:solidFill>
          </w14:textFill>
        </w:rPr>
        <w:t>“安全是发展的保障，发展是安全的目的”</w:t>
      </w:r>
      <w:r>
        <w:rPr>
          <w:rStyle w:val="20"/>
          <w:rFonts w:ascii="宋体" w:hAnsi="宋体" w:eastAsia="宋体"/>
          <w:color w:val="000000" w:themeColor="text1"/>
          <w14:textFill>
            <w14:solidFill>
              <w14:schemeClr w14:val="tx1"/>
            </w14:solidFill>
          </w14:textFill>
        </w:rPr>
        <w:footnoteReference w:id="587"/>
      </w:r>
      <w:r>
        <w:rPr>
          <w:rFonts w:hint="eastAsia" w:ascii="宋体" w:hAnsi="宋体" w:eastAsia="宋体"/>
          <w:bCs/>
          <w:color w:val="000000" w:themeColor="text1"/>
          <w14:textFill>
            <w14:solidFill>
              <w14:schemeClr w14:val="tx1"/>
            </w14:solidFill>
          </w14:textFill>
        </w:rPr>
        <w:t>，“统筹发展和安全，增强忧患意识，做到居安思危”</w:t>
      </w:r>
      <w:r>
        <w:rPr>
          <w:rStyle w:val="20"/>
          <w:rFonts w:ascii="宋体" w:hAnsi="宋体" w:eastAsia="宋体"/>
          <w:color w:val="000000" w:themeColor="text1"/>
          <w14:textFill>
            <w14:solidFill>
              <w14:schemeClr w14:val="tx1"/>
            </w14:solidFill>
          </w14:textFill>
        </w:rPr>
        <w:t xml:space="preserve"> </w:t>
      </w:r>
      <w:r>
        <w:rPr>
          <w:rStyle w:val="20"/>
          <w:rFonts w:ascii="宋体" w:hAnsi="宋体" w:eastAsia="宋体"/>
          <w:color w:val="000000" w:themeColor="text1"/>
          <w14:textFill>
            <w14:solidFill>
              <w14:schemeClr w14:val="tx1"/>
            </w14:solidFill>
          </w14:textFill>
        </w:rPr>
        <w:footnoteReference w:id="588"/>
      </w:r>
      <w:r>
        <w:rPr>
          <w:rFonts w:hint="eastAsia" w:ascii="宋体" w:hAnsi="宋体" w:eastAsia="宋体"/>
          <w:color w:val="000000" w:themeColor="text1"/>
          <w14:textFill>
            <w14:solidFill>
              <w14:schemeClr w14:val="tx1"/>
            </w14:solidFill>
          </w14:textFill>
        </w:rPr>
        <w:t>全面贯彻落实总体国家安全观，就是要以政治安全为根本，以经济安全为基础，以人民安全为宗旨，以军事、文化、社会安全为保障，以促进国际安全为依托，处理好内部安全与外部安全、国土安全与国民安全、传统安全与非传统安全、发展问题与安全问题、自身安全与共同安全的关系。国家安全在党和国家工作全局以及中国特色社会主义理论体系中的重要地位日益凸显。</w:t>
      </w:r>
      <w:r>
        <w:rPr>
          <w:rFonts w:hint="eastAsia" w:ascii="宋体" w:hAnsi="宋体" w:eastAsia="宋体"/>
          <w:bCs/>
          <w:color w:val="000000" w:themeColor="text1"/>
          <w14:textFill>
            <w14:solidFill>
              <w14:schemeClr w14:val="tx1"/>
            </w14:solidFill>
          </w14:textFill>
        </w:rPr>
        <w:t>在世界大变局和我国发展的黄金期相互交织的新时代，更加需要统筹好国际国内发展大势，不断统筹经济发展与国家安全两个方面。</w:t>
      </w:r>
    </w:p>
    <w:p w14:paraId="031B57B1">
      <w:pPr>
        <w:numPr>
          <w:ilvl w:val="255"/>
          <w:numId w:val="0"/>
        </w:numPr>
        <w:spacing w:line="360" w:lineRule="auto"/>
        <w:ind w:firstLine="420" w:firstLineChars="200"/>
        <w:rPr>
          <w:rFonts w:ascii="宋体" w:hAnsi="宋体" w:eastAsia="宋体"/>
          <w:bCs/>
          <w:color w:val="000000" w:themeColor="text1"/>
          <w14:textFill>
            <w14:solidFill>
              <w14:schemeClr w14:val="tx1"/>
            </w14:solidFill>
          </w14:textFill>
        </w:rPr>
      </w:pPr>
      <w:r>
        <w:rPr>
          <w:rFonts w:hint="eastAsia" w:ascii="宋体" w:hAnsi="宋体" w:eastAsia="宋体"/>
          <w:bCs/>
          <w:color w:val="000000" w:themeColor="text1"/>
          <w14:textFill>
            <w14:solidFill>
              <w14:schemeClr w14:val="tx1"/>
            </w14:solidFill>
          </w14:textFill>
        </w:rPr>
        <w:t>习近平强调：“安全应该是普遍的”</w:t>
      </w:r>
      <w:r>
        <w:rPr>
          <w:rStyle w:val="20"/>
          <w:rFonts w:ascii="宋体" w:hAnsi="宋体" w:eastAsia="宋体"/>
          <w:color w:val="000000" w:themeColor="text1"/>
          <w14:textFill>
            <w14:solidFill>
              <w14:schemeClr w14:val="tx1"/>
            </w14:solidFill>
          </w14:textFill>
        </w:rPr>
        <w:footnoteReference w:id="589"/>
      </w:r>
      <w:r>
        <w:rPr>
          <w:rFonts w:hint="eastAsia" w:ascii="宋体" w:hAnsi="宋体" w:eastAsia="宋体"/>
          <w:bCs/>
          <w:color w:val="000000" w:themeColor="text1"/>
          <w14:textFill>
            <w14:solidFill>
              <w14:schemeClr w14:val="tx1"/>
            </w14:solidFill>
          </w14:textFill>
        </w:rPr>
        <w:t>。要坚持内部和外部的普遍安全观。在内部，外交本质要求在政治、经济、社会、国家等层面的普遍安全。也就是说，总体国家安全观贯穿于中国特色社会主义的本质特征之中，是其他本质特征的前提和保障，其要求坚持人民安全、政治安全、经济安全、社会安全、国家安全等有机统一。在外部，外交本质要求树立共同、综合、合作、可持续的安全观。只有坚持总体国家安全的外交本质特征，才能与世界各国共建人类命运共同体，并携手建设持久和平、普遍安全、共同繁荣、开放包容、清洁美丽的世界。</w:t>
      </w:r>
    </w:p>
    <w:p w14:paraId="4C942F3E">
      <w:pPr>
        <w:adjustRightInd w:val="0"/>
        <w:snapToGrid w:val="0"/>
        <w:spacing w:line="360" w:lineRule="auto"/>
        <w:ind w:firstLine="420" w:firstLineChars="200"/>
        <w:rPr>
          <w:rFonts w:ascii="宋体" w:hAnsi="宋体" w:eastAsia="宋体"/>
          <w:b/>
          <w:color w:val="000000" w:themeColor="text1"/>
          <w14:textFill>
            <w14:solidFill>
              <w14:schemeClr w14:val="tx1"/>
            </w14:solidFill>
          </w14:textFill>
        </w:rPr>
      </w:pPr>
      <w:r>
        <w:rPr>
          <w:rFonts w:hint="eastAsia" w:ascii="宋体" w:hAnsi="宋体" w:eastAsia="宋体"/>
          <w:b/>
          <w:bCs/>
          <w:color w:val="000000" w:themeColor="text1"/>
          <w14:textFill>
            <w14:solidFill>
              <w14:schemeClr w14:val="tx1"/>
            </w14:solidFill>
          </w14:textFill>
        </w:rPr>
        <w:t>第二，提出构建人类命运共同体，事实上视其为中国特色社会主义的另一个外交本质要求。2015年</w:t>
      </w:r>
      <w:r>
        <w:rPr>
          <w:rFonts w:ascii="Arial" w:hAnsi="Arial" w:eastAsia="宋体" w:cs="Arial"/>
          <w:color w:val="333333"/>
          <w:szCs w:val="24"/>
          <w:shd w:val="clear" w:color="auto" w:fill="FFFFFF"/>
        </w:rPr>
        <w:t>习近平</w:t>
      </w:r>
      <w:r>
        <w:rPr>
          <w:rFonts w:hint="eastAsia" w:ascii="Arial" w:hAnsi="Arial" w:eastAsia="宋体" w:cs="Arial"/>
          <w:color w:val="333333"/>
          <w:szCs w:val="24"/>
          <w:shd w:val="clear" w:color="auto" w:fill="FFFFFF"/>
        </w:rPr>
        <w:t>在联合国大会上呼吁各国</w:t>
      </w:r>
      <w:r>
        <w:rPr>
          <w:rFonts w:ascii="Arial" w:hAnsi="Arial" w:eastAsia="宋体" w:cs="Arial"/>
          <w:color w:val="333333"/>
          <w:szCs w:val="24"/>
          <w:shd w:val="clear" w:color="auto" w:fill="FFFFFF"/>
        </w:rPr>
        <w:t>“携手构建合作共赢新伙伴，同心打造人类命运共同体。让铸剑为犁、永不再战的理念深植人心，让发展繁荣、公平正义的理念践行人间！”</w:t>
      </w:r>
      <w:r>
        <w:rPr>
          <w:rFonts w:hint="eastAsia" w:ascii="宋体" w:hAnsi="宋体" w:eastAsia="宋体"/>
          <w:color w:val="000000" w:themeColor="text1"/>
          <w14:textFill>
            <w14:solidFill>
              <w14:schemeClr w14:val="tx1"/>
            </w14:solidFill>
          </w14:textFill>
        </w:rPr>
        <w:t>构建人类命运共同体是</w:t>
      </w:r>
      <w:r>
        <w:rPr>
          <w:rFonts w:hint="eastAsia" w:ascii="宋体" w:hAnsi="宋体" w:eastAsia="宋体" w:cs="宋体"/>
          <w:color w:val="000000" w:themeColor="text1"/>
          <w:kern w:val="0"/>
          <w14:textFill>
            <w14:solidFill>
              <w14:schemeClr w14:val="tx1"/>
            </w14:solidFill>
          </w14:textFill>
        </w:rPr>
        <w:t>在谋求本国发展中促进各国共同发展，内含整个人类共生互存的可持续发展观</w:t>
      </w:r>
      <w:r>
        <w:rPr>
          <w:rFonts w:hint="eastAsia" w:ascii="宋体" w:hAnsi="宋体" w:eastAsia="宋体" w:cs="MS PGothic"/>
          <w:color w:val="000000" w:themeColor="text1"/>
          <w:kern w:val="0"/>
          <w14:textFill>
            <w14:solidFill>
              <w14:schemeClr w14:val="tx1"/>
            </w14:solidFill>
          </w14:textFill>
        </w:rPr>
        <w:t>、</w:t>
      </w:r>
      <w:r>
        <w:rPr>
          <w:rFonts w:hint="eastAsia" w:ascii="宋体" w:hAnsi="宋体" w:eastAsia="宋体" w:cs="宋体"/>
          <w:color w:val="000000" w:themeColor="text1"/>
          <w:kern w:val="0"/>
          <w14:textFill>
            <w14:solidFill>
              <w14:schemeClr w14:val="tx1"/>
            </w14:solidFill>
          </w14:textFill>
        </w:rPr>
        <w:t>共同安全观</w:t>
      </w:r>
      <w:r>
        <w:rPr>
          <w:rFonts w:hint="eastAsia" w:ascii="宋体" w:hAnsi="宋体" w:eastAsia="宋体" w:cs="MS PGothic"/>
          <w:color w:val="000000" w:themeColor="text1"/>
          <w:kern w:val="0"/>
          <w14:textFill>
            <w14:solidFill>
              <w14:schemeClr w14:val="tx1"/>
            </w14:solidFill>
          </w14:textFill>
        </w:rPr>
        <w:t>、</w:t>
      </w:r>
      <w:r>
        <w:rPr>
          <w:rFonts w:hint="eastAsia" w:ascii="宋体" w:hAnsi="宋体" w:eastAsia="宋体" w:cs="宋体"/>
          <w:color w:val="000000" w:themeColor="text1"/>
          <w:kern w:val="0"/>
          <w14:textFill>
            <w14:solidFill>
              <w14:schemeClr w14:val="tx1"/>
            </w14:solidFill>
          </w14:textFill>
        </w:rPr>
        <w:t>共同权益观</w:t>
      </w:r>
      <w:r>
        <w:rPr>
          <w:rFonts w:hint="eastAsia" w:ascii="宋体" w:hAnsi="宋体" w:eastAsia="宋体" w:cs="MS PGothic"/>
          <w:color w:val="000000" w:themeColor="text1"/>
          <w:kern w:val="0"/>
          <w14:textFill>
            <w14:solidFill>
              <w14:schemeClr w14:val="tx1"/>
            </w14:solidFill>
          </w14:textFill>
        </w:rPr>
        <w:t>、</w:t>
      </w:r>
      <w:r>
        <w:rPr>
          <w:rFonts w:hint="eastAsia" w:ascii="宋体" w:hAnsi="宋体" w:eastAsia="宋体" w:cs="宋体"/>
          <w:color w:val="000000" w:themeColor="text1"/>
          <w:kern w:val="0"/>
          <w14:textFill>
            <w14:solidFill>
              <w14:schemeClr w14:val="tx1"/>
            </w14:solidFill>
          </w14:textFill>
        </w:rPr>
        <w:t>共同治理观等一系列全球价值观，为</w:t>
      </w:r>
      <w:r>
        <w:rPr>
          <w:rFonts w:hint="eastAsia" w:ascii="宋体" w:hAnsi="宋体" w:eastAsia="宋体" w:cs="MS PGothic"/>
          <w:color w:val="000000" w:themeColor="text1"/>
          <w:kern w:val="0"/>
          <w14:textFill>
            <w14:solidFill>
              <w14:schemeClr w14:val="tx1"/>
            </w14:solidFill>
          </w14:textFill>
        </w:rPr>
        <w:t>应对人类社会面临的各种危机和挑战，提供了重要思路</w:t>
      </w:r>
      <w:r>
        <w:rPr>
          <w:rStyle w:val="20"/>
          <w:rFonts w:ascii="宋体" w:hAnsi="宋体" w:eastAsia="宋体" w:cs="MS PGothic"/>
          <w:color w:val="000000" w:themeColor="text1"/>
          <w:kern w:val="0"/>
          <w14:textFill>
            <w14:solidFill>
              <w14:schemeClr w14:val="tx1"/>
            </w14:solidFill>
          </w14:textFill>
        </w:rPr>
        <w:footnoteReference w:id="590"/>
      </w:r>
      <w:r>
        <w:rPr>
          <w:rFonts w:hint="eastAsia" w:ascii="宋体" w:hAnsi="宋体" w:eastAsia="宋体" w:cs="MS PGothic"/>
          <w:color w:val="000000" w:themeColor="text1"/>
          <w:kern w:val="0"/>
          <w14:textFill>
            <w14:solidFill>
              <w14:schemeClr w14:val="tx1"/>
            </w14:solidFill>
          </w14:textFill>
        </w:rPr>
        <w:t>。当今世界单边主义、贸易保护主义、逆全球化思潮不断抬头，并有新的表现形式。面对这股思潮，习近平强调“‘地球村’的世界决定了各国日益利益交融、命运与共”</w:t>
      </w:r>
      <w:r>
        <w:rPr>
          <w:rStyle w:val="20"/>
          <w:rFonts w:ascii="宋体" w:hAnsi="宋体" w:eastAsia="宋体" w:cs="MS PGothic"/>
          <w:color w:val="000000" w:themeColor="text1"/>
          <w:kern w:val="0"/>
          <w14:textFill>
            <w14:solidFill>
              <w14:schemeClr w14:val="tx1"/>
            </w14:solidFill>
          </w14:textFill>
        </w:rPr>
        <w:footnoteReference w:id="591"/>
      </w:r>
      <w:r>
        <w:rPr>
          <w:rFonts w:hint="eastAsia" w:ascii="宋体" w:hAnsi="宋体" w:eastAsia="宋体" w:cs="MS PGothic"/>
          <w:color w:val="000000" w:themeColor="text1"/>
          <w:kern w:val="0"/>
          <w14:textFill>
            <w14:solidFill>
              <w14:schemeClr w14:val="tx1"/>
            </w14:solidFill>
          </w14:textFill>
        </w:rPr>
        <w:t>，“开放合作是科技进步和生产力发展的必然逻辑”</w:t>
      </w:r>
      <w:r>
        <w:rPr>
          <w:rStyle w:val="20"/>
          <w:rFonts w:ascii="宋体" w:hAnsi="宋体" w:eastAsia="宋体" w:cs="MS PGothic"/>
          <w:color w:val="000000" w:themeColor="text1"/>
          <w:kern w:val="0"/>
          <w14:textFill>
            <w14:solidFill>
              <w14:schemeClr w14:val="tx1"/>
            </w14:solidFill>
          </w14:textFill>
        </w:rPr>
        <w:footnoteReference w:id="592"/>
      </w:r>
      <w:r>
        <w:rPr>
          <w:rFonts w:hint="eastAsia" w:ascii="宋体" w:hAnsi="宋体" w:eastAsia="宋体" w:cs="MS PGothic"/>
          <w:color w:val="000000" w:themeColor="text1"/>
          <w:kern w:val="0"/>
          <w14:textFill>
            <w14:solidFill>
              <w14:schemeClr w14:val="tx1"/>
            </w14:solidFill>
          </w14:textFill>
        </w:rPr>
        <w:t>。在习近平看来，“这是经济规律使然，不以人的意志为转移”</w:t>
      </w:r>
      <w:r>
        <w:rPr>
          <w:rStyle w:val="20"/>
          <w:rFonts w:ascii="宋体" w:hAnsi="宋体" w:eastAsia="宋体" w:cs="MS PGothic"/>
          <w:color w:val="000000" w:themeColor="text1"/>
          <w:kern w:val="0"/>
          <w14:textFill>
            <w14:solidFill>
              <w14:schemeClr w14:val="tx1"/>
            </w14:solidFill>
          </w14:textFill>
        </w:rPr>
        <w:footnoteReference w:id="593"/>
      </w:r>
      <w:r>
        <w:rPr>
          <w:rFonts w:hint="eastAsia" w:ascii="宋体" w:hAnsi="宋体" w:eastAsia="宋体" w:cs="MS PGothic"/>
          <w:color w:val="000000" w:themeColor="text1"/>
          <w:kern w:val="0"/>
          <w14:textFill>
            <w14:solidFill>
              <w14:schemeClr w14:val="tx1"/>
            </w14:solidFill>
          </w14:textFill>
        </w:rPr>
        <w:t>。</w:t>
      </w:r>
      <w:r>
        <w:rPr>
          <w:rFonts w:hint="eastAsia" w:ascii="宋体" w:hAnsi="宋体" w:eastAsia="宋体"/>
          <w:bCs/>
          <w:color w:val="000000" w:themeColor="text1"/>
          <w14:textFill>
            <w14:solidFill>
              <w14:schemeClr w14:val="tx1"/>
            </w14:solidFill>
          </w14:textFill>
        </w:rPr>
        <w:t>构建人类命运共同体不仅能够维护世界的和平发展，而且能够进一步促进人类文明的多样性。</w:t>
      </w:r>
      <w:r>
        <w:rPr>
          <w:rFonts w:hint="eastAsia" w:ascii="宋体" w:hAnsi="宋体" w:eastAsia="宋体"/>
          <w:color w:val="000000" w:themeColor="text1"/>
          <w14:textFill>
            <w14:solidFill>
              <w14:schemeClr w14:val="tx1"/>
            </w14:solidFill>
          </w14:textFill>
        </w:rPr>
        <w:t>人类命运应由人类共同掌握，世界事务应由各国人民共同治理，世界安全应由世界各国共同维护，国际规则应由世界各国共同制定，发展成果应由世界各国人民共同分享。这是历史发展的必然趋势和世界人民的共同诉求。</w:t>
      </w:r>
    </w:p>
    <w:p w14:paraId="242484E9">
      <w:pPr>
        <w:adjustRightInd w:val="0"/>
        <w:snapToGrid w:val="0"/>
        <w:spacing w:line="360" w:lineRule="auto"/>
        <w:ind w:firstLine="420" w:firstLineChars="200"/>
        <w:rPr>
          <w:rFonts w:ascii="宋体" w:hAnsi="宋体" w:eastAsia="宋体"/>
          <w:bCs/>
          <w:color w:val="000000" w:themeColor="text1"/>
          <w14:textFill>
            <w14:solidFill>
              <w14:schemeClr w14:val="tx1"/>
            </w14:solidFill>
          </w14:textFill>
        </w:rPr>
      </w:pPr>
      <w:r>
        <w:rPr>
          <w:rFonts w:hint="eastAsia" w:ascii="宋体" w:hAnsi="宋体" w:eastAsia="宋体"/>
          <w:bCs/>
          <w:color w:val="000000" w:themeColor="text1"/>
          <w14:textFill>
            <w14:solidFill>
              <w14:schemeClr w14:val="tx1"/>
            </w14:solidFill>
          </w14:textFill>
        </w:rPr>
        <w:t>党的十八大以来，我国</w:t>
      </w:r>
      <w:r>
        <w:rPr>
          <w:rFonts w:hint="eastAsia" w:ascii="宋体" w:hAnsi="宋体" w:eastAsia="宋体"/>
          <w:color w:val="000000" w:themeColor="text1"/>
          <w14:textFill>
            <w14:solidFill>
              <w14:schemeClr w14:val="tx1"/>
            </w14:solidFill>
          </w14:textFill>
        </w:rPr>
        <w:t>所倡导和组织的“一带一路”“亚投行”“金砖国家”“上海合作组织”等重要国际合作载体，便既是为中国人民谋幸福、为中华民族谋复兴，又是为人类谋和平与发展，充分体现出构建以总体国家安全为基础的人类命运共同体是中国特色社会主义的外交本质特征。</w:t>
      </w:r>
    </w:p>
    <w:p w14:paraId="333C4548">
      <w:pPr>
        <w:spacing w:line="360" w:lineRule="auto"/>
        <w:ind w:firstLine="841" w:firstLineChars="400"/>
        <w:rPr>
          <w:rFonts w:ascii="宋体" w:hAnsi="宋体" w:eastAsia="宋体"/>
          <w:b/>
          <w:bCs/>
        </w:rPr>
      </w:pPr>
    </w:p>
    <w:p w14:paraId="30B62A96">
      <w:pPr>
        <w:spacing w:line="360" w:lineRule="auto"/>
        <w:ind w:firstLine="841" w:firstLineChars="400"/>
        <w:rPr>
          <w:rFonts w:ascii="宋体" w:hAnsi="宋体" w:eastAsia="宋体"/>
          <w:b/>
          <w:bCs/>
        </w:rPr>
      </w:pPr>
      <w:r>
        <w:rPr>
          <w:rFonts w:hint="eastAsia" w:ascii="宋体" w:hAnsi="宋体" w:eastAsia="宋体"/>
          <w:b/>
          <w:bCs/>
        </w:rPr>
        <w:t>八、结语：辨证认识“六位一体”中国特色社会主义本质内涵体系</w:t>
      </w:r>
    </w:p>
    <w:p w14:paraId="2E13F8C7">
      <w:pPr>
        <w:widowControl/>
        <w:spacing w:line="360" w:lineRule="auto"/>
        <w:ind w:firstLine="420" w:firstLineChars="200"/>
        <w:jc w:val="left"/>
        <w:rPr>
          <w:rFonts w:ascii="宋体" w:hAnsi="宋体" w:eastAsia="宋体"/>
        </w:rPr>
      </w:pPr>
      <w:r>
        <w:rPr>
          <w:rFonts w:hint="eastAsia" w:ascii="宋体" w:hAnsi="宋体" w:eastAsia="宋体"/>
        </w:rPr>
        <w:t>综上所述，习近平新时代中国特色社会主义思想丰富和发展了社会主义的本质内涵的理论，阐明了坚持以公有制为主体的共同富裕是中国特色社会主义的经济本质，坚持中国共产党领导是中国特色社会主义的政治本质和最本质特征，坚持马克思主义及其中国化理论指导是中国特色社会主义的文化本质，坚持以人民为中心的社会和谐是中国特色社会主义的社会本质，坚持人与自然和谐共生是中国特色社会主义的生态文明本质，坚持构建以国家总体安全为基础的人类命运共同体是中国特色社会主义的外交本质，从而构成“六位一体”完整的中国特色社会主义本质内涵体系的基本理论。依照历史唯物主义和唯物辩证法的一般原理，在经济、政治、文化、社会、生态和外交六个领域的社会主义本质层次体系中，经济本质属于最基础和最根本的层次，即从经济基础决定上层建筑这一意义上说，以公有制和按劳分配“两个主体”的共同富裕，是本质体系中的最根本特征、最决定要素；政治本质属于最高层和最本质的层次，即从政治是经济的集中体现这一意义上说，中国共产党领导是本质体系中的最本质特征、最关键要素；同时，各层本质均紧密联系、互相作用，合力地推动中国特色社会主义现代化建设，任何割裂各层本质关联的观点都是不准确的。</w:t>
      </w:r>
    </w:p>
    <w:p w14:paraId="0B379D76">
      <w:pPr>
        <w:widowControl/>
        <w:spacing w:line="360" w:lineRule="auto"/>
        <w:ind w:firstLine="420" w:firstLineChars="200"/>
        <w:jc w:val="left"/>
        <w:rPr>
          <w:rFonts w:ascii="宋体" w:hAnsi="宋体" w:eastAsia="宋体" w:cs="Times New Roman"/>
        </w:rPr>
      </w:pPr>
      <w:r>
        <w:rPr>
          <w:rFonts w:hint="eastAsia" w:ascii="宋体" w:hAnsi="宋体" w:eastAsia="宋体"/>
        </w:rPr>
        <w:t>中国共产党的领导是历史和人民的抉择。中华民族伟大复兴的实践证明，只有中国共产才能领导中国，发展中国。中国共产党的领导是中国特色社会主义事业全面推进、是社会主义永不变质的根本保证。正如习近平所指出的，我们党的这些理论、路线、纲领和经验，“是最本质的东西，是体现共产党执政规律、社会主义建设规律、人类社会发展规律的东西”</w:t>
      </w:r>
      <w:r>
        <w:rPr>
          <w:rStyle w:val="20"/>
          <w:rFonts w:ascii="宋体" w:hAnsi="宋体" w:eastAsia="宋体"/>
        </w:rPr>
        <w:footnoteReference w:id="594"/>
      </w:r>
      <w:r>
        <w:rPr>
          <w:rFonts w:hint="eastAsia" w:ascii="宋体" w:hAnsi="宋体" w:eastAsia="宋体"/>
        </w:rPr>
        <w:t>。诚然，社会主义的本质内涵及其具体展示会在不断的实践中继续完善和丰富，与时俱进的马克思主义、尤其是习近平新时代中国特色社会主义思想也会对此作出更加广泛和深入的科学诠释。</w:t>
      </w:r>
    </w:p>
    <w:p w14:paraId="3BD7F7B4">
      <w:pPr>
        <w:widowControl/>
        <w:spacing w:line="360" w:lineRule="auto"/>
        <w:ind w:firstLine="420" w:firstLineChars="200"/>
        <w:jc w:val="left"/>
        <w:rPr>
          <w:rFonts w:hint="eastAsia" w:ascii="宋体" w:hAnsi="宋体" w:eastAsia="宋体" w:cs="Times New Roman"/>
          <w:bCs/>
          <w:lang w:eastAsia="zh-CN"/>
        </w:rPr>
      </w:pPr>
      <w:r>
        <w:rPr>
          <w:rFonts w:hint="eastAsia" w:ascii="宋体" w:hAnsi="宋体" w:eastAsia="宋体" w:cs="Times New Roman"/>
          <w:bCs/>
          <w:lang w:eastAsia="zh-CN"/>
        </w:rPr>
        <w:t>（</w:t>
      </w:r>
      <w:r>
        <w:rPr>
          <w:rFonts w:hint="eastAsia" w:ascii="宋体" w:hAnsi="宋体" w:eastAsia="宋体" w:cs="Times New Roman"/>
          <w:bCs/>
          <w:lang w:val="en-US" w:eastAsia="zh-CN"/>
        </w:rPr>
        <w:t>原载《内蒙古社会科学》2023年第4期，第二作者为董今明</w:t>
      </w:r>
      <w:r>
        <w:rPr>
          <w:rFonts w:hint="eastAsia" w:ascii="宋体" w:hAnsi="宋体" w:eastAsia="宋体" w:cs="Times New Roman"/>
          <w:bCs/>
          <w:lang w:eastAsia="zh-CN"/>
        </w:rPr>
        <w:t>）</w:t>
      </w:r>
    </w:p>
    <w:p w14:paraId="1A3CAD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D77EA2E">
      <w:pPr>
        <w:keepNext w:val="0"/>
        <w:keepLines w:val="0"/>
        <w:pageBreakBefore w:val="0"/>
        <w:widowControl w:val="0"/>
        <w:kinsoku/>
        <w:wordWrap/>
        <w:overflowPunct/>
        <w:topLinePunct w:val="0"/>
        <w:autoSpaceDE/>
        <w:autoSpaceDN/>
        <w:bidi w:val="0"/>
        <w:adjustRightInd/>
        <w:snapToGrid/>
        <w:jc w:val="center"/>
        <w:textAlignment w:val="auto"/>
        <w:outlineLvl w:val="0"/>
        <w:rPr>
          <w:rFonts w:hint="eastAsia"/>
          <w:sz w:val="32"/>
          <w:szCs w:val="40"/>
          <w:lang w:val="en-US" w:eastAsia="zh-CN"/>
        </w:rPr>
      </w:pPr>
      <w:bookmarkStart w:id="378" w:name="_Toc12411051"/>
      <w:bookmarkStart w:id="379" w:name="_Toc311744864"/>
      <w:bookmarkStart w:id="380" w:name="_Toc597746600"/>
      <w:bookmarkStart w:id="381" w:name="_Toc609188864"/>
      <w:bookmarkStart w:id="382" w:name="_Toc20540"/>
      <w:bookmarkStart w:id="383" w:name="_Toc541942474"/>
      <w:r>
        <w:rPr>
          <w:rFonts w:hint="eastAsia"/>
          <w:sz w:val="32"/>
          <w:szCs w:val="40"/>
          <w:lang w:val="en-US" w:eastAsia="zh-CN"/>
        </w:rPr>
        <w:t>2024年目录</w:t>
      </w:r>
      <w:bookmarkEnd w:id="378"/>
      <w:bookmarkEnd w:id="379"/>
      <w:bookmarkEnd w:id="380"/>
      <w:bookmarkEnd w:id="381"/>
      <w:bookmarkEnd w:id="382"/>
      <w:bookmarkEnd w:id="383"/>
    </w:p>
    <w:p w14:paraId="67427023">
      <w:pPr>
        <w:pStyle w:val="3"/>
        <w:bidi w:val="0"/>
        <w:rPr>
          <w:rFonts w:hint="default"/>
        </w:rPr>
      </w:pPr>
      <w:bookmarkStart w:id="384" w:name="_Toc1783314215"/>
      <w:bookmarkStart w:id="385" w:name="_Toc1582691999"/>
      <w:bookmarkStart w:id="386" w:name="_Toc398605534"/>
      <w:bookmarkStart w:id="387" w:name="_Toc31823"/>
      <w:bookmarkStart w:id="388" w:name="_Toc286620398"/>
      <w:bookmarkStart w:id="389" w:name="_Toc949013591"/>
      <w:r>
        <w:rPr>
          <w:rFonts w:hint="eastAsia"/>
          <w:lang w:val="en-US" w:eastAsia="zh-CN"/>
        </w:rPr>
        <w:t>1</w:t>
      </w:r>
      <w:r>
        <w:rPr>
          <w:rFonts w:hint="default"/>
        </w:rPr>
        <w:t>世界经济论坛全球化影响力的政治经济学批判</w:t>
      </w:r>
      <w:bookmarkEnd w:id="384"/>
      <w:bookmarkEnd w:id="385"/>
      <w:bookmarkEnd w:id="386"/>
      <w:bookmarkEnd w:id="387"/>
      <w:bookmarkEnd w:id="388"/>
      <w:bookmarkEnd w:id="389"/>
    </w:p>
    <w:p w14:paraId="2D9F90D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rPr>
        <w:t>内容提要</w:t>
      </w:r>
      <w:r>
        <w:rPr>
          <w:rFonts w:hint="eastAsia" w:ascii="Times New Roman" w:hAnsi="Times New Roman" w:eastAsia="宋体" w:cs="Times New Roman"/>
          <w:spacing w:val="11"/>
          <w:sz w:val="24"/>
          <w:szCs w:val="24"/>
          <w:lang w:val="en-US" w:eastAsia="zh-CN"/>
        </w:rPr>
        <w:t xml:space="preserve">  </w:t>
      </w:r>
      <w:r>
        <w:rPr>
          <w:rFonts w:hint="default" w:ascii="Times New Roman" w:hAnsi="Times New Roman" w:eastAsia="宋体" w:cs="Times New Roman"/>
          <w:spacing w:val="11"/>
          <w:sz w:val="24"/>
          <w:szCs w:val="24"/>
        </w:rPr>
        <w:t>世界经济论坛的全球化影响力多年来一直饱受质疑和批判,但是并没有引起学界应有的重视。本文在马克思主义政治经济学的理论框架内分析发现,世界经济论坛倡导</w:t>
      </w:r>
      <w:r>
        <w:rPr>
          <w:rFonts w:hint="default" w:ascii="Times New Roman" w:hAnsi="Times New Roman" w:eastAsia="宋体" w:cs="Times New Roman"/>
          <w:spacing w:val="4"/>
          <w:sz w:val="24"/>
          <w:szCs w:val="24"/>
        </w:rPr>
        <w:t>的“国际经济合作与交流”宗旨,本质上是不断促进跨国垄断资本的合作与交流,而一贯讨论的</w:t>
      </w:r>
      <w:r>
        <w:rPr>
          <w:rFonts w:hint="default" w:ascii="Times New Roman" w:hAnsi="Times New Roman" w:eastAsia="宋体" w:cs="Times New Roman"/>
          <w:spacing w:val="12"/>
          <w:sz w:val="24"/>
          <w:szCs w:val="24"/>
        </w:rPr>
        <w:t>亟须解决的诸多世界经济热点问题,总体来看是如何有助于缓解垄断资本全球化积累所形成</w:t>
      </w:r>
      <w:r>
        <w:rPr>
          <w:rFonts w:hint="default" w:ascii="Times New Roman" w:hAnsi="Times New Roman" w:eastAsia="宋体" w:cs="Times New Roman"/>
          <w:spacing w:val="11"/>
          <w:sz w:val="24"/>
          <w:szCs w:val="24"/>
        </w:rPr>
        <w:t>的不平衡不稳定的发展问题。进一步讲,由</w:t>
      </w:r>
      <w:r>
        <w:rPr>
          <w:rFonts w:hint="default" w:ascii="Times New Roman" w:hAnsi="Times New Roman" w:eastAsia="宋体" w:cs="Times New Roman"/>
          <w:spacing w:val="10"/>
          <w:sz w:val="24"/>
          <w:szCs w:val="24"/>
        </w:rPr>
        <w:t>于世界经济论坛很难从根本上影响资本全球化的</w:t>
      </w:r>
      <w:r>
        <w:rPr>
          <w:rFonts w:hint="default" w:ascii="Times New Roman" w:hAnsi="Times New Roman" w:eastAsia="宋体" w:cs="Times New Roman"/>
          <w:spacing w:val="6"/>
          <w:sz w:val="24"/>
          <w:szCs w:val="24"/>
        </w:rPr>
        <w:t>逐利、剥削、垄断等本性以及深层次的长期积累演化规律,以致论坛越是积极推动资本主义经</w:t>
      </w:r>
      <w:r>
        <w:rPr>
          <w:rFonts w:hint="default" w:ascii="Times New Roman" w:hAnsi="Times New Roman" w:eastAsia="宋体" w:cs="Times New Roman"/>
          <w:spacing w:val="13"/>
          <w:sz w:val="24"/>
          <w:szCs w:val="24"/>
        </w:rPr>
        <w:t>济全球化的稳定性发展,结果越易于强化资本主义</w:t>
      </w:r>
      <w:r>
        <w:rPr>
          <w:rFonts w:hint="default" w:ascii="Times New Roman" w:hAnsi="Times New Roman" w:eastAsia="宋体" w:cs="Times New Roman"/>
          <w:spacing w:val="12"/>
          <w:sz w:val="24"/>
          <w:szCs w:val="24"/>
        </w:rPr>
        <w:t>经济逆全球化的不稳定性对抗,也就是说,</w:t>
      </w:r>
      <w:r>
        <w:rPr>
          <w:rFonts w:hint="default" w:ascii="Times New Roman" w:hAnsi="Times New Roman" w:eastAsia="宋体" w:cs="Times New Roman"/>
          <w:spacing w:val="11"/>
          <w:sz w:val="24"/>
          <w:szCs w:val="24"/>
        </w:rPr>
        <w:t>论坛活动不可能有效调和资本全球化积累形</w:t>
      </w:r>
      <w:r>
        <w:rPr>
          <w:rFonts w:hint="default" w:ascii="Times New Roman" w:hAnsi="Times New Roman" w:eastAsia="宋体" w:cs="Times New Roman"/>
          <w:spacing w:val="10"/>
          <w:sz w:val="24"/>
          <w:szCs w:val="24"/>
        </w:rPr>
        <w:t>成的内生性二元悖论。由此可见,若没有世界经</w:t>
      </w:r>
      <w:r>
        <w:rPr>
          <w:rFonts w:hint="default" w:ascii="Times New Roman" w:hAnsi="Times New Roman" w:eastAsia="宋体" w:cs="Times New Roman"/>
          <w:spacing w:val="12"/>
          <w:sz w:val="24"/>
          <w:szCs w:val="24"/>
        </w:rPr>
        <w:t>济秩序的变革重构和机制创新,论坛的新自由主义倾向对于应对及预防经济全球化的资本主</w:t>
      </w:r>
      <w:r>
        <w:rPr>
          <w:rFonts w:hint="default" w:ascii="Times New Roman" w:hAnsi="Times New Roman" w:eastAsia="宋体" w:cs="Times New Roman"/>
          <w:spacing w:val="3"/>
          <w:sz w:val="24"/>
          <w:szCs w:val="24"/>
        </w:rPr>
        <w:t>义危机并实现其平衡且可持续发展,就不可能真正发挥“药到病除”的治本疗效。</w:t>
      </w:r>
    </w:p>
    <w:p w14:paraId="2E2F46B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关键词跨国垄断资本;资本寻租;资本积累;新自由主义;经</w:t>
      </w:r>
      <w:r>
        <w:rPr>
          <w:rFonts w:hint="default" w:ascii="Times New Roman" w:hAnsi="Times New Roman" w:eastAsia="宋体" w:cs="Times New Roman"/>
          <w:spacing w:val="9"/>
          <w:sz w:val="24"/>
          <w:szCs w:val="24"/>
        </w:rPr>
        <w:t>济全球化危机</w:t>
      </w:r>
    </w:p>
    <w:p w14:paraId="226A42A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33D5DB73">
      <w:pPr>
        <w:pStyle w:val="4"/>
        <w:bidi w:val="0"/>
        <w:rPr>
          <w:rFonts w:hint="default"/>
        </w:rPr>
      </w:pPr>
      <w:r>
        <w:rPr>
          <w:rFonts w:hint="default"/>
        </w:rPr>
        <w:t>一、世界经济论坛及其全球化影响力</w:t>
      </w:r>
    </w:p>
    <w:p w14:paraId="20C68BB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8"/>
          <w:sz w:val="24"/>
          <w:szCs w:val="24"/>
        </w:rPr>
        <w:t>世界经济论坛(</w:t>
      </w:r>
      <w:r>
        <w:rPr>
          <w:rFonts w:hint="default" w:ascii="Times New Roman" w:hAnsi="Times New Roman" w:eastAsia="宋体" w:cs="Times New Roman"/>
          <w:sz w:val="24"/>
          <w:szCs w:val="24"/>
        </w:rPr>
        <w:t>Wor</w:t>
      </w:r>
      <w:r>
        <w:rPr>
          <w:rFonts w:hint="default" w:ascii="Times New Roman" w:hAnsi="Times New Roman" w:eastAsia="宋体" w:cs="Times New Roman"/>
          <w:position w:val="-1"/>
          <w:sz w:val="24"/>
          <w:szCs w:val="24"/>
        </w:rPr>
        <w:t>ld</w:t>
      </w:r>
      <w:r>
        <w:rPr>
          <w:rFonts w:hint="eastAsia" w:ascii="Times New Roman" w:hAnsi="Times New Roman" w:eastAsia="宋体" w:cs="Times New Roman"/>
          <w:position w:val="-1"/>
          <w:sz w:val="24"/>
          <w:szCs w:val="24"/>
          <w:lang w:val="en-US" w:eastAsia="zh-CN"/>
        </w:rPr>
        <w:t xml:space="preserve"> </w:t>
      </w:r>
      <w:r>
        <w:rPr>
          <w:rFonts w:hint="default" w:ascii="Times New Roman" w:hAnsi="Times New Roman" w:eastAsia="宋体" w:cs="Times New Roman"/>
          <w:position w:val="-1"/>
          <w:sz w:val="24"/>
          <w:szCs w:val="24"/>
        </w:rPr>
        <w:t>Economic</w:t>
      </w:r>
      <w:r>
        <w:rPr>
          <w:rFonts w:hint="eastAsia" w:ascii="Times New Roman" w:hAnsi="Times New Roman" w:eastAsia="宋体" w:cs="Times New Roman"/>
          <w:position w:val="-1"/>
          <w:sz w:val="24"/>
          <w:szCs w:val="24"/>
          <w:lang w:val="en-US" w:eastAsia="zh-CN"/>
        </w:rPr>
        <w:t xml:space="preserve"> </w:t>
      </w:r>
      <w:r>
        <w:rPr>
          <w:rFonts w:hint="default" w:ascii="Times New Roman" w:hAnsi="Times New Roman" w:eastAsia="宋体" w:cs="Times New Roman"/>
          <w:position w:val="-1"/>
          <w:sz w:val="24"/>
          <w:szCs w:val="24"/>
        </w:rPr>
        <w:t>Forum</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spacing w:val="8"/>
          <w:sz w:val="24"/>
          <w:szCs w:val="24"/>
        </w:rPr>
        <w:t>简称</w:t>
      </w:r>
      <w:r>
        <w:rPr>
          <w:rFonts w:hint="default" w:ascii="Times New Roman" w:hAnsi="Times New Roman" w:eastAsia="宋体" w:cs="Times New Roman"/>
          <w:spacing w:val="8"/>
          <w:position w:val="1"/>
          <w:sz w:val="24"/>
          <w:szCs w:val="24"/>
        </w:rPr>
        <w:t>“</w:t>
      </w:r>
      <w:r>
        <w:rPr>
          <w:rFonts w:hint="default" w:ascii="Times New Roman" w:hAnsi="Times New Roman" w:eastAsia="宋体" w:cs="Times New Roman"/>
          <w:position w:val="-1"/>
          <w:sz w:val="24"/>
          <w:szCs w:val="24"/>
        </w:rPr>
        <w:t>WEF</w:t>
      </w:r>
      <w:r>
        <w:rPr>
          <w:rFonts w:hint="default" w:ascii="Times New Roman" w:hAnsi="Times New Roman" w:eastAsia="宋体" w:cs="Times New Roman"/>
          <w:spacing w:val="8"/>
          <w:position w:val="1"/>
          <w:sz w:val="24"/>
          <w:szCs w:val="24"/>
        </w:rPr>
        <w:t>”)因</w:t>
      </w:r>
      <w:r>
        <w:rPr>
          <w:rFonts w:hint="default" w:ascii="Times New Roman" w:hAnsi="Times New Roman" w:eastAsia="宋体" w:cs="Times New Roman"/>
          <w:spacing w:val="8"/>
          <w:position w:val="-1"/>
          <w:sz w:val="24"/>
          <w:szCs w:val="24"/>
        </w:rPr>
        <w:t>1971</w:t>
      </w:r>
      <w:r>
        <w:rPr>
          <w:rFonts w:hint="default" w:ascii="Times New Roman" w:hAnsi="Times New Roman" w:eastAsia="宋体" w:cs="Times New Roman"/>
          <w:spacing w:val="8"/>
          <w:sz w:val="24"/>
          <w:szCs w:val="24"/>
        </w:rPr>
        <w:t>年在瑞士达沃斯首次举办</w:t>
      </w:r>
      <w:r>
        <w:rPr>
          <w:rFonts w:hint="default" w:ascii="Times New Roman" w:hAnsi="Times New Roman" w:eastAsia="宋体" w:cs="Times New Roman"/>
          <w:spacing w:val="5"/>
          <w:sz w:val="24"/>
          <w:szCs w:val="24"/>
        </w:rPr>
        <w:t>也被各界习惯上称为“达沃斯论坛”,在国际政治经济形势复杂多变的发展历程中,已经走过了</w:t>
      </w:r>
      <w:r>
        <w:rPr>
          <w:rFonts w:hint="default" w:ascii="Times New Roman" w:hAnsi="Times New Roman" w:eastAsia="宋体" w:cs="Times New Roman"/>
          <w:spacing w:val="9"/>
          <w:sz w:val="24"/>
          <w:szCs w:val="24"/>
        </w:rPr>
        <w:t>半个多世纪的蹉跎岁月。无论是对世界经济扩张的全球化,还是对国际经济秩序的演化重构,</w:t>
      </w:r>
      <w:r>
        <w:rPr>
          <w:rFonts w:hint="default" w:ascii="Times New Roman" w:hAnsi="Times New Roman" w:eastAsia="宋体" w:cs="Times New Roman"/>
          <w:spacing w:val="12"/>
          <w:sz w:val="24"/>
          <w:szCs w:val="24"/>
        </w:rPr>
        <w:t>抑或对世界经济繁荣发展的倡导指引以及对世界经济危机应对的呼吁推动,都产生了深远且</w:t>
      </w:r>
      <w:r>
        <w:rPr>
          <w:rFonts w:hint="default" w:ascii="Times New Roman" w:hAnsi="Times New Roman" w:eastAsia="宋体" w:cs="Times New Roman"/>
          <w:spacing w:val="9"/>
          <w:sz w:val="24"/>
          <w:szCs w:val="24"/>
        </w:rPr>
        <w:t>广泛的影响。但是,资本主义经济发展史表明,论坛的长期存在及其发展总体上并没有解决普</w:t>
      </w:r>
      <w:r>
        <w:rPr>
          <w:rFonts w:hint="default" w:ascii="Times New Roman" w:hAnsi="Times New Roman" w:eastAsia="宋体" w:cs="Times New Roman"/>
          <w:spacing w:val="8"/>
          <w:sz w:val="24"/>
          <w:szCs w:val="24"/>
        </w:rPr>
        <w:t>遍存在的经济全球化问题。比如,新自由贸易的坚定信仰者、美国非裔经济学家莫</w:t>
      </w:r>
      <w:r>
        <w:rPr>
          <w:rFonts w:hint="default" w:ascii="Times New Roman" w:hAnsi="Times New Roman" w:eastAsia="宋体" w:cs="Times New Roman"/>
          <w:spacing w:val="7"/>
          <w:sz w:val="24"/>
          <w:szCs w:val="24"/>
        </w:rPr>
        <w:t>约(</w:t>
      </w:r>
      <w:r>
        <w:rPr>
          <w:rFonts w:hint="default" w:ascii="Times New Roman" w:hAnsi="Times New Roman" w:eastAsia="宋体" w:cs="Times New Roman"/>
          <w:sz w:val="24"/>
          <w:szCs w:val="24"/>
        </w:rPr>
        <w:t>Dam</w:t>
      </w:r>
      <w:r>
        <w:rPr>
          <w:rFonts w:hint="default" w:ascii="Times New Roman" w:hAnsi="Times New Roman" w:eastAsia="宋体" w:cs="Times New Roman"/>
          <w:position w:val="-2"/>
          <w:sz w:val="24"/>
          <w:szCs w:val="24"/>
        </w:rPr>
        <w:t>bisa</w:t>
      </w:r>
      <w:r>
        <w:rPr>
          <w:rFonts w:hint="eastAsia" w:ascii="Times New Roman" w:hAnsi="Times New Roman" w:eastAsia="宋体" w:cs="Times New Roman"/>
          <w:position w:val="-2"/>
          <w:sz w:val="24"/>
          <w:szCs w:val="24"/>
          <w:lang w:val="en-US" w:eastAsia="zh-CN"/>
        </w:rPr>
        <w:t xml:space="preserve"> </w:t>
      </w:r>
      <w:r>
        <w:rPr>
          <w:rFonts w:hint="default" w:ascii="Times New Roman" w:hAnsi="Times New Roman" w:eastAsia="宋体" w:cs="Times New Roman"/>
          <w:position w:val="-2"/>
          <w:sz w:val="24"/>
          <w:szCs w:val="24"/>
        </w:rPr>
        <w:t>Moyo</w:t>
      </w:r>
      <w:r>
        <w:rPr>
          <w:rFonts w:hint="default" w:ascii="Times New Roman" w:hAnsi="Times New Roman" w:eastAsia="宋体" w:cs="Times New Roman"/>
          <w:spacing w:val="3"/>
          <w:sz w:val="24"/>
          <w:szCs w:val="24"/>
        </w:rPr>
        <w:t>)在2017年主题为</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全球化治理</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的论坛分会场上不得不承认</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全球化确实</w:t>
      </w:r>
      <w:r>
        <w:rPr>
          <w:rFonts w:hint="default" w:ascii="Times New Roman" w:hAnsi="Times New Roman" w:eastAsia="宋体" w:cs="Times New Roman"/>
          <w:spacing w:val="3"/>
          <w:position w:val="1"/>
          <w:sz w:val="24"/>
          <w:szCs w:val="24"/>
        </w:rPr>
        <w:t>“</w:t>
      </w:r>
      <w:r>
        <w:rPr>
          <w:rFonts w:hint="default" w:ascii="Times New Roman" w:hAnsi="Times New Roman" w:eastAsia="宋体" w:cs="Times New Roman"/>
          <w:spacing w:val="3"/>
          <w:sz w:val="24"/>
          <w:szCs w:val="24"/>
        </w:rPr>
        <w:t>遭受了重</w:t>
      </w:r>
      <w:r>
        <w:rPr>
          <w:rFonts w:hint="default" w:ascii="Times New Roman" w:hAnsi="Times New Roman" w:eastAsia="宋体" w:cs="Times New Roman"/>
          <w:spacing w:val="4"/>
          <w:sz w:val="24"/>
          <w:szCs w:val="24"/>
        </w:rPr>
        <w:t>大损失”,“我不知道在目前的形势下,还能采取什么补救措施”</w:t>
      </w:r>
      <w:r>
        <w:rPr>
          <w:rStyle w:val="20"/>
          <w:rFonts w:hint="default" w:ascii="Times New Roman" w:hAnsi="Times New Roman" w:eastAsia="宋体" w:cs="Times New Roman"/>
          <w:spacing w:val="4"/>
          <w:sz w:val="24"/>
          <w:szCs w:val="24"/>
        </w:rPr>
        <w:footnoteReference w:id="595"/>
      </w:r>
      <w:r>
        <w:rPr>
          <w:rFonts w:hint="default" w:ascii="Times New Roman" w:hAnsi="Times New Roman" w:eastAsia="宋体" w:cs="Times New Roman"/>
          <w:spacing w:val="4"/>
          <w:sz w:val="24"/>
          <w:szCs w:val="24"/>
        </w:rPr>
        <w:t>。</w:t>
      </w:r>
      <w:r>
        <w:rPr>
          <w:rFonts w:hint="default" w:ascii="Times New Roman" w:hAnsi="Times New Roman" w:eastAsia="宋体" w:cs="Times New Roman"/>
          <w:spacing w:val="8"/>
          <w:sz w:val="24"/>
          <w:szCs w:val="24"/>
        </w:rPr>
        <w:t>从组织运行模式来看,这主要源于世界经济论坛的体制机制在经济全球化的快速发展过程中实现了系统的整体转型。一是其功能目标从提升欧洲企业的核心竞争力转向促进国际经济合作与交流。论坛的创始人兼执行主席瑞士日内瓦大学教授施瓦布(Kluas</w:t>
      </w:r>
      <w:r>
        <w:rPr>
          <w:rFonts w:hint="eastAsia" w:ascii="Times New Roman" w:hAnsi="Times New Roman" w:eastAsia="宋体" w:cs="Times New Roman"/>
          <w:spacing w:val="8"/>
          <w:sz w:val="24"/>
          <w:szCs w:val="24"/>
          <w:lang w:val="en-US" w:eastAsia="zh-CN"/>
        </w:rPr>
        <w:t xml:space="preserve"> </w:t>
      </w:r>
      <w:r>
        <w:rPr>
          <w:rFonts w:hint="default" w:ascii="Times New Roman" w:hAnsi="Times New Roman" w:eastAsia="宋体" w:cs="Times New Roman"/>
          <w:spacing w:val="8"/>
          <w:sz w:val="24"/>
          <w:szCs w:val="24"/>
        </w:rPr>
        <w:t>Schwab)的初衷是在欧洲商界推广和应用他在20世纪60年总结美国企业先进管理经验时提出的利益相关者理论,即为了长期内实现企业的利益最大化,管理者不仅要服务于股东,也要服务于所有相关的利益群体,以期引导欧洲企业通过创新管理方法提升国际竞争力,达到有效应对来自美国企业的市场竞争压力的目的。所以,1971—1973年连续三届的论坛议题目标都集中于讨论如何建构欧洲企业的相对竞争优势。但是,论坛在1971年1月顺利召开后,美国主导的布雷顿森林体系在8月就正式瓦解,从此退出了历史舞台,结果资本主义经济秩序受到严重冲击,接着伴随着资本主义滞涨危机也在形成和显现。于是,论坛的发展目标逐渐转变为如何促进国际经济合作与交流,以维护资本主义经济体系的秩序稳定、实现资本主义经济的整体复苏。高盛欧洲公司前副主席卢夫特(Klaus</w:t>
      </w:r>
      <w:r>
        <w:rPr>
          <w:rFonts w:hint="eastAsia" w:ascii="Times New Roman" w:hAnsi="Times New Roman" w:eastAsia="宋体" w:cs="Times New Roman"/>
          <w:spacing w:val="8"/>
          <w:sz w:val="24"/>
          <w:szCs w:val="24"/>
          <w:lang w:val="en-US" w:eastAsia="zh-CN"/>
        </w:rPr>
        <w:t xml:space="preserve"> </w:t>
      </w:r>
      <w:r>
        <w:rPr>
          <w:rFonts w:hint="default" w:ascii="Times New Roman" w:hAnsi="Times New Roman" w:eastAsia="宋体" w:cs="Times New Roman"/>
          <w:spacing w:val="8"/>
          <w:sz w:val="24"/>
          <w:szCs w:val="24"/>
        </w:rPr>
        <w:t>Luft)总结道,“这正是因为全球化,也体现了全球化”</w:t>
      </w:r>
      <w:r>
        <w:rPr>
          <w:rFonts w:hint="default" w:ascii="Times New Roman" w:hAnsi="Times New Roman" w:eastAsia="宋体" w:cs="Times New Roman"/>
          <w:spacing w:val="8"/>
          <w:sz w:val="24"/>
          <w:szCs w:val="24"/>
          <w:vertAlign w:val="superscript"/>
        </w:rPr>
        <w:footnoteReference w:id="596"/>
      </w:r>
      <w:r>
        <w:rPr>
          <w:rFonts w:hint="default" w:ascii="Times New Roman" w:hAnsi="Times New Roman" w:eastAsia="宋体" w:cs="Times New Roman"/>
          <w:spacing w:val="8"/>
          <w:sz w:val="24"/>
          <w:szCs w:val="24"/>
        </w:rPr>
        <w:t>。二是其关注内容从集</w:t>
      </w:r>
      <w:r>
        <w:rPr>
          <w:rFonts w:hint="default" w:ascii="Times New Roman" w:hAnsi="Times New Roman" w:eastAsia="宋体" w:cs="Times New Roman"/>
          <w:spacing w:val="5"/>
          <w:sz w:val="24"/>
          <w:szCs w:val="24"/>
        </w:rPr>
        <w:t>中在现代企业管理创新转向世界政治与经济治理合作。世界经济论坛的前身是施瓦布在1971年倡议创建的欧洲管理论坛,主要关注通过欧洲企业的管理创新来提升企业国际竞争力问题,但是,1987年被正式更名为世界经济论坛,其宗旨是“研究和探讨世界经济领域存在的问题,促进国际经济合作与交流,致力于公私合作改善世界状况”。实际上,欧洲管理论坛在1974年已经开始转型发展,因为论坛决定从这一年开始邀请政治领导人参加年会,于是,关注的内容也相应有了实质性转变,从企业管理扩大到世界政治与经济诸多领域,从面向欧洲走向美国主导的资本主义阵营,故欧洲管理论坛其实开始“名不副实”了。之后每年年会的主题都围绕世界经济的热点问题展开,并延展到地缘政治、政策协商、社会稳定和环境治理等包罗万象的多个领域,特别是1987年,论坛开始把不发达国家的对外经济问题纳入议题讨论,形式上具有了真正的“世界性”,即所谓的“经济联合国”,抑或“世界经济风向标”。但是,总体上都是基于世界政治经济秩序形成全球治理方案,以促进资本主义世界经济的长期稳定发展。三是其行为方式从非官方的私企交流平台转向半官方的公私合作机构。由于施瓦布倡议创建欧洲管理论坛的初始动机是为欧洲尤其是西欧的企业经营群体提供一个提升管理能力的交流平台,使他们有机会可以接受和应用利益相关者理论,所以自我认定且对外宣称是一个非营利的民间组织。但是,利益相关者的概念在理论上内含着一切与企业利益相关的主体,除了股东,不仅包括直接相关的消费者、管理者、雇员、相关企业等,那么,间接相关的母国、东道国及其他有业务往来国的政府、国际机构和区域组织等也是其应有之义,这就为随后的公私合作提供了先验的理论假说。由此,自1974年论坛年会开始,邀请国家领导人参加成为论坛惯例,并于1982年把参会对象扩大到其他政府成员、国际经济机构领导人,更重要的是,论坛会聘用发达资本主义国家离任的国家领导人或政党负责人为论坛机构管理者。这种模式不仅拓展了论坛议题的深度和广度,而不再局限于企业管理范畴,也成为公私合作的一种重要形式,以及国家政治有组织地影响世界经济发展的一种有效方式。</w:t>
      </w:r>
    </w:p>
    <w:p w14:paraId="5FB8615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lang w:eastAsia="zh-CN"/>
        </w:rPr>
      </w:pPr>
      <w:r>
        <w:rPr>
          <w:rFonts w:hint="default" w:ascii="Times New Roman" w:hAnsi="Times New Roman" w:eastAsia="宋体" w:cs="Times New Roman"/>
          <w:spacing w:val="5"/>
          <w:sz w:val="24"/>
          <w:szCs w:val="24"/>
        </w:rPr>
        <w:t>事实上,诸多全球化的热点问题不但没有因世界经济论坛的特别“关注”而得到有效解决,反倒变本加厉。具体来看,一是经济危机的破坏性更严重。论坛在一定程度上缓解了全球性经济危机的影响,却并没有从根本上消除抑或有效防范全球性经济危机的周期性滋生和系统性扩散。比如,1973—1975年的欧美石油危机、1987年的全球股市危机、1997—1998年的东南亚金融危机、2007—2009年的美国次贷危机,以及2010—2011年的欧洲主权债务危机等。截至目前,世界经济受危机冲击依然增长疲软乏力,各国通胀压力和失业率居高不下仍然较为普遍。据《2023年世界经济形势与展望》估计,2024年世界产出增长增速将升至约2.7%,无法达到2022年的约3%,而IMF估计全球总体通胀率2024年将进一步降至5.2%,但仍将高于新冠疫情前的约3.5%。二是经济发展的失衡性更突出。一般来看,由于历史上不同国家工业化的发展进程和模式路径存在很大的差异性,导致发达国家之间,发达国家与发展中国家之间,尤其是发达国家与欠发达国家之间的“南北鸿沟”在路径依赖的自我强化下而不断扩大。更重要的是,二战以后,摆脱殖民主义统治的独立国家为了谋求发展大多选择了发达国家走过的工业化发展道路,但是结果却差强人意,宏观上世界经济的不平衡性更加严重了。虽然论坛的产生在一定程度上稳定了世界经济秩序,为欠发达国家提供了相对稳定的竞争环境,但是同样为发达国家的经济繁荣和危机应对提供了更有利的发展机会。美国《外交》季刊1995年冬季号发文,当时世界上有20多个富国,只有10多个国家与富国差距在缩小,但是,有140多个国家与富国差距在继续拉大。经过20多年发展,联合国发布的《2022年世界经济形势与展望》,显示不同国家之间及国内内部的贫富差距更大。世界银行的报告也表明,2023年发达国家的产出水平基本上可以恢复到新冠疫情前,而大部分发展中国家低于疫情前的约4%,其他有些国家甚至低于疫情前的约8%。以至于世界银行行长马尔帕斯(DavidMalpass)用“全球宏观经济不平衡已达到前所未有的程度”</w:t>
      </w:r>
      <w:r>
        <w:rPr>
          <w:rFonts w:hint="default" w:ascii="Times New Roman" w:hAnsi="Times New Roman" w:eastAsia="宋体" w:cs="Times New Roman"/>
          <w:spacing w:val="5"/>
          <w:sz w:val="24"/>
          <w:szCs w:val="24"/>
          <w:vertAlign w:val="superscript"/>
        </w:rPr>
        <w:footnoteReference w:id="597"/>
      </w:r>
      <w:r>
        <w:rPr>
          <w:rFonts w:hint="default" w:ascii="Times New Roman" w:hAnsi="Times New Roman" w:eastAsia="宋体" w:cs="Times New Roman"/>
          <w:spacing w:val="5"/>
          <w:sz w:val="24"/>
          <w:szCs w:val="24"/>
        </w:rPr>
        <w:t>来形容。三是逆全球化的政治性更极端。在论坛推动世界经济全球化、一体化和自由化的进程中,逆全球化的内生性基因并未完全退化,尤其是其政治化总是伴随着霸权国家的利益需求而反复出现。比如,1982年论坛年会期间在首次世界经济领导者人非正式会议上,美国总统里根就曾公开要求资本主义阵营要维持与苏联领导的社会主义阵营之间对立的冷战状态,阻挠与其保持密切的经济联系,承诺美国“与我们盟友一起努力”。面对次贷危机,美国前国务卿莱斯在2008年论坛上说,“我们仍然对全球经济基本面深具信心,而且更要继续把自由经济的理念付诸实际行动”</w:t>
      </w:r>
      <w:r>
        <w:rPr>
          <w:rFonts w:hint="default" w:ascii="Times New Roman" w:hAnsi="Times New Roman" w:eastAsia="宋体" w:cs="Times New Roman"/>
          <w:spacing w:val="5"/>
          <w:sz w:val="24"/>
          <w:szCs w:val="24"/>
          <w:vertAlign w:val="superscript"/>
        </w:rPr>
        <w:footnoteReference w:id="598"/>
      </w:r>
      <w:r>
        <w:rPr>
          <w:rFonts w:hint="default" w:ascii="Times New Roman" w:hAnsi="Times New Roman" w:eastAsia="宋体" w:cs="Times New Roman"/>
          <w:spacing w:val="5"/>
          <w:sz w:val="24"/>
          <w:szCs w:val="24"/>
        </w:rPr>
        <w:t>。但是,论坛对于以美国为首的发达资本主义国家发起的贸易保护主义、对中国“脱钩断链”“去风险”“高科技制裁”、特朗普的“美国优先”等违背市场自由竞争机制及契约精神的逆全球化政治手段操作,也都表现得“无动于衷”,抑或“视而不见”。比如,在2024年参与《全球合作晴雨表》发布的麦肯锡公司全球管理合伙人斯特恩费尔斯(Bob</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Sternfels)只是轻描淡写地提到,“我们已经使用过太多具有分裂性的词汇,比如‘脱钩’”</w:t>
      </w:r>
      <w:r>
        <w:rPr>
          <w:rFonts w:hint="default" w:ascii="Times New Roman" w:hAnsi="Times New Roman" w:eastAsia="宋体" w:cs="Times New Roman"/>
          <w:spacing w:val="5"/>
          <w:sz w:val="24"/>
          <w:szCs w:val="24"/>
          <w:vertAlign w:val="superscript"/>
        </w:rPr>
        <w:footnoteReference w:id="599"/>
      </w:r>
      <w:r>
        <w:rPr>
          <w:rFonts w:hint="default" w:ascii="Times New Roman" w:hAnsi="Times New Roman" w:eastAsia="宋体" w:cs="Times New Roman"/>
          <w:spacing w:val="5"/>
          <w:sz w:val="24"/>
          <w:szCs w:val="24"/>
          <w:vertAlign w:val="superscript"/>
        </w:rPr>
        <w:t>,</w:t>
      </w:r>
      <w:r>
        <w:rPr>
          <w:rFonts w:hint="default" w:ascii="Times New Roman" w:hAnsi="Times New Roman" w:eastAsia="宋体" w:cs="Times New Roman"/>
          <w:spacing w:val="5"/>
          <w:sz w:val="24"/>
          <w:szCs w:val="24"/>
        </w:rPr>
        <w:t>但不是把“脱钩”行为而只是把“合作”这个词带入达沃斯讨论故这种不破不立的表态对于践行论坛秉持的宗旨和宣言都令人信心不足。更严重的,论坛的新自由主义价值观导致其明显的双标行为,暴露了其易于被“政治化”“武器化”的工具主义特点。比如,论坛在1988年就成功促成希腊和土耳其签署了不交战协议即“达沃斯宣言”,以及之后避免了多次类似武装事件的发生,但是,在2022年却一反常态,一方面,针对俄罗斯和乌克兰的军事冲突,实施单边制裁俄罗斯普京政权,不仅制裁俄罗斯政府官员,甚至也禁止其普通人员参加;另一方面,针对俄罗斯采取的相关行动进行全面批判,不仅有索罗斯的“中俄对自由世界的威胁论”、欧盟对俄罗斯实施石油禁运的应对论,更有乌克兰总统泽连斯基对西方国家不团结对外的批评和呼吁等,甚至到了2024年,泽连斯基仍然受邀再次公开谴责普京政权,并向西方国家强调继续援乌今年彻底打败俄罗斯的重要性,同时吸引了18个亚洲国家和12个非洲国家参会,其中包括印度、巴西、沙特和南非四个金砖国家,但是,由于美国拜登政权在巴以冲突中表现出的一如既往地支持以色列的“双标”行为,以及泽连斯基对以色列的支持,无疑加深了与这些全球南方国家之间的立场分歧和关系分裂</w:t>
      </w:r>
      <w:r>
        <w:rPr>
          <w:rFonts w:hint="default" w:ascii="Times New Roman" w:hAnsi="Times New Roman" w:eastAsia="宋体" w:cs="Times New Roman"/>
          <w:spacing w:val="5"/>
          <w:sz w:val="24"/>
          <w:szCs w:val="24"/>
          <w:lang w:eastAsia="zh-CN"/>
        </w:rPr>
        <w:t>。</w:t>
      </w:r>
    </w:p>
    <w:p w14:paraId="64A7D48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因此,世界经济论坛多年来一直饱受质疑和批判,反对的呼声从未间断。其中的代表性观点认为,论坛受新自由主义影响,总体上是维护大资本利益、助力其垄断世界财富分配的控制手段,甚至认为论坛是造成世界贫富两极分化、破坏自然生态环境及威胁社会和平稳定的始作俑者。比如,全球化的大力倡导者、世界银行前首席经济学家、美国前总统奥巴马的经济顾问萨默斯(Larry</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Summers)就极端地认为自由市场可以解决一切社会问题,并且赤裸裸地提出,“富国处理有毒废物的最优行为,就是决定将其倾倒在贫穷国家,只因这样更经济”</w:t>
      </w:r>
      <w:r>
        <w:rPr>
          <w:rFonts w:hint="default" w:ascii="Times New Roman" w:hAnsi="Times New Roman" w:eastAsia="宋体" w:cs="Times New Roman"/>
          <w:spacing w:val="5"/>
          <w:sz w:val="24"/>
          <w:szCs w:val="24"/>
          <w:vertAlign w:val="superscript"/>
        </w:rPr>
        <w:footnoteReference w:id="600"/>
      </w:r>
      <w:r>
        <w:rPr>
          <w:rFonts w:hint="default" w:ascii="Times New Roman" w:hAnsi="Times New Roman" w:eastAsia="宋体" w:cs="Times New Roman"/>
          <w:spacing w:val="5"/>
          <w:sz w:val="24"/>
          <w:szCs w:val="24"/>
        </w:rPr>
        <w:t>。于是,论坛被经常指责,不但不会有利于经济的全球化发展,反而可能会把经济全球化“误入歧途”,由此,导致经济全球化也同样被形式化地加以表象上的反对,而“舍本逐末”忽略对资本主义霸权主义的本质上的批判。实际上,新自由主义根本无法摆脱资本主义的历史局限性来正视全球化的私人垄断资本“秘密”,也就不可能解决资本主义经济全球化造成的危机“恶果”。令人遗憾的是,学界对论坛的这些严重影响并没有引起应有的重视,以至于对论坛如何解决抑或缓解资本本性及资本积累规律在经济全球化过程中的消极影响,缺少长期广泛的探讨和详细深入的内在阐释。</w:t>
      </w:r>
    </w:p>
    <w:p w14:paraId="2A90D9B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基于此,本文在马克思主义政治经济学的理论框架内辩证地讨论世界经济论坛的全球化影响,客观阐明论坛不可能从根本上影响资本全球化的基本性质以及积累演化规律的理论、历史和实践逻辑,并合理解释论坛为什么不易于缓解垄断资本全球化积累形成的不平衡不稳定的发展问题,从而深层次地批判论坛的新自由主义倾向对于应对和预防全球经济社会危机不能发挥明显的功能作用,因而不可能真正推动经济全球化的平衡且可持续发展。</w:t>
      </w:r>
    </w:p>
    <w:p w14:paraId="7D30B641">
      <w:pPr>
        <w:pStyle w:val="4"/>
        <w:bidi w:val="0"/>
        <w:rPr>
          <w:rFonts w:hint="default"/>
        </w:rPr>
      </w:pPr>
      <w:r>
        <w:rPr>
          <w:rFonts w:hint="default"/>
        </w:rPr>
        <w:t>二、世界经济论坛全球化影响力的主要问题</w:t>
      </w:r>
    </w:p>
    <w:p w14:paraId="7CB80BA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影响全球化的主要问题,在于论坛不仅与跨国垄断资本存在一定的利益关联性,在相当程度上可能会受到跨国垄断资本的支配性影响,并不能减少资本主义全球化发展的内生性矛盾,更重要的是,在资本主义主导的世界经济体系内,论坛的新自由主义倾向决定了其很难对资本全球化的逐利、剥削和垄断等本性产生有效的削减影响,也就不可能对经济全球化的普遍危机有实质性的应对举措,反而会常态化地造成大量资本资源的寻租浪费。</w:t>
      </w:r>
    </w:p>
    <w:p w14:paraId="4E59EF8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(一)世界经济论坛的资本利益关联性</w:t>
      </w:r>
    </w:p>
    <w:p w14:paraId="10AE77D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的运营机构主要由基金董事会和管理委员会两部分组成,其中前者承担论坛战略规划和目标任务的行为决策,是论坛的最高权力机构;后者则负责组织执行、管理服务和活动安排,是论坛的常设行政机构。它们正常发挥作用的重要基础,是论坛拥有收支平衡且连续投入的货币资金</w:t>
      </w:r>
      <w:r>
        <w:rPr>
          <w:rFonts w:hint="default" w:ascii="Times New Roman" w:hAnsi="Times New Roman" w:eastAsia="宋体" w:cs="Times New Roman"/>
          <w:spacing w:val="5"/>
          <w:sz w:val="24"/>
          <w:szCs w:val="24"/>
          <w:vertAlign w:val="superscript"/>
        </w:rPr>
        <w:footnoteReference w:id="601"/>
      </w:r>
      <w:r>
        <w:rPr>
          <w:rFonts w:hint="default" w:ascii="Times New Roman" w:hAnsi="Times New Roman" w:eastAsia="宋体" w:cs="Times New Roman"/>
          <w:spacing w:val="5"/>
          <w:sz w:val="24"/>
          <w:szCs w:val="24"/>
        </w:rPr>
        <w:t>,而这来源的主要途径就是会员企业的利润及其捐赠,所以,论坛与私人资本,尤其是跨国垄断资本存在一定的利益关联性。</w:t>
      </w:r>
    </w:p>
    <w:p w14:paraId="57A97A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私人资本除了用于不变资本和可变资本的直接积累之外,同样存在着迂回的间接资本积累,即所谓的“资本寻租”。“资本寻租”一般有两种主要形式,在国内是把资本投资在非生产的政治领域,通过影响政府政策来获取垄断性资源,称为“权力寻租”;在国际上则把资本投资在非生产的国际经济组织,通过影响世界经济预期及政府间的国际经济合作来引导国际经济秩序的重构,以此维持未来的垄断势力,称为“预期寻租”</w:t>
      </w:r>
      <w:r>
        <w:rPr>
          <w:rFonts w:hint="default" w:ascii="Times New Roman" w:hAnsi="Times New Roman" w:eastAsia="宋体" w:cs="Times New Roman"/>
          <w:spacing w:val="5"/>
          <w:sz w:val="24"/>
          <w:szCs w:val="24"/>
          <w:vertAlign w:val="superscript"/>
        </w:rPr>
        <w:footnoteReference w:id="602"/>
      </w:r>
      <w:r>
        <w:rPr>
          <w:rFonts w:hint="default" w:ascii="Times New Roman" w:hAnsi="Times New Roman" w:eastAsia="宋体" w:cs="Times New Roman"/>
          <w:spacing w:val="5"/>
          <w:sz w:val="24"/>
          <w:szCs w:val="24"/>
        </w:rPr>
        <w:t>。两种寻租行为都是“浪费”了现期可用于直接生产的剩余价值,而“投资”了跨期可能兑现的扩大资本积累。所不同的是,“权力寻租”是资本直接“绑架”政府,影响政府的调控,在短期内实现资源的不平等垄断分配;“预期寻租”则是资本间接“诱导”政府间的宏观经济政策协调,影响世界市场的全球化,在长期内实现资源的不平等垄断分配。为了提高“寻租”效率,扩大论坛的全球化影响力,论坛从2004年开始设置“全球青年领袖”奖项,在不同国家不同行业组织、选拔具有重要影响力及发展潜力的青年人才,与论坛加强合作,服务于论坛全球战略规划和目标任务的实现。由此说明,世界经济论坛与其他组织比较,对资本的关联性更强,对资本的依赖性也更明显。若按照资本的运动形态从竞争到垄断的演化逻辑来讲,具有新自由主义倾向的世界经济论坛很难有效治愈资本全球化的逐利、剥削、垄断三个基本性质</w:t>
      </w:r>
      <w:r>
        <w:rPr>
          <w:rFonts w:hint="default" w:ascii="Times New Roman" w:hAnsi="Times New Roman" w:eastAsia="宋体" w:cs="Times New Roman"/>
          <w:spacing w:val="5"/>
          <w:sz w:val="24"/>
          <w:szCs w:val="24"/>
          <w:vertAlign w:val="superscript"/>
        </w:rPr>
        <w:footnoteReference w:id="603"/>
      </w:r>
      <w:r>
        <w:rPr>
          <w:rFonts w:hint="default" w:ascii="Times New Roman" w:hAnsi="Times New Roman" w:eastAsia="宋体" w:cs="Times New Roman"/>
          <w:spacing w:val="5"/>
          <w:sz w:val="24"/>
          <w:szCs w:val="24"/>
        </w:rPr>
        <w:t>及其跨国垄断性所形成的资本固有“顽疾”。</w:t>
      </w:r>
    </w:p>
    <w:p w14:paraId="2ED603D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(二)世界经济论坛解决了资本全球化逐利的机会主义吗?</w:t>
      </w:r>
    </w:p>
    <w:p w14:paraId="69D16D8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的非营利性是其经营运转的基本定位,但是与论坛有利益相关性的资本,尤其是有机会主义“投资”论坛的跨国垄断资本却不得不逐利求生。就像艺术家导演一般并不在乎影片制作的营利性而只关注影片的艺术性一样,但是投资方却只重视影片的营利性,即使顾及影片的艺术性,也至少要保持收支平衡,且不能在长期内可持续,否则只有一种结果,即被市场竞争所淘汰。马克思曾一针见血地指出,“只有在越来越多地占有抽象财富成为他的活动的惟一动机时,他才作为资本家或作为人格化的、有意志和意识的资本执行职能”</w:t>
      </w:r>
      <w:r>
        <w:rPr>
          <w:rFonts w:hint="default" w:ascii="Times New Roman" w:hAnsi="Times New Roman" w:eastAsia="宋体" w:cs="Times New Roman"/>
          <w:spacing w:val="5"/>
          <w:sz w:val="24"/>
          <w:szCs w:val="24"/>
          <w:vertAlign w:val="superscript"/>
        </w:rPr>
        <w:footnoteReference w:id="604"/>
      </w:r>
      <w:r>
        <w:rPr>
          <w:rFonts w:hint="default" w:ascii="Times New Roman" w:hAnsi="Times New Roman" w:eastAsia="宋体" w:cs="Times New Roman"/>
          <w:spacing w:val="5"/>
          <w:sz w:val="24"/>
          <w:szCs w:val="24"/>
        </w:rPr>
        <w:t>,更重要的,“他的目的也不是取得一次利润,而只是谋取利润的无休止的运动”</w:t>
      </w:r>
      <w:r>
        <w:rPr>
          <w:rFonts w:hint="default" w:ascii="Times New Roman" w:hAnsi="Times New Roman" w:eastAsia="宋体" w:cs="Times New Roman"/>
          <w:spacing w:val="5"/>
          <w:sz w:val="24"/>
          <w:szCs w:val="24"/>
          <w:vertAlign w:val="superscript"/>
        </w:rPr>
        <w:footnoteReference w:id="605"/>
      </w:r>
      <w:r>
        <w:rPr>
          <w:rFonts w:hint="default" w:ascii="Times New Roman" w:hAnsi="Times New Roman" w:eastAsia="宋体" w:cs="Times New Roman"/>
          <w:spacing w:val="5"/>
          <w:sz w:val="24"/>
          <w:szCs w:val="24"/>
        </w:rPr>
        <w:t>,“这些利润本身不仅形成加速积累的源泉,而且把不断新生的并正在寻找新的投资场所的很大一部分社会追加资本吸引到有利的生产领域”</w:t>
      </w:r>
      <w:r>
        <w:rPr>
          <w:rFonts w:hint="default" w:ascii="Times New Roman" w:hAnsi="Times New Roman" w:eastAsia="宋体" w:cs="Times New Roman"/>
          <w:spacing w:val="5"/>
          <w:sz w:val="24"/>
          <w:szCs w:val="24"/>
          <w:vertAlign w:val="superscript"/>
        </w:rPr>
        <w:footnoteReference w:id="606"/>
      </w:r>
      <w:r>
        <w:rPr>
          <w:rFonts w:hint="default" w:ascii="Times New Roman" w:hAnsi="Times New Roman" w:eastAsia="宋体" w:cs="Times New Roman"/>
          <w:spacing w:val="5"/>
          <w:sz w:val="24"/>
          <w:szCs w:val="24"/>
        </w:rPr>
        <w:t>,也就是说,私人资本存在的价值不只是为了一时利润,而是追求可持续的永无极限的利润量增长。所以,世界经济论坛的非营利性行为实际上掩盖了“利益相关者”资本的逐利性,并不可能影响资本的逐利行为。</w:t>
      </w:r>
    </w:p>
    <w:p w14:paraId="4ED1E22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该论坛的财务报告显示,除了1973—1974年的WELCOM项目投资过大,以及受2020—2021年的新冠肺炎疫情影响,收支意外出现了较大赤字,其他年度的盈余都保持了连续递增的基本态势,大约都在1000万瑞士法郎以上,而且即使很多会员在全球经济增长长期乏力的条件下,其捐款总额仍然将近2.5亿瑞士法郎。</w:t>
      </w:r>
    </w:p>
    <w:p w14:paraId="0EFD291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用马克思曾引用过的一个论断可以说明这种看似非理性的资本行为,即“虽然商人并不轻视已经获得的利润,但他的目光却总是盯着未来的利润”</w:t>
      </w:r>
      <w:r>
        <w:rPr>
          <w:rFonts w:hint="default" w:ascii="Times New Roman" w:hAnsi="Times New Roman" w:eastAsia="宋体" w:cs="Times New Roman"/>
          <w:spacing w:val="5"/>
          <w:sz w:val="24"/>
          <w:szCs w:val="24"/>
          <w:vertAlign w:val="superscript"/>
        </w:rPr>
        <w:footnoteReference w:id="607"/>
      </w:r>
      <w:r>
        <w:rPr>
          <w:rFonts w:hint="default" w:ascii="Times New Roman" w:hAnsi="Times New Roman" w:eastAsia="宋体" w:cs="Times New Roman"/>
          <w:spacing w:val="5"/>
          <w:sz w:val="24"/>
          <w:szCs w:val="24"/>
        </w:rPr>
        <w:t>。但是这与资本在市场竞争中最大化地无偿占有且不断实现利润滚动增加的“野蛮生长”行为不同,世界经济论坛的所谓“利他主义”实际上助长了“利益相关者”资本的“娇生惯养”行为,即为了未来可期的利润,要达到稳定资本主义经济,从而预控资本主义经济危机的目的,这促使资本的无序竞争的不确定性逐利行为实现了有序可预期的确定性分利行为。比如,世界经济论坛的会员资金一般与会员相关的具体业务挂钩,类似热带森林联盟、全球塑料行动伙伴关系或万亿棵树的投资支出,并且论坛专设了投资委员会监督捐赠资金的投资策略。于是,这种资本逐利的机会主义行为也由短期的无组织的功利性转向长期的有组织的战略性。</w:t>
      </w:r>
    </w:p>
    <w:p w14:paraId="4E4CF0E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(三)世界经济论坛揭示了资本全球化剥削的不平等性吗?</w:t>
      </w:r>
    </w:p>
    <w:p w14:paraId="5E0A8E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的“利益相关者”资本与一般资本一样,其利润来源掩藏了资本主义剥削的不平等性。也就是说,资本利润无论以何种形式出现,本质上是资本利用剥削的方法不劳而获占有的剩余价值,抑或剩余劳动。无论是工业资本主义,还是金融资本主义,抑或数字资本主义,只要是在私人资本制度下,雇佣劳动力被直接剥削的生产方式不会变化,而变化的是直接剥削的生产方法以及被间接剥削的形式,也就是剩余价值的再分配。比如当前数字技术普遍提升以后逐渐流行的“996”或“997”工作模式,以及像微软、推特、苹果等跨国企业的大量裁员增加的产业后备军,导致了市场上待剥削群体的增加。不难理解,支持世界经济论坛发展的“利益相关者”资本在论坛活动中不存在直接的剥削形式,但是实际上这些资本是参与了间接剥削,是剩余价值在不同职能资本之间分配以后的再分配的一种无偿占有。应引起重视的是,这与不同职能资本分散的相对独立的间接剥削不同,而是一种集中的相对联合的间接剥削,也就是说,论坛在一定程度上加快促成了不同职能资本家的一种有组织的联合,意味着整个资产阶级对雇佣劳动实现的联合剥削。进一步讲,这种剥削不但不会降低资本主义的贫富差距,而且会不断扩大两极分化的不平等程度。事实证明,500年来的资本主义发展并没有出现西方主流经济学家库兹涅茨(Simon</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Kuznets)在20世纪预测的那样,随着资本主义国家的经济增长,不同阶层之间的不平等程度将日益降低。而是皮凯蒂(Thomas</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Piketty)用近300年欧美资本主义财富收入的历史数据,验证了资本主义国家不平等现象的不断加剧</w:t>
      </w:r>
      <w:r>
        <w:rPr>
          <w:rFonts w:hint="default" w:ascii="Times New Roman" w:hAnsi="Times New Roman" w:eastAsia="宋体" w:cs="Times New Roman"/>
          <w:spacing w:val="5"/>
          <w:sz w:val="24"/>
          <w:szCs w:val="24"/>
          <w:vertAlign w:val="superscript"/>
        </w:rPr>
        <w:footnoteReference w:id="608"/>
      </w:r>
      <w:r>
        <w:rPr>
          <w:rFonts w:hint="default" w:ascii="Times New Roman" w:hAnsi="Times New Roman" w:eastAsia="宋体" w:cs="Times New Roman"/>
          <w:spacing w:val="5"/>
          <w:sz w:val="24"/>
          <w:szCs w:val="24"/>
        </w:rPr>
        <w:t>,斯蒂格利茨</w:t>
      </w:r>
      <w:r>
        <w:rPr>
          <w:rFonts w:hint="default" w:ascii="Times New Roman" w:hAnsi="Times New Roman" w:eastAsia="宋体" w:cs="Times New Roman"/>
          <w:spacing w:val="5"/>
          <w:sz w:val="24"/>
          <w:szCs w:val="24"/>
        </w:rPr>
        <w:tab/>
      </w:r>
      <w:r>
        <w:rPr>
          <w:rFonts w:hint="default" w:ascii="Times New Roman" w:hAnsi="Times New Roman" w:eastAsia="宋体" w:cs="Times New Roman"/>
          <w:spacing w:val="5"/>
          <w:sz w:val="24"/>
          <w:szCs w:val="24"/>
        </w:rPr>
        <w:t>(Joseph</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Stiglitz)则指出了从1980年到2014年美国的最富有的1%的阶层的平均实际收入增长了169%,而中位数家庭收入仅增长了11%,尤其是工资的增长要明显慢于生产率的增长,这与剥削程度的加剧基本一致</w:t>
      </w:r>
      <w:r>
        <w:rPr>
          <w:rFonts w:hint="default" w:ascii="Times New Roman" w:hAnsi="Times New Roman" w:eastAsia="宋体" w:cs="Times New Roman"/>
          <w:spacing w:val="5"/>
          <w:sz w:val="24"/>
          <w:szCs w:val="24"/>
          <w:vertAlign w:val="superscript"/>
        </w:rPr>
        <w:footnoteReference w:id="609"/>
      </w:r>
      <w:r>
        <w:rPr>
          <w:rFonts w:hint="default" w:ascii="Times New Roman" w:hAnsi="Times New Roman" w:eastAsia="宋体" w:cs="Times New Roman"/>
          <w:spacing w:val="5"/>
          <w:sz w:val="24"/>
          <w:szCs w:val="24"/>
        </w:rPr>
        <w:t>。这是“资本主义积累的本性,决不允许劳动剥削程度的任何降低或劳动价格的任何提高有可能严重地危及资本关系的不断再生产和它的规模不断扩大的再生产”</w:t>
      </w:r>
      <w:r>
        <w:rPr>
          <w:rFonts w:hint="default" w:ascii="Times New Roman" w:hAnsi="Times New Roman" w:eastAsia="宋体" w:cs="Times New Roman"/>
          <w:spacing w:val="5"/>
          <w:sz w:val="24"/>
          <w:szCs w:val="24"/>
          <w:vertAlign w:val="superscript"/>
        </w:rPr>
        <w:footnoteReference w:id="610"/>
      </w:r>
      <w:r>
        <w:rPr>
          <w:rFonts w:hint="default" w:ascii="Times New Roman" w:hAnsi="Times New Roman" w:eastAsia="宋体" w:cs="Times New Roman"/>
          <w:spacing w:val="5"/>
          <w:sz w:val="24"/>
          <w:szCs w:val="24"/>
        </w:rPr>
        <w:t>。纵观世界经济论坛的历年年会主题可以发现,从重点关注的经济管理领域,逐渐延伸到公共政策、社会治理、气候环境、国际争端等其他领域,但是从未专门讨论世界经济的不平等现象,即使涉及发展中国家的贫困化问题,也不曾涉及有关国内外剥削的议题,抑或是大多数人的福利增进议题,甚至对于全面消除绝对贫困的中国经验也选择视而不见,缺少深入的研讨和推广,更没有工人阶级代表或工人组织会出现在世界经济论坛年会上有权同资本争取合理权益。难道这不正是世界经济论坛宗旨的应有之义吗?否则具有极大进步性的世界社会论坛</w:t>
      </w:r>
      <w:r>
        <w:rPr>
          <w:rFonts w:hint="default" w:ascii="Times New Roman" w:hAnsi="Times New Roman" w:eastAsia="宋体" w:cs="Times New Roman"/>
          <w:spacing w:val="5"/>
          <w:sz w:val="24"/>
          <w:szCs w:val="24"/>
          <w:vertAlign w:val="superscript"/>
        </w:rPr>
        <w:footnoteReference w:id="611"/>
      </w:r>
      <w:r>
        <w:rPr>
          <w:rFonts w:hint="default" w:ascii="Times New Roman" w:hAnsi="Times New Roman" w:eastAsia="宋体" w:cs="Times New Roman"/>
          <w:spacing w:val="5"/>
          <w:sz w:val="24"/>
          <w:szCs w:val="24"/>
        </w:rPr>
        <w:t>又怎么会另起炉灶与之针锋相对呢?</w:t>
      </w:r>
    </w:p>
    <w:p w14:paraId="65E35C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(四)世界经济论坛减缓了资本全球化的垄断积聚效应吗?</w:t>
      </w:r>
    </w:p>
    <w:p w14:paraId="0C7DE16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世界经济论坛的全球化影响有一定的历史局限性,很难实现其预期,主要是受到资本主义积累规律的支配</w:t>
      </w:r>
      <w:r>
        <w:rPr>
          <w:rFonts w:hint="default" w:ascii="Times New Roman" w:hAnsi="Times New Roman" w:eastAsia="宋体" w:cs="Times New Roman"/>
          <w:spacing w:val="5"/>
          <w:sz w:val="24"/>
          <w:szCs w:val="24"/>
          <w:lang w:eastAsia="zh-CN"/>
        </w:rPr>
        <w:t>。</w:t>
      </w:r>
      <w:r>
        <w:rPr>
          <w:rFonts w:hint="default" w:ascii="Times New Roman" w:hAnsi="Times New Roman" w:eastAsia="宋体" w:cs="Times New Roman"/>
          <w:spacing w:val="5"/>
          <w:sz w:val="24"/>
          <w:szCs w:val="24"/>
        </w:rPr>
        <w:t>从资本积累的基础、目的和过程来看,分别体现在世界经济论坛有一定垄断资本的经济支持、能促进垄断资本的利润提升,以及可引导垄断资本的运动流向,从而适应并加快了资本主义的垄断竞争全球化。具体来讲:</w:t>
      </w:r>
    </w:p>
    <w:p w14:paraId="70BB742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为了解决资金来源的后顾之忧,“休克疗法”式地改革了资金筹措机制,把一般非营利性论坛主要依赖的不稳定性参会费约束模式,转型为以稳定且有保障的会员缴费及战略伙伴入股费为主、参会费为辅的激励模式。这些会员根据参与论坛活动的形式主要有行业、战略、准战略和地区等四种合作伙伴关系,总量都是营业收入额或资产额在50亿美元以上的位居全球前1000强的跨国企业,对所在行业和区域经济具有“支柱”或“主导”性市场势力</w:t>
      </w:r>
      <w:r>
        <w:rPr>
          <w:rFonts w:hint="default" w:ascii="Times New Roman" w:hAnsi="Times New Roman" w:eastAsia="宋体" w:cs="Times New Roman"/>
          <w:spacing w:val="5"/>
          <w:sz w:val="24"/>
          <w:szCs w:val="24"/>
          <w:vertAlign w:val="superscript"/>
        </w:rPr>
        <w:footnoteReference w:id="612"/>
      </w:r>
      <w:r>
        <w:rPr>
          <w:rFonts w:hint="default" w:ascii="Times New Roman" w:hAnsi="Times New Roman" w:eastAsia="宋体" w:cs="Times New Roman"/>
          <w:spacing w:val="5"/>
          <w:sz w:val="24"/>
          <w:szCs w:val="24"/>
        </w:rPr>
        <w:t>,其中支柱型合作伙伴是对特定行业、具体区域,抑或不同行业和不同区域的总体战略可以产生决定性影响,而主导型合作伙伴主要是全球成长型企业,对行业和区域的未来发展具有引领性作用。所以,世界经济论坛精挑细选的会员企业具有典型的全球性、规模性和垄断性等三个基本特征,集中体现了领导型跨国垄断资本的组织化,而决定企业的少数所有者即控股股东则是领导型跨国垄断资本的人格化,这难道不会对论坛产生“可置信性导向”吗</w:t>
      </w:r>
      <w:r>
        <w:rPr>
          <w:rFonts w:hint="default" w:ascii="Times New Roman" w:hAnsi="Times New Roman" w:eastAsia="宋体" w:cs="Times New Roman"/>
          <w:spacing w:val="5"/>
          <w:sz w:val="24"/>
          <w:szCs w:val="24"/>
          <w:vertAlign w:val="superscript"/>
        </w:rPr>
        <w:footnoteReference w:id="613"/>
      </w:r>
      <w:r>
        <w:rPr>
          <w:rFonts w:hint="default" w:ascii="Times New Roman" w:hAnsi="Times New Roman" w:eastAsia="宋体" w:cs="Times New Roman"/>
          <w:spacing w:val="5"/>
          <w:sz w:val="24"/>
          <w:szCs w:val="24"/>
        </w:rPr>
        <w:t>?</w:t>
      </w:r>
    </w:p>
    <w:p w14:paraId="657A6A9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进一步讨论,资本的逐利性决定了垄断资本当且仅当为了垄断利润而存在,能且只能为了垄断利润的积累而运动演化,结果必然形成跨国垄断资本,抑或垄断资本的全球化,世界经济论坛的存在和发展只是加快了这一全球化进程。20世纪60年代随着跨国企业的大规模兴起,尤其是到了70年代出现的金融资本主义全球化,垄断资本的全球化不断加强。这与传统的垄断对外证券市场投资不同,而是利用对外直接投资垄断控制东道国的产业经济链,最大程度地挖掘、抢占其剩余价值,也被视为新帝国主义的典型特征</w:t>
      </w:r>
      <w:r>
        <w:rPr>
          <w:rFonts w:hint="default" w:ascii="Times New Roman" w:hAnsi="Times New Roman" w:eastAsia="宋体" w:cs="Times New Roman"/>
          <w:spacing w:val="5"/>
          <w:sz w:val="24"/>
          <w:szCs w:val="24"/>
          <w:vertAlign w:val="superscript"/>
        </w:rPr>
        <w:footnoteReference w:id="614"/>
      </w:r>
      <w:r>
        <w:rPr>
          <w:rFonts w:hint="default" w:ascii="Times New Roman" w:hAnsi="Times New Roman" w:eastAsia="宋体" w:cs="Times New Roman"/>
          <w:spacing w:val="5"/>
          <w:sz w:val="24"/>
          <w:szCs w:val="24"/>
        </w:rPr>
        <w:t>。恰逢其时,世界经济论坛的出现适应了垄断资本全球化发展阶段的市场需求,为寡头垄断资本分割未来的全球垄断利润提供了寻租合作的新途径。</w:t>
      </w:r>
    </w:p>
    <w:p w14:paraId="4F6A24A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马克思指出,“世界贸易和世界市场在16世纪揭开了资本的现代生活史”</w:t>
      </w:r>
      <w:r>
        <w:rPr>
          <w:rFonts w:hint="default" w:ascii="Times New Roman" w:hAnsi="Times New Roman" w:eastAsia="宋体" w:cs="Times New Roman"/>
          <w:spacing w:val="5"/>
          <w:sz w:val="24"/>
          <w:szCs w:val="24"/>
          <w:vertAlign w:val="superscript"/>
        </w:rPr>
        <w:footnoteReference w:id="615"/>
      </w:r>
      <w:r>
        <w:rPr>
          <w:rFonts w:hint="default" w:ascii="Times New Roman" w:hAnsi="Times New Roman" w:eastAsia="宋体" w:cs="Times New Roman"/>
          <w:spacing w:val="5"/>
          <w:sz w:val="24"/>
          <w:szCs w:val="24"/>
        </w:rPr>
        <w:t>,“因为一般来说,世界市场是资本主义生产方式的基础和生活环境”</w:t>
      </w:r>
      <w:r>
        <w:rPr>
          <w:rFonts w:hint="default" w:ascii="Times New Roman" w:hAnsi="Times New Roman" w:eastAsia="宋体" w:cs="Times New Roman"/>
          <w:spacing w:val="5"/>
          <w:sz w:val="24"/>
          <w:szCs w:val="24"/>
          <w:vertAlign w:val="superscript"/>
        </w:rPr>
        <w:footnoteReference w:id="616"/>
      </w:r>
      <w:r>
        <w:rPr>
          <w:rFonts w:hint="default" w:ascii="Times New Roman" w:hAnsi="Times New Roman" w:eastAsia="宋体" w:cs="Times New Roman"/>
          <w:spacing w:val="5"/>
          <w:sz w:val="24"/>
          <w:szCs w:val="24"/>
        </w:rPr>
        <w:t>。随着世界市场的扩大,资本积累从国内输出到国外,从个体的无序式自由竞争发展为规模化的有序式垄断博弈,从行业垄断到国家垄断再到跨国企业垄断,从跨国企业联盟、兼并再到合资等对外扩张模式,以及“无私”地支持世界经济论坛,进一步加强所谓的“公私合作”,都是为了把“一种没有私有财产控制的私人生产”</w:t>
      </w:r>
      <w:r>
        <w:rPr>
          <w:rFonts w:hint="default" w:ascii="Times New Roman" w:hAnsi="Times New Roman" w:eastAsia="宋体" w:cs="Times New Roman"/>
          <w:spacing w:val="5"/>
          <w:sz w:val="24"/>
          <w:szCs w:val="24"/>
          <w:vertAlign w:val="superscript"/>
        </w:rPr>
        <w:footnoteReference w:id="617"/>
      </w:r>
      <w:r>
        <w:rPr>
          <w:rFonts w:hint="default" w:ascii="Times New Roman" w:hAnsi="Times New Roman" w:eastAsia="宋体" w:cs="Times New Roman"/>
          <w:spacing w:val="5"/>
          <w:sz w:val="24"/>
          <w:szCs w:val="24"/>
        </w:rPr>
        <w:t>推向全球化,即资本主义的全球化,建立并巩固资本的永久性国际垄断地位,最终可能实现跨国资本家阶级的全球化联合。这表明世界经济论坛的全球化影响力对于垄断资本运动新形态的演化推进产生了典型的有为作用。</w:t>
      </w:r>
    </w:p>
    <w:p w14:paraId="16459027">
      <w:pPr>
        <w:pStyle w:val="4"/>
        <w:bidi w:val="0"/>
        <w:rPr>
          <w:rFonts w:hint="default"/>
        </w:rPr>
      </w:pPr>
      <w:r>
        <w:rPr>
          <w:rFonts w:hint="default"/>
        </w:rPr>
        <w:t>三、世界经济论坛全球化影响力悖论的形成逻辑</w:t>
      </w:r>
    </w:p>
    <w:p w14:paraId="7C7008D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lang w:eastAsia="zh-CN"/>
        </w:rPr>
      </w:pPr>
      <w:r>
        <w:rPr>
          <w:rFonts w:hint="default" w:ascii="Times New Roman" w:hAnsi="Times New Roman" w:eastAsia="宋体" w:cs="Times New Roman"/>
          <w:spacing w:val="5"/>
          <w:sz w:val="24"/>
          <w:szCs w:val="24"/>
        </w:rPr>
        <w:t>世界经济论坛对于经济全球化的有限性影响,主要决定于资本积累二元悖论的必然逻辑性,也可以称为世界经济论坛全球化影响力悖论。由于资本积累在世界经济论坛业务活动的影响和作用下,对于资本主义全球经济体系的演化发展发挥着稳定的调和作用,但是,资本主义市场经济的“较大的资本战胜较小的资本”</w:t>
      </w:r>
      <w:r>
        <w:rPr>
          <w:rFonts w:hint="default" w:ascii="Times New Roman" w:hAnsi="Times New Roman" w:eastAsia="宋体" w:cs="Times New Roman"/>
          <w:spacing w:val="5"/>
          <w:sz w:val="24"/>
          <w:szCs w:val="24"/>
          <w:vertAlign w:val="superscript"/>
        </w:rPr>
        <w:footnoteReference w:id="618"/>
      </w:r>
      <w:r>
        <w:rPr>
          <w:rFonts w:hint="default" w:ascii="Times New Roman" w:hAnsi="Times New Roman" w:eastAsia="宋体" w:cs="Times New Roman"/>
          <w:spacing w:val="5"/>
          <w:sz w:val="24"/>
          <w:szCs w:val="24"/>
        </w:rPr>
        <w:t>自由竞争机制决定了跨国垄断资本主导的这种体系的结构不平衡性,无论在短期内如何被扶颠持危地补救缓解,也不会在长期内彻底地被消解重构。2018年论坛年会正值金融危机十周年,英国前首相梅(TheresaMay)表示,英国依然继续坚定地支持自由贸易和全球规则体系,并认为应该进一步加以推进,尽管英国已经脱欧,但是仍然继续成为全球自由贸易的倡导者</w:t>
      </w:r>
      <w:r>
        <w:rPr>
          <w:rFonts w:hint="default" w:ascii="Times New Roman" w:hAnsi="Times New Roman" w:eastAsia="宋体" w:cs="Times New Roman"/>
          <w:spacing w:val="5"/>
          <w:sz w:val="24"/>
          <w:szCs w:val="24"/>
          <w:vertAlign w:val="superscript"/>
        </w:rPr>
        <w:footnoteReference w:id="619"/>
      </w:r>
      <w:r>
        <w:rPr>
          <w:rFonts w:hint="default" w:ascii="Times New Roman" w:hAnsi="Times New Roman" w:eastAsia="宋体" w:cs="Times New Roman"/>
          <w:spacing w:val="5"/>
          <w:sz w:val="24"/>
          <w:szCs w:val="24"/>
        </w:rPr>
        <w:t>。美国当选总统特朗普(DonaldTrump)也表示,“我们实施了最广泛的放松监管。我承诺每增添一个新监管就要消除两个不必要的监管规定”</w:t>
      </w:r>
      <w:r>
        <w:rPr>
          <w:rFonts w:hint="default" w:ascii="Times New Roman" w:hAnsi="Times New Roman" w:eastAsia="宋体" w:cs="Times New Roman"/>
          <w:spacing w:val="5"/>
          <w:sz w:val="24"/>
          <w:szCs w:val="24"/>
          <w:vertAlign w:val="superscript"/>
        </w:rPr>
        <w:footnoteReference w:id="620"/>
      </w:r>
      <w:r>
        <w:rPr>
          <w:rFonts w:hint="default" w:ascii="Times New Roman" w:hAnsi="Times New Roman" w:eastAsia="宋体" w:cs="Times New Roman"/>
          <w:spacing w:val="5"/>
          <w:sz w:val="24"/>
          <w:szCs w:val="24"/>
        </w:rPr>
        <w:t>。但是,随着自由化的资本积累,资本主义全球经济体系的不平等性呈现扩大化趋势,美国经济学家斯蒂格利茨指出,“世界正在变得更加两极分化”,“其实并不是全球化造成的,而是资本主义本身”</w:t>
      </w:r>
      <w:r>
        <w:rPr>
          <w:rFonts w:hint="default" w:ascii="Times New Roman" w:hAnsi="Times New Roman" w:eastAsia="宋体" w:cs="Times New Roman"/>
          <w:spacing w:val="5"/>
          <w:sz w:val="24"/>
          <w:szCs w:val="24"/>
          <w:vertAlign w:val="superscript"/>
        </w:rPr>
        <w:footnoteReference w:id="621"/>
      </w:r>
      <w:r>
        <w:rPr>
          <w:rFonts w:hint="default" w:ascii="Times New Roman" w:hAnsi="Times New Roman" w:eastAsia="宋体" w:cs="Times New Roman"/>
          <w:spacing w:val="5"/>
          <w:sz w:val="24"/>
          <w:szCs w:val="24"/>
        </w:rPr>
        <w:t>,皮凯蒂的大数据历史分析也给予了充分的证实</w:t>
      </w:r>
      <w:r>
        <w:rPr>
          <w:rFonts w:hint="default" w:ascii="Times New Roman" w:hAnsi="Times New Roman" w:eastAsia="宋体" w:cs="Times New Roman"/>
          <w:spacing w:val="5"/>
          <w:sz w:val="24"/>
          <w:szCs w:val="24"/>
          <w:vertAlign w:val="superscript"/>
        </w:rPr>
        <w:footnoteReference w:id="622"/>
      </w:r>
      <w:r>
        <w:rPr>
          <w:rFonts w:hint="default" w:ascii="Times New Roman" w:hAnsi="Times New Roman" w:eastAsia="宋体" w:cs="Times New Roman"/>
          <w:spacing w:val="5"/>
          <w:sz w:val="24"/>
          <w:szCs w:val="24"/>
        </w:rPr>
        <w:t>。这不可避免地会造成越来越严重的全球性经济危机,继而产生跨国垄断资本保护利润的逆全球化行为。可见,世界经济论坛对于资本主义经济全球化的不平衡发展只能“治标”而不会也不能“除本”,这是由资本积累的演化规律决定的</w:t>
      </w:r>
      <w:r>
        <w:rPr>
          <w:rFonts w:hint="default" w:ascii="Times New Roman" w:hAnsi="Times New Roman" w:eastAsia="宋体" w:cs="Times New Roman"/>
          <w:spacing w:val="5"/>
          <w:sz w:val="24"/>
          <w:szCs w:val="24"/>
          <w:lang w:eastAsia="zh-CN"/>
        </w:rPr>
        <w:t>。</w:t>
      </w:r>
    </w:p>
    <w:p w14:paraId="3538764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(一)世界经济论坛难以减缓资本主义全球经济体系不平衡性的历史根源</w:t>
      </w:r>
    </w:p>
    <w:p w14:paraId="7E6387E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世界经济论坛宣称一切为了“促进国际经济合作与交流”,哥伦比亚大学经济学家巴格瓦蒂(Jagdish</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Bhagwati)甚至提出,“自由贸易会带来高增长,高增长会带来减少贫困”</w:t>
      </w:r>
      <w:r>
        <w:rPr>
          <w:rFonts w:hint="default" w:ascii="Times New Roman" w:hAnsi="Times New Roman" w:eastAsia="宋体" w:cs="Times New Roman"/>
          <w:spacing w:val="5"/>
          <w:sz w:val="24"/>
          <w:szCs w:val="24"/>
          <w:vertAlign w:val="superscript"/>
        </w:rPr>
        <w:footnoteReference w:id="623"/>
      </w:r>
      <w:r>
        <w:rPr>
          <w:rFonts w:hint="default" w:ascii="Times New Roman" w:hAnsi="Times New Roman" w:eastAsia="宋体" w:cs="Times New Roman"/>
          <w:spacing w:val="5"/>
          <w:sz w:val="24"/>
          <w:szCs w:val="24"/>
        </w:rPr>
        <w:t>,但是,资本主义支配下的自由贸易实际上是促进了跨国垄断资本的合作与交流,推进了资本主义全球经济体系的相对稳定循环运行,结果无疑进一步强化了资本主义全球经济体系的不平衡性,增加了欠发达国家的国际债务,以及恶化了世界性贫困问题。寻根溯源产生于不同地区的资本积累不平衡。这种区域不平衡,一方面是由于资本积累的时间序列有先后之差,另一方面则是由于资本积累的空间分布也有多少之异。具体来讨论,由于不同地区的资本原始积累时间不同,导致不同地区的资本主义生产方式确立为统治地位的时间也就存在差异,进而影响了这些地区的资本规模化积累,再结合这些地区的特殊历史条件,决定了它们的资本主义演化路径和历史阶段。总体来看,资本主义从最早对外开始殖民的西欧主要国家,逐渐推广到北美殖民地,然后从欧美资本主义先发地区再进一步植入亚洲、南美和非洲等后起地区。正是后者的资本积累存在原始积累及规模化积累的先天不足和后发乏力,才不由自主地纳入了被前者支配的资本主义全球经济体系,从资本主义经济发展史来看,形成了18世纪的以荷兰为中心的商业资本主义体系,19世纪的以英国为中心的工业资本主义体系,以及20世纪到如今的以美国为中心的金融资本主义体系以及正在兴起的数字资本主义体系。可以发现,在资本主义演化的不同历史阶段,任意一个体系的结构不平衡性不但没有逐渐缩小,反而是出现了不同程度的拉大,比如,希勒(DanSchiller)特别强调数字资本主义不是消除而是增加了资本主义市场制度的不稳定性以及不平等及以强凌弱的诸多弊病</w:t>
      </w:r>
      <w:r>
        <w:rPr>
          <w:rFonts w:hint="default" w:ascii="Times New Roman" w:hAnsi="Times New Roman" w:eastAsia="宋体" w:cs="Times New Roman"/>
          <w:spacing w:val="5"/>
          <w:sz w:val="24"/>
          <w:szCs w:val="24"/>
          <w:vertAlign w:val="superscript"/>
        </w:rPr>
        <w:footnoteReference w:id="624"/>
      </w:r>
      <w:r>
        <w:rPr>
          <w:rFonts w:hint="default" w:ascii="Times New Roman" w:hAnsi="Times New Roman" w:eastAsia="宋体" w:cs="Times New Roman"/>
          <w:spacing w:val="5"/>
          <w:sz w:val="24"/>
          <w:szCs w:val="24"/>
        </w:rPr>
        <w:t>。</w:t>
      </w:r>
    </w:p>
    <w:p w14:paraId="2D86ED1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从资本积累的空间分布结构来看,虽然不同历史阶段的资本主义全球经济体系资本形态的层次不同,但是都形成了以发达资本主义国家为核心的“中心-外围”型基本结构,在此基础上“外围”不断扩大和分化,逐渐演化为多层级外围的“全球化同心圆”结构</w:t>
      </w:r>
      <w:r>
        <w:rPr>
          <w:rFonts w:hint="default" w:ascii="Times New Roman" w:hAnsi="Times New Roman" w:eastAsia="宋体" w:cs="Times New Roman"/>
          <w:spacing w:val="5"/>
          <w:sz w:val="24"/>
          <w:szCs w:val="24"/>
          <w:vertAlign w:val="superscript"/>
        </w:rPr>
        <w:footnoteReference w:id="625"/>
      </w:r>
      <w:r>
        <w:rPr>
          <w:rFonts w:hint="default" w:ascii="Times New Roman" w:hAnsi="Times New Roman" w:eastAsia="宋体" w:cs="Times New Roman"/>
          <w:spacing w:val="5"/>
          <w:sz w:val="24"/>
          <w:szCs w:val="24"/>
        </w:rPr>
        <w:t>。进一步讲,这种资本主义全球化“同心圆”体系,主要经历了19世纪70年代后期之前的外向扩散化和之后的尤其是二战以后的内向积聚化两个主要阶段,前者是在资本全球化实现自由流动之前以中心国家和外围国家的垂直型贸易分工为主,后者则是在资本全球化基本实现自由流动的前提下以中心国家之间的产业内水平型贸易分工和对外直接投资为主,导致不同层级地区之间的经济发展不平衡性不断加深。在全球化同心圆体系的外向扩散化阶段,谢克(AnwarShaikh)依据麦迪森整理统计的关于资本主义近500年的经济长期波动数据分析,发现资本主义全球经济体系总体的生活水平保持上升态势,但是亚洲和非洲的某些发展中国家的经济增长却停滞甚至下降了近300年,更严重的是,最发达地区与最不发达地区的人均GDP比值在1600年为2.2,到了1700年上升至2.4,1820年进一步递增到2.8,而在1900年则激增到6.7,到了2000年上升到惊人的18.5—在200多年的资本主义全球化发展中,经济增长的不平等性跃升了5.6倍</w:t>
      </w:r>
      <w:r>
        <w:rPr>
          <w:rFonts w:hint="default" w:ascii="Times New Roman" w:hAnsi="Times New Roman" w:eastAsia="宋体" w:cs="Times New Roman"/>
          <w:spacing w:val="5"/>
          <w:sz w:val="24"/>
          <w:szCs w:val="24"/>
          <w:vertAlign w:val="superscript"/>
        </w:rPr>
        <w:footnoteReference w:id="626"/>
      </w:r>
      <w:r>
        <w:rPr>
          <w:rFonts w:hint="default" w:ascii="Times New Roman" w:hAnsi="Times New Roman" w:eastAsia="宋体" w:cs="Times New Roman"/>
          <w:spacing w:val="5"/>
          <w:sz w:val="24"/>
          <w:szCs w:val="24"/>
        </w:rPr>
        <w:t>。即使少数外围国家突破体系结构的瓶颈约束,但它们的分布也相当不平衡,且都具有很难复制的专属比较优势。比如韦斯科夫(ThomasWeiskopf)统计比较了自1950年以来人口超过100万的第三世界国家产值增长最快的20个国家和地区,其中5个是石油生产国,2个是服务业发达地,以及美国援助最多的5个地区和国家</w:t>
      </w:r>
      <w:r>
        <w:rPr>
          <w:rFonts w:hint="default" w:ascii="Times New Roman" w:hAnsi="Times New Roman" w:eastAsia="宋体" w:cs="Times New Roman"/>
          <w:spacing w:val="5"/>
          <w:sz w:val="24"/>
          <w:szCs w:val="24"/>
          <w:vertAlign w:val="superscript"/>
        </w:rPr>
        <w:footnoteReference w:id="627"/>
      </w:r>
      <w:r>
        <w:rPr>
          <w:rFonts w:hint="default" w:ascii="Times New Roman" w:hAnsi="Times New Roman" w:eastAsia="宋体" w:cs="Times New Roman"/>
          <w:spacing w:val="5"/>
          <w:sz w:val="24"/>
          <w:szCs w:val="24"/>
        </w:rPr>
        <w:t>。进一步讲,在全球化同心圆体系的内向积聚化阶段,伯杰(SusanBerger)和多尔(RonaldDore)统计表明,20世纪80年代开始,自由流动的全球化资本高度集中在发达资本主义地区,尤其集中在美国和欧盟国家,而在90年代以后世界对外直接投资总量出现明显的下降趋势,并向资本主义中心地区内向积聚扩大</w:t>
      </w:r>
      <w:r>
        <w:rPr>
          <w:rFonts w:hint="default" w:ascii="Times New Roman" w:hAnsi="Times New Roman" w:eastAsia="宋体" w:cs="Times New Roman"/>
          <w:spacing w:val="5"/>
          <w:sz w:val="24"/>
          <w:szCs w:val="24"/>
          <w:vertAlign w:val="superscript"/>
        </w:rPr>
        <w:footnoteReference w:id="628"/>
      </w:r>
      <w:r>
        <w:rPr>
          <w:rFonts w:hint="default" w:ascii="Times New Roman" w:hAnsi="Times New Roman" w:eastAsia="宋体" w:cs="Times New Roman"/>
          <w:spacing w:val="5"/>
          <w:sz w:val="24"/>
          <w:szCs w:val="24"/>
        </w:rPr>
        <w:t>。特别是1986年欧盟国家的市场统一取得了实质性进展,标志着世界经济的全球一体化向区域一体化的全球化开始转型。可见,无论是在中心地区,还是在外围地区,各种形式的区域一体化不断增多,区域保护主义也随之增强,于是出现了不平衡的资本主义经济逆全球化发展。难怪德国总理科尔(HelmutKohl)在1994年论坛年会的开幕式上呼吁,“欧洲各国寻求更加统一的方法,对付失业和迎接全球经济的新挑战,维护欧洲在国际贸易和投资方面竞争中的地位”。</w:t>
      </w:r>
    </w:p>
    <w:p w14:paraId="09EB5DB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(二)世界经济论坛难以减缓资本主义经济危机破坏效应的结构矛盾</w:t>
      </w:r>
    </w:p>
    <w:p w14:paraId="004EAB0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世界经济论坛对于资本主义经济危机破坏效应的结构矛盾一直没有比较客观地探讨和评价。比如,面对2008年世界经济遭受全球金融风暴严重破坏的现实,在当年论坛年会上,美国国务卿赖斯(CondoleezzaRice)强调,美国经济仍然是“有回弹力的,其结构是合理的,其长期基本要素也是健康的”;雪佛龙公司CEO奥雷里(DavidO’Reilly)则坚持认为,“美国经济能自我纠正。在谈到美国经济可能出现的减速或衰退的程度时,我持乐观态度……(美国经济)前景非常好”</w:t>
      </w:r>
      <w:r>
        <w:rPr>
          <w:rFonts w:hint="default" w:ascii="Times New Roman" w:hAnsi="Times New Roman" w:eastAsia="宋体" w:cs="Times New Roman"/>
          <w:spacing w:val="5"/>
          <w:sz w:val="24"/>
          <w:szCs w:val="24"/>
          <w:vertAlign w:val="superscript"/>
        </w:rPr>
        <w:footnoteReference w:id="629"/>
      </w:r>
      <w:r>
        <w:rPr>
          <w:rFonts w:hint="default" w:ascii="Times New Roman" w:hAnsi="Times New Roman" w:eastAsia="宋体" w:cs="Times New Roman"/>
          <w:spacing w:val="5"/>
          <w:sz w:val="24"/>
          <w:szCs w:val="24"/>
        </w:rPr>
        <w:t>。但是,从经济效应来看,不但出现了资本主义经济逆全球化发展的看似不合乎逻辑现象,而且论坛很难达成有效解决应对资本主义经济危机的全球化合作共识,甚至在一定程度上忽视了发达资本主义国家向其他国家特别是外围的国家和地区转嫁危机风险的现实。诚然,这些问题的关键在于世界资本主义制度自身无法克服的结构性矛盾。马克思指出,“资本主义生产方式迫使每一个企业实行节约,但是它的无政府状态的竞争制度却造成社会生产资料和劳动力的最大的浪费”</w:t>
      </w:r>
      <w:r>
        <w:rPr>
          <w:rFonts w:hint="default" w:ascii="Times New Roman" w:hAnsi="Times New Roman" w:eastAsia="宋体" w:cs="Times New Roman"/>
          <w:spacing w:val="5"/>
          <w:sz w:val="24"/>
          <w:szCs w:val="24"/>
          <w:vertAlign w:val="superscript"/>
        </w:rPr>
        <w:footnoteReference w:id="630"/>
      </w:r>
      <w:r>
        <w:rPr>
          <w:rFonts w:hint="default" w:ascii="Times New Roman" w:hAnsi="Times New Roman" w:eastAsia="宋体" w:cs="Times New Roman"/>
          <w:spacing w:val="5"/>
          <w:sz w:val="24"/>
          <w:szCs w:val="24"/>
        </w:rPr>
        <w:t>,“使实际的资产者最深切地感到资本主义社会充满矛盾的运动的,是现代工业所经历的周期循环的各个变动,而这种变动的顶点就是普遍危机”</w:t>
      </w:r>
      <w:r>
        <w:rPr>
          <w:rFonts w:hint="default" w:ascii="Times New Roman" w:hAnsi="Times New Roman" w:eastAsia="宋体" w:cs="Times New Roman"/>
          <w:spacing w:val="5"/>
          <w:sz w:val="24"/>
          <w:szCs w:val="24"/>
          <w:vertAlign w:val="superscript"/>
        </w:rPr>
        <w:footnoteReference w:id="631"/>
      </w:r>
      <w:r>
        <w:rPr>
          <w:rFonts w:hint="default" w:ascii="Times New Roman" w:hAnsi="Times New Roman" w:eastAsia="宋体" w:cs="Times New Roman"/>
          <w:spacing w:val="5"/>
          <w:sz w:val="24"/>
          <w:szCs w:val="24"/>
        </w:rPr>
        <w:t>,也就是说,资本主义的生产方式决定了在资本主义经济周期中不断爆发生产相对过剩的结构性危机的必然性。</w:t>
      </w:r>
    </w:p>
    <w:p w14:paraId="596B44A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为了缓解生产过剩危机的破坏性,金融资本的主要功能从19世纪70年代到20世纪60年代的生产性投资型转型为世界经济论坛创办的20世纪70年代到21世纪初的非生产性投机型,从被工业资本支配逐渐演化为支配工业资本,并且可以相对独立于工业资本,形成自我循环的运转体系,以虚拟化和衍生化的资本形态在金融市场尤其是国际金融市场上积累虚拟资本,增加虚拟财富。马克思认为“它们的市场价值,在现实资本的价值不发生变化(即使它的价值已增殖)时,会和它们的名义价值具有不同的决定方法……由预期得到的、预先计算的收入决定的”</w:t>
      </w:r>
      <w:r>
        <w:rPr>
          <w:rFonts w:hint="default" w:ascii="Times New Roman" w:hAnsi="Times New Roman" w:eastAsia="宋体" w:cs="Times New Roman"/>
          <w:spacing w:val="5"/>
          <w:sz w:val="24"/>
          <w:szCs w:val="24"/>
          <w:vertAlign w:val="superscript"/>
        </w:rPr>
        <w:footnoteReference w:id="632"/>
      </w:r>
      <w:r>
        <w:rPr>
          <w:rFonts w:hint="default" w:ascii="Times New Roman" w:hAnsi="Times New Roman" w:eastAsia="宋体" w:cs="Times New Roman"/>
          <w:spacing w:val="5"/>
          <w:sz w:val="24"/>
          <w:szCs w:val="24"/>
        </w:rPr>
        <w:t>。于是,当商品市场出现过剩的生产资本时,金融市场可以将其吸引进来,融入金融资本的循环积累中,即所谓的“去工业化”</w:t>
      </w:r>
      <w:r>
        <w:rPr>
          <w:rFonts w:hint="default" w:ascii="Times New Roman" w:hAnsi="Times New Roman" w:eastAsia="宋体" w:cs="Times New Roman"/>
          <w:spacing w:val="5"/>
          <w:sz w:val="24"/>
          <w:szCs w:val="24"/>
          <w:vertAlign w:val="superscript"/>
        </w:rPr>
        <w:footnoteReference w:id="633"/>
      </w:r>
      <w:r>
        <w:rPr>
          <w:rFonts w:hint="default" w:ascii="Times New Roman" w:hAnsi="Times New Roman" w:eastAsia="宋体" w:cs="Times New Roman"/>
          <w:spacing w:val="5"/>
          <w:sz w:val="24"/>
          <w:szCs w:val="24"/>
        </w:rPr>
        <w:t>,这对于缓解生产过剩危机产生了积极效应。以马格多夫(Harry</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Magdoff)和斯威齐(Paul</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Sweezy)为代表的垄断资本学派研究发现,当凯恩斯主义对20世纪70年代西方资本主义世界经济滞涨束手无策之时,急剧扩张的投机性金融资本及时吸收了商品市场的经济剩余,降低了滞涨危机的破坏性,同时加速了资本主义的去工业化趋向</w:t>
      </w:r>
      <w:r>
        <w:rPr>
          <w:rFonts w:hint="default" w:ascii="Times New Roman" w:hAnsi="Times New Roman" w:eastAsia="宋体" w:cs="Times New Roman"/>
          <w:spacing w:val="5"/>
          <w:sz w:val="24"/>
          <w:szCs w:val="24"/>
          <w:vertAlign w:val="superscript"/>
        </w:rPr>
        <w:footnoteReference w:id="634"/>
      </w:r>
      <w:r>
        <w:rPr>
          <w:rFonts w:hint="default" w:ascii="Times New Roman" w:hAnsi="Times New Roman" w:eastAsia="宋体" w:cs="Times New Roman"/>
          <w:spacing w:val="5"/>
          <w:sz w:val="24"/>
          <w:szCs w:val="24"/>
        </w:rPr>
        <w:t>。哈维(David</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Harvey)则进一步说明,资本在生产性部门的初级循环向以国家和金融机构为媒介的次级循环转型,是金融资本主导社会化生产的标志</w:t>
      </w:r>
      <w:r>
        <w:rPr>
          <w:rFonts w:hint="default" w:ascii="Times New Roman" w:hAnsi="Times New Roman" w:eastAsia="宋体" w:cs="Times New Roman"/>
          <w:spacing w:val="5"/>
          <w:sz w:val="24"/>
          <w:szCs w:val="24"/>
          <w:vertAlign w:val="superscript"/>
        </w:rPr>
        <w:footnoteReference w:id="635"/>
      </w:r>
      <w:r>
        <w:rPr>
          <w:rFonts w:hint="default" w:ascii="Times New Roman" w:hAnsi="Times New Roman" w:eastAsia="宋体" w:cs="Times New Roman"/>
          <w:spacing w:val="5"/>
          <w:sz w:val="24"/>
          <w:szCs w:val="24"/>
        </w:rPr>
        <w:t>。据统计,垄断资本债务的再金融化占GDP的比重从1980年的20%递增地上升到2007年的116%。所以,斯威齐把这一过程形象地称之为“资本积累过程的金融化”</w:t>
      </w:r>
      <w:r>
        <w:rPr>
          <w:rFonts w:hint="default" w:ascii="Times New Roman" w:hAnsi="Times New Roman" w:eastAsia="宋体" w:cs="Times New Roman"/>
          <w:spacing w:val="5"/>
          <w:sz w:val="24"/>
          <w:szCs w:val="24"/>
          <w:vertAlign w:val="superscript"/>
        </w:rPr>
        <w:footnoteReference w:id="636"/>
      </w:r>
      <w:r>
        <w:rPr>
          <w:rFonts w:hint="default" w:ascii="Times New Roman" w:hAnsi="Times New Roman" w:eastAsia="宋体" w:cs="Times New Roman"/>
          <w:spacing w:val="5"/>
          <w:sz w:val="24"/>
          <w:szCs w:val="24"/>
        </w:rPr>
        <w:t>。但是,马克思曾确信,“不管这种交易反复进行多少次,国债的资本仍然是纯粹的虚拟资本;一旦债券不能卖出,这个资本的假象就会消失”</w:t>
      </w:r>
      <w:r>
        <w:rPr>
          <w:rFonts w:hint="default" w:ascii="Times New Roman" w:hAnsi="Times New Roman" w:eastAsia="宋体" w:cs="Times New Roman"/>
          <w:spacing w:val="5"/>
          <w:sz w:val="24"/>
          <w:szCs w:val="24"/>
          <w:vertAlign w:val="superscript"/>
        </w:rPr>
        <w:footnoteReference w:id="637"/>
      </w:r>
      <w:r>
        <w:rPr>
          <w:rFonts w:hint="default" w:ascii="Times New Roman" w:hAnsi="Times New Roman" w:eastAsia="宋体" w:cs="Times New Roman"/>
          <w:spacing w:val="5"/>
          <w:sz w:val="24"/>
          <w:szCs w:val="24"/>
        </w:rPr>
        <w:t>“连债务积累也能表现为资本积累这一事实,清楚地表明那种在信用制度发生的颠倒现象已经达到了完成的地步”</w:t>
      </w:r>
      <w:r>
        <w:rPr>
          <w:rFonts w:hint="default" w:ascii="Times New Roman" w:hAnsi="Times New Roman" w:eastAsia="宋体" w:cs="Times New Roman"/>
          <w:spacing w:val="5"/>
          <w:sz w:val="24"/>
          <w:szCs w:val="24"/>
          <w:vertAlign w:val="superscript"/>
        </w:rPr>
        <w:footnoteReference w:id="638"/>
      </w:r>
      <w:r>
        <w:rPr>
          <w:rFonts w:hint="default" w:ascii="Times New Roman" w:hAnsi="Times New Roman" w:eastAsia="宋体" w:cs="Times New Roman"/>
          <w:spacing w:val="5"/>
          <w:sz w:val="24"/>
          <w:szCs w:val="24"/>
        </w:rPr>
        <w:t>。以福斯特(John</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Foster)和弗雷德·马格多夫(Fred</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Magd-off)为代表的垄断资本学派发展了马克思的金融化思想,指出过度的金融资本积累只会造成更为严重的金融危机,而不可能在长期内促进资本主义的经济增长</w:t>
      </w:r>
      <w:r>
        <w:rPr>
          <w:rFonts w:hint="default" w:ascii="Times New Roman" w:hAnsi="Times New Roman" w:eastAsia="宋体" w:cs="Times New Roman"/>
          <w:spacing w:val="5"/>
          <w:sz w:val="24"/>
          <w:szCs w:val="24"/>
          <w:vertAlign w:val="superscript"/>
        </w:rPr>
        <w:footnoteReference w:id="639"/>
      </w:r>
      <w:r>
        <w:rPr>
          <w:rFonts w:hint="default" w:ascii="Times New Roman" w:hAnsi="Times New Roman" w:eastAsia="宋体" w:cs="Times New Roman"/>
          <w:spacing w:val="5"/>
          <w:sz w:val="24"/>
          <w:szCs w:val="24"/>
        </w:rPr>
        <w:t>。2008年的资本主义全球金融危机破坏性之大是史无前例的,对于资本主义生产方式的冲击也是革命性的,促使资本主义生产的“去工业化”模式开始反向“再工业化”,并推动金融资本主义向数字资本主义的演化发展。总起来看,投机性的金融资本在实体经济中吸收过剩的生产资本形成“去工业化”,可以降低生产过剩风险,而过度“去工业化”就会导致实体经济中生产资本的稀缺化,并加剧金融资本的过度积累,不断增加金融危机风险,直至金融危机从发达资本主义国家扩散到其他国家和地区的全球化爆发,以及资本主义新一轮的“再工业化”。由此,生产资本与金融资本的积累呈现向右下方倾斜的“W”型结构性周期变化。经济史表明,世界经济论坛只是推动了这种结构性的资本积累,并没有减少金融危机在资本主义全球化的影响范围和破坏程度。</w:t>
      </w:r>
    </w:p>
    <w:p w14:paraId="3B6C067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(三)世界经济论坛难以减缓资本主义全球冲突分裂的现实困境</w:t>
      </w:r>
    </w:p>
    <w:p w14:paraId="29C9CC9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1996年,施瓦布在主题为“持续进展的全球化”的世界经济论坛上强调目前全球经济一体化已成为一个不可逆转的进程,法国中央银行行长特利歇(Jean-Claude</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Trichet)也在大会上指出没有任何国家能游离世界经济一体化进程之外。但是,受2008年美国次贷危机引发的资本主义全球金融危机影响,美西方发达资本主义国家主导的世界经济逆全球化现象愈演愈烈,以新自由主义为基础的全球经济合作模式面临着严重挑战。即使新自由主义的捍卫者萨默斯也转变态度,认为危机导致发展中国家经济放缓,发达国家则难以摆脱危机,而美国经济学家克鲁格曼(Paul</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Krugman)在金融危机爆发前已经不否认新自由主义的全球化是“有罪的良知”</w:t>
      </w:r>
      <w:r>
        <w:rPr>
          <w:rFonts w:hint="default" w:ascii="Times New Roman" w:hAnsi="Times New Roman" w:eastAsia="宋体" w:cs="Times New Roman"/>
          <w:spacing w:val="5"/>
          <w:sz w:val="24"/>
          <w:szCs w:val="24"/>
          <w:vertAlign w:val="superscript"/>
        </w:rPr>
        <w:footnoteReference w:id="640"/>
      </w:r>
      <w:r>
        <w:rPr>
          <w:rFonts w:hint="default" w:ascii="Times New Roman" w:hAnsi="Times New Roman" w:eastAsia="宋体" w:cs="Times New Roman"/>
          <w:spacing w:val="5"/>
          <w:sz w:val="24"/>
          <w:szCs w:val="24"/>
        </w:rPr>
        <w:t>。对此,世界经济论坛的年度主题从2009年的“构建危机后的世界”到2023年的“在分裂的世界中加强合作”,再到2024年的“重建信任”,讨论的重点主要集中在促进资本主义全球持续合作发展的经济体系重构,而这同样意味着世界经济论坛近15年的“努力”并没有取得实质性进展,“分裂的世界”仍然是当下复兴公正的经济全球化、提振世界经济增长的主要困难,而美西方国家强行“去中国化”的一系列脱钩断链或所谓防风险政策,则是公开保护其垄断地位的比较优势、破坏市场公平竞争规则的垄断行为,甚至被称为“经济恐怖主义”行为。更严重的,在不平等的国际政治经济旧秩序中,发达资本主义国家拥有制定规则和设置标准的话语权,可以维持高额的垄断利润。比如,关于全球碳排放权的不平等分配,这对于发展中国家相对平等地实现工业化是“卡脖子”“套枷锁”的霸权行为。可见,新老殖民主义和帝国主义制度是破坏全球经济互利合作的根源。</w:t>
      </w:r>
    </w:p>
    <w:p w14:paraId="5F0152D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这些现实困境,从资本运动的历史逻辑来看,是由垄断资本积累的周期变化决定的。随着“去工业化”的金融资本主义向“再工业化”的数字资本主义的演化发展,资本主义中心国家发起了新一轮的贸易保护主义,以加速数字化的工业资本积累,形成国家竞争的新垄断优势。这是资本主义贸易强国的基本范式</w:t>
      </w:r>
      <w:r>
        <w:rPr>
          <w:rFonts w:hint="default" w:ascii="Times New Roman" w:hAnsi="Times New Roman" w:eastAsia="宋体" w:cs="Times New Roman"/>
          <w:spacing w:val="5"/>
          <w:sz w:val="24"/>
          <w:szCs w:val="24"/>
          <w:vertAlign w:val="superscript"/>
        </w:rPr>
        <w:footnoteReference w:id="641"/>
      </w:r>
      <w:r>
        <w:rPr>
          <w:rFonts w:hint="default" w:ascii="Times New Roman" w:hAnsi="Times New Roman" w:eastAsia="宋体" w:cs="Times New Roman"/>
          <w:spacing w:val="5"/>
          <w:sz w:val="24"/>
          <w:szCs w:val="24"/>
        </w:rPr>
        <w:t>。从商业资本主义开始,以荷兰为典型,在政府的重商主义保护下,最早完成了商业资本的原始积累,成为第一个世界性的资本主义中心国家,并推动以西欧为中心地区的资本主义全球商业经济体系的形成。随着英国政府通过大规模的圈地运动和法制化的产业政策保护,加速了本国纺织业的资本积累,奠定了英国工业资本主义自由贸易的绝对优势,并进一步在殖民政策的保护下,把后起的资本主义国家,尤其是殖民地、半殖民地国家逐渐纳入以英国为中心的资本主义全球工业经济体系。后起的资本主义国家为了摆脱“外围”地位,以德国和美国为代表,政府有针对性地分阶段地保护本国工业成长,为自由贸易培育比较优势。李斯特(Friedrich</w:t>
      </w:r>
      <w:r>
        <w:rPr>
          <w:rFonts w:hint="eastAsia" w:ascii="Times New Roman" w:hAnsi="Times New Roman" w:eastAsia="宋体" w:cs="Times New Roman"/>
          <w:spacing w:val="5"/>
          <w:sz w:val="24"/>
          <w:szCs w:val="24"/>
          <w:lang w:val="en-US" w:eastAsia="zh-CN"/>
        </w:rPr>
        <w:t xml:space="preserve"> </w:t>
      </w:r>
      <w:r>
        <w:rPr>
          <w:rFonts w:hint="default" w:ascii="Times New Roman" w:hAnsi="Times New Roman" w:eastAsia="宋体" w:cs="Times New Roman"/>
          <w:spacing w:val="5"/>
          <w:sz w:val="24"/>
          <w:szCs w:val="24"/>
        </w:rPr>
        <w:t>List)总结道,“政府的干预和恰当地利用保护手段、补贴及其他非关税壁垒,有选择地提供信贷,有时候甚至抑制竞争,所有这一切会很有助于企业增强在世界市场上的竞争力”</w:t>
      </w:r>
      <w:r>
        <w:rPr>
          <w:rFonts w:hint="default" w:ascii="Times New Roman" w:hAnsi="Times New Roman" w:eastAsia="宋体" w:cs="Times New Roman"/>
          <w:spacing w:val="5"/>
          <w:sz w:val="24"/>
          <w:szCs w:val="24"/>
          <w:vertAlign w:val="superscript"/>
        </w:rPr>
        <w:footnoteReference w:id="642"/>
      </w:r>
      <w:r>
        <w:rPr>
          <w:rFonts w:hint="default" w:ascii="Times New Roman" w:hAnsi="Times New Roman" w:eastAsia="宋体" w:cs="Times New Roman"/>
          <w:spacing w:val="5"/>
          <w:sz w:val="24"/>
          <w:szCs w:val="24"/>
        </w:rPr>
        <w:t>。结果是德国取代英国成为工业资本主义的新中心,而美国不仅把资本主义工业中心从西欧转移到北美,而且利用二战之后世界最大债权国的市场势力巩固了美元霸权,牢牢占据了资本主义全球金融经济体系的中心地位。但是,金融资本的“去工业化”积累也造成了美国资本主义的“去中心化”,结果导致全球金融危机的产生。为了有效应对金融危机带来的严重冲击,美国新工业革命方兴未艾之际,提出了“再工业化”的数字资本积累需求,以重塑美国在资本主义经济全球体系中的“再中心化”,于是发起了围绕芯片、5G、新能源等高端产业链的贸易保护主义。特朗普在2018年论坛年会上提到,“世界最大的公司,苹果公司,宣布计划将2450亿美元的海外利润带回美国。未来五年,他们对美国经济的总投资将超过3500亿美元”</w:t>
      </w:r>
      <w:r>
        <w:rPr>
          <w:rFonts w:hint="default" w:ascii="Times New Roman" w:hAnsi="Times New Roman" w:eastAsia="宋体" w:cs="Times New Roman"/>
          <w:spacing w:val="5"/>
          <w:sz w:val="24"/>
          <w:szCs w:val="24"/>
          <w:vertAlign w:val="superscript"/>
        </w:rPr>
        <w:footnoteReference w:id="643"/>
      </w:r>
      <w:r>
        <w:rPr>
          <w:rFonts w:hint="default" w:ascii="Times New Roman" w:hAnsi="Times New Roman" w:eastAsia="宋体" w:cs="Times New Roman"/>
          <w:spacing w:val="5"/>
          <w:sz w:val="24"/>
          <w:szCs w:val="24"/>
          <w:lang w:eastAsia="zh-CN"/>
        </w:rPr>
        <w:t>。</w:t>
      </w:r>
      <w:r>
        <w:rPr>
          <w:rFonts w:hint="default" w:ascii="Times New Roman" w:hAnsi="Times New Roman" w:eastAsia="宋体" w:cs="Times New Roman"/>
          <w:spacing w:val="5"/>
          <w:sz w:val="24"/>
          <w:szCs w:val="24"/>
        </w:rPr>
        <w:t>正如贾根良教授所揭示的,美国经济崛起时期自主创新的成功经验关键是在高关税保护和排斥外国直接投资的“大棒”下,有计划地实施了加强国内经济大循环的百年“闭关锁国”政策,但是,大部分人由于受到新自由主义的支配性影响,不仅无从了解这种战略的基本经济学原理,甚至对这一历史经验也已经遗忘殆尽</w:t>
      </w:r>
      <w:r>
        <w:rPr>
          <w:rFonts w:hint="default" w:ascii="Times New Roman" w:hAnsi="Times New Roman" w:eastAsia="宋体" w:cs="Times New Roman"/>
          <w:spacing w:val="5"/>
          <w:sz w:val="24"/>
          <w:szCs w:val="24"/>
          <w:vertAlign w:val="superscript"/>
        </w:rPr>
        <w:footnoteReference w:id="644"/>
      </w:r>
      <w:r>
        <w:rPr>
          <w:rFonts w:hint="default" w:ascii="Times New Roman" w:hAnsi="Times New Roman" w:eastAsia="宋体" w:cs="Times New Roman"/>
          <w:spacing w:val="5"/>
          <w:sz w:val="24"/>
          <w:szCs w:val="24"/>
        </w:rPr>
        <w:t>。实践证明,一般提倡自由贸易的资本主义中心国家,基本上都是在本国政府不同形式的产业政策保护下加快积累了资本竞争优势以后,才开始普遍推动资本积累的全球化,直到积累过剩的经济危机再次复燃它们的贸易保护主义,于是必然产生反经济全球化的实践逻辑。</w:t>
      </w:r>
    </w:p>
    <w:p w14:paraId="125761F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四、余论与启示</w:t>
      </w:r>
    </w:p>
    <w:p w14:paraId="44B8460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lang w:eastAsia="zh-CN"/>
        </w:rPr>
      </w:pPr>
      <w:r>
        <w:rPr>
          <w:rFonts w:hint="default" w:ascii="Times New Roman" w:hAnsi="Times New Roman" w:eastAsia="宋体" w:cs="Times New Roman"/>
          <w:spacing w:val="5"/>
          <w:sz w:val="24"/>
          <w:szCs w:val="24"/>
        </w:rPr>
        <w:t>综上分析,世界经济论坛倡导的“国际经济合作与交流”宗旨,本质上是不断促进跨国垄断资本的合作与交流,而一贯讨论的亟须解决的诸多世界经济热点问题,总体来看是探讨如何缓解垄断资本全球化积累形成的不平衡不稳定的发展问题。也就是说,论坛极力推动的世界经济全球化,实际上主要是美西方支配下的经济全球化,这种全球化是不平衡、不稳定的。尽管论坛的新自由主义支配影响在短期内可以在一定程度上推动资本主义全球经济体系结构的相对稳定,但是长期来看,对于应对和预防资本主义全球化的新经济危机的功能性作用非常有限,而且也不会提出减缓“中心”发达资本主义国家向“外围”发展中国家传递经济危机的全球化破坏效应</w:t>
      </w:r>
      <w:r>
        <w:rPr>
          <w:rFonts w:hint="default" w:ascii="Times New Roman" w:hAnsi="Times New Roman" w:eastAsia="宋体" w:cs="Times New Roman"/>
          <w:spacing w:val="5"/>
          <w:sz w:val="24"/>
          <w:szCs w:val="24"/>
          <w:lang w:eastAsia="zh-CN"/>
        </w:rPr>
        <w:t>、</w:t>
      </w:r>
      <w:r>
        <w:rPr>
          <w:rFonts w:hint="default" w:ascii="Times New Roman" w:hAnsi="Times New Roman" w:eastAsia="宋体" w:cs="Times New Roman"/>
          <w:spacing w:val="5"/>
          <w:sz w:val="24"/>
          <w:szCs w:val="24"/>
        </w:rPr>
        <w:t>抑制不断边际递增的垄断资本积累,以及放松保护全球经济中心地位的垄断贸易行为的可行性举措。归根到底,这是由于资本全球化的逐利、剥削和垄断等本性及其积累演化规律对于经济全球化发挥着基础性决定作用</w:t>
      </w:r>
      <w:r>
        <w:rPr>
          <w:rFonts w:hint="default" w:ascii="Times New Roman" w:hAnsi="Times New Roman" w:eastAsia="宋体" w:cs="Times New Roman"/>
          <w:spacing w:val="5"/>
          <w:sz w:val="24"/>
          <w:szCs w:val="24"/>
          <w:lang w:eastAsia="zh-CN"/>
        </w:rPr>
        <w:t>。</w:t>
      </w:r>
    </w:p>
    <w:p w14:paraId="6AD933C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总体来讲,世界经济论坛致力于推动的世界经济全球化是不平衡且不可持续的资本主义经济全球化,也没有反对新老殖民主义、霸权主义和帝国主义的性质。比较来看,世界社会论坛对霸权全球化、新自由主义和美西方发动战争的全面批判,为“另一个世界是可能的”提供了发展“团结、正义、和平和人权”的经济全球化的选择路径,甚至联合国教科文组织将论坛视为“一个世界的黄金机会”。马克思主义经济学家阿明也认为,论坛已经引发了反对资本主义和帝国主义斗争的显著胜利,比如世界贸易组织的多哈谈判僵局、国际货币基金组织财政崩溃,以及金融危机造成的世界经济长期萧条等</w:t>
      </w:r>
      <w:r>
        <w:rPr>
          <w:rFonts w:hint="default" w:ascii="Times New Roman" w:hAnsi="Times New Roman" w:eastAsia="宋体" w:cs="Times New Roman"/>
          <w:spacing w:val="5"/>
          <w:sz w:val="24"/>
          <w:szCs w:val="24"/>
          <w:vertAlign w:val="superscript"/>
        </w:rPr>
        <w:footnoteReference w:id="645"/>
      </w:r>
      <w:r>
        <w:rPr>
          <w:rFonts w:hint="default" w:ascii="Times New Roman" w:hAnsi="Times New Roman" w:eastAsia="宋体" w:cs="Times New Roman"/>
          <w:spacing w:val="5"/>
          <w:sz w:val="24"/>
          <w:szCs w:val="24"/>
        </w:rPr>
        <w:t>。所以,若没有世界经济秩序的变革重构及机制创新,论坛的新自由主义倾向对于应对及预防经济全球化的资本主义危机并实现其平衡且可持续发展,就不可能真正发挥“药到病除”的治本疗效,只能是望“经济危机”兴“神秘之叹”。</w:t>
      </w:r>
    </w:p>
    <w:p w14:paraId="26F3A77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pacing w:val="5"/>
          <w:sz w:val="24"/>
          <w:szCs w:val="24"/>
        </w:rPr>
      </w:pPr>
      <w:r>
        <w:rPr>
          <w:rFonts w:hint="default" w:ascii="Times New Roman" w:hAnsi="Times New Roman" w:eastAsia="宋体" w:cs="Times New Roman"/>
          <w:spacing w:val="5"/>
          <w:sz w:val="24"/>
          <w:szCs w:val="24"/>
        </w:rPr>
        <w:t>当今世界,只有“一带一路”国际共建、金砖国家、上合组织等新型区域经济政治治理组织及其论坛的建立和发展,才真正促成全球经济的平等合作与有效对话,真正成为通向高层次多边合作的重要平台。尤其是中国先后提出以人类命运共同体构建倡导为核心、并扩展到“一带一路”和全球的发展、安全、文明、人工智能治理、互不首先使用核武器共七大倡议,为世界经济政治的科学治理拓展了新思路。</w:t>
      </w:r>
    </w:p>
    <w:p w14:paraId="7161321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pacing w:val="8"/>
          <w:sz w:val="24"/>
          <w:szCs w:val="24"/>
        </w:rPr>
      </w:pPr>
    </w:p>
    <w:p w14:paraId="07330ABC">
      <w:pPr>
        <w:pStyle w:val="4"/>
        <w:bidi w:val="0"/>
        <w:rPr>
          <w:rFonts w:hint="default"/>
        </w:rPr>
      </w:pPr>
      <w:r>
        <w:rPr>
          <w:rFonts w:hint="default"/>
        </w:rPr>
        <w:t>参考文献</w:t>
      </w:r>
    </w:p>
    <w:p w14:paraId="6A95626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8C5EE0D">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程恩富:《经济全球化与反全球化观析:程恩</w:t>
      </w:r>
      <w:r>
        <w:rPr>
          <w:rFonts w:hint="default" w:ascii="Times New Roman" w:hAnsi="Times New Roman" w:eastAsia="宋体" w:cs="Times New Roman"/>
          <w:spacing w:val="4"/>
          <w:sz w:val="24"/>
          <w:szCs w:val="24"/>
        </w:rPr>
        <w:t>富教授在复旦大学的讲演(节选)》,《文汇报》2003年4月</w:t>
      </w:r>
      <w:r>
        <w:rPr>
          <w:rFonts w:hint="default" w:ascii="Times New Roman" w:hAnsi="Times New Roman" w:eastAsia="宋体" w:cs="Times New Roman"/>
          <w:spacing w:val="-6"/>
          <w:position w:val="-1"/>
          <w:sz w:val="24"/>
          <w:szCs w:val="24"/>
        </w:rPr>
        <w:t>20</w:t>
      </w:r>
      <w:r>
        <w:rPr>
          <w:rFonts w:hint="default" w:ascii="Times New Roman" w:hAnsi="Times New Roman" w:eastAsia="宋体" w:cs="Times New Roman"/>
          <w:spacing w:val="-6"/>
          <w:position w:val="1"/>
          <w:sz w:val="24"/>
          <w:szCs w:val="24"/>
        </w:rPr>
        <w:t>日。</w:t>
      </w:r>
    </w:p>
    <w:p w14:paraId="605CC83B">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程恩富、翟婵:《中国正处于世界经济体系的“准中心”地位</w:t>
      </w:r>
      <w:r>
        <w:rPr>
          <w:rFonts w:hint="default" w:ascii="Times New Roman" w:hAnsi="Times New Roman" w:eastAsia="宋体" w:cs="Times New Roman"/>
          <w:b/>
          <w:bCs/>
          <w:spacing w:val="19"/>
          <w:sz w:val="24"/>
          <w:szCs w:val="24"/>
        </w:rPr>
        <w:t>—</w:t>
      </w:r>
      <w:r>
        <w:rPr>
          <w:rFonts w:hint="default" w:ascii="Times New Roman" w:hAnsi="Times New Roman" w:eastAsia="宋体" w:cs="Times New Roman"/>
          <w:spacing w:val="19"/>
          <w:sz w:val="24"/>
          <w:szCs w:val="24"/>
        </w:rPr>
        <w:t>确立“中心—准中心—半外围—外围”</w:t>
      </w:r>
      <w:r>
        <w:rPr>
          <w:rFonts w:hint="default" w:ascii="Times New Roman" w:hAnsi="Times New Roman" w:eastAsia="宋体" w:cs="Times New Roman"/>
          <w:spacing w:val="-3"/>
          <w:sz w:val="24"/>
          <w:szCs w:val="24"/>
        </w:rPr>
        <w:t>新理论》,《上海经济研究》2019年第10期。</w:t>
      </w:r>
    </w:p>
    <w:p w14:paraId="786EAF13">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rPr>
        <w:t>丁晓钦:《全球左翼运动与西方左翼经济思潮》,《海派经济学》2006年第</w:t>
      </w:r>
      <w:r>
        <w:rPr>
          <w:rFonts w:hint="default" w:ascii="Times New Roman" w:hAnsi="Times New Roman" w:eastAsia="宋体" w:cs="Times New Roman"/>
          <w:spacing w:val="1"/>
          <w:position w:val="-1"/>
          <w:sz w:val="24"/>
          <w:szCs w:val="24"/>
        </w:rPr>
        <w:t>16期</w:t>
      </w:r>
      <w:r>
        <w:rPr>
          <w:rFonts w:hint="default" w:ascii="Times New Roman" w:hAnsi="Times New Roman" w:eastAsia="宋体" w:cs="Times New Roman"/>
          <w:spacing w:val="1"/>
          <w:sz w:val="24"/>
          <w:szCs w:val="24"/>
        </w:rPr>
        <w:t>。</w:t>
      </w:r>
    </w:p>
    <w:p w14:paraId="3179CA03">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rPr>
        <w:t>何自力等:《去工业化、逆全球化与经济停滞常态化</w:t>
      </w:r>
      <w:r>
        <w:rPr>
          <w:rFonts w:hint="default" w:ascii="Times New Roman" w:hAnsi="Times New Roman" w:eastAsia="宋体" w:cs="Times New Roman"/>
          <w:b/>
          <w:bCs/>
          <w:spacing w:val="12"/>
          <w:sz w:val="24"/>
          <w:szCs w:val="24"/>
        </w:rPr>
        <w:t>—</w:t>
      </w:r>
      <w:r>
        <w:rPr>
          <w:rFonts w:hint="default" w:ascii="Times New Roman" w:hAnsi="Times New Roman" w:eastAsia="宋体" w:cs="Times New Roman"/>
          <w:spacing w:val="12"/>
          <w:sz w:val="24"/>
          <w:szCs w:val="24"/>
        </w:rPr>
        <w:t>一个观察当代资本主义</w:t>
      </w:r>
      <w:r>
        <w:rPr>
          <w:rFonts w:hint="default" w:ascii="Times New Roman" w:hAnsi="Times New Roman" w:eastAsia="宋体" w:cs="Times New Roman"/>
          <w:spacing w:val="11"/>
          <w:sz w:val="24"/>
          <w:szCs w:val="24"/>
        </w:rPr>
        <w:t>的新视角》,北京:经</w:t>
      </w:r>
      <w:r>
        <w:rPr>
          <w:rFonts w:hint="default" w:ascii="Times New Roman" w:hAnsi="Times New Roman" w:eastAsia="宋体" w:cs="Times New Roman"/>
          <w:spacing w:val="6"/>
          <w:sz w:val="24"/>
          <w:szCs w:val="24"/>
        </w:rPr>
        <w:t>济科学出版社</w:t>
      </w:r>
      <w:r>
        <w:rPr>
          <w:rFonts w:hint="default" w:ascii="Times New Roman" w:hAnsi="Times New Roman" w:eastAsia="宋体" w:cs="Times New Roman"/>
          <w:spacing w:val="6"/>
          <w:position w:val="1"/>
          <w:sz w:val="24"/>
          <w:szCs w:val="24"/>
        </w:rPr>
        <w:t>,</w:t>
      </w:r>
      <w:r>
        <w:rPr>
          <w:rFonts w:hint="default" w:ascii="Times New Roman" w:hAnsi="Times New Roman" w:eastAsia="宋体" w:cs="Times New Roman"/>
          <w:spacing w:val="6"/>
          <w:position w:val="-1"/>
          <w:sz w:val="24"/>
          <w:szCs w:val="24"/>
        </w:rPr>
        <w:t>2021</w:t>
      </w:r>
      <w:r>
        <w:rPr>
          <w:rFonts w:hint="default" w:ascii="Times New Roman" w:hAnsi="Times New Roman" w:eastAsia="宋体" w:cs="Times New Roman"/>
          <w:spacing w:val="6"/>
          <w:sz w:val="24"/>
          <w:szCs w:val="24"/>
        </w:rPr>
        <w:t>年</w:t>
      </w:r>
      <w:r>
        <w:rPr>
          <w:rFonts w:hint="default" w:ascii="Times New Roman" w:hAnsi="Times New Roman" w:eastAsia="宋体" w:cs="Times New Roman"/>
          <w:spacing w:val="6"/>
          <w:sz w:val="24"/>
          <w:szCs w:val="24"/>
          <w:lang w:eastAsia="zh-CN"/>
        </w:rPr>
        <w:t>。</w:t>
      </w:r>
    </w:p>
    <w:p w14:paraId="5CC369BA">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孟捷、龚剑:《金融资本与“阶级-</w:t>
      </w:r>
      <w:r>
        <w:rPr>
          <w:rFonts w:hint="default" w:ascii="Times New Roman" w:hAnsi="Times New Roman" w:eastAsia="宋体" w:cs="Times New Roman"/>
          <w:spacing w:val="-3"/>
          <w:sz w:val="24"/>
          <w:szCs w:val="24"/>
        </w:rPr>
        <w:t>垄断地租”》,《中国社会科学》2014年第8期。</w:t>
      </w:r>
    </w:p>
    <w:p w14:paraId="6C10945D">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72" w:firstLineChars="200"/>
        <w:jc w:val="both"/>
        <w:textAlignment w:val="baseline"/>
        <w:rPr>
          <w:rFonts w:hint="default" w:ascii="Times New Roman" w:hAnsi="Times New Roman" w:eastAsia="宋体" w:cs="Times New Roman"/>
          <w:spacing w:val="-2"/>
          <w:sz w:val="24"/>
          <w:szCs w:val="24"/>
        </w:rPr>
      </w:pPr>
      <w:r>
        <w:rPr>
          <w:rFonts w:hint="default" w:ascii="Times New Roman" w:hAnsi="Times New Roman" w:eastAsia="宋体" w:cs="Times New Roman"/>
          <w:spacing w:val="-2"/>
          <w:sz w:val="24"/>
          <w:szCs w:val="24"/>
        </w:rPr>
        <w:t>宋树理:《中国对外经济关系发展路径的国际价值论》,《管理学刊》2016年第6期。</w:t>
      </w:r>
    </w:p>
    <w:p w14:paraId="05214854">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72" w:firstLineChars="200"/>
        <w:jc w:val="both"/>
        <w:textAlignment w:val="baseline"/>
        <w:rPr>
          <w:rFonts w:hint="default" w:ascii="Times New Roman" w:hAnsi="Times New Roman" w:eastAsia="宋体" w:cs="Times New Roman"/>
          <w:spacing w:val="-2"/>
          <w:sz w:val="24"/>
          <w:szCs w:val="24"/>
        </w:rPr>
      </w:pPr>
      <w:r>
        <w:rPr>
          <w:rFonts w:hint="default" w:ascii="Times New Roman" w:hAnsi="Times New Roman" w:eastAsia="宋体" w:cs="Times New Roman"/>
          <w:spacing w:val="-2"/>
          <w:sz w:val="24"/>
          <w:szCs w:val="24"/>
        </w:rPr>
        <w:t>〔美〕罗伯特·吉尔平:《国际关系政治经济学》,杨宇光等译,上海:上海人民出版社,2020年。</w:t>
      </w:r>
    </w:p>
    <w:p w14:paraId="5E90F088">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72" w:firstLineChars="200"/>
        <w:jc w:val="both"/>
        <w:textAlignment w:val="baseline"/>
        <w:rPr>
          <w:rFonts w:hint="default" w:ascii="Times New Roman" w:hAnsi="Times New Roman" w:eastAsia="宋体" w:cs="Times New Roman"/>
          <w:spacing w:val="-2"/>
          <w:sz w:val="24"/>
          <w:szCs w:val="24"/>
        </w:rPr>
      </w:pPr>
      <w:r>
        <w:rPr>
          <w:rFonts w:hint="default" w:ascii="Times New Roman" w:hAnsi="Times New Roman" w:eastAsia="宋体" w:cs="Times New Roman"/>
          <w:spacing w:val="-2"/>
          <w:sz w:val="24"/>
          <w:szCs w:val="24"/>
        </w:rPr>
        <w:t>〔美〕威廉·罗宾逊:《全球资本主义论:跨国世界中的生产、阶级与国家》,高明秀译,北京:社会科学文献出版社,2009年。</w:t>
      </w:r>
    </w:p>
    <w:p w14:paraId="76941926">
      <w:pPr>
        <w:pStyle w:val="6"/>
        <w:keepNext w:val="0"/>
        <w:keepLines w:val="0"/>
        <w:pageBreakBefore w:val="0"/>
        <w:widowControl/>
        <w:numPr>
          <w:ilvl w:val="0"/>
          <w:numId w:val="11"/>
        </w:numPr>
        <w:kinsoku w:val="0"/>
        <w:wordWrap/>
        <w:overflowPunct/>
        <w:topLinePunct w:val="0"/>
        <w:autoSpaceDE w:val="0"/>
        <w:autoSpaceDN w:val="0"/>
        <w:bidi w:val="0"/>
        <w:adjustRightInd w:val="0"/>
        <w:snapToGrid w:val="0"/>
        <w:spacing w:line="400" w:lineRule="exact"/>
        <w:ind w:left="0" w:leftChars="0" w:right="0" w:rightChars="0" w:firstLine="472" w:firstLineChars="200"/>
        <w:jc w:val="both"/>
        <w:textAlignment w:val="baseline"/>
        <w:rPr>
          <w:rFonts w:hint="default" w:ascii="Times New Roman" w:hAnsi="Times New Roman" w:eastAsia="宋体" w:cs="Times New Roman"/>
          <w:spacing w:val="-2"/>
          <w:sz w:val="24"/>
          <w:szCs w:val="24"/>
        </w:rPr>
      </w:pPr>
      <w:r>
        <w:rPr>
          <w:rFonts w:hint="default" w:ascii="Times New Roman" w:hAnsi="Times New Roman" w:eastAsia="宋体" w:cs="Times New Roman"/>
          <w:spacing w:val="-2"/>
          <w:sz w:val="24"/>
          <w:szCs w:val="24"/>
        </w:rPr>
        <w:t>〔美〕保罗·斯威齐:《资本主义发展论》,陈观烈、秦亚男译,北京:商务印书馆,2013年。</w:t>
      </w:r>
    </w:p>
    <w:p w14:paraId="3462FEC0">
      <w:pPr>
        <w:jc w:val="center"/>
        <w:rPr>
          <w:rFonts w:hint="default"/>
          <w:sz w:val="24"/>
          <w:szCs w:val="32"/>
          <w:lang w:val="en-US" w:eastAsia="zh-CN"/>
        </w:rPr>
      </w:pPr>
      <w:r>
        <w:rPr>
          <w:rFonts w:hint="eastAsia"/>
          <w:sz w:val="24"/>
          <w:szCs w:val="32"/>
          <w:lang w:val="en-US" w:eastAsia="zh-CN"/>
        </w:rPr>
        <w:t>（原载《政治经济学研究》2024年第4期，第一作者为宋树理）</w:t>
      </w:r>
    </w:p>
    <w:p w14:paraId="0F213A60">
      <w:pPr>
        <w:pStyle w:val="3"/>
        <w:bidi w:val="0"/>
        <w:rPr>
          <w:rFonts w:hint="default"/>
        </w:rPr>
      </w:pPr>
      <w:bookmarkStart w:id="390" w:name="_Toc1361714945"/>
      <w:bookmarkStart w:id="391" w:name="_Toc423208965"/>
      <w:bookmarkStart w:id="392" w:name="_Toc1880233973"/>
      <w:bookmarkStart w:id="393" w:name="_Toc1571975451"/>
      <w:bookmarkStart w:id="394" w:name="_Toc5925"/>
      <w:bookmarkStart w:id="395" w:name="_Toc710377668"/>
      <w:r>
        <w:rPr>
          <w:rFonts w:hint="eastAsia"/>
          <w:lang w:val="en-US" w:eastAsia="zh-CN"/>
        </w:rPr>
        <w:t>2</w:t>
      </w:r>
      <w:r>
        <w:rPr>
          <w:rFonts w:hint="default"/>
        </w:rPr>
        <w:t>管仲经济学论纲</w:t>
      </w:r>
      <w:bookmarkEnd w:id="390"/>
      <w:bookmarkEnd w:id="391"/>
      <w:bookmarkEnd w:id="392"/>
      <w:bookmarkEnd w:id="393"/>
      <w:bookmarkEnd w:id="394"/>
      <w:bookmarkEnd w:id="395"/>
    </w:p>
    <w:p w14:paraId="62B57C3A">
      <w:pPr>
        <w:keepNext w:val="0"/>
        <w:keepLines w:val="0"/>
        <w:pageBreakBefore w:val="0"/>
        <w:widowControl/>
        <w:kinsoku w:val="0"/>
        <w:wordWrap/>
        <w:overflowPunct/>
        <w:topLinePunct w:val="0"/>
        <w:autoSpaceDE w:val="0"/>
        <w:autoSpaceDN w:val="0"/>
        <w:bidi w:val="0"/>
        <w:adjustRightInd w:val="0"/>
        <w:snapToGrid w:val="0"/>
        <w:spacing w:line="400" w:lineRule="exact"/>
        <w:ind w:left="0" w:firstLine="480" w:firstLineChars="200"/>
        <w:jc w:val="both"/>
        <w:textAlignment w:val="baseline"/>
        <w:outlineLvl w:val="9"/>
        <w:rPr>
          <w:rFonts w:hint="default" w:ascii="Times New Roman" w:hAnsi="Times New Roman" w:eastAsia="宋体" w:cs="Times New Roman"/>
          <w:sz w:val="24"/>
          <w:szCs w:val="24"/>
        </w:rPr>
      </w:pPr>
    </w:p>
    <w:p w14:paraId="0E19B9D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摘要]百家之祖管子和百科全书《管子》，在中国思想史乃至世界思想史上占有开天下先的重要地位。作为君师合一的圣人之师、“华夏第一相”“学术思想界一巨子”，管仲既有博大精深的经世济民理论，又有相齐、平天</w:t>
      </w:r>
      <w:r>
        <w:rPr>
          <w:rFonts w:hint="default" w:ascii="Times New Roman" w:hAnsi="Times New Roman" w:eastAsia="宋体" w:cs="Times New Roman"/>
          <w:spacing w:val="-6"/>
          <w:sz w:val="24"/>
          <w:szCs w:val="24"/>
        </w:rPr>
        <w:t>下的成功实践。以经世济民维度视之，管仲经济学大厦由有机联系的12个方面共同奠基：从民所欲、以</w:t>
      </w:r>
      <w:r>
        <w:rPr>
          <w:rFonts w:hint="default" w:ascii="Times New Roman" w:hAnsi="Times New Roman" w:eastAsia="宋体" w:cs="Times New Roman"/>
          <w:spacing w:val="-7"/>
          <w:sz w:val="24"/>
          <w:szCs w:val="24"/>
        </w:rPr>
        <w:t>人为本的民本经济；</w:t>
      </w:r>
      <w:r>
        <w:rPr>
          <w:rFonts w:hint="default" w:ascii="Times New Roman" w:hAnsi="Times New Roman" w:eastAsia="宋体" w:cs="Times New Roman"/>
          <w:spacing w:val="-4"/>
          <w:sz w:val="24"/>
          <w:szCs w:val="24"/>
        </w:rPr>
        <w:t>治国之道、必先富民的经济要旨；天下之物、普利万民的共富主张；以农为本</w:t>
      </w:r>
      <w:r>
        <w:rPr>
          <w:rFonts w:hint="default" w:ascii="Times New Roman" w:hAnsi="Times New Roman" w:eastAsia="宋体" w:cs="Times New Roman"/>
          <w:spacing w:val="-5"/>
          <w:sz w:val="24"/>
          <w:szCs w:val="24"/>
        </w:rPr>
        <w:t>、本末并举的产业战略；“唯官山海”、集天下权的计划策论；经营市场、脉动天下的市场学说；轻重之术、聚天下财的富国方略；相地衰征、分级定租的级差</w:t>
      </w:r>
      <w:r>
        <w:rPr>
          <w:rFonts w:hint="default" w:ascii="Times New Roman" w:hAnsi="Times New Roman" w:eastAsia="宋体" w:cs="Times New Roman"/>
          <w:spacing w:val="-6"/>
          <w:sz w:val="24"/>
          <w:szCs w:val="24"/>
        </w:rPr>
        <w:t>地租；人与天调、和谐生物的生态经济；财经</w:t>
      </w:r>
      <w:r>
        <w:rPr>
          <w:rFonts w:hint="default" w:ascii="Times New Roman" w:hAnsi="Times New Roman" w:eastAsia="宋体" w:cs="Times New Roman"/>
          <w:spacing w:val="-7"/>
          <w:sz w:val="24"/>
          <w:szCs w:val="24"/>
        </w:rPr>
        <w:t>天下、以道取之的道德经济；谋形造势、制衡天下的经贸博弈；俭侈有度、</w:t>
      </w:r>
      <w:r>
        <w:rPr>
          <w:rFonts w:hint="default" w:ascii="Times New Roman" w:hAnsi="Times New Roman" w:eastAsia="宋体" w:cs="Times New Roman"/>
          <w:spacing w:val="-4"/>
          <w:sz w:val="24"/>
          <w:szCs w:val="24"/>
        </w:rPr>
        <w:t>知量知节的消费观点。综观管仲经世济民之学，管仲是世界经济学开山鼻祖，《管子》是人类第一部政治经济学巨著，管仲学派是史上第一个经济学学派。</w:t>
      </w:r>
    </w:p>
    <w:p w14:paraId="67529B8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5"/>
          <w:sz w:val="24"/>
          <w:szCs w:val="24"/>
        </w:rPr>
      </w:pPr>
      <w:r>
        <w:rPr>
          <w:rFonts w:hint="default" w:ascii="Times New Roman" w:hAnsi="Times New Roman" w:eastAsia="宋体" w:cs="Times New Roman"/>
          <w:spacing w:val="-4"/>
          <w:sz w:val="24"/>
          <w:szCs w:val="24"/>
        </w:rPr>
        <w:t>[关键词]管仲经济学；经世济民；以人为本</w:t>
      </w:r>
      <w:r>
        <w:rPr>
          <w:rFonts w:hint="default" w:ascii="Times New Roman" w:hAnsi="Times New Roman" w:eastAsia="宋体" w:cs="Times New Roman"/>
          <w:spacing w:val="-5"/>
          <w:sz w:val="24"/>
          <w:szCs w:val="24"/>
        </w:rPr>
        <w:t>；共富富国；古代政治经济学思想</w:t>
      </w:r>
    </w:p>
    <w:p w14:paraId="09993CD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pacing w:val="-5"/>
          <w:sz w:val="24"/>
          <w:szCs w:val="24"/>
          <w:lang w:val="en-US" w:eastAsia="zh-CN"/>
        </w:rPr>
      </w:pPr>
    </w:p>
    <w:p w14:paraId="46B801B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春秋初期，周室权柄旁落，诸侯争霸，天下始乱。当是时，“天子卑弱，诸侯力征，南夷北狄交伐中国，</w:t>
      </w:r>
      <w:r>
        <w:rPr>
          <w:rFonts w:hint="default" w:ascii="Times New Roman" w:hAnsi="Times New Roman" w:eastAsia="宋体" w:cs="Times New Roman"/>
          <w:spacing w:val="-3"/>
          <w:sz w:val="24"/>
          <w:szCs w:val="24"/>
        </w:rPr>
        <w:t>中国之不绝如线。……桓公忧中国之患，苦夷狄之乱，欲以存亡继绝，崇天子之位，广文武之业”</w:t>
      </w:r>
      <w:r>
        <w:rPr>
          <w:rStyle w:val="20"/>
          <w:rFonts w:hint="default" w:ascii="Times New Roman" w:hAnsi="Times New Roman" w:eastAsia="宋体" w:cs="Times New Roman"/>
          <w:spacing w:val="-3"/>
          <w:sz w:val="24"/>
          <w:szCs w:val="24"/>
        </w:rPr>
        <w:footnoteReference w:id="646"/>
      </w:r>
      <w:r>
        <w:rPr>
          <w:rFonts w:hint="default" w:ascii="Times New Roman" w:hAnsi="Times New Roman" w:eastAsia="宋体" w:cs="Times New Roman"/>
          <w:spacing w:val="-3"/>
          <w:sz w:val="24"/>
          <w:szCs w:val="24"/>
        </w:rPr>
        <w:t>。第三条</w:t>
      </w:r>
      <w:r>
        <w:rPr>
          <w:rFonts w:hint="default" w:ascii="Times New Roman" w:hAnsi="Times New Roman" w:eastAsia="宋体" w:cs="Times New Roman"/>
          <w:spacing w:val="-2"/>
          <w:sz w:val="24"/>
          <w:szCs w:val="24"/>
        </w:rPr>
        <w:t>历史隆起带上，始自伏羲画卦的中华文明第一次面临分崩离析的生死考验。</w:t>
      </w:r>
      <w:r>
        <w:rPr>
          <w:rStyle w:val="20"/>
          <w:rFonts w:hint="default" w:ascii="Times New Roman" w:hAnsi="Times New Roman" w:eastAsia="宋体" w:cs="Times New Roman"/>
          <w:spacing w:val="-2"/>
          <w:sz w:val="24"/>
          <w:szCs w:val="24"/>
        </w:rPr>
        <w:footnoteReference w:id="647"/>
      </w:r>
      <w:r>
        <w:rPr>
          <w:rFonts w:hint="default" w:ascii="Times New Roman" w:hAnsi="Times New Roman" w:eastAsia="宋体" w:cs="Times New Roman"/>
          <w:spacing w:val="-2"/>
          <w:sz w:val="24"/>
          <w:szCs w:val="24"/>
        </w:rPr>
        <w:t>在内忧外患、“中国之不绝如线”</w:t>
      </w:r>
      <w:r>
        <w:rPr>
          <w:rFonts w:hint="default" w:ascii="Times New Roman" w:hAnsi="Times New Roman" w:eastAsia="宋体" w:cs="Times New Roman"/>
          <w:spacing w:val="-4"/>
          <w:sz w:val="24"/>
          <w:szCs w:val="24"/>
        </w:rPr>
        <w:t>的危急关头，以匡正天下、富国强兵、尊王攘夷为大任的管仲之学应运而生。开启百家争鸣大幕的管仲（公元</w:t>
      </w:r>
      <w:r>
        <w:rPr>
          <w:rFonts w:hint="default" w:ascii="Times New Roman" w:hAnsi="Times New Roman" w:eastAsia="宋体" w:cs="Times New Roman"/>
          <w:color w:val="333333"/>
          <w:spacing w:val="-5"/>
          <w:sz w:val="24"/>
          <w:szCs w:val="24"/>
        </w:rPr>
        <w:t>前719－前645年</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rPr>
        <w:t>历史地成为百家之祖、古代经济智慧的集大成者；经世致用的管仲之学，“实乃百家之</w:t>
      </w:r>
      <w:r>
        <w:rPr>
          <w:rFonts w:hint="default" w:ascii="Times New Roman" w:hAnsi="Times New Roman" w:eastAsia="宋体" w:cs="Times New Roman"/>
          <w:sz w:val="24"/>
          <w:szCs w:val="24"/>
        </w:rPr>
        <w:t>学繁荣、诸子思想竞放的重要源头”</w:t>
      </w:r>
      <w:r>
        <w:rPr>
          <w:rStyle w:val="20"/>
          <w:rFonts w:hint="default" w:ascii="Times New Roman" w:hAnsi="Times New Roman" w:eastAsia="宋体" w:cs="Times New Roman"/>
          <w:sz w:val="24"/>
          <w:szCs w:val="24"/>
        </w:rPr>
        <w:footnoteReference w:id="648"/>
      </w:r>
      <w:r>
        <w:rPr>
          <w:rFonts w:hint="default" w:ascii="Times New Roman" w:hAnsi="Times New Roman" w:eastAsia="宋体" w:cs="Times New Roman"/>
          <w:sz w:val="24"/>
          <w:szCs w:val="24"/>
        </w:rPr>
        <w:t>;管仲主撰、后世管仲学派补遗的《</w:t>
      </w:r>
      <w:r>
        <w:rPr>
          <w:rFonts w:hint="default" w:ascii="Times New Roman" w:hAnsi="Times New Roman" w:eastAsia="宋体" w:cs="Times New Roman"/>
          <w:spacing w:val="-1"/>
          <w:sz w:val="24"/>
          <w:szCs w:val="24"/>
        </w:rPr>
        <w:t>管子》一书，记载了管仲相齐、辅</w:t>
      </w:r>
      <w:r>
        <w:rPr>
          <w:rFonts w:hint="default" w:ascii="Times New Roman" w:hAnsi="Times New Roman" w:eastAsia="宋体" w:cs="Times New Roman"/>
          <w:spacing w:val="-4"/>
          <w:sz w:val="24"/>
          <w:szCs w:val="24"/>
        </w:rPr>
        <w:t>周、平天下、开万世的真实历史，堪为百科全书，既是中国古典经济学的源头，也是世界政治经济学的开山之作。《说文解字》释“经”“济”曰：经，织也，形声字，本义是织布机上的纵线，引申为治理、纺织、经营之义；济，济水也，形声字，本义指古水名，引申为渡河、帮助、补益等义。由此，开显出经邦济世、经世济民、普惠万家的经济学微言大义，明确了经济学的大本大源——经世济民之学。管仲开创的经世济民之学，简称管学。作为君师合一的“华夏第一相”、圣人之师、“学术思想界一巨子”，管仲既有博大精深的经世济民理论，又有相桓公、治齐国、平天下的成功实践。管仲经济学，形塑了一种经世济民的经济学范式，发微出经济学大道，是当之无愧的人类古典政治经济学奠基者。在西方经济学诞生前的2300多年，中国已有体系科学、</w:t>
      </w:r>
      <w:r>
        <w:rPr>
          <w:rFonts w:hint="default" w:ascii="Times New Roman" w:hAnsi="Times New Roman" w:eastAsia="宋体" w:cs="Times New Roman"/>
          <w:spacing w:val="-3"/>
          <w:sz w:val="24"/>
          <w:szCs w:val="24"/>
        </w:rPr>
        <w:t>内容完备的商业智慧和经济学建构，囊括人本经济、计划调控、市场机制、货</w:t>
      </w:r>
      <w:r>
        <w:rPr>
          <w:rFonts w:hint="default" w:ascii="Times New Roman" w:hAnsi="Times New Roman" w:eastAsia="宋体" w:cs="Times New Roman"/>
          <w:spacing w:val="-4"/>
          <w:sz w:val="24"/>
          <w:szCs w:val="24"/>
        </w:rPr>
        <w:t>币发行、物价平抑、谷币轻重、对外贸易、政商关系、分配关系、储蓄消费、土地级差、盐铁专卖、浮动税率等经济学所有重要方面的管仲经济学，可谓致广大而尽精微。在管仲经世济民的经济学建构中，跨越时空隧道的惊若天人之语俯拾皆是，其首</w:t>
      </w:r>
      <w:r>
        <w:rPr>
          <w:rFonts w:hint="default" w:ascii="Times New Roman" w:hAnsi="Times New Roman" w:eastAsia="宋体" w:cs="Times New Roman"/>
          <w:spacing w:val="-7"/>
          <w:sz w:val="24"/>
          <w:szCs w:val="24"/>
        </w:rPr>
        <w:t>倡的“以人为本”、先富民后治国、与民同利</w:t>
      </w:r>
      <w:r>
        <w:rPr>
          <w:rFonts w:hint="default" w:ascii="Times New Roman" w:hAnsi="Times New Roman" w:eastAsia="宋体" w:cs="Times New Roman"/>
          <w:spacing w:val="-8"/>
          <w:sz w:val="24"/>
          <w:szCs w:val="24"/>
        </w:rPr>
        <w:t>、“人与天调”等经济主张历久弥新，至今仍闪耀着智慧的光芒。</w:t>
      </w:r>
      <w:r>
        <w:rPr>
          <w:rFonts w:hint="default" w:ascii="Times New Roman" w:hAnsi="Times New Roman" w:eastAsia="宋体" w:cs="Times New Roman"/>
          <w:spacing w:val="-4"/>
          <w:sz w:val="24"/>
          <w:szCs w:val="24"/>
        </w:rPr>
        <w:t>超越地域和时代局限的经济学天才管仲，对世界经济学作出的筚路蓝缕、以启山林的开拓性贡献，经济学界绝不能选择性盲视。</w:t>
      </w:r>
    </w:p>
    <w:p w14:paraId="7F7EF2F8">
      <w:pPr>
        <w:pStyle w:val="4"/>
        <w:keepNext/>
        <w:keepLines/>
        <w:pageBreakBefore w:val="0"/>
        <w:widowControl w:val="0"/>
        <w:numPr>
          <w:ilvl w:val="0"/>
          <w:numId w:val="12"/>
        </w:numPr>
        <w:kinsoku/>
        <w:wordWrap/>
        <w:overflowPunct/>
        <w:topLinePunct w:val="0"/>
        <w:autoSpaceDE/>
        <w:autoSpaceDN/>
        <w:bidi w:val="0"/>
        <w:adjustRightInd/>
        <w:snapToGrid/>
        <w:textAlignment w:val="auto"/>
        <w:rPr>
          <w:rFonts w:hint="default"/>
        </w:rPr>
      </w:pPr>
      <w:r>
        <w:rPr>
          <w:rFonts w:hint="default"/>
        </w:rPr>
        <w:t>从民所欲、以人为本的民本经济</w:t>
      </w:r>
    </w:p>
    <w:p w14:paraId="48904D45">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pacing w:val="-5"/>
          <w:sz w:val="24"/>
          <w:szCs w:val="24"/>
        </w:rPr>
      </w:pPr>
    </w:p>
    <w:p w14:paraId="65A7D02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outlineLvl w:val="9"/>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2"/>
          <w:sz w:val="24"/>
          <w:szCs w:val="24"/>
        </w:rPr>
        <w:t>齐国的民本传统源远流长，姜太公受封开国即“修政，因其俗，简其</w:t>
      </w:r>
      <w:r>
        <w:rPr>
          <w:rFonts w:hint="default" w:ascii="Times New Roman" w:hAnsi="Times New Roman" w:eastAsia="宋体" w:cs="Times New Roman"/>
          <w:spacing w:val="-3"/>
          <w:sz w:val="24"/>
          <w:szCs w:val="24"/>
        </w:rPr>
        <w:t>礼，通商工之业，便鱼盐之利”</w:t>
      </w:r>
      <w:r>
        <w:rPr>
          <w:rStyle w:val="20"/>
          <w:rFonts w:hint="default" w:ascii="Times New Roman" w:hAnsi="Times New Roman" w:eastAsia="宋体" w:cs="Times New Roman"/>
          <w:spacing w:val="-3"/>
          <w:sz w:val="24"/>
          <w:szCs w:val="24"/>
        </w:rPr>
        <w:footnoteReference w:id="649"/>
      </w:r>
      <w:r>
        <w:rPr>
          <w:rFonts w:hint="default" w:ascii="Times New Roman" w:hAnsi="Times New Roman" w:eastAsia="宋体" w:cs="Times New Roman"/>
          <w:spacing w:val="-3"/>
          <w:sz w:val="24"/>
          <w:szCs w:val="24"/>
          <w:lang w:eastAsia="zh-CN"/>
        </w:rPr>
        <w:t>。</w:t>
      </w:r>
    </w:p>
    <w:p w14:paraId="4BFFDA8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管仲继承了从民所欲、礼民所俗的民本文化，其民本经济学建构以民生为要旨，以富民强国为目标，着眼于安</w:t>
      </w:r>
      <w:r>
        <w:rPr>
          <w:rFonts w:hint="default" w:ascii="Times New Roman" w:hAnsi="Times New Roman" w:eastAsia="宋体" w:cs="Times New Roman"/>
          <w:spacing w:val="-7"/>
          <w:sz w:val="24"/>
          <w:szCs w:val="24"/>
        </w:rPr>
        <w:t>邦定国。在管仲看来，国家全部政治经济活动的核心是人，王者的治国理政“始于爱民”、终于爱民。就是说，</w:t>
      </w:r>
      <w:r>
        <w:rPr>
          <w:rFonts w:hint="default" w:ascii="Times New Roman" w:hAnsi="Times New Roman" w:eastAsia="宋体" w:cs="Times New Roman"/>
          <w:spacing w:val="-4"/>
          <w:sz w:val="24"/>
          <w:szCs w:val="24"/>
        </w:rPr>
        <w:t>人是全部政治经济活动的终极旨归。为了重民、爱民、利民、富民，</w:t>
      </w:r>
      <w:r>
        <w:rPr>
          <w:rFonts w:hint="default" w:ascii="Times New Roman" w:hAnsi="Times New Roman" w:eastAsia="宋体" w:cs="Times New Roman"/>
          <w:spacing w:val="-5"/>
          <w:sz w:val="24"/>
          <w:szCs w:val="24"/>
        </w:rPr>
        <w:t>管仲首提“以人为本”“以百姓为天”。</w:t>
      </w:r>
      <w:r>
        <w:rPr>
          <w:rFonts w:hint="default" w:ascii="Times New Roman" w:hAnsi="Times New Roman" w:eastAsia="宋体" w:cs="Times New Roman"/>
          <w:spacing w:val="-4"/>
          <w:sz w:val="24"/>
          <w:szCs w:val="24"/>
        </w:rPr>
        <w:t>管仲向齐桓公建言：“齐国百姓，公之本也</w:t>
      </w:r>
      <w:r>
        <w:rPr>
          <w:rFonts w:hint="default" w:ascii="Times New Roman" w:hAnsi="Times New Roman" w:eastAsia="宋体" w:cs="Times New Roman"/>
          <w:spacing w:val="-5"/>
          <w:sz w:val="24"/>
          <w:szCs w:val="24"/>
        </w:rPr>
        <w:t>”（《管子·霸形》</w:t>
      </w:r>
      <w:r>
        <w:rPr>
          <w:rStyle w:val="20"/>
          <w:rFonts w:hint="default" w:ascii="Times New Roman" w:hAnsi="Times New Roman" w:eastAsia="宋体" w:cs="Times New Roman"/>
          <w:spacing w:val="-5"/>
          <w:sz w:val="24"/>
          <w:szCs w:val="24"/>
        </w:rPr>
        <w:footnoteReference w:id="650"/>
      </w:r>
      <w:r>
        <w:rPr>
          <w:rFonts w:hint="default" w:ascii="Times New Roman" w:hAnsi="Times New Roman" w:eastAsia="宋体" w:cs="Times New Roman"/>
          <w:spacing w:val="-1"/>
          <w:sz w:val="24"/>
          <w:szCs w:val="24"/>
        </w:rPr>
        <w:t>）；</w:t>
      </w:r>
      <w:r>
        <w:rPr>
          <w:rFonts w:hint="default" w:ascii="Times New Roman" w:hAnsi="Times New Roman" w:eastAsia="宋体" w:cs="Times New Roman"/>
          <w:spacing w:val="-5"/>
          <w:sz w:val="24"/>
          <w:szCs w:val="24"/>
        </w:rPr>
        <w:t>“夫霸王之所始也，以人为本，本理则</w:t>
      </w:r>
      <w:r>
        <w:rPr>
          <w:rFonts w:hint="default" w:ascii="Times New Roman" w:hAnsi="Times New Roman" w:eastAsia="宋体" w:cs="Times New Roman"/>
          <w:spacing w:val="-6"/>
          <w:sz w:val="24"/>
          <w:szCs w:val="24"/>
        </w:rPr>
        <w:t>国固，本乱则国危。”（《霸言》）对齐桓公的“王者何贵”之问，管仲答曰：“贵天。”并进一步解释道：</w:t>
      </w:r>
      <w:r>
        <w:rPr>
          <w:rFonts w:hint="default" w:ascii="Times New Roman" w:hAnsi="Times New Roman" w:eastAsia="宋体" w:cs="Times New Roman"/>
          <w:spacing w:val="-3"/>
          <w:sz w:val="24"/>
          <w:szCs w:val="24"/>
        </w:rPr>
        <w:t>“所谓天者，非谓苍苍莽莽之天也。君人者，以百姓为天。百姓</w:t>
      </w:r>
      <w:r>
        <w:rPr>
          <w:rFonts w:hint="default" w:ascii="Times New Roman" w:hAnsi="Times New Roman" w:eastAsia="宋体" w:cs="Times New Roman"/>
          <w:spacing w:val="-4"/>
          <w:sz w:val="24"/>
          <w:szCs w:val="24"/>
        </w:rPr>
        <w:t>与之则安，辅之则强，非之则危，背之则亡。”</w:t>
      </w:r>
      <w:r>
        <w:rPr>
          <w:rStyle w:val="20"/>
          <w:rFonts w:hint="default" w:ascii="Times New Roman" w:hAnsi="Times New Roman" w:eastAsia="宋体" w:cs="Times New Roman"/>
          <w:sz w:val="24"/>
          <w:szCs w:val="24"/>
        </w:rPr>
        <w:footnoteReference w:id="651"/>
      </w:r>
      <w:r>
        <w:rPr>
          <w:rFonts w:hint="default" w:ascii="Times New Roman" w:hAnsi="Times New Roman" w:eastAsia="宋体" w:cs="Times New Roman"/>
          <w:spacing w:val="-3"/>
          <w:sz w:val="24"/>
          <w:szCs w:val="24"/>
        </w:rPr>
        <w:t>兴衰有凭，得人者兴，失人者崩。“以人为本”“以百姓为天”之论，正定百姓本位，可谓振聋发聩。管仲</w:t>
      </w:r>
      <w:r>
        <w:rPr>
          <w:rFonts w:hint="default" w:ascii="Times New Roman" w:hAnsi="Times New Roman" w:eastAsia="宋体" w:cs="Times New Roman"/>
          <w:spacing w:val="-4"/>
          <w:sz w:val="24"/>
          <w:szCs w:val="24"/>
        </w:rPr>
        <w:t>从历史沉浮中得出结论：“政之所兴，在顺民心；政之所废，在逆民心。”（《牧民》）从以人为本、以民为</w:t>
      </w:r>
      <w:r>
        <w:rPr>
          <w:rFonts w:hint="default" w:ascii="Times New Roman" w:hAnsi="Times New Roman" w:eastAsia="宋体" w:cs="Times New Roman"/>
          <w:spacing w:val="-3"/>
          <w:sz w:val="24"/>
          <w:szCs w:val="24"/>
        </w:rPr>
        <w:t>天的施政大纲出发，管仲要求“强本事，去无用”（《五辅》</w:t>
      </w:r>
      <w:r>
        <w:rPr>
          <w:rFonts w:hint="default" w:ascii="Times New Roman" w:hAnsi="Times New Roman" w:eastAsia="宋体" w:cs="Times New Roman"/>
          <w:spacing w:val="-18"/>
          <w:sz w:val="24"/>
          <w:szCs w:val="24"/>
        </w:rPr>
        <w:t>），</w:t>
      </w:r>
      <w:r>
        <w:rPr>
          <w:rFonts w:hint="default" w:ascii="Times New Roman" w:hAnsi="Times New Roman" w:eastAsia="宋体" w:cs="Times New Roman"/>
          <w:spacing w:val="-3"/>
          <w:sz w:val="24"/>
          <w:szCs w:val="24"/>
        </w:rPr>
        <w:t>“令于民之所好而禁于民之所恶”</w:t>
      </w:r>
      <w:r>
        <w:rPr>
          <w:rFonts w:hint="default" w:ascii="Times New Roman" w:hAnsi="Times New Roman" w:eastAsia="宋体" w:cs="Times New Roman"/>
          <w:spacing w:val="-4"/>
          <w:sz w:val="24"/>
          <w:szCs w:val="24"/>
        </w:rPr>
        <w:t>（《形势</w:t>
      </w:r>
      <w:r>
        <w:rPr>
          <w:rFonts w:hint="default" w:ascii="Times New Roman" w:hAnsi="Times New Roman" w:eastAsia="宋体" w:cs="Times New Roman"/>
          <w:spacing w:val="-3"/>
          <w:sz w:val="24"/>
          <w:szCs w:val="24"/>
        </w:rPr>
        <w:t>解</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w:t>
      </w:r>
    </w:p>
    <w:p w14:paraId="564A7DC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为了落实以人为本的经世济民之策，管仲将“厚其生”“输之以财”“遗之以利”“宽其政”“匡其</w:t>
      </w:r>
      <w:r>
        <w:rPr>
          <w:rFonts w:hint="default" w:ascii="Times New Roman" w:hAnsi="Times New Roman" w:eastAsia="宋体" w:cs="Times New Roman"/>
          <w:spacing w:val="-6"/>
          <w:sz w:val="24"/>
          <w:szCs w:val="24"/>
        </w:rPr>
        <w:t>急”“振其穷”列为施政大纲。其中，“厚民生”是管仲</w:t>
      </w:r>
      <w:r>
        <w:rPr>
          <w:rFonts w:hint="default" w:ascii="Times New Roman" w:hAnsi="Times New Roman" w:eastAsia="宋体" w:cs="Times New Roman"/>
          <w:spacing w:val="-7"/>
          <w:sz w:val="24"/>
          <w:szCs w:val="24"/>
        </w:rPr>
        <w:t>经济学的立论基础。管仲曰：“昔者，圣王本厚民生，</w:t>
      </w:r>
      <w:r>
        <w:rPr>
          <w:rFonts w:hint="default" w:ascii="Times New Roman" w:hAnsi="Times New Roman" w:eastAsia="宋体" w:cs="Times New Roman"/>
          <w:spacing w:val="-4"/>
          <w:sz w:val="24"/>
          <w:szCs w:val="24"/>
        </w:rPr>
        <w:t>审知祸福之所生。”（《君臣下》）为了防止将以人为本架空为口惠而实不至的口号，管仲在治国理政实践中将民本思想转化为可操作性的“爱之、利之、益之、安之，四者，道之出。帝王者用之，而天下治矣”（《枢言》）。如何确保各级官吏正确解读、落实民本策论呢？管仲对所有惠民政策都有明确释义，譬如将“厚民生”细化为“德有六兴”：“所谓六兴者何？曰：辟田畴，制坛宅，修树艺，劝士民，勉稼穑，修墙屋，此谓厚其生。”（《五辅》）至于“匡其急”和“振其穷”，管仲释义曰：“养长老，慈幼</w:t>
      </w:r>
      <w:r>
        <w:rPr>
          <w:rFonts w:hint="default" w:ascii="Times New Roman" w:hAnsi="Times New Roman" w:eastAsia="宋体" w:cs="Times New Roman"/>
          <w:spacing w:val="-5"/>
          <w:sz w:val="24"/>
          <w:szCs w:val="24"/>
        </w:rPr>
        <w:t>孤，恤鳏寡，问疾病，吊祸</w:t>
      </w:r>
      <w:r>
        <w:rPr>
          <w:rFonts w:hint="default" w:ascii="Times New Roman" w:hAnsi="Times New Roman" w:eastAsia="宋体" w:cs="Times New Roman"/>
          <w:spacing w:val="-4"/>
          <w:sz w:val="24"/>
          <w:szCs w:val="24"/>
        </w:rPr>
        <w:t>丧，此谓匡其急。衣冻寒，食饥渴，匡贫窭，振罢露，资乏绝，此谓振其穷。”（《五辅》）</w:t>
      </w:r>
    </w:p>
    <w:p w14:paraId="4068F2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建立社会保障制度是民本经济学的重要一环。对于鳏寡孤独者，管仲主张国家予以资助与保障。管仲曰：</w:t>
      </w:r>
      <w:r>
        <w:rPr>
          <w:rFonts w:hint="default" w:ascii="Times New Roman" w:hAnsi="Times New Roman" w:eastAsia="宋体" w:cs="Times New Roman"/>
          <w:spacing w:val="-5"/>
          <w:sz w:val="24"/>
          <w:szCs w:val="24"/>
        </w:rPr>
        <w:t>“匹夫为鳏，匹妇为寡，老而无子者为独。君问其</w:t>
      </w:r>
      <w:r>
        <w:rPr>
          <w:rFonts w:hint="default" w:ascii="Times New Roman" w:hAnsi="Times New Roman" w:eastAsia="宋体" w:cs="Times New Roman"/>
          <w:spacing w:val="-6"/>
          <w:sz w:val="24"/>
          <w:szCs w:val="24"/>
        </w:rPr>
        <w:t>若有子弟师役而死者，父母为独，上必葬之。”（《揆度》）</w:t>
      </w:r>
      <w:r>
        <w:rPr>
          <w:rFonts w:hint="default" w:ascii="Times New Roman" w:hAnsi="Times New Roman" w:eastAsia="宋体" w:cs="Times New Roman"/>
          <w:sz w:val="24"/>
          <w:szCs w:val="24"/>
        </w:rPr>
        <w:t>旨在解决弱势群体问题的包括“老老”“慈幼”“恤孤”“养疾”“合独”“问病”“通穷”“赈困”“接</w:t>
      </w:r>
      <w:r>
        <w:rPr>
          <w:rFonts w:hint="default" w:ascii="Times New Roman" w:hAnsi="Times New Roman" w:eastAsia="宋体" w:cs="Times New Roman"/>
          <w:spacing w:val="-4"/>
          <w:sz w:val="24"/>
          <w:szCs w:val="24"/>
        </w:rPr>
        <w:t>绝”在内的“九惠之教”（《入国》），即九种惠民政策，标志着当时的社会福利保障制度已有完备的实操性</w:t>
      </w:r>
      <w:r>
        <w:rPr>
          <w:rFonts w:hint="default" w:ascii="Times New Roman" w:hAnsi="Times New Roman" w:eastAsia="宋体" w:cs="Times New Roman"/>
          <w:spacing w:val="-3"/>
          <w:sz w:val="24"/>
          <w:szCs w:val="24"/>
        </w:rPr>
        <w:t>建构。史载，管仲刚刚履职四十天内就五次亲自检查“九惠之教”施行情况，表现出经世济民者的爱民情怀。</w:t>
      </w:r>
      <w:r>
        <w:rPr>
          <w:rFonts w:hint="default" w:ascii="Times New Roman" w:hAnsi="Times New Roman" w:eastAsia="宋体" w:cs="Times New Roman"/>
          <w:spacing w:val="-4"/>
          <w:sz w:val="24"/>
          <w:szCs w:val="24"/>
        </w:rPr>
        <w:t>从汤兴桀亡的历史沉浮中，管仲如是回答桓公“何谓致天下之民”之问：“饥者得食，寒者得衣，死者得葬，</w:t>
      </w:r>
      <w:r>
        <w:rPr>
          <w:rFonts w:hint="default" w:ascii="Times New Roman" w:hAnsi="Times New Roman" w:eastAsia="宋体" w:cs="Times New Roman"/>
          <w:spacing w:val="-3"/>
          <w:sz w:val="24"/>
          <w:szCs w:val="24"/>
        </w:rPr>
        <w:t>不资者得振，则天下之归我者若流水，此之谓致天下</w:t>
      </w:r>
      <w:r>
        <w:rPr>
          <w:rFonts w:hint="default" w:ascii="Times New Roman" w:hAnsi="Times New Roman" w:eastAsia="宋体" w:cs="Times New Roman"/>
          <w:spacing w:val="-4"/>
          <w:sz w:val="24"/>
          <w:szCs w:val="24"/>
        </w:rPr>
        <w:t>之民”（《轻重甲》</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4"/>
          <w:sz w:val="24"/>
          <w:szCs w:val="24"/>
        </w:rPr>
        <w:t>“先王者善为民除害兴利，故天</w:t>
      </w:r>
      <w:r>
        <w:rPr>
          <w:rFonts w:hint="default" w:ascii="Times New Roman" w:hAnsi="Times New Roman" w:eastAsia="宋体" w:cs="Times New Roman"/>
          <w:spacing w:val="-5"/>
          <w:sz w:val="24"/>
          <w:szCs w:val="24"/>
        </w:rPr>
        <w:t>下之民归之。所谓兴利者，利农事也；所谓除害者</w:t>
      </w:r>
      <w:r>
        <w:rPr>
          <w:rFonts w:hint="default" w:ascii="Times New Roman" w:hAnsi="Times New Roman" w:eastAsia="宋体" w:cs="Times New Roman"/>
          <w:spacing w:val="-6"/>
          <w:sz w:val="24"/>
          <w:szCs w:val="24"/>
        </w:rPr>
        <w:t>，禁害农事也。”（《治国》）当是时，水、旱、风雾雹霜、</w:t>
      </w:r>
      <w:r>
        <w:rPr>
          <w:rFonts w:hint="default" w:ascii="Times New Roman" w:hAnsi="Times New Roman" w:eastAsia="宋体" w:cs="Times New Roman"/>
          <w:spacing w:val="-3"/>
          <w:sz w:val="24"/>
          <w:szCs w:val="24"/>
        </w:rPr>
        <w:t>厉（瘟疫）、虫被称为“五害”。以完备的荒政制度助农御“五害”，是经世济民之学的应有使命。管仲曰：</w:t>
      </w:r>
      <w:r>
        <w:rPr>
          <w:rFonts w:hint="default" w:ascii="Times New Roman" w:hAnsi="Times New Roman" w:eastAsia="宋体" w:cs="Times New Roman"/>
          <w:spacing w:val="-1"/>
          <w:sz w:val="24"/>
          <w:szCs w:val="24"/>
        </w:rPr>
        <w:t>“故善为国者，必先除其五害。”（《度地》）基于“地之守在城，城之守在</w:t>
      </w:r>
      <w:r>
        <w:rPr>
          <w:rFonts w:hint="default" w:ascii="Times New Roman" w:hAnsi="Times New Roman" w:eastAsia="宋体" w:cs="Times New Roman"/>
          <w:spacing w:val="-2"/>
          <w:sz w:val="24"/>
          <w:szCs w:val="24"/>
        </w:rPr>
        <w:t>兵，兵之守在人，人之守在粟”</w:t>
      </w:r>
      <w:r>
        <w:rPr>
          <w:rFonts w:hint="default" w:ascii="Times New Roman" w:hAnsi="Times New Roman" w:eastAsia="宋体" w:cs="Times New Roman"/>
          <w:spacing w:val="-4"/>
          <w:sz w:val="24"/>
          <w:szCs w:val="24"/>
        </w:rPr>
        <w:t>（《权修》）的考量，管仲始创的常平仓制度即为除“五害”而设。官府为储粮备荒、平抑粮价而设的粮仓，</w:t>
      </w:r>
      <w:r>
        <w:rPr>
          <w:rFonts w:hint="default" w:ascii="Times New Roman" w:hAnsi="Times New Roman" w:eastAsia="宋体" w:cs="Times New Roman"/>
          <w:spacing w:val="-3"/>
          <w:sz w:val="24"/>
          <w:szCs w:val="24"/>
        </w:rPr>
        <w:t>谓之常平仓。这些粮仓丰年购粮储存，避免谷贱伤农；</w:t>
      </w:r>
      <w:r>
        <w:rPr>
          <w:rFonts w:hint="default" w:ascii="Times New Roman" w:hAnsi="Times New Roman" w:eastAsia="宋体" w:cs="Times New Roman"/>
          <w:spacing w:val="-4"/>
          <w:sz w:val="24"/>
          <w:szCs w:val="24"/>
        </w:rPr>
        <w:t>灾年出卖储粮以稳定粮价、救荒赈灾，这种储备缓冲减</w:t>
      </w:r>
      <w:r>
        <w:rPr>
          <w:rFonts w:hint="default" w:ascii="Times New Roman" w:hAnsi="Times New Roman" w:eastAsia="宋体" w:cs="Times New Roman"/>
          <w:spacing w:val="-3"/>
          <w:sz w:val="24"/>
          <w:szCs w:val="24"/>
        </w:rPr>
        <w:t>灾机制为历代效仿。</w:t>
      </w:r>
    </w:p>
    <w:p w14:paraId="0424066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经世济民之学，必须着眼于“定民之居，成民之事”，追求社会和谐安定。为此，管仲将社会职业划分为</w:t>
      </w:r>
      <w:r>
        <w:rPr>
          <w:rFonts w:hint="default" w:ascii="Times New Roman" w:hAnsi="Times New Roman" w:eastAsia="宋体" w:cs="Times New Roman"/>
          <w:spacing w:val="-5"/>
          <w:sz w:val="24"/>
          <w:szCs w:val="24"/>
        </w:rPr>
        <w:t>士、农、工、商四大类，根据职业分工分别集中居住，各按其职业“群萃而州处”。管仲曰：“士农工商四民</w:t>
      </w:r>
      <w:r>
        <w:rPr>
          <w:rFonts w:hint="default" w:ascii="Times New Roman" w:hAnsi="Times New Roman" w:eastAsia="宋体" w:cs="Times New Roman"/>
          <w:spacing w:val="-4"/>
          <w:sz w:val="24"/>
          <w:szCs w:val="24"/>
        </w:rPr>
        <w:t>者，国之石民也，不可使杂处，杂处则其言哤，其事乱。是故圣王之处士必于闲燕，处农必就田野，处工必就官府，处商必就市井。”（《小匡》）四民分业定居世袭固然有明显的保守性，但总体来看，产业集群式的布局有利于同行之间相互切磋，后代少而习之，便于技术的代际传承，促进生产力发展。管仲将国民划分为四大</w:t>
      </w:r>
      <w:r>
        <w:rPr>
          <w:rFonts w:hint="default" w:ascii="Times New Roman" w:hAnsi="Times New Roman" w:eastAsia="宋体" w:cs="Times New Roman"/>
          <w:spacing w:val="-5"/>
          <w:sz w:val="24"/>
          <w:szCs w:val="24"/>
        </w:rPr>
        <w:t>集团，影响深远，工、农、商、学、兵的说法至今沿用。</w:t>
      </w:r>
      <w:r>
        <w:rPr>
          <w:rFonts w:hint="default" w:ascii="Times New Roman" w:hAnsi="Times New Roman" w:eastAsia="宋体" w:cs="Times New Roman"/>
          <w:spacing w:val="-7"/>
          <w:sz w:val="24"/>
          <w:szCs w:val="24"/>
        </w:rPr>
        <w:t>管仲推行民本经济学的结果，是政治经济大获成功。司马迁赞曰：“管仲既任</w:t>
      </w:r>
      <w:r>
        <w:rPr>
          <w:rFonts w:hint="default" w:ascii="Times New Roman" w:hAnsi="Times New Roman" w:eastAsia="宋体" w:cs="Times New Roman"/>
          <w:spacing w:val="-8"/>
          <w:sz w:val="24"/>
          <w:szCs w:val="24"/>
        </w:rPr>
        <w:t>政相齐，以区区之齐在海滨，</w:t>
      </w:r>
      <w:r>
        <w:rPr>
          <w:rFonts w:hint="default" w:ascii="Times New Roman" w:hAnsi="Times New Roman" w:eastAsia="宋体" w:cs="Times New Roman"/>
          <w:spacing w:val="-4"/>
          <w:sz w:val="24"/>
          <w:szCs w:val="24"/>
        </w:rPr>
        <w:t>通货积财，富国强兵，与俗同好恶。……俗之所欲，因而予之；俗之所否，因而去之。”“其为政也，善因祸</w:t>
      </w:r>
      <w:r>
        <w:rPr>
          <w:rFonts w:hint="default" w:ascii="Times New Roman" w:hAnsi="Times New Roman" w:eastAsia="宋体" w:cs="Times New Roman"/>
          <w:spacing w:val="-6"/>
          <w:sz w:val="24"/>
          <w:szCs w:val="24"/>
        </w:rPr>
        <w:t>而为福，转败而为功。贵轻重，慎权衡。”</w:t>
      </w:r>
      <w:r>
        <w:rPr>
          <w:rStyle w:val="20"/>
          <w:rFonts w:hint="default" w:ascii="Times New Roman" w:hAnsi="Times New Roman" w:eastAsia="宋体" w:cs="Times New Roman"/>
          <w:spacing w:val="-6"/>
          <w:sz w:val="24"/>
          <w:szCs w:val="24"/>
        </w:rPr>
        <w:footnoteReference w:id="652"/>
      </w:r>
    </w:p>
    <w:p w14:paraId="2DB70DE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管仲民本经济学中已经有劳动价值论的思想萌芽。管仲曰：“民非谷不食，谷非地不生，地非民不动，民</w:t>
      </w:r>
      <w:r>
        <w:rPr>
          <w:rFonts w:hint="default" w:ascii="Times New Roman" w:hAnsi="Times New Roman" w:eastAsia="宋体" w:cs="Times New Roman"/>
          <w:spacing w:val="-4"/>
          <w:sz w:val="24"/>
          <w:szCs w:val="24"/>
        </w:rPr>
        <w:t>非作力毋以致财。天下之所生，生于用力；用力之所生，生于劳身。”（《八观》）意思是说，百姓不种五谷无以为食，五谷离开土地无以生长，土地没有百姓无以耕种，百姓不劳动就不能生产财富。生产天下财富靠的</w:t>
      </w:r>
      <w:r>
        <w:rPr>
          <w:rFonts w:hint="default" w:ascii="Times New Roman" w:hAnsi="Times New Roman" w:eastAsia="宋体" w:cs="Times New Roman"/>
          <w:spacing w:val="-7"/>
          <w:sz w:val="24"/>
          <w:szCs w:val="24"/>
        </w:rPr>
        <w:t>是劳动力，劳动者是劳动力的载体。在管仲看来，粮食等财富价值是由土地生产出来的，但是若没有人的劳动，</w:t>
      </w:r>
      <w:r>
        <w:rPr>
          <w:rFonts w:hint="default" w:ascii="Times New Roman" w:hAnsi="Times New Roman" w:eastAsia="宋体" w:cs="Times New Roman"/>
          <w:spacing w:val="-4"/>
          <w:sz w:val="24"/>
          <w:szCs w:val="24"/>
        </w:rPr>
        <w:t>土地不会自然而然地产出财富，因此土地与劳动共同创造了财富价值——这就是管仲民本经济学的劳动价值论</w:t>
      </w:r>
      <w:r>
        <w:rPr>
          <w:rFonts w:hint="default" w:ascii="Times New Roman" w:hAnsi="Times New Roman" w:eastAsia="宋体" w:cs="Times New Roman"/>
          <w:spacing w:val="-5"/>
          <w:sz w:val="24"/>
          <w:szCs w:val="24"/>
        </w:rPr>
        <w:t>法则！管仲发现的劳动价值论尽管是粗糙的，但却在客观上成为其以人为本的经济学理论前提。2300年后，威廉·配第将管仲的劳动价值论思想萌芽表述为：劳动是财富之父</w:t>
      </w:r>
      <w:r>
        <w:rPr>
          <w:rFonts w:hint="default" w:ascii="Times New Roman" w:hAnsi="Times New Roman" w:eastAsia="宋体" w:cs="Times New Roman"/>
          <w:spacing w:val="-6"/>
          <w:sz w:val="24"/>
          <w:szCs w:val="24"/>
        </w:rPr>
        <w:t>，土地是财富之母。在经济学说史上，管仲经</w:t>
      </w:r>
      <w:r>
        <w:rPr>
          <w:rFonts w:hint="default" w:ascii="Times New Roman" w:hAnsi="Times New Roman" w:eastAsia="宋体" w:cs="Times New Roman"/>
          <w:spacing w:val="-4"/>
          <w:sz w:val="24"/>
          <w:szCs w:val="24"/>
        </w:rPr>
        <w:t>济学第一次对“人”的发现，无疑是对经世济民之学的根本突破与革命。在管仲经济学视野内，是人而不是君王或资本成为经世济民大业的出发点和归宿点——“国之所以为国者，民体以为国”（《君臣下》）。高扬以人为本大旗的管仲经济学，堪称人类历史上第一个伟大的人权宣言！</w:t>
      </w:r>
    </w:p>
    <w:p w14:paraId="68C75D14">
      <w:pPr>
        <w:pStyle w:val="4"/>
        <w:bidi w:val="0"/>
        <w:rPr>
          <w:rFonts w:hint="default"/>
        </w:rPr>
      </w:pPr>
      <w:r>
        <w:rPr>
          <w:rFonts w:hint="default"/>
        </w:rPr>
        <w:t>二、治国之道、必先富民的经济要旨</w:t>
      </w:r>
    </w:p>
    <w:p w14:paraId="0C36D74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既然管仲经济学是经世济民的民本经济学，那么，怎样将“以人为本”“以百姓</w:t>
      </w:r>
      <w:r>
        <w:rPr>
          <w:rFonts w:hint="default" w:ascii="Times New Roman" w:hAnsi="Times New Roman" w:eastAsia="宋体" w:cs="Times New Roman"/>
          <w:spacing w:val="-5"/>
          <w:sz w:val="24"/>
          <w:szCs w:val="24"/>
        </w:rPr>
        <w:t>为天”的经世济民使命贯</w:t>
      </w:r>
      <w:r>
        <w:rPr>
          <w:rFonts w:hint="default" w:ascii="Times New Roman" w:hAnsi="Times New Roman" w:eastAsia="宋体" w:cs="Times New Roman"/>
          <w:spacing w:val="-6"/>
          <w:sz w:val="24"/>
          <w:szCs w:val="24"/>
        </w:rPr>
        <w:t>穿治国理政过程始终呢？管仲用“牧”代指“治理”，与古埃及和两河</w:t>
      </w:r>
      <w:r>
        <w:rPr>
          <w:rFonts w:hint="default" w:ascii="Times New Roman" w:hAnsi="Times New Roman" w:eastAsia="宋体" w:cs="Times New Roman"/>
          <w:spacing w:val="-7"/>
          <w:sz w:val="24"/>
          <w:szCs w:val="24"/>
        </w:rPr>
        <w:t>流域文明中将国王称作“牧羊人”同理。</w:t>
      </w:r>
      <w:r>
        <w:rPr>
          <w:rFonts w:hint="default" w:ascii="Times New Roman" w:hAnsi="Times New Roman" w:eastAsia="宋体" w:cs="Times New Roman"/>
          <w:spacing w:val="-6"/>
          <w:sz w:val="24"/>
          <w:szCs w:val="24"/>
        </w:rPr>
        <w:t>管仲在首篇《牧民》中开宗明义：“凡有地牧民者，务在四时，守在仓廪。国多财则远者来，地辟举则民留处，仓廪实则知礼节，衣食足则知荣辱。”可见，富民且“必先富民”是明礼</w:t>
      </w:r>
      <w:r>
        <w:rPr>
          <w:rFonts w:hint="default" w:ascii="Times New Roman" w:hAnsi="Times New Roman" w:eastAsia="宋体" w:cs="Times New Roman"/>
          <w:spacing w:val="-7"/>
          <w:sz w:val="24"/>
          <w:szCs w:val="24"/>
        </w:rPr>
        <w:t>仪、知廉耻的必要前提。“始于爱民”</w:t>
      </w:r>
      <w:r>
        <w:rPr>
          <w:rFonts w:hint="default" w:ascii="Times New Roman" w:hAnsi="Times New Roman" w:eastAsia="宋体" w:cs="Times New Roman"/>
          <w:spacing w:val="-4"/>
          <w:sz w:val="24"/>
          <w:szCs w:val="24"/>
        </w:rPr>
        <w:t>的管仲经济学，复又终于爱民，而爱民者必先富民。管仲根据当时社会的实际情况，提出了富民为先的治国方略。管仲曰：“凡治国之道，必先富民。民富则易治也，民贫则难治也。奚以知其然也？民富则安乡重家，安乡重家则敬上畏罪，敬上畏罪则易治也；民贫则危乡轻家，危乡轻家则敢凌上犯禁，凌上犯禁则难治也。故治国常富，而乱国常贫。是以善为国者，必先富民，然后治之。”（《治国》）百</w:t>
      </w:r>
      <w:r>
        <w:rPr>
          <w:rFonts w:hint="default" w:ascii="Times New Roman" w:hAnsi="Times New Roman" w:eastAsia="宋体" w:cs="Times New Roman"/>
          <w:spacing w:val="-5"/>
          <w:sz w:val="24"/>
          <w:szCs w:val="24"/>
        </w:rPr>
        <w:t>姓生活富足、衣食无忧则安居</w:t>
      </w:r>
      <w:r>
        <w:rPr>
          <w:rFonts w:hint="default" w:ascii="Times New Roman" w:hAnsi="Times New Roman" w:eastAsia="宋体" w:cs="Times New Roman"/>
          <w:spacing w:val="-4"/>
          <w:sz w:val="24"/>
          <w:szCs w:val="24"/>
        </w:rPr>
        <w:t>乐业，社会秩序就能和谐安定，这样的社会自然容易治理，甚至收不治而治之效。百姓生活贫困、缺衣少食就会为生存而四处奔波，社会必然变得混乱无序，陡然加大了治理难度。人民生活富裕后，国强必然指日可期。管仲用这段充满政治经济学智慧的话语，回答了桓公“如何治国”之问。在推行经世济民的富民国策中，君主率先垂范作用至关重要。管仲认为：“一人之治乱在其心，一国之存亡在其主。”（《七臣七主》）君上爱民富民，各级官吏必然群起而效仿，如此，“必先</w:t>
      </w:r>
      <w:r>
        <w:rPr>
          <w:rFonts w:hint="default" w:ascii="Times New Roman" w:hAnsi="Times New Roman" w:eastAsia="宋体" w:cs="Times New Roman"/>
          <w:spacing w:val="-5"/>
          <w:sz w:val="24"/>
          <w:szCs w:val="24"/>
        </w:rPr>
        <w:t>富民”必定会成为上下同欲的治国之道。</w:t>
      </w:r>
    </w:p>
    <w:p w14:paraId="5164D28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“藏富于民”是“必先富民”治国理政方略的逻辑延伸。被后世治国理政者奉为圭臬的“藏富于民</w:t>
      </w:r>
      <w:r>
        <w:rPr>
          <w:rFonts w:hint="default" w:ascii="Times New Roman" w:hAnsi="Times New Roman" w:eastAsia="宋体" w:cs="Times New Roman"/>
          <w:spacing w:val="-5"/>
          <w:sz w:val="24"/>
          <w:szCs w:val="24"/>
        </w:rPr>
        <w:t>”说，</w:t>
      </w:r>
      <w:r>
        <w:rPr>
          <w:rFonts w:hint="default" w:ascii="Times New Roman" w:hAnsi="Times New Roman" w:eastAsia="宋体" w:cs="Times New Roman"/>
          <w:spacing w:val="-4"/>
          <w:sz w:val="24"/>
          <w:szCs w:val="24"/>
        </w:rPr>
        <w:t>是管仲经济学“必先富民”经济要旨的重要方面。在回答齐桓公国家如何理财</w:t>
      </w:r>
      <w:r>
        <w:rPr>
          <w:rFonts w:hint="default" w:ascii="Times New Roman" w:hAnsi="Times New Roman" w:eastAsia="宋体" w:cs="Times New Roman"/>
          <w:spacing w:val="-5"/>
          <w:sz w:val="24"/>
          <w:szCs w:val="24"/>
        </w:rPr>
        <w:t>之问时，管仲对曰：“王者藏于</w:t>
      </w:r>
      <w:r>
        <w:rPr>
          <w:rFonts w:hint="default" w:ascii="Times New Roman" w:hAnsi="Times New Roman" w:eastAsia="宋体" w:cs="Times New Roman"/>
          <w:spacing w:val="-4"/>
          <w:sz w:val="24"/>
          <w:szCs w:val="24"/>
        </w:rPr>
        <w:t>民，霸者藏于大夫，残国亡家藏于箧。”（《山至数》）也就是说，王道之君</w:t>
      </w:r>
      <w:r>
        <w:rPr>
          <w:rFonts w:hint="default" w:ascii="Times New Roman" w:hAnsi="Times New Roman" w:eastAsia="宋体" w:cs="Times New Roman"/>
          <w:spacing w:val="-5"/>
          <w:sz w:val="24"/>
          <w:szCs w:val="24"/>
        </w:rPr>
        <w:t>藏富于民，霸道之君藏富于大族</w:t>
      </w:r>
      <w:r>
        <w:rPr>
          <w:rFonts w:hint="default" w:ascii="Times New Roman" w:hAnsi="Times New Roman" w:eastAsia="宋体" w:cs="Times New Roman"/>
          <w:spacing w:val="-4"/>
          <w:sz w:val="24"/>
          <w:szCs w:val="24"/>
        </w:rPr>
        <w:t>贵胄，败亡之君藏富于密室宝箱。管仲告诫统治者，能否藏富于民关乎社稷的长治久安，与民争利必有亡国之</w:t>
      </w:r>
      <w:r>
        <w:rPr>
          <w:rFonts w:hint="default" w:ascii="Times New Roman" w:hAnsi="Times New Roman" w:eastAsia="宋体" w:cs="Times New Roman"/>
          <w:spacing w:val="-1"/>
          <w:sz w:val="24"/>
          <w:szCs w:val="24"/>
        </w:rPr>
        <w:t>虞；而“布政有均，民足于产，则国家丰矣”（《</w:t>
      </w:r>
      <w:r>
        <w:rPr>
          <w:rFonts w:hint="default" w:ascii="Times New Roman" w:hAnsi="Times New Roman" w:eastAsia="宋体" w:cs="Times New Roman"/>
          <w:spacing w:val="-2"/>
          <w:sz w:val="24"/>
          <w:szCs w:val="24"/>
        </w:rPr>
        <w:t>君臣上》</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2"/>
          <w:sz w:val="24"/>
          <w:szCs w:val="24"/>
        </w:rPr>
        <w:t>“府不积货，藏于民也”，实乃“治之至也”</w:t>
      </w:r>
      <w:r>
        <w:rPr>
          <w:rFonts w:hint="default" w:ascii="Times New Roman" w:hAnsi="Times New Roman" w:eastAsia="宋体" w:cs="Times New Roman"/>
          <w:spacing w:val="-4"/>
          <w:sz w:val="24"/>
          <w:szCs w:val="24"/>
        </w:rPr>
        <w:t>（《权修》）。管仲把藏富于民与富国强兵统筹规划，甚至把藏富于民视为富国强兵的前提条件，这无疑是极富辩证思维的政治经济学主张。由此也底定了政治经济学的立论基础：经世济民之学，富民强国之道。“政治</w:t>
      </w:r>
      <w:r>
        <w:rPr>
          <w:rFonts w:hint="default" w:ascii="Times New Roman" w:hAnsi="Times New Roman" w:eastAsia="宋体" w:cs="Times New Roman"/>
          <w:spacing w:val="-1"/>
          <w:sz w:val="24"/>
          <w:szCs w:val="24"/>
        </w:rPr>
        <w:t>经济学的富国裕民传统就起源于中国”</w:t>
      </w:r>
      <w:r>
        <w:rPr>
          <w:rStyle w:val="20"/>
          <w:rFonts w:hint="default" w:ascii="Times New Roman" w:hAnsi="Times New Roman" w:eastAsia="宋体" w:cs="Times New Roman"/>
          <w:spacing w:val="-1"/>
          <w:sz w:val="24"/>
          <w:szCs w:val="24"/>
        </w:rPr>
        <w:footnoteReference w:id="653"/>
      </w:r>
      <w:r>
        <w:rPr>
          <w:rFonts w:hint="default" w:ascii="Times New Roman" w:hAnsi="Times New Roman" w:eastAsia="宋体" w:cs="Times New Roman"/>
          <w:spacing w:val="-1"/>
          <w:sz w:val="24"/>
          <w:szCs w:val="24"/>
        </w:rPr>
        <w:t>,今天已成为学界共识。</w:t>
      </w:r>
    </w:p>
    <w:p w14:paraId="73D9F14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无夺民时，则百姓富；牺牲不劳，则牛马育”（《小匡》）。为了践行“必先富民”“藏富于民”的经世济民理路，管仲要求使民以时、取之有度。管仲哀民生多艰、叹战乱不止，对百姓负担了如指掌。当时，农</w:t>
      </w:r>
      <w:r>
        <w:rPr>
          <w:rFonts w:hint="default" w:ascii="Times New Roman" w:hAnsi="Times New Roman" w:eastAsia="宋体" w:cs="Times New Roman"/>
          <w:spacing w:val="-8"/>
          <w:sz w:val="24"/>
          <w:szCs w:val="24"/>
        </w:rPr>
        <w:t>民要承受官府征税、高利贷盘剥、“关市之租”“府库之征粟”以及官府的杂务徭役等等。长此以往，此种</w:t>
      </w:r>
      <w:r>
        <w:rPr>
          <w:rFonts w:hint="default" w:ascii="Times New Roman" w:hAnsi="Times New Roman" w:eastAsia="宋体" w:cs="Times New Roman"/>
          <w:spacing w:val="-9"/>
          <w:sz w:val="24"/>
          <w:szCs w:val="24"/>
        </w:rPr>
        <w:t>“一</w:t>
      </w:r>
      <w:r>
        <w:rPr>
          <w:rFonts w:hint="default" w:ascii="Times New Roman" w:hAnsi="Times New Roman" w:eastAsia="宋体" w:cs="Times New Roman"/>
          <w:spacing w:val="-4"/>
          <w:sz w:val="24"/>
          <w:szCs w:val="24"/>
        </w:rPr>
        <w:t>民养四主”（《治国》）的情况势必动摇国本。“得人之道，莫如利之”（《五辅》）。熟谙历史兴衰的管仲总结道：“古者三王五伯，皆人主之利天下者也……神农教耕生谷，以致民利。禹身决渎，斩高桥下，以致民利。汤、武征伐无道，诛杀暴乱，以致民利。故明王之动作虽异，其利民同也。”（《形势解》）志在天下的君主“异起而同归”，都致力于富民利民，发展生产，畜养六畜，以厚植国本。鉴于此，管仲告诫道：“取于民有度，用之有止，国虽小必安；取于民无度，用之不止，国虽大必危。”（《权修》）</w:t>
      </w:r>
    </w:p>
    <w:p w14:paraId="098DB4F2">
      <w:pPr>
        <w:pStyle w:val="4"/>
        <w:bidi w:val="0"/>
        <w:rPr>
          <w:rFonts w:hint="default"/>
        </w:rPr>
      </w:pPr>
      <w:r>
        <w:rPr>
          <w:rFonts w:hint="default"/>
        </w:rPr>
        <w:t>三、天下之物、普利万民的共富主张</w:t>
      </w:r>
    </w:p>
    <w:p w14:paraId="2585847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管仲认为，财聚则心散，财散则心齐，治理国家、稳定社稷的最高境界是与天下人同利。管仲曰：“</w:t>
      </w:r>
      <w:r>
        <w:rPr>
          <w:rFonts w:hint="default" w:ascii="Times New Roman" w:hAnsi="Times New Roman" w:eastAsia="宋体" w:cs="Times New Roman"/>
          <w:spacing w:val="-5"/>
          <w:sz w:val="24"/>
          <w:szCs w:val="24"/>
        </w:rPr>
        <w:t>凡人</w:t>
      </w:r>
      <w:r>
        <w:rPr>
          <w:rFonts w:hint="default" w:ascii="Times New Roman" w:hAnsi="Times New Roman" w:eastAsia="宋体" w:cs="Times New Roman"/>
          <w:spacing w:val="-4"/>
          <w:sz w:val="24"/>
          <w:szCs w:val="24"/>
        </w:rPr>
        <w:t>者，莫不欲利而恶害，是故与天下同利者，天下持之；擅天下之利者，天下谋之。天下所谋，虽立必堕；天下所持，虽高不危。故曰：‘安高在乎同利。’”（《版法解》）要想安居高位，必须与民同利。专天下之利而</w:t>
      </w:r>
      <w:r>
        <w:rPr>
          <w:rFonts w:hint="default" w:ascii="Times New Roman" w:hAnsi="Times New Roman" w:eastAsia="宋体" w:cs="Times New Roman"/>
          <w:spacing w:val="-5"/>
          <w:sz w:val="24"/>
          <w:szCs w:val="24"/>
        </w:rPr>
        <w:t>久居高位者，未之有也。管仲认为，只有像“养万物而无取焉”的“生四时”之天、“生万财”之地那样的统</w:t>
      </w:r>
      <w:r>
        <w:rPr>
          <w:rFonts w:hint="default" w:ascii="Times New Roman" w:hAnsi="Times New Roman" w:eastAsia="宋体" w:cs="Times New Roman"/>
          <w:spacing w:val="-4"/>
          <w:sz w:val="24"/>
          <w:szCs w:val="24"/>
        </w:rPr>
        <w:t>治者，不独占财富，不私有其利，才能德配天地——“能予而无取者，天地之配也”（《形势解》）。对贵族</w:t>
      </w:r>
      <w:r>
        <w:rPr>
          <w:rFonts w:hint="default" w:ascii="Times New Roman" w:hAnsi="Times New Roman" w:eastAsia="宋体" w:cs="Times New Roman"/>
          <w:spacing w:val="-6"/>
          <w:sz w:val="24"/>
          <w:szCs w:val="24"/>
        </w:rPr>
        <w:t>巨贾，管仲循循善诱：“圣人之所以为圣人者，善</w:t>
      </w:r>
      <w:r>
        <w:rPr>
          <w:rFonts w:hint="default" w:ascii="Times New Roman" w:hAnsi="Times New Roman" w:eastAsia="宋体" w:cs="Times New Roman"/>
          <w:spacing w:val="-7"/>
          <w:sz w:val="24"/>
          <w:szCs w:val="24"/>
        </w:rPr>
        <w:t>分民也。圣人不能分民，则犹百姓也，于己不足，安得名圣。</w:t>
      </w:r>
      <w:r>
        <w:rPr>
          <w:rFonts w:hint="default" w:ascii="Times New Roman" w:hAnsi="Times New Roman" w:eastAsia="宋体" w:cs="Times New Roman"/>
          <w:spacing w:val="-4"/>
          <w:sz w:val="24"/>
          <w:szCs w:val="24"/>
        </w:rPr>
        <w:t>是故有事则用，无事则归之于民，唯圣人为善托业于民。”（《乘马》）意思</w:t>
      </w:r>
      <w:r>
        <w:rPr>
          <w:rFonts w:hint="default" w:ascii="Times New Roman" w:hAnsi="Times New Roman" w:eastAsia="宋体" w:cs="Times New Roman"/>
          <w:spacing w:val="-5"/>
          <w:sz w:val="24"/>
          <w:szCs w:val="24"/>
        </w:rPr>
        <w:t>是说，圣人之所以是圣人，就是</w:t>
      </w:r>
      <w:r>
        <w:rPr>
          <w:rFonts w:hint="default" w:ascii="Times New Roman" w:hAnsi="Times New Roman" w:eastAsia="宋体" w:cs="Times New Roman"/>
          <w:spacing w:val="-4"/>
          <w:sz w:val="24"/>
          <w:szCs w:val="24"/>
        </w:rPr>
        <w:t>因为他善于分利于民。圣人不与民分利，就同普通百姓无异。贪心不足者，如何称得上圣人呢？所以，国家有事则取用于民，无事就藏富于民，只有圣人才善于把产业寄托给民众。</w:t>
      </w:r>
    </w:p>
    <w:p w14:paraId="32C7A4A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管仲经济学秉承“以天下之财，利天下之人”（《霸言》）的意旨，力主普利万民，大力调节贫富</w:t>
      </w:r>
      <w:r>
        <w:rPr>
          <w:rFonts w:hint="default" w:ascii="Times New Roman" w:hAnsi="Times New Roman" w:eastAsia="宋体" w:cs="Times New Roman"/>
          <w:spacing w:val="-5"/>
          <w:sz w:val="24"/>
          <w:szCs w:val="24"/>
        </w:rPr>
        <w:t>差距。</w:t>
      </w:r>
      <w:r>
        <w:rPr>
          <w:rFonts w:hint="default" w:ascii="Times New Roman" w:hAnsi="Times New Roman" w:eastAsia="宋体" w:cs="Times New Roman"/>
          <w:spacing w:val="-4"/>
          <w:sz w:val="24"/>
          <w:szCs w:val="24"/>
        </w:rPr>
        <w:t>如果国家对经济社会放任不管，必然产生“贫者重贫，富者重富”（《揆度》）的难以弥合的巨大社会鸿沟，进而撕裂整个社会，影响社会系统的整体稳定。管仲在《五辅》中凝练的“礼有八经”，其中一条就是“贫富</w:t>
      </w:r>
    </w:p>
    <w:p w14:paraId="26E012A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有度”。他尖锐地指出，“贫富无度则失”，贫富悬殊、两极分化，实乃国之不祥，势必引起社会动荡。故善为国者，必须学会疏浚有无，调通民利。管仲指出：“凡将为国，不通于轻重，不可为笼（调控——笔者注）</w:t>
      </w:r>
      <w:r>
        <w:rPr>
          <w:rFonts w:hint="default" w:ascii="Times New Roman" w:hAnsi="Times New Roman" w:eastAsia="宋体" w:cs="Times New Roman"/>
          <w:spacing w:val="-6"/>
          <w:sz w:val="24"/>
          <w:szCs w:val="24"/>
        </w:rPr>
        <w:t>以守民；不能调通民利，不可以语制为大治。”（《国</w:t>
      </w:r>
      <w:r>
        <w:rPr>
          <w:rFonts w:hint="default" w:ascii="Times New Roman" w:hAnsi="Times New Roman" w:eastAsia="宋体" w:cs="Times New Roman"/>
          <w:spacing w:val="-7"/>
          <w:sz w:val="24"/>
          <w:szCs w:val="24"/>
        </w:rPr>
        <w:t>蓄》）说的是不能将贫富差距控制在一定范围内的社会，</w:t>
      </w:r>
      <w:r>
        <w:rPr>
          <w:rFonts w:hint="default" w:ascii="Times New Roman" w:hAnsi="Times New Roman" w:eastAsia="宋体" w:cs="Times New Roman"/>
          <w:spacing w:val="-4"/>
          <w:sz w:val="24"/>
          <w:szCs w:val="24"/>
        </w:rPr>
        <w:t>不是也不可能是任何意义上的治世、盛世。面对“贫富之不齐”甚至“</w:t>
      </w:r>
      <w:r>
        <w:rPr>
          <w:rFonts w:hint="default" w:ascii="Times New Roman" w:hAnsi="Times New Roman" w:eastAsia="宋体" w:cs="Times New Roman"/>
          <w:spacing w:val="-5"/>
          <w:sz w:val="24"/>
          <w:szCs w:val="24"/>
        </w:rPr>
        <w:t>民有相百倍之生”之贫富相差百倍的严</w:t>
      </w:r>
      <w:r>
        <w:rPr>
          <w:rFonts w:hint="default" w:ascii="Times New Roman" w:hAnsi="Times New Roman" w:eastAsia="宋体" w:cs="Times New Roman"/>
          <w:spacing w:val="-3"/>
          <w:sz w:val="24"/>
          <w:szCs w:val="24"/>
        </w:rPr>
        <w:t>峻形势，如果“人君不能调”，必然滋生大量“不牧之民”，带来“法令之不行，万民之不</w:t>
      </w:r>
      <w:r>
        <w:rPr>
          <w:rFonts w:hint="default" w:ascii="Times New Roman" w:hAnsi="Times New Roman" w:eastAsia="宋体" w:cs="Times New Roman"/>
          <w:spacing w:val="-4"/>
          <w:sz w:val="24"/>
          <w:szCs w:val="24"/>
        </w:rPr>
        <w:t>治”（《国蓄》）</w:t>
      </w:r>
      <w:r>
        <w:rPr>
          <w:rFonts w:hint="default" w:ascii="Times New Roman" w:hAnsi="Times New Roman" w:eastAsia="宋体" w:cs="Times New Roman"/>
          <w:spacing w:val="-6"/>
          <w:sz w:val="24"/>
          <w:szCs w:val="24"/>
        </w:rPr>
        <w:t>的严重后果。唯有“富能夺，贫能予，乃可以为天下”</w:t>
      </w:r>
      <w:r>
        <w:rPr>
          <w:rFonts w:hint="default" w:ascii="Times New Roman" w:hAnsi="Times New Roman" w:eastAsia="宋体" w:cs="Times New Roman"/>
          <w:spacing w:val="-7"/>
          <w:sz w:val="24"/>
          <w:szCs w:val="24"/>
        </w:rPr>
        <w:t>（《揆度》）的政府，才是一个有为有位的负责任政府！</w:t>
      </w:r>
    </w:p>
    <w:p w14:paraId="72AB036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齐国有悠久的商业传统，巨贾豪富者众，他们占有大量社会资本，并且利用这些资本买贱鬻贵，财富像滚</w:t>
      </w:r>
      <w:r>
        <w:rPr>
          <w:rFonts w:hint="default" w:ascii="Times New Roman" w:hAnsi="Times New Roman" w:eastAsia="宋体" w:cs="Times New Roman"/>
          <w:spacing w:val="-6"/>
          <w:sz w:val="24"/>
          <w:szCs w:val="24"/>
        </w:rPr>
        <w:t>雪球一样越滚越大，百姓却“寒而不得衣，饥而</w:t>
      </w:r>
      <w:r>
        <w:rPr>
          <w:rFonts w:hint="default" w:ascii="Times New Roman" w:hAnsi="Times New Roman" w:eastAsia="宋体" w:cs="Times New Roman"/>
          <w:spacing w:val="-7"/>
          <w:sz w:val="24"/>
          <w:szCs w:val="24"/>
        </w:rPr>
        <w:t>不得食”（《轻重丁》）。即便如此，巨贾富豪仍然为富不仁，</w:t>
      </w:r>
      <w:r>
        <w:rPr>
          <w:rFonts w:hint="default" w:ascii="Times New Roman" w:hAnsi="Times New Roman" w:eastAsia="宋体" w:cs="Times New Roman"/>
          <w:spacing w:val="-3"/>
          <w:sz w:val="24"/>
          <w:szCs w:val="24"/>
        </w:rPr>
        <w:t>“大夫多并其财而不出，腐朽五谷而不散”（《轻重丁》）。面对此</w:t>
      </w:r>
      <w:r>
        <w:rPr>
          <w:rFonts w:hint="default" w:ascii="Times New Roman" w:hAnsi="Times New Roman" w:eastAsia="宋体" w:cs="Times New Roman"/>
          <w:spacing w:val="-4"/>
          <w:sz w:val="24"/>
          <w:szCs w:val="24"/>
        </w:rPr>
        <w:t>情此景，桓公连发两问：“今欲调高下，分并财，散积聚……散之有道，分之有数乎？”（《轻重甲》）“四郊之民贫，商贾之民富，寡人欲杀商贾之民以益四郊之民，为之奈何？”（《轻重丁》）管仲献轻重之术进行宏观调控、抽肥补瘦、调剂贫富之策。桓</w:t>
      </w:r>
      <w:r>
        <w:rPr>
          <w:rFonts w:hint="default" w:ascii="Times New Roman" w:hAnsi="Times New Roman" w:eastAsia="宋体" w:cs="Times New Roman"/>
          <w:spacing w:val="-3"/>
          <w:sz w:val="24"/>
          <w:szCs w:val="24"/>
        </w:rPr>
        <w:t>公以管仲之策，利用国家权力和经济杠杆迫使诸侯、贵族</w:t>
      </w:r>
      <w:r>
        <w:rPr>
          <w:rFonts w:hint="default" w:ascii="Times New Roman" w:hAnsi="Times New Roman" w:eastAsia="宋体" w:cs="Times New Roman"/>
          <w:spacing w:val="-4"/>
          <w:sz w:val="24"/>
          <w:szCs w:val="24"/>
        </w:rPr>
        <w:t>与富豪们将囤积过度的财富与窖藏货币转换为有效供</w:t>
      </w:r>
      <w:r>
        <w:rPr>
          <w:rFonts w:hint="default" w:ascii="Times New Roman" w:hAnsi="Times New Roman" w:eastAsia="宋体" w:cs="Times New Roman"/>
          <w:spacing w:val="-6"/>
          <w:sz w:val="24"/>
          <w:szCs w:val="24"/>
        </w:rPr>
        <w:t>给。结果，“行令未能一岁，而郊之民殷然益富</w:t>
      </w:r>
      <w:r>
        <w:rPr>
          <w:rFonts w:hint="default" w:ascii="Times New Roman" w:hAnsi="Times New Roman" w:eastAsia="宋体" w:cs="Times New Roman"/>
          <w:spacing w:val="-7"/>
          <w:sz w:val="24"/>
          <w:szCs w:val="24"/>
        </w:rPr>
        <w:t>，商贸之民廓然益贫”，“功臣之家皆争发其积藏，出其资财，</w:t>
      </w:r>
      <w:r>
        <w:rPr>
          <w:rFonts w:hint="default" w:ascii="Times New Roman" w:hAnsi="Times New Roman" w:eastAsia="宋体" w:cs="Times New Roman"/>
          <w:spacing w:val="-4"/>
          <w:sz w:val="24"/>
          <w:szCs w:val="24"/>
        </w:rPr>
        <w:t>以予其远近兄弟……骨肉相亲，国无饥民”（《轻重丁》）。</w:t>
      </w:r>
    </w:p>
    <w:p w14:paraId="0E97847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开普利万民先河的管仲，创造性地推行了许多利民举措。譬如，国家组织放贷为陷入困顿的百姓送上及时雨。管仲之时，民间高利贷富豪乘人之危高息放贷，大贾蓄家“豪夺吾民”，许多家庭不堪重负。于是，管仲推行由国家统一进行低息放贷的政策，既帮助百姓渡过难关，国家也在组织借贷中获得部分收入，“春赋以敛缯帛，夏贷以收秋实，是故民无废事而国无失利”（《国蓄》）。可见，管仲经济学蕴含着鲜明的人文关怀，时刻注重百姓均平，即使在《度地》这篇专述治水问题的文论中，管仲仍念念不忘让贫者守护堤防，以增加其</w:t>
      </w:r>
      <w:r>
        <w:rPr>
          <w:rFonts w:hint="default" w:ascii="Times New Roman" w:hAnsi="Times New Roman" w:eastAsia="宋体" w:cs="Times New Roman"/>
          <w:spacing w:val="-12"/>
          <w:sz w:val="24"/>
          <w:szCs w:val="24"/>
        </w:rPr>
        <w:t>收入。</w:t>
      </w:r>
    </w:p>
    <w:p w14:paraId="7EB7692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为了普利万民，管仲反对重税于民，以“薄税敛、轻刑罚”为“国之大礼”（《中匡》）。管仲认为：“国</w:t>
      </w:r>
      <w:r>
        <w:rPr>
          <w:rFonts w:hint="default" w:ascii="Times New Roman" w:hAnsi="Times New Roman" w:eastAsia="宋体" w:cs="Times New Roman"/>
          <w:spacing w:val="-6"/>
          <w:sz w:val="24"/>
          <w:szCs w:val="24"/>
        </w:rPr>
        <w:t>之所以富贫者五，轻税租，薄赋敛。”（《立</w:t>
      </w:r>
      <w:r>
        <w:rPr>
          <w:rFonts w:hint="default" w:ascii="Times New Roman" w:hAnsi="Times New Roman" w:eastAsia="宋体" w:cs="Times New Roman"/>
          <w:spacing w:val="-7"/>
          <w:sz w:val="24"/>
          <w:szCs w:val="24"/>
        </w:rPr>
        <w:t>政》）为此，管仲奉劝国君道：“地之生财有时，民之用力有倦，</w:t>
      </w:r>
      <w:r>
        <w:rPr>
          <w:rFonts w:hint="default" w:ascii="Times New Roman" w:hAnsi="Times New Roman" w:eastAsia="宋体" w:cs="Times New Roman"/>
          <w:spacing w:val="-4"/>
          <w:sz w:val="24"/>
          <w:szCs w:val="24"/>
        </w:rPr>
        <w:t>而人君之欲无穷。以有时与有倦，养无穷之君，而度量不生于其间，则上下相疾也。”（《权修》）在这样的</w:t>
      </w:r>
      <w:r>
        <w:rPr>
          <w:rFonts w:hint="default" w:ascii="Times New Roman" w:hAnsi="Times New Roman" w:eastAsia="宋体" w:cs="Times New Roman"/>
          <w:spacing w:val="-3"/>
          <w:sz w:val="24"/>
          <w:szCs w:val="24"/>
        </w:rPr>
        <w:t>普惠政策下，齐国的税负在列国中是最低的。史载：“二岁而税一，上年什取三，</w:t>
      </w:r>
      <w:r>
        <w:rPr>
          <w:rFonts w:hint="default" w:ascii="Times New Roman" w:hAnsi="Times New Roman" w:eastAsia="宋体" w:cs="Times New Roman"/>
          <w:spacing w:val="-4"/>
          <w:sz w:val="24"/>
          <w:szCs w:val="24"/>
        </w:rPr>
        <w:t>中年什取二，下年什取一，</w:t>
      </w:r>
      <w:r>
        <w:rPr>
          <w:rFonts w:hint="default" w:ascii="Times New Roman" w:hAnsi="Times New Roman" w:eastAsia="宋体" w:cs="Times New Roman"/>
          <w:spacing w:val="-6"/>
          <w:sz w:val="24"/>
          <w:szCs w:val="24"/>
        </w:rPr>
        <w:t>岁饥不税。”（《大匡》）两年征税一次，根据收成</w:t>
      </w:r>
      <w:r>
        <w:rPr>
          <w:rFonts w:hint="default" w:ascii="Times New Roman" w:hAnsi="Times New Roman" w:eastAsia="宋体" w:cs="Times New Roman"/>
          <w:spacing w:val="-7"/>
          <w:sz w:val="24"/>
          <w:szCs w:val="24"/>
        </w:rPr>
        <w:t>年景实行浮动税率，饥荒年不收税。综合测算上年、中年、下年的平均值，每年仅仅收l／10的税。管仲还利用九合一匡之机，将与天下人同利的经世</w:t>
      </w:r>
      <w:r>
        <w:rPr>
          <w:rFonts w:hint="default" w:ascii="Times New Roman" w:hAnsi="Times New Roman" w:eastAsia="宋体" w:cs="Times New Roman"/>
          <w:spacing w:val="-8"/>
          <w:sz w:val="24"/>
          <w:szCs w:val="24"/>
        </w:rPr>
        <w:t>济民之学推而广之，</w:t>
      </w:r>
      <w:r>
        <w:rPr>
          <w:rFonts w:hint="default" w:ascii="Times New Roman" w:hAnsi="Times New Roman" w:eastAsia="宋体" w:cs="Times New Roman"/>
          <w:spacing w:val="-4"/>
          <w:sz w:val="24"/>
          <w:szCs w:val="24"/>
        </w:rPr>
        <w:t>在辅佐齐桓公会盟诸侯时约定：“一会诸侯令曰：非玄帝之命，毋有一日之师役。再会诸侯令曰：养孤老、食常疾、收孤寡。三会诸侯令曰：田租百取五，市赋百取二，关赋百取</w:t>
      </w:r>
      <w:r>
        <w:rPr>
          <w:rFonts w:hint="default" w:ascii="Times New Roman" w:hAnsi="Times New Roman" w:eastAsia="宋体" w:cs="Times New Roman"/>
          <w:spacing w:val="-5"/>
          <w:sz w:val="24"/>
          <w:szCs w:val="24"/>
        </w:rPr>
        <w:t>一，毋乏耕织之器。”（《幼官图》）</w:t>
      </w:r>
    </w:p>
    <w:p w14:paraId="580FB94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强调普利万民的管仲经济学固然有驭民之术的消极成分，但其损有余而补不足的经世济民之策</w:t>
      </w:r>
      <w:r>
        <w:rPr>
          <w:rFonts w:hint="default" w:ascii="Times New Roman" w:hAnsi="Times New Roman" w:eastAsia="宋体" w:cs="Times New Roman"/>
          <w:spacing w:val="-5"/>
          <w:sz w:val="24"/>
          <w:szCs w:val="24"/>
        </w:rPr>
        <w:t>，却在客观</w:t>
      </w:r>
      <w:r>
        <w:rPr>
          <w:rFonts w:hint="default" w:ascii="Times New Roman" w:hAnsi="Times New Roman" w:eastAsia="宋体" w:cs="Times New Roman"/>
          <w:spacing w:val="-4"/>
          <w:sz w:val="24"/>
          <w:szCs w:val="24"/>
        </w:rPr>
        <w:t>上缩小了贫富差距，有效地改善了民生，实现了社会治理的动态平衡。</w:t>
      </w:r>
    </w:p>
    <w:p w14:paraId="51AEE0E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default" w:ascii="Times New Roman" w:hAnsi="Times New Roman" w:eastAsia="宋体" w:cs="Times New Roman"/>
          <w:sz w:val="24"/>
          <w:szCs w:val="24"/>
        </w:rPr>
      </w:pPr>
    </w:p>
    <w:p w14:paraId="359AD94C">
      <w:pPr>
        <w:pStyle w:val="4"/>
        <w:numPr>
          <w:ilvl w:val="0"/>
          <w:numId w:val="13"/>
        </w:numPr>
        <w:bidi w:val="0"/>
        <w:rPr>
          <w:rFonts w:hint="default"/>
        </w:rPr>
      </w:pPr>
      <w:r>
        <w:rPr>
          <w:rFonts w:hint="default"/>
        </w:rPr>
        <w:t>以农为本、本末并举的产业战略</w:t>
      </w:r>
    </w:p>
    <w:p w14:paraId="75AF335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2"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rPr>
        <w:t>农业是本，工商业是末，正确处理本与末的关系，一直是经世济民者必须面对的重大问题</w:t>
      </w:r>
      <w:r>
        <w:rPr>
          <w:rFonts w:hint="default" w:ascii="Times New Roman" w:hAnsi="Times New Roman" w:eastAsia="宋体" w:cs="Times New Roman"/>
          <w:spacing w:val="-8"/>
          <w:sz w:val="24"/>
          <w:szCs w:val="24"/>
        </w:rPr>
        <w:t>。重农而不轻商，</w:t>
      </w:r>
      <w:r>
        <w:rPr>
          <w:rFonts w:hint="default" w:ascii="Times New Roman" w:hAnsi="Times New Roman" w:eastAsia="宋体" w:cs="Times New Roman"/>
          <w:spacing w:val="-4"/>
          <w:sz w:val="24"/>
          <w:szCs w:val="24"/>
        </w:rPr>
        <w:t>本末并举，把“士农工商四民者”，皆视为“国之石民”（《小匡》）——国家的柱石，是管仲经济学的一大特色。</w:t>
      </w:r>
    </w:p>
    <w:p w14:paraId="1E17135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管仲经世济民之学的终极旨归是民富国强，而要实现这样的目标，必须首先夯实农业之本。管</w:t>
      </w:r>
      <w:r>
        <w:rPr>
          <w:rFonts w:hint="default" w:ascii="Times New Roman" w:hAnsi="Times New Roman" w:eastAsia="宋体" w:cs="Times New Roman"/>
          <w:spacing w:val="-5"/>
          <w:sz w:val="24"/>
          <w:szCs w:val="24"/>
        </w:rPr>
        <w:t>仲把农业提</w:t>
      </w:r>
      <w:r>
        <w:rPr>
          <w:rFonts w:hint="default" w:ascii="Times New Roman" w:hAnsi="Times New Roman" w:eastAsia="宋体" w:cs="Times New Roman"/>
          <w:spacing w:val="-4"/>
          <w:sz w:val="24"/>
          <w:szCs w:val="24"/>
        </w:rPr>
        <w:t>升到关乎国家兴衰存亡的战略高度加以强调，施行以农业为根本的国家发展战略，警告为政者，如果不注重农业，国家必有倾覆之危。管仲认识到：“凡为国之急者，必先禁末作文巧，末作文巧禁则民无所游食，民无所游食则必农。民事农则田垦，田垦则粟多，粟多则国富，国富者兵强，兵强者战胜，战胜者地广。是以先民知众民、强兵、广地、富国之必生于粟也。”（《治国》）这段话极言农业生产无</w:t>
      </w:r>
      <w:r>
        <w:rPr>
          <w:rFonts w:hint="default" w:ascii="Times New Roman" w:hAnsi="Times New Roman" w:eastAsia="宋体" w:cs="Times New Roman"/>
          <w:spacing w:val="-5"/>
          <w:sz w:val="24"/>
          <w:szCs w:val="24"/>
        </w:rPr>
        <w:t>可替代的重要性。毕竟“一夫</w:t>
      </w:r>
      <w:r>
        <w:rPr>
          <w:rFonts w:hint="default" w:ascii="Times New Roman" w:hAnsi="Times New Roman" w:eastAsia="宋体" w:cs="Times New Roman"/>
          <w:spacing w:val="-4"/>
          <w:sz w:val="24"/>
          <w:szCs w:val="24"/>
        </w:rPr>
        <w:t>不耕，或受之饥；一女不织，或受之寒”。“地者，政之本也”（《乘马》）。然而，与盈利丰厚的工商业相比，农业利润较低，如果放任商业暴利，必然动摇国本。管仲要求，当以“利农</w:t>
      </w:r>
      <w:r>
        <w:rPr>
          <w:rFonts w:hint="default" w:ascii="Times New Roman" w:hAnsi="Times New Roman" w:eastAsia="宋体" w:cs="Times New Roman"/>
          <w:spacing w:val="-5"/>
          <w:sz w:val="24"/>
          <w:szCs w:val="24"/>
        </w:rPr>
        <w:t>事”作为兴利标准、以“禁害</w:t>
      </w:r>
      <w:r>
        <w:rPr>
          <w:rFonts w:hint="default" w:ascii="Times New Roman" w:hAnsi="Times New Roman" w:eastAsia="宋体" w:cs="Times New Roman"/>
          <w:spacing w:val="-4"/>
          <w:sz w:val="24"/>
          <w:szCs w:val="24"/>
        </w:rPr>
        <w:t>农事”作为除害尺度的“善为民除害兴利”的先王为楷模，采取切实有力的政策</w:t>
      </w:r>
      <w:r>
        <w:rPr>
          <w:rFonts w:hint="default" w:ascii="Times New Roman" w:hAnsi="Times New Roman" w:eastAsia="宋体" w:cs="Times New Roman"/>
          <w:spacing w:val="-5"/>
          <w:sz w:val="24"/>
          <w:szCs w:val="24"/>
        </w:rPr>
        <w:t>措施，进行必要的宏观调控，</w:t>
      </w:r>
      <w:r>
        <w:rPr>
          <w:rFonts w:hint="default" w:ascii="Times New Roman" w:hAnsi="Times New Roman" w:eastAsia="宋体" w:cs="Times New Roman"/>
          <w:spacing w:val="-4"/>
          <w:sz w:val="24"/>
          <w:szCs w:val="24"/>
        </w:rPr>
        <w:t>使农、士、工、商四种不同行业的收入大致相当，确保农民按平均利润率获得相对公平合理的收入，引导农民</w:t>
      </w:r>
    </w:p>
    <w:p w14:paraId="2BA5090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安心生产，增产粮食。管仲曰：“今为末作奇巧者，一日作而五日食；农夫终岁之作，不足以自食也。然则民</w:t>
      </w:r>
      <w:r>
        <w:rPr>
          <w:rFonts w:hint="default" w:ascii="Times New Roman" w:hAnsi="Times New Roman" w:eastAsia="宋体" w:cs="Times New Roman"/>
          <w:spacing w:val="-3"/>
          <w:sz w:val="24"/>
          <w:szCs w:val="24"/>
        </w:rPr>
        <w:t>舍本事而事末作，则田荒而国贫矣。”（《治国》）为了</w:t>
      </w:r>
      <w:r>
        <w:rPr>
          <w:rFonts w:hint="default" w:ascii="Times New Roman" w:hAnsi="Times New Roman" w:eastAsia="宋体" w:cs="Times New Roman"/>
          <w:spacing w:val="-4"/>
          <w:sz w:val="24"/>
          <w:szCs w:val="24"/>
        </w:rPr>
        <w:t>言明农业之重，管仲从正反两方面加以阐述，“农事</w:t>
      </w:r>
      <w:r>
        <w:rPr>
          <w:rFonts w:hint="default" w:ascii="Times New Roman" w:hAnsi="Times New Roman" w:eastAsia="宋体" w:cs="Times New Roman"/>
          <w:spacing w:val="-3"/>
          <w:sz w:val="24"/>
          <w:szCs w:val="24"/>
        </w:rPr>
        <w:t>胜则入粟多，入粟多则国富，国富则安乡重家”；反之，</w:t>
      </w:r>
      <w:r>
        <w:rPr>
          <w:rFonts w:hint="default" w:ascii="Times New Roman" w:hAnsi="Times New Roman" w:eastAsia="宋体" w:cs="Times New Roman"/>
          <w:spacing w:val="-4"/>
          <w:sz w:val="24"/>
          <w:szCs w:val="24"/>
        </w:rPr>
        <w:t>“上不利农则粟少，粟少则人贫，人贫则轻家，轻家</w:t>
      </w:r>
      <w:r>
        <w:rPr>
          <w:rFonts w:hint="default" w:ascii="Times New Roman" w:hAnsi="Times New Roman" w:eastAsia="宋体" w:cs="Times New Roman"/>
          <w:spacing w:val="-14"/>
          <w:sz w:val="24"/>
          <w:szCs w:val="24"/>
        </w:rPr>
        <w:t>则易去，易去则上令不能必行，上令不能必行则禁不能必止，禁不能必止则战不必胜、守不</w:t>
      </w:r>
      <w:r>
        <w:rPr>
          <w:rFonts w:hint="default" w:ascii="Times New Roman" w:hAnsi="Times New Roman" w:eastAsia="宋体" w:cs="Times New Roman"/>
          <w:spacing w:val="-15"/>
          <w:sz w:val="24"/>
          <w:szCs w:val="24"/>
        </w:rPr>
        <w:t>必固矣”（《治国》）。</w:t>
      </w:r>
      <w:r>
        <w:rPr>
          <w:rFonts w:hint="default" w:ascii="Times New Roman" w:hAnsi="Times New Roman" w:eastAsia="宋体" w:cs="Times New Roman"/>
          <w:spacing w:val="-4"/>
          <w:sz w:val="24"/>
          <w:szCs w:val="24"/>
        </w:rPr>
        <w:t>轻视农业，天下之大害也，故善为国者，须强本事，实基础。为此，管仲鼓励百姓务农耕，育六畜，从事“民</w:t>
      </w:r>
      <w:r>
        <w:rPr>
          <w:rFonts w:hint="default" w:ascii="Times New Roman" w:hAnsi="Times New Roman" w:eastAsia="宋体" w:cs="Times New Roman"/>
          <w:spacing w:val="-3"/>
          <w:sz w:val="24"/>
          <w:szCs w:val="24"/>
        </w:rPr>
        <w:t>之经产”。种五谷，植桑麻，育六畜等，是国家富足、江</w:t>
      </w:r>
      <w:r>
        <w:rPr>
          <w:rFonts w:hint="default" w:ascii="Times New Roman" w:hAnsi="Times New Roman" w:eastAsia="宋体" w:cs="Times New Roman"/>
          <w:spacing w:val="-4"/>
          <w:sz w:val="24"/>
          <w:szCs w:val="24"/>
        </w:rPr>
        <w:t>山永固的根基。管仲将系国家存亡于一身的农业视为</w:t>
      </w:r>
      <w:r>
        <w:rPr>
          <w:rFonts w:hint="default" w:ascii="Times New Roman" w:hAnsi="Times New Roman" w:eastAsia="宋体" w:cs="Times New Roman"/>
          <w:spacing w:val="-3"/>
          <w:sz w:val="24"/>
          <w:szCs w:val="24"/>
        </w:rPr>
        <w:t>“本事”，“明王之务，在于强本事去无用，然后民可使富”（《五</w:t>
      </w:r>
      <w:r>
        <w:rPr>
          <w:rFonts w:hint="default" w:ascii="Times New Roman" w:hAnsi="Times New Roman" w:eastAsia="宋体" w:cs="Times New Roman"/>
          <w:spacing w:val="-4"/>
          <w:sz w:val="24"/>
          <w:szCs w:val="24"/>
        </w:rPr>
        <w:t>辅》）。如果舍本逐末，“上不好本事，</w:t>
      </w:r>
      <w:r>
        <w:rPr>
          <w:rFonts w:hint="default" w:ascii="Times New Roman" w:hAnsi="Times New Roman" w:eastAsia="宋体" w:cs="Times New Roman"/>
          <w:spacing w:val="-6"/>
          <w:sz w:val="24"/>
          <w:szCs w:val="24"/>
        </w:rPr>
        <w:t>则末产不禁；末产不禁，则民缓于时事而轻地利；轻地利而求田野之辟，仓廪之实，不</w:t>
      </w:r>
      <w:r>
        <w:rPr>
          <w:rFonts w:hint="default" w:ascii="Times New Roman" w:hAnsi="Times New Roman" w:eastAsia="宋体" w:cs="Times New Roman"/>
          <w:spacing w:val="-7"/>
          <w:sz w:val="24"/>
          <w:szCs w:val="24"/>
        </w:rPr>
        <w:t>可得也”（《权修》）。</w:t>
      </w:r>
    </w:p>
    <w:p w14:paraId="483BB0C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通过考察国家兴衰史，管仲特别强调粮食安全的战略意义，认为粮食安全是国家安全的基础，只有尽力从事粮食生产的国家才能够“王”天下，粟多则国必治，粟少则国必乱。管仲从治</w:t>
      </w:r>
      <w:r>
        <w:rPr>
          <w:rFonts w:hint="default" w:ascii="Times New Roman" w:hAnsi="Times New Roman" w:eastAsia="宋体" w:cs="Times New Roman"/>
          <w:spacing w:val="-5"/>
          <w:sz w:val="24"/>
          <w:szCs w:val="24"/>
        </w:rPr>
        <w:t>乱历史中得出结论：“不生粟</w:t>
      </w:r>
      <w:r>
        <w:rPr>
          <w:rFonts w:hint="default" w:ascii="Times New Roman" w:hAnsi="Times New Roman" w:eastAsia="宋体" w:cs="Times New Roman"/>
          <w:spacing w:val="-4"/>
          <w:sz w:val="24"/>
          <w:szCs w:val="24"/>
        </w:rPr>
        <w:t>之国亡，粟生而死者霸，粟生而不死者王。……粟者，王之本事也。”（《治国</w:t>
      </w:r>
      <w:r>
        <w:rPr>
          <w:rFonts w:hint="default" w:ascii="Times New Roman" w:hAnsi="Times New Roman" w:eastAsia="宋体" w:cs="Times New Roman"/>
          <w:spacing w:val="-5"/>
          <w:sz w:val="24"/>
          <w:szCs w:val="24"/>
        </w:rPr>
        <w:t>》）如上述，管仲首创的常平</w:t>
      </w:r>
      <w:r>
        <w:rPr>
          <w:rFonts w:hint="default" w:ascii="Times New Roman" w:hAnsi="Times New Roman" w:eastAsia="宋体" w:cs="Times New Roman"/>
          <w:spacing w:val="-7"/>
          <w:sz w:val="24"/>
          <w:szCs w:val="24"/>
        </w:rPr>
        <w:t>仓建制，在确保粮食安全方面发挥了重要作用，无疑是储粮备荒的制度性建构。鉴于时令有春秋，年景有丰歉，</w:t>
      </w:r>
      <w:r>
        <w:rPr>
          <w:rFonts w:hint="default" w:ascii="Times New Roman" w:hAnsi="Times New Roman" w:eastAsia="宋体" w:cs="Times New Roman"/>
          <w:spacing w:val="-4"/>
          <w:sz w:val="24"/>
          <w:szCs w:val="24"/>
        </w:rPr>
        <w:t>谷物有贵贱，管仲还独辟蹊径，创造了国家对谷物价格进行适当调节的普</w:t>
      </w:r>
      <w:r>
        <w:rPr>
          <w:rFonts w:hint="default" w:ascii="Times New Roman" w:hAnsi="Times New Roman" w:eastAsia="宋体" w:cs="Times New Roman"/>
          <w:spacing w:val="-5"/>
          <w:sz w:val="24"/>
          <w:szCs w:val="24"/>
        </w:rPr>
        <w:t>惠性农业信贷机制——包括“以币准</w:t>
      </w:r>
      <w:r>
        <w:rPr>
          <w:rFonts w:hint="default" w:ascii="Times New Roman" w:hAnsi="Times New Roman" w:eastAsia="宋体" w:cs="Times New Roman"/>
          <w:spacing w:val="-7"/>
          <w:sz w:val="24"/>
          <w:szCs w:val="24"/>
        </w:rPr>
        <w:t>谷”的贷款方式和“以谷准币”的还款方式。这一惠农政策收效明</w:t>
      </w:r>
      <w:r>
        <w:rPr>
          <w:rFonts w:hint="default" w:ascii="Times New Roman" w:hAnsi="Times New Roman" w:eastAsia="宋体" w:cs="Times New Roman"/>
          <w:spacing w:val="-8"/>
          <w:sz w:val="24"/>
          <w:szCs w:val="24"/>
        </w:rPr>
        <w:t>显：青黄不接时，农民得到政府的及时接济，</w:t>
      </w:r>
      <w:r>
        <w:rPr>
          <w:rFonts w:hint="default" w:ascii="Times New Roman" w:hAnsi="Times New Roman" w:eastAsia="宋体" w:cs="Times New Roman"/>
          <w:spacing w:val="-4"/>
          <w:sz w:val="24"/>
          <w:szCs w:val="24"/>
        </w:rPr>
        <w:t>农事得以进行；政府控制粮食货源后，粮价稳定，农民获得实惠；来回折算过程中，政府不加价不加息，仅赚取季节性差价。普惠信贷机制，尽显“利天下之人”的底层逻辑和经世济民的经济学微言大义。</w:t>
      </w:r>
    </w:p>
    <w:p w14:paraId="03B6788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8"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“善因天时，辨于地利”（《轻重乙》</w:t>
      </w:r>
      <w:r>
        <w:rPr>
          <w:rFonts w:hint="default" w:ascii="Times New Roman" w:hAnsi="Times New Roman" w:eastAsia="宋体" w:cs="Times New Roman"/>
          <w:spacing w:val="-7"/>
          <w:sz w:val="24"/>
          <w:szCs w:val="24"/>
        </w:rPr>
        <w:t>），</w:t>
      </w:r>
      <w:r>
        <w:rPr>
          <w:rFonts w:hint="default" w:ascii="Times New Roman" w:hAnsi="Times New Roman" w:eastAsia="宋体" w:cs="Times New Roman"/>
          <w:spacing w:val="-3"/>
          <w:sz w:val="24"/>
          <w:szCs w:val="24"/>
        </w:rPr>
        <w:t>因地制宜</w:t>
      </w:r>
      <w:r>
        <w:rPr>
          <w:rFonts w:hint="default" w:ascii="Times New Roman" w:hAnsi="Times New Roman" w:eastAsia="宋体" w:cs="Times New Roman"/>
          <w:spacing w:val="-4"/>
          <w:sz w:val="24"/>
          <w:szCs w:val="24"/>
        </w:rPr>
        <w:t>，才能做好“本事”。相地形，辨地利，是管仲经世济民之学发展农林牧业生产的一项基本原则。顺应自然规律，因地制宜植树、种谷、放牧、渔猎，是先民在长期劳动实践中总结出来的经验。管仲曰：“桑麻植于野，五谷宜其地，国之富也。”（《立政》）根据土质、地理位置、气候条件种植适宜的作物，事半功倍。</w:t>
      </w:r>
    </w:p>
    <w:p w14:paraId="3DB8F11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管仲在重视“本事”的同时，也十分重视工商业发展，把“工”作为“正天下”的必要条件：“财不盖天下，不能正天下；财盖天下，而工不盖天下，不能正天下；工盖天下，而</w:t>
      </w:r>
      <w:r>
        <w:rPr>
          <w:rFonts w:hint="default" w:ascii="Times New Roman" w:hAnsi="Times New Roman" w:eastAsia="宋体" w:cs="Times New Roman"/>
          <w:spacing w:val="-5"/>
          <w:sz w:val="24"/>
          <w:szCs w:val="24"/>
        </w:rPr>
        <w:t>器不盖天下，不能正天下。”（《七</w:t>
      </w:r>
      <w:r>
        <w:rPr>
          <w:rFonts w:hint="default" w:ascii="Times New Roman" w:hAnsi="Times New Roman" w:eastAsia="宋体" w:cs="Times New Roman"/>
          <w:spacing w:val="-6"/>
          <w:sz w:val="24"/>
          <w:szCs w:val="24"/>
        </w:rPr>
        <w:t>法》）与几千年来重农抑商的主流观点不同，管仲在重视农业的同时也重视商业，被誉为</w:t>
      </w:r>
      <w:r>
        <w:rPr>
          <w:rFonts w:hint="default" w:ascii="Times New Roman" w:hAnsi="Times New Roman" w:eastAsia="宋体" w:cs="Times New Roman"/>
          <w:spacing w:val="-7"/>
          <w:sz w:val="24"/>
          <w:szCs w:val="24"/>
        </w:rPr>
        <w:t>史上重商主义第一人。</w:t>
      </w:r>
      <w:r>
        <w:rPr>
          <w:rFonts w:hint="default" w:ascii="Times New Roman" w:hAnsi="Times New Roman" w:eastAsia="宋体" w:cs="Times New Roman"/>
          <w:spacing w:val="-6"/>
          <w:sz w:val="24"/>
          <w:szCs w:val="24"/>
        </w:rPr>
        <w:t>管仲认为，流通能够生利富民，极大地赋能农业生产。管仲曰：“市者，天地之财具也，</w:t>
      </w:r>
      <w:r>
        <w:rPr>
          <w:rFonts w:hint="default" w:ascii="Times New Roman" w:hAnsi="Times New Roman" w:eastAsia="宋体" w:cs="Times New Roman"/>
          <w:spacing w:val="-7"/>
          <w:sz w:val="24"/>
          <w:szCs w:val="24"/>
        </w:rPr>
        <w:t>而万人之所和而利也，</w:t>
      </w:r>
      <w:r>
        <w:rPr>
          <w:rFonts w:hint="default" w:ascii="Times New Roman" w:hAnsi="Times New Roman" w:eastAsia="宋体" w:cs="Times New Roman"/>
          <w:spacing w:val="-4"/>
          <w:sz w:val="24"/>
          <w:szCs w:val="24"/>
        </w:rPr>
        <w:t>正是道也。”（《问》）在管仲看来，利不通不足以为国：“利然后能通，通然后成国。”（《侈靡》）商业流通能够对本事起到劝勉、引导作用，即引导、刺激农业发展，促进百业繁荣。管仲对致力于“万物通”的商</w:t>
      </w:r>
      <w:r>
        <w:rPr>
          <w:rFonts w:hint="default" w:ascii="Times New Roman" w:hAnsi="Times New Roman" w:eastAsia="宋体" w:cs="Times New Roman"/>
          <w:spacing w:val="-10"/>
          <w:sz w:val="24"/>
          <w:szCs w:val="24"/>
        </w:rPr>
        <w:t>人公正地评价道：“若此则万物通，万物通则万物运，万物运则万物贱，万物贱则</w:t>
      </w:r>
      <w:r>
        <w:rPr>
          <w:rFonts w:hint="default" w:ascii="Times New Roman" w:hAnsi="Times New Roman" w:eastAsia="宋体" w:cs="Times New Roman"/>
          <w:spacing w:val="-11"/>
          <w:sz w:val="24"/>
          <w:szCs w:val="24"/>
        </w:rPr>
        <w:t>万物可因矣。”（《轻重甲》）</w:t>
      </w:r>
      <w:r>
        <w:rPr>
          <w:rFonts w:hint="default" w:ascii="Times New Roman" w:hAnsi="Times New Roman" w:eastAsia="宋体" w:cs="Times New Roman"/>
          <w:spacing w:val="-4"/>
          <w:sz w:val="24"/>
          <w:szCs w:val="24"/>
        </w:rPr>
        <w:t>农耕文明极为发达的中国，自古以来就重农轻商，但管仲经济学却别开生面，既重农又重商，重本但不轻末、抑末。两千多年来，国人言商必言管仲，敬奉管仲为商界祖师爷。汉代盐铁会议上，桑弘羊借用管仲经济学的本末并举学说，说明单纯强调一种产业会阻碍社会经济发展，发展本业和末业不仅是立国之基，而且也是</w:t>
      </w:r>
      <w:r>
        <w:rPr>
          <w:rFonts w:hint="default" w:ascii="Times New Roman" w:hAnsi="Times New Roman" w:eastAsia="宋体" w:cs="Times New Roman"/>
          <w:spacing w:val="-6"/>
          <w:sz w:val="24"/>
          <w:szCs w:val="24"/>
        </w:rPr>
        <w:t>百姓生活日用之所需。据此，桑弘羊提出“富国非一道”说。</w:t>
      </w:r>
    </w:p>
    <w:p w14:paraId="470E5BC0">
      <w:pPr>
        <w:pStyle w:val="4"/>
        <w:numPr>
          <w:ilvl w:val="0"/>
          <w:numId w:val="13"/>
        </w:numPr>
        <w:bidi w:val="0"/>
        <w:rPr>
          <w:rFonts w:hint="default"/>
        </w:rPr>
      </w:pPr>
      <w:r>
        <w:rPr>
          <w:rFonts w:hint="default"/>
        </w:rPr>
        <w:t>“唯官山海”、集天下权的计划策论</w:t>
      </w:r>
    </w:p>
    <w:p w14:paraId="31FDE35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管仲的经世济民之学，内涵“利出于一孔”的制衡之道和计划策论。只有“利出于一孔”，国</w:t>
      </w:r>
      <w:r>
        <w:rPr>
          <w:rFonts w:hint="default" w:ascii="Times New Roman" w:hAnsi="Times New Roman" w:eastAsia="宋体" w:cs="Times New Roman"/>
          <w:spacing w:val="-5"/>
          <w:sz w:val="24"/>
          <w:szCs w:val="24"/>
        </w:rPr>
        <w:t>家成为经济</w:t>
      </w:r>
      <w:r>
        <w:rPr>
          <w:rFonts w:hint="default" w:ascii="Times New Roman" w:hAnsi="Times New Roman" w:eastAsia="宋体" w:cs="Times New Roman"/>
          <w:spacing w:val="-4"/>
          <w:sz w:val="24"/>
          <w:szCs w:val="24"/>
        </w:rPr>
        <w:t>命脉的实际掌控者和最大受益者，牢牢掌控财政大权，才能实践民富国强的治国之道。管仲曰：“利出于一孔者，其国无敌；出二孔者，其兵不诎；出三孔者，不可以举兵；出四孔者，其国必亡。”（《国蓄》）管仲特</w:t>
      </w:r>
      <w:r>
        <w:rPr>
          <w:rFonts w:hint="default" w:ascii="Times New Roman" w:hAnsi="Times New Roman" w:eastAsia="宋体" w:cs="Times New Roman"/>
          <w:spacing w:val="-8"/>
          <w:sz w:val="24"/>
          <w:szCs w:val="24"/>
        </w:rPr>
        <w:t>别强调，只能由国家而绝不允许某个人、某个集团掌控经济命脉，进而利用掌控的经济命脉绑架国家。唯有“利</w:t>
      </w:r>
      <w:r>
        <w:rPr>
          <w:rFonts w:hint="default" w:ascii="Times New Roman" w:hAnsi="Times New Roman" w:eastAsia="宋体" w:cs="Times New Roman"/>
          <w:spacing w:val="-4"/>
          <w:sz w:val="24"/>
          <w:szCs w:val="24"/>
        </w:rPr>
        <w:t>出于一孔”的国家，才能保证不被任何利益集团所左右，按计划实现民富国强的宏伟目标。利“出二孔”“出三孔”“出四孔”，意味着国家之外另有一股或多股强大势力，与国家共同瓜分利益所得。这种情况下，国家极易被利益集团主宰，甚至出现“一国而二君二王”的政出多头、尾大不掉的局面。故此，“为人君而不能谨守其山林、菹泽、草莱，不可以立为天下王”（《轻重甲》）。国家财权集中于中央，利用财政杠杆来调节经</w:t>
      </w:r>
      <w:r>
        <w:rPr>
          <w:rFonts w:hint="default" w:ascii="Times New Roman" w:hAnsi="Times New Roman" w:eastAsia="宋体" w:cs="Times New Roman"/>
          <w:spacing w:val="-13"/>
          <w:sz w:val="24"/>
          <w:szCs w:val="24"/>
        </w:rPr>
        <w:t>济和增加国家收入，方可确保政令统一，同时依凭强大经济实力在诸侯国竞争间“轻其币而重其礼”（《小匡》</w:t>
      </w:r>
      <w:r>
        <w:rPr>
          <w:rFonts w:hint="default" w:ascii="Times New Roman" w:hAnsi="Times New Roman" w:eastAsia="宋体" w:cs="Times New Roman"/>
          <w:spacing w:val="-53"/>
          <w:w w:val="97"/>
          <w:sz w:val="24"/>
          <w:szCs w:val="24"/>
        </w:rPr>
        <w:t>），</w:t>
      </w:r>
      <w:r>
        <w:rPr>
          <w:rFonts w:hint="default" w:ascii="Times New Roman" w:hAnsi="Times New Roman" w:eastAsia="宋体" w:cs="Times New Roman"/>
          <w:spacing w:val="-4"/>
          <w:sz w:val="24"/>
          <w:szCs w:val="24"/>
        </w:rPr>
        <w:t>纵横捭阖。综观管仲经济学内置的“利出于一孔”的计划策论，最重要的制度创新是“唯官山海”、集天下权的盐铁专卖。</w:t>
      </w:r>
    </w:p>
    <w:p w14:paraId="4B0BFD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春秋时期连年征战，苛捐杂税繁多。沉重的赋税加重了民众负担，增加了社会不安定因素，故而管仲反对</w:t>
      </w:r>
      <w:r>
        <w:rPr>
          <w:rFonts w:hint="default" w:ascii="Times New Roman" w:hAnsi="Times New Roman" w:eastAsia="宋体" w:cs="Times New Roman"/>
          <w:spacing w:val="-5"/>
          <w:sz w:val="24"/>
          <w:szCs w:val="24"/>
        </w:rPr>
        <w:t>向“房屋”“树木”“六畜”和人口抽税，而主张“唯官山海为可耳”。史载，桓公问于管仲曰：“吾欲藉于</w:t>
      </w:r>
      <w:r>
        <w:rPr>
          <w:rFonts w:hint="default" w:ascii="Times New Roman" w:hAnsi="Times New Roman" w:eastAsia="宋体" w:cs="Times New Roman"/>
          <w:spacing w:val="-8"/>
          <w:sz w:val="24"/>
          <w:szCs w:val="24"/>
        </w:rPr>
        <w:t>台雉，何如？”管子对曰：“此毁成也。”“吾欲藉于树木？”管子对曰：“此伐生也。”“吾欲藉于六畜？”</w:t>
      </w:r>
      <w:r>
        <w:rPr>
          <w:rFonts w:hint="default" w:ascii="Times New Roman" w:hAnsi="Times New Roman" w:eastAsia="宋体" w:cs="Times New Roman"/>
          <w:spacing w:val="-7"/>
          <w:sz w:val="24"/>
          <w:szCs w:val="24"/>
        </w:rPr>
        <w:t>管子对曰：“此杀生也。”“吾欲藉于人，何如？”管子对曰：“</w:t>
      </w:r>
      <w:r>
        <w:rPr>
          <w:rFonts w:hint="default" w:ascii="Times New Roman" w:hAnsi="Times New Roman" w:eastAsia="宋体" w:cs="Times New Roman"/>
          <w:spacing w:val="-8"/>
          <w:sz w:val="24"/>
          <w:szCs w:val="24"/>
        </w:rPr>
        <w:t>此隐情也。”桓公曰：“然则吾何以为国？”</w:t>
      </w:r>
      <w:r>
        <w:rPr>
          <w:rFonts w:hint="default" w:ascii="Times New Roman" w:hAnsi="Times New Roman" w:eastAsia="宋体" w:cs="Times New Roman"/>
          <w:spacing w:val="-7"/>
          <w:sz w:val="24"/>
          <w:szCs w:val="24"/>
        </w:rPr>
        <w:t>管子对曰：“唯官山海为可耳。”（《海王》）若开征房屋税，民众会拆毁房屋；征树木税，民众会砍伐树木；</w:t>
      </w:r>
      <w:r>
        <w:rPr>
          <w:rFonts w:hint="default" w:ascii="Times New Roman" w:hAnsi="Times New Roman" w:eastAsia="宋体" w:cs="Times New Roman"/>
          <w:spacing w:val="-4"/>
          <w:sz w:val="24"/>
          <w:szCs w:val="24"/>
        </w:rPr>
        <w:t>征牲畜税，民众会杀掉牲畜；征人头税，民众会减少生育、隐瞒人口。那么，用什么来治理国家呢？管仲的答案是：只有专营山海资源方为上策！“官山海”是专有名词，官同管，引申为专营、官营，实际上就是国家控制权；“山”指矿山资源；“海”指包括鱼、盐在内的海洋资源。“官山海”即政府管理山海所出的自然资源的政策。管仲的“官山海”政策，旨在对关乎国家经济命脉的支柱产业和重要自然资源进行严格控制，把原本</w:t>
      </w:r>
      <w:r>
        <w:rPr>
          <w:rFonts w:hint="default" w:ascii="Times New Roman" w:hAnsi="Times New Roman" w:eastAsia="宋体" w:cs="Times New Roman"/>
          <w:spacing w:val="-2"/>
          <w:sz w:val="24"/>
          <w:szCs w:val="24"/>
        </w:rPr>
        <w:t>无主的山海收归国有，“通轻重之权，徼山海之业”</w:t>
      </w:r>
      <w:r>
        <w:rPr>
          <w:rStyle w:val="20"/>
          <w:rFonts w:hint="default" w:ascii="Times New Roman" w:hAnsi="Times New Roman" w:eastAsia="宋体" w:cs="Times New Roman"/>
          <w:spacing w:val="-2"/>
          <w:sz w:val="24"/>
          <w:szCs w:val="24"/>
        </w:rPr>
        <w:footnoteReference w:id="654"/>
      </w:r>
      <w:r>
        <w:rPr>
          <w:rFonts w:hint="default" w:ascii="Times New Roman" w:hAnsi="Times New Roman" w:eastAsia="宋体" w:cs="Times New Roman"/>
          <w:spacing w:val="-2"/>
          <w:sz w:val="24"/>
          <w:szCs w:val="24"/>
        </w:rPr>
        <w:t>。山上有铁，海里有盐</w:t>
      </w:r>
      <w:r>
        <w:rPr>
          <w:rFonts w:hint="default" w:ascii="Times New Roman" w:hAnsi="Times New Roman" w:eastAsia="宋体" w:cs="Times New Roman"/>
          <w:spacing w:val="-3"/>
          <w:sz w:val="24"/>
          <w:szCs w:val="24"/>
        </w:rPr>
        <w:t>，在农耕时期，盐铁是民众必需</w:t>
      </w:r>
      <w:r>
        <w:rPr>
          <w:rFonts w:hint="default" w:ascii="Times New Roman" w:hAnsi="Times New Roman" w:eastAsia="宋体" w:cs="Times New Roman"/>
          <w:spacing w:val="-4"/>
          <w:sz w:val="24"/>
          <w:szCs w:val="24"/>
        </w:rPr>
        <w:t>且属于刚需的生活资料与生产资料，不可一日或缺，直接关系国计民生。齐国多山临海，盛产盐铁，于是，管仲开“官山海”政策先河，在历史上第一次将食盐和铁矿两项重要资源列为国家资产，纳入国家管控，以国营形式垄断经营，禁止民间私人交易，严厉处罚未经批准私自开采者：“苟山之见荣者，谨封而为禁。有动封山者，罪死而不赦。”（《地数》）盐铁专卖，可谓是中国经济史上最早的国有化政策，体现了管仲掌控国家财</w:t>
      </w:r>
      <w:r>
        <w:rPr>
          <w:rFonts w:hint="default" w:ascii="Times New Roman" w:hAnsi="Times New Roman" w:eastAsia="宋体" w:cs="Times New Roman"/>
          <w:spacing w:val="-9"/>
          <w:sz w:val="24"/>
          <w:szCs w:val="24"/>
        </w:rPr>
        <w:t>政的远见。</w:t>
      </w:r>
    </w:p>
    <w:p w14:paraId="6D85E16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按照“官山海”策论，政府开放盐池让民众自</w:t>
      </w:r>
      <w:r>
        <w:rPr>
          <w:rFonts w:hint="default" w:ascii="Times New Roman" w:hAnsi="Times New Roman" w:eastAsia="宋体" w:cs="Times New Roman"/>
          <w:spacing w:val="-5"/>
          <w:sz w:val="24"/>
          <w:szCs w:val="24"/>
        </w:rPr>
        <w:t>由生产，但是禁止私下买卖，成品盐必须统一卖给国家，由</w:t>
      </w:r>
      <w:r>
        <w:rPr>
          <w:rFonts w:hint="default" w:ascii="Times New Roman" w:hAnsi="Times New Roman" w:eastAsia="宋体" w:cs="Times New Roman"/>
          <w:spacing w:val="-4"/>
          <w:sz w:val="24"/>
          <w:szCs w:val="24"/>
        </w:rPr>
        <w:t>国家垄断销售。对铁业也实行国有民营的办法，国家对矿山拥有所有权，未经允许任何人不准私自开采，但经国家批准后，私人可开采矿山，生产出的铁器按照品质定价销售给国家，国家牢牢控制铁器流通。为什么采用国有民营方式呢？管仲解释得一清二楚：“今发徒隶而作之，则逃亡而不守；发民，则下疾怨上，边竟有兵则怀宿怨而不战。未见山铁之利而内败矣。故善者不如与民，量其重，计其赢，</w:t>
      </w:r>
      <w:r>
        <w:rPr>
          <w:rFonts w:hint="default" w:ascii="Times New Roman" w:hAnsi="Times New Roman" w:eastAsia="宋体" w:cs="Times New Roman"/>
          <w:spacing w:val="-5"/>
          <w:sz w:val="24"/>
          <w:szCs w:val="24"/>
        </w:rPr>
        <w:t>民得其十（应为“七”——笔者</w:t>
      </w:r>
      <w:r>
        <w:rPr>
          <w:rFonts w:hint="default" w:ascii="Times New Roman" w:hAnsi="Times New Roman" w:eastAsia="宋体" w:cs="Times New Roman"/>
          <w:spacing w:val="-7"/>
          <w:sz w:val="24"/>
          <w:szCs w:val="24"/>
        </w:rPr>
        <w:t>注</w:t>
      </w:r>
      <w:r>
        <w:rPr>
          <w:rFonts w:hint="default" w:ascii="Times New Roman" w:hAnsi="Times New Roman" w:eastAsia="宋体" w:cs="Times New Roman"/>
          <w:spacing w:val="-6"/>
          <w:sz w:val="24"/>
          <w:szCs w:val="24"/>
        </w:rPr>
        <w:t>），</w:t>
      </w:r>
      <w:r>
        <w:rPr>
          <w:rFonts w:hint="default" w:ascii="Times New Roman" w:hAnsi="Times New Roman" w:eastAsia="宋体" w:cs="Times New Roman"/>
          <w:spacing w:val="-7"/>
          <w:sz w:val="24"/>
          <w:szCs w:val="24"/>
        </w:rPr>
        <w:t>君得其三……若此，则民疾作而为上虏矣。”（《轻重乙》）意为：让囚徒冶铁，他们就会逃亡而失控；</w:t>
      </w:r>
      <w:r>
        <w:rPr>
          <w:rFonts w:hint="default" w:ascii="Times New Roman" w:hAnsi="Times New Roman" w:eastAsia="宋体" w:cs="Times New Roman"/>
          <w:spacing w:val="-4"/>
          <w:sz w:val="24"/>
          <w:szCs w:val="24"/>
        </w:rPr>
        <w:t>发动民众去冶铁，民众就会怨恨君主，边境一旦有战事，必心怀怨恨而不力战。如此，尚无冶铁收益，已未战</w:t>
      </w:r>
    </w:p>
    <w:p w14:paraId="5EAE206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先败。善为国者，不如允许民众自己生产，按量计算盈利，百姓从中获利七成，君主获利三成。由此可见，力主实行盐铁专卖的管仲，并不反对民营，只是这种民营是纳入国家统一计划的民营。“官山海”策论可以概括为：资源国有，民间经营，国家专卖，利润共享。管仲推行的经相关部门批准后生产者自由生产，官府统一收购、运输和销售的产销机制，既可确保国家收入，又能调动生产者积极性，一举多得。</w:t>
      </w:r>
    </w:p>
    <w:p w14:paraId="3059C96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rPr>
      </w:pPr>
      <w:r>
        <w:rPr>
          <w:rFonts w:hint="default" w:ascii="Times New Roman" w:hAnsi="Times New Roman" w:eastAsia="宋体" w:cs="Times New Roman"/>
          <w:spacing w:val="-4"/>
          <w:sz w:val="24"/>
          <w:szCs w:val="24"/>
        </w:rPr>
        <w:t>百姓与国家双赢——百姓税赋减轻，国库丰盈。从专营垄断中获利，可取之于无形，寓税</w:t>
      </w:r>
      <w:r>
        <w:rPr>
          <w:rFonts w:hint="default" w:ascii="Times New Roman" w:hAnsi="Times New Roman" w:eastAsia="宋体" w:cs="Times New Roman"/>
          <w:spacing w:val="-5"/>
          <w:sz w:val="24"/>
          <w:szCs w:val="24"/>
        </w:rPr>
        <w:t>于价，还可丰盈</w:t>
      </w:r>
      <w:r>
        <w:rPr>
          <w:rFonts w:hint="default" w:ascii="Times New Roman" w:hAnsi="Times New Roman" w:eastAsia="宋体" w:cs="Times New Roman"/>
          <w:spacing w:val="-4"/>
          <w:sz w:val="24"/>
          <w:szCs w:val="24"/>
        </w:rPr>
        <w:t>国库，赖鱼盐之利而兴盛齐国。实行盐铁专卖，通过对特定资源的国有垄断，在没有增加民众负担的情况下充</w:t>
      </w:r>
      <w:r>
        <w:rPr>
          <w:rFonts w:hint="default" w:ascii="Times New Roman" w:hAnsi="Times New Roman" w:eastAsia="宋体" w:cs="Times New Roman"/>
          <w:spacing w:val="-7"/>
          <w:sz w:val="24"/>
          <w:szCs w:val="24"/>
        </w:rPr>
        <w:t>实国库，让百姓在不知不觉中交税，有税赋之实而无征税之名。有了来自盐、铁等产品专卖的超额利润收入后，国家随之大大减少、甚至免除了其他领域的征税。这种间接税——一种不税之税，巧妙地把税收隐藏在商品中，</w:t>
      </w:r>
      <w:r>
        <w:rPr>
          <w:rFonts w:hint="default" w:ascii="Times New Roman" w:hAnsi="Times New Roman" w:eastAsia="宋体" w:cs="Times New Roman"/>
          <w:spacing w:val="-4"/>
          <w:sz w:val="24"/>
          <w:szCs w:val="24"/>
        </w:rPr>
        <w:t>百姓在日常买卖中不知不觉纳税，收“民不加赋而国用饶”之效。对这种“取之</w:t>
      </w:r>
      <w:r>
        <w:rPr>
          <w:rFonts w:hint="default" w:ascii="Times New Roman" w:hAnsi="Times New Roman" w:eastAsia="宋体" w:cs="Times New Roman"/>
          <w:spacing w:val="-5"/>
          <w:sz w:val="24"/>
          <w:szCs w:val="24"/>
        </w:rPr>
        <w:t>于无形”的纳税方式，管仲解</w:t>
      </w:r>
      <w:r>
        <w:rPr>
          <w:rFonts w:hint="default" w:ascii="Times New Roman" w:hAnsi="Times New Roman" w:eastAsia="宋体" w:cs="Times New Roman"/>
          <w:spacing w:val="-4"/>
          <w:sz w:val="24"/>
          <w:szCs w:val="24"/>
        </w:rPr>
        <w:t>释道：“民予则喜，夺则怒，民情皆然。先王知其然，故见予之形，不见夺之理。”（《国蓄》）在国际贸易中赢得先机。齐国利用丰厚的盐、铁资源优势，占尽地利之便。</w:t>
      </w:r>
    </w:p>
    <w:p w14:paraId="1F69F3B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在实施“官山海”政策的同时，对森林、江河湖泊等</w:t>
      </w:r>
      <w:r>
        <w:rPr>
          <w:rFonts w:hint="default" w:ascii="Times New Roman" w:hAnsi="Times New Roman" w:eastAsia="宋体" w:cs="Times New Roman"/>
          <w:spacing w:val="-5"/>
          <w:sz w:val="24"/>
          <w:szCs w:val="24"/>
        </w:rPr>
        <w:t>资源，国家也及时介入，适度管控。管仲用历史上由</w:t>
      </w:r>
      <w:r>
        <w:rPr>
          <w:rFonts w:hint="default" w:ascii="Times New Roman" w:hAnsi="Times New Roman" w:eastAsia="宋体" w:cs="Times New Roman"/>
          <w:spacing w:val="-7"/>
          <w:sz w:val="24"/>
          <w:szCs w:val="24"/>
        </w:rPr>
        <w:t>于资源分散而导致无数战乱的惨痛教训说明，国家应该统一控制矿山资源，掌握经济命脉，“守物而御天下”，</w:t>
      </w:r>
      <w:r>
        <w:rPr>
          <w:rFonts w:hint="default" w:ascii="Times New Roman" w:hAnsi="Times New Roman" w:eastAsia="宋体" w:cs="Times New Roman"/>
          <w:spacing w:val="-4"/>
          <w:sz w:val="24"/>
          <w:szCs w:val="24"/>
        </w:rPr>
        <w:t>防止涂炭生灵。在《地数》篇中，管仲举例说明自然资源关乎国家治乱。黄帝询问伯高“将天下合为一家”之计，伯高建议：凡是有矿苗的山，皆应标记为国家所有，禁止私人随意开采。黄帝从其议。管仲曰：“善为国者，守其国之财，汤之以高下，注之以徐疾，一可以为百。未尝籍求于民，而使用若河海，终则有始。此谓守物而御天下也。”（《轻重丁》）在《地数》篇中，管仲详尽论述了有计划利用地利增加财富、稳定天下的方略。所谓“地数”，就是利用各种地理资源来实现富国强兵，提升综合国力。</w:t>
      </w:r>
    </w:p>
    <w:p w14:paraId="27B609D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几千年来，中华民族就存在有计划安排和组织生产的文明积淀。“一年之计，莫如树谷；十年之计</w:t>
      </w:r>
      <w:r>
        <w:rPr>
          <w:rFonts w:hint="default" w:ascii="Times New Roman" w:hAnsi="Times New Roman" w:eastAsia="宋体" w:cs="Times New Roman"/>
          <w:spacing w:val="-5"/>
          <w:sz w:val="24"/>
          <w:szCs w:val="24"/>
        </w:rPr>
        <w:t>，莫如</w:t>
      </w:r>
      <w:r>
        <w:rPr>
          <w:rFonts w:hint="default" w:ascii="Times New Roman" w:hAnsi="Times New Roman" w:eastAsia="宋体" w:cs="Times New Roman"/>
          <w:spacing w:val="-4"/>
          <w:sz w:val="24"/>
          <w:szCs w:val="24"/>
        </w:rPr>
        <w:t>树木；终身之计，莫如树人。”（《权修》）管仲的经世济民之学有很强的计划性，富含计划经济元素。为实现稳定天下、富民强国的目标，管仲力主强化国家调控能力，掌控国家经济命脉，纠正了此前齐国经济中市场决定资源配置的乱象，实施了国家主导的计划色彩鲜明的资源配置方式。管仲利用盐铁专卖等杀手锏</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对宏观经济实施了成功管制。作为人类古代最为成功的政治经济模式，</w:t>
      </w:r>
      <w:r>
        <w:rPr>
          <w:rFonts w:hint="default" w:ascii="Times New Roman" w:hAnsi="Times New Roman" w:eastAsia="宋体" w:cs="Times New Roman"/>
          <w:spacing w:val="-5"/>
          <w:sz w:val="24"/>
          <w:szCs w:val="24"/>
        </w:rPr>
        <w:t>这种专营建制其实就是后来国有企业的雏形、</w:t>
      </w:r>
      <w:r>
        <w:rPr>
          <w:rFonts w:hint="default" w:ascii="Times New Roman" w:hAnsi="Times New Roman" w:eastAsia="宋体" w:cs="Times New Roman"/>
          <w:spacing w:val="-7"/>
          <w:sz w:val="24"/>
          <w:szCs w:val="24"/>
        </w:rPr>
        <w:t>计划经济的先声。管仲堪称开创国家调控经济运行的第一人，是人类经济史上第一位妙算在先的宏观经济学家，</w:t>
      </w:r>
      <w:r>
        <w:rPr>
          <w:rFonts w:hint="default" w:ascii="Times New Roman" w:hAnsi="Times New Roman" w:eastAsia="宋体" w:cs="Times New Roman"/>
          <w:spacing w:val="-4"/>
          <w:sz w:val="24"/>
          <w:szCs w:val="24"/>
        </w:rPr>
        <w:t>其首创的“官山海”制度建构对后世产生了深远影响，是汉代国有盐铁企业</w:t>
      </w:r>
      <w:r>
        <w:rPr>
          <w:rFonts w:hint="default" w:ascii="Times New Roman" w:hAnsi="Times New Roman" w:eastAsia="宋体" w:cs="Times New Roman"/>
          <w:spacing w:val="-5"/>
          <w:sz w:val="24"/>
          <w:szCs w:val="24"/>
        </w:rPr>
        <w:t>进行盐铁官卖的滥觞，也是历代统</w:t>
      </w:r>
      <w:r>
        <w:rPr>
          <w:rFonts w:hint="default" w:ascii="Times New Roman" w:hAnsi="Times New Roman" w:eastAsia="宋体" w:cs="Times New Roman"/>
          <w:spacing w:val="-4"/>
          <w:sz w:val="24"/>
          <w:szCs w:val="24"/>
        </w:rPr>
        <w:t>治者的治国利器。同时，专营制度使大一统的集权国家成为可能，无疑是具有划时代意义的经济政策。</w:t>
      </w:r>
    </w:p>
    <w:p w14:paraId="71D0DDAC">
      <w:pPr>
        <w:pStyle w:val="4"/>
        <w:bidi w:val="0"/>
        <w:rPr>
          <w:rFonts w:hint="default"/>
        </w:rPr>
      </w:pPr>
      <w:r>
        <w:rPr>
          <w:rFonts w:hint="default"/>
        </w:rPr>
        <w:t>六、经营市场、脉动天下的市场学说</w:t>
      </w:r>
    </w:p>
    <w:p w14:paraId="08D332B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自传说时代神农教民“日中为市，致天下之民，聚天</w:t>
      </w:r>
      <w:r>
        <w:rPr>
          <w:rFonts w:hint="default" w:ascii="Times New Roman" w:hAnsi="Times New Roman" w:eastAsia="宋体" w:cs="Times New Roman"/>
          <w:spacing w:val="-11"/>
          <w:sz w:val="24"/>
          <w:szCs w:val="24"/>
        </w:rPr>
        <w:t>下之货，交易而退，各得其所”</w:t>
      </w:r>
      <w:r>
        <w:rPr>
          <w:rStyle w:val="20"/>
          <w:rFonts w:hint="default" w:ascii="Times New Roman" w:hAnsi="Times New Roman" w:eastAsia="宋体" w:cs="Times New Roman"/>
          <w:spacing w:val="-11"/>
          <w:sz w:val="24"/>
          <w:szCs w:val="24"/>
        </w:rPr>
        <w:footnoteReference w:id="655"/>
      </w:r>
      <w:r>
        <w:rPr>
          <w:rFonts w:hint="default" w:ascii="Times New Roman" w:hAnsi="Times New Roman" w:eastAsia="宋体" w:cs="Times New Roman"/>
          <w:spacing w:val="-11"/>
          <w:sz w:val="24"/>
          <w:szCs w:val="24"/>
        </w:rPr>
        <w:t>（</w:t>
      </w:r>
      <w:r>
        <w:rPr>
          <w:rFonts w:hint="default" w:ascii="Times New Roman" w:hAnsi="Times New Roman" w:eastAsia="宋体" w:cs="Times New Roman"/>
          <w:spacing w:val="-25"/>
          <w:sz w:val="24"/>
          <w:szCs w:val="24"/>
        </w:rPr>
        <w:t>《周易·系辞下》）</w:t>
      </w:r>
      <w:r>
        <w:rPr>
          <w:rFonts w:hint="default" w:ascii="Times New Roman" w:hAnsi="Times New Roman" w:eastAsia="宋体" w:cs="Times New Roman"/>
          <w:spacing w:val="-4"/>
          <w:sz w:val="24"/>
          <w:szCs w:val="24"/>
        </w:rPr>
        <w:t>起，到春秋时期，市场得到进一步发育。在经济学说史上，管仲首次对市场进行了准确定位：“市者，货之准也。是故百货贱，则百利不得。百利不得，则百事治。百事治，则百用节矣……故曰：市者可以知治乱，可以知多寡，而不能为多寡，为之有道。”（《乘马》）市场是商品价格形成的场所，能够平衡供求关系，使物价</w:t>
      </w:r>
      <w:r>
        <w:rPr>
          <w:rFonts w:hint="default" w:ascii="Times New Roman" w:hAnsi="Times New Roman" w:eastAsia="宋体" w:cs="Times New Roman"/>
          <w:spacing w:val="-6"/>
          <w:sz w:val="24"/>
          <w:szCs w:val="24"/>
        </w:rPr>
        <w:t>在合理区间上下波动，从而使各项需求得到适度满足。市场是观察供求均衡、社会兴衰的</w:t>
      </w:r>
      <w:r>
        <w:rPr>
          <w:rFonts w:hint="default" w:ascii="Times New Roman" w:hAnsi="Times New Roman" w:eastAsia="宋体" w:cs="Times New Roman"/>
          <w:spacing w:val="-7"/>
          <w:sz w:val="24"/>
          <w:szCs w:val="24"/>
        </w:rPr>
        <w:t>场所，关乎社会稳定。</w:t>
      </w:r>
      <w:r>
        <w:rPr>
          <w:rFonts w:hint="default" w:ascii="Times New Roman" w:hAnsi="Times New Roman" w:eastAsia="宋体" w:cs="Times New Roman"/>
          <w:spacing w:val="-4"/>
          <w:sz w:val="24"/>
          <w:szCs w:val="24"/>
        </w:rPr>
        <w:t>对市场之于百姓生活的重要意义，管仲的认识可谓深刻：“国富而鄙贫，莫尽如市。市也者，劝也。劝者，所</w:t>
      </w:r>
      <w:r>
        <w:rPr>
          <w:rFonts w:hint="default" w:ascii="Times New Roman" w:hAnsi="Times New Roman" w:eastAsia="宋体" w:cs="Times New Roman"/>
          <w:spacing w:val="-5"/>
          <w:sz w:val="24"/>
          <w:szCs w:val="24"/>
        </w:rPr>
        <w:t>以起。本善而末事起。”（《侈靡》）“劝”有鼓励、促进之意，也就是说市场能够促进工商业发展。在市场</w:t>
      </w:r>
      <w:r>
        <w:rPr>
          <w:rFonts w:hint="default" w:ascii="Times New Roman" w:hAnsi="Times New Roman" w:eastAsia="宋体" w:cs="Times New Roman"/>
          <w:spacing w:val="-4"/>
          <w:sz w:val="24"/>
          <w:szCs w:val="24"/>
        </w:rPr>
        <w:t>这个财货集散地，万民均可以通过市场自由交换而相互得利，是解决国计民生的正道。因此，管仲建议在民之</w:t>
      </w:r>
      <w:r>
        <w:rPr>
          <w:rFonts w:hint="default" w:ascii="Times New Roman" w:hAnsi="Times New Roman" w:eastAsia="宋体" w:cs="Times New Roman"/>
          <w:spacing w:val="-3"/>
          <w:sz w:val="24"/>
          <w:szCs w:val="24"/>
        </w:rPr>
        <w:t>聚居处都要有市，所谓“聚者有市，无市则民乏”（《乘马</w:t>
      </w:r>
      <w:r>
        <w:rPr>
          <w:rFonts w:hint="default" w:ascii="Times New Roman" w:hAnsi="Times New Roman" w:eastAsia="宋体" w:cs="Times New Roman"/>
          <w:spacing w:val="-4"/>
          <w:sz w:val="24"/>
          <w:szCs w:val="24"/>
        </w:rPr>
        <w:t>》）。如果没有市场则无法交易，致使物资匮乏，百姓的生产生活难以得到保障。在管仲看来，市场虽然不能使产品增量，但市场的地位和作用丝毫不逊于农工</w:t>
      </w:r>
      <w:r>
        <w:rPr>
          <w:rFonts w:hint="default" w:ascii="Times New Roman" w:hAnsi="Times New Roman" w:eastAsia="宋体" w:cs="Times New Roman"/>
          <w:spacing w:val="-7"/>
          <w:sz w:val="24"/>
          <w:szCs w:val="24"/>
        </w:rPr>
        <w:t>的物质生产。</w:t>
      </w:r>
    </w:p>
    <w:p w14:paraId="0661CBC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7"/>
          <w:sz w:val="24"/>
          <w:szCs w:val="24"/>
        </w:rPr>
      </w:pPr>
      <w:r>
        <w:rPr>
          <w:rFonts w:hint="default" w:ascii="Times New Roman" w:hAnsi="Times New Roman" w:eastAsia="宋体" w:cs="Times New Roman"/>
          <w:spacing w:val="-4"/>
          <w:sz w:val="24"/>
          <w:szCs w:val="24"/>
        </w:rPr>
        <w:t>管仲深知，趋利避害乃人之常情。管仲曰：“民，利之则来，害之则去。民之从利也，如水之走下，于四方无择也。故欲来民者，先起其利，虽不召而民自至。设其所恶，虽召之而民不来也。”（《形势解</w:t>
      </w:r>
      <w:r>
        <w:rPr>
          <w:rFonts w:hint="default" w:ascii="Times New Roman" w:hAnsi="Times New Roman" w:eastAsia="宋体" w:cs="Times New Roman"/>
          <w:spacing w:val="-5"/>
          <w:sz w:val="24"/>
          <w:szCs w:val="24"/>
        </w:rPr>
        <w:t>》）意思</w:t>
      </w:r>
      <w:r>
        <w:rPr>
          <w:rFonts w:hint="default" w:ascii="Times New Roman" w:hAnsi="Times New Roman" w:eastAsia="宋体" w:cs="Times New Roman"/>
          <w:spacing w:val="-4"/>
          <w:sz w:val="24"/>
          <w:szCs w:val="24"/>
        </w:rPr>
        <w:t>是说，有利民自来，有害民自去。民众趋利，就像水流趋下，不分东西南北。所以欲要民众归附，必先利民，有利民众会不招自来。如果民众厌恶，虽招而不来。“百姓无宝，以利为首”。商人也不例外，他们“不择乡而处，不择君而使，出则从利，入则不守”（《侈靡》）。尽管为的是谋利，却在客观上增加了国家税收，使</w:t>
      </w:r>
      <w:r>
        <w:rPr>
          <w:rFonts w:hint="default" w:ascii="Times New Roman" w:hAnsi="Times New Roman" w:eastAsia="宋体" w:cs="Times New Roman"/>
          <w:spacing w:val="-8"/>
          <w:sz w:val="24"/>
          <w:szCs w:val="24"/>
        </w:rPr>
        <w:t>财货流通而不私藏，在自利中利他。在自利利他</w:t>
      </w:r>
      <w:r>
        <w:rPr>
          <w:rFonts w:hint="default" w:ascii="Times New Roman" w:hAnsi="Times New Roman" w:eastAsia="宋体" w:cs="Times New Roman"/>
          <w:spacing w:val="-9"/>
          <w:sz w:val="24"/>
          <w:szCs w:val="24"/>
        </w:rPr>
        <w:t>的交互作用中，可以趋向“民自美安”“民自富”的境界：“商</w:t>
      </w:r>
      <w:r>
        <w:rPr>
          <w:rFonts w:hint="default" w:ascii="Times New Roman" w:hAnsi="Times New Roman" w:eastAsia="宋体" w:cs="Times New Roman"/>
          <w:spacing w:val="-4"/>
          <w:sz w:val="24"/>
          <w:szCs w:val="24"/>
        </w:rPr>
        <w:t>人通贾，倍道兼行，夜以续日，千里而不远者，利在前也。渔人之入海，海深万仞，就波逆流乘危百里，宿夜不出者，利在水也。故利之所在，虽千仞之山无所不上，深源之下，无所不入焉。故善者势利之在，而民自美安，不推而往，不引而来，不烦不扰，而民自富。”（《禁藏》）人人都合规合理求利，百姓自然富裕，社会自然安定。在管仲经济学视野内，自利与利人不仅可以调和，甚至自利本身就会外溢善行</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既有自利之举，又</w:t>
      </w:r>
      <w:r>
        <w:rPr>
          <w:rFonts w:hint="default" w:ascii="Times New Roman" w:hAnsi="Times New Roman" w:eastAsia="宋体" w:cs="Times New Roman"/>
          <w:spacing w:val="-7"/>
          <w:sz w:val="24"/>
          <w:szCs w:val="24"/>
        </w:rPr>
        <w:t>行利人之德。管仲早就发现的自利利他现象，2400多年后被亚当·斯密再次提及。</w:t>
      </w:r>
    </w:p>
    <w:p w14:paraId="403035E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leftChars="0" w:right="0" w:firstLine="452"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rPr>
        <w:t>管仲对人性有深刻的洞见，他非常清楚，逐利的资本并非总是自利利他，也常</w:t>
      </w:r>
      <w:r>
        <w:rPr>
          <w:rFonts w:hint="default" w:ascii="Times New Roman" w:hAnsi="Times New Roman" w:eastAsia="宋体" w:cs="Times New Roman"/>
          <w:spacing w:val="-8"/>
          <w:sz w:val="24"/>
          <w:szCs w:val="24"/>
        </w:rPr>
        <w:t>常损人利己。商贾可以富国，</w:t>
      </w:r>
      <w:r>
        <w:rPr>
          <w:rFonts w:hint="default" w:ascii="Times New Roman" w:hAnsi="Times New Roman" w:eastAsia="宋体" w:cs="Times New Roman"/>
          <w:spacing w:val="-4"/>
          <w:sz w:val="24"/>
          <w:szCs w:val="24"/>
        </w:rPr>
        <w:t>但也可以乱国。资本没有祖国，无良商人缺乏道德底线，国家有难大发国难财，百姓有难就趁火打劫。商贾一旦做大，必然会导致“人君不能治，故使蓄贾游市，乘民之不给，百倍其本”（《国蓄》）的严重后果</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最终</w:t>
      </w:r>
      <w:r>
        <w:rPr>
          <w:rFonts w:hint="default" w:ascii="Times New Roman" w:hAnsi="Times New Roman" w:eastAsia="宋体" w:cs="Times New Roman"/>
          <w:snapToGrid w:val="0"/>
          <w:color w:val="000000"/>
          <w:kern w:val="0"/>
          <w:sz w:val="24"/>
          <w:szCs w:val="24"/>
          <w:lang w:val="en-US" w:eastAsia="zh-CN" w:bidi="ar"/>
        </w:rPr>
        <w:t>危及社会均衡。君主治国无方，就会使富商在市场敛财无度，甚至乘人之危，牟取百倍的利润。管仲认为：“万乘之国必有万金之贾，千乘之国必有千金之贾，百乘之国必有百金之贾，非君之所赖也，君之所与。”（《轻</w:t>
      </w:r>
      <w:r>
        <w:rPr>
          <w:rFonts w:hint="default" w:ascii="Times New Roman" w:hAnsi="Times New Roman" w:eastAsia="宋体" w:cs="Times New Roman"/>
          <w:spacing w:val="-4"/>
          <w:sz w:val="24"/>
          <w:szCs w:val="24"/>
        </w:rPr>
        <w:t>重甲》）管仲提醒齐桓公：此等富可敌国者，绝非君主赖以治国的基础，而是需要控制的对象。国家的发展、社会的和谐不仅不能依赖商贾，反而必须以对商贾的必要管控为实现条件。如果让富商巨贾执掌权柄，“商贾</w:t>
      </w:r>
      <w:r>
        <w:rPr>
          <w:rFonts w:hint="default" w:ascii="Times New Roman" w:hAnsi="Times New Roman" w:eastAsia="宋体" w:cs="Times New Roman"/>
          <w:spacing w:val="-5"/>
          <w:sz w:val="24"/>
          <w:szCs w:val="24"/>
        </w:rPr>
        <w:t>在朝，</w:t>
      </w:r>
      <w:r>
        <w:rPr>
          <w:rFonts w:hint="default" w:ascii="Times New Roman" w:hAnsi="Times New Roman" w:eastAsia="宋体" w:cs="Times New Roman"/>
          <w:spacing w:val="-4"/>
          <w:sz w:val="24"/>
          <w:szCs w:val="24"/>
        </w:rPr>
        <w:t>则货财上流。……货财上流，赏罚不信，民无廉耻，而求百姓之安难，兵士之死节，不可得也”（《</w:t>
      </w:r>
      <w:r>
        <w:rPr>
          <w:rFonts w:hint="default" w:ascii="Times New Roman" w:hAnsi="Times New Roman" w:eastAsia="宋体" w:cs="Times New Roman"/>
          <w:spacing w:val="-1"/>
          <w:sz w:val="24"/>
          <w:szCs w:val="24"/>
        </w:rPr>
        <w:t>权</w:t>
      </w:r>
      <w:r>
        <w:rPr>
          <w:rFonts w:hint="default" w:ascii="Times New Roman" w:hAnsi="Times New Roman" w:eastAsia="宋体" w:cs="Times New Roman"/>
          <w:spacing w:val="-4"/>
          <w:sz w:val="24"/>
          <w:szCs w:val="24"/>
        </w:rPr>
        <w:t>修》）。商贾入朝掌权，财货集中到富商巨贾手中，则君王号令不行。</w:t>
      </w:r>
    </w:p>
    <w:p w14:paraId="0183137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相比之下，管仲对市场的认识比西方经济学主要把市场看成资源配置方式和价格形成机制的认识要全面深刻得多（现代西方经济学没有抨击和消除美国犹太大垄断资本控制金融经济、媒体舆论和党政权力的痼疾</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他不仅发现了资本具有的自利利他倾向，也洞见了资本损人利己的必然。既然商贾具有两面性，那么，必须对其既利用又限制——利用自利利他的一面，限制损人利己的一面。尤其是对商人从政，必须严加管控。管仲对市场的利用与规制可以概括为十六字：微观放活，利用其利；宏观调控，规制其弊。</w:t>
      </w:r>
    </w:p>
    <w:p w14:paraId="7A37D06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在微观放活、利用其利方面，管仲借助王权，以其独创的经世济民之学成功驾驭资本，利用资本自利利他的正向作用，促进社会生产力发展，使资本成为实现富民强国总目标的手段与工具。为了发展经济，管仲让商人居中而居，观察年景丰歉，便于实时了解国内物价行情。为吸引各诸侯国商人来齐国经商，管仲致力于良好</w:t>
      </w:r>
      <w:r>
        <w:rPr>
          <w:rFonts w:hint="default" w:ascii="Times New Roman" w:hAnsi="Times New Roman" w:eastAsia="宋体" w:cs="Times New Roman"/>
          <w:spacing w:val="-7"/>
          <w:sz w:val="24"/>
          <w:szCs w:val="24"/>
        </w:rPr>
        <w:t>的市场环境营造，“为诸侯之商贾立客舍，一乘</w:t>
      </w:r>
      <w:r>
        <w:rPr>
          <w:rFonts w:hint="default" w:ascii="Times New Roman" w:hAnsi="Times New Roman" w:eastAsia="宋体" w:cs="Times New Roman"/>
          <w:spacing w:val="-8"/>
          <w:sz w:val="24"/>
          <w:szCs w:val="24"/>
        </w:rPr>
        <w:t>者有食，三乘者有刍菽，五乘者有伍养”（《轻重乙》</w:t>
      </w:r>
      <w:r>
        <w:rPr>
          <w:rFonts w:hint="default" w:ascii="Times New Roman" w:hAnsi="Times New Roman" w:eastAsia="宋体" w:cs="Times New Roman"/>
          <w:spacing w:val="-28"/>
          <w:sz w:val="24"/>
          <w:szCs w:val="24"/>
        </w:rPr>
        <w:t>）；</w:t>
      </w:r>
      <w:r>
        <w:rPr>
          <w:rFonts w:hint="default" w:ascii="Times New Roman" w:hAnsi="Times New Roman" w:eastAsia="宋体" w:cs="Times New Roman"/>
          <w:spacing w:val="-8"/>
          <w:sz w:val="24"/>
          <w:szCs w:val="24"/>
        </w:rPr>
        <w:t>“弛</w:t>
      </w:r>
      <w:r>
        <w:rPr>
          <w:rFonts w:hint="default" w:ascii="Times New Roman" w:hAnsi="Times New Roman" w:eastAsia="宋体" w:cs="Times New Roman"/>
          <w:spacing w:val="-4"/>
          <w:sz w:val="24"/>
          <w:szCs w:val="24"/>
        </w:rPr>
        <w:t>关市之征，五十而取一”（《大匡》）。齐国所建的市场，算得上世界最早的自由贸易区，堪称人类历史上的</w:t>
      </w:r>
      <w:r>
        <w:rPr>
          <w:rFonts w:hint="default" w:ascii="Times New Roman" w:hAnsi="Times New Roman" w:eastAsia="宋体" w:cs="Times New Roman"/>
          <w:spacing w:val="-11"/>
          <w:sz w:val="24"/>
          <w:szCs w:val="24"/>
        </w:rPr>
        <w:t>伟大创举。结果，“四邻宾客，入者悦，出者誉，光名满天下</w:t>
      </w:r>
      <w:r>
        <w:rPr>
          <w:rFonts w:hint="default" w:ascii="Times New Roman" w:hAnsi="Times New Roman" w:eastAsia="宋体" w:cs="Times New Roman"/>
          <w:spacing w:val="-12"/>
          <w:sz w:val="24"/>
          <w:szCs w:val="24"/>
        </w:rPr>
        <w:t>”（《中匡》</w:t>
      </w:r>
      <w:r>
        <w:rPr>
          <w:rFonts w:hint="default" w:ascii="Times New Roman" w:hAnsi="Times New Roman" w:eastAsia="宋体" w:cs="Times New Roman"/>
          <w:spacing w:val="-32"/>
          <w:sz w:val="24"/>
          <w:szCs w:val="24"/>
        </w:rPr>
        <w:t>），</w:t>
      </w:r>
      <w:r>
        <w:rPr>
          <w:rFonts w:hint="default" w:ascii="Times New Roman" w:hAnsi="Times New Roman" w:eastAsia="宋体" w:cs="Times New Roman"/>
          <w:spacing w:val="-12"/>
          <w:sz w:val="24"/>
          <w:szCs w:val="24"/>
        </w:rPr>
        <w:t>“天下之商贾归齐若流水”</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rPr>
        <w:t>《轻</w:t>
      </w:r>
      <w:r>
        <w:rPr>
          <w:rFonts w:hint="default" w:ascii="Times New Roman" w:hAnsi="Times New Roman" w:eastAsia="宋体" w:cs="Times New Roman"/>
          <w:spacing w:val="-8"/>
          <w:sz w:val="24"/>
          <w:szCs w:val="24"/>
        </w:rPr>
        <w:t>重乙》）。</w:t>
      </w:r>
    </w:p>
    <w:p w14:paraId="29DCCBF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在宏观调控、规制其弊方面，管仲以货币、粮食等杠杆手段对经济进行干预，并设立专门机构有效管理市场。管仲明白，市场机制不会自动实现均衡与和谐，国家有责任为市场均衡注入强大平准动力。如果不负责任地将百姓的命运沉浮交给市场，众多百姓就会被交替出现的“过剩”“短缺”的巨浪所淹没，从而任凭资本收</w:t>
      </w:r>
      <w:r>
        <w:rPr>
          <w:rFonts w:hint="default" w:ascii="Times New Roman" w:hAnsi="Times New Roman" w:eastAsia="宋体" w:cs="Times New Roman"/>
          <w:spacing w:val="-8"/>
          <w:sz w:val="24"/>
          <w:szCs w:val="24"/>
        </w:rPr>
        <w:t>割。管仲相齐，迅速扭转此前齐国无力控制市场、“轻重失准”的乱局，除了出台旨在强化国家调控能力的“官</w:t>
      </w:r>
      <w:r>
        <w:rPr>
          <w:rFonts w:hint="default" w:ascii="Times New Roman" w:hAnsi="Times New Roman" w:eastAsia="宋体" w:cs="Times New Roman"/>
          <w:spacing w:val="-4"/>
          <w:sz w:val="24"/>
          <w:szCs w:val="24"/>
        </w:rPr>
        <w:t>山海”政策外，在“轻重论”中详尽描述了商品与货币的供求关系及价格波动规</w:t>
      </w:r>
      <w:r>
        <w:rPr>
          <w:rFonts w:hint="default" w:ascii="Times New Roman" w:hAnsi="Times New Roman" w:eastAsia="宋体" w:cs="Times New Roman"/>
          <w:spacing w:val="-5"/>
          <w:sz w:val="24"/>
          <w:szCs w:val="24"/>
        </w:rPr>
        <w:t>律，为界定货币总量供给提供</w:t>
      </w:r>
      <w:r>
        <w:rPr>
          <w:rFonts w:hint="default" w:ascii="Times New Roman" w:hAnsi="Times New Roman" w:eastAsia="宋体" w:cs="Times New Roman"/>
          <w:spacing w:val="-4"/>
          <w:sz w:val="24"/>
          <w:szCs w:val="24"/>
        </w:rPr>
        <w:t>了理论依据。为了调适市场物价，稳定国家经济形势，管仲首创均输法和平准法，用粮食与货币双向调控国内国际市场，实现市场平准稳定。所谓均输法，指集中与分散天下物资的手段。所谓平准法，指在集中与分散天下物资时，按市场需求供给和公平价格削峰填谷，在敛散之间保持平衡。凡轻重以时，价格在合理区间波动，谓之准平。“守之以准平”，则“大贾蓄家不得豪夺吾民</w:t>
      </w:r>
      <w:r>
        <w:rPr>
          <w:rFonts w:hint="default" w:ascii="Times New Roman" w:hAnsi="Times New Roman" w:eastAsia="宋体" w:cs="Times New Roman"/>
          <w:spacing w:val="-5"/>
          <w:sz w:val="24"/>
          <w:szCs w:val="24"/>
        </w:rPr>
        <w:t>矣”（《国蓄》）。</w:t>
      </w:r>
    </w:p>
    <w:p w14:paraId="694D9DA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管仲将既用商又抑商的高超艺术发挥到极致，恰到好处地取其利而损其弊，</w:t>
      </w:r>
      <w:r>
        <w:rPr>
          <w:rFonts w:hint="default" w:ascii="Times New Roman" w:hAnsi="Times New Roman" w:eastAsia="宋体" w:cs="Times New Roman"/>
          <w:spacing w:val="-5"/>
          <w:sz w:val="24"/>
          <w:szCs w:val="24"/>
        </w:rPr>
        <w:t>轻重之间彰显损益之道。经过</w:t>
      </w:r>
      <w:r>
        <w:rPr>
          <w:rFonts w:hint="default" w:ascii="Times New Roman" w:hAnsi="Times New Roman" w:eastAsia="宋体" w:cs="Times New Roman"/>
          <w:spacing w:val="-4"/>
          <w:sz w:val="24"/>
          <w:szCs w:val="24"/>
        </w:rPr>
        <w:t>管仲益其利而损其弊的改革，齐国的工商业迅速发展，百姓富裕殷实，首都临淄成为当时世界上规模最</w:t>
      </w:r>
      <w:r>
        <w:rPr>
          <w:rFonts w:hint="default" w:ascii="Times New Roman" w:hAnsi="Times New Roman" w:eastAsia="宋体" w:cs="Times New Roman"/>
          <w:spacing w:val="-5"/>
          <w:sz w:val="24"/>
          <w:szCs w:val="24"/>
        </w:rPr>
        <w:t>大</w:t>
      </w:r>
      <w:r>
        <w:rPr>
          <w:rFonts w:hint="default" w:ascii="Times New Roman" w:hAnsi="Times New Roman" w:eastAsia="宋体" w:cs="Times New Roman"/>
          <w:spacing w:val="-5"/>
          <w:sz w:val="24"/>
          <w:szCs w:val="24"/>
          <w:lang w:eastAsia="zh-CN"/>
        </w:rPr>
        <w:t>、</w:t>
      </w:r>
      <w:r>
        <w:rPr>
          <w:rFonts w:hint="default" w:ascii="Times New Roman" w:hAnsi="Times New Roman" w:eastAsia="宋体" w:cs="Times New Roman"/>
          <w:spacing w:val="-5"/>
          <w:sz w:val="24"/>
          <w:szCs w:val="24"/>
        </w:rPr>
        <w:t>最</w:t>
      </w:r>
      <w:r>
        <w:rPr>
          <w:rFonts w:hint="default" w:ascii="Times New Roman" w:hAnsi="Times New Roman" w:eastAsia="宋体" w:cs="Times New Roman"/>
          <w:spacing w:val="-4"/>
          <w:sz w:val="24"/>
          <w:szCs w:val="24"/>
        </w:rPr>
        <w:t>繁华的国际化大都市，盛况空前。</w:t>
      </w:r>
    </w:p>
    <w:p w14:paraId="7F9A47AF">
      <w:pPr>
        <w:pStyle w:val="4"/>
        <w:bidi w:val="0"/>
        <w:rPr>
          <w:rFonts w:hint="default"/>
        </w:rPr>
      </w:pPr>
      <w:r>
        <w:rPr>
          <w:rFonts w:hint="default"/>
        </w:rPr>
        <w:t>七、以轻重术、聚天下财的富国方略</w:t>
      </w:r>
    </w:p>
    <w:p w14:paraId="3F748FC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管仲妙用轻重权衡之术聚天下之财，驾轻就熟地抽肥补瘦——收割富商巨贾，收获附加值。“</w:t>
      </w:r>
      <w:r>
        <w:rPr>
          <w:rFonts w:hint="default" w:ascii="Times New Roman" w:hAnsi="Times New Roman" w:eastAsia="宋体" w:cs="Times New Roman"/>
          <w:spacing w:val="-5"/>
          <w:sz w:val="24"/>
          <w:szCs w:val="24"/>
        </w:rPr>
        <w:t>天下之数尽</w:t>
      </w:r>
      <w:r>
        <w:rPr>
          <w:rFonts w:hint="default" w:ascii="Times New Roman" w:hAnsi="Times New Roman" w:eastAsia="宋体" w:cs="Times New Roman"/>
          <w:spacing w:val="-4"/>
          <w:sz w:val="24"/>
          <w:szCs w:val="24"/>
        </w:rPr>
        <w:t>于轻重矣”（《揆度》）。轻与重，通俗地说，就是商品价格的高低。这里的轻重，指的是商品的相对价格，通过轻重之术，刺激交易并使价格达到均衡状态，接近商品价值。被西方经济学弄得混乱不堪、芜杂繁琐的经</w:t>
      </w:r>
    </w:p>
    <w:p w14:paraId="638D2D8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11"/>
          <w:sz w:val="24"/>
          <w:szCs w:val="24"/>
        </w:rPr>
      </w:pPr>
      <w:r>
        <w:rPr>
          <w:rFonts w:hint="default" w:ascii="Times New Roman" w:hAnsi="Times New Roman" w:eastAsia="宋体" w:cs="Times New Roman"/>
          <w:spacing w:val="-4"/>
          <w:sz w:val="24"/>
          <w:szCs w:val="24"/>
        </w:rPr>
        <w:t>济学，在管仲经济学视野内，大道至简：币重货轻——钱越来越值钱，商品越来越不值钱，就是通缩和随之而来的大萧条；币轻货重，则为滞涨。管仲只用轻重二字，就把大萧条和滞涨解释得一清二楚。经世济民之学，轻重之术、平衡之则而已。在经济学说史上，管仲第一次清晰表达了供给与需求的经济法则，因此被认为是供求定律的最早发现者。作为最早用中国文化、中国风格和中国语言表述价值规律的科学理论，管仲以轻重之术聚天下之财的经世济民之学，逻辑严密，理论自洽，实践可行，是一个首尾呼应的完整理论体系和富民强国方</w:t>
      </w:r>
      <w:r>
        <w:rPr>
          <w:rFonts w:hint="default" w:ascii="Times New Roman" w:hAnsi="Times New Roman" w:eastAsia="宋体" w:cs="Times New Roman"/>
          <w:spacing w:val="-11"/>
          <w:sz w:val="24"/>
          <w:szCs w:val="24"/>
        </w:rPr>
        <w:t>略。</w:t>
      </w:r>
    </w:p>
    <w:p w14:paraId="0920E02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leftChars="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国家应掌握货币发行权，控制货币流向与流量。管仲认为，黄金</w:t>
      </w:r>
      <w:r>
        <w:rPr>
          <w:rFonts w:hint="default" w:ascii="Times New Roman" w:hAnsi="Times New Roman" w:eastAsia="宋体" w:cs="Times New Roman"/>
          <w:spacing w:val="-5"/>
          <w:sz w:val="24"/>
          <w:szCs w:val="24"/>
        </w:rPr>
        <w:t>布帛等货币是商品交换不可或缺的媒介</w:t>
      </w:r>
      <w:r>
        <w:rPr>
          <w:rFonts w:hint="default" w:ascii="Times New Roman" w:hAnsi="Times New Roman" w:eastAsia="宋体" w:cs="Times New Roman"/>
          <w:spacing w:val="-5"/>
          <w:sz w:val="24"/>
          <w:szCs w:val="24"/>
          <w:lang w:val="en-US" w:eastAsia="zh-CN"/>
        </w:rPr>
        <w:t>,</w:t>
      </w:r>
      <w:r>
        <w:rPr>
          <w:rFonts w:hint="default" w:ascii="Times New Roman" w:hAnsi="Times New Roman" w:eastAsia="宋体" w:cs="Times New Roman"/>
          <w:spacing w:val="-4"/>
          <w:sz w:val="24"/>
          <w:szCs w:val="24"/>
        </w:rPr>
        <w:t>是一般等价物，更是驾驭市场、保障民生、稳定天下的重要手段，货币发行规制关乎“民之通施”，故“人君</w:t>
      </w:r>
      <w:r>
        <w:rPr>
          <w:rFonts w:hint="default" w:ascii="Times New Roman" w:hAnsi="Times New Roman" w:eastAsia="宋体" w:cs="Times New Roman"/>
          <w:spacing w:val="-3"/>
          <w:sz w:val="24"/>
          <w:szCs w:val="24"/>
        </w:rPr>
        <w:t>铸钱立币，民庶之通施也”（《国蓄》）。那么，以何为</w:t>
      </w:r>
      <w:r>
        <w:rPr>
          <w:rFonts w:hint="default" w:ascii="Times New Roman" w:hAnsi="Times New Roman" w:eastAsia="宋体" w:cs="Times New Roman"/>
          <w:spacing w:val="-4"/>
          <w:sz w:val="24"/>
          <w:szCs w:val="24"/>
        </w:rPr>
        <w:t>货币呢？管仲根据货币价值确定了三个层级的货币：</w:t>
      </w:r>
      <w:r>
        <w:rPr>
          <w:rFonts w:hint="default" w:ascii="Times New Roman" w:hAnsi="Times New Roman" w:eastAsia="宋体" w:cs="Times New Roman"/>
          <w:spacing w:val="-3"/>
          <w:sz w:val="24"/>
          <w:szCs w:val="24"/>
        </w:rPr>
        <w:t>“故先王度用于其重，因以珠玉为上币，黄金为中币，刀</w:t>
      </w:r>
      <w:r>
        <w:rPr>
          <w:rFonts w:hint="default" w:ascii="Times New Roman" w:hAnsi="Times New Roman" w:eastAsia="宋体" w:cs="Times New Roman"/>
          <w:spacing w:val="-4"/>
          <w:sz w:val="24"/>
          <w:szCs w:val="24"/>
        </w:rPr>
        <w:t>布为下币。故先王善高下中币，制下上之用，而天下足矣。”（《轻重乙》）每个层级货币价值根据获取难度和稀缺性来确定，上币的价值大于中币，中币的价值</w:t>
      </w:r>
      <w:r>
        <w:rPr>
          <w:rFonts w:hint="default" w:ascii="Times New Roman" w:hAnsi="Times New Roman" w:eastAsia="宋体" w:cs="Times New Roman"/>
          <w:spacing w:val="-5"/>
          <w:sz w:val="24"/>
          <w:szCs w:val="24"/>
        </w:rPr>
        <w:t>大于下币。至于货币发行量，桓公问管子曰：“请问官国轨？”管子对曰：“田有轨，人有轨，用有轨，乡有轨，人事有轨，币有轨，县有轨，国有轨，不通于轨数而欲为国，不可。”桓公曰：“行轨数奈何？”对曰：</w:t>
      </w:r>
      <w:r>
        <w:rPr>
          <w:rFonts w:hint="default" w:ascii="Times New Roman" w:hAnsi="Times New Roman" w:eastAsia="宋体" w:cs="Times New Roman"/>
          <w:spacing w:val="-4"/>
          <w:sz w:val="24"/>
          <w:szCs w:val="24"/>
        </w:rPr>
        <w:t>“某乡田若干，人事之准若干，谷重若干，曰：某县之人若干，田若干，币若干而中用，谷重若干而中币？”</w:t>
      </w:r>
      <w:r>
        <w:rPr>
          <w:rFonts w:hint="default" w:ascii="Times New Roman" w:hAnsi="Times New Roman" w:eastAsia="宋体" w:cs="Times New Roman"/>
          <w:spacing w:val="-3"/>
          <w:sz w:val="24"/>
          <w:szCs w:val="24"/>
        </w:rPr>
        <w:t>（《山国轨》）轨，即统计。意即国家应该对人口、土地</w:t>
      </w:r>
      <w:r>
        <w:rPr>
          <w:rFonts w:hint="default" w:ascii="Times New Roman" w:hAnsi="Times New Roman" w:eastAsia="宋体" w:cs="Times New Roman"/>
          <w:spacing w:val="-4"/>
          <w:sz w:val="24"/>
          <w:szCs w:val="24"/>
        </w:rPr>
        <w:t>、物价、粮食等用费进行统计，掌握基本国情，然后</w:t>
      </w:r>
      <w:r>
        <w:rPr>
          <w:rFonts w:hint="default" w:ascii="Times New Roman" w:hAnsi="Times New Roman" w:eastAsia="宋体" w:cs="Times New Roman"/>
          <w:spacing w:val="-3"/>
          <w:sz w:val="24"/>
          <w:szCs w:val="24"/>
        </w:rPr>
        <w:t>确定市场流通需要的货币量。</w:t>
      </w:r>
    </w:p>
    <w:p w14:paraId="5ACA4B4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rPr>
      </w:pPr>
      <w:r>
        <w:rPr>
          <w:rFonts w:hint="default" w:ascii="Times New Roman" w:hAnsi="Times New Roman" w:eastAsia="宋体" w:cs="Times New Roman"/>
          <w:spacing w:val="-4"/>
          <w:sz w:val="24"/>
          <w:szCs w:val="24"/>
        </w:rPr>
        <w:t>粮食是万物价格的压舱石，国家必须控制关乎民众生命线的粮食。由于粮食是“民之司命”，是最重要最基本的生活必需品，所以粮食价格是市场物价风向标。管仲曰：“谷独贵独贱……谷重而万物轻，谷轻而万物重”（《乘马数》</w:t>
      </w:r>
      <w:r>
        <w:rPr>
          <w:rFonts w:hint="default" w:ascii="Times New Roman" w:hAnsi="Times New Roman" w:eastAsia="宋体" w:cs="Times New Roman"/>
          <w:spacing w:val="1"/>
          <w:sz w:val="24"/>
          <w:szCs w:val="24"/>
        </w:rPr>
        <w:t>）；</w:t>
      </w:r>
      <w:r>
        <w:rPr>
          <w:rFonts w:hint="default" w:ascii="Times New Roman" w:hAnsi="Times New Roman" w:eastAsia="宋体" w:cs="Times New Roman"/>
          <w:spacing w:val="-4"/>
          <w:sz w:val="24"/>
          <w:szCs w:val="24"/>
        </w:rPr>
        <w:t>“凡五谷者，万物之主也。谷贵则万物必贱，谷贱则万物必贵。两者为敌，则不俱平。故人君御谷物之秩相胜，而操事于其不平之间。故万民无籍而国利归于君也。”（《国蓄》）意思是说，粮食是万物之本，粮价高则万物价格必低，粮价低则万物价格必高。粮价与物价相互对立，不能同贵同贱，君主之责就是从粮价与物价的交替涨落中掌握制衡之道。如此，即使不向民众征税，财利也会源源不断。这样，便可根据粮价窥见万物价格的波动，平抑物价，稳定市场。正因如此，管仲常常以货币与粮食的关系阐明轻重论。</w:t>
      </w:r>
    </w:p>
    <w:p w14:paraId="099F422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国家应通过掌控货币实现对粮食的控制。管仲指出：“故五谷粟米者</w:t>
      </w:r>
      <w:r>
        <w:rPr>
          <w:rFonts w:hint="default" w:ascii="Times New Roman" w:hAnsi="Times New Roman" w:eastAsia="宋体" w:cs="Times New Roman"/>
          <w:spacing w:val="-5"/>
          <w:sz w:val="24"/>
          <w:szCs w:val="24"/>
        </w:rPr>
        <w:t>，民之司命也；黄金刀布者，民之通</w:t>
      </w:r>
      <w:r>
        <w:rPr>
          <w:rFonts w:hint="default" w:ascii="Times New Roman" w:hAnsi="Times New Roman" w:eastAsia="宋体" w:cs="Times New Roman"/>
          <w:spacing w:val="-4"/>
          <w:sz w:val="24"/>
          <w:szCs w:val="24"/>
        </w:rPr>
        <w:t>货也。先王善制其通货以御其司命，故民力可尽也。”（《轻重乙》）粮食是人民的命脉</w:t>
      </w:r>
      <w:r>
        <w:rPr>
          <w:rFonts w:hint="default" w:ascii="Times New Roman" w:hAnsi="Times New Roman" w:eastAsia="宋体" w:cs="Times New Roman"/>
          <w:spacing w:val="-5"/>
          <w:sz w:val="24"/>
          <w:szCs w:val="24"/>
        </w:rPr>
        <w:t>，黄金刀币（通货）</w:t>
      </w:r>
      <w:r>
        <w:rPr>
          <w:rFonts w:hint="default" w:ascii="Times New Roman" w:hAnsi="Times New Roman" w:eastAsia="宋体" w:cs="Times New Roman"/>
          <w:spacing w:val="-3"/>
          <w:sz w:val="24"/>
          <w:szCs w:val="24"/>
        </w:rPr>
        <w:t>是民众用来交易的媒介，善于治国的君主掌握作为交易的</w:t>
      </w:r>
      <w:r>
        <w:rPr>
          <w:rFonts w:hint="default" w:ascii="Times New Roman" w:hAnsi="Times New Roman" w:eastAsia="宋体" w:cs="Times New Roman"/>
          <w:spacing w:val="-4"/>
          <w:sz w:val="24"/>
          <w:szCs w:val="24"/>
        </w:rPr>
        <w:t>货币来控制关乎民众生死的粮食，就可以最大限度地</w:t>
      </w:r>
      <w:r>
        <w:rPr>
          <w:rFonts w:hint="default" w:ascii="Times New Roman" w:hAnsi="Times New Roman" w:eastAsia="宋体" w:cs="Times New Roman"/>
          <w:spacing w:val="-3"/>
          <w:sz w:val="24"/>
          <w:szCs w:val="24"/>
        </w:rPr>
        <w:t>使用民力了。关于粮食与货币的关系，管仲认为，粮贵金</w:t>
      </w:r>
      <w:r>
        <w:rPr>
          <w:rFonts w:hint="default" w:ascii="Times New Roman" w:hAnsi="Times New Roman" w:eastAsia="宋体" w:cs="Times New Roman"/>
          <w:spacing w:val="-4"/>
          <w:sz w:val="24"/>
          <w:szCs w:val="24"/>
        </w:rPr>
        <w:t>贱，反之，金贵粮贱。因“粟重黄金轻，黄金重而粟</w:t>
      </w:r>
      <w:r>
        <w:rPr>
          <w:rFonts w:hint="default" w:ascii="Times New Roman" w:hAnsi="Times New Roman" w:eastAsia="宋体" w:cs="Times New Roman"/>
          <w:spacing w:val="-3"/>
          <w:sz w:val="24"/>
          <w:szCs w:val="24"/>
        </w:rPr>
        <w:t>轻，两者不衡立”（《轻重甲》）之故，善为国者必须通</w:t>
      </w:r>
      <w:r>
        <w:rPr>
          <w:rFonts w:hint="default" w:ascii="Times New Roman" w:hAnsi="Times New Roman" w:eastAsia="宋体" w:cs="Times New Roman"/>
          <w:spacing w:val="-4"/>
          <w:sz w:val="24"/>
          <w:szCs w:val="24"/>
        </w:rPr>
        <w:t>过轻重之术操控货币供给与粮食价格，谨防出现“金</w:t>
      </w:r>
      <w:r>
        <w:rPr>
          <w:rFonts w:hint="default" w:ascii="Times New Roman" w:hAnsi="Times New Roman" w:eastAsia="宋体" w:cs="Times New Roman"/>
          <w:spacing w:val="-3"/>
          <w:sz w:val="24"/>
          <w:szCs w:val="24"/>
        </w:rPr>
        <w:t>与粟争贵”即货币与粮食争贵贱的现象。管仲通过建立国</w:t>
      </w:r>
      <w:r>
        <w:rPr>
          <w:rFonts w:hint="default" w:ascii="Times New Roman" w:hAnsi="Times New Roman" w:eastAsia="宋体" w:cs="Times New Roman"/>
          <w:spacing w:val="-4"/>
          <w:sz w:val="24"/>
          <w:szCs w:val="24"/>
        </w:rPr>
        <w:t>家粮食储备与基金储备制度进行宏观调控。管仲曰：</w:t>
      </w:r>
      <w:r>
        <w:rPr>
          <w:rFonts w:hint="default" w:ascii="Times New Roman" w:hAnsi="Times New Roman" w:eastAsia="宋体" w:cs="Times New Roman"/>
          <w:spacing w:val="-3"/>
          <w:sz w:val="24"/>
          <w:szCs w:val="24"/>
        </w:rPr>
        <w:t>“凡轻重之大利，以重射轻，以贱泄平。万物</w:t>
      </w:r>
      <w:r>
        <w:rPr>
          <w:rFonts w:hint="default" w:ascii="Times New Roman" w:hAnsi="Times New Roman" w:eastAsia="宋体" w:cs="Times New Roman"/>
          <w:spacing w:val="-3"/>
          <w:sz w:val="28"/>
          <w:szCs w:val="28"/>
        </w:rPr>
        <w:t>之</w:t>
      </w:r>
      <w:r>
        <w:rPr>
          <w:rFonts w:hint="default" w:ascii="Times New Roman" w:hAnsi="Times New Roman" w:eastAsia="宋体" w:cs="Times New Roman"/>
          <w:spacing w:val="-3"/>
          <w:sz w:val="24"/>
          <w:szCs w:val="24"/>
        </w:rPr>
        <w:t>满虚随</w:t>
      </w:r>
      <w:r>
        <w:rPr>
          <w:rFonts w:hint="default" w:ascii="Times New Roman" w:hAnsi="Times New Roman" w:eastAsia="宋体" w:cs="Times New Roman"/>
          <w:spacing w:val="-4"/>
          <w:sz w:val="24"/>
          <w:szCs w:val="24"/>
        </w:rPr>
        <w:t>财准平而不变，衡绝则重见。人君知其然，故守之以准</w:t>
      </w:r>
      <w:r>
        <w:rPr>
          <w:rFonts w:hint="default" w:ascii="Times New Roman" w:hAnsi="Times New Roman" w:eastAsia="宋体" w:cs="Times New Roman"/>
          <w:spacing w:val="-3"/>
          <w:sz w:val="24"/>
          <w:szCs w:val="24"/>
        </w:rPr>
        <w:t>平……故大贾蓄家不得豪夺吾民矣。”（《国蓄》）在《</w:t>
      </w:r>
      <w:r>
        <w:rPr>
          <w:rFonts w:hint="default" w:ascii="Times New Roman" w:hAnsi="Times New Roman" w:eastAsia="宋体" w:cs="Times New Roman"/>
          <w:spacing w:val="-4"/>
          <w:sz w:val="24"/>
          <w:szCs w:val="24"/>
        </w:rPr>
        <w:t>乘马》篇中，管仲提出了世界上最早的货币理论——“金本位”制度。所谓“乘马”，就是运算、筹划的意思。黄金货币是商品的价值尺度，因此管仲曰：“黄金</w:t>
      </w:r>
      <w:r>
        <w:rPr>
          <w:rFonts w:hint="default" w:ascii="Times New Roman" w:hAnsi="Times New Roman" w:eastAsia="宋体" w:cs="Times New Roman"/>
          <w:spacing w:val="-3"/>
          <w:sz w:val="24"/>
          <w:szCs w:val="24"/>
        </w:rPr>
        <w:t>者，用之量也。”（《乘马》）</w:t>
      </w:r>
    </w:p>
    <w:p w14:paraId="33BE769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rPr>
        <w:t>为了使社会经济有序运行，必须保持产品供求与价格均衡适度。管仲认为，当一种产品充裕时就变“轻”，</w:t>
      </w:r>
      <w:r>
        <w:rPr>
          <w:rFonts w:hint="default" w:ascii="Times New Roman" w:hAnsi="Times New Roman" w:eastAsia="宋体" w:cs="Times New Roman"/>
          <w:spacing w:val="-4"/>
          <w:sz w:val="24"/>
          <w:szCs w:val="24"/>
        </w:rPr>
        <w:t>价格下跌；当产品被窖藏时就变“重”，价格上涨。货物“重则至，轻则去”，依据其“轻重”程度流入或流出市场，直到形成一个均衡的价格水平为止。轻重之学的要义是在两者之间寻求平衡点，避免“货尽而后知不足”以及“而后知货之有余”（《乘马》）两种极端情形。“岁有凶穰，故谷有贵贱；令有缓急，故物有轻重”（《国蓄》）。如果国家不能及时调控，财富就会过度集中，破坏经济平衡。管仲建议，当以轻重之术散开积聚，利用“币重而万物轻，币轻而万物重”（《山至数》）的法则，在轻</w:t>
      </w:r>
      <w:r>
        <w:rPr>
          <w:rFonts w:hint="default" w:ascii="Times New Roman" w:hAnsi="Times New Roman" w:eastAsia="宋体" w:cs="Times New Roman"/>
          <w:spacing w:val="-5"/>
          <w:sz w:val="24"/>
          <w:szCs w:val="24"/>
        </w:rPr>
        <w:t>重、贵贱、高低之间按步骤、有计划</w:t>
      </w:r>
      <w:r>
        <w:rPr>
          <w:rFonts w:hint="default" w:ascii="Times New Roman" w:hAnsi="Times New Roman" w:eastAsia="宋体" w:cs="Times New Roman"/>
          <w:spacing w:val="-4"/>
          <w:sz w:val="24"/>
          <w:szCs w:val="24"/>
        </w:rPr>
        <w:t>地进行调控。譬如对粮食这一战略性物资，具体做法是：轻（贱）时买，重（贵）时卖。在五谷丰产价格走低时，为保护农民利益，国家大量收储，这时粮价就会上升，此谓“藏则重”、去则少；粮价看涨时，国家大量抛售，引导市场价格下降，此谓“发则轻，散则多”（《揆度》）。轻重之间，国家轻松实现对经济的合理调控，或适时适地“以重射轻”，或“以贱泄平”，即“谷贱则以币予食，布帛贱则以币予衣。视物之轻重而御之以准，故贵贱可调而君得其利”（《国蓄》）。意思是说，粮价低就把货币投向粮食，布帛价低就把货币投向布帛，视物价高低采用相应平准物价之法。当然，均衡是动态的，而非固定不变。桓公重视宏观调控，对货</w:t>
      </w:r>
      <w:r>
        <w:rPr>
          <w:rFonts w:hint="default" w:ascii="Times New Roman" w:hAnsi="Times New Roman" w:eastAsia="宋体" w:cs="Times New Roman"/>
          <w:spacing w:val="-5"/>
          <w:sz w:val="24"/>
          <w:szCs w:val="24"/>
        </w:rPr>
        <w:t>币商品供求均衡非常关心，问管仲均衡供求有无定数：“衡有数乎？”管子对曰：“衡无数也。衡者使物一高</w:t>
      </w:r>
      <w:r>
        <w:rPr>
          <w:rFonts w:hint="default" w:ascii="Times New Roman" w:hAnsi="Times New Roman" w:eastAsia="宋体" w:cs="Times New Roman"/>
          <w:spacing w:val="-4"/>
          <w:sz w:val="24"/>
          <w:szCs w:val="24"/>
        </w:rPr>
        <w:t>一下，不得常固。”（《轻重乙》）就是说，均衡供求不是指固定在一个数字上，而是使物价有高有低，在合</w:t>
      </w:r>
      <w:r>
        <w:rPr>
          <w:rFonts w:hint="default" w:ascii="Times New Roman" w:hAnsi="Times New Roman" w:eastAsia="宋体" w:cs="Times New Roman"/>
          <w:spacing w:val="-5"/>
          <w:sz w:val="24"/>
          <w:szCs w:val="24"/>
        </w:rPr>
        <w:t>理区间波动。</w:t>
      </w:r>
    </w:p>
    <w:p w14:paraId="1918D78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rPr>
        <w:t>“轻重之术”除了用于内政，还在外交上大显身手，成</w:t>
      </w:r>
      <w:r>
        <w:rPr>
          <w:rFonts w:hint="default" w:ascii="Times New Roman" w:hAnsi="Times New Roman" w:eastAsia="宋体" w:cs="Times New Roman"/>
          <w:spacing w:val="-7"/>
          <w:sz w:val="24"/>
          <w:szCs w:val="24"/>
        </w:rPr>
        <w:t>功聚天下之财。管仲认为：“为国不能来天下之财，</w:t>
      </w:r>
      <w:r>
        <w:rPr>
          <w:rFonts w:hint="default" w:ascii="Times New Roman" w:hAnsi="Times New Roman" w:eastAsia="宋体" w:cs="Times New Roman"/>
          <w:spacing w:val="-4"/>
          <w:sz w:val="24"/>
          <w:szCs w:val="24"/>
        </w:rPr>
        <w:t>致天下之民，则国不可成。”（《轻重甲》）对“重则至，轻则去”之理，管</w:t>
      </w:r>
      <w:r>
        <w:rPr>
          <w:rFonts w:hint="default" w:ascii="Times New Roman" w:hAnsi="Times New Roman" w:eastAsia="宋体" w:cs="Times New Roman"/>
          <w:spacing w:val="-5"/>
          <w:sz w:val="24"/>
          <w:szCs w:val="24"/>
        </w:rPr>
        <w:t>仲释曰：“善为国者，如金石之</w:t>
      </w:r>
      <w:r>
        <w:rPr>
          <w:rFonts w:hint="default" w:ascii="Times New Roman" w:hAnsi="Times New Roman" w:eastAsia="宋体" w:cs="Times New Roman"/>
          <w:spacing w:val="-6"/>
          <w:sz w:val="24"/>
          <w:szCs w:val="24"/>
        </w:rPr>
        <w:t>相举，重钧则金倾。……故物重则至，轻则去，有以</w:t>
      </w:r>
      <w:r>
        <w:rPr>
          <w:rFonts w:hint="default" w:ascii="Times New Roman" w:hAnsi="Times New Roman" w:eastAsia="宋体" w:cs="Times New Roman"/>
          <w:spacing w:val="-7"/>
          <w:sz w:val="24"/>
          <w:szCs w:val="24"/>
        </w:rPr>
        <w:t>重至而轻处者，我动而错之，天下即已于我矣。物臧则重，</w:t>
      </w:r>
      <w:r>
        <w:rPr>
          <w:rFonts w:hint="default" w:ascii="Times New Roman" w:hAnsi="Times New Roman" w:eastAsia="宋体" w:cs="Times New Roman"/>
          <w:spacing w:val="-4"/>
          <w:sz w:val="24"/>
          <w:szCs w:val="24"/>
        </w:rPr>
        <w:t>发则轻，散则多。币重则民死利，币轻则决而不用，故轻重调于数而止。”（《揆度》）不通于轻重之术，则</w:t>
      </w:r>
      <w:r>
        <w:rPr>
          <w:rFonts w:hint="default" w:ascii="Times New Roman" w:hAnsi="Times New Roman" w:eastAsia="宋体" w:cs="Times New Roman"/>
          <w:spacing w:val="-10"/>
          <w:sz w:val="24"/>
          <w:szCs w:val="24"/>
        </w:rPr>
        <w:t>不可以为国，“故善为国者，天下下，我高；</w:t>
      </w:r>
      <w:r>
        <w:rPr>
          <w:rFonts w:hint="default" w:ascii="Times New Roman" w:hAnsi="Times New Roman" w:eastAsia="宋体" w:cs="Times New Roman"/>
          <w:spacing w:val="-11"/>
          <w:sz w:val="24"/>
          <w:szCs w:val="24"/>
        </w:rPr>
        <w:t>天下轻，我重；天下多，我寡。然后可以朝天下”（《轻重乙》）。</w:t>
      </w:r>
      <w:r>
        <w:rPr>
          <w:rFonts w:hint="default" w:ascii="Times New Roman" w:hAnsi="Times New Roman" w:eastAsia="宋体" w:cs="Times New Roman"/>
          <w:spacing w:val="-4"/>
          <w:sz w:val="24"/>
          <w:szCs w:val="24"/>
        </w:rPr>
        <w:t>管仲熟练运用轻重之术对外策划的鲁绨之谋、衡山之谋、楚鹿之谋、石壁之谋和菁茅之谋等，彰显了高超的金融智慧，堪称古代货币战争的经典案例，既助力富民强国，又不战而屈人之兵。</w:t>
      </w:r>
    </w:p>
    <w:p w14:paraId="3B9AAF4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管仲的轻重之学实际上是对市场供需理论的科学预言，系统而完备，简明而扼要。管仲“以轻重御天下之</w:t>
      </w:r>
      <w:r>
        <w:rPr>
          <w:rFonts w:hint="default" w:ascii="Times New Roman" w:hAnsi="Times New Roman" w:eastAsia="宋体" w:cs="Times New Roman"/>
          <w:spacing w:val="-3"/>
          <w:sz w:val="24"/>
          <w:szCs w:val="24"/>
        </w:rPr>
        <w:t>道”（《山至数》</w:t>
      </w:r>
      <w:r>
        <w:rPr>
          <w:rFonts w:hint="default" w:ascii="Times New Roman" w:hAnsi="Times New Roman" w:eastAsia="宋体" w:cs="Times New Roman"/>
          <w:spacing w:val="-15"/>
          <w:sz w:val="24"/>
          <w:szCs w:val="24"/>
        </w:rPr>
        <w:t>），</w:t>
      </w:r>
      <w:r>
        <w:rPr>
          <w:rFonts w:hint="default" w:ascii="Times New Roman" w:hAnsi="Times New Roman" w:eastAsia="宋体" w:cs="Times New Roman"/>
          <w:spacing w:val="-3"/>
          <w:sz w:val="24"/>
          <w:szCs w:val="24"/>
        </w:rPr>
        <w:t>堪为经世济民之学范式。因此，在中国历史上“轻重”概</w:t>
      </w:r>
      <w:r>
        <w:rPr>
          <w:rFonts w:hint="default" w:ascii="Times New Roman" w:hAnsi="Times New Roman" w:eastAsia="宋体" w:cs="Times New Roman"/>
          <w:spacing w:val="-4"/>
          <w:sz w:val="24"/>
          <w:szCs w:val="24"/>
        </w:rPr>
        <w:t>念常常与管仲经济学联系在一</w:t>
      </w:r>
      <w:r>
        <w:rPr>
          <w:rFonts w:hint="default" w:ascii="Times New Roman" w:hAnsi="Times New Roman" w:eastAsia="宋体" w:cs="Times New Roman"/>
          <w:spacing w:val="-3"/>
          <w:sz w:val="24"/>
          <w:szCs w:val="24"/>
        </w:rPr>
        <w:t>起。史载：“管仲设轻重鱼盐之利，以赡贫穷，禄贤能，齐人皆悦”</w:t>
      </w:r>
      <w:r>
        <w:rPr>
          <w:rStyle w:val="20"/>
          <w:rFonts w:hint="default" w:ascii="Times New Roman" w:hAnsi="Times New Roman" w:eastAsia="宋体" w:cs="Times New Roman"/>
          <w:spacing w:val="-3"/>
          <w:sz w:val="24"/>
          <w:szCs w:val="24"/>
        </w:rPr>
        <w:footnoteReference w:id="656"/>
      </w:r>
      <w:r>
        <w:rPr>
          <w:rFonts w:hint="default" w:ascii="Times New Roman" w:hAnsi="Times New Roman" w:eastAsia="宋体" w:cs="Times New Roman"/>
          <w:spacing w:val="-3"/>
          <w:sz w:val="24"/>
          <w:szCs w:val="24"/>
        </w:rPr>
        <w:t>；“齐桓公用管仲之谋，通轻重之权，</w:t>
      </w:r>
      <w:r>
        <w:rPr>
          <w:rFonts w:hint="default" w:ascii="Times New Roman" w:hAnsi="Times New Roman" w:eastAsia="宋体" w:cs="Times New Roman"/>
          <w:spacing w:val="-2"/>
          <w:sz w:val="24"/>
          <w:szCs w:val="24"/>
        </w:rPr>
        <w:t>徼山海之业，以朝诸侯，用区区之齐显成霸名”</w:t>
      </w:r>
      <w:r>
        <w:rPr>
          <w:rStyle w:val="20"/>
          <w:rFonts w:hint="default" w:ascii="Times New Roman" w:hAnsi="Times New Roman" w:eastAsia="宋体" w:cs="Times New Roman"/>
          <w:spacing w:val="-2"/>
          <w:sz w:val="24"/>
          <w:szCs w:val="24"/>
        </w:rPr>
        <w:footnoteReference w:id="657"/>
      </w:r>
      <w:r>
        <w:rPr>
          <w:rFonts w:hint="default" w:ascii="Times New Roman" w:hAnsi="Times New Roman" w:eastAsia="宋体" w:cs="Times New Roman"/>
          <w:spacing w:val="-2"/>
          <w:sz w:val="24"/>
          <w:szCs w:val="24"/>
        </w:rPr>
        <w:t>；“管子……设轻重九府，则</w:t>
      </w:r>
      <w:r>
        <w:rPr>
          <w:rFonts w:hint="default" w:ascii="Times New Roman" w:hAnsi="Times New Roman" w:eastAsia="宋体" w:cs="Times New Roman"/>
          <w:spacing w:val="-3"/>
          <w:sz w:val="24"/>
          <w:szCs w:val="24"/>
        </w:rPr>
        <w:t>桓公以霸。”通轻重之变的管</w:t>
      </w:r>
      <w:r>
        <w:rPr>
          <w:rFonts w:hint="default" w:ascii="Times New Roman" w:hAnsi="Times New Roman" w:eastAsia="宋体" w:cs="Times New Roman"/>
          <w:spacing w:val="-4"/>
          <w:sz w:val="24"/>
          <w:szCs w:val="24"/>
        </w:rPr>
        <w:t>仲</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助力齐国成功聚天下之财，民富国强。</w:t>
      </w:r>
    </w:p>
    <w:p w14:paraId="180D7162">
      <w:pPr>
        <w:pStyle w:val="4"/>
        <w:bidi w:val="0"/>
        <w:rPr>
          <w:rFonts w:hint="default"/>
        </w:rPr>
      </w:pPr>
      <w:r>
        <w:rPr>
          <w:rFonts w:hint="default"/>
        </w:rPr>
        <w:t>八、相地衰征、分级定租的级差地租</w:t>
      </w:r>
    </w:p>
    <w:p w14:paraId="4D7DCBC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作为超越时代的经济学天才，管仲在2600多年前就明确界定出经济学的大本大源是研究财富的增减。古代社会，土地几乎是财富的唯一来源，于是，富民强国计划就必须从土地着手。春秋时期，诸侯国大都实行井田制。所谓井田制，就是把土地划分成形似井字的若干方块，有公田、私田之分，私田收成归农户，公田收成要上交，农户必须先耕种公田，再耕种私田。因为收成归属不同，农户对其重视程度自然大不相同。大多数农户在私田上精耕细作，公田上得过且过，致使公田收成少于私田。为了弥补公田收成，领主们就会进一步增加公田的面积。农户们不堪重负，或者继续消极怠工，或者大量移民，弃田逃跑。“无田甫田，维莠骄骄。无思远人，劳心忉忉。无田甫田，维莠桀桀。无思远人，劳心怛怛。”《诗经》中的</w:t>
      </w:r>
      <w:r>
        <w:rPr>
          <w:rFonts w:hint="default" w:ascii="Times New Roman" w:hAnsi="Times New Roman" w:eastAsia="宋体" w:cs="Times New Roman"/>
          <w:spacing w:val="-5"/>
          <w:sz w:val="24"/>
          <w:szCs w:val="24"/>
        </w:rPr>
        <w:t>这首《甫田》之诗，描写的就</w:t>
      </w:r>
      <w:r>
        <w:rPr>
          <w:rFonts w:hint="default" w:ascii="Times New Roman" w:hAnsi="Times New Roman" w:eastAsia="宋体" w:cs="Times New Roman"/>
          <w:spacing w:val="-4"/>
          <w:sz w:val="24"/>
          <w:szCs w:val="24"/>
        </w:rPr>
        <w:t>是当时田野荒芜的真实场景。管仲改革，主张“井田均畴”，废除原有的“井田制”，不再有公私之别，把所有耕地重新统计后，按照劳动力全部分配到农户手中。毫无疑问，这是中国历史</w:t>
      </w:r>
      <w:r>
        <w:rPr>
          <w:rFonts w:hint="default" w:ascii="Times New Roman" w:hAnsi="Times New Roman" w:eastAsia="宋体" w:cs="Times New Roman"/>
          <w:spacing w:val="-5"/>
          <w:sz w:val="24"/>
          <w:szCs w:val="24"/>
        </w:rPr>
        <w:t>上最早的“耕者有其田”制度</w:t>
      </w:r>
      <w:r>
        <w:rPr>
          <w:rFonts w:hint="default" w:ascii="Times New Roman" w:hAnsi="Times New Roman" w:eastAsia="宋体" w:cs="Times New Roman"/>
          <w:spacing w:val="-6"/>
          <w:sz w:val="24"/>
          <w:szCs w:val="24"/>
        </w:rPr>
        <w:t>设计。</w:t>
      </w:r>
    </w:p>
    <w:p w14:paraId="08350CF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然而，土地有肥有瘦，气候有旱有涝，怎样相对公平地征收赋税呢？管仲在了解了齐国土地情况后，破天</w:t>
      </w:r>
      <w:r>
        <w:rPr>
          <w:rFonts w:hint="default" w:ascii="Times New Roman" w:hAnsi="Times New Roman" w:eastAsia="宋体" w:cs="Times New Roman"/>
          <w:spacing w:val="-8"/>
          <w:sz w:val="24"/>
          <w:szCs w:val="24"/>
        </w:rPr>
        <w:t>荒地出台了人类历史上最早的级差地租政策——“相地而衰征”（《国语·齐语》）。相，察，看</w:t>
      </w:r>
      <w:r>
        <w:rPr>
          <w:rFonts w:hint="default" w:ascii="Times New Roman" w:hAnsi="Times New Roman" w:eastAsia="宋体" w:cs="Times New Roman"/>
          <w:spacing w:val="-9"/>
          <w:sz w:val="24"/>
          <w:szCs w:val="24"/>
        </w:rPr>
        <w:t>；衰，差别，</w:t>
      </w:r>
      <w:r>
        <w:rPr>
          <w:rFonts w:hint="default" w:ascii="Times New Roman" w:hAnsi="Times New Roman" w:eastAsia="宋体" w:cs="Times New Roman"/>
          <w:spacing w:val="-6"/>
          <w:sz w:val="24"/>
          <w:szCs w:val="24"/>
        </w:rPr>
        <w:t>等级；征，征税。具体做法是，先把土地分门别类</w:t>
      </w:r>
      <w:r>
        <w:rPr>
          <w:rFonts w:hint="default" w:ascii="Times New Roman" w:hAnsi="Times New Roman" w:eastAsia="宋体" w:cs="Times New Roman"/>
          <w:spacing w:val="-7"/>
          <w:sz w:val="24"/>
          <w:szCs w:val="24"/>
        </w:rPr>
        <w:t>，然后按照土地的好坏分等级征税。全国统一划分土地等级</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3"/>
          <w:sz w:val="24"/>
          <w:szCs w:val="24"/>
        </w:rPr>
        <w:t>不同质量土地的纳税额也是全国统一，按照“相地而衰征”的动态税率，优质土地税率高，次等土地税率低</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6"/>
          <w:sz w:val="24"/>
          <w:szCs w:val="24"/>
        </w:rPr>
        <w:t>由此最大程度地实现了税赋公平。这一动态税率的</w:t>
      </w:r>
      <w:r>
        <w:rPr>
          <w:rFonts w:hint="default" w:ascii="Times New Roman" w:hAnsi="Times New Roman" w:eastAsia="宋体" w:cs="Times New Roman"/>
          <w:spacing w:val="-7"/>
          <w:sz w:val="24"/>
          <w:szCs w:val="24"/>
        </w:rPr>
        <w:t>实施，极大地调动了农户积极性。管仲曰：“相地而衰其政</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4"/>
          <w:sz w:val="24"/>
          <w:szCs w:val="24"/>
        </w:rPr>
        <w:t>则民不移矣。”（《小匡》）利用“相地而衰征”的公平赋税政策，人民便不会随意移居，这不仅有利于培养</w:t>
      </w:r>
      <w:r>
        <w:rPr>
          <w:rFonts w:hint="default" w:ascii="Times New Roman" w:hAnsi="Times New Roman" w:eastAsia="宋体" w:cs="Times New Roman"/>
          <w:spacing w:val="-3"/>
          <w:sz w:val="24"/>
          <w:szCs w:val="24"/>
        </w:rPr>
        <w:t>农民对土地的感情，增加农业产量，也有利于国家的稳定</w:t>
      </w:r>
      <w:r>
        <w:rPr>
          <w:rFonts w:hint="default" w:ascii="Times New Roman" w:hAnsi="Times New Roman" w:eastAsia="宋体" w:cs="Times New Roman"/>
          <w:spacing w:val="-4"/>
          <w:sz w:val="24"/>
          <w:szCs w:val="24"/>
        </w:rPr>
        <w:t>和管理。本着“相地而衰征”的原则，“相高下</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视</w:t>
      </w:r>
      <w:r>
        <w:rPr>
          <w:rFonts w:hint="default" w:ascii="Times New Roman" w:hAnsi="Times New Roman" w:eastAsia="宋体" w:cs="Times New Roman"/>
          <w:spacing w:val="-3"/>
          <w:sz w:val="24"/>
          <w:szCs w:val="24"/>
        </w:rPr>
        <w:t>肥墝，观地宜，明诏期，前后农夫，以时钧修焉，使五谷</w:t>
      </w:r>
      <w:r>
        <w:rPr>
          <w:rFonts w:hint="default" w:ascii="Times New Roman" w:hAnsi="Times New Roman" w:eastAsia="宋体" w:cs="Times New Roman"/>
          <w:spacing w:val="-4"/>
          <w:sz w:val="24"/>
          <w:szCs w:val="24"/>
        </w:rPr>
        <w:t>桑麻，皆安其处”（《立政》）。管仲的土地制度改</w:t>
      </w:r>
      <w:r>
        <w:rPr>
          <w:rFonts w:hint="default" w:ascii="Times New Roman" w:hAnsi="Times New Roman" w:eastAsia="宋体" w:cs="Times New Roman"/>
          <w:spacing w:val="-3"/>
          <w:sz w:val="24"/>
          <w:szCs w:val="24"/>
        </w:rPr>
        <w:t>革既增加了国家的财政收入，又减轻了农民负担，使农民</w:t>
      </w:r>
      <w:r>
        <w:rPr>
          <w:rFonts w:hint="default" w:ascii="Times New Roman" w:hAnsi="Times New Roman" w:eastAsia="宋体" w:cs="Times New Roman"/>
          <w:spacing w:val="-4"/>
          <w:sz w:val="24"/>
          <w:szCs w:val="24"/>
        </w:rPr>
        <w:t>安居乐业。地虽然还是同样的人在种，但没有公私之</w:t>
      </w:r>
      <w:r>
        <w:rPr>
          <w:rFonts w:hint="default" w:ascii="Times New Roman" w:hAnsi="Times New Roman" w:eastAsia="宋体" w:cs="Times New Roman"/>
          <w:spacing w:val="-3"/>
          <w:sz w:val="24"/>
          <w:szCs w:val="24"/>
        </w:rPr>
        <w:t>分，只有多劳多得，辅之以动态收税，即使分到次等土地</w:t>
      </w:r>
      <w:r>
        <w:rPr>
          <w:rFonts w:hint="default" w:ascii="Times New Roman" w:hAnsi="Times New Roman" w:eastAsia="宋体" w:cs="Times New Roman"/>
          <w:spacing w:val="-4"/>
          <w:sz w:val="24"/>
          <w:szCs w:val="24"/>
        </w:rPr>
        <w:t>的人也有劳动积极性，彻底解决了农户积极性不高的</w:t>
      </w:r>
      <w:r>
        <w:rPr>
          <w:rFonts w:hint="default" w:ascii="Times New Roman" w:hAnsi="Times New Roman" w:eastAsia="宋体" w:cs="Times New Roman"/>
          <w:spacing w:val="-3"/>
          <w:sz w:val="24"/>
          <w:szCs w:val="24"/>
        </w:rPr>
        <w:t>问题。“均地分力”“使民知时”，实行新的土地税赋政</w:t>
      </w:r>
      <w:r>
        <w:rPr>
          <w:rFonts w:hint="default" w:ascii="Times New Roman" w:hAnsi="Times New Roman" w:eastAsia="宋体" w:cs="Times New Roman"/>
          <w:spacing w:val="-4"/>
          <w:sz w:val="24"/>
          <w:szCs w:val="24"/>
        </w:rPr>
        <w:t>策后，百姓“夜寝蚤起，父子兄弟，不忘其功。为而</w:t>
      </w:r>
      <w:r>
        <w:rPr>
          <w:rFonts w:hint="default" w:ascii="Times New Roman" w:hAnsi="Times New Roman" w:eastAsia="宋体" w:cs="Times New Roman"/>
          <w:spacing w:val="-6"/>
          <w:sz w:val="24"/>
          <w:szCs w:val="24"/>
        </w:rPr>
        <w:t>不倦，民不惮劳苦”（《乘马》）。不仅如此，“</w:t>
      </w:r>
      <w:r>
        <w:rPr>
          <w:rFonts w:hint="default" w:ascii="Times New Roman" w:hAnsi="Times New Roman" w:eastAsia="宋体" w:cs="Times New Roman"/>
          <w:spacing w:val="-7"/>
          <w:sz w:val="24"/>
          <w:szCs w:val="24"/>
        </w:rPr>
        <w:t>相地而衰征”土地政策还像磁石一样吸引着其他诸侯国百姓，</w:t>
      </w:r>
      <w:r>
        <w:rPr>
          <w:rFonts w:hint="default" w:ascii="Times New Roman" w:hAnsi="Times New Roman" w:eastAsia="宋体" w:cs="Times New Roman"/>
          <w:spacing w:val="-3"/>
          <w:sz w:val="24"/>
          <w:szCs w:val="24"/>
        </w:rPr>
        <w:t>“天下之归我者若流水”（《轻重甲》）。</w:t>
      </w:r>
    </w:p>
    <w:p w14:paraId="4C644E3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与“相地而衰征”同时进行的土地税制政策，是“因时而衰征”。按照“因时而衰征”的浮动税</w:t>
      </w:r>
      <w:r>
        <w:rPr>
          <w:rFonts w:hint="default" w:ascii="Times New Roman" w:hAnsi="Times New Roman" w:eastAsia="宋体" w:cs="Times New Roman"/>
          <w:spacing w:val="-5"/>
          <w:sz w:val="24"/>
          <w:szCs w:val="24"/>
        </w:rPr>
        <w:t>率，丰收</w:t>
      </w:r>
      <w:r>
        <w:rPr>
          <w:rFonts w:hint="default" w:ascii="Times New Roman" w:hAnsi="Times New Roman" w:eastAsia="宋体" w:cs="Times New Roman"/>
          <w:spacing w:val="-4"/>
          <w:sz w:val="24"/>
          <w:szCs w:val="24"/>
        </w:rPr>
        <w:t>时期税率稍高一点，歉收时节就少拿几成，大灾之年直接免税。“因时而衰征”的浮动税赋政策，尽显管仲经济学的人文关怀，以及经世济民之学的学科归属。</w:t>
      </w:r>
    </w:p>
    <w:p w14:paraId="0D67EE1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差异化的税收政策——“相地而衰征”与“因时而衰征”，征税方式灵活多样，无疑是个人所得税超</w:t>
      </w:r>
      <w:r>
        <w:rPr>
          <w:rFonts w:hint="default" w:ascii="Times New Roman" w:hAnsi="Times New Roman" w:eastAsia="宋体" w:cs="Times New Roman"/>
          <w:spacing w:val="-5"/>
          <w:sz w:val="24"/>
          <w:szCs w:val="24"/>
        </w:rPr>
        <w:t>额累进税率的早期形态。差异化土地税赋，体现了管仲对经济运行规律的深刻理解和精准把控。从某种意义上说</w:t>
      </w:r>
      <w:r>
        <w:rPr>
          <w:rFonts w:hint="default" w:ascii="Times New Roman" w:hAnsi="Times New Roman" w:eastAsia="宋体" w:cs="Times New Roman"/>
          <w:spacing w:val="-5"/>
          <w:sz w:val="24"/>
          <w:szCs w:val="24"/>
          <w:lang w:eastAsia="zh-CN"/>
        </w:rPr>
        <w:t>，</w:t>
      </w:r>
      <w:r>
        <w:rPr>
          <w:rFonts w:hint="default" w:ascii="Times New Roman" w:hAnsi="Times New Roman" w:eastAsia="宋体" w:cs="Times New Roman"/>
          <w:spacing w:val="-4"/>
          <w:sz w:val="24"/>
          <w:szCs w:val="24"/>
        </w:rPr>
        <w:t>“相地而衰征”与马克思主义的级差地租理论异曲而同工，表现了管仲卓越的经世济民</w:t>
      </w:r>
      <w:r>
        <w:rPr>
          <w:rFonts w:hint="default" w:ascii="Times New Roman" w:hAnsi="Times New Roman" w:eastAsia="宋体" w:cs="Times New Roman"/>
          <w:spacing w:val="-5"/>
          <w:sz w:val="24"/>
          <w:szCs w:val="24"/>
        </w:rPr>
        <w:t>智慧。</w:t>
      </w:r>
    </w:p>
    <w:p w14:paraId="5B5048D0">
      <w:pPr>
        <w:pStyle w:val="4"/>
        <w:bidi w:val="0"/>
        <w:rPr>
          <w:rFonts w:hint="default"/>
        </w:rPr>
      </w:pPr>
      <w:r>
        <w:rPr>
          <w:rFonts w:hint="default"/>
        </w:rPr>
        <w:t>九、人与天调、和谐生物的生态经济</w:t>
      </w:r>
    </w:p>
    <w:p w14:paraId="2DB84B9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9"/>
          <w:sz w:val="24"/>
          <w:szCs w:val="24"/>
        </w:rPr>
        <w:t>自《周易》开显和谐之道，管仲首次对天人和谐的生态哲学进行了系统论证。溯源和谐哲学，管</w:t>
      </w:r>
      <w:r>
        <w:rPr>
          <w:rFonts w:hint="default" w:ascii="Times New Roman" w:hAnsi="Times New Roman" w:eastAsia="宋体" w:cs="Times New Roman"/>
          <w:spacing w:val="-10"/>
          <w:sz w:val="24"/>
          <w:szCs w:val="24"/>
        </w:rPr>
        <w:t>仲可谓“和</w:t>
      </w:r>
      <w:r>
        <w:rPr>
          <w:rFonts w:hint="default" w:ascii="Times New Roman" w:hAnsi="Times New Roman" w:eastAsia="宋体" w:cs="Times New Roman"/>
          <w:spacing w:val="-4"/>
          <w:sz w:val="24"/>
          <w:szCs w:val="24"/>
        </w:rPr>
        <w:t>谐”一词的最早提出者，也是和谐思想的最早系统阐发者，其闪耀着辩证法光芒的和谐理论，可谓至简至要：</w:t>
      </w:r>
      <w:r>
        <w:rPr>
          <w:rFonts w:hint="default" w:ascii="Times New Roman" w:hAnsi="Times New Roman" w:eastAsia="宋体" w:cs="Times New Roman"/>
          <w:spacing w:val="-7"/>
          <w:sz w:val="24"/>
          <w:szCs w:val="24"/>
        </w:rPr>
        <w:t>“畜之以道，则民和；养之以德，则民合。和合故能谐，谐故能辑，谐辑以悉，莫之能伤”（《兵法》</w:t>
      </w:r>
      <w:r>
        <w:rPr>
          <w:rFonts w:hint="default" w:ascii="Times New Roman" w:hAnsi="Times New Roman" w:eastAsia="宋体" w:cs="Times New Roman"/>
          <w:spacing w:val="-25"/>
          <w:sz w:val="24"/>
          <w:szCs w:val="24"/>
        </w:rPr>
        <w:t>）；</w:t>
      </w:r>
      <w:r>
        <w:rPr>
          <w:rFonts w:hint="default" w:ascii="Times New Roman" w:hAnsi="Times New Roman" w:eastAsia="宋体" w:cs="Times New Roman"/>
          <w:spacing w:val="-7"/>
          <w:sz w:val="24"/>
          <w:szCs w:val="24"/>
        </w:rPr>
        <w:t>“和</w:t>
      </w:r>
      <w:r>
        <w:rPr>
          <w:rFonts w:hint="default" w:ascii="Times New Roman" w:hAnsi="Times New Roman" w:eastAsia="宋体" w:cs="Times New Roman"/>
          <w:spacing w:val="-6"/>
          <w:sz w:val="24"/>
          <w:szCs w:val="24"/>
        </w:rPr>
        <w:t>乃生，不和不生”（《内业》</w:t>
      </w:r>
      <w:r>
        <w:rPr>
          <w:rFonts w:hint="default" w:ascii="Times New Roman" w:hAnsi="Times New Roman" w:eastAsia="宋体" w:cs="Times New Roman"/>
          <w:spacing w:val="-14"/>
          <w:sz w:val="24"/>
          <w:szCs w:val="24"/>
        </w:rPr>
        <w:t>）；</w:t>
      </w:r>
      <w:r>
        <w:rPr>
          <w:rFonts w:hint="default" w:ascii="Times New Roman" w:hAnsi="Times New Roman" w:eastAsia="宋体" w:cs="Times New Roman"/>
          <w:spacing w:val="-6"/>
          <w:sz w:val="24"/>
          <w:szCs w:val="24"/>
        </w:rPr>
        <w:t>“和则能久”（《白心》</w:t>
      </w:r>
      <w:r>
        <w:rPr>
          <w:rFonts w:hint="default" w:ascii="Times New Roman" w:hAnsi="Times New Roman" w:eastAsia="宋体" w:cs="Times New Roman"/>
          <w:spacing w:val="-14"/>
          <w:sz w:val="24"/>
          <w:szCs w:val="24"/>
        </w:rPr>
        <w:t>）；</w:t>
      </w:r>
      <w:r>
        <w:rPr>
          <w:rFonts w:hint="default" w:ascii="Times New Roman" w:hAnsi="Times New Roman" w:eastAsia="宋体" w:cs="Times New Roman"/>
          <w:spacing w:val="-6"/>
          <w:sz w:val="24"/>
          <w:szCs w:val="24"/>
        </w:rPr>
        <w:t>“天地和调，日有长久。”（《度地》）反之，</w:t>
      </w:r>
      <w:r>
        <w:rPr>
          <w:rFonts w:hint="default" w:ascii="Times New Roman" w:hAnsi="Times New Roman" w:eastAsia="宋体" w:cs="Times New Roman"/>
          <w:spacing w:val="-3"/>
          <w:sz w:val="24"/>
          <w:szCs w:val="24"/>
        </w:rPr>
        <w:t>“上下不和，虽安必危”（《形势》）。管仲认为，天地</w:t>
      </w:r>
      <w:r>
        <w:rPr>
          <w:rFonts w:hint="default" w:ascii="Times New Roman" w:hAnsi="Times New Roman" w:eastAsia="宋体" w:cs="Times New Roman"/>
          <w:spacing w:val="-4"/>
          <w:sz w:val="24"/>
          <w:szCs w:val="24"/>
        </w:rPr>
        <w:t>人是一个和谐整体，人是天地的一部分，因此，人的</w:t>
      </w:r>
      <w:r>
        <w:rPr>
          <w:rFonts w:hint="default" w:ascii="Times New Roman" w:hAnsi="Times New Roman" w:eastAsia="宋体" w:cs="Times New Roman"/>
          <w:spacing w:val="-3"/>
          <w:sz w:val="24"/>
          <w:szCs w:val="24"/>
        </w:rPr>
        <w:t>活动应该适配天地变化之道。在管仲看来，道虽然看之无</w:t>
      </w:r>
      <w:r>
        <w:rPr>
          <w:rFonts w:hint="default" w:ascii="Times New Roman" w:hAnsi="Times New Roman" w:eastAsia="宋体" w:cs="Times New Roman"/>
          <w:spacing w:val="-4"/>
          <w:sz w:val="24"/>
          <w:szCs w:val="24"/>
        </w:rPr>
        <w:t>物，抚之无形，但却是天时、地利、人和的根本主导</w:t>
      </w:r>
      <w:r>
        <w:rPr>
          <w:rFonts w:hint="default" w:ascii="Times New Roman" w:hAnsi="Times New Roman" w:eastAsia="宋体" w:cs="Times New Roman"/>
          <w:spacing w:val="-3"/>
          <w:sz w:val="24"/>
          <w:szCs w:val="24"/>
        </w:rPr>
        <w:t>力量。因此，“得天之道，其事若自然；失天之道，虽立不安”（《</w:t>
      </w:r>
      <w:r>
        <w:rPr>
          <w:rFonts w:hint="default" w:ascii="Times New Roman" w:hAnsi="Times New Roman" w:eastAsia="宋体" w:cs="Times New Roman"/>
          <w:spacing w:val="-4"/>
          <w:sz w:val="24"/>
          <w:szCs w:val="24"/>
        </w:rPr>
        <w:t>形势》）。管仲进一步释道曰：“凡道无</w:t>
      </w:r>
    </w:p>
    <w:p w14:paraId="13AADBA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根无茎，无叶无荣。万物以生，万物以成，命之曰道。”（《内业》）生态系统是人类生存和发展的基础，他说：“民之所生，衣与食也。食之所生，水与土</w:t>
      </w:r>
      <w:r>
        <w:rPr>
          <w:rFonts w:hint="default" w:ascii="Times New Roman" w:hAnsi="Times New Roman" w:eastAsia="宋体" w:cs="Times New Roman"/>
          <w:spacing w:val="-5"/>
          <w:sz w:val="24"/>
          <w:szCs w:val="24"/>
        </w:rPr>
        <w:t>也。”（《禁藏》）故此，人类必须“以时为宝”，遵天时而</w:t>
      </w:r>
      <w:r>
        <w:rPr>
          <w:rFonts w:hint="default" w:ascii="Times New Roman" w:hAnsi="Times New Roman" w:eastAsia="宋体" w:cs="Times New Roman"/>
          <w:spacing w:val="-3"/>
          <w:sz w:val="24"/>
          <w:szCs w:val="24"/>
        </w:rPr>
        <w:t>循地利；“不务天时则财不生，不务地利则仓廪不盈”（</w:t>
      </w:r>
      <w:r>
        <w:rPr>
          <w:rFonts w:hint="default" w:ascii="Times New Roman" w:hAnsi="Times New Roman" w:eastAsia="宋体" w:cs="Times New Roman"/>
          <w:spacing w:val="-4"/>
          <w:sz w:val="24"/>
          <w:szCs w:val="24"/>
        </w:rPr>
        <w:t>《牧民》）。“圣人能辅时，不能违时。知者善谋，</w:t>
      </w:r>
      <w:r>
        <w:rPr>
          <w:rFonts w:hint="default" w:ascii="Times New Roman" w:hAnsi="Times New Roman" w:eastAsia="宋体" w:cs="Times New Roman"/>
          <w:spacing w:val="-3"/>
          <w:sz w:val="24"/>
          <w:szCs w:val="24"/>
        </w:rPr>
        <w:t>不如当时。精时者，日少而功多”（《霸言》）。对“人</w:t>
      </w:r>
      <w:r>
        <w:rPr>
          <w:rFonts w:hint="default" w:ascii="Times New Roman" w:hAnsi="Times New Roman" w:eastAsia="宋体" w:cs="Times New Roman"/>
          <w:spacing w:val="-4"/>
          <w:sz w:val="24"/>
          <w:szCs w:val="24"/>
        </w:rPr>
        <w:t>与天调”的生态文明思想，管仲有跨越时空的认知。</w:t>
      </w:r>
      <w:r>
        <w:rPr>
          <w:rFonts w:hint="default" w:ascii="Times New Roman" w:hAnsi="Times New Roman" w:eastAsia="宋体" w:cs="Times New Roman"/>
          <w:spacing w:val="-8"/>
          <w:sz w:val="24"/>
          <w:szCs w:val="24"/>
        </w:rPr>
        <w:t>“人与天调，然后天地之美生”（《五行》）——这是史上最早、最精要的和谐美学表述。管仲告诫世人：“其</w:t>
      </w:r>
      <w:r>
        <w:rPr>
          <w:rFonts w:hint="default" w:ascii="Times New Roman" w:hAnsi="Times New Roman" w:eastAsia="宋体" w:cs="Times New Roman"/>
          <w:spacing w:val="-3"/>
          <w:sz w:val="24"/>
          <w:szCs w:val="24"/>
        </w:rPr>
        <w:t>功顺天者天助之，其功逆天者天违之。天之所助，虽小</w:t>
      </w:r>
      <w:r>
        <w:rPr>
          <w:rFonts w:hint="default" w:ascii="Times New Roman" w:hAnsi="Times New Roman" w:eastAsia="宋体" w:cs="Times New Roman"/>
          <w:spacing w:val="-4"/>
          <w:sz w:val="24"/>
          <w:szCs w:val="24"/>
        </w:rPr>
        <w:t>必大；天之所违，虽成必败。顺天者有其功，逆天者怀</w:t>
      </w:r>
      <w:r>
        <w:rPr>
          <w:rFonts w:hint="default" w:ascii="Times New Roman" w:hAnsi="Times New Roman" w:eastAsia="宋体" w:cs="Times New Roman"/>
          <w:spacing w:val="-3"/>
          <w:sz w:val="24"/>
          <w:szCs w:val="24"/>
        </w:rPr>
        <w:t>其凶。”（《形势》）管仲之天，非意志之天，而是自然</w:t>
      </w:r>
      <w:r>
        <w:rPr>
          <w:rFonts w:hint="default" w:ascii="Times New Roman" w:hAnsi="Times New Roman" w:eastAsia="宋体" w:cs="Times New Roman"/>
          <w:spacing w:val="-4"/>
          <w:sz w:val="24"/>
          <w:szCs w:val="24"/>
        </w:rPr>
        <w:t>之天，自然规律既不能被创造，也不能被消灭，“天</w:t>
      </w:r>
      <w:r>
        <w:rPr>
          <w:rFonts w:hint="default" w:ascii="Times New Roman" w:hAnsi="Times New Roman" w:eastAsia="宋体" w:cs="Times New Roman"/>
          <w:spacing w:val="-3"/>
          <w:sz w:val="24"/>
          <w:szCs w:val="24"/>
        </w:rPr>
        <w:t>不变其常，地不易其则，春秋冬夏不更其节</w:t>
      </w:r>
      <w:r>
        <w:rPr>
          <w:rFonts w:hint="default" w:ascii="Times New Roman" w:hAnsi="Times New Roman" w:eastAsia="宋体" w:cs="Times New Roman"/>
          <w:spacing w:val="-4"/>
          <w:sz w:val="24"/>
          <w:szCs w:val="24"/>
        </w:rPr>
        <w:t>，古今一也”（《形势》）。</w:t>
      </w:r>
    </w:p>
    <w:p w14:paraId="259FB73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深邃的天人和谐思想，为管仲进行仿佛是时空穿越式的生态经济学建构提供了哲学基础。管仲经济学以自然法则作为经济活动的根本遵循，强调人类必须因循自然，与自然和谐共生。《匡乘马》开篇就强调根据时令季节安排生产的重要性，进而从国家治乱高度分析了违背农时的可怕后果。发展经济，“如鸟之覆卵，无形无声，而唯见其成。夫为国之本，得天之时而为经”（《禁藏》）。为了得天之助，倍增功业，管仲总结出“六务四禁”：“一曰节用，二曰贤佐，三曰法度，四曰必诛，五曰天时，六曰地宜。”（《七臣七主》）而所谓“四禁”，即春、夏、秋、冬四季相应禁止的行为。</w:t>
      </w:r>
    </w:p>
    <w:p w14:paraId="0ED76FC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为了有效利用齐国的林木和渔业资源，禁止人们为了眼前利益而滥采乱捕，管仲要求伐木和捕猎只可</w:t>
      </w:r>
      <w:r>
        <w:rPr>
          <w:rFonts w:hint="default" w:ascii="Times New Roman" w:hAnsi="Times New Roman" w:eastAsia="宋体" w:cs="Times New Roman"/>
          <w:spacing w:val="-5"/>
          <w:sz w:val="24"/>
          <w:szCs w:val="24"/>
        </w:rPr>
        <w:t>在适</w:t>
      </w:r>
      <w:r>
        <w:rPr>
          <w:rFonts w:hint="default" w:ascii="Times New Roman" w:hAnsi="Times New Roman" w:eastAsia="宋体" w:cs="Times New Roman"/>
          <w:spacing w:val="-4"/>
          <w:sz w:val="24"/>
          <w:szCs w:val="24"/>
        </w:rPr>
        <w:t>当的季节进行——“山泽各致其时”。基于保护生态环境的考量，管仲出台了历史上最早的自然环境保护法，规定：“修火宪，敬山泽，林薮积草，夫财之所出，以时禁发焉。”（《立政》）管仲主张制定防火法令，按四时之变封禁山林，确保森林资源生生不绝。“山林虽广，草木虽美，禁发必有时；国虽充盈，金玉虽多，宫室必有度；江海虽广，池泽虽博，鱼鳖虽多，罔罟必有正，船网不可一财而成也。非私草木爱鱼鳖也，恶废民于生谷也。”（《八观》）意即要有节制地开采山林，渔业捕捞要有相应规制，禁绝用网眼过密的断子绝孙网捕鱼。《管子》最后一章《轻重己》讲的就是按季节推行政治经济政策的“月令</w:t>
      </w:r>
      <w:r>
        <w:rPr>
          <w:rFonts w:hint="default" w:ascii="Times New Roman" w:hAnsi="Times New Roman" w:eastAsia="宋体" w:cs="Times New Roman"/>
          <w:spacing w:val="-5"/>
          <w:sz w:val="24"/>
          <w:szCs w:val="24"/>
        </w:rPr>
        <w:t>”体系，将经世济民之学落脚</w:t>
      </w:r>
      <w:r>
        <w:rPr>
          <w:rFonts w:hint="default" w:ascii="Times New Roman" w:hAnsi="Times New Roman" w:eastAsia="宋体" w:cs="Times New Roman"/>
          <w:spacing w:val="-8"/>
          <w:sz w:val="24"/>
          <w:szCs w:val="24"/>
        </w:rPr>
        <w:t>到和谐发展上。在《轻重己》的收官处，管仲将无视“月令”的危害——“趣耕而不耕”的“不耕之害”，“宜</w:t>
      </w:r>
      <w:r>
        <w:rPr>
          <w:rFonts w:hint="default" w:ascii="Times New Roman" w:hAnsi="Times New Roman" w:eastAsia="宋体" w:cs="Times New Roman"/>
          <w:spacing w:val="-4"/>
          <w:sz w:val="24"/>
          <w:szCs w:val="24"/>
        </w:rPr>
        <w:t>芸而不芸”的“不芸之害”，“宜获而不获”的“不获之害”，“宜藏而不藏”的“不藏之害”，一一列举，以警示世人，由此实现了人道“牧民”与天道“月令”的首尾呼应，完成了经世济民之学的自洽。</w:t>
      </w:r>
    </w:p>
    <w:p w14:paraId="4C0C7F3D">
      <w:pPr>
        <w:pStyle w:val="4"/>
        <w:bidi w:val="0"/>
        <w:rPr>
          <w:rFonts w:hint="default"/>
        </w:rPr>
      </w:pPr>
      <w:r>
        <w:rPr>
          <w:rFonts w:hint="default"/>
        </w:rPr>
        <w:t>十、财经天下、以道取之的道德经济</w:t>
      </w:r>
    </w:p>
    <w:p w14:paraId="720272B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在管仲经济学2400年后，西方经济学将经世济民之学进行了“经济人之经济利益最大化假设”的庸俗化阉割。我们耳熟能详的西方经济学以资本逻辑为圭臬，致力于私人利润最大化追求，物欲横流的世界里，却没</w:t>
      </w:r>
      <w:r>
        <w:rPr>
          <w:rFonts w:hint="default" w:ascii="Times New Roman" w:hAnsi="Times New Roman" w:eastAsia="宋体" w:cs="Times New Roman"/>
          <w:spacing w:val="-5"/>
          <w:sz w:val="24"/>
          <w:szCs w:val="24"/>
        </w:rPr>
        <w:t>有道德的一席之地。亚当·斯密在《国富论》中公开声言，讨论经济问题无需道德介入，经济学与道德无关。</w:t>
      </w:r>
      <w:r>
        <w:rPr>
          <w:rFonts w:hint="default" w:ascii="Times New Roman" w:hAnsi="Times New Roman" w:eastAsia="宋体" w:cs="Times New Roman"/>
          <w:spacing w:val="-7"/>
          <w:sz w:val="24"/>
          <w:szCs w:val="24"/>
        </w:rPr>
        <w:t>这就否定了经济道德或经济伦理，只言利不言德，把活生生的人视为仅仅为个人利益而奔波的经济动物。然而，</w:t>
      </w:r>
      <w:r>
        <w:rPr>
          <w:rFonts w:hint="default" w:ascii="Times New Roman" w:hAnsi="Times New Roman" w:eastAsia="宋体" w:cs="Times New Roman"/>
          <w:spacing w:val="-4"/>
          <w:sz w:val="24"/>
          <w:szCs w:val="24"/>
        </w:rPr>
        <w:t>离开经济道德引领的市场，终究不过是兽性的丛林。相比于管仲的人文经济学，西方经济学不过是唯私经济学而已。美西方道德的堕落，不讲道德的西方经济学难辞其咎。与只讲效率不讲公平道德、以追逐私人利润最大</w:t>
      </w:r>
      <w:r>
        <w:rPr>
          <w:rFonts w:hint="default" w:ascii="Times New Roman" w:hAnsi="Times New Roman" w:eastAsia="宋体" w:cs="Times New Roman"/>
          <w:spacing w:val="-5"/>
          <w:sz w:val="24"/>
          <w:szCs w:val="24"/>
        </w:rPr>
        <w:t>化为目标的西方经济学不同，具有厚重人文关怀的管仲经济学，是服务于“以人为本”“以百姓为天”、“先</w:t>
      </w:r>
      <w:r>
        <w:rPr>
          <w:rFonts w:hint="default" w:ascii="Times New Roman" w:hAnsi="Times New Roman" w:eastAsia="宋体" w:cs="Times New Roman"/>
          <w:spacing w:val="-7"/>
          <w:sz w:val="24"/>
          <w:szCs w:val="24"/>
        </w:rPr>
        <w:t>富民”后治国的经世济民之学。管仲经济学认为，道德在经济运行中起着定盘星作用，</w:t>
      </w:r>
      <w:r>
        <w:rPr>
          <w:rFonts w:hint="default" w:ascii="Times New Roman" w:hAnsi="Times New Roman" w:eastAsia="宋体" w:cs="Times New Roman"/>
          <w:spacing w:val="-8"/>
          <w:sz w:val="24"/>
          <w:szCs w:val="24"/>
        </w:rPr>
        <w:t>经济学需要道德的锚定。</w:t>
      </w:r>
      <w:r>
        <w:rPr>
          <w:rFonts w:hint="default" w:ascii="Times New Roman" w:hAnsi="Times New Roman" w:eastAsia="宋体" w:cs="Times New Roman"/>
          <w:spacing w:val="-4"/>
          <w:sz w:val="24"/>
          <w:szCs w:val="24"/>
        </w:rPr>
        <w:t>可见，管仲经济学既有安邦定国的高度和仁政厚度，又有普利万民的温度。在管仲经济学视野内，全部政治经济活动的根本是人，人是社会全部政治经济活动的出发点和归宿点。“争天下者必先争人。明大数者得人，审小计者失人”（《霸言》</w:t>
      </w:r>
      <w:r>
        <w:rPr>
          <w:rFonts w:hint="default" w:ascii="Times New Roman" w:hAnsi="Times New Roman" w:eastAsia="宋体" w:cs="Times New Roman"/>
          <w:spacing w:val="1"/>
          <w:sz w:val="24"/>
          <w:szCs w:val="24"/>
        </w:rPr>
        <w:t>），</w:t>
      </w:r>
      <w:r>
        <w:rPr>
          <w:rFonts w:hint="default" w:ascii="Times New Roman" w:hAnsi="Times New Roman" w:eastAsia="宋体" w:cs="Times New Roman"/>
          <w:spacing w:val="-4"/>
          <w:sz w:val="24"/>
          <w:szCs w:val="24"/>
        </w:rPr>
        <w:t>因此，利天下之人才能得天下之人。由此出发，管仲经济学首先致力于大多数人的利益最大化。可见，管仲所言之利，是与天下人同利。而且求利必须合义，所求之利必须是当得之利，未导致贫富悬殊超过警戒线之利；否则就是引发社会动荡的不当之利，非利天下人之利。正因如此，管仲经济学是贯穿道德红线的道德经济学，其制度设计指导思想是：“建当立有，以靖为宗，以时为宝，以政为仪，和则能久。非吾仪虽利不为，非吾当虽利不行，非吾道虽利不取。上之随天，其次随人。”（《白心》）天为人师，管仲要求经世济民之学必须师法公平无私之天德：“天公平而无私，故美恶莫不覆；地公平而无私，故小大莫不载。无弃之言，公平而无私，故贤不肖莫不用。故无弃之言者，参伍于天地之无私也。”（《形势解》）</w:t>
      </w:r>
    </w:p>
    <w:p w14:paraId="1AD9160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尤为可贵的是，管仲经济学蕴含的道德，迥异于后世诸子空泛的道德说教，而是将礼义、道德、廉耻等伦</w:t>
      </w:r>
      <w:r>
        <w:rPr>
          <w:rFonts w:hint="default" w:ascii="Times New Roman" w:hAnsi="Times New Roman" w:eastAsia="宋体" w:cs="Times New Roman"/>
          <w:spacing w:val="-11"/>
          <w:sz w:val="24"/>
          <w:szCs w:val="24"/>
        </w:rPr>
        <w:t>理范畴置于民众物质生活基础上，这就是为后人津津乐道的“仓廪实则知礼节，衣食足则知荣辱”（《牧民》）。</w:t>
      </w:r>
      <w:r>
        <w:rPr>
          <w:rFonts w:hint="default" w:ascii="Times New Roman" w:hAnsi="Times New Roman" w:eastAsia="宋体" w:cs="Times New Roman"/>
          <w:spacing w:val="-4"/>
          <w:sz w:val="24"/>
          <w:szCs w:val="24"/>
        </w:rPr>
        <w:t>正是在这个意义上，管仲经济学被尊为义利并举的经世济民之学。义利并举的管仲经济学施行的结果，是在经济繁荣、百姓安居乐业的同时，仁义道德也蔚然成风。于是，其他诸侯国民众纷纷移居齐国，财富归齐如水之就下，齐国综合国力迅速提升，得以号令天下，九合一匡，实施“尊王攘夷”的既定国策。太史公赞曰：“管</w:t>
      </w:r>
      <w:r>
        <w:rPr>
          <w:rFonts w:hint="default" w:ascii="Times New Roman" w:hAnsi="Times New Roman" w:eastAsia="宋体" w:cs="Times New Roman"/>
          <w:spacing w:val="-5"/>
          <w:sz w:val="24"/>
          <w:szCs w:val="24"/>
        </w:rPr>
        <w:t>仲既用，任政于齐，齐桓公以霸，九合诸侯，一匡天下，管仲之谋也。”</w:t>
      </w:r>
      <w:r>
        <w:rPr>
          <w:rStyle w:val="20"/>
          <w:rFonts w:hint="default" w:ascii="Times New Roman" w:hAnsi="Times New Roman" w:eastAsia="宋体" w:cs="Times New Roman"/>
          <w:spacing w:val="-5"/>
          <w:sz w:val="24"/>
          <w:szCs w:val="24"/>
        </w:rPr>
        <w:footnoteReference w:id="658"/>
      </w:r>
    </w:p>
    <w:p w14:paraId="194DA98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这里必须对“齐桓公以霸”之说加以说明。习惯</w:t>
      </w:r>
      <w:r>
        <w:rPr>
          <w:rFonts w:hint="default" w:ascii="Times New Roman" w:hAnsi="Times New Roman" w:eastAsia="宋体" w:cs="Times New Roman"/>
          <w:spacing w:val="-5"/>
          <w:sz w:val="24"/>
          <w:szCs w:val="24"/>
        </w:rPr>
        <w:t>上，人们普遍认为管仲相齐推行的是霸道，齐桓公是历史</w:t>
      </w:r>
      <w:r>
        <w:rPr>
          <w:rFonts w:hint="default" w:ascii="Times New Roman" w:hAnsi="Times New Roman" w:eastAsia="宋体" w:cs="Times New Roman"/>
          <w:spacing w:val="-4"/>
          <w:sz w:val="24"/>
          <w:szCs w:val="24"/>
        </w:rPr>
        <w:t>公认的“春秋五霸”之首。这其实是对管仲莫大的误解。之所以一直以来有此误</w:t>
      </w:r>
      <w:r>
        <w:rPr>
          <w:rFonts w:hint="default" w:ascii="Times New Roman" w:hAnsi="Times New Roman" w:eastAsia="宋体" w:cs="Times New Roman"/>
          <w:spacing w:val="-5"/>
          <w:sz w:val="24"/>
          <w:szCs w:val="24"/>
        </w:rPr>
        <w:t>读，主要原因在于将王道与霸</w:t>
      </w:r>
      <w:r>
        <w:rPr>
          <w:rFonts w:hint="default" w:ascii="Times New Roman" w:hAnsi="Times New Roman" w:eastAsia="宋体" w:cs="Times New Roman"/>
          <w:spacing w:val="-4"/>
          <w:sz w:val="24"/>
          <w:szCs w:val="24"/>
        </w:rPr>
        <w:t>道混为一谈。管仲相齐，推行的是有道德、有温度的王道，绝不是冷冰冰的霸道。一贯反对霸业的管仲曾向桓</w:t>
      </w:r>
      <w:r>
        <w:rPr>
          <w:rFonts w:hint="default" w:ascii="Times New Roman" w:hAnsi="Times New Roman" w:eastAsia="宋体" w:cs="Times New Roman"/>
          <w:spacing w:val="-8"/>
          <w:sz w:val="24"/>
          <w:szCs w:val="24"/>
        </w:rPr>
        <w:t>公解释曰：“君有霸王之心，而夷吾非霸王之臣也。</w:t>
      </w:r>
      <w:r>
        <w:rPr>
          <w:rFonts w:hint="default" w:ascii="Times New Roman" w:hAnsi="Times New Roman" w:eastAsia="宋体" w:cs="Times New Roman"/>
          <w:spacing w:val="-9"/>
          <w:sz w:val="24"/>
          <w:szCs w:val="24"/>
        </w:rPr>
        <w:t>”（《霸形》）王道与霸道仅一字之差，却谬以千里：“明</w:t>
      </w:r>
      <w:r>
        <w:rPr>
          <w:rFonts w:hint="default" w:ascii="Times New Roman" w:hAnsi="Times New Roman" w:eastAsia="宋体" w:cs="Times New Roman"/>
          <w:spacing w:val="-6"/>
          <w:sz w:val="24"/>
          <w:szCs w:val="24"/>
        </w:rPr>
        <w:t>一者皇，察道者帝，通德者王，谋得兵胜者霸。故夫兵，虽非备道至德也，然而所以辅王成霸。</w:t>
      </w:r>
      <w:r>
        <w:rPr>
          <w:rFonts w:hint="default" w:ascii="Times New Roman" w:hAnsi="Times New Roman" w:eastAsia="宋体" w:cs="Times New Roman"/>
          <w:spacing w:val="-7"/>
          <w:sz w:val="24"/>
          <w:szCs w:val="24"/>
        </w:rPr>
        <w:t>”（《兵法》）</w:t>
      </w:r>
      <w:r>
        <w:rPr>
          <w:rFonts w:hint="default" w:ascii="Times New Roman" w:hAnsi="Times New Roman" w:eastAsia="宋体" w:cs="Times New Roman"/>
          <w:spacing w:val="-4"/>
          <w:sz w:val="24"/>
          <w:szCs w:val="24"/>
        </w:rPr>
        <w:t>意思是说，能通晓万物本源者成就皇业，能洞察治世之道者可成帝业，施行德政者可成王业，靠武力征讨者可成霸业。武力并非施行德政的王业本身，仅仅是君王称霸的辅助手段。管仲明白，如果没有强大武力威慑，所谓匡扶天下、“尊王攘夷”只是梦呓。他还进一步解释道：“得天下之众者王，得其半者霸，是故圣王卑礼以下天下之贤而王之，均分以钓天下之众而臣之。”（《霸言》）可见，以赢得天下民心、共享天下财富、推行</w:t>
      </w:r>
      <w:r>
        <w:rPr>
          <w:rFonts w:hint="default" w:ascii="Times New Roman" w:hAnsi="Times New Roman" w:eastAsia="宋体" w:cs="Times New Roman"/>
          <w:spacing w:val="-5"/>
          <w:sz w:val="24"/>
          <w:szCs w:val="24"/>
        </w:rPr>
        <w:t>道德仁政来治理天下者，才算得上王道。对管仲德化天</w:t>
      </w:r>
      <w:r>
        <w:rPr>
          <w:rFonts w:hint="default" w:ascii="Times New Roman" w:hAnsi="Times New Roman" w:eastAsia="宋体" w:cs="Times New Roman"/>
          <w:spacing w:val="-6"/>
          <w:sz w:val="24"/>
          <w:szCs w:val="24"/>
        </w:rPr>
        <w:t>下的道德功业，170年后的孔子仍然深有感触地颂扬道：</w:t>
      </w:r>
      <w:r>
        <w:rPr>
          <w:rFonts w:hint="default" w:ascii="Times New Roman" w:hAnsi="Times New Roman" w:eastAsia="宋体" w:cs="Times New Roman"/>
          <w:spacing w:val="-3"/>
          <w:sz w:val="24"/>
          <w:szCs w:val="24"/>
        </w:rPr>
        <w:t>“桓公九合诸侯，不以兵车，管仲之力也。如其仁！如其</w:t>
      </w:r>
      <w:r>
        <w:rPr>
          <w:rFonts w:hint="default" w:ascii="Times New Roman" w:hAnsi="Times New Roman" w:eastAsia="宋体" w:cs="Times New Roman"/>
          <w:spacing w:val="-4"/>
          <w:sz w:val="24"/>
          <w:szCs w:val="24"/>
        </w:rPr>
        <w:t>仁”；“管仲相桓公，霸诸侯，一匡天下，民到于今</w:t>
      </w:r>
      <w:r>
        <w:rPr>
          <w:rFonts w:hint="default" w:ascii="Times New Roman" w:hAnsi="Times New Roman" w:eastAsia="宋体" w:cs="Times New Roman"/>
          <w:spacing w:val="-6"/>
          <w:sz w:val="24"/>
          <w:szCs w:val="24"/>
        </w:rPr>
        <w:t>受其赐。微管仲，吾其被发左衽矣。岂若匹夫匹妇之为谅也，自经于沟渎而莫之知也。”（《论语</w:t>
      </w:r>
      <w:r>
        <w:rPr>
          <w:rFonts w:hint="default" w:ascii="Times New Roman" w:hAnsi="Times New Roman" w:eastAsia="宋体" w:cs="Times New Roman"/>
          <w:spacing w:val="-7"/>
          <w:sz w:val="24"/>
          <w:szCs w:val="24"/>
        </w:rPr>
        <w:t>·宪问》）</w:t>
      </w:r>
    </w:p>
    <w:p w14:paraId="257E70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综观诸子百家，唯管仲经世济民之学独树一帜，义利并举，礼法兼容，为史上最全面最深刻的治国思想。管仲首提“以法治国”，同时，十分重视道德教育，将</w:t>
      </w:r>
      <w:r>
        <w:rPr>
          <w:rFonts w:hint="default" w:ascii="Times New Roman" w:hAnsi="Times New Roman" w:eastAsia="宋体" w:cs="Times New Roman"/>
          <w:spacing w:val="-5"/>
          <w:sz w:val="24"/>
          <w:szCs w:val="24"/>
        </w:rPr>
        <w:t>礼、义、廉、耻上升到“国之四维”的高度加以强调：</w:t>
      </w:r>
      <w:r>
        <w:rPr>
          <w:rFonts w:hint="default" w:ascii="Times New Roman" w:hAnsi="Times New Roman" w:eastAsia="宋体" w:cs="Times New Roman"/>
          <w:spacing w:val="-3"/>
          <w:sz w:val="24"/>
          <w:szCs w:val="24"/>
        </w:rPr>
        <w:t>“一维绝则倾，二维绝则危，三维绝则覆，四维绝则灭。倾可正也，</w:t>
      </w:r>
      <w:r>
        <w:rPr>
          <w:rFonts w:hint="default" w:ascii="Times New Roman" w:hAnsi="Times New Roman" w:eastAsia="宋体" w:cs="Times New Roman"/>
          <w:spacing w:val="-4"/>
          <w:sz w:val="24"/>
          <w:szCs w:val="24"/>
        </w:rPr>
        <w:t>危可安也，覆可起也。灭不可复错也”；</w:t>
      </w:r>
      <w:r>
        <w:rPr>
          <w:rFonts w:hint="default" w:ascii="Times New Roman" w:hAnsi="Times New Roman" w:eastAsia="宋体" w:cs="Times New Roman"/>
          <w:spacing w:val="-7"/>
          <w:sz w:val="24"/>
          <w:szCs w:val="24"/>
        </w:rPr>
        <w:t>“守国之度，在饰四维”；“四维不张，国乃灭亡。”（《牧民》）为了加强道德教育的可操作性，管仲将德、</w:t>
      </w:r>
      <w:r>
        <w:rPr>
          <w:rFonts w:hint="default" w:ascii="Times New Roman" w:hAnsi="Times New Roman" w:eastAsia="宋体" w:cs="Times New Roman"/>
          <w:spacing w:val="-3"/>
          <w:sz w:val="24"/>
          <w:szCs w:val="24"/>
        </w:rPr>
        <w:t>义、礼具体化，即“德有六兴，义有七体，礼有八经”（《五辅》）。法安天下，德润民心，左手持“礼”、右手执“法”的管仲，终于辅佐齐桓公成就了</w:t>
      </w:r>
      <w:r>
        <w:rPr>
          <w:rFonts w:hint="default" w:ascii="Times New Roman" w:hAnsi="Times New Roman" w:eastAsia="宋体" w:cs="Times New Roman"/>
          <w:spacing w:val="-4"/>
          <w:sz w:val="24"/>
          <w:szCs w:val="24"/>
        </w:rPr>
        <w:t>“一匡天下”的“尊王攘夷”大业。</w:t>
      </w:r>
    </w:p>
    <w:p w14:paraId="34294EBE">
      <w:pPr>
        <w:pStyle w:val="4"/>
        <w:bidi w:val="0"/>
        <w:rPr>
          <w:rFonts w:hint="default"/>
        </w:rPr>
      </w:pPr>
      <w:r>
        <w:rPr>
          <w:rFonts w:hint="default"/>
        </w:rPr>
        <w:t>十一、谋形造势、制衡天下的经贸博弈</w:t>
      </w:r>
    </w:p>
    <w:p w14:paraId="54E5DD3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作为世界上最早的经济学家和商战宗师，管仲不崇尚穷兵黩武，首创“不以兵车”而征服诸侯的“</w:t>
      </w:r>
      <w:r>
        <w:rPr>
          <w:rFonts w:hint="default" w:ascii="Times New Roman" w:hAnsi="Times New Roman" w:eastAsia="宋体" w:cs="Times New Roman"/>
          <w:spacing w:val="-1"/>
          <w:sz w:val="24"/>
          <w:szCs w:val="24"/>
        </w:rPr>
        <w:t>商利</w:t>
      </w:r>
      <w:r>
        <w:rPr>
          <w:rFonts w:hint="default" w:ascii="Times New Roman" w:hAnsi="Times New Roman" w:eastAsia="宋体" w:cs="Times New Roman"/>
          <w:spacing w:val="-4"/>
          <w:sz w:val="24"/>
          <w:szCs w:val="24"/>
        </w:rPr>
        <w:t>战”，灭国不用刀兵，胜战没有硝烟。管仲操盘的鲁绨之谋、衡山之谋、楚鹿之谋、石壁之谋和菁茅之谋，仅仅借助粮食武器和稀缺法则，就在经济贸易战中不费一兵一卒让目标国俯首称臣，尽显高超的商战智慧。</w:t>
      </w:r>
    </w:p>
    <w:p w14:paraId="4165919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鲁国纺织业发达，丝织品因薄而闻名，“强弩之</w:t>
      </w:r>
      <w:r>
        <w:rPr>
          <w:rFonts w:hint="default" w:ascii="Times New Roman" w:hAnsi="Times New Roman" w:eastAsia="宋体" w:cs="Times New Roman"/>
          <w:spacing w:val="-5"/>
          <w:sz w:val="24"/>
          <w:szCs w:val="24"/>
        </w:rPr>
        <w:t>末，势不能穿鲁缟”典故便源于此。史载，桓公“欲下鲁</w:t>
      </w:r>
      <w:r>
        <w:rPr>
          <w:rFonts w:hint="default" w:ascii="Times New Roman" w:hAnsi="Times New Roman" w:eastAsia="宋体" w:cs="Times New Roman"/>
          <w:spacing w:val="-4"/>
          <w:sz w:val="24"/>
          <w:szCs w:val="24"/>
        </w:rPr>
        <w:t>梁”，管仲献鲁绨之谋：“鲁粱之民俗为绨。公服绨，令左右服之，民从而服之。公因令齐勿敢为，必仰于鲁</w:t>
      </w:r>
      <w:r>
        <w:rPr>
          <w:rFonts w:hint="default" w:ascii="Times New Roman" w:hAnsi="Times New Roman" w:eastAsia="宋体" w:cs="Times New Roman"/>
          <w:spacing w:val="-7"/>
          <w:sz w:val="24"/>
          <w:szCs w:val="24"/>
        </w:rPr>
        <w:t>梁，则是鲁梁释其农事而作绨矣。”（《轻重戊》）果如管仲所料，“鲁梁之君闻之，则教其民为绨。十三月，</w:t>
      </w:r>
      <w:r>
        <w:rPr>
          <w:rFonts w:hint="default" w:ascii="Times New Roman" w:hAnsi="Times New Roman" w:eastAsia="宋体" w:cs="Times New Roman"/>
          <w:spacing w:val="-4"/>
          <w:sz w:val="24"/>
          <w:szCs w:val="24"/>
        </w:rPr>
        <w:t>而管子令人之鲁梁”，见全民织绨，家家纺机响，户户织缟忙，管仲曰：“鲁</w:t>
      </w:r>
      <w:r>
        <w:rPr>
          <w:rFonts w:hint="default" w:ascii="Times New Roman" w:hAnsi="Times New Roman" w:eastAsia="宋体" w:cs="Times New Roman"/>
          <w:spacing w:val="-5"/>
          <w:sz w:val="24"/>
          <w:szCs w:val="24"/>
        </w:rPr>
        <w:t>梁可下矣。”随之，管仲抛出杀</w:t>
      </w:r>
      <w:r>
        <w:rPr>
          <w:rFonts w:hint="default" w:ascii="Times New Roman" w:hAnsi="Times New Roman" w:eastAsia="宋体" w:cs="Times New Roman"/>
          <w:spacing w:val="-4"/>
          <w:sz w:val="24"/>
          <w:szCs w:val="24"/>
        </w:rPr>
        <w:t>手锏：“公宜服帛，率民去绨。闭关，毋与鲁粱通使。”“后十月，管子令人之鲁梁，鲁梁之民饿馁相及……二十四月，鲁梁之民归齐者十分之六；三年，鲁梁之君请服”（《轻重戊》）。轻重之间，管仲兵不血刃降服</w:t>
      </w:r>
      <w:r>
        <w:rPr>
          <w:rFonts w:hint="default" w:ascii="Times New Roman" w:hAnsi="Times New Roman" w:eastAsia="宋体" w:cs="Times New Roman"/>
          <w:spacing w:val="-5"/>
          <w:sz w:val="24"/>
          <w:szCs w:val="24"/>
        </w:rPr>
        <w:t>鲁国。</w:t>
      </w:r>
    </w:p>
    <w:p w14:paraId="28665EE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鲁绨之谋大获全胜后，管仲如法炮制，以衡山之谋成功削弱衡山国，结果未动刀兵而制胜。衡山国盛产兵器，为了再次用货币战争收不战而屈人之兵之效，管仲献“制衡山之术”与桓</w:t>
      </w:r>
      <w:r>
        <w:rPr>
          <w:rFonts w:hint="default" w:ascii="Times New Roman" w:hAnsi="Times New Roman" w:eastAsia="宋体" w:cs="Times New Roman"/>
          <w:spacing w:val="-5"/>
          <w:sz w:val="24"/>
          <w:szCs w:val="24"/>
        </w:rPr>
        <w:t>公：“公其令人贵买衡山之械器</w:t>
      </w:r>
      <w:r>
        <w:rPr>
          <w:rFonts w:hint="default" w:ascii="Times New Roman" w:hAnsi="Times New Roman" w:eastAsia="宋体" w:cs="Times New Roman"/>
          <w:spacing w:val="-4"/>
          <w:sz w:val="24"/>
          <w:szCs w:val="24"/>
        </w:rPr>
        <w:t>而卖之。燕、代必从公而买之，秦、赵闻之，必与公争之。衡山之械器必倍其贾，天下争之，衡山械器必什倍以上。”（《轻重戊》）十个月后，果然燕、代、秦先后争购，衡山国百姓纷纷弃农制器。齐国再高价收购衡山国粮食，包括衡山国在内的诸侯国纷纷出卖存粮。管仲抓住时机，突然封闭关卡、停止收购粮食和兵器，兵发衡山国，衡山国既无存粮又无兵器，只得举国降齐。</w:t>
      </w:r>
    </w:p>
    <w:p w14:paraId="2EACBDC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齐桓公欲伐楚，管仲献楚鹿之谋。在楚鹿之谋中，管仲以鹿制楚，毁人之国而非战。楚国盛产鹿，齐桓公</w:t>
      </w:r>
      <w:r>
        <w:rPr>
          <w:rFonts w:hint="default" w:ascii="Times New Roman" w:hAnsi="Times New Roman" w:eastAsia="宋体" w:cs="Times New Roman"/>
          <w:spacing w:val="-3"/>
          <w:sz w:val="24"/>
          <w:szCs w:val="24"/>
        </w:rPr>
        <w:t>便下令修建百里鹿苑，派人赴楚“贵买其鹿”，重奖贩鹿</w:t>
      </w:r>
      <w:r>
        <w:rPr>
          <w:rFonts w:hint="default" w:ascii="Times New Roman" w:hAnsi="Times New Roman" w:eastAsia="宋体" w:cs="Times New Roman"/>
          <w:spacing w:val="-4"/>
          <w:sz w:val="24"/>
          <w:szCs w:val="24"/>
        </w:rPr>
        <w:t>到齐国的楚国商人。楚国百姓见有利可图，遂放弃农</w:t>
      </w:r>
      <w:r>
        <w:rPr>
          <w:rFonts w:hint="default" w:ascii="Times New Roman" w:hAnsi="Times New Roman" w:eastAsia="宋体" w:cs="Times New Roman"/>
          <w:spacing w:val="-6"/>
          <w:sz w:val="24"/>
          <w:szCs w:val="24"/>
        </w:rPr>
        <w:t>业生产而全民猎鹿。同时，管仲要求齐国百</w:t>
      </w:r>
      <w:r>
        <w:rPr>
          <w:rFonts w:hint="default" w:ascii="Times New Roman" w:hAnsi="Times New Roman" w:eastAsia="宋体" w:cs="Times New Roman"/>
          <w:spacing w:val="-7"/>
          <w:sz w:val="24"/>
          <w:szCs w:val="24"/>
        </w:rPr>
        <w:t>姓增加粮食储备，高价购进楚国民间储粮。待时机成熟，管仲认为：</w:t>
      </w:r>
      <w:r>
        <w:rPr>
          <w:rFonts w:hint="default" w:ascii="Times New Roman" w:hAnsi="Times New Roman" w:eastAsia="宋体" w:cs="Times New Roman"/>
          <w:spacing w:val="-4"/>
          <w:sz w:val="24"/>
          <w:szCs w:val="24"/>
        </w:rPr>
        <w:t>“楚可下矣。”（《轻重戊》）于是封闭关卡，禁止和楚国通使。楚国粮价飞涨，粮食告急，结果楚人降齐者十之有四，楚国元气大伤，三年后臣服，向齐国纳币修好。</w:t>
      </w:r>
    </w:p>
    <w:p w14:paraId="78F2192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为解决齐桓公“欲西朝天子而贺献不足”的问题，使会盟之名转化为会盟之实，管仲献石璧之谋：“</w:t>
      </w:r>
      <w:r>
        <w:rPr>
          <w:rFonts w:hint="default" w:ascii="Times New Roman" w:hAnsi="Times New Roman" w:eastAsia="宋体" w:cs="Times New Roman"/>
          <w:spacing w:val="-5"/>
          <w:sz w:val="24"/>
          <w:szCs w:val="24"/>
        </w:rPr>
        <w:t>请以</w:t>
      </w:r>
      <w:r>
        <w:rPr>
          <w:rFonts w:hint="default" w:ascii="Times New Roman" w:hAnsi="Times New Roman" w:eastAsia="宋体" w:cs="Times New Roman"/>
          <w:spacing w:val="-4"/>
          <w:sz w:val="24"/>
          <w:szCs w:val="24"/>
        </w:rPr>
        <w:t>令城阴里，使其墙三重而门九袭。因使玉人刻石而为璧。”（《轻重丁》）待</w:t>
      </w:r>
      <w:r>
        <w:rPr>
          <w:rFonts w:hint="default" w:ascii="Times New Roman" w:hAnsi="Times New Roman" w:eastAsia="宋体" w:cs="Times New Roman"/>
          <w:spacing w:val="-5"/>
          <w:sz w:val="24"/>
          <w:szCs w:val="24"/>
        </w:rPr>
        <w:t>秘密加工好各种石璧并内定好价</w:t>
      </w:r>
      <w:r>
        <w:rPr>
          <w:rFonts w:hint="default" w:ascii="Times New Roman" w:hAnsi="Times New Roman" w:eastAsia="宋体" w:cs="Times New Roman"/>
          <w:spacing w:val="-4"/>
          <w:sz w:val="24"/>
          <w:szCs w:val="24"/>
        </w:rPr>
        <w:t>格后，管仲奏请周天子曰：“弊邑之君欲率诸侯而朝先王之庙，观于周室。请以令使天下诸侯朝先王之庙，观于周室者，不得不以彤弓石璧。不以彤弓石璧者，不得入朝。”天子从其言，</w:t>
      </w:r>
      <w:r>
        <w:rPr>
          <w:rFonts w:hint="default" w:ascii="Times New Roman" w:hAnsi="Times New Roman" w:eastAsia="宋体" w:cs="Times New Roman"/>
          <w:spacing w:val="-5"/>
          <w:sz w:val="24"/>
          <w:szCs w:val="24"/>
        </w:rPr>
        <w:t>令凡去周王室朝拜先王宗庙的诸</w:t>
      </w:r>
      <w:r>
        <w:rPr>
          <w:rFonts w:hint="default" w:ascii="Times New Roman" w:hAnsi="Times New Roman" w:eastAsia="宋体" w:cs="Times New Roman"/>
          <w:spacing w:val="-4"/>
          <w:sz w:val="24"/>
          <w:szCs w:val="24"/>
        </w:rPr>
        <w:t>侯，须以石璧作入场券，而且只能从齐国购买。经过如此这般操作，“天下诸侯载黄金珠玉五谷文采布帛输齐</w:t>
      </w:r>
      <w:r>
        <w:rPr>
          <w:rFonts w:hint="default" w:ascii="Times New Roman" w:hAnsi="Times New Roman" w:eastAsia="宋体" w:cs="Times New Roman"/>
          <w:spacing w:val="-5"/>
          <w:sz w:val="24"/>
          <w:szCs w:val="24"/>
        </w:rPr>
        <w:t>以收石璧。石璧流而之天下，天下财物流而之齐”（《轻重丁》）。通过石璧之谋（又称阴里之谋</w:t>
      </w:r>
      <w:r>
        <w:rPr>
          <w:rFonts w:hint="default" w:ascii="Times New Roman" w:hAnsi="Times New Roman" w:eastAsia="宋体" w:cs="Times New Roman"/>
          <w:spacing w:val="4"/>
          <w:sz w:val="24"/>
          <w:szCs w:val="24"/>
        </w:rPr>
        <w:t>），</w:t>
      </w:r>
      <w:r>
        <w:rPr>
          <w:rFonts w:hint="default" w:ascii="Times New Roman" w:hAnsi="Times New Roman" w:eastAsia="宋体" w:cs="Times New Roman"/>
          <w:spacing w:val="-5"/>
          <w:sz w:val="24"/>
          <w:szCs w:val="24"/>
        </w:rPr>
        <w:t>齐国解决了朝贺礼金问题，剩余部分充作未来八年的民赋。</w:t>
      </w:r>
    </w:p>
    <w:p w14:paraId="3DE6603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新上位的周天子财政紧张，“天子之养不足”，问计于管仲，管仲献上菁茅之谋。周天子到泰山进行封禅</w:t>
      </w:r>
      <w:r>
        <w:rPr>
          <w:rFonts w:hint="default" w:ascii="Times New Roman" w:hAnsi="Times New Roman" w:eastAsia="宋体" w:cs="Times New Roman"/>
          <w:spacing w:val="-14"/>
          <w:sz w:val="24"/>
          <w:szCs w:val="24"/>
        </w:rPr>
        <w:t>活动，诸侯可同去，但条件是必须拿菁茅当入场券，“必抱</w:t>
      </w:r>
      <w:r>
        <w:rPr>
          <w:rFonts w:hint="default" w:ascii="Times New Roman" w:hAnsi="Times New Roman" w:eastAsia="宋体" w:cs="Times New Roman"/>
          <w:spacing w:val="-15"/>
          <w:sz w:val="24"/>
          <w:szCs w:val="24"/>
        </w:rPr>
        <w:t>菁茅一束以为禅籍。不如令者不得从”（《轻重丁》）。</w:t>
      </w:r>
      <w:r>
        <w:rPr>
          <w:rFonts w:hint="default" w:ascii="Times New Roman" w:hAnsi="Times New Roman" w:eastAsia="宋体" w:cs="Times New Roman"/>
          <w:spacing w:val="-4"/>
          <w:sz w:val="24"/>
          <w:szCs w:val="24"/>
        </w:rPr>
        <w:t>周王室事先派人控制住菁茅的原产地，向诸侯高价出售菁茅，各路诸侯为不放过从周王封禅这一千载难逢的机会，“诸侯载其黄金。争秩而走，江淮之菁茅坐长而十倍，其贾一束而百金。故天子三日即位，天下之金四流而归周若流水”（《轻重丁》）。商业奇才管仲以菁茅之谋，点石成金，变草为宝，轻松化解了周王室的财政紧张问题。运筹帷幄之中，经略千里之外，筹划七年之资，管仲之谋</w:t>
      </w:r>
      <w:r>
        <w:rPr>
          <w:rFonts w:hint="default" w:ascii="Times New Roman" w:hAnsi="Times New Roman" w:eastAsia="宋体" w:cs="Times New Roman"/>
          <w:spacing w:val="-5"/>
          <w:sz w:val="24"/>
          <w:szCs w:val="24"/>
        </w:rPr>
        <w:t>也。</w:t>
      </w:r>
    </w:p>
    <w:p w14:paraId="0D36373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除了上述商利战，商战鼻祖管仲还演绎了许多用粮食武器控制目标国“民之司命”、最终降服目标国的成</w:t>
      </w:r>
      <w:r>
        <w:rPr>
          <w:rFonts w:hint="default" w:ascii="Times New Roman" w:hAnsi="Times New Roman" w:eastAsia="宋体" w:cs="Times New Roman"/>
          <w:spacing w:val="-4"/>
          <w:sz w:val="24"/>
          <w:szCs w:val="24"/>
        </w:rPr>
        <w:t>功案例，例如买柴囤粮降服莒、莱，买白狐皮囤粮降服代国，等等。这些战败国也以见利忘忧、放弃粮食生产而导致国破家亡的惨痛教训，反复印证了“不生粟之国亡”（《治国》）的真理</w:t>
      </w:r>
      <w:r>
        <w:rPr>
          <w:rFonts w:hint="default" w:ascii="Times New Roman" w:hAnsi="Times New Roman" w:eastAsia="宋体" w:cs="Times New Roman"/>
          <w:spacing w:val="-5"/>
          <w:sz w:val="24"/>
          <w:szCs w:val="24"/>
        </w:rPr>
        <w:t>。管仲将“轻重之术”用于内</w:t>
      </w:r>
      <w:r>
        <w:rPr>
          <w:rFonts w:hint="default" w:ascii="Times New Roman" w:hAnsi="Times New Roman" w:eastAsia="宋体" w:cs="Times New Roman"/>
          <w:spacing w:val="-6"/>
          <w:sz w:val="24"/>
          <w:szCs w:val="24"/>
        </w:rPr>
        <w:t>政，还用于外交，用粮食武器和金融杠杆以商止战，</w:t>
      </w:r>
      <w:r>
        <w:rPr>
          <w:rFonts w:hint="default" w:ascii="Times New Roman" w:hAnsi="Times New Roman" w:eastAsia="宋体" w:cs="Times New Roman"/>
          <w:spacing w:val="-7"/>
          <w:sz w:val="24"/>
          <w:szCs w:val="24"/>
        </w:rPr>
        <w:t>在这个没有硝烟的战场上，和平崛起，兵不血刃而王天下。</w:t>
      </w:r>
      <w:r>
        <w:rPr>
          <w:rFonts w:hint="default" w:ascii="Times New Roman" w:hAnsi="Times New Roman" w:eastAsia="宋体" w:cs="Times New Roman"/>
          <w:spacing w:val="-4"/>
          <w:sz w:val="24"/>
          <w:szCs w:val="24"/>
        </w:rPr>
        <w:t>时至今日，商场仍然如战场，在“资本逻辑统领的结构化的分工体系，中国新型工业化的逻辑起点应是国家自</w:t>
      </w:r>
      <w:r>
        <w:rPr>
          <w:rFonts w:hint="default" w:ascii="Times New Roman" w:hAnsi="Times New Roman" w:eastAsia="宋体" w:cs="Times New Roman"/>
          <w:spacing w:val="-3"/>
          <w:sz w:val="24"/>
          <w:szCs w:val="24"/>
        </w:rPr>
        <w:t>主创新能力的重构”</w:t>
      </w:r>
      <w:r>
        <w:rPr>
          <w:rStyle w:val="20"/>
          <w:rFonts w:hint="default" w:ascii="Times New Roman" w:hAnsi="Times New Roman" w:eastAsia="宋体" w:cs="Times New Roman"/>
          <w:spacing w:val="-3"/>
          <w:sz w:val="24"/>
          <w:szCs w:val="24"/>
        </w:rPr>
        <w:footnoteReference w:id="659"/>
      </w:r>
      <w:r>
        <w:rPr>
          <w:rFonts w:hint="default" w:ascii="Times New Roman" w:hAnsi="Times New Roman" w:eastAsia="宋体" w:cs="Times New Roman"/>
          <w:spacing w:val="-3"/>
          <w:sz w:val="24"/>
          <w:szCs w:val="24"/>
        </w:rPr>
        <w:t>。唯有提升国家科技和品牌的自主创新</w:t>
      </w:r>
      <w:r>
        <w:rPr>
          <w:rFonts w:hint="default" w:ascii="Times New Roman" w:hAnsi="Times New Roman" w:eastAsia="宋体" w:cs="Times New Roman"/>
          <w:spacing w:val="-4"/>
          <w:sz w:val="24"/>
          <w:szCs w:val="24"/>
        </w:rPr>
        <w:t>能力，妙用“轻重之术”，才能在商战中致人而</w:t>
      </w:r>
      <w:r>
        <w:rPr>
          <w:rFonts w:hint="default" w:ascii="Times New Roman" w:hAnsi="Times New Roman" w:eastAsia="宋体" w:cs="Times New Roman"/>
          <w:spacing w:val="-5"/>
          <w:sz w:val="24"/>
          <w:szCs w:val="24"/>
        </w:rPr>
        <w:t>不致于人。</w:t>
      </w:r>
    </w:p>
    <w:p w14:paraId="3584612E">
      <w:pPr>
        <w:pStyle w:val="4"/>
        <w:bidi w:val="0"/>
        <w:rPr>
          <w:rFonts w:hint="default"/>
        </w:rPr>
      </w:pPr>
      <w:r>
        <w:rPr>
          <w:rFonts w:hint="default"/>
        </w:rPr>
        <w:t>十二、俭侈有度、知量知节的消费观点</w:t>
      </w:r>
    </w:p>
    <w:p w14:paraId="00C34FC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管仲经济学的消费观极具理论辨证性，在经济学说史上首次深刻揭示出消费和生产的辩证统一</w:t>
      </w:r>
      <w:r>
        <w:rPr>
          <w:rFonts w:hint="default" w:ascii="Times New Roman" w:hAnsi="Times New Roman" w:eastAsia="宋体" w:cs="Times New Roman"/>
          <w:spacing w:val="-5"/>
          <w:sz w:val="24"/>
          <w:szCs w:val="24"/>
        </w:rPr>
        <w:t>关系。马克</w:t>
      </w:r>
      <w:r>
        <w:rPr>
          <w:rFonts w:hint="default" w:ascii="Times New Roman" w:hAnsi="Times New Roman" w:eastAsia="宋体" w:cs="Times New Roman"/>
          <w:spacing w:val="-4"/>
          <w:sz w:val="24"/>
          <w:szCs w:val="24"/>
        </w:rPr>
        <w:t>思说过：“没有生产，就没有消费；但是，没有消费，也就没有生产，因为如果没有消费，生产就没有目的。”</w:t>
      </w:r>
      <w:r>
        <w:rPr>
          <w:rStyle w:val="20"/>
          <w:rFonts w:hint="default" w:ascii="Times New Roman" w:hAnsi="Times New Roman" w:eastAsia="宋体" w:cs="Times New Roman"/>
          <w:spacing w:val="16"/>
          <w:sz w:val="24"/>
          <w:szCs w:val="24"/>
        </w:rPr>
        <w:footnoteReference w:id="660"/>
      </w:r>
      <w:r>
        <w:rPr>
          <w:rFonts w:hint="default" w:ascii="Times New Roman" w:hAnsi="Times New Roman" w:eastAsia="宋体" w:cs="Times New Roman"/>
          <w:spacing w:val="-2"/>
          <w:sz w:val="24"/>
          <w:szCs w:val="24"/>
        </w:rPr>
        <w:t>关于消费对经济的拉动作用，管仲的认识可谓超前。管仲认为，过度节俭淤塞财货流通渠道，不利于经济发</w:t>
      </w:r>
      <w:r>
        <w:rPr>
          <w:rFonts w:hint="default" w:ascii="Times New Roman" w:hAnsi="Times New Roman" w:eastAsia="宋体" w:cs="Times New Roman"/>
          <w:spacing w:val="-3"/>
          <w:sz w:val="24"/>
          <w:szCs w:val="24"/>
        </w:rPr>
        <w:t>展，因而提倡适度消费，使财货进入流通领域</w:t>
      </w:r>
      <w:r>
        <w:rPr>
          <w:rFonts w:hint="default" w:ascii="Times New Roman" w:hAnsi="Times New Roman" w:eastAsia="宋体" w:cs="Times New Roman"/>
          <w:spacing w:val="-4"/>
          <w:sz w:val="24"/>
          <w:szCs w:val="24"/>
        </w:rPr>
        <w:t>以拉动经济发展。他指出：“俭则伤事，侈则伤货；俭则金贱，</w:t>
      </w:r>
    </w:p>
    <w:p w14:paraId="1B9CA88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6"/>
          <w:sz w:val="24"/>
          <w:szCs w:val="24"/>
        </w:rPr>
      </w:pPr>
      <w:r>
        <w:rPr>
          <w:rFonts w:hint="default" w:ascii="Times New Roman" w:hAnsi="Times New Roman" w:eastAsia="宋体" w:cs="Times New Roman"/>
          <w:spacing w:val="-4"/>
          <w:sz w:val="24"/>
          <w:szCs w:val="24"/>
        </w:rPr>
        <w:t>金贱则事不成，故伤事。侈则金贵，金贵则货贱，故伤货。货尽而后知不足，是不知量也，事已，而后知货之有余，是不知节也。不知量，不知节，不可，为之有道。”（《乘马》）他还从人性的角度分析了消费对治国理政的效用：“饮食者也，侈乐者也，民之所愿也。足其所欲，赡其所愿，则能用之耳。今使衣皮而冠角食野草，饮野水，庸能用之……故尝至味而罢至乐，而雕卵然后瀹之，雕橑然后爨之……富者靡之，贫者为之。此百姓之怠生，百振而食，非独自为也。”（《侈靡》）管仲在回答“兴时化若何</w:t>
      </w:r>
      <w:r>
        <w:rPr>
          <w:rFonts w:hint="default" w:ascii="Times New Roman" w:hAnsi="Times New Roman" w:eastAsia="宋体" w:cs="Times New Roman"/>
          <w:spacing w:val="-5"/>
          <w:sz w:val="24"/>
          <w:szCs w:val="24"/>
        </w:rPr>
        <w:t>”之问时，答曰：“莫善于侈</w:t>
      </w:r>
      <w:r>
        <w:rPr>
          <w:rFonts w:hint="default" w:ascii="Times New Roman" w:hAnsi="Times New Roman" w:eastAsia="宋体" w:cs="Times New Roman"/>
          <w:spacing w:val="-4"/>
          <w:sz w:val="24"/>
          <w:szCs w:val="24"/>
        </w:rPr>
        <w:t>靡。贱有实，敬无用，则人可刑也。”（《侈靡》）如何根据时代变化而改变呢？管仲的答案是：最好的办法是鼓励奢侈消费，促使富裕阶层消费升级并适度扩大消费。管仲之所以主张“富者靡之，贫者为之”，是因为富人的奢侈消费，必定给穷人提供更多的劳动就业机会。就是说，管仲经济学主张富人侈靡消费的目的，是为了民生。管仲经济学对生产与消费关系的界定与马克思接近，马克思认为，生产与消费“每一方表现为对方的手段；以对方为中介；这表现为它们的相互依存；这是一个运动，它们通过这个运动彼此发生关系，表现为互</w:t>
      </w:r>
      <w:r>
        <w:rPr>
          <w:rFonts w:hint="default" w:ascii="Times New Roman" w:hAnsi="Times New Roman" w:eastAsia="宋体" w:cs="Times New Roman"/>
          <w:spacing w:val="-6"/>
          <w:sz w:val="24"/>
          <w:szCs w:val="24"/>
        </w:rPr>
        <w:t>不可缺，但又各自处于对方之外”</w:t>
      </w:r>
      <w:r>
        <w:rPr>
          <w:rStyle w:val="20"/>
          <w:rFonts w:hint="default" w:ascii="Times New Roman" w:hAnsi="Times New Roman" w:eastAsia="宋体" w:cs="Times New Roman"/>
          <w:spacing w:val="-6"/>
          <w:sz w:val="24"/>
          <w:szCs w:val="24"/>
        </w:rPr>
        <w:footnoteReference w:id="661"/>
      </w:r>
      <w:r>
        <w:rPr>
          <w:rFonts w:hint="default" w:ascii="Times New Roman" w:hAnsi="Times New Roman" w:eastAsia="宋体" w:cs="Times New Roman"/>
          <w:spacing w:val="-6"/>
          <w:sz w:val="24"/>
          <w:szCs w:val="24"/>
        </w:rPr>
        <w:t>。</w:t>
      </w:r>
    </w:p>
    <w:p w14:paraId="7BC1C82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0" w:firstLineChars="200"/>
        <w:jc w:val="both"/>
        <w:textAlignment w:val="baseline"/>
        <w:outlineLvl w:val="9"/>
        <w:rPr>
          <w:rFonts w:hint="default" w:ascii="Times New Roman" w:hAnsi="Times New Roman" w:eastAsia="宋体" w:cs="Times New Roman"/>
          <w:spacing w:val="-4"/>
          <w:sz w:val="24"/>
          <w:szCs w:val="24"/>
        </w:rPr>
      </w:pPr>
      <w:r>
        <w:rPr>
          <w:rFonts w:hint="default" w:ascii="Times New Roman" w:hAnsi="Times New Roman" w:eastAsia="宋体" w:cs="Times New Roman"/>
          <w:spacing w:val="-5"/>
          <w:sz w:val="24"/>
          <w:szCs w:val="24"/>
        </w:rPr>
        <w:t>必须指出的是，管仲经济学视野内的侈靡绝非暴殄天物，而是类似于“食不厌精，脍不厌细”之类的消费</w:t>
      </w:r>
      <w:r>
        <w:rPr>
          <w:rFonts w:hint="default" w:ascii="Times New Roman" w:hAnsi="Times New Roman" w:eastAsia="宋体" w:cs="Times New Roman"/>
          <w:spacing w:val="-4"/>
          <w:sz w:val="24"/>
          <w:szCs w:val="24"/>
        </w:rPr>
        <w:t>升级，是生活精细化倡导。如此侈靡消费观，与提倡节约、反对浪费并不矛盾。实际上，管仲每每特别强调适度消费的意义，曾以“泰奢”这个虚拟人物为靶子，反对过度消费思想，要求必</w:t>
      </w:r>
      <w:r>
        <w:rPr>
          <w:rFonts w:hint="default" w:ascii="Times New Roman" w:hAnsi="Times New Roman" w:eastAsia="宋体" w:cs="Times New Roman"/>
          <w:spacing w:val="-5"/>
          <w:sz w:val="24"/>
          <w:szCs w:val="24"/>
        </w:rPr>
        <w:t>须有充分积累和足量储备。桓</w:t>
      </w:r>
      <w:r>
        <w:rPr>
          <w:rFonts w:hint="default" w:ascii="Times New Roman" w:hAnsi="Times New Roman" w:eastAsia="宋体" w:cs="Times New Roman"/>
          <w:spacing w:val="-4"/>
          <w:sz w:val="24"/>
          <w:szCs w:val="24"/>
        </w:rPr>
        <w:t>公征询管仲对如下说法的评价——“帷盖不修，衣服不众，则女事不泰。俎豆之礼不致牲，诸侯太牢，大夫少牢，不若此，则六畜不育。非高其台榭，美其宫室，则群材不散”（《事语》）。管仲批评此种超前消费、越礼消费的做法，规劝桓公曰：“非有积蓄不可以用人，非有积财无以劝下。”（《事语》）管仲以此告诫，凡经世济民之道，必重“积蓄”、善“积财”，量入为出。</w:t>
      </w:r>
    </w:p>
    <w:p w14:paraId="133C7C8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rPr>
      </w:pPr>
      <w:r>
        <w:rPr>
          <w:rFonts w:hint="default" w:ascii="Times New Roman" w:hAnsi="Times New Roman" w:eastAsia="宋体" w:cs="Times New Roman"/>
          <w:spacing w:val="-4"/>
          <w:sz w:val="24"/>
          <w:szCs w:val="24"/>
        </w:rPr>
        <w:t>先秦时期，君主个人消费属于国家用度的一部分，其消费用度直接关系到国库盈虚，为此，管仲在要求富商巨贾侈靡消费的同时，对君主个人消费却提出了倡俭去奢、节制消费的要求，主张君主应“取于民有度”，反对“取于民无度”（《权修》），戒绝奢侈浪费。管仲主张，国家财政收支、百姓收入与用度消费都应当坚持收支平衡原则，反对赤字透支，反对国家与国民的奢侈之风。管仲之《八观》篇，从八个方面考察一个国家的治乱，其中一个方面就是“奢俭”情况：“入国邑，视宫室，观车马衣服，而侈俭之国可知也……故曰：审度量，节衣服，俭财用，禁侈泰，为国之急也。不通于若计者，不可使用国。”（《八观》）管仲的结论是：“侈国之俗”不可长，奢靡之国不可治！</w:t>
      </w:r>
    </w:p>
    <w:p w14:paraId="2C9800E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lang w:eastAsia="zh-CN"/>
        </w:rPr>
      </w:pPr>
      <w:r>
        <w:rPr>
          <w:rFonts w:hint="default" w:ascii="Times New Roman" w:hAnsi="Times New Roman" w:eastAsia="宋体" w:cs="Times New Roman"/>
          <w:spacing w:val="-4"/>
          <w:sz w:val="24"/>
          <w:szCs w:val="24"/>
        </w:rPr>
        <w:t>纵观管仲其人，有忠上惠下之德；管仲之学，有富民安国之功。在管仲经济学的治理下，齐国经济社会迅速发展繁荣，据《战国策·齐策》等记载，齐国故都城临淄鼎盛时期拥有人口30万，车水马龙，摩肩接踵，连衽成帷，举袂成幕，呵气成云，挥汗成雨。可以称得上是当时世界上最大的都市，故颜师古注《汉书•地理志》时言“天下之人冠带衣履皆仰齐地”，而同期欧洲最繁华的都市雅典仅有区区5万人。正所谓“功者，安主上，利万民者也”（《明法解》）。经世济民之学，当以天地自然为师，“法天合德，象地无亲。日月之明无私，故莫不得光。圣人法之，以烛万民”（《版法解》）。管仲，一位真正的时空穿越者，在相齐尊王、匡扶天下的过程中，调研于市井，运筹于陋室，策论于君王，一尊于天子，普惠于百姓，形成了系统完备的经济学思想体系，管仲经济学也历史地成为经济思想史上的奠基石。无名而万古流芳、无王而天下至尊的管仲经济学，几乎涵盖了现代经济学的主要方面，一册册不朽经典开启了人类经世济民的思想先河，彰显了春秋第一相高屋建瓴的政治眼光和海纳百川的哲学气量。这位经世济民的天才、洞察人性的先哲，框定了近代政治经济学前史的基本架构，比西方最早的经济学小册子即古希腊色诺芬的《经济论》只分析家庭经济问题要全面深刻得多。管仲对市场原理与机制、商品与货币、宏观调控与微观放活、生产与消费、轻重论与金融战争等等的认识，未必比2400年后的西方经济学更详细，但注定更为辨证，更合乎经世济民之良道。管仲经世济民之学，开显百家之源，囊括诸子之要，致广大而尽精微。后世诸子之说，皆因循管仲之说而损益之。正因如此，集诸子百家之大成的荀子颂扬有经天纬地之才的管仲是“天下之大知”，因而“足以托国”。太史公盛赞管仲经世济民之学：“吾读管氏牧民、山高、乘马、轻重、九府……详哉其言之也。既见其著书，欲观其行事，故次其传”</w:t>
      </w:r>
      <w:r>
        <w:rPr>
          <w:rStyle w:val="20"/>
          <w:rFonts w:hint="default" w:ascii="Times New Roman" w:hAnsi="Times New Roman" w:eastAsia="宋体" w:cs="Times New Roman"/>
          <w:spacing w:val="-4"/>
          <w:sz w:val="24"/>
          <w:szCs w:val="24"/>
        </w:rPr>
        <w:footnoteReference w:id="662"/>
      </w:r>
      <w:r>
        <w:rPr>
          <w:rFonts w:hint="default" w:ascii="Times New Roman" w:hAnsi="Times New Roman" w:eastAsia="宋体" w:cs="Times New Roman"/>
          <w:spacing w:val="-4"/>
          <w:sz w:val="24"/>
          <w:szCs w:val="24"/>
        </w:rPr>
        <w:t>（《史记·管晏列传》）；“平准之立，通货天下。既入县官，或振华夏。其名刀布，其文龙马。增算告缗，裒多益寡。”</w:t>
      </w:r>
      <w:r>
        <w:rPr>
          <w:rStyle w:val="20"/>
          <w:rFonts w:hint="default" w:ascii="Times New Roman" w:hAnsi="Times New Roman" w:eastAsia="宋体" w:cs="Times New Roman"/>
          <w:spacing w:val="-4"/>
          <w:sz w:val="24"/>
          <w:szCs w:val="24"/>
        </w:rPr>
        <w:footnoteReference w:id="663"/>
      </w:r>
      <w:r>
        <w:rPr>
          <w:rFonts w:hint="default" w:ascii="Times New Roman" w:hAnsi="Times New Roman" w:eastAsia="宋体" w:cs="Times New Roman"/>
          <w:spacing w:val="-4"/>
          <w:sz w:val="24"/>
          <w:szCs w:val="24"/>
        </w:rPr>
        <w:t>但凡关涉经世济民之学，前管仲者，管仲不遗；后管仲者，不遗管仲</w:t>
      </w:r>
      <w:r>
        <w:rPr>
          <w:rFonts w:hint="default" w:ascii="Times New Roman" w:hAnsi="Times New Roman" w:eastAsia="宋体" w:cs="Times New Roman"/>
          <w:spacing w:val="-4"/>
          <w:sz w:val="24"/>
          <w:szCs w:val="24"/>
          <w:lang w:eastAsia="zh-CN"/>
        </w:rPr>
        <w:t>。</w:t>
      </w:r>
    </w:p>
    <w:p w14:paraId="11FCF8F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lang w:val="en-US" w:eastAsia="zh-CN"/>
        </w:rPr>
      </w:pPr>
      <w:r>
        <w:rPr>
          <w:rFonts w:hint="eastAsia" w:ascii="Times New Roman" w:hAnsi="Times New Roman" w:eastAsia="宋体" w:cs="Times New Roman"/>
          <w:spacing w:val="-4"/>
          <w:sz w:val="24"/>
          <w:szCs w:val="24"/>
          <w:lang w:eastAsia="zh-CN"/>
        </w:rPr>
        <w:t>（《</w:t>
      </w:r>
      <w:r>
        <w:rPr>
          <w:rFonts w:hint="eastAsia" w:ascii="Times New Roman" w:hAnsi="Times New Roman" w:eastAsia="宋体" w:cs="Times New Roman"/>
          <w:spacing w:val="-4"/>
          <w:sz w:val="24"/>
          <w:szCs w:val="24"/>
          <w:lang w:val="en-US" w:eastAsia="zh-CN"/>
        </w:rPr>
        <w:t>原载《</w:t>
      </w:r>
      <w:r>
        <w:rPr>
          <w:rFonts w:hint="eastAsia"/>
        </w:rPr>
        <w:t>烟台大学学报(哲学社会科学版</w:t>
      </w:r>
      <w:r>
        <w:rPr>
          <w:rFonts w:hint="eastAsia" w:ascii="Times New Roman" w:hAnsi="Times New Roman" w:eastAsia="宋体" w:cs="Times New Roman"/>
          <w:spacing w:val="-4"/>
          <w:sz w:val="24"/>
          <w:szCs w:val="24"/>
          <w:lang w:eastAsia="zh-CN"/>
        </w:rPr>
        <w:t>》</w:t>
      </w:r>
      <w:r>
        <w:rPr>
          <w:rFonts w:hint="eastAsia" w:ascii="Times New Roman" w:hAnsi="Times New Roman" w:eastAsia="宋体" w:cs="Times New Roman"/>
          <w:spacing w:val="-4"/>
          <w:sz w:val="24"/>
          <w:szCs w:val="24"/>
          <w:lang w:val="en-US" w:eastAsia="zh-CN"/>
        </w:rPr>
        <w:t>2015年1月27日，第一作者为刘长明。</w:t>
      </w:r>
      <w:r>
        <w:rPr>
          <w:rFonts w:hint="eastAsia" w:ascii="Times New Roman" w:hAnsi="Times New Roman" w:eastAsia="宋体" w:cs="Times New Roman"/>
          <w:spacing w:val="-4"/>
          <w:sz w:val="24"/>
          <w:szCs w:val="24"/>
          <w:lang w:eastAsia="zh-CN"/>
        </w:rPr>
        <w:t>）</w:t>
      </w:r>
    </w:p>
    <w:p w14:paraId="4EA6974E">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0" w:leftChars="0" w:right="0" w:rightChars="0" w:firstLine="460" w:firstLineChars="200"/>
        <w:jc w:val="both"/>
        <w:textAlignment w:val="baseline"/>
        <w:outlineLvl w:val="9"/>
        <w:rPr>
          <w:rFonts w:hint="default" w:ascii="Times New Roman" w:hAnsi="Times New Roman" w:eastAsia="宋体" w:cs="Times New Roman"/>
          <w:spacing w:val="-5"/>
          <w:sz w:val="24"/>
          <w:szCs w:val="24"/>
        </w:rPr>
      </w:pPr>
    </w:p>
    <w:p w14:paraId="2D3447F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lang w:val="en-US" w:eastAsia="zh-CN"/>
        </w:rPr>
      </w:pPr>
    </w:p>
    <w:p w14:paraId="52F9CB83">
      <w:pPr>
        <w:rPr>
          <w:rFonts w:hint="eastAsia"/>
        </w:rPr>
      </w:pPr>
    </w:p>
    <w:p w14:paraId="2C38B1C4">
      <w:pPr>
        <w:pStyle w:val="3"/>
        <w:bidi w:val="0"/>
        <w:rPr>
          <w:rFonts w:hint="eastAsia"/>
          <w:lang w:val="en-US" w:eastAsia="zh-CN"/>
        </w:rPr>
      </w:pPr>
      <w:bookmarkStart w:id="396" w:name="_Toc17257"/>
      <w:bookmarkStart w:id="397" w:name="_Toc609854536"/>
      <w:bookmarkStart w:id="398" w:name="_Toc407235891"/>
      <w:bookmarkStart w:id="399" w:name="_Toc1847579563"/>
      <w:bookmarkStart w:id="400" w:name="_Toc870518606"/>
      <w:bookmarkStart w:id="401" w:name="_Toc1455872403"/>
      <w:r>
        <w:rPr>
          <w:rFonts w:hint="eastAsia"/>
          <w:lang w:val="en-US" w:eastAsia="zh-CN"/>
        </w:rPr>
        <w:t>3“东升西降”国际新格局与全球经济治理</w:t>
      </w:r>
      <w:bookmarkEnd w:id="396"/>
      <w:bookmarkEnd w:id="397"/>
      <w:bookmarkEnd w:id="398"/>
      <w:bookmarkEnd w:id="399"/>
      <w:bookmarkEnd w:id="400"/>
      <w:bookmarkEnd w:id="401"/>
    </w:p>
    <w:p w14:paraId="6FDB79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97B48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“东升西降”</w:t>
      </w:r>
      <w:r>
        <w:rPr>
          <w:rFonts w:hint="eastAsia"/>
          <w:sz w:val="24"/>
          <w:lang w:val="en-US" w:eastAsia="zh-CN"/>
        </w:rPr>
        <w:t>国际政治格局，主要展现为中俄伊等南方国家合作反霸、美西方逐渐衰落。而这一国际政治新格局是以国际</w:t>
      </w:r>
      <w:r>
        <w:rPr>
          <w:rFonts w:hint="eastAsia"/>
          <w:sz w:val="24"/>
        </w:rPr>
        <w:t>经济新格局</w:t>
      </w:r>
      <w:r>
        <w:rPr>
          <w:rFonts w:hint="eastAsia"/>
          <w:sz w:val="24"/>
          <w:lang w:val="en-US" w:eastAsia="zh-CN"/>
        </w:rPr>
        <w:t>为基础的。</w:t>
      </w:r>
      <w:r>
        <w:rPr>
          <w:rFonts w:hint="eastAsia"/>
          <w:sz w:val="24"/>
        </w:rPr>
        <w:t>2008年</w:t>
      </w:r>
      <w:r>
        <w:rPr>
          <w:rFonts w:hint="eastAsia"/>
          <w:sz w:val="24"/>
          <w:lang w:val="en-US" w:eastAsia="zh-CN"/>
        </w:rPr>
        <w:t>资本主义国际</w:t>
      </w:r>
      <w:r>
        <w:rPr>
          <w:rFonts w:hint="eastAsia"/>
          <w:sz w:val="24"/>
        </w:rPr>
        <w:t>金融危机、2022年俄乌冲突以来，国际经济新格局趋向为“东升西降”（与“西强东弱”的格局并存），即</w:t>
      </w:r>
      <w:r>
        <w:rPr>
          <w:rFonts w:hint="eastAsia"/>
          <w:sz w:val="24"/>
          <w:lang w:val="en-US" w:eastAsia="zh-CN"/>
        </w:rPr>
        <w:t>表现为以</w:t>
      </w:r>
      <w:r>
        <w:rPr>
          <w:rFonts w:hint="eastAsia"/>
          <w:sz w:val="24"/>
        </w:rPr>
        <w:t>七国集团为代表的美西方经济重要性和全球贡献GDP的占比下降，而</w:t>
      </w:r>
      <w:r>
        <w:rPr>
          <w:rFonts w:hint="eastAsia"/>
          <w:sz w:val="24"/>
          <w:lang w:val="en-US" w:eastAsia="zh-CN"/>
        </w:rPr>
        <w:t>以</w:t>
      </w:r>
      <w:r>
        <w:rPr>
          <w:rFonts w:hint="eastAsia"/>
          <w:sz w:val="24"/>
        </w:rPr>
        <w:t>中国、俄罗斯等金砖国家为代表的东方国家和南方国家经济重要性和全球贡献GDP的占比上升。</w:t>
      </w:r>
    </w:p>
    <w:p w14:paraId="232702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2023年4月9 日，据英国宏观经济研究公司Acorn Macro Consulting最新公布的数据显示，在基于购买力平价的水平下，由世界5个主要发展中经济体组成的金砖国家集团</w:t>
      </w:r>
      <w:r>
        <w:rPr>
          <w:rFonts w:hint="eastAsia"/>
          <w:sz w:val="24"/>
          <w:lang w:val="en-US" w:eastAsia="zh-CN"/>
        </w:rPr>
        <w:t>在</w:t>
      </w:r>
      <w:r>
        <w:rPr>
          <w:rFonts w:hint="eastAsia"/>
          <w:sz w:val="24"/>
        </w:rPr>
        <w:t>全球GDP中所占份额已超过七国集团(G7)。具体数据来看，巴西、俄罗斯、印度、中国和南非等金砖五国集团贡献了全球 GDP 的 31.5%。与此同时，由美国、加拿大、法国、德国、意大利、日本和英国组成的七国集团（G7）加起来则占全球GDP的30.7%</w:t>
      </w:r>
      <w:r>
        <w:rPr>
          <w:rStyle w:val="20"/>
          <w:rFonts w:hint="eastAsia" w:ascii="宋体" w:hAnsi="宋体" w:eastAsia="宋体" w:cs="宋体"/>
          <w:b w:val="0"/>
          <w:bCs w:val="0"/>
          <w:sz w:val="24"/>
          <w:szCs w:val="21"/>
        </w:rPr>
        <w:footnoteReference w:id="664"/>
      </w:r>
      <w:r>
        <w:rPr>
          <w:rFonts w:hint="eastAsia"/>
          <w:sz w:val="24"/>
        </w:rPr>
        <w:t>。换句话说，金砖五国GDP总量占全球GDP的比重已</w:t>
      </w:r>
      <w:r>
        <w:rPr>
          <w:rFonts w:hint="eastAsia"/>
          <w:sz w:val="24"/>
          <w:lang w:val="en-US" w:eastAsia="zh-CN"/>
        </w:rPr>
        <w:t>略</w:t>
      </w:r>
      <w:r>
        <w:rPr>
          <w:rFonts w:hint="eastAsia"/>
          <w:sz w:val="24"/>
        </w:rPr>
        <w:t>超G7的比重。</w:t>
      </w:r>
      <w:r>
        <w:rPr>
          <w:rFonts w:hint="eastAsia"/>
          <w:sz w:val="24"/>
          <w:lang w:val="en-US" w:eastAsia="zh-CN"/>
        </w:rPr>
        <w:t>扩员后的“大金砖国家”经济总量占比远超七国集团。这其中</w:t>
      </w:r>
      <w:r>
        <w:rPr>
          <w:rFonts w:hint="eastAsia"/>
          <w:sz w:val="24"/>
        </w:rPr>
        <w:t>中国表现</w:t>
      </w:r>
      <w:r>
        <w:rPr>
          <w:rFonts w:hint="eastAsia"/>
          <w:sz w:val="24"/>
          <w:lang w:val="en-US" w:eastAsia="zh-CN"/>
        </w:rPr>
        <w:t>尤为</w:t>
      </w:r>
      <w:r>
        <w:rPr>
          <w:rFonts w:hint="eastAsia"/>
          <w:sz w:val="24"/>
        </w:rPr>
        <w:t>突出，据国际货币基金组织（IMF）等资料</w:t>
      </w:r>
      <w:r>
        <w:rPr>
          <w:rFonts w:hint="eastAsia"/>
          <w:sz w:val="24"/>
          <w:lang w:val="en-US" w:eastAsia="zh-CN"/>
        </w:rPr>
        <w:t>显示</w:t>
      </w:r>
      <w:r>
        <w:rPr>
          <w:rFonts w:hint="eastAsia"/>
          <w:sz w:val="24"/>
        </w:rPr>
        <w:t>，仅从汇率而</w:t>
      </w:r>
      <w:r>
        <w:rPr>
          <w:rFonts w:hint="eastAsia"/>
          <w:sz w:val="24"/>
          <w:lang w:val="en-US" w:eastAsia="zh-CN"/>
        </w:rPr>
        <w:t>非</w:t>
      </w:r>
      <w:r>
        <w:rPr>
          <w:rFonts w:hint="eastAsia"/>
          <w:sz w:val="24"/>
        </w:rPr>
        <w:t>人民币购买力平价的占比看，1978年中国GDP总量占世界比重为1.8%，1990年中国由最低的1.76%，开始触底反弹；2022年，中国大陆GDP总量对美国的占比为71.1%，出于汇率变化因素，较上年（75.9%）有所下降。若将两岸四地合并计算（中国大陆</w:t>
      </w:r>
      <w:r>
        <w:rPr>
          <w:rFonts w:hint="eastAsia"/>
          <w:sz w:val="24"/>
          <w:lang w:val="en-US" w:eastAsia="zh-CN"/>
        </w:rPr>
        <w:t>和</w:t>
      </w:r>
      <w:r>
        <w:rPr>
          <w:rFonts w:hint="eastAsia"/>
          <w:sz w:val="24"/>
        </w:rPr>
        <w:t>港澳台</w:t>
      </w:r>
      <w:r>
        <w:rPr>
          <w:rFonts w:hint="eastAsia"/>
          <w:sz w:val="24"/>
          <w:lang w:val="en-US" w:eastAsia="zh-CN"/>
        </w:rPr>
        <w:t>地区</w:t>
      </w:r>
      <w:r>
        <w:rPr>
          <w:rFonts w:hint="eastAsia"/>
          <w:sz w:val="24"/>
        </w:rPr>
        <w:t>），则</w:t>
      </w:r>
      <w:r>
        <w:rPr>
          <w:rFonts w:hint="eastAsia"/>
          <w:sz w:val="24"/>
          <w:lang w:val="en-US" w:eastAsia="zh-CN"/>
        </w:rPr>
        <w:t>中国的</w:t>
      </w:r>
      <w:r>
        <w:rPr>
          <w:rFonts w:hint="eastAsia"/>
          <w:sz w:val="24"/>
        </w:rPr>
        <w:t>GDP</w:t>
      </w:r>
      <w:r>
        <w:rPr>
          <w:rFonts w:hint="eastAsia"/>
          <w:sz w:val="24"/>
          <w:lang w:val="en-US" w:eastAsia="zh-CN"/>
        </w:rPr>
        <w:t>总量</w:t>
      </w:r>
      <w:r>
        <w:rPr>
          <w:rFonts w:hint="eastAsia"/>
          <w:sz w:val="24"/>
        </w:rPr>
        <w:t>合计19.2万亿美元，占比为美国GDP总量</w:t>
      </w:r>
      <w:r>
        <w:rPr>
          <w:rFonts w:hint="eastAsia"/>
          <w:sz w:val="24"/>
          <w:lang w:val="en-US" w:eastAsia="zh-CN"/>
        </w:rPr>
        <w:t>的</w:t>
      </w:r>
      <w:r>
        <w:rPr>
          <w:rFonts w:hint="eastAsia"/>
          <w:sz w:val="24"/>
        </w:rPr>
        <w:t>75.6%。2022年，欧盟27国GDP合计16.6万亿美元，低于中国。2022年中国GDP实际增速3.0%，规模121万亿元（18万亿美元），相当于美国约71%，占全球GDP比重约18%，稳居全球第二大经济体。2022年美国GDP同比实际增长2.1，总量达到25.47万亿美元，占比全球的25.55%。中国与美国GDP规模差距快速缩小，相当于美国的70%，预计2030年中国GDP总量赶超美国</w:t>
      </w:r>
      <w:r>
        <w:rPr>
          <w:rStyle w:val="20"/>
          <w:rFonts w:hint="eastAsia" w:ascii="宋体" w:hAnsi="宋体" w:eastAsia="宋体" w:cs="宋体"/>
          <w:b w:val="0"/>
          <w:bCs w:val="0"/>
          <w:sz w:val="24"/>
          <w:szCs w:val="21"/>
        </w:rPr>
        <w:footnoteReference w:id="665"/>
      </w:r>
      <w:r>
        <w:rPr>
          <w:rFonts w:hint="eastAsia"/>
          <w:sz w:val="24"/>
        </w:rPr>
        <w:t>。</w:t>
      </w:r>
    </w:p>
    <w:p w14:paraId="77DC69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“东升西降”的</w:t>
      </w:r>
      <w:r>
        <w:rPr>
          <w:rFonts w:hint="eastAsia"/>
          <w:sz w:val="24"/>
          <w:lang w:val="en-US" w:eastAsia="zh-CN"/>
        </w:rPr>
        <w:t>国际</w:t>
      </w:r>
      <w:r>
        <w:rPr>
          <w:rFonts w:hint="eastAsia"/>
          <w:sz w:val="24"/>
        </w:rPr>
        <w:t>经济新格局是</w:t>
      </w:r>
      <w:r>
        <w:rPr>
          <w:rFonts w:hint="eastAsia"/>
          <w:sz w:val="24"/>
          <w:lang w:val="en-US" w:eastAsia="zh-CN"/>
        </w:rPr>
        <w:t>由</w:t>
      </w:r>
      <w:r>
        <w:rPr>
          <w:rFonts w:hint="eastAsia"/>
          <w:sz w:val="24"/>
        </w:rPr>
        <w:t>美国国内外众多矛盾、霸权衰落的机制规律</w:t>
      </w:r>
      <w:r>
        <w:rPr>
          <w:rFonts w:hint="eastAsia"/>
          <w:sz w:val="24"/>
          <w:lang w:val="en-US" w:eastAsia="zh-CN"/>
        </w:rPr>
        <w:t>和</w:t>
      </w:r>
      <w:r>
        <w:rPr>
          <w:rFonts w:hint="eastAsia"/>
          <w:sz w:val="24"/>
        </w:rPr>
        <w:t>各发展中国家立足本国实际情况，积极参与全球发展合作</w:t>
      </w:r>
      <w:r>
        <w:rPr>
          <w:rFonts w:hint="eastAsia"/>
          <w:sz w:val="24"/>
          <w:lang w:eastAsia="zh-CN"/>
        </w:rPr>
        <w:t>、</w:t>
      </w:r>
      <w:r>
        <w:rPr>
          <w:rFonts w:hint="eastAsia"/>
          <w:sz w:val="24"/>
        </w:rPr>
        <w:t>积极拓展发展渠道，坚持自力更生、独立自主所决定的。</w:t>
      </w:r>
    </w:p>
    <w:p w14:paraId="60E80C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作为发展中大国，中国高度重视作为兴国强国的第一要务，成功推进和拓展了中国式现代化，取得了举世瞩目的发展成就。中美之间差距的缩小是美国式现代化与中国式现代化</w:t>
      </w:r>
      <w:r>
        <w:rPr>
          <w:rFonts w:hint="eastAsia"/>
          <w:sz w:val="24"/>
          <w:lang w:val="en-US" w:eastAsia="zh-CN"/>
        </w:rPr>
        <w:t>走</w:t>
      </w:r>
      <w:r>
        <w:rPr>
          <w:rFonts w:hint="eastAsia"/>
          <w:sz w:val="24"/>
        </w:rPr>
        <w:t>各自不同发展道路的</w:t>
      </w:r>
      <w:r>
        <w:rPr>
          <w:rFonts w:hint="eastAsia"/>
          <w:sz w:val="24"/>
          <w:lang w:val="en-US" w:eastAsia="zh-CN"/>
        </w:rPr>
        <w:t>结</w:t>
      </w:r>
      <w:r>
        <w:rPr>
          <w:rFonts w:hint="eastAsia"/>
          <w:sz w:val="24"/>
        </w:rPr>
        <w:t>果，而非中国的经济发展负面影响了美国；恰恰相反，中国的经济发展不断受到美国违反国际法的</w:t>
      </w:r>
      <w:r>
        <w:rPr>
          <w:rFonts w:hint="eastAsia"/>
          <w:sz w:val="24"/>
          <w:lang w:val="en-US" w:eastAsia="zh-CN"/>
        </w:rPr>
        <w:t>各种</w:t>
      </w:r>
      <w:r>
        <w:rPr>
          <w:rFonts w:hint="eastAsia"/>
          <w:sz w:val="24"/>
        </w:rPr>
        <w:t>非法制裁和打压。</w:t>
      </w:r>
      <w:r>
        <w:rPr>
          <w:rFonts w:hint="eastAsia"/>
          <w:sz w:val="24"/>
          <w:lang w:val="en-US" w:eastAsia="zh-CN"/>
        </w:rPr>
        <w:t>尤其是近年“</w:t>
      </w:r>
      <w:r>
        <w:rPr>
          <w:rFonts w:hint="eastAsia"/>
          <w:sz w:val="24"/>
        </w:rPr>
        <w:t>美西方以“中国产能过剩论”为名，大行保护主义之实的霸权主义行径，将经贸科技问题政治化、工具化、武器化，是一种贸易保护主义和霸权主义的现实表现，势必不断给世界经济发展带来严重灾难。</w:t>
      </w:r>
      <w:r>
        <w:rPr>
          <w:rFonts w:hint="eastAsia"/>
          <w:sz w:val="24"/>
          <w:lang w:val="en-US" w:eastAsia="zh-CN"/>
        </w:rPr>
        <w:t>”</w:t>
      </w:r>
      <w:r>
        <w:rPr>
          <w:rStyle w:val="20"/>
          <w:rFonts w:hint="eastAsia" w:ascii="宋体" w:hAnsi="宋体" w:eastAsia="宋体" w:cs="宋体"/>
          <w:color w:val="000000"/>
          <w:sz w:val="24"/>
          <w:szCs w:val="21"/>
        </w:rPr>
        <w:footnoteReference w:id="666"/>
      </w:r>
      <w:r>
        <w:rPr>
          <w:rFonts w:hint="eastAsia"/>
          <w:sz w:val="24"/>
          <w:lang w:val="en-US" w:eastAsia="zh-CN"/>
        </w:rPr>
        <w:t>而美国通过“逆全球化”的非法保护主义来遏制中国发展的措施，必然有损于中国和世界经济的正常发展，发过来也必然大大损害美国经济。</w:t>
      </w:r>
      <w:r>
        <w:rPr>
          <w:rStyle w:val="20"/>
          <w:rFonts w:hint="eastAsia" w:ascii="宋体" w:hAnsi="宋体" w:eastAsia="宋体" w:cs="宋体"/>
          <w:b w:val="0"/>
          <w:bCs w:val="0"/>
          <w:sz w:val="24"/>
          <w:szCs w:val="21"/>
          <w:lang w:val="en-US" w:eastAsia="zh-CN"/>
        </w:rPr>
        <w:footnoteReference w:id="667"/>
      </w:r>
    </w:p>
    <w:p w14:paraId="69BFC7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目前美国政府对国际多边机制的损害性运用，已经严重影响到国际制度的权威性与可信性，传统全球经济治理体系缺乏包容性和公平性问题不断凸显，无法实现对全球经济运行失衡的破局，因而全球经济治理体系正悄然嬗变。由于新兴市场和发展中国家经济崛起，客观上削弱了霸权国家在全球经济治理</w:t>
      </w:r>
      <w:r>
        <w:rPr>
          <w:rFonts w:hint="eastAsia"/>
          <w:sz w:val="24"/>
          <w:lang w:val="en-US" w:eastAsia="zh-CN"/>
        </w:rPr>
        <w:t>中</w:t>
      </w:r>
      <w:r>
        <w:rPr>
          <w:rFonts w:hint="eastAsia"/>
          <w:sz w:val="24"/>
        </w:rPr>
        <w:t>的绝对主导地位，全球经济权力呈多极化态势，霸权国家为维护自身利益，</w:t>
      </w:r>
      <w:r>
        <w:rPr>
          <w:rFonts w:hint="eastAsia"/>
          <w:sz w:val="24"/>
          <w:lang w:val="en-US" w:eastAsia="zh-CN"/>
        </w:rPr>
        <w:t>在</w:t>
      </w:r>
      <w:r>
        <w:rPr>
          <w:rFonts w:hint="eastAsia"/>
          <w:sz w:val="24"/>
        </w:rPr>
        <w:t>实施贸易保护主义的同时也降低了其全球公共产品供给的积极性，原有大国霸权治理向多主体合作共治转变。然而，拜登政府极力维护美国自</w:t>
      </w:r>
      <w:r>
        <w:rPr>
          <w:rFonts w:hint="eastAsia"/>
          <w:sz w:val="24"/>
          <w:lang w:val="en-US" w:eastAsia="zh-CN"/>
        </w:rPr>
        <w:t>诩</w:t>
      </w:r>
      <w:r>
        <w:rPr>
          <w:rFonts w:hint="eastAsia"/>
          <w:sz w:val="24"/>
        </w:rPr>
        <w:t>的全球“领导地位”，并不断强化跨大西洋联盟和跨太平洋联盟，以期形成对所谓“非市场经济体”的共同贸易、金融和科技政策，并加大力度逼迫发展中国家做出选择，企图改变世界多极化发展趋势。</w:t>
      </w:r>
    </w:p>
    <w:p w14:paraId="2F65D9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不过，</w:t>
      </w:r>
      <w:r>
        <w:rPr>
          <w:rFonts w:hint="eastAsia"/>
          <w:sz w:val="24"/>
          <w:lang w:val="en-US" w:eastAsia="zh-CN"/>
        </w:rPr>
        <w:t>金砖国家、</w:t>
      </w:r>
      <w:r>
        <w:rPr>
          <w:rFonts w:hint="eastAsia"/>
          <w:sz w:val="24"/>
          <w:lang w:eastAsia="zh-CN"/>
        </w:rPr>
        <w:t>“</w:t>
      </w:r>
      <w:r>
        <w:rPr>
          <w:rFonts w:hint="eastAsia"/>
          <w:sz w:val="24"/>
          <w:lang w:val="en-US" w:eastAsia="zh-CN"/>
        </w:rPr>
        <w:t>一带一路</w:t>
      </w:r>
      <w:r>
        <w:rPr>
          <w:rFonts w:hint="eastAsia"/>
          <w:sz w:val="24"/>
          <w:lang w:eastAsia="zh-CN"/>
        </w:rPr>
        <w:t>”</w:t>
      </w:r>
      <w:r>
        <w:rPr>
          <w:rFonts w:hint="eastAsia"/>
          <w:sz w:val="24"/>
          <w:lang w:val="en-US" w:eastAsia="zh-CN"/>
        </w:rPr>
        <w:t>国际共建、上合组织、77国集团和中国、</w:t>
      </w:r>
      <w:r>
        <w:rPr>
          <w:rFonts w:hint="eastAsia"/>
          <w:sz w:val="24"/>
        </w:rPr>
        <w:t>二十国集团（G20）等新型区域</w:t>
      </w:r>
      <w:r>
        <w:rPr>
          <w:rFonts w:hint="eastAsia"/>
          <w:sz w:val="24"/>
          <w:lang w:val="en-US" w:eastAsia="zh-CN"/>
        </w:rPr>
        <w:t>性和集团性</w:t>
      </w:r>
      <w:r>
        <w:rPr>
          <w:rFonts w:hint="eastAsia"/>
          <w:sz w:val="24"/>
        </w:rPr>
        <w:t>经济</w:t>
      </w:r>
      <w:r>
        <w:rPr>
          <w:rFonts w:hint="eastAsia"/>
          <w:sz w:val="24"/>
          <w:lang w:val="en-US" w:eastAsia="zh-CN"/>
        </w:rPr>
        <w:t>政治</w:t>
      </w:r>
      <w:r>
        <w:rPr>
          <w:rFonts w:hint="eastAsia"/>
          <w:sz w:val="24"/>
        </w:rPr>
        <w:t>治理组织的出现，促使发展中经济体也逐渐被纳入全球治理体系之中，促成了区域合作与高层对话，成为通向更高层次多边合作的重要平台。尤其是中国</w:t>
      </w:r>
      <w:r>
        <w:rPr>
          <w:rFonts w:hint="eastAsia"/>
          <w:sz w:val="24"/>
          <w:lang w:val="en-US" w:eastAsia="zh-CN"/>
        </w:rPr>
        <w:t>先后提出以</w:t>
      </w:r>
      <w:r>
        <w:rPr>
          <w:rFonts w:hint="eastAsia"/>
          <w:sz w:val="24"/>
        </w:rPr>
        <w:t>人类命运共同体</w:t>
      </w:r>
      <w:r>
        <w:rPr>
          <w:rFonts w:hint="eastAsia"/>
          <w:sz w:val="24"/>
          <w:lang w:val="en-US" w:eastAsia="zh-CN"/>
        </w:rPr>
        <w:t>理念</w:t>
      </w:r>
      <w:r>
        <w:rPr>
          <w:rFonts w:hint="eastAsia"/>
          <w:sz w:val="24"/>
        </w:rPr>
        <w:t>倡导</w:t>
      </w:r>
      <w:r>
        <w:rPr>
          <w:rFonts w:hint="eastAsia"/>
          <w:sz w:val="24"/>
          <w:lang w:val="en-US" w:eastAsia="zh-CN"/>
        </w:rPr>
        <w:t>为核心、扩展到“一带一路”和全球的发展、安全、文明、人工智能治理、互不首先使用核武器共“七大倡议”，</w:t>
      </w:r>
      <w:r>
        <w:rPr>
          <w:rFonts w:hint="eastAsia"/>
          <w:sz w:val="24"/>
        </w:rPr>
        <w:t>为全球经济</w:t>
      </w:r>
      <w:r>
        <w:rPr>
          <w:rFonts w:hint="eastAsia"/>
          <w:sz w:val="24"/>
          <w:lang w:val="en-US" w:eastAsia="zh-CN"/>
        </w:rPr>
        <w:t>政治</w:t>
      </w:r>
      <w:r>
        <w:rPr>
          <w:rFonts w:hint="eastAsia"/>
          <w:sz w:val="24"/>
        </w:rPr>
        <w:t>治理拓展了新思路。</w:t>
      </w:r>
    </w:p>
    <w:p w14:paraId="1270FA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2022年11月10日，在联合国举行的第21次会议上，作为代表77国集团成员国和中国的联合国会员国，巴基斯坦代表提出了题为“走向国际经济新秩序”的决议草案；2022年11月21日，联合国在第22次会议上通过了题为“走向国际经济新秩序”的决议。其中，中国、俄罗斯等124票赞成，美国、乌克兰、英国、日本、韩国等50票反对、土耳其等2票弃权。</w:t>
      </w:r>
      <w:r>
        <w:rPr>
          <w:rStyle w:val="20"/>
          <w:rFonts w:hint="eastAsia" w:ascii="宋体" w:hAnsi="宋体" w:eastAsia="宋体" w:cs="宋体"/>
          <w:b w:val="0"/>
          <w:bCs w:val="0"/>
          <w:sz w:val="24"/>
          <w:szCs w:val="21"/>
          <w:highlight w:val="yellow"/>
          <w:lang w:val="en-US" w:eastAsia="zh-CN"/>
        </w:rPr>
        <w:footnoteReference w:id="668"/>
      </w:r>
      <w:r>
        <w:rPr>
          <w:rFonts w:hint="eastAsia"/>
          <w:sz w:val="24"/>
        </w:rPr>
        <w:t>这充分反映</w:t>
      </w:r>
      <w:r>
        <w:rPr>
          <w:rFonts w:hint="eastAsia"/>
          <w:sz w:val="24"/>
          <w:lang w:val="en-US" w:eastAsia="zh-CN"/>
        </w:rPr>
        <w:t>了</w:t>
      </w:r>
      <w:r>
        <w:rPr>
          <w:rFonts w:hint="eastAsia"/>
          <w:sz w:val="24"/>
        </w:rPr>
        <w:t>美国等新帝国主义</w:t>
      </w:r>
      <w:r>
        <w:rPr>
          <w:rFonts w:hint="eastAsia"/>
          <w:sz w:val="24"/>
          <w:lang w:eastAsia="zh-CN"/>
        </w:rPr>
        <w:t>、</w:t>
      </w:r>
      <w:r>
        <w:rPr>
          <w:rFonts w:hint="eastAsia"/>
          <w:sz w:val="24"/>
          <w:lang w:val="en-US" w:eastAsia="zh-CN"/>
        </w:rPr>
        <w:t>新殖民主义</w:t>
      </w:r>
      <w:r>
        <w:rPr>
          <w:rFonts w:hint="eastAsia"/>
          <w:sz w:val="24"/>
        </w:rPr>
        <w:t>及其盟国维护不合理的国际经济秩序，以及中国、俄罗斯等为代表的广大发展中国家</w:t>
      </w:r>
      <w:r>
        <w:rPr>
          <w:rFonts w:hint="eastAsia"/>
          <w:sz w:val="24"/>
          <w:lang w:val="en-US" w:eastAsia="zh-CN"/>
        </w:rPr>
        <w:t>和南方国家</w:t>
      </w:r>
      <w:r>
        <w:rPr>
          <w:rFonts w:hint="eastAsia"/>
          <w:sz w:val="24"/>
        </w:rPr>
        <w:t>积极要求改革不公正的国际经济旧秩序和加强国际经济治理的良好愿望。可见，世界进步友好国家抵制和反制“美国式”经济政治军事的霸权治理，联手打造利益共同体、责任共同体、命运共同体，这既是各国走向共同繁荣的现实利益需要，也是维护世界和平与发展的治理需要。</w:t>
      </w:r>
    </w:p>
    <w:p w14:paraId="152FBC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应当看到，参与全球经济治理的行为体既有主权国家、国家集团、国际组织，也有跨国公司、非政府组织、社会运动等，而在这些行为体中扮演着十分重要角色的往往是大国或强国。当前，只有在南方国家联合反对新霸权主义、新帝国主义、新殖民主义、新种族主义、新自由主义、新法西斯主义的伟大斗争中，尤其是反对美西方引发的俄乌冲突、中东冲突，反对美西方试图引发印太若干地区冲突中，才能真正实现国际经济政治的有效治理。</w:t>
      </w:r>
    </w:p>
    <w:p w14:paraId="6943F5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（原载《世界社会主义研究》2024年第9期。）</w:t>
      </w:r>
    </w:p>
    <w:p w14:paraId="2EAB9D3D">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sz w:val="24"/>
          <w:lang w:val="en-US" w:eastAsia="zh-CN"/>
        </w:rPr>
      </w:pPr>
    </w:p>
    <w:p w14:paraId="70E022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9E8BD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马克思主义的分工理论及其当代发展</w:t>
      </w:r>
      <w:r>
        <w:rPr>
          <w:rStyle w:val="20"/>
          <w:rFonts w:hint="eastAsia" w:ascii="宋体" w:hAnsi="宋体" w:eastAsia="宋体" w:cs="宋体"/>
          <w:sz w:val="24"/>
          <w:szCs w:val="21"/>
        </w:rPr>
        <w:footnoteReference w:id="669"/>
      </w:r>
    </w:p>
    <w:p w14:paraId="5C2B4B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宋宪萍 程恩富 </w:t>
      </w:r>
    </w:p>
    <w:p w14:paraId="42F058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37639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内容提要：马克思主义的分工理论将分工内化于经济过程的现实批判思路，集中体现在分工的产生与深化、分工的类别、分工的作用、国际分工以及对分工的未来设想方面。马克思主义分工理论的当代发展主要表现在两个方面，一方面是对马克思主义分工理论的文本解读和逻辑梳理，另一方面主要是应用马克思主义分工理论对丰富鲜活的现实问题进行具体运用和深度分析。分工理论的马克思主义范式解读，既为我们探究理论源流提供了充分的诠释理据作用，又为我们关照现实中的分工现象提供了重要的价值导向作用。</w:t>
      </w:r>
    </w:p>
    <w:p w14:paraId="626D4DC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关键词：马克思主义；社会分工；劳动分工；政治经济学原理</w:t>
      </w:r>
    </w:p>
    <w:p w14:paraId="1FEB64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中图分类号: F014.2</w:t>
      </w:r>
    </w:p>
    <w:p w14:paraId="762331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E931D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作为生产的基本形式和劳动的社会性存在方式，分工是一个伴随人类社会发展历久弥新的历史性实践过程。人类社会经济发展的过程，在某种程度上就是劳动不断分化的过程，即分工。各个国家和民族不同历史发展阶段对应的科学技术水平、资源配置方式、生产组织模式等因素的不同，经历的具体社会分工形式也不尽一致，进而呈现出文明的多样性景观。随着大数据、云计算、物联网等全球科技革命的迭代升级,人类社会已经处在了第四次工业革命的开端，新技术的发明和应用推动了社会和部门内部分工的发展和重塑，分工的规模经济和范围经济逐渐提升，企业间网络化分工协作和企业内部数字劳动过程不断深化。如何从马克思主义分工理论视域认识数字化分工变化特质与规律，并做好应对数字经济带来的分工变化和影响，是我们不得不面对的重大时代问题。本文试从马克思主义视角对分工理论进行梳理，尝试挖掘马克思主义分工理论的解释进路。</w:t>
      </w:r>
    </w:p>
    <w:p w14:paraId="06C412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一、马克思主义的分工理论</w:t>
      </w:r>
    </w:p>
    <w:p w14:paraId="759573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最早提出分工理论的是亚当•斯密，在斯密之前，虽然也有学者注意到了分工的重要作用</w:t>
      </w:r>
      <w:r>
        <w:rPr>
          <w:rStyle w:val="20"/>
          <w:rFonts w:hint="eastAsia" w:ascii="宋体" w:hAnsi="宋体" w:eastAsia="宋体" w:cs="宋体"/>
          <w:kern w:val="24"/>
          <w:sz w:val="24"/>
          <w:szCs w:val="21"/>
        </w:rPr>
        <w:footnoteReference w:id="670"/>
      </w:r>
      <w:r>
        <w:rPr>
          <w:rFonts w:hint="eastAsia"/>
          <w:sz w:val="24"/>
        </w:rPr>
        <w:t>，但第一次把分工放到了经济学研究首要位置的是斯密。斯密系统的分工经济思想主要体现在他1776年发表的《国民财富的性质和原因的研究》一书中，斯密确立了分工在经济学研究中的首要地位。然而之后分工理论就在主流经济学中消失了，即使后来有凤毛麟角的学者重拾分工理论</w:t>
      </w:r>
      <w:r>
        <w:rPr>
          <w:rStyle w:val="20"/>
          <w:rFonts w:hint="eastAsia" w:ascii="宋体" w:hAnsi="宋体" w:eastAsia="宋体" w:cs="宋体"/>
          <w:kern w:val="24"/>
          <w:sz w:val="24"/>
          <w:szCs w:val="21"/>
        </w:rPr>
        <w:footnoteReference w:id="671"/>
      </w:r>
      <w:r>
        <w:rPr>
          <w:rFonts w:hint="eastAsia"/>
          <w:sz w:val="24"/>
        </w:rPr>
        <w:t>，依然没有超越斯密，更别提超越马克思了。马克思主义经典作家是在批判地借鉴吸收斯密分工理论的基础上，立足于资本主义生产方式，在对资本主义经济发展规律进行解析的过程中，创立了马克思主义的分工理论。马克思主义分工理论着眼于人类社会的进步和人的自由全面发展，将分工理论置于生产力、生产关系和在社会再生产之中展开，在对传统分工理论批判、扬弃的基础之上形成与古典经济学以增长为核心的分工理论有着本质区别的系统、科学的分工理论。</w:t>
      </w:r>
    </w:p>
    <w:p w14:paraId="7345225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（一）分工的产生与深化</w:t>
      </w:r>
    </w:p>
    <w:p w14:paraId="0ACFB8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社会分工是人类社会生产力发展到一定程度的产物。无商品交换的性别、年龄分工或地域分工被称为自然分工，自然分工依据的基础不是劳动本身的性质，因此这当然不是马克思主义要研究的分工，马克思主义要研究的分工是一定社会生产方式中的分工。在自然分工的过程中，劳动者得以集中较多精力于少数几种劳动事务中，从而在一定程度上提高了劳动技能，增加了劳动剩余。随着自然分工的发展和社会生产力的进步，生产剩余产品逐渐增多，人们之间发生了交换，以商品交换为基础的社会分工便最终产生。“作为独立生产者的私事而各自独立进行的各种有用劳动的这种质的区别，发展成一个多支的体系，发展成社会分工。”</w:t>
      </w:r>
      <w:r>
        <w:rPr>
          <w:rStyle w:val="20"/>
          <w:rFonts w:hint="eastAsia" w:ascii="宋体" w:hAnsi="宋体" w:eastAsia="宋体" w:cs="宋体"/>
          <w:kern w:val="24"/>
          <w:sz w:val="24"/>
          <w:szCs w:val="21"/>
        </w:rPr>
        <w:footnoteReference w:id="672"/>
      </w:r>
    </w:p>
    <w:p w14:paraId="591CC48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分工的出现使交换成为必然，分工导致交换产生后，便与交换在历史互动中共同发展、不断深化。马克思指出，最初的交换活动发生在人类原始共同体（公社）之间，由于各个部落内部有了剩余的产品，各个部落之间会发生偶然的和不固定的产品交换，这就形成了市场的雏形。在第一次社会大分工出现以后，剩余产品的交换变得经常和固定了，市场也在不断发展。在竞争机制和价格机制的作用下，生产者必须用更有效率的方法去生产市场需要的商品，而社会分工能够提高劳动者的熟练程度，改进生产的技术和提高劳动生产率，它是达到这个目的的有效途径，因而一次次的社会大分工相继出现，每一个生产部门内的社会分工也不断深化。恩格斯在《家庭、私有制和国家的起源》中认为，第一次社会大分工出现的标志是游牧部落从其余的野蛮人群中分离出来，第二次社会大分工出现的标志是手工业和农业分离，第三次社会大分工出现的标志是仅仅从事产品交换的商人阶级形成。</w:t>
      </w:r>
      <w:r>
        <w:rPr>
          <w:rStyle w:val="20"/>
          <w:rFonts w:hint="eastAsia" w:ascii="宋体" w:hAnsi="宋体" w:eastAsia="宋体" w:cs="宋体"/>
          <w:kern w:val="24"/>
          <w:sz w:val="24"/>
          <w:szCs w:val="21"/>
        </w:rPr>
        <w:footnoteReference w:id="673"/>
      </w:r>
      <w:r>
        <w:rPr>
          <w:rFonts w:hint="eastAsia"/>
          <w:sz w:val="24"/>
        </w:rPr>
        <w:t xml:space="preserve"> 随着社会分工的不断演进，社会分工系统形成，原始的市场形态也逐渐发展成现代市场经济，竞争机制与价格机制也都赋予了现代内涵，并且日益发达。因此，社会分工与市场是经济发展历史中的交互活动。</w:t>
      </w:r>
    </w:p>
    <w:p w14:paraId="0571AA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分工与市场的互动演进中，分工不断深化，出现了更多的产业、更多的行业，同时也使整个市场扩大了，世界市场形成。机器的生产和革新，形成以生产力发达的资本主义国家为主导的国际分工和国际市场。“由于机器和蒸汽的应用，分工的规模已使脱离了本国基地的大工业完全依赖于世界市场、国际交换和国际分工。”</w:t>
      </w:r>
      <w:r>
        <w:rPr>
          <w:rStyle w:val="20"/>
          <w:rFonts w:hint="eastAsia" w:ascii="宋体" w:hAnsi="宋体" w:eastAsia="宋体" w:cs="宋体"/>
          <w:kern w:val="0"/>
          <w:sz w:val="24"/>
          <w:szCs w:val="21"/>
        </w:rPr>
        <w:footnoteReference w:id="674"/>
      </w:r>
      <w:r>
        <w:rPr>
          <w:rFonts w:hint="eastAsia"/>
          <w:sz w:val="24"/>
        </w:rPr>
        <w:t xml:space="preserve"> 分工使生产效率得到很大提升，过剩的产品需要寻找商品销售地和原料供给地。“大工业造成的新的世界市场关系也引起产品的精致和多样化。不仅有更多的外国消费品同本国的产品相交换，而且还有更多的外国原料、材料、半成品等作为生产资料进入本国工业。”</w:t>
      </w:r>
      <w:r>
        <w:rPr>
          <w:rStyle w:val="20"/>
          <w:rFonts w:hint="eastAsia" w:ascii="宋体" w:hAnsi="宋体" w:eastAsia="宋体" w:cs="宋体"/>
          <w:kern w:val="0"/>
          <w:sz w:val="24"/>
          <w:szCs w:val="21"/>
        </w:rPr>
        <w:footnoteReference w:id="675"/>
      </w:r>
      <w:r>
        <w:rPr>
          <w:rFonts w:hint="eastAsia"/>
          <w:sz w:val="24"/>
        </w:rPr>
        <w:t xml:space="preserve"> 大量产品的生产使国际分工呈现结构化特征，“一种与机器生产中心相适应的新的国际分工产生了，它使地球的一部分转变为主要从事农业的生产地区，以服务于另一部分主要从事工业的生产地区。”</w:t>
      </w:r>
      <w:r>
        <w:rPr>
          <w:rStyle w:val="20"/>
          <w:rFonts w:hint="eastAsia" w:ascii="宋体" w:hAnsi="宋体" w:eastAsia="宋体" w:cs="宋体"/>
          <w:kern w:val="0"/>
          <w:sz w:val="24"/>
          <w:szCs w:val="21"/>
        </w:rPr>
        <w:footnoteReference w:id="676"/>
      </w:r>
      <w:r>
        <w:rPr>
          <w:rFonts w:hint="eastAsia"/>
          <w:sz w:val="24"/>
        </w:rPr>
        <w:t xml:space="preserve"> 列宁十分赞同马克思关于分工是商品生产的基础以及市场与分工互动演进的观点，并且从俄国的经济现实出发，提出：“这种商业性的（和资本主义的）农业的专业化，出现在所有的资本主义国家中，出现在国际分工中，也出现在改革后的俄国”</w:t>
      </w:r>
      <w:r>
        <w:rPr>
          <w:rStyle w:val="20"/>
          <w:rFonts w:hint="eastAsia" w:ascii="宋体" w:hAnsi="宋体" w:eastAsia="宋体" w:cs="宋体"/>
          <w:kern w:val="0"/>
          <w:sz w:val="24"/>
          <w:szCs w:val="21"/>
        </w:rPr>
        <w:footnoteReference w:id="677"/>
      </w:r>
      <w:r>
        <w:rPr>
          <w:rFonts w:hint="eastAsia"/>
          <w:sz w:val="24"/>
        </w:rPr>
        <w:t>，充分肯定社会分工影响俄国经济发展的客观事实，极力批判俄国民粹派理论对俄国社会分工的抹杀。列宁认为，“‘市场’这一概念和社会分工（即马克思所说的‘任何商品生产〈我们加上一句，因而也是资本主义生产〉的共同基础’）这一概念是完全分不开的。哪里有社会分工和商品生产，那里就有‘市场’；社会分工和商品生产发展到什么程度，‘市场’就发展到什么程度。市场量和社会劳动专业化的程度有不可分割的联系。”</w:t>
      </w:r>
      <w:r>
        <w:rPr>
          <w:rFonts w:hint="eastAsia"/>
          <w:sz w:val="24"/>
        </w:rPr>
        <w:footnoteReference w:id="678"/>
      </w:r>
      <w:r>
        <w:rPr>
          <w:rFonts w:hint="eastAsia"/>
          <w:sz w:val="24"/>
        </w:rPr>
        <w:t xml:space="preserve"> 他把社会分工作为市场经济的基础，把生产社会化划分为社会联系和社会分工两个方面，认为市场经济与社会分工有着不可分割的内在联系，在市场经济与社会分工的互动演进中，双方进一步深化。</w:t>
      </w:r>
    </w:p>
    <w:p w14:paraId="039495B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（二）分工的类别</w:t>
      </w:r>
    </w:p>
    <w:p w14:paraId="000ECA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尽管斯密对分工给予了应有的关注，并进行了深刻的分析，然而斯密并没有对分工进行类别上的深入剖析。在斯密那里，分工就是分工，没有企业的分工和社会分工的区别，他认为，“这种社会分工和工场手工业分工的区别只是主观的，也就是说，只是对观察者才存在的，因为观察者在工场手工业分工的场合一眼就可以在空间上看到各种各样局部劳动，而在社会分工的场合，各种局部劳动分散在广大的面上，每个特殊部门都雇用大量的人，因而使这种联系模糊不清。”</w:t>
      </w:r>
      <w:r>
        <w:rPr>
          <w:rFonts w:hint="eastAsia"/>
          <w:sz w:val="24"/>
        </w:rPr>
        <w:footnoteReference w:id="679"/>
      </w:r>
      <w:r>
        <w:rPr>
          <w:rFonts w:hint="eastAsia"/>
          <w:sz w:val="24"/>
        </w:rPr>
        <w:t xml:space="preserve"> 在斯密著名的扣针生产的例子中，是管理这只“看得见的手”在操纵着一切，安排着工厂里的每一个工人在制针的每一道工序上的分工和合作；他所倡导的著名的“看不见的手”则决定着这家制针厂该用多少煤和机器，而这一点在斯密列举的分工的事例中却没有体现。可见，在斯密那里，两种分工是含混的。</w:t>
      </w:r>
    </w:p>
    <w:p w14:paraId="738AD59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在批判与继承斯密分工理论的基础上，第一次提出社会分工论，社会分工既包括农业和工业等“一般的分工”，也包括部门内部的“特殊的分工”，而生产组织内部的分工属于“个别的分工”。马克思主要立足资本主义生产方式，着重分析的是社会分工与工场手工业的分工。与斯密认为社会分工和工场手工业分工的区别只是主观的，即只是对观察者才存在的观点不同，马克思主义认为社会分工与工场手工业分工既有区别又有联系。在马克思看来，劳动的社会分工是指构成社会总体劳动的各个不同的劳动部门分别生产完全不同的商品，它们之间只有通过商品交换才能发生联系；工场手工业分工则是在同一个工场内部生产同一种商品时的分工，它们之间的联系不需通过商品交换。马克思称前者为第一类分工，后者为第二类分工，对于二者的联系，“很清楚，（1）这种分工（工场手工业分工，作者注）以社会分工为前提。只是由于在商品交换中发展起来的社会劳动的分化，不同的劳动部门才互相分离，使每个特殊部门从事专门劳动，在这种专门劳动内部又会发生分工，专门劳动的分解。（2）同样也很清楚，第二类分工又必然会发生反作用，扩大第一类分工。”</w:t>
      </w:r>
      <w:r>
        <w:rPr>
          <w:rStyle w:val="20"/>
          <w:rFonts w:hint="eastAsia" w:ascii="宋体" w:hAnsi="宋体" w:eastAsia="宋体" w:cs="宋体"/>
          <w:kern w:val="24"/>
          <w:sz w:val="24"/>
          <w:szCs w:val="21"/>
        </w:rPr>
        <w:footnoteReference w:id="680"/>
      </w:r>
      <w:r>
        <w:rPr>
          <w:rFonts w:hint="eastAsia"/>
          <w:sz w:val="24"/>
        </w:rPr>
        <w:t xml:space="preserve"> 在离上述引文不远的地方，马克思把两类分工之间的相互作用关系称为：“分工导致了进一步的分工。”</w:t>
      </w:r>
      <w:r>
        <w:rPr>
          <w:rStyle w:val="20"/>
          <w:rFonts w:hint="eastAsia" w:ascii="宋体" w:hAnsi="宋体" w:eastAsia="宋体" w:cs="宋体"/>
          <w:kern w:val="24"/>
          <w:sz w:val="24"/>
          <w:szCs w:val="21"/>
        </w:rPr>
        <w:footnoteReference w:id="681"/>
      </w:r>
      <w:r>
        <w:rPr>
          <w:rFonts w:hint="eastAsia"/>
          <w:sz w:val="24"/>
        </w:rPr>
        <w:t xml:space="preserve"> 社会分工是工场手工业分工的前提，工场手工业分工的发展又会使某一种特殊的劳动发展为独立的生产部门，使社会分工扩大。</w:t>
      </w:r>
    </w:p>
    <w:p w14:paraId="15EE211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同时也指出，虽然在一定历史阶段上，社会分工与工场内部分工这两种分工常常同时存在，同时发展，相互之间可以转换，但这种转换是有条件的，而不是主观和任意的。在新制度经济学中，主张“企业是市场的替代物”，认为企业与市场间的相互替代只涉及交易成本问题，实际上是假定社会分工与工场内部分工可以无条件地互相转换，或者说混淆了这两种分工形式。</w:t>
      </w:r>
      <w:r>
        <w:rPr>
          <w:rStyle w:val="20"/>
          <w:rFonts w:hint="eastAsia" w:ascii="宋体" w:hAnsi="宋体" w:eastAsia="宋体" w:cs="宋体"/>
          <w:kern w:val="24"/>
          <w:sz w:val="24"/>
          <w:szCs w:val="21"/>
        </w:rPr>
        <w:footnoteReference w:id="682"/>
      </w:r>
      <w:r>
        <w:rPr>
          <w:rFonts w:hint="eastAsia"/>
          <w:sz w:val="24"/>
        </w:rPr>
        <w:t xml:space="preserve"> 对于二者之间的矛盾关系，马克思以资本主义生产方式为例，认为二者之间区别主要表现在下述方面：第一，媒介不同。社会内部的分工以不同劳动部门的产品的买卖为媒介；工场手工业内部各局部劳动之间的联系，以不同的劳动力出卖给同一个资本家，而这个资本家把它们作为一个结合劳动力来使用为媒介。社会分工的特征是劳动者的产品是商品，企业内部分工的特征是劳动者的产品不是商品，他们共同的产品才是商品。第二，前提不同。社会分工是以生产资料分散在许多互不依赖的生产者手里为前提，而工场内部分工是以生产资料集中在一个资本家手里为前提。第三，支配分工的规律不同。社会分工是由价格规律来调节，工场内部的分工则是按照管理规律来调节的。第四，服从的权威不同。社会分工只承认竞争的权威，工场内部的分工则承认资本家的权威。因此，马克思认为这两类</w:t>
      </w:r>
      <w:r>
        <w:rPr>
          <w:rFonts w:hint="eastAsia"/>
          <w:sz w:val="24"/>
          <w:lang w:val="en-US" w:eastAsia="zh-CN"/>
        </w:rPr>
        <w:t xml:space="preserve"> </w:t>
      </w:r>
      <w:r>
        <w:rPr>
          <w:rFonts w:hint="eastAsia"/>
          <w:sz w:val="24"/>
        </w:rPr>
        <w:t>分工既有统一的一面，又有冲突的一面，而冲突的一面正是私有制市场经济中必然存在的根本矛盾在分工制度上的集中体现。</w:t>
      </w:r>
    </w:p>
    <w:p w14:paraId="73D3D09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（三）分工的作用</w:t>
      </w:r>
    </w:p>
    <w:p w14:paraId="66AB20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通过对分工理论的哲学分析和批判，赋予分工以经济学哲学内涵，开启了从分工的视角透视人的生存方式及其命运的研究路向。如果说在《1844年经济学哲学手稿》中，马克思更加偏重于在人本主义异化哲学的解释框架中对分工进行剖析；而在《德意志意识形态》中却稀释了“异化”这一理论范式，更加注重运用唯物史观的方法论，从人的历史发展和人的本质力量出发审视分工，在经济学视角下及社会历史的发展演变中展开其分工思想。也就是说，马克思从不主张从分工一般来讨论经济发展和演变，而是更加注重分工在具体社会中所呈现出来的样态，因为分工不仅体现生产力的性质，还体现生产关系的性质，“这种种分工的相互关系取决于农业劳动、工业劳动和商业劳动的经营方式（父权制、奴隶制、等级、阶级）。”</w:t>
      </w:r>
      <w:r>
        <w:rPr>
          <w:rStyle w:val="20"/>
          <w:rFonts w:hint="eastAsia" w:ascii="宋体" w:hAnsi="宋体" w:eastAsia="宋体" w:cs="宋体"/>
          <w:kern w:val="0"/>
          <w:sz w:val="24"/>
          <w:szCs w:val="21"/>
        </w:rPr>
        <w:t xml:space="preserve"> </w:t>
      </w:r>
      <w:r>
        <w:rPr>
          <w:rStyle w:val="20"/>
          <w:rFonts w:hint="eastAsia" w:ascii="宋体" w:hAnsi="宋体" w:eastAsia="宋体" w:cs="宋体"/>
          <w:kern w:val="0"/>
          <w:sz w:val="24"/>
          <w:szCs w:val="21"/>
        </w:rPr>
        <w:footnoteReference w:id="683"/>
      </w:r>
      <w:r>
        <w:rPr>
          <w:rFonts w:hint="eastAsia"/>
          <w:sz w:val="24"/>
        </w:rPr>
        <w:t xml:space="preserve"> 马克思一直反对将社会分工的概念抽象化和永恒化，从这个意义上说来，关于历史唯物主义本身的问题，“从分工的观点来看问题最容易理解”</w:t>
      </w:r>
      <w:r>
        <w:rPr>
          <w:rStyle w:val="20"/>
          <w:rFonts w:hint="eastAsia" w:ascii="宋体" w:hAnsi="宋体" w:eastAsia="宋体" w:cs="宋体"/>
          <w:kern w:val="0"/>
          <w:sz w:val="24"/>
          <w:szCs w:val="21"/>
        </w:rPr>
        <w:footnoteReference w:id="684"/>
      </w:r>
      <w:r>
        <w:rPr>
          <w:rFonts w:hint="eastAsia"/>
          <w:sz w:val="24"/>
        </w:rPr>
        <w:t>。</w:t>
      </w:r>
    </w:p>
    <w:p w14:paraId="1CC77A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认为，分工表现出生产力和生产关系的二重属性，发挥双重作用。一方面，从生产力的角度看，无论是社会分工还是工场内部分工，劳动分工作为生产组织方式，都充分发挥了协作优势，极大地促进了生产力的发展。马克思指出：“一个民族的生产力发展的水平，最明显地表现于该民族分工的发展程度。任何新的生产力，只要它不是迄今已知的生产力单纯的量的扩大（例如，开垦土地），都会引起分工的进一步发展。”</w:t>
      </w:r>
      <w:r>
        <w:rPr>
          <w:rStyle w:val="20"/>
          <w:rFonts w:hint="eastAsia" w:ascii="宋体" w:hAnsi="宋体" w:eastAsia="宋体" w:cs="宋体"/>
          <w:kern w:val="24"/>
          <w:sz w:val="24"/>
          <w:szCs w:val="21"/>
        </w:rPr>
        <w:footnoteReference w:id="685"/>
      </w:r>
      <w:r>
        <w:rPr>
          <w:rFonts w:hint="eastAsia"/>
          <w:sz w:val="24"/>
        </w:rPr>
        <w:t xml:space="preserve"> 在工场手工业中，“构成工场手工业活机构的结合总体工人，完全是由这些片面的局部工人组成的。因此，与独立的手工业比较，在较短时间内能生产出较多的东西，或者说，劳动生产力提高了。在局部劳动独立化为一个人的专门职能之后，局部劳动的方法也就完善起来。经常重复做同一种有限的动作，并把注意力集中在这种有限的动作上，就能够从经验中学会消耗最少的力量达到预期的效果”。</w:t>
      </w:r>
      <w:r>
        <w:rPr>
          <w:rStyle w:val="20"/>
          <w:rFonts w:hint="eastAsia" w:ascii="宋体" w:hAnsi="宋体" w:eastAsia="宋体" w:cs="宋体"/>
          <w:kern w:val="24"/>
          <w:sz w:val="24"/>
          <w:szCs w:val="21"/>
        </w:rPr>
        <w:footnoteReference w:id="686"/>
      </w:r>
      <w:r>
        <w:rPr>
          <w:rFonts w:hint="eastAsia"/>
          <w:sz w:val="24"/>
        </w:rPr>
        <w:t>马克思认为，分工所带来的劳动生产率的提高源于下述几方面：第一，仅仅是将更多的劳动者集合在一起的简单协作，就可以创造出一种集体力，“在劳动的作用范围扩大的同时劳动空间范围的这种缩小，会节约非生产费用（faux frais），这种缩小是由劳动者的集结、不同劳动过程的靠拢和生产资料的积聚造成的”</w:t>
      </w:r>
      <w:r>
        <w:rPr>
          <w:rStyle w:val="20"/>
          <w:rFonts w:hint="eastAsia" w:ascii="宋体" w:hAnsi="宋体" w:eastAsia="宋体" w:cs="宋体"/>
          <w:kern w:val="24"/>
          <w:sz w:val="24"/>
          <w:szCs w:val="21"/>
        </w:rPr>
        <w:footnoteReference w:id="687"/>
      </w:r>
      <w:r>
        <w:rPr>
          <w:rFonts w:hint="eastAsia"/>
          <w:sz w:val="24"/>
        </w:rPr>
        <w:t>。而分工是一种特殊的协作，“它的许多优越性都是由协作的一般性质产生的”。</w:t>
      </w:r>
      <w:r>
        <w:rPr>
          <w:rStyle w:val="20"/>
          <w:rFonts w:hint="eastAsia" w:ascii="宋体" w:hAnsi="宋体" w:eastAsia="宋体" w:cs="宋体"/>
          <w:kern w:val="24"/>
          <w:sz w:val="24"/>
          <w:szCs w:val="21"/>
        </w:rPr>
        <w:footnoteReference w:id="688"/>
      </w:r>
      <w:r>
        <w:rPr>
          <w:rFonts w:hint="eastAsia"/>
          <w:sz w:val="24"/>
        </w:rPr>
        <w:t xml:space="preserve"> 第二，由于协作的共同劳动所引起的竞争和精力振奋，可以提高个人工作效率；第三，相对多的劳动者对厂房、仓储设施、工具、装备等的共同使用，降低了人均生产资料占用量；第四，即使不改变生产工具和操作方法，仅通过操作的分解和专业化，也可以节省学习时间和费用。一个在商品的生产中依次完成各个局部过程的手工业者，必须经常变更位置，经常调换工具，而“由一种操作转到另一种操作会打断他的劳动流程，造成他的工作日中某种空隙。一旦手工业者整天不断地从事同一种操作，这些空隙就会缩小，或者说会随着他的操作变化的减少而趋于消失。在这里，劳动生产率的提高，或者是由于增加了一定时间内劳动力的支出，也就是提高了劳动强度，或者是由于减少了劳动力的非生产耗费。”</w:t>
      </w:r>
      <w:r>
        <w:rPr>
          <w:rStyle w:val="20"/>
          <w:rFonts w:hint="eastAsia" w:ascii="宋体" w:hAnsi="宋体" w:eastAsia="宋体" w:cs="宋体"/>
          <w:kern w:val="24"/>
          <w:sz w:val="24"/>
          <w:szCs w:val="21"/>
        </w:rPr>
        <w:footnoteReference w:id="689"/>
      </w:r>
      <w:r>
        <w:rPr>
          <w:rFonts w:hint="eastAsia"/>
          <w:sz w:val="24"/>
        </w:rPr>
        <w:t xml:space="preserve"> 第五，相对简单的操作可以减少工作失误。</w:t>
      </w:r>
    </w:p>
    <w:p w14:paraId="2A59B5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另一方面，从生产关系的角度看，马克思认为，分工在推动人类社会不断发展的同时，也造成了阻碍人类发展的一些桎梏。分工是生产力与生产关系的有机结合，“分工的各个不同发展阶段，同时也就是所有制的各种不同形式。这就是说，分工的每一个阶段还决定个人在劳动材料、劳动工具和劳动产品方面的相互关系。”</w:t>
      </w:r>
      <w:r>
        <w:rPr>
          <w:rFonts w:hint="eastAsia"/>
          <w:sz w:val="24"/>
        </w:rPr>
        <w:footnoteReference w:id="690"/>
      </w:r>
      <w:r>
        <w:rPr>
          <w:rFonts w:hint="eastAsia"/>
          <w:sz w:val="24"/>
        </w:rPr>
        <w:t xml:space="preserve"> 马克思《资本论》的研究对象就是资本主义生产方式及其相适应的生产关系和交换关系，因此，马克思主要阐释了资本主义条件下的分工演化结果。马克思认为，在资本主义私有制下，分工的积极效应所带来的生产力的提高，实际上提高的是资本的生产力，劳动者反而成为固化在资本主义分工链条中的局部工人，个人的自由全面发展和资本无限增殖之间出现不可调和的矛盾。在资本主义条件下，分工既是不平等的社会制度和生产关系形成的内在原因，同时社会分工也是不平等的社会制度和生产关系在生产领域内造成的结果，这种不平等分工的结果进一步巩固并加速了社会阶层的分化和固化。在资本主义分工形式下，局部工人的劳动被分解为一般的、不断重复的各种标准化动作，流水线生产的出现使手脑的分离、概念和执行的分离达到了极为严格的程度，管理部门取得了对装配速度的绝对控制，工人的劳动强度达到了非常高的程度，劳动者成为一个工具而已，从而产生了机器对工人的专制。因此，局部工人身上被打上了私有财产的烙印，变成生产资料所有者的私有财产，因此这种提高生产力的分工方式成为资本无限增殖的方式，成为生产剩余价值的手段。“由许多单个的局部工人组成的社会生产机构是属于资本家的。因此，由各种劳动的结合所产生的生产力也就表现为资本的生产力……工场手工业把工人变成畸形物，它压抑工人的多种多样的生产志趣和生产才能，人为地培植工人片面的技巧。”</w:t>
      </w:r>
      <w:r>
        <w:rPr>
          <w:rFonts w:hint="eastAsia"/>
          <w:sz w:val="24"/>
        </w:rPr>
        <w:footnoteReference w:id="691"/>
      </w:r>
      <w:r>
        <w:rPr>
          <w:rFonts w:hint="eastAsia"/>
          <w:sz w:val="24"/>
        </w:rPr>
        <w:t xml:space="preserve"> 局部工人是分工在资本逻辑推动下的结果，同时也是摧毁这种分工的力量源泉。马克思所设想的新型的分工是消灭分工中工人受生产资料支配的“自发分工”，建立起工人自觉自愿进行劳动的“自觉分工”。</w:t>
      </w:r>
    </w:p>
    <w:p w14:paraId="533A0B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（四）国际分工</w:t>
      </w:r>
    </w:p>
    <w:p w14:paraId="2802C3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马克思看来，分工不仅出现在国内，同时在国际市场与贸易中也适用，在资本主义生产方式下，从劳动、分工、需要、交换价值等等这些抽象的内容上升到国家、国际分工与交换和世界市场等各种具体内容是一种必然，因此按照马克思的六册构想，“生产的国际关系。国际分工。国际交换。输出和输入。汇率。”</w:t>
      </w:r>
      <w:r>
        <w:rPr>
          <w:rStyle w:val="20"/>
          <w:rFonts w:hint="eastAsia" w:ascii="宋体" w:hAnsi="宋体" w:eastAsia="宋体" w:cs="宋体"/>
          <w:kern w:val="24"/>
          <w:sz w:val="24"/>
          <w:szCs w:val="21"/>
        </w:rPr>
        <w:footnoteReference w:id="692"/>
      </w:r>
      <w:r>
        <w:rPr>
          <w:rFonts w:hint="eastAsia"/>
          <w:sz w:val="24"/>
        </w:rPr>
        <w:t>是一个重要研究内容。国际分工是生产力发展推动国内社会分工向国际扩展的延续，是资本主义生产方式持续扩张的结果，国际分工和国际商品交换同样遵循价值规律，只不过在国内交换中起支配作用的是国内价值规律,而在国际分工和国际商品交换中起支配作用的是国际价值规律。</w:t>
      </w:r>
    </w:p>
    <w:p w14:paraId="2DFC7F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由于各个国家经济发展水平不同、技术程度不同、劳动生产率不同，一般来说,“一个国家的资本主义生产越发达，那里的国民劳动的强度和生产率，就越超过国际水平。因此，不同国家在同一劳动时间内所生产的同种商品的不同量，有不同的国际价值，从而表现为不同的价格，即表现为按各自的国际价值而不同的货币额。”</w:t>
      </w:r>
      <w:r>
        <w:rPr>
          <w:rStyle w:val="20"/>
          <w:rFonts w:hint="eastAsia" w:ascii="宋体" w:hAnsi="宋体" w:eastAsia="宋体" w:cs="宋体"/>
          <w:kern w:val="24"/>
          <w:sz w:val="24"/>
          <w:szCs w:val="21"/>
        </w:rPr>
        <w:footnoteReference w:id="693"/>
      </w:r>
      <w:r>
        <w:rPr>
          <w:rFonts w:hint="eastAsia"/>
          <w:sz w:val="24"/>
        </w:rPr>
        <w:t xml:space="preserve"> 发达国家的劳动生产率高,较多商品的国别价值低于国际价值,在以国际价值为基础进行等价交换的情况下,就可稳定地获得大大高于国内市场的超额利润。不仅如此,马克思认为:“价值规律在国际上的应用,还会由于下述情况而发生更大的变化:只要生产效率较高的国家没有因竞争而被迫把它们的商品的出售价格降低到和商品的价值相等的程度,生产效率较高的国民劳动在世界市场上也被算作强度较大的劳动。”</w:t>
      </w:r>
      <w:r>
        <w:rPr>
          <w:rStyle w:val="20"/>
          <w:rFonts w:hint="eastAsia" w:ascii="宋体" w:hAnsi="宋体" w:eastAsia="宋体" w:cs="宋体"/>
          <w:kern w:val="24"/>
          <w:sz w:val="24"/>
          <w:szCs w:val="21"/>
        </w:rPr>
        <w:footnoteReference w:id="694"/>
      </w:r>
      <w:r>
        <w:rPr>
          <w:rFonts w:hint="eastAsia"/>
          <w:sz w:val="24"/>
        </w:rPr>
        <w:t xml:space="preserve"> 因而,发达国家能够从高价出售产品中获取更多的贸易利益。另一方面，从劳动生产率较低的国家来看,由于其国别价值即个别价值有可能等于或高于国际价值,在与发达国家进行商品交换时,确实处于不利地位。</w:t>
      </w:r>
    </w:p>
    <w:p w14:paraId="74CAD5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基于这种利益分工格局，在大工业生产的资本主义生产方式下，“各个企业、各个工业部门和各个国家的发展必然是不平衡的，跳跃式的。”</w:t>
      </w:r>
      <w:r>
        <w:rPr>
          <w:rStyle w:val="20"/>
          <w:rFonts w:hint="eastAsia" w:ascii="宋体" w:hAnsi="宋体" w:eastAsia="宋体" w:cs="宋体"/>
          <w:kern w:val="24"/>
          <w:sz w:val="24"/>
          <w:szCs w:val="21"/>
        </w:rPr>
        <w:footnoteReference w:id="695"/>
      </w:r>
      <w:r>
        <w:rPr>
          <w:rFonts w:hint="eastAsia"/>
          <w:sz w:val="24"/>
        </w:rPr>
        <w:t xml:space="preserve"> 当世界某一些地方成为主要的工业生产区域时，其他各地则转化为主要的农业生产区域，发展中国家成为发达国家大规模商品的原材料供应国和产成品销售国，这种两极分化的分工格局来源于资本逻辑在全球的拓展。尤其当垄断形成后，“随着资本输出的增加，随着最大垄断同盟的国外联系、殖民地联系和‘势力范围’的极力扩大，这些垄断同盟就‘自然地’走向达成世界性的协议，形成国际卡特尔。”</w:t>
      </w:r>
      <w:r>
        <w:rPr>
          <w:rStyle w:val="20"/>
          <w:rFonts w:hint="eastAsia" w:ascii="宋体" w:hAnsi="宋体" w:eastAsia="宋体" w:cs="宋体"/>
          <w:kern w:val="24"/>
          <w:sz w:val="24"/>
          <w:szCs w:val="21"/>
        </w:rPr>
        <w:footnoteReference w:id="696"/>
      </w:r>
      <w:r>
        <w:rPr>
          <w:rFonts w:hint="eastAsia"/>
          <w:sz w:val="24"/>
        </w:rPr>
        <w:t>位居国际分工体系等级制顶端的国家通过资本输出实现了对发展中国家的剥削。</w:t>
      </w:r>
    </w:p>
    <w:p w14:paraId="3541EB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（五）对分工的未来设想</w:t>
      </w:r>
    </w:p>
    <w:p w14:paraId="1881A72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通过分工范畴探索社会基本矛盾和人类社会发展的一般规律，进而考查资本主义生产方式，为唯物史观的构建奠定了基础。在马克思主义看来，作为生产的基本形式和劳动的社会性存在方式，分工是一个历史性的范畴，理解分工的发展必须结合分工所处的特殊历史时期，分析分工的时代特点和历史性质。</w:t>
      </w:r>
    </w:p>
    <w:p w14:paraId="2DE78C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资本主义条件下，尽管人们摆脱了人身依附关系，但分工和交换却使得人们创造的生产力转化成一种具有盲目性的、不依赖于人的意志而存在的、支配和压迫着人的力量，使人们成为自己所创造的物的奴隶，这种以个人的片面发展换得社会发展的分工必将限制或牺牲人的全面发展。马克思恩格斯认为，要使人们摆脱物的力量的控制和威慑，就只有使人们在自由联合的基础上结成共同体，消灭奴役性的分工，即消灭作为人的自由自主活动之桎梏的旧的分工。因此，马克思主义提出的“消灭分工”不是消灭劳动分工，而是消灭因私有制关系而产生的自发性、固定性、奴役性的旧式分工，取而代之是自觉性、自由性、平等性的新式分工，即马克思主义认为消失的“不是 [一般] 分工， 而是以交换为基础的分工。”</w:t>
      </w:r>
      <w:r>
        <w:rPr>
          <w:rStyle w:val="20"/>
          <w:rFonts w:hint="eastAsia" w:ascii="宋体" w:hAnsi="宋体" w:eastAsia="宋体" w:cs="宋体"/>
          <w:kern w:val="0"/>
          <w:sz w:val="24"/>
          <w:szCs w:val="21"/>
        </w:rPr>
        <w:footnoteReference w:id="697"/>
      </w:r>
      <w:r>
        <w:rPr>
          <w:rFonts w:hint="eastAsia"/>
          <w:sz w:val="24"/>
        </w:rPr>
        <w:t xml:space="preserve"> </w:t>
      </w:r>
    </w:p>
    <w:p w14:paraId="77F6C7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要消灭在各个人、各个民族之间筑起藩篱的旧式分工，使世界历史乃至共产主义真正得以实现，必须不断发展生产力，生产力的巨大增长和世界交往的普遍发展才是消灭旧式分工的基础。只有生产力获得了充分发展，人才能得到全面的发展，不仅仅是体力和智力的发展，而且是各方面整体能力的全面性提升。在共产主义新式分工中，生产力高度发展，消灭了固定的专业和职业划分，消灭了个人绝对地服从分工的情形，每个人都能自由、自主、自觉地从事自己想要从事的工作，劳动成为生活的第一需要。在这种情况下，社会产品极大丰富，社会生产的东西能够充分满足个人的消费，脱离“物役化”的新式分工，不仅使每个人能够享受物质财富，也可以充分享受精神文化创造。同时，人不再拘泥于特定的生产关系之内，不再受社会权利和资本的支配，人不仅成为社会生产的主人，而且成为社会关系的主人，可以积极利用各种生产工具展现自主的本质力量，促进个人自我实现价值的充分发展。在这一阶段，人们从事活动的特征完全是自由的、自觉的，没有内在对人本身的压迫和外在对物的从属，完全是在充足的物质基础和高度的精神自觉的基础之上从事生产劳动。因此，在未来社会中，新式分工将摆脱旧式分工中存在的阶级剥削和阶级压迫，让人们在新的劳动分工中尽享和谐、公正和平等，劳动者分工将消亡。然而，劳动分工却将在科技进步中得到不断发展，呈现出细分化和专业化的特点。随着社会化大生产的发展，行业及其内部的分工合作会更加紧密协调，并且会涌现出更多新兴的行业和部门，生产的社会化与分工的专业化能够协调一致，同频共振。</w:t>
      </w:r>
    </w:p>
    <w:p w14:paraId="081E8BA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以分工演变为视角和主要线索，通过对旧式分工的“扬弃”来探索个人成长、发展和寻求自由的新式分工的可能性，在历史的不断生成展开中探寻到了真正实现个人解放的现实道路。分工历史过程的辩证逻辑，是形成一切社会关系的基础，这种将分工内化于经济过程的现实批判思路，进一步丰富了其分工理论。</w:t>
      </w:r>
    </w:p>
    <w:p w14:paraId="65AFDB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二、马克思主义分工理论的当代发展</w:t>
      </w:r>
    </w:p>
    <w:p w14:paraId="673241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多年来，学者们对马克思主义分工理论一直很关注，认为马克思主义分工理论是理解社会生产方式的重要媒介，不断挖掘马克思主义的分工理论，秉承马克思主义的研究范式，应用马克思主义分工理论来阐释现实问题。学者们对分工理论的阐释主要表现在两个方面，一方面是对马克思主义分工理论的文本解读和逻辑梳理，围绕分工的历史生成及其结构性存在之间的内在关系与深层矛盾问题来展开研究，认为科学阐释马克思主义的分工理论是把握马克思主义理论要旨的关键，并从不同视角对马克思主义分工理论进行了挖掘和剖析。另一方面主要是应用马克思主义分工理论对丰富鲜活的现实问题进行具体运用和深度分析，这些现实问题包括技术进步、生产组织、数字平台经济、产业集聚、城市发展、制度变迁、国际贸易等各个领域。</w:t>
      </w:r>
    </w:p>
    <w:p w14:paraId="6B093F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（一）马克思主义分工理论的文本解读和逻辑梳理</w:t>
      </w:r>
    </w:p>
    <w:p w14:paraId="26B723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这方面的研究又分为三个层次，一是着重对马克思主义分工理论的文本研究。马克思主义分工理论的形成是一个不断发展完善的过程，这一视角是联系当时语境和马克思的思想脉络对不同时期马克思主义的文本进行梳理和理解，学者们从早期的《1844年经济学哲学手稿》开始，到唯物史观确立的《德意志意识形态》以及论战性著作《哲学的贫困》、政治经济学巨著《资本论》中，梳理了马克思主义对分工的不断深化认识。</w:t>
      </w:r>
      <w:r>
        <w:rPr>
          <w:rStyle w:val="20"/>
          <w:rFonts w:hint="eastAsia" w:ascii="宋体" w:hAnsi="宋体" w:eastAsia="宋体" w:cs="宋体"/>
          <w:sz w:val="24"/>
          <w:szCs w:val="21"/>
        </w:rPr>
        <w:footnoteReference w:id="698"/>
      </w:r>
      <w:r>
        <w:rPr>
          <w:rFonts w:hint="eastAsia"/>
          <w:sz w:val="24"/>
        </w:rPr>
        <w:t xml:space="preserve"> </w:t>
      </w:r>
    </w:p>
    <w:p w14:paraId="580FB5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是着重对马克思主义分工理论的若干专题进行研究。马克思主义的分工理论非常丰富，这一视角的研究主要是侧重某一方面分专题进行深入挖掘。例如关于分工的历史演进，学者们基于经济史和经济思想史演变视角，对分工的演进进行了系统梳理。</w:t>
      </w:r>
      <w:r>
        <w:rPr>
          <w:rFonts w:hint="eastAsia"/>
          <w:sz w:val="24"/>
        </w:rPr>
        <w:footnoteReference w:id="699"/>
      </w:r>
      <w:r>
        <w:rPr>
          <w:rFonts w:hint="eastAsia"/>
          <w:sz w:val="24"/>
        </w:rPr>
        <w:t xml:space="preserve"> 更有学者认为马克思对社会经济转型的根本贡献在于表明，一种新的劳动分工体系的出现需要改变现有劳动分工体系实体之间的关系，劳动和实现劳动的条件之间的分离决定了分工制度的变化方向，正是这一历史性的社会进程为现有的劳动分工制度赋予了新的功能。</w:t>
      </w:r>
      <w:r>
        <w:rPr>
          <w:rStyle w:val="20"/>
          <w:rFonts w:hint="eastAsia" w:ascii="宋体" w:hAnsi="宋体" w:eastAsia="宋体" w:cs="宋体"/>
          <w:sz w:val="24"/>
          <w:szCs w:val="21"/>
        </w:rPr>
        <w:footnoteReference w:id="700"/>
      </w:r>
      <w:r>
        <w:rPr>
          <w:rFonts w:hint="eastAsia"/>
          <w:sz w:val="24"/>
        </w:rPr>
        <w:t xml:space="preserve"> 关于分工的不同类型，学者们基于对马克思主义分工类型的认识，联系现实发展了马克思主义的分工形态理论，丰富了对分工不同形态的理解。</w:t>
      </w:r>
      <w:r>
        <w:rPr>
          <w:rStyle w:val="20"/>
          <w:rFonts w:hint="eastAsia" w:ascii="宋体" w:hAnsi="宋体" w:eastAsia="宋体" w:cs="宋体"/>
          <w:sz w:val="24"/>
          <w:szCs w:val="21"/>
        </w:rPr>
        <w:footnoteReference w:id="701"/>
      </w:r>
      <w:r>
        <w:rPr>
          <w:rFonts w:hint="eastAsia"/>
          <w:sz w:val="24"/>
        </w:rPr>
        <w:t xml:space="preserve"> 关于分工的本质，学者们深刻揭示了社会分工的本质特征，认为社会分工具有历史的继承性、内在的不平等性、地理上的不均衡性以及人的自由和解放的可能性，这些构成了马克思主义分工理论的思想精髓。</w:t>
      </w:r>
      <w:r>
        <w:rPr>
          <w:rStyle w:val="20"/>
          <w:rFonts w:hint="eastAsia" w:ascii="宋体" w:hAnsi="宋体" w:eastAsia="宋体" w:cs="宋体"/>
          <w:sz w:val="24"/>
          <w:szCs w:val="21"/>
        </w:rPr>
        <w:footnoteReference w:id="702"/>
      </w:r>
      <w:r>
        <w:rPr>
          <w:rFonts w:hint="eastAsia"/>
          <w:sz w:val="24"/>
        </w:rPr>
        <w:t xml:space="preserve"> 关于分工与异化的关系，学者们认为不应该将异化视为分工的充分和必然产物，异化的根源并不在于劳动分工而在于分工收益的分配不合理，这种不合理的收益分配又源于社会权力的不平等以及相应的财产关系和社会制度，开辟了一个从人们的生产劳动中认识生产关系、社会关系形成和发展的唯物史观思路。</w:t>
      </w:r>
      <w:r>
        <w:rPr>
          <w:rStyle w:val="20"/>
          <w:rFonts w:hint="eastAsia" w:ascii="宋体" w:hAnsi="宋体" w:eastAsia="宋体" w:cs="宋体"/>
          <w:sz w:val="24"/>
          <w:szCs w:val="21"/>
        </w:rPr>
        <w:footnoteReference w:id="703"/>
      </w:r>
      <w:r>
        <w:rPr>
          <w:rFonts w:hint="eastAsia"/>
          <w:sz w:val="24"/>
        </w:rPr>
        <w:t xml:space="preserve"> 关于分工与人的发展，学者们也有很多深刻认识，主要围绕马克思主义分工理论的人学意蕴，对分工条件下人的存在方式进行深切思考。</w:t>
      </w:r>
      <w:r>
        <w:rPr>
          <w:rStyle w:val="20"/>
          <w:rFonts w:hint="eastAsia" w:ascii="宋体" w:hAnsi="宋体" w:eastAsia="宋体" w:cs="宋体"/>
          <w:sz w:val="24"/>
          <w:szCs w:val="21"/>
        </w:rPr>
        <w:footnoteReference w:id="704"/>
      </w:r>
      <w:r>
        <w:rPr>
          <w:rFonts w:hint="eastAsia"/>
          <w:sz w:val="24"/>
        </w:rPr>
        <w:t xml:space="preserve"> </w:t>
      </w:r>
    </w:p>
    <w:p w14:paraId="3803AE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是对马克思主义分工理论与其他分工理论的比较进行研究。这一视角的研究着重从横向比较方面来考察马克思与其他学者关于分工思想的异同，从而深化对马克思主义分工理论的理解。例如马克思与斯密的分工思想比较，学者们认为斯密和马克思的分工理论虽然有联系，却存在很大的差异，分别从劳动分工的起因、类型、结果等方面进行比较，从而更好地理解马克思主义是如何跨越“斯密阶段”的发展逻辑和范式转换。</w:t>
      </w:r>
      <w:r>
        <w:rPr>
          <w:rStyle w:val="20"/>
          <w:rFonts w:hint="eastAsia" w:ascii="宋体" w:hAnsi="宋体" w:eastAsia="宋体" w:cs="宋体"/>
          <w:sz w:val="24"/>
          <w:szCs w:val="21"/>
        </w:rPr>
        <w:footnoteReference w:id="705"/>
      </w:r>
      <w:r>
        <w:rPr>
          <w:rFonts w:hint="eastAsia"/>
          <w:sz w:val="24"/>
        </w:rPr>
        <w:t>另外还有学者展开关于马克思与杨小凯的分工思想比较</w:t>
      </w:r>
      <w:r>
        <w:rPr>
          <w:rStyle w:val="20"/>
          <w:rFonts w:hint="eastAsia" w:ascii="宋体" w:hAnsi="宋体" w:eastAsia="宋体" w:cs="宋体"/>
          <w:sz w:val="24"/>
          <w:szCs w:val="21"/>
        </w:rPr>
        <w:footnoteReference w:id="706"/>
      </w:r>
      <w:r>
        <w:rPr>
          <w:rFonts w:hint="eastAsia"/>
          <w:sz w:val="24"/>
        </w:rPr>
        <w:t>、马克思与涂尔干</w:t>
      </w:r>
      <w:r>
        <w:rPr>
          <w:rStyle w:val="20"/>
          <w:rFonts w:hint="eastAsia" w:ascii="宋体" w:hAnsi="宋体" w:eastAsia="宋体" w:cs="宋体"/>
          <w:sz w:val="24"/>
          <w:szCs w:val="21"/>
        </w:rPr>
        <w:footnoteReference w:id="707"/>
      </w:r>
      <w:r>
        <w:rPr>
          <w:rFonts w:hint="eastAsia"/>
          <w:sz w:val="24"/>
        </w:rPr>
        <w:t>的分工理论比较等，在这些比较中厘清彼此的不同，加深对马克思主义分工理论的理解。</w:t>
      </w:r>
    </w:p>
    <w:p w14:paraId="509B09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（二）应用马克思主义分工理论对丰富鲜活的现实问题进行具体运用和深度分析</w:t>
      </w:r>
    </w:p>
    <w:p w14:paraId="3C3D1B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这方面也可以具体分为三个层次，一是微观层次的现实问题分析，例如，有学者以马克思在《资本论》中所阐述的分工协作思想为基础，分析了资本主义经济组织的演变过程，从包买商制度到工厂制度，福特制的形成与发展、以及网络化生产组织的产生，从而概括了生产组织变迁的理论。</w:t>
      </w:r>
      <w:r>
        <w:rPr>
          <w:rStyle w:val="20"/>
          <w:rFonts w:hint="eastAsia" w:ascii="宋体" w:hAnsi="宋体" w:eastAsia="宋体" w:cs="宋体"/>
          <w:sz w:val="24"/>
          <w:szCs w:val="21"/>
        </w:rPr>
        <w:footnoteReference w:id="708"/>
      </w:r>
      <w:r>
        <w:rPr>
          <w:rFonts w:hint="eastAsia"/>
          <w:sz w:val="24"/>
        </w:rPr>
        <w:t xml:space="preserve"> 随着数字经济的发展，也有很多学者基于马克思主义分工范式，应用分工理论对跨国公司主导的数字经济平台或数字劳动进行了深入分析。</w:t>
      </w:r>
      <w:r>
        <w:rPr>
          <w:rStyle w:val="20"/>
          <w:rFonts w:hint="eastAsia" w:ascii="宋体" w:hAnsi="宋体" w:eastAsia="宋体" w:cs="宋体"/>
          <w:sz w:val="24"/>
          <w:szCs w:val="21"/>
        </w:rPr>
        <w:footnoteReference w:id="709"/>
      </w:r>
    </w:p>
    <w:p w14:paraId="0AC888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是中观层次的现实问题分析。关于分工与产业的发展，一直是学者们关注的热点。有学者基于马克思主义理论，详细阐释了马克思关于劳动分工与制造业之间的辩证关系，认为马克思将制造业的分工和劳动生产率的提高、剩余价值率的提高联系起来，劳动分工是通过制造业来实现的。</w:t>
      </w:r>
      <w:r>
        <w:rPr>
          <w:rStyle w:val="20"/>
          <w:rFonts w:hint="eastAsia" w:ascii="宋体" w:hAnsi="宋体" w:eastAsia="宋体" w:cs="宋体"/>
          <w:sz w:val="24"/>
          <w:szCs w:val="21"/>
        </w:rPr>
        <w:footnoteReference w:id="710"/>
      </w:r>
      <w:r>
        <w:rPr>
          <w:rFonts w:hint="eastAsia"/>
          <w:sz w:val="24"/>
        </w:rPr>
        <w:t xml:space="preserve"> 有学者应用分工理论对我国产业发展进行分析，认为中国制造业价值链升级需要重新审视国际化分工。</w:t>
      </w:r>
      <w:r>
        <w:rPr>
          <w:rFonts w:hint="eastAsia"/>
          <w:sz w:val="24"/>
        </w:rPr>
        <w:footnoteReference w:id="711"/>
      </w:r>
      <w:r>
        <w:rPr>
          <w:rFonts w:hint="eastAsia"/>
          <w:sz w:val="24"/>
        </w:rPr>
        <w:t xml:space="preserve"> 有的学者认为社会分工体系是区域平衡充分发展系统的一个重要组成部分，需要研究平衡充分发展的社会分工体系在区域平衡充分发展战略研制中的作用。</w:t>
      </w:r>
      <w:r>
        <w:rPr>
          <w:rFonts w:hint="eastAsia"/>
          <w:sz w:val="24"/>
        </w:rPr>
        <w:footnoteReference w:id="712"/>
      </w:r>
      <w:r>
        <w:rPr>
          <w:rFonts w:hint="eastAsia"/>
          <w:sz w:val="24"/>
        </w:rPr>
        <w:t xml:space="preserve"> 还有学者立足资本主义生产的空间结构，把分工置于全球化与世界经济的发展背景中，考察“空间分工”所带来的资本主义不平衡发展及其不平等的再生产。</w:t>
      </w:r>
      <w:r>
        <w:rPr>
          <w:rStyle w:val="20"/>
          <w:rFonts w:hint="eastAsia" w:ascii="宋体" w:hAnsi="宋体" w:eastAsia="宋体" w:cs="宋体"/>
          <w:sz w:val="24"/>
          <w:szCs w:val="21"/>
        </w:rPr>
        <w:footnoteReference w:id="713"/>
      </w:r>
    </w:p>
    <w:p w14:paraId="13873CB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是宏观层次的现实问题分析。这个层次的分析比较丰富，学者们的视角也有很大不同。分工与协调是辩证的一体两面，这方面有学者根据古典政治经济学和马克思主义经济学建立了社会互动模型，用来分析社会分工基础上的协调问题。</w:t>
      </w:r>
      <w:r>
        <w:rPr>
          <w:rStyle w:val="20"/>
          <w:rFonts w:hint="eastAsia" w:ascii="宋体" w:hAnsi="宋体" w:eastAsia="宋体" w:cs="宋体"/>
          <w:sz w:val="24"/>
          <w:szCs w:val="21"/>
        </w:rPr>
        <w:footnoteReference w:id="714"/>
      </w:r>
      <w:r>
        <w:rPr>
          <w:rFonts w:hint="eastAsia"/>
          <w:sz w:val="24"/>
        </w:rPr>
        <w:t>分工与技术进步密不可分，这方面有学者通过劳动分工，特别是生产过程、社会分工和技术进步之间的相互作用，揭示了马克思对生产力发展的看法，即认为马克思确立了生产力的发展构成宏观经济结构性质的累积和演化过程。</w:t>
      </w:r>
      <w:r>
        <w:rPr>
          <w:rStyle w:val="20"/>
          <w:rFonts w:hint="eastAsia" w:ascii="宋体" w:hAnsi="宋体" w:eastAsia="宋体" w:cs="宋体"/>
          <w:sz w:val="24"/>
          <w:szCs w:val="21"/>
        </w:rPr>
        <w:footnoteReference w:id="715"/>
      </w:r>
      <w:r>
        <w:rPr>
          <w:rFonts w:hint="eastAsia"/>
          <w:sz w:val="24"/>
        </w:rPr>
        <w:t xml:space="preserve"> 分工的国际化也是引起学者广泛关注的一个问题，这方面有学者梳理了马克思主义视角下当代国际分工理论的缺失、复归与融合，认为马克思主义国际劳动分工的分析应当充分融合地方性因素塑造的劳动过程、基于地方性再生产条件形成的资本差异化积累能力。</w:t>
      </w:r>
      <w:r>
        <w:rPr>
          <w:rStyle w:val="20"/>
          <w:rFonts w:hint="eastAsia" w:ascii="宋体" w:hAnsi="宋体" w:eastAsia="宋体" w:cs="宋体"/>
          <w:sz w:val="24"/>
          <w:szCs w:val="21"/>
        </w:rPr>
        <w:footnoteReference w:id="716"/>
      </w:r>
      <w:r>
        <w:rPr>
          <w:rFonts w:hint="eastAsia"/>
          <w:sz w:val="24"/>
        </w:rPr>
        <w:t xml:space="preserve"> 也有学者应用马克思主义的分工理论对经济全球化的不同模式进行分析，认为资本主义经济全球化通过国际分工使资本主义生产方式在世界范围内扩张，分工协作的生产力效应异化为资本主义中心国家的成果，利益分配不平衡。而在新型经济全球化模式中，以分工为基础的协作创造的生产力成果由各参与国共同分享，构建起以全人类共同富裕为目标的命运共同体。</w:t>
      </w:r>
      <w:r>
        <w:rPr>
          <w:rFonts w:hint="eastAsia"/>
          <w:sz w:val="24"/>
        </w:rPr>
        <w:footnoteReference w:id="717"/>
      </w:r>
      <w:r>
        <w:rPr>
          <w:rFonts w:hint="eastAsia"/>
          <w:sz w:val="24"/>
        </w:rPr>
        <w:t xml:space="preserve"> </w:t>
      </w:r>
    </w:p>
    <w:p w14:paraId="32EED4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三、马克思主义分工理论及其当代发展的价值意蕴</w:t>
      </w:r>
    </w:p>
    <w:p w14:paraId="1FEBF75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主义分工理论及其当代发展丰富而多元，涉及面广，研究度深，其内在性特质和鲜明价值主张与马克思主义的历史唯物主义方法论相互因应、有机反映，为我们探究理论源流提供了充分的诠释理据。同时，分工理论的马克思主义范式解读，对于我们关照现实中各种各样的分工关涉现象的深层主旨与合理性意蕴，亦具有重要的价值导向作用。具体来说，马克思主义分工理论及其当代发展的价值意蕴具体表现在以下几个方面。</w:t>
      </w:r>
    </w:p>
    <w:p w14:paraId="63B2BE8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（一）提高了对国际分工秩序的本质及其表现形式的认识</w:t>
      </w:r>
    </w:p>
    <w:p w14:paraId="1923A2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随着资本主义的发展，国家与国家之间的分工呈现一种结构化特征，发达国家（中心）的产业发展与发展中国家（外围）的产业发展之间的关系最终表现为价值的转移运动，这种世界规模的积累表现为一种非对称模式，生产力的分布极不平等，“中心”对“外围”的经济统治通过国际分工的形式（在世界贸易结构中，“中心”根据自身的需要对“外围”加以改造）和“外围”增长的投资结构的依附方式（外国资本积累的原动力）表现出来。</w:t>
      </w:r>
      <w:r>
        <w:rPr>
          <w:rStyle w:val="20"/>
          <w:rFonts w:hint="eastAsia" w:ascii="宋体" w:hAnsi="宋体" w:eastAsia="宋体" w:cs="宋体"/>
          <w:sz w:val="24"/>
          <w:szCs w:val="21"/>
        </w:rPr>
        <w:footnoteReference w:id="718"/>
      </w:r>
      <w:r>
        <w:rPr>
          <w:rFonts w:hint="eastAsia"/>
          <w:sz w:val="24"/>
        </w:rPr>
        <w:t xml:space="preserve"> </w:t>
      </w:r>
    </w:p>
    <w:p w14:paraId="081731E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关于国家分工秩序的解读，无论是以劳尔·普雷维什（Raul Prebisch）、安德烈·贡德·弗兰克（Andre Gunder Frank）、萨米尔·阿明（Samir Amin）、特奥托尼奥·多斯桑托斯（Theotonio Dos Santos）、费尔南多· 卡多索（Fernando Cardozo）为代表的依附论者</w:t>
      </w:r>
      <w:r>
        <w:rPr>
          <w:rStyle w:val="20"/>
          <w:rFonts w:hint="eastAsia" w:ascii="宋体" w:hAnsi="宋体" w:eastAsia="宋体" w:cs="宋体"/>
          <w:sz w:val="24"/>
          <w:szCs w:val="21"/>
        </w:rPr>
        <w:footnoteReference w:id="719"/>
      </w:r>
      <w:r>
        <w:rPr>
          <w:rFonts w:hint="eastAsia"/>
          <w:sz w:val="24"/>
        </w:rPr>
        <w:t>和还是以伊曼纽尔·沃勒斯坦（Immanuel Wallerstein）为代表的世界体系论者，虽然对国家与国家之间的关系进行了结构化的解读，并从“中心—外围”发展到“中心一半外围一外围” 的结构，但是都未能上升到生产层面解释资本权力不对等的根源。按照马克思主义分工理论，分工的演化结果由居于统治地位的生产方式的性质所决定，资本主义国家主导的国际分工秩序反映了资本主义生产力与生产关系的内生矛盾。“中心”与“外围”国家的结构化，本质上是中心国家资本主义生产方式内在矛盾的反映。在中心国家资本主义生产方式下，资本的逻辑本身就蕴含着资本逻辑内部各要素之间的张力，当价值生产与价值实现之间的矛盾不可调和时，在资本积累压力的驱动下，这种致力于缓和中心国家利润率趋向下降而进行的向外围国家的空间延展，使发展中国家被纳入到扩大了的世界资本主义体系中，被动承载了解决资本主义生产方式矛盾的重任，当然这种南辕北辙的解决方式只是造成结构化特征，而无助于发达国家矛盾的解决，更无助于发展中国家自身的经济发展。因此，按照马克思主义的分工理论，当前国际分工秩序的本质是资本主义生产方式内在矛盾的反映，“中心—外围”的结构化特征只是一种表现形式。相信经过2008年金融危机以及后来的欧债危机，再加上本次新冠肺炎全球大流行的重创，人们会对以新自由主义霸权为基础的国际分工秩序的本质认识得更加深入。</w:t>
      </w:r>
    </w:p>
    <w:p w14:paraId="3BB4B4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（二）拓展了对中国在全球价值链中的产品内分工及其超越的认识</w:t>
      </w:r>
    </w:p>
    <w:p w14:paraId="0928D0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如果说对国际分工秩序的认识是从宏观视角来解读，则从全球价值链的产品内分工的认识，是从微观视角来解读的。当前发展中国家企业融入全球化，由以最终产品的分工和交换为研究对象的产业间和产业内分工过渡到以中间产品为分析对象的产品内分工。</w:t>
      </w:r>
      <w:r>
        <w:rPr>
          <w:rStyle w:val="20"/>
          <w:rFonts w:hint="eastAsia" w:ascii="宋体" w:hAnsi="宋体" w:eastAsia="宋体" w:cs="宋体"/>
          <w:sz w:val="24"/>
          <w:szCs w:val="21"/>
        </w:rPr>
        <w:footnoteReference w:id="720"/>
      </w:r>
      <w:r>
        <w:rPr>
          <w:rFonts w:hint="eastAsia"/>
          <w:sz w:val="24"/>
        </w:rPr>
        <w:t xml:space="preserve"> 这种产品内的工序分工打破了原来一体化的企业组织结构，实现了垂直分离。全球价值链分为生产者驱动和购买者驱动两种，无论是以生产型跨国公司为主导，还是以销售型跨国公司为主导，都是发达国家跨国公司在新一轮全球价值体系重构中，所构建的价值攫取工具，是发达国家跨国公司全球战略意图与核心竞争力的组织载体。这些跨国公司凭借资本优势，积极推动市场换技术，通过套牢、锁定代工企业，建立稳定的价值体系，寻求包括“低成本、高质量、弹性供应”的多维关系绩效。另一方面，发展中国家长期代工所积累的生产制造能力，使得代工企业自身也形成了路径依赖，由于多数企业通过贴牌代工的方式融入全球价值链，代工企业只需按照跨国公司的外包订单要求，从事简单的生产加工，完全不用考虑价值链两端的研发设计和营销服务等环节，被动等待订单。</w:t>
      </w:r>
      <w:r>
        <w:rPr>
          <w:rStyle w:val="20"/>
          <w:rFonts w:hint="eastAsia" w:ascii="宋体" w:hAnsi="宋体" w:eastAsia="宋体" w:cs="宋体"/>
          <w:kern w:val="0"/>
          <w:sz w:val="24"/>
          <w:szCs w:val="21"/>
        </w:rPr>
        <w:footnoteReference w:id="721"/>
      </w:r>
    </w:p>
    <w:p w14:paraId="24B003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全球价值链理论虽然明晰了不同企业在产品内分工中的角色，但是脱离马克思主义分工理论的研究仅仅局限于不同国家的经济绩效和参与度的考察，完全忽视了竞争力背后的资本—劳动关系，从而对我国实现高端嵌入全球价值链的路径策略，也主要是从关注如何实现生产技术的改进和提升入手。按照马克思主义分工理论，任何分工演进都需要从生产力和生产关系两方面来进行考察。实现在全球价值链中的高端嵌入，不仅需要建立创新引领的技术体系，抓住科技创新这把“金钥匙”，推动高新技术的研发与应用，着力推进关键核心技术攻关，实现对“卡脖子”技术和共性技术供给不足等问题的突破；同时，还需要着手扎实改善资本与劳动的关系，尤其要合理规范资本的应用，消解资本对工人的压制，科学设置资本“红绿灯”，引导资本有序、规范、健康发展，促进资本作为重要生产要素的积极作用，同时又能够最大程度地保障工人的权益，最大程度地满足人民美好生活需要的社会主义目标。只有两方面同时推进，才能实现高水平对外开放。</w:t>
      </w:r>
    </w:p>
    <w:p w14:paraId="65F7EC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（三）推进了对数字劳动分工内涵及其发展的认识</w:t>
      </w:r>
    </w:p>
    <w:p w14:paraId="0E0157D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分工的演进中，当前的一个突出现象就是数字劳动分工的出现。伴随着新一代信息数字化技术推动的第四次科技革命，数字化促进了互联网、物联网、大数据、云计算的发展，数字劳动推动新的分工体系不断形成，分工的精细化和专业化得到进一步加强，产业数字化和数字产业化使得数字劳动成为继农业劳动、工业劳动和商业劳动之后的新的劳动形态。数字劳动分工运作的光速传播、下沉式沉浸、精准智能分工与全球延伸，使得人类的生产和协调效率不断提高。</w:t>
      </w:r>
    </w:p>
    <w:p w14:paraId="5954FF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尽管学者们对数字劳动分工的研究如雨后春笋，都关注到了数字劳动分工带给人们生产生活的深刻变化和结构重塑，然而由于研究起点、研究视角、研究背景不同，很多研究存在泛化的趋势，要么认为所有与数据有关的产品、行为、资源都为数据商品，混淆了生产性劳动与非生产性劳动；要么明显具有技术决定论色彩，夸大了数据信息的解放潜能，忽视了社会生产关系对技术的建构；要么从公共改良的视角强调数据的公共服务属性，将“大数据”的承诺置于数字前沿的乌托邦想象中。</w:t>
      </w:r>
    </w:p>
    <w:p w14:paraId="312984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依据马克思主义的分工理论，对现代性的批判不是仅仅使用马克思主义的术语和符码，而是秉承马克思主义的研究范式，在历史与逻辑相统一的唯物主义意蕴中来研究数字劳动分工。数字劳动分工中使用的数据并不见得都是商品，只有具有使用价值和价值并用于交换的数据才是商品。在不考虑垄断的情形下，数据价值由生产过程中耗费的社会必要劳动时间来度量，而与用户在线活动时间的长短并不相关，数据资本的利润来源产生于数据工人的剩余劳动。尽管机器参与社会分工的范围不断扩大，开始从代替人的体力劳动、脑力劳动向代替人的智力劳动发展，但是机器学习系统只是改变了生产利润的手段，而不是利润的源泉，人的活劳动才是创造价值的唯一源泉。</w:t>
      </w:r>
      <w:r>
        <w:rPr>
          <w:rStyle w:val="20"/>
          <w:rFonts w:hint="eastAsia" w:ascii="宋体" w:hAnsi="宋体" w:eastAsia="宋体" w:cs="宋体"/>
          <w:sz w:val="24"/>
          <w:szCs w:val="21"/>
        </w:rPr>
        <w:footnoteReference w:id="722"/>
      </w:r>
      <w:r>
        <w:rPr>
          <w:rFonts w:hint="eastAsia"/>
          <w:sz w:val="24"/>
        </w:rPr>
        <w:t xml:space="preserve"> 数字劳动分工所引致的生产方式内在矛盾与前三次科技革命下的生产方式矛盾过程一样，带有双刃剑特性，只有在生产力与生产关系的辩证关系中才能科学把握数字劳动分工的性质及其发展。</w:t>
      </w:r>
    </w:p>
    <w:p w14:paraId="0D9006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CD075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参考文献：</w:t>
      </w:r>
    </w:p>
    <w:p w14:paraId="5359CC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[1]程恩富、胡乐明主编：《当代国外马克思主义经济学基本理论研究》，北京：中国社会科学院出版社，2019年。</w:t>
      </w:r>
    </w:p>
    <w:p w14:paraId="1DADE7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[2]王虎学：《马克思分工思想的人学意蕴——从“分工的观点”看“人”的发展》，《哲学动态》2011年第4期。</w:t>
      </w:r>
    </w:p>
    <w:p w14:paraId="65E830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[3]任劭婷：《从“自然秩序”到“资本逻辑”——论斯密与马克思的劳动分工思想及其当代意义》，《山东社会科学》2016年第2期。</w:t>
      </w:r>
    </w:p>
    <w:p w14:paraId="1A58E8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[4]刘成运：《斯密和马克思分工理论比较》，《经济研究导刊》2011年第12期。</w:t>
      </w:r>
    </w:p>
    <w:p w14:paraId="3F145C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[5]易淼,赵磊,彭卓：《数字技术赋能下的新时代中国分工优化与利益共享》，《海派经济学》2022年第4期。</w:t>
      </w:r>
    </w:p>
    <w:p w14:paraId="16DA6D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D78085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C32D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Marxist Theory of Division of Labor and its Contemporary Development</w:t>
      </w:r>
    </w:p>
    <w:p w14:paraId="430CFB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Song Xianping  Cheng Enfu  </w:t>
      </w:r>
    </w:p>
    <w:p w14:paraId="0CDE1D6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Abstract: The Marxist theory of division of labor internalizes the division of labor into the realistic critical thinking of economic process, which is mainly reflected in the generation and deepening of division of labor, the category of division of labor, the role of division of labor, international division of labor and the future vision of division of labor. The contemporary development of Marxist theory of division of labor is mainly reflected in two aspects, on the one hand, the text interpretation and logical sorting of Marxist theory of division of labor, on the other hand, the specific application and in-depth analysis of rich and vivid practical problems by applying Marxist theory of division of labor. The interpretation of the Marxist paradigm of the theory of division of labor not only provides us with sufficient explanatory motivation to explore the origin of the theory, but also provides us with an important value-oriented role in caring for the phenomenon of division of labor in reality. </w:t>
      </w:r>
    </w:p>
    <w:p w14:paraId="384C12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Key words: Marxism; Social division of labor; Division of labor</w:t>
      </w:r>
    </w:p>
    <w:p w14:paraId="3FB344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E0D0E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val="en-US" w:eastAsia="zh-CN"/>
        </w:rPr>
        <w:t>3</w:t>
      </w:r>
      <w:r>
        <w:rPr>
          <w:rFonts w:hint="eastAsia"/>
          <w:sz w:val="24"/>
        </w:rPr>
        <w:t>]程恩富,叶道良.缩小我国财富和收入分配差距的对策研究[J].海派经济学,2024,22(02):86-99.</w:t>
      </w:r>
    </w:p>
    <w:p w14:paraId="1E2A89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val="en-US" w:eastAsia="zh-CN"/>
        </w:rPr>
        <w:t>4</w:t>
      </w:r>
      <w:r>
        <w:rPr>
          <w:rFonts w:hint="eastAsia"/>
          <w:sz w:val="24"/>
        </w:rPr>
        <w:t>]程恩富,陈健.评析美西方炒作的“中国产能过剩论”[J].政治经济学研究,2024,(02):6-12.</w:t>
      </w:r>
    </w:p>
    <w:p w14:paraId="2537AB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评析美西方炒作的“中国产能过剩论”</w:t>
      </w:r>
    </w:p>
    <w:p w14:paraId="087765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程恩富</w:t>
      </w:r>
      <w:r>
        <w:rPr>
          <w:rStyle w:val="20"/>
          <w:rFonts w:hint="eastAsia" w:ascii="宋体" w:hAnsi="宋体" w:eastAsia="宋体" w:cs="宋体"/>
          <w:b/>
          <w:bCs/>
          <w:color w:val="auto"/>
          <w:sz w:val="24"/>
          <w:szCs w:val="21"/>
        </w:rPr>
        <w:footnoteReference w:id="723" w:customMarkFollows="1"/>
        <w:sym w:font="Symbol" w:char="F020"/>
      </w:r>
      <w:r>
        <w:rPr>
          <w:rFonts w:hint="eastAsia"/>
          <w:sz w:val="24"/>
        </w:rPr>
        <w:t xml:space="preserve">  陈  健</w:t>
      </w:r>
    </w:p>
    <w:p w14:paraId="71375C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内容提要 美西方炒作的“中国产能过剩论”究其实质是美西方逐渐走向衰落背景下，为了维护其自身单边利益，实施霸权主义行径的具体表现。美西方的这种霸权行径不仅从理论上违背了其一直坚持的当代西方经济学基本理论，而且也毫无任何事实根据，必将遭到国际社会的普遍谴责。同时，其危害性也是非常大的，不仅给复苏乏力的世界经济雪上加霜，阻碍了全球化进程，也必将给自身带来反噬。基于此，有必要深入揭示和批评美西方的这种行径，通过切实方案维护世界正义，促进全球化向包容普惠方向发展，建立能够代表人类整体利益的新型全球化。</w:t>
      </w:r>
    </w:p>
    <w:p w14:paraId="39602C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 “中国产能过剩论”；美西方；新能源汽车</w:t>
      </w:r>
    </w:p>
    <w:p w14:paraId="73F9F31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    中图分类号</w:t>
      </w:r>
    </w:p>
    <w:p w14:paraId="41EC1C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2290BC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西方炒作“中国产能过剩论”，既是美西方实施保护主义等霸权主义行径的体现，也是其逐渐走向衰落的一种不自信的表现。为了深入揭示美西方的这种污名化言论，有必要从“中国产能过剩论”提出的背景、实质和危害等方面进行深入评析。</w:t>
      </w:r>
    </w:p>
    <w:p w14:paraId="340DF3C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一、美西方炒作“中国产能过剩论”的背景</w:t>
      </w:r>
    </w:p>
    <w:p w14:paraId="090D96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国财政部部长耶伦和国务卿布林肯在近期到访中国纷纷抛出“中国产能过剩论”，指责中国新能源行业存在“产能过剩”问题，并抛出一套子虚乌有的污名化理论，认为中国最终通过出口来实现充分就业，“过剩产能”扰乱了全球价格，并将美国由于自身存在的不可调和的矛盾造成的潜在风险等也归咎于所谓的“产能过剩”。如耶伦提出，中国的产业政策的支持使得电动汽车、锂离子电池和太阳能等产业的投资逐渐增加，最终导致美国和其他国家公司的生存能力将会出现问题。</w:t>
      </w:r>
      <w:r>
        <w:rPr>
          <w:rStyle w:val="20"/>
          <w:rFonts w:hint="eastAsia" w:ascii="宋体" w:hAnsi="宋体" w:eastAsia="宋体" w:cs="宋体"/>
          <w:color w:val="auto"/>
          <w:sz w:val="24"/>
          <w:szCs w:val="21"/>
        </w:rPr>
        <w:footnoteReference w:id="724"/>
      </w:r>
      <w:r>
        <w:rPr>
          <w:rFonts w:hint="eastAsia"/>
          <w:sz w:val="24"/>
        </w:rPr>
        <w:t>布林肯也存在同样论调，提出中国产能过剩，仅中国生产的电动汽车等新能源产品超过100%的全球需求，造成的结果是破坏竞争，危及世界各地的生计和企业，并指出这种情况在以前发生过，结局是美国企业倒闭和工人失业，对全球市场造成潜在后果。</w:t>
      </w:r>
      <w:r>
        <w:rPr>
          <w:rStyle w:val="20"/>
          <w:rFonts w:hint="eastAsia" w:ascii="宋体" w:hAnsi="宋体" w:eastAsia="宋体" w:cs="宋体"/>
          <w:color w:val="auto"/>
          <w:sz w:val="24"/>
          <w:szCs w:val="21"/>
        </w:rPr>
        <w:footnoteReference w:id="725"/>
      </w:r>
      <w:r>
        <w:rPr>
          <w:rFonts w:hint="eastAsia"/>
          <w:sz w:val="24"/>
        </w:rPr>
        <w:t>可见，所谓“中国产能过剩论”的主要论点包括如下方面：其一，中国的产业倾斜性政策支持新能源产业发展；其二，中国新能源产品超过全球市场需求；其三，中国新能源产品等给全球市场、其他国家企业发展带来潜在风险。</w:t>
      </w:r>
    </w:p>
    <w:p w14:paraId="044981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西方政客这种“中国产能过剩论”是站不住脚的，有客观数据和事实证明这种污名化言论是错误的。美西方之所以会有这种言论是意料之中的，因为它们一直奉行霸权主义和强权政治。当其产品具有竞争优势时，就大力倡导自由市场竞争，而当其产品不具有竞争优势时，就大行保护主义，进行污名化的遏制和掣肘。这是美西方的一贯伎俩，也违背了其信奉的当代西方经济学基本知识。</w:t>
      </w:r>
    </w:p>
    <w:p w14:paraId="58BEA8A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西方之所以会搞“双标”，主要在于中国已经逐渐由改革开放之初的处于全球价值链中低端逐渐向中高端攀升。在这一过程中，中国已经由原来的初级产品等半成品的加工代工向掌握关键核心技术环节发展，从而提升了中国产品在全球市场的竞争力，这就让美西方担心中国通过新能源等新质生产力的布局，影响其在全球继续获取垄断优势，于是就通过各种方式污名化中国，遏制中国发展。同时，自2008年由美国次贷危机引起的西方金融危机后，时至今日，不少美西方国家仍然经济复苏乏力，而中国经济却表现出强劲发展势头，并转向高质量发展阶段，这让它们感到恐慌，担心中国的和平崛起会造成其既得霸权利益受损，因而其通过各种举措遏制中国发展，这也是美西方抛出“中国产能过剩论”的背景。</w:t>
      </w:r>
    </w:p>
    <w:p w14:paraId="76C3A6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二、“中国产能过剩论”没有学理和事实依据</w:t>
      </w:r>
    </w:p>
    <w:p w14:paraId="6DAB41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美西方国家政客指责中国“产能过剩”，既无理论依据，也毫无事实根据，与巨大的市场需求相比，中国的产能远未过剩。</w:t>
      </w:r>
    </w:p>
    <w:p w14:paraId="02DFDE2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（一）中国产能利用率总体处于合理水平</w:t>
      </w:r>
    </w:p>
    <w:p w14:paraId="4FA4982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经济学视角看，企业等市场主体根据市场需求进行生产，为了在市场竞争中获胜，获得更多的利润，会不断扩大生产规模，提高劳动生产率，降低成本和价格，由此各个国家均可能出现经济周期性波动中生产能力相对需求过剩的现象，其中适度、合理的产能过剩是必然的，是市场机制正常发挥作用的结果。</w:t>
      </w:r>
    </w:p>
    <w:p w14:paraId="488A55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在实施供给侧改革之前存在部分的“结构性过剩”，如部分低端产能过剩，而高端产能是严重不足的。按照国际通行标准，产能利用率超过90%为产能不足，79%-90%为正常水平，低于79%为产能过剩，低于75%为严重产能过剩。“通常认为，78%-82%是美国工业的长期均衡产能利用率。我国2006—2019年的产能利用率十二年平均值为77%左右。”</w:t>
      </w:r>
      <w:r>
        <w:rPr>
          <w:rFonts w:hint="eastAsia"/>
          <w:sz w:val="24"/>
        </w:rPr>
        <w:footnoteReference w:id="726"/>
      </w:r>
      <w:r>
        <w:rPr>
          <w:rFonts w:hint="eastAsia"/>
          <w:sz w:val="24"/>
        </w:rPr>
        <w:t>从数据上看，近年来，我国通过在供给侧结构性改革中淘汰落后产能等措施，不断改善工业产能利用状况，使我国工业产能利用率一直保持在合理水平，与世界主要经济体的平均水平较接近，因而我国总体上不存在产能过剩问题，尤其是在新能源领域。中国在新能源方面的供给远未达到世界对新能源产品的需求，而且当前中国新能源产品主要是用于国内需求，相关数据显示：“作为世界第一大新能源汽车产销国，中国去年生产了958.7万辆新能源汽车，出口120.3万辆，近90%的产能都在满足国内需求，这意味着能够用于出口的产能依然很稀缺。”</w:t>
      </w:r>
      <w:r>
        <w:rPr>
          <w:rStyle w:val="20"/>
          <w:rFonts w:hint="eastAsia" w:ascii="宋体" w:hAnsi="宋体" w:eastAsia="宋体" w:cs="宋体"/>
          <w:color w:val="auto"/>
          <w:sz w:val="24"/>
          <w:szCs w:val="21"/>
        </w:rPr>
        <w:footnoteReference w:id="727"/>
      </w:r>
    </w:p>
    <w:p w14:paraId="0AE2F4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新能源产业的发展，不仅是为了应对全球气候变化，推动全球绿色低碳转型发展的现实需要，也是符合经济规律与市场原则的部署。中国新能源产业持续提供可负担的优质产能，对全球绿色可持续发展作出重要贡献。目前，中国的产品在世界市场上拥有绝对优势，尤其是以新能源产业为代表的强大制造业不断发展，促进了全球产业链、供应链的稳定，并且中国企业出口符合各国发展需求的产品，以及在国外的直接投资，不仅丰富了国际市场的产品供给，为世界经济发展带来新增量，同时也推动了全球制造业产业转型升级，促进各国投资、就业和经济增长，有助于缓解全球通胀压力。中国的优质产能为各国消费者提供了高性价比商品，尤其是中国新能源企业出口的产品，具有高质量、高效能、高性价比的特点，凭借持续的技术创新、完善的产供链体系和充分的市场竞争，获得了各国消费者的青睐，也自然无可厚非。</w:t>
      </w:r>
    </w:p>
    <w:p w14:paraId="040B26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（二）中国的新能源汽车出口符合市场经济发展规律</w:t>
      </w:r>
    </w:p>
    <w:p w14:paraId="6B0DE0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产能是否过剩，不仅要看国内需求，也要看国际需求，正如中国外交部发言人毛宁强调：“在全球化的背景下判断产能是否过剩，要从全球市场需求和未来发展潜力来看，供需平衡是相对的，不平衡往往是常态。解决这些问题主要还要依靠市场按照价值规律进行调节。将产能等经贸问题泛政治化、泛安全化，违背经济规律，不利于本国产业，也不利于世界经济稳定发展。”</w:t>
      </w:r>
      <w:r>
        <w:rPr>
          <w:rFonts w:hint="eastAsia"/>
          <w:sz w:val="24"/>
        </w:rPr>
        <w:footnoteReference w:id="728"/>
      </w:r>
      <w:r>
        <w:rPr>
          <w:rFonts w:hint="eastAsia"/>
          <w:sz w:val="24"/>
        </w:rPr>
        <w:t>根据国际能源署测算的相关数据显示，全球新能源汽车的需求量到2030年将高达4500万辆，从全球销量看为2023年的3倍多，从产量看为2023年中国产量的近5倍；全球动力电池需求量到2030年也将达到3500GWh，为2023年全球出货量的4倍多，是2023年中国产量的5倍多。</w:t>
      </w:r>
      <w:r>
        <w:rPr>
          <w:rStyle w:val="20"/>
          <w:rFonts w:hint="eastAsia" w:ascii="宋体" w:hAnsi="宋体" w:eastAsia="宋体" w:cs="宋体"/>
          <w:color w:val="auto"/>
          <w:sz w:val="24"/>
          <w:szCs w:val="21"/>
        </w:rPr>
        <w:footnoteReference w:id="729"/>
      </w:r>
      <w:r>
        <w:rPr>
          <w:rFonts w:hint="eastAsia"/>
          <w:sz w:val="24"/>
        </w:rPr>
        <w:t>可见，未来的新能源市场仍存在巨大的增量空间和市场需求，并未面临产能过剩问题，反而是产能缺口，并且中国新能源汽车出口占生产的比例远低于德国、日本、韩国等主要汽车生产国，出口价格也符合市场规律。一定程度上看，中国新能源汽车产业的发展将会对全球汽车产业带来利好，我国拥有开放包容且增长潜力大的超大规模市场优势，不仅能为车用操作系统提供丰富应用场景和持续迭代机会，重构全球汽车产业链，还有助于促进新能源汽车产业高质量发展，通过技术创新和成本优势推动全球新能源汽车市场的竞争与进步。例如，奇瑞汽车将在西班牙巴塞罗那设立合资企业，与当地合作开发电动汽车新产品，比亚迪的最新财报也表示将在墨西哥设立工厂。而且中国新能源汽车出口并没有像美西方政客炒作的那样会对世界市场造成破坏，最新数据显示：“今年一季度，我国新能源汽车出口量同比增长23.8%。高端智能绿色的新能源汽车适销对路，充分表明所谓‘中国产能过剩冲击世界市场’完全是伪命题。”</w:t>
      </w:r>
      <w:r>
        <w:rPr>
          <w:rStyle w:val="20"/>
          <w:rFonts w:hint="eastAsia" w:ascii="宋体" w:hAnsi="宋体" w:eastAsia="宋体" w:cs="宋体"/>
          <w:color w:val="auto"/>
          <w:sz w:val="24"/>
          <w:szCs w:val="21"/>
        </w:rPr>
        <w:footnoteReference w:id="730"/>
      </w:r>
    </w:p>
    <w:p w14:paraId="0EF86C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此外，美国极力指责我国新能源汽车“产能过剩”，然而我们可以来看一组数据对比，通常情况下汽车的产能利用率在70%至90%之间是合理的区间，2023年中国比亚迪集团、上汽集团等产能利用率在80%左右，相比之下，韩国现代汽车的产能利用率仅为23%，起亚汽车的产能利用率仅为25%。</w:t>
      </w:r>
      <w:r>
        <w:rPr>
          <w:rStyle w:val="20"/>
          <w:rFonts w:hint="eastAsia" w:ascii="宋体" w:hAnsi="宋体" w:eastAsia="宋体" w:cs="宋体"/>
          <w:color w:val="auto"/>
          <w:sz w:val="24"/>
          <w:szCs w:val="21"/>
        </w:rPr>
        <w:footnoteReference w:id="731"/>
      </w:r>
      <w:r>
        <w:rPr>
          <w:rFonts w:hint="eastAsia"/>
          <w:sz w:val="24"/>
        </w:rPr>
        <w:t>美欧炒作中国电动汽车产业产能过剩，还往往将未投产的规划产能视为实际产能。日本汽车问题专家汤进指出，如果研究中国电动汽车市场，就会知道那些指责中国汽车靠补贴占领全球市场的言论站不住脚，他还表示，中国市场是全球竞争最激烈的市场，在优胜劣汰中培育出在全球范围内具有竞争力的产业链供应链，这是中国新能源汽车能够以性价比取胜的最大原因。</w:t>
      </w:r>
      <w:r>
        <w:rPr>
          <w:rStyle w:val="20"/>
          <w:rFonts w:hint="eastAsia" w:ascii="宋体" w:hAnsi="宋体" w:eastAsia="宋体" w:cs="宋体"/>
          <w:color w:val="auto"/>
          <w:sz w:val="24"/>
          <w:szCs w:val="21"/>
        </w:rPr>
        <w:footnoteReference w:id="732"/>
      </w:r>
      <w:r>
        <w:rPr>
          <w:rFonts w:hint="eastAsia"/>
          <w:sz w:val="24"/>
        </w:rPr>
        <w:t>针对美西方渲染的“中国产能过剩论”，BI挪威商学院战略教授卡尔·费也进行了驳斥，他认为中国新能源产品为全球绿色低碳转型贡献巨大，尤其是中国生产的太阳能和电动汽车产品，为广大发展中国家带来了实实在在的好处，藏在所谓“中国产能过剩论”说辞背后的是贸易保护主义。</w:t>
      </w:r>
      <w:r>
        <w:rPr>
          <w:rStyle w:val="20"/>
          <w:rFonts w:hint="eastAsia" w:ascii="宋体" w:hAnsi="宋体" w:eastAsia="宋体" w:cs="宋体"/>
          <w:color w:val="auto"/>
          <w:sz w:val="24"/>
          <w:szCs w:val="21"/>
        </w:rPr>
        <w:footnoteReference w:id="733"/>
      </w:r>
      <w:r>
        <w:rPr>
          <w:rFonts w:hint="eastAsia"/>
          <w:sz w:val="24"/>
        </w:rPr>
        <w:t>卡尔·费教授指出，对比中国出口的电动汽车在国内的售价和在欧洲的售价，会发现这些车在欧洲的售价要比在中国国内高出40%左右，从中看出这肯定不是倾销，否则售价应该低得多。</w:t>
      </w:r>
      <w:r>
        <w:rPr>
          <w:rStyle w:val="20"/>
          <w:rFonts w:hint="eastAsia" w:ascii="宋体" w:hAnsi="宋体" w:eastAsia="宋体" w:cs="宋体"/>
          <w:color w:val="auto"/>
          <w:sz w:val="24"/>
          <w:szCs w:val="21"/>
        </w:rPr>
        <w:footnoteReference w:id="734"/>
      </w:r>
      <w:r>
        <w:rPr>
          <w:rFonts w:hint="eastAsia"/>
          <w:sz w:val="24"/>
        </w:rPr>
        <w:t>因此，那种中国“产能过剩”只有通过低价销售到国外的错误论调是站不住脚的，也违背了美西方信奉的当代西方经济学常识，即各国依据要素禀赋等形成的不同比较优势，使得各国之间互通有无、进行分工合作成为可能，这是基本的产业国际分工合作规律。美国一直是出口大国，如其高端芯片80%用于出口，其农产品五分之一销往中国，美国从未承认、中国也从未指责其“产能过剩”，</w:t>
      </w:r>
      <w:r>
        <w:rPr>
          <w:rStyle w:val="20"/>
          <w:rFonts w:hint="eastAsia" w:ascii="宋体" w:hAnsi="宋体" w:eastAsia="宋体" w:cs="宋体"/>
          <w:color w:val="auto"/>
          <w:sz w:val="24"/>
          <w:szCs w:val="21"/>
        </w:rPr>
        <w:footnoteReference w:id="735"/>
      </w:r>
      <w:r>
        <w:rPr>
          <w:rFonts w:hint="eastAsia"/>
          <w:sz w:val="24"/>
        </w:rPr>
        <w:t>这表明“双标”逻辑往往是美国实施霸权霸道的一贯用法。</w:t>
      </w:r>
    </w:p>
    <w:p w14:paraId="3D9F6F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（三）中国在若干领域的出口优势是充分竞争的结果</w:t>
      </w:r>
    </w:p>
    <w:p w14:paraId="6C289D7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首先，在当前全球汽车电动化转型进入加速阶段，各国均加大向新能源汽车产业转型的补贴和投资力度。例如，欧洲议会批准自2035起，在欧盟境内停止销售新的燃油车和混合动力汽车，并加大对清洁能源汽车和基础设施建设的投资额度，西班牙计划在汽车芯片、基础设施和动力电池等13个前沿专项领域投资超过118亿欧元；美国提出对新能源汽车单车提供7500美元的税收抵免，取消此前针对汽车制造商20万辆补贴上限的限制；日本宣布到2035年实现100%新能源汽车渗透率目标。</w:t>
      </w:r>
      <w:r>
        <w:rPr>
          <w:rStyle w:val="20"/>
          <w:rFonts w:hint="eastAsia" w:ascii="宋体" w:hAnsi="宋体" w:eastAsia="宋体" w:cs="宋体"/>
          <w:color w:val="auto"/>
          <w:sz w:val="24"/>
          <w:szCs w:val="21"/>
        </w:rPr>
        <w:footnoteReference w:id="736"/>
      </w:r>
      <w:r>
        <w:rPr>
          <w:rFonts w:hint="eastAsia"/>
          <w:sz w:val="24"/>
        </w:rPr>
        <w:t>美国甚至出台相关法律对新能源产业提供大幅补贴，如美国出台了《基础设施和就业法案》为支持汽车充电设施建设提供75亿美元资金支持。</w:t>
      </w:r>
      <w:r>
        <w:rPr>
          <w:rStyle w:val="20"/>
          <w:rFonts w:hint="eastAsia" w:ascii="宋体" w:hAnsi="宋体" w:eastAsia="宋体" w:cs="宋体"/>
          <w:color w:val="auto"/>
          <w:sz w:val="24"/>
          <w:szCs w:val="21"/>
        </w:rPr>
        <w:footnoteReference w:id="737"/>
      </w:r>
      <w:r>
        <w:rPr>
          <w:rFonts w:hint="eastAsia"/>
          <w:sz w:val="24"/>
        </w:rPr>
        <w:t>同时，摩根士丹利中国首席经济学家邢自强也认为，美国这种刻意针对中国的产业政策，并且暗示中国的竞争优势是靠政府补贴，这是带有偏见的，许多国家正在通过政府补贴和相应产业政策促进战略性产业和生产力的发展。如美国总统拜登签署了《通胀削减法案》，这是该国有史以来对清洁能源和气候行动的最大投资，白宫已为先进半导体制造业提供数亿美元的补贴。</w:t>
      </w:r>
    </w:p>
    <w:p w14:paraId="0F46C0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其次，随着我国新能源汽车产品技术始终保持较高水平，国际竞争力进一步提升，中国新能源汽车出口数量在全球市场份额大幅增长自然无可非议，中国品牌在欧洲、中东、东南亚等地市场份额大幅提升，成为绿色化、智能化、高品质、个性化和便利适用车型的代表，中国品牌有技术自信、市场自信还有产品自信，得到国际市场的认可。根据中国汽车工业协会发布的数据显示，2023年，我国汽车产销量双超3000万辆，累计分别完成3016.1万辆和3009.4万辆，同比分别增长11.6%和12%，产销总量连续15年居全球第一。其中，新能源汽车产销分别完成958.7万辆和949.5万辆，同比分别增长35.8%和37.9%。</w:t>
      </w:r>
      <w:r>
        <w:rPr>
          <w:rStyle w:val="20"/>
          <w:rFonts w:hint="eastAsia" w:ascii="宋体" w:hAnsi="宋体" w:eastAsia="宋体" w:cs="宋体"/>
          <w:color w:val="auto"/>
          <w:sz w:val="24"/>
          <w:szCs w:val="21"/>
        </w:rPr>
        <w:footnoteReference w:id="738"/>
      </w:r>
      <w:r>
        <w:rPr>
          <w:rFonts w:hint="eastAsia"/>
          <w:sz w:val="24"/>
        </w:rPr>
        <w:t>而根据海关总署发布的数据显示，我国新能源汽车出口均价从2021年的1.95万美元，提升到2023年的2.38万美元。</w:t>
      </w:r>
      <w:r>
        <w:rPr>
          <w:rStyle w:val="20"/>
          <w:rFonts w:hint="eastAsia" w:ascii="宋体" w:hAnsi="宋体" w:eastAsia="宋体" w:cs="宋体"/>
          <w:color w:val="auto"/>
          <w:sz w:val="24"/>
          <w:szCs w:val="21"/>
        </w:rPr>
        <w:footnoteReference w:id="739"/>
      </w:r>
      <w:r>
        <w:rPr>
          <w:rFonts w:hint="eastAsia"/>
          <w:sz w:val="24"/>
        </w:rPr>
        <w:t>在国际市场中，我国新能源汽车在性价比上具有绝对优势，这些数据充分反映了我国汽车企业的品牌价值开始得到认可，而并不是西方国家所炒作的中国新能源行业存在的“过剩产能”正以低价倾销海外，扰乱市场秩序。对此，外交部北美大洋洲司司长杨涛也回应，中国在新能源汽车、锂电池、光伏产品等领域的优势，不是中国政府补贴的产物，而是全球市场需求、技术创新、充分竞争的结果。</w:t>
      </w:r>
      <w:r>
        <w:rPr>
          <w:rStyle w:val="20"/>
          <w:rFonts w:hint="eastAsia" w:ascii="宋体" w:hAnsi="宋体" w:eastAsia="宋体" w:cs="宋体"/>
          <w:color w:val="auto"/>
          <w:sz w:val="24"/>
          <w:szCs w:val="21"/>
        </w:rPr>
        <w:footnoteReference w:id="740"/>
      </w:r>
      <w:r>
        <w:rPr>
          <w:rFonts w:hint="eastAsia"/>
          <w:sz w:val="24"/>
        </w:rPr>
        <w:t>中国优质新能源产品为各国加快绿色转型、应对气候变化、缓解通胀压力作出了重要贡献。</w:t>
      </w:r>
    </w:p>
    <w:p w14:paraId="3F6F45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（四）中国出口的优质产能让全球受益</w:t>
      </w:r>
    </w:p>
    <w:p w14:paraId="694093A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中国的绿色技术、绿色产品，不仅是应对气候变化的需要，也有效缓解了各国的能源危机，推动全球绿色低碳转型，为世界经济发展增添了动力。例如，中国贡献了全球大约80%的太阳能电池产能以及全球大约80%的电动汽车电池产能；</w:t>
      </w:r>
      <w:r>
        <w:rPr>
          <w:rStyle w:val="20"/>
          <w:rFonts w:hint="eastAsia" w:ascii="宋体" w:hAnsi="宋体" w:eastAsia="宋体" w:cs="宋体"/>
          <w:color w:val="auto"/>
          <w:sz w:val="24"/>
          <w:szCs w:val="21"/>
        </w:rPr>
        <w:footnoteReference w:id="741"/>
      </w:r>
      <w:r>
        <w:rPr>
          <w:rFonts w:hint="eastAsia"/>
          <w:sz w:val="24"/>
        </w:rPr>
        <w:t>“中国风电、光伏产品已出口到全球200多个国家和地区，2023年中国新能源汽车出口120.3万辆、同比增长77.6%，更多国家民众享受到中国新能源产品带来的便利和好处。”“2023年全球可再生能源新增装机容量5.1亿千瓦，中国贡献超过一半；中国出口的风电、光伏产品2022年为相关国家和地区减排二氧化碳约5.73亿吨，加上中国国内的减排量约22.6亿吨，合计约占全球同期可再生能源折算碳减排量的41%”。</w:t>
      </w:r>
      <w:r>
        <w:rPr>
          <w:rFonts w:hint="eastAsia"/>
          <w:sz w:val="24"/>
        </w:rPr>
        <w:footnoteReference w:id="742"/>
      </w:r>
      <w:r>
        <w:rPr>
          <w:rFonts w:hint="eastAsia"/>
          <w:sz w:val="24"/>
        </w:rPr>
        <w:t>中国在推动全球绿色低碳转型发展方面作出的贡献也得到国际组织的认可，“正如国际能源署署长法提赫·比罗尔所说，中国向其他国家提供相关服务和支持，显著提升了清洁能源技术的可及性，降低了全球使用绿色技术的成本。”</w:t>
      </w:r>
      <w:r>
        <w:rPr>
          <w:rStyle w:val="20"/>
          <w:rFonts w:hint="eastAsia" w:ascii="宋体" w:hAnsi="宋体" w:eastAsia="宋体" w:cs="宋体"/>
          <w:color w:val="auto"/>
          <w:sz w:val="24"/>
          <w:szCs w:val="21"/>
        </w:rPr>
        <w:footnoteReference w:id="743"/>
      </w:r>
      <w:r>
        <w:rPr>
          <w:rFonts w:hint="eastAsia"/>
          <w:sz w:val="24"/>
        </w:rPr>
        <w:t>尤其是中国通过“一带一路”等具体国际合作平台，加快产能合作等，为世界经济的复苏发展发挥了重要作用。因此，美西方指责“一带一路”是污染产业转移和产能过剩的转移等，完全是无稽之谈，荒谬至极，这也表明美西方一贯用这种毫无事实依据的污名化中国的伎俩。</w:t>
      </w:r>
    </w:p>
    <w:p w14:paraId="6204DB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三、宣扬“中国产能过剩论”的实质和危害</w:t>
      </w:r>
    </w:p>
    <w:p w14:paraId="19DFB5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近期，美国持续炒作中国“产能过剩”，意欲何为？不过是中美博弈中美西方不自信的污名化表现，其意图不难发现。</w:t>
      </w:r>
    </w:p>
    <w:p w14:paraId="569996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（一）美西方宣扬“中国产能过剩论”的实质</w:t>
      </w:r>
    </w:p>
    <w:p w14:paraId="6B31475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1.“中国产能过剩论”是美国服务政治选举的需要</w:t>
      </w:r>
    </w:p>
    <w:p w14:paraId="20F132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众所周知，今年作为美国的大选年，美国政客极力渲染中国的产能过剩与贸易不平衡，急于将“中国产能过剩”炒作成为一个全球性问题，目的是要在大选年里转移国内矛盾，吸引眼球，赢得更多选票，从而实现继续压榨剥削国内普通百姓、掠夺国际剩余价值的目的。例如，拜登在以汽车产业为重点的密歇根州宣告将对中国的电动汽车收高关税，而在以钢铁行业为关键的宾夕法尼亚州称要对中国的钢和铝收高关税，其目的显而易见，不过是为了取悦和讨好选民群体，获取在这些州的选举胜利，这也表明美西方所具有的与生俱来的资本主义私有制的本性没有变，也不可能变，只要有利可图，其必然会毫无底线，不顾其国内普通百姓和世界人民的福祉，实施系列霸权主义行径。</w:t>
      </w:r>
    </w:p>
    <w:p w14:paraId="797269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2.“中国产能过剩论”是遏制中国和维护美国在全球市场支配地位的需要</w:t>
      </w:r>
    </w:p>
    <w:p w14:paraId="381E03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当前，以中国为代表的新兴经济体迅速崛起，对以美国为首的西方大国的霸权地位造成了冲击。到2035年，发展中国家GDP规模将超过发达经济体，在全球经济和投资中的比重接近60%</w:t>
      </w:r>
      <w:r>
        <w:rPr>
          <w:rStyle w:val="20"/>
          <w:rFonts w:hint="eastAsia" w:ascii="宋体" w:hAnsi="宋体" w:eastAsia="宋体" w:cs="宋体"/>
          <w:color w:val="auto"/>
          <w:sz w:val="24"/>
          <w:szCs w:val="21"/>
        </w:rPr>
        <w:footnoteReference w:id="744"/>
      </w:r>
      <w:r>
        <w:rPr>
          <w:rFonts w:hint="eastAsia"/>
          <w:sz w:val="24"/>
        </w:rPr>
        <w:t>；同时，全球绿色发展和能源转型，也将为中国发展带来新机遇。以美国为首的西方发达资本主义国家为防范中国快速的技术追赶出台了一系列贸易投资领域的针对性限制措施，然而，国外媒体针对这波子虚乌有的炒作，也纷纷进行了批判，揭示出西方政客的真正目的。例如，瑞士的《新苏黎世报》更是直接批判了西方这场虚伪且短视的抱怨，</w:t>
      </w:r>
      <w:r>
        <w:rPr>
          <w:rStyle w:val="20"/>
          <w:rFonts w:hint="eastAsia" w:ascii="宋体" w:hAnsi="宋体" w:eastAsia="宋体" w:cs="宋体"/>
          <w:color w:val="auto"/>
          <w:sz w:val="24"/>
          <w:szCs w:val="21"/>
        </w:rPr>
        <w:footnoteReference w:id="745"/>
      </w:r>
      <w:r>
        <w:rPr>
          <w:rFonts w:hint="eastAsia"/>
          <w:sz w:val="24"/>
        </w:rPr>
        <w:t>目前没有数据证明欧洲市场遭受了中国商品的大范围冲击。在中国高端制造业发展背景下，这次争论的焦点正是在新能源汽车领域，以前在国际市场上，西方产能等于市场需求，而现在演变为中国新进产能加西方产能等于市场需求，新能源汽车作为核心风口产业，产业前景巨大，中国新能源车的规模和占比的提高，带给西方尤其是美国高端产业实体潜在威胁，美国所谓的过剩，其根本目的是阻止中国新能源车市场规模的快速发展。如美国又出新规，规定“根据公告，最高7500美元的联邦税收抵免，不适用于含有来自‘受关注外国实体’企业制造或组装的电池组件的电动汽车。美联社和《华盛顿邮报》称，所谓的‘受关注外国实体’，通常指的是中国、俄罗斯等被美国政府视作‘竞争对手’的国家。”</w:t>
      </w:r>
      <w:r>
        <w:rPr>
          <w:rStyle w:val="20"/>
          <w:rFonts w:hint="eastAsia" w:ascii="宋体" w:hAnsi="宋体" w:eastAsia="宋体" w:cs="宋体"/>
          <w:color w:val="auto"/>
          <w:sz w:val="24"/>
          <w:szCs w:val="21"/>
        </w:rPr>
        <w:footnoteReference w:id="746"/>
      </w:r>
      <w:r>
        <w:rPr>
          <w:rFonts w:hint="eastAsia"/>
          <w:sz w:val="24"/>
        </w:rPr>
        <w:t>不仅加大了对进口电动汽车征收高额关税的力度，还试图遏制中国在美国的投资，以“产能过剩”这种说法来掩盖自身的真实目的。</w:t>
      </w:r>
    </w:p>
    <w:p w14:paraId="78A298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3.“中国产能过剩论”是为美西方实行保护主义的需要</w:t>
      </w:r>
    </w:p>
    <w:p w14:paraId="3BE0C7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近六年来，美国不断对华进行贸易战。自2018年3月中美贸易战开始，美国对进口中国的钢铁和铝产品加征关税，同时开展技术封锁，对全球贸易秩序造成巨大冲击。对于美国政府单方面挑起的中美贸易摩擦，中国只能采取中止关税减让义务、加征关税等反制措施，并同时在相互尊重、平等互利的原则基础上进行协商，坚决捍卫国家和人民利益。2018年7月和8月，美国分两批对从中国进口的500亿美元商品加征25%关税,2018年9月，美国对2000亿美元中国输美产品加征10%的关税，共计对约3700亿美元中国输美产品加征关税。</w:t>
      </w:r>
      <w:r>
        <w:rPr>
          <w:rStyle w:val="20"/>
          <w:rFonts w:hint="eastAsia" w:ascii="宋体" w:hAnsi="宋体" w:eastAsia="宋体" w:cs="宋体"/>
          <w:color w:val="auto"/>
          <w:sz w:val="24"/>
          <w:szCs w:val="21"/>
        </w:rPr>
        <w:footnoteReference w:id="747"/>
      </w:r>
      <w:r>
        <w:rPr>
          <w:rFonts w:hint="eastAsia"/>
          <w:sz w:val="24"/>
        </w:rPr>
        <w:t>2019年5月，特朗普政府将华为列入“实体清单”，限制其获得美国技术。2022年8月，美国出台《通胀削减法案》《芯片与科学法案》等法案。2022年10月，美国修订对华半导体出口管制令。2023年8月，美国政府发布对外投资审查行政令，限制美方对中国高科技领域投资，主要是半导体和微电子、量子信息技术和人工智能领域。2024年4月，美国贸易办公室宣布发起针对中国海事、物流、造船业的“301调查”，同时美国又以协助中国军方采购人工智能芯片为由，把4家中国公司列入出口“黑名单”，</w:t>
      </w:r>
      <w:r>
        <w:rPr>
          <w:rStyle w:val="20"/>
          <w:rFonts w:hint="eastAsia" w:ascii="宋体" w:hAnsi="宋体" w:eastAsia="宋体" w:cs="宋体"/>
          <w:color w:val="auto"/>
          <w:sz w:val="24"/>
          <w:szCs w:val="21"/>
        </w:rPr>
        <w:footnoteReference w:id="748"/>
      </w:r>
      <w:r>
        <w:rPr>
          <w:rFonts w:hint="eastAsia"/>
          <w:sz w:val="24"/>
        </w:rPr>
        <w:t>还假借中国企业协助了俄罗斯的军事行动，对这些中国企业采取了出口限制措施。在近六年时间里，美国频频挑起贸易摩擦，拜登政府不仅延续了加征关税措施，而且宣扬“中国产能过剩论”，继续鼓吹对华优势产品和产业的“脱钩断链”“去风险”，打造“小院高墙”等，以竞争之名行霸权之实，破坏国际经贸规则，对全球经贸体系带来严重影响。针对这些不实言论，国际社会也普遍谴责美国的保护主义等霸权主义行径。美国智库彼得森国际经济研究所高级研究员拉迪明确指出：“‘产能过剩论'为保护主义提供了借口。”</w:t>
      </w:r>
      <w:r>
        <w:rPr>
          <w:rFonts w:hint="eastAsia"/>
          <w:sz w:val="24"/>
        </w:rPr>
        <w:footnoteReference w:id="749"/>
      </w:r>
      <w:r>
        <w:rPr>
          <w:rFonts w:hint="eastAsia"/>
          <w:sz w:val="24"/>
        </w:rPr>
        <w:t>挪威商学院战略教授卡尔·费表示，美国的行为肯定是贸易保护主义，其行为对于市场是一种扭曲，对任何人都没有好处。</w:t>
      </w:r>
      <w:r>
        <w:rPr>
          <w:rStyle w:val="20"/>
          <w:rFonts w:hint="eastAsia" w:ascii="宋体" w:hAnsi="宋体" w:eastAsia="宋体" w:cs="宋体"/>
          <w:color w:val="auto"/>
          <w:sz w:val="24"/>
          <w:szCs w:val="21"/>
        </w:rPr>
        <w:footnoteReference w:id="750"/>
      </w:r>
      <w:r>
        <w:rPr>
          <w:rFonts w:hint="eastAsia"/>
          <w:sz w:val="24"/>
        </w:rPr>
        <w:t>可见，美西方所谓“产能过剩”是美国搞保护主义、打压中国发展的又一例证。</w:t>
      </w:r>
    </w:p>
    <w:p w14:paraId="5B00FA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（二）“中国产能过剩论”及其遏制措施的危害</w:t>
      </w:r>
    </w:p>
    <w:p w14:paraId="33CD36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美西方“中国产能过剩论”是美国采取保护主义和经济民族主义的借口，不过是尽显“美国优先”的霸权本性与冷战思维，是继美国实施的技术封锁等经济霸权主义之后的又一项遏制中国崛起的霸权主义战略，这一损人不利己的霸权主义行径带来的危害是巨大的，既为世界经济和人类可持续发展带来巨大危害，也影响美国自身发展。具体来讲，一是美西方“中国产能过剩论”及其遏制措施将加剧了世界经济的颓势。如近期国际货币基金组织对于2024年全球经济发展状况的预测表明，2024年世界经济增长仅为3.2%，显著低于2000年—2019年的平均3.8%的经济发展水平。世贸组织也将2024年全球贸易量增速由之前的预测为3.3%调整为2.6%。</w:t>
      </w:r>
      <w:r>
        <w:rPr>
          <w:rStyle w:val="20"/>
          <w:rFonts w:hint="eastAsia" w:ascii="宋体" w:hAnsi="宋体" w:eastAsia="宋体" w:cs="宋体"/>
          <w:color w:val="auto"/>
          <w:sz w:val="24"/>
          <w:szCs w:val="21"/>
        </w:rPr>
        <w:footnoteReference w:id="751"/>
      </w:r>
      <w:r>
        <w:rPr>
          <w:rFonts w:hint="eastAsia"/>
          <w:sz w:val="24"/>
        </w:rPr>
        <w:t>在这一现实下，美西方不仅不为世界经济的复苏发展贡献力量，反而掣肘中国为世界经济发展贡献力量，最终将造成世界经济雪上加霜。二是美西方“中国产能过剩论”及其遏制措施将造成全球绿色转型发展受阻。促进全球绿色转型发展是各国的共识，是人类的共同选择，中国在这一过程中积极贡献力量。如中国生产和出口新能源汽车，就是推动全球绿色转型发展的重要举措，但是美西方进行污名化的遏制措施，必将在一定程度影响全球绿色转型发展进程。三是美西方“中国产能过剩论”及其遏制措施将最终也将反噬美西方自身发展。系列事实已经证明了这一点，如“美方此前规定，2025年开始包含任何由受关注外国实体(FEOC)制造或组装的关键矿物将无法获得税收抵免。美国将FEOC定义为由朝鲜、中国、俄罗斯或伊朗拥有、控制或管辖的任何公司。”</w:t>
      </w:r>
      <w:r>
        <w:rPr>
          <w:rStyle w:val="20"/>
          <w:rFonts w:hint="eastAsia" w:ascii="宋体" w:hAnsi="宋体" w:eastAsia="宋体" w:cs="宋体"/>
          <w:color w:val="auto"/>
          <w:sz w:val="24"/>
          <w:szCs w:val="21"/>
        </w:rPr>
        <w:footnoteReference w:id="752"/>
      </w:r>
      <w:r>
        <w:rPr>
          <w:rFonts w:hint="eastAsia"/>
          <w:sz w:val="24"/>
        </w:rPr>
        <w:t xml:space="preserve"> 在美国实施这种霸权主义行径反噬自身下“今年第一季度，美国电动汽车销量仅增长3.3%，至近27万辆，远低于去年创纪录的47%的增长。数据显示，一季度电动汽车在美国汽车市场中的份额已降至7.15%。”</w:t>
      </w:r>
      <w:r>
        <w:rPr>
          <w:rStyle w:val="20"/>
          <w:rFonts w:hint="eastAsia" w:ascii="宋体" w:hAnsi="宋体" w:eastAsia="宋体" w:cs="宋体"/>
          <w:color w:val="auto"/>
          <w:sz w:val="24"/>
          <w:szCs w:val="21"/>
        </w:rPr>
        <w:footnoteReference w:id="753"/>
      </w:r>
      <w:r>
        <w:rPr>
          <w:rFonts w:hint="eastAsia"/>
          <w:sz w:val="24"/>
        </w:rPr>
        <w:t>而且美国反噬自身的例子时常会出现，如穆迪投资者服务公司报告也显示，美国消费者承担了对中国商品加征关税近93%的成本，只有7.6%的增加成本被中国吸收。</w:t>
      </w:r>
      <w:r>
        <w:rPr>
          <w:rStyle w:val="20"/>
          <w:rFonts w:hint="eastAsia" w:ascii="宋体" w:hAnsi="宋体" w:eastAsia="宋体" w:cs="宋体"/>
          <w:color w:val="auto"/>
          <w:sz w:val="24"/>
          <w:szCs w:val="21"/>
        </w:rPr>
        <w:footnoteReference w:id="754"/>
      </w:r>
      <w:r>
        <w:rPr>
          <w:rFonts w:hint="eastAsia"/>
          <w:sz w:val="24"/>
        </w:rPr>
        <w:t xml:space="preserve">                    </w:t>
      </w:r>
    </w:p>
    <w:p w14:paraId="1E702E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四、结语</w:t>
      </w:r>
    </w:p>
    <w:p w14:paraId="27424A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对于美西方以“中国产能过剩论”为名，大行保护主义之实的霸权主义行径，将经贸科技问题政治化、工具化、武器化，是一种贸易保护主义和霸权主义的现实表现，势必不断给世界经济发展带来严重灾难。中国必须通过切实举措进行应对：其一，中国应发挥负责任大国形象，主动和世界正义国家加强合作，携起手来共同应对；其二，中国应以事实揭露美西方的霸权主义行径，推动建立能够代表人类整体利益的强有力的国际话语体系，对美西方系列污名化言论进行有力反驳；其三，中国应在统筹好发展和安全中推进高水平的对等开放，落实好高质量发展主题，为世界经济的繁荣可持续发展继续贡献中国力量和中国智慧。</w:t>
      </w:r>
    </w:p>
    <w:p w14:paraId="113E99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lang w:val="en-US" w:eastAsia="zh-CN"/>
        </w:rPr>
        <w:t>原载《世界社会主义研究》2024年第11期。</w:t>
      </w:r>
      <w:r>
        <w:rPr>
          <w:rFonts w:hint="eastAsia"/>
          <w:sz w:val="24"/>
          <w:lang w:eastAsia="zh-CN"/>
        </w:rPr>
        <w:t>）</w:t>
      </w:r>
    </w:p>
    <w:p w14:paraId="39E650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620F363B">
      <w:pPr>
        <w:pStyle w:val="3"/>
        <w:bidi w:val="0"/>
        <w:rPr>
          <w:rFonts w:hint="eastAsia"/>
        </w:rPr>
      </w:pPr>
      <w:bookmarkStart w:id="402" w:name="_Toc2033223068"/>
      <w:bookmarkStart w:id="403" w:name="_Toc1803663368"/>
      <w:bookmarkStart w:id="404" w:name="_Toc31351"/>
      <w:bookmarkStart w:id="405" w:name="_Toc124031"/>
      <w:bookmarkStart w:id="406" w:name="_Toc383237048"/>
      <w:bookmarkStart w:id="407" w:name="_Toc418803303"/>
      <w:r>
        <w:rPr>
          <w:rFonts w:hint="eastAsia"/>
        </w:rPr>
        <w:t>中国式现代化的伟大创举及其世界贡献</w:t>
      </w:r>
      <w:bookmarkEnd w:id="402"/>
      <w:bookmarkEnd w:id="403"/>
      <w:bookmarkEnd w:id="404"/>
      <w:bookmarkEnd w:id="405"/>
      <w:bookmarkEnd w:id="406"/>
      <w:bookmarkEnd w:id="407"/>
    </w:p>
    <w:p w14:paraId="662D1A6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13"/>
          <w:sz w:val="24"/>
          <w:szCs w:val="24"/>
        </w:rPr>
        <w:t>中共中央总书记、国家主席、中央军委主席</w:t>
      </w:r>
      <w:r>
        <w:rPr>
          <w:rFonts w:hint="eastAsia" w:ascii="宋体" w:hAnsi="宋体" w:eastAsia="宋体" w:cs="宋体"/>
          <w:spacing w:val="7"/>
          <w:sz w:val="24"/>
          <w:szCs w:val="24"/>
        </w:rPr>
        <w:t>习近平在庆祝中华人民共和国成立75周年招待会</w:t>
      </w:r>
      <w:r>
        <w:rPr>
          <w:rFonts w:hint="eastAsia" w:ascii="宋体" w:hAnsi="宋体" w:eastAsia="宋体" w:cs="宋体"/>
          <w:spacing w:val="-8"/>
          <w:sz w:val="24"/>
          <w:szCs w:val="24"/>
        </w:rPr>
        <w:t>上的讲话指出：“75年前，中华人民共和国成立，标</w:t>
      </w:r>
      <w:r>
        <w:rPr>
          <w:rFonts w:hint="eastAsia" w:ascii="宋体" w:hAnsi="宋体" w:eastAsia="宋体" w:cs="宋体"/>
          <w:spacing w:val="3"/>
          <w:sz w:val="24"/>
          <w:szCs w:val="24"/>
        </w:rPr>
        <w:t>志着中国人民站起来了，开启了中华民族伟大复兴</w:t>
      </w:r>
      <w:r>
        <w:rPr>
          <w:rFonts w:hint="eastAsia" w:ascii="宋体" w:hAnsi="宋体" w:eastAsia="宋体" w:cs="宋体"/>
          <w:spacing w:val="1"/>
          <w:sz w:val="24"/>
          <w:szCs w:val="24"/>
        </w:rPr>
        <w:t>的历史新纪元。75年来，我们党团结带领全国各族</w:t>
      </w:r>
      <w:r>
        <w:rPr>
          <w:rFonts w:hint="eastAsia" w:ascii="宋体" w:hAnsi="宋体" w:eastAsia="宋体" w:cs="宋体"/>
          <w:spacing w:val="3"/>
          <w:sz w:val="24"/>
          <w:szCs w:val="24"/>
        </w:rPr>
        <w:t>人民不懈奋斗，创造了经济快速发展和社会长期稳定两大奇迹，中国发生沧海桑田的巨大变化，中华民族伟大复兴进入了不可逆转的历史进程。”在以中国式现代化全面推进强国建设、民族复兴伟业的关键时期，党的二十届三中全会聚焦进一步全面深化改革、推进中国式现代化问题，强调“中国式现代化是走和平发展道路的现代化”，表明将中国发展的宏观逻辑与人类文明进步的总体趋势相结合的高度历史担当，其里程碑意义是世界性的。从世界</w:t>
      </w:r>
      <w:r>
        <w:rPr>
          <w:rFonts w:hint="eastAsia" w:ascii="宋体" w:hAnsi="宋体" w:eastAsia="宋体" w:cs="宋体"/>
          <w:spacing w:val="2"/>
          <w:sz w:val="24"/>
          <w:szCs w:val="24"/>
        </w:rPr>
        <w:t>政治经济格局的演进来看，中国式现代化既是中国</w:t>
      </w:r>
      <w:r>
        <w:rPr>
          <w:rFonts w:hint="eastAsia" w:ascii="宋体" w:hAnsi="宋体" w:eastAsia="宋体" w:cs="宋体"/>
          <w:spacing w:val="3"/>
          <w:sz w:val="24"/>
          <w:szCs w:val="24"/>
        </w:rPr>
        <w:t>的又是世界的，既立足时代又引领时代，追求的不是独善其身的现代化，而是为推进世界现代化进程</w:t>
      </w:r>
      <w:r>
        <w:rPr>
          <w:rFonts w:hint="eastAsia" w:ascii="宋体" w:hAnsi="宋体" w:eastAsia="宋体" w:cs="宋体"/>
          <w:spacing w:val="2"/>
          <w:sz w:val="24"/>
          <w:szCs w:val="24"/>
        </w:rPr>
        <w:t>和推动构建人类命运共同体不断贡献中国智慧、中国方案和中国力量。质言之，中国式现代化在长期</w:t>
      </w:r>
      <w:r>
        <w:rPr>
          <w:rFonts w:hint="eastAsia" w:ascii="宋体" w:hAnsi="宋体" w:eastAsia="宋体" w:cs="宋体"/>
          <w:spacing w:val="3"/>
          <w:sz w:val="24"/>
          <w:szCs w:val="24"/>
        </w:rPr>
        <w:t>实践中创造了“人类发展史上真正的奇迹”，打破</w:t>
      </w:r>
      <w:r>
        <w:rPr>
          <w:rFonts w:hint="eastAsia" w:ascii="宋体" w:hAnsi="宋体" w:eastAsia="宋体" w:cs="宋体"/>
          <w:spacing w:val="2"/>
          <w:sz w:val="24"/>
          <w:szCs w:val="24"/>
        </w:rPr>
        <w:t>了“现代化=西方化”的迷思，为广大后发国家开</w:t>
      </w:r>
      <w:r>
        <w:rPr>
          <w:rFonts w:hint="eastAsia" w:ascii="宋体" w:hAnsi="宋体" w:eastAsia="宋体" w:cs="宋体"/>
          <w:spacing w:val="-3"/>
          <w:sz w:val="24"/>
          <w:szCs w:val="24"/>
        </w:rPr>
        <w:t>辟了通往美好未来的崭新道路。</w:t>
      </w:r>
    </w:p>
    <w:p w14:paraId="37278B6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eastAsia" w:ascii="宋体" w:hAnsi="宋体" w:eastAsia="宋体" w:cs="宋体"/>
          <w:sz w:val="24"/>
          <w:szCs w:val="24"/>
        </w:rPr>
      </w:pPr>
    </w:p>
    <w:p w14:paraId="4D2301EE">
      <w:pPr>
        <w:pStyle w:val="4"/>
        <w:bidi w:val="0"/>
        <w:rPr>
          <w:rFonts w:hint="eastAsia"/>
        </w:rPr>
      </w:pPr>
      <w:r>
        <w:rPr>
          <w:rFonts w:hint="eastAsia"/>
        </w:rPr>
        <w:t>中国式现代化为后发国家现代化建设提供有益借鉴</w:t>
      </w:r>
    </w:p>
    <w:p w14:paraId="4F2E65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outlineLvl w:val="9"/>
        <w:rPr>
          <w:rFonts w:hint="eastAsia" w:ascii="宋体" w:hAnsi="宋体" w:eastAsia="宋体" w:cs="宋体"/>
          <w:spacing w:val="-5"/>
          <w:sz w:val="24"/>
          <w:szCs w:val="24"/>
        </w:rPr>
      </w:pPr>
      <w:r>
        <w:rPr>
          <w:rFonts w:hint="eastAsia" w:ascii="宋体" w:hAnsi="宋体" w:eastAsia="宋体" w:cs="宋体"/>
          <w:spacing w:val="4"/>
          <w:sz w:val="24"/>
          <w:szCs w:val="24"/>
        </w:rPr>
        <w:t>一般来说，一个国家走向现代化进程的传统模</w:t>
      </w:r>
      <w:r>
        <w:rPr>
          <w:rFonts w:hint="eastAsia" w:ascii="宋体" w:hAnsi="宋体" w:eastAsia="宋体" w:cs="宋体"/>
          <w:spacing w:val="2"/>
          <w:sz w:val="24"/>
          <w:szCs w:val="24"/>
        </w:rPr>
        <w:t>式大致可以划分为内生型和外生型两种基本形式。</w:t>
      </w:r>
      <w:r>
        <w:rPr>
          <w:rFonts w:hint="eastAsia" w:ascii="宋体" w:hAnsi="宋体" w:eastAsia="宋体" w:cs="宋体"/>
          <w:spacing w:val="3"/>
          <w:sz w:val="24"/>
          <w:szCs w:val="24"/>
        </w:rPr>
        <w:t>内生型现代化模式主要以西方国家为代表，在地理</w:t>
      </w:r>
      <w:r>
        <w:rPr>
          <w:rFonts w:hint="eastAsia" w:ascii="宋体" w:hAnsi="宋体" w:eastAsia="宋体" w:cs="宋体"/>
          <w:spacing w:val="2"/>
          <w:sz w:val="24"/>
          <w:szCs w:val="24"/>
        </w:rPr>
        <w:t>大发现以及人类社会前两次工业革命时期，这些国</w:t>
      </w:r>
      <w:r>
        <w:rPr>
          <w:rFonts w:hint="eastAsia" w:ascii="宋体" w:hAnsi="宋体" w:eastAsia="宋体" w:cs="宋体"/>
          <w:spacing w:val="3"/>
          <w:sz w:val="24"/>
          <w:szCs w:val="24"/>
        </w:rPr>
        <w:t>家由于本国资本主义发展的需要，不断开辟世界市</w:t>
      </w:r>
      <w:r>
        <w:rPr>
          <w:rFonts w:hint="eastAsia" w:ascii="宋体" w:hAnsi="宋体" w:eastAsia="宋体" w:cs="宋体"/>
          <w:spacing w:val="13"/>
          <w:sz w:val="24"/>
          <w:szCs w:val="24"/>
        </w:rPr>
        <w:t>场，通过殖民掠夺和对外战争的方式完成资本积</w:t>
      </w:r>
      <w:r>
        <w:rPr>
          <w:rFonts w:hint="eastAsia" w:ascii="宋体" w:hAnsi="宋体" w:eastAsia="宋体" w:cs="宋体"/>
          <w:spacing w:val="3"/>
          <w:sz w:val="24"/>
          <w:szCs w:val="24"/>
        </w:rPr>
        <w:t>累，转向现代化进程，并在近代以来的全球政治经济版图中确立了其主导地位。与之相对，亚洲、非洲和拉丁美洲国家作为帝国主义国家的殖民地，被动地卷入世界资本主义体系，被动地进入现代化进</w:t>
      </w:r>
      <w:r>
        <w:rPr>
          <w:rFonts w:hint="eastAsia" w:ascii="宋体" w:hAnsi="宋体" w:eastAsia="宋体" w:cs="宋体"/>
          <w:spacing w:val="16"/>
          <w:sz w:val="24"/>
          <w:szCs w:val="24"/>
        </w:rPr>
        <w:t>程，这种现代化模式具有</w:t>
      </w:r>
      <w:r>
        <w:rPr>
          <w:rFonts w:hint="eastAsia" w:ascii="宋体" w:hAnsi="宋体" w:eastAsia="宋体" w:cs="宋体"/>
          <w:spacing w:val="-5"/>
          <w:sz w:val="24"/>
          <w:szCs w:val="24"/>
        </w:rPr>
        <w:t>强烈的外生型特征。</w:t>
      </w:r>
    </w:p>
    <w:p w14:paraId="0D6124C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outlineLvl w:val="9"/>
        <w:rPr>
          <w:rFonts w:hint="eastAsia" w:ascii="宋体" w:hAnsi="宋体" w:eastAsia="宋体" w:cs="宋体"/>
          <w:spacing w:val="-3"/>
          <w:sz w:val="24"/>
          <w:szCs w:val="24"/>
        </w:rPr>
      </w:pPr>
      <w:r>
        <w:rPr>
          <w:rFonts w:hint="eastAsia" w:ascii="宋体" w:hAnsi="宋体" w:eastAsia="宋体" w:cs="宋体"/>
          <w:spacing w:val="20"/>
          <w:sz w:val="24"/>
          <w:szCs w:val="24"/>
        </w:rPr>
        <w:t>第二次世界大战后独</w:t>
      </w:r>
      <w:r>
        <w:rPr>
          <w:rFonts w:hint="eastAsia" w:ascii="宋体" w:hAnsi="宋体" w:eastAsia="宋体" w:cs="宋体"/>
          <w:spacing w:val="-2"/>
          <w:sz w:val="24"/>
          <w:szCs w:val="24"/>
        </w:rPr>
        <w:t>立的亚非拉国家，在西方国家主导的国际政治经济体系下，继续为原帝国主义国家提供原材料和产业配套，这</w:t>
      </w:r>
      <w:r>
        <w:rPr>
          <w:rFonts w:hint="eastAsia" w:ascii="宋体" w:hAnsi="宋体" w:eastAsia="宋体" w:cs="宋体"/>
          <w:spacing w:val="3"/>
          <w:sz w:val="24"/>
          <w:szCs w:val="24"/>
        </w:rPr>
        <w:t>些国家尽管资源禀赋较好，但由于长期遭受殖民掠夺，产业结构单一、生产技术落后、市场狭窄，社会矛盾突出，经济发展有较强的脆弱性。在全球产业链和价值链的分工体系中，亚非拉国家的地位并</w:t>
      </w:r>
      <w:r>
        <w:rPr>
          <w:rFonts w:hint="eastAsia" w:ascii="宋体" w:hAnsi="宋体" w:eastAsia="宋体" w:cs="宋体"/>
          <w:spacing w:val="-6"/>
          <w:sz w:val="24"/>
          <w:szCs w:val="24"/>
        </w:rPr>
        <w:t>未得到根本性改变，它们通常处于较低端的位置，主</w:t>
      </w:r>
      <w:r>
        <w:rPr>
          <w:rFonts w:hint="eastAsia" w:ascii="宋体" w:hAnsi="宋体" w:eastAsia="宋体" w:cs="宋体"/>
          <w:spacing w:val="3"/>
          <w:sz w:val="24"/>
          <w:szCs w:val="24"/>
        </w:rPr>
        <w:t>要承担低附加值的生产和加工环节，而高附加值的设计、品牌和技术研发等环节则由西方发达国家掌控。这限制了后发国家通过技术创新和产业升级提升自身竞争力的能力，对发达国家的技术、资金和市场的依赖没有得到根本缓解，这种依附关系成为</w:t>
      </w:r>
      <w:r>
        <w:rPr>
          <w:rFonts w:hint="eastAsia" w:ascii="宋体" w:hAnsi="宋体" w:eastAsia="宋体" w:cs="宋体"/>
          <w:spacing w:val="-3"/>
          <w:sz w:val="24"/>
          <w:szCs w:val="24"/>
        </w:rPr>
        <w:t>制约其实现独立自主现代化的重要因素之一。</w:t>
      </w:r>
    </w:p>
    <w:p w14:paraId="5A97FEC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pacing w:val="-3"/>
          <w:sz w:val="24"/>
          <w:szCs w:val="24"/>
        </w:rPr>
      </w:pPr>
      <w:r>
        <w:rPr>
          <w:rFonts w:hint="eastAsia" w:ascii="宋体" w:hAnsi="宋体" w:eastAsia="宋体" w:cs="宋体"/>
          <w:spacing w:val="3"/>
          <w:sz w:val="24"/>
          <w:szCs w:val="24"/>
        </w:rPr>
        <w:t>后发国家要真正走向现代化进程，必然要求从外生型积累转向内生型积累。一方面，后发国家在走向现代化的过程中具有以下几个方面的优势</w:t>
      </w:r>
      <w:r>
        <w:rPr>
          <w:rFonts w:hint="eastAsia" w:ascii="宋体" w:hAnsi="宋体" w:eastAsia="宋体" w:cs="宋体"/>
          <w:spacing w:val="2"/>
          <w:sz w:val="24"/>
          <w:szCs w:val="24"/>
        </w:rPr>
        <w:t>：第</w:t>
      </w:r>
      <w:r>
        <w:rPr>
          <w:rFonts w:hint="eastAsia" w:ascii="宋体" w:hAnsi="宋体" w:eastAsia="宋体" w:cs="宋体"/>
          <w:spacing w:val="-3"/>
          <w:sz w:val="24"/>
          <w:szCs w:val="24"/>
        </w:rPr>
        <w:t>一，后发国家可以借鉴和引进先发国家成熟的技术、</w:t>
      </w:r>
      <w:r>
        <w:rPr>
          <w:rFonts w:hint="eastAsia" w:ascii="宋体" w:hAnsi="宋体" w:eastAsia="宋体" w:cs="宋体"/>
          <w:spacing w:val="3"/>
          <w:sz w:val="24"/>
          <w:szCs w:val="24"/>
        </w:rPr>
        <w:t>知识和商业模式，这可以节约大量的研发成本和试</w:t>
      </w:r>
      <w:r>
        <w:rPr>
          <w:rFonts w:hint="eastAsia" w:ascii="宋体" w:hAnsi="宋体" w:eastAsia="宋体" w:cs="宋体"/>
          <w:spacing w:val="-6"/>
          <w:sz w:val="24"/>
          <w:szCs w:val="24"/>
        </w:rPr>
        <w:t>错成本，加速国家的工业化和现代化进程；第二，后</w:t>
      </w:r>
      <w:r>
        <w:rPr>
          <w:rFonts w:hint="eastAsia" w:ascii="宋体" w:hAnsi="宋体" w:eastAsia="宋体" w:cs="宋体"/>
          <w:spacing w:val="13"/>
          <w:sz w:val="24"/>
          <w:szCs w:val="24"/>
        </w:rPr>
        <w:t>发国家在政策制定和制度设计上具有更大的灵活</w:t>
      </w:r>
      <w:r>
        <w:rPr>
          <w:rFonts w:hint="eastAsia" w:ascii="宋体" w:hAnsi="宋体" w:eastAsia="宋体" w:cs="宋体"/>
          <w:spacing w:val="3"/>
          <w:sz w:val="24"/>
          <w:szCs w:val="24"/>
        </w:rPr>
        <w:t>性，可以根据国情和国际环境的变化及时进行相应的调整和改革，以适应现代化的需要；第三，对于后发国家来说，人口规模和市场潜力有助于形成规</w:t>
      </w:r>
      <w:r>
        <w:rPr>
          <w:rFonts w:hint="eastAsia" w:ascii="宋体" w:hAnsi="宋体" w:eastAsia="宋体" w:cs="宋体"/>
          <w:spacing w:val="-3"/>
          <w:sz w:val="24"/>
          <w:szCs w:val="24"/>
        </w:rPr>
        <w:t>模经济和范围经济，进而促进产业升级和技术创新。</w:t>
      </w:r>
    </w:p>
    <w:p w14:paraId="0704865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pacing w:val="-4"/>
          <w:sz w:val="24"/>
          <w:szCs w:val="24"/>
        </w:rPr>
      </w:pPr>
      <w:r>
        <w:rPr>
          <w:rFonts w:hint="eastAsia" w:ascii="宋体" w:hAnsi="宋体" w:eastAsia="宋体" w:cs="宋体"/>
          <w:spacing w:val="3"/>
          <w:sz w:val="24"/>
          <w:szCs w:val="24"/>
        </w:rPr>
        <w:t>另一方面，后发国家在推进现代化进程中也面临着诸多难点，其主要表现为：第一，许多后发国家尚未建立或尚未完善现代国家的基本制度，缺乏有效的制度保障，这导致其推进现代化的进程中必须同时应对社会治理等多方面的挑战；第二，后发</w:t>
      </w:r>
      <w:r>
        <w:rPr>
          <w:rFonts w:hint="eastAsia" w:ascii="宋体" w:hAnsi="宋体" w:eastAsia="宋体" w:cs="宋体"/>
          <w:spacing w:val="12"/>
          <w:sz w:val="24"/>
          <w:szCs w:val="24"/>
        </w:rPr>
        <w:t>国家通常面临经济基础薄弱、发展方式落后等问</w:t>
      </w:r>
      <w:r>
        <w:rPr>
          <w:rFonts w:hint="eastAsia" w:ascii="宋体" w:hAnsi="宋体" w:eastAsia="宋体" w:cs="宋体"/>
          <w:spacing w:val="3"/>
          <w:sz w:val="24"/>
          <w:szCs w:val="24"/>
        </w:rPr>
        <w:t>题，这种状况导致现代化进程的推进面临着巨大的阻力，人们对生活水平改善的期待与实际发展速度之间的矛盾可能会影响社会的稳定；第三，在全球化背景下，不合理的国际政治经济秩序阻碍了后发</w:t>
      </w:r>
      <w:r>
        <w:rPr>
          <w:rFonts w:hint="eastAsia" w:ascii="宋体" w:hAnsi="宋体" w:eastAsia="宋体" w:cs="宋体"/>
          <w:spacing w:val="-4"/>
          <w:sz w:val="24"/>
          <w:szCs w:val="24"/>
        </w:rPr>
        <w:t>国家的现代化进程。</w:t>
      </w:r>
    </w:p>
    <w:p w14:paraId="268F853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14"/>
          <w:sz w:val="24"/>
          <w:szCs w:val="24"/>
        </w:rPr>
        <w:t>当前，只有构建一个合理的国际政治经济秩</w:t>
      </w:r>
      <w:r>
        <w:rPr>
          <w:rFonts w:hint="eastAsia" w:ascii="宋体" w:hAnsi="宋体" w:eastAsia="宋体" w:cs="宋体"/>
          <w:spacing w:val="3"/>
          <w:sz w:val="24"/>
          <w:szCs w:val="24"/>
        </w:rPr>
        <w:t>序，在和平稳定的前提下，后发国家才能够有效依托本国资源禀赋，坚持独立自主，通过国家主动调</w:t>
      </w:r>
      <w:r>
        <w:rPr>
          <w:rFonts w:hint="eastAsia" w:ascii="宋体" w:hAnsi="宋体" w:eastAsia="宋体" w:cs="宋体"/>
          <w:spacing w:val="13"/>
          <w:sz w:val="24"/>
          <w:szCs w:val="24"/>
        </w:rPr>
        <w:t>控市场经济的方法和手段获取先进生产资料和技</w:t>
      </w:r>
      <w:r>
        <w:rPr>
          <w:rFonts w:hint="eastAsia" w:ascii="宋体" w:hAnsi="宋体" w:eastAsia="宋体" w:cs="宋体"/>
          <w:spacing w:val="2"/>
          <w:sz w:val="24"/>
          <w:szCs w:val="24"/>
        </w:rPr>
        <w:t>术，不断构建和完善产业体系，逐步摆脱对发达国</w:t>
      </w:r>
      <w:r>
        <w:rPr>
          <w:rFonts w:hint="eastAsia" w:ascii="宋体" w:hAnsi="宋体" w:eastAsia="宋体" w:cs="宋体"/>
          <w:spacing w:val="3"/>
          <w:sz w:val="24"/>
          <w:szCs w:val="24"/>
        </w:rPr>
        <w:t>家的依附，进而实现现代化。正如世界体系</w:t>
      </w:r>
      <w:r>
        <w:rPr>
          <w:rFonts w:hint="eastAsia" w:ascii="宋体" w:hAnsi="宋体" w:eastAsia="宋体" w:cs="宋体"/>
          <w:spacing w:val="2"/>
          <w:sz w:val="24"/>
          <w:szCs w:val="24"/>
        </w:rPr>
        <w:t>理论创</w:t>
      </w:r>
      <w:r>
        <w:rPr>
          <w:rFonts w:hint="eastAsia" w:ascii="宋体" w:hAnsi="宋体" w:eastAsia="宋体" w:cs="宋体"/>
          <w:spacing w:val="5"/>
          <w:sz w:val="24"/>
          <w:szCs w:val="24"/>
        </w:rPr>
        <w:t>始人沃勒斯坦（</w:t>
      </w:r>
      <w:r>
        <w:rPr>
          <w:rFonts w:hint="eastAsia" w:ascii="宋体" w:hAnsi="宋体" w:eastAsia="宋体" w:cs="宋体"/>
          <w:sz w:val="24"/>
          <w:szCs w:val="24"/>
        </w:rPr>
        <w:t>Immanuel</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Wallerstein</w:t>
      </w:r>
      <w:r>
        <w:rPr>
          <w:rFonts w:hint="eastAsia" w:ascii="宋体" w:hAnsi="宋体" w:eastAsia="宋体" w:cs="宋体"/>
          <w:spacing w:val="5"/>
          <w:sz w:val="24"/>
          <w:szCs w:val="24"/>
        </w:rPr>
        <w:t>）对现行国际</w:t>
      </w:r>
      <w:r>
        <w:rPr>
          <w:rFonts w:hint="eastAsia" w:ascii="宋体" w:hAnsi="宋体" w:eastAsia="宋体" w:cs="宋体"/>
          <w:spacing w:val="1"/>
          <w:sz w:val="24"/>
          <w:szCs w:val="24"/>
        </w:rPr>
        <w:t>秩序意味深长的评论，“国际秩序是强者送给弱者</w:t>
      </w:r>
      <w:r>
        <w:rPr>
          <w:rFonts w:hint="eastAsia" w:ascii="宋体" w:hAnsi="宋体" w:eastAsia="宋体" w:cs="宋体"/>
          <w:spacing w:val="2"/>
          <w:sz w:val="24"/>
          <w:szCs w:val="24"/>
        </w:rPr>
        <w:t>的一种礼物，它以双重的约束出现在后者的</w:t>
      </w:r>
      <w:r>
        <w:rPr>
          <w:rFonts w:hint="eastAsia" w:ascii="宋体" w:hAnsi="宋体" w:eastAsia="宋体" w:cs="宋体"/>
          <w:spacing w:val="1"/>
          <w:sz w:val="24"/>
          <w:szCs w:val="24"/>
        </w:rPr>
        <w:t>面前：</w:t>
      </w:r>
      <w:r>
        <w:rPr>
          <w:rFonts w:hint="eastAsia" w:ascii="宋体" w:hAnsi="宋体" w:eastAsia="宋体" w:cs="宋体"/>
          <w:spacing w:val="2"/>
          <w:sz w:val="24"/>
          <w:szCs w:val="24"/>
        </w:rPr>
        <w:t>拒绝这种礼物是失败；接受这种礼物也是失败。弱</w:t>
      </w:r>
      <w:r>
        <w:rPr>
          <w:rFonts w:hint="eastAsia" w:ascii="宋体" w:hAnsi="宋体" w:eastAsia="宋体" w:cs="宋体"/>
          <w:spacing w:val="3"/>
          <w:sz w:val="24"/>
          <w:szCs w:val="24"/>
        </w:rPr>
        <w:t>者唯一可行的反应，是既不拒绝也不接受，或既是拒绝也是接受”。变革国际旧秩序，塑造国际新秩序，一直是广大发展中国家的殷切期盼。中国主张和各国一道，共商共建共享的全球治理观，携手推进全球治理体系改革和建设，推动国际秩序朝着更</w:t>
      </w:r>
      <w:r>
        <w:rPr>
          <w:rFonts w:hint="eastAsia" w:ascii="宋体" w:hAnsi="宋体" w:eastAsia="宋体" w:cs="宋体"/>
          <w:spacing w:val="-3"/>
          <w:sz w:val="24"/>
          <w:szCs w:val="24"/>
        </w:rPr>
        <w:t>加公正合理的方向发展，促进权利公平、机会公平、</w:t>
      </w:r>
      <w:r>
        <w:rPr>
          <w:rFonts w:hint="eastAsia" w:ascii="宋体" w:hAnsi="宋体" w:eastAsia="宋体" w:cs="宋体"/>
          <w:spacing w:val="-6"/>
          <w:sz w:val="24"/>
          <w:szCs w:val="24"/>
        </w:rPr>
        <w:t>规则公平，推进人类社会现代化。在这一过程中，中</w:t>
      </w:r>
      <w:r>
        <w:rPr>
          <w:rFonts w:hint="eastAsia" w:ascii="宋体" w:hAnsi="宋体" w:eastAsia="宋体" w:cs="宋体"/>
          <w:spacing w:val="3"/>
          <w:sz w:val="24"/>
          <w:szCs w:val="24"/>
        </w:rPr>
        <w:t>国式现代化为后发国家提供了“坚持走符合自身国</w:t>
      </w:r>
      <w:r>
        <w:rPr>
          <w:rFonts w:hint="eastAsia" w:ascii="宋体" w:hAnsi="宋体" w:eastAsia="宋体" w:cs="宋体"/>
          <w:spacing w:val="-2"/>
          <w:sz w:val="24"/>
          <w:szCs w:val="24"/>
        </w:rPr>
        <w:t>情的现代化发展之路”的新型样板和经验借鉴。</w:t>
      </w:r>
    </w:p>
    <w:p w14:paraId="3CC30E1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eastAsia" w:ascii="宋体" w:hAnsi="宋体" w:eastAsia="宋体" w:cs="宋体"/>
          <w:sz w:val="24"/>
          <w:szCs w:val="24"/>
        </w:rPr>
      </w:pPr>
    </w:p>
    <w:p w14:paraId="7D130219">
      <w:pPr>
        <w:pStyle w:val="4"/>
        <w:bidi w:val="0"/>
        <w:rPr>
          <w:rFonts w:hint="eastAsia"/>
        </w:rPr>
      </w:pPr>
      <w:r>
        <w:rPr>
          <w:rFonts w:hint="eastAsia"/>
        </w:rPr>
        <w:t>中国式现代化取得举世瞩目的伟大成就</w:t>
      </w:r>
    </w:p>
    <w:p w14:paraId="0E6B2E5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西方现代化进程伴随着对内的残酷剥削以及对</w:t>
      </w:r>
      <w:r>
        <w:rPr>
          <w:rFonts w:hint="eastAsia" w:ascii="宋体" w:hAnsi="宋体" w:eastAsia="宋体" w:cs="宋体"/>
          <w:spacing w:val="2"/>
          <w:sz w:val="24"/>
          <w:szCs w:val="24"/>
        </w:rPr>
        <w:t>外的野蛮侵略、掠夺和殖民，充满了血腥和罪恶。</w:t>
      </w:r>
      <w:r>
        <w:rPr>
          <w:rFonts w:hint="eastAsia" w:ascii="宋体" w:hAnsi="宋体" w:eastAsia="宋体" w:cs="宋体"/>
          <w:spacing w:val="-3"/>
          <w:sz w:val="24"/>
          <w:szCs w:val="24"/>
        </w:rPr>
        <w:t>与之形成鲜明对比，“我国不走一些国家通过战争、</w:t>
      </w:r>
      <w:r>
        <w:rPr>
          <w:rFonts w:hint="eastAsia" w:ascii="宋体" w:hAnsi="宋体" w:eastAsia="宋体" w:cs="宋体"/>
          <w:spacing w:val="2"/>
          <w:sz w:val="24"/>
          <w:szCs w:val="24"/>
        </w:rPr>
        <w:t>殖民、掠夺等方式实现现代化的老路，那种损人利</w:t>
      </w:r>
      <w:r>
        <w:rPr>
          <w:rFonts w:hint="eastAsia" w:ascii="宋体" w:hAnsi="宋体" w:eastAsia="宋体" w:cs="宋体"/>
          <w:spacing w:val="3"/>
          <w:sz w:val="24"/>
          <w:szCs w:val="24"/>
        </w:rPr>
        <w:t>己、充满血腥罪恶的老路给广大发展中国家人民带来深重苦难。”中国人民历来珍视和平，从未主动</w:t>
      </w:r>
      <w:r>
        <w:rPr>
          <w:rFonts w:hint="eastAsia" w:ascii="宋体" w:hAnsi="宋体" w:eastAsia="宋体" w:cs="宋体"/>
          <w:spacing w:val="2"/>
          <w:sz w:val="24"/>
          <w:szCs w:val="24"/>
        </w:rPr>
        <w:t>挑起过冲突，从未侵占过其他国家一寸土地。中国</w:t>
      </w:r>
      <w:r>
        <w:rPr>
          <w:rFonts w:hint="eastAsia" w:ascii="宋体" w:hAnsi="宋体" w:eastAsia="宋体" w:cs="宋体"/>
          <w:spacing w:val="3"/>
          <w:sz w:val="24"/>
          <w:szCs w:val="24"/>
        </w:rPr>
        <w:t>始终坚持走和平发展道路，通过十几亿人民的辛勤</w:t>
      </w:r>
      <w:r>
        <w:rPr>
          <w:rFonts w:hint="eastAsia" w:ascii="宋体" w:hAnsi="宋体" w:eastAsia="宋体" w:cs="宋体"/>
          <w:spacing w:val="-11"/>
          <w:sz w:val="24"/>
          <w:szCs w:val="24"/>
        </w:rPr>
        <w:t>努力，推动经济发展、改善人民生活、实现国家富强。</w:t>
      </w:r>
    </w:p>
    <w:p w14:paraId="79E84E0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2"/>
          <w:sz w:val="24"/>
          <w:szCs w:val="24"/>
        </w:rPr>
        <w:t>中国式现代化改变了西方现代化模式中固有的</w:t>
      </w:r>
      <w:r>
        <w:rPr>
          <w:rFonts w:hint="eastAsia" w:ascii="宋体" w:hAnsi="宋体" w:eastAsia="宋体" w:cs="宋体"/>
          <w:spacing w:val="-3"/>
          <w:sz w:val="24"/>
          <w:szCs w:val="24"/>
        </w:rPr>
        <w:t>扩张和掠夺形式，为人类文明进步开辟了新的道路。</w:t>
      </w:r>
      <w:r>
        <w:rPr>
          <w:rFonts w:hint="eastAsia" w:ascii="宋体" w:hAnsi="宋体" w:eastAsia="宋体" w:cs="宋体"/>
          <w:spacing w:val="3"/>
          <w:sz w:val="24"/>
          <w:szCs w:val="24"/>
        </w:rPr>
        <w:t>同时，中国式现代化是从外生型现代化到内生型现</w:t>
      </w:r>
      <w:r>
        <w:rPr>
          <w:rFonts w:hint="eastAsia" w:ascii="宋体" w:hAnsi="宋体" w:eastAsia="宋体" w:cs="宋体"/>
          <w:spacing w:val="9"/>
          <w:sz w:val="24"/>
          <w:szCs w:val="24"/>
        </w:rPr>
        <w:t>代化转型的成功案例。1840年鸦片战争以后，中</w:t>
      </w:r>
      <w:r>
        <w:rPr>
          <w:rFonts w:hint="eastAsia" w:ascii="宋体" w:hAnsi="宋体" w:eastAsia="宋体" w:cs="宋体"/>
          <w:spacing w:val="3"/>
          <w:sz w:val="24"/>
          <w:szCs w:val="24"/>
        </w:rPr>
        <w:t>国被动地卷入世界资本主义体系，逐步沦为半殖民地半封建社会，演变成为帝国主义掠夺原料、倾销</w:t>
      </w:r>
      <w:r>
        <w:rPr>
          <w:rFonts w:hint="eastAsia" w:ascii="宋体" w:hAnsi="宋体" w:eastAsia="宋体" w:cs="宋体"/>
          <w:spacing w:val="2"/>
          <w:sz w:val="24"/>
          <w:szCs w:val="24"/>
        </w:rPr>
        <w:t>商品、输出资本的场所。这些历史事实充分表明中国在近代，饱受帝国主义蹂躏，与全球其他后发国家一样，深受苦难。新中国的成立，为我国独立自</w:t>
      </w:r>
      <w:r>
        <w:rPr>
          <w:rFonts w:hint="eastAsia" w:ascii="宋体" w:hAnsi="宋体" w:eastAsia="宋体" w:cs="宋体"/>
          <w:spacing w:val="3"/>
          <w:sz w:val="24"/>
          <w:szCs w:val="24"/>
        </w:rPr>
        <w:t>主走向现代化进程奠定了坚实的政治基础和制度保</w:t>
      </w:r>
      <w:r>
        <w:rPr>
          <w:rFonts w:hint="eastAsia" w:ascii="宋体" w:hAnsi="宋体" w:eastAsia="宋体" w:cs="宋体"/>
          <w:spacing w:val="-8"/>
          <w:sz w:val="24"/>
          <w:szCs w:val="24"/>
        </w:rPr>
        <w:t>障。随后，在苏联帮助下我国初步实现了工业化</w:t>
      </w:r>
      <w:r>
        <w:rPr>
          <w:rFonts w:hint="eastAsia" w:ascii="宋体" w:hAnsi="宋体" w:eastAsia="宋体" w:cs="宋体"/>
          <w:spacing w:val="-9"/>
          <w:sz w:val="24"/>
          <w:szCs w:val="24"/>
        </w:rPr>
        <w:t>，为</w:t>
      </w:r>
      <w:r>
        <w:rPr>
          <w:rFonts w:hint="eastAsia" w:ascii="宋体" w:hAnsi="宋体" w:eastAsia="宋体" w:cs="宋体"/>
          <w:spacing w:val="-2"/>
          <w:sz w:val="24"/>
          <w:szCs w:val="24"/>
        </w:rPr>
        <w:t>开辟中国式现代化道路奠定了扎实的经济基础。</w:t>
      </w:r>
    </w:p>
    <w:p w14:paraId="18CD146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7"/>
          <w:sz w:val="24"/>
          <w:szCs w:val="24"/>
        </w:rPr>
        <w:t>改革开放以来，我国依托国内超大规模市场，在</w:t>
      </w:r>
      <w:r>
        <w:rPr>
          <w:rFonts w:hint="eastAsia" w:ascii="宋体" w:hAnsi="宋体" w:eastAsia="宋体" w:cs="宋体"/>
          <w:spacing w:val="13"/>
          <w:sz w:val="24"/>
          <w:szCs w:val="24"/>
        </w:rPr>
        <w:t>中国共产党的坚强领导下探索出符合中国国情、</w:t>
      </w:r>
      <w:r>
        <w:rPr>
          <w:rFonts w:hint="eastAsia" w:ascii="宋体" w:hAnsi="宋体" w:eastAsia="宋体" w:cs="宋体"/>
          <w:spacing w:val="3"/>
          <w:sz w:val="24"/>
          <w:szCs w:val="24"/>
        </w:rPr>
        <w:t>充满生机活力的社会主义市场经济制度，极大地解放和发展了社会生产力，创造出经济快速发展的奇迹，经济总量和人均收入水平大幅跃升，各项事业得到飞跃性发展，中国式现代化取得举世瞩目的伟</w:t>
      </w:r>
      <w:r>
        <w:rPr>
          <w:rFonts w:hint="eastAsia" w:ascii="宋体" w:hAnsi="宋体" w:eastAsia="宋体" w:cs="宋体"/>
          <w:spacing w:val="-7"/>
          <w:sz w:val="24"/>
          <w:szCs w:val="24"/>
        </w:rPr>
        <w:t>大成就。</w:t>
      </w:r>
    </w:p>
    <w:p w14:paraId="4C50B42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4"/>
          <w:sz w:val="24"/>
          <w:szCs w:val="24"/>
        </w:rPr>
        <w:t>在GDP总量方面，1986年突破1万亿元，2000</w:t>
      </w:r>
      <w:r>
        <w:rPr>
          <w:rFonts w:hint="eastAsia" w:ascii="宋体" w:hAnsi="宋体" w:eastAsia="宋体" w:cs="宋体"/>
          <w:spacing w:val="-9"/>
          <w:sz w:val="24"/>
          <w:szCs w:val="24"/>
        </w:rPr>
        <w:t>年突破10万亿元，2020年突破100万亿元大关，2023</w:t>
      </w:r>
      <w:r>
        <w:rPr>
          <w:rFonts w:hint="eastAsia" w:ascii="宋体" w:hAnsi="宋体" w:eastAsia="宋体" w:cs="宋体"/>
          <w:spacing w:val="11"/>
          <w:sz w:val="24"/>
          <w:szCs w:val="24"/>
        </w:rPr>
        <w:t>年超过126万亿元，稳居世界第二大经济</w:t>
      </w:r>
      <w:r>
        <w:rPr>
          <w:rFonts w:hint="eastAsia" w:ascii="宋体" w:hAnsi="宋体" w:eastAsia="宋体" w:cs="宋体"/>
          <w:spacing w:val="10"/>
          <w:sz w:val="24"/>
          <w:szCs w:val="24"/>
        </w:rPr>
        <w:t>体。按</w:t>
      </w:r>
      <w:r>
        <w:rPr>
          <w:rFonts w:hint="eastAsia" w:ascii="宋体" w:hAnsi="宋体" w:eastAsia="宋体" w:cs="宋体"/>
          <w:spacing w:val="5"/>
          <w:sz w:val="24"/>
          <w:szCs w:val="24"/>
        </w:rPr>
        <w:t>不变价格计算，1979—2023年我</w:t>
      </w:r>
      <w:r>
        <w:rPr>
          <w:rFonts w:hint="eastAsia" w:ascii="宋体" w:hAnsi="宋体" w:eastAsia="宋体" w:cs="宋体"/>
          <w:spacing w:val="4"/>
          <w:sz w:val="24"/>
          <w:szCs w:val="24"/>
        </w:rPr>
        <w:t>国</w:t>
      </w:r>
      <w:r>
        <w:rPr>
          <w:rFonts w:hint="eastAsia" w:ascii="宋体" w:hAnsi="宋体" w:eastAsia="宋体" w:cs="宋体"/>
          <w:sz w:val="24"/>
          <w:szCs w:val="24"/>
        </w:rPr>
        <w:t>GDP</w:t>
      </w:r>
      <w:r>
        <w:rPr>
          <w:rFonts w:hint="eastAsia" w:ascii="宋体" w:hAnsi="宋体" w:eastAsia="宋体" w:cs="宋体"/>
          <w:spacing w:val="4"/>
          <w:sz w:val="24"/>
          <w:szCs w:val="24"/>
        </w:rPr>
        <w:t>年均增长8.9%，远高于同期世界经济3.0%的增速水平；在</w:t>
      </w:r>
      <w:r>
        <w:rPr>
          <w:rFonts w:hint="eastAsia" w:ascii="宋体" w:hAnsi="宋体" w:eastAsia="宋体" w:cs="宋体"/>
          <w:spacing w:val="3"/>
          <w:sz w:val="24"/>
          <w:szCs w:val="24"/>
        </w:rPr>
        <w:t>人均</w:t>
      </w:r>
      <w:r>
        <w:rPr>
          <w:rFonts w:hint="eastAsia" w:ascii="宋体" w:hAnsi="宋体" w:eastAsia="宋体" w:cs="宋体"/>
          <w:sz w:val="24"/>
          <w:szCs w:val="24"/>
        </w:rPr>
        <w:t>GDP</w:t>
      </w:r>
      <w:r>
        <w:rPr>
          <w:rFonts w:hint="eastAsia" w:ascii="宋体" w:hAnsi="宋体" w:eastAsia="宋体" w:cs="宋体"/>
          <w:spacing w:val="3"/>
          <w:sz w:val="24"/>
          <w:szCs w:val="24"/>
        </w:rPr>
        <w:t>方面，2019年达到70078元，按年平均</w:t>
      </w:r>
      <w:r>
        <w:rPr>
          <w:rFonts w:hint="eastAsia" w:ascii="宋体" w:hAnsi="宋体" w:eastAsia="宋体" w:cs="宋体"/>
          <w:spacing w:val="1"/>
          <w:sz w:val="24"/>
          <w:szCs w:val="24"/>
        </w:rPr>
        <w:t>汇率折算为10158美元，首次突破1万</w:t>
      </w:r>
      <w:r>
        <w:rPr>
          <w:rFonts w:hint="eastAsia" w:ascii="宋体" w:hAnsi="宋体" w:eastAsia="宋体" w:cs="宋体"/>
          <w:sz w:val="24"/>
          <w:szCs w:val="24"/>
        </w:rPr>
        <w:t>美元，2023</w:t>
      </w:r>
      <w:r>
        <w:rPr>
          <w:rFonts w:hint="eastAsia" w:ascii="宋体" w:hAnsi="宋体" w:eastAsia="宋体" w:cs="宋体"/>
          <w:spacing w:val="-5"/>
          <w:sz w:val="24"/>
          <w:szCs w:val="24"/>
        </w:rPr>
        <w:t>年达89358元，按年平均汇率折算为12681</w:t>
      </w:r>
      <w:r>
        <w:rPr>
          <w:rFonts w:hint="eastAsia" w:ascii="宋体" w:hAnsi="宋体" w:eastAsia="宋体" w:cs="宋体"/>
          <w:spacing w:val="-6"/>
          <w:sz w:val="24"/>
          <w:szCs w:val="24"/>
        </w:rPr>
        <w:t>美元，连</w:t>
      </w:r>
      <w:r>
        <w:rPr>
          <w:rFonts w:hint="eastAsia" w:ascii="宋体" w:hAnsi="宋体" w:eastAsia="宋体" w:cs="宋体"/>
          <w:spacing w:val="12"/>
          <w:sz w:val="24"/>
          <w:szCs w:val="24"/>
        </w:rPr>
        <w:t>续3年超过1.2万美元。根据世界银行数据和划分标准，2023年我国人均国民总收入（</w:t>
      </w:r>
      <w:r>
        <w:rPr>
          <w:rFonts w:hint="eastAsia" w:ascii="宋体" w:hAnsi="宋体" w:eastAsia="宋体" w:cs="宋体"/>
          <w:sz w:val="24"/>
          <w:szCs w:val="24"/>
        </w:rPr>
        <w:t>GNI</w:t>
      </w:r>
      <w:r>
        <w:rPr>
          <w:rFonts w:hint="eastAsia" w:ascii="宋体" w:hAnsi="宋体" w:eastAsia="宋体" w:cs="宋体"/>
          <w:spacing w:val="12"/>
          <w:sz w:val="24"/>
          <w:szCs w:val="24"/>
        </w:rPr>
        <w:t>）达</w:t>
      </w:r>
      <w:r>
        <w:rPr>
          <w:rFonts w:hint="eastAsia" w:ascii="宋体" w:hAnsi="宋体" w:eastAsia="宋体" w:cs="宋体"/>
          <w:spacing w:val="-2"/>
          <w:sz w:val="24"/>
          <w:szCs w:val="24"/>
        </w:rPr>
        <w:t>13400美元，跃升为中等偏上收入国家。</w:t>
      </w:r>
    </w:p>
    <w:p w14:paraId="273C382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13"/>
          <w:sz w:val="24"/>
          <w:szCs w:val="24"/>
        </w:rPr>
        <w:t>同时，中国式现代化的伟大创举带动了全球</w:t>
      </w:r>
      <w:r>
        <w:rPr>
          <w:rFonts w:hint="eastAsia" w:ascii="宋体" w:hAnsi="宋体" w:eastAsia="宋体" w:cs="宋体"/>
          <w:spacing w:val="5"/>
          <w:sz w:val="24"/>
          <w:szCs w:val="24"/>
        </w:rPr>
        <w:t>经济发展，中国</w:t>
      </w:r>
      <w:r>
        <w:rPr>
          <w:rFonts w:hint="eastAsia" w:ascii="宋体" w:hAnsi="宋体" w:eastAsia="宋体" w:cs="宋体"/>
          <w:sz w:val="24"/>
          <w:szCs w:val="24"/>
        </w:rPr>
        <w:t>GDP</w:t>
      </w:r>
      <w:r>
        <w:rPr>
          <w:rFonts w:hint="eastAsia" w:ascii="宋体" w:hAnsi="宋体" w:eastAsia="宋体" w:cs="宋体"/>
          <w:spacing w:val="5"/>
          <w:sz w:val="24"/>
          <w:szCs w:val="24"/>
        </w:rPr>
        <w:t>占全球比重不断上升，2023</w:t>
      </w:r>
      <w:r>
        <w:rPr>
          <w:rFonts w:hint="eastAsia" w:ascii="宋体" w:hAnsi="宋体" w:eastAsia="宋体" w:cs="宋体"/>
          <w:spacing w:val="18"/>
          <w:sz w:val="24"/>
          <w:szCs w:val="24"/>
        </w:rPr>
        <w:t>年我国经济总量占世界的比重升至17%左右。</w:t>
      </w:r>
      <w:r>
        <w:rPr>
          <w:rFonts w:hint="eastAsia" w:ascii="宋体" w:hAnsi="宋体" w:eastAsia="宋体" w:cs="宋体"/>
          <w:spacing w:val="1"/>
          <w:sz w:val="24"/>
          <w:szCs w:val="24"/>
        </w:rPr>
        <w:t>2013—2021年中国对世界经济增长的平均贡献率达</w:t>
      </w:r>
      <w:r>
        <w:rPr>
          <w:rFonts w:hint="eastAsia" w:ascii="宋体" w:hAnsi="宋体" w:eastAsia="宋体" w:cs="宋体"/>
          <w:spacing w:val="2"/>
          <w:sz w:val="24"/>
          <w:szCs w:val="24"/>
        </w:rPr>
        <w:t>到38.6%，超过七国集团国家贡献率的总和。2023</w:t>
      </w:r>
      <w:r>
        <w:rPr>
          <w:rFonts w:hint="eastAsia" w:ascii="宋体" w:hAnsi="宋体" w:eastAsia="宋体" w:cs="宋体"/>
          <w:spacing w:val="6"/>
          <w:sz w:val="24"/>
          <w:szCs w:val="24"/>
        </w:rPr>
        <w:t>年中国经济增量相比2022年超过6万亿元，相当</w:t>
      </w:r>
      <w:r>
        <w:rPr>
          <w:rFonts w:hint="eastAsia" w:ascii="宋体" w:hAnsi="宋体" w:eastAsia="宋体" w:cs="宋体"/>
          <w:spacing w:val="13"/>
          <w:sz w:val="24"/>
          <w:szCs w:val="24"/>
        </w:rPr>
        <w:t>于一个中等国家一年的经济总量。根据国际金融</w:t>
      </w:r>
      <w:r>
        <w:rPr>
          <w:rFonts w:hint="eastAsia" w:ascii="宋体" w:hAnsi="宋体" w:eastAsia="宋体" w:cs="宋体"/>
          <w:spacing w:val="16"/>
          <w:sz w:val="24"/>
          <w:szCs w:val="24"/>
        </w:rPr>
        <w:t>论坛（</w:t>
      </w:r>
      <w:r>
        <w:rPr>
          <w:rFonts w:hint="eastAsia" w:ascii="宋体" w:hAnsi="宋体" w:eastAsia="宋体" w:cs="宋体"/>
          <w:sz w:val="24"/>
          <w:szCs w:val="24"/>
        </w:rPr>
        <w:t>IFF</w:t>
      </w:r>
      <w:r>
        <w:rPr>
          <w:rFonts w:hint="eastAsia" w:ascii="宋体" w:hAnsi="宋体" w:eastAsia="宋体" w:cs="宋体"/>
          <w:spacing w:val="16"/>
          <w:sz w:val="24"/>
          <w:szCs w:val="24"/>
        </w:rPr>
        <w:t>）发布的《2023年全球金融与发展报</w:t>
      </w:r>
      <w:r>
        <w:rPr>
          <w:rFonts w:hint="eastAsia" w:ascii="宋体" w:hAnsi="宋体" w:eastAsia="宋体" w:cs="宋体"/>
          <w:spacing w:val="1"/>
          <w:sz w:val="24"/>
          <w:szCs w:val="24"/>
        </w:rPr>
        <w:t>告》，2023年，中国经济对全球经济增长的</w:t>
      </w:r>
      <w:r>
        <w:rPr>
          <w:rFonts w:hint="eastAsia" w:ascii="宋体" w:hAnsi="宋体" w:eastAsia="宋体" w:cs="宋体"/>
          <w:sz w:val="24"/>
          <w:szCs w:val="24"/>
        </w:rPr>
        <w:t>贡献率</w:t>
      </w:r>
      <w:r>
        <w:rPr>
          <w:rFonts w:hint="eastAsia" w:ascii="宋体" w:hAnsi="宋体" w:eastAsia="宋体" w:cs="宋体"/>
          <w:spacing w:val="2"/>
          <w:sz w:val="24"/>
          <w:szCs w:val="24"/>
        </w:rPr>
        <w:t>达到32%，当前，中国经济发展已然成为全球经济</w:t>
      </w:r>
      <w:r>
        <w:rPr>
          <w:rFonts w:hint="eastAsia" w:ascii="宋体" w:hAnsi="宋体" w:eastAsia="宋体" w:cs="宋体"/>
          <w:spacing w:val="-2"/>
          <w:sz w:val="24"/>
          <w:szCs w:val="24"/>
        </w:rPr>
        <w:t>复苏和发展的发动机、稳定器和压舱石。</w:t>
      </w:r>
    </w:p>
    <w:p w14:paraId="211EAD0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此外，我国工业生产能力稳居世界第一，全球</w:t>
      </w:r>
      <w:r>
        <w:rPr>
          <w:rFonts w:hint="eastAsia" w:ascii="宋体" w:hAnsi="宋体" w:eastAsia="宋体" w:cs="宋体"/>
          <w:spacing w:val="4"/>
          <w:sz w:val="24"/>
          <w:szCs w:val="24"/>
        </w:rPr>
        <w:t>500多种工业产品当中我国产量世界第一的达40%</w:t>
      </w:r>
      <w:r>
        <w:rPr>
          <w:rFonts w:hint="eastAsia" w:ascii="宋体" w:hAnsi="宋体" w:eastAsia="宋体" w:cs="宋体"/>
          <w:spacing w:val="3"/>
          <w:sz w:val="24"/>
          <w:szCs w:val="24"/>
        </w:rPr>
        <w:t>以上，基础设施建设和信息网络发展全球领先，能</w:t>
      </w:r>
      <w:r>
        <w:rPr>
          <w:rFonts w:hint="eastAsia" w:ascii="宋体" w:hAnsi="宋体" w:eastAsia="宋体" w:cs="宋体"/>
          <w:spacing w:val="13"/>
          <w:sz w:val="24"/>
          <w:szCs w:val="24"/>
        </w:rPr>
        <w:t>源供应和安全保障能力显著增强。在对外贸易领</w:t>
      </w:r>
      <w:r>
        <w:rPr>
          <w:rFonts w:hint="eastAsia" w:ascii="宋体" w:hAnsi="宋体" w:eastAsia="宋体" w:cs="宋体"/>
          <w:spacing w:val="3"/>
          <w:sz w:val="24"/>
          <w:szCs w:val="24"/>
        </w:rPr>
        <w:t>域，我国货物贸易规模稳居世界第一，双向投资规模名列前茅，对外经贸结构不断提升。在经济方面</w:t>
      </w:r>
      <w:r>
        <w:rPr>
          <w:rFonts w:hint="eastAsia" w:ascii="宋体" w:hAnsi="宋体" w:eastAsia="宋体" w:cs="宋体"/>
          <w:spacing w:val="-3"/>
          <w:sz w:val="24"/>
          <w:szCs w:val="24"/>
        </w:rPr>
        <w:t>取得伟大成就的同时，我国在发展教科文卫体事业、</w:t>
      </w:r>
      <w:r>
        <w:rPr>
          <w:rFonts w:hint="eastAsia" w:ascii="宋体" w:hAnsi="宋体" w:eastAsia="宋体" w:cs="宋体"/>
          <w:spacing w:val="3"/>
          <w:sz w:val="24"/>
          <w:szCs w:val="24"/>
        </w:rPr>
        <w:t>增进人民福祉和生活保障、生态文明建设等各方面也取得了显著成就，彰显中国式现代化道路的成效</w:t>
      </w:r>
      <w:r>
        <w:rPr>
          <w:rFonts w:hint="eastAsia" w:ascii="宋体" w:hAnsi="宋体" w:eastAsia="宋体" w:cs="宋体"/>
          <w:spacing w:val="-7"/>
          <w:sz w:val="24"/>
          <w:szCs w:val="24"/>
        </w:rPr>
        <w:t>和魅力。</w:t>
      </w:r>
    </w:p>
    <w:p w14:paraId="28A53DC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eastAsia" w:ascii="宋体" w:hAnsi="宋体" w:eastAsia="宋体" w:cs="宋体"/>
          <w:sz w:val="24"/>
          <w:szCs w:val="24"/>
        </w:rPr>
      </w:pPr>
    </w:p>
    <w:p w14:paraId="59BAE61F">
      <w:pPr>
        <w:pStyle w:val="4"/>
        <w:bidi w:val="0"/>
        <w:rPr>
          <w:rFonts w:hint="eastAsia"/>
        </w:rPr>
      </w:pPr>
      <w:r>
        <w:rPr>
          <w:rFonts w:hint="eastAsia"/>
        </w:rPr>
        <w:t>中国式现代化道路为全球发展贡献中国智慧和力量</w:t>
      </w:r>
    </w:p>
    <w:p w14:paraId="2F5FF9E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2"/>
          <w:sz w:val="24"/>
          <w:szCs w:val="24"/>
        </w:rPr>
        <w:t>中国日益走向世界舞台中央，秉承公平正义参</w:t>
      </w:r>
      <w:r>
        <w:rPr>
          <w:rFonts w:hint="eastAsia" w:ascii="宋体" w:hAnsi="宋体" w:eastAsia="宋体" w:cs="宋体"/>
          <w:spacing w:val="3"/>
          <w:sz w:val="24"/>
          <w:szCs w:val="24"/>
        </w:rPr>
        <w:t>与国际治理的理念，为后发国家平等参与经济全球化、走向现代化道路提供和平稳定的外部环境，贡献中国智慧和力量。世界上既不存在定于一尊的现</w:t>
      </w:r>
      <w:r>
        <w:rPr>
          <w:rFonts w:hint="eastAsia" w:ascii="宋体" w:hAnsi="宋体" w:eastAsia="宋体" w:cs="宋体"/>
          <w:spacing w:val="13"/>
          <w:sz w:val="24"/>
          <w:szCs w:val="24"/>
        </w:rPr>
        <w:t>代化模式，也不存在放之四海而皆准的现代化标</w:t>
      </w:r>
      <w:r>
        <w:rPr>
          <w:rFonts w:hint="eastAsia" w:ascii="宋体" w:hAnsi="宋体" w:eastAsia="宋体" w:cs="宋体"/>
          <w:spacing w:val="3"/>
          <w:sz w:val="24"/>
          <w:szCs w:val="24"/>
        </w:rPr>
        <w:t>准，每个国家都有独立自主探索符合本国国情的现</w:t>
      </w:r>
      <w:r>
        <w:rPr>
          <w:rFonts w:hint="eastAsia" w:ascii="宋体" w:hAnsi="宋体" w:eastAsia="宋体" w:cs="宋体"/>
          <w:spacing w:val="-2"/>
          <w:sz w:val="24"/>
          <w:szCs w:val="24"/>
        </w:rPr>
        <w:t>代化道路的权利。2024年9月5日，习近平主席在</w:t>
      </w:r>
      <w:r>
        <w:rPr>
          <w:rFonts w:hint="eastAsia" w:ascii="宋体" w:hAnsi="宋体" w:eastAsia="宋体" w:cs="宋体"/>
          <w:spacing w:val="1"/>
          <w:sz w:val="24"/>
          <w:szCs w:val="24"/>
        </w:rPr>
        <w:t>中非合作论坛中强调，“要携手推进多元包容的现</w:t>
      </w:r>
      <w:r>
        <w:rPr>
          <w:rFonts w:hint="eastAsia" w:ascii="宋体" w:hAnsi="宋体" w:eastAsia="宋体" w:cs="宋体"/>
          <w:spacing w:val="3"/>
          <w:sz w:val="24"/>
          <w:szCs w:val="24"/>
        </w:rPr>
        <w:t>代化”，中国式现代化既造福中国人民、又促进世界共同发展，有助于后发国家破除对“西方中心论”的迷信，为后发国家独立自主发展提供跳出“依附</w:t>
      </w:r>
      <w:r>
        <w:rPr>
          <w:rFonts w:hint="eastAsia" w:ascii="宋体" w:hAnsi="宋体" w:eastAsia="宋体" w:cs="宋体"/>
          <w:spacing w:val="-3"/>
          <w:sz w:val="24"/>
          <w:szCs w:val="24"/>
        </w:rPr>
        <w:t>式发展”陷阱的样本启示。</w:t>
      </w:r>
    </w:p>
    <w:p w14:paraId="6874AF3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党的十八大以来，习近平主席着眼于人类社会发展的现实现状，高瞻远瞩，携手与世界各</w:t>
      </w:r>
      <w:r>
        <w:rPr>
          <w:rFonts w:hint="eastAsia" w:ascii="宋体" w:hAnsi="宋体" w:eastAsia="宋体" w:cs="宋体"/>
          <w:spacing w:val="2"/>
          <w:sz w:val="24"/>
          <w:szCs w:val="24"/>
        </w:rPr>
        <w:t>国特别</w:t>
      </w:r>
      <w:r>
        <w:rPr>
          <w:rFonts w:hint="eastAsia" w:ascii="宋体" w:hAnsi="宋体" w:eastAsia="宋体" w:cs="宋体"/>
          <w:spacing w:val="3"/>
          <w:sz w:val="24"/>
          <w:szCs w:val="24"/>
        </w:rPr>
        <w:t>是各后发国家共同促进人类命运共同体建设，相继提出了人类命运共同体倡议、“一带一路”倡议、全球发展倡议、全球安全倡议、全球文明倡议和全</w:t>
      </w:r>
      <w:r>
        <w:rPr>
          <w:rFonts w:hint="eastAsia" w:ascii="宋体" w:hAnsi="宋体" w:eastAsia="宋体" w:cs="宋体"/>
          <w:spacing w:val="2"/>
          <w:sz w:val="24"/>
          <w:szCs w:val="24"/>
        </w:rPr>
        <w:t>球人工智能治理倡议。纵观过去十年人类命运共同</w:t>
      </w:r>
      <w:r>
        <w:rPr>
          <w:rFonts w:hint="eastAsia" w:ascii="宋体" w:hAnsi="宋体" w:eastAsia="宋体" w:cs="宋体"/>
          <w:spacing w:val="3"/>
          <w:sz w:val="24"/>
          <w:szCs w:val="24"/>
        </w:rPr>
        <w:t>体理念的实践以及各个倡议所取得的丰硕成果，以全人类共同命运为核心价值观念的人类命运共同体</w:t>
      </w:r>
      <w:r>
        <w:rPr>
          <w:rFonts w:hint="eastAsia" w:ascii="宋体" w:hAnsi="宋体" w:eastAsia="宋体" w:cs="宋体"/>
          <w:spacing w:val="-2"/>
          <w:sz w:val="24"/>
          <w:szCs w:val="24"/>
        </w:rPr>
        <w:t>理念，已经得到国际社会日益广泛的支持和认同。</w:t>
      </w:r>
    </w:p>
    <w:p w14:paraId="764B735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2"/>
          <w:sz w:val="24"/>
          <w:szCs w:val="24"/>
        </w:rPr>
        <w:t>中国式现代化的伟大创举，为“六大全球倡议”</w:t>
      </w:r>
      <w:r>
        <w:rPr>
          <w:rFonts w:hint="eastAsia" w:ascii="宋体" w:hAnsi="宋体" w:eastAsia="宋体" w:cs="宋体"/>
          <w:spacing w:val="3"/>
          <w:sz w:val="24"/>
          <w:szCs w:val="24"/>
        </w:rPr>
        <w:t>的落地落实，特别是推动后发国家平等参与国际治理、推进现代化建设，进一步消除全球合作、交流</w:t>
      </w:r>
      <w:r>
        <w:rPr>
          <w:rFonts w:hint="eastAsia" w:ascii="宋体" w:hAnsi="宋体" w:eastAsia="宋体" w:cs="宋体"/>
          <w:spacing w:val="13"/>
          <w:sz w:val="24"/>
          <w:szCs w:val="24"/>
        </w:rPr>
        <w:t>和治理的隔阂，提供了坚实的物质基础和安全保</w:t>
      </w:r>
      <w:r>
        <w:rPr>
          <w:rFonts w:hint="eastAsia" w:ascii="宋体" w:hAnsi="宋体" w:eastAsia="宋体" w:cs="宋体"/>
          <w:spacing w:val="3"/>
          <w:sz w:val="24"/>
          <w:szCs w:val="24"/>
        </w:rPr>
        <w:t>障。中国式现代化道路始终坚持人类命运共同</w:t>
      </w:r>
      <w:r>
        <w:rPr>
          <w:rFonts w:hint="eastAsia" w:ascii="宋体" w:hAnsi="宋体" w:eastAsia="宋体" w:cs="宋体"/>
          <w:spacing w:val="2"/>
          <w:sz w:val="24"/>
          <w:szCs w:val="24"/>
        </w:rPr>
        <w:t>体的</w:t>
      </w:r>
      <w:r>
        <w:rPr>
          <w:rFonts w:hint="eastAsia" w:ascii="宋体" w:hAnsi="宋体" w:eastAsia="宋体" w:cs="宋体"/>
          <w:spacing w:val="3"/>
          <w:sz w:val="24"/>
          <w:szCs w:val="24"/>
        </w:rPr>
        <w:t>发展理念，不仅是要实现自身的发展，还要带动其他所有爱好和平的国家和全世界人民共同实现现代</w:t>
      </w:r>
      <w:r>
        <w:rPr>
          <w:rFonts w:hint="eastAsia" w:ascii="宋体" w:hAnsi="宋体" w:eastAsia="宋体" w:cs="宋体"/>
          <w:spacing w:val="-3"/>
          <w:sz w:val="24"/>
          <w:szCs w:val="24"/>
        </w:rPr>
        <w:t>化，共同享受人类社会发展的成果。</w:t>
      </w:r>
    </w:p>
    <w:p w14:paraId="2253840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在激发南方国家经济发展活力、推动全球共同</w:t>
      </w:r>
      <w:r>
        <w:rPr>
          <w:rFonts w:hint="eastAsia" w:ascii="宋体" w:hAnsi="宋体" w:eastAsia="宋体" w:cs="宋体"/>
          <w:spacing w:val="1"/>
          <w:sz w:val="24"/>
          <w:szCs w:val="24"/>
        </w:rPr>
        <w:t>发展方面，2013—2022年，中国与“一带</w:t>
      </w:r>
      <w:r>
        <w:rPr>
          <w:rFonts w:hint="eastAsia" w:ascii="宋体" w:hAnsi="宋体" w:eastAsia="宋体" w:cs="宋体"/>
          <w:sz w:val="24"/>
          <w:szCs w:val="24"/>
        </w:rPr>
        <w:t>一路”国</w:t>
      </w:r>
      <w:r>
        <w:rPr>
          <w:rFonts w:hint="eastAsia" w:ascii="宋体" w:hAnsi="宋体" w:eastAsia="宋体" w:cs="宋体"/>
          <w:spacing w:val="-3"/>
          <w:sz w:val="24"/>
          <w:szCs w:val="24"/>
        </w:rPr>
        <w:t>家进出口总额累计19.1万亿美元，年均增长6.4%；</w:t>
      </w:r>
      <w:r>
        <w:rPr>
          <w:rFonts w:hint="eastAsia" w:ascii="宋体" w:hAnsi="宋体" w:eastAsia="宋体" w:cs="宋体"/>
          <w:spacing w:val="6"/>
          <w:sz w:val="24"/>
          <w:szCs w:val="24"/>
        </w:rPr>
        <w:t>与共建国家双向投资累计超过3800亿美元，其中</w:t>
      </w:r>
      <w:r>
        <w:rPr>
          <w:rFonts w:hint="eastAsia" w:ascii="宋体" w:hAnsi="宋体" w:eastAsia="宋体" w:cs="宋体"/>
          <w:spacing w:val="7"/>
          <w:sz w:val="24"/>
          <w:szCs w:val="24"/>
        </w:rPr>
        <w:t>中国对外直接投资超过2400亿美元；中国在共建</w:t>
      </w:r>
      <w:r>
        <w:rPr>
          <w:rFonts w:hint="eastAsia" w:ascii="宋体" w:hAnsi="宋体" w:eastAsia="宋体" w:cs="宋体"/>
          <w:spacing w:val="3"/>
          <w:sz w:val="24"/>
          <w:szCs w:val="24"/>
        </w:rPr>
        <w:t>国家承包工程新签合同额、完成营业额累计分别达</w:t>
      </w:r>
      <w:r>
        <w:rPr>
          <w:rFonts w:hint="eastAsia" w:ascii="宋体" w:hAnsi="宋体" w:eastAsia="宋体" w:cs="宋体"/>
          <w:spacing w:val="1"/>
          <w:sz w:val="24"/>
          <w:szCs w:val="24"/>
        </w:rPr>
        <w:t>到2万亿美元、1.3万亿美元；截至2022年底，中</w:t>
      </w:r>
      <w:r>
        <w:rPr>
          <w:rFonts w:hint="eastAsia" w:ascii="宋体" w:hAnsi="宋体" w:eastAsia="宋体" w:cs="宋体"/>
          <w:spacing w:val="11"/>
          <w:sz w:val="24"/>
          <w:szCs w:val="24"/>
        </w:rPr>
        <w:t>国国家开发银行已直接为1300多个“一</w:t>
      </w:r>
      <w:r>
        <w:rPr>
          <w:rFonts w:hint="eastAsia" w:ascii="宋体" w:hAnsi="宋体" w:eastAsia="宋体" w:cs="宋体"/>
          <w:spacing w:val="10"/>
          <w:sz w:val="24"/>
          <w:szCs w:val="24"/>
        </w:rPr>
        <w:t>带一路”</w:t>
      </w:r>
      <w:r>
        <w:rPr>
          <w:rFonts w:hint="eastAsia" w:ascii="宋体" w:hAnsi="宋体" w:eastAsia="宋体" w:cs="宋体"/>
          <w:spacing w:val="3"/>
          <w:sz w:val="24"/>
          <w:szCs w:val="24"/>
        </w:rPr>
        <w:t>项目提供了优质金融服务，有效发挥了开发性金融引领、汇聚境内外各类资金共同参与共建“一带一</w:t>
      </w:r>
      <w:r>
        <w:rPr>
          <w:rFonts w:hint="eastAsia" w:ascii="宋体" w:hAnsi="宋体" w:eastAsia="宋体" w:cs="宋体"/>
          <w:sz w:val="24"/>
          <w:szCs w:val="24"/>
        </w:rPr>
        <w:t>路”的融资先导作用。此外，2024年9月，习近平</w:t>
      </w:r>
      <w:r>
        <w:rPr>
          <w:rFonts w:hint="eastAsia" w:ascii="宋体" w:hAnsi="宋体" w:eastAsia="宋体" w:cs="宋体"/>
          <w:spacing w:val="2"/>
          <w:sz w:val="24"/>
          <w:szCs w:val="24"/>
        </w:rPr>
        <w:t>主席在中非合作论坛上庄严宣告，中非将开展现代</w:t>
      </w:r>
      <w:r>
        <w:rPr>
          <w:rFonts w:hint="eastAsia" w:ascii="宋体" w:hAnsi="宋体" w:eastAsia="宋体" w:cs="宋体"/>
          <w:spacing w:val="3"/>
          <w:sz w:val="24"/>
          <w:szCs w:val="24"/>
        </w:rPr>
        <w:t>化十大伙伴行动，中方主动扩大市场开放，给予包</w:t>
      </w:r>
      <w:r>
        <w:rPr>
          <w:rFonts w:hint="eastAsia" w:ascii="宋体" w:hAnsi="宋体" w:eastAsia="宋体" w:cs="宋体"/>
          <w:spacing w:val="7"/>
          <w:sz w:val="24"/>
          <w:szCs w:val="24"/>
        </w:rPr>
        <w:t>括33个非洲国家在内的所有同中国建交的最不发</w:t>
      </w:r>
      <w:r>
        <w:rPr>
          <w:rFonts w:hint="eastAsia" w:ascii="宋体" w:hAnsi="宋体" w:eastAsia="宋体" w:cs="宋体"/>
          <w:spacing w:val="-9"/>
          <w:sz w:val="24"/>
          <w:szCs w:val="24"/>
        </w:rPr>
        <w:t>达国家100%税目产品零关税待遇，涵盖卫生</w:t>
      </w:r>
      <w:r>
        <w:rPr>
          <w:rFonts w:hint="eastAsia" w:ascii="宋体" w:hAnsi="宋体" w:eastAsia="宋体" w:cs="宋体"/>
          <w:spacing w:val="-10"/>
          <w:sz w:val="24"/>
          <w:szCs w:val="24"/>
        </w:rPr>
        <w:t>、兴农、</w:t>
      </w:r>
      <w:r>
        <w:rPr>
          <w:rFonts w:hint="eastAsia" w:ascii="宋体" w:hAnsi="宋体" w:eastAsia="宋体" w:cs="宋体"/>
          <w:spacing w:val="3"/>
          <w:sz w:val="24"/>
          <w:szCs w:val="24"/>
        </w:rPr>
        <w:t>产业链合作等十个方面。通过产业产能合作促进非洲产业结构升级，提高工业化、数字化、信息化水</w:t>
      </w:r>
      <w:r>
        <w:rPr>
          <w:rFonts w:hint="eastAsia" w:ascii="宋体" w:hAnsi="宋体" w:eastAsia="宋体" w:cs="宋体"/>
          <w:spacing w:val="2"/>
          <w:sz w:val="24"/>
          <w:szCs w:val="24"/>
        </w:rPr>
        <w:t>平，增强国际分工合作能力，带来更多发展机遇和</w:t>
      </w:r>
      <w:r>
        <w:rPr>
          <w:rFonts w:hint="eastAsia" w:ascii="宋体" w:hAnsi="宋体" w:eastAsia="宋体" w:cs="宋体"/>
          <w:spacing w:val="-9"/>
          <w:sz w:val="24"/>
          <w:szCs w:val="24"/>
        </w:rPr>
        <w:t>空间。</w:t>
      </w:r>
    </w:p>
    <w:p w14:paraId="516D37E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在担当大国责任、推动南方国家减贫事业、推</w:t>
      </w:r>
      <w:r>
        <w:rPr>
          <w:rFonts w:hint="eastAsia" w:ascii="宋体" w:hAnsi="宋体" w:eastAsia="宋体" w:cs="宋体"/>
          <w:spacing w:val="4"/>
          <w:sz w:val="24"/>
          <w:szCs w:val="24"/>
        </w:rPr>
        <w:t>进全球民生福祉方面，2018—2023年中国向40多</w:t>
      </w:r>
      <w:r>
        <w:rPr>
          <w:rFonts w:hint="eastAsia" w:ascii="宋体" w:hAnsi="宋体" w:eastAsia="宋体" w:cs="宋体"/>
          <w:spacing w:val="2"/>
          <w:sz w:val="24"/>
          <w:szCs w:val="24"/>
        </w:rPr>
        <w:t>个国家实施了800多个紧急人道主义援助</w:t>
      </w:r>
      <w:r>
        <w:rPr>
          <w:rFonts w:hint="eastAsia" w:ascii="宋体" w:hAnsi="宋体" w:eastAsia="宋体" w:cs="宋体"/>
          <w:spacing w:val="1"/>
          <w:sz w:val="24"/>
          <w:szCs w:val="24"/>
        </w:rPr>
        <w:t>项目，向</w:t>
      </w:r>
      <w:r>
        <w:rPr>
          <w:rFonts w:hint="eastAsia" w:ascii="宋体" w:hAnsi="宋体" w:eastAsia="宋体" w:cs="宋体"/>
          <w:spacing w:val="-8"/>
          <w:sz w:val="24"/>
          <w:szCs w:val="24"/>
        </w:rPr>
        <w:t>30多个国家提供了紧急粮食援助。据联合国统计，中</w:t>
      </w:r>
      <w:r>
        <w:rPr>
          <w:rFonts w:hint="eastAsia" w:ascii="宋体" w:hAnsi="宋体" w:eastAsia="宋体" w:cs="宋体"/>
          <w:spacing w:val="2"/>
          <w:sz w:val="24"/>
          <w:szCs w:val="24"/>
        </w:rPr>
        <w:t>国是提供人道主义援助规模最大的发展中国家。同</w:t>
      </w:r>
      <w:r>
        <w:rPr>
          <w:rFonts w:hint="eastAsia" w:ascii="宋体" w:hAnsi="宋体" w:eastAsia="宋体" w:cs="宋体"/>
          <w:spacing w:val="3"/>
          <w:sz w:val="24"/>
          <w:szCs w:val="24"/>
        </w:rPr>
        <w:t>时，中国积极参与全球粮农治理，与相关国家发布《共同推进“一带一路”建设农业合作的愿景与行</w:t>
      </w:r>
      <w:r>
        <w:rPr>
          <w:rFonts w:hint="eastAsia" w:ascii="宋体" w:hAnsi="宋体" w:eastAsia="宋体" w:cs="宋体"/>
          <w:spacing w:val="8"/>
          <w:sz w:val="24"/>
          <w:szCs w:val="24"/>
        </w:rPr>
        <w:t>动》，与近90个共建国家和国际组织签署了100</w:t>
      </w:r>
      <w:r>
        <w:rPr>
          <w:rFonts w:hint="eastAsia" w:ascii="宋体" w:hAnsi="宋体" w:eastAsia="宋体" w:cs="宋体"/>
          <w:spacing w:val="3"/>
          <w:sz w:val="24"/>
          <w:szCs w:val="24"/>
        </w:rPr>
        <w:t>余份农渔业合作文件，与共建国家农产品贸易额达</w:t>
      </w:r>
      <w:r>
        <w:rPr>
          <w:rFonts w:hint="eastAsia" w:ascii="宋体" w:hAnsi="宋体" w:eastAsia="宋体" w:cs="宋体"/>
          <w:spacing w:val="4"/>
          <w:sz w:val="24"/>
          <w:szCs w:val="24"/>
        </w:rPr>
        <w:t>1394亿美元，向70多个国家和地区派出2000多名</w:t>
      </w:r>
      <w:r>
        <w:rPr>
          <w:rFonts w:hint="eastAsia" w:ascii="宋体" w:hAnsi="宋体" w:eastAsia="宋体" w:cs="宋体"/>
          <w:spacing w:val="2"/>
          <w:sz w:val="24"/>
          <w:szCs w:val="24"/>
        </w:rPr>
        <w:t>农业专家和技术人员，向多个国家推广示范菌</w:t>
      </w:r>
      <w:r>
        <w:rPr>
          <w:rFonts w:hint="eastAsia" w:ascii="宋体" w:hAnsi="宋体" w:eastAsia="宋体" w:cs="宋体"/>
          <w:spacing w:val="1"/>
          <w:sz w:val="24"/>
          <w:szCs w:val="24"/>
        </w:rPr>
        <w:t>草、</w:t>
      </w:r>
      <w:r>
        <w:rPr>
          <w:rFonts w:hint="eastAsia" w:ascii="宋体" w:hAnsi="宋体" w:eastAsia="宋体" w:cs="宋体"/>
          <w:spacing w:val="6"/>
          <w:sz w:val="24"/>
          <w:szCs w:val="24"/>
        </w:rPr>
        <w:t>杂交水稻等1500多项农业技术，帮助南方国家推</w:t>
      </w:r>
      <w:r>
        <w:rPr>
          <w:rFonts w:hint="eastAsia" w:ascii="宋体" w:hAnsi="宋体" w:eastAsia="宋体" w:cs="宋体"/>
          <w:spacing w:val="3"/>
          <w:sz w:val="24"/>
          <w:szCs w:val="24"/>
        </w:rPr>
        <w:t>进乡村减贫，促进共建国家现代农业发展和农民增</w:t>
      </w:r>
      <w:r>
        <w:rPr>
          <w:rFonts w:hint="eastAsia" w:ascii="宋体" w:hAnsi="宋体" w:eastAsia="宋体" w:cs="宋体"/>
          <w:spacing w:val="1"/>
          <w:sz w:val="24"/>
          <w:szCs w:val="24"/>
        </w:rPr>
        <w:t>收。当前，中国已与140多个国家和地区开展农业</w:t>
      </w:r>
      <w:r>
        <w:rPr>
          <w:rFonts w:hint="eastAsia" w:ascii="宋体" w:hAnsi="宋体" w:eastAsia="宋体" w:cs="宋体"/>
          <w:spacing w:val="3"/>
          <w:sz w:val="24"/>
          <w:szCs w:val="24"/>
        </w:rPr>
        <w:t>合作，通过成立农业技术示范中心、开展农业人才培训等方式，推广中国先进适用技术，帮助广大发</w:t>
      </w:r>
      <w:r>
        <w:rPr>
          <w:rFonts w:hint="eastAsia" w:ascii="宋体" w:hAnsi="宋体" w:eastAsia="宋体" w:cs="宋体"/>
          <w:spacing w:val="-3"/>
          <w:sz w:val="24"/>
          <w:szCs w:val="24"/>
        </w:rPr>
        <w:t>展中国家加强农业能力建设。</w:t>
      </w:r>
    </w:p>
    <w:p w14:paraId="764C0D9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在推动人类科技进步、探索广袤宇宙、引领人类文明可持续发展方面，中国取得了以载人航天、北斗导航、“嫦娥”奔月、“祝融”探火、“羲和”</w:t>
      </w:r>
      <w:r>
        <w:rPr>
          <w:rFonts w:hint="eastAsia" w:ascii="宋体" w:hAnsi="宋体" w:eastAsia="宋体" w:cs="宋体"/>
          <w:spacing w:val="2"/>
          <w:sz w:val="24"/>
          <w:szCs w:val="24"/>
        </w:rPr>
        <w:t>逐日等为代表的一系列辉煌成就，中国进入空间、</w:t>
      </w:r>
      <w:r>
        <w:rPr>
          <w:rFonts w:hint="eastAsia" w:ascii="宋体" w:hAnsi="宋体" w:eastAsia="宋体" w:cs="宋体"/>
          <w:spacing w:val="3"/>
          <w:sz w:val="24"/>
          <w:szCs w:val="24"/>
        </w:rPr>
        <w:t>探索空间和利用空间的能力显著提升。中国航天坚持走出国门、深化国际交流合作、推动全球各国共</w:t>
      </w:r>
      <w:r>
        <w:rPr>
          <w:rFonts w:hint="eastAsia" w:ascii="宋体" w:hAnsi="宋体" w:eastAsia="宋体" w:cs="宋体"/>
          <w:spacing w:val="1"/>
          <w:sz w:val="24"/>
          <w:szCs w:val="24"/>
        </w:rPr>
        <w:t>建共享航天设施。截至2023年，中国已与43个国家或地区和6个国际组织签署共136项航天领域合</w:t>
      </w:r>
      <w:r>
        <w:rPr>
          <w:rFonts w:hint="eastAsia" w:ascii="宋体" w:hAnsi="宋体" w:eastAsia="宋体" w:cs="宋体"/>
          <w:spacing w:val="11"/>
          <w:sz w:val="24"/>
          <w:szCs w:val="24"/>
        </w:rPr>
        <w:t>作文件，与9个国家航天机构签署了航天合作大</w:t>
      </w:r>
      <w:r>
        <w:rPr>
          <w:rFonts w:hint="eastAsia" w:ascii="宋体" w:hAnsi="宋体" w:eastAsia="宋体" w:cs="宋体"/>
          <w:spacing w:val="-1"/>
          <w:sz w:val="24"/>
          <w:szCs w:val="24"/>
        </w:rPr>
        <w:t>纲，建立17个航天合作机制；目前，已有17个国</w:t>
      </w:r>
      <w:r>
        <w:rPr>
          <w:rFonts w:hint="eastAsia" w:ascii="宋体" w:hAnsi="宋体" w:eastAsia="宋体" w:cs="宋体"/>
          <w:sz w:val="24"/>
          <w:szCs w:val="24"/>
        </w:rPr>
        <w:t>家、23个实体的9个项目在中国空间站运行。2024</w:t>
      </w:r>
      <w:r>
        <w:rPr>
          <w:rFonts w:hint="eastAsia" w:ascii="宋体" w:hAnsi="宋体" w:eastAsia="宋体" w:cs="宋体"/>
          <w:spacing w:val="4"/>
          <w:sz w:val="24"/>
          <w:szCs w:val="24"/>
        </w:rPr>
        <w:t>年9月23日，习近平主席在接见探月工程嫦娥六</w:t>
      </w:r>
      <w:r>
        <w:rPr>
          <w:rFonts w:hint="eastAsia" w:ascii="宋体" w:hAnsi="宋体" w:eastAsia="宋体" w:cs="宋体"/>
          <w:spacing w:val="3"/>
          <w:sz w:val="24"/>
          <w:szCs w:val="24"/>
        </w:rPr>
        <w:t>号任务参研参试人员代表时发表重要讲话并强调：“外层空间是人类的共同疆域，空间探索是人</w:t>
      </w:r>
      <w:r>
        <w:rPr>
          <w:rFonts w:hint="eastAsia" w:ascii="宋体" w:hAnsi="宋体" w:eastAsia="宋体" w:cs="宋体"/>
          <w:spacing w:val="2"/>
          <w:sz w:val="24"/>
          <w:szCs w:val="24"/>
        </w:rPr>
        <w:t>类的</w:t>
      </w:r>
      <w:r>
        <w:rPr>
          <w:rFonts w:hint="eastAsia" w:ascii="宋体" w:hAnsi="宋体" w:eastAsia="宋体" w:cs="宋体"/>
          <w:spacing w:val="-3"/>
          <w:sz w:val="24"/>
          <w:szCs w:val="24"/>
        </w:rPr>
        <w:t>共同事业。探月工程始终秉持平等互利、和平利用、</w:t>
      </w:r>
      <w:r>
        <w:rPr>
          <w:rFonts w:hint="eastAsia" w:ascii="宋体" w:hAnsi="宋体" w:eastAsia="宋体" w:cs="宋体"/>
          <w:spacing w:val="3"/>
          <w:sz w:val="24"/>
          <w:szCs w:val="24"/>
        </w:rPr>
        <w:t>合作共赢的原则，‘嫦娥’既是中国的、又属于全人类，为国际科技合作提供了广阔舞台，为全球深空探索贡献了中国智慧和中国力量。”在未</w:t>
      </w:r>
      <w:r>
        <w:rPr>
          <w:rFonts w:hint="eastAsia" w:ascii="宋体" w:hAnsi="宋体" w:eastAsia="宋体" w:cs="宋体"/>
          <w:spacing w:val="2"/>
          <w:sz w:val="24"/>
          <w:szCs w:val="24"/>
        </w:rPr>
        <w:t>来，中</w:t>
      </w:r>
      <w:r>
        <w:rPr>
          <w:rFonts w:hint="eastAsia" w:ascii="宋体" w:hAnsi="宋体" w:eastAsia="宋体" w:cs="宋体"/>
          <w:spacing w:val="3"/>
          <w:sz w:val="24"/>
          <w:szCs w:val="24"/>
        </w:rPr>
        <w:t>国将始终秉持人类命运共同体理念，继续同各国一道，共同探索宇宙奥秘，为保护地球家园、增进民</w:t>
      </w:r>
      <w:r>
        <w:rPr>
          <w:rFonts w:hint="eastAsia" w:ascii="宋体" w:hAnsi="宋体" w:eastAsia="宋体" w:cs="宋体"/>
          <w:spacing w:val="-2"/>
          <w:sz w:val="24"/>
          <w:szCs w:val="24"/>
        </w:rPr>
        <w:t>生福祉、服务人类文明进步作出新的更大贡献。</w:t>
      </w:r>
    </w:p>
    <w:p w14:paraId="7D9D420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在推动全球安全、保障世界和平稳定方面，中</w:t>
      </w:r>
      <w:r>
        <w:rPr>
          <w:rFonts w:hint="eastAsia" w:ascii="宋体" w:hAnsi="宋体" w:eastAsia="宋体" w:cs="宋体"/>
          <w:spacing w:val="2"/>
          <w:sz w:val="24"/>
          <w:szCs w:val="24"/>
        </w:rPr>
        <w:t>国持续加强国际安全合作，积极参与全球安全规则</w:t>
      </w:r>
      <w:r>
        <w:rPr>
          <w:rFonts w:hint="eastAsia" w:ascii="宋体" w:hAnsi="宋体" w:eastAsia="宋体" w:cs="宋体"/>
          <w:spacing w:val="3"/>
          <w:sz w:val="24"/>
          <w:szCs w:val="24"/>
        </w:rPr>
        <w:t>的制订，相继发布《全球安全倡议概念文件》《关于政治解决乌克兰危机的中国立场》等文件，同时中国也是联合国第二大会费国和维和摊款国，出资</w:t>
      </w:r>
      <w:r>
        <w:rPr>
          <w:rFonts w:hint="eastAsia" w:ascii="宋体" w:hAnsi="宋体" w:eastAsia="宋体" w:cs="宋体"/>
          <w:spacing w:val="2"/>
          <w:sz w:val="24"/>
          <w:szCs w:val="24"/>
        </w:rPr>
        <w:t>额占维和行动预算的15%；1990到2020年间，中</w:t>
      </w:r>
      <w:r>
        <w:rPr>
          <w:rFonts w:hint="eastAsia" w:ascii="宋体" w:hAnsi="宋体" w:eastAsia="宋体" w:cs="宋体"/>
          <w:spacing w:val="9"/>
          <w:sz w:val="24"/>
          <w:szCs w:val="24"/>
        </w:rPr>
        <w:t>国累计派出维和军事人员四万余人次，参加了25</w:t>
      </w:r>
      <w:r>
        <w:rPr>
          <w:rFonts w:hint="eastAsia" w:ascii="宋体" w:hAnsi="宋体" w:eastAsia="宋体" w:cs="宋体"/>
          <w:spacing w:val="1"/>
          <w:sz w:val="24"/>
          <w:szCs w:val="24"/>
        </w:rPr>
        <w:t>项联合国维和行动。习近平高度概括地指出：“自</w:t>
      </w:r>
      <w:r>
        <w:rPr>
          <w:rFonts w:hint="eastAsia" w:ascii="宋体" w:hAnsi="宋体" w:eastAsia="宋体" w:cs="宋体"/>
          <w:spacing w:val="3"/>
          <w:sz w:val="24"/>
          <w:szCs w:val="24"/>
        </w:rPr>
        <w:t>古以来，中华民族就积极开展对外交往通商，而不是对外侵略扩张；执着于保家卫国的爱国主义，而</w:t>
      </w:r>
      <w:r>
        <w:rPr>
          <w:rFonts w:hint="eastAsia" w:ascii="宋体" w:hAnsi="宋体" w:eastAsia="宋体" w:cs="宋体"/>
          <w:spacing w:val="7"/>
          <w:sz w:val="24"/>
          <w:szCs w:val="24"/>
        </w:rPr>
        <w:t>不是开疆拓土的殖民主义。”</w:t>
      </w:r>
    </w:p>
    <w:p w14:paraId="31EF13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上述事实充分表明，中国式现代化道路决不是“国强必霸”的西式现代化老路，而是真正</w:t>
      </w:r>
      <w:r>
        <w:rPr>
          <w:rFonts w:hint="eastAsia" w:ascii="宋体" w:hAnsi="宋体" w:eastAsia="宋体" w:cs="宋体"/>
          <w:spacing w:val="2"/>
          <w:sz w:val="24"/>
          <w:szCs w:val="24"/>
        </w:rPr>
        <w:t>践行多</w:t>
      </w:r>
      <w:r>
        <w:rPr>
          <w:rFonts w:hint="eastAsia" w:ascii="宋体" w:hAnsi="宋体" w:eastAsia="宋体" w:cs="宋体"/>
          <w:spacing w:val="3"/>
          <w:sz w:val="24"/>
          <w:szCs w:val="24"/>
        </w:rPr>
        <w:t>边主义，汇集着人类共同发展的最大公约数的和平发展道路。历史和实践充分表明，中国坚持和平发展道路，既是对几千年来中华民族热爱和平传统的继承，也是对和平文化的延续和发扬。在中国式现代化的和平发展道路上，中国始终是世界和平的建设者、全球发展的贡献者、国际秩序的维护者、公</w:t>
      </w:r>
      <w:r>
        <w:rPr>
          <w:rFonts w:hint="eastAsia" w:ascii="宋体" w:hAnsi="宋体" w:eastAsia="宋体" w:cs="宋体"/>
          <w:spacing w:val="2"/>
          <w:sz w:val="24"/>
          <w:szCs w:val="24"/>
        </w:rPr>
        <w:t>共产品的提供者，积极维护国际公平与正义。中国</w:t>
      </w:r>
      <w:r>
        <w:rPr>
          <w:rFonts w:hint="eastAsia" w:ascii="宋体" w:hAnsi="宋体" w:eastAsia="宋体" w:cs="宋体"/>
          <w:spacing w:val="3"/>
          <w:sz w:val="24"/>
          <w:szCs w:val="24"/>
        </w:rPr>
        <w:t>愿意同世界各国共享自身高速发展的成果，尤其是为更多的发展中国家提供发展的机遇和空间，使现</w:t>
      </w:r>
      <w:r>
        <w:rPr>
          <w:rFonts w:hint="eastAsia" w:ascii="宋体" w:hAnsi="宋体" w:eastAsia="宋体" w:cs="宋体"/>
          <w:spacing w:val="-3"/>
          <w:sz w:val="24"/>
          <w:szCs w:val="24"/>
        </w:rPr>
        <w:t>代化的发展成果惠及全世界人民。</w:t>
      </w:r>
    </w:p>
    <w:p w14:paraId="501A703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outlineLvl w:val="9"/>
        <w:rPr>
          <w:rFonts w:hint="eastAsia" w:ascii="宋体" w:hAnsi="宋体" w:eastAsia="宋体" w:cs="宋体"/>
          <w:sz w:val="24"/>
          <w:szCs w:val="24"/>
        </w:rPr>
      </w:pPr>
      <w:r>
        <w:rPr>
          <w:rFonts w:hint="eastAsia" w:ascii="宋体" w:hAnsi="宋体" w:eastAsia="宋体" w:cs="宋体"/>
          <w:spacing w:val="3"/>
          <w:sz w:val="24"/>
          <w:szCs w:val="24"/>
        </w:rPr>
        <w:t>在未来，中国将一贯秉承和平发展理念，为全球后发国家发展经济提供和平稳定的外部条件</w:t>
      </w:r>
      <w:r>
        <w:rPr>
          <w:rFonts w:hint="eastAsia" w:ascii="宋体" w:hAnsi="宋体" w:eastAsia="宋体" w:cs="宋体"/>
          <w:spacing w:val="2"/>
          <w:sz w:val="24"/>
          <w:szCs w:val="24"/>
        </w:rPr>
        <w:t>，帮助后发国家融入世界经济新格局、改变落后</w:t>
      </w:r>
      <w:r>
        <w:rPr>
          <w:rFonts w:hint="eastAsia" w:ascii="宋体" w:hAnsi="宋体" w:eastAsia="宋体" w:cs="宋体"/>
          <w:spacing w:val="1"/>
          <w:sz w:val="24"/>
          <w:szCs w:val="24"/>
        </w:rPr>
        <w:t>现状、</w:t>
      </w:r>
      <w:r>
        <w:rPr>
          <w:rFonts w:hint="eastAsia" w:ascii="宋体" w:hAnsi="宋体" w:eastAsia="宋体" w:cs="宋体"/>
          <w:spacing w:val="3"/>
          <w:sz w:val="24"/>
          <w:szCs w:val="24"/>
        </w:rPr>
        <w:t>提高人民生活水平和增进民生福祉，并将与世界各</w:t>
      </w:r>
      <w:r>
        <w:rPr>
          <w:rFonts w:hint="eastAsia" w:ascii="宋体" w:hAnsi="宋体" w:eastAsia="宋体" w:cs="宋体"/>
          <w:spacing w:val="-3"/>
          <w:sz w:val="24"/>
          <w:szCs w:val="24"/>
        </w:rPr>
        <w:t>国一道，携手推进公平合理、开放共赢、人民至上、</w:t>
      </w:r>
      <w:r>
        <w:rPr>
          <w:rFonts w:hint="eastAsia" w:ascii="宋体" w:hAnsi="宋体" w:eastAsia="宋体" w:cs="宋体"/>
          <w:spacing w:val="-1"/>
          <w:sz w:val="24"/>
          <w:szCs w:val="24"/>
        </w:rPr>
        <w:t>多元包容、生态友好、和平安全的现代化。</w:t>
      </w:r>
    </w:p>
    <w:p w14:paraId="4B66C5F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eastAsia" w:ascii="宋体" w:hAnsi="宋体" w:eastAsia="宋体" w:cs="宋体"/>
          <w:sz w:val="24"/>
          <w:szCs w:val="24"/>
        </w:rPr>
      </w:pPr>
    </w:p>
    <w:p w14:paraId="1F95B6B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原载《</w:t>
      </w:r>
      <w:r>
        <w:rPr>
          <w:rFonts w:hint="eastAsia"/>
        </w:rPr>
        <w:t>中国新闻发布(实务版)</w:t>
      </w:r>
      <w:r>
        <w:rPr>
          <w:rFonts w:hint="eastAsia" w:ascii="宋体" w:hAnsi="宋体" w:eastAsia="宋体" w:cs="宋体"/>
          <w:sz w:val="24"/>
          <w:szCs w:val="24"/>
          <w:lang w:val="en-US" w:eastAsia="zh-CN"/>
        </w:rPr>
        <w:t>》2024年第10期，第二作者为刘志鹏。</w:t>
      </w:r>
      <w:r>
        <w:rPr>
          <w:rFonts w:hint="eastAsia" w:ascii="宋体" w:hAnsi="宋体" w:eastAsia="宋体" w:cs="宋体"/>
          <w:sz w:val="24"/>
          <w:szCs w:val="24"/>
          <w:lang w:eastAsia="zh-CN"/>
        </w:rPr>
        <w:t>）</w:t>
      </w:r>
    </w:p>
    <w:p w14:paraId="521AAD94">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00769891">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7E84CA68">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2EB5E8A2">
      <w:pPr>
        <w:pStyle w:val="3"/>
        <w:pageBreakBefore w:val="0"/>
        <w:widowControl/>
        <w:kinsoku w:val="0"/>
        <w:wordWrap/>
        <w:overflowPunct/>
        <w:topLinePunct w:val="0"/>
        <w:autoSpaceDE w:val="0"/>
        <w:autoSpaceDN w:val="0"/>
        <w:bidi w:val="0"/>
        <w:adjustRightInd w:val="0"/>
        <w:snapToGrid w:val="0"/>
        <w:spacing w:before="0" w:beforeLines="0" w:after="0" w:afterLines="0" w:line="400" w:lineRule="exact"/>
        <w:ind w:left="0" w:leftChars="0" w:right="0" w:firstLine="480" w:firstLineChars="200"/>
        <w:jc w:val="both"/>
        <w:textAlignment w:val="baseline"/>
        <w:rPr>
          <w:rFonts w:hint="eastAsia" w:ascii="宋体" w:hAnsi="宋体" w:eastAsia="宋体" w:cs="宋体"/>
          <w:sz w:val="24"/>
          <w:szCs w:val="24"/>
        </w:rPr>
      </w:pPr>
      <w:bookmarkStart w:id="408" w:name="_Toc2084589017"/>
      <w:bookmarkStart w:id="409" w:name="_Toc1620312812"/>
      <w:bookmarkStart w:id="410" w:name="_Toc761608383"/>
      <w:bookmarkStart w:id="411" w:name="_Toc19243"/>
      <w:bookmarkStart w:id="412" w:name="_Toc291064924"/>
      <w:bookmarkStart w:id="413" w:name="_Toc1523202302"/>
      <w:r>
        <w:rPr>
          <w:rFonts w:hint="eastAsia" w:ascii="宋体" w:hAnsi="宋体" w:eastAsia="宋体" w:cs="宋体"/>
          <w:sz w:val="24"/>
          <w:szCs w:val="24"/>
          <w:lang w:val="en-US" w:eastAsia="zh-CN"/>
        </w:rPr>
        <w:t>4</w:t>
      </w:r>
      <w:r>
        <w:rPr>
          <w:rFonts w:hint="eastAsia" w:ascii="宋体" w:hAnsi="宋体" w:eastAsia="宋体" w:cs="宋体"/>
          <w:sz w:val="24"/>
          <w:szCs w:val="24"/>
        </w:rPr>
        <w:t>论资本主义私有制增长缓慢规律</w:t>
      </w:r>
      <w:bookmarkEnd w:id="408"/>
      <w:bookmarkEnd w:id="409"/>
      <w:bookmarkEnd w:id="410"/>
      <w:bookmarkEnd w:id="411"/>
      <w:bookmarkEnd w:id="412"/>
      <w:bookmarkEnd w:id="413"/>
    </w:p>
    <w:p w14:paraId="7E9C141B">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35C52CF8">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05ACDF8A">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7C3D4E44">
      <w:pPr>
        <w:pageBreakBefore w:val="0"/>
        <w:widowControl/>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p>
    <w:p w14:paraId="63C839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
          <w:sz w:val="24"/>
          <w:szCs w:val="24"/>
        </w:rPr>
        <w:t>[摘要]基于马克思主义基本原理，结合社会经济发展的历史脉络，“资本主义私有制增长速度缓慢规律”和</w:t>
      </w:r>
      <w:r>
        <w:rPr>
          <w:rFonts w:hint="eastAsia" w:ascii="宋体" w:hAnsi="宋体" w:eastAsia="宋体" w:cs="宋体"/>
          <w:color w:val="231F20"/>
          <w:spacing w:val="4"/>
          <w:sz w:val="24"/>
          <w:szCs w:val="24"/>
        </w:rPr>
        <w:t>“资本主义私有制增长缓慢定律”具有客观现实性。从理论逻辑来看，这一规律的发生机制主要基于三条路</w:t>
      </w:r>
      <w:r>
        <w:rPr>
          <w:rFonts w:hint="eastAsia" w:ascii="宋体" w:hAnsi="宋体" w:eastAsia="宋体" w:cs="宋体"/>
          <w:color w:val="231F20"/>
          <w:spacing w:val="5"/>
          <w:sz w:val="24"/>
          <w:szCs w:val="24"/>
        </w:rPr>
        <w:t>径：一是资本主义积累的一般规律必然带来消费不足；二是私有企业达不到预期利润不投资，平均</w:t>
      </w:r>
      <w:r>
        <w:rPr>
          <w:rFonts w:hint="eastAsia" w:ascii="宋体" w:hAnsi="宋体" w:eastAsia="宋体" w:cs="宋体"/>
          <w:color w:val="231F20"/>
          <w:spacing w:val="4"/>
          <w:sz w:val="24"/>
          <w:szCs w:val="24"/>
        </w:rPr>
        <w:t>利润率下</w:t>
      </w:r>
      <w:r>
        <w:rPr>
          <w:rFonts w:hint="eastAsia" w:ascii="宋体" w:hAnsi="宋体" w:eastAsia="宋体" w:cs="宋体"/>
          <w:color w:val="231F20"/>
          <w:spacing w:val="9"/>
          <w:sz w:val="24"/>
          <w:szCs w:val="24"/>
        </w:rPr>
        <w:t>降规律下必然会出现实体经济投资不足；三是资本的逐利本质和平均利润率</w:t>
      </w:r>
      <w:r>
        <w:rPr>
          <w:rFonts w:hint="eastAsia" w:ascii="宋体" w:hAnsi="宋体" w:eastAsia="宋体" w:cs="宋体"/>
          <w:color w:val="231F20"/>
          <w:spacing w:val="8"/>
          <w:sz w:val="24"/>
          <w:szCs w:val="24"/>
        </w:rPr>
        <w:t>规律必然导致产业失衡。从现实逻辑来看，20世纪以来资本主义长期增长和负增长，佐证了“资本主义私有制增长缓慢”定理的客观存</w:t>
      </w:r>
      <w:r>
        <w:rPr>
          <w:rFonts w:hint="eastAsia" w:ascii="宋体" w:hAnsi="宋体" w:eastAsia="宋体" w:cs="宋体"/>
          <w:color w:val="231F20"/>
          <w:spacing w:val="7"/>
          <w:sz w:val="24"/>
          <w:szCs w:val="24"/>
        </w:rPr>
        <w:t>在，表明私有制对经济增长有抑制作用。</w:t>
      </w:r>
    </w:p>
    <w:p w14:paraId="0425955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leftChars="0" w:right="0" w:firstLine="46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5"/>
          <w:sz w:val="24"/>
          <w:szCs w:val="24"/>
        </w:rPr>
        <w:t>[关键词]资本主义私有制；增长缓慢规律；经济危机；消费不足；产业失衡</w:t>
      </w:r>
    </w:p>
    <w:p w14:paraId="07A42013">
      <w:pPr>
        <w:pStyle w:val="6"/>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p>
    <w:p w14:paraId="238AF5DA">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发生于1825年的英国经济危机成为资本主义生产方式下周期性经济危机的开端，至此，平均每隔10年左右，由于消费不足或产能相对过剩，世界主要资本主义国家会不同程度爆发各类经济危机。2008年世界经济危机始于美国房地产业透支消费，建筑相关从业者增加抵消了出口下滑带来的就业下降，海外资金涌入在一定程度上推动美国民众过度消费，最终在“影子银行”和“金融创新”中触发危机“按钮”。新自由主义在取代凯恩斯主义后，使全球地区差异、国家差距、阶级矛盾不断扩大，最终在经济危机中展现出自身的脆弱性。失业率居高不下、债务危机加重等现象在世界主要经济体中不断出现。随后各国重拾凯恩斯主义，通过大量运用财政货币政策试图解决危机带来的经济问题。无论新自由主义还是凯恩斯主义，都只能求救于以资本主义生产资料私有制为基础的基本经济制度，以此调整经济政策。</w:t>
      </w:r>
    </w:p>
    <w:p w14:paraId="6B04AB33">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马克思、恩格斯深刻揭示了资本主义的基本矛盾，即“生产社会化与生产资料资本主义私有制之间的矛盾”，并指出资本主义社会各种矛盾与危机的根本原因就在于这一基本矛盾及其衍生出的其他矛盾。无论是新自由主义还是凯恩斯主义，都无法解决社会化大生产与资本主义生产资料私有制之间的矛盾，都无法满足社会化大生产条件下公共利益控制生产的要求。因此，私有制是产生矛盾和危机的根源，也是产生投资过剩和消费不足的根本原因。贫富两极分化、虚拟经济对实体经济的挤压、跨国资本垄断等，成为资本主义发达国家普遍现象。马克思在《资本论》中详细阐释了资本主义生产过程，揭示了私有制下资本对劳动的剥削，对剩余价值生产、资本主义积累一般规律、社会再生产过程、生息资本等进行了详尽阐述，解释了资本主义生产资料私有制对经济发展的制约和抑制作用。基于以上马克思主义基本观点，结合人类社会经济发展历史，对私有制主体下经济增长问题研究极具现实意义。为明晰资本主义私有制导致经济危机的必然性，笔者拟从学理上阐释在资本主义生产资料私有制下，消费、投资和产业发展对经济增长的影响，并佐以20世纪中期以来资本主义的发展现实，证明“资本主义私有制增长速度缓慢规律”和“资本主义私有制增长缓慢定律”具有客观现实性。</w:t>
      </w:r>
    </w:p>
    <w:p w14:paraId="53750B35">
      <w:pPr>
        <w:pStyle w:val="4"/>
        <w:bidi w:val="0"/>
        <w:rPr>
          <w:rFonts w:hint="eastAsia"/>
        </w:rPr>
      </w:pPr>
      <w:r>
        <w:rPr>
          <w:rFonts w:hint="eastAsia"/>
          <w:lang w:val="en-US" w:eastAsia="zh-CN"/>
        </w:rPr>
        <w:t>一</w:t>
      </w:r>
      <w:r>
        <w:rPr>
          <w:rFonts w:hint="eastAsia"/>
        </w:rPr>
        <w:t>、资本主义私有制必然导致消费不足</w:t>
      </w:r>
    </w:p>
    <w:p w14:paraId="55CE7C6F">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消费作为拉动经济增长的“三驾马车”一，是生产的持续动力，对国民经济发展具有基础作用</w:t>
      </w:r>
      <w:r>
        <w:rPr>
          <w:rFonts w:hint="eastAsia" w:ascii="宋体" w:hAnsi="宋体" w:eastAsia="宋体" w:cs="宋体"/>
          <w:color w:val="231F20"/>
          <w:spacing w:val="-1"/>
          <w:sz w:val="24"/>
          <w:szCs w:val="24"/>
          <w:lang w:eastAsia="zh-CN"/>
        </w:rPr>
        <w:t>。</w:t>
      </w:r>
      <w:r>
        <w:rPr>
          <w:rFonts w:hint="eastAsia" w:ascii="宋体" w:hAnsi="宋体" w:eastAsia="宋体" w:cs="宋体"/>
          <w:color w:val="231F20"/>
          <w:spacing w:val="-1"/>
          <w:sz w:val="24"/>
          <w:szCs w:val="24"/>
        </w:rPr>
        <w:t>在资本主义积累一般规律作用下，资本主义社会必然出现贫富分化、人民大众有支付能力的需求不足等现象。</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_Ref25378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[1]</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rPr>
        <w:t>资本与劳动之间的对抗关系使社会财富分配的两极分化日益严重，</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_Ref25398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[2]</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rPr>
        <w:t>占人口少数的资产阶级富裕阶层在边际消费倾向递减规律作用下，消费并不会随收入增加而同比例增加；占人口多数的大量贫困人口产生，造成劳动者消费绝对减少，最终将导致整个社会消费不足、有效需求减少，从而影响经济增长。</w:t>
      </w:r>
    </w:p>
    <w:p w14:paraId="33A262F7">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（一）理论分析</w:t>
      </w:r>
    </w:p>
    <w:p w14:paraId="22842337">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消费作为社会再生产过程的最后环节，反映了生产过程是否结束和商品最终归属。生产资料归属权代表的所有制关系由生产力水平决定。马克思在《资本论》中以商品为研究起点，在深入剖析资本主义生产关系的同时，阐明了资本主义生产资料私有制带来的剥削本质，并在对剩余价值的研究中论证了剩余价值生产、社会分工、劳动异化等带来的两极分化以及劳动者越发贫困等问题。恩格斯指出：“群众的消费不足，是一切建立在剥削基础上的社会形式、因而也是资本主义社会形式的一个必然条件。”</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_Ref25496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[3]</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(p.636)</w:t>
      </w:r>
      <w:r>
        <w:rPr>
          <w:rFonts w:hint="eastAsia" w:ascii="宋体" w:hAnsi="宋体" w:eastAsia="宋体" w:cs="宋体"/>
          <w:color w:val="231F20"/>
          <w:spacing w:val="-1"/>
          <w:sz w:val="24"/>
          <w:szCs w:val="24"/>
        </w:rPr>
        <w:t>因此，在资本主义生产资料私有制下形成了“劳动力成为商品→剩余价值生产→资本积累的一般规律→贫困积累→消费不足”的理论逻辑。</w:t>
      </w:r>
    </w:p>
    <w:p w14:paraId="25A56A96">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马克思指出：“资本主义生产过程的动机和决定目的，是资本尽可能多地自行增殖，也就是尽可能多地生产剩余价值。”</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_Ref25564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[4]</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(p.368)</w:t>
      </w:r>
      <w:r>
        <w:rPr>
          <w:rFonts w:hint="eastAsia" w:ascii="宋体" w:hAnsi="宋体" w:eastAsia="宋体" w:cs="宋体"/>
          <w:color w:val="231F20"/>
          <w:spacing w:val="-1"/>
          <w:sz w:val="24"/>
          <w:szCs w:val="24"/>
        </w:rPr>
        <w:t>因此，最大限度追求剩余价值是资本积累的内在动力，而预期回报率则是资本家衡量一切的标准，“资本害怕没有利润或利润太少就象自然害怕真空一样。一旦有适当的利润，资本就胆大起来。如果有10%的利润，它就保证到处被使用；有20%的利润，它就活跃起来；有50%的利润，它就铤而走险；为了100%的利润，它就敢践踏一切人间法律；有300%的利润，它就敢犯任何罪行，甚至冒绞首的危险”。</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_Ref4878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[5]</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(p.871)</w:t>
      </w:r>
    </w:p>
    <w:p w14:paraId="41B6C70D">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无止境地追逐剩余价值，使个别资本家不再满足于通过单纯延长劳动者的劳动时间进行绝对剩余价值生产，而是通过不断改进技术、采用更加优良的生产方式与管理方式提高劳动生产力，获取更多剩余价值，即超额剩余价值。“采用改良的生产方式的资本家比同行业的其余资本家，可以在一个工作日中占有更大的部分作为剩余劳动。”</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_Ref4878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[5]</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(p.370)</w:t>
      </w:r>
      <w:r>
        <w:rPr>
          <w:rFonts w:hint="eastAsia" w:ascii="宋体" w:hAnsi="宋体" w:eastAsia="宋体" w:cs="宋体"/>
          <w:color w:val="231F20"/>
          <w:spacing w:val="-1"/>
          <w:sz w:val="24"/>
          <w:szCs w:val="24"/>
        </w:rPr>
        <w:t>随后，当其他“竞争者也采用新的生产方式”进行生产后，相对剩余价值就产生了。这使“属于必要生活资料范围、从而构成劳动力价值要素的商品便宜”，</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_Ref4878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[5]</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(p.371)</w:t>
      </w:r>
      <w:r>
        <w:rPr>
          <w:rFonts w:hint="eastAsia" w:ascii="宋体" w:hAnsi="宋体" w:eastAsia="宋体" w:cs="宋体"/>
          <w:color w:val="231F20"/>
          <w:spacing w:val="-1"/>
          <w:sz w:val="24"/>
          <w:szCs w:val="24"/>
        </w:rPr>
        <w:t>相应地，劳动力价值即资本的可变部分占资本总量的比例变小，即“提高劳动生产力来使商品便宜，并通过商品便宜来使工人本身便宜”，马克思指出这是“资本的内在的冲动和经常的趋势”。</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_Ref4878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[5]</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(p.371)</w:t>
      </w:r>
    </w:p>
    <w:p w14:paraId="12C1DCB8">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在生产资料私人占有的资本主义社会，资本对剩余价值的追逐使资本不断积累与劳动者日益贫困成为资本积累一般规律的表现形式。通过资本集聚和集中，“资本积累最初只是表现为资本的量的扩大，但是以上我们看到，它是通过资本构成不断发生质的变化，通过减少资本的可变组成部分来不断增加资本的不变组成部分而实现的”。</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_Ref4878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[5]</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(p.725)</w:t>
      </w:r>
      <w:r>
        <w:rPr>
          <w:rFonts w:hint="eastAsia" w:ascii="宋体" w:hAnsi="宋体" w:eastAsia="宋体" w:cs="宋体"/>
          <w:color w:val="231F20"/>
          <w:spacing w:val="-1"/>
          <w:sz w:val="24"/>
          <w:szCs w:val="24"/>
        </w:rPr>
        <w:t>这意味着，随着劳动生产力水平和资本有机构成不断提高，“对劳动的需求，同总资本量相比相对地减少，并且随着总资本量的增长以递增的速度减少”。</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_Ref4878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[5]</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(p.726)</w:t>
      </w:r>
      <w:r>
        <w:rPr>
          <w:rFonts w:hint="eastAsia" w:ascii="宋体" w:hAnsi="宋体" w:eastAsia="宋体" w:cs="宋体"/>
          <w:color w:val="231F20"/>
          <w:spacing w:val="-1"/>
          <w:sz w:val="24"/>
          <w:szCs w:val="24"/>
        </w:rPr>
        <w:t>相对过剩人口的产生使劳动者生产生活条件进一步恶化：既要承受来自阶级之间资本的压榨和机器的排挤，又要面临来自阶级内部随时被庞大的产业后备军替代的可能。</w:t>
      </w:r>
    </w:p>
    <w:p w14:paraId="4527C8AE">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zh-CN"/>
        </w:rPr>
      </w:pPr>
      <w:r>
        <w:rPr>
          <w:rFonts w:hint="eastAsia" w:ascii="宋体" w:hAnsi="宋体" w:eastAsia="宋体" w:cs="宋体"/>
          <w:color w:val="231F20"/>
          <w:spacing w:val="-1"/>
          <w:sz w:val="24"/>
          <w:szCs w:val="24"/>
        </w:rPr>
        <w:t>由此，在资本主义生产资料私有制下，资本主义积累的一般规律产生了一种不以任何人意志为转移的对抗性分配关系，这种关系“使社会上大多数人的消费缩小到只能在相人群的这一份额占比下降至9.85%。其中，20世纪80年代以来，美国收入最低的20%人群收入占比仅维持在国民收入的5%左右，为4.67%</w:t>
      </w:r>
      <w:r>
        <w:rPr>
          <w:rFonts w:hint="eastAsia" w:ascii="宋体" w:hAnsi="宋体" w:eastAsia="宋体" w:cs="宋体"/>
          <w:color w:val="231F20"/>
          <w:spacing w:val="-1"/>
          <w:sz w:val="24"/>
          <w:szCs w:val="24"/>
          <w:lang w:val="en-US" w:eastAsia="zh-CN"/>
        </w:rPr>
        <w:t>.</w:t>
      </w:r>
      <w:r>
        <w:rPr>
          <w:rStyle w:val="20"/>
          <w:rFonts w:hint="eastAsia" w:ascii="宋体" w:hAnsi="宋体" w:eastAsia="宋体" w:cs="宋体"/>
          <w:color w:val="231F20"/>
          <w:spacing w:val="-1"/>
          <w:sz w:val="24"/>
          <w:szCs w:val="24"/>
          <w:lang w:val="en-US" w:eastAsia="zh-CN"/>
        </w:rPr>
        <w:footnoteReference w:id="755"/>
      </w:r>
    </w:p>
    <w:p w14:paraId="485E8512">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在收入构成（包括工资、薪金、养老金，以及红利、利息收入、租金等）中，工资、薪金、养老金可归结为劳动力的价值和价格，而红利、利息收入、租金等应算为资本收入。由此，通过整理美国居民收入构成可见，越富有的人群，其劳动力收入占比越低。在高收入人群中，收入最高的0.01%人群的工资收入近年来维持在32%左右，2000年达到60.81%的峰值，这与美国同期企业利润同比增速下降、互联网企业进入泡沫破灭期、美股总市值蒸发等有关。而同样的高收入人群，工资比重也存在极大差异。收入最高的0.1%—0.5%人群，其工资收入占总收入的比重约为60%，收入最高的1%—5%人群这一比例提升为82%左右，而收入最高的5%—10%人群这一比例达90%左右。</w:t>
      </w:r>
      <w:r>
        <w:rPr>
          <w:rStyle w:val="20"/>
          <w:rFonts w:hint="eastAsia" w:ascii="宋体" w:hAnsi="宋体" w:eastAsia="宋体" w:cs="宋体"/>
          <w:color w:val="231F20"/>
          <w:spacing w:val="-1"/>
          <w:sz w:val="24"/>
          <w:szCs w:val="24"/>
        </w:rPr>
        <w:footnoteReference w:id="756"/>
      </w:r>
      <w:r>
        <w:rPr>
          <w:rFonts w:hint="eastAsia" w:ascii="宋体" w:hAnsi="宋体" w:eastAsia="宋体" w:cs="宋体"/>
          <w:color w:val="231F20"/>
          <w:spacing w:val="-1"/>
          <w:sz w:val="24"/>
          <w:szCs w:val="24"/>
        </w:rPr>
        <w:t>这意味着，随着总收入上升，工资在全部收入中的份额逐渐减少，还有很大一部分人群的工资收入甚至处于低于劳动力价值的境况。</w:t>
      </w:r>
    </w:p>
    <w:p w14:paraId="2456EFAE">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进一步从财富分布来看，美国财富占比不平等现象更为明显。自20世纪60年代以来，美国前1%和10%人群的净财富份额占比虽然呈现出先抑后扬趋势，但始终占据美国一半以上财富，而后50%人群的财富占比始终处于2%以下。20世纪80年代初周期性经济危机爆发后，美国富人财富占比重新开始上涨，到2022年，前1%人群的净财富份额占比上升至34.9%，前10%人群占比为70%以上。其中，通过对比前1%人群与前10%人群财富占比可以发现，自1979年以来，前1%人群在前10%人群中的财富占比情况逐年上升，并且在2022年，前10%人群所拥有的净财富比重接近50%，这意味着，美国财富在富裕阶层中出现进一步集中，财富向更少部分人群聚集。与此相对应，后50%人群的净财富份额占比仅维持在1.5%左右，虽然存在高低起伏，最低出现在1974年的0.4%，最高出现在1996年的1.9%，但在更大比例人口之下，对财富的极少占有份额充分展现出存在于美国的巨大的贫富差距。</w:t>
      </w:r>
    </w:p>
    <w:p w14:paraId="16B63ED4">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从历史数据可以看到，在美国，收入两极分化是一个长期持续的现象，并且在经济危机前后两极分化程度会进一步加剧，进而形成消费不足，影响经济增长。</w:t>
      </w:r>
    </w:p>
    <w:p w14:paraId="3A73DDA6">
      <w:pPr>
        <w:pStyle w:val="4"/>
        <w:bidi w:val="0"/>
        <w:rPr>
          <w:rFonts w:hint="eastAsia"/>
          <w:lang w:val="en-US" w:eastAsia="zh-CN"/>
        </w:rPr>
      </w:pPr>
      <w:r>
        <w:rPr>
          <w:rFonts w:hint="eastAsia"/>
          <w:lang w:val="en-US" w:eastAsia="zh-CN"/>
        </w:rPr>
        <w:t>二、资本主义私有制容易导致实体经济部门投资不足</w:t>
      </w:r>
    </w:p>
    <w:p w14:paraId="16726226">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投资是“对用于未来生产更多物品和劳务的物品的购买”。</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_Ref7111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[7]</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(p.10)</w:t>
      </w:r>
      <w:r>
        <w:rPr>
          <w:rFonts w:hint="eastAsia" w:ascii="宋体" w:hAnsi="宋体" w:eastAsia="宋体" w:cs="宋体"/>
          <w:color w:val="231F20"/>
          <w:spacing w:val="-1"/>
          <w:sz w:val="24"/>
          <w:szCs w:val="24"/>
        </w:rPr>
        <w:t>传统的宏观经济理论认为，投资会受到收益递减制约，而宏观货币政策亦在财富效应、利率效应、汇率效应三方面影响投资规模。究其根本，投资受收益率影响，会随着收益率变化而增加或减少。私人资本运动是为了增殖，增殖是私人资本的基本职能，因而私有企业达不到预期利润便不投资，即使在给私人企业大规模减税的情况下也如此（在以劳动人民为中心和就业优先的发展方针中，公有资本和公有企业最好达到预期利润，即使无利润但能解决人民就业和工资收入问题，即未必歇业或不投资），这是所有制关系在资本运动中的具体体现。</w:t>
      </w:r>
    </w:p>
    <w:p w14:paraId="147B7463">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（一）理论分析</w:t>
      </w:r>
    </w:p>
    <w:p w14:paraId="5792000F">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资本逻辑主导下的剥削关系是资本主义制度的必然产物。在由市场配置生产要素件下，资本转化为各种生产要素进行价值生产和剩余价值生产实现了增殖。这是资本主义生产资料私有制下投资的目的和结果。但是，资本在受追求更多剩余价值驱使而不断运动的过程中，会随着劳动生产力提高而改变资本有机构成、资本周转速度，由此形成“资本→剩余价值→资本有机构成提高→平均利润率下降→生息资本增加→投资减少”的理论逻辑。</w:t>
      </w:r>
    </w:p>
    <w:p w14:paraId="47127065">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“生产方式的变革，在工场手工业中以劳动力为起点，在大工业中以劳动资料为起点。”</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_Ref25564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[4]</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(p.408)</w:t>
      </w:r>
      <w:r>
        <w:rPr>
          <w:rFonts w:hint="eastAsia" w:ascii="宋体" w:hAnsi="宋体" w:eastAsia="宋体" w:cs="宋体"/>
          <w:color w:val="231F20"/>
          <w:spacing w:val="-1"/>
          <w:sz w:val="24"/>
          <w:szCs w:val="24"/>
        </w:rPr>
        <w:t>机器发明成为资本家获取更多剩余价值的手段。相对剩余价值生产通过“缩短必要劳动时间、相应地改变工作日的两个组成部分的量的比例”</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_Ref25564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[4]</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(p.350)</w:t>
      </w:r>
      <w:r>
        <w:rPr>
          <w:rFonts w:hint="eastAsia" w:ascii="宋体" w:hAnsi="宋体" w:eastAsia="宋体" w:cs="宋体"/>
          <w:color w:val="231F20"/>
          <w:spacing w:val="-1"/>
          <w:sz w:val="24"/>
          <w:szCs w:val="24"/>
        </w:rPr>
        <w:t>来实现，而这种实现规程“必须变革劳动过程的技术条件和社会条件，从而变革生产方式本身，以提高劳动生产力，通过提高劳动生产力来降低劳动力的价值，从而缩短在生产劳动力价值所必要的工作日部分”。</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_Ref25564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[4]</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(p.350)</w:t>
      </w:r>
      <w:r>
        <w:rPr>
          <w:rFonts w:hint="eastAsia" w:ascii="宋体" w:hAnsi="宋体" w:eastAsia="宋体" w:cs="宋体"/>
          <w:color w:val="231F20"/>
          <w:spacing w:val="-1"/>
          <w:sz w:val="24"/>
          <w:szCs w:val="24"/>
        </w:rPr>
        <w:t>劳动生产力提升使商品价值量下降，进而在降低劳动力价值的同时改变了不变资本与可变资本之间的比例关系。</w:t>
      </w:r>
    </w:p>
    <w:p w14:paraId="302B8DAC">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zh-CN"/>
        </w:rPr>
      </w:pPr>
      <w:r>
        <w:rPr>
          <w:rFonts w:hint="eastAsia" w:ascii="宋体" w:hAnsi="宋体" w:eastAsia="宋体" w:cs="宋体"/>
          <w:color w:val="231F20"/>
          <w:spacing w:val="-1"/>
          <w:sz w:val="24"/>
          <w:szCs w:val="24"/>
        </w:rPr>
        <w:t>科技发展及其在生产领域的应用，在改变资本有机构成的同时，使一般利润率发生变化。“由于更多地使用机器和一般固定资本，同数工人在同一时间内可以把更多的原料和辅助材料转化为产品，也就是说，可以用较少的劳动把它们转化为产品。”</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_Ref7249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[8]</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(p.237)</w:t>
      </w:r>
      <w:r>
        <w:rPr>
          <w:rFonts w:hint="eastAsia" w:ascii="宋体" w:hAnsi="宋体" w:eastAsia="宋体" w:cs="宋体"/>
          <w:color w:val="231F20"/>
          <w:spacing w:val="-1"/>
          <w:sz w:val="24"/>
          <w:szCs w:val="24"/>
        </w:rPr>
        <w:t>随着科技发展，资本有机构成呈现上升趋势。而在剩余价值率不发生变化即资本对劳动的剥削程度不改变的情况下，资本有机构成的提高必然会引起一般利润率逐步下降。“因此，一般利润率下降的趋势，只是劳动的社会生产力日益发展在资本主义生产方式下所特有的表现。”</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_Ref7249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[8]</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(p.237)</w:t>
      </w:r>
      <w:r>
        <w:rPr>
          <w:rFonts w:hint="eastAsia" w:ascii="宋体" w:hAnsi="宋体" w:eastAsia="宋体" w:cs="宋体"/>
          <w:color w:val="231F20"/>
          <w:spacing w:val="-1"/>
          <w:sz w:val="24"/>
          <w:szCs w:val="24"/>
        </w:rPr>
        <w:t>而资本有机构成的提高，又带来由于固定资本在总资本中的比重增大而引起的资本周转速度的下降，进一步引发一般利润率水平的降低</w:t>
      </w:r>
      <w:r>
        <w:rPr>
          <w:rFonts w:hint="eastAsia" w:ascii="宋体" w:hAnsi="宋体" w:eastAsia="宋体" w:cs="宋体"/>
          <w:color w:val="231F20"/>
          <w:spacing w:val="-1"/>
          <w:sz w:val="24"/>
          <w:szCs w:val="24"/>
          <w:lang w:eastAsia="zh-CN"/>
        </w:rPr>
        <w:t>。</w:t>
      </w:r>
    </w:p>
    <w:p w14:paraId="6C37AB68">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马克思在分析一般利润率下降起反作用发展而导致经济危机。从美国近50年数据来看，实体经济部门投资呈现下降趋势，这间接证明了资本主义发展的必然规律。美国私人投资占国内生产总值的比重在曲折中下降。几个急速下降又上升的转折点都出现在程度不同的经济危机之后。</w:t>
      </w:r>
      <w:r>
        <w:rPr>
          <w:rStyle w:val="20"/>
          <w:rFonts w:hint="eastAsia" w:ascii="宋体" w:hAnsi="宋体" w:eastAsia="宋体" w:cs="宋体"/>
          <w:color w:val="231F20"/>
          <w:spacing w:val="-1"/>
          <w:sz w:val="24"/>
          <w:szCs w:val="24"/>
        </w:rPr>
        <w:footnoteReference w:id="757"/>
      </w:r>
    </w:p>
    <w:p w14:paraId="7AC07409">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美国私人投资占国内生产总值比重在1975年、1982年、1991年、2002年、2009年均出现重大转折，</w:t>
      </w:r>
      <w:r>
        <w:rPr>
          <w:rStyle w:val="20"/>
          <w:rFonts w:hint="eastAsia" w:ascii="宋体" w:hAnsi="宋体" w:eastAsia="宋体" w:cs="宋体"/>
          <w:color w:val="231F20"/>
          <w:spacing w:val="-1"/>
          <w:sz w:val="24"/>
          <w:szCs w:val="24"/>
        </w:rPr>
        <w:footnoteReference w:id="758"/>
      </w:r>
      <w:r>
        <w:rPr>
          <w:rFonts w:hint="eastAsia" w:ascii="宋体" w:hAnsi="宋体" w:eastAsia="宋体" w:cs="宋体"/>
          <w:color w:val="231F20"/>
          <w:spacing w:val="-1"/>
          <w:sz w:val="24"/>
          <w:szCs w:val="24"/>
        </w:rPr>
        <w:t>而这几年前后分别是20世纪70年代和80年代两次石油危机造成的经济衰退、1991年利率过快放开管制而导致储贷危机引起经济衰退、2002年科技泡沫导致新一轮经济衰退，以及2008年美国次贷危机波及全球引发全球经济危机。在每次危机发生前，资本在市场中的自由竞争，必然导致投资增速下降，当投资增速下降到一定程度，危机爆发使政府通过宏观政策调整而引起投资增加</w:t>
      </w:r>
      <w:r>
        <w:rPr>
          <w:rFonts w:hint="eastAsia" w:ascii="宋体" w:hAnsi="宋体" w:eastAsia="宋体" w:cs="宋体"/>
          <w:color w:val="231F20"/>
          <w:spacing w:val="-1"/>
          <w:sz w:val="24"/>
          <w:szCs w:val="24"/>
          <w:lang w:eastAsia="zh-CN"/>
        </w:rPr>
        <w:t>。</w:t>
      </w:r>
      <w:r>
        <w:rPr>
          <w:rFonts w:hint="eastAsia" w:ascii="宋体" w:hAnsi="宋体" w:eastAsia="宋体" w:cs="宋体"/>
          <w:color w:val="231F20"/>
          <w:spacing w:val="-1"/>
          <w:sz w:val="24"/>
          <w:szCs w:val="24"/>
        </w:rPr>
        <w:t>但由于资本主义内生基本矛盾，之后恶性竞争将再次成为“经济人”的行为导向，投资会遵循私有制规律而下降，并引起下一周期的经济危机。</w:t>
      </w:r>
    </w:p>
    <w:p w14:paraId="1B9B799B">
      <w:pPr>
        <w:pStyle w:val="4"/>
        <w:bidi w:val="0"/>
        <w:rPr>
          <w:rFonts w:hint="eastAsia"/>
          <w:lang w:val="en-US" w:eastAsia="zh-CN"/>
        </w:rPr>
      </w:pPr>
      <w:r>
        <w:rPr>
          <w:rFonts w:hint="eastAsia"/>
          <w:lang w:val="en-US" w:eastAsia="zh-CN"/>
        </w:rPr>
        <w:t>三、资本主义私有制必然导致产业失衡</w:t>
      </w:r>
    </w:p>
    <w:p w14:paraId="461783DE">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产业是经济发展的核心和基础，产业结构合理化程度是衡量一国经济发展状况的重要指标。经济增长不仅体现为价值量增加，更体现为社会生产各产业部门按比例协调发展。在资本主义生产资料私有制条件下，资本逐利本质和平均利润率规律决定了经常性处于产业失衡是资本主义国家发展的客观必然，这给资本主义国家经济造成诸多负面后果，导致周期性经济危机爆发。</w:t>
      </w:r>
    </w:p>
    <w:p w14:paraId="553F3430">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（一）理论分析</w:t>
      </w:r>
    </w:p>
    <w:p w14:paraId="4B541578">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zh-CN"/>
        </w:rPr>
      </w:pPr>
      <w:r>
        <w:rPr>
          <w:rFonts w:hint="eastAsia" w:ascii="宋体" w:hAnsi="宋体" w:eastAsia="宋体" w:cs="宋体"/>
          <w:color w:val="231F20"/>
          <w:spacing w:val="-1"/>
          <w:sz w:val="24"/>
          <w:szCs w:val="24"/>
        </w:rPr>
        <w:t>根据马克思主义政治经济学基本原理，“按比例分配社会劳动的规律是社会生产与社会需要之间矛盾运动以及整个国民经济协调发展的规律”。</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_Ref7539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[10]</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rPr>
        <w:t>在社会再生产过程中，劳动力、生产资料依据社会需要合理分配到不同社会生产领域，以保证社会总供给与社会总需求的平衡，实现各个产业部门的结构平衡。资本主义生产方式下这种平衡主要通过不同生产部门之间竞争和资本转移完成。各特殊生产部门资本有机构成和资本周转速度不同，等量资本获得的利润却不相同，在逐利本性驱使下，资本必然会向资本有机构成低、资本周转速度快、利润更高的部门转移，资本转移改变了不同产业部门的生产比例，影响了资源在不同产业部门的配置，从而导致经济结构失衡</w:t>
      </w:r>
      <w:r>
        <w:rPr>
          <w:rFonts w:hint="eastAsia" w:ascii="宋体" w:hAnsi="宋体" w:eastAsia="宋体" w:cs="宋体"/>
          <w:color w:val="231F20"/>
          <w:spacing w:val="-1"/>
          <w:sz w:val="24"/>
          <w:szCs w:val="24"/>
          <w:lang w:eastAsia="zh-CN"/>
        </w:rPr>
        <w:t>。</w:t>
      </w:r>
    </w:p>
    <w:p w14:paraId="0A5DA41F">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同时，这种失衡靠市场机制无法调节，因为资本的私有性质和整个社会生产的无政府状态决定了市场调节的失灵。马克思指出：“全部困难是由这样一个事实产生的：商品不只是当作商品来交换，而是当作资本的产品来交换。这些资本要求从剩余价值的总量中，分到和它们各自的量成比例的一份，或者在它们的量相等时，要求分到相等的一份。”</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_Ref7565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[11]</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vertAlign w:val="superscript"/>
          <w:lang w:val="en-US" w:eastAsia="zh-CN"/>
        </w:rPr>
        <w:t>(p.196)</w:t>
      </w:r>
      <w:r>
        <w:rPr>
          <w:rFonts w:hint="eastAsia" w:ascii="宋体" w:hAnsi="宋体" w:eastAsia="宋体" w:cs="宋体"/>
          <w:color w:val="231F20"/>
          <w:spacing w:val="-1"/>
          <w:sz w:val="24"/>
          <w:szCs w:val="24"/>
        </w:rPr>
        <w:t>因此，资本流动的源动力一定是利润，而非社会需求，在获得预期利润时，部门平均利润率水平点就会出现，而这一水平点大部分情况不会是社会总需求与社会总供给平衡的点，因为平均利润率水平上的生产价格是与价值相背离的，这已经意味着社会总劳动没有按照各部门之间的必要比例进行分配。</w:t>
      </w:r>
      <w:r>
        <w:rPr>
          <w:rFonts w:hint="eastAsia" w:ascii="宋体" w:hAnsi="宋体" w:eastAsia="宋体" w:cs="宋体"/>
          <w:color w:val="231F20"/>
          <w:spacing w:val="-1"/>
          <w:sz w:val="24"/>
          <w:szCs w:val="24"/>
          <w:vertAlign w:val="superscript"/>
          <w:lang w:val="en-US"/>
        </w:rPr>
        <w:fldChar w:fldCharType="begin"/>
      </w:r>
      <w:r>
        <w:rPr>
          <w:rFonts w:hint="eastAsia" w:ascii="宋体" w:hAnsi="宋体" w:eastAsia="宋体" w:cs="宋体"/>
          <w:color w:val="231F20"/>
          <w:spacing w:val="-1"/>
          <w:sz w:val="24"/>
          <w:szCs w:val="24"/>
          <w:vertAlign w:val="superscript"/>
          <w:lang w:val="en-US"/>
        </w:rPr>
        <w:instrText xml:space="preserve"> REF _Ref7604 \n \h </w:instrText>
      </w:r>
      <w:r>
        <w:rPr>
          <w:rFonts w:hint="eastAsia" w:ascii="宋体" w:hAnsi="宋体" w:eastAsia="宋体" w:cs="宋体"/>
          <w:color w:val="231F20"/>
          <w:spacing w:val="-1"/>
          <w:sz w:val="24"/>
          <w:szCs w:val="24"/>
          <w:vertAlign w:val="superscript"/>
          <w:lang w:val="en-US"/>
        </w:rPr>
        <w:fldChar w:fldCharType="separate"/>
      </w:r>
      <w:r>
        <w:rPr>
          <w:rFonts w:hint="eastAsia" w:ascii="宋体" w:hAnsi="宋体" w:eastAsia="宋体" w:cs="宋体"/>
          <w:color w:val="231F20"/>
          <w:spacing w:val="-1"/>
          <w:sz w:val="24"/>
          <w:szCs w:val="24"/>
          <w:vertAlign w:val="superscript"/>
          <w:lang w:val="en-US"/>
        </w:rPr>
        <w:t>[12]</w:t>
      </w:r>
      <w:r>
        <w:rPr>
          <w:rFonts w:hint="eastAsia" w:ascii="宋体" w:hAnsi="宋体" w:eastAsia="宋体" w:cs="宋体"/>
          <w:color w:val="231F20"/>
          <w:spacing w:val="-1"/>
          <w:sz w:val="24"/>
          <w:szCs w:val="24"/>
          <w:vertAlign w:val="superscript"/>
          <w:lang w:val="en-US"/>
        </w:rPr>
        <w:fldChar w:fldCharType="end"/>
      </w:r>
      <w:r>
        <w:rPr>
          <w:rFonts w:hint="eastAsia" w:ascii="宋体" w:hAnsi="宋体" w:eastAsia="宋体" w:cs="宋体"/>
          <w:color w:val="231F20"/>
          <w:spacing w:val="-1"/>
          <w:sz w:val="24"/>
          <w:szCs w:val="24"/>
        </w:rPr>
        <w:t>因此，资本主义产业失衡状态被平均利润率规律固定下来，并成为一种常态。但长期产业失衡是无法支撑整个经济社会稳定持续发展的，最终只能通过周期性经济危机消耗掉相对过剩的生产力而使产业结构形成新的比例关系。</w:t>
      </w:r>
    </w:p>
    <w:p w14:paraId="19A4A4D4">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当然，新技术发明和应用通过产业升级，也可形成新的比例关系。当这种新技术还仅被个别资本家掌握时，由于供给远远不能满足不断扩大的需求，高额利润会吸引更多的资本进行技术和产品更新。当越来越多资本家掌握新技术后，平均利润率规律再次将产业结构定格在失衡状态。因此，技术革命不仅不能消除产业结构失衡，还可能由于新部门增加和旧部门衰亡而加重产业失衡和动荡程度。</w:t>
      </w:r>
    </w:p>
    <w:p w14:paraId="05EC16C7">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资本的空间转移同样被认为是解决资本主义经济失衡和危机爆发的有效方法。由于资源禀赋不同，各国形成不同的利润增长点，例如资源密集型产业结构和制造业集中型产业结构，劳动密集型产业结构和资本密集型产业结构，制造业为主的产业结构和服务业为主的产业结构，等等</w:t>
      </w:r>
      <w:r>
        <w:rPr>
          <w:rFonts w:hint="eastAsia" w:ascii="宋体" w:hAnsi="宋体" w:eastAsia="宋体" w:cs="宋体"/>
          <w:color w:val="231F20"/>
          <w:spacing w:val="-1"/>
          <w:sz w:val="24"/>
          <w:szCs w:val="24"/>
          <w:lang w:eastAsia="zh-CN"/>
        </w:rPr>
        <w:t>。</w:t>
      </w:r>
      <w:r>
        <w:rPr>
          <w:rFonts w:hint="eastAsia" w:ascii="宋体" w:hAnsi="宋体" w:eastAsia="宋体" w:cs="宋体"/>
          <w:color w:val="231F20"/>
          <w:spacing w:val="-1"/>
          <w:sz w:val="24"/>
          <w:szCs w:val="24"/>
        </w:rPr>
        <w:t>利润驱动形成资本的国际流动，而资本国际流动又促成产业的国际分工，这种国际分工在20世纪80年代后表现为：落后产业如加工制造业和资源开发业由于利润低而被转移到生产要素比较便宜的发展中国家或地区，而轻污染、高利润的高新技术产业和关键核心技术部门则被留在发达国家内部，从而资本主义国家的产业失衡进一步扩大，表现为产业链断裂式失衡，即一国产业链不再完整，而出现部分产业部门缺失。因此，资本的空间转移非但不能解决资本主义国家产业失衡带来的困扰，反而使失衡发生了质的蜕变和世界范围内的蔓延。</w:t>
      </w:r>
    </w:p>
    <w:p w14:paraId="436C20E0">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rPr>
      </w:pPr>
      <w:r>
        <w:rPr>
          <w:rFonts w:hint="eastAsia" w:ascii="宋体" w:hAnsi="宋体" w:eastAsia="宋体" w:cs="宋体"/>
          <w:color w:val="231F20"/>
          <w:spacing w:val="-1"/>
          <w:sz w:val="24"/>
          <w:szCs w:val="24"/>
        </w:rPr>
        <w:t>资本的全球流动，导致资本主义发达国家将本国制造业大规模向海外转移，这大大降低了生产成本、提高了利润水平，但也带来更为严重的产业失衡问题，即“制造业的空心化”和“经济过度金融化”。制造业的海外转移使越来越多资本从社会生产领域游离出来，而新技术革命带来的金融创新则给大量闲置的资本提供了更为有利的投资场所。各种金融产品、金融模式、金融服务的无限创新，拓展了信用，克服了时间和空间限制，进一步增强了资本的流动性，降低了金融成本，提升了金融行业的利润水平。金融行业的高利润和低成本，使资源配置不断向金融领域倾向，在疏于政府干预甚至政府支持——资本主义国家纷纷解绑金融和资本管制——条件下，资本不断从实体经济部门进入金融部门，呈现出过度金融化特征。经济过度金融化必然导致实体产业部门衰退，主要表现就是价值创造的减少和价值实现的困难，经济发展不可持续。</w:t>
      </w:r>
    </w:p>
    <w:p w14:paraId="5B578FEE">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en-US"/>
        </w:rPr>
      </w:pPr>
      <w:r>
        <w:rPr>
          <w:rFonts w:hint="eastAsia" w:ascii="宋体" w:hAnsi="宋体" w:eastAsia="宋体" w:cs="宋体"/>
          <w:color w:val="231F20"/>
          <w:spacing w:val="-1"/>
          <w:sz w:val="24"/>
          <w:szCs w:val="24"/>
          <w:lang w:val="en-US" w:eastAsia="en-US"/>
        </w:rPr>
        <w:t>（二）现实分析</w:t>
      </w:r>
    </w:p>
    <w:p w14:paraId="58DA66D3">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zh-CN"/>
        </w:rPr>
      </w:pPr>
      <w:r>
        <w:rPr>
          <w:rFonts w:hint="eastAsia" w:ascii="宋体" w:hAnsi="宋体" w:eastAsia="宋体" w:cs="宋体"/>
          <w:color w:val="231F20"/>
          <w:spacing w:val="-1"/>
          <w:sz w:val="24"/>
          <w:szCs w:val="24"/>
          <w:lang w:val="en-US" w:eastAsia="en-US"/>
        </w:rPr>
        <w:t>过度金融化挤压实体行业成为当代资本主义生产资料私有制最明显特征，也成为阻碍产业发展、影响产业结构的重要因素。金融资本随着资本主义实体经济的集中和垄断而产生，并在金融资本与产业资本的融合中不断扩大形成私人金融寡头。金融资本的壮大使大量资本从制造业流入金融行业，进而由债务和投机行为引致经济下行。20世纪70年代末以来，新自由主义经济学开始兴起并逐渐成为资本主义国家主流经济学。在新自由主义经济学影响下，金融资产广泛发展。数据显示，无论是美国金融资产在国家总资产中的占比，还是非金融企业中的金融资产在其总资产的占比，都在逐年上升。从不同资产占比来看，金融行业在国民经济中的比重不断增加，非金融行业所占比重逐年下降，到2007年已降至30%以下。同时需要注意的是，非金融企业的金融资产占总资产比重也呈现上升趋势，这表现出产业资本热衷于金融投资，弱化了技术积累，严重影响了制造业良序发展。从增加值来看，美国金融行业的增加值呈现出持续递增态势，并在1985年超过实体制造业，与此相对，制造业增加值在国民经济中比重逐年下降，并在20世纪初降至30%以下。结合美国国内生产总值增长速度，自20世纪70年代以来，美国经济增速呈下降趋势，并在1985年后进入缓慢增速状态。其中，从1984年经济增长速度7.24%锐减至1985年的4.17%后，又曲折下降到3%左右，并且在2008年金融危机后出现了负增长。这两个时间节点恰好与金融行业增加值超过制造业，以及非金融资产占全国总资产比例低至30%以下的时间重合。同时，还应关注到，从2001年到2006年，美国经济出现了短暂的增速期，从2001年0.95%上涨至2005年3.48%，这也与这一阶段金融资产占国家资产比重呈现下降趋势，非金融资产出现短暂增加的时间重合</w:t>
      </w:r>
      <w:r>
        <w:rPr>
          <w:rFonts w:hint="eastAsia" w:ascii="宋体" w:hAnsi="宋体" w:eastAsia="宋体" w:cs="宋体"/>
          <w:color w:val="231F20"/>
          <w:spacing w:val="-1"/>
          <w:sz w:val="24"/>
          <w:szCs w:val="24"/>
          <w:lang w:val="en-US" w:eastAsia="zh-CN"/>
        </w:rPr>
        <w:t>。</w:t>
      </w:r>
      <w:r>
        <w:rPr>
          <w:rFonts w:hint="eastAsia" w:ascii="宋体" w:hAnsi="宋体" w:eastAsia="宋体" w:cs="宋体"/>
          <w:color w:val="231F20"/>
          <w:spacing w:val="-1"/>
          <w:sz w:val="24"/>
          <w:szCs w:val="24"/>
          <w:vertAlign w:val="superscript"/>
          <w:lang w:val="en-US" w:eastAsia="zh-CN"/>
        </w:rPr>
        <w:footnoteReference w:id="759"/>
      </w:r>
    </w:p>
    <w:p w14:paraId="0F454301">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en-US"/>
        </w:rPr>
      </w:pPr>
      <w:r>
        <w:rPr>
          <w:rFonts w:hint="eastAsia" w:ascii="宋体" w:hAnsi="宋体" w:eastAsia="宋体" w:cs="宋体"/>
          <w:color w:val="231F20"/>
          <w:spacing w:val="-1"/>
          <w:sz w:val="24"/>
          <w:szCs w:val="24"/>
          <w:lang w:val="en-US" w:eastAsia="en-US"/>
        </w:rPr>
        <w:t>从美国金融行业与制造业的增加值占国内生产总值变化可见，自金融业所占比重超过制造业所占比重以来，美国经济增速便陷入低增长。进一步从金融资产占国内总资产比重变化以及非金融行业金融资产比重变化可见，金融资产比重与经济走势呈反向变动趋势。可见，金融业过快发展会对制造业造成影响，进而对经济增长产生抑制作用。</w:t>
      </w:r>
    </w:p>
    <w:p w14:paraId="3498B8C9">
      <w:pPr>
        <w:pageBreakBefore w:val="0"/>
        <w:widowControl/>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color w:val="231F20"/>
          <w:spacing w:val="-1"/>
          <w:sz w:val="24"/>
          <w:szCs w:val="24"/>
          <w:lang w:val="en-US" w:eastAsia="en-US"/>
        </w:rPr>
      </w:pPr>
      <w:r>
        <w:rPr>
          <w:rFonts w:hint="eastAsia" w:ascii="宋体" w:hAnsi="宋体" w:eastAsia="宋体" w:cs="宋体"/>
          <w:color w:val="231F20"/>
          <w:spacing w:val="-1"/>
          <w:sz w:val="24"/>
          <w:szCs w:val="24"/>
          <w:lang w:val="en-US" w:eastAsia="en-US"/>
        </w:rPr>
        <w:t>经济规律是诸现象之间必然、本质、稳定和反复出现的关系，而定理是指用逻辑的方法判断为正确并作为推理根据的真命题，表述经证明具有正确性，可作为原则或规律的命题。以马克思主义基本原理解析资本主义生产资料私有制在社会经济发展过程中对消费、投资以及产业发展造成的负面影响，科技发展蕴含的增长潜力和生产力没有得到应有的充分发挥，进而成为抑制社会经济增长和经济发展的根本原因，同时可以以历史发展进程中的客观现实为佐证，印证这一结论。这种不以人的意志为转移的趋势可以称之为“资本主义私有制增长缓慢规律”。从20世纪以来资本主义长期增长和负增长的实证分析结果来看</w:t>
      </w:r>
      <w:r>
        <w:rPr>
          <w:rFonts w:hint="eastAsia" w:ascii="宋体" w:hAnsi="宋体" w:eastAsia="宋体" w:cs="宋体"/>
          <w:color w:val="231F20"/>
          <w:spacing w:val="-1"/>
          <w:sz w:val="24"/>
          <w:szCs w:val="24"/>
          <w:lang w:val="en-US" w:eastAsia="zh-CN"/>
        </w:rPr>
        <w:t>，</w:t>
      </w:r>
      <w:r>
        <w:rPr>
          <w:rFonts w:hint="eastAsia" w:ascii="宋体" w:hAnsi="宋体" w:eastAsia="宋体" w:cs="宋体"/>
          <w:color w:val="231F20"/>
          <w:spacing w:val="-1"/>
          <w:sz w:val="24"/>
          <w:szCs w:val="24"/>
          <w:lang w:val="en-US" w:eastAsia="en-US"/>
        </w:rPr>
        <w:t>“资本主义私有制增长缓慢定理”客观存在，</w:t>
      </w:r>
      <w:r>
        <w:rPr>
          <w:rFonts w:hint="eastAsia" w:ascii="宋体" w:hAnsi="宋体" w:eastAsia="宋体" w:cs="宋体"/>
          <w:color w:val="231F20"/>
          <w:spacing w:val="-1"/>
          <w:sz w:val="24"/>
          <w:szCs w:val="24"/>
          <w:vertAlign w:val="superscript"/>
          <w:lang w:val="en-US" w:eastAsia="en-US"/>
        </w:rPr>
        <w:footnoteReference w:id="760"/>
      </w:r>
      <w:r>
        <w:rPr>
          <w:rFonts w:hint="eastAsia" w:ascii="宋体" w:hAnsi="宋体" w:eastAsia="宋体" w:cs="宋体"/>
          <w:color w:val="231F20"/>
          <w:spacing w:val="-1"/>
          <w:sz w:val="24"/>
          <w:szCs w:val="24"/>
          <w:lang w:val="en-US" w:eastAsia="en-US"/>
        </w:rPr>
        <w:t>这是资本主义生产资料私有制占主体的生产关系在很大程度上不适应生产力发展的表现，是资本主义国家潜在的经济增长速度没有得到充分释放的表现。因此，从数十年长期来观察，不论是什么类型的市场经济体制，凡是私有制经济成分占比越高的，这个客观规律就会越显示其作用。</w:t>
      </w:r>
    </w:p>
    <w:p w14:paraId="5C2515E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leftChars="0" w:right="0" w:firstLine="536" w:firstLineChars="200"/>
        <w:jc w:val="both"/>
        <w:textAlignment w:val="baseline"/>
        <w:rPr>
          <w:rFonts w:hint="eastAsia" w:ascii="宋体" w:hAnsi="宋体" w:eastAsia="宋体" w:cs="宋体"/>
          <w:snapToGrid w:val="0"/>
          <w:color w:val="231F20"/>
          <w:spacing w:val="14"/>
          <w:kern w:val="0"/>
          <w:sz w:val="24"/>
          <w:szCs w:val="24"/>
          <w:lang w:val="en-US" w:eastAsia="en-US" w:bidi="ar-SA"/>
        </w:rPr>
      </w:pPr>
    </w:p>
    <w:p w14:paraId="713C0F5E">
      <w:pPr>
        <w:pageBreakBefore w:val="0"/>
        <w:widowControl/>
        <w:kinsoku w:val="0"/>
        <w:wordWrap/>
        <w:overflowPunct/>
        <w:topLinePunct w:val="0"/>
        <w:autoSpaceDE w:val="0"/>
        <w:autoSpaceDN w:val="0"/>
        <w:bidi w:val="0"/>
        <w:adjustRightInd w:val="0"/>
        <w:snapToGrid w:val="0"/>
        <w:spacing w:line="400" w:lineRule="exact"/>
        <w:ind w:left="0" w:leftChars="0" w:right="0" w:firstLine="46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3"/>
          <w:position w:val="1"/>
          <w:sz w:val="24"/>
          <w:szCs w:val="24"/>
        </w:rPr>
        <w:t>[参考文献]</w:t>
      </w:r>
    </w:p>
    <w:p w14:paraId="212BB377">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504" w:firstLineChars="200"/>
        <w:jc w:val="both"/>
        <w:textAlignment w:val="baseline"/>
        <w:rPr>
          <w:rFonts w:hint="eastAsia" w:ascii="宋体" w:hAnsi="宋体" w:eastAsia="宋体" w:cs="宋体"/>
          <w:sz w:val="24"/>
          <w:szCs w:val="24"/>
        </w:rPr>
      </w:pPr>
      <w:bookmarkStart w:id="414" w:name="_Ref25378"/>
      <w:r>
        <w:rPr>
          <w:rFonts w:hint="eastAsia" w:ascii="宋体" w:hAnsi="宋体" w:eastAsia="宋体" w:cs="宋体"/>
          <w:color w:val="231F20"/>
          <w:spacing w:val="6"/>
          <w:sz w:val="24"/>
          <w:szCs w:val="24"/>
        </w:rPr>
        <w:t>刘国光.当前世界经济危机中中国的表现与中国特色社会</w:t>
      </w:r>
      <w:r>
        <w:rPr>
          <w:rFonts w:hint="eastAsia" w:ascii="宋体" w:hAnsi="宋体" w:eastAsia="宋体" w:cs="宋体"/>
          <w:color w:val="231F20"/>
          <w:spacing w:val="-6"/>
          <w:sz w:val="24"/>
          <w:szCs w:val="24"/>
        </w:rPr>
        <w:t>主义模式的关系[J].高校理论战线，2009，(5).</w:t>
      </w:r>
      <w:bookmarkEnd w:id="414"/>
    </w:p>
    <w:p w14:paraId="521343F7">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0" w:firstLineChars="200"/>
        <w:jc w:val="both"/>
        <w:textAlignment w:val="baseline"/>
        <w:rPr>
          <w:rFonts w:hint="eastAsia" w:ascii="宋体" w:hAnsi="宋体" w:eastAsia="宋体" w:cs="宋体"/>
          <w:sz w:val="24"/>
          <w:szCs w:val="24"/>
        </w:rPr>
      </w:pPr>
      <w:bookmarkStart w:id="415" w:name="_Ref25398"/>
      <w:r>
        <w:rPr>
          <w:rFonts w:hint="eastAsia" w:ascii="宋体" w:hAnsi="宋体" w:eastAsia="宋体" w:cs="宋体"/>
          <w:color w:val="231F20"/>
          <w:spacing w:val="-5"/>
          <w:sz w:val="24"/>
          <w:szCs w:val="24"/>
        </w:rPr>
        <w:t>亓为康.马克思有没有“消费不足”意义上</w:t>
      </w:r>
      <w:r>
        <w:rPr>
          <w:rFonts w:hint="eastAsia" w:ascii="宋体" w:hAnsi="宋体" w:eastAsia="宋体" w:cs="宋体"/>
          <w:color w:val="231F20"/>
          <w:spacing w:val="-6"/>
          <w:sz w:val="24"/>
          <w:szCs w:val="24"/>
        </w:rPr>
        <w:t>的危机理</w:t>
      </w:r>
      <w:r>
        <w:rPr>
          <w:rFonts w:hint="eastAsia" w:ascii="宋体" w:hAnsi="宋体" w:eastAsia="宋体" w:cs="宋体"/>
          <w:color w:val="231F20"/>
          <w:spacing w:val="-4"/>
          <w:sz w:val="24"/>
          <w:szCs w:val="24"/>
        </w:rPr>
        <w:t>论？——基于经典文本的考察[J].海派经济学，2022，(3).</w:t>
      </w:r>
      <w:bookmarkEnd w:id="415"/>
    </w:p>
    <w:p w14:paraId="7C864784">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8" w:firstLineChars="200"/>
        <w:jc w:val="both"/>
        <w:textAlignment w:val="baseline"/>
        <w:rPr>
          <w:rFonts w:hint="eastAsia" w:ascii="宋体" w:hAnsi="宋体" w:eastAsia="宋体" w:cs="宋体"/>
          <w:sz w:val="24"/>
          <w:szCs w:val="24"/>
        </w:rPr>
      </w:pPr>
      <w:bookmarkStart w:id="416" w:name="_Ref25496"/>
      <w:r>
        <w:rPr>
          <w:rFonts w:hint="eastAsia" w:ascii="宋体" w:hAnsi="宋体" w:eastAsia="宋体" w:cs="宋体"/>
          <w:color w:val="231F20"/>
          <w:spacing w:val="-3"/>
          <w:sz w:val="24"/>
          <w:szCs w:val="24"/>
        </w:rPr>
        <w:t>马克思恩格斯选集(第3卷)[M].北京：人民出版社，2</w:t>
      </w:r>
      <w:r>
        <w:rPr>
          <w:rFonts w:hint="eastAsia" w:ascii="宋体" w:hAnsi="宋体" w:eastAsia="宋体" w:cs="宋体"/>
          <w:color w:val="231F20"/>
          <w:spacing w:val="-4"/>
          <w:sz w:val="24"/>
          <w:szCs w:val="24"/>
        </w:rPr>
        <w:t>012.</w:t>
      </w:r>
      <w:bookmarkEnd w:id="416"/>
    </w:p>
    <w:p w14:paraId="5CF2BB6E">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8" w:firstLineChars="200"/>
        <w:jc w:val="both"/>
        <w:textAlignment w:val="baseline"/>
        <w:rPr>
          <w:rFonts w:hint="eastAsia" w:ascii="宋体" w:hAnsi="宋体" w:eastAsia="宋体" w:cs="宋体"/>
          <w:sz w:val="24"/>
          <w:szCs w:val="24"/>
        </w:rPr>
      </w:pPr>
      <w:bookmarkStart w:id="417" w:name="_Ref25564"/>
      <w:r>
        <w:rPr>
          <w:rFonts w:hint="eastAsia" w:ascii="宋体" w:hAnsi="宋体" w:eastAsia="宋体" w:cs="宋体"/>
          <w:color w:val="231F20"/>
          <w:spacing w:val="-3"/>
          <w:sz w:val="24"/>
          <w:szCs w:val="24"/>
        </w:rPr>
        <w:t>马克思恩格斯全集(第23卷)[M].北京：人民出版社，1972.</w:t>
      </w:r>
      <w:bookmarkEnd w:id="417"/>
    </w:p>
    <w:p w14:paraId="6D358A5E">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0" w:firstLineChars="200"/>
        <w:jc w:val="both"/>
        <w:textAlignment w:val="baseline"/>
        <w:rPr>
          <w:rFonts w:hint="eastAsia" w:ascii="宋体" w:hAnsi="宋体" w:eastAsia="宋体" w:cs="宋体"/>
          <w:sz w:val="24"/>
          <w:szCs w:val="24"/>
        </w:rPr>
      </w:pPr>
      <w:bookmarkStart w:id="418" w:name="_Ref4878"/>
      <w:r>
        <w:rPr>
          <w:rFonts w:hint="eastAsia" w:ascii="宋体" w:hAnsi="宋体" w:eastAsia="宋体" w:cs="宋体"/>
          <w:color w:val="231F20"/>
          <w:spacing w:val="-5"/>
          <w:sz w:val="24"/>
          <w:szCs w:val="24"/>
        </w:rPr>
        <w:t>马克思.资本论(第1卷)[M].北京：人民出版社，2004.</w:t>
      </w:r>
      <w:bookmarkEnd w:id="418"/>
    </w:p>
    <w:p w14:paraId="2C006992">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3"/>
          <w:sz w:val="24"/>
          <w:szCs w:val="24"/>
        </w:rPr>
        <w:t>马克思恩格斯文集(第7卷)[M].北京：人民出版社，2009.</w:t>
      </w:r>
    </w:p>
    <w:p w14:paraId="363A35FA">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sz w:val="24"/>
          <w:szCs w:val="24"/>
        </w:rPr>
      </w:pPr>
      <w:bookmarkStart w:id="419" w:name="_Ref7111"/>
      <w:r>
        <w:rPr>
          <w:rFonts w:hint="eastAsia" w:ascii="宋体" w:hAnsi="宋体" w:eastAsia="宋体" w:cs="宋体"/>
          <w:color w:val="231F20"/>
          <w:spacing w:val="-1"/>
          <w:sz w:val="24"/>
          <w:szCs w:val="24"/>
        </w:rPr>
        <w:t>[美]曼昆.经济学原理：宏观经济分册[M].梁小民，梁砾译，</w:t>
      </w:r>
      <w:r>
        <w:rPr>
          <w:rFonts w:hint="eastAsia" w:ascii="宋体" w:hAnsi="宋体" w:eastAsia="宋体" w:cs="宋体"/>
          <w:color w:val="231F20"/>
          <w:spacing w:val="-3"/>
          <w:sz w:val="24"/>
          <w:szCs w:val="24"/>
        </w:rPr>
        <w:t>北京：北京大学出版社，2012.</w:t>
      </w:r>
      <w:bookmarkEnd w:id="419"/>
    </w:p>
    <w:p w14:paraId="2919FE38">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500" w:firstLineChars="200"/>
        <w:jc w:val="both"/>
        <w:textAlignment w:val="baseline"/>
        <w:rPr>
          <w:rFonts w:hint="eastAsia" w:ascii="宋体" w:hAnsi="宋体" w:eastAsia="宋体" w:cs="宋体"/>
          <w:sz w:val="24"/>
          <w:szCs w:val="24"/>
        </w:rPr>
      </w:pPr>
      <w:bookmarkStart w:id="420" w:name="_Ref7249"/>
      <w:r>
        <w:rPr>
          <w:rFonts w:hint="eastAsia" w:ascii="宋体" w:hAnsi="宋体" w:eastAsia="宋体" w:cs="宋体"/>
          <w:color w:val="231F20"/>
          <w:spacing w:val="5"/>
          <w:sz w:val="24"/>
          <w:szCs w:val="24"/>
        </w:rPr>
        <w:t>马克思恩格斯全集(第25卷)(上)[M].北京，人民</w:t>
      </w:r>
      <w:r>
        <w:rPr>
          <w:rFonts w:hint="eastAsia" w:ascii="宋体" w:hAnsi="宋体" w:eastAsia="宋体" w:cs="宋体"/>
          <w:color w:val="231F20"/>
          <w:spacing w:val="4"/>
          <w:sz w:val="24"/>
          <w:szCs w:val="24"/>
        </w:rPr>
        <w:t>出版社，</w:t>
      </w:r>
      <w:r>
        <w:rPr>
          <w:rFonts w:hint="eastAsia" w:ascii="宋体" w:hAnsi="宋体" w:eastAsia="宋体" w:cs="宋体"/>
          <w:color w:val="231F20"/>
          <w:sz w:val="24"/>
          <w:szCs w:val="24"/>
        </w:rPr>
        <w:t>1974.</w:t>
      </w:r>
      <w:bookmarkEnd w:id="420"/>
    </w:p>
    <w:p w14:paraId="4089E3C3">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color w:val="231F20"/>
          <w:sz w:val="24"/>
          <w:szCs w:val="24"/>
        </w:rPr>
        <w:t>程恩富，冯金华，马艳主编.现代政治经济学新编(</w:t>
      </w:r>
      <w:r>
        <w:rPr>
          <w:rFonts w:hint="eastAsia" w:ascii="宋体" w:hAnsi="宋体" w:eastAsia="宋体" w:cs="宋体"/>
          <w:color w:val="231F20"/>
          <w:spacing w:val="-1"/>
          <w:sz w:val="24"/>
          <w:szCs w:val="24"/>
        </w:rPr>
        <w:t>通用版第</w:t>
      </w:r>
      <w:r>
        <w:rPr>
          <w:rFonts w:hint="eastAsia" w:ascii="宋体" w:hAnsi="宋体" w:eastAsia="宋体" w:cs="宋体"/>
          <w:color w:val="231F20"/>
          <w:spacing w:val="-3"/>
          <w:sz w:val="24"/>
          <w:szCs w:val="24"/>
        </w:rPr>
        <w:t>五版)[M].上海：上海财经大学出版社，2017.</w:t>
      </w:r>
    </w:p>
    <w:p w14:paraId="5CB2D70E">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520" w:firstLineChars="200"/>
        <w:jc w:val="both"/>
        <w:textAlignment w:val="baseline"/>
        <w:rPr>
          <w:rFonts w:hint="eastAsia" w:ascii="宋体" w:hAnsi="宋体" w:eastAsia="宋体" w:cs="宋体"/>
          <w:sz w:val="24"/>
          <w:szCs w:val="24"/>
        </w:rPr>
      </w:pPr>
      <w:bookmarkStart w:id="421" w:name="_Ref7539"/>
      <w:r>
        <w:rPr>
          <w:rFonts w:hint="eastAsia" w:ascii="宋体" w:hAnsi="宋体" w:eastAsia="宋体" w:cs="宋体"/>
          <w:color w:val="231F20"/>
          <w:spacing w:val="10"/>
          <w:sz w:val="24"/>
          <w:szCs w:val="24"/>
        </w:rPr>
        <w:t>程恩富.要坚持中国特色社会主义政治经济学的八个重</w:t>
      </w:r>
      <w:r>
        <w:rPr>
          <w:rFonts w:hint="eastAsia" w:ascii="宋体" w:hAnsi="宋体" w:eastAsia="宋体" w:cs="宋体"/>
          <w:color w:val="231F20"/>
          <w:spacing w:val="-10"/>
          <w:sz w:val="24"/>
          <w:szCs w:val="24"/>
        </w:rPr>
        <w:t>大原则[J].经济纵横，2016，(3).</w:t>
      </w:r>
      <w:bookmarkEnd w:id="421"/>
    </w:p>
    <w:p w14:paraId="56171E77">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4" w:firstLineChars="200"/>
        <w:jc w:val="both"/>
        <w:textAlignment w:val="baseline"/>
        <w:rPr>
          <w:rFonts w:hint="eastAsia" w:ascii="宋体" w:hAnsi="宋体" w:eastAsia="宋体" w:cs="宋体"/>
          <w:sz w:val="24"/>
          <w:szCs w:val="24"/>
        </w:rPr>
      </w:pPr>
      <w:bookmarkStart w:id="422" w:name="_Ref7565"/>
      <w:r>
        <w:rPr>
          <w:rFonts w:hint="eastAsia" w:ascii="宋体" w:hAnsi="宋体" w:eastAsia="宋体" w:cs="宋体"/>
          <w:color w:val="231F20"/>
          <w:spacing w:val="-4"/>
          <w:sz w:val="24"/>
          <w:szCs w:val="24"/>
        </w:rPr>
        <w:t>马克思.资本论(第3卷)[M].北京：人民</w:t>
      </w:r>
      <w:r>
        <w:rPr>
          <w:rFonts w:hint="eastAsia" w:ascii="宋体" w:hAnsi="宋体" w:eastAsia="宋体" w:cs="宋体"/>
          <w:color w:val="231F20"/>
          <w:spacing w:val="-5"/>
          <w:sz w:val="24"/>
          <w:szCs w:val="24"/>
        </w:rPr>
        <w:t>出版社，2004.</w:t>
      </w:r>
      <w:bookmarkEnd w:id="422"/>
    </w:p>
    <w:p w14:paraId="0656EE0B">
      <w:pPr>
        <w:pStyle w:val="6"/>
        <w:pageBreakBefore w:val="0"/>
        <w:widowControl/>
        <w:numPr>
          <w:ilvl w:val="0"/>
          <w:numId w:val="14"/>
        </w:numPr>
        <w:kinsoku w:val="0"/>
        <w:wordWrap/>
        <w:overflowPunct/>
        <w:topLinePunct w:val="0"/>
        <w:autoSpaceDE w:val="0"/>
        <w:autoSpaceDN w:val="0"/>
        <w:bidi w:val="0"/>
        <w:adjustRightInd w:val="0"/>
        <w:snapToGrid w:val="0"/>
        <w:spacing w:line="400" w:lineRule="exact"/>
        <w:ind w:left="0" w:leftChars="0" w:right="0" w:firstLine="464" w:firstLineChars="200"/>
        <w:jc w:val="both"/>
        <w:textAlignment w:val="baseline"/>
        <w:rPr>
          <w:rFonts w:hint="eastAsia" w:ascii="宋体" w:hAnsi="宋体" w:eastAsia="宋体" w:cs="宋体"/>
          <w:color w:val="231F20"/>
          <w:spacing w:val="-4"/>
          <w:sz w:val="24"/>
          <w:szCs w:val="24"/>
        </w:rPr>
      </w:pPr>
      <w:bookmarkStart w:id="423" w:name="_Ref7604"/>
      <w:r>
        <w:rPr>
          <w:rFonts w:hint="eastAsia" w:ascii="宋体" w:hAnsi="宋体" w:eastAsia="宋体" w:cs="宋体"/>
          <w:color w:val="231F20"/>
          <w:spacing w:val="-4"/>
          <w:sz w:val="24"/>
          <w:szCs w:val="24"/>
        </w:rPr>
        <w:t>陈英.马克思的资本流动理论与产业结构的变动规律[J].教学与研究，</w:t>
      </w:r>
      <w:r>
        <w:rPr>
          <w:rFonts w:hint="eastAsia" w:ascii="宋体" w:hAnsi="宋体" w:eastAsia="宋体" w:cs="宋体"/>
          <w:color w:val="231F20"/>
          <w:spacing w:val="-4"/>
          <w:sz w:val="24"/>
          <w:szCs w:val="24"/>
          <w:lang w:val="en-US" w:eastAsia="zh-CN"/>
        </w:rPr>
        <w:t>2007，(12).</w:t>
      </w:r>
      <w:bookmarkEnd w:id="423"/>
    </w:p>
    <w:p w14:paraId="7BC14CB9">
      <w:pPr>
        <w:pStyle w:val="6"/>
        <w:pageBreakBefore w:val="0"/>
        <w:widowControl/>
        <w:numPr>
          <w:ilvl w:val="0"/>
          <w:numId w:val="0"/>
        </w:numPr>
        <w:kinsoku w:val="0"/>
        <w:wordWrap/>
        <w:overflowPunct/>
        <w:topLinePunct w:val="0"/>
        <w:autoSpaceDE w:val="0"/>
        <w:autoSpaceDN w:val="0"/>
        <w:bidi w:val="0"/>
        <w:adjustRightInd w:val="0"/>
        <w:snapToGrid w:val="0"/>
        <w:spacing w:line="400" w:lineRule="exact"/>
        <w:ind w:leftChars="200" w:right="0" w:rightChars="0"/>
        <w:jc w:val="both"/>
        <w:textAlignment w:val="baseline"/>
        <w:rPr>
          <w:rFonts w:hint="eastAsia" w:ascii="宋体" w:hAnsi="宋体" w:eastAsia="宋体" w:cs="宋体"/>
          <w:color w:val="231F20"/>
          <w:spacing w:val="-4"/>
          <w:sz w:val="24"/>
          <w:szCs w:val="24"/>
        </w:rPr>
      </w:pPr>
    </w:p>
    <w:p w14:paraId="7D0A3CD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原载《</w:t>
      </w:r>
      <w:r>
        <w:rPr>
          <w:rFonts w:hint="eastAsia"/>
        </w:rPr>
        <w:t>毛泽东邓小平理论研究</w:t>
      </w:r>
      <w:r>
        <w:rPr>
          <w:rFonts w:hint="eastAsia" w:ascii="宋体" w:hAnsi="宋体" w:eastAsia="宋体" w:cs="宋体"/>
          <w:sz w:val="24"/>
          <w:szCs w:val="24"/>
          <w:lang w:val="en-US" w:eastAsia="zh-CN"/>
        </w:rPr>
        <w:t>》2024年第8期，第一作者为徐文斌。</w:t>
      </w:r>
      <w:r>
        <w:rPr>
          <w:rFonts w:hint="eastAsia" w:ascii="宋体" w:hAnsi="宋体" w:eastAsia="宋体" w:cs="宋体"/>
          <w:sz w:val="24"/>
          <w:szCs w:val="24"/>
          <w:lang w:eastAsia="zh-CN"/>
        </w:rPr>
        <w:t>）</w:t>
      </w:r>
    </w:p>
    <w:p w14:paraId="71D35E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279A691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01A2736">
      <w:pPr>
        <w:pStyle w:val="3"/>
        <w:bidi w:val="0"/>
        <w:rPr>
          <w:rFonts w:hint="eastAsia"/>
        </w:rPr>
      </w:pPr>
      <w:bookmarkStart w:id="424" w:name="_Toc15143"/>
      <w:bookmarkStart w:id="425" w:name="_Toc357303677"/>
      <w:bookmarkStart w:id="426" w:name="_Toc1639391561"/>
      <w:bookmarkStart w:id="427" w:name="_Toc1349556961"/>
      <w:bookmarkStart w:id="428" w:name="_Toc2107913449"/>
      <w:bookmarkStart w:id="429" w:name="_Toc308533827"/>
      <w:r>
        <w:rPr>
          <w:rFonts w:hint="eastAsia"/>
          <w:lang w:val="en-US" w:eastAsia="zh-CN"/>
        </w:rPr>
        <w:t>5</w:t>
      </w:r>
      <w:r>
        <w:rPr>
          <w:rFonts w:hint="eastAsia"/>
        </w:rPr>
        <w:t>论塑造与新质生产力相适应的新型生产关系——学习党的二十届三中全会精神的体会</w:t>
      </w:r>
      <w:bookmarkEnd w:id="424"/>
      <w:bookmarkEnd w:id="425"/>
      <w:bookmarkEnd w:id="426"/>
      <w:bookmarkEnd w:id="427"/>
      <w:bookmarkEnd w:id="428"/>
      <w:bookmarkEnd w:id="429"/>
    </w:p>
    <w:p w14:paraId="644897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0B73B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摘要］遵循党的二十届三中全会精神，当前亟须塑造符合新质生产力发展要求的社会主义新型生产关系，包括构建公有主体型的多种产权制度、劳动主体型的多种分配制度、国家主导型的多种调节制度、自力主导型的对外开放制度。同时，要以“四主型”经济制度为核心指引，进一步细化到具体的体制机制改革上，包括：深化财税体制改革，健全完善财税体系；深化金融体制改革，构建现代金融体系；深化教育体制改革，创新教育育人环境；深化科技体制改革，形成创新文化氛围；深化人才发展体制改革，造就高素质人才体系。通过完善“四主型”经济制度和深化体制机制改革对生产关系进行改造和革新，与此同时，也要为塑造新型生产关系建立一整套高效管用的保障机制，具体包括：坚持党对塑造新型生产关系的领导；健全“集中力量办大事”的新型举国体制；全面深化改革，激活各要素生产活力；深化法治建设，营造公平竞争的市场环境。多措并举，才能充分激发新型生产关系的活力和潜能，推动新质生产力加快形成，提升经济发展的创新力和竞争力。</w:t>
      </w:r>
    </w:p>
    <w:p w14:paraId="59AAABF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［关键词］新质生产力；新型生产关系；经济体制改革；党的二十届三中全会</w:t>
      </w:r>
    </w:p>
    <w:p w14:paraId="026871A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right="0"/>
        <w:jc w:val="both"/>
        <w:textAlignment w:val="baseline"/>
        <w:rPr>
          <w:rFonts w:hint="eastAsia" w:ascii="宋体" w:hAnsi="宋体" w:eastAsia="宋体" w:cs="宋体"/>
          <w:spacing w:val="5"/>
          <w:sz w:val="24"/>
          <w:szCs w:val="24"/>
        </w:rPr>
      </w:pPr>
      <w:r>
        <w:rPr>
          <w:rFonts w:hint="eastAsia" w:ascii="宋体" w:hAnsi="宋体" w:eastAsia="宋体" w:cs="宋体"/>
          <w:spacing w:val="-7"/>
          <w:sz w:val="24"/>
          <w:szCs w:val="24"/>
        </w:rPr>
        <w:t>习近平提出：“发展新质生产力是推动高质</w:t>
      </w:r>
      <w:r>
        <w:rPr>
          <w:rFonts w:hint="eastAsia" w:ascii="宋体" w:hAnsi="宋体" w:eastAsia="宋体" w:cs="宋体"/>
          <w:spacing w:val="-2"/>
          <w:sz w:val="24"/>
          <w:szCs w:val="24"/>
        </w:rPr>
        <w:t>量发展的内在要求和重要着力点。”</w:t>
      </w:r>
      <w:r>
        <w:rPr>
          <w:rFonts w:hint="eastAsia" w:ascii="宋体" w:hAnsi="宋体" w:eastAsia="宋体" w:cs="宋体"/>
          <w:spacing w:val="-2"/>
          <w:sz w:val="24"/>
          <w:szCs w:val="24"/>
          <w:vertAlign w:val="superscript"/>
          <w:lang w:val="en-US"/>
        </w:rPr>
        <w:fldChar w:fldCharType="begin"/>
      </w:r>
      <w:r>
        <w:rPr>
          <w:rFonts w:hint="eastAsia" w:ascii="宋体" w:hAnsi="宋体" w:eastAsia="宋体" w:cs="宋体"/>
          <w:spacing w:val="-2"/>
          <w:sz w:val="24"/>
          <w:szCs w:val="24"/>
          <w:vertAlign w:val="superscript"/>
          <w:lang w:val="en-US"/>
        </w:rPr>
        <w:instrText xml:space="preserve"> REF _Ref27712 \r \h </w:instrText>
      </w:r>
      <w:r>
        <w:rPr>
          <w:rFonts w:hint="eastAsia" w:ascii="宋体" w:hAnsi="宋体" w:eastAsia="宋体" w:cs="宋体"/>
          <w:spacing w:val="-2"/>
          <w:sz w:val="24"/>
          <w:szCs w:val="24"/>
          <w:vertAlign w:val="superscript"/>
          <w:lang w:val="en-US"/>
        </w:rPr>
        <w:fldChar w:fldCharType="separate"/>
      </w:r>
      <w:r>
        <w:rPr>
          <w:rFonts w:hint="eastAsia" w:ascii="宋体" w:hAnsi="宋体" w:eastAsia="宋体" w:cs="宋体"/>
          <w:spacing w:val="-2"/>
          <w:sz w:val="24"/>
          <w:szCs w:val="24"/>
          <w:vertAlign w:val="superscript"/>
          <w:lang w:val="en-US"/>
        </w:rPr>
        <w:t>[1]</w:t>
      </w:r>
      <w:r>
        <w:rPr>
          <w:rFonts w:hint="eastAsia" w:ascii="宋体" w:hAnsi="宋体" w:eastAsia="宋体" w:cs="宋体"/>
          <w:spacing w:val="-2"/>
          <w:sz w:val="24"/>
          <w:szCs w:val="24"/>
          <w:vertAlign w:val="superscript"/>
          <w:lang w:val="en-US"/>
        </w:rPr>
        <w:fldChar w:fldCharType="end"/>
      </w:r>
      <w:r>
        <w:rPr>
          <w:rFonts w:hint="eastAsia" w:ascii="宋体" w:hAnsi="宋体" w:eastAsia="宋体" w:cs="宋体"/>
          <w:spacing w:val="-2"/>
          <w:sz w:val="24"/>
          <w:szCs w:val="24"/>
        </w:rPr>
        <w:t>“生产关</w:t>
      </w:r>
      <w:r>
        <w:rPr>
          <w:rFonts w:hint="eastAsia" w:ascii="宋体" w:hAnsi="宋体" w:eastAsia="宋体" w:cs="宋体"/>
          <w:spacing w:val="5"/>
          <w:sz w:val="24"/>
          <w:szCs w:val="24"/>
        </w:rPr>
        <w:t>系必须与生产力发展要求相适应。发展新质生产力，必须进一步全面深化改革，形成与之相</w:t>
      </w:r>
      <w:r>
        <w:rPr>
          <w:rFonts w:hint="eastAsia" w:ascii="宋体" w:hAnsi="宋体" w:eastAsia="宋体" w:cs="宋体"/>
          <w:spacing w:val="-2"/>
          <w:sz w:val="24"/>
          <w:szCs w:val="24"/>
        </w:rPr>
        <w:t>适应的新型生产关系。”</w:t>
      </w:r>
      <w:r>
        <w:rPr>
          <w:rFonts w:hint="eastAsia" w:ascii="宋体" w:hAnsi="宋体" w:eastAsia="宋体" w:cs="宋体"/>
          <w:spacing w:val="-2"/>
          <w:sz w:val="24"/>
          <w:szCs w:val="24"/>
          <w:vertAlign w:val="superscript"/>
          <w:lang w:val="en-US"/>
        </w:rPr>
        <w:fldChar w:fldCharType="begin"/>
      </w:r>
      <w:r>
        <w:rPr>
          <w:rFonts w:hint="eastAsia" w:ascii="宋体" w:hAnsi="宋体" w:eastAsia="宋体" w:cs="宋体"/>
          <w:spacing w:val="-2"/>
          <w:sz w:val="24"/>
          <w:szCs w:val="24"/>
          <w:vertAlign w:val="superscript"/>
          <w:lang w:val="en-US"/>
        </w:rPr>
        <w:instrText xml:space="preserve"> REF _Ref27738 \r \h </w:instrText>
      </w:r>
      <w:r>
        <w:rPr>
          <w:rFonts w:hint="eastAsia" w:ascii="宋体" w:hAnsi="宋体" w:eastAsia="宋体" w:cs="宋体"/>
          <w:spacing w:val="-2"/>
          <w:sz w:val="24"/>
          <w:szCs w:val="24"/>
          <w:vertAlign w:val="superscript"/>
          <w:lang w:val="en-US"/>
        </w:rPr>
        <w:fldChar w:fldCharType="separate"/>
      </w:r>
      <w:r>
        <w:rPr>
          <w:rFonts w:hint="eastAsia" w:ascii="宋体" w:hAnsi="宋体" w:eastAsia="宋体" w:cs="宋体"/>
          <w:spacing w:val="-2"/>
          <w:sz w:val="24"/>
          <w:szCs w:val="24"/>
          <w:vertAlign w:val="superscript"/>
          <w:lang w:val="en-US"/>
        </w:rPr>
        <w:t>[2]</w:t>
      </w:r>
      <w:r>
        <w:rPr>
          <w:rFonts w:hint="eastAsia" w:ascii="宋体" w:hAnsi="宋体" w:eastAsia="宋体" w:cs="宋体"/>
          <w:spacing w:val="-2"/>
          <w:sz w:val="24"/>
          <w:szCs w:val="24"/>
          <w:vertAlign w:val="superscript"/>
          <w:lang w:val="en-US"/>
        </w:rPr>
        <w:fldChar w:fldCharType="end"/>
      </w:r>
      <w:r>
        <w:rPr>
          <w:rFonts w:hint="eastAsia" w:ascii="宋体" w:hAnsi="宋体" w:eastAsia="宋体" w:cs="宋体"/>
          <w:spacing w:val="-2"/>
          <w:sz w:val="24"/>
          <w:szCs w:val="24"/>
        </w:rPr>
        <w:t>党的二十届三中全会</w:t>
      </w:r>
      <w:r>
        <w:rPr>
          <w:rFonts w:hint="eastAsia" w:ascii="宋体" w:hAnsi="宋体" w:eastAsia="宋体" w:cs="宋体"/>
          <w:spacing w:val="-1"/>
          <w:sz w:val="24"/>
          <w:szCs w:val="24"/>
        </w:rPr>
        <w:t>通过的《中共中央关于进一步全面深化改革推</w:t>
      </w:r>
      <w:r>
        <w:rPr>
          <w:rFonts w:hint="eastAsia" w:ascii="宋体" w:hAnsi="宋体" w:eastAsia="宋体" w:cs="宋体"/>
          <w:spacing w:val="-5"/>
          <w:sz w:val="24"/>
          <w:szCs w:val="24"/>
        </w:rPr>
        <w:t>进中国式现代化的决定》指出，“健全因地制宜</w:t>
      </w:r>
      <w:r>
        <w:rPr>
          <w:rFonts w:hint="eastAsia" w:ascii="宋体" w:hAnsi="宋体" w:eastAsia="宋体" w:cs="宋体"/>
          <w:spacing w:val="9"/>
          <w:sz w:val="24"/>
          <w:szCs w:val="24"/>
        </w:rPr>
        <w:t>发展新质生产力体制机制……加快形成同新质</w:t>
      </w:r>
      <w:r>
        <w:rPr>
          <w:rFonts w:hint="eastAsia" w:ascii="宋体" w:hAnsi="宋体" w:eastAsia="宋体" w:cs="宋体"/>
          <w:spacing w:val="3"/>
          <w:position w:val="-2"/>
          <w:sz w:val="24"/>
          <w:szCs w:val="24"/>
        </w:rPr>
        <w:t>生产力更相适应的生产关系”。</w:t>
      </w:r>
      <w:r>
        <w:rPr>
          <w:rFonts w:hint="eastAsia" w:ascii="宋体" w:hAnsi="宋体" w:eastAsia="宋体" w:cs="宋体"/>
          <w:spacing w:val="3"/>
          <w:position w:val="-2"/>
          <w:sz w:val="24"/>
          <w:szCs w:val="24"/>
          <w:vertAlign w:val="superscript"/>
          <w:lang w:val="en-US"/>
        </w:rPr>
        <w:fldChar w:fldCharType="begin"/>
      </w:r>
      <w:r>
        <w:rPr>
          <w:rFonts w:hint="eastAsia" w:ascii="宋体" w:hAnsi="宋体" w:eastAsia="宋体" w:cs="宋体"/>
          <w:spacing w:val="3"/>
          <w:position w:val="-2"/>
          <w:sz w:val="24"/>
          <w:szCs w:val="24"/>
          <w:vertAlign w:val="superscript"/>
          <w:lang w:val="en-US"/>
        </w:rPr>
        <w:instrText xml:space="preserve"> REF _Ref27761 \r \h </w:instrText>
      </w:r>
      <w:r>
        <w:rPr>
          <w:rFonts w:hint="eastAsia" w:ascii="宋体" w:hAnsi="宋体" w:eastAsia="宋体" w:cs="宋体"/>
          <w:spacing w:val="3"/>
          <w:position w:val="-2"/>
          <w:sz w:val="24"/>
          <w:szCs w:val="24"/>
          <w:vertAlign w:val="superscript"/>
          <w:lang w:val="en-US"/>
        </w:rPr>
        <w:fldChar w:fldCharType="separate"/>
      </w:r>
      <w:r>
        <w:rPr>
          <w:rFonts w:hint="eastAsia" w:ascii="宋体" w:hAnsi="宋体" w:eastAsia="宋体" w:cs="宋体"/>
          <w:spacing w:val="3"/>
          <w:position w:val="-2"/>
          <w:sz w:val="24"/>
          <w:szCs w:val="24"/>
          <w:vertAlign w:val="superscript"/>
          <w:lang w:val="en-US"/>
        </w:rPr>
        <w:t>[3]</w:t>
      </w:r>
      <w:r>
        <w:rPr>
          <w:rFonts w:hint="eastAsia" w:ascii="宋体" w:hAnsi="宋体" w:eastAsia="宋体" w:cs="宋体"/>
          <w:spacing w:val="3"/>
          <w:position w:val="-2"/>
          <w:sz w:val="24"/>
          <w:szCs w:val="24"/>
          <w:vertAlign w:val="superscript"/>
          <w:lang w:val="en-US"/>
        </w:rPr>
        <w:fldChar w:fldCharType="end"/>
      </w:r>
      <w:r>
        <w:rPr>
          <w:rFonts w:hint="eastAsia" w:ascii="宋体" w:hAnsi="宋体" w:eastAsia="宋体" w:cs="宋体"/>
          <w:spacing w:val="3"/>
          <w:position w:val="-2"/>
          <w:sz w:val="24"/>
          <w:szCs w:val="24"/>
          <w:vertAlign w:val="superscript"/>
          <w:lang w:val="en-US" w:eastAsia="zh-CN"/>
        </w:rPr>
        <w:t>(p10-11)</w:t>
      </w:r>
      <w:r>
        <w:rPr>
          <w:rFonts w:hint="eastAsia" w:ascii="宋体" w:hAnsi="宋体" w:eastAsia="宋体" w:cs="宋体"/>
          <w:spacing w:val="3"/>
          <w:position w:val="-2"/>
          <w:sz w:val="24"/>
          <w:szCs w:val="24"/>
        </w:rPr>
        <w:t>新质生</w:t>
      </w:r>
      <w:r>
        <w:rPr>
          <w:rFonts w:hint="eastAsia" w:ascii="宋体" w:hAnsi="宋体" w:eastAsia="宋体" w:cs="宋体"/>
          <w:spacing w:val="-2"/>
          <w:sz w:val="24"/>
          <w:szCs w:val="24"/>
        </w:rPr>
        <w:t>产力的形成是生产要素的增量变革与存量调整，</w:t>
      </w:r>
      <w:r>
        <w:rPr>
          <w:rFonts w:hint="eastAsia" w:ascii="宋体" w:hAnsi="宋体" w:eastAsia="宋体" w:cs="宋体"/>
          <w:spacing w:val="5"/>
          <w:sz w:val="24"/>
          <w:szCs w:val="24"/>
        </w:rPr>
        <w:t>更需借助持续改造完善生产关系来为其开辟发展空间。根据马克思主义生产关系理论，“人们在自己生活的社会生产中发生一定的、必然的、不以他们的意志为转移的关系，即同他们的物质生产力的一定发展阶段相适合的生产关系”。</w:t>
      </w:r>
      <w:r>
        <w:rPr>
          <w:rFonts w:hint="eastAsia" w:ascii="宋体" w:hAnsi="宋体" w:eastAsia="宋体" w:cs="宋体"/>
          <w:spacing w:val="5"/>
          <w:sz w:val="24"/>
          <w:szCs w:val="24"/>
          <w:vertAlign w:val="superscript"/>
          <w:lang w:val="en-US"/>
        </w:rPr>
        <w:fldChar w:fldCharType="begin"/>
      </w:r>
      <w:r>
        <w:rPr>
          <w:rFonts w:hint="eastAsia" w:ascii="宋体" w:hAnsi="宋体" w:eastAsia="宋体" w:cs="宋体"/>
          <w:spacing w:val="5"/>
          <w:sz w:val="24"/>
          <w:szCs w:val="24"/>
          <w:vertAlign w:val="superscript"/>
          <w:lang w:val="en-US"/>
        </w:rPr>
        <w:instrText xml:space="preserve"> REF _Ref27813 \r \h </w:instrText>
      </w:r>
      <w:r>
        <w:rPr>
          <w:rFonts w:hint="eastAsia" w:ascii="宋体" w:hAnsi="宋体" w:eastAsia="宋体" w:cs="宋体"/>
          <w:spacing w:val="5"/>
          <w:sz w:val="24"/>
          <w:szCs w:val="24"/>
          <w:vertAlign w:val="superscript"/>
          <w:lang w:val="en-US"/>
        </w:rPr>
        <w:fldChar w:fldCharType="separate"/>
      </w:r>
      <w:r>
        <w:rPr>
          <w:rFonts w:hint="eastAsia" w:ascii="宋体" w:hAnsi="宋体" w:eastAsia="宋体" w:cs="宋体"/>
          <w:spacing w:val="5"/>
          <w:sz w:val="24"/>
          <w:szCs w:val="24"/>
          <w:vertAlign w:val="superscript"/>
          <w:lang w:val="en-US"/>
        </w:rPr>
        <w:t>[4]</w:t>
      </w:r>
      <w:r>
        <w:rPr>
          <w:rFonts w:hint="eastAsia" w:ascii="宋体" w:hAnsi="宋体" w:eastAsia="宋体" w:cs="宋体"/>
          <w:spacing w:val="5"/>
          <w:sz w:val="24"/>
          <w:szCs w:val="24"/>
          <w:vertAlign w:val="superscript"/>
          <w:lang w:val="en-US"/>
        </w:rPr>
        <w:fldChar w:fldCharType="end"/>
      </w:r>
      <w:r>
        <w:rPr>
          <w:rFonts w:hint="eastAsia" w:ascii="宋体" w:hAnsi="宋体" w:eastAsia="宋体" w:cs="宋体"/>
          <w:spacing w:val="5"/>
          <w:sz w:val="24"/>
          <w:szCs w:val="24"/>
          <w:vertAlign w:val="superscript"/>
          <w:lang w:val="en-US" w:eastAsia="zh-CN"/>
        </w:rPr>
        <w:t>(p2)</w:t>
      </w:r>
      <w:r>
        <w:rPr>
          <w:rFonts w:hint="eastAsia" w:ascii="宋体" w:hAnsi="宋体" w:eastAsia="宋体" w:cs="宋体"/>
          <w:spacing w:val="5"/>
          <w:sz w:val="24"/>
          <w:szCs w:val="24"/>
        </w:rPr>
        <w:t>生产关系并不是永恒不变的，而是“随着物质生产资料、生产力的变化和发展而变化和改变</w:t>
      </w:r>
      <w:r>
        <w:rPr>
          <w:rFonts w:hint="eastAsia" w:ascii="宋体" w:hAnsi="宋体" w:eastAsia="宋体" w:cs="宋体"/>
          <w:spacing w:val="-22"/>
          <w:w w:val="94"/>
          <w:position w:val="-1"/>
          <w:sz w:val="24"/>
          <w:szCs w:val="24"/>
        </w:rPr>
        <w:t>的”。</w:t>
      </w:r>
      <w:r>
        <w:rPr>
          <w:rFonts w:hint="eastAsia" w:ascii="宋体" w:hAnsi="宋体" w:eastAsia="宋体" w:cs="宋体"/>
          <w:spacing w:val="-22"/>
          <w:w w:val="94"/>
          <w:position w:val="-1"/>
          <w:sz w:val="24"/>
          <w:szCs w:val="24"/>
          <w:vertAlign w:val="superscript"/>
          <w:lang w:val="en-US"/>
        </w:rPr>
        <w:fldChar w:fldCharType="begin"/>
      </w:r>
      <w:r>
        <w:rPr>
          <w:rFonts w:hint="eastAsia" w:ascii="宋体" w:hAnsi="宋体" w:eastAsia="宋体" w:cs="宋体"/>
          <w:spacing w:val="-22"/>
          <w:w w:val="94"/>
          <w:position w:val="-1"/>
          <w:sz w:val="24"/>
          <w:szCs w:val="24"/>
          <w:vertAlign w:val="superscript"/>
          <w:lang w:val="en-US"/>
        </w:rPr>
        <w:instrText xml:space="preserve"> REF _Ref28032 \r \h </w:instrText>
      </w:r>
      <w:r>
        <w:rPr>
          <w:rFonts w:hint="eastAsia" w:ascii="宋体" w:hAnsi="宋体" w:eastAsia="宋体" w:cs="宋体"/>
          <w:spacing w:val="-22"/>
          <w:w w:val="94"/>
          <w:position w:val="-1"/>
          <w:sz w:val="24"/>
          <w:szCs w:val="24"/>
          <w:vertAlign w:val="superscript"/>
          <w:lang w:val="en-US"/>
        </w:rPr>
        <w:fldChar w:fldCharType="separate"/>
      </w:r>
      <w:r>
        <w:rPr>
          <w:rFonts w:hint="eastAsia" w:ascii="宋体" w:hAnsi="宋体" w:eastAsia="宋体" w:cs="宋体"/>
          <w:spacing w:val="-22"/>
          <w:w w:val="94"/>
          <w:position w:val="-1"/>
          <w:sz w:val="24"/>
          <w:szCs w:val="24"/>
          <w:vertAlign w:val="superscript"/>
          <w:lang w:val="en-US"/>
        </w:rPr>
        <w:t>[5]</w:t>
      </w:r>
      <w:r>
        <w:rPr>
          <w:rFonts w:hint="eastAsia" w:ascii="宋体" w:hAnsi="宋体" w:eastAsia="宋体" w:cs="宋体"/>
          <w:spacing w:val="-22"/>
          <w:w w:val="94"/>
          <w:position w:val="-1"/>
          <w:sz w:val="24"/>
          <w:szCs w:val="24"/>
          <w:vertAlign w:val="superscript"/>
          <w:lang w:val="en-US"/>
        </w:rPr>
        <w:fldChar w:fldCharType="end"/>
      </w:r>
      <w:r>
        <w:rPr>
          <w:rFonts w:hint="eastAsia" w:ascii="宋体" w:hAnsi="宋体" w:eastAsia="宋体" w:cs="宋体"/>
          <w:spacing w:val="-22"/>
          <w:w w:val="94"/>
          <w:position w:val="-1"/>
          <w:sz w:val="24"/>
          <w:szCs w:val="24"/>
          <w:vertAlign w:val="superscript"/>
          <w:lang w:val="en-US" w:eastAsia="zh-CN"/>
        </w:rPr>
        <w:t>((  p340)</w:t>
      </w:r>
      <w:r>
        <w:rPr>
          <w:rFonts w:hint="eastAsia" w:ascii="宋体" w:hAnsi="宋体" w:eastAsia="宋体" w:cs="宋体"/>
          <w:spacing w:val="4"/>
          <w:position w:val="-1"/>
          <w:sz w:val="24"/>
          <w:szCs w:val="24"/>
        </w:rPr>
        <w:t>相比于以往任何社会形态，社会主</w:t>
      </w:r>
      <w:r>
        <w:rPr>
          <w:rFonts w:hint="eastAsia" w:ascii="宋体" w:hAnsi="宋体" w:eastAsia="宋体" w:cs="宋体"/>
          <w:spacing w:val="6"/>
          <w:sz w:val="24"/>
          <w:szCs w:val="24"/>
        </w:rPr>
        <w:t>义生产关系在生产资料占有形式、产品分配形</w:t>
      </w:r>
      <w:r>
        <w:rPr>
          <w:rFonts w:hint="eastAsia" w:ascii="宋体" w:hAnsi="宋体" w:eastAsia="宋体" w:cs="宋体"/>
          <w:spacing w:val="-5"/>
          <w:sz w:val="24"/>
          <w:szCs w:val="24"/>
        </w:rPr>
        <w:t>式上具有显著进步性。</w:t>
      </w:r>
      <w:r>
        <w:rPr>
          <w:rFonts w:hint="eastAsia" w:ascii="宋体" w:hAnsi="宋体" w:eastAsia="宋体" w:cs="宋体"/>
          <w:spacing w:val="5"/>
          <w:sz w:val="24"/>
          <w:szCs w:val="24"/>
        </w:rPr>
        <w:t>习近平指出：“在社会主义革命和建设的实践中，我们党对社会主义生产关系的内涵有了全面深刻的认识，认为社会主义生产关系既包含社会主义公有制的基本制度，也包括经济管理体制和经济运行机制等方面的内容。”</w:t>
      </w:r>
      <w:r>
        <w:rPr>
          <w:rFonts w:hint="eastAsia" w:ascii="宋体" w:hAnsi="宋体" w:eastAsia="宋体" w:cs="宋体"/>
          <w:spacing w:val="5"/>
          <w:sz w:val="24"/>
          <w:szCs w:val="24"/>
          <w:vertAlign w:val="superscript"/>
          <w:lang w:val="en-US"/>
        </w:rPr>
        <w:fldChar w:fldCharType="begin"/>
      </w:r>
      <w:r>
        <w:rPr>
          <w:rFonts w:hint="eastAsia" w:ascii="宋体" w:hAnsi="宋体" w:eastAsia="宋体" w:cs="宋体"/>
          <w:spacing w:val="5"/>
          <w:sz w:val="24"/>
          <w:szCs w:val="24"/>
          <w:vertAlign w:val="superscript"/>
          <w:lang w:val="en-US"/>
        </w:rPr>
        <w:instrText xml:space="preserve"> REF _Ref28117 \r \h </w:instrText>
      </w:r>
      <w:r>
        <w:rPr>
          <w:rFonts w:hint="eastAsia" w:ascii="宋体" w:hAnsi="宋体" w:eastAsia="宋体" w:cs="宋体"/>
          <w:spacing w:val="5"/>
          <w:sz w:val="24"/>
          <w:szCs w:val="24"/>
          <w:vertAlign w:val="superscript"/>
          <w:lang w:val="en-US"/>
        </w:rPr>
        <w:fldChar w:fldCharType="separate"/>
      </w:r>
      <w:r>
        <w:rPr>
          <w:rFonts w:hint="eastAsia" w:ascii="宋体" w:hAnsi="宋体" w:eastAsia="宋体" w:cs="宋体"/>
          <w:spacing w:val="5"/>
          <w:sz w:val="24"/>
          <w:szCs w:val="24"/>
          <w:vertAlign w:val="superscript"/>
          <w:lang w:val="en-US"/>
        </w:rPr>
        <w:t>[6]</w:t>
      </w:r>
      <w:r>
        <w:rPr>
          <w:rFonts w:hint="eastAsia" w:ascii="宋体" w:hAnsi="宋体" w:eastAsia="宋体" w:cs="宋体"/>
          <w:spacing w:val="5"/>
          <w:sz w:val="24"/>
          <w:szCs w:val="24"/>
          <w:vertAlign w:val="superscript"/>
          <w:lang w:val="en-US"/>
        </w:rPr>
        <w:fldChar w:fldCharType="end"/>
      </w:r>
      <w:r>
        <w:rPr>
          <w:rFonts w:hint="eastAsia" w:ascii="宋体" w:hAnsi="宋体" w:eastAsia="宋体" w:cs="宋体"/>
          <w:spacing w:val="5"/>
          <w:sz w:val="24"/>
          <w:szCs w:val="24"/>
        </w:rPr>
        <w:t>同生产力的一定状况相适应的生产关系总和构成经济基础，而经济基础又以经济制度和经济体制为载体。其中，经济制度是生产关系在制度维度上的规范和体现，经济体制是经济制度的具体实现形式和扩展，二者均影响着资源配置和经济运行，这就决定了塑造新型生产关系既要构建与其相适应的经济制度，也要对经济运行体制机制做出相应的调整与完善。</w:t>
      </w:r>
    </w:p>
    <w:p w14:paraId="6C4510E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b/>
          <w:bCs/>
          <w:spacing w:val="5"/>
          <w:sz w:val="24"/>
          <w:szCs w:val="24"/>
        </w:rPr>
      </w:pPr>
      <w:r>
        <w:rPr>
          <w:rFonts w:hint="eastAsia" w:ascii="宋体" w:hAnsi="宋体" w:eastAsia="宋体" w:cs="宋体"/>
          <w:b/>
          <w:bCs/>
          <w:spacing w:val="5"/>
          <w:sz w:val="24"/>
          <w:szCs w:val="24"/>
        </w:rPr>
        <w:t>一、适应新质生产力，塑造“四主型”经济制度的新型生产关系</w:t>
      </w:r>
    </w:p>
    <w:p w14:paraId="3BAAC9D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5"/>
          <w:sz w:val="24"/>
          <w:szCs w:val="24"/>
        </w:rPr>
        <w:t>马克思指出：“为了进行生产，人们相互之间便发生一定的联系和关系；只有在这些社会联系和社会关系的范围内，才会有他们对自然界的影响，才会有生产。”</w:t>
      </w:r>
      <w:r>
        <w:rPr>
          <w:rFonts w:hint="eastAsia" w:ascii="宋体" w:hAnsi="宋体" w:eastAsia="宋体" w:cs="宋体"/>
          <w:spacing w:val="5"/>
          <w:sz w:val="24"/>
          <w:szCs w:val="24"/>
          <w:vertAlign w:val="superscript"/>
          <w:lang w:val="en-US"/>
        </w:rPr>
        <w:fldChar w:fldCharType="begin"/>
      </w:r>
      <w:r>
        <w:rPr>
          <w:rFonts w:hint="eastAsia" w:ascii="宋体" w:hAnsi="宋体" w:eastAsia="宋体" w:cs="宋体"/>
          <w:spacing w:val="5"/>
          <w:sz w:val="24"/>
          <w:szCs w:val="24"/>
          <w:vertAlign w:val="superscript"/>
          <w:lang w:val="en-US"/>
        </w:rPr>
        <w:instrText xml:space="preserve"> REF _Ref28404 \r \h </w:instrText>
      </w:r>
      <w:r>
        <w:rPr>
          <w:rFonts w:hint="eastAsia" w:ascii="宋体" w:hAnsi="宋体" w:eastAsia="宋体" w:cs="宋体"/>
          <w:spacing w:val="5"/>
          <w:sz w:val="24"/>
          <w:szCs w:val="24"/>
          <w:vertAlign w:val="superscript"/>
          <w:lang w:val="en-US"/>
        </w:rPr>
        <w:fldChar w:fldCharType="separate"/>
      </w:r>
      <w:r>
        <w:rPr>
          <w:rFonts w:hint="eastAsia" w:ascii="宋体" w:hAnsi="宋体" w:eastAsia="宋体" w:cs="宋体"/>
          <w:spacing w:val="5"/>
          <w:sz w:val="24"/>
          <w:szCs w:val="24"/>
          <w:vertAlign w:val="superscript"/>
          <w:lang w:val="en-US"/>
        </w:rPr>
        <w:t>[7]</w:t>
      </w:r>
      <w:r>
        <w:rPr>
          <w:rFonts w:hint="eastAsia" w:ascii="宋体" w:hAnsi="宋体" w:eastAsia="宋体" w:cs="宋体"/>
          <w:spacing w:val="5"/>
          <w:sz w:val="24"/>
          <w:szCs w:val="24"/>
          <w:vertAlign w:val="superscript"/>
          <w:lang w:val="en-US"/>
        </w:rPr>
        <w:fldChar w:fldCharType="end"/>
      </w:r>
      <w:r>
        <w:rPr>
          <w:rFonts w:hint="eastAsia" w:ascii="宋体" w:hAnsi="宋体" w:eastAsia="宋体" w:cs="宋体"/>
          <w:spacing w:val="5"/>
          <w:sz w:val="24"/>
          <w:szCs w:val="24"/>
          <w:vertAlign w:val="superscript"/>
          <w:lang w:val="en-US" w:eastAsia="zh-CN"/>
        </w:rPr>
        <w:t>(P724)</w:t>
      </w:r>
      <w:r>
        <w:rPr>
          <w:rFonts w:hint="eastAsia" w:ascii="宋体" w:hAnsi="宋体" w:eastAsia="宋体" w:cs="宋体"/>
          <w:spacing w:val="5"/>
          <w:sz w:val="24"/>
          <w:szCs w:val="24"/>
        </w:rPr>
        <w:t>“随着新的生产力的获得，人们便改变自己的生产方式，而随着生产方式的改变，他们便改变所有不过是这一特定生产方式的必然关系的经济关系。”</w:t>
      </w:r>
      <w:r>
        <w:rPr>
          <w:rFonts w:hint="eastAsia" w:ascii="宋体" w:hAnsi="宋体" w:eastAsia="宋体" w:cs="宋体"/>
          <w:spacing w:val="5"/>
          <w:sz w:val="24"/>
          <w:szCs w:val="24"/>
          <w:vertAlign w:val="superscript"/>
          <w:lang w:val="en-US"/>
        </w:rPr>
        <w:fldChar w:fldCharType="begin"/>
      </w:r>
      <w:r>
        <w:rPr>
          <w:rFonts w:hint="eastAsia" w:ascii="宋体" w:hAnsi="宋体" w:eastAsia="宋体" w:cs="宋体"/>
          <w:spacing w:val="5"/>
          <w:sz w:val="24"/>
          <w:szCs w:val="24"/>
          <w:vertAlign w:val="superscript"/>
          <w:lang w:val="en-US"/>
        </w:rPr>
        <w:instrText xml:space="preserve"> REF _Ref28473 \r \h </w:instrText>
      </w:r>
      <w:r>
        <w:rPr>
          <w:rFonts w:hint="eastAsia" w:ascii="宋体" w:hAnsi="宋体" w:eastAsia="宋体" w:cs="宋体"/>
          <w:spacing w:val="5"/>
          <w:sz w:val="24"/>
          <w:szCs w:val="24"/>
          <w:vertAlign w:val="superscript"/>
          <w:lang w:val="en-US"/>
        </w:rPr>
        <w:fldChar w:fldCharType="separate"/>
      </w:r>
      <w:r>
        <w:rPr>
          <w:rFonts w:hint="eastAsia" w:ascii="宋体" w:hAnsi="宋体" w:eastAsia="宋体" w:cs="宋体"/>
          <w:spacing w:val="5"/>
          <w:sz w:val="24"/>
          <w:szCs w:val="24"/>
          <w:vertAlign w:val="superscript"/>
          <w:lang w:val="en-US"/>
        </w:rPr>
        <w:t>[8]</w:t>
      </w:r>
      <w:r>
        <w:rPr>
          <w:rFonts w:hint="eastAsia" w:ascii="宋体" w:hAnsi="宋体" w:eastAsia="宋体" w:cs="宋体"/>
          <w:spacing w:val="5"/>
          <w:sz w:val="24"/>
          <w:szCs w:val="24"/>
          <w:vertAlign w:val="superscript"/>
          <w:lang w:val="en-US"/>
        </w:rPr>
        <w:fldChar w:fldCharType="end"/>
      </w:r>
      <w:r>
        <w:rPr>
          <w:rFonts w:hint="eastAsia" w:ascii="宋体" w:hAnsi="宋体" w:eastAsia="宋体" w:cs="宋体"/>
          <w:spacing w:val="5"/>
          <w:sz w:val="24"/>
          <w:szCs w:val="24"/>
          <w:vertAlign w:val="superscript"/>
          <w:lang w:val="en-US" w:eastAsia="zh-CN"/>
        </w:rPr>
        <w:t>(P410)</w:t>
      </w:r>
      <w:r>
        <w:rPr>
          <w:rFonts w:hint="eastAsia" w:ascii="宋体" w:hAnsi="宋体" w:eastAsia="宋体" w:cs="宋体"/>
          <w:spacing w:val="5"/>
          <w:sz w:val="24"/>
          <w:szCs w:val="24"/>
        </w:rPr>
        <w:t>党的十九届四中全会通过的《中共中央关于坚持和完善中国特色社会主义制度推进国家治理体系和治理能力现代化若干重大问题的决定》明确指出：“公有制为主体、多种所有制经济共同发展，按劳分配为主体、多种分配方式并存，社会主义市场经济体制等社会主义基本经济制度，既体现了社会主义制度优越性，又同我国</w:t>
      </w:r>
      <w:r>
        <w:rPr>
          <w:rFonts w:hint="eastAsia" w:ascii="宋体" w:hAnsi="宋体" w:eastAsia="宋体" w:cs="宋体"/>
          <w:spacing w:val="-2"/>
          <w:sz w:val="24"/>
          <w:szCs w:val="24"/>
        </w:rPr>
        <w:t>社会主义初级阶段社会生产力发展水平相适应，</w:t>
      </w:r>
      <w:r>
        <w:rPr>
          <w:rFonts w:hint="eastAsia" w:ascii="宋体" w:hAnsi="宋体" w:eastAsia="宋体" w:cs="宋体"/>
          <w:spacing w:val="8"/>
          <w:position w:val="-1"/>
          <w:sz w:val="24"/>
          <w:szCs w:val="24"/>
        </w:rPr>
        <w:t>是党和人民的伟大创造。”</w:t>
      </w:r>
      <w:r>
        <w:rPr>
          <w:rFonts w:hint="eastAsia" w:ascii="宋体" w:hAnsi="宋体" w:eastAsia="宋体" w:cs="宋体"/>
          <w:spacing w:val="8"/>
          <w:position w:val="-1"/>
          <w:sz w:val="24"/>
          <w:szCs w:val="24"/>
          <w:vertAlign w:val="superscript"/>
          <w:lang w:val="en-US"/>
        </w:rPr>
        <w:fldChar w:fldCharType="begin"/>
      </w:r>
      <w:r>
        <w:rPr>
          <w:rFonts w:hint="eastAsia" w:ascii="宋体" w:hAnsi="宋体" w:eastAsia="宋体" w:cs="宋体"/>
          <w:spacing w:val="8"/>
          <w:position w:val="-1"/>
          <w:sz w:val="24"/>
          <w:szCs w:val="24"/>
          <w:vertAlign w:val="superscript"/>
          <w:lang w:val="en-US"/>
        </w:rPr>
        <w:instrText xml:space="preserve"> REF _Ref28515 \r \h </w:instrText>
      </w:r>
      <w:r>
        <w:rPr>
          <w:rFonts w:hint="eastAsia" w:ascii="宋体" w:hAnsi="宋体" w:eastAsia="宋体" w:cs="宋体"/>
          <w:spacing w:val="8"/>
          <w:position w:val="-1"/>
          <w:sz w:val="24"/>
          <w:szCs w:val="24"/>
          <w:vertAlign w:val="superscript"/>
          <w:lang w:val="en-US"/>
        </w:rPr>
        <w:fldChar w:fldCharType="separate"/>
      </w:r>
      <w:r>
        <w:rPr>
          <w:rFonts w:hint="eastAsia" w:ascii="宋体" w:hAnsi="宋体" w:eastAsia="宋体" w:cs="宋体"/>
          <w:spacing w:val="8"/>
          <w:position w:val="-1"/>
          <w:sz w:val="24"/>
          <w:szCs w:val="24"/>
          <w:vertAlign w:val="superscript"/>
          <w:lang w:val="en-US"/>
        </w:rPr>
        <w:t>[9]</w:t>
      </w:r>
      <w:r>
        <w:rPr>
          <w:rFonts w:hint="eastAsia" w:ascii="宋体" w:hAnsi="宋体" w:eastAsia="宋体" w:cs="宋体"/>
          <w:spacing w:val="8"/>
          <w:position w:val="-1"/>
          <w:sz w:val="24"/>
          <w:szCs w:val="24"/>
          <w:vertAlign w:val="superscript"/>
          <w:lang w:val="en-US"/>
        </w:rPr>
        <w:fldChar w:fldCharType="end"/>
      </w:r>
      <w:r>
        <w:rPr>
          <w:rFonts w:hint="eastAsia" w:ascii="宋体" w:hAnsi="宋体" w:eastAsia="宋体" w:cs="宋体"/>
          <w:spacing w:val="8"/>
          <w:position w:val="-1"/>
          <w:sz w:val="24"/>
          <w:szCs w:val="24"/>
          <w:vertAlign w:val="superscript"/>
          <w:lang w:val="en-US" w:eastAsia="zh-CN"/>
        </w:rPr>
        <w:t>(P18)</w:t>
      </w:r>
      <w:r>
        <w:rPr>
          <w:rFonts w:hint="eastAsia" w:ascii="宋体" w:hAnsi="宋体" w:eastAsia="宋体" w:cs="宋体"/>
          <w:spacing w:val="7"/>
          <w:position w:val="-1"/>
          <w:sz w:val="24"/>
          <w:szCs w:val="24"/>
        </w:rPr>
        <w:t>党的二十大通</w:t>
      </w:r>
      <w:r>
        <w:rPr>
          <w:rFonts w:hint="eastAsia" w:ascii="宋体" w:hAnsi="宋体" w:eastAsia="宋体" w:cs="宋体"/>
          <w:spacing w:val="11"/>
          <w:sz w:val="24"/>
          <w:szCs w:val="24"/>
        </w:rPr>
        <w:t>过的《中国共产党章程》也强调：必须坚持和</w:t>
      </w:r>
      <w:r>
        <w:rPr>
          <w:rFonts w:hint="eastAsia" w:ascii="宋体" w:hAnsi="宋体" w:eastAsia="宋体" w:cs="宋体"/>
          <w:spacing w:val="3"/>
          <w:sz w:val="24"/>
          <w:szCs w:val="24"/>
        </w:rPr>
        <w:t>完善公有制为主体、多种所有制经济共同发展，</w:t>
      </w:r>
      <w:r>
        <w:rPr>
          <w:rFonts w:hint="eastAsia" w:ascii="宋体" w:hAnsi="宋体" w:eastAsia="宋体" w:cs="宋体"/>
          <w:spacing w:val="7"/>
          <w:sz w:val="24"/>
          <w:szCs w:val="24"/>
        </w:rPr>
        <w:t>按劳分配为主体、多种分配方式并存，社会主</w:t>
      </w:r>
      <w:r>
        <w:rPr>
          <w:rFonts w:hint="eastAsia" w:ascii="宋体" w:hAnsi="宋体" w:eastAsia="宋体" w:cs="宋体"/>
          <w:sz w:val="24"/>
          <w:szCs w:val="24"/>
        </w:rPr>
        <w:t>义市场经济体制等基本经济制度。《中共中央关</w:t>
      </w:r>
      <w:r>
        <w:rPr>
          <w:rFonts w:hint="eastAsia" w:ascii="宋体" w:hAnsi="宋体" w:eastAsia="宋体" w:cs="宋体"/>
          <w:spacing w:val="15"/>
          <w:sz w:val="24"/>
          <w:szCs w:val="24"/>
        </w:rPr>
        <w:t>于进一步全面深化改革推进中国式现代化的</w:t>
      </w:r>
      <w:r>
        <w:rPr>
          <w:rFonts w:hint="eastAsia" w:ascii="宋体" w:hAnsi="宋体" w:eastAsia="宋体" w:cs="宋体"/>
          <w:sz w:val="24"/>
          <w:szCs w:val="24"/>
        </w:rPr>
        <w:t>决定》又强调指出，“坚持和完善社会主义基本</w:t>
      </w:r>
      <w:r>
        <w:rPr>
          <w:rFonts w:hint="eastAsia" w:ascii="宋体" w:hAnsi="宋体" w:eastAsia="宋体" w:cs="宋体"/>
          <w:spacing w:val="11"/>
          <w:sz w:val="24"/>
          <w:szCs w:val="24"/>
        </w:rPr>
        <w:t>经济制度，推进高水平科技自立自强，推进高</w:t>
      </w:r>
      <w:r>
        <w:rPr>
          <w:rFonts w:hint="eastAsia" w:ascii="宋体" w:hAnsi="宋体" w:eastAsia="宋体" w:cs="宋体"/>
          <w:spacing w:val="1"/>
          <w:position w:val="-1"/>
          <w:sz w:val="24"/>
          <w:szCs w:val="24"/>
        </w:rPr>
        <w:t>水平对外开放”。</w:t>
      </w:r>
      <w:r>
        <w:rPr>
          <w:rFonts w:hint="eastAsia" w:ascii="宋体" w:hAnsi="宋体" w:eastAsia="宋体" w:cs="宋体"/>
          <w:spacing w:val="1"/>
          <w:position w:val="-1"/>
          <w:sz w:val="24"/>
          <w:szCs w:val="24"/>
          <w:vertAlign w:val="superscript"/>
          <w:lang w:val="en-US"/>
        </w:rPr>
        <w:fldChar w:fldCharType="begin"/>
      </w:r>
      <w:r>
        <w:rPr>
          <w:rFonts w:hint="eastAsia" w:ascii="宋体" w:hAnsi="宋体" w:eastAsia="宋体" w:cs="宋体"/>
          <w:spacing w:val="1"/>
          <w:position w:val="-1"/>
          <w:sz w:val="24"/>
          <w:szCs w:val="24"/>
          <w:vertAlign w:val="superscript"/>
          <w:lang w:val="en-US"/>
        </w:rPr>
        <w:instrText xml:space="preserve"> REF _Ref27761 \r \h </w:instrText>
      </w:r>
      <w:r>
        <w:rPr>
          <w:rFonts w:hint="eastAsia" w:ascii="宋体" w:hAnsi="宋体" w:eastAsia="宋体" w:cs="宋体"/>
          <w:spacing w:val="1"/>
          <w:position w:val="-1"/>
          <w:sz w:val="24"/>
          <w:szCs w:val="24"/>
          <w:vertAlign w:val="superscript"/>
          <w:lang w:val="en-US"/>
        </w:rPr>
        <w:fldChar w:fldCharType="separate"/>
      </w:r>
      <w:r>
        <w:rPr>
          <w:rFonts w:hint="eastAsia" w:ascii="宋体" w:hAnsi="宋体" w:eastAsia="宋体" w:cs="宋体"/>
          <w:spacing w:val="1"/>
          <w:position w:val="-1"/>
          <w:sz w:val="24"/>
          <w:szCs w:val="24"/>
          <w:vertAlign w:val="superscript"/>
          <w:lang w:val="en-US"/>
        </w:rPr>
        <w:t>[3]</w:t>
      </w:r>
      <w:r>
        <w:rPr>
          <w:rFonts w:hint="eastAsia" w:ascii="宋体" w:hAnsi="宋体" w:eastAsia="宋体" w:cs="宋体"/>
          <w:spacing w:val="1"/>
          <w:position w:val="-1"/>
          <w:sz w:val="24"/>
          <w:szCs w:val="24"/>
          <w:vertAlign w:val="superscript"/>
          <w:lang w:val="en-US"/>
        </w:rPr>
        <w:fldChar w:fldCharType="end"/>
      </w:r>
      <w:r>
        <w:rPr>
          <w:rFonts w:hint="eastAsia" w:ascii="宋体" w:hAnsi="宋体" w:eastAsia="宋体" w:cs="宋体"/>
          <w:spacing w:val="1"/>
          <w:position w:val="-1"/>
          <w:sz w:val="24"/>
          <w:szCs w:val="24"/>
          <w:vertAlign w:val="superscript"/>
          <w:lang w:val="en-US" w:eastAsia="zh-CN"/>
        </w:rPr>
        <w:t>(P4)</w:t>
      </w:r>
      <w:r>
        <w:rPr>
          <w:rFonts w:hint="eastAsia" w:ascii="宋体" w:hAnsi="宋体" w:eastAsia="宋体" w:cs="宋体"/>
          <w:spacing w:val="1"/>
          <w:position w:val="-1"/>
          <w:sz w:val="24"/>
          <w:szCs w:val="24"/>
        </w:rPr>
        <w:t>因此，新时代构建与新质</w:t>
      </w:r>
      <w:r>
        <w:rPr>
          <w:rFonts w:hint="eastAsia" w:ascii="宋体" w:hAnsi="宋体" w:eastAsia="宋体" w:cs="宋体"/>
          <w:spacing w:val="11"/>
          <w:sz w:val="24"/>
          <w:szCs w:val="24"/>
        </w:rPr>
        <w:t>生产力相适应的新型生产关系是社会主义生产</w:t>
      </w:r>
      <w:r>
        <w:rPr>
          <w:rFonts w:hint="eastAsia" w:ascii="宋体" w:hAnsi="宋体" w:eastAsia="宋体" w:cs="宋体"/>
          <w:spacing w:val="10"/>
          <w:sz w:val="24"/>
          <w:szCs w:val="24"/>
        </w:rPr>
        <w:t>关系的自我完善与发展，在这一过程中，应坚</w:t>
      </w:r>
      <w:r>
        <w:rPr>
          <w:rFonts w:hint="eastAsia" w:ascii="宋体" w:hAnsi="宋体" w:eastAsia="宋体" w:cs="宋体"/>
          <w:spacing w:val="11"/>
          <w:sz w:val="24"/>
          <w:szCs w:val="24"/>
        </w:rPr>
        <w:t>持“以人民为中心”的价值导向，在社会主义</w:t>
      </w:r>
      <w:r>
        <w:rPr>
          <w:rFonts w:hint="eastAsia" w:ascii="宋体" w:hAnsi="宋体" w:eastAsia="宋体" w:cs="宋体"/>
          <w:spacing w:val="3"/>
          <w:sz w:val="24"/>
          <w:szCs w:val="24"/>
        </w:rPr>
        <w:t>基本经济制度的原有框架下，通过产权、分配、</w:t>
      </w:r>
      <w:r>
        <w:rPr>
          <w:rFonts w:hint="eastAsia" w:ascii="宋体" w:hAnsi="宋体" w:eastAsia="宋体" w:cs="宋体"/>
          <w:spacing w:val="11"/>
          <w:sz w:val="24"/>
          <w:szCs w:val="24"/>
        </w:rPr>
        <w:t>调节、开放四个层面的优化与升级，构建一个</w:t>
      </w:r>
      <w:r>
        <w:rPr>
          <w:rFonts w:hint="eastAsia" w:ascii="宋体" w:hAnsi="宋体" w:eastAsia="宋体" w:cs="宋体"/>
          <w:spacing w:val="-2"/>
          <w:sz w:val="24"/>
          <w:szCs w:val="24"/>
        </w:rPr>
        <w:t>“四主型”的经济制度体系，旨在培育有利于新</w:t>
      </w:r>
      <w:r>
        <w:rPr>
          <w:rFonts w:hint="eastAsia" w:ascii="宋体" w:hAnsi="宋体" w:eastAsia="宋体" w:cs="宋体"/>
          <w:spacing w:val="11"/>
          <w:sz w:val="24"/>
          <w:szCs w:val="24"/>
        </w:rPr>
        <w:t>质生产力发展的肥沃土壤，达到适应并促进新</w:t>
      </w:r>
      <w:r>
        <w:rPr>
          <w:rFonts w:hint="eastAsia" w:ascii="宋体" w:hAnsi="宋体" w:eastAsia="宋体" w:cs="宋体"/>
          <w:spacing w:val="12"/>
          <w:sz w:val="24"/>
          <w:szCs w:val="24"/>
        </w:rPr>
        <w:t>质生产力发展的效果。</w:t>
      </w:r>
    </w:p>
    <w:p w14:paraId="39D9E0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1.产权：构建公有主体型的产权关系</w:t>
      </w:r>
    </w:p>
    <w:p w14:paraId="7C4506C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公有制为主体、多种所有制经济共同发展，属于社会主义初级阶段必须长期坚持和完善的基本经济制度的重要组成部分。在公有制为主体的前提下发展多种所有制经济，通过优化组织形式和经营模式，使其更符合社会主义市场经济的发展要求。</w:t>
      </w:r>
    </w:p>
    <w:p w14:paraId="7E0FB7E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一，公有主体型的产权关系，是以公有制为主体，多种所有制经济共同发展的产权结构。这种产权关系的构建，首先需要明确包括国有经济和集体经济在内的公有制的主体地位。这不仅体现在对关键行业和领域的掌控上，更表现在其对市场行为的引导与示范效应上。这就要求，必须调整和优化国有资本布局，推动国有经济向产业链高端和价值链核心环节集中，发展战略性新兴产业和未来产业，注重原创突破，加大基础攻关，提高国有企业在国防、战略科技、粮食、能矿资源方面的硬实力和软实力。与此同时，要深化国有企业混合所有制改革，重视公有制为主体的混合所有制企业内部生产关系的建立和完善，盘活国有资产存量，引导和带动社会资本共同发展，不断增强国有经济活力、控制力、影响力和抗风险能力。</w:t>
      </w:r>
    </w:p>
    <w:p w14:paraId="68B9867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第二，构建公有主体型的产权关系并不意味着对其他所有制经济的排斥或抑制。相反，应当在坚持公有制主体地位的同时，与多种所有制经济共同发展。“市场机制有效、微观主体有活力、宏观调控有度”</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_Ref29410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[10]</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(P30)</w:t>
      </w:r>
      <w:r>
        <w:rPr>
          <w:rFonts w:hint="eastAsia" w:ascii="宋体" w:hAnsi="宋体" w:eastAsia="宋体" w:cs="宋体"/>
          <w:spacing w:val="12"/>
          <w:sz w:val="24"/>
          <w:szCs w:val="24"/>
        </w:rPr>
        <w:t>是现代化经济体制的重要特征。为此，必须进一步做优做强做大国有企业和国有资本（包括各类平台建设），以分类改革为原则处理好国有经济和民营经济的关系。这并非“国进民退”，也非“国退民进”，而应该是“国民共进”，即国有经济与民营经济之间应该是共生共进、优势互补、相互融合的协同发展关系，而不是相互割裂、相互排斥的非此即彼关系。因此，应积极鼓励国有企业与民营企业在产业链上展开上下游协同攻关，在创新协同、人才支持、技术交流、数字化合作等方面建立合作平台，因地制宜发展新质生产力。同时，进一步强化对民营经济的产权界定和产权保护，加强知识产权法治保障，完善知识产权管理体制，持续强化民营企业的知识产权全链条保护，保障民营企业家合法的人身和财产权益。不过，那种认为只要民营经济为主体和主导，整个国民经济就能持续高质量发展的观点是不符合实际、站不住脚的，“因为照此看法的逻辑，以私有制（也就是所谓民营经济）为主体的美国就不会出现2008年的金融和经济危机，欧盟也不会陷入经济衰退”。</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_Ref29492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[11]</w:t>
      </w:r>
      <w:r>
        <w:rPr>
          <w:rFonts w:hint="eastAsia" w:ascii="宋体" w:hAnsi="宋体" w:eastAsia="宋体" w:cs="宋体"/>
          <w:spacing w:val="12"/>
          <w:sz w:val="24"/>
          <w:szCs w:val="24"/>
          <w:vertAlign w:val="superscript"/>
          <w:lang w:val="en-US"/>
        </w:rPr>
        <w:fldChar w:fldCharType="end"/>
      </w:r>
    </w:p>
    <w:p w14:paraId="61A0736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第三，明确新型生产要素如技术、数据的产权制度。“各种经济时代的区别，不在于生产什么，而在于怎样生产，用什么劳动资料生产。”</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_Ref30419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[12]</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(P210)</w:t>
      </w:r>
      <w:r>
        <w:rPr>
          <w:rFonts w:hint="eastAsia" w:ascii="宋体" w:hAnsi="宋体" w:eastAsia="宋体" w:cs="宋体"/>
          <w:spacing w:val="12"/>
          <w:sz w:val="24"/>
          <w:szCs w:val="24"/>
        </w:rPr>
        <w:t>不同于传统生产要素，智能化数字信息基础设施等数据生产要素具有非排他性。这就要求，必须加快探索数字产权等新型产权确权授权方式，摒弃单纯的所有权思维，实现持有权、加工权、经营权的合理配置，探索并构建一种把劳动者和数据生产要素紧密结合的持有权的实现形式，从而促进数据的有序流动，激发数据要素活力。马克思、恩格斯指出：“每当工业和商业的发展创造出新的交往形式，例如保险公司等等，法便不得不承认它们都是获得财产的方式。”</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_Ref28032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[5]</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(P214)</w:t>
      </w:r>
      <w:r>
        <w:rPr>
          <w:rFonts w:hint="eastAsia" w:ascii="宋体" w:hAnsi="宋体" w:eastAsia="宋体" w:cs="宋体"/>
          <w:spacing w:val="12"/>
          <w:sz w:val="24"/>
          <w:szCs w:val="24"/>
        </w:rPr>
        <w:t>例如，在数据性的生产资料所有制关系中，既存在私益性个人数据，也存在公益性公共数据。但目前，个人、企业及公共机构之间在数据所有权上的法定界限仍显模糊，因此，必须建构并完善数据产权制度，优化多元主体数据产权配置结构，进一步实现数智化生产资料和数据要素的共享和融合，促进生产关系的合理调整。</w:t>
      </w:r>
    </w:p>
    <w:p w14:paraId="025A621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2.分配：构建劳动主体型的分配关系</w:t>
      </w:r>
    </w:p>
    <w:p w14:paraId="75AC455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在马克思主义政治经济学的分析框架中，分配是生产的产物，分配的结构和方式取决于生产的结构和方式，因此，生产资料所有制形式决定了分配方式。在构建与新质生产力相适应的新型生产关系的过程中，核心目标是满足人民群众日益增长的美好生活需要，确保劳动者的财富和收入与经济发展的水平同步提升。这就需要坚定不移地坚持公有制在基本经济制度中的主体地位，始终将人民置于中心地位，并不断努力满足人民对更高质量生活的追求和期待。资本主义是“按资分配为主体”的方式，造成了严重的社会分配不公。与之不同，中国特色社会主义是“按劳分配为主体”的分配方式。</w:t>
      </w:r>
    </w:p>
    <w:p w14:paraId="4F14F30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eastAsia="zh-CN"/>
        </w:rPr>
      </w:pPr>
      <w:r>
        <w:rPr>
          <w:rFonts w:hint="eastAsia" w:ascii="宋体" w:hAnsi="宋体" w:eastAsia="宋体" w:cs="宋体"/>
          <w:spacing w:val="12"/>
          <w:sz w:val="24"/>
          <w:szCs w:val="24"/>
        </w:rPr>
        <w:t>第一，构建按劳分配为主体，多要素所有者可凭产权参与分配的初次分配制度。一方面，按劳分配为主体的分配结构是所有制结构的利益实现，</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_Ref30514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反映了社会主义初级阶段的基本特征。在高水平智能化生产条件下，劳动过程趋近马克思预判的“从简单的劳动过程向科学过程的转化”，</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_Ref30540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[4]</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(P778)</w:t>
      </w:r>
      <w:r>
        <w:rPr>
          <w:rFonts w:hint="eastAsia" w:ascii="宋体" w:hAnsi="宋体" w:eastAsia="宋体" w:cs="宋体"/>
          <w:spacing w:val="12"/>
          <w:sz w:val="24"/>
          <w:szCs w:val="24"/>
        </w:rPr>
        <w:t>新质生产力虽然以科技创新为主要驱动力，但公有制条件下劳动者依然是生产的主体，劳动者通过劳动知识等要素直接参与生产，逐渐颠覆了传统生产力对于活劳动、技术同机器体系的异化关系，劳动主体性更加突出，劳动个体越来越成为生产的主人，因而要提高劳动报酬在初次分配中的占比</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提升劳动者综合素质，激发劳动者的积极性、创造性和主动性。另一方面，要健全知识、技术、数据等要素参与分配的机制。新质生产力以数字化、智能化为核心，因此，必须充分尊重资本、知识</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技术等要素，使生产要素配置方式更为多元化，坚持所有参与生产活动的要素均在初次分配中得以计酬，特别是数据作为一种新型生产要素，通过与劳动、资本等传统生产要素的融合参与到价值创造过程中，理应成为价值分配的重要要素，以更好体现知识、技术、人才的市场价值</w:t>
      </w:r>
      <w:r>
        <w:rPr>
          <w:rFonts w:hint="eastAsia" w:ascii="宋体" w:hAnsi="宋体" w:eastAsia="宋体" w:cs="宋体"/>
          <w:spacing w:val="12"/>
          <w:sz w:val="24"/>
          <w:szCs w:val="24"/>
          <w:lang w:eastAsia="zh-CN"/>
        </w:rPr>
        <w:t>。</w:t>
      </w:r>
    </w:p>
    <w:p w14:paraId="30E724C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二，健全与新质生产力相适应的侧重于公平的再分配制度体系。随着新技术的发展和广泛应用，社会劳动分工正在经历深刻的变革，劳动者的分布结构不断改变：一方面，中高技能劳动者正成为社会发展的核心力量，其数量、规模和类型正逐渐壮大并呈现出多元化特征；另一方面，众多低技能职业岗位正面临转型的压力，抑或转向新兴服务业，抑或面临被自动化技术替代的风险。此种情况容易造成社会上出现两类群体：占有技术的高知群体和低技能的劳动群体。长此以往，社会贫富差距鸿沟就会进一步扩大。这就要求政府进一步完善税收、社会保障支出等再分配制度，加大对初次分配结果的调节、弥补初次分配的不足。重点帮扶社会中低技能的劳动群体，更多设立面向中低技能的劳动群体的专项资助基金，加大转移支付力度，减轻困难家庭的负担。</w:t>
      </w:r>
    </w:p>
    <w:p w14:paraId="6CD5872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三，构建以企业为主、社会组织为辅、家庭和个人为补充的第三次分配制度，探索第三次分配推动共同富裕的创新机制。第三次分配是企业履行社会责任的重要途径，随着新质生产力的加快形成，一部分科技创新企业正逐渐兴起，因而要鼓励实力强劲的大型企业成立慈善组织机构，前瞻性开展第三次分配的政策研究和实践创新。通过科技赋能慈善公益事业，推进第三次分配的完善与实现，夯实以新质生产力发展推进共同富裕的社会基础。</w:t>
      </w:r>
    </w:p>
    <w:p w14:paraId="7573176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3.调节：构建国家主导型的调节关系</w:t>
      </w:r>
    </w:p>
    <w:p w14:paraId="433EBEA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习近平强调</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在社会主义条件下发展市场经济，是我们党的一个伟大创举。我国经济发展获得巨大成功的一个关键因素，就是我们既发挥了市场经济的长处，又发挥了社会主义制度的优越性</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vertAlign w:val="superscript"/>
          <w:lang w:eastAsia="zh-CN"/>
        </w:rPr>
        <w:fldChar w:fldCharType="begin"/>
      </w:r>
      <w:r>
        <w:rPr>
          <w:rFonts w:hint="eastAsia" w:ascii="宋体" w:hAnsi="宋体" w:eastAsia="宋体" w:cs="宋体"/>
          <w:spacing w:val="12"/>
          <w:sz w:val="24"/>
          <w:szCs w:val="24"/>
          <w:vertAlign w:val="superscript"/>
          <w:lang w:eastAsia="zh-CN"/>
        </w:rPr>
        <w:instrText xml:space="preserve"> REF _Ref30746 \r \h </w:instrText>
      </w:r>
      <w:r>
        <w:rPr>
          <w:rFonts w:hint="eastAsia" w:ascii="宋体" w:hAnsi="宋体" w:eastAsia="宋体" w:cs="宋体"/>
          <w:spacing w:val="12"/>
          <w:sz w:val="24"/>
          <w:szCs w:val="24"/>
          <w:vertAlign w:val="superscript"/>
          <w:lang w:eastAsia="zh-CN"/>
        </w:rPr>
        <w:fldChar w:fldCharType="separate"/>
      </w:r>
      <w:r>
        <w:rPr>
          <w:rFonts w:hint="eastAsia" w:ascii="宋体" w:hAnsi="宋体" w:eastAsia="宋体" w:cs="宋体"/>
          <w:spacing w:val="12"/>
          <w:sz w:val="24"/>
          <w:szCs w:val="24"/>
          <w:vertAlign w:val="superscript"/>
          <w:lang w:eastAsia="zh-CN"/>
        </w:rPr>
        <w:t>[14]</w:t>
      </w:r>
      <w:r>
        <w:rPr>
          <w:rFonts w:hint="eastAsia" w:ascii="宋体" w:hAnsi="宋体" w:eastAsia="宋体" w:cs="宋体"/>
          <w:spacing w:val="12"/>
          <w:sz w:val="24"/>
          <w:szCs w:val="24"/>
          <w:vertAlign w:val="superscript"/>
          <w:lang w:eastAsia="zh-CN"/>
        </w:rPr>
        <w:fldChar w:fldCharType="end"/>
      </w:r>
      <w:r>
        <w:rPr>
          <w:rFonts w:hint="eastAsia" w:ascii="宋体" w:hAnsi="宋体" w:eastAsia="宋体" w:cs="宋体"/>
          <w:spacing w:val="12"/>
          <w:sz w:val="24"/>
          <w:szCs w:val="24"/>
          <w:vertAlign w:val="superscript"/>
          <w:lang w:val="en-US" w:eastAsia="zh-CN"/>
        </w:rPr>
        <w:t>(P64)</w:t>
      </w:r>
      <w:r>
        <w:rPr>
          <w:rFonts w:hint="eastAsia" w:ascii="宋体" w:hAnsi="宋体" w:eastAsia="宋体" w:cs="宋体"/>
          <w:spacing w:val="12"/>
          <w:sz w:val="24"/>
          <w:szCs w:val="24"/>
        </w:rPr>
        <w:t>必须科学认识政府与市场的关系，构建国家主导型的多结构市场制度，</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_Ref30801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[15]</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发挥国家调节与市场调节相结合形成的在功能上良性互补、效应上协同的有机整体作用，推动有效市场和有为政府高质量结合，进而激励创新、提高生产要素配置效率，扎实推动新质生产力发展。</w:t>
      </w:r>
    </w:p>
    <w:p w14:paraId="5A1654E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方面要发挥有为高效政府的主导型作用。国家调控的主要依据不仅仅是弥补市场失灵，更重要的是作为生产资料公有制和全体人民利益的总代表，在全社会范围内合理地配置社会资源，促进经济全面协调可持续发展。它既反映现代市场经济的一般特点，又体现社会主义制度的独特优势，将当前与长远、总量与结构、供给与需求、经济与生态等有机地结合起来。政府要发挥在宏观和中观调控以及微观规制上不可比拟的优势，加强科技创新并改进与其相对应的生产要素配置方式。让各类优质生产要素向新质生产力顺畅流动，围绕新型生产要素构建和完善高效配置的市场经济机制体系，畅通创新链、产业链、供应链各领域各环节；紧紧围绕新产业新布局的需要，着力推动高素质高技能劳动者、新材料新技术劳动资料、智能劳动对象的优化组合，使新型生产要素跨产业、跨领域、跨区域一体融合发展，着力打通束缚新质生产力发展的堵点卡点。在此过程中，对市场不愿承担的高风险、长周期的基础研究，要加大力度、集中稳定地投入，通过设立专项基金、资助科研项目等方式，解决市场对基础研究投入不足的问题。</w:t>
      </w:r>
    </w:p>
    <w:p w14:paraId="0A2B023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另一方面要发挥有效市场的要素配置导向作用。当前，我国推进全国统一大市场建设仍面临一些现实挑战，不同地区之间仍存在市场分割、产业同构的现象，要素和商品的跨地区流动往往面临较高的流通交易成本，区域间基于市场分工的一体化高质量发展仍不充分。因此，必须充分发挥市场在资源配置中的决定性作用，充分释放微观主体的市场自发探索潜力。一是全面深化市场准入、公平竞争、保护知识产权、建设统一大市场等市场经济制度改革，持续优化企业发展环境，提升市场监管、金融监管等部门的服务水平，建立公平竞争和有序竞争的规则，营造出一个健康的市场经济环境，确保各类企业主体在权益保护、市场准入、要素获取和市场执法等方面的平等地位。二是发挥好超大规模市场优势。2024年2月26日，李强在国务院“建立健全公平竞争制度，加快完善全国统一大市场基础制度规则”专题学习会议上指出：“要坚持目标导向，着眼于真正把我国超大规模市场、要素资源丰富、产业体系完备等优势充分发挥出来，扎实推进各项重点任务落实，切实打通制约经济循环的关键堵点，促进要素资源合理流动和高效配置。”</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_Ref31056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[16]</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鼓励支持企业加大基础创新投入，通过开发新业态、新模式、新技术和新产品来增强市场竞争力。要确保“科技—金融—产业”这一统一大市场循环体系的顺畅运行，加速发展一体化资本市场，推广风险投资，壮大耐心资本，提升科研成果市场转化的及时性、有效性和便捷性。</w:t>
      </w:r>
    </w:p>
    <w:p w14:paraId="670F9B0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4.开放：构建自力主导型的开放关系</w:t>
      </w:r>
    </w:p>
    <w:p w14:paraId="6F02820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习近平在关于《中共中央关于进一步全面深化改革推进中国式现代化的决定》的说明中指出，“决定稿对完善高水平对外开放体制机制作出部署。提出稳步扩大制度型开放”。</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_Ref31082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[17]</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这说明对外开放体制是中国特色社会主义的主要经济制度之一。针对新时代的国内外新形势，习近平指出：“面对世界百年未有之大变局，面对国内外发展环境发生的深刻复杂变化，我们要走一条更高水平的自力更生之路，实施更高水平的改革开放，加快构建以国内大循环为主体、国内国际双循环相互促进的新发展格局。”</w:t>
      </w:r>
      <w:r>
        <w:rPr>
          <w:rFonts w:hint="eastAsia" w:ascii="宋体" w:hAnsi="宋体" w:eastAsia="宋体" w:cs="宋体"/>
          <w:spacing w:val="12"/>
          <w:sz w:val="24"/>
          <w:szCs w:val="24"/>
          <w:lang w:val="en-US"/>
        </w:rPr>
        <w:fldChar w:fldCharType="begin"/>
      </w:r>
      <w:r>
        <w:rPr>
          <w:rFonts w:hint="eastAsia" w:ascii="宋体" w:hAnsi="宋体" w:eastAsia="宋体" w:cs="宋体"/>
          <w:spacing w:val="12"/>
          <w:sz w:val="24"/>
          <w:szCs w:val="24"/>
          <w:lang w:val="en-US"/>
        </w:rPr>
        <w:instrText xml:space="preserve"> REF _Ref31144 \r \h </w:instrText>
      </w:r>
      <w:r>
        <w:rPr>
          <w:rFonts w:hint="eastAsia" w:ascii="宋体" w:hAnsi="宋体" w:eastAsia="宋体" w:cs="宋体"/>
          <w:spacing w:val="12"/>
          <w:sz w:val="24"/>
          <w:szCs w:val="24"/>
          <w:lang w:val="en-US"/>
        </w:rPr>
        <w:fldChar w:fldCharType="separate"/>
      </w:r>
      <w:r>
        <w:rPr>
          <w:rFonts w:hint="eastAsia" w:ascii="宋体" w:hAnsi="宋体" w:eastAsia="宋体" w:cs="宋体"/>
          <w:spacing w:val="12"/>
          <w:sz w:val="24"/>
          <w:szCs w:val="24"/>
          <w:vertAlign w:val="superscript"/>
          <w:lang w:val="en-US"/>
        </w:rPr>
        <w:t>[18</w:t>
      </w:r>
      <w:r>
        <w:rPr>
          <w:rFonts w:hint="eastAsia" w:ascii="宋体" w:hAnsi="宋体" w:eastAsia="宋体" w:cs="宋体"/>
          <w:spacing w:val="12"/>
          <w:sz w:val="24"/>
          <w:szCs w:val="24"/>
          <w:lang w:val="en-US"/>
        </w:rPr>
        <w:t>]</w:t>
      </w:r>
      <w:r>
        <w:rPr>
          <w:rFonts w:hint="eastAsia" w:ascii="宋体" w:hAnsi="宋体" w:eastAsia="宋体" w:cs="宋体"/>
          <w:spacing w:val="12"/>
          <w:sz w:val="24"/>
          <w:szCs w:val="24"/>
          <w:lang w:val="en-US"/>
        </w:rPr>
        <w:fldChar w:fldCharType="end"/>
      </w:r>
      <w:r>
        <w:rPr>
          <w:rFonts w:hint="eastAsia" w:ascii="宋体" w:hAnsi="宋体" w:eastAsia="宋体" w:cs="宋体"/>
          <w:spacing w:val="12"/>
          <w:sz w:val="24"/>
          <w:szCs w:val="24"/>
        </w:rPr>
        <w:t>我国已深度融入全球经济体系中，为了加快形成新质生产力，必然要把握国内国际发展大势，充分利用国内国际两个市场、两种资源，处理好引进国外技术和资本同发展自主知识产权、引导本国资本健康发展的关系，构建以内循环为主体的“双循环”对外开放格局，实现自力更生、自强自立与对外开放的有机统一。</w:t>
      </w:r>
    </w:p>
    <w:p w14:paraId="652EB98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一，处理好国内大循环与国内国际双循环的关系。以国内大循环为主阵地，以国内国际双循环为支撑，构建起符合中国国情的自力更生高水平对外开放路径。一方面，增强国内大循环内生动力。本土市场规模是企业和产业的发展基础，因此，畅通国内大循环就必须抓住消费这一环节。坚持扩大内需这个战略基点，深化消费和投资领域体制改革，不断增强消费对经济发展的基础性作用和投资对优化供给结构的关键作用，完善鼓励消费的制度措施。积极提升传统消费，培育新型消费</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发展服务消费，增强国内大循环的巨大需求牵引力。与此同时，将扩大内需与扩大供给的改革发展有机结合起来，实施创新驱动发展战略，强化企业科技创新主体地位，以强大有效的供给能力打通循环堵点，提高供给侧与需求侧匹配的灵活性，提高资源的配置效率。此外，形成国内大循环离不开区域的协调发展。在新形势下，既要通过城市群建设进一步增强中心城市和城市群等经济发展优势区域的经济和人口承载能力，也要跳出现有资源禀赋约束，用新技术新应用的系统工程寻找西部大开发的突破口，进而形成优势互补、高质量发展的区域经济布局。另一方面，要加快形成内需外需兼容互补、国内国际双循环相互促进的新格局。习近平强调，“以国内大循环为主体，绝不是关起门来封闭运行，而是通过发挥内需潜力，使国内市场和国际市场更好联通，更好利用国际国内两个市场、两种资源”。</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_Ref31353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[19]</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(P324)</w:t>
      </w:r>
      <w:r>
        <w:rPr>
          <w:rFonts w:hint="eastAsia" w:ascii="宋体" w:hAnsi="宋体" w:eastAsia="宋体" w:cs="宋体"/>
          <w:spacing w:val="12"/>
          <w:sz w:val="24"/>
          <w:szCs w:val="24"/>
        </w:rPr>
        <w:t>要促进两个市场、两种资源关联互动，就必须形成内外兼顾的国内国外产业链新布局，坚持进口和出口并重，利用外资和对外投资要协调，增强国内国际两个市场</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两种资源的黏合度，促进国内产业链、供应链和全球产业链、供应链协同、互补发展。依托我国超大规模市场优势实现创新驱动发展，既有效利用世界通用技术，又推进关键核心技术突破创新</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努力掌握世界前沿技术，提升我国产业技术发展水平，加快贸易创新发展，提升出口质量，实现国际产业链价值链的攀升。</w:t>
      </w:r>
    </w:p>
    <w:p w14:paraId="25BC605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第二，处理好开放与安全的关系。一方面要推进高水平对外开放。新质生产力的发展既需要科技自立自强，孕育更多的颠覆性、革命性技术，推动构建现代化产业体系，又需要利用外力，积极推动高水平对外开放走出去，通过推进高质量共建“一带一路”、共建《区域全面经济伙伴关系协定》（RCEP）区域大市场、加快中国-东盟自贸区3.0版建设、持续完善高标准自贸区网络等途径，更广更深地参与国际市场开拓，通过对标推进高水平对外开放的目标任务，加大“出口创牌”力度，提升我国品牌的国际知名度，</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_Ref31418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[20]</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将我国发展新质生产力的势能转化为对外开放的动能，提升对外投资的质量和效率。特别要强调的是，我国实行的对外开放是对等的“双向开放”，并不只是一味地走出去，也鼓励优质生产要素向国内流动，即对内对外同步开放。在这个过程中，要围绕实行高水平对外开放深化改革，深化商品、服务、资金、人才等要素流动型对等开放，稳步推进规则、规制、管理、标准等制度建设，加快营造市场化、法治化、国际化的营商环境，推动建设更高水平开放型经济新体制。另一方面，要牢固树立总体国家安全观的理念，统筹开放与安全的关系。统筹开放与安全，既要在高水平对外开放中确保发展安全，又要在确保安全的情况下推进高水平对外开放。其中，最重要的是建立起高效率、全覆盖的风险防控体系，完善外资安全审查制度，构建海外利益保护和投资风险预警防控体系，健全与高水平对外开放相适应的风险防范体系，加大无理制裁我国企业和事业单位的对等制裁力度。</w:t>
      </w:r>
    </w:p>
    <w:p w14:paraId="112301D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b/>
          <w:bCs/>
          <w:spacing w:val="12"/>
          <w:sz w:val="24"/>
          <w:szCs w:val="24"/>
        </w:rPr>
      </w:pPr>
      <w:r>
        <w:rPr>
          <w:rFonts w:hint="eastAsia" w:ascii="宋体" w:hAnsi="宋体" w:eastAsia="宋体" w:cs="宋体"/>
          <w:b/>
          <w:bCs/>
          <w:spacing w:val="12"/>
          <w:sz w:val="24"/>
          <w:szCs w:val="24"/>
        </w:rPr>
        <w:t>二、以经济体制改革为牵引，完善新型生产关系的体制机制</w:t>
      </w:r>
    </w:p>
    <w:p w14:paraId="1A9D054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2013年12月3日，习近平在中共中央政治局以“历史唯物主义基本原理和方法论”为题进行集体学习时指出：“坚持和发展中国特色社会主义，必须不断适应社会生产力发展调整生产关系，不断适应经济基础发展完善上层建筑。”</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_Ref31444 \r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[21]</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(P74)</w:t>
      </w:r>
      <w:r>
        <w:rPr>
          <w:rFonts w:hint="eastAsia" w:ascii="宋体" w:hAnsi="宋体" w:eastAsia="宋体" w:cs="宋体"/>
          <w:spacing w:val="12"/>
          <w:sz w:val="24"/>
          <w:szCs w:val="24"/>
        </w:rPr>
        <w:t>发展新质生产力，既要向科技创新和产业创新要活力，更要通过全面深化体制机制改革，向“新型生产关系”要动力。这里重点遵循党的二十届三中全会关于以经济体制改革为牵引的精神，以习近平作出的重要部署和系列重要讲话为切入点，分析通过深化财税、金融、教育、科技、人才等体制综合改革，消除妨碍新质生产力的体制机制约束，释放推动国计民生高质量发展的创新活力。</w:t>
      </w:r>
    </w:p>
    <w:p w14:paraId="516146C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1.深化财税体制改革，健全完善财税体系</w:t>
      </w:r>
    </w:p>
    <w:p w14:paraId="6206AB1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2023年12月11日至12日的中央经济工作会议在部署2024年重点经济工作时部署了深化重点领域改革的清单，其中一项重要内容是新一轮的财税体制改革，并提出“积极的财政政策要适度加力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提质增效”。</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_Ref31686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[22]</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遵循党的二十届三中全会关于深化财税体制改革的精神，当前亟须深化财税体制改革以创新完善中国特色财政调控体系，为推动新质生产力发展提供重要政策抓手。</w:t>
      </w:r>
    </w:p>
    <w:p w14:paraId="6FA2A80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是明方向。深化财税体制改革不仅要考虑财税本身，更要锚定改革切入点，站在国家治理体系与治理能力现代化的高度，着眼于新时代经济发展需求，围绕促进共同富裕、推动高质量发展、加快形成新质生产力等重大战略任务，构建新型财政税收制度。将主要改革方向放在稳定相关行为主体的预期、激发相关行为主体内在动力和创新活力上，推进新型生产力要素和新型社会劳动发展</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以此支撑新质生产力的发展需求。</w:t>
      </w:r>
    </w:p>
    <w:p w14:paraId="3E54F14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是抓重点。新一轮财税体制改革重点应根据当前经济运行中的主要矛盾展开。首先要明确中央与地方的事权和支出责任，充分发挥好中央与地方两个积极性，明晰界定省、市、县三级财政支出责任，在共同事权方面，考虑市县经济发展水平、财力状况及现有政策规定，差别化确定省、</w:t>
      </w:r>
      <w:r>
        <w:rPr>
          <w:rFonts w:hint="eastAsia" w:ascii="宋体" w:hAnsi="宋体" w:eastAsia="宋体" w:cs="宋体"/>
          <w:spacing w:val="12"/>
          <w:sz w:val="24"/>
          <w:szCs w:val="24"/>
          <w:lang w:val="en-US" w:eastAsia="zh-CN"/>
        </w:rPr>
        <w:t>市、</w:t>
      </w:r>
      <w:r>
        <w:rPr>
          <w:rFonts w:hint="eastAsia" w:ascii="宋体" w:hAnsi="宋体" w:eastAsia="宋体" w:cs="宋体"/>
          <w:spacing w:val="12"/>
          <w:sz w:val="24"/>
          <w:szCs w:val="24"/>
        </w:rPr>
        <w:t>县三级支出责任分担比例，规范转移支付分类设置。其次要优化税制结构，规范政府和企业之间的财税分配关系，侧重支持科技创新和实体经济等重点领域，激发市场主体活力。</w:t>
      </w:r>
    </w:p>
    <w:p w14:paraId="2602D2A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是优组合。合理安排财政资金，优化支出结构。强化财政政策和货币政策的协同配合，拓展财政政策支持新质生产力发展的空间和提升财政资源的使用效率。在推动公共产品和服务适度均等化、兜牢基本民生底线基础上，通过财政杠杆作用，引导资源向科技创新、教育人才、绿色发展等关键领域聚集。同时，为避免新旧生产力的更替带来的经济波动以及社会影响，财政应为传统生产力的改造升级提供专项资金扶持，以确保新旧要素能够顺利交替，实现生产力的平稳过渡。</w:t>
      </w:r>
    </w:p>
    <w:p w14:paraId="41E0AF3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2.深化金融体制改革，构建现代金融体系</w:t>
      </w:r>
    </w:p>
    <w:p w14:paraId="7692682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rPr>
        <w:t>遵循党的二十届三中全会关于金融体制改革的精神，应构建现代金融体系，提高金融服务新质生产力发展的效率和质量，以适应新业态、新模式、新技术、新产品对高质量金融体系的建设要求</w:t>
      </w:r>
      <w:r>
        <w:rPr>
          <w:rFonts w:hint="eastAsia" w:ascii="宋体" w:hAnsi="宋体" w:eastAsia="宋体" w:cs="宋体"/>
          <w:spacing w:val="12"/>
          <w:sz w:val="24"/>
          <w:szCs w:val="24"/>
          <w:lang w:eastAsia="zh-CN"/>
        </w:rPr>
        <w:t>。</w:t>
      </w:r>
    </w:p>
    <w:p w14:paraId="055BC89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一是深化金融监管体制改革。党的二十大上，习近平指出：“深化金融体制改革，建设现代中央银行制度，加强和完善现代金融监管，强化金融稳定保障体系。”</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_Ref31715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(P29)</w:t>
      </w:r>
      <w:r>
        <w:rPr>
          <w:rFonts w:hint="eastAsia" w:ascii="宋体" w:hAnsi="宋体" w:eastAsia="宋体" w:cs="宋体"/>
          <w:spacing w:val="12"/>
          <w:sz w:val="24"/>
          <w:szCs w:val="24"/>
        </w:rPr>
        <w:t>金融是把“双刃剑”，其对新质生产力发展所起的作用取决于如何对金融加以运用，只有深化金融监管体制改革，加强对金融机构、金融市场的监管和执法效能，营造良好的金融市场环境，才能增强服务新质生产力的效能。这就要求，加强对金融市场和金融机构的规范化管理和监管，防止市场乱象和不良行为，构建中央—地方金融监管合力，控制金融风险，守住不发生系统性金融风险的底线，加强投资者和企业的信任，建成金融保障新质生产力可持续发展体系。</w:t>
      </w:r>
    </w:p>
    <w:p w14:paraId="3F3F47B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二是深化金融供给侧结构性改革。2023年</w:t>
      </w:r>
      <w:r>
        <w:rPr>
          <w:rFonts w:hint="eastAsia" w:ascii="宋体" w:hAnsi="宋体" w:eastAsia="宋体" w:cs="宋体"/>
          <w:spacing w:val="12"/>
          <w:sz w:val="24"/>
          <w:szCs w:val="24"/>
          <w:lang w:val="en-US" w:eastAsia="zh-CN"/>
        </w:rPr>
        <w:t>1</w:t>
      </w:r>
      <w:r>
        <w:rPr>
          <w:rFonts w:hint="eastAsia" w:ascii="宋体" w:hAnsi="宋体" w:eastAsia="宋体" w:cs="宋体"/>
          <w:spacing w:val="12"/>
          <w:sz w:val="24"/>
          <w:szCs w:val="24"/>
        </w:rPr>
        <w:t>0月30日，习近平在中央金融工作会议上强调，“金融要为经济社会发展提供高质量服务”，“做好科技金融、绿色金融、普惠金融、养老金融、数字金融五篇大文章”。</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_Ref31777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[24]</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深化金融供给侧结构性改革、做好金融“五篇大文章”，能够为新质生产力的发展提供强有力的资金支撑。这就要求鼓励有条件的地区和银行保险机构结合科技型企业发展规律和特点先行先试，研发专项金融产品和服务，为科技型企业提供全生命周期金融服务，着力打通束缚新质生产力发展的堵点，创新资金要素配置方式，让各类先进优质生产要素向发展新质生产力顺畅流动。</w:t>
      </w:r>
    </w:p>
    <w:p w14:paraId="5092A33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是构建现代化金融体系。在着力调整金融市场与金融体系结构，完善资本市场的直接融资功能基础上，进一步发挥银行在间接融资方面的优势，支持传统产业转型升级，大力发展科技金融。加强政策性金融机构与商业性金融机构之间的合作，发挥商业银行在提供信贷资金和支持传统产业转型升级等方面的功能，聚焦小微企业、绿色发展、科技创新等重点领域，不断优化信贷投放结构，完善长期资本供给机制。与此同时，健全覆盖全社会的征信体系，建立与现代金融市场需求相匹配的政府—企业—个人“三位一体”的信用体系，降低创新企业的融资约束、成本和风险，打造良好的金融生态环境。</w:t>
      </w:r>
    </w:p>
    <w:p w14:paraId="044AD36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3.深化教育体制改革，创新教育育人环境</w:t>
      </w:r>
    </w:p>
    <w:p w14:paraId="2FD57E7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eastAsia="zh-CN"/>
        </w:rPr>
      </w:pPr>
      <w:r>
        <w:rPr>
          <w:rFonts w:hint="eastAsia" w:ascii="宋体" w:hAnsi="宋体" w:eastAsia="宋体" w:cs="宋体"/>
          <w:spacing w:val="12"/>
          <w:sz w:val="24"/>
          <w:szCs w:val="24"/>
        </w:rPr>
        <w:t>党的二十大报告指出：“深化教育领域综合改革，加强教材建设和管理，完善学校管理和教育评价体系，健全学校家庭社会育人机制。”</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_Ref31715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(P34)</w:t>
      </w:r>
      <w:r>
        <w:rPr>
          <w:rFonts w:hint="eastAsia" w:ascii="宋体" w:hAnsi="宋体" w:eastAsia="宋体" w:cs="宋体"/>
          <w:spacing w:val="12"/>
          <w:sz w:val="24"/>
          <w:szCs w:val="24"/>
        </w:rPr>
        <w:t>遵循党的二十届三中全会关于教育体制改革的精神，深化教育体制改革不仅是实现高质量发展的内在要求，也是推动新质生产力发展的迫切需要</w:t>
      </w:r>
      <w:r>
        <w:rPr>
          <w:rFonts w:hint="eastAsia" w:ascii="宋体" w:hAnsi="宋体" w:eastAsia="宋体" w:cs="宋体"/>
          <w:spacing w:val="12"/>
          <w:sz w:val="24"/>
          <w:szCs w:val="24"/>
          <w:lang w:eastAsia="zh-CN"/>
        </w:rPr>
        <w:t>。</w:t>
      </w:r>
    </w:p>
    <w:p w14:paraId="7DA3443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一是完善育人目标。新质生产力比传统生产力更加依赖高素质、创新型的劳动者，这种依赖性不仅体现在对劳动者专业知识的深度和广度的要求上，更强调其创新思维与实践能力的结合。因此</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必须纠正“重学历轻技能、重资历轻能力、重引进轻培育”等错误思想，在育人目标的改革与完善中，要坚持动态调整，鼓励研究性学习和跨学科学习，培养既具备深厚理论基础又能进行原创性科研的复合型人才。</w:t>
      </w:r>
    </w:p>
    <w:p w14:paraId="2621AE3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是更新育人内容。时代新人作为新质生产力的主体，要成为新模式的创造者、新领域的开拓者、新赛道的领跑者，必然要具有突出的“创新素养”。因此，要重视在新质生产力条件下对传统专业的调整和改革，对原有专业进行全面重构，增加创新性、批判性、跨学科性的培养。优化学科专业设置，引入最新的科技成果和理论，设计跨学科的课程模块，既要注重学科知识本身，又要将课程与当下的社会现实相关联，确保教育内容和研究方向紧贴产业前沿，形成项目式、主题式的教材单元，进而发展出充满活力的问题式教学、发现式教学、探究式教学等多种新型教学形态。</w:t>
      </w:r>
    </w:p>
    <w:p w14:paraId="7707B61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是创新育人方法。在教学中，要创新教学方法，充分利用智能化、数字化的现代信息技术手段，改进、融通、变革教与学的时空环境和场域，让学生通过多样化的手段、多样化的资源在不同场所、不同时间接受多元化知识输入。加强数字化资源开发建设，借助数字技术的强大助力，提高学生数字化学习和应用能力。创新课堂教学方法，以“人—机—人”多元交互式教学，促进学生数字技术运用的能力。在数字时代，只有具备较高数字素养，才能成为与新质生产力发展水平适配的新型劳动者。</w:t>
      </w:r>
    </w:p>
    <w:p w14:paraId="6259F8F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4.深化科技体制改革，形成创新文化氛围</w:t>
      </w:r>
    </w:p>
    <w:p w14:paraId="235248F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2023年12月26日在纪念毛泽东同志诞辰130周年座谈会上，习近平强调：“要深化科技体制改革，发挥新型举国体制优势，强化国家战略科技力量，强化企业科技创新主体地位，优化配置创新资源，努力突破关键核心技术，推动实现高水平科技自立自强。”</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_Ref32104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[25]</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遵循党的二十届三中全会关于科技体制改革的精神，发展新质生产力，必须进一步完善科技创新体制，推进科技创新与产业创新深度融合，形成与新质生产力相适应的科技创新动力系统，赋能经济高质量发展。</w:t>
      </w:r>
    </w:p>
    <w:p w14:paraId="1022210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是夯实企业创新主体地位。党的二十大报告强调，“加强企业主导的产学研深度融合”，“强化企业科技创新主体地位，发挥科技型骨干企业引领支撑作用”，“优化国家科研机构、高水平研究型大学、科技领军企业定位和布局”。</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_Ref31715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(P35-36)</w:t>
      </w:r>
      <w:r>
        <w:rPr>
          <w:rFonts w:hint="eastAsia" w:ascii="宋体" w:hAnsi="宋体" w:eastAsia="宋体" w:cs="宋体"/>
          <w:spacing w:val="12"/>
          <w:sz w:val="24"/>
          <w:szCs w:val="24"/>
        </w:rPr>
        <w:t>企业是国家创新体系的核心主体，是科技创新活动的主要组织者和参与者，必须进一步强化企业科技创新的主体地位。在政策上，给予科技型骨干企业相应的创新政策保障，完善重点领域首批次应用保险和补贴政策，发挥政府首购和订购制度作用，激发企业科技创新动力；在机制上，完善与科技创新企业相匹配的科技成果转化机制。强化企业在成果应用和转化中的主体地位，畅通技术研发、中试验证、产业化应用全链条，完善对技术专利的审核评价体系，推动更多具有实际经济效益的重大专利的产生和应用推广。</w:t>
      </w:r>
    </w:p>
    <w:p w14:paraId="59155BA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是强化基础研究攻关。关键核心技术是要不来、买不来、讨不来的。只有全面加强基础研究，持续深耕科技创新的土壤，把关键核心技术掌握在自己手中，才能从根本上保障国家发展和安全。因此，在基础研究领域，必须高度重视战略统筹和规划布局的重要性，以体制机制创新为保障，加强从基础研究、关键技术、装备研制到成果转化的全链条设计，实现一体化部署，确保各个环节紧密衔接、高效协同。与此同时，应前瞻布局，瞄准未来科技和产业发展的制高点，发挥新型举国体制集中力量办大事的优势，统筹部署战略导向的体系化基础研究、前沿导向的探索性基础研究、市场导向的应用性基础研究，确保基础研究既有深度又有广度，既能服务国家战略，又能推动产业升级。</w:t>
      </w:r>
    </w:p>
    <w:p w14:paraId="30095B0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是培育科技创新文化。弘扬具有中国特色的创新文化，需要我们树立民族自信心和自豪感，将中华优秀传统文化与当代科学技术发展、当代文化思想融会贯通。面对新一轮科技革命和产业变革，必须进一步鼓励弘扬老一辈院士和科技工作者科学家精神，强调科学应为人民服务，而不是为资本服务，守牢科研底线。与此同时，大力弘扬企业家精神和工匠精神，营造激励企业家干事创业的浓厚氛围，构建多主体、多层级、多中心、网络式的科技创新格局，重视市场与社会公众在科技创新中的价值创造。进一步在全社会营造宽容鼓励的创新文化，引导社会公众正确认识创新理念、创新成就及创新失败，形成大胆探索、求真求实、鼓励创新、宽容失败的社会文化环境。</w:t>
      </w:r>
    </w:p>
    <w:p w14:paraId="0F6645D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5.深化人才发展体制改革，造就高素质人才体系</w:t>
      </w:r>
    </w:p>
    <w:p w14:paraId="6B15558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党的二十大报告提出，“深入实施人才强国战略”，“着力形成人才国际竞争的比较优势”。</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_Ref31715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(P36)</w:t>
      </w:r>
      <w:r>
        <w:rPr>
          <w:rFonts w:hint="eastAsia" w:ascii="宋体" w:hAnsi="宋体" w:eastAsia="宋体" w:cs="宋体"/>
          <w:spacing w:val="12"/>
          <w:sz w:val="24"/>
          <w:szCs w:val="24"/>
        </w:rPr>
        <w:t>遵循党的二十届三中全会关于人才发展体制改革的精神，必须通过深化人才发展体制机制改革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优化人才发展生态，厚培国家战略人才力量，不断夯实新质生产力的人才之基。人力资源作为重要的高端生产要素，其数量和结构将直接影响一个行业在全球价值链中的地位和分配，造就结构优、集聚度高、科研攻关能力强且符合新质生产力发展要求的高素质人才体系，是建设人才强国的重要基础和关键手段。</w:t>
      </w:r>
    </w:p>
    <w:p w14:paraId="76E2B7B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一是人才流动体系。围绕实现高水平科技自立自强需要，完善人才培养使用、合理流动、特殊调配、集成支持、协同创新等机制，打造人才干事创业新型平台，深化重点人才发展体制机制改革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推动人才链、创新链、产业链、创业链深入融合。促进科技人才在高校、研究机构与产业间的有效流动和深度融合，鼓励科技人才从业界向高校、研究机构流动，引导科技人才跨产学研流动与共创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注重科技人才中介服务体系的建设，使其真正成为高校、研究机构和企业之间的桥梁，为人才流动提供有针对性的咨询和解决方案，以促进人才与岗位之间的高效匹配。</w:t>
      </w:r>
    </w:p>
    <w:p w14:paraId="0248DB9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二是人才评价体系。坚持“破四唯”和“立新标”相结合，突出战略目标和使命导向，分类构建国家重大攻关任务、基础前沿研究、应用技术开发、成果转化类人才评价指标和评价方式，及时增设新兴产业人才评价专门通道，加快建立以创新价值、能力、贡献为导向的人才评价体系，探索将创新成果、发明创造、典型案例等作为评价标准。</w:t>
      </w:r>
    </w:p>
    <w:p w14:paraId="42ED50D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是人才激励体系。实行灵活的薪酬分配制度，兼顾短期与中长期激励、物质与精神激励。建立以创新能力、价值贡献为导向的科技人才激励体系，强化对新领域创新创业人才和甘坐冷板凳科技人才的扶持力度。同时，设计包含股权激励、项目资助、成果奖励等在内的多元化激励保障机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设立特别研究基金，对促进战略性新兴产业发展和未来产业培育取得突出贡献的科技人才给予奖励</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切实为人才减负松绑，真心爱才、倾心引才、精心用才，引导各类人才潜心研究，为发展新质生产力贡献力量。</w:t>
      </w:r>
    </w:p>
    <w:p w14:paraId="3CA984B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四是人才引进体系。发展新质生产力不仅要培养本土人才，更要广开进贤之路、广纳天下英才</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近年来，科技战逐渐转变为人才战，由此，要充分利用全球范围内的优质人才资源，在信息技术、人工智能、新能源等科技攻关领域“抢人才”，在此过程中，出台并完善相关移民法，统一人才引进的标准分类，形成引才“强磁场”。与此同时，也可鼓励高校、企业等主体通过走出去与国外人才建立联系，形成人才国际交流合作中心。</w:t>
      </w:r>
    </w:p>
    <w:p w14:paraId="6E6426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三、健全保障机制，推动新型生产关系适应新质生产力发展</w:t>
      </w:r>
    </w:p>
    <w:p w14:paraId="43109C8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中共中央关于进一步全面深化改革推进中国式现代化的决定》指出：“以经济体制改革为牵引，以促进社会公平正义、增进人民福祉为出发点和落脚点，更加注重系统集成，更加注重突出重点，更加注重改革实效，推动生产关系和生产力、上层建筑和经济基础、国家治理和社会发展更好相适应，为中国式现代化提供强大动力和制度保障。”</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_Ref27761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(P3-4)</w:t>
      </w:r>
      <w:r>
        <w:rPr>
          <w:rFonts w:hint="eastAsia" w:ascii="宋体" w:hAnsi="宋体" w:eastAsia="宋体" w:cs="宋体"/>
          <w:spacing w:val="12"/>
          <w:sz w:val="24"/>
          <w:szCs w:val="24"/>
        </w:rPr>
        <w:t>塑造与新质生产力发展相适应的新型生产关系，是一项综合性的系统工程，抓好各项工作的落实，必须有一整套高效管用的保障机制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只有不断健全落实保障机制，才能充分激发新型生产关系的活力和潜能，推动新质生产力的加快形成</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提升经济发展的创新力和竞争力。</w:t>
      </w:r>
    </w:p>
    <w:p w14:paraId="20357C1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1.坚持党对塑造新型生产关系的领导</w:t>
      </w:r>
    </w:p>
    <w:p w14:paraId="02460AF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历史发展的经验表明，生产关系可能超前于生产力的发展，也可能滞后于生产力的发展。当生产关系落后于生产力的发展时，必须变革与生产力发展不相适应的经济基础和上层建筑，但这个过程并不是依靠社会动力系统本身就能顺利完成的，必须要有执政组织具备足够的智慧和能力去实现这种转变。坚持党对经济工作的领导，内在的逻辑就是不断调整生产关系和上层建筑以达到生产力</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生产关系和上层建筑长期匹配与适应的均衡局面，进而解放发展生产力和实现经济高质量发展。新时代，生产力水平已达到前所未有的高度，随着新质生产力的加快形成，新型生产关系的塑造也亟须提上日程，而新型生产关系的调整与完善是一项复杂的系统性工程，会同时涉及多个部门、多个领域，必然要求统筹协调好这些错综复杂的利益关系。显然，在这一过程中，需要着重发挥党的统筹协调作用，确保体制机制的深化改革在党的集中统一和正确领导下进行，以经济治理的宏观有效性确保市场主体预期的稳定性和持续的创新性，不断培育发展新质生产力。</w:t>
      </w:r>
    </w:p>
    <w:p w14:paraId="1FD2DA0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2.健全“集中力量办大事”的新型举国体制</w:t>
      </w:r>
    </w:p>
    <w:p w14:paraId="78ACCC2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val="en-US"/>
        </w:rPr>
      </w:pPr>
      <w:r>
        <w:rPr>
          <w:rFonts w:hint="eastAsia" w:ascii="宋体" w:hAnsi="宋体" w:eastAsia="宋体" w:cs="宋体"/>
          <w:spacing w:val="12"/>
          <w:sz w:val="24"/>
          <w:szCs w:val="24"/>
        </w:rPr>
        <w:t>习近平在党的二十大报告中强调，“完善党中央对科技工作统一领导的体制，健全新型举国体制”。</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_Ref31715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[23]</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vertAlign w:val="superscript"/>
          <w:lang w:val="en-US" w:eastAsia="zh-CN"/>
        </w:rPr>
        <w:t>(P35)</w:t>
      </w:r>
      <w:r>
        <w:rPr>
          <w:rFonts w:hint="eastAsia" w:ascii="宋体" w:hAnsi="宋体" w:eastAsia="宋体" w:cs="宋体"/>
          <w:spacing w:val="12"/>
          <w:sz w:val="24"/>
          <w:szCs w:val="24"/>
        </w:rPr>
        <w:t>健全新型举国体制，既是掌握科技创新主动权、加快形成新质生产力的必然要求，也是应对国内外各种风险挑战的现实需要。新型举国体制最显著的特征在于将集中力量办大事的制度优势与市场经济机制结合得更加紧密，实现政府规划组织、市场机制操作、经济主体（企事业）创新三者协同发力。在宏观资源配置和调控层面，由国家统筹布局，政府以“总协调人”的主导角色打造引领发展的战略科技力量和平台，承担重大科技创新组织任务，制定战略规划，重点运用市场方式、经济手段解决重大技术创新工程的立项、决策、预算投入、利益分配等问题，并在涉及国家安全和民生安全的重大战略性领域，如大型战略产品或基础设施、关系人民生命健康的重大创新、“卡脖子”技术等，形成跨领域、跨部门统筹机制，针对不同类型任务形成快速反应，建立国家积极治理与市场高效运作相结合的资源配置模式。在微观资源配置和运行层面，尊重市场主体的自主性，强化企业技术创新主体地位，加快转变政府科技管理职能，营造良好创新生态，激发创新主体活力，主要依靠市场机制解决利益分享，保护和激发各类创新主体的活力。在新型举国体制中，强政府与强市场的正能量相互依存、互为补充，共同构筑成一个能够激发各类创新主体活力与维护社会公正公平、互帮互助、齐心协力的“有机社会”。</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_Ref32610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[26]</w:t>
      </w:r>
      <w:r>
        <w:rPr>
          <w:rFonts w:hint="eastAsia" w:ascii="宋体" w:hAnsi="宋体" w:eastAsia="宋体" w:cs="宋体"/>
          <w:spacing w:val="12"/>
          <w:sz w:val="24"/>
          <w:szCs w:val="24"/>
          <w:vertAlign w:val="superscript"/>
          <w:lang w:val="en-US"/>
        </w:rPr>
        <w:fldChar w:fldCharType="end"/>
      </w:r>
    </w:p>
    <w:p w14:paraId="1FF1BF6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3.全面深化改革，激活各要素生产活力</w:t>
      </w:r>
    </w:p>
    <w:p w14:paraId="2777C6B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改革开放以来，正是因为不断地自觉调整生产关系和上层建筑以适应生产力的发展需要，我国创造了经济快速发展和社会长期稳定两大奇迹，使中国特色社会主义合规律地向前发展。习近平指出：“我们要勇于全面深化改革，自觉通过调整生产关系激发社会生产力发展活力，自觉通过完善上层建筑适应经济基础发展要求，让中国特色社会主义更加符合规律地向前发展。”</w:t>
      </w:r>
      <w:r>
        <w:rPr>
          <w:rFonts w:hint="eastAsia" w:ascii="宋体" w:hAnsi="宋体" w:eastAsia="宋体" w:cs="宋体"/>
          <w:spacing w:val="12"/>
          <w:sz w:val="24"/>
          <w:szCs w:val="24"/>
          <w:vertAlign w:val="superscript"/>
          <w:lang w:val="en-US"/>
        </w:rPr>
        <w:fldChar w:fldCharType="begin"/>
      </w:r>
      <w:r>
        <w:rPr>
          <w:rFonts w:hint="eastAsia" w:ascii="宋体" w:hAnsi="宋体" w:eastAsia="宋体" w:cs="宋体"/>
          <w:spacing w:val="12"/>
          <w:sz w:val="24"/>
          <w:szCs w:val="24"/>
          <w:vertAlign w:val="superscript"/>
          <w:lang w:val="en-US"/>
        </w:rPr>
        <w:instrText xml:space="preserve"> REF _Ref348 \n \h </w:instrText>
      </w:r>
      <w:r>
        <w:rPr>
          <w:rFonts w:hint="eastAsia" w:ascii="宋体" w:hAnsi="宋体" w:eastAsia="宋体" w:cs="宋体"/>
          <w:spacing w:val="12"/>
          <w:sz w:val="24"/>
          <w:szCs w:val="24"/>
          <w:vertAlign w:val="superscript"/>
          <w:lang w:val="en-US"/>
        </w:rPr>
        <w:fldChar w:fldCharType="separate"/>
      </w:r>
      <w:r>
        <w:rPr>
          <w:rFonts w:hint="eastAsia" w:ascii="宋体" w:hAnsi="宋体" w:eastAsia="宋体" w:cs="宋体"/>
          <w:spacing w:val="12"/>
          <w:sz w:val="24"/>
          <w:szCs w:val="24"/>
          <w:vertAlign w:val="superscript"/>
          <w:lang w:val="en-US"/>
        </w:rPr>
        <w:t>[27]</w:t>
      </w:r>
      <w:r>
        <w:rPr>
          <w:rFonts w:hint="eastAsia" w:ascii="宋体" w:hAnsi="宋体" w:eastAsia="宋体" w:cs="宋体"/>
          <w:spacing w:val="12"/>
          <w:sz w:val="24"/>
          <w:szCs w:val="24"/>
          <w:vertAlign w:val="superscript"/>
          <w:lang w:val="en-US"/>
        </w:rPr>
        <w:fldChar w:fldCharType="end"/>
      </w:r>
      <w:r>
        <w:rPr>
          <w:rFonts w:hint="eastAsia" w:ascii="宋体" w:hAnsi="宋体" w:eastAsia="宋体" w:cs="宋体"/>
          <w:spacing w:val="12"/>
          <w:sz w:val="24"/>
          <w:szCs w:val="24"/>
        </w:rPr>
        <w:t>新时代，以新技术、新业态、高效能、高科技、高质量为特征的新质生产力的发展同样需要新型生产关系的调整与完善。这就要求，必须向全面深化改革要答案，通过经济体制、政治体制、文化体制、社会体制、生态文明体制和党的建设制度的一系列全面深化改革，破除生产、分配、交换、消费环节中的障碍，激活要素经济活力，使其高效配置到新质生产力领域中。在进一步全面深化改革中，必须抓好重点领域和关键环节，以主要矛盾和矛盾的主要方面的解决带动其他矛盾的解决，由此，必须抓住经济体制改革这一重点，进一步完善社会主义市场经济体制，处理好“政府”与“市场”的关系，完善产权、市场准入、公平竞争等市场经济基础性制度，推进高标准市场体系的建设，并深化教育、科技、人才体制改革，打通束缚新质生产力的堵点卡点。在解决重点领域的关键问题的同时</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也要注重改革与开放和发展的辩证关系和协调性，统筹好政治、文化、生态、社会等领域的改革</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建立与之相适应的各类体制和运行机制，充分发挥新型生产关系对新质生产力形成与发展的推动作用。</w:t>
      </w:r>
    </w:p>
    <w:p w14:paraId="1497AAF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4.深化法治建设，营造公平竞争的市场环境</w:t>
      </w:r>
    </w:p>
    <w:p w14:paraId="7D95563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激发市场主体活力离不开公平竞争的市场环境，而公平竞争的市场环境的实现离不开法治的保障，需要充分发挥法治固根本、稳预期、利长远的重要作用，通过法治领域的系统性，全方位加强释放各类创新主体动力的制度供给。尤其是对于新兴领域，要通过系统性的制度设计，解决瓶颈期困难，真正发挥法治在科技创新、改革、转化、保护等方面一系列的基础保障作用。新质生产力聚集科技创新全链条各环节，其首要任务是建立健全新兴领域的法律法规体系，例如大数据交易法律法规、对新技术领域监管的法律法规等，为信息化、科技化浪潮下的新质生产力发展提供坚实的法律保障。同时，应依法平等保护国有、集体、合作、民营、个体、外资等各种所有制企业产权和自主经营权，切实保障各类市场主体依法平等使用资源要素、同等受到法律保护，破除妨碍市场准入和退出、妨碍商品和要素的自由流动、影响生产经营成本和影响生产经营的制约因素，要以促进新产业、新模式、新动能健康发展为主制定相关条款，形成有利于科技创新发展的市场环境。通过立法机关、行政机关、审判机关、检察机关协同发力，提高立法质量、执法水平、监督效能，扎实开展公平竞争审查工作，持续优化公平竞争环境，推进公平竞争审查制度落地落实。加快构建中国特色社会主义法治体系，全面保障各类市场主体的公平竞争、有力捍卫市场主体的合法权益，形成新质生产力的培育与法治环境优化的协同共进局面。</w:t>
      </w:r>
    </w:p>
    <w:p w14:paraId="3716554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2"/>
          <w:sz w:val="24"/>
          <w:szCs w:val="24"/>
          <w:lang w:eastAsia="zh-CN"/>
        </w:rPr>
      </w:pPr>
      <w:r>
        <w:rPr>
          <w:rFonts w:hint="eastAsia" w:ascii="宋体" w:hAnsi="宋体" w:eastAsia="宋体" w:cs="宋体"/>
          <w:spacing w:val="12"/>
          <w:sz w:val="24"/>
          <w:szCs w:val="24"/>
        </w:rPr>
        <w:t>以上阐述遵循新时代党的文件，特别是党的二十届三中全会的精神。与已有绝大多数文献不同</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本文既重视一般体制机制层面的新型生产关系分析，也重视主要经济制度基本层面的新型生产关系分析。只要我们系统做好社会主义主要经济制度、具体体制和保障机制三方面的改革完善工作，就一定能够比资本主义更适合新质生产力的大发展。诚然，新型生产关系的塑造并不是一蹴而就的，必须坚持好“先立后破、稳中求进”的工作总基调，处理好“立与破、取与舍、稳与进、快与慢、共性与个性”各种关系，以此来稳步高效地推动社会生产力的持续发展和社会的全面进步。展望未来，在党的二十届三中全会精神指引下，在以习近平同志为核心的党中央领导下，我们有信心、有能力、有定力塑造具有中国特色的新型生产关系，赋能新质生产力的发展，加快全面建设社会主义现代化国家</w:t>
      </w:r>
      <w:r>
        <w:rPr>
          <w:rFonts w:hint="eastAsia" w:ascii="宋体" w:hAnsi="宋体" w:eastAsia="宋体" w:cs="宋体"/>
          <w:spacing w:val="12"/>
          <w:sz w:val="24"/>
          <w:szCs w:val="24"/>
          <w:lang w:eastAsia="zh-CN"/>
        </w:rPr>
        <w:t>。</w:t>
      </w:r>
    </w:p>
    <w:p w14:paraId="330728C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spacing w:val="5"/>
          <w:sz w:val="24"/>
          <w:szCs w:val="24"/>
          <w:lang w:val="en-US" w:eastAsia="zh-CN"/>
        </w:rPr>
        <w:t>注释：</w:t>
      </w:r>
    </w:p>
    <w:p w14:paraId="6BC743DD">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04" w:firstLineChars="200"/>
        <w:jc w:val="both"/>
        <w:textAlignment w:val="baseline"/>
        <w:rPr>
          <w:rFonts w:hint="eastAsia" w:ascii="宋体" w:hAnsi="宋体" w:eastAsia="宋体" w:cs="宋体"/>
          <w:sz w:val="24"/>
          <w:szCs w:val="24"/>
        </w:rPr>
      </w:pPr>
      <w:bookmarkStart w:id="430" w:name="_Ref27712"/>
      <w:r>
        <w:rPr>
          <w:rFonts w:hint="eastAsia" w:ascii="宋体" w:hAnsi="宋体" w:eastAsia="宋体" w:cs="宋体"/>
          <w:spacing w:val="6"/>
          <w:sz w:val="24"/>
          <w:szCs w:val="24"/>
        </w:rPr>
        <w:t>习近平.发展新质生产力是推动高质</w:t>
      </w:r>
      <w:r>
        <w:rPr>
          <w:rFonts w:hint="eastAsia" w:ascii="宋体" w:hAnsi="宋体" w:eastAsia="宋体" w:cs="宋体"/>
          <w:spacing w:val="5"/>
          <w:sz w:val="24"/>
          <w:szCs w:val="24"/>
        </w:rPr>
        <w:t>量发展的内在</w:t>
      </w:r>
      <w:r>
        <w:rPr>
          <w:rFonts w:hint="eastAsia" w:ascii="宋体" w:hAnsi="宋体" w:eastAsia="宋体" w:cs="宋体"/>
          <w:sz w:val="24"/>
          <w:szCs w:val="24"/>
        </w:rPr>
        <w:t>要求和重要着力点[J].求是，2024</w:t>
      </w:r>
      <w:r>
        <w:rPr>
          <w:rFonts w:hint="eastAsia" w:ascii="宋体" w:hAnsi="宋体" w:eastAsia="宋体" w:cs="宋体"/>
          <w:spacing w:val="-39"/>
          <w:w w:val="92"/>
          <w:sz w:val="24"/>
          <w:szCs w:val="24"/>
        </w:rPr>
        <w:t>，（</w:t>
      </w:r>
      <w:r>
        <w:rPr>
          <w:rFonts w:hint="eastAsia" w:ascii="宋体" w:hAnsi="宋体" w:eastAsia="宋体" w:cs="宋体"/>
          <w:sz w:val="24"/>
          <w:szCs w:val="24"/>
        </w:rPr>
        <w:t>11）.</w:t>
      </w:r>
      <w:bookmarkEnd w:id="430"/>
    </w:p>
    <w:p w14:paraId="1AFDC914">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12" w:firstLineChars="200"/>
        <w:jc w:val="both"/>
        <w:textAlignment w:val="baseline"/>
        <w:rPr>
          <w:rFonts w:hint="eastAsia" w:ascii="宋体" w:hAnsi="宋体" w:eastAsia="宋体" w:cs="宋体"/>
          <w:sz w:val="24"/>
          <w:szCs w:val="24"/>
        </w:rPr>
      </w:pPr>
      <w:bookmarkStart w:id="431" w:name="_Ref27738"/>
      <w:r>
        <w:rPr>
          <w:rFonts w:hint="eastAsia" w:ascii="宋体" w:hAnsi="宋体" w:eastAsia="宋体" w:cs="宋体"/>
          <w:spacing w:val="8"/>
          <w:sz w:val="24"/>
          <w:szCs w:val="24"/>
        </w:rPr>
        <w:t>习近平在中共中央政治局第十一次集体学习时强</w:t>
      </w:r>
      <w:r>
        <w:rPr>
          <w:rFonts w:hint="eastAsia" w:ascii="宋体" w:hAnsi="宋体" w:eastAsia="宋体" w:cs="宋体"/>
          <w:sz w:val="24"/>
          <w:szCs w:val="24"/>
        </w:rPr>
        <w:t>调：加快发展新质生产力扎实推进高质量发展[N].</w:t>
      </w:r>
      <w:r>
        <w:rPr>
          <w:rFonts w:hint="eastAsia" w:ascii="宋体" w:hAnsi="宋体" w:eastAsia="宋体" w:cs="宋体"/>
          <w:spacing w:val="-2"/>
          <w:sz w:val="24"/>
          <w:szCs w:val="24"/>
        </w:rPr>
        <w:t>人民日报，2024-02-02（1）.</w:t>
      </w:r>
      <w:bookmarkEnd w:id="431"/>
    </w:p>
    <w:p w14:paraId="4859F61B">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92" w:firstLineChars="200"/>
        <w:jc w:val="both"/>
        <w:textAlignment w:val="baseline"/>
        <w:rPr>
          <w:rFonts w:hint="eastAsia" w:ascii="宋体" w:hAnsi="宋体" w:eastAsia="宋体" w:cs="宋体"/>
          <w:sz w:val="24"/>
          <w:szCs w:val="24"/>
        </w:rPr>
      </w:pPr>
      <w:bookmarkStart w:id="432" w:name="_Ref27761"/>
      <w:r>
        <w:rPr>
          <w:rFonts w:hint="eastAsia" w:ascii="宋体" w:hAnsi="宋体" w:eastAsia="宋体" w:cs="宋体"/>
          <w:spacing w:val="3"/>
          <w:sz w:val="24"/>
          <w:szCs w:val="24"/>
        </w:rPr>
        <w:t>中共中央关于进一步全面深化改革推进中国式现</w:t>
      </w:r>
      <w:r>
        <w:rPr>
          <w:rFonts w:hint="eastAsia" w:ascii="宋体" w:hAnsi="宋体" w:eastAsia="宋体" w:cs="宋体"/>
          <w:spacing w:val="1"/>
          <w:sz w:val="24"/>
          <w:szCs w:val="24"/>
        </w:rPr>
        <w:t>代化的决定[M].北京：人民出版社，2024.</w:t>
      </w:r>
      <w:bookmarkEnd w:id="432"/>
    </w:p>
    <w:p w14:paraId="29A1CC34">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eastAsia" w:ascii="宋体" w:hAnsi="宋体" w:eastAsia="宋体" w:cs="宋体"/>
          <w:sz w:val="24"/>
          <w:szCs w:val="24"/>
        </w:rPr>
      </w:pPr>
      <w:bookmarkStart w:id="433" w:name="_Ref27813"/>
      <w:bookmarkStart w:id="434" w:name="_Ref30540"/>
      <w:r>
        <w:rPr>
          <w:rFonts w:hint="eastAsia" w:ascii="宋体" w:hAnsi="宋体" w:eastAsia="宋体" w:cs="宋体"/>
          <w:spacing w:val="-2"/>
          <w:sz w:val="24"/>
          <w:szCs w:val="24"/>
        </w:rPr>
        <w:t>马克思恩格斯选集，第2卷[M].北京：人民出版社，</w:t>
      </w:r>
      <w:bookmarkEnd w:id="433"/>
      <w:r>
        <w:rPr>
          <w:rFonts w:hint="eastAsia" w:ascii="宋体" w:hAnsi="宋体" w:eastAsia="宋体" w:cs="宋体"/>
          <w:spacing w:val="1"/>
          <w:sz w:val="24"/>
          <w:szCs w:val="24"/>
        </w:rPr>
        <w:t>2012.</w:t>
      </w:r>
      <w:bookmarkEnd w:id="434"/>
    </w:p>
    <w:p w14:paraId="2FC6A3C5">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eastAsia" w:ascii="宋体" w:hAnsi="宋体" w:eastAsia="宋体" w:cs="宋体"/>
          <w:sz w:val="24"/>
          <w:szCs w:val="24"/>
        </w:rPr>
      </w:pPr>
      <w:bookmarkStart w:id="435" w:name="_Ref28032"/>
      <w:r>
        <w:rPr>
          <w:rFonts w:hint="eastAsia" w:ascii="宋体" w:hAnsi="宋体" w:eastAsia="宋体" w:cs="宋体"/>
          <w:spacing w:val="-2"/>
          <w:sz w:val="24"/>
          <w:szCs w:val="24"/>
        </w:rPr>
        <w:t>马克思恩格斯选集，第1卷[M].</w:t>
      </w:r>
      <w:r>
        <w:rPr>
          <w:rFonts w:hint="eastAsia" w:ascii="宋体" w:hAnsi="宋体" w:eastAsia="宋体" w:cs="宋体"/>
          <w:spacing w:val="-3"/>
          <w:sz w:val="24"/>
          <w:szCs w:val="24"/>
        </w:rPr>
        <w:t>北京：人民出版社，</w:t>
      </w:r>
      <w:r>
        <w:rPr>
          <w:rFonts w:hint="eastAsia" w:ascii="宋体" w:hAnsi="宋体" w:eastAsia="宋体" w:cs="宋体"/>
          <w:spacing w:val="1"/>
          <w:sz w:val="24"/>
          <w:szCs w:val="24"/>
        </w:rPr>
        <w:t>2012.</w:t>
      </w:r>
      <w:bookmarkEnd w:id="435"/>
    </w:p>
    <w:p w14:paraId="5E0B2EC6">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44" w:firstLineChars="200"/>
        <w:jc w:val="both"/>
        <w:textAlignment w:val="baseline"/>
        <w:rPr>
          <w:rFonts w:hint="eastAsia" w:ascii="宋体" w:hAnsi="宋体" w:eastAsia="宋体" w:cs="宋体"/>
          <w:sz w:val="24"/>
          <w:szCs w:val="24"/>
        </w:rPr>
      </w:pPr>
      <w:bookmarkStart w:id="436" w:name="_Ref28117"/>
      <w:r>
        <w:rPr>
          <w:rFonts w:hint="eastAsia" w:ascii="宋体" w:hAnsi="宋体" w:eastAsia="宋体" w:cs="宋体"/>
          <w:spacing w:val="-9"/>
          <w:sz w:val="24"/>
          <w:szCs w:val="24"/>
        </w:rPr>
        <w:t>习近平.论《〈政治经济学批判〉序言》的时代意义[J].</w:t>
      </w:r>
      <w:r>
        <w:rPr>
          <w:rFonts w:hint="eastAsia" w:ascii="宋体" w:hAnsi="宋体" w:eastAsia="宋体" w:cs="宋体"/>
          <w:spacing w:val="-2"/>
          <w:sz w:val="24"/>
          <w:szCs w:val="24"/>
        </w:rPr>
        <w:t>福建论坛（经济社会版</w:t>
      </w:r>
      <w:r>
        <w:rPr>
          <w:rFonts w:hint="eastAsia" w:ascii="宋体" w:hAnsi="宋体" w:eastAsia="宋体" w:cs="宋体"/>
          <w:spacing w:val="-42"/>
          <w:w w:val="97"/>
          <w:sz w:val="24"/>
          <w:szCs w:val="24"/>
        </w:rPr>
        <w:t>），</w:t>
      </w:r>
      <w:r>
        <w:rPr>
          <w:rFonts w:hint="eastAsia" w:ascii="宋体" w:hAnsi="宋体" w:eastAsia="宋体" w:cs="宋体"/>
          <w:spacing w:val="-2"/>
          <w:sz w:val="24"/>
          <w:szCs w:val="24"/>
        </w:rPr>
        <w:t>1997</w:t>
      </w:r>
      <w:r>
        <w:rPr>
          <w:rFonts w:hint="eastAsia" w:ascii="宋体" w:hAnsi="宋体" w:eastAsia="宋体" w:cs="宋体"/>
          <w:spacing w:val="-42"/>
          <w:w w:val="97"/>
          <w:sz w:val="24"/>
          <w:szCs w:val="24"/>
        </w:rPr>
        <w:t>，（</w:t>
      </w:r>
      <w:r>
        <w:rPr>
          <w:rFonts w:hint="eastAsia" w:ascii="宋体" w:hAnsi="宋体" w:eastAsia="宋体" w:cs="宋体"/>
          <w:spacing w:val="-2"/>
          <w:sz w:val="24"/>
          <w:szCs w:val="24"/>
        </w:rPr>
        <w:t>1）.</w:t>
      </w:r>
      <w:bookmarkEnd w:id="436"/>
    </w:p>
    <w:p w14:paraId="2E180A94">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eastAsia" w:ascii="宋体" w:hAnsi="宋体" w:eastAsia="宋体" w:cs="宋体"/>
          <w:sz w:val="24"/>
          <w:szCs w:val="24"/>
        </w:rPr>
      </w:pPr>
      <w:bookmarkStart w:id="437" w:name="_Ref28404"/>
      <w:r>
        <w:rPr>
          <w:rFonts w:hint="eastAsia" w:ascii="宋体" w:hAnsi="宋体" w:eastAsia="宋体" w:cs="宋体"/>
          <w:spacing w:val="-2"/>
          <w:sz w:val="24"/>
          <w:szCs w:val="24"/>
        </w:rPr>
        <w:t>马克思恩格斯文集，第1卷[M].</w:t>
      </w:r>
      <w:r>
        <w:rPr>
          <w:rFonts w:hint="eastAsia" w:ascii="宋体" w:hAnsi="宋体" w:eastAsia="宋体" w:cs="宋体"/>
          <w:spacing w:val="-3"/>
          <w:sz w:val="24"/>
          <w:szCs w:val="24"/>
        </w:rPr>
        <w:t>北京：人民出版社，</w:t>
      </w:r>
      <w:r>
        <w:rPr>
          <w:rFonts w:hint="eastAsia" w:ascii="宋体" w:hAnsi="宋体" w:eastAsia="宋体" w:cs="宋体"/>
          <w:spacing w:val="1"/>
          <w:sz w:val="24"/>
          <w:szCs w:val="24"/>
        </w:rPr>
        <w:t>2009.</w:t>
      </w:r>
      <w:bookmarkEnd w:id="437"/>
    </w:p>
    <w:p w14:paraId="2264E2EE">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eastAsia" w:ascii="宋体" w:hAnsi="宋体" w:eastAsia="宋体" w:cs="宋体"/>
          <w:sz w:val="24"/>
          <w:szCs w:val="24"/>
        </w:rPr>
      </w:pPr>
      <w:bookmarkStart w:id="438" w:name="_Ref28473"/>
      <w:r>
        <w:rPr>
          <w:rFonts w:hint="eastAsia" w:ascii="宋体" w:hAnsi="宋体" w:eastAsia="宋体" w:cs="宋体"/>
          <w:spacing w:val="-2"/>
          <w:sz w:val="24"/>
          <w:szCs w:val="24"/>
        </w:rPr>
        <w:t>马克思恩格斯选集，第4卷[M].北京：人民出版社，</w:t>
      </w:r>
      <w:r>
        <w:rPr>
          <w:rFonts w:hint="eastAsia" w:ascii="宋体" w:hAnsi="宋体" w:eastAsia="宋体" w:cs="宋体"/>
          <w:spacing w:val="1"/>
          <w:sz w:val="24"/>
          <w:szCs w:val="24"/>
        </w:rPr>
        <w:t>2012.</w:t>
      </w:r>
      <w:bookmarkEnd w:id="438"/>
    </w:p>
    <w:p w14:paraId="40644081">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12" w:firstLineChars="200"/>
        <w:jc w:val="both"/>
        <w:textAlignment w:val="baseline"/>
        <w:rPr>
          <w:rFonts w:hint="eastAsia" w:ascii="宋体" w:hAnsi="宋体" w:eastAsia="宋体" w:cs="宋体"/>
          <w:sz w:val="24"/>
          <w:szCs w:val="24"/>
        </w:rPr>
      </w:pPr>
      <w:bookmarkStart w:id="439" w:name="_Ref28515"/>
      <w:r>
        <w:rPr>
          <w:rFonts w:hint="eastAsia" w:ascii="宋体" w:hAnsi="宋体" w:eastAsia="宋体" w:cs="宋体"/>
          <w:spacing w:val="8"/>
          <w:sz w:val="24"/>
          <w:szCs w:val="24"/>
        </w:rPr>
        <w:t>中共中央关于坚持和完善中国特色社会主</w:t>
      </w:r>
      <w:r>
        <w:rPr>
          <w:rFonts w:hint="eastAsia" w:ascii="宋体" w:hAnsi="宋体" w:eastAsia="宋体" w:cs="宋体"/>
          <w:spacing w:val="7"/>
          <w:sz w:val="24"/>
          <w:szCs w:val="24"/>
        </w:rPr>
        <w:t>义制度</w:t>
      </w:r>
      <w:r>
        <w:rPr>
          <w:rFonts w:hint="eastAsia" w:ascii="宋体" w:hAnsi="宋体" w:eastAsia="宋体" w:cs="宋体"/>
          <w:spacing w:val="10"/>
          <w:sz w:val="24"/>
          <w:szCs w:val="24"/>
        </w:rPr>
        <w:t>推进国家治理体系和治理能力现代化若干重大问</w:t>
      </w:r>
      <w:r>
        <w:rPr>
          <w:rFonts w:hint="eastAsia" w:ascii="宋体" w:hAnsi="宋体" w:eastAsia="宋体" w:cs="宋体"/>
          <w:spacing w:val="3"/>
          <w:sz w:val="24"/>
          <w:szCs w:val="24"/>
        </w:rPr>
        <w:t>题的决定[M].北京：人民出版社，201</w:t>
      </w:r>
      <w:r>
        <w:rPr>
          <w:rFonts w:hint="eastAsia" w:ascii="宋体" w:hAnsi="宋体" w:eastAsia="宋体" w:cs="宋体"/>
          <w:spacing w:val="2"/>
          <w:sz w:val="24"/>
          <w:szCs w:val="24"/>
        </w:rPr>
        <w:t>9.</w:t>
      </w:r>
      <w:bookmarkEnd w:id="439"/>
    </w:p>
    <w:p w14:paraId="4AEC4389">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00" w:firstLineChars="200"/>
        <w:jc w:val="both"/>
        <w:textAlignment w:val="baseline"/>
        <w:rPr>
          <w:rFonts w:hint="eastAsia" w:ascii="宋体" w:hAnsi="宋体" w:eastAsia="宋体" w:cs="宋体"/>
          <w:sz w:val="24"/>
          <w:szCs w:val="24"/>
        </w:rPr>
      </w:pPr>
      <w:bookmarkStart w:id="440" w:name="_Ref29410"/>
      <w:r>
        <w:rPr>
          <w:rFonts w:hint="eastAsia" w:ascii="宋体" w:hAnsi="宋体" w:eastAsia="宋体" w:cs="宋体"/>
          <w:spacing w:val="5"/>
          <w:sz w:val="24"/>
          <w:szCs w:val="24"/>
        </w:rPr>
        <w:t>习近平.决胜全面建成小康社会夺取</w:t>
      </w:r>
      <w:r>
        <w:rPr>
          <w:rFonts w:hint="eastAsia" w:ascii="宋体" w:hAnsi="宋体" w:eastAsia="宋体" w:cs="宋体"/>
          <w:spacing w:val="4"/>
          <w:sz w:val="24"/>
          <w:szCs w:val="24"/>
        </w:rPr>
        <w:t>新时代中国</w:t>
      </w:r>
      <w:r>
        <w:rPr>
          <w:rFonts w:hint="eastAsia" w:ascii="宋体" w:hAnsi="宋体" w:eastAsia="宋体" w:cs="宋体"/>
          <w:spacing w:val="5"/>
          <w:sz w:val="24"/>
          <w:szCs w:val="24"/>
        </w:rPr>
        <w:t>特色社会主义伟大胜利——在中国共产党第十九</w:t>
      </w:r>
      <w:r>
        <w:rPr>
          <w:rFonts w:hint="eastAsia" w:ascii="宋体" w:hAnsi="宋体" w:eastAsia="宋体" w:cs="宋体"/>
          <w:spacing w:val="2"/>
          <w:sz w:val="24"/>
          <w:szCs w:val="24"/>
        </w:rPr>
        <w:t>次全国代表大会上的报告[M].北京：人民出版社，</w:t>
      </w:r>
      <w:r>
        <w:rPr>
          <w:rFonts w:hint="eastAsia" w:ascii="宋体" w:hAnsi="宋体" w:eastAsia="宋体" w:cs="宋体"/>
          <w:spacing w:val="1"/>
          <w:sz w:val="24"/>
          <w:szCs w:val="24"/>
        </w:rPr>
        <w:t>2017.</w:t>
      </w:r>
      <w:bookmarkEnd w:id="440"/>
    </w:p>
    <w:p w14:paraId="27ACEA76">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92" w:firstLineChars="200"/>
        <w:jc w:val="both"/>
        <w:textAlignment w:val="baseline"/>
        <w:rPr>
          <w:rFonts w:hint="eastAsia" w:ascii="宋体" w:hAnsi="宋体" w:eastAsia="宋体" w:cs="宋体"/>
          <w:sz w:val="24"/>
          <w:szCs w:val="24"/>
        </w:rPr>
      </w:pPr>
      <w:bookmarkStart w:id="441" w:name="_Ref29492"/>
      <w:r>
        <w:rPr>
          <w:rFonts w:hint="eastAsia" w:ascii="宋体" w:hAnsi="宋体" w:eastAsia="宋体" w:cs="宋体"/>
          <w:spacing w:val="3"/>
          <w:sz w:val="24"/>
          <w:szCs w:val="24"/>
        </w:rPr>
        <w:t>简新华，聂长飞.必须澄清对中国经济走势的几种</w:t>
      </w:r>
      <w:r>
        <w:rPr>
          <w:rFonts w:hint="eastAsia" w:ascii="宋体" w:hAnsi="宋体" w:eastAsia="宋体" w:cs="宋体"/>
          <w:sz w:val="24"/>
          <w:szCs w:val="24"/>
        </w:rPr>
        <w:t>误判[J].政治经济学研究，2024</w:t>
      </w:r>
      <w:r>
        <w:rPr>
          <w:rFonts w:hint="eastAsia" w:ascii="宋体" w:hAnsi="宋体" w:eastAsia="宋体" w:cs="宋体"/>
          <w:spacing w:val="-40"/>
          <w:w w:val="93"/>
          <w:sz w:val="24"/>
          <w:szCs w:val="24"/>
        </w:rPr>
        <w:t>，（</w:t>
      </w:r>
      <w:r>
        <w:rPr>
          <w:rFonts w:hint="eastAsia" w:ascii="宋体" w:hAnsi="宋体" w:eastAsia="宋体" w:cs="宋体"/>
          <w:sz w:val="24"/>
          <w:szCs w:val="24"/>
        </w:rPr>
        <w:t>1）.</w:t>
      </w:r>
      <w:bookmarkEnd w:id="441"/>
    </w:p>
    <w:p w14:paraId="3BCCACAE">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88" w:firstLineChars="200"/>
        <w:jc w:val="both"/>
        <w:textAlignment w:val="baseline"/>
        <w:rPr>
          <w:rFonts w:hint="eastAsia" w:ascii="宋体" w:hAnsi="宋体" w:eastAsia="宋体" w:cs="宋体"/>
          <w:sz w:val="24"/>
          <w:szCs w:val="24"/>
        </w:rPr>
      </w:pPr>
      <w:bookmarkStart w:id="442" w:name="_Ref30419"/>
      <w:r>
        <w:rPr>
          <w:rFonts w:hint="eastAsia" w:ascii="宋体" w:hAnsi="宋体" w:eastAsia="宋体" w:cs="宋体"/>
          <w:spacing w:val="2"/>
          <w:sz w:val="24"/>
          <w:szCs w:val="24"/>
        </w:rPr>
        <w:t>马克思.资本论，第1卷[M].北京：人民出版社，</w:t>
      </w:r>
      <w:r>
        <w:rPr>
          <w:rFonts w:hint="eastAsia" w:ascii="宋体" w:hAnsi="宋体" w:eastAsia="宋体" w:cs="宋体"/>
          <w:spacing w:val="1"/>
          <w:sz w:val="24"/>
          <w:szCs w:val="24"/>
        </w:rPr>
        <w:t>2004.</w:t>
      </w:r>
      <w:bookmarkEnd w:id="442"/>
    </w:p>
    <w:p w14:paraId="227CEECA">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92" w:firstLineChars="200"/>
        <w:jc w:val="both"/>
        <w:textAlignment w:val="baseline"/>
        <w:rPr>
          <w:rFonts w:hint="eastAsia" w:ascii="宋体" w:hAnsi="宋体" w:eastAsia="宋体" w:cs="宋体"/>
          <w:sz w:val="24"/>
          <w:szCs w:val="24"/>
        </w:rPr>
      </w:pPr>
      <w:bookmarkStart w:id="443" w:name="_Ref30514"/>
      <w:r>
        <w:rPr>
          <w:rFonts w:hint="eastAsia" w:ascii="宋体" w:hAnsi="宋体" w:eastAsia="宋体" w:cs="宋体"/>
          <w:spacing w:val="3"/>
          <w:sz w:val="24"/>
          <w:szCs w:val="24"/>
        </w:rPr>
        <w:t>程恩富，董金明.坚持以公有制为主体的共同富裕</w:t>
      </w:r>
      <w:r>
        <w:rPr>
          <w:rFonts w:hint="eastAsia" w:ascii="宋体" w:hAnsi="宋体" w:eastAsia="宋体" w:cs="宋体"/>
          <w:spacing w:val="5"/>
          <w:sz w:val="24"/>
          <w:szCs w:val="24"/>
        </w:rPr>
        <w:t>是中国特色社会主义的经济本质[J].海派经济学，</w:t>
      </w:r>
      <w:r>
        <w:rPr>
          <w:rFonts w:hint="eastAsia" w:ascii="宋体" w:hAnsi="宋体" w:eastAsia="宋体" w:cs="宋体"/>
          <w:spacing w:val="-2"/>
          <w:sz w:val="24"/>
          <w:szCs w:val="24"/>
        </w:rPr>
        <w:t>2023</w:t>
      </w:r>
      <w:r>
        <w:rPr>
          <w:rFonts w:hint="eastAsia" w:ascii="宋体" w:hAnsi="宋体" w:eastAsia="宋体" w:cs="宋体"/>
          <w:spacing w:val="-37"/>
          <w:w w:val="87"/>
          <w:sz w:val="24"/>
          <w:szCs w:val="24"/>
        </w:rPr>
        <w:t>，（</w:t>
      </w:r>
      <w:r>
        <w:rPr>
          <w:rFonts w:hint="eastAsia" w:ascii="宋体" w:hAnsi="宋体" w:eastAsia="宋体" w:cs="宋体"/>
          <w:spacing w:val="-2"/>
          <w:sz w:val="24"/>
          <w:szCs w:val="24"/>
        </w:rPr>
        <w:t>21）.</w:t>
      </w:r>
      <w:bookmarkEnd w:id="443"/>
    </w:p>
    <w:p w14:paraId="426C861A">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88" w:firstLineChars="200"/>
        <w:jc w:val="both"/>
        <w:textAlignment w:val="baseline"/>
        <w:rPr>
          <w:rFonts w:hint="eastAsia" w:ascii="宋体" w:hAnsi="宋体" w:eastAsia="宋体" w:cs="宋体"/>
          <w:sz w:val="24"/>
          <w:szCs w:val="24"/>
        </w:rPr>
      </w:pPr>
      <w:bookmarkStart w:id="444" w:name="_Ref30746"/>
      <w:r>
        <w:rPr>
          <w:rFonts w:hint="eastAsia" w:ascii="宋体" w:hAnsi="宋体" w:eastAsia="宋体" w:cs="宋体"/>
          <w:spacing w:val="2"/>
          <w:sz w:val="24"/>
          <w:szCs w:val="24"/>
        </w:rPr>
        <w:t>中共中央文献研究室.习近平关于社会主义经济建</w:t>
      </w:r>
      <w:r>
        <w:rPr>
          <w:rFonts w:hint="eastAsia" w:ascii="宋体" w:hAnsi="宋体" w:eastAsia="宋体" w:cs="宋体"/>
          <w:spacing w:val="3"/>
          <w:sz w:val="24"/>
          <w:szCs w:val="24"/>
        </w:rPr>
        <w:t>设论述摘编[M].北京：中央文献出版社，2017.</w:t>
      </w:r>
      <w:bookmarkEnd w:id="444"/>
    </w:p>
    <w:p w14:paraId="188FDCF2">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96" w:firstLineChars="200"/>
        <w:jc w:val="both"/>
        <w:textAlignment w:val="baseline"/>
        <w:rPr>
          <w:rFonts w:hint="eastAsia" w:ascii="宋体" w:hAnsi="宋体" w:eastAsia="宋体" w:cs="宋体"/>
          <w:sz w:val="24"/>
          <w:szCs w:val="24"/>
        </w:rPr>
      </w:pPr>
      <w:bookmarkStart w:id="445" w:name="_Ref30801"/>
      <w:r>
        <w:rPr>
          <w:rFonts w:hint="eastAsia" w:ascii="宋体" w:hAnsi="宋体" w:eastAsia="宋体" w:cs="宋体"/>
          <w:spacing w:val="4"/>
          <w:sz w:val="24"/>
          <w:szCs w:val="24"/>
        </w:rPr>
        <w:t>高建昆，程恩富.论按比例规律与</w:t>
      </w:r>
      <w:r>
        <w:rPr>
          <w:rFonts w:hint="eastAsia" w:ascii="宋体" w:hAnsi="宋体" w:eastAsia="宋体" w:cs="宋体"/>
          <w:spacing w:val="3"/>
          <w:sz w:val="24"/>
          <w:szCs w:val="24"/>
        </w:rPr>
        <w:t>市场调节规律、国家调节规律之间的关系[J].复旦学报（社会科学</w:t>
      </w:r>
      <w:r>
        <w:rPr>
          <w:rFonts w:hint="eastAsia" w:ascii="宋体" w:hAnsi="宋体" w:eastAsia="宋体" w:cs="宋体"/>
          <w:spacing w:val="-7"/>
          <w:sz w:val="24"/>
          <w:szCs w:val="24"/>
        </w:rPr>
        <w:t>版</w:t>
      </w:r>
      <w:r>
        <w:rPr>
          <w:rFonts w:hint="eastAsia" w:ascii="宋体" w:hAnsi="宋体" w:eastAsia="宋体" w:cs="宋体"/>
          <w:spacing w:val="-42"/>
          <w:sz w:val="24"/>
          <w:szCs w:val="24"/>
        </w:rPr>
        <w:t>），</w:t>
      </w:r>
      <w:r>
        <w:rPr>
          <w:rFonts w:hint="eastAsia" w:ascii="宋体" w:hAnsi="宋体" w:eastAsia="宋体" w:cs="宋体"/>
          <w:spacing w:val="-7"/>
          <w:sz w:val="24"/>
          <w:szCs w:val="24"/>
        </w:rPr>
        <w:t>2015</w:t>
      </w:r>
      <w:r>
        <w:rPr>
          <w:rFonts w:hint="eastAsia" w:ascii="宋体" w:hAnsi="宋体" w:eastAsia="宋体" w:cs="宋体"/>
          <w:spacing w:val="-42"/>
          <w:sz w:val="24"/>
          <w:szCs w:val="24"/>
        </w:rPr>
        <w:t>，（</w:t>
      </w:r>
      <w:r>
        <w:rPr>
          <w:rFonts w:hint="eastAsia" w:ascii="宋体" w:hAnsi="宋体" w:eastAsia="宋体" w:cs="宋体"/>
          <w:spacing w:val="-7"/>
          <w:sz w:val="24"/>
          <w:szCs w:val="24"/>
        </w:rPr>
        <w:t>6）.</w:t>
      </w:r>
      <w:bookmarkEnd w:id="445"/>
    </w:p>
    <w:p w14:paraId="43D3D657">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16" w:firstLineChars="200"/>
        <w:jc w:val="both"/>
        <w:textAlignment w:val="baseline"/>
        <w:rPr>
          <w:rFonts w:hint="eastAsia" w:ascii="宋体" w:hAnsi="宋体" w:eastAsia="宋体" w:cs="宋体"/>
          <w:sz w:val="24"/>
          <w:szCs w:val="24"/>
        </w:rPr>
      </w:pPr>
      <w:bookmarkStart w:id="446" w:name="_Ref31056"/>
      <w:r>
        <w:rPr>
          <w:rFonts w:hint="eastAsia" w:ascii="宋体" w:hAnsi="宋体" w:eastAsia="宋体" w:cs="宋体"/>
          <w:spacing w:val="9"/>
          <w:sz w:val="24"/>
          <w:szCs w:val="24"/>
        </w:rPr>
        <w:t>李强主持国务院第六次专题学</w:t>
      </w:r>
      <w:r>
        <w:rPr>
          <w:rFonts w:hint="eastAsia" w:ascii="宋体" w:hAnsi="宋体" w:eastAsia="宋体" w:cs="宋体"/>
          <w:spacing w:val="8"/>
          <w:sz w:val="24"/>
          <w:szCs w:val="24"/>
        </w:rPr>
        <w:t>习[N].人民日报，</w:t>
      </w:r>
      <w:r>
        <w:rPr>
          <w:rFonts w:hint="eastAsia" w:ascii="宋体" w:hAnsi="宋体" w:eastAsia="宋体" w:cs="宋体"/>
          <w:spacing w:val="-4"/>
          <w:sz w:val="24"/>
          <w:szCs w:val="24"/>
        </w:rPr>
        <w:t>2024-02-27（1）.</w:t>
      </w:r>
      <w:bookmarkEnd w:id="446"/>
    </w:p>
    <w:p w14:paraId="35041002">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sz w:val="24"/>
          <w:szCs w:val="24"/>
        </w:rPr>
      </w:pPr>
      <w:bookmarkStart w:id="447" w:name="_Ref31082"/>
      <w:r>
        <w:rPr>
          <w:rFonts w:hint="eastAsia" w:ascii="宋体" w:hAnsi="宋体" w:eastAsia="宋体" w:cs="宋体"/>
          <w:spacing w:val="-1"/>
          <w:sz w:val="24"/>
          <w:szCs w:val="24"/>
        </w:rPr>
        <w:t>习近平.关于《中共中央关于进一步全面深化改革、</w:t>
      </w:r>
      <w:r>
        <w:rPr>
          <w:rFonts w:hint="eastAsia" w:ascii="宋体" w:hAnsi="宋体" w:eastAsia="宋体" w:cs="宋体"/>
          <w:spacing w:val="3"/>
          <w:sz w:val="24"/>
          <w:szCs w:val="24"/>
        </w:rPr>
        <w:t>推进中国式现代化的决定》的说明[J].求是，2024，</w:t>
      </w:r>
      <w:r>
        <w:rPr>
          <w:rFonts w:hint="eastAsia" w:ascii="宋体" w:hAnsi="宋体" w:eastAsia="宋体" w:cs="宋体"/>
          <w:spacing w:val="-13"/>
          <w:sz w:val="24"/>
          <w:szCs w:val="24"/>
        </w:rPr>
        <w:t>（16）.</w:t>
      </w:r>
      <w:bookmarkEnd w:id="447"/>
    </w:p>
    <w:p w14:paraId="05A1C023">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00" w:firstLineChars="200"/>
        <w:jc w:val="both"/>
        <w:textAlignment w:val="baseline"/>
        <w:rPr>
          <w:rFonts w:hint="eastAsia" w:ascii="宋体" w:hAnsi="宋体" w:eastAsia="宋体" w:cs="宋体"/>
          <w:sz w:val="24"/>
          <w:szCs w:val="24"/>
        </w:rPr>
      </w:pPr>
      <w:bookmarkStart w:id="448" w:name="_Ref31144"/>
      <w:r>
        <w:rPr>
          <w:rFonts w:hint="eastAsia" w:ascii="宋体" w:hAnsi="宋体" w:eastAsia="宋体" w:cs="宋体"/>
          <w:spacing w:val="5"/>
          <w:sz w:val="24"/>
          <w:szCs w:val="24"/>
        </w:rPr>
        <w:t>习近平在广东考察时强调：以更大魄力在更高起</w:t>
      </w:r>
      <w:r>
        <w:rPr>
          <w:rFonts w:hint="eastAsia" w:ascii="宋体" w:hAnsi="宋体" w:eastAsia="宋体" w:cs="宋体"/>
          <w:spacing w:val="9"/>
          <w:sz w:val="24"/>
          <w:szCs w:val="24"/>
        </w:rPr>
        <w:t>点上推进改革开放在全面建设社会主义现代化</w:t>
      </w:r>
      <w:r>
        <w:rPr>
          <w:rFonts w:hint="eastAsia" w:ascii="宋体" w:hAnsi="宋体" w:eastAsia="宋体" w:cs="宋体"/>
          <w:spacing w:val="8"/>
          <w:sz w:val="24"/>
          <w:szCs w:val="24"/>
        </w:rPr>
        <w:t>国家新征程中走在全国前列创造新的辉煌[N].人</w:t>
      </w:r>
      <w:r>
        <w:rPr>
          <w:rFonts w:hint="eastAsia" w:ascii="宋体" w:hAnsi="宋体" w:eastAsia="宋体" w:cs="宋体"/>
          <w:spacing w:val="-2"/>
          <w:sz w:val="24"/>
          <w:szCs w:val="24"/>
        </w:rPr>
        <w:t>民日报，2020-10-16（1）.</w:t>
      </w:r>
      <w:bookmarkEnd w:id="448"/>
    </w:p>
    <w:p w14:paraId="22163173">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88" w:firstLineChars="200"/>
        <w:jc w:val="both"/>
        <w:textAlignment w:val="baseline"/>
        <w:rPr>
          <w:rFonts w:hint="eastAsia" w:ascii="宋体" w:hAnsi="宋体" w:eastAsia="宋体" w:cs="宋体"/>
          <w:sz w:val="24"/>
          <w:szCs w:val="24"/>
        </w:rPr>
      </w:pPr>
      <w:bookmarkStart w:id="449" w:name="_Ref31353"/>
      <w:r>
        <w:rPr>
          <w:rFonts w:hint="eastAsia" w:ascii="宋体" w:hAnsi="宋体" w:eastAsia="宋体" w:cs="宋体"/>
          <w:spacing w:val="2"/>
          <w:sz w:val="24"/>
          <w:szCs w:val="24"/>
        </w:rPr>
        <w:t>习近平著作选读，第2卷[</w:t>
      </w:r>
      <w:r>
        <w:rPr>
          <w:rFonts w:hint="eastAsia" w:ascii="宋体" w:hAnsi="宋体" w:eastAsia="宋体" w:cs="宋体"/>
          <w:spacing w:val="1"/>
          <w:sz w:val="24"/>
          <w:szCs w:val="24"/>
        </w:rPr>
        <w:t>M].北京：人民出版社，2023.</w:t>
      </w:r>
      <w:bookmarkEnd w:id="449"/>
    </w:p>
    <w:p w14:paraId="40400E1D">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eastAsia" w:ascii="宋体" w:hAnsi="宋体" w:eastAsia="宋体" w:cs="宋体"/>
          <w:sz w:val="24"/>
          <w:szCs w:val="24"/>
        </w:rPr>
      </w:pPr>
      <w:bookmarkStart w:id="450" w:name="_Ref31418"/>
      <w:r>
        <w:rPr>
          <w:rFonts w:hint="eastAsia" w:ascii="宋体" w:hAnsi="宋体" w:eastAsia="宋体" w:cs="宋体"/>
          <w:spacing w:val="-1"/>
          <w:sz w:val="24"/>
          <w:szCs w:val="24"/>
        </w:rPr>
        <w:t>程恩富，陈健.大力发展新质生产力加速推进中国</w:t>
      </w:r>
      <w:r>
        <w:rPr>
          <w:rFonts w:hint="eastAsia" w:ascii="宋体" w:hAnsi="宋体" w:eastAsia="宋体" w:cs="宋体"/>
          <w:sz w:val="24"/>
          <w:szCs w:val="24"/>
        </w:rPr>
        <w:t>式现代化[J].当代经济研究，2023</w:t>
      </w:r>
      <w:r>
        <w:rPr>
          <w:rFonts w:hint="eastAsia" w:ascii="宋体" w:hAnsi="宋体" w:eastAsia="宋体" w:cs="宋体"/>
          <w:spacing w:val="-37"/>
          <w:w w:val="87"/>
          <w:sz w:val="24"/>
          <w:szCs w:val="24"/>
        </w:rPr>
        <w:t>，（</w:t>
      </w:r>
      <w:r>
        <w:rPr>
          <w:rFonts w:hint="eastAsia" w:ascii="宋体" w:hAnsi="宋体" w:eastAsia="宋体" w:cs="宋体"/>
          <w:sz w:val="24"/>
          <w:szCs w:val="24"/>
        </w:rPr>
        <w:t>12</w:t>
      </w:r>
      <w:r>
        <w:rPr>
          <w:rFonts w:hint="eastAsia" w:ascii="宋体" w:hAnsi="宋体" w:eastAsia="宋体" w:cs="宋体"/>
          <w:spacing w:val="-1"/>
          <w:sz w:val="24"/>
          <w:szCs w:val="24"/>
        </w:rPr>
        <w:t>）.</w:t>
      </w:r>
      <w:bookmarkEnd w:id="450"/>
    </w:p>
    <w:p w14:paraId="51972DE7">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88" w:firstLineChars="200"/>
        <w:jc w:val="both"/>
        <w:textAlignment w:val="baseline"/>
        <w:rPr>
          <w:rFonts w:hint="eastAsia" w:ascii="宋体" w:hAnsi="宋体" w:eastAsia="宋体" w:cs="宋体"/>
          <w:sz w:val="24"/>
          <w:szCs w:val="24"/>
        </w:rPr>
      </w:pPr>
      <w:bookmarkStart w:id="451" w:name="_Ref31444"/>
      <w:r>
        <w:rPr>
          <w:rFonts w:hint="eastAsia" w:ascii="宋体" w:hAnsi="宋体" w:eastAsia="宋体" w:cs="宋体"/>
          <w:spacing w:val="2"/>
          <w:sz w:val="24"/>
          <w:szCs w:val="24"/>
        </w:rPr>
        <w:t>中共中央文献研究室.习近平关于协调推进“四个</w:t>
      </w:r>
      <w:r>
        <w:rPr>
          <w:rFonts w:hint="eastAsia" w:ascii="宋体" w:hAnsi="宋体" w:eastAsia="宋体" w:cs="宋体"/>
          <w:sz w:val="24"/>
          <w:szCs w:val="24"/>
        </w:rPr>
        <w:t>全面”战略布局论述摘编[M].北京：中</w:t>
      </w:r>
      <w:r>
        <w:rPr>
          <w:rFonts w:hint="eastAsia" w:ascii="宋体" w:hAnsi="宋体" w:eastAsia="宋体" w:cs="宋体"/>
          <w:spacing w:val="-1"/>
          <w:sz w:val="24"/>
          <w:szCs w:val="24"/>
        </w:rPr>
        <w:t>央文献出版</w:t>
      </w:r>
      <w:r>
        <w:rPr>
          <w:rFonts w:hint="eastAsia" w:ascii="宋体" w:hAnsi="宋体" w:eastAsia="宋体" w:cs="宋体"/>
          <w:spacing w:val="1"/>
          <w:sz w:val="24"/>
          <w:szCs w:val="24"/>
        </w:rPr>
        <w:t>社，2015.</w:t>
      </w:r>
      <w:bookmarkEnd w:id="451"/>
    </w:p>
    <w:p w14:paraId="340ED2E9">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eastAsia" w:ascii="宋体" w:hAnsi="宋体" w:eastAsia="宋体" w:cs="宋体"/>
          <w:sz w:val="24"/>
          <w:szCs w:val="24"/>
        </w:rPr>
      </w:pPr>
      <w:bookmarkStart w:id="452" w:name="_Ref31686"/>
      <w:r>
        <w:rPr>
          <w:rFonts w:hint="eastAsia" w:ascii="宋体" w:hAnsi="宋体" w:eastAsia="宋体" w:cs="宋体"/>
          <w:spacing w:val="-2"/>
          <w:sz w:val="24"/>
          <w:szCs w:val="24"/>
        </w:rPr>
        <w:t>中央经济工作会议在北京举行[N].人民日报，2</w:t>
      </w:r>
      <w:r>
        <w:rPr>
          <w:rFonts w:hint="eastAsia" w:ascii="宋体" w:hAnsi="宋体" w:eastAsia="宋体" w:cs="宋体"/>
          <w:spacing w:val="-3"/>
          <w:sz w:val="24"/>
          <w:szCs w:val="24"/>
        </w:rPr>
        <w:t>023-</w:t>
      </w:r>
      <w:r>
        <w:rPr>
          <w:rFonts w:hint="eastAsia" w:ascii="宋体" w:hAnsi="宋体" w:eastAsia="宋体" w:cs="宋体"/>
          <w:spacing w:val="-9"/>
          <w:sz w:val="24"/>
          <w:szCs w:val="24"/>
        </w:rPr>
        <w:t>12-13（1）.</w:t>
      </w:r>
      <w:bookmarkEnd w:id="452"/>
    </w:p>
    <w:p w14:paraId="0186C46B">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500" w:firstLineChars="200"/>
        <w:jc w:val="both"/>
        <w:textAlignment w:val="baseline"/>
        <w:rPr>
          <w:rFonts w:hint="eastAsia" w:ascii="宋体" w:hAnsi="宋体" w:eastAsia="宋体" w:cs="宋体"/>
          <w:sz w:val="24"/>
          <w:szCs w:val="24"/>
        </w:rPr>
      </w:pPr>
      <w:bookmarkStart w:id="453" w:name="_Ref31715"/>
      <w:r>
        <w:rPr>
          <w:rFonts w:hint="eastAsia" w:ascii="宋体" w:hAnsi="宋体" w:eastAsia="宋体" w:cs="宋体"/>
          <w:spacing w:val="5"/>
          <w:sz w:val="24"/>
          <w:szCs w:val="24"/>
        </w:rPr>
        <w:t>习近平.高举中国特色社会主义伟大旗帜</w:t>
      </w:r>
      <w:r>
        <w:rPr>
          <w:rFonts w:hint="eastAsia" w:ascii="宋体" w:hAnsi="宋体" w:eastAsia="宋体" w:cs="宋体"/>
          <w:spacing w:val="4"/>
          <w:sz w:val="24"/>
          <w:szCs w:val="24"/>
        </w:rPr>
        <w:t>为全面</w:t>
      </w:r>
      <w:r>
        <w:rPr>
          <w:rFonts w:hint="eastAsia" w:ascii="宋体" w:hAnsi="宋体" w:eastAsia="宋体" w:cs="宋体"/>
          <w:spacing w:val="5"/>
          <w:sz w:val="24"/>
          <w:szCs w:val="24"/>
        </w:rPr>
        <w:t>建设社会主义现代化国家而团结奋斗——在中国</w:t>
      </w:r>
      <w:r>
        <w:rPr>
          <w:rFonts w:hint="eastAsia" w:ascii="宋体" w:hAnsi="宋体" w:eastAsia="宋体" w:cs="宋体"/>
          <w:spacing w:val="2"/>
          <w:sz w:val="24"/>
          <w:szCs w:val="24"/>
        </w:rPr>
        <w:t>共产党第二十次全国代表大会上的报告[M].北京：人民出版社，2022.</w:t>
      </w:r>
      <w:bookmarkEnd w:id="453"/>
    </w:p>
    <w:p w14:paraId="5C57CF8E">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eastAsia" w:ascii="宋体" w:hAnsi="宋体" w:eastAsia="宋体" w:cs="宋体"/>
          <w:sz w:val="24"/>
          <w:szCs w:val="24"/>
        </w:rPr>
      </w:pPr>
      <w:bookmarkStart w:id="454" w:name="_Ref31777"/>
      <w:r>
        <w:rPr>
          <w:rFonts w:hint="eastAsia" w:ascii="宋体" w:hAnsi="宋体" w:eastAsia="宋体" w:cs="宋体"/>
          <w:spacing w:val="-2"/>
          <w:sz w:val="24"/>
          <w:szCs w:val="24"/>
        </w:rPr>
        <w:t>中央金融工作会议在北京举行[N].人民日报，2</w:t>
      </w:r>
      <w:r>
        <w:rPr>
          <w:rFonts w:hint="eastAsia" w:ascii="宋体" w:hAnsi="宋体" w:eastAsia="宋体" w:cs="宋体"/>
          <w:spacing w:val="-3"/>
          <w:sz w:val="24"/>
          <w:szCs w:val="24"/>
        </w:rPr>
        <w:t>023-</w:t>
      </w:r>
      <w:r>
        <w:rPr>
          <w:rFonts w:hint="eastAsia" w:ascii="宋体" w:hAnsi="宋体" w:eastAsia="宋体" w:cs="宋体"/>
          <w:spacing w:val="-10"/>
          <w:sz w:val="24"/>
          <w:szCs w:val="24"/>
        </w:rPr>
        <w:t>11-01（1）.</w:t>
      </w:r>
      <w:bookmarkEnd w:id="454"/>
    </w:p>
    <w:p w14:paraId="30422212">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84" w:firstLineChars="200"/>
        <w:jc w:val="both"/>
        <w:textAlignment w:val="baseline"/>
        <w:rPr>
          <w:rFonts w:hint="eastAsia" w:ascii="宋体" w:hAnsi="宋体" w:eastAsia="宋体" w:cs="宋体"/>
          <w:sz w:val="24"/>
          <w:szCs w:val="24"/>
        </w:rPr>
      </w:pPr>
      <w:bookmarkStart w:id="455" w:name="_Ref32104"/>
      <w:r>
        <w:rPr>
          <w:rFonts w:hint="eastAsia" w:ascii="宋体" w:hAnsi="宋体" w:eastAsia="宋体" w:cs="宋体"/>
          <w:spacing w:val="1"/>
          <w:sz w:val="24"/>
          <w:szCs w:val="24"/>
        </w:rPr>
        <w:t>习近平.在纪念毛泽东同志诞辰130周年座谈会上</w:t>
      </w:r>
      <w:r>
        <w:rPr>
          <w:rFonts w:hint="eastAsia" w:ascii="宋体" w:hAnsi="宋体" w:eastAsia="宋体" w:cs="宋体"/>
          <w:spacing w:val="-2"/>
          <w:sz w:val="24"/>
          <w:szCs w:val="24"/>
        </w:rPr>
        <w:t>的讲话[N].人民日报，2023-12-27（2）.</w:t>
      </w:r>
      <w:bookmarkEnd w:id="455"/>
    </w:p>
    <w:p w14:paraId="679C3E05">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88" w:firstLineChars="200"/>
        <w:jc w:val="both"/>
        <w:textAlignment w:val="baseline"/>
        <w:rPr>
          <w:rFonts w:hint="eastAsia" w:ascii="宋体" w:hAnsi="宋体" w:eastAsia="宋体" w:cs="宋体"/>
          <w:sz w:val="24"/>
          <w:szCs w:val="24"/>
        </w:rPr>
      </w:pPr>
      <w:bookmarkStart w:id="456" w:name="_Ref32610"/>
      <w:r>
        <w:rPr>
          <w:rFonts w:hint="eastAsia" w:ascii="宋体" w:hAnsi="宋体" w:eastAsia="宋体" w:cs="宋体"/>
          <w:spacing w:val="2"/>
          <w:sz w:val="24"/>
          <w:szCs w:val="24"/>
        </w:rPr>
        <w:t>李玲，江宇.有为政府、有效市场、有机社会——</w:t>
      </w:r>
      <w:r>
        <w:rPr>
          <w:rFonts w:hint="eastAsia" w:ascii="宋体" w:hAnsi="宋体" w:eastAsia="宋体" w:cs="宋体"/>
          <w:spacing w:val="7"/>
          <w:sz w:val="24"/>
          <w:szCs w:val="24"/>
        </w:rPr>
        <w:t>中国道路与国家治理现代化[J].经济导刊，2014，</w:t>
      </w:r>
      <w:r>
        <w:rPr>
          <w:rFonts w:hint="eastAsia" w:ascii="宋体" w:hAnsi="宋体" w:eastAsia="宋体" w:cs="宋体"/>
          <w:spacing w:val="-11"/>
          <w:sz w:val="24"/>
          <w:szCs w:val="24"/>
        </w:rPr>
        <w:t>（4）.</w:t>
      </w:r>
      <w:bookmarkEnd w:id="456"/>
    </w:p>
    <w:p w14:paraId="4938CBB2">
      <w:pPr>
        <w:pStyle w:val="6"/>
        <w:keepNext w:val="0"/>
        <w:keepLines w:val="0"/>
        <w:pageBreakBefore w:val="0"/>
        <w:widowControl/>
        <w:numPr>
          <w:ilvl w:val="0"/>
          <w:numId w:val="15"/>
        </w:numPr>
        <w:kinsoku w:val="0"/>
        <w:wordWrap/>
        <w:overflowPunct/>
        <w:topLinePunct w:val="0"/>
        <w:autoSpaceDE w:val="0"/>
        <w:autoSpaceDN w:val="0"/>
        <w:bidi w:val="0"/>
        <w:adjustRightInd w:val="0"/>
        <w:snapToGrid w:val="0"/>
        <w:spacing w:line="400" w:lineRule="exact"/>
        <w:ind w:left="0" w:leftChars="0" w:right="0" w:firstLine="496" w:firstLineChars="200"/>
        <w:jc w:val="both"/>
        <w:textAlignment w:val="baseline"/>
        <w:rPr>
          <w:rFonts w:hint="eastAsia" w:ascii="宋体" w:hAnsi="宋体" w:eastAsia="宋体" w:cs="宋体"/>
          <w:sz w:val="24"/>
          <w:szCs w:val="24"/>
        </w:rPr>
      </w:pPr>
      <w:bookmarkStart w:id="457" w:name="_Ref348"/>
      <w:r>
        <w:rPr>
          <w:rFonts w:hint="eastAsia" w:ascii="宋体" w:hAnsi="宋体" w:eastAsia="宋体" w:cs="宋体"/>
          <w:spacing w:val="4"/>
          <w:sz w:val="24"/>
          <w:szCs w:val="24"/>
        </w:rPr>
        <w:t>习近平.在纪念马克思诞辰200周年大会上的讲</w:t>
      </w:r>
      <w:r>
        <w:rPr>
          <w:rFonts w:hint="eastAsia" w:ascii="宋体" w:hAnsi="宋体" w:eastAsia="宋体" w:cs="宋体"/>
          <w:sz w:val="24"/>
          <w:szCs w:val="24"/>
        </w:rPr>
        <w:t>话[N].人民日报，2018-05-05（2）.</w:t>
      </w:r>
      <w:bookmarkEnd w:id="457"/>
    </w:p>
    <w:p w14:paraId="282666BC">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Chars="200" w:right="0" w:rightChars="0"/>
        <w:jc w:val="both"/>
        <w:textAlignment w:val="baseline"/>
        <w:rPr>
          <w:rFonts w:hint="eastAsia" w:cs="宋体"/>
          <w:sz w:val="24"/>
          <w:szCs w:val="24"/>
          <w:lang w:eastAsia="zh-CN"/>
        </w:rPr>
      </w:pPr>
      <w:r>
        <w:rPr>
          <w:rFonts w:hint="eastAsia" w:cs="宋体"/>
          <w:sz w:val="24"/>
          <w:szCs w:val="24"/>
          <w:lang w:eastAsia="zh-CN"/>
        </w:rPr>
        <w:t>（</w:t>
      </w:r>
      <w:r>
        <w:rPr>
          <w:rFonts w:hint="eastAsia" w:cs="宋体"/>
          <w:sz w:val="24"/>
          <w:szCs w:val="24"/>
          <w:lang w:val="en-US" w:eastAsia="zh-CN"/>
        </w:rPr>
        <w:t>原载《思想理论教育导刊》2024年第8期，第一作者为罗玉辉。</w:t>
      </w:r>
      <w:r>
        <w:rPr>
          <w:rFonts w:hint="eastAsia" w:cs="宋体"/>
          <w:sz w:val="24"/>
          <w:szCs w:val="24"/>
          <w:lang w:eastAsia="zh-CN"/>
        </w:rPr>
        <w:t>）</w:t>
      </w:r>
    </w:p>
    <w:p w14:paraId="41503D7B">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Chars="200" w:right="0" w:rightChars="0"/>
        <w:jc w:val="both"/>
        <w:textAlignment w:val="baseline"/>
        <w:rPr>
          <w:rFonts w:hint="eastAsia" w:cs="宋体"/>
          <w:sz w:val="24"/>
          <w:szCs w:val="24"/>
          <w:lang w:eastAsia="zh-CN"/>
        </w:rPr>
      </w:pPr>
    </w:p>
    <w:p w14:paraId="0D209934">
      <w:pPr>
        <w:pStyle w:val="3"/>
        <w:bidi w:val="0"/>
      </w:pPr>
      <w:bookmarkStart w:id="458" w:name="_Toc838622327"/>
      <w:bookmarkStart w:id="459" w:name="_Toc281563913"/>
      <w:bookmarkStart w:id="460" w:name="_Toc14811"/>
      <w:bookmarkStart w:id="461" w:name="_Toc1038774717"/>
      <w:bookmarkStart w:id="462" w:name="_Toc663612784"/>
      <w:bookmarkStart w:id="463" w:name="_Toc1502506531"/>
      <w:r>
        <w:rPr>
          <w:rFonts w:hint="eastAsia"/>
          <w:lang w:val="en-US" w:eastAsia="zh-CN"/>
        </w:rPr>
        <w:t>6</w:t>
      </w:r>
      <w:r>
        <w:t>智能经济及其相关论争的辨析</w:t>
      </w:r>
      <w:bookmarkEnd w:id="458"/>
      <w:bookmarkEnd w:id="459"/>
      <w:bookmarkEnd w:id="460"/>
      <w:bookmarkEnd w:id="461"/>
      <w:bookmarkEnd w:id="462"/>
      <w:bookmarkEnd w:id="463"/>
    </w:p>
    <w:p w14:paraId="55665D3D">
      <w:pPr>
        <w:bidi w:val="0"/>
      </w:pPr>
    </w:p>
    <w:p w14:paraId="24FE519D">
      <w:pPr>
        <w:bidi w:val="0"/>
      </w:pPr>
    </w:p>
    <w:p w14:paraId="45E3C453">
      <w:pPr>
        <w:bidi w:val="0"/>
      </w:pPr>
      <w:r>
        <w:t>摘要：智能经济是伴随新一代人工智能技术发展而产生的新型经济形态，其出现引发了学者们的广泛关 注与探讨 。资本主义智能经济中数字劳动的非物质性是否变革了马克思的劳动概念，数据的价值创造是否仍 遵循劳动价值论和剩余价值论，无产阶级概念是否发生变化等，成为学者们争论的焦点 。在这一背景下，结合 资本主义智能经济时代的劳动价值创造、价值实现和价值分配的新特征，运用马克思政治经济学批判思想，明 确数字劳动具有坚实的物质基础、资本主义智能经济仍遵循劳动价值论和剩余价值论、阶级分析法仍发挥关 键作用，具有重要的理论和现实意义。</w:t>
      </w:r>
    </w:p>
    <w:p w14:paraId="04D52594">
      <w:pPr>
        <w:bidi w:val="0"/>
      </w:pPr>
      <w:r>
        <w:t>关键词：智能经济；人工智能；数字劳动；劳动价值论；剩余价值论；无产阶级</w:t>
      </w:r>
    </w:p>
    <w:p w14:paraId="7845530F">
      <w:pPr>
        <w:bidi w:val="0"/>
      </w:pPr>
      <w:r>
        <w:t>人工智能技术的概念始于 1956 年美国的达特茅斯会议，其发展经历了三次起伏 。前两次兴起均因 特定人工智能技术的发展而推动，又因专项技术零散发展、算法技术与集成应用载体的整合不够而走向 低谷 。进入 21 世纪，“ 以深度学习、跨界融合、人机协同、群智开放、自主操控为特征的新一代人工智能 技术不断取得突破，迎来了人工智能的第三次发展浪潮”</w:t>
      </w:r>
      <w:r>
        <w:rPr>
          <w:rFonts w:hint="default"/>
          <w:lang w:val="en-US"/>
        </w:rPr>
        <w:fldChar w:fldCharType="begin"/>
      </w:r>
      <w:r>
        <w:rPr>
          <w:rFonts w:hint="default"/>
          <w:lang w:val="en-US"/>
        </w:rPr>
        <w:instrText xml:space="preserve"> REF _Ref17580 \r \h </w:instrText>
      </w:r>
      <w:r>
        <w:rPr>
          <w:rFonts w:hint="default"/>
          <w:lang w:val="en-US"/>
        </w:rPr>
        <w:fldChar w:fldCharType="separate"/>
      </w:r>
      <w:r>
        <w:rPr>
          <w:rFonts w:hint="default"/>
          <w:lang w:val="en-US"/>
        </w:rPr>
        <w:t>[1]</w:t>
      </w:r>
      <w:r>
        <w:rPr>
          <w:rFonts w:hint="default"/>
          <w:lang w:val="en-US"/>
        </w:rPr>
        <w:fldChar w:fldCharType="end"/>
      </w:r>
      <w:r>
        <w:t>。这一浪潮催生了现实的智能经济形态 。智 能经济是“ 以智能感知的信息和数字化的知识为关键生产要素，以新一代智能技术为重要推动力”</w:t>
      </w:r>
      <w:r>
        <w:rPr>
          <w:rFonts w:hint="default"/>
          <w:lang w:val="en-US"/>
        </w:rPr>
        <w:fldChar w:fldCharType="begin"/>
      </w:r>
      <w:r>
        <w:rPr>
          <w:rFonts w:hint="default"/>
          <w:lang w:val="en-US"/>
        </w:rPr>
        <w:instrText xml:space="preserve"> REF _Ref17616 \r \h </w:instrText>
      </w:r>
      <w:r>
        <w:rPr>
          <w:rFonts w:hint="default"/>
          <w:lang w:val="en-US"/>
        </w:rPr>
        <w:fldChar w:fldCharType="separate"/>
      </w:r>
      <w:r>
        <w:rPr>
          <w:rFonts w:hint="default"/>
          <w:lang w:val="en-US"/>
        </w:rPr>
        <w:t>[2]</w:t>
      </w:r>
      <w:r>
        <w:rPr>
          <w:rFonts w:hint="default"/>
          <w:lang w:val="en-US"/>
        </w:rPr>
        <w:fldChar w:fldCharType="end"/>
      </w:r>
      <w:r>
        <w:t>的 经济形态 。资本主义智能经济的发展带来了一系列社会新变化，引起了理论界的激烈争论 。这些争议 显示出，如何理解资本主义智能经济仍是一个需要学界深入研究的课题。</w:t>
      </w:r>
    </w:p>
    <w:p w14:paraId="0DD09659">
      <w:pPr>
        <w:pStyle w:val="4"/>
        <w:bidi w:val="0"/>
      </w:pPr>
      <w:r>
        <w:t>一、智能经济的产生及其特征</w:t>
      </w:r>
    </w:p>
    <w:p w14:paraId="6BC884CE">
      <w:pPr>
        <w:bidi w:val="0"/>
      </w:pPr>
    </w:p>
    <w:p w14:paraId="08926140">
      <w:pPr>
        <w:bidi w:val="0"/>
      </w:pPr>
      <w:r>
        <w:t>智能经济的产生和发展经历了从理论前瞻走向实践规划的现实过程 。 回顾这一过程，明确智能经 济的内涵，把握其特征及影响，是理解智能经济及其相关论争的前提。</w:t>
      </w:r>
    </w:p>
    <w:p w14:paraId="13C74098">
      <w:pPr>
        <w:bidi w:val="0"/>
      </w:pPr>
      <w:r>
        <w:t>1 . 智能经济的产生</w:t>
      </w:r>
    </w:p>
    <w:p w14:paraId="6668EC08">
      <w:pPr>
        <w:bidi w:val="0"/>
      </w:pPr>
      <w:r>
        <w:t>最早提出智能经济概念的是中国学者童天湘 。1996 年，童天湘在《 点亮心灯：智能社会的形态描述》中指出，智能经济是智能技术驱动，由智能生产力、智能产业和智能价值构成的经济形态 。20 世纪90 年代，西方学者受到通用人工智能技术( Artificial General Intelligence , 即 AGI) 路线失败的影响，拒绝 使用智能经济概念，而将基于专用人工智能技术( Artificial Narrow Intelligence , 即 ANI) 的经济形态称为 信息经济或知识经济 。童天湘却认为，信息经济和知识经济难以解释智能的价值和智能所发挥的巨大 作用 。智能经济“强调智能驱动经济，包括人的智能和机器智能的驱动 。只有人的智能与机器智能的相 互作用、彼此促进，特别是智力的放大，才能充分发挥智能的作用，使智力、智能成为经济发展的强大生 产力”</w:t>
      </w:r>
      <w:r>
        <w:rPr>
          <w:rFonts w:hint="default"/>
          <w:lang w:val="en-US"/>
        </w:rPr>
        <w:fldChar w:fldCharType="begin"/>
      </w:r>
      <w:r>
        <w:rPr>
          <w:rFonts w:hint="default"/>
          <w:lang w:val="en-US"/>
        </w:rPr>
        <w:instrText xml:space="preserve"> REF _Ref17753 \r \h </w:instrText>
      </w:r>
      <w:r>
        <w:rPr>
          <w:rFonts w:hint="default"/>
          <w:lang w:val="en-US"/>
        </w:rPr>
        <w:fldChar w:fldCharType="separate"/>
      </w:r>
      <w:r>
        <w:rPr>
          <w:rFonts w:hint="default"/>
          <w:lang w:val="en-US"/>
        </w:rPr>
        <w:t>[3]</w:t>
      </w:r>
      <w:r>
        <w:rPr>
          <w:rFonts w:hint="default"/>
          <w:lang w:val="en-US"/>
        </w:rPr>
        <w:fldChar w:fldCharType="end"/>
      </w:r>
      <w:r>
        <w:t>。可以说，童天湘在没有人工智能技术应用的社会环境下，明确了智能经济的基本内涵，前瞻性 地指出了智能经济对社会发展的推动作用。</w:t>
      </w:r>
    </w:p>
    <w:p w14:paraId="4170F944">
      <w:pPr>
        <w:bidi w:val="0"/>
      </w:pPr>
      <w:r>
        <w:t>进入 21 世纪，随着新一代人工智能技术的发展和人工智能技术产业变革向纵深拓展，世界各国政 府认识到智能经济是推动社会发展的重要力量，把发展智能经济作为国家战略 。2016 年美国国家科学 技术委员会发布《 国家人工智能研究和发展战略计划》，强调了人工智能技术对于社会发展的推动作 用。</w:t>
      </w:r>
      <w:r>
        <w:rPr>
          <w:rFonts w:hint="default"/>
          <w:lang w:val="en-US"/>
        </w:rPr>
        <w:fldChar w:fldCharType="begin"/>
      </w:r>
      <w:r>
        <w:rPr>
          <w:rFonts w:hint="default"/>
          <w:lang w:val="en-US"/>
        </w:rPr>
        <w:instrText xml:space="preserve"> REF _Ref17819 \r \h </w:instrText>
      </w:r>
      <w:r>
        <w:rPr>
          <w:rFonts w:hint="default"/>
          <w:lang w:val="en-US"/>
        </w:rPr>
        <w:fldChar w:fldCharType="separate"/>
      </w:r>
      <w:r>
        <w:rPr>
          <w:rFonts w:hint="default"/>
          <w:lang w:val="en-US"/>
        </w:rPr>
        <w:t>[4]</w:t>
      </w:r>
      <w:r>
        <w:rPr>
          <w:rFonts w:hint="default"/>
          <w:lang w:val="en-US"/>
        </w:rPr>
        <w:fldChar w:fldCharType="end"/>
      </w:r>
      <w:r>
        <w:t xml:space="preserve"> 2018 年德国联邦政府发布了《 高科技战略 2025》，明确提出了具有高度实践性的人工智能技术和 智能经济的发展计划。</w:t>
      </w:r>
      <w:r>
        <w:rPr>
          <w:rFonts w:hint="default"/>
          <w:lang w:val="en-US"/>
        </w:rPr>
        <w:fldChar w:fldCharType="begin"/>
      </w:r>
      <w:r>
        <w:rPr>
          <w:rFonts w:hint="default"/>
          <w:lang w:val="en-US"/>
        </w:rPr>
        <w:instrText xml:space="preserve"> REF _Ref18201 \r \h </w:instrText>
      </w:r>
      <w:r>
        <w:rPr>
          <w:rFonts w:hint="default"/>
          <w:lang w:val="en-US"/>
        </w:rPr>
        <w:fldChar w:fldCharType="separate"/>
      </w:r>
      <w:r>
        <w:rPr>
          <w:rFonts w:hint="default"/>
          <w:lang w:val="en-US"/>
        </w:rPr>
        <w:t>[5]</w:t>
      </w:r>
      <w:r>
        <w:rPr>
          <w:rFonts w:hint="default"/>
          <w:lang w:val="en-US"/>
        </w:rPr>
        <w:fldChar w:fldCharType="end"/>
      </w:r>
      <w:r>
        <w:t>中国特色社会主义进入新时代以来，我国政府明确了大数据、人工智能、云计 算、区块链作为智能经济发展的重要驱动力，将推动智能经济健康发展作为我国把握新一轮科技革命和 产业变革新机遇的战略选择 。2017 年国务院印发的《新一代人工智能发展规划》（ 以下简称“规划”）指 出，2020 年人工智能产业将成为新的重要经济增长点，2025 年人工智能将成为带动国家产业升级和经 济转型的主要动力，2030 年智能经济、智能社会将取得明显成效。</w:t>
      </w:r>
      <w:r>
        <w:rPr>
          <w:rFonts w:hint="default"/>
          <w:lang w:val="en-US"/>
        </w:rPr>
        <w:fldChar w:fldCharType="begin"/>
      </w:r>
      <w:r>
        <w:rPr>
          <w:rFonts w:hint="default"/>
          <w:lang w:val="en-US"/>
        </w:rPr>
        <w:instrText xml:space="preserve"> REF _Ref17854 \r \h </w:instrText>
      </w:r>
      <w:r>
        <w:rPr>
          <w:rFonts w:hint="default"/>
          <w:lang w:val="en-US"/>
        </w:rPr>
        <w:fldChar w:fldCharType="separate"/>
      </w:r>
      <w:r>
        <w:rPr>
          <w:rFonts w:hint="default"/>
          <w:lang w:val="en-US"/>
        </w:rPr>
        <w:t>[6]</w:t>
      </w:r>
      <w:r>
        <w:rPr>
          <w:rFonts w:hint="default"/>
          <w:lang w:val="en-US"/>
        </w:rPr>
        <w:fldChar w:fldCharType="end"/>
      </w:r>
      <w:r>
        <w:t xml:space="preserve"> 2018 年 10 月，习近平总书记在中共 中央政治局第九次集体学习时强调，“要培育具有重大引领带动作用的人工智能企业和产业，构建数据 驱动、人机协同、跨界融合、共创分享的智能经济形态”。</w:t>
      </w:r>
      <w:r>
        <w:rPr>
          <w:rFonts w:hint="default"/>
          <w:lang w:val="en-US"/>
        </w:rPr>
        <w:fldChar w:fldCharType="begin"/>
      </w:r>
      <w:r>
        <w:rPr>
          <w:rFonts w:hint="default"/>
          <w:lang w:val="en-US"/>
        </w:rPr>
        <w:instrText xml:space="preserve"> REF _Ref17897 \r \h </w:instrText>
      </w:r>
      <w:r>
        <w:rPr>
          <w:rFonts w:hint="default"/>
          <w:lang w:val="en-US"/>
        </w:rPr>
        <w:fldChar w:fldCharType="separate"/>
      </w:r>
      <w:r>
        <w:rPr>
          <w:rFonts w:hint="default"/>
          <w:lang w:val="en-US"/>
        </w:rPr>
        <w:t>[7]</w:t>
      </w:r>
      <w:r>
        <w:rPr>
          <w:rFonts w:hint="default"/>
          <w:lang w:val="en-US"/>
        </w:rPr>
        <w:fldChar w:fldCharType="end"/>
      </w:r>
      <w:r>
        <w:t>党的二十大报告明确指出，“推动战略性新兴 产业融合集群发展，构建新一代信息技术、人工智能、生物技术、新能源、新材料、高端装备、绿色环保等 一批新的增长引擎”。</w:t>
      </w:r>
      <w:r>
        <w:rPr>
          <w:rFonts w:hint="default"/>
          <w:lang w:val="en-US"/>
        </w:rPr>
        <w:fldChar w:fldCharType="begin"/>
      </w:r>
      <w:r>
        <w:rPr>
          <w:rFonts w:hint="default"/>
          <w:lang w:val="en-US"/>
        </w:rPr>
        <w:instrText xml:space="preserve"> REF _Ref17920 \r \h </w:instrText>
      </w:r>
      <w:r>
        <w:rPr>
          <w:rFonts w:hint="default"/>
          <w:lang w:val="en-US"/>
        </w:rPr>
        <w:fldChar w:fldCharType="separate"/>
      </w:r>
      <w:r>
        <w:rPr>
          <w:rFonts w:hint="default"/>
          <w:lang w:val="en-US"/>
        </w:rPr>
        <w:t>[8]</w:t>
      </w:r>
      <w:r>
        <w:rPr>
          <w:rFonts w:hint="default"/>
          <w:lang w:val="en-US"/>
        </w:rPr>
        <w:fldChar w:fldCharType="end"/>
      </w:r>
      <w:r>
        <w:rPr>
          <w:rFonts w:hint="eastAsia"/>
          <w:lang w:val="en-US" w:eastAsia="zh-CN"/>
        </w:rPr>
        <w:t>30</w:t>
      </w:r>
    </w:p>
    <w:p w14:paraId="00D6919B">
      <w:pPr>
        <w:bidi w:val="0"/>
      </w:pPr>
      <w:r>
        <w:t>各国政府对智能经济的发展，推动了学界的深入研究 。学者们围绕着智能经济的内涵和构成，形成  了窄、宽两种口径的理解 。窄口径的智能经济是指与人工智能技术制造、服务和应用相关的经济活动， 特指人工智能技术产品的制造业，基于特定人工智能技术（ 如大数据、边缘计算）的信息传输、存储和计  算服务业等特定经济业态 。宽口径概念则将智能经济视为“人工智能技术贯穿社会生产、交换、分配和  消费的全过程”</w:t>
      </w:r>
      <w:r>
        <w:rPr>
          <w:rFonts w:hint="default"/>
          <w:lang w:val="en-US"/>
        </w:rPr>
        <w:fldChar w:fldCharType="begin"/>
      </w:r>
      <w:r>
        <w:rPr>
          <w:rFonts w:hint="default"/>
          <w:lang w:val="en-US"/>
        </w:rPr>
        <w:instrText xml:space="preserve"> REF _Ref17952 \r \h </w:instrText>
      </w:r>
      <w:r>
        <w:rPr>
          <w:rFonts w:hint="default"/>
          <w:lang w:val="en-US"/>
        </w:rPr>
        <w:fldChar w:fldCharType="separate"/>
      </w:r>
      <w:r>
        <w:rPr>
          <w:rFonts w:hint="default"/>
          <w:lang w:val="en-US"/>
        </w:rPr>
        <w:t>[9]</w:t>
      </w:r>
      <w:r>
        <w:rPr>
          <w:rFonts w:hint="default"/>
          <w:lang w:val="en-US"/>
        </w:rPr>
        <w:fldChar w:fldCharType="end"/>
      </w:r>
      <w:r>
        <w:t xml:space="preserve"> 的新型经济形态 。该概念包含三个方面的内容：第一，智能经济是由新一代人工智能  技术推动的产业活动 。这种产业活动在以图形感知、深度神经网络、机器学习、自动学习为代表的新一  代人工智能技术的带动下，规模和范围不断扩大，对传统经济活动的推动和变革作用已经凸显 。普华永  道曾预测，“到 2030 年，人工智能技术将促使全球生产总值增长 14% , 为世界经济贡献 15 . 7 万亿美元市  值”</w:t>
      </w:r>
      <w:r>
        <w:rPr>
          <w:rFonts w:hint="default"/>
          <w:lang w:val="en-US"/>
        </w:rPr>
        <w:fldChar w:fldCharType="begin"/>
      </w:r>
      <w:r>
        <w:rPr>
          <w:rFonts w:hint="default"/>
          <w:lang w:val="en-US"/>
        </w:rPr>
        <w:instrText xml:space="preserve"> REF _Ref17580 \r \h </w:instrText>
      </w:r>
      <w:r>
        <w:rPr>
          <w:rFonts w:hint="default"/>
          <w:lang w:val="en-US"/>
        </w:rPr>
        <w:fldChar w:fldCharType="separate"/>
      </w:r>
      <w:r>
        <w:rPr>
          <w:rFonts w:hint="default"/>
          <w:lang w:val="en-US"/>
        </w:rPr>
        <w:t>[1]</w:t>
      </w:r>
      <w:r>
        <w:rPr>
          <w:rFonts w:hint="default"/>
          <w:lang w:val="en-US"/>
        </w:rPr>
        <w:fldChar w:fldCharType="end"/>
      </w:r>
      <w:r>
        <w:t xml:space="preserve"> 。第二，智能经济可分为智能产业化和产业智能化两部分 。智能产业化是智能经济的基础部分即  人工智能产业 。产业智能化是指使用部门因采用人工智能技术而带来的产出增加和效率提升，是智能  经济的融合部分，包括传统产业由于应用人工智能技术所带来的生产数量增加和生产效率提升 。智能  产业化可以带动产业智能化的发展，产业智能化也能为智能产业化提供其发展所必需的场景和数据，驱  动人工智能技术与实体经济的深度融合 。智能产业化和产业智能化的良性互动推动了智能经济的发  展 。第三，智能经济应以数据驱动、人机协同、跨界融合、共创分享为发展目标 。其中，数据驱动将成为  驱动经济发展的核心引擎，算法、算力和数据的协同发展将推动生产力释放出更多的发展动能；人机协  同是指，人工智能技术与劳动者之间是互补或增强的关系，而不是对立或替代的关系；跨界融合意味着  智能经济要将不同领域、不同产业的元素融合在一起，满足人们的生活和发展需要；共创分享强调智能  经济在分配领域应确保发展的公平性和可持续性，避免出现马太效应或极化效应。</w:t>
      </w:r>
    </w:p>
    <w:p w14:paraId="14D6220D">
      <w:pPr>
        <w:bidi w:val="0"/>
      </w:pPr>
      <w:r>
        <w:t>2 . 智能经济的典型特征</w:t>
      </w:r>
    </w:p>
    <w:p w14:paraId="3AA151E5">
      <w:pPr>
        <w:bidi w:val="0"/>
      </w:pPr>
      <w:r>
        <w:t>由于本文旨在研究智能经济的一般理论及其相关论争，故采用宽口径的智能经济范畴 。宽口径的 智能经济是智能技术、数字劳动和智能产业三者的有机统一，是将新一代人工智能技术贯穿社会生产、 交换、分配和消费的全过程的新型经济形态 。这种经济形态在现实发展中呈现出如下典型特征。</w:t>
      </w:r>
    </w:p>
    <w:p w14:paraId="1F2400FC">
      <w:pPr>
        <w:bidi w:val="0"/>
      </w:pPr>
      <w:r>
        <w:t>第一，数据成为关键生产要素，数字劳动成为新的劳动形式 。劳动力、土地、资本、技术是构成传统 社会生产的基本要素 。智能经济时代，数据成为驱动智能经济发展的新要素 。基于数据生产要素的劳 动活动成为人类劳动的最新形式，即数字劳动 。数字劳动对人类劳动的推动体现在劳动者、劳动对象和 劳动资料三个方面 。就劳动者而言，数据要素的加入带来了新的人机分工，人的智能劳动更加凸显；就 劳动对象而言，数据通过清洗、聚类和专项开发，可以在生产实践中被加工为功能各异的数据产品或服 务；就劳动资料而言，大规模数据集应用使“劳动资料具备智能化、系统化、无形化的特征”</w:t>
      </w:r>
      <w:r>
        <w:rPr>
          <w:rFonts w:hint="default"/>
          <w:lang w:val="en-US"/>
        </w:rPr>
        <w:fldChar w:fldCharType="begin"/>
      </w:r>
      <w:r>
        <w:rPr>
          <w:rFonts w:hint="default"/>
          <w:lang w:val="en-US"/>
        </w:rPr>
        <w:instrText xml:space="preserve"> REF _Ref17580 \r \h </w:instrText>
      </w:r>
      <w:r>
        <w:rPr>
          <w:rFonts w:hint="default"/>
          <w:lang w:val="en-US"/>
        </w:rPr>
        <w:fldChar w:fldCharType="separate"/>
      </w:r>
      <w:r>
        <w:rPr>
          <w:rFonts w:hint="default"/>
          <w:lang w:val="en-US"/>
        </w:rPr>
        <w:t>[1]</w:t>
      </w:r>
      <w:r>
        <w:rPr>
          <w:rFonts w:hint="default"/>
          <w:lang w:val="en-US"/>
        </w:rPr>
        <w:fldChar w:fldCharType="end"/>
      </w:r>
      <w:r>
        <w:t>。</w:t>
      </w:r>
    </w:p>
    <w:p w14:paraId="531F93E9">
      <w:pPr>
        <w:bidi w:val="0"/>
      </w:pPr>
      <w:r>
        <w:t>第二，智能经济的组织运行主要通过数字平台来完成 。数字平台是“ 收集、处理并传输生产、分配、 交换与消费等经济活动信息的一般性数字化基础设施”</w:t>
      </w:r>
      <w:r>
        <w:rPr>
          <w:rFonts w:hint="default"/>
          <w:lang w:val="en-US"/>
        </w:rPr>
        <w:fldChar w:fldCharType="begin"/>
      </w:r>
      <w:r>
        <w:rPr>
          <w:rFonts w:hint="default"/>
          <w:lang w:val="en-US"/>
        </w:rPr>
        <w:instrText xml:space="preserve"> REF _Ref18325 \r \h </w:instrText>
      </w:r>
      <w:r>
        <w:rPr>
          <w:rFonts w:hint="default"/>
          <w:lang w:val="en-US"/>
        </w:rPr>
        <w:fldChar w:fldCharType="separate"/>
      </w:r>
      <w:r>
        <w:rPr>
          <w:rFonts w:hint="default"/>
          <w:lang w:val="en-US"/>
        </w:rPr>
        <w:t>[10]</w:t>
      </w:r>
      <w:r>
        <w:rPr>
          <w:rFonts w:hint="default"/>
          <w:lang w:val="en-US"/>
        </w:rPr>
        <w:fldChar w:fldCharType="end"/>
      </w:r>
      <w:r>
        <w:t xml:space="preserve"> , 是以人工智能技术和网络通讯技术为支撑  而形成的进行数字经济活动的场所 。数字平台将智能经济中相互依赖的不同群体聚合在一起，形成点  对点的连接，是智能经济时代协调和配置资源的基本经济组织，以及价值创造和价值汇聚的中心。</w:t>
      </w:r>
    </w:p>
    <w:p w14:paraId="448EFD95">
      <w:pPr>
        <w:bidi w:val="0"/>
      </w:pPr>
      <w:r>
        <w:t>第三，新一代人工智能技术通过互联网和搭载了这种技术的终端设备向实体产业扩展，促进实体产  业的智能化转型和技术升级 。这主要表现为掌握了人工智能核心技术的互联网行业巨头向实体经济领  域的拓展，尤其是新一代人工智能技术产业的“ 独角兽”企业通过垄断数据和平台，抢占实体经济领地。 在这一过程中，传统制造业和服务业也借助新一代人工智能技术，从传统领域延伸到智能化的网络领  域，实现产品研发和业务升级。</w:t>
      </w:r>
    </w:p>
    <w:p w14:paraId="61A29CF9">
      <w:pPr>
        <w:bidi w:val="0"/>
      </w:pPr>
      <w:r>
        <w:t>第四，智能经济具有规模经济、范围经济效应 。随着新一代人工智能技术基础设施建设，智能经济 相关行业将进一步突破商品生产和流通的物理限制，智能技术产业将大量融入现代农业、制造业和服务 业，规模经济效应明显 。同时由于智能产业企业存在高固定成本与低边际成本并存的状况，在智能装备 生产条件下，智能经济规模扩大、产出增加，产品单位成本将大为降低 。智能经济的规模经济效应导致 大型企业出现，而范围经济效应又可以使行业中出现满足不同需求的多种业务或产品。</w:t>
      </w:r>
    </w:p>
    <w:p w14:paraId="106CD6BC">
      <w:pPr>
        <w:bidi w:val="0"/>
      </w:pPr>
      <w:r>
        <w:t>3 . 智能经济对马克思劳动概念及其相关理论的冲击</w:t>
      </w:r>
    </w:p>
    <w:p w14:paraId="23BB6B95">
      <w:pPr>
        <w:bidi w:val="0"/>
      </w:pPr>
      <w:r>
        <w:t>智能经济，尤其是资本主义智能经济的快速发展给人类社会带来了众多变化，这些变化冲击了西方 学界关于马克思劳动概念及其相关理论的认识 。第一，智能经济依靠数据驱动，劳动者处理、加工数据 的活动改变了人类劳动的基本形式 。数据驱动创造了劳动者在劳动过程中与人工智能生产工具之间的 相互作用关系，尤其是放大了人类利用和开发数据而形成的知识、信息等非物质要素的作用 。如何认识 非物质性要素在劳动中的作用，尤其是人类的劳动形式是否因非物质性要素作用的提升，转化为以信息 和知识为主导的非物质劳动，成为学者们探讨的主要内容。</w:t>
      </w:r>
    </w:p>
    <w:p w14:paraId="6987EB74">
      <w:pPr>
        <w:bidi w:val="0"/>
      </w:pPr>
      <w:r>
        <w:t>第二，资本主义智能经济改变了价值创造的方式 。随着新一代人工智能技术的进步，人工智能技术 不但在一定程度上可以替代一部分劳动者的体力和脑力劳动，甚至在很多领域，如生成式人工智能技术 ( Artificial Intelligence Generated Content , AIGC) 不仅在自然语言交互方面超越了一般服务型劳动者的脑 力和体力的物理极限，并且由于人工智能技术的投入，资本有机构成提高，作为对象化劳动的机器系统 支配活劳动，价值创造的劳动主体在日趋自动化的生产中不断被虚化 。这引发了学界关于人工智能技 术是否创造价值，资本主义智能经济是否仍遵循马克思劳动价值论、剩余价值论的学术争论。</w:t>
      </w:r>
    </w:p>
    <w:p w14:paraId="2EAE1205">
      <w:pPr>
        <w:bidi w:val="0"/>
      </w:pPr>
      <w:r>
        <w:t>第三，资本主义智能经济中的生产资料所有权形式、资源配置方式和产品分配方式影响了劳动者的 处境 。资本主义智能经济中数据生产要素的所有权如何确定，劳动者创造的智能劳动产品如何分配，资 本主义智能经济是否改变了无产阶级的特征和属性？ 资本主义智能经济发展的复杂性在于，其不仅创 造了新的社会财富，而且推动人类社会在生产方式、生活方式和思想方式等方面发生了深刻的变革 。资本主义智能经济是否会推动马克思关于人类社会发展三大社会形态理论中强调的“ 以物的依赖性为基 础的人的独立性”向“个人全面发展”和“ 自由人联合体”转变，成为学者们关注的焦点。</w:t>
      </w:r>
    </w:p>
    <w:p w14:paraId="7A097F8E">
      <w:pPr>
        <w:pStyle w:val="4"/>
        <w:bidi w:val="0"/>
      </w:pPr>
      <w:r>
        <w:t>二、资本主义智能经济的相关论争</w:t>
      </w:r>
    </w:p>
    <w:p w14:paraId="4387CF99">
      <w:pPr>
        <w:bidi w:val="0"/>
      </w:pPr>
      <w:r>
        <w:t>围绕资本主义智能经济带来的变化，学者们展开了激烈的讨论 。有些观点已经完全偏离了马克思 主义的基本思想，探明这些偏离观点的背后逻辑，成为推动马克思主义理论时代化发展的重要契机。</w:t>
      </w:r>
    </w:p>
    <w:p w14:paraId="258E8FEE">
      <w:pPr>
        <w:bidi w:val="0"/>
      </w:pPr>
      <w:r>
        <w:t>1 . 数字劳动是否背离了马克思关于劳动的基本规定</w:t>
      </w:r>
    </w:p>
    <w:p w14:paraId="0791BAAF">
      <w:pPr>
        <w:bidi w:val="0"/>
      </w:pPr>
      <w:r>
        <w:t>数字劳动是资本主义智能经济的衍生概念，是指劳动者利用包括人工智能技术在内的数字技术，处 理作为生产要素的数据，生产劳动产品的活动 。数字劳动表现了资本主义智能经济对人类劳动形式的 变革性影响 。面对这种影响，西方学界产生了数字劳动背离了马克思关于劳动基本设定的观点 。原因 在于，马克思将劳动视为表现人类辩证本性、实现人类自由和自觉目的的物质生产活动 。马克思关于劳 动的基本设定建立在唯物论、辩证法和目的论的基础之上 。然而，一些西方学者主张，数字劳动以数据 生产为主要形式，是非物质的、无目的和非辩证的。</w:t>
      </w:r>
    </w:p>
    <w:p w14:paraId="3070325C">
      <w:pPr>
        <w:bidi w:val="0"/>
      </w:pPr>
      <w:r>
        <w:t>首先，意大利自治学派的哈特( Michael Hardt) 和奈格里( Antonio Negri) 认为，数字劳动不再完全是  物质的，而是非物质的 。非物质是指数字劳动以信息符号、代码、数据为劳动对象，以感情控制为劳动目  的 。哈特和奈格里指出，数字劳动带来了三种变革：“第一种是已被信息化和已经融汇了通讯技术的大  工业生产；第二种是带有创造性和象征性的劳动任务；第三种涉及感情的生产与控制，并要求虚拟的或  实际的人际交往。”</w:t>
      </w:r>
      <w:r>
        <w:rPr>
          <w:rFonts w:hint="default"/>
          <w:lang w:val="en-US"/>
        </w:rPr>
        <w:fldChar w:fldCharType="begin"/>
      </w:r>
      <w:r>
        <w:rPr>
          <w:rFonts w:hint="default"/>
          <w:lang w:val="en-US"/>
        </w:rPr>
        <w:instrText xml:space="preserve"> REF _Ref18932 \r \h </w:instrText>
      </w:r>
      <w:r>
        <w:rPr>
          <w:rFonts w:hint="default"/>
          <w:lang w:val="en-US"/>
        </w:rPr>
        <w:fldChar w:fldCharType="separate"/>
      </w:r>
      <w:r>
        <w:rPr>
          <w:rFonts w:hint="default"/>
          <w:lang w:val="en-US"/>
        </w:rPr>
        <w:t>[11]</w:t>
      </w:r>
      <w:r>
        <w:rPr>
          <w:rFonts w:hint="default"/>
          <w:lang w:val="en-US"/>
        </w:rPr>
        <w:fldChar w:fldCharType="end"/>
      </w:r>
      <w:r>
        <w:t xml:space="preserve"> 在这个意义上，应创造“一套当代的关于生产力、创造性、剥削、劳动和价值生产的  新的生命政治的框架，这样一个框架要比马克思主义的劳动框架更有用”</w:t>
      </w:r>
      <w:r>
        <w:rPr>
          <w:rFonts w:hint="default"/>
          <w:lang w:val="en-US"/>
        </w:rPr>
        <w:fldChar w:fldCharType="begin"/>
      </w:r>
      <w:r>
        <w:rPr>
          <w:rFonts w:hint="default"/>
          <w:lang w:val="en-US"/>
        </w:rPr>
        <w:instrText xml:space="preserve"> REF _Ref18965 \r \h </w:instrText>
      </w:r>
      <w:r>
        <w:rPr>
          <w:rFonts w:hint="default"/>
          <w:lang w:val="en-US"/>
        </w:rPr>
        <w:fldChar w:fldCharType="separate"/>
      </w:r>
      <w:r>
        <w:rPr>
          <w:rFonts w:hint="default"/>
          <w:lang w:val="en-US"/>
        </w:rPr>
        <w:t>[12]</w:t>
      </w:r>
      <w:r>
        <w:rPr>
          <w:rFonts w:hint="default"/>
          <w:lang w:val="en-US"/>
        </w:rPr>
        <w:fldChar w:fldCharType="end"/>
      </w:r>
      <w:r>
        <w:t xml:space="preserve"> 。其次，由于数据来源于被  数字技术记录下的人类活动，这些活动在被记录和收集时，并不为人所察觉 。如上网者并不会主动记录  自己的上网时长，浏览朋友圈的人也不会留意自己的点赞记录，反而只有数字技术才会记录下这一切。 因此，美国学者尼克松( Brice Nixon) 主张，数字劳动应包括“数字受众劳动”</w:t>
      </w:r>
      <w:r>
        <w:rPr>
          <w:rFonts w:hint="default"/>
          <w:lang w:val="en-US"/>
        </w:rPr>
        <w:fldChar w:fldCharType="begin"/>
      </w:r>
      <w:r>
        <w:rPr>
          <w:rFonts w:hint="default"/>
          <w:lang w:val="en-US"/>
        </w:rPr>
        <w:instrText xml:space="preserve"> REF _Ref19001 \r \h </w:instrText>
      </w:r>
      <w:r>
        <w:rPr>
          <w:rFonts w:hint="default"/>
          <w:lang w:val="en-US"/>
        </w:rPr>
        <w:fldChar w:fldCharType="separate"/>
      </w:r>
      <w:r>
        <w:rPr>
          <w:rFonts w:hint="default"/>
          <w:lang w:val="en-US"/>
        </w:rPr>
        <w:t>[13]</w:t>
      </w:r>
      <w:r>
        <w:rPr>
          <w:rFonts w:hint="default"/>
          <w:lang w:val="en-US"/>
        </w:rPr>
        <w:fldChar w:fldCharType="end"/>
      </w:r>
      <w:r>
        <w:t xml:space="preserve"> 。受众是指大众传媒领  域接收和反馈信息的人，数字受众劳动是指劳动者在数字化的休闲娱乐活动中（ 比如上网冲浪、玩手机） 生产数据的活动 。尼克松认为，数字受众劳动是劳动者的非自觉活动 。最后，由于人类行为产生数据， 数据汇聚成重要资源，并且这些数据资源在科技企业的开发和使用下成为丰富的数字劳动产品，如竞价  排名系统、智能推荐、智能导航 。这些数字劳动产品在一定程度上干扰了人类的思想和决策 。英国传播  政治经济学学者福克斯( Christian Fuchs) 主张，数字劳动是以“ 思想和人类主体性为对象”</w:t>
      </w:r>
      <w:r>
        <w:rPr>
          <w:rFonts w:hint="default"/>
          <w:lang w:val="en-US"/>
        </w:rPr>
        <w:fldChar w:fldCharType="begin"/>
      </w:r>
      <w:r>
        <w:rPr>
          <w:rFonts w:hint="default"/>
          <w:lang w:val="en-US"/>
        </w:rPr>
        <w:instrText xml:space="preserve"> REF _Ref19030 \r \h </w:instrText>
      </w:r>
      <w:r>
        <w:rPr>
          <w:rFonts w:hint="default"/>
          <w:lang w:val="en-US"/>
        </w:rPr>
        <w:fldChar w:fldCharType="separate"/>
      </w:r>
      <w:r>
        <w:rPr>
          <w:rFonts w:hint="default"/>
          <w:lang w:val="en-US"/>
        </w:rPr>
        <w:t>[14]</w:t>
      </w:r>
      <w:r>
        <w:rPr>
          <w:rFonts w:hint="default"/>
          <w:lang w:val="en-US"/>
        </w:rPr>
        <w:fldChar w:fldCharType="end"/>
      </w:r>
      <w:r>
        <w:t>的活动。 这种活动不仅涉及直接生产领域的软件编程劳动，而且涉及非直接生产领域的用户生成内容活动 。在  这些活动中，劳动者受资本增殖规律影响发生了最为深刻的异化。</w:t>
      </w:r>
    </w:p>
    <w:p w14:paraId="5335D9FC">
      <w:pPr>
        <w:bidi w:val="0"/>
      </w:pPr>
      <w:r>
        <w:t>2 . 资本主义智能经济是否冲击了马克思的劳动价值论和剩余价值论</w:t>
      </w:r>
    </w:p>
    <w:p w14:paraId="38BCE986">
      <w:pPr>
        <w:bidi w:val="0"/>
      </w:pPr>
      <w:r>
        <w:t>劳动价值论是马克思主义基本原理的重要组成部分 。在资本主义智能经济中，数据生产作为数字  劳动价值创造的全新环节，不仅来自平台有目的的运用智能技术的自动收集，而且来自用户被数字技术  记录下的无意识行为，这些行为被转换为 0 和 1 为基础的二进制的数据，冲击了马克思劳动价值论中有  目的的具体劳动创造使用价值而抽象劳动创造价值的观点 。同时，由于“数据生产是无法计量的，不能  用固定的时间单位来量化”</w:t>
      </w:r>
      <w:r>
        <w:rPr>
          <w:rFonts w:hint="default"/>
          <w:lang w:val="en-US"/>
        </w:rPr>
        <w:fldChar w:fldCharType="begin"/>
      </w:r>
      <w:r>
        <w:rPr>
          <w:rFonts w:hint="default"/>
          <w:lang w:val="en-US"/>
        </w:rPr>
        <w:instrText xml:space="preserve"> REF _Ref19331 \r \h </w:instrText>
      </w:r>
      <w:r>
        <w:rPr>
          <w:rFonts w:hint="default"/>
          <w:lang w:val="en-US"/>
        </w:rPr>
        <w:fldChar w:fldCharType="separate"/>
      </w:r>
      <w:r>
        <w:rPr>
          <w:rFonts w:hint="default"/>
          <w:lang w:val="en-US"/>
        </w:rPr>
        <w:t>[15]</w:t>
      </w:r>
      <w:r>
        <w:rPr>
          <w:rFonts w:hint="default"/>
          <w:lang w:val="en-US"/>
        </w:rPr>
        <w:fldChar w:fldCharType="end"/>
      </w:r>
      <w:r>
        <w:t xml:space="preserve"> , 数据既可被无限复制、删除，又不像传统使用价值一样具有物的特定性、 竞用性和排他性，因此，有西方学者主张，劳动价值论中劳动量的计算方法受到挑战 。 比如，美国社会学  家里夫金( Jeremy Rifkin) 指出，数字劳动者通过互联网平台联系起来，“形成全球性协同共享系统”</w:t>
      </w:r>
      <w:r>
        <w:rPr>
          <w:rFonts w:hint="default"/>
          <w:lang w:val="en-US"/>
        </w:rPr>
        <w:fldChar w:fldCharType="begin"/>
      </w:r>
      <w:r>
        <w:rPr>
          <w:rFonts w:hint="default"/>
          <w:lang w:val="en-US"/>
        </w:rPr>
        <w:instrText xml:space="preserve"> REF _Ref19366 \r \h </w:instrText>
      </w:r>
      <w:r>
        <w:rPr>
          <w:rFonts w:hint="default"/>
          <w:lang w:val="en-US"/>
        </w:rPr>
        <w:fldChar w:fldCharType="separate"/>
      </w:r>
      <w:r>
        <w:rPr>
          <w:rFonts w:hint="default"/>
          <w:lang w:val="en-US"/>
        </w:rPr>
        <w:t>[16]</w:t>
      </w:r>
      <w:r>
        <w:rPr>
          <w:rFonts w:hint="default"/>
          <w:lang w:val="en-US"/>
        </w:rPr>
        <w:fldChar w:fldCharType="end"/>
      </w:r>
      <w:r>
        <w:t xml:space="preserve"> 。</w:t>
      </w:r>
    </w:p>
    <w:p w14:paraId="0A6124B5">
      <w:pPr>
        <w:bidi w:val="0"/>
      </w:pPr>
      <w:r>
        <w:t>在这一系统中，数字劳动者的私人劳动都有机会不通过市场交换而直接成为社会劳动的一部分，就像维 基百科上的书写劳动和免费开源软件中的创作劳动一样 。当这些私人劳动无需通过市场交换而直接成 为社会劳动的一部分，价值存在的社会关系基础将会消失。</w:t>
      </w:r>
    </w:p>
    <w:p w14:paraId="3C11ECB4">
      <w:pPr>
        <w:bidi w:val="0"/>
      </w:pPr>
      <w:r>
        <w:t>除此之外，还有西方学者认为，马克思在分析一般生产劳动与资本主义生产劳动的区别时，将非生  产活动、不生产剩余价值的商业劳动、与收入交换的劳动排除在资本主义生产劳动范围之外 。事实上， 马克思的观点是，资本主义生产劳动是从属于资本并受资本掌控的，处于直接生产过程中的劳动</w:t>
      </w:r>
      <w:r>
        <w:rPr>
          <w:rFonts w:hint="default"/>
          <w:lang w:val="en-US"/>
        </w:rPr>
        <w:fldChar w:fldCharType="begin"/>
      </w:r>
      <w:r>
        <w:rPr>
          <w:rFonts w:hint="default"/>
          <w:lang w:val="en-US"/>
        </w:rPr>
        <w:instrText xml:space="preserve"> REF _Ref19644 \r \h </w:instrText>
      </w:r>
      <w:r>
        <w:rPr>
          <w:rFonts w:hint="default"/>
          <w:lang w:val="en-US"/>
        </w:rPr>
        <w:fldChar w:fldCharType="separate"/>
      </w:r>
      <w:r>
        <w:rPr>
          <w:rFonts w:hint="default"/>
          <w:lang w:val="en-US"/>
        </w:rPr>
        <w:t>①</w:t>
      </w:r>
      <w:r>
        <w:rPr>
          <w:rFonts w:hint="default"/>
          <w:lang w:val="en-US"/>
        </w:rPr>
        <w:fldChar w:fldCharType="end"/>
      </w:r>
      <w:r>
        <w:t>。在  此生产劳动的界定基础上，剩余价值论才能得到科学的阐释 。随着资本主义智能经济的发展，劳动的资  本主义形式发生了变化 。在资本主义智能经济中，数字劳动最显著的特征是非雇佣性、非强迫性和非生  产性：其一，生产数据的用户和平台之间并无实质上的雇佣关系，用户来去自由，可以随时销户退出 。其  二，生产数据的用户没有在资本家的监控下强迫劳动，用户在生产数据的时间上是分散的，既可以是传  统工作时间之外的空闲碎片化时间，也可以是周末或假日；用户生产数据的劳动空间也是分散的，可以  在任何有网络的地方进行 。其三，在资本主义智能经济中，数字劳动的主要领域并非是马克思所强调的  直接生产领域，而是现实生活中劳动力进行再生产的休闲、娱乐等消费领域 。美国社会学学者祖波夫  ( Shoshana Zuboff) 指出，新媒体公司不会或者很少会为用户生产的内容支付报酬 。但是这些公司会以免  费的服务和平台使用权的形式，“换取用户生产的内容并且吸引更多数量的用户”</w:t>
      </w:r>
      <w:r>
        <w:rPr>
          <w:rFonts w:hint="default"/>
          <w:lang w:val="en-US"/>
        </w:rPr>
        <w:fldChar w:fldCharType="begin"/>
      </w:r>
      <w:r>
        <w:rPr>
          <w:rFonts w:hint="default"/>
          <w:lang w:val="en-US"/>
        </w:rPr>
        <w:instrText xml:space="preserve"> REF _Ref19700 \r \h </w:instrText>
      </w:r>
      <w:r>
        <w:rPr>
          <w:rFonts w:hint="default"/>
          <w:lang w:val="en-US"/>
        </w:rPr>
        <w:fldChar w:fldCharType="separate"/>
      </w:r>
      <w:r>
        <w:rPr>
          <w:rFonts w:hint="default"/>
          <w:lang w:val="en-US"/>
        </w:rPr>
        <w:t>[17]</w:t>
      </w:r>
      <w:r>
        <w:rPr>
          <w:rFonts w:hint="default"/>
          <w:lang w:val="en-US"/>
        </w:rPr>
        <w:fldChar w:fldCharType="end"/>
      </w:r>
      <w:r>
        <w:t>, 这构成了新媒体  公司最为重要的资本积累方式 。这也意味着，资本主义智能经济中数据生产的新形式改变了马克思关  于剩余价值论的理论前提。</w:t>
      </w:r>
    </w:p>
    <w:p w14:paraId="6784983B">
      <w:pPr>
        <w:bidi w:val="0"/>
      </w:pPr>
      <w:r>
        <w:t>3 . 无产阶级是否转化为了“大众”</w:t>
      </w:r>
    </w:p>
    <w:p w14:paraId="4D798DA7">
      <w:pPr>
        <w:bidi w:val="0"/>
      </w:pPr>
      <w:r>
        <w:t>由于驱动资本主义智能经济发展的数据在一定程度上来源于被数字技术自动抓取的非自觉人类活 动，同时目前数据在生产资料归属方面尚无明确定论，因此部分西方学者主张，无产阶级不再是马克思 资本主义生产劳动中的经济概念，而应是“ 大众”( multitude , 也译为“诸众”）。“ 大众”是在资本主义微 观日常生活领域中由“个体构成的网络”</w:t>
      </w:r>
      <w:r>
        <w:rPr>
          <w:rFonts w:hint="default"/>
          <w:lang w:val="en-US"/>
        </w:rPr>
        <w:fldChar w:fldCharType="begin"/>
      </w:r>
      <w:r>
        <w:rPr>
          <w:rFonts w:hint="default"/>
          <w:lang w:val="en-US"/>
        </w:rPr>
        <w:instrText xml:space="preserve"> REF _Ref19726 \r \h </w:instrText>
      </w:r>
      <w:r>
        <w:rPr>
          <w:rFonts w:hint="default"/>
          <w:lang w:val="en-US"/>
        </w:rPr>
        <w:fldChar w:fldCharType="separate"/>
      </w:r>
      <w:r>
        <w:rPr>
          <w:rFonts w:hint="default"/>
          <w:lang w:val="en-US"/>
        </w:rPr>
        <w:t>[18]</w:t>
      </w:r>
      <w:r>
        <w:rPr>
          <w:rFonts w:hint="default"/>
          <w:lang w:val="en-US"/>
        </w:rPr>
        <w:fldChar w:fldCharType="end"/>
      </w:r>
      <w:r>
        <w:t>, 理由在于：其一，资本主义智能经济重构了资本的控制结 构，其控制渗透到了个体的非物质劳动和日常生活领域，表现为数字资本个体生活的入侵，“ 大众”成为 数字资本精准剥削的目标 。其二，在资本主义智能经济中，“ 资本的价值和生产力无不由大众中的个体 劳动力创造”</w:t>
      </w:r>
      <w:r>
        <w:rPr>
          <w:rFonts w:hint="default"/>
          <w:lang w:val="en-US"/>
        </w:rPr>
        <w:fldChar w:fldCharType="begin"/>
      </w:r>
      <w:r>
        <w:rPr>
          <w:rFonts w:hint="default"/>
          <w:lang w:val="en-US"/>
        </w:rPr>
        <w:instrText xml:space="preserve"> REF _Ref19752 \r \h </w:instrText>
      </w:r>
      <w:r>
        <w:rPr>
          <w:rFonts w:hint="default"/>
          <w:lang w:val="en-US"/>
        </w:rPr>
        <w:fldChar w:fldCharType="separate"/>
      </w:r>
      <w:r>
        <w:rPr>
          <w:rFonts w:hint="default"/>
          <w:lang w:val="en-US"/>
        </w:rPr>
        <w:t>[19]</w:t>
      </w:r>
      <w:r>
        <w:rPr>
          <w:rFonts w:hint="default"/>
          <w:lang w:val="en-US"/>
        </w:rPr>
        <w:fldChar w:fldCharType="end"/>
      </w:r>
      <w:r>
        <w:t>。“大众”突破了无产阶级特定利益表达的限制，表达了与所有人紧密相关的社会利益 的诉求 。其三，“大众”意味着反抗数字资本的经济秩序不再依靠以往的阶级革命方式，而是需要依靠大 众的民主激情和共同性的政治存在。</w:t>
      </w:r>
    </w:p>
    <w:p w14:paraId="6F243E1C">
      <w:pPr>
        <w:bidi w:val="0"/>
      </w:pPr>
      <w:r>
        <w:t>“ 大众”概念冲击了马克思的无产阶级概念 。马克思认为，资本主义社会条件下不掌握生产资料的 无产阶级，在直接生产过程中受到了残酷的剥削 。基于这种剥削，无产阶级才会进行坚决地反抗和斗 争 。然而，若将资本主义智能经济的劳动主体理解为“ 大众</w:t>
      </w:r>
      <w:r>
        <w:rPr>
          <w:rFonts w:hint="eastAsia"/>
          <w:lang w:eastAsia="zh-CN"/>
        </w:rPr>
        <w:t>”，</w:t>
      </w:r>
      <w:r>
        <w:t>“ 大众”生产的产品主要是信息、知识和情 感，他们的工作时间和场所都不固定，他们进行的不是直接生产劳动而是休闲娱乐活动 。这在一定程度 上就把“ 马克思主义的‘资本 ’与‘劳动 ’的二元对立逻辑演变成了‘帝国 ’与‘ 大众 ’的对立逻辑”</w:t>
      </w:r>
      <w:r>
        <w:rPr>
          <w:rFonts w:hint="default"/>
          <w:lang w:val="en-US"/>
        </w:rPr>
        <w:fldChar w:fldCharType="begin"/>
      </w:r>
      <w:r>
        <w:rPr>
          <w:rFonts w:hint="default"/>
          <w:lang w:val="en-US"/>
        </w:rPr>
        <w:instrText xml:space="preserve"> REF _Ref19752 \r \h </w:instrText>
      </w:r>
      <w:r>
        <w:rPr>
          <w:rFonts w:hint="default"/>
          <w:lang w:val="en-US"/>
        </w:rPr>
        <w:fldChar w:fldCharType="separate"/>
      </w:r>
      <w:r>
        <w:rPr>
          <w:rFonts w:hint="default"/>
          <w:lang w:val="en-US"/>
        </w:rPr>
        <w:t>[19]</w:t>
      </w:r>
      <w:r>
        <w:rPr>
          <w:rFonts w:hint="default"/>
          <w:lang w:val="en-US"/>
        </w:rPr>
        <w:fldChar w:fldCharType="end"/>
      </w:r>
      <w:r>
        <w:t xml:space="preserve"> , 造 成了无产阶级概念的虚化。</w:t>
      </w:r>
    </w:p>
    <w:p w14:paraId="0DCA974F">
      <w:pPr>
        <w:bidi w:val="0"/>
      </w:pPr>
    </w:p>
    <w:p w14:paraId="1E6B7518">
      <w:pPr>
        <w:pStyle w:val="4"/>
        <w:bidi w:val="0"/>
      </w:pPr>
      <w:r>
        <w:t>三、基于马克思政治经济学批判思想的回应</w:t>
      </w:r>
    </w:p>
    <w:p w14:paraId="3F711938">
      <w:pPr>
        <w:bidi w:val="0"/>
      </w:pPr>
    </w:p>
    <w:p w14:paraId="4B698C95">
      <w:pPr>
        <w:bidi w:val="0"/>
      </w:pPr>
      <w:r>
        <w:t>上述观点揭示了学者们对资本主义智能经济相关问题的差异化理解 。 回应问题、消除分歧是马克 思主义学者的重要责任 。习近平总书记指出，“ 在人类思想史上，就科学性、真理性、影响力、传播面而 言，没有一种思想理论能达到马克思主义的高度，也没有一种学说能像马克思主义那样对世界产生了如 此巨大的影响”</w:t>
      </w:r>
      <w:r>
        <w:rPr>
          <w:rFonts w:hint="default"/>
          <w:lang w:val="en-US"/>
        </w:rPr>
        <w:fldChar w:fldCharType="begin"/>
      </w:r>
      <w:r>
        <w:rPr>
          <w:rFonts w:hint="default"/>
          <w:lang w:val="en-US"/>
        </w:rPr>
        <w:instrText xml:space="preserve"> REF _Ref20029 \r \h </w:instrText>
      </w:r>
      <w:r>
        <w:rPr>
          <w:rFonts w:hint="default"/>
          <w:lang w:val="en-US"/>
        </w:rPr>
        <w:fldChar w:fldCharType="separate"/>
      </w:r>
      <w:r>
        <w:rPr>
          <w:rFonts w:hint="default"/>
          <w:lang w:val="en-US"/>
        </w:rPr>
        <w:t>[20]</w:t>
      </w:r>
      <w:r>
        <w:rPr>
          <w:rFonts w:hint="default"/>
          <w:lang w:val="en-US"/>
        </w:rPr>
        <w:fldChar w:fldCharType="end"/>
      </w:r>
      <w:r>
        <w:t xml:space="preserve">  。运用马克思的政治经济学批判思想来回应以上问题，是推动马克思主义理论时代化发展的必要之举。</w:t>
      </w:r>
    </w:p>
    <w:p w14:paraId="436AA7A3">
      <w:pPr>
        <w:bidi w:val="0"/>
      </w:pPr>
      <w:r>
        <w:t>1 . 数字劳动具有坚实的物质基础</w:t>
      </w:r>
    </w:p>
    <w:p w14:paraId="4569F63E">
      <w:pPr>
        <w:bidi w:val="0"/>
      </w:pPr>
      <w:r>
        <w:t>首先，部分学者认为数字劳动具有非物质性，这是一个错误的判断 。从劳动对象的角度来看，人们  在网络空间生产出的数据、信息虽然看起来是非物质和虚拟的，但这些数据和信息需要依附于客观的物  质载体才能存在、保存和被呈现 。同时，单纯的信息生产活动不是劳动，只有运用物质的数字劳动工具  使信息改变状态的活动才是劳动 。在这个意义上，数字劳动的对象不是非物质的，而是物质的 。从劳动  资料的角度来看，人们在数字劳动中借助数字设备、运用信息技术对网络用户的行为数据进行加工和再  生产，数字设备的制造、电力的生产与供给、数据传输产生的电磁波等均是对客观物质的一种运用 。换  言之，数字劳动是人类在资本主义智能经济时代占有并且改造物质资料的体现 。从劳动者的角度来看， 人们在数字劳动中的精神性活动是以“ 活劳动消耗为主要内容的”</w:t>
      </w:r>
      <w:r>
        <w:rPr>
          <w:rFonts w:hint="default"/>
          <w:lang w:val="en-US"/>
        </w:rPr>
        <w:fldChar w:fldCharType="begin"/>
      </w:r>
      <w:r>
        <w:rPr>
          <w:rFonts w:hint="default"/>
          <w:lang w:val="en-US"/>
        </w:rPr>
        <w:instrText xml:space="preserve"> REF _Ref20300 \r \h </w:instrText>
      </w:r>
      <w:r>
        <w:rPr>
          <w:rFonts w:hint="default"/>
          <w:lang w:val="en-US"/>
        </w:rPr>
        <w:fldChar w:fldCharType="separate"/>
      </w:r>
      <w:r>
        <w:rPr>
          <w:rFonts w:hint="default"/>
          <w:lang w:val="en-US"/>
        </w:rPr>
        <w:t>[21]</w:t>
      </w:r>
      <w:r>
        <w:rPr>
          <w:rFonts w:hint="default"/>
          <w:lang w:val="en-US"/>
        </w:rPr>
        <w:fldChar w:fldCharType="end"/>
      </w:r>
      <w:r>
        <w:t xml:space="preserve"> , 离不开人类生命力本身的物  质性。</w:t>
      </w:r>
    </w:p>
    <w:p w14:paraId="70D83937">
      <w:pPr>
        <w:bidi w:val="0"/>
      </w:pPr>
      <w:r>
        <w:t>其次，数字劳动不是用户无意识产生数据的活动，而是一种有明确目的的生产劳动 。部分学者将人 类产生数据的活动称为劳动，这是对马克思劳动观点的误解 。马克思对劳动的核心定义是，劳动是满足 劳动者需要的有目的的活动 。在数字劳动中，用户的情感、语言、关系和智力的活动产生信息只是一种 数字痕迹 。 由于这些痕迹中可能包含着用户的隐私，因此不是用户有意为之的活动，反而是他们力求清 除的对象 。2018 年实行的欧盟《一般数据保护条例》序言第 68 条和美国《 统一计算机信息交易法》强调 的个人对个人信息的自决权，即更正权、删除权、可携带权和限制处理权，证明了这一点 。数字痕迹不经 处理，只是一种“数字废气”，不具备真正的价值 。而数字劳动是数据工程师、数据开发师对数据的加工 和处理 。他们“通过数据处理活动改变了原始信息的自然状态，使蕴藏在原始信息中稀薄的财产价值不 断汇聚，最终使此等财产以大数据的形式迸发出来”</w:t>
      </w:r>
      <w:r>
        <w:rPr>
          <w:rFonts w:hint="default"/>
          <w:lang w:val="en-US"/>
        </w:rPr>
        <w:fldChar w:fldCharType="begin"/>
      </w:r>
      <w:r>
        <w:rPr>
          <w:rFonts w:hint="default"/>
          <w:lang w:val="en-US"/>
        </w:rPr>
        <w:instrText xml:space="preserve"> REF _Ref20333 \r \h </w:instrText>
      </w:r>
      <w:r>
        <w:rPr>
          <w:rFonts w:hint="default"/>
          <w:lang w:val="en-US"/>
        </w:rPr>
        <w:fldChar w:fldCharType="separate"/>
      </w:r>
      <w:r>
        <w:rPr>
          <w:rFonts w:hint="default"/>
          <w:lang w:val="en-US"/>
        </w:rPr>
        <w:t>[22]</w:t>
      </w:r>
      <w:r>
        <w:rPr>
          <w:rFonts w:hint="default"/>
          <w:lang w:val="en-US"/>
        </w:rPr>
        <w:fldChar w:fldCharType="end"/>
      </w:r>
      <w:r>
        <w:t>, 这才是劳动者有目的性的生产劳动 。需明确指 出的是，尽管受众的信息生产不构成直接的生产劳动，但他们的活动数据却被数字平台所利用 。这种数 据获取的方式类似于数字平台向使用者收取的“ 地租”，是数字平台依靠占有生产资料而进行的剥夺性 积累。</w:t>
      </w:r>
    </w:p>
    <w:p w14:paraId="27EF74BF">
      <w:pPr>
        <w:bidi w:val="0"/>
      </w:pPr>
      <w:r>
        <w:t>最后，数字劳动没有改变人类的辩证性 。智能经济时代，人类通过数字劳动生产出了如算法技术、 大数据模型等人类社会前所未有的劳动产物，这些产物提升了人类整体对于世界和自身的认知，促进了  人类改变世界和自身的行动，尽管以上活动被资本增殖规律俘获而发生了异化 。但从时代发展趋势来  看，异化和超越异化是一体两面的人类发展过程 。人类可以发生异化，也可以超越异化 。在这个意义  上，“数字劳动仍遵循马克思对于劳动内涵”</w:t>
      </w:r>
      <w:r>
        <w:rPr>
          <w:rFonts w:hint="default"/>
          <w:lang w:val="en-US"/>
        </w:rPr>
        <w:fldChar w:fldCharType="begin"/>
      </w:r>
      <w:r>
        <w:rPr>
          <w:rFonts w:hint="default"/>
          <w:lang w:val="en-US"/>
        </w:rPr>
        <w:instrText xml:space="preserve"> REF _Ref20369 \r \h </w:instrText>
      </w:r>
      <w:r>
        <w:rPr>
          <w:rFonts w:hint="default"/>
          <w:lang w:val="en-US"/>
        </w:rPr>
        <w:fldChar w:fldCharType="separate"/>
      </w:r>
      <w:r>
        <w:rPr>
          <w:rFonts w:hint="default"/>
          <w:lang w:val="en-US"/>
        </w:rPr>
        <w:t>[23]</w:t>
      </w:r>
      <w:r>
        <w:rPr>
          <w:rFonts w:hint="default"/>
          <w:lang w:val="en-US"/>
        </w:rPr>
        <w:fldChar w:fldCharType="end"/>
      </w:r>
      <w:r>
        <w:t>的基本规定。</w:t>
      </w:r>
    </w:p>
    <w:p w14:paraId="2566ABD9">
      <w:pPr>
        <w:bidi w:val="0"/>
      </w:pPr>
      <w:r>
        <w:t>2 . 资本主义智能经济仍遵循劳动价值论和剩余价值论</w:t>
      </w:r>
    </w:p>
    <w:p w14:paraId="322D934F">
      <w:pPr>
        <w:bidi w:val="0"/>
      </w:pPr>
      <w:r>
        <w:t>智能经济中数据生产、数据生产的具体劳动和抽象劳动的对立统一、数据生产的社会必要劳动时间 计算和数字劳动剥削等，仍遵循马克思的劳动价值论和剩余价值论。</w:t>
      </w:r>
    </w:p>
    <w:p w14:paraId="65FB12BF">
      <w:pPr>
        <w:bidi w:val="0"/>
      </w:pPr>
      <w:r>
        <w:t>首先，从劳动价值论中关于一般生产劳动的角度来看，数字劳动生产的产品是数据产品 。数据产品  的生产过程，不是福克斯强调的与数字信息通信技术有关的价值链创造，也不是数据一般的生产过程， 而是来自数据工程师、数据开发人员使用数字劳动工具（ 如算法技术、深度学习技术）处理数据、赋予这  些数据新的使用价值的过程 。数据工程师、数据开发人员等的具体劳动才是创造数据产品使用价值的  真正来源，其抽象劳动（ 如脑力和体力的消耗）构成了数据产品的价值 。即便在这一过程中，数据不像传  统使用价值一样具有物的特定性、竞用性和排他性，但问题的关键在于，数据工程师、架构师和开发者的  劳动投入是可以被计量的 。这种计量可从两个方面进行：一个是数据工程师、架构师和开发者处理数据  所运用的脑力劳动和体力劳动的时间投入；另一个是他们处理数据所使用的工具和场景建设的投入。</w:t>
      </w:r>
    </w:p>
    <w:p w14:paraId="37E01F34">
      <w:pPr>
        <w:bidi w:val="0"/>
      </w:pPr>
      <w:r>
        <w:t>前者可被社会必要劳动时间所衡量；后者的投入是经过物化的、已有的可被计算的劳动成果 。在这个意 义上，数字劳动生产仍旧遵守马克思劳动价值论的规定，只是其中加入了数据生产的价值创造内容。</w:t>
      </w:r>
    </w:p>
    <w:p w14:paraId="14E80F74">
      <w:pPr>
        <w:bidi w:val="0"/>
      </w:pPr>
      <w:r>
        <w:t>其次，资本主义智能经济仍遵循剩余价值规律。从剩余价值规律的角度来看，资本主义数字劳动不同  于以往的人类劳动形态，它突破了人类物质生产的传统疆域，进入网络世界的数据生产领域，并逐渐演变为  一种只要占有了数据就产生了剥削，如产销一体化、数字劳动异化的模糊认识。尽管理论界并未就资本主  义数字劳动的产销一体化达成共识，但资本主义数据产品发展为数据商品，具有了交换价值。这一过程涉  及到了劳动者与数字平台的关系。过去 20 年，数字平台发展出了多样的类型，但不同类型的数字平台经营  者都雇佣了大量的数据采集师、分析师、工程师来生产数据商品。尤其是，当负责直接生产的数据采集师、 分析师、工程师在平台资本的监控下劳动，并且只拿到自身劳动力商品的交换价值，这种数字劳动就是在生  产剩余价值。需要澄清的是，即便用户使用了数字平台（如搜索信息、购物和社交），但这并不能使“他们成  为生产性劳动者，他们生产剩余价值，并被资本剥削”</w:t>
      </w:r>
      <w:r>
        <w:rPr>
          <w:rFonts w:hint="default"/>
          <w:lang w:val="en-US"/>
        </w:rPr>
        <w:fldChar w:fldCharType="begin"/>
      </w:r>
      <w:r>
        <w:rPr>
          <w:rFonts w:hint="default"/>
          <w:lang w:val="en-US"/>
        </w:rPr>
        <w:instrText xml:space="preserve"> REF _Ref20503 \r \h </w:instrText>
      </w:r>
      <w:r>
        <w:rPr>
          <w:rFonts w:hint="default"/>
          <w:lang w:val="en-US"/>
        </w:rPr>
        <w:fldChar w:fldCharType="separate"/>
      </w:r>
      <w:r>
        <w:rPr>
          <w:rFonts w:hint="default"/>
          <w:lang w:val="en-US"/>
        </w:rPr>
        <w:t>[24]</w:t>
      </w:r>
      <w:r>
        <w:rPr>
          <w:rFonts w:hint="default"/>
          <w:lang w:val="en-US"/>
        </w:rPr>
        <w:fldChar w:fldCharType="end"/>
      </w:r>
      <w:r>
        <w:t>。用户数据并非源于资本主义数字劳动中的剥削  行为，而是由数字平台企业基于其技术优势和形成的垄断规模效应，通过制定的知情同意服务约定所获取  的。这些企业依靠其强大的技术和市场地位，收集并且占有了用户的数据。</w:t>
      </w:r>
    </w:p>
    <w:p w14:paraId="55889FE7">
      <w:pPr>
        <w:bidi w:val="0"/>
      </w:pPr>
      <w:r>
        <w:t>3 . 无产阶级不会被“大众”取代</w:t>
      </w:r>
    </w:p>
    <w:p w14:paraId="0E7F4918">
      <w:pPr>
        <w:bidi w:val="0"/>
      </w:pPr>
      <w:r>
        <w:t>在资本主义智能经济中，个人的活动数据被平台占有，劳动的主体从无产阶级扩展为了数量更为广 泛、涵盖内容更为多样的“大众”。但大众无法取代无产阶级概念和阶级分析法 。事实上，“大众”反映了 资本主义智能经济中的双重关系：其一，在资本主义智能经济中，个人数据被平台企业依据其技术优势 和垄断规模效应而掠夺 。这种掠夺导致了“大众”概念以与阶级概念相反的个人化面貌出现 。这是资本 主义智能经济中普遍存在的个体数据被占有的政治经济学结构 。“大众”反映了资本主义智能经济中数 据创造者因不占有生产资料，而被掠夺的现实境遇，这是阶级分析的前提 。其二，无产阶级是其所属社 会经济结构的产物，他们用自己的体力劳动和脑力劳动改造了与劳动相关的生产资料并且用这种劳动 换回生活资料，这种生活资料既包括传统的生活资料，也包括新型的生活资料，如某些智能软件、虚拟游 戏的使用权等 。在这个意义上，“大众”只是从政治学的角度折射出了资本主义智能经济中人们的普遍 处境，“资本与劳动的对立关系仍是数字资本主义时代的‘轴心 ’问题。”</w:t>
      </w:r>
      <w:r>
        <w:rPr>
          <w:rFonts w:hint="default"/>
          <w:lang w:val="en-US"/>
        </w:rPr>
        <w:fldChar w:fldCharType="begin"/>
      </w:r>
      <w:r>
        <w:rPr>
          <w:rFonts w:hint="default"/>
          <w:lang w:val="en-US"/>
        </w:rPr>
        <w:instrText xml:space="preserve"> REF _Ref20549 \r \h </w:instrText>
      </w:r>
      <w:r>
        <w:rPr>
          <w:rFonts w:hint="default"/>
          <w:lang w:val="en-US"/>
        </w:rPr>
        <w:fldChar w:fldCharType="separate"/>
      </w:r>
      <w:r>
        <w:rPr>
          <w:rFonts w:hint="default"/>
          <w:lang w:val="en-US"/>
        </w:rPr>
        <w:t>[25]</w:t>
      </w:r>
      <w:r>
        <w:rPr>
          <w:rFonts w:hint="default"/>
          <w:lang w:val="en-US"/>
        </w:rPr>
        <w:fldChar w:fldCharType="end"/>
      </w:r>
    </w:p>
    <w:p w14:paraId="1A69D86D">
      <w:pPr>
        <w:pStyle w:val="4"/>
        <w:bidi w:val="0"/>
      </w:pPr>
      <w:r>
        <w:t>四、结    语</w:t>
      </w:r>
    </w:p>
    <w:p w14:paraId="49095B67">
      <w:pPr>
        <w:bidi w:val="0"/>
      </w:pPr>
      <w:r>
        <w:t>当今世界，智能经济已经成为新的经济形式 。面对学术界关于资本主义智能经济中数据生产、数字  劳动、价值创造和阶级的论争，马克思主义学者必须加以坚决回应 。分析以上问题可发现，数字劳动没  有偏离马克思关于劳动的规定，资本主义智能经济没有突破马克思的劳动价值论和剩余价值论的范围， “ 大众”也无法取代马克思的无产阶级思想 。马克思的立场、观点和方法源于马克思的时代又超越了那  个时代，既是那个时代精神的精华，又是整个人类精神的精华 。它为我们提供了理解资本主义智能经济  的理论基础和方法论指引 。科学认识资本主义智能经济理论，不是要颠覆或偏离马克思的理论，而是要  对其进行时代化的发展。</w:t>
      </w:r>
    </w:p>
    <w:p w14:paraId="109854DF">
      <w:pPr>
        <w:bidi w:val="0"/>
      </w:pPr>
      <w:r>
        <w:t>值得指出的是，智能经济的发展与新一代人工智能技术密不可分，高速发展的新一代人工智能技术 必将会进一步推动智能经济的变化 。当下，以大数据、深度神经网络等为代表的新一代人工智能技术革 命仍在高速发展，资本主义智能经济的发展仍在继续 。“ 问题是时代的声音，回答并指导解决问题是理 论的根本任务。”[ [8]20我们应以马克思关于劳动的概念、劳动价值论和剩余价值论为基础，在实践中结合 原理去理解和把握资本主义智能经济的发展，回应其所带来的理论挑战。</w:t>
      </w:r>
    </w:p>
    <w:p w14:paraId="40DB1416">
      <w:pPr>
        <w:bidi w:val="0"/>
      </w:pPr>
      <w:r>
        <w:t>注    释</w:t>
      </w:r>
    </w:p>
    <w:p w14:paraId="23ECDF31">
      <w:pPr>
        <w:bidi w:val="0"/>
      </w:pPr>
      <w:bookmarkStart w:id="464" w:name="_Ref19644"/>
      <w:r>
        <w:rPr>
          <w:rFonts w:hint="default" w:ascii="Calibri" w:hAnsi="Calibri" w:cs="Calibri"/>
        </w:rPr>
        <w:t>①</w:t>
      </w:r>
      <w:r>
        <w:t>马克思指出：“只有把生产的资本主义形式看作生产的绝对形式，从而看作生产的唯一 自 然形式的这种资产阶级狭隘 性，才会混淆下述两个问题，一个是从资本观点来说什么是生产劳动与生产工人的问题，一个是什么是一般的生产劳动 的问题；因而才会满足于同义反复的回答：凡是进行生产，以产品或某种使用价值为结果，总之，以某种成果为结果的一 切劳动，都是生产劳动。”马克思将那些不从属于资本的自主劳动— 以劳动者自 身 目 的而进行的劳动，包括小生产 者、农民以及一些从事科学、艺术等生产的劳动，排除在生产劳动之外 。马克思将那些形式的劳动称之为向资本主义的</w:t>
      </w:r>
      <w:bookmarkEnd w:id="464"/>
      <w:r>
        <w:t>“ 过渡形式”。（参见《马克思恩格斯全集》第38 卷，人民出版社 2019 年版，第 124 - 125 页）</w:t>
      </w:r>
    </w:p>
    <w:p w14:paraId="7C7BA8D9">
      <w:pPr>
        <w:bidi w:val="0"/>
      </w:pPr>
      <w:r>
        <w:t>参考文献</w:t>
      </w:r>
    </w:p>
    <w:p w14:paraId="4A4DCC82">
      <w:pPr>
        <w:numPr>
          <w:ilvl w:val="0"/>
          <w:numId w:val="16"/>
        </w:numPr>
        <w:bidi w:val="0"/>
        <w:ind w:left="210" w:leftChars="0" w:firstLine="0" w:firstLineChars="0"/>
      </w:pPr>
      <w:bookmarkStart w:id="465" w:name="_Ref17580"/>
      <w:r>
        <w:t>杨柔，马艳．智能经济的劳动方式、价值创造及其未来趋势[ J] . 政治经济学报，2022(4) : 134 - 149.</w:t>
      </w:r>
      <w:bookmarkEnd w:id="465"/>
    </w:p>
    <w:p w14:paraId="3F569035">
      <w:pPr>
        <w:numPr>
          <w:ilvl w:val="0"/>
          <w:numId w:val="16"/>
        </w:numPr>
        <w:bidi w:val="0"/>
        <w:ind w:left="210" w:leftChars="0" w:firstLine="0" w:firstLineChars="0"/>
      </w:pPr>
      <w:bookmarkStart w:id="466" w:name="_Ref17616"/>
      <w:r>
        <w:t>许可等．智能经济时代生态大变局：赢战 5G[ M] . 北京：人民邮电出版社，2020 : 1 .</w:t>
      </w:r>
      <w:bookmarkEnd w:id="466"/>
    </w:p>
    <w:p w14:paraId="19A4C8FD">
      <w:pPr>
        <w:numPr>
          <w:ilvl w:val="0"/>
          <w:numId w:val="16"/>
        </w:numPr>
        <w:bidi w:val="0"/>
        <w:ind w:left="210" w:leftChars="0" w:firstLine="0" w:firstLineChars="0"/>
      </w:pPr>
      <w:bookmarkStart w:id="467" w:name="_Ref17753"/>
      <w:r>
        <w:t>童天湘．点亮心灯：智能社会的形态描述[ M] . 哈尔滨：东北林业大学出版社，1996 : 117.</w:t>
      </w:r>
      <w:bookmarkEnd w:id="467"/>
    </w:p>
    <w:p w14:paraId="741886D8">
      <w:pPr>
        <w:numPr>
          <w:ilvl w:val="0"/>
          <w:numId w:val="16"/>
        </w:numPr>
        <w:bidi w:val="0"/>
        <w:ind w:left="210" w:leftChars="0" w:firstLine="0" w:firstLineChars="0"/>
      </w:pPr>
      <w:bookmarkStart w:id="468" w:name="_Ref17819"/>
      <w:r>
        <w:t>新浪科技. AMiner:2011 - 2020 年人工智能发展报告[ EB/OL] . (2021 - 04 - 13) [2024 - 07 - 12] . http3 ://finanQ. Si</w:t>
      </w:r>
      <w:r>
        <w:rPr>
          <w:rFonts w:hint="eastAsia"/>
          <w:lang w:val="en-US" w:eastAsia="zh-CN"/>
        </w:rPr>
        <w:t>-</w:t>
      </w:r>
      <w:r>
        <w:t>na. cn/tech/2021 - 04 - 13/detailikmyaawa9320148. d. html.</w:t>
      </w:r>
      <w:bookmarkEnd w:id="468"/>
    </w:p>
    <w:p w14:paraId="690148F9">
      <w:pPr>
        <w:numPr>
          <w:ilvl w:val="0"/>
          <w:numId w:val="16"/>
        </w:numPr>
        <w:bidi w:val="0"/>
        <w:ind w:left="210" w:leftChars="0" w:firstLine="0" w:firstLineChars="0"/>
      </w:pPr>
      <w:bookmarkStart w:id="469" w:name="_Ref18201"/>
      <w:r>
        <w:t>驻德国经商参处．德国“ 高科技战略 2025 ”内容概要[ EB/OL] . (2019 - 01 - 02) [2023 - 10 - 11] . http://www. Mofcom</w:t>
      </w:r>
      <w:r>
        <w:rPr>
          <w:rFonts w:hint="eastAsia"/>
          <w:lang w:val="en-US" w:eastAsia="zh-CN"/>
        </w:rPr>
        <w:t>.</w:t>
      </w:r>
      <w:r>
        <w:t>gov. cn/article/i/dxfw/jlyd/201901/20190102828287. shtml.</w:t>
      </w:r>
      <w:bookmarkEnd w:id="469"/>
    </w:p>
    <w:p w14:paraId="71BF2B16">
      <w:pPr>
        <w:numPr>
          <w:ilvl w:val="0"/>
          <w:numId w:val="16"/>
        </w:numPr>
        <w:bidi w:val="0"/>
        <w:ind w:left="210" w:leftChars="0" w:firstLine="0" w:firstLineChars="0"/>
      </w:pPr>
      <w:bookmarkStart w:id="470" w:name="_Ref17854"/>
      <w:r>
        <w:t>新华社．国务院印发《新一代人工智能发展规划》[ EB/OL] . (2017 - 07 - 20) [2023 - 10 - 11] . https://www. gov. cn/xinwen/2017 - 07/20/content_5212064. htm.</w:t>
      </w:r>
      <w:bookmarkEnd w:id="470"/>
    </w:p>
    <w:p w14:paraId="4230D301">
      <w:pPr>
        <w:numPr>
          <w:ilvl w:val="0"/>
          <w:numId w:val="16"/>
        </w:numPr>
        <w:bidi w:val="0"/>
        <w:ind w:left="210" w:leftChars="0" w:firstLine="0" w:firstLineChars="0"/>
      </w:pPr>
      <w:bookmarkStart w:id="471" w:name="_Ref17897"/>
      <w:r>
        <w:t>习近平．加强领导做好规划明确任务夯实基础 推动我国新一代人工智能健康发展[N] . 人民日报. 2018 - 11 - 01(001) .</w:t>
      </w:r>
      <w:bookmarkEnd w:id="471"/>
    </w:p>
    <w:p w14:paraId="71162E62">
      <w:pPr>
        <w:numPr>
          <w:ilvl w:val="0"/>
          <w:numId w:val="16"/>
        </w:numPr>
        <w:bidi w:val="0"/>
        <w:ind w:left="210" w:leftChars="0" w:firstLine="0" w:firstLineChars="0"/>
      </w:pPr>
      <w:bookmarkStart w:id="472" w:name="_Ref17920"/>
      <w:r>
        <w:t xml:space="preserve">习近平．高举中国特色社会主义伟大旗帜  为全面建设社会主义现代化国家而团结奋斗[ M] . 北京：人民出版社，2022. </w:t>
      </w:r>
      <w:bookmarkEnd w:id="472"/>
    </w:p>
    <w:p w14:paraId="1003A22C">
      <w:pPr>
        <w:numPr>
          <w:ilvl w:val="0"/>
          <w:numId w:val="16"/>
        </w:numPr>
        <w:bidi w:val="0"/>
        <w:ind w:left="210" w:leftChars="0" w:firstLine="0" w:firstLineChars="0"/>
      </w:pPr>
      <w:bookmarkStart w:id="473" w:name="_Ref17952"/>
      <w:r>
        <w:t>何玉长，宗素娟．人工智能、智能经济与智能劳动价值—基于马克思劳动价值论的思考[ J] . 毛泽东邓小平理论研究，2017(10) :36 - 43 + 107.</w:t>
      </w:r>
      <w:bookmarkEnd w:id="473"/>
    </w:p>
    <w:p w14:paraId="65717E3A">
      <w:pPr>
        <w:numPr>
          <w:ilvl w:val="0"/>
          <w:numId w:val="16"/>
        </w:numPr>
        <w:bidi w:val="0"/>
        <w:ind w:left="210" w:leftChars="0" w:firstLine="0" w:firstLineChars="0"/>
      </w:pPr>
      <w:bookmarkStart w:id="474" w:name="_Ref18325"/>
      <w:r>
        <w:t>谢富胜，吴越，王生升．平台经济全球化的政治经济学分析[ J] . 中国社会科学，2019(12) :62 - 81 + 200.</w:t>
      </w:r>
      <w:bookmarkEnd w:id="474"/>
    </w:p>
    <w:p w14:paraId="624C5D78">
      <w:pPr>
        <w:numPr>
          <w:ilvl w:val="0"/>
          <w:numId w:val="16"/>
        </w:numPr>
        <w:bidi w:val="0"/>
        <w:ind w:left="210" w:leftChars="0" w:firstLine="0" w:firstLineChars="0"/>
      </w:pPr>
      <w:bookmarkStart w:id="475" w:name="_Ref18932"/>
      <w:r>
        <w:t>Paolo Virno , Mi - chael Hardt. Radical Thought in Italy[ M] . Minneapolis: University of Minnesota Press. 1996 : 152.</w:t>
      </w:r>
      <w:bookmarkEnd w:id="475"/>
    </w:p>
    <w:p w14:paraId="0D81B5A6">
      <w:pPr>
        <w:numPr>
          <w:ilvl w:val="0"/>
          <w:numId w:val="16"/>
        </w:numPr>
        <w:bidi w:val="0"/>
        <w:ind w:left="210" w:leftChars="0" w:firstLine="0" w:firstLineChars="0"/>
      </w:pPr>
      <w:bookmarkStart w:id="476" w:name="_Ref18965"/>
      <w:r>
        <w:t>许纪霖．帝国、都市与现代性[ M] . 南京：江苏人民出版社，2005 :60 - 61 .</w:t>
      </w:r>
      <w:bookmarkEnd w:id="476"/>
    </w:p>
    <w:p w14:paraId="7051487B">
      <w:pPr>
        <w:numPr>
          <w:ilvl w:val="0"/>
          <w:numId w:val="16"/>
        </w:numPr>
        <w:bidi w:val="0"/>
        <w:ind w:left="210" w:leftChars="0" w:firstLine="0" w:firstLineChars="0"/>
      </w:pPr>
      <w:bookmarkStart w:id="477" w:name="_Ref19001"/>
      <w:r>
        <w:t>Brice Nixon. Toward a Political Economy of“Audience Labour ”in the Digital Era[ J] . Triple C : Communication , Capitalism Critique 2014(2) :713 - 734.</w:t>
      </w:r>
      <w:bookmarkEnd w:id="477"/>
    </w:p>
    <w:p w14:paraId="4E08F767">
      <w:pPr>
        <w:numPr>
          <w:ilvl w:val="0"/>
          <w:numId w:val="16"/>
        </w:numPr>
        <w:bidi w:val="0"/>
        <w:ind w:left="210" w:leftChars="0" w:firstLine="0" w:firstLineChars="0"/>
      </w:pPr>
      <w:bookmarkStart w:id="478" w:name="_Ref19030"/>
      <w:r>
        <w:t>燕连福，谢芳芳．福克斯的数字劳动概念探析[ J] . 马克思主义与现实，2017(2) : 113 - 120.</w:t>
      </w:r>
      <w:bookmarkEnd w:id="478"/>
    </w:p>
    <w:p w14:paraId="11ED768E">
      <w:pPr>
        <w:numPr>
          <w:ilvl w:val="0"/>
          <w:numId w:val="16"/>
        </w:numPr>
        <w:bidi w:val="0"/>
        <w:ind w:left="210" w:leftChars="0" w:firstLine="0" w:firstLineChars="0"/>
      </w:pPr>
      <w:bookmarkStart w:id="479" w:name="_Ref19331"/>
      <w:r>
        <w:t>Michael Hardt and Antonio Negri , Multitude[ M] . London : Penguin Books ,2004 : 145 - 146.</w:t>
      </w:r>
      <w:bookmarkEnd w:id="479"/>
    </w:p>
    <w:p w14:paraId="1EFC4DDC">
      <w:pPr>
        <w:numPr>
          <w:ilvl w:val="0"/>
          <w:numId w:val="16"/>
        </w:numPr>
        <w:bidi w:val="0"/>
        <w:ind w:left="210" w:leftChars="0" w:firstLine="0" w:firstLineChars="0"/>
      </w:pPr>
      <w:bookmarkStart w:id="480" w:name="_Ref19366"/>
      <w:r>
        <w:rPr>
          <w:rFonts w:hint="eastAsia"/>
        </w:rPr>
        <w:t>杰里米</w:t>
      </w:r>
      <w:r>
        <w:rPr>
          <w:rFonts w:hint="eastAsia"/>
          <w:lang w:val="en-US" w:eastAsia="zh-CN"/>
        </w:rPr>
        <w:t>·</w:t>
      </w:r>
      <w:r>
        <w:rPr>
          <w:rFonts w:hint="eastAsia"/>
        </w:rPr>
        <w:t>里夫金．零边际成本社会[ M] . 赛迪研究院专家组，译．北京：中信出版社，2014 : XXI.</w:t>
      </w:r>
      <w:bookmarkEnd w:id="480"/>
    </w:p>
    <w:p w14:paraId="2705BBF8">
      <w:pPr>
        <w:numPr>
          <w:ilvl w:val="0"/>
          <w:numId w:val="16"/>
        </w:numPr>
        <w:bidi w:val="0"/>
        <w:ind w:left="210" w:leftChars="0" w:firstLine="0" w:firstLineChars="0"/>
      </w:pPr>
      <w:bookmarkStart w:id="481" w:name="_Ref19700"/>
      <w:r>
        <w:t>Shoshana Zuboff. The Age of Surveillance Capitalism : The Fight for Human Future at New Frontier of Power [ M] . New York : Public Affairs. 2019 :218.</w:t>
      </w:r>
      <w:bookmarkEnd w:id="481"/>
    </w:p>
    <w:p w14:paraId="3244E85E">
      <w:pPr>
        <w:numPr>
          <w:ilvl w:val="0"/>
          <w:numId w:val="16"/>
        </w:numPr>
        <w:bidi w:val="0"/>
        <w:ind w:left="210" w:leftChars="0" w:firstLine="0" w:firstLineChars="0"/>
      </w:pPr>
      <w:bookmarkStart w:id="482" w:name="_Ref19726"/>
      <w:r>
        <w:t>安东尼奥 ·奈格里．超越帝国[ M] . 李琨，陆汉臻，译．北京：北京大学出版社，2016 :46.</w:t>
      </w:r>
      <w:bookmarkEnd w:id="482"/>
    </w:p>
    <w:p w14:paraId="14864492">
      <w:pPr>
        <w:numPr>
          <w:ilvl w:val="0"/>
          <w:numId w:val="16"/>
        </w:numPr>
        <w:bidi w:val="0"/>
        <w:ind w:left="210" w:leftChars="0" w:firstLine="0" w:firstLineChars="0"/>
      </w:pPr>
      <w:bookmarkStart w:id="483" w:name="_Ref19752"/>
      <w:r>
        <w:t>黎子琳．国内外数字劳动研究述评[ J] . 南阳理工学院学报，2022(9) :46 - 52.</w:t>
      </w:r>
      <w:bookmarkEnd w:id="483"/>
    </w:p>
    <w:p w14:paraId="68285F21">
      <w:pPr>
        <w:numPr>
          <w:ilvl w:val="0"/>
          <w:numId w:val="16"/>
        </w:numPr>
        <w:bidi w:val="0"/>
        <w:ind w:left="210" w:leftChars="0" w:firstLine="0" w:firstLineChars="0"/>
      </w:pPr>
      <w:bookmarkStart w:id="484" w:name="_Ref20029"/>
      <w:r>
        <w:t>习近平谈治国理政：第 2 卷[ M] . 北京：外文出版社，2017 :65.</w:t>
      </w:r>
      <w:bookmarkEnd w:id="484"/>
    </w:p>
    <w:p w14:paraId="31D17DB0">
      <w:pPr>
        <w:numPr>
          <w:ilvl w:val="0"/>
          <w:numId w:val="16"/>
        </w:numPr>
        <w:bidi w:val="0"/>
        <w:ind w:left="210" w:leftChars="0" w:firstLine="0" w:firstLineChars="0"/>
      </w:pPr>
      <w:bookmarkStart w:id="485" w:name="_Ref20300"/>
      <w:r>
        <w:t>程恩富，顾钰民．文化经济学[ M] . 天津：南开大学出版社，2007 :76.</w:t>
      </w:r>
      <w:bookmarkEnd w:id="485"/>
    </w:p>
    <w:p w14:paraId="06A2A327">
      <w:pPr>
        <w:numPr>
          <w:ilvl w:val="0"/>
          <w:numId w:val="16"/>
        </w:numPr>
        <w:bidi w:val="0"/>
        <w:ind w:left="210" w:leftChars="0" w:firstLine="0" w:firstLineChars="0"/>
      </w:pPr>
      <w:bookmarkStart w:id="486" w:name="_Ref20333"/>
      <w:r>
        <w:t>张新宝．论作为新型财产权的数据财产权[ J] . 中国社会科学，2023(4) : 144 - 163 + 207.</w:t>
      </w:r>
      <w:bookmarkEnd w:id="486"/>
    </w:p>
    <w:p w14:paraId="46929B6C">
      <w:pPr>
        <w:numPr>
          <w:ilvl w:val="0"/>
          <w:numId w:val="16"/>
        </w:numPr>
        <w:bidi w:val="0"/>
        <w:ind w:left="210" w:leftChars="0" w:firstLine="0" w:firstLineChars="0"/>
      </w:pPr>
      <w:bookmarkStart w:id="487" w:name="_Ref20369"/>
      <w:r>
        <w:t>高斯扬．基于马克思劳动观的数字劳动界定[ J] . 经济纵横，2023(8) : 12 - 19.</w:t>
      </w:r>
      <w:bookmarkEnd w:id="487"/>
    </w:p>
    <w:p w14:paraId="696AD826">
      <w:pPr>
        <w:numPr>
          <w:ilvl w:val="0"/>
          <w:numId w:val="16"/>
        </w:numPr>
        <w:bidi w:val="0"/>
        <w:ind w:left="210" w:leftChars="0" w:firstLine="0" w:firstLineChars="0"/>
      </w:pPr>
      <w:bookmarkStart w:id="488" w:name="_Ref20503"/>
      <w:r>
        <w:t>魏旭．数字资本主义下的价值生产、度量与分配— 对“价值规律失效论”的批判[J] . 马克思主义研究，2022(2) :50 -61.</w:t>
      </w:r>
      <w:bookmarkEnd w:id="488"/>
    </w:p>
    <w:p w14:paraId="2B1CDCA7">
      <w:pPr>
        <w:numPr>
          <w:ilvl w:val="0"/>
          <w:numId w:val="16"/>
        </w:numPr>
        <w:bidi w:val="0"/>
        <w:ind w:left="210" w:leftChars="0" w:firstLine="0" w:firstLineChars="0"/>
      </w:pPr>
      <w:bookmarkStart w:id="489" w:name="_Ref20549"/>
      <w:r>
        <w:t>马艳，杨柔，邬璟璟．人工智能时代马克思主义政治经济学重要理论问题的新探讨[J] . 政治经济学研究，2024(2) :72 - 83.</w:t>
      </w:r>
      <w:bookmarkEnd w:id="489"/>
    </w:p>
    <w:p w14:paraId="18F94007">
      <w:pPr>
        <w:bidi w:val="0"/>
      </w:pPr>
    </w:p>
    <w:p w14:paraId="74D696B8">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Chars="200" w:right="0" w:rightChars="0"/>
        <w:jc w:val="both"/>
        <w:textAlignment w:val="baseline"/>
        <w:rPr>
          <w:rFonts w:hint="eastAsia" w:cs="宋体"/>
          <w:sz w:val="24"/>
          <w:szCs w:val="24"/>
          <w:lang w:eastAsia="zh-CN"/>
        </w:rPr>
      </w:pPr>
    </w:p>
    <w:p w14:paraId="58052E2C">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Chars="200" w:right="0" w:rightChars="0"/>
        <w:jc w:val="both"/>
        <w:textAlignment w:val="baseline"/>
        <w:rPr>
          <w:rFonts w:hint="eastAsia" w:cs="宋体"/>
          <w:sz w:val="24"/>
          <w:szCs w:val="24"/>
          <w:lang w:eastAsia="zh-CN"/>
        </w:rPr>
      </w:pPr>
      <w:r>
        <w:rPr>
          <w:rFonts w:hint="eastAsia" w:cs="宋体"/>
          <w:sz w:val="24"/>
          <w:szCs w:val="24"/>
          <w:lang w:eastAsia="zh-CN"/>
        </w:rPr>
        <w:t>（</w:t>
      </w:r>
      <w:r>
        <w:rPr>
          <w:rFonts w:hint="eastAsia" w:cs="宋体"/>
          <w:sz w:val="24"/>
          <w:szCs w:val="24"/>
          <w:lang w:val="en-US" w:eastAsia="zh-CN"/>
        </w:rPr>
        <w:t>原载《当代经济研究》2024年第8期，第二作者为高斯扬。</w:t>
      </w:r>
      <w:r>
        <w:rPr>
          <w:rFonts w:hint="eastAsia" w:cs="宋体"/>
          <w:sz w:val="24"/>
          <w:szCs w:val="24"/>
          <w:lang w:eastAsia="zh-CN"/>
        </w:rPr>
        <w:t>）</w:t>
      </w:r>
    </w:p>
    <w:p w14:paraId="7844F2ED">
      <w:pPr>
        <w:pStyle w:val="3"/>
        <w:bidi w:val="0"/>
        <w:rPr>
          <w:rFonts w:hint="default"/>
        </w:rPr>
      </w:pPr>
      <w:bookmarkStart w:id="490" w:name="_Toc1457481817"/>
      <w:bookmarkStart w:id="491" w:name="_Toc1792102156"/>
      <w:bookmarkStart w:id="492" w:name="_Toc790274628"/>
      <w:bookmarkStart w:id="493" w:name="_Toc1338211450"/>
      <w:bookmarkStart w:id="494" w:name="_Toc13051"/>
      <w:bookmarkStart w:id="495" w:name="_Toc367061444"/>
      <w:r>
        <w:rPr>
          <w:rFonts w:hint="eastAsia"/>
          <w:lang w:val="en-US" w:eastAsia="zh-CN"/>
        </w:rPr>
        <w:t>7</w:t>
      </w:r>
      <w:r>
        <w:rPr>
          <w:rFonts w:hint="default"/>
        </w:rPr>
        <w:t>开放经济社会再生产视角下经济循环与经济增长研究</w:t>
      </w:r>
      <w:bookmarkEnd w:id="490"/>
      <w:bookmarkEnd w:id="491"/>
      <w:bookmarkEnd w:id="492"/>
      <w:bookmarkEnd w:id="493"/>
      <w:bookmarkEnd w:id="494"/>
      <w:bookmarkEnd w:id="495"/>
    </w:p>
    <w:p w14:paraId="0F36B31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b/>
          <w:bCs/>
          <w:color w:val="auto"/>
          <w:sz w:val="24"/>
          <w:szCs w:val="24"/>
          <w:highlight w:val="none"/>
        </w:rPr>
        <w:t>内容摘要</w:t>
      </w:r>
      <w:r>
        <w:rPr>
          <w:rFonts w:hint="default" w:ascii="Times New Roman" w:hAnsi="Times New Roman" w:eastAsia="宋体" w:cs="Times New Roman"/>
          <w:color w:val="auto"/>
          <w:sz w:val="24"/>
          <w:szCs w:val="24"/>
          <w:highlight w:val="none"/>
        </w:rPr>
        <w:t>：经济循环是资本循环和商品流通的交错，经济循环畅通要求预付到流通中的货币流回到它的起点、</w:t>
      </w:r>
      <w:r>
        <w:rPr>
          <w:rFonts w:hint="default" w:ascii="Times New Roman" w:hAnsi="Times New Roman" w:eastAsia="宋体" w:cs="Times New Roman"/>
          <w:color w:val="auto"/>
          <w:sz w:val="24"/>
          <w:szCs w:val="24"/>
          <w:highlight w:val="none"/>
          <w:lang w:bidi="ar"/>
        </w:rPr>
        <w:t>国家-部类×国家-部类维度的再生产平衡公式成立。资本主义生产的内在规律和竞争的强制规律使循环畅通的条件难以满足，技术进步单纯作为价值增殖手段的资本积累引起四大</w:t>
      </w:r>
      <w:r>
        <w:rPr>
          <w:rFonts w:hint="default" w:ascii="Times New Roman" w:hAnsi="Times New Roman" w:eastAsia="宋体" w:cs="Times New Roman"/>
          <w:color w:val="auto"/>
          <w:sz w:val="24"/>
          <w:szCs w:val="24"/>
          <w:highlight w:val="none"/>
        </w:rPr>
        <w:t>部类相继出现产能过剩。产能过剩导致经济循环受阻，消费需求和投资需求收缩、预付资本增殖能力降低，经济增速因此下降，这可从纳入产能利用率的经济增长公式得到反映。国际国内经验数据表明，产能利用率、经济循环速度、经济增长速度呈相似走势，2008年金融危机之前上升，危机爆发时大幅下降，经历“V型”反转后趋于下降。我国的产能利用率下降、循环不畅、增速放慢的原因与资本主义市场经济有本质区别。为实现我国经济在风云变幻的世界经济中平稳较快发展，必须加快构建新发展格局，畅通“大循环”和“双循环”,统筹提高供给质量和扩大国内需求、构建人类命运共同体是关键举措。</w:t>
      </w:r>
    </w:p>
    <w:p w14:paraId="4081286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z w:val="24"/>
          <w:szCs w:val="24"/>
          <w:highlight w:val="none"/>
        </w:rPr>
        <w:t>关键词</w:t>
      </w:r>
      <w:r>
        <w:rPr>
          <w:rFonts w:hint="default" w:ascii="Times New Roman" w:hAnsi="Times New Roman" w:eastAsia="宋体" w:cs="Times New Roman"/>
          <w:color w:val="auto"/>
          <w:sz w:val="24"/>
          <w:szCs w:val="24"/>
          <w:highlight w:val="none"/>
        </w:rPr>
        <w:t>：新发展格局；开放经济；经济循环；经济增长；社会再生产</w:t>
      </w:r>
    </w:p>
    <w:p w14:paraId="35F820AF">
      <w:pPr>
        <w:pStyle w:val="3"/>
        <w:pageBreakBefore w:val="0"/>
        <w:kinsoku/>
        <w:overflowPunct/>
        <w:topLinePunct w:val="0"/>
        <w:bidi w:val="0"/>
        <w:spacing w:before="0" w:beforeLines="0" w:after="0" w:afterLines="0" w:line="400" w:lineRule="exact"/>
        <w:ind w:firstLine="480" w:firstLineChars="200"/>
        <w:rPr>
          <w:rFonts w:hint="default" w:ascii="Times New Roman" w:hAnsi="Times New Roman" w:eastAsia="宋体" w:cs="Times New Roman"/>
          <w:color w:val="auto"/>
          <w:sz w:val="24"/>
          <w:szCs w:val="24"/>
          <w:highlight w:val="none"/>
        </w:rPr>
      </w:pPr>
      <w:bookmarkStart w:id="496" w:name="_Toc2106799748"/>
      <w:bookmarkStart w:id="497" w:name="_Toc40031132"/>
      <w:bookmarkStart w:id="498" w:name="_Toc1109"/>
      <w:bookmarkStart w:id="499" w:name="_Toc1402786717"/>
      <w:bookmarkStart w:id="500" w:name="_Toc723605119"/>
      <w:bookmarkStart w:id="501" w:name="_Toc1698420637"/>
      <w:bookmarkStart w:id="502" w:name="_Toc1628655124"/>
      <w:r>
        <w:rPr>
          <w:rFonts w:hint="default" w:ascii="Times New Roman" w:hAnsi="Times New Roman" w:eastAsia="宋体" w:cs="Times New Roman"/>
          <w:color w:val="auto"/>
          <w:sz w:val="24"/>
          <w:szCs w:val="24"/>
          <w:highlight w:val="none"/>
        </w:rPr>
        <w:t>一、引言</w:t>
      </w:r>
      <w:bookmarkEnd w:id="496"/>
      <w:bookmarkEnd w:id="497"/>
      <w:bookmarkEnd w:id="498"/>
      <w:bookmarkEnd w:id="499"/>
      <w:bookmarkEnd w:id="500"/>
      <w:bookmarkEnd w:id="501"/>
      <w:bookmarkEnd w:id="502"/>
    </w:p>
    <w:p w14:paraId="72006202">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rPr>
        <w:t>习近平总书记在二十大报告中强调，必须加快</w:t>
      </w:r>
      <w:r>
        <w:rPr>
          <w:rFonts w:hint="default" w:ascii="Times New Roman" w:hAnsi="Times New Roman" w:eastAsia="宋体" w:cs="Times New Roman"/>
          <w:color w:val="auto"/>
          <w:sz w:val="24"/>
          <w:szCs w:val="24"/>
          <w:highlight w:val="none"/>
          <w:lang w:eastAsia="zh-Hans"/>
        </w:rPr>
        <w:t>构建以国内大循环为主体</w:t>
      </w:r>
      <w:r>
        <w:rPr>
          <w:rFonts w:hint="default" w:ascii="Times New Roman" w:hAnsi="Times New Roman" w:eastAsia="宋体" w:cs="Times New Roman"/>
          <w:color w:val="auto"/>
          <w:sz w:val="24"/>
          <w:szCs w:val="24"/>
          <w:highlight w:val="none"/>
        </w:rPr>
        <w:t>、国内国际双循环相互促进的新发展格局。构建新发展格局是应对百年未有之大变局叠加</w:t>
      </w:r>
      <w:r>
        <w:rPr>
          <w:rFonts w:hint="default" w:ascii="Times New Roman" w:hAnsi="Times New Roman" w:eastAsia="宋体" w:cs="Times New Roman"/>
          <w:color w:val="auto"/>
          <w:sz w:val="24"/>
          <w:szCs w:val="24"/>
          <w:highlight w:val="none"/>
          <w:lang w:eastAsia="zh-Hans"/>
        </w:rPr>
        <w:t>新冠</w:t>
      </w:r>
      <w:r>
        <w:rPr>
          <w:rFonts w:hint="default" w:ascii="Times New Roman" w:hAnsi="Times New Roman" w:eastAsia="宋体" w:cs="Times New Roman"/>
          <w:color w:val="auto"/>
          <w:sz w:val="24"/>
          <w:szCs w:val="24"/>
          <w:highlight w:val="none"/>
        </w:rPr>
        <w:t>疫情给我国经济带来冲击的战略谋划。</w:t>
      </w:r>
      <w:r>
        <w:rPr>
          <w:rFonts w:hint="default" w:ascii="Times New Roman" w:hAnsi="Times New Roman" w:eastAsia="宋体" w:cs="Times New Roman"/>
          <w:color w:val="auto"/>
          <w:sz w:val="24"/>
          <w:szCs w:val="24"/>
          <w:highlight w:val="none"/>
          <w:shd w:val="clear" w:color="auto" w:fill="FFFFFF"/>
          <w:lang w:eastAsia="zh-Hans" w:bidi="ar"/>
        </w:rPr>
        <w:t>“构建新发展格局的关键在于经济循环的畅通无阻”，“如果</w:t>
      </w:r>
      <w:r>
        <w:rPr>
          <w:rFonts w:hint="default" w:ascii="Times New Roman" w:hAnsi="Times New Roman" w:eastAsia="宋体" w:cs="Times New Roman"/>
          <w:color w:val="auto"/>
          <w:sz w:val="24"/>
          <w:szCs w:val="24"/>
          <w:highlight w:val="none"/>
        </w:rPr>
        <w:t>经济循环过程中出现堵点、断点，循环就会受阻，在宏观上就会表现为增长速度下降……，在微观上就会表现为产能过剩</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rPr>
        <w:t>”</w:t>
      </w:r>
      <w:r>
        <w:rPr>
          <w:rStyle w:val="20"/>
          <w:rFonts w:hint="default" w:ascii="Times New Roman" w:hAnsi="Times New Roman" w:eastAsia="宋体" w:cs="Times New Roman"/>
          <w:color w:val="auto"/>
          <w:sz w:val="24"/>
          <w:szCs w:val="24"/>
          <w:highlight w:val="none"/>
          <w:lang w:eastAsia="zh-Hans"/>
        </w:rPr>
        <w:footnoteReference w:id="761"/>
      </w:r>
      <w:r>
        <w:rPr>
          <w:rFonts w:hint="default" w:ascii="Times New Roman" w:hAnsi="Times New Roman" w:eastAsia="宋体" w:cs="Times New Roman"/>
          <w:color w:val="auto"/>
          <w:sz w:val="24"/>
          <w:szCs w:val="24"/>
          <w:highlight w:val="none"/>
          <w:lang w:eastAsia="zh-Hans"/>
        </w:rPr>
        <w:t>运用马克思的社会再生产理论，以经济循环为切入点研究经济增长速度下降的原因，对于我国经济在惊涛骇浪中平稳前行具有重要意义。</w:t>
      </w:r>
    </w:p>
    <w:p w14:paraId="1FDB1C9E">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社会再生产理论在马克思经济理论体系中有着十分重要地位，是一座不断被深入挖掘的理论宝藏。根据马克思的社会再生产理论和资本积累理论，列宁提出了生产资料优先增长规</w:t>
      </w:r>
      <w:bookmarkStart w:id="503" w:name="_Hlk137324250"/>
      <w:r>
        <w:rPr>
          <w:rFonts w:hint="default" w:ascii="Times New Roman" w:hAnsi="Times New Roman" w:eastAsia="宋体" w:cs="Times New Roman"/>
          <w:color w:val="auto"/>
          <w:sz w:val="24"/>
          <w:szCs w:val="24"/>
          <w:highlight w:val="none"/>
        </w:rPr>
        <w:t>律。鲍特凯维兹开创性地将社会简单再生产和价值转形结合起来，不仅掀起了转形问题的大讨论，而且推动了一般利润率下降规律的研究。</w:t>
      </w:r>
      <w:r>
        <w:rPr>
          <w:rStyle w:val="20"/>
          <w:rFonts w:hint="default" w:ascii="Times New Roman" w:hAnsi="Times New Roman" w:eastAsia="宋体" w:cs="Times New Roman"/>
          <w:color w:val="auto"/>
          <w:sz w:val="24"/>
          <w:szCs w:val="24"/>
          <w:highlight w:val="none"/>
        </w:rPr>
        <w:footnoteReference w:id="762"/>
      </w:r>
      <w:r>
        <w:rPr>
          <w:rFonts w:hint="default" w:ascii="Times New Roman" w:hAnsi="Times New Roman" w:eastAsia="宋体" w:cs="Times New Roman"/>
          <w:color w:val="auto"/>
          <w:sz w:val="24"/>
          <w:szCs w:val="24"/>
          <w:highlight w:val="none"/>
        </w:rPr>
        <w:t>国内著名经济学家刘国光（1961）、董辅礽（1963）运用马克思的社会再生产理论分析了我国的社会主义再生产的相关问题。</w:t>
      </w:r>
    </w:p>
    <w:p w14:paraId="38E1F8D3">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社会再生产理论也是经济增长理论的基础。美国经济学家多马曾指出，“经济增长模型……至少可以追溯到马克思”</w:t>
      </w:r>
      <w:r>
        <w:rPr>
          <w:rStyle w:val="20"/>
          <w:rFonts w:hint="default" w:ascii="Times New Roman" w:hAnsi="Times New Roman" w:eastAsia="宋体" w:cs="Times New Roman"/>
          <w:color w:val="auto"/>
          <w:sz w:val="24"/>
          <w:szCs w:val="24"/>
          <w:highlight w:val="none"/>
        </w:rPr>
        <w:footnoteReference w:id="763"/>
      </w:r>
      <w:r>
        <w:rPr>
          <w:rFonts w:hint="default" w:ascii="Times New Roman" w:hAnsi="Times New Roman" w:eastAsia="宋体" w:cs="Times New Roman"/>
          <w:color w:val="auto"/>
          <w:sz w:val="24"/>
          <w:szCs w:val="24"/>
          <w:highlight w:val="none"/>
        </w:rPr>
        <w:t>，他和哈罗德的增长模型可由马克思的扩大再生产图式得出（曹曼丽，1984）。苏联经济学家费里德曼以社会再生产为出发点第一个构建了马克思主义经济增长模型（吴易风，2007）。</w:t>
      </w:r>
      <w:bookmarkStart w:id="504" w:name="_Hlk163418343"/>
      <w:r>
        <w:rPr>
          <w:rFonts w:hint="default" w:ascii="Times New Roman" w:hAnsi="Times New Roman" w:eastAsia="宋体" w:cs="Times New Roman"/>
          <w:color w:val="auto"/>
          <w:sz w:val="24"/>
          <w:szCs w:val="24"/>
          <w:highlight w:val="none"/>
        </w:rPr>
        <w:t>受哈罗德-多马增长理论和新剑桥增长理论影响，Harris（1972）、Roemer（1978）从社会再生产角度探讨了均衡增长的可能性、实现条件及稳定性。莱布曼（Laibman, 1981）基于一个马克思主义模拟模型考察了内生技术变革的两部类增长</w:t>
      </w:r>
      <w:bookmarkEnd w:id="504"/>
      <w:r>
        <w:rPr>
          <w:rFonts w:hint="default" w:ascii="Times New Roman" w:hAnsi="Times New Roman" w:eastAsia="宋体" w:cs="Times New Roman"/>
          <w:color w:val="auto"/>
          <w:sz w:val="24"/>
          <w:szCs w:val="24"/>
          <w:highlight w:val="none"/>
        </w:rPr>
        <w:t>。日本马克思经济学者借鉴拉姆齐-卡斯-库普曼斯增长模型对马克思再生产理论进行再研究，创立马克思主义最优增长理论（Onishi, 2011）。国内学者在社会再生产与经济增长领域做了发散性探索。一些学者根据马克思社会再生产理论推出了经济增长的一般表达式，并考察了技术进步等因素对经济增长的影响（石景云，1988；杨继国，2010；马艳等，2017），一些学者分别研究了均衡的社会扩大再生产的实现条件（朱殊洋，2008）、动态最优的社会扩大再生产（李海明和祝志勇，2012）、考虑两大部类利润率平均化的经济增长（冯金华，2017；王艺明和刘一鸣，2018）、中国经济的不平衡增长周期（齐昊等，2021）。</w:t>
      </w:r>
    </w:p>
    <w:p w14:paraId="501376B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以上研究丰富和发展了马克思经济增长理论，但大多是以社会再生产平衡条件得以满足为前提。在《资本论》第二卷，马克思研究社会再生产不是为了说明奥地利马克思主义者与合法马克思主义者所试图证明的资本主义具有无限扩大再生产的可能，恰恰相反，马克思提出社会再生产平衡条件是为了说明资本主义再生产失衡的必然性。在马克思看来，</w:t>
      </w:r>
      <w:r>
        <w:rPr>
          <w:rFonts w:hint="default" w:ascii="Times New Roman" w:hAnsi="Times New Roman" w:eastAsia="宋体" w:cs="Times New Roman"/>
          <w:color w:val="auto"/>
          <w:kern w:val="0"/>
          <w:sz w:val="24"/>
          <w:szCs w:val="24"/>
          <w:highlight w:val="none"/>
          <w:lang w:bidi="mn-Mong-CN"/>
        </w:rPr>
        <w:t>“在这种生产的自发形式中，平衡本身就是一种偶然现象”</w:t>
      </w:r>
      <w:r>
        <w:rPr>
          <w:rStyle w:val="20"/>
          <w:rFonts w:hint="default" w:ascii="Times New Roman" w:hAnsi="Times New Roman" w:eastAsia="宋体" w:cs="Times New Roman"/>
          <w:color w:val="auto"/>
          <w:kern w:val="0"/>
          <w:sz w:val="24"/>
          <w:szCs w:val="24"/>
          <w:highlight w:val="none"/>
          <w:lang w:bidi="mn-Mong-CN"/>
        </w:rPr>
        <w:footnoteReference w:id="764"/>
      </w:r>
      <w:r>
        <w:rPr>
          <w:rFonts w:hint="default" w:ascii="Times New Roman" w:hAnsi="Times New Roman" w:eastAsia="宋体" w:cs="Times New Roman"/>
          <w:color w:val="auto"/>
          <w:kern w:val="0"/>
          <w:sz w:val="24"/>
          <w:szCs w:val="24"/>
          <w:highlight w:val="none"/>
          <w:lang w:bidi="mn-Mong-CN"/>
        </w:rPr>
        <w:t>，</w:t>
      </w:r>
      <w:r>
        <w:rPr>
          <w:rFonts w:hint="default" w:ascii="Times New Roman" w:hAnsi="Times New Roman" w:eastAsia="宋体" w:cs="Times New Roman"/>
          <w:color w:val="auto"/>
          <w:sz w:val="24"/>
          <w:szCs w:val="24"/>
          <w:highlight w:val="none"/>
        </w:rPr>
        <w:t>“资本主义积累的事实排斥了IIc = I(v+m)这一可能性”</w:t>
      </w:r>
      <w:r>
        <w:rPr>
          <w:rStyle w:val="20"/>
          <w:rFonts w:hint="default" w:ascii="Times New Roman" w:hAnsi="Times New Roman" w:eastAsia="宋体" w:cs="Times New Roman"/>
          <w:color w:val="auto"/>
          <w:sz w:val="24"/>
          <w:szCs w:val="24"/>
          <w:highlight w:val="none"/>
        </w:rPr>
        <w:footnoteReference w:id="765"/>
      </w:r>
      <w:r>
        <w:rPr>
          <w:rFonts w:hint="default" w:ascii="Times New Roman" w:hAnsi="Times New Roman" w:eastAsia="宋体" w:cs="Times New Roman"/>
          <w:color w:val="auto"/>
          <w:sz w:val="24"/>
          <w:szCs w:val="24"/>
          <w:highlight w:val="none"/>
        </w:rPr>
        <w:t>。合法马克思主义者与奥地利马克思主义者割裂了马克思的资本积累理论与社会再生产理论之间的联系，忽视了劳动生产力提高型资本积累对两大部类比例失调的决定性作用。事实上，竞争使资本主义生产的内在规律作为外在的强制规律发生作用必然带来生产力提高型资本积累，生产力不可遏止发展和群众消费有限性之间的矛盾不可避免，这个矛盾首先表现</w:t>
      </w:r>
      <w:bookmarkEnd w:id="503"/>
      <w:r>
        <w:rPr>
          <w:rFonts w:hint="default" w:ascii="Times New Roman" w:hAnsi="Times New Roman" w:eastAsia="宋体" w:cs="Times New Roman"/>
          <w:color w:val="auto"/>
          <w:sz w:val="24"/>
          <w:szCs w:val="24"/>
          <w:highlight w:val="none"/>
        </w:rPr>
        <w:t>为生活资料的生产过剩，进一步转化为两大部类的生产过剩。生产过剩意味着平衡的扩大再生产类似于哈罗德-多马模型的刀锋式均衡增长，一些研究收入分配与经济增长的文献也涉及到了这一点（Dutt，1984；Lima，2012；Palley，2017）。</w:t>
      </w:r>
    </w:p>
    <w:p w14:paraId="15BE2FF0">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市场经济存在产能过剩的可能性</w:t>
      </w:r>
      <w:r>
        <w:rPr>
          <w:rStyle w:val="20"/>
          <w:rFonts w:hint="default" w:ascii="Times New Roman" w:hAnsi="Times New Roman" w:eastAsia="宋体" w:cs="Times New Roman"/>
          <w:color w:val="auto"/>
          <w:sz w:val="24"/>
          <w:szCs w:val="24"/>
          <w:highlight w:val="none"/>
        </w:rPr>
        <w:footnoteReference w:id="766"/>
      </w:r>
      <w:r>
        <w:rPr>
          <w:rFonts w:hint="default" w:ascii="Times New Roman" w:hAnsi="Times New Roman" w:eastAsia="宋体" w:cs="Times New Roman"/>
          <w:color w:val="auto"/>
          <w:sz w:val="24"/>
          <w:szCs w:val="24"/>
          <w:highlight w:val="none"/>
        </w:rPr>
        <w:t>，大量学者运用西方经济理论从企业行为、宏观或行业因素、政府干预三个方面，从企业</w:t>
      </w:r>
      <w:r>
        <w:rPr>
          <w:rFonts w:hint="default" w:ascii="Times New Roman" w:hAnsi="Times New Roman" w:eastAsia="宋体" w:cs="Times New Roman"/>
          <w:color w:val="auto"/>
          <w:kern w:val="0"/>
          <w:sz w:val="24"/>
          <w:szCs w:val="24"/>
          <w:highlight w:val="none"/>
          <w:lang w:bidi="mn-Mong-CN"/>
        </w:rPr>
        <w:t>进入、企业退出、企业竞争三种视角，解释了产能过剩的成因</w:t>
      </w:r>
      <w:r>
        <w:rPr>
          <w:rStyle w:val="20"/>
          <w:rFonts w:hint="default" w:ascii="Times New Roman" w:hAnsi="Times New Roman" w:eastAsia="宋体" w:cs="Times New Roman"/>
          <w:color w:val="auto"/>
          <w:kern w:val="0"/>
          <w:sz w:val="24"/>
          <w:szCs w:val="24"/>
          <w:highlight w:val="none"/>
          <w:lang w:bidi="mn-Mong-CN"/>
        </w:rPr>
        <w:footnoteReference w:id="767"/>
      </w:r>
      <w:r>
        <w:rPr>
          <w:rFonts w:hint="default" w:ascii="Times New Roman" w:hAnsi="Times New Roman" w:eastAsia="宋体" w:cs="Times New Roman"/>
          <w:color w:val="auto"/>
          <w:kern w:val="0"/>
          <w:sz w:val="24"/>
          <w:szCs w:val="24"/>
          <w:highlight w:val="none"/>
          <w:lang w:bidi="mn-Mong-CN"/>
        </w:rPr>
        <w:t>，有学者</w:t>
      </w:r>
      <w:r>
        <w:rPr>
          <w:rFonts w:hint="default" w:ascii="Times New Roman" w:hAnsi="Times New Roman" w:eastAsia="宋体" w:cs="Times New Roman"/>
          <w:color w:val="auto"/>
          <w:sz w:val="24"/>
          <w:szCs w:val="24"/>
          <w:highlight w:val="none"/>
        </w:rPr>
        <w:t>基于封闭经济的社会再生产理论进行了数理分析（吴义刚，2019；冯金华，2022）。2008年金融危机（其实质仍然是生产过剩）对国际市场需求、国际经济循环与世界经济增长产生深远影响，是我国从“两头在外”的发展格局向新发展格局演变的一个重要分水岭。学术界从不同视角对新发展格局进行了富有成效的研究。一些学者运用了马克思的社会再生产理论（如程恩富和张峰，2021；李帮喜等，2021；谢富胜和匡晓璐，2022），有学者虽然</w:t>
      </w:r>
      <w:r>
        <w:rPr>
          <w:rFonts w:hint="default" w:ascii="Times New Roman" w:hAnsi="Times New Roman" w:eastAsia="宋体" w:cs="Times New Roman"/>
          <w:color w:val="auto"/>
          <w:sz w:val="24"/>
          <w:szCs w:val="24"/>
          <w:highlight w:val="none"/>
          <w:lang w:eastAsia="zh-Hans"/>
        </w:rPr>
        <w:t>未分析构建新发展格局的经济增长效应，但</w:t>
      </w:r>
      <w:r>
        <w:rPr>
          <w:rFonts w:hint="default" w:ascii="Times New Roman" w:hAnsi="Times New Roman" w:eastAsia="宋体" w:cs="Times New Roman"/>
          <w:color w:val="auto"/>
          <w:sz w:val="24"/>
          <w:szCs w:val="24"/>
          <w:highlight w:val="none"/>
        </w:rPr>
        <w:t>考察了产能过剩与新发展格局的联系。有</w:t>
      </w:r>
      <w:r>
        <w:rPr>
          <w:rFonts w:hint="default" w:ascii="Times New Roman" w:hAnsi="Times New Roman" w:eastAsia="宋体" w:cs="Times New Roman"/>
          <w:color w:val="auto"/>
          <w:sz w:val="24"/>
          <w:szCs w:val="24"/>
          <w:highlight w:val="none"/>
          <w:lang w:eastAsia="zh-Hans"/>
        </w:rPr>
        <w:t>学者研究了“大循环”和“双循环”的增长贡献或增长效应（王欠欠和田野，2022；张帅等，2022），不过缺乏相应的经济理论基础。</w:t>
      </w:r>
    </w:p>
    <w:p w14:paraId="6AD1748C">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产能过剩、经济循环、经济增长具有内在联系，马克思社会再生产理论是分析三者关系的理论基础。本文在开放经济领域的社会再生产视角下研究经济循环以及产能过剩、循环受阻对经济增长的影响。本文余下内容的结构安排如下。第二部分构建开放经济领域的社会再生产公式，理解新发展格局。第三部分分析产能过剩的成因，分析产能过剩对经济循环从而经济增长的影响；第四部分，利用国内国际数据进行经验分析。最后，进一步讨论科技进步可能对经济循环和经济增长产生的影响。本文的研究有利于通过阐明资本主义市场经济产能过剩的原因来揭示“中国产能过剩论”的荒谬逻辑，有利于深入理解构建新发展格局、把握未来发展主动权的重要意义。</w:t>
      </w:r>
    </w:p>
    <w:p w14:paraId="3C41BB6A">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本文可能的贡献或创新有：第一，将马克思的社会再生产理论拓展到开放经济领域，构建国家-部类</w:t>
      </w:r>
      <m:oMath>
        <m:r>
          <m:rPr>
            <m:nor/>
            <m:sty m:val="p"/>
          </m:rPr>
          <w:rPr>
            <w:rFonts w:hint="default" w:ascii="Cambria Math" w:hAnsi="Cambria Math" w:eastAsia="宋体" w:cs="Times New Roman"/>
            <w:b w:val="0"/>
            <w:i w:val="0"/>
            <w:color w:val="auto"/>
            <w:sz w:val="24"/>
            <w:szCs w:val="24"/>
            <w:highlight w:val="none"/>
          </w:rPr>
          <m:t>×</m:t>
        </m:r>
      </m:oMath>
      <w:r>
        <w:rPr>
          <w:rFonts w:hint="default" w:ascii="Times New Roman" w:hAnsi="Times New Roman" w:eastAsia="宋体" w:cs="Times New Roman"/>
          <w:color w:val="auto"/>
          <w:sz w:val="24"/>
          <w:szCs w:val="24"/>
          <w:highlight w:val="none"/>
        </w:rPr>
        <w:t>国家-部类维度的社会再生产平衡公式；第二，根据拓展的社会再生产和货币流回规律阐释新发展格局的内涵；第三，根据资本积累理论和拓展的社会再生产公式，利用理论分析和数值模拟相结合的方法阐明资本主义市场经济产能过剩的成因；第四，构建纳入产能利用率的非均衡经济增长模型，结合经济循环分析产能过剩影响经济增长的机制。</w:t>
      </w:r>
    </w:p>
    <w:p w14:paraId="160E90A2">
      <w:pPr>
        <w:pStyle w:val="3"/>
        <w:pageBreakBefore w:val="0"/>
        <w:kinsoku/>
        <w:overflowPunct/>
        <w:topLinePunct w:val="0"/>
        <w:bidi w:val="0"/>
        <w:spacing w:before="0" w:beforeLines="0" w:after="0" w:afterLines="0" w:line="400" w:lineRule="exact"/>
        <w:ind w:firstLine="480" w:firstLineChars="200"/>
        <w:rPr>
          <w:rFonts w:hint="default" w:ascii="Times New Roman" w:hAnsi="Times New Roman" w:eastAsia="宋体" w:cs="Times New Roman"/>
          <w:color w:val="auto"/>
          <w:sz w:val="24"/>
          <w:szCs w:val="24"/>
          <w:highlight w:val="none"/>
        </w:rPr>
      </w:pPr>
      <w:bookmarkStart w:id="505" w:name="_Toc40031133"/>
      <w:bookmarkStart w:id="506" w:name="_Toc17606"/>
      <w:bookmarkStart w:id="507" w:name="_Toc1003010135"/>
      <w:bookmarkStart w:id="508" w:name="_Toc1272992900"/>
      <w:bookmarkStart w:id="509" w:name="_Toc1560875853"/>
      <w:bookmarkStart w:id="510" w:name="_Toc431342072"/>
      <w:bookmarkStart w:id="511" w:name="_Toc980104406"/>
      <w:r>
        <w:rPr>
          <w:rFonts w:hint="default" w:ascii="Times New Roman" w:hAnsi="Times New Roman" w:eastAsia="宋体" w:cs="Times New Roman"/>
          <w:color w:val="auto"/>
          <w:sz w:val="24"/>
          <w:szCs w:val="24"/>
          <w:highlight w:val="none"/>
        </w:rPr>
        <w:t>二、</w:t>
      </w:r>
      <w:bookmarkEnd w:id="505"/>
      <w:r>
        <w:rPr>
          <w:rFonts w:hint="default" w:ascii="Times New Roman" w:hAnsi="Times New Roman" w:eastAsia="宋体" w:cs="Times New Roman"/>
          <w:color w:val="auto"/>
          <w:sz w:val="24"/>
          <w:szCs w:val="24"/>
          <w:highlight w:val="none"/>
        </w:rPr>
        <w:t>拓展的社会再生产与新发展格局的内涵</w:t>
      </w:r>
      <w:bookmarkEnd w:id="506"/>
      <w:bookmarkEnd w:id="507"/>
      <w:bookmarkEnd w:id="508"/>
      <w:bookmarkEnd w:id="509"/>
      <w:bookmarkEnd w:id="510"/>
      <w:bookmarkEnd w:id="511"/>
    </w:p>
    <w:p w14:paraId="47CF59D6">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12" w:name="_Toc40031135"/>
      <w:r>
        <w:rPr>
          <w:rFonts w:hint="default" w:ascii="Times New Roman" w:hAnsi="Times New Roman" w:eastAsia="宋体" w:cs="Times New Roman"/>
          <w:color w:val="auto"/>
          <w:sz w:val="24"/>
          <w:szCs w:val="24"/>
          <w:highlight w:val="none"/>
        </w:rPr>
        <w:t>（一）关于将社会再生产拓展到开放经济领域的说明</w:t>
      </w:r>
    </w:p>
    <w:p w14:paraId="78B64F6A">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kern w:val="0"/>
          <w:sz w:val="24"/>
          <w:szCs w:val="24"/>
          <w:highlight w:val="none"/>
          <w:lang w:bidi="mn-Mong-CN"/>
        </w:rPr>
      </w:pPr>
      <w:r>
        <w:rPr>
          <w:rFonts w:hint="default" w:ascii="Times New Roman" w:hAnsi="Times New Roman" w:eastAsia="宋体" w:cs="Times New Roman"/>
          <w:color w:val="auto"/>
          <w:kern w:val="0"/>
          <w:sz w:val="24"/>
          <w:szCs w:val="24"/>
          <w:highlight w:val="none"/>
          <w:lang w:bidi="mn-Mong-CN"/>
        </w:rPr>
        <w:t>马克思将总生产分成生产资料生产和生活资料生产，通过考察总产品各个组成部分的价值补偿与实物补偿这一核心问题，简明地阐述了封闭经济条件下的社会再生产。在阐述第II部类内部的交换时，马克思进一步将生活资料分为奢侈消费资料和必要消费资料，资本家消费奢侈消费资料和质量高、价值高的必要消费资料，可称之为高端生活资料，工人消费普通的必要消费资料，可称之为低端生活资料。根据研究需要，我们将生活资料部类划分为，资产阶级依靠剩余价值消费的高端生活资料部类，与工人阶级为补偿自身劳动力价值而消费的低端生活资料部类。</w:t>
      </w:r>
    </w:p>
    <w:p w14:paraId="0198ACD5">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kern w:val="0"/>
          <w:sz w:val="24"/>
          <w:szCs w:val="24"/>
          <w:highlight w:val="none"/>
          <w:lang w:bidi="mn-Mong-CN"/>
        </w:rPr>
      </w:pPr>
      <w:r>
        <w:rPr>
          <w:rFonts w:hint="default" w:ascii="Times New Roman" w:hAnsi="Times New Roman" w:eastAsia="宋体" w:cs="Times New Roman"/>
          <w:color w:val="auto"/>
          <w:kern w:val="0"/>
          <w:sz w:val="24"/>
          <w:szCs w:val="24"/>
          <w:highlight w:val="none"/>
          <w:lang w:bidi="mn-Mong-CN"/>
        </w:rPr>
        <w:t>商品经济的基本矛盾决定价值补偿与物质补偿依靠各种交换实现，固定资本与流动资本补偿的差异使阐述再生产的各种交换变得困难，马克思在分析社会再生产的平衡条件时撇开了固定资本，之后用一节内容专门论述了考虑固定资本的两种补偿。由于固定资本的存在，两大生产体系之间的完全比例性会遭到破坏。在第II部类，部分固定资本以旧的实物形式继续执行生产资本的职能，这部分固定资本的价值以折旧基金的形式积累起来，此时，第I部类暂时出现生产过剩，这种生产过剩随这部分固定资本的实物补偿而得到解决。需要更新的固定资本与以旧的实物形式继续发挥作用的固定资本之间的比例发生变化会引起生产失衡。第一种情况：如果比例增加，那么第I部类出现生产不足。为了弥补不足，第I部类内不免发生不同生产部门之间的资本移动，而每一次这样的移动，都会引起暂时的紊乱。第二种情况：如果比例降低，那么I部类出现生产过剩。“第I部类必须压缩自己的生产，这对该部类的工人和资本家来说，意味着危机；或者第I部类提供的产品过剩，这对他们来说，又是危机。”</w:t>
      </w:r>
      <w:r>
        <w:rPr>
          <w:rStyle w:val="20"/>
          <w:rFonts w:hint="default" w:ascii="Times New Roman" w:hAnsi="Times New Roman" w:eastAsia="宋体" w:cs="Times New Roman"/>
          <w:color w:val="auto"/>
          <w:kern w:val="0"/>
          <w:sz w:val="24"/>
          <w:szCs w:val="24"/>
          <w:highlight w:val="none"/>
          <w:lang w:bidi="mn-Mong-CN"/>
        </w:rPr>
        <w:footnoteReference w:id="768"/>
      </w:r>
      <w:r>
        <w:rPr>
          <w:rFonts w:hint="default" w:ascii="Times New Roman" w:hAnsi="Times New Roman" w:eastAsia="宋体" w:cs="Times New Roman"/>
          <w:color w:val="auto"/>
          <w:kern w:val="0"/>
          <w:sz w:val="24"/>
          <w:szCs w:val="24"/>
          <w:highlight w:val="none"/>
          <w:lang w:bidi="mn-Mong-CN"/>
        </w:rPr>
        <w:t>下文将看到，生产失衡发生的主要原因在于，用于追加固定资本的资本化的剩余价值份额不断增加，固定资本相对于可变资本更快地增长，固定资本有机构成提高。分析产能过剩、测算固定资本利用率需要划分固定资本部类。赵峰等（2018），李帮喜等（2019）提出了包含固定资本的三大部类社会再生产模型，分析了我国经济增长的结构性特征。</w:t>
      </w:r>
    </w:p>
    <w:p w14:paraId="466DFE11">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kern w:val="0"/>
          <w:sz w:val="24"/>
          <w:szCs w:val="24"/>
          <w:highlight w:val="none"/>
          <w:lang w:bidi="mn-Mong-CN"/>
        </w:rPr>
        <w:t>新发展格局是以国内大循环为主体的国内国际双循环，双循环是开放经济条件下的社会再生产，在理解新发展格局中把握经济循环及畅通条件，需要将社会再生产拓展到开放经济领域。已有不少学者尝试在开放经济条件下对马克思社会再生产理论加以发展与应用（栾刚，1994；杜亚斌，1995；李翀，2006；徐春华，2017；刘晓音和宋树理，2017；乔晓楠等，2019），不过</w:t>
      </w:r>
      <w:r>
        <w:rPr>
          <w:rFonts w:hint="default" w:ascii="Times New Roman" w:hAnsi="Times New Roman" w:eastAsia="宋体" w:cs="Times New Roman"/>
          <w:color w:val="auto"/>
          <w:sz w:val="24"/>
          <w:szCs w:val="24"/>
          <w:highlight w:val="none"/>
        </w:rPr>
        <w:t>这些学者未</w:t>
      </w:r>
      <w:r>
        <w:rPr>
          <w:rFonts w:hint="default" w:ascii="Times New Roman" w:hAnsi="Times New Roman" w:eastAsia="宋体" w:cs="Times New Roman"/>
          <w:color w:val="auto"/>
          <w:sz w:val="24"/>
          <w:szCs w:val="24"/>
          <w:highlight w:val="none"/>
          <w:lang w:eastAsia="zh-Hans"/>
        </w:rPr>
        <w:t>将进出口进一步划分为生产资料进出口和生活资料进出口。</w:t>
      </w:r>
      <w:r>
        <w:rPr>
          <w:rFonts w:hint="default" w:ascii="Times New Roman" w:hAnsi="Times New Roman" w:eastAsia="宋体" w:cs="Times New Roman"/>
          <w:color w:val="auto"/>
          <w:sz w:val="24"/>
          <w:szCs w:val="24"/>
          <w:highlight w:val="none"/>
          <w:lang w:bidi="ar"/>
        </w:rPr>
        <w:t>下文将完成这一划分，进而构建</w:t>
      </w:r>
      <w:r>
        <w:rPr>
          <w:rFonts w:hint="default" w:ascii="Times New Roman" w:hAnsi="Times New Roman" w:eastAsia="宋体" w:cs="Times New Roman"/>
          <w:color w:val="auto"/>
          <w:sz w:val="24"/>
          <w:szCs w:val="24"/>
          <w:highlight w:val="none"/>
        </w:rPr>
        <w:t>国家-部类×国家-部类</w:t>
      </w:r>
      <w:r>
        <w:rPr>
          <w:rFonts w:hint="default" w:ascii="Times New Roman" w:hAnsi="Times New Roman" w:eastAsia="宋体" w:cs="Times New Roman"/>
          <w:color w:val="auto"/>
          <w:sz w:val="24"/>
          <w:szCs w:val="24"/>
          <w:highlight w:val="none"/>
          <w:lang w:bidi="ar"/>
        </w:rPr>
        <w:t>维度的社会再生产公式。</w:t>
      </w:r>
    </w:p>
    <w:p w14:paraId="5805EEA8">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（二）拓展的社会简单再生产</w:t>
      </w:r>
      <w:bookmarkEnd w:id="512"/>
    </w:p>
    <w:p w14:paraId="76A18E6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为了分析简便，在不影响分析结果的前提下，本文做出如下假定。第一，假定存在两个国家，每个国家拥有四个大部类，1部类生产属于固定资本的生产资料，2部类生产属于流动不变资本的生产资料，3部类生产供工人消费的低端生活资料，4部类生产供资本家消费的高端生活资料。第二，假定固定资本不存在精神折旧以及除使用之外其他因素所引起的物理折旧。第三，每一年每个部类都有需要实物更新的固定资本，假定其价值总额等于该年该部类所有部门损耗的固定资本的价值总和。</w:t>
      </w:r>
      <w:r>
        <w:rPr>
          <w:rStyle w:val="20"/>
          <w:rFonts w:hint="default" w:ascii="Times New Roman" w:hAnsi="Times New Roman" w:eastAsia="宋体" w:cs="Times New Roman"/>
          <w:color w:val="auto"/>
          <w:sz w:val="24"/>
          <w:szCs w:val="24"/>
          <w:highlight w:val="none"/>
        </w:rPr>
        <w:footnoteReference w:id="769"/>
      </w:r>
      <w:r>
        <w:rPr>
          <w:rFonts w:hint="default" w:ascii="Times New Roman" w:hAnsi="Times New Roman" w:eastAsia="宋体" w:cs="Times New Roman"/>
          <w:color w:val="auto"/>
          <w:sz w:val="24"/>
          <w:szCs w:val="24"/>
          <w:highlight w:val="none"/>
        </w:rPr>
        <w:t>第四，沿用马克思的假定：产品按照它们的价值交换，生产资本的组成部分没有发生价值革命。</w:t>
      </w:r>
    </w:p>
    <w:p w14:paraId="2EE0EA6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p国q部类的生产可表述如下：</w:t>
      </w:r>
    </w:p>
    <w:p w14:paraId="5BA43274">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i=1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p>
          <m:e>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j=1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p>
              <m:e>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ctrlPr>
                  <w:rPr>
                    <w:rFonts w:hint="default" w:ascii="Cambria Math" w:hAnsi="Cambria Math" w:eastAsia="宋体" w:cs="Times New Roman"/>
                    <w:i/>
                    <w:color w:val="auto"/>
                    <w:sz w:val="24"/>
                    <w:szCs w:val="24"/>
                    <w:highlight w:val="none"/>
                  </w:rPr>
                </m:ctrlPr>
              </m:e>
            </m:nary>
            <m:ctrlPr>
              <w:rPr>
                <w:rFonts w:hint="default" w:ascii="Cambria Math" w:hAnsi="Cambria Math" w:eastAsia="宋体" w:cs="Times New Roman"/>
                <w:i/>
                <w:color w:val="auto"/>
                <w:sz w:val="24"/>
                <w:szCs w:val="24"/>
                <w:highlight w:val="none"/>
              </w:rPr>
            </m:ctrlPr>
          </m:e>
        </m:nary>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(1+</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（1）</w:t>
      </w:r>
    </w:p>
    <w:p w14:paraId="3471336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其中，p=1，2，q=1，2，3，4，</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表示p国q部类在生产过程中具体劳动所转移的i国j部类产品的价值，</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表示p国q部类抽象劳动凝结形成的价值中用于补偿劳动力价值的部分，</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表示p国q部类抽象劳动凝结形成的价值中归资本家所有的剩余价值，</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表示p国q部类的剩余价值率，</w:t>
      </w:r>
      <m:oMath>
        <m:sSubSup>
          <m:sSubSupPr>
            <m:ctrlPr>
              <w:rPr>
                <w:rFonts w:hint="default" w:ascii="Cambria Math" w:hAnsi="Cambria Math" w:eastAsia="宋体" w:cs="Times New Roman"/>
                <w:iCs/>
                <w:color w:val="auto"/>
                <w:sz w:val="24"/>
                <w:szCs w:val="24"/>
                <w:highlight w:val="none"/>
              </w:rPr>
            </m:ctrlPr>
          </m:sSubSupPr>
          <m:e>
            <m:r>
              <m:rPr>
                <m:nor/>
              </m:rPr>
              <w:rPr>
                <w:rFonts w:hint="default" w:ascii="Cambria Math" w:hAnsi="Cambria Math" w:eastAsia="宋体" w:cs="Times New Roman"/>
                <w:i/>
                <w:color w:val="auto"/>
                <w:sz w:val="24"/>
                <w:szCs w:val="24"/>
                <w:highlight w:val="none"/>
              </w:rPr>
              <m:t>y</m:t>
            </m:r>
            <m:ctrlPr>
              <w:rPr>
                <w:rFonts w:hint="default" w:ascii="Cambria Math" w:hAnsi="Cambria Math" w:eastAsia="宋体" w:cs="Times New Roman"/>
                <w:iCs/>
                <w:color w:val="auto"/>
                <w:sz w:val="24"/>
                <w:szCs w:val="24"/>
                <w:highlight w:val="none"/>
              </w:rPr>
            </m:ctrlPr>
          </m:e>
          <m:sub>
            <m:r>
              <m:rPr>
                <m:nor/>
                <m:sty m:val="p"/>
              </m:rPr>
              <w:rPr>
                <w:rFonts w:hint="default" w:ascii="Cambria Math" w:hAnsi="Cambria Math" w:eastAsia="宋体" w:cs="Times New Roman"/>
                <w:b w:val="0"/>
                <w:i w:val="0"/>
                <w:iCs/>
                <w:color w:val="auto"/>
                <w:sz w:val="24"/>
                <w:szCs w:val="24"/>
                <w:highlight w:val="none"/>
              </w:rPr>
              <m:t>pq</m:t>
            </m:r>
            <m:ctrlPr>
              <w:rPr>
                <w:rFonts w:hint="default" w:ascii="Cambria Math" w:hAnsi="Cambria Math" w:eastAsia="宋体" w:cs="Times New Roman"/>
                <w:iCs/>
                <w:color w:val="auto"/>
                <w:sz w:val="24"/>
                <w:szCs w:val="24"/>
                <w:highlight w:val="none"/>
              </w:rPr>
            </m:ctrlPr>
          </m:sub>
          <m:sup>
            <m:r>
              <m:rPr>
                <m:nor/>
                <m:sty m:val="p"/>
              </m:rPr>
              <w:rPr>
                <w:rFonts w:hint="default" w:ascii="Cambria Math" w:hAnsi="Cambria Math" w:eastAsia="宋体" w:cs="Times New Roman"/>
                <w:b w:val="0"/>
                <w:i w:val="0"/>
                <w:iCs/>
                <w:color w:val="auto"/>
                <w:sz w:val="24"/>
                <w:szCs w:val="24"/>
                <w:highlight w:val="none"/>
              </w:rPr>
              <m:t>s</m:t>
            </m:r>
            <m:ctrlPr>
              <w:rPr>
                <w:rFonts w:hint="default" w:ascii="Cambria Math" w:hAnsi="Cambria Math" w:eastAsia="宋体" w:cs="Times New Roman"/>
                <w:iCs/>
                <w:color w:val="auto"/>
                <w:sz w:val="24"/>
                <w:szCs w:val="24"/>
                <w:highlight w:val="none"/>
              </w:rPr>
            </m:ctrlPr>
          </m:sup>
        </m:sSubSup>
      </m:oMath>
      <w:r>
        <w:rPr>
          <w:rFonts w:hint="default" w:ascii="Times New Roman" w:hAnsi="Times New Roman" w:eastAsia="宋体" w:cs="Times New Roman"/>
          <w:color w:val="auto"/>
          <w:sz w:val="24"/>
          <w:szCs w:val="24"/>
          <w:highlight w:val="none"/>
        </w:rPr>
        <w:t>表示p国q部类生产的总产品价值。</w:t>
      </w:r>
    </w:p>
    <w:p w14:paraId="75CDD61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p国q部类的具体劳动转移的固定资本价值可表示如下：</w:t>
      </w:r>
    </w:p>
    <w:p w14:paraId="661A8F9E">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δ</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（2）</w:t>
      </w:r>
    </w:p>
    <w:p w14:paraId="0BE00E2B">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其中，i=1，2，</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表示p国q部类投入的i国1部类所生产的固定资本，</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表示p国q部类对</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的利用程度即固定资本利用率，</w:t>
      </w:r>
      <w:r>
        <w:rPr>
          <w:rFonts w:hint="default" w:ascii="Times New Roman" w:hAnsi="Times New Roman" w:eastAsia="宋体" w:cs="Times New Roman"/>
          <w:i/>
          <w:iCs/>
          <w:color w:val="auto"/>
          <w:sz w:val="24"/>
          <w:szCs w:val="24"/>
          <w:highlight w:val="none"/>
        </w:rPr>
        <w:t>δ</w:t>
      </w:r>
      <w:r>
        <w:rPr>
          <w:rFonts w:hint="default" w:ascii="Times New Roman" w:hAnsi="Times New Roman" w:eastAsia="宋体" w:cs="Times New Roman"/>
          <w:color w:val="auto"/>
          <w:sz w:val="24"/>
          <w:szCs w:val="24"/>
          <w:highlight w:val="none"/>
          <w:vertAlign w:val="subscript"/>
        </w:rPr>
        <w:t>i1pq</w:t>
      </w:r>
      <w:r>
        <w:rPr>
          <w:rFonts w:hint="default" w:ascii="Times New Roman" w:hAnsi="Times New Roman" w:eastAsia="宋体" w:cs="Times New Roman"/>
          <w:color w:val="auto"/>
          <w:sz w:val="24"/>
          <w:szCs w:val="24"/>
          <w:highlight w:val="none"/>
        </w:rPr>
        <w:t>表示p国q部类所利用的</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部分的折旧率，</w:t>
      </w:r>
      <m:oMath>
        <m:sSub>
          <m:sSubPr>
            <m:ctrlPr>
              <w:rPr>
                <w:rFonts w:hint="default" w:ascii="Cambria Math" w:hAnsi="Cambria Math" w:eastAsia="宋体" w:cs="Times New Roman"/>
                <w:i/>
                <w:color w:val="auto"/>
                <w:sz w:val="24"/>
                <w:szCs w:val="24"/>
                <w:highlight w:val="none"/>
              </w:rPr>
            </m:ctrlPr>
          </m:sSubPr>
          <m:e>
            <m:r>
              <m:rPr/>
              <w:rPr>
                <w:rFonts w:hint="default" w:ascii="Cambria Math" w:hAnsi="Cambria Math" w:eastAsia="宋体" w:cs="Times New Roman"/>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表示p国q部类生产单位产品价值消耗的i国1部类所生产的固定资本。</w:t>
      </w:r>
    </w:p>
    <w:p w14:paraId="2D8C4CC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p国q部类的具体劳动转移的流动不变资本价值可表示如下：</w:t>
      </w:r>
    </w:p>
    <w:p w14:paraId="5D1BAA83">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i2pq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i2pq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L</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i2pq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（3）</w:t>
      </w:r>
    </w:p>
    <w:p w14:paraId="3C6B404B">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其中，上标L代表流动不变资本，</w:t>
      </w:r>
      <m:oMath>
        <m:sSub>
          <m:sSubPr>
            <m:ctrlPr>
              <w:rPr>
                <w:rFonts w:hint="default" w:ascii="Cambria Math" w:hAnsi="Cambria Math" w:eastAsia="宋体" w:cs="Times New Roman"/>
                <w:i/>
                <w:color w:val="auto"/>
                <w:sz w:val="24"/>
                <w:szCs w:val="24"/>
                <w:highlight w:val="none"/>
              </w:rPr>
            </m:ctrlPr>
          </m:sSubPr>
          <m:e>
            <m:r>
              <m:rPr/>
              <w:rPr>
                <w:rFonts w:hint="default" w:ascii="Cambria Math" w:hAnsi="Cambria Math" w:eastAsia="宋体" w:cs="Times New Roman"/>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i2pq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表示p国q部类生产单位产品价值消耗的i国2部类所生产的流动不变资本。</w:t>
      </w:r>
    </w:p>
    <w:p w14:paraId="340ADB04">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p国q部类的工人为再生产劳动力形成对1国和2国的低端生活资料的需求，因此</w:t>
      </w:r>
    </w:p>
    <w:p w14:paraId="225EA32A">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13pq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23pq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p>
          <m:e>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i3pq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nary>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（4）</w:t>
      </w:r>
    </w:p>
    <w:p w14:paraId="1A31081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w:t>
      </w:r>
      <m:oMath>
        <m:sSub>
          <m:sSubPr>
            <m:ctrlPr>
              <w:rPr>
                <w:rFonts w:hint="default" w:ascii="Cambria Math" w:hAnsi="Cambria Math" w:eastAsia="宋体" w:cs="Times New Roman"/>
                <w:i/>
                <w:color w:val="auto"/>
                <w:sz w:val="24"/>
                <w:szCs w:val="24"/>
                <w:highlight w:val="none"/>
              </w:rPr>
            </m:ctrlPr>
          </m:sSubPr>
          <m:e>
            <m:r>
              <m:rPr/>
              <w:rPr>
                <w:rFonts w:hint="default" w:ascii="Cambria Math" w:hAnsi="Cambria Math" w:eastAsia="宋体" w:cs="Times New Roman"/>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i3pq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表示p国q部类的劳动力再生产所消耗的i国3部类生产的低端生活资料的价值占p国q部类总产品价值的比例。</w:t>
      </w:r>
    </w:p>
    <w:p w14:paraId="28F3925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p国q部类的资本家将实现的剩余价值全部用于购买1国和2国的高端生活资料，因此</w:t>
      </w:r>
    </w:p>
    <w:p w14:paraId="02408BB3">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θ</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14pq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24pq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p>
          <m:e>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nary>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（5）</w:t>
      </w:r>
    </w:p>
    <w:p w14:paraId="793BA7B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w:t>
      </w:r>
      <w:r>
        <w:rPr>
          <w:rFonts w:hint="default" w:ascii="Times New Roman" w:hAnsi="Times New Roman" w:eastAsia="宋体" w:cs="Times New Roman"/>
          <w:i/>
          <w:iCs/>
          <w:color w:val="auto"/>
          <w:sz w:val="24"/>
          <w:szCs w:val="24"/>
          <w:highlight w:val="none"/>
        </w:rPr>
        <w:t>θ</w:t>
      </w:r>
      <w:r>
        <w:rPr>
          <w:rFonts w:hint="default" w:ascii="Times New Roman" w:hAnsi="Times New Roman" w:eastAsia="宋体" w:cs="Times New Roman"/>
          <w:color w:val="auto"/>
          <w:sz w:val="24"/>
          <w:szCs w:val="24"/>
          <w:highlight w:val="none"/>
          <w:vertAlign w:val="subscript"/>
        </w:rPr>
        <w:t>pq</w:t>
      </w:r>
      <w:r>
        <w:rPr>
          <w:rFonts w:hint="default" w:ascii="Times New Roman" w:hAnsi="Times New Roman" w:eastAsia="宋体" w:cs="Times New Roman"/>
          <w:color w:val="auto"/>
          <w:sz w:val="24"/>
          <w:szCs w:val="24"/>
          <w:highlight w:val="none"/>
        </w:rPr>
        <w:t>表示p国q部类的剩余价值实现率，</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i/>
                <w:color w:val="auto"/>
                <w:sz w:val="24"/>
                <w:szCs w:val="24"/>
                <w:highlight w:val="none"/>
              </w:rPr>
            </m:ctrlPr>
          </m:sub>
        </m:sSub>
      </m:oMath>
      <w:r>
        <w:rPr>
          <w:rFonts w:hint="default" w:ascii="Times New Roman" w:hAnsi="Times New Roman" w:eastAsia="宋体" w:cs="Times New Roman"/>
          <w:color w:val="auto"/>
          <w:sz w:val="24"/>
          <w:szCs w:val="24"/>
          <w:highlight w:val="none"/>
        </w:rPr>
        <w:t>表示p国q部类的资本家对i国4部类所生产的高端生活资料的需求占p国q部类总产品价值的比例。</w:t>
      </w:r>
    </w:p>
    <w:p w14:paraId="2636483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在价值补偿与实物补偿中两国四部类对i国j部类的总需求可由下式表示：</w:t>
      </w:r>
    </w:p>
    <w:p w14:paraId="0C50C54E">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d>
          <m:dPr>
            <m:ctrlPr>
              <w:rPr>
                <w:rFonts w:hint="default" w:ascii="Cambria Math" w:hAnsi="Cambria Math" w:eastAsia="宋体" w:cs="Times New Roman"/>
                <w:i/>
                <w:color w:val="auto"/>
                <w:sz w:val="24"/>
                <w:szCs w:val="24"/>
                <w:highlight w:val="none"/>
              </w:rPr>
            </m:ctrlPr>
          </m:dPr>
          <m:e>
            <m:eqArr>
              <m:eqArrPr>
                <m:ctrlPr>
                  <w:rPr>
                    <w:rFonts w:hint="default" w:ascii="Cambria Math" w:hAnsi="Cambria Math" w:eastAsia="宋体" w:cs="Times New Roman"/>
                    <w:i/>
                    <w:color w:val="auto"/>
                    <w:sz w:val="24"/>
                    <w:szCs w:val="24"/>
                    <w:highlight w:val="none"/>
                  </w:rPr>
                </m:ctrlPr>
              </m:eqArrPr>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1j2q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2j2q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qArr>
            <m:ctrlPr>
              <w:rPr>
                <w:rFonts w:hint="default" w:ascii="Cambria Math" w:hAnsi="Cambria Math" w:eastAsia="宋体" w:cs="Times New Roman"/>
                <w:i/>
                <w:color w:val="auto"/>
                <w:sz w:val="24"/>
                <w:szCs w:val="24"/>
                <w:highlight w:val="none"/>
              </w:rPr>
            </m:ctrlPr>
          </m:e>
        </m:d>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d>
          <m:dPr>
            <m:ctrlPr>
              <w:rPr>
                <w:rFonts w:hint="default" w:ascii="Cambria Math" w:hAnsi="Cambria Math" w:eastAsia="宋体" w:cs="Times New Roman"/>
                <w:i/>
                <w:color w:val="auto"/>
                <w:sz w:val="24"/>
                <w:szCs w:val="24"/>
                <w:highlight w:val="none"/>
              </w:rPr>
            </m:ctrlPr>
          </m:dPr>
          <m:e>
            <m:eqArr>
              <m:eqArrPr>
                <m:ctrlPr>
                  <w:rPr>
                    <w:rFonts w:hint="default" w:ascii="Cambria Math" w:hAnsi="Cambria Math" w:eastAsia="宋体" w:cs="Times New Roman"/>
                    <w:i/>
                    <w:color w:val="auto"/>
                    <w:sz w:val="24"/>
                    <w:szCs w:val="24"/>
                    <w:highlight w:val="none"/>
                  </w:rPr>
                </m:ctrlPr>
              </m:eqArrPr>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qArr>
            <m:ctrlPr>
              <w:rPr>
                <w:rFonts w:hint="default" w:ascii="Cambria Math" w:hAnsi="Cambria Math" w:eastAsia="宋体" w:cs="Times New Roman"/>
                <w:i/>
                <w:color w:val="auto"/>
                <w:sz w:val="24"/>
                <w:szCs w:val="24"/>
                <w:highlight w:val="none"/>
              </w:rPr>
            </m:ctrlPr>
          </m:e>
        </m:d>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（6）</w:t>
      </w:r>
    </w:p>
    <w:p w14:paraId="4D209C06">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其中，j=1，2，3，4，</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m:t>
        </m:r>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 xml:space="preserve"> 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p"/>
              </m:rPr>
              <w:rPr>
                <w:rFonts w:hint="default" w:ascii="Cambria Math" w:hAnsi="Cambria Math" w:eastAsia="宋体" w:cs="Times New Roman"/>
                <w:b w:val="0"/>
                <w:i w:val="0"/>
                <w:color w:val="auto"/>
                <w:sz w:val="24"/>
                <w:szCs w:val="24"/>
                <w:highlight w:val="none"/>
              </w:rPr>
              <m:t xml:space="preserve"> </m:t>
            </m:r>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i3</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 xml:space="preserve">, </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oMath>
      <w:r>
        <w:rPr>
          <w:rFonts w:hint="default" w:ascii="Times New Roman" w:hAnsi="Times New Roman" w:eastAsia="宋体" w:cs="Times New Roman"/>
          <w:color w:val="auto"/>
          <w:sz w:val="24"/>
          <w:szCs w:val="24"/>
          <w:highlight w:val="none"/>
        </w:rPr>
        <w:t>，</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m:t>
        </m:r>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p"/>
              </m:rPr>
              <w:rPr>
                <w:rFonts w:hint="default" w:ascii="Cambria Math" w:hAnsi="Cambria Math" w:eastAsia="宋体" w:cs="Times New Roman"/>
                <w:b w:val="0"/>
                <w:i w:val="0"/>
                <w:color w:val="auto"/>
                <w:sz w:val="24"/>
                <w:szCs w:val="24"/>
                <w:highlight w:val="none"/>
              </w:rPr>
              <m:t xml:space="preserve"> </m:t>
            </m:r>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p"/>
              </m:rPr>
              <w:rPr>
                <w:rFonts w:hint="default" w:ascii="Cambria Math" w:hAnsi="Cambria Math" w:eastAsia="宋体" w:cs="Times New Roman"/>
                <w:b w:val="0"/>
                <w:i w:val="0"/>
                <w:color w:val="auto"/>
                <w:sz w:val="24"/>
                <w:szCs w:val="24"/>
                <w:highlight w:val="none"/>
              </w:rPr>
              <m:t xml:space="preserve"> </m:t>
            </m:r>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p3</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p"/>
              </m:rPr>
              <w:rPr>
                <w:rFonts w:hint="default" w:ascii="Cambria Math" w:hAnsi="Cambria Math" w:eastAsia="宋体" w:cs="Times New Roman"/>
                <w:b w:val="0"/>
                <w:i w:val="0"/>
                <w:color w:val="auto"/>
                <w:sz w:val="24"/>
                <w:szCs w:val="24"/>
                <w:highlight w:val="none"/>
              </w:rPr>
              <m:t xml:space="preserve"> </m:t>
            </m:r>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p4</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oMath>
      <w:bookmarkStart w:id="513" w:name="_Hlk91273093"/>
      <w:r>
        <w:rPr>
          <w:rFonts w:hint="default" w:ascii="Times New Roman" w:hAnsi="Times New Roman" w:eastAsia="宋体" w:cs="Times New Roman"/>
          <w:color w:val="auto"/>
          <w:sz w:val="24"/>
          <w:szCs w:val="24"/>
          <w:highlight w:val="none"/>
        </w:rPr>
        <w:t>，</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w:bookmarkEnd w:id="513"/>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与</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表示国内需求，</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表示2国对1国的进口，</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表示1国对2国的进口。开放经济领域的简单再生产平衡的必要条件为，p国q部类生产的总产品价值等于两国四部类对p国q部类的总需求，即</w:t>
      </w:r>
    </w:p>
    <w:p w14:paraId="0C6A90C6">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d>
          <m:dPr>
            <m:ctrlPr>
              <w:rPr>
                <w:rFonts w:hint="default" w:ascii="Cambria Math" w:hAnsi="Cambria Math" w:eastAsia="宋体" w:cs="Times New Roman"/>
                <w:i/>
                <w:color w:val="auto"/>
                <w:sz w:val="24"/>
                <w:szCs w:val="24"/>
                <w:highlight w:val="none"/>
              </w:rPr>
            </m:ctrlPr>
          </m:dPr>
          <m:e>
            <m:eqArr>
              <m:eqArrPr>
                <m:ctrlPr>
                  <w:rPr>
                    <w:rFonts w:hint="default" w:ascii="Cambria Math" w:hAnsi="Cambria Math" w:eastAsia="宋体" w:cs="Times New Roman"/>
                    <w:i/>
                    <w:color w:val="auto"/>
                    <w:sz w:val="24"/>
                    <w:szCs w:val="24"/>
                    <w:highlight w:val="none"/>
                  </w:rPr>
                </m:ctrlPr>
              </m:eqArrPr>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qArr>
            <m:ctrlPr>
              <w:rPr>
                <w:rFonts w:hint="default" w:ascii="Cambria Math" w:hAnsi="Cambria Math" w:eastAsia="宋体" w:cs="Times New Roman"/>
                <w:i/>
                <w:color w:val="auto"/>
                <w:sz w:val="24"/>
                <w:szCs w:val="24"/>
                <w:highlight w:val="none"/>
              </w:rPr>
            </m:ctrlPr>
          </m:e>
        </m:d>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（7）</w:t>
      </w:r>
    </w:p>
    <w:p w14:paraId="01B43213">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（7）式为开放经济领域的简单再生产平衡公式。本文在李翀（2006）、乔晓楠等（2019）研究的基础上，对进口与出口做了进一步分解，将再生产平衡公式从2部类×2部类维度扩展为</w:t>
      </w:r>
      <w:r>
        <w:rPr>
          <w:rFonts w:hint="default" w:ascii="Times New Roman" w:hAnsi="Times New Roman" w:eastAsia="宋体" w:cs="Times New Roman"/>
          <w:color w:val="auto"/>
          <w:sz w:val="24"/>
          <w:szCs w:val="24"/>
          <w:highlight w:val="none"/>
          <w:lang w:bidi="ar"/>
        </w:rPr>
        <w:t>2国-4部类×2国-4部类</w:t>
      </w:r>
      <w:r>
        <w:rPr>
          <w:rFonts w:hint="default" w:ascii="Times New Roman" w:hAnsi="Times New Roman" w:eastAsia="宋体" w:cs="Times New Roman"/>
          <w:color w:val="auto"/>
          <w:sz w:val="24"/>
          <w:szCs w:val="24"/>
          <w:highlight w:val="none"/>
        </w:rPr>
        <w:t>维度。这里用投入产出矩阵表示两个国家四大部类在再生产过程中发生的交错关系，例如：从行（2国-4部类的产出）来看，某国某部类的生活资料既用于该国四部类的个人消费，也用于他国四部类的个人消费；从列（2国-4部类的投入）来看，某国某部类的生产，既消耗该国相关部类的生产资料，又消耗他国相关部类的生产资料。根据Perron-Frobenius定理，用矩阵乘积表示的</w:t>
      </w:r>
      <w:r>
        <w:rPr>
          <w:rFonts w:hint="default" w:ascii="Times New Roman" w:hAnsi="Times New Roman" w:eastAsia="宋体" w:cs="Times New Roman"/>
          <w:color w:val="auto"/>
          <w:sz w:val="24"/>
          <w:szCs w:val="24"/>
          <w:highlight w:val="none"/>
          <w:lang w:bidi="ar"/>
        </w:rPr>
        <w:t>2国-4部类×2国-4部类</w:t>
      </w:r>
      <w:r>
        <w:rPr>
          <w:rFonts w:hint="default" w:ascii="Times New Roman" w:hAnsi="Times New Roman" w:eastAsia="宋体" w:cs="Times New Roman"/>
          <w:color w:val="auto"/>
          <w:sz w:val="24"/>
          <w:szCs w:val="24"/>
          <w:highlight w:val="none"/>
        </w:rPr>
        <w:t>维度的简单再生产公式（7）成立要求矩阵</w:t>
      </w:r>
      <w:r>
        <w:rPr>
          <w:rFonts w:hint="default" w:ascii="Times New Roman" w:hAnsi="Times New Roman" w:eastAsia="宋体" w:cs="Times New Roman"/>
          <w:b/>
          <w:bCs/>
          <w:i/>
          <w:iCs/>
          <w:color w:val="auto"/>
          <w:sz w:val="24"/>
          <w:szCs w:val="24"/>
          <w:highlight w:val="none"/>
        </w:rPr>
        <w:t>A</w:t>
      </w:r>
      <w:r>
        <w:rPr>
          <w:rFonts w:hint="default" w:ascii="Times New Roman" w:hAnsi="Times New Roman" w:eastAsia="宋体" w:cs="Times New Roman"/>
          <w:color w:val="auto"/>
          <w:sz w:val="24"/>
          <w:szCs w:val="24"/>
          <w:highlight w:val="none"/>
        </w:rPr>
        <w:t>的Perron-Frobenius根</w:t>
      </w:r>
      <w:r>
        <w:rPr>
          <w:rFonts w:hint="default" w:ascii="Times New Roman" w:hAnsi="Times New Roman" w:eastAsia="宋体" w:cs="Times New Roman"/>
          <w:i/>
          <w:iCs/>
          <w:color w:val="auto"/>
          <w:sz w:val="24"/>
          <w:szCs w:val="24"/>
          <w:highlight w:val="none"/>
        </w:rPr>
        <w:t>λ</w:t>
      </w:r>
      <w:r>
        <w:rPr>
          <w:rFonts w:hint="default" w:ascii="Times New Roman" w:hAnsi="Times New Roman" w:eastAsia="宋体" w:cs="Times New Roman"/>
          <w:color w:val="auto"/>
          <w:sz w:val="24"/>
          <w:szCs w:val="24"/>
          <w:highlight w:val="none"/>
        </w:rPr>
        <w:t>等于1，</w:t>
      </w:r>
      <w:r>
        <w:rPr>
          <w:rFonts w:hint="default" w:ascii="Times New Roman" w:hAnsi="Times New Roman" w:eastAsia="宋体" w:cs="Times New Roman"/>
          <w:b/>
          <w:bCs/>
          <w:i/>
          <w:iCs/>
          <w:color w:val="auto"/>
          <w:sz w:val="24"/>
          <w:szCs w:val="24"/>
          <w:highlight w:val="none"/>
        </w:rPr>
        <w:t>y</w:t>
      </w:r>
      <w:r>
        <w:rPr>
          <w:rFonts w:hint="default" w:ascii="Times New Roman" w:hAnsi="Times New Roman" w:eastAsia="宋体" w:cs="Times New Roman"/>
          <w:color w:val="auto"/>
          <w:sz w:val="24"/>
          <w:szCs w:val="24"/>
          <w:highlight w:val="none"/>
          <w:vertAlign w:val="superscript"/>
        </w:rPr>
        <w:t>s</w:t>
      </w:r>
      <w:r>
        <w:rPr>
          <w:rFonts w:hint="default" w:ascii="Times New Roman" w:hAnsi="Times New Roman" w:eastAsia="宋体" w:cs="Times New Roman"/>
          <w:color w:val="auto"/>
          <w:sz w:val="24"/>
          <w:szCs w:val="24"/>
          <w:highlight w:val="none"/>
        </w:rPr>
        <w:t>为</w:t>
      </w:r>
      <w:r>
        <w:rPr>
          <w:rFonts w:hint="default" w:ascii="Times New Roman" w:hAnsi="Times New Roman" w:eastAsia="宋体" w:cs="Times New Roman"/>
          <w:b/>
          <w:bCs/>
          <w:i/>
          <w:iCs/>
          <w:color w:val="auto"/>
          <w:sz w:val="24"/>
          <w:szCs w:val="24"/>
          <w:highlight w:val="none"/>
        </w:rPr>
        <w:t>A</w:t>
      </w:r>
      <w:r>
        <w:rPr>
          <w:rFonts w:hint="default" w:ascii="Times New Roman" w:hAnsi="Times New Roman" w:eastAsia="宋体" w:cs="Times New Roman"/>
          <w:color w:val="auto"/>
          <w:sz w:val="24"/>
          <w:szCs w:val="24"/>
          <w:highlight w:val="none"/>
        </w:rPr>
        <w:t>的Perron-Frobenius根所对应的正特征向量。</w:t>
      </w:r>
    </w:p>
    <w:p w14:paraId="78F1BEC4">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14" w:name="_Toc40031136"/>
      <w:r>
        <w:rPr>
          <w:rFonts w:hint="default" w:ascii="Times New Roman" w:hAnsi="Times New Roman" w:eastAsia="宋体" w:cs="Times New Roman"/>
          <w:color w:val="auto"/>
          <w:sz w:val="24"/>
          <w:szCs w:val="24"/>
          <w:highlight w:val="none"/>
        </w:rPr>
        <w:t>（三）拓展的社会扩大再生产</w:t>
      </w:r>
      <w:bookmarkEnd w:id="514"/>
    </w:p>
    <w:p w14:paraId="6D306A6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对于社会扩大再生产，两大部类实现的剩余价值，一部分用于资本家消费，一部分用于资本积累即追加不变资本和可变资本。p国q部类的资本积累可由下式表述</w:t>
      </w:r>
    </w:p>
    <w:p w14:paraId="6787C756">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θ</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=Δ</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+Δ</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L</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+Δ</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i=1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p>
          <m:e>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j=1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3</m:t>
                </m:r>
                <m:ctrlPr>
                  <w:rPr>
                    <w:rFonts w:hint="default" w:ascii="Cambria Math" w:hAnsi="Cambria Math" w:eastAsia="宋体" w:cs="Times New Roman"/>
                    <w:i/>
                    <w:color w:val="auto"/>
                    <w:sz w:val="24"/>
                    <w:szCs w:val="24"/>
                    <w:highlight w:val="none"/>
                  </w:rPr>
                </m:ctrlPr>
              </m:sup>
              <m:e>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nary>
            <m:ctrlPr>
              <w:rPr>
                <w:rFonts w:hint="default" w:ascii="Cambria Math" w:hAnsi="Cambria Math" w:eastAsia="宋体" w:cs="Times New Roman"/>
                <w:i/>
                <w:color w:val="auto"/>
                <w:sz w:val="24"/>
                <w:szCs w:val="24"/>
                <w:highlight w:val="none"/>
              </w:rPr>
            </m:ctrlPr>
          </m:e>
        </m:nary>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（8）</w:t>
      </w:r>
    </w:p>
    <w:p w14:paraId="5B9DF38E">
      <w:pPr>
        <w:pageBreakBefore w:val="0"/>
        <w:kinsoku/>
        <w:overflowPunct/>
        <w:topLinePunct w:val="0"/>
        <w:bidi w:val="0"/>
        <w:spacing w:line="400" w:lineRule="exact"/>
        <w:ind w:firstLine="480" w:firstLineChars="200"/>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color w:val="auto"/>
          <w:sz w:val="24"/>
          <w:szCs w:val="24"/>
          <w:highlight w:val="none"/>
        </w:rPr>
        <w:t>其中，</w:t>
      </w:r>
      <w:r>
        <w:rPr>
          <w:rFonts w:hint="default" w:ascii="Times New Roman" w:hAnsi="Times New Roman" w:eastAsia="宋体" w:cs="Times New Roman"/>
          <w:i/>
          <w:iCs/>
          <w:color w:val="auto"/>
          <w:sz w:val="24"/>
          <w:szCs w:val="24"/>
          <w:highlight w:val="none"/>
        </w:rPr>
        <w:t>ω</w:t>
      </w:r>
      <w:r>
        <w:rPr>
          <w:rFonts w:hint="default" w:ascii="Times New Roman" w:hAnsi="Times New Roman" w:eastAsia="宋体" w:cs="Times New Roman"/>
          <w:color w:val="auto"/>
          <w:sz w:val="24"/>
          <w:szCs w:val="24"/>
          <w:highlight w:val="none"/>
          <w:vertAlign w:val="subscript"/>
        </w:rPr>
        <w:t>pq</w:t>
      </w:r>
      <w:r>
        <w:rPr>
          <w:rFonts w:hint="default" w:ascii="Times New Roman" w:hAnsi="Times New Roman" w:eastAsia="宋体" w:cs="Times New Roman"/>
          <w:color w:val="auto"/>
          <w:sz w:val="24"/>
          <w:szCs w:val="24"/>
          <w:highlight w:val="none"/>
        </w:rPr>
        <w:t>表示p国q部类的资本积累率，</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ijpq</w:t>
      </w:r>
      <w:r>
        <w:rPr>
          <w:rFonts w:hint="default" w:ascii="Times New Roman" w:hAnsi="Times New Roman" w:eastAsia="宋体" w:cs="Times New Roman"/>
          <w:color w:val="auto"/>
          <w:sz w:val="24"/>
          <w:szCs w:val="24"/>
          <w:highlight w:val="none"/>
        </w:rPr>
        <w:t>表示p国q部类追加固定资本、流动不变资本、可变资本所形成的对i国j部类的需求占p国q部类总产品价值的比例。</w:t>
      </w:r>
    </w:p>
    <w:p w14:paraId="55957DD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由于资本积累，资本家对高端生活资料的消费变为</w:t>
      </w:r>
    </w:p>
    <w:p w14:paraId="630A0A48">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r>
          <m:rPr>
            <m:nor/>
            <m:sty m:val="p"/>
          </m:rPr>
          <w:rPr>
            <w:rFonts w:hint="default" w:ascii="Cambria Math" w:hAnsi="Cambria Math" w:eastAsia="宋体" w:cs="Times New Roman"/>
            <w:b w:val="0"/>
            <w:i w:val="0"/>
            <w:color w:val="auto"/>
            <w:sz w:val="24"/>
            <w:szCs w:val="24"/>
            <w:highlight w:val="none"/>
          </w:rPr>
          <m:t>(1-</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θ</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v</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nary>
          <m:naryPr>
            <m:chr m:val="∑"/>
            <m:ctrlPr>
              <w:rPr>
                <w:rFonts w:hint="default" w:ascii="Cambria Math" w:hAnsi="Cambria Math" w:eastAsia="宋体" w:cs="Times New Roman"/>
                <w:i/>
                <w:color w:val="auto"/>
                <w:sz w:val="24"/>
                <w:szCs w:val="24"/>
                <w:highlight w:val="none"/>
              </w:rPr>
            </m:ctrlPr>
          </m:naryPr>
          <m:sub>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p>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nary>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（9）</w:t>
      </w:r>
    </w:p>
    <w:p w14:paraId="13395030">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资本家由于拿出一部分剩余价值用于追加资本，因此对4部类的高端生活资料需求下降，即</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i4pq</w:t>
      </w:r>
      <w:r>
        <w:rPr>
          <w:rFonts w:hint="default" w:ascii="Times New Roman" w:hAnsi="Times New Roman" w:eastAsia="宋体" w:cs="Times New Roman"/>
          <w:color w:val="auto"/>
          <w:sz w:val="24"/>
          <w:szCs w:val="24"/>
          <w:highlight w:val="none"/>
        </w:rPr>
        <w:t xml:space="preserve"> = -(∑</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ijpq</w:t>
      </w:r>
      <w:r>
        <w:rPr>
          <w:rFonts w:hint="default" w:ascii="Times New Roman" w:hAnsi="Times New Roman" w:eastAsia="宋体" w:cs="Times New Roman"/>
          <w:color w:val="auto"/>
          <w:sz w:val="24"/>
          <w:szCs w:val="24"/>
          <w:highlight w:val="none"/>
        </w:rPr>
        <w:t>) &lt; 0，j≠4。</w:t>
      </w:r>
    </w:p>
    <w:p w14:paraId="125D6083">
      <w:pPr>
        <w:pageBreakBefore w:val="0"/>
        <w:kinsoku/>
        <w:overflowPunct/>
        <w:topLinePunct w:val="0"/>
        <w:bidi w:val="0"/>
        <w:spacing w:line="400" w:lineRule="exact"/>
        <w:ind w:firstLine="480" w:firstLineChars="200"/>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color w:val="auto"/>
          <w:sz w:val="24"/>
          <w:szCs w:val="24"/>
          <w:highlight w:val="none"/>
        </w:rPr>
        <w:t>在扩大再生产中，两国四部类对i国j部类的需求包括，补偿不变资本和可变资本形成的需求，追加不变资本和可变资本形成的需求，资本家消费形成的需求，可表示如下</w:t>
      </w:r>
    </w:p>
    <w:p w14:paraId="3E81F4A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m:oMathPara>
        <m:oMath>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d>
            <m:dPr>
              <m:ctrlPr>
                <w:rPr>
                  <w:rFonts w:hint="default" w:ascii="Cambria Math" w:hAnsi="Cambria Math" w:eastAsia="宋体" w:cs="Times New Roman"/>
                  <w:i/>
                  <w:color w:val="auto"/>
                  <w:sz w:val="24"/>
                  <w:szCs w:val="24"/>
                  <w:highlight w:val="none"/>
                </w:rPr>
              </m:ctrlPr>
            </m:dPr>
            <m:e>
              <m:eqArr>
                <m:eqArrPr>
                  <m:ctrlPr>
                    <w:rPr>
                      <w:rFonts w:hint="default" w:ascii="Cambria Math" w:hAnsi="Cambria Math" w:eastAsia="宋体" w:cs="Times New Roman"/>
                      <w:i/>
                      <w:color w:val="auto"/>
                      <w:sz w:val="24"/>
                      <w:szCs w:val="24"/>
                      <w:highlight w:val="none"/>
                    </w:rPr>
                  </m:ctrlPr>
                </m:eqArrPr>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1j2q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1j2q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2j2q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2j2q</m:t>
                            </m:r>
                            <m:ctrlPr>
                              <w:rPr>
                                <w:rFonts w:hint="default" w:ascii="Cambria Math" w:hAnsi="Cambria Math" w:eastAsia="宋体" w:cs="Times New Roman"/>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4×4</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qArr>
              <m:ctrlPr>
                <w:rPr>
                  <w:rFonts w:hint="default" w:ascii="Cambria Math" w:hAnsi="Cambria Math" w:eastAsia="宋体" w:cs="Times New Roman"/>
                  <w:i/>
                  <w:color w:val="auto"/>
                  <w:sz w:val="24"/>
                  <w:szCs w:val="24"/>
                  <w:highlight w:val="none"/>
                </w:rPr>
              </m:ctrlPr>
            </m:e>
          </m:d>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m:oMathPara>
    </w:p>
    <w:p w14:paraId="1A943B2F">
      <w:pPr>
        <w:pageBreakBefore w:val="0"/>
        <w:tabs>
          <w:tab w:val="center" w:pos="4200"/>
          <w:tab w:val="right" w:pos="8295"/>
        </w:tabs>
        <w:kinsoku/>
        <w:overflowPunct/>
        <w:topLinePunct w:val="0"/>
        <w:bidi w:val="0"/>
        <w:spacing w:line="400" w:lineRule="exact"/>
        <w:ind w:firstLine="480" w:firstLineChars="200"/>
        <w:jc w:val="left"/>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r>
          <m:rPr>
            <m:nor/>
            <m:sty m:val="p"/>
          </m:rPr>
          <w:rPr>
            <w:rFonts w:hint="default" w:ascii="Cambria Math" w:hAnsi="Cambria Math" w:eastAsia="宋体" w:cs="Times New Roman"/>
            <w:b w:val="0"/>
            <w:i w:val="0"/>
            <w:color w:val="auto"/>
            <w:sz w:val="24"/>
            <w:szCs w:val="24"/>
            <w:highlight w:val="none"/>
          </w:rPr>
          <m:t>=</m:t>
        </m:r>
        <m:d>
          <m:dPr>
            <m:ctrlPr>
              <w:rPr>
                <w:rFonts w:hint="default" w:ascii="Cambria Math" w:hAnsi="Cambria Math" w:eastAsia="宋体" w:cs="Times New Roman"/>
                <w:i/>
                <w:color w:val="auto"/>
                <w:sz w:val="24"/>
                <w:szCs w:val="24"/>
                <w:highlight w:val="none"/>
              </w:rPr>
            </m:ctrlPr>
          </m:dPr>
          <m:e>
            <m:eqArr>
              <m:eqArrPr>
                <m:ctrlPr>
                  <w:rPr>
                    <w:rFonts w:hint="default" w:ascii="Cambria Math" w:hAnsi="Cambria Math" w:eastAsia="宋体" w:cs="Times New Roman"/>
                    <w:i/>
                    <w:color w:val="auto"/>
                    <w:sz w:val="24"/>
                    <w:szCs w:val="24"/>
                    <w:highlight w:val="none"/>
                  </w:rPr>
                </m:ctrlPr>
              </m:eqArrPr>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qArr>
            <m:ctrlPr>
              <w:rPr>
                <w:rFonts w:hint="default" w:ascii="Cambria Math" w:hAnsi="Cambria Math" w:eastAsia="宋体" w:cs="Times New Roman"/>
                <w:i/>
                <w:color w:val="auto"/>
                <w:sz w:val="24"/>
                <w:szCs w:val="24"/>
                <w:highlight w:val="none"/>
              </w:rPr>
            </m:ctrlPr>
          </m:e>
        </m:d>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（10）</w:t>
      </w:r>
    </w:p>
    <w:p w14:paraId="64158155">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开放经济下社会扩大再生产平衡的必要条件为两国四部类同时保持供求平衡，即</w:t>
      </w:r>
    </w:p>
    <w:p w14:paraId="1A9096DD">
      <w:pPr>
        <w:pageBreakBefore w:val="0"/>
        <w:tabs>
          <w:tab w:val="center" w:pos="4200"/>
          <w:tab w:val="right" w:pos="8400"/>
        </w:tabs>
        <w:kinsoku/>
        <w:overflowPunct/>
        <w:topLinePunct w:val="0"/>
        <w:bidi w:val="0"/>
        <w:spacing w:line="400" w:lineRule="exact"/>
        <w:ind w:firstLine="480" w:firstLineChars="200"/>
        <w:jc w:val="left"/>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d>
          <m:dPr>
            <m:ctrlPr>
              <w:rPr>
                <w:rFonts w:hint="default" w:ascii="Cambria Math" w:hAnsi="Cambria Math" w:eastAsia="宋体" w:cs="Times New Roman"/>
                <w:i/>
                <w:color w:val="auto"/>
                <w:sz w:val="24"/>
                <w:szCs w:val="24"/>
                <w:highlight w:val="none"/>
              </w:rPr>
            </m:ctrlPr>
          </m:dPr>
          <m:e>
            <m:eqArr>
              <m:eqArrPr>
                <m:ctrlPr>
                  <w:rPr>
                    <w:rFonts w:hint="default" w:ascii="Cambria Math" w:hAnsi="Cambria Math" w:eastAsia="宋体" w:cs="Times New Roman"/>
                    <w:i/>
                    <w:color w:val="auto"/>
                    <w:sz w:val="24"/>
                    <w:szCs w:val="24"/>
                    <w:highlight w:val="none"/>
                  </w:rPr>
                </m:ctrlPr>
              </m:eqArrPr>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&amp;</m:t>
                </m:r>
                <m:m>
                  <m:mPr>
                    <m:mcs>
                      <m:mc>
                        <m:mcPr>
                          <m:count m:val="2"/>
                          <m:mcJc m:val="center"/>
                        </m:mcPr>
                      </m:mc>
                    </m:mcs>
                    <m:ctrlPr>
                      <w:rPr>
                        <w:rFonts w:hint="default" w:ascii="Cambria Math" w:hAnsi="Cambria Math" w:eastAsia="宋体" w:cs="Times New Roman"/>
                        <w:i/>
                        <w:color w:val="auto"/>
                        <w:sz w:val="24"/>
                        <w:szCs w:val="24"/>
                        <w:highlight w:val="none"/>
                      </w:rPr>
                    </m:ctrlPr>
                  </m:mPr>
                  <m:m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eqArr>
            <m:ctrlPr>
              <w:rPr>
                <w:rFonts w:hint="default" w:ascii="Cambria Math" w:hAnsi="Cambria Math" w:eastAsia="宋体" w:cs="Times New Roman"/>
                <w:i/>
                <w:color w:val="auto"/>
                <w:sz w:val="24"/>
                <w:szCs w:val="24"/>
                <w:highlight w:val="none"/>
              </w:rPr>
            </m:ctrlPr>
          </m:e>
        </m:d>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sSup>
          <m:sSupPr>
            <m:ctrlPr>
              <w:rPr>
                <w:rFonts w:hint="default" w:ascii="Cambria Math" w:hAnsi="Cambria Math" w:eastAsia="宋体" w:cs="Times New Roman"/>
                <w:i/>
                <w:color w:val="auto"/>
                <w:sz w:val="24"/>
                <w:szCs w:val="24"/>
                <w:highlight w:val="none"/>
              </w:rPr>
            </m:ctrlPr>
          </m:sSupPr>
          <m:e>
            <m:d>
              <m:dPr>
                <m:ctrlPr>
                  <w:rPr>
                    <w:rFonts w:hint="default" w:ascii="Cambria Math" w:hAnsi="Cambria Math" w:eastAsia="宋体" w:cs="Times New Roman"/>
                    <w:i/>
                    <w:color w:val="auto"/>
                    <w:sz w:val="24"/>
                    <w:szCs w:val="24"/>
                    <w:highlight w:val="none"/>
                  </w:rPr>
                </m:ctrlPr>
              </m:dPr>
              <m:e>
                <m:m>
                  <m:mPr>
                    <m:mcs>
                      <m:mc>
                        <m:mcPr>
                          <m:count m:val="2"/>
                          <m:mcJc m:val="center"/>
                        </m:mcPr>
                      </m:mc>
                    </m:mcs>
                    <m:ctrlPr>
                      <w:rPr>
                        <w:rFonts w:hint="default" w:ascii="Cambria Math" w:hAnsi="Cambria Math" w:eastAsia="宋体" w:cs="Times New Roman"/>
                        <w:i/>
                        <w:color w:val="auto"/>
                        <w:sz w:val="24"/>
                        <w:szCs w:val="24"/>
                        <w:highlight w:val="none"/>
                      </w:rPr>
                    </m:ctrlPr>
                  </m:mPr>
                  <m:mr>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e>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ctrlPr>
                        <w:rPr>
                          <w:rFonts w:hint="default" w:ascii="Cambria Math" w:hAnsi="Cambria Math" w:eastAsia="宋体" w:cs="Times New Roman"/>
                          <w:i/>
                          <w:color w:val="auto"/>
                          <w:sz w:val="24"/>
                          <w:szCs w:val="24"/>
                          <w:highlight w:val="none"/>
                        </w:rPr>
                      </m:ctrlPr>
                    </m:e>
                  </m:mr>
                </m:m>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（11）</w:t>
      </w:r>
    </w:p>
    <w:p w14:paraId="786916E0">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bidi="ar"/>
        </w:rPr>
        <w:t>2国-4部类×2国-4部类</w:t>
      </w:r>
      <w:r>
        <w:rPr>
          <w:rFonts w:hint="default" w:ascii="Times New Roman" w:hAnsi="Times New Roman" w:eastAsia="宋体" w:cs="Times New Roman"/>
          <w:color w:val="auto"/>
          <w:sz w:val="24"/>
          <w:szCs w:val="24"/>
          <w:highlight w:val="none"/>
        </w:rPr>
        <w:t>维度的扩大再生产公式（11）成立要求矩阵</w:t>
      </w:r>
      <w:r>
        <w:rPr>
          <w:rFonts w:hint="default" w:ascii="Times New Roman" w:hAnsi="Times New Roman" w:eastAsia="宋体" w:cs="Times New Roman"/>
          <w:b/>
          <w:bCs/>
          <w:i/>
          <w:iCs/>
          <w:color w:val="auto"/>
          <w:sz w:val="24"/>
          <w:szCs w:val="24"/>
          <w:highlight w:val="none"/>
        </w:rPr>
        <w:t>C</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b/>
          <w:bCs/>
          <w:i/>
          <w:iCs/>
          <w:color w:val="auto"/>
          <w:sz w:val="24"/>
          <w:szCs w:val="24"/>
          <w:highlight w:val="none"/>
        </w:rPr>
        <w:t>C</w:t>
      </w:r>
      <w:r>
        <w:rPr>
          <w:rFonts w:hint="default" w:ascii="Times New Roman" w:hAnsi="Times New Roman" w:eastAsia="宋体" w:cs="Times New Roman"/>
          <w:color w:val="auto"/>
          <w:sz w:val="24"/>
          <w:szCs w:val="24"/>
          <w:highlight w:val="none"/>
        </w:rPr>
        <w:t xml:space="preserve"> = </w:t>
      </w:r>
      <w:r>
        <w:rPr>
          <w:rFonts w:hint="default" w:ascii="Times New Roman" w:hAnsi="Times New Roman" w:eastAsia="宋体" w:cs="Times New Roman"/>
          <w:b/>
          <w:bCs/>
          <w:i/>
          <w:iCs/>
          <w:color w:val="auto"/>
          <w:sz w:val="24"/>
          <w:szCs w:val="24"/>
          <w:highlight w:val="none"/>
        </w:rPr>
        <w:t>A</w:t>
      </w:r>
      <w:r>
        <w:rPr>
          <w:rFonts w:hint="default" w:ascii="Times New Roman" w:hAnsi="Times New Roman" w:eastAsia="宋体" w:cs="Times New Roman"/>
          <w:color w:val="auto"/>
          <w:sz w:val="24"/>
          <w:szCs w:val="24"/>
          <w:highlight w:val="none"/>
        </w:rPr>
        <w:t xml:space="preserve"> + </w:t>
      </w:r>
      <w:r>
        <w:rPr>
          <w:rFonts w:hint="default" w:ascii="Times New Roman" w:hAnsi="Times New Roman" w:eastAsia="宋体" w:cs="Times New Roman"/>
          <w:b/>
          <w:bCs/>
          <w:i/>
          <w:iCs/>
          <w:color w:val="auto"/>
          <w:sz w:val="24"/>
          <w:szCs w:val="24"/>
          <w:highlight w:val="none"/>
        </w:rPr>
        <w:t>B</w:t>
      </w:r>
      <w:r>
        <w:rPr>
          <w:rFonts w:hint="default" w:ascii="Times New Roman" w:hAnsi="Times New Roman" w:eastAsia="宋体" w:cs="Times New Roman"/>
          <w:color w:val="auto"/>
          <w:sz w:val="24"/>
          <w:szCs w:val="24"/>
          <w:highlight w:val="none"/>
        </w:rPr>
        <w:t>）的Perron-Frobenius根</w:t>
      </w:r>
      <w:r>
        <w:rPr>
          <w:rFonts w:hint="default" w:ascii="Times New Roman" w:hAnsi="Times New Roman" w:eastAsia="宋体" w:cs="Times New Roman"/>
          <w:i/>
          <w:iCs/>
          <w:color w:val="auto"/>
          <w:sz w:val="24"/>
          <w:szCs w:val="24"/>
          <w:highlight w:val="none"/>
        </w:rPr>
        <w:t>λ</w:t>
      </w:r>
      <w:r>
        <w:rPr>
          <w:rFonts w:hint="default" w:ascii="Times New Roman" w:hAnsi="Times New Roman" w:eastAsia="宋体" w:cs="Times New Roman"/>
          <w:color w:val="auto"/>
          <w:sz w:val="24"/>
          <w:szCs w:val="24"/>
          <w:highlight w:val="none"/>
        </w:rPr>
        <w:t>等于1，</w:t>
      </w:r>
      <w:r>
        <w:rPr>
          <w:rFonts w:hint="default" w:ascii="Times New Roman" w:hAnsi="Times New Roman" w:eastAsia="宋体" w:cs="Times New Roman"/>
          <w:b/>
          <w:bCs/>
          <w:i/>
          <w:iCs/>
          <w:color w:val="auto"/>
          <w:sz w:val="24"/>
          <w:szCs w:val="24"/>
          <w:highlight w:val="none"/>
        </w:rPr>
        <w:t>y</w:t>
      </w:r>
      <w:r>
        <w:rPr>
          <w:rFonts w:hint="default" w:ascii="Times New Roman" w:hAnsi="Times New Roman" w:eastAsia="宋体" w:cs="Times New Roman"/>
          <w:color w:val="auto"/>
          <w:sz w:val="24"/>
          <w:szCs w:val="24"/>
          <w:highlight w:val="none"/>
          <w:vertAlign w:val="superscript"/>
        </w:rPr>
        <w:t>s</w:t>
      </w:r>
      <w:r>
        <w:rPr>
          <w:rFonts w:hint="default" w:ascii="Times New Roman" w:hAnsi="Times New Roman" w:eastAsia="宋体" w:cs="Times New Roman"/>
          <w:color w:val="auto"/>
          <w:sz w:val="24"/>
          <w:szCs w:val="24"/>
          <w:highlight w:val="none"/>
        </w:rPr>
        <w:t>为</w:t>
      </w:r>
      <w:r>
        <w:rPr>
          <w:rFonts w:hint="default" w:ascii="Times New Roman" w:hAnsi="Times New Roman" w:eastAsia="宋体" w:cs="Times New Roman"/>
          <w:b/>
          <w:bCs/>
          <w:i/>
          <w:iCs/>
          <w:color w:val="auto"/>
          <w:sz w:val="24"/>
          <w:szCs w:val="24"/>
          <w:highlight w:val="none"/>
        </w:rPr>
        <w:t>C</w:t>
      </w:r>
      <w:r>
        <w:rPr>
          <w:rFonts w:hint="default" w:ascii="Times New Roman" w:hAnsi="Times New Roman" w:eastAsia="宋体" w:cs="Times New Roman"/>
          <w:color w:val="auto"/>
          <w:sz w:val="24"/>
          <w:szCs w:val="24"/>
          <w:highlight w:val="none"/>
        </w:rPr>
        <w:t>的Perron-Frobenius根所对应的正特征向量。社会再生产平衡的充要条件为</w:t>
      </w:r>
      <w:r>
        <w:rPr>
          <w:rFonts w:hint="default" w:ascii="Times New Roman" w:hAnsi="Times New Roman" w:eastAsia="宋体" w:cs="Times New Roman"/>
          <w:i/>
          <w:iCs/>
          <w:color w:val="auto"/>
          <w:sz w:val="24"/>
          <w:szCs w:val="24"/>
          <w:highlight w:val="none"/>
        </w:rPr>
        <w:t>λ</w:t>
      </w:r>
      <w:r>
        <w:rPr>
          <w:rFonts w:hint="default" w:ascii="Times New Roman" w:hAnsi="Times New Roman" w:eastAsia="宋体" w:cs="Times New Roman"/>
          <w:color w:val="auto"/>
          <w:sz w:val="24"/>
          <w:szCs w:val="24"/>
          <w:highlight w:val="none"/>
        </w:rPr>
        <w:t xml:space="preserve"> = 1且</w:t>
      </w:r>
      <w:r>
        <w:rPr>
          <w:rFonts w:hint="default" w:ascii="Times New Roman" w:hAnsi="Times New Roman" w:eastAsia="宋体" w:cs="Times New Roman"/>
          <w:i/>
          <w:iCs/>
          <w:color w:val="auto"/>
          <w:sz w:val="24"/>
          <w:szCs w:val="24"/>
          <w:highlight w:val="none"/>
        </w:rPr>
        <w:t>σ</w:t>
      </w:r>
      <w:r>
        <w:rPr>
          <w:rFonts w:hint="default" w:ascii="Times New Roman" w:hAnsi="Times New Roman" w:eastAsia="宋体" w:cs="Times New Roman"/>
          <w:color w:val="auto"/>
          <w:sz w:val="24"/>
          <w:szCs w:val="24"/>
          <w:highlight w:val="none"/>
        </w:rPr>
        <w:t xml:space="preserve"> = 1，即，剩余价值全部实现，投入的固定资本全部利用，两国四部类不存在生产过剩。</w:t>
      </w:r>
    </w:p>
    <w:p w14:paraId="729F99D7">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（四）基于拓展的社会再生产理解新发展格局</w:t>
      </w:r>
    </w:p>
    <w:p w14:paraId="6FDDC0B8">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lang w:eastAsia="zh-Hans"/>
        </w:rPr>
      </w:pPr>
      <w:r>
        <w:rPr>
          <w:rFonts w:hint="default" w:ascii="Times New Roman" w:hAnsi="Times New Roman" w:eastAsia="宋体" w:cs="Times New Roman"/>
          <w:b w:val="0"/>
          <w:bCs w:val="0"/>
          <w:color w:val="auto"/>
          <w:sz w:val="24"/>
          <w:szCs w:val="24"/>
          <w:highlight w:val="none"/>
          <w:lang w:eastAsia="zh-Hans"/>
        </w:rPr>
        <w:t>1.经济循环与货币流回</w:t>
      </w:r>
    </w:p>
    <w:p w14:paraId="2937372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Hans"/>
        </w:rPr>
        <w:t>理解新发展格局的关键和难点在理解经济循环和货币流回。经济循环是</w:t>
      </w:r>
      <w:r>
        <w:rPr>
          <w:rFonts w:hint="default" w:ascii="Times New Roman" w:hAnsi="Times New Roman" w:eastAsia="宋体" w:cs="Times New Roman"/>
          <w:color w:val="auto"/>
          <w:sz w:val="24"/>
          <w:szCs w:val="24"/>
          <w:highlight w:val="none"/>
        </w:rPr>
        <w:t>生产、</w:t>
      </w:r>
      <w:r>
        <w:rPr>
          <w:rFonts w:hint="default" w:ascii="Times New Roman" w:hAnsi="Times New Roman" w:eastAsia="宋体" w:cs="Times New Roman"/>
          <w:color w:val="auto"/>
          <w:sz w:val="24"/>
          <w:szCs w:val="24"/>
          <w:highlight w:val="none"/>
          <w:lang w:eastAsia="zh-Hans"/>
        </w:rPr>
        <w:t>交换、</w:t>
      </w:r>
      <w:r>
        <w:rPr>
          <w:rFonts w:hint="default" w:ascii="Times New Roman" w:hAnsi="Times New Roman" w:eastAsia="宋体" w:cs="Times New Roman"/>
          <w:color w:val="auto"/>
          <w:sz w:val="24"/>
          <w:szCs w:val="24"/>
          <w:highlight w:val="none"/>
        </w:rPr>
        <w:t>分配、</w:t>
      </w:r>
      <w:r>
        <w:rPr>
          <w:rFonts w:hint="default" w:ascii="Times New Roman" w:hAnsi="Times New Roman" w:eastAsia="宋体" w:cs="Times New Roman"/>
          <w:color w:val="auto"/>
          <w:sz w:val="24"/>
          <w:szCs w:val="24"/>
          <w:highlight w:val="none"/>
          <w:lang w:eastAsia="zh-Hans"/>
        </w:rPr>
        <w:t>消费的统一，是资本的生产过程和流通过程的统一，</w:t>
      </w:r>
      <w:r>
        <w:rPr>
          <w:rFonts w:hint="default" w:ascii="Times New Roman" w:hAnsi="Times New Roman" w:eastAsia="宋体" w:cs="Times New Roman"/>
          <w:color w:val="auto"/>
          <w:sz w:val="24"/>
          <w:szCs w:val="24"/>
          <w:highlight w:val="none"/>
        </w:rPr>
        <w:t>不仅包括两大部类的资本循环，也包括资本家和工人的个人消费所引起的商品流通。双循环既是资本循环和商品流通的交错，也是国内国际社会总资本再生产的交错，可以由图1表示。经济循环畅通、社会再生产正常进行，需要拓展的社会再生产平衡公式成立，“由资本主义生产者预付到流通中去的货币，必须流回到它的起点……这是一个规律”</w:t>
      </w:r>
      <w:r>
        <w:rPr>
          <w:rStyle w:val="20"/>
          <w:rFonts w:hint="default" w:ascii="Times New Roman" w:hAnsi="Times New Roman" w:eastAsia="宋体" w:cs="Times New Roman"/>
          <w:color w:val="auto"/>
          <w:sz w:val="24"/>
          <w:szCs w:val="24"/>
          <w:highlight w:val="none"/>
        </w:rPr>
        <w:footnoteReference w:id="770"/>
      </w:r>
      <w:r>
        <w:rPr>
          <w:rFonts w:hint="default" w:ascii="Times New Roman" w:hAnsi="Times New Roman" w:eastAsia="宋体" w:cs="Times New Roman"/>
          <w:color w:val="auto"/>
          <w:sz w:val="24"/>
          <w:szCs w:val="24"/>
          <w:highlight w:val="none"/>
        </w:rPr>
        <w:t>。</w:t>
      </w:r>
    </w:p>
    <w:p w14:paraId="464C7537">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mc:AlternateContent>
          <mc:Choice Requires="wpc">
            <w:drawing>
              <wp:anchor distT="0" distB="0" distL="114300" distR="114300" simplePos="0" relativeHeight="251688960" behindDoc="0" locked="0" layoutInCell="1" allowOverlap="1">
                <wp:simplePos x="0" y="0"/>
                <wp:positionH relativeFrom="column">
                  <wp:posOffset>304800</wp:posOffset>
                </wp:positionH>
                <wp:positionV relativeFrom="paragraph">
                  <wp:posOffset>-2793365</wp:posOffset>
                </wp:positionV>
                <wp:extent cx="5277485" cy="2996565"/>
                <wp:effectExtent l="0" t="0" r="0" b="0"/>
                <wp:wrapTopAndBottom/>
                <wp:docPr id="66" name="画布 1"/>
                <wp:cNvGraphicFramePr/>
                <a:graphic xmlns:a="http://schemas.openxmlformats.org/drawingml/2006/main">
                  <a:graphicData uri="http://schemas.microsoft.com/office/word/2010/wordprocessingCanvas">
                    <wpc:wpc>
                      <wpc:bg>
                        <a:noFill/>
                      </wpc:bg>
                      <wpc:whole/>
                      <wps:wsp>
                        <wps:cNvPr id="251" name="直接连接符 1"/>
                        <wps:cNvCnPr/>
                        <wps:spPr>
                          <a:xfrm>
                            <a:off x="441298" y="1248272"/>
                            <a:ext cx="0" cy="61200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52" name="直接箭头连接符 2"/>
                        <wps:cNvCnPr/>
                        <wps:spPr>
                          <a:xfrm>
                            <a:off x="436931" y="1241877"/>
                            <a:ext cx="830068" cy="0"/>
                          </a:xfrm>
                          <a:prstGeom prst="straightConnector1">
                            <a:avLst/>
                          </a:prstGeom>
                          <a:ln w="12700"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253" name="文本框 4"/>
                        <wps:cNvSpPr txBox="1"/>
                        <wps:spPr>
                          <a:xfrm>
                            <a:off x="1263624" y="1148390"/>
                            <a:ext cx="360899" cy="287017"/>
                          </a:xfrm>
                          <a:prstGeom prst="rect">
                            <a:avLst/>
                          </a:prstGeom>
                          <a:noFill/>
                          <a:ln w="3175" cmpd="sng">
                            <a:solidFill>
                              <a:schemeClr val="tx1"/>
                            </a:solidFill>
                            <a:prstDash val="solid"/>
                          </a:ln>
                        </wps:spPr>
                        <wps:style>
                          <a:lnRef idx="0">
                            <a:schemeClr val="accent1"/>
                          </a:lnRef>
                          <a:fillRef idx="0">
                            <a:schemeClr val="accent1"/>
                          </a:fillRef>
                          <a:effectRef idx="0">
                            <a:schemeClr val="accent1"/>
                          </a:effectRef>
                          <a:fontRef idx="minor">
                            <a:schemeClr val="dk1"/>
                          </a:fontRef>
                        </wps:style>
                        <wps:txbx>
                          <w:txbxContent>
                            <w:p w14:paraId="78EEF90A">
                              <w:pPr>
                                <w:spacing w:line="240" w:lineRule="auto"/>
                                <w:jc w:val="center"/>
                                <w:textAlignment w:val="center"/>
                              </w:pPr>
                              <w:r>
                                <w:rPr>
                                  <w:rFonts w:ascii="Times New Roman Regular" w:hAnsi="Times New Roman Regular" w:cs="Times New Roman"/>
                                </w:rPr>
                                <w:t>G</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54" name="直接箭头连接符 6"/>
                        <wps:cNvCnPr/>
                        <wps:spPr>
                          <a:xfrm>
                            <a:off x="523159" y="1345339"/>
                            <a:ext cx="739843" cy="0"/>
                          </a:xfrm>
                          <a:prstGeom prst="straightConnector1">
                            <a:avLst/>
                          </a:prstGeom>
                          <a:ln w="12700" cmpd="sng">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55" name="文本框 8"/>
                        <wps:cNvSpPr txBox="1"/>
                        <wps:spPr>
                          <a:xfrm>
                            <a:off x="294797" y="1862388"/>
                            <a:ext cx="360898" cy="28670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3E45ECFA">
                              <w:pPr>
                                <w:spacing w:line="240" w:lineRule="auto"/>
                                <w:jc w:val="center"/>
                                <w:rPr>
                                  <w:rFonts w:ascii="Times New Roman" w:hAnsi="Times New Roman" w:cs="Times New Roman"/>
                                </w:rPr>
                              </w:pPr>
                              <w:r>
                                <w:rPr>
                                  <w:position w:val="-10"/>
                                </w:rPr>
                                <w:object>
                                  <v:shape id="_x0000_i1025" o:spt="75" type="#_x0000_t75" style="height:13.9pt;width:14.6pt;" o:ole="t" filled="f" o:preferrelative="t" stroked="f" coordsize="21600,21600">
                                    <v:path/>
                                    <v:fill on="f" focussize="0,0"/>
                                    <v:stroke on="f" joinstyle="miter"/>
                                    <v:imagedata r:id="rId44" o:title=""/>
                                    <o:lock v:ext="edit" aspectratio="t"/>
                                    <w10:wrap type="none"/>
                                    <w10:anchorlock/>
                                  </v:shape>
                                  <o:OLEObject Type="Embed" ProgID="Equation.KSEE3" ShapeID="_x0000_i1025" DrawAspect="Content" ObjectID="_1468075726" r:id="rId43">
                                    <o:LockedField>false</o:LockedField>
                                  </o:OLEObject>
                                </w:objec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56" name="直接连接符 9"/>
                        <wps:cNvCnPr/>
                        <wps:spPr>
                          <a:xfrm>
                            <a:off x="1623824" y="1241842"/>
                            <a:ext cx="1064652" cy="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57" name="直接箭头连接符 10"/>
                        <wps:cNvCnPr/>
                        <wps:spPr>
                          <a:xfrm flipV="1">
                            <a:off x="1438685" y="718471"/>
                            <a:ext cx="0" cy="430526"/>
                          </a:xfrm>
                          <a:prstGeom prst="straightConnector1">
                            <a:avLst/>
                          </a:prstGeom>
                          <a:ln w="12700" cmpd="sng">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58" name="直接箭头连接符 12"/>
                        <wps:cNvCnPr/>
                        <wps:spPr>
                          <a:xfrm flipH="1">
                            <a:off x="1639889" y="1344752"/>
                            <a:ext cx="974428" cy="0"/>
                          </a:xfrm>
                          <a:prstGeom prst="straightConnector1">
                            <a:avLst/>
                          </a:prstGeom>
                          <a:ln w="12700" cmpd="sng">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59" name="直接箭头连接符 13"/>
                        <wps:cNvCnPr/>
                        <wps:spPr>
                          <a:xfrm flipV="1">
                            <a:off x="2624007" y="714552"/>
                            <a:ext cx="0" cy="1148068"/>
                          </a:xfrm>
                          <a:prstGeom prst="straightConnector1">
                            <a:avLst/>
                          </a:prstGeom>
                          <a:ln w="12700" cmpd="sng">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60" name="文本框 14"/>
                        <wps:cNvSpPr txBox="1"/>
                        <wps:spPr>
                          <a:xfrm>
                            <a:off x="2771204" y="265237"/>
                            <a:ext cx="688057"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2DD211">
                              <w:pPr>
                                <w:spacing w:line="240" w:lineRule="auto"/>
                                <w:jc w:val="center"/>
                              </w:pPr>
                              <w:r>
                                <w:rPr>
                                  <w:rFonts w:hint="eastAsia" w:ascii="Cambria Math" w:hAnsi="Cambria Math"/>
                                  <w:lang w:eastAsia="zh-Hans"/>
                                </w:rPr>
                                <w:t>进口</w:t>
                              </w:r>
                              <w:r>
                                <w:rPr>
                                  <w:rFonts w:ascii="Times New Roman" w:hAnsi="Times New Roman" w:cs="Times New Roman"/>
                                </w:rPr>
                                <w:t>W</w:t>
                              </w:r>
                              <w:r>
                                <w:rPr>
                                  <w:rFonts w:ascii="Times New Roman" w:hAnsi="Times New Roman" w:cs="Times New Roman"/>
                                  <w:vertAlign w:val="subscript"/>
                                </w:rPr>
                                <w:t>II</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61" name="文本框 15"/>
                        <wps:cNvSpPr txBox="1"/>
                        <wps:spPr>
                          <a:xfrm>
                            <a:off x="2771171" y="557425"/>
                            <a:ext cx="651843"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078694">
                              <w:pPr>
                                <w:spacing w:line="240" w:lineRule="auto"/>
                                <w:jc w:val="center"/>
                                <w:rPr>
                                  <w:position w:val="6"/>
                                  <w:vertAlign w:val="subscript"/>
                                </w:rPr>
                              </w:pPr>
                              <w:r>
                                <w:rPr>
                                  <w:rFonts w:hint="eastAsia" w:ascii="Cambria Math" w:hAnsi="Cambria Math"/>
                                  <w:position w:val="6"/>
                                  <w:lang w:eastAsia="zh-Hans"/>
                                </w:rPr>
                                <w:t>进</w:t>
                              </w:r>
                              <w:r>
                                <w:rPr>
                                  <w:rFonts w:hint="eastAsia" w:ascii="Cambria Math" w:hAnsi="Cambria Math"/>
                                  <w:position w:val="6"/>
                                </w:rPr>
                                <w:t>口</w:t>
                              </w:r>
                              <w:r>
                                <w:rPr>
                                  <w:rFonts w:ascii="Times New Roman" w:hAnsi="Times New Roman" w:cs="Times New Roman"/>
                                  <w:position w:val="6"/>
                                </w:rPr>
                                <w:t>W</w:t>
                              </w:r>
                              <w:r>
                                <w:rPr>
                                  <w:rFonts w:ascii="Times New Roman" w:hAnsi="Times New Roman" w:cs="Times New Roman"/>
                                  <w:position w:val="6"/>
                                  <w:vertAlign w:val="subscript"/>
                                </w:rPr>
                                <w:t>I</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62" name="直接连接符 16"/>
                        <wps:cNvCnPr/>
                        <wps:spPr>
                          <a:xfrm>
                            <a:off x="2686521" y="1858545"/>
                            <a:ext cx="288719" cy="2511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3" name="直接连接符 17"/>
                        <wps:cNvCnPr/>
                        <wps:spPr>
                          <a:xfrm flipH="1">
                            <a:off x="2330704" y="1862388"/>
                            <a:ext cx="288719" cy="251140"/>
                          </a:xfrm>
                          <a:prstGeom prst="line">
                            <a:avLst/>
                          </a:prstGeom>
                          <a:ln w="12700" cmpd="sng">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64" name="直接连接符 18"/>
                        <wps:cNvCnPr/>
                        <wps:spPr>
                          <a:xfrm flipH="1">
                            <a:off x="2399294" y="1863486"/>
                            <a:ext cx="288719" cy="2511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5" name="文本框 19"/>
                        <wps:cNvSpPr txBox="1"/>
                        <wps:spPr>
                          <a:xfrm>
                            <a:off x="2227759" y="2008673"/>
                            <a:ext cx="288719"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36878C">
                              <w:pPr>
                                <w:spacing w:line="240" w:lineRule="auto"/>
                                <w:jc w:val="center"/>
                                <w:rPr>
                                  <w:rFonts w:ascii="Times New Roman Regular" w:hAnsi="Times New Roman Regular" w:cs="Times New Roman Regular"/>
                                </w:rPr>
                              </w:pPr>
                              <w:r>
                                <w:rPr>
                                  <w:rFonts w:ascii="Times New Roman Regular" w:hAnsi="Times New Roman Regular" w:cs="Times New Roman Regular"/>
                                </w:rPr>
                                <w:t>A</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66" name="直接连接符 20"/>
                        <wps:cNvCnPr/>
                        <wps:spPr>
                          <a:xfrm>
                            <a:off x="1488975" y="1441025"/>
                            <a:ext cx="0" cy="538157"/>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7" name="直接连接符 21"/>
                        <wps:cNvCnPr/>
                        <wps:spPr>
                          <a:xfrm>
                            <a:off x="1397307" y="1439760"/>
                            <a:ext cx="0" cy="538157"/>
                          </a:xfrm>
                          <a:prstGeom prst="line">
                            <a:avLst/>
                          </a:prstGeom>
                          <a:ln w="6350" cmpd="sng">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68" name="直接连接符 22"/>
                        <wps:cNvCnPr/>
                        <wps:spPr>
                          <a:xfrm>
                            <a:off x="134957" y="507541"/>
                            <a:ext cx="0" cy="2088000"/>
                          </a:xfrm>
                          <a:prstGeom prst="line">
                            <a:avLst/>
                          </a:prstGeom>
                          <a:ln w="1270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69" name="直接箭头连接符 23"/>
                        <wps:cNvCnPr/>
                        <wps:spPr>
                          <a:xfrm flipH="1">
                            <a:off x="1623667" y="2588247"/>
                            <a:ext cx="1064652" cy="0"/>
                          </a:xfrm>
                          <a:prstGeom prst="straightConnector1">
                            <a:avLst/>
                          </a:prstGeom>
                          <a:ln w="12700" cmpd="sng">
                            <a:solidFill>
                              <a:schemeClr val="tx1"/>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270" name="直接连接符 24"/>
                        <wps:cNvCnPr/>
                        <wps:spPr>
                          <a:xfrm>
                            <a:off x="2697051" y="2080243"/>
                            <a:ext cx="0" cy="504000"/>
                          </a:xfrm>
                          <a:prstGeom prst="line">
                            <a:avLst/>
                          </a:prstGeom>
                          <a:ln w="1270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71" name="直接连接符 25"/>
                        <wps:cNvCnPr/>
                        <wps:spPr>
                          <a:xfrm>
                            <a:off x="1441231" y="67696"/>
                            <a:ext cx="0" cy="358771"/>
                          </a:xfrm>
                          <a:prstGeom prst="line">
                            <a:avLst/>
                          </a:prstGeom>
                        </wps:spPr>
                        <wps:style>
                          <a:lnRef idx="1">
                            <a:schemeClr val="dk1"/>
                          </a:lnRef>
                          <a:fillRef idx="0">
                            <a:schemeClr val="dk1"/>
                          </a:fillRef>
                          <a:effectRef idx="0">
                            <a:schemeClr val="dk1"/>
                          </a:effectRef>
                          <a:fontRef idx="minor">
                            <a:schemeClr val="tx1"/>
                          </a:fontRef>
                        </wps:style>
                        <wps:bodyPr/>
                      </wps:wsp>
                      <wps:wsp>
                        <wps:cNvPr id="272" name="文本框 26"/>
                        <wps:cNvSpPr txBox="1"/>
                        <wps:spPr>
                          <a:xfrm>
                            <a:off x="1175268" y="36002"/>
                            <a:ext cx="360000" cy="396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220824">
                              <w:pPr>
                                <w:spacing w:line="240" w:lineRule="auto"/>
                                <w:rPr>
                                  <w:lang w:eastAsia="zh-Hans"/>
                                </w:rPr>
                              </w:pPr>
                              <w:r>
                                <w:rPr>
                                  <w:rFonts w:hint="eastAsia"/>
                                  <w:lang w:eastAsia="zh-Hans"/>
                                </w:rPr>
                                <w:t>出口</w:t>
                              </w:r>
                            </w:p>
                          </w:txbxContent>
                        </wps:txbx>
                        <wps:bodyPr rot="0" spcFirstLastPara="0" vertOverflow="overflow" horzOverflow="overflow" vert="eaVert" wrap="square" lIns="91120" tIns="45560" rIns="91120" bIns="45560" numCol="1" spcCol="0" rtlCol="0" fromWordArt="0" anchor="t" anchorCtr="0" forceAA="0" compatLnSpc="1">
                          <a:noAutofit/>
                        </wps:bodyPr>
                      </wps:wsp>
                      <wps:wsp>
                        <wps:cNvPr id="273" name="直接箭头连接符 27"/>
                        <wps:cNvCnPr/>
                        <wps:spPr>
                          <a:xfrm>
                            <a:off x="134155" y="511000"/>
                            <a:ext cx="1118787" cy="0"/>
                          </a:xfrm>
                          <a:prstGeom prst="straightConnector1">
                            <a:avLst/>
                          </a:prstGeom>
                          <a:ln w="12700" cmpd="sng">
                            <a:solidFill>
                              <a:schemeClr val="tx1"/>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274" name="文本框 28"/>
                        <wps:cNvSpPr txBox="1"/>
                        <wps:spPr>
                          <a:xfrm>
                            <a:off x="1866718" y="275851"/>
                            <a:ext cx="288719"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1CE393">
                              <w:pPr>
                                <w:spacing w:line="240" w:lineRule="auto"/>
                                <w:jc w:val="center"/>
                                <w:rPr>
                                  <w:lang w:eastAsia="zh-Hans"/>
                                </w:rPr>
                              </w:pPr>
                              <w:r>
                                <w:rPr>
                                  <w:rFonts w:hint="eastAsia"/>
                                  <w:lang w:eastAsia="zh-Hans"/>
                                </w:rPr>
                                <w:t>③</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75" name="文本框 29"/>
                        <wps:cNvSpPr txBox="1"/>
                        <wps:spPr>
                          <a:xfrm>
                            <a:off x="2249315" y="1761909"/>
                            <a:ext cx="288719" cy="287017"/>
                          </a:xfrm>
                          <a:prstGeom prst="rect">
                            <a:avLst/>
                          </a:prstGeom>
                          <a:noFill/>
                          <a:ln w="9525" cmpd="sng">
                            <a:noFill/>
                            <a:prstDash val="solid"/>
                          </a:ln>
                        </wps:spPr>
                        <wps:style>
                          <a:lnRef idx="0">
                            <a:schemeClr val="accent1"/>
                          </a:lnRef>
                          <a:fillRef idx="0">
                            <a:schemeClr val="accent1"/>
                          </a:fillRef>
                          <a:effectRef idx="0">
                            <a:schemeClr val="accent1"/>
                          </a:effectRef>
                          <a:fontRef idx="minor">
                            <a:schemeClr val="dk1"/>
                          </a:fontRef>
                        </wps:style>
                        <wps:txbx>
                          <w:txbxContent>
                            <w:p w14:paraId="1D0646E5">
                              <w:pPr>
                                <w:spacing w:line="240" w:lineRule="auto"/>
                                <w:rPr>
                                  <w:lang w:eastAsia="zh-Hans"/>
                                </w:rPr>
                              </w:pPr>
                              <w:r>
                                <w:rPr>
                                  <w:rFonts w:hint="eastAsia"/>
                                  <w:lang w:eastAsia="zh-Hans"/>
                                </w:rPr>
                                <w:t>①</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76" name="文本框 30"/>
                        <wps:cNvSpPr txBox="1"/>
                        <wps:spPr>
                          <a:xfrm>
                            <a:off x="2399293" y="1945229"/>
                            <a:ext cx="289708" cy="288000"/>
                          </a:xfrm>
                          <a:prstGeom prst="rect">
                            <a:avLst/>
                          </a:prstGeom>
                          <a:noFill/>
                          <a:ln w="9525" cmpd="sng">
                            <a:noFill/>
                            <a:prstDash val="solid"/>
                          </a:ln>
                        </wps:spPr>
                        <wps:style>
                          <a:lnRef idx="0">
                            <a:schemeClr val="accent1"/>
                          </a:lnRef>
                          <a:fillRef idx="0">
                            <a:schemeClr val="accent1"/>
                          </a:fillRef>
                          <a:effectRef idx="0">
                            <a:schemeClr val="accent1"/>
                          </a:effectRef>
                          <a:fontRef idx="minor">
                            <a:schemeClr val="dk1"/>
                          </a:fontRef>
                        </wps:style>
                        <wps:txbx>
                          <w:txbxContent>
                            <w:p w14:paraId="1BFD9554">
                              <w:pPr>
                                <w:spacing w:line="240" w:lineRule="auto"/>
                                <w:rPr>
                                  <w:lang w:eastAsia="zh-Hans"/>
                                </w:rPr>
                              </w:pPr>
                              <w:r>
                                <w:rPr>
                                  <w:rFonts w:hint="eastAsia"/>
                                  <w:lang w:eastAsia="zh-Hans"/>
                                </w:rPr>
                                <w:t>①</w:t>
                              </w:r>
                            </w:p>
                          </w:txbxContent>
                        </wps:txbx>
                        <wps:bodyPr rot="0" spcFirstLastPara="0" vertOverflow="overflow" horzOverflow="overflow" vert="horz" wrap="square" lIns="91120" tIns="45560" rIns="91120" bIns="45560" numCol="1" spcCol="0" rtlCol="0" fromWordArt="0" anchor="ctr" anchorCtr="0" forceAA="0" compatLnSpc="1">
                          <a:noAutofit/>
                        </wps:bodyPr>
                      </wps:wsp>
                      <wps:wsp>
                        <wps:cNvPr id="277" name="文本框 31"/>
                        <wps:cNvSpPr txBox="1"/>
                        <wps:spPr>
                          <a:xfrm>
                            <a:off x="2738241" y="1768807"/>
                            <a:ext cx="288719"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DFBB15">
                              <w:pPr>
                                <w:spacing w:line="240" w:lineRule="auto"/>
                                <w:rPr>
                                  <w:lang w:eastAsia="zh-Hans"/>
                                </w:rPr>
                              </w:pPr>
                              <w:r>
                                <w:rPr>
                                  <w:rFonts w:hint="eastAsia"/>
                                  <w:lang w:eastAsia="zh-Hans"/>
                                </w:rPr>
                                <w:t>②</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78" name="文本框 32"/>
                        <wps:cNvSpPr txBox="1"/>
                        <wps:spPr>
                          <a:xfrm>
                            <a:off x="2893618" y="2008898"/>
                            <a:ext cx="360899"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00C2A3">
                              <w:pPr>
                                <w:spacing w:line="240" w:lineRule="auto"/>
                                <w:jc w:val="center"/>
                                <w:rPr>
                                  <w:rFonts w:ascii="Times New Roman" w:hAnsi="Times New Roman" w:cs="Times New Roman"/>
                                  <w:position w:val="6"/>
                                </w:rPr>
                              </w:pPr>
                              <w:r>
                                <w:rPr>
                                  <w:rFonts w:ascii="Times New Roman" w:hAnsi="Times New Roman" w:cs="Times New Roman"/>
                                  <w:position w:val="6"/>
                                </w:rPr>
                                <w:t>P</w:t>
                              </w:r>
                              <w:r>
                                <w:rPr>
                                  <w:rFonts w:ascii="Times New Roman" w:hAnsi="Times New Roman" w:cs="Times New Roman"/>
                                  <w:position w:val="6"/>
                                  <w:vertAlign w:val="subscript"/>
                                </w:rPr>
                                <w:t>mm</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79" name="文本框 33"/>
                        <wps:cNvSpPr txBox="1"/>
                        <wps:spPr>
                          <a:xfrm>
                            <a:off x="1372881" y="830933"/>
                            <a:ext cx="359672" cy="3062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CE2096">
                              <w:pPr>
                                <w:spacing w:line="240" w:lineRule="auto"/>
                                <w:rPr>
                                  <w:lang w:eastAsia="zh-Hans"/>
                                </w:rPr>
                              </w:pPr>
                              <w:r>
                                <w:rPr>
                                  <w:rFonts w:hint="eastAsia"/>
                                  <w:lang w:eastAsia="zh-Hans"/>
                                </w:rPr>
                                <w:t>③</w:t>
                              </w:r>
                            </w:p>
                            <w:p w14:paraId="30C50BDC">
                              <w:pPr>
                                <w:spacing w:line="240" w:lineRule="auto"/>
                              </w:pPr>
                            </w:p>
                          </w:txbxContent>
                        </wps:txbx>
                        <wps:bodyPr rot="0" spcFirstLastPara="0" vertOverflow="overflow" horzOverflow="overflow" vert="eaVert" wrap="square" lIns="91120" tIns="45560" rIns="91120" bIns="45560" numCol="1" spcCol="0" rtlCol="0" fromWordArt="0" anchor="t" anchorCtr="0" forceAA="0" compatLnSpc="1">
                          <a:noAutofit/>
                        </wps:bodyPr>
                      </wps:wsp>
                      <wps:wsp>
                        <wps:cNvPr id="280" name="直接箭头连接符 34"/>
                        <wps:cNvCnPr/>
                        <wps:spPr>
                          <a:xfrm flipV="1">
                            <a:off x="472819" y="2160411"/>
                            <a:ext cx="0" cy="430526"/>
                          </a:xfrm>
                          <a:prstGeom prst="straightConnector1">
                            <a:avLst/>
                          </a:prstGeom>
                          <a:ln w="12700" cmpd="sng">
                            <a:solidFill>
                              <a:schemeClr val="tx1"/>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281" name="直接连接符 35"/>
                        <wps:cNvCnPr/>
                        <wps:spPr>
                          <a:xfrm>
                            <a:off x="3542688" y="957084"/>
                            <a:ext cx="324809" cy="0"/>
                          </a:xfrm>
                          <a:prstGeom prst="line">
                            <a:avLst/>
                          </a:prstGeom>
                          <a:ln w="9525" cmpd="sng">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83" name="文本框 36"/>
                        <wps:cNvSpPr txBox="1"/>
                        <wps:spPr>
                          <a:xfrm>
                            <a:off x="3857480" y="798283"/>
                            <a:ext cx="757889"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A40648">
                              <w:pPr>
                                <w:spacing w:line="240" w:lineRule="auto"/>
                                <w:rPr>
                                  <w:sz w:val="18"/>
                                  <w:szCs w:val="18"/>
                                  <w:lang w:eastAsia="zh-Hans"/>
                                </w:rPr>
                              </w:pPr>
                              <w:r>
                                <w:rPr>
                                  <w:rFonts w:hint="eastAsia"/>
                                  <w:sz w:val="18"/>
                                  <w:szCs w:val="18"/>
                                  <w:lang w:eastAsia="zh-Hans"/>
                                </w:rPr>
                                <w:t>商品流通</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84" name="直接连接符 37"/>
                        <wps:cNvCnPr/>
                        <wps:spPr>
                          <a:xfrm>
                            <a:off x="3542948" y="1257177"/>
                            <a:ext cx="324809" cy="0"/>
                          </a:xfrm>
                          <a:prstGeom prst="line">
                            <a:avLst/>
                          </a:prstGeom>
                          <a:ln w="1270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85" name="文本框 38"/>
                        <wps:cNvSpPr txBox="1"/>
                        <wps:spPr>
                          <a:xfrm>
                            <a:off x="3857989" y="1100786"/>
                            <a:ext cx="1371417"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D624F4">
                              <w:pPr>
                                <w:spacing w:line="240" w:lineRule="auto"/>
                                <w:rPr>
                                  <w:sz w:val="18"/>
                                  <w:szCs w:val="18"/>
                                  <w:lang w:eastAsia="zh-Hans"/>
                                </w:rPr>
                              </w:pPr>
                              <w:r>
                                <w:rPr>
                                  <w:rFonts w:hint="eastAsia"/>
                                  <w:sz w:val="18"/>
                                  <w:szCs w:val="18"/>
                                  <w:lang w:eastAsia="zh-Hans"/>
                                </w:rPr>
                                <w:t>资本循环中的生产过程</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86" name="直接连接符 39"/>
                        <wps:cNvCnPr/>
                        <wps:spPr>
                          <a:xfrm>
                            <a:off x="3543162" y="1556871"/>
                            <a:ext cx="32480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7" name="文本框 40"/>
                        <wps:cNvSpPr txBox="1"/>
                        <wps:spPr>
                          <a:xfrm>
                            <a:off x="3858468" y="1403169"/>
                            <a:ext cx="1376114"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0A50C">
                              <w:pPr>
                                <w:spacing w:line="240" w:lineRule="auto"/>
                                <w:rPr>
                                  <w:sz w:val="18"/>
                                  <w:szCs w:val="18"/>
                                  <w:lang w:eastAsia="zh-Hans"/>
                                </w:rPr>
                              </w:pPr>
                              <w:r>
                                <w:rPr>
                                  <w:rFonts w:hint="eastAsia"/>
                                  <w:sz w:val="18"/>
                                  <w:szCs w:val="18"/>
                                  <w:lang w:eastAsia="zh-Hans"/>
                                </w:rPr>
                                <w:t>资本循环中的流通过程</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88" name="直接连接符 41"/>
                        <wps:cNvCnPr/>
                        <wps:spPr>
                          <a:xfrm flipV="1">
                            <a:off x="136153" y="2588247"/>
                            <a:ext cx="1126763" cy="0"/>
                          </a:xfrm>
                          <a:prstGeom prst="line">
                            <a:avLst/>
                          </a:prstGeom>
                          <a:ln w="12700">
                            <a:prstDash val="sysDot"/>
                          </a:ln>
                        </wps:spPr>
                        <wps:style>
                          <a:lnRef idx="1">
                            <a:schemeClr val="dk1"/>
                          </a:lnRef>
                          <a:fillRef idx="0">
                            <a:schemeClr val="dk1"/>
                          </a:fillRef>
                          <a:effectRef idx="0">
                            <a:schemeClr val="dk1"/>
                          </a:effectRef>
                          <a:fontRef idx="minor">
                            <a:schemeClr val="tx1"/>
                          </a:fontRef>
                        </wps:style>
                        <wps:bodyPr/>
                      </wps:wsp>
                      <wps:wsp>
                        <wps:cNvPr id="291" name="文本框 42"/>
                        <wps:cNvSpPr txBox="1"/>
                        <wps:spPr>
                          <a:xfrm>
                            <a:off x="1263624" y="427757"/>
                            <a:ext cx="360899" cy="287017"/>
                          </a:xfrm>
                          <a:prstGeom prst="rect">
                            <a:avLst/>
                          </a:prstGeom>
                          <a:noFill/>
                          <a:ln w="6350">
                            <a:solidFill>
                              <a:schemeClr val="tx1"/>
                            </a:solidFill>
                          </a:ln>
                        </wps:spPr>
                        <wps:txbx>
                          <w:txbxContent>
                            <w:p w14:paraId="668F0266">
                              <w:pPr>
                                <w:spacing w:line="240" w:lineRule="auto"/>
                                <w:jc w:val="center"/>
                              </w:pPr>
                              <w:r>
                                <w:rPr>
                                  <w:rFonts w:ascii="Times New Roman" w:hAnsi="Times New Roman" w:cs="Times New Roman"/>
                                  <w:position w:val="-10"/>
                                </w:rPr>
                                <w:object>
                                  <v:shape id="_x0000_i1026" o:spt="75" type="#_x0000_t75" style="height:14.6pt;width:14.6pt;" o:ole="t" filled="f" o:preferrelative="t" stroked="f" coordsize="21600,21600">
                                    <v:path/>
                                    <v:fill on="f" focussize="0,0"/>
                                    <v:stroke on="f" joinstyle="miter"/>
                                    <v:imagedata r:id="rId46" o:title=""/>
                                    <o:lock v:ext="edit" aspectratio="t"/>
                                    <w10:wrap type="none"/>
                                    <w10:anchorlock/>
                                  </v:shape>
                                  <o:OLEObject Type="Embed" ProgID="Equation.KSEE3" ShapeID="_x0000_i1026" DrawAspect="Content" ObjectID="_1468075727" r:id="rId45">
                                    <o:LockedField>false</o:LockedField>
                                  </o:OLEObject>
                                </w:objec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92" name="文本框 43"/>
                        <wps:cNvSpPr txBox="1"/>
                        <wps:spPr>
                          <a:xfrm>
                            <a:off x="1263624" y="2448738"/>
                            <a:ext cx="360899" cy="287017"/>
                          </a:xfrm>
                          <a:prstGeom prst="rect">
                            <a:avLst/>
                          </a:prstGeom>
                          <a:noFill/>
                          <a:ln w="6350">
                            <a:solidFill>
                              <a:schemeClr val="tx1"/>
                            </a:solidFill>
                          </a:ln>
                        </wps:spPr>
                        <wps:txbx>
                          <w:txbxContent>
                            <w:p w14:paraId="3BCE3C80">
                              <w:pPr>
                                <w:spacing w:line="240" w:lineRule="auto"/>
                                <w:jc w:val="center"/>
                                <w:rPr>
                                  <w:rFonts w:ascii="Times New Roman" w:hAnsi="Times New Roman" w:cs="Times New Roman"/>
                                </w:rPr>
                              </w:pPr>
                              <w:r>
                                <w:rPr>
                                  <w:rFonts w:ascii="Times New Roman" w:hAnsi="Times New Roman" w:cs="Times New Roman"/>
                                </w:rPr>
                                <w:t>P</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93" name="直接连接符 44"/>
                        <wps:cNvCnPr/>
                        <wps:spPr>
                          <a:xfrm flipH="1">
                            <a:off x="512799" y="1340828"/>
                            <a:ext cx="0" cy="517718"/>
                          </a:xfrm>
                          <a:prstGeom prst="line">
                            <a:avLst/>
                          </a:prstGeom>
                          <a:ln w="12700">
                            <a:prstDash val="dash"/>
                          </a:ln>
                        </wps:spPr>
                        <wps:style>
                          <a:lnRef idx="1">
                            <a:schemeClr val="dk1"/>
                          </a:lnRef>
                          <a:fillRef idx="0">
                            <a:schemeClr val="dk1"/>
                          </a:fillRef>
                          <a:effectRef idx="0">
                            <a:schemeClr val="dk1"/>
                          </a:effectRef>
                          <a:fontRef idx="minor">
                            <a:schemeClr val="tx1"/>
                          </a:fontRef>
                        </wps:style>
                        <wps:bodyPr/>
                      </wps:wsp>
                      <wps:wsp>
                        <wps:cNvPr id="294" name="文本框 45"/>
                        <wps:cNvSpPr txBox="1"/>
                        <wps:spPr>
                          <a:xfrm>
                            <a:off x="181528" y="751357"/>
                            <a:ext cx="360899" cy="394648"/>
                          </a:xfrm>
                          <a:prstGeom prst="rect">
                            <a:avLst/>
                          </a:prstGeom>
                          <a:noFill/>
                          <a:ln w="6350">
                            <a:noFill/>
                          </a:ln>
                        </wps:spPr>
                        <wps:txbx>
                          <w:txbxContent>
                            <w:p w14:paraId="309EF0DE">
                              <w:pPr>
                                <w:spacing w:line="240" w:lineRule="auto"/>
                                <w:jc w:val="center"/>
                              </w:pPr>
                              <w:r>
                                <w:rPr>
                                  <w:rFonts w:hint="eastAsia"/>
                                </w:rPr>
                                <w:t>出口</w:t>
                              </w:r>
                            </w:p>
                          </w:txbxContent>
                        </wps:txbx>
                        <wps:bodyPr rot="0" spcFirstLastPara="0" vertOverflow="overflow" horzOverflow="overflow" vert="eaVert" wrap="square" lIns="91120" tIns="45560" rIns="91120" bIns="45560" numCol="1" spcCol="0" rtlCol="0" fromWordArt="0" anchor="t" anchorCtr="0" forceAA="0" compatLnSpc="1">
                          <a:noAutofit/>
                        </wps:bodyPr>
                      </wps:wsp>
                      <wps:wsp>
                        <wps:cNvPr id="296" name="文本框 46"/>
                        <wps:cNvSpPr txBox="1"/>
                        <wps:spPr>
                          <a:xfrm>
                            <a:off x="2453238" y="405200"/>
                            <a:ext cx="360944" cy="287306"/>
                          </a:xfrm>
                          <a:prstGeom prst="rect">
                            <a:avLst/>
                          </a:prstGeom>
                          <a:noFill/>
                          <a:ln w="6350">
                            <a:solidFill>
                              <a:schemeClr val="tx1"/>
                            </a:solidFill>
                          </a:ln>
                        </wps:spPr>
                        <wps:txbx>
                          <w:txbxContent>
                            <w:p w14:paraId="65047D76">
                              <w:pPr>
                                <w:spacing w:line="240" w:lineRule="auto"/>
                                <w:jc w:val="center"/>
                              </w:pPr>
                              <w:r>
                                <w:rPr>
                                  <w:rFonts w:ascii="Times New Roman" w:hAnsi="Times New Roman" w:cs="Times New Roman"/>
                                </w:rPr>
                                <w:t>G</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297" name="直接箭头连接符 47"/>
                        <wps:cNvCnPr/>
                        <wps:spPr>
                          <a:xfrm>
                            <a:off x="1628150" y="511018"/>
                            <a:ext cx="830068" cy="0"/>
                          </a:xfrm>
                          <a:prstGeom prst="straightConnector1">
                            <a:avLst/>
                          </a:prstGeom>
                          <a:ln w="12700"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298" name="直接箭头连接符 48"/>
                        <wps:cNvCnPr/>
                        <wps:spPr>
                          <a:xfrm flipH="1">
                            <a:off x="2688475" y="714430"/>
                            <a:ext cx="0" cy="1147959"/>
                          </a:xfrm>
                          <a:prstGeom prst="straightConnector1">
                            <a:avLst/>
                          </a:prstGeom>
                          <a:ln w="12700"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299" name="直接连接符 49"/>
                        <wps:cNvCnPr/>
                        <wps:spPr>
                          <a:xfrm>
                            <a:off x="2821935" y="513283"/>
                            <a:ext cx="577383" cy="0"/>
                          </a:xfrm>
                          <a:prstGeom prst="line">
                            <a:avLst/>
                          </a:prstGeom>
                          <a:ln w="63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300" name="直接连接符 50"/>
                        <wps:cNvCnPr/>
                        <wps:spPr>
                          <a:xfrm flipV="1">
                            <a:off x="2821935" y="605044"/>
                            <a:ext cx="577383" cy="0"/>
                          </a:xfrm>
                          <a:prstGeom prst="line">
                            <a:avLst/>
                          </a:prstGeom>
                          <a:ln w="635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301" name="文本框 23"/>
                        <wps:cNvSpPr txBox="1"/>
                        <wps:spPr>
                          <a:xfrm>
                            <a:off x="702326" y="1002429"/>
                            <a:ext cx="332298" cy="28667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6E82AD">
                              <w:pPr>
                                <w:spacing w:line="240" w:lineRule="auto"/>
                                <w:rPr>
                                  <w:rFonts w:cs="Times New Roman"/>
                                  <w:szCs w:val="21"/>
                                </w:rPr>
                              </w:pPr>
                              <w:r>
                                <w:rPr>
                                  <w:rFonts w:hint="eastAsia" w:cs="Times New Roman"/>
                                  <w:szCs w:val="21"/>
                                </w:rPr>
                                <w:t>②</w:t>
                              </w:r>
                            </w:p>
                          </w:txbxContent>
                        </wps:txbx>
                        <wps:bodyPr rot="0" spcFirstLastPara="0" vert="horz" wrap="square" lIns="91120" tIns="45560" rIns="91120" bIns="45560" numCol="1" spcCol="0" rtlCol="0" fromWordArt="0" anchor="t" anchorCtr="0" forceAA="0" compatLnSpc="1">
                          <a:noAutofit/>
                        </wps:bodyPr>
                      </wps:wsp>
                      <wps:wsp>
                        <wps:cNvPr id="302" name="文本框 52"/>
                        <wps:cNvSpPr txBox="1"/>
                        <wps:spPr>
                          <a:xfrm>
                            <a:off x="3439714" y="2288703"/>
                            <a:ext cx="688057" cy="287017"/>
                          </a:xfrm>
                          <a:prstGeom prst="rect">
                            <a:avLst/>
                          </a:prstGeom>
                          <a:noFill/>
                          <a:ln w="6350">
                            <a:noFill/>
                          </a:ln>
                        </wps:spPr>
                        <wps:txbx>
                          <w:txbxContent>
                            <w:p w14:paraId="3C7019D0">
                              <w:pPr>
                                <w:spacing w:line="240" w:lineRule="auto"/>
                                <w:jc w:val="center"/>
                                <w:rPr>
                                  <w:rFonts w:ascii="Times New Roman" w:hAnsi="Times New Roman" w:cs="Times New Roman"/>
                                </w:rPr>
                              </w:pPr>
                              <w:r>
                                <w:rPr>
                                  <w:rFonts w:ascii="Times New Roman" w:hAnsi="Times New Roman" w:cs="Times New Roman"/>
                                </w:rPr>
                                <w:t>W</w:t>
                              </w:r>
                              <w:r>
                                <w:rPr>
                                  <w:rFonts w:ascii="Times New Roman" w:hAnsi="Times New Roman" w:cs="Times New Roman"/>
                                  <w:vertAlign w:val="subscript"/>
                                </w:rPr>
                                <w:t>I</w:t>
                              </w:r>
                              <w:r>
                                <w:rPr>
                                  <w:rFonts w:hint="eastAsia" w:ascii="Times New Roman" w:hAnsi="Times New Roman" w:cs="Times New Roman"/>
                                </w:rPr>
                                <w:t>、</w:t>
                              </w:r>
                              <w:r>
                                <w:rPr>
                                  <w:rFonts w:ascii="Times New Roman" w:hAnsi="Times New Roman" w:cs="Times New Roman"/>
                                </w:rPr>
                                <w:t>W</w:t>
                              </w:r>
                              <w:r>
                                <w:rPr>
                                  <w:rFonts w:ascii="Times New Roman" w:hAnsi="Times New Roman" w:cs="Times New Roman"/>
                                  <w:vertAlign w:val="subscript"/>
                                </w:rPr>
                                <w:t>II</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303" name="文本框 53"/>
                        <wps:cNvSpPr txBox="1"/>
                        <wps:spPr>
                          <a:xfrm>
                            <a:off x="4338836" y="2288866"/>
                            <a:ext cx="288719" cy="287017"/>
                          </a:xfrm>
                          <a:prstGeom prst="rect">
                            <a:avLst/>
                          </a:prstGeom>
                          <a:noFill/>
                          <a:ln w="6350">
                            <a:noFill/>
                          </a:ln>
                        </wps:spPr>
                        <wps:txbx>
                          <w:txbxContent>
                            <w:p w14:paraId="61986458">
                              <w:pPr>
                                <w:spacing w:line="240" w:lineRule="auto"/>
                                <w:jc w:val="center"/>
                                <w:rPr>
                                  <w:rFonts w:ascii="Times New Roman" w:hAnsi="Times New Roman" w:cs="Times New Roman"/>
                                </w:rPr>
                              </w:pPr>
                              <w:r>
                                <w:rPr>
                                  <w:rFonts w:ascii="Times New Roman" w:hAnsi="Times New Roman" w:cs="Times New Roman"/>
                                </w:rPr>
                                <w:t>G</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304" name="文本框 54"/>
                        <wps:cNvSpPr txBox="1"/>
                        <wps:spPr>
                          <a:xfrm>
                            <a:off x="4828661" y="2289256"/>
                            <a:ext cx="433079" cy="287017"/>
                          </a:xfrm>
                          <a:prstGeom prst="rect">
                            <a:avLst/>
                          </a:prstGeom>
                          <a:noFill/>
                          <a:ln w="6350">
                            <a:noFill/>
                          </a:ln>
                        </wps:spPr>
                        <wps:txbx>
                          <w:txbxContent>
                            <w:p w14:paraId="13B5EEBB">
                              <w:pPr>
                                <w:spacing w:line="240" w:lineRule="auto"/>
                                <w:jc w:val="center"/>
                                <w:rPr>
                                  <w:rFonts w:ascii="Times New Roman" w:hAnsi="Times New Roman" w:cs="Times New Roman"/>
                                </w:rPr>
                              </w:pPr>
                              <w:r>
                                <w:rPr>
                                  <w:rFonts w:ascii="Times New Roman" w:hAnsi="Times New Roman" w:cs="Times New Roman"/>
                                </w:rPr>
                                <w:t>W</w:t>
                              </w:r>
                              <w:r>
                                <w:rPr>
                                  <w:rFonts w:ascii="Times New Roman" w:hAnsi="Times New Roman" w:cs="Times New Roman"/>
                                  <w:vertAlign w:val="subscript"/>
                                </w:rPr>
                                <w:t>II</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305" name="直接箭头连接符 55"/>
                        <wps:cNvCnPr/>
                        <wps:spPr>
                          <a:xfrm>
                            <a:off x="4057725" y="2445253"/>
                            <a:ext cx="324809" cy="0"/>
                          </a:xfrm>
                          <a:prstGeom prst="straightConnector1">
                            <a:avLst/>
                          </a:prstGeom>
                          <a:ln w="9525" cmpd="sng">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306" name="直接箭头连接符 56"/>
                        <wps:cNvCnPr/>
                        <wps:spPr>
                          <a:xfrm>
                            <a:off x="4588409" y="2445253"/>
                            <a:ext cx="324809" cy="0"/>
                          </a:xfrm>
                          <a:prstGeom prst="straightConnector1">
                            <a:avLst/>
                          </a:prstGeom>
                          <a:ln w="9525" cmpd="sng">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307" name="文本框 57"/>
                        <wps:cNvSpPr txBox="1"/>
                        <wps:spPr>
                          <a:xfrm>
                            <a:off x="172491" y="2704200"/>
                            <a:ext cx="2484000" cy="288000"/>
                          </a:xfrm>
                          <a:prstGeom prst="rect">
                            <a:avLst/>
                          </a:prstGeom>
                          <a:noFill/>
                          <a:ln w="6350">
                            <a:noFill/>
                          </a:ln>
                        </wps:spPr>
                        <wps:txbx>
                          <w:txbxContent>
                            <w:p w14:paraId="61E2D5B1">
                              <w:pPr>
                                <w:spacing w:line="240" w:lineRule="auto"/>
                                <w:rPr>
                                  <w:sz w:val="18"/>
                                  <w:szCs w:val="18"/>
                                </w:rPr>
                              </w:pPr>
                              <w:r>
                                <w:rPr>
                                  <w:rFonts w:hint="eastAsia"/>
                                  <w:sz w:val="18"/>
                                  <w:szCs w:val="18"/>
                                </w:rPr>
                                <w:t>资本直接生产过程：劳动过程与价值增殖过程</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308" name="文本框 58"/>
                        <wps:cNvSpPr txBox="1"/>
                        <wps:spPr>
                          <a:xfrm>
                            <a:off x="494691" y="2339356"/>
                            <a:ext cx="720000" cy="287017"/>
                          </a:xfrm>
                          <a:prstGeom prst="rect">
                            <a:avLst/>
                          </a:prstGeom>
                          <a:noFill/>
                          <a:ln w="6350">
                            <a:noFill/>
                          </a:ln>
                        </wps:spPr>
                        <wps:txbx>
                          <w:txbxContent>
                            <w:p w14:paraId="124A2218">
                              <w:pPr>
                                <w:spacing w:line="240" w:lineRule="auto"/>
                                <w:jc w:val="center"/>
                                <w:rPr>
                                  <w:rFonts w:ascii="Times New Roman" w:hAnsi="Times New Roman" w:cs="Times New Roman"/>
                                </w:rPr>
                              </w:pPr>
                              <w:r>
                                <w:rPr>
                                  <w:rFonts w:ascii="Times New Roman" w:hAnsi="Times New Roman" w:cs="Times New Roman"/>
                                </w:rPr>
                                <w:t>c + v + m</w:t>
                              </w:r>
                            </w:p>
                          </w:txbxContent>
                        </wps:txbx>
                        <wps:bodyPr rot="0" spcFirstLastPara="0" vertOverflow="overflow" horzOverflow="overflow" vert="horz" wrap="square" lIns="91120" tIns="45560" rIns="91120" bIns="45560" numCol="1" spcCol="0" rtlCol="0" fromWordArt="0" anchor="ctr" anchorCtr="0" forceAA="0" compatLnSpc="1">
                          <a:noAutofit/>
                        </wps:bodyPr>
                      </wps:wsp>
                      <wps:wsp>
                        <wps:cNvPr id="309" name="文本框 59"/>
                        <wps:cNvSpPr txBox="1"/>
                        <wps:spPr>
                          <a:xfrm>
                            <a:off x="998088" y="1434638"/>
                            <a:ext cx="469169" cy="574034"/>
                          </a:xfrm>
                          <a:prstGeom prst="rect">
                            <a:avLst/>
                          </a:prstGeom>
                          <a:noFill/>
                          <a:ln w="6350">
                            <a:noFill/>
                          </a:ln>
                        </wps:spPr>
                        <wps:txbx>
                          <w:txbxContent>
                            <w:p w14:paraId="4F156F2A">
                              <w:pPr>
                                <w:spacing w:line="240" w:lineRule="auto"/>
                              </w:pPr>
                              <w:r>
                                <w:rPr>
                                  <w:rFonts w:hint="eastAsia"/>
                                </w:rPr>
                                <w:t>进口</w:t>
                              </w:r>
                              <w:r>
                                <w:object>
                                  <v:shape id="_x0000_i1027" o:spt="75" type="#_x0000_t75" style="height:14.6pt;width:14.6pt;" o:ole="t" filled="f" o:preferrelative="t" stroked="f" coordsize="21600,21600">
                                    <v:path/>
                                    <v:fill on="f" focussize="0,0"/>
                                    <v:stroke on="f" joinstyle="miter"/>
                                    <v:imagedata r:id="rId48" o:title=""/>
                                    <o:lock v:ext="edit" aspectratio="t"/>
                                    <w10:wrap type="none"/>
                                    <w10:anchorlock/>
                                  </v:shape>
                                  <o:OLEObject Type="Embed" ProgID="Equation.KSEE3" ShapeID="_x0000_i1027" DrawAspect="Content" ObjectID="_1468075728" r:id="rId47">
                                    <o:LockedField>false</o:LockedField>
                                  </o:OLEObject>
                                </w:object>
                              </w:r>
                            </w:p>
                          </w:txbxContent>
                        </wps:txbx>
                        <wps:bodyPr rot="0" spcFirstLastPara="0" vertOverflow="overflow" horzOverflow="overflow" vert="eaVert" wrap="square" lIns="91120" tIns="45560" rIns="91120" bIns="45560" numCol="1" spcCol="0" rtlCol="0" fromWordArt="0" anchor="t" anchorCtr="0" forceAA="0" compatLnSpc="1">
                          <a:noAutofit/>
                        </wps:bodyPr>
                      </wps:wsp>
                      <wps:wsp>
                        <wps:cNvPr id="60" name="文本框 60"/>
                        <wps:cNvSpPr txBox="1"/>
                        <wps:spPr>
                          <a:xfrm>
                            <a:off x="1355597" y="1434696"/>
                            <a:ext cx="469169" cy="574034"/>
                          </a:xfrm>
                          <a:prstGeom prst="rect">
                            <a:avLst/>
                          </a:prstGeom>
                          <a:noFill/>
                          <a:ln w="6350">
                            <a:noFill/>
                          </a:ln>
                        </wps:spPr>
                        <wps:txbx>
                          <w:txbxContent>
                            <w:p w14:paraId="067D8F69">
                              <w:pPr>
                                <w:spacing w:line="240" w:lineRule="auto"/>
                              </w:pPr>
                              <w:r>
                                <w:rPr>
                                  <w:rFonts w:hint="eastAsia"/>
                                </w:rPr>
                                <w:t>进口</w:t>
                              </w:r>
                              <w:r>
                                <w:object>
                                  <v:shape id="_x0000_i1028" o:spt="75" type="#_x0000_t75" style="height:14.6pt;width:14.6pt;" o:ole="t" filled="f" o:preferrelative="t" stroked="f" coordsize="21600,21600">
                                    <v:path/>
                                    <v:fill on="f" focussize="0,0"/>
                                    <v:stroke on="f" joinstyle="miter"/>
                                    <v:imagedata r:id="rId50" o:title=""/>
                                    <o:lock v:ext="edit" aspectratio="t"/>
                                    <w10:wrap type="none"/>
                                    <w10:anchorlock/>
                                  </v:shape>
                                  <o:OLEObject Type="Embed" ProgID="Equation.KSEE3" ShapeID="_x0000_i1028" DrawAspect="Content" ObjectID="_1468075729" r:id="rId49">
                                    <o:LockedField>false</o:LockedField>
                                  </o:OLEObject>
                                </w:object>
                              </w:r>
                            </w:p>
                          </w:txbxContent>
                        </wps:txbx>
                        <wps:bodyPr rot="0" spcFirstLastPara="0" vertOverflow="overflow" horzOverflow="overflow" vert="eaVert" wrap="square" lIns="91120" tIns="45560" rIns="91120" bIns="45560" numCol="1" spcCol="0" rtlCol="0" fromWordArt="0" anchor="t" anchorCtr="0" forceAA="0" compatLnSpc="1">
                          <a:noAutofit/>
                        </wps:bodyPr>
                      </wps:wsp>
                      <wps:wsp>
                        <wps:cNvPr id="310" name="文本框 61"/>
                        <wps:cNvSpPr txBox="1"/>
                        <wps:spPr>
                          <a:xfrm>
                            <a:off x="1866718" y="579186"/>
                            <a:ext cx="288719" cy="2870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B983D5">
                              <w:pPr>
                                <w:spacing w:line="240" w:lineRule="auto"/>
                                <w:jc w:val="center"/>
                                <w:rPr>
                                  <w:lang w:eastAsia="zh-Hans"/>
                                </w:rPr>
                              </w:pPr>
                              <w:r>
                                <w:rPr>
                                  <w:rFonts w:hint="eastAsia"/>
                                  <w:lang w:eastAsia="zh-Hans"/>
                                </w:rPr>
                                <w:t>③</w:t>
                              </w:r>
                            </w:p>
                          </w:txbxContent>
                        </wps:txbx>
                        <wps:bodyPr rot="0" spcFirstLastPara="0" vertOverflow="overflow" horzOverflow="overflow" vert="horz" wrap="square" lIns="91120" tIns="45560" rIns="91120" bIns="45560" numCol="1" spcCol="0" rtlCol="0" fromWordArt="0" anchor="t" anchorCtr="0" forceAA="0" compatLnSpc="1">
                          <a:noAutofit/>
                        </wps:bodyPr>
                      </wps:wsp>
                      <wps:wsp>
                        <wps:cNvPr id="311" name="文本框 62"/>
                        <wps:cNvSpPr txBox="1"/>
                        <wps:spPr>
                          <a:xfrm>
                            <a:off x="3428613" y="1728329"/>
                            <a:ext cx="1846889" cy="288000"/>
                          </a:xfrm>
                          <a:prstGeom prst="rect">
                            <a:avLst/>
                          </a:prstGeom>
                          <a:noFill/>
                          <a:ln w="6350">
                            <a:noFill/>
                          </a:ln>
                        </wps:spPr>
                        <wps:txbx>
                          <w:txbxContent>
                            <w:p w14:paraId="49E4B9D0">
                              <w:pPr>
                                <w:spacing w:line="240" w:lineRule="auto"/>
                                <w:rPr>
                                  <w:sz w:val="18"/>
                                  <w:szCs w:val="18"/>
                                </w:rPr>
                              </w:pPr>
                              <w:r>
                                <w:rPr>
                                  <w:rFonts w:hint="eastAsia"/>
                                  <w:sz w:val="18"/>
                                  <w:szCs w:val="18"/>
                                  <w:lang w:eastAsia="zh-Hans"/>
                                </w:rPr>
                                <w:t>①</w:t>
                              </w:r>
                              <w:r>
                                <w:rPr>
                                  <w:rFonts w:hint="eastAsia"/>
                                  <w:sz w:val="18"/>
                                  <w:szCs w:val="18"/>
                                </w:rPr>
                                <w:t>、</w:t>
                              </w:r>
                              <w:r>
                                <w:rPr>
                                  <w:rFonts w:hint="eastAsia" w:cs="Times New Roman"/>
                                  <w:sz w:val="18"/>
                                  <w:szCs w:val="18"/>
                                </w:rPr>
                                <w:t>②、</w:t>
                              </w:r>
                              <w:r>
                                <w:rPr>
                                  <w:rFonts w:hint="eastAsia"/>
                                  <w:sz w:val="18"/>
                                  <w:szCs w:val="18"/>
                                  <w:lang w:eastAsia="zh-Hans"/>
                                </w:rPr>
                                <w:t>③</w:t>
                              </w:r>
                              <w:r>
                                <w:rPr>
                                  <w:rFonts w:hint="eastAsia"/>
                                  <w:sz w:val="18"/>
                                  <w:szCs w:val="18"/>
                                </w:rPr>
                                <w:t>表示同一行为的买卖</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9" name="文本框 63"/>
                        <wps:cNvSpPr txBox="1"/>
                        <wps:spPr>
                          <a:xfrm>
                            <a:off x="3446705" y="2070675"/>
                            <a:ext cx="1774462" cy="252000"/>
                          </a:xfrm>
                          <a:prstGeom prst="rect">
                            <a:avLst/>
                          </a:prstGeom>
                          <a:noFill/>
                          <a:ln w="6350">
                            <a:noFill/>
                          </a:ln>
                        </wps:spPr>
                        <wps:txbx>
                          <w:txbxContent>
                            <w:p w14:paraId="699DE320">
                              <w:pPr>
                                <w:spacing w:line="240" w:lineRule="auto"/>
                                <w:rPr>
                                  <w:sz w:val="18"/>
                                  <w:szCs w:val="18"/>
                                </w:rPr>
                              </w:pPr>
                              <w:r>
                                <w:rPr>
                                  <w:rFonts w:hint="eastAsia"/>
                                  <w:sz w:val="18"/>
                                  <w:szCs w:val="18"/>
                                </w:rPr>
                                <w:t>资本家消费引起的商品流通为：</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5112861" name="直接连接符 375112861"/>
                        <wps:cNvCnPr/>
                        <wps:spPr>
                          <a:xfrm flipV="1">
                            <a:off x="441164" y="839915"/>
                            <a:ext cx="0" cy="397400"/>
                          </a:xfrm>
                          <a:prstGeom prst="line">
                            <a:avLst/>
                          </a:prstGeom>
                        </wps:spPr>
                        <wps:style>
                          <a:lnRef idx="1">
                            <a:schemeClr val="dk1"/>
                          </a:lnRef>
                          <a:fillRef idx="0">
                            <a:schemeClr val="dk1"/>
                          </a:fillRef>
                          <a:effectRef idx="0">
                            <a:schemeClr val="dk1"/>
                          </a:effectRef>
                          <a:fontRef idx="minor">
                            <a:schemeClr val="tx1"/>
                          </a:fontRef>
                        </wps:style>
                        <wps:bodyPr/>
                      </wps:wsp>
                      <wps:wsp>
                        <wps:cNvPr id="538808290" name="直接箭头连接符 538808290"/>
                        <wps:cNvCnPr/>
                        <wps:spPr>
                          <a:xfrm flipV="1">
                            <a:off x="1623667" y="630528"/>
                            <a:ext cx="827405" cy="0"/>
                          </a:xfrm>
                          <a:prstGeom prst="straightConnector1">
                            <a:avLst/>
                          </a:prstGeom>
                          <a:ln w="12700">
                            <a:prstDash val="dash"/>
                            <a:headEnd type="arrow"/>
                            <a:tailEnd type="arrow"/>
                          </a:ln>
                        </wps:spPr>
                        <wps:style>
                          <a:lnRef idx="1">
                            <a:schemeClr val="dk1"/>
                          </a:lnRef>
                          <a:fillRef idx="0">
                            <a:schemeClr val="dk1"/>
                          </a:fillRef>
                          <a:effectRef idx="0">
                            <a:schemeClr val="dk1"/>
                          </a:effectRef>
                          <a:fontRef idx="minor">
                            <a:schemeClr val="tx1"/>
                          </a:fontRef>
                        </wps:style>
                        <wps:bodyPr/>
                      </wps:wsp>
                    </wpc:wpc>
                  </a:graphicData>
                </a:graphic>
              </wp:anchor>
            </w:drawing>
          </mc:Choice>
          <mc:Fallback>
            <w:pict>
              <v:group id="画布 1" o:spid="_x0000_s1026" o:spt="203" style="position:absolute;left:0pt;margin-left:24pt;margin-top:-219.95pt;height:235.95pt;width:415.55pt;mso-wrap-distance-bottom:0pt;mso-wrap-distance-top:0pt;z-index:251688960;mso-width-relative:page;mso-height-relative:page;" coordsize="5277485,2996565" editas="canvas" o:gfxdata="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">
                <o:lock v:ext="edit" aspectratio="f"/>
                <v:shape id="画布 1" o:spid="_x0000_s1026" style="position:absolute;left:0;top:0;height:2996565;width:5277485;" filled="f" stroked="f" coordsize="21600,21600" o:gfxdata="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">
                  <v:fill on="f" focussize="0,0"/>
                  <v:stroke on="f"/>
                  <v:imagedata o:title=""/>
                  <o:lock v:ext="edit" aspectratio="f"/>
                </v:shape>
                <v:line id="直接连接符 1" o:spid="_x0000_s1026" o:spt="20" style="position:absolute;left:441298;top:1248272;height:612000;width:0;" filled="f" stroked="t" coordsize="21600,21600" o:gfxdata="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t2rqdoAAAAKAQAADwAAAAAAAAABACAAAAAiAAAAZHJzL2Rvd25yZXYueG1sUEsBAhQA&#10;FAAAAAgAh07iQGmZf0PwAQAAvgMAAA4AAAAAAAAAAQAgAAAAKQEAAGRycy9lMm9Eb2MueG1sUEsF&#10;BgAAAAAGAAYAWQEAAIsFAAAAAA==&#10;">
                  <v:fill on="f" focussize="0,0"/>
                  <v:stroke weight="1pt" color="#000000 [3213]" miterlimit="8" joinstyle="miter"/>
                  <v:imagedata o:title=""/>
                  <o:lock v:ext="edit" aspectratio="f"/>
                </v:line>
                <v:shape id="直接箭头连接符 2" o:spid="_x0000_s1026" o:spt="32" type="#_x0000_t32" style="position:absolute;left:436931;top:1241877;height:0;width:830068;" filled="f" stroked="t" coordsize="21600,21600" o:gfxdata="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vlsv+2QAAAAoBAAAPAAAAAAAA&#10;AAEAIAAAACIAAABkcnMvZG93bnJldi54bWxQSwECFAAUAAAACACHTuJAQ+Fx6hECAADrAwAADgAA&#10;AAAAAAABACAAAAAoAQAAZHJzL2Uyb0RvYy54bWxQSwUGAAAAAAYABgBZAQAAqwUAAAAA&#10;">
                  <v:fill on="f" focussize="0,0"/>
                  <v:stroke weight="1pt" color="#000000 [3213]" miterlimit="8" joinstyle="miter" endarrow="open"/>
                  <v:imagedata o:title=""/>
                  <o:lock v:ext="edit" aspectratio="f"/>
                </v:shape>
                <v:shape id="文本框 4" o:spid="_x0000_s1026" o:spt="202" type="#_x0000_t202" style="position:absolute;left:1263624;top:1148390;height:287017;width:360899;" filled="f" stroked="t" coordsize="21600,21600" o:gfxdata="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H3wj/aAAAACgEAAA8AAAAAAAAAAQAgAAAAIgAAAGRycy9kb3ducmV2&#10;LnhtbFBLAQIUABQAAAAIAIdO4kBhNBTrbAIAAMAEAAAOAAAAAAAAAAEAIAAAACkBAABkcnMvZTJv&#10;RG9jLnhtbFBLBQYAAAAABgAGAFkBAAAHBgAAAAA=&#10;">
                  <v:fill on="f" focussize="0,0"/>
                  <v:stroke weight="0.25pt" color="#000000 [3213]" joinstyle="round"/>
                  <v:imagedata o:title=""/>
                  <o:lock v:ext="edit" aspectratio="f"/>
                  <v:textbox inset="7.1748031496063pt,71.748031496063,7.1748031496063pt,71.748031496063">
                    <w:txbxContent>
                      <w:p w14:paraId="78EEF90A">
                        <w:pPr>
                          <w:spacing w:line="240" w:lineRule="auto"/>
                          <w:jc w:val="center"/>
                          <w:textAlignment w:val="center"/>
                        </w:pPr>
                        <w:r>
                          <w:rPr>
                            <w:rFonts w:ascii="Times New Roman Regular" w:hAnsi="Times New Roman Regular" w:cs="Times New Roman"/>
                          </w:rPr>
                          <w:t>G</w:t>
                        </w:r>
                      </w:p>
                    </w:txbxContent>
                  </v:textbox>
                </v:shape>
                <v:shape id="直接箭头连接符 6" o:spid="_x0000_s1026" o:spt="32" type="#_x0000_t32" style="position:absolute;left:523159;top:1345339;height:0;width:739843;" filled="f" stroked="t" coordsize="21600,21600" o:gfxdata="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ADBiTaAAAACgEAAA8A&#10;AAAAAAAAAQAgAAAAIgAAAGRycy9kb3ducmV2LnhtbFBLAQIUABQAAAAIAIdO4kAWUwkDFQIAAOoD&#10;AAAOAAAAAAAAAAEAIAAAACkBAABkcnMvZTJvRG9jLnhtbFBLBQYAAAAABgAGAFkBAACwBQAAAAA=&#10;">
                  <v:fill on="f" focussize="0,0"/>
                  <v:stroke weight="1pt" color="#000000 [3213]" miterlimit="8" joinstyle="miter" dashstyle="dash" endarrow="open"/>
                  <v:imagedata o:title=""/>
                  <o:lock v:ext="edit" aspectratio="f"/>
                </v:shape>
                <v:shape id="文本框 8" o:spid="_x0000_s1026" o:spt="202" type="#_x0000_t202" style="position:absolute;left:294797;top:1862388;height:286700;width:360898;" filled="f" stroked="t" coordsize="21600,21600" o:gfxdata="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dbquq2QAAAAoBAAAPAAAAAAAAAAEAIAAAACIAAABkcnMvZG93bnJldi54bWxQSwECFAAUAAAA&#10;CACHTuJAoFjqbl8CAACbBAAADgAAAAAAAAABACAAAAAoAQAAZHJzL2Uyb0RvYy54bWxQSwUGAAAA&#10;AAYABgBZAQAA+QUAAAAA&#10;">
                  <v:fill on="f" focussize="0,0"/>
                  <v:stroke weight="0.5pt" color="#000000 [3213]" joinstyle="round"/>
                  <v:imagedata o:title=""/>
                  <o:lock v:ext="edit" aspectratio="f"/>
                  <v:textbox inset="7.1748031496063pt,71.748031496063,7.1748031496063pt,71.748031496063">
                    <w:txbxContent>
                      <w:p w14:paraId="3E45ECFA">
                        <w:pPr>
                          <w:spacing w:line="240" w:lineRule="auto"/>
                          <w:jc w:val="center"/>
                          <w:rPr>
                            <w:rFonts w:ascii="Times New Roman" w:hAnsi="Times New Roman" w:cs="Times New Roman"/>
                          </w:rPr>
                        </w:pPr>
                        <w:r>
                          <w:rPr>
                            <w:position w:val="-10"/>
                          </w:rPr>
                          <w:object>
                            <v:shape id="_x0000_i1025" o:spt="75" type="#_x0000_t75" style="height:13.9pt;width:14.6pt;" o:ole="t" filled="f" o:preferrelative="t" stroked="f" coordsize="21600,21600">
                              <v:path/>
                              <v:fill on="f" focussize="0,0"/>
                              <v:stroke on="f" joinstyle="miter"/>
                              <v:imagedata r:id="rId44" o:title=""/>
                              <o:lock v:ext="edit" aspectratio="t"/>
                              <w10:wrap type="none"/>
                              <w10:anchorlock/>
                            </v:shape>
                            <o:OLEObject Type="Embed" ProgID="Equation.KSEE3" ShapeID="_x0000_i1025" DrawAspect="Content" ObjectID="_1468075730" r:id="rId51">
                              <o:LockedField>false</o:LockedField>
                            </o:OLEObject>
                          </w:object>
                        </w:r>
                      </w:p>
                    </w:txbxContent>
                  </v:textbox>
                </v:shape>
                <v:line id="直接连接符 9" o:spid="_x0000_s1026" o:spt="20" style="position:absolute;left:1623824;top:1241842;height:0;width:1064652;" filled="f" stroked="t" coordsize="21600,21600" o:gfxdata="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t2rqdoAAAAKAQAADwAAAAAAAAABACAAAAAiAAAAZHJzL2Rvd25yZXYueG1sUEsB&#10;AhQAFAAAAAgAh07iQI+CuYPzAQAAwAMAAA4AAAAAAAAAAQAgAAAAKQEAAGRycy9lMm9Eb2MueG1s&#10;UEsFBgAAAAAGAAYAWQEAAI4FAAAAAA==&#10;">
                  <v:fill on="f" focussize="0,0"/>
                  <v:stroke weight="1pt" color="#000000 [3213]" miterlimit="8" joinstyle="miter"/>
                  <v:imagedata o:title=""/>
                  <o:lock v:ext="edit" aspectratio="f"/>
                </v:line>
                <v:shape id="直接箭头连接符 10" o:spid="_x0000_s1026" o:spt="32" type="#_x0000_t32" style="position:absolute;left:1438685;top:718471;flip:y;height:430526;width:0;" filled="f" stroked="t" coordsize="21600,21600" o:gfxdata="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1O4extoAAAAKAQAA&#10;DwAAAAAAAAABACAAAAAiAAAAZHJzL2Rvd25yZXYueG1sUEsBAhQAFAAAAAgAh07iQDNB3iwXAgAA&#10;9QMAAA4AAAAAAAAAAQAgAAAAKQEAAGRycy9lMm9Eb2MueG1sUEsFBgAAAAAGAAYAWQEAALIFAAAA&#10;AA==&#10;">
                  <v:fill on="f" focussize="0,0"/>
                  <v:stroke weight="1pt" color="#000000 [3213]" miterlimit="8" joinstyle="miter" dashstyle="dash" endarrow="open"/>
                  <v:imagedata o:title=""/>
                  <o:lock v:ext="edit" aspectratio="f"/>
                </v:shape>
                <v:shape id="直接箭头连接符 12" o:spid="_x0000_s1026" o:spt="32" type="#_x0000_t32" style="position:absolute;left:1639889;top:1344752;flip:x;height:0;width:974428;" filled="f" stroked="t" coordsize="21600,21600" o:gfxdata="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U7h7G2gAA&#10;AAoBAAAPAAAAAAAAAAEAIAAAACIAAABkcnMvZG93bnJldi54bWxQSwECFAAUAAAACACHTuJAqW2Z&#10;TRwCAAD2AwAADgAAAAAAAAABACAAAAApAQAAZHJzL2Uyb0RvYy54bWxQSwUGAAAAAAYABgBZAQAA&#10;twUAAAAA&#10;">
                  <v:fill on="f" focussize="0,0"/>
                  <v:stroke weight="1pt" color="#000000 [3213]" miterlimit="8" joinstyle="miter" dashstyle="dash" endarrow="open"/>
                  <v:imagedata o:title=""/>
                  <o:lock v:ext="edit" aspectratio="f"/>
                </v:shape>
                <v:shape id="直接箭头连接符 13" o:spid="_x0000_s1026" o:spt="32" type="#_x0000_t32" style="position:absolute;left:2624007;top:714552;flip:y;height:1148068;width:0;" filled="f" stroked="t" coordsize="21600,21600" o:gfxdata="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TuHsbaAAAACgEA&#10;AA8AAAAAAAAAAQAgAAAAIgAAAGRycy9kb3ducmV2LnhtbFBLAQIUABQAAAAIAIdO4kDPLkyIGAIA&#10;APYDAAAOAAAAAAAAAAEAIAAAACkBAABkcnMvZTJvRG9jLnhtbFBLBQYAAAAABgAGAFkBAACzBQAA&#10;AAA=&#10;">
                  <v:fill on="f" focussize="0,0"/>
                  <v:stroke weight="1pt" color="#000000 [3213]" miterlimit="8" joinstyle="miter" dashstyle="dash" endarrow="open"/>
                  <v:imagedata o:title=""/>
                  <o:lock v:ext="edit" aspectratio="f"/>
                </v:shape>
                <v:shape id="文本框 14" o:spid="_x0000_s1026" o:spt="202" type="#_x0000_t202" style="position:absolute;left:2771204;top:265237;height:287017;width:688057;"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iUGsV2QAAAAoBAAAPAAAAAAAAAAEA&#10;IAAAACIAAABkcnMvZG93bnJldi54bWxQSwECFAAUAAAACACHTuJA+rM8XEcCAABzBAAADgAAAAAA&#10;AAABACAAAAAoAQAAZHJzL2Uyb0RvYy54bWxQSwUGAAAAAAYABgBZAQAA4QUAAAAA&#10;">
                  <v:fill on="f" focussize="0,0"/>
                  <v:stroke on="f" weight="0.5pt"/>
                  <v:imagedata o:title=""/>
                  <o:lock v:ext="edit" aspectratio="f"/>
                  <v:textbox inset="7.1748031496063pt,71.748031496063,7.1748031496063pt,71.748031496063">
                    <w:txbxContent>
                      <w:p w14:paraId="0A2DD211">
                        <w:pPr>
                          <w:spacing w:line="240" w:lineRule="auto"/>
                          <w:jc w:val="center"/>
                        </w:pPr>
                        <w:r>
                          <w:rPr>
                            <w:rFonts w:hint="eastAsia" w:ascii="Cambria Math" w:hAnsi="Cambria Math"/>
                            <w:lang w:eastAsia="zh-Hans"/>
                          </w:rPr>
                          <w:t>进口</w:t>
                        </w:r>
                        <w:r>
                          <w:rPr>
                            <w:rFonts w:ascii="Times New Roman" w:hAnsi="Times New Roman" w:cs="Times New Roman"/>
                          </w:rPr>
                          <w:t>W</w:t>
                        </w:r>
                        <w:r>
                          <w:rPr>
                            <w:rFonts w:ascii="Times New Roman" w:hAnsi="Times New Roman" w:cs="Times New Roman"/>
                            <w:vertAlign w:val="subscript"/>
                          </w:rPr>
                          <w:t>II</w:t>
                        </w:r>
                      </w:p>
                    </w:txbxContent>
                  </v:textbox>
                </v:shape>
                <v:shape id="文本框 15" o:spid="_x0000_s1026" o:spt="202" type="#_x0000_t202" style="position:absolute;left:2771171;top:557425;height:287017;width:651843;"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4lBrFdkAAAAKAQAADwAAAAAAAAAB&#10;ACAAAAAiAAAAZHJzL2Rvd25yZXYueG1sUEsBAhQAFAAAAAgAh07iQPHsIBdIAgAAcwQAAA4AAAAA&#10;AAAAAQAgAAAAKAEAAGRycy9lMm9Eb2MueG1sUEsFBgAAAAAGAAYAWQEAAOIFAAAAAA==&#10;">
                  <v:fill on="f" focussize="0,0"/>
                  <v:stroke on="f" weight="0.5pt"/>
                  <v:imagedata o:title=""/>
                  <o:lock v:ext="edit" aspectratio="f"/>
                  <v:textbox inset="7.1748031496063pt,71.748031496063,7.1748031496063pt,71.748031496063">
                    <w:txbxContent>
                      <w:p w14:paraId="35078694">
                        <w:pPr>
                          <w:spacing w:line="240" w:lineRule="auto"/>
                          <w:jc w:val="center"/>
                          <w:rPr>
                            <w:position w:val="6"/>
                            <w:vertAlign w:val="subscript"/>
                          </w:rPr>
                        </w:pPr>
                        <w:r>
                          <w:rPr>
                            <w:rFonts w:hint="eastAsia" w:ascii="Cambria Math" w:hAnsi="Cambria Math"/>
                            <w:position w:val="6"/>
                            <w:lang w:eastAsia="zh-Hans"/>
                          </w:rPr>
                          <w:t>进</w:t>
                        </w:r>
                        <w:r>
                          <w:rPr>
                            <w:rFonts w:hint="eastAsia" w:ascii="Cambria Math" w:hAnsi="Cambria Math"/>
                            <w:position w:val="6"/>
                          </w:rPr>
                          <w:t>口</w:t>
                        </w:r>
                        <w:r>
                          <w:rPr>
                            <w:rFonts w:ascii="Times New Roman" w:hAnsi="Times New Roman" w:cs="Times New Roman"/>
                            <w:position w:val="6"/>
                          </w:rPr>
                          <w:t>W</w:t>
                        </w:r>
                        <w:r>
                          <w:rPr>
                            <w:rFonts w:ascii="Times New Roman" w:hAnsi="Times New Roman" w:cs="Times New Roman"/>
                            <w:position w:val="6"/>
                            <w:vertAlign w:val="subscript"/>
                          </w:rPr>
                          <w:t>I</w:t>
                        </w:r>
                      </w:p>
                    </w:txbxContent>
                  </v:textbox>
                </v:shape>
                <v:line id="直接连接符 16" o:spid="_x0000_s1026" o:spt="20" style="position:absolute;left:2686521;top:1858545;height:251140;width:288719;" filled="f" stroked="t" coordsize="21600,21600" o:gfxdata="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rdq6naAAAACgEAAA8AAAAAAAAAAQAgAAAAIgAAAGRycy9kb3ducmV2Lnht&#10;bFBLAQIUABQAAAAIAIdO4kDaRSRG9wEAAMUDAAAOAAAAAAAAAAEAIAAAACkBAABkcnMvZTJvRG9j&#10;LnhtbFBLBQYAAAAABgAGAFkBAACSBQAAAAA=&#10;">
                  <v:fill on="f" focussize="0,0"/>
                  <v:stroke weight="1pt" color="#000000 [3213]" miterlimit="8" joinstyle="miter"/>
                  <v:imagedata o:title=""/>
                  <o:lock v:ext="edit" aspectratio="f"/>
                </v:line>
                <v:line id="直接连接符 17" o:spid="_x0000_s1026" o:spt="20" style="position:absolute;left:2330704;top:1862388;flip:x;height:251140;width:288719;" filled="f" stroked="t" coordsize="21600,21600" o:gfxdata="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gJfbY2wAAAAoBAAAPAAAAAAAAAAEAIAAAACIAAABkcnMv&#10;ZG93bnJldi54bWxQSwECFAAUAAAACACHTuJABZsWpAACAADOAwAADgAAAAAAAAABACAAAAAqAQAA&#10;ZHJzL2Uyb0RvYy54bWxQSwUGAAAAAAYABgBZAQAAnAUAAAAA&#10;">
                  <v:fill on="f" focussize="0,0"/>
                  <v:stroke weight="1pt" color="#000000 [3213]" miterlimit="8" joinstyle="miter" dashstyle="dash"/>
                  <v:imagedata o:title=""/>
                  <o:lock v:ext="edit" aspectratio="f"/>
                </v:line>
                <v:line id="直接连接符 18" o:spid="_x0000_s1026" o:spt="20" style="position:absolute;left:2399294;top:1863486;flip:x;height:251140;width:288719;" filled="f" stroked="t" coordsize="21600,21600" o:gfxdata="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lH4qvYAAAACgEAAA8AAAAAAAAAAQAgAAAAIgAAAGRycy9kb3du&#10;cmV2LnhtbFBLAQIUABQAAAAIAIdO4kA7Pnv7/wEAAM8DAAAOAAAAAAAAAAEAIAAAACcBAABkcnMv&#10;ZTJvRG9jLnhtbFBLBQYAAAAABgAGAFkBAACYBQAAAAA=&#10;">
                  <v:fill on="f" focussize="0,0"/>
                  <v:stroke weight="1pt" color="#000000 [3213]" miterlimit="8" joinstyle="miter"/>
                  <v:imagedata o:title=""/>
                  <o:lock v:ext="edit" aspectratio="f"/>
                </v:line>
                <v:shape id="文本框 19" o:spid="_x0000_s1026" o:spt="202" type="#_x0000_t202" style="position:absolute;left:2227759;top:2008673;height:287017;width:28871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iUGsV2QAAAAoBAAAPAAAAAAAAAAEA&#10;IAAAACIAAABkcnMvZG93bnJldi54bWxQSwECFAAUAAAACACHTuJAZ15OtUcCAAB0BAAADgAAAAAA&#10;AAABACAAAAAoAQAAZHJzL2Uyb0RvYy54bWxQSwUGAAAAAAYABgBZAQAA4QUAAAAA&#10;">
                  <v:fill on="f" focussize="0,0"/>
                  <v:stroke on="f" weight="0.5pt"/>
                  <v:imagedata o:title=""/>
                  <o:lock v:ext="edit" aspectratio="f"/>
                  <v:textbox inset="7.1748031496063pt,71.748031496063,7.1748031496063pt,71.748031496063">
                    <w:txbxContent>
                      <w:p w14:paraId="5536878C">
                        <w:pPr>
                          <w:spacing w:line="240" w:lineRule="auto"/>
                          <w:jc w:val="center"/>
                          <w:rPr>
                            <w:rFonts w:ascii="Times New Roman Regular" w:hAnsi="Times New Roman Regular" w:cs="Times New Roman Regular"/>
                          </w:rPr>
                        </w:pPr>
                        <w:r>
                          <w:rPr>
                            <w:rFonts w:ascii="Times New Roman Regular" w:hAnsi="Times New Roman Regular" w:cs="Times New Roman Regular"/>
                          </w:rPr>
                          <w:t>A</w:t>
                        </w:r>
                      </w:p>
                    </w:txbxContent>
                  </v:textbox>
                </v:shape>
                <v:line id="直接连接符 20" o:spid="_x0000_s1026" o:spt="20" style="position:absolute;left:1488975;top:1441025;height:538157;width:0;" filled="f" stroked="t" coordsize="21600,21600" o:gfxdata="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moNyNoAAAAKAQAADwAAAAAAAAABACAAAAAiAAAAZHJzL2Rvd25yZXYueG1sUEsBAhQA&#10;FAAAAAgAh07iQG7s/CHwAQAAvwMAAA4AAAAAAAAAAQAgAAAAKQEAAGRycy9lMm9Eb2MueG1sUEsF&#10;BgAAAAAGAAYAWQEAAIsFAAAAAA==&#10;">
                  <v:fill on="f" focussize="0,0"/>
                  <v:stroke weight="0.5pt" color="#000000 [3213]" miterlimit="8" joinstyle="miter"/>
                  <v:imagedata o:title=""/>
                  <o:lock v:ext="edit" aspectratio="f"/>
                </v:line>
                <v:line id="直接连接符 21" o:spid="_x0000_s1026" o:spt="20" style="position:absolute;left:1397307;top:1439760;height:538157;width:0;" filled="f" stroked="t" coordsize="21600,21600" o:gfxdata="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8aetTbAAAACgEAAA8AAAAAAAAAAQAgAAAAIgAAAGRycy9kb3ducmV2LnhtbFBLAQIU&#10;ABQAAAAIAIdO4kBWFwH88AEAAL4DAAAOAAAAAAAAAAEAIAAAACoBAABkcnMvZTJvRG9jLnhtbFBL&#10;BQYAAAAABgAGAFkBAACMBQAAAAA=&#10;">
                  <v:fill on="f" focussize="0,0"/>
                  <v:stroke weight="0.5pt" color="#000000 [3213]" miterlimit="8" joinstyle="miter" dashstyle="dash"/>
                  <v:imagedata o:title=""/>
                  <o:lock v:ext="edit" aspectratio="f"/>
                </v:line>
                <v:line id="直接连接符 22" o:spid="_x0000_s1026" o:spt="20" style="position:absolute;left:134957;top:507541;height:2088000;width:0;" filled="f" stroked="t" coordsize="21600,21600" o:gfxdata="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LGmVn9sAAAAKAQAADwAAAAAAAAABACAAAAAiAAAAZHJzL2Rvd25yZXYueG1s&#10;UEsBAhQAFAAAAAgAh07iQIEtYPH1AQAAwAMAAA4AAAAAAAAAAQAgAAAAKgEAAGRycy9lMm9Eb2Mu&#10;eG1sUEsFBgAAAAAGAAYAWQEAAJEFAAAAAA==&#10;">
                  <v:fill on="f" focussize="0,0"/>
                  <v:stroke weight="1pt" color="#000000 [3213]" miterlimit="8" joinstyle="miter" dashstyle="1 1"/>
                  <v:imagedata o:title=""/>
                  <o:lock v:ext="edit" aspectratio="f"/>
                </v:line>
                <v:shape id="直接箭头连接符 23" o:spid="_x0000_s1026" o:spt="32" type="#_x0000_t32" style="position:absolute;left:1623667;top:2588247;flip:x;height:0;width:1064652;" filled="f" stroked="t" coordsize="21600,21600" o:gfxdata="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B9PeWNkA&#10;AAAKAQAADwAAAAAAAAABACAAAAAiAAAAZHJzL2Rvd25yZXYueG1sUEsBAhQAFAAAAAgAh07iQE5w&#10;vmYeAgAA+QMAAA4AAAAAAAAAAQAgAAAAKAEAAGRycy9lMm9Eb2MueG1sUEsFBgAAAAAGAAYAWQEA&#10;ALgFAAAAAA==&#10;">
                  <v:fill on="f" focussize="0,0"/>
                  <v:stroke weight="1pt" color="#000000 [3213]" miterlimit="8" joinstyle="miter" dashstyle="1 1" endarrow="open"/>
                  <v:imagedata o:title=""/>
                  <o:lock v:ext="edit" aspectratio="f"/>
                </v:shape>
                <v:line id="直接连接符 24" o:spid="_x0000_s1026" o:spt="20" style="position:absolute;left:2697051;top:2080243;height:504000;width:0;" filled="f" stroked="t" coordsize="21600,21600" o:gfxdata="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saZWf2wAAAAoBAAAPAAAAAAAAAAEAIAAAACIAAABkcnMvZG93bnJldi54bWxQ&#10;SwECFAAUAAAACACHTuJA8ywxuPQBAADBAwAADgAAAAAAAAABACAAAAAqAQAAZHJzL2Uyb0RvYy54&#10;bWxQSwUGAAAAAAYABgBZAQAAkAUAAAAA&#10;">
                  <v:fill on="f" focussize="0,0"/>
                  <v:stroke weight="1pt" color="#000000 [3213]" miterlimit="8" joinstyle="miter" dashstyle="1 1"/>
                  <v:imagedata o:title=""/>
                  <o:lock v:ext="edit" aspectratio="f"/>
                </v:line>
                <v:line id="直接连接符 25" o:spid="_x0000_s1026" o:spt="20" style="position:absolute;left:1441231;top:67696;height:358771;width:0;" filled="f" stroked="t" coordsize="21600,21600" o:gfxdata="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t2rqdoAAAAKAQAADwAAAAAAAAABACAAAAAiAAAAZHJzL2Rvd25yZXYueG1sUEsBAhQA&#10;FAAAAAgAh07iQPKbGp7wAQAAvgMAAA4AAAAAAAAAAQAgAAAAKQEAAGRycy9lMm9Eb2MueG1sUEsF&#10;BgAAAAAGAAYAWQEAAIsFAAAAAA==&#10;">
                  <v:fill on="f" focussize="0,0"/>
                  <v:stroke weight="1pt" color="#000000 [3200]" miterlimit="8" joinstyle="miter"/>
                  <v:imagedata o:title=""/>
                  <o:lock v:ext="edit" aspectratio="f"/>
                </v:line>
                <v:shape id="文本框 26" o:spid="_x0000_s1026" o:spt="202" type="#_x0000_t202" style="position:absolute;left:1175268;top:36002;height:396000;width:360000;" filled="f" stroked="f" coordsize="21600,21600" o:gfxdata="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fDoikNsAAAAKAQAADwAAAAAAAAAB&#10;ACAAAAAiAAAAZHJzL2Rvd25yZXYueG1sUEsBAhQAFAAAAAgAh07iQFPu6OlGAgAAdAQAAA4AAAAA&#10;AAAAAQAgAAAAKgEAAGRycy9lMm9Eb2MueG1sUEsFBgAAAAAGAAYAWQEAAOIFAAAAAA==&#10;">
                  <v:fill on="f" focussize="0,0"/>
                  <v:stroke on="f" weight="0.5pt"/>
                  <v:imagedata o:title=""/>
                  <o:lock v:ext="edit" aspectratio="f"/>
                  <v:textbox inset="7.1748031496063pt,71.748031496063,7.1748031496063pt,71.748031496063" style="layout-flow:vertical-ideographic;">
                    <w:txbxContent>
                      <w:p w14:paraId="61220824">
                        <w:pPr>
                          <w:spacing w:line="240" w:lineRule="auto"/>
                          <w:rPr>
                            <w:lang w:eastAsia="zh-Hans"/>
                          </w:rPr>
                        </w:pPr>
                        <w:r>
                          <w:rPr>
                            <w:rFonts w:hint="eastAsia"/>
                            <w:lang w:eastAsia="zh-Hans"/>
                          </w:rPr>
                          <w:t>出口</w:t>
                        </w:r>
                      </w:p>
                    </w:txbxContent>
                  </v:textbox>
                </v:shape>
                <v:shape id="直接箭头连接符 27" o:spid="_x0000_s1026" o:spt="32" type="#_x0000_t32" style="position:absolute;left:134155;top:511000;height:0;width:1118787;" filled="f" stroked="t" coordsize="21600,21600" o:gfxdata="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3+KXJdoAAAAKAQAADwAA&#10;AAAAAAABACAAAAAiAAAAZHJzL2Rvd25yZXYueG1sUEsBAhQAFAAAAAgAh07iQB2XKuwUAgAA7QMA&#10;AA4AAAAAAAAAAQAgAAAAKQEAAGRycy9lMm9Eb2MueG1sUEsFBgAAAAAGAAYAWQEAAK8FAAAAAA==&#10;">
                  <v:fill on="f" focussize="0,0"/>
                  <v:stroke weight="1pt" color="#000000 [3213]" miterlimit="8" joinstyle="miter" dashstyle="1 1" endarrow="open"/>
                  <v:imagedata o:title=""/>
                  <o:lock v:ext="edit" aspectratio="f"/>
                </v:shape>
                <v:shape id="文本框 28" o:spid="_x0000_s1026" o:spt="202" type="#_x0000_t202" style="position:absolute;left:1866718;top:275851;height:287017;width:28871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iUGsV2QAAAAoBAAAPAAAAAAAAAAEA&#10;IAAAACIAAABkcnMvZG93bnJldi54bWxQSwECFAAUAAAACACHTuJA1VbdiEcCAABzBAAADgAAAAAA&#10;AAABACAAAAAoAQAAZHJzL2Uyb0RvYy54bWxQSwUGAAAAAAYABgBZAQAA4QUAAAAA&#10;">
                  <v:fill on="f" focussize="0,0"/>
                  <v:stroke on="f" weight="0.5pt"/>
                  <v:imagedata o:title=""/>
                  <o:lock v:ext="edit" aspectratio="f"/>
                  <v:textbox inset="7.1748031496063pt,71.748031496063,7.1748031496063pt,71.748031496063">
                    <w:txbxContent>
                      <w:p w14:paraId="061CE393">
                        <w:pPr>
                          <w:spacing w:line="240" w:lineRule="auto"/>
                          <w:jc w:val="center"/>
                          <w:rPr>
                            <w:lang w:eastAsia="zh-Hans"/>
                          </w:rPr>
                        </w:pPr>
                        <w:r>
                          <w:rPr>
                            <w:rFonts w:hint="eastAsia"/>
                            <w:lang w:eastAsia="zh-Hans"/>
                          </w:rPr>
                          <w:t>③</w:t>
                        </w:r>
                      </w:p>
                    </w:txbxContent>
                  </v:textbox>
                </v:shape>
                <v:shape id="文本框 29" o:spid="_x0000_s1026" o:spt="202" type="#_x0000_t202" style="position:absolute;left:2249315;top:1761909;height:287017;width:288719;" filled="f" stroked="f" coordsize="21600,21600" o:gfxdata="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ZSGxbbAAAACgEAAA8AAAAAAAAAAQAgAAAAIgAAAGRycy9kb3ducmV2LnhtbFBLAQIUABQAAAAI&#10;AIdO4kDIyfANXAIAAJgEAAAOAAAAAAAAAAEAIAAAACoBAABkcnMvZTJvRG9jLnhtbFBLBQYAAAAA&#10;BgAGAFkBAAD4BQAAAAA=&#10;">
                  <v:fill on="f" focussize="0,0"/>
                  <v:stroke on="f"/>
                  <v:imagedata o:title=""/>
                  <o:lock v:ext="edit" aspectratio="f"/>
                  <v:textbox inset="7.1748031496063pt,71.748031496063,7.1748031496063pt,71.748031496063">
                    <w:txbxContent>
                      <w:p w14:paraId="1D0646E5">
                        <w:pPr>
                          <w:spacing w:line="240" w:lineRule="auto"/>
                          <w:rPr>
                            <w:lang w:eastAsia="zh-Hans"/>
                          </w:rPr>
                        </w:pPr>
                        <w:r>
                          <w:rPr>
                            <w:rFonts w:hint="eastAsia"/>
                            <w:lang w:eastAsia="zh-Hans"/>
                          </w:rPr>
                          <w:t>①</w:t>
                        </w:r>
                      </w:p>
                    </w:txbxContent>
                  </v:textbox>
                </v:shape>
                <v:shape id="文本框 30" o:spid="_x0000_s1026" o:spt="202" type="#_x0000_t202" style="position:absolute;left:2399293;top:1945229;height:288000;width:289708;v-text-anchor:middle;" filled="f" stroked="f" coordsize="21600,21600" o:gfxdata="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lwsW42QAAAAoBAAAPAAAAAAAAAAEAIAAAACIAAABkcnMvZG93bnJldi54bWxQSwECFAAUAAAA&#10;CACHTuJA1dH5aV8CAACaBAAADgAAAAAAAAABACAAAAAoAQAAZHJzL2Uyb0RvYy54bWxQSwUGAAAA&#10;AAYABgBZAQAA+QUAAAAA&#10;">
                  <v:fill on="f" focussize="0,0"/>
                  <v:stroke on="f"/>
                  <v:imagedata o:title=""/>
                  <o:lock v:ext="edit" aspectratio="f"/>
                  <v:textbox inset="7.1748031496063pt,71.748031496063,7.1748031496063pt,71.748031496063">
                    <w:txbxContent>
                      <w:p w14:paraId="1BFD9554">
                        <w:pPr>
                          <w:spacing w:line="240" w:lineRule="auto"/>
                          <w:rPr>
                            <w:lang w:eastAsia="zh-Hans"/>
                          </w:rPr>
                        </w:pPr>
                        <w:r>
                          <w:rPr>
                            <w:rFonts w:hint="eastAsia"/>
                            <w:lang w:eastAsia="zh-Hans"/>
                          </w:rPr>
                          <w:t>①</w:t>
                        </w:r>
                      </w:p>
                    </w:txbxContent>
                  </v:textbox>
                </v:shape>
                <v:shape id="文本框 31" o:spid="_x0000_s1026" o:spt="202" type="#_x0000_t202" style="position:absolute;left:2738241;top:1768807;height:287017;width:28871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iUGsV2QAAAAoBAAAPAAAAAAAA&#10;AAEAIAAAACIAAABkcnMvZG93bnJldi54bWxQSwECFAAUAAAACACHTuJASKKQNkoCAAB0BAAADgAA&#10;AAAAAAABACAAAAAoAQAAZHJzL2Uyb0RvYy54bWxQSwUGAAAAAAYABgBZAQAA5AUAAAAA&#10;">
                  <v:fill on="f" focussize="0,0"/>
                  <v:stroke on="f" weight="0.5pt"/>
                  <v:imagedata o:title=""/>
                  <o:lock v:ext="edit" aspectratio="f"/>
                  <v:textbox inset="7.1748031496063pt,71.748031496063,7.1748031496063pt,71.748031496063">
                    <w:txbxContent>
                      <w:p w14:paraId="13DFBB15">
                        <w:pPr>
                          <w:spacing w:line="240" w:lineRule="auto"/>
                          <w:rPr>
                            <w:lang w:eastAsia="zh-Hans"/>
                          </w:rPr>
                        </w:pPr>
                        <w:r>
                          <w:rPr>
                            <w:rFonts w:hint="eastAsia"/>
                            <w:lang w:eastAsia="zh-Hans"/>
                          </w:rPr>
                          <w:t>②</w:t>
                        </w:r>
                      </w:p>
                    </w:txbxContent>
                  </v:textbox>
                </v:shape>
                <v:shape id="文本框 32" o:spid="_x0000_s1026" o:spt="202" type="#_x0000_t202" style="position:absolute;left:2893618;top:2008898;height:287017;width:36089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JQaxXZAAAACgEAAA8AAAAAAAAA&#10;AQAgAAAAIgAAAGRycy9kb3ducmV2LnhtbFBLAQIUABQAAAAIAIdO4kCbedkCSQIAAHQEAAAOAAAA&#10;AAAAAAEAIAAAACgBAABkcnMvZTJvRG9jLnhtbFBLBQYAAAAABgAGAFkBAADjBQAAAAA=&#10;">
                  <v:fill on="f" focussize="0,0"/>
                  <v:stroke on="f" weight="0.5pt"/>
                  <v:imagedata o:title=""/>
                  <o:lock v:ext="edit" aspectratio="f"/>
                  <v:textbox inset="7.1748031496063pt,71.748031496063,7.1748031496063pt,71.748031496063">
                    <w:txbxContent>
                      <w:p w14:paraId="1700C2A3">
                        <w:pPr>
                          <w:spacing w:line="240" w:lineRule="auto"/>
                          <w:jc w:val="center"/>
                          <w:rPr>
                            <w:rFonts w:ascii="Times New Roman" w:hAnsi="Times New Roman" w:cs="Times New Roman"/>
                            <w:position w:val="6"/>
                          </w:rPr>
                        </w:pPr>
                        <w:r>
                          <w:rPr>
                            <w:rFonts w:ascii="Times New Roman" w:hAnsi="Times New Roman" w:cs="Times New Roman"/>
                            <w:position w:val="6"/>
                          </w:rPr>
                          <w:t>P</w:t>
                        </w:r>
                        <w:r>
                          <w:rPr>
                            <w:rFonts w:ascii="Times New Roman" w:hAnsi="Times New Roman" w:cs="Times New Roman"/>
                            <w:position w:val="6"/>
                            <w:vertAlign w:val="subscript"/>
                          </w:rPr>
                          <w:t>mm</w:t>
                        </w:r>
                      </w:p>
                    </w:txbxContent>
                  </v:textbox>
                </v:shape>
                <v:shape id="文本框 33" o:spid="_x0000_s1026" o:spt="202" type="#_x0000_t202" style="position:absolute;left:1372881;top:830933;height:306291;width:359672;" filled="f" stroked="f" coordsize="21600,21600" o:gfxdata="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Hw6IpDbAAAACgEAAA8A&#10;AAAAAAAAAQAgAAAAIgAAAGRycy9kb3ducmV2LnhtbFBLAQIUABQAAAAIAIdO4kCYlrdkTQIAAHUE&#10;AAAOAAAAAAAAAAEAIAAAACoBAABkcnMvZTJvRG9jLnhtbFBLBQYAAAAABgAGAFkBAADpBQAAAAA=&#10;">
                  <v:fill on="f" focussize="0,0"/>
                  <v:stroke on="f" weight="0.5pt"/>
                  <v:imagedata o:title=""/>
                  <o:lock v:ext="edit" aspectratio="f"/>
                  <v:textbox inset="7.1748031496063pt,71.748031496063,7.1748031496063pt,71.748031496063" style="layout-flow:vertical-ideographic;">
                    <w:txbxContent>
                      <w:p w14:paraId="5ACE2096">
                        <w:pPr>
                          <w:spacing w:line="240" w:lineRule="auto"/>
                          <w:rPr>
                            <w:lang w:eastAsia="zh-Hans"/>
                          </w:rPr>
                        </w:pPr>
                        <w:r>
                          <w:rPr>
                            <w:rFonts w:hint="eastAsia"/>
                            <w:lang w:eastAsia="zh-Hans"/>
                          </w:rPr>
                          <w:t>③</w:t>
                        </w:r>
                      </w:p>
                      <w:p w14:paraId="30C50BDC">
                        <w:pPr>
                          <w:spacing w:line="240" w:lineRule="auto"/>
                        </w:pPr>
                      </w:p>
                    </w:txbxContent>
                  </v:textbox>
                </v:shape>
                <v:shape id="直接箭头连接符 34" o:spid="_x0000_s1026" o:spt="32" type="#_x0000_t32" style="position:absolute;left:472819;top:2160411;flip:y;height:430526;width:0;" filled="f" stroked="t" coordsize="21600,21600" o:gfxdata="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H095Y2QAAAAoB&#10;AAAPAAAAAAAAAAEAIAAAACIAAABkcnMvZG93bnJldi54bWxQSwECFAAUAAAACACHTuJA7Pkd+xoC&#10;AAD3AwAADgAAAAAAAAABACAAAAAoAQAAZHJzL2Uyb0RvYy54bWxQSwUGAAAAAAYABgBZAQAAtAUA&#10;AAAA&#10;">
                  <v:fill on="f" focussize="0,0"/>
                  <v:stroke weight="1pt" color="#000000 [3213]" miterlimit="8" joinstyle="miter" dashstyle="1 1" endarrow="open"/>
                  <v:imagedata o:title=""/>
                  <o:lock v:ext="edit" aspectratio="f"/>
                </v:shape>
                <v:line id="直接连接符 35" o:spid="_x0000_s1026" o:spt="20" style="position:absolute;left:3542688;top:957084;height:0;width:324809;" filled="f" stroked="t" coordsize="21600,21600" o:gfxdata="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pRxTr2QAAAAoBAAAPAAAAAAAAAAEAIAAAACIAAABkcnMvZG93bnJldi54bWxQSwEC&#10;FAAUAAAACACHTuJAB4i10/MBAAC9AwAADgAAAAAAAAABACAAAAAoAQAAZHJzL2Uyb0RvYy54bWxQ&#10;SwUGAAAAAAYABgBZAQAAjQUAAAAA&#10;">
                  <v:fill on="f" focussize="0,0"/>
                  <v:stroke color="#000000 [3213]" miterlimit="8" joinstyle="miter" dashstyle="dash"/>
                  <v:imagedata o:title=""/>
                  <o:lock v:ext="edit" aspectratio="f"/>
                </v:line>
                <v:shape id="文本框 36" o:spid="_x0000_s1026" o:spt="202" type="#_x0000_t202" style="position:absolute;left:3857480;top:798283;height:287017;width:75788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4lBrFdkAAAAKAQAADwAAAAAAAAAB&#10;ACAAAAAiAAAAZHJzL2Rvd25yZXYueG1sUEsBAhQAFAAAAAgAh07iQEZFjbFIAgAAcwQAAA4AAAAA&#10;AAAAAQAgAAAAKAEAAGRycy9lMm9Eb2MueG1sUEsFBgAAAAAGAAYAWQEAAOIFAAAAAA==&#10;">
                  <v:fill on="f" focussize="0,0"/>
                  <v:stroke on="f" weight="0.5pt"/>
                  <v:imagedata o:title=""/>
                  <o:lock v:ext="edit" aspectratio="f"/>
                  <v:textbox inset="7.1748031496063pt,71.748031496063,7.1748031496063pt,71.748031496063">
                    <w:txbxContent>
                      <w:p w14:paraId="3FA40648">
                        <w:pPr>
                          <w:spacing w:line="240" w:lineRule="auto"/>
                          <w:rPr>
                            <w:sz w:val="18"/>
                            <w:szCs w:val="18"/>
                            <w:lang w:eastAsia="zh-Hans"/>
                          </w:rPr>
                        </w:pPr>
                        <w:r>
                          <w:rPr>
                            <w:rFonts w:hint="eastAsia"/>
                            <w:sz w:val="18"/>
                            <w:szCs w:val="18"/>
                            <w:lang w:eastAsia="zh-Hans"/>
                          </w:rPr>
                          <w:t>商品流通</w:t>
                        </w:r>
                      </w:p>
                    </w:txbxContent>
                  </v:textbox>
                </v:shape>
                <v:line id="直接连接符 37" o:spid="_x0000_s1026" o:spt="20" style="position:absolute;left:3542948;top:1257177;height:0;width:324809;" filled="f" stroked="t" coordsize="21600,21600" o:gfxdata="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saZWf2wAAAAoBAAAPAAAAAAAAAAEAIAAAACIAAABkcnMvZG93bnJldi54&#10;bWxQSwECFAAUAAAACACHTuJA0w4bH/cBAADBAwAADgAAAAAAAAABACAAAAAqAQAAZHJzL2Uyb0Rv&#10;Yy54bWxQSwUGAAAAAAYABgBZAQAAkwUAAAAA&#10;">
                  <v:fill on="f" focussize="0,0"/>
                  <v:stroke weight="1pt" color="#000000 [3213]" miterlimit="8" joinstyle="miter" dashstyle="1 1"/>
                  <v:imagedata o:title=""/>
                  <o:lock v:ext="edit" aspectratio="f"/>
                </v:line>
                <v:shape id="文本框 38" o:spid="_x0000_s1026" o:spt="202" type="#_x0000_t202" style="position:absolute;left:3857989;top:1100786;height:287017;width:1371417;"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iUGsV2QAAAAoBAAAPAAAAAAAA&#10;AAEAIAAAACIAAABkcnMvZG93bnJldi54bWxQSwECFAAUAAAACACHTuJAl3qYB0oCAAB1BAAADgAA&#10;AAAAAAABACAAAAAoAQAAZHJzL2Uyb0RvYy54bWxQSwUGAAAAAAYABgBZAQAA5AUAAAAA&#10;">
                  <v:fill on="f" focussize="0,0"/>
                  <v:stroke on="f" weight="0.5pt"/>
                  <v:imagedata o:title=""/>
                  <o:lock v:ext="edit" aspectratio="f"/>
                  <v:textbox inset="7.1748031496063pt,71.748031496063,7.1748031496063pt,71.748031496063">
                    <w:txbxContent>
                      <w:p w14:paraId="7DD624F4">
                        <w:pPr>
                          <w:spacing w:line="240" w:lineRule="auto"/>
                          <w:rPr>
                            <w:sz w:val="18"/>
                            <w:szCs w:val="18"/>
                            <w:lang w:eastAsia="zh-Hans"/>
                          </w:rPr>
                        </w:pPr>
                        <w:r>
                          <w:rPr>
                            <w:rFonts w:hint="eastAsia"/>
                            <w:sz w:val="18"/>
                            <w:szCs w:val="18"/>
                            <w:lang w:eastAsia="zh-Hans"/>
                          </w:rPr>
                          <w:t>资本循环中的生产过程</w:t>
                        </w:r>
                      </w:p>
                    </w:txbxContent>
                  </v:textbox>
                </v:shape>
                <v:line id="直接连接符 39" o:spid="_x0000_s1026" o:spt="20" style="position:absolute;left:3543162;top:1556871;height:0;width:324809;" filled="f" stroked="t" coordsize="21600,21600" o:gfxdata="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63aup2gAAAAoBAAAPAAAAAAAAAAEAIAAAACIAAABkcnMvZG93bnJldi54bWxQ&#10;SwECFAAUAAAACACHTuJAKLez1PUBAADAAwAADgAAAAAAAAABACAAAAApAQAAZHJzL2Uyb0RvYy54&#10;bWxQSwUGAAAAAAYABgBZAQAAkAUAAAAA&#10;">
                  <v:fill on="f" focussize="0,0"/>
                  <v:stroke weight="1pt" color="#000000 [3213]" miterlimit="8" joinstyle="miter"/>
                  <v:imagedata o:title=""/>
                  <o:lock v:ext="edit" aspectratio="f"/>
                </v:line>
                <v:shape id="文本框 40" o:spid="_x0000_s1026" o:spt="202" type="#_x0000_t202" style="position:absolute;left:3858468;top:1403169;height:287017;width:1376114;"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4lBrFdkAAAAKAQAADwAAAAAAAAAB&#10;ACAAAAAiAAAAZHJzL2Rvd25yZXYueG1sUEsBAhQAFAAAAAgAh07iQClQeEBIAgAAdQQAAA4AAAAA&#10;AAAAAQAgAAAAKAEAAGRycy9lMm9Eb2MueG1sUEsFBgAAAAAGAAYAWQEAAOIFAAAAAA==&#10;">
                  <v:fill on="f" focussize="0,0"/>
                  <v:stroke on="f" weight="0.5pt"/>
                  <v:imagedata o:title=""/>
                  <o:lock v:ext="edit" aspectratio="f"/>
                  <v:textbox inset="7.1748031496063pt,71.748031496063,7.1748031496063pt,71.748031496063">
                    <w:txbxContent>
                      <w:p w14:paraId="1930A50C">
                        <w:pPr>
                          <w:spacing w:line="240" w:lineRule="auto"/>
                          <w:rPr>
                            <w:sz w:val="18"/>
                            <w:szCs w:val="18"/>
                            <w:lang w:eastAsia="zh-Hans"/>
                          </w:rPr>
                        </w:pPr>
                        <w:r>
                          <w:rPr>
                            <w:rFonts w:hint="eastAsia"/>
                            <w:sz w:val="18"/>
                            <w:szCs w:val="18"/>
                            <w:lang w:eastAsia="zh-Hans"/>
                          </w:rPr>
                          <w:t>资本循环中的流通过程</w:t>
                        </w:r>
                      </w:p>
                    </w:txbxContent>
                  </v:textbox>
                </v:shape>
                <v:line id="直接连接符 41" o:spid="_x0000_s1026" o:spt="20" style="position:absolute;left:136153;top:2588247;flip:y;height:0;width:1126763;" filled="f" stroked="t" coordsize="21600,21600" o:gfxdata="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59Eog2wAAAAoBAAAPAAAAAAAAAAEAIAAAACIAAABkcnMvZG93&#10;bnJldi54bWxQSwECFAAUAAAACACHTuJA2NcGh/0BAADLAwAADgAAAAAAAAABACAAAAAqAQAAZHJz&#10;L2Uyb0RvYy54bWxQSwUGAAAAAAYABgBZAQAAmQUAAAAA&#10;">
                  <v:fill on="f" focussize="0,0"/>
                  <v:stroke weight="1pt" color="#000000 [3200]" miterlimit="8" joinstyle="miter" dashstyle="1 1"/>
                  <v:imagedata o:title=""/>
                  <o:lock v:ext="edit" aspectratio="f"/>
                </v:line>
                <v:shape id="文本框 42" o:spid="_x0000_s1026" o:spt="202" type="#_x0000_t202" style="position:absolute;left:1263624;top:427757;height:287017;width:360899;" filled="f" stroked="t" coordsize="21600,21600" o:gfxdata="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1uq6rZAAAACgEAAA8AAAAAAAAAAQAgAAAAIgAAAGRycy9kb3ducmV2LnhtbFBLAQIUABQAAAAI&#10;AIdO4kBJqJURXgIAAJwEAAAOAAAAAAAAAAEAIAAAACgBAABkcnMvZTJvRG9jLnhtbFBLBQYAAAAA&#10;BgAGAFkBAAD4BQAAAAA=&#10;">
                  <v:fill on="f" focussize="0,0"/>
                  <v:stroke weight="0.5pt" color="#000000 [3213]" joinstyle="round"/>
                  <v:imagedata o:title=""/>
                  <o:lock v:ext="edit" aspectratio="f"/>
                  <v:textbox inset="7.1748031496063pt,71.748031496063,7.1748031496063pt,71.748031496063">
                    <w:txbxContent>
                      <w:p w14:paraId="668F0266">
                        <w:pPr>
                          <w:spacing w:line="240" w:lineRule="auto"/>
                          <w:jc w:val="center"/>
                        </w:pPr>
                        <w:r>
                          <w:rPr>
                            <w:rFonts w:ascii="Times New Roman" w:hAnsi="Times New Roman" w:cs="Times New Roman"/>
                            <w:position w:val="-10"/>
                          </w:rPr>
                          <w:object>
                            <v:shape id="_x0000_i1026" o:spt="75" type="#_x0000_t75" style="height:14.6pt;width:14.6pt;" o:ole="t" filled="f" o:preferrelative="t" stroked="f" coordsize="21600,21600">
                              <v:path/>
                              <v:fill on="f" focussize="0,0"/>
                              <v:stroke on="f" joinstyle="miter"/>
                              <v:imagedata r:id="rId46" o:title=""/>
                              <o:lock v:ext="edit" aspectratio="t"/>
                              <w10:wrap type="none"/>
                              <w10:anchorlock/>
                            </v:shape>
                            <o:OLEObject Type="Embed" ProgID="Equation.KSEE3" ShapeID="_x0000_i1026" DrawAspect="Content" ObjectID="_1468075731" r:id="rId52">
                              <o:LockedField>false</o:LockedField>
                            </o:OLEObject>
                          </w:object>
                        </w:r>
                      </w:p>
                    </w:txbxContent>
                  </v:textbox>
                </v:shape>
                <v:shape id="文本框 43" o:spid="_x0000_s1026" o:spt="202" type="#_x0000_t202" style="position:absolute;left:1263624;top:2448738;height:287017;width:360899;" filled="f" stroked="t" coordsize="21600,21600" o:gfxdata="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1uq6rZAAAACgEAAA8AAAAAAAAAAQAgAAAAIgAAAGRycy9kb3ducmV2LnhtbFBLAQIUABQAAAAI&#10;AIdO4kBC0c1lXgIAAJ0EAAAOAAAAAAAAAAEAIAAAACgBAABkcnMvZTJvRG9jLnhtbFBLBQYAAAAA&#10;BgAGAFkBAAD4BQAAAAA=&#10;">
                  <v:fill on="f" focussize="0,0"/>
                  <v:stroke weight="0.5pt" color="#000000 [3213]" joinstyle="round"/>
                  <v:imagedata o:title=""/>
                  <o:lock v:ext="edit" aspectratio="f"/>
                  <v:textbox inset="7.1748031496063pt,71.748031496063,7.1748031496063pt,71.748031496063">
                    <w:txbxContent>
                      <w:p w14:paraId="3BCE3C80">
                        <w:pPr>
                          <w:spacing w:line="240" w:lineRule="auto"/>
                          <w:jc w:val="center"/>
                          <w:rPr>
                            <w:rFonts w:ascii="Times New Roman" w:hAnsi="Times New Roman" w:cs="Times New Roman"/>
                          </w:rPr>
                        </w:pPr>
                        <w:r>
                          <w:rPr>
                            <w:rFonts w:ascii="Times New Roman" w:hAnsi="Times New Roman" w:cs="Times New Roman"/>
                          </w:rPr>
                          <w:t>P</w:t>
                        </w:r>
                      </w:p>
                    </w:txbxContent>
                  </v:textbox>
                </v:shape>
                <v:line id="直接连接符 44" o:spid="_x0000_s1026" o:spt="20" style="position:absolute;left:512799;top:1340828;flip:x;height:517718;width:0;" filled="f" stroked="t" coordsize="21600,21600" o:gfxdata="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CAl9tjbAAAACgEAAA8AAAAAAAAAAQAgAAAAIgAAAGRycy9kb3du&#10;cmV2LnhtbFBLAQIUABQAAAAIAIdO4kCk+MwF/AEAAMgDAAAOAAAAAAAAAAEAIAAAACoBAABkcnMv&#10;ZTJvRG9jLnhtbFBLBQYAAAAABgAGAFkBAACYBQAAAAA=&#10;">
                  <v:fill on="f" focussize="0,0"/>
                  <v:stroke weight="1pt" color="#000000 [3200]" miterlimit="8" joinstyle="miter" dashstyle="dash"/>
                  <v:imagedata o:title=""/>
                  <o:lock v:ext="edit" aspectratio="f"/>
                </v:line>
                <v:shape id="文本框 45" o:spid="_x0000_s1026" o:spt="202" type="#_x0000_t202" style="position:absolute;left:181528;top:751357;height:394648;width:360899;" filled="f" stroked="f" coordsize="21600,21600" o:gfxdata="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DoikNsAAAAKAQAADwAA&#10;AAAAAAABACAAAAAiAAAAZHJzL2Rvd25yZXYueG1sUEsBAhQAFAAAAAgAh07iQGfPf2pMAgAAdAQA&#10;AA4AAAAAAAAAAQAgAAAAKgEAAGRycy9lMm9Eb2MueG1sUEsFBgAAAAAGAAYAWQEAAOgFAAAAAA==&#10;">
                  <v:fill on="f" focussize="0,0"/>
                  <v:stroke on="f" weight="0.5pt"/>
                  <v:imagedata o:title=""/>
                  <o:lock v:ext="edit" aspectratio="f"/>
                  <v:textbox inset="7.1748031496063pt,71.748031496063,7.1748031496063pt,71.748031496063" style="layout-flow:vertical-ideographic;">
                    <w:txbxContent>
                      <w:p w14:paraId="309EF0DE">
                        <w:pPr>
                          <w:spacing w:line="240" w:lineRule="auto"/>
                          <w:jc w:val="center"/>
                        </w:pPr>
                        <w:r>
                          <w:rPr>
                            <w:rFonts w:hint="eastAsia"/>
                          </w:rPr>
                          <w:t>出口</w:t>
                        </w:r>
                      </w:p>
                    </w:txbxContent>
                  </v:textbox>
                </v:shape>
                <v:shape id="文本框 46" o:spid="_x0000_s1026" o:spt="202" type="#_x0000_t202" style="position:absolute;left:2453238;top:405200;height:287306;width:360944;" filled="f" stroked="t" coordsize="21600,21600" o:gfxdata="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XW6rqtkAAAAKAQAADwAAAAAAAAABACAAAAAiAAAAZHJzL2Rvd25yZXYueG1sUEsBAhQAFAAA&#10;AAgAh07iQF5QGPNgAgAAnAQAAA4AAAAAAAAAAQAgAAAAKAEAAGRycy9lMm9Eb2MueG1sUEsFBgAA&#10;AAAGAAYAWQEAAPoFAAAAAA==&#10;">
                  <v:fill on="f" focussize="0,0"/>
                  <v:stroke weight="0.5pt" color="#000000 [3213]" joinstyle="round"/>
                  <v:imagedata o:title=""/>
                  <o:lock v:ext="edit" aspectratio="f"/>
                  <v:textbox inset="7.1748031496063pt,71.748031496063,7.1748031496063pt,71.748031496063">
                    <w:txbxContent>
                      <w:p w14:paraId="65047D76">
                        <w:pPr>
                          <w:spacing w:line="240" w:lineRule="auto"/>
                          <w:jc w:val="center"/>
                        </w:pPr>
                        <w:r>
                          <w:rPr>
                            <w:rFonts w:ascii="Times New Roman" w:hAnsi="Times New Roman" w:cs="Times New Roman"/>
                          </w:rPr>
                          <w:t>G</w:t>
                        </w:r>
                      </w:p>
                    </w:txbxContent>
                  </v:textbox>
                </v:shape>
                <v:shape id="直接箭头连接符 47" o:spid="_x0000_s1026" o:spt="32" type="#_x0000_t32" style="position:absolute;left:1628150;top:511018;height:0;width:830068;" filled="f" stroked="t" coordsize="21600,21600" o:gfxdata="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75bL/tkAAAAKAQAADwAAAAAA&#10;AAABACAAAAAiAAAAZHJzL2Rvd25yZXYueG1sUEsBAhQAFAAAAAgAh07iQHf4NpMSAgAA7AMAAA4A&#10;AAAAAAAAAQAgAAAAKAEAAGRycy9lMm9Eb2MueG1sUEsFBgAAAAAGAAYAWQEAAKwFAAAAAA==&#10;">
                  <v:fill on="f" focussize="0,0"/>
                  <v:stroke weight="1pt" color="#000000 [3213]" miterlimit="8" joinstyle="miter" endarrow="open"/>
                  <v:imagedata o:title=""/>
                  <o:lock v:ext="edit" aspectratio="f"/>
                </v:shape>
                <v:shape id="直接箭头连接符 48" o:spid="_x0000_s1026" o:spt="32" type="#_x0000_t32" style="position:absolute;left:2688475;top:714430;flip:x;height:1147959;width:0;" filled="f" stroked="t" coordsize="21600,21600" o:gfxdata="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hr8iftwA&#10;AAAKAQAADwAAAAAAAAABACAAAAAiAAAAZHJzL2Rvd25yZXYueG1sUEsBAhQAFAAAAAgAh07iQAUV&#10;/s4bAgAA9wMAAA4AAAAAAAAAAQAgAAAAKwEAAGRycy9lMm9Eb2MueG1sUEsFBgAAAAAGAAYAWQEA&#10;ALgFAAAAAA==&#10;">
                  <v:fill on="f" focussize="0,0"/>
                  <v:stroke weight="1pt" color="#000000 [3213]" miterlimit="8" joinstyle="miter" endarrow="open"/>
                  <v:imagedata o:title=""/>
                  <o:lock v:ext="edit" aspectratio="f"/>
                </v:shape>
                <v:line id="直接连接符 49" o:spid="_x0000_s1026" o:spt="20" style="position:absolute;left:2821935;top:513283;height:0;width:577383;" filled="f" stroked="t" coordsize="21600,21600" o:gfxdata="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8aetTbAAAACgEAAA8AAAAAAAAAAQAgAAAAIgAAAGRycy9kb3ducmV2LnhtbFBL&#10;AQIUABQAAAAIAIdO4kCaSI2O8wEAAL0DAAAOAAAAAAAAAAEAIAAAACoBAABkcnMvZTJvRG9jLnht&#10;bFBLBQYAAAAABgAGAFkBAACPBQAAAAA=&#10;">
                  <v:fill on="f" focussize="0,0"/>
                  <v:stroke weight="0.5pt" color="#000000 [3213]" miterlimit="8" joinstyle="miter" dashstyle="dash"/>
                  <v:imagedata o:title=""/>
                  <o:lock v:ext="edit" aspectratio="f"/>
                </v:line>
                <v:line id="直接连接符 50" o:spid="_x0000_s1026" o:spt="20" style="position:absolute;left:2821935;top:605044;flip:y;height:0;width:577383;" filled="f" stroked="t" coordsize="21600,21600" o:gfxdata="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Sh7nq2AAAAAoBAAAPAAAAAAAAAAEAIAAAACIAAABkcnMvZG93bnJldi54&#10;bWxQSwECFAAUAAAACACHTuJAAQcFjvoBAADIAwAADgAAAAAAAAABACAAAAAnAQAAZHJzL2Uyb0Rv&#10;Yy54bWxQSwUGAAAAAAYABgBZAQAAkwUAAAAA&#10;">
                  <v:fill on="f" focussize="0,0"/>
                  <v:stroke weight="0.5pt" color="#000000 [3213]" miterlimit="8" joinstyle="miter"/>
                  <v:imagedata o:title=""/>
                  <o:lock v:ext="edit" aspectratio="f"/>
                </v:line>
                <v:shape id="文本框 23" o:spid="_x0000_s1026" o:spt="202" type="#_x0000_t202" style="position:absolute;left:702326;top:1002429;height:286673;width:332298;"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JQaxXZAAAACgEAAA8AAAAAAAAAAQAgAAAAIgAAAGRycy9kb3du&#10;cmV2LnhtbFBLAQIUABQAAAAIAIdO4kDj7XOoNwIAAEMEAAAOAAAAAAAAAAEAIAAAACgBAABkcnMv&#10;ZTJvRG9jLnhtbFBLBQYAAAAABgAGAFkBAADRBQAAAAA=&#10;">
                  <v:fill on="f" focussize="0,0"/>
                  <v:stroke on="f" weight="0.5pt"/>
                  <v:imagedata o:title=""/>
                  <o:lock v:ext="edit" aspectratio="f"/>
                  <v:textbox inset="7.1748031496063pt,71.748031496063,7.1748031496063pt,71.748031496063">
                    <w:txbxContent>
                      <w:p w14:paraId="666E82AD">
                        <w:pPr>
                          <w:spacing w:line="240" w:lineRule="auto"/>
                          <w:rPr>
                            <w:rFonts w:cs="Times New Roman"/>
                            <w:szCs w:val="21"/>
                          </w:rPr>
                        </w:pPr>
                        <w:r>
                          <w:rPr>
                            <w:rFonts w:hint="eastAsia" w:cs="Times New Roman"/>
                            <w:szCs w:val="21"/>
                          </w:rPr>
                          <w:t>②</w:t>
                        </w:r>
                      </w:p>
                    </w:txbxContent>
                  </v:textbox>
                </v:shape>
                <v:shape id="文本框 52" o:spid="_x0000_s1026" o:spt="202" type="#_x0000_t202" style="position:absolute;left:3439714;top:2288703;height:287017;width:688057;"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JQaxXZAAAACgEAAA8AAAAAAAAA&#10;AQAgAAAAIgAAAGRycy9kb3ducmV2LnhtbFBLAQIUABQAAAAIAIdO4kBOlRn3SQIAAHQEAAAOAAAA&#10;AAAAAAEAIAAAACgBAABkcnMvZTJvRG9jLnhtbFBLBQYAAAAABgAGAFkBAADjBQAAAAA=&#10;">
                  <v:fill on="f" focussize="0,0"/>
                  <v:stroke on="f" weight="0.5pt"/>
                  <v:imagedata o:title=""/>
                  <o:lock v:ext="edit" aspectratio="f"/>
                  <v:textbox inset="7.1748031496063pt,71.748031496063,7.1748031496063pt,71.748031496063">
                    <w:txbxContent>
                      <w:p w14:paraId="3C7019D0">
                        <w:pPr>
                          <w:spacing w:line="240" w:lineRule="auto"/>
                          <w:jc w:val="center"/>
                          <w:rPr>
                            <w:rFonts w:ascii="Times New Roman" w:hAnsi="Times New Roman" w:cs="Times New Roman"/>
                          </w:rPr>
                        </w:pPr>
                        <w:r>
                          <w:rPr>
                            <w:rFonts w:ascii="Times New Roman" w:hAnsi="Times New Roman" w:cs="Times New Roman"/>
                          </w:rPr>
                          <w:t>W</w:t>
                        </w:r>
                        <w:r>
                          <w:rPr>
                            <w:rFonts w:ascii="Times New Roman" w:hAnsi="Times New Roman" w:cs="Times New Roman"/>
                            <w:vertAlign w:val="subscript"/>
                          </w:rPr>
                          <w:t>I</w:t>
                        </w:r>
                        <w:r>
                          <w:rPr>
                            <w:rFonts w:hint="eastAsia" w:ascii="Times New Roman" w:hAnsi="Times New Roman" w:cs="Times New Roman"/>
                          </w:rPr>
                          <w:t>、</w:t>
                        </w:r>
                        <w:r>
                          <w:rPr>
                            <w:rFonts w:ascii="Times New Roman" w:hAnsi="Times New Roman" w:cs="Times New Roman"/>
                          </w:rPr>
                          <w:t>W</w:t>
                        </w:r>
                        <w:r>
                          <w:rPr>
                            <w:rFonts w:ascii="Times New Roman" w:hAnsi="Times New Roman" w:cs="Times New Roman"/>
                            <w:vertAlign w:val="subscript"/>
                          </w:rPr>
                          <w:t>II</w:t>
                        </w:r>
                      </w:p>
                    </w:txbxContent>
                  </v:textbox>
                </v:shape>
                <v:shape id="文本框 53" o:spid="_x0000_s1026" o:spt="202" type="#_x0000_t202" style="position:absolute;left:4338836;top:2288866;height:287017;width:28871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iUGsV2QAAAAoBAAAPAAAAAAAA&#10;AAEAIAAAACIAAABkcnMvZG93bnJldi54bWxQSwECFAAUAAAACACHTuJA3LwSpEoCAAB0BAAADgAA&#10;AAAAAAABACAAAAAoAQAAZHJzL2Uyb0RvYy54bWxQSwUGAAAAAAYABgBZAQAA5AUAAAAA&#10;">
                  <v:fill on="f" focussize="0,0"/>
                  <v:stroke on="f" weight="0.5pt"/>
                  <v:imagedata o:title=""/>
                  <o:lock v:ext="edit" aspectratio="f"/>
                  <v:textbox inset="7.1748031496063pt,71.748031496063,7.1748031496063pt,71.748031496063">
                    <w:txbxContent>
                      <w:p w14:paraId="61986458">
                        <w:pPr>
                          <w:spacing w:line="240" w:lineRule="auto"/>
                          <w:jc w:val="center"/>
                          <w:rPr>
                            <w:rFonts w:ascii="Times New Roman" w:hAnsi="Times New Roman" w:cs="Times New Roman"/>
                          </w:rPr>
                        </w:pPr>
                        <w:r>
                          <w:rPr>
                            <w:rFonts w:ascii="Times New Roman" w:hAnsi="Times New Roman" w:cs="Times New Roman"/>
                          </w:rPr>
                          <w:t>G</w:t>
                        </w:r>
                      </w:p>
                    </w:txbxContent>
                  </v:textbox>
                </v:shape>
                <v:shape id="文本框 54" o:spid="_x0000_s1026" o:spt="202" type="#_x0000_t202" style="position:absolute;left:4828661;top:2289256;height:287017;width:43307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JQaxXZAAAACgEAAA8AAAAAAAAA&#10;AQAgAAAAIgAAAGRycy9kb3ducmV2LnhtbFBLAQIUABQAAAAIAIdO4kDu5aeISQIAAHQEAAAOAAAA&#10;AAAAAAEAIAAAACgBAABkcnMvZTJvRG9jLnhtbFBLBQYAAAAABgAGAFkBAADjBQAAAAA=&#10;">
                  <v:fill on="f" focussize="0,0"/>
                  <v:stroke on="f" weight="0.5pt"/>
                  <v:imagedata o:title=""/>
                  <o:lock v:ext="edit" aspectratio="f"/>
                  <v:textbox inset="7.1748031496063pt,71.748031496063,7.1748031496063pt,71.748031496063">
                    <w:txbxContent>
                      <w:p w14:paraId="13B5EEBB">
                        <w:pPr>
                          <w:spacing w:line="240" w:lineRule="auto"/>
                          <w:jc w:val="center"/>
                          <w:rPr>
                            <w:rFonts w:ascii="Times New Roman" w:hAnsi="Times New Roman" w:cs="Times New Roman"/>
                          </w:rPr>
                        </w:pPr>
                        <w:r>
                          <w:rPr>
                            <w:rFonts w:ascii="Times New Roman" w:hAnsi="Times New Roman" w:cs="Times New Roman"/>
                          </w:rPr>
                          <w:t>W</w:t>
                        </w:r>
                        <w:r>
                          <w:rPr>
                            <w:rFonts w:ascii="Times New Roman" w:hAnsi="Times New Roman" w:cs="Times New Roman"/>
                            <w:vertAlign w:val="subscript"/>
                          </w:rPr>
                          <w:t>II</w:t>
                        </w:r>
                      </w:p>
                    </w:txbxContent>
                  </v:textbox>
                </v:shape>
                <v:shape id="直接箭头连接符 55" o:spid="_x0000_s1026" o:spt="32" type="#_x0000_t32" style="position:absolute;left:4057725;top:2445253;height:0;width:324809;" filled="f" stroked="t" coordsize="21600,21600" o:gfxdata="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iDCNoAAAAKAQAADwAA&#10;AAAAAAABACAAAAAiAAAAZHJzL2Rvd25yZXYueG1sUEsBAhQAFAAAAAgAh07iQBkPH+QUAgAA6wMA&#10;AA4AAAAAAAAAAQAgAAAAKQEAAGRycy9lMm9Eb2MueG1sUEsFBgAAAAAGAAYAWQEAAK8FAAAAAA==&#10;">
                  <v:fill on="f" focussize="0,0"/>
                  <v:stroke color="#000000 [3213]" miterlimit="8" joinstyle="miter" dashstyle="dash" endarrow="open"/>
                  <v:imagedata o:title=""/>
                  <o:lock v:ext="edit" aspectratio="f"/>
                </v:shape>
                <v:shape id="直接箭头连接符 56" o:spid="_x0000_s1026" o:spt="32" type="#_x0000_t32" style="position:absolute;left:4588409;top:2445253;height:0;width:324809;" filled="f" stroked="t" coordsize="21600,21600" o:gfxdata="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7SIMI2gAAAAoBAAAPAAAA&#10;AAAAAAEAIAAAACIAAABkcnMvZG93bnJldi54bWxQSwECFAAUAAAACACHTuJABB8YhhMCAADrAwAA&#10;DgAAAAAAAAABACAAAAApAQAAZHJzL2Uyb0RvYy54bWxQSwUGAAAAAAYABgBZAQAArgUAAAAA&#10;">
                  <v:fill on="f" focussize="0,0"/>
                  <v:stroke color="#000000 [3213]" miterlimit="8" joinstyle="miter" dashstyle="dash" endarrow="open"/>
                  <v:imagedata o:title=""/>
                  <o:lock v:ext="edit" aspectratio="f"/>
                </v:shape>
                <v:shape id="文本框 57" o:spid="_x0000_s1026" o:spt="202" type="#_x0000_t202" style="position:absolute;left:172491;top:2704200;height:288000;width:2484000;"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JQaxXZAAAACgEAAA8AAAAAAAAAAQAg&#10;AAAAIgAAAGRycy9kb3ducmV2LnhtbFBLAQIUABQAAAAIAIdO4kCucN3mRgIAAHQEAAAOAAAAAAAA&#10;AAEAIAAAACgBAABkcnMvZTJvRG9jLnhtbFBLBQYAAAAABgAGAFkBAADgBQAAAAA=&#10;">
                  <v:fill on="f" focussize="0,0"/>
                  <v:stroke on="f" weight="0.5pt"/>
                  <v:imagedata o:title=""/>
                  <o:lock v:ext="edit" aspectratio="f"/>
                  <v:textbox inset="7.1748031496063pt,71.748031496063,7.1748031496063pt,71.748031496063">
                    <w:txbxContent>
                      <w:p w14:paraId="61E2D5B1">
                        <w:pPr>
                          <w:spacing w:line="240" w:lineRule="auto"/>
                          <w:rPr>
                            <w:sz w:val="18"/>
                            <w:szCs w:val="18"/>
                          </w:rPr>
                        </w:pPr>
                        <w:r>
                          <w:rPr>
                            <w:rFonts w:hint="eastAsia"/>
                            <w:sz w:val="18"/>
                            <w:szCs w:val="18"/>
                          </w:rPr>
                          <w:t>资本直接生产过程：劳动过程与价值增殖过程</w:t>
                        </w:r>
                      </w:p>
                    </w:txbxContent>
                  </v:textbox>
                </v:shape>
                <v:shape id="文本框 58" o:spid="_x0000_s1026" o:spt="202" type="#_x0000_t202" style="position:absolute;left:494691;top:2339356;height:287017;width:720000;v-text-anchor:middle;" filled="f" stroked="f" coordsize="21600,21600" o:gfxdata="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6CQD1wAAAAoBAAAPAAAAAAAAAAEA&#10;IAAAACIAAABkcnMvZG93bnJldi54bWxQSwECFAAUAAAACACHTuJAjcyNw0kCAAB1BAAADgAAAAAA&#10;AAABACAAAAAmAQAAZHJzL2Uyb0RvYy54bWxQSwUGAAAAAAYABgBZAQAA4QUAAAAA&#10;">
                  <v:fill on="f" focussize="0,0"/>
                  <v:stroke on="f" weight="0.5pt"/>
                  <v:imagedata o:title=""/>
                  <o:lock v:ext="edit" aspectratio="f"/>
                  <v:textbox inset="7.1748031496063pt,71.748031496063,7.1748031496063pt,71.748031496063">
                    <w:txbxContent>
                      <w:p w14:paraId="124A2218">
                        <w:pPr>
                          <w:spacing w:line="240" w:lineRule="auto"/>
                          <w:jc w:val="center"/>
                          <w:rPr>
                            <w:rFonts w:ascii="Times New Roman" w:hAnsi="Times New Roman" w:cs="Times New Roman"/>
                          </w:rPr>
                        </w:pPr>
                        <w:r>
                          <w:rPr>
                            <w:rFonts w:ascii="Times New Roman" w:hAnsi="Times New Roman" w:cs="Times New Roman"/>
                          </w:rPr>
                          <w:t>c + v + m</w:t>
                        </w:r>
                      </w:p>
                    </w:txbxContent>
                  </v:textbox>
                </v:shape>
                <v:shape id="文本框 59" o:spid="_x0000_s1026" o:spt="202" type="#_x0000_t202" style="position:absolute;left:998088;top:1434638;height:574034;width:469169;" filled="f" stroked="f" coordsize="21600,21600" o:gfxdata="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8OiKQ2wAAAAoBAAAPAAAA&#10;AAAAAAEAIAAAACIAAABkcnMvZG93bnJldi54bWxQSwECFAAUAAAACACHTuJAph/37EsCAAB1BAAA&#10;DgAAAAAAAAABACAAAAAqAQAAZHJzL2Uyb0RvYy54bWxQSwUGAAAAAAYABgBZAQAA5wUAAAAA&#10;">
                  <v:fill on="f" focussize="0,0"/>
                  <v:stroke on="f" weight="0.5pt"/>
                  <v:imagedata o:title=""/>
                  <o:lock v:ext="edit" aspectratio="f"/>
                  <v:textbox inset="7.1748031496063pt,71.748031496063,7.1748031496063pt,71.748031496063" style="layout-flow:vertical-ideographic;">
                    <w:txbxContent>
                      <w:p w14:paraId="4F156F2A">
                        <w:pPr>
                          <w:spacing w:line="240" w:lineRule="auto"/>
                        </w:pPr>
                        <w:r>
                          <w:rPr>
                            <w:rFonts w:hint="eastAsia"/>
                          </w:rPr>
                          <w:t>进口</w:t>
                        </w:r>
                        <w:r>
                          <w:object>
                            <v:shape id="_x0000_i1027" o:spt="75" type="#_x0000_t75" style="height:14.6pt;width:14.6pt;" o:ole="t" filled="f" o:preferrelative="t" stroked="f" coordsize="21600,21600">
                              <v:path/>
                              <v:fill on="f" focussize="0,0"/>
                              <v:stroke on="f" joinstyle="miter"/>
                              <v:imagedata r:id="rId48" o:title=""/>
                              <o:lock v:ext="edit" aspectratio="t"/>
                              <w10:wrap type="none"/>
                              <w10:anchorlock/>
                            </v:shape>
                            <o:OLEObject Type="Embed" ProgID="Equation.KSEE3" ShapeID="_x0000_i1027" DrawAspect="Content" ObjectID="_1468075732" r:id="rId53">
                              <o:LockedField>false</o:LockedField>
                            </o:OLEObject>
                          </w:object>
                        </w:r>
                      </w:p>
                    </w:txbxContent>
                  </v:textbox>
                </v:shape>
                <v:shape id="_x0000_s1026" o:spid="_x0000_s1026" o:spt="202" type="#_x0000_t202" style="position:absolute;left:1355597;top:1434696;height:574034;width:469169;" filled="f" stroked="f" coordsize="21600,21600" o:gfxdata="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8OiKQ2wAAAAoBAAAPAAAAAAAA&#10;AAEAIAAAACIAAABkcnMvZG93bnJldi54bWxQSwECFAAUAAAACACHTuJAUmQ/iUgCAAB1BAAADgAA&#10;AAAAAAABACAAAAAqAQAAZHJzL2Uyb0RvYy54bWxQSwUGAAAAAAYABgBZAQAA5AUAAAAA&#10;">
                  <v:fill on="f" focussize="0,0"/>
                  <v:stroke on="f" weight="0.5pt"/>
                  <v:imagedata o:title=""/>
                  <o:lock v:ext="edit" aspectratio="f"/>
                  <v:textbox inset="7.1748031496063pt,71.748031496063,7.1748031496063pt,71.748031496063" style="layout-flow:vertical-ideographic;">
                    <w:txbxContent>
                      <w:p w14:paraId="067D8F69">
                        <w:pPr>
                          <w:spacing w:line="240" w:lineRule="auto"/>
                        </w:pPr>
                        <w:r>
                          <w:rPr>
                            <w:rFonts w:hint="eastAsia"/>
                          </w:rPr>
                          <w:t>进口</w:t>
                        </w:r>
                        <w:r>
                          <w:object>
                            <v:shape id="_x0000_i1028" o:spt="75" type="#_x0000_t75" style="height:14.6pt;width:14.6pt;" o:ole="t" filled="f" o:preferrelative="t" stroked="f" coordsize="21600,21600">
                              <v:path/>
                              <v:fill on="f" focussize="0,0"/>
                              <v:stroke on="f" joinstyle="miter"/>
                              <v:imagedata r:id="rId50" o:title=""/>
                              <o:lock v:ext="edit" aspectratio="t"/>
                              <w10:wrap type="none"/>
                              <w10:anchorlock/>
                            </v:shape>
                            <o:OLEObject Type="Embed" ProgID="Equation.KSEE3" ShapeID="_x0000_i1028" DrawAspect="Content" ObjectID="_1468075733" r:id="rId54">
                              <o:LockedField>false</o:LockedField>
                            </o:OLEObject>
                          </w:object>
                        </w:r>
                      </w:p>
                    </w:txbxContent>
                  </v:textbox>
                </v:shape>
                <v:shape id="文本框 61" o:spid="_x0000_s1026" o:spt="202" type="#_x0000_t202" style="position:absolute;left:1866718;top:579186;height:287017;width:288719;" filled="f" stroked="f" coordsize="21600,21600" o:gfxdata="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JQaxXZAAAACgEAAA8AAAAAAAAAAQAg&#10;AAAAIgAAAGRycy9kb3ducmV2LnhtbFBLAQIUABQAAAAIAIdO4kCZn3LURgIAAHMEAAAOAAAAAAAA&#10;AAEAIAAAACgBAABkcnMvZTJvRG9jLnhtbFBLBQYAAAAABgAGAFkBAADgBQAAAAA=&#10;">
                  <v:fill on="f" focussize="0,0"/>
                  <v:stroke on="f" weight="0.5pt"/>
                  <v:imagedata o:title=""/>
                  <o:lock v:ext="edit" aspectratio="f"/>
                  <v:textbox inset="7.1748031496063pt,71.748031496063,7.1748031496063pt,71.748031496063">
                    <w:txbxContent>
                      <w:p w14:paraId="28B983D5">
                        <w:pPr>
                          <w:spacing w:line="240" w:lineRule="auto"/>
                          <w:jc w:val="center"/>
                          <w:rPr>
                            <w:lang w:eastAsia="zh-Hans"/>
                          </w:rPr>
                        </w:pPr>
                        <w:r>
                          <w:rPr>
                            <w:rFonts w:hint="eastAsia"/>
                            <w:lang w:eastAsia="zh-Hans"/>
                          </w:rPr>
                          <w:t>③</w:t>
                        </w:r>
                      </w:p>
                    </w:txbxContent>
                  </v:textbox>
                </v:shape>
                <v:shape id="文本框 62" o:spid="_x0000_s1026" o:spt="202" type="#_x0000_t202" style="position:absolute;left:3428613;top:1728329;height:288000;width:1846889;" filled="f" stroked="f" coordsize="21600,21600" o:gfxdata="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PQ2tqrcAAAACgEAAA8A&#10;AAAAAAAAAQAgAAAAIgAAAGRycy9kb3ducmV2LnhtbFBLAQIUABQAAAAIAIdO4kBaJia+TAIAAHUE&#10;AAAOAAAAAAAAAAEAIAAAACsBAABkcnMvZTJvRG9jLnhtbFBLBQYAAAAABgAGAFkBAADpBQAAAAA=&#10;">
                  <v:fill on="f" focussize="0,0"/>
                  <v:stroke on="f" weight="0.5pt"/>
                  <v:imagedata o:title=""/>
                  <o:lock v:ext="edit" aspectratio="f"/>
                  <v:textbox>
                    <w:txbxContent>
                      <w:p w14:paraId="49E4B9D0">
                        <w:pPr>
                          <w:spacing w:line="240" w:lineRule="auto"/>
                          <w:rPr>
                            <w:sz w:val="18"/>
                            <w:szCs w:val="18"/>
                          </w:rPr>
                        </w:pPr>
                        <w:r>
                          <w:rPr>
                            <w:rFonts w:hint="eastAsia"/>
                            <w:sz w:val="18"/>
                            <w:szCs w:val="18"/>
                            <w:lang w:eastAsia="zh-Hans"/>
                          </w:rPr>
                          <w:t>①</w:t>
                        </w:r>
                        <w:r>
                          <w:rPr>
                            <w:rFonts w:hint="eastAsia"/>
                            <w:sz w:val="18"/>
                            <w:szCs w:val="18"/>
                          </w:rPr>
                          <w:t>、</w:t>
                        </w:r>
                        <w:r>
                          <w:rPr>
                            <w:rFonts w:hint="eastAsia" w:cs="Times New Roman"/>
                            <w:sz w:val="18"/>
                            <w:szCs w:val="18"/>
                          </w:rPr>
                          <w:t>②、</w:t>
                        </w:r>
                        <w:r>
                          <w:rPr>
                            <w:rFonts w:hint="eastAsia"/>
                            <w:sz w:val="18"/>
                            <w:szCs w:val="18"/>
                            <w:lang w:eastAsia="zh-Hans"/>
                          </w:rPr>
                          <w:t>③</w:t>
                        </w:r>
                        <w:r>
                          <w:rPr>
                            <w:rFonts w:hint="eastAsia"/>
                            <w:sz w:val="18"/>
                            <w:szCs w:val="18"/>
                          </w:rPr>
                          <w:t>表示同一行为的买卖</w:t>
                        </w:r>
                      </w:p>
                    </w:txbxContent>
                  </v:textbox>
                </v:shape>
                <v:shape id="文本框 63" o:spid="_x0000_s1026" o:spt="202" type="#_x0000_t202" style="position:absolute;left:3446705;top:2070675;height:252000;width:1774462;" filled="f" stroked="f" coordsize="21600,21600" o:gfxdata="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PQ2tqrcAAAACgEAAA8AAAAA&#10;AAAAAQAgAAAAIgAAAGRycy9kb3ducmV2LnhtbFBLAQIUABQAAAAIAIdO4kDKGzh0SQIAAHUEAAAO&#10;AAAAAAAAAAEAIAAAACsBAABkcnMvZTJvRG9jLnhtbFBLBQYAAAAABgAGAFkBAADmBQAAAAA=&#10;">
                  <v:fill on="f" focussize="0,0"/>
                  <v:stroke on="f" weight="0.5pt"/>
                  <v:imagedata o:title=""/>
                  <o:lock v:ext="edit" aspectratio="f"/>
                  <v:textbox>
                    <w:txbxContent>
                      <w:p w14:paraId="699DE320">
                        <w:pPr>
                          <w:spacing w:line="240" w:lineRule="auto"/>
                          <w:rPr>
                            <w:sz w:val="18"/>
                            <w:szCs w:val="18"/>
                          </w:rPr>
                        </w:pPr>
                        <w:r>
                          <w:rPr>
                            <w:rFonts w:hint="eastAsia"/>
                            <w:sz w:val="18"/>
                            <w:szCs w:val="18"/>
                          </w:rPr>
                          <w:t>资本家消费引起的商品流通为：</w:t>
                        </w:r>
                      </w:p>
                    </w:txbxContent>
                  </v:textbox>
                </v:shape>
                <v:line id="_x0000_s1026" o:spid="_x0000_s1026" o:spt="20" style="position:absolute;left:441164;top:839915;flip:y;height:397400;width:0;" filled="f" stroked="t" coordsize="21600,21600" o:gfxdata="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R+Kr2AAAAAoBAAAPAAAAAAAAAAEAIAAAACIAAABkcnMvZG93&#10;bnJldi54bWxQSwECFAAUAAAACACHTuJAcnX2tAACAADVAwAADgAAAAAAAAABACAAAAAnAQAAZHJz&#10;L2Uyb0RvYy54bWxQSwUGAAAAAAYABgBZAQAAmQUAAAAA&#10;">
                  <v:fill on="f" focussize="0,0"/>
                  <v:stroke weight="1pt" color="#000000 [3200]" miterlimit="8" joinstyle="miter"/>
                  <v:imagedata o:title=""/>
                  <o:lock v:ext="edit" aspectratio="f"/>
                </v:line>
                <v:shape id="_x0000_s1026" o:spid="_x0000_s1026" o:spt="32" type="#_x0000_t32" style="position:absolute;left:1623667;top:630528;flip:y;height:0;width:827405;" filled="f" stroked="t" coordsize="21600,21600" o:gfxdata="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kwb/XdAAAACgEAAA8AAAAAAAAAAQAgAAAAIgAAAGRycy9kb3ducmV2LnhtbFBLAQIU&#10;ABQAAAAIAIdO4kBljkqvJwIAABsEAAAOAAAAAAAAAAEAIAAAACwBAABkcnMvZTJvRG9jLnhtbFBL&#10;BQYAAAAABgAGAFkBAADFBQAAAAA=&#10;">
                  <v:fill on="f" focussize="0,0"/>
                  <v:stroke weight="1pt" color="#000000 [3200]" miterlimit="8" joinstyle="miter" dashstyle="dash" startarrow="open" endarrow="open"/>
                  <v:imagedata o:title=""/>
                  <o:lock v:ext="edit" aspectratio="f"/>
                </v:shape>
                <w10:wrap type="topAndBottom"/>
              </v:group>
            </w:pict>
          </mc:Fallback>
        </mc:AlternateContent>
      </w:r>
    </w:p>
    <w:p w14:paraId="7E399DD6">
      <w:pPr>
        <w:pageBreakBefore w:val="0"/>
        <w:tabs>
          <w:tab w:val="center" w:pos="4095"/>
          <w:tab w:val="right" w:pos="8190"/>
        </w:tabs>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图1  国内大循环和国内国际双循环：开放经济下的社会再生产</w:t>
      </w:r>
    </w:p>
    <w:p w14:paraId="11BAE7D2">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lang w:eastAsia="zh-Hans"/>
        </w:rPr>
        <w:t>说明：</w:t>
      </w:r>
      <w:r>
        <w:rPr>
          <w:rFonts w:hint="default" w:ascii="Times New Roman" w:hAnsi="Times New Roman" w:eastAsia="宋体" w:cs="Times New Roman"/>
          <w:color w:val="auto"/>
          <w:sz w:val="24"/>
          <w:szCs w:val="24"/>
          <w:highlight w:val="none"/>
        </w:rPr>
        <w:t>W</w:t>
      </w:r>
      <w:r>
        <w:rPr>
          <w:rFonts w:hint="default" w:ascii="Times New Roman" w:hAnsi="Times New Roman" w:eastAsia="宋体" w:cs="Times New Roman"/>
          <w:color w:val="auto"/>
          <w:sz w:val="24"/>
          <w:szCs w:val="24"/>
          <w:highlight w:val="none"/>
          <w:vertAlign w:val="subscript"/>
        </w:rPr>
        <w:t>I</w:t>
      </w:r>
      <w:r>
        <w:rPr>
          <w:rFonts w:hint="default" w:ascii="Times New Roman" w:hAnsi="Times New Roman" w:eastAsia="宋体" w:cs="Times New Roman"/>
          <w:color w:val="auto"/>
          <w:sz w:val="24"/>
          <w:szCs w:val="24"/>
          <w:highlight w:val="none"/>
          <w:lang w:eastAsia="zh-Hans"/>
        </w:rPr>
        <w:t>代表</w:t>
      </w:r>
      <w:r>
        <w:rPr>
          <w:rFonts w:hint="default" w:ascii="Times New Roman" w:hAnsi="Times New Roman" w:eastAsia="宋体" w:cs="Times New Roman"/>
          <w:color w:val="auto"/>
          <w:sz w:val="24"/>
          <w:szCs w:val="24"/>
          <w:highlight w:val="none"/>
        </w:rPr>
        <w:t>I</w:t>
      </w:r>
      <w:r>
        <w:rPr>
          <w:rFonts w:hint="default" w:ascii="Times New Roman" w:hAnsi="Times New Roman" w:eastAsia="宋体" w:cs="Times New Roman"/>
          <w:color w:val="auto"/>
          <w:sz w:val="24"/>
          <w:szCs w:val="24"/>
          <w:highlight w:val="none"/>
          <w:lang w:eastAsia="zh-Hans"/>
        </w:rPr>
        <w:t>部类的商品资本（生产资料），</w:t>
      </w:r>
      <w:r>
        <w:rPr>
          <w:rFonts w:hint="default" w:ascii="Times New Roman" w:hAnsi="Times New Roman" w:eastAsia="宋体" w:cs="Times New Roman"/>
          <w:color w:val="auto"/>
          <w:sz w:val="24"/>
          <w:szCs w:val="24"/>
          <w:highlight w:val="none"/>
        </w:rPr>
        <w:t>W</w:t>
      </w:r>
      <w:r>
        <w:rPr>
          <w:rFonts w:hint="default" w:ascii="Times New Roman" w:hAnsi="Times New Roman" w:eastAsia="宋体" w:cs="Times New Roman"/>
          <w:color w:val="auto"/>
          <w:sz w:val="24"/>
          <w:szCs w:val="24"/>
          <w:highlight w:val="none"/>
          <w:vertAlign w:val="subscript"/>
        </w:rPr>
        <w:t>II</w:t>
      </w:r>
      <w:r>
        <w:rPr>
          <w:rFonts w:hint="default" w:ascii="Times New Roman" w:hAnsi="Times New Roman" w:eastAsia="宋体" w:cs="Times New Roman"/>
          <w:color w:val="auto"/>
          <w:sz w:val="24"/>
          <w:szCs w:val="24"/>
          <w:highlight w:val="none"/>
          <w:lang w:eastAsia="zh-Hans"/>
        </w:rPr>
        <w:t>代表II部类的商品资本（生活资料），G代表货币资本，A代表可变资本（劳动力），Pm代表不变资本（生产资料），P代表生产资本，在</w:t>
      </w:r>
      <w:r>
        <w:rPr>
          <w:rFonts w:hint="default" w:ascii="Times New Roman" w:hAnsi="Times New Roman" w:eastAsia="宋体" w:cs="Times New Roman"/>
          <w:color w:val="auto"/>
          <w:sz w:val="24"/>
          <w:szCs w:val="24"/>
          <w:highlight w:val="none"/>
        </w:rPr>
        <w:t>图1和图2</w:t>
      </w:r>
      <w:r>
        <w:rPr>
          <w:rFonts w:hint="default" w:ascii="Times New Roman" w:hAnsi="Times New Roman" w:eastAsia="宋体" w:cs="Times New Roman"/>
          <w:color w:val="auto"/>
          <w:sz w:val="24"/>
          <w:szCs w:val="24"/>
          <w:highlight w:val="none"/>
          <w:lang w:eastAsia="zh-Hans"/>
        </w:rPr>
        <w:t>中“以</w:t>
      </w:r>
      <w:r>
        <w:rPr>
          <w:rFonts w:hint="default" w:ascii="Times New Roman" w:hAnsi="Times New Roman" w:eastAsia="宋体" w:cs="Times New Roman"/>
          <w:color w:val="auto"/>
          <w:sz w:val="24"/>
          <w:szCs w:val="24"/>
          <w:highlight w:val="none"/>
        </w:rPr>
        <w:t>国内大循环为主体”用粗线条表示</w:t>
      </w:r>
      <w:r>
        <w:rPr>
          <w:rFonts w:hint="default" w:ascii="Times New Roman" w:hAnsi="Times New Roman" w:eastAsia="宋体" w:cs="Times New Roman"/>
          <w:color w:val="auto"/>
          <w:sz w:val="24"/>
          <w:szCs w:val="24"/>
          <w:highlight w:val="none"/>
          <w:lang w:eastAsia="zh-Hans"/>
        </w:rPr>
        <w:t>。</w:t>
      </w:r>
    </w:p>
    <w:p w14:paraId="2226BFA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rPr>
        <w:t>社会总资本循环过程和货币流回比较复杂，为了分析方便，我们重新回到马克思的两大部类。价值为I</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c</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c</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color w:val="auto"/>
          <w:sz w:val="24"/>
          <w:szCs w:val="24"/>
          <w:highlight w:val="none"/>
        </w:rPr>
        <w:t>II(</w:t>
      </w:r>
      <w:r>
        <w:rPr>
          <w:rFonts w:hint="default" w:ascii="Times New Roman" w:hAnsi="Times New Roman" w:eastAsia="宋体" w:cs="Times New Roman"/>
          <w:i/>
          <w:iCs/>
          <w:color w:val="auto"/>
          <w:sz w:val="24"/>
          <w:szCs w:val="24"/>
          <w:highlight w:val="none"/>
          <w:lang w:eastAsia="zh-Hans"/>
        </w:rPr>
        <w:t>v</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v</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m</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x</w:t>
      </w:r>
      <w:r>
        <w:rPr>
          <w:rFonts w:hint="default" w:ascii="Times New Roman" w:hAnsi="Times New Roman" w:eastAsia="宋体" w:cs="Times New Roman"/>
          <w:color w:val="auto"/>
          <w:sz w:val="24"/>
          <w:szCs w:val="24"/>
          <w:highlight w:val="none"/>
          <w:lang w:eastAsia="zh-Hans"/>
        </w:rPr>
        <w:t>)的货币流回在国内国际的两大部类内部进行，本文不做赘述。（1）价值为I（</w:t>
      </w:r>
      <w:r>
        <w:rPr>
          <w:rFonts w:hint="default" w:ascii="Times New Roman" w:hAnsi="Times New Roman" w:eastAsia="宋体" w:cs="Times New Roman"/>
          <w:i/>
          <w:iCs/>
          <w:color w:val="auto"/>
          <w:sz w:val="24"/>
          <w:szCs w:val="24"/>
          <w:highlight w:val="none"/>
          <w:lang w:eastAsia="zh-Hans"/>
        </w:rPr>
        <w:t>m</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x</w:t>
      </w:r>
      <w:r>
        <w:rPr>
          <w:rFonts w:hint="default" w:ascii="Times New Roman" w:hAnsi="Times New Roman" w:eastAsia="宋体" w:cs="Times New Roman"/>
          <w:color w:val="auto"/>
          <w:sz w:val="24"/>
          <w:szCs w:val="24"/>
          <w:highlight w:val="none"/>
          <w:lang w:eastAsia="zh-Hans"/>
        </w:rPr>
        <w:t>）的货币流回。货币运动过程为：</w:t>
      </w:r>
      <w:r>
        <w:rPr>
          <w:rFonts w:hint="default" w:ascii="Times New Roman" w:hAnsi="Times New Roman" w:eastAsia="宋体" w:cs="Times New Roman"/>
          <w:color w:val="auto"/>
          <w:sz w:val="24"/>
          <w:szCs w:val="24"/>
          <w:highlight w:val="none"/>
        </w:rPr>
        <mc:AlternateContent>
          <mc:Choice Requires="wpc">
            <w:drawing>
              <wp:anchor distT="0" distB="0" distL="0" distR="0" simplePos="0" relativeHeight="251691008" behindDoc="0" locked="0" layoutInCell="1" allowOverlap="1">
                <wp:simplePos x="0" y="0"/>
                <wp:positionH relativeFrom="column">
                  <wp:posOffset>167005</wp:posOffset>
                </wp:positionH>
                <wp:positionV relativeFrom="paragraph">
                  <wp:posOffset>4220210</wp:posOffset>
                </wp:positionV>
                <wp:extent cx="5254625" cy="2120900"/>
                <wp:effectExtent l="6350" t="6350" r="47625" b="0"/>
                <wp:wrapTopAndBottom/>
                <wp:docPr id="320" name="画布 2"/>
                <wp:cNvGraphicFramePr/>
                <a:graphic xmlns:a="http://schemas.openxmlformats.org/drawingml/2006/main">
                  <a:graphicData uri="http://schemas.microsoft.com/office/word/2010/wordprocessingCanvas">
                    <wpc:wpc>
                      <wpc:bg>
                        <a:noFill/>
                      </wpc:bg>
                      <wpc:whole/>
                      <wps:wsp>
                        <wps:cNvPr id="64" name="文本框 70"/>
                        <wps:cNvSpPr txBox="1"/>
                        <wps:spPr>
                          <a:xfrm>
                            <a:off x="0" y="722648"/>
                            <a:ext cx="288000" cy="287655"/>
                          </a:xfrm>
                          <a:prstGeom prst="rect">
                            <a:avLst/>
                          </a:prstGeom>
                          <a:noFill/>
                          <a:ln w="12700">
                            <a:solidFill>
                              <a:schemeClr val="tx1"/>
                            </a:solidFill>
                          </a:ln>
                        </wps:spPr>
                        <wps:txbx>
                          <w:txbxContent>
                            <w:p w14:paraId="77438223">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w:t>
                              </w:r>
                              <w:r>
                                <w:rPr>
                                  <w:rFonts w:ascii="Times New Roman" w:hAnsi="Times New Roman" w:eastAsia="等线" w:cs="Mongolian Baiti"/>
                                  <w:position w:val="-5"/>
                                  <w:szCs w:val="21"/>
                                  <w:vertAlign w:val="subscript"/>
                                </w:rPr>
                                <w:t>1</w:t>
                              </w:r>
                            </w:p>
                          </w:txbxContent>
                        </wps:txbx>
                        <wps:bodyPr rot="0" spcFirstLastPara="0" vert="horz" wrap="square" lIns="91440" tIns="45720" rIns="91440" bIns="45720" numCol="1" spcCol="0" rtlCol="0" fromWordArt="0" anchor="ctr" anchorCtr="0" forceAA="0" compatLnSpc="1">
                          <a:noAutofit/>
                        </wps:bodyPr>
                      </wps:wsp>
                      <wps:wsp>
                        <wps:cNvPr id="321" name="直接箭头连接符 67"/>
                        <wps:cNvCnPr/>
                        <wps:spPr>
                          <a:xfrm>
                            <a:off x="292528" y="864600"/>
                            <a:ext cx="432000"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22" name="直接连接符 68"/>
                        <wps:cNvCnPr/>
                        <wps:spPr>
                          <a:xfrm flipH="1">
                            <a:off x="1195144" y="723204"/>
                            <a:ext cx="0" cy="287655"/>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23" name="文本框 86"/>
                        <wps:cNvSpPr txBox="1"/>
                        <wps:spPr>
                          <a:xfrm>
                            <a:off x="729646" y="723204"/>
                            <a:ext cx="935990" cy="287655"/>
                          </a:xfrm>
                          <a:prstGeom prst="rect">
                            <a:avLst/>
                          </a:prstGeom>
                          <a:noFill/>
                          <a:ln w="6350">
                            <a:solidFill>
                              <a:schemeClr val="tx1"/>
                            </a:solidFill>
                          </a:ln>
                        </wps:spPr>
                        <wps:txbx>
                          <w:txbxContent>
                            <w:p w14:paraId="07A886D8">
                              <w:pPr>
                                <w:spacing w:line="240" w:lineRule="auto"/>
                                <w:jc w:val="center"/>
                                <w:rPr>
                                  <w:rFonts w:ascii="等线" w:cs="Mongolian Baiti"/>
                                  <w:szCs w:val="21"/>
                                </w:rPr>
                              </w:pPr>
                              <w:r>
                                <w:rPr>
                                  <w:rFonts w:hint="eastAsia" w:ascii="等线" w:cs="Mongolian Baiti"/>
                                  <w:szCs w:val="21"/>
                                </w:rPr>
                                <w:t>工人</w:t>
                              </w:r>
                              <w:r>
                                <w:rPr>
                                  <w:rFonts w:ascii="Times New Roman" w:hAnsi="Times New Roman" w:eastAsia="等线" w:cs="Mongolian Baiti"/>
                                  <w:position w:val="-5"/>
                                  <w:szCs w:val="21"/>
                                  <w:vertAlign w:val="subscript"/>
                                </w:rPr>
                                <w:t>1</w:t>
                              </w:r>
                              <w:r>
                                <w:rPr>
                                  <w:rFonts w:hint="eastAsia" w:ascii="等线" w:cs="Mongolian Baiti"/>
                                  <w:szCs w:val="21"/>
                                </w:rPr>
                                <w:t>工人</w:t>
                              </w:r>
                              <w:r>
                                <w:rPr>
                                  <w:rFonts w:ascii="Times New Roman" w:hAnsi="Times New Roman" w:eastAsia="等线" w:cs="Mongolian Baiti"/>
                                  <w:position w:val="-5"/>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324" name="文本框 139"/>
                        <wps:cNvSpPr txBox="1"/>
                        <wps:spPr>
                          <a:xfrm>
                            <a:off x="2099261" y="723204"/>
                            <a:ext cx="288000" cy="287655"/>
                          </a:xfrm>
                          <a:prstGeom prst="rect">
                            <a:avLst/>
                          </a:prstGeom>
                          <a:noFill/>
                          <a:ln w="12700">
                            <a:solidFill>
                              <a:schemeClr val="tx1"/>
                            </a:solidFill>
                          </a:ln>
                        </wps:spPr>
                        <wps:txbx>
                          <w:txbxContent>
                            <w:p w14:paraId="68C76AB7">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w:t>
                              </w:r>
                              <w:r>
                                <w:rPr>
                                  <w:rFonts w:ascii="Times New Roman" w:hAnsi="Times New Roman" w:eastAsia="等线" w:cs="Mongolian Baiti"/>
                                  <w:position w:val="-5"/>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325" name="直接箭头连接符 75"/>
                        <wps:cNvCnPr/>
                        <wps:spPr>
                          <a:xfrm flipH="1">
                            <a:off x="1665636" y="864492"/>
                            <a:ext cx="432000"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26" name="直接箭头连接符 76"/>
                        <wps:cNvCnPr/>
                        <wps:spPr>
                          <a:xfrm flipV="1">
                            <a:off x="1195144" y="294231"/>
                            <a:ext cx="0" cy="4320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27" name="文本框 167"/>
                        <wps:cNvSpPr txBox="1"/>
                        <wps:spPr>
                          <a:xfrm>
                            <a:off x="1015540" y="0"/>
                            <a:ext cx="359410" cy="287655"/>
                          </a:xfrm>
                          <a:prstGeom prst="rect">
                            <a:avLst/>
                          </a:prstGeom>
                          <a:noFill/>
                          <a:ln w="6350">
                            <a:solidFill>
                              <a:schemeClr val="tx1"/>
                            </a:solidFill>
                          </a:ln>
                        </wps:spPr>
                        <wps:txbx>
                          <w:txbxContent>
                            <w:p w14:paraId="493E97BA">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IⅠ</w:t>
                              </w:r>
                              <w:r>
                                <w:rPr>
                                  <w:rFonts w:ascii="Times New Roman" w:hAnsi="Times New Roman" w:eastAsia="等线" w:cs="Mongolian Baiti"/>
                                  <w:position w:val="-5"/>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328" name="直接箭头连接符 78"/>
                        <wps:cNvCnPr/>
                        <wps:spPr>
                          <a:xfrm>
                            <a:off x="2240670" y="126749"/>
                            <a:ext cx="0" cy="596455"/>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329" name="直接连接符 79"/>
                        <wps:cNvCnPr/>
                        <wps:spPr>
                          <a:xfrm flipV="1">
                            <a:off x="1374950" y="126749"/>
                            <a:ext cx="86400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30" name="直接箭头连接符 80"/>
                        <wps:cNvCnPr/>
                        <wps:spPr>
                          <a:xfrm>
                            <a:off x="135740" y="126193"/>
                            <a:ext cx="0" cy="5964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1" name="直接连接符 81"/>
                        <wps:cNvCnPr/>
                        <wps:spPr>
                          <a:xfrm flipV="1">
                            <a:off x="167005" y="144780"/>
                            <a:ext cx="882015" cy="0"/>
                          </a:xfrm>
                          <a:prstGeom prst="line">
                            <a:avLst/>
                          </a:prstGeom>
                        </wps:spPr>
                        <wps:style>
                          <a:lnRef idx="1">
                            <a:schemeClr val="dk1"/>
                          </a:lnRef>
                          <a:fillRef idx="0">
                            <a:schemeClr val="dk1"/>
                          </a:fillRef>
                          <a:effectRef idx="0">
                            <a:schemeClr val="dk1"/>
                          </a:effectRef>
                          <a:fontRef idx="minor">
                            <a:schemeClr val="tx1"/>
                          </a:fontRef>
                        </wps:style>
                        <wps:bodyPr/>
                      </wps:wsp>
                      <wps:wsp>
                        <wps:cNvPr id="332" name="直接箭头连接符 82"/>
                        <wps:cNvCnPr/>
                        <wps:spPr>
                          <a:xfrm flipH="1">
                            <a:off x="1195144" y="1010859"/>
                            <a:ext cx="0" cy="4320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33" name="文本框 170"/>
                        <wps:cNvSpPr txBox="1"/>
                        <wps:spPr>
                          <a:xfrm>
                            <a:off x="1015375" y="1442859"/>
                            <a:ext cx="359410" cy="287655"/>
                          </a:xfrm>
                          <a:prstGeom prst="rect">
                            <a:avLst/>
                          </a:prstGeom>
                          <a:noFill/>
                          <a:ln w="6350">
                            <a:solidFill>
                              <a:schemeClr val="tx1"/>
                            </a:solidFill>
                          </a:ln>
                        </wps:spPr>
                        <wps:txbx>
                          <w:txbxContent>
                            <w:p w14:paraId="32EFB2FE">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IⅠ</w:t>
                              </w:r>
                              <w:r>
                                <w:rPr>
                                  <w:rFonts w:ascii="Times New Roman" w:hAnsi="Times New Roman" w:eastAsia="等线" w:cs="Mongolian Baiti"/>
                                  <w:position w:val="-5"/>
                                  <w:szCs w:val="21"/>
                                  <w:vertAlign w:val="subscript"/>
                                </w:rPr>
                                <w:t>1</w:t>
                              </w:r>
                            </w:p>
                          </w:txbxContent>
                        </wps:txbx>
                        <wps:bodyPr rot="0" spcFirstLastPara="0" vert="horz" wrap="square" lIns="91440" tIns="45720" rIns="91440" bIns="45720" numCol="1" spcCol="0" rtlCol="0" fromWordArt="0" anchor="ctr" anchorCtr="0" forceAA="0" compatLnSpc="1">
                          <a:noAutofit/>
                        </wps:bodyPr>
                      </wps:wsp>
                      <wps:wsp>
                        <wps:cNvPr id="334" name="直接连接符 85"/>
                        <wps:cNvCnPr/>
                        <wps:spPr>
                          <a:xfrm flipV="1">
                            <a:off x="137222" y="1593493"/>
                            <a:ext cx="88200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35" name="直接箭头连接符 87"/>
                        <wps:cNvCnPr/>
                        <wps:spPr>
                          <a:xfrm flipV="1">
                            <a:off x="137341" y="1019357"/>
                            <a:ext cx="0" cy="5760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36" name="直接连接符 88"/>
                        <wps:cNvCnPr/>
                        <wps:spPr>
                          <a:xfrm flipV="1">
                            <a:off x="1374950" y="1593412"/>
                            <a:ext cx="864000" cy="0"/>
                          </a:xfrm>
                          <a:prstGeom prst="line">
                            <a:avLst/>
                          </a:prstGeom>
                        </wps:spPr>
                        <wps:style>
                          <a:lnRef idx="1">
                            <a:schemeClr val="dk1"/>
                          </a:lnRef>
                          <a:fillRef idx="0">
                            <a:schemeClr val="dk1"/>
                          </a:fillRef>
                          <a:effectRef idx="0">
                            <a:schemeClr val="dk1"/>
                          </a:effectRef>
                          <a:fontRef idx="minor">
                            <a:schemeClr val="tx1"/>
                          </a:fontRef>
                        </wps:style>
                        <wps:bodyPr/>
                      </wps:wsp>
                      <wps:wsp>
                        <wps:cNvPr id="337" name="直接箭头连接符 89"/>
                        <wps:cNvCnPr/>
                        <wps:spPr>
                          <a:xfrm flipV="1">
                            <a:off x="2240670" y="1013920"/>
                            <a:ext cx="0" cy="576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8" name="文本框 90"/>
                        <wps:cNvSpPr txBox="1"/>
                        <wps:spPr>
                          <a:xfrm>
                            <a:off x="0" y="1810692"/>
                            <a:ext cx="2376000" cy="288000"/>
                          </a:xfrm>
                          <a:prstGeom prst="rect">
                            <a:avLst/>
                          </a:prstGeom>
                          <a:noFill/>
                          <a:ln w="6350">
                            <a:noFill/>
                          </a:ln>
                        </wps:spPr>
                        <wps:txbx>
                          <w:txbxContent>
                            <w:p w14:paraId="5E87432D">
                              <w:pPr>
                                <w:spacing w:line="240" w:lineRule="auto"/>
                                <w:jc w:val="center"/>
                                <w:rPr>
                                  <w:rFonts w:ascii="Times New Roman" w:hAnsi="Times New Roman" w:cs="Times New Roman"/>
                                </w:rPr>
                              </w:pPr>
                              <w:r>
                                <w:rPr>
                                  <w:rFonts w:hint="eastAsia"/>
                                </w:rPr>
                                <w:t>货币的起点和终点为</w:t>
                              </w:r>
                              <w:r>
                                <w:rPr>
                                  <w:rFonts w:ascii="Times New Roman" w:hAnsi="Times New Roman" w:cs="Times New Roman"/>
                                </w:rPr>
                                <w:t>I</w:t>
                              </w:r>
                              <w:r>
                                <w:rPr>
                                  <w:rFonts w:ascii="Times New Roman" w:hAnsi="Times New Roman" w:cs="Times New Roman"/>
                                  <w:vertAlign w:val="subscript"/>
                                </w:rPr>
                                <w:t>1</w:t>
                              </w:r>
                              <w:r>
                                <w:rPr>
                                  <w:rFonts w:ascii="Times New Roman" w:hAnsi="Times New Roman" w:cs="Times New Roman"/>
                                </w:rPr>
                                <w:t>或I</w:t>
                              </w:r>
                              <w:r>
                                <w:rPr>
                                  <w:rFonts w:ascii="Times New Roman" w:hAnsi="Times New Roman" w:cs="Times New Roman"/>
                                  <w:vertAlign w:val="subscript"/>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9" name="文本框 70"/>
                        <wps:cNvSpPr txBox="1"/>
                        <wps:spPr>
                          <a:xfrm>
                            <a:off x="2886270" y="722648"/>
                            <a:ext cx="360000" cy="287655"/>
                          </a:xfrm>
                          <a:prstGeom prst="rect">
                            <a:avLst/>
                          </a:prstGeom>
                          <a:noFill/>
                          <a:ln w="12700">
                            <a:solidFill>
                              <a:schemeClr val="tx1"/>
                            </a:solidFill>
                          </a:ln>
                        </wps:spPr>
                        <wps:txbx>
                          <w:txbxContent>
                            <w:p w14:paraId="3A1DA188">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ⅠI</w:t>
                              </w:r>
                              <w:r>
                                <w:rPr>
                                  <w:rFonts w:ascii="Times New Roman" w:hAnsi="Times New Roman" w:eastAsia="等线" w:cs="Mongolian Baiti"/>
                                  <w:position w:val="-5"/>
                                  <w:szCs w:val="21"/>
                                  <w:vertAlign w:val="subscript"/>
                                </w:rPr>
                                <w:t>1</w:t>
                              </w:r>
                            </w:p>
                          </w:txbxContent>
                        </wps:txbx>
                        <wps:bodyPr rot="0" spcFirstLastPara="0" vert="horz" wrap="square" lIns="91440" tIns="45720" rIns="91440" bIns="45720" numCol="1" spcCol="0" rtlCol="0" fromWordArt="0" anchor="ctr" anchorCtr="0" forceAA="0" compatLnSpc="1">
                          <a:noAutofit/>
                        </wps:bodyPr>
                      </wps:wsp>
                      <wps:wsp>
                        <wps:cNvPr id="340" name="直接箭头连接符 92"/>
                        <wps:cNvCnPr/>
                        <wps:spPr>
                          <a:xfrm>
                            <a:off x="4355059" y="864254"/>
                            <a:ext cx="558000"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41" name="文本框 139"/>
                        <wps:cNvSpPr txBox="1"/>
                        <wps:spPr>
                          <a:xfrm>
                            <a:off x="4918120" y="723204"/>
                            <a:ext cx="360000" cy="287655"/>
                          </a:xfrm>
                          <a:prstGeom prst="rect">
                            <a:avLst/>
                          </a:prstGeom>
                          <a:noFill/>
                          <a:ln w="12700">
                            <a:solidFill>
                              <a:schemeClr val="tx1"/>
                            </a:solidFill>
                          </a:ln>
                        </wps:spPr>
                        <wps:txbx>
                          <w:txbxContent>
                            <w:p w14:paraId="07D290D1">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ⅠI</w:t>
                              </w:r>
                              <w:r>
                                <w:rPr>
                                  <w:rFonts w:ascii="Times New Roman" w:hAnsi="Times New Roman" w:eastAsia="等线" w:cs="Mongolian Baiti"/>
                                  <w:position w:val="-5"/>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342" name="直接箭头连接符 94"/>
                        <wps:cNvCnPr/>
                        <wps:spPr>
                          <a:xfrm flipH="1">
                            <a:off x="3250138" y="864492"/>
                            <a:ext cx="558000"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43" name="直接箭头连接符 95"/>
                        <wps:cNvCnPr/>
                        <wps:spPr>
                          <a:xfrm flipV="1">
                            <a:off x="4079715" y="1118859"/>
                            <a:ext cx="0" cy="3240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44" name="文本框 167"/>
                        <wps:cNvSpPr txBox="1"/>
                        <wps:spPr>
                          <a:xfrm>
                            <a:off x="3933499" y="0"/>
                            <a:ext cx="288000" cy="287655"/>
                          </a:xfrm>
                          <a:prstGeom prst="rect">
                            <a:avLst/>
                          </a:prstGeom>
                          <a:noFill/>
                          <a:ln w="6350">
                            <a:solidFill>
                              <a:schemeClr val="tx1"/>
                            </a:solidFill>
                          </a:ln>
                        </wps:spPr>
                        <wps:txbx>
                          <w:txbxContent>
                            <w:p w14:paraId="546A3B54">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w:t>
                              </w:r>
                              <w:r>
                                <w:rPr>
                                  <w:rFonts w:ascii="Times New Roman" w:hAnsi="Times New Roman" w:eastAsia="等线" w:cs="Mongolian Baiti"/>
                                  <w:position w:val="-5"/>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345" name="直接箭头连接符 97"/>
                        <wps:cNvCnPr/>
                        <wps:spPr>
                          <a:xfrm flipH="1" flipV="1">
                            <a:off x="4226026" y="139301"/>
                            <a:ext cx="864000" cy="0"/>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346" name="直接连接符 98"/>
                        <wps:cNvCnPr/>
                        <wps:spPr>
                          <a:xfrm flipV="1">
                            <a:off x="5095251" y="131276"/>
                            <a:ext cx="0" cy="595899"/>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47" name="直接箭头连接符 99"/>
                        <wps:cNvCnPr/>
                        <wps:spPr>
                          <a:xfrm>
                            <a:off x="3062753" y="144301"/>
                            <a:ext cx="864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48" name="直接连接符 100"/>
                        <wps:cNvCnPr/>
                        <wps:spPr>
                          <a:xfrm flipH="1">
                            <a:off x="3066270" y="149383"/>
                            <a:ext cx="0" cy="573265"/>
                          </a:xfrm>
                          <a:prstGeom prst="line">
                            <a:avLst/>
                          </a:prstGeom>
                        </wps:spPr>
                        <wps:style>
                          <a:lnRef idx="1">
                            <a:schemeClr val="dk1"/>
                          </a:lnRef>
                          <a:fillRef idx="0">
                            <a:schemeClr val="dk1"/>
                          </a:fillRef>
                          <a:effectRef idx="0">
                            <a:schemeClr val="dk1"/>
                          </a:effectRef>
                          <a:fontRef idx="minor">
                            <a:schemeClr val="tx1"/>
                          </a:fontRef>
                        </wps:style>
                        <wps:bodyPr/>
                      </wps:wsp>
                      <wps:wsp>
                        <wps:cNvPr id="349" name="直接箭头连接符 101"/>
                        <wps:cNvCnPr/>
                        <wps:spPr>
                          <a:xfrm flipH="1">
                            <a:off x="4079519" y="291637"/>
                            <a:ext cx="0" cy="3240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50" name="文本框 170"/>
                        <wps:cNvSpPr txBox="1"/>
                        <wps:spPr>
                          <a:xfrm>
                            <a:off x="3933334" y="1442859"/>
                            <a:ext cx="288000" cy="287655"/>
                          </a:xfrm>
                          <a:prstGeom prst="rect">
                            <a:avLst/>
                          </a:prstGeom>
                          <a:noFill/>
                          <a:ln w="6350">
                            <a:solidFill>
                              <a:schemeClr val="tx1"/>
                            </a:solidFill>
                          </a:ln>
                        </wps:spPr>
                        <wps:txbx>
                          <w:txbxContent>
                            <w:p w14:paraId="7E032FA0">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w:t>
                              </w:r>
                              <w:r>
                                <w:rPr>
                                  <w:rFonts w:ascii="Times New Roman" w:hAnsi="Times New Roman" w:eastAsia="等线" w:cs="Mongolian Baiti"/>
                                  <w:position w:val="-5"/>
                                  <w:szCs w:val="21"/>
                                  <w:vertAlign w:val="subscript"/>
                                </w:rPr>
                                <w:t>1</w:t>
                              </w:r>
                            </w:p>
                          </w:txbxContent>
                        </wps:txbx>
                        <wps:bodyPr rot="0" spcFirstLastPara="0" vert="horz" wrap="square" lIns="91440" tIns="45720" rIns="91440" bIns="45720" numCol="1" spcCol="0" rtlCol="0" fromWordArt="0" anchor="ctr" anchorCtr="0" forceAA="0" compatLnSpc="1">
                          <a:noAutofit/>
                        </wps:bodyPr>
                      </wps:wsp>
                      <wps:wsp>
                        <wps:cNvPr id="351" name="文本框 103"/>
                        <wps:cNvSpPr txBox="1"/>
                        <wps:spPr>
                          <a:xfrm>
                            <a:off x="2902120" y="1810692"/>
                            <a:ext cx="2376000" cy="288000"/>
                          </a:xfrm>
                          <a:prstGeom prst="rect">
                            <a:avLst/>
                          </a:prstGeom>
                          <a:noFill/>
                          <a:ln w="6350">
                            <a:noFill/>
                          </a:ln>
                        </wps:spPr>
                        <wps:txbx>
                          <w:txbxContent>
                            <w:p w14:paraId="627A7F24">
                              <w:pPr>
                                <w:spacing w:line="240" w:lineRule="auto"/>
                                <w:jc w:val="center"/>
                                <w:rPr>
                                  <w:rFonts w:ascii="Times New Roman" w:hAnsi="Times New Roman" w:cs="Times New Roman"/>
                                </w:rPr>
                              </w:pPr>
                              <w:r>
                                <w:rPr>
                                  <w:rFonts w:hint="eastAsia"/>
                                </w:rPr>
                                <w:t>货币的起点和终点为</w:t>
                              </w:r>
                              <w:r>
                                <w:rPr>
                                  <w:rFonts w:ascii="Times New Roman" w:hAnsi="Times New Roman" w:cs="Times New Roman"/>
                                </w:rPr>
                                <w:t>II</w:t>
                              </w:r>
                              <w:r>
                                <w:rPr>
                                  <w:rFonts w:ascii="Times New Roman" w:hAnsi="Times New Roman" w:cs="Times New Roman"/>
                                  <w:vertAlign w:val="subscript"/>
                                </w:rPr>
                                <w:t>1</w:t>
                              </w:r>
                              <w:r>
                                <w:rPr>
                                  <w:rFonts w:ascii="Times New Roman" w:hAnsi="Times New Roman" w:cs="Times New Roman"/>
                                </w:rPr>
                                <w:t>或</w:t>
                              </w:r>
                              <w:r>
                                <w:rPr>
                                  <w:rFonts w:hint="eastAsia" w:ascii="Times New Roman" w:hAnsi="Times New Roman" w:cs="Times New Roman"/>
                                </w:rPr>
                                <w:t>I</w:t>
                              </w:r>
                              <w:r>
                                <w:rPr>
                                  <w:rFonts w:ascii="Times New Roman" w:hAnsi="Times New Roman" w:cs="Times New Roman"/>
                                </w:rPr>
                                <w:t>I</w:t>
                              </w:r>
                              <w:r>
                                <w:rPr>
                                  <w:rFonts w:ascii="Times New Roman" w:hAnsi="Times New Roman" w:cs="Times New Roman"/>
                                  <w:vertAlign w:val="subscript"/>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2" name="文本框 104"/>
                        <wps:cNvSpPr txBox="1"/>
                        <wps:spPr>
                          <a:xfrm>
                            <a:off x="3810532" y="611109"/>
                            <a:ext cx="540000" cy="504000"/>
                          </a:xfrm>
                          <a:prstGeom prst="rect">
                            <a:avLst/>
                          </a:prstGeom>
                          <a:noFill/>
                          <a:ln w="6350">
                            <a:solidFill>
                              <a:schemeClr val="tx1"/>
                            </a:solidFill>
                          </a:ln>
                        </wps:spPr>
                        <wps:txbx>
                          <w:txbxContent>
                            <w:p w14:paraId="23484663">
                              <w:pPr>
                                <w:spacing w:line="240" w:lineRule="auto"/>
                                <w:rPr>
                                  <w:rFonts w:ascii="Times New Roman" w:hAnsi="Times New Roman" w:cs="Times New Roman"/>
                                </w:rPr>
                              </w:pPr>
                              <w:r>
                                <w:rPr>
                                  <w:rFonts w:ascii="Times New Roman" w:hAnsi="Times New Roman" w:cs="Times New Roman"/>
                                </w:rPr>
                                <w:t>工人</w:t>
                              </w:r>
                              <w:r>
                                <w:rPr>
                                  <w:rFonts w:ascii="Times New Roman" w:hAnsi="Times New Roman" w:cs="Times New Roman"/>
                                  <w:vertAlign w:val="subscript"/>
                                </w:rPr>
                                <w:t>2</w:t>
                              </w:r>
                            </w:p>
                            <w:p w14:paraId="38AB9A8E">
                              <w:pPr>
                                <w:spacing w:line="240" w:lineRule="auto"/>
                                <w:rPr>
                                  <w:rFonts w:ascii="Times New Roman" w:hAnsi="Times New Roman" w:cs="Times New Roman"/>
                                </w:rPr>
                              </w:pPr>
                              <w:r>
                                <w:rPr>
                                  <w:rFonts w:ascii="Times New Roman" w:hAnsi="Times New Roman" w:cs="Times New Roman"/>
                                </w:rPr>
                                <w:t>工人</w:t>
                              </w:r>
                              <w:r>
                                <w:rPr>
                                  <w:rFonts w:ascii="Times New Roman" w:hAnsi="Times New Roman" w:cs="Times New Roman"/>
                                  <w:vertAlign w:val="subscript"/>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4" name="直接箭头连接符 105"/>
                        <wps:cNvCnPr/>
                        <wps:spPr>
                          <a:xfrm>
                            <a:off x="3062588" y="1583803"/>
                            <a:ext cx="864000"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55" name="直接连接符 106"/>
                        <wps:cNvCnPr/>
                        <wps:spPr>
                          <a:xfrm flipH="1">
                            <a:off x="3066002" y="1010303"/>
                            <a:ext cx="0" cy="57326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56" name="直接连接符 107"/>
                        <wps:cNvCnPr/>
                        <wps:spPr>
                          <a:xfrm flipH="1">
                            <a:off x="5095825" y="1010303"/>
                            <a:ext cx="0" cy="573265"/>
                          </a:xfrm>
                          <a:prstGeom prst="line">
                            <a:avLst/>
                          </a:prstGeom>
                        </wps:spPr>
                        <wps:style>
                          <a:lnRef idx="1">
                            <a:schemeClr val="dk1"/>
                          </a:lnRef>
                          <a:fillRef idx="0">
                            <a:schemeClr val="dk1"/>
                          </a:fillRef>
                          <a:effectRef idx="0">
                            <a:schemeClr val="dk1"/>
                          </a:effectRef>
                          <a:fontRef idx="minor">
                            <a:schemeClr val="tx1"/>
                          </a:fontRef>
                        </wps:style>
                        <wps:bodyPr/>
                      </wps:wsp>
                      <wps:wsp>
                        <wps:cNvPr id="357" name="直接箭头连接符 108"/>
                        <wps:cNvCnPr/>
                        <wps:spPr>
                          <a:xfrm flipH="1" flipV="1">
                            <a:off x="4229981" y="1578804"/>
                            <a:ext cx="864000" cy="0"/>
                          </a:xfrm>
                          <a:prstGeom prst="straightConnector1">
                            <a:avLst/>
                          </a:prstGeom>
                          <a:ln w="63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358" name="直接连接符 109"/>
                        <wps:cNvCnPr/>
                        <wps:spPr>
                          <a:xfrm flipV="1">
                            <a:off x="3808138" y="863109"/>
                            <a:ext cx="542394" cy="1145"/>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59" name="文本框 112"/>
                        <wps:cNvSpPr txBox="1"/>
                        <wps:spPr>
                          <a:xfrm>
                            <a:off x="230863" y="1115110"/>
                            <a:ext cx="864000" cy="288000"/>
                          </a:xfrm>
                          <a:prstGeom prst="rect">
                            <a:avLst/>
                          </a:prstGeom>
                          <a:noFill/>
                          <a:ln w="6350">
                            <a:noFill/>
                          </a:ln>
                        </wps:spPr>
                        <wps:txbx>
                          <w:txbxContent>
                            <w:p w14:paraId="33D810E7">
                              <w:pPr>
                                <w:spacing w:line="240" w:lineRule="auto"/>
                              </w:pPr>
                              <w:r>
                                <w:rPr>
                                  <w:rFonts w:hint="eastAsia"/>
                                </w:rPr>
                                <w:t>国内大循环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0" name="文本框 113"/>
                        <wps:cNvSpPr txBox="1"/>
                        <wps:spPr>
                          <a:xfrm>
                            <a:off x="1290118" y="336510"/>
                            <a:ext cx="864000" cy="288000"/>
                          </a:xfrm>
                          <a:prstGeom prst="rect">
                            <a:avLst/>
                          </a:prstGeom>
                          <a:noFill/>
                          <a:ln w="6350">
                            <a:noFill/>
                          </a:ln>
                        </wps:spPr>
                        <wps:txbx>
                          <w:txbxContent>
                            <w:p w14:paraId="465D905E">
                              <w:pPr>
                                <w:spacing w:line="240" w:lineRule="auto"/>
                              </w:pPr>
                              <w:r>
                                <w:rPr>
                                  <w:rFonts w:hint="eastAsia"/>
                                </w:rPr>
                                <w:t>国内大循环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文本框 114"/>
                        <wps:cNvSpPr txBox="1"/>
                        <wps:spPr>
                          <a:xfrm>
                            <a:off x="4151012" y="303294"/>
                            <a:ext cx="864000" cy="288000"/>
                          </a:xfrm>
                          <a:prstGeom prst="rect">
                            <a:avLst/>
                          </a:prstGeom>
                          <a:noFill/>
                          <a:ln w="6350">
                            <a:noFill/>
                          </a:ln>
                        </wps:spPr>
                        <wps:txbx>
                          <w:txbxContent>
                            <w:p w14:paraId="13C76F0C">
                              <w:pPr>
                                <w:spacing w:line="240" w:lineRule="auto"/>
                              </w:pPr>
                              <w:r>
                                <w:rPr>
                                  <w:rFonts w:hint="eastAsia"/>
                                </w:rPr>
                                <w:t>国内大循环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文本框 115"/>
                        <wps:cNvSpPr txBox="1"/>
                        <wps:spPr>
                          <a:xfrm>
                            <a:off x="3105337" y="1077892"/>
                            <a:ext cx="864000" cy="288000"/>
                          </a:xfrm>
                          <a:prstGeom prst="rect">
                            <a:avLst/>
                          </a:prstGeom>
                          <a:noFill/>
                          <a:ln w="6350">
                            <a:noFill/>
                          </a:ln>
                        </wps:spPr>
                        <wps:txbx>
                          <w:txbxContent>
                            <w:p w14:paraId="4DA6A236">
                              <w:pPr>
                                <w:spacing w:line="240" w:lineRule="auto"/>
                              </w:pPr>
                              <w:r>
                                <w:rPr>
                                  <w:rFonts w:hint="eastAsia"/>
                                </w:rPr>
                                <w:t>国内大循环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9" name="文本框 31"/>
                        <wps:cNvSpPr txBox="1"/>
                        <wps:spPr>
                          <a:xfrm>
                            <a:off x="2987666" y="1341966"/>
                            <a:ext cx="28829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8941E1">
                              <w:pPr>
                                <w:spacing w:line="240" w:lineRule="auto"/>
                                <w:rPr>
                                  <w:rFonts w:cs="Mongolian Baiti"/>
                                  <w:szCs w:val="21"/>
                                </w:rPr>
                              </w:pPr>
                              <w:r>
                                <w:rPr>
                                  <w:rFonts w:hint="eastAsia" w:cs="Mongolian Baiti"/>
                                  <w:szCs w:val="21"/>
                                </w:rPr>
                                <w:t>②</w:t>
                              </w:r>
                            </w:p>
                          </w:txbxContent>
                        </wps:txbx>
                        <wps:bodyPr rot="0" spcFirstLastPara="0" vert="horz" wrap="square" lIns="91120" tIns="45560" rIns="91120" bIns="45560" numCol="1" spcCol="0" rtlCol="0" fromWordArt="0" anchor="t" anchorCtr="0" forceAA="0" compatLnSpc="1">
                          <a:noAutofit/>
                        </wps:bodyPr>
                      </wps:wsp>
                      <wps:wsp>
                        <wps:cNvPr id="370" name="文本框 31"/>
                        <wps:cNvSpPr txBox="1"/>
                        <wps:spPr>
                          <a:xfrm>
                            <a:off x="3835302" y="1156506"/>
                            <a:ext cx="28829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D2E18">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 1 \* GB3 </w:instrText>
                              </w:r>
                              <w:r>
                                <w:rPr>
                                  <w:rFonts w:ascii="Times New Roman" w:hAnsi="Times New Roman" w:cs="Times New Roman"/>
                                  <w:szCs w:val="21"/>
                                </w:rPr>
                                <w:fldChar w:fldCharType="separate"/>
                              </w:r>
                              <w:r>
                                <w:rPr>
                                  <w:rFonts w:hint="eastAsia" w:ascii="宋体" w:hAnsi="宋体" w:cs="宋体"/>
                                  <w:szCs w:val="21"/>
                                </w:rPr>
                                <w:t>①</w:t>
                              </w:r>
                              <w:r>
                                <w:rPr>
                                  <w:rFonts w:ascii="Times New Roman" w:hAnsi="Times New Roman" w:cs="Times New Roman"/>
                                  <w:szCs w:val="21"/>
                                </w:rPr>
                                <w:fldChar w:fldCharType="end"/>
                              </w:r>
                            </w:p>
                          </w:txbxContent>
                        </wps:txbx>
                        <wps:bodyPr rot="0" spcFirstLastPara="0" vert="horz" wrap="square" lIns="91120" tIns="45560" rIns="91120" bIns="45560" numCol="1" spcCol="0" rtlCol="0" fromWordArt="0" anchor="t" anchorCtr="0" forceAA="0" compatLnSpc="1">
                          <a:noAutofit/>
                        </wps:bodyPr>
                      </wps:wsp>
                      <wps:wsp>
                        <wps:cNvPr id="371" name="文本框 31"/>
                        <wps:cNvSpPr txBox="1"/>
                        <wps:spPr>
                          <a:xfrm>
                            <a:off x="3409786" y="807363"/>
                            <a:ext cx="28829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6B942C">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w:instrText>
                              </w:r>
                              <w:r>
                                <w:rPr>
                                  <w:rFonts w:hint="eastAsia" w:ascii="Times New Roman" w:hAnsi="Times New Roman" w:cs="Times New Roman"/>
                                  <w:szCs w:val="21"/>
                                </w:rPr>
                                <w:instrText xml:space="preserve">= 3 \* GB3</w:instrText>
                              </w:r>
                              <w:r>
                                <w:rPr>
                                  <w:rFonts w:ascii="Times New Roman" w:hAnsi="Times New Roman" w:cs="Times New Roman"/>
                                  <w:szCs w:val="21"/>
                                </w:rPr>
                                <w:instrText xml:space="preserve"> </w:instrText>
                              </w:r>
                              <w:r>
                                <w:rPr>
                                  <w:rFonts w:ascii="Times New Roman" w:hAnsi="Times New Roman" w:cs="Times New Roman"/>
                                  <w:szCs w:val="21"/>
                                </w:rPr>
                                <w:fldChar w:fldCharType="separate"/>
                              </w:r>
                              <w:r>
                                <w:rPr>
                                  <w:rFonts w:hint="eastAsia" w:ascii="Times New Roman" w:hAnsi="Times New Roman" w:cs="Times New Roman"/>
                                  <w:szCs w:val="21"/>
                                </w:rPr>
                                <w:t>③</w:t>
                              </w:r>
                              <w:r>
                                <w:rPr>
                                  <w:rFonts w:ascii="Times New Roman" w:hAnsi="Times New Roman" w:cs="Times New Roman"/>
                                  <w:szCs w:val="21"/>
                                </w:rPr>
                                <w:fldChar w:fldCharType="end"/>
                              </w:r>
                            </w:p>
                          </w:txbxContent>
                        </wps:txbx>
                        <wps:bodyPr rot="0" spcFirstLastPara="0" vert="horz" wrap="square" lIns="91120" tIns="45560" rIns="91120" bIns="45560" numCol="1" spcCol="0" rtlCol="0" fromWordArt="0" anchor="t" anchorCtr="0" forceAA="0" compatLnSpc="1">
                          <a:noAutofit/>
                        </wps:bodyPr>
                      </wps:wsp>
                      <wps:wsp>
                        <wps:cNvPr id="372" name="文本框 31"/>
                        <wps:cNvSpPr txBox="1"/>
                        <wps:spPr>
                          <a:xfrm>
                            <a:off x="58869" y="1356477"/>
                            <a:ext cx="28829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8D3ACD">
                              <w:pPr>
                                <w:spacing w:line="240" w:lineRule="auto"/>
                                <w:rPr>
                                  <w:rFonts w:cs="Mongolian Baiti"/>
                                  <w:szCs w:val="21"/>
                                </w:rPr>
                              </w:pPr>
                              <w:r>
                                <w:rPr>
                                  <w:rFonts w:hint="eastAsia" w:cs="Mongolian Baiti"/>
                                  <w:szCs w:val="21"/>
                                </w:rPr>
                                <w:t>②</w:t>
                              </w:r>
                            </w:p>
                          </w:txbxContent>
                        </wps:txbx>
                        <wps:bodyPr rot="0" spcFirstLastPara="0" vert="horz" wrap="square" lIns="91120" tIns="45560" rIns="91120" bIns="45560" numCol="1" spcCol="0" rtlCol="0" fromWordArt="0" anchor="t" anchorCtr="0" forceAA="0" compatLnSpc="1">
                          <a:noAutofit/>
                        </wps:bodyPr>
                      </wps:wsp>
                      <wps:wsp>
                        <wps:cNvPr id="373" name="文本框 31"/>
                        <wps:cNvSpPr txBox="1"/>
                        <wps:spPr>
                          <a:xfrm>
                            <a:off x="946105" y="1091864"/>
                            <a:ext cx="28829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9287BF">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 3 \* GB3 </w:instrText>
                              </w:r>
                              <w:r>
                                <w:rPr>
                                  <w:rFonts w:ascii="Times New Roman" w:hAnsi="Times New Roman" w:cs="Times New Roman"/>
                                  <w:szCs w:val="21"/>
                                </w:rPr>
                                <w:fldChar w:fldCharType="separate"/>
                              </w:r>
                              <w:r>
                                <w:rPr>
                                  <w:rFonts w:hint="eastAsia" w:ascii="宋体" w:hAnsi="宋体" w:cs="宋体"/>
                                  <w:szCs w:val="21"/>
                                </w:rPr>
                                <w:t>③</w:t>
                              </w:r>
                              <w:r>
                                <w:rPr>
                                  <w:rFonts w:ascii="Times New Roman" w:hAnsi="Times New Roman" w:cs="Times New Roman"/>
                                  <w:szCs w:val="21"/>
                                </w:rPr>
                                <w:fldChar w:fldCharType="end"/>
                              </w:r>
                            </w:p>
                          </w:txbxContent>
                        </wps:txbx>
                        <wps:bodyPr rot="0" spcFirstLastPara="0" vert="horz" wrap="square" lIns="91120" tIns="45560" rIns="91120" bIns="45560" numCol="1" spcCol="0" rtlCol="0" fromWordArt="0" anchor="t" anchorCtr="0" forceAA="0" compatLnSpc="1">
                          <a:noAutofit/>
                        </wps:bodyPr>
                      </wps:wsp>
                      <wps:wsp>
                        <wps:cNvPr id="374" name="文本框 31"/>
                        <wps:cNvSpPr txBox="1"/>
                        <wps:spPr>
                          <a:xfrm>
                            <a:off x="347159" y="799691"/>
                            <a:ext cx="28829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42C32C">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 1 \* GB3 </w:instrText>
                              </w:r>
                              <w:r>
                                <w:rPr>
                                  <w:rFonts w:ascii="Times New Roman" w:hAnsi="Times New Roman" w:cs="Times New Roman"/>
                                  <w:szCs w:val="21"/>
                                </w:rPr>
                                <w:fldChar w:fldCharType="separate"/>
                              </w:r>
                              <w:r>
                                <w:rPr>
                                  <w:rFonts w:hint="eastAsia" w:ascii="宋体" w:hAnsi="宋体" w:cs="宋体"/>
                                  <w:szCs w:val="21"/>
                                </w:rPr>
                                <w:t>①</w:t>
                              </w:r>
                              <w:r>
                                <w:rPr>
                                  <w:rFonts w:ascii="Times New Roman" w:hAnsi="Times New Roman" w:cs="Times New Roman"/>
                                  <w:szCs w:val="21"/>
                                </w:rPr>
                                <w:fldChar w:fldCharType="end"/>
                              </w:r>
                            </w:p>
                          </w:txbxContent>
                        </wps:txbx>
                        <wps:bodyPr rot="0" spcFirstLastPara="0" vert="horz" wrap="square" lIns="91120" tIns="45560" rIns="91120" bIns="45560" numCol="1" spcCol="0" rtlCol="0" fromWordArt="0" anchor="t" anchorCtr="0" forceAA="0" compatLnSpc="1">
                          <a:noAutofit/>
                        </wps:bodyPr>
                      </wps:wsp>
                    </wpc:wpc>
                  </a:graphicData>
                </a:graphic>
              </wp:anchor>
            </w:drawing>
          </mc:Choice>
          <mc:Fallback>
            <w:pict>
              <v:group id="画布 2" o:spid="_x0000_s1026" o:spt="203" style="position:absolute;left:0pt;margin-left:13.15pt;margin-top:332.3pt;height:167pt;width:413.75pt;mso-wrap-distance-bottom:0pt;mso-wrap-distance-top:0pt;z-index:251691008;mso-width-relative:page;mso-height-relative:page;" coordsize="5254625,2120900" editas="canvas" o:gfxdata="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">
                <o:lock v:ext="edit" aspectratio="f"/>
                <v:shape id="画布 2" o:spid="_x0000_s1026" style="position:absolute;left:0;top:0;height:2120900;width:5254625;" filled="f" stroked="f" coordsize="21600,21600" o:gfxdata="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">
                  <v:fill on="f" focussize="0,0"/>
                  <v:stroke on="f"/>
                  <v:imagedata o:title=""/>
                  <o:lock v:ext="edit" aspectratio="f"/>
                </v:shape>
                <v:shape id="文本框 70" o:spid="_x0000_s1026" o:spt="202" type="#_x0000_t202" style="position:absolute;left:0;top:722648;height:287655;width:288000;v-text-anchor:middle;" filled="f" stroked="t" coordsize="21600,21600" o:gfxdata="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RmKT3bAAAACgEAAA8AAAAAAAAAAQAg&#10;AAAAIgAAAGRycy9kb3ducmV2LnhtbFBLAQIUABQAAAAIAIdO4kDBPhw5RAIAAGgEAAAOAAAAAAAA&#10;AAEAIAAAACoBAABkcnMvZTJvRG9jLnhtbFBLBQYAAAAABgAGAFkBAADgBQAAAAA=&#10;">
                  <v:fill on="f" focussize="0,0"/>
                  <v:stroke weight="1pt" color="#000000 [3213]" joinstyle="round"/>
                  <v:imagedata o:title=""/>
                  <o:lock v:ext="edit" aspectratio="f"/>
                  <v:textbox>
                    <w:txbxContent>
                      <w:p w14:paraId="77438223">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w:t>
                        </w:r>
                        <w:r>
                          <w:rPr>
                            <w:rFonts w:ascii="Times New Roman" w:hAnsi="Times New Roman" w:eastAsia="等线" w:cs="Mongolian Baiti"/>
                            <w:position w:val="-5"/>
                            <w:szCs w:val="21"/>
                            <w:vertAlign w:val="subscript"/>
                          </w:rPr>
                          <w:t>1</w:t>
                        </w:r>
                      </w:p>
                    </w:txbxContent>
                  </v:textbox>
                </v:shape>
                <v:shape id="直接箭头连接符 67" o:spid="_x0000_s1026" o:spt="32" type="#_x0000_t32" style="position:absolute;left:292528;top:864600;height:0;width:432000;" filled="f" stroked="t" coordsize="21600,21600" o:gfxdata="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jBl7a2QAAAAoBAAAPAAAA&#10;AAAAAAEAIAAAACIAAABkcnMvZG93bnJldi54bWxQSwECFAAUAAAACACHTuJAie1ewBQCAADuAwAA&#10;DgAAAAAAAAABACAAAAAoAQAAZHJzL2Uyb0RvYy54bWxQSwUGAAAAAAYABgBZAQAArgUAAAAA&#10;">
                  <v:fill on="f" focussize="0,0"/>
                  <v:stroke weight="1.5pt" color="#000000 [3200]" miterlimit="8" joinstyle="miter" endarrow="block"/>
                  <v:imagedata o:title=""/>
                  <o:lock v:ext="edit" aspectratio="f"/>
                </v:shape>
                <v:line id="直接连接符 68" o:spid="_x0000_s1026" o:spt="20" style="position:absolute;left:1195144;top:723204;flip:x;height:287655;width:0;" filled="f" stroked="t" coordsize="21600,21600" o:gfxdata="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7FMWQ2wAAAAoBAAAPAAAAAAAAAAEAIAAAACIAAABkcnMvZG93bnJl&#10;di54bWxQSwECFAAUAAAACACHTuJAB/g/6/oBAADKAwAADgAAAAAAAAABACAAAAAqAQAAZHJzL2Uy&#10;b0RvYy54bWxQSwUGAAAAAAYABgBZAQAAlgUAAAAA&#10;">
                  <v:fill on="f" focussize="0,0"/>
                  <v:stroke weight="1pt" color="#000000 [3200]" miterlimit="8" joinstyle="miter" dashstyle="1 1"/>
                  <v:imagedata o:title=""/>
                  <o:lock v:ext="edit" aspectratio="f"/>
                </v:line>
                <v:shape id="文本框 86" o:spid="_x0000_s1026" o:spt="202" type="#_x0000_t202" style="position:absolute;left:729646;top:723204;height:287655;width:935990;v-text-anchor:middle;" filled="f" stroked="t" coordsize="21600,21600" o:gfxdata="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CRHEIdgAAAAKAQAADwAAAAAA&#10;AAABACAAAAAiAAAAZHJzL2Rvd25yZXYueG1sUEsBAhQAFAAAAAgAh07iQPpVVxlMAgAAbQQAAA4A&#10;AAAAAAAAAQAgAAAAJwEAAGRycy9lMm9Eb2MueG1sUEsFBgAAAAAGAAYAWQEAAOUFAAAAAA==&#10;">
                  <v:fill on="f" focussize="0,0"/>
                  <v:stroke weight="0.5pt" color="#000000 [3213]" joinstyle="round"/>
                  <v:imagedata o:title=""/>
                  <o:lock v:ext="edit" aspectratio="f"/>
                  <v:textbox>
                    <w:txbxContent>
                      <w:p w14:paraId="07A886D8">
                        <w:pPr>
                          <w:spacing w:line="240" w:lineRule="auto"/>
                          <w:jc w:val="center"/>
                          <w:rPr>
                            <w:rFonts w:ascii="等线" w:cs="Mongolian Baiti"/>
                            <w:szCs w:val="21"/>
                          </w:rPr>
                        </w:pPr>
                        <w:r>
                          <w:rPr>
                            <w:rFonts w:hint="eastAsia" w:ascii="等线" w:cs="Mongolian Baiti"/>
                            <w:szCs w:val="21"/>
                          </w:rPr>
                          <w:t>工人</w:t>
                        </w:r>
                        <w:r>
                          <w:rPr>
                            <w:rFonts w:ascii="Times New Roman" w:hAnsi="Times New Roman" w:eastAsia="等线" w:cs="Mongolian Baiti"/>
                            <w:position w:val="-5"/>
                            <w:szCs w:val="21"/>
                            <w:vertAlign w:val="subscript"/>
                          </w:rPr>
                          <w:t>1</w:t>
                        </w:r>
                        <w:r>
                          <w:rPr>
                            <w:rFonts w:hint="eastAsia" w:ascii="等线" w:cs="Mongolian Baiti"/>
                            <w:szCs w:val="21"/>
                          </w:rPr>
                          <w:t>工人</w:t>
                        </w:r>
                        <w:r>
                          <w:rPr>
                            <w:rFonts w:ascii="Times New Roman" w:hAnsi="Times New Roman" w:eastAsia="等线" w:cs="Mongolian Baiti"/>
                            <w:position w:val="-5"/>
                            <w:szCs w:val="21"/>
                            <w:vertAlign w:val="subscript"/>
                          </w:rPr>
                          <w:t>2</w:t>
                        </w:r>
                      </w:p>
                    </w:txbxContent>
                  </v:textbox>
                </v:shape>
                <v:shape id="文本框 139" o:spid="_x0000_s1026" o:spt="202" type="#_x0000_t202" style="position:absolute;left:2099261;top:723204;height:287655;width:288000;v-text-anchor:middle;" filled="f" stroked="t" coordsize="21600,21600" o:gfxdata="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pGYpPdsAAAAKAQAADwAA&#10;AAAAAAABACAAAAAiAAAAZHJzL2Rvd25yZXYueG1sUEsBAhQAFAAAAAgAh07iQI9Q7GNMAgAAcAQA&#10;AA4AAAAAAAAAAQAgAAAAKgEAAGRycy9lMm9Eb2MueG1sUEsFBgAAAAAGAAYAWQEAAOgFAAAAAA==&#10;">
                  <v:fill on="f" focussize="0,0"/>
                  <v:stroke weight="1pt" color="#000000 [3213]" joinstyle="round"/>
                  <v:imagedata o:title=""/>
                  <o:lock v:ext="edit" aspectratio="f"/>
                  <v:textbox>
                    <w:txbxContent>
                      <w:p w14:paraId="68C76AB7">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w:t>
                        </w:r>
                        <w:r>
                          <w:rPr>
                            <w:rFonts w:ascii="Times New Roman" w:hAnsi="Times New Roman" w:eastAsia="等线" w:cs="Mongolian Baiti"/>
                            <w:position w:val="-5"/>
                            <w:szCs w:val="21"/>
                            <w:vertAlign w:val="subscript"/>
                          </w:rPr>
                          <w:t>2</w:t>
                        </w:r>
                      </w:p>
                    </w:txbxContent>
                  </v:textbox>
                </v:shape>
                <v:shape id="直接箭头连接符 75" o:spid="_x0000_s1026" o:spt="32" type="#_x0000_t32" style="position:absolute;left:1665636;top:864492;flip:x;height:0;width:43200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CUbrdgAAAAK&#10;AQAADwAAAAAAAAABACAAAAAiAAAAZHJzL2Rvd25yZXYueG1sUEsBAhQAFAAAAAgAh07iQLuEqCwc&#10;AgAA+QMAAA4AAAAAAAAAAQAgAAAAJwEAAGRycy9lMm9Eb2MueG1sUEsFBgAAAAAGAAYAWQEAALUF&#10;AAAAAA==&#10;">
                  <v:fill on="f" focussize="0,0"/>
                  <v:stroke weight="1.5pt" color="#000000 [3200]" miterlimit="8" joinstyle="miter" endarrow="block"/>
                  <v:imagedata o:title=""/>
                  <o:lock v:ext="edit" aspectratio="f"/>
                </v:shape>
                <v:shape id="直接箭头连接符 76" o:spid="_x0000_s1026" o:spt="32" type="#_x0000_t32" style="position:absolute;left:1195144;top:294231;flip:y;height:432000;width: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0JRut2AAAAAoB&#10;AAAPAAAAAAAAAAEAIAAAACIAAABkcnMvZG93bnJldi54bWxQSwECFAAUAAAACACHTuJA0xPTFxsC&#10;AAD5AwAADgAAAAAAAAABACAAAAAnAQAAZHJzL2Uyb0RvYy54bWxQSwUGAAAAAAYABgBZAQAAtAUA&#10;AAAA&#10;">
                  <v:fill on="f" focussize="0,0"/>
                  <v:stroke weight="1.5pt" color="#000000 [3200]" miterlimit="8" joinstyle="miter" endarrow="block"/>
                  <v:imagedata o:title=""/>
                  <o:lock v:ext="edit" aspectratio="f"/>
                </v:shape>
                <v:shape id="文本框 167" o:spid="_x0000_s1026" o:spt="202" type="#_x0000_t202" style="position:absolute;left:1015540;top:0;height:287655;width:359410;v-text-anchor:middle;" filled="f" stroked="t" coordsize="21600,21600" o:gfxdata="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kRxCHYAAAACgEAAA8AAAAAAAAAAQAg&#10;AAAAIgAAAGRycy9kb3ducmV2LnhtbFBLAQIUABQAAAAIAIdO4kAYlpVFRwIAAGoEAAAOAAAAAAAA&#10;AAEAIAAAACcBAABkcnMvZTJvRG9jLnhtbFBLBQYAAAAABgAGAFkBAADgBQAAAAA=&#10;">
                  <v:fill on="f" focussize="0,0"/>
                  <v:stroke weight="0.5pt" color="#000000 [3213]" joinstyle="round"/>
                  <v:imagedata o:title=""/>
                  <o:lock v:ext="edit" aspectratio="f"/>
                  <v:textbox>
                    <w:txbxContent>
                      <w:p w14:paraId="493E97BA">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IⅠ</w:t>
                        </w:r>
                        <w:r>
                          <w:rPr>
                            <w:rFonts w:ascii="Times New Roman" w:hAnsi="Times New Roman" w:eastAsia="等线" w:cs="Mongolian Baiti"/>
                            <w:position w:val="-5"/>
                            <w:szCs w:val="21"/>
                            <w:vertAlign w:val="subscript"/>
                          </w:rPr>
                          <w:t>2</w:t>
                        </w:r>
                      </w:p>
                    </w:txbxContent>
                  </v:textbox>
                </v:shape>
                <v:shape id="直接箭头连接符 78" o:spid="_x0000_s1026" o:spt="32" type="#_x0000_t32" style="position:absolute;left:2240670;top:126749;height:596455;width:0;" filled="f" stroked="t" coordsize="21600,21600" o:gfxdata="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4wZe2tkAAAAKAQAADwAAAAAA&#10;AAABACAAAAAiAAAAZHJzL2Rvd25yZXYueG1sUEsBAhQAFAAAAAgAh07iQEfqJN0SAgAA7wMAAA4A&#10;AAAAAAAAAQAgAAAAKAEAAGRycy9lMm9Eb2MueG1sUEsFBgAAAAAGAAYAWQEAAKwFAAAAAA==&#10;">
                  <v:fill on="f" focussize="0,0"/>
                  <v:stroke weight="1.5pt" color="#000000 [3213]" miterlimit="8" joinstyle="miter" endarrow="block"/>
                  <v:imagedata o:title=""/>
                  <o:lock v:ext="edit" aspectratio="f"/>
                </v:shape>
                <v:line id="直接连接符 79" o:spid="_x0000_s1026" o:spt="20" style="position:absolute;left:1374950;top:126749;flip:y;height:0;width:864000;" filled="f" stroked="t" coordsize="21600,21600" o:gfxdata="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RyYHrYAAAACgEAAA8AAAAAAAAAAQAgAAAAIgAAAGRycy9kb3ducmV2LnhtbFBL&#10;AQIUABQAAAAIAIdO4kBIpDhx9gEAAMkDAAAOAAAAAAAAAAEAIAAAACcBAABkcnMvZTJvRG9jLnht&#10;bFBLBQYAAAAABgAGAFkBAACPBQAAAAA=&#10;">
                  <v:fill on="f" focussize="0,0"/>
                  <v:stroke weight="1.5pt" color="#000000 [3200]" miterlimit="8" joinstyle="miter"/>
                  <v:imagedata o:title=""/>
                  <o:lock v:ext="edit" aspectratio="f"/>
                </v:line>
                <v:shape id="直接箭头连接符 80" o:spid="_x0000_s1026" o:spt="32" type="#_x0000_t32" style="position:absolute;left:135740;top:126193;height:596455;width:0;" filled="f" stroked="t" coordsize="21600,21600" o:gfxdata="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o1OhN2QAAAAoBAAAPAAAAAAAAAAEA&#10;IAAAACIAAABkcnMvZG93bnJldi54bWxQSwECFAAUAAAACACHTuJAmF8jRA4CAADuAwAADgAAAAAA&#10;AAABACAAAAAoAQAAZHJzL2Uyb0RvYy54bWxQSwUGAAAAAAYABgBZAQAAqAUAAAAA&#10;">
                  <v:fill on="f" focussize="0,0"/>
                  <v:stroke weight="1pt" color="#000000 [3200]" miterlimit="8" joinstyle="miter" endarrow="block"/>
                  <v:imagedata o:title=""/>
                  <o:lock v:ext="edit" aspectratio="f"/>
                </v:shape>
                <v:line id="直接连接符 81" o:spid="_x0000_s1026" o:spt="20" style="position:absolute;left:167005;top:144780;flip:y;height:0;width:882015;" filled="f" stroked="t" coordsize="21600,21600" o:gfxdata="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m6dtG9gAAAAKAQAADwAAAAAAAAABACAAAAAiAAAAZHJzL2Rvd25yZXYueG1sUEsB&#10;AhQAFAAAAAgAh07iQKiFCJr1AQAAyAMAAA4AAAAAAAAAAQAgAAAAJwEAAGRycy9lMm9Eb2MueG1s&#10;UEsFBgAAAAAGAAYAWQEAAI4FAAAAAA==&#10;">
                  <v:fill on="f" focussize="0,0"/>
                  <v:stroke weight="1pt" color="#000000 [3200]" miterlimit="8" joinstyle="miter"/>
                  <v:imagedata o:title=""/>
                  <o:lock v:ext="edit" aspectratio="f"/>
                </v:line>
                <v:shape id="直接箭头连接符 82" o:spid="_x0000_s1026" o:spt="32" type="#_x0000_t32" style="position:absolute;left:1195144;top:1010859;flip:x;height:432000;width: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CUbrdgAAAAKAQAA&#10;DwAAAAAAAAABACAAAAAiAAAAZHJzL2Rvd25yZXYueG1sUEsBAhQAFAAAAAgAh07iQP/mvroZAgAA&#10;+gMAAA4AAAAAAAAAAQAgAAAAJwEAAGRycy9lMm9Eb2MueG1sUEsFBgAAAAAGAAYAWQEAALIFAAAA&#10;AA==&#10;">
                  <v:fill on="f" focussize="0,0"/>
                  <v:stroke weight="1.5pt" color="#000000 [3200]" miterlimit="8" joinstyle="miter" endarrow="block"/>
                  <v:imagedata o:title=""/>
                  <o:lock v:ext="edit" aspectratio="f"/>
                </v:shape>
                <v:shape id="文本框 170" o:spid="_x0000_s1026" o:spt="202" type="#_x0000_t202" style="position:absolute;left:1015375;top:1442859;height:287655;width:359410;v-text-anchor:middle;" filled="f" stroked="t" coordsize="21600,21600" o:gfxdata="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JEcQh2AAAAAoBAAAPAAAA&#10;AAAAAAEAIAAAACIAAABkcnMvZG93bnJldi54bWxQSwECFAAUAAAACACHTuJANifpwk4CAABwBAAA&#10;DgAAAAAAAAABACAAAAAnAQAAZHJzL2Uyb0RvYy54bWxQSwUGAAAAAAYABgBZAQAA5wUAAAAA&#10;">
                  <v:fill on="f" focussize="0,0"/>
                  <v:stroke weight="0.5pt" color="#000000 [3213]" joinstyle="round"/>
                  <v:imagedata o:title=""/>
                  <o:lock v:ext="edit" aspectratio="f"/>
                  <v:textbox>
                    <w:txbxContent>
                      <w:p w14:paraId="32EFB2FE">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IⅠ</w:t>
                        </w:r>
                        <w:r>
                          <w:rPr>
                            <w:rFonts w:ascii="Times New Roman" w:hAnsi="Times New Roman" w:eastAsia="等线" w:cs="Mongolian Baiti"/>
                            <w:position w:val="-5"/>
                            <w:szCs w:val="21"/>
                            <w:vertAlign w:val="subscript"/>
                          </w:rPr>
                          <w:t>1</w:t>
                        </w:r>
                      </w:p>
                    </w:txbxContent>
                  </v:textbox>
                </v:shape>
                <v:line id="直接连接符 85" o:spid="_x0000_s1026" o:spt="20" style="position:absolute;left:137222;top:1593493;flip:y;height:0;width:882000;" filled="f" stroked="t" coordsize="21600,21600" o:gfxdata="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RyYHrYAAAACgEAAA8AAAAAAAAAAQAgAAAAIgAAAGRycy9kb3ducmV2Lnht&#10;bFBLAQIUABQAAAAIAIdO4kAlxdvW+QEAAMkDAAAOAAAAAAAAAAEAIAAAACcBAABkcnMvZTJvRG9j&#10;LnhtbFBLBQYAAAAABgAGAFkBAACSBQAAAAA=&#10;">
                  <v:fill on="f" focussize="0,0"/>
                  <v:stroke weight="1.5pt" color="#000000 [3200]" miterlimit="8" joinstyle="miter"/>
                  <v:imagedata o:title=""/>
                  <o:lock v:ext="edit" aspectratio="f"/>
                </v:line>
                <v:shape id="直接箭头连接符 87" o:spid="_x0000_s1026" o:spt="32" type="#_x0000_t32" style="position:absolute;left:137341;top:1019357;flip:y;height:576000;width: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CUbrdgAAAAK&#10;AQAADwAAAAAAAAABACAAAAAiAAAAZHJzL2Rvd25yZXYueG1sUEsBAhQAFAAAAAgAh07iQCgY0fUc&#10;AgAA+QMAAA4AAAAAAAAAAQAgAAAAJwEAAGRycy9lMm9Eb2MueG1sUEsFBgAAAAAGAAYAWQEAALUF&#10;AAAAAA==&#10;">
                  <v:fill on="f" focussize="0,0"/>
                  <v:stroke weight="1.5pt" color="#000000 [3200]" miterlimit="8" joinstyle="miter" endarrow="block"/>
                  <v:imagedata o:title=""/>
                  <o:lock v:ext="edit" aspectratio="f"/>
                </v:shape>
                <v:line id="直接连接符 88" o:spid="_x0000_s1026" o:spt="20" style="position:absolute;left:1374950;top:1593412;flip:y;height:0;width:864000;" filled="f" stroked="t" coordsize="21600,21600" o:gfxdata="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unbRvYAAAACgEAAA8AAAAAAAAAAQAgAAAAIgAAAGRycy9kb3ducmV2Lnht&#10;bFBLAQIUABQAAAAIAIdO4kBF1kfz+QEAAMoDAAAOAAAAAAAAAAEAIAAAACcBAABkcnMvZTJvRG9j&#10;LnhtbFBLBQYAAAAABgAGAFkBAACSBQAAAAA=&#10;">
                  <v:fill on="f" focussize="0,0"/>
                  <v:stroke weight="1pt" color="#000000 [3200]" miterlimit="8" joinstyle="miter"/>
                  <v:imagedata o:title=""/>
                  <o:lock v:ext="edit" aspectratio="f"/>
                </v:line>
                <v:shape id="直接箭头连接符 89" o:spid="_x0000_s1026" o:spt="32" type="#_x0000_t32" style="position:absolute;left:2240670;top:1013920;flip:y;height:576000;width:0;" filled="f" stroked="t" coordsize="21600,21600" o:gfxdata="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7xjfUNYAAAAKAQAA&#10;DwAAAAAAAAABACAAAAAiAAAAZHJzL2Rvd25yZXYueG1sUEsBAhQAFAAAAAgAh07iQP0OHH8bAgAA&#10;+gMAAA4AAAAAAAAAAQAgAAAAJQEAAGRycy9lMm9Eb2MueG1sUEsFBgAAAAAGAAYAWQEAALIFAAAA&#10;AA==&#10;">
                  <v:fill on="f" focussize="0,0"/>
                  <v:stroke weight="1pt" color="#000000 [3200]" miterlimit="8" joinstyle="miter" endarrow="block"/>
                  <v:imagedata o:title=""/>
                  <o:lock v:ext="edit" aspectratio="f"/>
                </v:shape>
                <v:shape id="文本框 90" o:spid="_x0000_s1026" o:spt="202" type="#_x0000_t202" style="position:absolute;left:0;top:1810692;height:288000;width:2376000;" filled="f" stroked="f" coordsize="21600,21600" o:gfxdata="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NtY5GtsAAAAKAQAADwAAAAAAAAABACAA&#10;AAAiAAAAZHJzL2Rvd25yZXYueG1sUEsBAhQAFAAAAAgAh07iQOpocvlDAgAAbwQAAA4AAAAAAAAA&#10;AQAgAAAAKgEAAGRycy9lMm9Eb2MueG1sUEsFBgAAAAAGAAYAWQEAAN8FAAAAAA==&#10;">
                  <v:fill on="f" focussize="0,0"/>
                  <v:stroke on="f" weight="0.5pt"/>
                  <v:imagedata o:title=""/>
                  <o:lock v:ext="edit" aspectratio="f"/>
                  <v:textbox>
                    <w:txbxContent>
                      <w:p w14:paraId="5E87432D">
                        <w:pPr>
                          <w:spacing w:line="240" w:lineRule="auto"/>
                          <w:jc w:val="center"/>
                          <w:rPr>
                            <w:rFonts w:ascii="Times New Roman" w:hAnsi="Times New Roman" w:cs="Times New Roman"/>
                          </w:rPr>
                        </w:pPr>
                        <w:r>
                          <w:rPr>
                            <w:rFonts w:hint="eastAsia"/>
                          </w:rPr>
                          <w:t>货币的起点和终点为</w:t>
                        </w:r>
                        <w:r>
                          <w:rPr>
                            <w:rFonts w:ascii="Times New Roman" w:hAnsi="Times New Roman" w:cs="Times New Roman"/>
                          </w:rPr>
                          <w:t>I</w:t>
                        </w:r>
                        <w:r>
                          <w:rPr>
                            <w:rFonts w:ascii="Times New Roman" w:hAnsi="Times New Roman" w:cs="Times New Roman"/>
                            <w:vertAlign w:val="subscript"/>
                          </w:rPr>
                          <w:t>1</w:t>
                        </w:r>
                        <w:r>
                          <w:rPr>
                            <w:rFonts w:ascii="Times New Roman" w:hAnsi="Times New Roman" w:cs="Times New Roman"/>
                          </w:rPr>
                          <w:t>或I</w:t>
                        </w:r>
                        <w:r>
                          <w:rPr>
                            <w:rFonts w:ascii="Times New Roman" w:hAnsi="Times New Roman" w:cs="Times New Roman"/>
                            <w:vertAlign w:val="subscript"/>
                          </w:rPr>
                          <w:t>2</w:t>
                        </w:r>
                      </w:p>
                    </w:txbxContent>
                  </v:textbox>
                </v:shape>
                <v:shape id="文本框 70" o:spid="_x0000_s1026" o:spt="202" type="#_x0000_t202" style="position:absolute;left:2886270;top:722648;height:287655;width:360000;v-text-anchor:middle;" filled="f" stroked="t" coordsize="21600,21600" o:gfxdata="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pGYpPdsAAAAKAQAADwAA&#10;AAAAAAABACAAAAAiAAAAZHJzL2Rvd25yZXYueG1sUEsBAhQAFAAAAAgAh07iQBAAFCxMAgAAbwQA&#10;AA4AAAAAAAAAAQAgAAAAKgEAAGRycy9lMm9Eb2MueG1sUEsFBgAAAAAGAAYAWQEAAOgFAAAAAA==&#10;">
                  <v:fill on="f" focussize="0,0"/>
                  <v:stroke weight="1pt" color="#000000 [3213]" joinstyle="round"/>
                  <v:imagedata o:title=""/>
                  <o:lock v:ext="edit" aspectratio="f"/>
                  <v:textbox>
                    <w:txbxContent>
                      <w:p w14:paraId="3A1DA188">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ⅠI</w:t>
                        </w:r>
                        <w:r>
                          <w:rPr>
                            <w:rFonts w:ascii="Times New Roman" w:hAnsi="Times New Roman" w:eastAsia="等线" w:cs="Mongolian Baiti"/>
                            <w:position w:val="-5"/>
                            <w:szCs w:val="21"/>
                            <w:vertAlign w:val="subscript"/>
                          </w:rPr>
                          <w:t>1</w:t>
                        </w:r>
                      </w:p>
                    </w:txbxContent>
                  </v:textbox>
                </v:shape>
                <v:shape id="直接箭头连接符 92" o:spid="_x0000_s1026" o:spt="32" type="#_x0000_t32" style="position:absolute;left:4355059;top:864254;height:0;width:558000;" filled="f" stroked="t" coordsize="21600,21600" o:gfxdata="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4wZe2tkAAAAKAQAADwAA&#10;AAAAAAABACAAAAAiAAAAZHJzL2Rvd25yZXYueG1sUEsBAhQAFAAAAAgAh07iQIT11n8VAgAA7wMA&#10;AA4AAAAAAAAAAQAgAAAAKAEAAGRycy9lMm9Eb2MueG1sUEsFBgAAAAAGAAYAWQEAAK8FAAAAAA==&#10;">
                  <v:fill on="f" focussize="0,0"/>
                  <v:stroke weight="1.5pt" color="#000000 [3200]" miterlimit="8" joinstyle="miter" endarrow="block"/>
                  <v:imagedata o:title=""/>
                  <o:lock v:ext="edit" aspectratio="f"/>
                </v:shape>
                <v:shape id="文本框 139" o:spid="_x0000_s1026" o:spt="202" type="#_x0000_t202" style="position:absolute;left:4918120;top:723204;height:287655;width:360000;v-text-anchor:middle;" filled="f" stroked="t" coordsize="21600,21600" o:gfxdata="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pGYpPdsAAAAKAQAADwAA&#10;AAAAAAABACAAAAAiAAAAZHJzL2Rvd25yZXYueG1sUEsBAhQAFAAAAAgAh07iQBqs7cNMAgAAcAQA&#10;AA4AAAAAAAAAAQAgAAAAKgEAAGRycy9lMm9Eb2MueG1sUEsFBgAAAAAGAAYAWQEAAOgFAAAAAA==&#10;">
                  <v:fill on="f" focussize="0,0"/>
                  <v:stroke weight="1pt" color="#000000 [3213]" joinstyle="round"/>
                  <v:imagedata o:title=""/>
                  <o:lock v:ext="edit" aspectratio="f"/>
                  <v:textbox>
                    <w:txbxContent>
                      <w:p w14:paraId="07D290D1">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ⅠI</w:t>
                        </w:r>
                        <w:r>
                          <w:rPr>
                            <w:rFonts w:ascii="Times New Roman" w:hAnsi="Times New Roman" w:eastAsia="等线" w:cs="Mongolian Baiti"/>
                            <w:position w:val="-5"/>
                            <w:szCs w:val="21"/>
                            <w:vertAlign w:val="subscript"/>
                          </w:rPr>
                          <w:t>2</w:t>
                        </w:r>
                      </w:p>
                    </w:txbxContent>
                  </v:textbox>
                </v:shape>
                <v:shape id="直接箭头连接符 94" o:spid="_x0000_s1026" o:spt="32" type="#_x0000_t32" style="position:absolute;left:3250138;top:864492;flip:x;height:0;width:55800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CUbrdgAAAAK&#10;AQAADwAAAAAAAAABACAAAAAiAAAAZHJzL2Rvd25yZXYueG1sUEsBAhQAFAAAAAgAh07iQOuK46kc&#10;AgAA+QMAAA4AAAAAAAAAAQAgAAAAJwEAAGRycy9lMm9Eb2MueG1sUEsFBgAAAAAGAAYAWQEAALUF&#10;AAAAAA==&#10;">
                  <v:fill on="f" focussize="0,0"/>
                  <v:stroke weight="1.5pt" color="#000000 [3200]" miterlimit="8" joinstyle="miter" endarrow="block"/>
                  <v:imagedata o:title=""/>
                  <o:lock v:ext="edit" aspectratio="f"/>
                </v:shape>
                <v:shape id="直接箭头连接符 95" o:spid="_x0000_s1026" o:spt="32" type="#_x0000_t32" style="position:absolute;left:4079715;top:1118859;flip:y;height:324000;width: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QlG63YAAAA&#10;CgEAAA8AAAAAAAAAAQAgAAAAIgAAAGRycy9kb3ducmV2LnhtbFBLAQIUABQAAAAIAIdO4kCGRm+c&#10;HQIAAPoDAAAOAAAAAAAAAAEAIAAAACcBAABkcnMvZTJvRG9jLnhtbFBLBQYAAAAABgAGAFkBAAC2&#10;BQAAAAA=&#10;">
                  <v:fill on="f" focussize="0,0"/>
                  <v:stroke weight="1.5pt" color="#000000 [3200]" miterlimit="8" joinstyle="miter" endarrow="block"/>
                  <v:imagedata o:title=""/>
                  <o:lock v:ext="edit" aspectratio="f"/>
                </v:shape>
                <v:shape id="文本框 167" o:spid="_x0000_s1026" o:spt="202" type="#_x0000_t202" style="position:absolute;left:3933499;top:0;height:287655;width:288000;v-text-anchor:middle;" filled="f" stroked="t" coordsize="21600,21600" o:gfxdata="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CRHEIdgAAAAKAQAADwAAAAAAAAAB&#10;ACAAAAAiAAAAZHJzL2Rvd25yZXYueG1sUEsBAhQAFAAAAAgAh07iQLhO39pJAgAAagQAAA4AAAAA&#10;AAAAAQAgAAAAJwEAAGRycy9lMm9Eb2MueG1sUEsFBgAAAAAGAAYAWQEAAOIFAAAAAA==&#10;">
                  <v:fill on="f" focussize="0,0"/>
                  <v:stroke weight="0.5pt" color="#000000 [3213]" joinstyle="round"/>
                  <v:imagedata o:title=""/>
                  <o:lock v:ext="edit" aspectratio="f"/>
                  <v:textbox>
                    <w:txbxContent>
                      <w:p w14:paraId="546A3B54">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w:t>
                        </w:r>
                        <w:r>
                          <w:rPr>
                            <w:rFonts w:ascii="Times New Roman" w:hAnsi="Times New Roman" w:eastAsia="等线" w:cs="Mongolian Baiti"/>
                            <w:position w:val="-5"/>
                            <w:szCs w:val="21"/>
                            <w:vertAlign w:val="subscript"/>
                          </w:rPr>
                          <w:t>2</w:t>
                        </w:r>
                      </w:p>
                    </w:txbxContent>
                  </v:textbox>
                </v:shape>
                <v:shape id="直接箭头连接符 97" o:spid="_x0000_s1026" o:spt="32" type="#_x0000_t32" style="position:absolute;left:4226026;top:139301;flip:x y;height:0;width:864000;" filled="f" stroked="t" coordsize="21600,21600" o:gfxdata="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3rYz1&#10;2QAAAAoBAAAPAAAAAAAAAAEAIAAAACIAAABkcnMvZG93bnJldi54bWxQSwECFAAUAAAACACHTuJA&#10;9EEP0iACAAADBAAADgAAAAAAAAABACAAAAAoAQAAZHJzL2Uyb0RvYy54bWxQSwUGAAAAAAYABgBZ&#10;AQAAugUAAAAA&#10;">
                  <v:fill on="f" focussize="0,0"/>
                  <v:stroke weight="1.5pt" color="#000000 [3213]" miterlimit="8" joinstyle="miter" endarrow="block"/>
                  <v:imagedata o:title=""/>
                  <o:lock v:ext="edit" aspectratio="f"/>
                </v:shape>
                <v:line id="直接连接符 98" o:spid="_x0000_s1026" o:spt="20" style="position:absolute;left:5095251;top:131276;flip:y;height:595899;width:0;" filled="f" stroked="t" coordsize="21600,21600" o:gfxdata="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RyYHrYAAAACgEAAA8AAAAAAAAAAQAgAAAAIgAAAGRycy9kb3ducmV2Lnht&#10;bFBLAQIUABQAAAAIAIdO4kAiD20r+QEAAMkDAAAOAAAAAAAAAAEAIAAAACcBAABkcnMvZTJvRG9j&#10;LnhtbFBLBQYAAAAABgAGAFkBAACSBQAAAAA=&#10;">
                  <v:fill on="f" focussize="0,0"/>
                  <v:stroke weight="1.5pt" color="#000000 [3200]" miterlimit="8" joinstyle="miter"/>
                  <v:imagedata o:title=""/>
                  <o:lock v:ext="edit" aspectratio="f"/>
                </v:line>
                <v:shape id="直接箭头连接符 99" o:spid="_x0000_s1026" o:spt="32" type="#_x0000_t32" style="position:absolute;left:3062753;top:144301;height:0;width:864000;" filled="f" stroked="t" coordsize="21600,21600" o:gfxdata="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o1OhN2QAAAAoBAAAPAAAA&#10;AAAAAAEAIAAAACIAAABkcnMvZG93bnJldi54bWxQSwECFAAUAAAACACHTuJAvEIzahQCAADvAwAA&#10;DgAAAAAAAAABACAAAAAoAQAAZHJzL2Uyb0RvYy54bWxQSwUGAAAAAAYABgBZAQAArgUAAAAA&#10;">
                  <v:fill on="f" focussize="0,0"/>
                  <v:stroke weight="1pt" color="#000000 [3200]" miterlimit="8" joinstyle="miter" endarrow="block"/>
                  <v:imagedata o:title=""/>
                  <o:lock v:ext="edit" aspectratio="f"/>
                </v:shape>
                <v:line id="直接连接符 100" o:spid="_x0000_s1026" o:spt="20" style="position:absolute;left:3066270;top:149383;flip:x;height:573265;width:0;" filled="f" stroked="t" coordsize="21600,21600" o:gfxdata="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bp20b2AAAAAoBAAAPAAAAAAAAAAEAIAAAACIAAABkcnMvZG93bnJldi54bWxQ&#10;SwECFAAUAAAACACHTuJAw1/tsPcBAADKAwAADgAAAAAAAAABACAAAAAnAQAAZHJzL2Uyb0RvYy54&#10;bWxQSwUGAAAAAAYABgBZAQAAkAUAAAAA&#10;">
                  <v:fill on="f" focussize="0,0"/>
                  <v:stroke weight="1pt" color="#000000 [3200]" miterlimit="8" joinstyle="miter"/>
                  <v:imagedata o:title=""/>
                  <o:lock v:ext="edit" aspectratio="f"/>
                </v:line>
                <v:shape id="直接箭头连接符 101" o:spid="_x0000_s1026" o:spt="32" type="#_x0000_t32" style="position:absolute;left:4079519;top:291637;flip:x;height:324000;width:0;" filled="f" stroked="t" coordsize="21600,21600" o:gfxdata="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0JRut2AAA&#10;AAoBAAAPAAAAAAAAAAEAIAAAACIAAABkcnMvZG93bnJldi54bWxQSwECFAAUAAAACACHTuJAF5kM&#10;5x4CAAD6AwAADgAAAAAAAAABACAAAAAnAQAAZHJzL2Uyb0RvYy54bWxQSwUGAAAAAAYABgBZAQAA&#10;twUAAAAA&#10;">
                  <v:fill on="f" focussize="0,0"/>
                  <v:stroke weight="1.5pt" color="#000000 [3200]" miterlimit="8" joinstyle="miter" endarrow="block"/>
                  <v:imagedata o:title=""/>
                  <o:lock v:ext="edit" aspectratio="f"/>
                </v:shape>
                <v:shape id="文本框 170" o:spid="_x0000_s1026" o:spt="202" type="#_x0000_t202" style="position:absolute;left:3933334;top:1442859;height:287655;width:288000;v-text-anchor:middle;" filled="f" stroked="t" coordsize="21600,21600" o:gfxdata="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CRHEIdgAAAAKAQAADwAAAAAAAAAB&#10;ACAAAAAiAAAAZHJzL2Rvd25yZXYueG1sUEsBAhQAFAAAAAgAh07iQJOF4/ZJAgAAcAQAAA4AAAAA&#10;AAAAAQAgAAAAJwEAAGRycy9lMm9Eb2MueG1sUEsFBgAAAAAGAAYAWQEAAOIFAAAAAA==&#10;">
                  <v:fill on="f" focussize="0,0"/>
                  <v:stroke weight="0.5pt" color="#000000 [3213]" joinstyle="round"/>
                  <v:imagedata o:title=""/>
                  <o:lock v:ext="edit" aspectratio="f"/>
                  <v:textbox>
                    <w:txbxContent>
                      <w:p w14:paraId="7E032FA0">
                        <w:pPr>
                          <w:spacing w:line="240" w:lineRule="auto"/>
                          <w:jc w:val="center"/>
                          <w:rPr>
                            <w:rFonts w:ascii="Times New Roman" w:hAnsi="Times New Roman" w:eastAsia="等线" w:cs="Mongolian Baiti"/>
                            <w:szCs w:val="21"/>
                          </w:rPr>
                        </w:pPr>
                        <w:r>
                          <w:rPr>
                            <w:rFonts w:ascii="Times New Roman" w:hAnsi="Times New Roman" w:eastAsia="等线" w:cs="Mongolian Baiti"/>
                            <w:szCs w:val="21"/>
                          </w:rPr>
                          <w:t>I</w:t>
                        </w:r>
                        <w:r>
                          <w:rPr>
                            <w:rFonts w:ascii="Times New Roman" w:hAnsi="Times New Roman" w:eastAsia="等线" w:cs="Mongolian Baiti"/>
                            <w:position w:val="-5"/>
                            <w:szCs w:val="21"/>
                            <w:vertAlign w:val="subscript"/>
                          </w:rPr>
                          <w:t>1</w:t>
                        </w:r>
                      </w:p>
                    </w:txbxContent>
                  </v:textbox>
                </v:shape>
                <v:shape id="文本框 103" o:spid="_x0000_s1026" o:spt="202" type="#_x0000_t202" style="position:absolute;left:2902120;top:1810692;height:288000;width:2376000;" filled="f" stroked="f" coordsize="21600,21600" o:gfxdata="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21jka2wAAAAoBAAAPAAAAAAAA&#10;AAEAIAAAACIAAABkcnMvZG93bnJldi54bWxQSwECFAAUAAAACACHTuJAk7O6ykgCAAB2BAAADgAA&#10;AAAAAAABACAAAAAqAQAAZHJzL2Uyb0RvYy54bWxQSwUGAAAAAAYABgBZAQAA5AUAAAAA&#10;">
                  <v:fill on="f" focussize="0,0"/>
                  <v:stroke on="f" weight="0.5pt"/>
                  <v:imagedata o:title=""/>
                  <o:lock v:ext="edit" aspectratio="f"/>
                  <v:textbox>
                    <w:txbxContent>
                      <w:p w14:paraId="627A7F24">
                        <w:pPr>
                          <w:spacing w:line="240" w:lineRule="auto"/>
                          <w:jc w:val="center"/>
                          <w:rPr>
                            <w:rFonts w:ascii="Times New Roman" w:hAnsi="Times New Roman" w:cs="Times New Roman"/>
                          </w:rPr>
                        </w:pPr>
                        <w:r>
                          <w:rPr>
                            <w:rFonts w:hint="eastAsia"/>
                          </w:rPr>
                          <w:t>货币的起点和终点为</w:t>
                        </w:r>
                        <w:r>
                          <w:rPr>
                            <w:rFonts w:ascii="Times New Roman" w:hAnsi="Times New Roman" w:cs="Times New Roman"/>
                          </w:rPr>
                          <w:t>II</w:t>
                        </w:r>
                        <w:r>
                          <w:rPr>
                            <w:rFonts w:ascii="Times New Roman" w:hAnsi="Times New Roman" w:cs="Times New Roman"/>
                            <w:vertAlign w:val="subscript"/>
                          </w:rPr>
                          <w:t>1</w:t>
                        </w:r>
                        <w:r>
                          <w:rPr>
                            <w:rFonts w:ascii="Times New Roman" w:hAnsi="Times New Roman" w:cs="Times New Roman"/>
                          </w:rPr>
                          <w:t>或</w:t>
                        </w:r>
                        <w:r>
                          <w:rPr>
                            <w:rFonts w:hint="eastAsia" w:ascii="Times New Roman" w:hAnsi="Times New Roman" w:cs="Times New Roman"/>
                          </w:rPr>
                          <w:t>I</w:t>
                        </w:r>
                        <w:r>
                          <w:rPr>
                            <w:rFonts w:ascii="Times New Roman" w:hAnsi="Times New Roman" w:cs="Times New Roman"/>
                          </w:rPr>
                          <w:t>I</w:t>
                        </w:r>
                        <w:r>
                          <w:rPr>
                            <w:rFonts w:ascii="Times New Roman" w:hAnsi="Times New Roman" w:cs="Times New Roman"/>
                            <w:vertAlign w:val="subscript"/>
                          </w:rPr>
                          <w:t>2</w:t>
                        </w:r>
                      </w:p>
                    </w:txbxContent>
                  </v:textbox>
                </v:shape>
                <v:shape id="文本框 104" o:spid="_x0000_s1026" o:spt="202" type="#_x0000_t202" style="position:absolute;left:3810532;top:611109;height:504000;width:540000;" filled="f" stroked="t" coordsize="21600,21600" o:gfxdata="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m&#10;KIwv2wAAAAoBAAAPAAAAAAAAAAEAIAAAACIAAABkcnMvZG93bnJldi54bWxQSwECFAAUAAAACACH&#10;TuJAlO2Uq1oCAACdBAAADgAAAAAAAAABACAAAAAqAQAAZHJzL2Uyb0RvYy54bWxQSwUGAAAAAAYA&#10;BgBZAQAA9gUAAAAA&#10;">
                  <v:fill on="f" focussize="0,0"/>
                  <v:stroke weight="0.5pt" color="#000000 [3213]" joinstyle="round"/>
                  <v:imagedata o:title=""/>
                  <o:lock v:ext="edit" aspectratio="f"/>
                  <v:textbox>
                    <w:txbxContent>
                      <w:p w14:paraId="23484663">
                        <w:pPr>
                          <w:spacing w:line="240" w:lineRule="auto"/>
                          <w:rPr>
                            <w:rFonts w:ascii="Times New Roman" w:hAnsi="Times New Roman" w:cs="Times New Roman"/>
                          </w:rPr>
                        </w:pPr>
                        <w:r>
                          <w:rPr>
                            <w:rFonts w:ascii="Times New Roman" w:hAnsi="Times New Roman" w:cs="Times New Roman"/>
                          </w:rPr>
                          <w:t>工人</w:t>
                        </w:r>
                        <w:r>
                          <w:rPr>
                            <w:rFonts w:ascii="Times New Roman" w:hAnsi="Times New Roman" w:cs="Times New Roman"/>
                            <w:vertAlign w:val="subscript"/>
                          </w:rPr>
                          <w:t>2</w:t>
                        </w:r>
                      </w:p>
                      <w:p w14:paraId="38AB9A8E">
                        <w:pPr>
                          <w:spacing w:line="240" w:lineRule="auto"/>
                          <w:rPr>
                            <w:rFonts w:ascii="Times New Roman" w:hAnsi="Times New Roman" w:cs="Times New Roman"/>
                          </w:rPr>
                        </w:pPr>
                        <w:r>
                          <w:rPr>
                            <w:rFonts w:ascii="Times New Roman" w:hAnsi="Times New Roman" w:cs="Times New Roman"/>
                          </w:rPr>
                          <w:t>工人</w:t>
                        </w:r>
                        <w:r>
                          <w:rPr>
                            <w:rFonts w:ascii="Times New Roman" w:hAnsi="Times New Roman" w:cs="Times New Roman"/>
                            <w:vertAlign w:val="subscript"/>
                          </w:rPr>
                          <w:t>1</w:t>
                        </w:r>
                      </w:p>
                    </w:txbxContent>
                  </v:textbox>
                </v:shape>
                <v:shape id="直接箭头连接符 105" o:spid="_x0000_s1026" o:spt="32" type="#_x0000_t32" style="position:absolute;left:3062588;top:1583803;height:0;width:864000;" filled="f" stroked="t" coordsize="21600,21600" o:gfxdata="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4wZe2tkAAAAKAQAADwAA&#10;AAAAAAABACAAAAAiAAAAZHJzL2Rvd25yZXYueG1sUEsBAhQAFAAAAAgAh07iQGcZ7lMVAgAA8QMA&#10;AA4AAAAAAAAAAQAgAAAAKAEAAGRycy9lMm9Eb2MueG1sUEsFBgAAAAAGAAYAWQEAAK8FAAAAAA==&#10;">
                  <v:fill on="f" focussize="0,0"/>
                  <v:stroke weight="1.5pt" color="#000000 [3200]" miterlimit="8" joinstyle="miter" endarrow="block"/>
                  <v:imagedata o:title=""/>
                  <o:lock v:ext="edit" aspectratio="f"/>
                </v:shape>
                <v:line id="直接连接符 106" o:spid="_x0000_s1026" o:spt="20" style="position:absolute;left:3066002;top:1010303;flip:x;height:573265;width:0;" filled="f" stroked="t" coordsize="21600,21600" o:gfxdata="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RyYHrYAAAACgEAAA8AAAAAAAAAAQAgAAAAIgAAAGRycy9kb3ducmV2Lnht&#10;bFBLAQIUABQAAAAIAIdO4kCdhget+QEAAMsDAAAOAAAAAAAAAAEAIAAAACcBAABkcnMvZTJvRG9j&#10;LnhtbFBLBQYAAAAABgAGAFkBAACSBQAAAAA=&#10;">
                  <v:fill on="f" focussize="0,0"/>
                  <v:stroke weight="1.5pt" color="#000000 [3200]" miterlimit="8" joinstyle="miter"/>
                  <v:imagedata o:title=""/>
                  <o:lock v:ext="edit" aspectratio="f"/>
                </v:line>
                <v:line id="直接连接符 107" o:spid="_x0000_s1026" o:spt="20" style="position:absolute;left:5095825;top:1010303;flip:x;height:573265;width:0;" filled="f" stroked="t" coordsize="21600,21600" o:gfxdata="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unbRvYAAAACgEAAA8AAAAAAAAAAQAgAAAAIgAAAGRycy9kb3ducmV2Lnht&#10;bFBLAQIUABQAAAAIAIdO4kCFPxlv+QEAAMsDAAAOAAAAAAAAAAEAIAAAACcBAABkcnMvZTJvRG9j&#10;LnhtbFBLBQYAAAAABgAGAFkBAACSBQAAAAA=&#10;">
                  <v:fill on="f" focussize="0,0"/>
                  <v:stroke weight="1pt" color="#000000 [3200]" miterlimit="8" joinstyle="miter"/>
                  <v:imagedata o:title=""/>
                  <o:lock v:ext="edit" aspectratio="f"/>
                </v:line>
                <v:shape id="直接箭头连接符 108" o:spid="_x0000_s1026" o:spt="32" type="#_x0000_t32" style="position:absolute;left:4229981;top:1578804;flip:x y;height:0;width:864000;" filled="f" stroked="t" coordsize="21600,21600" o:gfxdata="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jU&#10;/TbZAAAACgEAAA8AAAAAAAAAAQAgAAAAIgAAAGRycy9kb3ducmV2LnhtbFBLAQIUABQAAAAIAIdO&#10;4kAB1ydFIgIAAAQEAAAOAAAAAAAAAAEAIAAAACgBAABkcnMvZTJvRG9jLnhtbFBLBQYAAAAABgAG&#10;AFkBAAC8BQAAAAA=&#10;">
                  <v:fill on="f" focussize="0,0"/>
                  <v:stroke weight="0.5pt" color="#000000 [3213]" miterlimit="8" joinstyle="miter" endarrow="block"/>
                  <v:imagedata o:title=""/>
                  <o:lock v:ext="edit" aspectratio="f"/>
                </v:shape>
                <v:line id="直接连接符 109" o:spid="_x0000_s1026" o:spt="20" style="position:absolute;left:3808138;top:863109;flip:y;height:1145;width:542394;" filled="f" stroked="t" coordsize="21600,21600" o:gfxdata="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OxTFkNsAAAAKAQAADwAAAAAAAAABACAAAAAiAAAAZHJzL2Rv&#10;d25yZXYueG1sUEsBAhQAFAAAAAgAh07iQM8pGub+AQAAzgMAAA4AAAAAAAAAAQAgAAAAKgEAAGRy&#10;cy9lMm9Eb2MueG1sUEsFBgAAAAAGAAYAWQEAAJoFAAAAAA==&#10;">
                  <v:fill on="f" focussize="0,0"/>
                  <v:stroke weight="1pt" color="#000000 [3200]" miterlimit="8" joinstyle="miter" dashstyle="1 1"/>
                  <v:imagedata o:title=""/>
                  <o:lock v:ext="edit" aspectratio="f"/>
                </v:line>
                <v:shape id="文本框 112" o:spid="_x0000_s1026" o:spt="202" type="#_x0000_t202" style="position:absolute;left:230863;top:1115110;height:288000;width:864000;" filled="f" stroked="f" coordsize="21600,21600" o:gfxdata="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21jka2wAAAAoBAAAPAAAAAAAA&#10;AAEAIAAAACIAAABkcnMvZG93bnJldi54bWxQSwECFAAUAAAACACHTuJAGw06rEgCAAB0BAAADgAA&#10;AAAAAAABACAAAAAqAQAAZHJzL2Uyb0RvYy54bWxQSwUGAAAAAAYABgBZAQAA5AUAAAAA&#10;">
                  <v:fill on="f" focussize="0,0"/>
                  <v:stroke on="f" weight="0.5pt"/>
                  <v:imagedata o:title=""/>
                  <o:lock v:ext="edit" aspectratio="f"/>
                  <v:textbox>
                    <w:txbxContent>
                      <w:p w14:paraId="33D810E7">
                        <w:pPr>
                          <w:spacing w:line="240" w:lineRule="auto"/>
                        </w:pPr>
                        <w:r>
                          <w:rPr>
                            <w:rFonts w:hint="eastAsia"/>
                          </w:rPr>
                          <w:t>国内大循环</w:t>
                        </w:r>
                      </w:p>
                    </w:txbxContent>
                  </v:textbox>
                </v:shape>
                <v:shape id="文本框 113" o:spid="_x0000_s1026" o:spt="202" type="#_x0000_t202" style="position:absolute;left:1290118;top:336510;height:288000;width:864000;" filled="f" stroked="f" coordsize="21600,21600" o:gfxdata="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NtY5GtsAAAAKAQAADwAAAAAAAAAB&#10;ACAAAAAiAAAAZHJzL2Rvd25yZXYueG1sUEsBAhQAFAAAAAgAh07iQCNOeXhGAgAAdAQAAA4AAAAA&#10;AAAAAQAgAAAAKgEAAGRycy9lMm9Eb2MueG1sUEsFBgAAAAAGAAYAWQEAAOIFAAAAAA==&#10;">
                  <v:fill on="f" focussize="0,0"/>
                  <v:stroke on="f" weight="0.5pt"/>
                  <v:imagedata o:title=""/>
                  <o:lock v:ext="edit" aspectratio="f"/>
                  <v:textbox>
                    <w:txbxContent>
                      <w:p w14:paraId="465D905E">
                        <w:pPr>
                          <w:spacing w:line="240" w:lineRule="auto"/>
                        </w:pPr>
                        <w:r>
                          <w:rPr>
                            <w:rFonts w:hint="eastAsia"/>
                          </w:rPr>
                          <w:t>国内大循环</w:t>
                        </w:r>
                      </w:p>
                    </w:txbxContent>
                  </v:textbox>
                </v:shape>
                <v:shape id="文本框 114" o:spid="_x0000_s1026" o:spt="202" type="#_x0000_t202" style="position:absolute;left:4151012;top:303294;height:288000;width:864000;" filled="f" stroked="f" coordsize="21600,21600" o:gfxdata="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21jka2wAAAAoBAAAPAAAAAAAA&#10;AAEAIAAAACIAAABkcnMvZG93bnJldi54bWxQSwECFAAUAAAACACHTuJAfC1V40gCAAB0BAAADgAA&#10;AAAAAAABACAAAAAqAQAAZHJzL2Uyb0RvYy54bWxQSwUGAAAAAAYABgBZAQAA5AUAAAAA&#10;">
                  <v:fill on="f" focussize="0,0"/>
                  <v:stroke on="f" weight="0.5pt"/>
                  <v:imagedata o:title=""/>
                  <o:lock v:ext="edit" aspectratio="f"/>
                  <v:textbox>
                    <w:txbxContent>
                      <w:p w14:paraId="13C76F0C">
                        <w:pPr>
                          <w:spacing w:line="240" w:lineRule="auto"/>
                        </w:pPr>
                        <w:r>
                          <w:rPr>
                            <w:rFonts w:hint="eastAsia"/>
                          </w:rPr>
                          <w:t>国内大循环</w:t>
                        </w:r>
                      </w:p>
                    </w:txbxContent>
                  </v:textbox>
                </v:shape>
                <v:shape id="文本框 115" o:spid="_x0000_s1026" o:spt="202" type="#_x0000_t202" style="position:absolute;left:3105337;top:1077892;height:288000;width:864000;" filled="f" stroked="f" coordsize="21600,21600" o:gfxdata="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NtY5GtsAAAAKAQAADwAAAAAA&#10;AAABACAAAAAiAAAAZHJzL2Rvd25yZXYueG1sUEsBAhQAFAAAAAgAh07iQKeP1edJAgAAdQQAAA4A&#10;AAAAAAAAAQAgAAAAKgEAAGRycy9lMm9Eb2MueG1sUEsFBgAAAAAGAAYAWQEAAOUFAAAAAA==&#10;">
                  <v:fill on="f" focussize="0,0"/>
                  <v:stroke on="f" weight="0.5pt"/>
                  <v:imagedata o:title=""/>
                  <o:lock v:ext="edit" aspectratio="f"/>
                  <v:textbox>
                    <w:txbxContent>
                      <w:p w14:paraId="4DA6A236">
                        <w:pPr>
                          <w:spacing w:line="240" w:lineRule="auto"/>
                        </w:pPr>
                        <w:r>
                          <w:rPr>
                            <w:rFonts w:hint="eastAsia"/>
                          </w:rPr>
                          <w:t>国内大循环</w:t>
                        </w:r>
                      </w:p>
                    </w:txbxContent>
                  </v:textbox>
                </v:shape>
                <v:shape id="文本框 31" o:spid="_x0000_s1026" o:spt="202" type="#_x0000_t202" style="position:absolute;left:2987666;top:1341966;height:286385;width:288290;" filled="f" stroked="f" coordsize="21600,21600" o:gfxdata="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gsOSl2QAAAAoBAAAPAAAAAAAAAAEAIAAAACIAAABkcnMvZG93bnJl&#10;di54bWxQSwECFAAUAAAACACHTuJAFdp/ZjUCAABEBAAADgAAAAAAAAABACAAAAAoAQAAZHJzL2Uy&#10;b0RvYy54bWxQSwUGAAAAAAYABgBZAQAAzwUAAAAA&#10;">
                  <v:fill on="f" focussize="0,0"/>
                  <v:stroke on="f" weight="0.5pt"/>
                  <v:imagedata o:title=""/>
                  <o:lock v:ext="edit" aspectratio="f"/>
                  <v:textbox inset="7.1748031496063pt,71.748031496063,7.1748031496063pt,71.748031496063">
                    <w:txbxContent>
                      <w:p w14:paraId="518941E1">
                        <w:pPr>
                          <w:spacing w:line="240" w:lineRule="auto"/>
                          <w:rPr>
                            <w:rFonts w:cs="Mongolian Baiti"/>
                            <w:szCs w:val="21"/>
                          </w:rPr>
                        </w:pPr>
                        <w:r>
                          <w:rPr>
                            <w:rFonts w:hint="eastAsia" w:cs="Mongolian Baiti"/>
                            <w:szCs w:val="21"/>
                          </w:rPr>
                          <w:t>②</w:t>
                        </w:r>
                      </w:p>
                    </w:txbxContent>
                  </v:textbox>
                </v:shape>
                <v:shape id="文本框 31" o:spid="_x0000_s1026" o:spt="202" type="#_x0000_t202" style="position:absolute;left:3835302;top:1156506;height:286385;width:288290;" filled="f" stroked="f" coordsize="21600,21600" o:gfxdata="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LDkpdkAAAAKAQAADwAAAAAAAAABACAAAAAiAAAAZHJzL2Rvd25y&#10;ZXYueG1sUEsBAhQAFAAAAAgAh07iQJILmfE2AgAARAQAAA4AAAAAAAAAAQAgAAAAKAEAAGRycy9l&#10;Mm9Eb2MueG1sUEsFBgAAAAAGAAYAWQEAANAFAAAAAA==&#10;">
                  <v:fill on="f" focussize="0,0"/>
                  <v:stroke on="f" weight="0.5pt"/>
                  <v:imagedata o:title=""/>
                  <o:lock v:ext="edit" aspectratio="f"/>
                  <v:textbox inset="7.1748031496063pt,71.748031496063,7.1748031496063pt,71.748031496063">
                    <w:txbxContent>
                      <w:p w14:paraId="67FD2E18">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 1 \* GB3 </w:instrText>
                        </w:r>
                        <w:r>
                          <w:rPr>
                            <w:rFonts w:ascii="Times New Roman" w:hAnsi="Times New Roman" w:cs="Times New Roman"/>
                            <w:szCs w:val="21"/>
                          </w:rPr>
                          <w:fldChar w:fldCharType="separate"/>
                        </w:r>
                        <w:r>
                          <w:rPr>
                            <w:rFonts w:hint="eastAsia" w:ascii="宋体" w:hAnsi="宋体" w:cs="宋体"/>
                            <w:szCs w:val="21"/>
                          </w:rPr>
                          <w:t>①</w:t>
                        </w:r>
                        <w:r>
                          <w:rPr>
                            <w:rFonts w:ascii="Times New Roman" w:hAnsi="Times New Roman" w:cs="Times New Roman"/>
                            <w:szCs w:val="21"/>
                          </w:rPr>
                          <w:fldChar w:fldCharType="end"/>
                        </w:r>
                      </w:p>
                    </w:txbxContent>
                  </v:textbox>
                </v:shape>
                <v:shape id="文本框 31" o:spid="_x0000_s1026" o:spt="202" type="#_x0000_t202" style="position:absolute;left:3409786;top:807363;height:286385;width:288290;" filled="f" stroked="f" coordsize="21600,21600" o:gfxdata="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LDkpdkAAAAKAQAADwAAAAAAAAABACAAAAAiAAAAZHJzL2Rvd25y&#10;ZXYueG1sUEsBAhQAFAAAAAgAh07iQBwBs4s2AgAAQwQAAA4AAAAAAAAAAQAgAAAAKAEAAGRycy9l&#10;Mm9Eb2MueG1sUEsFBgAAAAAGAAYAWQEAANAFAAAAAA==&#10;">
                  <v:fill on="f" focussize="0,0"/>
                  <v:stroke on="f" weight="0.5pt"/>
                  <v:imagedata o:title=""/>
                  <o:lock v:ext="edit" aspectratio="f"/>
                  <v:textbox inset="7.1748031496063pt,71.748031496063,7.1748031496063pt,71.748031496063">
                    <w:txbxContent>
                      <w:p w14:paraId="506B942C">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w:instrText>
                        </w:r>
                        <w:r>
                          <w:rPr>
                            <w:rFonts w:hint="eastAsia" w:ascii="Times New Roman" w:hAnsi="Times New Roman" w:cs="Times New Roman"/>
                            <w:szCs w:val="21"/>
                          </w:rPr>
                          <w:instrText xml:space="preserve">= 3 \* GB3</w:instrText>
                        </w:r>
                        <w:r>
                          <w:rPr>
                            <w:rFonts w:ascii="Times New Roman" w:hAnsi="Times New Roman" w:cs="Times New Roman"/>
                            <w:szCs w:val="21"/>
                          </w:rPr>
                          <w:instrText xml:space="preserve"> </w:instrText>
                        </w:r>
                        <w:r>
                          <w:rPr>
                            <w:rFonts w:ascii="Times New Roman" w:hAnsi="Times New Roman" w:cs="Times New Roman"/>
                            <w:szCs w:val="21"/>
                          </w:rPr>
                          <w:fldChar w:fldCharType="separate"/>
                        </w:r>
                        <w:r>
                          <w:rPr>
                            <w:rFonts w:hint="eastAsia" w:ascii="Times New Roman" w:hAnsi="Times New Roman" w:cs="Times New Roman"/>
                            <w:szCs w:val="21"/>
                          </w:rPr>
                          <w:t>③</w:t>
                        </w:r>
                        <w:r>
                          <w:rPr>
                            <w:rFonts w:ascii="Times New Roman" w:hAnsi="Times New Roman" w:cs="Times New Roman"/>
                            <w:szCs w:val="21"/>
                          </w:rPr>
                          <w:fldChar w:fldCharType="end"/>
                        </w:r>
                      </w:p>
                    </w:txbxContent>
                  </v:textbox>
                </v:shape>
                <v:shape id="文本框 31" o:spid="_x0000_s1026" o:spt="202" type="#_x0000_t202" style="position:absolute;left:58869;top:1356477;height:286385;width:288290;" filled="f" stroked="f" coordsize="21600,21600" o:gfxdata="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LDkpdkAAAAKAQAADwAAAAAAAAABACAAAAAiAAAAZHJzL2Rvd25y&#10;ZXYueG1sUEsBAhQAFAAAAAgAh07iQHyyFvI2AgAAQgQAAA4AAAAAAAAAAQAgAAAAKAEAAGRycy9l&#10;Mm9Eb2MueG1sUEsFBgAAAAAGAAYAWQEAANAFAAAAAA==&#10;">
                  <v:fill on="f" focussize="0,0"/>
                  <v:stroke on="f" weight="0.5pt"/>
                  <v:imagedata o:title=""/>
                  <o:lock v:ext="edit" aspectratio="f"/>
                  <v:textbox inset="7.1748031496063pt,71.748031496063,7.1748031496063pt,71.748031496063">
                    <w:txbxContent>
                      <w:p w14:paraId="3A8D3ACD">
                        <w:pPr>
                          <w:spacing w:line="240" w:lineRule="auto"/>
                          <w:rPr>
                            <w:rFonts w:cs="Mongolian Baiti"/>
                            <w:szCs w:val="21"/>
                          </w:rPr>
                        </w:pPr>
                        <w:r>
                          <w:rPr>
                            <w:rFonts w:hint="eastAsia" w:cs="Mongolian Baiti"/>
                            <w:szCs w:val="21"/>
                          </w:rPr>
                          <w:t>②</w:t>
                        </w:r>
                      </w:p>
                    </w:txbxContent>
                  </v:textbox>
                </v:shape>
                <v:shape id="文本框 31" o:spid="_x0000_s1026" o:spt="202" type="#_x0000_t202" style="position:absolute;left:946105;top:1091864;height:286385;width:288290;" filled="f" stroked="f" coordsize="21600,21600" o:gfxdata="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LDkpdkAAAAKAQAADwAAAAAAAAABACAAAAAiAAAAZHJzL2Rvd25y&#10;ZXYueG1sUEsBAhQAFAAAAAgAh07iQJlN10Q2AgAAQwQAAA4AAAAAAAAAAQAgAAAAKAEAAGRycy9l&#10;Mm9Eb2MueG1sUEsFBgAAAAAGAAYAWQEAANAFAAAAAA==&#10;">
                  <v:fill on="f" focussize="0,0"/>
                  <v:stroke on="f" weight="0.5pt"/>
                  <v:imagedata o:title=""/>
                  <o:lock v:ext="edit" aspectratio="f"/>
                  <v:textbox inset="7.1748031496063pt,71.748031496063,7.1748031496063pt,71.748031496063">
                    <w:txbxContent>
                      <w:p w14:paraId="0B9287BF">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 3 \* GB3 </w:instrText>
                        </w:r>
                        <w:r>
                          <w:rPr>
                            <w:rFonts w:ascii="Times New Roman" w:hAnsi="Times New Roman" w:cs="Times New Roman"/>
                            <w:szCs w:val="21"/>
                          </w:rPr>
                          <w:fldChar w:fldCharType="separate"/>
                        </w:r>
                        <w:r>
                          <w:rPr>
                            <w:rFonts w:hint="eastAsia" w:ascii="宋体" w:hAnsi="宋体" w:cs="宋体"/>
                            <w:szCs w:val="21"/>
                          </w:rPr>
                          <w:t>③</w:t>
                        </w:r>
                        <w:r>
                          <w:rPr>
                            <w:rFonts w:ascii="Times New Roman" w:hAnsi="Times New Roman" w:cs="Times New Roman"/>
                            <w:szCs w:val="21"/>
                          </w:rPr>
                          <w:fldChar w:fldCharType="end"/>
                        </w:r>
                      </w:p>
                    </w:txbxContent>
                  </v:textbox>
                </v:shape>
                <v:shape id="文本框 31" o:spid="_x0000_s1026" o:spt="202" type="#_x0000_t202" style="position:absolute;left:347159;top:799691;height:286385;width:288290;" filled="f" stroked="f" coordsize="21600,21600" o:gfxdata="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LDkpdkAAAAKAQAADwAAAAAAAAABACAAAAAiAAAAZHJzL2Rvd25y&#10;ZXYueG1sUEsBAhQAFAAAAAgAh07iQD3qTVY2AgAAQgQAAA4AAAAAAAAAAQAgAAAAKAEAAGRycy9l&#10;Mm9Eb2MueG1sUEsFBgAAAAAGAAYAWQEAANAFAAAAAA==&#10;">
                  <v:fill on="f" focussize="0,0"/>
                  <v:stroke on="f" weight="0.5pt"/>
                  <v:imagedata o:title=""/>
                  <o:lock v:ext="edit" aspectratio="f"/>
                  <v:textbox inset="7.1748031496063pt,71.748031496063,7.1748031496063pt,71.748031496063">
                    <w:txbxContent>
                      <w:p w14:paraId="0542C32C">
                        <w:pPr>
                          <w:spacing w:line="240" w:lineRule="auto"/>
                          <w:rPr>
                            <w:rFonts w:ascii="Times New Roman" w:hAnsi="Times New Roman" w:cs="Times New Roman"/>
                            <w:szCs w:val="21"/>
                          </w:rPr>
                        </w:pPr>
                        <w:r>
                          <w:rPr>
                            <w:rFonts w:ascii="Times New Roman" w:hAnsi="Times New Roman" w:cs="Times New Roman"/>
                            <w:szCs w:val="21"/>
                          </w:rPr>
                          <w:fldChar w:fldCharType="begin"/>
                        </w:r>
                        <w:r>
                          <w:rPr>
                            <w:rFonts w:ascii="Times New Roman" w:hAnsi="Times New Roman" w:cs="Times New Roman"/>
                            <w:szCs w:val="21"/>
                          </w:rPr>
                          <w:instrText xml:space="preserve"> = 1 \* GB3 </w:instrText>
                        </w:r>
                        <w:r>
                          <w:rPr>
                            <w:rFonts w:ascii="Times New Roman" w:hAnsi="Times New Roman" w:cs="Times New Roman"/>
                            <w:szCs w:val="21"/>
                          </w:rPr>
                          <w:fldChar w:fldCharType="separate"/>
                        </w:r>
                        <w:r>
                          <w:rPr>
                            <w:rFonts w:hint="eastAsia" w:ascii="宋体" w:hAnsi="宋体" w:cs="宋体"/>
                            <w:szCs w:val="21"/>
                          </w:rPr>
                          <w:t>①</w:t>
                        </w:r>
                        <w:r>
                          <w:rPr>
                            <w:rFonts w:ascii="Times New Roman" w:hAnsi="Times New Roman" w:cs="Times New Roman"/>
                            <w:szCs w:val="21"/>
                          </w:rPr>
                          <w:fldChar w:fldCharType="end"/>
                        </w:r>
                      </w:p>
                    </w:txbxContent>
                  </v:textbox>
                </v:shape>
                <w10:wrap type="topAndBottom"/>
              </v:group>
            </w:pict>
          </mc:Fallback>
        </mc:AlternateContent>
      </w:r>
      <w:r>
        <w:rPr>
          <w:rFonts w:hint="default" w:ascii="Times New Roman" w:hAnsi="Times New Roman" w:eastAsia="宋体" w:cs="Times New Roman"/>
          <w:color w:val="auto"/>
          <w:sz w:val="24"/>
          <w:szCs w:val="24"/>
          <w:highlight w:val="none"/>
          <w:lang w:eastAsia="zh-Hans"/>
        </w:rPr>
        <w:t>I→II→I，与货币流回对应的资本循环阶段或商品流通为：G→W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rPr>
        <w:t>（第I部类资本家的消费）</w:t>
      </w:r>
      <w:r>
        <w:rPr>
          <w:rFonts w:hint="default" w:ascii="Times New Roman" w:hAnsi="Times New Roman" w:eastAsia="宋体" w:cs="Times New Roman"/>
          <w:color w:val="auto"/>
          <w:sz w:val="24"/>
          <w:szCs w:val="24"/>
          <w:highlight w:val="none"/>
          <w:lang w:eastAsia="zh-Hans"/>
        </w:rPr>
        <w:t>、W′</w:t>
      </w:r>
      <w:r>
        <w:rPr>
          <w:rFonts w:hint="default" w:ascii="Times New Roman" w:hAnsi="Times New Roman" w:eastAsia="宋体" w:cs="Times New Roman"/>
          <w:color w:val="auto"/>
          <w:sz w:val="24"/>
          <w:szCs w:val="24"/>
          <w:highlight w:val="none"/>
          <w:vertAlign w:val="subscript"/>
          <w:lang w:eastAsia="zh-Hans"/>
        </w:rPr>
        <w:t>I</w:t>
      </w:r>
      <w:r>
        <w:rPr>
          <w:rFonts w:hint="default" w:ascii="Times New Roman" w:hAnsi="Times New Roman" w:eastAsia="宋体" w:cs="Times New Roman"/>
          <w:color w:val="auto"/>
          <w:sz w:val="24"/>
          <w:szCs w:val="24"/>
          <w:highlight w:val="none"/>
          <w:lang w:eastAsia="zh-Hans"/>
        </w:rPr>
        <w:t>→G′</w:t>
      </w:r>
      <w:r>
        <w:rPr>
          <w:rFonts w:hint="default" w:ascii="Times New Roman" w:hAnsi="Times New Roman" w:eastAsia="宋体" w:cs="Times New Roman"/>
          <w:color w:val="auto"/>
          <w:sz w:val="24"/>
          <w:szCs w:val="24"/>
          <w:highlight w:val="none"/>
        </w:rPr>
        <w:t>（第I部类的商品资本转化为货币资本），以及</w:t>
      </w:r>
      <w:r>
        <w:rPr>
          <w:rFonts w:hint="default" w:ascii="Times New Roman" w:hAnsi="Times New Roman" w:eastAsia="宋体" w:cs="Times New Roman"/>
          <w:color w:val="auto"/>
          <w:sz w:val="24"/>
          <w:szCs w:val="24"/>
          <w:highlight w:val="none"/>
          <w:lang w:eastAsia="zh-Hans"/>
        </w:rPr>
        <w:t>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lang w:eastAsia="zh-Hans"/>
        </w:rPr>
        <w:t>→G′→P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lang w:eastAsia="zh-Hans"/>
        </w:rPr>
        <w:t>（第</w:t>
      </w:r>
      <w:r>
        <w:rPr>
          <w:rFonts w:hint="default" w:ascii="Times New Roman" w:hAnsi="Times New Roman" w:eastAsia="宋体" w:cs="Times New Roman"/>
          <w:color w:val="auto"/>
          <w:sz w:val="24"/>
          <w:szCs w:val="24"/>
          <w:highlight w:val="none"/>
        </w:rPr>
        <w:t>II</w:t>
      </w:r>
      <w:r>
        <w:rPr>
          <w:rFonts w:hint="default" w:ascii="Times New Roman" w:hAnsi="Times New Roman" w:eastAsia="宋体" w:cs="Times New Roman"/>
          <w:color w:val="auto"/>
          <w:sz w:val="24"/>
          <w:szCs w:val="24"/>
          <w:highlight w:val="none"/>
          <w:lang w:eastAsia="zh-Hans"/>
        </w:rPr>
        <w:t>部类资本循环的流通过程）。（2）价值为I(</w:t>
      </w:r>
      <w:r>
        <w:rPr>
          <w:rFonts w:hint="default" w:ascii="Times New Roman" w:hAnsi="Times New Roman" w:eastAsia="宋体" w:cs="Times New Roman"/>
          <w:i/>
          <w:iCs/>
          <w:color w:val="auto"/>
          <w:sz w:val="24"/>
          <w:szCs w:val="24"/>
          <w:highlight w:val="none"/>
          <w:lang w:eastAsia="zh-Hans"/>
        </w:rPr>
        <w:t>v</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v</w:t>
      </w:r>
      <w:r>
        <w:rPr>
          <w:rFonts w:hint="default" w:ascii="Times New Roman" w:hAnsi="Times New Roman" w:eastAsia="宋体" w:cs="Times New Roman"/>
          <w:color w:val="auto"/>
          <w:sz w:val="24"/>
          <w:szCs w:val="24"/>
          <w:highlight w:val="none"/>
          <w:lang w:eastAsia="zh-Hans"/>
        </w:rPr>
        <w:t>)的货币流回。货币运动过程为：I→工人→II→I。货币流回涉及的资本循环阶段为：G→A→P</w:t>
      </w:r>
      <w:r>
        <w:rPr>
          <w:rFonts w:hint="default" w:ascii="Times New Roman" w:hAnsi="Times New Roman" w:eastAsia="宋体" w:cs="Times New Roman"/>
          <w:color w:val="auto"/>
          <w:sz w:val="24"/>
          <w:szCs w:val="24"/>
          <w:highlight w:val="none"/>
        </w:rPr>
        <w:t>（第I部类的货币资本转化为可变资本）</w:t>
      </w:r>
      <w:r>
        <w:rPr>
          <w:rFonts w:hint="default" w:ascii="Times New Roman" w:hAnsi="Times New Roman" w:eastAsia="宋体" w:cs="Times New Roman"/>
          <w:color w:val="auto"/>
          <w:sz w:val="24"/>
          <w:szCs w:val="24"/>
          <w:highlight w:val="none"/>
          <w:lang w:eastAsia="zh-Hans"/>
        </w:rPr>
        <w:t>、W′</w:t>
      </w:r>
      <w:r>
        <w:rPr>
          <w:rFonts w:hint="default" w:ascii="Times New Roman" w:hAnsi="Times New Roman" w:eastAsia="宋体" w:cs="Times New Roman"/>
          <w:color w:val="auto"/>
          <w:sz w:val="24"/>
          <w:szCs w:val="24"/>
          <w:highlight w:val="none"/>
          <w:vertAlign w:val="subscript"/>
          <w:lang w:eastAsia="zh-Hans"/>
        </w:rPr>
        <w:t>I</w:t>
      </w:r>
      <w:r>
        <w:rPr>
          <w:rFonts w:hint="default" w:ascii="Times New Roman" w:hAnsi="Times New Roman" w:eastAsia="宋体" w:cs="Times New Roman"/>
          <w:color w:val="auto"/>
          <w:sz w:val="24"/>
          <w:szCs w:val="24"/>
          <w:highlight w:val="none"/>
          <w:lang w:eastAsia="zh-Hans"/>
        </w:rPr>
        <w:t>→G′。货币流回涉及的商品流通为：A→G→W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lang w:eastAsia="zh-Hans"/>
        </w:rPr>
        <w:t>（第</w:t>
      </w:r>
      <w:r>
        <w:rPr>
          <w:rFonts w:hint="default" w:ascii="Times New Roman" w:hAnsi="Times New Roman" w:eastAsia="宋体" w:cs="Times New Roman"/>
          <w:color w:val="auto"/>
          <w:sz w:val="24"/>
          <w:szCs w:val="24"/>
          <w:highlight w:val="none"/>
        </w:rPr>
        <w:t>I</w:t>
      </w:r>
      <w:r>
        <w:rPr>
          <w:rFonts w:hint="default" w:ascii="Times New Roman" w:hAnsi="Times New Roman" w:eastAsia="宋体" w:cs="Times New Roman"/>
          <w:color w:val="auto"/>
          <w:sz w:val="24"/>
          <w:szCs w:val="24"/>
          <w:highlight w:val="none"/>
          <w:lang w:eastAsia="zh-Hans"/>
        </w:rPr>
        <w:t>部类的劳动力商品流通），W′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lang w:eastAsia="zh-Hans"/>
        </w:rPr>
        <w:t>→G′→P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lang w:eastAsia="zh-Hans"/>
        </w:rPr>
        <w:t>。（3）价值为II(</w:t>
      </w:r>
      <w:r>
        <w:rPr>
          <w:rFonts w:hint="default" w:ascii="Times New Roman" w:hAnsi="Times New Roman" w:eastAsia="宋体" w:cs="Times New Roman"/>
          <w:i/>
          <w:iCs/>
          <w:color w:val="auto"/>
          <w:sz w:val="24"/>
          <w:szCs w:val="24"/>
          <w:highlight w:val="none"/>
          <w:lang w:eastAsia="zh-Hans"/>
        </w:rPr>
        <w:t>c</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i/>
          <w:iCs/>
          <w:color w:val="auto"/>
          <w:sz w:val="24"/>
          <w:szCs w:val="24"/>
          <w:highlight w:val="none"/>
          <w:lang w:eastAsia="zh-Hans"/>
        </w:rPr>
        <w:t>c</w:t>
      </w:r>
      <w:r>
        <w:rPr>
          <w:rFonts w:hint="default" w:ascii="Times New Roman" w:hAnsi="Times New Roman" w:eastAsia="宋体" w:cs="Times New Roman"/>
          <w:color w:val="auto"/>
          <w:sz w:val="24"/>
          <w:szCs w:val="24"/>
          <w:highlight w:val="none"/>
          <w:lang w:eastAsia="zh-Hans"/>
        </w:rPr>
        <w:t>)的货币流回。货币运动过程为：II→I→II和II→I→工人→II。货币流回涉及的资本循环阶段为：G→P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lang w:eastAsia="zh-Hans"/>
        </w:rPr>
        <w:t>→P（第</w:t>
      </w:r>
      <w:r>
        <w:rPr>
          <w:rFonts w:hint="default" w:ascii="Times New Roman" w:hAnsi="Times New Roman" w:eastAsia="宋体" w:cs="Times New Roman"/>
          <w:color w:val="auto"/>
          <w:sz w:val="24"/>
          <w:szCs w:val="24"/>
          <w:highlight w:val="none"/>
        </w:rPr>
        <w:t>II</w:t>
      </w:r>
      <w:r>
        <w:rPr>
          <w:rFonts w:hint="default" w:ascii="Times New Roman" w:hAnsi="Times New Roman" w:eastAsia="宋体" w:cs="Times New Roman"/>
          <w:color w:val="auto"/>
          <w:sz w:val="24"/>
          <w:szCs w:val="24"/>
          <w:highlight w:val="none"/>
          <w:lang w:eastAsia="zh-Hans"/>
        </w:rPr>
        <w:t>部类的货币资本转化为不变资本）、W′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lang w:eastAsia="zh-Hans"/>
        </w:rPr>
        <w:t>→G′（第</w:t>
      </w:r>
      <w:r>
        <w:rPr>
          <w:rFonts w:hint="default" w:ascii="Times New Roman" w:hAnsi="Times New Roman" w:eastAsia="宋体" w:cs="Times New Roman"/>
          <w:color w:val="auto"/>
          <w:sz w:val="24"/>
          <w:szCs w:val="24"/>
          <w:highlight w:val="none"/>
        </w:rPr>
        <w:t>II</w:t>
      </w:r>
      <w:r>
        <w:rPr>
          <w:rFonts w:hint="default" w:ascii="Times New Roman" w:hAnsi="Times New Roman" w:eastAsia="宋体" w:cs="Times New Roman"/>
          <w:color w:val="auto"/>
          <w:sz w:val="24"/>
          <w:szCs w:val="24"/>
          <w:highlight w:val="none"/>
          <w:lang w:eastAsia="zh-Hans"/>
        </w:rPr>
        <w:t>部类的商品资本转化为货币资本）。货币流回涉及的商品流通为：W′</w:t>
      </w:r>
      <w:r>
        <w:rPr>
          <w:rFonts w:hint="default" w:ascii="Times New Roman" w:hAnsi="Times New Roman" w:eastAsia="宋体" w:cs="Times New Roman"/>
          <w:color w:val="auto"/>
          <w:sz w:val="24"/>
          <w:szCs w:val="24"/>
          <w:highlight w:val="none"/>
          <w:vertAlign w:val="subscript"/>
          <w:lang w:eastAsia="zh-Hans"/>
        </w:rPr>
        <w:t>I</w:t>
      </w:r>
      <w:r>
        <w:rPr>
          <w:rFonts w:hint="default" w:ascii="Times New Roman" w:hAnsi="Times New Roman" w:eastAsia="宋体" w:cs="Times New Roman"/>
          <w:color w:val="auto"/>
          <w:sz w:val="24"/>
          <w:szCs w:val="24"/>
          <w:highlight w:val="none"/>
          <w:lang w:eastAsia="zh-Hans"/>
        </w:rPr>
        <w:t>→G′→W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rPr>
        <w:t>（第I部类资本家的个人消费引起的商品流通）</w:t>
      </w:r>
      <w:r>
        <w:rPr>
          <w:rFonts w:hint="default" w:ascii="Times New Roman" w:hAnsi="Times New Roman" w:eastAsia="宋体" w:cs="Times New Roman"/>
          <w:color w:val="auto"/>
          <w:sz w:val="24"/>
          <w:szCs w:val="24"/>
          <w:highlight w:val="none"/>
          <w:lang w:eastAsia="zh-Hans"/>
        </w:rPr>
        <w:t>和W′</w:t>
      </w:r>
      <w:r>
        <w:rPr>
          <w:rFonts w:hint="default" w:ascii="Times New Roman" w:hAnsi="Times New Roman" w:eastAsia="宋体" w:cs="Times New Roman"/>
          <w:color w:val="auto"/>
          <w:sz w:val="24"/>
          <w:szCs w:val="24"/>
          <w:highlight w:val="none"/>
          <w:vertAlign w:val="subscript"/>
          <w:lang w:eastAsia="zh-Hans"/>
        </w:rPr>
        <w:t>I</w:t>
      </w:r>
      <w:r>
        <w:rPr>
          <w:rFonts w:hint="default" w:ascii="Times New Roman" w:hAnsi="Times New Roman" w:eastAsia="宋体" w:cs="Times New Roman"/>
          <w:color w:val="auto"/>
          <w:sz w:val="24"/>
          <w:szCs w:val="24"/>
          <w:highlight w:val="none"/>
          <w:lang w:eastAsia="zh-Hans"/>
        </w:rPr>
        <w:t>→G′→A（第</w:t>
      </w:r>
      <w:r>
        <w:rPr>
          <w:rFonts w:hint="default" w:ascii="Times New Roman" w:hAnsi="Times New Roman" w:eastAsia="宋体" w:cs="Times New Roman"/>
          <w:color w:val="auto"/>
          <w:sz w:val="24"/>
          <w:szCs w:val="24"/>
          <w:highlight w:val="none"/>
        </w:rPr>
        <w:t>I</w:t>
      </w:r>
      <w:r>
        <w:rPr>
          <w:rFonts w:hint="default" w:ascii="Times New Roman" w:hAnsi="Times New Roman" w:eastAsia="宋体" w:cs="Times New Roman"/>
          <w:color w:val="auto"/>
          <w:sz w:val="24"/>
          <w:szCs w:val="24"/>
          <w:highlight w:val="none"/>
          <w:lang w:eastAsia="zh-Hans"/>
        </w:rPr>
        <w:t>部类的资本循环中的流通过程），A→G→W</w:t>
      </w:r>
      <w:r>
        <w:rPr>
          <w:rFonts w:hint="default" w:ascii="Times New Roman" w:hAnsi="Times New Roman" w:eastAsia="宋体" w:cs="Times New Roman"/>
          <w:color w:val="auto"/>
          <w:sz w:val="24"/>
          <w:szCs w:val="24"/>
          <w:highlight w:val="none"/>
          <w:vertAlign w:val="subscript"/>
          <w:lang w:eastAsia="zh-Hans"/>
        </w:rPr>
        <w:t>II</w:t>
      </w:r>
      <w:r>
        <w:rPr>
          <w:rFonts w:hint="default" w:ascii="Times New Roman" w:hAnsi="Times New Roman" w:eastAsia="宋体" w:cs="Times New Roman"/>
          <w:color w:val="auto"/>
          <w:sz w:val="24"/>
          <w:szCs w:val="24"/>
          <w:highlight w:val="none"/>
          <w:lang w:eastAsia="zh-Hans"/>
        </w:rPr>
        <w:t>。其中，</w:t>
      </w:r>
      <w:r>
        <w:rPr>
          <w:rFonts w:hint="default" w:ascii="Times New Roman" w:hAnsi="Times New Roman" w:eastAsia="宋体" w:cs="Times New Roman"/>
          <w:color w:val="auto"/>
          <w:sz w:val="24"/>
          <w:szCs w:val="24"/>
          <w:highlight w:val="none"/>
        </w:rPr>
        <w:t>I</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color w:val="auto"/>
          <w:sz w:val="24"/>
          <w:szCs w:val="24"/>
          <w:highlight w:val="none"/>
        </w:rPr>
        <w:t>II代表</w:t>
      </w:r>
      <w:r>
        <w:rPr>
          <w:rFonts w:hint="default" w:ascii="Times New Roman" w:hAnsi="Times New Roman" w:eastAsia="宋体" w:cs="Times New Roman"/>
          <w:color w:val="auto"/>
          <w:sz w:val="24"/>
          <w:szCs w:val="24"/>
          <w:highlight w:val="none"/>
          <w:lang w:eastAsia="zh-Hans"/>
        </w:rPr>
        <w:t>两大部类的资本家，工人指的是第</w:t>
      </w:r>
      <w:r>
        <w:rPr>
          <w:rFonts w:hint="default" w:ascii="Times New Roman" w:hAnsi="Times New Roman" w:eastAsia="宋体" w:cs="Times New Roman"/>
          <w:color w:val="auto"/>
          <w:sz w:val="24"/>
          <w:szCs w:val="24"/>
          <w:highlight w:val="none"/>
        </w:rPr>
        <w:t>I</w:t>
      </w:r>
      <w:r>
        <w:rPr>
          <w:rFonts w:hint="default" w:ascii="Times New Roman" w:hAnsi="Times New Roman" w:eastAsia="宋体" w:cs="Times New Roman"/>
          <w:color w:val="auto"/>
          <w:sz w:val="24"/>
          <w:szCs w:val="24"/>
          <w:highlight w:val="none"/>
          <w:lang w:eastAsia="zh-Hans"/>
        </w:rPr>
        <w:t>部类的工人，</w:t>
      </w:r>
      <w:r>
        <w:rPr>
          <w:rFonts w:hint="default" w:ascii="Times New Roman" w:hAnsi="Times New Roman" w:eastAsia="宋体" w:cs="Times New Roman"/>
          <w:color w:val="auto"/>
          <w:sz w:val="24"/>
          <w:szCs w:val="24"/>
          <w:highlight w:val="none"/>
        </w:rPr>
        <w:t>W</w:t>
      </w:r>
      <w:r>
        <w:rPr>
          <w:rFonts w:hint="default" w:ascii="Times New Roman" w:hAnsi="Times New Roman" w:eastAsia="宋体" w:cs="Times New Roman"/>
          <w:color w:val="auto"/>
          <w:sz w:val="24"/>
          <w:szCs w:val="24"/>
          <w:highlight w:val="none"/>
          <w:lang w:eastAsia="zh-Hans"/>
        </w:rPr>
        <w:t>代表商品资本，</w:t>
      </w:r>
      <w:r>
        <w:rPr>
          <w:rFonts w:hint="default" w:ascii="Times New Roman" w:hAnsi="Times New Roman" w:eastAsia="宋体" w:cs="Times New Roman"/>
          <w:color w:val="auto"/>
          <w:sz w:val="24"/>
          <w:szCs w:val="24"/>
          <w:highlight w:val="none"/>
        </w:rPr>
        <w:t>G</w:t>
      </w:r>
      <w:r>
        <w:rPr>
          <w:rFonts w:hint="default" w:ascii="Times New Roman" w:hAnsi="Times New Roman" w:eastAsia="宋体" w:cs="Times New Roman"/>
          <w:color w:val="auto"/>
          <w:sz w:val="24"/>
          <w:szCs w:val="24"/>
          <w:highlight w:val="none"/>
          <w:lang w:eastAsia="zh-Hans"/>
        </w:rPr>
        <w:t>代表货币资本，</w:t>
      </w:r>
      <w:r>
        <w:rPr>
          <w:rFonts w:hint="default" w:ascii="Times New Roman" w:hAnsi="Times New Roman" w:eastAsia="宋体" w:cs="Times New Roman"/>
          <w:color w:val="auto"/>
          <w:sz w:val="24"/>
          <w:szCs w:val="24"/>
          <w:highlight w:val="none"/>
        </w:rPr>
        <w:t>A</w:t>
      </w:r>
      <w:r>
        <w:rPr>
          <w:rFonts w:hint="default" w:ascii="Times New Roman" w:hAnsi="Times New Roman" w:eastAsia="宋体" w:cs="Times New Roman"/>
          <w:color w:val="auto"/>
          <w:sz w:val="24"/>
          <w:szCs w:val="24"/>
          <w:highlight w:val="none"/>
          <w:lang w:eastAsia="zh-Hans"/>
        </w:rPr>
        <w:t>代表劳动力，P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lang w:eastAsia="zh-Hans"/>
        </w:rPr>
        <w:t>代表生产资料，</w:t>
      </w:r>
      <w:r>
        <w:rPr>
          <w:rFonts w:hint="default" w:ascii="Times New Roman" w:hAnsi="Times New Roman" w:eastAsia="宋体" w:cs="Times New Roman"/>
          <w:color w:val="auto"/>
          <w:sz w:val="24"/>
          <w:szCs w:val="24"/>
          <w:highlight w:val="none"/>
        </w:rPr>
        <w:t>P</w:t>
      </w:r>
      <w:r>
        <w:rPr>
          <w:rFonts w:hint="default" w:ascii="Times New Roman" w:hAnsi="Times New Roman" w:eastAsia="宋体" w:cs="Times New Roman"/>
          <w:color w:val="auto"/>
          <w:sz w:val="24"/>
          <w:szCs w:val="24"/>
          <w:highlight w:val="none"/>
          <w:lang w:eastAsia="zh-Hans"/>
        </w:rPr>
        <w:t>代表生产资本。需要补充说明，对立统一的买和卖在国内国际进行（见图</w:t>
      </w:r>
      <w:r>
        <w:rPr>
          <w:rFonts w:hint="default" w:ascii="Times New Roman" w:hAnsi="Times New Roman" w:eastAsia="宋体" w:cs="Times New Roman"/>
          <w:color w:val="auto"/>
          <w:sz w:val="24"/>
          <w:szCs w:val="24"/>
          <w:highlight w:val="none"/>
        </w:rPr>
        <w:t>2）</w:t>
      </w:r>
      <w:r>
        <w:rPr>
          <w:rFonts w:hint="default" w:ascii="Times New Roman" w:hAnsi="Times New Roman" w:eastAsia="宋体" w:cs="Times New Roman"/>
          <w:color w:val="auto"/>
          <w:sz w:val="24"/>
          <w:szCs w:val="24"/>
          <w:highlight w:val="none"/>
          <w:lang w:eastAsia="zh-Hans"/>
        </w:rPr>
        <w:t>，无论哪种情况，只有</w:t>
      </w:r>
      <w:r>
        <w:rPr>
          <w:rFonts w:hint="default" w:ascii="Times New Roman" w:hAnsi="Times New Roman" w:eastAsia="宋体" w:cs="Times New Roman"/>
          <w:color w:val="auto"/>
          <w:sz w:val="24"/>
          <w:szCs w:val="24"/>
          <w:highlight w:val="none"/>
        </w:rPr>
        <w:t>资本以自己离开起点时的同一货币形式和同一货币数量回到它的起点</w:t>
      </w:r>
      <w:r>
        <w:rPr>
          <w:rFonts w:hint="default" w:ascii="Times New Roman" w:hAnsi="Times New Roman" w:eastAsia="宋体" w:cs="Times New Roman"/>
          <w:color w:val="auto"/>
          <w:sz w:val="24"/>
          <w:szCs w:val="24"/>
          <w:highlight w:val="none"/>
          <w:lang w:eastAsia="zh-Hans"/>
        </w:rPr>
        <w:t>，经济循环才能畅通。</w:t>
      </w:r>
    </w:p>
    <w:p w14:paraId="5CFDB43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p>
    <w:p w14:paraId="378218EF">
      <w:pPr>
        <w:pageBreakBefore w:val="0"/>
        <w:kinsoku/>
        <w:overflowPunct/>
        <w:topLinePunct w:val="0"/>
        <w:bidi w:val="0"/>
        <w:spacing w:line="400" w:lineRule="exact"/>
        <w:rPr>
          <w:rFonts w:hint="default" w:ascii="Times New Roman" w:hAnsi="Times New Roman" w:eastAsia="宋体" w:cs="Times New Roman"/>
          <w:color w:val="auto"/>
          <w:sz w:val="24"/>
          <w:szCs w:val="24"/>
          <w:highlight w:val="none"/>
          <w:lang w:eastAsia="zh-Hans"/>
        </w:rPr>
      </w:pPr>
    </w:p>
    <w:p w14:paraId="76C3252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Hans"/>
        </w:rPr>
        <w:t>图</w:t>
      </w:r>
      <w:r>
        <w:rPr>
          <w:rFonts w:hint="default" w:ascii="Times New Roman" w:hAnsi="Times New Roman" w:eastAsia="宋体" w:cs="Times New Roman"/>
          <w:color w:val="auto"/>
          <w:sz w:val="24"/>
          <w:szCs w:val="24"/>
          <w:highlight w:val="none"/>
        </w:rPr>
        <w:t>2  开放经济下与工人个人消费交织的货币流回</w:t>
      </w:r>
    </w:p>
    <w:p w14:paraId="377557C2">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lang w:eastAsia="zh-Hans"/>
        </w:rPr>
      </w:pPr>
      <w:r>
        <w:rPr>
          <w:rFonts w:hint="default" w:ascii="Times New Roman" w:hAnsi="Times New Roman" w:eastAsia="宋体" w:cs="Times New Roman"/>
          <w:b w:val="0"/>
          <w:bCs w:val="0"/>
          <w:color w:val="auto"/>
          <w:sz w:val="24"/>
          <w:szCs w:val="24"/>
          <w:highlight w:val="none"/>
          <w:lang w:eastAsia="zh-Hans"/>
        </w:rPr>
        <w:t>2.</w:t>
      </w:r>
      <w:bookmarkStart w:id="515" w:name="_Hlk148621715"/>
      <w:r>
        <w:rPr>
          <w:rFonts w:hint="default" w:ascii="Times New Roman" w:hAnsi="Times New Roman" w:eastAsia="宋体" w:cs="Times New Roman"/>
          <w:b w:val="0"/>
          <w:bCs w:val="0"/>
          <w:color w:val="auto"/>
          <w:sz w:val="24"/>
          <w:szCs w:val="24"/>
          <w:highlight w:val="none"/>
          <w:lang w:eastAsia="zh-Hans"/>
        </w:rPr>
        <w:t>从“两头在外”的经济循环到“大循环”为主和“双循环”相互促进</w:t>
      </w:r>
      <w:bookmarkEnd w:id="515"/>
    </w:p>
    <w:p w14:paraId="2BB47A6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改革开放后，特别是2001年加入世贸组织后，我国深度参与国际分工，融入国际大循环，形成市场和资源“两头在外”的发展格局。2008年金融危机是我国发展格局演变的一个重要分水岭，我国的经济发展向内需主导转变，国内循环在我国经济中的作用开始显著上升。党的十八以来，我国坚持实施扩大内需战略，2020年，以习近平同志为核心的党中央根据我国发展阶段、环境、条件变化，特别是基于我国比较优势变化，审时度势做出构建新发展格局的重大决策（习近平，2022）。</w:t>
      </w:r>
    </w:p>
    <w:p w14:paraId="6F440989">
      <w:pPr>
        <w:pageBreakBefore w:val="0"/>
        <w:kinsoku/>
        <w:wordWrap w:val="0"/>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2008年金融危机之前，在国民经济循环的G→P</w:t>
      </w:r>
      <w:r>
        <w:rPr>
          <w:rFonts w:hint="default" w:ascii="Times New Roman" w:hAnsi="Times New Roman" w:eastAsia="宋体" w:cs="Times New Roman"/>
          <w:color w:val="auto"/>
          <w:sz w:val="24"/>
          <w:szCs w:val="24"/>
          <w:highlight w:val="none"/>
          <w:vertAlign w:val="subscript"/>
        </w:rPr>
        <w:t>m</w:t>
      </w:r>
      <w:r>
        <w:rPr>
          <w:rFonts w:hint="default" w:ascii="Times New Roman" w:hAnsi="Times New Roman" w:eastAsia="宋体" w:cs="Times New Roman"/>
          <w:color w:val="auto"/>
          <w:sz w:val="24"/>
          <w:szCs w:val="24"/>
          <w:highlight w:val="none"/>
        </w:rPr>
        <w:t>环节，我国生产资料特别是高端生产资料的买对国外市场的依赖程度比较高，也就是说，</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Cs/>
                <w:color w:val="auto"/>
                <w:sz w:val="24"/>
                <w:szCs w:val="24"/>
                <w:highlight w:val="none"/>
              </w:rPr>
            </m:ctrlPr>
          </m:sSubPr>
          <m:e>
            <m:r>
              <m:rPr>
                <m:nor/>
              </m:rPr>
              <w:rPr>
                <w:rFonts w:hint="default" w:ascii="Cambria Math" w:hAnsi="Cambria Math" w:eastAsia="宋体" w:cs="Times New Roman"/>
                <w:i/>
                <w:color w:val="auto"/>
                <w:sz w:val="24"/>
                <w:szCs w:val="24"/>
                <w:highlight w:val="none"/>
              </w:rPr>
              <m:t>β</m:t>
            </m:r>
            <m:ctrlPr>
              <w:rPr>
                <w:rFonts w:hint="default" w:ascii="Cambria Math" w:hAnsi="Cambria Math" w:eastAsia="宋体" w:cs="Times New Roman"/>
                <w:iCs/>
                <w:color w:val="auto"/>
                <w:sz w:val="24"/>
                <w:szCs w:val="24"/>
                <w:highlight w:val="none"/>
              </w:rPr>
            </m:ctrlPr>
          </m:e>
          <m:sub>
            <m:r>
              <m:rPr>
                <m:nor/>
                <m:sty m:val="p"/>
              </m:rPr>
              <w:rPr>
                <w:rFonts w:hint="default" w:ascii="Cambria Math" w:hAnsi="Cambria Math" w:eastAsia="宋体" w:cs="Times New Roman"/>
                <w:b w:val="0"/>
                <w:i w:val="0"/>
                <w:iCs/>
                <w:color w:val="auto"/>
                <w:sz w:val="24"/>
                <w:szCs w:val="24"/>
                <w:highlight w:val="none"/>
              </w:rPr>
              <m:t>1j1q</m:t>
            </m:r>
            <m:ctrlPr>
              <w:rPr>
                <w:rFonts w:hint="default" w:ascii="Cambria Math" w:hAnsi="Cambria Math" w:eastAsia="宋体" w:cs="Times New Roman"/>
                <w:iCs/>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oMath>
      <w:r>
        <w:rPr>
          <w:rFonts w:hint="default" w:ascii="Times New Roman" w:hAnsi="Times New Roman" w:eastAsia="宋体" w:cs="Times New Roman"/>
          <w:color w:val="auto"/>
          <w:sz w:val="24"/>
          <w:szCs w:val="24"/>
          <w:highlight w:val="none"/>
        </w:rPr>
        <w:t>的比例较大，其中j=1，2，q=1，2，3，4，这里暂时设定国家1代表中国，国家2代表除中国以外的其他国家。在国民经济循环的W′→G′环节，我国生产资料和生活资料的卖对国外市场的依赖程度相对较高，也就是说，</w:t>
      </w:r>
      <m:oMath>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的比例较大。对国际市场依赖程度高的发展格局稳定性低，金融危机对我国经济循环造成的冲击说明了这一点。金融危机之后，世界经济持续低迷，经济全球化遭遇逆流，贸易保护主义抬头，我国经济循环的G→P</w:t>
      </w:r>
      <w:r>
        <w:rPr>
          <w:rFonts w:hint="default" w:ascii="Times New Roman" w:hAnsi="Times New Roman" w:eastAsia="宋体" w:cs="Times New Roman"/>
          <w:color w:val="auto"/>
          <w:sz w:val="24"/>
          <w:szCs w:val="24"/>
          <w:highlight w:val="none"/>
          <w:vertAlign w:val="subscript"/>
        </w:rPr>
        <w:t>m</w:t>
      </w:r>
      <w:r>
        <w:rPr>
          <w:rFonts w:hint="default" w:ascii="Times New Roman" w:hAnsi="Times New Roman" w:eastAsia="宋体" w:cs="Times New Roman"/>
          <w:color w:val="auto"/>
          <w:sz w:val="24"/>
          <w:szCs w:val="24"/>
          <w:highlight w:val="none"/>
        </w:rPr>
        <w:t>、W′→G′遇到较严重的阻碍，结构性过剩和经济增速放慢是两个主要表现。</w:t>
      </w:r>
    </w:p>
    <w:p w14:paraId="317DA3BC">
      <w:pPr>
        <w:pageBreakBefore w:val="0"/>
        <w:kinsoku/>
        <w:wordWrap w:val="0"/>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16" w:name="_Toc40031137"/>
      <w:bookmarkStart w:id="517" w:name="_Hlk29824277"/>
      <w:r>
        <w:rPr>
          <w:rFonts w:hint="default" w:ascii="Times New Roman" w:hAnsi="Times New Roman" w:eastAsia="宋体" w:cs="Times New Roman"/>
          <w:color w:val="auto"/>
          <w:sz w:val="24"/>
          <w:szCs w:val="24"/>
          <w:highlight w:val="none"/>
        </w:rPr>
        <w:t>构建新发展格局能够从根本上扭转这种被动局面。以国内大循环为主体就是要充分挖掘内需潜力，增加</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Cs/>
                <w:color w:val="auto"/>
                <w:sz w:val="24"/>
                <w:szCs w:val="24"/>
                <w:highlight w:val="none"/>
              </w:rPr>
            </m:ctrlPr>
          </m:sSubPr>
          <m:e>
            <m:r>
              <m:rPr>
                <m:nor/>
              </m:rPr>
              <w:rPr>
                <w:rFonts w:hint="default" w:ascii="Cambria Math" w:hAnsi="Cambria Math" w:eastAsia="宋体" w:cs="Times New Roman"/>
                <w:i/>
                <w:color w:val="auto"/>
                <w:sz w:val="24"/>
                <w:szCs w:val="24"/>
                <w:highlight w:val="none"/>
              </w:rPr>
              <m:t>β</m:t>
            </m:r>
            <m:ctrlPr>
              <w:rPr>
                <w:rFonts w:hint="default" w:ascii="Cambria Math" w:hAnsi="Cambria Math" w:eastAsia="宋体" w:cs="Times New Roman"/>
                <w:iCs/>
                <w:color w:val="auto"/>
                <w:sz w:val="24"/>
                <w:szCs w:val="24"/>
                <w:highlight w:val="none"/>
              </w:rPr>
            </m:ctrlPr>
          </m:e>
          <m:sub>
            <m:r>
              <m:rPr>
                <m:nor/>
                <m:sty m:val="p"/>
              </m:rPr>
              <w:rPr>
                <w:rFonts w:hint="default" w:ascii="Cambria Math" w:hAnsi="Cambria Math" w:eastAsia="宋体" w:cs="Times New Roman"/>
                <w:b w:val="0"/>
                <w:i w:val="0"/>
                <w:iCs/>
                <w:color w:val="auto"/>
                <w:sz w:val="24"/>
                <w:szCs w:val="24"/>
                <w:highlight w:val="none"/>
              </w:rPr>
              <m:t>1j1q</m:t>
            </m:r>
            <m:ctrlPr>
              <w:rPr>
                <w:rFonts w:hint="default" w:ascii="Cambria Math" w:hAnsi="Cambria Math" w:eastAsia="宋体" w:cs="Times New Roman"/>
                <w:iCs/>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2j1q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oMath>
      <w:r>
        <w:rPr>
          <w:rFonts w:hint="default" w:ascii="Times New Roman" w:hAnsi="Times New Roman" w:eastAsia="宋体" w:cs="Times New Roman"/>
          <w:color w:val="auto"/>
          <w:sz w:val="24"/>
          <w:szCs w:val="24"/>
          <w:highlight w:val="none"/>
        </w:rPr>
        <w:t>和</w:t>
      </w:r>
      <m:oMath>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I</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的比例，降低生产资料特别是高端生产资料的买与生活资料和生产资料的卖对国外市场的依赖程度，让交错的资本循环和商品流通更多依托国内市场。经济全球化是时代潮流，任何一个国家的社会再生产都离不开进出口，价值补偿与实物补偿都需要通过国际交换实现（如图1和图2所示）。因此，构建新发展格局不仅要“以国内大循环为主体”，而且要“国内国际双循环相互促进”。国内大循环畅通有利于吸引全球资源要素到我国进行再生产，有利于更好利用国内国际两种资源。解决“卡脖子”技术难题，实现高水平的国内大循环畅通，可以增强国际经济循环对国内经济循环的依存度，使国内国际两个市场更好联通。</w:t>
      </w:r>
    </w:p>
    <w:p w14:paraId="56E8454E">
      <w:pPr>
        <w:pStyle w:val="3"/>
        <w:pageBreakBefore w:val="0"/>
        <w:kinsoku/>
        <w:overflowPunct/>
        <w:topLinePunct w:val="0"/>
        <w:bidi w:val="0"/>
        <w:spacing w:before="0" w:beforeLines="0" w:after="0" w:afterLines="0" w:line="400" w:lineRule="exact"/>
        <w:ind w:firstLine="480" w:firstLineChars="200"/>
        <w:rPr>
          <w:rFonts w:hint="default" w:ascii="Times New Roman" w:hAnsi="Times New Roman" w:eastAsia="宋体" w:cs="Times New Roman"/>
          <w:color w:val="auto"/>
          <w:sz w:val="24"/>
          <w:szCs w:val="24"/>
          <w:highlight w:val="none"/>
        </w:rPr>
      </w:pPr>
      <w:bookmarkStart w:id="518" w:name="_Toc1808895479"/>
      <w:bookmarkStart w:id="519" w:name="_Toc1959578886"/>
      <w:bookmarkStart w:id="520" w:name="_Toc1992193642"/>
      <w:bookmarkStart w:id="521" w:name="_Toc26086"/>
      <w:bookmarkStart w:id="522" w:name="_Toc2127713266"/>
      <w:bookmarkStart w:id="523" w:name="_Toc1415179152"/>
      <w:r>
        <w:rPr>
          <w:rFonts w:hint="default" w:ascii="Times New Roman" w:hAnsi="Times New Roman" w:eastAsia="宋体" w:cs="Times New Roman"/>
          <w:color w:val="auto"/>
          <w:sz w:val="24"/>
          <w:szCs w:val="24"/>
          <w:highlight w:val="none"/>
        </w:rPr>
        <w:t>三、</w:t>
      </w:r>
      <w:bookmarkEnd w:id="516"/>
      <w:r>
        <w:rPr>
          <w:rFonts w:hint="default" w:ascii="Times New Roman" w:hAnsi="Times New Roman" w:eastAsia="宋体" w:cs="Times New Roman"/>
          <w:color w:val="auto"/>
          <w:sz w:val="24"/>
          <w:szCs w:val="24"/>
          <w:highlight w:val="none"/>
        </w:rPr>
        <w:t>产能过剩、循环受阻及其对经济增长的影响</w:t>
      </w:r>
      <w:bookmarkEnd w:id="518"/>
      <w:bookmarkEnd w:id="519"/>
      <w:bookmarkEnd w:id="520"/>
      <w:bookmarkEnd w:id="521"/>
      <w:bookmarkEnd w:id="522"/>
      <w:bookmarkEnd w:id="523"/>
    </w:p>
    <w:p w14:paraId="27B7AB5C">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rPr>
        <w:t>经济循环畅通无阻</w:t>
      </w:r>
      <w:r>
        <w:rPr>
          <w:rFonts w:hint="default" w:ascii="Times New Roman" w:hAnsi="Times New Roman" w:eastAsia="宋体" w:cs="Times New Roman"/>
          <w:color w:val="auto"/>
          <w:sz w:val="24"/>
          <w:szCs w:val="24"/>
          <w:highlight w:val="none"/>
          <w:lang w:eastAsia="zh-Hans"/>
        </w:rPr>
        <w:t>意味着，生产的</w:t>
      </w:r>
      <w:r>
        <w:rPr>
          <w:rFonts w:hint="default" w:ascii="Times New Roman" w:hAnsi="Times New Roman" w:eastAsia="宋体" w:cs="Times New Roman"/>
          <w:color w:val="auto"/>
          <w:sz w:val="24"/>
          <w:szCs w:val="24"/>
          <w:highlight w:val="none"/>
        </w:rPr>
        <w:t>剩余价值全部实现，投入的资本全部利用，</w:t>
      </w:r>
      <w:r>
        <w:rPr>
          <w:rFonts w:hint="default" w:ascii="Times New Roman" w:hAnsi="Times New Roman" w:eastAsia="宋体" w:cs="Times New Roman"/>
          <w:color w:val="auto"/>
          <w:sz w:val="24"/>
          <w:szCs w:val="24"/>
          <w:highlight w:val="none"/>
          <w:lang w:eastAsia="zh-Hans"/>
        </w:rPr>
        <w:t>商品流通中彼此分离的卖、买如流水般统一，资本的直接生产过程与流通过程无障碍地相互转化，这要求拓展的社会再生产平衡公式成立。在资本主义主导的世界经济体系，经济循环畅通面临一个主要障碍——生产过剩。</w:t>
      </w:r>
      <w:r>
        <w:rPr>
          <w:rFonts w:hint="default" w:ascii="Times New Roman" w:hAnsi="Times New Roman" w:eastAsia="宋体" w:cs="Times New Roman"/>
          <w:color w:val="auto"/>
          <w:kern w:val="0"/>
          <w:sz w:val="24"/>
          <w:szCs w:val="24"/>
          <w:highlight w:val="none"/>
          <w:lang w:bidi="ar"/>
        </w:rPr>
        <w:t>竞争使</w:t>
      </w:r>
      <w:r>
        <w:rPr>
          <w:rFonts w:hint="default" w:ascii="Times New Roman" w:hAnsi="Times New Roman" w:eastAsia="宋体" w:cs="Times New Roman"/>
          <w:color w:val="auto"/>
          <w:sz w:val="24"/>
          <w:szCs w:val="24"/>
          <w:highlight w:val="none"/>
        </w:rPr>
        <w:t>资本主义生产的内在规律作为外在的强制规律发生作用必然引起生产过剩，经济循环可能依次在W′→G′、P→W′、G→P</w:t>
      </w:r>
      <w:r>
        <w:rPr>
          <w:rFonts w:hint="default" w:ascii="Times New Roman" w:hAnsi="Times New Roman" w:eastAsia="宋体" w:cs="Times New Roman"/>
          <w:color w:val="auto"/>
          <w:sz w:val="24"/>
          <w:szCs w:val="24"/>
          <w:highlight w:val="none"/>
          <w:vertAlign w:val="subscript"/>
        </w:rPr>
        <w:t>m</w:t>
      </w:r>
      <w:r>
        <w:rPr>
          <w:rFonts w:hint="default" w:ascii="Times New Roman" w:hAnsi="Times New Roman" w:eastAsia="宋体" w:cs="Times New Roman"/>
          <w:color w:val="auto"/>
          <w:sz w:val="24"/>
          <w:szCs w:val="24"/>
          <w:highlight w:val="none"/>
        </w:rPr>
        <w:t>（A）三个环节停顿</w:t>
      </w:r>
      <w:r>
        <w:rPr>
          <w:rFonts w:hint="default" w:ascii="Times New Roman" w:hAnsi="Times New Roman" w:eastAsia="宋体" w:cs="Times New Roman"/>
          <w:color w:val="auto"/>
          <w:kern w:val="0"/>
          <w:sz w:val="24"/>
          <w:szCs w:val="24"/>
          <w:highlight w:val="none"/>
          <w:lang w:bidi="ar"/>
        </w:rPr>
        <w:t>。</w:t>
      </w:r>
      <w:r>
        <w:rPr>
          <w:rFonts w:hint="default" w:ascii="Times New Roman" w:hAnsi="Times New Roman" w:eastAsia="宋体" w:cs="Times New Roman"/>
          <w:color w:val="auto"/>
          <w:sz w:val="24"/>
          <w:szCs w:val="24"/>
          <w:highlight w:val="none"/>
        </w:rPr>
        <w:t>生产过剩、</w:t>
      </w:r>
      <w:r>
        <w:rPr>
          <w:rFonts w:hint="default" w:ascii="Times New Roman" w:hAnsi="Times New Roman" w:eastAsia="宋体" w:cs="Times New Roman"/>
          <w:color w:val="auto"/>
          <w:kern w:val="0"/>
          <w:sz w:val="24"/>
          <w:szCs w:val="24"/>
          <w:highlight w:val="none"/>
          <w:lang w:bidi="ar"/>
        </w:rPr>
        <w:t>经济循环受阻</w:t>
      </w:r>
      <w:r>
        <w:rPr>
          <w:rFonts w:hint="default" w:ascii="Times New Roman" w:hAnsi="Times New Roman" w:eastAsia="宋体" w:cs="Times New Roman"/>
          <w:color w:val="auto"/>
          <w:sz w:val="24"/>
          <w:szCs w:val="24"/>
          <w:highlight w:val="none"/>
        </w:rPr>
        <w:t>给经济增长带来不利影响。</w:t>
      </w:r>
    </w:p>
    <w:p w14:paraId="4C35C316">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（一）产能过剩的成因</w:t>
      </w:r>
    </w:p>
    <w:p w14:paraId="4589F49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由于生产能力充分利用所生产的产品价值因个人消费需求或生产消费需求相对不足而不能正常实现，因此生产能力出现部分闲置即产能过剩。产能过剩和商品过剩是生产过剩的两种存在形式，它们有着相同的成因。</w:t>
      </w:r>
    </w:p>
    <w:p w14:paraId="58791747">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z w:val="24"/>
          <w:szCs w:val="24"/>
          <w:highlight w:val="none"/>
        </w:rPr>
        <w:t>1.理论阐释</w:t>
      </w:r>
    </w:p>
    <w:p w14:paraId="7A9C0E1F">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24" w:name="_Hlk148735513"/>
      <w:r>
        <w:rPr>
          <w:rFonts w:hint="default" w:ascii="Times New Roman" w:hAnsi="Times New Roman" w:eastAsia="宋体" w:cs="Times New Roman"/>
          <w:color w:val="auto"/>
          <w:sz w:val="24"/>
          <w:szCs w:val="24"/>
          <w:highlight w:val="none"/>
          <w:lang w:eastAsia="zh-Hans"/>
        </w:rPr>
        <w:t>劳动生产力提高型资本积累日益成为当今主流，社会再生产失衡主要表现为生产过剩。生产过剩的可能性包含在买卖的对立统一之中，生产过剩的现实性从资本运动、竞争中引出。资本的逐利性与竞争的强制规律导致生产能力无限扩大与群众消费有限增长</w:t>
      </w:r>
      <w:r>
        <w:rPr>
          <w:rFonts w:hint="default" w:ascii="Times New Roman" w:hAnsi="Times New Roman" w:eastAsia="宋体" w:cs="Times New Roman"/>
          <w:color w:val="auto"/>
          <w:sz w:val="24"/>
          <w:szCs w:val="24"/>
          <w:highlight w:val="none"/>
        </w:rPr>
        <w:t>两种结果，两者的矛盾首先表现为工人生活必需品的生产过剩，这进一步引起高端生活资料生产过剩，机器设备、原材料等生产资料生产过剩。</w:t>
      </w:r>
      <w:bookmarkEnd w:id="524"/>
    </w:p>
    <w:p w14:paraId="518FA191">
      <w:pPr>
        <w:pageBreakBefore w:val="0"/>
        <w:kinsoku/>
        <w:overflowPunct/>
        <w:topLinePunct w:val="0"/>
        <w:bidi w:val="0"/>
        <w:spacing w:line="400" w:lineRule="exact"/>
        <w:ind w:firstLine="480" w:firstLineChars="200"/>
        <w:rPr>
          <w:rFonts w:hint="default" w:ascii="Times New Roman" w:hAnsi="Times New Roman" w:eastAsia="宋体" w:cs="Times New Roman"/>
          <w:color w:val="auto"/>
          <w:kern w:val="0"/>
          <w:sz w:val="24"/>
          <w:szCs w:val="24"/>
          <w:highlight w:val="none"/>
          <w:lang w:eastAsia="zh-Hans"/>
        </w:rPr>
      </w:pPr>
      <w:r>
        <w:rPr>
          <w:rFonts w:hint="default" w:ascii="Times New Roman" w:hAnsi="Times New Roman" w:eastAsia="宋体" w:cs="Times New Roman"/>
          <w:color w:val="auto"/>
          <w:sz w:val="24"/>
          <w:szCs w:val="24"/>
          <w:highlight w:val="none"/>
        </w:rPr>
        <w:t>由社会必要劳动时间决定市场价值的规律可知，率先采用新技术的企业因其产品的个别价值低于市场价值而获取超额剩余价值，</w:t>
      </w:r>
      <w:r>
        <w:rPr>
          <w:rFonts w:hint="default" w:ascii="Times New Roman" w:hAnsi="Times New Roman" w:eastAsia="宋体" w:cs="Times New Roman"/>
          <w:color w:val="auto"/>
          <w:kern w:val="0"/>
          <w:sz w:val="24"/>
          <w:szCs w:val="24"/>
          <w:highlight w:val="none"/>
        </w:rPr>
        <w:t>“价值由劳动时间决定这同一规律，……作为竞争的强制规律，迫使他的竞争者也采用新的生产方式。”</w:t>
      </w:r>
      <w:r>
        <w:rPr>
          <w:rStyle w:val="20"/>
          <w:rFonts w:hint="default" w:ascii="Times New Roman" w:hAnsi="Times New Roman" w:eastAsia="宋体" w:cs="Times New Roman"/>
          <w:color w:val="auto"/>
          <w:kern w:val="0"/>
          <w:sz w:val="24"/>
          <w:szCs w:val="24"/>
          <w:highlight w:val="none"/>
        </w:rPr>
        <w:footnoteReference w:id="771"/>
      </w:r>
      <w:r>
        <w:rPr>
          <w:rFonts w:hint="default" w:ascii="Times New Roman" w:hAnsi="Times New Roman" w:eastAsia="宋体" w:cs="Times New Roman"/>
          <w:color w:val="auto"/>
          <w:kern w:val="0"/>
          <w:sz w:val="24"/>
          <w:szCs w:val="24"/>
          <w:highlight w:val="none"/>
        </w:rPr>
        <w:t>为了不断更新机器设备从而获取超额剩余价值，企业必需进行资本积累，并将剩余价值越来越多地用于追加固定资本。其结果是资本能力的提高与资本规模的扩大，以及</w:t>
      </w:r>
      <w:r>
        <w:rPr>
          <w:rFonts w:hint="default" w:ascii="Times New Roman" w:hAnsi="Times New Roman" w:eastAsia="宋体" w:cs="Times New Roman"/>
          <w:color w:val="auto"/>
          <w:sz w:val="24"/>
          <w:szCs w:val="24"/>
          <w:highlight w:val="none"/>
        </w:rPr>
        <w:t>同资本的能力和规模成比例地生产出相对过剩的工人人口。</w:t>
      </w:r>
      <w:r>
        <w:rPr>
          <w:rFonts w:hint="default" w:ascii="Times New Roman" w:hAnsi="Times New Roman" w:eastAsia="宋体" w:cs="Times New Roman"/>
          <w:color w:val="auto"/>
          <w:kern w:val="0"/>
          <w:sz w:val="24"/>
          <w:szCs w:val="24"/>
          <w:highlight w:val="none"/>
        </w:rPr>
        <w:t>相对人口过剩表现为生产、维持、发展和延续劳动力所必要的劳动时间与劳动力数量的乘积大于资本增殖所需要的劳动力价值总量。与其他商品不同，劳动力的市场价格不会长时间降到价值以下，否则劳动力就只能在萎缩的状态下维持和发挥。</w:t>
      </w:r>
      <w:bookmarkStart w:id="525" w:name="_Hlk148735860"/>
      <w:r>
        <w:rPr>
          <w:rFonts w:hint="default" w:ascii="Times New Roman" w:hAnsi="Times New Roman" w:eastAsia="宋体" w:cs="Times New Roman"/>
          <w:color w:val="auto"/>
          <w:kern w:val="0"/>
          <w:sz w:val="24"/>
          <w:szCs w:val="24"/>
          <w:highlight w:val="none"/>
          <w:lang w:eastAsia="zh-Hans"/>
        </w:rPr>
        <w:t>因此，从长期来看，部分劳动力商品不能转化为货币与</w:t>
      </w:r>
      <w:r>
        <w:rPr>
          <w:rFonts w:hint="default" w:ascii="Times New Roman" w:hAnsi="Times New Roman" w:eastAsia="宋体" w:cs="Times New Roman"/>
          <w:color w:val="auto"/>
          <w:kern w:val="0"/>
          <w:sz w:val="24"/>
          <w:szCs w:val="24"/>
          <w:highlight w:val="none"/>
        </w:rPr>
        <w:t>劳动力的市场价格维持在劳动力价值这个最低限度</w:t>
      </w:r>
      <w:r>
        <w:rPr>
          <w:rFonts w:hint="default" w:ascii="Times New Roman" w:hAnsi="Times New Roman" w:eastAsia="宋体" w:cs="Times New Roman"/>
          <w:color w:val="auto"/>
          <w:kern w:val="0"/>
          <w:sz w:val="24"/>
          <w:szCs w:val="24"/>
          <w:highlight w:val="none"/>
          <w:lang w:eastAsia="zh-Hans"/>
        </w:rPr>
        <w:t>并存</w:t>
      </w:r>
      <w:r>
        <w:rPr>
          <w:rFonts w:hint="default" w:ascii="Times New Roman" w:hAnsi="Times New Roman" w:eastAsia="宋体" w:cs="Times New Roman"/>
          <w:color w:val="auto"/>
          <w:kern w:val="0"/>
          <w:sz w:val="24"/>
          <w:szCs w:val="24"/>
          <w:highlight w:val="none"/>
        </w:rPr>
        <w:t>。并且，</w:t>
      </w:r>
      <w:r>
        <w:rPr>
          <w:rFonts w:hint="default" w:ascii="Times New Roman" w:hAnsi="Times New Roman" w:eastAsia="宋体" w:cs="Times New Roman"/>
          <w:color w:val="auto"/>
          <w:sz w:val="24"/>
          <w:szCs w:val="24"/>
          <w:highlight w:val="none"/>
        </w:rPr>
        <w:t>随着技术进步、劳动生产力提高，</w:t>
      </w:r>
      <w:r>
        <w:rPr>
          <w:rFonts w:hint="default" w:ascii="Times New Roman" w:hAnsi="Times New Roman" w:eastAsia="宋体" w:cs="Times New Roman"/>
          <w:color w:val="auto"/>
          <w:kern w:val="0"/>
          <w:sz w:val="24"/>
          <w:szCs w:val="24"/>
          <w:highlight w:val="none"/>
          <w:lang w:eastAsia="zh-Hans"/>
        </w:rPr>
        <w:t>劳动力价值相对于剩余价值下降。</w:t>
      </w:r>
      <w:bookmarkEnd w:id="525"/>
    </w:p>
    <w:p w14:paraId="2FB0F2C4">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26" w:name="_Hlk148735910"/>
      <w:r>
        <w:rPr>
          <w:rFonts w:hint="default" w:ascii="Times New Roman" w:hAnsi="Times New Roman" w:eastAsia="宋体" w:cs="Times New Roman"/>
          <w:color w:val="auto"/>
          <w:sz w:val="24"/>
          <w:szCs w:val="24"/>
          <w:highlight w:val="none"/>
        </w:rPr>
        <w:t>技术进步型资本积累伴随的生产能力提高与实际工资相对减少，是四大部类相继生产过剩的主要原因。一方面，随着劳动生产力提高，单位活劳动</w:t>
      </w:r>
      <w:r>
        <w:rPr>
          <w:rFonts w:hint="default" w:ascii="Times New Roman" w:hAnsi="Times New Roman" w:eastAsia="宋体" w:cs="Times New Roman"/>
          <w:color w:val="auto"/>
          <w:sz w:val="24"/>
          <w:szCs w:val="24"/>
          <w:highlight w:val="none"/>
          <w:lang w:eastAsia="zh-Hans"/>
        </w:rPr>
        <w:t>转移</w:t>
      </w:r>
      <w:r>
        <w:rPr>
          <w:rFonts w:hint="default" w:ascii="Times New Roman" w:hAnsi="Times New Roman" w:eastAsia="宋体" w:cs="Times New Roman"/>
          <w:color w:val="auto"/>
          <w:sz w:val="24"/>
          <w:szCs w:val="24"/>
          <w:highlight w:val="none"/>
        </w:rPr>
        <w:t>的不变资本</w:t>
      </w:r>
      <w:r>
        <w:rPr>
          <w:rFonts w:hint="default" w:ascii="Times New Roman" w:hAnsi="Times New Roman" w:eastAsia="宋体" w:cs="Times New Roman"/>
          <w:color w:val="auto"/>
          <w:sz w:val="24"/>
          <w:szCs w:val="24"/>
          <w:highlight w:val="none"/>
          <w:lang w:eastAsia="zh-Hans"/>
        </w:rPr>
        <w:t>价值</w:t>
      </w:r>
      <w:r>
        <w:rPr>
          <w:rFonts w:hint="default" w:ascii="Times New Roman" w:hAnsi="Times New Roman" w:eastAsia="宋体" w:cs="Times New Roman"/>
          <w:color w:val="auto"/>
          <w:sz w:val="24"/>
          <w:szCs w:val="24"/>
          <w:highlight w:val="none"/>
        </w:rPr>
        <w:t>增加从而生产的产品价值增加；另一方面，单位剩余价值中用于追加可变资本的部分与</w:t>
      </w:r>
      <w:r>
        <w:rPr>
          <w:rFonts w:hint="default" w:ascii="Times New Roman" w:hAnsi="Times New Roman" w:eastAsia="宋体" w:cs="Times New Roman"/>
          <w:color w:val="auto"/>
          <w:sz w:val="24"/>
          <w:szCs w:val="24"/>
          <w:highlight w:val="none"/>
          <w:lang w:eastAsia="zh-Hans"/>
        </w:rPr>
        <w:t>单位活劳动形成的新价值中的劳动力价值部分</w:t>
      </w:r>
      <w:r>
        <w:rPr>
          <w:rFonts w:hint="default" w:ascii="Times New Roman" w:hAnsi="Times New Roman" w:eastAsia="宋体" w:cs="Times New Roman"/>
          <w:color w:val="auto"/>
          <w:sz w:val="24"/>
          <w:szCs w:val="24"/>
          <w:highlight w:val="none"/>
        </w:rPr>
        <w:t>下降。</w:t>
      </w:r>
      <w:bookmarkEnd w:id="526"/>
      <w:r>
        <w:rPr>
          <w:rFonts w:hint="default" w:ascii="Times New Roman" w:hAnsi="Times New Roman" w:eastAsia="宋体" w:cs="Times New Roman"/>
          <w:color w:val="auto"/>
          <w:sz w:val="24"/>
          <w:szCs w:val="24"/>
          <w:highlight w:val="none"/>
        </w:rPr>
        <w:t>在这情况下，低端生活资料的总产品价值大于实际工资决定的有支付能力的社会需求，即</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13</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&gt;</m:t>
        </m:r>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iCs/>
                <w:color w:val="auto"/>
                <w:sz w:val="24"/>
                <w:szCs w:val="24"/>
                <w:highlight w:val="none"/>
              </w:rPr>
              <m:t>(</m:t>
            </m:r>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13pq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13pq</m:t>
            </m:r>
            <m:ctrlPr>
              <w:rPr>
                <w:rFonts w:hint="default" w:ascii="Cambria Math" w:hAnsi="Cambria Math" w:eastAsia="宋体" w:cs="Times New Roman"/>
                <w:i/>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p>
          <m:sSupPr>
            <m:ctrlPr>
              <w:rPr>
                <w:rFonts w:hint="default" w:ascii="Cambria Math" w:hAnsi="Cambria Math" w:eastAsia="宋体" w:cs="Times New Roman"/>
                <w:i/>
                <w:color w:val="auto"/>
                <w:sz w:val="24"/>
                <w:szCs w:val="24"/>
                <w:highlight w:val="none"/>
              </w:rPr>
            </m:ctrlPr>
          </m:sSupPr>
          <m:e>
            <m:r>
              <m:rPr>
                <m:nor/>
                <m:sty m:val="bi"/>
              </m:rPr>
              <w:rPr>
                <w:rFonts w:hint="default" w:ascii="Cambria Math" w:hAnsi="Cambria Math" w:eastAsia="宋体" w:cs="Times New Roman"/>
                <w:b/>
                <w:bCs/>
                <w:i/>
                <w:color w:val="auto"/>
                <w:sz w:val="24"/>
                <w:szCs w:val="24"/>
                <w:highlight w:val="none"/>
              </w:rPr>
              <m:t>y</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23</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&gt;</m:t>
        </m:r>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iCs/>
                <w:color w:val="auto"/>
                <w:sz w:val="24"/>
                <w:szCs w:val="24"/>
                <w:highlight w:val="none"/>
              </w:rPr>
              <m:t>(</m:t>
            </m:r>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23pq</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23pq</m:t>
            </m:r>
            <m:ctrlPr>
              <w:rPr>
                <w:rFonts w:hint="default" w:ascii="Cambria Math" w:hAnsi="Cambria Math" w:eastAsia="宋体" w:cs="Times New Roman"/>
                <w:i/>
                <w:color w:val="auto"/>
                <w:sz w:val="24"/>
                <w:szCs w:val="24"/>
                <w:highlight w:val="none"/>
              </w:rPr>
            </m:ctrlPr>
          </m:sub>
        </m:sSub>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p>
          <m:sSupPr>
            <m:ctrlPr>
              <w:rPr>
                <w:rFonts w:hint="default" w:ascii="Cambria Math" w:hAnsi="Cambria Math" w:eastAsia="宋体" w:cs="Times New Roman"/>
                <w:i/>
                <w:color w:val="auto"/>
                <w:sz w:val="24"/>
                <w:szCs w:val="24"/>
                <w:highlight w:val="none"/>
              </w:rPr>
            </m:ctrlPr>
          </m:sSupPr>
          <m:e>
            <m:r>
              <m:rPr>
                <m:nor/>
                <m:sty m:val="bi"/>
              </m:rPr>
              <w:rPr>
                <w:rFonts w:hint="default" w:ascii="Cambria Math" w:hAnsi="Cambria Math" w:eastAsia="宋体" w:cs="Times New Roman"/>
                <w:b/>
                <w:bCs/>
                <w:i/>
                <w:color w:val="auto"/>
                <w:sz w:val="24"/>
                <w:szCs w:val="24"/>
                <w:highlight w:val="none"/>
              </w:rPr>
              <m:t>y</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。在竞争机制的作用下，3部类以低于价值的市场价格出售商品，这导致部分甚至全部剩余价值无法实现，即</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w:rPr>
                    <w:rFonts w:hint="default" w:ascii="Cambria Math" w:hAnsi="Cambria Math" w:eastAsia="宋体" w:cs="Times New Roman"/>
                    <w:color w:val="auto"/>
                    <w:sz w:val="24"/>
                    <w:szCs w:val="24"/>
                    <w:highlight w:val="none"/>
                  </w:rPr>
                  <m:t>θ</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p3</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&lt;0</m:t>
        </m:r>
      </m:oMath>
      <w:r>
        <w:rPr>
          <w:rFonts w:hint="default" w:ascii="Times New Roman" w:hAnsi="Times New Roman" w:eastAsia="宋体" w:cs="Times New Roman"/>
          <w:color w:val="auto"/>
          <w:sz w:val="24"/>
          <w:szCs w:val="24"/>
          <w:highlight w:val="none"/>
        </w:rPr>
        <w:t>。因剩余价值实现率下降以及剩余价值率增速低于固定资本有机构成增速，高端生活资料的总产品价值大于由用于资本家消费的剩余价值决定的总需求，从而</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w:rPr>
                    <w:rFonts w:hint="default" w:ascii="Cambria Math" w:hAnsi="Cambria Math" w:eastAsia="宋体" w:cs="Times New Roman"/>
                    <w:color w:val="auto"/>
                    <w:sz w:val="24"/>
                    <w:szCs w:val="24"/>
                    <w:highlight w:val="none"/>
                  </w:rPr>
                  <m:t>θ</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p4</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&lt;0</m:t>
        </m:r>
      </m:oMath>
      <w:r>
        <w:rPr>
          <w:rFonts w:hint="default" w:ascii="Times New Roman" w:hAnsi="Times New Roman" w:eastAsia="宋体" w:cs="Times New Roman"/>
          <w:color w:val="auto"/>
          <w:sz w:val="24"/>
          <w:szCs w:val="24"/>
          <w:highlight w:val="none"/>
        </w:rPr>
        <w:t>。在接下来的再生产过程中，3部类与4部类压缩生产，降低固定资本利用率，即</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i1p3</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&lt;0</m:t>
        </m:r>
      </m:oMath>
      <w:r>
        <w:rPr>
          <w:rFonts w:hint="default" w:ascii="Times New Roman" w:hAnsi="Times New Roman" w:eastAsia="宋体" w:cs="Times New Roman"/>
          <w:color w:val="auto"/>
          <w:sz w:val="24"/>
          <w:szCs w:val="24"/>
          <w:highlight w:val="none"/>
        </w:rPr>
        <w:t>，</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i1p4</m:t>
            </m:r>
            <m:ctrlPr>
              <w:rPr>
                <w:rFonts w:hint="default" w:ascii="Cambria Math" w:hAnsi="Cambria Math" w:eastAsia="宋体" w:cs="Times New Roman"/>
                <w:i/>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&lt;0</m:t>
        </m:r>
      </m:oMath>
      <w:r>
        <w:rPr>
          <w:rFonts w:hint="default" w:ascii="Times New Roman" w:hAnsi="Times New Roman" w:eastAsia="宋体" w:cs="Times New Roman"/>
          <w:color w:val="auto"/>
          <w:sz w:val="24"/>
          <w:szCs w:val="24"/>
          <w:highlight w:val="none"/>
        </w:rPr>
        <w:t>。3部类与4部类出现产能过剩的直接结果是，需要实物更新的固定资本减少，流动不变资本与可变资本的需求减少，创造的剩余价值减少，这进一步引起四大部类的生产过剩。</w:t>
      </w:r>
      <w:r>
        <w:rPr>
          <w:rStyle w:val="20"/>
          <w:rFonts w:hint="default" w:ascii="Times New Roman" w:hAnsi="Times New Roman" w:eastAsia="宋体" w:cs="Times New Roman"/>
          <w:color w:val="auto"/>
          <w:sz w:val="24"/>
          <w:szCs w:val="24"/>
          <w:highlight w:val="none"/>
        </w:rPr>
        <w:footnoteReference w:id="772"/>
      </w:r>
      <w:r>
        <w:rPr>
          <w:rFonts w:hint="default" w:ascii="Times New Roman" w:hAnsi="Times New Roman" w:eastAsia="宋体" w:cs="Times New Roman"/>
          <w:color w:val="auto"/>
          <w:sz w:val="24"/>
          <w:szCs w:val="24"/>
          <w:highlight w:val="none"/>
        </w:rPr>
        <w:t>正如马克思在批判李嘉图的积累理论时所指出的，“棉布再生产的这种停滞还影响一批别的生产者：纺纱者、棉花种植业者、纱锭和织机的生产者、铁和煤的生产者等等……即使在他们自己的生产领域里没有生产过剩……这种情况也会发生”</w:t>
      </w:r>
      <w:r>
        <w:rPr>
          <w:rStyle w:val="20"/>
          <w:rFonts w:hint="default" w:ascii="Times New Roman" w:hAnsi="Times New Roman" w:eastAsia="宋体" w:cs="Times New Roman"/>
          <w:color w:val="auto"/>
          <w:sz w:val="24"/>
          <w:szCs w:val="24"/>
          <w:highlight w:val="none"/>
        </w:rPr>
        <w:footnoteReference w:id="773"/>
      </w:r>
      <w:r>
        <w:rPr>
          <w:rFonts w:hint="default" w:ascii="Times New Roman" w:hAnsi="Times New Roman" w:eastAsia="宋体" w:cs="Times New Roman"/>
          <w:color w:val="auto"/>
          <w:sz w:val="24"/>
          <w:szCs w:val="24"/>
          <w:highlight w:val="none"/>
        </w:rPr>
        <w:t>。</w:t>
      </w:r>
    </w:p>
    <w:p w14:paraId="659CB28F">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z w:val="24"/>
          <w:szCs w:val="24"/>
          <w:highlight w:val="none"/>
        </w:rPr>
        <w:t>2.数值模拟</w:t>
      </w:r>
    </w:p>
    <w:p w14:paraId="686CEA03">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为了直观地呈现四大部类产能过剩的形成过程，我们基于拓展的马克思扩大再生产公式进行了数值模拟，如图3所示。关于数值模拟做几点说明。第一，当期的固定资本利用率根据上一期的供求进行调整。第二，根据拓展的扩大再生产平衡条件，我们设定：</w:t>
      </w:r>
      <w:r>
        <w:rPr>
          <w:rFonts w:hint="default" w:ascii="Times New Roman" w:hAnsi="Times New Roman" w:eastAsia="宋体" w:cs="Times New Roman"/>
          <w:i/>
          <w:iCs/>
          <w:color w:val="auto"/>
          <w:sz w:val="24"/>
          <w:szCs w:val="24"/>
          <w:highlight w:val="none"/>
        </w:rPr>
        <w:t>δ</w:t>
      </w:r>
      <w:r>
        <w:rPr>
          <w:rFonts w:hint="default" w:ascii="Times New Roman" w:hAnsi="Times New Roman" w:eastAsia="宋体" w:cs="Times New Roman"/>
          <w:color w:val="auto"/>
          <w:sz w:val="24"/>
          <w:szCs w:val="24"/>
          <w:highlight w:val="none"/>
          <w:vertAlign w:val="subscript"/>
        </w:rPr>
        <w:t xml:space="preserve">ijpq </w:t>
      </w:r>
      <w:r>
        <w:rPr>
          <w:rFonts w:hint="default" w:ascii="Times New Roman" w:hAnsi="Times New Roman" w:eastAsia="宋体" w:cs="Times New Roman"/>
          <w:color w:val="auto"/>
          <w:sz w:val="24"/>
          <w:szCs w:val="24"/>
          <w:highlight w:val="none"/>
        </w:rPr>
        <w:t>≡ 0.1，在再生产平衡阶段，</w:t>
      </w:r>
      <w:r>
        <w:rPr>
          <w:rFonts w:hint="default" w:ascii="Times New Roman" w:hAnsi="Times New Roman" w:eastAsia="宋体" w:cs="Times New Roman"/>
          <w:i/>
          <w:iCs/>
          <w:color w:val="auto"/>
          <w:sz w:val="24"/>
          <w:szCs w:val="24"/>
          <w:highlight w:val="none"/>
        </w:rPr>
        <w:t>ω</w:t>
      </w:r>
      <w:r>
        <w:rPr>
          <w:rFonts w:hint="default" w:ascii="Times New Roman" w:hAnsi="Times New Roman" w:eastAsia="宋体" w:cs="Times New Roman"/>
          <w:color w:val="auto"/>
          <w:sz w:val="24"/>
          <w:szCs w:val="24"/>
          <w:highlight w:val="none"/>
          <w:vertAlign w:val="subscript"/>
        </w:rPr>
        <w:t>pq</w:t>
      </w:r>
      <w:r>
        <w:rPr>
          <w:rFonts w:hint="default" w:ascii="Times New Roman" w:hAnsi="Times New Roman" w:eastAsia="宋体" w:cs="Times New Roman"/>
          <w:i/>
          <w:iCs/>
          <w:color w:val="auto"/>
          <w:sz w:val="24"/>
          <w:szCs w:val="24"/>
          <w:highlight w:val="none"/>
        </w:rPr>
        <w:t>θ</w:t>
      </w:r>
      <w:r>
        <w:rPr>
          <w:rFonts w:hint="default" w:ascii="Times New Roman" w:hAnsi="Times New Roman" w:eastAsia="宋体" w:cs="Times New Roman"/>
          <w:color w:val="auto"/>
          <w:sz w:val="24"/>
          <w:szCs w:val="24"/>
          <w:highlight w:val="none"/>
          <w:vertAlign w:val="subscript"/>
        </w:rPr>
        <w:t xml:space="preserve">pq </w:t>
      </w:r>
      <w:r>
        <w:rPr>
          <w:rFonts w:hint="default" w:ascii="Times New Roman" w:hAnsi="Times New Roman" w:eastAsia="宋体" w:cs="Times New Roman"/>
          <w:color w:val="auto"/>
          <w:sz w:val="24"/>
          <w:szCs w:val="24"/>
          <w:highlight w:val="none"/>
        </w:rPr>
        <w:t>≡ 0.8；在第0期，</w:t>
      </w:r>
      <w:r>
        <w:rPr>
          <w:rFonts w:hint="default" w:ascii="Times New Roman" w:hAnsi="Times New Roman" w:eastAsia="宋体" w:cs="Times New Roman"/>
          <w:i/>
          <w:iCs/>
          <w:color w:val="auto"/>
          <w:sz w:val="24"/>
          <w:szCs w:val="24"/>
          <w:highlight w:val="none"/>
        </w:rPr>
        <w:t>α</w:t>
      </w:r>
      <w:r>
        <w:rPr>
          <w:rFonts w:hint="default" w:ascii="Times New Roman" w:hAnsi="Times New Roman" w:eastAsia="宋体" w:cs="Times New Roman"/>
          <w:color w:val="auto"/>
          <w:sz w:val="24"/>
          <w:szCs w:val="24"/>
          <w:highlight w:val="none"/>
          <w:vertAlign w:val="subscript"/>
        </w:rPr>
        <w:t xml:space="preserve">i1pq </w:t>
      </w:r>
      <w:r>
        <w:rPr>
          <w:rFonts w:hint="default" w:ascii="Times New Roman" w:hAnsi="Times New Roman" w:eastAsia="宋体" w:cs="Times New Roman"/>
          <w:color w:val="auto"/>
          <w:sz w:val="24"/>
          <w:szCs w:val="24"/>
          <w:highlight w:val="none"/>
        </w:rPr>
        <w:t>= 0.1，</w:t>
      </w:r>
      <w:r>
        <w:rPr>
          <w:rFonts w:hint="default" w:ascii="Times New Roman" w:hAnsi="Times New Roman" w:eastAsia="宋体" w:cs="Times New Roman"/>
          <w:i/>
          <w:iCs/>
          <w:color w:val="auto"/>
          <w:sz w:val="24"/>
          <w:szCs w:val="24"/>
          <w:highlight w:val="none"/>
        </w:rPr>
        <w:t>α</w:t>
      </w:r>
      <w:r>
        <w:rPr>
          <w:rFonts w:hint="default" w:ascii="Times New Roman" w:hAnsi="Times New Roman" w:eastAsia="宋体" w:cs="Times New Roman"/>
          <w:color w:val="auto"/>
          <w:sz w:val="24"/>
          <w:szCs w:val="24"/>
          <w:highlight w:val="none"/>
          <w:vertAlign w:val="subscript"/>
        </w:rPr>
        <w:t xml:space="preserve">ijpq </w:t>
      </w:r>
      <w:r>
        <w:rPr>
          <w:rFonts w:hint="default" w:ascii="Times New Roman" w:hAnsi="Times New Roman" w:eastAsia="宋体" w:cs="Times New Roman"/>
          <w:color w:val="auto"/>
          <w:sz w:val="24"/>
          <w:szCs w:val="24"/>
          <w:highlight w:val="none"/>
        </w:rPr>
        <w:t>= 0.3（j ≠ 1），</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 xml:space="preserve">i1pq </w:t>
      </w:r>
      <w:r>
        <w:rPr>
          <w:rFonts w:hint="default" w:ascii="Times New Roman" w:hAnsi="Times New Roman" w:eastAsia="宋体" w:cs="Times New Roman"/>
          <w:color w:val="auto"/>
          <w:sz w:val="24"/>
          <w:szCs w:val="24"/>
          <w:highlight w:val="none"/>
        </w:rPr>
        <w:t>= 0.15，</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 xml:space="preserve">i2pq </w:t>
      </w:r>
      <w:r>
        <w:rPr>
          <w:rFonts w:hint="default" w:ascii="Times New Roman" w:hAnsi="Times New Roman" w:eastAsia="宋体" w:cs="Times New Roman"/>
          <w:color w:val="auto"/>
          <w:sz w:val="24"/>
          <w:szCs w:val="24"/>
          <w:highlight w:val="none"/>
        </w:rPr>
        <w:t xml:space="preserve">= </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 xml:space="preserve">i3pq </w:t>
      </w:r>
      <w:r>
        <w:rPr>
          <w:rFonts w:hint="default" w:ascii="Times New Roman" w:hAnsi="Times New Roman" w:eastAsia="宋体" w:cs="Times New Roman"/>
          <w:color w:val="auto"/>
          <w:sz w:val="24"/>
          <w:szCs w:val="24"/>
          <w:highlight w:val="none"/>
        </w:rPr>
        <w:t>= 0.045，</w:t>
      </w:r>
      <w:r>
        <w:rPr>
          <w:rFonts w:hint="default" w:ascii="Times New Roman" w:hAnsi="Times New Roman" w:eastAsia="宋体" w:cs="Times New Roman"/>
          <w:i/>
          <w:iCs/>
          <w:color w:val="auto"/>
          <w:sz w:val="24"/>
          <w:szCs w:val="24"/>
          <w:highlight w:val="none"/>
        </w:rPr>
        <w:t>β</w:t>
      </w:r>
      <w:r>
        <w:rPr>
          <w:rFonts w:hint="default" w:ascii="Times New Roman" w:hAnsi="Times New Roman" w:eastAsia="宋体" w:cs="Times New Roman"/>
          <w:color w:val="auto"/>
          <w:sz w:val="24"/>
          <w:szCs w:val="24"/>
          <w:highlight w:val="none"/>
          <w:vertAlign w:val="subscript"/>
        </w:rPr>
        <w:t xml:space="preserve">i4pq </w:t>
      </w:r>
      <w:r>
        <w:rPr>
          <w:rFonts w:hint="default" w:ascii="Times New Roman" w:hAnsi="Times New Roman" w:eastAsia="宋体" w:cs="Times New Roman"/>
          <w:color w:val="auto"/>
          <w:sz w:val="24"/>
          <w:szCs w:val="24"/>
          <w:highlight w:val="none"/>
        </w:rPr>
        <w:t>= -0.24，</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w:t>
      </w:r>
      <m:oMath>
        <m:r>
          <m:rPr/>
          <w:rPr>
            <w:rFonts w:hint="default" w:ascii="Cambria Math" w:hAnsi="Cambria Math" w:eastAsia="宋体" w:cs="Times New Roman"/>
            <w:color w:val="auto"/>
            <w:sz w:val="24"/>
            <w:szCs w:val="24"/>
            <w:highlight w:val="none"/>
          </w:rPr>
          <m:t xml:space="preserve"> </m:t>
        </m:r>
        <m:sSubSup>
          <m:sSubSupPr>
            <m:ctrlPr>
              <w:rPr>
                <w:rFonts w:hint="default" w:ascii="Cambria Math" w:hAnsi="Cambria Math" w:eastAsia="宋体" w:cs="Times New Roman"/>
                <w:iCs/>
                <w:color w:val="auto"/>
                <w:sz w:val="24"/>
                <w:szCs w:val="24"/>
                <w:highlight w:val="none"/>
              </w:rPr>
            </m:ctrlPr>
          </m:sSubSupPr>
          <m:e>
            <m:r>
              <m:rPr>
                <m:nor/>
              </m:rPr>
              <w:rPr>
                <w:rFonts w:hint="default" w:ascii="Cambria Math" w:hAnsi="Cambria Math" w:eastAsia="宋体" w:cs="Times New Roman"/>
                <w:i/>
                <w:color w:val="auto"/>
                <w:sz w:val="24"/>
                <w:szCs w:val="24"/>
                <w:highlight w:val="none"/>
              </w:rPr>
              <m:t>y</m:t>
            </m:r>
            <m:ctrlPr>
              <w:rPr>
                <w:rFonts w:hint="default" w:ascii="Cambria Math" w:hAnsi="Cambria Math" w:eastAsia="宋体" w:cs="Times New Roman"/>
                <w:iCs/>
                <w:color w:val="auto"/>
                <w:sz w:val="24"/>
                <w:szCs w:val="24"/>
                <w:highlight w:val="none"/>
              </w:rPr>
            </m:ctrlPr>
          </m:e>
          <m:sub>
            <m:r>
              <m:rPr>
                <m:nor/>
                <m:sty m:val="p"/>
              </m:rPr>
              <w:rPr>
                <w:rFonts w:hint="default" w:ascii="Cambria Math" w:hAnsi="Cambria Math" w:eastAsia="宋体" w:cs="Times New Roman"/>
                <w:b w:val="0"/>
                <w:i w:val="0"/>
                <w:iCs/>
                <w:color w:val="auto"/>
                <w:sz w:val="24"/>
                <w:szCs w:val="24"/>
                <w:highlight w:val="none"/>
              </w:rPr>
              <m:t>p1</m:t>
            </m:r>
            <m:ctrlPr>
              <w:rPr>
                <w:rFonts w:hint="default" w:ascii="Cambria Math" w:hAnsi="Cambria Math" w:eastAsia="宋体" w:cs="Times New Roman"/>
                <w:iCs/>
                <w:color w:val="auto"/>
                <w:sz w:val="24"/>
                <w:szCs w:val="24"/>
                <w:highlight w:val="none"/>
              </w:rPr>
            </m:ctrlPr>
          </m:sub>
          <m:sup>
            <m:r>
              <m:rPr>
                <m:nor/>
                <m:sty m:val="p"/>
              </m:rPr>
              <w:rPr>
                <w:rFonts w:hint="default" w:ascii="Cambria Math" w:hAnsi="Cambria Math" w:eastAsia="宋体" w:cs="Times New Roman"/>
                <w:b w:val="0"/>
                <w:i w:val="0"/>
                <w:iCs/>
                <w:color w:val="auto"/>
                <w:sz w:val="24"/>
                <w:szCs w:val="24"/>
                <w:highlight w:val="none"/>
              </w:rPr>
              <m:t>s</m:t>
            </m:r>
            <m:ctrlPr>
              <w:rPr>
                <w:rFonts w:hint="default" w:ascii="Cambria Math" w:hAnsi="Cambria Math" w:eastAsia="宋体" w:cs="Times New Roman"/>
                <w:iCs/>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 50000/3，</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w:t>
      </w:r>
      <m:oMath>
        <m:r>
          <m:rPr/>
          <w:rPr>
            <w:rFonts w:hint="default" w:ascii="Cambria Math" w:hAnsi="Cambria Math" w:eastAsia="宋体" w:cs="Times New Roman"/>
            <w:color w:val="auto"/>
            <w:sz w:val="24"/>
            <w:szCs w:val="24"/>
            <w:highlight w:val="none"/>
          </w:rPr>
          <m:t xml:space="preserve"> </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 xml:space="preserve">= </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i3</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 xml:space="preserve">= </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p3</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 23000，</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w:t>
      </w:r>
      <m:oMath>
        <m:r>
          <m:rPr/>
          <w:rPr>
            <w:rFonts w:hint="default" w:ascii="Cambria Math" w:hAnsi="Cambria Math" w:eastAsia="宋体" w:cs="Times New Roman"/>
            <w:color w:val="auto"/>
            <w:sz w:val="24"/>
            <w:szCs w:val="24"/>
            <w:highlight w:val="none"/>
          </w:rPr>
          <m:t xml:space="preserve"> </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p4</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 xml:space="preserve"> </m:t>
        </m:r>
      </m:oMath>
      <w:r>
        <w:rPr>
          <w:rFonts w:hint="default" w:ascii="Times New Roman" w:hAnsi="Times New Roman" w:eastAsia="宋体" w:cs="Times New Roman"/>
          <w:color w:val="auto"/>
          <w:sz w:val="24"/>
          <w:szCs w:val="24"/>
          <w:highlight w:val="none"/>
        </w:rPr>
        <w:t>= 4000。第三，在0-4期，四大部类资本化的剩余价值用于追加</w:t>
      </w:r>
      <w:r>
        <w:rPr>
          <w:rFonts w:hint="default" w:ascii="Times New Roman" w:hAnsi="Times New Roman" w:eastAsia="宋体" w:cs="Times New Roman"/>
          <w:i/>
          <w:iCs/>
          <w:color w:val="auto"/>
          <w:sz w:val="24"/>
          <w:szCs w:val="24"/>
          <w:highlight w:val="none"/>
        </w:rPr>
        <w:t>c</w:t>
      </w:r>
      <w:r>
        <w:rPr>
          <w:rFonts w:hint="default" w:ascii="Times New Roman" w:hAnsi="Times New Roman" w:eastAsia="宋体" w:cs="Times New Roman"/>
          <w:color w:val="auto"/>
          <w:sz w:val="24"/>
          <w:szCs w:val="24"/>
          <w:highlight w:val="none"/>
          <w:vertAlign w:val="superscript"/>
        </w:rPr>
        <w:t>F</w:t>
      </w:r>
      <w:r>
        <w:rPr>
          <w:rFonts w:hint="default" w:ascii="Times New Roman" w:hAnsi="Times New Roman" w:eastAsia="宋体" w:cs="Times New Roman"/>
          <w:color w:val="auto"/>
          <w:sz w:val="24"/>
          <w:szCs w:val="24"/>
          <w:highlight w:val="none"/>
        </w:rPr>
        <w:t>的比例为5/8，用于追加</w:t>
      </w:r>
      <w:r>
        <w:rPr>
          <w:rFonts w:hint="default" w:ascii="Times New Roman" w:hAnsi="Times New Roman" w:eastAsia="宋体" w:cs="Times New Roman"/>
          <w:i/>
          <w:iCs/>
          <w:color w:val="auto"/>
          <w:sz w:val="24"/>
          <w:szCs w:val="24"/>
          <w:highlight w:val="none"/>
        </w:rPr>
        <w:t>c</w:t>
      </w:r>
      <w:r>
        <w:rPr>
          <w:rFonts w:hint="default" w:ascii="Times New Roman" w:hAnsi="Times New Roman" w:eastAsia="宋体" w:cs="Times New Roman"/>
          <w:color w:val="auto"/>
          <w:sz w:val="24"/>
          <w:szCs w:val="24"/>
          <w:highlight w:val="none"/>
          <w:vertAlign w:val="superscript"/>
        </w:rPr>
        <w:t>L</w:t>
      </w:r>
      <w:r>
        <w:rPr>
          <w:rFonts w:hint="default" w:ascii="Times New Roman" w:hAnsi="Times New Roman" w:eastAsia="宋体" w:cs="Times New Roman"/>
          <w:color w:val="auto"/>
          <w:sz w:val="24"/>
          <w:szCs w:val="24"/>
          <w:highlight w:val="none"/>
        </w:rPr>
        <w:t>和</w:t>
      </w:r>
      <w:r>
        <w:rPr>
          <w:rFonts w:hint="default" w:ascii="Times New Roman" w:hAnsi="Times New Roman" w:eastAsia="宋体" w:cs="Times New Roman"/>
          <w:i/>
          <w:iCs/>
          <w:color w:val="auto"/>
          <w:sz w:val="24"/>
          <w:szCs w:val="24"/>
          <w:highlight w:val="none"/>
        </w:rPr>
        <w:t>v</w:t>
      </w:r>
      <w:r>
        <w:rPr>
          <w:rFonts w:hint="default" w:ascii="Times New Roman" w:hAnsi="Times New Roman" w:eastAsia="宋体" w:cs="Times New Roman"/>
          <w:color w:val="auto"/>
          <w:sz w:val="24"/>
          <w:szCs w:val="24"/>
          <w:highlight w:val="none"/>
        </w:rPr>
        <w:t>的比例为3/16，自第5期，追加</w:t>
      </w:r>
      <w:r>
        <w:rPr>
          <w:rFonts w:hint="default" w:ascii="Times New Roman" w:hAnsi="Times New Roman" w:eastAsia="宋体" w:cs="Times New Roman"/>
          <w:i/>
          <w:iCs/>
          <w:color w:val="auto"/>
          <w:sz w:val="24"/>
          <w:szCs w:val="24"/>
          <w:highlight w:val="none"/>
        </w:rPr>
        <w:t>c</w:t>
      </w:r>
      <w:r>
        <w:rPr>
          <w:rFonts w:hint="default" w:ascii="Times New Roman" w:hAnsi="Times New Roman" w:eastAsia="宋体" w:cs="Times New Roman"/>
          <w:color w:val="auto"/>
          <w:sz w:val="24"/>
          <w:szCs w:val="24"/>
          <w:highlight w:val="none"/>
          <w:vertAlign w:val="superscript"/>
        </w:rPr>
        <w:t>F</w:t>
      </w:r>
      <w:r>
        <w:rPr>
          <w:rFonts w:hint="default" w:ascii="Times New Roman" w:hAnsi="Times New Roman" w:eastAsia="宋体" w:cs="Times New Roman"/>
          <w:color w:val="auto"/>
          <w:sz w:val="24"/>
          <w:szCs w:val="24"/>
          <w:highlight w:val="none"/>
        </w:rPr>
        <w:t>的比例每期增加0.003，追加</w:t>
      </w:r>
      <w:r>
        <w:rPr>
          <w:rFonts w:hint="default" w:ascii="Times New Roman" w:hAnsi="Times New Roman" w:eastAsia="宋体" w:cs="Times New Roman"/>
          <w:i/>
          <w:iCs/>
          <w:color w:val="auto"/>
          <w:sz w:val="24"/>
          <w:szCs w:val="24"/>
          <w:highlight w:val="none"/>
        </w:rPr>
        <w:t>c</w:t>
      </w:r>
      <w:r>
        <w:rPr>
          <w:rFonts w:hint="default" w:ascii="Times New Roman" w:hAnsi="Times New Roman" w:eastAsia="宋体" w:cs="Times New Roman"/>
          <w:color w:val="auto"/>
          <w:sz w:val="24"/>
          <w:szCs w:val="24"/>
          <w:highlight w:val="none"/>
          <w:vertAlign w:val="superscript"/>
        </w:rPr>
        <w:t>L</w:t>
      </w:r>
      <w:r>
        <w:rPr>
          <w:rFonts w:hint="default" w:ascii="Times New Roman" w:hAnsi="Times New Roman" w:eastAsia="宋体" w:cs="Times New Roman"/>
          <w:color w:val="auto"/>
          <w:sz w:val="24"/>
          <w:szCs w:val="24"/>
          <w:highlight w:val="none"/>
        </w:rPr>
        <w:t>的比例保持不变，追加</w:t>
      </w:r>
      <w:r>
        <w:rPr>
          <w:rFonts w:hint="default" w:ascii="Times New Roman" w:hAnsi="Times New Roman" w:eastAsia="宋体" w:cs="Times New Roman"/>
          <w:i/>
          <w:iCs/>
          <w:color w:val="auto"/>
          <w:sz w:val="24"/>
          <w:szCs w:val="24"/>
          <w:highlight w:val="none"/>
        </w:rPr>
        <w:t>v</w:t>
      </w:r>
      <w:r>
        <w:rPr>
          <w:rFonts w:hint="default" w:ascii="Times New Roman" w:hAnsi="Times New Roman" w:eastAsia="宋体" w:cs="Times New Roman"/>
          <w:color w:val="auto"/>
          <w:sz w:val="24"/>
          <w:szCs w:val="24"/>
          <w:highlight w:val="none"/>
        </w:rPr>
        <w:t>的比例每期减少0.003；在0-5期，</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 xml:space="preserve"> = 1</m:t>
        </m:r>
      </m:oMath>
      <w:r>
        <w:rPr>
          <w:rFonts w:hint="default" w:ascii="Times New Roman" w:hAnsi="Times New Roman" w:eastAsia="宋体" w:cs="Times New Roman"/>
          <w:color w:val="auto"/>
          <w:sz w:val="24"/>
          <w:szCs w:val="24"/>
          <w:highlight w:val="none"/>
        </w:rPr>
        <w:t>，自第6期</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（q ≠ 1）每期增加0.001，在6-10期，1部类的</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p1</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不断调整以尽可能地弥补该部类的再生产不足，自第11期</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p1</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每期增加0.001。第四，当再生产失衡时，由（10）式可知，总需求与剩余价值实现率是同时决定的，为了使模拟可行，假定3部类与4部类有相同的剩余价值实现率，资本家通过调整消费来抵消剩余价值实现率波动对资本积累的影响，4部类的</w:t>
      </w:r>
      <w:r>
        <w:rPr>
          <w:rFonts w:hint="default" w:ascii="Times New Roman" w:hAnsi="Times New Roman" w:eastAsia="宋体" w:cs="Times New Roman"/>
          <w:i/>
          <w:iCs/>
          <w:color w:val="auto"/>
          <w:sz w:val="24"/>
          <w:szCs w:val="24"/>
          <w:highlight w:val="none"/>
        </w:rPr>
        <w:t>ωθ</w:t>
      </w:r>
      <w:r>
        <w:rPr>
          <w:rFonts w:hint="default" w:ascii="Times New Roman" w:hAnsi="Times New Roman" w:eastAsia="宋体" w:cs="Times New Roman"/>
          <w:color w:val="auto"/>
          <w:sz w:val="24"/>
          <w:szCs w:val="24"/>
          <w:highlight w:val="none"/>
        </w:rPr>
        <w:t>由方程组确定。</w:t>
      </w:r>
    </w:p>
    <w:p w14:paraId="5851C23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在0-4期，四大部类的再生产为满足平衡条件的扩大再生产，剩余价值用于追加固定资本、流动不变资本、可变资本的比例不变。在0-5期，四大部类的固定资本利用率为1，固定资本有机构成不变。自第5期，四大部类的剩余价值被更多地用于追加固定资本，3部类与4部类的供给大于需求。自第6期，四大部类的固定资本有机构成开始提高，3部类与4部类的固定资本利用率开始下降，自第7期，2部类与1部类的固定资本利用率相继开始下降。需要指出，在再生产失衡初期，1部类的固定资本供给小于社会总需求，其他部类降低固定资本利用率形成的冲击未能抵消1部类的需求缺口，因此，1部类的固定资本利用率开始下降的时期存在一定程度的滞后。1部类与2部类的固定资本利用率出现波动性下降，其原因为固定资本利用率调整相对过度以及参数变动造成的数学误差使得这两部类在短期内出现供不应求的情况。</w:t>
      </w:r>
    </w:p>
    <w:p w14:paraId="539510D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drawing>
          <wp:anchor distT="0" distB="0" distL="0" distR="0" simplePos="0" relativeHeight="251692032" behindDoc="0" locked="0" layoutInCell="1" allowOverlap="1">
            <wp:simplePos x="0" y="0"/>
            <wp:positionH relativeFrom="column">
              <wp:posOffset>304800</wp:posOffset>
            </wp:positionH>
            <wp:positionV relativeFrom="paragraph">
              <wp:posOffset>-3657600</wp:posOffset>
            </wp:positionV>
            <wp:extent cx="5278120" cy="3838575"/>
            <wp:effectExtent l="0" t="0" r="5080" b="22225"/>
            <wp:wrapTopAndBottom/>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55">
                      <a:clrChange>
                        <a:clrFrom>
                          <a:srgbClr val="FFFFFF">
                            <a:alpha val="100000"/>
                          </a:srgbClr>
                        </a:clrFrom>
                        <a:clrTo>
                          <a:srgbClr val="FFFFFF">
                            <a:alpha val="100000"/>
                            <a:alpha val="0"/>
                          </a:srgbClr>
                        </a:clrTo>
                      </a:clrChange>
                      <a:extLst>
                        <a:ext uri="{28A0092B-C50C-407E-A947-70E740481C1C}">
                          <a14:useLocalDpi xmlns:a14="http://schemas.microsoft.com/office/drawing/2010/main" val="0"/>
                        </a:ext>
                      </a:extLst>
                    </a:blip>
                    <a:stretch>
                      <a:fillRect/>
                    </a:stretch>
                  </pic:blipFill>
                  <pic:spPr>
                    <a:xfrm>
                      <a:off x="0" y="0"/>
                      <a:ext cx="5278120" cy="3838575"/>
                    </a:xfrm>
                    <a:prstGeom prst="rect">
                      <a:avLst/>
                    </a:prstGeom>
                  </pic:spPr>
                </pic:pic>
              </a:graphicData>
            </a:graphic>
          </wp:anchor>
        </w:drawing>
      </w:r>
    </w:p>
    <w:p w14:paraId="18B33BC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图3  数值模拟：四大部类的固定资本有机构成与固定资本利用率的变动</w:t>
      </w:r>
    </w:p>
    <w:p w14:paraId="2F08316F">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说明：上方的图例对应左轴，下方的图例对应右轴，下图同。</w:t>
      </w:r>
    </w:p>
    <w:p w14:paraId="685D2C63">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z w:val="24"/>
          <w:szCs w:val="24"/>
          <w:highlight w:val="none"/>
        </w:rPr>
        <w:t>3.补充说明</w:t>
      </w:r>
    </w:p>
    <w:p w14:paraId="59B2170B">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为了在纯粹形态上分析产能过剩的根本原因，以上分析撇开了国际贸易的影响，将两个国家视为同质的经济体。由（10）式可知，在国内需求已定的情况下，若</w:t>
      </w:r>
      <m:oMath>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或</w:t>
      </w:r>
      <m:oMath>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A</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B</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O</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p>
          <m:sSupPr>
            <m:ctrlPr>
              <w:rPr>
                <w:rFonts w:hint="default" w:ascii="Cambria Math" w:hAnsi="Cambria Math" w:eastAsia="宋体" w:cs="Times New Roman"/>
                <w:i/>
                <w:color w:val="auto"/>
                <w:sz w:val="24"/>
                <w:szCs w:val="24"/>
                <w:highlight w:val="none"/>
              </w:rPr>
            </m:ctrlPr>
          </m:sSup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增加，则</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与</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或</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与</w:t>
      </w:r>
      <m:oMath>
        <m:sSubSup>
          <m:sSubSupPr>
            <m:ctrlPr>
              <w:rPr>
                <w:rFonts w:hint="default" w:ascii="Cambria Math" w:hAnsi="Cambria Math" w:eastAsia="宋体" w:cs="Times New Roman"/>
                <w:i/>
                <w:color w:val="auto"/>
                <w:sz w:val="24"/>
                <w:szCs w:val="24"/>
                <w:highlight w:val="none"/>
              </w:rPr>
            </m:ctrlPr>
          </m:sSubSupPr>
          <m:e>
            <m:r>
              <m:rPr>
                <m:nor/>
                <m:sty m:val="bi"/>
              </m:rPr>
              <w:rPr>
                <w:rFonts w:hint="default" w:ascii="Cambria Math" w:hAnsi="Cambria Math" w:eastAsia="宋体" w:cs="Times New Roman"/>
                <w:b/>
                <w:bCs/>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2</m:t>
            </m:r>
            <m:ctrlPr>
              <w:rPr>
                <w:rFonts w:hint="default" w:ascii="Cambria Math" w:hAnsi="Cambria Math" w:eastAsia="宋体" w:cs="Times New Roman"/>
                <w:i/>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的差额缩小，也就是说，国际贸易对一个国家的产能过剩能起补救作用。例如，发展中国家研发新技术的能力远低于发达国家，因此，发展中国家存在高端产品生产不足，为了维持社会再生产，向发达国家进口高端产品，结果是发达国家的高端产品过剩得到缓解。再如，国家之间的分配制度存在差异，一些国家通过利润分享制度在某种程度上保证实际工资与劳动生产率基本同步提高，这些国家工人的实际购买力相对较高，在国际市场上，他们倾向于消费使用价值相同或相似但价格低廉的商品，这有利于缓解生产此类商品的国家的产能过剩。</w:t>
      </w:r>
    </w:p>
    <w:p w14:paraId="24CE2AD6">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然而，产能过剩不能</w:t>
      </w:r>
      <w:r>
        <w:rPr>
          <w:rFonts w:hint="default" w:ascii="Times New Roman" w:hAnsi="Times New Roman" w:eastAsia="宋体" w:cs="Times New Roman"/>
          <w:color w:val="auto"/>
          <w:sz w:val="24"/>
          <w:szCs w:val="24"/>
          <w:highlight w:val="none"/>
          <w:lang w:eastAsia="zh-Hans"/>
        </w:rPr>
        <w:t>由对外贸易来</w:t>
      </w:r>
      <w:r>
        <w:rPr>
          <w:rFonts w:hint="default" w:ascii="Times New Roman" w:hAnsi="Times New Roman" w:eastAsia="宋体" w:cs="Times New Roman"/>
          <w:color w:val="auto"/>
          <w:sz w:val="24"/>
          <w:szCs w:val="24"/>
          <w:highlight w:val="none"/>
        </w:rPr>
        <w:t>说明。现如今需求不再局限于国家范围，供给是为了满足国际需求，任何一个国家的经济循环都离不开进出口，不能说出口多就是产能过剩，进口多就是产能不足。根据前文分析，产能过剩的根源应该在资本运动和竞争的强制规律中找寻。在国际竞争空前激烈的时代，技术进步型资本积累成为资本主义国家普遍采用的模式，产能过剩日益具有全球性，国际贸易可以化解某个资本主义国家的产能过剩，却无法缓解全球性产能过剩。正如马克思所指出的，“对外贸易既然不是单纯补偿各种要素（按价值说也是这样），它就只会把矛盾推入更广的范围，为这些矛盾开辟更广阔的活动场所。”</w:t>
      </w:r>
      <w:r>
        <w:rPr>
          <w:rStyle w:val="20"/>
          <w:rFonts w:hint="default" w:ascii="Times New Roman" w:hAnsi="Times New Roman" w:eastAsia="宋体" w:cs="Times New Roman"/>
          <w:color w:val="auto"/>
          <w:sz w:val="24"/>
          <w:szCs w:val="24"/>
          <w:highlight w:val="none"/>
        </w:rPr>
        <w:footnoteReference w:id="774"/>
      </w:r>
    </w:p>
    <w:p w14:paraId="144E2B90">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27" w:name="_Toc40031138"/>
      <w:r>
        <w:rPr>
          <w:rFonts w:hint="default" w:ascii="Times New Roman" w:hAnsi="Times New Roman" w:eastAsia="宋体" w:cs="Times New Roman"/>
          <w:color w:val="auto"/>
          <w:sz w:val="24"/>
          <w:szCs w:val="24"/>
          <w:highlight w:val="none"/>
        </w:rPr>
        <w:t>（二）</w:t>
      </w:r>
      <w:bookmarkEnd w:id="527"/>
      <w:r>
        <w:rPr>
          <w:rFonts w:hint="default" w:ascii="Times New Roman" w:hAnsi="Times New Roman" w:eastAsia="宋体" w:cs="Times New Roman"/>
          <w:color w:val="auto"/>
          <w:sz w:val="24"/>
          <w:szCs w:val="24"/>
          <w:highlight w:val="none"/>
        </w:rPr>
        <w:t>纳入产能利用率的经济增长模型</w:t>
      </w:r>
    </w:p>
    <w:p w14:paraId="15E9E24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马克思根据劳动二重性学说对“斯密教条”进行了批判，指出总产品价值包括具体劳动转移的不变资本价值。以社会再生产理论为基础研究经济增长，应将总产品价值的变化率视作经济增长率。总产品价值有两种含义——生产的总产品价值和实现的总产品价值，前者由生产过程中耗费在产品总量上的社会劳动时间决定，后者由满足社会需求所必要的劳动时间决定。令</w:t>
      </w:r>
    </w:p>
    <w:p w14:paraId="2A51D653">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p>
          <m:sSupPr>
            <m:ctrlPr>
              <w:rPr>
                <w:rFonts w:hint="default" w:ascii="Cambria Math" w:hAnsi="Cambria Math" w:eastAsia="宋体" w:cs="Times New Roman"/>
                <w:i/>
                <w:color w:val="auto"/>
                <w:sz w:val="24"/>
                <w:szCs w:val="24"/>
                <w:highlight w:val="none"/>
              </w:rPr>
            </m:ctrlPr>
          </m:sSupPr>
          <m:e>
            <m:d>
              <m:dPr>
                <m:begChr m:val="["/>
                <m:endChr m:val="]"/>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r>
          <m:rPr>
            <m:nor/>
            <m:sty m:val="bi"/>
          </m:rPr>
          <w:rPr>
            <w:rFonts w:hint="default" w:ascii="Cambria Math" w:hAnsi="Cambria Math" w:eastAsia="宋体" w:cs="Times New Roman"/>
            <w:b/>
            <w:bCs/>
            <w:i/>
            <w:iCs/>
            <w:color w:val="auto"/>
            <w:sz w:val="24"/>
            <w:szCs w:val="24"/>
            <w:highlight w:val="none"/>
          </w:rPr>
          <m:t>C</m:t>
        </m:r>
        <m:sSup>
          <m:sSupPr>
            <m:ctrlPr>
              <w:rPr>
                <w:rFonts w:hint="default" w:ascii="Cambria Math" w:hAnsi="Cambria Math" w:eastAsia="宋体" w:cs="Times New Roman"/>
                <w:i/>
                <w:color w:val="auto"/>
                <w:sz w:val="24"/>
                <w:szCs w:val="24"/>
                <w:highlight w:val="none"/>
              </w:rPr>
            </m:ctrlPr>
          </m:sSupPr>
          <m:e>
            <m:d>
              <m:dPr>
                <m:begChr m:val="["/>
                <m:endChr m:val="]"/>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r>
          <m:rPr>
            <m:nor/>
          </m:rPr>
          <w:rPr>
            <w:rFonts w:hint="default" w:ascii="Cambria Math" w:hAnsi="Cambria Math" w:eastAsia="宋体" w:cs="Times New Roman"/>
            <w:i/>
            <w:iCs/>
            <w:color w:val="auto"/>
            <w:sz w:val="24"/>
            <w:szCs w:val="24"/>
            <w:highlight w:val="none"/>
          </w:rPr>
          <m:t>λ</m:t>
        </m:r>
        <m:sSup>
          <m:sSupPr>
            <m:ctrlPr>
              <w:rPr>
                <w:rFonts w:hint="default" w:ascii="Cambria Math" w:hAnsi="Cambria Math" w:eastAsia="宋体" w:cs="Times New Roman"/>
                <w:i/>
                <w:color w:val="auto"/>
                <w:sz w:val="24"/>
                <w:szCs w:val="24"/>
                <w:highlight w:val="none"/>
              </w:rPr>
            </m:ctrlPr>
          </m:sSupPr>
          <m:e>
            <m:d>
              <m:dPr>
                <m:begChr m:val="["/>
                <m:endChr m:val="]"/>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y</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（12）</w:t>
      </w:r>
    </w:p>
    <w:p w14:paraId="4F751F4B">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由（12）式可知，两国四部类对i国j部类的总需求的增长率，即i国j部类的实现的总产品价值增长率</w:t>
      </w:r>
    </w:p>
    <w:p w14:paraId="51C9978D">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m:oMath>
        <m:sSup>
          <m:sSupPr>
            <m:ctrlPr>
              <w:rPr>
                <w:rFonts w:hint="default" w:ascii="Cambria Math" w:hAnsi="Cambria Math" w:eastAsia="宋体" w:cs="Times New Roman"/>
                <w:i/>
                <w:color w:val="auto"/>
                <w:sz w:val="24"/>
                <w:szCs w:val="24"/>
                <w:highlight w:val="none"/>
              </w:rPr>
            </m:ctrlPr>
          </m:sSupPr>
          <m:e>
            <m:d>
              <m:dPr>
                <m:begChr m:val="["/>
                <m:endChr m:val="]"/>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sSup>
          <m:sSupPr>
            <m:ctrlPr>
              <w:rPr>
                <w:rFonts w:hint="default" w:ascii="Cambria Math" w:hAnsi="Cambria Math" w:eastAsia="宋体" w:cs="Times New Roman"/>
                <w:i/>
                <w:color w:val="auto"/>
                <w:sz w:val="24"/>
                <w:szCs w:val="24"/>
                <w:highlight w:val="none"/>
              </w:rPr>
            </m:ctrlPr>
          </m:sSupPr>
          <m:e>
            <m:d>
              <m:dPr>
                <m:begChr m:val="["/>
                <m:endChr m:val="]"/>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m:t>
                </m:r>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sSub>
                  <m:sSubPr>
                    <m:ctrlPr>
                      <w:rPr>
                        <w:rFonts w:hint="default" w:ascii="Cambria Math" w:hAnsi="Cambria Math" w:eastAsia="宋体" w:cs="Times New Roman"/>
                        <w:i/>
                        <w:color w:val="auto"/>
                        <w:sz w:val="24"/>
                        <w:szCs w:val="24"/>
                        <w:highlight w:val="none"/>
                      </w:rPr>
                    </m:ctrlPr>
                  </m:sSubPr>
                  <m:e>
                    <m:r>
                      <m:rPr>
                        <m:nor/>
                        <m:sty m:val="p"/>
                      </m:rPr>
                      <w:rPr>
                        <w:rFonts w:hint="default" w:ascii="Cambria Math" w:hAnsi="Cambria Math" w:eastAsia="宋体" w:cs="Times New Roman"/>
                        <w:b w:val="0"/>
                        <w:i w:val="0"/>
                        <w:color w:val="auto"/>
                        <w:sz w:val="24"/>
                        <w:szCs w:val="24"/>
                        <w:highlight w:val="none"/>
                      </w:rPr>
                      <m:t>)</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1×8</m:t>
                    </m:r>
                    <m:ctrlPr>
                      <w:rPr>
                        <w:rFonts w:hint="default" w:ascii="Cambria Math" w:hAnsi="Cambria Math" w:eastAsia="宋体" w:cs="Times New Roman"/>
                        <w:i/>
                        <w:color w:val="auto"/>
                        <w:sz w:val="24"/>
                        <w:szCs w:val="24"/>
                        <w:highlight w:val="none"/>
                      </w:rPr>
                    </m:ctrlPr>
                  </m:sub>
                </m:sSub>
                <m:ctrlPr>
                  <w:rPr>
                    <w:rFonts w:hint="default" w:ascii="Cambria Math" w:hAnsi="Cambria Math" w:eastAsia="宋体" w:cs="Times New Roman"/>
                    <w:i/>
                    <w:color w:val="auto"/>
                    <w:sz w:val="24"/>
                    <w:szCs w:val="24"/>
                    <w:highlight w:val="none"/>
                  </w:rPr>
                </m:ctrlPr>
              </m:e>
            </m:d>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T</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（13）</w:t>
      </w:r>
    </w:p>
    <w:p w14:paraId="3EB2EFD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w:t>
      </w:r>
      <w:r>
        <w:rPr>
          <w:rFonts w:hint="default" w:ascii="Times New Roman" w:hAnsi="Times New Roman" w:eastAsia="宋体" w:cs="Times New Roman"/>
          <w:i/>
          <w:iCs/>
          <w:color w:val="auto"/>
          <w:sz w:val="24"/>
          <w:szCs w:val="24"/>
          <w:highlight w:val="none"/>
        </w:rPr>
        <w:t>g</w:t>
      </w:r>
      <w:r>
        <w:rPr>
          <w:rFonts w:hint="default" w:ascii="Times New Roman" w:hAnsi="Times New Roman" w:eastAsia="宋体" w:cs="Times New Roman"/>
          <w:color w:val="auto"/>
          <w:sz w:val="24"/>
          <w:szCs w:val="24"/>
          <w:highlight w:val="none"/>
        </w:rPr>
        <w:t>代表增长率或变化率。由（13）式可知，</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d</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与</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（生产的总产品价值增长率）正相关。当供求平衡时，经济增长率同时等于生产的总产品价值增长率和实现的总产品价值增长率；当供求不平衡时，经济增长率等于实现的总产品价值增长率。</w:t>
      </w:r>
    </w:p>
    <w:p w14:paraId="05F3C7F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对于同一生产过程，p国q部类总产品价值的各个组成部分之间的比例既定，进而各组成部分占总产品价值的比既定，因此，</w:t>
      </w:r>
      <w:r>
        <w:rPr>
          <w:rFonts w:hint="default" w:ascii="Times New Roman" w:hAnsi="Times New Roman" w:eastAsia="宋体" w:cs="Times New Roman"/>
          <w:color w:val="auto"/>
          <w:position w:val="-12"/>
          <w:sz w:val="24"/>
          <w:szCs w:val="24"/>
          <w:highlight w:val="none"/>
        </w:rPr>
        <w:object>
          <v:shape id="_x0000_i1029" o:spt="75" type="#_x0000_t75" style="height:21.05pt;width:25.65pt;" o:ole="t" filled="f" o:preferrelative="t" stroked="f" coordsize="21600,21600">
            <v:path/>
            <v:fill on="f" focussize="0,0"/>
            <v:stroke on="f" joinstyle="miter"/>
            <v:imagedata r:id="rId57" o:title=""/>
            <o:lock v:ext="edit" aspectratio="t"/>
            <w10:wrap type="none"/>
            <w10:anchorlock/>
          </v:shape>
          <o:OLEObject Type="Embed" ProgID="Equation.KSEE3" ShapeID="_x0000_i1029" DrawAspect="Content" ObjectID="_1468075734" r:id="rId56">
            <o:LockedField>false</o:LockedField>
          </o:OLEObject>
        </w:object>
      </w:r>
      <w:r>
        <w:rPr>
          <w:rFonts w:hint="default" w:ascii="Times New Roman" w:hAnsi="Times New Roman" w:eastAsia="宋体" w:cs="Times New Roman"/>
          <w:color w:val="auto"/>
          <w:sz w:val="24"/>
          <w:szCs w:val="24"/>
          <w:highlight w:val="none"/>
        </w:rPr>
        <w:t>变化对</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与</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没有影响，即</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=0</m:t>
        </m:r>
      </m:oMath>
      <w:r>
        <w:rPr>
          <w:rFonts w:hint="default" w:ascii="Times New Roman" w:hAnsi="Times New Roman" w:eastAsia="宋体" w:cs="Times New Roman"/>
          <w:color w:val="auto"/>
          <w:sz w:val="24"/>
          <w:szCs w:val="24"/>
          <w:highlight w:val="none"/>
        </w:rPr>
        <w:t>，</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=0</m:t>
        </m:r>
      </m:oMath>
      <w:r>
        <w:rPr>
          <w:rFonts w:hint="default" w:ascii="Times New Roman" w:hAnsi="Times New Roman" w:eastAsia="宋体" w:cs="Times New Roman"/>
          <w:color w:val="auto"/>
          <w:sz w:val="24"/>
          <w:szCs w:val="24"/>
          <w:highlight w:val="none"/>
        </w:rPr>
        <w:t>。由（5）式、（8）式、（9）式可知，</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θ</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&gt;0</m:t>
        </m:r>
      </m:oMath>
      <w:r>
        <w:rPr>
          <w:rFonts w:hint="default" w:ascii="Times New Roman" w:hAnsi="Times New Roman" w:eastAsia="宋体" w:cs="Times New Roman"/>
          <w:color w:val="auto"/>
          <w:sz w:val="24"/>
          <w:szCs w:val="24"/>
          <w:highlight w:val="none"/>
        </w:rPr>
        <w:t>，</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&gt;0</m:t>
        </m:r>
      </m:oMath>
      <w:r>
        <w:rPr>
          <w:rFonts w:hint="default" w:ascii="Times New Roman" w:hAnsi="Times New Roman" w:eastAsia="宋体" w:cs="Times New Roman"/>
          <w:color w:val="auto"/>
          <w:sz w:val="24"/>
          <w:szCs w:val="24"/>
          <w:highlight w:val="none"/>
        </w:rPr>
        <w:t>，</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&lt;0</m:t>
        </m:r>
      </m:oMath>
      <w:r>
        <w:rPr>
          <w:rFonts w:hint="default" w:ascii="Times New Roman" w:hAnsi="Times New Roman" w:eastAsia="宋体" w:cs="Times New Roman"/>
          <w:color w:val="auto"/>
          <w:sz w:val="24"/>
          <w:szCs w:val="24"/>
          <w:highlight w:val="none"/>
        </w:rPr>
        <w:t>；</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θ</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&gt;0</m:t>
        </m:r>
      </m:oMath>
      <w:r>
        <w:rPr>
          <w:rFonts w:hint="default" w:ascii="Times New Roman" w:hAnsi="Times New Roman" w:eastAsia="宋体" w:cs="Times New Roman"/>
          <w:color w:val="auto"/>
          <w:sz w:val="24"/>
          <w:szCs w:val="24"/>
          <w:highlight w:val="none"/>
        </w:rPr>
        <w:t>，</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r>
          <m:rPr>
            <m:nor/>
            <m:sty m:val="p"/>
          </m:rPr>
          <w:rPr>
            <w:rFonts w:hint="default" w:ascii="Cambria Math" w:hAnsi="Cambria Math" w:eastAsia="宋体" w:cs="Times New Roman"/>
            <w:b w:val="0"/>
            <w:i w:val="0"/>
            <w:color w:val="auto"/>
            <w:sz w:val="24"/>
            <w:szCs w:val="24"/>
            <w:highlight w:val="none"/>
          </w:rPr>
          <m:t>&gt;0</m:t>
        </m:r>
      </m:oMath>
      <w:r>
        <w:rPr>
          <w:rFonts w:hint="default" w:ascii="Times New Roman" w:hAnsi="Times New Roman" w:eastAsia="宋体" w:cs="Times New Roman"/>
          <w:color w:val="auto"/>
          <w:sz w:val="24"/>
          <w:szCs w:val="24"/>
          <w:highlight w:val="none"/>
        </w:rPr>
        <w:t>，</w:t>
      </w:r>
      <m:oMath>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r>
          <m:rPr>
            <m:nor/>
            <m:sty m:val="p"/>
          </m:rPr>
          <w:rPr>
            <w:rFonts w:hint="default" w:ascii="Cambria Math" w:hAnsi="Cambria Math" w:eastAsia="宋体" w:cs="Times New Roman"/>
            <w:b w:val="0"/>
            <w:i w:val="0"/>
            <w:color w:val="auto"/>
            <w:sz w:val="24"/>
            <w:szCs w:val="24"/>
            <w:highlight w:val="none"/>
          </w:rPr>
          <m:t>&gt;0</m:t>
        </m:r>
      </m:oMath>
      <w:r>
        <w:rPr>
          <w:rFonts w:hint="default" w:ascii="Times New Roman" w:hAnsi="Times New Roman" w:eastAsia="宋体" w:cs="Times New Roman"/>
          <w:color w:val="auto"/>
          <w:sz w:val="24"/>
          <w:szCs w:val="24"/>
          <w:highlight w:val="none"/>
        </w:rPr>
        <w:t>，j=1，2，3。根据Perron-Frobenius定理，</w:t>
      </w:r>
      <w:r>
        <w:rPr>
          <w:rFonts w:hint="default" w:ascii="Times New Roman" w:hAnsi="Times New Roman" w:eastAsia="宋体" w:cs="Times New Roman"/>
          <w:i/>
          <w:iCs/>
          <w:color w:val="auto"/>
          <w:sz w:val="24"/>
          <w:szCs w:val="24"/>
          <w:highlight w:val="none"/>
        </w:rPr>
        <w:t>λ</w:t>
      </w:r>
      <w:r>
        <w:rPr>
          <w:rFonts w:hint="default" w:ascii="Times New Roman" w:hAnsi="Times New Roman" w:eastAsia="宋体" w:cs="Times New Roman"/>
          <w:color w:val="auto"/>
          <w:sz w:val="24"/>
          <w:szCs w:val="24"/>
          <w:highlight w:val="none"/>
        </w:rPr>
        <w:t>关于</w:t>
      </w:r>
      <w:r>
        <w:rPr>
          <w:rFonts w:hint="default" w:ascii="Times New Roman" w:hAnsi="Times New Roman" w:eastAsia="宋体" w:cs="Times New Roman"/>
          <w:b/>
          <w:bCs/>
          <w:i/>
          <w:iCs/>
          <w:color w:val="auto"/>
          <w:sz w:val="24"/>
          <w:szCs w:val="24"/>
          <w:highlight w:val="none"/>
        </w:rPr>
        <w:t>C</w:t>
      </w:r>
      <w:r>
        <w:rPr>
          <w:rFonts w:hint="default" w:ascii="Times New Roman" w:hAnsi="Times New Roman" w:eastAsia="宋体" w:cs="Times New Roman"/>
          <w:color w:val="auto"/>
          <w:sz w:val="24"/>
          <w:szCs w:val="24"/>
          <w:highlight w:val="none"/>
        </w:rPr>
        <w:t>单调递增，可以证明，</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和</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α</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与</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正相关。进一步，</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与</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不相关，与</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θ</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w:t>
      </w:r>
      <m:oMath>
        <m:sSubSup>
          <m:sSubSupPr>
            <m:ctrlPr>
              <w:rPr>
                <w:rFonts w:hint="default" w:ascii="Cambria Math" w:hAnsi="Cambria Math" w:eastAsia="宋体" w:cs="Times New Roman"/>
                <w:i/>
                <w:color w:val="auto"/>
                <w:sz w:val="24"/>
                <w:szCs w:val="24"/>
                <w:highlight w:val="none"/>
              </w:rPr>
            </m:ctrlPr>
          </m:sSubSup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正相关。</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与</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的关系无法确定，</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一方面通过</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ijpq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（j=1、2、3）对</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产生正效应，一方面通过</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β</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i4pq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对</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λ</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产生负效应。结合（1）式与（2）式可推出</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与</w:t>
      </w:r>
      <m:oMath>
        <m:sSub>
          <m:sSubPr>
            <m:ctrlPr>
              <w:rPr>
                <w:rFonts w:hint="default" w:ascii="Cambria Math" w:hAnsi="Cambria Math" w:eastAsia="宋体" w:cs="Times New Roman"/>
                <w:i/>
                <w:color w:val="auto"/>
                <w:sz w:val="24"/>
                <w:szCs w:val="24"/>
                <w:highlight w:val="none"/>
              </w:rPr>
            </m:ctrlPr>
          </m:sSubPr>
          <m:e>
            <m:acc>
              <m:accPr>
                <m:chr m:val="̇"/>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i1pq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正相关，此外，</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g</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up>
            <m:r>
              <m:rPr>
                <m:nor/>
                <m:sty m:val="p"/>
              </m:rPr>
              <w:rPr>
                <w:rFonts w:hint="default" w:ascii="Cambria Math" w:hAnsi="Cambria Math" w:eastAsia="宋体" w:cs="Times New Roman"/>
                <w:b w:val="0"/>
                <w:i w:val="0"/>
                <w:color w:val="auto"/>
                <w:sz w:val="24"/>
                <w:szCs w:val="24"/>
                <w:highlight w:val="none"/>
              </w:rPr>
              <m:t>s</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与</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ω</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w:t>
      </w:r>
      <m:oMath>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正相关，与</w:t>
      </w:r>
      <m:oMath>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iCs/>
                <w:color w:val="auto"/>
                <w:sz w:val="24"/>
                <w:szCs w:val="24"/>
                <w:highlight w:val="none"/>
              </w:rPr>
              <m:t>o</m:t>
            </m:r>
            <m:ctrlPr>
              <w:rPr>
                <w:rFonts w:hint="default" w:ascii="Cambria Math" w:hAnsi="Cambria Math" w:eastAsia="宋体" w:cs="Times New Roman"/>
                <w:i/>
                <w:color w:val="auto"/>
                <w:sz w:val="24"/>
                <w:szCs w:val="24"/>
                <w:highlight w:val="none"/>
              </w:rPr>
            </m:ctrlPr>
          </m:e>
          <m:sub>
            <m:r>
              <m:rPr>
                <m:nor/>
                <m:sty m:val="p"/>
              </m:rPr>
              <w:rPr>
                <w:rFonts w:hint="default" w:ascii="Cambria Math" w:hAnsi="Cambria Math" w:eastAsia="宋体" w:cs="Times New Roman"/>
                <w:b w:val="0"/>
                <w:i w:val="0"/>
                <w:color w:val="auto"/>
                <w:sz w:val="24"/>
                <w:szCs w:val="24"/>
                <w:highlight w:val="none"/>
              </w:rPr>
              <m:t>pq</m:t>
            </m:r>
            <m:ctrlPr>
              <w:rPr>
                <w:rFonts w:hint="default" w:ascii="Cambria Math" w:hAnsi="Cambria Math" w:eastAsia="宋体" w:cs="Times New Roman"/>
                <w:color w:val="auto"/>
                <w:sz w:val="24"/>
                <w:szCs w:val="24"/>
                <w:highlight w:val="none"/>
              </w:rPr>
            </m:ctrlPr>
          </m:sub>
        </m:sSub>
      </m:oMath>
      <w:r>
        <w:rPr>
          <w:rFonts w:hint="default" w:ascii="Times New Roman" w:hAnsi="Times New Roman" w:eastAsia="宋体" w:cs="Times New Roman"/>
          <w:color w:val="auto"/>
          <w:sz w:val="24"/>
          <w:szCs w:val="24"/>
          <w:highlight w:val="none"/>
        </w:rPr>
        <w:t>负相关（石景云，1988；马艳等，2017；王智强，2020）。综上分析，（13）式可进一步表示为</w:t>
      </w:r>
    </w:p>
    <w:p w14:paraId="744BEB3B">
      <w:pPr>
        <w:pageBreakBefore w:val="0"/>
        <w:tabs>
          <w:tab w:val="center" w:pos="4095"/>
          <w:tab w:val="right" w:pos="8190"/>
        </w:tabs>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position w:val="-34"/>
          <w:sz w:val="24"/>
          <w:szCs w:val="24"/>
          <w:highlight w:val="none"/>
        </w:rPr>
        <w:object>
          <v:shape id="_x0000_i1030" o:spt="75" type="#_x0000_t75" style="height:40.65pt;width:303.35pt;" o:ole="t" filled="f" o:preferrelative="t" stroked="f" coordsize="21600,21600">
            <v:path/>
            <v:fill on="f" focussize="0,0"/>
            <v:stroke on="f" joinstyle="miter"/>
            <v:imagedata r:id="rId59" o:title=""/>
            <o:lock v:ext="edit" aspectratio="t"/>
            <w10:wrap type="none"/>
            <w10:anchorlock/>
          </v:shape>
          <o:OLEObject Type="Embed" ProgID="Equation.KSEE3" ShapeID="_x0000_i1030" DrawAspect="Content" ObjectID="_1468075735" r:id="rId58">
            <o:LockedField>false</o:LockedField>
          </o:OLEObject>
        </w:object>
      </w:r>
      <w:r>
        <w:rPr>
          <w:rFonts w:hint="default" w:ascii="Times New Roman" w:hAnsi="Times New Roman" w:eastAsia="宋体" w:cs="Times New Roman"/>
          <w:color w:val="auto"/>
          <w:sz w:val="24"/>
          <w:szCs w:val="24"/>
          <w:highlight w:val="none"/>
        </w:rPr>
        <w:tab/>
      </w:r>
      <w:r>
        <w:rPr>
          <w:rFonts w:hint="default" w:ascii="Times New Roman" w:hAnsi="Times New Roman" w:eastAsia="宋体" w:cs="Times New Roman"/>
          <w:color w:val="auto"/>
          <w:sz w:val="24"/>
          <w:szCs w:val="24"/>
          <w:highlight w:val="none"/>
        </w:rPr>
        <w:t>（14）</w:t>
      </w:r>
    </w:p>
    <w:p w14:paraId="4CC3B16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表示正相关，“-”表示负相关，“0”表示不相关。一般经济增长模型（14）纳入了衡量产能过剩的关键指标——固定资本利用率、衡量产品过剩的关键指标——剩余价值实现率，这是本文在前人研究基础上取得的创新，前人研究的是在特定系数矩阵</w:t>
      </w:r>
      <w:r>
        <w:rPr>
          <w:rFonts w:hint="default" w:ascii="Times New Roman" w:hAnsi="Times New Roman" w:eastAsia="宋体" w:cs="Times New Roman"/>
          <w:b/>
          <w:bCs/>
          <w:i/>
          <w:iCs/>
          <w:color w:val="auto"/>
          <w:sz w:val="24"/>
          <w:szCs w:val="24"/>
          <w:highlight w:val="none"/>
        </w:rPr>
        <w:t>C</w:t>
      </w:r>
      <w:r>
        <w:rPr>
          <w:rFonts w:hint="default" w:ascii="Times New Roman" w:hAnsi="Times New Roman" w:eastAsia="宋体" w:cs="Times New Roman"/>
          <w:color w:val="auto"/>
          <w:sz w:val="24"/>
          <w:szCs w:val="24"/>
          <w:highlight w:val="none"/>
        </w:rPr>
        <w:t>下</w:t>
      </w:r>
      <w:r>
        <w:rPr>
          <w:rFonts w:hint="default" w:ascii="Times New Roman" w:hAnsi="Times New Roman" w:eastAsia="宋体" w:cs="Times New Roman"/>
          <w:i/>
          <w:iCs/>
          <w:color w:val="auto"/>
          <w:sz w:val="24"/>
          <w:szCs w:val="24"/>
          <w:highlight w:val="none"/>
        </w:rPr>
        <w:t xml:space="preserve">σ </w:t>
      </w:r>
      <w:r>
        <w:rPr>
          <w:rFonts w:hint="default" w:ascii="Times New Roman" w:hAnsi="Times New Roman" w:eastAsia="宋体" w:cs="Times New Roman"/>
          <w:color w:val="auto"/>
          <w:sz w:val="24"/>
          <w:szCs w:val="24"/>
          <w:highlight w:val="none"/>
        </w:rPr>
        <w:t>= 1、</w:t>
      </w:r>
      <w:r>
        <w:rPr>
          <w:rFonts w:hint="default" w:ascii="Times New Roman" w:hAnsi="Times New Roman" w:eastAsia="宋体" w:cs="Times New Roman"/>
          <w:i/>
          <w:iCs/>
          <w:color w:val="auto"/>
          <w:sz w:val="24"/>
          <w:szCs w:val="24"/>
          <w:highlight w:val="none"/>
        </w:rPr>
        <w:t xml:space="preserve">θ </w:t>
      </w:r>
      <w:r>
        <w:rPr>
          <w:rFonts w:hint="default" w:ascii="Times New Roman" w:hAnsi="Times New Roman" w:eastAsia="宋体" w:cs="Times New Roman"/>
          <w:color w:val="auto"/>
          <w:sz w:val="24"/>
          <w:szCs w:val="24"/>
          <w:highlight w:val="none"/>
        </w:rPr>
        <w:t>= 1、</w:t>
      </w:r>
      <m:oMath>
        <m:acc>
          <m:accPr>
            <m:chr m:val="̇"/>
            <m:ctrlPr>
              <w:rPr>
                <w:rFonts w:hint="default" w:ascii="Cambria Math" w:hAnsi="Cambria Math" w:eastAsia="宋体" w:cs="Times New Roman"/>
                <w:i/>
                <w:color w:val="auto"/>
                <w:sz w:val="24"/>
                <w:szCs w:val="24"/>
                <w:highlight w:val="none"/>
              </w:rPr>
            </m:ctrlPr>
          </m:accPr>
          <m:e>
            <m:r>
              <m:rPr/>
              <w:rPr>
                <w:rFonts w:hint="default" w:ascii="Cambria Math" w:hAnsi="Cambria Math" w:eastAsia="宋体" w:cs="Times New Roman"/>
                <w:color w:val="auto"/>
                <w:sz w:val="24"/>
                <w:szCs w:val="24"/>
                <w:highlight w:val="none"/>
              </w:rPr>
              <m:t xml:space="preserve">σ </m:t>
            </m:r>
            <m:ctrlPr>
              <w:rPr>
                <w:rFonts w:hint="default" w:ascii="Cambria Math" w:hAnsi="Cambria Math" w:eastAsia="宋体" w:cs="Times New Roman"/>
                <w:i/>
                <w:color w:val="auto"/>
                <w:sz w:val="24"/>
                <w:szCs w:val="24"/>
                <w:highlight w:val="none"/>
              </w:rPr>
            </m:ctrlPr>
          </m:e>
        </m:acc>
        <m:r>
          <m:rPr>
            <m:nor/>
            <m:sty m:val="p"/>
          </m:rPr>
          <w:rPr>
            <w:rFonts w:hint="default" w:ascii="Cambria Math" w:hAnsi="Cambria Math" w:eastAsia="宋体" w:cs="Times New Roman"/>
            <w:b w:val="0"/>
            <w:i w:val="0"/>
            <w:iCs/>
            <w:color w:val="auto"/>
            <w:sz w:val="24"/>
            <w:szCs w:val="24"/>
            <w:highlight w:val="none"/>
          </w:rPr>
          <m:t>= 0</m:t>
        </m:r>
      </m:oMath>
      <w:r>
        <w:rPr>
          <w:rFonts w:hint="default" w:ascii="Times New Roman" w:hAnsi="Times New Roman" w:eastAsia="宋体" w:cs="Times New Roman"/>
          <w:color w:val="auto"/>
          <w:sz w:val="24"/>
          <w:szCs w:val="24"/>
          <w:highlight w:val="none"/>
        </w:rPr>
        <w:t>、</w:t>
      </w:r>
      <m:oMath>
        <m:acc>
          <m:accPr>
            <m:chr m:val="̇"/>
            <m:ctrlPr>
              <w:rPr>
                <w:rFonts w:hint="default" w:ascii="Cambria Math" w:hAnsi="Cambria Math" w:eastAsia="宋体" w:cs="Times New Roman"/>
                <w:i/>
                <w:color w:val="auto"/>
                <w:sz w:val="24"/>
                <w:szCs w:val="24"/>
                <w:highlight w:val="none"/>
              </w:rPr>
            </m:ctrlPr>
          </m:accPr>
          <m:e>
            <m:r>
              <m:rPr/>
              <w:rPr>
                <w:rFonts w:hint="default" w:ascii="Cambria Math" w:hAnsi="Cambria Math" w:eastAsia="宋体" w:cs="Times New Roman"/>
                <w:color w:val="auto"/>
                <w:sz w:val="24"/>
                <w:szCs w:val="24"/>
                <w:highlight w:val="none"/>
              </w:rPr>
              <m:t>θ</m:t>
            </m:r>
            <m:ctrlPr>
              <w:rPr>
                <w:rFonts w:hint="default" w:ascii="Cambria Math" w:hAnsi="Cambria Math" w:eastAsia="宋体" w:cs="Times New Roman"/>
                <w:i/>
                <w:color w:val="auto"/>
                <w:sz w:val="24"/>
                <w:szCs w:val="24"/>
                <w:highlight w:val="none"/>
              </w:rPr>
            </m:ctrlPr>
          </m:e>
        </m:acc>
        <m:r>
          <m:rPr>
            <m:nor/>
            <m:sty m:val="p"/>
          </m:rPr>
          <w:rPr>
            <w:rFonts w:hint="default" w:ascii="Cambria Math" w:hAnsi="Cambria Math" w:eastAsia="宋体" w:cs="Times New Roman"/>
            <w:b w:val="0"/>
            <w:i w:val="0"/>
            <w:iCs/>
            <w:color w:val="auto"/>
            <w:sz w:val="24"/>
            <w:szCs w:val="24"/>
            <w:highlight w:val="none"/>
          </w:rPr>
          <m:t xml:space="preserve"> = 0</m:t>
        </m:r>
      </m:oMath>
      <w:r>
        <w:rPr>
          <w:rFonts w:hint="default" w:ascii="Times New Roman" w:hAnsi="Times New Roman" w:eastAsia="宋体" w:cs="Times New Roman"/>
          <w:color w:val="auto"/>
          <w:sz w:val="24"/>
          <w:szCs w:val="24"/>
          <w:highlight w:val="none"/>
        </w:rPr>
        <w:t>的经济增长。</w:t>
      </w:r>
    </w:p>
    <w:p w14:paraId="7BABEA96">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Style w:val="23"/>
          <w:rFonts w:hint="default" w:ascii="Times New Roman" w:hAnsi="Times New Roman" w:eastAsia="宋体" w:cs="Times New Roman"/>
          <w:b/>
          <w:bCs/>
          <w:color w:val="auto"/>
          <w:sz w:val="24"/>
          <w:szCs w:val="24"/>
          <w:highlight w:val="none"/>
        </w:rPr>
        <w:t>（三）产能</w:t>
      </w:r>
      <w:r>
        <w:rPr>
          <w:rFonts w:hint="default" w:ascii="Times New Roman" w:hAnsi="Times New Roman" w:eastAsia="宋体" w:cs="Times New Roman"/>
          <w:color w:val="auto"/>
          <w:sz w:val="24"/>
          <w:szCs w:val="24"/>
          <w:highlight w:val="none"/>
        </w:rPr>
        <w:t>过剩通过经济循环影响经济增长</w:t>
      </w:r>
    </w:p>
    <w:p w14:paraId="23CDCB0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假如社会扩大再生产顺畅地进行，那么，</w:t>
      </w:r>
      <w:r>
        <w:rPr>
          <w:rFonts w:hint="default" w:ascii="Times New Roman" w:hAnsi="Times New Roman" w:eastAsia="宋体" w:cs="Times New Roman"/>
          <w:i/>
          <w:iCs/>
          <w:color w:val="auto"/>
          <w:sz w:val="24"/>
          <w:szCs w:val="24"/>
          <w:highlight w:val="none"/>
        </w:rPr>
        <w:t xml:space="preserve">λ </w:t>
      </w:r>
      <w:r>
        <w:rPr>
          <w:rFonts w:hint="default" w:ascii="Times New Roman" w:hAnsi="Times New Roman" w:eastAsia="宋体" w:cs="Times New Roman"/>
          <w:color w:val="auto"/>
          <w:sz w:val="24"/>
          <w:szCs w:val="24"/>
          <w:highlight w:val="none"/>
        </w:rPr>
        <w:t>= 1，</w:t>
      </w:r>
      <w:r>
        <w:rPr>
          <w:rFonts w:hint="default" w:ascii="Times New Roman" w:hAnsi="Times New Roman" w:eastAsia="宋体" w:cs="Times New Roman"/>
          <w:i/>
          <w:iCs/>
          <w:color w:val="auto"/>
          <w:sz w:val="24"/>
          <w:szCs w:val="24"/>
          <w:highlight w:val="none"/>
        </w:rPr>
        <w:t>θ</w:t>
      </w:r>
      <w:r>
        <w:rPr>
          <w:rFonts w:hint="default" w:ascii="Times New Roman" w:hAnsi="Times New Roman" w:eastAsia="宋体" w:cs="Times New Roman"/>
          <w:color w:val="auto"/>
          <w:sz w:val="24"/>
          <w:szCs w:val="24"/>
          <w:highlight w:val="none"/>
        </w:rPr>
        <w:t xml:space="preserve"> = </w:t>
      </w:r>
      <w:r>
        <w:rPr>
          <w:rFonts w:hint="default" w:ascii="Times New Roman" w:hAnsi="Times New Roman" w:eastAsia="宋体" w:cs="Times New Roman"/>
          <w:i/>
          <w:iCs/>
          <w:color w:val="auto"/>
          <w:sz w:val="24"/>
          <w:szCs w:val="24"/>
          <w:highlight w:val="none"/>
        </w:rPr>
        <w:t>θ</w:t>
      </w:r>
      <w:r>
        <w:rPr>
          <w:rFonts w:hint="default" w:ascii="Times New Roman" w:hAnsi="Times New Roman" w:eastAsia="宋体" w:cs="Times New Roman"/>
          <w:color w:val="auto"/>
          <w:sz w:val="24"/>
          <w:szCs w:val="24"/>
          <w:highlight w:val="none"/>
          <w:vertAlign w:val="superscript"/>
        </w:rPr>
        <w:t>*</w:t>
      </w:r>
      <w:r>
        <w:rPr>
          <w:rFonts w:hint="default" w:ascii="Times New Roman" w:hAnsi="Times New Roman" w:eastAsia="宋体" w:cs="Times New Roman"/>
          <w:color w:val="auto"/>
          <w:sz w:val="24"/>
          <w:szCs w:val="24"/>
          <w:highlight w:val="none"/>
        </w:rPr>
        <w:t>=1，</w:t>
      </w:r>
      <w:r>
        <w:rPr>
          <w:rFonts w:hint="default" w:ascii="Times New Roman" w:hAnsi="Times New Roman" w:eastAsia="宋体" w:cs="Times New Roman"/>
          <w:i/>
          <w:iCs/>
          <w:color w:val="auto"/>
          <w:sz w:val="24"/>
          <w:szCs w:val="24"/>
          <w:highlight w:val="none"/>
        </w:rPr>
        <w:t xml:space="preserve">σ </w:t>
      </w:r>
      <w:r>
        <w:rPr>
          <w:rFonts w:hint="default" w:ascii="Times New Roman" w:hAnsi="Times New Roman" w:eastAsia="宋体" w:cs="Times New Roman"/>
          <w:color w:val="auto"/>
          <w:sz w:val="24"/>
          <w:szCs w:val="24"/>
          <w:highlight w:val="none"/>
        </w:rPr>
        <w:t xml:space="preserve">= </w:t>
      </w:r>
      <w:r>
        <w:rPr>
          <w:rFonts w:hint="default" w:ascii="Times New Roman" w:hAnsi="Times New Roman" w:eastAsia="宋体" w:cs="Times New Roman"/>
          <w:i/>
          <w:iCs/>
          <w:color w:val="auto"/>
          <w:sz w:val="24"/>
          <w:szCs w:val="24"/>
          <w:highlight w:val="none"/>
        </w:rPr>
        <w:t>σ</w:t>
      </w:r>
      <w:r>
        <w:rPr>
          <w:rFonts w:hint="default" w:ascii="Times New Roman" w:hAnsi="Times New Roman" w:eastAsia="宋体" w:cs="Times New Roman"/>
          <w:color w:val="auto"/>
          <w:sz w:val="24"/>
          <w:szCs w:val="24"/>
          <w:highlight w:val="none"/>
          <w:vertAlign w:val="superscript"/>
        </w:rPr>
        <w:t>*</w:t>
      </w:r>
      <w:r>
        <w:rPr>
          <w:rFonts w:hint="default" w:ascii="Times New Roman" w:hAnsi="Times New Roman" w:eastAsia="宋体" w:cs="Times New Roman"/>
          <w:color w:val="auto"/>
          <w:sz w:val="24"/>
          <w:szCs w:val="24"/>
          <w:highlight w:val="none"/>
        </w:rPr>
        <w:t xml:space="preserve"> =1，</w:t>
      </w:r>
      <w:r>
        <w:rPr>
          <w:rFonts w:hint="default" w:ascii="Times New Roman" w:hAnsi="Times New Roman" w:eastAsia="宋体" w:cs="Times New Roman"/>
          <w:i/>
          <w:iCs/>
          <w:color w:val="auto"/>
          <w:sz w:val="24"/>
          <w:szCs w:val="24"/>
          <w:highlight w:val="none"/>
        </w:rPr>
        <w:t>g</w:t>
      </w:r>
      <w:r>
        <w:rPr>
          <w:rFonts w:hint="default" w:ascii="Times New Roman" w:hAnsi="Times New Roman" w:eastAsia="宋体" w:cs="Times New Roman"/>
          <w:i/>
          <w:iCs/>
          <w:color w:val="auto"/>
          <w:sz w:val="24"/>
          <w:szCs w:val="24"/>
          <w:highlight w:val="none"/>
          <w:vertAlign w:val="superscript"/>
        </w:rPr>
        <w:t>λ</w:t>
      </w:r>
      <w:r>
        <w:rPr>
          <w:rFonts w:hint="default" w:ascii="Times New Roman" w:hAnsi="Times New Roman" w:eastAsia="宋体" w:cs="Times New Roman"/>
          <w:color w:val="auto"/>
          <w:sz w:val="24"/>
          <w:szCs w:val="24"/>
          <w:highlight w:val="none"/>
        </w:rPr>
        <w:t xml:space="preserve"> = 0，</w:t>
      </w:r>
      <m:oMath>
        <m:acc>
          <m:accPr>
            <m:chr m:val="̇"/>
            <m:ctrlPr>
              <w:rPr>
                <w:rFonts w:hint="default" w:ascii="Cambria Math" w:hAnsi="Cambria Math" w:eastAsia="宋体" w:cs="Times New Roman"/>
                <w:i/>
                <w:color w:val="auto"/>
                <w:sz w:val="24"/>
                <w:szCs w:val="24"/>
                <w:highlight w:val="none"/>
              </w:rPr>
            </m:ctrlPr>
          </m:accPr>
          <m:e>
            <m:r>
              <m:rPr/>
              <w:rPr>
                <w:rFonts w:hint="default" w:ascii="Cambria Math" w:hAnsi="Cambria Math" w:eastAsia="宋体" w:cs="Times New Roman"/>
                <w:color w:val="auto"/>
                <w:sz w:val="24"/>
                <w:szCs w:val="24"/>
                <w:highlight w:val="none"/>
              </w:rPr>
              <m:t>θ</m:t>
            </m:r>
            <m:ctrlPr>
              <w:rPr>
                <w:rFonts w:hint="default" w:ascii="Cambria Math" w:hAnsi="Cambria Math" w:eastAsia="宋体" w:cs="Times New Roman"/>
                <w:i/>
                <w:color w:val="auto"/>
                <w:sz w:val="24"/>
                <w:szCs w:val="24"/>
                <w:highlight w:val="none"/>
              </w:rPr>
            </m:ctrlPr>
          </m:e>
        </m:acc>
        <m:r>
          <m:rPr>
            <m:nor/>
            <m:sty m:val="p"/>
          </m:rPr>
          <w:rPr>
            <w:rFonts w:hint="default" w:ascii="Cambria Math" w:hAnsi="Cambria Math" w:eastAsia="宋体" w:cs="Times New Roman"/>
            <w:b w:val="0"/>
            <w:i w:val="0"/>
            <w:iCs/>
            <w:color w:val="auto"/>
            <w:sz w:val="24"/>
            <w:szCs w:val="24"/>
            <w:highlight w:val="none"/>
          </w:rPr>
          <m:t xml:space="preserve"> = 0</m:t>
        </m:r>
      </m:oMath>
      <w:r>
        <w:rPr>
          <w:rFonts w:hint="default" w:ascii="Times New Roman" w:hAnsi="Times New Roman" w:eastAsia="宋体" w:cs="Times New Roman"/>
          <w:color w:val="auto"/>
          <w:sz w:val="24"/>
          <w:szCs w:val="24"/>
          <w:highlight w:val="none"/>
        </w:rPr>
        <w:t>，</w:t>
      </w:r>
      <m:oMath>
        <m:acc>
          <m:accPr>
            <m:chr m:val="̇"/>
            <m:ctrlPr>
              <w:rPr>
                <w:rFonts w:hint="default" w:ascii="Cambria Math" w:hAnsi="Cambria Math" w:eastAsia="宋体" w:cs="Times New Roman"/>
                <w:i/>
                <w:color w:val="auto"/>
                <w:sz w:val="24"/>
                <w:szCs w:val="24"/>
                <w:highlight w:val="none"/>
              </w:rPr>
            </m:ctrlPr>
          </m:accPr>
          <m:e>
            <m:r>
              <m:rPr/>
              <w:rPr>
                <w:rFonts w:hint="default" w:ascii="Cambria Math" w:hAnsi="Cambria Math" w:eastAsia="宋体" w:cs="Times New Roman"/>
                <w:color w:val="auto"/>
                <w:sz w:val="24"/>
                <w:szCs w:val="24"/>
                <w:highlight w:val="none"/>
              </w:rPr>
              <m:t xml:space="preserve">σ </m:t>
            </m:r>
            <m:ctrlPr>
              <w:rPr>
                <w:rFonts w:hint="default" w:ascii="Cambria Math" w:hAnsi="Cambria Math" w:eastAsia="宋体" w:cs="Times New Roman"/>
                <w:i/>
                <w:color w:val="auto"/>
                <w:sz w:val="24"/>
                <w:szCs w:val="24"/>
                <w:highlight w:val="none"/>
              </w:rPr>
            </m:ctrlPr>
          </m:e>
        </m:acc>
        <m:r>
          <m:rPr>
            <m:nor/>
            <m:sty m:val="p"/>
          </m:rPr>
          <w:rPr>
            <w:rFonts w:hint="default" w:ascii="Cambria Math" w:hAnsi="Cambria Math" w:eastAsia="宋体" w:cs="Times New Roman"/>
            <w:b w:val="0"/>
            <w:i w:val="0"/>
            <w:iCs/>
            <w:color w:val="auto"/>
            <w:sz w:val="24"/>
            <w:szCs w:val="24"/>
            <w:highlight w:val="none"/>
          </w:rPr>
          <m:t>= 0</m:t>
        </m:r>
      </m:oMath>
      <w:r>
        <w:rPr>
          <w:rFonts w:hint="default" w:ascii="Times New Roman" w:hAnsi="Times New Roman" w:eastAsia="宋体" w:cs="Times New Roman"/>
          <w:iCs/>
          <w:color w:val="auto"/>
          <w:sz w:val="24"/>
          <w:szCs w:val="24"/>
          <w:highlight w:val="none"/>
        </w:rPr>
        <w:t>，</w:t>
      </w:r>
      <w:r>
        <w:rPr>
          <w:rFonts w:hint="default" w:ascii="Times New Roman" w:hAnsi="Times New Roman" w:eastAsia="宋体" w:cs="Times New Roman"/>
          <w:i/>
          <w:color w:val="auto"/>
          <w:sz w:val="24"/>
          <w:szCs w:val="24"/>
          <w:highlight w:val="none"/>
        </w:rPr>
        <w:t>y</w:t>
      </w:r>
      <w:r>
        <w:rPr>
          <w:rFonts w:hint="default" w:ascii="Times New Roman" w:hAnsi="Times New Roman" w:eastAsia="宋体" w:cs="Times New Roman"/>
          <w:iCs/>
          <w:color w:val="auto"/>
          <w:sz w:val="24"/>
          <w:szCs w:val="24"/>
          <w:highlight w:val="none"/>
          <w:vertAlign w:val="superscript"/>
        </w:rPr>
        <w:t>d</w:t>
      </w:r>
      <w:r>
        <w:rPr>
          <w:rFonts w:hint="default" w:ascii="Times New Roman" w:hAnsi="Times New Roman" w:eastAsia="宋体" w:cs="Times New Roman"/>
          <w:iCs/>
          <w:color w:val="auto"/>
          <w:sz w:val="24"/>
          <w:szCs w:val="24"/>
          <w:highlight w:val="none"/>
        </w:rPr>
        <w:t xml:space="preserve"> = </w:t>
      </w:r>
      <w:r>
        <w:rPr>
          <w:rFonts w:hint="default" w:ascii="Times New Roman" w:hAnsi="Times New Roman" w:eastAsia="宋体" w:cs="Times New Roman"/>
          <w:i/>
          <w:color w:val="auto"/>
          <w:sz w:val="24"/>
          <w:szCs w:val="24"/>
          <w:highlight w:val="none"/>
        </w:rPr>
        <w:t>y</w:t>
      </w:r>
      <w:r>
        <w:rPr>
          <w:rFonts w:hint="default" w:ascii="Times New Roman" w:hAnsi="Times New Roman" w:eastAsia="宋体" w:cs="Times New Roman"/>
          <w:iCs/>
          <w:color w:val="auto"/>
          <w:sz w:val="24"/>
          <w:szCs w:val="24"/>
          <w:highlight w:val="none"/>
          <w:vertAlign w:val="superscript"/>
        </w:rPr>
        <w:t>s</w:t>
      </w:r>
      <w:r>
        <w:rPr>
          <w:rFonts w:hint="default" w:ascii="Times New Roman" w:hAnsi="Times New Roman" w:eastAsia="宋体" w:cs="Times New Roman"/>
          <w:iCs/>
          <w:color w:val="auto"/>
          <w:sz w:val="24"/>
          <w:szCs w:val="24"/>
          <w:highlight w:val="none"/>
        </w:rPr>
        <w:t xml:space="preserve"> = </w:t>
      </w:r>
      <w:r>
        <w:rPr>
          <w:rFonts w:hint="default" w:ascii="Times New Roman" w:hAnsi="Times New Roman" w:eastAsia="宋体" w:cs="Times New Roman"/>
          <w:i/>
          <w:color w:val="auto"/>
          <w:sz w:val="24"/>
          <w:szCs w:val="24"/>
          <w:highlight w:val="none"/>
        </w:rPr>
        <w:t>y</w:t>
      </w:r>
      <w:r>
        <w:rPr>
          <w:rFonts w:hint="default" w:ascii="Times New Roman" w:hAnsi="Times New Roman" w:eastAsia="宋体" w:cs="Times New Roman"/>
          <w:iCs/>
          <w:color w:val="auto"/>
          <w:sz w:val="24"/>
          <w:szCs w:val="24"/>
          <w:highlight w:val="none"/>
          <w:vertAlign w:val="superscript"/>
        </w:rPr>
        <w:t>*</w:t>
      </w:r>
      <w:r>
        <w:rPr>
          <w:rFonts w:hint="default" w:ascii="Times New Roman" w:hAnsi="Times New Roman" w:eastAsia="宋体" w:cs="Times New Roman"/>
          <w:iCs/>
          <w:color w:val="auto"/>
          <w:sz w:val="24"/>
          <w:szCs w:val="24"/>
          <w:highlight w:val="none"/>
        </w:rPr>
        <w:t>，</w:t>
      </w:r>
      <w:r>
        <w:rPr>
          <w:rFonts w:hint="default" w:ascii="Times New Roman" w:hAnsi="Times New Roman" w:eastAsia="宋体" w:cs="Times New Roman"/>
          <w:i/>
          <w:color w:val="auto"/>
          <w:sz w:val="24"/>
          <w:szCs w:val="24"/>
          <w:highlight w:val="none"/>
        </w:rPr>
        <w:t>g</w:t>
      </w:r>
      <w:r>
        <w:rPr>
          <w:rFonts w:hint="default" w:ascii="Times New Roman" w:hAnsi="Times New Roman" w:eastAsia="宋体" w:cs="Times New Roman"/>
          <w:iCs/>
          <w:color w:val="auto"/>
          <w:sz w:val="24"/>
          <w:szCs w:val="24"/>
          <w:highlight w:val="none"/>
          <w:vertAlign w:val="superscript"/>
        </w:rPr>
        <w:t>d</w:t>
      </w:r>
      <w:r>
        <w:rPr>
          <w:rFonts w:hint="default" w:ascii="Times New Roman" w:hAnsi="Times New Roman" w:eastAsia="宋体" w:cs="Times New Roman"/>
          <w:iCs/>
          <w:color w:val="auto"/>
          <w:sz w:val="24"/>
          <w:szCs w:val="24"/>
          <w:highlight w:val="none"/>
        </w:rPr>
        <w:t xml:space="preserve"> = </w:t>
      </w:r>
      <w:r>
        <w:rPr>
          <w:rFonts w:hint="default" w:ascii="Times New Roman" w:hAnsi="Times New Roman" w:eastAsia="宋体" w:cs="Times New Roman"/>
          <w:i/>
          <w:color w:val="auto"/>
          <w:sz w:val="24"/>
          <w:szCs w:val="24"/>
          <w:highlight w:val="none"/>
        </w:rPr>
        <w:t>g</w:t>
      </w:r>
      <w:r>
        <w:rPr>
          <w:rFonts w:hint="default" w:ascii="Times New Roman" w:hAnsi="Times New Roman" w:eastAsia="宋体" w:cs="Times New Roman"/>
          <w:iCs/>
          <w:color w:val="auto"/>
          <w:sz w:val="24"/>
          <w:szCs w:val="24"/>
          <w:highlight w:val="none"/>
          <w:vertAlign w:val="superscript"/>
        </w:rPr>
        <w:t>s</w:t>
      </w:r>
      <w:r>
        <w:rPr>
          <w:rFonts w:hint="default" w:ascii="Times New Roman" w:hAnsi="Times New Roman" w:eastAsia="宋体" w:cs="Times New Roman"/>
          <w:iCs/>
          <w:color w:val="auto"/>
          <w:sz w:val="24"/>
          <w:szCs w:val="24"/>
          <w:highlight w:val="none"/>
        </w:rPr>
        <w:t xml:space="preserve"> =</w:t>
      </w:r>
      <w:r>
        <w:rPr>
          <w:rFonts w:hint="default" w:ascii="Times New Roman" w:hAnsi="Times New Roman" w:eastAsia="宋体" w:cs="Times New Roman"/>
          <w:i/>
          <w:color w:val="auto"/>
          <w:sz w:val="24"/>
          <w:szCs w:val="24"/>
          <w:highlight w:val="none"/>
        </w:rPr>
        <w:t>g</w:t>
      </w:r>
      <w:r>
        <w:rPr>
          <w:rFonts w:hint="default" w:ascii="Times New Roman" w:hAnsi="Times New Roman" w:eastAsia="宋体" w:cs="Times New Roman"/>
          <w:iCs/>
          <w:color w:val="auto"/>
          <w:sz w:val="24"/>
          <w:szCs w:val="24"/>
          <w:highlight w:val="none"/>
          <w:vertAlign w:val="superscript"/>
        </w:rPr>
        <w:t>*</w:t>
      </w:r>
      <w:r>
        <w:rPr>
          <w:rFonts w:hint="default" w:ascii="Times New Roman" w:hAnsi="Times New Roman" w:eastAsia="宋体" w:cs="Times New Roman"/>
          <w:color w:val="auto"/>
          <w:sz w:val="24"/>
          <w:szCs w:val="24"/>
          <w:highlight w:val="none"/>
        </w:rPr>
        <w:t>，经济保持均衡增长。</w:t>
      </w:r>
      <w:r>
        <w:rPr>
          <w:rStyle w:val="20"/>
          <w:rFonts w:hint="default" w:ascii="Times New Roman" w:hAnsi="Times New Roman" w:eastAsia="宋体" w:cs="Times New Roman"/>
          <w:color w:val="auto"/>
          <w:sz w:val="24"/>
          <w:szCs w:val="24"/>
          <w:highlight w:val="none"/>
        </w:rPr>
        <w:footnoteReference w:id="775"/>
      </w:r>
      <w:r>
        <w:rPr>
          <w:rFonts w:hint="default" w:ascii="Times New Roman" w:hAnsi="Times New Roman" w:eastAsia="宋体" w:cs="Times New Roman"/>
          <w:color w:val="auto"/>
          <w:sz w:val="24"/>
          <w:szCs w:val="24"/>
          <w:highlight w:val="none"/>
        </w:rPr>
        <w:t>然而，现实的资本主义经济运行却是，固定资本有机构成提高型资本积累导致各部类之间无法维持完全的比例性成为常态。一方面，资本主义生产的内在规律作为竞争的强制规律迫使机器、设备与软件不断升级换代，另一方面，受以对抗性分配关系为基础的消费力的限制，日益扩大的生产能力得不到充分利用。根据第三部分的分析并结合（14）式可知，固定资本有机构成与剩余价值率的提高排斥了经济均衡增长的可能性，并且，固定资本有机构成对经济增长的负效应往往大于剩余价值率的正效应，经济增长率趋向下降。追加的固定资本相对于追加的可变资本更快地增长，固定资本相对于可变资本更快地增长，导致3部类与4部类的剩余价值实现率下降，此时</w:t>
      </w:r>
      <m:oMath>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color w:val="auto"/>
                <w:sz w:val="24"/>
                <w:szCs w:val="24"/>
                <w:highlight w:val="none"/>
              </w:rPr>
              <m:t>g</m:t>
            </m:r>
            <m:ctrlPr>
              <w:rPr>
                <w:rFonts w:hint="default" w:ascii="Cambria Math" w:hAnsi="Cambria Math" w:eastAsia="宋体" w:cs="Times New Roman"/>
                <w:i/>
                <w:color w:val="auto"/>
                <w:sz w:val="24"/>
                <w:szCs w:val="24"/>
                <w:highlight w:val="none"/>
              </w:rPr>
            </m:ctrlPr>
          </m:e>
          <m:sup>
            <m:r>
              <m:rPr>
                <m:nor/>
              </m:rPr>
              <w:rPr>
                <w:rFonts w:hint="default" w:ascii="Cambria Math" w:hAnsi="Cambria Math" w:eastAsia="宋体" w:cs="Times New Roman"/>
                <w:i/>
                <w:color w:val="auto"/>
                <w:sz w:val="24"/>
                <w:szCs w:val="24"/>
                <w:highlight w:val="none"/>
              </w:rPr>
              <m:t>λ</m:t>
            </m:r>
            <m:ctrlPr>
              <w:rPr>
                <w:rFonts w:hint="default" w:ascii="Cambria Math" w:hAnsi="Cambria Math" w:eastAsia="宋体" w:cs="Times New Roman"/>
                <w:i/>
                <w:color w:val="auto"/>
                <w:sz w:val="24"/>
                <w:szCs w:val="24"/>
                <w:highlight w:val="none"/>
              </w:rPr>
            </m:ctrlPr>
          </m:sup>
        </m:sSup>
        <m:r>
          <m:rPr>
            <m:nor/>
            <m:sty m:val="p"/>
          </m:rPr>
          <w:rPr>
            <w:rFonts w:hint="default" w:ascii="Cambria Math" w:hAnsi="Cambria Math" w:eastAsia="宋体" w:cs="Times New Roman"/>
            <w:b w:val="0"/>
            <w:i w:val="0"/>
            <w:color w:val="auto"/>
            <w:sz w:val="24"/>
            <w:szCs w:val="24"/>
            <w:highlight w:val="none"/>
          </w:rPr>
          <m:t xml:space="preserve"> &lt; 0</m:t>
        </m:r>
      </m:oMath>
      <w:r>
        <w:rPr>
          <w:rFonts w:hint="default" w:ascii="Times New Roman" w:hAnsi="Times New Roman" w:eastAsia="宋体" w:cs="Times New Roman"/>
          <w:color w:val="auto"/>
          <w:sz w:val="24"/>
          <w:szCs w:val="24"/>
          <w:highlight w:val="none"/>
        </w:rPr>
        <w:t>，经济增长率低于均衡增长率。在接下来的再生产过程中，四大部类的剩余价值实现率和固定资本利用率下降，经济增长速度进一步放慢。</w:t>
      </w:r>
    </w:p>
    <w:p w14:paraId="570608D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就图3的数值模拟而言，当活劳动在两大阶级之间的分配比例不变，积累化的剩余价值用于追加固定资本、流动不变资本、可变资本的比例不变时，矩阵</w:t>
      </w:r>
      <w:r>
        <w:rPr>
          <w:rFonts w:hint="default" w:ascii="Times New Roman" w:hAnsi="Times New Roman" w:eastAsia="宋体" w:cs="Times New Roman"/>
          <w:b/>
          <w:bCs/>
          <w:i/>
          <w:iCs/>
          <w:color w:val="auto"/>
          <w:sz w:val="24"/>
          <w:szCs w:val="24"/>
          <w:highlight w:val="none"/>
        </w:rPr>
        <w:t>C</w:t>
      </w:r>
      <w:r>
        <w:rPr>
          <w:rFonts w:hint="default" w:ascii="Times New Roman" w:hAnsi="Times New Roman" w:eastAsia="宋体" w:cs="Times New Roman"/>
          <w:color w:val="auto"/>
          <w:sz w:val="24"/>
          <w:szCs w:val="24"/>
          <w:highlight w:val="none"/>
        </w:rPr>
        <w:t>的Perron-Frobenius根恒为1，经济保持均衡增长，均衡增长率为15%。但这种增长是一种没有技术进步的增长，资本主义生产竭力发展生产力表现为追加的固定资本占剩余价值的比例与利润占活劳动的比例上升，在这种情况下，经济增长率在波动中趋向下降，四大部类的经济增长率分别下降至10.44%、10.09%、8.39%、8.39%。</w:t>
      </w:r>
    </w:p>
    <w:p w14:paraId="2E13EE72">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经济增长模型（14）式直观地呈现了产能过剩与经济增长之间的关系，这种关系可由马克思主义政治经济学来解释。社会扩大再生产正常地进行即经济均衡增长要求生产过程和流通过程顺利地相互转化，社会总资本以合理的比例同时地、并列地处在货币资本、生产资本、商品资本上，并且每个部分依次由一种职能形式过渡到另一种职能形式，最终以离开起点的同一职能形式回到起点。然而，生产过剩使这些条件难以实现。主要消费品过剩、</w:t>
      </w:r>
      <w:r>
        <w:rPr>
          <w:rFonts w:hint="default" w:ascii="Times New Roman" w:hAnsi="Times New Roman" w:eastAsia="宋体" w:cs="Times New Roman"/>
          <w:color w:val="auto"/>
          <w:sz w:val="24"/>
          <w:szCs w:val="24"/>
          <w:highlight w:val="none"/>
          <w:lang w:eastAsia="zh-Hans"/>
        </w:rPr>
        <w:t>W′</w:t>
      </w:r>
      <w:r>
        <w:rPr>
          <w:rFonts w:hint="default" w:ascii="Times New Roman" w:hAnsi="Times New Roman" w:eastAsia="宋体" w:cs="Times New Roman"/>
          <w:color w:val="auto"/>
          <w:sz w:val="24"/>
          <w:szCs w:val="24"/>
          <w:highlight w:val="none"/>
          <w:vertAlign w:val="subscript"/>
          <w:lang w:eastAsia="zh-Hans"/>
        </w:rPr>
        <w:t>I</w:t>
      </w:r>
      <w:r>
        <w:rPr>
          <w:rFonts w:hint="default" w:ascii="Times New Roman" w:hAnsi="Times New Roman" w:eastAsia="宋体" w:cs="Times New Roman"/>
          <w:color w:val="auto"/>
          <w:sz w:val="24"/>
          <w:szCs w:val="24"/>
          <w:highlight w:val="none"/>
          <w:vertAlign w:val="subscript"/>
        </w:rPr>
        <w:t>I</w:t>
      </w:r>
      <w:r>
        <w:rPr>
          <w:rFonts w:hint="default" w:ascii="Times New Roman" w:hAnsi="Times New Roman" w:eastAsia="宋体" w:cs="Times New Roman"/>
          <w:color w:val="auto"/>
          <w:sz w:val="24"/>
          <w:szCs w:val="24"/>
          <w:highlight w:val="none"/>
          <w:lang w:eastAsia="zh-Hans"/>
        </w:rPr>
        <w:t>难以转化为G′</w:t>
      </w:r>
      <w:r>
        <w:rPr>
          <w:rFonts w:hint="default" w:ascii="Times New Roman" w:hAnsi="Times New Roman" w:eastAsia="宋体" w:cs="Times New Roman"/>
          <w:color w:val="auto"/>
          <w:sz w:val="24"/>
          <w:szCs w:val="24"/>
          <w:highlight w:val="none"/>
        </w:rPr>
        <w:t>是经济循环不畅的起因，“一旦由于回流延迟，市场商品过剩，……产业资本就会过剩，……有大量的固定资本，但由于再生产停滞，大部分闲置不用。”</w:t>
      </w:r>
      <w:r>
        <w:rPr>
          <w:rStyle w:val="20"/>
          <w:rFonts w:hint="default" w:ascii="Times New Roman" w:hAnsi="Times New Roman" w:eastAsia="宋体" w:cs="Times New Roman"/>
          <w:color w:val="auto"/>
          <w:sz w:val="24"/>
          <w:szCs w:val="24"/>
          <w:highlight w:val="none"/>
        </w:rPr>
        <w:footnoteReference w:id="776"/>
      </w:r>
      <w:r>
        <w:rPr>
          <w:rFonts w:hint="default" w:ascii="Times New Roman" w:hAnsi="Times New Roman" w:eastAsia="宋体" w:cs="Times New Roman"/>
          <w:color w:val="auto"/>
          <w:sz w:val="24"/>
          <w:szCs w:val="24"/>
          <w:highlight w:val="none"/>
        </w:rPr>
        <w:t>固定资本闲置意味着相应的社会总资本仅仅停留在机器、厂房等生产资料形式上，不再继续执行生产资本的职能，这部分价值以使用价值或物的形式存在，没有逐期地被具体劳动转移到新商品中去，再通过商品流通得以实现。就闲置的固定资本而言，社会总资本运动到生产资本这一形式便停顿了，预付在闲置的固定资本上的货币没有流回到它的起点，即，价值为</w:t>
      </w:r>
      <m:oMath>
        <m:d>
          <m:dPr>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1-</m:t>
            </m:r>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d>
        <m:r>
          <m:rPr>
            <m:nor/>
          </m:rPr>
          <w:rPr>
            <w:rFonts w:hint="default" w:ascii="Cambria Math" w:hAnsi="Cambria Math" w:eastAsia="宋体" w:cs="Times New Roman"/>
            <w:i/>
            <w:iCs/>
            <w:color w:val="auto"/>
            <w:sz w:val="24"/>
            <w:szCs w:val="24"/>
            <w:highlight w:val="none"/>
          </w:rPr>
          <m:t>δ</m:t>
        </m:r>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的货币资本循环只有</w:t>
      </w:r>
      <w:r>
        <w:rPr>
          <w:rFonts w:hint="default" w:ascii="Times New Roman" w:hAnsi="Times New Roman" w:eastAsia="宋体" w:cs="Times New Roman"/>
          <w:color w:val="auto"/>
          <w:sz w:val="24"/>
          <w:szCs w:val="24"/>
          <w:highlight w:val="none"/>
          <w:lang w:eastAsia="zh-Hans"/>
        </w:rPr>
        <w:t>G→P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lang w:eastAsia="zh-Hans"/>
        </w:rPr>
        <w:t>→P，没有P…W′→G′，</w:t>
      </w:r>
      <w:r>
        <w:rPr>
          <w:rFonts w:hint="default" w:ascii="Times New Roman" w:hAnsi="Times New Roman" w:eastAsia="宋体" w:cs="Times New Roman"/>
          <w:color w:val="auto"/>
          <w:sz w:val="24"/>
          <w:szCs w:val="24"/>
          <w:highlight w:val="none"/>
        </w:rPr>
        <w:t>价值为</w:t>
      </w:r>
      <m:oMath>
        <m:d>
          <m:dPr>
            <m:ctrlPr>
              <w:rPr>
                <w:rFonts w:hint="default" w:ascii="Cambria Math" w:hAnsi="Cambria Math" w:eastAsia="宋体" w:cs="Times New Roman"/>
                <w:i/>
                <w:color w:val="auto"/>
                <w:sz w:val="24"/>
                <w:szCs w:val="24"/>
                <w:highlight w:val="none"/>
              </w:rPr>
            </m:ctrlPr>
          </m:dPr>
          <m:e>
            <m:r>
              <m:rPr>
                <m:nor/>
                <m:sty m:val="p"/>
              </m:rPr>
              <w:rPr>
                <w:rFonts w:hint="default" w:ascii="Cambria Math" w:hAnsi="Cambria Math" w:eastAsia="宋体" w:cs="Times New Roman"/>
                <w:b w:val="0"/>
                <w:i w:val="0"/>
                <w:color w:val="auto"/>
                <w:sz w:val="24"/>
                <w:szCs w:val="24"/>
                <w:highlight w:val="none"/>
              </w:rPr>
              <m:t>1-</m:t>
            </m:r>
            <m:r>
              <m:rPr>
                <m:nor/>
              </m:rPr>
              <w:rPr>
                <w:rFonts w:hint="default" w:ascii="Cambria Math" w:hAnsi="Cambria Math" w:eastAsia="宋体" w:cs="Times New Roman"/>
                <w:i/>
                <w:iCs/>
                <w:color w:val="auto"/>
                <w:sz w:val="24"/>
                <w:szCs w:val="24"/>
                <w:highlight w:val="none"/>
              </w:rPr>
              <m:t>σ</m:t>
            </m:r>
            <m:ctrlPr>
              <w:rPr>
                <w:rFonts w:hint="default" w:ascii="Cambria Math" w:hAnsi="Cambria Math" w:eastAsia="宋体" w:cs="Times New Roman"/>
                <w:i/>
                <w:color w:val="auto"/>
                <w:sz w:val="24"/>
                <w:szCs w:val="24"/>
                <w:highlight w:val="none"/>
              </w:rPr>
            </m:ctrlPr>
          </m:e>
        </m:d>
        <m:r>
          <m:rPr>
            <m:nor/>
          </m:rPr>
          <w:rPr>
            <w:rFonts w:hint="default" w:ascii="Cambria Math" w:hAnsi="Cambria Math" w:eastAsia="宋体" w:cs="Times New Roman"/>
            <w:i/>
            <w:iCs/>
            <w:color w:val="auto"/>
            <w:sz w:val="24"/>
            <w:szCs w:val="24"/>
            <w:highlight w:val="none"/>
          </w:rPr>
          <m:t>δ</m:t>
        </m:r>
        <m:sSup>
          <m:sSupPr>
            <m:ctrlPr>
              <w:rPr>
                <w:rFonts w:hint="default" w:ascii="Cambria Math" w:hAnsi="Cambria Math" w:eastAsia="宋体" w:cs="Times New Roman"/>
                <w:i/>
                <w:color w:val="auto"/>
                <w:sz w:val="24"/>
                <w:szCs w:val="24"/>
                <w:highlight w:val="none"/>
              </w:rPr>
            </m:ctrlPr>
          </m:sSupPr>
          <m:e>
            <m:r>
              <m:rPr>
                <m:nor/>
              </m:rPr>
              <w:rPr>
                <w:rFonts w:hint="default" w:ascii="Cambria Math" w:hAnsi="Cambria Math" w:eastAsia="宋体" w:cs="Times New Roman"/>
                <w:i/>
                <w:iCs/>
                <w:color w:val="auto"/>
                <w:sz w:val="24"/>
                <w:szCs w:val="24"/>
                <w:highlight w:val="none"/>
              </w:rPr>
              <m:t>c</m:t>
            </m:r>
            <m:ctrlPr>
              <w:rPr>
                <w:rFonts w:hint="default" w:ascii="Cambria Math" w:hAnsi="Cambria Math" w:eastAsia="宋体" w:cs="Times New Roman"/>
                <w:i/>
                <w:color w:val="auto"/>
                <w:sz w:val="24"/>
                <w:szCs w:val="24"/>
                <w:highlight w:val="none"/>
              </w:rPr>
            </m:ctrlPr>
          </m:e>
          <m:sup>
            <m:r>
              <m:rPr>
                <m:nor/>
                <m:sty m:val="p"/>
              </m:rPr>
              <w:rPr>
                <w:rFonts w:hint="default" w:ascii="Cambria Math" w:hAnsi="Cambria Math" w:eastAsia="宋体" w:cs="Times New Roman"/>
                <w:b w:val="0"/>
                <w:i w:val="0"/>
                <w:color w:val="auto"/>
                <w:sz w:val="24"/>
                <w:szCs w:val="24"/>
                <w:highlight w:val="none"/>
              </w:rPr>
              <m:t>F</m:t>
            </m:r>
            <m:ctrlPr>
              <w:rPr>
                <w:rFonts w:hint="default" w:ascii="Cambria Math" w:hAnsi="Cambria Math" w:eastAsia="宋体" w:cs="Times New Roman"/>
                <w:i/>
                <w:color w:val="auto"/>
                <w:sz w:val="24"/>
                <w:szCs w:val="24"/>
                <w:highlight w:val="none"/>
              </w:rPr>
            </m:ctrlPr>
          </m:sup>
        </m:sSup>
      </m:oMath>
      <w:r>
        <w:rPr>
          <w:rFonts w:hint="default" w:ascii="Times New Roman" w:hAnsi="Times New Roman" w:eastAsia="宋体" w:cs="Times New Roman"/>
          <w:color w:val="auto"/>
          <w:sz w:val="24"/>
          <w:szCs w:val="24"/>
          <w:highlight w:val="none"/>
        </w:rPr>
        <w:t>的货币运动</w:t>
      </w:r>
      <w:r>
        <w:rPr>
          <w:rFonts w:hint="default" w:ascii="Times New Roman" w:hAnsi="Times New Roman" w:eastAsia="宋体" w:cs="Times New Roman"/>
          <w:color w:val="auto"/>
          <w:sz w:val="24"/>
          <w:szCs w:val="24"/>
          <w:highlight w:val="none"/>
          <w:lang w:eastAsia="zh-Hans"/>
        </w:rPr>
        <w:t>只有G→P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lang w:eastAsia="zh-Hans"/>
        </w:rPr>
        <w:t>，没有W′→G′。</w:t>
      </w:r>
      <w:r>
        <w:rPr>
          <w:rFonts w:hint="default" w:ascii="Times New Roman" w:hAnsi="Times New Roman" w:eastAsia="宋体" w:cs="Times New Roman"/>
          <w:color w:val="auto"/>
          <w:sz w:val="24"/>
          <w:szCs w:val="24"/>
          <w:highlight w:val="none"/>
        </w:rPr>
        <w:t>结果是货币资本、生产资本、商品资本的合理比例遭到破坏。</w:t>
      </w:r>
    </w:p>
    <w:p w14:paraId="06C9E76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Hans"/>
        </w:rPr>
        <w:t>产能过剩、经济循环受阻</w:t>
      </w:r>
      <w:r>
        <w:rPr>
          <w:rFonts w:hint="default" w:ascii="Times New Roman" w:hAnsi="Times New Roman" w:eastAsia="宋体" w:cs="Times New Roman"/>
          <w:color w:val="auto"/>
          <w:sz w:val="24"/>
          <w:szCs w:val="24"/>
          <w:highlight w:val="none"/>
        </w:rPr>
        <w:t>从以下几个方面对经济增长产生不利影响。首先，部分资本在</w:t>
      </w:r>
      <w:r>
        <w:rPr>
          <w:rFonts w:hint="default" w:ascii="Times New Roman" w:hAnsi="Times New Roman" w:eastAsia="宋体" w:cs="Times New Roman"/>
          <w:color w:val="auto"/>
          <w:sz w:val="24"/>
          <w:szCs w:val="24"/>
          <w:highlight w:val="none"/>
          <w:lang w:eastAsia="zh-Hans"/>
        </w:rPr>
        <w:t>P</w:t>
      </w:r>
      <w:r>
        <w:rPr>
          <w:rFonts w:hint="default" w:ascii="Times New Roman" w:hAnsi="Times New Roman" w:eastAsia="宋体" w:cs="Times New Roman"/>
          <w:color w:val="auto"/>
          <w:sz w:val="24"/>
          <w:szCs w:val="24"/>
          <w:highlight w:val="none"/>
          <w:vertAlign w:val="subscript"/>
          <w:lang w:eastAsia="zh-Hans"/>
        </w:rPr>
        <w:t>m</w:t>
      </w:r>
      <w:r>
        <w:rPr>
          <w:rFonts w:hint="default" w:ascii="Times New Roman" w:hAnsi="Times New Roman" w:eastAsia="宋体" w:cs="Times New Roman"/>
          <w:color w:val="auto"/>
          <w:sz w:val="24"/>
          <w:szCs w:val="24"/>
          <w:highlight w:val="none"/>
        </w:rPr>
        <w:t>(A)</w:t>
      </w:r>
      <w:r>
        <w:rPr>
          <w:rFonts w:hint="default" w:ascii="Times New Roman" w:hAnsi="Times New Roman" w:eastAsia="宋体" w:cs="Times New Roman"/>
          <w:color w:val="auto"/>
          <w:sz w:val="24"/>
          <w:szCs w:val="24"/>
          <w:highlight w:val="none"/>
          <w:lang w:eastAsia="zh-Hans"/>
        </w:rPr>
        <w:t>→P…W′</w:t>
      </w:r>
      <w:r>
        <w:rPr>
          <w:rFonts w:hint="default" w:ascii="Times New Roman" w:hAnsi="Times New Roman" w:eastAsia="宋体" w:cs="Times New Roman"/>
          <w:color w:val="auto"/>
          <w:sz w:val="24"/>
          <w:szCs w:val="24"/>
          <w:highlight w:val="none"/>
        </w:rPr>
        <w:t>阶段停顿下来，一方面生产资料就会搁置不起作用，另一方面劳动力就会处于失业状态。前者引起投资需求相对不足，后者加剧消费需求相对不足，总需求不足导致经济衰退。其次，用于追加投资的剩余价值是社会扩大再生产的源泉，等量预付资本所产生的剩余价值量决定经济增长率，产能利用率下降意味着等量预付资本吸纳的劳动力数量减少进而创造的剩余价值量减少，经济增长率因此降低。再次，产能过剩减慢总资本的循环速度，减慢货币的流通速度，降低货币的使用效率，在这种情况下，创造并实现单位总价值所需要的货币资本增加，若维持经济稳定增长，必将引起货币超发，反之，若维持货币供应量稳定增长，经济增长速度将受到影响。</w:t>
      </w:r>
      <w:r>
        <w:rPr>
          <w:rStyle w:val="20"/>
          <w:rFonts w:hint="default" w:ascii="Times New Roman" w:hAnsi="Times New Roman" w:eastAsia="宋体" w:cs="Times New Roman"/>
          <w:color w:val="auto"/>
          <w:sz w:val="24"/>
          <w:szCs w:val="24"/>
          <w:highlight w:val="none"/>
        </w:rPr>
        <w:footnoteReference w:id="777"/>
      </w:r>
    </w:p>
    <w:p w14:paraId="7FF026E1">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最后，也是特别需要注意的，虽然</w:t>
      </w:r>
      <w:r>
        <w:rPr>
          <w:rFonts w:hint="default" w:ascii="Times New Roman" w:hAnsi="Times New Roman" w:eastAsia="宋体" w:cs="Times New Roman"/>
          <w:color w:val="auto"/>
          <w:sz w:val="24"/>
          <w:szCs w:val="24"/>
          <w:highlight w:val="none"/>
          <w:lang w:eastAsia="zh-Hans"/>
        </w:rPr>
        <w:t>生产</w:t>
      </w:r>
      <w:r>
        <w:rPr>
          <w:rFonts w:hint="default" w:ascii="Times New Roman" w:hAnsi="Times New Roman" w:eastAsia="宋体" w:cs="Times New Roman"/>
          <w:color w:val="auto"/>
          <w:sz w:val="24"/>
          <w:szCs w:val="24"/>
          <w:highlight w:val="none"/>
        </w:rPr>
        <w:t>过剩和经济循环受阻不一定演变为经济危机，但经济危机一定是由</w:t>
      </w:r>
      <w:r>
        <w:rPr>
          <w:rFonts w:hint="default" w:ascii="Times New Roman" w:hAnsi="Times New Roman" w:eastAsia="宋体" w:cs="Times New Roman"/>
          <w:color w:val="auto"/>
          <w:sz w:val="24"/>
          <w:szCs w:val="24"/>
          <w:highlight w:val="none"/>
          <w:lang w:eastAsia="zh-Hans"/>
        </w:rPr>
        <w:t>生产</w:t>
      </w:r>
      <w:r>
        <w:rPr>
          <w:rFonts w:hint="default" w:ascii="Times New Roman" w:hAnsi="Times New Roman" w:eastAsia="宋体" w:cs="Times New Roman"/>
          <w:color w:val="auto"/>
          <w:sz w:val="24"/>
          <w:szCs w:val="24"/>
          <w:highlight w:val="none"/>
        </w:rPr>
        <w:t>过剩不断</w:t>
      </w:r>
      <w:r>
        <w:rPr>
          <w:rFonts w:hint="default" w:ascii="Times New Roman" w:hAnsi="Times New Roman" w:eastAsia="宋体" w:cs="Times New Roman"/>
          <w:color w:val="auto"/>
          <w:sz w:val="24"/>
          <w:szCs w:val="24"/>
          <w:highlight w:val="none"/>
          <w:lang w:eastAsia="zh-Hans"/>
        </w:rPr>
        <w:t>积累与经济循环长期受阻</w:t>
      </w:r>
      <w:r>
        <w:rPr>
          <w:rFonts w:hint="default" w:ascii="Times New Roman" w:hAnsi="Times New Roman" w:eastAsia="宋体" w:cs="Times New Roman"/>
          <w:color w:val="auto"/>
          <w:sz w:val="24"/>
          <w:szCs w:val="24"/>
          <w:highlight w:val="none"/>
        </w:rPr>
        <w:t>形成的。产能过剩的本质是资本过剩，如果处在生产阶段的固定资本和流动资本过多，那么通过商品流通转化为生产资本的货币资本就会相对减少，即货币资本过剩。追逐利润是资本的本性，从实体经济循环中沉淀下来的货币资本不断转向金融、房地产等虚拟经济部门，这势必引起</w:t>
      </w:r>
      <w:r>
        <w:rPr>
          <w:rFonts w:hint="default" w:ascii="Times New Roman" w:hAnsi="Times New Roman" w:eastAsia="宋体" w:cs="Times New Roman"/>
          <w:color w:val="auto"/>
          <w:sz w:val="24"/>
          <w:szCs w:val="24"/>
          <w:highlight w:val="none"/>
          <w:lang w:eastAsia="zh-Hans"/>
        </w:rPr>
        <w:t>虚拟经济膨胀，进而虚拟资本过剩。</w:t>
      </w:r>
      <w:r>
        <w:rPr>
          <w:rFonts w:hint="default" w:ascii="Times New Roman" w:hAnsi="Times New Roman" w:eastAsia="宋体" w:cs="Times New Roman"/>
          <w:color w:val="auto"/>
          <w:sz w:val="24"/>
          <w:szCs w:val="24"/>
          <w:highlight w:val="none"/>
        </w:rPr>
        <w:t>净出口增加、库存增加、商业投机、信用消费暂时缓解了</w:t>
      </w:r>
      <w:r>
        <w:rPr>
          <w:rFonts w:hint="default" w:ascii="Times New Roman" w:hAnsi="Times New Roman" w:eastAsia="宋体" w:cs="Times New Roman"/>
          <w:color w:val="auto"/>
          <w:sz w:val="24"/>
          <w:szCs w:val="24"/>
          <w:highlight w:val="none"/>
          <w:lang w:eastAsia="zh-Hans"/>
        </w:rPr>
        <w:t>供给与需求</w:t>
      </w:r>
      <w:r>
        <w:rPr>
          <w:rFonts w:hint="default" w:ascii="Times New Roman" w:hAnsi="Times New Roman" w:eastAsia="宋体" w:cs="Times New Roman"/>
          <w:color w:val="auto"/>
          <w:sz w:val="24"/>
          <w:szCs w:val="24"/>
          <w:highlight w:val="none"/>
        </w:rPr>
        <w:t>之间的矛盾，因而产能利用率能够保持原有水平甚至趋向上升，但这只不过是矛盾在世界范围内以杠杆率高企的方式不断向后期积累，因为</w:t>
      </w:r>
      <w:r>
        <w:rPr>
          <w:rFonts w:hint="default" w:ascii="Times New Roman" w:hAnsi="Times New Roman" w:eastAsia="宋体" w:cs="Times New Roman"/>
          <w:color w:val="auto"/>
          <w:kern w:val="0"/>
          <w:sz w:val="24"/>
          <w:szCs w:val="24"/>
          <w:highlight w:val="none"/>
        </w:rPr>
        <w:t>过剩的生活资料和生产资料没有真正卖出，它们的价值没有真正实现。</w:t>
      </w:r>
      <w:bookmarkStart w:id="528" w:name="_Hlk169249059"/>
      <w:r>
        <w:rPr>
          <w:rFonts w:hint="default" w:ascii="Times New Roman" w:hAnsi="Times New Roman" w:eastAsia="宋体" w:cs="Times New Roman"/>
          <w:color w:val="auto"/>
          <w:sz w:val="24"/>
          <w:szCs w:val="24"/>
          <w:highlight w:val="none"/>
        </w:rPr>
        <w:t>实体经济和虚拟经济“双过剩”在虚假繁荣的掩盖下不断积累，增加了经济危机集中爆发的可能性，同时加剧了经济危机的破坏性。</w:t>
      </w:r>
    </w:p>
    <w:bookmarkEnd w:id="528"/>
    <w:p w14:paraId="61A1180A">
      <w:pPr>
        <w:pStyle w:val="3"/>
        <w:pageBreakBefore w:val="0"/>
        <w:kinsoku/>
        <w:overflowPunct/>
        <w:topLinePunct w:val="0"/>
        <w:bidi w:val="0"/>
        <w:spacing w:before="0" w:beforeLines="0" w:after="0" w:afterLines="0" w:line="400" w:lineRule="exact"/>
        <w:ind w:firstLine="480" w:firstLineChars="200"/>
        <w:rPr>
          <w:rFonts w:hint="default" w:ascii="Times New Roman" w:hAnsi="Times New Roman" w:eastAsia="宋体" w:cs="Times New Roman"/>
          <w:color w:val="auto"/>
          <w:sz w:val="24"/>
          <w:szCs w:val="24"/>
          <w:highlight w:val="none"/>
        </w:rPr>
      </w:pPr>
      <w:bookmarkStart w:id="529" w:name="_Toc180324974"/>
      <w:bookmarkStart w:id="530" w:name="_Toc579171818"/>
      <w:bookmarkStart w:id="531" w:name="_Toc833126610"/>
      <w:bookmarkStart w:id="532" w:name="_Toc1381000717"/>
      <w:bookmarkStart w:id="533" w:name="_Toc7005"/>
      <w:bookmarkStart w:id="534" w:name="_Toc1534617139"/>
      <w:r>
        <w:rPr>
          <w:rFonts w:hint="default" w:ascii="Times New Roman" w:hAnsi="Times New Roman" w:eastAsia="宋体" w:cs="Times New Roman"/>
          <w:color w:val="auto"/>
          <w:sz w:val="24"/>
          <w:szCs w:val="24"/>
          <w:highlight w:val="none"/>
        </w:rPr>
        <w:t>四、来自国际国内的经验数据</w:t>
      </w:r>
      <w:bookmarkEnd w:id="529"/>
      <w:bookmarkEnd w:id="530"/>
      <w:bookmarkEnd w:id="531"/>
      <w:bookmarkEnd w:id="532"/>
      <w:bookmarkEnd w:id="533"/>
      <w:bookmarkEnd w:id="534"/>
    </w:p>
    <w:p w14:paraId="7C241A63">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mn-Mong-CN"/>
        </w:rPr>
      </w:pPr>
      <w:r>
        <w:rPr>
          <w:rFonts w:hint="default" w:ascii="Times New Roman" w:hAnsi="Times New Roman" w:eastAsia="宋体" w:cs="Times New Roman"/>
          <w:color w:val="auto"/>
          <w:sz w:val="24"/>
          <w:szCs w:val="24"/>
          <w:highlight w:val="none"/>
          <w:lang w:bidi="mn-Mong-CN"/>
        </w:rPr>
        <w:t>（一）国际层面的产能利用率、资产周转率和经济增长率</w:t>
      </w:r>
    </w:p>
    <w:p w14:paraId="1015313E">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lang w:bidi="mn-Mong-CN"/>
        </w:rPr>
      </w:pPr>
      <w:r>
        <w:rPr>
          <w:rFonts w:hint="default" w:ascii="Times New Roman" w:hAnsi="Times New Roman" w:eastAsia="宋体" w:cs="Times New Roman"/>
          <w:b w:val="0"/>
          <w:bCs w:val="0"/>
          <w:color w:val="auto"/>
          <w:sz w:val="24"/>
          <w:szCs w:val="24"/>
          <w:highlight w:val="none"/>
          <w:lang w:bidi="mn-Mong-CN"/>
        </w:rPr>
        <w:t>1.产能利用率度量指标的两种估计方法</w:t>
      </w:r>
    </w:p>
    <w:p w14:paraId="180ED2F2">
      <w:pPr>
        <w:pageBreakBefore w:val="0"/>
        <w:kinsoku/>
        <w:overflowPunct/>
        <w:topLinePunct w:val="0"/>
        <w:bidi w:val="0"/>
        <w:spacing w:line="400" w:lineRule="exact"/>
        <w:ind w:firstLine="480" w:firstLineChars="200"/>
        <w:rPr>
          <w:rFonts w:hint="default" w:ascii="Times New Roman" w:hAnsi="Times New Roman" w:eastAsia="宋体" w:cs="Times New Roman"/>
          <w:color w:val="auto"/>
          <w:kern w:val="0"/>
          <w:sz w:val="24"/>
          <w:szCs w:val="24"/>
          <w:highlight w:val="none"/>
          <w:lang w:bidi="mn-Mong-CN"/>
        </w:rPr>
      </w:pPr>
      <w:r>
        <w:rPr>
          <w:rFonts w:hint="default" w:ascii="Times New Roman" w:hAnsi="Times New Roman" w:eastAsia="宋体" w:cs="Times New Roman"/>
          <w:color w:val="auto"/>
          <w:kern w:val="0"/>
          <w:sz w:val="24"/>
          <w:szCs w:val="24"/>
          <w:highlight w:val="none"/>
          <w:lang w:bidi="mn-Mong-CN"/>
        </w:rPr>
        <w:t>下面结合</w:t>
      </w:r>
      <w:r>
        <w:rPr>
          <w:rFonts w:hint="default" w:ascii="Times New Roman" w:hAnsi="Times New Roman" w:eastAsia="宋体" w:cs="Times New Roman"/>
          <w:color w:val="auto"/>
          <w:sz w:val="24"/>
          <w:szCs w:val="24"/>
          <w:highlight w:val="none"/>
        </w:rPr>
        <w:t>格罗宁根大学增长与发展中心（Groningen Growth and Development Centre，以下简称GGDC）的相关数据，采用两种方法估计能够代表国际层面</w:t>
      </w:r>
      <w:r>
        <w:rPr>
          <w:rFonts w:hint="default" w:ascii="Times New Roman" w:hAnsi="Times New Roman" w:eastAsia="宋体" w:cs="Times New Roman"/>
          <w:color w:val="auto"/>
          <w:kern w:val="0"/>
          <w:sz w:val="24"/>
          <w:szCs w:val="24"/>
          <w:highlight w:val="none"/>
          <w:lang w:bidi="mn-Mong-CN"/>
        </w:rPr>
        <w:t>产能利用率整体变动趋势的度量指标。GGDC</w:t>
      </w:r>
      <w:r>
        <w:rPr>
          <w:rFonts w:hint="default" w:ascii="Times New Roman" w:hAnsi="Times New Roman" w:eastAsia="宋体" w:cs="Times New Roman"/>
          <w:color w:val="auto"/>
          <w:sz w:val="24"/>
          <w:szCs w:val="24"/>
          <w:highlight w:val="none"/>
        </w:rPr>
        <w:t>公布的世界投入产出表与社会经济账户的统计对象包括43个经济体，时间跨度为2000-2014年</w:t>
      </w:r>
      <w:r>
        <w:rPr>
          <w:rStyle w:val="20"/>
          <w:rFonts w:hint="default" w:ascii="Times New Roman" w:hAnsi="Times New Roman" w:eastAsia="宋体" w:cs="Times New Roman"/>
          <w:color w:val="auto"/>
          <w:sz w:val="24"/>
          <w:szCs w:val="24"/>
          <w:highlight w:val="none"/>
        </w:rPr>
        <w:footnoteReference w:id="778"/>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kern w:val="0"/>
          <w:sz w:val="24"/>
          <w:szCs w:val="24"/>
          <w:highlight w:val="none"/>
          <w:lang w:bidi="mn-Mong-CN"/>
        </w:rPr>
        <w:t>这43个经济体基本涵盖全球的主要经济体。我们用社会经济账户的</w:t>
      </w:r>
      <w:r>
        <w:rPr>
          <w:rFonts w:hint="default" w:ascii="Times New Roman" w:hAnsi="Times New Roman" w:eastAsia="宋体" w:cs="Times New Roman"/>
          <w:color w:val="auto"/>
          <w:sz w:val="24"/>
          <w:szCs w:val="24"/>
          <w:highlight w:val="none"/>
        </w:rPr>
        <w:t>资本存量度量固定资本，用社会经济账户的劳动报酬度量可变资本。在世界投入产出表中，固定资本折旧与资本报酬未单独公布，而是与劳动报酬一并包含在增加值内，基于马克思的劳动价值论</w:t>
      </w:r>
      <w:r>
        <w:rPr>
          <w:rFonts w:hint="default" w:ascii="Times New Roman" w:hAnsi="Times New Roman" w:eastAsia="宋体" w:cs="Times New Roman"/>
          <w:color w:val="auto"/>
          <w:kern w:val="0"/>
          <w:sz w:val="24"/>
          <w:szCs w:val="24"/>
          <w:highlight w:val="none"/>
          <w:lang w:bidi="mn-Mong-CN"/>
        </w:rPr>
        <w:t>，世界投入产出表的增加值可表示为</w:t>
      </w:r>
    </w:p>
    <w:p w14:paraId="0BBF42F8">
      <w:pPr>
        <w:pageBreakBefore w:val="0"/>
        <w:tabs>
          <w:tab w:val="center" w:pos="4200"/>
          <w:tab w:val="right" w:pos="8400"/>
        </w:tabs>
        <w:kinsoku/>
        <w:overflowPunct/>
        <w:topLinePunct w:val="0"/>
        <w:bidi w:val="0"/>
        <w:spacing w:line="400" w:lineRule="exact"/>
        <w:ind w:firstLine="480" w:firstLineChars="200"/>
        <w:textAlignment w:val="center"/>
        <w:rPr>
          <w:rFonts w:hint="default" w:ascii="Times New Roman" w:hAnsi="Times New Roman" w:eastAsia="宋体" w:cs="Times New Roman"/>
          <w:color w:val="auto"/>
          <w:kern w:val="0"/>
          <w:sz w:val="24"/>
          <w:szCs w:val="24"/>
          <w:highlight w:val="none"/>
          <w:lang w:bidi="mn-Mong-CN"/>
        </w:rPr>
      </w:pPr>
      <w:r>
        <w:rPr>
          <w:rFonts w:hint="default" w:ascii="Times New Roman" w:hAnsi="Times New Roman" w:eastAsia="宋体" w:cs="Times New Roman"/>
          <w:color w:val="auto"/>
          <w:kern w:val="0"/>
          <w:sz w:val="24"/>
          <w:szCs w:val="24"/>
          <w:highlight w:val="none"/>
          <w:lang w:bidi="mn-Mong-CN"/>
        </w:rPr>
        <w:tab/>
      </w:r>
      <w:r>
        <w:rPr>
          <w:rFonts w:hint="default" w:ascii="Times New Roman" w:hAnsi="Times New Roman" w:eastAsia="宋体" w:cs="Times New Roman"/>
          <w:color w:val="auto"/>
          <w:kern w:val="0"/>
          <w:sz w:val="24"/>
          <w:szCs w:val="24"/>
          <w:highlight w:val="none"/>
          <w:lang w:bidi="mn-Mong-CN"/>
        </w:rPr>
        <w:object>
          <v:shape id="_x0000_i1031" o:spt="75" type="#_x0000_t75" style="height:16.05pt;width:83.05pt;" o:ole="t" filled="f" o:preferrelative="t" stroked="f" coordsize="21600,21600">
            <v:path/>
            <v:fill on="f" focussize="0,0"/>
            <v:stroke on="f" joinstyle="miter"/>
            <v:imagedata r:id="rId61" o:title=""/>
            <o:lock v:ext="edit" aspectratio="t"/>
            <w10:wrap type="none"/>
            <w10:anchorlock/>
          </v:shape>
          <o:OLEObject Type="Embed" ProgID="Equation.KSEE3" ShapeID="_x0000_i1031" DrawAspect="Content" ObjectID="_1468075736" r:id="rId60">
            <o:LockedField>false</o:LockedField>
          </o:OLEObject>
        </w:object>
      </w:r>
      <w:r>
        <w:rPr>
          <w:rFonts w:hint="default" w:ascii="Times New Roman" w:hAnsi="Times New Roman" w:eastAsia="宋体" w:cs="Times New Roman"/>
          <w:color w:val="auto"/>
          <w:kern w:val="0"/>
          <w:sz w:val="24"/>
          <w:szCs w:val="24"/>
          <w:highlight w:val="none"/>
          <w:lang w:bidi="mn-Mong-CN"/>
        </w:rPr>
        <w:tab/>
      </w:r>
      <w:r>
        <w:rPr>
          <w:rFonts w:hint="default" w:ascii="Times New Roman" w:hAnsi="Times New Roman" w:eastAsia="宋体" w:cs="Times New Roman"/>
          <w:color w:val="auto"/>
          <w:kern w:val="0"/>
          <w:sz w:val="24"/>
          <w:szCs w:val="24"/>
          <w:highlight w:val="none"/>
          <w:lang w:bidi="mn-Mong-CN"/>
        </w:rPr>
        <w:t>（15）</w:t>
      </w:r>
    </w:p>
    <w:p w14:paraId="538F5C8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m:oMath>
        <m:acc>
          <m:accPr>
            <m:ctrlPr>
              <w:rPr>
                <w:rFonts w:hint="default" w:ascii="Cambria Math" w:hAnsi="Cambria Math" w:eastAsia="宋体" w:cs="Times New Roman"/>
                <w:iCs/>
                <w:color w:val="auto"/>
                <w:sz w:val="24"/>
                <w:szCs w:val="24"/>
                <w:highlight w:val="none"/>
              </w:rPr>
            </m:ctrlPr>
          </m:accPr>
          <m:e>
            <m:r>
              <m:rPr>
                <m:nor/>
              </m:rPr>
              <w:rPr>
                <w:rFonts w:hint="default" w:ascii="Cambria Math" w:hAnsi="Cambria Math" w:eastAsia="宋体" w:cs="Times New Roman"/>
                <w:i/>
                <w:color w:val="auto"/>
                <w:sz w:val="24"/>
                <w:szCs w:val="24"/>
                <w:highlight w:val="none"/>
              </w:rPr>
              <m:t>δ</m:t>
            </m:r>
            <m:ctrlPr>
              <w:rPr>
                <w:rFonts w:hint="default" w:ascii="Cambria Math" w:hAnsi="Cambria Math" w:eastAsia="宋体" w:cs="Times New Roman"/>
                <w:iCs/>
                <w:color w:val="auto"/>
                <w:sz w:val="24"/>
                <w:szCs w:val="24"/>
                <w:highlight w:val="none"/>
              </w:rPr>
            </m:ctrlPr>
          </m:e>
        </m:acc>
        <m:r>
          <m:rPr>
            <m:nor/>
            <m:sty m:val="p"/>
          </m:rPr>
          <w:rPr>
            <w:rFonts w:hint="default" w:ascii="Cambria Math" w:hAnsi="Cambria Math" w:eastAsia="宋体" w:cs="Times New Roman"/>
            <w:b w:val="0"/>
            <w:i w:val="0"/>
            <w:color w:val="auto"/>
            <w:sz w:val="24"/>
            <w:szCs w:val="24"/>
            <w:highlight w:val="none"/>
          </w:rPr>
          <m:t xml:space="preserve"> =</m:t>
        </m:r>
        <m:r>
          <m:rPr>
            <m:nor/>
          </m:rPr>
          <w:rPr>
            <w:rFonts w:hint="default" w:ascii="Cambria Math" w:hAnsi="Cambria Math" w:eastAsia="宋体" w:cs="Times New Roman"/>
            <w:i/>
            <w:iCs/>
            <w:color w:val="auto"/>
            <w:sz w:val="24"/>
            <w:szCs w:val="24"/>
            <w:highlight w:val="none"/>
          </w:rPr>
          <m:t xml:space="preserve"> δσ</m:t>
        </m:r>
      </m:oMath>
      <w:r>
        <w:rPr>
          <w:rFonts w:hint="default" w:ascii="Times New Roman" w:hAnsi="Times New Roman" w:eastAsia="宋体" w:cs="Times New Roman"/>
          <w:color w:val="auto"/>
          <w:sz w:val="24"/>
          <w:szCs w:val="24"/>
          <w:highlight w:val="none"/>
        </w:rPr>
        <w:t>，表示所投固定资本的折旧率，与</w:t>
      </w:r>
      <w:r>
        <w:rPr>
          <w:rFonts w:hint="default" w:ascii="Times New Roman" w:hAnsi="Times New Roman" w:eastAsia="宋体" w:cs="Times New Roman"/>
          <w:i/>
          <w:iCs/>
          <w:color w:val="auto"/>
          <w:sz w:val="24"/>
          <w:szCs w:val="24"/>
          <w:highlight w:val="none"/>
        </w:rPr>
        <w:t>σ</w:t>
      </w:r>
      <w:r>
        <w:rPr>
          <w:rFonts w:hint="default" w:ascii="Times New Roman" w:hAnsi="Times New Roman" w:eastAsia="宋体" w:cs="Times New Roman"/>
          <w:color w:val="auto"/>
          <w:sz w:val="24"/>
          <w:szCs w:val="24"/>
          <w:highlight w:val="none"/>
        </w:rPr>
        <w:t>严格正相关，可作为不可观测的产能利用率的代理变量（Greenwood et al.，1988；</w:t>
      </w:r>
      <w:r>
        <w:rPr>
          <w:rFonts w:hint="default" w:ascii="Times New Roman" w:hAnsi="Times New Roman" w:eastAsia="宋体" w:cs="Times New Roman"/>
          <w:color w:val="auto"/>
          <w:kern w:val="0"/>
          <w:sz w:val="24"/>
          <w:szCs w:val="24"/>
          <w:highlight w:val="none"/>
          <w:lang w:bidi="mn-Mong-CN"/>
        </w:rPr>
        <w:t>余淼杰等，2018</w:t>
      </w:r>
      <w:r>
        <w:rPr>
          <w:rFonts w:hint="default" w:ascii="Times New Roman" w:hAnsi="Times New Roman" w:eastAsia="宋体" w:cs="Times New Roman"/>
          <w:color w:val="auto"/>
          <w:sz w:val="24"/>
          <w:szCs w:val="24"/>
          <w:highlight w:val="none"/>
        </w:rPr>
        <w:t>）。</w:t>
      </w:r>
      <m:oMath>
        <m:acc>
          <m:accPr>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acc>
      </m:oMath>
      <w:r>
        <w:rPr>
          <w:rFonts w:hint="default" w:ascii="Times New Roman" w:hAnsi="Times New Roman" w:eastAsia="宋体" w:cs="Times New Roman"/>
          <w:color w:val="auto"/>
          <w:sz w:val="24"/>
          <w:szCs w:val="24"/>
          <w:highlight w:val="none"/>
        </w:rPr>
        <w:t>表示实现的剩余价值，受资本积累基本矛盾产生的再生产失衡影响（孟捷和冯金华，2016）。</w:t>
      </w:r>
    </w:p>
    <w:p w14:paraId="3DDD9E6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第一种估计方法。基于（15）式构建估计模型如下</w:t>
      </w:r>
    </w:p>
    <w:p w14:paraId="7A12BCD1">
      <w:pPr>
        <w:pageBreakBefore w:val="0"/>
        <w:tabs>
          <w:tab w:val="center" w:pos="4200"/>
          <w:tab w:val="right" w:pos="8400"/>
        </w:tabs>
        <w:kinsoku/>
        <w:overflowPunct/>
        <w:topLinePunct w:val="0"/>
        <w:bidi w:val="0"/>
        <w:spacing w:line="400" w:lineRule="exact"/>
        <w:ind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bidi="mn-Mong-CN"/>
        </w:rPr>
        <w:tab/>
      </w:r>
      <w:r>
        <w:rPr>
          <w:rFonts w:hint="default" w:ascii="Times New Roman" w:hAnsi="Times New Roman" w:eastAsia="宋体" w:cs="Times New Roman"/>
          <w:color w:val="auto"/>
          <w:kern w:val="0"/>
          <w:sz w:val="24"/>
          <w:szCs w:val="24"/>
          <w:highlight w:val="none"/>
          <w:lang w:bidi="mn-Mong-CN"/>
        </w:rPr>
        <w:object>
          <v:shape id="_x0000_i1032" o:spt="75" type="#_x0000_t75" style="height:21.05pt;width:219.55pt;" o:ole="t" filled="f" o:preferrelative="t" stroked="f" coordsize="21600,21600">
            <v:path/>
            <v:fill on="f" focussize="0,0"/>
            <v:stroke on="f" joinstyle="miter"/>
            <v:imagedata r:id="rId63" o:title=""/>
            <o:lock v:ext="edit" aspectratio="t"/>
            <w10:wrap type="none"/>
            <w10:anchorlock/>
          </v:shape>
          <o:OLEObject Type="Embed" ProgID="Equation.KSEE3" ShapeID="_x0000_i1032" DrawAspect="Content" ObjectID="_1468075737" r:id="rId62">
            <o:LockedField>false</o:LockedField>
          </o:OLEObject>
        </w:object>
      </w:r>
      <w:r>
        <w:rPr>
          <w:rFonts w:hint="default" w:ascii="Times New Roman" w:hAnsi="Times New Roman" w:eastAsia="宋体" w:cs="Times New Roman"/>
          <w:color w:val="auto"/>
          <w:kern w:val="0"/>
          <w:sz w:val="24"/>
          <w:szCs w:val="24"/>
          <w:highlight w:val="none"/>
          <w:lang w:bidi="mn-Mong-CN"/>
        </w:rPr>
        <w:tab/>
      </w:r>
      <w:r>
        <w:rPr>
          <w:rFonts w:hint="default" w:ascii="Times New Roman" w:hAnsi="Times New Roman" w:eastAsia="宋体" w:cs="Times New Roman"/>
          <w:color w:val="auto"/>
          <w:kern w:val="0"/>
          <w:sz w:val="24"/>
          <w:szCs w:val="24"/>
          <w:highlight w:val="none"/>
          <w:lang w:bidi="mn-Mong-CN"/>
        </w:rPr>
        <w:t>（16）</w:t>
      </w:r>
    </w:p>
    <w:p w14:paraId="5A2E787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w:t>
      </w:r>
      <m:oMath>
        <m:sSubSup>
          <m:sSubSupPr>
            <m:ctrlPr>
              <w:rPr>
                <w:rFonts w:hint="default" w:ascii="Cambria Math" w:hAnsi="Cambria Math" w:eastAsia="宋体" w:cs="Times New Roman"/>
                <w:i/>
                <w:color w:val="auto"/>
                <w:sz w:val="24"/>
                <w:szCs w:val="24"/>
                <w:highlight w:val="none"/>
              </w:rPr>
            </m:ctrlPr>
          </m:sSubSupPr>
          <m:e>
            <m:acc>
              <m:accPr>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color w:val="auto"/>
                    <w:sz w:val="24"/>
                    <w:szCs w:val="24"/>
                    <w:highlight w:val="none"/>
                  </w:rPr>
                  <m:t>m</m:t>
                </m:r>
                <m:ctrlPr>
                  <w:rPr>
                    <w:rFonts w:hint="default" w:ascii="Cambria Math" w:hAnsi="Cambria Math" w:eastAsia="宋体" w:cs="Times New Roman"/>
                    <w:i/>
                    <w:color w:val="auto"/>
                    <w:sz w:val="24"/>
                    <w:szCs w:val="24"/>
                    <w:highlight w:val="none"/>
                  </w:rPr>
                </m:ctrlPr>
              </m:e>
            </m:acc>
            <m:ctrlPr>
              <w:rPr>
                <w:rFonts w:hint="default" w:ascii="Cambria Math" w:hAnsi="Cambria Math" w:eastAsia="宋体" w:cs="Times New Roman"/>
                <w:i/>
                <w:color w:val="auto"/>
                <w:sz w:val="24"/>
                <w:szCs w:val="24"/>
                <w:highlight w:val="none"/>
              </w:rPr>
            </m:ctrlPr>
          </m:e>
          <m:sub>
            <m:r>
              <m:rPr>
                <m:nor/>
              </m:rPr>
              <w:rPr>
                <w:rFonts w:hint="default" w:ascii="Cambria Math" w:hAnsi="Cambria Math" w:eastAsia="宋体" w:cs="Times New Roman"/>
                <w:i/>
                <w:iCs/>
                <w:color w:val="auto"/>
                <w:sz w:val="24"/>
                <w:szCs w:val="24"/>
                <w:highlight w:val="none"/>
              </w:rPr>
              <m:t>t</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r>
          <m:rPr/>
          <w:rPr>
            <w:rFonts w:hint="default" w:ascii="Cambria Math" w:hAnsi="Cambria Math" w:eastAsia="宋体" w:cs="Times New Roman"/>
            <w:color w:val="auto"/>
            <w:sz w:val="24"/>
            <w:szCs w:val="24"/>
            <w:highlight w:val="none"/>
          </w:rPr>
          <m:t>=</m:t>
        </m:r>
        <m:sSub>
          <m:sSubPr>
            <m:ctrlPr>
              <w:rPr>
                <w:rFonts w:hint="default" w:ascii="Cambria Math" w:hAnsi="Cambria Math" w:eastAsia="宋体" w:cs="Times New Roman"/>
                <w:i/>
                <w:color w:val="auto"/>
                <w:sz w:val="24"/>
                <w:szCs w:val="24"/>
                <w:highlight w:val="none"/>
              </w:rPr>
            </m:ctrlPr>
          </m:sSubPr>
          <m:e>
            <m:r>
              <m:rPr>
                <m:nor/>
              </m:rPr>
              <w:rPr>
                <w:rFonts w:hint="default" w:ascii="Cambria Math" w:hAnsi="Cambria Math" w:eastAsia="宋体" w:cs="Times New Roman"/>
                <w:i/>
                <w:color w:val="auto"/>
                <w:sz w:val="24"/>
                <w:szCs w:val="24"/>
                <w:highlight w:val="none"/>
              </w:rPr>
              <m:t>θ</m:t>
            </m:r>
            <m:ctrlPr>
              <w:rPr>
                <w:rFonts w:hint="default" w:ascii="Cambria Math" w:hAnsi="Cambria Math" w:eastAsia="宋体" w:cs="Times New Roman"/>
                <w:i/>
                <w:color w:val="auto"/>
                <w:sz w:val="24"/>
                <w:szCs w:val="24"/>
                <w:highlight w:val="none"/>
              </w:rPr>
            </m:ctrlPr>
          </m:e>
          <m:sub>
            <m:r>
              <m:rPr>
                <m:nor/>
              </m:rPr>
              <w:rPr>
                <w:rFonts w:hint="default" w:ascii="Cambria Math" w:hAnsi="Cambria Math" w:eastAsia="宋体" w:cs="Times New Roman"/>
                <w:i/>
                <w:color w:val="auto"/>
                <w:sz w:val="24"/>
                <w:szCs w:val="24"/>
                <w:highlight w:val="none"/>
              </w:rPr>
              <m:t>t</m:t>
            </m:r>
            <m:ctrlPr>
              <w:rPr>
                <w:rFonts w:hint="default" w:ascii="Cambria Math" w:hAnsi="Cambria Math" w:eastAsia="宋体" w:cs="Times New Roman"/>
                <w:i/>
                <w:color w:val="auto"/>
                <w:sz w:val="24"/>
                <w:szCs w:val="24"/>
                <w:highlight w:val="none"/>
              </w:rPr>
            </m:ctrlPr>
          </m:sub>
        </m:sSub>
        <m:sSubSup>
          <m:sSubSupPr>
            <m:ctrlPr>
              <w:rPr>
                <w:rFonts w:hint="default" w:ascii="Cambria Math" w:hAnsi="Cambria Math" w:eastAsia="宋体" w:cs="Times New Roman"/>
                <w:i/>
                <w:color w:val="auto"/>
                <w:sz w:val="24"/>
                <w:szCs w:val="24"/>
                <w:highlight w:val="none"/>
              </w:rPr>
            </m:ctrlPr>
          </m:sSubSupPr>
          <m:e>
            <m:r>
              <m:rPr>
                <m:nor/>
              </m:rPr>
              <w:rPr>
                <w:rFonts w:hint="default" w:ascii="Cambria Math" w:hAnsi="Cambria Math" w:eastAsia="宋体" w:cs="Times New Roman"/>
                <w:i/>
                <w:iCs/>
                <w:color w:val="auto"/>
                <w:sz w:val="24"/>
                <w:szCs w:val="24"/>
                <w:highlight w:val="none"/>
              </w:rPr>
              <m:t>m</m:t>
            </m:r>
            <m:ctrlPr>
              <w:rPr>
                <w:rFonts w:hint="default" w:ascii="Cambria Math" w:hAnsi="Cambria Math" w:eastAsia="宋体" w:cs="Times New Roman"/>
                <w:i/>
                <w:color w:val="auto"/>
                <w:sz w:val="24"/>
                <w:szCs w:val="24"/>
                <w:highlight w:val="none"/>
              </w:rPr>
            </m:ctrlPr>
          </m:e>
          <m:sub>
            <m:r>
              <m:rPr>
                <m:nor/>
              </m:rPr>
              <w:rPr>
                <w:rFonts w:hint="default" w:ascii="Cambria Math" w:hAnsi="Cambria Math" w:eastAsia="宋体" w:cs="Times New Roman"/>
                <w:i/>
                <w:iCs/>
                <w:color w:val="auto"/>
                <w:sz w:val="24"/>
                <w:szCs w:val="24"/>
                <w:highlight w:val="none"/>
              </w:rPr>
              <m:t>t</m:t>
            </m:r>
            <m:ctrlPr>
              <w:rPr>
                <w:rFonts w:hint="default" w:ascii="Cambria Math" w:hAnsi="Cambria Math" w:eastAsia="宋体" w:cs="Times New Roman"/>
                <w:i/>
                <w:color w:val="auto"/>
                <w:sz w:val="24"/>
                <w:szCs w:val="24"/>
                <w:highlight w:val="none"/>
              </w:rPr>
            </m:ctrlPr>
          </m:sub>
          <m:sup>
            <m:r>
              <m:rPr/>
              <w:rPr>
                <w:rFonts w:hint="default" w:ascii="Cambria Math" w:hAnsi="Cambria Math" w:eastAsia="宋体" w:cs="Times New Roman"/>
                <w:color w:val="auto"/>
                <w:sz w:val="24"/>
                <w:szCs w:val="24"/>
                <w:highlight w:val="none"/>
              </w:rPr>
              <m:t>'</m:t>
            </m:r>
            <m:ctrlPr>
              <w:rPr>
                <w:rFonts w:hint="default" w:ascii="Cambria Math" w:hAnsi="Cambria Math" w:eastAsia="宋体" w:cs="Times New Roman"/>
                <w:i/>
                <w:color w:val="auto"/>
                <w:sz w:val="24"/>
                <w:szCs w:val="24"/>
                <w:highlight w:val="none"/>
              </w:rPr>
            </m:ctrlPr>
          </m:sup>
        </m:sSubSup>
      </m:oMath>
      <w:r>
        <w:rPr>
          <w:rFonts w:hint="default" w:ascii="Times New Roman" w:hAnsi="Times New Roman" w:eastAsia="宋体" w:cs="Times New Roman"/>
          <w:color w:val="auto"/>
          <w:sz w:val="24"/>
          <w:szCs w:val="24"/>
          <w:highlight w:val="none"/>
        </w:rPr>
        <w:t>表示实现的剩余价值同可变资本比即实现的剩余价值率，</w:t>
      </w:r>
      <w:r>
        <w:rPr>
          <w:rFonts w:hint="default" w:ascii="Times New Roman" w:hAnsi="Times New Roman" w:eastAsia="宋体" w:cs="Times New Roman"/>
          <w:i/>
          <w:iCs/>
          <w:color w:val="auto"/>
          <w:sz w:val="24"/>
          <w:szCs w:val="24"/>
          <w:highlight w:val="none"/>
        </w:rPr>
        <w:t>ζ</w:t>
      </w:r>
      <w:r>
        <w:rPr>
          <w:rFonts w:hint="default" w:ascii="Times New Roman" w:hAnsi="Times New Roman" w:eastAsia="宋体" w:cs="Times New Roman"/>
          <w:i/>
          <w:iCs/>
          <w:color w:val="auto"/>
          <w:sz w:val="24"/>
          <w:szCs w:val="24"/>
          <w:highlight w:val="none"/>
          <w:vertAlign w:val="subscript"/>
        </w:rPr>
        <w:t>pqt</w:t>
      </w:r>
      <w:r>
        <w:rPr>
          <w:rFonts w:hint="default" w:ascii="Times New Roman" w:hAnsi="Times New Roman" w:eastAsia="宋体" w:cs="Times New Roman"/>
          <w:color w:val="auto"/>
          <w:sz w:val="24"/>
          <w:szCs w:val="24"/>
          <w:highlight w:val="none"/>
        </w:rPr>
        <w:t>为国家-行业固定效应</w:t>
      </w:r>
      <w:r>
        <w:rPr>
          <w:rFonts w:hint="default" w:ascii="Times New Roman" w:hAnsi="Times New Roman" w:eastAsia="宋体" w:cs="Times New Roman"/>
          <w:i/>
          <w:iCs/>
          <w:color w:val="auto"/>
          <w:sz w:val="24"/>
          <w:szCs w:val="24"/>
          <w:highlight w:val="none"/>
        </w:rPr>
        <w:t>，ε</w:t>
      </w:r>
      <w:r>
        <w:rPr>
          <w:rFonts w:hint="default" w:ascii="Times New Roman" w:hAnsi="Times New Roman" w:eastAsia="宋体" w:cs="Times New Roman"/>
          <w:i/>
          <w:iCs/>
          <w:color w:val="auto"/>
          <w:sz w:val="24"/>
          <w:szCs w:val="24"/>
          <w:highlight w:val="none"/>
          <w:vertAlign w:val="subscript"/>
        </w:rPr>
        <w:t>pqt</w:t>
      </w:r>
      <w:r>
        <w:rPr>
          <w:rFonts w:hint="default" w:ascii="Times New Roman" w:hAnsi="Times New Roman" w:eastAsia="宋体" w:cs="Times New Roman"/>
          <w:color w:val="auto"/>
          <w:sz w:val="24"/>
          <w:szCs w:val="24"/>
          <w:highlight w:val="none"/>
        </w:rPr>
        <w:t>为扰动项，这里的下标</w:t>
      </w:r>
      <w:r>
        <w:rPr>
          <w:rFonts w:hint="default" w:ascii="Times New Roman" w:hAnsi="Times New Roman" w:eastAsia="宋体" w:cs="Times New Roman"/>
          <w:i/>
          <w:iCs/>
          <w:color w:val="auto"/>
          <w:sz w:val="24"/>
          <w:szCs w:val="24"/>
          <w:highlight w:val="none"/>
        </w:rPr>
        <w:t>q</w:t>
      </w:r>
      <w:r>
        <w:rPr>
          <w:rFonts w:hint="default" w:ascii="Times New Roman" w:hAnsi="Times New Roman" w:eastAsia="宋体" w:cs="Times New Roman"/>
          <w:color w:val="auto"/>
          <w:sz w:val="24"/>
          <w:szCs w:val="24"/>
          <w:highlight w:val="none"/>
        </w:rPr>
        <w:t>表示行业或部类，</w:t>
      </w:r>
      <w:r>
        <w:rPr>
          <w:rFonts w:hint="default" w:ascii="Times New Roman" w:hAnsi="Times New Roman" w:eastAsia="宋体" w:cs="Times New Roman"/>
          <w:i/>
          <w:iCs/>
          <w:color w:val="auto"/>
          <w:sz w:val="24"/>
          <w:szCs w:val="24"/>
          <w:highlight w:val="none"/>
        </w:rPr>
        <w:t>t</w:t>
      </w:r>
      <w:r>
        <w:rPr>
          <w:rFonts w:hint="default" w:ascii="Times New Roman" w:hAnsi="Times New Roman" w:eastAsia="宋体" w:cs="Times New Roman"/>
          <w:color w:val="auto"/>
          <w:sz w:val="24"/>
          <w:szCs w:val="24"/>
          <w:highlight w:val="none"/>
        </w:rPr>
        <w:t>表示年份。为有效减少极端值，减小方差，提高参数估计的有效性，各变量同除以了</w:t>
      </w:r>
      <w:r>
        <w:rPr>
          <w:rFonts w:hint="default" w:ascii="Times New Roman" w:hAnsi="Times New Roman" w:eastAsia="宋体" w:cs="Times New Roman"/>
          <w:i/>
          <w:iCs/>
          <w:color w:val="auto"/>
          <w:sz w:val="24"/>
          <w:szCs w:val="24"/>
          <w:highlight w:val="none"/>
        </w:rPr>
        <w:t>v</w:t>
      </w:r>
      <w:r>
        <w:rPr>
          <w:rFonts w:hint="default" w:ascii="Times New Roman" w:hAnsi="Times New Roman" w:eastAsia="宋体" w:cs="Times New Roman"/>
          <w:i/>
          <w:iCs/>
          <w:color w:val="auto"/>
          <w:sz w:val="24"/>
          <w:szCs w:val="24"/>
          <w:highlight w:val="none"/>
          <w:vertAlign w:val="subscript"/>
        </w:rPr>
        <w:t>pqt</w:t>
      </w:r>
      <w:r>
        <w:rPr>
          <w:rFonts w:hint="default" w:ascii="Times New Roman" w:hAnsi="Times New Roman" w:eastAsia="宋体" w:cs="Times New Roman"/>
          <w:color w:val="auto"/>
          <w:sz w:val="24"/>
          <w:szCs w:val="24"/>
          <w:highlight w:val="none"/>
        </w:rPr>
        <w:t>。表1的列（1）报告了利用固定效应模型（16）式进行估计得到的2000-2014年43个经济体层面的产能利用率度量指标</w:t>
      </w:r>
      <m:oMath>
        <m:acc>
          <m:accPr>
            <m:ctrlPr>
              <w:rPr>
                <w:rFonts w:hint="default" w:ascii="Cambria Math" w:hAnsi="Cambria Math" w:eastAsia="宋体" w:cs="Times New Roman"/>
                <w:i/>
                <w:color w:val="auto"/>
                <w:sz w:val="24"/>
                <w:szCs w:val="24"/>
                <w:highlight w:val="none"/>
              </w:rPr>
            </m:ctrlPr>
          </m:accPr>
          <m:e>
            <m:r>
              <m:rPr>
                <m:nor/>
              </m:rPr>
              <w:rPr>
                <w:rFonts w:hint="default" w:ascii="Cambria Math" w:hAnsi="Cambria Math" w:eastAsia="宋体" w:cs="Times New Roman"/>
                <w:i/>
                <w:iCs/>
                <w:color w:val="auto"/>
                <w:sz w:val="24"/>
                <w:szCs w:val="24"/>
                <w:highlight w:val="none"/>
              </w:rPr>
              <m:t>δ</m:t>
            </m:r>
            <m:ctrlPr>
              <w:rPr>
                <w:rFonts w:hint="default" w:ascii="Cambria Math" w:hAnsi="Cambria Math" w:eastAsia="宋体" w:cs="Times New Roman"/>
                <w:i/>
                <w:color w:val="auto"/>
                <w:sz w:val="24"/>
                <w:szCs w:val="24"/>
                <w:highlight w:val="none"/>
              </w:rPr>
            </m:ctrlPr>
          </m:e>
        </m:acc>
      </m:oMath>
      <w:r>
        <w:rPr>
          <w:rFonts w:hint="default" w:ascii="Times New Roman" w:hAnsi="Times New Roman" w:eastAsia="宋体" w:cs="Times New Roman"/>
          <w:color w:val="auto"/>
          <w:sz w:val="24"/>
          <w:szCs w:val="24"/>
          <w:highlight w:val="none"/>
        </w:rPr>
        <w:t>的估计结果。</w:t>
      </w:r>
    </w:p>
    <w:p w14:paraId="77CC6B9D">
      <w:pPr>
        <w:pageBreakBefore w:val="0"/>
        <w:kinsoku/>
        <w:overflowPunct/>
        <w:topLinePunct w:val="0"/>
        <w:bidi w:val="0"/>
        <w:spacing w:line="400" w:lineRule="exact"/>
        <w:ind w:firstLine="480" w:firstLineChars="200"/>
        <w:textAlignment w:val="center"/>
        <w:rPr>
          <w:rFonts w:hint="default" w:ascii="Times New Roman" w:hAnsi="Times New Roman" w:eastAsia="宋体" w:cs="Times New Roman"/>
          <w:color w:val="auto"/>
          <w:kern w:val="0"/>
          <w:sz w:val="24"/>
          <w:szCs w:val="24"/>
          <w:highlight w:val="none"/>
          <w:lang w:bidi="mn-Mong-CN"/>
        </w:rPr>
      </w:pPr>
      <w:r>
        <w:rPr>
          <w:rFonts w:hint="default" w:ascii="Times New Roman" w:hAnsi="Times New Roman" w:eastAsia="宋体" w:cs="Times New Roman"/>
          <w:color w:val="auto"/>
          <w:kern w:val="0"/>
          <w:sz w:val="24"/>
          <w:szCs w:val="24"/>
          <w:highlight w:val="none"/>
          <w:lang w:bidi="mn-Mong-CN"/>
        </w:rPr>
        <w:t>第二种估计方法。当明确增加值与劳动报酬、资本报酬、固定资本折旧之间的线性关系时，相对于OLS回归和固定效应回归，GMM（广义矩估计）具有自身独特的优势，它不要求随机误差项满足经典假设条件，因此，本文同时采用GMM方法对</w:t>
      </w:r>
      <w:r>
        <w:rPr>
          <w:rFonts w:hint="default" w:ascii="Times New Roman" w:hAnsi="Times New Roman" w:eastAsia="宋体" w:cs="Times New Roman"/>
          <w:color w:val="auto"/>
          <w:sz w:val="24"/>
          <w:szCs w:val="24"/>
          <w:highlight w:val="none"/>
        </w:rPr>
        <w:t>43个经济体层面的产能利用率度量指标进行</w:t>
      </w:r>
      <w:r>
        <w:rPr>
          <w:rFonts w:hint="default" w:ascii="Times New Roman" w:hAnsi="Times New Roman" w:eastAsia="宋体" w:cs="Times New Roman"/>
          <w:color w:val="auto"/>
          <w:kern w:val="0"/>
          <w:sz w:val="24"/>
          <w:szCs w:val="24"/>
          <w:highlight w:val="none"/>
          <w:lang w:bidi="mn-Mong-CN"/>
        </w:rPr>
        <w:t>估计。依据（15）式可得到确定</w:t>
      </w:r>
      <w:r>
        <w:rPr>
          <w:rFonts w:hint="default" w:ascii="Times New Roman" w:hAnsi="Times New Roman" w:eastAsia="宋体" w:cs="Times New Roman"/>
          <w:color w:val="auto"/>
          <w:sz w:val="24"/>
          <w:szCs w:val="24"/>
          <w:highlight w:val="none"/>
        </w:rPr>
        <w:t>各年份</w:t>
      </w:r>
      <w:r>
        <w:rPr>
          <w:rFonts w:hint="default" w:ascii="Times New Roman" w:hAnsi="Times New Roman" w:eastAsia="宋体" w:cs="Times New Roman"/>
          <w:color w:val="auto"/>
          <w:sz w:val="24"/>
          <w:szCs w:val="24"/>
          <w:highlight w:val="none"/>
        </w:rPr>
        <w:object>
          <v:shape id="_x0000_i1033" o:spt="75" type="#_x0000_t75" style="height:16.05pt;width:11.05pt;" o:ole="t" filled="f" o:preferrelative="t" stroked="f" coordsize="21600,21600">
            <v:path/>
            <v:fill on="f" focussize="0,0"/>
            <v:stroke on="f" joinstyle="miter"/>
            <v:imagedata r:id="rId65" o:title=""/>
            <o:lock v:ext="edit" aspectratio="t"/>
            <w10:wrap type="none"/>
            <w10:anchorlock/>
          </v:shape>
          <o:OLEObject Type="Embed" ProgID="Equation.KSEE3" ShapeID="_x0000_i1033" DrawAspect="Content" ObjectID="_1468075738" r:id="rId64">
            <o:LockedField>false</o:LockedField>
          </o:OLEObject>
        </w:object>
      </w:r>
      <w:r>
        <w:rPr>
          <w:rFonts w:hint="default" w:ascii="Times New Roman" w:hAnsi="Times New Roman" w:eastAsia="宋体" w:cs="Times New Roman"/>
          <w:color w:val="auto"/>
          <w:sz w:val="24"/>
          <w:szCs w:val="24"/>
          <w:highlight w:val="none"/>
        </w:rPr>
        <w:t>的矩条件：</w:t>
      </w:r>
    </w:p>
    <w:p w14:paraId="78496E54">
      <w:pPr>
        <w:pageBreakBefore w:val="0"/>
        <w:tabs>
          <w:tab w:val="center" w:pos="3990"/>
          <w:tab w:val="right" w:pos="8400"/>
        </w:tabs>
        <w:kinsoku/>
        <w:overflowPunct/>
        <w:topLinePunct w:val="0"/>
        <w:bidi w:val="0"/>
        <w:spacing w:line="400" w:lineRule="exact"/>
        <w:ind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bidi="mn-Mong-CN"/>
        </w:rPr>
        <w:tab/>
      </w:r>
      <w:r>
        <w:rPr>
          <w:rFonts w:hint="default" w:ascii="Times New Roman" w:hAnsi="Times New Roman" w:eastAsia="宋体" w:cs="Times New Roman"/>
          <w:color w:val="auto"/>
          <w:kern w:val="0"/>
          <w:sz w:val="24"/>
          <w:szCs w:val="24"/>
          <w:highlight w:val="none"/>
          <w:lang w:bidi="mn-Mong-CN"/>
        </w:rPr>
        <w:object>
          <v:shape id="_x0000_i1034" o:spt="75" type="#_x0000_t75" style="height:40.65pt;width:266.25pt;" o:ole="t" filled="f" o:preferrelative="t" stroked="f" coordsize="21600,21600">
            <v:path/>
            <v:fill on="f" focussize="0,0"/>
            <v:stroke on="f" joinstyle="miter"/>
            <v:imagedata r:id="rId67" o:title=""/>
            <o:lock v:ext="edit" aspectratio="t"/>
            <w10:wrap type="none"/>
            <w10:anchorlock/>
          </v:shape>
          <o:OLEObject Type="Embed" ProgID="Equation.KSEE3" ShapeID="_x0000_i1034" DrawAspect="Content" ObjectID="_1468075739" r:id="rId66">
            <o:LockedField>false</o:LockedField>
          </o:OLEObject>
        </w:object>
      </w:r>
      <w:r>
        <w:rPr>
          <w:rFonts w:hint="default" w:ascii="Times New Roman" w:hAnsi="Times New Roman" w:eastAsia="宋体" w:cs="Times New Roman"/>
          <w:color w:val="auto"/>
          <w:kern w:val="0"/>
          <w:sz w:val="24"/>
          <w:szCs w:val="24"/>
          <w:highlight w:val="none"/>
          <w:lang w:bidi="mn-Mong-CN"/>
        </w:rPr>
        <w:tab/>
      </w:r>
      <w:r>
        <w:rPr>
          <w:rFonts w:hint="default" w:ascii="Times New Roman" w:hAnsi="Times New Roman" w:eastAsia="宋体" w:cs="Times New Roman"/>
          <w:color w:val="auto"/>
          <w:kern w:val="0"/>
          <w:sz w:val="24"/>
          <w:szCs w:val="24"/>
          <w:highlight w:val="none"/>
          <w:lang w:bidi="mn-Mong-CN"/>
        </w:rPr>
        <w:t>（17）</w:t>
      </w:r>
    </w:p>
    <w:p w14:paraId="341A75F1">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（17）式中，各变量同除以</w:t>
      </w:r>
      <w:r>
        <w:rPr>
          <w:rFonts w:hint="default" w:ascii="Times New Roman" w:hAnsi="Times New Roman" w:eastAsia="宋体" w:cs="Times New Roman"/>
          <w:i/>
          <w:iCs/>
          <w:color w:val="auto"/>
          <w:sz w:val="24"/>
          <w:szCs w:val="24"/>
          <w:highlight w:val="none"/>
        </w:rPr>
        <w:t>va</w:t>
      </w:r>
      <w:r>
        <w:rPr>
          <w:rFonts w:hint="default" w:ascii="Times New Roman" w:hAnsi="Times New Roman" w:eastAsia="宋体" w:cs="Times New Roman"/>
          <w:i/>
          <w:iCs/>
          <w:color w:val="auto"/>
          <w:sz w:val="24"/>
          <w:szCs w:val="24"/>
          <w:highlight w:val="none"/>
          <w:vertAlign w:val="subscript"/>
        </w:rPr>
        <w:t>pqt</w:t>
      </w:r>
      <w:r>
        <w:rPr>
          <w:rFonts w:hint="default" w:ascii="Times New Roman" w:hAnsi="Times New Roman" w:eastAsia="宋体" w:cs="Times New Roman"/>
          <w:color w:val="auto"/>
          <w:sz w:val="24"/>
          <w:szCs w:val="24"/>
          <w:highlight w:val="none"/>
        </w:rPr>
        <w:t>能更有效地减少极端值，提高参数估计的有效性。表1的列（2）报告了利用两步法GMM方法对（17）式进行估计得到的</w:t>
      </w:r>
      <m:oMath>
        <m:acc>
          <m:accPr>
            <m:ctrlPr>
              <w:rPr>
                <w:rFonts w:hint="default" w:ascii="Cambria Math" w:hAnsi="Cambria Math" w:eastAsia="宋体" w:cs="Times New Roman"/>
                <w:iCs/>
                <w:color w:val="auto"/>
                <w:sz w:val="24"/>
                <w:szCs w:val="24"/>
                <w:highlight w:val="none"/>
              </w:rPr>
            </m:ctrlPr>
          </m:accPr>
          <m:e>
            <m:r>
              <m:rPr>
                <m:nor/>
              </m:rPr>
              <w:rPr>
                <w:rFonts w:hint="default" w:ascii="Cambria Math" w:hAnsi="Cambria Math" w:eastAsia="宋体" w:cs="Times New Roman"/>
                <w:i/>
                <w:color w:val="auto"/>
                <w:sz w:val="24"/>
                <w:szCs w:val="24"/>
                <w:highlight w:val="none"/>
              </w:rPr>
              <m:t>δ</m:t>
            </m:r>
            <m:ctrlPr>
              <w:rPr>
                <w:rFonts w:hint="default" w:ascii="Cambria Math" w:hAnsi="Cambria Math" w:eastAsia="宋体" w:cs="Times New Roman"/>
                <w:iCs/>
                <w:color w:val="auto"/>
                <w:sz w:val="24"/>
                <w:szCs w:val="24"/>
                <w:highlight w:val="none"/>
              </w:rPr>
            </m:ctrlPr>
          </m:e>
        </m:acc>
      </m:oMath>
      <w:r>
        <w:rPr>
          <w:rFonts w:hint="default" w:ascii="Times New Roman" w:hAnsi="Times New Roman" w:eastAsia="宋体" w:cs="Times New Roman"/>
          <w:color w:val="auto"/>
          <w:sz w:val="24"/>
          <w:szCs w:val="24"/>
          <w:highlight w:val="none"/>
        </w:rPr>
        <w:t>的估计结果。</w:t>
      </w:r>
    </w:p>
    <w:p w14:paraId="732BBDCF">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以上两种方法分别基于22230、23775个观测值，避开了估计潜在总产出而直接估计产能利用率的变动趋势，从而避免了预付总资本结构的差异及变化对估计结果的影响。利用（16）式估计的</w:t>
      </w:r>
      <m:oMath>
        <m:acc>
          <m:accPr>
            <m:ctrlPr>
              <w:rPr>
                <w:rFonts w:hint="default" w:ascii="Cambria Math" w:hAnsi="Cambria Math" w:eastAsia="宋体" w:cs="Times New Roman"/>
                <w:iCs/>
                <w:color w:val="auto"/>
                <w:sz w:val="24"/>
                <w:szCs w:val="24"/>
                <w:highlight w:val="none"/>
              </w:rPr>
            </m:ctrlPr>
          </m:accPr>
          <m:e>
            <m:r>
              <m:rPr>
                <m:nor/>
              </m:rPr>
              <w:rPr>
                <w:rFonts w:hint="default" w:ascii="Cambria Math" w:hAnsi="Cambria Math" w:eastAsia="宋体" w:cs="Times New Roman"/>
                <w:i/>
                <w:color w:val="auto"/>
                <w:sz w:val="24"/>
                <w:szCs w:val="24"/>
                <w:highlight w:val="none"/>
              </w:rPr>
              <m:t>δ</m:t>
            </m:r>
            <m:ctrlPr>
              <w:rPr>
                <w:rFonts w:hint="default" w:ascii="Cambria Math" w:hAnsi="Cambria Math" w:eastAsia="宋体" w:cs="Times New Roman"/>
                <w:iCs/>
                <w:color w:val="auto"/>
                <w:sz w:val="24"/>
                <w:szCs w:val="24"/>
                <w:highlight w:val="none"/>
              </w:rPr>
            </m:ctrlPr>
          </m:e>
        </m:acc>
      </m:oMath>
      <w:r>
        <w:rPr>
          <w:rFonts w:hint="default" w:ascii="Times New Roman" w:hAnsi="Times New Roman" w:eastAsia="宋体" w:cs="Times New Roman"/>
          <w:color w:val="auto"/>
          <w:sz w:val="24"/>
          <w:szCs w:val="24"/>
          <w:highlight w:val="none"/>
        </w:rPr>
        <w:t>与利用（17）式估计的</w:t>
      </w:r>
      <m:oMath>
        <m:acc>
          <m:accPr>
            <m:ctrlPr>
              <w:rPr>
                <w:rFonts w:hint="default" w:ascii="Cambria Math" w:hAnsi="Cambria Math" w:eastAsia="宋体" w:cs="Times New Roman"/>
                <w:iCs/>
                <w:color w:val="auto"/>
                <w:sz w:val="24"/>
                <w:szCs w:val="24"/>
                <w:highlight w:val="none"/>
              </w:rPr>
            </m:ctrlPr>
          </m:accPr>
          <m:e>
            <m:r>
              <m:rPr>
                <m:nor/>
              </m:rPr>
              <w:rPr>
                <w:rFonts w:hint="default" w:ascii="Cambria Math" w:hAnsi="Cambria Math" w:eastAsia="宋体" w:cs="Times New Roman"/>
                <w:i/>
                <w:color w:val="auto"/>
                <w:sz w:val="24"/>
                <w:szCs w:val="24"/>
                <w:highlight w:val="none"/>
              </w:rPr>
              <m:t>δ</m:t>
            </m:r>
            <m:ctrlPr>
              <w:rPr>
                <w:rFonts w:hint="default" w:ascii="Cambria Math" w:hAnsi="Cambria Math" w:eastAsia="宋体" w:cs="Times New Roman"/>
                <w:iCs/>
                <w:color w:val="auto"/>
                <w:sz w:val="24"/>
                <w:szCs w:val="24"/>
                <w:highlight w:val="none"/>
              </w:rPr>
            </m:ctrlPr>
          </m:e>
        </m:acc>
      </m:oMath>
      <w:r>
        <w:rPr>
          <w:rFonts w:hint="default" w:ascii="Times New Roman" w:hAnsi="Times New Roman" w:eastAsia="宋体" w:cs="Times New Roman"/>
          <w:color w:val="auto"/>
          <w:sz w:val="24"/>
          <w:szCs w:val="24"/>
          <w:highlight w:val="none"/>
        </w:rPr>
        <w:t>具有很强的正相关性，两者的拟合优度为0.938，Spearman与Pearson相关系数分别为0.968、0.968。这表明两种方法估计的</w:t>
      </w:r>
      <m:oMath>
        <m:acc>
          <m:accPr>
            <m:ctrlPr>
              <w:rPr>
                <w:rFonts w:hint="default" w:ascii="Cambria Math" w:hAnsi="Cambria Math" w:eastAsia="宋体" w:cs="Times New Roman"/>
                <w:iCs/>
                <w:color w:val="auto"/>
                <w:sz w:val="24"/>
                <w:szCs w:val="24"/>
                <w:highlight w:val="none"/>
              </w:rPr>
            </m:ctrlPr>
          </m:accPr>
          <m:e>
            <m:r>
              <m:rPr>
                <m:nor/>
              </m:rPr>
              <w:rPr>
                <w:rFonts w:hint="default" w:ascii="Cambria Math" w:hAnsi="Cambria Math" w:eastAsia="宋体" w:cs="Times New Roman"/>
                <w:i/>
                <w:color w:val="auto"/>
                <w:sz w:val="24"/>
                <w:szCs w:val="24"/>
                <w:highlight w:val="none"/>
              </w:rPr>
              <m:t>δ</m:t>
            </m:r>
            <m:ctrlPr>
              <w:rPr>
                <w:rFonts w:hint="default" w:ascii="Cambria Math" w:hAnsi="Cambria Math" w:eastAsia="宋体" w:cs="Times New Roman"/>
                <w:iCs/>
                <w:color w:val="auto"/>
                <w:sz w:val="24"/>
                <w:szCs w:val="24"/>
                <w:highlight w:val="none"/>
              </w:rPr>
            </m:ctrlPr>
          </m:e>
        </m:acc>
      </m:oMath>
      <w:r>
        <w:rPr>
          <w:rFonts w:hint="default" w:ascii="Times New Roman" w:hAnsi="Times New Roman" w:eastAsia="宋体" w:cs="Times New Roman"/>
          <w:color w:val="auto"/>
          <w:sz w:val="24"/>
          <w:szCs w:val="24"/>
          <w:highlight w:val="none"/>
        </w:rPr>
        <w:t>的变动趋势高度一致，可以反映2000-2014年43个经济体层面的产能利用率的真实变动趋势。</w:t>
      </w:r>
    </w:p>
    <w:p w14:paraId="7A3E0273">
      <w:pPr>
        <w:pageBreakBefore w:val="0"/>
        <w:kinsoku/>
        <w:overflowPunct/>
        <w:topLinePunct w:val="0"/>
        <w:bidi w:val="0"/>
        <w:spacing w:line="400" w:lineRule="exact"/>
        <w:ind w:firstLine="480" w:firstLineChars="200"/>
        <w:jc w:val="center"/>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表1  2000-2014年43个经济体层面的</w:t>
      </w:r>
      <w:r>
        <w:rPr>
          <w:rFonts w:hint="default" w:ascii="Times New Roman" w:hAnsi="Times New Roman" w:eastAsia="宋体" w:cs="Times New Roman"/>
          <w:color w:val="auto"/>
          <w:sz w:val="24"/>
          <w:szCs w:val="24"/>
          <w:highlight w:val="none"/>
        </w:rPr>
        <w:object>
          <v:shape id="_x0000_i1035" o:spt="75" type="#_x0000_t75" style="height:16.05pt;width:11.05pt;" o:ole="t" filled="f" o:preferrelative="t" stroked="f" coordsize="21600,21600">
            <v:path/>
            <v:fill on="f" focussize="0,0"/>
            <v:stroke on="f" joinstyle="miter"/>
            <v:imagedata r:id="rId69" o:title=""/>
            <o:lock v:ext="edit" aspectratio="t"/>
            <w10:wrap type="none"/>
            <w10:anchorlock/>
          </v:shape>
          <o:OLEObject Type="Embed" ProgID="Equation.KSEE3" ShapeID="_x0000_i1035" DrawAspect="Content" ObjectID="_1468075740" r:id="rId68">
            <o:LockedField>false</o:LockedField>
          </o:OLEObject>
        </w:object>
      </w:r>
      <w:r>
        <w:rPr>
          <w:rFonts w:hint="default" w:ascii="Times New Roman" w:hAnsi="Times New Roman" w:eastAsia="宋体" w:cs="Times New Roman"/>
          <w:color w:val="auto"/>
          <w:sz w:val="24"/>
          <w:szCs w:val="24"/>
          <w:highlight w:val="none"/>
        </w:rPr>
        <w:t>估计结果</w:t>
      </w:r>
    </w:p>
    <w:tbl>
      <w:tblPr>
        <w:tblStyle w:val="15"/>
        <w:tblW w:w="5000"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26"/>
        <w:gridCol w:w="1375"/>
        <w:gridCol w:w="1102"/>
        <w:gridCol w:w="1375"/>
        <w:gridCol w:w="1375"/>
        <w:gridCol w:w="1102"/>
        <w:gridCol w:w="1373"/>
      </w:tblGrid>
      <w:tr w14:paraId="24F96477">
        <w:trPr>
          <w:jc w:val="center"/>
        </w:trPr>
        <w:tc>
          <w:tcPr>
            <w:tcW w:w="806" w:type="dxa"/>
            <w:tcBorders>
              <w:bottom w:val="single" w:color="auto" w:sz="4" w:space="0"/>
            </w:tcBorders>
            <w:vAlign w:val="center"/>
          </w:tcPr>
          <w:p w14:paraId="37F0E798">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p>
        </w:tc>
        <w:tc>
          <w:tcPr>
            <w:tcW w:w="3754" w:type="dxa"/>
            <w:gridSpan w:val="3"/>
            <w:tcBorders>
              <w:bottom w:val="single" w:color="auto" w:sz="4" w:space="0"/>
            </w:tcBorders>
            <w:vAlign w:val="center"/>
          </w:tcPr>
          <w:p w14:paraId="2FF188C3">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3752" w:type="dxa"/>
            <w:gridSpan w:val="3"/>
            <w:tcBorders>
              <w:bottom w:val="single" w:color="auto" w:sz="4" w:space="0"/>
            </w:tcBorders>
            <w:vAlign w:val="center"/>
          </w:tcPr>
          <w:p w14:paraId="601872CF">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r>
      <w:tr w14:paraId="3C8A106C">
        <w:trPr>
          <w:jc w:val="center"/>
        </w:trPr>
        <w:tc>
          <w:tcPr>
            <w:tcW w:w="806" w:type="dxa"/>
            <w:tcBorders>
              <w:top w:val="single" w:color="auto" w:sz="4" w:space="0"/>
              <w:bottom w:val="single" w:color="auto" w:sz="4" w:space="0"/>
            </w:tcBorders>
            <w:vAlign w:val="center"/>
          </w:tcPr>
          <w:p w14:paraId="0E8FE6F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年份</w:t>
            </w:r>
          </w:p>
        </w:tc>
        <w:tc>
          <w:tcPr>
            <w:tcW w:w="1340" w:type="dxa"/>
            <w:tcBorders>
              <w:top w:val="single" w:color="auto" w:sz="4" w:space="0"/>
              <w:bottom w:val="single" w:color="auto" w:sz="4" w:space="0"/>
            </w:tcBorders>
            <w:vAlign w:val="center"/>
          </w:tcPr>
          <w:p w14:paraId="419CABB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估计系数</w:t>
            </w:r>
          </w:p>
          <w:p w14:paraId="32742302">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object>
                <v:shape id="_x0000_i1036" o:spt="75" type="#_x0000_t75" style="height:16.05pt;width:11.05pt;" o:ole="t" filled="f" o:preferrelative="t" stroked="f" coordsize="21600,21600">
                  <v:path/>
                  <v:fill on="f" focussize="0,0"/>
                  <v:stroke on="f" joinstyle="miter"/>
                  <v:imagedata r:id="rId71" o:title=""/>
                  <o:lock v:ext="edit" aspectratio="t"/>
                  <w10:wrap type="none"/>
                  <w10:anchorlock/>
                </v:shape>
                <o:OLEObject Type="Embed" ProgID="Equation.KSEE3" ShapeID="_x0000_i1036" DrawAspect="Content" ObjectID="_1468075741" r:id="rId70">
                  <o:LockedField>false</o:LockedField>
                </o:OLEObject>
              </w:object>
            </w:r>
          </w:p>
        </w:tc>
        <w:tc>
          <w:tcPr>
            <w:tcW w:w="1074" w:type="dxa"/>
            <w:tcBorders>
              <w:top w:val="single" w:color="auto" w:sz="4" w:space="0"/>
              <w:bottom w:val="single" w:color="auto" w:sz="4" w:space="0"/>
            </w:tcBorders>
            <w:vAlign w:val="center"/>
          </w:tcPr>
          <w:p w14:paraId="2C6FDEE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稳健性</w:t>
            </w:r>
          </w:p>
          <w:p w14:paraId="5AC7930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标准误</w:t>
            </w:r>
          </w:p>
        </w:tc>
        <w:tc>
          <w:tcPr>
            <w:tcW w:w="1340" w:type="dxa"/>
            <w:tcBorders>
              <w:top w:val="single" w:color="auto" w:sz="4" w:space="0"/>
              <w:bottom w:val="single" w:color="auto" w:sz="4" w:space="0"/>
            </w:tcBorders>
            <w:vAlign w:val="center"/>
          </w:tcPr>
          <w:p w14:paraId="356002C1">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生产主体</w:t>
            </w:r>
          </w:p>
          <w:p w14:paraId="3F567B1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数量</w:t>
            </w:r>
          </w:p>
        </w:tc>
        <w:tc>
          <w:tcPr>
            <w:tcW w:w="1340" w:type="dxa"/>
            <w:tcBorders>
              <w:top w:val="single" w:color="auto" w:sz="4" w:space="0"/>
              <w:bottom w:val="single" w:color="auto" w:sz="4" w:space="0"/>
            </w:tcBorders>
            <w:vAlign w:val="center"/>
          </w:tcPr>
          <w:p w14:paraId="73BCADB7">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估计系数</w:t>
            </w:r>
          </w:p>
          <w:p w14:paraId="28614490">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object>
                <v:shape id="_x0000_i1037" o:spt="75" type="#_x0000_t75" style="height:16.05pt;width:11.05pt;" o:ole="t" filled="f" o:preferrelative="t" stroked="f" coordsize="21600,21600">
                  <v:path/>
                  <v:fill on="f" focussize="0,0"/>
                  <v:stroke on="f" joinstyle="miter"/>
                  <v:imagedata r:id="rId69" o:title=""/>
                  <o:lock v:ext="edit" aspectratio="t"/>
                  <w10:wrap type="none"/>
                  <w10:anchorlock/>
                </v:shape>
                <o:OLEObject Type="Embed" ProgID="Equation.KSEE3" ShapeID="_x0000_i1037" DrawAspect="Content" ObjectID="_1468075742" r:id="rId72">
                  <o:LockedField>false</o:LockedField>
                </o:OLEObject>
              </w:object>
            </w:r>
          </w:p>
        </w:tc>
        <w:tc>
          <w:tcPr>
            <w:tcW w:w="1074" w:type="dxa"/>
            <w:tcBorders>
              <w:top w:val="single" w:color="auto" w:sz="4" w:space="0"/>
              <w:bottom w:val="single" w:color="auto" w:sz="4" w:space="0"/>
            </w:tcBorders>
            <w:vAlign w:val="center"/>
          </w:tcPr>
          <w:p w14:paraId="368FFE30">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稳健性</w:t>
            </w:r>
          </w:p>
          <w:p w14:paraId="4D1741E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标准误</w:t>
            </w:r>
          </w:p>
        </w:tc>
        <w:tc>
          <w:tcPr>
            <w:tcW w:w="1338" w:type="dxa"/>
            <w:tcBorders>
              <w:top w:val="single" w:color="auto" w:sz="4" w:space="0"/>
              <w:bottom w:val="single" w:color="auto" w:sz="4" w:space="0"/>
            </w:tcBorders>
            <w:vAlign w:val="center"/>
          </w:tcPr>
          <w:p w14:paraId="10489CF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生产主体</w:t>
            </w:r>
          </w:p>
          <w:p w14:paraId="4CBAFD09">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数量</w:t>
            </w:r>
          </w:p>
        </w:tc>
      </w:tr>
      <w:tr w14:paraId="59C0E971">
        <w:trPr>
          <w:jc w:val="center"/>
        </w:trPr>
        <w:tc>
          <w:tcPr>
            <w:tcW w:w="806" w:type="dxa"/>
            <w:tcBorders>
              <w:top w:val="single" w:color="auto" w:sz="4" w:space="0"/>
            </w:tcBorders>
            <w:vAlign w:val="center"/>
          </w:tcPr>
          <w:p w14:paraId="17A4C405">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2000</w:t>
            </w:r>
          </w:p>
        </w:tc>
        <w:tc>
          <w:tcPr>
            <w:tcW w:w="1340" w:type="dxa"/>
            <w:tcBorders>
              <w:top w:val="single" w:color="auto" w:sz="4" w:space="0"/>
            </w:tcBorders>
            <w:vAlign w:val="bottom"/>
          </w:tcPr>
          <w:p w14:paraId="2700C3E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0.09990</w:t>
            </w:r>
          </w:p>
        </w:tc>
        <w:tc>
          <w:tcPr>
            <w:tcW w:w="1074" w:type="dxa"/>
            <w:tcBorders>
              <w:top w:val="single" w:color="auto" w:sz="4" w:space="0"/>
            </w:tcBorders>
            <w:vAlign w:val="bottom"/>
          </w:tcPr>
          <w:p w14:paraId="6368C883">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0.00795</w:t>
            </w:r>
          </w:p>
        </w:tc>
        <w:tc>
          <w:tcPr>
            <w:tcW w:w="1340" w:type="dxa"/>
            <w:tcBorders>
              <w:top w:val="single" w:color="auto" w:sz="4" w:space="0"/>
            </w:tcBorders>
            <w:vAlign w:val="bottom"/>
          </w:tcPr>
          <w:p w14:paraId="45E147FE">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tcBorders>
              <w:top w:val="single" w:color="auto" w:sz="4" w:space="0"/>
            </w:tcBorders>
            <w:vAlign w:val="bottom"/>
          </w:tcPr>
          <w:p w14:paraId="6E93C58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0.10060</w:t>
            </w:r>
          </w:p>
        </w:tc>
        <w:tc>
          <w:tcPr>
            <w:tcW w:w="1074" w:type="dxa"/>
            <w:tcBorders>
              <w:top w:val="single" w:color="auto" w:sz="4" w:space="0"/>
            </w:tcBorders>
            <w:vAlign w:val="bottom"/>
          </w:tcPr>
          <w:p w14:paraId="360D6EE3">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0.00291</w:t>
            </w:r>
          </w:p>
        </w:tc>
        <w:tc>
          <w:tcPr>
            <w:tcW w:w="1338" w:type="dxa"/>
            <w:tcBorders>
              <w:top w:val="single" w:color="auto" w:sz="4" w:space="0"/>
            </w:tcBorders>
            <w:vAlign w:val="bottom"/>
          </w:tcPr>
          <w:p w14:paraId="3C63BFC6">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66BB82C7">
        <w:trPr>
          <w:jc w:val="center"/>
        </w:trPr>
        <w:tc>
          <w:tcPr>
            <w:tcW w:w="806" w:type="dxa"/>
            <w:vAlign w:val="center"/>
          </w:tcPr>
          <w:p w14:paraId="58C87E13">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2001</w:t>
            </w:r>
          </w:p>
        </w:tc>
        <w:tc>
          <w:tcPr>
            <w:tcW w:w="1340" w:type="dxa"/>
            <w:vAlign w:val="bottom"/>
          </w:tcPr>
          <w:p w14:paraId="1E997991">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0.10008</w:t>
            </w:r>
          </w:p>
        </w:tc>
        <w:tc>
          <w:tcPr>
            <w:tcW w:w="1074" w:type="dxa"/>
            <w:vAlign w:val="bottom"/>
          </w:tcPr>
          <w:p w14:paraId="00D98147">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0.00800</w:t>
            </w:r>
          </w:p>
        </w:tc>
        <w:tc>
          <w:tcPr>
            <w:tcW w:w="1340" w:type="dxa"/>
            <w:vAlign w:val="bottom"/>
          </w:tcPr>
          <w:p w14:paraId="33412CD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6662798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0.10264</w:t>
            </w:r>
          </w:p>
        </w:tc>
        <w:tc>
          <w:tcPr>
            <w:tcW w:w="1074" w:type="dxa"/>
            <w:vAlign w:val="bottom"/>
          </w:tcPr>
          <w:p w14:paraId="6ADDA060">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0.00284</w:t>
            </w:r>
          </w:p>
        </w:tc>
        <w:tc>
          <w:tcPr>
            <w:tcW w:w="1338" w:type="dxa"/>
            <w:vAlign w:val="bottom"/>
          </w:tcPr>
          <w:p w14:paraId="535E60FC">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06D89CEA">
        <w:trPr>
          <w:jc w:val="center"/>
        </w:trPr>
        <w:tc>
          <w:tcPr>
            <w:tcW w:w="806" w:type="dxa"/>
            <w:vAlign w:val="center"/>
          </w:tcPr>
          <w:p w14:paraId="42950753">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2002</w:t>
            </w:r>
          </w:p>
        </w:tc>
        <w:tc>
          <w:tcPr>
            <w:tcW w:w="1340" w:type="dxa"/>
            <w:vAlign w:val="bottom"/>
          </w:tcPr>
          <w:p w14:paraId="6A46DEB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0.10073</w:t>
            </w:r>
          </w:p>
        </w:tc>
        <w:tc>
          <w:tcPr>
            <w:tcW w:w="1074" w:type="dxa"/>
            <w:vAlign w:val="bottom"/>
          </w:tcPr>
          <w:p w14:paraId="3BDB9522">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0.00800</w:t>
            </w:r>
          </w:p>
        </w:tc>
        <w:tc>
          <w:tcPr>
            <w:tcW w:w="1340" w:type="dxa"/>
            <w:vAlign w:val="bottom"/>
          </w:tcPr>
          <w:p w14:paraId="71F51416">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62108EE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0.10636</w:t>
            </w:r>
          </w:p>
        </w:tc>
        <w:tc>
          <w:tcPr>
            <w:tcW w:w="1074" w:type="dxa"/>
            <w:vAlign w:val="bottom"/>
          </w:tcPr>
          <w:p w14:paraId="3047C230">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0.00290</w:t>
            </w:r>
          </w:p>
        </w:tc>
        <w:tc>
          <w:tcPr>
            <w:tcW w:w="1338" w:type="dxa"/>
            <w:vAlign w:val="bottom"/>
          </w:tcPr>
          <w:p w14:paraId="4BF165B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30044C33">
        <w:trPr>
          <w:jc w:val="center"/>
        </w:trPr>
        <w:tc>
          <w:tcPr>
            <w:tcW w:w="806" w:type="dxa"/>
            <w:vAlign w:val="center"/>
          </w:tcPr>
          <w:p w14:paraId="3F0878A7">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2003</w:t>
            </w:r>
          </w:p>
        </w:tc>
        <w:tc>
          <w:tcPr>
            <w:tcW w:w="1340" w:type="dxa"/>
            <w:vAlign w:val="bottom"/>
          </w:tcPr>
          <w:p w14:paraId="4309689F">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0.10260</w:t>
            </w:r>
          </w:p>
        </w:tc>
        <w:tc>
          <w:tcPr>
            <w:tcW w:w="1074" w:type="dxa"/>
            <w:vAlign w:val="bottom"/>
          </w:tcPr>
          <w:p w14:paraId="5AFF8050">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0.00807</w:t>
            </w:r>
          </w:p>
        </w:tc>
        <w:tc>
          <w:tcPr>
            <w:tcW w:w="1340" w:type="dxa"/>
            <w:vAlign w:val="bottom"/>
          </w:tcPr>
          <w:p w14:paraId="16EA7420">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3B75BB27">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0.10825</w:t>
            </w:r>
          </w:p>
        </w:tc>
        <w:tc>
          <w:tcPr>
            <w:tcW w:w="1074" w:type="dxa"/>
            <w:vAlign w:val="bottom"/>
          </w:tcPr>
          <w:p w14:paraId="2E99A49B">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0.00301</w:t>
            </w:r>
          </w:p>
        </w:tc>
        <w:tc>
          <w:tcPr>
            <w:tcW w:w="1338" w:type="dxa"/>
            <w:vAlign w:val="bottom"/>
          </w:tcPr>
          <w:p w14:paraId="574C9531">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2E4ECAD3">
        <w:trPr>
          <w:jc w:val="center"/>
        </w:trPr>
        <w:tc>
          <w:tcPr>
            <w:tcW w:w="806" w:type="dxa"/>
            <w:vAlign w:val="center"/>
          </w:tcPr>
          <w:p w14:paraId="2FEBFA60">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2004</w:t>
            </w:r>
          </w:p>
        </w:tc>
        <w:tc>
          <w:tcPr>
            <w:tcW w:w="1340" w:type="dxa"/>
            <w:vAlign w:val="bottom"/>
          </w:tcPr>
          <w:p w14:paraId="0AF0F10C">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0.10580</w:t>
            </w:r>
          </w:p>
        </w:tc>
        <w:tc>
          <w:tcPr>
            <w:tcW w:w="1074" w:type="dxa"/>
            <w:vAlign w:val="bottom"/>
          </w:tcPr>
          <w:p w14:paraId="585C075D">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0.00827</w:t>
            </w:r>
          </w:p>
        </w:tc>
        <w:tc>
          <w:tcPr>
            <w:tcW w:w="1340" w:type="dxa"/>
            <w:vAlign w:val="bottom"/>
          </w:tcPr>
          <w:p w14:paraId="5D9368D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7B2A6CE0">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0.11404</w:t>
            </w:r>
          </w:p>
        </w:tc>
        <w:tc>
          <w:tcPr>
            <w:tcW w:w="1074" w:type="dxa"/>
            <w:vAlign w:val="bottom"/>
          </w:tcPr>
          <w:p w14:paraId="259FCCFB">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0.00317</w:t>
            </w:r>
          </w:p>
        </w:tc>
        <w:tc>
          <w:tcPr>
            <w:tcW w:w="1338" w:type="dxa"/>
            <w:vAlign w:val="bottom"/>
          </w:tcPr>
          <w:p w14:paraId="7E87798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5798368D">
        <w:trPr>
          <w:jc w:val="center"/>
        </w:trPr>
        <w:tc>
          <w:tcPr>
            <w:tcW w:w="806" w:type="dxa"/>
            <w:vAlign w:val="center"/>
          </w:tcPr>
          <w:p w14:paraId="1FC7C7E9">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2005</w:t>
            </w:r>
          </w:p>
        </w:tc>
        <w:tc>
          <w:tcPr>
            <w:tcW w:w="1340" w:type="dxa"/>
            <w:vAlign w:val="bottom"/>
          </w:tcPr>
          <w:p w14:paraId="4E4D0584">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0.10245</w:t>
            </w:r>
          </w:p>
        </w:tc>
        <w:tc>
          <w:tcPr>
            <w:tcW w:w="1074" w:type="dxa"/>
            <w:vAlign w:val="bottom"/>
          </w:tcPr>
          <w:p w14:paraId="7BD98AEA">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0.00815</w:t>
            </w:r>
          </w:p>
        </w:tc>
        <w:tc>
          <w:tcPr>
            <w:tcW w:w="1340" w:type="dxa"/>
            <w:vAlign w:val="bottom"/>
          </w:tcPr>
          <w:p w14:paraId="63B33DC6">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6E55BE0D">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0.11298</w:t>
            </w:r>
          </w:p>
        </w:tc>
        <w:tc>
          <w:tcPr>
            <w:tcW w:w="1074" w:type="dxa"/>
            <w:vAlign w:val="bottom"/>
          </w:tcPr>
          <w:p w14:paraId="6A68F2DB">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0.00324</w:t>
            </w:r>
          </w:p>
        </w:tc>
        <w:tc>
          <w:tcPr>
            <w:tcW w:w="1338" w:type="dxa"/>
            <w:vAlign w:val="bottom"/>
          </w:tcPr>
          <w:p w14:paraId="5739986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4817F225">
        <w:trPr>
          <w:jc w:val="center"/>
        </w:trPr>
        <w:tc>
          <w:tcPr>
            <w:tcW w:w="806" w:type="dxa"/>
            <w:vAlign w:val="center"/>
          </w:tcPr>
          <w:p w14:paraId="0571B397">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2006</w:t>
            </w:r>
          </w:p>
        </w:tc>
        <w:tc>
          <w:tcPr>
            <w:tcW w:w="1340" w:type="dxa"/>
            <w:vAlign w:val="bottom"/>
          </w:tcPr>
          <w:p w14:paraId="76035EB3">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0.10377</w:t>
            </w:r>
          </w:p>
        </w:tc>
        <w:tc>
          <w:tcPr>
            <w:tcW w:w="1074" w:type="dxa"/>
            <w:vAlign w:val="bottom"/>
          </w:tcPr>
          <w:p w14:paraId="7A54F7BA">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0.00804</w:t>
            </w:r>
          </w:p>
        </w:tc>
        <w:tc>
          <w:tcPr>
            <w:tcW w:w="1340" w:type="dxa"/>
            <w:vAlign w:val="bottom"/>
          </w:tcPr>
          <w:p w14:paraId="28B0A0C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1B14655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0.11707</w:t>
            </w:r>
          </w:p>
        </w:tc>
        <w:tc>
          <w:tcPr>
            <w:tcW w:w="1074" w:type="dxa"/>
            <w:vAlign w:val="bottom"/>
          </w:tcPr>
          <w:p w14:paraId="78803775">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0.00341</w:t>
            </w:r>
          </w:p>
        </w:tc>
        <w:tc>
          <w:tcPr>
            <w:tcW w:w="1338" w:type="dxa"/>
            <w:vAlign w:val="bottom"/>
          </w:tcPr>
          <w:p w14:paraId="69DC6B94">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0106BFCD">
        <w:trPr>
          <w:jc w:val="center"/>
        </w:trPr>
        <w:tc>
          <w:tcPr>
            <w:tcW w:w="806" w:type="dxa"/>
            <w:vAlign w:val="center"/>
          </w:tcPr>
          <w:p w14:paraId="59B14610">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2007</w:t>
            </w:r>
          </w:p>
        </w:tc>
        <w:tc>
          <w:tcPr>
            <w:tcW w:w="1340" w:type="dxa"/>
            <w:vAlign w:val="bottom"/>
          </w:tcPr>
          <w:p w14:paraId="00D9BEBD">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0.10453</w:t>
            </w:r>
          </w:p>
        </w:tc>
        <w:tc>
          <w:tcPr>
            <w:tcW w:w="1074" w:type="dxa"/>
            <w:vAlign w:val="bottom"/>
          </w:tcPr>
          <w:p w14:paraId="3C7713DB">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0.00789</w:t>
            </w:r>
          </w:p>
        </w:tc>
        <w:tc>
          <w:tcPr>
            <w:tcW w:w="1340" w:type="dxa"/>
            <w:vAlign w:val="bottom"/>
          </w:tcPr>
          <w:p w14:paraId="3F417F11">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4EB4918E">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0.11655</w:t>
            </w:r>
          </w:p>
        </w:tc>
        <w:tc>
          <w:tcPr>
            <w:tcW w:w="1074" w:type="dxa"/>
            <w:vAlign w:val="bottom"/>
          </w:tcPr>
          <w:p w14:paraId="0040E163">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0.00329</w:t>
            </w:r>
          </w:p>
        </w:tc>
        <w:tc>
          <w:tcPr>
            <w:tcW w:w="1338" w:type="dxa"/>
            <w:vAlign w:val="bottom"/>
          </w:tcPr>
          <w:p w14:paraId="54133C8D">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0DE653EE">
        <w:trPr>
          <w:jc w:val="center"/>
        </w:trPr>
        <w:tc>
          <w:tcPr>
            <w:tcW w:w="806" w:type="dxa"/>
            <w:vAlign w:val="center"/>
          </w:tcPr>
          <w:p w14:paraId="7AF8BD69">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2008</w:t>
            </w:r>
          </w:p>
        </w:tc>
        <w:tc>
          <w:tcPr>
            <w:tcW w:w="1340" w:type="dxa"/>
            <w:vAlign w:val="bottom"/>
          </w:tcPr>
          <w:p w14:paraId="33877037">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0.09461</w:t>
            </w:r>
          </w:p>
        </w:tc>
        <w:tc>
          <w:tcPr>
            <w:tcW w:w="1074" w:type="dxa"/>
            <w:vAlign w:val="bottom"/>
          </w:tcPr>
          <w:p w14:paraId="6DE8B1CA">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0.00776</w:t>
            </w:r>
          </w:p>
        </w:tc>
        <w:tc>
          <w:tcPr>
            <w:tcW w:w="1340" w:type="dxa"/>
            <w:vAlign w:val="bottom"/>
          </w:tcPr>
          <w:p w14:paraId="12F97AFC">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07EFDEE8">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0.10072</w:t>
            </w:r>
          </w:p>
        </w:tc>
        <w:tc>
          <w:tcPr>
            <w:tcW w:w="1074" w:type="dxa"/>
            <w:vAlign w:val="bottom"/>
          </w:tcPr>
          <w:p w14:paraId="18471717">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0.00301</w:t>
            </w:r>
          </w:p>
        </w:tc>
        <w:tc>
          <w:tcPr>
            <w:tcW w:w="1338" w:type="dxa"/>
            <w:vAlign w:val="bottom"/>
          </w:tcPr>
          <w:p w14:paraId="7A4D98A8">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0B63B3DD">
        <w:trPr>
          <w:jc w:val="center"/>
        </w:trPr>
        <w:tc>
          <w:tcPr>
            <w:tcW w:w="806" w:type="dxa"/>
            <w:vAlign w:val="center"/>
          </w:tcPr>
          <w:p w14:paraId="582E7E58">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2009</w:t>
            </w:r>
          </w:p>
        </w:tc>
        <w:tc>
          <w:tcPr>
            <w:tcW w:w="1340" w:type="dxa"/>
            <w:vAlign w:val="bottom"/>
          </w:tcPr>
          <w:p w14:paraId="0AB1C83E">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0.08442</w:t>
            </w:r>
          </w:p>
        </w:tc>
        <w:tc>
          <w:tcPr>
            <w:tcW w:w="1074" w:type="dxa"/>
            <w:vAlign w:val="bottom"/>
          </w:tcPr>
          <w:p w14:paraId="615BB6EE">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0.00756</w:t>
            </w:r>
          </w:p>
        </w:tc>
        <w:tc>
          <w:tcPr>
            <w:tcW w:w="1340" w:type="dxa"/>
            <w:vAlign w:val="bottom"/>
          </w:tcPr>
          <w:p w14:paraId="1685C272">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24815E2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0.08309</w:t>
            </w:r>
          </w:p>
        </w:tc>
        <w:tc>
          <w:tcPr>
            <w:tcW w:w="1074" w:type="dxa"/>
            <w:vAlign w:val="bottom"/>
          </w:tcPr>
          <w:p w14:paraId="1206476E">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0.00287</w:t>
            </w:r>
          </w:p>
        </w:tc>
        <w:tc>
          <w:tcPr>
            <w:tcW w:w="1338" w:type="dxa"/>
            <w:vAlign w:val="bottom"/>
          </w:tcPr>
          <w:p w14:paraId="15EEF618">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1DCE138E">
        <w:trPr>
          <w:jc w:val="center"/>
        </w:trPr>
        <w:tc>
          <w:tcPr>
            <w:tcW w:w="806" w:type="dxa"/>
            <w:vAlign w:val="center"/>
          </w:tcPr>
          <w:p w14:paraId="0AF7E128">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2010</w:t>
            </w:r>
          </w:p>
        </w:tc>
        <w:tc>
          <w:tcPr>
            <w:tcW w:w="1340" w:type="dxa"/>
            <w:vAlign w:val="bottom"/>
          </w:tcPr>
          <w:p w14:paraId="62857407">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0.08993</w:t>
            </w:r>
          </w:p>
        </w:tc>
        <w:tc>
          <w:tcPr>
            <w:tcW w:w="1074" w:type="dxa"/>
            <w:vAlign w:val="bottom"/>
          </w:tcPr>
          <w:p w14:paraId="34C108BC">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0.00763</w:t>
            </w:r>
          </w:p>
        </w:tc>
        <w:tc>
          <w:tcPr>
            <w:tcW w:w="1340" w:type="dxa"/>
            <w:vAlign w:val="bottom"/>
          </w:tcPr>
          <w:p w14:paraId="6C78E61E">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7520F439">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0.09368</w:t>
            </w:r>
          </w:p>
        </w:tc>
        <w:tc>
          <w:tcPr>
            <w:tcW w:w="1074" w:type="dxa"/>
            <w:vAlign w:val="bottom"/>
          </w:tcPr>
          <w:p w14:paraId="0C461B22">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0.00279</w:t>
            </w:r>
          </w:p>
        </w:tc>
        <w:tc>
          <w:tcPr>
            <w:tcW w:w="1338" w:type="dxa"/>
            <w:vAlign w:val="bottom"/>
          </w:tcPr>
          <w:p w14:paraId="788B9488">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3A53101B">
        <w:trPr>
          <w:jc w:val="center"/>
        </w:trPr>
        <w:tc>
          <w:tcPr>
            <w:tcW w:w="806" w:type="dxa"/>
            <w:vAlign w:val="center"/>
          </w:tcPr>
          <w:p w14:paraId="05D0E2AA">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2011</w:t>
            </w:r>
          </w:p>
        </w:tc>
        <w:tc>
          <w:tcPr>
            <w:tcW w:w="1340" w:type="dxa"/>
            <w:vAlign w:val="bottom"/>
          </w:tcPr>
          <w:p w14:paraId="39945073">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0.09171</w:t>
            </w:r>
          </w:p>
        </w:tc>
        <w:tc>
          <w:tcPr>
            <w:tcW w:w="1074" w:type="dxa"/>
            <w:vAlign w:val="bottom"/>
          </w:tcPr>
          <w:p w14:paraId="09DF2A91">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0.00773</w:t>
            </w:r>
          </w:p>
        </w:tc>
        <w:tc>
          <w:tcPr>
            <w:tcW w:w="1340" w:type="dxa"/>
            <w:vAlign w:val="bottom"/>
          </w:tcPr>
          <w:p w14:paraId="5170A789">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69D808B6">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0.09248</w:t>
            </w:r>
          </w:p>
        </w:tc>
        <w:tc>
          <w:tcPr>
            <w:tcW w:w="1074" w:type="dxa"/>
            <w:vAlign w:val="bottom"/>
          </w:tcPr>
          <w:p w14:paraId="1FD31512">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0.00275</w:t>
            </w:r>
          </w:p>
        </w:tc>
        <w:tc>
          <w:tcPr>
            <w:tcW w:w="1338" w:type="dxa"/>
            <w:vAlign w:val="bottom"/>
          </w:tcPr>
          <w:p w14:paraId="7FDC1D0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69F1CCC4">
        <w:trPr>
          <w:jc w:val="center"/>
        </w:trPr>
        <w:tc>
          <w:tcPr>
            <w:tcW w:w="806" w:type="dxa"/>
            <w:vAlign w:val="center"/>
          </w:tcPr>
          <w:p w14:paraId="1F9D9EDF">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2012</w:t>
            </w:r>
          </w:p>
        </w:tc>
        <w:tc>
          <w:tcPr>
            <w:tcW w:w="1340" w:type="dxa"/>
            <w:vAlign w:val="bottom"/>
          </w:tcPr>
          <w:p w14:paraId="7CE49A4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0.08813</w:t>
            </w:r>
          </w:p>
        </w:tc>
        <w:tc>
          <w:tcPr>
            <w:tcW w:w="1074" w:type="dxa"/>
            <w:vAlign w:val="bottom"/>
          </w:tcPr>
          <w:p w14:paraId="68FFFB72">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0.00764</w:t>
            </w:r>
          </w:p>
        </w:tc>
        <w:tc>
          <w:tcPr>
            <w:tcW w:w="1340" w:type="dxa"/>
            <w:vAlign w:val="bottom"/>
          </w:tcPr>
          <w:p w14:paraId="3F5E3A47">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1CEE84EB">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0.08486</w:t>
            </w:r>
          </w:p>
        </w:tc>
        <w:tc>
          <w:tcPr>
            <w:tcW w:w="1074" w:type="dxa"/>
            <w:vAlign w:val="bottom"/>
          </w:tcPr>
          <w:p w14:paraId="056DFE05">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0.00254</w:t>
            </w:r>
          </w:p>
        </w:tc>
        <w:tc>
          <w:tcPr>
            <w:tcW w:w="1338" w:type="dxa"/>
            <w:vAlign w:val="bottom"/>
          </w:tcPr>
          <w:p w14:paraId="67B6C6B4">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4CEA924D">
        <w:trPr>
          <w:jc w:val="center"/>
        </w:trPr>
        <w:tc>
          <w:tcPr>
            <w:tcW w:w="806" w:type="dxa"/>
            <w:vAlign w:val="center"/>
          </w:tcPr>
          <w:p w14:paraId="7C497230">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2013</w:t>
            </w:r>
          </w:p>
        </w:tc>
        <w:tc>
          <w:tcPr>
            <w:tcW w:w="1340" w:type="dxa"/>
            <w:vAlign w:val="bottom"/>
          </w:tcPr>
          <w:p w14:paraId="28AE865D">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0.08667</w:t>
            </w:r>
          </w:p>
        </w:tc>
        <w:tc>
          <w:tcPr>
            <w:tcW w:w="1074" w:type="dxa"/>
            <w:vAlign w:val="bottom"/>
          </w:tcPr>
          <w:p w14:paraId="4A65590E">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0.00751</w:t>
            </w:r>
          </w:p>
        </w:tc>
        <w:tc>
          <w:tcPr>
            <w:tcW w:w="1340" w:type="dxa"/>
            <w:vAlign w:val="bottom"/>
          </w:tcPr>
          <w:p w14:paraId="2D163B90">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48F7D61C">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0.08530</w:t>
            </w:r>
          </w:p>
        </w:tc>
        <w:tc>
          <w:tcPr>
            <w:tcW w:w="1074" w:type="dxa"/>
            <w:vAlign w:val="bottom"/>
          </w:tcPr>
          <w:p w14:paraId="66DDBEFF">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0.00257</w:t>
            </w:r>
          </w:p>
        </w:tc>
        <w:tc>
          <w:tcPr>
            <w:tcW w:w="1338" w:type="dxa"/>
            <w:vAlign w:val="bottom"/>
          </w:tcPr>
          <w:p w14:paraId="63F519C5">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r w14:paraId="2F408392">
        <w:trPr>
          <w:jc w:val="center"/>
        </w:trPr>
        <w:tc>
          <w:tcPr>
            <w:tcW w:w="806" w:type="dxa"/>
            <w:vAlign w:val="center"/>
          </w:tcPr>
          <w:p w14:paraId="5DFB77DA">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2014</w:t>
            </w:r>
          </w:p>
        </w:tc>
        <w:tc>
          <w:tcPr>
            <w:tcW w:w="1340" w:type="dxa"/>
            <w:vAlign w:val="bottom"/>
          </w:tcPr>
          <w:p w14:paraId="1331C4E8">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0.08299</w:t>
            </w:r>
          </w:p>
        </w:tc>
        <w:tc>
          <w:tcPr>
            <w:tcW w:w="1074" w:type="dxa"/>
            <w:vAlign w:val="bottom"/>
          </w:tcPr>
          <w:p w14:paraId="775BC288">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0.00736</w:t>
            </w:r>
          </w:p>
        </w:tc>
        <w:tc>
          <w:tcPr>
            <w:tcW w:w="1340" w:type="dxa"/>
            <w:vAlign w:val="bottom"/>
          </w:tcPr>
          <w:p w14:paraId="1642DBD6">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1482</w:t>
            </w:r>
          </w:p>
        </w:tc>
        <w:tc>
          <w:tcPr>
            <w:tcW w:w="1340" w:type="dxa"/>
            <w:vAlign w:val="bottom"/>
          </w:tcPr>
          <w:p w14:paraId="1DF8611C">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0.08354</w:t>
            </w:r>
          </w:p>
        </w:tc>
        <w:tc>
          <w:tcPr>
            <w:tcW w:w="1074" w:type="dxa"/>
            <w:vAlign w:val="bottom"/>
          </w:tcPr>
          <w:p w14:paraId="5CB223C5">
            <w:pPr>
              <w:pageBreakBefore w:val="0"/>
              <w:kinsoku/>
              <w:overflowPunct/>
              <w:topLinePunct w:val="0"/>
              <w:bidi w:val="0"/>
              <w:spacing w:line="400" w:lineRule="exact"/>
              <w:jc w:val="both"/>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0.00253</w:t>
            </w:r>
          </w:p>
        </w:tc>
        <w:tc>
          <w:tcPr>
            <w:tcW w:w="1338" w:type="dxa"/>
            <w:vAlign w:val="bottom"/>
          </w:tcPr>
          <w:p w14:paraId="39132A0A">
            <w:pPr>
              <w:pageBreakBefore w:val="0"/>
              <w:kinsoku/>
              <w:overflowPunct/>
              <w:topLinePunct w:val="0"/>
              <w:bidi w:val="0"/>
              <w:spacing w:line="400" w:lineRule="exact"/>
              <w:ind w:firstLine="420" w:firstLineChars="20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1585</w:t>
            </w:r>
          </w:p>
        </w:tc>
      </w:tr>
    </w:tbl>
    <w:p w14:paraId="59044BE2">
      <w:pPr>
        <w:pageBreakBefore w:val="0"/>
        <w:kinsoku/>
        <w:overflowPunct/>
        <w:topLinePunct w:val="0"/>
        <w:bidi w:val="0"/>
        <w:spacing w:line="400" w:lineRule="exact"/>
        <w:ind w:firstLine="480" w:firstLineChars="200"/>
        <w:rPr>
          <w:rFonts w:hint="default" w:ascii="Times New Roman" w:hAnsi="Times New Roman" w:eastAsia="宋体" w:cs="Times New Roman"/>
          <w:color w:val="auto"/>
          <w:kern w:val="0"/>
          <w:sz w:val="24"/>
          <w:szCs w:val="24"/>
          <w:highlight w:val="none"/>
          <w:lang w:bidi="mn-Mong-CN"/>
        </w:rPr>
      </w:pPr>
      <w:r>
        <w:rPr>
          <w:rFonts w:hint="default" w:ascii="Times New Roman" w:hAnsi="Times New Roman" w:eastAsia="宋体" w:cs="Times New Roman"/>
          <w:color w:val="auto"/>
          <w:kern w:val="0"/>
          <w:sz w:val="24"/>
          <w:szCs w:val="24"/>
          <w:highlight w:val="none"/>
          <w:lang w:bidi="mn-Mong-CN"/>
        </w:rPr>
        <w:t>说明：本文将管理及支持性服务活动、公共管理和国防、教育、卫生和社会福利、其他服务活动、家庭作为雇主的活动、境外组织和团体等7个非营利性行业剔除，在剔除各变量的极端值后对面板数据进行了平衡处理。</w:t>
      </w:r>
    </w:p>
    <w:p w14:paraId="14E000C2">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z w:val="24"/>
          <w:szCs w:val="24"/>
          <w:highlight w:val="none"/>
        </w:rPr>
        <w:t>2.经济循环速度度量指标的测算</w:t>
      </w:r>
    </w:p>
    <w:p w14:paraId="7089DC4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第二部分的分析，经济循环速度与商品或货币流通速度、社会总资本循环速度严格正相关。国际经济循环速度可由国际货币流通速度度量。根据马克思的货币流通规律，国际货币流通速度等于全球商品贸易总额与国际流通中的货币供应量的比值，这里的货币数量不包含流入到虚拟经济的数量。</w:t>
      </w:r>
      <w:r>
        <w:rPr>
          <w:rFonts w:hint="default" w:ascii="Times New Roman" w:hAnsi="Times New Roman" w:eastAsia="宋体" w:cs="Times New Roman"/>
          <w:color w:val="auto"/>
          <w:kern w:val="0"/>
          <w:sz w:val="24"/>
          <w:szCs w:val="24"/>
          <w:highlight w:val="none"/>
          <w:lang w:bidi="mn-Mong-CN"/>
        </w:rPr>
        <w:t>在测算中，无法获取国际流通中的货币数量，无法对分流到虚拟经济和实体经济中的货币数量进行准确核</w:t>
      </w:r>
      <w:r>
        <w:rPr>
          <w:rFonts w:hint="default" w:ascii="Times New Roman" w:hAnsi="Times New Roman" w:eastAsia="宋体" w:cs="Times New Roman"/>
          <w:color w:val="auto"/>
          <w:sz w:val="24"/>
          <w:szCs w:val="24"/>
          <w:highlight w:val="none"/>
        </w:rPr>
        <w:t>算（伍超明，2004），因此，无法获取国际货币流通速度。</w:t>
      </w:r>
    </w:p>
    <w:p w14:paraId="73D48CC5">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国际经济循环速度也可由国际层面的总资本循环速度度量，而总资本循环速度可由资产周转率度量。资产周转率=营业收入/[(期初资产+期末资产)/2]。根据凯恩斯《就业、利息和货币通论》第六章的定义，我们用总产出度量总营业收入，用资本存量度量资产余额。GGDC公布的社会经济账户的总产出和资本存量按本币计价，根据GGDC公布的汇率换算为美元计价，在单位换算时，罗马尼亚因数据缺失而被剔除。因此，可测算出42个经济体层面的资产周转率的时间序列。联合国数据库公布了总产出和按生产法核算的GDP，单位均为现价本币，GGDC公布的佩恩表（Penn World Table version 10.01）包含资本存量和按生产法核算的GDP，单位均为现价购买力平价。根据生产法核算的GDP占总产出比不变的原则，我们将联合国数据库的总产出的单位换算为现价购买力平价。在进行极端值处理后，可测算出80个国家2000-2019年的资产周转率，不过，将面板数据进行平衡处理后，只剩下25个国家，且绝大多数为发达国家，因此，不能用来测算可代表全球资产周转率的指标。</w:t>
      </w:r>
    </w:p>
    <w:p w14:paraId="3C2960DF">
      <w:pPr>
        <w:pStyle w:val="5"/>
        <w:pageBreakBefore w:val="0"/>
        <w:kinsoku/>
        <w:overflowPunct/>
        <w:topLinePunct w:val="0"/>
        <w:bidi w:val="0"/>
        <w:spacing w:line="400" w:lineRule="exact"/>
        <w:ind w:firstLine="480" w:firstLineChars="200"/>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z w:val="24"/>
          <w:szCs w:val="24"/>
          <w:highlight w:val="none"/>
        </w:rPr>
        <w:t>3.产能利用率、资产周转率与经济增长率</w:t>
      </w:r>
    </w:p>
    <w:p w14:paraId="1A7615D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drawing>
          <wp:anchor distT="0" distB="0" distL="0" distR="0" simplePos="0" relativeHeight="251693056" behindDoc="0" locked="0" layoutInCell="1" allowOverlap="1">
            <wp:simplePos x="0" y="0"/>
            <wp:positionH relativeFrom="column">
              <wp:posOffset>19685</wp:posOffset>
            </wp:positionH>
            <wp:positionV relativeFrom="paragraph">
              <wp:posOffset>2825750</wp:posOffset>
            </wp:positionV>
            <wp:extent cx="5278120" cy="1915795"/>
            <wp:effectExtent l="0" t="0" r="5080" b="14605"/>
            <wp:wrapTopAndBottom/>
            <wp:docPr id="37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6"/>
                    <pic:cNvPicPr>
                      <a:picLocks noChangeAspect="1"/>
                    </pic:cNvPicPr>
                  </pic:nvPicPr>
                  <pic:blipFill>
                    <a:blip r:embed="rId73" cstate="print">
                      <a:clrChange>
                        <a:clrFrom>
                          <a:srgbClr val="FFFFFF">
                            <a:alpha val="100000"/>
                          </a:srgbClr>
                        </a:clrFrom>
                        <a:clrTo>
                          <a:srgbClr val="FFFFFF">
                            <a:alpha val="100000"/>
                            <a:alpha val="0"/>
                          </a:srgbClr>
                        </a:clrTo>
                      </a:clrChange>
                      <a:extLst>
                        <a:ext uri="{28A0092B-C50C-407E-A947-70E740481C1C}">
                          <a14:useLocalDpi xmlns:a14="http://schemas.microsoft.com/office/drawing/2010/main" val="0"/>
                        </a:ext>
                      </a:extLst>
                    </a:blip>
                    <a:stretch>
                      <a:fillRect/>
                    </a:stretch>
                  </pic:blipFill>
                  <pic:spPr>
                    <a:xfrm>
                      <a:off x="0" y="0"/>
                      <a:ext cx="5278120" cy="1915795"/>
                    </a:xfrm>
                    <a:prstGeom prst="rect">
                      <a:avLst/>
                    </a:prstGeom>
                  </pic:spPr>
                </pic:pic>
              </a:graphicData>
            </a:graphic>
          </wp:anchor>
        </w:drawing>
      </w:r>
      <w:r>
        <w:rPr>
          <w:rFonts w:hint="default" w:ascii="Times New Roman" w:hAnsi="Times New Roman" w:eastAsia="宋体" w:cs="Times New Roman"/>
          <w:color w:val="auto"/>
          <w:sz w:val="24"/>
          <w:szCs w:val="24"/>
          <w:highlight w:val="none"/>
        </w:rPr>
        <w:t>从图4可以看出，产能利用率与资产周转率的走势总体相似，两者在2008年金融危机爆发之前呈上升趋势，2008年、2009年大幅下降，经历“V型”反转后，先下降后波动。GGDC尚未公布2014年之后的数据，因而无法获取相应年份的43个经济体层面的产能利用率和资产周转率。从图6可以看出，2000-2019年美国的资产周转率与产能利用率走势高度一致，2006-2016年中国的资产周转率与产能利用率走势十分相似。从图4还可以看出，全球商品贸易额增长率与42个经济体资产周转率的走势大致相同，作为国际商品流通速度的代理变量，可用于反映国际经济循环速度。当然，除产能过剩外，经济循环还受到技术壁垒、市场统一程度等因素的影响，因此，产能利用率和资产周转率的走势存在一定偏离。</w:t>
      </w:r>
    </w:p>
    <w:p w14:paraId="3F31AAB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mc:AlternateContent>
          <mc:Choice Requires="wps">
            <w:drawing>
              <wp:anchor distT="0" distB="0" distL="114300" distR="114300" simplePos="0" relativeHeight="251688960" behindDoc="0" locked="0" layoutInCell="1" allowOverlap="1">
                <wp:simplePos x="0" y="0"/>
                <wp:positionH relativeFrom="column">
                  <wp:posOffset>1941195</wp:posOffset>
                </wp:positionH>
                <wp:positionV relativeFrom="paragraph">
                  <wp:posOffset>360045</wp:posOffset>
                </wp:positionV>
                <wp:extent cx="144145" cy="90170"/>
                <wp:effectExtent l="6350" t="6350" r="27305" b="30480"/>
                <wp:wrapNone/>
                <wp:docPr id="377" name="椭圆 4"/>
                <wp:cNvGraphicFramePr/>
                <a:graphic xmlns:a="http://schemas.openxmlformats.org/drawingml/2006/main">
                  <a:graphicData uri="http://schemas.microsoft.com/office/word/2010/wordprocessingShape">
                    <wps:wsp>
                      <wps:cNvSpPr/>
                      <wps:spPr>
                        <a:xfrm>
                          <a:off x="0" y="0"/>
                          <a:ext cx="144145" cy="90170"/>
                        </a:xfrm>
                        <a:prstGeom prst="ellipse">
                          <a:avLst/>
                        </a:prstGeom>
                        <a:noFill/>
                        <a:ln w="63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4" o:spid="_x0000_s1026" o:spt="3" type="#_x0000_t3" style="position:absolute;left:0pt;margin-left:152.85pt;margin-top:28.35pt;height:7.1pt;width:11.35pt;z-index:251688960;v-text-anchor:middle;mso-width-relative:page;mso-height-relative:page;" filled="f" stroked="t" coordsize="21600,21600" o:gfxdata="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6RiN5tkAAAAJAQAADwAAAAAAAAABACAAAAAiAAAAZHJzL2Rvd25yZXYu&#10;eG1sUEsBAhQAFAAAAAgAh07iQF2cl/ZsAgAAzgQAAA4AAAAAAAAAAQAgAAAAKAEAAGRycy9lMm9E&#10;b2MueG1sUEsFBgAAAAAGAAYAWQEAAAYGAAAAAA==&#10;">
                <v:fill on="f" focussize="0,0"/>
                <v:stroke weight="0.5pt" color="#000000 [3213]" miterlimit="8" joinstyle="miter" dashstyle="1 1"/>
                <v:imagedata o:title=""/>
                <o:lock v:ext="edit" aspectratio="f"/>
              </v:shape>
            </w:pict>
          </mc:Fallback>
        </mc:AlternateContent>
      </w:r>
      <w:r>
        <w:rPr>
          <w:rFonts w:hint="default" w:ascii="Times New Roman" w:hAnsi="Times New Roman" w:eastAsia="宋体" w:cs="Times New Roman"/>
          <w:color w:val="auto"/>
          <w:sz w:val="24"/>
          <w:szCs w:val="24"/>
          <w:highlight w:val="none"/>
        </w:rPr>
        <mc:AlternateContent>
          <mc:Choice Requires="wps">
            <w:drawing>
              <wp:anchor distT="0" distB="0" distL="114300" distR="114300" simplePos="0" relativeHeight="251689984" behindDoc="0" locked="0" layoutInCell="1" allowOverlap="1">
                <wp:simplePos x="0" y="0"/>
                <wp:positionH relativeFrom="column">
                  <wp:posOffset>3872865</wp:posOffset>
                </wp:positionH>
                <wp:positionV relativeFrom="paragraph">
                  <wp:posOffset>176530</wp:posOffset>
                </wp:positionV>
                <wp:extent cx="144145" cy="90170"/>
                <wp:effectExtent l="6350" t="6350" r="27305" b="30480"/>
                <wp:wrapNone/>
                <wp:docPr id="378" name="椭圆 5"/>
                <wp:cNvGraphicFramePr/>
                <a:graphic xmlns:a="http://schemas.openxmlformats.org/drawingml/2006/main">
                  <a:graphicData uri="http://schemas.microsoft.com/office/word/2010/wordprocessingShape">
                    <wps:wsp>
                      <wps:cNvSpPr/>
                      <wps:spPr>
                        <a:xfrm>
                          <a:off x="0" y="0"/>
                          <a:ext cx="144000" cy="90000"/>
                        </a:xfrm>
                        <a:prstGeom prst="ellipse">
                          <a:avLst/>
                        </a:prstGeom>
                        <a:noFill/>
                        <a:ln w="63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5" o:spid="_x0000_s1026" o:spt="3" type="#_x0000_t3" style="position:absolute;left:0pt;margin-left:304.95pt;margin-top:13.9pt;height:7.1pt;width:11.35pt;z-index:251689984;v-text-anchor:middle;mso-width-relative:page;mso-height-relative:page;" filled="f" stroked="t" coordsize="21600,21600" o:gfxdata="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oVn9DYAAAACQEAAA8AAAAAAAAAAQAgAAAAIgAAAGRycy9kb3ducmV2LnhtbFBL&#10;AQIUABQAAAAIAIdO4kCIcdMRaAIAAM4EAAAOAAAAAAAAAAEAIAAAACcBAABkcnMvZTJvRG9jLnht&#10;bFBLBQYAAAAABgAGAFkBAAABBgAAAAA=&#10;">
                <v:fill on="f" focussize="0,0"/>
                <v:stroke weight="0.5pt" color="#000000 [3213]" miterlimit="8" joinstyle="miter" dashstyle="1 1"/>
                <v:imagedata o:title=""/>
                <o:lock v:ext="edit" aspectratio="f"/>
              </v:shape>
            </w:pict>
          </mc:Fallback>
        </mc:AlternateContent>
      </w:r>
    </w:p>
    <w:p w14:paraId="6F6FB3E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图4  43个经济体产能利用率和经济循环速度度量指标的走势</w:t>
      </w:r>
    </w:p>
    <w:p w14:paraId="2B559B4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说明：除43个经济体产能利用率外，其余变量的单位为%，43个经济体产能利用率为（17）式估算的</w:t>
      </w:r>
      <m:oMath>
        <m:acc>
          <m:accPr>
            <m:ctrlPr>
              <w:rPr>
                <w:rFonts w:hint="default" w:ascii="Cambria Math" w:hAnsi="Cambria Math" w:eastAsia="宋体" w:cs="Times New Roman"/>
                <w:iCs/>
                <w:color w:val="auto"/>
                <w:sz w:val="24"/>
                <w:szCs w:val="24"/>
                <w:highlight w:val="none"/>
              </w:rPr>
            </m:ctrlPr>
          </m:accPr>
          <m:e>
            <m:r>
              <m:rPr>
                <m:nor/>
              </m:rPr>
              <w:rPr>
                <w:rFonts w:hint="default" w:ascii="Cambria Math" w:hAnsi="Cambria Math" w:eastAsia="宋体" w:cs="Times New Roman"/>
                <w:i/>
                <w:color w:val="auto"/>
                <w:sz w:val="24"/>
                <w:szCs w:val="24"/>
                <w:highlight w:val="none"/>
              </w:rPr>
              <m:t>δ</m:t>
            </m:r>
            <m:ctrlPr>
              <w:rPr>
                <w:rFonts w:hint="default" w:ascii="Cambria Math" w:hAnsi="Cambria Math" w:eastAsia="宋体" w:cs="Times New Roman"/>
                <w:iCs/>
                <w:color w:val="auto"/>
                <w:sz w:val="24"/>
                <w:szCs w:val="24"/>
                <w:highlight w:val="none"/>
              </w:rPr>
            </m:ctrlPr>
          </m:e>
        </m:acc>
      </m:oMath>
      <w:r>
        <w:rPr>
          <w:rFonts w:hint="default" w:ascii="Times New Roman" w:hAnsi="Times New Roman" w:eastAsia="宋体" w:cs="Times New Roman"/>
          <w:color w:val="auto"/>
          <w:sz w:val="24"/>
          <w:szCs w:val="24"/>
          <w:highlight w:val="none"/>
        </w:rPr>
        <w:t>，全球商品贸易额来自世界银行。</w:t>
      </w:r>
    </w:p>
    <w:p w14:paraId="0E33D8E1">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5为面板数据平衡处理前后的资产周转率与GDP增长率的散点图和拟合线，其中资产周转率为利用联合国数据库和GGDC提供的数据测算的资产周转率。可以看出，经济增长率和资产周转率之间存在较强的正向关系（见附录）。比较图4和图7不难发现，世界经济增长率与产能利用率、资产周转率有相似的时间序列</w:t>
      </w:r>
      <w:r>
        <w:rPr>
          <w:rStyle w:val="20"/>
          <w:rFonts w:hint="default" w:ascii="Times New Roman" w:hAnsi="Times New Roman" w:eastAsia="宋体" w:cs="Times New Roman"/>
          <w:color w:val="auto"/>
          <w:sz w:val="24"/>
          <w:szCs w:val="24"/>
          <w:highlight w:val="none"/>
        </w:rPr>
        <w:footnoteReference w:id="779"/>
      </w:r>
      <w:r>
        <w:rPr>
          <w:rFonts w:hint="default" w:ascii="Times New Roman" w:hAnsi="Times New Roman" w:eastAsia="宋体" w:cs="Times New Roman"/>
          <w:color w:val="auto"/>
          <w:sz w:val="24"/>
          <w:szCs w:val="24"/>
          <w:highlight w:val="none"/>
        </w:rPr>
        <w:t>。经验分析表明：金融危机之前，全球产能过剩处于潜伏期，国际经济循环畅通，国际经济稳定繁荣；金融危机爆发以及许多国家采取的救市政策在</w:t>
      </w:r>
      <w:r>
        <w:rPr>
          <w:rFonts w:hint="default" w:ascii="Times New Roman" w:hAnsi="Times New Roman" w:eastAsia="宋体" w:cs="Times New Roman"/>
          <w:color w:val="auto"/>
          <w:sz w:val="24"/>
          <w:szCs w:val="24"/>
          <w:highlight w:val="none"/>
        </w:rPr>
        <w:drawing>
          <wp:anchor distT="0" distB="0" distL="0" distR="0" simplePos="0" relativeHeight="251694080" behindDoc="0" locked="0" layoutInCell="1" allowOverlap="1">
            <wp:simplePos x="0" y="0"/>
            <wp:positionH relativeFrom="column">
              <wp:posOffset>25400</wp:posOffset>
            </wp:positionH>
            <wp:positionV relativeFrom="paragraph">
              <wp:posOffset>758825</wp:posOffset>
            </wp:positionV>
            <wp:extent cx="5278120" cy="1915795"/>
            <wp:effectExtent l="0" t="0" r="5080" b="14605"/>
            <wp:wrapTopAndBottom/>
            <wp:docPr id="3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7"/>
                    <pic:cNvPicPr>
                      <a:picLocks noChangeAspect="1"/>
                    </pic:cNvPicPr>
                  </pic:nvPicPr>
                  <pic:blipFill>
                    <a:blip r:embed="rId74" cstate="print">
                      <a:clrChange>
                        <a:clrFrom>
                          <a:srgbClr val="FFFFFF">
                            <a:alpha val="100000"/>
                          </a:srgbClr>
                        </a:clrFrom>
                        <a:clrTo>
                          <a:srgbClr val="FFFFFF">
                            <a:alpha val="100000"/>
                            <a:alpha val="0"/>
                          </a:srgbClr>
                        </a:clrTo>
                      </a:clrChange>
                      <a:extLst>
                        <a:ext uri="{28A0092B-C50C-407E-A947-70E740481C1C}">
                          <a14:useLocalDpi xmlns:a14="http://schemas.microsoft.com/office/drawing/2010/main" val="0"/>
                        </a:ext>
                      </a:extLst>
                    </a:blip>
                    <a:stretch>
                      <a:fillRect/>
                    </a:stretch>
                  </pic:blipFill>
                  <pic:spPr>
                    <a:xfrm>
                      <a:off x="0" y="0"/>
                      <a:ext cx="5278120" cy="1915795"/>
                    </a:xfrm>
                    <a:prstGeom prst="rect">
                      <a:avLst/>
                    </a:prstGeom>
                  </pic:spPr>
                </pic:pic>
              </a:graphicData>
            </a:graphic>
          </wp:anchor>
        </w:drawing>
      </w:r>
      <w:r>
        <w:rPr>
          <w:rFonts w:hint="default" w:ascii="Times New Roman" w:hAnsi="Times New Roman" w:eastAsia="宋体" w:cs="Times New Roman"/>
          <w:color w:val="auto"/>
          <w:sz w:val="24"/>
          <w:szCs w:val="24"/>
          <w:highlight w:val="none"/>
        </w:rPr>
        <w:t>短期取得成效，造成世界经济大幅波动；自2012年世界经济进入低迷期，国际经济循环动力减弱。</w:t>
      </w:r>
    </w:p>
    <w:p w14:paraId="7613E58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p w14:paraId="7459A2A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图5  2000-2019年国际层面的经济增长率与资产周转率的散点图和拟合线</w:t>
      </w:r>
    </w:p>
    <w:p w14:paraId="2DC160BF">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说明：GDP增长率来自世界银行，图7同，左图为未进行平衡处理的面板数据，样本量为1146，右图为平衡面板数据，样本量为500。</w:t>
      </w:r>
    </w:p>
    <w:p w14:paraId="6EA939E7">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mn-Mong-CN"/>
        </w:rPr>
      </w:pPr>
      <w:r>
        <w:rPr>
          <w:rFonts w:hint="default" w:ascii="Times New Roman" w:hAnsi="Times New Roman" w:eastAsia="宋体" w:cs="Times New Roman"/>
          <w:color w:val="auto"/>
          <w:sz w:val="24"/>
          <w:szCs w:val="24"/>
          <w:highlight w:val="none"/>
        </w:rPr>
        <w:t>（二）中国的</w:t>
      </w:r>
      <w:r>
        <w:rPr>
          <w:rFonts w:hint="default" w:ascii="Times New Roman" w:hAnsi="Times New Roman" w:eastAsia="宋体" w:cs="Times New Roman"/>
          <w:color w:val="auto"/>
          <w:sz w:val="24"/>
          <w:szCs w:val="24"/>
          <w:highlight w:val="none"/>
          <w:lang w:bidi="mn-Mong-CN"/>
        </w:rPr>
        <w:t>产能利用率、资产周转率和经济增长率</w:t>
      </w:r>
    </w:p>
    <w:p w14:paraId="257FCB7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2008年金融危机爆发前，世界经济相对繁荣，我国企业扩大生产规模，提</w:t>
      </w:r>
      <w:r>
        <w:rPr>
          <w:rFonts w:hint="default" w:ascii="Times New Roman" w:hAnsi="Times New Roman" w:eastAsia="宋体" w:cs="Times New Roman"/>
          <w:color w:val="auto"/>
          <w:sz w:val="24"/>
          <w:szCs w:val="24"/>
          <w:highlight w:val="none"/>
        </w:rPr>
        <w:drawing>
          <wp:anchor distT="0" distB="0" distL="0" distR="0" simplePos="0" relativeHeight="251695104" behindDoc="0" locked="0" layoutInCell="1" allowOverlap="1">
            <wp:simplePos x="0" y="0"/>
            <wp:positionH relativeFrom="column">
              <wp:posOffset>48895</wp:posOffset>
            </wp:positionH>
            <wp:positionV relativeFrom="paragraph">
              <wp:posOffset>3359150</wp:posOffset>
            </wp:positionV>
            <wp:extent cx="5278120" cy="1915795"/>
            <wp:effectExtent l="0" t="0" r="5080" b="14605"/>
            <wp:wrapTopAndBottom/>
            <wp:docPr id="3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0"/>
                    <pic:cNvPicPr>
                      <a:picLocks noChangeAspect="1"/>
                    </pic:cNvPicPr>
                  </pic:nvPicPr>
                  <pic:blipFill>
                    <a:blip r:embed="rId75" cstate="print">
                      <a:clrChange>
                        <a:clrFrom>
                          <a:srgbClr val="FFFFFF">
                            <a:alpha val="100000"/>
                          </a:srgbClr>
                        </a:clrFrom>
                        <a:clrTo>
                          <a:srgbClr val="FFFFFF">
                            <a:alpha val="100000"/>
                            <a:alpha val="0"/>
                          </a:srgbClr>
                        </a:clrTo>
                      </a:clrChange>
                      <a:extLst>
                        <a:ext uri="{28A0092B-C50C-407E-A947-70E740481C1C}">
                          <a14:useLocalDpi xmlns:a14="http://schemas.microsoft.com/office/drawing/2010/main" val="0"/>
                        </a:ext>
                      </a:extLst>
                    </a:blip>
                    <a:stretch>
                      <a:fillRect/>
                    </a:stretch>
                  </pic:blipFill>
                  <pic:spPr>
                    <a:xfrm>
                      <a:off x="0" y="0"/>
                      <a:ext cx="5278120" cy="1915795"/>
                    </a:xfrm>
                    <a:prstGeom prst="rect">
                      <a:avLst/>
                    </a:prstGeom>
                  </pic:spPr>
                </pic:pic>
              </a:graphicData>
            </a:graphic>
          </wp:anchor>
        </w:drawing>
      </w:r>
      <w:r>
        <w:rPr>
          <w:rFonts w:hint="default" w:ascii="Times New Roman" w:hAnsi="Times New Roman" w:eastAsia="宋体" w:cs="Times New Roman"/>
          <w:color w:val="auto"/>
          <w:sz w:val="24"/>
          <w:szCs w:val="24"/>
          <w:highlight w:val="none"/>
        </w:rPr>
        <w:t>高生产能力利用程度。金融危机爆发给我国经济带来巨大冲击，为了应对危机，我国采取积极的宏观经济政策，在短期维持了经济快速增长，但为之后的产能利用率下降埋下伏笔。从图6可以看出，2009年至2016年，我国工业产能利用率经历短暂反弹后持续走低。2015年12月召开的中央经济工作会议提出了“三去一降一补”五大任务，2017年产能利用率有较大幅度提高。新冠疫情一度给产能利用率造成较大影响。从图6和图7可以看出，2008年金融危机之前，我国的资产周转率和GDP增长率不断提高，这表明我国的经济循环速度和经济增长速度持续加快。在产能利用率持续下降的2011-2016年，资产周转率和经济增长率不断下降。综合图6和图7可知，产能利用率、资产周转率、经济增长率有大致相同的走势，2008年之前向上，2008年、2009年下降，经历短暂反弹之后趋向下降。</w:t>
      </w:r>
    </w:p>
    <w:p w14:paraId="64F8871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mc:AlternateContent>
          <mc:Choice Requires="wps">
            <w:drawing>
              <wp:anchor distT="0" distB="0" distL="114300" distR="114300" simplePos="0" relativeHeight="251686912" behindDoc="0" locked="0" layoutInCell="1" allowOverlap="1">
                <wp:simplePos x="0" y="0"/>
                <wp:positionH relativeFrom="column">
                  <wp:posOffset>2003425</wp:posOffset>
                </wp:positionH>
                <wp:positionV relativeFrom="paragraph">
                  <wp:posOffset>869950</wp:posOffset>
                </wp:positionV>
                <wp:extent cx="144145" cy="90170"/>
                <wp:effectExtent l="6350" t="6350" r="27305" b="30480"/>
                <wp:wrapNone/>
                <wp:docPr id="70" name="椭圆 8"/>
                <wp:cNvGraphicFramePr/>
                <a:graphic xmlns:a="http://schemas.openxmlformats.org/drawingml/2006/main">
                  <a:graphicData uri="http://schemas.microsoft.com/office/word/2010/wordprocessingShape">
                    <wps:wsp>
                      <wps:cNvSpPr/>
                      <wps:spPr>
                        <a:xfrm>
                          <a:off x="0" y="0"/>
                          <a:ext cx="144000" cy="90000"/>
                        </a:xfrm>
                        <a:prstGeom prst="ellipse">
                          <a:avLst/>
                        </a:prstGeom>
                        <a:noFill/>
                        <a:ln w="63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8" o:spid="_x0000_s1026" o:spt="3" type="#_x0000_t3" style="position:absolute;left:0pt;margin-left:157.75pt;margin-top:68.5pt;height:7.1pt;width:11.35pt;z-index:251686912;v-text-anchor:middle;mso-width-relative:page;mso-height-relative:page;" filled="f" stroked="t" coordsize="21600,21600" o:gfxdata="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U6fvedkAAAALAQAADwAAAAAAAAABACAAAAAiAAAAZHJzL2Rvd25yZXYueG1sUEsB&#10;AhQAFAAAAAgAh07iQMYienxmAgAAzQQAAA4AAAAAAAAAAQAgAAAAKAEAAGRycy9lMm9Eb2MueG1s&#10;UEsFBgAAAAAGAAYAWQEAAAAGAAAAAA==&#10;">
                <v:fill on="f" focussize="0,0"/>
                <v:stroke weight="0.5pt" color="#000000 [3213]" miterlimit="8" joinstyle="miter" dashstyle="1 1"/>
                <v:imagedata o:title=""/>
                <o:lock v:ext="edit" aspectratio="f"/>
              </v:shape>
            </w:pict>
          </mc:Fallback>
        </mc:AlternateContent>
      </w:r>
    </w:p>
    <w:p w14:paraId="1C1F375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p w14:paraId="0354B53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mc:AlternateContent>
          <mc:Choice Requires="wps">
            <w:drawing>
              <wp:anchor distT="0" distB="0" distL="114300" distR="114300" simplePos="0" relativeHeight="251685888" behindDoc="0" locked="0" layoutInCell="1" allowOverlap="1">
                <wp:simplePos x="0" y="0"/>
                <wp:positionH relativeFrom="column">
                  <wp:posOffset>958850</wp:posOffset>
                </wp:positionH>
                <wp:positionV relativeFrom="paragraph">
                  <wp:posOffset>165100</wp:posOffset>
                </wp:positionV>
                <wp:extent cx="144145" cy="90170"/>
                <wp:effectExtent l="6350" t="6350" r="27305" b="30480"/>
                <wp:wrapNone/>
                <wp:docPr id="67" name="椭圆 9"/>
                <wp:cNvGraphicFramePr/>
                <a:graphic xmlns:a="http://schemas.openxmlformats.org/drawingml/2006/main">
                  <a:graphicData uri="http://schemas.microsoft.com/office/word/2010/wordprocessingShape">
                    <wps:wsp>
                      <wps:cNvSpPr/>
                      <wps:spPr>
                        <a:xfrm>
                          <a:off x="0" y="0"/>
                          <a:ext cx="144000" cy="90000"/>
                        </a:xfrm>
                        <a:prstGeom prst="ellipse">
                          <a:avLst/>
                        </a:prstGeom>
                        <a:noFill/>
                        <a:ln w="63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9" o:spid="_x0000_s1026" o:spt="3" type="#_x0000_t3" style="position:absolute;left:0pt;margin-left:75.5pt;margin-top:13pt;height:7.1pt;width:11.35pt;z-index:251685888;v-text-anchor:middle;mso-width-relative:page;mso-height-relative:page;" filled="f" stroked="t" coordsize="21600,21600" o:gfxdata="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4e+MdgAAAAJAQAADwAAAAAAAAABACAAAAAiAAAAZHJzL2Rvd25yZXYueG1sUEsB&#10;AhQAFAAAAAgAh07iQJPefB9nAgAAzQQAAA4AAAAAAAAAAQAgAAAAJwEAAGRycy9lMm9Eb2MueG1s&#10;UEsFBgAAAAAGAAYAWQEAAAAGAAAAAA==&#10;">
                <v:fill on="f" focussize="0,0"/>
                <v:stroke weight="0.5pt" color="#000000 [3213]" miterlimit="8" joinstyle="miter" dashstyle="1 1"/>
                <v:imagedata o:title=""/>
                <o:lock v:ext="edit" aspectratio="f"/>
              </v:shape>
            </w:pict>
          </mc:Fallback>
        </mc:AlternateContent>
      </w:r>
    </w:p>
    <w:p w14:paraId="1C823CD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p w14:paraId="241C189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p w14:paraId="3133841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p w14:paraId="2D64550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图6  2000-2021年中美工业产能利用率和资产周转率</w:t>
      </w:r>
    </w:p>
    <w:p w14:paraId="7D1FB4A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drawing>
          <wp:anchor distT="0" distB="0" distL="0" distR="0" simplePos="0" relativeHeight="251696128" behindDoc="0" locked="0" layoutInCell="1" allowOverlap="1">
            <wp:simplePos x="0" y="0"/>
            <wp:positionH relativeFrom="column">
              <wp:posOffset>-22225</wp:posOffset>
            </wp:positionH>
            <wp:positionV relativeFrom="paragraph">
              <wp:posOffset>2908300</wp:posOffset>
            </wp:positionV>
            <wp:extent cx="5278120" cy="1915795"/>
            <wp:effectExtent l="0" t="0" r="5080" b="14605"/>
            <wp:wrapTopAndBottom/>
            <wp:docPr id="38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11"/>
                    <pic:cNvPicPr>
                      <a:picLocks noChangeAspect="1"/>
                    </pic:cNvPicPr>
                  </pic:nvPicPr>
                  <pic:blipFill>
                    <a:blip r:embed="rId76" cstate="print">
                      <a:clrChange>
                        <a:clrFrom>
                          <a:srgbClr val="FFFFFF">
                            <a:alpha val="100000"/>
                          </a:srgbClr>
                        </a:clrFrom>
                        <a:clrTo>
                          <a:srgbClr val="FFFFFF">
                            <a:alpha val="100000"/>
                            <a:alpha val="0"/>
                          </a:srgbClr>
                        </a:clrTo>
                      </a:clrChange>
                      <a:extLst>
                        <a:ext uri="{28A0092B-C50C-407E-A947-70E740481C1C}">
                          <a14:useLocalDpi xmlns:a14="http://schemas.microsoft.com/office/drawing/2010/main" val="0"/>
                        </a:ext>
                      </a:extLst>
                    </a:blip>
                    <a:stretch>
                      <a:fillRect/>
                    </a:stretch>
                  </pic:blipFill>
                  <pic:spPr>
                    <a:xfrm>
                      <a:off x="0" y="0"/>
                      <a:ext cx="5278120" cy="1915795"/>
                    </a:xfrm>
                    <a:prstGeom prst="rect">
                      <a:avLst/>
                    </a:prstGeom>
                  </pic:spPr>
                </pic:pic>
              </a:graphicData>
            </a:graphic>
          </wp:anchor>
        </w:drawing>
      </w:r>
      <w:r>
        <w:rPr>
          <w:rFonts w:hint="default" w:ascii="Times New Roman" w:hAnsi="Times New Roman" w:eastAsia="宋体" w:cs="Times New Roman"/>
          <w:color w:val="auto"/>
          <w:sz w:val="24"/>
          <w:szCs w:val="24"/>
          <w:highlight w:val="none"/>
        </w:rPr>
        <w:t>说明：中国工业产能利用率（未提供2006年之前的数据）来自中国国家统计局，根据中国国家统计局提供的工业企业资产总计、主营业务收入（尚未公布2018年之后的数据）计算得到中国资产周转率，美国工业产能利用率来自美联储，美国资产周转率来自图5中的资产周转率面板数据。</w:t>
      </w:r>
    </w:p>
    <w:p w14:paraId="446352B3">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产能过剩、经济循环不畅还会引起信用扩张。根据国际清算银行公布的数据，2001年世界宏观杠杆率为191.3，2009年为232.4，2020年增至290.8。2008年之前我国的宏观杠杆率在低位波动，2008年开始上升，在产能利用率下降的2011-2016年，宏观杠杆率直线攀升（见图7）。如果生产资本过剩转化为借贷货币资本过剩，即产能过剩依靠信用扩张化解，那么，经济增速不会加快，通胀压力和金融风险却会增加。</w:t>
      </w:r>
    </w:p>
    <w:p w14:paraId="31686EA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p w14:paraId="0E68C28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图7  2000-2021年中国与世界的GDP增长率和宏观杠杆率</w:t>
      </w:r>
    </w:p>
    <w:p w14:paraId="63FC4734">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说明：中国与世界的宏观杠杆率均来自国际清算银行，世界宏观杠杆率中的“世界”指的是国际清算银行统计的所有国家。</w:t>
      </w:r>
    </w:p>
    <w:p w14:paraId="604487A1">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国内国际的经验数据验证了理论分析：产能过剩、循环受阻、增速放慢相伴而生、相互交织。通过经验分析还可以发现，我国和世界的产能利用率、经济循环速度和经济增长速度有较高的同向变动趋势，即在世界经济繁荣时期，我国的经济循环速度和经济增长速度加快，2008年金融危机之后，世界经济增长乏力，经济全球化遭遇逆流，贸易保护主义抬头，我国经济循环遇到阻碍，在微观上表现为产能利用率下降，在宏观上表现为经济增速减慢。</w:t>
      </w:r>
    </w:p>
    <w:bookmarkEnd w:id="517"/>
    <w:p w14:paraId="4014215A">
      <w:pPr>
        <w:pStyle w:val="3"/>
        <w:pageBreakBefore w:val="0"/>
        <w:kinsoku/>
        <w:overflowPunct/>
        <w:topLinePunct w:val="0"/>
        <w:bidi w:val="0"/>
        <w:spacing w:before="0" w:beforeLines="0" w:after="0" w:afterLines="0" w:line="400" w:lineRule="exact"/>
        <w:ind w:firstLine="480" w:firstLineChars="200"/>
        <w:rPr>
          <w:rFonts w:hint="default" w:ascii="Times New Roman" w:hAnsi="Times New Roman" w:eastAsia="宋体" w:cs="Times New Roman"/>
          <w:color w:val="auto"/>
          <w:sz w:val="24"/>
          <w:szCs w:val="24"/>
          <w:highlight w:val="none"/>
        </w:rPr>
      </w:pPr>
      <w:bookmarkStart w:id="535" w:name="_Toc40031143"/>
      <w:bookmarkStart w:id="536" w:name="_Toc12254"/>
      <w:bookmarkStart w:id="537" w:name="_Toc475793843"/>
      <w:bookmarkStart w:id="538" w:name="_Toc1744856922"/>
      <w:bookmarkStart w:id="539" w:name="_Toc765555830"/>
      <w:bookmarkStart w:id="540" w:name="_Toc622412101"/>
      <w:bookmarkStart w:id="541" w:name="_Toc1031654703"/>
      <w:r>
        <w:rPr>
          <w:rFonts w:hint="default" w:ascii="Times New Roman" w:hAnsi="Times New Roman" w:eastAsia="宋体" w:cs="Times New Roman"/>
          <w:color w:val="auto"/>
          <w:sz w:val="24"/>
          <w:szCs w:val="24"/>
          <w:highlight w:val="none"/>
        </w:rPr>
        <w:t>五、</w:t>
      </w:r>
      <w:bookmarkEnd w:id="535"/>
      <w:r>
        <w:rPr>
          <w:rFonts w:hint="default" w:ascii="Times New Roman" w:hAnsi="Times New Roman" w:eastAsia="宋体" w:cs="Times New Roman"/>
          <w:color w:val="auto"/>
          <w:sz w:val="24"/>
          <w:szCs w:val="24"/>
          <w:highlight w:val="none"/>
        </w:rPr>
        <w:t>进一步的讨论与政策建议</w:t>
      </w:r>
      <w:bookmarkEnd w:id="536"/>
      <w:bookmarkEnd w:id="537"/>
      <w:bookmarkEnd w:id="538"/>
      <w:bookmarkEnd w:id="539"/>
      <w:bookmarkEnd w:id="540"/>
      <w:bookmarkEnd w:id="541"/>
    </w:p>
    <w:p w14:paraId="49FA61A6">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rPr>
        <w:t>近年来，经济全球化遭遇逆流，</w:t>
      </w:r>
      <w:r>
        <w:rPr>
          <w:rFonts w:hint="default" w:ascii="Times New Roman" w:hAnsi="Times New Roman" w:eastAsia="宋体" w:cs="Times New Roman"/>
          <w:color w:val="auto"/>
          <w:kern w:val="0"/>
          <w:sz w:val="24"/>
          <w:szCs w:val="24"/>
          <w:highlight w:val="none"/>
        </w:rPr>
        <w:t>世界经济陷入低迷，许多国家将科技创新作为推动</w:t>
      </w:r>
      <w:r>
        <w:rPr>
          <w:rFonts w:hint="default" w:ascii="Times New Roman" w:hAnsi="Times New Roman" w:eastAsia="宋体" w:cs="Times New Roman"/>
          <w:color w:val="auto"/>
          <w:sz w:val="24"/>
          <w:szCs w:val="24"/>
          <w:highlight w:val="none"/>
        </w:rPr>
        <w:t>经济增长的重要力量。技术进步能够穿透经济循环的堵点卡点，缩短经济循环时间（生产时间和流通时间之和），提高经济循环速度，经济增长和经济循环正相关，因此，技术进步可以通过加快经济循环促进经济增长。此外，技术进步也可以通过提高剩余价值率、复杂劳动倍增系数、剩余价值转移率以及不变资本节约程度促进经济增长。然而，在资本主义经济体系，单纯地作为价值增殖手段的技术进步在促进经济增长的同时也会</w:t>
      </w:r>
      <w:r>
        <w:rPr>
          <w:rFonts w:hint="default" w:ascii="Times New Roman" w:hAnsi="Times New Roman" w:eastAsia="宋体" w:cs="Times New Roman"/>
          <w:color w:val="auto"/>
          <w:sz w:val="24"/>
          <w:szCs w:val="24"/>
          <w:highlight w:val="none"/>
          <w:lang w:eastAsia="zh-Hans"/>
        </w:rPr>
        <w:t>自发形成生产</w:t>
      </w:r>
      <w:r>
        <w:rPr>
          <w:rFonts w:hint="default" w:ascii="Times New Roman" w:hAnsi="Times New Roman" w:eastAsia="宋体" w:cs="Times New Roman"/>
          <w:color w:val="auto"/>
          <w:sz w:val="24"/>
          <w:szCs w:val="24"/>
          <w:highlight w:val="none"/>
        </w:rPr>
        <w:t>过剩、循环受阻</w:t>
      </w:r>
      <w:r>
        <w:rPr>
          <w:rFonts w:hint="default" w:ascii="Times New Roman" w:hAnsi="Times New Roman" w:eastAsia="宋体" w:cs="Times New Roman"/>
          <w:color w:val="auto"/>
          <w:sz w:val="24"/>
          <w:szCs w:val="24"/>
          <w:highlight w:val="none"/>
          <w:lang w:eastAsia="zh-Hans"/>
        </w:rPr>
        <w:t>等</w:t>
      </w:r>
      <w:r>
        <w:rPr>
          <w:rFonts w:hint="default" w:ascii="Times New Roman" w:hAnsi="Times New Roman" w:eastAsia="宋体" w:cs="Times New Roman"/>
          <w:color w:val="auto"/>
          <w:sz w:val="24"/>
          <w:szCs w:val="24"/>
          <w:highlight w:val="none"/>
        </w:rPr>
        <w:t>限制经济增长</w:t>
      </w:r>
      <w:r>
        <w:rPr>
          <w:rFonts w:hint="default" w:ascii="Times New Roman" w:hAnsi="Times New Roman" w:eastAsia="宋体" w:cs="Times New Roman"/>
          <w:color w:val="auto"/>
          <w:sz w:val="24"/>
          <w:szCs w:val="24"/>
          <w:highlight w:val="none"/>
          <w:lang w:eastAsia="zh-Hans"/>
        </w:rPr>
        <w:t>的因素</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rPr>
        <w:t>这说明“资本主义生产方式是发展物质生产力……的历史手段，……同时也是它的这个历史任务和同它相适应的社会生产关系之间的经常的矛盾。”</w:t>
      </w:r>
      <w:r>
        <w:rPr>
          <w:rStyle w:val="20"/>
          <w:rFonts w:hint="default" w:ascii="Times New Roman" w:hAnsi="Times New Roman" w:eastAsia="宋体" w:cs="Times New Roman"/>
          <w:color w:val="auto"/>
          <w:sz w:val="24"/>
          <w:szCs w:val="24"/>
          <w:highlight w:val="none"/>
          <w:lang w:eastAsia="zh-Hans"/>
        </w:rPr>
        <w:footnoteReference w:id="780"/>
      </w:r>
    </w:p>
    <w:p w14:paraId="42719FD2">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kern w:val="0"/>
          <w:sz w:val="24"/>
          <w:szCs w:val="24"/>
          <w:highlight w:val="none"/>
        </w:rPr>
        <w:t>我国坚持科技是第一生产力，人才是第一资源，创新是第一动力</w:t>
      </w:r>
      <w:r>
        <w:rPr>
          <w:rFonts w:hint="default" w:ascii="Times New Roman" w:hAnsi="Times New Roman" w:eastAsia="宋体" w:cs="Times New Roman"/>
          <w:color w:val="auto"/>
          <w:sz w:val="24"/>
          <w:szCs w:val="24"/>
          <w:highlight w:val="none"/>
          <w:lang w:eastAsia="zh-Hans"/>
        </w:rPr>
        <w:t>。实现高水平科技自立自强，加快发展新质生产力，推动高质量发展，被摆在更加突出的位置。</w:t>
      </w:r>
      <w:r>
        <w:rPr>
          <w:rFonts w:hint="default" w:ascii="Times New Roman" w:hAnsi="Times New Roman" w:eastAsia="宋体" w:cs="Times New Roman"/>
          <w:color w:val="auto"/>
          <w:kern w:val="0"/>
          <w:sz w:val="24"/>
          <w:szCs w:val="24"/>
          <w:highlight w:val="none"/>
          <w:lang w:eastAsia="zh-Hans"/>
        </w:rPr>
        <w:t>在社会主义市场经济体制中，资本仍然是科技创新的重要力量，要发挥资本促进技术变革的积极作用，</w:t>
      </w:r>
      <w:r>
        <w:rPr>
          <w:rFonts w:hint="default" w:ascii="Times New Roman" w:hAnsi="Times New Roman" w:eastAsia="宋体" w:cs="Times New Roman"/>
          <w:color w:val="auto"/>
          <w:kern w:val="0"/>
          <w:sz w:val="24"/>
          <w:szCs w:val="24"/>
          <w:highlight w:val="none"/>
        </w:rPr>
        <w:t>但也决不能像资本主义社会那样，纯粹利用追求超额剩余价值的内在动力和争夺市场份额的外在压力来促进技术进步。新时代中国特色社会主义要有技术上</w:t>
      </w:r>
      <w:r>
        <w:rPr>
          <w:rFonts w:hint="default" w:ascii="Times New Roman" w:hAnsi="Times New Roman" w:eastAsia="宋体" w:cs="Times New Roman"/>
          <w:color w:val="auto"/>
          <w:sz w:val="24"/>
          <w:szCs w:val="24"/>
          <w:highlight w:val="none"/>
        </w:rPr>
        <w:t>“比十所大学更能把科学推向前进”</w:t>
      </w:r>
      <w:r>
        <w:rPr>
          <w:rStyle w:val="20"/>
          <w:rFonts w:hint="default" w:ascii="Times New Roman" w:hAnsi="Times New Roman" w:eastAsia="宋体" w:cs="Times New Roman"/>
          <w:color w:val="auto"/>
          <w:sz w:val="24"/>
          <w:szCs w:val="24"/>
          <w:highlight w:val="none"/>
        </w:rPr>
        <w:footnoteReference w:id="781"/>
      </w:r>
      <w:r>
        <w:rPr>
          <w:rFonts w:hint="default" w:ascii="Times New Roman" w:hAnsi="Times New Roman" w:eastAsia="宋体" w:cs="Times New Roman"/>
          <w:color w:val="auto"/>
          <w:kern w:val="0"/>
          <w:sz w:val="24"/>
          <w:szCs w:val="24"/>
          <w:highlight w:val="none"/>
        </w:rPr>
        <w:t>的更高层次的需要，要走以国家目标为导向的内生性科技自立自强之路（洪银兴和刘爱文，2023）。构建新发展格局、推动高质量发展、满足人民日益增长的美好生活需要、最终实现全体人民共同富裕，也应成为科技创新的重要动力。</w:t>
      </w:r>
    </w:p>
    <w:p w14:paraId="247D07B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Hans"/>
        </w:rPr>
        <w:t>在新时代，以国家目标为导向的科技创新</w:t>
      </w:r>
      <w:r>
        <w:rPr>
          <w:rFonts w:hint="default" w:ascii="Times New Roman" w:hAnsi="Times New Roman" w:eastAsia="宋体" w:cs="Times New Roman"/>
          <w:color w:val="auto"/>
          <w:kern w:val="0"/>
          <w:sz w:val="24"/>
          <w:szCs w:val="24"/>
          <w:highlight w:val="none"/>
          <w:lang w:eastAsia="zh-Hans" w:bidi="ar"/>
        </w:rPr>
        <w:t>不会打破</w:t>
      </w:r>
      <w:r>
        <w:rPr>
          <w:rFonts w:hint="default" w:ascii="Times New Roman" w:hAnsi="Times New Roman" w:eastAsia="宋体" w:cs="Times New Roman"/>
          <w:color w:val="auto"/>
          <w:sz w:val="24"/>
          <w:szCs w:val="24"/>
          <w:highlight w:val="none"/>
          <w:lang w:eastAsia="zh-Hans"/>
        </w:rPr>
        <w:t>生活资料的总产品价值增长率与社会消费需求增长率的平衡性，以及生产资料的总产品价值增长率与不变资本需求增长率的平衡性；</w:t>
      </w:r>
      <w:r>
        <w:rPr>
          <w:rFonts w:hint="default" w:ascii="Times New Roman" w:hAnsi="Times New Roman" w:eastAsia="宋体" w:cs="Times New Roman"/>
          <w:color w:val="auto"/>
          <w:kern w:val="0"/>
          <w:sz w:val="24"/>
          <w:szCs w:val="24"/>
          <w:highlight w:val="none"/>
          <w:lang w:eastAsia="zh-Hans" w:bidi="ar"/>
        </w:rPr>
        <w:t>能够</w:t>
      </w:r>
      <w:r>
        <w:rPr>
          <w:rFonts w:hint="default" w:ascii="Times New Roman" w:hAnsi="Times New Roman" w:eastAsia="宋体" w:cs="Times New Roman"/>
          <w:color w:val="auto"/>
          <w:sz w:val="24"/>
          <w:szCs w:val="24"/>
          <w:highlight w:val="none"/>
          <w:lang w:eastAsia="zh-Hans"/>
        </w:rPr>
        <w:t>避免2008年金融危机之后我国的产能利用率、经济循环速度和经济增长速度下降的历史重演。科技创新、经济循环畅通、经济平稳较快增长协同并进，原因主要有两点。其一，</w:t>
      </w:r>
      <w:r>
        <w:rPr>
          <w:rFonts w:hint="default" w:ascii="Times New Roman" w:hAnsi="Times New Roman" w:eastAsia="宋体" w:cs="Times New Roman"/>
          <w:color w:val="auto"/>
          <w:kern w:val="0"/>
          <w:sz w:val="24"/>
          <w:szCs w:val="24"/>
          <w:highlight w:val="none"/>
          <w:lang w:eastAsia="zh-Hans" w:bidi="ar"/>
        </w:rPr>
        <w:t>科技创新不会引起资本有机构成提高和劳动报酬份额下降。</w:t>
      </w:r>
      <w:r>
        <w:rPr>
          <w:rFonts w:hint="default" w:ascii="Times New Roman" w:hAnsi="Times New Roman" w:eastAsia="宋体" w:cs="Times New Roman"/>
          <w:color w:val="auto"/>
          <w:kern w:val="0"/>
          <w:sz w:val="24"/>
          <w:szCs w:val="24"/>
          <w:highlight w:val="none"/>
          <w:shd w:val="clear" w:color="auto" w:fill="FFFFFF"/>
          <w:lang w:eastAsia="zh-Hans" w:bidi="ar"/>
        </w:rPr>
        <w:t>社会主义性质</w:t>
      </w:r>
      <w:r>
        <w:rPr>
          <w:rFonts w:hint="default" w:ascii="Times New Roman" w:hAnsi="Times New Roman" w:eastAsia="宋体" w:cs="Times New Roman"/>
          <w:color w:val="auto"/>
          <w:kern w:val="0"/>
          <w:sz w:val="24"/>
          <w:szCs w:val="24"/>
          <w:highlight w:val="none"/>
          <w:lang w:bidi="ar"/>
        </w:rPr>
        <w:t>决定</w:t>
      </w:r>
      <w:r>
        <w:rPr>
          <w:rFonts w:hint="default" w:ascii="Times New Roman" w:hAnsi="Times New Roman" w:eastAsia="宋体" w:cs="Times New Roman"/>
          <w:color w:val="auto"/>
          <w:kern w:val="0"/>
          <w:sz w:val="24"/>
          <w:szCs w:val="24"/>
          <w:highlight w:val="none"/>
          <w:lang w:eastAsia="zh-Hans" w:bidi="ar"/>
        </w:rPr>
        <w:t>我国</w:t>
      </w:r>
      <w:r>
        <w:rPr>
          <w:rFonts w:hint="default" w:ascii="Times New Roman" w:hAnsi="Times New Roman" w:eastAsia="宋体" w:cs="Times New Roman"/>
          <w:color w:val="auto"/>
          <w:kern w:val="0"/>
          <w:sz w:val="24"/>
          <w:szCs w:val="24"/>
          <w:highlight w:val="none"/>
          <w:lang w:bidi="ar"/>
        </w:rPr>
        <w:t>必须坚持按劳分配为主体、多种分配方式并存的分配制度</w:t>
      </w:r>
      <w:r>
        <w:rPr>
          <w:rFonts w:hint="default" w:ascii="Times New Roman" w:hAnsi="Times New Roman" w:eastAsia="宋体" w:cs="Times New Roman"/>
          <w:color w:val="auto"/>
          <w:kern w:val="0"/>
          <w:sz w:val="24"/>
          <w:szCs w:val="24"/>
          <w:highlight w:val="none"/>
          <w:lang w:eastAsia="zh-Hans" w:bidi="ar"/>
        </w:rPr>
        <w:t>。在收入分配中，以逐步实现劳动</w:t>
      </w:r>
      <w:r>
        <w:rPr>
          <w:rFonts w:hint="default" w:ascii="Times New Roman" w:hAnsi="Times New Roman" w:eastAsia="宋体" w:cs="Times New Roman"/>
          <w:color w:val="auto"/>
          <w:kern w:val="0"/>
          <w:sz w:val="24"/>
          <w:szCs w:val="24"/>
          <w:highlight w:val="none"/>
          <w:lang w:bidi="ar"/>
        </w:rPr>
        <w:t>报酬提高与劳动生产力提高基本同步</w:t>
      </w:r>
      <w:r>
        <w:rPr>
          <w:rFonts w:hint="default" w:ascii="Times New Roman" w:hAnsi="Times New Roman" w:eastAsia="宋体" w:cs="Times New Roman"/>
          <w:color w:val="auto"/>
          <w:kern w:val="0"/>
          <w:sz w:val="24"/>
          <w:szCs w:val="24"/>
          <w:highlight w:val="none"/>
          <w:lang w:eastAsia="zh-Hans" w:bidi="ar"/>
        </w:rPr>
        <w:t>为目标，既注重</w:t>
      </w:r>
      <w:r>
        <w:rPr>
          <w:rFonts w:hint="default" w:ascii="Times New Roman" w:hAnsi="Times New Roman" w:eastAsia="宋体" w:cs="Times New Roman"/>
          <w:color w:val="auto"/>
          <w:kern w:val="0"/>
          <w:sz w:val="24"/>
          <w:szCs w:val="24"/>
          <w:highlight w:val="none"/>
          <w:lang w:bidi="ar"/>
        </w:rPr>
        <w:t>保障资本参与社会分配获得增殖和发展</w:t>
      </w:r>
      <w:r>
        <w:rPr>
          <w:rFonts w:hint="default" w:ascii="Times New Roman" w:hAnsi="Times New Roman" w:eastAsia="宋体" w:cs="Times New Roman"/>
          <w:color w:val="auto"/>
          <w:kern w:val="0"/>
          <w:sz w:val="24"/>
          <w:szCs w:val="24"/>
          <w:highlight w:val="none"/>
          <w:lang w:eastAsia="zh-Hans" w:bidi="ar"/>
        </w:rPr>
        <w:t>，更注重</w:t>
      </w:r>
      <w:r>
        <w:rPr>
          <w:rFonts w:hint="default" w:ascii="Times New Roman" w:hAnsi="Times New Roman" w:eastAsia="宋体" w:cs="Times New Roman"/>
          <w:color w:val="auto"/>
          <w:kern w:val="0"/>
          <w:sz w:val="24"/>
          <w:szCs w:val="24"/>
          <w:highlight w:val="none"/>
          <w:lang w:bidi="ar"/>
        </w:rPr>
        <w:t>维护按劳分配的主体地</w:t>
      </w:r>
      <w:r>
        <w:rPr>
          <w:rFonts w:hint="default" w:ascii="Times New Roman" w:hAnsi="Times New Roman" w:eastAsia="宋体" w:cs="Times New Roman"/>
          <w:color w:val="auto"/>
          <w:kern w:val="0"/>
          <w:sz w:val="24"/>
          <w:szCs w:val="24"/>
          <w:highlight w:val="none"/>
          <w:lang w:eastAsia="zh-Hans" w:bidi="ar"/>
        </w:rPr>
        <w:t>位。科技进步伴随劳动者的专业技能和受教育程度提高，劳动者在同样的时间提供更多的复杂劳动，可变资本的价值和劳动复杂程度一起提高，劳动报酬份额因劳动复杂程度的增加而保持不变</w:t>
      </w:r>
      <w:r>
        <w:rPr>
          <w:rFonts w:hint="default" w:ascii="Times New Roman" w:hAnsi="Times New Roman" w:eastAsia="宋体" w:cs="Times New Roman"/>
          <w:color w:val="auto"/>
          <w:kern w:val="0"/>
          <w:sz w:val="24"/>
          <w:szCs w:val="24"/>
          <w:highlight w:val="none"/>
          <w:lang w:bidi="ar"/>
        </w:rPr>
        <w:t>甚至</w:t>
      </w:r>
      <w:r>
        <w:rPr>
          <w:rFonts w:hint="default" w:ascii="Times New Roman" w:hAnsi="Times New Roman" w:eastAsia="宋体" w:cs="Times New Roman"/>
          <w:color w:val="auto"/>
          <w:kern w:val="0"/>
          <w:sz w:val="24"/>
          <w:szCs w:val="24"/>
          <w:highlight w:val="none"/>
          <w:lang w:eastAsia="zh-Hans" w:bidi="ar"/>
        </w:rPr>
        <w:t>提高。其二，</w:t>
      </w:r>
      <w:r>
        <w:rPr>
          <w:rFonts w:hint="default" w:ascii="Times New Roman" w:hAnsi="Times New Roman" w:eastAsia="宋体" w:cs="Times New Roman"/>
          <w:color w:val="auto"/>
          <w:kern w:val="0"/>
          <w:sz w:val="24"/>
          <w:szCs w:val="24"/>
          <w:highlight w:val="none"/>
          <w:shd w:val="clear" w:color="auto" w:fill="FFFFFF"/>
          <w:lang w:eastAsia="zh-Hans" w:bidi="ar"/>
        </w:rPr>
        <w:t>党中央运用唯物辩证法的根本方法集中统一领导科技工作和经济工作。竞争的积极作用——促进科技进步，发展社会生产力——得以充分发挥；竞争的消极作用——给中国特色社会主义生产方式造成限制——得以有效避免。在</w:t>
      </w:r>
      <w:r>
        <w:rPr>
          <w:rFonts w:hint="default" w:ascii="Times New Roman" w:hAnsi="Times New Roman" w:eastAsia="宋体" w:cs="Times New Roman"/>
          <w:color w:val="auto"/>
          <w:kern w:val="0"/>
          <w:sz w:val="24"/>
          <w:szCs w:val="24"/>
          <w:highlight w:val="none"/>
          <w:lang w:eastAsia="zh-Hans" w:bidi="ar"/>
        </w:rPr>
        <w:t>构建新发展格局中，供给侧结构性改革与扩大内需统筹兼顾，科技自立自强与培育完整内需体系携手并进</w:t>
      </w:r>
      <w:r>
        <w:rPr>
          <w:rFonts w:hint="default" w:ascii="Times New Roman" w:hAnsi="Times New Roman" w:eastAsia="宋体" w:cs="Times New Roman"/>
          <w:color w:val="auto"/>
          <w:kern w:val="0"/>
          <w:sz w:val="24"/>
          <w:szCs w:val="24"/>
          <w:highlight w:val="none"/>
          <w:lang w:bidi="ar"/>
        </w:rPr>
        <w:t>。</w:t>
      </w:r>
      <w:r>
        <w:rPr>
          <w:rFonts w:hint="default" w:ascii="Times New Roman" w:hAnsi="Times New Roman" w:eastAsia="宋体" w:cs="Times New Roman"/>
          <w:color w:val="auto"/>
          <w:kern w:val="0"/>
          <w:sz w:val="24"/>
          <w:szCs w:val="24"/>
          <w:highlight w:val="none"/>
          <w:lang w:eastAsia="zh-Hans" w:bidi="ar"/>
        </w:rPr>
        <w:t>科技</w:t>
      </w:r>
      <w:r>
        <w:rPr>
          <w:rFonts w:hint="default" w:ascii="Times New Roman" w:hAnsi="Times New Roman" w:eastAsia="宋体" w:cs="Times New Roman"/>
          <w:color w:val="auto"/>
          <w:sz w:val="24"/>
          <w:szCs w:val="24"/>
          <w:highlight w:val="none"/>
          <w:lang w:eastAsia="zh-Hans"/>
        </w:rPr>
        <w:t>进步既保证社会主义社会的资本获取更多利润，又凸显中国式现代化关于</w:t>
      </w:r>
      <w:r>
        <w:rPr>
          <w:rFonts w:hint="default" w:ascii="Times New Roman" w:hAnsi="Times New Roman" w:eastAsia="宋体" w:cs="Times New Roman"/>
          <w:color w:val="auto"/>
          <w:sz w:val="24"/>
          <w:szCs w:val="24"/>
          <w:highlight w:val="none"/>
        </w:rPr>
        <w:t>实现经济高质量发展和全体人民共同富裕的本质要求。</w:t>
      </w:r>
    </w:p>
    <w:p w14:paraId="1FE7A7F5">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eastAsia="zh-Hans" w:bidi="ar"/>
        </w:rPr>
        <w:t>近期美西方一些政客和媒体臆造“中国产能过剩论”，企图为实施贸易保护主义寻找借口，</w:t>
      </w:r>
      <w:r>
        <w:rPr>
          <w:rFonts w:hint="default" w:ascii="Times New Roman" w:hAnsi="Times New Roman" w:eastAsia="宋体" w:cs="Times New Roman"/>
          <w:color w:val="auto"/>
          <w:sz w:val="24"/>
          <w:szCs w:val="24"/>
          <w:highlight w:val="none"/>
          <w:lang w:eastAsia="zh-Hans"/>
        </w:rPr>
        <w:t>提出这种伪命题反映出他们被表面现象迷惑，不能理解产能过剩的真正原因。市场机制发挥作用难免造成生产要素</w:t>
      </w:r>
      <w:r>
        <w:rPr>
          <w:rFonts w:hint="default" w:ascii="Times New Roman" w:hAnsi="Times New Roman" w:eastAsia="宋体" w:cs="Times New Roman"/>
          <w:color w:val="auto"/>
          <w:sz w:val="24"/>
          <w:szCs w:val="24"/>
          <w:highlight w:val="none"/>
        </w:rPr>
        <w:t>在不同部门之间的分配出现失衡，这种结构性供求失衡可以说是市场经济的常态，与社会性质和经济制度无关。这种结构性过剩是局部的、暂时的、最终可以化解的。而前文已经阐明，对于将追逐更多的剩余价值作为技术进步的唯一目的的资本主义社会再生产，平衡本身只是一种偶然现象。资本主义市场经济产能过剩是普遍的、周期性的、无法根除的，尽管它往往被信用扩张制造的虚假繁荣所掩盖。</w:t>
      </w:r>
    </w:p>
    <w:p w14:paraId="12772BC4">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社会主义市场经济是一种发达的商品经济，具有商品生产与商品流通的共性，因而存在产能过剩的可能性。在我国经济增速换挡前的一段时期，我国资本健康发展缺乏足够的规范和引导，不少企业非理性扩张资本规模和生产能力，导致</w:t>
      </w:r>
      <w:r>
        <w:rPr>
          <w:rFonts w:hint="default" w:ascii="Times New Roman" w:hAnsi="Times New Roman" w:eastAsia="宋体" w:cs="Times New Roman"/>
          <w:color w:val="auto"/>
          <w:sz w:val="24"/>
          <w:szCs w:val="24"/>
          <w:highlight w:val="none"/>
          <w:lang w:bidi="mn-Mong-CN"/>
        </w:rPr>
        <w:t>国内生产总值用于追加固定资本的比例增加，用于居民消费的比例减少。</w:t>
      </w:r>
      <w:r>
        <w:rPr>
          <w:rFonts w:hint="default" w:ascii="Times New Roman" w:hAnsi="Times New Roman" w:eastAsia="宋体" w:cs="Times New Roman"/>
          <w:color w:val="auto"/>
          <w:sz w:val="24"/>
          <w:szCs w:val="24"/>
          <w:highlight w:val="none"/>
        </w:rPr>
        <w:t>由于美西方国家对关键核心技术的封锁，我国的生产资本被锁定在产业链中低端，难以向中高端转移。</w:t>
      </w:r>
      <w:r>
        <w:rPr>
          <w:rFonts w:hint="default" w:ascii="Times New Roman" w:hAnsi="Times New Roman" w:eastAsia="宋体" w:cs="Times New Roman"/>
          <w:color w:val="auto"/>
          <w:sz w:val="24"/>
          <w:szCs w:val="24"/>
          <w:highlight w:val="none"/>
          <w:lang w:bidi="mn-Mong-CN"/>
        </w:rPr>
        <w:t>2008年金融危机之后，世界市场需求萎缩，贸易保护主义抬头，国际经济循环受阻，突如其来的新冠疫情让经济形势雪上加霜。以上三点是一段时期</w:t>
      </w:r>
      <w:r>
        <w:rPr>
          <w:rFonts w:hint="default" w:ascii="Times New Roman" w:hAnsi="Times New Roman" w:eastAsia="宋体" w:cs="Times New Roman"/>
          <w:color w:val="auto"/>
          <w:sz w:val="24"/>
          <w:szCs w:val="24"/>
          <w:highlight w:val="none"/>
          <w:lang w:eastAsia="zh-Hans"/>
        </w:rPr>
        <w:t>我国存在结构性过剩和部分行业过剩的主要原因。新时代以来，我国通过推动供给侧结构性改革，实施淘汰落后产能等措施，不断改善产能利用状况，我国产能利用率总体上处于合理水平</w:t>
      </w:r>
      <w:r>
        <w:rPr>
          <w:rFonts w:hint="default" w:ascii="Times New Roman" w:hAnsi="Times New Roman" w:eastAsia="宋体" w:cs="Times New Roman"/>
          <w:color w:val="auto"/>
          <w:sz w:val="24"/>
          <w:szCs w:val="24"/>
          <w:highlight w:val="none"/>
        </w:rPr>
        <w:t>（程恩富和陈健，2024）</w:t>
      </w:r>
      <w:r>
        <w:rPr>
          <w:rFonts w:hint="default" w:ascii="Times New Roman" w:hAnsi="Times New Roman" w:eastAsia="宋体" w:cs="Times New Roman"/>
          <w:color w:val="auto"/>
          <w:sz w:val="24"/>
          <w:szCs w:val="24"/>
          <w:highlight w:val="none"/>
          <w:lang w:eastAsia="zh-Hans"/>
        </w:rPr>
        <w:t>。</w:t>
      </w:r>
    </w:p>
    <w:p w14:paraId="619D7AA5">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lang w:eastAsia="zh-Hans"/>
        </w:rPr>
        <w:t>综上所述，中国特色社会主义市场经济出现的产能利用率下降、经济循环受阻、经济增速放慢与资本主义市场经济有本质区别。我们走的是中国特色社会主义道路，无论世界经济如何风云变幻，我国经济都要平稳较快发展，实现这个目标，</w:t>
      </w:r>
      <w:r>
        <w:rPr>
          <w:rFonts w:hint="default" w:ascii="Times New Roman" w:hAnsi="Times New Roman" w:eastAsia="宋体" w:cs="Times New Roman"/>
          <w:color w:val="auto"/>
          <w:sz w:val="24"/>
          <w:szCs w:val="24"/>
          <w:highlight w:val="none"/>
        </w:rPr>
        <w:t>要立足自身，畅通国内大循环，促进国内国际双循环。结合本文的研究我们提出两点政策建议。</w:t>
      </w:r>
    </w:p>
    <w:p w14:paraId="5823E43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mn-Mong-CN"/>
        </w:rPr>
      </w:pPr>
      <w:r>
        <w:rPr>
          <w:rFonts w:hint="default" w:ascii="Times New Roman" w:hAnsi="Times New Roman" w:eastAsia="宋体" w:cs="Times New Roman"/>
          <w:color w:val="auto"/>
          <w:sz w:val="24"/>
          <w:szCs w:val="24"/>
          <w:highlight w:val="none"/>
        </w:rPr>
        <w:t>第一，</w:t>
      </w:r>
      <w:r>
        <w:rPr>
          <w:rFonts w:hint="default" w:ascii="Times New Roman" w:hAnsi="Times New Roman" w:eastAsia="宋体" w:cs="Times New Roman"/>
          <w:color w:val="auto"/>
          <w:sz w:val="24"/>
          <w:szCs w:val="24"/>
          <w:highlight w:val="none"/>
          <w:lang w:bidi="mn-Mong-CN"/>
        </w:rPr>
        <w:t>将提高供给质量和扩大内需有机结合，化解结构性过剩，畅通国内大循环。一方面，坚持创新发展，攻克“卡脖子”技术难题。结构性过剩造成买、卖的困难，解决问题的钥匙在于</w:t>
      </w:r>
      <w:r>
        <w:rPr>
          <w:rFonts w:hint="default" w:ascii="Times New Roman" w:hAnsi="Times New Roman" w:eastAsia="宋体" w:cs="Times New Roman"/>
          <w:color w:val="auto"/>
          <w:sz w:val="24"/>
          <w:szCs w:val="24"/>
          <w:highlight w:val="none"/>
        </w:rPr>
        <w:t>依靠科技创新</w:t>
      </w:r>
      <w:r>
        <w:rPr>
          <w:rFonts w:hint="default" w:ascii="Times New Roman" w:hAnsi="Times New Roman" w:eastAsia="宋体" w:cs="Times New Roman"/>
          <w:color w:val="auto"/>
          <w:sz w:val="24"/>
          <w:szCs w:val="24"/>
          <w:highlight w:val="none"/>
          <w:lang w:bidi="mn-Mong-CN"/>
        </w:rPr>
        <w:t>推动资本向产业链高端转移、向新兴产业和未来产业转移。</w:t>
      </w:r>
      <w:r>
        <w:rPr>
          <w:rFonts w:hint="default" w:ascii="Times New Roman" w:hAnsi="Times New Roman" w:eastAsia="宋体" w:cs="Times New Roman"/>
          <w:color w:val="auto"/>
          <w:sz w:val="24"/>
          <w:szCs w:val="24"/>
          <w:highlight w:val="none"/>
        </w:rPr>
        <w:t>为此，要深入实施科教兴国战略、人才强国战略、创新驱动发展战略，完善关键核心技术攻关的新型举国体制，强化国家战略科技力量，发挥市场在创新资源配置中的决定性作用，更好发挥政府的创新组织者的作用，全面提高关键核心技术自主创新能力和自主知识产权优势水平。</w:t>
      </w:r>
      <w:r>
        <w:rPr>
          <w:rFonts w:hint="default" w:ascii="Times New Roman" w:hAnsi="Times New Roman" w:eastAsia="宋体" w:cs="Times New Roman"/>
          <w:color w:val="auto"/>
          <w:sz w:val="24"/>
          <w:szCs w:val="24"/>
          <w:highlight w:val="none"/>
          <w:lang w:bidi="mn-Mong-CN"/>
        </w:rPr>
        <w:t>另一方面，坚持共享发展，缩小贫富差距。化解结构性过剩、畅通经济循环需要扩大国内需求</w:t>
      </w:r>
      <w:r>
        <w:rPr>
          <w:rFonts w:hint="default" w:ascii="Times New Roman" w:hAnsi="Times New Roman" w:eastAsia="宋体" w:cs="Times New Roman"/>
          <w:color w:val="auto"/>
          <w:sz w:val="24"/>
          <w:szCs w:val="24"/>
          <w:highlight w:val="none"/>
          <w:lang w:eastAsia="zh-Hans"/>
        </w:rPr>
        <w:t>，扩大人民群众消费必须摆在扩大内需的优先位置，扩大消费要多渠道提高劳动者收入。</w:t>
      </w:r>
      <w:r>
        <w:rPr>
          <w:rFonts w:hint="default" w:ascii="Times New Roman" w:hAnsi="Times New Roman" w:eastAsia="宋体" w:cs="Times New Roman"/>
          <w:color w:val="auto"/>
          <w:sz w:val="24"/>
          <w:szCs w:val="24"/>
          <w:highlight w:val="none"/>
        </w:rPr>
        <w:t>首先，坚持社会主义基本经济制度，</w:t>
      </w:r>
      <w:r>
        <w:rPr>
          <w:rFonts w:hint="default" w:ascii="Times New Roman" w:hAnsi="Times New Roman" w:eastAsia="宋体" w:cs="Times New Roman"/>
          <w:color w:val="auto"/>
          <w:sz w:val="24"/>
          <w:szCs w:val="24"/>
          <w:highlight w:val="none"/>
          <w:lang w:bidi="mn-Mong-CN"/>
        </w:rPr>
        <w:t>大力发挥公有制经济和按劳分配的重要作用。其次，建立健全现代产权制度</w:t>
      </w:r>
      <w:r>
        <w:rPr>
          <w:rFonts w:hint="default" w:ascii="Times New Roman" w:hAnsi="Times New Roman" w:eastAsia="宋体" w:cs="Times New Roman"/>
          <w:color w:val="auto"/>
          <w:sz w:val="24"/>
          <w:szCs w:val="24"/>
          <w:highlight w:val="none"/>
        </w:rPr>
        <w:t>，赋予工人</w:t>
      </w:r>
      <w:r>
        <w:rPr>
          <w:rFonts w:hint="default" w:ascii="Times New Roman" w:hAnsi="Times New Roman" w:eastAsia="宋体" w:cs="Times New Roman"/>
          <w:color w:val="auto"/>
          <w:sz w:val="24"/>
          <w:szCs w:val="24"/>
          <w:highlight w:val="none"/>
          <w:lang w:bidi="mn-Mong-CN"/>
        </w:rPr>
        <w:t>企业</w:t>
      </w:r>
      <w:r>
        <w:rPr>
          <w:rFonts w:hint="default" w:ascii="Times New Roman" w:hAnsi="Times New Roman" w:eastAsia="宋体" w:cs="Times New Roman"/>
          <w:color w:val="auto"/>
          <w:sz w:val="24"/>
          <w:szCs w:val="24"/>
          <w:highlight w:val="none"/>
        </w:rPr>
        <w:t>财产权利，使工人能够分享利润。</w:t>
      </w:r>
      <w:r>
        <w:rPr>
          <w:rFonts w:hint="default" w:ascii="Times New Roman" w:hAnsi="Times New Roman" w:eastAsia="宋体" w:cs="Times New Roman"/>
          <w:color w:val="auto"/>
          <w:sz w:val="24"/>
          <w:szCs w:val="24"/>
          <w:highlight w:val="none"/>
          <w:lang w:eastAsia="zh-Hans"/>
        </w:rPr>
        <w:t>再次</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bidi="mn-Mong-CN"/>
        </w:rPr>
        <w:t>对获取超额利润甚至垄断利润的企业按照超率累进税率征收企业所得税，将这部分税收收入用于社会保障支出。最后，</w:t>
      </w:r>
      <w:r>
        <w:rPr>
          <w:rFonts w:hint="default" w:ascii="Times New Roman" w:hAnsi="Times New Roman" w:eastAsia="宋体" w:cs="Times New Roman"/>
          <w:color w:val="auto"/>
          <w:sz w:val="24"/>
          <w:szCs w:val="24"/>
          <w:highlight w:val="none"/>
        </w:rPr>
        <w:t>提高劳动者的受教育程度和</w:t>
      </w:r>
      <w:r>
        <w:rPr>
          <w:rFonts w:hint="default" w:ascii="Times New Roman" w:hAnsi="Times New Roman" w:eastAsia="宋体" w:cs="Times New Roman"/>
          <w:color w:val="auto"/>
          <w:sz w:val="24"/>
          <w:szCs w:val="24"/>
          <w:highlight w:val="none"/>
          <w:lang w:eastAsia="zh-Hans"/>
        </w:rPr>
        <w:t>专业</w:t>
      </w:r>
      <w:r>
        <w:rPr>
          <w:rFonts w:hint="default" w:ascii="Times New Roman" w:hAnsi="Times New Roman" w:eastAsia="宋体" w:cs="Times New Roman"/>
          <w:color w:val="auto"/>
          <w:sz w:val="24"/>
          <w:szCs w:val="24"/>
          <w:highlight w:val="none"/>
        </w:rPr>
        <w:t>技能，同时政府介入实际工资确定，保证</w:t>
      </w:r>
      <w:r>
        <w:rPr>
          <w:rFonts w:hint="default" w:ascii="Times New Roman" w:hAnsi="Times New Roman" w:eastAsia="宋体" w:cs="Times New Roman"/>
          <w:color w:val="auto"/>
          <w:sz w:val="24"/>
          <w:szCs w:val="24"/>
          <w:highlight w:val="none"/>
          <w:lang w:bidi="mn-Mong-CN"/>
        </w:rPr>
        <w:t>劳动报酬提高与社会生产力发展基本同步。</w:t>
      </w:r>
    </w:p>
    <w:p w14:paraId="60742213">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rPr>
        <w:t>第二，构建人类命运共同体，促进世界经济平衡发展，增强国际经济循环动能。</w:t>
      </w:r>
      <w:r>
        <w:rPr>
          <w:rFonts w:hint="default" w:ascii="Times New Roman" w:hAnsi="Times New Roman" w:eastAsia="宋体" w:cs="Times New Roman"/>
          <w:color w:val="auto"/>
          <w:sz w:val="24"/>
          <w:szCs w:val="24"/>
          <w:highlight w:val="none"/>
          <w:lang w:eastAsia="zh-Hans"/>
        </w:rPr>
        <w:t>习近平总书记指出，“困扰世界的很多问题，并不是经济全球化造成的。……把困扰世界的问题简单归咎于经济全球化，……无助于问题解决。</w:t>
      </w:r>
      <w:r>
        <w:rPr>
          <w:rFonts w:hint="default" w:ascii="Times New Roman" w:hAnsi="Times New Roman" w:eastAsia="宋体" w:cs="Times New Roman"/>
          <w:color w:val="auto"/>
          <w:sz w:val="24"/>
          <w:szCs w:val="24"/>
          <w:highlight w:val="none"/>
          <w:shd w:val="clear" w:color="auto" w:fill="FFFFFF"/>
          <w:lang w:eastAsia="zh-Hans" w:bidi="ar"/>
        </w:rPr>
        <w:t>”</w:t>
      </w:r>
      <w:r>
        <w:rPr>
          <w:rStyle w:val="20"/>
          <w:rFonts w:hint="default" w:ascii="Times New Roman" w:hAnsi="Times New Roman" w:eastAsia="宋体" w:cs="Times New Roman"/>
          <w:color w:val="auto"/>
          <w:sz w:val="24"/>
          <w:szCs w:val="24"/>
          <w:highlight w:val="none"/>
          <w:shd w:val="clear" w:color="auto" w:fill="FFFFFF"/>
          <w:lang w:eastAsia="zh-Hans" w:bidi="ar"/>
        </w:rPr>
        <w:footnoteReference w:id="782"/>
      </w:r>
      <w:r>
        <w:rPr>
          <w:rFonts w:hint="default" w:ascii="Times New Roman" w:hAnsi="Times New Roman" w:eastAsia="宋体" w:cs="Times New Roman"/>
          <w:color w:val="auto"/>
          <w:sz w:val="24"/>
          <w:szCs w:val="24"/>
          <w:highlight w:val="none"/>
          <w:lang w:eastAsia="zh-Hans"/>
        </w:rPr>
        <w:t>贸易保护主义和逆经济全球化不利于世界经济恢复向好，构建人类命运共同体，</w:t>
      </w:r>
      <w:r>
        <w:rPr>
          <w:rFonts w:hint="default" w:ascii="Times New Roman" w:hAnsi="Times New Roman" w:eastAsia="宋体" w:cs="Times New Roman"/>
          <w:color w:val="auto"/>
          <w:sz w:val="24"/>
          <w:szCs w:val="24"/>
          <w:highlight w:val="none"/>
        </w:rPr>
        <w:t>促进世界经济平衡发展，</w:t>
      </w:r>
      <w:r>
        <w:rPr>
          <w:rFonts w:hint="default" w:ascii="Times New Roman" w:hAnsi="Times New Roman" w:eastAsia="宋体" w:cs="Times New Roman"/>
          <w:color w:val="auto"/>
          <w:sz w:val="24"/>
          <w:szCs w:val="24"/>
          <w:highlight w:val="none"/>
          <w:lang w:eastAsia="zh-Hans"/>
        </w:rPr>
        <w:t>才是化解全球生产过剩、增强国际经济循环动能的正确选择。</w:t>
      </w:r>
      <w:r>
        <w:rPr>
          <w:rFonts w:hint="default" w:ascii="Times New Roman" w:hAnsi="Times New Roman" w:eastAsia="宋体" w:cs="Times New Roman"/>
          <w:color w:val="auto"/>
          <w:sz w:val="24"/>
          <w:szCs w:val="24"/>
          <w:highlight w:val="none"/>
          <w:lang w:bidi="ar"/>
        </w:rPr>
        <w:t>在资本主义世界体系，面对世界市场容量扩张相对不足引起的竞争加剧，一些发达国家奉行我赢你输、赢者通吃的</w:t>
      </w:r>
      <w:r>
        <w:rPr>
          <w:rFonts w:hint="default" w:ascii="Times New Roman" w:hAnsi="Times New Roman" w:eastAsia="宋体" w:cs="Times New Roman"/>
          <w:color w:val="auto"/>
          <w:sz w:val="24"/>
          <w:szCs w:val="24"/>
          <w:highlight w:val="none"/>
          <w:lang w:eastAsia="zh-Hans" w:bidi="ar"/>
        </w:rPr>
        <w:t>思维</w:t>
      </w:r>
      <w:r>
        <w:rPr>
          <w:rFonts w:hint="default" w:ascii="Times New Roman" w:hAnsi="Times New Roman" w:eastAsia="宋体" w:cs="Times New Roman"/>
          <w:color w:val="auto"/>
          <w:sz w:val="24"/>
          <w:szCs w:val="24"/>
          <w:highlight w:val="none"/>
          <w:lang w:bidi="ar"/>
        </w:rPr>
        <w:t>，采取以阻碍他国经济发展而促进本国经济发展的模式。在短期内，发达国家经济的确得以发展，但从长期看，这些发展成果终将因全球生产过剩、国际经济循环紊乱、世界经济增长停滞而遭到破坏。与这种带有重商主义色彩的思维不同的是倡导开放、包容、普惠、平衡、共赢的人类命运共同体理念。为化解产能过剩、</w:t>
      </w:r>
      <w:r>
        <w:rPr>
          <w:rFonts w:hint="default" w:ascii="Times New Roman" w:hAnsi="Times New Roman" w:eastAsia="宋体" w:cs="Times New Roman"/>
          <w:color w:val="auto"/>
          <w:sz w:val="24"/>
          <w:szCs w:val="24"/>
          <w:highlight w:val="none"/>
          <w:lang w:eastAsia="zh-Hans"/>
        </w:rPr>
        <w:t>增强经济循环动能、促进世界经济复苏，</w:t>
      </w:r>
      <w:r>
        <w:rPr>
          <w:rFonts w:hint="default" w:ascii="Times New Roman" w:hAnsi="Times New Roman" w:eastAsia="宋体" w:cs="Times New Roman"/>
          <w:color w:val="auto"/>
          <w:sz w:val="24"/>
          <w:szCs w:val="24"/>
          <w:highlight w:val="none"/>
          <w:lang w:bidi="ar"/>
        </w:rPr>
        <w:t>世界各国不应到重商主义那里寻求办法，而应“坚持人类优先的理念，……共同把全球市场的蛋糕做大”</w:t>
      </w:r>
      <w:r>
        <w:rPr>
          <w:rStyle w:val="20"/>
          <w:rFonts w:hint="default" w:ascii="Times New Roman" w:hAnsi="Times New Roman" w:eastAsia="宋体" w:cs="Times New Roman"/>
          <w:color w:val="auto"/>
          <w:sz w:val="24"/>
          <w:szCs w:val="24"/>
          <w:highlight w:val="none"/>
          <w:lang w:bidi="ar"/>
        </w:rPr>
        <w:footnoteReference w:id="783"/>
      </w:r>
      <w:r>
        <w:rPr>
          <w:rFonts w:hint="default" w:ascii="Times New Roman" w:hAnsi="Times New Roman" w:eastAsia="宋体" w:cs="Times New Roman"/>
          <w:color w:val="auto"/>
          <w:sz w:val="24"/>
          <w:szCs w:val="24"/>
          <w:highlight w:val="none"/>
          <w:lang w:bidi="ar"/>
        </w:rPr>
        <w:t>。做大全球市场的蛋糕关键在促进世界经济平衡发展，缩小全球贫富差距。世界各国应坚持人民至上，切实提高劳动者报酬。以美国为首的发达国家，应摒弃零和博弈的</w:t>
      </w:r>
      <w:r>
        <w:rPr>
          <w:rFonts w:hint="default" w:ascii="Times New Roman" w:hAnsi="Times New Roman" w:eastAsia="宋体" w:cs="Times New Roman"/>
          <w:color w:val="auto"/>
          <w:sz w:val="24"/>
          <w:szCs w:val="24"/>
          <w:highlight w:val="none"/>
          <w:lang w:eastAsia="zh-Hans" w:bidi="ar"/>
        </w:rPr>
        <w:t>旧</w:t>
      </w:r>
      <w:r>
        <w:rPr>
          <w:rFonts w:hint="default" w:ascii="Times New Roman" w:hAnsi="Times New Roman" w:eastAsia="宋体" w:cs="Times New Roman"/>
          <w:color w:val="auto"/>
          <w:sz w:val="24"/>
          <w:szCs w:val="24"/>
          <w:highlight w:val="none"/>
          <w:lang w:bidi="ar"/>
        </w:rPr>
        <w:t>思维，积极承担大国责任，把全球共享的机制做实，把全球合作的方式做活，与中国及其他发展中国家开展国际科技交流合作，共享技术创新成果，最终实现平衡</w:t>
      </w:r>
      <w:r>
        <w:rPr>
          <w:rFonts w:hint="default" w:ascii="Times New Roman" w:hAnsi="Times New Roman" w:eastAsia="宋体" w:cs="Times New Roman"/>
          <w:color w:val="auto"/>
          <w:sz w:val="24"/>
          <w:szCs w:val="24"/>
          <w:highlight w:val="none"/>
          <w:lang w:eastAsia="zh-Hans" w:bidi="ar"/>
        </w:rPr>
        <w:t>发展</w:t>
      </w:r>
      <w:r>
        <w:rPr>
          <w:rFonts w:hint="default" w:ascii="Times New Roman" w:hAnsi="Times New Roman" w:eastAsia="宋体" w:cs="Times New Roman"/>
          <w:color w:val="auto"/>
          <w:sz w:val="24"/>
          <w:szCs w:val="24"/>
          <w:highlight w:val="none"/>
          <w:lang w:bidi="ar"/>
        </w:rPr>
        <w:t>。</w:t>
      </w:r>
    </w:p>
    <w:p w14:paraId="624C1847">
      <w:pPr>
        <w:bidi w:val="0"/>
        <w:jc w:val="center"/>
        <w:rPr>
          <w:rFonts w:hint="default"/>
          <w:sz w:val="28"/>
          <w:szCs w:val="32"/>
        </w:rPr>
      </w:pPr>
      <w:r>
        <w:rPr>
          <w:rFonts w:hint="default"/>
          <w:sz w:val="28"/>
          <w:szCs w:val="32"/>
        </w:rPr>
        <w:t>附录</w:t>
      </w:r>
    </w:p>
    <w:p w14:paraId="1C4C52C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与资产周转率和经济增长率相比，产能利用率的国家-年份面板数据难以获取。研究者采用峰值法、函数法、包络分析法、随机前沿法、协整法、固定资本折旧法估算了一个国家的工业或某个行业的产能利用率，估算值与真实值存在一定偏差，关键是不能形成面板数据。因此，本部分仅对经济循环速度和经济增长速度的关系进行计量分析，计量模型如下：</w:t>
      </w:r>
    </w:p>
    <w:p w14:paraId="3710873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m:oMathPara>
        <m:oMath>
          <m:sSub>
            <m:sSubPr>
              <m:ctrlPr>
                <w:rPr>
                  <w:rFonts w:hint="default" w:ascii="Cambria Math" w:hAnsi="Cambria Math" w:eastAsia="宋体" w:cs="Times New Roman"/>
                  <w:i/>
                  <w:color w:val="auto"/>
                  <w:sz w:val="24"/>
                  <w:szCs w:val="24"/>
                  <w:highlight w:val="none"/>
                  <w:lang w:bidi="ar"/>
                </w:rPr>
              </m:ctrlPr>
            </m:sSubPr>
            <m:e>
              <m:r>
                <m:rPr>
                  <m:nor/>
                </m:rPr>
                <w:rPr>
                  <w:rFonts w:hint="default" w:ascii="Cambria Math" w:hAnsi="Cambria Math" w:eastAsia="宋体" w:cs="Times New Roman"/>
                  <w:i/>
                  <w:iCs/>
                  <w:color w:val="auto"/>
                  <w:sz w:val="24"/>
                  <w:szCs w:val="24"/>
                  <w:highlight w:val="none"/>
                  <w:lang w:bidi="ar"/>
                </w:rPr>
                <m:t>g</m:t>
              </m:r>
              <m:ctrlPr>
                <w:rPr>
                  <w:rFonts w:hint="default" w:ascii="Cambria Math" w:hAnsi="Cambria Math" w:eastAsia="宋体" w:cs="Times New Roman"/>
                  <w:i/>
                  <w:color w:val="auto"/>
                  <w:sz w:val="24"/>
                  <w:szCs w:val="24"/>
                  <w:highlight w:val="none"/>
                  <w:lang w:bidi="ar"/>
                </w:rPr>
              </m:ctrlPr>
            </m:e>
            <m:sub>
              <m:r>
                <m:rPr>
                  <m:nor/>
                  <m:sty m:val="p"/>
                </m:rPr>
                <w:rPr>
                  <w:rFonts w:hint="default" w:ascii="Cambria Math" w:hAnsi="Cambria Math" w:eastAsia="宋体" w:cs="Times New Roman"/>
                  <w:b w:val="0"/>
                  <w:i w:val="0"/>
                  <w:color w:val="auto"/>
                  <w:sz w:val="24"/>
                  <w:szCs w:val="24"/>
                  <w:highlight w:val="none"/>
                  <w:lang w:bidi="ar"/>
                </w:rPr>
                <m:t>it</m:t>
              </m:r>
              <m:ctrlPr>
                <w:rPr>
                  <w:rFonts w:hint="default" w:ascii="Cambria Math" w:hAnsi="Cambria Math" w:eastAsia="宋体" w:cs="Times New Roman"/>
                  <w:i/>
                  <w:color w:val="auto"/>
                  <w:sz w:val="24"/>
                  <w:szCs w:val="24"/>
                  <w:highlight w:val="none"/>
                  <w:lang w:bidi="ar"/>
                </w:rPr>
              </m:ctrlPr>
            </m:sub>
          </m:sSub>
          <m:r>
            <m:rPr>
              <m:nor/>
              <m:sty m:val="p"/>
            </m:rPr>
            <w:rPr>
              <w:rFonts w:hint="default" w:ascii="Cambria Math" w:hAnsi="Cambria Math" w:eastAsia="宋体" w:cs="Times New Roman"/>
              <w:b w:val="0"/>
              <w:i w:val="0"/>
              <w:color w:val="auto"/>
              <w:sz w:val="24"/>
              <w:szCs w:val="24"/>
              <w:highlight w:val="none"/>
              <w:lang w:bidi="ar"/>
            </w:rPr>
            <m:t xml:space="preserve"> = </m:t>
          </m:r>
          <m:r>
            <m:rPr>
              <m:nor/>
            </m:rPr>
            <w:rPr>
              <w:rFonts w:hint="default" w:ascii="Cambria Math" w:hAnsi="Cambria Math" w:eastAsia="宋体" w:cs="Times New Roman"/>
              <w:i/>
              <w:color w:val="auto"/>
              <w:sz w:val="24"/>
              <w:szCs w:val="24"/>
              <w:highlight w:val="none"/>
              <w:lang w:bidi="ar"/>
            </w:rPr>
            <m:t xml:space="preserve">α </m:t>
          </m:r>
          <m:r>
            <m:rPr>
              <m:nor/>
              <m:sty m:val="p"/>
            </m:rPr>
            <w:rPr>
              <w:rFonts w:hint="default" w:ascii="Cambria Math" w:hAnsi="Cambria Math" w:eastAsia="宋体" w:cs="Times New Roman"/>
              <w:b w:val="0"/>
              <w:i w:val="0"/>
              <w:color w:val="auto"/>
              <w:sz w:val="24"/>
              <w:szCs w:val="24"/>
              <w:highlight w:val="none"/>
              <w:lang w:bidi="ar"/>
            </w:rPr>
            <m:t xml:space="preserve">+ </m:t>
          </m:r>
          <m:r>
            <m:rPr>
              <m:nor/>
            </m:rPr>
            <w:rPr>
              <w:rFonts w:hint="default" w:ascii="Cambria Math" w:hAnsi="Cambria Math" w:eastAsia="宋体" w:cs="Times New Roman"/>
              <w:i/>
              <w:color w:val="auto"/>
              <w:sz w:val="24"/>
              <w:szCs w:val="24"/>
              <w:highlight w:val="none"/>
              <w:lang w:bidi="ar"/>
            </w:rPr>
            <m:t>β</m:t>
          </m:r>
          <m:sSub>
            <m:sSubPr>
              <m:ctrlPr>
                <w:rPr>
                  <w:rFonts w:hint="default" w:ascii="Cambria Math" w:hAnsi="Cambria Math" w:eastAsia="宋体" w:cs="Times New Roman"/>
                  <w:i/>
                  <w:color w:val="auto"/>
                  <w:sz w:val="24"/>
                  <w:szCs w:val="24"/>
                  <w:highlight w:val="none"/>
                  <w:lang w:bidi="ar"/>
                </w:rPr>
              </m:ctrlPr>
            </m:sSubPr>
            <m:e>
              <m:r>
                <m:rPr>
                  <m:nor/>
                </m:rPr>
                <w:rPr>
                  <w:rFonts w:hint="default" w:ascii="Cambria Math" w:hAnsi="Cambria Math" w:eastAsia="宋体" w:cs="Times New Roman"/>
                  <w:i/>
                  <w:color w:val="auto"/>
                  <w:sz w:val="24"/>
                  <w:szCs w:val="24"/>
                  <w:highlight w:val="none"/>
                  <w:lang w:bidi="ar"/>
                </w:rPr>
                <m:t>cir</m:t>
              </m:r>
              <m:ctrlPr>
                <w:rPr>
                  <w:rFonts w:hint="default" w:ascii="Cambria Math" w:hAnsi="Cambria Math" w:eastAsia="宋体" w:cs="Times New Roman"/>
                  <w:i/>
                  <w:color w:val="auto"/>
                  <w:sz w:val="24"/>
                  <w:szCs w:val="24"/>
                  <w:highlight w:val="none"/>
                  <w:lang w:bidi="ar"/>
                </w:rPr>
              </m:ctrlPr>
            </m:e>
            <m:sub>
              <m:r>
                <m:rPr>
                  <m:nor/>
                  <m:sty m:val="p"/>
                </m:rPr>
                <w:rPr>
                  <w:rFonts w:hint="default" w:ascii="Cambria Math" w:hAnsi="Cambria Math" w:eastAsia="宋体" w:cs="Times New Roman"/>
                  <w:b w:val="0"/>
                  <w:i w:val="0"/>
                  <w:color w:val="auto"/>
                  <w:sz w:val="24"/>
                  <w:szCs w:val="24"/>
                  <w:highlight w:val="none"/>
                  <w:lang w:bidi="ar"/>
                </w:rPr>
                <m:t>it</m:t>
              </m:r>
              <m:ctrlPr>
                <w:rPr>
                  <w:rFonts w:hint="default" w:ascii="Cambria Math" w:hAnsi="Cambria Math" w:eastAsia="宋体" w:cs="Times New Roman"/>
                  <w:i/>
                  <w:color w:val="auto"/>
                  <w:sz w:val="24"/>
                  <w:szCs w:val="24"/>
                  <w:highlight w:val="none"/>
                  <w:lang w:bidi="ar"/>
                </w:rPr>
              </m:ctrlPr>
            </m:sub>
          </m:sSub>
          <m:r>
            <m:rPr>
              <m:nor/>
              <m:sty m:val="p"/>
            </m:rPr>
            <w:rPr>
              <w:rFonts w:hint="default" w:ascii="Cambria Math" w:hAnsi="Cambria Math" w:eastAsia="宋体" w:cs="Times New Roman"/>
              <w:b w:val="0"/>
              <w:i w:val="0"/>
              <w:color w:val="auto"/>
              <w:sz w:val="24"/>
              <w:szCs w:val="24"/>
              <w:highlight w:val="none"/>
              <w:lang w:bidi="ar"/>
            </w:rPr>
            <m:t xml:space="preserve"> + </m:t>
          </m:r>
          <m:r>
            <m:rPr>
              <m:nor/>
              <m:sty m:val="bi"/>
            </m:rPr>
            <w:rPr>
              <w:rFonts w:hint="default" w:ascii="Cambria Math" w:hAnsi="Cambria Math" w:eastAsia="宋体" w:cs="Times New Roman"/>
              <w:b/>
              <w:bCs/>
              <w:i/>
              <w:iCs/>
              <w:color w:val="auto"/>
              <w:sz w:val="24"/>
              <w:szCs w:val="24"/>
              <w:highlight w:val="none"/>
              <w:lang w:bidi="ar"/>
            </w:rPr>
            <m:t>γ</m:t>
          </m:r>
          <m:sSub>
            <m:sSubPr>
              <m:ctrlPr>
                <w:rPr>
                  <w:rFonts w:hint="default" w:ascii="Cambria Math" w:hAnsi="Cambria Math" w:eastAsia="宋体" w:cs="Times New Roman"/>
                  <w:i/>
                  <w:color w:val="auto"/>
                  <w:sz w:val="24"/>
                  <w:szCs w:val="24"/>
                  <w:highlight w:val="none"/>
                  <w:lang w:bidi="ar"/>
                </w:rPr>
              </m:ctrlPr>
            </m:sSubPr>
            <m:e>
              <m:r>
                <m:rPr>
                  <m:nor/>
                  <m:sty m:val="bi"/>
                </m:rPr>
                <w:rPr>
                  <w:rFonts w:hint="default" w:ascii="Cambria Math" w:hAnsi="Cambria Math" w:eastAsia="宋体" w:cs="Times New Roman"/>
                  <w:b/>
                  <w:bCs/>
                  <w:i/>
                  <w:color w:val="auto"/>
                  <w:sz w:val="24"/>
                  <w:szCs w:val="24"/>
                  <w:highlight w:val="none"/>
                  <w:lang w:bidi="ar"/>
                </w:rPr>
                <m:t>X</m:t>
              </m:r>
              <m:ctrlPr>
                <w:rPr>
                  <w:rFonts w:hint="default" w:ascii="Cambria Math" w:hAnsi="Cambria Math" w:eastAsia="宋体" w:cs="Times New Roman"/>
                  <w:i/>
                  <w:color w:val="auto"/>
                  <w:sz w:val="24"/>
                  <w:szCs w:val="24"/>
                  <w:highlight w:val="none"/>
                  <w:lang w:bidi="ar"/>
                </w:rPr>
              </m:ctrlPr>
            </m:e>
            <m:sub>
              <m:r>
                <m:rPr>
                  <m:nor/>
                  <m:sty m:val="p"/>
                </m:rPr>
                <w:rPr>
                  <w:rFonts w:hint="default" w:ascii="Cambria Math" w:hAnsi="Cambria Math" w:eastAsia="宋体" w:cs="Times New Roman"/>
                  <w:b w:val="0"/>
                  <w:i w:val="0"/>
                  <w:color w:val="auto"/>
                  <w:sz w:val="24"/>
                  <w:szCs w:val="24"/>
                  <w:highlight w:val="none"/>
                  <w:lang w:bidi="ar"/>
                </w:rPr>
                <m:t xml:space="preserve">it </m:t>
              </m:r>
              <m:ctrlPr>
                <w:rPr>
                  <w:rFonts w:hint="default" w:ascii="Cambria Math" w:hAnsi="Cambria Math" w:eastAsia="宋体" w:cs="Times New Roman"/>
                  <w:i/>
                  <w:color w:val="auto"/>
                  <w:sz w:val="24"/>
                  <w:szCs w:val="24"/>
                  <w:highlight w:val="none"/>
                  <w:lang w:bidi="ar"/>
                </w:rPr>
              </m:ctrlPr>
            </m:sub>
          </m:sSub>
          <m:r>
            <m:rPr>
              <m:nor/>
              <m:sty m:val="p"/>
            </m:rPr>
            <w:rPr>
              <w:rFonts w:hint="default" w:ascii="Cambria Math" w:hAnsi="Cambria Math" w:eastAsia="宋体" w:cs="Times New Roman"/>
              <w:b w:val="0"/>
              <w:i w:val="0"/>
              <w:color w:val="auto"/>
              <w:sz w:val="24"/>
              <w:szCs w:val="24"/>
              <w:highlight w:val="none"/>
              <w:lang w:bidi="ar"/>
            </w:rPr>
            <m:t>+</m:t>
          </m:r>
          <m:sSub>
            <m:sSubPr>
              <m:ctrlPr>
                <w:rPr>
                  <w:rFonts w:hint="default" w:ascii="Cambria Math" w:hAnsi="Cambria Math" w:eastAsia="宋体" w:cs="Times New Roman"/>
                  <w:i/>
                  <w:color w:val="auto"/>
                  <w:sz w:val="24"/>
                  <w:szCs w:val="24"/>
                  <w:highlight w:val="none"/>
                  <w:lang w:bidi="ar"/>
                </w:rPr>
              </m:ctrlPr>
            </m:sSubPr>
            <m:e>
              <m:r>
                <m:rPr>
                  <m:nor/>
                </m:rPr>
                <w:rPr>
                  <w:rFonts w:hint="default" w:ascii="Cambria Math" w:hAnsi="Cambria Math" w:eastAsia="宋体" w:cs="Times New Roman"/>
                  <w:i/>
                  <w:iCs/>
                  <w:color w:val="auto"/>
                  <w:sz w:val="24"/>
                  <w:szCs w:val="24"/>
                  <w:highlight w:val="none"/>
                  <w:lang w:bidi="ar"/>
                </w:rPr>
                <m:t xml:space="preserve"> ε</m:t>
              </m:r>
              <m:ctrlPr>
                <w:rPr>
                  <w:rFonts w:hint="default" w:ascii="Cambria Math" w:hAnsi="Cambria Math" w:eastAsia="宋体" w:cs="Times New Roman"/>
                  <w:i/>
                  <w:color w:val="auto"/>
                  <w:sz w:val="24"/>
                  <w:szCs w:val="24"/>
                  <w:highlight w:val="none"/>
                  <w:lang w:bidi="ar"/>
                </w:rPr>
              </m:ctrlPr>
            </m:e>
            <m:sub>
              <m:r>
                <m:rPr>
                  <m:nor/>
                  <m:sty m:val="p"/>
                </m:rPr>
                <w:rPr>
                  <w:rFonts w:hint="default" w:ascii="Cambria Math" w:hAnsi="Cambria Math" w:eastAsia="宋体" w:cs="Times New Roman"/>
                  <w:b w:val="0"/>
                  <w:i w:val="0"/>
                  <w:color w:val="auto"/>
                  <w:sz w:val="24"/>
                  <w:szCs w:val="24"/>
                  <w:highlight w:val="none"/>
                  <w:lang w:bidi="ar"/>
                </w:rPr>
                <m:t>it</m:t>
              </m:r>
              <m:ctrlPr>
                <w:rPr>
                  <w:rFonts w:hint="default" w:ascii="Cambria Math" w:hAnsi="Cambria Math" w:eastAsia="宋体" w:cs="Times New Roman"/>
                  <w:i/>
                  <w:color w:val="auto"/>
                  <w:sz w:val="24"/>
                  <w:szCs w:val="24"/>
                  <w:highlight w:val="none"/>
                  <w:lang w:bidi="ar"/>
                </w:rPr>
              </m:ctrlPr>
            </m:sub>
          </m:sSub>
        </m:oMath>
      </m:oMathPara>
    </w:p>
    <w:p w14:paraId="10202A8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其中，</w:t>
      </w:r>
      <w:r>
        <w:rPr>
          <w:rFonts w:hint="default" w:ascii="Times New Roman" w:hAnsi="Times New Roman" w:eastAsia="宋体" w:cs="Times New Roman"/>
          <w:b/>
          <w:bCs/>
          <w:i/>
          <w:iCs/>
          <w:color w:val="auto"/>
          <w:sz w:val="24"/>
          <w:szCs w:val="24"/>
          <w:highlight w:val="none"/>
          <w:lang w:bidi="ar"/>
        </w:rPr>
        <w:t>X</w:t>
      </w:r>
      <w:r>
        <w:rPr>
          <w:rFonts w:hint="default" w:ascii="Times New Roman" w:hAnsi="Times New Roman" w:eastAsia="宋体" w:cs="Times New Roman"/>
          <w:color w:val="auto"/>
          <w:sz w:val="24"/>
          <w:szCs w:val="24"/>
          <w:highlight w:val="none"/>
          <w:lang w:bidi="ar"/>
        </w:rPr>
        <w:t>为控制变量向量，</w:t>
      </w:r>
      <w:r>
        <w:rPr>
          <w:rFonts w:hint="default" w:ascii="Times New Roman" w:hAnsi="Times New Roman" w:eastAsia="宋体" w:cs="Times New Roman"/>
          <w:i/>
          <w:iCs/>
          <w:color w:val="auto"/>
          <w:sz w:val="24"/>
          <w:szCs w:val="24"/>
          <w:highlight w:val="none"/>
          <w:lang w:bidi="ar"/>
        </w:rPr>
        <w:t>cir</w:t>
      </w:r>
      <w:r>
        <w:rPr>
          <w:rFonts w:hint="default" w:ascii="Times New Roman" w:hAnsi="Times New Roman" w:eastAsia="宋体" w:cs="Times New Roman"/>
          <w:color w:val="auto"/>
          <w:sz w:val="24"/>
          <w:szCs w:val="24"/>
          <w:highlight w:val="none"/>
          <w:lang w:bidi="ar"/>
        </w:rPr>
        <w:t>为资产周转率，</w:t>
      </w:r>
      <w:r>
        <w:rPr>
          <w:rFonts w:hint="default" w:ascii="Times New Roman" w:hAnsi="Times New Roman" w:eastAsia="宋体" w:cs="Times New Roman"/>
          <w:i/>
          <w:iCs/>
          <w:color w:val="auto"/>
          <w:sz w:val="24"/>
          <w:szCs w:val="24"/>
          <w:highlight w:val="none"/>
          <w:lang w:bidi="ar"/>
        </w:rPr>
        <w:t>β</w:t>
      </w:r>
      <w:r>
        <w:rPr>
          <w:rFonts w:hint="default" w:ascii="Times New Roman" w:hAnsi="Times New Roman" w:eastAsia="宋体" w:cs="Times New Roman"/>
          <w:color w:val="auto"/>
          <w:sz w:val="24"/>
          <w:szCs w:val="24"/>
          <w:highlight w:val="none"/>
          <w:lang w:bidi="ar"/>
        </w:rPr>
        <w:t>为重点待估系数，</w:t>
      </w:r>
      <w:r>
        <w:rPr>
          <w:rFonts w:hint="default" w:ascii="Times New Roman" w:hAnsi="Times New Roman" w:eastAsia="宋体" w:cs="Times New Roman"/>
          <w:i/>
          <w:iCs/>
          <w:color w:val="auto"/>
          <w:sz w:val="24"/>
          <w:szCs w:val="24"/>
          <w:highlight w:val="none"/>
          <w:lang w:bidi="ar"/>
        </w:rPr>
        <w:t>ε</w:t>
      </w:r>
      <w:r>
        <w:rPr>
          <w:rFonts w:hint="default" w:ascii="Times New Roman" w:hAnsi="Times New Roman" w:eastAsia="宋体" w:cs="Times New Roman"/>
          <w:color w:val="auto"/>
          <w:sz w:val="24"/>
          <w:szCs w:val="24"/>
          <w:highlight w:val="none"/>
          <w:lang w:bidi="ar"/>
        </w:rPr>
        <w:t>为随机扰动项。借鉴彭红枫和余静文（2023）的研究，本文选取最终消费支出占GDP比、通货膨胀率、贸易依存度、预期寿命对数值、大学入学率作为控制变量。附表1为主要变量的描述性统计。</w:t>
      </w:r>
    </w:p>
    <w:p w14:paraId="3D0CB6A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附表1  主要变量的含义与描述性统计</w:t>
      </w:r>
    </w:p>
    <w:tbl>
      <w:tblPr>
        <w:tblStyle w:val="15"/>
        <w:tblW w:w="5000" w:type="pct"/>
        <w:jc w:val="center"/>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626"/>
        <w:gridCol w:w="2294"/>
        <w:gridCol w:w="824"/>
        <w:gridCol w:w="775"/>
        <w:gridCol w:w="824"/>
        <w:gridCol w:w="1182"/>
        <w:gridCol w:w="824"/>
        <w:gridCol w:w="1179"/>
      </w:tblGrid>
      <w:tr w14:paraId="49A8B509">
        <w:trPr>
          <w:jc w:val="center"/>
        </w:trPr>
        <w:tc>
          <w:tcPr>
            <w:tcW w:w="611" w:type="dxa"/>
            <w:tcBorders>
              <w:bottom w:val="single" w:color="auto" w:sz="4" w:space="0"/>
            </w:tcBorders>
            <w:vAlign w:val="center"/>
          </w:tcPr>
          <w:p w14:paraId="2BC7887F">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变量</w:t>
            </w:r>
          </w:p>
        </w:tc>
        <w:tc>
          <w:tcPr>
            <w:tcW w:w="2236" w:type="dxa"/>
            <w:tcBorders>
              <w:bottom w:val="single" w:color="auto" w:sz="4" w:space="0"/>
            </w:tcBorders>
            <w:vAlign w:val="center"/>
          </w:tcPr>
          <w:p w14:paraId="20CC3E97">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含义</w:t>
            </w:r>
          </w:p>
        </w:tc>
        <w:tc>
          <w:tcPr>
            <w:tcW w:w="803" w:type="dxa"/>
            <w:tcBorders>
              <w:bottom w:val="single" w:color="auto" w:sz="4" w:space="0"/>
            </w:tcBorders>
            <w:vAlign w:val="center"/>
          </w:tcPr>
          <w:p w14:paraId="5689E126">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样本量</w:t>
            </w:r>
          </w:p>
        </w:tc>
        <w:tc>
          <w:tcPr>
            <w:tcW w:w="755" w:type="dxa"/>
            <w:tcBorders>
              <w:bottom w:val="single" w:color="auto" w:sz="4" w:space="0"/>
            </w:tcBorders>
            <w:vAlign w:val="center"/>
          </w:tcPr>
          <w:p w14:paraId="028F54C9">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均值</w:t>
            </w:r>
          </w:p>
        </w:tc>
        <w:tc>
          <w:tcPr>
            <w:tcW w:w="803" w:type="dxa"/>
            <w:tcBorders>
              <w:bottom w:val="single" w:color="auto" w:sz="4" w:space="0"/>
            </w:tcBorders>
            <w:vAlign w:val="center"/>
          </w:tcPr>
          <w:p w14:paraId="4FB45EA9">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标准差</w:t>
            </w:r>
          </w:p>
        </w:tc>
        <w:tc>
          <w:tcPr>
            <w:tcW w:w="1152" w:type="dxa"/>
            <w:tcBorders>
              <w:bottom w:val="single" w:color="auto" w:sz="4" w:space="0"/>
            </w:tcBorders>
            <w:vAlign w:val="center"/>
          </w:tcPr>
          <w:p w14:paraId="55A069B7">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25%分位数</w:t>
            </w:r>
          </w:p>
        </w:tc>
        <w:tc>
          <w:tcPr>
            <w:tcW w:w="803" w:type="dxa"/>
            <w:tcBorders>
              <w:bottom w:val="single" w:color="auto" w:sz="4" w:space="0"/>
            </w:tcBorders>
            <w:vAlign w:val="center"/>
          </w:tcPr>
          <w:p w14:paraId="060466AE">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中位数</w:t>
            </w:r>
          </w:p>
        </w:tc>
        <w:tc>
          <w:tcPr>
            <w:tcW w:w="1149" w:type="dxa"/>
            <w:tcBorders>
              <w:bottom w:val="single" w:color="auto" w:sz="4" w:space="0"/>
            </w:tcBorders>
            <w:vAlign w:val="center"/>
          </w:tcPr>
          <w:p w14:paraId="71E3C27A">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75%分位数</w:t>
            </w:r>
          </w:p>
        </w:tc>
      </w:tr>
      <w:tr w14:paraId="198402FB">
        <w:trPr>
          <w:jc w:val="center"/>
        </w:trPr>
        <w:tc>
          <w:tcPr>
            <w:tcW w:w="611" w:type="dxa"/>
            <w:tcBorders>
              <w:top w:val="single" w:color="auto" w:sz="4" w:space="0"/>
              <w:bottom w:val="nil"/>
            </w:tcBorders>
            <w:vAlign w:val="center"/>
          </w:tcPr>
          <w:p w14:paraId="6835F7B4">
            <w:pPr>
              <w:pageBreakBefore w:val="0"/>
              <w:kinsoku/>
              <w:overflowPunct/>
              <w:topLinePunct w:val="0"/>
              <w:bidi w:val="0"/>
              <w:spacing w:line="400" w:lineRule="exact"/>
              <w:jc w:val="both"/>
              <w:rPr>
                <w:rFonts w:hint="default" w:ascii="Times New Roman" w:hAnsi="Times New Roman" w:eastAsia="宋体" w:cs="Times New Roman"/>
                <w:i/>
                <w:iCs/>
                <w:color w:val="auto"/>
                <w:sz w:val="21"/>
                <w:szCs w:val="21"/>
                <w:highlight w:val="none"/>
              </w:rPr>
            </w:pPr>
            <w:r>
              <w:rPr>
                <w:rFonts w:hint="default" w:ascii="Times New Roman" w:hAnsi="Times New Roman" w:eastAsia="宋体" w:cs="Times New Roman"/>
                <w:i/>
                <w:iCs/>
                <w:color w:val="auto"/>
                <w:sz w:val="21"/>
                <w:szCs w:val="21"/>
                <w:highlight w:val="none"/>
              </w:rPr>
              <w:t>g</w:t>
            </w:r>
          </w:p>
        </w:tc>
        <w:tc>
          <w:tcPr>
            <w:tcW w:w="2236" w:type="dxa"/>
            <w:tcBorders>
              <w:top w:val="single" w:color="auto" w:sz="4" w:space="0"/>
              <w:bottom w:val="nil"/>
            </w:tcBorders>
            <w:vAlign w:val="center"/>
          </w:tcPr>
          <w:p w14:paraId="796CA1A2">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经济增长率</w:t>
            </w:r>
          </w:p>
        </w:tc>
        <w:tc>
          <w:tcPr>
            <w:tcW w:w="803" w:type="dxa"/>
            <w:tcBorders>
              <w:top w:val="single" w:color="auto" w:sz="4" w:space="0"/>
              <w:bottom w:val="nil"/>
            </w:tcBorders>
            <w:vAlign w:val="center"/>
          </w:tcPr>
          <w:p w14:paraId="5781BD9C">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1213</w:t>
            </w:r>
          </w:p>
        </w:tc>
        <w:tc>
          <w:tcPr>
            <w:tcW w:w="755" w:type="dxa"/>
            <w:tcBorders>
              <w:top w:val="single" w:color="auto" w:sz="4" w:space="0"/>
              <w:bottom w:val="nil"/>
            </w:tcBorders>
            <w:vAlign w:val="center"/>
          </w:tcPr>
          <w:p w14:paraId="2753E9F5">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3.128</w:t>
            </w:r>
          </w:p>
        </w:tc>
        <w:tc>
          <w:tcPr>
            <w:tcW w:w="803" w:type="dxa"/>
            <w:tcBorders>
              <w:top w:val="single" w:color="auto" w:sz="4" w:space="0"/>
              <w:bottom w:val="nil"/>
            </w:tcBorders>
            <w:vAlign w:val="center"/>
          </w:tcPr>
          <w:p w14:paraId="59431F23">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3.159</w:t>
            </w:r>
          </w:p>
        </w:tc>
        <w:tc>
          <w:tcPr>
            <w:tcW w:w="1152" w:type="dxa"/>
            <w:tcBorders>
              <w:top w:val="single" w:color="auto" w:sz="4" w:space="0"/>
              <w:bottom w:val="nil"/>
            </w:tcBorders>
            <w:vAlign w:val="center"/>
          </w:tcPr>
          <w:p w14:paraId="7F0E7853">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1.458</w:t>
            </w:r>
          </w:p>
        </w:tc>
        <w:tc>
          <w:tcPr>
            <w:tcW w:w="803" w:type="dxa"/>
            <w:tcBorders>
              <w:top w:val="single" w:color="auto" w:sz="4" w:space="0"/>
              <w:bottom w:val="nil"/>
            </w:tcBorders>
            <w:vAlign w:val="center"/>
          </w:tcPr>
          <w:p w14:paraId="692AF698">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3.040</w:t>
            </w:r>
          </w:p>
        </w:tc>
        <w:tc>
          <w:tcPr>
            <w:tcW w:w="1149" w:type="dxa"/>
            <w:tcBorders>
              <w:top w:val="single" w:color="auto" w:sz="4" w:space="0"/>
              <w:bottom w:val="nil"/>
            </w:tcBorders>
            <w:vAlign w:val="center"/>
          </w:tcPr>
          <w:p w14:paraId="30431B88">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4.968</w:t>
            </w:r>
          </w:p>
        </w:tc>
      </w:tr>
      <w:tr w14:paraId="5105F01E">
        <w:trPr>
          <w:jc w:val="center"/>
        </w:trPr>
        <w:tc>
          <w:tcPr>
            <w:tcW w:w="611" w:type="dxa"/>
            <w:tcBorders>
              <w:top w:val="nil"/>
              <w:bottom w:val="nil"/>
            </w:tcBorders>
            <w:vAlign w:val="center"/>
          </w:tcPr>
          <w:p w14:paraId="7873111A">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sz w:val="21"/>
                <w:szCs w:val="21"/>
                <w:highlight w:val="none"/>
              </w:rPr>
              <w:t>cir</w:t>
            </w:r>
          </w:p>
        </w:tc>
        <w:tc>
          <w:tcPr>
            <w:tcW w:w="2236" w:type="dxa"/>
            <w:tcBorders>
              <w:top w:val="nil"/>
              <w:bottom w:val="nil"/>
            </w:tcBorders>
            <w:vAlign w:val="center"/>
          </w:tcPr>
          <w:p w14:paraId="7163FBF1">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资产周转率</w:t>
            </w:r>
          </w:p>
        </w:tc>
        <w:tc>
          <w:tcPr>
            <w:tcW w:w="803" w:type="dxa"/>
            <w:tcBorders>
              <w:top w:val="nil"/>
              <w:bottom w:val="nil"/>
            </w:tcBorders>
            <w:vAlign w:val="center"/>
          </w:tcPr>
          <w:p w14:paraId="23C5432A">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1155</w:t>
            </w:r>
          </w:p>
        </w:tc>
        <w:tc>
          <w:tcPr>
            <w:tcW w:w="755" w:type="dxa"/>
            <w:tcBorders>
              <w:top w:val="nil"/>
              <w:bottom w:val="nil"/>
            </w:tcBorders>
            <w:vAlign w:val="center"/>
          </w:tcPr>
          <w:p w14:paraId="61AE6A69">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46.913</w:t>
            </w:r>
          </w:p>
        </w:tc>
        <w:tc>
          <w:tcPr>
            <w:tcW w:w="803" w:type="dxa"/>
            <w:tcBorders>
              <w:top w:val="nil"/>
              <w:bottom w:val="nil"/>
            </w:tcBorders>
            <w:vAlign w:val="center"/>
          </w:tcPr>
          <w:p w14:paraId="7B353B46">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14.837</w:t>
            </w:r>
          </w:p>
        </w:tc>
        <w:tc>
          <w:tcPr>
            <w:tcW w:w="1152" w:type="dxa"/>
            <w:tcBorders>
              <w:top w:val="nil"/>
              <w:bottom w:val="nil"/>
            </w:tcBorders>
            <w:vAlign w:val="center"/>
          </w:tcPr>
          <w:p w14:paraId="442FD34E">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36.114</w:t>
            </w:r>
          </w:p>
        </w:tc>
        <w:tc>
          <w:tcPr>
            <w:tcW w:w="803" w:type="dxa"/>
            <w:tcBorders>
              <w:top w:val="nil"/>
              <w:bottom w:val="nil"/>
            </w:tcBorders>
            <w:vAlign w:val="center"/>
          </w:tcPr>
          <w:p w14:paraId="79CA404F">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44.953</w:t>
            </w:r>
          </w:p>
        </w:tc>
        <w:tc>
          <w:tcPr>
            <w:tcW w:w="1149" w:type="dxa"/>
            <w:tcBorders>
              <w:top w:val="nil"/>
              <w:bottom w:val="nil"/>
            </w:tcBorders>
            <w:vAlign w:val="center"/>
          </w:tcPr>
          <w:p w14:paraId="5F1202E5">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55.686</w:t>
            </w:r>
          </w:p>
        </w:tc>
      </w:tr>
      <w:tr w14:paraId="597AE019">
        <w:trPr>
          <w:jc w:val="center"/>
        </w:trPr>
        <w:tc>
          <w:tcPr>
            <w:tcW w:w="611" w:type="dxa"/>
            <w:tcBorders>
              <w:top w:val="nil"/>
              <w:bottom w:val="nil"/>
            </w:tcBorders>
            <w:vAlign w:val="center"/>
          </w:tcPr>
          <w:p w14:paraId="6BD9A26F">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sz w:val="21"/>
                <w:szCs w:val="21"/>
                <w:highlight w:val="none"/>
              </w:rPr>
              <w:t>con</w:t>
            </w:r>
          </w:p>
        </w:tc>
        <w:tc>
          <w:tcPr>
            <w:tcW w:w="2236" w:type="dxa"/>
            <w:tcBorders>
              <w:top w:val="nil"/>
              <w:bottom w:val="nil"/>
            </w:tcBorders>
            <w:vAlign w:val="center"/>
          </w:tcPr>
          <w:p w14:paraId="17397FFA">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最终消费支出占GDP比</w:t>
            </w:r>
          </w:p>
        </w:tc>
        <w:tc>
          <w:tcPr>
            <w:tcW w:w="803" w:type="dxa"/>
            <w:tcBorders>
              <w:top w:val="nil"/>
              <w:bottom w:val="nil"/>
            </w:tcBorders>
            <w:vAlign w:val="center"/>
          </w:tcPr>
          <w:p w14:paraId="13EF52D8">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1205</w:t>
            </w:r>
          </w:p>
        </w:tc>
        <w:tc>
          <w:tcPr>
            <w:tcW w:w="755" w:type="dxa"/>
            <w:tcBorders>
              <w:top w:val="nil"/>
              <w:bottom w:val="nil"/>
            </w:tcBorders>
            <w:vAlign w:val="center"/>
          </w:tcPr>
          <w:p w14:paraId="5F49E4B6">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76.693</w:t>
            </w:r>
          </w:p>
        </w:tc>
        <w:tc>
          <w:tcPr>
            <w:tcW w:w="803" w:type="dxa"/>
            <w:tcBorders>
              <w:top w:val="nil"/>
              <w:bottom w:val="nil"/>
            </w:tcBorders>
            <w:vAlign w:val="center"/>
          </w:tcPr>
          <w:p w14:paraId="30D7F575">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10.862</w:t>
            </w:r>
          </w:p>
        </w:tc>
        <w:tc>
          <w:tcPr>
            <w:tcW w:w="1152" w:type="dxa"/>
            <w:tcBorders>
              <w:top w:val="nil"/>
              <w:bottom w:val="nil"/>
            </w:tcBorders>
            <w:vAlign w:val="center"/>
          </w:tcPr>
          <w:p w14:paraId="67F04D16">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71.190</w:t>
            </w:r>
          </w:p>
        </w:tc>
        <w:tc>
          <w:tcPr>
            <w:tcW w:w="803" w:type="dxa"/>
            <w:tcBorders>
              <w:top w:val="nil"/>
              <w:bottom w:val="nil"/>
            </w:tcBorders>
            <w:vAlign w:val="center"/>
          </w:tcPr>
          <w:p w14:paraId="08CA3F0E">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76.762</w:t>
            </w:r>
          </w:p>
        </w:tc>
        <w:tc>
          <w:tcPr>
            <w:tcW w:w="1149" w:type="dxa"/>
            <w:tcBorders>
              <w:top w:val="nil"/>
              <w:bottom w:val="nil"/>
            </w:tcBorders>
            <w:vAlign w:val="center"/>
          </w:tcPr>
          <w:p w14:paraId="51E1AB71">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82.732</w:t>
            </w:r>
          </w:p>
        </w:tc>
      </w:tr>
      <w:tr w14:paraId="6D51DD8F">
        <w:trPr>
          <w:jc w:val="center"/>
        </w:trPr>
        <w:tc>
          <w:tcPr>
            <w:tcW w:w="611" w:type="dxa"/>
            <w:tcBorders>
              <w:top w:val="nil"/>
              <w:bottom w:val="nil"/>
            </w:tcBorders>
            <w:vAlign w:val="center"/>
          </w:tcPr>
          <w:p w14:paraId="59F3F4F3">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sz w:val="21"/>
                <w:szCs w:val="21"/>
                <w:highlight w:val="none"/>
              </w:rPr>
              <w:t>inf</w:t>
            </w:r>
          </w:p>
        </w:tc>
        <w:tc>
          <w:tcPr>
            <w:tcW w:w="2236" w:type="dxa"/>
            <w:tcBorders>
              <w:top w:val="nil"/>
              <w:bottom w:val="nil"/>
            </w:tcBorders>
            <w:vAlign w:val="center"/>
          </w:tcPr>
          <w:p w14:paraId="7F08EE42">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通货膨胀率</w:t>
            </w:r>
          </w:p>
        </w:tc>
        <w:tc>
          <w:tcPr>
            <w:tcW w:w="803" w:type="dxa"/>
            <w:tcBorders>
              <w:top w:val="nil"/>
              <w:bottom w:val="nil"/>
            </w:tcBorders>
            <w:vAlign w:val="top"/>
          </w:tcPr>
          <w:p w14:paraId="14A94DF8">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1206</w:t>
            </w:r>
          </w:p>
        </w:tc>
        <w:tc>
          <w:tcPr>
            <w:tcW w:w="755" w:type="dxa"/>
            <w:tcBorders>
              <w:top w:val="nil"/>
              <w:bottom w:val="nil"/>
            </w:tcBorders>
            <w:vAlign w:val="top"/>
          </w:tcPr>
          <w:p w14:paraId="3E20DD77">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3.896</w:t>
            </w:r>
          </w:p>
        </w:tc>
        <w:tc>
          <w:tcPr>
            <w:tcW w:w="803" w:type="dxa"/>
            <w:tcBorders>
              <w:top w:val="nil"/>
              <w:bottom w:val="nil"/>
            </w:tcBorders>
            <w:vAlign w:val="top"/>
          </w:tcPr>
          <w:p w14:paraId="0DDCE4D1">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6.442</w:t>
            </w:r>
          </w:p>
        </w:tc>
        <w:tc>
          <w:tcPr>
            <w:tcW w:w="1152" w:type="dxa"/>
            <w:tcBorders>
              <w:top w:val="nil"/>
              <w:bottom w:val="nil"/>
            </w:tcBorders>
            <w:vAlign w:val="top"/>
          </w:tcPr>
          <w:p w14:paraId="6E42DD72">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1.275</w:t>
            </w:r>
          </w:p>
        </w:tc>
        <w:tc>
          <w:tcPr>
            <w:tcW w:w="803" w:type="dxa"/>
            <w:tcBorders>
              <w:top w:val="nil"/>
              <w:bottom w:val="nil"/>
            </w:tcBorders>
            <w:vAlign w:val="top"/>
          </w:tcPr>
          <w:p w14:paraId="16364F1C">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2.536</w:t>
            </w:r>
          </w:p>
        </w:tc>
        <w:tc>
          <w:tcPr>
            <w:tcW w:w="1149" w:type="dxa"/>
            <w:tcBorders>
              <w:top w:val="nil"/>
              <w:bottom w:val="nil"/>
            </w:tcBorders>
            <w:vAlign w:val="top"/>
          </w:tcPr>
          <w:p w14:paraId="3C859FD7">
            <w:pPr>
              <w:pageBreakBefore w:val="0"/>
              <w:kinsoku/>
              <w:overflowPunct/>
              <w:topLinePunct w:val="0"/>
              <w:bidi w:val="0"/>
              <w:spacing w:line="400" w:lineRule="exact"/>
              <w:ind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4.598</w:t>
            </w:r>
          </w:p>
        </w:tc>
      </w:tr>
      <w:tr w14:paraId="489696CB">
        <w:trPr>
          <w:jc w:val="center"/>
        </w:trPr>
        <w:tc>
          <w:tcPr>
            <w:tcW w:w="611" w:type="dxa"/>
            <w:tcBorders>
              <w:top w:val="nil"/>
              <w:bottom w:val="nil"/>
            </w:tcBorders>
            <w:vAlign w:val="center"/>
          </w:tcPr>
          <w:p w14:paraId="78ADAAB6">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sz w:val="21"/>
                <w:szCs w:val="21"/>
                <w:highlight w:val="none"/>
              </w:rPr>
              <w:t>trg</w:t>
            </w:r>
          </w:p>
        </w:tc>
        <w:tc>
          <w:tcPr>
            <w:tcW w:w="2236" w:type="dxa"/>
            <w:tcBorders>
              <w:top w:val="nil"/>
              <w:bottom w:val="nil"/>
            </w:tcBorders>
            <w:vAlign w:val="center"/>
          </w:tcPr>
          <w:p w14:paraId="397AFA62">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贸易依存度</w:t>
            </w:r>
          </w:p>
        </w:tc>
        <w:tc>
          <w:tcPr>
            <w:tcW w:w="803" w:type="dxa"/>
            <w:tcBorders>
              <w:top w:val="nil"/>
              <w:bottom w:val="nil"/>
            </w:tcBorders>
            <w:vAlign w:val="top"/>
          </w:tcPr>
          <w:p w14:paraId="3DE45B97">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1208</w:t>
            </w:r>
          </w:p>
        </w:tc>
        <w:tc>
          <w:tcPr>
            <w:tcW w:w="755" w:type="dxa"/>
            <w:tcBorders>
              <w:top w:val="nil"/>
              <w:bottom w:val="nil"/>
            </w:tcBorders>
            <w:vAlign w:val="top"/>
          </w:tcPr>
          <w:p w14:paraId="7C9A8F76">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96.557</w:t>
            </w:r>
          </w:p>
        </w:tc>
        <w:tc>
          <w:tcPr>
            <w:tcW w:w="803" w:type="dxa"/>
            <w:tcBorders>
              <w:top w:val="nil"/>
              <w:bottom w:val="nil"/>
            </w:tcBorders>
            <w:vAlign w:val="top"/>
          </w:tcPr>
          <w:p w14:paraId="507E9961">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62.237</w:t>
            </w:r>
          </w:p>
        </w:tc>
        <w:tc>
          <w:tcPr>
            <w:tcW w:w="1152" w:type="dxa"/>
            <w:tcBorders>
              <w:top w:val="nil"/>
              <w:bottom w:val="nil"/>
            </w:tcBorders>
            <w:vAlign w:val="top"/>
          </w:tcPr>
          <w:p w14:paraId="23CEED4A">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58.697</w:t>
            </w:r>
          </w:p>
        </w:tc>
        <w:tc>
          <w:tcPr>
            <w:tcW w:w="803" w:type="dxa"/>
            <w:tcBorders>
              <w:top w:val="nil"/>
              <w:bottom w:val="nil"/>
            </w:tcBorders>
            <w:vAlign w:val="top"/>
          </w:tcPr>
          <w:p w14:paraId="5471FB8F">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80.348</w:t>
            </w:r>
          </w:p>
        </w:tc>
        <w:tc>
          <w:tcPr>
            <w:tcW w:w="1149" w:type="dxa"/>
            <w:tcBorders>
              <w:top w:val="nil"/>
              <w:bottom w:val="nil"/>
            </w:tcBorders>
            <w:vAlign w:val="top"/>
          </w:tcPr>
          <w:p w14:paraId="33CC8853">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116.697</w:t>
            </w:r>
          </w:p>
        </w:tc>
      </w:tr>
      <w:tr w14:paraId="422B1759">
        <w:trPr>
          <w:jc w:val="center"/>
        </w:trPr>
        <w:tc>
          <w:tcPr>
            <w:tcW w:w="611" w:type="dxa"/>
            <w:tcBorders>
              <w:top w:val="nil"/>
              <w:bottom w:val="nil"/>
            </w:tcBorders>
            <w:vAlign w:val="center"/>
          </w:tcPr>
          <w:p w14:paraId="5423BDE4">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sz w:val="21"/>
                <w:szCs w:val="21"/>
                <w:highlight w:val="none"/>
              </w:rPr>
              <w:t>lnd</w:t>
            </w:r>
          </w:p>
        </w:tc>
        <w:tc>
          <w:tcPr>
            <w:tcW w:w="2236" w:type="dxa"/>
            <w:tcBorders>
              <w:top w:val="nil"/>
              <w:bottom w:val="nil"/>
            </w:tcBorders>
            <w:vAlign w:val="center"/>
          </w:tcPr>
          <w:p w14:paraId="7A38ACFD">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预期寿命对数值</w:t>
            </w:r>
          </w:p>
        </w:tc>
        <w:tc>
          <w:tcPr>
            <w:tcW w:w="803" w:type="dxa"/>
            <w:tcBorders>
              <w:top w:val="nil"/>
              <w:bottom w:val="nil"/>
            </w:tcBorders>
            <w:vAlign w:val="top"/>
          </w:tcPr>
          <w:p w14:paraId="6B516BF4">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1211</w:t>
            </w:r>
          </w:p>
        </w:tc>
        <w:tc>
          <w:tcPr>
            <w:tcW w:w="755" w:type="dxa"/>
            <w:tcBorders>
              <w:top w:val="nil"/>
              <w:bottom w:val="nil"/>
            </w:tcBorders>
            <w:vAlign w:val="top"/>
          </w:tcPr>
          <w:p w14:paraId="2DA76E32">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4.326</w:t>
            </w:r>
          </w:p>
        </w:tc>
        <w:tc>
          <w:tcPr>
            <w:tcW w:w="803" w:type="dxa"/>
            <w:tcBorders>
              <w:top w:val="nil"/>
              <w:bottom w:val="nil"/>
            </w:tcBorders>
            <w:vAlign w:val="top"/>
          </w:tcPr>
          <w:p w14:paraId="0B3B4610">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0.085</w:t>
            </w:r>
          </w:p>
        </w:tc>
        <w:tc>
          <w:tcPr>
            <w:tcW w:w="1152" w:type="dxa"/>
            <w:tcBorders>
              <w:top w:val="nil"/>
              <w:bottom w:val="nil"/>
            </w:tcBorders>
            <w:vAlign w:val="top"/>
          </w:tcPr>
          <w:p w14:paraId="7BFB9BBE">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4.292</w:t>
            </w:r>
          </w:p>
        </w:tc>
        <w:tc>
          <w:tcPr>
            <w:tcW w:w="803" w:type="dxa"/>
            <w:tcBorders>
              <w:top w:val="nil"/>
              <w:bottom w:val="nil"/>
            </w:tcBorders>
            <w:vAlign w:val="top"/>
          </w:tcPr>
          <w:p w14:paraId="7E92B03F">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4.349</w:t>
            </w:r>
          </w:p>
        </w:tc>
        <w:tc>
          <w:tcPr>
            <w:tcW w:w="1149" w:type="dxa"/>
            <w:tcBorders>
              <w:top w:val="nil"/>
              <w:bottom w:val="nil"/>
            </w:tcBorders>
            <w:vAlign w:val="top"/>
          </w:tcPr>
          <w:p w14:paraId="5C805433">
            <w:pPr>
              <w:pageBreakBefore w:val="0"/>
              <w:kinsoku/>
              <w:overflowPunct/>
              <w:topLinePunct w:val="0"/>
              <w:bidi w:val="0"/>
              <w:spacing w:line="400" w:lineRule="exact"/>
              <w:ind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4.389</w:t>
            </w:r>
          </w:p>
        </w:tc>
      </w:tr>
      <w:tr w14:paraId="14109219">
        <w:trPr>
          <w:jc w:val="center"/>
        </w:trPr>
        <w:tc>
          <w:tcPr>
            <w:tcW w:w="611" w:type="dxa"/>
            <w:tcBorders>
              <w:top w:val="nil"/>
            </w:tcBorders>
            <w:vAlign w:val="center"/>
          </w:tcPr>
          <w:p w14:paraId="0A2B7D9D">
            <w:pPr>
              <w:pageBreakBefore w:val="0"/>
              <w:kinsoku/>
              <w:overflowPunct/>
              <w:topLinePunct w:val="0"/>
              <w:bidi w:val="0"/>
              <w:spacing w:line="400" w:lineRule="exact"/>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sz w:val="21"/>
                <w:szCs w:val="21"/>
                <w:highlight w:val="none"/>
              </w:rPr>
              <w:t>ter</w:t>
            </w:r>
          </w:p>
        </w:tc>
        <w:tc>
          <w:tcPr>
            <w:tcW w:w="2236" w:type="dxa"/>
            <w:tcBorders>
              <w:top w:val="nil"/>
            </w:tcBorders>
            <w:vAlign w:val="center"/>
          </w:tcPr>
          <w:p w14:paraId="417EA010">
            <w:pPr>
              <w:pageBreakBefore w:val="0"/>
              <w:kinsoku/>
              <w:overflowPunct/>
              <w:topLinePunct w:val="0"/>
              <w:bidi w:val="0"/>
              <w:spacing w:line="400" w:lineRule="exact"/>
              <w:ind w:firstLine="420" w:firstLineChars="20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大学入学率</w:t>
            </w:r>
          </w:p>
        </w:tc>
        <w:tc>
          <w:tcPr>
            <w:tcW w:w="803" w:type="dxa"/>
            <w:tcBorders>
              <w:top w:val="nil"/>
            </w:tcBorders>
            <w:vAlign w:val="top"/>
          </w:tcPr>
          <w:p w14:paraId="31CF7036">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1045</w:t>
            </w:r>
          </w:p>
        </w:tc>
        <w:tc>
          <w:tcPr>
            <w:tcW w:w="755" w:type="dxa"/>
            <w:tcBorders>
              <w:top w:val="nil"/>
            </w:tcBorders>
            <w:vAlign w:val="top"/>
          </w:tcPr>
          <w:p w14:paraId="7E109EC1">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54.255</w:t>
            </w:r>
          </w:p>
        </w:tc>
        <w:tc>
          <w:tcPr>
            <w:tcW w:w="803" w:type="dxa"/>
            <w:tcBorders>
              <w:top w:val="nil"/>
            </w:tcBorders>
            <w:vAlign w:val="top"/>
          </w:tcPr>
          <w:p w14:paraId="5EA75BD4">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24.638</w:t>
            </w:r>
          </w:p>
        </w:tc>
        <w:tc>
          <w:tcPr>
            <w:tcW w:w="1152" w:type="dxa"/>
            <w:tcBorders>
              <w:top w:val="nil"/>
            </w:tcBorders>
            <w:vAlign w:val="top"/>
          </w:tcPr>
          <w:p w14:paraId="557ACED2">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38.775</w:t>
            </w:r>
          </w:p>
        </w:tc>
        <w:tc>
          <w:tcPr>
            <w:tcW w:w="803" w:type="dxa"/>
            <w:tcBorders>
              <w:top w:val="nil"/>
            </w:tcBorders>
            <w:vAlign w:val="top"/>
          </w:tcPr>
          <w:p w14:paraId="635D4353">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57.348</w:t>
            </w:r>
          </w:p>
        </w:tc>
        <w:tc>
          <w:tcPr>
            <w:tcW w:w="1149" w:type="dxa"/>
            <w:tcBorders>
              <w:top w:val="nil"/>
            </w:tcBorders>
            <w:vAlign w:val="top"/>
          </w:tcPr>
          <w:p w14:paraId="0BECBCB8">
            <w:pPr>
              <w:pageBreakBefore w:val="0"/>
              <w:kinsoku/>
              <w:overflowPunct/>
              <w:topLinePunct w:val="0"/>
              <w:bidi w:val="0"/>
              <w:spacing w:line="400" w:lineRule="exact"/>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70.266</w:t>
            </w:r>
          </w:p>
        </w:tc>
      </w:tr>
    </w:tbl>
    <w:p w14:paraId="5AC185D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附表2为经济增长率与资产周转率的初步估计结果。列（2）为平衡面板数据。大学入学率缺失值相对较多，为尽可能保证样本量，列（5）未控制大学入学率，不过加入了出口增速（彭红枫和余静文，2023）、人口增长率、平均固定资本折旧率、城镇化率四个控制变量。可以看出，列（1）和列（2）的估计系数为正且高度显著，该结果与图5相对应，表明资产周转率和经济增长率正相关。控制国家固定效应后，估计系数有所增加，但依然高度显著，加入控制变量，且对控制变量进行调整，未引起估计结果的明显变化（见附表2的列（3）-（5））。</w:t>
      </w:r>
    </w:p>
    <w:p w14:paraId="4D38BB9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附表2  经济增长率与资产周转率的估计结果</w:t>
      </w:r>
    </w:p>
    <w:tbl>
      <w:tblPr>
        <w:tblStyle w:val="14"/>
        <w:tblW w:w="5000" w:type="pct"/>
        <w:jc w:val="center"/>
        <w:tblLayout w:type="fixed"/>
        <w:tblCellMar>
          <w:top w:w="0" w:type="dxa"/>
          <w:left w:w="108" w:type="dxa"/>
          <w:bottom w:w="0" w:type="dxa"/>
          <w:right w:w="108" w:type="dxa"/>
        </w:tblCellMar>
      </w:tblPr>
      <w:tblGrid>
        <w:gridCol w:w="1449"/>
        <w:gridCol w:w="1378"/>
        <w:gridCol w:w="1378"/>
        <w:gridCol w:w="1378"/>
        <w:gridCol w:w="1473"/>
        <w:gridCol w:w="1472"/>
      </w:tblGrid>
      <w:tr w14:paraId="03AFB1CB">
        <w:trPr>
          <w:jc w:val="center"/>
        </w:trPr>
        <w:tc>
          <w:tcPr>
            <w:tcW w:w="1412" w:type="dxa"/>
            <w:tcBorders>
              <w:top w:val="single" w:color="auto" w:sz="6" w:space="0"/>
              <w:left w:val="nil"/>
              <w:right w:val="nil"/>
            </w:tcBorders>
            <w:vAlign w:val="center"/>
          </w:tcPr>
          <w:p w14:paraId="1481369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mn-Mong-CN"/>
              </w:rPr>
            </w:pPr>
          </w:p>
        </w:tc>
        <w:tc>
          <w:tcPr>
            <w:tcW w:w="2686" w:type="dxa"/>
            <w:gridSpan w:val="2"/>
            <w:tcBorders>
              <w:top w:val="single" w:color="auto" w:sz="6" w:space="0"/>
              <w:left w:val="nil"/>
              <w:right w:val="nil"/>
            </w:tcBorders>
            <w:vAlign w:val="center"/>
          </w:tcPr>
          <w:p w14:paraId="3C183B8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OLS</w:t>
            </w:r>
          </w:p>
        </w:tc>
        <w:tc>
          <w:tcPr>
            <w:tcW w:w="4214" w:type="dxa"/>
            <w:gridSpan w:val="3"/>
            <w:tcBorders>
              <w:top w:val="single" w:color="auto" w:sz="6" w:space="0"/>
              <w:left w:val="nil"/>
              <w:right w:val="nil"/>
            </w:tcBorders>
            <w:vAlign w:val="center"/>
          </w:tcPr>
          <w:p w14:paraId="08B0DA3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FE</w:t>
            </w:r>
          </w:p>
        </w:tc>
      </w:tr>
      <w:tr w14:paraId="2DF07CA8">
        <w:trPr>
          <w:jc w:val="center"/>
        </w:trPr>
        <w:tc>
          <w:tcPr>
            <w:tcW w:w="1412" w:type="dxa"/>
            <w:tcBorders>
              <w:top w:val="single" w:color="auto" w:sz="6" w:space="0"/>
              <w:left w:val="nil"/>
              <w:right w:val="nil"/>
            </w:tcBorders>
            <w:vAlign w:val="center"/>
          </w:tcPr>
          <w:p w14:paraId="0644755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mn-Mong-CN"/>
              </w:rPr>
            </w:pPr>
          </w:p>
        </w:tc>
        <w:tc>
          <w:tcPr>
            <w:tcW w:w="1343" w:type="dxa"/>
            <w:tcBorders>
              <w:top w:val="single" w:color="auto" w:sz="6" w:space="0"/>
              <w:left w:val="nil"/>
              <w:right w:val="nil"/>
            </w:tcBorders>
            <w:vAlign w:val="center"/>
          </w:tcPr>
          <w:p w14:paraId="0B57489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w:t>
            </w:r>
          </w:p>
        </w:tc>
        <w:tc>
          <w:tcPr>
            <w:tcW w:w="1343" w:type="dxa"/>
            <w:tcBorders>
              <w:top w:val="single" w:color="auto" w:sz="6" w:space="0"/>
              <w:left w:val="nil"/>
              <w:right w:val="nil"/>
            </w:tcBorders>
            <w:vAlign w:val="center"/>
          </w:tcPr>
          <w:p w14:paraId="2E89114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w:t>
            </w:r>
          </w:p>
        </w:tc>
        <w:tc>
          <w:tcPr>
            <w:tcW w:w="1343" w:type="dxa"/>
            <w:tcBorders>
              <w:top w:val="single" w:color="auto" w:sz="6" w:space="0"/>
              <w:left w:val="nil"/>
              <w:right w:val="nil"/>
            </w:tcBorders>
            <w:vAlign w:val="center"/>
          </w:tcPr>
          <w:p w14:paraId="5B69197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w:t>
            </w:r>
          </w:p>
        </w:tc>
        <w:tc>
          <w:tcPr>
            <w:tcW w:w="1436" w:type="dxa"/>
            <w:tcBorders>
              <w:top w:val="single" w:color="auto" w:sz="6" w:space="0"/>
              <w:left w:val="nil"/>
              <w:right w:val="nil"/>
            </w:tcBorders>
            <w:vAlign w:val="center"/>
          </w:tcPr>
          <w:p w14:paraId="6A023B4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w:t>
            </w:r>
          </w:p>
        </w:tc>
        <w:tc>
          <w:tcPr>
            <w:tcW w:w="1435" w:type="dxa"/>
            <w:tcBorders>
              <w:top w:val="single" w:color="auto" w:sz="6" w:space="0"/>
              <w:left w:val="nil"/>
              <w:right w:val="nil"/>
            </w:tcBorders>
            <w:vAlign w:val="center"/>
          </w:tcPr>
          <w:p w14:paraId="72A7E45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(5)</w:t>
            </w:r>
          </w:p>
        </w:tc>
      </w:tr>
      <w:tr w14:paraId="54B6B442">
        <w:trPr>
          <w:jc w:val="center"/>
        </w:trPr>
        <w:tc>
          <w:tcPr>
            <w:tcW w:w="1412" w:type="dxa"/>
            <w:vMerge w:val="restart"/>
            <w:tcBorders>
              <w:top w:val="single" w:color="auto" w:sz="4" w:space="0"/>
              <w:left w:val="nil"/>
              <w:right w:val="nil"/>
            </w:tcBorders>
            <w:vAlign w:val="center"/>
          </w:tcPr>
          <w:p w14:paraId="7DEB0DC6">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cir</w:t>
            </w:r>
          </w:p>
        </w:tc>
        <w:tc>
          <w:tcPr>
            <w:tcW w:w="1343" w:type="dxa"/>
            <w:tcBorders>
              <w:top w:val="single" w:color="auto" w:sz="4" w:space="0"/>
              <w:left w:val="nil"/>
              <w:bottom w:val="nil"/>
              <w:right w:val="nil"/>
            </w:tcBorders>
            <w:vAlign w:val="center"/>
          </w:tcPr>
          <w:p w14:paraId="3D7C4F7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0.062***</w:t>
            </w:r>
          </w:p>
        </w:tc>
        <w:tc>
          <w:tcPr>
            <w:tcW w:w="1343" w:type="dxa"/>
            <w:tcBorders>
              <w:top w:val="single" w:color="auto" w:sz="4" w:space="0"/>
              <w:left w:val="nil"/>
              <w:bottom w:val="nil"/>
              <w:right w:val="nil"/>
            </w:tcBorders>
            <w:vAlign w:val="center"/>
          </w:tcPr>
          <w:p w14:paraId="6501E08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0.075***</w:t>
            </w:r>
          </w:p>
        </w:tc>
        <w:tc>
          <w:tcPr>
            <w:tcW w:w="1343" w:type="dxa"/>
            <w:tcBorders>
              <w:top w:val="single" w:color="auto" w:sz="4" w:space="0"/>
              <w:left w:val="nil"/>
              <w:bottom w:val="nil"/>
              <w:right w:val="nil"/>
            </w:tcBorders>
            <w:vAlign w:val="center"/>
          </w:tcPr>
          <w:p w14:paraId="141043E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0.090***</w:t>
            </w:r>
          </w:p>
        </w:tc>
        <w:tc>
          <w:tcPr>
            <w:tcW w:w="1436" w:type="dxa"/>
            <w:tcBorders>
              <w:top w:val="single" w:color="auto" w:sz="4" w:space="0"/>
              <w:left w:val="nil"/>
              <w:bottom w:val="nil"/>
              <w:right w:val="nil"/>
            </w:tcBorders>
            <w:vAlign w:val="center"/>
          </w:tcPr>
          <w:p w14:paraId="4F0A0E7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0.062***</w:t>
            </w:r>
          </w:p>
        </w:tc>
        <w:tc>
          <w:tcPr>
            <w:tcW w:w="1435" w:type="dxa"/>
            <w:tcBorders>
              <w:top w:val="single" w:color="auto" w:sz="4" w:space="0"/>
              <w:left w:val="nil"/>
              <w:bottom w:val="nil"/>
              <w:right w:val="nil"/>
            </w:tcBorders>
          </w:tcPr>
          <w:p w14:paraId="4FD90C3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0.044**</w:t>
            </w:r>
          </w:p>
        </w:tc>
      </w:tr>
      <w:tr w14:paraId="3F2B0BB9">
        <w:trPr>
          <w:jc w:val="center"/>
        </w:trPr>
        <w:tc>
          <w:tcPr>
            <w:tcW w:w="1412" w:type="dxa"/>
            <w:vMerge w:val="continue"/>
            <w:tcBorders>
              <w:left w:val="nil"/>
              <w:bottom w:val="nil"/>
              <w:right w:val="nil"/>
            </w:tcBorders>
            <w:vAlign w:val="center"/>
          </w:tcPr>
          <w:p w14:paraId="002E21BF">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04D140B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(0.006)</w:t>
            </w:r>
          </w:p>
        </w:tc>
        <w:tc>
          <w:tcPr>
            <w:tcW w:w="1343" w:type="dxa"/>
            <w:tcBorders>
              <w:top w:val="nil"/>
              <w:left w:val="nil"/>
              <w:bottom w:val="nil"/>
              <w:right w:val="nil"/>
            </w:tcBorders>
            <w:vAlign w:val="center"/>
          </w:tcPr>
          <w:p w14:paraId="6AACFD1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(0.009)</w:t>
            </w:r>
          </w:p>
        </w:tc>
        <w:tc>
          <w:tcPr>
            <w:tcW w:w="1343" w:type="dxa"/>
            <w:tcBorders>
              <w:top w:val="nil"/>
              <w:left w:val="nil"/>
              <w:bottom w:val="nil"/>
              <w:right w:val="nil"/>
            </w:tcBorders>
            <w:vAlign w:val="center"/>
          </w:tcPr>
          <w:p w14:paraId="0975EAD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(0.014)</w:t>
            </w:r>
          </w:p>
        </w:tc>
        <w:tc>
          <w:tcPr>
            <w:tcW w:w="1436" w:type="dxa"/>
            <w:tcBorders>
              <w:top w:val="nil"/>
              <w:left w:val="nil"/>
              <w:bottom w:val="nil"/>
              <w:right w:val="nil"/>
            </w:tcBorders>
            <w:vAlign w:val="center"/>
          </w:tcPr>
          <w:p w14:paraId="0BBF873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(0.023)</w:t>
            </w:r>
          </w:p>
        </w:tc>
        <w:tc>
          <w:tcPr>
            <w:tcW w:w="1435" w:type="dxa"/>
            <w:tcBorders>
              <w:top w:val="nil"/>
              <w:left w:val="nil"/>
              <w:bottom w:val="nil"/>
              <w:right w:val="nil"/>
            </w:tcBorders>
          </w:tcPr>
          <w:p w14:paraId="4DB1F5A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(0.019)</w:t>
            </w:r>
          </w:p>
        </w:tc>
      </w:tr>
      <w:tr w14:paraId="064C0C65">
        <w:trPr>
          <w:jc w:val="center"/>
        </w:trPr>
        <w:tc>
          <w:tcPr>
            <w:tcW w:w="1412" w:type="dxa"/>
            <w:vMerge w:val="restart"/>
            <w:tcBorders>
              <w:top w:val="nil"/>
              <w:left w:val="nil"/>
              <w:right w:val="nil"/>
            </w:tcBorders>
            <w:vAlign w:val="center"/>
          </w:tcPr>
          <w:p w14:paraId="716D872E">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con</w:t>
            </w:r>
          </w:p>
        </w:tc>
        <w:tc>
          <w:tcPr>
            <w:tcW w:w="1343" w:type="dxa"/>
            <w:tcBorders>
              <w:top w:val="nil"/>
              <w:left w:val="nil"/>
              <w:bottom w:val="nil"/>
              <w:right w:val="nil"/>
            </w:tcBorders>
            <w:vAlign w:val="center"/>
          </w:tcPr>
          <w:p w14:paraId="11E7DAC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06C11A3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3917E84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6537CBE1">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-0.257***</w:t>
            </w:r>
          </w:p>
        </w:tc>
        <w:tc>
          <w:tcPr>
            <w:tcW w:w="1435" w:type="dxa"/>
            <w:tcBorders>
              <w:top w:val="nil"/>
              <w:left w:val="nil"/>
              <w:bottom w:val="nil"/>
              <w:right w:val="nil"/>
            </w:tcBorders>
          </w:tcPr>
          <w:p w14:paraId="289564E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-0.251***</w:t>
            </w:r>
          </w:p>
        </w:tc>
      </w:tr>
      <w:tr w14:paraId="29BA94B7">
        <w:trPr>
          <w:jc w:val="center"/>
        </w:trPr>
        <w:tc>
          <w:tcPr>
            <w:tcW w:w="1412" w:type="dxa"/>
            <w:vMerge w:val="continue"/>
            <w:tcBorders>
              <w:left w:val="nil"/>
              <w:bottom w:val="nil"/>
              <w:right w:val="nil"/>
            </w:tcBorders>
            <w:vAlign w:val="center"/>
          </w:tcPr>
          <w:p w14:paraId="2E842D73">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1FD05571">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166AA08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139D11A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0BBB908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(0.040)</w:t>
            </w:r>
          </w:p>
        </w:tc>
        <w:tc>
          <w:tcPr>
            <w:tcW w:w="1435" w:type="dxa"/>
            <w:tcBorders>
              <w:top w:val="nil"/>
              <w:left w:val="nil"/>
              <w:bottom w:val="nil"/>
              <w:right w:val="nil"/>
            </w:tcBorders>
          </w:tcPr>
          <w:p w14:paraId="35A583B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(0.043)</w:t>
            </w:r>
          </w:p>
        </w:tc>
      </w:tr>
      <w:tr w14:paraId="1D3B18A6">
        <w:trPr>
          <w:jc w:val="center"/>
        </w:trPr>
        <w:tc>
          <w:tcPr>
            <w:tcW w:w="1412" w:type="dxa"/>
            <w:vMerge w:val="restart"/>
            <w:tcBorders>
              <w:top w:val="nil"/>
              <w:left w:val="nil"/>
              <w:right w:val="nil"/>
            </w:tcBorders>
            <w:vAlign w:val="center"/>
          </w:tcPr>
          <w:p w14:paraId="75E801C6">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inf</w:t>
            </w:r>
          </w:p>
        </w:tc>
        <w:tc>
          <w:tcPr>
            <w:tcW w:w="1343" w:type="dxa"/>
            <w:tcBorders>
              <w:top w:val="nil"/>
              <w:left w:val="nil"/>
              <w:bottom w:val="nil"/>
              <w:right w:val="nil"/>
            </w:tcBorders>
            <w:vAlign w:val="center"/>
          </w:tcPr>
          <w:p w14:paraId="60990C3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6A7609B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4D5FC81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6E8BD19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-0.015</w:t>
            </w:r>
          </w:p>
        </w:tc>
        <w:tc>
          <w:tcPr>
            <w:tcW w:w="1435" w:type="dxa"/>
            <w:tcBorders>
              <w:top w:val="nil"/>
              <w:left w:val="nil"/>
              <w:bottom w:val="nil"/>
              <w:right w:val="nil"/>
            </w:tcBorders>
          </w:tcPr>
          <w:p w14:paraId="04F3EF9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-0.064*</w:t>
            </w:r>
          </w:p>
        </w:tc>
      </w:tr>
      <w:tr w14:paraId="570E14D1">
        <w:trPr>
          <w:jc w:val="center"/>
        </w:trPr>
        <w:tc>
          <w:tcPr>
            <w:tcW w:w="1412" w:type="dxa"/>
            <w:vMerge w:val="continue"/>
            <w:tcBorders>
              <w:left w:val="nil"/>
              <w:bottom w:val="nil"/>
              <w:right w:val="nil"/>
            </w:tcBorders>
            <w:vAlign w:val="center"/>
          </w:tcPr>
          <w:p w14:paraId="7F2D52E5">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08D21D0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7FB1009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447099A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2EC2FAE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(0.040)</w:t>
            </w:r>
          </w:p>
        </w:tc>
        <w:tc>
          <w:tcPr>
            <w:tcW w:w="1435" w:type="dxa"/>
            <w:tcBorders>
              <w:top w:val="nil"/>
              <w:left w:val="nil"/>
              <w:bottom w:val="nil"/>
              <w:right w:val="nil"/>
            </w:tcBorders>
          </w:tcPr>
          <w:p w14:paraId="0921217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(0.034)</w:t>
            </w:r>
          </w:p>
        </w:tc>
      </w:tr>
      <w:tr w14:paraId="08C32B62">
        <w:trPr>
          <w:jc w:val="center"/>
        </w:trPr>
        <w:tc>
          <w:tcPr>
            <w:tcW w:w="1412" w:type="dxa"/>
            <w:vMerge w:val="restart"/>
            <w:tcBorders>
              <w:top w:val="nil"/>
              <w:left w:val="nil"/>
              <w:right w:val="nil"/>
            </w:tcBorders>
            <w:vAlign w:val="center"/>
          </w:tcPr>
          <w:p w14:paraId="52418B6A">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trg</w:t>
            </w:r>
          </w:p>
        </w:tc>
        <w:tc>
          <w:tcPr>
            <w:tcW w:w="1343" w:type="dxa"/>
            <w:tcBorders>
              <w:top w:val="nil"/>
              <w:left w:val="nil"/>
              <w:bottom w:val="nil"/>
              <w:right w:val="nil"/>
            </w:tcBorders>
            <w:vAlign w:val="center"/>
          </w:tcPr>
          <w:p w14:paraId="378E342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6573A36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2051254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640ED8D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0.016</w:t>
            </w:r>
          </w:p>
        </w:tc>
        <w:tc>
          <w:tcPr>
            <w:tcW w:w="1435" w:type="dxa"/>
            <w:tcBorders>
              <w:top w:val="nil"/>
              <w:left w:val="nil"/>
              <w:bottom w:val="nil"/>
              <w:right w:val="nil"/>
            </w:tcBorders>
          </w:tcPr>
          <w:p w14:paraId="28A2CDF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0.019**</w:t>
            </w:r>
          </w:p>
        </w:tc>
      </w:tr>
      <w:tr w14:paraId="0C42236F">
        <w:trPr>
          <w:jc w:val="center"/>
        </w:trPr>
        <w:tc>
          <w:tcPr>
            <w:tcW w:w="1412" w:type="dxa"/>
            <w:vMerge w:val="continue"/>
            <w:tcBorders>
              <w:left w:val="nil"/>
              <w:bottom w:val="nil"/>
              <w:right w:val="nil"/>
            </w:tcBorders>
            <w:vAlign w:val="center"/>
          </w:tcPr>
          <w:p w14:paraId="4264151C">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148AAA1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26AC02C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2FF4797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50E5BCC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(0.009)</w:t>
            </w:r>
          </w:p>
        </w:tc>
        <w:tc>
          <w:tcPr>
            <w:tcW w:w="1435" w:type="dxa"/>
            <w:tcBorders>
              <w:top w:val="nil"/>
              <w:left w:val="nil"/>
              <w:bottom w:val="nil"/>
              <w:right w:val="nil"/>
            </w:tcBorders>
          </w:tcPr>
          <w:p w14:paraId="1886F3C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(0.008)</w:t>
            </w:r>
          </w:p>
        </w:tc>
      </w:tr>
      <w:tr w14:paraId="41BEEE18">
        <w:trPr>
          <w:jc w:val="center"/>
        </w:trPr>
        <w:tc>
          <w:tcPr>
            <w:tcW w:w="1412" w:type="dxa"/>
            <w:vMerge w:val="restart"/>
            <w:tcBorders>
              <w:top w:val="nil"/>
              <w:left w:val="nil"/>
              <w:right w:val="nil"/>
            </w:tcBorders>
            <w:vAlign w:val="center"/>
          </w:tcPr>
          <w:p w14:paraId="60561783">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lnd</w:t>
            </w:r>
          </w:p>
        </w:tc>
        <w:tc>
          <w:tcPr>
            <w:tcW w:w="1343" w:type="dxa"/>
            <w:tcBorders>
              <w:top w:val="nil"/>
              <w:left w:val="nil"/>
              <w:bottom w:val="nil"/>
              <w:right w:val="nil"/>
            </w:tcBorders>
            <w:vAlign w:val="center"/>
          </w:tcPr>
          <w:p w14:paraId="61D0F3A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2820193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7273709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51B38AD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-19.907*</w:t>
            </w:r>
          </w:p>
        </w:tc>
        <w:tc>
          <w:tcPr>
            <w:tcW w:w="1435" w:type="dxa"/>
            <w:tcBorders>
              <w:top w:val="nil"/>
              <w:left w:val="nil"/>
              <w:bottom w:val="nil"/>
              <w:right w:val="nil"/>
            </w:tcBorders>
          </w:tcPr>
          <w:p w14:paraId="6FE1BA8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-13.760</w:t>
            </w:r>
          </w:p>
        </w:tc>
      </w:tr>
      <w:tr w14:paraId="4E8EEF72">
        <w:trPr>
          <w:jc w:val="center"/>
        </w:trPr>
        <w:tc>
          <w:tcPr>
            <w:tcW w:w="1412" w:type="dxa"/>
            <w:vMerge w:val="continue"/>
            <w:tcBorders>
              <w:left w:val="nil"/>
              <w:bottom w:val="nil"/>
              <w:right w:val="nil"/>
            </w:tcBorders>
            <w:vAlign w:val="center"/>
          </w:tcPr>
          <w:p w14:paraId="54C0E928">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07BD869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0CE1074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2FE1000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65CA6F6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(10.431)</w:t>
            </w:r>
          </w:p>
        </w:tc>
        <w:tc>
          <w:tcPr>
            <w:tcW w:w="1435" w:type="dxa"/>
            <w:tcBorders>
              <w:top w:val="nil"/>
              <w:left w:val="nil"/>
              <w:bottom w:val="nil"/>
              <w:right w:val="nil"/>
            </w:tcBorders>
          </w:tcPr>
          <w:p w14:paraId="22205CA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(9.461)</w:t>
            </w:r>
          </w:p>
        </w:tc>
      </w:tr>
      <w:tr w14:paraId="621FA9DF">
        <w:trPr>
          <w:jc w:val="center"/>
        </w:trPr>
        <w:tc>
          <w:tcPr>
            <w:tcW w:w="1412" w:type="dxa"/>
            <w:vMerge w:val="restart"/>
            <w:tcBorders>
              <w:top w:val="nil"/>
              <w:left w:val="nil"/>
              <w:right w:val="nil"/>
            </w:tcBorders>
            <w:vAlign w:val="center"/>
          </w:tcPr>
          <w:p w14:paraId="5C84C985">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ter</w:t>
            </w:r>
          </w:p>
        </w:tc>
        <w:tc>
          <w:tcPr>
            <w:tcW w:w="1343" w:type="dxa"/>
            <w:tcBorders>
              <w:top w:val="nil"/>
              <w:left w:val="nil"/>
              <w:bottom w:val="nil"/>
              <w:right w:val="nil"/>
            </w:tcBorders>
            <w:vAlign w:val="center"/>
          </w:tcPr>
          <w:p w14:paraId="6D33DCB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79A82E4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440532B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1676676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-0.027*</w:t>
            </w:r>
          </w:p>
        </w:tc>
        <w:tc>
          <w:tcPr>
            <w:tcW w:w="1435" w:type="dxa"/>
            <w:tcBorders>
              <w:top w:val="nil"/>
              <w:left w:val="nil"/>
              <w:bottom w:val="nil"/>
              <w:right w:val="nil"/>
            </w:tcBorders>
            <w:vAlign w:val="center"/>
          </w:tcPr>
          <w:p w14:paraId="576894C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r>
      <w:tr w14:paraId="1ECF6309">
        <w:trPr>
          <w:jc w:val="center"/>
        </w:trPr>
        <w:tc>
          <w:tcPr>
            <w:tcW w:w="1412" w:type="dxa"/>
            <w:vMerge w:val="continue"/>
            <w:tcBorders>
              <w:left w:val="nil"/>
              <w:bottom w:val="nil"/>
              <w:right w:val="nil"/>
            </w:tcBorders>
            <w:vAlign w:val="center"/>
          </w:tcPr>
          <w:p w14:paraId="73C4B038">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5BA936E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05AB03D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0CBE5DF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7E279BE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(0.014)</w:t>
            </w:r>
          </w:p>
        </w:tc>
        <w:tc>
          <w:tcPr>
            <w:tcW w:w="1435" w:type="dxa"/>
            <w:tcBorders>
              <w:top w:val="nil"/>
              <w:left w:val="nil"/>
              <w:bottom w:val="nil"/>
              <w:right w:val="nil"/>
            </w:tcBorders>
            <w:vAlign w:val="center"/>
          </w:tcPr>
          <w:p w14:paraId="5095D31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r>
      <w:tr w14:paraId="063BEE89">
        <w:trPr>
          <w:jc w:val="center"/>
        </w:trPr>
        <w:tc>
          <w:tcPr>
            <w:tcW w:w="1412" w:type="dxa"/>
            <w:vMerge w:val="restart"/>
            <w:tcBorders>
              <w:left w:val="nil"/>
              <w:right w:val="nil"/>
            </w:tcBorders>
            <w:vAlign w:val="center"/>
          </w:tcPr>
          <w:p w14:paraId="15170FA9">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goe</w:t>
            </w:r>
          </w:p>
        </w:tc>
        <w:tc>
          <w:tcPr>
            <w:tcW w:w="1343" w:type="dxa"/>
            <w:tcBorders>
              <w:top w:val="nil"/>
              <w:left w:val="nil"/>
              <w:bottom w:val="nil"/>
              <w:right w:val="nil"/>
            </w:tcBorders>
            <w:vAlign w:val="center"/>
          </w:tcPr>
          <w:p w14:paraId="30C0937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66E7457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5160569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77E5FA4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5" w:type="dxa"/>
            <w:tcBorders>
              <w:top w:val="nil"/>
              <w:left w:val="nil"/>
              <w:bottom w:val="nil"/>
              <w:right w:val="nil"/>
            </w:tcBorders>
            <w:vAlign w:val="center"/>
          </w:tcPr>
          <w:p w14:paraId="4CC03EF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0.063***</w:t>
            </w:r>
          </w:p>
        </w:tc>
      </w:tr>
      <w:tr w14:paraId="1B429655">
        <w:trPr>
          <w:jc w:val="center"/>
        </w:trPr>
        <w:tc>
          <w:tcPr>
            <w:tcW w:w="1412" w:type="dxa"/>
            <w:vMerge w:val="continue"/>
            <w:tcBorders>
              <w:left w:val="nil"/>
              <w:bottom w:val="nil"/>
              <w:right w:val="nil"/>
            </w:tcBorders>
            <w:vAlign w:val="center"/>
          </w:tcPr>
          <w:p w14:paraId="443AB3B8">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343" w:type="dxa"/>
            <w:tcBorders>
              <w:top w:val="nil"/>
              <w:left w:val="nil"/>
              <w:bottom w:val="nil"/>
              <w:right w:val="nil"/>
            </w:tcBorders>
            <w:vAlign w:val="center"/>
          </w:tcPr>
          <w:p w14:paraId="1B0D6B4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6CD9E0B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343" w:type="dxa"/>
            <w:tcBorders>
              <w:top w:val="nil"/>
              <w:left w:val="nil"/>
              <w:bottom w:val="nil"/>
              <w:right w:val="nil"/>
            </w:tcBorders>
            <w:vAlign w:val="center"/>
          </w:tcPr>
          <w:p w14:paraId="7D8F408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6" w:type="dxa"/>
            <w:tcBorders>
              <w:top w:val="nil"/>
              <w:left w:val="nil"/>
              <w:bottom w:val="nil"/>
              <w:right w:val="nil"/>
            </w:tcBorders>
            <w:vAlign w:val="center"/>
          </w:tcPr>
          <w:p w14:paraId="7BAB1F61">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435" w:type="dxa"/>
            <w:tcBorders>
              <w:top w:val="nil"/>
              <w:left w:val="nil"/>
              <w:bottom w:val="nil"/>
              <w:right w:val="nil"/>
            </w:tcBorders>
            <w:vAlign w:val="center"/>
          </w:tcPr>
          <w:p w14:paraId="6EDFD02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(0.008)</w:t>
            </w:r>
          </w:p>
        </w:tc>
      </w:tr>
      <w:tr w14:paraId="47DBFE76">
        <w:trPr>
          <w:jc w:val="center"/>
        </w:trPr>
        <w:tc>
          <w:tcPr>
            <w:tcW w:w="1412" w:type="dxa"/>
            <w:tcBorders>
              <w:top w:val="nil"/>
              <w:left w:val="nil"/>
              <w:right w:val="nil"/>
            </w:tcBorders>
            <w:vAlign w:val="center"/>
          </w:tcPr>
          <w:p w14:paraId="648E0D1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控制变量1</w:t>
            </w:r>
          </w:p>
        </w:tc>
        <w:tc>
          <w:tcPr>
            <w:tcW w:w="1343" w:type="dxa"/>
            <w:tcBorders>
              <w:top w:val="nil"/>
              <w:left w:val="nil"/>
              <w:bottom w:val="nil"/>
              <w:right w:val="nil"/>
            </w:tcBorders>
            <w:vAlign w:val="center"/>
          </w:tcPr>
          <w:p w14:paraId="389875B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未控制</w:t>
            </w:r>
          </w:p>
        </w:tc>
        <w:tc>
          <w:tcPr>
            <w:tcW w:w="1343" w:type="dxa"/>
            <w:tcBorders>
              <w:top w:val="nil"/>
              <w:left w:val="nil"/>
              <w:bottom w:val="nil"/>
              <w:right w:val="nil"/>
            </w:tcBorders>
            <w:vAlign w:val="center"/>
          </w:tcPr>
          <w:p w14:paraId="4BE8787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未控制</w:t>
            </w:r>
          </w:p>
        </w:tc>
        <w:tc>
          <w:tcPr>
            <w:tcW w:w="1343" w:type="dxa"/>
            <w:tcBorders>
              <w:top w:val="nil"/>
              <w:left w:val="nil"/>
              <w:bottom w:val="nil"/>
              <w:right w:val="nil"/>
            </w:tcBorders>
            <w:vAlign w:val="center"/>
          </w:tcPr>
          <w:p w14:paraId="30636E8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未控制</w:t>
            </w:r>
          </w:p>
        </w:tc>
        <w:tc>
          <w:tcPr>
            <w:tcW w:w="1436" w:type="dxa"/>
            <w:tcBorders>
              <w:top w:val="nil"/>
              <w:left w:val="nil"/>
              <w:bottom w:val="nil"/>
              <w:right w:val="nil"/>
            </w:tcBorders>
            <w:vAlign w:val="center"/>
          </w:tcPr>
          <w:p w14:paraId="7193714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未控制</w:t>
            </w:r>
          </w:p>
        </w:tc>
        <w:tc>
          <w:tcPr>
            <w:tcW w:w="1435" w:type="dxa"/>
            <w:tcBorders>
              <w:top w:val="nil"/>
              <w:left w:val="nil"/>
              <w:bottom w:val="nil"/>
              <w:right w:val="nil"/>
            </w:tcBorders>
            <w:vAlign w:val="center"/>
          </w:tcPr>
          <w:p w14:paraId="406D9AE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r>
      <w:tr w14:paraId="56F86E6F">
        <w:trPr>
          <w:jc w:val="center"/>
        </w:trPr>
        <w:tc>
          <w:tcPr>
            <w:tcW w:w="1412" w:type="dxa"/>
            <w:tcBorders>
              <w:top w:val="nil"/>
              <w:left w:val="nil"/>
              <w:bottom w:val="nil"/>
              <w:right w:val="nil"/>
            </w:tcBorders>
            <w:vAlign w:val="center"/>
          </w:tcPr>
          <w:p w14:paraId="5DBDC25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样本量</w:t>
            </w:r>
          </w:p>
        </w:tc>
        <w:tc>
          <w:tcPr>
            <w:tcW w:w="1343" w:type="dxa"/>
            <w:tcBorders>
              <w:top w:val="nil"/>
              <w:left w:val="nil"/>
              <w:bottom w:val="nil"/>
              <w:right w:val="nil"/>
            </w:tcBorders>
            <w:vAlign w:val="center"/>
          </w:tcPr>
          <w:p w14:paraId="53D57CC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1146</w:t>
            </w:r>
          </w:p>
        </w:tc>
        <w:tc>
          <w:tcPr>
            <w:tcW w:w="1343" w:type="dxa"/>
            <w:tcBorders>
              <w:top w:val="nil"/>
              <w:left w:val="nil"/>
              <w:bottom w:val="nil"/>
              <w:right w:val="nil"/>
            </w:tcBorders>
            <w:vAlign w:val="center"/>
          </w:tcPr>
          <w:p w14:paraId="40203A0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500</w:t>
            </w:r>
          </w:p>
        </w:tc>
        <w:tc>
          <w:tcPr>
            <w:tcW w:w="1343" w:type="dxa"/>
            <w:tcBorders>
              <w:top w:val="nil"/>
              <w:left w:val="nil"/>
              <w:bottom w:val="nil"/>
              <w:right w:val="nil"/>
            </w:tcBorders>
            <w:vAlign w:val="center"/>
          </w:tcPr>
          <w:p w14:paraId="2F5EFBA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1146</w:t>
            </w:r>
          </w:p>
        </w:tc>
        <w:tc>
          <w:tcPr>
            <w:tcW w:w="1436" w:type="dxa"/>
            <w:tcBorders>
              <w:top w:val="nil"/>
              <w:left w:val="nil"/>
              <w:bottom w:val="nil"/>
              <w:right w:val="nil"/>
            </w:tcBorders>
            <w:vAlign w:val="center"/>
          </w:tcPr>
          <w:p w14:paraId="69EA139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960</w:t>
            </w:r>
          </w:p>
        </w:tc>
        <w:tc>
          <w:tcPr>
            <w:tcW w:w="1435" w:type="dxa"/>
            <w:tcBorders>
              <w:top w:val="nil"/>
              <w:left w:val="nil"/>
              <w:bottom w:val="nil"/>
              <w:right w:val="nil"/>
            </w:tcBorders>
          </w:tcPr>
          <w:p w14:paraId="53FE1F0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1114</w:t>
            </w:r>
          </w:p>
        </w:tc>
      </w:tr>
      <w:tr w14:paraId="355F7D4E">
        <w:trPr>
          <w:jc w:val="center"/>
        </w:trPr>
        <w:tc>
          <w:tcPr>
            <w:tcW w:w="1412" w:type="dxa"/>
            <w:tcBorders>
              <w:top w:val="nil"/>
              <w:left w:val="nil"/>
              <w:bottom w:val="nil"/>
              <w:right w:val="nil"/>
            </w:tcBorders>
            <w:vAlign w:val="center"/>
          </w:tcPr>
          <w:p w14:paraId="13B188F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调整R</w:t>
            </w:r>
            <w:r>
              <w:rPr>
                <w:rFonts w:hint="default" w:ascii="Times New Roman" w:hAnsi="Times New Roman" w:eastAsia="宋体" w:cs="Times New Roman"/>
                <w:color w:val="auto"/>
                <w:sz w:val="24"/>
                <w:szCs w:val="24"/>
                <w:highlight w:val="none"/>
                <w:vertAlign w:val="superscript"/>
              </w:rPr>
              <w:t>2</w:t>
            </w:r>
          </w:p>
        </w:tc>
        <w:tc>
          <w:tcPr>
            <w:tcW w:w="1343" w:type="dxa"/>
            <w:tcBorders>
              <w:top w:val="nil"/>
              <w:left w:val="nil"/>
              <w:bottom w:val="nil"/>
              <w:right w:val="nil"/>
            </w:tcBorders>
            <w:vAlign w:val="center"/>
          </w:tcPr>
          <w:p w14:paraId="1CDF5F9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0.086</w:t>
            </w:r>
          </w:p>
        </w:tc>
        <w:tc>
          <w:tcPr>
            <w:tcW w:w="1343" w:type="dxa"/>
            <w:tcBorders>
              <w:top w:val="nil"/>
              <w:left w:val="nil"/>
              <w:bottom w:val="nil"/>
              <w:right w:val="nil"/>
            </w:tcBorders>
            <w:vAlign w:val="center"/>
          </w:tcPr>
          <w:p w14:paraId="4063F09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0.133</w:t>
            </w:r>
          </w:p>
        </w:tc>
        <w:tc>
          <w:tcPr>
            <w:tcW w:w="1343" w:type="dxa"/>
            <w:tcBorders>
              <w:top w:val="nil"/>
              <w:left w:val="nil"/>
              <w:bottom w:val="nil"/>
              <w:right w:val="nil"/>
            </w:tcBorders>
            <w:vAlign w:val="center"/>
          </w:tcPr>
          <w:p w14:paraId="5512840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0.061</w:t>
            </w:r>
          </w:p>
        </w:tc>
        <w:tc>
          <w:tcPr>
            <w:tcW w:w="1436" w:type="dxa"/>
            <w:tcBorders>
              <w:top w:val="nil"/>
              <w:left w:val="nil"/>
              <w:bottom w:val="nil"/>
              <w:right w:val="nil"/>
            </w:tcBorders>
            <w:vAlign w:val="center"/>
          </w:tcPr>
          <w:p w14:paraId="4261292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0.178</w:t>
            </w:r>
          </w:p>
        </w:tc>
        <w:tc>
          <w:tcPr>
            <w:tcW w:w="1435" w:type="dxa"/>
            <w:tcBorders>
              <w:top w:val="nil"/>
              <w:left w:val="nil"/>
              <w:bottom w:val="nil"/>
              <w:right w:val="nil"/>
            </w:tcBorders>
          </w:tcPr>
          <w:p w14:paraId="2474F17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0.288</w:t>
            </w:r>
          </w:p>
        </w:tc>
      </w:tr>
      <w:tr w14:paraId="5678E2A9">
        <w:trPr>
          <w:jc w:val="center"/>
        </w:trPr>
        <w:tc>
          <w:tcPr>
            <w:tcW w:w="1412" w:type="dxa"/>
            <w:tcBorders>
              <w:top w:val="nil"/>
              <w:left w:val="nil"/>
              <w:bottom w:val="single" w:color="auto" w:sz="4" w:space="0"/>
              <w:right w:val="nil"/>
            </w:tcBorders>
            <w:vAlign w:val="center"/>
          </w:tcPr>
          <w:p w14:paraId="2B56D97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F值</w:t>
            </w:r>
          </w:p>
        </w:tc>
        <w:tc>
          <w:tcPr>
            <w:tcW w:w="1343" w:type="dxa"/>
            <w:tcBorders>
              <w:top w:val="nil"/>
              <w:left w:val="nil"/>
              <w:bottom w:val="single" w:color="auto" w:sz="4" w:space="0"/>
              <w:right w:val="nil"/>
            </w:tcBorders>
            <w:vAlign w:val="center"/>
          </w:tcPr>
          <w:p w14:paraId="3DE1E361">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101.265</w:t>
            </w:r>
          </w:p>
        </w:tc>
        <w:tc>
          <w:tcPr>
            <w:tcW w:w="1343" w:type="dxa"/>
            <w:tcBorders>
              <w:top w:val="nil"/>
              <w:left w:val="nil"/>
              <w:bottom w:val="single" w:color="auto" w:sz="4" w:space="0"/>
              <w:right w:val="nil"/>
            </w:tcBorders>
            <w:vAlign w:val="center"/>
          </w:tcPr>
          <w:p w14:paraId="1DDCD3B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73.090</w:t>
            </w:r>
          </w:p>
        </w:tc>
        <w:tc>
          <w:tcPr>
            <w:tcW w:w="1343" w:type="dxa"/>
            <w:tcBorders>
              <w:top w:val="nil"/>
              <w:left w:val="nil"/>
              <w:bottom w:val="single" w:color="auto" w:sz="4" w:space="0"/>
              <w:right w:val="nil"/>
            </w:tcBorders>
            <w:vAlign w:val="center"/>
          </w:tcPr>
          <w:p w14:paraId="3BB2ADE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44.403</w:t>
            </w:r>
          </w:p>
        </w:tc>
        <w:tc>
          <w:tcPr>
            <w:tcW w:w="1436" w:type="dxa"/>
            <w:tcBorders>
              <w:top w:val="nil"/>
              <w:left w:val="nil"/>
              <w:bottom w:val="single" w:color="auto" w:sz="4" w:space="0"/>
              <w:right w:val="nil"/>
            </w:tcBorders>
            <w:vAlign w:val="center"/>
          </w:tcPr>
          <w:p w14:paraId="50C761D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21.616</w:t>
            </w:r>
          </w:p>
        </w:tc>
        <w:tc>
          <w:tcPr>
            <w:tcW w:w="1435" w:type="dxa"/>
            <w:tcBorders>
              <w:top w:val="nil"/>
              <w:left w:val="nil"/>
              <w:bottom w:val="single" w:color="auto" w:sz="4" w:space="0"/>
              <w:right w:val="nil"/>
            </w:tcBorders>
          </w:tcPr>
          <w:p w14:paraId="0C027CC2">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21.563</w:t>
            </w:r>
          </w:p>
        </w:tc>
      </w:tr>
    </w:tbl>
    <w:p w14:paraId="769C527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说明：括号内为稳健性标准误，*、**、***分别表示10%、5%、1%水平上显著，下表同，控制变量1包括人口增长率、平均固定资本折旧率、城镇化率。</w:t>
      </w:r>
    </w:p>
    <w:p w14:paraId="6614C711">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为了进一步检验估计结果的稳健性，我们对资产周转率进行替换，将利用GGDC的社会经济账户数据测算的资产周转率作为解释变量进行回归，结果如附表3列（1）所示，为保证平衡性，未控制大学入学率，可以看出，估计系数依然在1%的水平显著为正。和利用联合国数据库和佩恩表的数据测算的资产周转率作为解释变量得到的结果相比，估计系数变大，可能原因在于，附表3列（1）的平衡面板数据时间跨度为2001-2014年，41个经济体基本涵盖发达国家和主要的发展中国家，而附表2各列的面板数据时间跨度为2000-2019年，或者存在缺失值，或者仅涵盖主要的发达国家。前文指出进出口增速可作为经济循环的代理变量，我们用进出口增速作为解释变量进行估计，结果如附表3列（2）所示。可以看出，估计系数高度显著为正，该结果与附表2列（5）出口增速（</w:t>
      </w:r>
      <w:r>
        <w:rPr>
          <w:rFonts w:hint="default" w:ascii="Times New Roman" w:hAnsi="Times New Roman" w:eastAsia="宋体" w:cs="Times New Roman"/>
          <w:i/>
          <w:iCs/>
          <w:color w:val="auto"/>
          <w:sz w:val="24"/>
          <w:szCs w:val="24"/>
          <w:highlight w:val="none"/>
          <w:lang w:bidi="ar"/>
        </w:rPr>
        <w:t>goe</w:t>
      </w:r>
      <w:r>
        <w:rPr>
          <w:rFonts w:hint="default" w:ascii="Times New Roman" w:hAnsi="Times New Roman" w:eastAsia="宋体" w:cs="Times New Roman"/>
          <w:iCs/>
          <w:color w:val="auto"/>
          <w:sz w:val="24"/>
          <w:szCs w:val="24"/>
          <w:highlight w:val="none"/>
          <w:lang w:bidi="ar"/>
        </w:rPr>
        <w:t>）的估计结果，</w:t>
      </w:r>
      <w:r>
        <w:rPr>
          <w:rFonts w:hint="default" w:ascii="Times New Roman" w:hAnsi="Times New Roman" w:eastAsia="宋体" w:cs="Times New Roman"/>
          <w:color w:val="auto"/>
          <w:sz w:val="24"/>
          <w:szCs w:val="24"/>
          <w:highlight w:val="none"/>
          <w:lang w:bidi="ar"/>
        </w:rPr>
        <w:t>与附表2各列资产周转率的估计结果十分接近，表明经济循环速度与经济增长速度正相关。</w:t>
      </w:r>
    </w:p>
    <w:p w14:paraId="4625D29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rPr>
        <w:t>附表3  稳健性与内生性检验</w:t>
      </w:r>
    </w:p>
    <w:tbl>
      <w:tblPr>
        <w:tblStyle w:val="14"/>
        <w:tblW w:w="5000" w:type="pct"/>
        <w:jc w:val="center"/>
        <w:tblLayout w:type="fixed"/>
        <w:tblCellMar>
          <w:top w:w="0" w:type="dxa"/>
          <w:left w:w="108" w:type="dxa"/>
          <w:bottom w:w="0" w:type="dxa"/>
          <w:right w:w="108" w:type="dxa"/>
        </w:tblCellMar>
      </w:tblPr>
      <w:tblGrid>
        <w:gridCol w:w="1902"/>
        <w:gridCol w:w="1574"/>
        <w:gridCol w:w="1684"/>
        <w:gridCol w:w="1684"/>
        <w:gridCol w:w="1684"/>
      </w:tblGrid>
      <w:tr w14:paraId="2B4B5446">
        <w:trPr>
          <w:jc w:val="center"/>
        </w:trPr>
        <w:tc>
          <w:tcPr>
            <w:tcW w:w="1855" w:type="dxa"/>
            <w:tcBorders>
              <w:top w:val="single" w:color="auto" w:sz="6" w:space="0"/>
              <w:left w:val="nil"/>
              <w:right w:val="nil"/>
            </w:tcBorders>
            <w:vAlign w:val="center"/>
          </w:tcPr>
          <w:p w14:paraId="340C7E3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mn-Mong-CN"/>
              </w:rPr>
            </w:pPr>
          </w:p>
        </w:tc>
        <w:tc>
          <w:tcPr>
            <w:tcW w:w="4816" w:type="dxa"/>
            <w:gridSpan w:val="3"/>
            <w:tcBorders>
              <w:top w:val="single" w:color="auto" w:sz="6" w:space="0"/>
              <w:left w:val="nil"/>
              <w:right w:val="nil"/>
            </w:tcBorders>
            <w:vAlign w:val="center"/>
          </w:tcPr>
          <w:p w14:paraId="5E51CC0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FE</w:t>
            </w:r>
          </w:p>
        </w:tc>
        <w:tc>
          <w:tcPr>
            <w:tcW w:w="1641" w:type="dxa"/>
            <w:tcBorders>
              <w:top w:val="single" w:color="auto" w:sz="6" w:space="0"/>
              <w:left w:val="nil"/>
              <w:right w:val="nil"/>
            </w:tcBorders>
            <w:vAlign w:val="center"/>
          </w:tcPr>
          <w:p w14:paraId="030D2B8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IV</w:t>
            </w:r>
          </w:p>
        </w:tc>
      </w:tr>
      <w:tr w14:paraId="6C3DBA82">
        <w:trPr>
          <w:jc w:val="center"/>
        </w:trPr>
        <w:tc>
          <w:tcPr>
            <w:tcW w:w="1855" w:type="dxa"/>
            <w:tcBorders>
              <w:top w:val="single" w:color="auto" w:sz="6" w:space="0"/>
              <w:left w:val="nil"/>
              <w:right w:val="nil"/>
            </w:tcBorders>
            <w:vAlign w:val="center"/>
          </w:tcPr>
          <w:p w14:paraId="03ECDBC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lang w:bidi="mn-Mong-CN"/>
              </w:rPr>
            </w:pPr>
          </w:p>
        </w:tc>
        <w:tc>
          <w:tcPr>
            <w:tcW w:w="1534" w:type="dxa"/>
            <w:tcBorders>
              <w:top w:val="single" w:color="auto" w:sz="6" w:space="0"/>
              <w:left w:val="nil"/>
              <w:right w:val="nil"/>
            </w:tcBorders>
            <w:vAlign w:val="center"/>
          </w:tcPr>
          <w:p w14:paraId="30B8EDD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w:t>
            </w:r>
          </w:p>
        </w:tc>
        <w:tc>
          <w:tcPr>
            <w:tcW w:w="1641" w:type="dxa"/>
            <w:tcBorders>
              <w:top w:val="single" w:color="auto" w:sz="6" w:space="0"/>
              <w:left w:val="nil"/>
              <w:right w:val="nil"/>
            </w:tcBorders>
          </w:tcPr>
          <w:p w14:paraId="4189049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w:t>
            </w:r>
          </w:p>
        </w:tc>
        <w:tc>
          <w:tcPr>
            <w:tcW w:w="1641" w:type="dxa"/>
            <w:tcBorders>
              <w:top w:val="single" w:color="auto" w:sz="6" w:space="0"/>
              <w:left w:val="nil"/>
              <w:right w:val="nil"/>
            </w:tcBorders>
            <w:vAlign w:val="center"/>
          </w:tcPr>
          <w:p w14:paraId="408199C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w:t>
            </w:r>
          </w:p>
        </w:tc>
        <w:tc>
          <w:tcPr>
            <w:tcW w:w="1641" w:type="dxa"/>
            <w:tcBorders>
              <w:top w:val="single" w:color="auto" w:sz="6" w:space="0"/>
              <w:left w:val="nil"/>
              <w:right w:val="nil"/>
            </w:tcBorders>
            <w:vAlign w:val="center"/>
          </w:tcPr>
          <w:p w14:paraId="46F626D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w:t>
            </w:r>
          </w:p>
        </w:tc>
      </w:tr>
      <w:tr w14:paraId="5E85E0CC">
        <w:trPr>
          <w:jc w:val="center"/>
        </w:trPr>
        <w:tc>
          <w:tcPr>
            <w:tcW w:w="1855" w:type="dxa"/>
            <w:vMerge w:val="restart"/>
            <w:tcBorders>
              <w:top w:val="single" w:color="auto" w:sz="4" w:space="0"/>
              <w:left w:val="nil"/>
              <w:right w:val="nil"/>
            </w:tcBorders>
            <w:vAlign w:val="center"/>
          </w:tcPr>
          <w:p w14:paraId="1728FF58">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cir</w:t>
            </w:r>
          </w:p>
        </w:tc>
        <w:tc>
          <w:tcPr>
            <w:tcW w:w="1534" w:type="dxa"/>
            <w:tcBorders>
              <w:top w:val="single" w:color="auto" w:sz="4" w:space="0"/>
              <w:left w:val="nil"/>
              <w:bottom w:val="nil"/>
              <w:right w:val="nil"/>
            </w:tcBorders>
          </w:tcPr>
          <w:p w14:paraId="1AD89F0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0.126***</w:t>
            </w:r>
          </w:p>
        </w:tc>
        <w:tc>
          <w:tcPr>
            <w:tcW w:w="1641" w:type="dxa"/>
            <w:tcBorders>
              <w:top w:val="single" w:color="auto" w:sz="4" w:space="0"/>
              <w:left w:val="nil"/>
              <w:bottom w:val="nil"/>
              <w:right w:val="nil"/>
            </w:tcBorders>
          </w:tcPr>
          <w:p w14:paraId="03596AA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641" w:type="dxa"/>
            <w:tcBorders>
              <w:top w:val="single" w:color="auto" w:sz="4" w:space="0"/>
              <w:left w:val="nil"/>
              <w:bottom w:val="nil"/>
              <w:right w:val="nil"/>
            </w:tcBorders>
            <w:vAlign w:val="center"/>
          </w:tcPr>
          <w:p w14:paraId="185DF28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0.068***</w:t>
            </w:r>
          </w:p>
        </w:tc>
        <w:tc>
          <w:tcPr>
            <w:tcW w:w="1641" w:type="dxa"/>
            <w:tcBorders>
              <w:top w:val="single" w:color="auto" w:sz="4" w:space="0"/>
              <w:left w:val="nil"/>
              <w:bottom w:val="nil"/>
              <w:right w:val="nil"/>
            </w:tcBorders>
          </w:tcPr>
          <w:p w14:paraId="672DAE5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0.142***</w:t>
            </w:r>
          </w:p>
        </w:tc>
      </w:tr>
      <w:tr w14:paraId="728AAF9B">
        <w:trPr>
          <w:jc w:val="center"/>
        </w:trPr>
        <w:tc>
          <w:tcPr>
            <w:tcW w:w="1855" w:type="dxa"/>
            <w:vMerge w:val="continue"/>
            <w:tcBorders>
              <w:left w:val="nil"/>
              <w:bottom w:val="nil"/>
              <w:right w:val="nil"/>
            </w:tcBorders>
            <w:vAlign w:val="center"/>
          </w:tcPr>
          <w:p w14:paraId="510DDDDB">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534" w:type="dxa"/>
            <w:tcBorders>
              <w:top w:val="nil"/>
              <w:left w:val="nil"/>
              <w:bottom w:val="nil"/>
              <w:right w:val="nil"/>
            </w:tcBorders>
          </w:tcPr>
          <w:p w14:paraId="1C04FC0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(0.039)</w:t>
            </w:r>
          </w:p>
        </w:tc>
        <w:tc>
          <w:tcPr>
            <w:tcW w:w="1641" w:type="dxa"/>
            <w:tcBorders>
              <w:top w:val="nil"/>
              <w:left w:val="nil"/>
              <w:bottom w:val="nil"/>
              <w:right w:val="nil"/>
            </w:tcBorders>
          </w:tcPr>
          <w:p w14:paraId="0645F18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641" w:type="dxa"/>
            <w:tcBorders>
              <w:top w:val="nil"/>
              <w:left w:val="nil"/>
              <w:bottom w:val="nil"/>
              <w:right w:val="nil"/>
            </w:tcBorders>
            <w:vAlign w:val="center"/>
          </w:tcPr>
          <w:p w14:paraId="444FEFC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(0.021)</w:t>
            </w:r>
          </w:p>
        </w:tc>
        <w:tc>
          <w:tcPr>
            <w:tcW w:w="1641" w:type="dxa"/>
            <w:tcBorders>
              <w:top w:val="nil"/>
              <w:left w:val="nil"/>
              <w:bottom w:val="nil"/>
              <w:right w:val="nil"/>
            </w:tcBorders>
          </w:tcPr>
          <w:p w14:paraId="49AFA64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(0.036)</w:t>
            </w:r>
          </w:p>
        </w:tc>
      </w:tr>
      <w:tr w14:paraId="33ADD14D">
        <w:trPr>
          <w:jc w:val="center"/>
        </w:trPr>
        <w:tc>
          <w:tcPr>
            <w:tcW w:w="1855" w:type="dxa"/>
            <w:vMerge w:val="restart"/>
            <w:tcBorders>
              <w:top w:val="nil"/>
              <w:left w:val="nil"/>
              <w:right w:val="nil"/>
            </w:tcBorders>
            <w:vAlign w:val="center"/>
          </w:tcPr>
          <w:p w14:paraId="4D7FC7E4">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r>
              <w:rPr>
                <w:rFonts w:hint="default" w:ascii="Times New Roman" w:hAnsi="Times New Roman" w:eastAsia="宋体" w:cs="Times New Roman"/>
                <w:i/>
                <w:iCs/>
                <w:color w:val="auto"/>
                <w:sz w:val="24"/>
                <w:szCs w:val="24"/>
                <w:highlight w:val="none"/>
              </w:rPr>
              <w:t>goe</w:t>
            </w:r>
          </w:p>
        </w:tc>
        <w:tc>
          <w:tcPr>
            <w:tcW w:w="1534" w:type="dxa"/>
            <w:tcBorders>
              <w:top w:val="nil"/>
              <w:left w:val="nil"/>
              <w:bottom w:val="nil"/>
              <w:right w:val="nil"/>
            </w:tcBorders>
          </w:tcPr>
          <w:p w14:paraId="3A2455F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641" w:type="dxa"/>
            <w:tcBorders>
              <w:top w:val="nil"/>
              <w:left w:val="nil"/>
              <w:bottom w:val="nil"/>
              <w:right w:val="nil"/>
            </w:tcBorders>
          </w:tcPr>
          <w:p w14:paraId="1F0299E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0.086***</w:t>
            </w:r>
          </w:p>
        </w:tc>
        <w:tc>
          <w:tcPr>
            <w:tcW w:w="1641" w:type="dxa"/>
            <w:tcBorders>
              <w:top w:val="nil"/>
              <w:left w:val="nil"/>
              <w:bottom w:val="nil"/>
              <w:right w:val="nil"/>
            </w:tcBorders>
            <w:vAlign w:val="center"/>
          </w:tcPr>
          <w:p w14:paraId="41D817F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641" w:type="dxa"/>
            <w:tcBorders>
              <w:top w:val="nil"/>
              <w:left w:val="nil"/>
              <w:bottom w:val="nil"/>
              <w:right w:val="nil"/>
            </w:tcBorders>
          </w:tcPr>
          <w:p w14:paraId="1A1BB2F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r>
      <w:tr w14:paraId="14887D7E">
        <w:trPr>
          <w:jc w:val="center"/>
        </w:trPr>
        <w:tc>
          <w:tcPr>
            <w:tcW w:w="1855" w:type="dxa"/>
            <w:vMerge w:val="continue"/>
            <w:tcBorders>
              <w:left w:val="nil"/>
              <w:bottom w:val="nil"/>
              <w:right w:val="nil"/>
            </w:tcBorders>
            <w:vAlign w:val="center"/>
          </w:tcPr>
          <w:p w14:paraId="2E433E75">
            <w:pPr>
              <w:pageBreakBefore w:val="0"/>
              <w:kinsoku/>
              <w:overflowPunct/>
              <w:topLinePunct w:val="0"/>
              <w:bidi w:val="0"/>
              <w:spacing w:line="400" w:lineRule="exact"/>
              <w:ind w:firstLine="480" w:firstLineChars="200"/>
              <w:jc w:val="center"/>
              <w:rPr>
                <w:rFonts w:hint="default" w:ascii="Times New Roman" w:hAnsi="Times New Roman" w:eastAsia="宋体" w:cs="Times New Roman"/>
                <w:i/>
                <w:iCs/>
                <w:color w:val="auto"/>
                <w:sz w:val="24"/>
                <w:szCs w:val="24"/>
                <w:highlight w:val="none"/>
              </w:rPr>
            </w:pPr>
          </w:p>
        </w:tc>
        <w:tc>
          <w:tcPr>
            <w:tcW w:w="1534" w:type="dxa"/>
            <w:tcBorders>
              <w:top w:val="nil"/>
              <w:left w:val="nil"/>
              <w:bottom w:val="nil"/>
              <w:right w:val="nil"/>
            </w:tcBorders>
          </w:tcPr>
          <w:p w14:paraId="64BFCCEB">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641" w:type="dxa"/>
            <w:tcBorders>
              <w:top w:val="nil"/>
              <w:left w:val="nil"/>
              <w:bottom w:val="nil"/>
              <w:right w:val="nil"/>
            </w:tcBorders>
          </w:tcPr>
          <w:p w14:paraId="2D2538FA">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(0.008)</w:t>
            </w:r>
          </w:p>
        </w:tc>
        <w:tc>
          <w:tcPr>
            <w:tcW w:w="1641" w:type="dxa"/>
            <w:tcBorders>
              <w:top w:val="nil"/>
              <w:left w:val="nil"/>
              <w:bottom w:val="nil"/>
              <w:right w:val="nil"/>
            </w:tcBorders>
            <w:vAlign w:val="center"/>
          </w:tcPr>
          <w:p w14:paraId="08078DF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c>
          <w:tcPr>
            <w:tcW w:w="1641" w:type="dxa"/>
            <w:tcBorders>
              <w:top w:val="nil"/>
              <w:left w:val="nil"/>
              <w:bottom w:val="nil"/>
              <w:right w:val="nil"/>
            </w:tcBorders>
          </w:tcPr>
          <w:p w14:paraId="24DEDB1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p>
        </w:tc>
      </w:tr>
      <w:tr w14:paraId="29BBDEAF">
        <w:trPr>
          <w:jc w:val="center"/>
        </w:trPr>
        <w:tc>
          <w:tcPr>
            <w:tcW w:w="1855" w:type="dxa"/>
            <w:tcBorders>
              <w:top w:val="nil"/>
              <w:left w:val="nil"/>
              <w:right w:val="nil"/>
            </w:tcBorders>
            <w:vAlign w:val="center"/>
          </w:tcPr>
          <w:p w14:paraId="534306B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控制变量2</w:t>
            </w:r>
          </w:p>
        </w:tc>
        <w:tc>
          <w:tcPr>
            <w:tcW w:w="1534" w:type="dxa"/>
            <w:tcBorders>
              <w:top w:val="nil"/>
              <w:left w:val="nil"/>
              <w:bottom w:val="nil"/>
              <w:right w:val="nil"/>
            </w:tcBorders>
            <w:vAlign w:val="center"/>
          </w:tcPr>
          <w:p w14:paraId="4D65804F">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c>
          <w:tcPr>
            <w:tcW w:w="1641" w:type="dxa"/>
            <w:tcBorders>
              <w:top w:val="nil"/>
              <w:left w:val="nil"/>
              <w:bottom w:val="nil"/>
              <w:right w:val="nil"/>
            </w:tcBorders>
            <w:vAlign w:val="center"/>
          </w:tcPr>
          <w:p w14:paraId="49F82AC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c>
          <w:tcPr>
            <w:tcW w:w="1641" w:type="dxa"/>
            <w:tcBorders>
              <w:top w:val="nil"/>
              <w:left w:val="nil"/>
              <w:bottom w:val="nil"/>
              <w:right w:val="nil"/>
            </w:tcBorders>
            <w:vAlign w:val="center"/>
          </w:tcPr>
          <w:p w14:paraId="508D99C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c>
          <w:tcPr>
            <w:tcW w:w="1641" w:type="dxa"/>
            <w:tcBorders>
              <w:top w:val="nil"/>
              <w:left w:val="nil"/>
              <w:bottom w:val="nil"/>
              <w:right w:val="nil"/>
            </w:tcBorders>
          </w:tcPr>
          <w:p w14:paraId="6350B1A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r>
      <w:tr w14:paraId="17717774">
        <w:trPr>
          <w:jc w:val="center"/>
        </w:trPr>
        <w:tc>
          <w:tcPr>
            <w:tcW w:w="1855" w:type="dxa"/>
            <w:tcBorders>
              <w:top w:val="nil"/>
              <w:left w:val="nil"/>
              <w:right w:val="nil"/>
            </w:tcBorders>
            <w:vAlign w:val="center"/>
          </w:tcPr>
          <w:p w14:paraId="275AADF3">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控制变量3</w:t>
            </w:r>
          </w:p>
        </w:tc>
        <w:tc>
          <w:tcPr>
            <w:tcW w:w="1534" w:type="dxa"/>
            <w:tcBorders>
              <w:top w:val="nil"/>
              <w:left w:val="nil"/>
              <w:bottom w:val="nil"/>
              <w:right w:val="nil"/>
            </w:tcBorders>
            <w:vAlign w:val="center"/>
          </w:tcPr>
          <w:p w14:paraId="5CD01CF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未控制</w:t>
            </w:r>
          </w:p>
        </w:tc>
        <w:tc>
          <w:tcPr>
            <w:tcW w:w="1641" w:type="dxa"/>
            <w:tcBorders>
              <w:top w:val="nil"/>
              <w:left w:val="nil"/>
              <w:bottom w:val="nil"/>
              <w:right w:val="nil"/>
            </w:tcBorders>
            <w:vAlign w:val="center"/>
          </w:tcPr>
          <w:p w14:paraId="36F419D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c>
          <w:tcPr>
            <w:tcW w:w="1641" w:type="dxa"/>
            <w:tcBorders>
              <w:top w:val="nil"/>
              <w:left w:val="nil"/>
              <w:bottom w:val="nil"/>
              <w:right w:val="nil"/>
            </w:tcBorders>
            <w:vAlign w:val="center"/>
          </w:tcPr>
          <w:p w14:paraId="4D8FBBA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c>
          <w:tcPr>
            <w:tcW w:w="1641" w:type="dxa"/>
            <w:tcBorders>
              <w:top w:val="nil"/>
              <w:left w:val="nil"/>
              <w:bottom w:val="nil"/>
              <w:right w:val="nil"/>
            </w:tcBorders>
          </w:tcPr>
          <w:p w14:paraId="1E1E9CC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控制</w:t>
            </w:r>
          </w:p>
        </w:tc>
      </w:tr>
      <w:tr w14:paraId="6A5E1425">
        <w:trPr>
          <w:jc w:val="center"/>
        </w:trPr>
        <w:tc>
          <w:tcPr>
            <w:tcW w:w="1855" w:type="dxa"/>
            <w:tcBorders>
              <w:top w:val="nil"/>
              <w:left w:val="nil"/>
              <w:bottom w:val="nil"/>
              <w:right w:val="nil"/>
            </w:tcBorders>
            <w:vAlign w:val="center"/>
          </w:tcPr>
          <w:p w14:paraId="77006BF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样本量</w:t>
            </w:r>
          </w:p>
        </w:tc>
        <w:tc>
          <w:tcPr>
            <w:tcW w:w="1534" w:type="dxa"/>
            <w:tcBorders>
              <w:top w:val="nil"/>
              <w:left w:val="nil"/>
              <w:bottom w:val="nil"/>
              <w:right w:val="nil"/>
            </w:tcBorders>
            <w:vAlign w:val="center"/>
          </w:tcPr>
          <w:p w14:paraId="663ABFDD">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574</w:t>
            </w:r>
          </w:p>
        </w:tc>
        <w:tc>
          <w:tcPr>
            <w:tcW w:w="1641" w:type="dxa"/>
            <w:tcBorders>
              <w:top w:val="nil"/>
              <w:left w:val="nil"/>
              <w:bottom w:val="nil"/>
              <w:right w:val="nil"/>
            </w:tcBorders>
          </w:tcPr>
          <w:p w14:paraId="76DF791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1007</w:t>
            </w:r>
          </w:p>
        </w:tc>
        <w:tc>
          <w:tcPr>
            <w:tcW w:w="1641" w:type="dxa"/>
            <w:tcBorders>
              <w:top w:val="nil"/>
              <w:left w:val="nil"/>
              <w:bottom w:val="nil"/>
              <w:right w:val="nil"/>
            </w:tcBorders>
            <w:vAlign w:val="center"/>
          </w:tcPr>
          <w:p w14:paraId="7635789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931</w:t>
            </w:r>
          </w:p>
        </w:tc>
        <w:tc>
          <w:tcPr>
            <w:tcW w:w="1641" w:type="dxa"/>
            <w:tcBorders>
              <w:top w:val="nil"/>
              <w:left w:val="nil"/>
              <w:bottom w:val="nil"/>
              <w:right w:val="nil"/>
            </w:tcBorders>
          </w:tcPr>
          <w:p w14:paraId="7C5F2D6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960</w:t>
            </w:r>
          </w:p>
        </w:tc>
      </w:tr>
      <w:tr w14:paraId="1AB2AE60">
        <w:trPr>
          <w:jc w:val="center"/>
        </w:trPr>
        <w:tc>
          <w:tcPr>
            <w:tcW w:w="1855" w:type="dxa"/>
            <w:tcBorders>
              <w:top w:val="nil"/>
              <w:left w:val="nil"/>
              <w:bottom w:val="nil"/>
              <w:right w:val="nil"/>
            </w:tcBorders>
            <w:vAlign w:val="center"/>
          </w:tcPr>
          <w:p w14:paraId="3637CB26">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调整R</w:t>
            </w:r>
            <w:r>
              <w:rPr>
                <w:rFonts w:hint="default" w:ascii="Times New Roman" w:hAnsi="Times New Roman" w:eastAsia="宋体" w:cs="Times New Roman"/>
                <w:color w:val="auto"/>
                <w:sz w:val="24"/>
                <w:szCs w:val="24"/>
                <w:highlight w:val="none"/>
                <w:vertAlign w:val="superscript"/>
              </w:rPr>
              <w:t>2</w:t>
            </w:r>
          </w:p>
        </w:tc>
        <w:tc>
          <w:tcPr>
            <w:tcW w:w="1534" w:type="dxa"/>
            <w:tcBorders>
              <w:top w:val="nil"/>
              <w:left w:val="nil"/>
              <w:bottom w:val="nil"/>
              <w:right w:val="nil"/>
            </w:tcBorders>
          </w:tcPr>
          <w:p w14:paraId="15794660">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0.307</w:t>
            </w:r>
          </w:p>
        </w:tc>
        <w:tc>
          <w:tcPr>
            <w:tcW w:w="1641" w:type="dxa"/>
            <w:tcBorders>
              <w:top w:val="nil"/>
              <w:left w:val="nil"/>
              <w:bottom w:val="nil"/>
              <w:right w:val="nil"/>
            </w:tcBorders>
          </w:tcPr>
          <w:p w14:paraId="688D94FC">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0.333</w:t>
            </w:r>
          </w:p>
        </w:tc>
        <w:tc>
          <w:tcPr>
            <w:tcW w:w="1641" w:type="dxa"/>
            <w:tcBorders>
              <w:top w:val="nil"/>
              <w:left w:val="nil"/>
              <w:bottom w:val="nil"/>
              <w:right w:val="nil"/>
            </w:tcBorders>
            <w:vAlign w:val="center"/>
          </w:tcPr>
          <w:p w14:paraId="1A9965A9">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0.183</w:t>
            </w:r>
          </w:p>
        </w:tc>
        <w:tc>
          <w:tcPr>
            <w:tcW w:w="1641" w:type="dxa"/>
            <w:tcBorders>
              <w:top w:val="nil"/>
              <w:left w:val="nil"/>
              <w:bottom w:val="nil"/>
              <w:right w:val="nil"/>
            </w:tcBorders>
          </w:tcPr>
          <w:p w14:paraId="09DDBD4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0.071</w:t>
            </w:r>
          </w:p>
        </w:tc>
      </w:tr>
      <w:tr w14:paraId="57C6B629">
        <w:trPr>
          <w:jc w:val="center"/>
        </w:trPr>
        <w:tc>
          <w:tcPr>
            <w:tcW w:w="1855" w:type="dxa"/>
            <w:tcBorders>
              <w:top w:val="nil"/>
              <w:left w:val="nil"/>
              <w:bottom w:val="single" w:color="auto" w:sz="4" w:space="0"/>
              <w:right w:val="nil"/>
            </w:tcBorders>
            <w:vAlign w:val="center"/>
          </w:tcPr>
          <w:p w14:paraId="53D85617">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F值</w:t>
            </w:r>
          </w:p>
        </w:tc>
        <w:tc>
          <w:tcPr>
            <w:tcW w:w="1534" w:type="dxa"/>
            <w:tcBorders>
              <w:top w:val="nil"/>
              <w:left w:val="nil"/>
              <w:bottom w:val="single" w:color="auto" w:sz="4" w:space="0"/>
              <w:right w:val="nil"/>
            </w:tcBorders>
          </w:tcPr>
          <w:p w14:paraId="2D6B998E">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14.049</w:t>
            </w:r>
          </w:p>
        </w:tc>
        <w:tc>
          <w:tcPr>
            <w:tcW w:w="1641" w:type="dxa"/>
            <w:tcBorders>
              <w:top w:val="nil"/>
              <w:left w:val="nil"/>
              <w:bottom w:val="single" w:color="auto" w:sz="4" w:space="0"/>
              <w:right w:val="nil"/>
            </w:tcBorders>
          </w:tcPr>
          <w:p w14:paraId="13EEB754">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35.853</w:t>
            </w:r>
          </w:p>
        </w:tc>
        <w:tc>
          <w:tcPr>
            <w:tcW w:w="1641" w:type="dxa"/>
            <w:tcBorders>
              <w:top w:val="nil"/>
              <w:left w:val="nil"/>
              <w:bottom w:val="single" w:color="auto" w:sz="4" w:space="0"/>
              <w:right w:val="nil"/>
            </w:tcBorders>
            <w:vAlign w:val="center"/>
          </w:tcPr>
          <w:p w14:paraId="47FBC3B8">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15.274</w:t>
            </w:r>
          </w:p>
        </w:tc>
        <w:tc>
          <w:tcPr>
            <w:tcW w:w="1641" w:type="dxa"/>
            <w:tcBorders>
              <w:top w:val="nil"/>
              <w:left w:val="nil"/>
              <w:bottom w:val="single" w:color="auto" w:sz="4" w:space="0"/>
              <w:right w:val="nil"/>
            </w:tcBorders>
          </w:tcPr>
          <w:p w14:paraId="20903825">
            <w:pPr>
              <w:pageBreakBefore w:val="0"/>
              <w:kinsoku/>
              <w:overflowPunct/>
              <w:topLinePunct w:val="0"/>
              <w:bidi w:val="0"/>
              <w:spacing w:line="400" w:lineRule="exact"/>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29.169</w:t>
            </w:r>
          </w:p>
        </w:tc>
      </w:tr>
    </w:tbl>
    <w:p w14:paraId="7D47311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说明：控制变量2包括最终消费支出占GDP比、通货膨胀率、贸易依存度、预期寿命对数值，控制变量3为大学入学率，列（3）的被解释变量为滞后一期的经济增长率。</w:t>
      </w:r>
    </w:p>
    <w:p w14:paraId="2F3406CB">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lang w:bidi="ar"/>
        </w:rPr>
      </w:pPr>
      <w:r>
        <w:rPr>
          <w:rFonts w:hint="default" w:ascii="Times New Roman" w:hAnsi="Times New Roman" w:eastAsia="宋体" w:cs="Times New Roman"/>
          <w:color w:val="auto"/>
          <w:sz w:val="24"/>
          <w:szCs w:val="24"/>
          <w:highlight w:val="none"/>
          <w:lang w:bidi="ar"/>
        </w:rPr>
        <w:t>控制国家固定效应、加入更多控制变量可以有效缓解可能存在的内生性问题。为进一步解决内生问题，我们采用两种方法，第一，将滞后一期的经济增长率作为被解释变量，估计结果如附表3列（3）所示。第二，工具变量法。工具变量为通电率。经济循环速度取决于生产时间和流通时间，在其他因素相同的情况下，通电率高的国家或地区，生产时间和流通时间短，相反，通电率低或者断电频率高的国家或地区，生产时间和流通时间长，在电气时代和数字经济时代影响更为明显。通电率不会直接影响经济增长。工具变量法的估计结果如附表3列（4）所示。</w:t>
      </w:r>
      <w:r>
        <w:rPr>
          <w:rFonts w:hint="default" w:ascii="Times New Roman" w:hAnsi="Times New Roman" w:eastAsia="宋体" w:cs="Times New Roman"/>
          <w:color w:val="auto"/>
          <w:sz w:val="24"/>
          <w:szCs w:val="24"/>
          <w:highlight w:val="none"/>
        </w:rPr>
        <w:t>第一阶段回归的通电率和资产周转率的回归系数为1.017，稳健性标准误为0.150，在1%水平上显著。</w:t>
      </w:r>
      <w:r>
        <w:rPr>
          <w:rFonts w:hint="default" w:ascii="Times New Roman" w:hAnsi="Times New Roman" w:eastAsia="宋体" w:cs="Times New Roman"/>
          <w:color w:val="auto"/>
          <w:sz w:val="24"/>
          <w:szCs w:val="24"/>
          <w:highlight w:val="none"/>
          <w:lang w:bidi="ar"/>
        </w:rPr>
        <w:t>为保证工具变量的合理性，本文做如下检验：第一，Craggy Donald F统计值为80.97，远大于10%的可容忍临界值16.38，</w:t>
      </w:r>
      <w:r>
        <w:rPr>
          <w:rFonts w:hint="default" w:ascii="Times New Roman" w:hAnsi="Times New Roman" w:eastAsia="宋体" w:cs="Times New Roman"/>
          <w:color w:val="auto"/>
          <w:sz w:val="24"/>
          <w:szCs w:val="24"/>
          <w:highlight w:val="none"/>
        </w:rPr>
        <w:t>拒绝模型弱识别原假设；第二，Anderson Rubin Wald检验在1%水平上拒绝了内生回归元的系数等于零的原假设。列（3）和列（4）的回归系数依然为正且高度显著，这进一步表明经济循环速度和经济增长速度存在稳健的正向关系。</w:t>
      </w:r>
    </w:p>
    <w:p w14:paraId="77C2D817">
      <w:pPr>
        <w:pStyle w:val="4"/>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sectPr>
          <w:footerReference r:id="rId14" w:type="default"/>
          <w:footnotePr>
            <w:numFmt w:val="decimalEnclosedCircleChinese"/>
            <w:numRestart w:val="eachPage"/>
          </w:footnotePr>
          <w:type w:val="continuous"/>
          <w:pgSz w:w="11906" w:h="16838"/>
          <w:pgMar w:top="1440" w:right="1797" w:bottom="1440" w:left="1797" w:header="851" w:footer="992" w:gutter="0"/>
          <w:pgNumType w:fmt="decimal"/>
          <w:cols w:space="425" w:num="1"/>
          <w:docGrid w:type="lines" w:linePitch="326" w:charSpace="0"/>
        </w:sectPr>
      </w:pPr>
      <w:bookmarkStart w:id="542" w:name="_Toc40031144"/>
    </w:p>
    <w:p w14:paraId="5712A22A">
      <w:pPr>
        <w:bidi w:val="0"/>
        <w:rPr>
          <w:rFonts w:hint="default"/>
        </w:rPr>
      </w:pPr>
      <w:r>
        <w:rPr>
          <w:rFonts w:hint="default"/>
        </w:rPr>
        <w:t>参考文献</w:t>
      </w:r>
      <w:bookmarkEnd w:id="542"/>
    </w:p>
    <w:p w14:paraId="7D515F0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白暴力，2006：《价值价格通论》，北京：经济科学出版社。</w:t>
      </w:r>
    </w:p>
    <w:p w14:paraId="35B7DDF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曹曼丽，1984：《哈罗德—多马的经济增长模型与马克思关于扩大再生产实现条件的比较》，《财经研究》第6期。</w:t>
      </w:r>
    </w:p>
    <w:p w14:paraId="69CB5D1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程恩富、陈健，2024：《评析美西方炒作的“中国产能过剩论”》，《政治经济学研究》第2期。</w:t>
      </w:r>
    </w:p>
    <w:p w14:paraId="39C02290">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43" w:name="_Hlk84279029"/>
      <w:r>
        <w:rPr>
          <w:rFonts w:hint="default" w:ascii="Times New Roman" w:hAnsi="Times New Roman" w:eastAsia="宋体" w:cs="Times New Roman"/>
          <w:color w:val="auto"/>
          <w:sz w:val="24"/>
          <w:szCs w:val="24"/>
          <w:highlight w:val="none"/>
        </w:rPr>
        <w:t>程恩富、张峰，2021：《“双循环”新发展格局的政治经济学分析》，《求索》第1期。</w:t>
      </w:r>
    </w:p>
    <w:p w14:paraId="1AFABFE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丁堡骏，1999：《转形问题研究》，《中国社会科学》第5期。</w:t>
      </w:r>
    </w:p>
    <w:p w14:paraId="20A12011">
      <w:pPr>
        <w:pageBreakBefore w:val="0"/>
        <w:kinsoku/>
        <w:overflowPunct/>
        <w:topLinePunct w:val="0"/>
        <w:autoSpaceDE w:val="0"/>
        <w:autoSpaceDN w:val="0"/>
        <w:bidi w:val="0"/>
        <w:spacing w:line="400" w:lineRule="exact"/>
        <w:ind w:firstLine="480" w:firstLineChars="200"/>
        <w:contextualSpacing/>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董辅礽，1963：《关于不同扩大再生产途径下的社会主义再生产比例关系问题》，《经济研究》第11期。</w:t>
      </w:r>
    </w:p>
    <w:p w14:paraId="6057FE85">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杜亚斌，1995：《论开放条件下的社会再生产》，《中国社会科学》第6期。</w:t>
      </w:r>
    </w:p>
    <w:p w14:paraId="2ACC260F">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冯金华，2017：《两大部类的积累和增长：政府调控与市场机制》，《学术月刊》第6期。</w:t>
      </w:r>
    </w:p>
    <w:p w14:paraId="74DCDCF2">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冯金华，2022：《资本主义市场经济和生产过剩危机：基于马克思的两大部类再生产理论》，《华南师范大学学报（社会科学版）》第2期。</w:t>
      </w:r>
    </w:p>
    <w:p w14:paraId="5815256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洪银兴、刘爱文，2023：《内生性科技创新引领中国式现代化的理论和实践逻辑》，《马克思主义与现实》第2期。</w:t>
      </w:r>
    </w:p>
    <w:p w14:paraId="3E48B310">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李帮喜、赵奕菡、冯志轩，2019：《新中国70年的经济增长：趋势、周期及结构性特征》，《管理世界》第9期。</w:t>
      </w:r>
    </w:p>
    <w:p w14:paraId="060A5411">
      <w:pPr>
        <w:pageBreakBefore w:val="0"/>
        <w:widowControl/>
        <w:kinsoku/>
        <w:overflowPunct/>
        <w:topLinePunct w:val="0"/>
        <w:bidi w:val="0"/>
        <w:snapToGri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李帮喜、赵奕菡、冯志轩、赵峰，2021：《价值循环、经济结构与新发展格局：一个政治经济学的理论框架与国际比较》，《经济研究》第5期。</w:t>
      </w:r>
    </w:p>
    <w:p w14:paraId="5547CF31">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李翀，2006：《论国际贸易条件下的资本积累和社会资本再生产》，《广州大学学报（社会科学版）》第7期。</w:t>
      </w:r>
    </w:p>
    <w:p w14:paraId="3EE45B6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李海明、祝志勇，2012：《扩大再生产的动态最优模型》，《经济科学》第6期。</w:t>
      </w:r>
    </w:p>
    <w:p w14:paraId="59942928">
      <w:pPr>
        <w:pageBreakBefore w:val="0"/>
        <w:widowControl/>
        <w:kinsoku/>
        <w:overflowPunct/>
        <w:topLinePunct w:val="0"/>
        <w:bidi w:val="0"/>
        <w:snapToGri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刘国光，1961：《关于社会主义再生产发展速度的决定因素的初步探讨》，《经济研究》第3期。</w:t>
      </w:r>
    </w:p>
    <w:p w14:paraId="23FBC51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刘晓音、宋树理，2017：《基于社会生产和再生产模型的国际价值量决定机理研究》，《世界经济》第10期。</w:t>
      </w:r>
    </w:p>
    <w:p w14:paraId="0CC4C9D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栾刚，1994：《</w:t>
      </w:r>
      <w:r>
        <w:rPr>
          <w:rFonts w:hint="default" w:ascii="Times New Roman" w:hAnsi="Times New Roman" w:eastAsia="宋体" w:cs="Times New Roman"/>
          <w:color w:val="auto"/>
          <w:kern w:val="0"/>
          <w:sz w:val="24"/>
          <w:szCs w:val="24"/>
          <w:highlight w:val="none"/>
        </w:rPr>
        <w:t>国际贸易下的社会资本再生产实现条件</w:t>
      </w:r>
      <w:r>
        <w:rPr>
          <w:rFonts w:hint="default" w:ascii="Times New Roman" w:hAnsi="Times New Roman" w:eastAsia="宋体" w:cs="Times New Roman"/>
          <w:color w:val="auto"/>
          <w:sz w:val="24"/>
          <w:szCs w:val="24"/>
          <w:highlight w:val="none"/>
        </w:rPr>
        <w:t>》，《南开经济研究》第1期。</w:t>
      </w:r>
    </w:p>
    <w:p w14:paraId="7480FA33">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马艳、严金强、李韵，2017：《马克思内生增长理论的界定及其微观机制》，《经济学动态》第9期。</w:t>
      </w:r>
    </w:p>
    <w:bookmarkEnd w:id="543"/>
    <w:p w14:paraId="130B6B5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44" w:name="_Hlk84278913"/>
      <w:r>
        <w:rPr>
          <w:rFonts w:hint="default" w:ascii="Times New Roman" w:hAnsi="Times New Roman" w:eastAsia="宋体" w:cs="Times New Roman"/>
          <w:color w:val="auto"/>
          <w:sz w:val="24"/>
          <w:szCs w:val="24"/>
          <w:highlight w:val="none"/>
        </w:rPr>
        <w:t>孟捷，2018：《从“新解释”到价值转形的一般理论》，《世界经济》第5期。</w:t>
      </w:r>
      <w:bookmarkEnd w:id="544"/>
    </w:p>
    <w:p w14:paraId="3821C957">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孟捷、冯金华，2016：《非均衡与平均利润率的变化：一个马克思主义分析框架》，《世界经济》第6期。</w:t>
      </w:r>
    </w:p>
    <w:p w14:paraId="0335D531">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彭红枫、余静文，2023：《政策协同与经济增长：基于“一带一路”沿线国家的分析》，《世界经济》第1期。</w:t>
      </w:r>
    </w:p>
    <w:p w14:paraId="43407053">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齐昊、潘忆眉、王小军，2021：《中国的不平衡增长周期：基于马克思再生产理论的分析》，《世界经济》第6期。</w:t>
      </w:r>
    </w:p>
    <w:p w14:paraId="1A21EA7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乔晓楠、张月莹、吴雨婷，2019：《世界再生产体系研究：理论模型与经验证据》，《世界经济》第5期。</w:t>
      </w:r>
    </w:p>
    <w:p w14:paraId="222D68B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bookmarkStart w:id="545" w:name="_Hlk84278985"/>
      <w:r>
        <w:rPr>
          <w:rFonts w:hint="default" w:ascii="Times New Roman" w:hAnsi="Times New Roman" w:eastAsia="宋体" w:cs="Times New Roman"/>
          <w:color w:val="auto"/>
          <w:sz w:val="24"/>
          <w:szCs w:val="24"/>
          <w:highlight w:val="none"/>
        </w:rPr>
        <w:t>荣兆梓、陈旸，2014：《转形问题B体系：模型与计算》，《经济研究》第9期。</w:t>
      </w:r>
      <w:bookmarkEnd w:id="545"/>
    </w:p>
    <w:p w14:paraId="4317343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石景云，1988：《马克思社会再生产理论中的增长公式》，《中国社会科学》第2期。</w:t>
      </w:r>
    </w:p>
    <w:p w14:paraId="6C3BB005">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斯蒂德曼，1991：《按照斯拉法的思想研究马克思》，吴剑敏等，译. 北京：商务印书馆。</w:t>
      </w:r>
    </w:p>
    <w:p w14:paraId="48DCA1EF">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孙世强、大西广，2014：《日本马克思学界对社会再生产理论研究的新阐释及启示》，《马克思主义研究》第8期。</w:t>
      </w:r>
    </w:p>
    <w:p w14:paraId="533D19E0">
      <w:pPr>
        <w:pageBreakBefore w:val="0"/>
        <w:kinsoku/>
        <w:overflowPunct/>
        <w:topLinePunct w:val="0"/>
        <w:autoSpaceDE w:val="0"/>
        <w:autoSpaceDN w:val="0"/>
        <w:bidi w:val="0"/>
        <w:spacing w:line="400" w:lineRule="exact"/>
        <w:ind w:firstLine="480" w:firstLineChars="200"/>
        <w:contextualSpacing/>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Hans"/>
        </w:rPr>
        <w:t>王欠欠、田野，</w:t>
      </w:r>
      <w:r>
        <w:rPr>
          <w:rFonts w:hint="default" w:ascii="Times New Roman" w:hAnsi="Times New Roman" w:eastAsia="宋体" w:cs="Times New Roman"/>
          <w:color w:val="auto"/>
          <w:sz w:val="24"/>
          <w:szCs w:val="24"/>
          <w:highlight w:val="none"/>
        </w:rPr>
        <w:t>2022：</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color w:val="auto"/>
          <w:sz w:val="24"/>
          <w:szCs w:val="24"/>
          <w:highlight w:val="none"/>
        </w:rPr>
        <w:t>中国经济双循环的测度及增长结构分解</w:t>
      </w:r>
      <w:r>
        <w:rPr>
          <w:rFonts w:hint="default" w:ascii="Times New Roman" w:hAnsi="Times New Roman" w:eastAsia="宋体" w:cs="Times New Roman"/>
          <w:color w:val="auto"/>
          <w:sz w:val="24"/>
          <w:szCs w:val="24"/>
          <w:highlight w:val="none"/>
          <w:lang w:eastAsia="zh-Hans"/>
        </w:rPr>
        <w:t>》</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rPr>
        <w:t>经济学动态</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rPr>
        <w:t>第</w:t>
      </w:r>
      <w:r>
        <w:rPr>
          <w:rFonts w:hint="default" w:ascii="Times New Roman" w:hAnsi="Times New Roman" w:eastAsia="宋体" w:cs="Times New Roman"/>
          <w:color w:val="auto"/>
          <w:sz w:val="24"/>
          <w:szCs w:val="24"/>
          <w:highlight w:val="none"/>
        </w:rPr>
        <w:t>11期。</w:t>
      </w:r>
    </w:p>
    <w:p w14:paraId="6A168E3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王艺明、刘一鸣，2018：《马克思主义两大部类经济增长模型的理论与实证研究》，《经济研究》第9期。</w:t>
      </w:r>
    </w:p>
    <w:p w14:paraId="7E5B177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王智强，2020：《剩余价值国际转移视域下马克思经济增长理论研究》，《经济纵横》第2期。</w:t>
      </w:r>
    </w:p>
    <w:p w14:paraId="07A02C9D">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吴义刚，2019：《供给侧结构性改革：均衡增长的理论与逻辑》，《当代经济研究》第8期。</w:t>
      </w:r>
    </w:p>
    <w:p w14:paraId="26DC4A98">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吴易风，2007：《马克思的经济增长理论模型》，《经济研究》第9期。</w:t>
      </w:r>
    </w:p>
    <w:p w14:paraId="6C266E9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伍超明，2004：《货币流通速度的再认识》，《经济研究》第9期。</w:t>
      </w:r>
    </w:p>
    <w:p w14:paraId="196DEB6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习近平，2022：《新发展阶段贯彻新发展理念必然要求构建新发展格局》，《求是》第17期。</w:t>
      </w:r>
    </w:p>
    <w:p w14:paraId="28ED9A94">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谢富胜、匡晓璐，2022：《以问题为导向构建新发展格局》，《中国社会科学》第6期。</w:t>
      </w:r>
    </w:p>
    <w:p w14:paraId="3E4FDB69">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徐春华，2017：《生产资料部类优先增长：理论逻辑与经验证据》，《经济学动态》第2期。</w:t>
      </w:r>
    </w:p>
    <w:p w14:paraId="18A1151A">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杨继国，2010：《基于马克思经济增长理论的经济危机机理分析》，《经济学家》第2期。</w:t>
      </w:r>
    </w:p>
    <w:p w14:paraId="76B344A2">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余淼杰、金洋、张睿，2018：《工业企业产能利用率衡量与生产率估算》，《经济研究》第5期。</w:t>
      </w:r>
    </w:p>
    <w:p w14:paraId="565CF1E9">
      <w:pPr>
        <w:pageBreakBefore w:val="0"/>
        <w:widowControl/>
        <w:kinsoku/>
        <w:overflowPunct/>
        <w:topLinePunct w:val="0"/>
        <w:bidi w:val="0"/>
        <w:spacing w:line="400" w:lineRule="exact"/>
        <w:ind w:firstLine="480" w:firstLineChars="200"/>
        <w:jc w:val="left"/>
        <w:rPr>
          <w:rFonts w:hint="default" w:ascii="Times New Roman" w:hAnsi="Times New Roman" w:eastAsia="宋体" w:cs="Times New Roman"/>
          <w:color w:val="auto"/>
          <w:sz w:val="24"/>
          <w:szCs w:val="24"/>
          <w:highlight w:val="none"/>
          <w:lang w:eastAsia="zh-Hans"/>
        </w:rPr>
      </w:pPr>
      <w:r>
        <w:rPr>
          <w:rFonts w:hint="default" w:ascii="Times New Roman" w:hAnsi="Times New Roman" w:eastAsia="宋体" w:cs="Times New Roman"/>
          <w:color w:val="auto"/>
          <w:sz w:val="24"/>
          <w:szCs w:val="24"/>
          <w:highlight w:val="none"/>
          <w:lang w:eastAsia="zh-Hans"/>
        </w:rPr>
        <w:t>张帅、王志刚、</w:t>
      </w:r>
      <w:r>
        <w:rPr>
          <w:rFonts w:hint="default" w:ascii="Times New Roman" w:hAnsi="Times New Roman" w:eastAsia="宋体" w:cs="Times New Roman"/>
          <w:color w:val="auto"/>
          <w:sz w:val="24"/>
          <w:szCs w:val="24"/>
          <w:highlight w:val="none"/>
        </w:rPr>
        <w:t>金徵辅，2022：《</w:t>
      </w:r>
      <w:r>
        <w:rPr>
          <w:rFonts w:hint="default" w:ascii="Times New Roman" w:hAnsi="Times New Roman" w:eastAsia="宋体" w:cs="Times New Roman"/>
          <w:color w:val="auto"/>
          <w:sz w:val="24"/>
          <w:szCs w:val="24"/>
          <w:highlight w:val="none"/>
          <w:lang w:eastAsia="zh-Hans"/>
        </w:rPr>
        <w:t>双循环的经济增长效应</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rPr>
        <w:t>数量经济技术经济研究</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Hans"/>
        </w:rPr>
        <w:t>第</w:t>
      </w:r>
      <w:r>
        <w:rPr>
          <w:rFonts w:hint="default" w:ascii="Times New Roman" w:hAnsi="Times New Roman" w:eastAsia="宋体" w:cs="Times New Roman"/>
          <w:color w:val="auto"/>
          <w:sz w:val="24"/>
          <w:szCs w:val="24"/>
          <w:highlight w:val="none"/>
        </w:rPr>
        <w:t>11期。</w:t>
      </w:r>
    </w:p>
    <w:p w14:paraId="46B9699C">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赵峰、赵奕菡、李帮喜，2018：《固定资本、生产资料优先增长与工业化》，《教学与研究》第3期。</w:t>
      </w:r>
    </w:p>
    <w:p w14:paraId="52156A13">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朱殊洋，2008：《对扩大再生产实现条件的探讨》，《社会科学战线》第3期。</w:t>
      </w:r>
    </w:p>
    <w:p w14:paraId="1490CF53">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sz w:val="24"/>
          <w:szCs w:val="24"/>
          <w:highlight w:val="none"/>
        </w:rPr>
        <w:t>Dutt, A. K. (1984), “</w:t>
      </w:r>
      <w:r>
        <w:rPr>
          <w:rFonts w:hint="default" w:ascii="Times New Roman" w:hAnsi="Times New Roman" w:eastAsia="宋体" w:cs="Times New Roman"/>
          <w:color w:val="auto"/>
          <w:kern w:val="0"/>
          <w:sz w:val="24"/>
          <w:szCs w:val="24"/>
          <w:highlight w:val="none"/>
        </w:rPr>
        <w:t xml:space="preserve">Stagnation, Income Distribution and Monopoly Power”, </w:t>
      </w:r>
      <w:r>
        <w:rPr>
          <w:rFonts w:hint="default" w:ascii="Times New Roman" w:hAnsi="Times New Roman" w:eastAsia="宋体" w:cs="Times New Roman"/>
          <w:i/>
          <w:iCs/>
          <w:color w:val="auto"/>
          <w:kern w:val="0"/>
          <w:sz w:val="24"/>
          <w:szCs w:val="24"/>
          <w:highlight w:val="none"/>
        </w:rPr>
        <w:t xml:space="preserve">Cambridge Journal of Economics </w:t>
      </w:r>
      <w:r>
        <w:rPr>
          <w:rFonts w:hint="default" w:ascii="Times New Roman" w:hAnsi="Times New Roman" w:eastAsia="宋体" w:cs="Times New Roman"/>
          <w:color w:val="auto"/>
          <w:kern w:val="0"/>
          <w:sz w:val="24"/>
          <w:szCs w:val="24"/>
          <w:highlight w:val="none"/>
        </w:rPr>
        <w:t>8(1):25-40.</w:t>
      </w:r>
    </w:p>
    <w:p w14:paraId="126E6ADD">
      <w:pPr>
        <w:pStyle w:val="24"/>
        <w:pageBreakBefore w:val="0"/>
        <w:kinsoku/>
        <w:overflowPunct/>
        <w:topLinePunct w:val="0"/>
        <w:bidi w:val="0"/>
        <w:spacing w:line="400" w:lineRule="exact"/>
        <w:ind w:firstLine="480" w:firstLineChars="200"/>
        <w:jc w:val="both"/>
        <w:rPr>
          <w:rFonts w:hint="default" w:ascii="Times New Roman" w:hAnsi="Times New Roman" w:eastAsia="宋体" w:cs="Times New Roman"/>
          <w:color w:val="auto"/>
          <w:kern w:val="2"/>
          <w:sz w:val="24"/>
          <w:szCs w:val="24"/>
          <w:highlight w:val="none"/>
        </w:rPr>
      </w:pPr>
      <w:r>
        <w:rPr>
          <w:rFonts w:hint="default" w:ascii="Times New Roman" w:hAnsi="Times New Roman" w:eastAsia="宋体" w:cs="Times New Roman"/>
          <w:color w:val="auto"/>
          <w:kern w:val="2"/>
          <w:sz w:val="24"/>
          <w:szCs w:val="24"/>
          <w:highlight w:val="none"/>
        </w:rPr>
        <w:t xml:space="preserve">Greenwood, J. Hercowitz, Z. and Huffman, G. (1988), “Investment, Capacity Utilization, and the Real Business Cycle.” </w:t>
      </w:r>
      <w:r>
        <w:rPr>
          <w:rFonts w:hint="default" w:ascii="Times New Roman" w:hAnsi="Times New Roman" w:eastAsia="宋体" w:cs="Times New Roman"/>
          <w:i/>
          <w:iCs/>
          <w:color w:val="auto"/>
          <w:sz w:val="24"/>
          <w:szCs w:val="24"/>
          <w:highlight w:val="none"/>
        </w:rPr>
        <w:t>American Economic Review</w:t>
      </w:r>
      <w:r>
        <w:rPr>
          <w:rFonts w:hint="default" w:ascii="Times New Roman" w:hAnsi="Times New Roman" w:eastAsia="宋体" w:cs="Times New Roman"/>
          <w:color w:val="auto"/>
          <w:sz w:val="24"/>
          <w:szCs w:val="24"/>
          <w:highlight w:val="none"/>
        </w:rPr>
        <w:t xml:space="preserve"> 78(3):402-417.</w:t>
      </w:r>
    </w:p>
    <w:p w14:paraId="31064D3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 xml:space="preserve">Harris, D. J. (1972), “On Marx's Scheme of Reproduction and Accumulation.” </w:t>
      </w:r>
      <w:r>
        <w:rPr>
          <w:rFonts w:hint="default" w:ascii="Times New Roman" w:hAnsi="Times New Roman" w:eastAsia="宋体" w:cs="Times New Roman"/>
          <w:i/>
          <w:iCs/>
          <w:color w:val="auto"/>
          <w:sz w:val="24"/>
          <w:szCs w:val="24"/>
          <w:highlight w:val="none"/>
        </w:rPr>
        <w:t>Journal of Political Economy</w:t>
      </w:r>
      <w:r>
        <w:rPr>
          <w:rFonts w:hint="default" w:ascii="Times New Roman" w:hAnsi="Times New Roman" w:eastAsia="宋体" w:cs="Times New Roman"/>
          <w:color w:val="auto"/>
          <w:sz w:val="24"/>
          <w:szCs w:val="24"/>
          <w:highlight w:val="none"/>
        </w:rPr>
        <w:t xml:space="preserve"> 80(3):505-522.</w:t>
      </w:r>
    </w:p>
    <w:p w14:paraId="59CE1CC3">
      <w:pPr>
        <w:pageBreakBefore w:val="0"/>
        <w:kinsoku/>
        <w:overflowPunct/>
        <w:topLinePunct w:val="0"/>
        <w:bidi w:val="0"/>
        <w:spacing w:line="400" w:lineRule="exact"/>
        <w:ind w:firstLine="480" w:firstLineChars="200"/>
        <w:rPr>
          <w:rFonts w:hint="default" w:ascii="Times New Roman" w:hAnsi="Times New Roman" w:eastAsia="宋体" w:cs="Times New Roman"/>
          <w:iCs/>
          <w:color w:val="auto"/>
          <w:sz w:val="24"/>
          <w:szCs w:val="24"/>
          <w:highlight w:val="none"/>
        </w:rPr>
      </w:pPr>
      <w:r>
        <w:rPr>
          <w:rFonts w:hint="default" w:ascii="Times New Roman" w:hAnsi="Times New Roman" w:eastAsia="宋体" w:cs="Times New Roman"/>
          <w:iCs/>
          <w:color w:val="auto"/>
          <w:sz w:val="24"/>
          <w:szCs w:val="24"/>
          <w:highlight w:val="none"/>
        </w:rPr>
        <w:t xml:space="preserve">Kliman, A. &amp; McGlone, T. (1999), “A Temporal Single-system Interpretation of Marx's Value Theory.” </w:t>
      </w:r>
      <w:r>
        <w:rPr>
          <w:rFonts w:hint="default" w:ascii="Times New Roman" w:hAnsi="Times New Roman" w:eastAsia="宋体" w:cs="Times New Roman"/>
          <w:i/>
          <w:color w:val="auto"/>
          <w:sz w:val="24"/>
          <w:szCs w:val="24"/>
          <w:highlight w:val="none"/>
        </w:rPr>
        <w:t>Review of Political Economy</w:t>
      </w:r>
      <w:r>
        <w:rPr>
          <w:rFonts w:hint="default" w:ascii="Times New Roman" w:hAnsi="Times New Roman" w:eastAsia="宋体" w:cs="Times New Roman"/>
          <w:iCs/>
          <w:color w:val="auto"/>
          <w:sz w:val="24"/>
          <w:szCs w:val="24"/>
          <w:highlight w:val="none"/>
        </w:rPr>
        <w:t xml:space="preserve"> 11(1):33–59.</w:t>
      </w:r>
    </w:p>
    <w:p w14:paraId="53324B7E">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 xml:space="preserve">Laibman, D. (1981), “Two-Sector Growth with Endogenous Technical Change: A Marxian Simulation Model.” </w:t>
      </w:r>
      <w:r>
        <w:rPr>
          <w:rFonts w:hint="default" w:ascii="Times New Roman" w:hAnsi="Times New Roman" w:eastAsia="宋体" w:cs="Times New Roman"/>
          <w:i/>
          <w:iCs/>
          <w:color w:val="auto"/>
          <w:sz w:val="24"/>
          <w:szCs w:val="24"/>
          <w:highlight w:val="none"/>
        </w:rPr>
        <w:t>Quarterly Journal of Economics</w:t>
      </w:r>
      <w:r>
        <w:rPr>
          <w:rFonts w:hint="default" w:ascii="Times New Roman" w:hAnsi="Times New Roman" w:eastAsia="宋体" w:cs="Times New Roman"/>
          <w:color w:val="auto"/>
          <w:sz w:val="24"/>
          <w:szCs w:val="24"/>
          <w:highlight w:val="none"/>
        </w:rPr>
        <w:t xml:space="preserve"> 96(1):47-75.</w:t>
      </w:r>
    </w:p>
    <w:p w14:paraId="4B86F4C5">
      <w:pPr>
        <w:pageBreakBefore w:val="0"/>
        <w:kinsoku/>
        <w:overflowPunct/>
        <w:topLinePunct w:val="0"/>
        <w:bidi w:val="0"/>
        <w:spacing w:line="400" w:lineRule="exact"/>
        <w:ind w:firstLine="480" w:firstLineChars="200"/>
        <w:rPr>
          <w:rFonts w:hint="default" w:ascii="Times New Roman" w:hAnsi="Times New Roman" w:eastAsia="宋体" w:cs="Times New Roman"/>
          <w:iCs/>
          <w:color w:val="auto"/>
          <w:sz w:val="24"/>
          <w:szCs w:val="24"/>
          <w:highlight w:val="none"/>
        </w:rPr>
      </w:pPr>
      <w:r>
        <w:rPr>
          <w:rFonts w:hint="default" w:ascii="Times New Roman" w:hAnsi="Times New Roman" w:eastAsia="宋体" w:cs="Times New Roman"/>
          <w:iCs/>
          <w:color w:val="auto"/>
          <w:sz w:val="24"/>
          <w:szCs w:val="24"/>
          <w:highlight w:val="none"/>
        </w:rPr>
        <w:t xml:space="preserve">Lebowitz, M. (1976), “Marx’ Falling Rate of Profit: A Dialectical View.” </w:t>
      </w:r>
      <w:r>
        <w:rPr>
          <w:rFonts w:hint="default" w:ascii="Times New Roman" w:hAnsi="Times New Roman" w:eastAsia="宋体" w:cs="Times New Roman"/>
          <w:i/>
          <w:color w:val="auto"/>
          <w:sz w:val="24"/>
          <w:szCs w:val="24"/>
          <w:highlight w:val="none"/>
        </w:rPr>
        <w:t>Canadian Journal of Economics/Revue Canadienne D</w:t>
      </w:r>
      <w:r>
        <w:rPr>
          <w:rFonts w:hint="default" w:ascii="Times New Roman" w:hAnsi="Times New Roman" w:eastAsia="宋体" w:cs="Times New Roman"/>
          <w:i/>
          <w:color w:val="auto"/>
          <w:kern w:val="0"/>
          <w:sz w:val="24"/>
          <w:szCs w:val="24"/>
          <w:highlight w:val="none"/>
        </w:rPr>
        <w:t>`</w:t>
      </w:r>
      <w:r>
        <w:rPr>
          <w:rFonts w:hint="default" w:ascii="Times New Roman" w:hAnsi="Times New Roman" w:eastAsia="宋体" w:cs="Times New Roman"/>
          <w:i/>
          <w:color w:val="auto"/>
          <w:sz w:val="24"/>
          <w:szCs w:val="24"/>
          <w:highlight w:val="none"/>
        </w:rPr>
        <w:t>Economique</w:t>
      </w:r>
      <w:r>
        <w:rPr>
          <w:rFonts w:hint="default" w:ascii="Times New Roman" w:hAnsi="Times New Roman" w:eastAsia="宋体" w:cs="Times New Roman"/>
          <w:iCs/>
          <w:color w:val="auto"/>
          <w:sz w:val="24"/>
          <w:szCs w:val="24"/>
          <w:highlight w:val="none"/>
        </w:rPr>
        <w:t xml:space="preserve"> 9(2):232-254.</w:t>
      </w:r>
    </w:p>
    <w:p w14:paraId="1368F4CC">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 xml:space="preserve">Lima, G. T. (2012), “A Neo-Kaleckian Model of Profit Sharing, Capacity Utilization and Economic Growth.” </w:t>
      </w:r>
      <w:r>
        <w:rPr>
          <w:rFonts w:hint="default" w:ascii="Times New Roman" w:hAnsi="Times New Roman" w:eastAsia="宋体" w:cs="Times New Roman"/>
          <w:i/>
          <w:iCs/>
          <w:color w:val="auto"/>
          <w:sz w:val="24"/>
          <w:szCs w:val="24"/>
          <w:highlight w:val="none"/>
        </w:rPr>
        <w:t>Metroeconomica</w:t>
      </w:r>
      <w:r>
        <w:rPr>
          <w:rFonts w:hint="default" w:ascii="Times New Roman" w:hAnsi="Times New Roman" w:eastAsia="宋体" w:cs="Times New Roman"/>
          <w:color w:val="auto"/>
          <w:sz w:val="24"/>
          <w:szCs w:val="24"/>
          <w:highlight w:val="none"/>
        </w:rPr>
        <w:t xml:space="preserve"> 63(1):92-108.</w:t>
      </w:r>
    </w:p>
    <w:p w14:paraId="3C83F7AC">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 xml:space="preserve">Morishima, M. (1973), </w:t>
      </w:r>
      <w:r>
        <w:rPr>
          <w:rFonts w:hint="default" w:ascii="Times New Roman" w:hAnsi="Times New Roman" w:eastAsia="宋体" w:cs="Times New Roman"/>
          <w:i/>
          <w:iCs/>
          <w:color w:val="auto"/>
          <w:sz w:val="24"/>
          <w:szCs w:val="24"/>
          <w:highlight w:val="none"/>
        </w:rPr>
        <w:t>Marx’s Economics: A Dual Theory of Value and Growth</w:t>
      </w:r>
      <w:r>
        <w:rPr>
          <w:rFonts w:hint="default" w:ascii="Times New Roman" w:hAnsi="Times New Roman" w:eastAsia="宋体" w:cs="Times New Roman"/>
          <w:color w:val="auto"/>
          <w:sz w:val="24"/>
          <w:szCs w:val="24"/>
          <w:highlight w:val="none"/>
        </w:rPr>
        <w:t>, London: Cambridge University Press.</w:t>
      </w:r>
    </w:p>
    <w:p w14:paraId="2DC158DA">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iCs/>
          <w:color w:val="auto"/>
          <w:sz w:val="24"/>
          <w:szCs w:val="24"/>
          <w:highlight w:val="none"/>
        </w:rPr>
      </w:pPr>
      <w:r>
        <w:rPr>
          <w:rFonts w:hint="default" w:ascii="Times New Roman" w:hAnsi="Times New Roman" w:eastAsia="宋体" w:cs="Times New Roman"/>
          <w:iCs/>
          <w:color w:val="auto"/>
          <w:sz w:val="24"/>
          <w:szCs w:val="24"/>
          <w:highlight w:val="none"/>
        </w:rPr>
        <w:t xml:space="preserve">Okishio, N. (1961), “Technical Change and the Rate of Profit”, </w:t>
      </w:r>
      <w:r>
        <w:rPr>
          <w:rFonts w:hint="default" w:ascii="Times New Roman" w:hAnsi="Times New Roman" w:eastAsia="宋体" w:cs="Times New Roman"/>
          <w:i/>
          <w:color w:val="auto"/>
          <w:sz w:val="24"/>
          <w:szCs w:val="24"/>
          <w:highlight w:val="none"/>
        </w:rPr>
        <w:t>Kobe University Economic Review</w:t>
      </w:r>
      <w:r>
        <w:rPr>
          <w:rFonts w:hint="default" w:ascii="Times New Roman" w:hAnsi="Times New Roman" w:eastAsia="宋体" w:cs="Times New Roman"/>
          <w:iCs/>
          <w:color w:val="auto"/>
          <w:sz w:val="24"/>
          <w:szCs w:val="24"/>
          <w:highlight w:val="none"/>
        </w:rPr>
        <w:t xml:space="preserve"> 7:86-99.</w:t>
      </w:r>
    </w:p>
    <w:p w14:paraId="2947025E">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 xml:space="preserve">Onishi, H. (2011), The Marxian Optimal Growth Model, Reproduction Scheme, and General Law of Capitalist Accumulation, </w:t>
      </w:r>
      <w:r>
        <w:rPr>
          <w:rFonts w:hint="default" w:ascii="Times New Roman" w:hAnsi="Times New Roman" w:eastAsia="宋体" w:cs="Times New Roman"/>
          <w:i/>
          <w:iCs/>
          <w:color w:val="auto"/>
          <w:kern w:val="0"/>
          <w:sz w:val="24"/>
          <w:szCs w:val="24"/>
          <w:highlight w:val="none"/>
        </w:rPr>
        <w:t>World Review of Political Economy</w:t>
      </w:r>
      <w:r>
        <w:rPr>
          <w:rFonts w:hint="default" w:ascii="Times New Roman" w:hAnsi="Times New Roman" w:eastAsia="宋体" w:cs="Times New Roman"/>
          <w:color w:val="auto"/>
          <w:kern w:val="0"/>
          <w:sz w:val="24"/>
          <w:szCs w:val="24"/>
          <w:highlight w:val="none"/>
        </w:rPr>
        <w:t>,2(4):603-634.</w:t>
      </w:r>
    </w:p>
    <w:p w14:paraId="6D7A7517">
      <w:pPr>
        <w:pStyle w:val="24"/>
        <w:pageBreakBefore w:val="0"/>
        <w:kinsoku/>
        <w:overflowPunct/>
        <w:topLinePunct w:val="0"/>
        <w:bidi w:val="0"/>
        <w:spacing w:line="400" w:lineRule="exact"/>
        <w:ind w:firstLine="480" w:firstLineChars="200"/>
        <w:jc w:val="both"/>
        <w:rPr>
          <w:rFonts w:hint="default" w:ascii="Times New Roman" w:hAnsi="Times New Roman" w:eastAsia="宋体" w:cs="Times New Roman"/>
          <w:color w:val="auto"/>
          <w:kern w:val="2"/>
          <w:sz w:val="24"/>
          <w:szCs w:val="24"/>
          <w:highlight w:val="none"/>
        </w:rPr>
      </w:pPr>
      <w:r>
        <w:rPr>
          <w:rFonts w:hint="default" w:ascii="Times New Roman" w:hAnsi="Times New Roman" w:eastAsia="宋体" w:cs="Times New Roman"/>
          <w:color w:val="auto"/>
          <w:sz w:val="24"/>
          <w:szCs w:val="24"/>
          <w:highlight w:val="none"/>
        </w:rPr>
        <w:t>Palley, T. I. (2017), “</w:t>
      </w:r>
      <w:r>
        <w:rPr>
          <w:rFonts w:hint="default" w:ascii="Times New Roman" w:hAnsi="Times New Roman" w:eastAsia="宋体" w:cs="Times New Roman"/>
          <w:color w:val="auto"/>
          <w:kern w:val="2"/>
          <w:sz w:val="24"/>
          <w:szCs w:val="24"/>
          <w:highlight w:val="none"/>
        </w:rPr>
        <w:t xml:space="preserve">Wage-vs. Profit-led Growth: The Role of the Distribution of Wages in Determining Regime Character.” </w:t>
      </w:r>
      <w:r>
        <w:rPr>
          <w:rFonts w:hint="default" w:ascii="Times New Roman" w:hAnsi="Times New Roman" w:eastAsia="宋体" w:cs="Times New Roman"/>
          <w:i/>
          <w:iCs/>
          <w:color w:val="auto"/>
          <w:kern w:val="2"/>
          <w:sz w:val="24"/>
          <w:szCs w:val="24"/>
          <w:highlight w:val="none"/>
        </w:rPr>
        <w:t xml:space="preserve">Cambridge Journal of Economics </w:t>
      </w:r>
      <w:r>
        <w:rPr>
          <w:rFonts w:hint="default" w:ascii="Times New Roman" w:hAnsi="Times New Roman" w:eastAsia="宋体" w:cs="Times New Roman"/>
          <w:color w:val="auto"/>
          <w:kern w:val="2"/>
          <w:sz w:val="24"/>
          <w:szCs w:val="24"/>
          <w:highlight w:val="none"/>
        </w:rPr>
        <w:t>41(1):49-61.</w:t>
      </w:r>
    </w:p>
    <w:p w14:paraId="0DEAE1A7">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 xml:space="preserve">Roemer, J. E. (1978), “Marxian Modes of Reproduction and Accumulation.” </w:t>
      </w:r>
      <w:r>
        <w:rPr>
          <w:rFonts w:hint="default" w:ascii="Times New Roman" w:hAnsi="Times New Roman" w:eastAsia="宋体" w:cs="Times New Roman"/>
          <w:i/>
          <w:iCs/>
          <w:color w:val="auto"/>
          <w:sz w:val="24"/>
          <w:szCs w:val="24"/>
          <w:highlight w:val="none"/>
        </w:rPr>
        <w:t>Cambridge Journal of Economics</w:t>
      </w:r>
      <w:r>
        <w:rPr>
          <w:rFonts w:hint="default" w:ascii="Times New Roman" w:hAnsi="Times New Roman" w:eastAsia="宋体" w:cs="Times New Roman"/>
          <w:color w:val="auto"/>
          <w:sz w:val="24"/>
          <w:szCs w:val="24"/>
          <w:highlight w:val="none"/>
        </w:rPr>
        <w:t xml:space="preserve"> 2:37-53.</w:t>
      </w:r>
    </w:p>
    <w:p w14:paraId="06DF8589">
      <w:pPr>
        <w:pageBreakBefore w:val="0"/>
        <w:widowControl/>
        <w:kinsoku/>
        <w:overflowPunct/>
        <w:topLinePunct w:val="0"/>
        <w:bidi w:val="0"/>
        <w:spacing w:line="400" w:lineRule="exact"/>
        <w:ind w:firstLine="480" w:firstLineChars="200"/>
        <w:rPr>
          <w:rFonts w:hint="default" w:ascii="Times New Roman" w:hAnsi="Times New Roman" w:eastAsia="宋体" w:cs="Times New Roman"/>
          <w:color w:val="auto"/>
          <w:kern w:val="0"/>
          <w:sz w:val="24"/>
          <w:szCs w:val="24"/>
          <w:highlight w:val="none"/>
          <w:lang w:bidi="ar"/>
        </w:rPr>
      </w:pPr>
      <w:r>
        <w:rPr>
          <w:rFonts w:hint="default" w:ascii="Times New Roman" w:hAnsi="Times New Roman" w:eastAsia="宋体" w:cs="Times New Roman"/>
          <w:color w:val="auto"/>
          <w:kern w:val="0"/>
          <w:sz w:val="24"/>
          <w:szCs w:val="24"/>
          <w:highlight w:val="none"/>
          <w:lang w:bidi="ar"/>
        </w:rPr>
        <w:t xml:space="preserve">Roemer, J. E. (1977), “Technical Change and the ‘Tendency of the Rate of Profit to Fall’.” </w:t>
      </w:r>
      <w:r>
        <w:rPr>
          <w:rFonts w:hint="default" w:ascii="Times New Roman" w:hAnsi="Times New Roman" w:eastAsia="宋体" w:cs="Times New Roman"/>
          <w:i/>
          <w:iCs/>
          <w:color w:val="auto"/>
          <w:kern w:val="0"/>
          <w:sz w:val="24"/>
          <w:szCs w:val="24"/>
          <w:highlight w:val="none"/>
          <w:lang w:bidi="ar"/>
        </w:rPr>
        <w:t xml:space="preserve">Journal of Economic Theory </w:t>
      </w:r>
      <w:r>
        <w:rPr>
          <w:rFonts w:hint="default" w:ascii="Times New Roman" w:hAnsi="Times New Roman" w:eastAsia="宋体" w:cs="Times New Roman"/>
          <w:color w:val="auto"/>
          <w:kern w:val="0"/>
          <w:sz w:val="24"/>
          <w:szCs w:val="24"/>
          <w:highlight w:val="none"/>
          <w:lang w:bidi="ar"/>
        </w:rPr>
        <w:t>16(2):403-424．</w:t>
      </w:r>
    </w:p>
    <w:p w14:paraId="48127F48">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iCs/>
          <w:color w:val="auto"/>
          <w:sz w:val="24"/>
          <w:szCs w:val="24"/>
          <w:highlight w:val="none"/>
        </w:rPr>
      </w:pPr>
      <w:r>
        <w:rPr>
          <w:rFonts w:hint="default" w:ascii="Times New Roman" w:hAnsi="Times New Roman" w:eastAsia="宋体" w:cs="Times New Roman"/>
          <w:iCs/>
          <w:color w:val="auto"/>
          <w:sz w:val="24"/>
          <w:szCs w:val="24"/>
          <w:highlight w:val="none"/>
        </w:rPr>
        <w:t xml:space="preserve">Samuelson, P. A. (1971), “Understanding the Marxian Notion of Exploitation: A Summary of the So-Called Transformation Problem Between Marxian Values and Competitive Prices.” </w:t>
      </w:r>
      <w:r>
        <w:rPr>
          <w:rFonts w:hint="default" w:ascii="Times New Roman" w:hAnsi="Times New Roman" w:eastAsia="宋体" w:cs="Times New Roman"/>
          <w:i/>
          <w:color w:val="auto"/>
          <w:sz w:val="24"/>
          <w:szCs w:val="24"/>
          <w:highlight w:val="none"/>
        </w:rPr>
        <w:t>Journal of Economic Literature</w:t>
      </w:r>
      <w:r>
        <w:rPr>
          <w:rFonts w:hint="default" w:ascii="Times New Roman" w:hAnsi="Times New Roman" w:eastAsia="宋体" w:cs="Times New Roman"/>
          <w:iCs/>
          <w:color w:val="auto"/>
          <w:sz w:val="24"/>
          <w:szCs w:val="24"/>
          <w:highlight w:val="none"/>
        </w:rPr>
        <w:t xml:space="preserve"> 9(2):399-431.</w:t>
      </w:r>
    </w:p>
    <w:p w14:paraId="08A9D4F0">
      <w:pPr>
        <w:pageBreakBefore w:val="0"/>
        <w:kinsoku/>
        <w:overflowPunct/>
        <w:topLinePunct w:val="0"/>
        <w:autoSpaceDE w:val="0"/>
        <w:autoSpaceDN w:val="0"/>
        <w:bidi w:val="0"/>
        <w:adjustRightInd w:val="0"/>
        <w:spacing w:line="400" w:lineRule="exact"/>
        <w:ind w:firstLine="480" w:firstLineChars="200"/>
        <w:rPr>
          <w:rFonts w:hint="default" w:ascii="Times New Roman" w:hAnsi="Times New Roman" w:eastAsia="宋体" w:cs="Times New Roman"/>
          <w:iCs/>
          <w:color w:val="auto"/>
          <w:sz w:val="24"/>
          <w:szCs w:val="24"/>
          <w:highlight w:val="none"/>
        </w:rPr>
      </w:pPr>
      <w:r>
        <w:rPr>
          <w:rFonts w:hint="default" w:ascii="Times New Roman" w:hAnsi="Times New Roman" w:eastAsia="宋体" w:cs="Times New Roman"/>
          <w:iCs/>
          <w:color w:val="auto"/>
          <w:sz w:val="24"/>
          <w:szCs w:val="24"/>
          <w:highlight w:val="none"/>
        </w:rPr>
        <w:t xml:space="preserve">Seton, F. (1957), “The ‘Transformation Problem’.” </w:t>
      </w:r>
      <w:r>
        <w:rPr>
          <w:rFonts w:hint="default" w:ascii="Times New Roman" w:hAnsi="Times New Roman" w:eastAsia="宋体" w:cs="Times New Roman"/>
          <w:i/>
          <w:color w:val="auto"/>
          <w:sz w:val="24"/>
          <w:szCs w:val="24"/>
          <w:highlight w:val="none"/>
        </w:rPr>
        <w:t>Review of Economic Studies</w:t>
      </w:r>
      <w:r>
        <w:rPr>
          <w:rFonts w:hint="default" w:ascii="Times New Roman" w:hAnsi="Times New Roman" w:eastAsia="宋体" w:cs="Times New Roman"/>
          <w:iCs/>
          <w:color w:val="auto"/>
          <w:sz w:val="24"/>
          <w:szCs w:val="24"/>
          <w:highlight w:val="none"/>
        </w:rPr>
        <w:t xml:space="preserve"> 24(3):149-160.</w:t>
      </w:r>
    </w:p>
    <w:p w14:paraId="765A9E40">
      <w:pPr>
        <w:pageBreakBefore w:val="0"/>
        <w:kinsoku/>
        <w:overflowPunct/>
        <w:topLinePunct w:val="0"/>
        <w:autoSpaceDE w:val="0"/>
        <w:autoSpaceDN w:val="0"/>
        <w:bidi w:val="0"/>
        <w:adjustRightInd w:val="0"/>
        <w:spacing w:line="400" w:lineRule="exact"/>
        <w:ind w:firstLine="480" w:firstLineChars="200"/>
        <w:rPr>
          <w:rFonts w:hint="eastAsia" w:ascii="Times New Roman" w:hAnsi="Times New Roman" w:eastAsia="宋体" w:cs="Times New Roman"/>
          <w:iCs/>
          <w:color w:val="auto"/>
          <w:sz w:val="24"/>
          <w:szCs w:val="24"/>
          <w:highlight w:val="none"/>
          <w:lang w:eastAsia="zh-CN"/>
        </w:rPr>
      </w:pPr>
      <w:r>
        <w:rPr>
          <w:rFonts w:hint="eastAsia" w:ascii="Times New Roman" w:hAnsi="Times New Roman" w:eastAsia="宋体" w:cs="Times New Roman"/>
          <w:iCs/>
          <w:color w:val="auto"/>
          <w:sz w:val="24"/>
          <w:szCs w:val="24"/>
          <w:highlight w:val="none"/>
          <w:lang w:eastAsia="zh-CN"/>
        </w:rPr>
        <w:t>（</w:t>
      </w:r>
      <w:r>
        <w:rPr>
          <w:rFonts w:hint="eastAsia" w:ascii="Times New Roman" w:hAnsi="Times New Roman" w:eastAsia="宋体" w:cs="Times New Roman"/>
          <w:iCs/>
          <w:color w:val="auto"/>
          <w:sz w:val="24"/>
          <w:szCs w:val="24"/>
          <w:highlight w:val="none"/>
          <w:lang w:val="en-US" w:eastAsia="zh-CN"/>
        </w:rPr>
        <w:t>原载《经济研究》2024年第7期，第一作者为王智强。</w:t>
      </w:r>
      <w:r>
        <w:rPr>
          <w:rFonts w:hint="eastAsia" w:ascii="Times New Roman" w:hAnsi="Times New Roman" w:eastAsia="宋体" w:cs="Times New Roman"/>
          <w:iCs/>
          <w:color w:val="auto"/>
          <w:sz w:val="24"/>
          <w:szCs w:val="24"/>
          <w:highlight w:val="none"/>
          <w:lang w:eastAsia="zh-CN"/>
        </w:rPr>
        <w:t>）</w:t>
      </w:r>
    </w:p>
    <w:p w14:paraId="2846986B">
      <w:pPr>
        <w:pageBreakBefore w:val="0"/>
        <w:kinsoku/>
        <w:overflowPunct/>
        <w:topLinePunct w:val="0"/>
        <w:bidi w:val="0"/>
        <w:spacing w:line="400" w:lineRule="exact"/>
        <w:ind w:firstLine="480" w:firstLineChars="200"/>
        <w:rPr>
          <w:rFonts w:hint="default" w:ascii="Times New Roman" w:hAnsi="Times New Roman" w:eastAsia="宋体" w:cs="Times New Roman"/>
          <w:color w:val="auto"/>
          <w:sz w:val="24"/>
          <w:szCs w:val="24"/>
          <w:highlight w:val="none"/>
        </w:rPr>
      </w:pPr>
    </w:p>
    <w:p w14:paraId="76013DFD">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line="400" w:lineRule="exact"/>
        <w:ind w:leftChars="200" w:right="0" w:rightChars="0"/>
        <w:jc w:val="both"/>
        <w:textAlignment w:val="baseline"/>
        <w:rPr>
          <w:rFonts w:hint="eastAsia" w:cs="宋体"/>
          <w:sz w:val="24"/>
          <w:szCs w:val="24"/>
          <w:lang w:eastAsia="zh-CN"/>
        </w:rPr>
      </w:pPr>
      <w:r>
        <w:rPr>
          <w:rFonts w:hint="eastAsia" w:cs="宋体"/>
          <w:sz w:val="24"/>
          <w:szCs w:val="24"/>
          <w:lang w:eastAsia="zh-CN"/>
        </w:rPr>
        <w:t>（）</w:t>
      </w:r>
    </w:p>
    <w:p w14:paraId="01DF1A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1605B4B">
      <w:pPr>
        <w:pStyle w:val="3"/>
        <w:bidi w:val="0"/>
        <w:rPr>
          <w:rFonts w:hint="eastAsia"/>
        </w:rPr>
      </w:pPr>
      <w:bookmarkStart w:id="546" w:name="_Toc1122305633"/>
      <w:bookmarkStart w:id="547" w:name="_Toc5470"/>
      <w:bookmarkStart w:id="548" w:name="_Toc1921088269"/>
      <w:bookmarkStart w:id="549" w:name="_Toc487336970"/>
      <w:bookmarkStart w:id="550" w:name="_Toc1585501520"/>
      <w:bookmarkStart w:id="551" w:name="_Toc237627443"/>
      <w:r>
        <w:rPr>
          <w:rFonts w:hint="eastAsia"/>
          <w:lang w:val="en-US" w:eastAsia="zh-CN"/>
        </w:rPr>
        <w:t>8</w:t>
      </w:r>
      <w:r>
        <w:rPr>
          <w:rFonts w:hint="eastAsia"/>
        </w:rPr>
        <w:t>缩小我国财富和收入分配差距的对策研究</w:t>
      </w:r>
      <w:bookmarkEnd w:id="546"/>
      <w:bookmarkEnd w:id="547"/>
      <w:bookmarkEnd w:id="548"/>
      <w:bookmarkEnd w:id="549"/>
      <w:bookmarkEnd w:id="550"/>
      <w:bookmarkEnd w:id="551"/>
    </w:p>
    <w:p w14:paraId="3B5E40D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3A94209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74A72BB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14:textOutline w14:w="2540" w14:cap="rnd" w14:cmpd="sng">
            <w14:solidFill>
              <w14:srgbClr w14:val="231F20"/>
            </w14:solidFill>
            <w14:prstDash w14:val="solid"/>
            <w14:bevel/>
          </w14:textOutline>
        </w:rPr>
        <w:t>内容提要</w:t>
      </w:r>
      <w:r>
        <w:rPr>
          <w:rFonts w:hint="eastAsia" w:ascii="宋体" w:hAnsi="宋体" w:eastAsia="宋体" w:cs="宋体"/>
          <w:spacing w:val="8"/>
          <w:sz w:val="24"/>
          <w:szCs w:val="24"/>
        </w:rPr>
        <w:t>自1978年改革开放以来,</w:t>
      </w:r>
      <w:r>
        <w:rPr>
          <w:rFonts w:hint="eastAsia" w:ascii="宋体" w:hAnsi="宋体" w:eastAsia="宋体" w:cs="宋体"/>
          <w:spacing w:val="7"/>
          <w:sz w:val="24"/>
          <w:szCs w:val="24"/>
        </w:rPr>
        <w:t>我国采取了一系列措施以激发经济</w:t>
      </w:r>
      <w:r>
        <w:rPr>
          <w:rFonts w:hint="eastAsia" w:ascii="宋体" w:hAnsi="宋体" w:eastAsia="宋体" w:cs="宋体"/>
          <w:spacing w:val="10"/>
          <w:sz w:val="24"/>
          <w:szCs w:val="24"/>
        </w:rPr>
        <w:t>活力,显著提高了生产效率和居民收入,实现了经济的快速增长,然而这一时期</w:t>
      </w:r>
      <w:r>
        <w:rPr>
          <w:rFonts w:hint="eastAsia" w:ascii="宋体" w:hAnsi="宋体" w:eastAsia="宋体" w:cs="宋体"/>
          <w:spacing w:val="12"/>
          <w:sz w:val="24"/>
          <w:szCs w:val="24"/>
        </w:rPr>
        <w:t>也伴随着财富与收入分配格局的显著变化,我国</w:t>
      </w:r>
      <w:r>
        <w:rPr>
          <w:rFonts w:hint="eastAsia" w:ascii="宋体" w:hAnsi="宋体" w:eastAsia="宋体" w:cs="宋体"/>
          <w:spacing w:val="11"/>
          <w:sz w:val="24"/>
          <w:szCs w:val="24"/>
        </w:rPr>
        <w:t>面临着日益复杂的分配问题,</w:t>
      </w:r>
      <w:r>
        <w:rPr>
          <w:rFonts w:hint="eastAsia" w:ascii="宋体" w:hAnsi="宋体" w:eastAsia="宋体" w:cs="宋体"/>
          <w:spacing w:val="10"/>
          <w:sz w:val="24"/>
          <w:szCs w:val="24"/>
        </w:rPr>
        <w:t>这不仅关系到经济的持续健康发展,也影响着社会稳定和公平正义。而产权对</w:t>
      </w:r>
      <w:r>
        <w:rPr>
          <w:rFonts w:hint="eastAsia" w:ascii="宋体" w:hAnsi="宋体" w:eastAsia="宋体" w:cs="宋体"/>
          <w:spacing w:val="11"/>
          <w:sz w:val="24"/>
          <w:szCs w:val="24"/>
        </w:rPr>
        <w:t>策在缓解财富与收入分配差距方面起着决定性作用,财税对策发挥着重要的调</w:t>
      </w:r>
      <w:r>
        <w:rPr>
          <w:rFonts w:hint="eastAsia" w:ascii="宋体" w:hAnsi="宋体" w:eastAsia="宋体" w:cs="宋体"/>
          <w:spacing w:val="13"/>
          <w:sz w:val="24"/>
          <w:szCs w:val="24"/>
        </w:rPr>
        <w:t>节作用,金融对策则会对财富和收入的变动起着直接的涨缩影响,房产对家庭</w:t>
      </w:r>
      <w:r>
        <w:rPr>
          <w:rFonts w:hint="eastAsia" w:ascii="宋体" w:hAnsi="宋体" w:eastAsia="宋体" w:cs="宋体"/>
          <w:spacing w:val="11"/>
          <w:sz w:val="24"/>
          <w:szCs w:val="24"/>
        </w:rPr>
        <w:t>之间财富不平等的贡献率最高。基于此,本文依据马克思主义及其中国化分配</w:t>
      </w:r>
      <w:r>
        <w:rPr>
          <w:rFonts w:hint="eastAsia" w:ascii="宋体" w:hAnsi="宋体" w:eastAsia="宋体" w:cs="宋体"/>
          <w:spacing w:val="3"/>
          <w:sz w:val="24"/>
          <w:szCs w:val="24"/>
        </w:rPr>
        <w:t>理论,从产权、财税、金融、房产四大方面提出对策建议,以期</w:t>
      </w:r>
      <w:r>
        <w:rPr>
          <w:rFonts w:hint="eastAsia" w:ascii="宋体" w:hAnsi="宋体" w:eastAsia="宋体" w:cs="宋体"/>
          <w:spacing w:val="2"/>
          <w:sz w:val="24"/>
          <w:szCs w:val="24"/>
        </w:rPr>
        <w:t>为缩小我国财富与</w:t>
      </w:r>
      <w:r>
        <w:rPr>
          <w:rFonts w:hint="eastAsia" w:ascii="宋体" w:hAnsi="宋体" w:eastAsia="宋体" w:cs="宋体"/>
          <w:spacing w:val="8"/>
          <w:sz w:val="24"/>
          <w:szCs w:val="24"/>
        </w:rPr>
        <w:t>收入分配差距提供参考。</w:t>
      </w:r>
    </w:p>
    <w:p w14:paraId="7A49A5B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lang w:eastAsia="zh-CN"/>
        </w:rPr>
      </w:pPr>
      <w:r>
        <w:rPr>
          <w:rFonts w:hint="eastAsia" w:ascii="宋体" w:hAnsi="宋体" w:eastAsia="宋体" w:cs="宋体"/>
          <w:spacing w:val="8"/>
          <w:sz w:val="24"/>
          <w:szCs w:val="24"/>
          <w14:textOutline w14:w="2540" w14:cap="rnd" w14:cmpd="sng">
            <w14:solidFill>
              <w14:srgbClr w14:val="231F20"/>
            </w14:solidFill>
            <w14:prstDash w14:val="solid"/>
            <w14:bevel/>
          </w14:textOutline>
        </w:rPr>
        <w:t>关键词</w:t>
      </w:r>
      <w:r>
        <w:rPr>
          <w:rFonts w:hint="eastAsia" w:ascii="宋体" w:hAnsi="宋体" w:eastAsia="宋体" w:cs="宋体"/>
          <w:spacing w:val="8"/>
          <w:sz w:val="24"/>
          <w:szCs w:val="24"/>
        </w:rPr>
        <w:t>财富分配;收入分配;分配差距;分配政策</w:t>
      </w:r>
    </w:p>
    <w:p w14:paraId="1E16CEB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自1978年改革开放以来,我国在实现较快增长的同时,面临着日益复杂</w:t>
      </w:r>
      <w:r>
        <w:rPr>
          <w:rFonts w:hint="eastAsia" w:ascii="宋体" w:hAnsi="宋体" w:eastAsia="宋体" w:cs="宋体"/>
          <w:spacing w:val="3"/>
          <w:sz w:val="24"/>
          <w:szCs w:val="24"/>
        </w:rPr>
        <w:t>的分配问题。城乡差距、区域不平衡、劳动与资本收入分配</w:t>
      </w:r>
      <w:r>
        <w:rPr>
          <w:rFonts w:hint="eastAsia" w:ascii="宋体" w:hAnsi="宋体" w:eastAsia="宋体" w:cs="宋体"/>
          <w:spacing w:val="2"/>
          <w:sz w:val="24"/>
          <w:szCs w:val="24"/>
        </w:rPr>
        <w:t>不均等问题逐渐凸</w:t>
      </w:r>
      <w:r>
        <w:rPr>
          <w:rFonts w:hint="eastAsia" w:ascii="宋体" w:hAnsi="宋体" w:eastAsia="宋体" w:cs="宋体"/>
          <w:spacing w:val="19"/>
          <w:sz w:val="24"/>
          <w:szCs w:val="24"/>
        </w:rPr>
        <w:t>显。这些问题不仅关系到经济的持续健康发展,也影响着社会稳定和公平</w:t>
      </w:r>
      <w:r>
        <w:rPr>
          <w:rFonts w:hint="eastAsia" w:ascii="宋体" w:hAnsi="宋体" w:eastAsia="宋体" w:cs="宋体"/>
          <w:spacing w:val="-1"/>
          <w:sz w:val="24"/>
          <w:szCs w:val="24"/>
        </w:rPr>
        <w:t>正义。</w:t>
      </w:r>
    </w:p>
    <w:p w14:paraId="764D42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pacing w:val="7"/>
          <w:sz w:val="24"/>
          <w:szCs w:val="24"/>
        </w:rPr>
      </w:pPr>
      <w:r>
        <w:rPr>
          <w:rFonts w:hint="eastAsia" w:ascii="宋体" w:hAnsi="宋体" w:eastAsia="宋体" w:cs="宋体"/>
          <w:spacing w:val="8"/>
          <w:sz w:val="24"/>
          <w:szCs w:val="24"/>
        </w:rPr>
        <w:t>为应对这些挑战,我国政府实施了一系列政策调整,旨在促进更加公平和</w:t>
      </w:r>
      <w:r>
        <w:rPr>
          <w:rFonts w:hint="eastAsia" w:ascii="宋体" w:hAnsi="宋体" w:eastAsia="宋体" w:cs="宋体"/>
          <w:spacing w:val="3"/>
          <w:sz w:val="24"/>
          <w:szCs w:val="24"/>
        </w:rPr>
        <w:t>合理的分配。这包括消除绝对贫困政策、财税制度的改革、社会保障体</w:t>
      </w:r>
      <w:r>
        <w:rPr>
          <w:rFonts w:hint="eastAsia" w:ascii="宋体" w:hAnsi="宋体" w:eastAsia="宋体" w:cs="宋体"/>
          <w:spacing w:val="2"/>
          <w:sz w:val="24"/>
          <w:szCs w:val="24"/>
        </w:rPr>
        <w:t>系的完</w:t>
      </w:r>
      <w:r>
        <w:rPr>
          <w:rFonts w:hint="eastAsia" w:ascii="宋体" w:hAnsi="宋体" w:eastAsia="宋体" w:cs="宋体"/>
          <w:spacing w:val="14"/>
          <w:sz w:val="24"/>
          <w:szCs w:val="24"/>
        </w:rPr>
        <w:t>善,以及针对农村和欠发达地区的扶贫开发政策等</w:t>
      </w:r>
      <w:r>
        <w:rPr>
          <w:rFonts w:hint="eastAsia" w:ascii="宋体" w:hAnsi="宋体" w:eastAsia="宋体" w:cs="宋体"/>
          <w:spacing w:val="13"/>
          <w:sz w:val="24"/>
          <w:szCs w:val="24"/>
        </w:rPr>
        <w:t>。这些政策的实施在一定</w:t>
      </w:r>
      <w:r>
        <w:rPr>
          <w:rFonts w:hint="eastAsia" w:ascii="宋体" w:hAnsi="宋体" w:eastAsia="宋体" w:cs="宋体"/>
          <w:spacing w:val="14"/>
          <w:sz w:val="24"/>
          <w:szCs w:val="24"/>
        </w:rPr>
        <w:t>程度上缓解了分配的不平等,但收入和财富分配差</w:t>
      </w:r>
      <w:r>
        <w:rPr>
          <w:rFonts w:hint="eastAsia" w:ascii="宋体" w:hAnsi="宋体" w:eastAsia="宋体" w:cs="宋体"/>
          <w:spacing w:val="13"/>
          <w:sz w:val="24"/>
          <w:szCs w:val="24"/>
        </w:rPr>
        <w:t>距问题仍然是我国社会经</w:t>
      </w:r>
      <w:r>
        <w:rPr>
          <w:rFonts w:hint="eastAsia" w:ascii="宋体" w:hAnsi="宋体" w:eastAsia="宋体" w:cs="宋体"/>
          <w:spacing w:val="7"/>
          <w:sz w:val="24"/>
          <w:szCs w:val="24"/>
        </w:rPr>
        <w:t>济发展中的一个重要议题。</w:t>
      </w:r>
    </w:p>
    <w:p w14:paraId="688B0BE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据截止日期为</w:t>
      </w:r>
      <w:r>
        <w:rPr>
          <w:rFonts w:hint="eastAsia" w:ascii="宋体" w:hAnsi="宋体" w:eastAsia="宋体" w:cs="宋体"/>
          <w:spacing w:val="-2"/>
          <w:position w:val="-2"/>
          <w:sz w:val="24"/>
          <w:szCs w:val="24"/>
        </w:rPr>
        <w:t>2023</w:t>
      </w:r>
      <w:r>
        <w:rPr>
          <w:rFonts w:hint="eastAsia" w:ascii="宋体" w:hAnsi="宋体" w:eastAsia="宋体" w:cs="宋体"/>
          <w:spacing w:val="-2"/>
          <w:sz w:val="24"/>
          <w:szCs w:val="24"/>
        </w:rPr>
        <w:t>年</w:t>
      </w:r>
      <w:r>
        <w:rPr>
          <w:rFonts w:hint="eastAsia" w:ascii="宋体" w:hAnsi="宋体" w:eastAsia="宋体" w:cs="宋体"/>
          <w:spacing w:val="-2"/>
          <w:position w:val="-2"/>
          <w:sz w:val="24"/>
          <w:szCs w:val="24"/>
        </w:rPr>
        <w:t>9</w:t>
      </w:r>
      <w:r>
        <w:rPr>
          <w:rFonts w:hint="eastAsia" w:ascii="宋体" w:hAnsi="宋体" w:eastAsia="宋体" w:cs="宋体"/>
          <w:spacing w:val="-2"/>
          <w:sz w:val="24"/>
          <w:szCs w:val="24"/>
        </w:rPr>
        <w:t>月</w:t>
      </w:r>
      <w:r>
        <w:rPr>
          <w:rFonts w:hint="eastAsia" w:ascii="宋体" w:hAnsi="宋体" w:eastAsia="宋体" w:cs="宋体"/>
          <w:spacing w:val="-2"/>
          <w:position w:val="-2"/>
          <w:sz w:val="24"/>
          <w:szCs w:val="24"/>
        </w:rPr>
        <w:t>1</w:t>
      </w:r>
      <w:r>
        <w:rPr>
          <w:rFonts w:hint="eastAsia" w:ascii="宋体" w:hAnsi="宋体" w:eastAsia="宋体" w:cs="宋体"/>
          <w:spacing w:val="-2"/>
          <w:sz w:val="24"/>
          <w:szCs w:val="24"/>
        </w:rPr>
        <w:t>日的</w:t>
      </w:r>
      <w:r>
        <w:rPr>
          <w:rFonts w:hint="eastAsia" w:ascii="宋体" w:hAnsi="宋体" w:eastAsia="宋体" w:cs="宋体"/>
          <w:spacing w:val="-2"/>
          <w:position w:val="1"/>
          <w:sz w:val="24"/>
          <w:szCs w:val="24"/>
        </w:rPr>
        <w:t>“</w:t>
      </w:r>
      <w:r>
        <w:rPr>
          <w:rFonts w:hint="eastAsia" w:ascii="宋体" w:hAnsi="宋体" w:eastAsia="宋体" w:cs="宋体"/>
          <w:spacing w:val="-2"/>
          <w:sz w:val="24"/>
          <w:szCs w:val="24"/>
        </w:rPr>
        <w:t>胡润百富榜</w:t>
      </w:r>
      <w:r>
        <w:rPr>
          <w:rFonts w:hint="eastAsia" w:ascii="宋体" w:hAnsi="宋体" w:eastAsia="宋体" w:cs="宋体"/>
          <w:spacing w:val="-2"/>
          <w:position w:val="1"/>
          <w:sz w:val="24"/>
          <w:szCs w:val="24"/>
        </w:rPr>
        <w:t>”</w:t>
      </w:r>
      <w:r>
        <w:rPr>
          <w:rFonts w:hint="eastAsia" w:ascii="宋体" w:hAnsi="宋体" w:eastAsia="宋体" w:cs="宋体"/>
          <w:spacing w:val="-2"/>
          <w:sz w:val="24"/>
          <w:szCs w:val="24"/>
        </w:rPr>
        <w:t>统计</w:t>
      </w:r>
      <w:r>
        <w:rPr>
          <w:rStyle w:val="20"/>
          <w:rFonts w:hint="eastAsia" w:ascii="宋体" w:hAnsi="宋体" w:eastAsia="宋体" w:cs="宋体"/>
          <w:spacing w:val="-2"/>
          <w:sz w:val="24"/>
          <w:szCs w:val="24"/>
        </w:rPr>
        <w:footnoteReference w:id="784"/>
      </w:r>
      <w:r>
        <w:rPr>
          <w:rFonts w:hint="eastAsia" w:ascii="宋体" w:hAnsi="宋体" w:eastAsia="宋体" w:cs="宋体"/>
          <w:spacing w:val="-2"/>
          <w:sz w:val="24"/>
          <w:szCs w:val="24"/>
        </w:rPr>
        <w:t>,个人财富</w:t>
      </w:r>
      <w:r>
        <w:rPr>
          <w:rFonts w:hint="eastAsia" w:ascii="宋体" w:hAnsi="宋体" w:eastAsia="宋体" w:cs="宋体"/>
          <w:spacing w:val="-2"/>
          <w:position w:val="-2"/>
          <w:sz w:val="24"/>
          <w:szCs w:val="24"/>
        </w:rPr>
        <w:t>50</w:t>
      </w:r>
      <w:r>
        <w:rPr>
          <w:rFonts w:hint="eastAsia" w:ascii="宋体" w:hAnsi="宋体" w:eastAsia="宋体" w:cs="宋体"/>
          <w:spacing w:val="-2"/>
          <w:sz w:val="24"/>
          <w:szCs w:val="24"/>
        </w:rPr>
        <w:t>亿元</w:t>
      </w:r>
      <w:r>
        <w:rPr>
          <w:rFonts w:hint="eastAsia" w:ascii="宋体" w:hAnsi="宋体" w:eastAsia="宋体" w:cs="宋体"/>
          <w:spacing w:val="14"/>
          <w:sz w:val="24"/>
          <w:szCs w:val="24"/>
        </w:rPr>
        <w:t>人民币以上的上榜企业家共有</w:t>
      </w:r>
      <w:r>
        <w:rPr>
          <w:rFonts w:hint="eastAsia" w:ascii="宋体" w:hAnsi="宋体" w:eastAsia="宋体" w:cs="宋体"/>
          <w:spacing w:val="14"/>
          <w:position w:val="-2"/>
          <w:sz w:val="24"/>
          <w:szCs w:val="24"/>
        </w:rPr>
        <w:t>1241</w:t>
      </w:r>
      <w:r>
        <w:rPr>
          <w:rFonts w:hint="eastAsia" w:ascii="宋体" w:hAnsi="宋体" w:eastAsia="宋体" w:cs="宋体"/>
          <w:spacing w:val="14"/>
          <w:sz w:val="24"/>
          <w:szCs w:val="24"/>
        </w:rPr>
        <w:t>位,其中</w:t>
      </w:r>
      <w:r>
        <w:rPr>
          <w:rFonts w:hint="eastAsia" w:ascii="宋体" w:hAnsi="宋体" w:eastAsia="宋体" w:cs="宋体"/>
          <w:spacing w:val="14"/>
          <w:position w:val="-2"/>
          <w:sz w:val="24"/>
          <w:szCs w:val="24"/>
        </w:rPr>
        <w:t>1052</w:t>
      </w:r>
      <w:r>
        <w:rPr>
          <w:rFonts w:hint="eastAsia" w:ascii="宋体" w:hAnsi="宋体" w:eastAsia="宋体" w:cs="宋体"/>
          <w:spacing w:val="14"/>
          <w:sz w:val="24"/>
          <w:szCs w:val="24"/>
        </w:rPr>
        <w:t>位居住在我国内</w:t>
      </w:r>
      <w:r>
        <w:rPr>
          <w:rFonts w:hint="eastAsia" w:ascii="宋体" w:hAnsi="宋体" w:eastAsia="宋体" w:cs="宋体"/>
          <w:spacing w:val="13"/>
          <w:sz w:val="24"/>
          <w:szCs w:val="24"/>
        </w:rPr>
        <w:t>地(分布</w:t>
      </w:r>
      <w:r>
        <w:rPr>
          <w:rFonts w:hint="eastAsia" w:ascii="宋体" w:hAnsi="宋体" w:eastAsia="宋体" w:cs="宋体"/>
          <w:spacing w:val="10"/>
          <w:sz w:val="24"/>
          <w:szCs w:val="24"/>
        </w:rPr>
        <w:t>在</w:t>
      </w:r>
      <w:r>
        <w:rPr>
          <w:rFonts w:hint="eastAsia" w:ascii="宋体" w:hAnsi="宋体" w:eastAsia="宋体" w:cs="宋体"/>
          <w:spacing w:val="10"/>
          <w:position w:val="-2"/>
          <w:sz w:val="24"/>
          <w:szCs w:val="24"/>
        </w:rPr>
        <w:t>139</w:t>
      </w:r>
      <w:r>
        <w:rPr>
          <w:rFonts w:hint="eastAsia" w:ascii="宋体" w:hAnsi="宋体" w:eastAsia="宋体" w:cs="宋体"/>
          <w:spacing w:val="10"/>
          <w:sz w:val="24"/>
          <w:szCs w:val="24"/>
        </w:rPr>
        <w:t>个城市)</w:t>
      </w:r>
      <w:r>
        <w:rPr>
          <w:rFonts w:hint="eastAsia" w:ascii="宋体" w:hAnsi="宋体" w:eastAsia="宋体" w:cs="宋体"/>
          <w:spacing w:val="10"/>
          <w:position w:val="1"/>
          <w:sz w:val="24"/>
          <w:szCs w:val="24"/>
        </w:rPr>
        <w:t>,</w:t>
      </w:r>
      <w:r>
        <w:rPr>
          <w:rFonts w:hint="eastAsia" w:ascii="宋体" w:hAnsi="宋体" w:eastAsia="宋体" w:cs="宋体"/>
          <w:spacing w:val="10"/>
          <w:sz w:val="24"/>
          <w:szCs w:val="24"/>
        </w:rPr>
        <w:t>158位居住在港澳台地区(中国香港</w:t>
      </w:r>
      <w:r>
        <w:rPr>
          <w:rFonts w:hint="eastAsia" w:ascii="宋体" w:hAnsi="宋体" w:eastAsia="宋体" w:cs="宋体"/>
          <w:spacing w:val="10"/>
          <w:position w:val="-2"/>
          <w:sz w:val="24"/>
          <w:szCs w:val="24"/>
        </w:rPr>
        <w:t>86</w:t>
      </w:r>
      <w:r>
        <w:rPr>
          <w:rFonts w:hint="eastAsia" w:ascii="宋体" w:hAnsi="宋体" w:eastAsia="宋体" w:cs="宋体"/>
          <w:spacing w:val="9"/>
          <w:sz w:val="24"/>
          <w:szCs w:val="24"/>
        </w:rPr>
        <w:t>位</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中国台湾</w:t>
      </w:r>
      <w:r>
        <w:rPr>
          <w:rFonts w:hint="eastAsia" w:ascii="宋体" w:hAnsi="宋体" w:eastAsia="宋体" w:cs="宋体"/>
          <w:spacing w:val="9"/>
          <w:position w:val="-2"/>
          <w:sz w:val="24"/>
          <w:szCs w:val="24"/>
        </w:rPr>
        <w:t>72</w:t>
      </w:r>
      <w:r>
        <w:rPr>
          <w:rFonts w:hint="eastAsia" w:ascii="宋体" w:hAnsi="宋体" w:eastAsia="宋体" w:cs="宋体"/>
          <w:spacing w:val="9"/>
          <w:sz w:val="24"/>
          <w:szCs w:val="24"/>
        </w:rPr>
        <w:t>位)</w:t>
      </w:r>
      <w:r>
        <w:rPr>
          <w:rFonts w:hint="eastAsia" w:ascii="宋体" w:hAnsi="宋体" w:eastAsia="宋体" w:cs="宋体"/>
          <w:spacing w:val="9"/>
          <w:position w:val="1"/>
          <w:sz w:val="24"/>
          <w:szCs w:val="24"/>
        </w:rPr>
        <w:t>,</w:t>
      </w:r>
      <w:r>
        <w:rPr>
          <w:rFonts w:hint="eastAsia" w:ascii="宋体" w:hAnsi="宋体" w:eastAsia="宋体" w:cs="宋体"/>
          <w:spacing w:val="11"/>
          <w:position w:val="-2"/>
          <w:sz w:val="24"/>
          <w:szCs w:val="24"/>
        </w:rPr>
        <w:t>31</w:t>
      </w:r>
      <w:r>
        <w:rPr>
          <w:rFonts w:hint="eastAsia" w:ascii="宋体" w:hAnsi="宋体" w:eastAsia="宋体" w:cs="宋体"/>
          <w:spacing w:val="11"/>
          <w:sz w:val="24"/>
          <w:szCs w:val="24"/>
        </w:rPr>
        <w:t>位居住在我国以外的国家,上榜企业家总财富为</w:t>
      </w:r>
      <w:r>
        <w:rPr>
          <w:rFonts w:hint="eastAsia" w:ascii="宋体" w:hAnsi="宋体" w:eastAsia="宋体" w:cs="宋体"/>
          <w:spacing w:val="11"/>
          <w:position w:val="-2"/>
          <w:sz w:val="24"/>
          <w:szCs w:val="24"/>
        </w:rPr>
        <w:t>23.5</w:t>
      </w:r>
      <w:r>
        <w:rPr>
          <w:rFonts w:hint="eastAsia" w:ascii="宋体" w:hAnsi="宋体" w:eastAsia="宋体" w:cs="宋体"/>
          <w:spacing w:val="11"/>
          <w:sz w:val="24"/>
          <w:szCs w:val="24"/>
        </w:rPr>
        <w:t>万亿元</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在</w:t>
      </w:r>
      <w:r>
        <w:rPr>
          <w:rFonts w:hint="eastAsia" w:ascii="宋体" w:hAnsi="宋体" w:eastAsia="宋体" w:cs="宋体"/>
          <w:spacing w:val="11"/>
          <w:position w:val="-2"/>
          <w:sz w:val="24"/>
          <w:szCs w:val="24"/>
        </w:rPr>
        <w:t>2023</w:t>
      </w:r>
      <w:r>
        <w:rPr>
          <w:rFonts w:hint="eastAsia" w:ascii="宋体" w:hAnsi="宋体" w:eastAsia="宋体" w:cs="宋体"/>
          <w:spacing w:val="11"/>
          <w:sz w:val="24"/>
          <w:szCs w:val="24"/>
        </w:rPr>
        <w:t>年</w:t>
      </w:r>
      <w:r>
        <w:rPr>
          <w:rFonts w:hint="eastAsia" w:ascii="宋体" w:hAnsi="宋体" w:eastAsia="宋体" w:cs="宋体"/>
          <w:spacing w:val="10"/>
          <w:sz w:val="24"/>
          <w:szCs w:val="24"/>
        </w:rPr>
        <w:t>《福布斯》全球亿万富豪榜中,我国上榜者总数(含香</w:t>
      </w:r>
      <w:r>
        <w:rPr>
          <w:rFonts w:hint="eastAsia" w:ascii="宋体" w:hAnsi="宋体" w:eastAsia="宋体" w:cs="宋体"/>
          <w:spacing w:val="9"/>
          <w:sz w:val="24"/>
          <w:szCs w:val="24"/>
        </w:rPr>
        <w:t>港、澳门和台湾)为</w:t>
      </w:r>
      <w:r>
        <w:rPr>
          <w:rFonts w:hint="eastAsia" w:ascii="宋体" w:hAnsi="宋体" w:eastAsia="宋体" w:cs="宋体"/>
          <w:spacing w:val="9"/>
          <w:position w:val="-2"/>
          <w:sz w:val="24"/>
          <w:szCs w:val="24"/>
        </w:rPr>
        <w:t>614</w:t>
      </w:r>
      <w:r>
        <w:rPr>
          <w:rFonts w:hint="eastAsia" w:ascii="宋体" w:hAnsi="宋体" w:eastAsia="宋体" w:cs="宋体"/>
          <w:spacing w:val="17"/>
          <w:sz w:val="24"/>
          <w:szCs w:val="24"/>
        </w:rPr>
        <w:t>位,财富总额为</w:t>
      </w:r>
      <w:r>
        <w:rPr>
          <w:rFonts w:hint="eastAsia" w:ascii="宋体" w:hAnsi="宋体" w:eastAsia="宋体" w:cs="宋体"/>
          <w:spacing w:val="17"/>
          <w:position w:val="-2"/>
          <w:sz w:val="24"/>
          <w:szCs w:val="24"/>
        </w:rPr>
        <w:t>1.67</w:t>
      </w:r>
      <w:r>
        <w:rPr>
          <w:rFonts w:hint="eastAsia" w:ascii="宋体" w:hAnsi="宋体" w:eastAsia="宋体" w:cs="宋体"/>
          <w:spacing w:val="17"/>
          <w:sz w:val="24"/>
          <w:szCs w:val="24"/>
        </w:rPr>
        <w:t>万亿美元,居全球第二,仅次于美国富豪数量的</w:t>
      </w:r>
      <w:r>
        <w:rPr>
          <w:rFonts w:hint="eastAsia" w:ascii="宋体" w:hAnsi="宋体" w:eastAsia="宋体" w:cs="宋体"/>
          <w:spacing w:val="17"/>
          <w:position w:val="-2"/>
          <w:sz w:val="24"/>
          <w:szCs w:val="24"/>
        </w:rPr>
        <w:t>736</w:t>
      </w:r>
      <w:r>
        <w:rPr>
          <w:rFonts w:hint="eastAsia" w:ascii="宋体" w:hAnsi="宋体" w:eastAsia="宋体" w:cs="宋体"/>
          <w:spacing w:val="11"/>
          <w:sz w:val="24"/>
          <w:szCs w:val="24"/>
        </w:rPr>
        <w:t>位。</w:t>
      </w:r>
      <w:r>
        <w:rPr>
          <w:rStyle w:val="20"/>
          <w:rFonts w:hint="eastAsia" w:ascii="宋体" w:hAnsi="宋体" w:eastAsia="宋体" w:cs="宋体"/>
          <w:spacing w:val="11"/>
          <w:sz w:val="24"/>
          <w:szCs w:val="24"/>
        </w:rPr>
        <w:footnoteReference w:id="785"/>
      </w:r>
      <w:r>
        <w:rPr>
          <w:rFonts w:hint="eastAsia" w:ascii="宋体" w:hAnsi="宋体" w:eastAsia="宋体" w:cs="宋体"/>
          <w:spacing w:val="11"/>
          <w:sz w:val="24"/>
          <w:szCs w:val="24"/>
        </w:rPr>
        <w:t>现有学者的研究结果表明,我国的财富和收入分配格局失当,以基尼系</w:t>
      </w:r>
      <w:r>
        <w:rPr>
          <w:rFonts w:hint="eastAsia" w:ascii="宋体" w:hAnsi="宋体" w:eastAsia="宋体" w:cs="宋体"/>
          <w:spacing w:val="16"/>
          <w:sz w:val="24"/>
          <w:szCs w:val="24"/>
        </w:rPr>
        <w:t>数和广义熵指数度量的家庭间财富和收入差距较大,且未出现明</w:t>
      </w:r>
      <w:r>
        <w:rPr>
          <w:rFonts w:hint="eastAsia" w:ascii="宋体" w:hAnsi="宋体" w:eastAsia="宋体" w:cs="宋体"/>
          <w:spacing w:val="15"/>
          <w:sz w:val="24"/>
          <w:szCs w:val="24"/>
        </w:rPr>
        <w:t>显的缩小趋</w:t>
      </w:r>
      <w:r>
        <w:rPr>
          <w:rFonts w:hint="eastAsia" w:ascii="宋体" w:hAnsi="宋体" w:eastAsia="宋体" w:cs="宋体"/>
          <w:spacing w:val="5"/>
          <w:sz w:val="24"/>
          <w:szCs w:val="24"/>
        </w:rPr>
        <w:t>向。</w:t>
      </w:r>
      <w:r>
        <w:rPr>
          <w:rStyle w:val="20"/>
          <w:rFonts w:hint="eastAsia" w:ascii="宋体" w:hAnsi="宋体" w:eastAsia="宋体" w:cs="宋体"/>
          <w:spacing w:val="5"/>
          <w:sz w:val="24"/>
          <w:szCs w:val="24"/>
        </w:rPr>
        <w:footnoteReference w:id="786"/>
      </w:r>
      <w:r>
        <w:rPr>
          <w:rStyle w:val="20"/>
          <w:rFonts w:hint="eastAsia" w:ascii="宋体" w:hAnsi="宋体" w:eastAsia="宋体" w:cs="宋体"/>
          <w:spacing w:val="5"/>
          <w:sz w:val="24"/>
          <w:szCs w:val="24"/>
        </w:rPr>
        <w:footnoteReference w:id="787"/>
      </w:r>
      <w:r>
        <w:rPr>
          <w:rFonts w:hint="eastAsia" w:ascii="宋体" w:hAnsi="宋体" w:eastAsia="宋体" w:cs="宋体"/>
          <w:spacing w:val="5"/>
          <w:sz w:val="24"/>
          <w:szCs w:val="24"/>
        </w:rPr>
        <w:t>显然,这些现状均不利于实现“共同富裕”这一社会主义本</w:t>
      </w:r>
      <w:r>
        <w:rPr>
          <w:rFonts w:hint="eastAsia" w:ascii="宋体" w:hAnsi="宋体" w:eastAsia="宋体" w:cs="宋体"/>
          <w:spacing w:val="4"/>
          <w:sz w:val="24"/>
          <w:szCs w:val="24"/>
        </w:rPr>
        <w:t>质的核心内</w:t>
      </w:r>
      <w:r>
        <w:rPr>
          <w:rFonts w:hint="eastAsia" w:ascii="宋体" w:hAnsi="宋体" w:eastAsia="宋体" w:cs="宋体"/>
          <w:spacing w:val="18"/>
          <w:sz w:val="24"/>
          <w:szCs w:val="24"/>
        </w:rPr>
        <w:t>容和社会主义改革的发展方向</w:t>
      </w:r>
      <w:r>
        <w:rPr>
          <w:rStyle w:val="20"/>
          <w:rFonts w:hint="eastAsia" w:ascii="宋体" w:hAnsi="宋体" w:eastAsia="宋体" w:cs="宋体"/>
          <w:spacing w:val="18"/>
          <w:sz w:val="24"/>
          <w:szCs w:val="24"/>
        </w:rPr>
        <w:footnoteReference w:id="788"/>
      </w:r>
      <w:r>
        <w:rPr>
          <w:rFonts w:hint="eastAsia" w:ascii="宋体" w:hAnsi="宋体" w:eastAsia="宋体" w:cs="宋体"/>
          <w:spacing w:val="18"/>
          <w:sz w:val="24"/>
          <w:szCs w:val="24"/>
        </w:rPr>
        <w:t>,还将对社会的稳定和可持续发展产生严重</w:t>
      </w:r>
      <w:r>
        <w:rPr>
          <w:rFonts w:hint="eastAsia" w:ascii="宋体" w:hAnsi="宋体" w:eastAsia="宋体" w:cs="宋体"/>
          <w:spacing w:val="37"/>
          <w:sz w:val="24"/>
          <w:szCs w:val="24"/>
        </w:rPr>
        <w:t>影响。</w:t>
      </w:r>
    </w:p>
    <w:p w14:paraId="610A6A5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产权对策在缓解财富与收入分配差距方面起着决定性作用;财税对</w:t>
      </w:r>
      <w:r>
        <w:rPr>
          <w:rFonts w:hint="eastAsia" w:ascii="宋体" w:hAnsi="宋体" w:eastAsia="宋体" w:cs="宋体"/>
          <w:spacing w:val="11"/>
          <w:sz w:val="24"/>
          <w:szCs w:val="24"/>
        </w:rPr>
        <w:t>策发</w:t>
      </w:r>
      <w:r>
        <w:rPr>
          <w:rFonts w:hint="eastAsia" w:ascii="宋体" w:hAnsi="宋体" w:eastAsia="宋体" w:cs="宋体"/>
          <w:spacing w:val="16"/>
          <w:sz w:val="24"/>
          <w:szCs w:val="24"/>
        </w:rPr>
        <w:t>挥着重要的调节作用;金融对策则会对财富和收</w:t>
      </w:r>
      <w:r>
        <w:rPr>
          <w:rFonts w:hint="eastAsia" w:ascii="宋体" w:hAnsi="宋体" w:eastAsia="宋体" w:cs="宋体"/>
          <w:spacing w:val="15"/>
          <w:sz w:val="24"/>
          <w:szCs w:val="24"/>
        </w:rPr>
        <w:t>入的变动起着直接的涨缩影</w:t>
      </w:r>
      <w:r>
        <w:rPr>
          <w:rFonts w:hint="eastAsia" w:ascii="宋体" w:hAnsi="宋体" w:eastAsia="宋体" w:cs="宋体"/>
          <w:spacing w:val="14"/>
          <w:sz w:val="24"/>
          <w:szCs w:val="24"/>
        </w:rPr>
        <w:t>响;房产是家庭财富的主要组成部分,房产价值的不平等对</w:t>
      </w:r>
      <w:r>
        <w:rPr>
          <w:rFonts w:hint="eastAsia" w:ascii="宋体" w:hAnsi="宋体" w:eastAsia="宋体" w:cs="宋体"/>
          <w:spacing w:val="13"/>
          <w:sz w:val="24"/>
          <w:szCs w:val="24"/>
        </w:rPr>
        <w:t>家庭之间财富不平</w:t>
      </w:r>
      <w:r>
        <w:rPr>
          <w:rFonts w:hint="eastAsia" w:ascii="宋体" w:hAnsi="宋体" w:eastAsia="宋体" w:cs="宋体"/>
          <w:spacing w:val="15"/>
          <w:sz w:val="24"/>
          <w:szCs w:val="24"/>
        </w:rPr>
        <w:t>等的贡献率最高。基于此,本文依据马克思主义及其中国化分配理</w:t>
      </w:r>
      <w:r>
        <w:rPr>
          <w:rFonts w:hint="eastAsia" w:ascii="宋体" w:hAnsi="宋体" w:eastAsia="宋体" w:cs="宋体"/>
          <w:spacing w:val="14"/>
          <w:sz w:val="24"/>
          <w:szCs w:val="24"/>
        </w:rPr>
        <w:t>论,将遵循</w:t>
      </w:r>
      <w:r>
        <w:rPr>
          <w:rFonts w:hint="eastAsia" w:ascii="宋体" w:hAnsi="宋体" w:eastAsia="宋体" w:cs="宋体"/>
          <w:spacing w:val="-17"/>
          <w:sz w:val="24"/>
          <w:szCs w:val="24"/>
        </w:rPr>
        <w:t>“人民至上”“问题意识”“守正创新”和“系统观念”,从产权、财税、金融、房产四</w:t>
      </w:r>
      <w:r>
        <w:rPr>
          <w:rFonts w:hint="eastAsia" w:ascii="宋体" w:hAnsi="宋体" w:eastAsia="宋体" w:cs="宋体"/>
          <w:spacing w:val="13"/>
          <w:sz w:val="24"/>
          <w:szCs w:val="24"/>
        </w:rPr>
        <w:t>大方面提出对策建议,以期为缩小我国财富与收入分配差距提供参考。</w:t>
      </w:r>
    </w:p>
    <w:p w14:paraId="21EA9199">
      <w:pPr>
        <w:pStyle w:val="4"/>
        <w:bidi w:val="0"/>
        <w:rPr>
          <w:rFonts w:hint="eastAsia"/>
        </w:rPr>
      </w:pPr>
      <w:r>
        <w:rPr>
          <w:rFonts w:hint="eastAsia"/>
        </w:rPr>
        <w:t>一、产权对策</w:t>
      </w:r>
    </w:p>
    <w:p w14:paraId="5BACD92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马克思主义政治经济学基本原理告诉我们,所有制关系决定分</w:t>
      </w:r>
      <w:r>
        <w:rPr>
          <w:rFonts w:hint="eastAsia" w:ascii="宋体" w:hAnsi="宋体" w:eastAsia="宋体" w:cs="宋体"/>
          <w:spacing w:val="11"/>
          <w:sz w:val="24"/>
          <w:szCs w:val="24"/>
        </w:rPr>
        <w:t>配关系,产</w:t>
      </w:r>
      <w:r>
        <w:rPr>
          <w:rFonts w:hint="eastAsia" w:ascii="宋体" w:hAnsi="宋体" w:eastAsia="宋体" w:cs="宋体"/>
          <w:spacing w:val="9"/>
          <w:sz w:val="24"/>
          <w:szCs w:val="24"/>
        </w:rPr>
        <w:t>权制度和政策在缓解财富与收入分配差距方面起着关键性作用。广义的产权</w:t>
      </w:r>
      <w:r>
        <w:rPr>
          <w:rFonts w:hint="eastAsia" w:ascii="宋体" w:hAnsi="宋体" w:eastAsia="宋体" w:cs="宋体"/>
          <w:spacing w:val="3"/>
          <w:sz w:val="24"/>
          <w:szCs w:val="24"/>
        </w:rPr>
        <w:t>与广义的所有权或所有制在概念内涵上是大同小异的。《宪法》规定我国</w:t>
      </w:r>
      <w:r>
        <w:rPr>
          <w:rFonts w:hint="eastAsia" w:ascii="宋体" w:hAnsi="宋体" w:eastAsia="宋体" w:cs="宋体"/>
          <w:spacing w:val="2"/>
          <w:sz w:val="24"/>
          <w:szCs w:val="24"/>
        </w:rPr>
        <w:t>实行</w:t>
      </w:r>
      <w:r>
        <w:rPr>
          <w:rFonts w:hint="eastAsia" w:ascii="宋体" w:hAnsi="宋体" w:eastAsia="宋体" w:cs="宋体"/>
          <w:spacing w:val="7"/>
          <w:sz w:val="24"/>
          <w:szCs w:val="24"/>
        </w:rPr>
        <w:t>以公有制经济为主体、多种所有制经济共同发展的基本经济制度,这是由社会</w:t>
      </w:r>
      <w:r>
        <w:rPr>
          <w:rFonts w:hint="eastAsia" w:ascii="宋体" w:hAnsi="宋体" w:eastAsia="宋体" w:cs="宋体"/>
          <w:spacing w:val="14"/>
          <w:sz w:val="24"/>
          <w:szCs w:val="24"/>
        </w:rPr>
        <w:t>主义性质和社会主义初级阶段的基本国情决定的,进</w:t>
      </w:r>
      <w:r>
        <w:rPr>
          <w:rFonts w:hint="eastAsia" w:ascii="宋体" w:hAnsi="宋体" w:eastAsia="宋体" w:cs="宋体"/>
          <w:spacing w:val="13"/>
          <w:sz w:val="24"/>
          <w:szCs w:val="24"/>
        </w:rPr>
        <w:t>而也决定了我国的分配</w:t>
      </w:r>
      <w:r>
        <w:rPr>
          <w:rFonts w:hint="eastAsia" w:ascii="宋体" w:hAnsi="宋体" w:eastAsia="宋体" w:cs="宋体"/>
          <w:spacing w:val="9"/>
          <w:sz w:val="24"/>
          <w:szCs w:val="24"/>
        </w:rPr>
        <w:t>制度,即以按劳分配为主体、多种分配方式并存的制度。坚持公有制为</w:t>
      </w:r>
      <w:r>
        <w:rPr>
          <w:rFonts w:hint="eastAsia" w:ascii="宋体" w:hAnsi="宋体" w:eastAsia="宋体" w:cs="宋体"/>
          <w:spacing w:val="8"/>
          <w:sz w:val="24"/>
          <w:szCs w:val="24"/>
        </w:rPr>
        <w:t>主体、</w:t>
      </w:r>
      <w:r>
        <w:rPr>
          <w:rFonts w:hint="eastAsia" w:ascii="宋体" w:hAnsi="宋体" w:eastAsia="宋体" w:cs="宋体"/>
          <w:spacing w:val="12"/>
          <w:sz w:val="24"/>
          <w:szCs w:val="24"/>
        </w:rPr>
        <w:t>按劳分配为主是实现共同富裕的前提和保障。</w:t>
      </w:r>
      <w:r>
        <w:rPr>
          <w:rStyle w:val="20"/>
          <w:rFonts w:hint="eastAsia" w:ascii="宋体" w:hAnsi="宋体" w:eastAsia="宋体" w:cs="宋体"/>
          <w:spacing w:val="12"/>
          <w:sz w:val="24"/>
          <w:szCs w:val="24"/>
        </w:rPr>
        <w:footnoteReference w:id="789"/>
      </w:r>
      <w:r>
        <w:rPr>
          <w:rFonts w:hint="eastAsia" w:ascii="宋体" w:hAnsi="宋体" w:eastAsia="宋体" w:cs="宋体"/>
          <w:spacing w:val="12"/>
          <w:sz w:val="24"/>
          <w:szCs w:val="24"/>
        </w:rPr>
        <w:t>现实表明,公有制经济内部</w:t>
      </w:r>
      <w:r>
        <w:rPr>
          <w:rFonts w:hint="eastAsia" w:ascii="宋体" w:hAnsi="宋体" w:eastAsia="宋体" w:cs="宋体"/>
          <w:spacing w:val="13"/>
          <w:sz w:val="24"/>
          <w:szCs w:val="24"/>
        </w:rPr>
        <w:t>的分配差距相对较小,而国有企业和集体企业改制,国有经济战略布局的调</w:t>
      </w:r>
      <w:r>
        <w:rPr>
          <w:rFonts w:hint="eastAsia" w:ascii="宋体" w:hAnsi="宋体" w:eastAsia="宋体" w:cs="宋体"/>
          <w:spacing w:val="14"/>
          <w:sz w:val="24"/>
          <w:szCs w:val="24"/>
        </w:rPr>
        <w:t>整,使公有经济在国民经济中的比重大幅下</w:t>
      </w:r>
      <w:r>
        <w:rPr>
          <w:rFonts w:hint="eastAsia" w:ascii="宋体" w:hAnsi="宋体" w:eastAsia="宋体" w:cs="宋体"/>
          <w:spacing w:val="13"/>
          <w:sz w:val="24"/>
          <w:szCs w:val="24"/>
        </w:rPr>
        <w:t>降,非公经济的比重不断上升,相</w:t>
      </w:r>
      <w:r>
        <w:rPr>
          <w:rFonts w:hint="eastAsia" w:ascii="宋体" w:hAnsi="宋体" w:eastAsia="宋体" w:cs="宋体"/>
          <w:spacing w:val="10"/>
          <w:sz w:val="24"/>
          <w:szCs w:val="24"/>
        </w:rPr>
        <w:t>应地,因资本所得占比增大而导致劳动所得</w:t>
      </w:r>
      <w:r>
        <w:rPr>
          <w:rFonts w:hint="eastAsia" w:ascii="宋体" w:hAnsi="宋体" w:eastAsia="宋体" w:cs="宋体"/>
          <w:spacing w:val="9"/>
          <w:sz w:val="24"/>
          <w:szCs w:val="24"/>
        </w:rPr>
        <w:t>下降,从而成为导致分配过度分化</w:t>
      </w:r>
      <w:r>
        <w:rPr>
          <w:rFonts w:hint="eastAsia" w:ascii="宋体" w:hAnsi="宋体" w:eastAsia="宋体" w:cs="宋体"/>
          <w:spacing w:val="-10"/>
          <w:sz w:val="24"/>
          <w:szCs w:val="24"/>
        </w:rPr>
        <w:t>的主要原因。</w:t>
      </w:r>
      <w:r>
        <w:rPr>
          <w:rStyle w:val="20"/>
          <w:rFonts w:hint="eastAsia" w:ascii="宋体" w:hAnsi="宋体" w:eastAsia="宋体" w:cs="宋体"/>
          <w:spacing w:val="-10"/>
          <w:sz w:val="24"/>
          <w:szCs w:val="24"/>
        </w:rPr>
        <w:footnoteReference w:id="790"/>
      </w:r>
      <w:r>
        <w:rPr>
          <w:rFonts w:hint="eastAsia" w:ascii="宋体" w:hAnsi="宋体" w:eastAsia="宋体" w:cs="宋体"/>
          <w:spacing w:val="16"/>
          <w:sz w:val="24"/>
          <w:szCs w:val="24"/>
        </w:rPr>
        <w:t>因此,缩小财富和收入过大差距及扎实推动共同富裕的首要</w:t>
      </w:r>
      <w:r>
        <w:rPr>
          <w:rFonts w:hint="eastAsia" w:ascii="宋体" w:hAnsi="宋体" w:eastAsia="宋体" w:cs="宋体"/>
          <w:spacing w:val="10"/>
          <w:sz w:val="24"/>
          <w:szCs w:val="24"/>
        </w:rPr>
        <w:t>政策,便是必须在产权方面采取有效措施。</w:t>
      </w:r>
    </w:p>
    <w:p w14:paraId="46023E0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(一)做强做优做大国有企业和国有资本</w:t>
      </w:r>
    </w:p>
    <w:p w14:paraId="6E922C7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position w:val="-2"/>
          <w:sz w:val="24"/>
          <w:szCs w:val="24"/>
        </w:rPr>
        <w:t>2016</w:t>
      </w:r>
      <w:r>
        <w:rPr>
          <w:rFonts w:hint="eastAsia" w:ascii="宋体" w:hAnsi="宋体" w:eastAsia="宋体" w:cs="宋体"/>
          <w:spacing w:val="13"/>
          <w:sz w:val="24"/>
          <w:szCs w:val="24"/>
        </w:rPr>
        <w:t>年,习近平总书记在全国国有企业改革座谈会上作出重要指示,强</w:t>
      </w:r>
      <w:r>
        <w:rPr>
          <w:rFonts w:hint="eastAsia" w:ascii="宋体" w:hAnsi="宋体" w:eastAsia="宋体" w:cs="宋体"/>
          <w:spacing w:val="7"/>
          <w:sz w:val="24"/>
          <w:szCs w:val="24"/>
        </w:rPr>
        <w:t>调国有企业是壮大国家综合实力、保障人民共同利益的重要力量,必须理直气</w:t>
      </w:r>
      <w:r>
        <w:rPr>
          <w:rFonts w:hint="eastAsia" w:ascii="宋体" w:hAnsi="宋体" w:eastAsia="宋体" w:cs="宋体"/>
          <w:spacing w:val="11"/>
          <w:sz w:val="24"/>
          <w:szCs w:val="24"/>
        </w:rPr>
        <w:t>壮做强做优做大,不断增强活力、影响力、抗风险能力,实现</w:t>
      </w:r>
      <w:r>
        <w:rPr>
          <w:rFonts w:hint="eastAsia" w:ascii="宋体" w:hAnsi="宋体" w:eastAsia="宋体" w:cs="宋体"/>
          <w:spacing w:val="10"/>
          <w:sz w:val="24"/>
          <w:szCs w:val="24"/>
        </w:rPr>
        <w:t>国有资产保值增</w:t>
      </w:r>
      <w:r>
        <w:rPr>
          <w:rFonts w:hint="eastAsia" w:ascii="宋体" w:hAnsi="宋体" w:eastAsia="宋体" w:cs="宋体"/>
          <w:spacing w:val="-20"/>
          <w:w w:val="89"/>
          <w:sz w:val="24"/>
          <w:szCs w:val="24"/>
        </w:rPr>
        <w:t>值。</w:t>
      </w:r>
      <w:r>
        <w:rPr>
          <w:rStyle w:val="20"/>
          <w:rFonts w:hint="eastAsia" w:ascii="宋体" w:hAnsi="宋体" w:eastAsia="宋体" w:cs="宋体"/>
          <w:spacing w:val="-20"/>
          <w:w w:val="89"/>
          <w:sz w:val="24"/>
          <w:szCs w:val="24"/>
        </w:rPr>
        <w:footnoteReference w:id="791"/>
      </w:r>
      <w:r>
        <w:rPr>
          <w:rFonts w:hint="eastAsia" w:ascii="宋体" w:hAnsi="宋体" w:eastAsia="宋体" w:cs="宋体"/>
          <w:spacing w:val="1"/>
          <w:sz w:val="24"/>
          <w:szCs w:val="24"/>
        </w:rPr>
        <w:t>按照</w:t>
      </w:r>
      <w:r>
        <w:rPr>
          <w:rFonts w:hint="eastAsia" w:ascii="宋体" w:hAnsi="宋体" w:eastAsia="宋体" w:cs="宋体"/>
          <w:spacing w:val="10"/>
          <w:sz w:val="24"/>
          <w:szCs w:val="24"/>
        </w:rPr>
        <w:t>《宪法》规定精神和实际需要,社会主义全民所有制性质的国有经</w:t>
      </w:r>
      <w:r>
        <w:rPr>
          <w:rFonts w:hint="eastAsia" w:ascii="宋体" w:hAnsi="宋体" w:eastAsia="宋体" w:cs="宋体"/>
          <w:spacing w:val="12"/>
          <w:sz w:val="24"/>
          <w:szCs w:val="24"/>
        </w:rPr>
        <w:t>济是公有制经济的重要组成部分,是国民经济的主导力量,应控制国计</w:t>
      </w:r>
      <w:r>
        <w:rPr>
          <w:rFonts w:hint="eastAsia" w:ascii="宋体" w:hAnsi="宋体" w:eastAsia="宋体" w:cs="宋体"/>
          <w:spacing w:val="11"/>
          <w:sz w:val="24"/>
          <w:szCs w:val="24"/>
        </w:rPr>
        <w:t>民生命</w:t>
      </w:r>
      <w:r>
        <w:rPr>
          <w:rFonts w:hint="eastAsia" w:ascii="宋体" w:hAnsi="宋体" w:eastAsia="宋体" w:cs="宋体"/>
          <w:spacing w:val="1"/>
          <w:sz w:val="24"/>
          <w:szCs w:val="24"/>
        </w:rPr>
        <w:t>脉。改革开放前后,国有企业均对“经济社会发展、科技进步、</w:t>
      </w:r>
      <w:r>
        <w:rPr>
          <w:rFonts w:hint="eastAsia" w:ascii="宋体" w:hAnsi="宋体" w:eastAsia="宋体" w:cs="宋体"/>
          <w:sz w:val="24"/>
          <w:szCs w:val="24"/>
        </w:rPr>
        <w:t>国防建设、民生</w:t>
      </w:r>
      <w:r>
        <w:rPr>
          <w:rFonts w:hint="eastAsia" w:ascii="宋体" w:hAnsi="宋体" w:eastAsia="宋体" w:cs="宋体"/>
          <w:spacing w:val="5"/>
          <w:sz w:val="24"/>
          <w:szCs w:val="24"/>
        </w:rPr>
        <w:t>改善作出了历史性贡献”</w:t>
      </w:r>
      <w:r>
        <w:rPr>
          <w:rStyle w:val="20"/>
          <w:rFonts w:hint="eastAsia" w:ascii="宋体" w:hAnsi="宋体" w:eastAsia="宋体" w:cs="宋体"/>
          <w:spacing w:val="5"/>
          <w:sz w:val="24"/>
          <w:szCs w:val="24"/>
        </w:rPr>
        <w:footnoteReference w:id="792"/>
      </w:r>
      <w:r>
        <w:rPr>
          <w:rFonts w:hint="eastAsia" w:ascii="宋体" w:hAnsi="宋体" w:eastAsia="宋体" w:cs="宋体"/>
          <w:spacing w:val="5"/>
          <w:sz w:val="24"/>
          <w:szCs w:val="24"/>
        </w:rPr>
        <w:t>,为“国强民富”打下了坚实的基础,成为推动我国</w:t>
      </w:r>
      <w:r>
        <w:rPr>
          <w:rFonts w:hint="eastAsia" w:ascii="宋体" w:hAnsi="宋体" w:eastAsia="宋体" w:cs="宋体"/>
          <w:spacing w:val="11"/>
          <w:sz w:val="24"/>
          <w:szCs w:val="24"/>
        </w:rPr>
        <w:t>社会生产力快速增长的主导力量。在许多领域,国有企业的存在和发展使居</w:t>
      </w:r>
      <w:r>
        <w:rPr>
          <w:rFonts w:hint="eastAsia" w:ascii="宋体" w:hAnsi="宋体" w:eastAsia="宋体" w:cs="宋体"/>
          <w:spacing w:val="12"/>
          <w:sz w:val="24"/>
          <w:szCs w:val="24"/>
        </w:rPr>
        <w:t>民的基本生活得到充分的保障,避免了因非公企业自由定价过高而导致居民</w:t>
      </w:r>
      <w:r>
        <w:rPr>
          <w:rFonts w:hint="eastAsia" w:ascii="宋体" w:hAnsi="宋体" w:eastAsia="宋体" w:cs="宋体"/>
          <w:spacing w:val="10"/>
          <w:sz w:val="24"/>
          <w:szCs w:val="24"/>
        </w:rPr>
        <w:t>实际收入缩减和消费受损的问题。同时,国有企业内部的收</w:t>
      </w:r>
      <w:r>
        <w:rPr>
          <w:rFonts w:hint="eastAsia" w:ascii="宋体" w:hAnsi="宋体" w:eastAsia="宋体" w:cs="宋体"/>
          <w:spacing w:val="9"/>
          <w:sz w:val="24"/>
          <w:szCs w:val="24"/>
        </w:rPr>
        <w:t>入制度不断改革,</w:t>
      </w:r>
      <w:r>
        <w:rPr>
          <w:rFonts w:hint="eastAsia" w:ascii="宋体" w:hAnsi="宋体" w:eastAsia="宋体" w:cs="宋体"/>
          <w:spacing w:val="12"/>
          <w:sz w:val="24"/>
          <w:szCs w:val="24"/>
        </w:rPr>
        <w:t>不同职务的职工实行合理的收入差距,从而起到激励作用,也不会影响</w:t>
      </w:r>
      <w:r>
        <w:rPr>
          <w:rFonts w:hint="eastAsia" w:ascii="宋体" w:hAnsi="宋体" w:eastAsia="宋体" w:cs="宋体"/>
          <w:spacing w:val="11"/>
          <w:sz w:val="24"/>
          <w:szCs w:val="24"/>
        </w:rPr>
        <w:t>企业内</w:t>
      </w:r>
      <w:r>
        <w:rPr>
          <w:rFonts w:hint="eastAsia" w:ascii="宋体" w:hAnsi="宋体" w:eastAsia="宋体" w:cs="宋体"/>
          <w:spacing w:val="7"/>
          <w:sz w:val="24"/>
          <w:szCs w:val="24"/>
        </w:rPr>
        <w:t>部全体职工的“利益共享”。此外,国有企业和国有资本通过积极参与社会公</w:t>
      </w:r>
      <w:r>
        <w:rPr>
          <w:rFonts w:hint="eastAsia" w:ascii="宋体" w:hAnsi="宋体" w:eastAsia="宋体" w:cs="宋体"/>
          <w:spacing w:val="14"/>
          <w:sz w:val="24"/>
          <w:szCs w:val="24"/>
        </w:rPr>
        <w:t>益事业,如扶贫济困、捐资助学等,为社会弱势群体提供更多的帮助和支持。因此,我们要在坚定落实党的十八大以来习近平总书记</w:t>
      </w:r>
      <w:r>
        <w:rPr>
          <w:rFonts w:hint="eastAsia" w:ascii="宋体" w:hAnsi="宋体" w:eastAsia="宋体" w:cs="宋体"/>
          <w:spacing w:val="13"/>
          <w:sz w:val="24"/>
          <w:szCs w:val="24"/>
        </w:rPr>
        <w:t>关于国有企业改革发</w:t>
      </w:r>
      <w:r>
        <w:rPr>
          <w:rFonts w:hint="eastAsia" w:ascii="宋体" w:hAnsi="宋体" w:eastAsia="宋体" w:cs="宋体"/>
          <w:spacing w:val="14"/>
          <w:sz w:val="24"/>
          <w:szCs w:val="24"/>
        </w:rPr>
        <w:t>展和党的建设等重要论述精神的基础上,协调做强做优</w:t>
      </w:r>
      <w:r>
        <w:rPr>
          <w:rFonts w:hint="eastAsia" w:ascii="宋体" w:hAnsi="宋体" w:eastAsia="宋体" w:cs="宋体"/>
          <w:spacing w:val="13"/>
          <w:sz w:val="24"/>
          <w:szCs w:val="24"/>
        </w:rPr>
        <w:t>做大国有企业与做强</w:t>
      </w:r>
      <w:r>
        <w:rPr>
          <w:rFonts w:hint="eastAsia" w:ascii="宋体" w:hAnsi="宋体" w:eastAsia="宋体" w:cs="宋体"/>
          <w:spacing w:val="1"/>
          <w:sz w:val="24"/>
          <w:szCs w:val="24"/>
        </w:rPr>
        <w:t>做优做大国有资本的关系,充分发挥国有企业和国有资本在“做大蛋糕”和“分</w:t>
      </w:r>
      <w:r>
        <w:rPr>
          <w:rFonts w:hint="eastAsia" w:ascii="宋体" w:hAnsi="宋体" w:eastAsia="宋体" w:cs="宋体"/>
          <w:spacing w:val="-2"/>
          <w:sz w:val="24"/>
          <w:szCs w:val="24"/>
        </w:rPr>
        <w:t>好蛋糕”方面的重要作用。</w:t>
      </w:r>
    </w:p>
    <w:p w14:paraId="5B49640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(二)大力发展集体所有制、合作经济、股份合作制经济</w:t>
      </w:r>
    </w:p>
    <w:p w14:paraId="0C0BBF5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position w:val="-2"/>
          <w:sz w:val="24"/>
          <w:szCs w:val="24"/>
        </w:rPr>
        <w:t>2014</w:t>
      </w:r>
      <w:r>
        <w:rPr>
          <w:rFonts w:hint="eastAsia" w:ascii="宋体" w:hAnsi="宋体" w:eastAsia="宋体" w:cs="宋体"/>
          <w:spacing w:val="11"/>
          <w:sz w:val="24"/>
          <w:szCs w:val="24"/>
        </w:rPr>
        <w:t>年,习近平总书记在中央全面深化改革领导小组第五次会议上的讲</w:t>
      </w:r>
      <w:r>
        <w:rPr>
          <w:rFonts w:hint="eastAsia" w:ascii="宋体" w:hAnsi="宋体" w:eastAsia="宋体" w:cs="宋体"/>
          <w:spacing w:val="6"/>
          <w:sz w:val="24"/>
          <w:szCs w:val="24"/>
        </w:rPr>
        <w:t>话中强调,要“积极发展农民股份合作、赋予集</w:t>
      </w:r>
      <w:r>
        <w:rPr>
          <w:rFonts w:hint="eastAsia" w:ascii="宋体" w:hAnsi="宋体" w:eastAsia="宋体" w:cs="宋体"/>
          <w:spacing w:val="5"/>
          <w:sz w:val="24"/>
          <w:szCs w:val="24"/>
        </w:rPr>
        <w:t>体资产股份权能改革试点的目</w:t>
      </w:r>
      <w:r>
        <w:rPr>
          <w:rFonts w:hint="eastAsia" w:ascii="宋体" w:hAnsi="宋体" w:eastAsia="宋体" w:cs="宋体"/>
          <w:spacing w:val="15"/>
          <w:sz w:val="24"/>
          <w:szCs w:val="24"/>
        </w:rPr>
        <w:t>标方向,是要探索赋予农民更多财产权利,明</w:t>
      </w:r>
      <w:r>
        <w:rPr>
          <w:rFonts w:hint="eastAsia" w:ascii="宋体" w:hAnsi="宋体" w:eastAsia="宋体" w:cs="宋体"/>
          <w:spacing w:val="14"/>
          <w:sz w:val="24"/>
          <w:szCs w:val="24"/>
        </w:rPr>
        <w:t>晰产权归属,完善各项权能,激活</w:t>
      </w:r>
      <w:r>
        <w:rPr>
          <w:rFonts w:hint="eastAsia" w:ascii="宋体" w:hAnsi="宋体" w:eastAsia="宋体" w:cs="宋体"/>
          <w:spacing w:val="20"/>
          <w:sz w:val="24"/>
          <w:szCs w:val="24"/>
        </w:rPr>
        <w:t>农村各类生产要素潜能,建立符合市场经济要求的农村集体经济运营新机</w:t>
      </w:r>
      <w:r>
        <w:rPr>
          <w:rFonts w:hint="eastAsia" w:ascii="宋体" w:hAnsi="宋体" w:eastAsia="宋体" w:cs="宋体"/>
          <w:spacing w:val="2"/>
          <w:sz w:val="24"/>
          <w:szCs w:val="24"/>
        </w:rPr>
        <w:t>制”</w:t>
      </w:r>
      <w:r>
        <w:rPr>
          <w:rStyle w:val="20"/>
          <w:rFonts w:hint="eastAsia" w:ascii="宋体" w:hAnsi="宋体" w:eastAsia="宋体" w:cs="宋体"/>
          <w:spacing w:val="2"/>
          <w:sz w:val="24"/>
          <w:szCs w:val="24"/>
        </w:rPr>
        <w:footnoteReference w:id="793"/>
      </w:r>
      <w:r>
        <w:rPr>
          <w:rFonts w:hint="eastAsia" w:ascii="宋体" w:hAnsi="宋体" w:eastAsia="宋体" w:cs="宋体"/>
          <w:spacing w:val="10"/>
          <w:sz w:val="24"/>
          <w:szCs w:val="24"/>
        </w:rPr>
        <w:t>。在</w:t>
      </w:r>
      <w:r>
        <w:rPr>
          <w:rFonts w:hint="eastAsia" w:ascii="宋体" w:hAnsi="宋体" w:eastAsia="宋体" w:cs="宋体"/>
          <w:spacing w:val="10"/>
          <w:position w:val="-2"/>
          <w:sz w:val="24"/>
          <w:szCs w:val="24"/>
        </w:rPr>
        <w:t>2018</w:t>
      </w:r>
      <w:r>
        <w:rPr>
          <w:rFonts w:hint="eastAsia" w:ascii="宋体" w:hAnsi="宋体" w:eastAsia="宋体" w:cs="宋体"/>
          <w:spacing w:val="10"/>
          <w:sz w:val="24"/>
          <w:szCs w:val="24"/>
        </w:rPr>
        <w:t>年的十九届中央政治局第八次集</w:t>
      </w:r>
      <w:r>
        <w:rPr>
          <w:rFonts w:hint="eastAsia" w:ascii="宋体" w:hAnsi="宋体" w:eastAsia="宋体" w:cs="宋体"/>
          <w:spacing w:val="9"/>
          <w:sz w:val="24"/>
          <w:szCs w:val="24"/>
        </w:rPr>
        <w:t>体学习中,习近平总书记进一步强调,“要把好乡村振兴战略的政治方向,坚持农村土地集体所有制性质,</w:t>
      </w:r>
      <w:r>
        <w:rPr>
          <w:rFonts w:hint="eastAsia" w:ascii="宋体" w:hAnsi="宋体" w:eastAsia="宋体" w:cs="宋体"/>
          <w:spacing w:val="11"/>
          <w:sz w:val="24"/>
          <w:szCs w:val="24"/>
        </w:rPr>
        <w:t>发展新型集体经济,走共同富裕道路”</w:t>
      </w:r>
      <w:r>
        <w:rPr>
          <w:rStyle w:val="20"/>
          <w:rFonts w:hint="eastAsia" w:ascii="宋体" w:hAnsi="宋体" w:eastAsia="宋体" w:cs="宋体"/>
          <w:spacing w:val="11"/>
          <w:sz w:val="24"/>
          <w:szCs w:val="24"/>
        </w:rPr>
        <w:footnoteReference w:id="794"/>
      </w:r>
      <w:r>
        <w:rPr>
          <w:rFonts w:hint="eastAsia" w:ascii="宋体" w:hAnsi="宋体" w:eastAsia="宋体" w:cs="宋体"/>
          <w:spacing w:val="11"/>
          <w:sz w:val="24"/>
          <w:szCs w:val="24"/>
        </w:rPr>
        <w:t>。目前,要特别强调在城乡积极做强</w:t>
      </w:r>
      <w:r>
        <w:rPr>
          <w:rFonts w:hint="eastAsia" w:ascii="宋体" w:hAnsi="宋体" w:eastAsia="宋体" w:cs="宋体"/>
          <w:spacing w:val="7"/>
          <w:sz w:val="24"/>
          <w:szCs w:val="24"/>
        </w:rPr>
        <w:t>做优做大集体所有制企业、合作所有制企业和股份合作所有制企业。其中,集</w:t>
      </w:r>
      <w:r>
        <w:rPr>
          <w:rFonts w:hint="eastAsia" w:ascii="宋体" w:hAnsi="宋体" w:eastAsia="宋体" w:cs="宋体"/>
          <w:spacing w:val="14"/>
          <w:sz w:val="24"/>
          <w:szCs w:val="24"/>
        </w:rPr>
        <w:t>体所有制经济将劳动者与生产资料紧密结合,让劳动者</w:t>
      </w:r>
      <w:r>
        <w:rPr>
          <w:rFonts w:hint="eastAsia" w:ascii="宋体" w:hAnsi="宋体" w:eastAsia="宋体" w:cs="宋体"/>
          <w:spacing w:val="13"/>
          <w:sz w:val="24"/>
          <w:szCs w:val="24"/>
        </w:rPr>
        <w:t>直接参与劳动成果的</w:t>
      </w:r>
      <w:r>
        <w:rPr>
          <w:rFonts w:hint="eastAsia" w:ascii="宋体" w:hAnsi="宋体" w:eastAsia="宋体" w:cs="宋体"/>
          <w:spacing w:val="6"/>
          <w:sz w:val="24"/>
          <w:szCs w:val="24"/>
        </w:rPr>
        <w:t>分配,强调集体利益和共同富裕;合作经济采取自愿、民主、平等和互利的原则,成员共同出资、共同劳动、共担风险、共享收益,能够实现财富的民</w:t>
      </w:r>
      <w:r>
        <w:rPr>
          <w:rFonts w:hint="eastAsia" w:ascii="宋体" w:hAnsi="宋体" w:eastAsia="宋体" w:cs="宋体"/>
          <w:spacing w:val="5"/>
          <w:sz w:val="24"/>
          <w:szCs w:val="24"/>
        </w:rPr>
        <w:t>主管理</w:t>
      </w:r>
      <w:r>
        <w:rPr>
          <w:rFonts w:hint="eastAsia" w:ascii="宋体" w:hAnsi="宋体" w:eastAsia="宋体" w:cs="宋体"/>
          <w:spacing w:val="11"/>
          <w:sz w:val="24"/>
          <w:szCs w:val="24"/>
        </w:rPr>
        <w:t>和平等分配,不仅能够有效防止财富的不平等积累,还能够激发劳</w:t>
      </w:r>
      <w:r>
        <w:rPr>
          <w:rFonts w:hint="eastAsia" w:ascii="宋体" w:hAnsi="宋体" w:eastAsia="宋体" w:cs="宋体"/>
          <w:spacing w:val="10"/>
          <w:sz w:val="24"/>
          <w:szCs w:val="24"/>
        </w:rPr>
        <w:t>动者的积极</w:t>
      </w:r>
      <w:r>
        <w:rPr>
          <w:rFonts w:hint="eastAsia" w:ascii="宋体" w:hAnsi="宋体" w:eastAsia="宋体" w:cs="宋体"/>
          <w:spacing w:val="11"/>
          <w:sz w:val="24"/>
          <w:szCs w:val="24"/>
        </w:rPr>
        <w:t>性和创造力,促进经济的可持续发展;股份合作制经济则结合了股份</w:t>
      </w:r>
      <w:r>
        <w:rPr>
          <w:rFonts w:hint="eastAsia" w:ascii="宋体" w:hAnsi="宋体" w:eastAsia="宋体" w:cs="宋体"/>
          <w:spacing w:val="10"/>
          <w:sz w:val="24"/>
          <w:szCs w:val="24"/>
        </w:rPr>
        <w:t>制和合作</w:t>
      </w:r>
      <w:r>
        <w:rPr>
          <w:rFonts w:hint="eastAsia" w:ascii="宋体" w:hAnsi="宋体" w:eastAsia="宋体" w:cs="宋体"/>
          <w:spacing w:val="12"/>
          <w:sz w:val="24"/>
          <w:szCs w:val="24"/>
        </w:rPr>
        <w:t>制的优势,把劳动者的劳动与资本相结合,以实现劳动与资本的双重联合。这</w:t>
      </w:r>
      <w:r>
        <w:rPr>
          <w:rFonts w:hint="eastAsia" w:ascii="宋体" w:hAnsi="宋体" w:eastAsia="宋体" w:cs="宋体"/>
          <w:spacing w:val="14"/>
          <w:sz w:val="24"/>
          <w:szCs w:val="24"/>
        </w:rPr>
        <w:t>种制度不仅能够使劳动者分享到劳动成果,还能够通过股份</w:t>
      </w:r>
      <w:r>
        <w:rPr>
          <w:rFonts w:hint="eastAsia" w:ascii="宋体" w:hAnsi="宋体" w:eastAsia="宋体" w:cs="宋体"/>
          <w:spacing w:val="13"/>
          <w:sz w:val="24"/>
          <w:szCs w:val="24"/>
        </w:rPr>
        <w:t>的形式参与到企</w:t>
      </w:r>
      <w:r>
        <w:rPr>
          <w:rFonts w:hint="eastAsia" w:ascii="宋体" w:hAnsi="宋体" w:eastAsia="宋体" w:cs="宋体"/>
          <w:spacing w:val="11"/>
          <w:sz w:val="24"/>
          <w:szCs w:val="24"/>
        </w:rPr>
        <w:t>业的利润分配中,从而增加劳动者的收入来源。同时,股份合作制经济</w:t>
      </w:r>
      <w:r>
        <w:rPr>
          <w:rFonts w:hint="eastAsia" w:ascii="宋体" w:hAnsi="宋体" w:eastAsia="宋体" w:cs="宋体"/>
          <w:spacing w:val="10"/>
          <w:sz w:val="24"/>
          <w:szCs w:val="24"/>
        </w:rPr>
        <w:t>还能够促进企业的民主管理和决策透明度,进一步保障劳动者权益。</w:t>
      </w:r>
    </w:p>
    <w:p w14:paraId="50B6B06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上述三种产权模式的发展,在不同程度上既能够为低收入</w:t>
      </w:r>
      <w:r>
        <w:rPr>
          <w:rFonts w:hint="eastAsia" w:ascii="宋体" w:hAnsi="宋体" w:eastAsia="宋体" w:cs="宋体"/>
          <w:spacing w:val="13"/>
          <w:sz w:val="24"/>
          <w:szCs w:val="24"/>
        </w:rPr>
        <w:t>群体提供更多</w:t>
      </w:r>
      <w:r>
        <w:rPr>
          <w:rFonts w:hint="eastAsia" w:ascii="宋体" w:hAnsi="宋体" w:eastAsia="宋体" w:cs="宋体"/>
          <w:spacing w:val="12"/>
          <w:sz w:val="24"/>
          <w:szCs w:val="24"/>
        </w:rPr>
        <w:t>的就业机会和收入来源,也能够通过内部机制的设计,确保财富和收入的</w:t>
      </w:r>
      <w:r>
        <w:rPr>
          <w:rFonts w:hint="eastAsia" w:ascii="宋体" w:hAnsi="宋体" w:eastAsia="宋体" w:cs="宋体"/>
          <w:spacing w:val="11"/>
          <w:sz w:val="24"/>
          <w:szCs w:val="24"/>
        </w:rPr>
        <w:t>合理分配,从而缩小居民间的财富和收入差距。以集体所有制经济为例,习近</w:t>
      </w:r>
      <w:r>
        <w:rPr>
          <w:rFonts w:hint="eastAsia" w:ascii="宋体" w:hAnsi="宋体" w:eastAsia="宋体" w:cs="宋体"/>
          <w:spacing w:val="10"/>
          <w:sz w:val="24"/>
          <w:szCs w:val="24"/>
        </w:rPr>
        <w:t>平总</w:t>
      </w:r>
      <w:r>
        <w:rPr>
          <w:rFonts w:hint="eastAsia" w:ascii="宋体" w:hAnsi="宋体" w:eastAsia="宋体" w:cs="宋体"/>
          <w:spacing w:val="9"/>
          <w:sz w:val="24"/>
          <w:szCs w:val="24"/>
        </w:rPr>
        <w:t>书记在党的十九届五中全会中进一步指出,要“深化农村集体产权制度</w:t>
      </w:r>
      <w:r>
        <w:rPr>
          <w:rFonts w:hint="eastAsia" w:ascii="宋体" w:hAnsi="宋体" w:eastAsia="宋体" w:cs="宋体"/>
          <w:spacing w:val="8"/>
          <w:sz w:val="24"/>
          <w:szCs w:val="24"/>
        </w:rPr>
        <w:t>改革,发展新型农村集体经济”</w:t>
      </w:r>
      <w:r>
        <w:rPr>
          <w:rStyle w:val="20"/>
          <w:rFonts w:hint="eastAsia" w:ascii="宋体" w:hAnsi="宋体" w:eastAsia="宋体" w:cs="宋体"/>
          <w:spacing w:val="8"/>
          <w:sz w:val="24"/>
          <w:szCs w:val="24"/>
        </w:rPr>
        <w:footnoteReference w:id="795"/>
      </w:r>
      <w:r>
        <w:rPr>
          <w:rFonts w:hint="eastAsia" w:ascii="宋体" w:hAnsi="宋体" w:eastAsia="宋体" w:cs="宋体"/>
          <w:spacing w:val="8"/>
          <w:sz w:val="24"/>
          <w:szCs w:val="24"/>
        </w:rPr>
        <w:t>。这便清楚地说明了集体经济在实现共同富裕目</w:t>
      </w:r>
      <w:r>
        <w:rPr>
          <w:rFonts w:hint="eastAsia" w:ascii="宋体" w:hAnsi="宋体" w:eastAsia="宋体" w:cs="宋体"/>
          <w:spacing w:val="14"/>
          <w:sz w:val="24"/>
          <w:szCs w:val="24"/>
        </w:rPr>
        <w:t>标中的重要性。作为社会主义公有制经济的重要形式,农</w:t>
      </w:r>
      <w:r>
        <w:rPr>
          <w:rFonts w:hint="eastAsia" w:ascii="宋体" w:hAnsi="宋体" w:eastAsia="宋体" w:cs="宋体"/>
          <w:spacing w:val="13"/>
          <w:sz w:val="24"/>
          <w:szCs w:val="24"/>
        </w:rPr>
        <w:t>村集体经济为农民</w:t>
      </w:r>
      <w:r>
        <w:rPr>
          <w:rFonts w:hint="eastAsia" w:ascii="宋体" w:hAnsi="宋体" w:eastAsia="宋体" w:cs="宋体"/>
          <w:spacing w:val="7"/>
          <w:sz w:val="24"/>
          <w:szCs w:val="24"/>
        </w:rPr>
        <w:t>增产增收提供了有力保障,是推动实现乡村振兴、促进农村共同富裕的主要力</w:t>
      </w:r>
      <w:r>
        <w:rPr>
          <w:rFonts w:hint="eastAsia" w:ascii="宋体" w:hAnsi="宋体" w:eastAsia="宋体" w:cs="宋体"/>
          <w:spacing w:val="-24"/>
          <w:w w:val="91"/>
          <w:sz w:val="24"/>
          <w:szCs w:val="24"/>
        </w:rPr>
        <w:t>量。</w:t>
      </w:r>
      <w:r>
        <w:rPr>
          <w:rStyle w:val="20"/>
          <w:rFonts w:hint="eastAsia" w:ascii="宋体" w:hAnsi="宋体" w:eastAsia="宋体" w:cs="宋体"/>
          <w:spacing w:val="-24"/>
          <w:w w:val="91"/>
          <w:sz w:val="24"/>
          <w:szCs w:val="24"/>
        </w:rPr>
        <w:footnoteReference w:id="796"/>
      </w:r>
      <w:r>
        <w:rPr>
          <w:rFonts w:hint="eastAsia" w:ascii="宋体" w:hAnsi="宋体" w:eastAsia="宋体" w:cs="宋体"/>
          <w:spacing w:val="13"/>
          <w:sz w:val="24"/>
          <w:szCs w:val="24"/>
        </w:rPr>
        <w:t>因此,未来应大力发展集体所有制、合作经济和股份合作制经济。比</w:t>
      </w:r>
      <w:r>
        <w:rPr>
          <w:rFonts w:hint="eastAsia" w:ascii="宋体" w:hAnsi="宋体" w:eastAsia="宋体" w:cs="宋体"/>
          <w:spacing w:val="15"/>
          <w:sz w:val="24"/>
          <w:szCs w:val="24"/>
        </w:rPr>
        <w:t>如,要立足于共同富裕的要求,积极出台支持农村集体经济发展的扶持制度,</w:t>
      </w:r>
      <w:r>
        <w:rPr>
          <w:rFonts w:hint="eastAsia" w:ascii="宋体" w:hAnsi="宋体" w:eastAsia="宋体" w:cs="宋体"/>
          <w:spacing w:val="2"/>
          <w:sz w:val="24"/>
          <w:szCs w:val="24"/>
        </w:rPr>
        <w:t>尽快制定《集体经济法》,并充分发挥上述</w:t>
      </w:r>
      <w:r>
        <w:rPr>
          <w:rFonts w:hint="eastAsia" w:ascii="宋体" w:hAnsi="宋体" w:eastAsia="宋体" w:cs="宋体"/>
          <w:spacing w:val="1"/>
          <w:sz w:val="24"/>
          <w:szCs w:val="24"/>
        </w:rPr>
        <w:t>经济形态在公平分配资源、保障劳动</w:t>
      </w:r>
      <w:r>
        <w:rPr>
          <w:rFonts w:hint="eastAsia" w:ascii="宋体" w:hAnsi="宋体" w:eastAsia="宋体" w:cs="宋体"/>
          <w:spacing w:val="11"/>
          <w:sz w:val="24"/>
          <w:szCs w:val="24"/>
        </w:rPr>
        <w:t>者权益、激发社会创新活力等方面的作用,以促进社会公平和共同富裕的实</w:t>
      </w:r>
      <w:r>
        <w:rPr>
          <w:rFonts w:hint="eastAsia" w:ascii="宋体" w:hAnsi="宋体" w:eastAsia="宋体" w:cs="宋体"/>
          <w:spacing w:val="9"/>
          <w:sz w:val="24"/>
          <w:szCs w:val="24"/>
        </w:rPr>
        <w:t>现。撇开公有制而奢谈缩小居民财富和收入分配差距继而促进共同富裕的思</w:t>
      </w:r>
      <w:r>
        <w:rPr>
          <w:rFonts w:hint="eastAsia" w:ascii="宋体" w:hAnsi="宋体" w:eastAsia="宋体" w:cs="宋体"/>
          <w:spacing w:val="4"/>
          <w:sz w:val="24"/>
          <w:szCs w:val="24"/>
        </w:rPr>
        <w:t>维方式,无异于缘木求鱼、舍本逐末。</w:t>
      </w:r>
    </w:p>
    <w:p w14:paraId="27DB734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(三)反对私人大资本的垄断和资本的无序扩张</w:t>
      </w:r>
    </w:p>
    <w:p w14:paraId="67B072D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习近平总书记在</w:t>
      </w:r>
      <w:r>
        <w:rPr>
          <w:rFonts w:hint="eastAsia" w:ascii="宋体" w:hAnsi="宋体" w:eastAsia="宋体" w:cs="宋体"/>
          <w:spacing w:val="7"/>
          <w:position w:val="-2"/>
          <w:sz w:val="24"/>
          <w:szCs w:val="24"/>
        </w:rPr>
        <w:t>2020</w:t>
      </w:r>
      <w:r>
        <w:rPr>
          <w:rFonts w:hint="eastAsia" w:ascii="宋体" w:hAnsi="宋体" w:eastAsia="宋体" w:cs="宋体"/>
          <w:spacing w:val="7"/>
          <w:sz w:val="24"/>
          <w:szCs w:val="24"/>
        </w:rPr>
        <w:t>年中央经济工作会议上明确提出,要强化反垄断和</w:t>
      </w:r>
      <w:r>
        <w:rPr>
          <w:rFonts w:hint="eastAsia" w:ascii="宋体" w:hAnsi="宋体" w:eastAsia="宋体" w:cs="宋体"/>
          <w:spacing w:val="6"/>
          <w:sz w:val="24"/>
          <w:szCs w:val="24"/>
        </w:rPr>
        <w:t>防止资本无序扩张,这是完善社会主义市场经济体制、推动高质量发展的内在</w:t>
      </w:r>
      <w:r>
        <w:rPr>
          <w:rFonts w:hint="eastAsia" w:ascii="宋体" w:hAnsi="宋体" w:eastAsia="宋体" w:cs="宋体"/>
          <w:spacing w:val="-25"/>
          <w:sz w:val="24"/>
          <w:szCs w:val="24"/>
        </w:rPr>
        <w:t>要求。</w:t>
      </w:r>
      <w:r>
        <w:rPr>
          <w:rStyle w:val="20"/>
          <w:rFonts w:hint="eastAsia" w:ascii="宋体" w:hAnsi="宋体" w:eastAsia="宋体" w:cs="宋体"/>
          <w:spacing w:val="-25"/>
          <w:sz w:val="24"/>
          <w:szCs w:val="24"/>
        </w:rPr>
        <w:footnoteReference w:id="797"/>
      </w:r>
      <w:r>
        <w:rPr>
          <w:rFonts w:hint="eastAsia" w:ascii="宋体" w:hAnsi="宋体" w:eastAsia="宋体" w:cs="宋体"/>
          <w:spacing w:val="11"/>
          <w:sz w:val="24"/>
          <w:szCs w:val="24"/>
        </w:rPr>
        <w:t>在市场经济条件下,非公企业往往具有更强的自主经营能力,以本企</w:t>
      </w:r>
      <w:r>
        <w:rPr>
          <w:rFonts w:hint="eastAsia" w:ascii="宋体" w:hAnsi="宋体" w:eastAsia="宋体" w:cs="宋体"/>
          <w:spacing w:val="14"/>
          <w:sz w:val="24"/>
          <w:szCs w:val="24"/>
        </w:rPr>
        <w:t>业利益最大化为目标,这使得它们能够迅速且准确地对</w:t>
      </w:r>
      <w:r>
        <w:rPr>
          <w:rFonts w:hint="eastAsia" w:ascii="宋体" w:hAnsi="宋体" w:eastAsia="宋体" w:cs="宋体"/>
          <w:spacing w:val="13"/>
          <w:sz w:val="24"/>
          <w:szCs w:val="24"/>
        </w:rPr>
        <w:t>市场需求做出反应和</w:t>
      </w:r>
      <w:r>
        <w:rPr>
          <w:rFonts w:hint="eastAsia" w:ascii="宋体" w:hAnsi="宋体" w:eastAsia="宋体" w:cs="宋体"/>
          <w:spacing w:val="12"/>
          <w:sz w:val="24"/>
          <w:szCs w:val="24"/>
        </w:rPr>
        <w:t>调整,提升了微观经济和市场的效率。党的十八大以来,我国政府毫</w:t>
      </w:r>
      <w:r>
        <w:rPr>
          <w:rFonts w:hint="eastAsia" w:ascii="宋体" w:hAnsi="宋体" w:eastAsia="宋体" w:cs="宋体"/>
          <w:spacing w:val="11"/>
          <w:sz w:val="24"/>
          <w:szCs w:val="24"/>
        </w:rPr>
        <w:t>不动摇地</w:t>
      </w:r>
      <w:r>
        <w:rPr>
          <w:rFonts w:hint="eastAsia" w:ascii="宋体" w:hAnsi="宋体" w:eastAsia="宋体" w:cs="宋体"/>
          <w:spacing w:val="9"/>
          <w:sz w:val="24"/>
          <w:szCs w:val="24"/>
        </w:rPr>
        <w:t>鼓励、支持非公有制经济的发展,为国民财富的积累和提高起到了重要作用。</w:t>
      </w:r>
      <w:r>
        <w:rPr>
          <w:rFonts w:hint="eastAsia" w:ascii="宋体" w:hAnsi="宋体" w:eastAsia="宋体" w:cs="宋体"/>
          <w:spacing w:val="16"/>
          <w:sz w:val="24"/>
          <w:szCs w:val="24"/>
        </w:rPr>
        <w:t>然而,非公经济的弊端也是显性的:一是在某些垄断行业,非公企业通过提高</w:t>
      </w:r>
      <w:r>
        <w:rPr>
          <w:rFonts w:hint="eastAsia" w:ascii="宋体" w:hAnsi="宋体" w:eastAsia="宋体" w:cs="宋体"/>
          <w:spacing w:val="11"/>
          <w:sz w:val="24"/>
          <w:szCs w:val="24"/>
        </w:rPr>
        <w:t>价格、限制生产等手段实现自身利益最大化,损害了市场效率;二是非公</w:t>
      </w:r>
      <w:r>
        <w:rPr>
          <w:rFonts w:hint="eastAsia" w:ascii="宋体" w:hAnsi="宋体" w:eastAsia="宋体" w:cs="宋体"/>
          <w:spacing w:val="10"/>
          <w:sz w:val="24"/>
          <w:szCs w:val="24"/>
        </w:rPr>
        <w:t>经济</w:t>
      </w:r>
      <w:r>
        <w:rPr>
          <w:rFonts w:hint="eastAsia" w:ascii="宋体" w:hAnsi="宋体" w:eastAsia="宋体" w:cs="宋体"/>
          <w:spacing w:val="14"/>
          <w:sz w:val="24"/>
          <w:szCs w:val="24"/>
        </w:rPr>
        <w:t>具有明显的自私性和逐利性,私人大资本的垄断和资</w:t>
      </w:r>
      <w:r>
        <w:rPr>
          <w:rFonts w:hint="eastAsia" w:ascii="宋体" w:hAnsi="宋体" w:eastAsia="宋体" w:cs="宋体"/>
          <w:spacing w:val="13"/>
          <w:sz w:val="24"/>
          <w:szCs w:val="24"/>
        </w:rPr>
        <w:t>本的无序扩张将加大居民的财富和收入差距。以近些年兴起的平台经济为例</w:t>
      </w:r>
      <w:r>
        <w:rPr>
          <w:rFonts w:hint="eastAsia" w:ascii="宋体" w:hAnsi="宋体" w:eastAsia="宋体" w:cs="宋体"/>
          <w:spacing w:val="12"/>
          <w:sz w:val="24"/>
          <w:szCs w:val="24"/>
        </w:rPr>
        <w:t>,作为伴随数字技术发</w:t>
      </w:r>
      <w:r>
        <w:rPr>
          <w:rFonts w:hint="eastAsia" w:ascii="宋体" w:hAnsi="宋体" w:eastAsia="宋体" w:cs="宋体"/>
          <w:spacing w:val="16"/>
          <w:sz w:val="24"/>
          <w:szCs w:val="24"/>
        </w:rPr>
        <w:t>展而兴起的新业态,我国平台经济发展迅速,规模位居世界前列,但平台企业</w:t>
      </w:r>
      <w:r>
        <w:rPr>
          <w:rFonts w:hint="eastAsia" w:ascii="宋体" w:hAnsi="宋体" w:eastAsia="宋体" w:cs="宋体"/>
          <w:spacing w:val="13"/>
          <w:sz w:val="24"/>
          <w:szCs w:val="24"/>
        </w:rPr>
        <w:t>垄断化严重且呈现无序扩张趋势。某些数字网</w:t>
      </w:r>
      <w:r>
        <w:rPr>
          <w:rFonts w:hint="eastAsia" w:ascii="宋体" w:hAnsi="宋体" w:eastAsia="宋体" w:cs="宋体"/>
          <w:spacing w:val="12"/>
          <w:sz w:val="24"/>
          <w:szCs w:val="24"/>
        </w:rPr>
        <w:t>络平台为迅速扩大市场份额,</w:t>
      </w:r>
      <w:r>
        <w:rPr>
          <w:rFonts w:hint="eastAsia" w:ascii="宋体" w:hAnsi="宋体" w:eastAsia="宋体" w:cs="宋体"/>
          <w:spacing w:val="6"/>
          <w:sz w:val="24"/>
          <w:szCs w:val="24"/>
        </w:rPr>
        <w:t>采取“掠夺性定价”策略,过度透支用户未来的消费需求,部分大型</w:t>
      </w:r>
      <w:r>
        <w:rPr>
          <w:rFonts w:hint="eastAsia" w:ascii="宋体" w:hAnsi="宋体" w:eastAsia="宋体" w:cs="宋体"/>
          <w:spacing w:val="5"/>
          <w:sz w:val="24"/>
          <w:szCs w:val="24"/>
        </w:rPr>
        <w:t>平台企业凭</w:t>
      </w:r>
      <w:r>
        <w:rPr>
          <w:rFonts w:hint="eastAsia" w:ascii="宋体" w:hAnsi="宋体" w:eastAsia="宋体" w:cs="宋体"/>
          <w:spacing w:val="4"/>
          <w:sz w:val="24"/>
          <w:szCs w:val="24"/>
        </w:rPr>
        <w:t>借其数据、资本和科技实力实施价格歧视,</w:t>
      </w:r>
      <w:r>
        <w:rPr>
          <w:rFonts w:hint="eastAsia" w:ascii="宋体" w:hAnsi="宋体" w:eastAsia="宋体" w:cs="宋体"/>
          <w:spacing w:val="3"/>
          <w:sz w:val="24"/>
          <w:szCs w:val="24"/>
        </w:rPr>
        <w:t>比如“大数据杀熟”等行为,严重破</w:t>
      </w:r>
      <w:r>
        <w:rPr>
          <w:rFonts w:hint="eastAsia" w:ascii="宋体" w:hAnsi="宋体" w:eastAsia="宋体" w:cs="宋体"/>
          <w:spacing w:val="12"/>
          <w:sz w:val="24"/>
          <w:szCs w:val="24"/>
        </w:rPr>
        <w:t>坏市场秩序,损害消费者利益,扩大了财富鸿沟。</w:t>
      </w:r>
    </w:p>
    <w:p w14:paraId="63628A8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尽管近些年我国的劳动收入份额占比有所上升,但相较于</w:t>
      </w:r>
      <w:r>
        <w:rPr>
          <w:rFonts w:hint="eastAsia" w:ascii="宋体" w:hAnsi="宋体" w:eastAsia="宋体" w:cs="宋体"/>
          <w:spacing w:val="10"/>
          <w:position w:val="-2"/>
          <w:sz w:val="24"/>
          <w:szCs w:val="24"/>
        </w:rPr>
        <w:t>20</w:t>
      </w:r>
      <w:r>
        <w:rPr>
          <w:rFonts w:hint="eastAsia" w:ascii="宋体" w:hAnsi="宋体" w:eastAsia="宋体" w:cs="宋体"/>
          <w:spacing w:val="10"/>
          <w:sz w:val="24"/>
          <w:szCs w:val="24"/>
        </w:rPr>
        <w:t>年前仍有明</w:t>
      </w:r>
      <w:r>
        <w:rPr>
          <w:rFonts w:hint="eastAsia" w:ascii="宋体" w:hAnsi="宋体" w:eastAsia="宋体" w:cs="宋体"/>
          <w:spacing w:val="21"/>
          <w:sz w:val="24"/>
          <w:szCs w:val="24"/>
        </w:rPr>
        <w:t>显下降,而富豪的总人数增长又较快,这在一定程度上与资本的无序扩张有</w:t>
      </w:r>
      <w:r>
        <w:rPr>
          <w:rFonts w:hint="eastAsia" w:ascii="宋体" w:hAnsi="宋体" w:eastAsia="宋体" w:cs="宋体"/>
          <w:spacing w:val="16"/>
          <w:sz w:val="24"/>
          <w:szCs w:val="24"/>
        </w:rPr>
        <w:t>关。恒大集团和中植集团等不少私人大公司无序扩张的案例均表</w:t>
      </w:r>
      <w:r>
        <w:rPr>
          <w:rFonts w:hint="eastAsia" w:ascii="宋体" w:hAnsi="宋体" w:eastAsia="宋体" w:cs="宋体"/>
          <w:spacing w:val="15"/>
          <w:sz w:val="24"/>
          <w:szCs w:val="24"/>
        </w:rPr>
        <w:t>明了这一点。必须认识到,以私有制为主体必然会导致经济危机和严重的贫富分化</w:t>
      </w:r>
      <w:r>
        <w:rPr>
          <w:rStyle w:val="20"/>
          <w:rFonts w:hint="eastAsia" w:ascii="宋体" w:hAnsi="宋体" w:eastAsia="宋体" w:cs="宋体"/>
          <w:spacing w:val="15"/>
          <w:sz w:val="24"/>
          <w:szCs w:val="24"/>
        </w:rPr>
        <w:footnoteReference w:id="798"/>
      </w:r>
      <w:r>
        <w:rPr>
          <w:rFonts w:hint="eastAsia" w:ascii="宋体" w:hAnsi="宋体" w:eastAsia="宋体" w:cs="宋体"/>
          <w:spacing w:val="15"/>
          <w:sz w:val="24"/>
          <w:szCs w:val="24"/>
        </w:rPr>
        <w:t>,</w:t>
      </w:r>
      <w:r>
        <w:rPr>
          <w:rFonts w:hint="eastAsia" w:ascii="宋体" w:hAnsi="宋体" w:eastAsia="宋体" w:cs="宋体"/>
          <w:spacing w:val="17"/>
          <w:sz w:val="24"/>
          <w:szCs w:val="24"/>
        </w:rPr>
        <w:t>私人大资本的垄断会削弱社会中底层和下层人民的某些机</w:t>
      </w:r>
      <w:r>
        <w:rPr>
          <w:rFonts w:hint="eastAsia" w:ascii="宋体" w:hAnsi="宋体" w:eastAsia="宋体" w:cs="宋体"/>
          <w:spacing w:val="16"/>
          <w:sz w:val="24"/>
          <w:szCs w:val="24"/>
        </w:rPr>
        <w:t>会,使得他们成为</w:t>
      </w:r>
      <w:r>
        <w:rPr>
          <w:rFonts w:hint="eastAsia" w:ascii="宋体" w:hAnsi="宋体" w:eastAsia="宋体" w:cs="宋体"/>
          <w:spacing w:val="10"/>
          <w:sz w:val="24"/>
          <w:szCs w:val="24"/>
        </w:rPr>
        <w:t>“机会弱势群体”而无法平等地分享社会资源与福利。还必须认识到,即便市</w:t>
      </w:r>
      <w:r>
        <w:rPr>
          <w:rFonts w:hint="eastAsia" w:ascii="宋体" w:hAnsi="宋体" w:eastAsia="宋体" w:cs="宋体"/>
          <w:spacing w:val="15"/>
          <w:sz w:val="24"/>
          <w:szCs w:val="24"/>
        </w:rPr>
        <w:t>场本身是稳定、有效率的,但仍然会造成高度不平等,在私有制经</w:t>
      </w:r>
      <w:r>
        <w:rPr>
          <w:rFonts w:hint="eastAsia" w:ascii="宋体" w:hAnsi="宋体" w:eastAsia="宋体" w:cs="宋体"/>
          <w:spacing w:val="14"/>
          <w:sz w:val="24"/>
          <w:szCs w:val="24"/>
        </w:rPr>
        <w:t>济大量存在</w:t>
      </w:r>
      <w:r>
        <w:rPr>
          <w:rFonts w:hint="eastAsia" w:ascii="宋体" w:hAnsi="宋体" w:eastAsia="宋体" w:cs="宋体"/>
          <w:spacing w:val="19"/>
          <w:sz w:val="24"/>
          <w:szCs w:val="24"/>
        </w:rPr>
        <w:t>的情形下,市场经济所固有的劳资矛盾和冲突需要国家加以调解和干预。</w:t>
      </w:r>
      <w:r>
        <w:rPr>
          <w:rStyle w:val="20"/>
          <w:rFonts w:hint="eastAsia" w:ascii="宋体" w:hAnsi="宋体" w:eastAsia="宋体" w:cs="宋体"/>
          <w:spacing w:val="19"/>
          <w:sz w:val="24"/>
          <w:szCs w:val="24"/>
        </w:rPr>
        <w:footnoteReference w:id="799"/>
      </w:r>
      <w:r>
        <w:rPr>
          <w:rFonts w:hint="eastAsia" w:ascii="宋体" w:hAnsi="宋体" w:eastAsia="宋体" w:cs="宋体"/>
          <w:spacing w:val="14"/>
          <w:sz w:val="24"/>
          <w:szCs w:val="24"/>
        </w:rPr>
        <w:t>鉴于此,在继续鼓励和支持非公经济发展的同时(民营大公司应向华为集团等</w:t>
      </w:r>
      <w:r>
        <w:rPr>
          <w:rFonts w:hint="eastAsia" w:ascii="宋体" w:hAnsi="宋体" w:eastAsia="宋体" w:cs="宋体"/>
          <w:spacing w:val="15"/>
          <w:sz w:val="24"/>
          <w:szCs w:val="24"/>
        </w:rPr>
        <w:t>学习借鉴),要充分发挥政府的宏观调控作用,反对私人大资本的垄断和资本</w:t>
      </w:r>
      <w:r>
        <w:rPr>
          <w:rFonts w:hint="eastAsia" w:ascii="宋体" w:hAnsi="宋体" w:eastAsia="宋体" w:cs="宋体"/>
          <w:spacing w:val="22"/>
          <w:sz w:val="24"/>
          <w:szCs w:val="24"/>
        </w:rPr>
        <w:t>的无序扩张。</w:t>
      </w:r>
    </w:p>
    <w:p w14:paraId="296180A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此外,瑞典、挪威等高福利国家的财富基尼系数非常高,且远高于我国,而</w:t>
      </w:r>
      <w:r>
        <w:rPr>
          <w:rFonts w:hint="eastAsia" w:ascii="宋体" w:hAnsi="宋体" w:eastAsia="宋体" w:cs="宋体"/>
          <w:spacing w:val="6"/>
          <w:sz w:val="24"/>
          <w:szCs w:val="24"/>
        </w:rPr>
        <w:t>英国和美国的收入基尼系数也非常高,这充分说明了以私有制经济为主体、允</w:t>
      </w:r>
      <w:r>
        <w:rPr>
          <w:rFonts w:hint="eastAsia" w:ascii="宋体" w:hAnsi="宋体" w:eastAsia="宋体" w:cs="宋体"/>
          <w:spacing w:val="9"/>
          <w:sz w:val="24"/>
          <w:szCs w:val="24"/>
        </w:rPr>
        <w:t>许私人大资本的垄断和资本的无序扩张的行为将导致严重的财富和收入分配</w:t>
      </w:r>
      <w:r>
        <w:rPr>
          <w:rFonts w:hint="eastAsia" w:ascii="宋体" w:hAnsi="宋体" w:eastAsia="宋体" w:cs="宋体"/>
          <w:spacing w:val="16"/>
          <w:sz w:val="24"/>
          <w:szCs w:val="24"/>
        </w:rPr>
        <w:t>不公。可见,只有节制资本,避免资本的无序扩张,合理规范资本的生产经营</w:t>
      </w:r>
      <w:r>
        <w:rPr>
          <w:rFonts w:hint="eastAsia" w:ascii="宋体" w:hAnsi="宋体" w:eastAsia="宋体" w:cs="宋体"/>
          <w:spacing w:val="14"/>
          <w:sz w:val="24"/>
          <w:szCs w:val="24"/>
        </w:rPr>
        <w:t>和收入分配行为,限制和防止资本严重损害劳动者、消费者</w:t>
      </w:r>
      <w:r>
        <w:rPr>
          <w:rFonts w:hint="eastAsia" w:ascii="宋体" w:hAnsi="宋体" w:eastAsia="宋体" w:cs="宋体"/>
          <w:spacing w:val="13"/>
          <w:sz w:val="24"/>
          <w:szCs w:val="24"/>
        </w:rPr>
        <w:t>和国家利益的行</w:t>
      </w:r>
      <w:r>
        <w:rPr>
          <w:rFonts w:hint="eastAsia" w:ascii="宋体" w:hAnsi="宋体" w:eastAsia="宋体" w:cs="宋体"/>
          <w:spacing w:val="4"/>
          <w:sz w:val="24"/>
          <w:szCs w:val="24"/>
        </w:rPr>
        <w:t>为,才能有效地抑制贫富分化的趋势。目前,要防止对“两个毫不动摇”采取形</w:t>
      </w:r>
      <w:r>
        <w:rPr>
          <w:rFonts w:hint="eastAsia" w:ascii="宋体" w:hAnsi="宋体" w:eastAsia="宋体" w:cs="宋体"/>
          <w:spacing w:val="10"/>
          <w:sz w:val="24"/>
          <w:szCs w:val="24"/>
        </w:rPr>
        <w:t>而上学的政策解读倾向,即既要防止为了强调公有制在缩</w:t>
      </w:r>
      <w:r>
        <w:rPr>
          <w:rFonts w:hint="eastAsia" w:ascii="宋体" w:hAnsi="宋体" w:eastAsia="宋体" w:cs="宋体"/>
          <w:spacing w:val="9"/>
          <w:sz w:val="24"/>
          <w:szCs w:val="24"/>
        </w:rPr>
        <w:t>小财富和收入差距、</w:t>
      </w:r>
      <w:r>
        <w:rPr>
          <w:rFonts w:hint="eastAsia" w:ascii="宋体" w:hAnsi="宋体" w:eastAsia="宋体" w:cs="宋体"/>
          <w:spacing w:val="14"/>
          <w:sz w:val="24"/>
          <w:szCs w:val="24"/>
        </w:rPr>
        <w:t>逐步实现共同富裕而轻视国家支持和鼓励私营经济发展的倾</w:t>
      </w:r>
      <w:r>
        <w:rPr>
          <w:rFonts w:hint="eastAsia" w:ascii="宋体" w:hAnsi="宋体" w:eastAsia="宋体" w:cs="宋体"/>
          <w:spacing w:val="13"/>
          <w:sz w:val="24"/>
          <w:szCs w:val="24"/>
        </w:rPr>
        <w:t>向,更是要防止</w:t>
      </w:r>
      <w:r>
        <w:rPr>
          <w:rFonts w:hint="eastAsia" w:ascii="宋体" w:hAnsi="宋体" w:eastAsia="宋体" w:cs="宋体"/>
          <w:spacing w:val="9"/>
          <w:sz w:val="24"/>
          <w:szCs w:val="24"/>
        </w:rPr>
        <w:t>那种为了支持和鼓励私营经济大发展而轻视公有制主体地位和国有经济主导</w:t>
      </w:r>
      <w:r>
        <w:rPr>
          <w:rFonts w:hint="eastAsia" w:ascii="宋体" w:hAnsi="宋体" w:eastAsia="宋体" w:cs="宋体"/>
          <w:spacing w:val="6"/>
          <w:sz w:val="24"/>
          <w:szCs w:val="24"/>
        </w:rPr>
        <w:t>作用的倾向。</w:t>
      </w:r>
    </w:p>
    <w:p w14:paraId="60C4B99D">
      <w:pPr>
        <w:pStyle w:val="4"/>
        <w:bidi w:val="0"/>
        <w:rPr>
          <w:rFonts w:hint="eastAsia"/>
        </w:rPr>
      </w:pPr>
      <w:r>
        <w:rPr>
          <w:rFonts w:hint="eastAsia"/>
        </w:rPr>
        <w:t>二、财税对策</w:t>
      </w:r>
    </w:p>
    <w:p w14:paraId="3F2F35FF">
      <w:pPr>
        <w:pStyle w:val="6"/>
        <w:keepNext w:val="0"/>
        <w:keepLines w:val="0"/>
        <w:pageBreakBefore w:val="0"/>
        <w:widowControl/>
        <w:tabs>
          <w:tab w:val="left" w:pos="1621"/>
        </w:tabs>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u w:val="none" w:color="auto"/>
        </w:rPr>
        <w:t>税收政策在缓</w:t>
      </w:r>
      <w:r>
        <w:rPr>
          <w:rFonts w:hint="eastAsia" w:ascii="宋体" w:hAnsi="宋体" w:eastAsia="宋体" w:cs="宋体"/>
          <w:spacing w:val="9"/>
          <w:sz w:val="24"/>
          <w:szCs w:val="24"/>
        </w:rPr>
        <w:t>解财富与收入分配差距方面发挥着重要作用。作为财富和</w:t>
      </w:r>
      <w:r>
        <w:rPr>
          <w:rFonts w:hint="eastAsia" w:ascii="宋体" w:hAnsi="宋体" w:eastAsia="宋体" w:cs="宋体"/>
          <w:spacing w:val="11"/>
          <w:sz w:val="24"/>
          <w:szCs w:val="24"/>
        </w:rPr>
        <w:t>收入再分配的重要方式之一,税收政策旨在实现财富和收入的再分配,抑制财</w:t>
      </w:r>
      <w:r>
        <w:rPr>
          <w:rFonts w:hint="eastAsia" w:ascii="宋体" w:hAnsi="宋体" w:eastAsia="宋体" w:cs="宋体"/>
          <w:spacing w:val="12"/>
          <w:sz w:val="24"/>
          <w:szCs w:val="24"/>
        </w:rPr>
        <w:t>富和收入的集中程度和速度,同时提供资金用于改善社会福利,以</w:t>
      </w:r>
      <w:r>
        <w:rPr>
          <w:rFonts w:hint="eastAsia" w:ascii="宋体" w:hAnsi="宋体" w:eastAsia="宋体" w:cs="宋体"/>
          <w:spacing w:val="11"/>
          <w:sz w:val="24"/>
          <w:szCs w:val="24"/>
        </w:rPr>
        <w:t>促进更公平</w:t>
      </w:r>
      <w:r>
        <w:rPr>
          <w:rFonts w:hint="eastAsia" w:ascii="宋体" w:hAnsi="宋体" w:eastAsia="宋体" w:cs="宋体"/>
          <w:spacing w:val="14"/>
          <w:sz w:val="24"/>
          <w:szCs w:val="24"/>
        </w:rPr>
        <w:t>的财富和收入分配,促进经济的稳定和可持续发展</w:t>
      </w:r>
      <w:r>
        <w:rPr>
          <w:rFonts w:hint="eastAsia" w:ascii="宋体" w:hAnsi="宋体" w:eastAsia="宋体" w:cs="宋体"/>
          <w:spacing w:val="13"/>
          <w:sz w:val="24"/>
          <w:szCs w:val="24"/>
        </w:rPr>
        <w:t>。财政政策可以通过税收</w:t>
      </w:r>
      <w:r>
        <w:rPr>
          <w:rFonts w:hint="eastAsia" w:ascii="宋体" w:hAnsi="宋体" w:eastAsia="宋体" w:cs="宋体"/>
          <w:spacing w:val="14"/>
          <w:sz w:val="24"/>
          <w:szCs w:val="24"/>
        </w:rPr>
        <w:t>政策来实现财富和收入的重新分配,从而发挥调节</w:t>
      </w:r>
      <w:r>
        <w:rPr>
          <w:rFonts w:hint="eastAsia" w:ascii="宋体" w:hAnsi="宋体" w:eastAsia="宋体" w:cs="宋体"/>
          <w:spacing w:val="13"/>
          <w:sz w:val="24"/>
          <w:szCs w:val="24"/>
        </w:rPr>
        <w:t>作用。政府可以直接将税</w:t>
      </w:r>
      <w:r>
        <w:rPr>
          <w:rFonts w:hint="eastAsia" w:ascii="宋体" w:hAnsi="宋体" w:eastAsia="宋体" w:cs="宋体"/>
          <w:spacing w:val="5"/>
          <w:sz w:val="24"/>
          <w:szCs w:val="24"/>
        </w:rPr>
        <w:t>收资金投入到社会福利计划、教育、医疗保健和可负担房屋等方面</w:t>
      </w:r>
      <w:r>
        <w:rPr>
          <w:rFonts w:hint="eastAsia" w:ascii="宋体" w:hAnsi="宋体" w:eastAsia="宋体" w:cs="宋体"/>
          <w:spacing w:val="4"/>
          <w:sz w:val="24"/>
          <w:szCs w:val="24"/>
        </w:rPr>
        <w:t>,同时为人</w:t>
      </w:r>
      <w:r>
        <w:rPr>
          <w:rFonts w:hint="eastAsia" w:ascii="宋体" w:hAnsi="宋体" w:eastAsia="宋体" w:cs="宋体"/>
          <w:spacing w:val="9"/>
          <w:sz w:val="24"/>
          <w:szCs w:val="24"/>
        </w:rPr>
        <w:t>们提供平等的机会和接触基本服务的权利。这不仅有助于改善弱势群体的参</w:t>
      </w:r>
      <w:r>
        <w:rPr>
          <w:rFonts w:hint="eastAsia" w:ascii="宋体" w:hAnsi="宋体" w:eastAsia="宋体" w:cs="宋体"/>
          <w:spacing w:val="11"/>
          <w:sz w:val="24"/>
          <w:szCs w:val="24"/>
        </w:rPr>
        <w:t>与机会和生活质量,还能够促进社会流动性,并有效降低</w:t>
      </w:r>
      <w:r>
        <w:rPr>
          <w:rFonts w:hint="eastAsia" w:ascii="宋体" w:hAnsi="宋体" w:eastAsia="宋体" w:cs="宋体"/>
          <w:spacing w:val="10"/>
          <w:sz w:val="24"/>
          <w:szCs w:val="24"/>
        </w:rPr>
        <w:t>社会不同群体之间的</w:t>
      </w:r>
      <w:r>
        <w:rPr>
          <w:rFonts w:hint="eastAsia" w:ascii="宋体" w:hAnsi="宋体" w:eastAsia="宋体" w:cs="宋体"/>
          <w:spacing w:val="8"/>
          <w:sz w:val="24"/>
          <w:szCs w:val="24"/>
        </w:rPr>
        <w:t>财富差距。在财税方面提出以下对策。</w:t>
      </w:r>
    </w:p>
    <w:p w14:paraId="4961109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(一)完善个人所得税制度结构</w:t>
      </w:r>
    </w:p>
    <w:p w14:paraId="32D6567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党的二十大报告指出,要“完善个人所得税制度,规范</w:t>
      </w:r>
      <w:r>
        <w:rPr>
          <w:rFonts w:hint="eastAsia" w:ascii="宋体" w:hAnsi="宋体" w:eastAsia="宋体" w:cs="宋体"/>
          <w:spacing w:val="8"/>
          <w:sz w:val="24"/>
          <w:szCs w:val="24"/>
        </w:rPr>
        <w:t>收入分配秩序,规范</w:t>
      </w:r>
      <w:r>
        <w:rPr>
          <w:rFonts w:hint="eastAsia" w:ascii="宋体" w:hAnsi="宋体" w:eastAsia="宋体" w:cs="宋体"/>
          <w:spacing w:val="10"/>
          <w:sz w:val="24"/>
          <w:szCs w:val="24"/>
        </w:rPr>
        <w:t>财富积累机制,保护合法收入,调节过高收入,取缔非法收入”。收入是财富积</w:t>
      </w:r>
      <w:r>
        <w:rPr>
          <w:rFonts w:hint="eastAsia" w:ascii="宋体" w:hAnsi="宋体" w:eastAsia="宋体" w:cs="宋体"/>
          <w:spacing w:val="14"/>
          <w:sz w:val="24"/>
          <w:szCs w:val="24"/>
        </w:rPr>
        <w:t>累的重要源泉。剖析我国的财富和收入分配差距问题,</w:t>
      </w:r>
      <w:r>
        <w:rPr>
          <w:rFonts w:hint="eastAsia" w:ascii="宋体" w:hAnsi="宋体" w:eastAsia="宋体" w:cs="宋体"/>
          <w:spacing w:val="13"/>
          <w:sz w:val="24"/>
          <w:szCs w:val="24"/>
        </w:rPr>
        <w:t>从收入角度切入相对</w:t>
      </w:r>
      <w:r>
        <w:rPr>
          <w:rFonts w:hint="eastAsia" w:ascii="宋体" w:hAnsi="宋体" w:eastAsia="宋体" w:cs="宋体"/>
          <w:spacing w:val="14"/>
          <w:sz w:val="24"/>
          <w:szCs w:val="24"/>
        </w:rPr>
        <w:t>容易且较为直接。其中,能够有效起到缩小个体收入差</w:t>
      </w:r>
      <w:r>
        <w:rPr>
          <w:rFonts w:hint="eastAsia" w:ascii="宋体" w:hAnsi="宋体" w:eastAsia="宋体" w:cs="宋体"/>
          <w:spacing w:val="13"/>
          <w:sz w:val="24"/>
          <w:szCs w:val="24"/>
        </w:rPr>
        <w:t>距的方式之一就是税</w:t>
      </w:r>
      <w:r>
        <w:rPr>
          <w:rFonts w:hint="eastAsia" w:ascii="宋体" w:hAnsi="宋体" w:eastAsia="宋体" w:cs="宋体"/>
          <w:spacing w:val="14"/>
          <w:sz w:val="24"/>
          <w:szCs w:val="24"/>
        </w:rPr>
        <w:t>收制度。作为我国现有税收制度体系中最为重要的直接</w:t>
      </w:r>
      <w:r>
        <w:rPr>
          <w:rFonts w:hint="eastAsia" w:ascii="宋体" w:hAnsi="宋体" w:eastAsia="宋体" w:cs="宋体"/>
          <w:spacing w:val="13"/>
          <w:sz w:val="24"/>
          <w:szCs w:val="24"/>
        </w:rPr>
        <w:t>税,个人所得税制度</w:t>
      </w:r>
      <w:r>
        <w:rPr>
          <w:rFonts w:hint="eastAsia" w:ascii="宋体" w:hAnsi="宋体" w:eastAsia="宋体" w:cs="宋体"/>
          <w:spacing w:val="3"/>
          <w:sz w:val="24"/>
          <w:szCs w:val="24"/>
        </w:rPr>
        <w:t>的不断完善对于调节收入分配、规范财富积累机制、构建现代税制体系均具有</w:t>
      </w:r>
      <w:r>
        <w:rPr>
          <w:rFonts w:hint="eastAsia" w:ascii="宋体" w:hAnsi="宋体" w:eastAsia="宋体" w:cs="宋体"/>
          <w:spacing w:val="9"/>
          <w:sz w:val="24"/>
          <w:szCs w:val="24"/>
        </w:rPr>
        <w:t>重大意义。2018年,我国实施“个税改革”,个人</w:t>
      </w:r>
      <w:r>
        <w:rPr>
          <w:rFonts w:hint="eastAsia" w:ascii="宋体" w:hAnsi="宋体" w:eastAsia="宋体" w:cs="宋体"/>
          <w:spacing w:val="8"/>
          <w:sz w:val="24"/>
          <w:szCs w:val="24"/>
        </w:rPr>
        <w:t>所得税制度体系得到一定程</w:t>
      </w:r>
      <w:r>
        <w:rPr>
          <w:rFonts w:hint="eastAsia" w:ascii="宋体" w:hAnsi="宋体" w:eastAsia="宋体" w:cs="宋体"/>
          <w:spacing w:val="3"/>
          <w:sz w:val="24"/>
          <w:szCs w:val="24"/>
        </w:rPr>
        <w:t>度的完善和发展,其中规定了实施“预扣预缴”制、设定</w:t>
      </w:r>
      <w:r>
        <w:rPr>
          <w:rFonts w:hint="eastAsia" w:ascii="宋体" w:hAnsi="宋体" w:eastAsia="宋体" w:cs="宋体"/>
          <w:spacing w:val="3"/>
          <w:position w:val="-2"/>
          <w:sz w:val="24"/>
          <w:szCs w:val="24"/>
        </w:rPr>
        <w:t>5000</w:t>
      </w:r>
      <w:r>
        <w:rPr>
          <w:rFonts w:hint="eastAsia" w:ascii="宋体" w:hAnsi="宋体" w:eastAsia="宋体" w:cs="宋体"/>
          <w:spacing w:val="3"/>
          <w:sz w:val="24"/>
          <w:szCs w:val="24"/>
        </w:rPr>
        <w:t>元的免征额以及</w:t>
      </w:r>
      <w:r>
        <w:rPr>
          <w:rFonts w:hint="eastAsia" w:ascii="宋体" w:hAnsi="宋体" w:eastAsia="宋体" w:cs="宋体"/>
          <w:spacing w:val="7"/>
          <w:sz w:val="24"/>
          <w:szCs w:val="24"/>
        </w:rPr>
        <w:t>增加子女教育、赡养老人等专项附加扣除的内容。然而,我国目前呈金字塔形</w:t>
      </w:r>
      <w:r>
        <w:rPr>
          <w:rFonts w:hint="eastAsia" w:ascii="宋体" w:hAnsi="宋体" w:eastAsia="宋体" w:cs="宋体"/>
          <w:spacing w:val="14"/>
          <w:sz w:val="24"/>
          <w:szCs w:val="24"/>
        </w:rPr>
        <w:t>分配结构,即低收入群体规模巨大,而中等收入者规模相对较小,高收入者的</w:t>
      </w:r>
      <w:r>
        <w:rPr>
          <w:rFonts w:hint="eastAsia" w:ascii="宋体" w:hAnsi="宋体" w:eastAsia="宋体" w:cs="宋体"/>
          <w:spacing w:val="11"/>
          <w:sz w:val="24"/>
          <w:szCs w:val="24"/>
        </w:rPr>
        <w:t>规模更小,这增大了实现共同富裕的难度,也影响了个人所得</w:t>
      </w:r>
      <w:r>
        <w:rPr>
          <w:rFonts w:hint="eastAsia" w:ascii="宋体" w:hAnsi="宋体" w:eastAsia="宋体" w:cs="宋体"/>
          <w:spacing w:val="10"/>
          <w:sz w:val="24"/>
          <w:szCs w:val="24"/>
        </w:rPr>
        <w:t>税立法及其实施</w:t>
      </w:r>
      <w:r>
        <w:rPr>
          <w:rFonts w:hint="eastAsia" w:ascii="宋体" w:hAnsi="宋体" w:eastAsia="宋体" w:cs="宋体"/>
          <w:spacing w:val="1"/>
          <w:sz w:val="24"/>
          <w:szCs w:val="24"/>
        </w:rPr>
        <w:t>效果。</w:t>
      </w:r>
    </w:p>
    <w:p w14:paraId="32E59F9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鉴于此,未来对个人所得税制度结构的完善至少要基于以下两</w:t>
      </w:r>
      <w:r>
        <w:rPr>
          <w:rFonts w:hint="eastAsia" w:ascii="宋体" w:hAnsi="宋体" w:eastAsia="宋体" w:cs="宋体"/>
          <w:spacing w:val="11"/>
          <w:sz w:val="24"/>
          <w:szCs w:val="24"/>
        </w:rPr>
        <w:t>个层次:第一个层次,适当增加高收入群体的纳税义务。其一,适当</w:t>
      </w:r>
      <w:r>
        <w:rPr>
          <w:rFonts w:hint="eastAsia" w:ascii="宋体" w:hAnsi="宋体" w:eastAsia="宋体" w:cs="宋体"/>
          <w:spacing w:val="10"/>
          <w:sz w:val="24"/>
          <w:szCs w:val="24"/>
        </w:rPr>
        <w:t>提高高收入人群个人</w:t>
      </w:r>
      <w:r>
        <w:rPr>
          <w:rFonts w:hint="eastAsia" w:ascii="宋体" w:hAnsi="宋体" w:eastAsia="宋体" w:cs="宋体"/>
          <w:spacing w:val="12"/>
          <w:sz w:val="24"/>
          <w:szCs w:val="24"/>
        </w:rPr>
        <w:t>所得税的最高税率,或调整不同税率级别之间的税率差距,即增加各</w:t>
      </w:r>
      <w:r>
        <w:rPr>
          <w:rFonts w:hint="eastAsia" w:ascii="宋体" w:hAnsi="宋体" w:eastAsia="宋体" w:cs="宋体"/>
          <w:spacing w:val="11"/>
          <w:sz w:val="24"/>
          <w:szCs w:val="24"/>
        </w:rPr>
        <w:t>个税率分段中税率的差异性,对高收入者在其所得较高的部分实行更高</w:t>
      </w:r>
      <w:r>
        <w:rPr>
          <w:rFonts w:hint="eastAsia" w:ascii="宋体" w:hAnsi="宋体" w:eastAsia="宋体" w:cs="宋体"/>
          <w:spacing w:val="10"/>
          <w:sz w:val="24"/>
          <w:szCs w:val="24"/>
        </w:rPr>
        <w:t>的税率。其二,</w:t>
      </w:r>
      <w:r>
        <w:rPr>
          <w:rFonts w:hint="eastAsia" w:ascii="宋体" w:hAnsi="宋体" w:eastAsia="宋体" w:cs="宋体"/>
          <w:spacing w:val="9"/>
          <w:sz w:val="24"/>
          <w:szCs w:val="24"/>
        </w:rPr>
        <w:t>适当调整个人所得税的税基。可以通过减少高收入人群的税收优惠和增加限</w:t>
      </w:r>
      <w:r>
        <w:rPr>
          <w:rFonts w:hint="eastAsia" w:ascii="宋体" w:hAnsi="宋体" w:eastAsia="宋体" w:cs="宋体"/>
          <w:spacing w:val="14"/>
          <w:sz w:val="24"/>
          <w:szCs w:val="24"/>
        </w:rPr>
        <w:t>制扣除项等方式来扩大高收入个体的应纳税额。其三</w:t>
      </w:r>
      <w:r>
        <w:rPr>
          <w:rFonts w:hint="eastAsia" w:ascii="宋体" w:hAnsi="宋体" w:eastAsia="宋体" w:cs="宋体"/>
          <w:spacing w:val="13"/>
          <w:sz w:val="24"/>
          <w:szCs w:val="24"/>
        </w:rPr>
        <w:t>,增加对高收入人群资</w:t>
      </w:r>
      <w:r>
        <w:rPr>
          <w:rFonts w:hint="eastAsia" w:ascii="宋体" w:hAnsi="宋体" w:eastAsia="宋体" w:cs="宋体"/>
          <w:spacing w:val="14"/>
          <w:sz w:val="24"/>
          <w:szCs w:val="24"/>
        </w:rPr>
        <w:t>本性收入的征收比例。资本市场是贫富差距较大的地</w:t>
      </w:r>
      <w:r>
        <w:rPr>
          <w:rFonts w:hint="eastAsia" w:ascii="宋体" w:hAnsi="宋体" w:eastAsia="宋体" w:cs="宋体"/>
          <w:spacing w:val="13"/>
          <w:sz w:val="24"/>
          <w:szCs w:val="24"/>
        </w:rPr>
        <w:t>方,是我国改革开放以</w:t>
      </w:r>
      <w:r>
        <w:rPr>
          <w:rFonts w:hint="eastAsia" w:ascii="宋体" w:hAnsi="宋体" w:eastAsia="宋体" w:cs="宋体"/>
          <w:spacing w:val="8"/>
          <w:sz w:val="24"/>
          <w:szCs w:val="24"/>
        </w:rPr>
        <w:t>来财富分配不公平、缺少正义的市场</w:t>
      </w:r>
      <w:r>
        <w:rPr>
          <w:rStyle w:val="20"/>
          <w:rFonts w:hint="eastAsia" w:ascii="宋体" w:hAnsi="宋体" w:eastAsia="宋体" w:cs="宋体"/>
          <w:spacing w:val="8"/>
          <w:sz w:val="24"/>
          <w:szCs w:val="24"/>
        </w:rPr>
        <w:footnoteReference w:id="800"/>
      </w:r>
      <w:r>
        <w:rPr>
          <w:rFonts w:hint="eastAsia" w:ascii="宋体" w:hAnsi="宋体" w:eastAsia="宋体" w:cs="宋体"/>
          <w:spacing w:val="8"/>
          <w:sz w:val="24"/>
          <w:szCs w:val="24"/>
        </w:rPr>
        <w:t>,而针对个体在资本市</w:t>
      </w:r>
      <w:r>
        <w:rPr>
          <w:rFonts w:hint="eastAsia" w:ascii="宋体" w:hAnsi="宋体" w:eastAsia="宋体" w:cs="宋体"/>
          <w:spacing w:val="7"/>
          <w:sz w:val="24"/>
          <w:szCs w:val="24"/>
        </w:rPr>
        <w:t>场中获利的税收</w:t>
      </w:r>
      <w:r>
        <w:rPr>
          <w:rFonts w:hint="eastAsia" w:ascii="宋体" w:hAnsi="宋体" w:eastAsia="宋体" w:cs="宋体"/>
          <w:sz w:val="24"/>
          <w:szCs w:val="24"/>
        </w:rPr>
        <w:t>约束相对不足。目前,我国居民的利息、股息、红利所得、财产</w:t>
      </w:r>
      <w:r>
        <w:rPr>
          <w:rFonts w:hint="eastAsia" w:ascii="宋体" w:hAnsi="宋体" w:eastAsia="宋体" w:cs="宋体"/>
          <w:spacing w:val="-1"/>
          <w:sz w:val="24"/>
          <w:szCs w:val="24"/>
        </w:rPr>
        <w:t>租赁所得、财产</w:t>
      </w:r>
      <w:r>
        <w:rPr>
          <w:rFonts w:hint="eastAsia" w:ascii="宋体" w:hAnsi="宋体" w:eastAsia="宋体" w:cs="宋体"/>
          <w:spacing w:val="13"/>
          <w:sz w:val="24"/>
          <w:szCs w:val="24"/>
        </w:rPr>
        <w:t>转让所得等资本利得和财产所得适用于20%的税率,相比之下,劳动所得却</w:t>
      </w:r>
      <w:r>
        <w:rPr>
          <w:rFonts w:hint="eastAsia" w:ascii="宋体" w:hAnsi="宋体" w:eastAsia="宋体" w:cs="宋体"/>
          <w:spacing w:val="11"/>
          <w:sz w:val="24"/>
          <w:szCs w:val="24"/>
        </w:rPr>
        <w:t>适用于最高税率为45%的累进制税率。然而,高收入、高净值人群的收入结</w:t>
      </w:r>
      <w:r>
        <w:rPr>
          <w:rFonts w:hint="eastAsia" w:ascii="宋体" w:hAnsi="宋体" w:eastAsia="宋体" w:cs="宋体"/>
          <w:i w:val="0"/>
          <w:iCs w:val="0"/>
          <w:spacing w:val="14"/>
          <w:sz w:val="24"/>
          <w:szCs w:val="24"/>
          <w:u w:val="none" w:color="auto"/>
        </w:rPr>
        <w:t>构以资本利得或财</w:t>
      </w:r>
      <w:r>
        <w:rPr>
          <w:rFonts w:hint="eastAsia" w:ascii="宋体" w:hAnsi="宋体" w:eastAsia="宋体" w:cs="宋体"/>
          <w:spacing w:val="14"/>
          <w:sz w:val="24"/>
          <w:szCs w:val="24"/>
        </w:rPr>
        <w:t>产所得为主,使得以劳动所得为主</w:t>
      </w:r>
      <w:r>
        <w:rPr>
          <w:rFonts w:hint="eastAsia" w:ascii="宋体" w:hAnsi="宋体" w:eastAsia="宋体" w:cs="宋体"/>
          <w:spacing w:val="13"/>
          <w:sz w:val="24"/>
          <w:szCs w:val="24"/>
        </w:rPr>
        <w:t>要课税对象的个人所得</w:t>
      </w:r>
      <w:r>
        <w:rPr>
          <w:rFonts w:hint="eastAsia" w:ascii="宋体" w:hAnsi="宋体" w:eastAsia="宋体" w:cs="宋体"/>
          <w:spacing w:val="11"/>
          <w:sz w:val="24"/>
          <w:szCs w:val="24"/>
        </w:rPr>
        <w:t>税在调节过高收入方面作用有限,因而应进一步制定政策增加对高收入人群资本性收入的个税征收比例。其四,优化个人所得税的税</w:t>
      </w:r>
      <w:r>
        <w:rPr>
          <w:rFonts w:hint="eastAsia" w:ascii="宋体" w:hAnsi="宋体" w:eastAsia="宋体" w:cs="宋体"/>
          <w:spacing w:val="10"/>
          <w:sz w:val="24"/>
          <w:szCs w:val="24"/>
        </w:rPr>
        <w:t>务管理和征管手段,</w:t>
      </w:r>
      <w:r>
        <w:rPr>
          <w:rFonts w:hint="eastAsia" w:ascii="宋体" w:hAnsi="宋体" w:eastAsia="宋体" w:cs="宋体"/>
          <w:spacing w:val="14"/>
          <w:sz w:val="24"/>
          <w:szCs w:val="24"/>
        </w:rPr>
        <w:t>加大对高收入个人财务规划的审查和审核力度,</w:t>
      </w:r>
      <w:r>
        <w:rPr>
          <w:rFonts w:hint="eastAsia" w:ascii="宋体" w:hAnsi="宋体" w:eastAsia="宋体" w:cs="宋体"/>
          <w:spacing w:val="13"/>
          <w:sz w:val="24"/>
          <w:szCs w:val="24"/>
        </w:rPr>
        <w:t>加强对高收入个人的税务监管和约束。第二个层次,切实降低中低收入者的税收负担。可以适当提</w:t>
      </w:r>
      <w:r>
        <w:rPr>
          <w:rFonts w:hint="eastAsia" w:ascii="宋体" w:hAnsi="宋体" w:eastAsia="宋体" w:cs="宋体"/>
          <w:spacing w:val="12"/>
          <w:sz w:val="24"/>
          <w:szCs w:val="24"/>
        </w:rPr>
        <w:t>高免征额,降低最低两档的个人所得税税率,同时针对特定的群体,如低收入人群、</w:t>
      </w:r>
      <w:r>
        <w:rPr>
          <w:rFonts w:hint="eastAsia" w:ascii="宋体" w:hAnsi="宋体" w:eastAsia="宋体" w:cs="宋体"/>
          <w:spacing w:val="8"/>
          <w:sz w:val="24"/>
          <w:szCs w:val="24"/>
        </w:rPr>
        <w:t>失业者、残疾人等,设立专门的税收减免政策等。简言之,目前的税收政策在</w:t>
      </w:r>
      <w:r>
        <w:rPr>
          <w:rFonts w:hint="eastAsia" w:ascii="宋体" w:hAnsi="宋体" w:eastAsia="宋体" w:cs="宋体"/>
          <w:spacing w:val="-5"/>
          <w:sz w:val="24"/>
          <w:szCs w:val="24"/>
        </w:rPr>
        <w:t>诸多环节上表现出学界多年来批评的“不公平”“不细致”乃至“</w:t>
      </w:r>
      <w:r>
        <w:rPr>
          <w:rFonts w:hint="eastAsia" w:ascii="宋体" w:hAnsi="宋体" w:eastAsia="宋体" w:cs="宋体"/>
          <w:spacing w:val="-6"/>
          <w:sz w:val="24"/>
          <w:szCs w:val="24"/>
        </w:rPr>
        <w:t>一刀切”现象,</w:t>
      </w:r>
      <w:r>
        <w:rPr>
          <w:rFonts w:hint="eastAsia" w:ascii="宋体" w:hAnsi="宋体" w:eastAsia="宋体" w:cs="宋体"/>
          <w:spacing w:val="14"/>
          <w:sz w:val="24"/>
          <w:szCs w:val="24"/>
        </w:rPr>
        <w:t>必须深化个税改革并尽快精细化和具体化,才能</w:t>
      </w:r>
      <w:r>
        <w:rPr>
          <w:rFonts w:hint="eastAsia" w:ascii="宋体" w:hAnsi="宋体" w:eastAsia="宋体" w:cs="宋体"/>
          <w:spacing w:val="13"/>
          <w:sz w:val="24"/>
          <w:szCs w:val="24"/>
        </w:rPr>
        <w:t>有效缩小财富和收入的分配</w:t>
      </w:r>
      <w:r>
        <w:rPr>
          <w:rFonts w:hint="eastAsia" w:ascii="宋体" w:hAnsi="宋体" w:eastAsia="宋体" w:cs="宋体"/>
          <w:sz w:val="24"/>
          <w:szCs w:val="24"/>
        </w:rPr>
        <w:t>差距。</w:t>
      </w:r>
    </w:p>
    <w:p w14:paraId="03C1E00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(二)建立健全遗产税等财产税制度,鼓励个体捐赠</w:t>
      </w:r>
    </w:p>
    <w:p w14:paraId="14EF68E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第十四届全国政协委员、中华慈善总会党委书记孙达在接受专</w:t>
      </w:r>
      <w:r>
        <w:rPr>
          <w:rFonts w:hint="eastAsia" w:ascii="宋体" w:hAnsi="宋体" w:eastAsia="宋体" w:cs="宋体"/>
          <w:spacing w:val="5"/>
          <w:sz w:val="24"/>
          <w:szCs w:val="24"/>
        </w:rPr>
        <w:t>访时表示,</w:t>
      </w:r>
      <w:r>
        <w:rPr>
          <w:rFonts w:hint="eastAsia" w:ascii="宋体" w:hAnsi="宋体" w:eastAsia="宋体" w:cs="宋体"/>
          <w:spacing w:val="4"/>
          <w:sz w:val="24"/>
          <w:szCs w:val="24"/>
        </w:rPr>
        <w:t>“要尽快研究出台遗产税、赠与税、房产税等税收制度,形成与个人所得税相配</w:t>
      </w:r>
      <w:r>
        <w:rPr>
          <w:rFonts w:hint="eastAsia" w:ascii="宋体" w:hAnsi="宋体" w:eastAsia="宋体" w:cs="宋体"/>
          <w:spacing w:val="13"/>
          <w:sz w:val="24"/>
          <w:szCs w:val="24"/>
        </w:rPr>
        <w:t>套的收入财产再分配税制体系”</w:t>
      </w:r>
      <w:r>
        <w:rPr>
          <w:rStyle w:val="20"/>
          <w:rFonts w:hint="eastAsia" w:ascii="宋体" w:hAnsi="宋体" w:eastAsia="宋体" w:cs="宋体"/>
          <w:spacing w:val="13"/>
          <w:sz w:val="24"/>
          <w:szCs w:val="24"/>
        </w:rPr>
        <w:footnoteReference w:id="801"/>
      </w:r>
      <w:r>
        <w:rPr>
          <w:rFonts w:hint="eastAsia" w:ascii="宋体" w:hAnsi="宋体" w:eastAsia="宋体" w:cs="宋体"/>
          <w:spacing w:val="13"/>
          <w:sz w:val="24"/>
          <w:szCs w:val="24"/>
        </w:rPr>
        <w:t>。缩小财富差距的另一个重要途径</w:t>
      </w:r>
      <w:r>
        <w:rPr>
          <w:rFonts w:hint="eastAsia" w:ascii="宋体" w:hAnsi="宋体" w:eastAsia="宋体" w:cs="宋体"/>
          <w:spacing w:val="12"/>
          <w:sz w:val="24"/>
          <w:szCs w:val="24"/>
        </w:rPr>
        <w:t>就是向高收入人群征收遗产税等财产税。财富的来源之一是代际传承。有关研究数据表明,法国、瑞典等欧洲国家来源于继承的财富比重较高,</w:t>
      </w:r>
      <w:r>
        <w:rPr>
          <w:rFonts w:hint="eastAsia" w:ascii="宋体" w:hAnsi="宋体" w:eastAsia="宋体" w:cs="宋体"/>
          <w:spacing w:val="12"/>
          <w:position w:val="-2"/>
          <w:sz w:val="24"/>
          <w:szCs w:val="24"/>
        </w:rPr>
        <w:t>2010</w:t>
      </w:r>
      <w:r>
        <w:rPr>
          <w:rFonts w:hint="eastAsia" w:ascii="宋体" w:hAnsi="宋体" w:eastAsia="宋体" w:cs="宋体"/>
          <w:spacing w:val="12"/>
          <w:sz w:val="24"/>
          <w:szCs w:val="24"/>
        </w:rPr>
        <w:t>年比重可达</w:t>
      </w:r>
      <w:r>
        <w:rPr>
          <w:rFonts w:hint="eastAsia" w:ascii="宋体" w:hAnsi="宋体" w:eastAsia="宋体" w:cs="宋体"/>
          <w:spacing w:val="7"/>
          <w:sz w:val="24"/>
          <w:szCs w:val="24"/>
        </w:rPr>
        <w:t>50%上下</w:t>
      </w:r>
      <w:r>
        <w:rPr>
          <w:rFonts w:hint="eastAsia" w:ascii="宋体" w:hAnsi="宋体" w:eastAsia="宋体" w:cs="宋体"/>
          <w:spacing w:val="7"/>
          <w:position w:val="1"/>
          <w:sz w:val="24"/>
          <w:szCs w:val="24"/>
        </w:rPr>
        <w:t>。</w:t>
      </w:r>
      <w:r>
        <w:rPr>
          <w:rStyle w:val="20"/>
          <w:rFonts w:hint="eastAsia" w:ascii="宋体" w:hAnsi="宋体" w:eastAsia="宋体" w:cs="宋体"/>
          <w:spacing w:val="7"/>
          <w:position w:val="1"/>
          <w:sz w:val="24"/>
          <w:szCs w:val="24"/>
        </w:rPr>
        <w:footnoteReference w:id="802"/>
      </w:r>
      <w:r>
        <w:rPr>
          <w:rFonts w:hint="eastAsia" w:ascii="宋体" w:hAnsi="宋体" w:eastAsia="宋体" w:cs="宋体"/>
          <w:spacing w:val="7"/>
          <w:sz w:val="24"/>
          <w:szCs w:val="24"/>
        </w:rPr>
        <w:t>美国于</w:t>
      </w:r>
      <w:r>
        <w:rPr>
          <w:rFonts w:hint="eastAsia" w:ascii="宋体" w:hAnsi="宋体" w:eastAsia="宋体" w:cs="宋体"/>
          <w:spacing w:val="7"/>
          <w:position w:val="-2"/>
          <w:sz w:val="24"/>
          <w:szCs w:val="24"/>
        </w:rPr>
        <w:t>1916</w:t>
      </w:r>
      <w:r>
        <w:rPr>
          <w:rFonts w:hint="eastAsia" w:ascii="宋体" w:hAnsi="宋体" w:eastAsia="宋体" w:cs="宋体"/>
          <w:spacing w:val="7"/>
          <w:sz w:val="24"/>
          <w:szCs w:val="24"/>
        </w:rPr>
        <w:t>年开始征收遗产税,到</w:t>
      </w:r>
      <w:r>
        <w:rPr>
          <w:rFonts w:hint="eastAsia" w:ascii="宋体" w:hAnsi="宋体" w:eastAsia="宋体" w:cs="宋体"/>
          <w:spacing w:val="7"/>
          <w:position w:val="-2"/>
          <w:sz w:val="24"/>
          <w:szCs w:val="24"/>
        </w:rPr>
        <w:t>2021</w:t>
      </w:r>
      <w:r>
        <w:rPr>
          <w:rFonts w:hint="eastAsia" w:ascii="宋体" w:hAnsi="宋体" w:eastAsia="宋体" w:cs="宋体"/>
          <w:spacing w:val="7"/>
          <w:sz w:val="24"/>
          <w:szCs w:val="24"/>
        </w:rPr>
        <w:t>年仍然保留着</w:t>
      </w:r>
      <w:r>
        <w:rPr>
          <w:rFonts w:hint="eastAsia" w:ascii="宋体" w:hAnsi="宋体" w:eastAsia="宋体" w:cs="宋体"/>
          <w:spacing w:val="7"/>
          <w:position w:val="-2"/>
          <w:sz w:val="24"/>
          <w:szCs w:val="24"/>
        </w:rPr>
        <w:t>1170</w:t>
      </w:r>
      <w:r>
        <w:rPr>
          <w:rFonts w:hint="eastAsia" w:ascii="宋体" w:hAnsi="宋体" w:eastAsia="宋体" w:cs="宋体"/>
          <w:spacing w:val="7"/>
          <w:sz w:val="24"/>
          <w:szCs w:val="24"/>
        </w:rPr>
        <w:t>万</w:t>
      </w:r>
      <w:r>
        <w:rPr>
          <w:rFonts w:hint="eastAsia" w:ascii="宋体" w:hAnsi="宋体" w:eastAsia="宋体" w:cs="宋体"/>
          <w:spacing w:val="9"/>
          <w:sz w:val="24"/>
          <w:szCs w:val="24"/>
        </w:rPr>
        <w:t>美元的免征额度和最高税率为40%的累进制遗产税。</w:t>
      </w:r>
      <w:r>
        <w:rPr>
          <w:rStyle w:val="20"/>
          <w:rFonts w:hint="eastAsia" w:ascii="宋体" w:hAnsi="宋体" w:eastAsia="宋体" w:cs="宋体"/>
          <w:spacing w:val="9"/>
          <w:sz w:val="24"/>
          <w:szCs w:val="24"/>
        </w:rPr>
        <w:footnoteReference w:id="803"/>
      </w:r>
      <w:r>
        <w:rPr>
          <w:rFonts w:hint="eastAsia" w:ascii="宋体" w:hAnsi="宋体" w:eastAsia="宋体" w:cs="宋体"/>
          <w:spacing w:val="9"/>
          <w:sz w:val="24"/>
          <w:szCs w:val="24"/>
        </w:rPr>
        <w:t>日本</w:t>
      </w:r>
      <w:r>
        <w:rPr>
          <w:rFonts w:hint="eastAsia" w:ascii="宋体" w:hAnsi="宋体" w:eastAsia="宋体" w:cs="宋体"/>
          <w:spacing w:val="8"/>
          <w:sz w:val="24"/>
          <w:szCs w:val="24"/>
        </w:rPr>
        <w:t>则规定遗产超过</w:t>
      </w:r>
      <w:r>
        <w:rPr>
          <w:rFonts w:hint="eastAsia" w:ascii="宋体" w:hAnsi="宋体" w:eastAsia="宋体" w:cs="宋体"/>
          <w:spacing w:val="12"/>
          <w:position w:val="-2"/>
          <w:sz w:val="24"/>
          <w:szCs w:val="24"/>
        </w:rPr>
        <w:t>800</w:t>
      </w:r>
      <w:r>
        <w:rPr>
          <w:rFonts w:hint="eastAsia" w:ascii="宋体" w:hAnsi="宋体" w:eastAsia="宋体" w:cs="宋体"/>
          <w:spacing w:val="12"/>
          <w:sz w:val="24"/>
          <w:szCs w:val="24"/>
        </w:rPr>
        <w:t>万日元(约合人民币</w:t>
      </w:r>
      <w:r>
        <w:rPr>
          <w:rFonts w:hint="eastAsia" w:ascii="宋体" w:hAnsi="宋体" w:eastAsia="宋体" w:cs="宋体"/>
          <w:spacing w:val="12"/>
          <w:position w:val="-2"/>
          <w:sz w:val="24"/>
          <w:szCs w:val="24"/>
        </w:rPr>
        <w:t>40</w:t>
      </w:r>
      <w:r>
        <w:rPr>
          <w:rFonts w:hint="eastAsia" w:ascii="宋体" w:hAnsi="宋体" w:eastAsia="宋体" w:cs="宋体"/>
          <w:spacing w:val="12"/>
          <w:sz w:val="24"/>
          <w:szCs w:val="24"/>
        </w:rPr>
        <w:t>万元)就需要缴纳遗产税,且最高税率达到</w:t>
      </w:r>
      <w:r>
        <w:rPr>
          <w:rFonts w:hint="eastAsia" w:ascii="宋体" w:hAnsi="宋体" w:eastAsia="宋体" w:cs="宋体"/>
          <w:spacing w:val="12"/>
          <w:position w:val="-2"/>
          <w:sz w:val="24"/>
          <w:szCs w:val="24"/>
        </w:rPr>
        <w:t>70%</w:t>
      </w:r>
      <w:r>
        <w:rPr>
          <w:rFonts w:hint="eastAsia" w:ascii="宋体" w:hAnsi="宋体" w:eastAsia="宋体" w:cs="宋体"/>
          <w:spacing w:val="12"/>
          <w:position w:val="1"/>
          <w:sz w:val="24"/>
          <w:szCs w:val="24"/>
        </w:rPr>
        <w:t>。</w:t>
      </w:r>
      <w:r>
        <w:rPr>
          <w:rFonts w:hint="eastAsia" w:ascii="宋体" w:hAnsi="宋体" w:eastAsia="宋体" w:cs="宋体"/>
          <w:spacing w:val="17"/>
          <w:sz w:val="24"/>
          <w:szCs w:val="24"/>
        </w:rPr>
        <w:t>我国目前没有明确的遗产税制度,只是在部分领域实施了</w:t>
      </w:r>
      <w:r>
        <w:rPr>
          <w:rFonts w:hint="eastAsia" w:ascii="宋体" w:hAnsi="宋体" w:eastAsia="宋体" w:cs="宋体"/>
          <w:spacing w:val="16"/>
          <w:sz w:val="24"/>
          <w:szCs w:val="24"/>
        </w:rPr>
        <w:t>与遗产税相关的政</w:t>
      </w:r>
      <w:r>
        <w:rPr>
          <w:rFonts w:hint="eastAsia" w:ascii="宋体" w:hAnsi="宋体" w:eastAsia="宋体" w:cs="宋体"/>
          <w:spacing w:val="10"/>
          <w:sz w:val="24"/>
          <w:szCs w:val="24"/>
        </w:rPr>
        <w:t>策。如在房屋继承时,要根据房屋的评估价值缴纳契税、增值税和个人所得税</w:t>
      </w:r>
      <w:r>
        <w:rPr>
          <w:rFonts w:hint="eastAsia" w:ascii="宋体" w:hAnsi="宋体" w:eastAsia="宋体" w:cs="宋体"/>
          <w:spacing w:val="17"/>
          <w:sz w:val="24"/>
          <w:szCs w:val="24"/>
        </w:rPr>
        <w:t>等,这可视为一种遗产税的形式。尽管我国目前征收遗产</w:t>
      </w:r>
      <w:r>
        <w:rPr>
          <w:rFonts w:hint="eastAsia" w:ascii="宋体" w:hAnsi="宋体" w:eastAsia="宋体" w:cs="宋体"/>
          <w:spacing w:val="16"/>
          <w:sz w:val="24"/>
          <w:szCs w:val="24"/>
        </w:rPr>
        <w:t>税面临着税制要素</w:t>
      </w:r>
      <w:r>
        <w:rPr>
          <w:rFonts w:hint="eastAsia" w:ascii="宋体" w:hAnsi="宋体" w:eastAsia="宋体" w:cs="宋体"/>
          <w:spacing w:val="10"/>
          <w:sz w:val="24"/>
          <w:szCs w:val="24"/>
        </w:rPr>
        <w:t>不明确、隐性合法遗产不易显性、征税成本高等问题,但针对以房产为主体的</w:t>
      </w:r>
      <w:r>
        <w:rPr>
          <w:rFonts w:hint="eastAsia" w:ascii="宋体" w:hAnsi="宋体" w:eastAsia="宋体" w:cs="宋体"/>
          <w:spacing w:val="15"/>
          <w:sz w:val="24"/>
          <w:szCs w:val="24"/>
        </w:rPr>
        <w:t>家庭财富征收遗产税,则有助于限制高财富群体的财富积累速度,</w:t>
      </w:r>
      <w:r>
        <w:rPr>
          <w:rFonts w:hint="eastAsia" w:ascii="宋体" w:hAnsi="宋体" w:eastAsia="宋体" w:cs="宋体"/>
          <w:spacing w:val="14"/>
          <w:sz w:val="24"/>
          <w:szCs w:val="24"/>
        </w:rPr>
        <w:t>因而不失为</w:t>
      </w:r>
      <w:r>
        <w:rPr>
          <w:rFonts w:hint="eastAsia" w:ascii="宋体" w:hAnsi="宋体" w:eastAsia="宋体" w:cs="宋体"/>
          <w:spacing w:val="10"/>
          <w:sz w:val="24"/>
          <w:szCs w:val="24"/>
        </w:rPr>
        <w:t>一种缩小财富差距的有力手段。此外,政府可以建立健全财富税、房产税等其</w:t>
      </w:r>
      <w:r>
        <w:rPr>
          <w:rFonts w:hint="eastAsia" w:ascii="宋体" w:hAnsi="宋体" w:eastAsia="宋体" w:cs="宋体"/>
          <w:spacing w:val="15"/>
          <w:sz w:val="24"/>
          <w:szCs w:val="24"/>
        </w:rPr>
        <w:t>他财产税制度,对高财富群体的净财产进行合理估值并征税,以实</w:t>
      </w:r>
      <w:r>
        <w:rPr>
          <w:rFonts w:hint="eastAsia" w:ascii="宋体" w:hAnsi="宋体" w:eastAsia="宋体" w:cs="宋体"/>
          <w:spacing w:val="14"/>
          <w:sz w:val="24"/>
          <w:szCs w:val="24"/>
        </w:rPr>
        <w:t>现有效缩小</w:t>
      </w:r>
      <w:r>
        <w:rPr>
          <w:rFonts w:hint="eastAsia" w:ascii="宋体" w:hAnsi="宋体" w:eastAsia="宋体" w:cs="宋体"/>
          <w:spacing w:val="11"/>
          <w:sz w:val="24"/>
          <w:szCs w:val="24"/>
        </w:rPr>
        <w:t>财富分配差距的目的。</w:t>
      </w:r>
    </w:p>
    <w:p w14:paraId="38ACE3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4" w:firstLineChars="200"/>
        <w:jc w:val="both"/>
        <w:textAlignment w:val="baseline"/>
        <w:rPr>
          <w:rFonts w:hint="eastAsia" w:ascii="宋体" w:hAnsi="宋体" w:eastAsia="宋体" w:cs="宋体"/>
          <w:sz w:val="24"/>
          <w:szCs w:val="24"/>
        </w:rPr>
      </w:pPr>
      <w:r>
        <w:rPr>
          <w:rFonts w:hint="eastAsia" w:ascii="宋体" w:hAnsi="宋体" w:eastAsia="宋体" w:cs="宋体"/>
          <w:spacing w:val="16"/>
          <w:sz w:val="24"/>
          <w:szCs w:val="24"/>
        </w:rPr>
        <w:t>从国外经验来看,英国的遗产税率根据遗产的价</w:t>
      </w:r>
      <w:r>
        <w:rPr>
          <w:rFonts w:hint="eastAsia" w:ascii="宋体" w:hAnsi="宋体" w:eastAsia="宋体" w:cs="宋体"/>
          <w:spacing w:val="15"/>
          <w:sz w:val="24"/>
          <w:szCs w:val="24"/>
        </w:rPr>
        <w:t>值按照</w:t>
      </w:r>
      <w:r>
        <w:rPr>
          <w:rFonts w:hint="eastAsia" w:ascii="宋体" w:hAnsi="宋体" w:eastAsia="宋体" w:cs="宋体"/>
          <w:spacing w:val="15"/>
          <w:position w:val="-2"/>
          <w:sz w:val="24"/>
          <w:szCs w:val="24"/>
        </w:rPr>
        <w:t>0%~</w:t>
      </w:r>
      <w:r>
        <w:rPr>
          <w:rFonts w:hint="eastAsia" w:ascii="宋体" w:hAnsi="宋体" w:eastAsia="宋体" w:cs="宋体"/>
          <w:spacing w:val="15"/>
          <w:sz w:val="24"/>
          <w:szCs w:val="24"/>
        </w:rPr>
        <w:t>40%的累</w:t>
      </w:r>
      <w:r>
        <w:rPr>
          <w:rFonts w:hint="eastAsia" w:ascii="宋体" w:hAnsi="宋体" w:eastAsia="宋体" w:cs="宋体"/>
          <w:spacing w:val="14"/>
          <w:sz w:val="24"/>
          <w:szCs w:val="24"/>
        </w:rPr>
        <w:t>进税率征税,免税额度为每人</w:t>
      </w:r>
      <w:r>
        <w:rPr>
          <w:rFonts w:hint="eastAsia" w:ascii="宋体" w:hAnsi="宋体" w:eastAsia="宋体" w:cs="宋体"/>
          <w:spacing w:val="14"/>
          <w:position w:val="-2"/>
          <w:sz w:val="24"/>
          <w:szCs w:val="24"/>
        </w:rPr>
        <w:t>325000</w:t>
      </w:r>
      <w:r>
        <w:rPr>
          <w:rFonts w:hint="eastAsia" w:ascii="宋体" w:hAnsi="宋体" w:eastAsia="宋体" w:cs="宋体"/>
          <w:spacing w:val="14"/>
          <w:sz w:val="24"/>
          <w:szCs w:val="24"/>
        </w:rPr>
        <w:t>英镑,且如果夫妇双方都是英国</w:t>
      </w:r>
      <w:r>
        <w:rPr>
          <w:rFonts w:hint="eastAsia" w:ascii="宋体" w:hAnsi="宋体" w:eastAsia="宋体" w:cs="宋体"/>
          <w:spacing w:val="13"/>
          <w:sz w:val="24"/>
          <w:szCs w:val="24"/>
        </w:rPr>
        <w:t>居民,</w:t>
      </w:r>
      <w:r>
        <w:rPr>
          <w:rFonts w:hint="eastAsia" w:ascii="宋体" w:hAnsi="宋体" w:eastAsia="宋体" w:cs="宋体"/>
          <w:spacing w:val="14"/>
          <w:sz w:val="24"/>
          <w:szCs w:val="24"/>
        </w:rPr>
        <w:t>那么免税额度可以合并为</w:t>
      </w:r>
      <w:r>
        <w:rPr>
          <w:rFonts w:hint="eastAsia" w:ascii="宋体" w:hAnsi="宋体" w:eastAsia="宋体" w:cs="宋体"/>
          <w:spacing w:val="14"/>
          <w:position w:val="-2"/>
          <w:sz w:val="24"/>
          <w:szCs w:val="24"/>
        </w:rPr>
        <w:t>650000</w:t>
      </w:r>
      <w:r>
        <w:rPr>
          <w:rFonts w:hint="eastAsia" w:ascii="宋体" w:hAnsi="宋体" w:eastAsia="宋体" w:cs="宋体"/>
          <w:spacing w:val="14"/>
          <w:sz w:val="24"/>
          <w:szCs w:val="24"/>
        </w:rPr>
        <w:t>英镑,但英国的遗</w:t>
      </w:r>
      <w:r>
        <w:rPr>
          <w:rFonts w:hint="eastAsia" w:ascii="宋体" w:hAnsi="宋体" w:eastAsia="宋体" w:cs="宋体"/>
          <w:spacing w:val="13"/>
          <w:sz w:val="24"/>
          <w:szCs w:val="24"/>
        </w:rPr>
        <w:t>产税只针对个体在英国</w:t>
      </w:r>
      <w:r>
        <w:rPr>
          <w:rFonts w:hint="eastAsia" w:ascii="宋体" w:hAnsi="宋体" w:eastAsia="宋体" w:cs="宋体"/>
          <w:spacing w:val="10"/>
          <w:sz w:val="24"/>
          <w:szCs w:val="24"/>
        </w:rPr>
        <w:t>国内的资产征税。法国的遗产税针对全球资产进行征税,即使是非法国居民,</w:t>
      </w:r>
      <w:r>
        <w:rPr>
          <w:rFonts w:hint="eastAsia" w:ascii="宋体" w:hAnsi="宋体" w:eastAsia="宋体" w:cs="宋体"/>
          <w:spacing w:val="16"/>
          <w:sz w:val="24"/>
          <w:szCs w:val="24"/>
        </w:rPr>
        <w:t>在法国境内拥有资产,也需要缴纳法国的遗产税,税</w:t>
      </w:r>
      <w:r>
        <w:rPr>
          <w:rFonts w:hint="eastAsia" w:ascii="宋体" w:hAnsi="宋体" w:eastAsia="宋体" w:cs="宋体"/>
          <w:spacing w:val="15"/>
          <w:sz w:val="24"/>
          <w:szCs w:val="24"/>
        </w:rPr>
        <w:t>率保持在</w:t>
      </w:r>
      <w:r>
        <w:rPr>
          <w:rFonts w:hint="eastAsia" w:ascii="宋体" w:hAnsi="宋体" w:eastAsia="宋体" w:cs="宋体"/>
          <w:spacing w:val="15"/>
          <w:position w:val="-2"/>
          <w:sz w:val="24"/>
          <w:szCs w:val="24"/>
        </w:rPr>
        <w:t>5%~</w:t>
      </w:r>
      <w:r>
        <w:rPr>
          <w:rFonts w:hint="eastAsia" w:ascii="宋体" w:hAnsi="宋体" w:eastAsia="宋体" w:cs="宋体"/>
          <w:spacing w:val="15"/>
          <w:position w:val="-1"/>
          <w:sz w:val="24"/>
          <w:szCs w:val="24"/>
        </w:rPr>
        <w:t>45%之</w:t>
      </w:r>
      <w:r>
        <w:rPr>
          <w:rFonts w:hint="eastAsia" w:ascii="宋体" w:hAnsi="宋体" w:eastAsia="宋体" w:cs="宋体"/>
          <w:spacing w:val="13"/>
          <w:sz w:val="24"/>
          <w:szCs w:val="24"/>
        </w:rPr>
        <w:t>间。总体来看,</w:t>
      </w:r>
      <w:r>
        <w:rPr>
          <w:rFonts w:hint="eastAsia" w:ascii="宋体" w:hAnsi="宋体" w:eastAsia="宋体" w:cs="宋体"/>
          <w:position w:val="-1"/>
          <w:sz w:val="24"/>
          <w:szCs w:val="24"/>
        </w:rPr>
        <w:t>OECD</w:t>
      </w:r>
      <w:r>
        <w:rPr>
          <w:rFonts w:hint="eastAsia" w:ascii="宋体" w:hAnsi="宋体" w:eastAsia="宋体" w:cs="宋体"/>
          <w:spacing w:val="13"/>
          <w:position w:val="-1"/>
          <w:sz w:val="24"/>
          <w:szCs w:val="24"/>
        </w:rPr>
        <w:t>成员</w:t>
      </w:r>
      <w:r>
        <w:rPr>
          <w:rFonts w:hint="eastAsia" w:ascii="宋体" w:hAnsi="宋体" w:eastAsia="宋体" w:cs="宋体"/>
          <w:spacing w:val="13"/>
          <w:sz w:val="24"/>
          <w:szCs w:val="24"/>
        </w:rPr>
        <w:t>国普遍开征遗产税,其实践经验对于我国遗产税制</w:t>
      </w:r>
      <w:r>
        <w:rPr>
          <w:rFonts w:hint="eastAsia" w:ascii="宋体" w:hAnsi="宋体" w:eastAsia="宋体" w:cs="宋体"/>
          <w:spacing w:val="2"/>
          <w:sz w:val="24"/>
          <w:szCs w:val="24"/>
        </w:rPr>
        <w:t>度设计的探索具有一定借鉴意义。</w:t>
      </w:r>
      <w:r>
        <w:rPr>
          <w:rStyle w:val="20"/>
          <w:rFonts w:hint="eastAsia" w:ascii="宋体" w:hAnsi="宋体" w:eastAsia="宋体" w:cs="宋体"/>
          <w:spacing w:val="2"/>
          <w:position w:val="5"/>
          <w:sz w:val="24"/>
          <w:szCs w:val="24"/>
        </w:rPr>
        <w:footnoteReference w:id="804"/>
      </w:r>
    </w:p>
    <w:p w14:paraId="2F71349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征收遗产税的另一个作用,是在一定程度上鼓励个体捐赠。党的十九届</w:t>
      </w:r>
      <w:r>
        <w:rPr>
          <w:rFonts w:hint="eastAsia" w:ascii="宋体" w:hAnsi="宋体" w:eastAsia="宋体" w:cs="宋体"/>
          <w:spacing w:val="3"/>
          <w:sz w:val="24"/>
          <w:szCs w:val="24"/>
        </w:rPr>
        <w:t>四中全会通过的《中共中央关于坚持和完善我国特色社会主义制度、推进国家</w:t>
      </w:r>
      <w:r>
        <w:rPr>
          <w:rFonts w:hint="eastAsia" w:ascii="宋体" w:hAnsi="宋体" w:eastAsia="宋体" w:cs="宋体"/>
          <w:spacing w:val="5"/>
          <w:sz w:val="24"/>
          <w:szCs w:val="24"/>
        </w:rPr>
        <w:t>治理体系和治理能力现代化若干重大问题的决定》明确指出,要“重视发挥第</w:t>
      </w:r>
      <w:r>
        <w:rPr>
          <w:rFonts w:hint="eastAsia" w:ascii="宋体" w:hAnsi="宋体" w:eastAsia="宋体" w:cs="宋体"/>
          <w:spacing w:val="12"/>
          <w:sz w:val="24"/>
          <w:szCs w:val="24"/>
        </w:rPr>
        <w:t>三次分配作用,发展慈善等社会公益事业”,这是党的文件上首次将第</w:t>
      </w:r>
      <w:r>
        <w:rPr>
          <w:rFonts w:hint="eastAsia" w:ascii="宋体" w:hAnsi="宋体" w:eastAsia="宋体" w:cs="宋体"/>
          <w:spacing w:val="11"/>
          <w:sz w:val="24"/>
          <w:szCs w:val="24"/>
        </w:rPr>
        <w:t>三次分</w:t>
      </w:r>
      <w:r>
        <w:rPr>
          <w:rFonts w:hint="eastAsia" w:ascii="宋体" w:hAnsi="宋体" w:eastAsia="宋体" w:cs="宋体"/>
          <w:spacing w:val="6"/>
          <w:sz w:val="24"/>
          <w:szCs w:val="24"/>
        </w:rPr>
        <w:t>配制度纳入分配体系中。捐赠是第三次分配的重要手段,“捐赠穷弱”是社会</w:t>
      </w:r>
      <w:r>
        <w:rPr>
          <w:rFonts w:hint="eastAsia" w:ascii="宋体" w:hAnsi="宋体" w:eastAsia="宋体" w:cs="宋体"/>
          <w:spacing w:val="10"/>
          <w:sz w:val="24"/>
          <w:szCs w:val="24"/>
        </w:rPr>
        <w:t>主义本质要求,也是推动实现共同富裕的必然之举</w:t>
      </w:r>
      <w:r>
        <w:rPr>
          <w:rFonts w:hint="eastAsia" w:ascii="宋体" w:hAnsi="宋体" w:eastAsia="宋体" w:cs="宋体"/>
          <w:spacing w:val="10"/>
          <w:sz w:val="24"/>
          <w:szCs w:val="24"/>
          <w:lang w:eastAsia="zh-CN"/>
        </w:rPr>
        <w:t>。</w:t>
      </w:r>
      <w:r>
        <w:rPr>
          <w:rStyle w:val="20"/>
          <w:rFonts w:hint="eastAsia" w:ascii="宋体" w:hAnsi="宋体" w:eastAsia="宋体" w:cs="宋体"/>
          <w:spacing w:val="6"/>
          <w:position w:val="5"/>
          <w:sz w:val="24"/>
          <w:szCs w:val="24"/>
          <w:vertAlign w:val="superscript"/>
        </w:rPr>
        <w:footnoteReference w:id="805"/>
      </w:r>
      <w:r>
        <w:rPr>
          <w:rFonts w:hint="eastAsia" w:ascii="宋体" w:hAnsi="宋体" w:eastAsia="宋体" w:cs="宋体"/>
          <w:spacing w:val="10"/>
          <w:sz w:val="24"/>
          <w:szCs w:val="24"/>
        </w:rPr>
        <w:t>然而,我国目前的捐赠</w:t>
      </w:r>
      <w:r>
        <w:rPr>
          <w:rFonts w:hint="eastAsia" w:ascii="宋体" w:hAnsi="宋体" w:eastAsia="宋体" w:cs="宋体"/>
          <w:spacing w:val="12"/>
          <w:sz w:val="24"/>
          <w:szCs w:val="24"/>
        </w:rPr>
        <w:t>总量相对不足</w:t>
      </w:r>
      <w:r>
        <w:rPr>
          <w:rFonts w:hint="eastAsia" w:ascii="宋体" w:hAnsi="宋体" w:eastAsia="宋体" w:cs="宋体"/>
          <w:spacing w:val="12"/>
          <w:position w:val="1"/>
          <w:sz w:val="24"/>
          <w:szCs w:val="24"/>
        </w:rPr>
        <w:t>,</w:t>
      </w:r>
      <w:r>
        <w:rPr>
          <w:rFonts w:hint="eastAsia" w:ascii="宋体" w:hAnsi="宋体" w:eastAsia="宋体" w:cs="宋体"/>
          <w:spacing w:val="12"/>
          <w:position w:val="-2"/>
          <w:sz w:val="24"/>
          <w:szCs w:val="24"/>
        </w:rPr>
        <w:t>2020</w:t>
      </w:r>
      <w:r>
        <w:rPr>
          <w:rFonts w:hint="eastAsia" w:ascii="宋体" w:hAnsi="宋体" w:eastAsia="宋体" w:cs="宋体"/>
          <w:spacing w:val="12"/>
          <w:sz w:val="24"/>
          <w:szCs w:val="24"/>
        </w:rPr>
        <w:t>年的捐赠总额仅占</w:t>
      </w:r>
      <w:r>
        <w:rPr>
          <w:rFonts w:hint="eastAsia" w:ascii="宋体" w:hAnsi="宋体" w:eastAsia="宋体" w:cs="宋体"/>
          <w:position w:val="-2"/>
          <w:sz w:val="24"/>
          <w:szCs w:val="24"/>
        </w:rPr>
        <w:t>GDP</w:t>
      </w:r>
      <w:r>
        <w:rPr>
          <w:rFonts w:hint="eastAsia" w:ascii="宋体" w:hAnsi="宋体" w:eastAsia="宋体" w:cs="宋体"/>
          <w:spacing w:val="12"/>
          <w:sz w:val="24"/>
          <w:szCs w:val="24"/>
        </w:rPr>
        <w:t>的</w:t>
      </w:r>
      <w:r>
        <w:rPr>
          <w:rFonts w:hint="eastAsia" w:ascii="宋体" w:hAnsi="宋体" w:eastAsia="宋体" w:cs="宋体"/>
          <w:spacing w:val="12"/>
          <w:position w:val="-2"/>
          <w:sz w:val="24"/>
          <w:szCs w:val="24"/>
        </w:rPr>
        <w:t>0.</w:t>
      </w:r>
      <w:r>
        <w:rPr>
          <w:rFonts w:hint="eastAsia" w:ascii="宋体" w:hAnsi="宋体" w:eastAsia="宋体" w:cs="宋体"/>
          <w:spacing w:val="11"/>
          <w:position w:val="-2"/>
          <w:sz w:val="24"/>
          <w:szCs w:val="24"/>
        </w:rPr>
        <w:t>2%</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远低于同年美国的</w:t>
      </w:r>
      <w:r>
        <w:rPr>
          <w:rFonts w:hint="eastAsia" w:ascii="宋体" w:hAnsi="宋体" w:eastAsia="宋体" w:cs="宋体"/>
          <w:spacing w:val="11"/>
          <w:position w:val="-2"/>
          <w:sz w:val="24"/>
          <w:szCs w:val="24"/>
        </w:rPr>
        <w:t>2.2%</w:t>
      </w:r>
      <w:r>
        <w:rPr>
          <w:rFonts w:hint="eastAsia" w:ascii="宋体" w:hAnsi="宋体" w:eastAsia="宋体" w:cs="宋体"/>
          <w:spacing w:val="11"/>
          <w:sz w:val="24"/>
          <w:szCs w:val="24"/>
        </w:rPr>
        <w:t>。此外,目前我国的捐赠主体是企业而非</w:t>
      </w:r>
      <w:r>
        <w:rPr>
          <w:rFonts w:hint="eastAsia" w:ascii="宋体" w:hAnsi="宋体" w:eastAsia="宋体" w:cs="宋体"/>
          <w:spacing w:val="10"/>
          <w:sz w:val="24"/>
          <w:szCs w:val="24"/>
        </w:rPr>
        <w:t>个人,这对削减高财富人群财</w:t>
      </w:r>
      <w:r>
        <w:rPr>
          <w:rFonts w:hint="eastAsia" w:ascii="宋体" w:hAnsi="宋体" w:eastAsia="宋体" w:cs="宋体"/>
          <w:spacing w:val="13"/>
          <w:sz w:val="24"/>
          <w:szCs w:val="24"/>
        </w:rPr>
        <w:t>富的作用相对有限。而通过征收遗产税,能够在一定程度上激励高财富个体</w:t>
      </w:r>
      <w:r>
        <w:rPr>
          <w:rFonts w:hint="eastAsia" w:ascii="宋体" w:hAnsi="宋体" w:eastAsia="宋体" w:cs="宋体"/>
          <w:spacing w:val="16"/>
          <w:sz w:val="24"/>
          <w:szCs w:val="24"/>
        </w:rPr>
        <w:t>的捐赠行为,且捐赠可以在个税税基中扣除,从而进一步促进个体捐赠,进而</w:t>
      </w:r>
      <w:r>
        <w:rPr>
          <w:rFonts w:hint="eastAsia" w:ascii="宋体" w:hAnsi="宋体" w:eastAsia="宋体" w:cs="宋体"/>
          <w:spacing w:val="6"/>
          <w:sz w:val="24"/>
          <w:szCs w:val="24"/>
        </w:rPr>
        <w:t>缩小财富差距。</w:t>
      </w:r>
    </w:p>
    <w:p w14:paraId="52D69F1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(三)探索建立弃籍税与资产离境税制度,抑制资产外流</w:t>
      </w:r>
    </w:p>
    <w:p w14:paraId="311DF2B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据不完全统计,</w:t>
      </w:r>
      <w:r>
        <w:rPr>
          <w:rFonts w:hint="eastAsia" w:ascii="宋体" w:hAnsi="宋体" w:eastAsia="宋体" w:cs="宋体"/>
          <w:spacing w:val="12"/>
          <w:position w:val="-2"/>
          <w:sz w:val="24"/>
          <w:szCs w:val="24"/>
        </w:rPr>
        <w:t>2009—2012</w:t>
      </w:r>
      <w:r>
        <w:rPr>
          <w:rFonts w:hint="eastAsia" w:ascii="宋体" w:hAnsi="宋体" w:eastAsia="宋体" w:cs="宋体"/>
          <w:spacing w:val="12"/>
          <w:sz w:val="24"/>
          <w:szCs w:val="24"/>
        </w:rPr>
        <w:t>年间,每年随我国内地富豪流向海外的财富</w:t>
      </w:r>
      <w:r>
        <w:rPr>
          <w:rFonts w:hint="eastAsia" w:ascii="宋体" w:hAnsi="宋体" w:eastAsia="宋体" w:cs="宋体"/>
          <w:spacing w:val="-1"/>
          <w:sz w:val="24"/>
          <w:szCs w:val="24"/>
        </w:rPr>
        <w:t>达到</w:t>
      </w:r>
      <w:r>
        <w:rPr>
          <w:rFonts w:hint="eastAsia" w:ascii="宋体" w:hAnsi="宋体" w:eastAsia="宋体" w:cs="宋体"/>
          <w:spacing w:val="-1"/>
          <w:position w:val="-2"/>
          <w:sz w:val="24"/>
          <w:szCs w:val="24"/>
        </w:rPr>
        <w:t>100</w:t>
      </w:r>
      <w:r>
        <w:rPr>
          <w:rFonts w:hint="eastAsia" w:ascii="宋体" w:hAnsi="宋体" w:eastAsia="宋体" w:cs="宋体"/>
          <w:spacing w:val="-1"/>
          <w:sz w:val="24"/>
          <w:szCs w:val="24"/>
        </w:rPr>
        <w:t>亿元以上。</w:t>
      </w:r>
      <w:r>
        <w:rPr>
          <w:rStyle w:val="20"/>
          <w:rFonts w:hint="eastAsia" w:ascii="宋体" w:hAnsi="宋体" w:eastAsia="宋体" w:cs="宋体"/>
          <w:spacing w:val="-1"/>
          <w:sz w:val="24"/>
          <w:szCs w:val="24"/>
        </w:rPr>
        <w:footnoteReference w:id="806"/>
      </w:r>
      <w:r>
        <w:rPr>
          <w:rFonts w:hint="eastAsia" w:ascii="宋体" w:hAnsi="宋体" w:eastAsia="宋体" w:cs="宋体"/>
          <w:spacing w:val="-1"/>
          <w:sz w:val="24"/>
          <w:szCs w:val="24"/>
        </w:rPr>
        <w:t>共同富裕要求“先富”带动“后</w:t>
      </w:r>
      <w:r>
        <w:rPr>
          <w:rFonts w:hint="eastAsia" w:ascii="宋体" w:hAnsi="宋体" w:eastAsia="宋体" w:cs="宋体"/>
          <w:spacing w:val="-2"/>
          <w:sz w:val="24"/>
          <w:szCs w:val="24"/>
        </w:rPr>
        <w:t>富”,而部分优先获得更</w:t>
      </w:r>
      <w:r>
        <w:rPr>
          <w:rFonts w:hint="eastAsia" w:ascii="宋体" w:hAnsi="宋体" w:eastAsia="宋体" w:cs="宋体"/>
          <w:spacing w:val="12"/>
          <w:sz w:val="24"/>
          <w:szCs w:val="24"/>
        </w:rPr>
        <w:t>多财富的个体其财富如此轻易地流向海外,既不利于国内财富的稳定</w:t>
      </w:r>
      <w:r>
        <w:rPr>
          <w:rFonts w:hint="eastAsia" w:ascii="宋体" w:hAnsi="宋体" w:eastAsia="宋体" w:cs="宋体"/>
          <w:spacing w:val="11"/>
          <w:sz w:val="24"/>
          <w:szCs w:val="24"/>
        </w:rPr>
        <w:t>增长,也</w:t>
      </w:r>
      <w:r>
        <w:rPr>
          <w:rFonts w:hint="eastAsia" w:ascii="宋体" w:hAnsi="宋体" w:eastAsia="宋体" w:cs="宋体"/>
          <w:spacing w:val="13"/>
          <w:sz w:val="24"/>
          <w:szCs w:val="24"/>
        </w:rPr>
        <w:t>不利于社会公平的实现,并将不断恶化财富分配。我国目前并没有建立弃籍</w:t>
      </w:r>
      <w:r>
        <w:rPr>
          <w:rFonts w:hint="eastAsia" w:ascii="宋体" w:hAnsi="宋体" w:eastAsia="宋体" w:cs="宋体"/>
          <w:spacing w:val="6"/>
          <w:sz w:val="24"/>
          <w:szCs w:val="24"/>
        </w:rPr>
        <w:t>税制度,仅对放弃国籍的个人有一些相关规定。例如,根据《个人</w:t>
      </w:r>
      <w:r>
        <w:rPr>
          <w:rFonts w:hint="eastAsia" w:ascii="宋体" w:hAnsi="宋体" w:eastAsia="宋体" w:cs="宋体"/>
          <w:spacing w:val="5"/>
          <w:sz w:val="24"/>
          <w:szCs w:val="24"/>
        </w:rPr>
        <w:t>所得税法》第</w:t>
      </w:r>
      <w:r>
        <w:rPr>
          <w:rFonts w:hint="eastAsia" w:ascii="宋体" w:hAnsi="宋体" w:eastAsia="宋体" w:cs="宋体"/>
          <w:spacing w:val="12"/>
          <w:sz w:val="24"/>
          <w:szCs w:val="24"/>
        </w:rPr>
        <w:t>十三条,纳税人因移居境外注销我国户籍的,应当在注销我国户籍前</w:t>
      </w:r>
      <w:r>
        <w:rPr>
          <w:rFonts w:hint="eastAsia" w:ascii="宋体" w:hAnsi="宋体" w:eastAsia="宋体" w:cs="宋体"/>
          <w:spacing w:val="11"/>
          <w:sz w:val="24"/>
          <w:szCs w:val="24"/>
        </w:rPr>
        <w:t>办理税款</w:t>
      </w:r>
      <w:r>
        <w:rPr>
          <w:rFonts w:hint="eastAsia" w:ascii="宋体" w:hAnsi="宋体" w:eastAsia="宋体" w:cs="宋体"/>
          <w:spacing w:val="13"/>
          <w:sz w:val="24"/>
          <w:szCs w:val="24"/>
        </w:rPr>
        <w:t>清算。此外,我国是全球唯一一个没有设置资产离境税制度的国家。我国很</w:t>
      </w:r>
      <w:r>
        <w:rPr>
          <w:rFonts w:hint="eastAsia" w:ascii="宋体" w:hAnsi="宋体" w:eastAsia="宋体" w:cs="宋体"/>
          <w:spacing w:val="14"/>
          <w:sz w:val="24"/>
          <w:szCs w:val="24"/>
        </w:rPr>
        <w:t>多富人群体通过设置离岸信托转移资产,部分投资人</w:t>
      </w:r>
      <w:r>
        <w:rPr>
          <w:rFonts w:hint="eastAsia" w:ascii="宋体" w:hAnsi="宋体" w:eastAsia="宋体" w:cs="宋体"/>
          <w:spacing w:val="13"/>
          <w:sz w:val="24"/>
          <w:szCs w:val="24"/>
        </w:rPr>
        <w:t>的公司注册在离岸管辖</w:t>
      </w:r>
      <w:r>
        <w:rPr>
          <w:rFonts w:hint="eastAsia" w:ascii="宋体" w:hAnsi="宋体" w:eastAsia="宋体" w:cs="宋体"/>
          <w:spacing w:val="14"/>
          <w:sz w:val="24"/>
          <w:szCs w:val="24"/>
        </w:rPr>
        <w:t>区,而在我国经营,从而利用法律漏洞形成避税现象。例如,一些知名互联网</w:t>
      </w:r>
      <w:r>
        <w:rPr>
          <w:rFonts w:hint="eastAsia" w:ascii="宋体" w:hAnsi="宋体" w:eastAsia="宋体" w:cs="宋体"/>
          <w:spacing w:val="12"/>
          <w:sz w:val="24"/>
          <w:szCs w:val="24"/>
        </w:rPr>
        <w:t>大公司等在开曼群岛注册,其在我国获得大量利润而交税极少,详见表</w:t>
      </w:r>
      <w:r>
        <w:rPr>
          <w:rFonts w:hint="eastAsia" w:ascii="宋体" w:hAnsi="宋体" w:eastAsia="宋体" w:cs="宋体"/>
          <w:spacing w:val="11"/>
          <w:position w:val="-2"/>
          <w:sz w:val="24"/>
          <w:szCs w:val="24"/>
        </w:rPr>
        <w:t>1</w:t>
      </w:r>
      <w:r>
        <w:rPr>
          <w:rFonts w:hint="eastAsia" w:ascii="宋体" w:hAnsi="宋体" w:eastAsia="宋体" w:cs="宋体"/>
          <w:spacing w:val="11"/>
          <w:sz w:val="24"/>
          <w:szCs w:val="24"/>
        </w:rPr>
        <w:t>。未来我国应积极探索建立弃籍税制度,抑制资产外流。同时,要</w:t>
      </w:r>
      <w:r>
        <w:rPr>
          <w:rFonts w:hint="eastAsia" w:ascii="宋体" w:hAnsi="宋体" w:eastAsia="宋体" w:cs="宋体"/>
          <w:spacing w:val="10"/>
          <w:sz w:val="24"/>
          <w:szCs w:val="24"/>
        </w:rPr>
        <w:t>尽可能地</w:t>
      </w:r>
      <w:r>
        <w:rPr>
          <w:rFonts w:hint="eastAsia" w:ascii="宋体" w:hAnsi="宋体" w:eastAsia="宋体" w:cs="宋体"/>
          <w:spacing w:val="6"/>
          <w:sz w:val="24"/>
          <w:szCs w:val="24"/>
        </w:rPr>
        <w:t>设立资产离境税,即针对“逃离”国内的资本进</w:t>
      </w:r>
      <w:r>
        <w:rPr>
          <w:rFonts w:hint="eastAsia" w:ascii="宋体" w:hAnsi="宋体" w:eastAsia="宋体" w:cs="宋体"/>
          <w:spacing w:val="5"/>
          <w:sz w:val="24"/>
          <w:szCs w:val="24"/>
        </w:rPr>
        <w:t>行征税:一方面,防止资本外逃,</w:t>
      </w:r>
      <w:r>
        <w:rPr>
          <w:rFonts w:hint="eastAsia" w:ascii="宋体" w:hAnsi="宋体" w:eastAsia="宋体" w:cs="宋体"/>
          <w:spacing w:val="10"/>
          <w:sz w:val="24"/>
          <w:szCs w:val="24"/>
        </w:rPr>
        <w:t>使得资本能够长期在国内进行有效的流通和循环;另一方面,对于个体在国内</w:t>
      </w:r>
      <w:r>
        <w:rPr>
          <w:rFonts w:hint="eastAsia" w:ascii="宋体" w:hAnsi="宋体" w:eastAsia="宋体" w:cs="宋体"/>
          <w:spacing w:val="14"/>
          <w:sz w:val="24"/>
          <w:szCs w:val="24"/>
        </w:rPr>
        <w:t>赚取的合法收入,可以起到保护个人财产合法权益的作用。建</w:t>
      </w:r>
      <w:r>
        <w:rPr>
          <w:rFonts w:hint="eastAsia" w:ascii="宋体" w:hAnsi="宋体" w:eastAsia="宋体" w:cs="宋体"/>
          <w:spacing w:val="13"/>
          <w:sz w:val="24"/>
          <w:szCs w:val="24"/>
        </w:rPr>
        <w:t>立弃籍税和资</w:t>
      </w:r>
      <w:r>
        <w:rPr>
          <w:rFonts w:hint="eastAsia" w:ascii="宋体" w:hAnsi="宋体" w:eastAsia="宋体" w:cs="宋体"/>
          <w:spacing w:val="2"/>
          <w:sz w:val="24"/>
          <w:szCs w:val="24"/>
        </w:rPr>
        <w:t>产离境税将有助于确保在“分好蛋糕”之前“保</w:t>
      </w:r>
      <w:r>
        <w:rPr>
          <w:rFonts w:hint="eastAsia" w:ascii="宋体" w:hAnsi="宋体" w:eastAsia="宋体" w:cs="宋体"/>
          <w:spacing w:val="1"/>
          <w:sz w:val="24"/>
          <w:szCs w:val="24"/>
        </w:rPr>
        <w:t>护蛋糕”,进而实现更合理的财</w:t>
      </w:r>
      <w:r>
        <w:rPr>
          <w:rFonts w:hint="eastAsia" w:ascii="宋体" w:hAnsi="宋体" w:eastAsia="宋体" w:cs="宋体"/>
          <w:spacing w:val="11"/>
          <w:sz w:val="24"/>
          <w:szCs w:val="24"/>
        </w:rPr>
        <w:t>富分配,缩小财富分配差距。</w:t>
      </w:r>
    </w:p>
    <w:p w14:paraId="0C5818C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pacing w:val="7"/>
          <w:sz w:val="24"/>
          <w:szCs w:val="24"/>
        </w:rPr>
      </w:pPr>
      <w:r>
        <w:rPr>
          <w:rFonts w:hint="eastAsia" w:ascii="宋体" w:hAnsi="宋体" w:eastAsia="宋体" w:cs="宋体"/>
          <w:spacing w:val="8"/>
          <w:sz w:val="24"/>
          <w:szCs w:val="24"/>
        </w:rPr>
        <w:t>西方发达国家较早地探索并实施弃籍税和资产离</w:t>
      </w:r>
      <w:r>
        <w:rPr>
          <w:rFonts w:hint="eastAsia" w:ascii="宋体" w:hAnsi="宋体" w:eastAsia="宋体" w:cs="宋体"/>
          <w:spacing w:val="7"/>
          <w:sz w:val="24"/>
          <w:szCs w:val="24"/>
        </w:rPr>
        <w:t>境税等相关政策。以美</w:t>
      </w:r>
      <w:r>
        <w:rPr>
          <w:rFonts w:hint="eastAsia" w:ascii="宋体" w:hAnsi="宋体" w:eastAsia="宋体" w:cs="宋体"/>
          <w:spacing w:val="11"/>
          <w:sz w:val="24"/>
          <w:szCs w:val="24"/>
        </w:rPr>
        <w:t>国为例,美国自</w:t>
      </w:r>
      <w:r>
        <w:rPr>
          <w:rFonts w:hint="eastAsia" w:ascii="宋体" w:hAnsi="宋体" w:eastAsia="宋体" w:cs="宋体"/>
          <w:spacing w:val="11"/>
          <w:position w:val="-2"/>
          <w:sz w:val="24"/>
          <w:szCs w:val="24"/>
        </w:rPr>
        <w:t>20</w:t>
      </w:r>
      <w:r>
        <w:rPr>
          <w:rFonts w:hint="eastAsia" w:ascii="宋体" w:hAnsi="宋体" w:eastAsia="宋体" w:cs="宋体"/>
          <w:spacing w:val="11"/>
          <w:sz w:val="24"/>
          <w:szCs w:val="24"/>
        </w:rPr>
        <w:t>世纪</w:t>
      </w:r>
      <w:r>
        <w:rPr>
          <w:rFonts w:hint="eastAsia" w:ascii="宋体" w:hAnsi="宋体" w:eastAsia="宋体" w:cs="宋体"/>
          <w:spacing w:val="11"/>
          <w:position w:val="-2"/>
          <w:sz w:val="24"/>
          <w:szCs w:val="24"/>
        </w:rPr>
        <w:t>60</w:t>
      </w:r>
      <w:r>
        <w:rPr>
          <w:rFonts w:hint="eastAsia" w:ascii="宋体" w:hAnsi="宋体" w:eastAsia="宋体" w:cs="宋体"/>
          <w:spacing w:val="11"/>
          <w:sz w:val="24"/>
          <w:szCs w:val="24"/>
        </w:rPr>
        <w:t>年代开始就对退出国籍的申请人征收了弃籍税,将</w:t>
      </w:r>
      <w:r>
        <w:rPr>
          <w:rFonts w:hint="eastAsia" w:ascii="宋体" w:hAnsi="宋体" w:eastAsia="宋体" w:cs="宋体"/>
          <w:spacing w:val="14"/>
          <w:sz w:val="24"/>
          <w:szCs w:val="24"/>
        </w:rPr>
        <w:t>放弃国籍者的个人资产扣除负债后的余额视同出</w:t>
      </w:r>
      <w:r>
        <w:rPr>
          <w:rFonts w:hint="eastAsia" w:ascii="宋体" w:hAnsi="宋体" w:eastAsia="宋体" w:cs="宋体"/>
          <w:spacing w:val="13"/>
          <w:sz w:val="24"/>
          <w:szCs w:val="24"/>
        </w:rPr>
        <w:t>售财产实现的利得,最高档</w:t>
      </w:r>
      <w:r>
        <w:rPr>
          <w:rFonts w:hint="eastAsia" w:ascii="宋体" w:hAnsi="宋体" w:eastAsia="宋体" w:cs="宋体"/>
          <w:spacing w:val="8"/>
          <w:sz w:val="24"/>
          <w:szCs w:val="24"/>
        </w:rPr>
        <w:t>征收税率达到</w:t>
      </w:r>
      <w:r>
        <w:rPr>
          <w:rFonts w:hint="eastAsia" w:ascii="宋体" w:hAnsi="宋体" w:eastAsia="宋体" w:cs="宋体"/>
          <w:spacing w:val="8"/>
          <w:position w:val="-2"/>
          <w:sz w:val="24"/>
          <w:szCs w:val="24"/>
        </w:rPr>
        <w:t>35%</w:t>
      </w:r>
      <w:r>
        <w:rPr>
          <w:rFonts w:hint="eastAsia" w:ascii="宋体" w:hAnsi="宋体" w:eastAsia="宋体" w:cs="宋体"/>
          <w:spacing w:val="8"/>
          <w:position w:val="-2"/>
          <w:sz w:val="24"/>
          <w:szCs w:val="24"/>
          <w:lang w:eastAsia="zh-CN"/>
        </w:rPr>
        <w:t>。</w:t>
      </w:r>
      <w:r>
        <w:rPr>
          <w:rStyle w:val="20"/>
          <w:rFonts w:hint="eastAsia" w:ascii="宋体" w:hAnsi="宋体" w:eastAsia="宋体" w:cs="宋体"/>
          <w:spacing w:val="8"/>
          <w:position w:val="-2"/>
          <w:sz w:val="24"/>
          <w:szCs w:val="24"/>
          <w:lang w:eastAsia="zh-CN"/>
        </w:rPr>
        <w:footnoteReference w:id="807"/>
      </w:r>
      <w:r>
        <w:rPr>
          <w:rFonts w:hint="eastAsia" w:ascii="宋体" w:hAnsi="宋体" w:eastAsia="宋体" w:cs="宋体"/>
          <w:spacing w:val="8"/>
          <w:sz w:val="24"/>
          <w:szCs w:val="24"/>
        </w:rPr>
        <w:t>之后,美国的弃籍税不断修改和完善,不断强</w:t>
      </w:r>
      <w:r>
        <w:rPr>
          <w:rFonts w:hint="eastAsia" w:ascii="宋体" w:hAnsi="宋体" w:eastAsia="宋体" w:cs="宋体"/>
          <w:spacing w:val="7"/>
          <w:sz w:val="24"/>
          <w:szCs w:val="24"/>
        </w:rPr>
        <w:t>化对弃籍</w:t>
      </w:r>
      <w:r>
        <w:rPr>
          <w:rFonts w:hint="eastAsia" w:ascii="宋体" w:hAnsi="宋体" w:eastAsia="宋体" w:cs="宋体"/>
          <w:spacing w:val="12"/>
          <w:sz w:val="24"/>
          <w:szCs w:val="24"/>
        </w:rPr>
        <w:t>者的认定标准,通过制定明确的法律加强征收管理,扩大弃籍税征收的</w:t>
      </w:r>
      <w:r>
        <w:rPr>
          <w:rFonts w:hint="eastAsia" w:ascii="宋体" w:hAnsi="宋体" w:eastAsia="宋体" w:cs="宋体"/>
          <w:spacing w:val="11"/>
          <w:sz w:val="24"/>
          <w:szCs w:val="24"/>
        </w:rPr>
        <w:t>资本范</w:t>
      </w:r>
      <w:r>
        <w:rPr>
          <w:rFonts w:hint="eastAsia" w:ascii="宋体" w:hAnsi="宋体" w:eastAsia="宋体" w:cs="宋体"/>
          <w:spacing w:val="12"/>
          <w:sz w:val="24"/>
          <w:szCs w:val="24"/>
        </w:rPr>
        <w:t>围和收入种类,达到防止国家税收流失和维护社会正义的作用。此外,</w:t>
      </w:r>
      <w:r>
        <w:rPr>
          <w:rFonts w:hint="eastAsia" w:ascii="宋体" w:hAnsi="宋体" w:eastAsia="宋体" w:cs="宋体"/>
          <w:spacing w:val="11"/>
          <w:sz w:val="24"/>
          <w:szCs w:val="24"/>
        </w:rPr>
        <w:t>美国的</w:t>
      </w:r>
      <w:r>
        <w:rPr>
          <w:rFonts w:hint="eastAsia" w:ascii="宋体" w:hAnsi="宋体" w:eastAsia="宋体" w:cs="宋体"/>
          <w:spacing w:val="12"/>
          <w:sz w:val="24"/>
          <w:szCs w:val="24"/>
        </w:rPr>
        <w:t>资产离境税税率高达</w:t>
      </w:r>
      <w:r>
        <w:rPr>
          <w:rFonts w:hint="eastAsia" w:ascii="宋体" w:hAnsi="宋体" w:eastAsia="宋体" w:cs="宋体"/>
          <w:spacing w:val="12"/>
          <w:position w:val="-2"/>
          <w:sz w:val="24"/>
          <w:szCs w:val="24"/>
        </w:rPr>
        <w:t>40%</w:t>
      </w:r>
      <w:r>
        <w:rPr>
          <w:rFonts w:hint="eastAsia" w:ascii="宋体" w:hAnsi="宋体" w:eastAsia="宋体" w:cs="宋体"/>
          <w:spacing w:val="12"/>
          <w:sz w:val="24"/>
          <w:szCs w:val="24"/>
        </w:rPr>
        <w:t>,有些国家的税率甚至达到</w:t>
      </w:r>
      <w:r>
        <w:rPr>
          <w:rFonts w:hint="eastAsia" w:ascii="宋体" w:hAnsi="宋体" w:eastAsia="宋体" w:cs="宋体"/>
          <w:spacing w:val="12"/>
          <w:position w:val="-2"/>
          <w:sz w:val="24"/>
          <w:szCs w:val="24"/>
        </w:rPr>
        <w:t>6</w:t>
      </w:r>
      <w:r>
        <w:rPr>
          <w:rFonts w:hint="eastAsia" w:ascii="宋体" w:hAnsi="宋体" w:eastAsia="宋体" w:cs="宋体"/>
          <w:spacing w:val="11"/>
          <w:position w:val="-2"/>
          <w:sz w:val="24"/>
          <w:szCs w:val="24"/>
        </w:rPr>
        <w:t>0%</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鉴于此,我国可</w:t>
      </w:r>
      <w:r>
        <w:rPr>
          <w:rFonts w:hint="eastAsia" w:ascii="宋体" w:hAnsi="宋体" w:eastAsia="宋体" w:cs="宋体"/>
          <w:spacing w:val="14"/>
          <w:sz w:val="24"/>
          <w:szCs w:val="24"/>
        </w:rPr>
        <w:t>充分借鉴美国等西方发达国家的经验,积极探索建立弃</w:t>
      </w:r>
      <w:r>
        <w:rPr>
          <w:rFonts w:hint="eastAsia" w:ascii="宋体" w:hAnsi="宋体" w:eastAsia="宋体" w:cs="宋体"/>
          <w:spacing w:val="13"/>
          <w:sz w:val="24"/>
          <w:szCs w:val="24"/>
        </w:rPr>
        <w:t>籍税和资产离境税制</w:t>
      </w:r>
      <w:r>
        <w:rPr>
          <w:rFonts w:hint="eastAsia" w:ascii="宋体" w:hAnsi="宋体" w:eastAsia="宋体" w:cs="宋体"/>
          <w:spacing w:val="14"/>
          <w:sz w:val="24"/>
          <w:szCs w:val="24"/>
        </w:rPr>
        <w:t>度,抑制资产外流,充分发挥弃籍税和资产离境税在承担调节社会收入分配、</w:t>
      </w:r>
      <w:r>
        <w:rPr>
          <w:rFonts w:hint="eastAsia" w:ascii="宋体" w:hAnsi="宋体" w:eastAsia="宋体" w:cs="宋体"/>
          <w:spacing w:val="7"/>
          <w:sz w:val="24"/>
          <w:szCs w:val="24"/>
        </w:rPr>
        <w:t>维护社会正义方面的作用。</w:t>
      </w:r>
    </w:p>
    <w:p w14:paraId="5BA68C2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pacing w:val="7"/>
          <w:sz w:val="24"/>
          <w:szCs w:val="24"/>
        </w:rPr>
      </w:pPr>
    </w:p>
    <w:p w14:paraId="0E02630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pacing w:val="7"/>
          <w:sz w:val="24"/>
          <w:szCs w:val="24"/>
        </w:rPr>
      </w:pPr>
    </w:p>
    <w:p w14:paraId="3FE77C8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pacing w:val="7"/>
          <w:sz w:val="24"/>
          <w:szCs w:val="24"/>
        </w:rPr>
      </w:pPr>
    </w:p>
    <w:p w14:paraId="041A7F5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pacing w:val="7"/>
          <w:sz w:val="24"/>
          <w:szCs w:val="24"/>
        </w:rPr>
      </w:pPr>
    </w:p>
    <w:p w14:paraId="45E3769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pacing w:val="7"/>
          <w:sz w:val="24"/>
          <w:szCs w:val="24"/>
        </w:rPr>
      </w:pPr>
    </w:p>
    <w:p w14:paraId="28E398F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center"/>
        <w:textAlignment w:val="baseline"/>
        <w:rPr>
          <w:rFonts w:hint="eastAsia" w:ascii="宋体" w:hAnsi="宋体" w:eastAsia="宋体" w:cs="宋体"/>
          <w:sz w:val="24"/>
          <w:szCs w:val="24"/>
        </w:rPr>
      </w:pPr>
      <w:r>
        <w:rPr>
          <w:rFonts w:hint="eastAsia" w:ascii="宋体" w:hAnsi="宋体" w:eastAsia="宋体" w:cs="宋体"/>
          <w:spacing w:val="8"/>
          <w:sz w:val="24"/>
          <w:szCs w:val="24"/>
        </w:rPr>
        <w:t>表</w:t>
      </w:r>
      <w:r>
        <w:rPr>
          <w:rFonts w:hint="eastAsia" w:ascii="宋体" w:hAnsi="宋体" w:eastAsia="宋体" w:cs="宋体"/>
          <w:spacing w:val="8"/>
          <w:position w:val="-2"/>
          <w:sz w:val="24"/>
          <w:szCs w:val="24"/>
        </w:rPr>
        <w:t>1</w:t>
      </w:r>
      <w:r>
        <w:rPr>
          <w:rFonts w:hint="eastAsia" w:ascii="宋体" w:hAnsi="宋体" w:eastAsia="宋体" w:cs="宋体"/>
          <w:spacing w:val="8"/>
          <w:position w:val="-2"/>
          <w:sz w:val="24"/>
          <w:szCs w:val="24"/>
          <w:lang w:val="en-US" w:eastAsia="zh-CN"/>
        </w:rPr>
        <w:t xml:space="preserve"> </w:t>
      </w:r>
      <w:r>
        <w:rPr>
          <w:rFonts w:hint="eastAsia" w:ascii="宋体" w:hAnsi="宋体" w:eastAsia="宋体" w:cs="宋体"/>
          <w:spacing w:val="8"/>
          <w:sz w:val="24"/>
          <w:szCs w:val="24"/>
        </w:rPr>
        <w:t>2022年我国知名互联网公司营业额和纳税额情况</w:t>
      </w:r>
    </w:p>
    <w:p w14:paraId="6AD1BDF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tbl>
      <w:tblPr>
        <w:tblStyle w:val="25"/>
        <w:tblW w:w="6916" w:type="dxa"/>
        <w:tblInd w:w="1179" w:type="dxa"/>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Layout w:type="fixed"/>
        <w:tblCellMar>
          <w:top w:w="0" w:type="dxa"/>
          <w:left w:w="0" w:type="dxa"/>
          <w:bottom w:w="0" w:type="dxa"/>
          <w:right w:w="0" w:type="dxa"/>
        </w:tblCellMar>
      </w:tblPr>
      <w:tblGrid>
        <w:gridCol w:w="2527"/>
        <w:gridCol w:w="902"/>
        <w:gridCol w:w="1083"/>
        <w:gridCol w:w="1083"/>
        <w:gridCol w:w="1321"/>
      </w:tblGrid>
      <w:tr w14:paraId="16CFAAD7">
        <w:trPr>
          <w:trHeight w:val="532" w:hRule="atLeast"/>
        </w:trPr>
        <w:tc>
          <w:tcPr>
            <w:tcW w:w="2527" w:type="dxa"/>
            <w:tcBorders>
              <w:top w:val="single" w:color="231F20" w:sz="6" w:space="0"/>
              <w:left w:val="nil"/>
            </w:tcBorders>
            <w:vAlign w:val="top"/>
          </w:tcPr>
          <w:p w14:paraId="6826A06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公司名称</w:t>
            </w:r>
          </w:p>
        </w:tc>
        <w:tc>
          <w:tcPr>
            <w:tcW w:w="902" w:type="dxa"/>
            <w:tcBorders>
              <w:top w:val="single" w:color="231F20" w:sz="6" w:space="0"/>
            </w:tcBorders>
            <w:vAlign w:val="top"/>
          </w:tcPr>
          <w:p w14:paraId="50E6ED0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spacing w:val="5"/>
                <w:position w:val="1"/>
                <w:sz w:val="24"/>
                <w:szCs w:val="24"/>
              </w:rPr>
              <w:t>注册地</w:t>
            </w:r>
          </w:p>
        </w:tc>
        <w:tc>
          <w:tcPr>
            <w:tcW w:w="1083" w:type="dxa"/>
            <w:tcBorders>
              <w:top w:val="single" w:color="231F20" w:sz="6" w:space="0"/>
            </w:tcBorders>
            <w:vAlign w:val="top"/>
          </w:tcPr>
          <w:p w14:paraId="13A33160">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营业额</w:t>
            </w:r>
            <w:r>
              <w:rPr>
                <w:rFonts w:hint="eastAsia" w:ascii="宋体" w:hAnsi="宋体" w:eastAsia="宋体" w:cs="宋体"/>
                <w:spacing w:val="12"/>
                <w:sz w:val="24"/>
                <w:szCs w:val="24"/>
              </w:rPr>
              <w:t>(亿元)</w:t>
            </w:r>
          </w:p>
        </w:tc>
        <w:tc>
          <w:tcPr>
            <w:tcW w:w="1083" w:type="dxa"/>
            <w:tcBorders>
              <w:top w:val="single" w:color="231F20" w:sz="6" w:space="0"/>
            </w:tcBorders>
            <w:vAlign w:val="top"/>
          </w:tcPr>
          <w:p w14:paraId="1DB57F82">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eastAsia" w:ascii="宋体" w:hAnsi="宋体" w:eastAsia="宋体" w:cs="宋体"/>
                <w:sz w:val="24"/>
                <w:szCs w:val="24"/>
              </w:rPr>
            </w:pPr>
            <w:r>
              <w:rPr>
                <w:rFonts w:hint="eastAsia" w:ascii="宋体" w:hAnsi="宋体" w:eastAsia="宋体" w:cs="宋体"/>
                <w:spacing w:val="4"/>
                <w:sz w:val="24"/>
                <w:szCs w:val="24"/>
              </w:rPr>
              <w:t>纳税额</w:t>
            </w:r>
            <w:r>
              <w:rPr>
                <w:rFonts w:hint="eastAsia" w:ascii="宋体" w:hAnsi="宋体" w:eastAsia="宋体" w:cs="宋体"/>
                <w:spacing w:val="12"/>
                <w:sz w:val="24"/>
                <w:szCs w:val="24"/>
              </w:rPr>
              <w:t>(亿元)</w:t>
            </w:r>
          </w:p>
        </w:tc>
        <w:tc>
          <w:tcPr>
            <w:tcW w:w="1321" w:type="dxa"/>
            <w:tcBorders>
              <w:top w:val="single" w:color="231F20" w:sz="6" w:space="0"/>
              <w:right w:val="nil"/>
            </w:tcBorders>
            <w:vAlign w:val="top"/>
          </w:tcPr>
          <w:p w14:paraId="05BF96F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纳税占营收比</w:t>
            </w:r>
          </w:p>
          <w:p w14:paraId="508034F8">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w:t>
            </w:r>
          </w:p>
        </w:tc>
      </w:tr>
      <w:tr w14:paraId="44B24269">
        <w:trPr>
          <w:trHeight w:val="353" w:hRule="atLeast"/>
        </w:trPr>
        <w:tc>
          <w:tcPr>
            <w:tcW w:w="2527" w:type="dxa"/>
            <w:tcBorders>
              <w:left w:val="nil"/>
            </w:tcBorders>
            <w:vAlign w:val="top"/>
          </w:tcPr>
          <w:p w14:paraId="23DD6AE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京东集团股份有限公司</w:t>
            </w:r>
          </w:p>
        </w:tc>
        <w:tc>
          <w:tcPr>
            <w:tcW w:w="902" w:type="dxa"/>
            <w:vAlign w:val="top"/>
          </w:tcPr>
          <w:p w14:paraId="68FE11F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660B6ECB">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10462</w:t>
            </w:r>
          </w:p>
        </w:tc>
        <w:tc>
          <w:tcPr>
            <w:tcW w:w="1083" w:type="dxa"/>
            <w:vAlign w:val="top"/>
          </w:tcPr>
          <w:p w14:paraId="20CECC62">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42</w:t>
            </w:r>
          </w:p>
        </w:tc>
        <w:tc>
          <w:tcPr>
            <w:tcW w:w="1321" w:type="dxa"/>
            <w:tcBorders>
              <w:right w:val="nil"/>
            </w:tcBorders>
            <w:vAlign w:val="top"/>
          </w:tcPr>
          <w:p w14:paraId="32129513">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0.40</w:t>
            </w:r>
          </w:p>
        </w:tc>
      </w:tr>
      <w:tr w14:paraId="6888A269">
        <w:trPr>
          <w:trHeight w:val="352" w:hRule="atLeast"/>
        </w:trPr>
        <w:tc>
          <w:tcPr>
            <w:tcW w:w="2527" w:type="dxa"/>
            <w:tcBorders>
              <w:left w:val="nil"/>
            </w:tcBorders>
            <w:vAlign w:val="top"/>
          </w:tcPr>
          <w:p w14:paraId="580091B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阿里巴巴集团控股有限公司</w:t>
            </w:r>
          </w:p>
        </w:tc>
        <w:tc>
          <w:tcPr>
            <w:tcW w:w="902" w:type="dxa"/>
            <w:vAlign w:val="top"/>
          </w:tcPr>
          <w:p w14:paraId="4894C00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7B6524D9">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8531</w:t>
            </w:r>
          </w:p>
        </w:tc>
        <w:tc>
          <w:tcPr>
            <w:tcW w:w="1083" w:type="dxa"/>
            <w:vAlign w:val="top"/>
          </w:tcPr>
          <w:p w14:paraId="24AB621B">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125</w:t>
            </w:r>
          </w:p>
        </w:tc>
        <w:tc>
          <w:tcPr>
            <w:tcW w:w="1321" w:type="dxa"/>
            <w:tcBorders>
              <w:right w:val="nil"/>
            </w:tcBorders>
            <w:vAlign w:val="top"/>
          </w:tcPr>
          <w:p w14:paraId="123AF381">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1.46</w:t>
            </w:r>
          </w:p>
        </w:tc>
      </w:tr>
      <w:tr w14:paraId="4C09E4DE">
        <w:trPr>
          <w:trHeight w:val="353" w:hRule="atLeast"/>
        </w:trPr>
        <w:tc>
          <w:tcPr>
            <w:tcW w:w="2527" w:type="dxa"/>
            <w:tcBorders>
              <w:left w:val="nil"/>
            </w:tcBorders>
            <w:vAlign w:val="top"/>
          </w:tcPr>
          <w:p w14:paraId="5700F2C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腾讯控股有限公司</w:t>
            </w:r>
          </w:p>
        </w:tc>
        <w:tc>
          <w:tcPr>
            <w:tcW w:w="902" w:type="dxa"/>
            <w:vAlign w:val="top"/>
          </w:tcPr>
          <w:p w14:paraId="46DEB65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04ED5397">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5546</w:t>
            </w:r>
          </w:p>
        </w:tc>
        <w:tc>
          <w:tcPr>
            <w:tcW w:w="1083" w:type="dxa"/>
            <w:vAlign w:val="top"/>
          </w:tcPr>
          <w:p w14:paraId="482B7E73">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eastAsia" w:ascii="宋体" w:hAnsi="宋体" w:eastAsia="宋体" w:cs="宋体"/>
                <w:sz w:val="24"/>
                <w:szCs w:val="24"/>
              </w:rPr>
            </w:pPr>
            <w:r>
              <w:rPr>
                <w:rFonts w:hint="eastAsia" w:ascii="宋体" w:hAnsi="宋体" w:eastAsia="宋体" w:cs="宋体"/>
                <w:spacing w:val="3"/>
                <w:sz w:val="24"/>
                <w:szCs w:val="24"/>
              </w:rPr>
              <w:t>215</w:t>
            </w:r>
          </w:p>
        </w:tc>
        <w:tc>
          <w:tcPr>
            <w:tcW w:w="1321" w:type="dxa"/>
            <w:tcBorders>
              <w:right w:val="nil"/>
            </w:tcBorders>
            <w:vAlign w:val="top"/>
          </w:tcPr>
          <w:p w14:paraId="2B70F7C0">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3.88</w:t>
            </w:r>
          </w:p>
        </w:tc>
      </w:tr>
      <w:tr w14:paraId="79FD62CE">
        <w:trPr>
          <w:trHeight w:val="352" w:hRule="atLeast"/>
        </w:trPr>
        <w:tc>
          <w:tcPr>
            <w:tcW w:w="2527" w:type="dxa"/>
            <w:tcBorders>
              <w:left w:val="nil"/>
            </w:tcBorders>
            <w:vAlign w:val="top"/>
          </w:tcPr>
          <w:p w14:paraId="1689D01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spacing w:val="5"/>
                <w:sz w:val="24"/>
                <w:szCs w:val="24"/>
              </w:rPr>
              <w:t>小米集团</w:t>
            </w:r>
          </w:p>
        </w:tc>
        <w:tc>
          <w:tcPr>
            <w:tcW w:w="902" w:type="dxa"/>
            <w:vAlign w:val="top"/>
          </w:tcPr>
          <w:p w14:paraId="29D695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3F4EE8B0">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2800</w:t>
            </w:r>
          </w:p>
        </w:tc>
        <w:tc>
          <w:tcPr>
            <w:tcW w:w="1083" w:type="dxa"/>
            <w:vAlign w:val="top"/>
          </w:tcPr>
          <w:p w14:paraId="1C96EFF0">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14</w:t>
            </w:r>
          </w:p>
        </w:tc>
        <w:tc>
          <w:tcPr>
            <w:tcW w:w="1321" w:type="dxa"/>
            <w:tcBorders>
              <w:right w:val="nil"/>
            </w:tcBorders>
            <w:vAlign w:val="top"/>
          </w:tcPr>
          <w:p w14:paraId="462F5E55">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0.50</w:t>
            </w:r>
          </w:p>
        </w:tc>
      </w:tr>
      <w:tr w14:paraId="3266BC43">
        <w:trPr>
          <w:trHeight w:val="353" w:hRule="atLeast"/>
        </w:trPr>
        <w:tc>
          <w:tcPr>
            <w:tcW w:w="2527" w:type="dxa"/>
            <w:tcBorders>
              <w:left w:val="nil"/>
            </w:tcBorders>
            <w:vAlign w:val="top"/>
          </w:tcPr>
          <w:p w14:paraId="2F1EF2F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美团</w:t>
            </w:r>
          </w:p>
        </w:tc>
        <w:tc>
          <w:tcPr>
            <w:tcW w:w="902" w:type="dxa"/>
            <w:vAlign w:val="top"/>
          </w:tcPr>
          <w:p w14:paraId="0892E26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7522F81A">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2200</w:t>
            </w:r>
          </w:p>
        </w:tc>
        <w:tc>
          <w:tcPr>
            <w:tcW w:w="1083" w:type="dxa"/>
            <w:vAlign w:val="top"/>
          </w:tcPr>
          <w:p w14:paraId="17E8BBCE">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0.7</w:t>
            </w:r>
          </w:p>
        </w:tc>
        <w:tc>
          <w:tcPr>
            <w:tcW w:w="1321" w:type="dxa"/>
            <w:tcBorders>
              <w:right w:val="nil"/>
            </w:tcBorders>
            <w:vAlign w:val="top"/>
          </w:tcPr>
          <w:p w14:paraId="0872F646">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0.03</w:t>
            </w:r>
          </w:p>
        </w:tc>
      </w:tr>
      <w:tr w14:paraId="09EC0DFC">
        <w:trPr>
          <w:trHeight w:val="352" w:hRule="atLeast"/>
        </w:trPr>
        <w:tc>
          <w:tcPr>
            <w:tcW w:w="2527" w:type="dxa"/>
            <w:tcBorders>
              <w:left w:val="nil"/>
            </w:tcBorders>
            <w:vAlign w:val="top"/>
          </w:tcPr>
          <w:p w14:paraId="7B58A8E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拼多多控股公司</w:t>
            </w:r>
          </w:p>
        </w:tc>
        <w:tc>
          <w:tcPr>
            <w:tcW w:w="902" w:type="dxa"/>
            <w:vAlign w:val="top"/>
          </w:tcPr>
          <w:p w14:paraId="14B70A9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58065B2C">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1306</w:t>
            </w:r>
          </w:p>
        </w:tc>
        <w:tc>
          <w:tcPr>
            <w:tcW w:w="1083" w:type="dxa"/>
            <w:vAlign w:val="top"/>
          </w:tcPr>
          <w:p w14:paraId="04ED5F7F">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47</w:t>
            </w:r>
          </w:p>
        </w:tc>
        <w:tc>
          <w:tcPr>
            <w:tcW w:w="1321" w:type="dxa"/>
            <w:tcBorders>
              <w:right w:val="nil"/>
            </w:tcBorders>
            <w:vAlign w:val="top"/>
          </w:tcPr>
          <w:p w14:paraId="1273E9A3">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3.62</w:t>
            </w:r>
          </w:p>
        </w:tc>
      </w:tr>
      <w:tr w14:paraId="7277BFDB">
        <w:trPr>
          <w:trHeight w:val="353" w:hRule="atLeast"/>
        </w:trPr>
        <w:tc>
          <w:tcPr>
            <w:tcW w:w="2527" w:type="dxa"/>
            <w:tcBorders>
              <w:left w:val="nil"/>
            </w:tcBorders>
            <w:vAlign w:val="top"/>
          </w:tcPr>
          <w:p w14:paraId="3C4EF6D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百度集团股份有限公司</w:t>
            </w:r>
          </w:p>
        </w:tc>
        <w:tc>
          <w:tcPr>
            <w:tcW w:w="902" w:type="dxa"/>
            <w:vAlign w:val="top"/>
          </w:tcPr>
          <w:p w14:paraId="483D349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5623A6B6">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1237</w:t>
            </w:r>
          </w:p>
        </w:tc>
        <w:tc>
          <w:tcPr>
            <w:tcW w:w="1083" w:type="dxa"/>
            <w:vAlign w:val="top"/>
          </w:tcPr>
          <w:p w14:paraId="494C4A60">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26</w:t>
            </w:r>
          </w:p>
        </w:tc>
        <w:tc>
          <w:tcPr>
            <w:tcW w:w="1321" w:type="dxa"/>
            <w:tcBorders>
              <w:right w:val="nil"/>
            </w:tcBorders>
            <w:vAlign w:val="top"/>
          </w:tcPr>
          <w:p w14:paraId="3FB71326">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2.08</w:t>
            </w:r>
          </w:p>
        </w:tc>
      </w:tr>
      <w:tr w14:paraId="57F7D3CD">
        <w:trPr>
          <w:trHeight w:val="353" w:hRule="atLeast"/>
        </w:trPr>
        <w:tc>
          <w:tcPr>
            <w:tcW w:w="2527" w:type="dxa"/>
            <w:tcBorders>
              <w:left w:val="nil"/>
            </w:tcBorders>
            <w:vAlign w:val="top"/>
          </w:tcPr>
          <w:p w14:paraId="768C5DE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8"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网易</w:t>
            </w:r>
          </w:p>
        </w:tc>
        <w:tc>
          <w:tcPr>
            <w:tcW w:w="902" w:type="dxa"/>
            <w:vAlign w:val="top"/>
          </w:tcPr>
          <w:p w14:paraId="5172A1E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vAlign w:val="top"/>
          </w:tcPr>
          <w:p w14:paraId="658CB9E3">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eastAsia" w:ascii="宋体" w:hAnsi="宋体" w:eastAsia="宋体" w:cs="宋体"/>
                <w:sz w:val="24"/>
                <w:szCs w:val="24"/>
              </w:rPr>
            </w:pPr>
            <w:r>
              <w:rPr>
                <w:rFonts w:hint="eastAsia" w:ascii="宋体" w:hAnsi="宋体" w:eastAsia="宋体" w:cs="宋体"/>
                <w:spacing w:val="3"/>
                <w:sz w:val="24"/>
                <w:szCs w:val="24"/>
              </w:rPr>
              <w:t>965</w:t>
            </w:r>
          </w:p>
        </w:tc>
        <w:tc>
          <w:tcPr>
            <w:tcW w:w="1083" w:type="dxa"/>
            <w:vAlign w:val="top"/>
          </w:tcPr>
          <w:p w14:paraId="1978E4DF">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44</w:t>
            </w:r>
          </w:p>
        </w:tc>
        <w:tc>
          <w:tcPr>
            <w:tcW w:w="1321" w:type="dxa"/>
            <w:tcBorders>
              <w:right w:val="nil"/>
            </w:tcBorders>
            <w:vAlign w:val="top"/>
          </w:tcPr>
          <w:p w14:paraId="55C474C0">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4.57</w:t>
            </w:r>
          </w:p>
        </w:tc>
      </w:tr>
      <w:tr w14:paraId="3926B661">
        <w:trPr>
          <w:trHeight w:val="360" w:hRule="atLeast"/>
        </w:trPr>
        <w:tc>
          <w:tcPr>
            <w:tcW w:w="2527" w:type="dxa"/>
            <w:tcBorders>
              <w:left w:val="nil"/>
              <w:bottom w:val="single" w:color="231F20" w:sz="6" w:space="0"/>
            </w:tcBorders>
            <w:vAlign w:val="top"/>
          </w:tcPr>
          <w:p w14:paraId="23F342B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eastAsia" w:ascii="宋体" w:hAnsi="宋体" w:eastAsia="宋体" w:cs="宋体"/>
                <w:sz w:val="24"/>
                <w:szCs w:val="24"/>
              </w:rPr>
            </w:pPr>
            <w:r>
              <w:rPr>
                <w:rFonts w:hint="eastAsia" w:ascii="宋体" w:hAnsi="宋体" w:eastAsia="宋体" w:cs="宋体"/>
                <w:spacing w:val="4"/>
                <w:sz w:val="24"/>
                <w:szCs w:val="24"/>
              </w:rPr>
              <w:t>快手科技</w:t>
            </w:r>
          </w:p>
        </w:tc>
        <w:tc>
          <w:tcPr>
            <w:tcW w:w="902" w:type="dxa"/>
            <w:tcBorders>
              <w:bottom w:val="single" w:color="231F20" w:sz="6" w:space="0"/>
            </w:tcBorders>
            <w:vAlign w:val="top"/>
          </w:tcPr>
          <w:p w14:paraId="216C3E2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z w:val="24"/>
                <w:szCs w:val="24"/>
              </w:rPr>
            </w:pPr>
            <w:r>
              <w:rPr>
                <w:rFonts w:hint="eastAsia" w:ascii="宋体" w:hAnsi="宋体" w:eastAsia="宋体" w:cs="宋体"/>
                <w:spacing w:val="6"/>
                <w:sz w:val="24"/>
                <w:szCs w:val="24"/>
              </w:rPr>
              <w:t>开曼群岛</w:t>
            </w:r>
          </w:p>
        </w:tc>
        <w:tc>
          <w:tcPr>
            <w:tcW w:w="1083" w:type="dxa"/>
            <w:tcBorders>
              <w:bottom w:val="single" w:color="231F20" w:sz="6" w:space="0"/>
            </w:tcBorders>
            <w:vAlign w:val="top"/>
          </w:tcPr>
          <w:p w14:paraId="062167A2">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eastAsia" w:ascii="宋体" w:hAnsi="宋体" w:eastAsia="宋体" w:cs="宋体"/>
                <w:sz w:val="24"/>
                <w:szCs w:val="24"/>
              </w:rPr>
            </w:pPr>
            <w:r>
              <w:rPr>
                <w:rFonts w:hint="eastAsia" w:ascii="宋体" w:hAnsi="宋体" w:eastAsia="宋体" w:cs="宋体"/>
                <w:spacing w:val="3"/>
                <w:sz w:val="24"/>
                <w:szCs w:val="24"/>
              </w:rPr>
              <w:t>942</w:t>
            </w:r>
          </w:p>
        </w:tc>
        <w:tc>
          <w:tcPr>
            <w:tcW w:w="1083" w:type="dxa"/>
            <w:tcBorders>
              <w:bottom w:val="single" w:color="231F20" w:sz="6" w:space="0"/>
            </w:tcBorders>
            <w:vAlign w:val="top"/>
          </w:tcPr>
          <w:p w14:paraId="31B09CC8">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12</w:t>
            </w:r>
          </w:p>
        </w:tc>
        <w:tc>
          <w:tcPr>
            <w:tcW w:w="1321" w:type="dxa"/>
            <w:tcBorders>
              <w:bottom w:val="single" w:color="231F20" w:sz="6" w:space="0"/>
              <w:right w:val="nil"/>
            </w:tcBorders>
            <w:vAlign w:val="top"/>
          </w:tcPr>
          <w:p w14:paraId="5DF56E8B">
            <w:pPr>
              <w:pStyle w:val="2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1.23</w:t>
            </w:r>
          </w:p>
        </w:tc>
      </w:tr>
    </w:tbl>
    <w:p w14:paraId="27941B0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sz w:val="24"/>
          <w:szCs w:val="24"/>
        </w:rPr>
        <w:t>数据来源:各公司</w:t>
      </w:r>
      <w:r>
        <w:rPr>
          <w:rFonts w:hint="eastAsia" w:ascii="宋体" w:hAnsi="宋体" w:eastAsia="宋体" w:cs="宋体"/>
          <w:spacing w:val="8"/>
          <w:position w:val="-2"/>
          <w:sz w:val="24"/>
          <w:szCs w:val="24"/>
        </w:rPr>
        <w:t>2022</w:t>
      </w:r>
      <w:r>
        <w:rPr>
          <w:rFonts w:hint="eastAsia" w:ascii="宋体" w:hAnsi="宋体" w:eastAsia="宋体" w:cs="宋体"/>
          <w:spacing w:val="8"/>
          <w:sz w:val="24"/>
          <w:szCs w:val="24"/>
        </w:rPr>
        <w:t>年年度财务报告。</w:t>
      </w:r>
    </w:p>
    <w:p w14:paraId="16D1419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(四)适当增加转移支付,优化财政支出结构</w:t>
      </w:r>
    </w:p>
    <w:p w14:paraId="5C2307F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position w:val="-2"/>
          <w:sz w:val="24"/>
          <w:szCs w:val="24"/>
        </w:rPr>
        <w:t>2021</w:t>
      </w:r>
      <w:r>
        <w:rPr>
          <w:rFonts w:hint="eastAsia" w:ascii="宋体" w:hAnsi="宋体" w:eastAsia="宋体" w:cs="宋体"/>
          <w:spacing w:val="2"/>
          <w:sz w:val="24"/>
          <w:szCs w:val="24"/>
        </w:rPr>
        <w:t>年</w:t>
      </w:r>
      <w:r>
        <w:rPr>
          <w:rFonts w:hint="eastAsia" w:ascii="宋体" w:hAnsi="宋体" w:eastAsia="宋体" w:cs="宋体"/>
          <w:spacing w:val="2"/>
          <w:position w:val="-2"/>
          <w:sz w:val="24"/>
          <w:szCs w:val="24"/>
        </w:rPr>
        <w:t>4</w:t>
      </w:r>
      <w:r>
        <w:rPr>
          <w:rFonts w:hint="eastAsia" w:ascii="宋体" w:hAnsi="宋体" w:eastAsia="宋体" w:cs="宋体"/>
          <w:spacing w:val="2"/>
          <w:sz w:val="24"/>
          <w:szCs w:val="24"/>
        </w:rPr>
        <w:t>月,《人类减贫的我国实践》白皮书在北京发布。白皮书向全世</w:t>
      </w:r>
      <w:r>
        <w:rPr>
          <w:rFonts w:hint="eastAsia" w:ascii="宋体" w:hAnsi="宋体" w:eastAsia="宋体" w:cs="宋体"/>
          <w:spacing w:val="18"/>
          <w:sz w:val="24"/>
          <w:szCs w:val="24"/>
        </w:rPr>
        <w:t>界宣告,到</w:t>
      </w:r>
      <w:r>
        <w:rPr>
          <w:rFonts w:hint="eastAsia" w:ascii="宋体" w:hAnsi="宋体" w:eastAsia="宋体" w:cs="宋体"/>
          <w:spacing w:val="18"/>
          <w:position w:val="-2"/>
          <w:sz w:val="24"/>
          <w:szCs w:val="24"/>
        </w:rPr>
        <w:t>2020</w:t>
      </w:r>
      <w:r>
        <w:rPr>
          <w:rFonts w:hint="eastAsia" w:ascii="宋体" w:hAnsi="宋体" w:eastAsia="宋体" w:cs="宋体"/>
          <w:spacing w:val="18"/>
          <w:sz w:val="24"/>
          <w:szCs w:val="24"/>
        </w:rPr>
        <w:t>年底,我国如期完成新时代脱贫攻坚目标</w:t>
      </w:r>
      <w:r>
        <w:rPr>
          <w:rFonts w:hint="eastAsia" w:ascii="宋体" w:hAnsi="宋体" w:eastAsia="宋体" w:cs="宋体"/>
          <w:spacing w:val="17"/>
          <w:sz w:val="24"/>
          <w:szCs w:val="24"/>
        </w:rPr>
        <w:t>任务,现行标准下</w:t>
      </w:r>
      <w:r>
        <w:rPr>
          <w:rFonts w:hint="eastAsia" w:ascii="宋体" w:hAnsi="宋体" w:eastAsia="宋体" w:cs="宋体"/>
          <w:spacing w:val="15"/>
          <w:position w:val="-2"/>
          <w:sz w:val="24"/>
          <w:szCs w:val="24"/>
        </w:rPr>
        <w:t>9899</w:t>
      </w:r>
      <w:r>
        <w:rPr>
          <w:rFonts w:hint="eastAsia" w:ascii="宋体" w:hAnsi="宋体" w:eastAsia="宋体" w:cs="宋体"/>
          <w:spacing w:val="15"/>
          <w:sz w:val="24"/>
          <w:szCs w:val="24"/>
        </w:rPr>
        <w:t>万农村贫困人口全部脱贫,这是亘古未有的壮举。</w:t>
      </w:r>
      <w:r>
        <w:rPr>
          <w:rFonts w:hint="eastAsia" w:ascii="宋体" w:hAnsi="宋体" w:eastAsia="宋体" w:cs="宋体"/>
          <w:spacing w:val="14"/>
          <w:sz w:val="24"/>
          <w:szCs w:val="24"/>
        </w:rPr>
        <w:t>然而,脱贫摘帽只是</w:t>
      </w:r>
      <w:r>
        <w:rPr>
          <w:rFonts w:hint="eastAsia" w:ascii="宋体" w:hAnsi="宋体" w:eastAsia="宋体" w:cs="宋体"/>
          <w:spacing w:val="12"/>
          <w:sz w:val="24"/>
          <w:szCs w:val="24"/>
        </w:rPr>
        <w:t>走向共同富裕道路上的一小步,脱贫人群可能因为各种原因返贫,且低</w:t>
      </w:r>
      <w:r>
        <w:rPr>
          <w:rFonts w:hint="eastAsia" w:ascii="宋体" w:hAnsi="宋体" w:eastAsia="宋体" w:cs="宋体"/>
          <w:spacing w:val="11"/>
          <w:sz w:val="24"/>
          <w:szCs w:val="24"/>
        </w:rPr>
        <w:t>收入群体也可能因为不同的原因而变为贫困人口。因此</w:t>
      </w:r>
      <w:r>
        <w:rPr>
          <w:rFonts w:hint="eastAsia" w:ascii="宋体" w:hAnsi="宋体" w:eastAsia="宋体" w:cs="宋体"/>
          <w:spacing w:val="10"/>
          <w:sz w:val="24"/>
          <w:szCs w:val="24"/>
        </w:rPr>
        <w:t>,需要采取必要措施防止脱</w:t>
      </w:r>
      <w:r>
        <w:rPr>
          <w:rFonts w:hint="eastAsia" w:ascii="宋体" w:hAnsi="宋体" w:eastAsia="宋体" w:cs="宋体"/>
          <w:spacing w:val="9"/>
          <w:sz w:val="24"/>
          <w:szCs w:val="24"/>
        </w:rPr>
        <w:t>贫人口返贫,切实提高低收入人群的收入。一方面,要增加对低收入群体、落</w:t>
      </w:r>
      <w:r>
        <w:rPr>
          <w:rFonts w:hint="eastAsia" w:ascii="宋体" w:hAnsi="宋体" w:eastAsia="宋体" w:cs="宋体"/>
          <w:spacing w:val="7"/>
          <w:sz w:val="24"/>
          <w:szCs w:val="24"/>
        </w:rPr>
        <w:t>后地区的直接性转移支付,通过设立专项资金、农业补贴、基础设施建设等方</w:t>
      </w:r>
      <w:r>
        <w:rPr>
          <w:rFonts w:hint="eastAsia" w:ascii="宋体" w:hAnsi="宋体" w:eastAsia="宋体" w:cs="宋体"/>
          <w:spacing w:val="13"/>
          <w:sz w:val="24"/>
          <w:szCs w:val="24"/>
        </w:rPr>
        <w:t>式,支持低收入地区的经济发展,提高低收入居民的收入;另一方面,要逐步优</w:t>
      </w:r>
      <w:r>
        <w:rPr>
          <w:rFonts w:hint="eastAsia" w:ascii="宋体" w:hAnsi="宋体" w:eastAsia="宋体" w:cs="宋体"/>
          <w:spacing w:val="5"/>
          <w:sz w:val="24"/>
          <w:szCs w:val="24"/>
        </w:rPr>
        <w:t>化财政支出结构,加大对欠发达地区的教育、医疗、生态、社保</w:t>
      </w:r>
      <w:r>
        <w:rPr>
          <w:rFonts w:hint="eastAsia" w:ascii="宋体" w:hAnsi="宋体" w:eastAsia="宋体" w:cs="宋体"/>
          <w:spacing w:val="4"/>
          <w:sz w:val="24"/>
          <w:szCs w:val="24"/>
        </w:rPr>
        <w:t>等领域的支出,</w:t>
      </w:r>
      <w:r>
        <w:rPr>
          <w:rFonts w:hint="eastAsia" w:ascii="宋体" w:hAnsi="宋体" w:eastAsia="宋体" w:cs="宋体"/>
          <w:spacing w:val="6"/>
          <w:sz w:val="24"/>
          <w:szCs w:val="24"/>
        </w:rPr>
        <w:t>不断削减个体由于家庭教育、医疗、营养方面存在的劳动性收入机会不平等,</w:t>
      </w:r>
      <w:r>
        <w:rPr>
          <w:rFonts w:hint="eastAsia" w:ascii="宋体" w:hAnsi="宋体" w:eastAsia="宋体" w:cs="宋体"/>
          <w:spacing w:val="8"/>
          <w:sz w:val="24"/>
          <w:szCs w:val="24"/>
        </w:rPr>
        <w:t>如向低收入家庭的子女提供免费教育、助学金、减免学费等政策或举措。此</w:t>
      </w:r>
      <w:r>
        <w:rPr>
          <w:rFonts w:hint="eastAsia" w:ascii="宋体" w:hAnsi="宋体" w:eastAsia="宋体" w:cs="宋体"/>
          <w:spacing w:val="10"/>
          <w:sz w:val="24"/>
          <w:szCs w:val="24"/>
        </w:rPr>
        <w:t>外,近年来低收入人群社会保障缴费占其总收</w:t>
      </w:r>
      <w:r>
        <w:rPr>
          <w:rFonts w:hint="eastAsia" w:ascii="宋体" w:hAnsi="宋体" w:eastAsia="宋体" w:cs="宋体"/>
          <w:spacing w:val="9"/>
          <w:sz w:val="24"/>
          <w:szCs w:val="24"/>
        </w:rPr>
        <w:t>入的比重快速增加,恶化了我国</w:t>
      </w:r>
      <w:r>
        <w:rPr>
          <w:rFonts w:hint="eastAsia" w:ascii="宋体" w:hAnsi="宋体" w:eastAsia="宋体" w:cs="宋体"/>
          <w:spacing w:val="13"/>
          <w:sz w:val="24"/>
          <w:szCs w:val="24"/>
        </w:rPr>
        <w:t>个人社会保障支出对收入分配的调节作用</w:t>
      </w:r>
      <w:r>
        <w:rPr>
          <w:rStyle w:val="20"/>
          <w:rFonts w:hint="eastAsia" w:ascii="宋体" w:hAnsi="宋体" w:eastAsia="宋体" w:cs="宋体"/>
          <w:spacing w:val="13"/>
          <w:sz w:val="24"/>
          <w:szCs w:val="24"/>
        </w:rPr>
        <w:footnoteReference w:id="808"/>
      </w:r>
      <w:r>
        <w:rPr>
          <w:rFonts w:hint="eastAsia" w:ascii="宋体" w:hAnsi="宋体" w:eastAsia="宋体" w:cs="宋体"/>
          <w:spacing w:val="13"/>
          <w:sz w:val="24"/>
          <w:szCs w:val="24"/>
        </w:rPr>
        <w:t>,且社保与工资挂钩,工资越高的</w:t>
      </w:r>
      <w:r>
        <w:rPr>
          <w:rFonts w:hint="eastAsia" w:ascii="宋体" w:hAnsi="宋体" w:eastAsia="宋体" w:cs="宋体"/>
          <w:spacing w:val="12"/>
          <w:sz w:val="24"/>
          <w:szCs w:val="24"/>
        </w:rPr>
        <w:t>个体缴纳的比例越高,未来得到的收入也更高,这在一定程度上形成对</w:t>
      </w:r>
      <w:r>
        <w:rPr>
          <w:rFonts w:hint="eastAsia" w:ascii="宋体" w:hAnsi="宋体" w:eastAsia="宋体" w:cs="宋体"/>
          <w:spacing w:val="11"/>
          <w:sz w:val="24"/>
          <w:szCs w:val="24"/>
        </w:rPr>
        <w:t>收入分</w:t>
      </w:r>
      <w:r>
        <w:rPr>
          <w:rFonts w:hint="eastAsia" w:ascii="宋体" w:hAnsi="宋体" w:eastAsia="宋体" w:cs="宋体"/>
          <w:spacing w:val="9"/>
          <w:sz w:val="24"/>
          <w:szCs w:val="24"/>
        </w:rPr>
        <w:t>配的逆向调节。因此,可以尝试面向低收入群</w:t>
      </w:r>
      <w:r>
        <w:rPr>
          <w:rFonts w:hint="eastAsia" w:ascii="宋体" w:hAnsi="宋体" w:eastAsia="宋体" w:cs="宋体"/>
          <w:spacing w:val="8"/>
          <w:sz w:val="24"/>
          <w:szCs w:val="24"/>
        </w:rPr>
        <w:t>体制定专门的低保、医疗保险、</w:t>
      </w:r>
      <w:r>
        <w:rPr>
          <w:rFonts w:hint="eastAsia" w:ascii="宋体" w:hAnsi="宋体" w:eastAsia="宋体" w:cs="宋体"/>
          <w:spacing w:val="12"/>
          <w:sz w:val="24"/>
          <w:szCs w:val="24"/>
        </w:rPr>
        <w:t>养老保险等制度,纠正社保制度的逆向调节倾向。最后,授人以鱼不如</w:t>
      </w:r>
      <w:r>
        <w:rPr>
          <w:rFonts w:hint="eastAsia" w:ascii="宋体" w:hAnsi="宋体" w:eastAsia="宋体" w:cs="宋体"/>
          <w:spacing w:val="11"/>
          <w:sz w:val="24"/>
          <w:szCs w:val="24"/>
        </w:rPr>
        <w:t>授人以</w:t>
      </w:r>
      <w:r>
        <w:rPr>
          <w:rFonts w:hint="eastAsia" w:ascii="宋体" w:hAnsi="宋体" w:eastAsia="宋体" w:cs="宋体"/>
          <w:spacing w:val="7"/>
          <w:sz w:val="24"/>
          <w:szCs w:val="24"/>
        </w:rPr>
        <w:t>渔。日本通过就业培训和职业介绍等措施帮助贫困家庭提高自身能力和就业</w:t>
      </w:r>
      <w:r>
        <w:rPr>
          <w:rFonts w:hint="eastAsia" w:ascii="宋体" w:hAnsi="宋体" w:eastAsia="宋体" w:cs="宋体"/>
          <w:spacing w:val="13"/>
          <w:sz w:val="24"/>
          <w:szCs w:val="24"/>
        </w:rPr>
        <w:t>机会;美国也有专门培训和职业技能提升计划,帮助贫困人口获得就业机会。</w:t>
      </w:r>
      <w:r>
        <w:rPr>
          <w:rFonts w:hint="eastAsia" w:ascii="宋体" w:hAnsi="宋体" w:eastAsia="宋体" w:cs="宋体"/>
          <w:spacing w:val="16"/>
          <w:sz w:val="24"/>
          <w:szCs w:val="24"/>
        </w:rPr>
        <w:t>总之,作为社会主义国家,我国更有必要加大设立专项资金的力度,增加其额</w:t>
      </w:r>
      <w:r>
        <w:rPr>
          <w:rFonts w:hint="eastAsia" w:ascii="宋体" w:hAnsi="宋体" w:eastAsia="宋体" w:cs="宋体"/>
          <w:spacing w:val="7"/>
          <w:sz w:val="24"/>
          <w:szCs w:val="24"/>
        </w:rPr>
        <w:t>度,对低收入人群提供针对性强、覆盖面广的就业培训和</w:t>
      </w:r>
      <w:r>
        <w:rPr>
          <w:rFonts w:hint="eastAsia" w:ascii="宋体" w:hAnsi="宋体" w:eastAsia="宋体" w:cs="宋体"/>
          <w:spacing w:val="6"/>
          <w:sz w:val="24"/>
          <w:szCs w:val="24"/>
        </w:rPr>
        <w:t>强力支持。</w:t>
      </w:r>
    </w:p>
    <w:p w14:paraId="413503D2">
      <w:pPr>
        <w:pStyle w:val="4"/>
        <w:bidi w:val="0"/>
        <w:rPr>
          <w:rFonts w:hint="eastAsia"/>
        </w:rPr>
      </w:pPr>
      <w:r>
        <w:rPr>
          <w:rFonts w:hint="eastAsia"/>
        </w:rPr>
        <w:t>三、金融对策</w:t>
      </w:r>
    </w:p>
    <w:p w14:paraId="3C30319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投资理财在家庭财富中的比重不断上升,且对财富差距的贡献不断增大。</w:t>
      </w:r>
      <w:r>
        <w:rPr>
          <w:rFonts w:hint="eastAsia" w:ascii="宋体" w:hAnsi="宋体" w:eastAsia="宋体" w:cs="宋体"/>
          <w:spacing w:val="14"/>
          <w:sz w:val="24"/>
          <w:szCs w:val="24"/>
        </w:rPr>
        <w:t>因此,对金融市场进行有效的调控将为实现合理的财富和</w:t>
      </w:r>
      <w:r>
        <w:rPr>
          <w:rFonts w:hint="eastAsia" w:ascii="宋体" w:hAnsi="宋体" w:eastAsia="宋体" w:cs="宋体"/>
          <w:spacing w:val="13"/>
          <w:sz w:val="24"/>
          <w:szCs w:val="24"/>
        </w:rPr>
        <w:t>收入分配提供有效</w:t>
      </w:r>
      <w:r>
        <w:rPr>
          <w:rFonts w:hint="eastAsia" w:ascii="宋体" w:hAnsi="宋体" w:eastAsia="宋体" w:cs="宋体"/>
          <w:spacing w:val="14"/>
          <w:sz w:val="24"/>
          <w:szCs w:val="24"/>
        </w:rPr>
        <w:t>保障。要通过多种方式完善金融市场体系,提升中低收入</w:t>
      </w:r>
      <w:r>
        <w:rPr>
          <w:rFonts w:hint="eastAsia" w:ascii="宋体" w:hAnsi="宋体" w:eastAsia="宋体" w:cs="宋体"/>
          <w:spacing w:val="13"/>
          <w:sz w:val="24"/>
          <w:szCs w:val="24"/>
        </w:rPr>
        <w:t>群体在金融市场的</w:t>
      </w:r>
      <w:r>
        <w:rPr>
          <w:rFonts w:hint="eastAsia" w:ascii="宋体" w:hAnsi="宋体" w:eastAsia="宋体" w:cs="宋体"/>
          <w:spacing w:val="9"/>
          <w:sz w:val="24"/>
          <w:szCs w:val="24"/>
        </w:rPr>
        <w:t>参与率和收益率,避免高收入群体操纵市场、进行不公平竞争等行为,以此缩</w:t>
      </w:r>
      <w:r>
        <w:rPr>
          <w:rFonts w:hint="eastAsia" w:ascii="宋体" w:hAnsi="宋体" w:eastAsia="宋体" w:cs="宋体"/>
          <w:spacing w:val="10"/>
          <w:sz w:val="24"/>
          <w:szCs w:val="24"/>
        </w:rPr>
        <w:t>小财富和收入分配差距。具体而言,至少可以采取以下几种方式。</w:t>
      </w:r>
    </w:p>
    <w:p w14:paraId="5C3779F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(一)优化金融服务,发展普惠金融</w:t>
      </w:r>
    </w:p>
    <w:p w14:paraId="58B729A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spacing w:val="5"/>
          <w:sz w:val="24"/>
          <w:szCs w:val="24"/>
        </w:rPr>
        <w:t>习近平总书记在</w:t>
      </w:r>
      <w:r>
        <w:rPr>
          <w:rFonts w:hint="eastAsia" w:ascii="宋体" w:hAnsi="宋体" w:eastAsia="宋体" w:cs="宋体"/>
          <w:spacing w:val="5"/>
          <w:position w:val="-2"/>
          <w:sz w:val="24"/>
          <w:szCs w:val="24"/>
        </w:rPr>
        <w:t>2023</w:t>
      </w:r>
      <w:r>
        <w:rPr>
          <w:rFonts w:hint="eastAsia" w:ascii="宋体" w:hAnsi="宋体" w:eastAsia="宋体" w:cs="宋体"/>
          <w:spacing w:val="5"/>
          <w:sz w:val="24"/>
          <w:szCs w:val="24"/>
        </w:rPr>
        <w:t>年中央金融工作会议中提出,要“完善金融体制,优</w:t>
      </w:r>
      <w:r>
        <w:rPr>
          <w:rFonts w:hint="eastAsia" w:ascii="宋体" w:hAnsi="宋体" w:eastAsia="宋体" w:cs="宋体"/>
          <w:spacing w:val="9"/>
          <w:sz w:val="24"/>
          <w:szCs w:val="24"/>
        </w:rPr>
        <w:t>化金融服务,防范化解风险,坚定不移走我国特色金融发展之路”</w:t>
      </w:r>
      <w:r>
        <w:rPr>
          <w:rFonts w:hint="eastAsia" w:ascii="宋体" w:hAnsi="宋体" w:eastAsia="宋体" w:cs="宋体"/>
          <w:spacing w:val="8"/>
          <w:sz w:val="24"/>
          <w:szCs w:val="24"/>
        </w:rPr>
        <w:t>,同时要“做</w:t>
      </w:r>
      <w:r>
        <w:rPr>
          <w:rFonts w:hint="eastAsia" w:ascii="宋体" w:hAnsi="宋体" w:eastAsia="宋体" w:cs="宋体"/>
          <w:spacing w:val="-5"/>
          <w:sz w:val="24"/>
          <w:szCs w:val="24"/>
        </w:rPr>
        <w:t>好科技金融、绿色金融、普惠金融、养老金融、数字金融五篇大文章”</w:t>
      </w:r>
      <w:r>
        <w:rPr>
          <w:rStyle w:val="20"/>
          <w:rFonts w:hint="eastAsia" w:ascii="宋体" w:hAnsi="宋体" w:eastAsia="宋体" w:cs="宋体"/>
          <w:spacing w:val="-5"/>
          <w:position w:val="5"/>
          <w:sz w:val="24"/>
          <w:szCs w:val="24"/>
        </w:rPr>
        <w:footnoteReference w:id="809"/>
      </w:r>
      <w:r>
        <w:rPr>
          <w:rFonts w:hint="eastAsia" w:ascii="宋体" w:hAnsi="宋体" w:eastAsia="宋体" w:cs="宋体"/>
          <w:spacing w:val="-5"/>
          <w:sz w:val="24"/>
          <w:szCs w:val="24"/>
        </w:rPr>
        <w:t>。因此,</w:t>
      </w:r>
      <w:r>
        <w:rPr>
          <w:rFonts w:hint="eastAsia" w:ascii="宋体" w:hAnsi="宋体" w:eastAsia="宋体" w:cs="宋体"/>
          <w:spacing w:val="12"/>
          <w:sz w:val="24"/>
          <w:szCs w:val="24"/>
        </w:rPr>
        <w:t>金融机构要不断优化金融服务,发展普惠金融。首先,应努力将服务</w:t>
      </w:r>
      <w:r>
        <w:rPr>
          <w:rFonts w:hint="eastAsia" w:ascii="宋体" w:hAnsi="宋体" w:eastAsia="宋体" w:cs="宋体"/>
          <w:spacing w:val="11"/>
          <w:sz w:val="24"/>
          <w:szCs w:val="24"/>
        </w:rPr>
        <w:t>触角延伸</w:t>
      </w:r>
      <w:r>
        <w:rPr>
          <w:rFonts w:hint="eastAsia" w:ascii="宋体" w:hAnsi="宋体" w:eastAsia="宋体" w:cs="宋体"/>
          <w:spacing w:val="8"/>
          <w:sz w:val="24"/>
          <w:szCs w:val="24"/>
        </w:rPr>
        <w:t>到偏远地区、抵达低收入群体,提供适合他们的金融产品和服务,如小额贷款、</w:t>
      </w:r>
      <w:r>
        <w:rPr>
          <w:rFonts w:hint="eastAsia" w:ascii="宋体" w:hAnsi="宋体" w:eastAsia="宋体" w:cs="宋体"/>
          <w:spacing w:val="3"/>
          <w:sz w:val="24"/>
          <w:szCs w:val="24"/>
        </w:rPr>
        <w:t>储蓄账户、支付服务等,并设定合理的利率水平,以满足他们在生产、生活、教</w:t>
      </w:r>
      <w:r>
        <w:rPr>
          <w:rFonts w:hint="eastAsia" w:ascii="宋体" w:hAnsi="宋体" w:eastAsia="宋体" w:cs="宋体"/>
          <w:spacing w:val="5"/>
          <w:sz w:val="24"/>
          <w:szCs w:val="24"/>
        </w:rPr>
        <w:t>育、医疗等方面的资金需求。其次,还可以通过移动金融、互</w:t>
      </w:r>
      <w:r>
        <w:rPr>
          <w:rFonts w:hint="eastAsia" w:ascii="宋体" w:hAnsi="宋体" w:eastAsia="宋体" w:cs="宋体"/>
          <w:spacing w:val="4"/>
          <w:sz w:val="24"/>
          <w:szCs w:val="24"/>
        </w:rPr>
        <w:t>联网金融等方式,</w:t>
      </w:r>
      <w:r>
        <w:rPr>
          <w:rFonts w:hint="eastAsia" w:ascii="宋体" w:hAnsi="宋体" w:eastAsia="宋体" w:cs="宋体"/>
          <w:spacing w:val="12"/>
          <w:sz w:val="24"/>
          <w:szCs w:val="24"/>
        </w:rPr>
        <w:t>降低服务成本,提高服务效率,使更多基层人士尤其是中低收入群体</w:t>
      </w:r>
      <w:r>
        <w:rPr>
          <w:rFonts w:hint="eastAsia" w:ascii="宋体" w:hAnsi="宋体" w:eastAsia="宋体" w:cs="宋体"/>
          <w:spacing w:val="11"/>
          <w:sz w:val="24"/>
          <w:szCs w:val="24"/>
        </w:rPr>
        <w:t>享受到便</w:t>
      </w:r>
      <w:r>
        <w:rPr>
          <w:rFonts w:hint="eastAsia" w:ascii="宋体" w:hAnsi="宋体" w:eastAsia="宋体" w:cs="宋体"/>
          <w:spacing w:val="16"/>
          <w:sz w:val="24"/>
          <w:szCs w:val="24"/>
        </w:rPr>
        <w:t>捷的金融服务。最后,金融机构可以向中低收入人群提供金融教育,提高个人和家庭的金融素养,使他们能够更好地理解和应用金融知识,识别金融风险,有能力规避高风险的金融活动。有研究发现,普惠保险的实施有助于减</w:t>
      </w:r>
      <w:r>
        <w:rPr>
          <w:rFonts w:hint="eastAsia" w:ascii="宋体" w:hAnsi="宋体" w:eastAsia="宋体" w:cs="宋体"/>
          <w:spacing w:val="18"/>
          <w:sz w:val="24"/>
          <w:szCs w:val="24"/>
        </w:rPr>
        <w:t>小家庭面临的不确定性风险损失,激励家庭创业,进而扩大家庭收入并缓解贫富差距,可以采取针对中间收入群体推动普惠保险产品分级设计,促进普</w:t>
      </w:r>
      <w:r>
        <w:rPr>
          <w:rFonts w:hint="eastAsia" w:ascii="宋体" w:hAnsi="宋体" w:eastAsia="宋体" w:cs="宋体"/>
          <w:spacing w:val="15"/>
          <w:sz w:val="24"/>
          <w:szCs w:val="24"/>
        </w:rPr>
        <w:t>惠保险缩小贫富差距作用的发挥。</w:t>
      </w:r>
      <w:r>
        <w:rPr>
          <w:rStyle w:val="20"/>
          <w:rFonts w:hint="eastAsia" w:ascii="宋体" w:hAnsi="宋体" w:eastAsia="宋体" w:cs="宋体"/>
          <w:spacing w:val="15"/>
          <w:sz w:val="24"/>
          <w:szCs w:val="24"/>
        </w:rPr>
        <w:footnoteReference w:id="810"/>
      </w:r>
      <w:r>
        <w:rPr>
          <w:rFonts w:hint="eastAsia" w:ascii="宋体" w:hAnsi="宋体" w:eastAsia="宋体" w:cs="宋体"/>
          <w:spacing w:val="15"/>
          <w:sz w:val="24"/>
          <w:szCs w:val="24"/>
        </w:rPr>
        <w:t>也有学者的研究表明</w:t>
      </w:r>
      <w:r>
        <w:rPr>
          <w:rFonts w:hint="eastAsia" w:ascii="宋体" w:hAnsi="宋体" w:eastAsia="宋体" w:cs="宋体"/>
          <w:spacing w:val="14"/>
          <w:sz w:val="24"/>
          <w:szCs w:val="24"/>
        </w:rPr>
        <w:t>,我国目前普惠金</w:t>
      </w:r>
      <w:r>
        <w:rPr>
          <w:rFonts w:hint="eastAsia" w:ascii="宋体" w:hAnsi="宋体" w:eastAsia="宋体" w:cs="宋体"/>
          <w:spacing w:val="13"/>
          <w:sz w:val="24"/>
          <w:szCs w:val="24"/>
        </w:rPr>
        <w:t>融的发展对贫富差距的改善作用并不显著且缺乏可持续性,故而应从优化金融服务和创新服务工具等举措入手,扩大普惠金融对缩小贫富差距的正面影</w:t>
      </w:r>
      <w:r>
        <w:rPr>
          <w:rFonts w:hint="eastAsia" w:ascii="宋体" w:hAnsi="宋体" w:eastAsia="宋体" w:cs="宋体"/>
          <w:spacing w:val="-20"/>
          <w:sz w:val="24"/>
          <w:szCs w:val="24"/>
        </w:rPr>
        <w:t>响效应。</w:t>
      </w:r>
      <w:r>
        <w:rPr>
          <w:rStyle w:val="20"/>
          <w:rFonts w:hint="eastAsia" w:ascii="宋体" w:hAnsi="宋体" w:eastAsia="宋体" w:cs="宋体"/>
          <w:spacing w:val="-20"/>
          <w:sz w:val="24"/>
          <w:szCs w:val="24"/>
        </w:rPr>
        <w:footnoteReference w:id="811"/>
      </w:r>
    </w:p>
    <w:p w14:paraId="2137CCD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sz w:val="24"/>
          <w:szCs w:val="24"/>
        </w:rPr>
        <w:t>国外在优化金融服务、发展普惠金融方面的经验值得借鉴。以邻国日本</w:t>
      </w:r>
      <w:r>
        <w:rPr>
          <w:rFonts w:hint="eastAsia" w:ascii="宋体" w:hAnsi="宋体" w:eastAsia="宋体" w:cs="宋体"/>
          <w:spacing w:val="11"/>
          <w:sz w:val="24"/>
          <w:szCs w:val="24"/>
        </w:rPr>
        <w:t>和韩国为例,两国政府都高度重视普惠金融的发展。例如,日本政府于</w:t>
      </w:r>
      <w:r>
        <w:rPr>
          <w:rFonts w:hint="eastAsia" w:ascii="宋体" w:hAnsi="宋体" w:eastAsia="宋体" w:cs="宋体"/>
          <w:spacing w:val="11"/>
          <w:position w:val="-2"/>
          <w:sz w:val="24"/>
          <w:szCs w:val="24"/>
        </w:rPr>
        <w:t>2006</w:t>
      </w:r>
      <w:r>
        <w:rPr>
          <w:rFonts w:hint="eastAsia" w:ascii="宋体" w:hAnsi="宋体" w:eastAsia="宋体" w:cs="宋体"/>
          <w:spacing w:val="4"/>
          <w:sz w:val="24"/>
          <w:szCs w:val="24"/>
        </w:rPr>
        <w:t>年提出了“普惠金融计划”,旨在通过提高金融服务的可得性和便利性,促进经</w:t>
      </w:r>
      <w:r>
        <w:rPr>
          <w:rFonts w:hint="eastAsia" w:ascii="宋体" w:hAnsi="宋体" w:eastAsia="宋体" w:cs="宋体"/>
          <w:spacing w:val="11"/>
          <w:sz w:val="24"/>
          <w:szCs w:val="24"/>
        </w:rPr>
        <w:t>济发展、提高社会福祉。韩国政府也制定了类似政策,通过改善金融基础设</w:t>
      </w:r>
      <w:r>
        <w:rPr>
          <w:rFonts w:hint="eastAsia" w:ascii="宋体" w:hAnsi="宋体" w:eastAsia="宋体" w:cs="宋体"/>
          <w:spacing w:val="7"/>
          <w:sz w:val="24"/>
          <w:szCs w:val="24"/>
        </w:rPr>
        <w:t>施、推广数字金融等方式来扩大金融服务的覆盖面。此外,两国都建立了较为完善的金融服务体系,两国的金融机构在服务中小企业、农村地区等方面发挥</w:t>
      </w:r>
      <w:r>
        <w:rPr>
          <w:rFonts w:hint="eastAsia" w:ascii="宋体" w:hAnsi="宋体" w:eastAsia="宋体" w:cs="宋体"/>
          <w:spacing w:val="4"/>
          <w:sz w:val="24"/>
          <w:szCs w:val="24"/>
        </w:rPr>
        <w:t>了重要作用。例如,日本政府通过设立专门机构、提供优惠政策等方式支持中</w:t>
      </w:r>
      <w:r>
        <w:rPr>
          <w:rFonts w:hint="eastAsia" w:ascii="宋体" w:hAnsi="宋体" w:eastAsia="宋体" w:cs="宋体"/>
          <w:spacing w:val="6"/>
          <w:sz w:val="24"/>
          <w:szCs w:val="24"/>
        </w:rPr>
        <w:t>小企业发展;韩国政府则通过推广农村金融服务、设立农业保险等方式支持农村地区发展。我国在优化金融服务、发展普惠金融方面,理应重视“他山之石”</w:t>
      </w:r>
      <w:r>
        <w:rPr>
          <w:rFonts w:hint="eastAsia" w:ascii="宋体" w:hAnsi="宋体" w:eastAsia="宋体" w:cs="宋体"/>
          <w:spacing w:val="5"/>
          <w:sz w:val="24"/>
          <w:szCs w:val="24"/>
        </w:rPr>
        <w:t>的启示作用。</w:t>
      </w:r>
    </w:p>
    <w:p w14:paraId="37DD755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(二)强化金融监管与监督,严打不正当竞争行为</w:t>
      </w:r>
    </w:p>
    <w:p w14:paraId="2C0338F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党的十九届五中全会审议通过的《中共中央关于制定</w:t>
      </w:r>
      <w:r>
        <w:rPr>
          <w:rFonts w:hint="eastAsia" w:ascii="宋体" w:hAnsi="宋体" w:eastAsia="宋体" w:cs="宋体"/>
          <w:spacing w:val="8"/>
          <w:sz w:val="24"/>
          <w:szCs w:val="24"/>
        </w:rPr>
        <w:t>国民经济和社会发展第十四个五年规划和二○三五年远景目标的建议》提出,要“完</w:t>
      </w:r>
      <w:r>
        <w:rPr>
          <w:rFonts w:hint="eastAsia" w:ascii="宋体" w:hAnsi="宋体" w:eastAsia="宋体" w:cs="宋体"/>
          <w:spacing w:val="7"/>
          <w:sz w:val="24"/>
          <w:szCs w:val="24"/>
        </w:rPr>
        <w:t>善现代金融</w:t>
      </w:r>
      <w:r>
        <w:rPr>
          <w:rFonts w:hint="eastAsia" w:ascii="宋体" w:hAnsi="宋体" w:eastAsia="宋体" w:cs="宋体"/>
          <w:spacing w:val="13"/>
          <w:sz w:val="24"/>
          <w:szCs w:val="24"/>
        </w:rPr>
        <w:t>监管体系,提高金融监管透明度和法治化水平”</w:t>
      </w:r>
      <w:r>
        <w:rPr>
          <w:rStyle w:val="20"/>
          <w:rFonts w:hint="eastAsia" w:ascii="宋体" w:hAnsi="宋体" w:eastAsia="宋体" w:cs="宋体"/>
          <w:spacing w:val="13"/>
          <w:sz w:val="24"/>
          <w:szCs w:val="24"/>
        </w:rPr>
        <w:footnoteReference w:id="812"/>
      </w:r>
      <w:r>
        <w:rPr>
          <w:rFonts w:hint="eastAsia" w:ascii="宋体" w:hAnsi="宋体" w:eastAsia="宋体" w:cs="宋体"/>
          <w:spacing w:val="13"/>
          <w:sz w:val="24"/>
          <w:szCs w:val="24"/>
        </w:rPr>
        <w:t>。从现实中看,强化金融监</w:t>
      </w:r>
      <w:r>
        <w:rPr>
          <w:rFonts w:hint="eastAsia" w:ascii="宋体" w:hAnsi="宋体" w:eastAsia="宋体" w:cs="宋体"/>
          <w:spacing w:val="4"/>
          <w:sz w:val="24"/>
          <w:szCs w:val="24"/>
        </w:rPr>
        <w:t>管与监督是确保金融体系安全、健康和公平运作的重要措施之一,旨在确保金</w:t>
      </w:r>
      <w:r>
        <w:rPr>
          <w:rFonts w:hint="eastAsia" w:ascii="宋体" w:hAnsi="宋体" w:eastAsia="宋体" w:cs="宋体"/>
          <w:spacing w:val="12"/>
          <w:sz w:val="24"/>
          <w:szCs w:val="24"/>
        </w:rPr>
        <w:t>融机构和市场的合规性,防范金融风险和事件的发生,并保护消费者和投</w:t>
      </w:r>
      <w:r>
        <w:rPr>
          <w:rFonts w:hint="eastAsia" w:ascii="宋体" w:hAnsi="宋体" w:eastAsia="宋体" w:cs="宋体"/>
          <w:spacing w:val="11"/>
          <w:sz w:val="24"/>
          <w:szCs w:val="24"/>
        </w:rPr>
        <w:t>资者</w:t>
      </w:r>
      <w:r>
        <w:rPr>
          <w:rFonts w:hint="eastAsia" w:ascii="宋体" w:hAnsi="宋体" w:eastAsia="宋体" w:cs="宋体"/>
          <w:spacing w:val="14"/>
          <w:sz w:val="24"/>
          <w:szCs w:val="24"/>
        </w:rPr>
        <w:t>的权益。从财富和收入分配角度看,金融监管应侧重于确</w:t>
      </w:r>
      <w:r>
        <w:rPr>
          <w:rFonts w:hint="eastAsia" w:ascii="宋体" w:hAnsi="宋体" w:eastAsia="宋体" w:cs="宋体"/>
          <w:spacing w:val="13"/>
          <w:sz w:val="24"/>
          <w:szCs w:val="24"/>
        </w:rPr>
        <w:t>保金融市场的公平</w:t>
      </w:r>
      <w:r>
        <w:rPr>
          <w:rFonts w:hint="eastAsia" w:ascii="宋体" w:hAnsi="宋体" w:eastAsia="宋体" w:cs="宋体"/>
          <w:spacing w:val="12"/>
          <w:sz w:val="24"/>
          <w:szCs w:val="24"/>
        </w:rPr>
        <w:t>性和透明度,防止金融资源被不公平地分配给某些特定的个人或群体,要</w:t>
      </w:r>
      <w:r>
        <w:rPr>
          <w:rFonts w:hint="eastAsia" w:ascii="宋体" w:hAnsi="宋体" w:eastAsia="宋体" w:cs="宋体"/>
          <w:spacing w:val="11"/>
          <w:sz w:val="24"/>
          <w:szCs w:val="24"/>
        </w:rPr>
        <w:t>切实</w:t>
      </w:r>
      <w:r>
        <w:rPr>
          <w:rFonts w:hint="eastAsia" w:ascii="宋体" w:hAnsi="宋体" w:eastAsia="宋体" w:cs="宋体"/>
          <w:spacing w:val="14"/>
          <w:sz w:val="24"/>
          <w:szCs w:val="24"/>
        </w:rPr>
        <w:t>保护投资者尤其是广大小微投资者的合法权益,充分体现</w:t>
      </w:r>
      <w:r>
        <w:rPr>
          <w:rFonts w:hint="eastAsia" w:ascii="宋体" w:hAnsi="宋体" w:eastAsia="宋体" w:cs="宋体"/>
          <w:spacing w:val="13"/>
          <w:sz w:val="24"/>
          <w:szCs w:val="24"/>
        </w:rPr>
        <w:t>金融市场监管的人</w:t>
      </w:r>
      <w:r>
        <w:rPr>
          <w:rFonts w:hint="eastAsia" w:ascii="宋体" w:hAnsi="宋体" w:eastAsia="宋体" w:cs="宋体"/>
          <w:spacing w:val="12"/>
          <w:sz w:val="24"/>
          <w:szCs w:val="24"/>
        </w:rPr>
        <w:t>民性。通过监督金融机构的行为,可以确保他们遵循公平公正原则,为所</w:t>
      </w:r>
      <w:r>
        <w:rPr>
          <w:rFonts w:hint="eastAsia" w:ascii="宋体" w:hAnsi="宋体" w:eastAsia="宋体" w:cs="宋体"/>
          <w:spacing w:val="11"/>
          <w:sz w:val="24"/>
          <w:szCs w:val="24"/>
        </w:rPr>
        <w:t>有人</w:t>
      </w:r>
      <w:r>
        <w:rPr>
          <w:rFonts w:hint="eastAsia" w:ascii="宋体" w:hAnsi="宋体" w:eastAsia="宋体" w:cs="宋体"/>
          <w:spacing w:val="10"/>
          <w:sz w:val="24"/>
          <w:szCs w:val="24"/>
        </w:rPr>
        <w:t>提供平等的金融服务,从而防止财富的不公平积累。</w:t>
      </w:r>
    </w:p>
    <w:p w14:paraId="6875B18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outlineLvl w:val="9"/>
        <w:rPr>
          <w:rFonts w:hint="eastAsia" w:ascii="宋体" w:hAnsi="宋体" w:eastAsia="宋体" w:cs="宋体"/>
          <w:spacing w:val="10"/>
          <w:kern w:val="2"/>
          <w:sz w:val="24"/>
          <w:szCs w:val="24"/>
          <w:lang w:val="en-US" w:eastAsia="zh-CN" w:bidi="ar-SA"/>
        </w:rPr>
      </w:pPr>
      <w:r>
        <w:rPr>
          <w:rFonts w:hint="eastAsia" w:ascii="宋体" w:hAnsi="宋体" w:eastAsia="宋体" w:cs="宋体"/>
          <w:spacing w:val="10"/>
          <w:kern w:val="2"/>
          <w:sz w:val="24"/>
          <w:szCs w:val="24"/>
          <w:lang w:val="en-US" w:eastAsia="en-US" w:bidi="ar-SA"/>
        </w:rPr>
        <w:t>严厉打击金融市场不正当竞争行为是强化金融监管与监督的重要环节。证监会于2024年2月5日在官网发布消息,某违法团伙利用连续拉抬、对倒交易等手法影响股价,导致个股价格盘中闪崩、连续跌停,非法获利约1.3亿元,严重损害了广大股民的利益。类似的不正当竞争行为往往导致某些人或企业获得非法或不公平优势,从而迅速积累财富。因此,严厉打击不正当竞争行为,如欺诈、虚假宣传、操纵市场等,是切实维护市场的公平竞争环境,防止非法或不公平的财富积累,从而缩小财富差距的重要举措</w:t>
      </w:r>
      <w:r>
        <w:rPr>
          <w:rFonts w:hint="eastAsia" w:ascii="宋体" w:hAnsi="宋体" w:eastAsia="宋体" w:cs="宋体"/>
          <w:spacing w:val="10"/>
          <w:kern w:val="2"/>
          <w:sz w:val="24"/>
          <w:szCs w:val="24"/>
          <w:lang w:val="en-US" w:eastAsia="zh-CN" w:bidi="ar-SA"/>
        </w:rPr>
        <w:t>。</w:t>
      </w:r>
    </w:p>
    <w:p w14:paraId="6B5C9492">
      <w:pPr>
        <w:pStyle w:val="4"/>
        <w:bidi w:val="0"/>
        <w:rPr>
          <w:rFonts w:hint="eastAsia"/>
        </w:rPr>
      </w:pPr>
      <w:r>
        <w:rPr>
          <w:rFonts w:hint="eastAsia"/>
        </w:rPr>
        <w:t>四、房产对策</w:t>
      </w:r>
    </w:p>
    <w:p w14:paraId="7420245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房产是家庭财富的主要组成部分,具有投资品和消费品的双重属</w:t>
      </w:r>
      <w:r>
        <w:rPr>
          <w:rFonts w:hint="eastAsia" w:ascii="宋体" w:hAnsi="宋体" w:eastAsia="宋体" w:cs="宋体"/>
          <w:spacing w:val="13"/>
          <w:sz w:val="24"/>
          <w:szCs w:val="24"/>
        </w:rPr>
        <w:t>性。对</w:t>
      </w:r>
      <w:r>
        <w:rPr>
          <w:rFonts w:hint="eastAsia" w:ascii="宋体" w:hAnsi="宋体" w:eastAsia="宋体" w:cs="宋体"/>
          <w:spacing w:val="16"/>
          <w:sz w:val="24"/>
          <w:szCs w:val="24"/>
        </w:rPr>
        <w:t>于绝大多数中低收入的个体和家庭来说,房产的消费属性更为突出。许多家</w:t>
      </w:r>
      <w:r>
        <w:rPr>
          <w:rFonts w:hint="eastAsia" w:ascii="宋体" w:hAnsi="宋体" w:eastAsia="宋体" w:cs="宋体"/>
          <w:spacing w:val="15"/>
          <w:sz w:val="24"/>
          <w:szCs w:val="24"/>
        </w:rPr>
        <w:t>庭奋斗一生只为购买一套住房,且往往需要长期贷款,导致一大部</w:t>
      </w:r>
      <w:r>
        <w:rPr>
          <w:rFonts w:hint="eastAsia" w:ascii="宋体" w:hAnsi="宋体" w:eastAsia="宋体" w:cs="宋体"/>
          <w:spacing w:val="14"/>
          <w:sz w:val="24"/>
          <w:szCs w:val="24"/>
        </w:rPr>
        <w:t>分的财富用</w:t>
      </w:r>
      <w:r>
        <w:rPr>
          <w:rFonts w:hint="eastAsia" w:ascii="宋体" w:hAnsi="宋体" w:eastAsia="宋体" w:cs="宋体"/>
          <w:spacing w:val="19"/>
          <w:sz w:val="24"/>
          <w:szCs w:val="24"/>
        </w:rPr>
        <w:t>于偿还利息,而房产也无法变现,流动性较差,因而,实质上这种房产已经被</w:t>
      </w:r>
      <w:r>
        <w:rPr>
          <w:rFonts w:hint="eastAsia" w:ascii="宋体" w:hAnsi="宋体" w:eastAsia="宋体" w:cs="宋体"/>
          <w:spacing w:val="10"/>
          <w:sz w:val="24"/>
          <w:szCs w:val="24"/>
        </w:rPr>
        <w:t>“淡化”了财富属性。而对于拥有多套房产的高财富家庭</w:t>
      </w:r>
      <w:r>
        <w:rPr>
          <w:rFonts w:hint="eastAsia" w:ascii="宋体" w:hAnsi="宋体" w:eastAsia="宋体" w:cs="宋体"/>
          <w:spacing w:val="9"/>
          <w:sz w:val="24"/>
          <w:szCs w:val="24"/>
        </w:rPr>
        <w:t>来说,房产则具有投</w:t>
      </w:r>
      <w:r>
        <w:rPr>
          <w:rFonts w:hint="eastAsia" w:ascii="宋体" w:hAnsi="宋体" w:eastAsia="宋体" w:cs="宋体"/>
          <w:spacing w:val="15"/>
          <w:sz w:val="24"/>
          <w:szCs w:val="24"/>
        </w:rPr>
        <w:t>资属性,可以通过购买和出售房屋实现价值增值,从而进一步加大</w:t>
      </w:r>
      <w:r>
        <w:rPr>
          <w:rFonts w:hint="eastAsia" w:ascii="宋体" w:hAnsi="宋体" w:eastAsia="宋体" w:cs="宋体"/>
          <w:spacing w:val="14"/>
          <w:sz w:val="24"/>
          <w:szCs w:val="24"/>
        </w:rPr>
        <w:t>与中低收入者的财富差距。因此,想要实现更加平等和公正的财富与收</w:t>
      </w:r>
      <w:r>
        <w:rPr>
          <w:rFonts w:hint="eastAsia" w:ascii="宋体" w:hAnsi="宋体" w:eastAsia="宋体" w:cs="宋体"/>
          <w:spacing w:val="13"/>
          <w:sz w:val="24"/>
          <w:szCs w:val="24"/>
        </w:rPr>
        <w:t>入分配,必须重视</w:t>
      </w:r>
      <w:r>
        <w:rPr>
          <w:rFonts w:hint="eastAsia" w:ascii="宋体" w:hAnsi="宋体" w:eastAsia="宋体" w:cs="宋体"/>
          <w:spacing w:val="17"/>
          <w:sz w:val="24"/>
          <w:szCs w:val="24"/>
        </w:rPr>
        <w:t>并采取有效的房产对策,改革和优化房产市场供给格局。</w:t>
      </w:r>
      <w:r>
        <w:rPr>
          <w:rFonts w:hint="eastAsia" w:ascii="宋体" w:hAnsi="宋体" w:eastAsia="宋体" w:cs="宋体"/>
          <w:spacing w:val="16"/>
          <w:sz w:val="24"/>
          <w:szCs w:val="24"/>
        </w:rPr>
        <w:t>具体可从以下几个</w:t>
      </w:r>
      <w:r>
        <w:rPr>
          <w:rFonts w:hint="eastAsia" w:ascii="宋体" w:hAnsi="宋体" w:eastAsia="宋体" w:cs="宋体"/>
          <w:spacing w:val="24"/>
          <w:sz w:val="24"/>
          <w:szCs w:val="24"/>
        </w:rPr>
        <w:t>方面入手。</w:t>
      </w:r>
    </w:p>
    <w:p w14:paraId="5B3593E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(一)加强房地产市场调控,坚持“房住不炒”定位</w:t>
      </w:r>
    </w:p>
    <w:p w14:paraId="1239EEB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习近平总书记在主持召开“全国住房城乡建设工作会议”时指出,要“稳定</w:t>
      </w:r>
      <w:r>
        <w:rPr>
          <w:rFonts w:hint="eastAsia" w:ascii="宋体" w:hAnsi="宋体" w:eastAsia="宋体" w:cs="宋体"/>
          <w:spacing w:val="10"/>
          <w:sz w:val="24"/>
          <w:szCs w:val="24"/>
        </w:rPr>
        <w:t>房地产市场,优化房地产政策,坚持房子是用来住的、不是用来炒的定位,适应</w:t>
      </w:r>
      <w:r>
        <w:rPr>
          <w:rFonts w:hint="eastAsia" w:ascii="宋体" w:hAnsi="宋体" w:eastAsia="宋体" w:cs="宋体"/>
          <w:spacing w:val="8"/>
          <w:sz w:val="24"/>
          <w:szCs w:val="24"/>
        </w:rPr>
        <w:t>房地产市场供求关系发生重大变化新形势”</w:t>
      </w:r>
      <w:r>
        <w:rPr>
          <w:rStyle w:val="20"/>
          <w:rFonts w:hint="eastAsia" w:ascii="宋体" w:hAnsi="宋体" w:eastAsia="宋体" w:cs="宋体"/>
          <w:spacing w:val="8"/>
          <w:sz w:val="24"/>
          <w:szCs w:val="24"/>
        </w:rPr>
        <w:footnoteReference w:id="813"/>
      </w:r>
      <w:r>
        <w:rPr>
          <w:rFonts w:hint="eastAsia" w:ascii="宋体" w:hAnsi="宋体" w:eastAsia="宋体" w:cs="宋体"/>
          <w:spacing w:val="8"/>
          <w:sz w:val="24"/>
          <w:szCs w:val="24"/>
        </w:rPr>
        <w:t>。</w:t>
      </w:r>
      <w:r>
        <w:rPr>
          <w:rFonts w:hint="eastAsia" w:ascii="宋体" w:hAnsi="宋体" w:eastAsia="宋体" w:cs="宋体"/>
          <w:spacing w:val="7"/>
          <w:sz w:val="24"/>
          <w:szCs w:val="24"/>
        </w:rPr>
        <w:t>因此,政府要不断加强对房地</w:t>
      </w:r>
      <w:r>
        <w:rPr>
          <w:rFonts w:hint="eastAsia" w:ascii="宋体" w:hAnsi="宋体" w:eastAsia="宋体" w:cs="宋体"/>
          <w:spacing w:val="12"/>
          <w:sz w:val="24"/>
          <w:szCs w:val="24"/>
        </w:rPr>
        <w:t>产市场的调控,严格限制房地产市场投机泛滥的现象,坚定“房住不</w:t>
      </w:r>
      <w:r>
        <w:rPr>
          <w:rFonts w:hint="eastAsia" w:ascii="宋体" w:hAnsi="宋体" w:eastAsia="宋体" w:cs="宋体"/>
          <w:spacing w:val="11"/>
          <w:sz w:val="24"/>
          <w:szCs w:val="24"/>
        </w:rPr>
        <w:t>炒”的定</w:t>
      </w:r>
      <w:r>
        <w:rPr>
          <w:rFonts w:hint="eastAsia" w:ascii="宋体" w:hAnsi="宋体" w:eastAsia="宋体" w:cs="宋体"/>
          <w:spacing w:val="16"/>
          <w:sz w:val="24"/>
          <w:szCs w:val="24"/>
        </w:rPr>
        <w:t>位,逐渐削弱房地产的投资属性,从而限制高财富群体财富的过快增长。同</w:t>
      </w:r>
      <w:r>
        <w:rPr>
          <w:rFonts w:hint="eastAsia" w:ascii="宋体" w:hAnsi="宋体" w:eastAsia="宋体" w:cs="宋体"/>
          <w:spacing w:val="14"/>
          <w:sz w:val="24"/>
          <w:szCs w:val="24"/>
        </w:rPr>
        <w:t>时,要加强对房地产企业的监管,严格审查其融资渠道和资金来源,防止违规</w:t>
      </w:r>
      <w:r>
        <w:rPr>
          <w:rFonts w:hint="eastAsia" w:ascii="宋体" w:hAnsi="宋体" w:eastAsia="宋体" w:cs="宋体"/>
          <w:spacing w:val="15"/>
          <w:sz w:val="24"/>
          <w:szCs w:val="24"/>
        </w:rPr>
        <w:t>行为;加强土地供应管理,确保土地供应与市场需求的协调,避免土地垄断而</w:t>
      </w:r>
      <w:r>
        <w:rPr>
          <w:rFonts w:hint="eastAsia" w:ascii="宋体" w:hAnsi="宋体" w:eastAsia="宋体" w:cs="宋体"/>
          <w:spacing w:val="14"/>
          <w:sz w:val="24"/>
          <w:szCs w:val="24"/>
        </w:rPr>
        <w:t>造成房价过高。政府还必须加大对违规违法行为的制</w:t>
      </w:r>
      <w:r>
        <w:rPr>
          <w:rFonts w:hint="eastAsia" w:ascii="宋体" w:hAnsi="宋体" w:eastAsia="宋体" w:cs="宋体"/>
          <w:spacing w:val="13"/>
          <w:sz w:val="24"/>
          <w:szCs w:val="24"/>
        </w:rPr>
        <w:t>约和打击力度,加强对</w:t>
      </w:r>
      <w:r>
        <w:rPr>
          <w:rFonts w:hint="eastAsia" w:ascii="宋体" w:hAnsi="宋体" w:eastAsia="宋体" w:cs="宋体"/>
          <w:spacing w:val="7"/>
          <w:sz w:val="24"/>
          <w:szCs w:val="24"/>
        </w:rPr>
        <w:t>房地产市场的监测和处罚。</w:t>
      </w:r>
    </w:p>
    <w:p w14:paraId="0C8471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此外,高中介费导致房地产中介公司垄断市场并以抬价</w:t>
      </w:r>
      <w:r>
        <w:rPr>
          <w:rFonts w:hint="eastAsia" w:ascii="宋体" w:hAnsi="宋体" w:eastAsia="宋体" w:cs="宋体"/>
          <w:spacing w:val="11"/>
          <w:sz w:val="24"/>
          <w:szCs w:val="24"/>
        </w:rPr>
        <w:t>牟利,使无房或少</w:t>
      </w:r>
      <w:r>
        <w:rPr>
          <w:rFonts w:hint="eastAsia" w:ascii="宋体" w:hAnsi="宋体" w:eastAsia="宋体" w:cs="宋体"/>
          <w:spacing w:val="9"/>
          <w:sz w:val="24"/>
          <w:szCs w:val="24"/>
        </w:rPr>
        <w:t>房者的财富阶层下移</w:t>
      </w:r>
      <w:r>
        <w:rPr>
          <w:rStyle w:val="20"/>
          <w:rFonts w:hint="eastAsia" w:ascii="宋体" w:hAnsi="宋体" w:eastAsia="宋体" w:cs="宋体"/>
          <w:spacing w:val="9"/>
          <w:sz w:val="24"/>
          <w:szCs w:val="24"/>
        </w:rPr>
        <w:footnoteReference w:id="814"/>
      </w:r>
      <w:r>
        <w:rPr>
          <w:rFonts w:hint="eastAsia" w:ascii="宋体" w:hAnsi="宋体" w:eastAsia="宋体" w:cs="宋体"/>
          <w:spacing w:val="9"/>
          <w:sz w:val="24"/>
          <w:szCs w:val="24"/>
        </w:rPr>
        <w:t>,因而有必要对房地产中介公司进行监管和合理限制。</w:t>
      </w:r>
      <w:r>
        <w:rPr>
          <w:rFonts w:hint="eastAsia" w:ascii="宋体" w:hAnsi="宋体" w:eastAsia="宋体" w:cs="宋体"/>
          <w:spacing w:val="12"/>
          <w:sz w:val="24"/>
          <w:szCs w:val="24"/>
        </w:rPr>
        <w:t>通过加强房地产市场调控,谋求房地产市场的稳定发展,促进社会</w:t>
      </w:r>
      <w:r>
        <w:rPr>
          <w:rFonts w:hint="eastAsia" w:ascii="宋体" w:hAnsi="宋体" w:eastAsia="宋体" w:cs="宋体"/>
          <w:spacing w:val="11"/>
          <w:sz w:val="24"/>
          <w:szCs w:val="24"/>
        </w:rPr>
        <w:t>财富的合理</w:t>
      </w:r>
      <w:r>
        <w:rPr>
          <w:rFonts w:hint="eastAsia" w:ascii="宋体" w:hAnsi="宋体" w:eastAsia="宋体" w:cs="宋体"/>
          <w:spacing w:val="7"/>
          <w:sz w:val="24"/>
          <w:szCs w:val="24"/>
        </w:rPr>
        <w:t>分配和经济的可持续发展。</w:t>
      </w:r>
    </w:p>
    <w:p w14:paraId="15209E8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(二)完善住房保障制度,降低共有产权房等保障性住房空置率</w:t>
      </w:r>
    </w:p>
    <w:p w14:paraId="79E4E9B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eastAsia" w:ascii="宋体" w:hAnsi="宋体" w:eastAsia="宋体" w:cs="宋体"/>
          <w:spacing w:val="8"/>
          <w:sz w:val="24"/>
          <w:szCs w:val="24"/>
          <w:lang w:eastAsia="zh-CN"/>
        </w:rPr>
      </w:pPr>
      <w:r>
        <w:rPr>
          <w:rFonts w:hint="eastAsia" w:ascii="宋体" w:hAnsi="宋体" w:eastAsia="宋体" w:cs="宋体"/>
          <w:spacing w:val="6"/>
          <w:sz w:val="24"/>
          <w:szCs w:val="24"/>
        </w:rPr>
        <w:t>习近平总书记在中共中央政治局第十次集体学习时强调,要“加快推进住</w:t>
      </w:r>
      <w:r>
        <w:rPr>
          <w:rFonts w:hint="eastAsia" w:ascii="宋体" w:hAnsi="宋体" w:eastAsia="宋体" w:cs="宋体"/>
          <w:spacing w:val="8"/>
          <w:sz w:val="24"/>
          <w:szCs w:val="24"/>
        </w:rPr>
        <w:t>房保障和供应体系建设,不断实现全体人民住有</w:t>
      </w:r>
      <w:r>
        <w:rPr>
          <w:rFonts w:hint="eastAsia" w:ascii="宋体" w:hAnsi="宋体" w:eastAsia="宋体" w:cs="宋体"/>
          <w:spacing w:val="7"/>
          <w:sz w:val="24"/>
          <w:szCs w:val="24"/>
        </w:rPr>
        <w:t>所居的目标”</w:t>
      </w:r>
      <w:r>
        <w:rPr>
          <w:rStyle w:val="20"/>
          <w:rFonts w:hint="eastAsia" w:ascii="宋体" w:hAnsi="宋体" w:eastAsia="宋体" w:cs="宋体"/>
          <w:spacing w:val="7"/>
          <w:sz w:val="24"/>
          <w:szCs w:val="24"/>
        </w:rPr>
        <w:footnoteReference w:id="815"/>
      </w:r>
      <w:r>
        <w:rPr>
          <w:rFonts w:hint="eastAsia" w:ascii="宋体" w:hAnsi="宋体" w:eastAsia="宋体" w:cs="宋体"/>
          <w:spacing w:val="7"/>
          <w:sz w:val="24"/>
          <w:szCs w:val="24"/>
        </w:rPr>
        <w:t>。制定住房保</w:t>
      </w:r>
      <w:r>
        <w:rPr>
          <w:rFonts w:hint="eastAsia" w:ascii="宋体" w:hAnsi="宋体" w:eastAsia="宋体" w:cs="宋体"/>
          <w:spacing w:val="12"/>
          <w:sz w:val="24"/>
          <w:szCs w:val="24"/>
        </w:rPr>
        <w:t>障政策的目的是保障居民的基本居住需求,解决低收入群体和困难群体</w:t>
      </w:r>
      <w:r>
        <w:rPr>
          <w:rFonts w:hint="eastAsia" w:ascii="宋体" w:hAnsi="宋体" w:eastAsia="宋体" w:cs="宋体"/>
          <w:spacing w:val="11"/>
          <w:sz w:val="24"/>
          <w:szCs w:val="24"/>
        </w:rPr>
        <w:t>的住</w:t>
      </w:r>
      <w:r>
        <w:rPr>
          <w:rFonts w:hint="eastAsia" w:ascii="宋体" w:hAnsi="宋体" w:eastAsia="宋体" w:cs="宋体"/>
          <w:spacing w:val="12"/>
          <w:sz w:val="24"/>
          <w:szCs w:val="24"/>
        </w:rPr>
        <w:t>房问题。满足低收入者的住房需求,有助于他们实现财富的积累,也</w:t>
      </w:r>
      <w:r>
        <w:rPr>
          <w:rFonts w:hint="eastAsia" w:ascii="宋体" w:hAnsi="宋体" w:eastAsia="宋体" w:cs="宋体"/>
          <w:spacing w:val="11"/>
          <w:sz w:val="24"/>
          <w:szCs w:val="24"/>
        </w:rPr>
        <w:t>有助于其</w:t>
      </w:r>
      <w:r>
        <w:rPr>
          <w:rFonts w:hint="eastAsia" w:ascii="宋体" w:hAnsi="宋体" w:eastAsia="宋体" w:cs="宋体"/>
          <w:spacing w:val="8"/>
          <w:sz w:val="24"/>
          <w:szCs w:val="24"/>
        </w:rPr>
        <w:t>将更多的精力投入其他领域的财富创造中去</w:t>
      </w:r>
      <w:r>
        <w:rPr>
          <w:rFonts w:hint="eastAsia" w:ascii="宋体" w:hAnsi="宋体" w:eastAsia="宋体" w:cs="宋体"/>
          <w:spacing w:val="8"/>
          <w:sz w:val="24"/>
          <w:szCs w:val="24"/>
          <w:lang w:eastAsia="zh-CN"/>
        </w:rPr>
        <w:t>。</w:t>
      </w:r>
    </w:p>
    <w:p w14:paraId="6E0E17C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8" w:firstLineChars="200"/>
        <w:jc w:val="both"/>
        <w:textAlignment w:val="baseline"/>
        <w:rPr>
          <w:rFonts w:hint="eastAsia" w:ascii="宋体" w:hAnsi="宋体" w:eastAsia="宋体" w:cs="宋体"/>
          <w:sz w:val="24"/>
          <w:szCs w:val="24"/>
        </w:rPr>
      </w:pPr>
      <w:r>
        <w:rPr>
          <w:rFonts w:hint="eastAsia" w:ascii="宋体" w:hAnsi="宋体" w:eastAsia="宋体" w:cs="宋体"/>
          <w:spacing w:val="17"/>
          <w:sz w:val="24"/>
          <w:szCs w:val="24"/>
        </w:rPr>
        <w:t>在完善住房保障制度方面:首先,政府应建立统一的住房申请和配租机</w:t>
      </w:r>
      <w:r>
        <w:rPr>
          <w:rFonts w:hint="eastAsia" w:ascii="宋体" w:hAnsi="宋体" w:eastAsia="宋体" w:cs="宋体"/>
          <w:spacing w:val="15"/>
          <w:sz w:val="24"/>
          <w:szCs w:val="24"/>
        </w:rPr>
        <w:t>制,确保低收入人群和特殊困难群体优先享有</w:t>
      </w:r>
      <w:r>
        <w:rPr>
          <w:rFonts w:hint="eastAsia" w:ascii="宋体" w:hAnsi="宋体" w:eastAsia="宋体" w:cs="宋体"/>
          <w:spacing w:val="14"/>
          <w:sz w:val="24"/>
          <w:szCs w:val="24"/>
        </w:rPr>
        <w:t>住房保障;其次,要加大投入力度,增加住房保障的资金来源,确保住房保障政策的实际落地和有效执行;最</w:t>
      </w:r>
      <w:r>
        <w:rPr>
          <w:rFonts w:hint="eastAsia" w:ascii="宋体" w:hAnsi="宋体" w:eastAsia="宋体" w:cs="宋体"/>
          <w:spacing w:val="9"/>
          <w:sz w:val="24"/>
          <w:szCs w:val="24"/>
        </w:rPr>
        <w:t>后,要优化住房供应结构,在提供更多质量上乘、价格合理的住房供给的同时,</w:t>
      </w:r>
      <w:r>
        <w:rPr>
          <w:rFonts w:hint="eastAsia" w:ascii="宋体" w:hAnsi="宋体" w:eastAsia="宋体" w:cs="宋体"/>
          <w:spacing w:val="13"/>
          <w:sz w:val="24"/>
          <w:szCs w:val="24"/>
        </w:rPr>
        <w:t>还要多措并举,以降低共有产权房等保障性住房的空置率。新加坡政府在评</w:t>
      </w:r>
      <w:r>
        <w:rPr>
          <w:rFonts w:hint="eastAsia" w:ascii="宋体" w:hAnsi="宋体" w:eastAsia="宋体" w:cs="宋体"/>
          <w:spacing w:val="7"/>
          <w:sz w:val="24"/>
          <w:szCs w:val="24"/>
        </w:rPr>
        <w:t>估家庭总收入、家庭成员身份和房产状况的基础上,针对中低收入家庭精准提</w:t>
      </w:r>
      <w:r>
        <w:rPr>
          <w:rFonts w:hint="eastAsia" w:ascii="宋体" w:hAnsi="宋体" w:eastAsia="宋体" w:cs="宋体"/>
          <w:spacing w:val="16"/>
          <w:sz w:val="24"/>
          <w:szCs w:val="24"/>
        </w:rPr>
        <w:t>供共有产权房,且相较于普通住房,共有产权房的价格更低,并享受与私人住</w:t>
      </w:r>
      <w:r>
        <w:rPr>
          <w:rFonts w:hint="eastAsia" w:ascii="宋体" w:hAnsi="宋体" w:eastAsia="宋体" w:cs="宋体"/>
          <w:spacing w:val="9"/>
          <w:sz w:val="24"/>
          <w:szCs w:val="24"/>
        </w:rPr>
        <w:t>宅相同的福利和便利,如学区、社区的设施等。共有产权房所规定的</w:t>
      </w:r>
      <w:r>
        <w:rPr>
          <w:rFonts w:hint="eastAsia" w:ascii="宋体" w:hAnsi="宋体" w:eastAsia="宋体" w:cs="宋体"/>
          <w:spacing w:val="9"/>
          <w:position w:val="-2"/>
          <w:sz w:val="24"/>
          <w:szCs w:val="24"/>
        </w:rPr>
        <w:t>99</w:t>
      </w:r>
      <w:r>
        <w:rPr>
          <w:rFonts w:hint="eastAsia" w:ascii="宋体" w:hAnsi="宋体" w:eastAsia="宋体" w:cs="宋体"/>
          <w:spacing w:val="9"/>
          <w:sz w:val="24"/>
          <w:szCs w:val="24"/>
        </w:rPr>
        <w:t>年的</w:t>
      </w:r>
      <w:r>
        <w:rPr>
          <w:rFonts w:hint="eastAsia" w:ascii="宋体" w:hAnsi="宋体" w:eastAsia="宋体" w:cs="宋体"/>
          <w:spacing w:val="10"/>
          <w:sz w:val="24"/>
          <w:szCs w:val="24"/>
        </w:rPr>
        <w:t>使用期限也确保了居住者的长期稳定和权益。然而,目前我国的共</w:t>
      </w:r>
      <w:r>
        <w:rPr>
          <w:rFonts w:hint="eastAsia" w:ascii="宋体" w:hAnsi="宋体" w:eastAsia="宋体" w:cs="宋体"/>
          <w:spacing w:val="9"/>
          <w:sz w:val="24"/>
          <w:szCs w:val="24"/>
        </w:rPr>
        <w:t>有产权房</w:t>
      </w:r>
      <w:r>
        <w:rPr>
          <w:rFonts w:hint="eastAsia" w:ascii="宋体" w:hAnsi="宋体" w:eastAsia="宋体" w:cs="宋体"/>
          <w:spacing w:val="12"/>
          <w:sz w:val="24"/>
          <w:szCs w:val="24"/>
        </w:rPr>
        <w:t>空置率仍相对较高,未来可进一步借鉴新加坡等国家的政策,采取提高政府负担比例、延长产权年限等措施,降低共有产权房等保障性住房的空置率,尽可</w:t>
      </w:r>
      <w:r>
        <w:rPr>
          <w:rFonts w:hint="eastAsia" w:ascii="宋体" w:hAnsi="宋体" w:eastAsia="宋体" w:cs="宋体"/>
          <w:spacing w:val="8"/>
          <w:sz w:val="24"/>
          <w:szCs w:val="24"/>
        </w:rPr>
        <w:t>能地满足中低收入人群的住房需求。</w:t>
      </w:r>
    </w:p>
    <w:p w14:paraId="31B4AC6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eastAsia" w:ascii="宋体" w:hAnsi="宋体" w:eastAsia="宋体" w:cs="宋体"/>
          <w:sz w:val="24"/>
          <w:szCs w:val="24"/>
        </w:rPr>
      </w:pPr>
      <w:r>
        <w:rPr>
          <w:rFonts w:hint="eastAsia" w:ascii="宋体" w:hAnsi="宋体" w:eastAsia="宋体" w:cs="宋体"/>
          <w:spacing w:val="3"/>
          <w:sz w:val="24"/>
          <w:szCs w:val="24"/>
        </w:rPr>
        <w:t>(三)制定《住房租赁法》,保障租赁市场有序发展</w:t>
      </w:r>
    </w:p>
    <w:p w14:paraId="1553D73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我国人民银行、国家金融监督管理总局发布《关于金融支持住房租赁市场</w:t>
      </w:r>
      <w:r>
        <w:rPr>
          <w:rFonts w:hint="eastAsia" w:ascii="宋体" w:hAnsi="宋体" w:eastAsia="宋体" w:cs="宋体"/>
          <w:spacing w:val="5"/>
          <w:sz w:val="24"/>
          <w:szCs w:val="24"/>
        </w:rPr>
        <w:t>发展的意见》,强调要“培育和发展住房租赁市场,促进房地产市场平稳健康发</w:t>
      </w:r>
      <w:r>
        <w:rPr>
          <w:rFonts w:hint="eastAsia" w:ascii="宋体" w:hAnsi="宋体" w:eastAsia="宋体" w:cs="宋体"/>
          <w:sz w:val="24"/>
          <w:szCs w:val="24"/>
        </w:rPr>
        <w:t>展”</w:t>
      </w:r>
      <w:r>
        <w:rPr>
          <w:rStyle w:val="20"/>
          <w:rFonts w:hint="eastAsia" w:ascii="宋体" w:hAnsi="宋体" w:eastAsia="宋体" w:cs="宋体"/>
          <w:sz w:val="24"/>
          <w:szCs w:val="24"/>
        </w:rPr>
        <w:footnoteReference w:id="816"/>
      </w:r>
      <w:r>
        <w:rPr>
          <w:rFonts w:hint="eastAsia" w:ascii="宋体" w:hAnsi="宋体" w:eastAsia="宋体" w:cs="宋体"/>
          <w:spacing w:val="12"/>
          <w:sz w:val="24"/>
          <w:szCs w:val="24"/>
        </w:rPr>
        <w:t>。发展私人租赁市场是解决我国住房问题的重要举措,能够提供更多的住房选择机会以满足不同人群的居住需求,因而,激励住房租赁市</w:t>
      </w:r>
      <w:r>
        <w:rPr>
          <w:rFonts w:hint="eastAsia" w:ascii="宋体" w:hAnsi="宋体" w:eastAsia="宋体" w:cs="宋体"/>
          <w:spacing w:val="11"/>
          <w:sz w:val="24"/>
          <w:szCs w:val="24"/>
        </w:rPr>
        <w:t>场的发展至</w:t>
      </w:r>
      <w:r>
        <w:rPr>
          <w:rFonts w:hint="eastAsia" w:ascii="宋体" w:hAnsi="宋体" w:eastAsia="宋体" w:cs="宋体"/>
          <w:spacing w:val="3"/>
          <w:sz w:val="24"/>
          <w:szCs w:val="24"/>
        </w:rPr>
        <w:t>关重要。</w:t>
      </w:r>
    </w:p>
    <w:p w14:paraId="1A911A6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长期以来,我国住房市场“重买轻租”,租赁市场发展滞后,租赁市场不规</w:t>
      </w:r>
      <w:r>
        <w:rPr>
          <w:rFonts w:hint="eastAsia" w:ascii="宋体" w:hAnsi="宋体" w:eastAsia="宋体" w:cs="宋体"/>
          <w:spacing w:val="12"/>
          <w:sz w:val="24"/>
          <w:szCs w:val="24"/>
        </w:rPr>
        <w:t>范。鉴于发展住房租赁市场对于解决我国住房问题的重要作用,首先,政府应</w:t>
      </w:r>
      <w:r>
        <w:rPr>
          <w:rFonts w:hint="eastAsia" w:ascii="宋体" w:hAnsi="宋体" w:eastAsia="宋体" w:cs="宋体"/>
          <w:spacing w:val="10"/>
          <w:sz w:val="24"/>
          <w:szCs w:val="24"/>
        </w:rPr>
        <w:t>该尽快制定《住房租赁法》,明确租赁合同和租金规定,保障租客的权益,建立</w:t>
      </w:r>
      <w:r>
        <w:rPr>
          <w:rFonts w:hint="eastAsia" w:ascii="宋体" w:hAnsi="宋体" w:eastAsia="宋体" w:cs="宋体"/>
          <w:spacing w:val="8"/>
          <w:sz w:val="24"/>
          <w:szCs w:val="24"/>
        </w:rPr>
        <w:t>和维护租赁市场公正、透明的租赁秩序;其次,由于租户往往是中低收入群体,</w:t>
      </w:r>
      <w:r>
        <w:rPr>
          <w:rFonts w:hint="eastAsia" w:ascii="宋体" w:hAnsi="宋体" w:eastAsia="宋体" w:cs="宋体"/>
          <w:spacing w:val="12"/>
          <w:sz w:val="24"/>
          <w:szCs w:val="24"/>
        </w:rPr>
        <w:t>因此,政府应该通过提供租金补贴等激励措施减轻租客的负担,提高租赁市场</w:t>
      </w:r>
      <w:r>
        <w:rPr>
          <w:rFonts w:hint="eastAsia" w:ascii="宋体" w:hAnsi="宋体" w:eastAsia="宋体" w:cs="宋体"/>
          <w:spacing w:val="14"/>
          <w:sz w:val="24"/>
          <w:szCs w:val="24"/>
        </w:rPr>
        <w:t>的竞争力和吸引力;再次,要鼓励金融机构提供租房贷款和保险等金融支持,</w:t>
      </w:r>
      <w:r>
        <w:rPr>
          <w:rFonts w:hint="eastAsia" w:ascii="宋体" w:hAnsi="宋体" w:eastAsia="宋体" w:cs="宋体"/>
          <w:spacing w:val="16"/>
          <w:sz w:val="24"/>
          <w:szCs w:val="24"/>
        </w:rPr>
        <w:t>为租房者提供更多的融资选择和风险保障;最后,要切实加强租赁市场的监</w:t>
      </w:r>
      <w:r>
        <w:rPr>
          <w:rFonts w:hint="eastAsia" w:ascii="宋体" w:hAnsi="宋体" w:eastAsia="宋体" w:cs="宋体"/>
          <w:spacing w:val="12"/>
          <w:sz w:val="24"/>
          <w:szCs w:val="24"/>
        </w:rPr>
        <w:t>管,打击违规行为,保障租赁市场的稳定和有序发展。</w:t>
      </w:r>
    </w:p>
    <w:p w14:paraId="4E2F3C0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pacing w:val="10"/>
          <w:sz w:val="24"/>
          <w:szCs w:val="24"/>
        </w:rPr>
      </w:pPr>
      <w:r>
        <w:rPr>
          <w:rFonts w:hint="eastAsia" w:ascii="宋体" w:hAnsi="宋体" w:eastAsia="宋体" w:cs="宋体"/>
          <w:spacing w:val="11"/>
          <w:sz w:val="24"/>
          <w:szCs w:val="24"/>
        </w:rPr>
        <w:t>从国际经验上看,尽管美国并没有推出明确的《住房租赁法》,但多个法</w:t>
      </w:r>
      <w:r>
        <w:rPr>
          <w:rFonts w:hint="eastAsia" w:ascii="宋体" w:hAnsi="宋体" w:eastAsia="宋体" w:cs="宋体"/>
          <w:spacing w:val="5"/>
          <w:sz w:val="24"/>
          <w:szCs w:val="24"/>
        </w:rPr>
        <w:t>律、条例和规定组成的综合体系对住房租赁市场具有相对明确的约束和限制。</w:t>
      </w:r>
      <w:r>
        <w:rPr>
          <w:rFonts w:hint="eastAsia" w:ascii="宋体" w:hAnsi="宋体" w:eastAsia="宋体" w:cs="宋体"/>
          <w:spacing w:val="8"/>
          <w:sz w:val="24"/>
          <w:szCs w:val="24"/>
        </w:rPr>
        <w:t>比如,在一些城市,如纽约和旧金山,地方</w:t>
      </w:r>
      <w:r>
        <w:rPr>
          <w:rFonts w:hint="eastAsia" w:ascii="宋体" w:hAnsi="宋体" w:eastAsia="宋体" w:cs="宋体"/>
          <w:spacing w:val="7"/>
          <w:sz w:val="24"/>
          <w:szCs w:val="24"/>
        </w:rPr>
        <w:t>政府通过了《租金稳定法》,严格限制</w:t>
      </w:r>
      <w:r>
        <w:rPr>
          <w:rFonts w:hint="eastAsia" w:ascii="宋体" w:hAnsi="宋体" w:eastAsia="宋体" w:cs="宋体"/>
          <w:spacing w:val="12"/>
          <w:sz w:val="24"/>
          <w:szCs w:val="24"/>
        </w:rPr>
        <w:t>房屋租金的涨幅,以保护租客免受租金快速上涨的影响。此外,英国具</w:t>
      </w:r>
      <w:r>
        <w:rPr>
          <w:rFonts w:hint="eastAsia" w:ascii="宋体" w:hAnsi="宋体" w:eastAsia="宋体" w:cs="宋体"/>
          <w:spacing w:val="11"/>
          <w:sz w:val="24"/>
          <w:szCs w:val="24"/>
        </w:rPr>
        <w:t>有明确</w:t>
      </w:r>
      <w:r>
        <w:rPr>
          <w:rFonts w:hint="eastAsia" w:ascii="宋体" w:hAnsi="宋体" w:eastAsia="宋体" w:cs="宋体"/>
          <w:spacing w:val="-4"/>
          <w:sz w:val="24"/>
          <w:szCs w:val="24"/>
        </w:rPr>
        <w:t>的住房租赁法及相关法律,包括《租金法》《租金和抵押权益上涨法》《不</w:t>
      </w:r>
      <w:r>
        <w:rPr>
          <w:rFonts w:hint="eastAsia" w:ascii="宋体" w:hAnsi="宋体" w:eastAsia="宋体" w:cs="宋体"/>
          <w:spacing w:val="-5"/>
          <w:sz w:val="24"/>
          <w:szCs w:val="24"/>
        </w:rPr>
        <w:t>动产租</w:t>
      </w:r>
      <w:r>
        <w:rPr>
          <w:rFonts w:hint="eastAsia" w:ascii="宋体" w:hAnsi="宋体" w:eastAsia="宋体" w:cs="宋体"/>
          <w:spacing w:val="-18"/>
          <w:sz w:val="24"/>
          <w:szCs w:val="24"/>
        </w:rPr>
        <w:t>赁法》《业主与租户法》等</w:t>
      </w:r>
      <w:r>
        <w:rPr>
          <w:rFonts w:hint="eastAsia" w:ascii="宋体" w:hAnsi="宋体" w:eastAsia="宋体" w:cs="宋体"/>
          <w:spacing w:val="11"/>
          <w:sz w:val="24"/>
          <w:szCs w:val="24"/>
        </w:rPr>
        <w:t>,这种相对完善的法律体系为租客和房东提供了明确</w:t>
      </w:r>
      <w:r>
        <w:rPr>
          <w:rFonts w:hint="eastAsia" w:ascii="宋体" w:hAnsi="宋体" w:eastAsia="宋体" w:cs="宋体"/>
          <w:spacing w:val="10"/>
          <w:sz w:val="24"/>
          <w:szCs w:val="24"/>
        </w:rPr>
        <w:t>的权益保护和指导条款,从而保障了租赁市场有序发展。</w:t>
      </w:r>
    </w:p>
    <w:p w14:paraId="3E774F5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总的来说,政府要积极推进在产权、财税、金融、房产四个方面的政策制定</w:t>
      </w:r>
      <w:r>
        <w:rPr>
          <w:rFonts w:hint="eastAsia" w:ascii="宋体" w:hAnsi="宋体" w:eastAsia="宋体" w:cs="宋体"/>
          <w:spacing w:val="11"/>
          <w:sz w:val="24"/>
          <w:szCs w:val="24"/>
        </w:rPr>
        <w:t>和落地,不断完善财富分配和收入分配制度,确保全</w:t>
      </w:r>
      <w:r>
        <w:rPr>
          <w:rFonts w:hint="eastAsia" w:ascii="宋体" w:hAnsi="宋体" w:eastAsia="宋体" w:cs="宋体"/>
          <w:spacing w:val="10"/>
          <w:sz w:val="24"/>
          <w:szCs w:val="24"/>
        </w:rPr>
        <w:t>体人民都能公平享受到经济发展带来的福利和成果,确保推动共同富裕取得明显成效。</w:t>
      </w:r>
    </w:p>
    <w:p w14:paraId="7887F2A0">
      <w:pPr>
        <w:keepNext w:val="0"/>
        <w:keepLines w:val="0"/>
        <w:pageBreakBefore w:val="0"/>
        <w:widowControl w:val="0"/>
        <w:kinsoku/>
        <w:wordWrap/>
        <w:overflowPunct/>
        <w:topLinePunct w:val="0"/>
        <w:autoSpaceDE/>
        <w:autoSpaceDN/>
        <w:bidi w:val="0"/>
        <w:adjustRightInd/>
        <w:snapToGrid w:val="0"/>
        <w:spacing w:line="400" w:lineRule="exact"/>
        <w:jc w:val="center"/>
        <w:textAlignment w:val="auto"/>
        <w:rPr>
          <w:rFonts w:hint="eastAsia" w:ascii="宋体" w:hAnsi="宋体" w:eastAsia="宋体" w:cs="宋体"/>
          <w:kern w:val="2"/>
          <w:sz w:val="24"/>
          <w:szCs w:val="24"/>
          <w:lang w:val="en-US" w:eastAsia="en-US" w:bidi="ar-SA"/>
        </w:rPr>
      </w:pPr>
      <w:r>
        <w:rPr>
          <w:rFonts w:hint="eastAsia" w:ascii="宋体" w:hAnsi="宋体" w:eastAsia="宋体" w:cs="宋体"/>
          <w:kern w:val="2"/>
          <w:sz w:val="24"/>
          <w:szCs w:val="24"/>
          <w:lang w:val="en-US" w:eastAsia="en-US" w:bidi="ar-SA"/>
        </w:rPr>
        <w:t>参考文献</w:t>
      </w:r>
    </w:p>
    <w:p w14:paraId="66E75E2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32"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[1]程恩富、钟卫华:《城市以公租房为主的“新住房策论”》,《财贸经济》2011年第</w:t>
      </w:r>
      <w:r>
        <w:rPr>
          <w:rFonts w:hint="eastAsia" w:ascii="宋体" w:hAnsi="宋体" w:eastAsia="宋体" w:cs="宋体"/>
          <w:spacing w:val="-12"/>
          <w:position w:val="-2"/>
          <w:sz w:val="24"/>
          <w:szCs w:val="24"/>
        </w:rPr>
        <w:t>12</w:t>
      </w:r>
      <w:r>
        <w:rPr>
          <w:rFonts w:hint="eastAsia" w:ascii="宋体" w:hAnsi="宋体" w:eastAsia="宋体" w:cs="宋体"/>
          <w:spacing w:val="-12"/>
          <w:sz w:val="24"/>
          <w:szCs w:val="24"/>
        </w:rPr>
        <w:t>期。</w:t>
      </w:r>
    </w:p>
    <w:p w14:paraId="21CC589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[2]程恩富:《加快完善社会主义市场经济体制的“四个关键词”》,《经济研究</w:t>
      </w:r>
      <w:r>
        <w:rPr>
          <w:rFonts w:hint="eastAsia" w:ascii="宋体" w:hAnsi="宋体" w:eastAsia="宋体" w:cs="宋体"/>
          <w:spacing w:val="-1"/>
          <w:sz w:val="24"/>
          <w:szCs w:val="24"/>
        </w:rPr>
        <w:t>》2013年</w:t>
      </w:r>
      <w:r>
        <w:rPr>
          <w:rFonts w:hint="eastAsia" w:ascii="宋体" w:hAnsi="宋体" w:eastAsia="宋体" w:cs="宋体"/>
          <w:spacing w:val="5"/>
          <w:sz w:val="24"/>
          <w:szCs w:val="24"/>
        </w:rPr>
        <w:t>第</w:t>
      </w:r>
      <w:r>
        <w:rPr>
          <w:rFonts w:hint="eastAsia" w:ascii="宋体" w:hAnsi="宋体" w:eastAsia="宋体" w:cs="宋体"/>
          <w:spacing w:val="5"/>
          <w:position w:val="-1"/>
          <w:sz w:val="24"/>
          <w:szCs w:val="24"/>
        </w:rPr>
        <w:t>2</w:t>
      </w:r>
      <w:r>
        <w:rPr>
          <w:rFonts w:hint="eastAsia" w:ascii="宋体" w:hAnsi="宋体" w:eastAsia="宋体" w:cs="宋体"/>
          <w:spacing w:val="5"/>
          <w:sz w:val="24"/>
          <w:szCs w:val="24"/>
        </w:rPr>
        <w:t>期。</w:t>
      </w:r>
    </w:p>
    <w:p w14:paraId="48B384F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w:t>[3]侯为民、杨坤睿:《运用“国家法策”分配方式促进共同富裕》,《管理学刊</w:t>
      </w:r>
      <w:r>
        <w:rPr>
          <w:rFonts w:hint="eastAsia" w:ascii="宋体" w:hAnsi="宋体" w:eastAsia="宋体" w:cs="宋体"/>
          <w:position w:val="-1"/>
          <w:sz w:val="24"/>
          <w:szCs w:val="24"/>
        </w:rPr>
        <w:t>》2</w:t>
      </w:r>
      <w:r>
        <w:rPr>
          <w:rFonts w:hint="eastAsia" w:ascii="宋体" w:hAnsi="宋体" w:eastAsia="宋体" w:cs="宋体"/>
          <w:spacing w:val="-1"/>
          <w:position w:val="-1"/>
          <w:sz w:val="24"/>
          <w:szCs w:val="24"/>
        </w:rPr>
        <w:t>022</w:t>
      </w:r>
      <w:r>
        <w:rPr>
          <w:rFonts w:hint="eastAsia" w:ascii="宋体" w:hAnsi="宋体" w:eastAsia="宋体" w:cs="宋体"/>
          <w:spacing w:val="-1"/>
          <w:sz w:val="24"/>
          <w:szCs w:val="24"/>
        </w:rPr>
        <w:t>年</w:t>
      </w:r>
      <w:r>
        <w:rPr>
          <w:rFonts w:hint="eastAsia" w:ascii="宋体" w:hAnsi="宋体" w:eastAsia="宋体" w:cs="宋体"/>
          <w:spacing w:val="5"/>
          <w:sz w:val="24"/>
          <w:szCs w:val="24"/>
        </w:rPr>
        <w:t>第</w:t>
      </w:r>
      <w:r>
        <w:rPr>
          <w:rFonts w:hint="eastAsia" w:ascii="宋体" w:hAnsi="宋体" w:eastAsia="宋体" w:cs="宋体"/>
          <w:spacing w:val="5"/>
          <w:position w:val="-1"/>
          <w:sz w:val="24"/>
          <w:szCs w:val="24"/>
        </w:rPr>
        <w:t>4</w:t>
      </w:r>
      <w:r>
        <w:rPr>
          <w:rFonts w:hint="eastAsia" w:ascii="宋体" w:hAnsi="宋体" w:eastAsia="宋体" w:cs="宋体"/>
          <w:spacing w:val="5"/>
          <w:sz w:val="24"/>
          <w:szCs w:val="24"/>
        </w:rPr>
        <w:t>期。</w:t>
      </w:r>
    </w:p>
    <w:p w14:paraId="31B718C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[4]简新华:《节制资本,缩小贫富差距》,《当代经济研究》2015年第</w:t>
      </w:r>
      <w:r>
        <w:rPr>
          <w:rFonts w:hint="eastAsia" w:ascii="宋体" w:hAnsi="宋体" w:eastAsia="宋体" w:cs="宋体"/>
          <w:spacing w:val="1"/>
          <w:position w:val="-2"/>
          <w:sz w:val="24"/>
          <w:szCs w:val="24"/>
        </w:rPr>
        <w:t>5</w:t>
      </w:r>
      <w:r>
        <w:rPr>
          <w:rFonts w:hint="eastAsia" w:ascii="宋体" w:hAnsi="宋体" w:eastAsia="宋体" w:cs="宋体"/>
          <w:spacing w:val="1"/>
          <w:sz w:val="24"/>
          <w:szCs w:val="24"/>
        </w:rPr>
        <w:t>期。</w:t>
      </w:r>
    </w:p>
    <w:p w14:paraId="1E2566B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36"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[5]潘越、程恩富:《运用“资本市场”分配方式促进共同富</w:t>
      </w:r>
      <w:r>
        <w:rPr>
          <w:rFonts w:hint="eastAsia" w:ascii="宋体" w:hAnsi="宋体" w:eastAsia="宋体" w:cs="宋体"/>
          <w:spacing w:val="-12"/>
          <w:sz w:val="24"/>
          <w:szCs w:val="24"/>
        </w:rPr>
        <w:t>裕》,《管理学刊》2022年第</w:t>
      </w:r>
      <w:r>
        <w:rPr>
          <w:rFonts w:hint="eastAsia" w:ascii="宋体" w:hAnsi="宋体" w:eastAsia="宋体" w:cs="宋体"/>
          <w:spacing w:val="-12"/>
          <w:position w:val="-2"/>
          <w:sz w:val="24"/>
          <w:szCs w:val="24"/>
        </w:rPr>
        <w:t>4</w:t>
      </w:r>
      <w:r>
        <w:rPr>
          <w:rFonts w:hint="eastAsia" w:ascii="宋体" w:hAnsi="宋体" w:eastAsia="宋体" w:cs="宋体"/>
          <w:spacing w:val="-12"/>
          <w:sz w:val="24"/>
          <w:szCs w:val="24"/>
        </w:rPr>
        <w:t>期。</w:t>
      </w:r>
    </w:p>
    <w:p w14:paraId="24631BB2">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32"/>
          <w:lang w:val="en-US" w:eastAsia="zh-CN"/>
        </w:rPr>
      </w:pPr>
      <w:r>
        <w:rPr>
          <w:rFonts w:hint="eastAsia" w:ascii="宋体" w:hAnsi="宋体" w:eastAsia="宋体" w:cs="宋体"/>
          <w:sz w:val="24"/>
          <w:szCs w:val="32"/>
          <w:lang w:val="en-US" w:eastAsia="zh-CN"/>
        </w:rPr>
        <w:t>（原载《海派经济学》2024年第2期，第一作者为叶道良。）</w:t>
      </w:r>
    </w:p>
    <w:p w14:paraId="307D15AA">
      <w:pPr>
        <w:pStyle w:val="3"/>
        <w:bidi w:val="0"/>
      </w:pPr>
      <w:bookmarkStart w:id="552" w:name="_Toc1241902230"/>
      <w:bookmarkStart w:id="553" w:name="_Toc30407"/>
      <w:bookmarkStart w:id="554" w:name="_Toc169825132"/>
      <w:bookmarkStart w:id="555" w:name="_Toc313904438"/>
      <w:bookmarkStart w:id="556" w:name="_Toc1546954664"/>
      <w:bookmarkStart w:id="557" w:name="_Toc1632334728"/>
      <w:r>
        <w:rPr>
          <w:rFonts w:hint="eastAsia"/>
          <w:lang w:val="en-US" w:eastAsia="zh-CN"/>
        </w:rPr>
        <w:t>9</w:t>
      </w:r>
      <w:r>
        <w:rPr>
          <w:rFonts w:hint="eastAsia"/>
        </w:rPr>
        <w:t>评析美西方炒作的“中国产能过剩论”</w:t>
      </w:r>
      <w:bookmarkEnd w:id="552"/>
      <w:bookmarkEnd w:id="553"/>
      <w:bookmarkEnd w:id="554"/>
      <w:bookmarkEnd w:id="555"/>
      <w:bookmarkEnd w:id="556"/>
      <w:bookmarkEnd w:id="557"/>
    </w:p>
    <w:p w14:paraId="0781264B">
      <w:pPr>
        <w:spacing w:line="360" w:lineRule="auto"/>
        <w:ind w:firstLine="281"/>
        <w:jc w:val="center"/>
        <w:rPr>
          <w:rFonts w:ascii="宋体" w:hAnsi="宋体" w:eastAsia="宋体" w:cs="宋体"/>
          <w:b/>
          <w:bCs/>
          <w:color w:val="auto"/>
          <w:sz w:val="28"/>
          <w:szCs w:val="28"/>
        </w:rPr>
      </w:pPr>
      <w:r>
        <w:rPr>
          <w:rFonts w:hint="eastAsia" w:ascii="宋体" w:hAnsi="宋体" w:eastAsia="宋体" w:cs="宋体"/>
          <w:b/>
          <w:bCs/>
          <w:color w:val="auto"/>
          <w:sz w:val="28"/>
          <w:szCs w:val="28"/>
        </w:rPr>
        <w:t>程恩富</w:t>
      </w:r>
      <w:r>
        <w:rPr>
          <w:rStyle w:val="20"/>
          <w:rFonts w:ascii="宋体" w:hAnsi="宋体" w:eastAsia="宋体" w:cs="宋体"/>
          <w:b/>
          <w:bCs/>
          <w:color w:val="auto"/>
          <w:sz w:val="28"/>
          <w:szCs w:val="28"/>
        </w:rPr>
        <w:footnoteReference w:id="817" w:customMarkFollows="1"/>
        <w:sym w:font="Symbol" w:char="F020"/>
      </w:r>
      <w:r>
        <w:rPr>
          <w:rFonts w:hint="eastAsia" w:ascii="宋体" w:hAnsi="宋体" w:eastAsia="宋体" w:cs="宋体"/>
          <w:b/>
          <w:bCs/>
          <w:color w:val="auto"/>
          <w:sz w:val="28"/>
          <w:szCs w:val="28"/>
        </w:rPr>
        <w:t xml:space="preserve">  陈  健</w:t>
      </w:r>
    </w:p>
    <w:p w14:paraId="4CC03365">
      <w:pPr>
        <w:spacing w:line="360" w:lineRule="auto"/>
        <w:ind w:firstLine="561" w:firstLineChars="200"/>
        <w:rPr>
          <w:rFonts w:ascii="宋体" w:hAnsi="宋体" w:eastAsia="宋体" w:cs="宋体"/>
          <w:color w:val="auto"/>
          <w:sz w:val="24"/>
        </w:rPr>
      </w:pPr>
      <w:r>
        <w:rPr>
          <w:rFonts w:hint="eastAsia" w:ascii="宋体" w:hAnsi="宋体" w:eastAsia="宋体" w:cs="宋体"/>
          <w:b/>
          <w:bCs/>
          <w:color w:val="auto"/>
          <w:sz w:val="28"/>
          <w:szCs w:val="28"/>
        </w:rPr>
        <w:t xml:space="preserve">内容提要 </w:t>
      </w:r>
      <w:r>
        <w:rPr>
          <w:rFonts w:hint="eastAsia" w:ascii="宋体" w:hAnsi="宋体" w:eastAsia="宋体" w:cs="宋体"/>
          <w:color w:val="auto"/>
          <w:sz w:val="24"/>
        </w:rPr>
        <w:t>美西方炒作的“中国产能过剩论”究其实质是美西方逐渐走向衰落背景下，为了维护其自身单边利益，实施霸权主义行径的具体表现。美西方的这种霸权行径不仅从理论上违背了其一直坚持的当代西方经济学基本理论，而且也毫无任何事实根据，必将遭到国际社会的普遍谴责。同时，其危害性也是非常大的，不仅给复苏乏力的世界经济雪上加霜，阻碍了全球化进程，也必将给自身带来反噬。基于此，有必要深入揭示和批评美西方的这种行径，通过切实方案维护世界正义，促进全球化向包容普惠方向发展，建立能够代表人类整体利益的新型全球化。</w:t>
      </w:r>
    </w:p>
    <w:p w14:paraId="7E5F5835">
      <w:pPr>
        <w:spacing w:line="360" w:lineRule="auto"/>
        <w:ind w:firstLine="561" w:firstLineChars="200"/>
        <w:rPr>
          <w:rFonts w:ascii="宋体" w:hAnsi="宋体" w:eastAsia="宋体" w:cs="宋体"/>
          <w:color w:val="auto"/>
          <w:sz w:val="24"/>
        </w:rPr>
      </w:pPr>
      <w:r>
        <w:rPr>
          <w:rFonts w:hint="eastAsia" w:ascii="宋体" w:hAnsi="宋体" w:eastAsia="宋体" w:cs="宋体"/>
          <w:b/>
          <w:bCs/>
          <w:color w:val="auto"/>
          <w:sz w:val="28"/>
          <w:szCs w:val="28"/>
        </w:rPr>
        <w:t xml:space="preserve">关键词 </w:t>
      </w:r>
      <w:r>
        <w:rPr>
          <w:rFonts w:hint="eastAsia" w:ascii="宋体" w:hAnsi="宋体" w:eastAsia="宋体" w:cs="宋体"/>
          <w:color w:val="auto"/>
          <w:sz w:val="24"/>
        </w:rPr>
        <w:t>“中国产能过剩论”；美西方；新能源汽车</w:t>
      </w:r>
    </w:p>
    <w:p w14:paraId="1E1E8A2D">
      <w:pPr>
        <w:spacing w:line="360" w:lineRule="auto"/>
        <w:rPr>
          <w:rFonts w:ascii="宋体" w:hAnsi="宋体" w:eastAsia="宋体" w:cs="宋体"/>
          <w:b/>
          <w:bCs/>
          <w:color w:val="auto"/>
          <w:sz w:val="28"/>
          <w:szCs w:val="28"/>
        </w:rPr>
      </w:pPr>
      <w:r>
        <w:rPr>
          <w:rFonts w:hint="eastAsia" w:ascii="宋体" w:hAnsi="宋体" w:eastAsia="宋体" w:cs="宋体"/>
          <w:color w:val="auto"/>
          <w:sz w:val="24"/>
        </w:rPr>
        <w:t xml:space="preserve"> </w:t>
      </w:r>
    </w:p>
    <w:p w14:paraId="7625A5B2">
      <w:pPr>
        <w:spacing w:line="360" w:lineRule="auto"/>
        <w:rPr>
          <w:rFonts w:ascii="宋体" w:hAnsi="宋体" w:eastAsia="宋体" w:cs="宋体"/>
          <w:color w:val="auto"/>
          <w:sz w:val="24"/>
        </w:rPr>
      </w:pPr>
    </w:p>
    <w:p w14:paraId="4EBE0B9F">
      <w:pPr>
        <w:spacing w:line="360" w:lineRule="auto"/>
        <w:ind w:firstLine="241"/>
        <w:rPr>
          <w:rFonts w:ascii="宋体" w:hAnsi="宋体" w:eastAsia="宋体" w:cs="宋体"/>
          <w:color w:val="auto"/>
          <w:sz w:val="24"/>
        </w:rPr>
      </w:pPr>
      <w:r>
        <w:rPr>
          <w:rFonts w:hint="eastAsia" w:ascii="宋体" w:hAnsi="宋体" w:eastAsia="宋体" w:cs="宋体"/>
          <w:color w:val="auto"/>
          <w:sz w:val="24"/>
        </w:rPr>
        <w:t>美西方炒作“中国产能过剩论”，既是美西方实施保护主义等霸权主义行径的体现，也是其逐渐走向衰落的一种不自信的表现。为了深入揭示美西方的这种污名化言论，有必要从“中国产能过剩论”提出的背景、实质和危害等方面进行深入评析。</w:t>
      </w:r>
    </w:p>
    <w:p w14:paraId="41452A62">
      <w:pPr>
        <w:spacing w:line="360" w:lineRule="auto"/>
        <w:ind w:firstLine="281"/>
        <w:jc w:val="center"/>
        <w:rPr>
          <w:rFonts w:ascii="宋体" w:hAnsi="宋体" w:eastAsia="宋体" w:cs="宋体"/>
          <w:b/>
          <w:bCs/>
          <w:color w:val="auto"/>
          <w:sz w:val="28"/>
          <w:szCs w:val="28"/>
        </w:rPr>
      </w:pPr>
      <w:r>
        <w:rPr>
          <w:rFonts w:hint="eastAsia" w:ascii="宋体" w:hAnsi="宋体" w:eastAsia="宋体" w:cs="宋体"/>
          <w:b/>
          <w:bCs/>
          <w:color w:val="auto"/>
          <w:sz w:val="28"/>
          <w:szCs w:val="28"/>
        </w:rPr>
        <w:t>一、美西方炒作“中国产能过剩论”的背景</w:t>
      </w:r>
    </w:p>
    <w:p w14:paraId="3813229E">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美国财政部部长耶伦和国务卿布林肯在近期到访中国纷纷抛出“中国产能过剩论”，指责中国新能源行业存在“产能过剩”问题，并抛出一套子虚乌有的污名化理论，认为中国最终通过出口来实现充分就业，“过剩产能”扰乱了全球价格，并将美国由于自身存在的不可调和的矛盾造成的潜在风险等也归咎于所谓的“产能过剩”。如耶伦提出，中国的产业政策的支持使得电动汽车、锂离子电池和太阳能等产业的投资逐渐增加，最终导致美国和其他国家公司的生存能力将会出现问题。</w:t>
      </w:r>
      <w:r>
        <w:rPr>
          <w:rStyle w:val="20"/>
          <w:rFonts w:ascii="宋体" w:hAnsi="宋体" w:eastAsia="宋体" w:cs="宋体"/>
          <w:color w:val="auto"/>
          <w:sz w:val="24"/>
        </w:rPr>
        <w:footnoteReference w:id="818"/>
      </w:r>
      <w:r>
        <w:rPr>
          <w:rFonts w:hint="eastAsia" w:ascii="宋体" w:hAnsi="宋体" w:eastAsia="宋体" w:cs="宋体"/>
          <w:color w:val="auto"/>
          <w:sz w:val="24"/>
        </w:rPr>
        <w:t>布林肯也存在同样论调，提出中国产能过剩，仅中国生产的电动汽车等新能源产品超过100%的全球需求，造成的结果是破坏竞争，危及世界各地的生计和企业，并指出这种情况在以前发生过，结局是美国企业倒闭和工人失业，对全球市场造成潜在后果。</w:t>
      </w:r>
      <w:r>
        <w:rPr>
          <w:rStyle w:val="20"/>
          <w:rFonts w:ascii="宋体" w:hAnsi="宋体" w:eastAsia="宋体" w:cs="宋体"/>
          <w:color w:val="auto"/>
          <w:sz w:val="24"/>
        </w:rPr>
        <w:footnoteReference w:id="819"/>
      </w:r>
      <w:r>
        <w:rPr>
          <w:rFonts w:hint="eastAsia" w:ascii="宋体" w:hAnsi="宋体" w:eastAsia="宋体" w:cs="宋体"/>
          <w:color w:val="auto"/>
          <w:sz w:val="24"/>
        </w:rPr>
        <w:t>可见，所谓“中国产能过剩论”的主要论点包括如下方面：其一，中国的产业倾斜性政策支持新能源产业发展；其二，中国新能源产品超过全球市场需求；其三，中国新能源产品等给全球市场、其他国家企业发展带来潜在风险。</w:t>
      </w:r>
    </w:p>
    <w:p w14:paraId="4DBC399C">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美西方政客这种“中国产能过剩论”是站不住脚的，有客观数据和事实证明这种污名化言论是错误的。美西方之所以会有这种言论是意料之中的，因为它们一直奉行霸权主义和强权政治。当其产品具有竞争优势时，就大力倡导自由市场竞争，而当其产品不具有竞争优势时，就大行保护主义，进行污名化的遏制和掣肘。这是美西方的一贯伎俩，也违背了其信奉的当代西方经济学基本知识。</w:t>
      </w:r>
    </w:p>
    <w:p w14:paraId="512FBB5E">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美西方之所以会搞“双标”，主要在于中国已经逐渐由改革开放之初的处于全球价值链中低端逐渐向中高端攀升。在这一过程中，中国已经由原来的初级产品等半成品的加工代工向掌握关键核心技术环节发展，从而提升了中国产品在全球市场的竞争力，这就让美西方担心中国通过新能源等新质生产力的布局，影响其在全球继续获取垄断优势，于是就通过各种方式污名化中国，遏制中国发展。同时，自2008年由美国次贷危机引起的西方金融危机后，时至今日，不少美西方国家仍然经济复苏乏力，而中国经济却表现出强劲发展势头，并转向高质量发展阶段，这让它们感到恐慌，担心中国的和平崛起会造成其既得霸权利益受损，因而其通过各种举措遏制中国发展，这也是美西方抛出“中国产能过剩论”的背景。</w:t>
      </w:r>
    </w:p>
    <w:p w14:paraId="1249932D">
      <w:pPr>
        <w:spacing w:line="360" w:lineRule="auto"/>
        <w:ind w:firstLine="1401" w:firstLineChars="500"/>
        <w:rPr>
          <w:rFonts w:ascii="宋体" w:hAnsi="宋体" w:eastAsia="宋体" w:cs="宋体"/>
          <w:b/>
          <w:bCs/>
          <w:color w:val="auto"/>
          <w:sz w:val="28"/>
          <w:szCs w:val="28"/>
        </w:rPr>
      </w:pPr>
      <w:r>
        <w:rPr>
          <w:rFonts w:hint="eastAsia" w:ascii="宋体" w:hAnsi="宋体" w:eastAsia="宋体" w:cs="宋体"/>
          <w:b/>
          <w:bCs/>
          <w:color w:val="auto"/>
          <w:sz w:val="28"/>
          <w:szCs w:val="28"/>
        </w:rPr>
        <w:t>二、“中国产能过剩论”没有学理和事实依据</w:t>
      </w:r>
    </w:p>
    <w:p w14:paraId="3BC3291A">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美西方国家政客指责中国“产能过剩”，既无理论依据，也毫无事实根据，与巨大的市场需求相比，中国的产能远未过剩。</w:t>
      </w:r>
    </w:p>
    <w:p w14:paraId="3D3CDD8C">
      <w:pPr>
        <w:spacing w:line="360" w:lineRule="auto"/>
        <w:ind w:firstLine="480" w:firstLineChars="200"/>
        <w:rPr>
          <w:rFonts w:ascii="宋体" w:hAnsi="宋体" w:eastAsia="宋体" w:cs="宋体"/>
          <w:b/>
          <w:bCs/>
          <w:color w:val="auto"/>
          <w:sz w:val="24"/>
        </w:rPr>
      </w:pPr>
      <w:r>
        <w:rPr>
          <w:rFonts w:hint="eastAsia" w:ascii="宋体" w:hAnsi="宋体" w:eastAsia="宋体" w:cs="宋体"/>
          <w:b/>
          <w:bCs/>
          <w:color w:val="auto"/>
          <w:sz w:val="24"/>
        </w:rPr>
        <w:t>（一）中国产能利用率总体处于合理水平</w:t>
      </w:r>
    </w:p>
    <w:p w14:paraId="7AE297CC">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从经济学视角看，企业等市场主体根据市场需求进行生产，为了在市场竞争中获胜，获得更多的利润，会不断扩大生产规模，提高劳动生产率，降低成本和价格，由此各个国家均可能出现经济周期性波动中生产能力相对需求过剩的现象，其中适度、合理的产能过剩是必然的，是市场机制正常发挥作用的结果。</w:t>
      </w:r>
    </w:p>
    <w:p w14:paraId="3373491B">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中国在实施供给侧改革之前存在部分的“结构性过剩”，如部分低端产能过剩，而高端产能是严重不足的。按照国际通行标准，产能利用率超过90%为产能不足，79%-90%为正常水平，低于79%为产能过剩，低于75%为严重产能过剩。“通常认为，78%-82%是美国工业的长期均衡产能利用率。我国2006—2019年的产能利用率十二年平均值为77%左右。”</w:t>
      </w:r>
      <w:r>
        <w:rPr>
          <w:rFonts w:hint="eastAsia" w:ascii="宋体" w:hAnsi="宋体" w:eastAsia="宋体" w:cs="宋体"/>
          <w:color w:val="auto"/>
          <w:sz w:val="24"/>
          <w:vertAlign w:val="superscript"/>
        </w:rPr>
        <w:footnoteReference w:id="820"/>
      </w:r>
      <w:r>
        <w:rPr>
          <w:rFonts w:hint="eastAsia" w:ascii="宋体" w:hAnsi="宋体" w:eastAsia="宋体" w:cs="宋体"/>
          <w:color w:val="auto"/>
          <w:sz w:val="24"/>
        </w:rPr>
        <w:t>从数据上看，近年来，我国通过在供给侧结构性改革中淘汰落后产能等措施，不断改善工业产能利用状况，使我国工业产能利用率一直保持在合理水平，与世界主要经济体的平均水平较接近，因而我国总体上不存在产能过剩问题，尤其是在新能源领域。中国在新能源方面的供给远未达到世界对新能源产品的需求，而且当前中国新能源产品主要是用于国内需求，相关数据显示：“作为世界第一大新能源汽车产销国，中国去年生产了958.7万辆新能源汽车，出口120.3万辆，近90%的产能都在满足国内需求，这意味着能够用于出口的产能依然很稀缺。”</w:t>
      </w:r>
      <w:r>
        <w:rPr>
          <w:rStyle w:val="20"/>
          <w:rFonts w:ascii="宋体" w:hAnsi="宋体" w:eastAsia="宋体" w:cs="宋体"/>
          <w:color w:val="auto"/>
          <w:sz w:val="24"/>
        </w:rPr>
        <w:footnoteReference w:id="821"/>
      </w:r>
    </w:p>
    <w:p w14:paraId="1B19F77C">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中国新能源产业的发展，不仅是为了应对全球气候变化，推动全球绿色低碳转型发展的现实需要，也是符合经济规律与市场原则的部署。中国新能源产业持续提供可负担的优质产能，对全球绿色可持续发展作出重要贡献。目前，中国的产品在世界市场上拥有绝对优势，尤其是以新能源产业为代表的强大制造业不断发展，促进了全球产业链、供应链的稳定，并且中国企业出口符合各国发展需求的产品，以及在国外的直接投资，不仅丰富了国际市场的产品供给，为世界经济发展带来新增量，同时也推动了全球制造业产业转型升级，促进各国投资、就业和经济增长，有助于缓解全球通胀压力。中国的优质产能为各国消费者提供了高性价比商品，尤其是中国新能源企业出口的产品，具有高质量、高效能、高性价比的特点，凭借持续的技术创新、完善的产供链体系和充分的市场竞争，获得了各国消费者的青睐，也自然无可厚非。</w:t>
      </w:r>
    </w:p>
    <w:p w14:paraId="72A60BB6">
      <w:pPr>
        <w:spacing w:line="360" w:lineRule="auto"/>
        <w:ind w:firstLine="480" w:firstLineChars="200"/>
        <w:rPr>
          <w:rFonts w:ascii="宋体" w:hAnsi="宋体" w:eastAsia="宋体" w:cs="宋体"/>
          <w:b/>
          <w:bCs/>
          <w:color w:val="auto"/>
          <w:sz w:val="24"/>
        </w:rPr>
      </w:pPr>
      <w:r>
        <w:rPr>
          <w:rFonts w:hint="eastAsia" w:ascii="宋体" w:hAnsi="宋体" w:eastAsia="宋体" w:cs="宋体"/>
          <w:b/>
          <w:bCs/>
          <w:color w:val="auto"/>
          <w:sz w:val="24"/>
        </w:rPr>
        <w:t>（二）中国的新能源汽车出口符合市场经济发展规律</w:t>
      </w:r>
    </w:p>
    <w:p w14:paraId="0D12AF52">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产能是否过剩，不仅要看国内需求，也要看国际需求，正如中国外交部发言人毛宁强调：“在全球化的背景下判断产能是否过剩，要从全球市场需求和未来发展潜力来看，供需平衡是相对的，不平衡往往是常态。解决这些问题主要还要依靠市场按照价值规律进行调节。将产能等经贸问题泛政治化、泛安全化，违背经济规律，不利于本国产业，也不利于世界经济稳定发展。”</w:t>
      </w:r>
      <w:r>
        <w:rPr>
          <w:rFonts w:hint="eastAsia" w:ascii="宋体" w:hAnsi="宋体" w:eastAsia="宋体" w:cs="宋体"/>
          <w:color w:val="auto"/>
          <w:sz w:val="24"/>
          <w:vertAlign w:val="superscript"/>
        </w:rPr>
        <w:footnoteReference w:id="822"/>
      </w:r>
      <w:r>
        <w:rPr>
          <w:rFonts w:hint="eastAsia" w:ascii="宋体" w:hAnsi="宋体" w:eastAsia="宋体" w:cs="宋体"/>
          <w:color w:val="auto"/>
          <w:sz w:val="24"/>
        </w:rPr>
        <w:t>根据国际能源署测算的相关数据显示，全球新能源汽车的需求量到2030年将高达4500万辆，从全球销量看为2023年的3倍多，从产量看为2023年中国产量的近5倍；全球动力电池需求量到2030年也将达到3500GWh，为2023年全球出货量的4倍多，是2023年中国产量的5倍多。</w:t>
      </w:r>
      <w:r>
        <w:rPr>
          <w:rStyle w:val="20"/>
          <w:rFonts w:ascii="宋体" w:hAnsi="宋体" w:eastAsia="宋体" w:cs="宋体"/>
          <w:color w:val="auto"/>
          <w:sz w:val="24"/>
        </w:rPr>
        <w:footnoteReference w:id="823"/>
      </w:r>
      <w:r>
        <w:rPr>
          <w:rFonts w:hint="eastAsia" w:ascii="宋体" w:hAnsi="宋体" w:eastAsia="宋体" w:cs="宋体"/>
          <w:color w:val="auto"/>
          <w:sz w:val="24"/>
        </w:rPr>
        <w:t>可见，未来的新能源市场仍存在巨大的增量空间和市场需求，并未面临产能过剩问题，反而是产能缺口，并且中国新能源汽车出口占生产的比例远低于德国、日本、韩国等主要汽车生产国，出口价格也符合市场规律。一定程度上看，中国新能源汽车产业的发展将会对全球汽车产业带来利好，我国拥有开放包容且增长潜力大的超大规模市场优势，不仅能为车用操作系统提供丰富应用场景和持续迭代机会，重构全球汽车产业链，还有助于促进新能源汽车产业高质量发展，通过技术创新和成本优势推动全球新能源汽车市场的竞争与进步。例如，奇瑞汽车将在西班牙巴塞罗那设立合资企业，与当地合作开发电动汽车新产品，比亚迪的最新财报也表示将在墨西哥设立工厂。而且中国新能源汽车出口并没有像美西方政客炒作的那样会对世界市场造成破坏，最新数据显示：“今年一季度，我国新能源汽车出口量同比增长23.8%。高端智能绿色的新能源汽车适销对路，充分表明所谓‘中国产能过剩冲击世界市场’完全是伪命题。”</w:t>
      </w:r>
      <w:r>
        <w:rPr>
          <w:rStyle w:val="20"/>
          <w:rFonts w:ascii="宋体" w:hAnsi="宋体" w:eastAsia="宋体" w:cs="宋体"/>
          <w:color w:val="auto"/>
          <w:sz w:val="24"/>
        </w:rPr>
        <w:footnoteReference w:id="824"/>
      </w:r>
    </w:p>
    <w:p w14:paraId="54211C02">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此外，美国极力指责我国新能源汽车“产能过剩”，然而我们可以来看一组数据对比，通常情况下汽车的产能利用率在70%至90%之间是合理的区间，2023年中国比亚迪集团、上汽集团等产能利用率在80%左右，相比之下，韩国现代汽车的产能利用率仅为23%，起亚汽车的产能利用率仅为25%。</w:t>
      </w:r>
      <w:r>
        <w:rPr>
          <w:rStyle w:val="20"/>
          <w:rFonts w:hint="eastAsia" w:ascii="宋体" w:hAnsi="宋体" w:eastAsia="宋体" w:cs="宋体"/>
          <w:color w:val="auto"/>
          <w:sz w:val="24"/>
        </w:rPr>
        <w:footnoteReference w:id="825"/>
      </w:r>
      <w:r>
        <w:rPr>
          <w:rFonts w:hint="eastAsia" w:ascii="宋体" w:hAnsi="宋体" w:eastAsia="宋体" w:cs="宋体"/>
          <w:color w:val="auto"/>
          <w:sz w:val="24"/>
        </w:rPr>
        <w:t>美欧炒作中国电动汽车产业产能过剩，还往往将未投产的规划产能视为实际产能。日本汽车问题专家汤进指出，如果研究中国电动汽车市场，就会知道那些指责中国汽车靠补贴占领全球市场的言论站不住脚，他还表示，中国市场是全球竞争最激烈的市场，在优胜劣汰中培育出在全球范围内具有竞争力的产业链供应链，这是中国新能源汽车能够以性价比取胜的最大原因。</w:t>
      </w:r>
      <w:r>
        <w:rPr>
          <w:rStyle w:val="20"/>
          <w:rFonts w:ascii="宋体" w:hAnsi="宋体" w:eastAsia="宋体" w:cs="宋体"/>
          <w:color w:val="auto"/>
          <w:sz w:val="24"/>
        </w:rPr>
        <w:footnoteReference w:id="826"/>
      </w:r>
      <w:r>
        <w:rPr>
          <w:rFonts w:hint="eastAsia" w:ascii="宋体" w:hAnsi="宋体" w:eastAsia="宋体" w:cs="宋体"/>
          <w:color w:val="auto"/>
          <w:sz w:val="24"/>
        </w:rPr>
        <w:t>针对美西方渲染的“中国产能过剩论”，</w:t>
      </w:r>
      <w:r>
        <w:rPr>
          <w:rFonts w:ascii="宋体" w:hAnsi="宋体" w:eastAsia="宋体" w:cs="宋体"/>
          <w:color w:val="auto"/>
          <w:sz w:val="24"/>
        </w:rPr>
        <w:t>BI</w:t>
      </w:r>
      <w:r>
        <w:rPr>
          <w:rFonts w:hint="eastAsia" w:ascii="宋体" w:hAnsi="宋体" w:eastAsia="宋体" w:cs="宋体"/>
          <w:color w:val="auto"/>
          <w:sz w:val="24"/>
        </w:rPr>
        <w:t>挪威商学院战略教授卡尔·费也进行了驳斥，他认为中国新能源产品为全球绿色低碳转型贡献巨大，尤其是中国生产的太阳能和电动汽车产品，为广大发展中国家带来了实实在在的好处，藏在所谓“中国产能过剩论”说辞背后的是贸易保护主义。</w:t>
      </w:r>
      <w:r>
        <w:rPr>
          <w:rStyle w:val="20"/>
          <w:rFonts w:ascii="宋体" w:hAnsi="宋体" w:eastAsia="宋体" w:cs="宋体"/>
          <w:color w:val="auto"/>
          <w:sz w:val="24"/>
        </w:rPr>
        <w:footnoteReference w:id="827"/>
      </w:r>
      <w:r>
        <w:rPr>
          <w:rFonts w:hint="eastAsia" w:ascii="宋体" w:hAnsi="宋体" w:eastAsia="宋体" w:cs="宋体"/>
          <w:color w:val="auto"/>
          <w:sz w:val="24"/>
        </w:rPr>
        <w:t>卡尔·费教授指出，对比中国出口的电动汽车在国内的售价和在欧洲的售价，会发现这些车在欧洲的售价要比在中国国内高出40%左右，从中看出这肯定不是倾销，否则售价应该低得多。</w:t>
      </w:r>
      <w:r>
        <w:rPr>
          <w:rStyle w:val="20"/>
          <w:rFonts w:ascii="宋体" w:hAnsi="宋体" w:eastAsia="宋体" w:cs="宋体"/>
          <w:color w:val="auto"/>
          <w:sz w:val="24"/>
        </w:rPr>
        <w:footnoteReference w:id="828"/>
      </w:r>
      <w:r>
        <w:rPr>
          <w:rFonts w:hint="eastAsia" w:ascii="宋体" w:hAnsi="宋体" w:eastAsia="宋体" w:cs="宋体"/>
          <w:color w:val="auto"/>
          <w:sz w:val="24"/>
        </w:rPr>
        <w:t>因此，那种中国“产能过剩”只有通过低价销售到国外的错误论调是站不住脚的，也违背了美西方信奉的当代西方经济学常识，即各国依据要素禀赋等形成的不同比较优势，使得各国之间互通有无、进行分工合作成为可能，这是基本的产业国际分工合作规律。美国一直是出口大国，如其高端芯片80%用于出口，其农产品五分之一销往中国，美国从未承认、中国也从未指责其“产能过剩”，</w:t>
      </w:r>
      <w:r>
        <w:rPr>
          <w:rStyle w:val="20"/>
          <w:rFonts w:ascii="宋体" w:hAnsi="宋体" w:eastAsia="宋体" w:cs="宋体"/>
          <w:color w:val="auto"/>
          <w:sz w:val="24"/>
        </w:rPr>
        <w:footnoteReference w:id="829"/>
      </w:r>
      <w:r>
        <w:rPr>
          <w:rFonts w:hint="eastAsia" w:ascii="宋体" w:hAnsi="宋体" w:eastAsia="宋体" w:cs="宋体"/>
          <w:color w:val="auto"/>
          <w:sz w:val="24"/>
        </w:rPr>
        <w:t>这表明“双标”逻辑往往是美国实施霸权霸道的一贯用法。</w:t>
      </w:r>
    </w:p>
    <w:p w14:paraId="13050AB0">
      <w:pPr>
        <w:spacing w:line="360" w:lineRule="auto"/>
        <w:ind w:firstLine="480" w:firstLineChars="200"/>
        <w:rPr>
          <w:rFonts w:ascii="宋体" w:hAnsi="宋体" w:eastAsia="宋体" w:cs="宋体"/>
          <w:b/>
          <w:bCs/>
          <w:color w:val="auto"/>
          <w:sz w:val="24"/>
        </w:rPr>
      </w:pPr>
      <w:r>
        <w:rPr>
          <w:rFonts w:hint="eastAsia" w:ascii="宋体" w:hAnsi="宋体" w:eastAsia="宋体" w:cs="宋体"/>
          <w:b/>
          <w:bCs/>
          <w:color w:val="auto"/>
          <w:sz w:val="24"/>
        </w:rPr>
        <w:t>（三）</w:t>
      </w:r>
      <w:r>
        <w:rPr>
          <w:rFonts w:hint="eastAsia"/>
          <w:b/>
          <w:bCs/>
          <w:color w:val="auto"/>
          <w:sz w:val="24"/>
        </w:rPr>
        <w:t>中国在若干领域的出口优势是充分竞争的结果</w:t>
      </w:r>
    </w:p>
    <w:p w14:paraId="20D66655">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首先，在当前全球汽车电动化转型进入加速阶段，各国均加大向新能源汽车产业转型的补贴和投资力度。例如，欧洲议会批准自2035起，在欧盟境内停止销售新的燃油车和混合动力汽车，并加大对清洁能源汽车和基础设施建设的投资额度，西班牙计划在汽车芯片、基础设施和动力电池等13个前沿专项领域投资超过118亿欧元；美国提出对新能源汽车单车提供7500美元的税收抵免，取消此前针对汽车制造商20万辆补贴上限的限制；日本宣布到2035年实现100%新能源汽车渗透率目标。</w:t>
      </w:r>
      <w:r>
        <w:rPr>
          <w:rStyle w:val="20"/>
          <w:rFonts w:hint="eastAsia" w:ascii="宋体" w:hAnsi="宋体" w:eastAsia="宋体" w:cs="宋体"/>
          <w:color w:val="auto"/>
          <w:sz w:val="24"/>
        </w:rPr>
        <w:footnoteReference w:id="830"/>
      </w:r>
      <w:r>
        <w:rPr>
          <w:rFonts w:hint="eastAsia" w:ascii="宋体" w:hAnsi="宋体" w:eastAsia="宋体" w:cs="宋体"/>
          <w:color w:val="auto"/>
          <w:sz w:val="24"/>
        </w:rPr>
        <w:t>美国甚至出台相关法律对新能源产业提供大幅补贴，如美国出台了《基础设施和就业法案》为支持汽车充电设施建设提供75亿美元资金支持。</w:t>
      </w:r>
      <w:r>
        <w:rPr>
          <w:rStyle w:val="20"/>
          <w:rFonts w:ascii="宋体" w:hAnsi="宋体" w:eastAsia="宋体" w:cs="宋体"/>
          <w:color w:val="auto"/>
          <w:sz w:val="24"/>
        </w:rPr>
        <w:footnoteReference w:id="831"/>
      </w:r>
      <w:r>
        <w:rPr>
          <w:rFonts w:hint="eastAsia" w:ascii="宋体" w:hAnsi="宋体" w:eastAsia="宋体" w:cs="宋体"/>
          <w:color w:val="auto"/>
          <w:sz w:val="24"/>
        </w:rPr>
        <w:t>同时，摩根士丹利中国首席经济学家邢自强也认为，美国这种刻意针对中国的产业政策，并且暗示中国的竞争优势是靠政府补贴，这是带有偏见的，许多国家正在通过政府补贴和相应产业政策促进战略性产业和生产力的发展。如美国总统拜登签署了《通胀削减法案》，这是该国有史以来对清洁能源和气候行动的最大投资，白宫已为先进半导体制造业提供数亿美元的补贴。</w:t>
      </w:r>
    </w:p>
    <w:p w14:paraId="7003C729">
      <w:pPr>
        <w:spacing w:line="360" w:lineRule="auto"/>
        <w:ind w:firstLine="480" w:firstLineChars="200"/>
        <w:rPr>
          <w:color w:val="auto"/>
          <w:sz w:val="24"/>
        </w:rPr>
      </w:pPr>
      <w:r>
        <w:rPr>
          <w:rFonts w:hint="eastAsia" w:ascii="宋体" w:hAnsi="宋体" w:eastAsia="宋体" w:cs="宋体"/>
          <w:color w:val="auto"/>
          <w:sz w:val="24"/>
        </w:rPr>
        <w:t>其次，随着我国新能源汽车产品技术始终保持较高水平，国际竞争力进一步提升，中国新能源汽车出口数量在全球市场份额大幅增长自然无可非议，中国品牌在欧洲、中东、东南亚等地市场份额大幅提升，成为绿色化、智能化、高品质、个性化和便利适用车型的代表，中国品牌有技术自信、市场自信还有产品自信，得到国际市场的认可。根据中国汽车工业协会发布的数据显示，2023年，我国汽车产销量双超3000万辆，累计分别完成3016.1万辆和3009.4万辆，同比分别增长11.6%和12%，产销总量连续15年居全球第一。其中，新能源汽车产销分别完成958.7万辆和949.5万辆，同比分别增长35.8%和37.9%。</w:t>
      </w:r>
      <w:r>
        <w:rPr>
          <w:rStyle w:val="20"/>
          <w:rFonts w:hint="eastAsia" w:ascii="宋体" w:hAnsi="宋体" w:eastAsia="宋体" w:cs="宋体"/>
          <w:color w:val="auto"/>
          <w:sz w:val="24"/>
        </w:rPr>
        <w:footnoteReference w:id="832"/>
      </w:r>
      <w:r>
        <w:rPr>
          <w:rFonts w:hint="eastAsia" w:ascii="宋体" w:hAnsi="宋体" w:eastAsia="宋体" w:cs="宋体"/>
          <w:color w:val="auto"/>
          <w:sz w:val="24"/>
        </w:rPr>
        <w:t>而根据海关总署发布的数据显示，我国新能源汽车出口均价从2021年的1.95万美元，提升到2023年的2.38万美元。</w:t>
      </w:r>
      <w:r>
        <w:rPr>
          <w:rStyle w:val="20"/>
          <w:rFonts w:hint="eastAsia" w:ascii="宋体" w:hAnsi="宋体" w:eastAsia="宋体" w:cs="宋体"/>
          <w:color w:val="auto"/>
          <w:sz w:val="24"/>
        </w:rPr>
        <w:footnoteReference w:id="833"/>
      </w:r>
      <w:r>
        <w:rPr>
          <w:rFonts w:hint="eastAsia" w:ascii="宋体" w:hAnsi="宋体" w:eastAsia="宋体" w:cs="宋体"/>
          <w:color w:val="auto"/>
          <w:sz w:val="24"/>
        </w:rPr>
        <w:t>在国际市场中，我国新能源汽车在性价比上具有绝对优势，这些数据充分反映了我国汽车企业的品牌价值开始得到认可，而并不是西方国家所炒作的中国新能源行业存在的“过剩产能”正以低价倾销海外，扰乱市场秩序。对此，</w:t>
      </w:r>
      <w:r>
        <w:rPr>
          <w:color w:val="auto"/>
          <w:sz w:val="24"/>
        </w:rPr>
        <w:t>外交部北美大洋洲司司长杨涛</w:t>
      </w:r>
      <w:r>
        <w:rPr>
          <w:rFonts w:hint="eastAsia"/>
          <w:color w:val="auto"/>
          <w:sz w:val="24"/>
        </w:rPr>
        <w:t>也回应，中国在新能源汽车、锂电池、光伏产品等领域的优势，不是中国政府补贴的产物，而是全球市场需求、技术创新、充分竞争的结果。</w:t>
      </w:r>
      <w:r>
        <w:rPr>
          <w:rStyle w:val="20"/>
          <w:color w:val="auto"/>
          <w:sz w:val="24"/>
        </w:rPr>
        <w:footnoteReference w:id="834"/>
      </w:r>
      <w:r>
        <w:rPr>
          <w:rFonts w:hint="eastAsia"/>
          <w:color w:val="auto"/>
          <w:sz w:val="24"/>
        </w:rPr>
        <w:t>中国优质新能源产品为各国加快绿色转型、应对气候变化、缓解通胀压力作出了重要贡献。</w:t>
      </w:r>
    </w:p>
    <w:p w14:paraId="3B2F0B97">
      <w:pPr>
        <w:tabs>
          <w:tab w:val="left" w:pos="312"/>
        </w:tabs>
        <w:spacing w:line="360" w:lineRule="auto"/>
        <w:ind w:firstLine="480" w:firstLineChars="200"/>
        <w:rPr>
          <w:rFonts w:ascii="宋体" w:hAnsi="宋体" w:eastAsia="宋体" w:cs="宋体"/>
          <w:b/>
          <w:bCs/>
          <w:color w:val="auto"/>
          <w:sz w:val="24"/>
        </w:rPr>
      </w:pPr>
      <w:r>
        <w:rPr>
          <w:rFonts w:hint="eastAsia" w:ascii="宋体" w:hAnsi="宋体" w:eastAsia="宋体" w:cs="宋体"/>
          <w:b/>
          <w:bCs/>
          <w:color w:val="auto"/>
          <w:sz w:val="24"/>
        </w:rPr>
        <w:t>（四）中国出口的优质产能让全球受益</w:t>
      </w:r>
    </w:p>
    <w:p w14:paraId="60625DC1">
      <w:pPr>
        <w:spacing w:line="360" w:lineRule="auto"/>
        <w:ind w:firstLine="480" w:firstLineChars="200"/>
        <w:rPr>
          <w:color w:val="auto"/>
          <w:sz w:val="24"/>
        </w:rPr>
      </w:pPr>
      <w:r>
        <w:rPr>
          <w:rFonts w:hint="eastAsia" w:ascii="宋体" w:hAnsi="宋体" w:eastAsia="宋体" w:cs="宋体"/>
          <w:color w:val="auto"/>
          <w:sz w:val="24"/>
        </w:rPr>
        <w:t>中国的绿色技术、绿色产品，不仅是应对气候变化的需要，也有效缓解了各国的能源危机，推动全球绿色低碳转型，为世界经济发展增添了动力。例如，中国贡献了全球大约80%的太阳能电池产能以及全球大约80%的电动汽车电池产能；</w:t>
      </w:r>
      <w:r>
        <w:rPr>
          <w:rStyle w:val="20"/>
          <w:rFonts w:hint="eastAsia" w:ascii="宋体" w:hAnsi="宋体" w:eastAsia="宋体" w:cs="宋体"/>
          <w:color w:val="auto"/>
          <w:sz w:val="24"/>
        </w:rPr>
        <w:footnoteReference w:id="835"/>
      </w:r>
      <w:r>
        <w:rPr>
          <w:rFonts w:hint="eastAsia" w:ascii="宋体" w:hAnsi="宋体" w:eastAsia="宋体" w:cs="宋体"/>
          <w:color w:val="auto"/>
          <w:sz w:val="24"/>
        </w:rPr>
        <w:t>“中国风电、光伏产品已出口到全球200多个国家和地区，2023年中国新能源汽车出口120.3万辆、同比增长77.6%，更多国家民众享受到中国新能源产品带来的便利和好处。”“2023年全球可再生能源新增装机容量5.1亿千瓦，中国贡献超过一半；中国出口的风电、光伏产品2022年为相关国家和地区减排二氧化碳约5.73亿吨，加上中国国内的减排量约22.6亿吨，合计约占全球同期可再生能源折算碳减排量的41%”。</w:t>
      </w:r>
      <w:r>
        <w:rPr>
          <w:rFonts w:hint="eastAsia" w:ascii="宋体" w:hAnsi="宋体" w:eastAsia="宋体" w:cs="宋体"/>
          <w:color w:val="auto"/>
          <w:sz w:val="24"/>
          <w:vertAlign w:val="superscript"/>
        </w:rPr>
        <w:footnoteReference w:id="836"/>
      </w:r>
      <w:r>
        <w:rPr>
          <w:rFonts w:hint="eastAsia" w:ascii="宋体" w:hAnsi="宋体" w:eastAsia="宋体" w:cs="宋体"/>
          <w:color w:val="auto"/>
          <w:sz w:val="24"/>
        </w:rPr>
        <w:t>中国在推动全球绿色低碳转型发展方面作出的贡献也得到国际组织的认可，“正如国际能源署署长法提赫·比罗尔所说，中国向其他国家提供相关服务和支持，显著提升了清洁能源技术的可及性，降低了全球使用绿色技术的成本。”</w:t>
      </w:r>
      <w:r>
        <w:rPr>
          <w:rStyle w:val="20"/>
          <w:rFonts w:ascii="宋体" w:hAnsi="宋体" w:eastAsia="宋体" w:cs="宋体"/>
          <w:color w:val="auto"/>
          <w:sz w:val="24"/>
        </w:rPr>
        <w:footnoteReference w:id="837"/>
      </w:r>
      <w:r>
        <w:rPr>
          <w:rFonts w:hint="eastAsia" w:ascii="宋体" w:hAnsi="宋体" w:eastAsia="宋体" w:cs="宋体"/>
          <w:color w:val="auto"/>
          <w:sz w:val="24"/>
        </w:rPr>
        <w:t>尤其是中国通过“一带一路”等具体国际合作平台，加快产能合作等，为世界经济的复苏发展发挥了重要作用。因此，美西方指责“一带一路”是污染产业转移和产能过剩的转移等，完全是无稽之谈，荒谬至极，这也表明美西方一贯用这种毫无事实依据的污名化中国的伎俩。</w:t>
      </w:r>
    </w:p>
    <w:p w14:paraId="488240A5">
      <w:pPr>
        <w:spacing w:line="360" w:lineRule="auto"/>
        <w:ind w:firstLine="1121" w:firstLineChars="400"/>
        <w:rPr>
          <w:rFonts w:ascii="宋体" w:hAnsi="宋体" w:eastAsia="宋体" w:cs="宋体"/>
          <w:b/>
          <w:bCs/>
          <w:color w:val="auto"/>
          <w:sz w:val="28"/>
          <w:szCs w:val="28"/>
        </w:rPr>
      </w:pPr>
      <w:r>
        <w:rPr>
          <w:rFonts w:hint="eastAsia" w:ascii="宋体" w:hAnsi="宋体" w:eastAsia="宋体" w:cs="宋体"/>
          <w:b/>
          <w:bCs/>
          <w:color w:val="auto"/>
          <w:sz w:val="28"/>
          <w:szCs w:val="28"/>
        </w:rPr>
        <w:t>三、宣扬“中国产能过剩论”的实质和危害</w:t>
      </w:r>
    </w:p>
    <w:p w14:paraId="12775B38">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近期，美国持续炒作中国“产能过剩”，意欲何为？不过是中美博弈中美西方不自信的污名化表现，其意图不难发现。</w:t>
      </w:r>
    </w:p>
    <w:p w14:paraId="121F6BD5">
      <w:pPr>
        <w:spacing w:line="360" w:lineRule="auto"/>
        <w:ind w:firstLine="240" w:firstLineChars="100"/>
        <w:rPr>
          <w:rFonts w:ascii="宋体" w:hAnsi="宋体" w:eastAsia="宋体" w:cs="宋体"/>
          <w:b/>
          <w:bCs/>
          <w:color w:val="auto"/>
          <w:sz w:val="24"/>
        </w:rPr>
      </w:pPr>
      <w:r>
        <w:rPr>
          <w:rFonts w:hint="eastAsia" w:ascii="宋体" w:hAnsi="宋体" w:eastAsia="宋体" w:cs="宋体"/>
          <w:b/>
          <w:bCs/>
          <w:color w:val="auto"/>
          <w:sz w:val="24"/>
        </w:rPr>
        <w:t>（一）美西方宣扬“中国产能过剩论”的实质</w:t>
      </w:r>
    </w:p>
    <w:p w14:paraId="3D1E49F2">
      <w:pPr>
        <w:spacing w:line="360" w:lineRule="auto"/>
        <w:ind w:firstLine="480" w:firstLineChars="200"/>
        <w:rPr>
          <w:color w:val="auto"/>
          <w:sz w:val="24"/>
        </w:rPr>
      </w:pPr>
      <w:r>
        <w:rPr>
          <w:rFonts w:hint="eastAsia" w:ascii="宋体" w:hAnsi="宋体" w:eastAsia="宋体" w:cs="宋体"/>
          <w:color w:val="auto"/>
          <w:sz w:val="24"/>
        </w:rPr>
        <w:t>1.“中国产能过剩论”是</w:t>
      </w:r>
      <w:r>
        <w:rPr>
          <w:rFonts w:hint="eastAsia"/>
          <w:color w:val="auto"/>
          <w:sz w:val="24"/>
        </w:rPr>
        <w:t>美国服务政治选举的需要</w:t>
      </w:r>
    </w:p>
    <w:p w14:paraId="146C3C10">
      <w:pPr>
        <w:spacing w:line="360" w:lineRule="auto"/>
        <w:ind w:firstLine="480" w:firstLineChars="200"/>
        <w:rPr>
          <w:color w:val="auto"/>
          <w:sz w:val="24"/>
          <w:u w:val="single"/>
        </w:rPr>
      </w:pPr>
      <w:r>
        <w:rPr>
          <w:rFonts w:hint="eastAsia"/>
          <w:color w:val="auto"/>
          <w:sz w:val="24"/>
        </w:rPr>
        <w:t>众所周知，今年作为美国的大选年，美国政客极力渲染中国的产能过剩与贸易不平衡，急于将“中国产能过剩”炒作成为一个全球性问题，目的是要在大选年里转移国内矛盾，吸引眼球，赢得更多选票，从而实现继续压榨剥削国内普通百姓、掠夺国际剩余价值的目的。例如，拜登在以汽车产业为重点的密歇根州宣告将对中国的电动汽车收高关税，而在以钢铁行业为关键的宾夕法尼亚州称要对中国的钢和铝收高关税，其目的显而易见，不过是为了取悦和讨好选民群体，获取在这些州的选举胜利，这也表明美西方所具有的与生俱来的资本主义私有制的本性没有变，也不可能变，只要有利可图，其必然会毫无底线，不顾其国内普通百姓和世界人民的福祉，实施系列霸权主义行径。</w:t>
      </w:r>
    </w:p>
    <w:p w14:paraId="0AF7E06B">
      <w:pPr>
        <w:spacing w:line="360" w:lineRule="auto"/>
        <w:ind w:firstLine="480" w:firstLineChars="200"/>
        <w:jc w:val="left"/>
        <w:rPr>
          <w:rFonts w:ascii="宋体" w:hAnsi="宋体" w:eastAsia="宋体" w:cs="宋体"/>
          <w:color w:val="auto"/>
          <w:sz w:val="24"/>
        </w:rPr>
      </w:pPr>
      <w:r>
        <w:rPr>
          <w:rFonts w:hint="eastAsia" w:ascii="宋体" w:hAnsi="宋体" w:eastAsia="宋体" w:cs="宋体"/>
          <w:color w:val="auto"/>
          <w:sz w:val="24"/>
        </w:rPr>
        <w:t>2.“中国产能过剩论”</w:t>
      </w:r>
      <w:r>
        <w:rPr>
          <w:rFonts w:ascii="宋体" w:hAnsi="宋体" w:eastAsia="宋体" w:cs="宋体"/>
          <w:color w:val="auto"/>
          <w:sz w:val="24"/>
        </w:rPr>
        <w:t>是</w:t>
      </w:r>
      <w:r>
        <w:rPr>
          <w:rFonts w:hint="eastAsia" w:ascii="宋体" w:hAnsi="宋体" w:eastAsia="宋体" w:cs="宋体"/>
          <w:color w:val="auto"/>
          <w:sz w:val="24"/>
        </w:rPr>
        <w:t>遏制</w:t>
      </w:r>
      <w:r>
        <w:rPr>
          <w:rFonts w:ascii="宋体" w:hAnsi="宋体" w:eastAsia="宋体" w:cs="宋体"/>
          <w:color w:val="auto"/>
          <w:sz w:val="24"/>
        </w:rPr>
        <w:t>中国</w:t>
      </w:r>
      <w:r>
        <w:rPr>
          <w:rFonts w:hint="eastAsia" w:ascii="宋体" w:hAnsi="宋体" w:eastAsia="宋体" w:cs="宋体"/>
          <w:color w:val="auto"/>
          <w:sz w:val="24"/>
        </w:rPr>
        <w:t>和</w:t>
      </w:r>
      <w:r>
        <w:rPr>
          <w:rFonts w:ascii="宋体" w:hAnsi="宋体" w:eastAsia="宋体" w:cs="宋体"/>
          <w:color w:val="auto"/>
          <w:sz w:val="24"/>
        </w:rPr>
        <w:t>维护</w:t>
      </w:r>
      <w:r>
        <w:rPr>
          <w:rFonts w:hint="eastAsia" w:ascii="宋体" w:hAnsi="宋体" w:eastAsia="宋体" w:cs="宋体"/>
          <w:color w:val="auto"/>
          <w:sz w:val="24"/>
        </w:rPr>
        <w:t>美国在</w:t>
      </w:r>
      <w:r>
        <w:rPr>
          <w:rFonts w:ascii="宋体" w:hAnsi="宋体" w:eastAsia="宋体" w:cs="宋体"/>
          <w:color w:val="auto"/>
          <w:sz w:val="24"/>
        </w:rPr>
        <w:t>全球市场</w:t>
      </w:r>
      <w:r>
        <w:rPr>
          <w:rFonts w:hint="eastAsia" w:ascii="宋体" w:hAnsi="宋体" w:eastAsia="宋体" w:cs="宋体"/>
          <w:color w:val="auto"/>
          <w:sz w:val="24"/>
        </w:rPr>
        <w:t>支配</w:t>
      </w:r>
      <w:r>
        <w:rPr>
          <w:rFonts w:ascii="宋体" w:hAnsi="宋体" w:eastAsia="宋体" w:cs="宋体"/>
          <w:color w:val="auto"/>
          <w:sz w:val="24"/>
        </w:rPr>
        <w:t>地位</w:t>
      </w:r>
      <w:r>
        <w:rPr>
          <w:rFonts w:hint="eastAsia" w:ascii="宋体" w:hAnsi="宋体" w:eastAsia="宋体" w:cs="宋体"/>
          <w:color w:val="auto"/>
          <w:sz w:val="24"/>
        </w:rPr>
        <w:t>的需要</w:t>
      </w:r>
    </w:p>
    <w:p w14:paraId="08DB4C6F">
      <w:pPr>
        <w:spacing w:line="360" w:lineRule="auto"/>
        <w:ind w:firstLine="480" w:firstLineChars="200"/>
        <w:jc w:val="left"/>
        <w:rPr>
          <w:rFonts w:ascii="宋体" w:hAnsi="宋体" w:eastAsia="宋体" w:cs="宋体"/>
          <w:color w:val="auto"/>
          <w:sz w:val="24"/>
        </w:rPr>
      </w:pPr>
      <w:r>
        <w:rPr>
          <w:rFonts w:hint="eastAsia" w:ascii="宋体" w:hAnsi="宋体" w:eastAsia="宋体" w:cs="宋体"/>
          <w:color w:val="auto"/>
          <w:sz w:val="24"/>
        </w:rPr>
        <w:t>当前，</w:t>
      </w:r>
      <w:r>
        <w:rPr>
          <w:rFonts w:ascii="宋体" w:hAnsi="宋体" w:eastAsia="宋体" w:cs="宋体"/>
          <w:color w:val="auto"/>
          <w:sz w:val="24"/>
        </w:rPr>
        <w:t>以中国为代表的新兴经济体迅速崛起，对以美国为首的西方大国的霸权地位造成了冲击</w:t>
      </w:r>
      <w:r>
        <w:rPr>
          <w:rFonts w:hint="eastAsia" w:ascii="宋体" w:hAnsi="宋体" w:eastAsia="宋体" w:cs="宋体"/>
          <w:color w:val="auto"/>
          <w:sz w:val="24"/>
        </w:rPr>
        <w:t>。</w:t>
      </w:r>
      <w:r>
        <w:rPr>
          <w:rFonts w:ascii="宋体" w:hAnsi="宋体" w:eastAsia="宋体" w:cs="宋体"/>
          <w:color w:val="auto"/>
          <w:sz w:val="24"/>
        </w:rPr>
        <w:t>到2035年，发展中国家GDP规模将超过发达经济体，在全球经济和投资中的比重接近60%</w:t>
      </w:r>
      <w:r>
        <w:rPr>
          <w:rStyle w:val="20"/>
          <w:rFonts w:ascii="宋体" w:hAnsi="宋体" w:eastAsia="宋体" w:cs="宋体"/>
          <w:color w:val="auto"/>
          <w:sz w:val="24"/>
        </w:rPr>
        <w:footnoteReference w:id="838"/>
      </w:r>
      <w:r>
        <w:rPr>
          <w:rFonts w:hint="eastAsia" w:ascii="宋体" w:hAnsi="宋体" w:eastAsia="宋体" w:cs="宋体"/>
          <w:color w:val="auto"/>
          <w:sz w:val="24"/>
        </w:rPr>
        <w:t>；同时，</w:t>
      </w:r>
      <w:r>
        <w:rPr>
          <w:rFonts w:ascii="宋体" w:hAnsi="宋体" w:eastAsia="宋体" w:cs="宋体"/>
          <w:color w:val="auto"/>
          <w:sz w:val="24"/>
        </w:rPr>
        <w:t>全球绿色发展和能源转型，</w:t>
      </w:r>
      <w:r>
        <w:rPr>
          <w:rFonts w:hint="eastAsia" w:ascii="宋体" w:hAnsi="宋体" w:eastAsia="宋体" w:cs="宋体"/>
          <w:color w:val="auto"/>
          <w:sz w:val="24"/>
        </w:rPr>
        <w:t>也</w:t>
      </w:r>
      <w:r>
        <w:rPr>
          <w:rFonts w:ascii="宋体" w:hAnsi="宋体" w:eastAsia="宋体" w:cs="宋体"/>
          <w:color w:val="auto"/>
          <w:sz w:val="24"/>
        </w:rPr>
        <w:t>将为中国发展带来新机遇</w:t>
      </w:r>
      <w:r>
        <w:rPr>
          <w:rFonts w:hint="eastAsia" w:ascii="宋体" w:hAnsi="宋体" w:eastAsia="宋体" w:cs="宋体"/>
          <w:color w:val="auto"/>
          <w:sz w:val="24"/>
        </w:rPr>
        <w:t>。</w:t>
      </w:r>
      <w:r>
        <w:rPr>
          <w:rFonts w:ascii="宋体" w:hAnsi="宋体" w:eastAsia="宋体" w:cs="宋体"/>
          <w:color w:val="auto"/>
          <w:sz w:val="24"/>
        </w:rPr>
        <w:t>以美国为首的西方发达</w:t>
      </w:r>
      <w:r>
        <w:rPr>
          <w:rFonts w:hint="eastAsia" w:ascii="宋体" w:hAnsi="宋体" w:eastAsia="宋体" w:cs="宋体"/>
          <w:color w:val="auto"/>
          <w:sz w:val="24"/>
        </w:rPr>
        <w:t>资本主义</w:t>
      </w:r>
      <w:r>
        <w:rPr>
          <w:rFonts w:ascii="宋体" w:hAnsi="宋体" w:eastAsia="宋体" w:cs="宋体"/>
          <w:color w:val="auto"/>
          <w:sz w:val="24"/>
        </w:rPr>
        <w:t>国家为防范中国快速的技术追赶出台了一系列贸易投资领域的针对性限制措施，</w:t>
      </w:r>
      <w:r>
        <w:rPr>
          <w:rFonts w:hint="eastAsia" w:ascii="宋体" w:hAnsi="宋体" w:eastAsia="宋体" w:cs="宋体"/>
          <w:color w:val="auto"/>
          <w:sz w:val="24"/>
        </w:rPr>
        <w:t>然而，</w:t>
      </w:r>
      <w:r>
        <w:rPr>
          <w:rFonts w:ascii="宋体" w:hAnsi="宋体" w:eastAsia="宋体" w:cs="宋体"/>
          <w:color w:val="auto"/>
          <w:sz w:val="24"/>
        </w:rPr>
        <w:t>国外媒体针对这波子虚乌有的炒作，也纷纷进行了批判，揭示出西方政客的真正目的</w:t>
      </w:r>
      <w:r>
        <w:rPr>
          <w:rFonts w:hint="eastAsia" w:ascii="宋体" w:hAnsi="宋体" w:eastAsia="宋体" w:cs="宋体"/>
          <w:color w:val="auto"/>
          <w:sz w:val="24"/>
        </w:rPr>
        <w:t>。</w:t>
      </w:r>
      <w:r>
        <w:rPr>
          <w:rFonts w:ascii="宋体" w:hAnsi="宋体" w:eastAsia="宋体" w:cs="宋体"/>
          <w:color w:val="auto"/>
          <w:sz w:val="24"/>
        </w:rPr>
        <w:t>例如，瑞士的《新苏黎世报》更是直接批判了西方这场虚伪且短视的抱怨，</w:t>
      </w:r>
      <w:r>
        <w:rPr>
          <w:rStyle w:val="20"/>
          <w:rFonts w:ascii="宋体" w:hAnsi="宋体" w:eastAsia="宋体" w:cs="宋体"/>
          <w:color w:val="auto"/>
          <w:sz w:val="24"/>
        </w:rPr>
        <w:footnoteReference w:id="839"/>
      </w:r>
      <w:r>
        <w:rPr>
          <w:rFonts w:ascii="宋体" w:hAnsi="宋体" w:eastAsia="宋体" w:cs="宋体"/>
          <w:color w:val="auto"/>
          <w:sz w:val="24"/>
        </w:rPr>
        <w:t>目前没有数据证明欧洲市场遭受了中国商品的大范围冲击。在中国高端制造业发展背景下，这次争论的焦点正是在新能源汽车领域，以前在国际市场上，西方产能等于市场需求，而现在演变为中国新进产能加西方产能等于市场需求，新能源汽车作为核心风口产业，产业前景巨大，中国新能源车的规模和占比的</w:t>
      </w:r>
      <w:r>
        <w:rPr>
          <w:rFonts w:hint="eastAsia" w:ascii="宋体" w:hAnsi="宋体" w:eastAsia="宋体" w:cs="宋体"/>
          <w:color w:val="auto"/>
          <w:sz w:val="24"/>
        </w:rPr>
        <w:t>提高</w:t>
      </w:r>
      <w:r>
        <w:rPr>
          <w:rFonts w:ascii="宋体" w:hAnsi="宋体" w:eastAsia="宋体" w:cs="宋体"/>
          <w:color w:val="auto"/>
          <w:sz w:val="24"/>
        </w:rPr>
        <w:t>，带给西方尤其是美国高端产业实体潜在威胁，美国所谓的过剩，其根本目的是阻止中国新能源车市场规模的快速</w:t>
      </w:r>
      <w:r>
        <w:rPr>
          <w:rFonts w:hint="eastAsia" w:ascii="宋体" w:hAnsi="宋体" w:eastAsia="宋体" w:cs="宋体"/>
          <w:color w:val="auto"/>
          <w:sz w:val="24"/>
        </w:rPr>
        <w:t>发展</w:t>
      </w:r>
      <w:r>
        <w:rPr>
          <w:rFonts w:ascii="宋体" w:hAnsi="宋体" w:eastAsia="宋体" w:cs="宋体"/>
          <w:color w:val="auto"/>
          <w:sz w:val="24"/>
        </w:rPr>
        <w:t>。</w:t>
      </w:r>
      <w:r>
        <w:rPr>
          <w:rFonts w:hint="eastAsia" w:ascii="宋体" w:hAnsi="宋体" w:eastAsia="宋体" w:cs="宋体"/>
          <w:color w:val="auto"/>
          <w:sz w:val="24"/>
        </w:rPr>
        <w:t>如美国又出新规，规定“根据公告，最高7500美元的联邦税收抵免，不适用于含有来自‘受关注外国实体’企业制造或组装的电池组件的电动汽车。美联社和《华盛顿邮报》称，所谓的‘受关注外国实体’，通常指的是中国、俄罗斯等被美国政府视作‘竞争对手’的国家。”</w:t>
      </w:r>
      <w:r>
        <w:rPr>
          <w:rStyle w:val="20"/>
          <w:rFonts w:ascii="宋体" w:hAnsi="宋体" w:eastAsia="宋体" w:cs="宋体"/>
          <w:color w:val="auto"/>
          <w:sz w:val="24"/>
        </w:rPr>
        <w:footnoteReference w:id="840"/>
      </w:r>
      <w:r>
        <w:rPr>
          <w:rFonts w:ascii="宋体" w:hAnsi="宋体" w:eastAsia="宋体" w:cs="宋体"/>
          <w:color w:val="auto"/>
          <w:sz w:val="24"/>
        </w:rPr>
        <w:t>不仅加大了对进口电动汽车征收高额关税的力度，还试图遏制中国在美国的投资，以“产能过剩”这种说法来掩盖自身的真实目的。</w:t>
      </w:r>
    </w:p>
    <w:p w14:paraId="5EF919A1">
      <w:pPr>
        <w:spacing w:line="360" w:lineRule="auto"/>
        <w:ind w:firstLine="480" w:firstLineChars="200"/>
        <w:jc w:val="left"/>
        <w:rPr>
          <w:rFonts w:ascii="宋体" w:hAnsi="宋体" w:eastAsia="宋体" w:cs="宋体"/>
          <w:color w:val="auto"/>
          <w:sz w:val="24"/>
        </w:rPr>
      </w:pPr>
      <w:r>
        <w:rPr>
          <w:rFonts w:hint="eastAsia" w:ascii="宋体" w:hAnsi="宋体" w:eastAsia="宋体" w:cs="宋体"/>
          <w:color w:val="auto"/>
          <w:sz w:val="24"/>
        </w:rPr>
        <w:t>3.“中国产能过剩论”是为美西方实行保护主义的需要</w:t>
      </w:r>
    </w:p>
    <w:p w14:paraId="01DBCD36">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近六年来，美国不断对华进行贸易战。自2018年3月中美贸易战开始，美国对进口中国的钢铁和铝产品加征关税，同时开展技术封锁，对全球贸易秩序造成巨大冲击。对于美国政府单方面挑起的中美贸易摩擦，中国只能采取中止关税减让义务、加征关税等反制措施，并同时在相互尊重、平等互利的原则基础上进行协商，坚决捍卫国家和人民利益。2018年7月和8月，美国分两批对从中国进口的500亿美元商品加征25%关税,2018年9月，美国对2000亿美元中国输美产品加征10%的关税，共计对约3700亿美元中国输美产品加征关税。</w:t>
      </w:r>
      <w:r>
        <w:rPr>
          <w:rStyle w:val="20"/>
          <w:rFonts w:hint="eastAsia" w:ascii="宋体" w:hAnsi="宋体" w:eastAsia="宋体" w:cs="宋体"/>
          <w:color w:val="auto"/>
          <w:sz w:val="24"/>
        </w:rPr>
        <w:footnoteReference w:id="841"/>
      </w:r>
      <w:r>
        <w:rPr>
          <w:rFonts w:hint="eastAsia" w:ascii="宋体" w:hAnsi="宋体" w:eastAsia="宋体" w:cs="宋体"/>
          <w:color w:val="auto"/>
          <w:sz w:val="24"/>
        </w:rPr>
        <w:t>2019年5月，特朗普政府将华为列入“实体清单”，限制其获得美国技术。2022年8月，美国出台《通胀削减法案》《芯片与科学法案》等法案。2022年10月，美国修订对华半导体出口管制令。2023年8月，美国政府发布对外投资审查行政令，限制美方对中国高科技领域投资，主要是半导体和微电子、量子信息技术和人工智能领域。2024年4月，美国贸易办公室宣布发起针对中国海事、物流、造船业的“301调查”，同时美国又以协助中国军方采购人工智能芯片为由，把4家中国公司列入出口“黑名单”，</w:t>
      </w:r>
      <w:r>
        <w:rPr>
          <w:rStyle w:val="20"/>
          <w:rFonts w:hint="eastAsia" w:ascii="宋体" w:hAnsi="宋体" w:eastAsia="宋体" w:cs="宋体"/>
          <w:color w:val="auto"/>
          <w:sz w:val="24"/>
        </w:rPr>
        <w:footnoteReference w:id="842"/>
      </w:r>
      <w:r>
        <w:rPr>
          <w:rFonts w:hint="eastAsia" w:ascii="宋体" w:hAnsi="宋体" w:eastAsia="宋体" w:cs="宋体"/>
          <w:color w:val="auto"/>
          <w:sz w:val="24"/>
        </w:rPr>
        <w:t>还假借中国企业协助了俄罗斯的军事行动，对这些中国企业采取了出口限制措施。在近六年时间里，美国频频挑起贸易摩擦，拜登政府不仅延续了加征关税措施，而且宣扬“</w:t>
      </w:r>
      <w:r>
        <w:rPr>
          <w:rFonts w:ascii="宋体" w:hAnsi="宋体" w:eastAsia="宋体" w:cs="宋体"/>
          <w:color w:val="auto"/>
          <w:sz w:val="24"/>
        </w:rPr>
        <w:t>中国产能过剩论</w:t>
      </w:r>
      <w:r>
        <w:rPr>
          <w:rFonts w:hint="eastAsia" w:ascii="宋体" w:hAnsi="宋体" w:eastAsia="宋体" w:cs="宋体"/>
          <w:color w:val="auto"/>
          <w:sz w:val="24"/>
        </w:rPr>
        <w:t>”，继续鼓吹对华优势产品和产业的“脱钩断链”“去风险”，打造“小院高墙”等，以竞争之名行霸权之实，破坏国际经贸规则，对全球经贸体系带来严重影响。针对这些不实言论，国际社会也普遍谴责美国的保护主义等霸权主义行径。美国智库彼得森国际经济研究所高级研究员拉迪明确指出：“‘产能过剩论'为保护主义提供了借口。”</w:t>
      </w:r>
      <w:r>
        <w:rPr>
          <w:rFonts w:hint="eastAsia" w:ascii="宋体" w:hAnsi="宋体" w:eastAsia="宋体" w:cs="宋体"/>
          <w:color w:val="auto"/>
          <w:sz w:val="24"/>
          <w:vertAlign w:val="superscript"/>
        </w:rPr>
        <w:footnoteReference w:id="843"/>
      </w:r>
      <w:r>
        <w:rPr>
          <w:rFonts w:hint="eastAsia" w:ascii="宋体" w:hAnsi="宋体" w:eastAsia="宋体" w:cs="宋体"/>
          <w:color w:val="auto"/>
          <w:sz w:val="24"/>
        </w:rPr>
        <w:t>挪威商学院战略教授卡尔·费表示，美国的行为肯定是贸易保护主义，其行为对于市场是一种扭曲，对任何人都没有好处。</w:t>
      </w:r>
      <w:r>
        <w:rPr>
          <w:rStyle w:val="20"/>
          <w:rFonts w:ascii="宋体" w:hAnsi="宋体" w:eastAsia="宋体" w:cs="宋体"/>
          <w:color w:val="auto"/>
          <w:sz w:val="24"/>
        </w:rPr>
        <w:footnoteReference w:id="844"/>
      </w:r>
      <w:r>
        <w:rPr>
          <w:rFonts w:hint="eastAsia" w:ascii="宋体" w:hAnsi="宋体" w:eastAsia="宋体" w:cs="宋体"/>
          <w:color w:val="auto"/>
          <w:sz w:val="24"/>
        </w:rPr>
        <w:t>可见，美西方所谓“产能过剩”是美国搞保护主义、打压中国发展的又一例证。</w:t>
      </w:r>
    </w:p>
    <w:p w14:paraId="53F630D3">
      <w:pPr>
        <w:spacing w:line="360" w:lineRule="auto"/>
        <w:ind w:firstLine="240" w:firstLineChars="100"/>
        <w:rPr>
          <w:rFonts w:ascii="宋体" w:hAnsi="宋体" w:eastAsia="宋体" w:cs="宋体"/>
          <w:color w:val="auto"/>
          <w:sz w:val="24"/>
        </w:rPr>
      </w:pPr>
      <w:r>
        <w:rPr>
          <w:rFonts w:hint="eastAsia" w:ascii="宋体" w:hAnsi="宋体" w:eastAsia="宋体" w:cs="宋体"/>
          <w:b/>
          <w:bCs/>
          <w:color w:val="auto"/>
          <w:sz w:val="24"/>
        </w:rPr>
        <w:t>（二）“中国产能过剩论”及其遏制措施的危害</w:t>
      </w:r>
    </w:p>
    <w:p w14:paraId="53745C2E">
      <w:pPr>
        <w:spacing w:line="360" w:lineRule="auto"/>
        <w:ind w:firstLine="480" w:firstLineChars="200"/>
        <w:jc w:val="left"/>
        <w:rPr>
          <w:rFonts w:ascii="宋体" w:hAnsi="宋体" w:eastAsia="宋体" w:cs="宋体"/>
          <w:color w:val="auto"/>
          <w:sz w:val="24"/>
          <w:shd w:val="clear" w:color="auto" w:fill="FFFFFF"/>
        </w:rPr>
      </w:pPr>
      <w:r>
        <w:rPr>
          <w:rFonts w:hint="eastAsia" w:ascii="宋体" w:hAnsi="宋体" w:eastAsia="宋体" w:cs="宋体"/>
          <w:color w:val="auto"/>
          <w:sz w:val="24"/>
        </w:rPr>
        <w:t>美西方“中国产能过剩论”是美国采取保护主义和经济民族主义的借口，不过是尽显“美国优先”的霸权本性与冷战思维，是继美国实施的技术封锁等经济霸权主义之后的又一项遏制中国崛起的霸权主义战略，这一损人不利己的霸权主义行径带来的危害是巨大的，既为世界经济和人类可持续发展带来巨大危害，也影响美国自身发展。具体来讲，一是美西方“中国产能过剩论”及其遏制措施将加剧了世界经济的颓势。如近期国际货币基金组织对于2024年全球经济发展状况的预测表明，2024年世界经济增长仅为</w:t>
      </w:r>
      <w:r>
        <w:rPr>
          <w:rFonts w:ascii="宋体" w:hAnsi="宋体" w:eastAsia="宋体" w:cs="宋体"/>
          <w:color w:val="auto"/>
          <w:sz w:val="24"/>
        </w:rPr>
        <w:t>3.2%</w:t>
      </w:r>
      <w:r>
        <w:rPr>
          <w:rFonts w:hint="eastAsia" w:ascii="宋体" w:hAnsi="宋体" w:eastAsia="宋体" w:cs="宋体"/>
          <w:color w:val="auto"/>
          <w:sz w:val="24"/>
        </w:rPr>
        <w:t>，显著低于2000年—2019年的平均3.8%的经济发展水平。世贸组织也将2024年全球贸易量增速由之前的预测为</w:t>
      </w:r>
      <w:r>
        <w:rPr>
          <w:rFonts w:ascii="宋体" w:hAnsi="宋体" w:eastAsia="宋体" w:cs="宋体"/>
          <w:color w:val="auto"/>
          <w:sz w:val="24"/>
        </w:rPr>
        <w:t>3.3%</w:t>
      </w:r>
      <w:r>
        <w:rPr>
          <w:rFonts w:hint="eastAsia" w:ascii="宋体" w:hAnsi="宋体" w:eastAsia="宋体" w:cs="宋体"/>
          <w:color w:val="auto"/>
          <w:sz w:val="24"/>
        </w:rPr>
        <w:t>调整为</w:t>
      </w:r>
      <w:r>
        <w:rPr>
          <w:rFonts w:ascii="宋体" w:hAnsi="宋体" w:eastAsia="宋体" w:cs="宋体"/>
          <w:color w:val="auto"/>
          <w:sz w:val="24"/>
        </w:rPr>
        <w:t>2.6%</w:t>
      </w:r>
      <w:r>
        <w:rPr>
          <w:rFonts w:hint="eastAsia" w:ascii="宋体" w:hAnsi="宋体" w:eastAsia="宋体" w:cs="宋体"/>
          <w:color w:val="auto"/>
          <w:sz w:val="24"/>
        </w:rPr>
        <w:t>。</w:t>
      </w:r>
      <w:r>
        <w:rPr>
          <w:rStyle w:val="20"/>
          <w:rFonts w:ascii="宋体" w:hAnsi="宋体" w:eastAsia="宋体" w:cs="宋体"/>
          <w:color w:val="auto"/>
          <w:sz w:val="24"/>
        </w:rPr>
        <w:footnoteReference w:id="845"/>
      </w:r>
      <w:r>
        <w:rPr>
          <w:rFonts w:hint="eastAsia" w:ascii="宋体" w:hAnsi="宋体" w:eastAsia="宋体" w:cs="宋体"/>
          <w:color w:val="auto"/>
          <w:sz w:val="24"/>
        </w:rPr>
        <w:t>在这一现实下，美西方不仅不为世界经济的复苏发展贡献力量，反而掣肘中国为世界经济发展贡献力量，最终将造成世界经济雪上加霜。二是美西方“中国产能过剩论”及其遏制措施将造成全球绿色转型发展受阻。促进全球绿色转型发展是各国的共识，是人类的共同选择，中国在这一过程中积极贡献力量。如中国生产和出口新能源汽车，就是推动全球绿色转型发展的重要举措，但是美西方进行污名化的遏制措施，必将在一定程度影响全球绿色转型发展进程。三是美西方“中国产能过剩论”及其遏制措施将最终也将反噬美西方自身发展。系列事实已经证明了这一点，如“美方此前规定，2025年开始包含任何由受关注外国实体(FEOC)制造或组装的关键矿物将无法获得税收抵免。美国将FEOC定义为由朝鲜、中国、俄罗斯或伊朗拥有、控制或管辖的任何公司。”</w:t>
      </w:r>
      <w:r>
        <w:rPr>
          <w:rStyle w:val="20"/>
          <w:rFonts w:ascii="宋体" w:hAnsi="宋体" w:eastAsia="宋体" w:cs="宋体"/>
          <w:color w:val="auto"/>
          <w:sz w:val="24"/>
        </w:rPr>
        <w:footnoteReference w:id="846"/>
      </w:r>
      <w:r>
        <w:rPr>
          <w:rFonts w:hint="eastAsia" w:ascii="宋体" w:hAnsi="宋体" w:eastAsia="宋体" w:cs="宋体"/>
          <w:color w:val="auto"/>
          <w:sz w:val="24"/>
        </w:rPr>
        <w:t xml:space="preserve"> 在美国实施这种霸权主义行径反噬自身下“今年第一季度，美国电动汽车销量仅增长3.3%，至近27万辆，远低于去年创纪录的47%的增长。数据显示，一季度电动汽车在美国汽车市场中的份额已降至7.15%。”</w:t>
      </w:r>
      <w:r>
        <w:rPr>
          <w:rStyle w:val="20"/>
          <w:rFonts w:ascii="宋体" w:hAnsi="宋体" w:eastAsia="宋体" w:cs="宋体"/>
          <w:color w:val="auto"/>
          <w:sz w:val="24"/>
        </w:rPr>
        <w:footnoteReference w:id="847"/>
      </w:r>
      <w:r>
        <w:rPr>
          <w:rFonts w:hint="eastAsia" w:ascii="宋体" w:hAnsi="宋体" w:eastAsia="宋体" w:cs="宋体"/>
          <w:color w:val="auto"/>
          <w:sz w:val="24"/>
        </w:rPr>
        <w:t>而且美国反噬自身的例子时常会出现，如</w:t>
      </w:r>
      <w:r>
        <w:rPr>
          <w:rFonts w:hint="eastAsia" w:ascii="宋体" w:hAnsi="宋体" w:eastAsia="宋体" w:cs="宋体"/>
          <w:color w:val="auto"/>
          <w:sz w:val="24"/>
          <w:shd w:val="clear" w:color="auto" w:fill="FFFFFF"/>
        </w:rPr>
        <w:t>穆迪投资者服务公司报告也显示，美国消费者承担了对中国商品加征关税近93%的成本，只有7.6%的增加成本被中国吸收。</w:t>
      </w:r>
      <w:r>
        <w:rPr>
          <w:rStyle w:val="20"/>
          <w:rFonts w:ascii="宋体" w:hAnsi="宋体" w:eastAsia="宋体" w:cs="宋体"/>
          <w:color w:val="auto"/>
          <w:sz w:val="24"/>
        </w:rPr>
        <w:footnoteReference w:id="848"/>
      </w:r>
      <w:r>
        <w:rPr>
          <w:rFonts w:hint="eastAsia" w:ascii="宋体" w:hAnsi="宋体" w:eastAsia="宋体" w:cs="宋体"/>
          <w:color w:val="auto"/>
          <w:sz w:val="24"/>
          <w:shd w:val="clear" w:color="auto" w:fill="FFFFFF"/>
        </w:rPr>
        <w:t xml:space="preserve">                    </w:t>
      </w:r>
    </w:p>
    <w:p w14:paraId="161E1E12">
      <w:pPr>
        <w:spacing w:line="360" w:lineRule="auto"/>
        <w:ind w:firstLine="561" w:firstLineChars="200"/>
        <w:jc w:val="center"/>
        <w:rPr>
          <w:rFonts w:ascii="宋体" w:hAnsi="宋体" w:eastAsia="宋体" w:cs="宋体"/>
          <w:b/>
          <w:bCs/>
          <w:color w:val="auto"/>
          <w:sz w:val="28"/>
          <w:szCs w:val="28"/>
        </w:rPr>
      </w:pPr>
      <w:r>
        <w:rPr>
          <w:rFonts w:hint="eastAsia" w:ascii="宋体" w:hAnsi="宋体" w:eastAsia="宋体" w:cs="宋体"/>
          <w:b/>
          <w:bCs/>
          <w:color w:val="auto"/>
          <w:sz w:val="28"/>
          <w:szCs w:val="28"/>
        </w:rPr>
        <w:t>四、结语</w:t>
      </w:r>
    </w:p>
    <w:p w14:paraId="2DB1F90B">
      <w:pPr>
        <w:spacing w:line="360" w:lineRule="auto"/>
        <w:ind w:firstLine="480" w:firstLineChars="200"/>
        <w:rPr>
          <w:rFonts w:ascii="宋体" w:hAnsi="宋体" w:eastAsia="宋体" w:cs="宋体"/>
          <w:color w:val="auto"/>
          <w:sz w:val="24"/>
        </w:rPr>
      </w:pPr>
      <w:r>
        <w:rPr>
          <w:rFonts w:hint="eastAsia" w:ascii="宋体" w:hAnsi="宋体" w:eastAsia="宋体" w:cs="宋体"/>
          <w:color w:val="auto"/>
          <w:sz w:val="24"/>
        </w:rPr>
        <w:t>对于美西方以“中国产能过剩论”为名，大行保护主义之实的霸权主义行径，将经贸科技问题政治化、工具化、武器化，是一种贸易保护主义和霸权主义的现实表现，势必不断给世界经济发展带来严重灾难。中国必须通过切实举措进行应对：其一，中国应发挥负责任大国形象，主动和世界正义国家加强合作，携起手来共同应对；其二，中国应以事实揭露美西方的霸权主义行径，推动建立能够代表人类整体利益的强有力的国际话语体系，对美西方系列污名化言论进行有力反驳；其三，中国应在统筹好发展和安全中推进高水平的对等开放，落实好高质量发展主题，为世界经济的繁荣可持续发展继续贡献中国力量和中国智慧。</w:t>
      </w:r>
    </w:p>
    <w:p w14:paraId="48ED3C81">
      <w:pPr>
        <w:spacing w:line="360" w:lineRule="auto"/>
        <w:ind w:firstLine="240"/>
        <w:rPr>
          <w:rFonts w:ascii="宋体" w:hAnsi="宋体" w:eastAsia="宋体" w:cs="宋体"/>
          <w:b/>
          <w:bCs/>
          <w:color w:val="auto"/>
          <w:sz w:val="24"/>
        </w:rPr>
      </w:pPr>
    </w:p>
    <w:p w14:paraId="429DFBEB">
      <w:pPr>
        <w:bidi w:val="0"/>
        <w:rPr>
          <w:rFonts w:hint="eastAsia" w:ascii="宋体" w:hAnsi="宋体" w:eastAsia="宋体" w:cs="宋体"/>
          <w:sz w:val="24"/>
          <w:szCs w:val="32"/>
          <w:lang w:eastAsia="zh-CN"/>
        </w:rPr>
      </w:pPr>
      <w:r>
        <w:rPr>
          <w:rFonts w:hint="eastAsia" w:ascii="宋体" w:hAnsi="宋体" w:eastAsia="宋体" w:cs="宋体"/>
          <w:sz w:val="24"/>
          <w:szCs w:val="32"/>
          <w:lang w:eastAsia="zh-CN"/>
        </w:rPr>
        <w:t>（</w:t>
      </w:r>
      <w:r>
        <w:rPr>
          <w:rFonts w:hint="eastAsia" w:ascii="宋体" w:hAnsi="宋体" w:eastAsia="宋体" w:cs="宋体"/>
          <w:sz w:val="24"/>
          <w:szCs w:val="32"/>
          <w:lang w:val="en-US" w:eastAsia="zh-CN"/>
        </w:rPr>
        <w:t>原载《政治经济学研究》2024年第2期，第二作者为陈健。</w:t>
      </w:r>
      <w:r>
        <w:rPr>
          <w:rFonts w:hint="eastAsia" w:ascii="宋体" w:hAnsi="宋体" w:eastAsia="宋体" w:cs="宋体"/>
          <w:sz w:val="24"/>
          <w:szCs w:val="32"/>
          <w:lang w:eastAsia="zh-CN"/>
        </w:rPr>
        <w:t>）</w:t>
      </w:r>
    </w:p>
    <w:p w14:paraId="0B5A0FF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2A0C71BD">
      <w:pPr>
        <w:pStyle w:val="3"/>
        <w:bidi w:val="0"/>
        <w:rPr>
          <w:rFonts w:hint="eastAsia"/>
        </w:rPr>
      </w:pPr>
      <w:bookmarkStart w:id="558" w:name="_Toc27647"/>
      <w:bookmarkStart w:id="559" w:name="_Toc82523619"/>
      <w:bookmarkStart w:id="560" w:name="_Toc1257214417"/>
      <w:bookmarkStart w:id="561" w:name="_Toc245226661"/>
      <w:bookmarkStart w:id="562" w:name="_Toc1572052434"/>
      <w:bookmarkStart w:id="563" w:name="_Toc546183071"/>
      <w:r>
        <w:rPr>
          <w:rFonts w:hint="eastAsia"/>
          <w:lang w:val="en-US" w:eastAsia="zh-CN"/>
        </w:rPr>
        <w:t>10</w:t>
      </w:r>
      <w:r>
        <w:rPr>
          <w:rFonts w:hint="eastAsia"/>
        </w:rPr>
        <w:t>新质生产力的学理分析与培育路径</w:t>
      </w:r>
      <w:bookmarkEnd w:id="558"/>
      <w:bookmarkEnd w:id="559"/>
      <w:bookmarkEnd w:id="560"/>
      <w:bookmarkEnd w:id="561"/>
      <w:bookmarkEnd w:id="562"/>
      <w:bookmarkEnd w:id="563"/>
    </w:p>
    <w:p w14:paraId="5C1DF05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3D03BF8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87936" behindDoc="0" locked="0" layoutInCell="1" allowOverlap="1">
                <wp:simplePos x="0" y="0"/>
                <wp:positionH relativeFrom="column">
                  <wp:posOffset>737870</wp:posOffset>
                </wp:positionH>
                <wp:positionV relativeFrom="paragraph">
                  <wp:posOffset>121920</wp:posOffset>
                </wp:positionV>
                <wp:extent cx="5569585" cy="4445"/>
                <wp:effectExtent l="0" t="0" r="0" b="0"/>
                <wp:wrapNone/>
                <wp:docPr id="382" name="任意多边形 382"/>
                <wp:cNvGraphicFramePr/>
                <a:graphic xmlns:a="http://schemas.openxmlformats.org/drawingml/2006/main">
                  <a:graphicData uri="http://schemas.microsoft.com/office/word/2010/wordprocessingShape">
                    <wps:wsp>
                      <wps:cNvSpPr/>
                      <wps:spPr>
                        <a:xfrm>
                          <a:off x="0" y="0"/>
                          <a:ext cx="5569585" cy="4445"/>
                        </a:xfrm>
                        <a:custGeom>
                          <a:avLst/>
                          <a:gdLst/>
                          <a:ahLst/>
                          <a:cxnLst/>
                          <a:pathLst>
                            <a:path w="8770" h="6">
                              <a:moveTo>
                                <a:pt x="0" y="3"/>
                              </a:moveTo>
                              <a:lnTo>
                                <a:pt x="8770" y="3"/>
                              </a:lnTo>
                            </a:path>
                          </a:pathLst>
                        </a:custGeom>
                        <a:noFill/>
                        <a:ln w="4191" cap="flat" cmpd="sng">
                          <a:solidFill>
                            <a:srgbClr val="231F20"/>
                          </a:solidFill>
                          <a:prstDash val="solid"/>
                          <a:miter lim="1000000"/>
                          <a:headEnd type="none" w="med" len="med"/>
                          <a:tailEnd type="none" w="med" len="med"/>
                        </a:ln>
                      </wps:spPr>
                      <wps:bodyPr upright="1"/>
                    </wps:wsp>
                  </a:graphicData>
                </a:graphic>
              </wp:anchor>
            </w:drawing>
          </mc:Choice>
          <mc:Fallback>
            <w:pict>
              <v:shape id="_x0000_s1026" o:spid="_x0000_s1026" o:spt="100" style="position:absolute;left:0pt;margin-left:58.1pt;margin-top:9.6pt;height:0.35pt;width:438.55pt;z-index:251687936;mso-width-relative:page;mso-height-relative:page;" filled="f" stroked="t" coordsize="8770,6" o:gfxdata="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jh8JbNUAAAAJAQAADwAAAAAAAAABACAA&#10;AAAiAAAAZHJzL2Rvd25yZXYueG1sUEsBAhQAFAAAAAgAh07iQJcMWjZJAgAApwQAAA4AAAAAAAAA&#10;AQAgAAAAJAEAAGRycy9lMm9Eb2MueG1sUEsFBgAAAAAGAAYAWQEAAN8FAAAAAA==&#10;" path="m0,3l8770,3e">
                <v:fill on="f" focussize="0,0"/>
                <v:stroke weight="0.33pt" color="#231F20" miterlimit="10" joinstyle="miter"/>
                <v:imagedata o:title=""/>
                <o:lock v:ext="edit" aspectratio="f"/>
              </v:shape>
            </w:pict>
          </mc:Fallback>
        </mc:AlternateContent>
      </w:r>
    </w:p>
    <w:p w14:paraId="5320D37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8" w:firstLineChars="200"/>
        <w:jc w:val="both"/>
        <w:textAlignment w:val="baseline"/>
        <w:rPr>
          <w:rFonts w:hint="eastAsia" w:ascii="宋体" w:hAnsi="宋体" w:eastAsia="宋体" w:cs="宋体"/>
          <w:sz w:val="24"/>
          <w:szCs w:val="24"/>
        </w:rPr>
      </w:pPr>
      <w:r>
        <w:rPr>
          <w:rFonts w:hint="eastAsia" w:ascii="宋体" w:hAnsi="宋体" w:eastAsia="宋体" w:cs="宋体"/>
          <w:spacing w:val="17"/>
          <w:sz w:val="24"/>
          <w:szCs w:val="24"/>
        </w:rPr>
        <w:t>内容摘要:新质生产力是高质量生产力和中国特色社会主义生产关系的统一体。就高质量生</w:t>
      </w:r>
      <w:r>
        <w:rPr>
          <w:rFonts w:hint="eastAsia" w:ascii="宋体" w:hAnsi="宋体" w:eastAsia="宋体" w:cs="宋体"/>
          <w:spacing w:val="16"/>
          <w:sz w:val="24"/>
          <w:szCs w:val="24"/>
        </w:rPr>
        <w:t>产力而言,新质生产</w:t>
      </w:r>
      <w:r>
        <w:rPr>
          <w:rFonts w:hint="eastAsia" w:ascii="宋体" w:hAnsi="宋体" w:eastAsia="宋体" w:cs="宋体"/>
          <w:spacing w:val="1"/>
          <w:sz w:val="24"/>
          <w:szCs w:val="24"/>
        </w:rPr>
        <w:t>力是新核心生产要素提升传统生产要素的生产力。数据、信息、网络作为新的生产要素,因其自身的强渗透性、多</w:t>
      </w:r>
      <w:r>
        <w:rPr>
          <w:rFonts w:hint="eastAsia" w:ascii="宋体" w:hAnsi="宋体" w:eastAsia="宋体" w:cs="宋体"/>
          <w:spacing w:val="16"/>
          <w:sz w:val="24"/>
          <w:szCs w:val="24"/>
        </w:rPr>
        <w:t>兼容性、超时空性扩散力,具备了驾驭和整合传统核心生产要素资本的能力,成为撬动新质生产力发展的原发性突</w:t>
      </w:r>
      <w:r>
        <w:rPr>
          <w:rFonts w:hint="eastAsia" w:ascii="宋体" w:hAnsi="宋体" w:eastAsia="宋体" w:cs="宋体"/>
          <w:spacing w:val="18"/>
          <w:sz w:val="24"/>
          <w:szCs w:val="24"/>
        </w:rPr>
        <w:t>破口。新质生产力是群体性新科技体系和全产业链升级支撑的生产力,</w:t>
      </w:r>
      <w:r>
        <w:rPr>
          <w:rFonts w:hint="eastAsia" w:ascii="宋体" w:hAnsi="宋体" w:eastAsia="宋体" w:cs="宋体"/>
          <w:spacing w:val="17"/>
          <w:sz w:val="24"/>
          <w:szCs w:val="24"/>
        </w:rPr>
        <w:t>前沿性基础科学与开发性应用科学协同创</w:t>
      </w:r>
      <w:r>
        <w:rPr>
          <w:rFonts w:hint="eastAsia" w:ascii="宋体" w:hAnsi="宋体" w:eastAsia="宋体" w:cs="宋体"/>
          <w:spacing w:val="4"/>
          <w:sz w:val="24"/>
          <w:szCs w:val="24"/>
        </w:rPr>
        <w:t>新、全产业链集成优化共同促进新质生产力的内涵式发展。就</w:t>
      </w:r>
      <w:r>
        <w:rPr>
          <w:rFonts w:hint="eastAsia" w:ascii="宋体" w:hAnsi="宋体" w:eastAsia="宋体" w:cs="宋体"/>
          <w:spacing w:val="3"/>
          <w:sz w:val="24"/>
          <w:szCs w:val="24"/>
        </w:rPr>
        <w:t>中国特色社会主义生产关系而言,生产资料公有制</w:t>
      </w:r>
      <w:r>
        <w:rPr>
          <w:rFonts w:hint="eastAsia" w:ascii="宋体" w:hAnsi="宋体" w:eastAsia="宋体" w:cs="宋体"/>
          <w:spacing w:val="9"/>
          <w:sz w:val="24"/>
          <w:szCs w:val="24"/>
        </w:rPr>
        <w:t>是促进新质生产力发展的制度性生产关系,国有企业和民族性私有企业是新质生产力发展的最重要微观</w:t>
      </w:r>
      <w:r>
        <w:rPr>
          <w:rFonts w:hint="eastAsia" w:ascii="宋体" w:hAnsi="宋体" w:eastAsia="宋体" w:cs="宋体"/>
          <w:spacing w:val="8"/>
          <w:sz w:val="24"/>
          <w:szCs w:val="24"/>
        </w:rPr>
        <w:t>载体,建</w:t>
      </w:r>
      <w:r>
        <w:rPr>
          <w:rFonts w:hint="eastAsia" w:ascii="宋体" w:hAnsi="宋体" w:eastAsia="宋体" w:cs="宋体"/>
          <w:spacing w:val="7"/>
          <w:sz w:val="24"/>
          <w:szCs w:val="24"/>
        </w:rPr>
        <w:t>构高效有为政府与高效公平市场之间的良好关系是为新质生产力规范发展秩序。在此基础上,通过建立新机制、</w:t>
      </w:r>
      <w:r>
        <w:rPr>
          <w:rFonts w:hint="eastAsia" w:ascii="宋体" w:hAnsi="宋体" w:eastAsia="宋体" w:cs="宋体"/>
          <w:spacing w:val="15"/>
          <w:sz w:val="24"/>
          <w:szCs w:val="24"/>
        </w:rPr>
        <w:t>开创新场域、开辟新赛道、营造世界和平新环境来培育新质生产</w:t>
      </w:r>
      <w:r>
        <w:rPr>
          <w:rFonts w:hint="eastAsia" w:ascii="宋体" w:hAnsi="宋体" w:eastAsia="宋体" w:cs="宋体"/>
          <w:spacing w:val="14"/>
          <w:sz w:val="24"/>
          <w:szCs w:val="24"/>
        </w:rPr>
        <w:t>力高质量发展。</w:t>
      </w:r>
    </w:p>
    <w:p w14:paraId="3F9F0D6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关键词:新质生产力;数据生产力;国有企业;高效有为政府;政治经济学分析</w:t>
      </w:r>
    </w:p>
    <w:p w14:paraId="07C53F2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86912" behindDoc="0" locked="0" layoutInCell="1" allowOverlap="1">
                <wp:simplePos x="0" y="0"/>
                <wp:positionH relativeFrom="column">
                  <wp:posOffset>737870</wp:posOffset>
                </wp:positionH>
                <wp:positionV relativeFrom="paragraph">
                  <wp:posOffset>93980</wp:posOffset>
                </wp:positionV>
                <wp:extent cx="5569585" cy="4445"/>
                <wp:effectExtent l="0" t="0" r="0" b="0"/>
                <wp:wrapNone/>
                <wp:docPr id="383" name="任意多边形 383"/>
                <wp:cNvGraphicFramePr/>
                <a:graphic xmlns:a="http://schemas.openxmlformats.org/drawingml/2006/main">
                  <a:graphicData uri="http://schemas.microsoft.com/office/word/2010/wordprocessingShape">
                    <wps:wsp>
                      <wps:cNvSpPr/>
                      <wps:spPr>
                        <a:xfrm>
                          <a:off x="0" y="0"/>
                          <a:ext cx="5569585" cy="4445"/>
                        </a:xfrm>
                        <a:custGeom>
                          <a:avLst/>
                          <a:gdLst/>
                          <a:ahLst/>
                          <a:cxnLst/>
                          <a:pathLst>
                            <a:path w="8770" h="6">
                              <a:moveTo>
                                <a:pt x="0" y="3"/>
                              </a:moveTo>
                              <a:lnTo>
                                <a:pt x="8770" y="3"/>
                              </a:lnTo>
                            </a:path>
                          </a:pathLst>
                        </a:custGeom>
                        <a:noFill/>
                        <a:ln w="4191" cap="flat" cmpd="sng">
                          <a:solidFill>
                            <a:srgbClr val="231F20"/>
                          </a:solidFill>
                          <a:prstDash val="solid"/>
                          <a:miter lim="1000000"/>
                          <a:headEnd type="none" w="med" len="med"/>
                          <a:tailEnd type="none" w="med" len="med"/>
                        </a:ln>
                      </wps:spPr>
                      <wps:bodyPr upright="1"/>
                    </wps:wsp>
                  </a:graphicData>
                </a:graphic>
              </wp:anchor>
            </w:drawing>
          </mc:Choice>
          <mc:Fallback>
            <w:pict>
              <v:shape id="_x0000_s1026" o:spid="_x0000_s1026" o:spt="100" style="position:absolute;left:0pt;margin-left:58.1pt;margin-top:7.4pt;height:0.35pt;width:438.55pt;z-index:251686912;mso-width-relative:page;mso-height-relative:page;" filled="f" stroked="t" coordsize="8770,6" o:gfxdata="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JnAw+zXAAAACQEAAA8AAAAAAAAAAQAg&#10;AAAAIgAAAGRycy9kb3ducmV2LnhtbFBLAQIUABQAAAAIAIdO4kDKeSzUSAIAAKcEAAAOAAAAAAAA&#10;AAEAIAAAACYBAABkcnMvZTJvRG9jLnhtbFBLBQYAAAAABgAGAFkBAADgBQAAAAA=&#10;" path="m0,3l8770,3e">
                <v:fill on="f" focussize="0,0"/>
                <v:stroke weight="0.33pt" color="#231F20" miterlimit="10" joinstyle="miter"/>
                <v:imagedata o:title=""/>
                <o:lock v:ext="edit" aspectratio="f"/>
              </v:shape>
            </w:pict>
          </mc:Fallback>
        </mc:AlternateContent>
      </w:r>
    </w:p>
    <w:p w14:paraId="7A41F7E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7C2B043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position w:val="-2"/>
          <w:sz w:val="24"/>
          <w:szCs w:val="24"/>
        </w:rPr>
        <w:t>2023</w:t>
      </w:r>
      <w:r>
        <w:rPr>
          <w:rFonts w:hint="eastAsia" w:ascii="宋体" w:hAnsi="宋体" w:eastAsia="宋体" w:cs="宋体"/>
          <w:spacing w:val="12"/>
          <w:sz w:val="24"/>
          <w:szCs w:val="24"/>
        </w:rPr>
        <w:t>年</w:t>
      </w:r>
      <w:r>
        <w:rPr>
          <w:rFonts w:hint="eastAsia" w:ascii="宋体" w:hAnsi="宋体" w:eastAsia="宋体" w:cs="宋体"/>
          <w:spacing w:val="12"/>
          <w:position w:val="-2"/>
          <w:sz w:val="24"/>
          <w:szCs w:val="24"/>
        </w:rPr>
        <w:t>9</w:t>
      </w:r>
      <w:r>
        <w:rPr>
          <w:rFonts w:hint="eastAsia" w:ascii="宋体" w:hAnsi="宋体" w:eastAsia="宋体" w:cs="宋体"/>
          <w:spacing w:val="12"/>
          <w:sz w:val="24"/>
          <w:szCs w:val="24"/>
        </w:rPr>
        <w:t>月习近平总书记在黑龙江考察调研期间首次提到“新质生产力”,强调整合科技创新</w:t>
      </w:r>
      <w:r>
        <w:rPr>
          <w:rFonts w:hint="eastAsia" w:ascii="宋体" w:hAnsi="宋体" w:eastAsia="宋体" w:cs="宋体"/>
          <w:spacing w:val="21"/>
          <w:sz w:val="24"/>
          <w:szCs w:val="24"/>
        </w:rPr>
        <w:t>资源,引领发展战略性新兴产业和未来产业,加快形成新质生产力。这是今后我国在国内外新形</w:t>
      </w:r>
      <w:r>
        <w:rPr>
          <w:rFonts w:hint="eastAsia" w:ascii="宋体" w:hAnsi="宋体" w:eastAsia="宋体" w:cs="宋体"/>
          <w:spacing w:val="20"/>
          <w:sz w:val="24"/>
          <w:szCs w:val="24"/>
        </w:rPr>
        <w:t>势下经济发展的新战略选择。那么,到底什么是</w:t>
      </w:r>
      <w:r>
        <w:rPr>
          <w:rFonts w:hint="eastAsia" w:ascii="宋体" w:hAnsi="宋体" w:eastAsia="宋体" w:cs="宋体"/>
          <w:spacing w:val="19"/>
          <w:sz w:val="24"/>
          <w:szCs w:val="24"/>
        </w:rPr>
        <w:t>新质生产力?新质生产力的发展需要怎样的制度</w:t>
      </w:r>
      <w:r>
        <w:rPr>
          <w:rFonts w:hint="eastAsia" w:ascii="宋体" w:hAnsi="宋体" w:eastAsia="宋体" w:cs="宋体"/>
          <w:spacing w:val="23"/>
          <w:sz w:val="24"/>
          <w:szCs w:val="24"/>
        </w:rPr>
        <w:t>环境和前提条件?通过怎样的路径发展和培育新质生产力?对这三</w:t>
      </w:r>
      <w:r>
        <w:rPr>
          <w:rFonts w:hint="eastAsia" w:ascii="宋体" w:hAnsi="宋体" w:eastAsia="宋体" w:cs="宋体"/>
          <w:spacing w:val="22"/>
          <w:sz w:val="24"/>
          <w:szCs w:val="24"/>
        </w:rPr>
        <w:t>个问题的回答成为我们学习</w:t>
      </w:r>
      <w:r>
        <w:rPr>
          <w:rFonts w:hint="eastAsia" w:ascii="宋体" w:hAnsi="宋体" w:eastAsia="宋体" w:cs="宋体"/>
          <w:spacing w:val="7"/>
          <w:sz w:val="24"/>
          <w:szCs w:val="24"/>
        </w:rPr>
        <w:t>近平总书记关于“新质生产力”重要论述的关键所在。</w:t>
      </w:r>
    </w:p>
    <w:p w14:paraId="77DBF6AC">
      <w:pPr>
        <w:pStyle w:val="4"/>
        <w:bidi w:val="0"/>
        <w:rPr>
          <w:rFonts w:hint="eastAsia"/>
        </w:rPr>
      </w:pPr>
      <w:r>
        <w:rPr>
          <w:rFonts w:hint="eastAsia"/>
        </w:rPr>
        <w:t>一、理解新质生产力的三个维度</w:t>
      </w:r>
    </w:p>
    <w:p w14:paraId="0CA18EB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eastAsia" w:ascii="宋体" w:hAnsi="宋体" w:eastAsia="宋体" w:cs="宋体"/>
          <w:spacing w:val="18"/>
          <w:sz w:val="24"/>
          <w:szCs w:val="24"/>
        </w:rPr>
      </w:pPr>
      <w:r>
        <w:rPr>
          <w:rFonts w:hint="eastAsia" w:ascii="宋体" w:hAnsi="宋体" w:eastAsia="宋体" w:cs="宋体"/>
          <w:spacing w:val="18"/>
          <w:sz w:val="24"/>
          <w:szCs w:val="24"/>
        </w:rPr>
        <w:t>(一)新生产要素维度的新质生产力</w:t>
      </w:r>
    </w:p>
    <w:p w14:paraId="3BE3032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pacing w:val="17"/>
          <w:sz w:val="24"/>
          <w:szCs w:val="24"/>
        </w:rPr>
      </w:pPr>
      <w:r>
        <w:rPr>
          <w:rFonts w:hint="eastAsia" w:ascii="宋体" w:hAnsi="宋体" w:eastAsia="宋体" w:cs="宋体"/>
          <w:spacing w:val="11"/>
          <w:sz w:val="24"/>
          <w:szCs w:val="24"/>
        </w:rPr>
        <w:t>生产力是人们利用、改造和保护自然的能力。土</w:t>
      </w:r>
      <w:r>
        <w:rPr>
          <w:rFonts w:hint="eastAsia" w:ascii="宋体" w:hAnsi="宋体" w:eastAsia="宋体" w:cs="宋体"/>
          <w:spacing w:val="10"/>
          <w:sz w:val="24"/>
          <w:szCs w:val="24"/>
        </w:rPr>
        <w:t>地、劳动力、资本是市场经济中传统生产力的</w:t>
      </w:r>
      <w:r>
        <w:rPr>
          <w:rFonts w:hint="eastAsia" w:ascii="宋体" w:hAnsi="宋体" w:eastAsia="宋体" w:cs="宋体"/>
          <w:spacing w:val="21"/>
          <w:sz w:val="24"/>
          <w:szCs w:val="24"/>
        </w:rPr>
        <w:t>构成要素,其中土地和劳动力具有实体性,而资本具有实体性(</w:t>
      </w:r>
      <w:r>
        <w:rPr>
          <w:rFonts w:hint="eastAsia" w:ascii="宋体" w:hAnsi="宋体" w:eastAsia="宋体" w:cs="宋体"/>
          <w:spacing w:val="20"/>
          <w:sz w:val="24"/>
          <w:szCs w:val="24"/>
        </w:rPr>
        <w:t>自然属性)和非实体性(价值属性)</w:t>
      </w:r>
      <w:r>
        <w:rPr>
          <w:rFonts w:hint="eastAsia" w:ascii="宋体" w:hAnsi="宋体" w:eastAsia="宋体" w:cs="宋体"/>
          <w:spacing w:val="18"/>
          <w:sz w:val="24"/>
          <w:szCs w:val="24"/>
        </w:rPr>
        <w:t>两种属性。其生产力质态往往是实体性的。随着科学技术的不断发展,我们不仅要重视传统生产</w:t>
      </w:r>
      <w:r>
        <w:rPr>
          <w:rFonts w:hint="eastAsia" w:ascii="宋体" w:hAnsi="宋体" w:eastAsia="宋体" w:cs="宋体"/>
          <w:spacing w:val="15"/>
          <w:sz w:val="24"/>
          <w:szCs w:val="24"/>
        </w:rPr>
        <w:t>要素土地、劳动力、资本在新型工业化中的重要作用,更要及时发现新生产要素在科</w:t>
      </w:r>
      <w:r>
        <w:rPr>
          <w:rFonts w:hint="eastAsia" w:ascii="宋体" w:hAnsi="宋体" w:eastAsia="宋体" w:cs="宋体"/>
          <w:spacing w:val="14"/>
          <w:sz w:val="24"/>
          <w:szCs w:val="24"/>
        </w:rPr>
        <w:t>技创新中的新</w:t>
      </w:r>
      <w:r>
        <w:rPr>
          <w:rFonts w:hint="eastAsia" w:ascii="宋体" w:hAnsi="宋体" w:eastAsia="宋体" w:cs="宋体"/>
          <w:spacing w:val="19"/>
          <w:sz w:val="24"/>
          <w:szCs w:val="24"/>
        </w:rPr>
        <w:t>功能。生产力是推动人类文明不断向前发展的决定性力量,当新生产要素赋能传统生产要素的时</w:t>
      </w:r>
      <w:r>
        <w:rPr>
          <w:rFonts w:hint="eastAsia" w:ascii="宋体" w:hAnsi="宋体" w:eastAsia="宋体" w:cs="宋体"/>
          <w:spacing w:val="13"/>
          <w:sz w:val="24"/>
          <w:szCs w:val="24"/>
        </w:rPr>
        <w:t>候,新的劳动者、新的生产工具、新的生产对象就会应运而生。当新生产要素与传统生产要素之间</w:t>
      </w:r>
      <w:r>
        <w:rPr>
          <w:rFonts w:hint="eastAsia" w:ascii="宋体" w:hAnsi="宋体" w:eastAsia="宋体" w:cs="宋体"/>
          <w:spacing w:val="17"/>
          <w:sz w:val="24"/>
          <w:szCs w:val="24"/>
        </w:rPr>
        <w:t>融合成长的时候,就会带动新质生产力的能级跃迁。</w:t>
      </w:r>
    </w:p>
    <w:p w14:paraId="578867B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2" w:firstLineChars="200"/>
        <w:jc w:val="both"/>
        <w:textAlignment w:val="baseline"/>
        <w:rPr>
          <w:rFonts w:hint="eastAsia" w:ascii="宋体" w:hAnsi="宋体" w:eastAsia="宋体" w:cs="宋体"/>
          <w:sz w:val="24"/>
          <w:szCs w:val="24"/>
        </w:rPr>
      </w:pPr>
      <w:r>
        <w:rPr>
          <w:rFonts w:hint="eastAsia" w:ascii="宋体" w:hAnsi="宋体" w:eastAsia="宋体" w:cs="宋体"/>
          <w:spacing w:val="23"/>
          <w:sz w:val="24"/>
          <w:szCs w:val="24"/>
        </w:rPr>
        <w:t>新质生产力是核心要素信息化并且能够驾驭资本的生产力。从农耕文明时期的畜力生</w:t>
      </w:r>
      <w:r>
        <w:rPr>
          <w:rFonts w:hint="eastAsia" w:ascii="宋体" w:hAnsi="宋体" w:eastAsia="宋体" w:cs="宋体"/>
          <w:spacing w:val="22"/>
          <w:sz w:val="24"/>
          <w:szCs w:val="24"/>
        </w:rPr>
        <w:t>产力</w:t>
      </w:r>
      <w:r>
        <w:rPr>
          <w:rFonts w:hint="eastAsia" w:ascii="宋体" w:hAnsi="宋体" w:eastAsia="宋体" w:cs="宋体"/>
          <w:spacing w:val="21"/>
          <w:sz w:val="24"/>
          <w:szCs w:val="24"/>
        </w:rPr>
        <w:t>到工业文明时期的机械生产力,从奴隶社会的土地作为核心要素到资本主义社会资本作为核心要</w:t>
      </w:r>
      <w:r>
        <w:rPr>
          <w:rFonts w:hint="eastAsia" w:ascii="宋体" w:hAnsi="宋体" w:eastAsia="宋体" w:cs="宋体"/>
          <w:spacing w:val="2"/>
          <w:sz w:val="24"/>
          <w:szCs w:val="24"/>
        </w:rPr>
        <w:t>素,期间生产力发生了质的飞跃。可见,核心生产要素在某种程度上最终决定着经济社会形态。</w:t>
      </w:r>
      <w:r>
        <w:rPr>
          <w:rFonts w:hint="eastAsia" w:ascii="宋体" w:hAnsi="宋体" w:eastAsia="宋体" w:cs="宋体"/>
          <w:spacing w:val="21"/>
          <w:sz w:val="24"/>
          <w:szCs w:val="24"/>
        </w:rPr>
        <w:t>中国实行的是中国特色社会主义类型的市场经济,而私人资本控制经济社会发展是资本主义生产</w:t>
      </w:r>
      <w:r>
        <w:rPr>
          <w:rFonts w:hint="eastAsia" w:ascii="宋体" w:hAnsi="宋体" w:eastAsia="宋体" w:cs="宋体"/>
          <w:spacing w:val="16"/>
          <w:sz w:val="24"/>
          <w:szCs w:val="24"/>
        </w:rPr>
        <w:t>力的根本特征。中国特色社会主义就是要对各类公有资本、尤其是私人大资本进行多方控制和有</w:t>
      </w:r>
      <w:r>
        <w:rPr>
          <w:rFonts w:hint="eastAsia" w:ascii="宋体" w:hAnsi="宋体" w:eastAsia="宋体" w:cs="宋体"/>
          <w:spacing w:val="14"/>
          <w:sz w:val="24"/>
          <w:szCs w:val="24"/>
        </w:rPr>
        <w:t>效驾驭,特别是要“内在地规定新时代资本的发展方向和目的”</w:t>
      </w:r>
      <w:r>
        <w:rPr>
          <w:rStyle w:val="20"/>
          <w:rFonts w:hint="eastAsia" w:ascii="宋体" w:hAnsi="宋体" w:eastAsia="宋体" w:cs="宋体"/>
          <w:spacing w:val="14"/>
          <w:sz w:val="24"/>
          <w:szCs w:val="24"/>
        </w:rPr>
        <w:footnoteReference w:id="849"/>
      </w:r>
      <w:r>
        <w:rPr>
          <w:rFonts w:hint="eastAsia" w:ascii="宋体" w:hAnsi="宋体" w:eastAsia="宋体" w:cs="宋体"/>
          <w:spacing w:val="14"/>
          <w:sz w:val="24"/>
          <w:szCs w:val="24"/>
        </w:rPr>
        <w:t>,需要在公有制为主体的基础上依</w:t>
      </w:r>
      <w:r>
        <w:rPr>
          <w:rFonts w:hint="eastAsia" w:ascii="宋体" w:hAnsi="宋体" w:eastAsia="宋体" w:cs="宋体"/>
          <w:spacing w:val="3"/>
          <w:sz w:val="24"/>
          <w:szCs w:val="24"/>
        </w:rPr>
        <w:t>赖一种新质的生产工具和生产手段,这种新的生产手段</w:t>
      </w:r>
      <w:r>
        <w:rPr>
          <w:rFonts w:hint="eastAsia" w:ascii="宋体" w:hAnsi="宋体" w:eastAsia="宋体" w:cs="宋体"/>
          <w:spacing w:val="2"/>
          <w:sz w:val="24"/>
          <w:szCs w:val="24"/>
        </w:rPr>
        <w:t>就是信息技术和信息劳动。正是信息要</w:t>
      </w:r>
      <w:r>
        <w:rPr>
          <w:rFonts w:hint="eastAsia" w:ascii="宋体" w:hAnsi="宋体" w:eastAsia="宋体" w:cs="宋体"/>
          <w:spacing w:val="17"/>
          <w:sz w:val="24"/>
          <w:szCs w:val="24"/>
        </w:rPr>
        <w:t>素、信息科技革命、智能生产手段的诞生,从而使得传统生产力的质态发生根本性变化,形成实体</w:t>
      </w:r>
      <w:r>
        <w:rPr>
          <w:rFonts w:hint="eastAsia" w:ascii="宋体" w:hAnsi="宋体" w:eastAsia="宋体" w:cs="宋体"/>
          <w:spacing w:val="18"/>
          <w:sz w:val="24"/>
          <w:szCs w:val="24"/>
        </w:rPr>
        <w:t>性生产力和虚拟性信息生产力并行互促发展的新格局。</w:t>
      </w:r>
    </w:p>
    <w:p w14:paraId="6D3E527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新质生产力是以信息要素智能化方式解放劳动者的生产力。本体论层次的信息,就是事物运动的状态和状态改变的方式。认识论层次的信息,就是认识主体所感知或所表述的事物</w:t>
      </w:r>
      <w:r>
        <w:rPr>
          <w:rStyle w:val="20"/>
          <w:rFonts w:hint="eastAsia" w:ascii="宋体" w:hAnsi="宋体" w:eastAsia="宋体" w:cs="宋体"/>
          <w:spacing w:val="20"/>
          <w:sz w:val="24"/>
          <w:szCs w:val="24"/>
        </w:rPr>
        <w:footnoteReference w:id="850"/>
      </w:r>
      <w:r>
        <w:rPr>
          <w:rFonts w:hint="eastAsia" w:ascii="宋体" w:hAnsi="宋体" w:eastAsia="宋体" w:cs="宋体"/>
          <w:spacing w:val="20"/>
          <w:sz w:val="24"/>
          <w:szCs w:val="24"/>
        </w:rPr>
        <w:t>。信息</w:t>
      </w:r>
      <w:r>
        <w:rPr>
          <w:rFonts w:hint="eastAsia" w:ascii="宋体" w:hAnsi="宋体" w:eastAsia="宋体" w:cs="宋体"/>
          <w:spacing w:val="9"/>
          <w:sz w:val="24"/>
          <w:szCs w:val="24"/>
        </w:rPr>
        <w:t>存在于原始社会、奴隶社会、封建社会、资本</w:t>
      </w:r>
      <w:r>
        <w:rPr>
          <w:rFonts w:hint="eastAsia" w:ascii="宋体" w:hAnsi="宋体" w:eastAsia="宋体" w:cs="宋体"/>
          <w:spacing w:val="8"/>
          <w:sz w:val="24"/>
          <w:szCs w:val="24"/>
        </w:rPr>
        <w:t>主义社会、社会主义社会,只不过当人类改造自然的能</w:t>
      </w:r>
      <w:r>
        <w:rPr>
          <w:rFonts w:hint="eastAsia" w:ascii="宋体" w:hAnsi="宋体" w:eastAsia="宋体" w:cs="宋体"/>
          <w:spacing w:val="15"/>
          <w:sz w:val="24"/>
          <w:szCs w:val="24"/>
        </w:rPr>
        <w:t>力处于较低层次的时候,人们更多依靠视觉、听</w:t>
      </w:r>
      <w:r>
        <w:rPr>
          <w:rFonts w:hint="eastAsia" w:ascii="宋体" w:hAnsi="宋体" w:eastAsia="宋体" w:cs="宋体"/>
          <w:spacing w:val="14"/>
          <w:sz w:val="24"/>
          <w:szCs w:val="24"/>
        </w:rPr>
        <w:t>觉或通过口口相传等手段来获得信息,这表明人们</w:t>
      </w:r>
      <w:r>
        <w:rPr>
          <w:rFonts w:hint="eastAsia" w:ascii="宋体" w:hAnsi="宋体" w:eastAsia="宋体" w:cs="宋体"/>
          <w:spacing w:val="20"/>
          <w:sz w:val="24"/>
          <w:szCs w:val="24"/>
        </w:rPr>
        <w:t>对信息的认知水平和获得的能力以及生产力水平处于不同程度的低质状况。</w:t>
      </w:r>
      <w:r>
        <w:rPr>
          <w:rFonts w:hint="eastAsia" w:ascii="宋体" w:hAnsi="宋体" w:eastAsia="宋体" w:cs="宋体"/>
          <w:spacing w:val="20"/>
          <w:position w:val="-2"/>
          <w:sz w:val="24"/>
          <w:szCs w:val="24"/>
        </w:rPr>
        <w:t>20</w:t>
      </w:r>
      <w:r>
        <w:rPr>
          <w:rFonts w:hint="eastAsia" w:ascii="宋体" w:hAnsi="宋体" w:eastAsia="宋体" w:cs="宋体"/>
          <w:spacing w:val="20"/>
          <w:sz w:val="24"/>
          <w:szCs w:val="24"/>
        </w:rPr>
        <w:t>世纪</w:t>
      </w:r>
      <w:r>
        <w:rPr>
          <w:rFonts w:hint="eastAsia" w:ascii="宋体" w:hAnsi="宋体" w:eastAsia="宋体" w:cs="宋体"/>
          <w:spacing w:val="20"/>
          <w:position w:val="-2"/>
          <w:sz w:val="24"/>
          <w:szCs w:val="24"/>
        </w:rPr>
        <w:t>50</w:t>
      </w:r>
      <w:r>
        <w:rPr>
          <w:rFonts w:hint="eastAsia" w:ascii="宋体" w:hAnsi="宋体" w:eastAsia="宋体" w:cs="宋体"/>
          <w:spacing w:val="20"/>
          <w:sz w:val="24"/>
          <w:szCs w:val="24"/>
        </w:rPr>
        <w:t>年代,微电子技术、通讯技术和计算机的应用使得人们获得了捕捉信息的能力,此时信息才能够成为信息</w:t>
      </w:r>
      <w:r>
        <w:rPr>
          <w:rFonts w:hint="eastAsia" w:ascii="宋体" w:hAnsi="宋体" w:eastAsia="宋体" w:cs="宋体"/>
          <w:spacing w:val="19"/>
          <w:sz w:val="24"/>
          <w:szCs w:val="24"/>
        </w:rPr>
        <w:t>要素进入生产力视野并逐渐成为生产力要素。当信息成为生产力要素的时候,信息作为不同于物</w:t>
      </w:r>
      <w:r>
        <w:rPr>
          <w:rFonts w:hint="eastAsia" w:ascii="宋体" w:hAnsi="宋体" w:eastAsia="宋体" w:cs="宋体"/>
          <w:spacing w:val="21"/>
          <w:sz w:val="24"/>
          <w:szCs w:val="24"/>
        </w:rPr>
        <w:t>质和能量的特定信息要素就开始通过信息技术改变劳动形式和提升劳动效率,并致力于武装劳动</w:t>
      </w:r>
      <w:r>
        <w:rPr>
          <w:rFonts w:hint="eastAsia" w:ascii="宋体" w:hAnsi="宋体" w:eastAsia="宋体" w:cs="宋体"/>
          <w:spacing w:val="23"/>
          <w:sz w:val="24"/>
          <w:szCs w:val="24"/>
        </w:rPr>
        <w:t>者成为智能劳动者,智能劳动者就是经过信息要素和信息技术武装之后的拟人化的劳动者,他具</w:t>
      </w:r>
      <w:r>
        <w:rPr>
          <w:rFonts w:hint="eastAsia" w:ascii="宋体" w:hAnsi="宋体" w:eastAsia="宋体" w:cs="宋体"/>
          <w:spacing w:val="15"/>
          <w:sz w:val="24"/>
          <w:szCs w:val="24"/>
        </w:rPr>
        <w:t>备了劳动者、劳动资料、劳动工具的复合型拟人化特征,智能劳动者通过智能劳动解放</w:t>
      </w:r>
      <w:r>
        <w:rPr>
          <w:rFonts w:hint="eastAsia" w:ascii="宋体" w:hAnsi="宋体" w:eastAsia="宋体" w:cs="宋体"/>
          <w:spacing w:val="14"/>
          <w:sz w:val="24"/>
          <w:szCs w:val="24"/>
        </w:rPr>
        <w:t>劳动者本身</w:t>
      </w:r>
      <w:r>
        <w:rPr>
          <w:rFonts w:hint="eastAsia" w:ascii="宋体" w:hAnsi="宋体" w:eastAsia="宋体" w:cs="宋体"/>
          <w:spacing w:val="16"/>
          <w:sz w:val="24"/>
          <w:szCs w:val="24"/>
        </w:rPr>
        <w:t>就成为新质生产力的显著特征。</w:t>
      </w:r>
    </w:p>
    <w:p w14:paraId="53494BD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8" w:firstLineChars="200"/>
        <w:jc w:val="both"/>
        <w:textAlignment w:val="baseline"/>
        <w:rPr>
          <w:rFonts w:hint="eastAsia" w:ascii="宋体" w:hAnsi="宋体" w:eastAsia="宋体" w:cs="宋体"/>
          <w:sz w:val="24"/>
          <w:szCs w:val="24"/>
        </w:rPr>
      </w:pPr>
      <w:r>
        <w:rPr>
          <w:rFonts w:hint="eastAsia" w:ascii="宋体" w:hAnsi="宋体" w:eastAsia="宋体" w:cs="宋体"/>
          <w:spacing w:val="17"/>
          <w:sz w:val="24"/>
          <w:szCs w:val="24"/>
        </w:rPr>
        <w:t>新质生产力是信息、数据和网络聚合能级提升的生产力。信息的商业化传递需要网络才</w:t>
      </w:r>
      <w:r>
        <w:rPr>
          <w:rFonts w:hint="eastAsia" w:ascii="宋体" w:hAnsi="宋体" w:eastAsia="宋体" w:cs="宋体"/>
          <w:spacing w:val="16"/>
          <w:sz w:val="24"/>
          <w:szCs w:val="24"/>
        </w:rPr>
        <w:t>能插</w:t>
      </w:r>
      <w:r>
        <w:rPr>
          <w:rFonts w:hint="eastAsia" w:ascii="宋体" w:hAnsi="宋体" w:eastAsia="宋体" w:cs="宋体"/>
          <w:spacing w:val="21"/>
          <w:sz w:val="24"/>
          <w:szCs w:val="24"/>
        </w:rPr>
        <w:t>上腾飞的翅膀,没有网络,信息就是一潭死水</w:t>
      </w:r>
      <w:r>
        <w:rPr>
          <w:rFonts w:hint="eastAsia" w:ascii="宋体" w:hAnsi="宋体" w:eastAsia="宋体" w:cs="宋体"/>
          <w:spacing w:val="20"/>
          <w:sz w:val="24"/>
          <w:szCs w:val="24"/>
        </w:rPr>
        <w:t>,不能够发挥生产要素的关键作用。因此,信息和网</w:t>
      </w:r>
      <w:r>
        <w:rPr>
          <w:rFonts w:hint="eastAsia" w:ascii="宋体" w:hAnsi="宋体" w:eastAsia="宋体" w:cs="宋体"/>
          <w:spacing w:val="14"/>
          <w:sz w:val="24"/>
          <w:szCs w:val="24"/>
        </w:rPr>
        <w:t>络一起将劳动资料网络化,网络作为生产力新要素的神奇力量在于它具有全球反馈、时空共在、节</w:t>
      </w:r>
      <w:r>
        <w:rPr>
          <w:rFonts w:hint="eastAsia" w:ascii="宋体" w:hAnsi="宋体" w:eastAsia="宋体" w:cs="宋体"/>
          <w:spacing w:val="-1"/>
          <w:sz w:val="24"/>
          <w:szCs w:val="24"/>
        </w:rPr>
        <w:t>点式互动等特征,在大算力技术的支持下,信息被捕捉、加工、整理成为商业数据,至</w:t>
      </w:r>
      <w:r>
        <w:rPr>
          <w:rFonts w:hint="eastAsia" w:ascii="宋体" w:hAnsi="宋体" w:eastAsia="宋体" w:cs="宋体"/>
          <w:spacing w:val="-2"/>
          <w:sz w:val="24"/>
          <w:szCs w:val="24"/>
        </w:rPr>
        <w:t>此,信息、网</w:t>
      </w:r>
      <w:r>
        <w:rPr>
          <w:rFonts w:hint="eastAsia" w:ascii="宋体" w:hAnsi="宋体" w:eastAsia="宋体" w:cs="宋体"/>
          <w:spacing w:val="12"/>
          <w:sz w:val="24"/>
          <w:szCs w:val="24"/>
        </w:rPr>
        <w:t>络、数据成为新质生产力的标配。当信息、网络、数据成为核心生产要素的时候,劳动者从事的劳</w:t>
      </w:r>
      <w:r>
        <w:rPr>
          <w:rFonts w:hint="eastAsia" w:ascii="宋体" w:hAnsi="宋体" w:eastAsia="宋体" w:cs="宋体"/>
          <w:spacing w:val="17"/>
          <w:sz w:val="24"/>
          <w:szCs w:val="24"/>
        </w:rPr>
        <w:t>动形式由此发生根本性变化,从面对实体劳动资料到</w:t>
      </w:r>
      <w:r>
        <w:rPr>
          <w:rFonts w:hint="eastAsia" w:ascii="宋体" w:hAnsi="宋体" w:eastAsia="宋体" w:cs="宋体"/>
          <w:spacing w:val="16"/>
          <w:sz w:val="24"/>
          <w:szCs w:val="24"/>
        </w:rPr>
        <w:t>从事信息资源的开发、利用和信息转换工作。</w:t>
      </w:r>
      <w:r>
        <w:rPr>
          <w:rFonts w:hint="eastAsia" w:ascii="宋体" w:hAnsi="宋体" w:eastAsia="宋体" w:cs="宋体"/>
          <w:spacing w:val="3"/>
          <w:sz w:val="24"/>
          <w:szCs w:val="24"/>
        </w:rPr>
        <w:t>当数据、信息、网络成为新生产要素的时候,数据搜集、数据挖掘、数据分析、数据产品加工、数据营销等数据劳动都会蝶变成有价值和使用价值的数据再生</w:t>
      </w:r>
      <w:r>
        <w:rPr>
          <w:rFonts w:hint="eastAsia" w:ascii="宋体" w:hAnsi="宋体" w:eastAsia="宋体" w:cs="宋体"/>
          <w:spacing w:val="2"/>
          <w:sz w:val="24"/>
          <w:szCs w:val="24"/>
        </w:rPr>
        <w:t>产。这样一来,数据就成为信息化的商</w:t>
      </w:r>
      <w:r>
        <w:rPr>
          <w:rFonts w:hint="eastAsia" w:ascii="宋体" w:hAnsi="宋体" w:eastAsia="宋体" w:cs="宋体"/>
          <w:spacing w:val="22"/>
          <w:sz w:val="24"/>
          <w:szCs w:val="24"/>
        </w:rPr>
        <w:t>品,这些海量数据即经过加工后的特定信息商品就通</w:t>
      </w:r>
      <w:r>
        <w:rPr>
          <w:rFonts w:hint="eastAsia" w:ascii="宋体" w:hAnsi="宋体" w:eastAsia="宋体" w:cs="宋体"/>
          <w:spacing w:val="21"/>
          <w:sz w:val="24"/>
          <w:szCs w:val="24"/>
        </w:rPr>
        <w:t>过互联网驾驭传统生产要素嬗变的方向、规</w:t>
      </w:r>
      <w:r>
        <w:rPr>
          <w:rFonts w:hint="eastAsia" w:ascii="宋体" w:hAnsi="宋体" w:eastAsia="宋体" w:cs="宋体"/>
          <w:spacing w:val="17"/>
          <w:sz w:val="24"/>
          <w:szCs w:val="24"/>
        </w:rPr>
        <w:t>模和结构。新质生产力就表现为劳动对象的</w:t>
      </w:r>
      <w:r>
        <w:rPr>
          <w:rFonts w:hint="eastAsia" w:ascii="宋体" w:hAnsi="宋体" w:eastAsia="宋体" w:cs="宋体"/>
          <w:spacing w:val="16"/>
          <w:sz w:val="24"/>
          <w:szCs w:val="24"/>
        </w:rPr>
        <w:t>数字化、劳动资料的网络化、劳动者从事的信息劳动</w:t>
      </w:r>
      <w:r>
        <w:rPr>
          <w:rFonts w:hint="eastAsia" w:ascii="宋体" w:hAnsi="宋体" w:eastAsia="宋体" w:cs="宋体"/>
          <w:spacing w:val="14"/>
          <w:sz w:val="24"/>
          <w:szCs w:val="24"/>
        </w:rPr>
        <w:t>的虚拟化</w:t>
      </w:r>
      <w:r>
        <w:rPr>
          <w:rStyle w:val="20"/>
          <w:rFonts w:hint="eastAsia" w:ascii="宋体" w:hAnsi="宋体" w:eastAsia="宋体" w:cs="宋体"/>
          <w:spacing w:val="14"/>
          <w:sz w:val="24"/>
          <w:szCs w:val="24"/>
        </w:rPr>
        <w:footnoteReference w:id="851"/>
      </w:r>
      <w:r>
        <w:rPr>
          <w:rFonts w:hint="eastAsia" w:ascii="宋体" w:hAnsi="宋体" w:eastAsia="宋体" w:cs="宋体"/>
          <w:spacing w:val="14"/>
          <w:sz w:val="24"/>
          <w:szCs w:val="24"/>
        </w:rPr>
        <w:t>。</w:t>
      </w:r>
    </w:p>
    <w:p w14:paraId="2A49E01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4" w:firstLineChars="200"/>
        <w:jc w:val="both"/>
        <w:textAlignment w:val="baseline"/>
        <w:rPr>
          <w:rFonts w:hint="eastAsia" w:ascii="宋体" w:hAnsi="宋体" w:eastAsia="宋体" w:cs="宋体"/>
          <w:sz w:val="24"/>
          <w:szCs w:val="24"/>
        </w:rPr>
      </w:pPr>
      <w:r>
        <w:rPr>
          <w:rFonts w:hint="eastAsia" w:ascii="宋体" w:hAnsi="宋体" w:eastAsia="宋体" w:cs="宋体"/>
          <w:spacing w:val="16"/>
          <w:sz w:val="24"/>
          <w:szCs w:val="24"/>
        </w:rPr>
        <w:t>数字经济是新质生产力的新型态。数据、信息、网络作为新的三个生产要素因其自身的强渗</w:t>
      </w:r>
      <w:r>
        <w:rPr>
          <w:rFonts w:hint="eastAsia" w:ascii="宋体" w:hAnsi="宋体" w:eastAsia="宋体" w:cs="宋体"/>
          <w:spacing w:val="14"/>
          <w:sz w:val="24"/>
          <w:szCs w:val="24"/>
        </w:rPr>
        <w:t>透性、多兼容性、超时空性扩散力具备了整合传统生产力的能力,进而羽化成由数据生产力、信息</w:t>
      </w:r>
      <w:r>
        <w:rPr>
          <w:rFonts w:hint="eastAsia" w:ascii="宋体" w:hAnsi="宋体" w:eastAsia="宋体" w:cs="宋体"/>
          <w:spacing w:val="19"/>
          <w:sz w:val="24"/>
          <w:szCs w:val="24"/>
        </w:rPr>
        <w:t>生产力和网络生产力构成的新质生产力。国家为了加强数字经济的发展,进一步将数据生产要素</w:t>
      </w:r>
      <w:r>
        <w:rPr>
          <w:rFonts w:hint="eastAsia" w:ascii="宋体" w:hAnsi="宋体" w:eastAsia="宋体" w:cs="宋体"/>
          <w:spacing w:val="14"/>
          <w:sz w:val="24"/>
          <w:szCs w:val="24"/>
        </w:rPr>
        <w:t>转变成数据生产力,于</w:t>
      </w:r>
      <w:r>
        <w:rPr>
          <w:rFonts w:hint="eastAsia" w:ascii="宋体" w:hAnsi="宋体" w:eastAsia="宋体" w:cs="宋体"/>
          <w:spacing w:val="14"/>
          <w:position w:val="-2"/>
          <w:sz w:val="24"/>
          <w:szCs w:val="24"/>
        </w:rPr>
        <w:t>2023</w:t>
      </w:r>
      <w:r>
        <w:rPr>
          <w:rFonts w:hint="eastAsia" w:ascii="宋体" w:hAnsi="宋体" w:eastAsia="宋体" w:cs="宋体"/>
          <w:spacing w:val="14"/>
          <w:sz w:val="24"/>
          <w:szCs w:val="24"/>
        </w:rPr>
        <w:t>年</w:t>
      </w:r>
      <w:r>
        <w:rPr>
          <w:rFonts w:hint="eastAsia" w:ascii="宋体" w:hAnsi="宋体" w:eastAsia="宋体" w:cs="宋体"/>
          <w:spacing w:val="14"/>
          <w:position w:val="-2"/>
          <w:sz w:val="24"/>
          <w:szCs w:val="24"/>
        </w:rPr>
        <w:t>10</w:t>
      </w:r>
      <w:r>
        <w:rPr>
          <w:rFonts w:hint="eastAsia" w:ascii="宋体" w:hAnsi="宋体" w:eastAsia="宋体" w:cs="宋体"/>
          <w:spacing w:val="14"/>
          <w:sz w:val="24"/>
          <w:szCs w:val="24"/>
        </w:rPr>
        <w:t>月</w:t>
      </w:r>
      <w:r>
        <w:rPr>
          <w:rFonts w:hint="eastAsia" w:ascii="宋体" w:hAnsi="宋体" w:eastAsia="宋体" w:cs="宋体"/>
          <w:spacing w:val="14"/>
          <w:position w:val="-2"/>
          <w:sz w:val="24"/>
          <w:szCs w:val="24"/>
        </w:rPr>
        <w:t>25</w:t>
      </w:r>
      <w:r>
        <w:rPr>
          <w:rFonts w:hint="eastAsia" w:ascii="宋体" w:hAnsi="宋体" w:eastAsia="宋体" w:cs="宋体"/>
          <w:spacing w:val="14"/>
          <w:sz w:val="24"/>
          <w:szCs w:val="24"/>
        </w:rPr>
        <w:t>日成立了国家数据局</w:t>
      </w:r>
      <w:r>
        <w:rPr>
          <w:rStyle w:val="20"/>
          <w:rFonts w:hint="eastAsia" w:ascii="宋体" w:hAnsi="宋体" w:eastAsia="宋体" w:cs="宋体"/>
          <w:spacing w:val="14"/>
          <w:sz w:val="24"/>
          <w:szCs w:val="24"/>
        </w:rPr>
        <w:footnoteReference w:id="852"/>
      </w:r>
      <w:r>
        <w:rPr>
          <w:rFonts w:hint="eastAsia" w:ascii="宋体" w:hAnsi="宋体" w:eastAsia="宋体" w:cs="宋体"/>
          <w:spacing w:val="14"/>
          <w:sz w:val="24"/>
          <w:szCs w:val="24"/>
        </w:rPr>
        <w:t>。国家数据局由国家发展和改革委</w:t>
      </w:r>
      <w:r>
        <w:rPr>
          <w:rFonts w:hint="eastAsia" w:ascii="宋体" w:hAnsi="宋体" w:eastAsia="宋体" w:cs="宋体"/>
          <w:spacing w:val="21"/>
          <w:sz w:val="24"/>
          <w:szCs w:val="24"/>
        </w:rPr>
        <w:t>员会管理,主要负责协调推进数据基础制度建设,统</w:t>
      </w:r>
      <w:r>
        <w:rPr>
          <w:rFonts w:hint="eastAsia" w:ascii="宋体" w:hAnsi="宋体" w:eastAsia="宋体" w:cs="宋体"/>
          <w:spacing w:val="20"/>
          <w:sz w:val="24"/>
          <w:szCs w:val="24"/>
        </w:rPr>
        <w:t>筹数据资源整合共享和开发利用,统筹推进数</w:t>
      </w:r>
      <w:r>
        <w:rPr>
          <w:rFonts w:hint="eastAsia" w:ascii="宋体" w:hAnsi="宋体" w:eastAsia="宋体" w:cs="宋体"/>
          <w:spacing w:val="16"/>
          <w:sz w:val="24"/>
          <w:szCs w:val="24"/>
        </w:rPr>
        <w:t>字中国、数字经济、数字社会规划和建设等。这表明数据生产力会因为国家数据局的建</w:t>
      </w:r>
      <w:r>
        <w:rPr>
          <w:rFonts w:hint="eastAsia" w:ascii="宋体" w:hAnsi="宋体" w:eastAsia="宋体" w:cs="宋体"/>
          <w:spacing w:val="15"/>
          <w:sz w:val="24"/>
          <w:szCs w:val="24"/>
        </w:rPr>
        <w:t>立而进入</w:t>
      </w:r>
      <w:r>
        <w:rPr>
          <w:rFonts w:hint="eastAsia" w:ascii="宋体" w:hAnsi="宋体" w:eastAsia="宋体" w:cs="宋体"/>
          <w:spacing w:val="17"/>
          <w:sz w:val="24"/>
          <w:szCs w:val="24"/>
        </w:rPr>
        <w:t>发展的快车道,必将助力新质生产力迈上更高发展层次。</w:t>
      </w:r>
    </w:p>
    <w:p w14:paraId="079A458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(二)新科学技术维度的新质生产力</w:t>
      </w:r>
    </w:p>
    <w:p w14:paraId="40D23E8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2" w:firstLineChars="200"/>
        <w:jc w:val="both"/>
        <w:textAlignment w:val="baseline"/>
        <w:rPr>
          <w:rFonts w:hint="eastAsia" w:ascii="宋体" w:hAnsi="宋体" w:eastAsia="宋体" w:cs="宋体"/>
          <w:sz w:val="24"/>
          <w:szCs w:val="24"/>
        </w:rPr>
      </w:pPr>
      <w:r>
        <w:rPr>
          <w:rFonts w:hint="eastAsia" w:ascii="宋体" w:hAnsi="宋体" w:eastAsia="宋体" w:cs="宋体"/>
          <w:spacing w:val="23"/>
          <w:sz w:val="24"/>
          <w:szCs w:val="24"/>
        </w:rPr>
        <w:t>新质生产力是标志性新技术引领的技术革命视阈下的生产力。研究人类社会的技术发</w:t>
      </w:r>
      <w:r>
        <w:rPr>
          <w:rFonts w:hint="eastAsia" w:ascii="宋体" w:hAnsi="宋体" w:eastAsia="宋体" w:cs="宋体"/>
          <w:spacing w:val="22"/>
          <w:sz w:val="24"/>
          <w:szCs w:val="24"/>
        </w:rPr>
        <w:t>展历</w:t>
      </w:r>
      <w:r>
        <w:rPr>
          <w:rFonts w:hint="eastAsia" w:ascii="宋体" w:hAnsi="宋体" w:eastAsia="宋体" w:cs="宋体"/>
          <w:spacing w:val="23"/>
          <w:sz w:val="24"/>
          <w:szCs w:val="24"/>
        </w:rPr>
        <w:t>史,不难发现不同时代有不同时代的新质生</w:t>
      </w:r>
      <w:r>
        <w:rPr>
          <w:rFonts w:hint="eastAsia" w:ascii="宋体" w:hAnsi="宋体" w:eastAsia="宋体" w:cs="宋体"/>
          <w:spacing w:val="22"/>
          <w:sz w:val="24"/>
          <w:szCs w:val="24"/>
        </w:rPr>
        <w:t>产力。蒸汽动力技术的诞生引发了第一次产业革命,</w:t>
      </w:r>
      <w:r>
        <w:rPr>
          <w:rFonts w:hint="eastAsia" w:ascii="宋体" w:hAnsi="宋体" w:eastAsia="宋体" w:cs="宋体"/>
          <w:spacing w:val="21"/>
          <w:sz w:val="24"/>
          <w:szCs w:val="24"/>
        </w:rPr>
        <w:t>这是</w:t>
      </w:r>
      <w:r>
        <w:rPr>
          <w:rFonts w:hint="eastAsia" w:ascii="宋体" w:hAnsi="宋体" w:eastAsia="宋体" w:cs="宋体"/>
          <w:spacing w:val="21"/>
          <w:position w:val="-2"/>
          <w:sz w:val="24"/>
          <w:szCs w:val="24"/>
        </w:rPr>
        <w:t>18</w:t>
      </w:r>
      <w:r>
        <w:rPr>
          <w:rFonts w:hint="eastAsia" w:ascii="宋体" w:hAnsi="宋体" w:eastAsia="宋体" w:cs="宋体"/>
          <w:spacing w:val="21"/>
          <w:sz w:val="24"/>
          <w:szCs w:val="24"/>
        </w:rPr>
        <w:t>世纪机械力取代人力和畜力的新质生产力。以电力技术为标志产生的第二次工业革命,</w:t>
      </w:r>
      <w:r>
        <w:rPr>
          <w:rFonts w:hint="eastAsia" w:ascii="宋体" w:hAnsi="宋体" w:eastAsia="宋体" w:cs="宋体"/>
          <w:spacing w:val="23"/>
          <w:sz w:val="24"/>
          <w:szCs w:val="24"/>
        </w:rPr>
        <w:t>是</w:t>
      </w:r>
      <w:r>
        <w:rPr>
          <w:rFonts w:hint="eastAsia" w:ascii="宋体" w:hAnsi="宋体" w:eastAsia="宋体" w:cs="宋体"/>
          <w:spacing w:val="23"/>
          <w:position w:val="-2"/>
          <w:sz w:val="24"/>
          <w:szCs w:val="24"/>
        </w:rPr>
        <w:t>19</w:t>
      </w:r>
      <w:r>
        <w:rPr>
          <w:rFonts w:hint="eastAsia" w:ascii="宋体" w:hAnsi="宋体" w:eastAsia="宋体" w:cs="宋体"/>
          <w:spacing w:val="23"/>
          <w:sz w:val="24"/>
          <w:szCs w:val="24"/>
        </w:rPr>
        <w:t>世纪电力取代机械力的又一次飞跃,这是那个时代电力生产力蕴涵的能量孕</w:t>
      </w:r>
      <w:r>
        <w:rPr>
          <w:rFonts w:hint="eastAsia" w:ascii="宋体" w:hAnsi="宋体" w:eastAsia="宋体" w:cs="宋体"/>
          <w:spacing w:val="22"/>
          <w:sz w:val="24"/>
          <w:szCs w:val="24"/>
        </w:rPr>
        <w:t>育的新质生产</w:t>
      </w:r>
      <w:r>
        <w:rPr>
          <w:rFonts w:hint="eastAsia" w:ascii="宋体" w:hAnsi="宋体" w:eastAsia="宋体" w:cs="宋体"/>
          <w:spacing w:val="12"/>
          <w:sz w:val="24"/>
          <w:szCs w:val="24"/>
        </w:rPr>
        <w:t>力。进入</w:t>
      </w:r>
      <w:r>
        <w:rPr>
          <w:rFonts w:hint="eastAsia" w:ascii="宋体" w:hAnsi="宋体" w:eastAsia="宋体" w:cs="宋体"/>
          <w:spacing w:val="12"/>
          <w:position w:val="-2"/>
          <w:sz w:val="24"/>
          <w:szCs w:val="24"/>
        </w:rPr>
        <w:t>20</w:t>
      </w:r>
      <w:r>
        <w:rPr>
          <w:rFonts w:hint="eastAsia" w:ascii="宋体" w:hAnsi="宋体" w:eastAsia="宋体" w:cs="宋体"/>
          <w:spacing w:val="12"/>
          <w:sz w:val="24"/>
          <w:szCs w:val="24"/>
        </w:rPr>
        <w:t>世纪后半期,以电子计算机、航天技术、生物科技为标志的第三次工业革命,宣告又一</w:t>
      </w:r>
      <w:r>
        <w:rPr>
          <w:rFonts w:hint="eastAsia" w:ascii="宋体" w:hAnsi="宋体" w:eastAsia="宋体" w:cs="宋体"/>
          <w:spacing w:val="17"/>
          <w:sz w:val="24"/>
          <w:szCs w:val="24"/>
        </w:rPr>
        <w:t>次新质生产力的诞生。可见,新质生产力是跳跃式产业革命的结果,是爆发式技术创新的结果。</w:t>
      </w:r>
    </w:p>
    <w:p w14:paraId="34B0DE5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新科学技术的产生需要产生它的土壤和条件。科技发展历史表明,科学技术的产生并不具有</w:t>
      </w:r>
      <w:r>
        <w:rPr>
          <w:rFonts w:hint="eastAsia" w:ascii="宋体" w:hAnsi="宋体" w:eastAsia="宋体" w:cs="宋体"/>
          <w:spacing w:val="21"/>
          <w:sz w:val="24"/>
          <w:szCs w:val="24"/>
        </w:rPr>
        <w:t>任意性,中国是历史上四大文明古国之一,但是中国为什么没有发生工业革命这</w:t>
      </w:r>
      <w:r>
        <w:rPr>
          <w:rFonts w:hint="eastAsia" w:ascii="宋体" w:hAnsi="宋体" w:eastAsia="宋体" w:cs="宋体"/>
          <w:spacing w:val="20"/>
          <w:sz w:val="24"/>
          <w:szCs w:val="24"/>
        </w:rPr>
        <w:t>一“李约瑟难题”</w:t>
      </w:r>
      <w:r>
        <w:rPr>
          <w:rFonts w:hint="eastAsia" w:ascii="宋体" w:hAnsi="宋体" w:eastAsia="宋体" w:cs="宋体"/>
          <w:spacing w:val="19"/>
          <w:sz w:val="24"/>
          <w:szCs w:val="24"/>
        </w:rPr>
        <w:t>令我们思考技术革命的发生机理和空间选择问题。研究发现,新质生产力的出现是文化革命、制</w:t>
      </w:r>
      <w:r>
        <w:rPr>
          <w:rFonts w:hint="eastAsia" w:ascii="宋体" w:hAnsi="宋体" w:eastAsia="宋体" w:cs="宋体"/>
          <w:spacing w:val="16"/>
          <w:sz w:val="24"/>
          <w:szCs w:val="24"/>
        </w:rPr>
        <w:t>度革命、基础科学革命、产业技术革命综合作用的结果,崭新的产业技术革命的发生是文化革命、</w:t>
      </w:r>
      <w:r>
        <w:rPr>
          <w:rFonts w:hint="eastAsia" w:ascii="宋体" w:hAnsi="宋体" w:eastAsia="宋体" w:cs="宋体"/>
          <w:spacing w:val="22"/>
          <w:sz w:val="24"/>
          <w:szCs w:val="24"/>
        </w:rPr>
        <w:t>制度革命和基础科学革命的逻辑结果和现实表现,不经过前三个方面的深刻革命,</w:t>
      </w:r>
      <w:r>
        <w:rPr>
          <w:rFonts w:hint="eastAsia" w:ascii="宋体" w:hAnsi="宋体" w:eastAsia="宋体" w:cs="宋体"/>
          <w:spacing w:val="21"/>
          <w:sz w:val="24"/>
          <w:szCs w:val="24"/>
        </w:rPr>
        <w:t>以产业革命为</w:t>
      </w:r>
      <w:r>
        <w:rPr>
          <w:rFonts w:hint="eastAsia" w:ascii="宋体" w:hAnsi="宋体" w:eastAsia="宋体" w:cs="宋体"/>
          <w:spacing w:val="20"/>
          <w:sz w:val="24"/>
          <w:szCs w:val="24"/>
        </w:rPr>
        <w:t>运动形式的新质生产力是不会出现的。文化变革与制度变革对于科技革命至关重要,这里重点阐</w:t>
      </w:r>
      <w:r>
        <w:rPr>
          <w:rFonts w:hint="eastAsia" w:ascii="宋体" w:hAnsi="宋体" w:eastAsia="宋体" w:cs="宋体"/>
          <w:spacing w:val="17"/>
          <w:sz w:val="24"/>
          <w:szCs w:val="24"/>
        </w:rPr>
        <w:t>述基础科学与新质生产力之间的关系。</w:t>
      </w:r>
    </w:p>
    <w:p w14:paraId="1A2EB14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8" w:firstLineChars="200"/>
        <w:jc w:val="both"/>
        <w:textAlignment w:val="baseline"/>
        <w:rPr>
          <w:rFonts w:hint="eastAsia" w:ascii="宋体" w:hAnsi="宋体" w:eastAsia="宋体" w:cs="宋体"/>
          <w:sz w:val="24"/>
          <w:szCs w:val="24"/>
        </w:rPr>
      </w:pPr>
      <w:r>
        <w:rPr>
          <w:rFonts w:hint="eastAsia" w:ascii="宋体" w:hAnsi="宋体" w:eastAsia="宋体" w:cs="宋体"/>
          <w:spacing w:val="22"/>
          <w:sz w:val="24"/>
          <w:szCs w:val="24"/>
        </w:rPr>
        <w:t>新质生产力是建立在前沿性基础科学与开发性应用科学共同作用基础上的生产力。以往中</w:t>
      </w:r>
      <w:r>
        <w:rPr>
          <w:rFonts w:hint="eastAsia" w:ascii="宋体" w:hAnsi="宋体" w:eastAsia="宋体" w:cs="宋体"/>
          <w:spacing w:val="12"/>
          <w:sz w:val="24"/>
          <w:szCs w:val="24"/>
        </w:rPr>
        <w:t>国核心高端关键技术短缺的最根本原因就是基础科学发展滞后,当然也有“造不如买买不如租”的</w:t>
      </w:r>
      <w:r>
        <w:rPr>
          <w:rFonts w:hint="eastAsia" w:ascii="宋体" w:hAnsi="宋体" w:eastAsia="宋体" w:cs="宋体"/>
          <w:spacing w:val="17"/>
          <w:sz w:val="24"/>
          <w:szCs w:val="24"/>
        </w:rPr>
        <w:t>技术进口发展战略的错误导向。尤其是要“消除主要依赖引进外国科技的西方比较优势理论和战</w:t>
      </w:r>
      <w:r>
        <w:rPr>
          <w:rFonts w:hint="eastAsia" w:ascii="宋体" w:hAnsi="宋体" w:eastAsia="宋体" w:cs="宋体"/>
          <w:spacing w:val="5"/>
          <w:sz w:val="24"/>
          <w:szCs w:val="24"/>
        </w:rPr>
        <w:t>略,牢固确立自主知识产权优势理论和战略”</w:t>
      </w:r>
      <w:r>
        <w:rPr>
          <w:rStyle w:val="20"/>
          <w:rFonts w:hint="eastAsia" w:ascii="宋体" w:hAnsi="宋体" w:eastAsia="宋体" w:cs="宋体"/>
          <w:spacing w:val="5"/>
          <w:sz w:val="24"/>
          <w:szCs w:val="24"/>
        </w:rPr>
        <w:footnoteReference w:id="853"/>
      </w:r>
      <w:r>
        <w:rPr>
          <w:rFonts w:hint="eastAsia" w:ascii="宋体" w:hAnsi="宋体" w:eastAsia="宋体" w:cs="宋体"/>
          <w:spacing w:val="5"/>
          <w:sz w:val="24"/>
          <w:szCs w:val="24"/>
          <w:lang w:eastAsia="zh-CN"/>
        </w:rPr>
        <w:t>，</w:t>
      </w:r>
      <w:r>
        <w:rPr>
          <w:rFonts w:hint="eastAsia" w:ascii="宋体" w:hAnsi="宋体" w:eastAsia="宋体" w:cs="宋体"/>
          <w:spacing w:val="5"/>
          <w:sz w:val="24"/>
          <w:szCs w:val="24"/>
        </w:rPr>
        <w:t>这是改变中国高科技技术创新短缺的根本措施。</w:t>
      </w:r>
      <w:r>
        <w:rPr>
          <w:rFonts w:hint="eastAsia" w:ascii="宋体" w:hAnsi="宋体" w:eastAsia="宋体" w:cs="宋体"/>
          <w:spacing w:val="20"/>
          <w:sz w:val="24"/>
          <w:szCs w:val="24"/>
        </w:rPr>
        <w:t>人们通过基础研究发现新科学,以新科学演绎新技术,再以新技术全面推动新应用研究,进而</w:t>
      </w:r>
      <w:r>
        <w:rPr>
          <w:rFonts w:hint="eastAsia" w:ascii="宋体" w:hAnsi="宋体" w:eastAsia="宋体" w:cs="宋体"/>
          <w:spacing w:val="19"/>
          <w:sz w:val="24"/>
          <w:szCs w:val="24"/>
        </w:rPr>
        <w:t>使得</w:t>
      </w:r>
      <w:r>
        <w:rPr>
          <w:rFonts w:hint="eastAsia" w:ascii="宋体" w:hAnsi="宋体" w:eastAsia="宋体" w:cs="宋体"/>
          <w:spacing w:val="23"/>
          <w:sz w:val="24"/>
          <w:szCs w:val="24"/>
        </w:rPr>
        <w:t>从基础研究到应用研究经历的多个环节构成高效运转的科技研发闭环。前沿</w:t>
      </w:r>
      <w:r>
        <w:rPr>
          <w:rFonts w:hint="eastAsia" w:ascii="宋体" w:hAnsi="宋体" w:eastAsia="宋体" w:cs="宋体"/>
          <w:spacing w:val="22"/>
          <w:sz w:val="24"/>
          <w:szCs w:val="24"/>
        </w:rPr>
        <w:t>性基础科学需要长</w:t>
      </w:r>
      <w:r>
        <w:rPr>
          <w:rFonts w:hint="eastAsia" w:ascii="宋体" w:hAnsi="宋体" w:eastAsia="宋体" w:cs="宋体"/>
          <w:spacing w:val="14"/>
          <w:sz w:val="24"/>
          <w:szCs w:val="24"/>
        </w:rPr>
        <w:t>期的、艰苦的累积性研究才能有新思想、新学说、新理论的产生,这些</w:t>
      </w:r>
      <w:r>
        <w:rPr>
          <w:rFonts w:hint="eastAsia" w:ascii="宋体" w:hAnsi="宋体" w:eastAsia="宋体" w:cs="宋体"/>
          <w:spacing w:val="13"/>
          <w:sz w:val="24"/>
          <w:szCs w:val="24"/>
        </w:rPr>
        <w:t>前沿性基础科学的深入研究</w:t>
      </w:r>
      <w:r>
        <w:rPr>
          <w:rFonts w:hint="eastAsia" w:ascii="宋体" w:hAnsi="宋体" w:eastAsia="宋体" w:cs="宋体"/>
          <w:spacing w:val="12"/>
          <w:sz w:val="24"/>
          <w:szCs w:val="24"/>
        </w:rPr>
        <w:t>是诞生新技术的源头,是实现从“</w:t>
      </w:r>
      <w:r>
        <w:rPr>
          <w:rFonts w:hint="eastAsia" w:ascii="宋体" w:hAnsi="宋体" w:eastAsia="宋体" w:cs="宋体"/>
          <w:spacing w:val="12"/>
          <w:position w:val="-2"/>
          <w:sz w:val="24"/>
          <w:szCs w:val="24"/>
        </w:rPr>
        <w:t>0</w:t>
      </w:r>
      <w:r>
        <w:rPr>
          <w:rFonts w:hint="eastAsia" w:ascii="宋体" w:hAnsi="宋体" w:eastAsia="宋体" w:cs="宋体"/>
          <w:spacing w:val="12"/>
          <w:sz w:val="24"/>
          <w:szCs w:val="24"/>
        </w:rPr>
        <w:t>”到“</w:t>
      </w:r>
      <w:r>
        <w:rPr>
          <w:rFonts w:hint="eastAsia" w:ascii="宋体" w:hAnsi="宋体" w:eastAsia="宋体" w:cs="宋体"/>
          <w:spacing w:val="12"/>
          <w:position w:val="-2"/>
          <w:sz w:val="24"/>
          <w:szCs w:val="24"/>
        </w:rPr>
        <w:t>1</w:t>
      </w:r>
      <w:r>
        <w:rPr>
          <w:rFonts w:hint="eastAsia" w:ascii="宋体" w:hAnsi="宋体" w:eastAsia="宋体" w:cs="宋体"/>
          <w:spacing w:val="12"/>
          <w:sz w:val="24"/>
          <w:szCs w:val="24"/>
        </w:rPr>
        <w:t>”原始创新的根本,没有前沿性基础科学支撑的应用技术</w:t>
      </w:r>
      <w:r>
        <w:rPr>
          <w:rFonts w:hint="eastAsia" w:ascii="宋体" w:hAnsi="宋体" w:eastAsia="宋体" w:cs="宋体"/>
          <w:spacing w:val="17"/>
          <w:sz w:val="24"/>
          <w:szCs w:val="24"/>
        </w:rPr>
        <w:t>研究都是跟随性创新或者是模仿性创新。</w:t>
      </w:r>
    </w:p>
    <w:p w14:paraId="4B5FC35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8" w:firstLineChars="200"/>
        <w:jc w:val="both"/>
        <w:textAlignment w:val="baseline"/>
        <w:rPr>
          <w:rFonts w:hint="eastAsia" w:ascii="宋体" w:hAnsi="宋体" w:eastAsia="宋体" w:cs="宋体"/>
          <w:sz w:val="24"/>
          <w:szCs w:val="24"/>
        </w:rPr>
      </w:pPr>
      <w:r>
        <w:rPr>
          <w:rFonts w:hint="eastAsia" w:ascii="宋体" w:hAnsi="宋体" w:eastAsia="宋体" w:cs="宋体"/>
          <w:spacing w:val="22"/>
          <w:sz w:val="24"/>
          <w:szCs w:val="24"/>
        </w:rPr>
        <w:t>改变模仿性创新的根本策略是具备基础研发的合力底座。通过新科学转化路径的可行性探</w:t>
      </w:r>
      <w:r>
        <w:rPr>
          <w:rFonts w:hint="eastAsia" w:ascii="宋体" w:hAnsi="宋体" w:eastAsia="宋体" w:cs="宋体"/>
          <w:spacing w:val="15"/>
          <w:sz w:val="24"/>
          <w:szCs w:val="24"/>
        </w:rPr>
        <w:t>求、新科学之间耦合路径的尝试性探究、新自然科学与新社会科学交叉路径的关联</w:t>
      </w:r>
      <w:r>
        <w:rPr>
          <w:rFonts w:hint="eastAsia" w:ascii="宋体" w:hAnsi="宋体" w:eastAsia="宋体" w:cs="宋体"/>
          <w:spacing w:val="14"/>
          <w:sz w:val="24"/>
          <w:szCs w:val="24"/>
        </w:rPr>
        <w:t>性试验探究,实</w:t>
      </w:r>
      <w:r>
        <w:rPr>
          <w:rFonts w:hint="eastAsia" w:ascii="宋体" w:hAnsi="宋体" w:eastAsia="宋体" w:cs="宋体"/>
          <w:spacing w:val="8"/>
          <w:sz w:val="24"/>
          <w:szCs w:val="24"/>
        </w:rPr>
        <w:t>现引领性技术、颠覆性技术的关键性突破,建构信息技术、生物技术、绿色技术、算力技术、人工智</w:t>
      </w:r>
      <w:r>
        <w:rPr>
          <w:rFonts w:hint="eastAsia" w:ascii="宋体" w:hAnsi="宋体" w:eastAsia="宋体" w:cs="宋体"/>
          <w:spacing w:val="21"/>
          <w:sz w:val="24"/>
          <w:szCs w:val="24"/>
        </w:rPr>
        <w:t>能技术的超前性研发,在此基础上,把这些系统性新技</w:t>
      </w:r>
      <w:r>
        <w:rPr>
          <w:rFonts w:hint="eastAsia" w:ascii="宋体" w:hAnsi="宋体" w:eastAsia="宋体" w:cs="宋体"/>
          <w:spacing w:val="20"/>
          <w:sz w:val="24"/>
          <w:szCs w:val="24"/>
        </w:rPr>
        <w:t>术群首先运用到实体经济制造业领域,提高</w:t>
      </w:r>
      <w:r>
        <w:rPr>
          <w:rFonts w:hint="eastAsia" w:ascii="宋体" w:hAnsi="宋体" w:eastAsia="宋体" w:cs="宋体"/>
          <w:spacing w:val="19"/>
          <w:sz w:val="24"/>
          <w:szCs w:val="24"/>
        </w:rPr>
        <w:t>资源转化能力和转化效率;运用到生产经营管理中,提高数字化、信息化和智能</w:t>
      </w:r>
      <w:r>
        <w:rPr>
          <w:rFonts w:hint="eastAsia" w:ascii="宋体" w:hAnsi="宋体" w:eastAsia="宋体" w:cs="宋体"/>
          <w:spacing w:val="18"/>
          <w:sz w:val="24"/>
          <w:szCs w:val="24"/>
        </w:rPr>
        <w:t>化管理效能;运用</w:t>
      </w:r>
      <w:r>
        <w:rPr>
          <w:rFonts w:hint="eastAsia" w:ascii="宋体" w:hAnsi="宋体" w:eastAsia="宋体" w:cs="宋体"/>
          <w:spacing w:val="21"/>
          <w:sz w:val="24"/>
          <w:szCs w:val="24"/>
        </w:rPr>
        <w:t>到社会运行之中,减低公共产品高质量均质化服务成本。由此可见,新科学技术不仅促进实体经济的动态高质量发展,而且还可以带动全社会整体生产力的普遍提升。这说明,以</w:t>
      </w:r>
      <w:r>
        <w:rPr>
          <w:rFonts w:hint="eastAsia" w:ascii="宋体" w:hAnsi="宋体" w:eastAsia="宋体" w:cs="宋体"/>
          <w:spacing w:val="20"/>
          <w:sz w:val="24"/>
          <w:szCs w:val="24"/>
        </w:rPr>
        <w:t>基础研发为底</w:t>
      </w:r>
      <w:r>
        <w:rPr>
          <w:rFonts w:hint="eastAsia" w:ascii="宋体" w:hAnsi="宋体" w:eastAsia="宋体" w:cs="宋体"/>
          <w:spacing w:val="15"/>
          <w:sz w:val="24"/>
          <w:szCs w:val="24"/>
        </w:rPr>
        <w:t>蕴的理论创新是产生超前技术和关键技术的活水源头,是新质生产力产生、发展和形成的标志。</w:t>
      </w:r>
    </w:p>
    <w:p w14:paraId="0777F3A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新质生产力是新技术群的共同崛起。一个社会进入新质生产力的总格局,是现代高新科技在</w:t>
      </w:r>
      <w:r>
        <w:rPr>
          <w:rFonts w:hint="eastAsia" w:ascii="宋体" w:hAnsi="宋体" w:eastAsia="宋体" w:cs="宋体"/>
          <w:spacing w:val="22"/>
          <w:sz w:val="24"/>
          <w:szCs w:val="24"/>
        </w:rPr>
        <w:t>国民经济各行各业大致协同发展的结果,仅有几个产业领域的高新技术领先发展,还不能称其为</w:t>
      </w:r>
      <w:r>
        <w:rPr>
          <w:rFonts w:hint="eastAsia" w:ascii="宋体" w:hAnsi="宋体" w:eastAsia="宋体" w:cs="宋体"/>
          <w:spacing w:val="19"/>
          <w:sz w:val="24"/>
          <w:szCs w:val="24"/>
        </w:rPr>
        <w:t>新质生产力的社会形态,只能称其为新产业。尤其是对于中国这样一个有着</w:t>
      </w:r>
      <w:r>
        <w:rPr>
          <w:rFonts w:hint="eastAsia" w:ascii="宋体" w:hAnsi="宋体" w:eastAsia="宋体" w:cs="宋体"/>
          <w:spacing w:val="19"/>
          <w:position w:val="-2"/>
          <w:sz w:val="24"/>
          <w:szCs w:val="24"/>
        </w:rPr>
        <w:t>14</w:t>
      </w:r>
      <w:r>
        <w:rPr>
          <w:rFonts w:hint="eastAsia" w:ascii="宋体" w:hAnsi="宋体" w:eastAsia="宋体" w:cs="宋体"/>
          <w:spacing w:val="19"/>
          <w:sz w:val="24"/>
          <w:szCs w:val="24"/>
        </w:rPr>
        <w:t>亿</w:t>
      </w:r>
      <w:r>
        <w:rPr>
          <w:rFonts w:hint="eastAsia" w:ascii="宋体" w:hAnsi="宋体" w:eastAsia="宋体" w:cs="宋体"/>
          <w:spacing w:val="18"/>
          <w:sz w:val="24"/>
          <w:szCs w:val="24"/>
        </w:rPr>
        <w:t>多人口的大国</w:t>
      </w:r>
      <w:r>
        <w:rPr>
          <w:rFonts w:hint="eastAsia" w:ascii="宋体" w:hAnsi="宋体" w:eastAsia="宋体" w:cs="宋体"/>
          <w:spacing w:val="21"/>
          <w:sz w:val="24"/>
          <w:szCs w:val="24"/>
        </w:rPr>
        <w:t>而言,对于当下美西方制裁中国经济和科技的国际新形势而言,我们必须有实现自立</w:t>
      </w:r>
      <w:r>
        <w:rPr>
          <w:rFonts w:hint="eastAsia" w:ascii="宋体" w:hAnsi="宋体" w:eastAsia="宋体" w:cs="宋体"/>
          <w:spacing w:val="20"/>
          <w:sz w:val="24"/>
          <w:szCs w:val="24"/>
        </w:rPr>
        <w:t>自强的国民</w:t>
      </w:r>
      <w:r>
        <w:rPr>
          <w:rFonts w:hint="eastAsia" w:ascii="宋体" w:hAnsi="宋体" w:eastAsia="宋体" w:cs="宋体"/>
          <w:spacing w:val="12"/>
          <w:sz w:val="24"/>
          <w:szCs w:val="24"/>
        </w:rPr>
        <w:t>经济内循环的能力,必须有不受制于美西方“卡脖子”的高新技术群。电子与信息技术、生物工程</w:t>
      </w:r>
      <w:r>
        <w:rPr>
          <w:rFonts w:hint="eastAsia" w:ascii="宋体" w:hAnsi="宋体" w:eastAsia="宋体" w:cs="宋体"/>
          <w:spacing w:val="6"/>
          <w:sz w:val="24"/>
          <w:szCs w:val="24"/>
        </w:rPr>
        <w:t>和新医药技术、航空航天技术、核应用技术、海洋工程技术、新能源与高效节能技术、环境保护新技</w:t>
      </w:r>
      <w:r>
        <w:rPr>
          <w:rFonts w:hint="eastAsia" w:ascii="宋体" w:hAnsi="宋体" w:eastAsia="宋体" w:cs="宋体"/>
          <w:spacing w:val="18"/>
          <w:sz w:val="24"/>
          <w:szCs w:val="24"/>
        </w:rPr>
        <w:t>术、现代农业技术等,这些领域的关键高新科技我们一个都不能少,</w:t>
      </w:r>
      <w:r>
        <w:rPr>
          <w:rFonts w:hint="eastAsia" w:ascii="宋体" w:hAnsi="宋体" w:eastAsia="宋体" w:cs="宋体"/>
          <w:spacing w:val="17"/>
          <w:sz w:val="24"/>
          <w:szCs w:val="24"/>
        </w:rPr>
        <w:t>需要通过新型举国体制来逐步</w:t>
      </w:r>
      <w:r>
        <w:rPr>
          <w:rFonts w:hint="eastAsia" w:ascii="宋体" w:hAnsi="宋体" w:eastAsia="宋体" w:cs="宋体"/>
          <w:spacing w:val="11"/>
          <w:sz w:val="24"/>
          <w:szCs w:val="24"/>
        </w:rPr>
        <w:t>攻克,否则都会受制于美西方的制裁、围堵和打压。</w:t>
      </w:r>
    </w:p>
    <w:p w14:paraId="21CB0DF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(三)战略性新产业维度的新质生产力</w:t>
      </w:r>
    </w:p>
    <w:p w14:paraId="7F553E3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新质生产力需要结构科学合理的产业体系来支撑。在现代产业体系中,基础</w:t>
      </w:r>
      <w:r>
        <w:rPr>
          <w:rFonts w:hint="eastAsia" w:ascii="宋体" w:hAnsi="宋体" w:eastAsia="宋体" w:cs="宋体"/>
          <w:spacing w:val="18"/>
          <w:sz w:val="24"/>
          <w:szCs w:val="24"/>
        </w:rPr>
        <w:t>设施产业、民生</w:t>
      </w:r>
      <w:r>
        <w:rPr>
          <w:rFonts w:hint="eastAsia" w:ascii="宋体" w:hAnsi="宋体" w:eastAsia="宋体" w:cs="宋体"/>
          <w:spacing w:val="-2"/>
          <w:sz w:val="24"/>
          <w:szCs w:val="24"/>
        </w:rPr>
        <w:t>产业、战略性新兴产业是支撑新质生产力的三大支柱。其中,传统的基础设施产业包括道路、铁</w:t>
      </w:r>
      <w:r>
        <w:rPr>
          <w:rFonts w:hint="eastAsia" w:ascii="宋体" w:hAnsi="宋体" w:eastAsia="宋体" w:cs="宋体"/>
          <w:spacing w:val="3"/>
          <w:sz w:val="24"/>
          <w:szCs w:val="24"/>
        </w:rPr>
        <w:t>路、桥梁、机场、港口、火车站、水电气管网系统、排污系统等,新基础设施产业主要包括</w:t>
      </w:r>
      <w:r>
        <w:rPr>
          <w:rFonts w:hint="eastAsia" w:ascii="宋体" w:hAnsi="宋体" w:eastAsia="宋体" w:cs="宋体"/>
          <w:spacing w:val="3"/>
          <w:position w:val="-2"/>
          <w:sz w:val="24"/>
          <w:szCs w:val="24"/>
        </w:rPr>
        <w:t>5G</w:t>
      </w:r>
      <w:r>
        <w:rPr>
          <w:rFonts w:hint="eastAsia" w:ascii="宋体" w:hAnsi="宋体" w:eastAsia="宋体" w:cs="宋体"/>
          <w:spacing w:val="3"/>
          <w:sz w:val="24"/>
          <w:szCs w:val="24"/>
        </w:rPr>
        <w:t>基站建</w:t>
      </w:r>
      <w:r>
        <w:rPr>
          <w:rFonts w:hint="eastAsia" w:ascii="宋体" w:hAnsi="宋体" w:eastAsia="宋体" w:cs="宋体"/>
          <w:spacing w:val="6"/>
          <w:sz w:val="24"/>
          <w:szCs w:val="24"/>
        </w:rPr>
        <w:t>设、城际高速铁路和城市轨道交通、新能源汽车充电桩、特高压</w:t>
      </w:r>
      <w:r>
        <w:rPr>
          <w:rFonts w:hint="eastAsia" w:ascii="宋体" w:hAnsi="宋体" w:eastAsia="宋体" w:cs="宋体"/>
          <w:spacing w:val="5"/>
          <w:sz w:val="24"/>
          <w:szCs w:val="24"/>
        </w:rPr>
        <w:t>、大数据中心、人工智能、工业互联</w:t>
      </w:r>
      <w:r>
        <w:rPr>
          <w:rFonts w:hint="eastAsia" w:ascii="宋体" w:hAnsi="宋体" w:eastAsia="宋体" w:cs="宋体"/>
          <w:spacing w:val="19"/>
          <w:sz w:val="24"/>
          <w:szCs w:val="24"/>
        </w:rPr>
        <w:t>网七大领域,传统基础设施产业和新型基础设施产业共同构成新质生产力的两大基石。民用轻工</w:t>
      </w:r>
      <w:r>
        <w:rPr>
          <w:rFonts w:hint="eastAsia" w:ascii="宋体" w:hAnsi="宋体" w:eastAsia="宋体" w:cs="宋体"/>
          <w:spacing w:val="9"/>
          <w:sz w:val="24"/>
          <w:szCs w:val="24"/>
        </w:rPr>
        <w:t>业、农业、以居民住房为主体的公租房和商品房建筑业是实体民生产业,教育、医疗、养老是服务型</w:t>
      </w:r>
      <w:r>
        <w:rPr>
          <w:rFonts w:hint="eastAsia" w:ascii="宋体" w:hAnsi="宋体" w:eastAsia="宋体" w:cs="宋体"/>
          <w:spacing w:val="20"/>
          <w:sz w:val="24"/>
          <w:szCs w:val="24"/>
        </w:rPr>
        <w:t>民生产业。新质生产力不是抛弃这些实体民生产业和服务型民生产业,而是运用信息通讯技术和</w:t>
      </w:r>
      <w:r>
        <w:rPr>
          <w:rFonts w:hint="eastAsia" w:ascii="宋体" w:hAnsi="宋体" w:eastAsia="宋体" w:cs="宋体"/>
          <w:spacing w:val="21"/>
          <w:sz w:val="24"/>
          <w:szCs w:val="24"/>
        </w:rPr>
        <w:t>大数据技术对传统产业群进行全面产业升级,升级后的新传统产业与战略性新兴产业共同构成高</w:t>
      </w:r>
      <w:r>
        <w:rPr>
          <w:rFonts w:hint="eastAsia" w:ascii="宋体" w:hAnsi="宋体" w:eastAsia="宋体" w:cs="宋体"/>
          <w:spacing w:val="9"/>
          <w:sz w:val="24"/>
          <w:szCs w:val="24"/>
        </w:rPr>
        <w:t>效、快捷、稳定、安全的新质产业集群,建立在新质产业群基础上的生产力成为</w:t>
      </w:r>
      <w:r>
        <w:rPr>
          <w:rFonts w:hint="eastAsia" w:ascii="宋体" w:hAnsi="宋体" w:eastAsia="宋体" w:cs="宋体"/>
          <w:spacing w:val="8"/>
          <w:sz w:val="24"/>
          <w:szCs w:val="24"/>
        </w:rPr>
        <w:t>新质生产力。</w:t>
      </w:r>
    </w:p>
    <w:p w14:paraId="431C518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8" w:firstLineChars="200"/>
        <w:jc w:val="both"/>
        <w:textAlignment w:val="baseline"/>
        <w:rPr>
          <w:rFonts w:hint="eastAsia" w:ascii="宋体" w:hAnsi="宋体" w:eastAsia="宋体" w:cs="宋体"/>
          <w:sz w:val="24"/>
          <w:szCs w:val="24"/>
        </w:rPr>
      </w:pPr>
      <w:r>
        <w:rPr>
          <w:rFonts w:hint="eastAsia" w:ascii="宋体" w:hAnsi="宋体" w:eastAsia="宋体" w:cs="宋体"/>
          <w:spacing w:val="22"/>
          <w:sz w:val="24"/>
          <w:szCs w:val="24"/>
        </w:rPr>
        <w:t>新质生产力需要明确现代产业体系内部结构的各自功能定位。产业的功能定位是以产业分</w:t>
      </w:r>
      <w:r>
        <w:rPr>
          <w:rFonts w:hint="eastAsia" w:ascii="宋体" w:hAnsi="宋体" w:eastAsia="宋体" w:cs="宋体"/>
          <w:spacing w:val="7"/>
          <w:sz w:val="24"/>
          <w:szCs w:val="24"/>
        </w:rPr>
        <w:t>工为基础的</w:t>
      </w:r>
      <w:r>
        <w:rPr>
          <w:rStyle w:val="20"/>
          <w:rFonts w:hint="eastAsia" w:ascii="宋体" w:hAnsi="宋体" w:eastAsia="宋体" w:cs="宋体"/>
          <w:spacing w:val="7"/>
          <w:sz w:val="24"/>
          <w:szCs w:val="24"/>
        </w:rPr>
        <w:footnoteReference w:id="854"/>
      </w:r>
      <w:r>
        <w:rPr>
          <w:rFonts w:hint="eastAsia" w:ascii="宋体" w:hAnsi="宋体" w:eastAsia="宋体" w:cs="宋体"/>
          <w:spacing w:val="7"/>
          <w:sz w:val="24"/>
          <w:szCs w:val="24"/>
        </w:rPr>
        <w:t>。以数字化技术、智能化技术改造升级后的基础设施产业、大</w:t>
      </w:r>
      <w:r>
        <w:rPr>
          <w:rFonts w:hint="eastAsia" w:ascii="宋体" w:hAnsi="宋体" w:eastAsia="宋体" w:cs="宋体"/>
          <w:spacing w:val="6"/>
          <w:sz w:val="24"/>
          <w:szCs w:val="24"/>
        </w:rPr>
        <w:t>健康产业、大农业、大房</w:t>
      </w:r>
      <w:r>
        <w:rPr>
          <w:rFonts w:hint="eastAsia" w:ascii="宋体" w:hAnsi="宋体" w:eastAsia="宋体" w:cs="宋体"/>
          <w:spacing w:val="17"/>
          <w:sz w:val="24"/>
          <w:szCs w:val="24"/>
        </w:rPr>
        <w:t>地产业将是新质生产力发展依托的新生力量。先进重型装备制造业、高科技军事工业作为战略性</w:t>
      </w:r>
      <w:r>
        <w:rPr>
          <w:rFonts w:hint="eastAsia" w:ascii="宋体" w:hAnsi="宋体" w:eastAsia="宋体" w:cs="宋体"/>
          <w:spacing w:val="23"/>
          <w:sz w:val="24"/>
          <w:szCs w:val="24"/>
        </w:rPr>
        <w:t>新兴产业是新质生产力的核心主导产业,是代表未来产业发展趋势的先导性产业,是能够掌控国</w:t>
      </w:r>
      <w:r>
        <w:rPr>
          <w:rFonts w:hint="eastAsia" w:ascii="宋体" w:hAnsi="宋体" w:eastAsia="宋体" w:cs="宋体"/>
          <w:spacing w:val="20"/>
          <w:sz w:val="24"/>
          <w:szCs w:val="24"/>
        </w:rPr>
        <w:t>际局势把握战略主动权的竞争性产业。华为</w:t>
      </w:r>
      <w:r>
        <w:rPr>
          <w:rFonts w:hint="eastAsia" w:ascii="宋体" w:hAnsi="宋体" w:eastAsia="宋体" w:cs="宋体"/>
          <w:position w:val="-2"/>
          <w:sz w:val="24"/>
          <w:szCs w:val="24"/>
        </w:rPr>
        <w:t>Mate</w:t>
      </w:r>
      <w:r>
        <w:rPr>
          <w:rFonts w:hint="eastAsia" w:ascii="宋体" w:hAnsi="宋体" w:eastAsia="宋体" w:cs="宋体"/>
          <w:spacing w:val="20"/>
          <w:position w:val="-2"/>
          <w:sz w:val="24"/>
          <w:szCs w:val="24"/>
        </w:rPr>
        <w:t>60</w:t>
      </w:r>
      <w:r>
        <w:rPr>
          <w:rFonts w:hint="eastAsia" w:ascii="宋体" w:hAnsi="宋体" w:eastAsia="宋体" w:cs="宋体"/>
          <w:position w:val="-2"/>
          <w:sz w:val="24"/>
          <w:szCs w:val="24"/>
        </w:rPr>
        <w:t>Pro</w:t>
      </w:r>
      <w:r>
        <w:rPr>
          <w:rFonts w:hint="eastAsia" w:ascii="宋体" w:hAnsi="宋体" w:eastAsia="宋体" w:cs="宋体"/>
          <w:spacing w:val="20"/>
          <w:sz w:val="24"/>
          <w:szCs w:val="24"/>
        </w:rPr>
        <w:t>的成功销售,表明中国具备了完全自主</w:t>
      </w:r>
      <w:r>
        <w:rPr>
          <w:rFonts w:hint="eastAsia" w:ascii="宋体" w:hAnsi="宋体" w:eastAsia="宋体" w:cs="宋体"/>
          <w:spacing w:val="23"/>
          <w:sz w:val="24"/>
          <w:szCs w:val="24"/>
        </w:rPr>
        <w:t>研发高科技的能力,实现了真正意义上的产业结构升级,这说明中国可</w:t>
      </w:r>
      <w:r>
        <w:rPr>
          <w:rFonts w:hint="eastAsia" w:ascii="宋体" w:hAnsi="宋体" w:eastAsia="宋体" w:cs="宋体"/>
          <w:spacing w:val="22"/>
          <w:sz w:val="24"/>
          <w:szCs w:val="24"/>
        </w:rPr>
        <w:t>以不再像以往那样不得不</w:t>
      </w:r>
      <w:r>
        <w:rPr>
          <w:rFonts w:hint="eastAsia" w:ascii="宋体" w:hAnsi="宋体" w:eastAsia="宋体" w:cs="宋体"/>
          <w:spacing w:val="21"/>
          <w:sz w:val="24"/>
          <w:szCs w:val="24"/>
        </w:rPr>
        <w:t>依靠房地产业来拉动经济增长了,而今完全可以依靠现代产业体系中的战略性新兴产业来促进中</w:t>
      </w:r>
      <w:r>
        <w:rPr>
          <w:rFonts w:hint="eastAsia" w:ascii="宋体" w:hAnsi="宋体" w:eastAsia="宋体" w:cs="宋体"/>
          <w:spacing w:val="18"/>
          <w:sz w:val="24"/>
          <w:szCs w:val="24"/>
        </w:rPr>
        <w:t>国经济的强劲增长了。由此可见,由结构科学合理的现代产业体系特别是其中的战略性新兴产业推动的新质生产力完全可以进入良性循环发展的新赛道了!</w:t>
      </w:r>
    </w:p>
    <w:p w14:paraId="6235470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8" w:firstLineChars="200"/>
        <w:jc w:val="both"/>
        <w:textAlignment w:val="baseline"/>
        <w:rPr>
          <w:rFonts w:hint="eastAsia" w:ascii="宋体" w:hAnsi="宋体" w:eastAsia="宋体" w:cs="宋体"/>
          <w:sz w:val="24"/>
          <w:szCs w:val="24"/>
        </w:rPr>
      </w:pPr>
      <w:r>
        <w:rPr>
          <w:rFonts w:hint="eastAsia" w:ascii="宋体" w:hAnsi="宋体" w:eastAsia="宋体" w:cs="宋体"/>
          <w:spacing w:val="22"/>
          <w:sz w:val="24"/>
          <w:szCs w:val="24"/>
        </w:rPr>
        <w:t>理性预测前瞻性战略产业是确保新质生产力呈现持久旺盛生命力的密码。战略性新兴产业</w:t>
      </w:r>
      <w:r>
        <w:rPr>
          <w:rFonts w:hint="eastAsia" w:ascii="宋体" w:hAnsi="宋体" w:eastAsia="宋体" w:cs="宋体"/>
          <w:spacing w:val="17"/>
          <w:sz w:val="24"/>
          <w:szCs w:val="24"/>
        </w:rPr>
        <w:t>一定是特定空间的掌控型高科技产业,就太空而言,</w:t>
      </w:r>
      <w:r>
        <w:rPr>
          <w:rFonts w:hint="eastAsia" w:ascii="宋体" w:hAnsi="宋体" w:eastAsia="宋体" w:cs="宋体"/>
          <w:spacing w:val="16"/>
          <w:sz w:val="24"/>
          <w:szCs w:val="24"/>
        </w:rPr>
        <w:t>太空育种业、太空通信业、太空军工产业都是</w:t>
      </w:r>
      <w:r>
        <w:rPr>
          <w:rFonts w:hint="eastAsia" w:ascii="宋体" w:hAnsi="宋体" w:eastAsia="宋体" w:cs="宋体"/>
          <w:spacing w:val="8"/>
          <w:sz w:val="24"/>
          <w:szCs w:val="24"/>
        </w:rPr>
        <w:t>前瞻性战略产业。就深海而言,深海工程制造业、深海勘探业、深海加工业、深海资源制药业、深海</w:t>
      </w:r>
      <w:r>
        <w:rPr>
          <w:rFonts w:hint="eastAsia" w:ascii="宋体" w:hAnsi="宋体" w:eastAsia="宋体" w:cs="宋体"/>
          <w:spacing w:val="19"/>
          <w:sz w:val="24"/>
          <w:szCs w:val="24"/>
        </w:rPr>
        <w:t>多层分工交通业等都是前瞻性战略产业。随着科学技术的进一</w:t>
      </w:r>
      <w:r>
        <w:rPr>
          <w:rFonts w:hint="eastAsia" w:ascii="宋体" w:hAnsi="宋体" w:eastAsia="宋体" w:cs="宋体"/>
          <w:spacing w:val="18"/>
          <w:sz w:val="24"/>
          <w:szCs w:val="24"/>
        </w:rPr>
        <w:t>步发展,新能源产业、类脑智能产</w:t>
      </w:r>
      <w:r>
        <w:rPr>
          <w:rFonts w:hint="eastAsia" w:ascii="宋体" w:hAnsi="宋体" w:eastAsia="宋体" w:cs="宋体"/>
          <w:spacing w:val="11"/>
          <w:sz w:val="24"/>
          <w:szCs w:val="24"/>
        </w:rPr>
        <w:t>业、量子信息通讯产业、基因生物产业、航空航天产业、深海装备产业也会成为未来前瞻性战略产</w:t>
      </w:r>
      <w:r>
        <w:rPr>
          <w:rFonts w:hint="eastAsia" w:ascii="宋体" w:hAnsi="宋体" w:eastAsia="宋体" w:cs="宋体"/>
          <w:spacing w:val="13"/>
          <w:sz w:val="24"/>
          <w:szCs w:val="24"/>
        </w:rPr>
        <w:t>业。前瞻性战略产业发展也是有规律可循的,我们可以沿着新材料</w:t>
      </w:r>
      <w:r>
        <w:rPr>
          <w:rFonts w:hint="eastAsia" w:ascii="宋体" w:hAnsi="宋体" w:eastAsia="宋体" w:cs="宋体"/>
          <w:spacing w:val="12"/>
          <w:sz w:val="24"/>
          <w:szCs w:val="24"/>
        </w:rPr>
        <w:t>、新介质、新微观世界单元、新</w:t>
      </w:r>
      <w:r>
        <w:rPr>
          <w:rFonts w:hint="eastAsia" w:ascii="宋体" w:hAnsi="宋体" w:eastAsia="宋体" w:cs="宋体"/>
          <w:spacing w:val="18"/>
          <w:sz w:val="24"/>
          <w:szCs w:val="24"/>
        </w:rPr>
        <w:t>宏观集成整体架构、新网络连接形式的全新设计思路,构筑未来产业的</w:t>
      </w:r>
      <w:r>
        <w:rPr>
          <w:rFonts w:hint="eastAsia" w:ascii="宋体" w:hAnsi="宋体" w:eastAsia="宋体" w:cs="宋体"/>
          <w:spacing w:val="17"/>
          <w:sz w:val="24"/>
          <w:szCs w:val="24"/>
        </w:rPr>
        <w:t>研发方向,探索单个产业独</w:t>
      </w:r>
      <w:r>
        <w:rPr>
          <w:rFonts w:hint="eastAsia" w:ascii="宋体" w:hAnsi="宋体" w:eastAsia="宋体" w:cs="宋体"/>
          <w:spacing w:val="23"/>
          <w:sz w:val="24"/>
          <w:szCs w:val="24"/>
        </w:rPr>
        <w:t>立型芯片向多个产业兼容型芯片转化方式,力争通过全产业链布局,</w:t>
      </w:r>
      <w:r>
        <w:rPr>
          <w:rFonts w:hint="eastAsia" w:ascii="宋体" w:hAnsi="宋体" w:eastAsia="宋体" w:cs="宋体"/>
          <w:spacing w:val="22"/>
          <w:sz w:val="24"/>
          <w:szCs w:val="24"/>
        </w:rPr>
        <w:t>实现国产化集成产业连续升</w:t>
      </w:r>
      <w:r>
        <w:rPr>
          <w:rFonts w:hint="eastAsia" w:ascii="宋体" w:hAnsi="宋体" w:eastAsia="宋体" w:cs="宋体"/>
          <w:spacing w:val="17"/>
          <w:sz w:val="24"/>
          <w:szCs w:val="24"/>
        </w:rPr>
        <w:t>级向产业迭代升级的根本性转变。</w:t>
      </w:r>
    </w:p>
    <w:p w14:paraId="46349A6C">
      <w:pPr>
        <w:pStyle w:val="4"/>
        <w:bidi w:val="0"/>
        <w:rPr>
          <w:rFonts w:hint="eastAsia"/>
        </w:rPr>
      </w:pPr>
      <w:r>
        <w:rPr>
          <w:rFonts w:hint="eastAsia"/>
        </w:rPr>
        <w:t>二、促进新质生产力发展的中国特色社会主义生产关系</w:t>
      </w:r>
    </w:p>
    <w:p w14:paraId="11E16C4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pacing w:val="20"/>
          <w:sz w:val="24"/>
          <w:szCs w:val="24"/>
        </w:rPr>
      </w:pPr>
      <w:r>
        <w:rPr>
          <w:rFonts w:hint="eastAsia" w:ascii="宋体" w:hAnsi="宋体" w:eastAsia="宋体" w:cs="宋体"/>
          <w:spacing w:val="20"/>
          <w:sz w:val="24"/>
          <w:szCs w:val="24"/>
        </w:rPr>
        <w:t>(一)要正确认识社会主义生产关系与新质生产力的辨证关系</w:t>
      </w:r>
    </w:p>
    <w:p w14:paraId="57AD5E6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新质生产力需要社会主义生产关系的加持和</w:t>
      </w:r>
      <w:r>
        <w:rPr>
          <w:rFonts w:hint="eastAsia" w:ascii="宋体" w:hAnsi="宋体" w:eastAsia="宋体" w:cs="宋体"/>
          <w:spacing w:val="19"/>
          <w:sz w:val="24"/>
          <w:szCs w:val="24"/>
        </w:rPr>
        <w:t>掌控。马克思主义政治经济学告诉我们,生产力</w:t>
      </w:r>
      <w:r>
        <w:rPr>
          <w:rFonts w:hint="eastAsia" w:ascii="宋体" w:hAnsi="宋体" w:eastAsia="宋体" w:cs="宋体"/>
          <w:spacing w:val="21"/>
          <w:sz w:val="24"/>
          <w:szCs w:val="24"/>
        </w:rPr>
        <w:t>和生产关系二者是统一的,既相互作用又相互影响。观察经济发展史,不同性质的生产力最终会</w:t>
      </w:r>
      <w:r>
        <w:rPr>
          <w:rFonts w:hint="eastAsia" w:ascii="宋体" w:hAnsi="宋体" w:eastAsia="宋体" w:cs="宋体"/>
          <w:spacing w:val="20"/>
          <w:sz w:val="24"/>
          <w:szCs w:val="24"/>
        </w:rPr>
        <w:t>产生不同的生产关系或经济制度。“手推磨</w:t>
      </w:r>
      <w:r>
        <w:rPr>
          <w:rFonts w:hint="eastAsia" w:ascii="宋体" w:hAnsi="宋体" w:eastAsia="宋体" w:cs="宋体"/>
          <w:spacing w:val="19"/>
          <w:sz w:val="24"/>
          <w:szCs w:val="24"/>
        </w:rPr>
        <w:t>产生的是封建主的社会,蒸汽磨产生的是工业资本家</w:t>
      </w:r>
      <w:r>
        <w:rPr>
          <w:rFonts w:hint="eastAsia" w:ascii="宋体" w:hAnsi="宋体" w:eastAsia="宋体" w:cs="宋体"/>
          <w:spacing w:val="17"/>
          <w:sz w:val="24"/>
          <w:szCs w:val="24"/>
        </w:rPr>
        <w:t>的社会。”</w:t>
      </w:r>
      <w:r>
        <w:rPr>
          <w:rStyle w:val="20"/>
          <w:rFonts w:hint="eastAsia" w:ascii="宋体" w:hAnsi="宋体" w:eastAsia="宋体" w:cs="宋体"/>
          <w:spacing w:val="17"/>
          <w:sz w:val="24"/>
          <w:szCs w:val="24"/>
        </w:rPr>
        <w:footnoteReference w:id="855"/>
      </w:r>
      <w:r>
        <w:rPr>
          <w:rFonts w:hint="eastAsia" w:ascii="宋体" w:hAnsi="宋体" w:eastAsia="宋体" w:cs="宋体"/>
          <w:spacing w:val="17"/>
          <w:sz w:val="24"/>
          <w:szCs w:val="24"/>
        </w:rPr>
        <w:t>只有社会主义生产关系,才能促进社会主</w:t>
      </w:r>
      <w:r>
        <w:rPr>
          <w:rFonts w:hint="eastAsia" w:ascii="宋体" w:hAnsi="宋体" w:eastAsia="宋体" w:cs="宋体"/>
          <w:spacing w:val="16"/>
          <w:sz w:val="24"/>
          <w:szCs w:val="24"/>
        </w:rPr>
        <w:t>义新质生产力以前所未有的速度呈现高质量发展。有学者认为,“社会主义基本经济制度为新</w:t>
      </w:r>
      <w:r>
        <w:rPr>
          <w:rFonts w:hint="eastAsia" w:ascii="宋体" w:hAnsi="宋体" w:eastAsia="宋体" w:cs="宋体"/>
          <w:spacing w:val="15"/>
          <w:sz w:val="24"/>
          <w:szCs w:val="24"/>
        </w:rPr>
        <w:t>质生产力的发展提供微观载体”</w:t>
      </w:r>
      <w:r>
        <w:rPr>
          <w:rStyle w:val="20"/>
          <w:rFonts w:hint="eastAsia" w:ascii="宋体" w:hAnsi="宋体" w:eastAsia="宋体" w:cs="宋体"/>
          <w:spacing w:val="15"/>
          <w:sz w:val="24"/>
          <w:szCs w:val="24"/>
        </w:rPr>
        <w:footnoteReference w:id="856"/>
      </w:r>
      <w:r>
        <w:rPr>
          <w:rFonts w:hint="eastAsia" w:ascii="宋体" w:hAnsi="宋体" w:eastAsia="宋体" w:cs="宋体"/>
          <w:spacing w:val="15"/>
          <w:sz w:val="24"/>
          <w:szCs w:val="24"/>
        </w:rPr>
        <w:t>,事实上,作为</w:t>
      </w:r>
      <w:r>
        <w:rPr>
          <w:rFonts w:hint="eastAsia" w:ascii="宋体" w:hAnsi="宋体" w:eastAsia="宋体" w:cs="宋体"/>
          <w:spacing w:val="2"/>
          <w:sz w:val="24"/>
          <w:szCs w:val="24"/>
        </w:rPr>
        <w:t>生产关系的社会主义基本经济制度不仅为新质生产力提供了微观载体</w:t>
      </w:r>
      <w:r>
        <w:rPr>
          <w:rFonts w:hint="eastAsia" w:ascii="宋体" w:hAnsi="宋体" w:eastAsia="宋体" w:cs="宋体"/>
          <w:b/>
          <w:bCs/>
          <w:spacing w:val="19"/>
          <w:sz w:val="24"/>
          <w:szCs w:val="24"/>
        </w:rPr>
        <w:t>—</w:t>
      </w:r>
      <w:r>
        <w:rPr>
          <w:rFonts w:hint="eastAsia" w:ascii="宋体" w:hAnsi="宋体" w:eastAsia="宋体" w:cs="宋体"/>
          <w:spacing w:val="19"/>
          <w:sz w:val="24"/>
          <w:szCs w:val="24"/>
        </w:rPr>
        <w:t>国有企业和民营企</w:t>
      </w:r>
      <w:r>
        <w:rPr>
          <w:rFonts w:hint="eastAsia" w:ascii="宋体" w:hAnsi="宋体" w:eastAsia="宋体" w:cs="宋体"/>
          <w:spacing w:val="15"/>
          <w:sz w:val="24"/>
          <w:szCs w:val="24"/>
        </w:rPr>
        <w:t>业</w:t>
      </w:r>
      <w:r>
        <w:rPr>
          <w:rStyle w:val="20"/>
          <w:rFonts w:hint="eastAsia" w:ascii="宋体" w:hAnsi="宋体" w:eastAsia="宋体" w:cs="宋体"/>
          <w:spacing w:val="15"/>
          <w:sz w:val="24"/>
          <w:szCs w:val="24"/>
        </w:rPr>
        <w:footnoteReference w:id="857"/>
      </w:r>
      <w:r>
        <w:rPr>
          <w:rFonts w:hint="eastAsia" w:ascii="宋体" w:hAnsi="宋体" w:eastAsia="宋体" w:cs="宋体"/>
          <w:spacing w:val="15"/>
          <w:sz w:val="24"/>
          <w:szCs w:val="24"/>
        </w:rPr>
        <w:t>,更是为新质生产力发展提供人民性、和谐性、稳定性成长的内在规定性。没</w:t>
      </w:r>
      <w:r>
        <w:rPr>
          <w:rFonts w:hint="eastAsia" w:ascii="宋体" w:hAnsi="宋体" w:eastAsia="宋体" w:cs="宋体"/>
          <w:spacing w:val="14"/>
          <w:sz w:val="24"/>
          <w:szCs w:val="24"/>
        </w:rPr>
        <w:t>有公有制为主体</w:t>
      </w:r>
      <w:r>
        <w:rPr>
          <w:rFonts w:hint="eastAsia" w:ascii="宋体" w:hAnsi="宋体" w:eastAsia="宋体" w:cs="宋体"/>
          <w:spacing w:val="18"/>
          <w:sz w:val="24"/>
          <w:szCs w:val="24"/>
        </w:rPr>
        <w:t>的社会主义生产关系,就无法塑造新质生产力的社会主义</w:t>
      </w:r>
      <w:r>
        <w:rPr>
          <w:rFonts w:hint="eastAsia" w:ascii="宋体" w:hAnsi="宋体" w:eastAsia="宋体" w:cs="宋体"/>
          <w:spacing w:val="17"/>
          <w:sz w:val="24"/>
          <w:szCs w:val="24"/>
        </w:rPr>
        <w:t>社会。</w:t>
      </w:r>
    </w:p>
    <w:p w14:paraId="6801C52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6" w:firstLineChars="200"/>
        <w:jc w:val="both"/>
        <w:textAlignment w:val="baseline"/>
        <w:rPr>
          <w:rFonts w:hint="eastAsia" w:ascii="宋体" w:hAnsi="宋体" w:eastAsia="宋体" w:cs="宋体"/>
          <w:sz w:val="24"/>
          <w:szCs w:val="24"/>
        </w:rPr>
      </w:pPr>
      <w:r>
        <w:rPr>
          <w:rFonts w:hint="eastAsia" w:ascii="宋体" w:hAnsi="宋体" w:eastAsia="宋体" w:cs="宋体"/>
          <w:spacing w:val="24"/>
          <w:sz w:val="24"/>
          <w:szCs w:val="24"/>
        </w:rPr>
        <w:t>社会主义生产关系促进新质生产力发展是通过中国共产党的全面领导和马克思主义中国化</w:t>
      </w:r>
      <w:r>
        <w:rPr>
          <w:rFonts w:hint="eastAsia" w:ascii="宋体" w:hAnsi="宋体" w:eastAsia="宋体" w:cs="宋体"/>
          <w:spacing w:val="22"/>
          <w:sz w:val="24"/>
          <w:szCs w:val="24"/>
        </w:rPr>
        <w:t>时代化最新理论成果来实现的。中国特色社会主义伟大事业的发展借鉴了资本主义生产力发展</w:t>
      </w:r>
      <w:r>
        <w:rPr>
          <w:rFonts w:hint="eastAsia" w:ascii="宋体" w:hAnsi="宋体" w:eastAsia="宋体" w:cs="宋体"/>
          <w:spacing w:val="23"/>
          <w:sz w:val="24"/>
          <w:szCs w:val="24"/>
        </w:rPr>
        <w:t>成果,利用资本为新质生产力发展提供发展条件,但是资本主义境遇下的私人资本利用科学技术</w:t>
      </w:r>
      <w:r>
        <w:rPr>
          <w:rFonts w:hint="eastAsia" w:ascii="宋体" w:hAnsi="宋体" w:eastAsia="宋体" w:cs="宋体"/>
          <w:spacing w:val="17"/>
          <w:sz w:val="24"/>
          <w:szCs w:val="24"/>
        </w:rPr>
        <w:t>并将其异化为奴役工人阶级的手段,则是需要加以校正和革新的。在马克思看来,“科学</w:t>
      </w:r>
      <w:r>
        <w:rPr>
          <w:rFonts w:hint="eastAsia" w:ascii="宋体" w:hAnsi="宋体" w:eastAsia="宋体" w:cs="宋体"/>
          <w:spacing w:val="16"/>
          <w:sz w:val="24"/>
          <w:szCs w:val="24"/>
        </w:rPr>
        <w:t>技术被资</w:t>
      </w:r>
      <w:r>
        <w:rPr>
          <w:rFonts w:hint="eastAsia" w:ascii="宋体" w:hAnsi="宋体" w:eastAsia="宋体" w:cs="宋体"/>
          <w:spacing w:val="20"/>
          <w:sz w:val="24"/>
          <w:szCs w:val="24"/>
        </w:rPr>
        <w:t>本用来打破自然和道德界限的工具之逻辑”</w:t>
      </w:r>
      <w:r>
        <w:rPr>
          <w:rStyle w:val="20"/>
          <w:rFonts w:hint="eastAsia" w:ascii="宋体" w:hAnsi="宋体" w:eastAsia="宋体" w:cs="宋体"/>
          <w:spacing w:val="20"/>
          <w:sz w:val="24"/>
          <w:szCs w:val="24"/>
        </w:rPr>
        <w:footnoteReference w:id="858"/>
      </w:r>
      <w:r>
        <w:rPr>
          <w:rFonts w:hint="eastAsia" w:ascii="宋体" w:hAnsi="宋体" w:eastAsia="宋体" w:cs="宋体"/>
          <w:spacing w:val="19"/>
          <w:sz w:val="24"/>
          <w:szCs w:val="24"/>
        </w:rPr>
        <w:t>,这表明我们必须要对资本主义生产方式进行变革,</w:t>
      </w:r>
      <w:r>
        <w:rPr>
          <w:rFonts w:hint="eastAsia" w:ascii="宋体" w:hAnsi="宋体" w:eastAsia="宋体" w:cs="宋体"/>
          <w:spacing w:val="22"/>
          <w:sz w:val="24"/>
          <w:szCs w:val="24"/>
        </w:rPr>
        <w:t>而要变革中国特色社会主义社会范围内的私人大资本垄断和无序扩张,恰恰要通过贯彻落实中国</w:t>
      </w:r>
      <w:r>
        <w:rPr>
          <w:rFonts w:hint="eastAsia" w:ascii="宋体" w:hAnsi="宋体" w:eastAsia="宋体" w:cs="宋体"/>
          <w:spacing w:val="15"/>
          <w:sz w:val="24"/>
          <w:szCs w:val="24"/>
        </w:rPr>
        <w:t>共产党的全面领导和习近平新时代中国特色社会主义思想。中国共产党通过“人民至上”体制机</w:t>
      </w:r>
      <w:r>
        <w:rPr>
          <w:rFonts w:hint="eastAsia" w:ascii="宋体" w:hAnsi="宋体" w:eastAsia="宋体" w:cs="宋体"/>
          <w:spacing w:val="23"/>
          <w:sz w:val="24"/>
          <w:szCs w:val="24"/>
        </w:rPr>
        <w:t>制和新发展理念,通过为资本设置红绿灯来建构资本运行秩序,确保资</w:t>
      </w:r>
      <w:r>
        <w:rPr>
          <w:rFonts w:hint="eastAsia" w:ascii="宋体" w:hAnsi="宋体" w:eastAsia="宋体" w:cs="宋体"/>
          <w:spacing w:val="22"/>
          <w:sz w:val="24"/>
          <w:szCs w:val="24"/>
        </w:rPr>
        <w:t>本运用的人民性和资本增</w:t>
      </w:r>
      <w:r>
        <w:rPr>
          <w:rFonts w:hint="eastAsia" w:ascii="宋体" w:hAnsi="宋体" w:eastAsia="宋体" w:cs="宋体"/>
          <w:spacing w:val="17"/>
          <w:sz w:val="24"/>
          <w:szCs w:val="24"/>
        </w:rPr>
        <w:t>值的普惠性,确保中高速发展和缩小贫富差距。</w:t>
      </w:r>
    </w:p>
    <w:p w14:paraId="0725AB8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2" w:firstLineChars="200"/>
        <w:jc w:val="both"/>
        <w:textAlignment w:val="baseline"/>
        <w:rPr>
          <w:rFonts w:hint="eastAsia" w:ascii="宋体" w:hAnsi="宋体" w:eastAsia="宋体" w:cs="宋体"/>
          <w:sz w:val="24"/>
          <w:szCs w:val="24"/>
        </w:rPr>
      </w:pPr>
      <w:r>
        <w:rPr>
          <w:rFonts w:hint="eastAsia" w:ascii="宋体" w:hAnsi="宋体" w:eastAsia="宋体" w:cs="宋体"/>
          <w:spacing w:val="23"/>
          <w:sz w:val="24"/>
          <w:szCs w:val="24"/>
        </w:rPr>
        <w:t>社会主义基本经济制度是确保新质生产力正确发展方向的约束性条件。新质生产力</w:t>
      </w:r>
      <w:r>
        <w:rPr>
          <w:rFonts w:hint="eastAsia" w:ascii="宋体" w:hAnsi="宋体" w:eastAsia="宋体" w:cs="宋体"/>
          <w:spacing w:val="22"/>
          <w:sz w:val="24"/>
          <w:szCs w:val="24"/>
        </w:rPr>
        <w:t>是新生</w:t>
      </w:r>
      <w:r>
        <w:rPr>
          <w:rFonts w:hint="eastAsia" w:ascii="宋体" w:hAnsi="宋体" w:eastAsia="宋体" w:cs="宋体"/>
          <w:spacing w:val="21"/>
          <w:sz w:val="24"/>
          <w:szCs w:val="24"/>
        </w:rPr>
        <w:t>产要素全面融入和渗透下的生产力,是先进的新生产要素在制度变革过程中提升传统生产要素的</w:t>
      </w:r>
      <w:r>
        <w:rPr>
          <w:rFonts w:hint="eastAsia" w:ascii="宋体" w:hAnsi="宋体" w:eastAsia="宋体" w:cs="宋体"/>
          <w:spacing w:val="14"/>
          <w:sz w:val="24"/>
          <w:szCs w:val="24"/>
        </w:rPr>
        <w:t>生产力。那么,“先进的技术要素如何通过制度变革而成功地转化为普遍有效的新技术范式</w:t>
      </w:r>
      <w:r>
        <w:rPr>
          <w:rFonts w:hint="eastAsia" w:ascii="宋体" w:hAnsi="宋体" w:eastAsia="宋体" w:cs="宋体"/>
          <w:spacing w:val="13"/>
          <w:sz w:val="24"/>
          <w:szCs w:val="24"/>
        </w:rPr>
        <w:t>?”</w:t>
      </w:r>
      <w:r>
        <w:rPr>
          <w:rStyle w:val="20"/>
          <w:rFonts w:hint="eastAsia" w:ascii="宋体" w:hAnsi="宋体" w:eastAsia="宋体" w:cs="宋体"/>
          <w:spacing w:val="13"/>
          <w:sz w:val="24"/>
          <w:szCs w:val="24"/>
        </w:rPr>
        <w:footnoteReference w:id="859"/>
      </w:r>
      <w:r>
        <w:rPr>
          <w:rFonts w:hint="eastAsia" w:ascii="宋体" w:hAnsi="宋体" w:eastAsia="宋体" w:cs="宋体"/>
          <w:spacing w:val="13"/>
          <w:sz w:val="24"/>
          <w:szCs w:val="24"/>
        </w:rPr>
        <w:t>对</w:t>
      </w:r>
      <w:r>
        <w:rPr>
          <w:rFonts w:hint="eastAsia" w:ascii="宋体" w:hAnsi="宋体" w:eastAsia="宋体" w:cs="宋体"/>
          <w:spacing w:val="22"/>
          <w:sz w:val="24"/>
          <w:szCs w:val="24"/>
        </w:rPr>
        <w:t>这一问题的回答,成为新生产要素与制度优化之间关系的核心内容。一方面,</w:t>
      </w:r>
      <w:r>
        <w:rPr>
          <w:rFonts w:hint="eastAsia" w:ascii="宋体" w:hAnsi="宋体" w:eastAsia="宋体" w:cs="宋体"/>
          <w:spacing w:val="21"/>
          <w:sz w:val="24"/>
          <w:szCs w:val="24"/>
        </w:rPr>
        <w:t>先进生产要素符合社会主义基本经济制度的发展诉求,社会主义基本经济制度正是通过先进生产要素的普遍优化来</w:t>
      </w:r>
      <w:r>
        <w:rPr>
          <w:rFonts w:hint="eastAsia" w:ascii="宋体" w:hAnsi="宋体" w:eastAsia="宋体" w:cs="宋体"/>
          <w:spacing w:val="23"/>
          <w:sz w:val="24"/>
          <w:szCs w:val="24"/>
        </w:rPr>
        <w:t>彰显其优越性的。另一方面,社会主义基本</w:t>
      </w:r>
      <w:r>
        <w:rPr>
          <w:rFonts w:hint="eastAsia" w:ascii="宋体" w:hAnsi="宋体" w:eastAsia="宋体" w:cs="宋体"/>
          <w:spacing w:val="22"/>
          <w:sz w:val="24"/>
          <w:szCs w:val="24"/>
        </w:rPr>
        <w:t>经济制度有利于一切先进新生产要素的产生和运用,</w:t>
      </w:r>
      <w:r>
        <w:rPr>
          <w:rFonts w:hint="eastAsia" w:ascii="宋体" w:hAnsi="宋体" w:eastAsia="宋体" w:cs="宋体"/>
          <w:spacing w:val="20"/>
          <w:sz w:val="24"/>
          <w:szCs w:val="24"/>
        </w:rPr>
        <w:t>让先进技术要素有利于劳动人民、有利于中国式现代化建设和国强民富,是社会主义基本制度为</w:t>
      </w:r>
      <w:r>
        <w:rPr>
          <w:rFonts w:hint="eastAsia" w:ascii="宋体" w:hAnsi="宋体" w:eastAsia="宋体" w:cs="宋体"/>
          <w:spacing w:val="19"/>
          <w:sz w:val="24"/>
          <w:szCs w:val="24"/>
        </w:rPr>
        <w:t>先进技术要素开辟前进道路的原则,是确保</w:t>
      </w:r>
      <w:r>
        <w:rPr>
          <w:rFonts w:hint="eastAsia" w:ascii="宋体" w:hAnsi="宋体" w:eastAsia="宋体" w:cs="宋体"/>
          <w:spacing w:val="18"/>
          <w:sz w:val="24"/>
          <w:szCs w:val="24"/>
        </w:rPr>
        <w:t>新生产要素服务于新质生产力的民族经济发展方向。</w:t>
      </w:r>
    </w:p>
    <w:p w14:paraId="6DF1D31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(二)要正确运用政府与市场的调节体制机制</w:t>
      </w:r>
    </w:p>
    <w:p w14:paraId="3674FDB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8" w:firstLineChars="200"/>
        <w:jc w:val="both"/>
        <w:textAlignment w:val="baseline"/>
        <w:rPr>
          <w:rFonts w:hint="eastAsia" w:ascii="宋体" w:hAnsi="宋体" w:eastAsia="宋体" w:cs="宋体"/>
          <w:sz w:val="24"/>
          <w:szCs w:val="24"/>
        </w:rPr>
      </w:pPr>
      <w:r>
        <w:rPr>
          <w:rFonts w:hint="eastAsia" w:ascii="宋体" w:hAnsi="宋体" w:eastAsia="宋体" w:cs="宋体"/>
          <w:spacing w:val="22"/>
          <w:sz w:val="24"/>
          <w:szCs w:val="24"/>
        </w:rPr>
        <w:t>政府的市场驾驭能力是确保新质生产力成长的前提条件。政府和市场的关系是社会主义市</w:t>
      </w:r>
      <w:r>
        <w:rPr>
          <w:rFonts w:hint="eastAsia" w:ascii="宋体" w:hAnsi="宋体" w:eastAsia="宋体" w:cs="宋体"/>
          <w:spacing w:val="9"/>
          <w:sz w:val="24"/>
          <w:szCs w:val="24"/>
        </w:rPr>
        <w:t>场经济的重要关系,政府的重要作用之一就是为新质生产力建构公平、公正、高效、有序、统一的市</w:t>
      </w:r>
      <w:r>
        <w:rPr>
          <w:rFonts w:hint="eastAsia" w:ascii="宋体" w:hAnsi="宋体" w:eastAsia="宋体" w:cs="宋体"/>
          <w:spacing w:val="15"/>
          <w:sz w:val="24"/>
          <w:szCs w:val="24"/>
        </w:rPr>
        <w:t>场秩序,目的是提高市场交易效率和降低市场交易成本;混乱、无序、垄断的市场不仅无法让新质</w:t>
      </w:r>
      <w:r>
        <w:rPr>
          <w:rFonts w:hint="eastAsia" w:ascii="宋体" w:hAnsi="宋体" w:eastAsia="宋体" w:cs="宋体"/>
          <w:spacing w:val="20"/>
          <w:sz w:val="24"/>
          <w:szCs w:val="24"/>
        </w:rPr>
        <w:t>生产力健康成长,还会提高市场交易成本并降低市场交易效率。高效市场和高效政府是社会主义市场经济的目标追求</w:t>
      </w:r>
      <w:r>
        <w:rPr>
          <w:rStyle w:val="20"/>
          <w:rFonts w:hint="eastAsia" w:ascii="宋体" w:hAnsi="宋体" w:eastAsia="宋体" w:cs="宋体"/>
          <w:spacing w:val="20"/>
          <w:sz w:val="24"/>
          <w:szCs w:val="24"/>
        </w:rPr>
        <w:footnoteReference w:id="860"/>
      </w:r>
      <w:r>
        <w:rPr>
          <w:rFonts w:hint="eastAsia" w:ascii="宋体" w:hAnsi="宋体" w:eastAsia="宋体" w:cs="宋体"/>
          <w:spacing w:val="20"/>
          <w:sz w:val="24"/>
          <w:szCs w:val="24"/>
        </w:rPr>
        <w:t>,现在的问题是,高效市场是不会自动出现的。因此,需要政府依法对市场</w:t>
      </w:r>
      <w:r>
        <w:rPr>
          <w:rFonts w:hint="eastAsia" w:ascii="宋体" w:hAnsi="宋体" w:eastAsia="宋体" w:cs="宋体"/>
          <w:spacing w:val="11"/>
          <w:sz w:val="24"/>
          <w:szCs w:val="24"/>
        </w:rPr>
        <w:t>主体、市场交易制度、市场行为进行规制。政府营造法制化环境</w:t>
      </w:r>
      <w:r>
        <w:rPr>
          <w:rFonts w:hint="eastAsia" w:ascii="宋体" w:hAnsi="宋体" w:eastAsia="宋体" w:cs="宋体"/>
          <w:spacing w:val="10"/>
          <w:sz w:val="24"/>
          <w:szCs w:val="24"/>
        </w:rPr>
        <w:t>显得至关重要。“法治化营商环境</w:t>
      </w:r>
      <w:r>
        <w:rPr>
          <w:rFonts w:hint="eastAsia" w:ascii="宋体" w:hAnsi="宋体" w:eastAsia="宋体" w:cs="宋体"/>
          <w:spacing w:val="23"/>
          <w:sz w:val="24"/>
          <w:szCs w:val="24"/>
        </w:rPr>
        <w:t>作为经济法促进有为政府的典型映射,应遵循市场主体平等规则,不让</w:t>
      </w:r>
      <w:r>
        <w:rPr>
          <w:rFonts w:hint="eastAsia" w:ascii="宋体" w:hAnsi="宋体" w:eastAsia="宋体" w:cs="宋体"/>
          <w:spacing w:val="22"/>
          <w:sz w:val="24"/>
          <w:szCs w:val="24"/>
        </w:rPr>
        <w:t>任何一类市场主体形成不</w:t>
      </w:r>
      <w:r>
        <w:rPr>
          <w:rFonts w:hint="eastAsia" w:ascii="宋体" w:hAnsi="宋体" w:eastAsia="宋体" w:cs="宋体"/>
          <w:spacing w:val="16"/>
          <w:sz w:val="24"/>
          <w:szCs w:val="24"/>
        </w:rPr>
        <w:t>正当的竞争优势或劣势。”</w:t>
      </w:r>
      <w:r>
        <w:rPr>
          <w:rStyle w:val="20"/>
          <w:rFonts w:hint="eastAsia" w:ascii="宋体" w:hAnsi="宋体" w:eastAsia="宋体" w:cs="宋体"/>
          <w:spacing w:val="16"/>
          <w:sz w:val="24"/>
          <w:szCs w:val="24"/>
        </w:rPr>
        <w:footnoteReference w:id="861"/>
      </w:r>
      <w:r>
        <w:rPr>
          <w:rFonts w:hint="eastAsia" w:ascii="宋体" w:hAnsi="宋体" w:eastAsia="宋体" w:cs="宋体"/>
          <w:spacing w:val="16"/>
          <w:sz w:val="24"/>
          <w:szCs w:val="24"/>
        </w:rPr>
        <w:t>这样一来,政府不仅是高效政府,还应该是有为政府;市场不仅是高效</w:t>
      </w:r>
      <w:r>
        <w:rPr>
          <w:rFonts w:hint="eastAsia" w:ascii="宋体" w:hAnsi="宋体" w:eastAsia="宋体" w:cs="宋体"/>
          <w:spacing w:val="19"/>
          <w:sz w:val="24"/>
          <w:szCs w:val="24"/>
        </w:rPr>
        <w:t>市场,还应该是有效市场,从而实现高效政府和高效市场、有为政府和</w:t>
      </w:r>
      <w:r>
        <w:rPr>
          <w:rFonts w:hint="eastAsia" w:ascii="宋体" w:hAnsi="宋体" w:eastAsia="宋体" w:cs="宋体"/>
          <w:spacing w:val="18"/>
          <w:sz w:val="24"/>
          <w:szCs w:val="24"/>
        </w:rPr>
        <w:t>有效市场之间的双向促进。</w:t>
      </w:r>
      <w:r>
        <w:rPr>
          <w:rFonts w:hint="eastAsia" w:ascii="宋体" w:hAnsi="宋体" w:eastAsia="宋体" w:cs="宋体"/>
          <w:spacing w:val="21"/>
          <w:sz w:val="24"/>
          <w:szCs w:val="24"/>
        </w:rPr>
        <w:t>当政府和市场各自的运行状态和彼此之间的相互关系处于良好秩序状况下的时候,才能真正为新</w:t>
      </w:r>
      <w:r>
        <w:rPr>
          <w:rFonts w:hint="eastAsia" w:ascii="宋体" w:hAnsi="宋体" w:eastAsia="宋体" w:cs="宋体"/>
          <w:spacing w:val="18"/>
          <w:sz w:val="24"/>
          <w:szCs w:val="24"/>
        </w:rPr>
        <w:t>质生产力创造健康发展的条件,才能促进新质生产力开创一片新天地。</w:t>
      </w:r>
    </w:p>
    <w:p w14:paraId="67DA97A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政府调控市场要以正确的政治经济学理论为依据。市场壁垒的存在、资源和商品价格的扭</w:t>
      </w:r>
      <w:r>
        <w:rPr>
          <w:rFonts w:hint="eastAsia" w:ascii="宋体" w:hAnsi="宋体" w:eastAsia="宋体" w:cs="宋体"/>
          <w:spacing w:val="20"/>
          <w:sz w:val="24"/>
          <w:szCs w:val="24"/>
        </w:rPr>
        <w:t>曲、需求和供给的非对称性等都是市场失灵的突出表现,治理市场运行存</w:t>
      </w:r>
      <w:r>
        <w:rPr>
          <w:rFonts w:hint="eastAsia" w:ascii="宋体" w:hAnsi="宋体" w:eastAsia="宋体" w:cs="宋体"/>
          <w:spacing w:val="19"/>
          <w:sz w:val="24"/>
          <w:szCs w:val="24"/>
        </w:rPr>
        <w:t>在的这些问题需要科学</w:t>
      </w:r>
      <w:r>
        <w:rPr>
          <w:rFonts w:hint="eastAsia" w:ascii="宋体" w:hAnsi="宋体" w:eastAsia="宋体" w:cs="宋体"/>
          <w:spacing w:val="14"/>
          <w:sz w:val="24"/>
          <w:szCs w:val="24"/>
        </w:rPr>
        <w:t>的理论指导,而那些主张“小政府、大市场”并认为市场自身具有有效性并会自动实现动态平衡的</w:t>
      </w:r>
      <w:r>
        <w:rPr>
          <w:rFonts w:hint="eastAsia" w:ascii="宋体" w:hAnsi="宋体" w:eastAsia="宋体" w:cs="宋体"/>
          <w:spacing w:val="18"/>
          <w:sz w:val="24"/>
          <w:szCs w:val="24"/>
        </w:rPr>
        <w:t>学者,不外乎是中了西方经济学的圈套。在西方经济学看来,经济人的假设是正确的,“这</w:t>
      </w:r>
      <w:r>
        <w:rPr>
          <w:rFonts w:hint="eastAsia" w:ascii="宋体" w:hAnsi="宋体" w:eastAsia="宋体" w:cs="宋体"/>
          <w:spacing w:val="17"/>
          <w:sz w:val="24"/>
          <w:szCs w:val="24"/>
        </w:rPr>
        <w:t>是市场</w:t>
      </w:r>
      <w:r>
        <w:rPr>
          <w:rFonts w:hint="eastAsia" w:ascii="宋体" w:hAnsi="宋体" w:eastAsia="宋体" w:cs="宋体"/>
          <w:spacing w:val="16"/>
          <w:sz w:val="24"/>
          <w:szCs w:val="24"/>
        </w:rPr>
        <w:t>有效性理论乃至整个西方经济学理论所赖以成立的基础”</w:t>
      </w:r>
      <w:r>
        <w:rPr>
          <w:rStyle w:val="20"/>
          <w:rFonts w:hint="eastAsia" w:ascii="宋体" w:hAnsi="宋体" w:eastAsia="宋体" w:cs="宋体"/>
          <w:spacing w:val="16"/>
          <w:sz w:val="24"/>
          <w:szCs w:val="24"/>
        </w:rPr>
        <w:footnoteReference w:id="862"/>
      </w:r>
      <w:r>
        <w:rPr>
          <w:rFonts w:hint="eastAsia" w:ascii="宋体" w:hAnsi="宋体" w:eastAsia="宋体" w:cs="宋体"/>
          <w:spacing w:val="16"/>
          <w:sz w:val="24"/>
          <w:szCs w:val="24"/>
        </w:rPr>
        <w:t>。而事实上,在马克思主义政治经济学</w:t>
      </w:r>
      <w:r>
        <w:rPr>
          <w:rFonts w:hint="eastAsia" w:ascii="宋体" w:hAnsi="宋体" w:eastAsia="宋体" w:cs="宋体"/>
          <w:spacing w:val="10"/>
          <w:sz w:val="24"/>
          <w:szCs w:val="24"/>
        </w:rPr>
        <w:t>看来,经济人假设存在严重问题,西方经济学中的“经济人”是“完全自私经济人论”,而经济实践中</w:t>
      </w:r>
      <w:r>
        <w:rPr>
          <w:rFonts w:hint="eastAsia" w:ascii="宋体" w:hAnsi="宋体" w:eastAsia="宋体" w:cs="宋体"/>
          <w:spacing w:val="4"/>
          <w:sz w:val="24"/>
          <w:szCs w:val="24"/>
        </w:rPr>
        <w:t>的“经济人”是“利己利他双性经济人”</w:t>
      </w:r>
      <w:r>
        <w:rPr>
          <w:rStyle w:val="20"/>
          <w:rFonts w:hint="eastAsia" w:ascii="宋体" w:hAnsi="宋体" w:eastAsia="宋体" w:cs="宋体"/>
          <w:spacing w:val="4"/>
          <w:sz w:val="24"/>
          <w:szCs w:val="24"/>
        </w:rPr>
        <w:footnoteReference w:id="863"/>
      </w:r>
      <w:r>
        <w:rPr>
          <w:rFonts w:hint="eastAsia" w:ascii="宋体" w:hAnsi="宋体" w:eastAsia="宋体" w:cs="宋体"/>
          <w:spacing w:val="4"/>
          <w:sz w:val="24"/>
          <w:szCs w:val="24"/>
        </w:rPr>
        <w:t>。当“经济人”假设被否定之后,</w:t>
      </w:r>
      <w:r>
        <w:rPr>
          <w:rFonts w:hint="eastAsia" w:ascii="宋体" w:hAnsi="宋体" w:eastAsia="宋体" w:cs="宋体"/>
          <w:spacing w:val="3"/>
          <w:sz w:val="24"/>
          <w:szCs w:val="24"/>
        </w:rPr>
        <w:t>就否定了西方经济学指导</w:t>
      </w:r>
      <w:r>
        <w:rPr>
          <w:rFonts w:hint="eastAsia" w:ascii="宋体" w:hAnsi="宋体" w:eastAsia="宋体" w:cs="宋体"/>
          <w:spacing w:val="23"/>
          <w:sz w:val="24"/>
          <w:szCs w:val="24"/>
        </w:rPr>
        <w:t>下干预市场的理论基础,就认清了新自由主义思潮带来的严重后果</w:t>
      </w:r>
      <w:r>
        <w:rPr>
          <w:rFonts w:hint="eastAsia" w:ascii="宋体" w:hAnsi="宋体" w:eastAsia="宋体" w:cs="宋体"/>
          <w:spacing w:val="22"/>
          <w:sz w:val="24"/>
          <w:szCs w:val="24"/>
        </w:rPr>
        <w:t>,就会在马克思主义政治经济</w:t>
      </w:r>
      <w:r>
        <w:rPr>
          <w:rFonts w:hint="eastAsia" w:ascii="宋体" w:hAnsi="宋体" w:eastAsia="宋体" w:cs="宋体"/>
          <w:spacing w:val="12"/>
          <w:sz w:val="24"/>
          <w:szCs w:val="24"/>
        </w:rPr>
        <w:t>学指导下实行政府科学干预市场、实时校正市场失灵、果断打破市场垄断、有效降低民生领域商品</w:t>
      </w:r>
      <w:r>
        <w:rPr>
          <w:rFonts w:hint="eastAsia" w:ascii="宋体" w:hAnsi="宋体" w:eastAsia="宋体" w:cs="宋体"/>
          <w:spacing w:val="17"/>
          <w:sz w:val="24"/>
          <w:szCs w:val="24"/>
        </w:rPr>
        <w:t>市场价格等重要措施,并以此提高新质生产力发展效率。</w:t>
      </w:r>
    </w:p>
    <w:p w14:paraId="32EB756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新质生产力需要政府为其可持续发展开辟广阔、稳定、统一、高效、</w:t>
      </w:r>
      <w:r>
        <w:rPr>
          <w:rFonts w:hint="eastAsia" w:ascii="宋体" w:hAnsi="宋体" w:eastAsia="宋体" w:cs="宋体"/>
          <w:spacing w:val="8"/>
          <w:sz w:val="24"/>
          <w:szCs w:val="24"/>
        </w:rPr>
        <w:t>公平的市场。“一带一路”</w:t>
      </w:r>
      <w:r>
        <w:rPr>
          <w:rFonts w:hint="eastAsia" w:ascii="宋体" w:hAnsi="宋体" w:eastAsia="宋体" w:cs="宋体"/>
          <w:spacing w:val="22"/>
          <w:sz w:val="24"/>
          <w:szCs w:val="24"/>
        </w:rPr>
        <w:t>倡议是中国政府为新质生产力发展开辟的最广阔国际市场,与此</w:t>
      </w:r>
      <w:r>
        <w:rPr>
          <w:rFonts w:hint="eastAsia" w:ascii="宋体" w:hAnsi="宋体" w:eastAsia="宋体" w:cs="宋体"/>
          <w:spacing w:val="21"/>
          <w:sz w:val="24"/>
          <w:szCs w:val="24"/>
        </w:rPr>
        <w:t>同时,中国市场也是世界各国来</w:t>
      </w:r>
      <w:r>
        <w:rPr>
          <w:rFonts w:hint="eastAsia" w:ascii="宋体" w:hAnsi="宋体" w:eastAsia="宋体" w:cs="宋体"/>
          <w:spacing w:val="20"/>
          <w:sz w:val="24"/>
          <w:szCs w:val="24"/>
        </w:rPr>
        <w:t>华发展的更广阔空间;中国所处的国内外大安全格局是政府为新质生产力发展营造的稳定市场环境;破除地区之间利益分割,就要建立统一</w:t>
      </w:r>
      <w:r>
        <w:rPr>
          <w:rFonts w:hint="eastAsia" w:ascii="宋体" w:hAnsi="宋体" w:eastAsia="宋体" w:cs="宋体"/>
          <w:spacing w:val="19"/>
          <w:sz w:val="24"/>
          <w:szCs w:val="24"/>
        </w:rPr>
        <w:t>要素市场、商品市场和服务市场,这是政府为新质生产</w:t>
      </w:r>
      <w:r>
        <w:rPr>
          <w:rFonts w:hint="eastAsia" w:ascii="宋体" w:hAnsi="宋体" w:eastAsia="宋体" w:cs="宋体"/>
          <w:spacing w:val="-3"/>
          <w:sz w:val="24"/>
          <w:szCs w:val="24"/>
        </w:rPr>
        <w:t>力创造高效、公平、统一大市场的有力举措。当然,政府调控市场具有一定</w:t>
      </w:r>
      <w:r>
        <w:rPr>
          <w:rFonts w:hint="eastAsia" w:ascii="宋体" w:hAnsi="宋体" w:eastAsia="宋体" w:cs="宋体"/>
          <w:spacing w:val="-4"/>
          <w:sz w:val="24"/>
          <w:szCs w:val="24"/>
        </w:rPr>
        <w:t>的价值取向和偏好选</w:t>
      </w:r>
      <w:r>
        <w:rPr>
          <w:rFonts w:hint="eastAsia" w:ascii="宋体" w:hAnsi="宋体" w:eastAsia="宋体" w:cs="宋体"/>
          <w:spacing w:val="19"/>
          <w:sz w:val="24"/>
          <w:szCs w:val="24"/>
        </w:rPr>
        <w:t>择。资本主义国家的政府调控市场是为了有利于资产阶级集团,中国的人民政府是出于对人民负责和对国家负责进行调控市场,调控的出发点决定了政府使用的调控手段和调控工具。以房地产</w:t>
      </w:r>
      <w:r>
        <w:rPr>
          <w:rFonts w:hint="eastAsia" w:ascii="宋体" w:hAnsi="宋体" w:eastAsia="宋体" w:cs="宋体"/>
          <w:spacing w:val="21"/>
          <w:sz w:val="24"/>
          <w:szCs w:val="24"/>
        </w:rPr>
        <w:t>行业为例,住房具有民生属性,但当房地产市场发展出现</w:t>
      </w:r>
      <w:r>
        <w:rPr>
          <w:rFonts w:hint="eastAsia" w:ascii="宋体" w:hAnsi="宋体" w:eastAsia="宋体" w:cs="宋体"/>
          <w:spacing w:val="20"/>
          <w:sz w:val="24"/>
          <w:szCs w:val="24"/>
        </w:rPr>
        <w:t>扭曲现象的时候,政府就要对房地产市场</w:t>
      </w:r>
      <w:r>
        <w:rPr>
          <w:rFonts w:hint="eastAsia" w:ascii="宋体" w:hAnsi="宋体" w:eastAsia="宋体" w:cs="宋体"/>
          <w:spacing w:val="22"/>
          <w:sz w:val="24"/>
          <w:szCs w:val="24"/>
        </w:rPr>
        <w:t>中将购房作为投资属性的行为进行规范和治理。哪个行业出现了偏离人民要求和伤害群众利益的市场行为,政府就要对哪个行业进行市场干预和经济规制。如果说房地产行业属于传统行</w:t>
      </w:r>
      <w:r>
        <w:rPr>
          <w:rFonts w:hint="eastAsia" w:ascii="宋体" w:hAnsi="宋体" w:eastAsia="宋体" w:cs="宋体"/>
          <w:spacing w:val="21"/>
          <w:sz w:val="24"/>
          <w:szCs w:val="24"/>
        </w:rPr>
        <w:t>业,</w:t>
      </w:r>
      <w:r>
        <w:rPr>
          <w:rFonts w:hint="eastAsia" w:ascii="宋体" w:hAnsi="宋体" w:eastAsia="宋体" w:cs="宋体"/>
          <w:spacing w:val="22"/>
          <w:sz w:val="24"/>
          <w:szCs w:val="24"/>
        </w:rPr>
        <w:t>那么,平台经济则是新兴行业。政府调控不仅体现在传统产业领域,更要对新兴产业进行及时规</w:t>
      </w:r>
      <w:r>
        <w:rPr>
          <w:rFonts w:hint="eastAsia" w:ascii="宋体" w:hAnsi="宋体" w:eastAsia="宋体" w:cs="宋体"/>
          <w:spacing w:val="15"/>
          <w:sz w:val="24"/>
          <w:szCs w:val="24"/>
        </w:rPr>
        <w:t>范。随着大数据、信息化、互联网和人工智能时代的到来,互联网行业更容易形成市场垄</w:t>
      </w:r>
      <w:r>
        <w:rPr>
          <w:rFonts w:hint="eastAsia" w:ascii="宋体" w:hAnsi="宋体" w:eastAsia="宋体" w:cs="宋体"/>
          <w:spacing w:val="14"/>
          <w:sz w:val="24"/>
          <w:szCs w:val="24"/>
        </w:rPr>
        <w:t>断,近些</w:t>
      </w:r>
      <w:r>
        <w:rPr>
          <w:rFonts w:hint="eastAsia" w:ascii="宋体" w:hAnsi="宋体" w:eastAsia="宋体" w:cs="宋体"/>
          <w:spacing w:val="22"/>
          <w:sz w:val="24"/>
          <w:szCs w:val="24"/>
        </w:rPr>
        <w:t>年出现的平台垄断现象就是信息化时代的突出问题。一些平台企业不再像以往通过传统规模经</w:t>
      </w:r>
      <w:r>
        <w:rPr>
          <w:rFonts w:hint="eastAsia" w:ascii="宋体" w:hAnsi="宋体" w:eastAsia="宋体" w:cs="宋体"/>
          <w:spacing w:val="15"/>
          <w:sz w:val="24"/>
          <w:szCs w:val="24"/>
        </w:rPr>
        <w:t>济的手段获取市场势力或提高市场占有率,而是通过数据资源获取便利化、数据智能</w:t>
      </w:r>
      <w:r>
        <w:rPr>
          <w:rFonts w:hint="eastAsia" w:ascii="宋体" w:hAnsi="宋体" w:eastAsia="宋体" w:cs="宋体"/>
          <w:spacing w:val="14"/>
          <w:sz w:val="24"/>
          <w:szCs w:val="24"/>
        </w:rPr>
        <w:t>化、信息共时</w:t>
      </w:r>
      <w:r>
        <w:rPr>
          <w:rFonts w:hint="eastAsia" w:ascii="宋体" w:hAnsi="宋体" w:eastAsia="宋体" w:cs="宋体"/>
          <w:spacing w:val="-2"/>
          <w:sz w:val="24"/>
          <w:szCs w:val="24"/>
        </w:rPr>
        <w:t>化、网络协同化来获取市场规模,导致“产业组织逐步从原先的垂直整</w:t>
      </w:r>
      <w:r>
        <w:rPr>
          <w:rFonts w:hint="eastAsia" w:ascii="宋体" w:hAnsi="宋体" w:eastAsia="宋体" w:cs="宋体"/>
          <w:spacing w:val="-3"/>
          <w:sz w:val="24"/>
          <w:szCs w:val="24"/>
        </w:rPr>
        <w:t>合架构向网络协同架构转</w:t>
      </w:r>
      <w:r>
        <w:rPr>
          <w:rFonts w:hint="eastAsia" w:ascii="宋体" w:hAnsi="宋体" w:eastAsia="宋体" w:cs="宋体"/>
          <w:spacing w:val="-1"/>
          <w:sz w:val="24"/>
          <w:szCs w:val="24"/>
        </w:rPr>
        <w:t>化”</w:t>
      </w:r>
      <w:r>
        <w:rPr>
          <w:rStyle w:val="20"/>
          <w:rFonts w:hint="eastAsia" w:ascii="宋体" w:hAnsi="宋体" w:eastAsia="宋体" w:cs="宋体"/>
          <w:spacing w:val="-1"/>
          <w:sz w:val="24"/>
          <w:szCs w:val="24"/>
        </w:rPr>
        <w:footnoteReference w:id="864"/>
      </w:r>
      <w:r>
        <w:rPr>
          <w:rFonts w:hint="eastAsia" w:ascii="宋体" w:hAnsi="宋体" w:eastAsia="宋体" w:cs="宋体"/>
          <w:spacing w:val="22"/>
          <w:sz w:val="24"/>
          <w:szCs w:val="24"/>
        </w:rPr>
        <w:t>。对此,政府已经在大数据时代对平台经济垄断进行了有序治理,这样的治理对于新质生产</w:t>
      </w:r>
      <w:r>
        <w:rPr>
          <w:rFonts w:hint="eastAsia" w:ascii="宋体" w:hAnsi="宋体" w:eastAsia="宋体" w:cs="宋体"/>
          <w:spacing w:val="17"/>
          <w:sz w:val="24"/>
          <w:szCs w:val="24"/>
        </w:rPr>
        <w:t>力在平台经济领域的发展至关重要。</w:t>
      </w:r>
    </w:p>
    <w:p w14:paraId="1D906BB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(三)要充分发挥国有企业促进新质生产力发展的重大作用</w:t>
      </w:r>
    </w:p>
    <w:p w14:paraId="7CCBBD7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4" w:firstLineChars="200"/>
        <w:jc w:val="both"/>
        <w:textAlignment w:val="baseline"/>
        <w:rPr>
          <w:rFonts w:hint="eastAsia" w:ascii="宋体" w:hAnsi="宋体" w:eastAsia="宋体" w:cs="宋体"/>
          <w:sz w:val="24"/>
          <w:szCs w:val="24"/>
        </w:rPr>
      </w:pPr>
      <w:r>
        <w:rPr>
          <w:rFonts w:hint="eastAsia" w:ascii="宋体" w:hAnsi="宋体" w:eastAsia="宋体" w:cs="宋体"/>
          <w:spacing w:val="21"/>
          <w:sz w:val="24"/>
          <w:szCs w:val="24"/>
        </w:rPr>
        <w:t>国有企业是新质生产力发展的根基。国有企业是社会主义经济中生产资料公有制的集中体</w:t>
      </w:r>
      <w:r>
        <w:rPr>
          <w:rFonts w:hint="eastAsia" w:ascii="宋体" w:hAnsi="宋体" w:eastAsia="宋体" w:cs="宋体"/>
          <w:spacing w:val="22"/>
          <w:sz w:val="24"/>
          <w:szCs w:val="24"/>
        </w:rPr>
        <w:t>现,是确保中国共产党长期稳定执政的经济基础,更是推动新质生产力发展</w:t>
      </w:r>
      <w:r>
        <w:rPr>
          <w:rFonts w:hint="eastAsia" w:ascii="宋体" w:hAnsi="宋体" w:eastAsia="宋体" w:cs="宋体"/>
          <w:spacing w:val="21"/>
          <w:sz w:val="24"/>
          <w:szCs w:val="24"/>
        </w:rPr>
        <w:t>的坚实后盾。在中国</w:t>
      </w:r>
      <w:r>
        <w:rPr>
          <w:rFonts w:hint="eastAsia" w:ascii="宋体" w:hAnsi="宋体" w:eastAsia="宋体" w:cs="宋体"/>
          <w:spacing w:val="16"/>
          <w:sz w:val="24"/>
          <w:szCs w:val="24"/>
        </w:rPr>
        <w:t>特色社会主义市场经济中,“公有制企业天然地被赋予追求社会福利最大化的目标,绝不仅仅是弥</w:t>
      </w:r>
      <w:r>
        <w:rPr>
          <w:rFonts w:hint="eastAsia" w:ascii="宋体" w:hAnsi="宋体" w:eastAsia="宋体" w:cs="宋体"/>
          <w:spacing w:val="4"/>
          <w:sz w:val="24"/>
          <w:szCs w:val="24"/>
        </w:rPr>
        <w:t>补市场失灵的工具,而是整个社会经济发展的重要基础”</w:t>
      </w:r>
      <w:r>
        <w:rPr>
          <w:rStyle w:val="20"/>
          <w:rFonts w:hint="eastAsia" w:ascii="宋体" w:hAnsi="宋体" w:eastAsia="宋体" w:cs="宋体"/>
          <w:spacing w:val="4"/>
          <w:sz w:val="24"/>
          <w:szCs w:val="24"/>
        </w:rPr>
        <w:footnoteReference w:id="865"/>
      </w:r>
      <w:r>
        <w:rPr>
          <w:rFonts w:hint="eastAsia" w:ascii="宋体" w:hAnsi="宋体" w:eastAsia="宋体" w:cs="宋体"/>
          <w:spacing w:val="4"/>
          <w:sz w:val="24"/>
          <w:szCs w:val="24"/>
        </w:rPr>
        <w:t>。国有企业在</w:t>
      </w:r>
      <w:r>
        <w:rPr>
          <w:rFonts w:hint="eastAsia" w:ascii="宋体" w:hAnsi="宋体" w:eastAsia="宋体" w:cs="宋体"/>
          <w:spacing w:val="3"/>
          <w:sz w:val="24"/>
          <w:szCs w:val="24"/>
        </w:rPr>
        <w:t>金融、能源、电力、通信、交</w:t>
      </w:r>
      <w:r>
        <w:rPr>
          <w:rFonts w:hint="eastAsia" w:ascii="宋体" w:hAnsi="宋体" w:eastAsia="宋体" w:cs="宋体"/>
          <w:spacing w:val="10"/>
          <w:sz w:val="24"/>
          <w:szCs w:val="24"/>
        </w:rPr>
        <w:t>通等重要关键领域发挥着基础性、关键性作用,国有企业在大型装备制造业、军工产业、储备产业、</w:t>
      </w:r>
      <w:r>
        <w:rPr>
          <w:rFonts w:hint="eastAsia" w:ascii="宋体" w:hAnsi="宋体" w:eastAsia="宋体" w:cs="宋体"/>
          <w:spacing w:val="19"/>
          <w:sz w:val="24"/>
          <w:szCs w:val="24"/>
        </w:rPr>
        <w:t>文化产业、农业等关系国计民生重要行业领域发挥着不可替代的作用,国有企业还是国家经济安</w:t>
      </w:r>
      <w:r>
        <w:rPr>
          <w:rFonts w:hint="eastAsia" w:ascii="宋体" w:hAnsi="宋体" w:eastAsia="宋体" w:cs="宋体"/>
          <w:spacing w:val="5"/>
          <w:sz w:val="24"/>
          <w:szCs w:val="24"/>
        </w:rPr>
        <w:t>全、政治安全、文化安全、社会安全、生态安全等总体安全的</w:t>
      </w:r>
      <w:r>
        <w:rPr>
          <w:rFonts w:hint="eastAsia" w:ascii="宋体" w:hAnsi="宋体" w:eastAsia="宋体" w:cs="宋体"/>
          <w:spacing w:val="4"/>
          <w:sz w:val="24"/>
          <w:szCs w:val="24"/>
        </w:rPr>
        <w:t>坚强保障者。无论是数据、网络、信息</w:t>
      </w:r>
      <w:r>
        <w:rPr>
          <w:rFonts w:hint="eastAsia" w:ascii="宋体" w:hAnsi="宋体" w:eastAsia="宋体" w:cs="宋体"/>
          <w:spacing w:val="21"/>
          <w:sz w:val="24"/>
          <w:szCs w:val="24"/>
        </w:rPr>
        <w:t>等新生产要素的全新闪亮登场,还是新兴战略性产业的横空出世,都需要</w:t>
      </w:r>
      <w:r>
        <w:rPr>
          <w:rFonts w:hint="eastAsia" w:ascii="宋体" w:hAnsi="宋体" w:eastAsia="宋体" w:cs="宋体"/>
          <w:spacing w:val="20"/>
          <w:sz w:val="24"/>
          <w:szCs w:val="24"/>
        </w:rPr>
        <w:t>安全的、稳定的发展环</w:t>
      </w:r>
      <w:r>
        <w:rPr>
          <w:rFonts w:hint="eastAsia" w:ascii="宋体" w:hAnsi="宋体" w:eastAsia="宋体" w:cs="宋体"/>
          <w:spacing w:val="21"/>
          <w:sz w:val="24"/>
          <w:szCs w:val="24"/>
        </w:rPr>
        <w:t>境,而国有企业正是国家稳定发展的锚定物。正是从这个意义上讲,国有企</w:t>
      </w:r>
      <w:r>
        <w:rPr>
          <w:rFonts w:hint="eastAsia" w:ascii="宋体" w:hAnsi="宋体" w:eastAsia="宋体" w:cs="宋体"/>
          <w:spacing w:val="20"/>
          <w:sz w:val="24"/>
          <w:szCs w:val="24"/>
        </w:rPr>
        <w:t>业为新质生产力发展</w:t>
      </w:r>
      <w:r>
        <w:rPr>
          <w:rFonts w:hint="eastAsia" w:ascii="宋体" w:hAnsi="宋体" w:eastAsia="宋体" w:cs="宋体"/>
          <w:spacing w:val="16"/>
          <w:sz w:val="24"/>
          <w:szCs w:val="24"/>
        </w:rPr>
        <w:t>保驾护航,国有企业最能体现中国共产党的执政意愿。</w:t>
      </w:r>
    </w:p>
    <w:p w14:paraId="4AF9AF2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4" w:firstLineChars="200"/>
        <w:jc w:val="both"/>
        <w:textAlignment w:val="baseline"/>
        <w:rPr>
          <w:rFonts w:hint="eastAsia" w:ascii="宋体" w:hAnsi="宋体" w:eastAsia="宋体" w:cs="宋体"/>
          <w:sz w:val="24"/>
          <w:szCs w:val="24"/>
        </w:rPr>
      </w:pPr>
      <w:r>
        <w:rPr>
          <w:rFonts w:hint="eastAsia" w:ascii="宋体" w:hAnsi="宋体" w:eastAsia="宋体" w:cs="宋体"/>
          <w:spacing w:val="16"/>
          <w:sz w:val="24"/>
          <w:szCs w:val="24"/>
        </w:rPr>
        <w:t>国有企业支持的新质生产力是数字化时代建设中国式</w:t>
      </w:r>
      <w:r>
        <w:rPr>
          <w:rFonts w:hint="eastAsia" w:ascii="宋体" w:hAnsi="宋体" w:eastAsia="宋体" w:cs="宋体"/>
          <w:spacing w:val="15"/>
          <w:sz w:val="24"/>
          <w:szCs w:val="24"/>
        </w:rPr>
        <w:t>现代化的重要主体。以新型工业化、城</w:t>
      </w:r>
      <w:r>
        <w:rPr>
          <w:rFonts w:hint="eastAsia" w:ascii="宋体" w:hAnsi="宋体" w:eastAsia="宋体" w:cs="宋体"/>
          <w:spacing w:val="21"/>
          <w:sz w:val="24"/>
          <w:szCs w:val="24"/>
        </w:rPr>
        <w:t>镇化和人的自身现代化为内容的中国式现代化为新质生产力提供了广阔的发展领域,新质生产力</w:t>
      </w:r>
      <w:r>
        <w:rPr>
          <w:rFonts w:hint="eastAsia" w:ascii="宋体" w:hAnsi="宋体" w:eastAsia="宋体" w:cs="宋体"/>
          <w:spacing w:val="19"/>
          <w:sz w:val="24"/>
          <w:szCs w:val="24"/>
        </w:rPr>
        <w:t>是推进中国式现代化的强大推动力。中国式现代化需要国有企</w:t>
      </w:r>
      <w:r>
        <w:rPr>
          <w:rFonts w:hint="eastAsia" w:ascii="宋体" w:hAnsi="宋体" w:eastAsia="宋体" w:cs="宋体"/>
          <w:spacing w:val="18"/>
          <w:sz w:val="24"/>
          <w:szCs w:val="24"/>
        </w:rPr>
        <w:t>业、民族性民营企业的共同努力,</w:t>
      </w:r>
      <w:r>
        <w:rPr>
          <w:rFonts w:hint="eastAsia" w:ascii="宋体" w:hAnsi="宋体" w:eastAsia="宋体" w:cs="宋体"/>
          <w:spacing w:val="19"/>
          <w:sz w:val="24"/>
          <w:szCs w:val="24"/>
        </w:rPr>
        <w:t>尤其是需要支撑国民经济命脉的国有企业。当世界经济进入数字化时代的时候,首先崛起的是私</w:t>
      </w:r>
      <w:r>
        <w:rPr>
          <w:rFonts w:hint="eastAsia" w:ascii="宋体" w:hAnsi="宋体" w:eastAsia="宋体" w:cs="宋体"/>
          <w:spacing w:val="21"/>
          <w:sz w:val="24"/>
          <w:szCs w:val="24"/>
        </w:rPr>
        <w:t>有企业,他们占据了平台经济的重要位置,而且形成了愈演愈烈的垄断态势。这就要求我们要实</w:t>
      </w:r>
      <w:r>
        <w:rPr>
          <w:rFonts w:hint="eastAsia" w:ascii="宋体" w:hAnsi="宋体" w:eastAsia="宋体" w:cs="宋体"/>
          <w:spacing w:val="23"/>
          <w:sz w:val="24"/>
          <w:szCs w:val="24"/>
        </w:rPr>
        <w:t>现国有企业在平台经济领域的大发展,要在治理平台经济垄断问题的</w:t>
      </w:r>
      <w:r>
        <w:rPr>
          <w:rFonts w:hint="eastAsia" w:ascii="宋体" w:hAnsi="宋体" w:eastAsia="宋体" w:cs="宋体"/>
          <w:spacing w:val="22"/>
          <w:sz w:val="24"/>
          <w:szCs w:val="24"/>
        </w:rPr>
        <w:t>同时,提升国有企业在平台</w:t>
      </w:r>
      <w:r>
        <w:rPr>
          <w:rFonts w:hint="eastAsia" w:ascii="宋体" w:hAnsi="宋体" w:eastAsia="宋体" w:cs="宋体"/>
          <w:spacing w:val="16"/>
          <w:sz w:val="24"/>
          <w:szCs w:val="24"/>
        </w:rPr>
        <w:t>经济领域的占比。面对平台经济垄断,首先要清楚平台经济垄断的根本原因,“平台经济垄断产生的根本原因是大数据初始资源私人占有和平台企业私有制”</w:t>
      </w:r>
      <w:r>
        <w:rPr>
          <w:rStyle w:val="20"/>
          <w:rFonts w:hint="eastAsia" w:ascii="宋体" w:hAnsi="宋体" w:eastAsia="宋体" w:cs="宋体"/>
          <w:spacing w:val="16"/>
          <w:sz w:val="24"/>
          <w:szCs w:val="24"/>
        </w:rPr>
        <w:footnoteReference w:id="866"/>
      </w:r>
      <w:r>
        <w:rPr>
          <w:rFonts w:hint="eastAsia" w:ascii="宋体" w:hAnsi="宋体" w:eastAsia="宋体" w:cs="宋体"/>
          <w:spacing w:val="16"/>
          <w:sz w:val="24"/>
          <w:szCs w:val="24"/>
        </w:rPr>
        <w:t>。对此,要在坚持社会主义公有制前</w:t>
      </w:r>
      <w:r>
        <w:rPr>
          <w:rFonts w:hint="eastAsia" w:ascii="宋体" w:hAnsi="宋体" w:eastAsia="宋体" w:cs="宋体"/>
          <w:spacing w:val="21"/>
          <w:sz w:val="24"/>
          <w:szCs w:val="24"/>
        </w:rPr>
        <w:t>提下,在确保国家信息安全和公民隐私安全的前提下,不断扩大国有企业</w:t>
      </w:r>
      <w:r>
        <w:rPr>
          <w:rFonts w:hint="eastAsia" w:ascii="宋体" w:hAnsi="宋体" w:eastAsia="宋体" w:cs="宋体"/>
          <w:spacing w:val="20"/>
          <w:sz w:val="24"/>
          <w:szCs w:val="24"/>
        </w:rPr>
        <w:t>在平台经济领域的规模,</w:t>
      </w:r>
      <w:r>
        <w:rPr>
          <w:rFonts w:hint="eastAsia" w:ascii="宋体" w:hAnsi="宋体" w:eastAsia="宋体" w:cs="宋体"/>
          <w:spacing w:val="22"/>
          <w:sz w:val="24"/>
          <w:szCs w:val="24"/>
        </w:rPr>
        <w:t>一方面通过国有企业夯实数字基础设施建设,另一方面通过提升数字国有企业发展质量,获得更</w:t>
      </w:r>
      <w:r>
        <w:rPr>
          <w:rFonts w:hint="eastAsia" w:ascii="宋体" w:hAnsi="宋体" w:eastAsia="宋体" w:cs="宋体"/>
          <w:spacing w:val="21"/>
          <w:sz w:val="24"/>
          <w:szCs w:val="24"/>
        </w:rPr>
        <w:t>多数字资源,形成数字生产力,共同推进数字化时代新质</w:t>
      </w:r>
      <w:r>
        <w:rPr>
          <w:rFonts w:hint="eastAsia" w:ascii="宋体" w:hAnsi="宋体" w:eastAsia="宋体" w:cs="宋体"/>
          <w:spacing w:val="20"/>
          <w:sz w:val="24"/>
          <w:szCs w:val="24"/>
        </w:rPr>
        <w:t>生产力发展,从而推动中国式现代化建设</w:t>
      </w:r>
      <w:r>
        <w:rPr>
          <w:rFonts w:hint="eastAsia" w:ascii="宋体" w:hAnsi="宋体" w:eastAsia="宋体" w:cs="宋体"/>
          <w:spacing w:val="10"/>
          <w:sz w:val="24"/>
          <w:szCs w:val="24"/>
        </w:rPr>
        <w:t>的进程。</w:t>
      </w:r>
    </w:p>
    <w:p w14:paraId="620FB75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2" w:firstLineChars="200"/>
        <w:jc w:val="both"/>
        <w:textAlignment w:val="baseline"/>
        <w:rPr>
          <w:rFonts w:hint="eastAsia" w:ascii="宋体" w:hAnsi="宋体" w:eastAsia="宋体" w:cs="宋体"/>
          <w:sz w:val="24"/>
          <w:szCs w:val="24"/>
        </w:rPr>
      </w:pPr>
      <w:r>
        <w:rPr>
          <w:rFonts w:hint="eastAsia" w:ascii="宋体" w:hAnsi="宋体" w:eastAsia="宋体" w:cs="宋体"/>
          <w:spacing w:val="23"/>
          <w:sz w:val="24"/>
          <w:szCs w:val="24"/>
        </w:rPr>
        <w:t>新质生产力会依托国有企业实现更高层次的共同富裕。新质生产力的发展是为了让全</w:t>
      </w:r>
      <w:r>
        <w:rPr>
          <w:rFonts w:hint="eastAsia" w:ascii="宋体" w:hAnsi="宋体" w:eastAsia="宋体" w:cs="宋体"/>
          <w:spacing w:val="22"/>
          <w:sz w:val="24"/>
          <w:szCs w:val="24"/>
        </w:rPr>
        <w:t>国人</w:t>
      </w:r>
      <w:r>
        <w:rPr>
          <w:rFonts w:hint="eastAsia" w:ascii="宋体" w:hAnsi="宋体" w:eastAsia="宋体" w:cs="宋体"/>
          <w:spacing w:val="19"/>
          <w:sz w:val="24"/>
          <w:szCs w:val="24"/>
        </w:rPr>
        <w:t>民在更高的层次上都过上美满幸福生活,实现共同富裕。由于财富和收入分配问题本质上是所有</w:t>
      </w:r>
      <w:r>
        <w:rPr>
          <w:rFonts w:hint="eastAsia" w:ascii="宋体" w:hAnsi="宋体" w:eastAsia="宋体" w:cs="宋体"/>
          <w:spacing w:val="7"/>
          <w:sz w:val="24"/>
          <w:szCs w:val="24"/>
        </w:rPr>
        <w:t>制问题</w:t>
      </w:r>
      <w:r>
        <w:rPr>
          <w:rStyle w:val="20"/>
          <w:rFonts w:hint="eastAsia" w:ascii="宋体" w:hAnsi="宋体" w:eastAsia="宋体" w:cs="宋体"/>
          <w:spacing w:val="7"/>
          <w:sz w:val="24"/>
          <w:szCs w:val="24"/>
        </w:rPr>
        <w:footnoteReference w:id="867"/>
      </w:r>
      <w:r>
        <w:rPr>
          <w:rFonts w:hint="eastAsia" w:ascii="宋体" w:hAnsi="宋体" w:eastAsia="宋体" w:cs="宋体"/>
          <w:spacing w:val="7"/>
          <w:sz w:val="24"/>
          <w:szCs w:val="24"/>
        </w:rPr>
        <w:t>,而国有企业正是生产资料公有制的承载体</w:t>
      </w:r>
      <w:r>
        <w:rPr>
          <w:rFonts w:hint="eastAsia" w:ascii="宋体" w:hAnsi="宋体" w:eastAsia="宋体" w:cs="宋体"/>
          <w:spacing w:val="6"/>
          <w:sz w:val="24"/>
          <w:szCs w:val="24"/>
        </w:rPr>
        <w:t>,也是新质生产力发展的最重要主体。一方</w:t>
      </w:r>
      <w:r>
        <w:rPr>
          <w:rFonts w:hint="eastAsia" w:ascii="宋体" w:hAnsi="宋体" w:eastAsia="宋体" w:cs="宋体"/>
          <w:spacing w:val="23"/>
          <w:sz w:val="24"/>
          <w:szCs w:val="24"/>
        </w:rPr>
        <w:t>面,只有承载新质生产力发展任务的国有企业能够为全国人民提供更</w:t>
      </w:r>
      <w:r>
        <w:rPr>
          <w:rFonts w:hint="eastAsia" w:ascii="宋体" w:hAnsi="宋体" w:eastAsia="宋体" w:cs="宋体"/>
          <w:spacing w:val="22"/>
          <w:sz w:val="24"/>
          <w:szCs w:val="24"/>
        </w:rPr>
        <w:t>多可供分配的实体财富;另</w:t>
      </w:r>
      <w:r>
        <w:rPr>
          <w:rFonts w:hint="eastAsia" w:ascii="宋体" w:hAnsi="宋体" w:eastAsia="宋体" w:cs="宋体"/>
          <w:spacing w:val="23"/>
          <w:sz w:val="24"/>
          <w:szCs w:val="24"/>
        </w:rPr>
        <w:t>一方面,作为新质生产力主体的国有企业因为容纳了更多的新生产要素和</w:t>
      </w:r>
      <w:r>
        <w:rPr>
          <w:rFonts w:hint="eastAsia" w:ascii="宋体" w:hAnsi="宋体" w:eastAsia="宋体" w:cs="宋体"/>
          <w:spacing w:val="22"/>
          <w:sz w:val="24"/>
          <w:szCs w:val="24"/>
        </w:rPr>
        <w:t>新科技,还能够创造出</w:t>
      </w:r>
      <w:r>
        <w:rPr>
          <w:rFonts w:hint="eastAsia" w:ascii="宋体" w:hAnsi="宋体" w:eastAsia="宋体" w:cs="宋体"/>
          <w:spacing w:val="20"/>
          <w:sz w:val="24"/>
          <w:szCs w:val="24"/>
        </w:rPr>
        <w:t>更多的数字产业、数字财富和数字化就业机会,这些更多就业机会是改变贫穷落后的根本措施。</w:t>
      </w:r>
      <w:r>
        <w:rPr>
          <w:rFonts w:hint="eastAsia" w:ascii="宋体" w:hAnsi="宋体" w:eastAsia="宋体" w:cs="宋体"/>
          <w:spacing w:val="22"/>
          <w:sz w:val="24"/>
          <w:szCs w:val="24"/>
        </w:rPr>
        <w:t>国有企业分布在各个行业,众多拥有国有企业的新产业就会产生更强的溢出效应,由此形成经济</w:t>
      </w:r>
      <w:r>
        <w:rPr>
          <w:rFonts w:hint="eastAsia" w:ascii="宋体" w:hAnsi="宋体" w:eastAsia="宋体" w:cs="宋体"/>
          <w:spacing w:val="18"/>
          <w:sz w:val="24"/>
          <w:szCs w:val="24"/>
        </w:rPr>
        <w:t>良性循环的良好态势,从而为共同富裕创造更多的实</w:t>
      </w:r>
      <w:r>
        <w:rPr>
          <w:rFonts w:hint="eastAsia" w:ascii="宋体" w:hAnsi="宋体" w:eastAsia="宋体" w:cs="宋体"/>
          <w:spacing w:val="17"/>
          <w:sz w:val="24"/>
          <w:szCs w:val="24"/>
        </w:rPr>
        <w:t>现路径。</w:t>
      </w:r>
    </w:p>
    <w:p w14:paraId="35FED8E6">
      <w:pPr>
        <w:pStyle w:val="4"/>
        <w:bidi w:val="0"/>
        <w:rPr>
          <w:rFonts w:hint="eastAsia"/>
        </w:rPr>
      </w:pPr>
      <w:r>
        <w:rPr>
          <w:rFonts w:hint="eastAsia"/>
        </w:rPr>
        <w:t>三、培育新质生产力的可行性路径</w:t>
      </w:r>
    </w:p>
    <w:p w14:paraId="3002B38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4" w:firstLineChars="200"/>
        <w:jc w:val="both"/>
        <w:textAlignment w:val="baseline"/>
        <w:rPr>
          <w:rFonts w:hint="eastAsia" w:ascii="宋体" w:hAnsi="宋体" w:eastAsia="宋体" w:cs="宋体"/>
          <w:spacing w:val="21"/>
          <w:sz w:val="24"/>
          <w:szCs w:val="24"/>
        </w:rPr>
      </w:pPr>
      <w:r>
        <w:rPr>
          <w:rFonts w:hint="eastAsia" w:ascii="宋体" w:hAnsi="宋体" w:eastAsia="宋体" w:cs="宋体"/>
          <w:spacing w:val="21"/>
          <w:sz w:val="24"/>
          <w:szCs w:val="24"/>
        </w:rPr>
        <w:t>(一)新机制为培育新质生产力提供新动力</w:t>
      </w:r>
    </w:p>
    <w:p w14:paraId="52D9EA6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sz w:val="24"/>
          <w:szCs w:val="24"/>
        </w:rPr>
        <w:t>新质生产力需要新思想、新主体、新机制、新动力的通力</w:t>
      </w:r>
      <w:r>
        <w:rPr>
          <w:rFonts w:hint="eastAsia" w:ascii="宋体" w:hAnsi="宋体" w:eastAsia="宋体" w:cs="宋体"/>
          <w:spacing w:val="10"/>
          <w:sz w:val="24"/>
          <w:szCs w:val="24"/>
        </w:rPr>
        <w:t>合作与协同推进。新的国际形势要求</w:t>
      </w:r>
      <w:r>
        <w:rPr>
          <w:rFonts w:hint="eastAsia" w:ascii="宋体" w:hAnsi="宋体" w:eastAsia="宋体" w:cs="宋体"/>
          <w:spacing w:val="23"/>
          <w:sz w:val="24"/>
          <w:szCs w:val="24"/>
        </w:rPr>
        <w:t>我们要在创新马克思主义理论指导下,在习近平新时代中国特色社会主义</w:t>
      </w:r>
      <w:r>
        <w:rPr>
          <w:rFonts w:hint="eastAsia" w:ascii="宋体" w:hAnsi="宋体" w:eastAsia="宋体" w:cs="宋体"/>
          <w:spacing w:val="22"/>
          <w:sz w:val="24"/>
          <w:szCs w:val="24"/>
        </w:rPr>
        <w:t>思想的正确指引下,在中国共产党的全面领导下,从中华优秀传统文化蕴藏的丰富思想中汲取大智慧,围绕国家战略生</w:t>
      </w:r>
      <w:r>
        <w:rPr>
          <w:rFonts w:hint="eastAsia" w:ascii="宋体" w:hAnsi="宋体" w:eastAsia="宋体" w:cs="宋体"/>
          <w:spacing w:val="18"/>
          <w:sz w:val="24"/>
          <w:szCs w:val="24"/>
        </w:rPr>
        <w:t>存需求和国家经济长远发展进行布局谋篇。通过准确识变、主动求变和科学应变,明确国家可持续发展的战略目标,推进新质生产力的高效发展和生产关系改革创新的同频共振。</w:t>
      </w:r>
    </w:p>
    <w:p w14:paraId="0182BF0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8" w:firstLineChars="200"/>
        <w:jc w:val="both"/>
        <w:textAlignment w:val="baseline"/>
        <w:rPr>
          <w:rFonts w:hint="eastAsia" w:ascii="宋体" w:hAnsi="宋体" w:eastAsia="宋体" w:cs="宋体"/>
          <w:sz w:val="24"/>
          <w:szCs w:val="24"/>
        </w:rPr>
      </w:pPr>
      <w:r>
        <w:rPr>
          <w:rFonts w:hint="eastAsia" w:ascii="宋体" w:hAnsi="宋体" w:eastAsia="宋体" w:cs="宋体"/>
          <w:spacing w:val="22"/>
          <w:sz w:val="24"/>
          <w:szCs w:val="24"/>
        </w:rPr>
        <w:t>习近平新时代中国特色社会主义思想是新质生产力发</w:t>
      </w:r>
      <w:r>
        <w:rPr>
          <w:rFonts w:hint="eastAsia" w:ascii="宋体" w:hAnsi="宋体" w:eastAsia="宋体" w:cs="宋体"/>
          <w:spacing w:val="21"/>
          <w:sz w:val="24"/>
          <w:szCs w:val="24"/>
        </w:rPr>
        <w:t>展的行动指南。中华民族共同体是新</w:t>
      </w:r>
      <w:r>
        <w:rPr>
          <w:rFonts w:hint="eastAsia" w:ascii="宋体" w:hAnsi="宋体" w:eastAsia="宋体" w:cs="宋体"/>
          <w:spacing w:val="9"/>
          <w:sz w:val="24"/>
          <w:szCs w:val="24"/>
        </w:rPr>
        <w:t>质生产力发展的民族主体,创新、协调、绿色、开放、共享五大新发展理念是激发中华民族共同体团</w:t>
      </w:r>
      <w:r>
        <w:rPr>
          <w:rFonts w:hint="eastAsia" w:ascii="宋体" w:hAnsi="宋体" w:eastAsia="宋体" w:cs="宋体"/>
          <w:spacing w:val="20"/>
          <w:sz w:val="24"/>
          <w:szCs w:val="24"/>
        </w:rPr>
        <w:t>结一致促进新质生产力发展的内生动力。新发展格局是新质生产力发展的空间载体,现代化产业体系是新质生产力发展的中观载体,国有企业、民族性民营企业</w:t>
      </w:r>
      <w:r>
        <w:rPr>
          <w:rFonts w:hint="eastAsia" w:ascii="宋体" w:hAnsi="宋体" w:eastAsia="宋体" w:cs="宋体"/>
          <w:spacing w:val="19"/>
          <w:sz w:val="24"/>
          <w:szCs w:val="24"/>
        </w:rPr>
        <w:t>是新质生产力发展的微观载体。</w:t>
      </w:r>
      <w:r>
        <w:rPr>
          <w:rFonts w:hint="eastAsia" w:ascii="宋体" w:hAnsi="宋体" w:eastAsia="宋体" w:cs="宋体"/>
          <w:spacing w:val="21"/>
          <w:sz w:val="24"/>
          <w:szCs w:val="24"/>
        </w:rPr>
        <w:t>高质量发展既是新质生产力追求的目标,也是新质生产力发展的结果,高质量发</w:t>
      </w:r>
      <w:r>
        <w:rPr>
          <w:rFonts w:hint="eastAsia" w:ascii="宋体" w:hAnsi="宋体" w:eastAsia="宋体" w:cs="宋体"/>
          <w:spacing w:val="20"/>
          <w:sz w:val="24"/>
          <w:szCs w:val="24"/>
        </w:rPr>
        <w:t>展与新质生产力</w:t>
      </w:r>
      <w:r>
        <w:rPr>
          <w:rFonts w:hint="eastAsia" w:ascii="宋体" w:hAnsi="宋体" w:eastAsia="宋体" w:cs="宋体"/>
          <w:spacing w:val="22"/>
          <w:sz w:val="24"/>
          <w:szCs w:val="24"/>
        </w:rPr>
        <w:t>具有价值取向一致的内在规定性。高水平社会主义市场经济体制是治理体系和治理能力现代化</w:t>
      </w:r>
      <w:r>
        <w:rPr>
          <w:rFonts w:hint="eastAsia" w:ascii="宋体" w:hAnsi="宋体" w:eastAsia="宋体" w:cs="宋体"/>
          <w:spacing w:val="17"/>
          <w:sz w:val="24"/>
          <w:szCs w:val="24"/>
        </w:rPr>
        <w:t>的生动反映,治理体系和治理能力现代化从总体</w:t>
      </w:r>
      <w:r>
        <w:rPr>
          <w:rFonts w:hint="eastAsia" w:ascii="宋体" w:hAnsi="宋体" w:eastAsia="宋体" w:cs="宋体"/>
          <w:spacing w:val="16"/>
          <w:sz w:val="24"/>
          <w:szCs w:val="24"/>
        </w:rPr>
        <w:t>上确保新质生产力的高效、稳定、长远发展,高水</w:t>
      </w:r>
      <w:r>
        <w:rPr>
          <w:rFonts w:hint="eastAsia" w:ascii="宋体" w:hAnsi="宋体" w:eastAsia="宋体" w:cs="宋体"/>
          <w:spacing w:val="17"/>
          <w:sz w:val="24"/>
          <w:szCs w:val="24"/>
        </w:rPr>
        <w:t>平社会主义市场经济体制、治理体系和治理能力现代化、新质生产力三者之间具有内在的统一性</w:t>
      </w:r>
      <w:r>
        <w:rPr>
          <w:rFonts w:hint="eastAsia" w:ascii="宋体" w:hAnsi="宋体" w:eastAsia="宋体" w:cs="宋体"/>
          <w:spacing w:val="13"/>
          <w:sz w:val="24"/>
          <w:szCs w:val="24"/>
        </w:rPr>
        <w:t>和外在的契合性。</w:t>
      </w:r>
    </w:p>
    <w:p w14:paraId="5796827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新机制是孕育新质生产力的源头。新机制为新质生产力发展开辟新赛道和酝酿新动力,新赛道上的新主体是新质生产力的新生力量,是第四次产业革命的领跑者。新机制包括新资源创新机</w:t>
      </w:r>
      <w:r>
        <w:rPr>
          <w:rFonts w:hint="eastAsia" w:ascii="宋体" w:hAnsi="宋体" w:eastAsia="宋体" w:cs="宋体"/>
          <w:spacing w:val="13"/>
          <w:sz w:val="24"/>
          <w:szCs w:val="24"/>
        </w:rPr>
        <w:t>制、新收入分配机制、新社会流动机制、新经营机制。新动力是新赛道得以开拓的新能量,是确保</w:t>
      </w:r>
      <w:r>
        <w:rPr>
          <w:rFonts w:hint="eastAsia" w:ascii="宋体" w:hAnsi="宋体" w:eastAsia="宋体" w:cs="宋体"/>
          <w:spacing w:val="18"/>
          <w:sz w:val="24"/>
          <w:szCs w:val="24"/>
        </w:rPr>
        <w:t>新赛道顺利畅通并可持续延展的源泉,新赛道是新质生产力具体实施领域的优先选择范围。</w:t>
      </w:r>
    </w:p>
    <w:p w14:paraId="1EEB10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lang w:eastAsia="zh-CN"/>
        </w:rPr>
      </w:pPr>
      <w:r>
        <w:rPr>
          <w:rFonts w:hint="eastAsia" w:ascii="宋体" w:hAnsi="宋体" w:eastAsia="宋体" w:cs="宋体"/>
          <w:spacing w:val="20"/>
          <w:sz w:val="24"/>
          <w:szCs w:val="24"/>
        </w:rPr>
        <w:t>新机制为新质生产力的爆发提供能量。运用资源创新机制激活人才队伍中的新创新主体,运</w:t>
      </w:r>
      <w:r>
        <w:rPr>
          <w:rFonts w:hint="eastAsia" w:ascii="宋体" w:hAnsi="宋体" w:eastAsia="宋体" w:cs="宋体"/>
          <w:spacing w:val="21"/>
          <w:sz w:val="24"/>
          <w:szCs w:val="24"/>
        </w:rPr>
        <w:t>用新收入分配机制激发具备科技创新优势的多层级科技创新中心释放新动能,运用新社会流动机制激励创新集群低成本运行实现高效率,运用新经营机制发现新场景融合虚拟现实创新构筑数字</w:t>
      </w:r>
      <w:r>
        <w:rPr>
          <w:rFonts w:hint="eastAsia" w:ascii="宋体" w:hAnsi="宋体" w:eastAsia="宋体" w:cs="宋体"/>
          <w:spacing w:val="20"/>
          <w:sz w:val="24"/>
          <w:szCs w:val="24"/>
        </w:rPr>
        <w:t>化产业新基地,再通过新主体在新动力作用下发现更多新场</w:t>
      </w:r>
      <w:r>
        <w:rPr>
          <w:rFonts w:hint="eastAsia" w:ascii="宋体" w:hAnsi="宋体" w:eastAsia="宋体" w:cs="宋体"/>
          <w:spacing w:val="19"/>
          <w:sz w:val="24"/>
          <w:szCs w:val="24"/>
        </w:rPr>
        <w:t>景,从而提高新效率。这充分说明,在</w:t>
      </w:r>
      <w:r>
        <w:rPr>
          <w:rFonts w:hint="eastAsia" w:ascii="宋体" w:hAnsi="宋体" w:eastAsia="宋体" w:cs="宋体"/>
          <w:spacing w:val="11"/>
          <w:sz w:val="24"/>
          <w:szCs w:val="24"/>
        </w:rPr>
        <w:t>新机制、新主体、新能量、新动力共同作用下,就会开辟出新赛道,进而形成新质生产力发展的能</w:t>
      </w:r>
      <w:r>
        <w:rPr>
          <w:rFonts w:hint="eastAsia" w:ascii="宋体" w:hAnsi="宋体" w:eastAsia="宋体" w:cs="宋体"/>
          <w:spacing w:val="7"/>
          <w:sz w:val="24"/>
          <w:szCs w:val="24"/>
        </w:rPr>
        <w:t>量场</w:t>
      </w:r>
      <w:r>
        <w:rPr>
          <w:rFonts w:hint="eastAsia" w:ascii="宋体" w:hAnsi="宋体" w:eastAsia="宋体" w:cs="宋体"/>
          <w:spacing w:val="7"/>
          <w:sz w:val="24"/>
          <w:szCs w:val="24"/>
          <w:lang w:eastAsia="zh-CN"/>
        </w:rPr>
        <w:t>。</w:t>
      </w:r>
    </w:p>
    <w:p w14:paraId="6E3D7A8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(二)新场域为新质生产力发展创造新空间</w:t>
      </w:r>
    </w:p>
    <w:p w14:paraId="1AE3A5E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新质生产力要有新的作为空间。这些新的作为空间有的是原有行业的新技术应用场景,有的</w:t>
      </w:r>
      <w:r>
        <w:rPr>
          <w:rFonts w:hint="eastAsia" w:ascii="宋体" w:hAnsi="宋体" w:eastAsia="宋体" w:cs="宋体"/>
          <w:spacing w:val="10"/>
          <w:sz w:val="24"/>
          <w:szCs w:val="24"/>
        </w:rPr>
        <w:t>是新技术支撑的崭新领域。</w:t>
      </w:r>
      <w:r>
        <w:rPr>
          <w:rFonts w:hint="eastAsia" w:ascii="宋体" w:hAnsi="宋体" w:eastAsia="宋体" w:cs="宋体"/>
          <w:spacing w:val="10"/>
          <w:position w:val="-2"/>
          <w:sz w:val="24"/>
          <w:szCs w:val="24"/>
        </w:rPr>
        <w:t>2021</w:t>
      </w:r>
      <w:r>
        <w:rPr>
          <w:rFonts w:hint="eastAsia" w:ascii="宋体" w:hAnsi="宋体" w:eastAsia="宋体" w:cs="宋体"/>
          <w:spacing w:val="10"/>
          <w:sz w:val="24"/>
          <w:szCs w:val="24"/>
        </w:rPr>
        <w:t>年</w:t>
      </w:r>
      <w:r>
        <w:rPr>
          <w:rFonts w:hint="eastAsia" w:ascii="宋体" w:hAnsi="宋体" w:eastAsia="宋体" w:cs="宋体"/>
          <w:spacing w:val="10"/>
          <w:position w:val="-2"/>
          <w:sz w:val="24"/>
          <w:szCs w:val="24"/>
        </w:rPr>
        <w:t>10</w:t>
      </w:r>
      <w:r>
        <w:rPr>
          <w:rFonts w:hint="eastAsia" w:ascii="宋体" w:hAnsi="宋体" w:eastAsia="宋体" w:cs="宋体"/>
          <w:spacing w:val="10"/>
          <w:sz w:val="24"/>
          <w:szCs w:val="24"/>
        </w:rPr>
        <w:t>月</w:t>
      </w:r>
      <w:r>
        <w:rPr>
          <w:rFonts w:hint="eastAsia" w:ascii="宋体" w:hAnsi="宋体" w:eastAsia="宋体" w:cs="宋体"/>
          <w:spacing w:val="10"/>
          <w:position w:val="-2"/>
          <w:sz w:val="24"/>
          <w:szCs w:val="24"/>
        </w:rPr>
        <w:t>29</w:t>
      </w:r>
      <w:r>
        <w:rPr>
          <w:rFonts w:hint="eastAsia" w:ascii="宋体" w:hAnsi="宋体" w:eastAsia="宋体" w:cs="宋体"/>
          <w:spacing w:val="10"/>
          <w:sz w:val="24"/>
          <w:szCs w:val="24"/>
        </w:rPr>
        <w:t>日,华为成立了包括</w:t>
      </w:r>
      <w:r>
        <w:rPr>
          <w:rFonts w:hint="eastAsia" w:ascii="宋体" w:hAnsi="宋体" w:eastAsia="宋体" w:cs="宋体"/>
          <w:spacing w:val="9"/>
          <w:sz w:val="24"/>
          <w:szCs w:val="24"/>
        </w:rPr>
        <w:t>煤矿军团、海关和港口军团、智慧</w:t>
      </w:r>
      <w:r>
        <w:rPr>
          <w:rFonts w:hint="eastAsia" w:ascii="宋体" w:hAnsi="宋体" w:eastAsia="宋体" w:cs="宋体"/>
          <w:spacing w:val="12"/>
          <w:sz w:val="24"/>
          <w:szCs w:val="24"/>
        </w:rPr>
        <w:t>公路军团、智能光伏军团和数据中心能源军团等在内的首批行业“军团”</w:t>
      </w:r>
      <w:r>
        <w:rPr>
          <w:rStyle w:val="20"/>
          <w:rFonts w:hint="eastAsia" w:ascii="宋体" w:hAnsi="宋体" w:eastAsia="宋体" w:cs="宋体"/>
          <w:spacing w:val="12"/>
          <w:sz w:val="24"/>
          <w:szCs w:val="24"/>
        </w:rPr>
        <w:footnoteReference w:id="868"/>
      </w:r>
      <w:r>
        <w:rPr>
          <w:rFonts w:hint="eastAsia" w:ascii="宋体" w:hAnsi="宋体" w:eastAsia="宋体" w:cs="宋体"/>
          <w:spacing w:val="12"/>
          <w:sz w:val="24"/>
          <w:szCs w:val="24"/>
        </w:rPr>
        <w:t>,这是华为的通信技术、</w:t>
      </w:r>
      <w:r>
        <w:rPr>
          <w:rFonts w:hint="eastAsia" w:ascii="宋体" w:hAnsi="宋体" w:eastAsia="宋体" w:cs="宋体"/>
          <w:spacing w:val="11"/>
          <w:sz w:val="24"/>
          <w:szCs w:val="24"/>
        </w:rPr>
        <w:t>操作系统、智能控制技术在传统的煤炭领域、海关与港口领域、公路交通领域、绿色能源领域等的</w:t>
      </w:r>
      <w:r>
        <w:rPr>
          <w:rFonts w:hint="eastAsia" w:ascii="宋体" w:hAnsi="宋体" w:eastAsia="宋体" w:cs="宋体"/>
          <w:spacing w:val="21"/>
          <w:sz w:val="24"/>
          <w:szCs w:val="24"/>
        </w:rPr>
        <w:t>新场域,是全新技术改造传统产业的成功典型,是实现并</w:t>
      </w:r>
      <w:r>
        <w:rPr>
          <w:rFonts w:hint="eastAsia" w:ascii="宋体" w:hAnsi="宋体" w:eastAsia="宋体" w:cs="宋体"/>
          <w:spacing w:val="20"/>
          <w:sz w:val="24"/>
          <w:szCs w:val="24"/>
        </w:rPr>
        <w:t>完成产业结构升级的突出标志,这些新场</w:t>
      </w:r>
      <w:r>
        <w:rPr>
          <w:rFonts w:hint="eastAsia" w:ascii="宋体" w:hAnsi="宋体" w:eastAsia="宋体" w:cs="宋体"/>
          <w:spacing w:val="17"/>
          <w:sz w:val="24"/>
          <w:szCs w:val="24"/>
        </w:rPr>
        <w:t>域是新技术引领的新质生产力发展新载体。</w:t>
      </w:r>
    </w:p>
    <w:p w14:paraId="383AE0A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spacing w:val="10"/>
          <w:sz w:val="24"/>
          <w:szCs w:val="24"/>
        </w:rPr>
        <w:t>先进核心技术扩散过程中带动更多企业开辟新场域</w:t>
      </w:r>
      <w:r>
        <w:rPr>
          <w:rFonts w:hint="eastAsia" w:ascii="宋体" w:hAnsi="宋体" w:eastAsia="宋体" w:cs="宋体"/>
          <w:spacing w:val="9"/>
          <w:sz w:val="24"/>
          <w:szCs w:val="24"/>
        </w:rPr>
        <w:t>。在华为“军团”模式的示范之下,自</w:t>
      </w:r>
      <w:r>
        <w:rPr>
          <w:rFonts w:hint="eastAsia" w:ascii="宋体" w:hAnsi="宋体" w:eastAsia="宋体" w:cs="宋体"/>
          <w:spacing w:val="9"/>
          <w:position w:val="-2"/>
          <w:sz w:val="24"/>
          <w:szCs w:val="24"/>
        </w:rPr>
        <w:t>2022</w:t>
      </w:r>
      <w:r>
        <w:rPr>
          <w:rFonts w:hint="eastAsia" w:ascii="宋体" w:hAnsi="宋体" w:eastAsia="宋体" w:cs="宋体"/>
          <w:spacing w:val="9"/>
          <w:sz w:val="24"/>
          <w:szCs w:val="24"/>
        </w:rPr>
        <w:t>年开始三大电信运营商也纷纷建立了自己的“军团”</w:t>
      </w:r>
      <w:r>
        <w:rPr>
          <w:rStyle w:val="20"/>
          <w:rFonts w:hint="eastAsia" w:ascii="宋体" w:hAnsi="宋体" w:eastAsia="宋体" w:cs="宋体"/>
          <w:spacing w:val="9"/>
          <w:sz w:val="24"/>
          <w:szCs w:val="24"/>
        </w:rPr>
        <w:footnoteReference w:id="869"/>
      </w:r>
      <w:r>
        <w:rPr>
          <w:rFonts w:hint="eastAsia" w:ascii="宋体" w:hAnsi="宋体" w:eastAsia="宋体" w:cs="宋体"/>
          <w:spacing w:val="9"/>
          <w:sz w:val="24"/>
          <w:szCs w:val="24"/>
        </w:rPr>
        <w:t>。中国</w:t>
      </w:r>
      <w:r>
        <w:rPr>
          <w:rFonts w:hint="eastAsia" w:ascii="宋体" w:hAnsi="宋体" w:eastAsia="宋体" w:cs="宋体"/>
          <w:spacing w:val="8"/>
          <w:sz w:val="24"/>
          <w:szCs w:val="24"/>
        </w:rPr>
        <w:t>联通先后建立了装备制造、智慧钢铁、</w:t>
      </w:r>
      <w:r>
        <w:rPr>
          <w:rFonts w:hint="eastAsia" w:ascii="宋体" w:hAnsi="宋体" w:eastAsia="宋体" w:cs="宋体"/>
          <w:spacing w:val="-1"/>
          <w:sz w:val="24"/>
          <w:szCs w:val="24"/>
        </w:rPr>
        <w:t>服装制造、智慧矿山、汽车制造等九大行业“</w:t>
      </w:r>
      <w:r>
        <w:rPr>
          <w:rFonts w:hint="eastAsia" w:ascii="宋体" w:hAnsi="宋体" w:eastAsia="宋体" w:cs="宋体"/>
          <w:spacing w:val="-2"/>
          <w:sz w:val="24"/>
          <w:szCs w:val="24"/>
        </w:rPr>
        <w:t>军团”;中国电信成立了包括卫健、应急、文旅、教育、住</w:t>
      </w:r>
      <w:r>
        <w:rPr>
          <w:rFonts w:hint="eastAsia" w:ascii="宋体" w:hAnsi="宋体" w:eastAsia="宋体" w:cs="宋体"/>
          <w:spacing w:val="5"/>
          <w:sz w:val="24"/>
          <w:szCs w:val="24"/>
        </w:rPr>
        <w:t>建、金融等在内的</w:t>
      </w:r>
      <w:r>
        <w:rPr>
          <w:rFonts w:hint="eastAsia" w:ascii="宋体" w:hAnsi="宋体" w:eastAsia="宋体" w:cs="宋体"/>
          <w:spacing w:val="5"/>
          <w:position w:val="-2"/>
          <w:sz w:val="24"/>
          <w:szCs w:val="24"/>
        </w:rPr>
        <w:t>12</w:t>
      </w:r>
      <w:r>
        <w:rPr>
          <w:rFonts w:hint="eastAsia" w:ascii="宋体" w:hAnsi="宋体" w:eastAsia="宋体" w:cs="宋体"/>
          <w:spacing w:val="5"/>
          <w:sz w:val="24"/>
          <w:szCs w:val="24"/>
        </w:rPr>
        <w:t>个产业研究院;中国移动陆续成立了电力、智慧园区、智慧医院等“军团”。进</w:t>
      </w:r>
      <w:r>
        <w:rPr>
          <w:rFonts w:hint="eastAsia" w:ascii="宋体" w:hAnsi="宋体" w:eastAsia="宋体" w:cs="宋体"/>
          <w:sz w:val="24"/>
          <w:szCs w:val="24"/>
        </w:rPr>
        <w:t>入</w:t>
      </w:r>
      <w:r>
        <w:rPr>
          <w:rFonts w:hint="eastAsia" w:ascii="宋体" w:hAnsi="宋体" w:eastAsia="宋体" w:cs="宋体"/>
          <w:position w:val="-2"/>
          <w:sz w:val="24"/>
          <w:szCs w:val="24"/>
        </w:rPr>
        <w:t>2023</w:t>
      </w:r>
      <w:r>
        <w:rPr>
          <w:rFonts w:hint="eastAsia" w:ascii="宋体" w:hAnsi="宋体" w:eastAsia="宋体" w:cs="宋体"/>
          <w:sz w:val="24"/>
          <w:szCs w:val="24"/>
        </w:rPr>
        <w:t>年,中国移动又成立了私有云、公安、全连接工厂、车联网等“军团”。</w:t>
      </w:r>
    </w:p>
    <w:p w14:paraId="3AD72B2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6" w:firstLineChars="200"/>
        <w:jc w:val="both"/>
        <w:textAlignment w:val="baseline"/>
        <w:rPr>
          <w:rFonts w:hint="eastAsia" w:ascii="宋体" w:hAnsi="宋体" w:eastAsia="宋体" w:cs="宋体"/>
          <w:sz w:val="24"/>
          <w:szCs w:val="24"/>
        </w:rPr>
      </w:pPr>
      <w:r>
        <w:rPr>
          <w:rFonts w:hint="eastAsia" w:ascii="宋体" w:hAnsi="宋体" w:eastAsia="宋体" w:cs="宋体"/>
          <w:spacing w:val="24"/>
          <w:sz w:val="24"/>
          <w:szCs w:val="24"/>
        </w:rPr>
        <w:t>新场域是高科技产业链上的企业群通过系统性核心关键技术为新质生产力发展开辟的新市</w:t>
      </w:r>
      <w:r>
        <w:rPr>
          <w:rFonts w:hint="eastAsia" w:ascii="宋体" w:hAnsi="宋体" w:eastAsia="宋体" w:cs="宋体"/>
          <w:spacing w:val="21"/>
          <w:sz w:val="24"/>
          <w:szCs w:val="24"/>
        </w:rPr>
        <w:t>场。以半导体产业为例,半导体产业具备国际竞争力的科技研发产品最终体现在芯片上,芯片又</w:t>
      </w:r>
      <w:r>
        <w:rPr>
          <w:rFonts w:hint="eastAsia" w:ascii="宋体" w:hAnsi="宋体" w:eastAsia="宋体" w:cs="宋体"/>
          <w:spacing w:val="10"/>
          <w:sz w:val="24"/>
          <w:szCs w:val="24"/>
        </w:rPr>
        <w:t>是制造业的“大脑”,计算机芯片、手机芯片、智能制造芯片、高端服务芯</w:t>
      </w:r>
      <w:r>
        <w:rPr>
          <w:rFonts w:hint="eastAsia" w:ascii="宋体" w:hAnsi="宋体" w:eastAsia="宋体" w:cs="宋体"/>
          <w:spacing w:val="9"/>
          <w:sz w:val="24"/>
          <w:szCs w:val="24"/>
        </w:rPr>
        <w:t>片构成半导体产业链式结</w:t>
      </w:r>
      <w:r>
        <w:rPr>
          <w:rFonts w:hint="eastAsia" w:ascii="宋体" w:hAnsi="宋体" w:eastAsia="宋体" w:cs="宋体"/>
          <w:spacing w:val="14"/>
          <w:sz w:val="24"/>
          <w:szCs w:val="24"/>
        </w:rPr>
        <w:t>构关键环节,而研制芯片的集成电路技术包括新材料技术、电路设计技术、封装技术、物理布局技</w:t>
      </w:r>
      <w:r>
        <w:rPr>
          <w:rFonts w:hint="eastAsia" w:ascii="宋体" w:hAnsi="宋体" w:eastAsia="宋体" w:cs="宋体"/>
          <w:spacing w:val="18"/>
          <w:sz w:val="24"/>
          <w:szCs w:val="24"/>
        </w:rPr>
        <w:t>术、制程技术、以语言模型建构技术和视觉</w:t>
      </w:r>
      <w:r>
        <w:rPr>
          <w:rFonts w:hint="eastAsia" w:ascii="宋体" w:hAnsi="宋体" w:eastAsia="宋体" w:cs="宋体"/>
          <w:spacing w:val="17"/>
          <w:sz w:val="24"/>
          <w:szCs w:val="24"/>
        </w:rPr>
        <w:t>处理技术以及算力底座技术为组成部分的人工智能技</w:t>
      </w:r>
      <w:r>
        <w:rPr>
          <w:rFonts w:hint="eastAsia" w:ascii="宋体" w:hAnsi="宋体" w:eastAsia="宋体" w:cs="宋体"/>
          <w:spacing w:val="23"/>
          <w:sz w:val="24"/>
          <w:szCs w:val="24"/>
        </w:rPr>
        <w:t>术,所有这些新科技的研发不是一个企业能够完全承担的任务,</w:t>
      </w:r>
      <w:r>
        <w:rPr>
          <w:rFonts w:hint="eastAsia" w:ascii="宋体" w:hAnsi="宋体" w:eastAsia="宋体" w:cs="宋体"/>
          <w:spacing w:val="22"/>
          <w:sz w:val="24"/>
          <w:szCs w:val="24"/>
        </w:rPr>
        <w:t>而是需要产业链上的技术相关企</w:t>
      </w:r>
      <w:r>
        <w:rPr>
          <w:rFonts w:hint="eastAsia" w:ascii="宋体" w:hAnsi="宋体" w:eastAsia="宋体" w:cs="宋体"/>
          <w:spacing w:val="12"/>
          <w:sz w:val="24"/>
          <w:szCs w:val="24"/>
        </w:rPr>
        <w:t>业群集成研发、协同研发、合作研发才能突破美国对中国</w:t>
      </w:r>
      <w:r>
        <w:rPr>
          <w:rFonts w:hint="eastAsia" w:ascii="宋体" w:hAnsi="宋体" w:eastAsia="宋体" w:cs="宋体"/>
          <w:spacing w:val="11"/>
          <w:sz w:val="24"/>
          <w:szCs w:val="24"/>
        </w:rPr>
        <w:t>的系统性关键核心技术封锁。</w:t>
      </w:r>
    </w:p>
    <w:p w14:paraId="0F66F61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60" w:firstLineChars="200"/>
        <w:jc w:val="both"/>
        <w:textAlignment w:val="baseline"/>
        <w:rPr>
          <w:rFonts w:hint="eastAsia" w:ascii="宋体" w:hAnsi="宋体" w:eastAsia="宋体" w:cs="宋体"/>
          <w:sz w:val="24"/>
          <w:szCs w:val="24"/>
        </w:rPr>
      </w:pPr>
      <w:r>
        <w:rPr>
          <w:rFonts w:hint="eastAsia" w:ascii="宋体" w:hAnsi="宋体" w:eastAsia="宋体" w:cs="宋体"/>
          <w:spacing w:val="20"/>
          <w:sz w:val="24"/>
          <w:szCs w:val="24"/>
        </w:rPr>
        <w:t>具备研发核心关键技术的头部企业是新质生产力发展过程中创造新场域的主力军。</w:t>
      </w:r>
      <w:r>
        <w:rPr>
          <w:rFonts w:hint="eastAsia" w:ascii="宋体" w:hAnsi="宋体" w:eastAsia="宋体" w:cs="宋体"/>
          <w:spacing w:val="20"/>
          <w:position w:val="-2"/>
          <w:sz w:val="24"/>
          <w:szCs w:val="24"/>
        </w:rPr>
        <w:t>2023</w:t>
      </w:r>
      <w:r>
        <w:rPr>
          <w:rFonts w:hint="eastAsia" w:ascii="宋体" w:hAnsi="宋体" w:eastAsia="宋体" w:cs="宋体"/>
          <w:spacing w:val="20"/>
          <w:sz w:val="24"/>
          <w:szCs w:val="24"/>
        </w:rPr>
        <w:t>年</w:t>
      </w:r>
      <w:r>
        <w:rPr>
          <w:rFonts w:hint="eastAsia" w:ascii="宋体" w:hAnsi="宋体" w:eastAsia="宋体" w:cs="宋体"/>
          <w:spacing w:val="21"/>
          <w:position w:val="-2"/>
          <w:sz w:val="24"/>
          <w:szCs w:val="24"/>
        </w:rPr>
        <w:t>8</w:t>
      </w:r>
      <w:r>
        <w:rPr>
          <w:rFonts w:hint="eastAsia" w:ascii="宋体" w:hAnsi="宋体" w:eastAsia="宋体" w:cs="宋体"/>
          <w:spacing w:val="21"/>
          <w:sz w:val="24"/>
          <w:szCs w:val="24"/>
        </w:rPr>
        <w:t>月</w:t>
      </w:r>
      <w:r>
        <w:rPr>
          <w:rFonts w:hint="eastAsia" w:ascii="宋体" w:hAnsi="宋体" w:eastAsia="宋体" w:cs="宋体"/>
          <w:spacing w:val="21"/>
          <w:position w:val="-2"/>
          <w:sz w:val="24"/>
          <w:szCs w:val="24"/>
        </w:rPr>
        <w:t>29</w:t>
      </w:r>
      <w:r>
        <w:rPr>
          <w:rFonts w:hint="eastAsia" w:ascii="宋体" w:hAnsi="宋体" w:eastAsia="宋体" w:cs="宋体"/>
          <w:spacing w:val="21"/>
          <w:sz w:val="24"/>
          <w:szCs w:val="24"/>
        </w:rPr>
        <w:t>日,华为</w:t>
      </w:r>
      <w:r>
        <w:rPr>
          <w:rFonts w:hint="eastAsia" w:ascii="宋体" w:hAnsi="宋体" w:eastAsia="宋体" w:cs="宋体"/>
          <w:position w:val="-2"/>
          <w:sz w:val="24"/>
          <w:szCs w:val="24"/>
        </w:rPr>
        <w:t>Mate</w:t>
      </w:r>
      <w:r>
        <w:rPr>
          <w:rFonts w:hint="eastAsia" w:ascii="宋体" w:hAnsi="宋体" w:eastAsia="宋体" w:cs="宋体"/>
          <w:spacing w:val="21"/>
          <w:position w:val="-2"/>
          <w:sz w:val="24"/>
          <w:szCs w:val="24"/>
        </w:rPr>
        <w:t>60</w:t>
      </w:r>
      <w:r>
        <w:rPr>
          <w:rFonts w:hint="eastAsia" w:ascii="宋体" w:hAnsi="宋体" w:eastAsia="宋体" w:cs="宋体"/>
          <w:position w:val="-2"/>
          <w:sz w:val="24"/>
          <w:szCs w:val="24"/>
        </w:rPr>
        <w:t>Pro</w:t>
      </w:r>
      <w:r>
        <w:rPr>
          <w:rFonts w:hint="eastAsia" w:ascii="宋体" w:hAnsi="宋体" w:eastAsia="宋体" w:cs="宋体"/>
          <w:spacing w:val="21"/>
          <w:sz w:val="24"/>
          <w:szCs w:val="24"/>
        </w:rPr>
        <w:t>全面销售,意味着困扰中国多年的芯片技术打开新局面,意味</w:t>
      </w:r>
      <w:r>
        <w:rPr>
          <w:rFonts w:hint="eastAsia" w:ascii="宋体" w:hAnsi="宋体" w:eastAsia="宋体" w:cs="宋体"/>
          <w:spacing w:val="20"/>
          <w:sz w:val="24"/>
          <w:szCs w:val="24"/>
        </w:rPr>
        <w:t>着美国</w:t>
      </w:r>
      <w:r>
        <w:rPr>
          <w:rFonts w:hint="eastAsia" w:ascii="宋体" w:hAnsi="宋体" w:eastAsia="宋体" w:cs="宋体"/>
          <w:spacing w:val="21"/>
          <w:sz w:val="24"/>
          <w:szCs w:val="24"/>
        </w:rPr>
        <w:t>对中国制造业的全面制裁以失败告一段落,意味着中国开启新质生产力发展新征程。不仅如此,</w:t>
      </w:r>
      <w:r>
        <w:rPr>
          <w:rFonts w:hint="eastAsia" w:ascii="宋体" w:hAnsi="宋体" w:eastAsia="宋体" w:cs="宋体"/>
          <w:spacing w:val="13"/>
          <w:sz w:val="24"/>
          <w:szCs w:val="24"/>
        </w:rPr>
        <w:t>在已有5G芯片基础上,华为又研制出了</w:t>
      </w:r>
      <w:r>
        <w:rPr>
          <w:rFonts w:hint="eastAsia" w:ascii="宋体" w:hAnsi="宋体" w:eastAsia="宋体" w:cs="宋体"/>
          <w:spacing w:val="13"/>
          <w:position w:val="-2"/>
          <w:sz w:val="24"/>
          <w:szCs w:val="24"/>
        </w:rPr>
        <w:t>5.5G</w:t>
      </w:r>
      <w:r>
        <w:rPr>
          <w:rFonts w:hint="eastAsia" w:ascii="宋体" w:hAnsi="宋体" w:eastAsia="宋体" w:cs="宋体"/>
          <w:spacing w:val="13"/>
          <w:sz w:val="24"/>
          <w:szCs w:val="24"/>
        </w:rPr>
        <w:t>芯片。华为的</w:t>
      </w:r>
      <w:r>
        <w:rPr>
          <w:rFonts w:hint="eastAsia" w:ascii="宋体" w:hAnsi="宋体" w:eastAsia="宋体" w:cs="宋体"/>
          <w:spacing w:val="13"/>
          <w:position w:val="-2"/>
          <w:sz w:val="24"/>
          <w:szCs w:val="24"/>
        </w:rPr>
        <w:t>5.5G</w:t>
      </w:r>
      <w:r>
        <w:rPr>
          <w:rFonts w:hint="eastAsia" w:ascii="宋体" w:hAnsi="宋体" w:eastAsia="宋体" w:cs="宋体"/>
          <w:spacing w:val="13"/>
          <w:sz w:val="24"/>
          <w:szCs w:val="24"/>
        </w:rPr>
        <w:t>芯片拥有的通感一</w:t>
      </w:r>
      <w:r>
        <w:rPr>
          <w:rFonts w:hint="eastAsia" w:ascii="宋体" w:hAnsi="宋体" w:eastAsia="宋体" w:cs="宋体"/>
          <w:spacing w:val="12"/>
          <w:sz w:val="24"/>
          <w:szCs w:val="24"/>
        </w:rPr>
        <w:t>体技术、无</w:t>
      </w:r>
      <w:r>
        <w:rPr>
          <w:rFonts w:hint="eastAsia" w:ascii="宋体" w:hAnsi="宋体" w:eastAsia="宋体" w:cs="宋体"/>
          <w:spacing w:val="14"/>
          <w:sz w:val="24"/>
          <w:szCs w:val="24"/>
        </w:rPr>
        <w:t>源物联技术、内生智能技术已经成为超过美国半导体行业的先进高科技,必将随着</w:t>
      </w:r>
      <w:r>
        <w:rPr>
          <w:rFonts w:hint="eastAsia" w:ascii="宋体" w:hAnsi="宋体" w:eastAsia="宋体" w:cs="宋体"/>
          <w:spacing w:val="14"/>
          <w:position w:val="-2"/>
          <w:sz w:val="24"/>
          <w:szCs w:val="24"/>
        </w:rPr>
        <w:t>5.5G</w:t>
      </w:r>
      <w:r>
        <w:rPr>
          <w:rFonts w:hint="eastAsia" w:ascii="宋体" w:hAnsi="宋体" w:eastAsia="宋体" w:cs="宋体"/>
          <w:spacing w:val="14"/>
          <w:sz w:val="24"/>
          <w:szCs w:val="24"/>
        </w:rPr>
        <w:t>芯片的问</w:t>
      </w:r>
      <w:r>
        <w:rPr>
          <w:rFonts w:hint="eastAsia" w:ascii="宋体" w:hAnsi="宋体" w:eastAsia="宋体" w:cs="宋体"/>
          <w:spacing w:val="22"/>
          <w:sz w:val="24"/>
          <w:szCs w:val="24"/>
        </w:rPr>
        <w:t>世带来更多新的应用场景,由上述新应用场景构成新质生产力需要的新赛道,这些新</w:t>
      </w:r>
      <w:r>
        <w:rPr>
          <w:rFonts w:hint="eastAsia" w:ascii="宋体" w:hAnsi="宋体" w:eastAsia="宋体" w:cs="宋体"/>
          <w:spacing w:val="21"/>
          <w:sz w:val="24"/>
          <w:szCs w:val="24"/>
        </w:rPr>
        <w:t>赛道再为中</w:t>
      </w:r>
      <w:r>
        <w:rPr>
          <w:rFonts w:hint="eastAsia" w:ascii="宋体" w:hAnsi="宋体" w:eastAsia="宋体" w:cs="宋体"/>
          <w:spacing w:val="1"/>
          <w:sz w:val="24"/>
          <w:szCs w:val="24"/>
        </w:rPr>
        <w:t>国半导体产业开辟新的市场,这标志着我国半导体产业</w:t>
      </w:r>
      <w:r>
        <w:rPr>
          <w:rFonts w:hint="eastAsia" w:ascii="宋体" w:hAnsi="宋体" w:eastAsia="宋体" w:cs="宋体"/>
          <w:sz w:val="24"/>
          <w:szCs w:val="24"/>
        </w:rPr>
        <w:t>的产业升级在第四次产业革命中初步</w:t>
      </w:r>
      <w:r>
        <w:rPr>
          <w:rFonts w:hint="eastAsia" w:ascii="宋体" w:hAnsi="宋体" w:eastAsia="宋体" w:cs="宋体"/>
          <w:spacing w:val="6"/>
          <w:sz w:val="24"/>
          <w:szCs w:val="24"/>
        </w:rPr>
        <w:t>完成。</w:t>
      </w:r>
    </w:p>
    <w:p w14:paraId="43F949D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(三)世界和平为新质生产力发展提供良好环境</w:t>
      </w:r>
    </w:p>
    <w:p w14:paraId="1922093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eastAsia" w:ascii="宋体" w:hAnsi="宋体" w:eastAsia="宋体" w:cs="宋体"/>
          <w:sz w:val="24"/>
          <w:szCs w:val="24"/>
        </w:rPr>
      </w:pPr>
      <w:r>
        <w:rPr>
          <w:rFonts w:hint="eastAsia" w:ascii="宋体" w:hAnsi="宋体" w:eastAsia="宋体" w:cs="宋体"/>
          <w:spacing w:val="1"/>
          <w:sz w:val="24"/>
          <w:szCs w:val="24"/>
        </w:rPr>
        <w:t>战争是破坏新质生产力发展的最大障碍。无论是俄罗斯乌克兰冲</w:t>
      </w:r>
      <w:r>
        <w:rPr>
          <w:rFonts w:hint="eastAsia" w:ascii="宋体" w:hAnsi="宋体" w:eastAsia="宋体" w:cs="宋体"/>
          <w:sz w:val="24"/>
          <w:szCs w:val="24"/>
        </w:rPr>
        <w:t>突,还是哈马斯以色列冲</w:t>
      </w:r>
      <w:r>
        <w:rPr>
          <w:rFonts w:hint="eastAsia" w:ascii="宋体" w:hAnsi="宋体" w:eastAsia="宋体" w:cs="宋体"/>
          <w:spacing w:val="23"/>
          <w:sz w:val="24"/>
          <w:szCs w:val="24"/>
        </w:rPr>
        <w:t>突,所有这些军事冲突都是局部战争,而这些局部战争毫无疑问不仅</w:t>
      </w:r>
      <w:r>
        <w:rPr>
          <w:rFonts w:hint="eastAsia" w:ascii="宋体" w:hAnsi="宋体" w:eastAsia="宋体" w:cs="宋体"/>
          <w:spacing w:val="22"/>
          <w:sz w:val="24"/>
          <w:szCs w:val="24"/>
        </w:rPr>
        <w:t>给战火中的人民带来人道主</w:t>
      </w:r>
      <w:r>
        <w:rPr>
          <w:rFonts w:hint="eastAsia" w:ascii="宋体" w:hAnsi="宋体" w:eastAsia="宋体" w:cs="宋体"/>
          <w:spacing w:val="21"/>
          <w:sz w:val="24"/>
          <w:szCs w:val="24"/>
        </w:rPr>
        <w:t>义灾难,还给世界各国生产力发展带来了毁灭性打击,而</w:t>
      </w:r>
      <w:r>
        <w:rPr>
          <w:rFonts w:hint="eastAsia" w:ascii="宋体" w:hAnsi="宋体" w:eastAsia="宋体" w:cs="宋体"/>
          <w:spacing w:val="20"/>
          <w:sz w:val="24"/>
          <w:szCs w:val="24"/>
        </w:rPr>
        <w:t>发生战争的原因在于政治,在于美西方的</w:t>
      </w:r>
      <w:r>
        <w:rPr>
          <w:rFonts w:hint="eastAsia" w:ascii="宋体" w:hAnsi="宋体" w:eastAsia="宋体" w:cs="宋体"/>
          <w:spacing w:val="16"/>
          <w:sz w:val="24"/>
          <w:szCs w:val="24"/>
        </w:rPr>
        <w:t>政治军事霸权。因此,列宁指出:“从马克思主义的观点来看,必须根据每一个具体情况</w:t>
      </w:r>
      <w:r>
        <w:rPr>
          <w:rFonts w:hint="eastAsia" w:ascii="宋体" w:hAnsi="宋体" w:eastAsia="宋体" w:cs="宋体"/>
          <w:spacing w:val="15"/>
          <w:sz w:val="24"/>
          <w:szCs w:val="24"/>
        </w:rPr>
        <w:t>,就每一次</w:t>
      </w:r>
      <w:r>
        <w:rPr>
          <w:rFonts w:hint="eastAsia" w:ascii="宋体" w:hAnsi="宋体" w:eastAsia="宋体" w:cs="宋体"/>
          <w:spacing w:val="16"/>
          <w:sz w:val="24"/>
          <w:szCs w:val="24"/>
        </w:rPr>
        <w:t>具体战争,确定战争的政治内容……任何战争都仅仅是政治的继续。”</w:t>
      </w:r>
      <w:r>
        <w:rPr>
          <w:rStyle w:val="20"/>
          <w:rFonts w:hint="eastAsia" w:ascii="宋体" w:hAnsi="宋体" w:eastAsia="宋体" w:cs="宋体"/>
          <w:spacing w:val="16"/>
          <w:sz w:val="24"/>
          <w:szCs w:val="24"/>
        </w:rPr>
        <w:footnoteReference w:id="870"/>
      </w:r>
      <w:r>
        <w:rPr>
          <w:rFonts w:hint="eastAsia" w:ascii="宋体" w:hAnsi="宋体" w:eastAsia="宋体" w:cs="宋体"/>
          <w:spacing w:val="16"/>
          <w:sz w:val="24"/>
          <w:szCs w:val="24"/>
        </w:rPr>
        <w:t>根据马克思主义战</w:t>
      </w:r>
      <w:r>
        <w:rPr>
          <w:rFonts w:hint="eastAsia" w:ascii="宋体" w:hAnsi="宋体" w:eastAsia="宋体" w:cs="宋体"/>
          <w:spacing w:val="15"/>
          <w:sz w:val="24"/>
          <w:szCs w:val="24"/>
        </w:rPr>
        <w:t>争理论,</w:t>
      </w:r>
      <w:r>
        <w:rPr>
          <w:rFonts w:hint="eastAsia" w:ascii="宋体" w:hAnsi="宋体" w:eastAsia="宋体" w:cs="宋体"/>
          <w:spacing w:val="17"/>
          <w:sz w:val="24"/>
          <w:szCs w:val="24"/>
        </w:rPr>
        <w:t>战争是政治的继续,战争是政治的另一种表现方式。战争分为正义战争和非正义战争。为了民族</w:t>
      </w:r>
      <w:r>
        <w:rPr>
          <w:rFonts w:hint="eastAsia" w:ascii="宋体" w:hAnsi="宋体" w:eastAsia="宋体" w:cs="宋体"/>
          <w:spacing w:val="20"/>
          <w:sz w:val="24"/>
          <w:szCs w:val="24"/>
        </w:rPr>
        <w:t>独立、国家解放的人民战争就是正义战争,正义战争是促进被压迫民族解放生产力和发展生产力的根本方法,中国人民打败日本侵略者的人民战争、广大亚</w:t>
      </w:r>
      <w:r>
        <w:rPr>
          <w:rFonts w:hint="eastAsia" w:ascii="宋体" w:hAnsi="宋体" w:eastAsia="宋体" w:cs="宋体"/>
          <w:spacing w:val="19"/>
          <w:sz w:val="24"/>
          <w:szCs w:val="24"/>
        </w:rPr>
        <w:t>非拉国家的独立战争都是人民战争的</w:t>
      </w:r>
      <w:r>
        <w:rPr>
          <w:rFonts w:hint="eastAsia" w:ascii="宋体" w:hAnsi="宋体" w:eastAsia="宋体" w:cs="宋体"/>
          <w:spacing w:val="17"/>
          <w:sz w:val="24"/>
          <w:szCs w:val="24"/>
        </w:rPr>
        <w:t>典型形式,都是解放第三世界生产力的正义战争。不管是奴隶社会、封建社会还是资本主</w:t>
      </w:r>
      <w:r>
        <w:rPr>
          <w:rFonts w:hint="eastAsia" w:ascii="宋体" w:hAnsi="宋体" w:eastAsia="宋体" w:cs="宋体"/>
          <w:spacing w:val="16"/>
          <w:sz w:val="24"/>
          <w:szCs w:val="24"/>
        </w:rPr>
        <w:t>义社会,</w:t>
      </w:r>
      <w:r>
        <w:rPr>
          <w:rFonts w:hint="eastAsia" w:ascii="宋体" w:hAnsi="宋体" w:eastAsia="宋体" w:cs="宋体"/>
          <w:spacing w:val="20"/>
          <w:sz w:val="24"/>
          <w:szCs w:val="24"/>
        </w:rPr>
        <w:t>出于霸权目标的资本主义挑起的非正义战争都是为了摧毁敌方生产力,从而获得更多的能源、资</w:t>
      </w:r>
      <w:r>
        <w:rPr>
          <w:rFonts w:hint="eastAsia" w:ascii="宋体" w:hAnsi="宋体" w:eastAsia="宋体" w:cs="宋体"/>
          <w:spacing w:val="7"/>
          <w:sz w:val="24"/>
          <w:szCs w:val="24"/>
        </w:rPr>
        <w:t>源、财富、空间和精英人口。正如恩格斯</w:t>
      </w:r>
      <w:r>
        <w:rPr>
          <w:rFonts w:hint="eastAsia" w:ascii="宋体" w:hAnsi="宋体" w:eastAsia="宋体" w:cs="宋体"/>
          <w:spacing w:val="6"/>
          <w:sz w:val="24"/>
          <w:szCs w:val="24"/>
        </w:rPr>
        <w:t>所指出的那样:“只要有利益相互对立、相互冲突和社会地</w:t>
      </w:r>
      <w:r>
        <w:rPr>
          <w:rFonts w:hint="eastAsia" w:ascii="宋体" w:hAnsi="宋体" w:eastAsia="宋体" w:cs="宋体"/>
          <w:spacing w:val="16"/>
          <w:sz w:val="24"/>
          <w:szCs w:val="24"/>
        </w:rPr>
        <w:t>位不同的阶级存在,阶级之间的战争就不会熄灭。”</w:t>
      </w:r>
      <w:r>
        <w:rPr>
          <w:rStyle w:val="20"/>
          <w:rFonts w:hint="eastAsia" w:ascii="宋体" w:hAnsi="宋体" w:eastAsia="宋体" w:cs="宋体"/>
          <w:spacing w:val="16"/>
          <w:sz w:val="24"/>
          <w:szCs w:val="24"/>
        </w:rPr>
        <w:footnoteReference w:id="871"/>
      </w:r>
      <w:r>
        <w:rPr>
          <w:rFonts w:hint="eastAsia" w:ascii="宋体" w:hAnsi="宋体" w:eastAsia="宋体" w:cs="宋体"/>
          <w:spacing w:val="16"/>
          <w:sz w:val="24"/>
          <w:szCs w:val="24"/>
        </w:rPr>
        <w:t>如果说第一次世界大战和第二次世界大</w:t>
      </w:r>
      <w:r>
        <w:rPr>
          <w:rFonts w:hint="eastAsia" w:ascii="宋体" w:hAnsi="宋体" w:eastAsia="宋体" w:cs="宋体"/>
          <w:spacing w:val="15"/>
          <w:sz w:val="24"/>
          <w:szCs w:val="24"/>
        </w:rPr>
        <w:t>战是</w:t>
      </w:r>
      <w:r>
        <w:rPr>
          <w:rFonts w:hint="eastAsia" w:ascii="宋体" w:hAnsi="宋体" w:eastAsia="宋体" w:cs="宋体"/>
          <w:sz w:val="24"/>
          <w:szCs w:val="24"/>
        </w:rPr>
        <w:t>以有限战争的形式凸显资本主义国家霸权的话,那么,新帝国主义的军事霸权则</w:t>
      </w:r>
      <w:r>
        <w:rPr>
          <w:rFonts w:hint="eastAsia" w:ascii="宋体" w:hAnsi="宋体" w:eastAsia="宋体" w:cs="宋体"/>
          <w:spacing w:val="-1"/>
          <w:sz w:val="24"/>
          <w:szCs w:val="24"/>
        </w:rPr>
        <w:t>表现为“无限战</w:t>
      </w:r>
      <w:r>
        <w:rPr>
          <w:rFonts w:hint="eastAsia" w:ascii="宋体" w:hAnsi="宋体" w:eastAsia="宋体" w:cs="宋体"/>
          <w:spacing w:val="9"/>
          <w:sz w:val="24"/>
          <w:szCs w:val="24"/>
        </w:rPr>
        <w:t>争”。由于“无限战争具有战争期限的延绵性、战争军事目的的不确定性、战争手段的不适度性以</w:t>
      </w:r>
      <w:r>
        <w:rPr>
          <w:rFonts w:hint="eastAsia" w:ascii="宋体" w:hAnsi="宋体" w:eastAsia="宋体" w:cs="宋体"/>
          <w:spacing w:val="17"/>
          <w:sz w:val="24"/>
          <w:szCs w:val="24"/>
        </w:rPr>
        <w:t>及战争空间影响的开放性等多重维度”</w:t>
      </w:r>
      <w:r>
        <w:rPr>
          <w:rStyle w:val="20"/>
          <w:rFonts w:hint="eastAsia" w:ascii="宋体" w:hAnsi="宋体" w:eastAsia="宋体" w:cs="宋体"/>
          <w:spacing w:val="17"/>
          <w:sz w:val="24"/>
          <w:szCs w:val="24"/>
        </w:rPr>
        <w:footnoteReference w:id="872"/>
      </w:r>
      <w:r>
        <w:rPr>
          <w:rFonts w:hint="eastAsia" w:ascii="宋体" w:hAnsi="宋体" w:eastAsia="宋体" w:cs="宋体"/>
          <w:spacing w:val="17"/>
          <w:sz w:val="24"/>
          <w:szCs w:val="24"/>
        </w:rPr>
        <w:t>,所以无限战争是对当代资本主义主导的世界生产力更具</w:t>
      </w:r>
      <w:r>
        <w:rPr>
          <w:rFonts w:hint="eastAsia" w:ascii="宋体" w:hAnsi="宋体" w:eastAsia="宋体" w:cs="宋体"/>
          <w:spacing w:val="21"/>
          <w:sz w:val="24"/>
          <w:szCs w:val="24"/>
        </w:rPr>
        <w:t>有破坏力的战争,是掠夺第三世界财富的新手段!我们支持被压迫者和被压迫国家进行反抗的正</w:t>
      </w:r>
      <w:r>
        <w:rPr>
          <w:rFonts w:hint="eastAsia" w:ascii="宋体" w:hAnsi="宋体" w:eastAsia="宋体" w:cs="宋体"/>
          <w:spacing w:val="18"/>
          <w:sz w:val="24"/>
          <w:szCs w:val="24"/>
        </w:rPr>
        <w:t>义战争,反对一切形式的非正义战争,更反对新帝国主义实施的无限</w:t>
      </w:r>
      <w:r>
        <w:rPr>
          <w:rFonts w:hint="eastAsia" w:ascii="宋体" w:hAnsi="宋体" w:eastAsia="宋体" w:cs="宋体"/>
          <w:spacing w:val="17"/>
          <w:sz w:val="24"/>
          <w:szCs w:val="24"/>
        </w:rPr>
        <w:t>战争。</w:t>
      </w:r>
    </w:p>
    <w:p w14:paraId="5CD4855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spacing w:val="5"/>
          <w:sz w:val="24"/>
          <w:szCs w:val="24"/>
        </w:rPr>
        <w:t>霸权主义严重影响新质生产力的发展。新质生产力是以新科技体系为引领的新制造业支</w:t>
      </w:r>
      <w:r>
        <w:rPr>
          <w:rFonts w:hint="eastAsia" w:ascii="宋体" w:hAnsi="宋体" w:eastAsia="宋体" w:cs="宋体"/>
          <w:spacing w:val="12"/>
          <w:sz w:val="24"/>
          <w:szCs w:val="24"/>
        </w:rPr>
        <w:t>撑的生产力,是以数字化金融服务和智能化生产型服务为特征的生产力。新帝国主义的经济霸</w:t>
      </w:r>
      <w:r>
        <w:rPr>
          <w:rFonts w:hint="eastAsia" w:ascii="宋体" w:hAnsi="宋体" w:eastAsia="宋体" w:cs="宋体"/>
          <w:spacing w:val="13"/>
          <w:sz w:val="24"/>
          <w:szCs w:val="24"/>
        </w:rPr>
        <w:t>权主义和军事凯恩斯主义严重影响了各国新质生产力的发展,新帝国主义以巨型跨国垄断公司</w:t>
      </w:r>
      <w:r>
        <w:rPr>
          <w:rFonts w:hint="eastAsia" w:ascii="宋体" w:hAnsi="宋体" w:eastAsia="宋体" w:cs="宋体"/>
          <w:spacing w:val="-1"/>
          <w:sz w:val="24"/>
          <w:szCs w:val="24"/>
        </w:rPr>
        <w:t>制造了全球范围的“生产和流通的新垄断”,以“金融资本的新垄断”制造了</w:t>
      </w:r>
      <w:r>
        <w:rPr>
          <w:rFonts w:hint="eastAsia" w:ascii="宋体" w:hAnsi="宋体" w:eastAsia="宋体" w:cs="宋体"/>
          <w:spacing w:val="-2"/>
          <w:sz w:val="24"/>
          <w:szCs w:val="24"/>
        </w:rPr>
        <w:t>“畸形发展的经济金</w:t>
      </w:r>
      <w:r>
        <w:rPr>
          <w:rFonts w:hint="eastAsia" w:ascii="宋体" w:hAnsi="宋体" w:eastAsia="宋体" w:cs="宋体"/>
          <w:spacing w:val="7"/>
          <w:sz w:val="24"/>
          <w:szCs w:val="24"/>
        </w:rPr>
        <w:t>融化”</w:t>
      </w:r>
      <w:r>
        <w:rPr>
          <w:rStyle w:val="20"/>
          <w:rFonts w:hint="eastAsia" w:ascii="宋体" w:hAnsi="宋体" w:eastAsia="宋体" w:cs="宋体"/>
          <w:spacing w:val="7"/>
          <w:sz w:val="24"/>
          <w:szCs w:val="24"/>
        </w:rPr>
        <w:footnoteReference w:id="873"/>
      </w:r>
      <w:r>
        <w:rPr>
          <w:rFonts w:hint="eastAsia" w:ascii="宋体" w:hAnsi="宋体" w:eastAsia="宋体" w:cs="宋体"/>
          <w:spacing w:val="3"/>
          <w:sz w:val="24"/>
          <w:szCs w:val="24"/>
        </w:rPr>
        <w:t>。无论是生产领域和流通领域,还是国际化程度很高的经济金融化领域,都发生了因新</w:t>
      </w:r>
      <w:r>
        <w:rPr>
          <w:rFonts w:hint="eastAsia" w:ascii="宋体" w:hAnsi="宋体" w:eastAsia="宋体" w:cs="宋体"/>
          <w:spacing w:val="11"/>
          <w:sz w:val="24"/>
          <w:szCs w:val="24"/>
        </w:rPr>
        <w:t>帝国主义的垄断而导致新技术传播受阻、高科技产品国际贸易不畅通以及高科技研发资本严重</w:t>
      </w:r>
      <w:r>
        <w:rPr>
          <w:rFonts w:hint="eastAsia" w:ascii="宋体" w:hAnsi="宋体" w:eastAsia="宋体" w:cs="宋体"/>
          <w:spacing w:val="5"/>
          <w:sz w:val="24"/>
          <w:szCs w:val="24"/>
        </w:rPr>
        <w:t>短缺的现象,所以新帝国主义成为严重制约新质生产力发展的阻碍因素。不仅如此</w:t>
      </w:r>
      <w:r>
        <w:rPr>
          <w:rFonts w:hint="eastAsia" w:ascii="宋体" w:hAnsi="宋体" w:eastAsia="宋体" w:cs="宋体"/>
          <w:spacing w:val="4"/>
          <w:sz w:val="24"/>
          <w:szCs w:val="24"/>
        </w:rPr>
        <w:t>,新帝国主义还依赖其霸权势力“通过金融剥削与政治经</w:t>
      </w:r>
      <w:r>
        <w:rPr>
          <w:rFonts w:hint="eastAsia" w:ascii="宋体" w:hAnsi="宋体" w:eastAsia="宋体" w:cs="宋体"/>
          <w:spacing w:val="3"/>
          <w:sz w:val="24"/>
          <w:szCs w:val="24"/>
        </w:rPr>
        <w:t>济依附体系主导世界政治经济体系,引发世界财</w:t>
      </w:r>
      <w:r>
        <w:rPr>
          <w:rFonts w:hint="eastAsia" w:ascii="宋体" w:hAnsi="宋体" w:eastAsia="宋体" w:cs="宋体"/>
          <w:spacing w:val="21"/>
          <w:sz w:val="24"/>
          <w:szCs w:val="24"/>
        </w:rPr>
        <w:t>富的两极分化与全球的再生产危机”</w:t>
      </w:r>
      <w:r>
        <w:rPr>
          <w:rStyle w:val="20"/>
          <w:rFonts w:hint="eastAsia" w:ascii="宋体" w:hAnsi="宋体" w:eastAsia="宋体" w:cs="宋体"/>
          <w:spacing w:val="21"/>
          <w:sz w:val="24"/>
          <w:szCs w:val="24"/>
        </w:rPr>
        <w:footnoteReference w:id="874"/>
      </w:r>
      <w:r>
        <w:rPr>
          <w:rFonts w:hint="eastAsia" w:ascii="宋体" w:hAnsi="宋体" w:eastAsia="宋体" w:cs="宋体"/>
          <w:spacing w:val="21"/>
          <w:sz w:val="24"/>
          <w:szCs w:val="24"/>
        </w:rPr>
        <w:t>,而全</w:t>
      </w:r>
      <w:r>
        <w:rPr>
          <w:rFonts w:hint="eastAsia" w:ascii="宋体" w:hAnsi="宋体" w:eastAsia="宋体" w:cs="宋体"/>
          <w:spacing w:val="20"/>
          <w:sz w:val="24"/>
          <w:szCs w:val="24"/>
        </w:rPr>
        <w:t>球再生产危机对新质生产力发展具有最大破坏力和</w:t>
      </w:r>
      <w:r>
        <w:rPr>
          <w:rFonts w:hint="eastAsia" w:ascii="宋体" w:hAnsi="宋体" w:eastAsia="宋体" w:cs="宋体"/>
          <w:spacing w:val="10"/>
          <w:sz w:val="24"/>
          <w:szCs w:val="24"/>
        </w:rPr>
        <w:t>杀伤力。</w:t>
      </w:r>
    </w:p>
    <w:p w14:paraId="60497F6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eastAsia" w:ascii="宋体" w:hAnsi="宋体" w:eastAsia="宋体" w:cs="宋体"/>
          <w:sz w:val="24"/>
          <w:szCs w:val="24"/>
        </w:rPr>
      </w:pPr>
      <w:r>
        <w:rPr>
          <w:rFonts w:hint="eastAsia" w:ascii="宋体" w:hAnsi="宋体" w:eastAsia="宋体" w:cs="宋体"/>
          <w:spacing w:val="19"/>
          <w:sz w:val="24"/>
          <w:szCs w:val="24"/>
        </w:rPr>
        <w:t>新质生产力发展是推动世界和平的重要手段。新质生产力发展在普</w:t>
      </w:r>
      <w:r>
        <w:rPr>
          <w:rFonts w:hint="eastAsia" w:ascii="宋体" w:hAnsi="宋体" w:eastAsia="宋体" w:cs="宋体"/>
          <w:spacing w:val="18"/>
          <w:sz w:val="24"/>
          <w:szCs w:val="24"/>
        </w:rPr>
        <w:t>遍交往中推动世界和平。在马克思主义交往理论中,交往不应是局限于区域、国别之内的有限</w:t>
      </w:r>
      <w:r>
        <w:rPr>
          <w:rFonts w:hint="eastAsia" w:ascii="宋体" w:hAnsi="宋体" w:eastAsia="宋体" w:cs="宋体"/>
          <w:spacing w:val="17"/>
          <w:sz w:val="24"/>
          <w:szCs w:val="24"/>
        </w:rPr>
        <w:t>交往,而应该是突破地域空间</w:t>
      </w:r>
      <w:r>
        <w:rPr>
          <w:rFonts w:hint="eastAsia" w:ascii="宋体" w:hAnsi="宋体" w:eastAsia="宋体" w:cs="宋体"/>
          <w:spacing w:val="16"/>
          <w:sz w:val="24"/>
          <w:szCs w:val="24"/>
        </w:rPr>
        <w:t>限制的普遍交往,是开放、包容、正义的世界性交往。交往也不局限于精神交往,更多的是生产关</w:t>
      </w:r>
      <w:r>
        <w:rPr>
          <w:rFonts w:hint="eastAsia" w:ascii="宋体" w:hAnsi="宋体" w:eastAsia="宋体" w:cs="宋体"/>
          <w:spacing w:val="17"/>
          <w:sz w:val="24"/>
          <w:szCs w:val="24"/>
        </w:rPr>
        <w:t>系和生产力层面的多重交往。“交往与生产互为前提,交往内生于生产,生产只有在交往中才能进行。”</w:t>
      </w:r>
      <w:r>
        <w:rPr>
          <w:rStyle w:val="20"/>
          <w:rFonts w:hint="eastAsia" w:ascii="宋体" w:hAnsi="宋体" w:eastAsia="宋体" w:cs="宋体"/>
          <w:spacing w:val="17"/>
          <w:sz w:val="24"/>
          <w:szCs w:val="24"/>
        </w:rPr>
        <w:footnoteReference w:id="875"/>
      </w:r>
      <w:r>
        <w:rPr>
          <w:rFonts w:hint="eastAsia" w:ascii="宋体" w:hAnsi="宋体" w:eastAsia="宋体" w:cs="宋体"/>
          <w:spacing w:val="17"/>
          <w:sz w:val="24"/>
          <w:szCs w:val="24"/>
        </w:rPr>
        <w:t>新质生产力是基于正义交往才能够着力推动现代化建设,新质生产力是更高层次人类普遍</w:t>
      </w:r>
      <w:r>
        <w:rPr>
          <w:rFonts w:hint="eastAsia" w:ascii="宋体" w:hAnsi="宋体" w:eastAsia="宋体" w:cs="宋体"/>
          <w:spacing w:val="20"/>
          <w:sz w:val="24"/>
          <w:szCs w:val="24"/>
        </w:rPr>
        <w:t>交往意义上的生产力,是能够为正义交往提供资源和路径的生产力。如果说以往资本主义创造的</w:t>
      </w:r>
      <w:r>
        <w:rPr>
          <w:rFonts w:hint="eastAsia" w:ascii="宋体" w:hAnsi="宋体" w:eastAsia="宋体" w:cs="宋体"/>
          <w:spacing w:val="23"/>
          <w:sz w:val="24"/>
          <w:szCs w:val="24"/>
        </w:rPr>
        <w:t>生产力使得人类的交往朝着非正义的方向演进,那么,新质生产力则为世界和平提供了高质量人</w:t>
      </w:r>
      <w:r>
        <w:rPr>
          <w:rFonts w:hint="eastAsia" w:ascii="宋体" w:hAnsi="宋体" w:eastAsia="宋体" w:cs="宋体"/>
          <w:spacing w:val="22"/>
          <w:sz w:val="24"/>
          <w:szCs w:val="24"/>
        </w:rPr>
        <w:t>类正义交往的新手段。究其原因在于:在资本主义国家资本逻辑控制</w:t>
      </w:r>
      <w:r>
        <w:rPr>
          <w:rFonts w:hint="eastAsia" w:ascii="宋体" w:hAnsi="宋体" w:eastAsia="宋体" w:cs="宋体"/>
          <w:spacing w:val="21"/>
          <w:sz w:val="24"/>
          <w:szCs w:val="24"/>
        </w:rPr>
        <w:t>下,他们总是习惯于凭借自</w:t>
      </w:r>
      <w:r>
        <w:rPr>
          <w:rFonts w:hint="eastAsia" w:ascii="宋体" w:hAnsi="宋体" w:eastAsia="宋体" w:cs="宋体"/>
          <w:spacing w:val="20"/>
          <w:sz w:val="24"/>
          <w:szCs w:val="24"/>
        </w:rPr>
        <w:t>己在工业革命过程中积累起来的生产力方面先发优势,“将本国利益凌驾于他国利益和国际社会</w:t>
      </w:r>
      <w:r>
        <w:rPr>
          <w:rFonts w:hint="eastAsia" w:ascii="宋体" w:hAnsi="宋体" w:eastAsia="宋体" w:cs="宋体"/>
          <w:spacing w:val="16"/>
          <w:sz w:val="24"/>
          <w:szCs w:val="24"/>
        </w:rPr>
        <w:t>的共同利益之上”</w:t>
      </w:r>
      <w:r>
        <w:rPr>
          <w:rStyle w:val="20"/>
          <w:rFonts w:hint="eastAsia" w:ascii="宋体" w:hAnsi="宋体" w:eastAsia="宋体" w:cs="宋体"/>
          <w:spacing w:val="16"/>
          <w:sz w:val="24"/>
          <w:szCs w:val="24"/>
        </w:rPr>
        <w:footnoteReference w:id="876"/>
      </w:r>
      <w:r>
        <w:rPr>
          <w:rFonts w:hint="eastAsia" w:ascii="宋体" w:hAnsi="宋体" w:eastAsia="宋体" w:cs="宋体"/>
          <w:spacing w:val="16"/>
          <w:sz w:val="24"/>
          <w:szCs w:val="24"/>
        </w:rPr>
        <w:t>,通过非正义交往和强权垄断制造人类前途命运的</w:t>
      </w:r>
      <w:r>
        <w:rPr>
          <w:rFonts w:hint="eastAsia" w:ascii="宋体" w:hAnsi="宋体" w:eastAsia="宋体" w:cs="宋体"/>
          <w:spacing w:val="15"/>
          <w:sz w:val="24"/>
          <w:szCs w:val="24"/>
        </w:rPr>
        <w:t>各种危机。而新质生产力则</w:t>
      </w:r>
      <w:r>
        <w:rPr>
          <w:rFonts w:hint="eastAsia" w:ascii="宋体" w:hAnsi="宋体" w:eastAsia="宋体" w:cs="宋体"/>
          <w:spacing w:val="17"/>
          <w:sz w:val="24"/>
          <w:szCs w:val="24"/>
        </w:rPr>
        <w:t>是基于人类命运共同体伟大构想,以责任共担、利</w:t>
      </w:r>
      <w:r>
        <w:rPr>
          <w:rFonts w:hint="eastAsia" w:ascii="宋体" w:hAnsi="宋体" w:eastAsia="宋体" w:cs="宋体"/>
          <w:spacing w:val="16"/>
          <w:sz w:val="24"/>
          <w:szCs w:val="24"/>
        </w:rPr>
        <w:t>益共享的正义交往思路谋求世界和平,为全世界</w:t>
      </w:r>
      <w:r>
        <w:rPr>
          <w:rFonts w:hint="eastAsia" w:ascii="宋体" w:hAnsi="宋体" w:eastAsia="宋体" w:cs="宋体"/>
          <w:spacing w:val="17"/>
          <w:sz w:val="24"/>
          <w:szCs w:val="24"/>
        </w:rPr>
        <w:t>正义交往和平等合作开拓了广阔新天地的生产力。</w:t>
      </w:r>
    </w:p>
    <w:p w14:paraId="3C6876E5">
      <w:pPr>
        <w:pStyle w:val="4"/>
        <w:bidi w:val="0"/>
        <w:rPr>
          <w:rFonts w:hint="eastAsia"/>
        </w:rPr>
      </w:pPr>
      <w:r>
        <w:rPr>
          <w:rFonts w:hint="eastAsia"/>
        </w:rPr>
        <w:t>四、结语</w:t>
      </w:r>
    </w:p>
    <w:p w14:paraId="6F68022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lang w:eastAsia="zh-CN"/>
        </w:rPr>
      </w:pPr>
      <w:r>
        <w:rPr>
          <w:rFonts w:hint="eastAsia" w:ascii="宋体" w:hAnsi="宋体" w:eastAsia="宋体" w:cs="宋体"/>
          <w:spacing w:val="11"/>
          <w:sz w:val="24"/>
          <w:szCs w:val="24"/>
        </w:rPr>
        <w:t>新质生产力是我们建设中国式现代化和提升中国国际竞争力的最重要途径,是全力赶超西</w:t>
      </w:r>
      <w:r>
        <w:rPr>
          <w:rFonts w:hint="eastAsia" w:ascii="宋体" w:hAnsi="宋体" w:eastAsia="宋体" w:cs="宋体"/>
          <w:spacing w:val="3"/>
          <w:sz w:val="24"/>
          <w:szCs w:val="24"/>
        </w:rPr>
        <w:t>方发达国家的最重要措施。因此,我们要在中国共产党的全面领导下,充分发挥中国特</w:t>
      </w:r>
      <w:r>
        <w:rPr>
          <w:rFonts w:hint="eastAsia" w:ascii="宋体" w:hAnsi="宋体" w:eastAsia="宋体" w:cs="宋体"/>
          <w:spacing w:val="2"/>
          <w:sz w:val="24"/>
          <w:szCs w:val="24"/>
        </w:rPr>
        <w:t>色社会</w:t>
      </w:r>
      <w:r>
        <w:rPr>
          <w:rFonts w:hint="eastAsia" w:ascii="宋体" w:hAnsi="宋体" w:eastAsia="宋体" w:cs="宋体"/>
          <w:spacing w:val="3"/>
          <w:sz w:val="24"/>
          <w:szCs w:val="24"/>
        </w:rPr>
        <w:t>主义生产关系和基本经济制度的优势,牢牢把握新质生产力特定内涵、演变规律和面临的国际</w:t>
      </w:r>
      <w:r>
        <w:rPr>
          <w:rFonts w:hint="eastAsia" w:ascii="宋体" w:hAnsi="宋体" w:eastAsia="宋体" w:cs="宋体"/>
          <w:spacing w:val="14"/>
          <w:sz w:val="24"/>
          <w:szCs w:val="24"/>
        </w:rPr>
        <w:t>形势,充分利用智能产业革命的时代机遇,抓住各种经济周期叠加带来的发展机会,通</w:t>
      </w:r>
      <w:r>
        <w:rPr>
          <w:rFonts w:hint="eastAsia" w:ascii="宋体" w:hAnsi="宋体" w:eastAsia="宋体" w:cs="宋体"/>
          <w:spacing w:val="13"/>
          <w:sz w:val="24"/>
          <w:szCs w:val="24"/>
        </w:rPr>
        <w:t>过统筹新</w:t>
      </w:r>
      <w:r>
        <w:rPr>
          <w:rFonts w:hint="eastAsia" w:ascii="宋体" w:hAnsi="宋体" w:eastAsia="宋体" w:cs="宋体"/>
          <w:spacing w:val="9"/>
          <w:sz w:val="24"/>
          <w:szCs w:val="24"/>
        </w:rPr>
        <w:t>生产要素、新科技、新产业来支撑新质生产力全面提升</w:t>
      </w:r>
      <w:r>
        <w:rPr>
          <w:rFonts w:hint="eastAsia" w:ascii="宋体" w:hAnsi="宋体" w:eastAsia="宋体" w:cs="宋体"/>
          <w:spacing w:val="8"/>
          <w:sz w:val="24"/>
          <w:szCs w:val="24"/>
        </w:rPr>
        <w:t>,通过创造有利于新质生产力发展的新机</w:t>
      </w:r>
      <w:r>
        <w:rPr>
          <w:rFonts w:hint="eastAsia" w:ascii="宋体" w:hAnsi="宋体" w:eastAsia="宋体" w:cs="宋体"/>
          <w:spacing w:val="1"/>
          <w:sz w:val="24"/>
          <w:szCs w:val="24"/>
        </w:rPr>
        <w:t>制、新场域、新赛道,来开辟新质生产力发展空间,从而掌握新国际形</w:t>
      </w:r>
      <w:r>
        <w:rPr>
          <w:rFonts w:hint="eastAsia" w:ascii="宋体" w:hAnsi="宋体" w:eastAsia="宋体" w:cs="宋体"/>
          <w:sz w:val="24"/>
          <w:szCs w:val="24"/>
        </w:rPr>
        <w:t>势下新质生产力发展的战</w:t>
      </w:r>
      <w:r>
        <w:rPr>
          <w:rFonts w:hint="eastAsia" w:ascii="宋体" w:hAnsi="宋体" w:eastAsia="宋体" w:cs="宋体"/>
          <w:spacing w:val="6"/>
          <w:sz w:val="24"/>
          <w:szCs w:val="24"/>
        </w:rPr>
        <w:t>略主动权,在奠定中国科技创新和自主知识产权优势的基础上,切实推动新质生产力的能级跃</w:t>
      </w:r>
      <w:r>
        <w:rPr>
          <w:rFonts w:hint="eastAsia" w:ascii="宋体" w:hAnsi="宋体" w:eastAsia="宋体" w:cs="宋体"/>
          <w:spacing w:val="19"/>
          <w:sz w:val="24"/>
          <w:szCs w:val="24"/>
        </w:rPr>
        <w:t>迁</w:t>
      </w:r>
      <w:r>
        <w:rPr>
          <w:rFonts w:hint="eastAsia" w:ascii="宋体" w:hAnsi="宋体" w:eastAsia="宋体" w:cs="宋体"/>
          <w:spacing w:val="19"/>
          <w:position w:val="1"/>
          <w:sz w:val="24"/>
          <w:szCs w:val="24"/>
        </w:rPr>
        <w:t>!</w:t>
      </w:r>
    </w:p>
    <w:p w14:paraId="337C3CF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参考文献:</w:t>
      </w:r>
    </w:p>
    <w:p w14:paraId="457EE72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position w:val="-1"/>
          <w:sz w:val="24"/>
          <w:szCs w:val="24"/>
        </w:rPr>
        <w:t>1.</w:t>
      </w:r>
      <w:r>
        <w:rPr>
          <w:rFonts w:hint="eastAsia" w:ascii="宋体" w:hAnsi="宋体" w:eastAsia="宋体" w:cs="宋体"/>
          <w:spacing w:val="14"/>
          <w:sz w:val="24"/>
          <w:szCs w:val="24"/>
        </w:rPr>
        <w:t>权衡</w:t>
      </w:r>
      <w:r>
        <w:rPr>
          <w:rFonts w:hint="eastAsia" w:ascii="宋体" w:hAnsi="宋体" w:eastAsia="宋体" w:cs="宋体"/>
          <w:spacing w:val="14"/>
          <w:position w:val="-1"/>
          <w:sz w:val="24"/>
          <w:szCs w:val="24"/>
        </w:rPr>
        <w:t>.</w:t>
      </w:r>
      <w:r>
        <w:rPr>
          <w:rFonts w:hint="eastAsia" w:ascii="宋体" w:hAnsi="宋体" w:eastAsia="宋体" w:cs="宋体"/>
          <w:spacing w:val="14"/>
          <w:sz w:val="24"/>
          <w:szCs w:val="24"/>
        </w:rPr>
        <w:t>资本的逻辑批判及其发展:一个理论分析框架[J]</w:t>
      </w:r>
      <w:r>
        <w:rPr>
          <w:rFonts w:hint="eastAsia" w:ascii="宋体" w:hAnsi="宋体" w:eastAsia="宋体" w:cs="宋体"/>
          <w:spacing w:val="14"/>
          <w:position w:val="-1"/>
          <w:sz w:val="24"/>
          <w:szCs w:val="24"/>
        </w:rPr>
        <w:t>.</w:t>
      </w:r>
      <w:r>
        <w:rPr>
          <w:rFonts w:hint="eastAsia" w:ascii="宋体" w:hAnsi="宋体" w:eastAsia="宋体" w:cs="宋体"/>
          <w:spacing w:val="14"/>
          <w:sz w:val="24"/>
          <w:szCs w:val="24"/>
        </w:rPr>
        <w:t>复旦学报(社会</w:t>
      </w:r>
      <w:r>
        <w:rPr>
          <w:rFonts w:hint="eastAsia" w:ascii="宋体" w:hAnsi="宋体" w:eastAsia="宋体" w:cs="宋体"/>
          <w:spacing w:val="13"/>
          <w:sz w:val="24"/>
          <w:szCs w:val="24"/>
        </w:rPr>
        <w:t>科学版),</w:t>
      </w:r>
      <w:r>
        <w:rPr>
          <w:rFonts w:hint="eastAsia" w:ascii="宋体" w:hAnsi="宋体" w:eastAsia="宋体" w:cs="宋体"/>
          <w:spacing w:val="13"/>
          <w:position w:val="-1"/>
          <w:sz w:val="24"/>
          <w:szCs w:val="24"/>
        </w:rPr>
        <w:t>2022(6).</w:t>
      </w:r>
    </w:p>
    <w:p w14:paraId="73E9D14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position w:val="-1"/>
          <w:sz w:val="24"/>
          <w:szCs w:val="24"/>
        </w:rPr>
        <w:t>2.</w:t>
      </w:r>
      <w:r>
        <w:rPr>
          <w:rFonts w:hint="eastAsia" w:ascii="宋体" w:hAnsi="宋体" w:eastAsia="宋体" w:cs="宋体"/>
          <w:spacing w:val="9"/>
          <w:sz w:val="24"/>
          <w:szCs w:val="24"/>
        </w:rPr>
        <w:t>钟义信</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智能科学与创新教育[J</w:t>
      </w:r>
      <w:r>
        <w:rPr>
          <w:rFonts w:hint="eastAsia" w:ascii="宋体" w:hAnsi="宋体" w:eastAsia="宋体" w:cs="宋体"/>
          <w:spacing w:val="8"/>
          <w:sz w:val="24"/>
          <w:szCs w:val="24"/>
        </w:rPr>
        <w:t>]</w:t>
      </w:r>
      <w:r>
        <w:rPr>
          <w:rFonts w:hint="eastAsia" w:ascii="宋体" w:hAnsi="宋体" w:eastAsia="宋体" w:cs="宋体"/>
          <w:spacing w:val="8"/>
          <w:position w:val="-1"/>
          <w:sz w:val="24"/>
          <w:szCs w:val="24"/>
        </w:rPr>
        <w:t>.</w:t>
      </w:r>
      <w:r>
        <w:rPr>
          <w:rFonts w:hint="eastAsia" w:ascii="宋体" w:hAnsi="宋体" w:eastAsia="宋体" w:cs="宋体"/>
          <w:spacing w:val="8"/>
          <w:sz w:val="24"/>
          <w:szCs w:val="24"/>
        </w:rPr>
        <w:t>中国大学教学,2006(1)</w:t>
      </w:r>
      <w:r>
        <w:rPr>
          <w:rFonts w:hint="eastAsia" w:ascii="宋体" w:hAnsi="宋体" w:eastAsia="宋体" w:cs="宋体"/>
          <w:spacing w:val="8"/>
          <w:position w:val="-1"/>
          <w:sz w:val="24"/>
          <w:szCs w:val="24"/>
        </w:rPr>
        <w:t>.</w:t>
      </w:r>
    </w:p>
    <w:p w14:paraId="410ABA9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position w:val="-1"/>
          <w:sz w:val="24"/>
          <w:szCs w:val="24"/>
        </w:rPr>
        <w:t>3.</w:t>
      </w:r>
      <w:r>
        <w:rPr>
          <w:rFonts w:hint="eastAsia" w:ascii="宋体" w:hAnsi="宋体" w:eastAsia="宋体" w:cs="宋体"/>
          <w:spacing w:val="11"/>
          <w:sz w:val="24"/>
          <w:szCs w:val="24"/>
        </w:rPr>
        <w:t>周延云,李琪</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生产力的新质态:信息生产力[J</w:t>
      </w:r>
      <w:r>
        <w:rPr>
          <w:rFonts w:hint="eastAsia" w:ascii="宋体" w:hAnsi="宋体" w:eastAsia="宋体" w:cs="宋体"/>
          <w:spacing w:val="10"/>
          <w:sz w:val="24"/>
          <w:szCs w:val="24"/>
        </w:rPr>
        <w:t>]</w:t>
      </w:r>
      <w:r>
        <w:rPr>
          <w:rFonts w:hint="eastAsia" w:ascii="宋体" w:hAnsi="宋体" w:eastAsia="宋体" w:cs="宋体"/>
          <w:spacing w:val="10"/>
          <w:position w:val="-1"/>
          <w:sz w:val="24"/>
          <w:szCs w:val="24"/>
        </w:rPr>
        <w:t>.</w:t>
      </w:r>
      <w:r>
        <w:rPr>
          <w:rFonts w:hint="eastAsia" w:ascii="宋体" w:hAnsi="宋体" w:eastAsia="宋体" w:cs="宋体"/>
          <w:spacing w:val="10"/>
          <w:sz w:val="24"/>
          <w:szCs w:val="24"/>
        </w:rPr>
        <w:t>生产力研究,2006(7)</w:t>
      </w:r>
      <w:r>
        <w:rPr>
          <w:rFonts w:hint="eastAsia" w:ascii="宋体" w:hAnsi="宋体" w:eastAsia="宋体" w:cs="宋体"/>
          <w:spacing w:val="10"/>
          <w:position w:val="-1"/>
          <w:sz w:val="24"/>
          <w:szCs w:val="24"/>
        </w:rPr>
        <w:t>.</w:t>
      </w:r>
    </w:p>
    <w:p w14:paraId="5B1C01B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position w:val="-1"/>
          <w:sz w:val="24"/>
          <w:szCs w:val="24"/>
        </w:rPr>
        <w:t>4.</w:t>
      </w:r>
      <w:r>
        <w:rPr>
          <w:rFonts w:hint="eastAsia" w:ascii="宋体" w:hAnsi="宋体" w:eastAsia="宋体" w:cs="宋体"/>
          <w:spacing w:val="13"/>
          <w:sz w:val="24"/>
          <w:szCs w:val="24"/>
        </w:rPr>
        <w:t>程恩富</w:t>
      </w:r>
      <w:r>
        <w:rPr>
          <w:rFonts w:hint="eastAsia" w:ascii="宋体" w:hAnsi="宋体" w:eastAsia="宋体" w:cs="宋体"/>
          <w:spacing w:val="13"/>
          <w:position w:val="-1"/>
          <w:sz w:val="24"/>
          <w:szCs w:val="24"/>
        </w:rPr>
        <w:t>.</w:t>
      </w:r>
      <w:r>
        <w:rPr>
          <w:rFonts w:hint="eastAsia" w:ascii="宋体" w:hAnsi="宋体" w:eastAsia="宋体" w:cs="宋体"/>
          <w:spacing w:val="13"/>
          <w:sz w:val="24"/>
          <w:szCs w:val="24"/>
        </w:rPr>
        <w:t>全面开启建设社会主义现代化国</w:t>
      </w:r>
      <w:r>
        <w:rPr>
          <w:rFonts w:hint="eastAsia" w:ascii="宋体" w:hAnsi="宋体" w:eastAsia="宋体" w:cs="宋体"/>
          <w:spacing w:val="12"/>
          <w:sz w:val="24"/>
          <w:szCs w:val="24"/>
        </w:rPr>
        <w:t>家的若干重点解析[J]</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当代经济研究,2021(1)</w:t>
      </w:r>
      <w:r>
        <w:rPr>
          <w:rFonts w:hint="eastAsia" w:ascii="宋体" w:hAnsi="宋体" w:eastAsia="宋体" w:cs="宋体"/>
          <w:spacing w:val="12"/>
          <w:position w:val="-1"/>
          <w:sz w:val="24"/>
          <w:szCs w:val="24"/>
        </w:rPr>
        <w:t>.</w:t>
      </w:r>
    </w:p>
    <w:p w14:paraId="15AFA52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position w:val="-1"/>
          <w:sz w:val="24"/>
          <w:szCs w:val="24"/>
        </w:rPr>
        <w:t>5.</w:t>
      </w:r>
      <w:r>
        <w:rPr>
          <w:rFonts w:hint="eastAsia" w:ascii="宋体" w:hAnsi="宋体" w:eastAsia="宋体" w:cs="宋体"/>
          <w:spacing w:val="12"/>
          <w:sz w:val="24"/>
          <w:szCs w:val="24"/>
        </w:rPr>
        <w:t>宋宪萍,程恩富</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马克思主义的分工理论及其当代发展[J]</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海派经济学,2023(3)</w:t>
      </w:r>
      <w:r>
        <w:rPr>
          <w:rFonts w:hint="eastAsia" w:ascii="宋体" w:hAnsi="宋体" w:eastAsia="宋体" w:cs="宋体"/>
          <w:spacing w:val="12"/>
          <w:position w:val="-1"/>
          <w:sz w:val="24"/>
          <w:szCs w:val="24"/>
        </w:rPr>
        <w:t>.</w:t>
      </w:r>
    </w:p>
    <w:p w14:paraId="066A5A6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position w:val="-1"/>
          <w:sz w:val="24"/>
          <w:szCs w:val="24"/>
        </w:rPr>
        <w:t>6.</w:t>
      </w:r>
      <w:r>
        <w:rPr>
          <w:rFonts w:hint="eastAsia" w:ascii="宋体" w:hAnsi="宋体" w:eastAsia="宋体" w:cs="宋体"/>
          <w:spacing w:val="13"/>
          <w:sz w:val="24"/>
          <w:szCs w:val="24"/>
        </w:rPr>
        <w:t>马克思恩格斯选集(第</w:t>
      </w:r>
      <w:r>
        <w:rPr>
          <w:rFonts w:hint="eastAsia" w:ascii="宋体" w:hAnsi="宋体" w:eastAsia="宋体" w:cs="宋体"/>
          <w:spacing w:val="13"/>
          <w:position w:val="-1"/>
          <w:sz w:val="24"/>
          <w:szCs w:val="24"/>
        </w:rPr>
        <w:t>1</w:t>
      </w:r>
      <w:r>
        <w:rPr>
          <w:rFonts w:hint="eastAsia" w:ascii="宋体" w:hAnsi="宋体" w:eastAsia="宋体" w:cs="宋体"/>
          <w:spacing w:val="13"/>
          <w:sz w:val="24"/>
          <w:szCs w:val="24"/>
        </w:rPr>
        <w:t>卷)[M]</w:t>
      </w:r>
      <w:r>
        <w:rPr>
          <w:rFonts w:hint="eastAsia" w:ascii="宋体" w:hAnsi="宋体" w:eastAsia="宋体" w:cs="宋体"/>
          <w:spacing w:val="13"/>
          <w:position w:val="-1"/>
          <w:sz w:val="24"/>
          <w:szCs w:val="24"/>
        </w:rPr>
        <w:t>.</w:t>
      </w:r>
      <w:r>
        <w:rPr>
          <w:rFonts w:hint="eastAsia" w:ascii="宋体" w:hAnsi="宋体" w:eastAsia="宋体" w:cs="宋体"/>
          <w:spacing w:val="13"/>
          <w:sz w:val="24"/>
          <w:szCs w:val="24"/>
        </w:rPr>
        <w:t>北京:人民出版社</w:t>
      </w:r>
      <w:r>
        <w:rPr>
          <w:rFonts w:hint="eastAsia" w:ascii="宋体" w:hAnsi="宋体" w:eastAsia="宋体" w:cs="宋体"/>
          <w:spacing w:val="12"/>
          <w:sz w:val="24"/>
          <w:szCs w:val="24"/>
        </w:rPr>
        <w:t>,</w:t>
      </w:r>
      <w:r>
        <w:rPr>
          <w:rFonts w:hint="eastAsia" w:ascii="宋体" w:hAnsi="宋体" w:eastAsia="宋体" w:cs="宋体"/>
          <w:spacing w:val="12"/>
          <w:position w:val="-1"/>
          <w:sz w:val="24"/>
          <w:szCs w:val="24"/>
        </w:rPr>
        <w:t>2012.</w:t>
      </w:r>
    </w:p>
    <w:p w14:paraId="51228A1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r>
        <w:rPr>
          <w:rFonts w:hint="eastAsia" w:ascii="宋体" w:hAnsi="宋体" w:eastAsia="宋体" w:cs="宋体"/>
          <w:position w:val="-2"/>
          <w:sz w:val="24"/>
          <w:szCs w:val="24"/>
        </w:rPr>
        <w:t>7.</w:t>
      </w:r>
      <w:r>
        <w:rPr>
          <w:rFonts w:hint="eastAsia" w:ascii="宋体" w:hAnsi="宋体" w:eastAsia="宋体" w:cs="宋体"/>
          <w:sz w:val="24"/>
          <w:szCs w:val="24"/>
        </w:rPr>
        <w:t>周绍东,胡华杰</w:t>
      </w:r>
      <w:r>
        <w:rPr>
          <w:rFonts w:hint="eastAsia" w:ascii="宋体" w:hAnsi="宋体" w:eastAsia="宋体" w:cs="宋体"/>
          <w:position w:val="-2"/>
          <w:sz w:val="24"/>
          <w:szCs w:val="24"/>
        </w:rPr>
        <w:t>.</w:t>
      </w:r>
      <w:r>
        <w:rPr>
          <w:rFonts w:hint="eastAsia" w:ascii="宋体" w:hAnsi="宋体" w:eastAsia="宋体" w:cs="宋体"/>
          <w:sz w:val="24"/>
          <w:szCs w:val="24"/>
        </w:rPr>
        <w:t>新质生产力推动创新发展的政治经济</w:t>
      </w:r>
      <w:r>
        <w:rPr>
          <w:rFonts w:hint="eastAsia" w:ascii="宋体" w:hAnsi="宋体" w:eastAsia="宋体" w:cs="宋体"/>
          <w:spacing w:val="-1"/>
          <w:sz w:val="24"/>
          <w:szCs w:val="24"/>
        </w:rPr>
        <w:t>学研究[J]</w:t>
      </w:r>
      <w:r>
        <w:rPr>
          <w:rFonts w:hint="eastAsia" w:ascii="宋体" w:hAnsi="宋体" w:eastAsia="宋体" w:cs="宋体"/>
          <w:spacing w:val="-1"/>
          <w:position w:val="-2"/>
          <w:sz w:val="24"/>
          <w:szCs w:val="24"/>
        </w:rPr>
        <w:t>.</w:t>
      </w:r>
      <w:r>
        <w:rPr>
          <w:rFonts w:hint="eastAsia" w:ascii="宋体" w:hAnsi="宋体" w:eastAsia="宋体" w:cs="宋体"/>
          <w:spacing w:val="-1"/>
          <w:sz w:val="24"/>
          <w:szCs w:val="24"/>
        </w:rPr>
        <w:t>新疆师范大学学报(哲学社会科学版),</w:t>
      </w:r>
      <w:r>
        <w:rPr>
          <w:rFonts w:hint="eastAsia" w:ascii="宋体" w:hAnsi="宋体" w:eastAsia="宋体" w:cs="宋体"/>
          <w:spacing w:val="2"/>
          <w:sz w:val="24"/>
          <w:szCs w:val="24"/>
        </w:rPr>
        <w:t>2024(1).</w:t>
      </w:r>
    </w:p>
    <w:p w14:paraId="0921D2E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position w:val="-1"/>
          <w:sz w:val="24"/>
          <w:szCs w:val="24"/>
        </w:rPr>
        <w:t>8.</w:t>
      </w:r>
      <w:r>
        <w:rPr>
          <w:rFonts w:hint="eastAsia" w:ascii="宋体" w:hAnsi="宋体" w:eastAsia="宋体" w:cs="宋体"/>
          <w:spacing w:val="12"/>
          <w:sz w:val="24"/>
          <w:szCs w:val="24"/>
        </w:rPr>
        <w:t>卓承芳</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后马克思主义激进技术批判理论及其反思[J]</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哲学研究,2022(9)</w:t>
      </w:r>
      <w:r>
        <w:rPr>
          <w:rFonts w:hint="eastAsia" w:ascii="宋体" w:hAnsi="宋体" w:eastAsia="宋体" w:cs="宋体"/>
          <w:spacing w:val="12"/>
          <w:position w:val="-1"/>
          <w:sz w:val="24"/>
          <w:szCs w:val="24"/>
        </w:rPr>
        <w:t>.</w:t>
      </w:r>
    </w:p>
    <w:p w14:paraId="5C09589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4" w:firstLineChars="200"/>
        <w:jc w:val="both"/>
        <w:textAlignment w:val="baseline"/>
        <w:rPr>
          <w:rFonts w:hint="eastAsia" w:ascii="宋体" w:hAnsi="宋体" w:eastAsia="宋体" w:cs="宋体"/>
          <w:sz w:val="24"/>
          <w:szCs w:val="24"/>
        </w:rPr>
      </w:pPr>
      <w:r>
        <w:rPr>
          <w:rFonts w:hint="eastAsia" w:ascii="宋体" w:hAnsi="宋体" w:eastAsia="宋体" w:cs="宋体"/>
          <w:spacing w:val="16"/>
          <w:position w:val="-1"/>
          <w:sz w:val="24"/>
          <w:szCs w:val="24"/>
        </w:rPr>
        <w:t>9.</w:t>
      </w:r>
      <w:r>
        <w:rPr>
          <w:rFonts w:hint="eastAsia" w:ascii="宋体" w:hAnsi="宋体" w:eastAsia="宋体" w:cs="宋体"/>
          <w:spacing w:val="16"/>
          <w:sz w:val="24"/>
          <w:szCs w:val="24"/>
        </w:rPr>
        <w:t>邬晓燕</w:t>
      </w:r>
      <w:r>
        <w:rPr>
          <w:rFonts w:hint="eastAsia" w:ascii="宋体" w:hAnsi="宋体" w:eastAsia="宋体" w:cs="宋体"/>
          <w:spacing w:val="16"/>
          <w:position w:val="-1"/>
          <w:sz w:val="24"/>
          <w:szCs w:val="24"/>
        </w:rPr>
        <w:t>.</w:t>
      </w:r>
      <w:r>
        <w:rPr>
          <w:rFonts w:hint="eastAsia" w:ascii="宋体" w:hAnsi="宋体" w:eastAsia="宋体" w:cs="宋体"/>
          <w:spacing w:val="16"/>
          <w:sz w:val="24"/>
          <w:szCs w:val="24"/>
        </w:rPr>
        <w:t>论绿色技术范式的制度建构</w:t>
      </w:r>
      <w:r>
        <w:rPr>
          <w:rFonts w:hint="eastAsia" w:ascii="宋体" w:hAnsi="宋体" w:eastAsia="宋体" w:cs="宋体"/>
          <w:b/>
          <w:bCs/>
          <w:spacing w:val="16"/>
          <w:sz w:val="24"/>
          <w:szCs w:val="24"/>
        </w:rPr>
        <w:t>—</w:t>
      </w:r>
      <w:r>
        <w:rPr>
          <w:rFonts w:hint="eastAsia" w:ascii="宋体" w:hAnsi="宋体" w:eastAsia="宋体" w:cs="宋体"/>
          <w:spacing w:val="16"/>
          <w:sz w:val="24"/>
          <w:szCs w:val="24"/>
        </w:rPr>
        <w:t>从李约瑟问题谈起[J]</w:t>
      </w:r>
      <w:r>
        <w:rPr>
          <w:rFonts w:hint="eastAsia" w:ascii="宋体" w:hAnsi="宋体" w:eastAsia="宋体" w:cs="宋体"/>
          <w:spacing w:val="16"/>
          <w:position w:val="-1"/>
          <w:sz w:val="24"/>
          <w:szCs w:val="24"/>
        </w:rPr>
        <w:t>.</w:t>
      </w:r>
      <w:r>
        <w:rPr>
          <w:rFonts w:hint="eastAsia" w:ascii="宋体" w:hAnsi="宋体" w:eastAsia="宋体" w:cs="宋体"/>
          <w:spacing w:val="16"/>
          <w:sz w:val="24"/>
          <w:szCs w:val="24"/>
        </w:rPr>
        <w:t>北京行政学院学报,2017(1)</w:t>
      </w:r>
    </w:p>
    <w:p w14:paraId="181EB93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position w:val="-1"/>
          <w:sz w:val="24"/>
          <w:szCs w:val="24"/>
        </w:rPr>
        <w:t>10.</w:t>
      </w:r>
      <w:r>
        <w:rPr>
          <w:rFonts w:hint="eastAsia" w:ascii="宋体" w:hAnsi="宋体" w:eastAsia="宋体" w:cs="宋体"/>
          <w:spacing w:val="12"/>
          <w:sz w:val="24"/>
          <w:szCs w:val="24"/>
        </w:rPr>
        <w:t>刘国光,程恩富</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全面准确理解市场与</w:t>
      </w:r>
      <w:r>
        <w:rPr>
          <w:rFonts w:hint="eastAsia" w:ascii="宋体" w:hAnsi="宋体" w:eastAsia="宋体" w:cs="宋体"/>
          <w:spacing w:val="11"/>
          <w:sz w:val="24"/>
          <w:szCs w:val="24"/>
        </w:rPr>
        <w:t>政府的关系[J]</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毛泽东邓小平理论研究,2014(2)</w:t>
      </w:r>
      <w:r>
        <w:rPr>
          <w:rFonts w:hint="eastAsia" w:ascii="宋体" w:hAnsi="宋体" w:eastAsia="宋体" w:cs="宋体"/>
          <w:spacing w:val="11"/>
          <w:position w:val="-1"/>
          <w:sz w:val="24"/>
          <w:szCs w:val="24"/>
        </w:rPr>
        <w:t>.</w:t>
      </w:r>
    </w:p>
    <w:p w14:paraId="6AF47AD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position w:val="-1"/>
          <w:sz w:val="24"/>
          <w:szCs w:val="24"/>
        </w:rPr>
        <w:t>11.</w:t>
      </w:r>
      <w:r>
        <w:rPr>
          <w:rFonts w:hint="eastAsia" w:ascii="宋体" w:hAnsi="宋体" w:eastAsia="宋体" w:cs="宋体"/>
          <w:spacing w:val="7"/>
          <w:sz w:val="24"/>
          <w:szCs w:val="24"/>
        </w:rPr>
        <w:t>刘大洪</w:t>
      </w:r>
      <w:r>
        <w:rPr>
          <w:rFonts w:hint="eastAsia" w:ascii="宋体" w:hAnsi="宋体" w:eastAsia="宋体" w:cs="宋体"/>
          <w:spacing w:val="7"/>
          <w:position w:val="-1"/>
          <w:sz w:val="24"/>
          <w:szCs w:val="24"/>
        </w:rPr>
        <w:t>.</w:t>
      </w:r>
      <w:r>
        <w:rPr>
          <w:rFonts w:hint="eastAsia" w:ascii="宋体" w:hAnsi="宋体" w:eastAsia="宋体" w:cs="宋体"/>
          <w:spacing w:val="7"/>
          <w:sz w:val="24"/>
          <w:szCs w:val="24"/>
        </w:rPr>
        <w:t>“中国式现代化”与有为政府的经济法促进[J]</w:t>
      </w:r>
      <w:r>
        <w:rPr>
          <w:rFonts w:hint="eastAsia" w:ascii="宋体" w:hAnsi="宋体" w:eastAsia="宋体" w:cs="宋体"/>
          <w:spacing w:val="7"/>
          <w:position w:val="-1"/>
          <w:sz w:val="24"/>
          <w:szCs w:val="24"/>
        </w:rPr>
        <w:t>.</w:t>
      </w:r>
      <w:r>
        <w:rPr>
          <w:rFonts w:hint="eastAsia" w:ascii="宋体" w:hAnsi="宋体" w:eastAsia="宋体" w:cs="宋体"/>
          <w:spacing w:val="7"/>
          <w:sz w:val="24"/>
          <w:szCs w:val="24"/>
        </w:rPr>
        <w:t>政治与法律,2</w:t>
      </w:r>
      <w:r>
        <w:rPr>
          <w:rFonts w:hint="eastAsia" w:ascii="宋体" w:hAnsi="宋体" w:eastAsia="宋体" w:cs="宋体"/>
          <w:spacing w:val="6"/>
          <w:sz w:val="24"/>
          <w:szCs w:val="24"/>
        </w:rPr>
        <w:t>023(8)</w:t>
      </w:r>
      <w:r>
        <w:rPr>
          <w:rFonts w:hint="eastAsia" w:ascii="宋体" w:hAnsi="宋体" w:eastAsia="宋体" w:cs="宋体"/>
          <w:spacing w:val="6"/>
          <w:position w:val="-1"/>
          <w:sz w:val="24"/>
          <w:szCs w:val="24"/>
        </w:rPr>
        <w:t>.</w:t>
      </w:r>
    </w:p>
    <w:p w14:paraId="3077239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position w:val="-1"/>
          <w:sz w:val="24"/>
          <w:szCs w:val="24"/>
        </w:rPr>
        <w:t>12.</w:t>
      </w:r>
      <w:r>
        <w:rPr>
          <w:rFonts w:hint="eastAsia" w:ascii="宋体" w:hAnsi="宋体" w:eastAsia="宋体" w:cs="宋体"/>
          <w:spacing w:val="11"/>
          <w:sz w:val="24"/>
          <w:szCs w:val="24"/>
        </w:rPr>
        <w:t>杨灿明</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关于政府与市场关系的再思考[J]</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中南财经政法大学学报,2019(6)</w:t>
      </w:r>
      <w:r>
        <w:rPr>
          <w:rFonts w:hint="eastAsia" w:ascii="宋体" w:hAnsi="宋体" w:eastAsia="宋体" w:cs="宋体"/>
          <w:spacing w:val="11"/>
          <w:position w:val="-1"/>
          <w:sz w:val="24"/>
          <w:szCs w:val="24"/>
        </w:rPr>
        <w:t>.</w:t>
      </w:r>
    </w:p>
    <w:p w14:paraId="2AA5D18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position w:val="-1"/>
          <w:sz w:val="24"/>
          <w:szCs w:val="24"/>
        </w:rPr>
        <w:t>13.</w:t>
      </w:r>
      <w:r>
        <w:rPr>
          <w:rFonts w:hint="eastAsia" w:ascii="宋体" w:hAnsi="宋体" w:eastAsia="宋体" w:cs="宋体"/>
          <w:spacing w:val="13"/>
          <w:sz w:val="24"/>
          <w:szCs w:val="24"/>
        </w:rPr>
        <w:t>程恩富</w:t>
      </w:r>
      <w:r>
        <w:rPr>
          <w:rFonts w:hint="eastAsia" w:ascii="宋体" w:hAnsi="宋体" w:eastAsia="宋体" w:cs="宋体"/>
          <w:spacing w:val="13"/>
          <w:position w:val="-1"/>
          <w:sz w:val="24"/>
          <w:szCs w:val="24"/>
        </w:rPr>
        <w:t>.</w:t>
      </w:r>
      <w:r>
        <w:rPr>
          <w:rFonts w:hint="eastAsia" w:ascii="宋体" w:hAnsi="宋体" w:eastAsia="宋体" w:cs="宋体"/>
          <w:spacing w:val="13"/>
          <w:sz w:val="24"/>
          <w:szCs w:val="24"/>
        </w:rPr>
        <w:t>改革开放以来新马克思经济学综合学派的若干理论创</w:t>
      </w:r>
      <w:r>
        <w:rPr>
          <w:rFonts w:hint="eastAsia" w:ascii="宋体" w:hAnsi="宋体" w:eastAsia="宋体" w:cs="宋体"/>
          <w:spacing w:val="12"/>
          <w:sz w:val="24"/>
          <w:szCs w:val="24"/>
        </w:rPr>
        <w:t>新[J]</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政治经济学评论,2018(6)</w:t>
      </w:r>
      <w:r>
        <w:rPr>
          <w:rFonts w:hint="eastAsia" w:ascii="宋体" w:hAnsi="宋体" w:eastAsia="宋体" w:cs="宋体"/>
          <w:spacing w:val="12"/>
          <w:position w:val="-1"/>
          <w:sz w:val="24"/>
          <w:szCs w:val="24"/>
        </w:rPr>
        <w:t>.</w:t>
      </w:r>
    </w:p>
    <w:p w14:paraId="5C4FC69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position w:val="-1"/>
          <w:sz w:val="24"/>
          <w:szCs w:val="24"/>
        </w:rPr>
        <w:t>14.</w:t>
      </w:r>
      <w:r>
        <w:rPr>
          <w:rFonts w:hint="eastAsia" w:ascii="宋体" w:hAnsi="宋体" w:eastAsia="宋体" w:cs="宋体"/>
          <w:spacing w:val="12"/>
          <w:sz w:val="24"/>
          <w:szCs w:val="24"/>
        </w:rPr>
        <w:t>何大安,李怀政</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大数据时代产业垄断形</w:t>
      </w:r>
      <w:r>
        <w:rPr>
          <w:rFonts w:hint="eastAsia" w:ascii="宋体" w:hAnsi="宋体" w:eastAsia="宋体" w:cs="宋体"/>
          <w:spacing w:val="11"/>
          <w:sz w:val="24"/>
          <w:szCs w:val="24"/>
        </w:rPr>
        <w:t>成机理及其发展[J]</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社会科学战线,2022(2)</w:t>
      </w:r>
      <w:r>
        <w:rPr>
          <w:rFonts w:hint="eastAsia" w:ascii="宋体" w:hAnsi="宋体" w:eastAsia="宋体" w:cs="宋体"/>
          <w:spacing w:val="11"/>
          <w:position w:val="-1"/>
          <w:sz w:val="24"/>
          <w:szCs w:val="24"/>
        </w:rPr>
        <w:t>.</w:t>
      </w:r>
    </w:p>
    <w:p w14:paraId="0539282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position w:val="-1"/>
          <w:sz w:val="24"/>
          <w:szCs w:val="24"/>
        </w:rPr>
        <w:t>15.</w:t>
      </w:r>
      <w:r>
        <w:rPr>
          <w:rFonts w:hint="eastAsia" w:ascii="宋体" w:hAnsi="宋体" w:eastAsia="宋体" w:cs="宋体"/>
          <w:spacing w:val="9"/>
          <w:sz w:val="24"/>
          <w:szCs w:val="24"/>
        </w:rPr>
        <w:t>杨春学,杨新铭</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所有制适度结构:理论分析、推断与经验事实[J]</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中国社会科学,20</w:t>
      </w:r>
      <w:r>
        <w:rPr>
          <w:rFonts w:hint="eastAsia" w:ascii="宋体" w:hAnsi="宋体" w:eastAsia="宋体" w:cs="宋体"/>
          <w:spacing w:val="8"/>
          <w:sz w:val="24"/>
          <w:szCs w:val="24"/>
        </w:rPr>
        <w:t>20(4)</w:t>
      </w:r>
      <w:r>
        <w:rPr>
          <w:rFonts w:hint="eastAsia" w:ascii="宋体" w:hAnsi="宋体" w:eastAsia="宋体" w:cs="宋体"/>
          <w:spacing w:val="8"/>
          <w:position w:val="-1"/>
          <w:sz w:val="24"/>
          <w:szCs w:val="24"/>
        </w:rPr>
        <w:t>.</w:t>
      </w:r>
    </w:p>
    <w:p w14:paraId="3053EDD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eastAsia" w:ascii="宋体" w:hAnsi="宋体" w:eastAsia="宋体" w:cs="宋体"/>
          <w:sz w:val="24"/>
          <w:szCs w:val="24"/>
        </w:rPr>
      </w:pPr>
      <w:r>
        <w:rPr>
          <w:rFonts w:hint="eastAsia" w:ascii="宋体" w:hAnsi="宋体" w:eastAsia="宋体" w:cs="宋体"/>
          <w:spacing w:val="1"/>
          <w:position w:val="-2"/>
          <w:sz w:val="24"/>
          <w:szCs w:val="24"/>
        </w:rPr>
        <w:t>16.</w:t>
      </w:r>
      <w:r>
        <w:rPr>
          <w:rFonts w:hint="eastAsia" w:ascii="宋体" w:hAnsi="宋体" w:eastAsia="宋体" w:cs="宋体"/>
          <w:spacing w:val="1"/>
          <w:sz w:val="24"/>
          <w:szCs w:val="24"/>
        </w:rPr>
        <w:t>程恩富,王爱华</w:t>
      </w:r>
      <w:r>
        <w:rPr>
          <w:rFonts w:hint="eastAsia" w:ascii="宋体" w:hAnsi="宋体" w:eastAsia="宋体" w:cs="宋体"/>
          <w:spacing w:val="1"/>
          <w:position w:val="-2"/>
          <w:sz w:val="24"/>
          <w:szCs w:val="24"/>
        </w:rPr>
        <w:t>.</w:t>
      </w:r>
      <w:r>
        <w:rPr>
          <w:rFonts w:hint="eastAsia" w:ascii="宋体" w:hAnsi="宋体" w:eastAsia="宋体" w:cs="宋体"/>
          <w:spacing w:val="1"/>
          <w:sz w:val="24"/>
          <w:szCs w:val="24"/>
        </w:rPr>
        <w:t>数字平台经济垄断的基本特征、内在逻辑与规制思路[J]</w:t>
      </w:r>
      <w:r>
        <w:rPr>
          <w:rFonts w:hint="eastAsia" w:ascii="宋体" w:hAnsi="宋体" w:eastAsia="宋体" w:cs="宋体"/>
          <w:spacing w:val="1"/>
          <w:position w:val="-2"/>
          <w:sz w:val="24"/>
          <w:szCs w:val="24"/>
        </w:rPr>
        <w:t>.</w:t>
      </w:r>
      <w:r>
        <w:rPr>
          <w:rFonts w:hint="eastAsia" w:ascii="宋体" w:hAnsi="宋体" w:eastAsia="宋体" w:cs="宋体"/>
          <w:spacing w:val="1"/>
          <w:sz w:val="24"/>
          <w:szCs w:val="24"/>
        </w:rPr>
        <w:t>南通大学学报(社会科学版),</w:t>
      </w:r>
      <w:r>
        <w:rPr>
          <w:rFonts w:hint="eastAsia" w:ascii="宋体" w:hAnsi="宋体" w:eastAsia="宋体" w:cs="宋体"/>
          <w:spacing w:val="2"/>
          <w:sz w:val="24"/>
          <w:szCs w:val="24"/>
        </w:rPr>
        <w:t>2022(5).</w:t>
      </w:r>
    </w:p>
    <w:p w14:paraId="74599C1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position w:val="-1"/>
          <w:sz w:val="24"/>
          <w:szCs w:val="24"/>
        </w:rPr>
        <w:t>17.</w:t>
      </w:r>
      <w:r>
        <w:rPr>
          <w:rFonts w:hint="eastAsia" w:ascii="宋体" w:hAnsi="宋体" w:eastAsia="宋体" w:cs="宋体"/>
          <w:spacing w:val="12"/>
          <w:sz w:val="24"/>
          <w:szCs w:val="24"/>
        </w:rPr>
        <w:t>邸敏学</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国有企业促进共同富裕的内在机理及其实现路径[J]</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马克</w:t>
      </w:r>
      <w:r>
        <w:rPr>
          <w:rFonts w:hint="eastAsia" w:ascii="宋体" w:hAnsi="宋体" w:eastAsia="宋体" w:cs="宋体"/>
          <w:spacing w:val="11"/>
          <w:sz w:val="24"/>
          <w:szCs w:val="24"/>
        </w:rPr>
        <w:t>思主义研究,</w:t>
      </w:r>
      <w:r>
        <w:rPr>
          <w:rFonts w:hint="eastAsia" w:ascii="宋体" w:hAnsi="宋体" w:eastAsia="宋体" w:cs="宋体"/>
          <w:spacing w:val="11"/>
          <w:position w:val="-1"/>
          <w:sz w:val="24"/>
          <w:szCs w:val="24"/>
        </w:rPr>
        <w:t>2022(10).</w:t>
      </w:r>
    </w:p>
    <w:p w14:paraId="041F78F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spacing w:val="7"/>
          <w:position w:val="-1"/>
          <w:sz w:val="24"/>
          <w:szCs w:val="24"/>
        </w:rPr>
        <w:t>18.</w:t>
      </w:r>
      <w:r>
        <w:rPr>
          <w:rFonts w:hint="eastAsia" w:ascii="宋体" w:hAnsi="宋体" w:eastAsia="宋体" w:cs="宋体"/>
          <w:spacing w:val="7"/>
          <w:sz w:val="24"/>
          <w:szCs w:val="24"/>
        </w:rPr>
        <w:t>杨光</w:t>
      </w:r>
      <w:r>
        <w:rPr>
          <w:rFonts w:hint="eastAsia" w:ascii="宋体" w:hAnsi="宋体" w:eastAsia="宋体" w:cs="宋体"/>
          <w:spacing w:val="7"/>
          <w:position w:val="-1"/>
          <w:sz w:val="24"/>
          <w:szCs w:val="24"/>
        </w:rPr>
        <w:t>.</w:t>
      </w:r>
      <w:r>
        <w:rPr>
          <w:rFonts w:hint="eastAsia" w:ascii="宋体" w:hAnsi="宋体" w:eastAsia="宋体" w:cs="宋体"/>
          <w:spacing w:val="7"/>
          <w:sz w:val="24"/>
          <w:szCs w:val="24"/>
        </w:rPr>
        <w:t>“军团”模式能否打开5G行业市场的新天</w:t>
      </w:r>
      <w:r>
        <w:rPr>
          <w:rFonts w:hint="eastAsia" w:ascii="宋体" w:hAnsi="宋体" w:eastAsia="宋体" w:cs="宋体"/>
          <w:spacing w:val="6"/>
          <w:sz w:val="24"/>
          <w:szCs w:val="24"/>
        </w:rPr>
        <w:t>地?[J]</w:t>
      </w:r>
      <w:r>
        <w:rPr>
          <w:rFonts w:hint="eastAsia" w:ascii="宋体" w:hAnsi="宋体" w:eastAsia="宋体" w:cs="宋体"/>
          <w:spacing w:val="6"/>
          <w:position w:val="-1"/>
          <w:sz w:val="24"/>
          <w:szCs w:val="24"/>
        </w:rPr>
        <w:t>.</w:t>
      </w:r>
      <w:r>
        <w:rPr>
          <w:rFonts w:hint="eastAsia" w:ascii="宋体" w:hAnsi="宋体" w:eastAsia="宋体" w:cs="宋体"/>
          <w:spacing w:val="6"/>
          <w:sz w:val="24"/>
          <w:szCs w:val="24"/>
        </w:rPr>
        <w:t>通信世界,2023(15)</w:t>
      </w:r>
      <w:r>
        <w:rPr>
          <w:rFonts w:hint="eastAsia" w:ascii="宋体" w:hAnsi="宋体" w:eastAsia="宋体" w:cs="宋体"/>
          <w:spacing w:val="6"/>
          <w:position w:val="-1"/>
          <w:sz w:val="24"/>
          <w:szCs w:val="24"/>
        </w:rPr>
        <w:t>.</w:t>
      </w:r>
    </w:p>
    <w:p w14:paraId="222289D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position w:val="-1"/>
          <w:sz w:val="24"/>
          <w:szCs w:val="24"/>
        </w:rPr>
        <w:t>19.</w:t>
      </w:r>
      <w:r>
        <w:rPr>
          <w:rFonts w:hint="eastAsia" w:ascii="宋体" w:hAnsi="宋体" w:eastAsia="宋体" w:cs="宋体"/>
          <w:spacing w:val="9"/>
          <w:sz w:val="24"/>
          <w:szCs w:val="24"/>
        </w:rPr>
        <w:t>列宁</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列宁全集(第</w:t>
      </w:r>
      <w:r>
        <w:rPr>
          <w:rFonts w:hint="eastAsia" w:ascii="宋体" w:hAnsi="宋体" w:eastAsia="宋体" w:cs="宋体"/>
          <w:spacing w:val="9"/>
          <w:position w:val="-1"/>
          <w:sz w:val="24"/>
          <w:szCs w:val="24"/>
        </w:rPr>
        <w:t>28</w:t>
      </w:r>
      <w:r>
        <w:rPr>
          <w:rFonts w:hint="eastAsia" w:ascii="宋体" w:hAnsi="宋体" w:eastAsia="宋体" w:cs="宋体"/>
          <w:spacing w:val="9"/>
          <w:sz w:val="24"/>
          <w:szCs w:val="24"/>
        </w:rPr>
        <w:t>卷)[M]</w:t>
      </w:r>
      <w:r>
        <w:rPr>
          <w:rFonts w:hint="eastAsia" w:ascii="宋体" w:hAnsi="宋体" w:eastAsia="宋体" w:cs="宋体"/>
          <w:spacing w:val="9"/>
          <w:position w:val="-1"/>
          <w:sz w:val="24"/>
          <w:szCs w:val="24"/>
        </w:rPr>
        <w:t>.</w:t>
      </w:r>
      <w:r>
        <w:rPr>
          <w:rFonts w:hint="eastAsia" w:ascii="宋体" w:hAnsi="宋体" w:eastAsia="宋体" w:cs="宋体"/>
          <w:spacing w:val="9"/>
          <w:sz w:val="24"/>
          <w:szCs w:val="24"/>
        </w:rPr>
        <w:t>北</w:t>
      </w:r>
      <w:r>
        <w:rPr>
          <w:rFonts w:hint="eastAsia" w:ascii="宋体" w:hAnsi="宋体" w:eastAsia="宋体" w:cs="宋体"/>
          <w:spacing w:val="8"/>
          <w:sz w:val="24"/>
          <w:szCs w:val="24"/>
        </w:rPr>
        <w:t>京:人民出版社,</w:t>
      </w:r>
      <w:r>
        <w:rPr>
          <w:rFonts w:hint="eastAsia" w:ascii="宋体" w:hAnsi="宋体" w:eastAsia="宋体" w:cs="宋体"/>
          <w:spacing w:val="8"/>
          <w:position w:val="-1"/>
          <w:sz w:val="24"/>
          <w:szCs w:val="24"/>
        </w:rPr>
        <w:t>1990.</w:t>
      </w:r>
    </w:p>
    <w:p w14:paraId="4E387EB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position w:val="-1"/>
          <w:sz w:val="24"/>
          <w:szCs w:val="24"/>
        </w:rPr>
        <w:t>20.</w:t>
      </w:r>
      <w:r>
        <w:rPr>
          <w:rFonts w:hint="eastAsia" w:ascii="宋体" w:hAnsi="宋体" w:eastAsia="宋体" w:cs="宋体"/>
          <w:spacing w:val="13"/>
          <w:sz w:val="24"/>
          <w:szCs w:val="24"/>
        </w:rPr>
        <w:t>马克思恩格斯选集(第一卷)[M]</w:t>
      </w:r>
      <w:r>
        <w:rPr>
          <w:rFonts w:hint="eastAsia" w:ascii="宋体" w:hAnsi="宋体" w:eastAsia="宋体" w:cs="宋体"/>
          <w:spacing w:val="13"/>
          <w:position w:val="-1"/>
          <w:sz w:val="24"/>
          <w:szCs w:val="24"/>
        </w:rPr>
        <w:t>.</w:t>
      </w:r>
      <w:r>
        <w:rPr>
          <w:rFonts w:hint="eastAsia" w:ascii="宋体" w:hAnsi="宋体" w:eastAsia="宋体" w:cs="宋体"/>
          <w:spacing w:val="13"/>
          <w:sz w:val="24"/>
          <w:szCs w:val="24"/>
        </w:rPr>
        <w:t>北京:人民出版社,</w:t>
      </w:r>
      <w:r>
        <w:rPr>
          <w:rFonts w:hint="eastAsia" w:ascii="宋体" w:hAnsi="宋体" w:eastAsia="宋体" w:cs="宋体"/>
          <w:spacing w:val="13"/>
          <w:position w:val="-1"/>
          <w:sz w:val="24"/>
          <w:szCs w:val="24"/>
        </w:rPr>
        <w:t>1990.</w:t>
      </w:r>
    </w:p>
    <w:p w14:paraId="0129BEF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pacing w:val="12"/>
          <w:position w:val="-1"/>
          <w:sz w:val="24"/>
          <w:szCs w:val="24"/>
        </w:rPr>
      </w:pPr>
      <w:r>
        <w:rPr>
          <w:rFonts w:hint="eastAsia" w:ascii="宋体" w:hAnsi="宋体" w:eastAsia="宋体" w:cs="宋体"/>
          <w:spacing w:val="13"/>
          <w:position w:val="-1"/>
          <w:sz w:val="24"/>
          <w:szCs w:val="24"/>
        </w:rPr>
        <w:t>21.</w:t>
      </w:r>
      <w:r>
        <w:rPr>
          <w:rFonts w:hint="eastAsia" w:ascii="宋体" w:hAnsi="宋体" w:eastAsia="宋体" w:cs="宋体"/>
          <w:spacing w:val="13"/>
          <w:sz w:val="24"/>
          <w:szCs w:val="24"/>
        </w:rPr>
        <w:t>孔明安,陈宇</w:t>
      </w:r>
      <w:r>
        <w:rPr>
          <w:rFonts w:hint="eastAsia" w:ascii="宋体" w:hAnsi="宋体" w:eastAsia="宋体" w:cs="宋体"/>
          <w:spacing w:val="13"/>
          <w:position w:val="-1"/>
          <w:sz w:val="24"/>
          <w:szCs w:val="24"/>
        </w:rPr>
        <w:t>.</w:t>
      </w:r>
      <w:r>
        <w:rPr>
          <w:rFonts w:hint="eastAsia" w:ascii="宋体" w:hAnsi="宋体" w:eastAsia="宋体" w:cs="宋体"/>
          <w:spacing w:val="13"/>
          <w:sz w:val="24"/>
          <w:szCs w:val="24"/>
        </w:rPr>
        <w:t>当代帝国主义的无限战争及其内在逻辑</w:t>
      </w:r>
      <w:r>
        <w:rPr>
          <w:rFonts w:hint="eastAsia" w:ascii="宋体" w:hAnsi="宋体" w:eastAsia="宋体" w:cs="宋体"/>
          <w:spacing w:val="12"/>
          <w:sz w:val="24"/>
          <w:szCs w:val="24"/>
        </w:rPr>
        <w:t>[J]</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湖北大学学报(哲学社会科学版),</w:t>
      </w:r>
      <w:r>
        <w:rPr>
          <w:rFonts w:hint="eastAsia" w:ascii="宋体" w:hAnsi="宋体" w:eastAsia="宋体" w:cs="宋体"/>
          <w:spacing w:val="12"/>
          <w:position w:val="-1"/>
          <w:sz w:val="24"/>
          <w:szCs w:val="24"/>
        </w:rPr>
        <w:t>2023(5).</w:t>
      </w:r>
    </w:p>
    <w:p w14:paraId="2B2F7B6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8" w:firstLineChars="200"/>
        <w:jc w:val="both"/>
        <w:textAlignment w:val="baseline"/>
        <w:rPr>
          <w:rFonts w:hint="eastAsia" w:ascii="宋体" w:hAnsi="宋体" w:eastAsia="宋体" w:cs="宋体"/>
          <w:sz w:val="24"/>
          <w:szCs w:val="24"/>
        </w:rPr>
      </w:pPr>
      <w:r>
        <w:rPr>
          <w:rFonts w:hint="eastAsia" w:ascii="宋体" w:hAnsi="宋体" w:eastAsia="宋体" w:cs="宋体"/>
          <w:spacing w:val="17"/>
          <w:position w:val="-2"/>
          <w:sz w:val="24"/>
          <w:szCs w:val="24"/>
        </w:rPr>
        <w:t>22.</w:t>
      </w:r>
      <w:r>
        <w:rPr>
          <w:rFonts w:hint="eastAsia" w:ascii="宋体" w:hAnsi="宋体" w:eastAsia="宋体" w:cs="宋体"/>
          <w:spacing w:val="17"/>
          <w:sz w:val="24"/>
          <w:szCs w:val="24"/>
        </w:rPr>
        <w:t>程恩富,鲁保林,俞使超</w:t>
      </w:r>
      <w:r>
        <w:rPr>
          <w:rFonts w:hint="eastAsia" w:ascii="宋体" w:hAnsi="宋体" w:eastAsia="宋体" w:cs="宋体"/>
          <w:spacing w:val="17"/>
          <w:position w:val="-2"/>
          <w:sz w:val="24"/>
          <w:szCs w:val="24"/>
        </w:rPr>
        <w:t>.</w:t>
      </w:r>
      <w:r>
        <w:rPr>
          <w:rFonts w:hint="eastAsia" w:ascii="宋体" w:hAnsi="宋体" w:eastAsia="宋体" w:cs="宋体"/>
          <w:spacing w:val="17"/>
          <w:sz w:val="24"/>
          <w:szCs w:val="24"/>
        </w:rPr>
        <w:t>论新帝国主义的五大特征和特性</w:t>
      </w:r>
      <w:r>
        <w:rPr>
          <w:rFonts w:hint="eastAsia" w:ascii="宋体" w:hAnsi="宋体" w:eastAsia="宋体" w:cs="宋体"/>
          <w:b/>
          <w:bCs/>
          <w:spacing w:val="17"/>
          <w:sz w:val="24"/>
          <w:szCs w:val="24"/>
        </w:rPr>
        <w:t>—</w:t>
      </w:r>
      <w:r>
        <w:rPr>
          <w:rFonts w:hint="eastAsia" w:ascii="宋体" w:hAnsi="宋体" w:eastAsia="宋体" w:cs="宋体"/>
          <w:spacing w:val="17"/>
          <w:sz w:val="24"/>
          <w:szCs w:val="24"/>
        </w:rPr>
        <w:t>以列宁的帝国主义理论</w:t>
      </w:r>
      <w:r>
        <w:rPr>
          <w:rFonts w:hint="eastAsia" w:ascii="宋体" w:hAnsi="宋体" w:eastAsia="宋体" w:cs="宋体"/>
          <w:spacing w:val="16"/>
          <w:sz w:val="24"/>
          <w:szCs w:val="24"/>
        </w:rPr>
        <w:t>为基础[J]</w:t>
      </w:r>
      <w:r>
        <w:rPr>
          <w:rFonts w:hint="eastAsia" w:ascii="宋体" w:hAnsi="宋体" w:eastAsia="宋体" w:cs="宋体"/>
          <w:spacing w:val="16"/>
          <w:position w:val="-2"/>
          <w:sz w:val="24"/>
          <w:szCs w:val="24"/>
        </w:rPr>
        <w:t>.</w:t>
      </w:r>
      <w:r>
        <w:rPr>
          <w:rFonts w:hint="eastAsia" w:ascii="宋体" w:hAnsi="宋体" w:eastAsia="宋体" w:cs="宋体"/>
          <w:spacing w:val="16"/>
          <w:sz w:val="24"/>
          <w:szCs w:val="24"/>
        </w:rPr>
        <w:t>马克思主</w:t>
      </w:r>
      <w:r>
        <w:rPr>
          <w:rFonts w:hint="eastAsia" w:ascii="宋体" w:hAnsi="宋体" w:eastAsia="宋体" w:cs="宋体"/>
          <w:spacing w:val="5"/>
          <w:sz w:val="24"/>
          <w:szCs w:val="24"/>
        </w:rPr>
        <w:t>义研究</w:t>
      </w:r>
      <w:r>
        <w:rPr>
          <w:rFonts w:hint="eastAsia" w:ascii="宋体" w:hAnsi="宋体" w:eastAsia="宋体" w:cs="宋体"/>
          <w:spacing w:val="5"/>
          <w:position w:val="1"/>
          <w:sz w:val="24"/>
          <w:szCs w:val="24"/>
        </w:rPr>
        <w:t>,</w:t>
      </w:r>
      <w:r>
        <w:rPr>
          <w:rFonts w:hint="eastAsia" w:ascii="宋体" w:hAnsi="宋体" w:eastAsia="宋体" w:cs="宋体"/>
          <w:spacing w:val="5"/>
          <w:sz w:val="24"/>
          <w:szCs w:val="24"/>
        </w:rPr>
        <w:t>2019(5)</w:t>
      </w:r>
      <w:r>
        <w:rPr>
          <w:rFonts w:hint="eastAsia" w:ascii="宋体" w:hAnsi="宋体" w:eastAsia="宋体" w:cs="宋体"/>
          <w:spacing w:val="5"/>
          <w:position w:val="-1"/>
          <w:sz w:val="24"/>
          <w:szCs w:val="24"/>
        </w:rPr>
        <w:t>.</w:t>
      </w:r>
    </w:p>
    <w:p w14:paraId="65BD6B9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spacing w:val="8"/>
          <w:position w:val="-1"/>
          <w:sz w:val="24"/>
          <w:szCs w:val="24"/>
        </w:rPr>
        <w:t>23.</w:t>
      </w:r>
      <w:r>
        <w:rPr>
          <w:rFonts w:hint="eastAsia" w:ascii="宋体" w:hAnsi="宋体" w:eastAsia="宋体" w:cs="宋体"/>
          <w:spacing w:val="8"/>
          <w:sz w:val="24"/>
          <w:szCs w:val="24"/>
        </w:rPr>
        <w:t>周文,肖玉飞</w:t>
      </w:r>
      <w:r>
        <w:rPr>
          <w:rFonts w:hint="eastAsia" w:ascii="宋体" w:hAnsi="宋体" w:eastAsia="宋体" w:cs="宋体"/>
          <w:spacing w:val="8"/>
          <w:position w:val="-1"/>
          <w:sz w:val="24"/>
          <w:szCs w:val="24"/>
        </w:rPr>
        <w:t>.</w:t>
      </w:r>
      <w:r>
        <w:rPr>
          <w:rFonts w:hint="eastAsia" w:ascii="宋体" w:hAnsi="宋体" w:eastAsia="宋体" w:cs="宋体"/>
          <w:spacing w:val="8"/>
          <w:sz w:val="24"/>
          <w:szCs w:val="24"/>
        </w:rPr>
        <w:t>新帝国主义批判[J]</w:t>
      </w:r>
      <w:r>
        <w:rPr>
          <w:rFonts w:hint="eastAsia" w:ascii="宋体" w:hAnsi="宋体" w:eastAsia="宋体" w:cs="宋体"/>
          <w:spacing w:val="8"/>
          <w:position w:val="-1"/>
          <w:sz w:val="24"/>
          <w:szCs w:val="24"/>
        </w:rPr>
        <w:t>.</w:t>
      </w:r>
      <w:r>
        <w:rPr>
          <w:rFonts w:hint="eastAsia" w:ascii="宋体" w:hAnsi="宋体" w:eastAsia="宋体" w:cs="宋体"/>
          <w:spacing w:val="8"/>
          <w:sz w:val="24"/>
          <w:szCs w:val="24"/>
        </w:rPr>
        <w:t>政治经济学研究</w:t>
      </w:r>
      <w:r>
        <w:rPr>
          <w:rFonts w:hint="eastAsia" w:ascii="宋体" w:hAnsi="宋体" w:eastAsia="宋体" w:cs="宋体"/>
          <w:spacing w:val="7"/>
          <w:sz w:val="24"/>
          <w:szCs w:val="24"/>
        </w:rPr>
        <w:t>,2021(2)</w:t>
      </w:r>
      <w:r>
        <w:rPr>
          <w:rFonts w:hint="eastAsia" w:ascii="宋体" w:hAnsi="宋体" w:eastAsia="宋体" w:cs="宋体"/>
          <w:spacing w:val="7"/>
          <w:position w:val="-1"/>
          <w:sz w:val="24"/>
          <w:szCs w:val="24"/>
        </w:rPr>
        <w:t>.</w:t>
      </w:r>
    </w:p>
    <w:p w14:paraId="53DD963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spacing w:val="11"/>
          <w:position w:val="-1"/>
          <w:sz w:val="24"/>
          <w:szCs w:val="24"/>
        </w:rPr>
        <w:t>24.</w:t>
      </w:r>
      <w:r>
        <w:rPr>
          <w:rFonts w:hint="eastAsia" w:ascii="宋体" w:hAnsi="宋体" w:eastAsia="宋体" w:cs="宋体"/>
          <w:spacing w:val="11"/>
          <w:sz w:val="24"/>
          <w:szCs w:val="24"/>
        </w:rPr>
        <w:t>侯振武,杨耕</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关于马克思交往理论的再思考[J]</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哲学研究,2018</w:t>
      </w:r>
      <w:r>
        <w:rPr>
          <w:rFonts w:hint="eastAsia" w:ascii="宋体" w:hAnsi="宋体" w:eastAsia="宋体" w:cs="宋体"/>
          <w:spacing w:val="10"/>
          <w:sz w:val="24"/>
          <w:szCs w:val="24"/>
        </w:rPr>
        <w:t>(7)</w:t>
      </w:r>
      <w:r>
        <w:rPr>
          <w:rFonts w:hint="eastAsia" w:ascii="宋体" w:hAnsi="宋体" w:eastAsia="宋体" w:cs="宋体"/>
          <w:spacing w:val="10"/>
          <w:position w:val="-1"/>
          <w:sz w:val="24"/>
          <w:szCs w:val="24"/>
        </w:rPr>
        <w:t>.</w:t>
      </w:r>
    </w:p>
    <w:p w14:paraId="32807A9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pacing w:val="11"/>
          <w:position w:val="-1"/>
          <w:sz w:val="24"/>
          <w:szCs w:val="24"/>
        </w:rPr>
      </w:pPr>
      <w:r>
        <w:rPr>
          <w:rFonts w:hint="eastAsia" w:ascii="宋体" w:hAnsi="宋体" w:eastAsia="宋体" w:cs="宋体"/>
          <w:spacing w:val="12"/>
          <w:position w:val="-1"/>
          <w:sz w:val="24"/>
          <w:szCs w:val="24"/>
        </w:rPr>
        <w:t>25.</w:t>
      </w:r>
      <w:r>
        <w:rPr>
          <w:rFonts w:hint="eastAsia" w:ascii="宋体" w:hAnsi="宋体" w:eastAsia="宋体" w:cs="宋体"/>
          <w:spacing w:val="12"/>
          <w:sz w:val="24"/>
          <w:szCs w:val="24"/>
        </w:rPr>
        <w:t>李包庚,耿可欣</w:t>
      </w:r>
      <w:r>
        <w:rPr>
          <w:rFonts w:hint="eastAsia" w:ascii="宋体" w:hAnsi="宋体" w:eastAsia="宋体" w:cs="宋体"/>
          <w:spacing w:val="12"/>
          <w:position w:val="-1"/>
          <w:sz w:val="24"/>
          <w:szCs w:val="24"/>
        </w:rPr>
        <w:t>.</w:t>
      </w:r>
      <w:r>
        <w:rPr>
          <w:rFonts w:hint="eastAsia" w:ascii="宋体" w:hAnsi="宋体" w:eastAsia="宋体" w:cs="宋体"/>
          <w:spacing w:val="12"/>
          <w:sz w:val="24"/>
          <w:szCs w:val="24"/>
        </w:rPr>
        <w:t>走向交往正义的人类命运共同体[</w:t>
      </w:r>
      <w:r>
        <w:rPr>
          <w:rFonts w:hint="eastAsia" w:ascii="宋体" w:hAnsi="宋体" w:eastAsia="宋体" w:cs="宋体"/>
          <w:spacing w:val="11"/>
          <w:sz w:val="24"/>
          <w:szCs w:val="24"/>
        </w:rPr>
        <w:t>J]</w:t>
      </w:r>
      <w:r>
        <w:rPr>
          <w:rFonts w:hint="eastAsia" w:ascii="宋体" w:hAnsi="宋体" w:eastAsia="宋体" w:cs="宋体"/>
          <w:spacing w:val="11"/>
          <w:position w:val="-1"/>
          <w:sz w:val="24"/>
          <w:szCs w:val="24"/>
        </w:rPr>
        <w:t>.</w:t>
      </w:r>
      <w:r>
        <w:rPr>
          <w:rFonts w:hint="eastAsia" w:ascii="宋体" w:hAnsi="宋体" w:eastAsia="宋体" w:cs="宋体"/>
          <w:spacing w:val="11"/>
          <w:sz w:val="24"/>
          <w:szCs w:val="24"/>
        </w:rPr>
        <w:t>浙江社会科学,2022(9)</w:t>
      </w:r>
      <w:r>
        <w:rPr>
          <w:rFonts w:hint="eastAsia" w:ascii="宋体" w:hAnsi="宋体" w:eastAsia="宋体" w:cs="宋体"/>
          <w:spacing w:val="11"/>
          <w:position w:val="-1"/>
          <w:sz w:val="24"/>
          <w:szCs w:val="24"/>
        </w:rPr>
        <w:t>.</w:t>
      </w:r>
    </w:p>
    <w:p w14:paraId="2005C7D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pacing w:val="11"/>
          <w:position w:val="-1"/>
          <w:sz w:val="24"/>
          <w:szCs w:val="24"/>
        </w:rPr>
      </w:pPr>
    </w:p>
    <w:p w14:paraId="223630F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pacing w:val="11"/>
          <w:position w:val="-1"/>
          <w:sz w:val="24"/>
          <w:szCs w:val="24"/>
          <w:lang w:eastAsia="zh-CN"/>
        </w:rPr>
      </w:pPr>
      <w:r>
        <w:rPr>
          <w:rFonts w:hint="eastAsia" w:cs="宋体"/>
          <w:spacing w:val="11"/>
          <w:position w:val="-1"/>
          <w:sz w:val="24"/>
          <w:szCs w:val="24"/>
          <w:lang w:eastAsia="zh-CN"/>
        </w:rPr>
        <w:t>（</w:t>
      </w:r>
      <w:r>
        <w:rPr>
          <w:rFonts w:hint="eastAsia" w:cs="宋体"/>
          <w:spacing w:val="11"/>
          <w:position w:val="-1"/>
          <w:sz w:val="24"/>
          <w:szCs w:val="24"/>
          <w:lang w:val="en-US" w:eastAsia="zh-CN"/>
        </w:rPr>
        <w:t>原载《上海经济研究》2024年第5期，第二作者为刘美平。</w:t>
      </w:r>
      <w:r>
        <w:rPr>
          <w:rFonts w:hint="eastAsia" w:cs="宋体"/>
          <w:spacing w:val="11"/>
          <w:position w:val="-1"/>
          <w:sz w:val="24"/>
          <w:szCs w:val="24"/>
          <w:lang w:eastAsia="zh-CN"/>
        </w:rPr>
        <w:t>）</w:t>
      </w:r>
    </w:p>
    <w:p w14:paraId="3B78CCE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7DB13FED">
      <w:pPr>
        <w:pStyle w:val="3"/>
        <w:bidi w:val="0"/>
      </w:pPr>
      <w:bookmarkStart w:id="564" w:name="_Toc911103686"/>
      <w:bookmarkStart w:id="565" w:name="_Toc993949197"/>
      <w:bookmarkStart w:id="566" w:name="_Toc503372834"/>
      <w:bookmarkStart w:id="567" w:name="_Toc1847512218"/>
      <w:bookmarkStart w:id="568" w:name="_Toc4721"/>
      <w:bookmarkStart w:id="569" w:name="_Toc1353767019"/>
      <w:r>
        <w:rPr>
          <w:rFonts w:hint="eastAsia"/>
          <w:lang w:val="en-US" w:eastAsia="zh-CN"/>
        </w:rPr>
        <w:t>11</w:t>
      </w:r>
      <w:r>
        <w:t>夜间经济打开中国发展新时空</w:t>
      </w:r>
      <w:bookmarkEnd w:id="564"/>
      <w:bookmarkEnd w:id="565"/>
      <w:bookmarkEnd w:id="566"/>
      <w:bookmarkEnd w:id="567"/>
      <w:bookmarkEnd w:id="568"/>
      <w:bookmarkEnd w:id="569"/>
    </w:p>
    <w:p w14:paraId="3C1D6C9E">
      <w:pPr>
        <w:spacing w:line="274" w:lineRule="auto"/>
        <w:rPr>
          <w:rFonts w:ascii="Arial"/>
          <w:sz w:val="21"/>
        </w:rPr>
      </w:pPr>
    </w:p>
    <w:p w14:paraId="30BA01A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中国正处于以人工智能、大数据为代表的第</w:t>
      </w:r>
      <w:r>
        <w:rPr>
          <w:rFonts w:hint="eastAsia" w:ascii="宋体" w:hAnsi="宋体" w:eastAsia="宋体" w:cs="宋体"/>
          <w:color w:val="231F20"/>
          <w:spacing w:val="7"/>
          <w:sz w:val="24"/>
          <w:szCs w:val="24"/>
        </w:rPr>
        <w:t>四次工业革命，在利用好技术创新空间、</w:t>
      </w:r>
      <w:r>
        <w:rPr>
          <w:rFonts w:hint="eastAsia" w:ascii="宋体" w:hAnsi="宋体" w:eastAsia="宋体" w:cs="宋体"/>
          <w:color w:val="231F20"/>
          <w:spacing w:val="6"/>
          <w:sz w:val="24"/>
          <w:szCs w:val="24"/>
        </w:rPr>
        <w:t>传统产业赶超空间以形成新质生产力的同时，夜间经济突破传统的时间约束、盘活“存量</w:t>
      </w:r>
      <w:r>
        <w:rPr>
          <w:rFonts w:hint="eastAsia" w:ascii="宋体" w:hAnsi="宋体" w:eastAsia="宋体" w:cs="宋体"/>
          <w:color w:val="231F20"/>
          <w:spacing w:val="1"/>
          <w:sz w:val="24"/>
          <w:szCs w:val="24"/>
        </w:rPr>
        <w:t>时间”，打开了中国发展的新时空。从历史上看，我国古代夜间经济发端于殷周之际，兴起于汉唐时期。到了宋代，赵匡胤为宵禁松绑，“两都”夜市的繁华盛况也随之呈现。新照明</w:t>
      </w:r>
      <w:r>
        <w:rPr>
          <w:rFonts w:hint="eastAsia" w:ascii="宋体" w:hAnsi="宋体" w:eastAsia="宋体" w:cs="宋体"/>
          <w:color w:val="231F20"/>
          <w:spacing w:val="7"/>
          <w:sz w:val="24"/>
          <w:szCs w:val="24"/>
        </w:rPr>
        <w:t>燃料和工具的发明创造为人类的暗夜探索铺平了道路。19世纪70年代，中国的大城市已</w:t>
      </w:r>
      <w:r>
        <w:rPr>
          <w:rFonts w:hint="eastAsia" w:ascii="宋体" w:hAnsi="宋体" w:eastAsia="宋体" w:cs="宋体"/>
          <w:color w:val="231F20"/>
          <w:spacing w:val="-5"/>
          <w:sz w:val="24"/>
          <w:szCs w:val="24"/>
        </w:rPr>
        <w:t>引进使用煤气灯多年。上海人评“沪北十景”，其中之一便是“夜市燃灯”。1</w:t>
      </w:r>
      <w:r>
        <w:rPr>
          <w:rFonts w:hint="eastAsia" w:ascii="宋体" w:hAnsi="宋体" w:eastAsia="宋体" w:cs="宋体"/>
          <w:color w:val="231F20"/>
          <w:spacing w:val="-6"/>
          <w:sz w:val="24"/>
          <w:szCs w:val="24"/>
        </w:rPr>
        <w:t>984年5月，中</w:t>
      </w:r>
      <w:r>
        <w:rPr>
          <w:rFonts w:hint="eastAsia" w:ascii="宋体" w:hAnsi="宋体" w:eastAsia="宋体" w:cs="宋体"/>
          <w:color w:val="231F20"/>
          <w:spacing w:val="6"/>
          <w:sz w:val="24"/>
          <w:szCs w:val="24"/>
        </w:rPr>
        <w:t>国改革开放后首个灯光夜市——西湖路工业品灯光夜市在“千年商都”广州出现，翻开了</w:t>
      </w:r>
      <w:r>
        <w:rPr>
          <w:rFonts w:hint="eastAsia" w:ascii="宋体" w:hAnsi="宋体" w:eastAsia="宋体" w:cs="宋体"/>
          <w:color w:val="231F20"/>
          <w:spacing w:val="8"/>
          <w:sz w:val="24"/>
          <w:szCs w:val="24"/>
        </w:rPr>
        <w:t>当代中国都市夜间经济的新篇章。进入21世纪，伴随着大城市中央商务区和商业步行街</w:t>
      </w:r>
      <w:r>
        <w:rPr>
          <w:rFonts w:hint="eastAsia" w:ascii="宋体" w:hAnsi="宋体" w:eastAsia="宋体" w:cs="宋体"/>
          <w:color w:val="231F20"/>
          <w:spacing w:val="1"/>
          <w:sz w:val="24"/>
          <w:szCs w:val="24"/>
        </w:rPr>
        <w:t>的开发以及互联网发展方兴未艾，北京王府井、上海南京路、广州天河路、深圳华强北、杭</w:t>
      </w:r>
      <w:r>
        <w:rPr>
          <w:rFonts w:hint="eastAsia" w:ascii="宋体" w:hAnsi="宋体" w:eastAsia="宋体" w:cs="宋体"/>
          <w:color w:val="231F20"/>
          <w:spacing w:val="8"/>
          <w:sz w:val="24"/>
          <w:szCs w:val="24"/>
        </w:rPr>
        <w:t>州武林等各大城市商圈夜晚人气火爆，成为夜间经济的新亮点。2022年，中国夜间经济</w:t>
      </w:r>
      <w:r>
        <w:rPr>
          <w:rFonts w:hint="eastAsia" w:ascii="宋体" w:hAnsi="宋体" w:eastAsia="宋体" w:cs="宋体"/>
          <w:color w:val="231F20"/>
          <w:sz w:val="24"/>
          <w:szCs w:val="24"/>
        </w:rPr>
        <w:t>市场发展规模约为42.4万亿元，已经成为扩大内需、拉动经济的“新蓝海”。</w:t>
      </w:r>
    </w:p>
    <w:p w14:paraId="47D3C77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color w:val="231F20"/>
          <w:sz w:val="24"/>
          <w:szCs w:val="24"/>
        </w:rPr>
      </w:pPr>
      <w:r>
        <w:rPr>
          <w:rFonts w:hint="eastAsia" w:ascii="宋体" w:hAnsi="宋体" w:eastAsia="宋体" w:cs="宋体"/>
          <w:color w:val="231F20"/>
          <w:spacing w:val="8"/>
          <w:sz w:val="24"/>
          <w:szCs w:val="24"/>
        </w:rPr>
        <w:t>大多数学者仍从时序经济角度定义夜间经济，认为从每天傍晚6时</w:t>
      </w:r>
      <w:r>
        <w:rPr>
          <w:rFonts w:hint="eastAsia" w:ascii="宋体" w:hAnsi="宋体" w:eastAsia="宋体" w:cs="宋体"/>
          <w:color w:val="231F20"/>
          <w:spacing w:val="7"/>
          <w:sz w:val="24"/>
          <w:szCs w:val="24"/>
        </w:rPr>
        <w:t>至次日早上6时之</w:t>
      </w:r>
      <w:r>
        <w:rPr>
          <w:rFonts w:hint="eastAsia" w:ascii="宋体" w:hAnsi="宋体" w:eastAsia="宋体" w:cs="宋体"/>
          <w:color w:val="231F20"/>
          <w:spacing w:val="12"/>
          <w:sz w:val="24"/>
          <w:szCs w:val="24"/>
        </w:rPr>
        <w:t>间属于夜间经济时间段。也有学者认为，夜</w:t>
      </w:r>
      <w:r>
        <w:rPr>
          <w:rFonts w:hint="eastAsia" w:ascii="宋体" w:hAnsi="宋体" w:eastAsia="宋体" w:cs="宋体"/>
          <w:color w:val="231F20"/>
          <w:spacing w:val="11"/>
          <w:sz w:val="24"/>
          <w:szCs w:val="24"/>
        </w:rPr>
        <w:t>间经济时间段的标准取决于当地的日落和日</w:t>
      </w:r>
      <w:r>
        <w:rPr>
          <w:rFonts w:hint="eastAsia" w:ascii="宋体" w:hAnsi="宋体" w:eastAsia="宋体" w:cs="宋体"/>
          <w:color w:val="231F20"/>
          <w:spacing w:val="6"/>
          <w:sz w:val="24"/>
          <w:szCs w:val="24"/>
        </w:rPr>
        <w:t>出时间，不同地区有所不同。实际上，夜间经济不仅是时间转换概念上的经济活动，还包含了空间载体、技术工具、生产者和消费者习惯等多个评定维度。本专题研究认为，夜间</w:t>
      </w:r>
      <w:r>
        <w:rPr>
          <w:rFonts w:hint="eastAsia" w:ascii="宋体" w:hAnsi="宋体" w:eastAsia="宋体" w:cs="宋体"/>
          <w:color w:val="231F20"/>
          <w:sz w:val="24"/>
          <w:szCs w:val="24"/>
        </w:rPr>
        <w:t>经济是在夜间进行的生产、消费、分配、交换等多种经济活动的总称。</w:t>
      </w:r>
    </w:p>
    <w:p w14:paraId="0CB9E17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color w:val="231F20"/>
          <w:spacing w:val="5"/>
          <w:sz w:val="24"/>
          <w:szCs w:val="24"/>
          <w:lang w:eastAsia="zh-CN"/>
        </w:rPr>
      </w:pPr>
      <w:r>
        <w:rPr>
          <w:rFonts w:hint="eastAsia" w:ascii="宋体" w:hAnsi="宋体" w:eastAsia="宋体" w:cs="宋体"/>
          <w:color w:val="231F20"/>
          <w:spacing w:val="12"/>
          <w:sz w:val="24"/>
          <w:szCs w:val="24"/>
        </w:rPr>
        <w:t>夜间经济分为宏观夜间经济、微观夜间经济和中</w:t>
      </w:r>
      <w:r>
        <w:rPr>
          <w:rFonts w:hint="eastAsia" w:ascii="宋体" w:hAnsi="宋体" w:eastAsia="宋体" w:cs="宋体"/>
          <w:color w:val="231F20"/>
          <w:spacing w:val="11"/>
          <w:sz w:val="24"/>
          <w:szCs w:val="24"/>
        </w:rPr>
        <w:t>观夜间经济三个层次。宏观夜间经</w:t>
      </w:r>
      <w:r>
        <w:rPr>
          <w:rFonts w:hint="eastAsia" w:ascii="宋体" w:hAnsi="宋体" w:eastAsia="宋体" w:cs="宋体"/>
          <w:color w:val="231F20"/>
          <w:spacing w:val="1"/>
          <w:sz w:val="24"/>
          <w:szCs w:val="24"/>
        </w:rPr>
        <w:t>济，指在全社会范围内的夜间进行的生产、消费、分配、交换等多种经济活动的总称</w:t>
      </w:r>
      <w:r>
        <w:rPr>
          <w:rFonts w:hint="eastAsia" w:ascii="宋体" w:hAnsi="宋体" w:eastAsia="宋体" w:cs="宋体"/>
          <w:color w:val="231F20"/>
          <w:sz w:val="24"/>
          <w:szCs w:val="24"/>
        </w:rPr>
        <w:t>；微观</w:t>
      </w:r>
      <w:r>
        <w:rPr>
          <w:rFonts w:hint="eastAsia" w:ascii="宋体" w:hAnsi="宋体" w:eastAsia="宋体" w:cs="宋体"/>
          <w:color w:val="231F20"/>
          <w:spacing w:val="3"/>
          <w:sz w:val="24"/>
          <w:szCs w:val="24"/>
        </w:rPr>
        <w:t>夜间经济，指某一行业、企业，某一个集聚区在夜间开展的各种经济活动；中观夜</w:t>
      </w:r>
      <w:r>
        <w:rPr>
          <w:rFonts w:hint="eastAsia" w:ascii="宋体" w:hAnsi="宋体" w:eastAsia="宋体" w:cs="宋体"/>
          <w:color w:val="231F20"/>
          <w:spacing w:val="2"/>
          <w:sz w:val="24"/>
          <w:szCs w:val="24"/>
        </w:rPr>
        <w:t>间经济，</w:t>
      </w:r>
      <w:r>
        <w:rPr>
          <w:rFonts w:hint="eastAsia" w:ascii="宋体" w:hAnsi="宋体" w:eastAsia="宋体" w:cs="宋体"/>
          <w:color w:val="231F20"/>
          <w:spacing w:val="8"/>
          <w:sz w:val="24"/>
          <w:szCs w:val="24"/>
        </w:rPr>
        <w:t>指介于宏观与微观之间的夜间经济，如都市圈、单座城市或特定区域内的夜间经济活动。</w:t>
      </w:r>
      <w:r>
        <w:rPr>
          <w:rFonts w:hint="eastAsia" w:ascii="宋体" w:hAnsi="宋体" w:eastAsia="宋体" w:cs="宋体"/>
          <w:color w:val="231F20"/>
          <w:spacing w:val="1"/>
          <w:sz w:val="24"/>
          <w:szCs w:val="24"/>
        </w:rPr>
        <w:t>夜间经济与地摊经济、时序经济、灯光经济、月光经济、直播经济等经济形态既有联</w:t>
      </w:r>
      <w:r>
        <w:rPr>
          <w:rFonts w:hint="eastAsia" w:ascii="宋体" w:hAnsi="宋体" w:eastAsia="宋体" w:cs="宋体"/>
          <w:color w:val="231F20"/>
          <w:sz w:val="24"/>
          <w:szCs w:val="24"/>
        </w:rPr>
        <w:t>系、又</w:t>
      </w:r>
      <w:r>
        <w:rPr>
          <w:rFonts w:hint="eastAsia" w:ascii="宋体" w:hAnsi="宋体" w:eastAsia="宋体" w:cs="宋体"/>
          <w:color w:val="231F20"/>
          <w:spacing w:val="5"/>
          <w:sz w:val="24"/>
          <w:szCs w:val="24"/>
        </w:rPr>
        <w:t>有区别</w:t>
      </w:r>
      <w:r>
        <w:rPr>
          <w:rFonts w:hint="eastAsia" w:ascii="宋体" w:hAnsi="宋体" w:eastAsia="宋体" w:cs="宋体"/>
          <w:color w:val="231F20"/>
          <w:spacing w:val="5"/>
          <w:sz w:val="24"/>
          <w:szCs w:val="24"/>
          <w:lang w:eastAsia="zh-CN"/>
        </w:rPr>
        <w:t>。</w:t>
      </w:r>
    </w:p>
    <w:p w14:paraId="17E7000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2"/>
          <w:sz w:val="24"/>
          <w:szCs w:val="24"/>
        </w:rPr>
        <w:t>当前，在中国经济致力于高质量发展、新旧动能转换的历史时期，发展包含夜间生产、</w:t>
      </w:r>
      <w:r>
        <w:rPr>
          <w:rFonts w:hint="eastAsia" w:ascii="宋体" w:hAnsi="宋体" w:eastAsia="宋体" w:cs="宋体"/>
          <w:color w:val="231F20"/>
          <w:spacing w:val="6"/>
          <w:sz w:val="24"/>
          <w:szCs w:val="24"/>
        </w:rPr>
        <w:t>夜间流通、夜间消费在内的夜间经济对城市更新、产业升级、新质生产力的发展都具有重要意义。</w:t>
      </w:r>
    </w:p>
    <w:p w14:paraId="460D358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color w:val="231F20"/>
          <w:spacing w:val="10"/>
          <w:sz w:val="24"/>
          <w:szCs w:val="24"/>
        </w:rPr>
      </w:pPr>
      <w:r>
        <w:rPr>
          <w:rFonts w:hint="eastAsia" w:ascii="宋体" w:hAnsi="宋体" w:eastAsia="宋体" w:cs="宋体"/>
          <w:color w:val="231F20"/>
          <w:spacing w:val="7"/>
          <w:sz w:val="24"/>
          <w:szCs w:val="24"/>
        </w:rPr>
        <w:t>本期城市大家谈栏目的4篇论文从不同维度围绕都市圈夜间经济发展主题展开。《粤</w:t>
      </w:r>
      <w:r>
        <w:rPr>
          <w:rFonts w:hint="eastAsia" w:ascii="宋体" w:hAnsi="宋体" w:eastAsia="宋体" w:cs="宋体"/>
          <w:color w:val="231F20"/>
          <w:spacing w:val="6"/>
          <w:sz w:val="24"/>
          <w:szCs w:val="24"/>
        </w:rPr>
        <w:t>港澳大湾区夜间经济发展现状与能级提升研究》在历史回顾与实践经验总结的基础上，将夜间经济定义为在夜间进行的生产、消费、分配、交换等多种经济活动的总称。文章归纳分析粤港澳大湾区夜间生产的催生动力、夜间消费的空间布局和业态供给现状，进而提出粤港澳大湾区夜间经济发展能级提升的方向与路径。《新质生产力视角下长三角夜间经济一体化发展探析》从中国古代夜间经济的缘起出发，对比长三角都市圈的古今夜间经济发</w:t>
      </w:r>
      <w:r>
        <w:rPr>
          <w:rFonts w:hint="eastAsia" w:ascii="宋体" w:hAnsi="宋体" w:eastAsia="宋体" w:cs="宋体"/>
          <w:color w:val="231F20"/>
          <w:spacing w:val="12"/>
          <w:sz w:val="24"/>
          <w:szCs w:val="24"/>
        </w:rPr>
        <w:t>展状况、发展特征和存在的问题，分析了发展夜间</w:t>
      </w:r>
      <w:r>
        <w:rPr>
          <w:rFonts w:hint="eastAsia" w:ascii="宋体" w:hAnsi="宋体" w:eastAsia="宋体" w:cs="宋体"/>
          <w:color w:val="231F20"/>
          <w:spacing w:val="11"/>
          <w:sz w:val="24"/>
          <w:szCs w:val="24"/>
        </w:rPr>
        <w:t>经济与促进新质生产力之间的相互关</w:t>
      </w:r>
      <w:r>
        <w:rPr>
          <w:rFonts w:hint="eastAsia" w:ascii="宋体" w:hAnsi="宋体" w:eastAsia="宋体" w:cs="宋体"/>
          <w:color w:val="231F20"/>
          <w:spacing w:val="6"/>
          <w:sz w:val="24"/>
          <w:szCs w:val="24"/>
        </w:rPr>
        <w:t>系，提出通过发展长三角夜间经济一体化来推动区域新质生产力的提升。《文旅融合视域</w:t>
      </w:r>
      <w:r>
        <w:rPr>
          <w:rFonts w:hint="eastAsia" w:ascii="宋体" w:hAnsi="宋体" w:eastAsia="宋体" w:cs="宋体"/>
          <w:color w:val="231F20"/>
          <w:spacing w:val="12"/>
          <w:sz w:val="24"/>
          <w:szCs w:val="24"/>
        </w:rPr>
        <w:t>下京津冀夜间经济高质量发展研究》通过分析文</w:t>
      </w:r>
      <w:r>
        <w:rPr>
          <w:rFonts w:hint="eastAsia" w:ascii="宋体" w:hAnsi="宋体" w:eastAsia="宋体" w:cs="宋体"/>
          <w:color w:val="231F20"/>
          <w:spacing w:val="11"/>
          <w:sz w:val="24"/>
          <w:szCs w:val="24"/>
        </w:rPr>
        <w:t>旅融合背景下京津冀夜间经济发展的现</w:t>
      </w:r>
      <w:r>
        <w:rPr>
          <w:rFonts w:hint="eastAsia" w:ascii="宋体" w:hAnsi="宋体" w:eastAsia="宋体" w:cs="宋体"/>
          <w:color w:val="231F20"/>
          <w:spacing w:val="1"/>
          <w:sz w:val="24"/>
          <w:szCs w:val="24"/>
        </w:rPr>
        <w:t>状，剖析其面临的现实挑战，提出进一步推动京津冀夜间经济高质量发展的对策建议。《区</w:t>
      </w:r>
      <w:r>
        <w:rPr>
          <w:rFonts w:hint="eastAsia" w:ascii="宋体" w:hAnsi="宋体" w:eastAsia="宋体" w:cs="宋体"/>
          <w:color w:val="231F20"/>
          <w:spacing w:val="6"/>
          <w:sz w:val="24"/>
          <w:szCs w:val="24"/>
        </w:rPr>
        <w:t>域夜间经济发展的理论逻辑与提升路径：以成渝地区双城经济圈为例》构建了包括供给需</w:t>
      </w:r>
      <w:r>
        <w:rPr>
          <w:rFonts w:hint="eastAsia" w:ascii="宋体" w:hAnsi="宋体" w:eastAsia="宋体" w:cs="宋体"/>
          <w:color w:val="231F20"/>
          <w:spacing w:val="3"/>
          <w:sz w:val="24"/>
          <w:szCs w:val="24"/>
        </w:rPr>
        <w:t>求逻辑、政市关系逻辑、空间布局逻辑、竞合优势逻辑在内</w:t>
      </w:r>
      <w:r>
        <w:rPr>
          <w:rFonts w:hint="eastAsia" w:ascii="宋体" w:hAnsi="宋体" w:eastAsia="宋体" w:cs="宋体"/>
          <w:color w:val="231F20"/>
          <w:spacing w:val="2"/>
          <w:sz w:val="24"/>
          <w:szCs w:val="24"/>
        </w:rPr>
        <w:t>的区域夜间经济理论分析框架，</w:t>
      </w:r>
      <w:r>
        <w:rPr>
          <w:rFonts w:hint="eastAsia" w:ascii="宋体" w:hAnsi="宋体" w:eastAsia="宋体" w:cs="宋体"/>
          <w:color w:val="231F20"/>
          <w:spacing w:val="11"/>
          <w:sz w:val="24"/>
          <w:szCs w:val="24"/>
        </w:rPr>
        <w:t>从四个方面提出成渝地区双城经济圈夜间经</w:t>
      </w:r>
      <w:r>
        <w:rPr>
          <w:rFonts w:hint="eastAsia" w:ascii="宋体" w:hAnsi="宋体" w:eastAsia="宋体" w:cs="宋体"/>
          <w:color w:val="231F20"/>
          <w:spacing w:val="10"/>
          <w:sz w:val="24"/>
          <w:szCs w:val="24"/>
        </w:rPr>
        <w:t>济能级提升的对策建议。</w:t>
      </w:r>
    </w:p>
    <w:p w14:paraId="2E80320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color w:val="231F20"/>
          <w:spacing w:val="10"/>
          <w:sz w:val="24"/>
          <w:szCs w:val="24"/>
          <w:lang w:eastAsia="zh-CN"/>
        </w:rPr>
      </w:pPr>
      <w:r>
        <w:rPr>
          <w:rFonts w:hint="eastAsia" w:cs="宋体"/>
          <w:color w:val="231F20"/>
          <w:spacing w:val="10"/>
          <w:sz w:val="24"/>
          <w:szCs w:val="24"/>
          <w:lang w:eastAsia="zh-CN"/>
        </w:rPr>
        <w:t>（</w:t>
      </w:r>
      <w:r>
        <w:rPr>
          <w:rFonts w:hint="eastAsia" w:cs="宋体"/>
          <w:color w:val="231F20"/>
          <w:spacing w:val="10"/>
          <w:sz w:val="24"/>
          <w:szCs w:val="24"/>
          <w:lang w:val="en-US" w:eastAsia="zh-CN"/>
        </w:rPr>
        <w:t>原载《城市观察》2024第2期，第二作者为王岩。</w:t>
      </w:r>
      <w:r>
        <w:rPr>
          <w:rFonts w:hint="eastAsia" w:cs="宋体"/>
          <w:color w:val="231F20"/>
          <w:spacing w:val="10"/>
          <w:sz w:val="24"/>
          <w:szCs w:val="24"/>
          <w:lang w:eastAsia="zh-CN"/>
        </w:rPr>
        <w:t>）</w:t>
      </w:r>
    </w:p>
    <w:p w14:paraId="7D88EDB0">
      <w:pPr>
        <w:spacing w:line="281" w:lineRule="auto"/>
        <w:rPr>
          <w:rFonts w:ascii="Arial"/>
          <w:sz w:val="21"/>
        </w:rPr>
      </w:pPr>
    </w:p>
    <w:p w14:paraId="47957548">
      <w:pPr>
        <w:spacing w:line="281" w:lineRule="auto"/>
        <w:rPr>
          <w:rFonts w:ascii="Arial"/>
          <w:sz w:val="21"/>
        </w:rPr>
      </w:pPr>
    </w:p>
    <w:p w14:paraId="4FD001B4">
      <w:pPr>
        <w:pStyle w:val="3"/>
        <w:bidi w:val="0"/>
        <w:rPr>
          <w:rFonts w:hint="eastAsia"/>
        </w:rPr>
      </w:pPr>
      <w:bookmarkStart w:id="570" w:name="_Toc28863966"/>
      <w:bookmarkStart w:id="571" w:name="_Toc1361247492"/>
      <w:bookmarkStart w:id="572" w:name="_Toc21883"/>
      <w:bookmarkStart w:id="573" w:name="_Toc671795953"/>
      <w:bookmarkStart w:id="574" w:name="_Toc1249135505"/>
      <w:bookmarkStart w:id="575" w:name="_Toc173048368"/>
      <w:r>
        <w:rPr>
          <w:rFonts w:hint="eastAsia"/>
          <w:lang w:val="en-US" w:eastAsia="zh-CN"/>
        </w:rPr>
        <w:t>12</w:t>
      </w:r>
      <w:r>
        <w:rPr>
          <w:rFonts w:hint="eastAsia"/>
        </w:rPr>
        <w:t>国内外新形势下大力发展新质生产力的五种路径</w:t>
      </w:r>
      <w:bookmarkEnd w:id="570"/>
      <w:bookmarkEnd w:id="571"/>
      <w:bookmarkEnd w:id="572"/>
      <w:bookmarkEnd w:id="573"/>
      <w:bookmarkEnd w:id="574"/>
      <w:bookmarkEnd w:id="575"/>
    </w:p>
    <w:p w14:paraId="7AB7B41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1CC8104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6" w:firstLineChars="200"/>
        <w:jc w:val="both"/>
        <w:textAlignment w:val="baseline"/>
        <w:rPr>
          <w:rFonts w:hint="eastAsia" w:ascii="宋体" w:hAnsi="宋体" w:eastAsia="宋体" w:cs="宋体"/>
          <w:sz w:val="24"/>
          <w:szCs w:val="24"/>
        </w:rPr>
      </w:pPr>
      <w:r>
        <w:rPr>
          <w:rFonts w:hint="eastAsia" w:ascii="宋体" w:hAnsi="宋体" w:eastAsia="宋体" w:cs="宋体"/>
          <w:spacing w:val="14"/>
          <w:sz w:val="24"/>
          <w:szCs w:val="24"/>
        </w:rPr>
        <w:t>一是以新生产要素促进新质生产力的跃迁。科</w:t>
      </w:r>
      <w:r>
        <w:rPr>
          <w:rFonts w:hint="eastAsia" w:ascii="宋体" w:hAnsi="宋体" w:eastAsia="宋体" w:cs="宋体"/>
          <w:spacing w:val="13"/>
          <w:sz w:val="24"/>
          <w:szCs w:val="24"/>
        </w:rPr>
        <w:t>学技术在不断发展,我们</w:t>
      </w:r>
      <w:r>
        <w:rPr>
          <w:rFonts w:hint="eastAsia" w:ascii="宋体" w:hAnsi="宋体" w:eastAsia="宋体" w:cs="宋体"/>
          <w:spacing w:val="7"/>
          <w:sz w:val="24"/>
          <w:szCs w:val="24"/>
        </w:rPr>
        <w:t>要重视传统生产要素土地、劳动力、资本在新型工业化中的重要作用,更要及</w:t>
      </w:r>
      <w:r>
        <w:rPr>
          <w:rFonts w:hint="eastAsia" w:ascii="宋体" w:hAnsi="宋体" w:eastAsia="宋体" w:cs="宋体"/>
          <w:spacing w:val="8"/>
          <w:sz w:val="24"/>
          <w:szCs w:val="24"/>
        </w:rPr>
        <w:t>时发现新生产要素在科技创新中的新功能。生产力是推动人类文明不断向前</w:t>
      </w:r>
      <w:r>
        <w:rPr>
          <w:rFonts w:hint="eastAsia" w:ascii="宋体" w:hAnsi="宋体" w:eastAsia="宋体" w:cs="宋体"/>
          <w:spacing w:val="15"/>
          <w:sz w:val="24"/>
          <w:szCs w:val="24"/>
        </w:rPr>
        <w:t>发展的终极决定性力量,当新生产要素赋能</w:t>
      </w:r>
      <w:r>
        <w:rPr>
          <w:rFonts w:hint="eastAsia" w:ascii="宋体" w:hAnsi="宋体" w:eastAsia="宋体" w:cs="宋体"/>
          <w:spacing w:val="14"/>
          <w:sz w:val="24"/>
          <w:szCs w:val="24"/>
        </w:rPr>
        <w:t>传统生产要素的时候,新的劳动</w:t>
      </w:r>
      <w:r>
        <w:rPr>
          <w:rFonts w:hint="eastAsia" w:ascii="宋体" w:hAnsi="宋体" w:eastAsia="宋体" w:cs="宋体"/>
          <w:spacing w:val="4"/>
          <w:sz w:val="24"/>
          <w:szCs w:val="24"/>
        </w:rPr>
        <w:t>者、新的生产工具、新的生产对象就会应运而生;当新生产要素与传统生产要</w:t>
      </w:r>
      <w:r>
        <w:rPr>
          <w:rFonts w:hint="eastAsia" w:ascii="宋体" w:hAnsi="宋体" w:eastAsia="宋体" w:cs="宋体"/>
          <w:spacing w:val="6"/>
          <w:sz w:val="24"/>
          <w:szCs w:val="24"/>
        </w:rPr>
        <w:t>素之间融合成长的时候,就会带动新质生产力的能级跃迁。目前,数据、信息、</w:t>
      </w:r>
      <w:r>
        <w:rPr>
          <w:rFonts w:hint="eastAsia" w:ascii="宋体" w:hAnsi="宋体" w:eastAsia="宋体" w:cs="宋体"/>
          <w:spacing w:val="1"/>
          <w:sz w:val="24"/>
          <w:szCs w:val="24"/>
        </w:rPr>
        <w:t>网络就是新生产要素,数据搜集、数据挖掘、数据分析、数据产品加工、数据营</w:t>
      </w:r>
      <w:r>
        <w:rPr>
          <w:rFonts w:hint="eastAsia" w:ascii="宋体" w:hAnsi="宋体" w:eastAsia="宋体" w:cs="宋体"/>
          <w:spacing w:val="12"/>
          <w:sz w:val="24"/>
          <w:szCs w:val="24"/>
        </w:rPr>
        <w:t>销等,都会蝶变成有价值和使用价值的数据再生产。这样一来,海</w:t>
      </w:r>
      <w:r>
        <w:rPr>
          <w:rFonts w:hint="eastAsia" w:ascii="宋体" w:hAnsi="宋体" w:eastAsia="宋体" w:cs="宋体"/>
          <w:spacing w:val="11"/>
          <w:sz w:val="24"/>
          <w:szCs w:val="24"/>
        </w:rPr>
        <w:t>量数据经过</w:t>
      </w:r>
      <w:r>
        <w:rPr>
          <w:rFonts w:hint="eastAsia" w:ascii="宋体" w:hAnsi="宋体" w:eastAsia="宋体" w:cs="宋体"/>
          <w:spacing w:val="6"/>
          <w:sz w:val="24"/>
          <w:szCs w:val="24"/>
        </w:rPr>
        <w:t>加工后形成特定信息商品,就能通过互联网驾驭传统生产要素嬗变的方向、规</w:t>
      </w:r>
      <w:r>
        <w:rPr>
          <w:rFonts w:hint="eastAsia" w:ascii="宋体" w:hAnsi="宋体" w:eastAsia="宋体" w:cs="宋体"/>
          <w:spacing w:val="2"/>
          <w:sz w:val="24"/>
          <w:szCs w:val="24"/>
        </w:rPr>
        <w:t>模和结构。数据、信息、网络作为新的三个生</w:t>
      </w:r>
      <w:r>
        <w:rPr>
          <w:rFonts w:hint="eastAsia" w:ascii="宋体" w:hAnsi="宋体" w:eastAsia="宋体" w:cs="宋体"/>
          <w:spacing w:val="1"/>
          <w:sz w:val="24"/>
          <w:szCs w:val="24"/>
        </w:rPr>
        <w:t>产要素,因其自身的强渗透性、多</w:t>
      </w:r>
      <w:r>
        <w:rPr>
          <w:rFonts w:hint="eastAsia" w:ascii="宋体" w:hAnsi="宋体" w:eastAsia="宋体" w:cs="宋体"/>
          <w:spacing w:val="12"/>
          <w:sz w:val="24"/>
          <w:szCs w:val="24"/>
        </w:rPr>
        <w:t>兼容性、超时空性,便具备了整合传统生产力的能力,进而羽化成由数据生产</w:t>
      </w:r>
      <w:r>
        <w:rPr>
          <w:rFonts w:hint="eastAsia" w:ascii="宋体" w:hAnsi="宋体" w:eastAsia="宋体" w:cs="宋体"/>
          <w:spacing w:val="3"/>
          <w:sz w:val="24"/>
          <w:szCs w:val="24"/>
        </w:rPr>
        <w:t>力、信息生产力和网络生产力构成的新质生产力。</w:t>
      </w:r>
    </w:p>
    <w:p w14:paraId="200265E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spacing w:val="12"/>
          <w:sz w:val="24"/>
          <w:szCs w:val="24"/>
        </w:rPr>
        <w:t>二是以新科学技术引领新质生产力的提升。在基础研究中发现新科学,以新科学演绎新技术,以新技术全面推动新应用研究,进而使得从基础研</w:t>
      </w:r>
      <w:r>
        <w:rPr>
          <w:rFonts w:hint="eastAsia" w:ascii="宋体" w:hAnsi="宋体" w:eastAsia="宋体" w:cs="宋体"/>
          <w:spacing w:val="11"/>
          <w:sz w:val="24"/>
          <w:szCs w:val="24"/>
        </w:rPr>
        <w:t>究到</w:t>
      </w:r>
      <w:r>
        <w:rPr>
          <w:rFonts w:hint="eastAsia" w:ascii="宋体" w:hAnsi="宋体" w:eastAsia="宋体" w:cs="宋体"/>
          <w:spacing w:val="14"/>
          <w:sz w:val="24"/>
          <w:szCs w:val="24"/>
        </w:rPr>
        <w:t>应用研究经历多个环节,并构成高效运转的科技研发闭环</w:t>
      </w:r>
      <w:r>
        <w:rPr>
          <w:rFonts w:hint="eastAsia" w:ascii="宋体" w:hAnsi="宋体" w:eastAsia="宋体" w:cs="宋体"/>
          <w:spacing w:val="13"/>
          <w:sz w:val="24"/>
          <w:szCs w:val="24"/>
        </w:rPr>
        <w:t>。通过新科学转化</w:t>
      </w:r>
      <w:r>
        <w:rPr>
          <w:rFonts w:hint="eastAsia" w:ascii="宋体" w:hAnsi="宋体" w:eastAsia="宋体" w:cs="宋体"/>
          <w:spacing w:val="3"/>
          <w:sz w:val="24"/>
          <w:szCs w:val="24"/>
        </w:rPr>
        <w:t>路径的可行性探究、新科学之间耦合路径的尝试性探究、新自然科学与新社会</w:t>
      </w:r>
      <w:r>
        <w:rPr>
          <w:rFonts w:hint="eastAsia" w:ascii="宋体" w:hAnsi="宋体" w:eastAsia="宋体" w:cs="宋体"/>
          <w:spacing w:val="13"/>
          <w:sz w:val="24"/>
          <w:szCs w:val="24"/>
        </w:rPr>
        <w:t>科学交叉路径的关联性试验探究,实现引领性技术</w:t>
      </w:r>
      <w:r>
        <w:rPr>
          <w:rFonts w:hint="eastAsia" w:ascii="宋体" w:hAnsi="宋体" w:eastAsia="宋体" w:cs="宋体"/>
          <w:spacing w:val="12"/>
          <w:sz w:val="24"/>
          <w:szCs w:val="24"/>
        </w:rPr>
        <w:t>、颠覆性技术的关键性突</w:t>
      </w:r>
      <w:r>
        <w:rPr>
          <w:rFonts w:hint="eastAsia" w:ascii="宋体" w:hAnsi="宋体" w:eastAsia="宋体" w:cs="宋体"/>
          <w:spacing w:val="2"/>
          <w:sz w:val="24"/>
          <w:szCs w:val="24"/>
        </w:rPr>
        <w:t>破,建构信息技术、生物技术、绿色技术、</w:t>
      </w:r>
      <w:r>
        <w:rPr>
          <w:rFonts w:hint="eastAsia" w:ascii="宋体" w:hAnsi="宋体" w:eastAsia="宋体" w:cs="宋体"/>
          <w:spacing w:val="1"/>
          <w:sz w:val="24"/>
          <w:szCs w:val="24"/>
        </w:rPr>
        <w:t>算力技术、人工智能技术的超前性研</w:t>
      </w:r>
      <w:r>
        <w:rPr>
          <w:rFonts w:hint="eastAsia" w:ascii="宋体" w:hAnsi="宋体" w:eastAsia="宋体" w:cs="宋体"/>
          <w:spacing w:val="12"/>
          <w:sz w:val="24"/>
          <w:szCs w:val="24"/>
        </w:rPr>
        <w:t>发。在此基础上,把这些系统性新技术群运用到实体经济制造业领域,提</w:t>
      </w:r>
      <w:r>
        <w:rPr>
          <w:rFonts w:hint="eastAsia" w:ascii="宋体" w:hAnsi="宋体" w:eastAsia="宋体" w:cs="宋体"/>
          <w:spacing w:val="11"/>
          <w:sz w:val="24"/>
          <w:szCs w:val="24"/>
        </w:rPr>
        <w:t>高资源转化能力和转化效率;运用到生产经营管理中,提高数字化、信</w:t>
      </w:r>
      <w:r>
        <w:rPr>
          <w:rFonts w:hint="eastAsia" w:ascii="宋体" w:hAnsi="宋体" w:eastAsia="宋体" w:cs="宋体"/>
          <w:spacing w:val="10"/>
          <w:sz w:val="24"/>
          <w:szCs w:val="24"/>
        </w:rPr>
        <w:t>息化和智能</w:t>
      </w:r>
      <w:r>
        <w:rPr>
          <w:rFonts w:hint="eastAsia" w:ascii="宋体" w:hAnsi="宋体" w:eastAsia="宋体" w:cs="宋体"/>
          <w:spacing w:val="11"/>
          <w:sz w:val="24"/>
          <w:szCs w:val="24"/>
        </w:rPr>
        <w:t>化管理效能;运用到社会运行之中,降低公共产品高质量均质化服</w:t>
      </w:r>
      <w:r>
        <w:rPr>
          <w:rFonts w:hint="eastAsia" w:ascii="宋体" w:hAnsi="宋体" w:eastAsia="宋体" w:cs="宋体"/>
          <w:spacing w:val="10"/>
          <w:sz w:val="24"/>
          <w:szCs w:val="24"/>
        </w:rPr>
        <w:t>务成本。这表明,新科学技术不仅促进实体经济的动态高质量发展,而且还可以带动全社</w:t>
      </w:r>
      <w:r>
        <w:rPr>
          <w:rFonts w:hint="eastAsia" w:ascii="宋体" w:hAnsi="宋体" w:eastAsia="宋体" w:cs="宋体"/>
          <w:spacing w:val="12"/>
          <w:sz w:val="24"/>
          <w:szCs w:val="24"/>
        </w:rPr>
        <w:t>会整体生产力的普遍提升。这说明,以基础研发为底蕴的理论创</w:t>
      </w:r>
      <w:r>
        <w:rPr>
          <w:rFonts w:hint="eastAsia" w:ascii="宋体" w:hAnsi="宋体" w:eastAsia="宋体" w:cs="宋体"/>
          <w:spacing w:val="12"/>
          <w:sz w:val="24"/>
          <w:szCs w:val="24"/>
          <w:lang w:val="en-US" w:eastAsia="zh-CN"/>
        </w:rPr>
        <w:t>.</w:t>
      </w:r>
      <w:r>
        <w:rPr>
          <w:rFonts w:hint="eastAsia" w:ascii="宋体" w:hAnsi="宋体" w:eastAsia="宋体" w:cs="宋体"/>
          <w:spacing w:val="12"/>
          <w:sz w:val="24"/>
          <w:szCs w:val="24"/>
        </w:rPr>
        <w:t>新,是产</w:t>
      </w:r>
      <w:r>
        <w:rPr>
          <w:rFonts w:hint="eastAsia" w:ascii="宋体" w:hAnsi="宋体" w:eastAsia="宋体" w:cs="宋体"/>
          <w:spacing w:val="11"/>
          <w:sz w:val="24"/>
          <w:szCs w:val="24"/>
        </w:rPr>
        <w:t>生超</w:t>
      </w:r>
      <w:r>
        <w:rPr>
          <w:rFonts w:hint="eastAsia" w:ascii="宋体" w:hAnsi="宋体" w:eastAsia="宋体" w:cs="宋体"/>
          <w:spacing w:val="19"/>
          <w:sz w:val="24"/>
          <w:szCs w:val="24"/>
        </w:rPr>
        <w:t>前技术和关键技术的活水源头,是新质生产力产生、发展和形成的重要推</w:t>
      </w:r>
      <w:r>
        <w:rPr>
          <w:rFonts w:hint="eastAsia" w:ascii="宋体" w:hAnsi="宋体" w:eastAsia="宋体" w:cs="宋体"/>
          <w:spacing w:val="2"/>
          <w:sz w:val="24"/>
          <w:szCs w:val="24"/>
        </w:rPr>
        <w:t>动力。</w:t>
      </w:r>
    </w:p>
    <w:p w14:paraId="73C3158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eastAsia" w:ascii="宋体" w:hAnsi="宋体" w:eastAsia="宋体" w:cs="宋体"/>
          <w:sz w:val="24"/>
          <w:szCs w:val="24"/>
        </w:rPr>
      </w:pPr>
      <w:r>
        <w:rPr>
          <w:rFonts w:hint="eastAsia" w:ascii="宋体" w:hAnsi="宋体" w:eastAsia="宋体" w:cs="宋体"/>
          <w:spacing w:val="13"/>
          <w:sz w:val="24"/>
          <w:szCs w:val="24"/>
        </w:rPr>
        <w:t>三是以战略性新产业凝聚新质生产力的动能。首先,要明确现代产业体</w:t>
      </w:r>
      <w:r>
        <w:rPr>
          <w:rFonts w:hint="eastAsia" w:ascii="宋体" w:hAnsi="宋体" w:eastAsia="宋体" w:cs="宋体"/>
          <w:spacing w:val="3"/>
          <w:sz w:val="24"/>
          <w:szCs w:val="24"/>
        </w:rPr>
        <w:t>系内部结构的各自功能定位。基础设施产业、民生产业、战略性新兴产业</w:t>
      </w:r>
      <w:r>
        <w:rPr>
          <w:rFonts w:hint="eastAsia" w:ascii="宋体" w:hAnsi="宋体" w:eastAsia="宋体" w:cs="宋体"/>
          <w:spacing w:val="2"/>
          <w:sz w:val="24"/>
          <w:szCs w:val="24"/>
        </w:rPr>
        <w:t>、主</w:t>
      </w:r>
      <w:r>
        <w:rPr>
          <w:rFonts w:hint="eastAsia" w:ascii="宋体" w:hAnsi="宋体" w:eastAsia="宋体" w:cs="宋体"/>
          <w:spacing w:val="7"/>
          <w:sz w:val="24"/>
          <w:szCs w:val="24"/>
        </w:rPr>
        <w:t>导产业、未来产业各司其职。其次,要理性预测前瞻性战</w:t>
      </w:r>
      <w:r>
        <w:rPr>
          <w:rFonts w:hint="eastAsia" w:ascii="宋体" w:hAnsi="宋体" w:eastAsia="宋体" w:cs="宋体"/>
          <w:spacing w:val="6"/>
          <w:sz w:val="24"/>
          <w:szCs w:val="24"/>
        </w:rPr>
        <w:t>略产业主攻方向。战</w:t>
      </w:r>
      <w:r>
        <w:rPr>
          <w:rFonts w:hint="eastAsia" w:ascii="宋体" w:hAnsi="宋体" w:eastAsia="宋体" w:cs="宋体"/>
          <w:spacing w:val="7"/>
          <w:sz w:val="24"/>
          <w:szCs w:val="24"/>
        </w:rPr>
        <w:t>略性新兴产业一定是特定空间的掌控产业。就太空而言,太空育种业、太空通信业、太空军工产业都是前瞻性战略产业。就深海而言,深海勘探业、深海加</w:t>
      </w:r>
      <w:r>
        <w:rPr>
          <w:rFonts w:hint="eastAsia" w:ascii="宋体" w:hAnsi="宋体" w:eastAsia="宋体" w:cs="宋体"/>
          <w:spacing w:val="9"/>
          <w:sz w:val="24"/>
          <w:szCs w:val="24"/>
        </w:rPr>
        <w:t>工业、深海交通业等就是前瞻性战略产业。最后,要把握未来产业演进路径。</w:t>
      </w:r>
      <w:r>
        <w:rPr>
          <w:rFonts w:hint="eastAsia" w:ascii="宋体" w:hAnsi="宋体" w:eastAsia="宋体" w:cs="宋体"/>
          <w:spacing w:val="-3"/>
          <w:sz w:val="24"/>
          <w:szCs w:val="24"/>
        </w:rPr>
        <w:t>以新能源产业、类脑智能产业、量子信息通讯产业、基因生物产业、航空航天产</w:t>
      </w:r>
      <w:r>
        <w:rPr>
          <w:rFonts w:hint="eastAsia" w:ascii="宋体" w:hAnsi="宋体" w:eastAsia="宋体" w:cs="宋体"/>
          <w:spacing w:val="4"/>
          <w:sz w:val="24"/>
          <w:szCs w:val="24"/>
        </w:rPr>
        <w:t>业、深海装备产业作为未来产业依托,沿着新材料</w:t>
      </w:r>
      <w:r>
        <w:rPr>
          <w:rFonts w:hint="eastAsia" w:ascii="宋体" w:hAnsi="宋体" w:eastAsia="宋体" w:cs="宋体"/>
          <w:spacing w:val="3"/>
          <w:sz w:val="24"/>
          <w:szCs w:val="24"/>
        </w:rPr>
        <w:t>、新介质、新微观世界单元、</w:t>
      </w:r>
      <w:r>
        <w:rPr>
          <w:rFonts w:hint="eastAsia" w:ascii="宋体" w:hAnsi="宋体" w:eastAsia="宋体" w:cs="宋体"/>
          <w:spacing w:val="7"/>
          <w:sz w:val="24"/>
          <w:szCs w:val="24"/>
        </w:rPr>
        <w:t>新宏观集成整体架构、新网络连接形式的全新设计思路,构筑未来产业的突破</w:t>
      </w:r>
      <w:r>
        <w:rPr>
          <w:rFonts w:hint="eastAsia" w:ascii="宋体" w:hAnsi="宋体" w:eastAsia="宋体" w:cs="宋体"/>
          <w:spacing w:val="14"/>
          <w:sz w:val="24"/>
          <w:szCs w:val="24"/>
        </w:rPr>
        <w:t>思路和明确未来产业研发方向,探索单个产业独立型</w:t>
      </w:r>
      <w:r>
        <w:rPr>
          <w:rFonts w:hint="eastAsia" w:ascii="宋体" w:hAnsi="宋体" w:eastAsia="宋体" w:cs="宋体"/>
          <w:spacing w:val="13"/>
          <w:sz w:val="24"/>
          <w:szCs w:val="24"/>
        </w:rPr>
        <w:t>芯片向多个产业兼容型</w:t>
      </w:r>
      <w:r>
        <w:rPr>
          <w:rFonts w:hint="eastAsia" w:ascii="宋体" w:hAnsi="宋体" w:eastAsia="宋体" w:cs="宋体"/>
          <w:spacing w:val="12"/>
          <w:sz w:val="24"/>
          <w:szCs w:val="24"/>
        </w:rPr>
        <w:t>芯片转化方式,力争通过全产业链布局空间国产化集成,来实现产业</w:t>
      </w:r>
      <w:r>
        <w:rPr>
          <w:rFonts w:hint="eastAsia" w:ascii="宋体" w:hAnsi="宋体" w:eastAsia="宋体" w:cs="宋体"/>
          <w:spacing w:val="11"/>
          <w:sz w:val="24"/>
          <w:szCs w:val="24"/>
        </w:rPr>
        <w:t>连续升级</w:t>
      </w:r>
      <w:r>
        <w:rPr>
          <w:rFonts w:hint="eastAsia" w:ascii="宋体" w:hAnsi="宋体" w:eastAsia="宋体" w:cs="宋体"/>
          <w:spacing w:val="2"/>
          <w:sz w:val="24"/>
          <w:szCs w:val="24"/>
        </w:rPr>
        <w:t>向产业迭代升级的根本性转变。新勘探产业、新材料产业、新能源产业、新制</w:t>
      </w:r>
      <w:r>
        <w:rPr>
          <w:rFonts w:hint="eastAsia" w:ascii="宋体" w:hAnsi="宋体" w:eastAsia="宋体" w:cs="宋体"/>
          <w:spacing w:val="3"/>
          <w:sz w:val="24"/>
          <w:szCs w:val="24"/>
        </w:rPr>
        <w:t>造产业、太空通信业等成为新质生产力的新动能。</w:t>
      </w:r>
    </w:p>
    <w:p w14:paraId="483642C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宋体" w:hAnsi="宋体" w:eastAsia="宋体" w:cs="宋体"/>
          <w:sz w:val="24"/>
          <w:szCs w:val="24"/>
        </w:rPr>
      </w:pPr>
      <w:r>
        <w:rPr>
          <w:rFonts w:hint="eastAsia" w:ascii="宋体" w:hAnsi="宋体" w:eastAsia="宋体" w:cs="宋体"/>
          <w:spacing w:val="2"/>
          <w:sz w:val="24"/>
          <w:szCs w:val="24"/>
        </w:rPr>
        <w:t>四是以新赛道培育新质生产力的新场域。新赛道</w:t>
      </w:r>
      <w:r>
        <w:rPr>
          <w:rFonts w:hint="eastAsia" w:ascii="宋体" w:hAnsi="宋体" w:eastAsia="宋体" w:cs="宋体"/>
          <w:spacing w:val="1"/>
          <w:sz w:val="24"/>
          <w:szCs w:val="24"/>
        </w:rPr>
        <w:t>需要新机制、新主体、新</w:t>
      </w:r>
      <w:r>
        <w:rPr>
          <w:rFonts w:hint="eastAsia" w:ascii="宋体" w:hAnsi="宋体" w:eastAsia="宋体" w:cs="宋体"/>
          <w:spacing w:val="7"/>
          <w:sz w:val="24"/>
          <w:szCs w:val="24"/>
        </w:rPr>
        <w:t>动力、新场景的通力合作与协同推进。新机制是孕育新赛道的源头,新机制包</w:t>
      </w:r>
      <w:r>
        <w:rPr>
          <w:rFonts w:hint="eastAsia" w:ascii="宋体" w:hAnsi="宋体" w:eastAsia="宋体" w:cs="宋体"/>
          <w:spacing w:val="2"/>
          <w:sz w:val="24"/>
          <w:szCs w:val="24"/>
        </w:rPr>
        <w:t>括新资源创新机制、新收入分配机制、新社会流动机制、新经营机制。新赛道</w:t>
      </w:r>
      <w:r>
        <w:rPr>
          <w:rFonts w:hint="eastAsia" w:ascii="宋体" w:hAnsi="宋体" w:eastAsia="宋体" w:cs="宋体"/>
          <w:spacing w:val="13"/>
          <w:sz w:val="24"/>
          <w:szCs w:val="24"/>
        </w:rPr>
        <w:t>上的新主体是新质生产力的新生力量,是第四次产业革命的领跑者。</w:t>
      </w:r>
      <w:r>
        <w:rPr>
          <w:rFonts w:hint="eastAsia" w:ascii="宋体" w:hAnsi="宋体" w:eastAsia="宋体" w:cs="宋体"/>
          <w:spacing w:val="12"/>
          <w:sz w:val="24"/>
          <w:szCs w:val="24"/>
        </w:rPr>
        <w:t>新动力</w:t>
      </w:r>
      <w:r>
        <w:rPr>
          <w:rFonts w:hint="eastAsia" w:ascii="宋体" w:hAnsi="宋体" w:eastAsia="宋体" w:cs="宋体"/>
          <w:spacing w:val="13"/>
          <w:sz w:val="24"/>
          <w:szCs w:val="24"/>
        </w:rPr>
        <w:t>是新赛道得以开拓的新能量,是确保新赛道能量充足可持续延展的源泉。新</w:t>
      </w:r>
      <w:r>
        <w:rPr>
          <w:rFonts w:hint="eastAsia" w:ascii="宋体" w:hAnsi="宋体" w:eastAsia="宋体" w:cs="宋体"/>
          <w:spacing w:val="14"/>
          <w:sz w:val="24"/>
          <w:szCs w:val="24"/>
        </w:rPr>
        <w:t>场景是新赛道的空间载体,是新质生产力具体实施领域</w:t>
      </w:r>
      <w:r>
        <w:rPr>
          <w:rFonts w:hint="eastAsia" w:ascii="宋体" w:hAnsi="宋体" w:eastAsia="宋体" w:cs="宋体"/>
          <w:spacing w:val="13"/>
          <w:sz w:val="24"/>
          <w:szCs w:val="24"/>
        </w:rPr>
        <w:t>的优先选择视阈。具</w:t>
      </w:r>
      <w:r>
        <w:rPr>
          <w:rFonts w:hint="eastAsia" w:ascii="宋体" w:hAnsi="宋体" w:eastAsia="宋体" w:cs="宋体"/>
          <w:spacing w:val="12"/>
          <w:sz w:val="24"/>
          <w:szCs w:val="24"/>
        </w:rPr>
        <w:t>体而言,运用资源创新机制激活人才队伍中的新创新主体,运用新收入</w:t>
      </w:r>
      <w:r>
        <w:rPr>
          <w:rFonts w:hint="eastAsia" w:ascii="宋体" w:hAnsi="宋体" w:eastAsia="宋体" w:cs="宋体"/>
          <w:spacing w:val="11"/>
          <w:sz w:val="24"/>
          <w:szCs w:val="24"/>
        </w:rPr>
        <w:t>和财富</w:t>
      </w:r>
      <w:r>
        <w:rPr>
          <w:rFonts w:hint="eastAsia" w:ascii="宋体" w:hAnsi="宋体" w:eastAsia="宋体" w:cs="宋体"/>
          <w:spacing w:val="13"/>
          <w:sz w:val="24"/>
          <w:szCs w:val="24"/>
        </w:rPr>
        <w:t>分配机制激发具备科技创新优势的多层级科</w:t>
      </w:r>
      <w:r>
        <w:rPr>
          <w:rFonts w:hint="eastAsia" w:ascii="宋体" w:hAnsi="宋体" w:eastAsia="宋体" w:cs="宋体"/>
          <w:spacing w:val="12"/>
          <w:sz w:val="24"/>
          <w:szCs w:val="24"/>
        </w:rPr>
        <w:t>技创新中心释放新动力,运用新</w:t>
      </w:r>
      <w:r>
        <w:rPr>
          <w:rFonts w:hint="eastAsia" w:ascii="宋体" w:hAnsi="宋体" w:eastAsia="宋体" w:cs="宋体"/>
          <w:spacing w:val="14"/>
          <w:sz w:val="24"/>
          <w:szCs w:val="24"/>
        </w:rPr>
        <w:t>社会流动机制激励创新集群低成本运行实现高效率,运</w:t>
      </w:r>
      <w:r>
        <w:rPr>
          <w:rFonts w:hint="eastAsia" w:ascii="宋体" w:hAnsi="宋体" w:eastAsia="宋体" w:cs="宋体"/>
          <w:spacing w:val="13"/>
          <w:sz w:val="24"/>
          <w:szCs w:val="24"/>
        </w:rPr>
        <w:t>用新经营机制发现新</w:t>
      </w:r>
      <w:r>
        <w:rPr>
          <w:rFonts w:hint="eastAsia" w:ascii="宋体" w:hAnsi="宋体" w:eastAsia="宋体" w:cs="宋体"/>
          <w:spacing w:val="14"/>
          <w:sz w:val="24"/>
          <w:szCs w:val="24"/>
        </w:rPr>
        <w:t>场景融合虚拟现实创新构筑数字化产业新基地,再通过</w:t>
      </w:r>
      <w:r>
        <w:rPr>
          <w:rFonts w:hint="eastAsia" w:ascii="宋体" w:hAnsi="宋体" w:eastAsia="宋体" w:cs="宋体"/>
          <w:spacing w:val="13"/>
          <w:sz w:val="24"/>
          <w:szCs w:val="24"/>
        </w:rPr>
        <w:t>新主体在新动力作用</w:t>
      </w:r>
      <w:r>
        <w:rPr>
          <w:rFonts w:hint="eastAsia" w:ascii="宋体" w:hAnsi="宋体" w:eastAsia="宋体" w:cs="宋体"/>
          <w:spacing w:val="12"/>
          <w:sz w:val="24"/>
          <w:szCs w:val="24"/>
        </w:rPr>
        <w:t>下发现更多新场景,从而提高新的微观效率和整体绩效。这充分说明,</w:t>
      </w:r>
      <w:r>
        <w:rPr>
          <w:rFonts w:hint="eastAsia" w:ascii="宋体" w:hAnsi="宋体" w:eastAsia="宋体" w:cs="宋体"/>
          <w:spacing w:val="11"/>
          <w:sz w:val="24"/>
          <w:szCs w:val="24"/>
        </w:rPr>
        <w:t>只有在</w:t>
      </w:r>
      <w:r>
        <w:rPr>
          <w:rFonts w:hint="eastAsia" w:ascii="宋体" w:hAnsi="宋体" w:eastAsia="宋体" w:cs="宋体"/>
          <w:spacing w:val="6"/>
          <w:sz w:val="24"/>
          <w:szCs w:val="24"/>
        </w:rPr>
        <w:t>新机制、新主体、新场景、新动力共同作用下,才能开辟出新赛道,</w:t>
      </w:r>
      <w:r>
        <w:rPr>
          <w:rFonts w:hint="eastAsia" w:ascii="宋体" w:hAnsi="宋体" w:eastAsia="宋体" w:cs="宋体"/>
          <w:spacing w:val="5"/>
          <w:sz w:val="24"/>
          <w:szCs w:val="24"/>
        </w:rPr>
        <w:t>才会形成新</w:t>
      </w:r>
      <w:r>
        <w:rPr>
          <w:rFonts w:hint="eastAsia" w:ascii="宋体" w:hAnsi="宋体" w:eastAsia="宋体" w:cs="宋体"/>
          <w:spacing w:val="7"/>
          <w:sz w:val="24"/>
          <w:szCs w:val="24"/>
        </w:rPr>
        <w:t>质生产力发展的场域载体。</w:t>
      </w:r>
    </w:p>
    <w:p w14:paraId="0C4E73E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spacing w:val="9"/>
          <w:sz w:val="24"/>
          <w:szCs w:val="24"/>
        </w:rPr>
        <w:t>五是以新思想新力量赢得新质生产力的战略主动权。新的国</w:t>
      </w:r>
      <w:r>
        <w:rPr>
          <w:rFonts w:hint="eastAsia" w:ascii="宋体" w:hAnsi="宋体" w:eastAsia="宋体" w:cs="宋体"/>
          <w:spacing w:val="8"/>
          <w:sz w:val="24"/>
          <w:szCs w:val="24"/>
        </w:rPr>
        <w:t>际形势要求</w:t>
      </w:r>
      <w:r>
        <w:rPr>
          <w:rFonts w:hint="eastAsia" w:ascii="宋体" w:hAnsi="宋体" w:eastAsia="宋体" w:cs="宋体"/>
          <w:spacing w:val="14"/>
          <w:sz w:val="24"/>
          <w:szCs w:val="24"/>
        </w:rPr>
        <w:t>我们在习近平新时代中国特色社会主义思想的指引下,在</w:t>
      </w:r>
      <w:r>
        <w:rPr>
          <w:rFonts w:hint="eastAsia" w:ascii="宋体" w:hAnsi="宋体" w:eastAsia="宋体" w:cs="宋体"/>
          <w:spacing w:val="13"/>
          <w:sz w:val="24"/>
          <w:szCs w:val="24"/>
        </w:rPr>
        <w:t>中国共产党的全面</w:t>
      </w:r>
      <w:r>
        <w:rPr>
          <w:rFonts w:hint="eastAsia" w:ascii="宋体" w:hAnsi="宋体" w:eastAsia="宋体" w:cs="宋体"/>
          <w:spacing w:val="12"/>
          <w:sz w:val="24"/>
          <w:szCs w:val="24"/>
        </w:rPr>
        <w:t>领导下,从中华优秀传统文化蕴藏的丰富思想中汲取大智慧,围绕国家战</w:t>
      </w:r>
      <w:r>
        <w:rPr>
          <w:rFonts w:hint="eastAsia" w:ascii="宋体" w:hAnsi="宋体" w:eastAsia="宋体" w:cs="宋体"/>
          <w:spacing w:val="11"/>
          <w:sz w:val="24"/>
          <w:szCs w:val="24"/>
        </w:rPr>
        <w:t>略生</w:t>
      </w:r>
      <w:r>
        <w:rPr>
          <w:rFonts w:hint="eastAsia" w:ascii="宋体" w:hAnsi="宋体" w:eastAsia="宋体" w:cs="宋体"/>
          <w:spacing w:val="3"/>
          <w:sz w:val="24"/>
          <w:szCs w:val="24"/>
        </w:rPr>
        <w:t>存需求和国家经济社会长远发展进行布局谋篇。通过准确识变、科学应变、主</w:t>
      </w:r>
      <w:r>
        <w:rPr>
          <w:rFonts w:hint="eastAsia" w:ascii="宋体" w:hAnsi="宋体" w:eastAsia="宋体" w:cs="宋体"/>
          <w:spacing w:val="12"/>
          <w:sz w:val="24"/>
          <w:szCs w:val="24"/>
        </w:rPr>
        <w:t>动求变,明确国家可持续发展的战略目标和策略方式,推进新质生产力的</w:t>
      </w:r>
      <w:r>
        <w:rPr>
          <w:rFonts w:hint="eastAsia" w:ascii="宋体" w:hAnsi="宋体" w:eastAsia="宋体" w:cs="宋体"/>
          <w:spacing w:val="11"/>
          <w:sz w:val="24"/>
          <w:szCs w:val="24"/>
        </w:rPr>
        <w:t>高效</w:t>
      </w:r>
      <w:r>
        <w:rPr>
          <w:rFonts w:hint="eastAsia" w:ascii="宋体" w:hAnsi="宋体" w:eastAsia="宋体" w:cs="宋体"/>
          <w:spacing w:val="9"/>
          <w:sz w:val="24"/>
          <w:szCs w:val="24"/>
        </w:rPr>
        <w:t>发展和生产关系改革创新的同频共振。在激发中华民族共同体的内生动力前</w:t>
      </w:r>
      <w:r>
        <w:rPr>
          <w:rFonts w:hint="eastAsia" w:ascii="宋体" w:hAnsi="宋体" w:eastAsia="宋体" w:cs="宋体"/>
          <w:spacing w:val="6"/>
          <w:sz w:val="24"/>
          <w:szCs w:val="24"/>
        </w:rPr>
        <w:t>提下,通过“一体多元”中华民族共同体新力量的勠力同心合作,发挥</w:t>
      </w:r>
      <w:r>
        <w:rPr>
          <w:rFonts w:hint="eastAsia" w:ascii="宋体" w:hAnsi="宋体" w:eastAsia="宋体" w:cs="宋体"/>
          <w:spacing w:val="5"/>
          <w:sz w:val="24"/>
          <w:szCs w:val="24"/>
        </w:rPr>
        <w:t>各级党组</w:t>
      </w:r>
      <w:r>
        <w:rPr>
          <w:rFonts w:hint="eastAsia" w:ascii="宋体" w:hAnsi="宋体" w:eastAsia="宋体" w:cs="宋体"/>
          <w:spacing w:val="12"/>
          <w:sz w:val="24"/>
          <w:szCs w:val="24"/>
        </w:rPr>
        <w:t>织和各级各类人才的聪明智慧,牢牢把握新质生产力演变规律,利用第四</w:t>
      </w:r>
      <w:r>
        <w:rPr>
          <w:rFonts w:hint="eastAsia" w:ascii="宋体" w:hAnsi="宋体" w:eastAsia="宋体" w:cs="宋体"/>
          <w:spacing w:val="11"/>
          <w:sz w:val="24"/>
          <w:szCs w:val="24"/>
        </w:rPr>
        <w:t>次产</w:t>
      </w:r>
      <w:r>
        <w:rPr>
          <w:rFonts w:hint="eastAsia" w:ascii="宋体" w:hAnsi="宋体" w:eastAsia="宋体" w:cs="宋体"/>
          <w:spacing w:val="13"/>
          <w:sz w:val="24"/>
          <w:szCs w:val="24"/>
        </w:rPr>
        <w:t>业革命的时代机遇,抓住各种经济周期叠加带来的发展机遇。要掌控新质生</w:t>
      </w:r>
      <w:r>
        <w:rPr>
          <w:rFonts w:hint="eastAsia" w:ascii="宋体" w:hAnsi="宋体" w:eastAsia="宋体" w:cs="宋体"/>
          <w:spacing w:val="14"/>
          <w:sz w:val="24"/>
          <w:szCs w:val="24"/>
        </w:rPr>
        <w:t>产力发展的战略主动权,力争在激烈的国际竞争中赢得我</w:t>
      </w:r>
      <w:r>
        <w:rPr>
          <w:rFonts w:hint="eastAsia" w:ascii="宋体" w:hAnsi="宋体" w:eastAsia="宋体" w:cs="宋体"/>
          <w:spacing w:val="13"/>
          <w:sz w:val="24"/>
          <w:szCs w:val="24"/>
        </w:rPr>
        <w:t>国长期的科技创新</w:t>
      </w:r>
      <w:r>
        <w:rPr>
          <w:rFonts w:hint="eastAsia" w:ascii="宋体" w:hAnsi="宋体" w:eastAsia="宋体" w:cs="宋体"/>
          <w:spacing w:val="8"/>
          <w:sz w:val="24"/>
          <w:szCs w:val="24"/>
        </w:rPr>
        <w:t>和自主知识产权优势,从而加速实现国计民生智能化和中国式现代化。</w:t>
      </w:r>
    </w:p>
    <w:p w14:paraId="2C21947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eastAsia" w:ascii="宋体" w:hAnsi="宋体" w:eastAsia="宋体" w:cs="宋体"/>
          <w:sz w:val="24"/>
          <w:szCs w:val="24"/>
        </w:rPr>
      </w:pPr>
      <w:r>
        <w:rPr>
          <w:rFonts w:hint="eastAsia" w:ascii="宋体" w:hAnsi="宋体" w:eastAsia="宋体" w:cs="宋体"/>
          <w:spacing w:val="3"/>
          <w:sz w:val="24"/>
          <w:szCs w:val="24"/>
        </w:rPr>
        <w:t>(摘自《北京日报》2023年</w:t>
      </w:r>
      <w:r>
        <w:rPr>
          <w:rFonts w:hint="eastAsia" w:ascii="宋体" w:hAnsi="宋体" w:eastAsia="宋体" w:cs="宋体"/>
          <w:spacing w:val="3"/>
          <w:position w:val="-2"/>
          <w:sz w:val="24"/>
          <w:szCs w:val="24"/>
        </w:rPr>
        <w:t>11</w:t>
      </w:r>
      <w:r>
        <w:rPr>
          <w:rFonts w:hint="eastAsia" w:ascii="宋体" w:hAnsi="宋体" w:eastAsia="宋体" w:cs="宋体"/>
          <w:spacing w:val="3"/>
          <w:sz w:val="24"/>
          <w:szCs w:val="24"/>
        </w:rPr>
        <w:t>月</w:t>
      </w:r>
      <w:r>
        <w:rPr>
          <w:rFonts w:hint="eastAsia" w:ascii="宋体" w:hAnsi="宋体" w:eastAsia="宋体" w:cs="宋体"/>
          <w:spacing w:val="3"/>
          <w:position w:val="-2"/>
          <w:sz w:val="24"/>
          <w:szCs w:val="24"/>
        </w:rPr>
        <w:t>20</w:t>
      </w:r>
      <w:r>
        <w:rPr>
          <w:rFonts w:hint="eastAsia" w:ascii="宋体" w:hAnsi="宋体" w:eastAsia="宋体" w:cs="宋体"/>
          <w:spacing w:val="3"/>
          <w:sz w:val="24"/>
          <w:szCs w:val="24"/>
        </w:rPr>
        <w:t>日,原文标题为《在国内外</w:t>
      </w:r>
      <w:r>
        <w:rPr>
          <w:rFonts w:hint="eastAsia" w:ascii="宋体" w:hAnsi="宋体" w:eastAsia="宋体" w:cs="宋体"/>
          <w:spacing w:val="2"/>
          <w:sz w:val="24"/>
          <w:szCs w:val="24"/>
        </w:rPr>
        <w:t>新形势下经济发展的新</w:t>
      </w:r>
      <w:r>
        <w:rPr>
          <w:rFonts w:hint="eastAsia" w:ascii="宋体" w:hAnsi="宋体" w:eastAsia="宋体" w:cs="宋体"/>
          <w:spacing w:val="14"/>
          <w:sz w:val="24"/>
          <w:szCs w:val="24"/>
        </w:rPr>
        <w:t>战略选择</w:t>
      </w:r>
      <w:r>
        <w:rPr>
          <w:rFonts w:hint="eastAsia" w:ascii="宋体" w:hAnsi="宋体" w:eastAsia="宋体" w:cs="宋体"/>
          <w:b/>
          <w:bCs/>
          <w:spacing w:val="14"/>
          <w:sz w:val="24"/>
          <w:szCs w:val="24"/>
        </w:rPr>
        <w:t>—</w:t>
      </w:r>
      <w:r>
        <w:rPr>
          <w:rFonts w:hint="eastAsia" w:ascii="宋体" w:hAnsi="宋体" w:eastAsia="宋体" w:cs="宋体"/>
          <w:spacing w:val="14"/>
          <w:sz w:val="24"/>
          <w:szCs w:val="24"/>
        </w:rPr>
        <w:t>大力发展新质生产力》)</w:t>
      </w:r>
    </w:p>
    <w:p w14:paraId="59722F0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lang w:eastAsia="zh-CN"/>
        </w:rPr>
      </w:pPr>
      <w:r>
        <w:rPr>
          <w:rFonts w:hint="eastAsia" w:cs="宋体"/>
          <w:sz w:val="24"/>
          <w:szCs w:val="24"/>
          <w:lang w:eastAsia="zh-CN"/>
        </w:rPr>
        <w:t>（</w:t>
      </w:r>
      <w:r>
        <w:rPr>
          <w:rFonts w:hint="eastAsia" w:cs="宋体"/>
          <w:sz w:val="24"/>
          <w:szCs w:val="24"/>
          <w:lang w:val="en-US" w:eastAsia="zh-CN"/>
        </w:rPr>
        <w:t>原载《海派经济学》2024年第1期，第二作者为刘美平。</w:t>
      </w:r>
      <w:r>
        <w:rPr>
          <w:rFonts w:hint="eastAsia" w:cs="宋体"/>
          <w:sz w:val="24"/>
          <w:szCs w:val="24"/>
          <w:lang w:eastAsia="zh-CN"/>
        </w:rPr>
        <w:t>）</w:t>
      </w:r>
    </w:p>
    <w:p w14:paraId="3EAF5FE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609ED79B">
      <w:pPr>
        <w:pStyle w:val="3"/>
        <w:bidi w:val="0"/>
        <w:rPr>
          <w:rFonts w:hint="default"/>
        </w:rPr>
      </w:pPr>
      <w:bookmarkStart w:id="576" w:name="_Toc1932855987"/>
      <w:bookmarkStart w:id="577" w:name="_Toc20267"/>
      <w:bookmarkStart w:id="578" w:name="_Toc1343306553"/>
      <w:bookmarkStart w:id="579" w:name="_Toc1553049792"/>
      <w:bookmarkStart w:id="580" w:name="_Toc420299463"/>
      <w:bookmarkStart w:id="581" w:name="_Toc731062938"/>
      <w:r>
        <w:rPr>
          <w:rFonts w:hint="eastAsia"/>
          <w:lang w:val="en-US" w:eastAsia="zh-CN"/>
        </w:rPr>
        <w:t>13</w:t>
      </w:r>
      <w:r>
        <w:rPr>
          <w:rFonts w:hint="default"/>
        </w:rPr>
        <w:t>列宁晚年对合作制的战略构想及其当代启示</w:t>
      </w:r>
      <w:bookmarkEnd w:id="576"/>
      <w:bookmarkEnd w:id="577"/>
      <w:bookmarkEnd w:id="578"/>
      <w:bookmarkEnd w:id="579"/>
      <w:bookmarkEnd w:id="580"/>
      <w:bookmarkEnd w:id="581"/>
    </w:p>
    <w:p w14:paraId="3E7898A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0D4E6C9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3D02B31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[摘要]列宁晚年对社会主义建设道路的探索经历了四重理论逻辑转换，在不断深化对新经济政</w:t>
      </w:r>
      <w:r>
        <w:rPr>
          <w:rFonts w:hint="default" w:ascii="Times New Roman" w:hAnsi="Times New Roman" w:eastAsia="宋体" w:cs="Times New Roman"/>
          <w:color w:val="231F20"/>
          <w:spacing w:val="7"/>
          <w:sz w:val="24"/>
          <w:szCs w:val="24"/>
        </w:rPr>
        <w:t>策思考的</w:t>
      </w:r>
      <w:r>
        <w:rPr>
          <w:rFonts w:hint="default" w:ascii="Times New Roman" w:hAnsi="Times New Roman" w:eastAsia="宋体" w:cs="Times New Roman"/>
          <w:color w:val="231F20"/>
          <w:spacing w:val="3"/>
          <w:sz w:val="24"/>
          <w:szCs w:val="24"/>
        </w:rPr>
        <w:t>基础上，提出了合作制战略构想，主要内涵包括：以确保工农联盟为逻辑起点、以苏维埃政权与新经济政策</w:t>
      </w:r>
      <w:r>
        <w:rPr>
          <w:rFonts w:hint="default" w:ascii="Times New Roman" w:hAnsi="Times New Roman" w:eastAsia="宋体" w:cs="Times New Roman"/>
          <w:color w:val="231F20"/>
          <w:spacing w:val="1"/>
          <w:sz w:val="24"/>
          <w:szCs w:val="24"/>
        </w:rPr>
        <w:t>为双前提、以农民合作化为主要任务、以文化革</w:t>
      </w:r>
      <w:r>
        <w:rPr>
          <w:rFonts w:hint="default" w:ascii="Times New Roman" w:hAnsi="Times New Roman" w:eastAsia="宋体" w:cs="Times New Roman"/>
          <w:color w:val="231F20"/>
          <w:sz w:val="24"/>
          <w:szCs w:val="24"/>
        </w:rPr>
        <w:t>命和国家机关改造为工作重心、以“审慎迂回”为斗争策略。</w:t>
      </w:r>
      <w:r>
        <w:rPr>
          <w:rFonts w:hint="default" w:ascii="Times New Roman" w:hAnsi="Times New Roman" w:eastAsia="宋体" w:cs="Times New Roman"/>
          <w:color w:val="231F20"/>
          <w:spacing w:val="7"/>
          <w:sz w:val="24"/>
          <w:szCs w:val="24"/>
        </w:rPr>
        <w:t>中国特色社会主义进入新时代，有必要汲取列宁晚年探索合作制战略构想的有益经</w:t>
      </w:r>
      <w:r>
        <w:rPr>
          <w:rFonts w:hint="default" w:ascii="Times New Roman" w:hAnsi="Times New Roman" w:eastAsia="宋体" w:cs="Times New Roman"/>
          <w:color w:val="231F20"/>
          <w:spacing w:val="6"/>
          <w:sz w:val="24"/>
          <w:szCs w:val="24"/>
        </w:rPr>
        <w:t>验，深化对改革开放及</w:t>
      </w:r>
      <w:r>
        <w:rPr>
          <w:rFonts w:hint="default" w:ascii="Times New Roman" w:hAnsi="Times New Roman" w:eastAsia="宋体" w:cs="Times New Roman"/>
          <w:color w:val="231F20"/>
          <w:spacing w:val="7"/>
          <w:sz w:val="24"/>
          <w:szCs w:val="24"/>
        </w:rPr>
        <w:t>社会主义市场经济条件下建设社会主义的规律性认识，深入推进中国式现代化，坚</w:t>
      </w:r>
      <w:r>
        <w:rPr>
          <w:rFonts w:hint="default" w:ascii="Times New Roman" w:hAnsi="Times New Roman" w:eastAsia="宋体" w:cs="Times New Roman"/>
          <w:color w:val="231F20"/>
          <w:spacing w:val="6"/>
          <w:sz w:val="24"/>
          <w:szCs w:val="24"/>
        </w:rPr>
        <w:t>持和发展中国特色社会主义伟大事业。</w:t>
      </w:r>
    </w:p>
    <w:p w14:paraId="670EC72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[关键词]列宁经济思想；合作制；新经济政策；</w:t>
      </w:r>
      <w:r>
        <w:rPr>
          <w:rFonts w:hint="default" w:ascii="Times New Roman" w:hAnsi="Times New Roman" w:eastAsia="宋体" w:cs="Times New Roman"/>
          <w:color w:val="231F20"/>
          <w:spacing w:val="-3"/>
          <w:sz w:val="24"/>
          <w:szCs w:val="24"/>
        </w:rPr>
        <w:t>股份合作制；政治经济学理论</w:t>
      </w:r>
    </w:p>
    <w:p w14:paraId="7EB5857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336E0D0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8" w:firstLineChars="200"/>
        <w:jc w:val="both"/>
        <w:textAlignment w:val="baseline"/>
        <w:rPr>
          <w:rFonts w:hint="default" w:ascii="Times New Roman" w:hAnsi="Times New Roman" w:eastAsia="宋体" w:cs="Times New Roman"/>
          <w:color w:val="231F20"/>
          <w:spacing w:val="16"/>
          <w:sz w:val="24"/>
          <w:szCs w:val="24"/>
          <w:lang w:eastAsia="zh-CN"/>
        </w:rPr>
      </w:pPr>
      <w:r>
        <w:rPr>
          <w:rFonts w:hint="default" w:ascii="Times New Roman" w:hAnsi="Times New Roman" w:eastAsia="宋体" w:cs="Times New Roman"/>
          <w:color w:val="231F20"/>
          <w:spacing w:val="17"/>
          <w:sz w:val="24"/>
          <w:szCs w:val="24"/>
        </w:rPr>
        <w:t>列宁领导社会主义从理论到实践、从革</w:t>
      </w:r>
      <w:r>
        <w:rPr>
          <w:rFonts w:hint="default" w:ascii="Times New Roman" w:hAnsi="Times New Roman" w:eastAsia="宋体" w:cs="Times New Roman"/>
          <w:color w:val="231F20"/>
          <w:spacing w:val="18"/>
          <w:sz w:val="24"/>
          <w:szCs w:val="24"/>
        </w:rPr>
        <w:t>命到建设的重大历史转变，对社会主义建设的探索也经历了不同发展阶段，留下了多面</w:t>
      </w:r>
      <w:r>
        <w:rPr>
          <w:rFonts w:hint="default" w:ascii="Times New Roman" w:hAnsi="Times New Roman" w:eastAsia="宋体" w:cs="Times New Roman"/>
          <w:color w:val="231F20"/>
          <w:spacing w:val="16"/>
          <w:sz w:val="24"/>
          <w:szCs w:val="24"/>
        </w:rPr>
        <w:t>向的宝贵探索经验。邓小平称赞</w:t>
      </w:r>
      <w:r>
        <w:rPr>
          <w:rFonts w:hint="default" w:ascii="Times New Roman" w:hAnsi="Times New Roman" w:eastAsia="宋体" w:cs="Times New Roman"/>
          <w:color w:val="231F20"/>
          <w:spacing w:val="16"/>
          <w:sz w:val="24"/>
          <w:szCs w:val="24"/>
          <w:lang w:eastAsia="zh-CN"/>
        </w:rPr>
        <w:t>“</w:t>
      </w:r>
      <w:r>
        <w:rPr>
          <w:rFonts w:hint="default" w:ascii="Times New Roman" w:hAnsi="Times New Roman" w:eastAsia="宋体" w:cs="Times New Roman"/>
          <w:color w:val="231F20"/>
          <w:spacing w:val="16"/>
          <w:sz w:val="24"/>
          <w:szCs w:val="24"/>
        </w:rPr>
        <w:t>可能列宁</w:t>
      </w:r>
      <w:r>
        <w:rPr>
          <w:rFonts w:hint="default" w:ascii="Times New Roman" w:hAnsi="Times New Roman" w:eastAsia="宋体" w:cs="Times New Roman"/>
          <w:color w:val="231F20"/>
          <w:spacing w:val="9"/>
          <w:sz w:val="24"/>
          <w:szCs w:val="24"/>
        </w:rPr>
        <w:t>的思路比较好，搞了个新经济政策</w:t>
      </w:r>
      <w:r>
        <w:rPr>
          <w:rFonts w:hint="default" w:ascii="Times New Roman" w:hAnsi="Times New Roman" w:eastAsia="宋体" w:cs="Times New Roman"/>
          <w:color w:val="231F20"/>
          <w:spacing w:val="16"/>
          <w:sz w:val="24"/>
          <w:szCs w:val="24"/>
          <w:lang w:eastAsia="zh-CN"/>
        </w:rPr>
        <w:t>”</w:t>
      </w:r>
      <w:r>
        <w:rPr>
          <w:rFonts w:hint="default" w:ascii="Times New Roman" w:hAnsi="Times New Roman" w:eastAsia="宋体" w:cs="Times New Roman"/>
          <w:color w:val="231F20"/>
          <w:spacing w:val="9"/>
          <w:sz w:val="24"/>
          <w:szCs w:val="24"/>
          <w:vertAlign w:val="superscript"/>
          <w:lang w:val="en-US"/>
        </w:rPr>
        <w:fldChar w:fldCharType="begin"/>
      </w:r>
      <w:r>
        <w:rPr>
          <w:rFonts w:hint="default" w:ascii="Times New Roman" w:hAnsi="Times New Roman" w:eastAsia="宋体" w:cs="Times New Roman"/>
          <w:color w:val="231F20"/>
          <w:spacing w:val="9"/>
          <w:sz w:val="24"/>
          <w:szCs w:val="24"/>
          <w:vertAlign w:val="superscript"/>
          <w:lang w:val="en-US"/>
        </w:rPr>
        <w:instrText xml:space="preserve"> REF _Ref28953 \r \h </w:instrText>
      </w:r>
      <w:r>
        <w:rPr>
          <w:rFonts w:hint="default" w:ascii="Times New Roman" w:hAnsi="Times New Roman" w:eastAsia="宋体" w:cs="Times New Roman"/>
          <w:color w:val="231F20"/>
          <w:spacing w:val="9"/>
          <w:sz w:val="24"/>
          <w:szCs w:val="24"/>
          <w:vertAlign w:val="superscript"/>
          <w:lang w:val="en-US"/>
        </w:rPr>
        <w:fldChar w:fldCharType="separate"/>
      </w:r>
      <w:r>
        <w:rPr>
          <w:rFonts w:hint="default" w:ascii="Times New Roman" w:hAnsi="Times New Roman" w:eastAsia="宋体" w:cs="Times New Roman"/>
          <w:color w:val="231F20"/>
          <w:spacing w:val="9"/>
          <w:sz w:val="24"/>
          <w:szCs w:val="24"/>
          <w:vertAlign w:val="superscript"/>
          <w:lang w:val="en-US"/>
        </w:rPr>
        <w:t>[1]</w:t>
      </w:r>
      <w:r>
        <w:rPr>
          <w:rFonts w:hint="default" w:ascii="Times New Roman" w:hAnsi="Times New Roman" w:eastAsia="宋体" w:cs="Times New Roman"/>
          <w:color w:val="231F20"/>
          <w:spacing w:val="9"/>
          <w:sz w:val="24"/>
          <w:szCs w:val="24"/>
          <w:vertAlign w:val="superscript"/>
          <w:lang w:val="en-US"/>
        </w:rPr>
        <w:fldChar w:fldCharType="end"/>
      </w:r>
      <w:r>
        <w:rPr>
          <w:rFonts w:hint="default" w:ascii="Times New Roman" w:hAnsi="Times New Roman" w:eastAsia="宋体" w:cs="Times New Roman"/>
          <w:color w:val="231F20"/>
          <w:spacing w:val="9"/>
          <w:sz w:val="24"/>
          <w:szCs w:val="24"/>
          <w:vertAlign w:val="superscript"/>
          <w:lang w:val="en-US" w:eastAsia="zh-CN"/>
        </w:rPr>
        <w:t>(p.139)</w:t>
      </w:r>
      <w:r>
        <w:rPr>
          <w:rFonts w:hint="default" w:ascii="Times New Roman" w:hAnsi="Times New Roman" w:eastAsia="宋体" w:cs="Times New Roman"/>
          <w:color w:val="231F20"/>
          <w:spacing w:val="16"/>
          <w:sz w:val="24"/>
          <w:szCs w:val="24"/>
          <w:lang w:eastAsia="zh-CN"/>
        </w:rPr>
        <w:t>。</w:t>
      </w:r>
    </w:p>
    <w:p w14:paraId="22780A8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600" w:firstLineChars="200"/>
        <w:jc w:val="both"/>
        <w:textAlignment w:val="baseline"/>
        <w:rPr>
          <w:rFonts w:hint="default" w:ascii="Times New Roman" w:hAnsi="Times New Roman" w:eastAsia="宋体" w:cs="Times New Roman"/>
          <w:color w:val="231F20"/>
          <w:spacing w:val="22"/>
          <w:sz w:val="24"/>
          <w:szCs w:val="24"/>
        </w:rPr>
      </w:pPr>
      <w:r>
        <w:rPr>
          <w:rFonts w:hint="default" w:ascii="Times New Roman" w:hAnsi="Times New Roman" w:eastAsia="宋体" w:cs="Times New Roman"/>
          <w:color w:val="231F20"/>
          <w:spacing w:val="30"/>
          <w:sz w:val="24"/>
          <w:szCs w:val="24"/>
        </w:rPr>
        <w:t>列宁晚年对新经济政策的深化思考及其在</w:t>
      </w:r>
      <w:r>
        <w:rPr>
          <w:rFonts w:hint="default" w:ascii="Times New Roman" w:hAnsi="Times New Roman" w:eastAsia="宋体" w:cs="Times New Roman"/>
          <w:color w:val="231F20"/>
          <w:spacing w:val="11"/>
          <w:sz w:val="24"/>
          <w:szCs w:val="24"/>
        </w:rPr>
        <w:t>《论合作社》中提出的合作制战略构想，对我</w:t>
      </w:r>
      <w:r>
        <w:rPr>
          <w:rFonts w:hint="default" w:ascii="Times New Roman" w:hAnsi="Times New Roman" w:eastAsia="宋体" w:cs="Times New Roman"/>
          <w:color w:val="231F20"/>
          <w:spacing w:val="23"/>
          <w:sz w:val="24"/>
          <w:szCs w:val="24"/>
        </w:rPr>
        <w:t>们党和国家做出改革开放的历史决策产生了积极影响，在中国特色社会主义进入新时代</w:t>
      </w:r>
      <w:r>
        <w:rPr>
          <w:rFonts w:hint="default" w:ascii="Times New Roman" w:hAnsi="Times New Roman" w:eastAsia="宋体" w:cs="Times New Roman"/>
          <w:color w:val="231F20"/>
          <w:spacing w:val="22"/>
          <w:sz w:val="24"/>
          <w:szCs w:val="24"/>
        </w:rPr>
        <w:t>的今天值得进一步探讨并引为镜鉴。</w:t>
      </w:r>
    </w:p>
    <w:p w14:paraId="4C14E5E2">
      <w:pPr>
        <w:pStyle w:val="4"/>
        <w:bidi w:val="0"/>
        <w:rPr>
          <w:rFonts w:hint="default"/>
        </w:rPr>
      </w:pPr>
      <w:r>
        <w:rPr>
          <w:rFonts w:hint="default"/>
        </w:rPr>
        <w:t>一、合作制战略构想的出场逻辑</w:t>
      </w:r>
    </w:p>
    <w:p w14:paraId="385226B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11DD0A9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列宁晚年对社会主义建设道路的探索经</w:t>
      </w:r>
      <w:r>
        <w:rPr>
          <w:rFonts w:hint="default" w:ascii="Times New Roman" w:hAnsi="Times New Roman" w:eastAsia="宋体" w:cs="Times New Roman"/>
          <w:color w:val="231F20"/>
          <w:spacing w:val="18"/>
          <w:sz w:val="24"/>
          <w:szCs w:val="24"/>
        </w:rPr>
        <w:t>历了四重理论逻辑转换，他在不断深化对新经济政策思考的基础上，提出了合作制战略</w:t>
      </w:r>
      <w:r>
        <w:rPr>
          <w:rFonts w:hint="default" w:ascii="Times New Roman" w:hAnsi="Times New Roman" w:eastAsia="宋体" w:cs="Times New Roman"/>
          <w:color w:val="231F20"/>
          <w:spacing w:val="9"/>
          <w:sz w:val="24"/>
          <w:szCs w:val="24"/>
        </w:rPr>
        <w:t>构想。</w:t>
      </w:r>
    </w:p>
    <w:p w14:paraId="232DA46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（一）转向一国建设：将自身积累作为基本</w:t>
      </w:r>
      <w:r>
        <w:rPr>
          <w:rFonts w:hint="default" w:ascii="Times New Roman" w:hAnsi="Times New Roman" w:eastAsia="宋体" w:cs="Times New Roman"/>
          <w:color w:val="231F20"/>
          <w:spacing w:val="7"/>
          <w:sz w:val="24"/>
          <w:szCs w:val="24"/>
        </w:rPr>
        <w:t>发展动力</w:t>
      </w:r>
    </w:p>
    <w:p w14:paraId="369524E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在世界革命尤其是欧洲社会主义革命尚</w:t>
      </w:r>
      <w:r>
        <w:rPr>
          <w:rFonts w:hint="default" w:ascii="Times New Roman" w:hAnsi="Times New Roman" w:eastAsia="宋体" w:cs="Times New Roman"/>
          <w:color w:val="231F20"/>
          <w:spacing w:val="7"/>
          <w:sz w:val="24"/>
          <w:szCs w:val="24"/>
        </w:rPr>
        <w:t>未爆发的背景下，列宁将巩固十月革命的胜利成果立足于苏俄自身建设，将自身积累作为发展的基本动力，完成了从世界革命向一国建设的逻辑转换。</w:t>
      </w:r>
    </w:p>
    <w:p w14:paraId="5EEDFD1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就时代背景和国际环境来看，十月革命</w:t>
      </w:r>
      <w:r>
        <w:rPr>
          <w:rFonts w:hint="default" w:ascii="Times New Roman" w:hAnsi="Times New Roman" w:eastAsia="宋体" w:cs="Times New Roman"/>
          <w:color w:val="231F20"/>
          <w:spacing w:val="18"/>
          <w:sz w:val="24"/>
          <w:szCs w:val="24"/>
        </w:rPr>
        <w:t>胜利后，列宁就面临如何推进世界革命和探</w:t>
      </w:r>
      <w:r>
        <w:rPr>
          <w:rFonts w:hint="default" w:ascii="Times New Roman" w:hAnsi="Times New Roman" w:eastAsia="宋体" w:cs="Times New Roman"/>
          <w:color w:val="231F20"/>
          <w:spacing w:val="19"/>
          <w:sz w:val="24"/>
          <w:szCs w:val="24"/>
        </w:rPr>
        <w:t>索一国建设社会主义等问题。根据马克思、</w:t>
      </w:r>
      <w:r>
        <w:rPr>
          <w:rFonts w:hint="default" w:ascii="Times New Roman" w:hAnsi="Times New Roman" w:eastAsia="宋体" w:cs="Times New Roman"/>
          <w:color w:val="231F20"/>
          <w:spacing w:val="18"/>
          <w:sz w:val="24"/>
          <w:szCs w:val="24"/>
        </w:rPr>
        <w:t>恩格斯的设想，实现共产主义具有世界历史意蕴，必须在发达资本主义国家无产阶级的</w:t>
      </w:r>
      <w:r>
        <w:rPr>
          <w:rFonts w:hint="default" w:ascii="Times New Roman" w:hAnsi="Times New Roman" w:eastAsia="宋体" w:cs="Times New Roman"/>
          <w:color w:val="231F20"/>
          <w:spacing w:val="16"/>
          <w:sz w:val="24"/>
          <w:szCs w:val="24"/>
        </w:rPr>
        <w:t>共同努力下才能取得最终胜利。这是“共同</w:t>
      </w:r>
      <w:r>
        <w:rPr>
          <w:rFonts w:hint="default" w:ascii="Times New Roman" w:hAnsi="Times New Roman" w:eastAsia="宋体" w:cs="Times New Roman"/>
          <w:color w:val="231F20"/>
          <w:spacing w:val="4"/>
          <w:sz w:val="24"/>
          <w:szCs w:val="24"/>
        </w:rPr>
        <w:t>胜利论”理想愿景的内在逻辑。然而，历史并</w:t>
      </w:r>
      <w:r>
        <w:rPr>
          <w:rFonts w:hint="default" w:ascii="Times New Roman" w:hAnsi="Times New Roman" w:eastAsia="宋体" w:cs="Times New Roman"/>
          <w:color w:val="231F20"/>
          <w:spacing w:val="11"/>
          <w:sz w:val="24"/>
          <w:szCs w:val="24"/>
        </w:rPr>
        <w:t>没有完全按照马克思、恩格斯理论设想发展。</w:t>
      </w:r>
      <w:r>
        <w:rPr>
          <w:rFonts w:hint="default" w:ascii="Times New Roman" w:hAnsi="Times New Roman" w:eastAsia="宋体" w:cs="Times New Roman"/>
          <w:color w:val="231F20"/>
          <w:spacing w:val="18"/>
          <w:sz w:val="24"/>
          <w:szCs w:val="24"/>
        </w:rPr>
        <w:t>根据第一次世界大战的形势变化，依据资本主义世界发展不平衡原理，列宁提出并实践</w:t>
      </w:r>
      <w:r>
        <w:rPr>
          <w:rFonts w:hint="default" w:ascii="Times New Roman" w:hAnsi="Times New Roman" w:eastAsia="宋体" w:cs="Times New Roman"/>
          <w:color w:val="231F20"/>
          <w:spacing w:val="7"/>
          <w:sz w:val="24"/>
          <w:szCs w:val="24"/>
        </w:rPr>
        <w:t>了“一国胜利论”，社会主义革命首先在俄国</w:t>
      </w:r>
      <w:r>
        <w:rPr>
          <w:rFonts w:hint="default" w:ascii="Times New Roman" w:hAnsi="Times New Roman" w:eastAsia="宋体" w:cs="Times New Roman"/>
          <w:color w:val="231F20"/>
          <w:spacing w:val="9"/>
          <w:sz w:val="24"/>
          <w:szCs w:val="24"/>
        </w:rPr>
        <w:t>取得成功。</w:t>
      </w:r>
    </w:p>
    <w:p w14:paraId="081F373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问题在于，列宁提出的“一国胜利论”首</w:t>
      </w:r>
      <w:r>
        <w:rPr>
          <w:rFonts w:hint="default" w:ascii="Times New Roman" w:hAnsi="Times New Roman" w:eastAsia="宋体" w:cs="Times New Roman"/>
          <w:color w:val="231F20"/>
          <w:spacing w:val="31"/>
          <w:sz w:val="24"/>
          <w:szCs w:val="24"/>
        </w:rPr>
        <w:t>先强调的是一国可以率先进行社会主义革</w:t>
      </w:r>
      <w:r>
        <w:rPr>
          <w:rFonts w:hint="default" w:ascii="Times New Roman" w:hAnsi="Times New Roman" w:eastAsia="宋体" w:cs="Times New Roman"/>
          <w:color w:val="231F20"/>
          <w:spacing w:val="16"/>
          <w:sz w:val="24"/>
          <w:szCs w:val="24"/>
        </w:rPr>
        <w:t>命。而最终建成社会主义，离不开世界各国</w:t>
      </w:r>
      <w:r>
        <w:rPr>
          <w:rFonts w:hint="default" w:ascii="Times New Roman" w:hAnsi="Times New Roman" w:eastAsia="宋体" w:cs="Times New Roman"/>
          <w:color w:val="231F20"/>
          <w:spacing w:val="6"/>
          <w:sz w:val="24"/>
          <w:szCs w:val="24"/>
        </w:rPr>
        <w:t>的共同行动，仍然要遵循“共同胜利论”的内</w:t>
      </w:r>
      <w:r>
        <w:rPr>
          <w:rFonts w:hint="default" w:ascii="Times New Roman" w:hAnsi="Times New Roman" w:eastAsia="宋体" w:cs="Times New Roman"/>
          <w:color w:val="231F20"/>
          <w:spacing w:val="15"/>
          <w:sz w:val="24"/>
          <w:szCs w:val="24"/>
        </w:rPr>
        <w:t>在逻辑。因此，十月革命胜利后列宁仍提出</w:t>
      </w:r>
      <w:r>
        <w:rPr>
          <w:rFonts w:hint="default" w:ascii="Times New Roman" w:hAnsi="Times New Roman" w:eastAsia="宋体" w:cs="Times New Roman"/>
          <w:color w:val="231F20"/>
          <w:spacing w:val="31"/>
          <w:sz w:val="24"/>
          <w:szCs w:val="24"/>
        </w:rPr>
        <w:t>以苏俄革命胜利为契机推动世界革命的设</w:t>
      </w:r>
      <w:r>
        <w:rPr>
          <w:rFonts w:hint="default" w:ascii="Times New Roman" w:hAnsi="Times New Roman" w:eastAsia="宋体" w:cs="Times New Roman"/>
          <w:color w:val="231F20"/>
          <w:spacing w:val="4"/>
          <w:sz w:val="24"/>
          <w:szCs w:val="24"/>
        </w:rPr>
        <w:t>想，存在建立“世界苏维埃联邦”的构想。在</w:t>
      </w:r>
      <w:r>
        <w:rPr>
          <w:rFonts w:hint="default" w:ascii="Times New Roman" w:hAnsi="Times New Roman" w:eastAsia="宋体" w:cs="Times New Roman"/>
          <w:color w:val="231F20"/>
          <w:spacing w:val="-4"/>
          <w:sz w:val="24"/>
          <w:szCs w:val="24"/>
        </w:rPr>
        <w:t>这方面，马克思、恩格斯在《共产党宣言》1882</w:t>
      </w:r>
      <w:r>
        <w:rPr>
          <w:rFonts w:hint="default" w:ascii="Times New Roman" w:hAnsi="Times New Roman" w:eastAsia="宋体" w:cs="Times New Roman"/>
          <w:color w:val="231F20"/>
          <w:spacing w:val="18"/>
          <w:sz w:val="24"/>
          <w:szCs w:val="24"/>
        </w:rPr>
        <w:t>年俄文版序言等著述中论及俄国革命的可能性时，明确希望俄国革命将成为西方无产阶级革命的信号而双方互相补充，跨越资本主</w:t>
      </w:r>
      <w:r>
        <w:rPr>
          <w:rFonts w:hint="default" w:ascii="Times New Roman" w:hAnsi="Times New Roman" w:eastAsia="宋体" w:cs="Times New Roman"/>
          <w:color w:val="231F20"/>
          <w:spacing w:val="1"/>
          <w:position w:val="-2"/>
          <w:sz w:val="24"/>
          <w:szCs w:val="24"/>
        </w:rPr>
        <w:t>义制度的卡夫丁峡谷。</w:t>
      </w:r>
      <w:r>
        <w:rPr>
          <w:rFonts w:hint="default" w:ascii="Times New Roman" w:hAnsi="Times New Roman" w:eastAsia="宋体" w:cs="Times New Roman"/>
          <w:color w:val="231F20"/>
          <w:spacing w:val="1"/>
          <w:position w:val="-2"/>
          <w:sz w:val="24"/>
          <w:szCs w:val="24"/>
          <w:vertAlign w:val="superscript"/>
          <w:lang w:val="en-US"/>
        </w:rPr>
        <w:fldChar w:fldCharType="begin"/>
      </w:r>
      <w:r>
        <w:rPr>
          <w:rFonts w:hint="default" w:ascii="Times New Roman" w:hAnsi="Times New Roman" w:eastAsia="宋体" w:cs="Times New Roman"/>
          <w:color w:val="231F20"/>
          <w:spacing w:val="1"/>
          <w:position w:val="-2"/>
          <w:sz w:val="24"/>
          <w:szCs w:val="24"/>
          <w:vertAlign w:val="superscript"/>
          <w:lang w:val="en-US"/>
        </w:rPr>
        <w:instrText xml:space="preserve"> REF _Ref29659 \r \h </w:instrText>
      </w:r>
      <w:r>
        <w:rPr>
          <w:rFonts w:hint="default" w:ascii="Times New Roman" w:hAnsi="Times New Roman" w:eastAsia="宋体" w:cs="Times New Roman"/>
          <w:color w:val="231F20"/>
          <w:spacing w:val="1"/>
          <w:position w:val="-2"/>
          <w:sz w:val="24"/>
          <w:szCs w:val="24"/>
          <w:vertAlign w:val="superscript"/>
          <w:lang w:val="en-US"/>
        </w:rPr>
        <w:fldChar w:fldCharType="separate"/>
      </w:r>
      <w:r>
        <w:rPr>
          <w:rFonts w:hint="default" w:ascii="Times New Roman" w:hAnsi="Times New Roman" w:eastAsia="宋体" w:cs="Times New Roman"/>
          <w:color w:val="231F20"/>
          <w:spacing w:val="1"/>
          <w:position w:val="-2"/>
          <w:sz w:val="24"/>
          <w:szCs w:val="24"/>
          <w:vertAlign w:val="superscript"/>
          <w:lang w:val="en-US"/>
        </w:rPr>
        <w:t>[2]</w:t>
      </w:r>
      <w:r>
        <w:rPr>
          <w:rFonts w:hint="default" w:ascii="Times New Roman" w:hAnsi="Times New Roman" w:eastAsia="宋体" w:cs="Times New Roman"/>
          <w:color w:val="231F20"/>
          <w:spacing w:val="1"/>
          <w:position w:val="-2"/>
          <w:sz w:val="24"/>
          <w:szCs w:val="24"/>
          <w:vertAlign w:val="superscript"/>
          <w:lang w:val="en-US"/>
        </w:rPr>
        <w:fldChar w:fldCharType="end"/>
      </w:r>
      <w:r>
        <w:rPr>
          <w:rFonts w:hint="default" w:ascii="Times New Roman" w:hAnsi="Times New Roman" w:eastAsia="宋体" w:cs="Times New Roman"/>
          <w:color w:val="231F20"/>
          <w:spacing w:val="1"/>
          <w:position w:val="-2"/>
          <w:sz w:val="24"/>
          <w:szCs w:val="24"/>
          <w:vertAlign w:val="superscript"/>
          <w:lang w:val="en-US" w:eastAsia="zh-CN"/>
        </w:rPr>
        <w:t>(p.825)</w:t>
      </w:r>
      <w:r>
        <w:rPr>
          <w:rFonts w:hint="default" w:ascii="Times New Roman" w:hAnsi="Times New Roman" w:eastAsia="宋体" w:cs="Times New Roman"/>
          <w:color w:val="231F20"/>
          <w:spacing w:val="1"/>
          <w:position w:val="-2"/>
          <w:sz w:val="24"/>
          <w:szCs w:val="24"/>
          <w:vertAlign w:val="superscript"/>
          <w:lang w:val="en-US"/>
        </w:rPr>
        <w:fldChar w:fldCharType="begin"/>
      </w:r>
      <w:r>
        <w:rPr>
          <w:rFonts w:hint="default" w:ascii="Times New Roman" w:hAnsi="Times New Roman" w:eastAsia="宋体" w:cs="Times New Roman"/>
          <w:color w:val="231F20"/>
          <w:spacing w:val="1"/>
          <w:position w:val="-2"/>
          <w:sz w:val="24"/>
          <w:szCs w:val="24"/>
          <w:vertAlign w:val="superscript"/>
          <w:lang w:val="en-US"/>
        </w:rPr>
        <w:instrText xml:space="preserve"> REF _Ref29678 \r \h </w:instrText>
      </w:r>
      <w:r>
        <w:rPr>
          <w:rFonts w:hint="default" w:ascii="Times New Roman" w:hAnsi="Times New Roman" w:eastAsia="宋体" w:cs="Times New Roman"/>
          <w:color w:val="231F20"/>
          <w:spacing w:val="1"/>
          <w:position w:val="-2"/>
          <w:sz w:val="24"/>
          <w:szCs w:val="24"/>
          <w:vertAlign w:val="superscript"/>
          <w:lang w:val="en-US"/>
        </w:rPr>
        <w:fldChar w:fldCharType="separate"/>
      </w:r>
      <w:r>
        <w:rPr>
          <w:rFonts w:hint="default" w:ascii="Times New Roman" w:hAnsi="Times New Roman" w:eastAsia="宋体" w:cs="Times New Roman"/>
          <w:color w:val="231F20"/>
          <w:spacing w:val="1"/>
          <w:position w:val="-2"/>
          <w:sz w:val="24"/>
          <w:szCs w:val="24"/>
          <w:vertAlign w:val="superscript"/>
          <w:lang w:val="en-US"/>
        </w:rPr>
        <w:t>[3]</w:t>
      </w:r>
      <w:r>
        <w:rPr>
          <w:rFonts w:hint="default" w:ascii="Times New Roman" w:hAnsi="Times New Roman" w:eastAsia="宋体" w:cs="Times New Roman"/>
          <w:color w:val="231F20"/>
          <w:spacing w:val="1"/>
          <w:position w:val="-2"/>
          <w:sz w:val="24"/>
          <w:szCs w:val="24"/>
          <w:vertAlign w:val="superscript"/>
          <w:lang w:val="en-US"/>
        </w:rPr>
        <w:fldChar w:fldCharType="end"/>
      </w:r>
      <w:r>
        <w:rPr>
          <w:rFonts w:hint="default" w:ascii="Times New Roman" w:hAnsi="Times New Roman" w:eastAsia="宋体" w:cs="Times New Roman"/>
          <w:color w:val="231F20"/>
          <w:spacing w:val="1"/>
          <w:position w:val="-2"/>
          <w:sz w:val="24"/>
          <w:szCs w:val="24"/>
          <w:vertAlign w:val="superscript"/>
          <w:lang w:val="en-US" w:eastAsia="zh-CN"/>
        </w:rPr>
        <w:t>(p.825)</w:t>
      </w:r>
    </w:p>
    <w:p w14:paraId="6480772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十月革命胜利后，列宁明确提出了推进</w:t>
      </w:r>
      <w:r>
        <w:rPr>
          <w:rFonts w:hint="default" w:ascii="Times New Roman" w:hAnsi="Times New Roman" w:eastAsia="宋体" w:cs="Times New Roman"/>
          <w:color w:val="231F20"/>
          <w:spacing w:val="11"/>
          <w:sz w:val="24"/>
          <w:szCs w:val="24"/>
        </w:rPr>
        <w:t>世界革命的重要性：“俄国革命最大的困难，</w:t>
      </w:r>
      <w:r>
        <w:rPr>
          <w:rFonts w:hint="default" w:ascii="Times New Roman" w:hAnsi="Times New Roman" w:eastAsia="宋体" w:cs="Times New Roman"/>
          <w:color w:val="231F20"/>
          <w:spacing w:val="8"/>
          <w:sz w:val="24"/>
          <w:szCs w:val="24"/>
        </w:rPr>
        <w:t>最大的历史课题就是：必须解决国际任务，必</w:t>
      </w:r>
      <w:r>
        <w:rPr>
          <w:rFonts w:hint="default" w:ascii="Times New Roman" w:hAnsi="Times New Roman" w:eastAsia="宋体" w:cs="Times New Roman"/>
          <w:color w:val="231F20"/>
          <w:spacing w:val="18"/>
          <w:sz w:val="24"/>
          <w:szCs w:val="24"/>
        </w:rPr>
        <w:t>须唤起国际革命，必须从我们仅仅一国的革</w:t>
      </w:r>
      <w:r>
        <w:rPr>
          <w:rFonts w:hint="default" w:ascii="Times New Roman" w:hAnsi="Times New Roman" w:eastAsia="宋体" w:cs="Times New Roman"/>
          <w:color w:val="231F20"/>
          <w:sz w:val="24"/>
          <w:szCs w:val="24"/>
        </w:rPr>
        <w:t>命转变成世界革命。”</w:t>
      </w:r>
      <w:r>
        <w:rPr>
          <w:rFonts w:hint="default" w:ascii="Times New Roman" w:hAnsi="Times New Roman" w:eastAsia="宋体" w:cs="Times New Roman"/>
          <w:color w:val="231F20"/>
          <w:sz w:val="24"/>
          <w:szCs w:val="24"/>
          <w:vertAlign w:val="superscript"/>
          <w:lang w:val="en-US"/>
        </w:rPr>
        <w:fldChar w:fldCharType="begin"/>
      </w:r>
      <w:r>
        <w:rPr>
          <w:rFonts w:hint="default" w:ascii="Times New Roman" w:hAnsi="Times New Roman" w:eastAsia="宋体" w:cs="Times New Roman"/>
          <w:color w:val="231F20"/>
          <w:sz w:val="24"/>
          <w:szCs w:val="24"/>
          <w:vertAlign w:val="superscript"/>
          <w:lang w:val="en-US"/>
        </w:rPr>
        <w:instrText xml:space="preserve"> REF _Ref30697 \r \h </w:instrText>
      </w:r>
      <w:r>
        <w:rPr>
          <w:rFonts w:hint="default" w:ascii="Times New Roman" w:hAnsi="Times New Roman" w:eastAsia="宋体" w:cs="Times New Roman"/>
          <w:color w:val="231F20"/>
          <w:sz w:val="24"/>
          <w:szCs w:val="24"/>
          <w:vertAlign w:val="superscript"/>
          <w:lang w:val="en-US"/>
        </w:rPr>
        <w:fldChar w:fldCharType="separate"/>
      </w:r>
      <w:r>
        <w:rPr>
          <w:rFonts w:hint="default" w:ascii="Times New Roman" w:hAnsi="Times New Roman" w:eastAsia="宋体" w:cs="Times New Roman"/>
          <w:color w:val="231F20"/>
          <w:sz w:val="24"/>
          <w:szCs w:val="24"/>
          <w:vertAlign w:val="superscript"/>
          <w:lang w:val="en-US"/>
        </w:rPr>
        <w:t>[4]</w:t>
      </w:r>
      <w:r>
        <w:rPr>
          <w:rFonts w:hint="default" w:ascii="Times New Roman" w:hAnsi="Times New Roman" w:eastAsia="宋体" w:cs="Times New Roman"/>
          <w:color w:val="231F20"/>
          <w:sz w:val="24"/>
          <w:szCs w:val="24"/>
          <w:vertAlign w:val="superscript"/>
          <w:lang w:val="en-US"/>
        </w:rPr>
        <w:fldChar w:fldCharType="end"/>
      </w:r>
      <w:r>
        <w:rPr>
          <w:rFonts w:hint="default" w:ascii="Times New Roman" w:hAnsi="Times New Roman" w:eastAsia="宋体" w:cs="Times New Roman"/>
          <w:color w:val="231F20"/>
          <w:sz w:val="24"/>
          <w:szCs w:val="24"/>
          <w:vertAlign w:val="superscript"/>
          <w:lang w:val="en-US" w:eastAsia="zh-CN"/>
        </w:rPr>
        <w:t>(p.6)</w:t>
      </w:r>
      <w:r>
        <w:rPr>
          <w:rFonts w:hint="default" w:ascii="Times New Roman" w:hAnsi="Times New Roman" w:eastAsia="宋体" w:cs="Times New Roman"/>
          <w:color w:val="231F20"/>
          <w:sz w:val="24"/>
          <w:szCs w:val="24"/>
        </w:rPr>
        <w:t>为此，列宁领导建立</w:t>
      </w:r>
      <w:r>
        <w:rPr>
          <w:rFonts w:hint="default" w:ascii="Times New Roman" w:hAnsi="Times New Roman" w:eastAsia="宋体" w:cs="Times New Roman"/>
          <w:color w:val="231F20"/>
          <w:spacing w:val="31"/>
          <w:sz w:val="24"/>
          <w:szCs w:val="24"/>
        </w:rPr>
        <w:t>了组织上更为紧密的共产国际推进世界革</w:t>
      </w:r>
      <w:r>
        <w:rPr>
          <w:rFonts w:hint="default" w:ascii="Times New Roman" w:hAnsi="Times New Roman" w:eastAsia="宋体" w:cs="Times New Roman"/>
          <w:color w:val="231F20"/>
          <w:spacing w:val="16"/>
          <w:sz w:val="24"/>
          <w:szCs w:val="24"/>
        </w:rPr>
        <w:t>命。然而，随着欧洲革命纷纷失败以及苏俄</w:t>
      </w:r>
      <w:r>
        <w:rPr>
          <w:rFonts w:hint="default" w:ascii="Times New Roman" w:hAnsi="Times New Roman" w:eastAsia="宋体" w:cs="Times New Roman"/>
          <w:color w:val="231F20"/>
          <w:spacing w:val="18"/>
          <w:sz w:val="24"/>
          <w:szCs w:val="24"/>
        </w:rPr>
        <w:t>红军在波兰受挫，列宁意识到世界革命在短期内很难实现，于是开始认真考虑同资本主</w:t>
      </w:r>
      <w:r>
        <w:rPr>
          <w:rFonts w:hint="default" w:ascii="Times New Roman" w:hAnsi="Times New Roman" w:eastAsia="宋体" w:cs="Times New Roman"/>
          <w:color w:val="231F20"/>
          <w:spacing w:val="20"/>
          <w:sz w:val="24"/>
          <w:szCs w:val="24"/>
        </w:rPr>
        <w:t>义国家和平共处问题。在内战临近尾声时，</w:t>
      </w:r>
      <w:r>
        <w:rPr>
          <w:rFonts w:hint="default" w:ascii="Times New Roman" w:hAnsi="Times New Roman" w:eastAsia="宋体" w:cs="Times New Roman"/>
          <w:color w:val="231F20"/>
          <w:spacing w:val="8"/>
          <w:sz w:val="24"/>
          <w:szCs w:val="24"/>
        </w:rPr>
        <w:t>列宁强调现在的情况是“长期僵持、双方最后</w:t>
      </w:r>
      <w:r>
        <w:rPr>
          <w:rFonts w:hint="default" w:ascii="Times New Roman" w:hAnsi="Times New Roman" w:eastAsia="宋体" w:cs="Times New Roman"/>
          <w:color w:val="231F20"/>
          <w:spacing w:val="5"/>
          <w:sz w:val="24"/>
          <w:szCs w:val="24"/>
        </w:rPr>
        <w:t>不分胜负的局面终于形成了”，</w:t>
      </w:r>
      <w:r>
        <w:rPr>
          <w:rFonts w:hint="default" w:ascii="Times New Roman" w:hAnsi="Times New Roman" w:eastAsia="宋体" w:cs="Times New Roman"/>
          <w:color w:val="231F20"/>
          <w:spacing w:val="5"/>
          <w:sz w:val="24"/>
          <w:szCs w:val="24"/>
          <w:vertAlign w:val="superscript"/>
          <w:lang w:val="en-US"/>
        </w:rPr>
        <w:fldChar w:fldCharType="begin"/>
      </w:r>
      <w:r>
        <w:rPr>
          <w:rFonts w:hint="default" w:ascii="Times New Roman" w:hAnsi="Times New Roman" w:eastAsia="宋体" w:cs="Times New Roman"/>
          <w:color w:val="231F20"/>
          <w:spacing w:val="5"/>
          <w:sz w:val="24"/>
          <w:szCs w:val="24"/>
          <w:vertAlign w:val="superscript"/>
          <w:lang w:val="en-US"/>
        </w:rPr>
        <w:instrText xml:space="preserve"> REF _Ref30867 \r \h </w:instrText>
      </w:r>
      <w:r>
        <w:rPr>
          <w:rFonts w:hint="default" w:ascii="Times New Roman" w:hAnsi="Times New Roman" w:eastAsia="宋体" w:cs="Times New Roman"/>
          <w:color w:val="231F20"/>
          <w:spacing w:val="5"/>
          <w:sz w:val="24"/>
          <w:szCs w:val="24"/>
          <w:vertAlign w:val="superscript"/>
          <w:lang w:val="en-US"/>
        </w:rPr>
        <w:fldChar w:fldCharType="separate"/>
      </w:r>
      <w:r>
        <w:rPr>
          <w:rFonts w:hint="default" w:ascii="Times New Roman" w:hAnsi="Times New Roman" w:eastAsia="宋体" w:cs="Times New Roman"/>
          <w:color w:val="231F20"/>
          <w:spacing w:val="5"/>
          <w:sz w:val="24"/>
          <w:szCs w:val="24"/>
          <w:vertAlign w:val="superscript"/>
          <w:lang w:val="en-US"/>
        </w:rPr>
        <w:t>[5]</w:t>
      </w:r>
      <w:r>
        <w:rPr>
          <w:rFonts w:hint="default" w:ascii="Times New Roman" w:hAnsi="Times New Roman" w:eastAsia="宋体" w:cs="Times New Roman"/>
          <w:color w:val="231F20"/>
          <w:spacing w:val="5"/>
          <w:sz w:val="24"/>
          <w:szCs w:val="24"/>
          <w:vertAlign w:val="superscript"/>
          <w:lang w:val="en-US"/>
        </w:rPr>
        <w:fldChar w:fldCharType="end"/>
      </w:r>
      <w:r>
        <w:rPr>
          <w:rFonts w:hint="default" w:ascii="Times New Roman" w:hAnsi="Times New Roman" w:eastAsia="宋体" w:cs="Times New Roman"/>
          <w:color w:val="231F20"/>
          <w:spacing w:val="5"/>
          <w:sz w:val="24"/>
          <w:szCs w:val="24"/>
          <w:vertAlign w:val="superscript"/>
          <w:lang w:val="en-US" w:eastAsia="zh-CN"/>
        </w:rPr>
        <w:t>(p.23)</w:t>
      </w:r>
      <w:r>
        <w:rPr>
          <w:rFonts w:hint="default" w:ascii="Times New Roman" w:hAnsi="Times New Roman" w:eastAsia="宋体" w:cs="Times New Roman"/>
          <w:color w:val="231F20"/>
          <w:spacing w:val="5"/>
          <w:sz w:val="24"/>
          <w:szCs w:val="24"/>
        </w:rPr>
        <w:t>后来他进</w:t>
      </w:r>
      <w:r>
        <w:rPr>
          <w:rFonts w:hint="default" w:ascii="Times New Roman" w:hAnsi="Times New Roman" w:eastAsia="宋体" w:cs="Times New Roman"/>
          <w:color w:val="231F20"/>
          <w:spacing w:val="8"/>
          <w:sz w:val="24"/>
          <w:szCs w:val="24"/>
        </w:rPr>
        <w:t>一步指出，双方“已经达到了一定程度的不稳</w:t>
      </w:r>
      <w:r>
        <w:rPr>
          <w:rFonts w:hint="default" w:ascii="Times New Roman" w:hAnsi="Times New Roman" w:eastAsia="宋体" w:cs="Times New Roman"/>
          <w:color w:val="231F20"/>
          <w:spacing w:val="-4"/>
          <w:position w:val="-2"/>
          <w:sz w:val="24"/>
          <w:szCs w:val="24"/>
        </w:rPr>
        <w:t>定的均势”。</w:t>
      </w:r>
      <w:r>
        <w:rPr>
          <w:rFonts w:hint="default" w:ascii="Times New Roman" w:hAnsi="Times New Roman" w:eastAsia="宋体" w:cs="Times New Roman"/>
          <w:color w:val="231F20"/>
          <w:spacing w:val="-4"/>
          <w:position w:val="-2"/>
          <w:sz w:val="24"/>
          <w:szCs w:val="24"/>
          <w:vertAlign w:val="superscript"/>
          <w:lang w:val="en-US"/>
        </w:rPr>
        <w:fldChar w:fldCharType="begin"/>
      </w:r>
      <w:r>
        <w:rPr>
          <w:rFonts w:hint="default" w:ascii="Times New Roman" w:hAnsi="Times New Roman" w:eastAsia="宋体" w:cs="Times New Roman"/>
          <w:color w:val="231F20"/>
          <w:spacing w:val="-4"/>
          <w:position w:val="-2"/>
          <w:sz w:val="24"/>
          <w:szCs w:val="24"/>
          <w:vertAlign w:val="superscript"/>
          <w:lang w:val="en-US"/>
        </w:rPr>
        <w:instrText xml:space="preserve"> REF _Ref30893 \r \h </w:instrText>
      </w:r>
      <w:r>
        <w:rPr>
          <w:rFonts w:hint="default" w:ascii="Times New Roman" w:hAnsi="Times New Roman" w:eastAsia="宋体" w:cs="Times New Roman"/>
          <w:color w:val="231F20"/>
          <w:spacing w:val="-4"/>
          <w:position w:val="-2"/>
          <w:sz w:val="24"/>
          <w:szCs w:val="24"/>
          <w:vertAlign w:val="superscript"/>
          <w:lang w:val="en-US"/>
        </w:rPr>
        <w:fldChar w:fldCharType="separate"/>
      </w:r>
      <w:r>
        <w:rPr>
          <w:rFonts w:hint="default" w:ascii="Times New Roman" w:hAnsi="Times New Roman" w:eastAsia="宋体" w:cs="Times New Roman"/>
          <w:color w:val="231F20"/>
          <w:spacing w:val="-4"/>
          <w:position w:val="-2"/>
          <w:sz w:val="24"/>
          <w:szCs w:val="24"/>
          <w:vertAlign w:val="superscript"/>
          <w:lang w:val="en-US"/>
        </w:rPr>
        <w:t>[6]</w:t>
      </w:r>
      <w:r>
        <w:rPr>
          <w:rFonts w:hint="default" w:ascii="Times New Roman" w:hAnsi="Times New Roman" w:eastAsia="宋体" w:cs="Times New Roman"/>
          <w:color w:val="231F20"/>
          <w:spacing w:val="-4"/>
          <w:position w:val="-2"/>
          <w:sz w:val="24"/>
          <w:szCs w:val="24"/>
          <w:vertAlign w:val="superscript"/>
          <w:lang w:val="en-US"/>
        </w:rPr>
        <w:fldChar w:fldCharType="end"/>
      </w:r>
      <w:r>
        <w:rPr>
          <w:rFonts w:hint="default" w:ascii="Times New Roman" w:hAnsi="Times New Roman" w:eastAsia="宋体" w:cs="Times New Roman"/>
          <w:color w:val="231F20"/>
          <w:spacing w:val="-4"/>
          <w:position w:val="-2"/>
          <w:sz w:val="24"/>
          <w:szCs w:val="24"/>
          <w:vertAlign w:val="superscript"/>
          <w:lang w:val="en-US" w:eastAsia="zh-CN"/>
        </w:rPr>
        <w:t>(p.339)</w:t>
      </w:r>
    </w:p>
    <w:p w14:paraId="7213D7C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在这种情况下，苏俄要与资本主义列强缓</w:t>
      </w:r>
      <w:r>
        <w:rPr>
          <w:rFonts w:hint="default" w:ascii="Times New Roman" w:hAnsi="Times New Roman" w:eastAsia="宋体" w:cs="Times New Roman"/>
          <w:color w:val="231F20"/>
          <w:spacing w:val="8"/>
          <w:sz w:val="24"/>
          <w:szCs w:val="24"/>
        </w:rPr>
        <w:t>和关系，实现和平共处，重要一步就是同资本主义国家建立经济联系，所以这时苏俄确定的对外政策和方针是参加各种国际会议，同资本</w:t>
      </w:r>
      <w:r>
        <w:rPr>
          <w:rFonts w:hint="default" w:ascii="Times New Roman" w:hAnsi="Times New Roman" w:eastAsia="宋体" w:cs="Times New Roman"/>
          <w:color w:val="231F20"/>
          <w:spacing w:val="11"/>
          <w:sz w:val="24"/>
          <w:szCs w:val="24"/>
        </w:rPr>
        <w:t>主义世界对话，争取同资本主义国家做生意，</w:t>
      </w:r>
      <w:r>
        <w:rPr>
          <w:rFonts w:hint="default" w:ascii="Times New Roman" w:hAnsi="Times New Roman" w:eastAsia="宋体" w:cs="Times New Roman"/>
          <w:color w:val="231F20"/>
          <w:spacing w:val="8"/>
          <w:sz w:val="24"/>
          <w:szCs w:val="24"/>
        </w:rPr>
        <w:t>建立起经济联系，在这个基础上争取建立外交</w:t>
      </w:r>
      <w:r>
        <w:rPr>
          <w:rFonts w:hint="default" w:ascii="Times New Roman" w:hAnsi="Times New Roman" w:eastAsia="宋体" w:cs="Times New Roman"/>
          <w:color w:val="231F20"/>
          <w:spacing w:val="6"/>
          <w:sz w:val="24"/>
          <w:szCs w:val="24"/>
        </w:rPr>
        <w:t>关系，同时确保苏俄能够不断发展壮大。在世</w:t>
      </w:r>
      <w:r>
        <w:rPr>
          <w:rFonts w:hint="default" w:ascii="Times New Roman" w:hAnsi="Times New Roman" w:eastAsia="宋体" w:cs="Times New Roman"/>
          <w:color w:val="231F20"/>
          <w:spacing w:val="18"/>
          <w:sz w:val="24"/>
          <w:szCs w:val="24"/>
        </w:rPr>
        <w:t>界尤其是欧洲无产阶级革命没有爆发和缺乏</w:t>
      </w:r>
      <w:r>
        <w:rPr>
          <w:rFonts w:hint="default" w:ascii="Times New Roman" w:hAnsi="Times New Roman" w:eastAsia="宋体" w:cs="Times New Roman"/>
          <w:color w:val="231F20"/>
          <w:spacing w:val="8"/>
          <w:sz w:val="24"/>
          <w:szCs w:val="24"/>
        </w:rPr>
        <w:t>外部援助的情况下，只能寄希望于自身大工业恢复和发展。</w:t>
      </w:r>
    </w:p>
    <w:p w14:paraId="1A439AF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7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3"/>
          <w:sz w:val="24"/>
          <w:szCs w:val="24"/>
        </w:rPr>
        <w:t>这是列宁提出新经济政策的国际背景，</w:t>
      </w:r>
      <w:r>
        <w:rPr>
          <w:rFonts w:hint="default" w:ascii="Times New Roman" w:hAnsi="Times New Roman" w:eastAsia="宋体" w:cs="Times New Roman"/>
          <w:color w:val="231F20"/>
          <w:spacing w:val="22"/>
          <w:sz w:val="24"/>
          <w:szCs w:val="24"/>
        </w:rPr>
        <w:t>也是他孕育合作制战略构想的第一层逻辑：</w:t>
      </w:r>
      <w:r>
        <w:rPr>
          <w:rFonts w:hint="default" w:ascii="Times New Roman" w:hAnsi="Times New Roman" w:eastAsia="宋体" w:cs="Times New Roman"/>
          <w:color w:val="231F20"/>
          <w:spacing w:val="18"/>
          <w:sz w:val="24"/>
          <w:szCs w:val="24"/>
        </w:rPr>
        <w:t>作为经济文化相对落后国家，苏俄如何坚持到下一次与资本主义列强发生军事冲突的那天，如何坚持到西欧资本主义国家爆发社会</w:t>
      </w:r>
      <w:r>
        <w:rPr>
          <w:rFonts w:hint="default" w:ascii="Times New Roman" w:hAnsi="Times New Roman" w:eastAsia="宋体" w:cs="Times New Roman"/>
          <w:color w:val="231F20"/>
          <w:spacing w:val="4"/>
          <w:sz w:val="24"/>
          <w:szCs w:val="24"/>
        </w:rPr>
        <w:t>主义革命的那一天？因此，列宁认为，为了自</w:t>
      </w:r>
      <w:r>
        <w:rPr>
          <w:rFonts w:hint="default" w:ascii="Times New Roman" w:hAnsi="Times New Roman" w:eastAsia="宋体" w:cs="Times New Roman"/>
          <w:color w:val="231F20"/>
          <w:spacing w:val="10"/>
          <w:sz w:val="24"/>
          <w:szCs w:val="24"/>
        </w:rPr>
        <w:t>救就必须要转变策略，</w:t>
      </w:r>
      <w:r>
        <w:rPr>
          <w:rFonts w:hint="default" w:ascii="Times New Roman" w:hAnsi="Times New Roman" w:eastAsia="宋体" w:cs="Times New Roman"/>
          <w:color w:val="231F20"/>
          <w:spacing w:val="10"/>
          <w:sz w:val="24"/>
          <w:szCs w:val="24"/>
          <w:vertAlign w:val="superscript"/>
          <w:lang w:val="en-US"/>
        </w:rPr>
        <w:fldChar w:fldCharType="begin"/>
      </w:r>
      <w:r>
        <w:rPr>
          <w:rFonts w:hint="default" w:ascii="Times New Roman" w:hAnsi="Times New Roman" w:eastAsia="宋体" w:cs="Times New Roman"/>
          <w:color w:val="231F20"/>
          <w:spacing w:val="10"/>
          <w:sz w:val="24"/>
          <w:szCs w:val="24"/>
          <w:vertAlign w:val="superscript"/>
          <w:lang w:val="en-US"/>
        </w:rPr>
        <w:instrText xml:space="preserve"> REF _Ref30922 \r \h </w:instrText>
      </w:r>
      <w:r>
        <w:rPr>
          <w:rFonts w:hint="default" w:ascii="Times New Roman" w:hAnsi="Times New Roman" w:eastAsia="宋体" w:cs="Times New Roman"/>
          <w:color w:val="231F20"/>
          <w:spacing w:val="10"/>
          <w:sz w:val="24"/>
          <w:szCs w:val="24"/>
          <w:vertAlign w:val="superscript"/>
          <w:lang w:val="en-US"/>
        </w:rPr>
        <w:fldChar w:fldCharType="separate"/>
      </w:r>
      <w:r>
        <w:rPr>
          <w:rFonts w:hint="default" w:ascii="Times New Roman" w:hAnsi="Times New Roman" w:eastAsia="宋体" w:cs="Times New Roman"/>
          <w:color w:val="231F20"/>
          <w:spacing w:val="10"/>
          <w:sz w:val="24"/>
          <w:szCs w:val="24"/>
          <w:vertAlign w:val="superscript"/>
          <w:lang w:val="en-US"/>
        </w:rPr>
        <w:t>[7]</w:t>
      </w:r>
      <w:r>
        <w:rPr>
          <w:rFonts w:hint="default" w:ascii="Times New Roman" w:hAnsi="Times New Roman" w:eastAsia="宋体" w:cs="Times New Roman"/>
          <w:color w:val="231F20"/>
          <w:spacing w:val="10"/>
          <w:sz w:val="24"/>
          <w:szCs w:val="24"/>
          <w:vertAlign w:val="superscript"/>
          <w:lang w:val="en-US"/>
        </w:rPr>
        <w:fldChar w:fldCharType="end"/>
      </w:r>
      <w:r>
        <w:rPr>
          <w:rFonts w:hint="default" w:ascii="Times New Roman" w:hAnsi="Times New Roman" w:eastAsia="宋体" w:cs="Times New Roman"/>
          <w:color w:val="231F20"/>
          <w:spacing w:val="10"/>
          <w:sz w:val="24"/>
          <w:szCs w:val="24"/>
          <w:vertAlign w:val="superscript"/>
          <w:lang w:val="en-US" w:eastAsia="zh-CN"/>
        </w:rPr>
        <w:t>(p.379</w:t>
      </w:r>
      <w:r>
        <w:rPr>
          <w:rFonts w:hint="default" w:ascii="Times New Roman" w:hAnsi="Times New Roman" w:eastAsia="宋体" w:cs="Times New Roman"/>
          <w:color w:val="231F20"/>
          <w:spacing w:val="10"/>
          <w:position w:val="7"/>
          <w:sz w:val="24"/>
          <w:szCs w:val="24"/>
        </w:rPr>
        <w:t>)</w:t>
      </w:r>
      <w:r>
        <w:rPr>
          <w:rFonts w:hint="default" w:ascii="Times New Roman" w:hAnsi="Times New Roman" w:eastAsia="宋体" w:cs="Times New Roman"/>
          <w:color w:val="231F20"/>
          <w:spacing w:val="10"/>
          <w:sz w:val="24"/>
          <w:szCs w:val="24"/>
        </w:rPr>
        <w:t>将俄国革命的最</w:t>
      </w:r>
      <w:r>
        <w:rPr>
          <w:rFonts w:hint="default" w:ascii="Times New Roman" w:hAnsi="Times New Roman" w:eastAsia="宋体" w:cs="Times New Roman"/>
          <w:color w:val="231F20"/>
          <w:spacing w:val="17"/>
          <w:sz w:val="24"/>
          <w:szCs w:val="24"/>
        </w:rPr>
        <w:t>终胜利奠基于自身经济恢复和发展、积累的</w:t>
      </w:r>
      <w:r>
        <w:rPr>
          <w:rFonts w:hint="default" w:ascii="Times New Roman" w:hAnsi="Times New Roman" w:eastAsia="宋体" w:cs="Times New Roman"/>
          <w:color w:val="231F20"/>
          <w:spacing w:val="18"/>
          <w:sz w:val="24"/>
          <w:szCs w:val="24"/>
        </w:rPr>
        <w:t>新经济政策的核心问题是苏维埃国家即无产</w:t>
      </w:r>
      <w:r>
        <w:rPr>
          <w:rFonts w:hint="default" w:ascii="Times New Roman" w:hAnsi="Times New Roman" w:eastAsia="宋体" w:cs="Times New Roman"/>
          <w:color w:val="231F20"/>
          <w:spacing w:val="11"/>
          <w:sz w:val="24"/>
          <w:szCs w:val="24"/>
        </w:rPr>
        <w:t>阶级专政能不能同国家资本主义结合、联合、</w:t>
      </w:r>
      <w:r>
        <w:rPr>
          <w:rFonts w:hint="default" w:ascii="Times New Roman" w:hAnsi="Times New Roman" w:eastAsia="宋体" w:cs="Times New Roman"/>
          <w:color w:val="231F20"/>
          <w:spacing w:val="2"/>
          <w:sz w:val="24"/>
          <w:szCs w:val="24"/>
        </w:rPr>
        <w:t>并存的问题。</w:t>
      </w:r>
      <w:r>
        <w:rPr>
          <w:rFonts w:hint="default" w:ascii="Times New Roman" w:hAnsi="Times New Roman" w:eastAsia="宋体" w:cs="Times New Roman"/>
          <w:color w:val="231F20"/>
          <w:spacing w:val="2"/>
          <w:sz w:val="24"/>
          <w:szCs w:val="24"/>
          <w:vertAlign w:val="superscript"/>
          <w:lang w:val="en-US"/>
        </w:rPr>
        <w:fldChar w:fldCharType="begin"/>
      </w:r>
      <w:r>
        <w:rPr>
          <w:rFonts w:hint="default" w:ascii="Times New Roman" w:hAnsi="Times New Roman" w:eastAsia="宋体" w:cs="Times New Roman"/>
          <w:color w:val="231F20"/>
          <w:spacing w:val="2"/>
          <w:sz w:val="24"/>
          <w:szCs w:val="24"/>
          <w:vertAlign w:val="superscript"/>
          <w:lang w:val="en-US"/>
        </w:rPr>
        <w:instrText xml:space="preserve"> REF _Ref30922 \r \h </w:instrText>
      </w:r>
      <w:r>
        <w:rPr>
          <w:rFonts w:hint="default" w:ascii="Times New Roman" w:hAnsi="Times New Roman" w:eastAsia="宋体" w:cs="Times New Roman"/>
          <w:color w:val="231F20"/>
          <w:spacing w:val="2"/>
          <w:sz w:val="24"/>
          <w:szCs w:val="24"/>
          <w:vertAlign w:val="superscript"/>
          <w:lang w:val="en-US"/>
        </w:rPr>
        <w:fldChar w:fldCharType="separate"/>
      </w:r>
      <w:r>
        <w:rPr>
          <w:rFonts w:hint="default" w:ascii="Times New Roman" w:hAnsi="Times New Roman" w:eastAsia="宋体" w:cs="Times New Roman"/>
          <w:color w:val="231F20"/>
          <w:spacing w:val="2"/>
          <w:sz w:val="24"/>
          <w:szCs w:val="24"/>
          <w:vertAlign w:val="superscript"/>
          <w:lang w:val="en-US"/>
        </w:rPr>
        <w:t>[7]</w:t>
      </w:r>
      <w:r>
        <w:rPr>
          <w:rFonts w:hint="default" w:ascii="Times New Roman" w:hAnsi="Times New Roman" w:eastAsia="宋体" w:cs="Times New Roman"/>
          <w:color w:val="231F20"/>
          <w:spacing w:val="2"/>
          <w:sz w:val="24"/>
          <w:szCs w:val="24"/>
          <w:vertAlign w:val="superscript"/>
          <w:lang w:val="en-US"/>
        </w:rPr>
        <w:fldChar w:fldCharType="end"/>
      </w:r>
      <w:r>
        <w:rPr>
          <w:rFonts w:hint="default" w:ascii="Times New Roman" w:hAnsi="Times New Roman" w:eastAsia="宋体" w:cs="Times New Roman"/>
          <w:color w:val="231F20"/>
          <w:spacing w:val="2"/>
          <w:sz w:val="24"/>
          <w:szCs w:val="24"/>
          <w:vertAlign w:val="superscript"/>
          <w:lang w:val="en-US" w:eastAsia="zh-CN"/>
        </w:rPr>
        <w:t>(p.219</w:t>
      </w:r>
      <w:r>
        <w:rPr>
          <w:rFonts w:hint="default" w:ascii="Times New Roman" w:hAnsi="Times New Roman" w:eastAsia="宋体" w:cs="Times New Roman"/>
          <w:color w:val="231F20"/>
          <w:spacing w:val="2"/>
          <w:sz w:val="24"/>
          <w:szCs w:val="24"/>
        </w:rPr>
        <w:t>列宁认为，十月革命之后苏</w:t>
      </w:r>
      <w:r>
        <w:rPr>
          <w:rFonts w:hint="default" w:ascii="Times New Roman" w:hAnsi="Times New Roman" w:eastAsia="宋体" w:cs="Times New Roman"/>
          <w:color w:val="231F20"/>
          <w:spacing w:val="11"/>
          <w:sz w:val="24"/>
          <w:szCs w:val="24"/>
        </w:rPr>
        <w:t>俄最大的国情就是政治经济发展的不平衡性。</w:t>
      </w:r>
      <w:r>
        <w:rPr>
          <w:rFonts w:hint="default" w:ascii="Times New Roman" w:hAnsi="Times New Roman" w:eastAsia="宋体" w:cs="Times New Roman"/>
          <w:color w:val="231F20"/>
          <w:spacing w:val="7"/>
          <w:sz w:val="24"/>
          <w:szCs w:val="24"/>
        </w:rPr>
        <w:t>一方面，俄国政治上相当成熟，建立无产阶级</w:t>
      </w:r>
      <w:r>
        <w:rPr>
          <w:rFonts w:hint="default" w:ascii="Times New Roman" w:hAnsi="Times New Roman" w:eastAsia="宋体" w:cs="Times New Roman"/>
          <w:color w:val="231F20"/>
          <w:spacing w:val="1"/>
          <w:sz w:val="24"/>
          <w:szCs w:val="24"/>
        </w:rPr>
        <w:t>专政，确立苏维埃政权，这是其先进性的一面；</w:t>
      </w:r>
      <w:r>
        <w:rPr>
          <w:rFonts w:hint="default" w:ascii="Times New Roman" w:hAnsi="Times New Roman" w:eastAsia="宋体" w:cs="Times New Roman"/>
          <w:color w:val="231F20"/>
          <w:spacing w:val="7"/>
          <w:sz w:val="24"/>
          <w:szCs w:val="24"/>
        </w:rPr>
        <w:t>另一方面，俄国在经济上相当落后，农村人口</w:t>
      </w:r>
      <w:r>
        <w:rPr>
          <w:rFonts w:hint="default" w:ascii="Times New Roman" w:hAnsi="Times New Roman" w:eastAsia="宋体" w:cs="Times New Roman"/>
          <w:color w:val="231F20"/>
          <w:spacing w:val="2"/>
          <w:sz w:val="24"/>
          <w:szCs w:val="24"/>
        </w:rPr>
        <w:t>仍占全俄人口比重的80%以上，小农经济仍占</w:t>
      </w:r>
      <w:r>
        <w:rPr>
          <w:rFonts w:hint="default" w:ascii="Times New Roman" w:hAnsi="Times New Roman" w:eastAsia="宋体" w:cs="Times New Roman"/>
          <w:color w:val="231F20"/>
          <w:spacing w:val="7"/>
          <w:sz w:val="24"/>
          <w:szCs w:val="24"/>
        </w:rPr>
        <w:t>经济结构的主体地位，影响广泛，俄国资本主义经济基础仍相对薄弱。“我们俄国无产阶级在政治制度方面，在工人政权的力量方面，比不管什么英国或德国都要先进，但在组织像样的国家资本主义方面，在文明程度方面，在从</w:t>
      </w:r>
      <w:r>
        <w:rPr>
          <w:rFonts w:hint="default" w:ascii="Times New Roman" w:hAnsi="Times New Roman" w:eastAsia="宋体" w:cs="Times New Roman"/>
          <w:color w:val="231F20"/>
          <w:spacing w:val="5"/>
          <w:sz w:val="24"/>
          <w:szCs w:val="24"/>
        </w:rPr>
        <w:t>物质和生产上‘实施’社会主义的准备程度方</w:t>
      </w:r>
      <w:r>
        <w:rPr>
          <w:rFonts w:hint="default" w:ascii="Times New Roman" w:hAnsi="Times New Roman" w:eastAsia="宋体" w:cs="Times New Roman"/>
          <w:color w:val="231F20"/>
          <w:spacing w:val="-6"/>
          <w:sz w:val="24"/>
          <w:szCs w:val="24"/>
        </w:rPr>
        <w:t>面，却比西欧最落后的国家还要落后。”</w:t>
      </w:r>
      <w:r>
        <w:rPr>
          <w:rFonts w:hint="default" w:ascii="Times New Roman" w:hAnsi="Times New Roman" w:eastAsia="宋体" w:cs="Times New Roman"/>
          <w:color w:val="231F20"/>
          <w:spacing w:val="-6"/>
          <w:sz w:val="24"/>
          <w:szCs w:val="24"/>
          <w:vertAlign w:val="superscript"/>
          <w:lang w:val="en-US"/>
        </w:rPr>
        <w:fldChar w:fldCharType="begin"/>
      </w:r>
      <w:r>
        <w:rPr>
          <w:rFonts w:hint="default" w:ascii="Times New Roman" w:hAnsi="Times New Roman" w:eastAsia="宋体" w:cs="Times New Roman"/>
          <w:color w:val="231F20"/>
          <w:spacing w:val="-6"/>
          <w:sz w:val="24"/>
          <w:szCs w:val="24"/>
          <w:vertAlign w:val="superscript"/>
          <w:lang w:val="en-US"/>
        </w:rPr>
        <w:instrText xml:space="preserve"> REF _Ref30922 \r \h </w:instrText>
      </w:r>
      <w:r>
        <w:rPr>
          <w:rFonts w:hint="default" w:ascii="Times New Roman" w:hAnsi="Times New Roman" w:eastAsia="宋体" w:cs="Times New Roman"/>
          <w:color w:val="231F20"/>
          <w:spacing w:val="-6"/>
          <w:sz w:val="24"/>
          <w:szCs w:val="24"/>
          <w:vertAlign w:val="superscript"/>
          <w:lang w:val="en-US"/>
        </w:rPr>
        <w:fldChar w:fldCharType="separate"/>
      </w:r>
      <w:r>
        <w:rPr>
          <w:rFonts w:hint="default" w:ascii="Times New Roman" w:hAnsi="Times New Roman" w:eastAsia="宋体" w:cs="Times New Roman"/>
          <w:color w:val="231F20"/>
          <w:spacing w:val="-6"/>
          <w:sz w:val="24"/>
          <w:szCs w:val="24"/>
          <w:vertAlign w:val="superscript"/>
          <w:lang w:val="en-US"/>
        </w:rPr>
        <w:t>[7]</w:t>
      </w:r>
      <w:r>
        <w:rPr>
          <w:rFonts w:hint="default" w:ascii="Times New Roman" w:hAnsi="Times New Roman" w:eastAsia="宋体" w:cs="Times New Roman"/>
          <w:color w:val="231F20"/>
          <w:spacing w:val="-6"/>
          <w:sz w:val="24"/>
          <w:szCs w:val="24"/>
          <w:vertAlign w:val="superscript"/>
          <w:lang w:val="en-US"/>
        </w:rPr>
        <w:fldChar w:fldCharType="end"/>
      </w:r>
      <w:r>
        <w:rPr>
          <w:rFonts w:hint="default" w:ascii="Times New Roman" w:hAnsi="Times New Roman" w:eastAsia="宋体" w:cs="Times New Roman"/>
          <w:color w:val="231F20"/>
          <w:spacing w:val="-6"/>
          <w:sz w:val="24"/>
          <w:szCs w:val="24"/>
          <w:vertAlign w:val="superscript"/>
          <w:lang w:val="en-US" w:eastAsia="zh-CN"/>
        </w:rPr>
        <w:t>(p.128)</w:t>
      </w:r>
    </w:p>
    <w:p w14:paraId="2F09CB4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正是国情的二元性特征，使列宁在1918年</w:t>
      </w:r>
      <w:r>
        <w:rPr>
          <w:rFonts w:hint="default" w:ascii="Times New Roman" w:hAnsi="Times New Roman" w:eastAsia="宋体" w:cs="Times New Roman"/>
          <w:color w:val="231F20"/>
          <w:spacing w:val="7"/>
          <w:sz w:val="24"/>
          <w:szCs w:val="24"/>
        </w:rPr>
        <w:t>之初就肯定国家资本主义的进步性：俄国如果</w:t>
      </w:r>
      <w:r>
        <w:rPr>
          <w:rFonts w:hint="default" w:ascii="Times New Roman" w:hAnsi="Times New Roman" w:eastAsia="宋体" w:cs="Times New Roman"/>
          <w:color w:val="231F20"/>
          <w:spacing w:val="11"/>
          <w:sz w:val="24"/>
          <w:szCs w:val="24"/>
        </w:rPr>
        <w:t>有国家资本主义作为占统治地位的经济制度，</w:t>
      </w:r>
      <w:r>
        <w:rPr>
          <w:rFonts w:hint="default" w:ascii="Times New Roman" w:hAnsi="Times New Roman" w:eastAsia="宋体" w:cs="Times New Roman"/>
          <w:color w:val="231F20"/>
          <w:spacing w:val="9"/>
          <w:position w:val="-1"/>
          <w:sz w:val="24"/>
          <w:szCs w:val="24"/>
        </w:rPr>
        <w:t>那我们的处境就会好一些。</w:t>
      </w:r>
      <w:r>
        <w:rPr>
          <w:rFonts w:hint="default" w:ascii="Times New Roman" w:hAnsi="Times New Roman" w:eastAsia="宋体" w:cs="Times New Roman"/>
          <w:color w:val="231F20"/>
          <w:spacing w:val="9"/>
          <w:position w:val="-1"/>
          <w:sz w:val="24"/>
          <w:szCs w:val="24"/>
          <w:vertAlign w:val="superscript"/>
          <w:lang w:val="en-US"/>
        </w:rPr>
        <w:fldChar w:fldCharType="begin"/>
      </w:r>
      <w:r>
        <w:rPr>
          <w:rFonts w:hint="default" w:ascii="Times New Roman" w:hAnsi="Times New Roman" w:eastAsia="宋体" w:cs="Times New Roman"/>
          <w:color w:val="231F20"/>
          <w:spacing w:val="9"/>
          <w:position w:val="-1"/>
          <w:sz w:val="24"/>
          <w:szCs w:val="24"/>
          <w:vertAlign w:val="superscript"/>
          <w:lang w:val="en-US"/>
        </w:rPr>
        <w:instrText xml:space="preserve"> REF _Ref30922 \r \h </w:instrText>
      </w:r>
      <w:r>
        <w:rPr>
          <w:rFonts w:hint="default" w:ascii="Times New Roman" w:hAnsi="Times New Roman" w:eastAsia="宋体" w:cs="Times New Roman"/>
          <w:color w:val="231F20"/>
          <w:spacing w:val="9"/>
          <w:position w:val="-1"/>
          <w:sz w:val="24"/>
          <w:szCs w:val="24"/>
          <w:vertAlign w:val="superscript"/>
          <w:lang w:val="en-US"/>
        </w:rPr>
        <w:fldChar w:fldCharType="separate"/>
      </w:r>
      <w:r>
        <w:rPr>
          <w:rFonts w:hint="default" w:ascii="Times New Roman" w:hAnsi="Times New Roman" w:eastAsia="宋体" w:cs="Times New Roman"/>
          <w:color w:val="231F20"/>
          <w:spacing w:val="9"/>
          <w:position w:val="-1"/>
          <w:sz w:val="24"/>
          <w:szCs w:val="24"/>
          <w:vertAlign w:val="superscript"/>
          <w:lang w:val="en-US"/>
        </w:rPr>
        <w:t>[7]</w:t>
      </w:r>
      <w:r>
        <w:rPr>
          <w:rFonts w:hint="default" w:ascii="Times New Roman" w:hAnsi="Times New Roman" w:eastAsia="宋体" w:cs="Times New Roman"/>
          <w:color w:val="231F20"/>
          <w:spacing w:val="9"/>
          <w:position w:val="-1"/>
          <w:sz w:val="24"/>
          <w:szCs w:val="24"/>
          <w:vertAlign w:val="superscript"/>
          <w:lang w:val="en-US"/>
        </w:rPr>
        <w:fldChar w:fldCharType="end"/>
      </w:r>
      <w:r>
        <w:rPr>
          <w:rFonts w:hint="default" w:ascii="Times New Roman" w:hAnsi="Times New Roman" w:eastAsia="宋体" w:cs="Times New Roman"/>
          <w:color w:val="231F20"/>
          <w:spacing w:val="9"/>
          <w:position w:val="-1"/>
          <w:sz w:val="24"/>
          <w:szCs w:val="24"/>
          <w:vertAlign w:val="superscript"/>
          <w:lang w:val="en-US" w:eastAsia="zh-CN"/>
        </w:rPr>
        <w:t>(p.276)</w:t>
      </w:r>
      <w:r>
        <w:rPr>
          <w:rFonts w:hint="default" w:ascii="Times New Roman" w:hAnsi="Times New Roman" w:eastAsia="宋体" w:cs="Times New Roman"/>
          <w:color w:val="231F20"/>
          <w:spacing w:val="9"/>
          <w:position w:val="-1"/>
          <w:sz w:val="24"/>
          <w:szCs w:val="24"/>
        </w:rPr>
        <w:t>当时列宁在</w:t>
      </w:r>
      <w:r>
        <w:rPr>
          <w:rFonts w:hint="default" w:ascii="Times New Roman" w:hAnsi="Times New Roman" w:eastAsia="宋体" w:cs="Times New Roman"/>
          <w:color w:val="231F20"/>
          <w:spacing w:val="18"/>
          <w:sz w:val="24"/>
          <w:szCs w:val="24"/>
        </w:rPr>
        <w:t>明确分析了俄国存在的五种经济成分之后断</w:t>
      </w:r>
      <w:r>
        <w:rPr>
          <w:rFonts w:hint="default" w:ascii="Times New Roman" w:hAnsi="Times New Roman" w:eastAsia="宋体" w:cs="Times New Roman"/>
          <w:color w:val="231F20"/>
          <w:spacing w:val="7"/>
          <w:sz w:val="24"/>
          <w:szCs w:val="24"/>
        </w:rPr>
        <w:t>言，俄国仍是小农经济和小商品经济占据统治地位的经济结构，为了向社会主义经济结构过渡从而奠定社会主义建设的物质基础，俄国的历史任务还不是直接建设社会主义经济，而需要一个过渡阶段，这在政治经济学上可称之为</w:t>
      </w:r>
      <w:r>
        <w:rPr>
          <w:rFonts w:hint="default" w:ascii="Times New Roman" w:hAnsi="Times New Roman" w:eastAsia="宋体" w:cs="Times New Roman"/>
          <w:color w:val="231F20"/>
          <w:spacing w:val="8"/>
          <w:sz w:val="24"/>
          <w:szCs w:val="24"/>
        </w:rPr>
        <w:t>国家资本主义。</w:t>
      </w:r>
    </w:p>
    <w:p w14:paraId="055BFC8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因此，当开始探索新经济政策之后，列宁</w:t>
      </w:r>
      <w:r>
        <w:rPr>
          <w:rFonts w:hint="default" w:ascii="Times New Roman" w:hAnsi="Times New Roman" w:eastAsia="宋体" w:cs="Times New Roman"/>
          <w:color w:val="231F20"/>
          <w:spacing w:val="18"/>
          <w:sz w:val="24"/>
          <w:szCs w:val="24"/>
        </w:rPr>
        <w:t>明确把新经济政策的实质定位为实行国家资</w:t>
      </w:r>
      <w:r>
        <w:rPr>
          <w:rFonts w:hint="default" w:ascii="Times New Roman" w:hAnsi="Times New Roman" w:eastAsia="宋体" w:cs="Times New Roman"/>
          <w:color w:val="231F20"/>
          <w:spacing w:val="6"/>
          <w:sz w:val="24"/>
          <w:szCs w:val="24"/>
        </w:rPr>
        <w:t>本主义。布哈林曾指出列宁在《论粮食税》里</w:t>
      </w:r>
      <w:r>
        <w:rPr>
          <w:rFonts w:hint="default" w:ascii="Times New Roman" w:hAnsi="Times New Roman" w:eastAsia="宋体" w:cs="Times New Roman"/>
          <w:color w:val="231F20"/>
          <w:spacing w:val="7"/>
          <w:sz w:val="24"/>
          <w:szCs w:val="24"/>
        </w:rPr>
        <w:t>强调的主要观点就是，在走向社会主义的运动</w:t>
      </w:r>
      <w:r>
        <w:rPr>
          <w:rFonts w:hint="default" w:ascii="Times New Roman" w:hAnsi="Times New Roman" w:eastAsia="宋体" w:cs="Times New Roman"/>
          <w:color w:val="231F20"/>
          <w:spacing w:val="11"/>
          <w:sz w:val="24"/>
          <w:szCs w:val="24"/>
        </w:rPr>
        <w:t>中首先必须克服分散的小资产阶级自发势力，</w:t>
      </w:r>
      <w:r>
        <w:rPr>
          <w:rFonts w:hint="default" w:ascii="Times New Roman" w:hAnsi="Times New Roman" w:eastAsia="宋体" w:cs="Times New Roman"/>
          <w:color w:val="231F20"/>
          <w:spacing w:val="18"/>
          <w:sz w:val="24"/>
          <w:szCs w:val="24"/>
        </w:rPr>
        <w:t>为此需要有勇气利用大资本（主要是租让资</w:t>
      </w:r>
      <w:r>
        <w:rPr>
          <w:rFonts w:hint="default" w:ascii="Times New Roman" w:hAnsi="Times New Roman" w:eastAsia="宋体" w:cs="Times New Roman"/>
          <w:color w:val="231F20"/>
          <w:spacing w:val="11"/>
          <w:sz w:val="24"/>
          <w:szCs w:val="24"/>
        </w:rPr>
        <w:t>本）来克服这种小业主的自发势力和分散性。</w:t>
      </w:r>
      <w:r>
        <w:rPr>
          <w:rFonts w:hint="default" w:ascii="Times New Roman" w:hAnsi="Times New Roman" w:eastAsia="宋体" w:cs="Times New Roman"/>
          <w:color w:val="231F20"/>
          <w:spacing w:val="7"/>
          <w:sz w:val="24"/>
          <w:szCs w:val="24"/>
        </w:rPr>
        <w:t>布哈林特别强调，这是列宁在新经济政策之初的战略计划，而这个战略计划就是要让“无产</w:t>
      </w:r>
      <w:r>
        <w:rPr>
          <w:rFonts w:hint="default" w:ascii="Times New Roman" w:hAnsi="Times New Roman" w:eastAsia="宋体" w:cs="Times New Roman"/>
          <w:color w:val="231F20"/>
          <w:spacing w:val="6"/>
          <w:sz w:val="24"/>
          <w:szCs w:val="24"/>
        </w:rPr>
        <w:t>阶级——社会主义经济成分，加上大资本，在</w:t>
      </w:r>
      <w:r>
        <w:rPr>
          <w:rFonts w:hint="default" w:ascii="Times New Roman" w:hAnsi="Times New Roman" w:eastAsia="宋体" w:cs="Times New Roman"/>
          <w:color w:val="231F20"/>
          <w:spacing w:val="7"/>
          <w:sz w:val="24"/>
          <w:szCs w:val="24"/>
        </w:rPr>
        <w:t>一定意义上组成经济联盟，这个联盟用各种绳——分散的小资产阶级自发势力束缚住”。</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_Ref32111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[9]</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(pp.208-209)</w:t>
      </w:r>
      <w:r>
        <w:rPr>
          <w:rFonts w:hint="default" w:ascii="Times New Roman" w:hAnsi="Times New Roman" w:eastAsia="宋体" w:cs="Times New Roman"/>
          <w:color w:val="231F20"/>
          <w:spacing w:val="7"/>
          <w:sz w:val="24"/>
          <w:szCs w:val="24"/>
        </w:rPr>
        <w:t>因此，列宁在施行新经济政策之初主要是从积极角度来看待大资本的作用，因为“在这里不是国家资本主义同社会主义作斗争，而是小资产阶级和私人资本主义合在一起，既同国家资本主义又同社会主义作斗争”。</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_Ref13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[10]</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(p.490)</w:t>
      </w:r>
      <w:r>
        <w:rPr>
          <w:rFonts w:hint="default" w:ascii="Times New Roman" w:hAnsi="Times New Roman" w:eastAsia="宋体" w:cs="Times New Roman"/>
          <w:color w:val="231F20"/>
          <w:spacing w:val="7"/>
          <w:sz w:val="24"/>
          <w:szCs w:val="24"/>
        </w:rPr>
        <w:t>然而，列宁对新经济政策被滥用、对国家资本主义演变为私人资本主义始终心存警惕，他在给司法人民委员部负责人的信中表达了这种忧虑，特别指示要“狠狠惩办任何超越国家资本主义范围的资本主义”。</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_Ref30922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[7]</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(p.309)</w:t>
      </w:r>
      <w:r>
        <w:rPr>
          <w:rFonts w:hint="default" w:ascii="Times New Roman" w:hAnsi="Times New Roman" w:eastAsia="宋体" w:cs="Times New Roman"/>
          <w:color w:val="231F20"/>
          <w:spacing w:val="7"/>
          <w:sz w:val="24"/>
          <w:szCs w:val="24"/>
        </w:rPr>
        <w:t>不难理解，在生命的最后岁月深入思考新经济政策可能带来的风险时，列宁意识到必须对大资本保持警惕，因为随着新经济政策进一步发展，苏俄“退到了”国家资本主义，“退到了”由国家调节商业和货币流通，也即恢复市场机制。列宁强调“新经济政策所造成的情况，如小型商业企业的发展、国营企业的出租等，都意味着资本主义关系的发展，看不到这一点，那就是完全丧失了清醒的头脑”。</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_Ref30922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[7]</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(p.285)</w:t>
      </w:r>
      <w:r>
        <w:rPr>
          <w:rFonts w:hint="default" w:ascii="Times New Roman" w:hAnsi="Times New Roman" w:eastAsia="宋体" w:cs="Times New Roman"/>
          <w:color w:val="231F20"/>
          <w:spacing w:val="7"/>
          <w:sz w:val="24"/>
          <w:szCs w:val="24"/>
        </w:rPr>
        <w:t>因此，在口授《论合作社》这篇文章时，列宁的思路在一定程度上已经从借助、联合大资本转变为防范、节制大资本。关于这点，布哈林敏锐地指出，列宁在这里提出了第二个战略计划，而这个战略计划与之前第一个战略计划是不同的。第二个战略计划是设想社会主义经济“和组成合作社的农民结成联盟，反对大资本和一般私人资本的残余”。</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_Ref32111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[9]</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(p.210)</w:t>
      </w:r>
      <w:r>
        <w:rPr>
          <w:rFonts w:hint="default" w:ascii="Times New Roman" w:hAnsi="Times New Roman" w:eastAsia="宋体" w:cs="Times New Roman"/>
          <w:color w:val="231F20"/>
          <w:spacing w:val="7"/>
          <w:sz w:val="24"/>
          <w:szCs w:val="24"/>
        </w:rPr>
        <w:t>显然，如果列宁这里的设想能够成功付诸实践，那么对于市场机制和商品货币关系的负面作用就大可不必担心，因为“国家支配着一切大的生产资料，无产阶级掌握着国家政权，这种无产阶级和千百万小农及极小农结成了同盟，这种无产阶级对农民的领导得到了保证”。</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_Ref30922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[7]</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(p.349)</w:t>
      </w:r>
      <w:r>
        <w:rPr>
          <w:rFonts w:hint="default" w:ascii="Times New Roman" w:hAnsi="Times New Roman" w:eastAsia="宋体" w:cs="Times New Roman"/>
          <w:color w:val="231F20"/>
          <w:spacing w:val="7"/>
          <w:sz w:val="24"/>
          <w:szCs w:val="24"/>
        </w:rPr>
        <w:t>这也意味着在新经济政策条件下，有可能将农民争取到无产阶级一边，</w:t>
      </w:r>
      <w:r>
        <w:rPr>
          <w:rFonts w:hint="default" w:ascii="Times New Roman" w:hAnsi="Times New Roman" w:eastAsia="宋体" w:cs="Times New Roman"/>
          <w:color w:val="231F20"/>
          <w:spacing w:val="30"/>
          <w:sz w:val="24"/>
          <w:szCs w:val="24"/>
        </w:rPr>
        <w:t>使他们不被大资本和一般私人资本吸引过</w:t>
      </w:r>
      <w:r>
        <w:rPr>
          <w:rFonts w:hint="default" w:ascii="Times New Roman" w:hAnsi="Times New Roman" w:eastAsia="宋体" w:cs="Times New Roman"/>
          <w:color w:val="231F20"/>
          <w:spacing w:val="18"/>
          <w:sz w:val="24"/>
          <w:szCs w:val="24"/>
        </w:rPr>
        <w:t>去，能够通过经济的办法自然规避资本主义</w:t>
      </w:r>
      <w:r>
        <w:rPr>
          <w:rFonts w:hint="default" w:ascii="Times New Roman" w:hAnsi="Times New Roman" w:eastAsia="宋体" w:cs="Times New Roman"/>
          <w:color w:val="231F20"/>
          <w:spacing w:val="6"/>
          <w:sz w:val="24"/>
          <w:szCs w:val="24"/>
        </w:rPr>
        <w:t>关系的影响，进而构建起“工农同盟式”的社</w:t>
      </w:r>
      <w:r>
        <w:rPr>
          <w:rFonts w:hint="default" w:ascii="Times New Roman" w:hAnsi="Times New Roman" w:eastAsia="宋体" w:cs="Times New Roman"/>
          <w:color w:val="231F20"/>
          <w:spacing w:val="11"/>
          <w:sz w:val="24"/>
          <w:szCs w:val="24"/>
        </w:rPr>
        <w:t>会主义发展模式。</w:t>
      </w:r>
    </w:p>
    <w:p w14:paraId="3638B91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（四）肯定合作社：指明合作社的社会主义</w:t>
      </w:r>
      <w:r>
        <w:rPr>
          <w:rFonts w:hint="default" w:ascii="Times New Roman" w:hAnsi="Times New Roman" w:eastAsia="宋体" w:cs="Times New Roman"/>
          <w:color w:val="231F20"/>
          <w:spacing w:val="5"/>
          <w:sz w:val="24"/>
          <w:szCs w:val="24"/>
        </w:rPr>
        <w:t>性质</w:t>
      </w:r>
    </w:p>
    <w:p w14:paraId="66879D8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列宁在重新审视新经济政策条件下合作社具有的巨大意义后，完成了从否定合作社向肯定合作社的逻辑转换，在扬弃合作制资本主义</w:t>
      </w:r>
      <w:r>
        <w:rPr>
          <w:rFonts w:hint="default" w:ascii="Times New Roman" w:hAnsi="Times New Roman" w:eastAsia="宋体" w:cs="Times New Roman"/>
          <w:color w:val="231F20"/>
          <w:spacing w:val="5"/>
          <w:sz w:val="24"/>
          <w:szCs w:val="24"/>
        </w:rPr>
        <w:t>的基础上提出了合作制社会主义的构想。</w:t>
      </w:r>
    </w:p>
    <w:p w14:paraId="60F0464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在新经济政策提出初期，列宁将合作社</w:t>
      </w:r>
      <w:r>
        <w:rPr>
          <w:rFonts w:hint="default" w:ascii="Times New Roman" w:hAnsi="Times New Roman" w:eastAsia="宋体" w:cs="Times New Roman"/>
          <w:color w:val="231F20"/>
          <w:spacing w:val="18"/>
          <w:sz w:val="24"/>
          <w:szCs w:val="24"/>
        </w:rPr>
        <w:t>视为国家资本主义的变种，希望通过合作社直接进行农产品与工业品交换，力图将分散落后的小农经济纳入国家资本主义轨道，为</w:t>
      </w:r>
      <w:r>
        <w:rPr>
          <w:rFonts w:hint="default" w:ascii="Times New Roman" w:hAnsi="Times New Roman" w:eastAsia="宋体" w:cs="Times New Roman"/>
          <w:color w:val="231F20"/>
          <w:spacing w:val="15"/>
          <w:sz w:val="24"/>
          <w:szCs w:val="24"/>
        </w:rPr>
        <w:t>过渡到社会主义经济做准备。因此，列宁这</w:t>
      </w:r>
      <w:r>
        <w:rPr>
          <w:rFonts w:hint="default" w:ascii="Times New Roman" w:hAnsi="Times New Roman" w:eastAsia="宋体" w:cs="Times New Roman"/>
          <w:color w:val="231F20"/>
          <w:spacing w:val="18"/>
          <w:sz w:val="24"/>
          <w:szCs w:val="24"/>
        </w:rPr>
        <w:t>时认为合作社是一种国家资本主义类型，是主要从事买卖的集体经济机构，推行合作社制度相对于原来实行的战时共产主义而言当</w:t>
      </w:r>
      <w:r>
        <w:rPr>
          <w:rFonts w:hint="default" w:ascii="Times New Roman" w:hAnsi="Times New Roman" w:eastAsia="宋体" w:cs="Times New Roman"/>
          <w:color w:val="231F20"/>
          <w:spacing w:val="7"/>
          <w:sz w:val="24"/>
          <w:szCs w:val="24"/>
        </w:rPr>
        <w:t>然是一种“倒退”，即从某种共产主义体制退</w:t>
      </w:r>
      <w:r>
        <w:rPr>
          <w:rFonts w:hint="default" w:ascii="Times New Roman" w:hAnsi="Times New Roman" w:eastAsia="宋体" w:cs="Times New Roman"/>
          <w:color w:val="231F20"/>
          <w:spacing w:val="17"/>
          <w:sz w:val="24"/>
          <w:szCs w:val="24"/>
        </w:rPr>
        <w:t>却到一种特殊的资本主义体制。那时列宁对</w:t>
      </w:r>
      <w:r>
        <w:rPr>
          <w:rFonts w:hint="default" w:ascii="Times New Roman" w:hAnsi="Times New Roman" w:eastAsia="宋体" w:cs="Times New Roman"/>
          <w:color w:val="231F20"/>
          <w:spacing w:val="7"/>
          <w:sz w:val="24"/>
          <w:szCs w:val="24"/>
        </w:rPr>
        <w:t>合作社性质的观点还有所保留，他在《论粮食</w:t>
      </w:r>
      <w:r>
        <w:rPr>
          <w:rFonts w:hint="default" w:ascii="Times New Roman" w:hAnsi="Times New Roman" w:eastAsia="宋体" w:cs="Times New Roman"/>
          <w:color w:val="231F20"/>
          <w:spacing w:val="-13"/>
          <w:sz w:val="24"/>
          <w:szCs w:val="24"/>
        </w:rPr>
        <w:t>税》中强调：“在苏维埃政权下，‘合作制</w:t>
      </w:r>
      <w:r>
        <w:rPr>
          <w:rFonts w:hint="default" w:ascii="Times New Roman" w:hAnsi="Times New Roman" w:eastAsia="宋体" w:cs="Times New Roman"/>
          <w:color w:val="231F20"/>
          <w:spacing w:val="-14"/>
          <w:sz w:val="24"/>
          <w:szCs w:val="24"/>
        </w:rPr>
        <w:t>’资本</w:t>
      </w:r>
      <w:r>
        <w:rPr>
          <w:rFonts w:hint="default" w:ascii="Times New Roman" w:hAnsi="Times New Roman" w:eastAsia="宋体" w:cs="Times New Roman"/>
          <w:color w:val="231F20"/>
          <w:spacing w:val="18"/>
          <w:sz w:val="24"/>
          <w:szCs w:val="24"/>
        </w:rPr>
        <w:t>主义和私人资本主义不同，是国家资本主义</w:t>
      </w:r>
      <w:r>
        <w:rPr>
          <w:rFonts w:hint="default" w:ascii="Times New Roman" w:hAnsi="Times New Roman" w:eastAsia="宋体" w:cs="Times New Roman"/>
          <w:color w:val="231F20"/>
          <w:spacing w:val="7"/>
          <w:sz w:val="24"/>
          <w:szCs w:val="24"/>
        </w:rPr>
        <w:t>的一个变种，正因为如此，所以它对我们是有</w:t>
      </w:r>
      <w:r>
        <w:rPr>
          <w:rFonts w:hint="default" w:ascii="Times New Roman" w:hAnsi="Times New Roman" w:eastAsia="宋体" w:cs="Times New Roman"/>
          <w:color w:val="231F20"/>
          <w:spacing w:val="26"/>
          <w:sz w:val="24"/>
          <w:szCs w:val="24"/>
        </w:rPr>
        <w:t>利的、有好处的，当然这只是在一定程度</w:t>
      </w:r>
      <w:r>
        <w:rPr>
          <w:rFonts w:hint="default" w:ascii="Times New Roman" w:hAnsi="Times New Roman" w:eastAsia="宋体" w:cs="Times New Roman"/>
          <w:color w:val="231F20"/>
          <w:spacing w:val="3"/>
          <w:sz w:val="24"/>
          <w:szCs w:val="24"/>
        </w:rPr>
        <w:t>上。”</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(p.222)</w:t>
      </w:r>
      <w:r>
        <w:rPr>
          <w:rFonts w:hint="default" w:ascii="Times New Roman" w:hAnsi="Times New Roman" w:eastAsia="宋体" w:cs="Times New Roman"/>
          <w:color w:val="231F20"/>
          <w:spacing w:val="3"/>
          <w:sz w:val="24"/>
          <w:szCs w:val="24"/>
        </w:rPr>
        <w:t>显然，这时列宁将合作社的性质定</w:t>
      </w:r>
      <w:r>
        <w:rPr>
          <w:rFonts w:hint="default" w:ascii="Times New Roman" w:hAnsi="Times New Roman" w:eastAsia="宋体" w:cs="Times New Roman"/>
          <w:color w:val="231F20"/>
          <w:spacing w:val="11"/>
          <w:sz w:val="24"/>
          <w:szCs w:val="24"/>
        </w:rPr>
        <w:t>位于资本主义。</w:t>
      </w:r>
    </w:p>
    <w:p w14:paraId="7AB6833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到1923年初口授《论合作社》这篇文章时，</w:t>
      </w:r>
      <w:r>
        <w:rPr>
          <w:rFonts w:hint="default" w:ascii="Times New Roman" w:hAnsi="Times New Roman" w:eastAsia="宋体" w:cs="Times New Roman"/>
          <w:color w:val="231F20"/>
          <w:spacing w:val="18"/>
          <w:sz w:val="24"/>
          <w:szCs w:val="24"/>
        </w:rPr>
        <w:t>列宁对合作社的性质和重要意义做出了新判</w:t>
      </w:r>
      <w:r>
        <w:rPr>
          <w:rFonts w:hint="default" w:ascii="Times New Roman" w:hAnsi="Times New Roman" w:eastAsia="宋体" w:cs="Times New Roman"/>
          <w:color w:val="231F20"/>
          <w:spacing w:val="6"/>
          <w:sz w:val="24"/>
          <w:szCs w:val="24"/>
        </w:rPr>
        <w:t>断。俄国学者认为，这时列宁谈的已不是合作</w:t>
      </w:r>
      <w:r>
        <w:rPr>
          <w:rFonts w:hint="default" w:ascii="Times New Roman" w:hAnsi="Times New Roman" w:eastAsia="宋体" w:cs="Times New Roman"/>
          <w:color w:val="231F20"/>
          <w:spacing w:val="-2"/>
          <w:sz w:val="24"/>
          <w:szCs w:val="24"/>
        </w:rPr>
        <w:t>制资本主义，而是合作制社会主义了。“《</w:t>
      </w:r>
      <w:r>
        <w:rPr>
          <w:rFonts w:hint="default" w:ascii="Times New Roman" w:hAnsi="Times New Roman" w:eastAsia="宋体" w:cs="Times New Roman"/>
          <w:color w:val="231F20"/>
          <w:spacing w:val="-3"/>
          <w:sz w:val="24"/>
          <w:szCs w:val="24"/>
        </w:rPr>
        <w:t>论合</w:t>
      </w:r>
      <w:r>
        <w:rPr>
          <w:rFonts w:hint="default" w:ascii="Times New Roman" w:hAnsi="Times New Roman" w:eastAsia="宋体" w:cs="Times New Roman"/>
          <w:color w:val="231F20"/>
          <w:spacing w:val="7"/>
          <w:sz w:val="24"/>
          <w:szCs w:val="24"/>
        </w:rPr>
        <w:t>作社》一文是当之无愧的合作制社会主义的宣言，因为这篇文章为苏维埃国家的社会主义经</w:t>
      </w:r>
      <w:r>
        <w:rPr>
          <w:rFonts w:hint="default" w:ascii="Times New Roman" w:hAnsi="Times New Roman" w:eastAsia="宋体" w:cs="Times New Roman"/>
          <w:color w:val="231F20"/>
          <w:spacing w:val="-7"/>
          <w:position w:val="-1"/>
          <w:sz w:val="24"/>
          <w:szCs w:val="24"/>
        </w:rPr>
        <w:t>济确定了合作社模式。”</w:t>
      </w:r>
      <w:r>
        <w:rPr>
          <w:rFonts w:hint="default" w:ascii="Times New Roman" w:hAnsi="Times New Roman" w:eastAsia="宋体" w:cs="Times New Roman"/>
          <w:color w:val="231F20"/>
          <w:spacing w:val="-7"/>
          <w:position w:val="-1"/>
          <w:sz w:val="24"/>
          <w:szCs w:val="24"/>
          <w:vertAlign w:val="superscript"/>
          <w:lang w:val="en-US"/>
        </w:rPr>
        <w:fldChar w:fldCharType="begin"/>
      </w:r>
      <w:r>
        <w:rPr>
          <w:rFonts w:hint="default" w:ascii="Times New Roman" w:hAnsi="Times New Roman" w:eastAsia="宋体" w:cs="Times New Roman"/>
          <w:color w:val="231F20"/>
          <w:spacing w:val="-7"/>
          <w:position w:val="-1"/>
          <w:sz w:val="24"/>
          <w:szCs w:val="24"/>
          <w:vertAlign w:val="superscript"/>
          <w:lang w:val="en-US"/>
        </w:rPr>
        <w:instrText xml:space="preserve"> REF _Ref189 \r \h </w:instrText>
      </w:r>
      <w:r>
        <w:rPr>
          <w:rFonts w:hint="default" w:ascii="Times New Roman" w:hAnsi="Times New Roman" w:eastAsia="宋体" w:cs="Times New Roman"/>
          <w:color w:val="231F20"/>
          <w:spacing w:val="-7"/>
          <w:position w:val="-1"/>
          <w:sz w:val="24"/>
          <w:szCs w:val="24"/>
          <w:vertAlign w:val="superscript"/>
          <w:lang w:val="en-US"/>
        </w:rPr>
        <w:fldChar w:fldCharType="separate"/>
      </w:r>
      <w:r>
        <w:rPr>
          <w:rFonts w:hint="default" w:ascii="Times New Roman" w:hAnsi="Times New Roman" w:eastAsia="宋体" w:cs="Times New Roman"/>
          <w:color w:val="231F20"/>
          <w:spacing w:val="-7"/>
          <w:position w:val="-1"/>
          <w:sz w:val="24"/>
          <w:szCs w:val="24"/>
          <w:vertAlign w:val="superscript"/>
          <w:lang w:val="en-US"/>
        </w:rPr>
        <w:t>[11]</w:t>
      </w:r>
      <w:r>
        <w:rPr>
          <w:rFonts w:hint="default" w:ascii="Times New Roman" w:hAnsi="Times New Roman" w:eastAsia="宋体" w:cs="Times New Roman"/>
          <w:color w:val="231F20"/>
          <w:spacing w:val="-7"/>
          <w:position w:val="-1"/>
          <w:sz w:val="24"/>
          <w:szCs w:val="24"/>
          <w:vertAlign w:val="superscript"/>
          <w:lang w:val="en-US"/>
        </w:rPr>
        <w:fldChar w:fldCharType="end"/>
      </w:r>
      <w:r>
        <w:rPr>
          <w:rFonts w:hint="default" w:ascii="Times New Roman" w:hAnsi="Times New Roman" w:eastAsia="宋体" w:cs="Times New Roman"/>
          <w:color w:val="231F20"/>
          <w:spacing w:val="-7"/>
          <w:position w:val="-1"/>
          <w:sz w:val="24"/>
          <w:szCs w:val="24"/>
          <w:vertAlign w:val="superscript"/>
          <w:lang w:val="en-US" w:eastAsia="zh-CN"/>
        </w:rPr>
        <w:t>(p.56)</w:t>
      </w:r>
    </w:p>
    <w:p w14:paraId="7AFA1DE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列宁在《论合作社》中明确提出：“对我们</w:t>
      </w:r>
      <w:r>
        <w:rPr>
          <w:rFonts w:hint="default" w:ascii="Times New Roman" w:hAnsi="Times New Roman" w:eastAsia="宋体" w:cs="Times New Roman"/>
          <w:color w:val="231F20"/>
          <w:spacing w:val="11"/>
          <w:sz w:val="24"/>
          <w:szCs w:val="24"/>
        </w:rPr>
        <w:t>来说，合作社的发展也就等于（只有上述一点</w:t>
      </w:r>
      <w:r>
        <w:rPr>
          <w:rFonts w:hint="default" w:ascii="Times New Roman" w:hAnsi="Times New Roman" w:eastAsia="宋体" w:cs="Times New Roman"/>
          <w:color w:val="231F20"/>
          <w:spacing w:val="-10"/>
          <w:sz w:val="24"/>
          <w:szCs w:val="24"/>
        </w:rPr>
        <w:t>‘小小的’例外）社会主义的发展，与此同时，我</w:t>
      </w:r>
      <w:r>
        <w:rPr>
          <w:rFonts w:hint="default" w:ascii="Times New Roman" w:hAnsi="Times New Roman" w:eastAsia="宋体" w:cs="Times New Roman"/>
          <w:color w:val="231F20"/>
          <w:spacing w:val="18"/>
          <w:sz w:val="24"/>
          <w:szCs w:val="24"/>
        </w:rPr>
        <w:t>们不得不承认我们对社会主义的整个看法根</w:t>
      </w:r>
      <w:r>
        <w:rPr>
          <w:rFonts w:hint="default" w:ascii="Times New Roman" w:hAnsi="Times New Roman" w:eastAsia="宋体" w:cs="Times New Roman"/>
          <w:color w:val="231F20"/>
          <w:spacing w:val="3"/>
          <w:sz w:val="24"/>
          <w:szCs w:val="24"/>
        </w:rPr>
        <w:t>本改变了。”</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(p.354)</w:t>
      </w:r>
      <w:r>
        <w:rPr>
          <w:rFonts w:hint="default" w:ascii="Times New Roman" w:hAnsi="Times New Roman" w:eastAsia="宋体" w:cs="Times New Roman"/>
          <w:color w:val="231F20"/>
          <w:spacing w:val="3"/>
          <w:sz w:val="24"/>
          <w:szCs w:val="24"/>
        </w:rPr>
        <w:t>虽然国内学界对这一表述存</w:t>
      </w:r>
      <w:r>
        <w:rPr>
          <w:rFonts w:hint="default" w:ascii="Times New Roman" w:hAnsi="Times New Roman" w:eastAsia="宋体" w:cs="Times New Roman"/>
          <w:color w:val="231F20"/>
          <w:spacing w:val="-6"/>
          <w:sz w:val="24"/>
          <w:szCs w:val="24"/>
        </w:rPr>
        <w:t>在不同看法，</w:t>
      </w:r>
      <w:r>
        <w:rPr>
          <w:rFonts w:hint="default" w:ascii="Times New Roman" w:hAnsi="Times New Roman" w:eastAsia="宋体" w:cs="Times New Roman"/>
          <w:color w:val="231F20"/>
          <w:spacing w:val="-6"/>
          <w:sz w:val="24"/>
          <w:szCs w:val="24"/>
          <w:vertAlign w:val="superscript"/>
          <w:lang w:val="en-US"/>
        </w:rPr>
        <w:fldChar w:fldCharType="begin"/>
      </w:r>
      <w:r>
        <w:rPr>
          <w:rFonts w:hint="default" w:ascii="Times New Roman" w:hAnsi="Times New Roman" w:eastAsia="宋体" w:cs="Times New Roman"/>
          <w:color w:val="231F20"/>
          <w:spacing w:val="-6"/>
          <w:sz w:val="24"/>
          <w:szCs w:val="24"/>
          <w:vertAlign w:val="superscript"/>
          <w:lang w:val="en-US"/>
        </w:rPr>
        <w:instrText xml:space="preserve"> REF _Ref372 \r \h </w:instrText>
      </w:r>
      <w:r>
        <w:rPr>
          <w:rFonts w:hint="default" w:ascii="Times New Roman" w:hAnsi="Times New Roman" w:eastAsia="宋体" w:cs="Times New Roman"/>
          <w:color w:val="231F20"/>
          <w:spacing w:val="-6"/>
          <w:sz w:val="24"/>
          <w:szCs w:val="24"/>
          <w:vertAlign w:val="superscript"/>
          <w:lang w:val="en-US"/>
        </w:rPr>
        <w:fldChar w:fldCharType="separate"/>
      </w:r>
      <w:r>
        <w:rPr>
          <w:rFonts w:hint="default" w:ascii="Times New Roman" w:hAnsi="Times New Roman" w:eastAsia="宋体" w:cs="Times New Roman"/>
          <w:color w:val="231F20"/>
          <w:spacing w:val="-6"/>
          <w:sz w:val="24"/>
          <w:szCs w:val="24"/>
          <w:vertAlign w:val="superscript"/>
          <w:lang w:val="en-US"/>
        </w:rPr>
        <w:t>[12]</w:t>
      </w:r>
      <w:r>
        <w:rPr>
          <w:rFonts w:hint="default" w:ascii="Times New Roman" w:hAnsi="Times New Roman" w:eastAsia="宋体" w:cs="Times New Roman"/>
          <w:color w:val="231F20"/>
          <w:spacing w:val="-6"/>
          <w:sz w:val="24"/>
          <w:szCs w:val="24"/>
          <w:vertAlign w:val="superscript"/>
          <w:lang w:val="en-US"/>
        </w:rPr>
        <w:fldChar w:fldCharType="end"/>
      </w:r>
      <w:r>
        <w:rPr>
          <w:rFonts w:hint="default" w:ascii="Times New Roman" w:hAnsi="Times New Roman" w:eastAsia="宋体" w:cs="Times New Roman"/>
          <w:color w:val="231F20"/>
          <w:spacing w:val="-6"/>
          <w:sz w:val="24"/>
          <w:szCs w:val="24"/>
          <w:vertAlign w:val="superscript"/>
          <w:lang w:val="en-US" w:eastAsia="zh-CN"/>
        </w:rPr>
        <w:t>(p.149)</w:t>
      </w:r>
      <w:r>
        <w:rPr>
          <w:rFonts w:hint="default" w:ascii="Times New Roman" w:hAnsi="Times New Roman" w:eastAsia="宋体" w:cs="Times New Roman"/>
          <w:color w:val="231F20"/>
          <w:spacing w:val="-6"/>
          <w:sz w:val="24"/>
          <w:szCs w:val="24"/>
        </w:rPr>
        <w:t>但仔细梳理《论合作社》一文</w:t>
      </w:r>
      <w:r>
        <w:rPr>
          <w:rFonts w:hint="default" w:ascii="Times New Roman" w:hAnsi="Times New Roman" w:eastAsia="宋体" w:cs="Times New Roman"/>
          <w:color w:val="231F20"/>
          <w:spacing w:val="7"/>
          <w:sz w:val="24"/>
          <w:szCs w:val="24"/>
        </w:rPr>
        <w:t>的观点就可以发现，不论对社会主义的定义究竟有没有实质性变化，列宁对合作社性质的看</w:t>
      </w:r>
      <w:r>
        <w:rPr>
          <w:rFonts w:hint="default" w:ascii="Times New Roman" w:hAnsi="Times New Roman" w:eastAsia="宋体" w:cs="Times New Roman"/>
          <w:color w:val="231F20"/>
          <w:spacing w:val="8"/>
          <w:sz w:val="24"/>
          <w:szCs w:val="24"/>
        </w:rPr>
        <w:t>法的确不同以往。</w:t>
      </w:r>
    </w:p>
    <w:p w14:paraId="5F1E537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列宁明确认为，合作社原来是资本主义性</w:t>
      </w:r>
      <w:r>
        <w:rPr>
          <w:rFonts w:hint="default" w:ascii="Times New Roman" w:hAnsi="Times New Roman" w:eastAsia="宋体" w:cs="Times New Roman"/>
          <w:color w:val="231F20"/>
          <w:spacing w:val="5"/>
          <w:sz w:val="24"/>
          <w:szCs w:val="24"/>
        </w:rPr>
        <w:t>质的，是“曾被我们鄙视为做买卖的合作社</w:t>
      </w:r>
      <w:r>
        <w:rPr>
          <w:rFonts w:hint="default" w:ascii="Times New Roman" w:hAnsi="Times New Roman" w:eastAsia="宋体" w:cs="Times New Roman"/>
          <w:color w:val="231F20"/>
          <w:spacing w:val="4"/>
          <w:sz w:val="24"/>
          <w:szCs w:val="24"/>
        </w:rPr>
        <w:t>”，</w:t>
      </w:r>
      <w:r>
        <w:rPr>
          <w:rFonts w:hint="default" w:ascii="Times New Roman" w:hAnsi="Times New Roman" w:eastAsia="宋体" w:cs="Times New Roman"/>
          <w:color w:val="231F20"/>
          <w:spacing w:val="11"/>
          <w:sz w:val="24"/>
          <w:szCs w:val="24"/>
        </w:rPr>
        <w:t>但是“由于我们国家制度的特点，合作社在我</w:t>
      </w:r>
      <w:r>
        <w:rPr>
          <w:rFonts w:hint="default" w:ascii="Times New Roman" w:hAnsi="Times New Roman" w:eastAsia="宋体" w:cs="Times New Roman"/>
          <w:color w:val="231F20"/>
          <w:spacing w:val="18"/>
          <w:sz w:val="24"/>
          <w:szCs w:val="24"/>
        </w:rPr>
        <w:t>国具有非常重大的意义。如果把租让（……）</w:t>
      </w:r>
      <w:r>
        <w:rPr>
          <w:rFonts w:hint="default" w:ascii="Times New Roman" w:hAnsi="Times New Roman" w:eastAsia="宋体" w:cs="Times New Roman"/>
          <w:color w:val="231F20"/>
          <w:spacing w:val="13"/>
          <w:sz w:val="24"/>
          <w:szCs w:val="24"/>
        </w:rPr>
        <w:t>单独划开，那么在我国的条件下合作社往往是</w:t>
      </w:r>
      <w:r>
        <w:rPr>
          <w:rFonts w:hint="default" w:ascii="Times New Roman" w:hAnsi="Times New Roman" w:eastAsia="宋体" w:cs="Times New Roman"/>
          <w:color w:val="231F20"/>
          <w:spacing w:val="7"/>
          <w:sz w:val="24"/>
          <w:szCs w:val="24"/>
        </w:rPr>
        <w:t>同社会主义完全一致的”。</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_Ref30893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[6]</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(p.354)</w:t>
      </w:r>
      <w:r>
        <w:rPr>
          <w:rFonts w:hint="default" w:ascii="Times New Roman" w:hAnsi="Times New Roman" w:eastAsia="宋体" w:cs="Times New Roman"/>
          <w:color w:val="231F20"/>
          <w:spacing w:val="6"/>
          <w:sz w:val="24"/>
          <w:szCs w:val="24"/>
        </w:rPr>
        <w:t>列宁甚至强调</w:t>
      </w:r>
      <w:r>
        <w:rPr>
          <w:rFonts w:hint="default" w:ascii="Times New Roman" w:hAnsi="Times New Roman" w:eastAsia="宋体" w:cs="Times New Roman"/>
          <w:color w:val="231F20"/>
          <w:spacing w:val="13"/>
          <w:sz w:val="24"/>
          <w:szCs w:val="24"/>
        </w:rPr>
        <w:t>“文明的合作社工作者的制度就是社会主义的</w:t>
      </w:r>
      <w:r>
        <w:rPr>
          <w:rFonts w:hint="default" w:ascii="Times New Roman" w:hAnsi="Times New Roman" w:eastAsia="宋体" w:cs="Times New Roman"/>
          <w:color w:val="231F20"/>
          <w:spacing w:val="-8"/>
          <w:position w:val="-2"/>
          <w:sz w:val="24"/>
          <w:szCs w:val="24"/>
        </w:rPr>
        <w:t>制度”。</w:t>
      </w:r>
      <w:r>
        <w:rPr>
          <w:rFonts w:hint="default" w:ascii="Times New Roman" w:hAnsi="Times New Roman" w:eastAsia="宋体" w:cs="Times New Roman"/>
          <w:color w:val="231F20"/>
          <w:spacing w:val="-8"/>
          <w:position w:val="-2"/>
          <w:sz w:val="24"/>
          <w:szCs w:val="24"/>
          <w:vertAlign w:val="superscript"/>
          <w:lang w:val="en-US"/>
        </w:rPr>
        <w:fldChar w:fldCharType="begin"/>
      </w:r>
      <w:r>
        <w:rPr>
          <w:rFonts w:hint="default" w:ascii="Times New Roman" w:hAnsi="Times New Roman" w:eastAsia="宋体" w:cs="Times New Roman"/>
          <w:color w:val="231F20"/>
          <w:spacing w:val="-8"/>
          <w:position w:val="-2"/>
          <w:sz w:val="24"/>
          <w:szCs w:val="24"/>
          <w:vertAlign w:val="superscript"/>
          <w:lang w:val="en-US"/>
        </w:rPr>
        <w:instrText xml:space="preserve"> REF _Ref30922 \r \h </w:instrText>
      </w:r>
      <w:r>
        <w:rPr>
          <w:rFonts w:hint="default" w:ascii="Times New Roman" w:hAnsi="Times New Roman" w:eastAsia="宋体" w:cs="Times New Roman"/>
          <w:color w:val="231F20"/>
          <w:spacing w:val="-8"/>
          <w:position w:val="-2"/>
          <w:sz w:val="24"/>
          <w:szCs w:val="24"/>
          <w:vertAlign w:val="superscript"/>
          <w:lang w:val="en-US"/>
        </w:rPr>
        <w:fldChar w:fldCharType="separate"/>
      </w:r>
      <w:r>
        <w:rPr>
          <w:rFonts w:hint="default" w:ascii="Times New Roman" w:hAnsi="Times New Roman" w:eastAsia="宋体" w:cs="Times New Roman"/>
          <w:color w:val="231F20"/>
          <w:spacing w:val="-8"/>
          <w:position w:val="-2"/>
          <w:sz w:val="24"/>
          <w:szCs w:val="24"/>
          <w:vertAlign w:val="superscript"/>
          <w:lang w:val="en-US"/>
        </w:rPr>
        <w:t>[7]</w:t>
      </w:r>
      <w:r>
        <w:rPr>
          <w:rFonts w:hint="default" w:ascii="Times New Roman" w:hAnsi="Times New Roman" w:eastAsia="宋体" w:cs="Times New Roman"/>
          <w:color w:val="231F20"/>
          <w:spacing w:val="-8"/>
          <w:position w:val="-2"/>
          <w:sz w:val="24"/>
          <w:szCs w:val="24"/>
          <w:vertAlign w:val="superscript"/>
          <w:lang w:val="en-US"/>
        </w:rPr>
        <w:fldChar w:fldCharType="end"/>
      </w:r>
      <w:r>
        <w:rPr>
          <w:rFonts w:hint="default" w:ascii="Times New Roman" w:hAnsi="Times New Roman" w:eastAsia="宋体" w:cs="Times New Roman"/>
          <w:color w:val="231F20"/>
          <w:spacing w:val="-8"/>
          <w:position w:val="-2"/>
          <w:sz w:val="24"/>
          <w:szCs w:val="24"/>
          <w:vertAlign w:val="superscript"/>
          <w:lang w:val="en-US" w:eastAsia="zh-CN"/>
        </w:rPr>
        <w:t>(p.352)</w:t>
      </w:r>
    </w:p>
    <w:p w14:paraId="0459DF4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vertAlign w:val="superscript"/>
        </w:rPr>
      </w:pPr>
      <w:r>
        <w:rPr>
          <w:rFonts w:hint="default" w:ascii="Times New Roman" w:hAnsi="Times New Roman" w:eastAsia="宋体" w:cs="Times New Roman"/>
          <w:color w:val="231F20"/>
          <w:spacing w:val="19"/>
          <w:sz w:val="24"/>
          <w:szCs w:val="24"/>
        </w:rPr>
        <w:t>列宁之所以反复将合作社与社会主义联</w:t>
      </w:r>
      <w:r>
        <w:rPr>
          <w:rFonts w:hint="default" w:ascii="Times New Roman" w:hAnsi="Times New Roman" w:eastAsia="宋体" w:cs="Times New Roman"/>
          <w:color w:val="231F20"/>
          <w:spacing w:val="7"/>
          <w:sz w:val="24"/>
          <w:szCs w:val="24"/>
        </w:rPr>
        <w:t>系起来，就在于合作社是一种介于私人资本主</w:t>
      </w:r>
      <w:r>
        <w:rPr>
          <w:rFonts w:hint="default" w:ascii="Times New Roman" w:hAnsi="Times New Roman" w:eastAsia="宋体" w:cs="Times New Roman"/>
          <w:color w:val="231F20"/>
          <w:spacing w:val="18"/>
          <w:sz w:val="24"/>
          <w:szCs w:val="24"/>
        </w:rPr>
        <w:t>义企业与彻底的社会主义类型企业之间的第</w:t>
      </w:r>
      <w:r>
        <w:rPr>
          <w:rFonts w:hint="default" w:ascii="Times New Roman" w:hAnsi="Times New Roman" w:eastAsia="宋体" w:cs="Times New Roman"/>
          <w:color w:val="231F20"/>
          <w:spacing w:val="7"/>
          <w:sz w:val="24"/>
          <w:szCs w:val="24"/>
        </w:rPr>
        <w:t>三种企业，即中间类型的企业，会随着内部产</w:t>
      </w:r>
      <w:r>
        <w:rPr>
          <w:rFonts w:hint="default" w:ascii="Times New Roman" w:hAnsi="Times New Roman" w:eastAsia="宋体" w:cs="Times New Roman"/>
          <w:color w:val="231F20"/>
          <w:spacing w:val="6"/>
          <w:sz w:val="24"/>
          <w:szCs w:val="24"/>
        </w:rPr>
        <w:t>权结构的变化而体现不同性质。列宁认为，相</w:t>
      </w:r>
      <w:r>
        <w:rPr>
          <w:rFonts w:hint="default" w:ascii="Times New Roman" w:hAnsi="Times New Roman" w:eastAsia="宋体" w:cs="Times New Roman"/>
          <w:color w:val="231F20"/>
          <w:spacing w:val="18"/>
          <w:sz w:val="24"/>
          <w:szCs w:val="24"/>
        </w:rPr>
        <w:t>对于私人资本主义企业来说，合作企业是集</w:t>
      </w:r>
      <w:r>
        <w:rPr>
          <w:rFonts w:hint="default" w:ascii="Times New Roman" w:hAnsi="Times New Roman" w:eastAsia="宋体" w:cs="Times New Roman"/>
          <w:color w:val="231F20"/>
          <w:spacing w:val="7"/>
          <w:sz w:val="24"/>
          <w:szCs w:val="24"/>
        </w:rPr>
        <w:t>体企业，但相对国家资本主义企业来说，由于</w:t>
      </w:r>
      <w:r>
        <w:rPr>
          <w:rFonts w:hint="default" w:ascii="Times New Roman" w:hAnsi="Times New Roman" w:eastAsia="宋体" w:cs="Times New Roman"/>
          <w:color w:val="231F20"/>
          <w:spacing w:val="18"/>
          <w:sz w:val="24"/>
          <w:szCs w:val="24"/>
        </w:rPr>
        <w:t>它是由小业主自发联合起来的，首先体现私</w:t>
      </w:r>
      <w:r>
        <w:rPr>
          <w:rFonts w:hint="default" w:ascii="Times New Roman" w:hAnsi="Times New Roman" w:eastAsia="宋体" w:cs="Times New Roman"/>
          <w:color w:val="231F20"/>
          <w:spacing w:val="16"/>
          <w:sz w:val="24"/>
          <w:szCs w:val="24"/>
        </w:rPr>
        <w:t>人企业的性质，其次才是集体性质。但是在</w:t>
      </w:r>
      <w:r>
        <w:rPr>
          <w:rFonts w:hint="default" w:ascii="Times New Roman" w:hAnsi="Times New Roman" w:eastAsia="宋体" w:cs="Times New Roman"/>
          <w:color w:val="231F20"/>
          <w:spacing w:val="7"/>
          <w:sz w:val="24"/>
          <w:szCs w:val="24"/>
        </w:rPr>
        <w:t>苏俄的社会主义制度下，“合作企业与私人资本主义企业不同，合作企业是集体企业，但与</w:t>
      </w:r>
      <w:r>
        <w:rPr>
          <w:rFonts w:hint="default" w:ascii="Times New Roman" w:hAnsi="Times New Roman" w:eastAsia="宋体" w:cs="Times New Roman"/>
          <w:color w:val="231F20"/>
          <w:spacing w:val="18"/>
          <w:sz w:val="24"/>
          <w:szCs w:val="24"/>
        </w:rPr>
        <w:t>社会主义企业没有区别，如果它占用的土地和使用的生产资料是属于国家即属于工人阶</w:t>
      </w:r>
      <w:r>
        <w:rPr>
          <w:rFonts w:hint="default" w:ascii="Times New Roman" w:hAnsi="Times New Roman" w:eastAsia="宋体" w:cs="Times New Roman"/>
          <w:color w:val="231F20"/>
          <w:spacing w:val="-7"/>
          <w:position w:val="-2"/>
          <w:sz w:val="24"/>
          <w:szCs w:val="24"/>
        </w:rPr>
        <w:t>级的”。</w:t>
      </w:r>
      <w:r>
        <w:rPr>
          <w:rFonts w:hint="default" w:ascii="Times New Roman" w:hAnsi="Times New Roman" w:eastAsia="宋体" w:cs="Times New Roman"/>
          <w:color w:val="231F20"/>
          <w:spacing w:val="-7"/>
          <w:position w:val="-2"/>
          <w:sz w:val="24"/>
          <w:szCs w:val="24"/>
          <w:vertAlign w:val="superscript"/>
          <w:lang w:val="en-US"/>
        </w:rPr>
        <w:fldChar w:fldCharType="begin"/>
      </w:r>
      <w:r>
        <w:rPr>
          <w:rFonts w:hint="default" w:ascii="Times New Roman" w:hAnsi="Times New Roman" w:eastAsia="宋体" w:cs="Times New Roman"/>
          <w:color w:val="231F20"/>
          <w:spacing w:val="-7"/>
          <w:position w:val="-2"/>
          <w:sz w:val="24"/>
          <w:szCs w:val="24"/>
          <w:vertAlign w:val="superscript"/>
          <w:lang w:val="en-US"/>
        </w:rPr>
        <w:instrText xml:space="preserve"> REF _Ref30922 \r \h </w:instrText>
      </w:r>
      <w:r>
        <w:rPr>
          <w:rFonts w:hint="default" w:ascii="Times New Roman" w:hAnsi="Times New Roman" w:eastAsia="宋体" w:cs="Times New Roman"/>
          <w:color w:val="231F20"/>
          <w:spacing w:val="-7"/>
          <w:position w:val="-2"/>
          <w:sz w:val="24"/>
          <w:szCs w:val="24"/>
          <w:vertAlign w:val="superscript"/>
          <w:lang w:val="en-US"/>
        </w:rPr>
        <w:fldChar w:fldCharType="separate"/>
      </w:r>
      <w:r>
        <w:rPr>
          <w:rFonts w:hint="default" w:ascii="Times New Roman" w:hAnsi="Times New Roman" w:eastAsia="宋体" w:cs="Times New Roman"/>
          <w:color w:val="231F20"/>
          <w:spacing w:val="-7"/>
          <w:position w:val="-2"/>
          <w:sz w:val="24"/>
          <w:szCs w:val="24"/>
          <w:vertAlign w:val="superscript"/>
          <w:lang w:val="en-US"/>
        </w:rPr>
        <w:t>[7]</w:t>
      </w:r>
      <w:r>
        <w:rPr>
          <w:rFonts w:hint="default" w:ascii="Times New Roman" w:hAnsi="Times New Roman" w:eastAsia="宋体" w:cs="Times New Roman"/>
          <w:color w:val="231F20"/>
          <w:spacing w:val="-7"/>
          <w:position w:val="-2"/>
          <w:sz w:val="24"/>
          <w:szCs w:val="24"/>
          <w:vertAlign w:val="superscript"/>
          <w:lang w:val="en-US"/>
        </w:rPr>
        <w:fldChar w:fldCharType="end"/>
      </w:r>
      <w:r>
        <w:rPr>
          <w:rFonts w:hint="default" w:ascii="Times New Roman" w:hAnsi="Times New Roman" w:eastAsia="宋体" w:cs="Times New Roman"/>
          <w:color w:val="231F20"/>
          <w:spacing w:val="-7"/>
          <w:position w:val="-2"/>
          <w:sz w:val="24"/>
          <w:szCs w:val="24"/>
          <w:vertAlign w:val="superscript"/>
          <w:lang w:val="en-US" w:eastAsia="zh-CN"/>
        </w:rPr>
        <w:t>(p.353)</w:t>
      </w:r>
    </w:p>
    <w:p w14:paraId="7CEC915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这意味着，列宁转变了对合作社性质的某</w:t>
      </w:r>
      <w:r>
        <w:rPr>
          <w:rFonts w:hint="default" w:ascii="Times New Roman" w:hAnsi="Times New Roman" w:eastAsia="宋体" w:cs="Times New Roman"/>
          <w:color w:val="231F20"/>
          <w:spacing w:val="17"/>
          <w:sz w:val="24"/>
          <w:szCs w:val="24"/>
        </w:rPr>
        <w:t>种看法。合作社由原来的资本主义性质扬弃</w:t>
      </w:r>
      <w:r>
        <w:rPr>
          <w:rFonts w:hint="default" w:ascii="Times New Roman" w:hAnsi="Times New Roman" w:eastAsia="宋体" w:cs="Times New Roman"/>
          <w:color w:val="231F20"/>
          <w:spacing w:val="7"/>
          <w:sz w:val="24"/>
          <w:szCs w:val="24"/>
        </w:rPr>
        <w:t>为社会主义性质，正是从这个意义上来说，列</w:t>
      </w:r>
      <w:r>
        <w:rPr>
          <w:rFonts w:hint="default" w:ascii="Times New Roman" w:hAnsi="Times New Roman" w:eastAsia="宋体" w:cs="Times New Roman"/>
          <w:color w:val="231F20"/>
          <w:spacing w:val="18"/>
          <w:sz w:val="24"/>
          <w:szCs w:val="24"/>
        </w:rPr>
        <w:t>宁认为合作制资本主义可以上升为合作制社</w:t>
      </w:r>
      <w:r>
        <w:rPr>
          <w:rFonts w:hint="default" w:ascii="Times New Roman" w:hAnsi="Times New Roman" w:eastAsia="宋体" w:cs="Times New Roman"/>
          <w:color w:val="231F20"/>
          <w:spacing w:val="15"/>
          <w:sz w:val="24"/>
          <w:szCs w:val="24"/>
        </w:rPr>
        <w:t>会主义。由于十月革命带来根本政治经济制</w:t>
      </w:r>
      <w:r>
        <w:rPr>
          <w:rFonts w:hint="default" w:ascii="Times New Roman" w:hAnsi="Times New Roman" w:eastAsia="宋体" w:cs="Times New Roman"/>
          <w:color w:val="231F20"/>
          <w:spacing w:val="7"/>
          <w:sz w:val="24"/>
          <w:szCs w:val="24"/>
        </w:rPr>
        <w:t>度的变化，合作社的集体企业性质可以与社会</w:t>
      </w:r>
      <w:r>
        <w:rPr>
          <w:rFonts w:hint="default" w:ascii="Times New Roman" w:hAnsi="Times New Roman" w:eastAsia="宋体" w:cs="Times New Roman"/>
          <w:color w:val="231F20"/>
          <w:spacing w:val="6"/>
          <w:sz w:val="24"/>
          <w:szCs w:val="24"/>
        </w:rPr>
        <w:t>主义嫁接起来，完成这一性质的蜕变。值得一</w:t>
      </w:r>
      <w:r>
        <w:rPr>
          <w:rFonts w:hint="default" w:ascii="Times New Roman" w:hAnsi="Times New Roman" w:eastAsia="宋体" w:cs="Times New Roman"/>
          <w:color w:val="231F20"/>
          <w:spacing w:val="7"/>
          <w:sz w:val="24"/>
          <w:szCs w:val="24"/>
        </w:rPr>
        <w:t>提的是，为什么这时列宁不再强调合作社是国家资本主义的一种变种，而强调与社会主义企</w:t>
      </w:r>
      <w:r>
        <w:rPr>
          <w:rFonts w:hint="default" w:ascii="Times New Roman" w:hAnsi="Times New Roman" w:eastAsia="宋体" w:cs="Times New Roman"/>
          <w:color w:val="231F20"/>
          <w:spacing w:val="15"/>
          <w:sz w:val="24"/>
          <w:szCs w:val="24"/>
        </w:rPr>
        <w:t>业没有区别呢？原因就在于视角转变。原来</w:t>
      </w:r>
      <w:r>
        <w:rPr>
          <w:rFonts w:hint="default" w:ascii="Times New Roman" w:hAnsi="Times New Roman" w:eastAsia="宋体" w:cs="Times New Roman"/>
          <w:color w:val="231F20"/>
          <w:spacing w:val="7"/>
          <w:sz w:val="24"/>
          <w:szCs w:val="24"/>
        </w:rPr>
        <w:t>列宁是从合作社的私人企业角度出发，所以相</w:t>
      </w:r>
      <w:r>
        <w:rPr>
          <w:rFonts w:hint="default" w:ascii="Times New Roman" w:hAnsi="Times New Roman" w:eastAsia="宋体" w:cs="Times New Roman"/>
          <w:color w:val="231F20"/>
          <w:spacing w:val="11"/>
          <w:sz w:val="24"/>
          <w:szCs w:val="24"/>
        </w:rPr>
        <w:t>对于国家资本主义当然不够格，是一种变种。</w:t>
      </w:r>
      <w:r>
        <w:rPr>
          <w:rFonts w:hint="default" w:ascii="Times New Roman" w:hAnsi="Times New Roman" w:eastAsia="宋体" w:cs="Times New Roman"/>
          <w:color w:val="231F20"/>
          <w:spacing w:val="18"/>
          <w:sz w:val="24"/>
          <w:szCs w:val="24"/>
        </w:rPr>
        <w:t>而此时列宁则是从合作社的集体企业角度出</w:t>
      </w:r>
      <w:r>
        <w:rPr>
          <w:rFonts w:hint="default" w:ascii="Times New Roman" w:hAnsi="Times New Roman" w:eastAsia="宋体" w:cs="Times New Roman"/>
          <w:color w:val="231F20"/>
          <w:spacing w:val="11"/>
          <w:sz w:val="24"/>
          <w:szCs w:val="24"/>
        </w:rPr>
        <w:t>发，认为其能够适应新经济政策的市场环境，</w:t>
      </w:r>
      <w:r>
        <w:rPr>
          <w:rFonts w:hint="default" w:ascii="Times New Roman" w:hAnsi="Times New Roman" w:eastAsia="宋体" w:cs="Times New Roman"/>
          <w:color w:val="231F20"/>
          <w:spacing w:val="7"/>
          <w:sz w:val="24"/>
          <w:szCs w:val="24"/>
        </w:rPr>
        <w:t>有利于克服私人企业的不足，因而与社会主义</w:t>
      </w:r>
      <w:r>
        <w:rPr>
          <w:rFonts w:hint="default" w:ascii="Times New Roman" w:hAnsi="Times New Roman" w:eastAsia="宋体" w:cs="Times New Roman"/>
          <w:color w:val="231F20"/>
          <w:spacing w:val="6"/>
          <w:sz w:val="24"/>
          <w:szCs w:val="24"/>
        </w:rPr>
        <w:t>企业完全一致。正如列宁所言，“在新经济政</w:t>
      </w:r>
      <w:r>
        <w:rPr>
          <w:rFonts w:hint="default" w:ascii="Times New Roman" w:hAnsi="Times New Roman" w:eastAsia="宋体" w:cs="Times New Roman"/>
          <w:color w:val="231F20"/>
          <w:spacing w:val="7"/>
          <w:sz w:val="24"/>
          <w:szCs w:val="24"/>
        </w:rPr>
        <w:t>策中，我们向作为商人的农民做了让步，即向私人买卖的原则做了让步；正是从这一点（这与人们所设想的恰恰相反）产生了合作社的巨</w:t>
      </w:r>
      <w:r>
        <w:rPr>
          <w:rFonts w:hint="default" w:ascii="Times New Roman" w:hAnsi="Times New Roman" w:eastAsia="宋体" w:cs="Times New Roman"/>
          <w:color w:val="231F20"/>
          <w:spacing w:val="-18"/>
          <w:w w:val="96"/>
          <w:sz w:val="24"/>
          <w:szCs w:val="24"/>
        </w:rPr>
        <w:t>大意义”，</w:t>
      </w:r>
      <w:r>
        <w:rPr>
          <w:rFonts w:hint="default" w:ascii="Times New Roman" w:hAnsi="Times New Roman" w:eastAsia="宋体" w:cs="Times New Roman"/>
          <w:color w:val="231F20"/>
          <w:spacing w:val="-18"/>
          <w:w w:val="96"/>
          <w:sz w:val="24"/>
          <w:szCs w:val="24"/>
          <w:vertAlign w:val="superscript"/>
          <w:lang w:val="en-US"/>
        </w:rPr>
        <w:fldChar w:fldCharType="begin"/>
      </w:r>
      <w:r>
        <w:rPr>
          <w:rFonts w:hint="default" w:ascii="Times New Roman" w:hAnsi="Times New Roman" w:eastAsia="宋体" w:cs="Times New Roman"/>
          <w:color w:val="231F20"/>
          <w:spacing w:val="-18"/>
          <w:w w:val="96"/>
          <w:sz w:val="24"/>
          <w:szCs w:val="24"/>
          <w:vertAlign w:val="superscript"/>
          <w:lang w:val="en-US"/>
        </w:rPr>
        <w:instrText xml:space="preserve"> REF _Ref30922 \r \h </w:instrText>
      </w:r>
      <w:r>
        <w:rPr>
          <w:rFonts w:hint="default" w:ascii="Times New Roman" w:hAnsi="Times New Roman" w:eastAsia="宋体" w:cs="Times New Roman"/>
          <w:color w:val="231F20"/>
          <w:spacing w:val="-18"/>
          <w:w w:val="96"/>
          <w:sz w:val="24"/>
          <w:szCs w:val="24"/>
          <w:vertAlign w:val="superscript"/>
          <w:lang w:val="en-US"/>
        </w:rPr>
        <w:fldChar w:fldCharType="separate"/>
      </w:r>
      <w:r>
        <w:rPr>
          <w:rFonts w:hint="default" w:ascii="Times New Roman" w:hAnsi="Times New Roman" w:eastAsia="宋体" w:cs="Times New Roman"/>
          <w:color w:val="231F20"/>
          <w:spacing w:val="-18"/>
          <w:w w:val="96"/>
          <w:sz w:val="24"/>
          <w:szCs w:val="24"/>
          <w:vertAlign w:val="superscript"/>
          <w:lang w:val="en-US"/>
        </w:rPr>
        <w:t>[7]</w:t>
      </w:r>
      <w:r>
        <w:rPr>
          <w:rFonts w:hint="default" w:ascii="Times New Roman" w:hAnsi="Times New Roman" w:eastAsia="宋体" w:cs="Times New Roman"/>
          <w:color w:val="231F20"/>
          <w:spacing w:val="-18"/>
          <w:w w:val="96"/>
          <w:sz w:val="24"/>
          <w:szCs w:val="24"/>
          <w:vertAlign w:val="superscript"/>
          <w:lang w:val="en-US"/>
        </w:rPr>
        <w:fldChar w:fldCharType="end"/>
      </w:r>
      <w:r>
        <w:rPr>
          <w:rFonts w:hint="default" w:ascii="Times New Roman" w:hAnsi="Times New Roman" w:eastAsia="宋体" w:cs="Times New Roman"/>
          <w:color w:val="231F20"/>
          <w:spacing w:val="-18"/>
          <w:w w:val="96"/>
          <w:sz w:val="24"/>
          <w:szCs w:val="24"/>
          <w:vertAlign w:val="superscript"/>
          <w:lang w:val="en-US" w:eastAsia="zh-CN"/>
        </w:rPr>
        <w:t>(p.349)</w:t>
      </w:r>
      <w:r>
        <w:rPr>
          <w:rFonts w:hint="default" w:ascii="Times New Roman" w:hAnsi="Times New Roman" w:eastAsia="宋体" w:cs="Times New Roman"/>
          <w:color w:val="231F20"/>
          <w:sz w:val="24"/>
          <w:szCs w:val="24"/>
        </w:rPr>
        <w:t>“要是完全实现了合作化，我们</w:t>
      </w:r>
      <w:r>
        <w:rPr>
          <w:rFonts w:hint="default" w:ascii="Times New Roman" w:hAnsi="Times New Roman" w:eastAsia="宋体" w:cs="Times New Roman"/>
          <w:color w:val="231F20"/>
          <w:spacing w:val="1"/>
          <w:sz w:val="24"/>
          <w:szCs w:val="24"/>
        </w:rPr>
        <w:t>也就在社会主义基地上站稳了脚跟”。</w:t>
      </w:r>
      <w:r>
        <w:rPr>
          <w:rFonts w:hint="default" w:ascii="Times New Roman" w:hAnsi="Times New Roman" w:eastAsia="宋体" w:cs="Times New Roman"/>
          <w:color w:val="231F20"/>
          <w:spacing w:val="1"/>
          <w:sz w:val="24"/>
          <w:szCs w:val="24"/>
          <w:vertAlign w:val="superscript"/>
          <w:lang w:val="en-US"/>
        </w:rPr>
        <w:fldChar w:fldCharType="begin"/>
      </w:r>
      <w:r>
        <w:rPr>
          <w:rFonts w:hint="default" w:ascii="Times New Roman" w:hAnsi="Times New Roman" w:eastAsia="宋体" w:cs="Times New Roman"/>
          <w:color w:val="231F20"/>
          <w:spacing w:val="1"/>
          <w:sz w:val="24"/>
          <w:szCs w:val="24"/>
          <w:vertAlign w:val="superscript"/>
          <w:lang w:val="en-US"/>
        </w:rPr>
        <w:instrText xml:space="preserve"> REF _Ref30922 \r \h </w:instrText>
      </w:r>
      <w:r>
        <w:rPr>
          <w:rFonts w:hint="default" w:ascii="Times New Roman" w:hAnsi="Times New Roman" w:eastAsia="宋体" w:cs="Times New Roman"/>
          <w:color w:val="231F20"/>
          <w:spacing w:val="1"/>
          <w:sz w:val="24"/>
          <w:szCs w:val="24"/>
          <w:vertAlign w:val="superscript"/>
          <w:lang w:val="en-US"/>
        </w:rPr>
        <w:fldChar w:fldCharType="separate"/>
      </w:r>
      <w:r>
        <w:rPr>
          <w:rFonts w:hint="default" w:ascii="Times New Roman" w:hAnsi="Times New Roman" w:eastAsia="宋体" w:cs="Times New Roman"/>
          <w:color w:val="231F20"/>
          <w:spacing w:val="1"/>
          <w:sz w:val="24"/>
          <w:szCs w:val="24"/>
          <w:vertAlign w:val="superscript"/>
          <w:lang w:val="en-US"/>
        </w:rPr>
        <w:t>[7]</w:t>
      </w:r>
      <w:r>
        <w:rPr>
          <w:rFonts w:hint="default" w:ascii="Times New Roman" w:hAnsi="Times New Roman" w:eastAsia="宋体" w:cs="Times New Roman"/>
          <w:color w:val="231F20"/>
          <w:spacing w:val="1"/>
          <w:sz w:val="24"/>
          <w:szCs w:val="24"/>
          <w:vertAlign w:val="superscript"/>
          <w:lang w:val="en-US"/>
        </w:rPr>
        <w:fldChar w:fldCharType="end"/>
      </w:r>
      <w:r>
        <w:rPr>
          <w:rFonts w:hint="default" w:ascii="Times New Roman" w:hAnsi="Times New Roman" w:eastAsia="宋体" w:cs="Times New Roman"/>
          <w:color w:val="231F20"/>
          <w:spacing w:val="1"/>
          <w:sz w:val="24"/>
          <w:szCs w:val="24"/>
          <w:vertAlign w:val="superscript"/>
          <w:lang w:val="en-US" w:eastAsia="zh-CN"/>
        </w:rPr>
        <w:t>(p.355)</w:t>
      </w:r>
    </w:p>
    <w:p w14:paraId="4552F77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新经济政策肯定了市场机制和商品货币</w:t>
      </w:r>
      <w:r>
        <w:rPr>
          <w:rFonts w:hint="default" w:ascii="Times New Roman" w:hAnsi="Times New Roman" w:eastAsia="宋体" w:cs="Times New Roman"/>
          <w:color w:val="231F20"/>
          <w:spacing w:val="7"/>
          <w:sz w:val="24"/>
          <w:szCs w:val="24"/>
        </w:rPr>
        <w:t>关系，但也容易由此演化出资本主义关系和资产阶级势力，因而列宁非常自然地将希望寄托于合作社，希望通过合作社来对私人利益加以检查、监督，并将它们逐步引导到共同利益的</w:t>
      </w:r>
      <w:r>
        <w:rPr>
          <w:rFonts w:hint="default" w:ascii="Times New Roman" w:hAnsi="Times New Roman" w:eastAsia="宋体" w:cs="Times New Roman"/>
          <w:color w:val="231F20"/>
          <w:spacing w:val="17"/>
          <w:sz w:val="24"/>
          <w:szCs w:val="24"/>
        </w:rPr>
        <w:t>轨道上。列宁认为合作化有利于抵御新经济</w:t>
      </w:r>
      <w:r>
        <w:rPr>
          <w:rFonts w:hint="default" w:ascii="Times New Roman" w:hAnsi="Times New Roman" w:eastAsia="宋体" w:cs="Times New Roman"/>
          <w:color w:val="231F20"/>
          <w:spacing w:val="7"/>
          <w:sz w:val="24"/>
          <w:szCs w:val="24"/>
        </w:rPr>
        <w:t>政策催生的私人资本主义关系的负面影响，是</w:t>
      </w:r>
      <w:r>
        <w:rPr>
          <w:rFonts w:hint="default" w:ascii="Times New Roman" w:hAnsi="Times New Roman" w:eastAsia="宋体" w:cs="Times New Roman"/>
          <w:color w:val="231F20"/>
          <w:spacing w:val="-2"/>
          <w:sz w:val="24"/>
          <w:szCs w:val="24"/>
        </w:rPr>
        <w:t>一种新经济政策条件下的“社会主义”，对</w:t>
      </w:r>
      <w:r>
        <w:rPr>
          <w:rFonts w:hint="default" w:ascii="Times New Roman" w:hAnsi="Times New Roman" w:eastAsia="宋体" w:cs="Times New Roman"/>
          <w:color w:val="231F20"/>
          <w:spacing w:val="-3"/>
          <w:sz w:val="24"/>
          <w:szCs w:val="24"/>
        </w:rPr>
        <w:t>于这</w:t>
      </w:r>
      <w:r>
        <w:rPr>
          <w:rFonts w:hint="default" w:ascii="Times New Roman" w:hAnsi="Times New Roman" w:eastAsia="宋体" w:cs="Times New Roman"/>
          <w:color w:val="231F20"/>
          <w:spacing w:val="7"/>
          <w:sz w:val="24"/>
          <w:szCs w:val="24"/>
        </w:rPr>
        <w:t>种社会主义来说，“内容并不在于经济的完全国有化，而在于小私营生产者和小私商在自愿</w:t>
      </w:r>
      <w:r>
        <w:rPr>
          <w:rFonts w:hint="default" w:ascii="Times New Roman" w:hAnsi="Times New Roman" w:eastAsia="宋体" w:cs="Times New Roman"/>
          <w:color w:val="231F20"/>
          <w:spacing w:val="-1"/>
          <w:position w:val="-1"/>
          <w:sz w:val="24"/>
          <w:szCs w:val="24"/>
        </w:rPr>
        <w:t>基础上最大限度的合作化”。</w:t>
      </w:r>
      <w:r>
        <w:rPr>
          <w:rFonts w:hint="default" w:ascii="Times New Roman" w:hAnsi="Times New Roman" w:eastAsia="宋体" w:cs="Times New Roman"/>
          <w:color w:val="231F20"/>
          <w:spacing w:val="-1"/>
          <w:position w:val="-1"/>
          <w:sz w:val="24"/>
          <w:szCs w:val="24"/>
          <w:vertAlign w:val="superscript"/>
          <w:lang w:val="en-US"/>
        </w:rPr>
        <w:fldChar w:fldCharType="begin"/>
      </w:r>
      <w:r>
        <w:rPr>
          <w:rFonts w:hint="default" w:ascii="Times New Roman" w:hAnsi="Times New Roman" w:eastAsia="宋体" w:cs="Times New Roman"/>
          <w:color w:val="231F20"/>
          <w:spacing w:val="-1"/>
          <w:position w:val="-1"/>
          <w:sz w:val="24"/>
          <w:szCs w:val="24"/>
          <w:vertAlign w:val="superscript"/>
          <w:lang w:val="en-US"/>
        </w:rPr>
        <w:instrText xml:space="preserve"> REF _Ref189 \r \h </w:instrText>
      </w:r>
      <w:r>
        <w:rPr>
          <w:rFonts w:hint="default" w:ascii="Times New Roman" w:hAnsi="Times New Roman" w:eastAsia="宋体" w:cs="Times New Roman"/>
          <w:color w:val="231F20"/>
          <w:spacing w:val="-1"/>
          <w:position w:val="-1"/>
          <w:sz w:val="24"/>
          <w:szCs w:val="24"/>
          <w:vertAlign w:val="superscript"/>
          <w:lang w:val="en-US"/>
        </w:rPr>
        <w:fldChar w:fldCharType="separate"/>
      </w:r>
      <w:r>
        <w:rPr>
          <w:rFonts w:hint="default" w:ascii="Times New Roman" w:hAnsi="Times New Roman" w:eastAsia="宋体" w:cs="Times New Roman"/>
          <w:color w:val="231F20"/>
          <w:spacing w:val="-1"/>
          <w:position w:val="-1"/>
          <w:sz w:val="24"/>
          <w:szCs w:val="24"/>
          <w:vertAlign w:val="superscript"/>
          <w:lang w:val="en-US"/>
        </w:rPr>
        <w:t>[11]</w:t>
      </w:r>
      <w:r>
        <w:rPr>
          <w:rFonts w:hint="default" w:ascii="Times New Roman" w:hAnsi="Times New Roman" w:eastAsia="宋体" w:cs="Times New Roman"/>
          <w:color w:val="231F20"/>
          <w:spacing w:val="-1"/>
          <w:position w:val="-1"/>
          <w:sz w:val="24"/>
          <w:szCs w:val="24"/>
          <w:vertAlign w:val="superscript"/>
          <w:lang w:val="en-US"/>
        </w:rPr>
        <w:fldChar w:fldCharType="end"/>
      </w:r>
      <w:r>
        <w:rPr>
          <w:rFonts w:hint="default" w:ascii="Times New Roman" w:hAnsi="Times New Roman" w:eastAsia="宋体" w:cs="Times New Roman"/>
          <w:color w:val="231F20"/>
          <w:spacing w:val="-1"/>
          <w:position w:val="-1"/>
          <w:sz w:val="24"/>
          <w:szCs w:val="24"/>
          <w:vertAlign w:val="superscript"/>
          <w:lang w:val="en-US" w:eastAsia="zh-CN"/>
        </w:rPr>
        <w:t>(p.60)</w:t>
      </w:r>
    </w:p>
    <w:p w14:paraId="7D9AA3B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应当说，列宁这一思路非常宝贵，具有创</w:t>
      </w:r>
      <w:r>
        <w:rPr>
          <w:rFonts w:hint="default" w:ascii="Times New Roman" w:hAnsi="Times New Roman" w:eastAsia="宋体" w:cs="Times New Roman"/>
          <w:color w:val="231F20"/>
          <w:spacing w:val="13"/>
          <w:sz w:val="24"/>
          <w:szCs w:val="24"/>
        </w:rPr>
        <w:t>新性，为在新经济政策条件下探索向完全社会</w:t>
      </w:r>
      <w:r>
        <w:rPr>
          <w:rFonts w:hint="default" w:ascii="Times New Roman" w:hAnsi="Times New Roman" w:eastAsia="宋体" w:cs="Times New Roman"/>
          <w:color w:val="231F20"/>
          <w:spacing w:val="22"/>
          <w:sz w:val="24"/>
          <w:szCs w:val="24"/>
        </w:rPr>
        <w:t>主义的过渡提供了崭新思路。这就是列宁对</w:t>
      </w:r>
      <w:r>
        <w:rPr>
          <w:rFonts w:hint="default" w:ascii="Times New Roman" w:hAnsi="Times New Roman" w:eastAsia="宋体" w:cs="Times New Roman"/>
          <w:color w:val="231F20"/>
          <w:spacing w:val="13"/>
          <w:sz w:val="24"/>
          <w:szCs w:val="24"/>
        </w:rPr>
        <w:t>合作制战略构想的基本思考，这不仅不同于原来的战时共产主义政策，甚至与新经济政策初</w:t>
      </w:r>
      <w:r>
        <w:rPr>
          <w:rFonts w:hint="default" w:ascii="Times New Roman" w:hAnsi="Times New Roman" w:eastAsia="宋体" w:cs="Times New Roman"/>
          <w:color w:val="231F20"/>
          <w:spacing w:val="21"/>
          <w:sz w:val="24"/>
          <w:szCs w:val="24"/>
        </w:rPr>
        <w:t>期强调国家资本主义相比也有很大变化。因</w:t>
      </w:r>
      <w:r>
        <w:rPr>
          <w:rFonts w:hint="default" w:ascii="Times New Roman" w:hAnsi="Times New Roman" w:eastAsia="宋体" w:cs="Times New Roman"/>
          <w:color w:val="231F20"/>
          <w:spacing w:val="24"/>
          <w:sz w:val="24"/>
          <w:szCs w:val="24"/>
        </w:rPr>
        <w:t>为这时强调的已经不是国家资本主义，而是</w:t>
      </w:r>
      <w:r>
        <w:rPr>
          <w:rFonts w:hint="default" w:ascii="Times New Roman" w:hAnsi="Times New Roman" w:eastAsia="宋体" w:cs="Times New Roman"/>
          <w:color w:val="231F20"/>
          <w:spacing w:val="-3"/>
          <w:sz w:val="24"/>
          <w:szCs w:val="24"/>
        </w:rPr>
        <w:t>“合作制”社会主义了。</w:t>
      </w:r>
    </w:p>
    <w:p w14:paraId="53DBBF0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74AAF5EB">
      <w:pPr>
        <w:pStyle w:val="4"/>
        <w:bidi w:val="0"/>
        <w:rPr>
          <w:rFonts w:hint="default"/>
        </w:rPr>
      </w:pPr>
      <w:r>
        <w:rPr>
          <w:rFonts w:hint="default"/>
        </w:rPr>
        <w:t>二、合作制战略构想的理论内涵</w:t>
      </w:r>
    </w:p>
    <w:p w14:paraId="5760AC9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F808C3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列宁所构想的合作制战略主要包括以下</w:t>
      </w:r>
      <w:r>
        <w:rPr>
          <w:rFonts w:hint="default" w:ascii="Times New Roman" w:hAnsi="Times New Roman" w:eastAsia="宋体" w:cs="Times New Roman"/>
          <w:color w:val="231F20"/>
          <w:spacing w:val="7"/>
          <w:sz w:val="24"/>
          <w:szCs w:val="24"/>
        </w:rPr>
        <w:t>理论内涵：以确保工农联盟为逻辑起点、以苏维埃政权与新经济政策为双前提、以农民合作化为主要任务、以文化革命和国家机关改造为</w:t>
      </w:r>
      <w:r>
        <w:rPr>
          <w:rFonts w:hint="default" w:ascii="Times New Roman" w:hAnsi="Times New Roman" w:eastAsia="宋体" w:cs="Times New Roman"/>
          <w:color w:val="231F20"/>
          <w:spacing w:val="-8"/>
          <w:sz w:val="24"/>
          <w:szCs w:val="24"/>
        </w:rPr>
        <w:t>工作重心、以“审慎迂回”为基本斗争策略。</w:t>
      </w:r>
    </w:p>
    <w:p w14:paraId="689F400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（一）以确保工农联盟为逻辑起点</w:t>
      </w:r>
    </w:p>
    <w:p w14:paraId="398C243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从理论原则来看，合作制战略构想强调工农联盟的极端重要性，提出工人阶级与农民阶级组成联盟防范大资本与私人资本，从而平稳</w:t>
      </w:r>
      <w:r>
        <w:rPr>
          <w:rFonts w:hint="default" w:ascii="Times New Roman" w:hAnsi="Times New Roman" w:eastAsia="宋体" w:cs="Times New Roman"/>
          <w:color w:val="231F20"/>
          <w:spacing w:val="9"/>
          <w:sz w:val="24"/>
          <w:szCs w:val="24"/>
        </w:rPr>
        <w:t>顺利向社会主义过渡的具体设想。</w:t>
      </w:r>
    </w:p>
    <w:p w14:paraId="209F257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工农联盟的极端重要性，是列宁总结十月</w:t>
      </w:r>
      <w:r>
        <w:rPr>
          <w:rFonts w:hint="default" w:ascii="Times New Roman" w:hAnsi="Times New Roman" w:eastAsia="宋体" w:cs="Times New Roman"/>
          <w:color w:val="231F20"/>
          <w:spacing w:val="6"/>
          <w:sz w:val="24"/>
          <w:szCs w:val="24"/>
        </w:rPr>
        <w:t>革命经验得出的宝贵结论。在列宁看来，在俄</w:t>
      </w:r>
      <w:r>
        <w:rPr>
          <w:rFonts w:hint="default" w:ascii="Times New Roman" w:hAnsi="Times New Roman" w:eastAsia="宋体" w:cs="Times New Roman"/>
          <w:color w:val="231F20"/>
          <w:spacing w:val="7"/>
          <w:sz w:val="24"/>
          <w:szCs w:val="24"/>
        </w:rPr>
        <w:t>国这样一个落后的资本主义国家，革命能够成功，主要原因就在于农民在关键时刻支持了布</w:t>
      </w:r>
      <w:r>
        <w:rPr>
          <w:rFonts w:hint="default" w:ascii="Times New Roman" w:hAnsi="Times New Roman" w:eastAsia="宋体" w:cs="Times New Roman"/>
          <w:color w:val="231F20"/>
          <w:spacing w:val="16"/>
          <w:sz w:val="24"/>
          <w:szCs w:val="24"/>
        </w:rPr>
        <w:t>尔什维克。这一点在艰苦卓绝的内战中体现</w:t>
      </w:r>
      <w:r>
        <w:rPr>
          <w:rFonts w:hint="default" w:ascii="Times New Roman" w:hAnsi="Times New Roman" w:eastAsia="宋体" w:cs="Times New Roman"/>
          <w:color w:val="231F20"/>
          <w:spacing w:val="6"/>
          <w:sz w:val="24"/>
          <w:szCs w:val="24"/>
        </w:rPr>
        <w:t>得尤为明显。因此，列宁把革命最终取得彻底</w:t>
      </w:r>
      <w:r>
        <w:rPr>
          <w:rFonts w:hint="default" w:ascii="Times New Roman" w:hAnsi="Times New Roman" w:eastAsia="宋体" w:cs="Times New Roman"/>
          <w:color w:val="231F20"/>
          <w:spacing w:val="18"/>
          <w:sz w:val="24"/>
          <w:szCs w:val="24"/>
        </w:rPr>
        <w:t>胜利的希望寄托于俄国工人阶级和农民阶级</w:t>
      </w:r>
      <w:r>
        <w:rPr>
          <w:rFonts w:hint="default" w:ascii="Times New Roman" w:hAnsi="Times New Roman" w:eastAsia="宋体" w:cs="Times New Roman"/>
          <w:color w:val="231F20"/>
          <w:spacing w:val="7"/>
          <w:sz w:val="24"/>
          <w:szCs w:val="24"/>
        </w:rPr>
        <w:t>这两大阶级联盟，只要这两大阶级的联盟关系</w:t>
      </w:r>
      <w:r>
        <w:rPr>
          <w:rFonts w:hint="default" w:ascii="Times New Roman" w:hAnsi="Times New Roman" w:eastAsia="宋体" w:cs="Times New Roman"/>
          <w:color w:val="231F20"/>
          <w:spacing w:val="3"/>
          <w:sz w:val="24"/>
          <w:szCs w:val="24"/>
        </w:rPr>
        <w:t>不破裂，那么建成社会主义就大有希望。</w:t>
      </w:r>
    </w:p>
    <w:p w14:paraId="068520F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而列宁所指涉的工农联盟，具体来讲包含</w:t>
      </w:r>
      <w:r>
        <w:rPr>
          <w:rFonts w:hint="default" w:ascii="Times New Roman" w:hAnsi="Times New Roman" w:eastAsia="宋体" w:cs="Times New Roman"/>
          <w:color w:val="231F20"/>
          <w:spacing w:val="6"/>
          <w:sz w:val="24"/>
          <w:szCs w:val="24"/>
        </w:rPr>
        <w:t>两层内涵：</w:t>
      </w:r>
    </w:p>
    <w:p w14:paraId="36EAD3F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一是工人阶级必须正视俄国小农经济占</w:t>
      </w:r>
      <w:r>
        <w:rPr>
          <w:rFonts w:hint="default" w:ascii="Times New Roman" w:hAnsi="Times New Roman" w:eastAsia="宋体" w:cs="Times New Roman"/>
          <w:color w:val="231F20"/>
          <w:spacing w:val="7"/>
          <w:sz w:val="24"/>
          <w:szCs w:val="24"/>
        </w:rPr>
        <w:t>统治地位的现实，必须最大限度地照顾农民切身利益，只有这样才能吸引他们一同建设社会</w:t>
      </w:r>
      <w:r>
        <w:rPr>
          <w:rFonts w:hint="default" w:ascii="Times New Roman" w:hAnsi="Times New Roman" w:eastAsia="宋体" w:cs="Times New Roman"/>
          <w:color w:val="231F20"/>
          <w:spacing w:val="6"/>
          <w:sz w:val="24"/>
          <w:szCs w:val="24"/>
        </w:rPr>
        <w:t>主义。列宁强调：“幻想出种种工人联合体来</w:t>
      </w:r>
      <w:r>
        <w:rPr>
          <w:rFonts w:hint="default" w:ascii="Times New Roman" w:hAnsi="Times New Roman" w:eastAsia="宋体" w:cs="Times New Roman"/>
          <w:color w:val="231F20"/>
          <w:spacing w:val="7"/>
          <w:sz w:val="24"/>
          <w:szCs w:val="24"/>
        </w:rPr>
        <w:t>建设社会主义，是一回事；学会实际建设这个社会主义，能让所有小农都参加这项建设，则</w:t>
      </w:r>
      <w:r>
        <w:rPr>
          <w:rFonts w:hint="default" w:ascii="Times New Roman" w:hAnsi="Times New Roman" w:eastAsia="宋体" w:cs="Times New Roman"/>
          <w:color w:val="231F20"/>
          <w:spacing w:val="-11"/>
          <w:position w:val="-2"/>
          <w:sz w:val="24"/>
          <w:szCs w:val="24"/>
        </w:rPr>
        <w:t>是另一回事。”</w:t>
      </w:r>
      <w:r>
        <w:rPr>
          <w:rFonts w:hint="default" w:ascii="Times New Roman" w:hAnsi="Times New Roman" w:eastAsia="宋体" w:cs="Times New Roman"/>
          <w:color w:val="231F20"/>
          <w:spacing w:val="-11"/>
          <w:position w:val="-2"/>
          <w:sz w:val="24"/>
          <w:szCs w:val="24"/>
          <w:vertAlign w:val="superscript"/>
          <w:lang w:val="en-US"/>
        </w:rPr>
        <w:fldChar w:fldCharType="begin"/>
      </w:r>
      <w:r>
        <w:rPr>
          <w:rFonts w:hint="default" w:ascii="Times New Roman" w:hAnsi="Times New Roman" w:eastAsia="宋体" w:cs="Times New Roman"/>
          <w:color w:val="231F20"/>
          <w:spacing w:val="-11"/>
          <w:position w:val="-2"/>
          <w:sz w:val="24"/>
          <w:szCs w:val="24"/>
          <w:vertAlign w:val="superscript"/>
          <w:lang w:val="en-US"/>
        </w:rPr>
        <w:instrText xml:space="preserve"> REF _Ref30922 \r \h </w:instrText>
      </w:r>
      <w:r>
        <w:rPr>
          <w:rFonts w:hint="default" w:ascii="Times New Roman" w:hAnsi="Times New Roman" w:eastAsia="宋体" w:cs="Times New Roman"/>
          <w:color w:val="231F20"/>
          <w:spacing w:val="-11"/>
          <w:position w:val="-2"/>
          <w:sz w:val="24"/>
          <w:szCs w:val="24"/>
          <w:vertAlign w:val="superscript"/>
          <w:lang w:val="en-US"/>
        </w:rPr>
        <w:fldChar w:fldCharType="separate"/>
      </w:r>
      <w:r>
        <w:rPr>
          <w:rFonts w:hint="default" w:ascii="Times New Roman" w:hAnsi="Times New Roman" w:eastAsia="宋体" w:cs="Times New Roman"/>
          <w:color w:val="231F20"/>
          <w:spacing w:val="-11"/>
          <w:position w:val="-2"/>
          <w:sz w:val="24"/>
          <w:szCs w:val="24"/>
          <w:vertAlign w:val="superscript"/>
          <w:lang w:val="en-US"/>
        </w:rPr>
        <w:t>[7]</w:t>
      </w:r>
      <w:r>
        <w:rPr>
          <w:rFonts w:hint="default" w:ascii="Times New Roman" w:hAnsi="Times New Roman" w:eastAsia="宋体" w:cs="Times New Roman"/>
          <w:color w:val="231F20"/>
          <w:spacing w:val="-11"/>
          <w:position w:val="-2"/>
          <w:sz w:val="24"/>
          <w:szCs w:val="24"/>
          <w:vertAlign w:val="superscript"/>
          <w:lang w:val="en-US"/>
        </w:rPr>
        <w:fldChar w:fldCharType="end"/>
      </w:r>
      <w:r>
        <w:rPr>
          <w:rFonts w:hint="default" w:ascii="Times New Roman" w:hAnsi="Times New Roman" w:eastAsia="宋体" w:cs="Times New Roman"/>
          <w:color w:val="231F20"/>
          <w:spacing w:val="-11"/>
          <w:position w:val="-2"/>
          <w:sz w:val="24"/>
          <w:szCs w:val="24"/>
          <w:vertAlign w:val="superscript"/>
          <w:lang w:val="en-US" w:eastAsia="zh-CN"/>
        </w:rPr>
        <w:t>(p.350)</w:t>
      </w:r>
    </w:p>
    <w:p w14:paraId="37D9E83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二是工人阶级必须能够始终领导农民阶</w:t>
      </w:r>
      <w:r>
        <w:rPr>
          <w:rFonts w:hint="default" w:ascii="Times New Roman" w:hAnsi="Times New Roman" w:eastAsia="宋体" w:cs="Times New Roman"/>
          <w:color w:val="231F20"/>
          <w:spacing w:val="1"/>
          <w:sz w:val="24"/>
          <w:szCs w:val="24"/>
        </w:rPr>
        <w:t>级，而不让农民阶级被资产阶级所吸引、领导。</w:t>
      </w:r>
      <w:r>
        <w:rPr>
          <w:rFonts w:hint="default" w:ascii="Times New Roman" w:hAnsi="Times New Roman" w:eastAsia="宋体" w:cs="Times New Roman"/>
          <w:color w:val="231F20"/>
          <w:spacing w:val="17"/>
          <w:sz w:val="24"/>
          <w:szCs w:val="24"/>
        </w:rPr>
        <w:t>列宁在最后考虑的就是这一重大问题。他认</w:t>
      </w:r>
      <w:r>
        <w:rPr>
          <w:rFonts w:hint="default" w:ascii="Times New Roman" w:hAnsi="Times New Roman" w:eastAsia="宋体" w:cs="Times New Roman"/>
          <w:color w:val="231F20"/>
          <w:spacing w:val="7"/>
          <w:sz w:val="24"/>
          <w:szCs w:val="24"/>
        </w:rPr>
        <w:t>为新经济政策给农民利益让了步，短时间内工农联盟不会破裂，但从长远角度来看，新经济政策会不会不断壮大私人资本，即所谓“耐普</w:t>
      </w:r>
      <w:r>
        <w:rPr>
          <w:rFonts w:hint="default" w:ascii="Times New Roman" w:hAnsi="Times New Roman" w:eastAsia="宋体" w:cs="Times New Roman"/>
          <w:color w:val="231F20"/>
          <w:spacing w:val="-3"/>
          <w:sz w:val="24"/>
          <w:szCs w:val="24"/>
        </w:rPr>
        <w:t>曼”的力量，让农民阶级倒向资产阶级，最终从</w:t>
      </w:r>
      <w:r>
        <w:rPr>
          <w:rFonts w:hint="default" w:ascii="Times New Roman" w:hAnsi="Times New Roman" w:eastAsia="宋体" w:cs="Times New Roman"/>
          <w:color w:val="231F20"/>
          <w:spacing w:val="17"/>
          <w:sz w:val="24"/>
          <w:szCs w:val="24"/>
        </w:rPr>
        <w:t>经济和政治上击败苏维埃政权？列宁心里没</w:t>
      </w:r>
      <w:r>
        <w:rPr>
          <w:rFonts w:hint="default" w:ascii="Times New Roman" w:hAnsi="Times New Roman" w:eastAsia="宋体" w:cs="Times New Roman"/>
          <w:color w:val="231F20"/>
          <w:spacing w:val="-2"/>
          <w:sz w:val="24"/>
          <w:szCs w:val="24"/>
        </w:rPr>
        <w:t>有把握，“为保住我国的工人政权，为了保持工</w:t>
      </w:r>
      <w:r>
        <w:rPr>
          <w:rFonts w:hint="default" w:ascii="Times New Roman" w:hAnsi="Times New Roman" w:eastAsia="宋体" w:cs="Times New Roman"/>
          <w:color w:val="231F20"/>
          <w:spacing w:val="18"/>
          <w:sz w:val="24"/>
          <w:szCs w:val="24"/>
        </w:rPr>
        <w:t>人政权在我国小农和极小农中间的威望和对</w:t>
      </w:r>
      <w:r>
        <w:rPr>
          <w:rFonts w:hint="default" w:ascii="Times New Roman" w:hAnsi="Times New Roman" w:eastAsia="宋体" w:cs="Times New Roman"/>
          <w:color w:val="231F20"/>
          <w:spacing w:val="-3"/>
          <w:sz w:val="24"/>
          <w:szCs w:val="24"/>
        </w:rPr>
        <w:t>他们的领导，我们必须极其谨慎小心”。</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(p.377)</w:t>
      </w:r>
    </w:p>
    <w:p w14:paraId="2C7A577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正由于此，列宁特别强调合作社的作用，</w:t>
      </w:r>
      <w:r>
        <w:rPr>
          <w:rFonts w:hint="default" w:ascii="Times New Roman" w:hAnsi="Times New Roman" w:eastAsia="宋体" w:cs="Times New Roman"/>
          <w:color w:val="231F20"/>
          <w:spacing w:val="7"/>
          <w:sz w:val="24"/>
          <w:szCs w:val="24"/>
        </w:rPr>
        <w:t>这时他发现合作社不同于私人企业，是有利于</w:t>
      </w:r>
      <w:r>
        <w:rPr>
          <w:rFonts w:hint="default" w:ascii="Times New Roman" w:hAnsi="Times New Roman" w:eastAsia="宋体" w:cs="Times New Roman"/>
          <w:color w:val="231F20"/>
          <w:spacing w:val="13"/>
          <w:sz w:val="24"/>
          <w:szCs w:val="24"/>
        </w:rPr>
        <w:t>实现社会主义经济与小农经济的结合，有利于实现国家对小农的组织和领导的，而这对苏维</w:t>
      </w:r>
      <w:r>
        <w:rPr>
          <w:rFonts w:hint="default" w:ascii="Times New Roman" w:hAnsi="Times New Roman" w:eastAsia="宋体" w:cs="Times New Roman"/>
          <w:color w:val="231F20"/>
          <w:spacing w:val="11"/>
          <w:sz w:val="24"/>
          <w:szCs w:val="24"/>
        </w:rPr>
        <w:t>埃政权来说至关重要。列宁在《论合作社》中</w:t>
      </w:r>
      <w:r>
        <w:rPr>
          <w:rFonts w:hint="default" w:ascii="Times New Roman" w:hAnsi="Times New Roman" w:eastAsia="宋体" w:cs="Times New Roman"/>
          <w:color w:val="231F20"/>
          <w:spacing w:val="14"/>
          <w:sz w:val="24"/>
          <w:szCs w:val="24"/>
        </w:rPr>
        <w:t>三次强调“估计不足”的情况正是指这一点，</w:t>
      </w:r>
      <w:r>
        <w:rPr>
          <w:rFonts w:hint="default" w:ascii="Times New Roman" w:hAnsi="Times New Roman" w:eastAsia="宋体" w:cs="Times New Roman"/>
          <w:color w:val="231F20"/>
          <w:spacing w:val="12"/>
          <w:sz w:val="24"/>
          <w:szCs w:val="24"/>
        </w:rPr>
        <w:t>“我们改行新经济政策时做得过头的地方，并</w:t>
      </w:r>
      <w:r>
        <w:rPr>
          <w:rFonts w:hint="default" w:ascii="Times New Roman" w:hAnsi="Times New Roman" w:eastAsia="宋体" w:cs="Times New Roman"/>
          <w:color w:val="231F20"/>
          <w:spacing w:val="13"/>
          <w:sz w:val="24"/>
          <w:szCs w:val="24"/>
        </w:rPr>
        <w:t>不在于我们充分重视自由工商业的原则；我们改行新经济政策时做得过头的地方，在于我们忘记了合作社，在于我们现在对合作社仍然估</w:t>
      </w:r>
      <w:r>
        <w:rPr>
          <w:rFonts w:hint="default" w:ascii="Times New Roman" w:hAnsi="Times New Roman" w:eastAsia="宋体" w:cs="Times New Roman"/>
          <w:color w:val="231F20"/>
          <w:spacing w:val="-7"/>
          <w:position w:val="-2"/>
          <w:sz w:val="24"/>
          <w:szCs w:val="24"/>
        </w:rPr>
        <w:t>计不足”。</w:t>
      </w:r>
      <w:r>
        <w:rPr>
          <w:rFonts w:hint="default" w:ascii="Times New Roman" w:hAnsi="Times New Roman" w:eastAsia="宋体" w:cs="Times New Roman"/>
          <w:color w:val="231F20"/>
          <w:spacing w:val="-7"/>
          <w:position w:val="-2"/>
          <w:sz w:val="24"/>
          <w:szCs w:val="24"/>
          <w:vertAlign w:val="superscript"/>
          <w:lang w:val="en-US"/>
        </w:rPr>
        <w:fldChar w:fldCharType="begin"/>
      </w:r>
      <w:r>
        <w:rPr>
          <w:rFonts w:hint="default" w:ascii="Times New Roman" w:hAnsi="Times New Roman" w:eastAsia="宋体" w:cs="Times New Roman"/>
          <w:color w:val="231F20"/>
          <w:spacing w:val="-7"/>
          <w:position w:val="-2"/>
          <w:sz w:val="24"/>
          <w:szCs w:val="24"/>
          <w:vertAlign w:val="superscript"/>
          <w:lang w:val="en-US"/>
        </w:rPr>
        <w:instrText xml:space="preserve"> REF _Ref30922 \r \h </w:instrText>
      </w:r>
      <w:r>
        <w:rPr>
          <w:rFonts w:hint="default" w:ascii="Times New Roman" w:hAnsi="Times New Roman" w:eastAsia="宋体" w:cs="Times New Roman"/>
          <w:color w:val="231F20"/>
          <w:spacing w:val="-7"/>
          <w:position w:val="-2"/>
          <w:sz w:val="24"/>
          <w:szCs w:val="24"/>
          <w:vertAlign w:val="superscript"/>
          <w:lang w:val="en-US"/>
        </w:rPr>
        <w:fldChar w:fldCharType="separate"/>
      </w:r>
      <w:r>
        <w:rPr>
          <w:rFonts w:hint="default" w:ascii="Times New Roman" w:hAnsi="Times New Roman" w:eastAsia="宋体" w:cs="Times New Roman"/>
          <w:color w:val="231F20"/>
          <w:spacing w:val="-7"/>
          <w:position w:val="-2"/>
          <w:sz w:val="24"/>
          <w:szCs w:val="24"/>
          <w:vertAlign w:val="superscript"/>
          <w:lang w:val="en-US"/>
        </w:rPr>
        <w:t>[7]</w:t>
      </w:r>
      <w:r>
        <w:rPr>
          <w:rFonts w:hint="default" w:ascii="Times New Roman" w:hAnsi="Times New Roman" w:eastAsia="宋体" w:cs="Times New Roman"/>
          <w:color w:val="231F20"/>
          <w:spacing w:val="-7"/>
          <w:position w:val="-2"/>
          <w:sz w:val="24"/>
          <w:szCs w:val="24"/>
          <w:vertAlign w:val="superscript"/>
          <w:lang w:val="en-US"/>
        </w:rPr>
        <w:fldChar w:fldCharType="end"/>
      </w:r>
      <w:r>
        <w:rPr>
          <w:rFonts w:hint="default" w:ascii="Times New Roman" w:hAnsi="Times New Roman" w:eastAsia="宋体" w:cs="Times New Roman"/>
          <w:color w:val="231F20"/>
          <w:spacing w:val="-7"/>
          <w:position w:val="-2"/>
          <w:sz w:val="24"/>
          <w:szCs w:val="24"/>
          <w:vertAlign w:val="superscript"/>
          <w:lang w:val="en-US" w:eastAsia="zh-CN"/>
        </w:rPr>
        <w:t>(p.350)</w:t>
      </w:r>
    </w:p>
    <w:p w14:paraId="49D034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（二）以苏维埃政权与新经济政策为双前提</w:t>
      </w:r>
    </w:p>
    <w:p w14:paraId="6488A69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从前提条件来看，十月革命后苏维埃政权建立，实现了国家政权、主要生产资料由无产阶级掌握，同时实行新经济政策，这是列宁意图实现合作化的前提条件，没有这个条件就没</w:t>
      </w:r>
      <w:r>
        <w:rPr>
          <w:rFonts w:hint="default" w:ascii="Times New Roman" w:hAnsi="Times New Roman" w:eastAsia="宋体" w:cs="Times New Roman"/>
          <w:color w:val="231F20"/>
          <w:spacing w:val="16"/>
          <w:sz w:val="24"/>
          <w:szCs w:val="24"/>
        </w:rPr>
        <w:t>有合作制战略构想。合作制战略构想能够成</w:t>
      </w:r>
      <w:r>
        <w:rPr>
          <w:rFonts w:hint="default" w:ascii="Times New Roman" w:hAnsi="Times New Roman" w:eastAsia="宋体" w:cs="Times New Roman"/>
          <w:color w:val="231F20"/>
          <w:spacing w:val="6"/>
          <w:sz w:val="24"/>
          <w:szCs w:val="24"/>
        </w:rPr>
        <w:t>立，上述两者缺一不可。新经济政策为合作制</w:t>
      </w:r>
      <w:r>
        <w:rPr>
          <w:rFonts w:hint="default" w:ascii="Times New Roman" w:hAnsi="Times New Roman" w:eastAsia="宋体" w:cs="Times New Roman"/>
          <w:color w:val="231F20"/>
          <w:spacing w:val="7"/>
          <w:sz w:val="24"/>
          <w:szCs w:val="24"/>
        </w:rPr>
        <w:t>构想提供基本的经济条件和制度框架，如果没有新经济政策，退回战时共产主义框架，也就没有合作社发展的空间，没有对于农民个体利</w:t>
      </w:r>
      <w:r>
        <w:rPr>
          <w:rFonts w:hint="default" w:ascii="Times New Roman" w:hAnsi="Times New Roman" w:eastAsia="宋体" w:cs="Times New Roman"/>
          <w:color w:val="231F20"/>
          <w:spacing w:val="6"/>
          <w:sz w:val="24"/>
          <w:szCs w:val="24"/>
        </w:rPr>
        <w:t>益的承认和保护。正是在这个基础上，列宁强</w:t>
      </w:r>
      <w:r>
        <w:rPr>
          <w:rFonts w:hint="default" w:ascii="Times New Roman" w:hAnsi="Times New Roman" w:eastAsia="宋体" w:cs="Times New Roman"/>
          <w:color w:val="231F20"/>
          <w:spacing w:val="7"/>
          <w:sz w:val="24"/>
          <w:szCs w:val="24"/>
        </w:rPr>
        <w:t>调“正是由于实行了新经济政策，合作社在我</w:t>
      </w:r>
      <w:r>
        <w:rPr>
          <w:rFonts w:hint="default" w:ascii="Times New Roman" w:hAnsi="Times New Roman" w:eastAsia="宋体" w:cs="Times New Roman"/>
          <w:color w:val="231F20"/>
          <w:spacing w:val="-2"/>
          <w:position w:val="-1"/>
          <w:sz w:val="24"/>
          <w:szCs w:val="24"/>
        </w:rPr>
        <w:t>国有了非常重大的意义”。</w:t>
      </w:r>
      <w:r>
        <w:rPr>
          <w:rFonts w:hint="default" w:ascii="Times New Roman" w:hAnsi="Times New Roman" w:eastAsia="宋体" w:cs="Times New Roman"/>
          <w:color w:val="231F20"/>
          <w:spacing w:val="-2"/>
          <w:position w:val="-1"/>
          <w:sz w:val="24"/>
          <w:szCs w:val="24"/>
          <w:vertAlign w:val="superscript"/>
          <w:lang w:val="en-US"/>
        </w:rPr>
        <w:fldChar w:fldCharType="begin"/>
      </w:r>
      <w:r>
        <w:rPr>
          <w:rFonts w:hint="default" w:ascii="Times New Roman" w:hAnsi="Times New Roman" w:eastAsia="宋体" w:cs="Times New Roman"/>
          <w:color w:val="231F20"/>
          <w:spacing w:val="-2"/>
          <w:position w:val="-1"/>
          <w:sz w:val="24"/>
          <w:szCs w:val="24"/>
          <w:vertAlign w:val="superscript"/>
          <w:lang w:val="en-US"/>
        </w:rPr>
        <w:instrText xml:space="preserve"> REF _Ref30922 \r \h </w:instrText>
      </w:r>
      <w:r>
        <w:rPr>
          <w:rFonts w:hint="default" w:ascii="Times New Roman" w:hAnsi="Times New Roman" w:eastAsia="宋体" w:cs="Times New Roman"/>
          <w:color w:val="231F20"/>
          <w:spacing w:val="-2"/>
          <w:position w:val="-1"/>
          <w:sz w:val="24"/>
          <w:szCs w:val="24"/>
          <w:vertAlign w:val="superscript"/>
          <w:lang w:val="en-US"/>
        </w:rPr>
        <w:fldChar w:fldCharType="separate"/>
      </w:r>
      <w:r>
        <w:rPr>
          <w:rFonts w:hint="default" w:ascii="Times New Roman" w:hAnsi="Times New Roman" w:eastAsia="宋体" w:cs="Times New Roman"/>
          <w:color w:val="231F20"/>
          <w:spacing w:val="-2"/>
          <w:position w:val="-1"/>
          <w:sz w:val="24"/>
          <w:szCs w:val="24"/>
          <w:vertAlign w:val="superscript"/>
          <w:lang w:val="en-US"/>
        </w:rPr>
        <w:t>[7]</w:t>
      </w:r>
      <w:r>
        <w:rPr>
          <w:rFonts w:hint="default" w:ascii="Times New Roman" w:hAnsi="Times New Roman" w:eastAsia="宋体" w:cs="Times New Roman"/>
          <w:color w:val="231F20"/>
          <w:spacing w:val="-2"/>
          <w:position w:val="-1"/>
          <w:sz w:val="24"/>
          <w:szCs w:val="24"/>
          <w:vertAlign w:val="superscript"/>
          <w:lang w:val="en-US"/>
        </w:rPr>
        <w:fldChar w:fldCharType="end"/>
      </w:r>
      <w:r>
        <w:rPr>
          <w:rFonts w:hint="default" w:ascii="Times New Roman" w:hAnsi="Times New Roman" w:eastAsia="宋体" w:cs="Times New Roman"/>
          <w:color w:val="231F20"/>
          <w:spacing w:val="-2"/>
          <w:position w:val="-1"/>
          <w:sz w:val="24"/>
          <w:szCs w:val="24"/>
          <w:vertAlign w:val="superscript"/>
          <w:lang w:val="en-US" w:eastAsia="zh-CN"/>
        </w:rPr>
        <w:t>(p.348)</w:t>
      </w:r>
    </w:p>
    <w:p w14:paraId="050C9B5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同时，列宁也强调苏维埃政权和工人阶级</w:t>
      </w:r>
      <w:r>
        <w:rPr>
          <w:rFonts w:hint="default" w:ascii="Times New Roman" w:hAnsi="Times New Roman" w:eastAsia="宋体" w:cs="Times New Roman"/>
          <w:color w:val="231F20"/>
          <w:spacing w:val="17"/>
          <w:sz w:val="24"/>
          <w:szCs w:val="24"/>
        </w:rPr>
        <w:t>领导的重大意义。他认为人们往往会忘记苏</w:t>
      </w:r>
      <w:r>
        <w:rPr>
          <w:rFonts w:hint="default" w:ascii="Times New Roman" w:hAnsi="Times New Roman" w:eastAsia="宋体" w:cs="Times New Roman"/>
          <w:color w:val="231F20"/>
          <w:spacing w:val="18"/>
          <w:sz w:val="24"/>
          <w:szCs w:val="24"/>
        </w:rPr>
        <w:t>维埃国家制度的特点对合作社具有的重大意</w:t>
      </w:r>
      <w:r>
        <w:rPr>
          <w:rFonts w:hint="default" w:ascii="Times New Roman" w:hAnsi="Times New Roman" w:eastAsia="宋体" w:cs="Times New Roman"/>
          <w:color w:val="231F20"/>
          <w:spacing w:val="6"/>
          <w:sz w:val="24"/>
          <w:szCs w:val="24"/>
        </w:rPr>
        <w:t>义。这主要体现在：国家政权掌握在工人阶级</w:t>
      </w:r>
      <w:r>
        <w:rPr>
          <w:rFonts w:hint="default" w:ascii="Times New Roman" w:hAnsi="Times New Roman" w:eastAsia="宋体" w:cs="Times New Roman"/>
          <w:color w:val="231F20"/>
          <w:spacing w:val="7"/>
          <w:sz w:val="24"/>
          <w:szCs w:val="24"/>
        </w:rPr>
        <w:t>手里、绝大部分生产资料也掌握在工人阶级手</w:t>
      </w:r>
      <w:r>
        <w:rPr>
          <w:rFonts w:hint="default" w:ascii="Times New Roman" w:hAnsi="Times New Roman" w:eastAsia="宋体" w:cs="Times New Roman"/>
          <w:color w:val="231F20"/>
          <w:spacing w:val="9"/>
          <w:sz w:val="24"/>
          <w:szCs w:val="24"/>
        </w:rPr>
        <w:t>里。正是由于上层建筑发生了革命性的变化，</w:t>
      </w:r>
      <w:r>
        <w:rPr>
          <w:rFonts w:hint="default" w:ascii="Times New Roman" w:hAnsi="Times New Roman" w:eastAsia="宋体" w:cs="Times New Roman"/>
          <w:color w:val="231F20"/>
          <w:spacing w:val="7"/>
          <w:sz w:val="24"/>
          <w:szCs w:val="24"/>
        </w:rPr>
        <w:t>合作社作用和性质发生变化，原来意义上属于资本主义性质的合作社，由于政治前提和制度基础的变化，就具有了向社会主义性质转化的</w:t>
      </w:r>
      <w:r>
        <w:rPr>
          <w:rFonts w:hint="default" w:ascii="Times New Roman" w:hAnsi="Times New Roman" w:eastAsia="宋体" w:cs="Times New Roman"/>
          <w:color w:val="231F20"/>
          <w:spacing w:val="-5"/>
          <w:sz w:val="24"/>
          <w:szCs w:val="24"/>
        </w:rPr>
        <w:t>可能性。列宁认为，“合作制”社会主义原来应</w:t>
      </w:r>
      <w:r>
        <w:rPr>
          <w:rFonts w:hint="default" w:ascii="Times New Roman" w:hAnsi="Times New Roman" w:eastAsia="宋体" w:cs="Times New Roman"/>
          <w:color w:val="231F20"/>
          <w:spacing w:val="7"/>
          <w:sz w:val="24"/>
          <w:szCs w:val="24"/>
        </w:rPr>
        <w:t>当看作彻头彻尾的幻想，但现在由于上层建筑</w:t>
      </w:r>
      <w:r>
        <w:rPr>
          <w:rFonts w:hint="default" w:ascii="Times New Roman" w:hAnsi="Times New Roman" w:eastAsia="宋体" w:cs="Times New Roman"/>
          <w:color w:val="231F20"/>
          <w:spacing w:val="12"/>
          <w:sz w:val="24"/>
          <w:szCs w:val="24"/>
        </w:rPr>
        <w:t>的变化，情况就大不一样了。以罗伯特·欧文</w:t>
      </w:r>
      <w:r>
        <w:rPr>
          <w:rFonts w:hint="default" w:ascii="Times New Roman" w:hAnsi="Times New Roman" w:eastAsia="宋体" w:cs="Times New Roman"/>
          <w:color w:val="231F20"/>
          <w:spacing w:val="7"/>
          <w:sz w:val="24"/>
          <w:szCs w:val="24"/>
        </w:rPr>
        <w:t>为代表的“旧日合作社工作者的理想中许多曾</w:t>
      </w:r>
      <w:r>
        <w:rPr>
          <w:rFonts w:hint="default" w:ascii="Times New Roman" w:hAnsi="Times New Roman" w:eastAsia="宋体" w:cs="Times New Roman"/>
          <w:color w:val="231F20"/>
          <w:spacing w:val="17"/>
          <w:sz w:val="24"/>
          <w:szCs w:val="24"/>
        </w:rPr>
        <w:t>经是幻想的、甚至是浪漫主义的或庸俗的东</w:t>
      </w:r>
      <w:r>
        <w:rPr>
          <w:rFonts w:hint="default" w:ascii="Times New Roman" w:hAnsi="Times New Roman" w:eastAsia="宋体" w:cs="Times New Roman"/>
          <w:color w:val="231F20"/>
          <w:spacing w:val="3"/>
          <w:sz w:val="24"/>
          <w:szCs w:val="24"/>
        </w:rPr>
        <w:t>西，正在成为不加任何粉饰的现实”。</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(p.349)</w:t>
      </w:r>
      <w:r>
        <w:rPr>
          <w:rFonts w:hint="default" w:ascii="Times New Roman" w:hAnsi="Times New Roman" w:eastAsia="宋体" w:cs="Times New Roman"/>
          <w:color w:val="231F20"/>
          <w:spacing w:val="2"/>
          <w:sz w:val="24"/>
          <w:szCs w:val="24"/>
        </w:rPr>
        <w:t>很</w:t>
      </w:r>
      <w:r>
        <w:rPr>
          <w:rFonts w:hint="default" w:ascii="Times New Roman" w:hAnsi="Times New Roman" w:eastAsia="宋体" w:cs="Times New Roman"/>
          <w:color w:val="231F20"/>
          <w:spacing w:val="-1"/>
          <w:sz w:val="24"/>
          <w:szCs w:val="24"/>
        </w:rPr>
        <w:t>明显，列宁改变了对“合作”社会主义的看法，</w:t>
      </w:r>
      <w:r>
        <w:rPr>
          <w:rFonts w:hint="default" w:ascii="Times New Roman" w:hAnsi="Times New Roman" w:eastAsia="宋体" w:cs="Times New Roman"/>
          <w:color w:val="231F20"/>
          <w:spacing w:val="9"/>
          <w:sz w:val="24"/>
          <w:szCs w:val="24"/>
        </w:rPr>
        <w:t>而这是由于前提条件和制度基础发生了变化。</w:t>
      </w:r>
    </w:p>
    <w:p w14:paraId="25748A3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（三）以农民合作化为主要任务</w:t>
      </w:r>
    </w:p>
    <w:p w14:paraId="17C5F6B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合作制战略构想的目标在于，在承认商品货币关系和市场机制的基础上，引导广大农民广泛加入合作社、建立文明的合作社工作者制</w:t>
      </w:r>
      <w:r>
        <w:rPr>
          <w:rFonts w:hint="default" w:ascii="Times New Roman" w:hAnsi="Times New Roman" w:eastAsia="宋体" w:cs="Times New Roman"/>
          <w:color w:val="231F20"/>
          <w:spacing w:val="1"/>
          <w:sz w:val="24"/>
          <w:szCs w:val="24"/>
        </w:rPr>
        <w:t>度，概括而言就是实现合作化。</w:t>
      </w:r>
    </w:p>
    <w:p w14:paraId="61E6720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列宁的思路非常清楚，从经济发展阶段来说，俄国处于过渡阶段，既不能一步达到完全的社会主义经济，也不能停留于如汪洋大海般</w:t>
      </w:r>
      <w:r>
        <w:rPr>
          <w:rFonts w:hint="default" w:ascii="Times New Roman" w:hAnsi="Times New Roman" w:eastAsia="宋体" w:cs="Times New Roman"/>
          <w:color w:val="231F20"/>
          <w:spacing w:val="18"/>
          <w:sz w:val="24"/>
          <w:szCs w:val="24"/>
        </w:rPr>
        <w:t>的小农经济，放任私人资本的自发作用和影</w:t>
      </w:r>
      <w:r>
        <w:rPr>
          <w:rFonts w:hint="default" w:ascii="Times New Roman" w:hAnsi="Times New Roman" w:eastAsia="宋体" w:cs="Times New Roman"/>
          <w:color w:val="231F20"/>
          <w:spacing w:val="7"/>
          <w:sz w:val="24"/>
          <w:szCs w:val="24"/>
        </w:rPr>
        <w:t>响，而是要找到阶梯和桥梁，实现从个体经济</w:t>
      </w:r>
      <w:r>
        <w:rPr>
          <w:rFonts w:hint="default" w:ascii="Times New Roman" w:hAnsi="Times New Roman" w:eastAsia="宋体" w:cs="Times New Roman"/>
          <w:color w:val="231F20"/>
          <w:spacing w:val="8"/>
          <w:sz w:val="24"/>
          <w:szCs w:val="24"/>
        </w:rPr>
        <w:t>到大经济的过渡。</w:t>
      </w:r>
    </w:p>
    <w:p w14:paraId="6DE3649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列宁的设想就是主要通过合作社这一中</w:t>
      </w:r>
      <w:r>
        <w:rPr>
          <w:rFonts w:hint="default" w:ascii="Times New Roman" w:hAnsi="Times New Roman" w:eastAsia="宋体" w:cs="Times New Roman"/>
          <w:color w:val="231F20"/>
          <w:spacing w:val="6"/>
          <w:sz w:val="24"/>
          <w:szCs w:val="24"/>
        </w:rPr>
        <w:t>间环节和具体形式。原因在于：在合作社占用</w:t>
      </w:r>
      <w:r>
        <w:rPr>
          <w:rFonts w:hint="default" w:ascii="Times New Roman" w:hAnsi="Times New Roman" w:eastAsia="宋体" w:cs="Times New Roman"/>
          <w:color w:val="231F20"/>
          <w:spacing w:val="18"/>
          <w:sz w:val="24"/>
          <w:szCs w:val="24"/>
        </w:rPr>
        <w:t>的土地和使用的生产资料主要是属于国家即</w:t>
      </w:r>
      <w:r>
        <w:rPr>
          <w:rFonts w:hint="default" w:ascii="Times New Roman" w:hAnsi="Times New Roman" w:eastAsia="宋体" w:cs="Times New Roman"/>
          <w:color w:val="231F20"/>
          <w:spacing w:val="7"/>
          <w:sz w:val="24"/>
          <w:szCs w:val="24"/>
        </w:rPr>
        <w:t>属于工人阶级的条件下，合作化使“我们发现</w:t>
      </w:r>
      <w:r>
        <w:rPr>
          <w:rFonts w:hint="default" w:ascii="Times New Roman" w:hAnsi="Times New Roman" w:eastAsia="宋体" w:cs="Times New Roman"/>
          <w:color w:val="231F20"/>
          <w:spacing w:val="18"/>
          <w:sz w:val="24"/>
          <w:szCs w:val="24"/>
        </w:rPr>
        <w:t>了私人利益即私人买卖的利益与国家对这种利益的检查监督相结合的合适程度，发现了</w:t>
      </w:r>
      <w:r>
        <w:rPr>
          <w:rFonts w:hint="default" w:ascii="Times New Roman" w:hAnsi="Times New Roman" w:eastAsia="宋体" w:cs="Times New Roman"/>
          <w:color w:val="231F20"/>
          <w:spacing w:val="10"/>
          <w:sz w:val="24"/>
          <w:szCs w:val="24"/>
        </w:rPr>
        <w:t>私人利益服从共同利益的合适程度”。</w:t>
      </w:r>
      <w:r>
        <w:rPr>
          <w:rFonts w:hint="default" w:ascii="Times New Roman" w:hAnsi="Times New Roman" w:eastAsia="宋体" w:cs="Times New Roman"/>
          <w:color w:val="231F20"/>
          <w:spacing w:val="10"/>
          <w:sz w:val="24"/>
          <w:szCs w:val="24"/>
          <w:vertAlign w:val="superscript"/>
          <w:lang w:val="en-US"/>
        </w:rPr>
        <w:fldChar w:fldCharType="begin"/>
      </w:r>
      <w:r>
        <w:rPr>
          <w:rFonts w:hint="default" w:ascii="Times New Roman" w:hAnsi="Times New Roman" w:eastAsia="宋体" w:cs="Times New Roman"/>
          <w:color w:val="231F20"/>
          <w:spacing w:val="10"/>
          <w:sz w:val="24"/>
          <w:szCs w:val="24"/>
          <w:vertAlign w:val="superscript"/>
          <w:lang w:val="en-US"/>
        </w:rPr>
        <w:instrText xml:space="preserve"> REF _Ref30922 \r \h </w:instrText>
      </w:r>
      <w:r>
        <w:rPr>
          <w:rFonts w:hint="default" w:ascii="Times New Roman" w:hAnsi="Times New Roman" w:eastAsia="宋体" w:cs="Times New Roman"/>
          <w:color w:val="231F20"/>
          <w:spacing w:val="10"/>
          <w:sz w:val="24"/>
          <w:szCs w:val="24"/>
          <w:vertAlign w:val="superscript"/>
          <w:lang w:val="en-US"/>
        </w:rPr>
        <w:fldChar w:fldCharType="separate"/>
      </w:r>
      <w:r>
        <w:rPr>
          <w:rFonts w:hint="default" w:ascii="Times New Roman" w:hAnsi="Times New Roman" w:eastAsia="宋体" w:cs="Times New Roman"/>
          <w:color w:val="231F20"/>
          <w:spacing w:val="10"/>
          <w:sz w:val="24"/>
          <w:szCs w:val="24"/>
          <w:vertAlign w:val="superscript"/>
          <w:lang w:val="en-US"/>
        </w:rPr>
        <w:t>[7]</w:t>
      </w:r>
      <w:r>
        <w:rPr>
          <w:rFonts w:hint="default" w:ascii="Times New Roman" w:hAnsi="Times New Roman" w:eastAsia="宋体" w:cs="Times New Roman"/>
          <w:color w:val="231F20"/>
          <w:spacing w:val="10"/>
          <w:sz w:val="24"/>
          <w:szCs w:val="24"/>
          <w:vertAlign w:val="superscript"/>
          <w:lang w:val="en-US"/>
        </w:rPr>
        <w:fldChar w:fldCharType="end"/>
      </w:r>
      <w:r>
        <w:rPr>
          <w:rFonts w:hint="default" w:ascii="Times New Roman" w:hAnsi="Times New Roman" w:eastAsia="宋体" w:cs="Times New Roman"/>
          <w:color w:val="231F20"/>
          <w:spacing w:val="10"/>
          <w:sz w:val="24"/>
          <w:szCs w:val="24"/>
          <w:vertAlign w:val="superscript"/>
          <w:lang w:val="en-US" w:eastAsia="zh-CN"/>
        </w:rPr>
        <w:t>(p.349)</w:t>
      </w:r>
    </w:p>
    <w:p w14:paraId="6C05FBE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列宁这里特别强调私人利益和共同利益相结</w:t>
      </w:r>
      <w:r>
        <w:rPr>
          <w:rFonts w:hint="default" w:ascii="Times New Roman" w:hAnsi="Times New Roman" w:eastAsia="宋体" w:cs="Times New Roman"/>
          <w:color w:val="231F20"/>
          <w:spacing w:val="7"/>
          <w:sz w:val="24"/>
          <w:szCs w:val="24"/>
        </w:rPr>
        <w:t>合，这意味着，既不能简单忽视甚至漠视农民</w:t>
      </w:r>
      <w:r>
        <w:rPr>
          <w:rFonts w:hint="default" w:ascii="Times New Roman" w:hAnsi="Times New Roman" w:eastAsia="宋体" w:cs="Times New Roman"/>
          <w:color w:val="231F20"/>
          <w:spacing w:val="11"/>
          <w:sz w:val="24"/>
          <w:szCs w:val="24"/>
        </w:rPr>
        <w:t>的个体利益，就像是战时共产主义时期那样，</w:t>
      </w:r>
      <w:r>
        <w:rPr>
          <w:rFonts w:hint="default" w:ascii="Times New Roman" w:hAnsi="Times New Roman" w:eastAsia="宋体" w:cs="Times New Roman"/>
          <w:color w:val="231F20"/>
          <w:spacing w:val="18"/>
          <w:sz w:val="24"/>
          <w:szCs w:val="24"/>
        </w:rPr>
        <w:t>也不能片面强调农民的私人利益，尤其是在新经济政策背景下，这种私人利益的泛滥很容易滑向资本主义；而是要将这两者兼顾起</w:t>
      </w:r>
      <w:r>
        <w:rPr>
          <w:rFonts w:hint="default" w:ascii="Times New Roman" w:hAnsi="Times New Roman" w:eastAsia="宋体" w:cs="Times New Roman"/>
          <w:color w:val="231F20"/>
          <w:spacing w:val="16"/>
          <w:sz w:val="24"/>
          <w:szCs w:val="24"/>
        </w:rPr>
        <w:t>来，找到结合点。列宁认为这个结合点就是</w:t>
      </w:r>
      <w:r>
        <w:rPr>
          <w:rFonts w:hint="default" w:ascii="Times New Roman" w:hAnsi="Times New Roman" w:eastAsia="宋体" w:cs="Times New Roman"/>
          <w:color w:val="231F20"/>
          <w:spacing w:val="7"/>
          <w:sz w:val="24"/>
          <w:szCs w:val="24"/>
        </w:rPr>
        <w:t>合作化。“合作社这一商业形式比私营商业有利，有好处，不仅是由于上述一些原因（即便于计算、监督、监察——笔者注</w:t>
      </w:r>
      <w:r>
        <w:rPr>
          <w:rFonts w:hint="default" w:ascii="Times New Roman" w:hAnsi="Times New Roman" w:eastAsia="宋体" w:cs="Times New Roman"/>
          <w:color w:val="231F20"/>
          <w:spacing w:val="-30"/>
          <w:w w:val="63"/>
          <w:sz w:val="24"/>
          <w:szCs w:val="24"/>
        </w:rPr>
        <w:t>），</w:t>
      </w:r>
      <w:r>
        <w:rPr>
          <w:rFonts w:hint="default" w:ascii="Times New Roman" w:hAnsi="Times New Roman" w:eastAsia="宋体" w:cs="Times New Roman"/>
          <w:color w:val="231F20"/>
          <w:spacing w:val="7"/>
          <w:sz w:val="24"/>
          <w:szCs w:val="24"/>
        </w:rPr>
        <w:t>而且是由于</w:t>
      </w:r>
      <w:r>
        <w:rPr>
          <w:rFonts w:hint="default" w:ascii="Times New Roman" w:hAnsi="Times New Roman" w:eastAsia="宋体" w:cs="Times New Roman"/>
          <w:color w:val="231F20"/>
          <w:spacing w:val="18"/>
          <w:sz w:val="24"/>
          <w:szCs w:val="24"/>
        </w:rPr>
        <w:t>合作社便于把千百万居民以至全体居民联合</w:t>
      </w:r>
      <w:r>
        <w:rPr>
          <w:rFonts w:hint="default" w:ascii="Times New Roman" w:hAnsi="Times New Roman" w:eastAsia="宋体" w:cs="Times New Roman"/>
          <w:color w:val="231F20"/>
          <w:spacing w:val="-8"/>
          <w:position w:val="-1"/>
          <w:sz w:val="24"/>
          <w:szCs w:val="24"/>
        </w:rPr>
        <w:t>起来，组织起来。”</w:t>
      </w:r>
      <w:r>
        <w:rPr>
          <w:rFonts w:hint="default" w:ascii="Times New Roman" w:hAnsi="Times New Roman" w:eastAsia="宋体" w:cs="Times New Roman"/>
          <w:color w:val="231F20"/>
          <w:spacing w:val="-8"/>
          <w:position w:val="-1"/>
          <w:sz w:val="24"/>
          <w:szCs w:val="24"/>
          <w:vertAlign w:val="superscript"/>
          <w:lang w:val="en-US"/>
        </w:rPr>
        <w:fldChar w:fldCharType="begin"/>
      </w:r>
      <w:r>
        <w:rPr>
          <w:rFonts w:hint="default" w:ascii="Times New Roman" w:hAnsi="Times New Roman" w:eastAsia="宋体" w:cs="Times New Roman"/>
          <w:color w:val="231F20"/>
          <w:spacing w:val="-8"/>
          <w:position w:val="-1"/>
          <w:sz w:val="24"/>
          <w:szCs w:val="24"/>
          <w:vertAlign w:val="superscript"/>
          <w:lang w:val="en-US"/>
        </w:rPr>
        <w:instrText xml:space="preserve"> REF _Ref30922 \r \h </w:instrText>
      </w:r>
      <w:r>
        <w:rPr>
          <w:rFonts w:hint="default" w:ascii="Times New Roman" w:hAnsi="Times New Roman" w:eastAsia="宋体" w:cs="Times New Roman"/>
          <w:color w:val="231F20"/>
          <w:spacing w:val="-8"/>
          <w:position w:val="-1"/>
          <w:sz w:val="24"/>
          <w:szCs w:val="24"/>
          <w:vertAlign w:val="superscript"/>
          <w:lang w:val="en-US"/>
        </w:rPr>
        <w:fldChar w:fldCharType="separate"/>
      </w:r>
      <w:r>
        <w:rPr>
          <w:rFonts w:hint="default" w:ascii="Times New Roman" w:hAnsi="Times New Roman" w:eastAsia="宋体" w:cs="Times New Roman"/>
          <w:color w:val="231F20"/>
          <w:spacing w:val="-8"/>
          <w:position w:val="-1"/>
          <w:sz w:val="24"/>
          <w:szCs w:val="24"/>
          <w:vertAlign w:val="superscript"/>
          <w:lang w:val="en-US"/>
        </w:rPr>
        <w:t>[7]</w:t>
      </w:r>
      <w:r>
        <w:rPr>
          <w:rFonts w:hint="default" w:ascii="Times New Roman" w:hAnsi="Times New Roman" w:eastAsia="宋体" w:cs="Times New Roman"/>
          <w:color w:val="231F20"/>
          <w:spacing w:val="-8"/>
          <w:position w:val="-1"/>
          <w:sz w:val="24"/>
          <w:szCs w:val="24"/>
          <w:vertAlign w:val="superscript"/>
          <w:lang w:val="en-US"/>
        </w:rPr>
        <w:fldChar w:fldCharType="end"/>
      </w:r>
      <w:r>
        <w:rPr>
          <w:rFonts w:hint="default" w:ascii="Times New Roman" w:hAnsi="Times New Roman" w:eastAsia="宋体" w:cs="Times New Roman"/>
          <w:color w:val="231F20"/>
          <w:spacing w:val="-8"/>
          <w:position w:val="-1"/>
          <w:sz w:val="24"/>
          <w:szCs w:val="24"/>
          <w:vertAlign w:val="superscript"/>
          <w:lang w:val="en-US" w:eastAsia="zh-CN"/>
        </w:rPr>
        <w:t>（pp.222-223)</w:t>
      </w:r>
    </w:p>
    <w:p w14:paraId="1F352BB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因此，合作社是列宁心中向彻底的社会主</w:t>
      </w:r>
      <w:r>
        <w:rPr>
          <w:rFonts w:hint="default" w:ascii="Times New Roman" w:hAnsi="Times New Roman" w:eastAsia="宋体" w:cs="Times New Roman"/>
          <w:color w:val="231F20"/>
          <w:spacing w:val="7"/>
          <w:sz w:val="24"/>
          <w:szCs w:val="24"/>
        </w:rPr>
        <w:t>义社会过渡的理想形态，他认为合作社既能保护私人利益，又有利于服从共同利益，既留有个体经济发展空间，又便于导向联合的大经济</w:t>
      </w:r>
      <w:r>
        <w:rPr>
          <w:rFonts w:hint="default" w:ascii="Times New Roman" w:hAnsi="Times New Roman" w:eastAsia="宋体" w:cs="Times New Roman"/>
          <w:color w:val="231F20"/>
          <w:spacing w:val="5"/>
          <w:sz w:val="24"/>
          <w:szCs w:val="24"/>
        </w:rPr>
        <w:t>组织。</w:t>
      </w:r>
    </w:p>
    <w:p w14:paraId="642A846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2"/>
          <w:sz w:val="24"/>
          <w:szCs w:val="24"/>
        </w:rPr>
        <w:t>（四）以文化革命和国家机关改造为工作</w:t>
      </w:r>
      <w:r>
        <w:rPr>
          <w:rFonts w:hint="default" w:ascii="Times New Roman" w:hAnsi="Times New Roman" w:eastAsia="宋体" w:cs="Times New Roman"/>
          <w:color w:val="231F20"/>
          <w:spacing w:val="3"/>
          <w:sz w:val="24"/>
          <w:szCs w:val="24"/>
        </w:rPr>
        <w:t>重心</w:t>
      </w:r>
    </w:p>
    <w:p w14:paraId="7F6B992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从工作重心来看，要想实现合作化，必须</w:t>
      </w:r>
      <w:r>
        <w:rPr>
          <w:rFonts w:hint="default" w:ascii="Times New Roman" w:hAnsi="Times New Roman" w:eastAsia="宋体" w:cs="Times New Roman"/>
          <w:color w:val="231F20"/>
          <w:spacing w:val="17"/>
          <w:sz w:val="24"/>
          <w:szCs w:val="24"/>
        </w:rPr>
        <w:t>要在文化建设、政治建设等方面采取相应措</w:t>
      </w:r>
      <w:r>
        <w:rPr>
          <w:rFonts w:hint="default" w:ascii="Times New Roman" w:hAnsi="Times New Roman" w:eastAsia="宋体" w:cs="Times New Roman"/>
          <w:color w:val="231F20"/>
          <w:spacing w:val="-11"/>
          <w:sz w:val="24"/>
          <w:szCs w:val="24"/>
        </w:rPr>
        <w:t>施，积极实现“文化革命”、改造国家机关，这是</w:t>
      </w:r>
      <w:r>
        <w:rPr>
          <w:rFonts w:hint="default" w:ascii="Times New Roman" w:hAnsi="Times New Roman" w:eastAsia="宋体" w:cs="Times New Roman"/>
          <w:color w:val="231F20"/>
          <w:spacing w:val="8"/>
          <w:sz w:val="24"/>
          <w:szCs w:val="24"/>
        </w:rPr>
        <w:t>列宁晚年思考的重要主题。</w:t>
      </w:r>
    </w:p>
    <w:p w14:paraId="3EC9A5F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在合作制战略构想中，除了从经济发展角度强调合作化外，列宁还特别强调文化建设和国家机关改造，这两者好似鸟之两翼、车之两轮，与合作化共同构成他对苏俄社会主义道路</w:t>
      </w:r>
      <w:r>
        <w:rPr>
          <w:rFonts w:hint="default" w:ascii="Times New Roman" w:hAnsi="Times New Roman" w:eastAsia="宋体" w:cs="Times New Roman"/>
          <w:color w:val="231F20"/>
          <w:spacing w:val="6"/>
          <w:sz w:val="24"/>
          <w:szCs w:val="24"/>
        </w:rPr>
        <w:t>的探索。</w:t>
      </w:r>
    </w:p>
    <w:p w14:paraId="22266D8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从文化建设角度来看，列宁将文化落后</w:t>
      </w:r>
      <w:r>
        <w:rPr>
          <w:rFonts w:hint="default" w:ascii="Times New Roman" w:hAnsi="Times New Roman" w:eastAsia="宋体" w:cs="Times New Roman"/>
          <w:color w:val="231F20"/>
          <w:spacing w:val="19"/>
          <w:sz w:val="24"/>
          <w:szCs w:val="24"/>
        </w:rPr>
        <w:t>作为整个俄国国情的基点，也作为推进合作</w:t>
      </w:r>
      <w:r>
        <w:rPr>
          <w:rFonts w:hint="default" w:ascii="Times New Roman" w:hAnsi="Times New Roman" w:eastAsia="宋体" w:cs="Times New Roman"/>
          <w:color w:val="231F20"/>
          <w:spacing w:val="8"/>
          <w:sz w:val="24"/>
          <w:szCs w:val="24"/>
        </w:rPr>
        <w:t>化构想的难点。“完全合作化这一条件本身就包含有农民（正是人数众多的农民）的文化水平问题，就是说，没有一场文化革命，要完全</w:t>
      </w:r>
      <w:r>
        <w:rPr>
          <w:rFonts w:hint="default" w:ascii="Times New Roman" w:hAnsi="Times New Roman" w:eastAsia="宋体" w:cs="Times New Roman"/>
          <w:color w:val="231F20"/>
          <w:spacing w:val="3"/>
          <w:sz w:val="24"/>
          <w:szCs w:val="24"/>
        </w:rPr>
        <w:t>合作化是不可能的。”</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(p.355)</w:t>
      </w:r>
      <w:r>
        <w:rPr>
          <w:rFonts w:hint="default" w:ascii="Times New Roman" w:hAnsi="Times New Roman" w:eastAsia="宋体" w:cs="Times New Roman"/>
          <w:color w:val="231F20"/>
          <w:spacing w:val="3"/>
          <w:sz w:val="24"/>
          <w:szCs w:val="24"/>
        </w:rPr>
        <w:t>这就突出了文化建</w:t>
      </w:r>
      <w:r>
        <w:rPr>
          <w:rFonts w:hint="default" w:ascii="Times New Roman" w:hAnsi="Times New Roman" w:eastAsia="宋体" w:cs="Times New Roman"/>
          <w:color w:val="231F20"/>
          <w:spacing w:val="19"/>
          <w:sz w:val="24"/>
          <w:szCs w:val="24"/>
        </w:rPr>
        <w:t>设与合作化的联动关系，文化建设不单是提</w:t>
      </w:r>
      <w:r>
        <w:rPr>
          <w:rFonts w:hint="default" w:ascii="Times New Roman" w:hAnsi="Times New Roman" w:eastAsia="宋体" w:cs="Times New Roman"/>
          <w:color w:val="231F20"/>
          <w:spacing w:val="8"/>
          <w:sz w:val="24"/>
          <w:szCs w:val="24"/>
        </w:rPr>
        <w:t>高农民文化水平，也是作为推进合作化、在社会主义基地上站稳脚跟的前提条件。“我们要</w:t>
      </w:r>
      <w:r>
        <w:rPr>
          <w:rFonts w:hint="default" w:ascii="Times New Roman" w:hAnsi="Times New Roman" w:eastAsia="宋体" w:cs="Times New Roman"/>
          <w:color w:val="231F20"/>
          <w:spacing w:val="19"/>
          <w:sz w:val="24"/>
          <w:szCs w:val="24"/>
        </w:rPr>
        <w:t>做的事情仅有一件，就是要使我国居民文明到能够懂得人人参加合作社的一切好处，并</w:t>
      </w:r>
      <w:r>
        <w:rPr>
          <w:rFonts w:hint="default" w:ascii="Times New Roman" w:hAnsi="Times New Roman" w:eastAsia="宋体" w:cs="Times New Roman"/>
          <w:color w:val="231F20"/>
          <w:spacing w:val="-11"/>
          <w:position w:val="-1"/>
          <w:sz w:val="24"/>
          <w:szCs w:val="24"/>
        </w:rPr>
        <w:t>参加进去。”</w:t>
      </w:r>
      <w:r>
        <w:rPr>
          <w:rFonts w:hint="default" w:ascii="Times New Roman" w:hAnsi="Times New Roman" w:eastAsia="宋体" w:cs="Times New Roman"/>
          <w:color w:val="231F20"/>
          <w:spacing w:val="-11"/>
          <w:position w:val="-1"/>
          <w:sz w:val="24"/>
          <w:szCs w:val="24"/>
          <w:vertAlign w:val="superscript"/>
          <w:lang w:val="en-US"/>
        </w:rPr>
        <w:fldChar w:fldCharType="begin"/>
      </w:r>
      <w:r>
        <w:rPr>
          <w:rFonts w:hint="default" w:ascii="Times New Roman" w:hAnsi="Times New Roman" w:eastAsia="宋体" w:cs="Times New Roman"/>
          <w:color w:val="231F20"/>
          <w:spacing w:val="-11"/>
          <w:position w:val="-1"/>
          <w:sz w:val="24"/>
          <w:szCs w:val="24"/>
          <w:vertAlign w:val="superscript"/>
          <w:lang w:val="en-US"/>
        </w:rPr>
        <w:instrText xml:space="preserve"> REF _Ref30922 \r \h </w:instrText>
      </w:r>
      <w:r>
        <w:rPr>
          <w:rFonts w:hint="default" w:ascii="Times New Roman" w:hAnsi="Times New Roman" w:eastAsia="宋体" w:cs="Times New Roman"/>
          <w:color w:val="231F20"/>
          <w:spacing w:val="-11"/>
          <w:position w:val="-1"/>
          <w:sz w:val="24"/>
          <w:szCs w:val="24"/>
          <w:vertAlign w:val="superscript"/>
          <w:lang w:val="en-US"/>
        </w:rPr>
        <w:fldChar w:fldCharType="separate"/>
      </w:r>
      <w:r>
        <w:rPr>
          <w:rFonts w:hint="default" w:ascii="Times New Roman" w:hAnsi="Times New Roman" w:eastAsia="宋体" w:cs="Times New Roman"/>
          <w:color w:val="231F20"/>
          <w:spacing w:val="-11"/>
          <w:position w:val="-1"/>
          <w:sz w:val="24"/>
          <w:szCs w:val="24"/>
          <w:vertAlign w:val="superscript"/>
          <w:lang w:val="en-US"/>
        </w:rPr>
        <w:t>[7]</w:t>
      </w:r>
      <w:r>
        <w:rPr>
          <w:rFonts w:hint="default" w:ascii="Times New Roman" w:hAnsi="Times New Roman" w:eastAsia="宋体" w:cs="Times New Roman"/>
          <w:color w:val="231F20"/>
          <w:spacing w:val="-11"/>
          <w:position w:val="-1"/>
          <w:sz w:val="24"/>
          <w:szCs w:val="24"/>
          <w:vertAlign w:val="superscript"/>
          <w:lang w:val="en-US"/>
        </w:rPr>
        <w:fldChar w:fldCharType="end"/>
      </w:r>
      <w:r>
        <w:rPr>
          <w:rFonts w:hint="default" w:ascii="Times New Roman" w:hAnsi="Times New Roman" w:eastAsia="宋体" w:cs="Times New Roman"/>
          <w:color w:val="231F20"/>
          <w:spacing w:val="-11"/>
          <w:position w:val="-1"/>
          <w:sz w:val="24"/>
          <w:szCs w:val="24"/>
          <w:vertAlign w:val="superscript"/>
          <w:lang w:val="en-US" w:eastAsia="zh-CN"/>
        </w:rPr>
        <w:t>(p.351)</w:t>
      </w:r>
    </w:p>
    <w:p w14:paraId="7C0D911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从国家机关改造的角度来看同样如此，列</w:t>
      </w:r>
      <w:r>
        <w:rPr>
          <w:rFonts w:hint="default" w:ascii="Times New Roman" w:hAnsi="Times New Roman" w:eastAsia="宋体" w:cs="Times New Roman"/>
          <w:color w:val="231F20"/>
          <w:spacing w:val="17"/>
          <w:sz w:val="24"/>
          <w:szCs w:val="24"/>
        </w:rPr>
        <w:t>宁做了通盘考虑。他在提到改组工农检查院</w:t>
      </w:r>
      <w:r>
        <w:rPr>
          <w:rFonts w:hint="default" w:ascii="Times New Roman" w:hAnsi="Times New Roman" w:eastAsia="宋体" w:cs="Times New Roman"/>
          <w:color w:val="231F20"/>
          <w:spacing w:val="8"/>
          <w:sz w:val="24"/>
          <w:szCs w:val="24"/>
        </w:rPr>
        <w:t>的考虑时明确指出：“只有彻底清洗我们的机关，尽量削减机关非绝对必要的一切，我们才</w:t>
      </w:r>
      <w:r>
        <w:rPr>
          <w:rFonts w:hint="default" w:ascii="Times New Roman" w:hAnsi="Times New Roman" w:eastAsia="宋体" w:cs="Times New Roman"/>
          <w:color w:val="231F20"/>
          <w:spacing w:val="-4"/>
          <w:sz w:val="24"/>
          <w:szCs w:val="24"/>
        </w:rPr>
        <w:t>能够有十分把握坚持下去。”</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(p.380)</w:t>
      </w:r>
      <w:r>
        <w:rPr>
          <w:rFonts w:hint="default" w:ascii="Times New Roman" w:hAnsi="Times New Roman" w:eastAsia="宋体" w:cs="Times New Roman"/>
          <w:color w:val="231F20"/>
          <w:spacing w:val="-4"/>
          <w:sz w:val="24"/>
          <w:szCs w:val="24"/>
        </w:rPr>
        <w:t>这里“坚持下</w:t>
      </w:r>
      <w:r>
        <w:rPr>
          <w:rFonts w:hint="default" w:ascii="Times New Roman" w:hAnsi="Times New Roman" w:eastAsia="宋体" w:cs="Times New Roman"/>
          <w:color w:val="231F20"/>
          <w:spacing w:val="7"/>
          <w:sz w:val="24"/>
          <w:szCs w:val="24"/>
        </w:rPr>
        <w:t>去”指的就是确保苏维埃政权能坚持到全世界</w:t>
      </w:r>
      <w:r>
        <w:rPr>
          <w:rFonts w:hint="default" w:ascii="Times New Roman" w:hAnsi="Times New Roman" w:eastAsia="宋体" w:cs="Times New Roman"/>
          <w:color w:val="231F20"/>
          <w:spacing w:val="17"/>
          <w:sz w:val="24"/>
          <w:szCs w:val="24"/>
        </w:rPr>
        <w:t>革命胜利而不被资本主义国家绞杀。也就是</w:t>
      </w:r>
      <w:r>
        <w:rPr>
          <w:rFonts w:hint="default" w:ascii="Times New Roman" w:hAnsi="Times New Roman" w:eastAsia="宋体" w:cs="Times New Roman"/>
          <w:color w:val="231F20"/>
          <w:spacing w:val="8"/>
          <w:sz w:val="24"/>
          <w:szCs w:val="24"/>
        </w:rPr>
        <w:t>说，在世界革命始终没有起色的情况下，只有</w:t>
      </w:r>
      <w:r>
        <w:rPr>
          <w:rFonts w:hint="default" w:ascii="Times New Roman" w:hAnsi="Times New Roman" w:eastAsia="宋体" w:cs="Times New Roman"/>
          <w:color w:val="231F20"/>
          <w:spacing w:val="18"/>
          <w:sz w:val="24"/>
          <w:szCs w:val="24"/>
        </w:rPr>
        <w:t>靠自身坚持才能生存下去，这就必须充分发挥上层建筑的作用，改造从旧沙皇政府那里</w:t>
      </w:r>
      <w:r>
        <w:rPr>
          <w:rFonts w:hint="default" w:ascii="Times New Roman" w:hAnsi="Times New Roman" w:eastAsia="宋体" w:cs="Times New Roman"/>
          <w:color w:val="231F20"/>
          <w:spacing w:val="8"/>
          <w:sz w:val="24"/>
          <w:szCs w:val="24"/>
        </w:rPr>
        <w:t>继承来的国家机关。“我们应当把沙皇俄国及</w:t>
      </w:r>
      <w:r>
        <w:rPr>
          <w:rFonts w:hint="default" w:ascii="Times New Roman" w:hAnsi="Times New Roman" w:eastAsia="宋体" w:cs="Times New Roman"/>
          <w:color w:val="231F20"/>
          <w:spacing w:val="18"/>
          <w:sz w:val="24"/>
          <w:szCs w:val="24"/>
        </w:rPr>
        <w:t>其资本主义官僚机关大量遗留在我们国家机</w:t>
      </w:r>
      <w:r>
        <w:rPr>
          <w:rFonts w:hint="default" w:ascii="Times New Roman" w:hAnsi="Times New Roman" w:eastAsia="宋体" w:cs="Times New Roman"/>
          <w:color w:val="231F20"/>
          <w:spacing w:val="3"/>
          <w:sz w:val="24"/>
          <w:szCs w:val="24"/>
        </w:rPr>
        <w:t>关中的一切浪费现象的痕迹铲除干净。”</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(p.379)</w:t>
      </w:r>
      <w:r>
        <w:rPr>
          <w:rFonts w:hint="default" w:ascii="Times New Roman" w:hAnsi="Times New Roman" w:eastAsia="宋体" w:cs="Times New Roman"/>
          <w:color w:val="231F20"/>
          <w:spacing w:val="18"/>
          <w:sz w:val="24"/>
          <w:szCs w:val="24"/>
        </w:rPr>
        <w:t>列宁同时强调，只要通过国家机关的有效改</w:t>
      </w:r>
      <w:r>
        <w:rPr>
          <w:rFonts w:hint="default" w:ascii="Times New Roman" w:hAnsi="Times New Roman" w:eastAsia="宋体" w:cs="Times New Roman"/>
          <w:color w:val="231F20"/>
          <w:spacing w:val="8"/>
          <w:sz w:val="24"/>
          <w:szCs w:val="24"/>
        </w:rPr>
        <w:t>造，就能保持工人阶级对农民的领导，就有可</w:t>
      </w:r>
      <w:r>
        <w:rPr>
          <w:rFonts w:hint="default" w:ascii="Times New Roman" w:hAnsi="Times New Roman" w:eastAsia="宋体" w:cs="Times New Roman"/>
          <w:color w:val="231F20"/>
          <w:spacing w:val="19"/>
          <w:sz w:val="24"/>
          <w:szCs w:val="24"/>
        </w:rPr>
        <w:t>能在苏俄靠大力节约把任何一点积蓄都保存</w:t>
      </w:r>
      <w:r>
        <w:rPr>
          <w:rFonts w:hint="default" w:ascii="Times New Roman" w:hAnsi="Times New Roman" w:eastAsia="宋体" w:cs="Times New Roman"/>
          <w:color w:val="231F20"/>
          <w:spacing w:val="11"/>
          <w:sz w:val="24"/>
          <w:szCs w:val="24"/>
        </w:rPr>
        <w:t>起来，从而发展大机器工业向社会主义过渡。</w:t>
      </w:r>
      <w:r>
        <w:rPr>
          <w:rFonts w:hint="default" w:ascii="Times New Roman" w:hAnsi="Times New Roman" w:eastAsia="宋体" w:cs="Times New Roman"/>
          <w:color w:val="231F20"/>
          <w:spacing w:val="19"/>
          <w:sz w:val="24"/>
          <w:szCs w:val="24"/>
        </w:rPr>
        <w:t>因此，列宁对国家机关改造的思想也与对待</w:t>
      </w:r>
      <w:r>
        <w:rPr>
          <w:rFonts w:hint="default" w:ascii="Times New Roman" w:hAnsi="Times New Roman" w:eastAsia="宋体" w:cs="Times New Roman"/>
          <w:color w:val="231F20"/>
          <w:spacing w:val="8"/>
          <w:sz w:val="24"/>
          <w:szCs w:val="24"/>
        </w:rPr>
        <w:t>农民的态度、与工农联盟的思想密切相连，是</w:t>
      </w:r>
      <w:r>
        <w:rPr>
          <w:rFonts w:hint="default" w:ascii="Times New Roman" w:hAnsi="Times New Roman" w:eastAsia="宋体" w:cs="Times New Roman"/>
          <w:color w:val="231F20"/>
          <w:spacing w:val="12"/>
          <w:sz w:val="24"/>
          <w:szCs w:val="24"/>
        </w:rPr>
        <w:t>列宁整体战略思想的有机组成部分。</w:t>
      </w:r>
    </w:p>
    <w:p w14:paraId="35D3BF0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3"/>
          <w:sz w:val="24"/>
          <w:szCs w:val="24"/>
        </w:rPr>
        <w:t>（五）以“审慎迂回”为斗争策略</w:t>
      </w:r>
    </w:p>
    <w:p w14:paraId="21D37DF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从斗争方式来看，与新的战略计划相适</w:t>
      </w:r>
      <w:r>
        <w:rPr>
          <w:rFonts w:hint="default" w:ascii="Times New Roman" w:hAnsi="Times New Roman" w:eastAsia="宋体" w:cs="Times New Roman"/>
          <w:color w:val="231F20"/>
          <w:spacing w:val="7"/>
          <w:sz w:val="24"/>
          <w:szCs w:val="24"/>
        </w:rPr>
        <w:t>应，列宁强调的合作制战略改变了原来的斗争</w:t>
      </w:r>
      <w:r>
        <w:rPr>
          <w:rFonts w:hint="default" w:ascii="Times New Roman" w:hAnsi="Times New Roman" w:eastAsia="宋体" w:cs="Times New Roman"/>
          <w:color w:val="231F20"/>
          <w:spacing w:val="-7"/>
          <w:sz w:val="24"/>
          <w:szCs w:val="24"/>
        </w:rPr>
        <w:t>方式和手段，而采取“审慎迂回”的斗争策略。</w:t>
      </w:r>
    </w:p>
    <w:p w14:paraId="61FEBEA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首先，列宁对新经济政策持续的时间有</w:t>
      </w:r>
      <w:r>
        <w:rPr>
          <w:rFonts w:hint="default" w:ascii="Times New Roman" w:hAnsi="Times New Roman" w:eastAsia="宋体" w:cs="Times New Roman"/>
          <w:color w:val="231F20"/>
          <w:spacing w:val="7"/>
          <w:sz w:val="24"/>
          <w:szCs w:val="24"/>
        </w:rPr>
        <w:t>了更加审慎和清醒的估计：“为了通过新经济</w:t>
      </w:r>
      <w:r>
        <w:rPr>
          <w:rFonts w:hint="default" w:ascii="Times New Roman" w:hAnsi="Times New Roman" w:eastAsia="宋体" w:cs="Times New Roman"/>
          <w:color w:val="231F20"/>
          <w:spacing w:val="18"/>
          <w:sz w:val="24"/>
          <w:szCs w:val="24"/>
        </w:rPr>
        <w:t>政策使全体居民人人参加合作社，这就需要</w:t>
      </w:r>
      <w:r>
        <w:rPr>
          <w:rFonts w:hint="default" w:ascii="Times New Roman" w:hAnsi="Times New Roman" w:eastAsia="宋体" w:cs="Times New Roman"/>
          <w:color w:val="231F20"/>
          <w:spacing w:val="16"/>
          <w:sz w:val="24"/>
          <w:szCs w:val="24"/>
        </w:rPr>
        <w:t>整整一个历史时代。在最好的情况下，我们</w:t>
      </w:r>
      <w:r>
        <w:rPr>
          <w:rFonts w:hint="default" w:ascii="Times New Roman" w:hAnsi="Times New Roman" w:eastAsia="宋体" w:cs="Times New Roman"/>
          <w:color w:val="231F20"/>
          <w:spacing w:val="3"/>
          <w:sz w:val="24"/>
          <w:szCs w:val="24"/>
        </w:rPr>
        <w:t>度过这个时代也要一二十年。”</w:t>
      </w:r>
      <w:r>
        <w:rPr>
          <w:rFonts w:hint="default" w:ascii="Times New Roman" w:hAnsi="Times New Roman" w:eastAsia="宋体" w:cs="Times New Roman"/>
          <w:color w:val="231F20"/>
          <w:spacing w:val="3"/>
          <w:sz w:val="24"/>
          <w:szCs w:val="24"/>
          <w:vertAlign w:val="superscript"/>
          <w:lang w:val="en-US"/>
        </w:rPr>
        <w:fldChar w:fldCharType="begin"/>
      </w:r>
      <w:r>
        <w:rPr>
          <w:rFonts w:hint="default" w:ascii="Times New Roman" w:hAnsi="Times New Roman" w:eastAsia="宋体" w:cs="Times New Roman"/>
          <w:color w:val="231F20"/>
          <w:spacing w:val="3"/>
          <w:sz w:val="24"/>
          <w:szCs w:val="24"/>
          <w:vertAlign w:val="superscript"/>
          <w:lang w:val="en-US"/>
        </w:rPr>
        <w:instrText xml:space="preserve"> REF _Ref30922 \r \h </w:instrText>
      </w:r>
      <w:r>
        <w:rPr>
          <w:rFonts w:hint="default" w:ascii="Times New Roman" w:hAnsi="Times New Roman" w:eastAsia="宋体" w:cs="Times New Roman"/>
          <w:color w:val="231F20"/>
          <w:spacing w:val="3"/>
          <w:sz w:val="24"/>
          <w:szCs w:val="24"/>
          <w:vertAlign w:val="superscript"/>
          <w:lang w:val="en-US"/>
        </w:rPr>
        <w:fldChar w:fldCharType="separate"/>
      </w:r>
      <w:r>
        <w:rPr>
          <w:rFonts w:hint="default" w:ascii="Times New Roman" w:hAnsi="Times New Roman" w:eastAsia="宋体" w:cs="Times New Roman"/>
          <w:color w:val="231F20"/>
          <w:spacing w:val="3"/>
          <w:sz w:val="24"/>
          <w:szCs w:val="24"/>
          <w:vertAlign w:val="superscript"/>
          <w:lang w:val="en-US"/>
        </w:rPr>
        <w:t>[7]</w:t>
      </w:r>
      <w:r>
        <w:rPr>
          <w:rFonts w:hint="default" w:ascii="Times New Roman" w:hAnsi="Times New Roman" w:eastAsia="宋体" w:cs="Times New Roman"/>
          <w:color w:val="231F20"/>
          <w:spacing w:val="3"/>
          <w:sz w:val="24"/>
          <w:szCs w:val="24"/>
          <w:vertAlign w:val="superscript"/>
          <w:lang w:val="en-US"/>
        </w:rPr>
        <w:fldChar w:fldCharType="end"/>
      </w:r>
      <w:r>
        <w:rPr>
          <w:rFonts w:hint="default" w:ascii="Times New Roman" w:hAnsi="Times New Roman" w:eastAsia="宋体" w:cs="Times New Roman"/>
          <w:color w:val="231F20"/>
          <w:spacing w:val="3"/>
          <w:sz w:val="24"/>
          <w:szCs w:val="24"/>
          <w:vertAlign w:val="superscript"/>
          <w:lang w:val="en-US" w:eastAsia="zh-CN"/>
        </w:rPr>
        <w:t>(p.375)</w:t>
      </w:r>
      <w:r>
        <w:rPr>
          <w:rFonts w:hint="default" w:ascii="Times New Roman" w:hAnsi="Times New Roman" w:eastAsia="宋体" w:cs="Times New Roman"/>
          <w:color w:val="231F20"/>
          <w:spacing w:val="3"/>
          <w:sz w:val="24"/>
          <w:szCs w:val="24"/>
        </w:rPr>
        <w:t>其次，列</w:t>
      </w:r>
      <w:r>
        <w:rPr>
          <w:rFonts w:hint="default" w:ascii="Times New Roman" w:hAnsi="Times New Roman" w:eastAsia="宋体" w:cs="Times New Roman"/>
          <w:color w:val="231F20"/>
          <w:spacing w:val="18"/>
          <w:sz w:val="24"/>
          <w:szCs w:val="24"/>
        </w:rPr>
        <w:t>宁特别强调稳中求进的思路，指出经济建设</w:t>
      </w:r>
      <w:r>
        <w:rPr>
          <w:rFonts w:hint="default" w:ascii="Times New Roman" w:hAnsi="Times New Roman" w:eastAsia="宋体" w:cs="Times New Roman"/>
          <w:color w:val="231F20"/>
          <w:spacing w:val="11"/>
          <w:sz w:val="24"/>
          <w:szCs w:val="24"/>
        </w:rPr>
        <w:t>不能操之过急：“同普通劳动农民汇合起来，开始一道前进，虽然比我们所期望的慢得多，</w:t>
      </w:r>
      <w:r>
        <w:rPr>
          <w:rFonts w:hint="default" w:ascii="Times New Roman" w:hAnsi="Times New Roman" w:eastAsia="宋体" w:cs="Times New Roman"/>
          <w:color w:val="231F20"/>
          <w:spacing w:val="18"/>
          <w:sz w:val="24"/>
          <w:szCs w:val="24"/>
        </w:rPr>
        <w:t>慢得不知多少，但全体群众却真正会同我们</w:t>
      </w:r>
      <w:r>
        <w:rPr>
          <w:rFonts w:hint="default" w:ascii="Times New Roman" w:hAnsi="Times New Roman" w:eastAsia="宋体" w:cs="Times New Roman"/>
          <w:color w:val="231F20"/>
          <w:spacing w:val="-4"/>
          <w:sz w:val="24"/>
          <w:szCs w:val="24"/>
        </w:rPr>
        <w:t>一道前进”，</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(p.318)</w:t>
      </w:r>
      <w:r>
        <w:rPr>
          <w:rFonts w:hint="default" w:ascii="Times New Roman" w:hAnsi="Times New Roman" w:eastAsia="宋体" w:cs="Times New Roman"/>
          <w:color w:val="231F20"/>
          <w:spacing w:val="-4"/>
          <w:sz w:val="24"/>
          <w:szCs w:val="24"/>
        </w:rPr>
        <w:t>“虽然这种步子要慢百倍，却</w:t>
      </w:r>
      <w:r>
        <w:rPr>
          <w:rFonts w:hint="default" w:ascii="Times New Roman" w:hAnsi="Times New Roman" w:eastAsia="宋体" w:cs="Times New Roman"/>
          <w:color w:val="231F20"/>
          <w:spacing w:val="-1"/>
          <w:position w:val="-1"/>
          <w:sz w:val="24"/>
          <w:szCs w:val="24"/>
        </w:rPr>
        <w:t>稳当可靠百万倍”。</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(p.331)</w:t>
      </w:r>
    </w:p>
    <w:p w14:paraId="1617F0E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与原来战时共产主义不同，这种斗争策略</w:t>
      </w:r>
      <w:r>
        <w:rPr>
          <w:rFonts w:hint="default" w:ascii="Times New Roman" w:hAnsi="Times New Roman" w:eastAsia="宋体" w:cs="Times New Roman"/>
          <w:color w:val="231F20"/>
          <w:spacing w:val="8"/>
          <w:sz w:val="24"/>
          <w:szCs w:val="24"/>
        </w:rPr>
        <w:t>显然不是简单进行殊死的阶级斗争，而是强调</w:t>
      </w:r>
      <w:r>
        <w:rPr>
          <w:rFonts w:hint="default" w:ascii="Times New Roman" w:hAnsi="Times New Roman" w:eastAsia="宋体" w:cs="Times New Roman"/>
          <w:color w:val="231F20"/>
          <w:spacing w:val="18"/>
          <w:sz w:val="24"/>
          <w:szCs w:val="24"/>
        </w:rPr>
        <w:t>善于运用经济力量和经济政策的引导来巩固</w:t>
      </w:r>
      <w:r>
        <w:rPr>
          <w:rFonts w:hint="default" w:ascii="Times New Roman" w:hAnsi="Times New Roman" w:eastAsia="宋体" w:cs="Times New Roman"/>
          <w:color w:val="231F20"/>
          <w:spacing w:val="17"/>
          <w:sz w:val="24"/>
          <w:szCs w:val="24"/>
        </w:rPr>
        <w:t>苏维埃政权和布尔什维克的领导地位。列宁</w:t>
      </w:r>
      <w:r>
        <w:rPr>
          <w:rFonts w:hint="default" w:ascii="Times New Roman" w:hAnsi="Times New Roman" w:eastAsia="宋体" w:cs="Times New Roman"/>
          <w:color w:val="231F20"/>
          <w:spacing w:val="8"/>
          <w:sz w:val="24"/>
          <w:szCs w:val="24"/>
        </w:rPr>
        <w:t>在给司法人民委员部的指示信中写道：“做生</w:t>
      </w:r>
      <w:r>
        <w:rPr>
          <w:rFonts w:hint="default" w:ascii="Times New Roman" w:hAnsi="Times New Roman" w:eastAsia="宋体" w:cs="Times New Roman"/>
          <w:color w:val="231F20"/>
          <w:spacing w:val="6"/>
          <w:sz w:val="24"/>
          <w:szCs w:val="24"/>
        </w:rPr>
        <w:t>意吧，发财吧！我们允许你这样做，但是我们</w:t>
      </w:r>
      <w:r>
        <w:rPr>
          <w:rFonts w:hint="default" w:ascii="Times New Roman" w:hAnsi="Times New Roman" w:eastAsia="宋体" w:cs="Times New Roman"/>
          <w:color w:val="231F20"/>
          <w:spacing w:val="8"/>
          <w:sz w:val="24"/>
          <w:szCs w:val="24"/>
        </w:rPr>
        <w:t>将加倍严格地要求你做老实人，呈送真实准确</w:t>
      </w:r>
      <w:r>
        <w:rPr>
          <w:rFonts w:hint="default" w:ascii="Times New Roman" w:hAnsi="Times New Roman" w:eastAsia="宋体" w:cs="Times New Roman"/>
          <w:color w:val="231F20"/>
          <w:spacing w:val="22"/>
          <w:sz w:val="24"/>
          <w:szCs w:val="24"/>
        </w:rPr>
        <w:t>的报表，……不得有一丝一毫违背我们的法</w:t>
      </w:r>
      <w:r>
        <w:rPr>
          <w:rFonts w:hint="default" w:ascii="Times New Roman" w:hAnsi="Times New Roman" w:eastAsia="宋体" w:cs="Times New Roman"/>
          <w:color w:val="231F20"/>
          <w:spacing w:val="-4"/>
          <w:sz w:val="24"/>
          <w:szCs w:val="24"/>
        </w:rPr>
        <w:t>律。”</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(p.312)</w:t>
      </w:r>
      <w:r>
        <w:rPr>
          <w:rFonts w:hint="default" w:ascii="Times New Roman" w:hAnsi="Times New Roman" w:eastAsia="宋体" w:cs="Times New Roman"/>
          <w:color w:val="231F20"/>
          <w:spacing w:val="-4"/>
          <w:sz w:val="24"/>
          <w:szCs w:val="24"/>
        </w:rPr>
        <w:t>显然，列宁在这里并没有打算动用政</w:t>
      </w:r>
      <w:r>
        <w:rPr>
          <w:rFonts w:hint="default" w:ascii="Times New Roman" w:hAnsi="Times New Roman" w:eastAsia="宋体" w:cs="Times New Roman"/>
          <w:color w:val="231F20"/>
          <w:spacing w:val="8"/>
          <w:sz w:val="24"/>
          <w:szCs w:val="24"/>
        </w:rPr>
        <w:t>治手段而是采用法律工具，这充分体现了他关</w:t>
      </w:r>
      <w:r>
        <w:rPr>
          <w:rFonts w:hint="default" w:ascii="Times New Roman" w:hAnsi="Times New Roman" w:eastAsia="宋体" w:cs="Times New Roman"/>
          <w:color w:val="231F20"/>
          <w:spacing w:val="1"/>
          <w:sz w:val="24"/>
          <w:szCs w:val="24"/>
        </w:rPr>
        <w:t>于审慎迂回”斗争策略的思路调整。</w:t>
      </w:r>
    </w:p>
    <w:p w14:paraId="0A0C75A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以上五方面构成了列宁晚年对合作制战略</w:t>
      </w:r>
      <w:r>
        <w:rPr>
          <w:rFonts w:hint="default" w:ascii="Times New Roman" w:hAnsi="Times New Roman" w:eastAsia="宋体" w:cs="Times New Roman"/>
          <w:color w:val="231F20"/>
          <w:spacing w:val="7"/>
          <w:sz w:val="24"/>
          <w:szCs w:val="24"/>
        </w:rPr>
        <w:t>构想思考的主要内容，虽然并未有充分时间和机会展开对合作制的实践探索，但列宁基于俄国国情的深刻洞察而提出的宝贵理论创见，仍具有强大理论穿透力，并对我们今天深化社会</w:t>
      </w:r>
      <w:r>
        <w:rPr>
          <w:rFonts w:hint="default" w:ascii="Times New Roman" w:hAnsi="Times New Roman" w:eastAsia="宋体" w:cs="Times New Roman"/>
          <w:color w:val="231F20"/>
          <w:spacing w:val="4"/>
          <w:sz w:val="24"/>
          <w:szCs w:val="24"/>
        </w:rPr>
        <w:t>主义现代化实践具有深刻的启示意义。</w:t>
      </w:r>
    </w:p>
    <w:p w14:paraId="35D0E10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06890C05">
      <w:pPr>
        <w:pStyle w:val="4"/>
        <w:bidi w:val="0"/>
        <w:rPr>
          <w:rFonts w:hint="default"/>
        </w:rPr>
      </w:pPr>
      <w:r>
        <w:rPr>
          <w:rFonts w:hint="default"/>
        </w:rPr>
        <w:t>三、合作制战略构想的当代启示</w:t>
      </w:r>
    </w:p>
    <w:p w14:paraId="027E8C6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BE8E38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中国特色社会主义进入新时代，我们仍有</w:t>
      </w:r>
      <w:r>
        <w:rPr>
          <w:rFonts w:hint="default" w:ascii="Times New Roman" w:hAnsi="Times New Roman" w:eastAsia="宋体" w:cs="Times New Roman"/>
          <w:color w:val="231F20"/>
          <w:spacing w:val="18"/>
          <w:sz w:val="24"/>
          <w:szCs w:val="24"/>
        </w:rPr>
        <w:t>必要汲取列宁晚年对合作制战略构想的有益</w:t>
      </w:r>
      <w:r>
        <w:rPr>
          <w:rFonts w:hint="default" w:ascii="Times New Roman" w:hAnsi="Times New Roman" w:eastAsia="宋体" w:cs="Times New Roman"/>
          <w:color w:val="231F20"/>
          <w:spacing w:val="7"/>
          <w:sz w:val="24"/>
          <w:szCs w:val="24"/>
        </w:rPr>
        <w:t>探索，深化对改革开放及社会主义市场经济条件下建设社会主义的规律性认识，为推进中国式现代化、坚持和发展中国特色社会主义提供</w:t>
      </w:r>
      <w:r>
        <w:rPr>
          <w:rFonts w:hint="default" w:ascii="Times New Roman" w:hAnsi="Times New Roman" w:eastAsia="宋体" w:cs="Times New Roman"/>
          <w:color w:val="231F20"/>
          <w:spacing w:val="5"/>
          <w:sz w:val="24"/>
          <w:szCs w:val="24"/>
        </w:rPr>
        <w:t>借鉴。</w:t>
      </w:r>
    </w:p>
    <w:p w14:paraId="32B56CB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（一）对推进马克思主义理论创新的深刻</w:t>
      </w:r>
      <w:r>
        <w:rPr>
          <w:rFonts w:hint="default" w:ascii="Times New Roman" w:hAnsi="Times New Roman" w:eastAsia="宋体" w:cs="Times New Roman"/>
          <w:color w:val="231F20"/>
          <w:spacing w:val="5"/>
          <w:sz w:val="24"/>
          <w:szCs w:val="24"/>
        </w:rPr>
        <w:t>启示</w:t>
      </w:r>
    </w:p>
    <w:p w14:paraId="3EB2C7D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列宁关于合作制战略构想的思考，体现了一位伟大的马克思主义革命家不固守教条、勇于推进理论创新的可贵品格，对我们更好把握</w:t>
      </w:r>
      <w:r>
        <w:rPr>
          <w:rFonts w:hint="default" w:ascii="Times New Roman" w:hAnsi="Times New Roman" w:eastAsia="宋体" w:cs="Times New Roman"/>
          <w:color w:val="231F20"/>
          <w:spacing w:val="-3"/>
          <w:sz w:val="24"/>
          <w:szCs w:val="24"/>
        </w:rPr>
        <w:t>马克思主义方法论，坚持“正确实践第一”，在</w:t>
      </w:r>
      <w:r>
        <w:rPr>
          <w:rFonts w:hint="default" w:ascii="Times New Roman" w:hAnsi="Times New Roman" w:eastAsia="宋体" w:cs="Times New Roman"/>
          <w:color w:val="231F20"/>
          <w:spacing w:val="18"/>
          <w:sz w:val="24"/>
          <w:szCs w:val="24"/>
        </w:rPr>
        <w:t>科学对待马克思主义的基础上推进理论创新</w:t>
      </w:r>
      <w:r>
        <w:rPr>
          <w:rFonts w:hint="default" w:ascii="Times New Roman" w:hAnsi="Times New Roman" w:eastAsia="宋体" w:cs="Times New Roman"/>
          <w:color w:val="231F20"/>
          <w:spacing w:val="8"/>
          <w:sz w:val="24"/>
          <w:szCs w:val="24"/>
        </w:rPr>
        <w:t>具有重要启示意义。</w:t>
      </w:r>
    </w:p>
    <w:p w14:paraId="3135BAB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在列宁领导下，社会主义从理论变成实</w:t>
      </w:r>
      <w:r>
        <w:rPr>
          <w:rFonts w:hint="default" w:ascii="Times New Roman" w:hAnsi="Times New Roman" w:eastAsia="宋体" w:cs="Times New Roman"/>
          <w:color w:val="231F20"/>
          <w:spacing w:val="10"/>
          <w:sz w:val="24"/>
          <w:szCs w:val="24"/>
        </w:rPr>
        <w:t>践。这对共产党人来说，如何推进理论创新的</w:t>
      </w:r>
      <w:r>
        <w:rPr>
          <w:rFonts w:hint="default" w:ascii="Times New Roman" w:hAnsi="Times New Roman" w:eastAsia="宋体" w:cs="Times New Roman"/>
          <w:color w:val="231F20"/>
          <w:spacing w:val="19"/>
          <w:sz w:val="24"/>
          <w:szCs w:val="24"/>
        </w:rPr>
        <w:t>任务不是更轻了，而是更重了。战时共产主</w:t>
      </w:r>
      <w:r>
        <w:rPr>
          <w:rFonts w:hint="default" w:ascii="Times New Roman" w:hAnsi="Times New Roman" w:eastAsia="宋体" w:cs="Times New Roman"/>
          <w:color w:val="231F20"/>
          <w:spacing w:val="22"/>
          <w:sz w:val="24"/>
          <w:szCs w:val="24"/>
        </w:rPr>
        <w:t>义政策曾被认为是直接过渡到社会主义建设</w:t>
      </w:r>
      <w:r>
        <w:rPr>
          <w:rFonts w:hint="default" w:ascii="Times New Roman" w:hAnsi="Times New Roman" w:eastAsia="宋体" w:cs="Times New Roman"/>
          <w:color w:val="231F20"/>
          <w:spacing w:val="20"/>
          <w:sz w:val="24"/>
          <w:szCs w:val="24"/>
        </w:rPr>
        <w:t>的最佳形式。列宁在回忆十月革命后的情形</w:t>
      </w:r>
      <w:r>
        <w:rPr>
          <w:rFonts w:hint="default" w:ascii="Times New Roman" w:hAnsi="Times New Roman" w:eastAsia="宋体" w:cs="Times New Roman"/>
          <w:color w:val="231F20"/>
          <w:spacing w:val="11"/>
          <w:sz w:val="24"/>
          <w:szCs w:val="24"/>
        </w:rPr>
        <w:t>时说：“在估计可能的发展道路时，我们多半（我甚至不记得有什么例外）都是从直接过渡</w:t>
      </w:r>
      <w:r>
        <w:rPr>
          <w:rFonts w:hint="default" w:ascii="Times New Roman" w:hAnsi="Times New Roman" w:eastAsia="宋体" w:cs="Times New Roman"/>
          <w:color w:val="231F20"/>
          <w:spacing w:val="22"/>
          <w:sz w:val="24"/>
          <w:szCs w:val="24"/>
        </w:rPr>
        <w:t>到社会主义建设这种设想出发的，这种设想也许不是每次都公开讲出来，但始终是心照</w:t>
      </w:r>
      <w:r>
        <w:rPr>
          <w:rFonts w:hint="default" w:ascii="Times New Roman" w:hAnsi="Times New Roman" w:eastAsia="宋体" w:cs="Times New Roman"/>
          <w:color w:val="231F20"/>
          <w:spacing w:val="-9"/>
          <w:w w:val="96"/>
          <w:position w:val="-2"/>
          <w:sz w:val="24"/>
          <w:szCs w:val="24"/>
        </w:rPr>
        <w:t>不宣的。”</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(p.274)</w:t>
      </w:r>
    </w:p>
    <w:p w14:paraId="569D4E5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因此，当新经济政策一提出，就受到党内</w:t>
      </w:r>
      <w:r>
        <w:rPr>
          <w:rFonts w:hint="default" w:ascii="Times New Roman" w:hAnsi="Times New Roman" w:eastAsia="宋体" w:cs="Times New Roman"/>
          <w:color w:val="231F20"/>
          <w:spacing w:val="7"/>
          <w:sz w:val="24"/>
          <w:szCs w:val="24"/>
        </w:rPr>
        <w:t>外不少人非议，认为偏离了社会主义，会导致</w:t>
      </w:r>
      <w:r>
        <w:rPr>
          <w:rFonts w:hint="default" w:ascii="Times New Roman" w:hAnsi="Times New Roman" w:eastAsia="宋体" w:cs="Times New Roman"/>
          <w:color w:val="231F20"/>
          <w:spacing w:val="6"/>
          <w:sz w:val="24"/>
          <w:szCs w:val="24"/>
        </w:rPr>
        <w:t>资本主义全面复辟。从根本上说，这是一个从</w:t>
      </w:r>
      <w:r>
        <w:rPr>
          <w:rFonts w:hint="default" w:ascii="Times New Roman" w:hAnsi="Times New Roman" w:eastAsia="宋体" w:cs="Times New Roman"/>
          <w:color w:val="231F20"/>
          <w:spacing w:val="7"/>
          <w:sz w:val="24"/>
          <w:szCs w:val="24"/>
        </w:rPr>
        <w:t>本本出发还是从正确实践出发的问题，也是能</w:t>
      </w:r>
      <w:r>
        <w:rPr>
          <w:rFonts w:hint="default" w:ascii="Times New Roman" w:hAnsi="Times New Roman" w:eastAsia="宋体" w:cs="Times New Roman"/>
          <w:color w:val="231F20"/>
          <w:spacing w:val="18"/>
          <w:sz w:val="24"/>
          <w:szCs w:val="24"/>
        </w:rPr>
        <w:t>否把握实事求是的马克思主义活的灵魂的问</w:t>
      </w:r>
      <w:r>
        <w:rPr>
          <w:rFonts w:hint="default" w:ascii="Times New Roman" w:hAnsi="Times New Roman" w:eastAsia="宋体" w:cs="Times New Roman"/>
          <w:color w:val="231F20"/>
          <w:spacing w:val="6"/>
          <w:sz w:val="24"/>
          <w:szCs w:val="24"/>
        </w:rPr>
        <w:t>题。列宁特别强调，社会主义建设是全新的事</w:t>
      </w:r>
      <w:r>
        <w:rPr>
          <w:rFonts w:hint="default" w:ascii="Times New Roman" w:hAnsi="Times New Roman" w:eastAsia="宋体" w:cs="Times New Roman"/>
          <w:color w:val="231F20"/>
          <w:spacing w:val="-3"/>
          <w:sz w:val="24"/>
          <w:szCs w:val="24"/>
        </w:rPr>
        <w:t>业，不能“从理论（一切书呆子的理论）所规定</w:t>
      </w:r>
      <w:r>
        <w:rPr>
          <w:rFonts w:hint="default" w:ascii="Times New Roman" w:hAnsi="Times New Roman" w:eastAsia="宋体" w:cs="Times New Roman"/>
          <w:color w:val="231F20"/>
          <w:position w:val="-1"/>
          <w:sz w:val="24"/>
          <w:szCs w:val="24"/>
        </w:rPr>
        <w:t>的那一端开始”。</w:t>
      </w:r>
      <w:r>
        <w:rPr>
          <w:rFonts w:hint="default" w:ascii="Times New Roman" w:hAnsi="Times New Roman" w:eastAsia="宋体" w:cs="Times New Roman"/>
          <w:color w:val="231F20"/>
          <w:position w:val="-1"/>
          <w:sz w:val="24"/>
          <w:szCs w:val="24"/>
          <w:vertAlign w:val="superscript"/>
          <w:lang w:val="en-US"/>
        </w:rPr>
        <w:fldChar w:fldCharType="begin"/>
      </w:r>
      <w:r>
        <w:rPr>
          <w:rFonts w:hint="default" w:ascii="Times New Roman" w:hAnsi="Times New Roman" w:eastAsia="宋体" w:cs="Times New Roman"/>
          <w:color w:val="231F20"/>
          <w:position w:val="-1"/>
          <w:sz w:val="24"/>
          <w:szCs w:val="24"/>
          <w:vertAlign w:val="superscript"/>
          <w:lang w:val="en-US"/>
        </w:rPr>
        <w:instrText xml:space="preserve"> REF _Ref13 \r \h </w:instrText>
      </w:r>
      <w:r>
        <w:rPr>
          <w:rFonts w:hint="default" w:ascii="Times New Roman" w:hAnsi="Times New Roman" w:eastAsia="宋体" w:cs="Times New Roman"/>
          <w:color w:val="231F20"/>
          <w:position w:val="-1"/>
          <w:sz w:val="24"/>
          <w:szCs w:val="24"/>
          <w:vertAlign w:val="superscript"/>
          <w:lang w:val="en-US"/>
        </w:rPr>
        <w:fldChar w:fldCharType="separate"/>
      </w:r>
      <w:r>
        <w:rPr>
          <w:rFonts w:hint="default" w:ascii="Times New Roman" w:hAnsi="Times New Roman" w:eastAsia="宋体" w:cs="Times New Roman"/>
          <w:color w:val="231F20"/>
          <w:position w:val="-1"/>
          <w:sz w:val="24"/>
          <w:szCs w:val="24"/>
          <w:vertAlign w:val="superscript"/>
          <w:lang w:val="en-US"/>
        </w:rPr>
        <w:t>[10]</w:t>
      </w:r>
      <w:r>
        <w:rPr>
          <w:rFonts w:hint="default" w:ascii="Times New Roman" w:hAnsi="Times New Roman" w:eastAsia="宋体" w:cs="Times New Roman"/>
          <w:color w:val="231F20"/>
          <w:position w:val="-1"/>
          <w:sz w:val="24"/>
          <w:szCs w:val="24"/>
          <w:vertAlign w:val="superscript"/>
          <w:lang w:val="en-US"/>
        </w:rPr>
        <w:fldChar w:fldCharType="end"/>
      </w:r>
      <w:r>
        <w:rPr>
          <w:rFonts w:hint="default" w:ascii="Times New Roman" w:hAnsi="Times New Roman" w:eastAsia="宋体" w:cs="Times New Roman"/>
          <w:color w:val="231F20"/>
          <w:position w:val="-1"/>
          <w:sz w:val="24"/>
          <w:szCs w:val="24"/>
          <w:vertAlign w:val="superscript"/>
          <w:lang w:val="en-US" w:eastAsia="zh-CN"/>
        </w:rPr>
        <w:t>(p.774)</w:t>
      </w:r>
      <w:r>
        <w:rPr>
          <w:rFonts w:hint="default" w:ascii="Times New Roman" w:hAnsi="Times New Roman" w:eastAsia="宋体" w:cs="Times New Roman"/>
          <w:color w:val="231F20"/>
          <w:position w:val="-1"/>
          <w:sz w:val="24"/>
          <w:szCs w:val="24"/>
        </w:rPr>
        <w:t>“对俄国来说，根据书</w:t>
      </w:r>
      <w:r>
        <w:rPr>
          <w:rFonts w:hint="default" w:ascii="Times New Roman" w:hAnsi="Times New Roman" w:eastAsia="宋体" w:cs="Times New Roman"/>
          <w:color w:val="231F20"/>
          <w:spacing w:val="7"/>
          <w:sz w:val="24"/>
          <w:szCs w:val="24"/>
        </w:rPr>
        <w:t>本争论社会主义纲领的时代已经过去了，我深</w:t>
      </w:r>
      <w:r>
        <w:rPr>
          <w:rFonts w:hint="default" w:ascii="Times New Roman" w:hAnsi="Times New Roman" w:eastAsia="宋体" w:cs="Times New Roman"/>
          <w:color w:val="231F20"/>
          <w:spacing w:val="16"/>
          <w:sz w:val="24"/>
          <w:szCs w:val="24"/>
        </w:rPr>
        <w:t>信已经一去不复返了。今天只能根据经验来</w:t>
      </w:r>
      <w:r>
        <w:rPr>
          <w:rFonts w:hint="default" w:ascii="Times New Roman" w:hAnsi="Times New Roman" w:eastAsia="宋体" w:cs="Times New Roman"/>
          <w:color w:val="231F20"/>
          <w:sz w:val="24"/>
          <w:szCs w:val="24"/>
        </w:rPr>
        <w:t>谈论社会主义。”</w:t>
      </w:r>
      <w:r>
        <w:rPr>
          <w:rFonts w:hint="default" w:ascii="Times New Roman" w:hAnsi="Times New Roman" w:eastAsia="宋体" w:cs="Times New Roman"/>
          <w:color w:val="231F20"/>
          <w:sz w:val="24"/>
          <w:szCs w:val="24"/>
          <w:vertAlign w:val="superscript"/>
          <w:lang w:val="en-US"/>
        </w:rPr>
        <w:fldChar w:fldCharType="begin"/>
      </w:r>
      <w:r>
        <w:rPr>
          <w:rFonts w:hint="default" w:ascii="Times New Roman" w:hAnsi="Times New Roman" w:eastAsia="宋体" w:cs="Times New Roman"/>
          <w:color w:val="231F20"/>
          <w:sz w:val="24"/>
          <w:szCs w:val="24"/>
          <w:vertAlign w:val="superscript"/>
          <w:lang w:val="en-US"/>
        </w:rPr>
        <w:instrText xml:space="preserve"> REF _Ref189 \r \h </w:instrText>
      </w:r>
      <w:r>
        <w:rPr>
          <w:rFonts w:hint="default" w:ascii="Times New Roman" w:hAnsi="Times New Roman" w:eastAsia="宋体" w:cs="Times New Roman"/>
          <w:color w:val="231F20"/>
          <w:sz w:val="24"/>
          <w:szCs w:val="24"/>
          <w:vertAlign w:val="superscript"/>
          <w:lang w:val="en-US"/>
        </w:rPr>
        <w:fldChar w:fldCharType="separate"/>
      </w:r>
      <w:r>
        <w:rPr>
          <w:rFonts w:hint="default" w:ascii="Times New Roman" w:hAnsi="Times New Roman" w:eastAsia="宋体" w:cs="Times New Roman"/>
          <w:color w:val="231F20"/>
          <w:sz w:val="24"/>
          <w:szCs w:val="24"/>
          <w:vertAlign w:val="superscript"/>
          <w:lang w:val="en-US"/>
        </w:rPr>
        <w:t>[11]</w:t>
      </w:r>
      <w:r>
        <w:rPr>
          <w:rFonts w:hint="default" w:ascii="Times New Roman" w:hAnsi="Times New Roman" w:eastAsia="宋体" w:cs="Times New Roman"/>
          <w:color w:val="231F20"/>
          <w:sz w:val="24"/>
          <w:szCs w:val="24"/>
          <w:vertAlign w:val="superscript"/>
          <w:lang w:val="en-US"/>
        </w:rPr>
        <w:fldChar w:fldCharType="end"/>
      </w:r>
      <w:r>
        <w:rPr>
          <w:rFonts w:hint="default" w:ascii="Times New Roman" w:hAnsi="Times New Roman" w:eastAsia="宋体" w:cs="Times New Roman"/>
          <w:color w:val="231F20"/>
          <w:sz w:val="24"/>
          <w:szCs w:val="24"/>
          <w:vertAlign w:val="superscript"/>
          <w:lang w:val="en-US" w:eastAsia="zh-CN"/>
        </w:rPr>
        <w:t>(p.466)</w:t>
      </w:r>
      <w:r>
        <w:rPr>
          <w:rFonts w:hint="default" w:ascii="Times New Roman" w:hAnsi="Times New Roman" w:eastAsia="宋体" w:cs="Times New Roman"/>
          <w:color w:val="231F20"/>
          <w:sz w:val="24"/>
          <w:szCs w:val="24"/>
        </w:rPr>
        <w:t>什么</w:t>
      </w:r>
      <w:r>
        <w:rPr>
          <w:rFonts w:hint="default" w:ascii="Times New Roman" w:hAnsi="Times New Roman" w:eastAsia="宋体" w:cs="Times New Roman"/>
          <w:color w:val="231F20"/>
          <w:spacing w:val="-1"/>
          <w:sz w:val="24"/>
          <w:szCs w:val="24"/>
        </w:rPr>
        <w:t>样的经验？迅速恢</w:t>
      </w:r>
      <w:r>
        <w:rPr>
          <w:rFonts w:hint="default" w:ascii="Times New Roman" w:hAnsi="Times New Roman" w:eastAsia="宋体" w:cs="Times New Roman"/>
          <w:color w:val="231F20"/>
          <w:spacing w:val="7"/>
          <w:sz w:val="24"/>
          <w:szCs w:val="24"/>
        </w:rPr>
        <w:t>复和发展生产力的经验，积极提高农民和工人</w:t>
      </w:r>
      <w:r>
        <w:rPr>
          <w:rFonts w:hint="default" w:ascii="Times New Roman" w:hAnsi="Times New Roman" w:eastAsia="宋体" w:cs="Times New Roman"/>
          <w:color w:val="231F20"/>
          <w:spacing w:val="18"/>
          <w:sz w:val="24"/>
          <w:szCs w:val="24"/>
        </w:rPr>
        <w:t>生活水平的经验，现实条件下向社会主义过</w:t>
      </w:r>
      <w:r>
        <w:rPr>
          <w:rFonts w:hint="default" w:ascii="Times New Roman" w:hAnsi="Times New Roman" w:eastAsia="宋体" w:cs="Times New Roman"/>
          <w:color w:val="231F20"/>
          <w:spacing w:val="14"/>
          <w:sz w:val="24"/>
          <w:szCs w:val="24"/>
        </w:rPr>
        <w:t>渡的经验。正因如此，列宁尖锐批评了“左”</w:t>
      </w:r>
      <w:r>
        <w:rPr>
          <w:rFonts w:hint="default" w:ascii="Times New Roman" w:hAnsi="Times New Roman" w:eastAsia="宋体" w:cs="Times New Roman"/>
          <w:color w:val="231F20"/>
          <w:spacing w:val="6"/>
          <w:sz w:val="24"/>
          <w:szCs w:val="24"/>
        </w:rPr>
        <w:t>派共产主义者“只是关心共产主义纯洁性”的</w:t>
      </w:r>
      <w:r>
        <w:rPr>
          <w:rFonts w:hint="default" w:ascii="Times New Roman" w:hAnsi="Times New Roman" w:eastAsia="宋体" w:cs="Times New Roman"/>
          <w:color w:val="231F20"/>
          <w:spacing w:val="7"/>
          <w:sz w:val="24"/>
          <w:szCs w:val="24"/>
        </w:rPr>
        <w:t>现象，认为“实践比世界上所有理论争论都更</w:t>
      </w:r>
      <w:r>
        <w:rPr>
          <w:rFonts w:hint="default" w:ascii="Times New Roman" w:hAnsi="Times New Roman" w:eastAsia="宋体" w:cs="Times New Roman"/>
          <w:color w:val="231F20"/>
          <w:spacing w:val="6"/>
          <w:sz w:val="24"/>
          <w:szCs w:val="24"/>
        </w:rPr>
        <w:t>为重要”，要求少争论字眼、多积累一些各种</w:t>
      </w:r>
      <w:r>
        <w:rPr>
          <w:rFonts w:hint="default" w:ascii="Times New Roman" w:hAnsi="Times New Roman" w:eastAsia="宋体" w:cs="Times New Roman"/>
          <w:color w:val="231F20"/>
          <w:spacing w:val="18"/>
          <w:sz w:val="24"/>
          <w:szCs w:val="24"/>
        </w:rPr>
        <w:t>各样的实际经验，来证明自己有能力领导社</w:t>
      </w:r>
      <w:r>
        <w:rPr>
          <w:rFonts w:hint="default" w:ascii="Times New Roman" w:hAnsi="Times New Roman" w:eastAsia="宋体" w:cs="Times New Roman"/>
          <w:color w:val="231F20"/>
          <w:spacing w:val="10"/>
          <w:sz w:val="24"/>
          <w:szCs w:val="24"/>
        </w:rPr>
        <w:t>会主义建设。</w:t>
      </w:r>
    </w:p>
    <w:p w14:paraId="102FAF5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列宁晚年对合作制的探索，正是基于俄国</w:t>
      </w:r>
      <w:r>
        <w:rPr>
          <w:rFonts w:hint="default" w:ascii="Times New Roman" w:hAnsi="Times New Roman" w:eastAsia="宋体" w:cs="Times New Roman"/>
          <w:color w:val="231F20"/>
          <w:spacing w:val="22"/>
          <w:sz w:val="24"/>
          <w:szCs w:val="24"/>
        </w:rPr>
        <w:t>国情艰辛探索现实道路的产物。在谈到科学</w:t>
      </w:r>
      <w:r>
        <w:rPr>
          <w:rFonts w:hint="default" w:ascii="Times New Roman" w:hAnsi="Times New Roman" w:eastAsia="宋体" w:cs="Times New Roman"/>
          <w:color w:val="231F20"/>
          <w:spacing w:val="23"/>
          <w:sz w:val="24"/>
          <w:szCs w:val="24"/>
        </w:rPr>
        <w:t>认识新经济政策条件下国家资本主义问题的</w:t>
      </w:r>
      <w:r>
        <w:rPr>
          <w:rFonts w:hint="default" w:ascii="Times New Roman" w:hAnsi="Times New Roman" w:eastAsia="宋体" w:cs="Times New Roman"/>
          <w:color w:val="231F20"/>
          <w:spacing w:val="12"/>
          <w:sz w:val="24"/>
          <w:szCs w:val="24"/>
        </w:rPr>
        <w:t>时候，列宁特别强调绝不能把马克思主义当作</w:t>
      </w:r>
      <w:r>
        <w:rPr>
          <w:rFonts w:hint="default" w:ascii="Times New Roman" w:hAnsi="Times New Roman" w:eastAsia="宋体" w:cs="Times New Roman"/>
          <w:color w:val="231F20"/>
          <w:spacing w:val="2"/>
          <w:sz w:val="24"/>
          <w:szCs w:val="24"/>
        </w:rPr>
        <w:t>“用庄严色彩画成的圣像”。列宁指出：“在国</w:t>
      </w:r>
      <w:r>
        <w:rPr>
          <w:rFonts w:hint="default" w:ascii="Times New Roman" w:hAnsi="Times New Roman" w:eastAsia="宋体" w:cs="Times New Roman"/>
          <w:color w:val="231F20"/>
          <w:spacing w:val="12"/>
          <w:sz w:val="24"/>
          <w:szCs w:val="24"/>
        </w:rPr>
        <w:t>家资本主义问题上，我们的报刊和我们的党都</w:t>
      </w:r>
      <w:r>
        <w:rPr>
          <w:rFonts w:hint="default" w:ascii="Times New Roman" w:hAnsi="Times New Roman" w:eastAsia="宋体" w:cs="Times New Roman"/>
          <w:color w:val="231F20"/>
          <w:spacing w:val="16"/>
          <w:sz w:val="24"/>
          <w:szCs w:val="24"/>
        </w:rPr>
        <w:t>犯了一个错误，……自作聪明地来理解国家资</w:t>
      </w:r>
      <w:r>
        <w:rPr>
          <w:rFonts w:hint="default" w:ascii="Times New Roman" w:hAnsi="Times New Roman" w:eastAsia="宋体" w:cs="Times New Roman"/>
          <w:color w:val="231F20"/>
          <w:spacing w:val="11"/>
          <w:sz w:val="24"/>
          <w:szCs w:val="24"/>
        </w:rPr>
        <w:t>本主义，并且去翻看旧本本。可是那些书里写</w:t>
      </w:r>
      <w:r>
        <w:rPr>
          <w:rFonts w:hint="default" w:ascii="Times New Roman" w:hAnsi="Times New Roman" w:eastAsia="宋体" w:cs="Times New Roman"/>
          <w:color w:val="231F20"/>
          <w:spacing w:val="12"/>
          <w:sz w:val="24"/>
          <w:szCs w:val="24"/>
        </w:rPr>
        <w:t>的完全是另一回事，写的是资本主义制度下的国家资本主义，而没有一本书写到过共产主义</w:t>
      </w:r>
      <w:r>
        <w:rPr>
          <w:rFonts w:hint="default" w:ascii="Times New Roman" w:hAnsi="Times New Roman" w:eastAsia="宋体" w:cs="Times New Roman"/>
          <w:color w:val="231F20"/>
          <w:spacing w:val="3"/>
          <w:position w:val="-1"/>
          <w:sz w:val="24"/>
          <w:szCs w:val="24"/>
        </w:rPr>
        <w:t>制度下的国家资本主义。”</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(pp.323-324)</w:t>
      </w:r>
      <w:r>
        <w:rPr>
          <w:rFonts w:hint="default" w:ascii="Times New Roman" w:hAnsi="Times New Roman" w:eastAsia="宋体" w:cs="Times New Roman"/>
          <w:color w:val="231F20"/>
          <w:spacing w:val="3"/>
          <w:position w:val="-1"/>
          <w:sz w:val="24"/>
          <w:szCs w:val="24"/>
        </w:rPr>
        <w:t>因此，决不</w:t>
      </w:r>
      <w:r>
        <w:rPr>
          <w:rFonts w:hint="default" w:ascii="Times New Roman" w:hAnsi="Times New Roman" w:eastAsia="宋体" w:cs="Times New Roman"/>
          <w:color w:val="231F20"/>
          <w:spacing w:val="12"/>
          <w:sz w:val="24"/>
          <w:szCs w:val="24"/>
        </w:rPr>
        <w:t>能固守教条、刻舟求剑，而是必须结合现实条</w:t>
      </w:r>
      <w:r>
        <w:rPr>
          <w:rFonts w:hint="default" w:ascii="Times New Roman" w:hAnsi="Times New Roman" w:eastAsia="宋体" w:cs="Times New Roman"/>
          <w:color w:val="231F20"/>
          <w:spacing w:val="20"/>
          <w:sz w:val="24"/>
          <w:szCs w:val="24"/>
        </w:rPr>
        <w:t>件靠自己来找出路。</w:t>
      </w:r>
    </w:p>
    <w:p w14:paraId="330ECF4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6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2"/>
          <w:sz w:val="24"/>
          <w:szCs w:val="24"/>
        </w:rPr>
        <w:t>列宁在谈到革命斗争的灵活性时也强</w:t>
      </w:r>
      <w:r>
        <w:rPr>
          <w:rFonts w:hint="default" w:ascii="Times New Roman" w:hAnsi="Times New Roman" w:eastAsia="宋体" w:cs="Times New Roman"/>
          <w:color w:val="231F20"/>
          <w:spacing w:val="25"/>
          <w:sz w:val="24"/>
          <w:szCs w:val="24"/>
        </w:rPr>
        <w:t>调，“我们必须立足于现有的资本主义关</w:t>
      </w:r>
      <w:r>
        <w:rPr>
          <w:rFonts w:hint="default" w:ascii="Times New Roman" w:hAnsi="Times New Roman" w:eastAsia="宋体" w:cs="Times New Roman"/>
          <w:color w:val="231F20"/>
          <w:spacing w:val="7"/>
          <w:sz w:val="24"/>
          <w:szCs w:val="24"/>
        </w:rPr>
        <w:t>系”，如果我们害怕这样的任务，“那就说明</w:t>
      </w:r>
      <w:r>
        <w:rPr>
          <w:rFonts w:hint="default" w:ascii="Times New Roman" w:hAnsi="Times New Roman" w:eastAsia="宋体" w:cs="Times New Roman"/>
          <w:color w:val="231F20"/>
          <w:spacing w:val="18"/>
          <w:sz w:val="24"/>
          <w:szCs w:val="24"/>
        </w:rPr>
        <w:t>我们不懂得革命斗争的性质，不懂得革命斗争是一种最紧张的斗争，伴有许多我们决不</w:t>
      </w:r>
      <w:r>
        <w:rPr>
          <w:rFonts w:hint="default" w:ascii="Times New Roman" w:hAnsi="Times New Roman" w:eastAsia="宋体" w:cs="Times New Roman"/>
          <w:color w:val="231F20"/>
          <w:spacing w:val="10"/>
          <w:sz w:val="24"/>
          <w:szCs w:val="24"/>
        </w:rPr>
        <w:t>可以漠视的急剧转变”。</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(p.284)</w:t>
      </w:r>
      <w:r>
        <w:rPr>
          <w:rFonts w:hint="default" w:ascii="Times New Roman" w:hAnsi="Times New Roman" w:eastAsia="宋体" w:cs="Times New Roman"/>
          <w:color w:val="231F20"/>
          <w:spacing w:val="10"/>
          <w:sz w:val="24"/>
          <w:szCs w:val="24"/>
        </w:rPr>
        <w:t>列宁晚年之所</w:t>
      </w:r>
      <w:r>
        <w:rPr>
          <w:rFonts w:hint="default" w:ascii="Times New Roman" w:hAnsi="Times New Roman" w:eastAsia="宋体" w:cs="Times New Roman"/>
          <w:color w:val="231F20"/>
          <w:spacing w:val="18"/>
          <w:sz w:val="24"/>
          <w:szCs w:val="24"/>
        </w:rPr>
        <w:t>以会强调合作社的重大作用，之所以会提出合作制的创新构想，根本也在于充分认识到俄国小农经济结构的客观现实和农民改善生</w:t>
      </w:r>
      <w:r>
        <w:rPr>
          <w:rFonts w:hint="default" w:ascii="Times New Roman" w:hAnsi="Times New Roman" w:eastAsia="宋体" w:cs="Times New Roman"/>
          <w:color w:val="231F20"/>
          <w:spacing w:val="16"/>
          <w:sz w:val="24"/>
          <w:szCs w:val="24"/>
        </w:rPr>
        <w:t>活的强烈愿望，由此转变了战略思路。列宁</w:t>
      </w:r>
      <w:r>
        <w:rPr>
          <w:rFonts w:hint="default" w:ascii="Times New Roman" w:hAnsi="Times New Roman" w:eastAsia="宋体" w:cs="Times New Roman"/>
          <w:color w:val="231F20"/>
          <w:spacing w:val="7"/>
          <w:sz w:val="24"/>
          <w:szCs w:val="24"/>
        </w:rPr>
        <w:t>特别强调：“在采用尽可能使农民感到简便易</w:t>
      </w:r>
      <w:r>
        <w:rPr>
          <w:rFonts w:hint="default" w:ascii="Times New Roman" w:hAnsi="Times New Roman" w:eastAsia="宋体" w:cs="Times New Roman"/>
          <w:color w:val="231F20"/>
          <w:spacing w:val="18"/>
          <w:sz w:val="24"/>
          <w:szCs w:val="24"/>
        </w:rPr>
        <w:t>行和容易接受的方法过渡到新制度方面，这</w:t>
      </w:r>
      <w:r>
        <w:rPr>
          <w:rFonts w:hint="default" w:ascii="Times New Roman" w:hAnsi="Times New Roman" w:eastAsia="宋体" w:cs="Times New Roman"/>
          <w:color w:val="231F20"/>
          <w:spacing w:val="3"/>
          <w:sz w:val="24"/>
          <w:szCs w:val="24"/>
        </w:rPr>
        <w:t>种合作社具有多么重大的意义。”</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(p.350)</w:t>
      </w:r>
      <w:r>
        <w:rPr>
          <w:rFonts w:hint="default" w:ascii="Times New Roman" w:hAnsi="Times New Roman" w:eastAsia="宋体" w:cs="Times New Roman"/>
          <w:color w:val="231F20"/>
          <w:spacing w:val="2"/>
          <w:sz w:val="24"/>
          <w:szCs w:val="24"/>
        </w:rPr>
        <w:t>正是由</w:t>
      </w:r>
      <w:r>
        <w:rPr>
          <w:rFonts w:hint="default" w:ascii="Times New Roman" w:hAnsi="Times New Roman" w:eastAsia="宋体" w:cs="Times New Roman"/>
          <w:color w:val="231F20"/>
          <w:spacing w:val="7"/>
          <w:sz w:val="24"/>
          <w:szCs w:val="24"/>
        </w:rPr>
        <w:t>于以真实国情为依据、以正确实践为准绳、以</w:t>
      </w:r>
      <w:r>
        <w:rPr>
          <w:rFonts w:hint="default" w:ascii="Times New Roman" w:hAnsi="Times New Roman" w:eastAsia="宋体" w:cs="Times New Roman"/>
          <w:color w:val="231F20"/>
          <w:spacing w:val="18"/>
          <w:sz w:val="24"/>
          <w:szCs w:val="24"/>
        </w:rPr>
        <w:t>人民福祉为出发点，列宁才创造性提出了合</w:t>
      </w:r>
      <w:r>
        <w:rPr>
          <w:rFonts w:hint="default" w:ascii="Times New Roman" w:hAnsi="Times New Roman" w:eastAsia="宋体" w:cs="Times New Roman"/>
          <w:color w:val="231F20"/>
          <w:spacing w:val="14"/>
          <w:sz w:val="24"/>
          <w:szCs w:val="24"/>
        </w:rPr>
        <w:t>作制战略构想。</w:t>
      </w:r>
    </w:p>
    <w:p w14:paraId="043AC61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中国特色社会主义进入新时代，面临世界</w:t>
      </w:r>
      <w:r>
        <w:rPr>
          <w:rFonts w:hint="default" w:ascii="Times New Roman" w:hAnsi="Times New Roman" w:eastAsia="宋体" w:cs="Times New Roman"/>
          <w:color w:val="231F20"/>
          <w:spacing w:val="11"/>
          <w:sz w:val="24"/>
          <w:szCs w:val="24"/>
        </w:rPr>
        <w:t>百年未有之大变局和中华民族复兴战略全局，</w:t>
      </w:r>
      <w:r>
        <w:rPr>
          <w:rFonts w:hint="default" w:ascii="Times New Roman" w:hAnsi="Times New Roman" w:eastAsia="宋体" w:cs="Times New Roman"/>
          <w:color w:val="231F20"/>
          <w:spacing w:val="-4"/>
          <w:position w:val="-1"/>
          <w:sz w:val="24"/>
          <w:szCs w:val="24"/>
        </w:rPr>
        <w:t>习近平明确提出“坚持守正创新”，</w:t>
      </w:r>
      <w:r>
        <w:rPr>
          <w:rFonts w:hint="default" w:ascii="Times New Roman" w:hAnsi="Times New Roman" w:eastAsia="宋体" w:cs="Times New Roman"/>
          <w:color w:val="231F20"/>
          <w:spacing w:val="-4"/>
          <w:position w:val="-1"/>
          <w:sz w:val="24"/>
          <w:szCs w:val="24"/>
          <w:vertAlign w:val="superscript"/>
          <w:lang w:val="en-US"/>
        </w:rPr>
        <w:fldChar w:fldCharType="begin"/>
      </w:r>
      <w:r>
        <w:rPr>
          <w:rFonts w:hint="default" w:ascii="Times New Roman" w:hAnsi="Times New Roman" w:eastAsia="宋体" w:cs="Times New Roman"/>
          <w:color w:val="231F20"/>
          <w:spacing w:val="-4"/>
          <w:position w:val="-1"/>
          <w:sz w:val="24"/>
          <w:szCs w:val="24"/>
          <w:vertAlign w:val="superscript"/>
          <w:lang w:val="en-US"/>
        </w:rPr>
        <w:instrText xml:space="preserve"> REF _Ref3921 \r \h </w:instrText>
      </w:r>
      <w:r>
        <w:rPr>
          <w:rFonts w:hint="default" w:ascii="Times New Roman" w:hAnsi="Times New Roman" w:eastAsia="宋体" w:cs="Times New Roman"/>
          <w:color w:val="231F20"/>
          <w:spacing w:val="-4"/>
          <w:position w:val="-1"/>
          <w:sz w:val="24"/>
          <w:szCs w:val="24"/>
          <w:vertAlign w:val="superscript"/>
          <w:lang w:val="en-US"/>
        </w:rPr>
        <w:fldChar w:fldCharType="separate"/>
      </w:r>
      <w:r>
        <w:rPr>
          <w:rFonts w:hint="default" w:ascii="Times New Roman" w:hAnsi="Times New Roman" w:eastAsia="宋体" w:cs="Times New Roman"/>
          <w:color w:val="231F20"/>
          <w:spacing w:val="-4"/>
          <w:position w:val="-1"/>
          <w:sz w:val="24"/>
          <w:szCs w:val="24"/>
          <w:vertAlign w:val="superscript"/>
          <w:lang w:val="en-US"/>
        </w:rPr>
        <w:t>[13]</w:t>
      </w:r>
      <w:r>
        <w:rPr>
          <w:rFonts w:hint="default" w:ascii="Times New Roman" w:hAnsi="Times New Roman" w:eastAsia="宋体" w:cs="Times New Roman"/>
          <w:color w:val="231F20"/>
          <w:spacing w:val="-4"/>
          <w:position w:val="-1"/>
          <w:sz w:val="24"/>
          <w:szCs w:val="24"/>
          <w:vertAlign w:val="superscript"/>
          <w:lang w:val="en-US"/>
        </w:rPr>
        <w:fldChar w:fldCharType="end"/>
      </w:r>
      <w:r>
        <w:rPr>
          <w:rFonts w:hint="default" w:ascii="Times New Roman" w:hAnsi="Times New Roman" w:eastAsia="宋体" w:cs="Times New Roman"/>
          <w:color w:val="231F20"/>
          <w:spacing w:val="-4"/>
          <w:position w:val="-1"/>
          <w:sz w:val="24"/>
          <w:szCs w:val="24"/>
          <w:vertAlign w:val="superscript"/>
          <w:lang w:val="en-US" w:eastAsia="zh-CN"/>
        </w:rPr>
        <w:t>(pp.16-17)</w:t>
      </w:r>
      <w:r>
        <w:rPr>
          <w:rFonts w:hint="default" w:ascii="Times New Roman" w:hAnsi="Times New Roman" w:eastAsia="宋体" w:cs="Times New Roman"/>
          <w:color w:val="231F20"/>
          <w:spacing w:val="-5"/>
          <w:position w:val="-1"/>
          <w:sz w:val="24"/>
          <w:szCs w:val="24"/>
        </w:rPr>
        <w:t>强调</w:t>
      </w:r>
      <w:r>
        <w:rPr>
          <w:rFonts w:hint="default" w:ascii="Times New Roman" w:hAnsi="Times New Roman" w:eastAsia="宋体" w:cs="Times New Roman"/>
          <w:color w:val="231F20"/>
          <w:spacing w:val="11"/>
          <w:sz w:val="24"/>
          <w:szCs w:val="24"/>
        </w:rPr>
        <w:t>我们既要旗帜鲜明坚持马克思主义基本原理，</w:t>
      </w:r>
      <w:r>
        <w:rPr>
          <w:rFonts w:hint="default" w:ascii="Times New Roman" w:hAnsi="Times New Roman" w:eastAsia="宋体" w:cs="Times New Roman"/>
          <w:color w:val="231F20"/>
          <w:spacing w:val="18"/>
          <w:sz w:val="24"/>
          <w:szCs w:val="24"/>
        </w:rPr>
        <w:t>坚定共产主义远大理想和中国特色社会主义共同理想，又要敢于说老祖宗没有说过的新</w:t>
      </w:r>
      <w:r>
        <w:rPr>
          <w:rFonts w:hint="default" w:ascii="Times New Roman" w:hAnsi="Times New Roman" w:eastAsia="宋体" w:cs="Times New Roman"/>
          <w:color w:val="231F20"/>
          <w:spacing w:val="7"/>
          <w:sz w:val="24"/>
          <w:szCs w:val="24"/>
        </w:rPr>
        <w:t>话，敢于结合时代特点、本国实际和民族文化</w:t>
      </w:r>
      <w:r>
        <w:rPr>
          <w:rFonts w:hint="default" w:ascii="Times New Roman" w:hAnsi="Times New Roman" w:eastAsia="宋体" w:cs="Times New Roman"/>
          <w:color w:val="231F20"/>
          <w:spacing w:val="6"/>
          <w:sz w:val="24"/>
          <w:szCs w:val="24"/>
        </w:rPr>
        <w:t>不断推进科学精准的理论创新。可以说，列宁</w:t>
      </w:r>
      <w:r>
        <w:rPr>
          <w:rFonts w:hint="default" w:ascii="Times New Roman" w:hAnsi="Times New Roman" w:eastAsia="宋体" w:cs="Times New Roman"/>
          <w:color w:val="231F20"/>
          <w:spacing w:val="18"/>
          <w:sz w:val="24"/>
          <w:szCs w:val="24"/>
        </w:rPr>
        <w:t>晚年对合作制战略构想的探索充分体现了守</w:t>
      </w:r>
      <w:r>
        <w:rPr>
          <w:rFonts w:hint="default" w:ascii="Times New Roman" w:hAnsi="Times New Roman" w:eastAsia="宋体" w:cs="Times New Roman"/>
          <w:color w:val="231F20"/>
          <w:spacing w:val="7"/>
          <w:sz w:val="24"/>
          <w:szCs w:val="24"/>
        </w:rPr>
        <w:t>正创新的精神实质，是我们推进理论创新的光辉榜样，为我们在新的历史条件下不断推进马</w:t>
      </w:r>
      <w:r>
        <w:rPr>
          <w:rFonts w:hint="default" w:ascii="Times New Roman" w:hAnsi="Times New Roman" w:eastAsia="宋体" w:cs="Times New Roman"/>
          <w:color w:val="231F20"/>
          <w:spacing w:val="9"/>
          <w:sz w:val="24"/>
          <w:szCs w:val="24"/>
        </w:rPr>
        <w:t>克思主义中国化时代化提供了深刻启示。</w:t>
      </w:r>
    </w:p>
    <w:p w14:paraId="04665E8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2"/>
          <w:sz w:val="24"/>
          <w:szCs w:val="24"/>
        </w:rPr>
        <w:t>（二）对坚持以国有经济为主导和人民民</w:t>
      </w:r>
      <w:r>
        <w:rPr>
          <w:rFonts w:hint="default" w:ascii="Times New Roman" w:hAnsi="Times New Roman" w:eastAsia="宋体" w:cs="Times New Roman"/>
          <w:color w:val="231F20"/>
          <w:spacing w:val="8"/>
          <w:sz w:val="24"/>
          <w:szCs w:val="24"/>
        </w:rPr>
        <w:t>主专政的深刻启示</w:t>
      </w:r>
    </w:p>
    <w:p w14:paraId="6FFBDD4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列宁明确指出，合作社表现出不同于在资本主义国家条件下的重大意义，根本原因就在于苏俄国家制度的特点，即无产阶级专政和主</w:t>
      </w:r>
      <w:r>
        <w:rPr>
          <w:rFonts w:hint="default" w:ascii="Times New Roman" w:hAnsi="Times New Roman" w:eastAsia="宋体" w:cs="Times New Roman"/>
          <w:color w:val="231F20"/>
          <w:spacing w:val="17"/>
          <w:sz w:val="24"/>
          <w:szCs w:val="24"/>
        </w:rPr>
        <w:t>要生产资料国有制。这对深入认识以国有经</w:t>
      </w:r>
      <w:r>
        <w:rPr>
          <w:rFonts w:hint="default" w:ascii="Times New Roman" w:hAnsi="Times New Roman" w:eastAsia="宋体" w:cs="Times New Roman"/>
          <w:color w:val="231F20"/>
          <w:spacing w:val="18"/>
          <w:sz w:val="24"/>
          <w:szCs w:val="24"/>
        </w:rPr>
        <w:t>济为主导和以工农联盟为基础的人民民主专政的中国特色社会主义政治和经济的本质特</w:t>
      </w:r>
      <w:r>
        <w:rPr>
          <w:rFonts w:hint="default" w:ascii="Times New Roman" w:hAnsi="Times New Roman" w:eastAsia="宋体" w:cs="Times New Roman"/>
          <w:color w:val="231F20"/>
          <w:spacing w:val="-1"/>
          <w:sz w:val="24"/>
          <w:szCs w:val="24"/>
        </w:rPr>
        <w:t>征，具有重要启示意义。</w:t>
      </w:r>
    </w:p>
    <w:p w14:paraId="302D9B2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列宁在思索合作制战略时谈的最多的，就</w:t>
      </w:r>
      <w:r>
        <w:rPr>
          <w:rFonts w:hint="default" w:ascii="Times New Roman" w:hAnsi="Times New Roman" w:eastAsia="宋体" w:cs="Times New Roman"/>
          <w:color w:val="231F20"/>
          <w:spacing w:val="18"/>
          <w:sz w:val="24"/>
          <w:szCs w:val="24"/>
        </w:rPr>
        <w:t>是希望党内同志不要忘记十月革命后俄国国</w:t>
      </w:r>
      <w:r>
        <w:rPr>
          <w:rFonts w:hint="default" w:ascii="Times New Roman" w:hAnsi="Times New Roman" w:eastAsia="宋体" w:cs="Times New Roman"/>
          <w:color w:val="231F20"/>
          <w:spacing w:val="7"/>
          <w:sz w:val="24"/>
          <w:szCs w:val="24"/>
        </w:rPr>
        <w:t>家制度的特点，即国家政权已经掌握在工人阶级手里，剥削者政权已被推翻，主要生产资料已经掌握在工人阶级手里，工人阶级的先锋队</w:t>
      </w:r>
      <w:r>
        <w:rPr>
          <w:rFonts w:hint="default" w:ascii="Times New Roman" w:hAnsi="Times New Roman" w:eastAsia="宋体" w:cs="Times New Roman"/>
          <w:color w:val="231F20"/>
          <w:spacing w:val="9"/>
          <w:sz w:val="24"/>
          <w:szCs w:val="24"/>
        </w:rPr>
        <w:t>共产党处于强有力的领导地位。在列宁看来，</w:t>
      </w:r>
      <w:r>
        <w:rPr>
          <w:rFonts w:hint="default" w:ascii="Times New Roman" w:hAnsi="Times New Roman" w:eastAsia="宋体" w:cs="Times New Roman"/>
          <w:color w:val="231F20"/>
          <w:spacing w:val="7"/>
          <w:sz w:val="24"/>
          <w:szCs w:val="24"/>
        </w:rPr>
        <w:t>正是由于俄国完成了政治革命，有了无产阶级专政和共产党领导，过去那种充满幻想甚至浪</w:t>
      </w:r>
      <w:r>
        <w:rPr>
          <w:rFonts w:hint="default" w:ascii="Times New Roman" w:hAnsi="Times New Roman" w:eastAsia="宋体" w:cs="Times New Roman"/>
          <w:color w:val="231F20"/>
          <w:spacing w:val="6"/>
          <w:sz w:val="24"/>
          <w:szCs w:val="24"/>
        </w:rPr>
        <w:t>漫主义或庸俗的“合作制”社会主义才具有了</w:t>
      </w:r>
      <w:r>
        <w:rPr>
          <w:rFonts w:hint="default" w:ascii="Times New Roman" w:hAnsi="Times New Roman" w:eastAsia="宋体" w:cs="Times New Roman"/>
          <w:color w:val="231F20"/>
          <w:spacing w:val="-3"/>
          <w:sz w:val="24"/>
          <w:szCs w:val="24"/>
        </w:rPr>
        <w:t>高度现实的基础。“从实质上讲，在实行新经济</w:t>
      </w:r>
      <w:r>
        <w:rPr>
          <w:rFonts w:hint="default" w:ascii="Times New Roman" w:hAnsi="Times New Roman" w:eastAsia="宋体" w:cs="Times New Roman"/>
          <w:color w:val="231F20"/>
          <w:spacing w:val="7"/>
          <w:sz w:val="24"/>
          <w:szCs w:val="24"/>
        </w:rPr>
        <w:t>政策的条件下，使俄国居民充分广泛而深入地合作化，这就是我们所需要的一切，因为现在</w:t>
      </w:r>
      <w:r>
        <w:rPr>
          <w:rFonts w:hint="default" w:ascii="Times New Roman" w:hAnsi="Times New Roman" w:eastAsia="宋体" w:cs="Times New Roman"/>
          <w:color w:val="231F20"/>
          <w:spacing w:val="18"/>
          <w:sz w:val="24"/>
          <w:szCs w:val="24"/>
        </w:rPr>
        <w:t>我们发现了私人利益即私人买卖的利益与国</w:t>
      </w:r>
      <w:r>
        <w:rPr>
          <w:rFonts w:hint="default" w:ascii="Times New Roman" w:hAnsi="Times New Roman" w:eastAsia="宋体" w:cs="Times New Roman"/>
          <w:color w:val="231F20"/>
          <w:spacing w:val="10"/>
          <w:sz w:val="24"/>
          <w:szCs w:val="24"/>
        </w:rPr>
        <w:t>家对这种利益的检查监督相结合的合适程度，</w:t>
      </w:r>
      <w:r>
        <w:rPr>
          <w:rFonts w:hint="default" w:ascii="Times New Roman" w:hAnsi="Times New Roman" w:eastAsia="宋体" w:cs="Times New Roman"/>
          <w:color w:val="231F20"/>
          <w:spacing w:val="7"/>
          <w:sz w:val="24"/>
          <w:szCs w:val="24"/>
        </w:rPr>
        <w:t>发现了私人利益服从共同利益的合适程度，而</w:t>
      </w:r>
      <w:r>
        <w:rPr>
          <w:rFonts w:hint="default" w:ascii="Times New Roman" w:hAnsi="Times New Roman" w:eastAsia="宋体" w:cs="Times New Roman"/>
          <w:color w:val="231F20"/>
          <w:spacing w:val="30"/>
          <w:sz w:val="24"/>
          <w:szCs w:val="24"/>
        </w:rPr>
        <w:t>这是过去许许多多社会主义者碰到的绊脚</w:t>
      </w:r>
      <w:r>
        <w:rPr>
          <w:rFonts w:hint="default" w:ascii="Times New Roman" w:hAnsi="Times New Roman" w:eastAsia="宋体" w:cs="Times New Roman"/>
          <w:color w:val="231F20"/>
          <w:spacing w:val="-9"/>
          <w:w w:val="90"/>
          <w:position w:val="-3"/>
          <w:sz w:val="24"/>
          <w:szCs w:val="24"/>
        </w:rPr>
        <w:t>石。”</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(p.349)</w:t>
      </w:r>
    </w:p>
    <w:p w14:paraId="6E5A1DE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由于俄国国家制度条件发生变化，新经济</w:t>
      </w:r>
      <w:r>
        <w:rPr>
          <w:rFonts w:hint="default" w:ascii="Times New Roman" w:hAnsi="Times New Roman" w:eastAsia="宋体" w:cs="Times New Roman"/>
          <w:color w:val="231F20"/>
          <w:spacing w:val="7"/>
          <w:sz w:val="24"/>
          <w:szCs w:val="24"/>
        </w:rPr>
        <w:t>政策所造成私人利益泛滥的负面影响，已具有</w:t>
      </w:r>
      <w:r>
        <w:rPr>
          <w:rFonts w:hint="default" w:ascii="Times New Roman" w:hAnsi="Times New Roman" w:eastAsia="宋体" w:cs="Times New Roman"/>
          <w:color w:val="231F20"/>
          <w:spacing w:val="17"/>
          <w:sz w:val="24"/>
          <w:szCs w:val="24"/>
        </w:rPr>
        <w:t>得到调节和克服的可能性。这正是无产阶级</w:t>
      </w:r>
      <w:r>
        <w:rPr>
          <w:rFonts w:hint="default" w:ascii="Times New Roman" w:hAnsi="Times New Roman" w:eastAsia="宋体" w:cs="Times New Roman"/>
          <w:color w:val="231F20"/>
          <w:spacing w:val="7"/>
          <w:sz w:val="24"/>
          <w:szCs w:val="24"/>
        </w:rPr>
        <w:t>专政和共产党领导的最大意义所在，而过去以</w:t>
      </w:r>
      <w:r>
        <w:rPr>
          <w:rFonts w:hint="default" w:ascii="Times New Roman" w:hAnsi="Times New Roman" w:eastAsia="宋体" w:cs="Times New Roman"/>
          <w:color w:val="231F20"/>
          <w:spacing w:val="15"/>
          <w:sz w:val="24"/>
          <w:szCs w:val="24"/>
        </w:rPr>
        <w:t>罗伯特·欧文为代表的合作社工作者的计划之</w:t>
      </w:r>
      <w:r>
        <w:rPr>
          <w:rFonts w:hint="default" w:ascii="Times New Roman" w:hAnsi="Times New Roman" w:eastAsia="宋体" w:cs="Times New Roman"/>
          <w:color w:val="231F20"/>
          <w:spacing w:val="18"/>
          <w:sz w:val="24"/>
          <w:szCs w:val="24"/>
        </w:rPr>
        <w:t>所以不能实现，就在于缺乏这一重大政治条</w:t>
      </w:r>
      <w:r>
        <w:rPr>
          <w:rFonts w:hint="default" w:ascii="Times New Roman" w:hAnsi="Times New Roman" w:eastAsia="宋体" w:cs="Times New Roman"/>
          <w:color w:val="231F20"/>
          <w:spacing w:val="17"/>
          <w:sz w:val="24"/>
          <w:szCs w:val="24"/>
        </w:rPr>
        <w:t>件。布哈林特别强调无产阶级专政对合作社</w:t>
      </w:r>
      <w:r>
        <w:rPr>
          <w:rFonts w:hint="default" w:ascii="Times New Roman" w:hAnsi="Times New Roman" w:eastAsia="宋体" w:cs="Times New Roman"/>
          <w:color w:val="231F20"/>
          <w:spacing w:val="-2"/>
          <w:sz w:val="24"/>
          <w:szCs w:val="24"/>
        </w:rPr>
        <w:t>发展的强大杠杆作用。“苏维埃政权，工人</w:t>
      </w:r>
      <w:r>
        <w:rPr>
          <w:rFonts w:hint="default" w:ascii="Times New Roman" w:hAnsi="Times New Roman" w:eastAsia="宋体" w:cs="Times New Roman"/>
          <w:color w:val="231F20"/>
          <w:spacing w:val="-3"/>
          <w:sz w:val="24"/>
          <w:szCs w:val="24"/>
        </w:rPr>
        <w:t>阶级</w:t>
      </w:r>
      <w:r>
        <w:rPr>
          <w:rFonts w:hint="default" w:ascii="Times New Roman" w:hAnsi="Times New Roman" w:eastAsia="宋体" w:cs="Times New Roman"/>
          <w:color w:val="231F20"/>
          <w:spacing w:val="7"/>
          <w:sz w:val="24"/>
          <w:szCs w:val="24"/>
        </w:rPr>
        <w:t>的专政，决不仅仅是政治权力，我们的国家之所以不同于资产阶级国家，不仅因为它属另一个阶级支配，而且因为它手中掌握这全部大工业和交通运输业，因而它是一个及其强大的经济力量，这个力量给国家的全部发展，其中包</w:t>
      </w:r>
      <w:r>
        <w:rPr>
          <w:rFonts w:hint="default" w:ascii="Times New Roman" w:hAnsi="Times New Roman" w:eastAsia="宋体" w:cs="Times New Roman"/>
          <w:color w:val="231F20"/>
          <w:spacing w:val="41"/>
          <w:sz w:val="24"/>
          <w:szCs w:val="24"/>
        </w:rPr>
        <w:t>括农村关系的全部发展，打上自己的烙</w:t>
      </w:r>
      <w:r>
        <w:rPr>
          <w:rFonts w:hint="default" w:ascii="Times New Roman" w:hAnsi="Times New Roman" w:eastAsia="宋体" w:cs="Times New Roman"/>
          <w:color w:val="231F20"/>
          <w:position w:val="-1"/>
          <w:sz w:val="24"/>
          <w:szCs w:val="24"/>
        </w:rPr>
        <w:t>印。”</w:t>
      </w:r>
      <w:r>
        <w:rPr>
          <w:rFonts w:hint="default" w:ascii="Times New Roman" w:hAnsi="Times New Roman" w:eastAsia="宋体" w:cs="Times New Roman"/>
          <w:color w:val="231F20"/>
          <w:position w:val="-1"/>
          <w:sz w:val="24"/>
          <w:szCs w:val="24"/>
          <w:vertAlign w:val="superscript"/>
          <w:lang w:val="en-US"/>
        </w:rPr>
        <w:fldChar w:fldCharType="begin"/>
      </w:r>
      <w:r>
        <w:rPr>
          <w:rFonts w:hint="default" w:ascii="Times New Roman" w:hAnsi="Times New Roman" w:eastAsia="宋体" w:cs="Times New Roman"/>
          <w:color w:val="231F20"/>
          <w:position w:val="-1"/>
          <w:sz w:val="24"/>
          <w:szCs w:val="24"/>
          <w:vertAlign w:val="superscript"/>
          <w:lang w:val="en-US"/>
        </w:rPr>
        <w:instrText xml:space="preserve"> REF _Ref32111 \r \h </w:instrText>
      </w:r>
      <w:r>
        <w:rPr>
          <w:rFonts w:hint="default" w:ascii="Times New Roman" w:hAnsi="Times New Roman" w:eastAsia="宋体" w:cs="Times New Roman"/>
          <w:color w:val="231F20"/>
          <w:position w:val="-1"/>
          <w:sz w:val="24"/>
          <w:szCs w:val="24"/>
          <w:vertAlign w:val="superscript"/>
          <w:lang w:val="en-US"/>
        </w:rPr>
        <w:fldChar w:fldCharType="separate"/>
      </w:r>
      <w:r>
        <w:rPr>
          <w:rFonts w:hint="default" w:ascii="Times New Roman" w:hAnsi="Times New Roman" w:eastAsia="宋体" w:cs="Times New Roman"/>
          <w:color w:val="231F20"/>
          <w:position w:val="-1"/>
          <w:sz w:val="24"/>
          <w:szCs w:val="24"/>
          <w:vertAlign w:val="superscript"/>
          <w:lang w:val="en-US"/>
        </w:rPr>
        <w:t>[9]</w:t>
      </w:r>
      <w:r>
        <w:rPr>
          <w:rFonts w:hint="default" w:ascii="Times New Roman" w:hAnsi="Times New Roman" w:eastAsia="宋体" w:cs="Times New Roman"/>
          <w:color w:val="231F20"/>
          <w:position w:val="-1"/>
          <w:sz w:val="24"/>
          <w:szCs w:val="24"/>
          <w:vertAlign w:val="superscript"/>
          <w:lang w:val="en-US"/>
        </w:rPr>
        <w:fldChar w:fldCharType="end"/>
      </w:r>
      <w:r>
        <w:rPr>
          <w:rFonts w:hint="default" w:ascii="Times New Roman" w:hAnsi="Times New Roman" w:eastAsia="宋体" w:cs="Times New Roman"/>
          <w:color w:val="231F20"/>
          <w:position w:val="-1"/>
          <w:sz w:val="24"/>
          <w:szCs w:val="24"/>
          <w:vertAlign w:val="superscript"/>
          <w:lang w:val="en-US" w:eastAsia="zh-CN"/>
        </w:rPr>
        <w:t>(pp.260-261)</w:t>
      </w:r>
      <w:r>
        <w:rPr>
          <w:rFonts w:hint="default" w:ascii="Times New Roman" w:hAnsi="Times New Roman" w:eastAsia="宋体" w:cs="Times New Roman"/>
          <w:color w:val="231F20"/>
          <w:position w:val="-1"/>
          <w:sz w:val="24"/>
          <w:szCs w:val="24"/>
        </w:rPr>
        <w:t>正是在这个意义上，列宁才对合</w:t>
      </w:r>
      <w:r>
        <w:rPr>
          <w:rFonts w:hint="default" w:ascii="Times New Roman" w:hAnsi="Times New Roman" w:eastAsia="宋体" w:cs="Times New Roman"/>
          <w:color w:val="231F20"/>
          <w:spacing w:val="7"/>
          <w:sz w:val="24"/>
          <w:szCs w:val="24"/>
        </w:rPr>
        <w:t>作化充满高度期待，强调“我们要解决的任务</w:t>
      </w:r>
      <w:r>
        <w:rPr>
          <w:rFonts w:hint="default" w:ascii="Times New Roman" w:hAnsi="Times New Roman" w:eastAsia="宋体" w:cs="Times New Roman"/>
          <w:color w:val="231F20"/>
          <w:spacing w:val="3"/>
          <w:sz w:val="24"/>
          <w:szCs w:val="24"/>
        </w:rPr>
        <w:t>的确就只剩下实现居民合作化了”。</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(p.349)</w:t>
      </w:r>
      <w:r>
        <w:rPr>
          <w:rFonts w:hint="default" w:ascii="Times New Roman" w:hAnsi="Times New Roman" w:eastAsia="宋体" w:cs="Times New Roman"/>
          <w:color w:val="231F20"/>
          <w:spacing w:val="3"/>
          <w:sz w:val="24"/>
          <w:szCs w:val="24"/>
        </w:rPr>
        <w:t>从某</w:t>
      </w:r>
      <w:r>
        <w:rPr>
          <w:rFonts w:hint="default" w:ascii="Times New Roman" w:hAnsi="Times New Roman" w:eastAsia="宋体" w:cs="Times New Roman"/>
          <w:color w:val="231F20"/>
          <w:spacing w:val="7"/>
          <w:sz w:val="24"/>
          <w:szCs w:val="24"/>
        </w:rPr>
        <w:t>种意义上说，他心中已经孕育了一个向社会主</w:t>
      </w:r>
      <w:r>
        <w:rPr>
          <w:rFonts w:hint="default" w:ascii="Times New Roman" w:hAnsi="Times New Roman" w:eastAsia="宋体" w:cs="Times New Roman"/>
          <w:color w:val="231F20"/>
          <w:spacing w:val="1"/>
          <w:sz w:val="24"/>
          <w:szCs w:val="24"/>
        </w:rPr>
        <w:t>义过渡的新公式，那就是“社会主义=苏维埃政</w:t>
      </w:r>
      <w:r>
        <w:rPr>
          <w:rFonts w:hint="default" w:ascii="Times New Roman" w:hAnsi="Times New Roman" w:eastAsia="宋体" w:cs="Times New Roman"/>
          <w:color w:val="231F20"/>
          <w:spacing w:val="6"/>
          <w:sz w:val="24"/>
          <w:szCs w:val="24"/>
        </w:rPr>
        <w:t>权+合作化”。</w:t>
      </w:r>
    </w:p>
    <w:p w14:paraId="3CE8BE8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中国特色社会主义进入新时代，习近平</w:t>
      </w:r>
      <w:r>
        <w:rPr>
          <w:rFonts w:hint="default" w:ascii="Times New Roman" w:hAnsi="Times New Roman" w:eastAsia="宋体" w:cs="Times New Roman"/>
          <w:color w:val="231F20"/>
          <w:spacing w:val="7"/>
          <w:sz w:val="24"/>
          <w:szCs w:val="24"/>
        </w:rPr>
        <w:t>多次明确指出：“国有企业是壮大国家综合实力、保障人民共同利益的重要力量，必须理直</w:t>
      </w:r>
      <w:r>
        <w:rPr>
          <w:rFonts w:hint="default" w:ascii="Times New Roman" w:hAnsi="Times New Roman" w:eastAsia="宋体" w:cs="Times New Roman"/>
          <w:color w:val="231F20"/>
          <w:spacing w:val="9"/>
          <w:sz w:val="24"/>
          <w:szCs w:val="24"/>
        </w:rPr>
        <w:t>气壮做强做优做大，不断增强活力、影响力、</w:t>
      </w:r>
      <w:r>
        <w:rPr>
          <w:rFonts w:hint="default" w:ascii="Times New Roman" w:hAnsi="Times New Roman" w:eastAsia="宋体" w:cs="Times New Roman"/>
          <w:color w:val="231F20"/>
          <w:spacing w:val="16"/>
          <w:sz w:val="24"/>
          <w:szCs w:val="24"/>
        </w:rPr>
        <w:t>抗风险能力，实现国有资产保值增值。各级</w:t>
      </w:r>
      <w:r>
        <w:rPr>
          <w:rFonts w:hint="default" w:ascii="Times New Roman" w:hAnsi="Times New Roman" w:eastAsia="宋体" w:cs="Times New Roman"/>
          <w:color w:val="231F20"/>
          <w:spacing w:val="17"/>
          <w:sz w:val="24"/>
          <w:szCs w:val="24"/>
        </w:rPr>
        <w:t>党委和政府要牢记搞好国有企业、发展壮大</w:t>
      </w:r>
      <w:r>
        <w:rPr>
          <w:rFonts w:hint="default" w:ascii="Times New Roman" w:hAnsi="Times New Roman" w:eastAsia="宋体" w:cs="Times New Roman"/>
          <w:color w:val="231F20"/>
          <w:spacing w:val="18"/>
          <w:sz w:val="24"/>
          <w:szCs w:val="24"/>
        </w:rPr>
        <w:t>国有经济的重大责任，加强对国有企业改革的组织领导，尽快在国有企业改革重要领域</w:t>
      </w:r>
      <w:r>
        <w:rPr>
          <w:rFonts w:hint="default" w:ascii="Times New Roman" w:hAnsi="Times New Roman" w:eastAsia="宋体" w:cs="Times New Roman"/>
          <w:color w:val="231F20"/>
          <w:spacing w:val="7"/>
          <w:sz w:val="24"/>
          <w:szCs w:val="24"/>
        </w:rPr>
        <w:t>和关键环节取得新成效。”</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_Ref3804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[14]</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rPr>
        <w:t>我们可以从列宁</w:t>
      </w:r>
      <w:r>
        <w:rPr>
          <w:rFonts w:hint="default" w:ascii="Times New Roman" w:hAnsi="Times New Roman" w:eastAsia="宋体" w:cs="Times New Roman"/>
          <w:color w:val="231F20"/>
          <w:spacing w:val="18"/>
          <w:sz w:val="24"/>
          <w:szCs w:val="24"/>
        </w:rPr>
        <w:t>的战略构想中深化对这一重大论断的理解和</w:t>
      </w:r>
      <w:r>
        <w:rPr>
          <w:rFonts w:hint="default" w:ascii="Times New Roman" w:hAnsi="Times New Roman" w:eastAsia="宋体" w:cs="Times New Roman"/>
          <w:color w:val="231F20"/>
          <w:spacing w:val="16"/>
          <w:sz w:val="24"/>
          <w:szCs w:val="24"/>
        </w:rPr>
        <w:t>领悟。正是在市场经济条件下，私人利益的</w:t>
      </w:r>
      <w:r>
        <w:rPr>
          <w:rFonts w:hint="default" w:ascii="Times New Roman" w:hAnsi="Times New Roman" w:eastAsia="宋体" w:cs="Times New Roman"/>
          <w:color w:val="231F20"/>
          <w:spacing w:val="18"/>
          <w:sz w:val="24"/>
          <w:szCs w:val="24"/>
        </w:rPr>
        <w:t>发展需要服从共同利益引导，需要发挥国有经济的主导作用，以及基于国有经济的政府</w:t>
      </w:r>
      <w:r>
        <w:rPr>
          <w:rFonts w:hint="default" w:ascii="Times New Roman" w:hAnsi="Times New Roman" w:eastAsia="宋体" w:cs="Times New Roman"/>
          <w:color w:val="231F20"/>
          <w:spacing w:val="14"/>
          <w:sz w:val="24"/>
          <w:szCs w:val="24"/>
        </w:rPr>
        <w:t>微观、中观和宏观调控。没有市场机制的有</w:t>
      </w:r>
      <w:r>
        <w:rPr>
          <w:rFonts w:hint="default" w:ascii="Times New Roman" w:hAnsi="Times New Roman" w:eastAsia="宋体" w:cs="Times New Roman"/>
          <w:color w:val="231F20"/>
          <w:spacing w:val="7"/>
          <w:sz w:val="24"/>
          <w:szCs w:val="24"/>
        </w:rPr>
        <w:t>效发挥，也就没有私人利益的释放和发展，而</w:t>
      </w:r>
      <w:r>
        <w:rPr>
          <w:rFonts w:hint="default" w:ascii="Times New Roman" w:hAnsi="Times New Roman" w:eastAsia="宋体" w:cs="Times New Roman"/>
          <w:color w:val="231F20"/>
          <w:spacing w:val="21"/>
          <w:sz w:val="24"/>
          <w:szCs w:val="24"/>
        </w:rPr>
        <w:t>没有国有经济和国家经济治理的有力领导，</w:t>
      </w:r>
      <w:r>
        <w:rPr>
          <w:rFonts w:hint="default" w:ascii="Times New Roman" w:hAnsi="Times New Roman" w:eastAsia="宋体" w:cs="Times New Roman"/>
          <w:color w:val="231F20"/>
          <w:spacing w:val="18"/>
          <w:sz w:val="24"/>
          <w:szCs w:val="24"/>
        </w:rPr>
        <w:t>也就难以规范私人利益，使之与共同利益有</w:t>
      </w:r>
      <w:r>
        <w:rPr>
          <w:rFonts w:hint="default" w:ascii="Times New Roman" w:hAnsi="Times New Roman" w:eastAsia="宋体" w:cs="Times New Roman"/>
          <w:color w:val="231F20"/>
          <w:spacing w:val="8"/>
          <w:sz w:val="24"/>
          <w:szCs w:val="24"/>
        </w:rPr>
        <w:t>机结合。</w:t>
      </w:r>
    </w:p>
    <w:p w14:paraId="5B1ECE0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（三）对市场经济条件下规制资本的深刻</w:t>
      </w:r>
      <w:r>
        <w:rPr>
          <w:rFonts w:hint="default" w:ascii="Times New Roman" w:hAnsi="Times New Roman" w:eastAsia="宋体" w:cs="Times New Roman"/>
          <w:color w:val="231F20"/>
          <w:spacing w:val="5"/>
          <w:sz w:val="24"/>
          <w:szCs w:val="24"/>
        </w:rPr>
        <w:t>启示</w:t>
      </w:r>
    </w:p>
    <w:p w14:paraId="3F9F6C9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合作制战略构想对合理利用市场机制、尽</w:t>
      </w:r>
      <w:r>
        <w:rPr>
          <w:rFonts w:hint="default" w:ascii="Times New Roman" w:hAnsi="Times New Roman" w:eastAsia="宋体" w:cs="Times New Roman"/>
          <w:color w:val="231F20"/>
          <w:spacing w:val="18"/>
          <w:sz w:val="24"/>
          <w:szCs w:val="24"/>
        </w:rPr>
        <w:t>可能规避私人资本主义的影响提供了创新视</w:t>
      </w:r>
      <w:r>
        <w:rPr>
          <w:rFonts w:hint="default" w:ascii="Times New Roman" w:hAnsi="Times New Roman" w:eastAsia="宋体" w:cs="Times New Roman"/>
          <w:color w:val="231F20"/>
          <w:spacing w:val="5"/>
          <w:sz w:val="24"/>
          <w:szCs w:val="24"/>
        </w:rPr>
        <w:t>角。合作制的重大意义之一，就是有利于在市</w:t>
      </w:r>
      <w:r>
        <w:rPr>
          <w:rFonts w:hint="default" w:ascii="Times New Roman" w:hAnsi="Times New Roman" w:eastAsia="宋体" w:cs="Times New Roman"/>
          <w:color w:val="231F20"/>
          <w:spacing w:val="18"/>
          <w:sz w:val="24"/>
          <w:szCs w:val="24"/>
        </w:rPr>
        <w:t>场机制条件下使小农经济向完全社会主义过</w:t>
      </w:r>
      <w:r>
        <w:rPr>
          <w:rFonts w:hint="default" w:ascii="Times New Roman" w:hAnsi="Times New Roman" w:eastAsia="宋体" w:cs="Times New Roman"/>
          <w:color w:val="231F20"/>
          <w:spacing w:val="16"/>
          <w:sz w:val="24"/>
          <w:szCs w:val="24"/>
        </w:rPr>
        <w:t>渡。列宁这一战略思路对当下我国防范私人</w:t>
      </w:r>
      <w:r>
        <w:rPr>
          <w:rFonts w:hint="default" w:ascii="Times New Roman" w:hAnsi="Times New Roman" w:eastAsia="宋体" w:cs="Times New Roman"/>
          <w:color w:val="231F20"/>
          <w:spacing w:val="7"/>
          <w:sz w:val="24"/>
          <w:szCs w:val="24"/>
        </w:rPr>
        <w:t>资本无序扩张和垄断、化解市场风险，更好处</w:t>
      </w:r>
      <w:r>
        <w:rPr>
          <w:rFonts w:hint="default" w:ascii="Times New Roman" w:hAnsi="Times New Roman" w:eastAsia="宋体" w:cs="Times New Roman"/>
          <w:color w:val="231F20"/>
          <w:spacing w:val="9"/>
          <w:sz w:val="24"/>
          <w:szCs w:val="24"/>
        </w:rPr>
        <w:t>理市场与政府的关系提供了重要启示。</w:t>
      </w:r>
    </w:p>
    <w:p w14:paraId="6EDA5F4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列宁在《论合作社》中反复强调合作社的重大意义，不是由于没有实行新经济政策，而</w:t>
      </w:r>
      <w:r>
        <w:rPr>
          <w:rFonts w:hint="default" w:ascii="Times New Roman" w:hAnsi="Times New Roman" w:eastAsia="宋体" w:cs="Times New Roman"/>
          <w:color w:val="231F20"/>
          <w:spacing w:val="16"/>
          <w:sz w:val="24"/>
          <w:szCs w:val="24"/>
        </w:rPr>
        <w:t>恰恰是由于实行了新经济政策。正是新经济</w:t>
      </w:r>
      <w:r>
        <w:rPr>
          <w:rFonts w:hint="default" w:ascii="Times New Roman" w:hAnsi="Times New Roman" w:eastAsia="宋体" w:cs="Times New Roman"/>
          <w:color w:val="231F20"/>
          <w:spacing w:val="18"/>
          <w:sz w:val="24"/>
          <w:szCs w:val="24"/>
        </w:rPr>
        <w:t>政策才使苏俄恢复了市场机制和商品货币关系，因而使某些资本主义经济关系恢复和发展起来，大资本和一般私人资本才能施加其</w:t>
      </w:r>
      <w:r>
        <w:rPr>
          <w:rFonts w:hint="default" w:ascii="Times New Roman" w:hAnsi="Times New Roman" w:eastAsia="宋体" w:cs="Times New Roman"/>
          <w:color w:val="231F20"/>
          <w:spacing w:val="5"/>
          <w:sz w:val="24"/>
          <w:szCs w:val="24"/>
        </w:rPr>
        <w:t>影响。列宁强调：“我们确实是在进行‘最后</w:t>
      </w:r>
      <w:r>
        <w:rPr>
          <w:rFonts w:hint="default" w:ascii="Times New Roman" w:hAnsi="Times New Roman" w:eastAsia="宋体" w:cs="Times New Roman"/>
          <w:color w:val="231F20"/>
          <w:spacing w:val="11"/>
          <w:sz w:val="24"/>
          <w:szCs w:val="24"/>
        </w:rPr>
        <w:t>的斗争’，不是同国际资本主义（……</w:t>
      </w:r>
      <w:r>
        <w:rPr>
          <w:rFonts w:hint="default" w:ascii="Times New Roman" w:hAnsi="Times New Roman" w:eastAsia="宋体" w:cs="Times New Roman"/>
          <w:color w:val="231F20"/>
          <w:spacing w:val="-33"/>
          <w:w w:val="69"/>
          <w:sz w:val="24"/>
          <w:szCs w:val="24"/>
        </w:rPr>
        <w:t>），</w:t>
      </w:r>
      <w:r>
        <w:rPr>
          <w:rFonts w:hint="default" w:ascii="Times New Roman" w:hAnsi="Times New Roman" w:eastAsia="宋体" w:cs="Times New Roman"/>
          <w:color w:val="231F20"/>
          <w:spacing w:val="11"/>
          <w:sz w:val="24"/>
          <w:szCs w:val="24"/>
        </w:rPr>
        <w:t>而是</w:t>
      </w:r>
      <w:r>
        <w:rPr>
          <w:rFonts w:hint="default" w:ascii="Times New Roman" w:hAnsi="Times New Roman" w:eastAsia="宋体" w:cs="Times New Roman"/>
          <w:color w:val="231F20"/>
          <w:spacing w:val="17"/>
          <w:sz w:val="24"/>
          <w:szCs w:val="24"/>
        </w:rPr>
        <w:t>同从小农经济中成长起来的、得到小农经济</w:t>
      </w:r>
      <w:r>
        <w:rPr>
          <w:rFonts w:hint="default" w:ascii="Times New Roman" w:hAnsi="Times New Roman" w:eastAsia="宋体" w:cs="Times New Roman"/>
          <w:color w:val="231F20"/>
          <w:spacing w:val="10"/>
          <w:sz w:val="24"/>
          <w:szCs w:val="24"/>
        </w:rPr>
        <w:t>支持的俄国资本主义进行这种斗争。”</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(p.323)</w:t>
      </w:r>
      <w:r>
        <w:rPr>
          <w:rFonts w:hint="default" w:ascii="Times New Roman" w:hAnsi="Times New Roman" w:eastAsia="宋体" w:cs="Times New Roman"/>
          <w:color w:val="231F20"/>
          <w:spacing w:val="22"/>
          <w:sz w:val="24"/>
          <w:szCs w:val="24"/>
        </w:rPr>
        <w:t>“共和国的命运归根到底将取决于农民群众</w:t>
      </w:r>
      <w:r>
        <w:rPr>
          <w:rFonts w:hint="default" w:ascii="Times New Roman" w:hAnsi="Times New Roman" w:eastAsia="宋体" w:cs="Times New Roman"/>
          <w:color w:val="231F20"/>
          <w:spacing w:val="18"/>
          <w:sz w:val="24"/>
          <w:szCs w:val="24"/>
        </w:rPr>
        <w:t>是和工人阶级一道走，忠实于和工人阶级的</w:t>
      </w:r>
      <w:r>
        <w:rPr>
          <w:rFonts w:hint="default" w:ascii="Times New Roman" w:hAnsi="Times New Roman" w:eastAsia="宋体" w:cs="Times New Roman"/>
          <w:color w:val="231F20"/>
          <w:spacing w:val="4"/>
          <w:sz w:val="24"/>
          <w:szCs w:val="24"/>
        </w:rPr>
        <w:t>联盟呢，还是让‘耐普曼’即新资产阶级把他</w:t>
      </w:r>
      <w:r>
        <w:rPr>
          <w:rFonts w:hint="default" w:ascii="Times New Roman" w:hAnsi="Times New Roman" w:eastAsia="宋体" w:cs="Times New Roman"/>
          <w:color w:val="231F20"/>
          <w:spacing w:val="-4"/>
          <w:sz w:val="24"/>
          <w:szCs w:val="24"/>
        </w:rPr>
        <w:t>们和工人拆开，使他们和工人分裂。”</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(p.365)</w:t>
      </w:r>
    </w:p>
    <w:p w14:paraId="2700DA4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因此，让列宁苦恼的问题就在于：如何能</w:t>
      </w:r>
      <w:r>
        <w:rPr>
          <w:rFonts w:hint="default" w:ascii="Times New Roman" w:hAnsi="Times New Roman" w:eastAsia="宋体" w:cs="Times New Roman"/>
          <w:color w:val="231F20"/>
          <w:spacing w:val="30"/>
          <w:sz w:val="24"/>
          <w:szCs w:val="24"/>
        </w:rPr>
        <w:t>够在一定程度上容忍恢复资本主义经济关</w:t>
      </w:r>
      <w:r>
        <w:rPr>
          <w:rFonts w:hint="default" w:ascii="Times New Roman" w:hAnsi="Times New Roman" w:eastAsia="宋体" w:cs="Times New Roman"/>
          <w:color w:val="231F20"/>
          <w:spacing w:val="18"/>
          <w:sz w:val="24"/>
          <w:szCs w:val="24"/>
        </w:rPr>
        <w:t>系，同时最大限度规避大资本和一般私人资</w:t>
      </w:r>
      <w:r>
        <w:rPr>
          <w:rFonts w:hint="default" w:ascii="Times New Roman" w:hAnsi="Times New Roman" w:eastAsia="宋体" w:cs="Times New Roman"/>
          <w:color w:val="231F20"/>
          <w:spacing w:val="5"/>
          <w:sz w:val="24"/>
          <w:szCs w:val="24"/>
        </w:rPr>
        <w:t>本的政治影响？列宁在《论合作社》中提供的</w:t>
      </w:r>
      <w:r>
        <w:rPr>
          <w:rFonts w:hint="default" w:ascii="Times New Roman" w:hAnsi="Times New Roman" w:eastAsia="宋体" w:cs="Times New Roman"/>
          <w:color w:val="231F20"/>
          <w:spacing w:val="16"/>
          <w:sz w:val="24"/>
          <w:szCs w:val="24"/>
        </w:rPr>
        <w:t>答案就是要依靠合作制。在他看来，合作制</w:t>
      </w:r>
      <w:r>
        <w:rPr>
          <w:rFonts w:hint="default" w:ascii="Times New Roman" w:hAnsi="Times New Roman" w:eastAsia="宋体" w:cs="Times New Roman"/>
          <w:color w:val="231F20"/>
          <w:spacing w:val="18"/>
          <w:sz w:val="24"/>
          <w:szCs w:val="24"/>
        </w:rPr>
        <w:t>的最大好处就在于，一方面它以市场机制为</w:t>
      </w:r>
      <w:r>
        <w:rPr>
          <w:rFonts w:hint="default" w:ascii="Times New Roman" w:hAnsi="Times New Roman" w:eastAsia="宋体" w:cs="Times New Roman"/>
          <w:color w:val="231F20"/>
          <w:spacing w:val="7"/>
          <w:sz w:val="24"/>
          <w:szCs w:val="24"/>
        </w:rPr>
        <w:t>前提，另一方面，它“便于把千百万居民以至</w:t>
      </w:r>
      <w:r>
        <w:rPr>
          <w:rFonts w:hint="default" w:ascii="Times New Roman" w:hAnsi="Times New Roman" w:eastAsia="宋体" w:cs="Times New Roman"/>
          <w:color w:val="231F20"/>
          <w:position w:val="-1"/>
          <w:sz w:val="24"/>
          <w:szCs w:val="24"/>
        </w:rPr>
        <w:t>全体居民联合起来，组织起来”，</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(pp.222-223)</w:t>
      </w:r>
      <w:r>
        <w:rPr>
          <w:rFonts w:hint="default" w:ascii="Times New Roman" w:hAnsi="Times New Roman" w:eastAsia="宋体" w:cs="Times New Roman"/>
          <w:color w:val="231F20"/>
          <w:spacing w:val="-1"/>
          <w:position w:val="-1"/>
          <w:sz w:val="24"/>
          <w:szCs w:val="24"/>
        </w:rPr>
        <w:t>有利</w:t>
      </w:r>
      <w:r>
        <w:rPr>
          <w:rFonts w:hint="default" w:ascii="Times New Roman" w:hAnsi="Times New Roman" w:eastAsia="宋体" w:cs="Times New Roman"/>
          <w:color w:val="231F20"/>
          <w:spacing w:val="14"/>
          <w:sz w:val="24"/>
          <w:szCs w:val="24"/>
        </w:rPr>
        <w:t>于向完全的社会主义过渡。因此，列宁的合</w:t>
      </w:r>
      <w:r>
        <w:rPr>
          <w:rFonts w:hint="default" w:ascii="Times New Roman" w:hAnsi="Times New Roman" w:eastAsia="宋体" w:cs="Times New Roman"/>
          <w:color w:val="231F20"/>
          <w:spacing w:val="7"/>
          <w:sz w:val="24"/>
          <w:szCs w:val="24"/>
        </w:rPr>
        <w:t>作制构想，对既能合理利用市场机制，又尽可</w:t>
      </w:r>
      <w:r>
        <w:rPr>
          <w:rFonts w:hint="default" w:ascii="Times New Roman" w:hAnsi="Times New Roman" w:eastAsia="宋体" w:cs="Times New Roman"/>
          <w:color w:val="231F20"/>
          <w:spacing w:val="18"/>
          <w:sz w:val="24"/>
          <w:szCs w:val="24"/>
        </w:rPr>
        <w:t>能规避大资本和一般私人资本的影响提供了创新思路，从理论上回应了新经济政策条件下如何防止私人资本主义过度发展等重大经</w:t>
      </w:r>
      <w:r>
        <w:rPr>
          <w:rFonts w:hint="default" w:ascii="Times New Roman" w:hAnsi="Times New Roman" w:eastAsia="宋体" w:cs="Times New Roman"/>
          <w:color w:val="231F20"/>
          <w:spacing w:val="10"/>
          <w:sz w:val="24"/>
          <w:szCs w:val="24"/>
        </w:rPr>
        <w:t>济政治问题。</w:t>
      </w:r>
    </w:p>
    <w:p w14:paraId="4A211AB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当下我国一些领域存在私人资本无序扩</w:t>
      </w:r>
      <w:r>
        <w:rPr>
          <w:rFonts w:hint="default" w:ascii="Times New Roman" w:hAnsi="Times New Roman" w:eastAsia="宋体" w:cs="Times New Roman"/>
          <w:color w:val="231F20"/>
          <w:spacing w:val="-3"/>
          <w:sz w:val="24"/>
          <w:szCs w:val="24"/>
        </w:rPr>
        <w:t>张和垄断、肆意操纵、制假贩假、牟取暴利、频</w:t>
      </w:r>
      <w:r>
        <w:rPr>
          <w:rFonts w:hint="default" w:ascii="Times New Roman" w:hAnsi="Times New Roman" w:eastAsia="宋体" w:cs="Times New Roman"/>
          <w:color w:val="231F20"/>
          <w:spacing w:val="15"/>
          <w:sz w:val="24"/>
          <w:szCs w:val="24"/>
        </w:rPr>
        <w:t>频暴雷、行贿干部等现象。列宁的宝贵探索</w:t>
      </w:r>
      <w:r>
        <w:rPr>
          <w:rFonts w:hint="default" w:ascii="Times New Roman" w:hAnsi="Times New Roman" w:eastAsia="宋体" w:cs="Times New Roman"/>
          <w:color w:val="231F20"/>
          <w:spacing w:val="18"/>
          <w:sz w:val="24"/>
          <w:szCs w:val="24"/>
        </w:rPr>
        <w:t>有助于我们深化对市场经济条件下防范资本</w:t>
      </w:r>
      <w:r>
        <w:rPr>
          <w:rFonts w:hint="default" w:ascii="Times New Roman" w:hAnsi="Times New Roman" w:eastAsia="宋体" w:cs="Times New Roman"/>
          <w:color w:val="231F20"/>
          <w:spacing w:val="17"/>
          <w:sz w:val="24"/>
          <w:szCs w:val="24"/>
        </w:rPr>
        <w:t>无序扩张、规范平台经济及更好处理市场与</w:t>
      </w:r>
      <w:r>
        <w:rPr>
          <w:rFonts w:hint="default" w:ascii="Times New Roman" w:hAnsi="Times New Roman" w:eastAsia="宋体" w:cs="Times New Roman"/>
          <w:color w:val="231F20"/>
          <w:spacing w:val="5"/>
          <w:sz w:val="24"/>
          <w:szCs w:val="24"/>
        </w:rPr>
        <w:t>政府关系的理解。习近平指出：“资本主义社</w:t>
      </w:r>
      <w:r>
        <w:rPr>
          <w:rFonts w:hint="default" w:ascii="Times New Roman" w:hAnsi="Times New Roman" w:eastAsia="宋体" w:cs="Times New Roman"/>
          <w:color w:val="231F20"/>
          <w:spacing w:val="18"/>
          <w:sz w:val="24"/>
          <w:szCs w:val="24"/>
        </w:rPr>
        <w:t>会的资本和社会主义社会的资本固然有很多</w:t>
      </w:r>
      <w:r>
        <w:rPr>
          <w:rFonts w:hint="default" w:ascii="Times New Roman" w:hAnsi="Times New Roman" w:eastAsia="宋体" w:cs="Times New Roman"/>
          <w:color w:val="231F20"/>
          <w:spacing w:val="7"/>
          <w:sz w:val="24"/>
          <w:szCs w:val="24"/>
        </w:rPr>
        <w:t>不同，但资本都是要追逐利润的。”面对资本</w:t>
      </w:r>
      <w:r>
        <w:rPr>
          <w:rFonts w:hint="default" w:ascii="Times New Roman" w:hAnsi="Times New Roman" w:eastAsia="宋体" w:cs="Times New Roman"/>
          <w:color w:val="231F20"/>
          <w:spacing w:val="18"/>
          <w:sz w:val="24"/>
          <w:szCs w:val="24"/>
        </w:rPr>
        <w:t>无序扩张等市场乱象，“就要求规范资本行</w:t>
      </w:r>
      <w:r>
        <w:rPr>
          <w:rFonts w:hint="default" w:ascii="Times New Roman" w:hAnsi="Times New Roman" w:eastAsia="宋体" w:cs="Times New Roman"/>
          <w:color w:val="231F20"/>
          <w:spacing w:val="-3"/>
          <w:sz w:val="24"/>
          <w:szCs w:val="24"/>
        </w:rPr>
        <w:t>为，趋利避害，既不让‘资本大鳄’恣意妄为，</w:t>
      </w:r>
      <w:r>
        <w:rPr>
          <w:rFonts w:hint="default" w:ascii="Times New Roman" w:hAnsi="Times New Roman" w:eastAsia="宋体" w:cs="Times New Roman"/>
          <w:color w:val="231F20"/>
          <w:spacing w:val="16"/>
          <w:sz w:val="24"/>
          <w:szCs w:val="24"/>
        </w:rPr>
        <w:t>又要发挥资本作为生产要素的功能。这是一</w:t>
      </w:r>
      <w:r>
        <w:rPr>
          <w:rFonts w:hint="default" w:ascii="Times New Roman" w:hAnsi="Times New Roman" w:eastAsia="宋体" w:cs="Times New Roman"/>
          <w:color w:val="231F20"/>
          <w:spacing w:val="-7"/>
          <w:sz w:val="24"/>
          <w:szCs w:val="24"/>
        </w:rPr>
        <w:t>个不容回避的重大政治和经济问题”。</w:t>
      </w:r>
      <w:r>
        <w:rPr>
          <w:rFonts w:hint="default" w:ascii="Times New Roman" w:hAnsi="Times New Roman" w:eastAsia="宋体" w:cs="Times New Roman"/>
          <w:color w:val="231F20"/>
          <w:spacing w:val="-7"/>
          <w:sz w:val="24"/>
          <w:szCs w:val="24"/>
          <w:vertAlign w:val="superscript"/>
          <w:lang w:val="en-US"/>
        </w:rPr>
        <w:fldChar w:fldCharType="begin"/>
      </w:r>
      <w:r>
        <w:rPr>
          <w:rFonts w:hint="default" w:ascii="Times New Roman" w:hAnsi="Times New Roman" w:eastAsia="宋体" w:cs="Times New Roman"/>
          <w:color w:val="231F20"/>
          <w:spacing w:val="-7"/>
          <w:sz w:val="24"/>
          <w:szCs w:val="24"/>
          <w:vertAlign w:val="superscript"/>
          <w:lang w:val="en-US"/>
        </w:rPr>
        <w:instrText xml:space="preserve"> REF _Ref3921 \r \h </w:instrText>
      </w:r>
      <w:r>
        <w:rPr>
          <w:rFonts w:hint="default" w:ascii="Times New Roman" w:hAnsi="Times New Roman" w:eastAsia="宋体" w:cs="Times New Roman"/>
          <w:color w:val="231F20"/>
          <w:spacing w:val="-7"/>
          <w:sz w:val="24"/>
          <w:szCs w:val="24"/>
          <w:vertAlign w:val="superscript"/>
          <w:lang w:val="en-US"/>
        </w:rPr>
        <w:fldChar w:fldCharType="separate"/>
      </w:r>
      <w:r>
        <w:rPr>
          <w:rFonts w:hint="default" w:ascii="Times New Roman" w:hAnsi="Times New Roman" w:eastAsia="宋体" w:cs="Times New Roman"/>
          <w:color w:val="231F20"/>
          <w:spacing w:val="-7"/>
          <w:sz w:val="24"/>
          <w:szCs w:val="24"/>
          <w:vertAlign w:val="superscript"/>
          <w:lang w:val="en-US"/>
        </w:rPr>
        <w:t>[13]</w:t>
      </w:r>
      <w:r>
        <w:rPr>
          <w:rFonts w:hint="default" w:ascii="Times New Roman" w:hAnsi="Times New Roman" w:eastAsia="宋体" w:cs="Times New Roman"/>
          <w:color w:val="231F20"/>
          <w:spacing w:val="-7"/>
          <w:sz w:val="24"/>
          <w:szCs w:val="24"/>
          <w:vertAlign w:val="superscript"/>
          <w:lang w:val="en-US"/>
        </w:rPr>
        <w:fldChar w:fldCharType="end"/>
      </w:r>
      <w:r>
        <w:rPr>
          <w:rFonts w:hint="default" w:ascii="Times New Roman" w:hAnsi="Times New Roman" w:eastAsia="宋体" w:cs="Times New Roman"/>
          <w:color w:val="231F20"/>
          <w:spacing w:val="-7"/>
          <w:sz w:val="24"/>
          <w:szCs w:val="24"/>
          <w:vertAlign w:val="superscript"/>
          <w:lang w:val="en-US" w:eastAsia="zh-CN"/>
        </w:rPr>
        <w:t>(p.576)</w:t>
      </w:r>
    </w:p>
    <w:p w14:paraId="68C1082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列宁关于合作制的战略构想对当下我国</w:t>
      </w:r>
      <w:r>
        <w:rPr>
          <w:rFonts w:hint="default" w:ascii="Times New Roman" w:hAnsi="Times New Roman" w:eastAsia="宋体" w:cs="Times New Roman"/>
          <w:color w:val="231F20"/>
          <w:spacing w:val="18"/>
          <w:sz w:val="24"/>
          <w:szCs w:val="24"/>
        </w:rPr>
        <w:t>完善社会主义市场经济体制的最大启示就在</w:t>
      </w:r>
      <w:r>
        <w:rPr>
          <w:rFonts w:hint="default" w:ascii="Times New Roman" w:hAnsi="Times New Roman" w:eastAsia="宋体" w:cs="Times New Roman"/>
          <w:color w:val="231F20"/>
          <w:spacing w:val="7"/>
          <w:sz w:val="24"/>
          <w:szCs w:val="24"/>
        </w:rPr>
        <w:t>于：市场经济并不是包治百病，而是存在严重的失灵问题，如果驾驭不好，就存在向资本主</w:t>
      </w:r>
      <w:r>
        <w:rPr>
          <w:rFonts w:hint="default" w:ascii="Times New Roman" w:hAnsi="Times New Roman" w:eastAsia="宋体" w:cs="Times New Roman"/>
          <w:color w:val="231F20"/>
          <w:spacing w:val="16"/>
          <w:sz w:val="24"/>
          <w:szCs w:val="24"/>
        </w:rPr>
        <w:t>义演变的可能性。采取能够平衡和弥补市场</w:t>
      </w:r>
      <w:r>
        <w:rPr>
          <w:rFonts w:hint="default" w:ascii="Times New Roman" w:hAnsi="Times New Roman" w:eastAsia="宋体" w:cs="Times New Roman"/>
          <w:color w:val="231F20"/>
          <w:spacing w:val="7"/>
          <w:sz w:val="24"/>
          <w:szCs w:val="24"/>
        </w:rPr>
        <w:t>失灵和抵御资本强势的合作化，不失为一种解</w:t>
      </w:r>
      <w:r>
        <w:rPr>
          <w:rFonts w:hint="default" w:ascii="Times New Roman" w:hAnsi="Times New Roman" w:eastAsia="宋体" w:cs="Times New Roman"/>
          <w:color w:val="231F20"/>
          <w:spacing w:val="6"/>
          <w:sz w:val="24"/>
          <w:szCs w:val="24"/>
        </w:rPr>
        <w:t>决问题的思路，有利于更好驾驭市场经济。需</w:t>
      </w:r>
      <w:r>
        <w:rPr>
          <w:rFonts w:hint="default" w:ascii="Times New Roman" w:hAnsi="Times New Roman" w:eastAsia="宋体" w:cs="Times New Roman"/>
          <w:color w:val="231F20"/>
          <w:spacing w:val="18"/>
          <w:sz w:val="24"/>
          <w:szCs w:val="24"/>
        </w:rPr>
        <w:t>要强调的是，合作化构想不是要否定市场经</w:t>
      </w:r>
      <w:r>
        <w:rPr>
          <w:rFonts w:hint="default" w:ascii="Times New Roman" w:hAnsi="Times New Roman" w:eastAsia="宋体" w:cs="Times New Roman"/>
          <w:color w:val="231F20"/>
          <w:spacing w:val="7"/>
          <w:sz w:val="24"/>
          <w:szCs w:val="24"/>
        </w:rPr>
        <w:t>济，而恰恰是在市场经济的前提下规避市场和</w:t>
      </w:r>
      <w:r>
        <w:rPr>
          <w:rFonts w:hint="default" w:ascii="Times New Roman" w:hAnsi="Times New Roman" w:eastAsia="宋体" w:cs="Times New Roman"/>
          <w:color w:val="231F20"/>
          <w:spacing w:val="9"/>
          <w:sz w:val="24"/>
          <w:szCs w:val="24"/>
        </w:rPr>
        <w:t>私人经济的负面影响和潜在风险。</w:t>
      </w:r>
    </w:p>
    <w:p w14:paraId="7CA510B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（四）对多层次经济结构下推进共同富裕</w:t>
      </w:r>
      <w:r>
        <w:rPr>
          <w:rFonts w:hint="default" w:ascii="Times New Roman" w:hAnsi="Times New Roman" w:eastAsia="宋体" w:cs="Times New Roman"/>
          <w:color w:val="231F20"/>
          <w:spacing w:val="6"/>
          <w:sz w:val="24"/>
          <w:szCs w:val="24"/>
        </w:rPr>
        <w:t>的深刻启示</w:t>
      </w:r>
    </w:p>
    <w:p w14:paraId="314E2DA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9"/>
          <w:sz w:val="24"/>
          <w:szCs w:val="24"/>
        </w:rPr>
        <w:t>列宁关于市场化条件下发展合作化及集</w:t>
      </w:r>
      <w:r>
        <w:rPr>
          <w:rFonts w:hint="default" w:ascii="Times New Roman" w:hAnsi="Times New Roman" w:eastAsia="宋体" w:cs="Times New Roman"/>
          <w:color w:val="231F20"/>
          <w:spacing w:val="7"/>
          <w:sz w:val="24"/>
          <w:szCs w:val="24"/>
        </w:rPr>
        <w:t>体经济的分析视角，对我国在多层次经济结构下探索共同富裕，更好平衡做大蛋糕与分好蛋</w:t>
      </w:r>
      <w:r>
        <w:rPr>
          <w:rFonts w:hint="default" w:ascii="Times New Roman" w:hAnsi="Times New Roman" w:eastAsia="宋体" w:cs="Times New Roman"/>
          <w:color w:val="231F20"/>
          <w:spacing w:val="3"/>
          <w:sz w:val="24"/>
          <w:szCs w:val="24"/>
        </w:rPr>
        <w:t>糕之间的关系，也具有现实启发意义。</w:t>
      </w:r>
    </w:p>
    <w:p w14:paraId="5CC8341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3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w w:val="98"/>
          <w:sz w:val="24"/>
          <w:szCs w:val="24"/>
        </w:rPr>
        <w:t>列宁在《论合作社》中特别指出“合作社”原</w:t>
      </w:r>
      <w:r>
        <w:rPr>
          <w:rFonts w:hint="default" w:ascii="Times New Roman" w:hAnsi="Times New Roman" w:eastAsia="宋体" w:cs="Times New Roman"/>
          <w:color w:val="231F20"/>
          <w:spacing w:val="-3"/>
          <w:sz w:val="24"/>
          <w:szCs w:val="24"/>
        </w:rPr>
        <w:t>则的社会主义意义，即“在政策上要这样对待合</w:t>
      </w:r>
      <w:r>
        <w:rPr>
          <w:rFonts w:hint="default" w:ascii="Times New Roman" w:hAnsi="Times New Roman" w:eastAsia="宋体" w:cs="Times New Roman"/>
          <w:color w:val="231F20"/>
          <w:spacing w:val="11"/>
          <w:sz w:val="24"/>
          <w:szCs w:val="24"/>
        </w:rPr>
        <w:t>作社……贷给合作社的国家资金，应该比贷给</w:t>
      </w:r>
      <w:r>
        <w:rPr>
          <w:rFonts w:hint="default" w:ascii="Times New Roman" w:hAnsi="Times New Roman" w:eastAsia="宋体" w:cs="Times New Roman"/>
          <w:color w:val="231F20"/>
          <w:spacing w:val="-1"/>
          <w:sz w:val="24"/>
          <w:szCs w:val="24"/>
        </w:rPr>
        <w:t>私人企业的多些……”“目前我们应该特别加以</w:t>
      </w:r>
      <w:r>
        <w:rPr>
          <w:rFonts w:hint="default" w:ascii="Times New Roman" w:hAnsi="Times New Roman" w:eastAsia="宋体" w:cs="Times New Roman"/>
          <w:color w:val="231F20"/>
          <w:spacing w:val="-2"/>
          <w:sz w:val="24"/>
          <w:szCs w:val="24"/>
        </w:rPr>
        <w:t>支持的一种社会制度就是合作社制度”。</w:t>
      </w:r>
      <w:r>
        <w:rPr>
          <w:rFonts w:hint="default" w:ascii="Times New Roman" w:hAnsi="Times New Roman" w:eastAsia="宋体" w:cs="Times New Roman"/>
          <w:color w:val="231F20"/>
          <w:spacing w:val="-4"/>
          <w:sz w:val="24"/>
          <w:szCs w:val="24"/>
          <w:vertAlign w:val="superscript"/>
          <w:lang w:val="en-US"/>
        </w:rPr>
        <w:fldChar w:fldCharType="begin"/>
      </w:r>
      <w:r>
        <w:rPr>
          <w:rFonts w:hint="default" w:ascii="Times New Roman" w:hAnsi="Times New Roman" w:eastAsia="宋体" w:cs="Times New Roman"/>
          <w:color w:val="231F20"/>
          <w:spacing w:val="-4"/>
          <w:sz w:val="24"/>
          <w:szCs w:val="24"/>
          <w:vertAlign w:val="superscript"/>
          <w:lang w:val="en-US"/>
        </w:rPr>
        <w:instrText xml:space="preserve"> REF _Ref30922 \r \h </w:instrText>
      </w:r>
      <w:r>
        <w:rPr>
          <w:rFonts w:hint="default" w:ascii="Times New Roman" w:hAnsi="Times New Roman" w:eastAsia="宋体" w:cs="Times New Roman"/>
          <w:color w:val="231F20"/>
          <w:spacing w:val="-4"/>
          <w:sz w:val="24"/>
          <w:szCs w:val="24"/>
          <w:vertAlign w:val="superscript"/>
          <w:lang w:val="en-US"/>
        </w:rPr>
        <w:fldChar w:fldCharType="separate"/>
      </w:r>
      <w:r>
        <w:rPr>
          <w:rFonts w:hint="default" w:ascii="Times New Roman" w:hAnsi="Times New Roman" w:eastAsia="宋体" w:cs="Times New Roman"/>
          <w:color w:val="231F20"/>
          <w:spacing w:val="-4"/>
          <w:sz w:val="24"/>
          <w:szCs w:val="24"/>
          <w:vertAlign w:val="superscript"/>
          <w:lang w:val="en-US"/>
        </w:rPr>
        <w:t>[7]</w:t>
      </w:r>
      <w:r>
        <w:rPr>
          <w:rFonts w:hint="default" w:ascii="Times New Roman" w:hAnsi="Times New Roman" w:eastAsia="宋体" w:cs="Times New Roman"/>
          <w:color w:val="231F20"/>
          <w:spacing w:val="-4"/>
          <w:sz w:val="24"/>
          <w:szCs w:val="24"/>
          <w:vertAlign w:val="superscript"/>
          <w:lang w:val="en-US"/>
        </w:rPr>
        <w:fldChar w:fldCharType="end"/>
      </w:r>
      <w:r>
        <w:rPr>
          <w:rFonts w:hint="default" w:ascii="Times New Roman" w:hAnsi="Times New Roman" w:eastAsia="宋体" w:cs="Times New Roman"/>
          <w:color w:val="231F20"/>
          <w:spacing w:val="-4"/>
          <w:sz w:val="24"/>
          <w:szCs w:val="24"/>
          <w:vertAlign w:val="superscript"/>
          <w:lang w:val="en-US" w:eastAsia="zh-CN"/>
        </w:rPr>
        <w:t>(p.350)</w:t>
      </w:r>
    </w:p>
    <w:p w14:paraId="0C5EBA5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vertAlign w:val="superscript"/>
        </w:rPr>
      </w:pPr>
      <w:r>
        <w:rPr>
          <w:rFonts w:hint="default" w:ascii="Times New Roman" w:hAnsi="Times New Roman" w:eastAsia="宋体" w:cs="Times New Roman"/>
          <w:color w:val="231F20"/>
          <w:spacing w:val="7"/>
          <w:sz w:val="24"/>
          <w:szCs w:val="24"/>
        </w:rPr>
        <w:t>在社会主义初级阶段，活跃经济、推动增</w:t>
      </w:r>
      <w:r>
        <w:rPr>
          <w:rFonts w:hint="default" w:ascii="Times New Roman" w:hAnsi="Times New Roman" w:eastAsia="宋体" w:cs="Times New Roman"/>
          <w:color w:val="231F20"/>
          <w:spacing w:val="18"/>
          <w:sz w:val="24"/>
          <w:szCs w:val="24"/>
        </w:rPr>
        <w:t>长离不开私人资本的作用，但如果不对私人资本进行必要的规制和调节，必然会导致贫</w:t>
      </w:r>
      <w:r>
        <w:rPr>
          <w:rFonts w:hint="default" w:ascii="Times New Roman" w:hAnsi="Times New Roman" w:eastAsia="宋体" w:cs="Times New Roman"/>
          <w:color w:val="231F20"/>
          <w:spacing w:val="16"/>
          <w:sz w:val="24"/>
          <w:szCs w:val="24"/>
        </w:rPr>
        <w:t>富差距和两极分化愈演愈烈。这是由资本的</w:t>
      </w:r>
      <w:r>
        <w:rPr>
          <w:rFonts w:hint="default" w:ascii="Times New Roman" w:hAnsi="Times New Roman" w:eastAsia="宋体" w:cs="Times New Roman"/>
          <w:color w:val="231F20"/>
          <w:spacing w:val="15"/>
          <w:sz w:val="24"/>
          <w:szCs w:val="24"/>
        </w:rPr>
        <w:t>文明性和剥削性决定的。同样，要想实现共</w:t>
      </w:r>
      <w:r>
        <w:rPr>
          <w:rFonts w:hint="default" w:ascii="Times New Roman" w:hAnsi="Times New Roman" w:eastAsia="宋体" w:cs="Times New Roman"/>
          <w:color w:val="231F20"/>
          <w:spacing w:val="7"/>
          <w:sz w:val="24"/>
          <w:szCs w:val="24"/>
        </w:rPr>
        <w:t>同富裕和社会公平，如果不对国有经济、集体</w:t>
      </w:r>
      <w:r>
        <w:rPr>
          <w:rFonts w:hint="default" w:ascii="Times New Roman" w:hAnsi="Times New Roman" w:eastAsia="宋体" w:cs="Times New Roman"/>
          <w:color w:val="231F20"/>
          <w:spacing w:val="17"/>
          <w:sz w:val="24"/>
          <w:szCs w:val="24"/>
        </w:rPr>
        <w:t>经济或合作经济加以财政上的支持、政策上</w:t>
      </w:r>
      <w:r>
        <w:rPr>
          <w:rFonts w:hint="default" w:ascii="Times New Roman" w:hAnsi="Times New Roman" w:eastAsia="宋体" w:cs="Times New Roman"/>
          <w:color w:val="231F20"/>
          <w:spacing w:val="7"/>
          <w:sz w:val="24"/>
          <w:szCs w:val="24"/>
        </w:rPr>
        <w:t>的倾斜，那也是不容易做到的。“我国贫富差</w:t>
      </w:r>
      <w:r>
        <w:rPr>
          <w:rFonts w:hint="default" w:ascii="Times New Roman" w:hAnsi="Times New Roman" w:eastAsia="宋体" w:cs="Times New Roman"/>
          <w:color w:val="231F20"/>
          <w:spacing w:val="22"/>
          <w:sz w:val="24"/>
          <w:szCs w:val="24"/>
        </w:rPr>
        <w:t>距扩大最根本的原因在所有制结构的变化，</w:t>
      </w:r>
      <w:r>
        <w:rPr>
          <w:rFonts w:hint="default" w:ascii="Times New Roman" w:hAnsi="Times New Roman" w:eastAsia="宋体" w:cs="Times New Roman"/>
          <w:color w:val="231F20"/>
          <w:spacing w:val="16"/>
          <w:sz w:val="24"/>
          <w:szCs w:val="24"/>
        </w:rPr>
        <w:t>已对公有制的主体地位发生深刻的影响。还</w:t>
      </w:r>
      <w:r>
        <w:rPr>
          <w:rFonts w:hint="default" w:ascii="Times New Roman" w:hAnsi="Times New Roman" w:eastAsia="宋体" w:cs="Times New Roman"/>
          <w:color w:val="231F20"/>
          <w:spacing w:val="18"/>
          <w:sz w:val="24"/>
          <w:szCs w:val="24"/>
        </w:rPr>
        <w:t>需要从基本生产关系，从基本经济制度来接触这一问题，才能最终地阻止向两极分化推</w:t>
      </w:r>
      <w:r>
        <w:rPr>
          <w:rFonts w:hint="default" w:ascii="Times New Roman" w:hAnsi="Times New Roman" w:eastAsia="宋体" w:cs="Times New Roman"/>
          <w:color w:val="231F20"/>
          <w:spacing w:val="-10"/>
          <w:w w:val="94"/>
          <w:position w:val="-1"/>
          <w:sz w:val="24"/>
          <w:szCs w:val="24"/>
        </w:rPr>
        <w:t>进趋势。”</w:t>
      </w:r>
      <w:r>
        <w:rPr>
          <w:rFonts w:hint="default" w:ascii="Times New Roman" w:hAnsi="Times New Roman" w:eastAsia="宋体" w:cs="Times New Roman"/>
          <w:color w:val="231F20"/>
          <w:spacing w:val="-10"/>
          <w:w w:val="94"/>
          <w:position w:val="-1"/>
          <w:sz w:val="24"/>
          <w:szCs w:val="24"/>
          <w:vertAlign w:val="superscript"/>
          <w:lang w:val="en-US"/>
        </w:rPr>
        <w:fldChar w:fldCharType="begin"/>
      </w:r>
      <w:r>
        <w:rPr>
          <w:rFonts w:hint="default" w:ascii="Times New Roman" w:hAnsi="Times New Roman" w:eastAsia="宋体" w:cs="Times New Roman"/>
          <w:color w:val="231F20"/>
          <w:spacing w:val="-10"/>
          <w:w w:val="94"/>
          <w:position w:val="-1"/>
          <w:sz w:val="24"/>
          <w:szCs w:val="24"/>
          <w:vertAlign w:val="superscript"/>
          <w:lang w:val="en-US"/>
        </w:rPr>
        <w:instrText xml:space="preserve"> REF _Ref4460 \r \h </w:instrText>
      </w:r>
      <w:r>
        <w:rPr>
          <w:rFonts w:hint="default" w:ascii="Times New Roman" w:hAnsi="Times New Roman" w:eastAsia="宋体" w:cs="Times New Roman"/>
          <w:color w:val="231F20"/>
          <w:spacing w:val="-10"/>
          <w:w w:val="94"/>
          <w:position w:val="-1"/>
          <w:sz w:val="24"/>
          <w:szCs w:val="24"/>
          <w:vertAlign w:val="superscript"/>
          <w:lang w:val="en-US"/>
        </w:rPr>
        <w:fldChar w:fldCharType="separate"/>
      </w:r>
      <w:r>
        <w:rPr>
          <w:rFonts w:hint="default" w:ascii="Times New Roman" w:hAnsi="Times New Roman" w:eastAsia="宋体" w:cs="Times New Roman"/>
          <w:color w:val="231F20"/>
          <w:spacing w:val="-10"/>
          <w:w w:val="94"/>
          <w:position w:val="-1"/>
          <w:sz w:val="24"/>
          <w:szCs w:val="24"/>
          <w:vertAlign w:val="superscript"/>
          <w:lang w:val="en-US"/>
        </w:rPr>
        <w:t>[15]</w:t>
      </w:r>
      <w:r>
        <w:rPr>
          <w:rFonts w:hint="default" w:ascii="Times New Roman" w:hAnsi="Times New Roman" w:eastAsia="宋体" w:cs="Times New Roman"/>
          <w:color w:val="231F20"/>
          <w:spacing w:val="-10"/>
          <w:w w:val="94"/>
          <w:position w:val="-1"/>
          <w:sz w:val="24"/>
          <w:szCs w:val="24"/>
          <w:vertAlign w:val="superscript"/>
          <w:lang w:val="en-US"/>
        </w:rPr>
        <w:fldChar w:fldCharType="end"/>
      </w:r>
    </w:p>
    <w:p w14:paraId="321669F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党的二十大报告指出，中国式现代化是全</w:t>
      </w:r>
      <w:r>
        <w:rPr>
          <w:rFonts w:hint="default" w:ascii="Times New Roman" w:hAnsi="Times New Roman" w:eastAsia="宋体" w:cs="Times New Roman"/>
          <w:color w:val="231F20"/>
          <w:spacing w:val="16"/>
          <w:sz w:val="24"/>
          <w:szCs w:val="24"/>
        </w:rPr>
        <w:t>体人民共同富裕的现代化。如何不断完善社</w:t>
      </w:r>
      <w:r>
        <w:rPr>
          <w:rFonts w:hint="default" w:ascii="Times New Roman" w:hAnsi="Times New Roman" w:eastAsia="宋体" w:cs="Times New Roman"/>
          <w:color w:val="231F20"/>
          <w:spacing w:val="18"/>
          <w:sz w:val="24"/>
          <w:szCs w:val="24"/>
        </w:rPr>
        <w:t>会主义市场经济体制从而为共同富裕提供更</w:t>
      </w:r>
      <w:r>
        <w:rPr>
          <w:rFonts w:hint="default" w:ascii="Times New Roman" w:hAnsi="Times New Roman" w:eastAsia="宋体" w:cs="Times New Roman"/>
          <w:color w:val="231F20"/>
          <w:spacing w:val="6"/>
          <w:sz w:val="24"/>
          <w:szCs w:val="24"/>
        </w:rPr>
        <w:t>多实践空间？列宁提出的合作制战略构想，可</w:t>
      </w:r>
      <w:r>
        <w:rPr>
          <w:rFonts w:hint="default" w:ascii="Times New Roman" w:hAnsi="Times New Roman" w:eastAsia="宋体" w:cs="Times New Roman"/>
          <w:color w:val="231F20"/>
          <w:spacing w:val="18"/>
          <w:sz w:val="24"/>
          <w:szCs w:val="24"/>
        </w:rPr>
        <w:t>以为在市场经济条件下推进共同富裕丰富和</w:t>
      </w:r>
      <w:r>
        <w:rPr>
          <w:rFonts w:hint="default" w:ascii="Times New Roman" w:hAnsi="Times New Roman" w:eastAsia="宋体" w:cs="Times New Roman"/>
          <w:color w:val="231F20"/>
          <w:spacing w:val="8"/>
          <w:sz w:val="24"/>
          <w:szCs w:val="24"/>
        </w:rPr>
        <w:t>拓展新的探索路径。</w:t>
      </w:r>
    </w:p>
    <w:p w14:paraId="5090F32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color w:val="231F20"/>
          <w:spacing w:val="7"/>
          <w:sz w:val="24"/>
          <w:szCs w:val="24"/>
          <w:lang w:eastAsia="zh-CN"/>
        </w:rPr>
      </w:pPr>
      <w:r>
        <w:rPr>
          <w:rFonts w:hint="default" w:ascii="Times New Roman" w:hAnsi="Times New Roman" w:eastAsia="宋体" w:cs="Times New Roman"/>
          <w:color w:val="231F20"/>
          <w:spacing w:val="7"/>
          <w:sz w:val="24"/>
          <w:szCs w:val="24"/>
        </w:rPr>
        <w:t>合作经济、股份合作经济、集体经济有利</w:t>
      </w:r>
      <w:r>
        <w:rPr>
          <w:rFonts w:hint="default" w:ascii="Times New Roman" w:hAnsi="Times New Roman" w:eastAsia="宋体" w:cs="Times New Roman"/>
          <w:color w:val="231F20"/>
          <w:spacing w:val="6"/>
          <w:sz w:val="24"/>
          <w:szCs w:val="24"/>
        </w:rPr>
        <w:t>于推动劳动者的劳动联合、资本联合。积极探</w:t>
      </w:r>
      <w:r>
        <w:rPr>
          <w:rFonts w:hint="default" w:ascii="Times New Roman" w:hAnsi="Times New Roman" w:eastAsia="宋体" w:cs="Times New Roman"/>
          <w:color w:val="231F20"/>
          <w:spacing w:val="7"/>
          <w:sz w:val="24"/>
          <w:szCs w:val="24"/>
        </w:rPr>
        <w:t>索合作经济、新型集体经济的发展，可以在国有经济的思路之外另辟蹊径，既有利于充分利用市场经济机制发财致富，又有利于鼓励引导集体主义和社会主义价值观，嫁接不同形态的</w:t>
      </w:r>
      <w:r>
        <w:rPr>
          <w:rFonts w:hint="default" w:ascii="Times New Roman" w:hAnsi="Times New Roman" w:eastAsia="宋体" w:cs="Times New Roman"/>
          <w:color w:val="231F20"/>
          <w:spacing w:val="6"/>
          <w:sz w:val="24"/>
          <w:szCs w:val="24"/>
        </w:rPr>
        <w:t>所有制结构，是一举两得之举。党的二十大报</w:t>
      </w:r>
      <w:r>
        <w:rPr>
          <w:rFonts w:hint="default" w:ascii="Times New Roman" w:hAnsi="Times New Roman" w:eastAsia="宋体" w:cs="Times New Roman"/>
          <w:color w:val="231F20"/>
          <w:spacing w:val="18"/>
          <w:sz w:val="24"/>
          <w:szCs w:val="24"/>
        </w:rPr>
        <w:t>告强调了在新形势下要进一步探索新型农村</w:t>
      </w:r>
      <w:r>
        <w:rPr>
          <w:rFonts w:hint="default" w:ascii="Times New Roman" w:hAnsi="Times New Roman" w:eastAsia="宋体" w:cs="Times New Roman"/>
          <w:color w:val="231F20"/>
          <w:spacing w:val="6"/>
          <w:sz w:val="24"/>
          <w:szCs w:val="24"/>
        </w:rPr>
        <w:t>集体经济的重要思路。例如，现实中以劳动联</w:t>
      </w:r>
      <w:r>
        <w:rPr>
          <w:rFonts w:hint="default" w:ascii="Times New Roman" w:hAnsi="Times New Roman" w:eastAsia="宋体" w:cs="Times New Roman"/>
          <w:color w:val="231F20"/>
          <w:spacing w:val="7"/>
          <w:sz w:val="24"/>
          <w:szCs w:val="24"/>
        </w:rPr>
        <w:t>合为主的股份合作制，就对实现农民群众共同</w:t>
      </w:r>
      <w:r>
        <w:rPr>
          <w:rFonts w:hint="default" w:ascii="Times New Roman" w:hAnsi="Times New Roman" w:eastAsia="宋体" w:cs="Times New Roman"/>
          <w:color w:val="231F20"/>
          <w:spacing w:val="16"/>
          <w:sz w:val="24"/>
          <w:szCs w:val="24"/>
        </w:rPr>
        <w:t>富裕具有积极意义。在城乡稳步推进共同富</w:t>
      </w:r>
      <w:r>
        <w:rPr>
          <w:rFonts w:hint="default" w:ascii="Times New Roman" w:hAnsi="Times New Roman" w:eastAsia="宋体" w:cs="Times New Roman"/>
          <w:color w:val="231F20"/>
          <w:spacing w:val="7"/>
          <w:sz w:val="24"/>
          <w:szCs w:val="24"/>
        </w:rPr>
        <w:t>裕的征程中，对于劳动者以劳动联合为主并结合资本联合的各种股份合作制经济，尤其应该提倡和鼓励</w:t>
      </w:r>
      <w:r>
        <w:rPr>
          <w:rFonts w:hint="default" w:ascii="Times New Roman" w:hAnsi="Times New Roman" w:eastAsia="宋体" w:cs="Times New Roman"/>
          <w:color w:val="231F20"/>
          <w:spacing w:val="7"/>
          <w:sz w:val="24"/>
          <w:szCs w:val="24"/>
          <w:lang w:eastAsia="zh-CN"/>
        </w:rPr>
        <w:t>。</w:t>
      </w:r>
    </w:p>
    <w:p w14:paraId="5BBC4CD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color w:val="231F20"/>
          <w:spacing w:val="7"/>
          <w:sz w:val="24"/>
          <w:szCs w:val="24"/>
          <w:lang w:eastAsia="zh-CN"/>
        </w:rPr>
      </w:pPr>
    </w:p>
    <w:p w14:paraId="0AAAF31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6" w:firstLineChars="200"/>
        <w:jc w:val="both"/>
        <w:textAlignment w:val="baseline"/>
        <w:rPr>
          <w:rFonts w:hint="default" w:ascii="Times New Roman" w:hAnsi="Times New Roman" w:eastAsia="宋体" w:cs="Times New Roman"/>
          <w:sz w:val="24"/>
          <w:szCs w:val="24"/>
          <w:lang w:eastAsia="zh-CN"/>
        </w:rPr>
      </w:pPr>
      <w:r>
        <w:rPr>
          <w:rFonts w:hint="default" w:ascii="Times New Roman" w:hAnsi="Times New Roman" w:eastAsia="宋体" w:cs="Times New Roman"/>
          <w:color w:val="231F20"/>
          <w:spacing w:val="19"/>
          <w:sz w:val="24"/>
          <w:szCs w:val="24"/>
        </w:rPr>
        <w:t>总之，列宁晚年的合作制战略构想及其</w:t>
      </w:r>
      <w:r>
        <w:rPr>
          <w:rFonts w:hint="default" w:ascii="Times New Roman" w:hAnsi="Times New Roman" w:eastAsia="宋体" w:cs="Times New Roman"/>
          <w:color w:val="231F20"/>
          <w:spacing w:val="10"/>
          <w:sz w:val="24"/>
          <w:szCs w:val="24"/>
        </w:rPr>
        <w:t>创新思路，内涵十分丰富，启示是多方面的，</w:t>
      </w:r>
      <w:r>
        <w:rPr>
          <w:rFonts w:hint="default" w:ascii="Times New Roman" w:hAnsi="Times New Roman" w:eastAsia="宋体" w:cs="Times New Roman"/>
          <w:color w:val="231F20"/>
          <w:spacing w:val="18"/>
          <w:sz w:val="24"/>
          <w:szCs w:val="24"/>
        </w:rPr>
        <w:t>是列宁留给各国共产党人的一笔珍贵思想遗</w:t>
      </w:r>
      <w:r>
        <w:rPr>
          <w:rFonts w:hint="default" w:ascii="Times New Roman" w:hAnsi="Times New Roman" w:eastAsia="宋体" w:cs="Times New Roman"/>
          <w:color w:val="231F20"/>
          <w:spacing w:val="16"/>
          <w:sz w:val="24"/>
          <w:szCs w:val="24"/>
        </w:rPr>
        <w:t>产。在列宁逝世一百周年的今天，其思想仍</w:t>
      </w:r>
      <w:r>
        <w:rPr>
          <w:rFonts w:hint="default" w:ascii="Times New Roman" w:hAnsi="Times New Roman" w:eastAsia="宋体" w:cs="Times New Roman"/>
          <w:color w:val="231F20"/>
          <w:spacing w:val="18"/>
          <w:sz w:val="24"/>
          <w:szCs w:val="24"/>
        </w:rPr>
        <w:t>闪烁着耀眼的真理光芒，值得我们从中汲取</w:t>
      </w:r>
      <w:r>
        <w:rPr>
          <w:rFonts w:hint="default" w:ascii="Times New Roman" w:hAnsi="Times New Roman" w:eastAsia="宋体" w:cs="Times New Roman"/>
          <w:color w:val="231F20"/>
          <w:spacing w:val="7"/>
          <w:sz w:val="24"/>
          <w:szCs w:val="24"/>
        </w:rPr>
        <w:t>智慧和力量，并结合时代特征、本国国情和民族文化，在实事求是的基础上参照运用，为进</w:t>
      </w:r>
      <w:r>
        <w:rPr>
          <w:rFonts w:hint="default" w:ascii="Times New Roman" w:hAnsi="Times New Roman" w:eastAsia="宋体" w:cs="Times New Roman"/>
          <w:color w:val="231F20"/>
          <w:spacing w:val="18"/>
          <w:sz w:val="24"/>
          <w:szCs w:val="24"/>
        </w:rPr>
        <w:t>一步推进马克思主义中国化时代化和中国特色社会主义伟大事业提供不竭精神动力和有</w:t>
      </w:r>
      <w:r>
        <w:rPr>
          <w:rFonts w:hint="default" w:ascii="Times New Roman" w:hAnsi="Times New Roman" w:eastAsia="宋体" w:cs="Times New Roman"/>
          <w:color w:val="231F20"/>
          <w:spacing w:val="10"/>
          <w:sz w:val="24"/>
          <w:szCs w:val="24"/>
        </w:rPr>
        <w:t>益思想资源</w:t>
      </w:r>
      <w:r>
        <w:rPr>
          <w:rFonts w:hint="default" w:ascii="Times New Roman" w:hAnsi="Times New Roman" w:eastAsia="宋体" w:cs="Times New Roman"/>
          <w:color w:val="231F20"/>
          <w:spacing w:val="10"/>
          <w:sz w:val="24"/>
          <w:szCs w:val="24"/>
          <w:lang w:eastAsia="zh-CN"/>
        </w:rPr>
        <w:t>。</w:t>
      </w:r>
    </w:p>
    <w:p w14:paraId="2E48A4B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3469D4A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[参考文献]</w:t>
      </w:r>
    </w:p>
    <w:p w14:paraId="2740A1D6">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default" w:ascii="Times New Roman" w:hAnsi="Times New Roman" w:eastAsia="宋体" w:cs="Times New Roman"/>
          <w:sz w:val="24"/>
          <w:szCs w:val="24"/>
        </w:rPr>
      </w:pPr>
      <w:bookmarkStart w:id="582" w:name="_Ref28953"/>
      <w:r>
        <w:rPr>
          <w:rFonts w:hint="default" w:ascii="Times New Roman" w:hAnsi="Times New Roman" w:eastAsia="宋体" w:cs="Times New Roman"/>
          <w:color w:val="231F20"/>
          <w:spacing w:val="-1"/>
          <w:sz w:val="24"/>
          <w:szCs w:val="24"/>
        </w:rPr>
        <w:t>邓小平文选(第3卷)[M].北京：人民</w:t>
      </w:r>
      <w:r>
        <w:rPr>
          <w:rFonts w:hint="default" w:ascii="Times New Roman" w:hAnsi="Times New Roman" w:eastAsia="宋体" w:cs="Times New Roman"/>
          <w:color w:val="231F20"/>
          <w:spacing w:val="-2"/>
          <w:sz w:val="24"/>
          <w:szCs w:val="24"/>
        </w:rPr>
        <w:t>出版社，2001.</w:t>
      </w:r>
      <w:bookmarkEnd w:id="582"/>
    </w:p>
    <w:p w14:paraId="01AF8178">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default" w:ascii="Times New Roman" w:hAnsi="Times New Roman" w:eastAsia="宋体" w:cs="Times New Roman"/>
          <w:sz w:val="24"/>
          <w:szCs w:val="24"/>
        </w:rPr>
      </w:pPr>
      <w:bookmarkStart w:id="583" w:name="_Ref29659"/>
      <w:r>
        <w:rPr>
          <w:rFonts w:hint="default" w:ascii="Times New Roman" w:hAnsi="Times New Roman" w:eastAsia="宋体" w:cs="Times New Roman"/>
          <w:color w:val="231F20"/>
          <w:sz w:val="24"/>
          <w:szCs w:val="24"/>
        </w:rPr>
        <w:t>马克思恩格斯选集(第2卷)[M].北京：</w:t>
      </w:r>
      <w:r>
        <w:rPr>
          <w:rFonts w:hint="default" w:ascii="Times New Roman" w:hAnsi="Times New Roman" w:eastAsia="宋体" w:cs="Times New Roman"/>
          <w:color w:val="231F20"/>
          <w:spacing w:val="-1"/>
          <w:sz w:val="24"/>
          <w:szCs w:val="24"/>
        </w:rPr>
        <w:t>人民出版社，2012.</w:t>
      </w:r>
      <w:bookmarkEnd w:id="583"/>
    </w:p>
    <w:p w14:paraId="38FC9AC5">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default" w:ascii="Times New Roman" w:hAnsi="Times New Roman" w:eastAsia="宋体" w:cs="Times New Roman"/>
          <w:sz w:val="24"/>
          <w:szCs w:val="24"/>
        </w:rPr>
      </w:pPr>
      <w:bookmarkStart w:id="584" w:name="_Ref29678"/>
      <w:r>
        <w:rPr>
          <w:rFonts w:hint="default" w:ascii="Times New Roman" w:hAnsi="Times New Roman" w:eastAsia="宋体" w:cs="Times New Roman"/>
          <w:color w:val="231F20"/>
          <w:sz w:val="24"/>
          <w:szCs w:val="24"/>
        </w:rPr>
        <w:t>马克思恩格斯选集(第3卷)[M].北</w:t>
      </w:r>
      <w:r>
        <w:rPr>
          <w:rFonts w:hint="default" w:ascii="Times New Roman" w:hAnsi="Times New Roman" w:eastAsia="宋体" w:cs="Times New Roman"/>
          <w:color w:val="231F20"/>
          <w:spacing w:val="-1"/>
          <w:sz w:val="24"/>
          <w:szCs w:val="24"/>
        </w:rPr>
        <w:t>京：人民出版社，2012.</w:t>
      </w:r>
      <w:bookmarkEnd w:id="584"/>
    </w:p>
    <w:p w14:paraId="52623BEB">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default" w:ascii="Times New Roman" w:hAnsi="Times New Roman" w:eastAsia="宋体" w:cs="Times New Roman"/>
          <w:sz w:val="24"/>
          <w:szCs w:val="24"/>
        </w:rPr>
      </w:pPr>
      <w:bookmarkStart w:id="585" w:name="_Ref30697"/>
      <w:r>
        <w:rPr>
          <w:rFonts w:hint="default" w:ascii="Times New Roman" w:hAnsi="Times New Roman" w:eastAsia="宋体" w:cs="Times New Roman"/>
          <w:color w:val="231F20"/>
          <w:spacing w:val="-2"/>
          <w:sz w:val="24"/>
          <w:szCs w:val="24"/>
        </w:rPr>
        <w:t>列宁全集(第34卷)[M].北京：人民出版社，1985.</w:t>
      </w:r>
      <w:bookmarkEnd w:id="585"/>
    </w:p>
    <w:p w14:paraId="3C441598">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default" w:ascii="Times New Roman" w:hAnsi="Times New Roman" w:eastAsia="宋体" w:cs="Times New Roman"/>
          <w:sz w:val="24"/>
          <w:szCs w:val="24"/>
        </w:rPr>
      </w:pPr>
      <w:bookmarkStart w:id="586" w:name="_Ref30867"/>
      <w:r>
        <w:rPr>
          <w:rFonts w:hint="default" w:ascii="Times New Roman" w:hAnsi="Times New Roman" w:eastAsia="宋体" w:cs="Times New Roman"/>
          <w:color w:val="231F20"/>
          <w:spacing w:val="-2"/>
          <w:sz w:val="24"/>
          <w:szCs w:val="24"/>
        </w:rPr>
        <w:t>列宁全集(第40卷)[M].北京：人民出版社，2017.</w:t>
      </w:r>
      <w:bookmarkEnd w:id="586"/>
    </w:p>
    <w:p w14:paraId="3B49A1EE">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default" w:ascii="Times New Roman" w:hAnsi="Times New Roman" w:eastAsia="宋体" w:cs="Times New Roman"/>
          <w:sz w:val="24"/>
          <w:szCs w:val="24"/>
        </w:rPr>
      </w:pPr>
      <w:bookmarkStart w:id="587" w:name="_Ref30893"/>
      <w:r>
        <w:rPr>
          <w:rFonts w:hint="default" w:ascii="Times New Roman" w:hAnsi="Times New Roman" w:eastAsia="宋体" w:cs="Times New Roman"/>
          <w:color w:val="231F20"/>
          <w:spacing w:val="-2"/>
          <w:sz w:val="24"/>
          <w:szCs w:val="24"/>
        </w:rPr>
        <w:t>列宁全集(第42卷)[M].北京：人民出版社，2017.</w:t>
      </w:r>
      <w:bookmarkEnd w:id="587"/>
    </w:p>
    <w:p w14:paraId="127947B3">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88" w:firstLineChars="200"/>
        <w:jc w:val="both"/>
        <w:textAlignment w:val="baseline"/>
        <w:rPr>
          <w:rFonts w:hint="default" w:ascii="Times New Roman" w:hAnsi="Times New Roman" w:eastAsia="宋体" w:cs="Times New Roman"/>
          <w:sz w:val="24"/>
          <w:szCs w:val="24"/>
        </w:rPr>
      </w:pPr>
      <w:bookmarkStart w:id="588" w:name="_Ref30922"/>
      <w:r>
        <w:rPr>
          <w:rFonts w:hint="default" w:ascii="Times New Roman" w:hAnsi="Times New Roman" w:eastAsia="宋体" w:cs="Times New Roman"/>
          <w:color w:val="231F20"/>
          <w:spacing w:val="2"/>
          <w:sz w:val="24"/>
          <w:szCs w:val="24"/>
        </w:rPr>
        <w:t>列宁专题文集·论社会主义[M].北京：人民出版社，2009.</w:t>
      </w:r>
      <w:bookmarkEnd w:id="588"/>
    </w:p>
    <w:p w14:paraId="23C8D910">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80" w:firstLineChars="200"/>
        <w:jc w:val="both"/>
        <w:textAlignment w:val="baseline"/>
        <w:rPr>
          <w:rFonts w:hint="default" w:ascii="Times New Roman" w:hAnsi="Times New Roman" w:eastAsia="宋体" w:cs="Times New Roman"/>
          <w:sz w:val="24"/>
          <w:szCs w:val="24"/>
        </w:rPr>
      </w:pPr>
      <w:bookmarkStart w:id="589" w:name="_Ref31553"/>
      <w:r>
        <w:rPr>
          <w:rFonts w:hint="default" w:ascii="Times New Roman" w:hAnsi="Times New Roman" w:eastAsia="宋体" w:cs="Times New Roman"/>
          <w:color w:val="231F20"/>
          <w:sz w:val="24"/>
          <w:szCs w:val="24"/>
        </w:rPr>
        <w:t>郑异凡.新经济政策的俄国[M].北京：人民出版社，2013.</w:t>
      </w:r>
      <w:bookmarkEnd w:id="589"/>
    </w:p>
    <w:p w14:paraId="607C48B2">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76" w:firstLineChars="200"/>
        <w:jc w:val="both"/>
        <w:textAlignment w:val="baseline"/>
        <w:rPr>
          <w:rFonts w:hint="default" w:ascii="Times New Roman" w:hAnsi="Times New Roman" w:eastAsia="宋体" w:cs="Times New Roman"/>
          <w:sz w:val="24"/>
          <w:szCs w:val="24"/>
        </w:rPr>
      </w:pPr>
      <w:bookmarkStart w:id="590" w:name="_Ref32111"/>
      <w:r>
        <w:rPr>
          <w:rFonts w:hint="default" w:ascii="Times New Roman" w:hAnsi="Times New Roman" w:eastAsia="宋体" w:cs="Times New Roman"/>
          <w:color w:val="231F20"/>
          <w:spacing w:val="-1"/>
          <w:sz w:val="24"/>
          <w:szCs w:val="24"/>
        </w:rPr>
        <w:t>布哈林文选[M].北京：人民出版</w:t>
      </w:r>
      <w:r>
        <w:rPr>
          <w:rFonts w:hint="default" w:ascii="Times New Roman" w:hAnsi="Times New Roman" w:eastAsia="宋体" w:cs="Times New Roman"/>
          <w:color w:val="231F20"/>
          <w:spacing w:val="-2"/>
          <w:sz w:val="24"/>
          <w:szCs w:val="24"/>
        </w:rPr>
        <w:t>社，2014.</w:t>
      </w:r>
      <w:bookmarkEnd w:id="590"/>
    </w:p>
    <w:p w14:paraId="2818AAF5">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472" w:firstLineChars="200"/>
        <w:jc w:val="both"/>
        <w:textAlignment w:val="baseline"/>
        <w:rPr>
          <w:rFonts w:hint="default" w:ascii="Times New Roman" w:hAnsi="Times New Roman" w:eastAsia="宋体" w:cs="Times New Roman"/>
          <w:sz w:val="24"/>
          <w:szCs w:val="24"/>
        </w:rPr>
      </w:pPr>
      <w:bookmarkStart w:id="591" w:name="_Ref13"/>
      <w:r>
        <w:rPr>
          <w:rFonts w:hint="default" w:ascii="Times New Roman" w:hAnsi="Times New Roman" w:eastAsia="宋体" w:cs="Times New Roman"/>
          <w:color w:val="231F20"/>
          <w:spacing w:val="-2"/>
          <w:sz w:val="24"/>
          <w:szCs w:val="24"/>
        </w:rPr>
        <w:t>列宁选集(第4卷)[M].北京：人民出版社，2012.</w:t>
      </w:r>
      <w:bookmarkEnd w:id="591"/>
    </w:p>
    <w:p w14:paraId="3E503E18">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524" w:firstLineChars="200"/>
        <w:jc w:val="both"/>
        <w:textAlignment w:val="baseline"/>
        <w:rPr>
          <w:rFonts w:hint="default" w:ascii="Times New Roman" w:hAnsi="Times New Roman" w:eastAsia="宋体" w:cs="Times New Roman"/>
          <w:sz w:val="24"/>
          <w:szCs w:val="24"/>
        </w:rPr>
      </w:pPr>
      <w:bookmarkStart w:id="592" w:name="_Ref189"/>
      <w:r>
        <w:rPr>
          <w:rFonts w:hint="default" w:ascii="Times New Roman" w:hAnsi="Times New Roman" w:eastAsia="宋体" w:cs="Times New Roman"/>
          <w:color w:val="231F20"/>
          <w:spacing w:val="11"/>
          <w:sz w:val="24"/>
          <w:szCs w:val="24"/>
        </w:rPr>
        <w:t>王丽华主编.历史性突破——俄罗斯学者论新经济政策</w:t>
      </w:r>
      <w:r>
        <w:rPr>
          <w:rFonts w:hint="default" w:ascii="Times New Roman" w:hAnsi="Times New Roman" w:eastAsia="宋体" w:cs="Times New Roman"/>
          <w:color w:val="231F20"/>
          <w:spacing w:val="-5"/>
          <w:sz w:val="24"/>
          <w:szCs w:val="24"/>
        </w:rPr>
        <w:t>[M].北京：人民出版社，2005.</w:t>
      </w:r>
      <w:bookmarkEnd w:id="592"/>
    </w:p>
    <w:p w14:paraId="4942CB43">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512" w:firstLineChars="200"/>
        <w:jc w:val="both"/>
        <w:textAlignment w:val="baseline"/>
        <w:rPr>
          <w:rFonts w:hint="default" w:ascii="Times New Roman" w:hAnsi="Times New Roman" w:eastAsia="宋体" w:cs="Times New Roman"/>
          <w:sz w:val="24"/>
          <w:szCs w:val="24"/>
        </w:rPr>
      </w:pPr>
      <w:bookmarkStart w:id="593" w:name="_Ref372"/>
      <w:r>
        <w:rPr>
          <w:rFonts w:hint="default" w:ascii="Times New Roman" w:hAnsi="Times New Roman" w:eastAsia="宋体" w:cs="Times New Roman"/>
          <w:color w:val="231F20"/>
          <w:spacing w:val="8"/>
          <w:sz w:val="24"/>
          <w:szCs w:val="24"/>
        </w:rPr>
        <w:t>苑秀丽.列宁社会主义观的当代解读[M].</w:t>
      </w:r>
      <w:r>
        <w:rPr>
          <w:rFonts w:hint="default" w:ascii="Times New Roman" w:hAnsi="Times New Roman" w:eastAsia="宋体" w:cs="Times New Roman"/>
          <w:color w:val="231F20"/>
          <w:spacing w:val="7"/>
          <w:sz w:val="24"/>
          <w:szCs w:val="24"/>
        </w:rPr>
        <w:t>北京：中国社会</w:t>
      </w:r>
      <w:r>
        <w:rPr>
          <w:rFonts w:hint="default" w:ascii="Times New Roman" w:hAnsi="Times New Roman" w:eastAsia="宋体" w:cs="Times New Roman"/>
          <w:color w:val="231F20"/>
          <w:spacing w:val="-4"/>
          <w:sz w:val="24"/>
          <w:szCs w:val="24"/>
        </w:rPr>
        <w:t>科学出版社，2016.</w:t>
      </w:r>
      <w:bookmarkEnd w:id="593"/>
    </w:p>
    <w:p w14:paraId="38D956FD">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524" w:firstLineChars="200"/>
        <w:jc w:val="both"/>
        <w:textAlignment w:val="baseline"/>
        <w:rPr>
          <w:rFonts w:hint="default" w:ascii="Times New Roman" w:hAnsi="Times New Roman" w:eastAsia="宋体" w:cs="Times New Roman"/>
          <w:sz w:val="24"/>
          <w:szCs w:val="24"/>
        </w:rPr>
      </w:pPr>
      <w:bookmarkStart w:id="594" w:name="_Ref3921"/>
      <w:r>
        <w:rPr>
          <w:rFonts w:hint="default" w:ascii="Times New Roman" w:hAnsi="Times New Roman" w:eastAsia="宋体" w:cs="Times New Roman"/>
          <w:color w:val="231F20"/>
          <w:spacing w:val="11"/>
          <w:sz w:val="24"/>
          <w:szCs w:val="24"/>
        </w:rPr>
        <w:t>中共中央文献编辑委员会编.习近平著作选读(第1卷)</w:t>
      </w:r>
      <w:r>
        <w:rPr>
          <w:rFonts w:hint="default" w:ascii="Times New Roman" w:hAnsi="Times New Roman" w:eastAsia="宋体" w:cs="Times New Roman"/>
          <w:color w:val="231F20"/>
          <w:spacing w:val="-5"/>
          <w:sz w:val="24"/>
          <w:szCs w:val="24"/>
        </w:rPr>
        <w:t>[M].北京：人民出版社，2023.</w:t>
      </w:r>
      <w:bookmarkEnd w:id="594"/>
    </w:p>
    <w:p w14:paraId="36F7D78C">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516" w:firstLineChars="200"/>
        <w:jc w:val="both"/>
        <w:textAlignment w:val="baseline"/>
        <w:rPr>
          <w:rFonts w:hint="default" w:ascii="Times New Roman" w:hAnsi="Times New Roman" w:eastAsia="宋体" w:cs="Times New Roman"/>
          <w:sz w:val="24"/>
          <w:szCs w:val="24"/>
        </w:rPr>
      </w:pPr>
      <w:bookmarkStart w:id="595" w:name="_Ref3804"/>
      <w:r>
        <w:rPr>
          <w:rFonts w:hint="default" w:ascii="Times New Roman" w:hAnsi="Times New Roman" w:eastAsia="宋体" w:cs="Times New Roman"/>
          <w:color w:val="231F20"/>
          <w:spacing w:val="9"/>
          <w:sz w:val="24"/>
          <w:szCs w:val="24"/>
        </w:rPr>
        <w:t>本刊评论员：理直气壮做强做优做大国有企业[J].求是，</w:t>
      </w:r>
      <w:r>
        <w:rPr>
          <w:rFonts w:hint="default" w:ascii="Times New Roman" w:hAnsi="Times New Roman" w:eastAsia="宋体" w:cs="Times New Roman"/>
          <w:color w:val="231F20"/>
          <w:spacing w:val="-10"/>
          <w:sz w:val="24"/>
          <w:szCs w:val="24"/>
        </w:rPr>
        <w:t>2016，(18).</w:t>
      </w:r>
      <w:bookmarkEnd w:id="595"/>
    </w:p>
    <w:p w14:paraId="775C8BD5">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508" w:firstLineChars="200"/>
        <w:jc w:val="both"/>
        <w:textAlignment w:val="baseline"/>
        <w:rPr>
          <w:rFonts w:hint="default" w:ascii="Times New Roman" w:hAnsi="Times New Roman" w:eastAsia="宋体" w:cs="Times New Roman"/>
          <w:sz w:val="24"/>
          <w:szCs w:val="24"/>
        </w:rPr>
      </w:pPr>
      <w:bookmarkStart w:id="596" w:name="_Ref4460"/>
      <w:r>
        <w:rPr>
          <w:rFonts w:hint="default" w:ascii="Times New Roman" w:hAnsi="Times New Roman" w:eastAsia="宋体" w:cs="Times New Roman"/>
          <w:color w:val="231F20"/>
          <w:spacing w:val="7"/>
          <w:sz w:val="24"/>
          <w:szCs w:val="24"/>
        </w:rPr>
        <w:t>刘国光.中国政治经济学研究中的若干基本理论([J].政治</w:t>
      </w:r>
      <w:r>
        <w:rPr>
          <w:rFonts w:hint="default" w:ascii="Times New Roman" w:hAnsi="Times New Roman" w:eastAsia="宋体" w:cs="Times New Roman"/>
          <w:color w:val="231F20"/>
          <w:spacing w:val="-9"/>
          <w:sz w:val="24"/>
          <w:szCs w:val="24"/>
        </w:rPr>
        <w:t>经济学研究，2020，(1).</w:t>
      </w:r>
      <w:bookmarkEnd w:id="596"/>
    </w:p>
    <w:p w14:paraId="484C11CD">
      <w:pPr>
        <w:pStyle w:val="6"/>
        <w:keepNext w:val="0"/>
        <w:keepLines w:val="0"/>
        <w:pageBreakBefore w:val="0"/>
        <w:widowControl/>
        <w:numPr>
          <w:ilvl w:val="0"/>
          <w:numId w:val="17"/>
        </w:numPr>
        <w:kinsoku w:val="0"/>
        <w:wordWrap/>
        <w:overflowPunct/>
        <w:topLinePunct w:val="0"/>
        <w:autoSpaceDE w:val="0"/>
        <w:autoSpaceDN w:val="0"/>
        <w:bidi w:val="0"/>
        <w:adjustRightInd w:val="0"/>
        <w:snapToGrid w:val="0"/>
        <w:spacing w:line="400" w:lineRule="exact"/>
        <w:ind w:left="0" w:leftChars="0" w:right="0" w:firstLine="528" w:firstLineChars="200"/>
        <w:jc w:val="both"/>
        <w:textAlignment w:val="baseline"/>
        <w:rPr>
          <w:rFonts w:hint="default" w:ascii="Times New Roman" w:hAnsi="Times New Roman" w:eastAsia="宋体" w:cs="Times New Roman"/>
          <w:sz w:val="24"/>
          <w:szCs w:val="24"/>
          <w:lang w:eastAsia="zh-CN"/>
        </w:rPr>
      </w:pPr>
      <w:bookmarkStart w:id="597" w:name="_Ref32098"/>
      <w:r>
        <w:rPr>
          <w:rFonts w:hint="default" w:ascii="Times New Roman" w:hAnsi="Times New Roman" w:eastAsia="宋体" w:cs="Times New Roman"/>
          <w:color w:val="231F20"/>
          <w:spacing w:val="12"/>
          <w:sz w:val="24"/>
          <w:szCs w:val="24"/>
        </w:rPr>
        <w:t>郑新立.党的十八大以来坚持和完善我国基本经济制度</w:t>
      </w:r>
      <w:r>
        <w:rPr>
          <w:rFonts w:hint="default" w:ascii="Times New Roman" w:hAnsi="Times New Roman" w:eastAsia="宋体" w:cs="Times New Roman"/>
          <w:color w:val="231F20"/>
          <w:spacing w:val="-5"/>
          <w:sz w:val="24"/>
          <w:szCs w:val="24"/>
        </w:rPr>
        <w:t>的理论与实践[J].求是，2017，(12).</w:t>
      </w:r>
      <w:bookmarkEnd w:id="597"/>
    </w:p>
    <w:p w14:paraId="332B60E6">
      <w:pPr>
        <w:pStyle w:val="6"/>
        <w:keepNext w:val="0"/>
        <w:keepLines w:val="0"/>
        <w:pageBreakBefore w:val="0"/>
        <w:widowControl/>
        <w:numPr>
          <w:ilvl w:val="0"/>
          <w:numId w:val="0"/>
        </w:numPr>
        <w:tabs>
          <w:tab w:val="left" w:pos="420"/>
        </w:tabs>
        <w:kinsoku w:val="0"/>
        <w:wordWrap/>
        <w:overflowPunct/>
        <w:topLinePunct w:val="0"/>
        <w:autoSpaceDE w:val="0"/>
        <w:autoSpaceDN w:val="0"/>
        <w:bidi w:val="0"/>
        <w:adjustRightInd w:val="0"/>
        <w:snapToGrid w:val="0"/>
        <w:spacing w:line="400" w:lineRule="exact"/>
        <w:ind w:right="0" w:rightChars="0"/>
        <w:jc w:val="both"/>
        <w:textAlignment w:val="baseline"/>
        <w:rPr>
          <w:rFonts w:hint="default" w:ascii="Times New Roman" w:hAnsi="Times New Roman" w:eastAsia="宋体" w:cs="Times New Roman"/>
          <w:color w:val="231F20"/>
          <w:spacing w:val="-5"/>
          <w:sz w:val="24"/>
          <w:szCs w:val="24"/>
        </w:rPr>
      </w:pPr>
    </w:p>
    <w:p w14:paraId="1714ADD1">
      <w:pPr>
        <w:pStyle w:val="6"/>
        <w:keepNext w:val="0"/>
        <w:keepLines w:val="0"/>
        <w:pageBreakBefore w:val="0"/>
        <w:widowControl/>
        <w:numPr>
          <w:ilvl w:val="0"/>
          <w:numId w:val="0"/>
        </w:numPr>
        <w:tabs>
          <w:tab w:val="left" w:pos="420"/>
        </w:tabs>
        <w:kinsoku w:val="0"/>
        <w:wordWrap/>
        <w:overflowPunct/>
        <w:topLinePunct w:val="0"/>
        <w:autoSpaceDE w:val="0"/>
        <w:autoSpaceDN w:val="0"/>
        <w:bidi w:val="0"/>
        <w:adjustRightInd w:val="0"/>
        <w:snapToGrid w:val="0"/>
        <w:spacing w:line="400" w:lineRule="exact"/>
        <w:ind w:right="0" w:rightChars="0"/>
        <w:jc w:val="both"/>
        <w:textAlignment w:val="baseline"/>
        <w:rPr>
          <w:rFonts w:hint="eastAsia" w:ascii="Times New Roman" w:hAnsi="Times New Roman" w:eastAsia="宋体" w:cs="Times New Roman"/>
          <w:color w:val="231F20"/>
          <w:spacing w:val="-5"/>
          <w:sz w:val="24"/>
          <w:szCs w:val="24"/>
          <w:lang w:eastAsia="zh-CN"/>
        </w:rPr>
      </w:pPr>
      <w:r>
        <w:rPr>
          <w:rFonts w:hint="eastAsia" w:ascii="Times New Roman" w:hAnsi="Times New Roman" w:cs="Times New Roman"/>
          <w:color w:val="231F20"/>
          <w:spacing w:val="-5"/>
          <w:sz w:val="24"/>
          <w:szCs w:val="24"/>
          <w:lang w:eastAsia="zh-CN"/>
        </w:rPr>
        <w:t>（</w:t>
      </w:r>
      <w:r>
        <w:rPr>
          <w:rFonts w:hint="eastAsia" w:ascii="Times New Roman" w:hAnsi="Times New Roman" w:cs="Times New Roman"/>
          <w:color w:val="231F20"/>
          <w:spacing w:val="-5"/>
          <w:sz w:val="24"/>
          <w:szCs w:val="24"/>
          <w:lang w:val="en-US" w:eastAsia="zh-CN"/>
        </w:rPr>
        <w:t>原载《毛泽东邓小平理论研究》2024年第2期，第一作者为戴媛媛。</w:t>
      </w:r>
      <w:r>
        <w:rPr>
          <w:rFonts w:hint="eastAsia" w:ascii="Times New Roman" w:hAnsi="Times New Roman" w:cs="Times New Roman"/>
          <w:color w:val="231F20"/>
          <w:spacing w:val="-5"/>
          <w:sz w:val="24"/>
          <w:szCs w:val="24"/>
          <w:lang w:eastAsia="zh-CN"/>
        </w:rPr>
        <w:t>）</w:t>
      </w:r>
    </w:p>
    <w:p w14:paraId="76996A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5A532AC6">
      <w:pPr>
        <w:pStyle w:val="3"/>
        <w:bidi w:val="0"/>
        <w:rPr>
          <w:rFonts w:hint="eastAsia"/>
        </w:rPr>
      </w:pPr>
      <w:bookmarkStart w:id="598" w:name="_Toc1591608506"/>
      <w:bookmarkStart w:id="599" w:name="_Toc10209"/>
      <w:bookmarkStart w:id="600" w:name="_Toc525445340"/>
      <w:bookmarkStart w:id="601" w:name="_Toc457655360"/>
      <w:bookmarkStart w:id="602" w:name="_Toc899359658"/>
      <w:bookmarkStart w:id="603" w:name="_Toc1220854479"/>
      <w:r>
        <w:rPr>
          <w:rFonts w:hint="eastAsia"/>
          <w:lang w:val="en-US" w:eastAsia="zh-CN"/>
        </w:rPr>
        <w:t>14</w:t>
      </w:r>
      <w:r>
        <w:rPr>
          <w:rFonts w:hint="eastAsia"/>
        </w:rPr>
        <w:t>把握与运用扎实推动共同富裕的五种分配方式</w:t>
      </w:r>
      <w:bookmarkEnd w:id="598"/>
      <w:bookmarkEnd w:id="599"/>
      <w:bookmarkEnd w:id="600"/>
      <w:bookmarkEnd w:id="601"/>
      <w:bookmarkEnd w:id="602"/>
      <w:bookmarkEnd w:id="603"/>
    </w:p>
    <w:p w14:paraId="316BF4C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14C01D3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摘要：扎实推动共同富裕，要全面系统地发挥分</w:t>
      </w:r>
      <w:r>
        <w:rPr>
          <w:rFonts w:hint="eastAsia" w:ascii="宋体" w:hAnsi="宋体" w:eastAsia="宋体" w:cs="宋体"/>
          <w:color w:val="231F20"/>
          <w:spacing w:val="7"/>
          <w:sz w:val="24"/>
          <w:szCs w:val="24"/>
        </w:rPr>
        <w:t>配的功能和作用。在我国现阶段国民收</w:t>
      </w:r>
      <w:r>
        <w:rPr>
          <w:rFonts w:hint="eastAsia" w:ascii="宋体" w:hAnsi="宋体" w:eastAsia="宋体" w:cs="宋体"/>
          <w:color w:val="231F20"/>
          <w:spacing w:val="10"/>
          <w:sz w:val="24"/>
          <w:szCs w:val="24"/>
        </w:rPr>
        <w:t>入分配体系中，广义的基本分配方式主要包括：起</w:t>
      </w:r>
      <w:r>
        <w:rPr>
          <w:rFonts w:hint="eastAsia" w:ascii="宋体" w:hAnsi="宋体" w:eastAsia="宋体" w:cs="宋体"/>
          <w:color w:val="231F20"/>
          <w:spacing w:val="9"/>
          <w:sz w:val="24"/>
          <w:szCs w:val="24"/>
        </w:rPr>
        <w:t>决定作用的“劳主多辅”分配方式、起辅助作用的“国家法策”方式、起调节作用的“物价变动”方式、起胀缩作用的</w:t>
      </w:r>
      <w:r>
        <w:rPr>
          <w:rFonts w:hint="eastAsia" w:ascii="宋体" w:hAnsi="宋体" w:eastAsia="宋体" w:cs="宋体"/>
          <w:color w:val="231F20"/>
          <w:spacing w:val="8"/>
          <w:sz w:val="24"/>
          <w:szCs w:val="24"/>
        </w:rPr>
        <w:t>“资本市</w:t>
      </w:r>
      <w:r>
        <w:rPr>
          <w:rFonts w:hint="eastAsia" w:ascii="宋体" w:hAnsi="宋体" w:eastAsia="宋体" w:cs="宋体"/>
          <w:color w:val="231F20"/>
          <w:spacing w:val="16"/>
          <w:sz w:val="24"/>
          <w:szCs w:val="24"/>
        </w:rPr>
        <w:t>场”方式以及起微补作用的“捐赠穷弱”方式。这五种分配方式的内涵包括通常所说的</w:t>
      </w:r>
      <w:r>
        <w:rPr>
          <w:rFonts w:hint="eastAsia" w:ascii="宋体" w:hAnsi="宋体" w:eastAsia="宋体" w:cs="宋体"/>
          <w:color w:val="231F20"/>
          <w:spacing w:val="6"/>
          <w:sz w:val="24"/>
          <w:szCs w:val="24"/>
        </w:rPr>
        <w:t>“三次分配”，但更加完整客观。在全面建设社会主义现代化国家新征程中，应以政治经济</w:t>
      </w:r>
      <w:r>
        <w:rPr>
          <w:rFonts w:hint="eastAsia" w:ascii="宋体" w:hAnsi="宋体" w:eastAsia="宋体" w:cs="宋体"/>
          <w:color w:val="231F20"/>
          <w:spacing w:val="11"/>
          <w:sz w:val="24"/>
          <w:szCs w:val="24"/>
        </w:rPr>
        <w:t>学的理论创新精神，全方位地认识和阐述分配的各种方</w:t>
      </w:r>
      <w:r>
        <w:rPr>
          <w:rFonts w:hint="eastAsia" w:ascii="宋体" w:hAnsi="宋体" w:eastAsia="宋体" w:cs="宋体"/>
          <w:color w:val="231F20"/>
          <w:spacing w:val="10"/>
          <w:sz w:val="24"/>
          <w:szCs w:val="24"/>
        </w:rPr>
        <w:t>式，扎实地整体推进共同富裕。</w:t>
      </w:r>
    </w:p>
    <w:p w14:paraId="226D021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5"/>
          <w:sz w:val="24"/>
          <w:szCs w:val="24"/>
        </w:rPr>
        <w:t>关键词：共同富裕；分配方式；创新分配理论；马克思主义政治经</w:t>
      </w:r>
      <w:r>
        <w:rPr>
          <w:rFonts w:hint="eastAsia" w:ascii="宋体" w:hAnsi="宋体" w:eastAsia="宋体" w:cs="宋体"/>
          <w:color w:val="231F20"/>
          <w:spacing w:val="4"/>
          <w:sz w:val="24"/>
          <w:szCs w:val="24"/>
        </w:rPr>
        <w:t>济学</w:t>
      </w:r>
    </w:p>
    <w:p w14:paraId="44C7C0C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7615D15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7"/>
          <w:sz w:val="24"/>
          <w:szCs w:val="24"/>
        </w:rPr>
        <w:t>习近平总书记指出，扎实推动共同富裕，“要发挥分配的功能和作用”。在</w:t>
      </w:r>
      <w:r>
        <w:rPr>
          <w:rFonts w:hint="eastAsia" w:ascii="宋体" w:hAnsi="宋体" w:eastAsia="宋体" w:cs="宋体"/>
          <w:color w:val="231F20"/>
          <w:spacing w:val="6"/>
          <w:sz w:val="24"/>
          <w:szCs w:val="24"/>
        </w:rPr>
        <w:t>我国</w:t>
      </w:r>
      <w:r>
        <w:rPr>
          <w:rFonts w:hint="eastAsia" w:ascii="宋体" w:hAnsi="宋体" w:eastAsia="宋体" w:cs="宋体"/>
          <w:color w:val="231F20"/>
          <w:spacing w:val="17"/>
          <w:sz w:val="24"/>
          <w:szCs w:val="24"/>
        </w:rPr>
        <w:t>现阶段国民收入分配体系中，广义的基本分配方式（通常说</w:t>
      </w:r>
      <w:r>
        <w:rPr>
          <w:rFonts w:hint="eastAsia" w:ascii="宋体" w:hAnsi="宋体" w:eastAsia="宋体" w:cs="宋体"/>
          <w:color w:val="231F20"/>
          <w:spacing w:val="16"/>
          <w:sz w:val="24"/>
          <w:szCs w:val="24"/>
        </w:rPr>
        <w:t>的分配原则也是分配方</w:t>
      </w:r>
      <w:r>
        <w:rPr>
          <w:rFonts w:hint="eastAsia" w:ascii="宋体" w:hAnsi="宋体" w:eastAsia="宋体" w:cs="宋体"/>
          <w:color w:val="231F20"/>
          <w:spacing w:val="9"/>
          <w:sz w:val="24"/>
          <w:szCs w:val="24"/>
        </w:rPr>
        <w:t>式）主要包括五种：起决定作用的“劳主多辅”（以按劳分配为主体，多种分配方式</w:t>
      </w:r>
      <w:r>
        <w:rPr>
          <w:rFonts w:hint="eastAsia" w:ascii="宋体" w:hAnsi="宋体" w:eastAsia="宋体" w:cs="宋体"/>
          <w:color w:val="231F20"/>
          <w:spacing w:val="15"/>
          <w:sz w:val="24"/>
          <w:szCs w:val="24"/>
        </w:rPr>
        <w:t>并存）分配方式、起辅助作用的“国家法策”方式、起调节作用的“物价变动”方</w:t>
      </w:r>
      <w:r>
        <w:rPr>
          <w:rFonts w:hint="eastAsia" w:ascii="宋体" w:hAnsi="宋体" w:eastAsia="宋体" w:cs="宋体"/>
          <w:color w:val="231F20"/>
          <w:spacing w:val="12"/>
          <w:sz w:val="24"/>
          <w:szCs w:val="24"/>
        </w:rPr>
        <w:t>式、起胀缩作用的“资本市场”方式以及起微补作用的“捐赠穷弱”方式。这五</w:t>
      </w:r>
      <w:r>
        <w:rPr>
          <w:rFonts w:hint="eastAsia" w:ascii="宋体" w:hAnsi="宋体" w:eastAsia="宋体" w:cs="宋体"/>
          <w:color w:val="231F20"/>
          <w:spacing w:val="11"/>
          <w:sz w:val="24"/>
          <w:szCs w:val="24"/>
        </w:rPr>
        <w:t>种</w:t>
      </w:r>
      <w:r>
        <w:rPr>
          <w:rFonts w:hint="eastAsia" w:ascii="宋体" w:hAnsi="宋体" w:eastAsia="宋体" w:cs="宋体"/>
          <w:color w:val="231F20"/>
          <w:spacing w:val="11"/>
          <w:sz w:val="24"/>
          <w:szCs w:val="24"/>
          <w:lang w:val="en-US" w:eastAsia="zh-CN"/>
        </w:rPr>
        <w:t>分</w:t>
      </w:r>
      <w:r>
        <w:rPr>
          <w:rFonts w:hint="eastAsia" w:ascii="宋体" w:hAnsi="宋体" w:eastAsia="宋体" w:cs="宋体"/>
          <w:color w:val="231F20"/>
          <w:spacing w:val="6"/>
          <w:sz w:val="24"/>
          <w:szCs w:val="24"/>
        </w:rPr>
        <w:t>配方式</w:t>
      </w:r>
      <w:r>
        <w:rPr>
          <w:rStyle w:val="20"/>
          <w:rFonts w:hint="eastAsia" w:ascii="宋体" w:hAnsi="宋体" w:eastAsia="宋体" w:cs="宋体"/>
          <w:color w:val="231F20"/>
          <w:spacing w:val="6"/>
          <w:sz w:val="24"/>
          <w:szCs w:val="24"/>
        </w:rPr>
        <w:footnoteReference w:id="877"/>
      </w:r>
      <w:r>
        <w:rPr>
          <w:rFonts w:hint="eastAsia" w:ascii="宋体" w:hAnsi="宋体" w:eastAsia="宋体" w:cs="宋体"/>
          <w:color w:val="231F20"/>
          <w:spacing w:val="6"/>
          <w:sz w:val="24"/>
          <w:szCs w:val="24"/>
        </w:rPr>
        <w:t>的内涵包括一般所说的“三次分配”，但更加完整客观。其中，除了</w:t>
      </w:r>
      <w:r>
        <w:rPr>
          <w:rFonts w:hint="eastAsia" w:ascii="宋体" w:hAnsi="宋体" w:eastAsia="宋体" w:cs="宋体"/>
          <w:color w:val="231F20"/>
          <w:spacing w:val="5"/>
          <w:sz w:val="24"/>
          <w:szCs w:val="24"/>
        </w:rPr>
        <w:t>“国家法</w:t>
      </w:r>
      <w:r>
        <w:rPr>
          <w:rFonts w:hint="eastAsia" w:ascii="宋体" w:hAnsi="宋体" w:eastAsia="宋体" w:cs="宋体"/>
          <w:color w:val="231F20"/>
          <w:spacing w:val="16"/>
          <w:sz w:val="24"/>
          <w:szCs w:val="24"/>
        </w:rPr>
        <w:t>策”纯属国家调节和分配方式之外，其他四种分配方式主要属于市场行</w:t>
      </w:r>
      <w:r>
        <w:rPr>
          <w:rFonts w:hint="eastAsia" w:ascii="宋体" w:hAnsi="宋体" w:eastAsia="宋体" w:cs="宋体"/>
          <w:color w:val="231F20"/>
          <w:spacing w:val="15"/>
          <w:sz w:val="24"/>
          <w:szCs w:val="24"/>
        </w:rPr>
        <w:t>为和市场调</w:t>
      </w:r>
      <w:r>
        <w:rPr>
          <w:rFonts w:hint="eastAsia" w:ascii="宋体" w:hAnsi="宋体" w:eastAsia="宋体" w:cs="宋体"/>
          <w:color w:val="231F20"/>
          <w:spacing w:val="11"/>
          <w:sz w:val="24"/>
          <w:szCs w:val="24"/>
        </w:rPr>
        <w:t>节，但也包含政府不同程度地参与和治理的行为。这种政府调</w:t>
      </w:r>
      <w:r>
        <w:rPr>
          <w:rFonts w:hint="eastAsia" w:ascii="宋体" w:hAnsi="宋体" w:eastAsia="宋体" w:cs="宋体"/>
          <w:color w:val="231F20"/>
          <w:spacing w:val="10"/>
          <w:sz w:val="24"/>
          <w:szCs w:val="24"/>
        </w:rPr>
        <w:t>节行为属于政府调节手段，总体上均属于政府参与的国民收入分配体系</w:t>
      </w:r>
      <w:r>
        <w:rPr>
          <w:rFonts w:hint="eastAsia" w:ascii="宋体" w:hAnsi="宋体" w:eastAsia="宋体" w:cs="宋体"/>
          <w:color w:val="231F20"/>
          <w:spacing w:val="9"/>
          <w:sz w:val="24"/>
          <w:szCs w:val="24"/>
        </w:rPr>
        <w:t>中的分配方式。因此，全面系统地发</w:t>
      </w:r>
      <w:r>
        <w:rPr>
          <w:rFonts w:hint="eastAsia" w:ascii="宋体" w:hAnsi="宋体" w:eastAsia="宋体" w:cs="宋体"/>
          <w:color w:val="231F20"/>
          <w:spacing w:val="11"/>
          <w:sz w:val="24"/>
          <w:szCs w:val="24"/>
        </w:rPr>
        <w:t>挥分配在扎实推动共同富裕中的功能和作用，有必要系统阐释</w:t>
      </w:r>
      <w:r>
        <w:rPr>
          <w:rFonts w:hint="eastAsia" w:ascii="宋体" w:hAnsi="宋体" w:eastAsia="宋体" w:cs="宋体"/>
          <w:color w:val="231F20"/>
          <w:spacing w:val="10"/>
          <w:sz w:val="24"/>
          <w:szCs w:val="24"/>
        </w:rPr>
        <w:t>五种分配方式发挥作用</w:t>
      </w:r>
      <w:r>
        <w:rPr>
          <w:rFonts w:hint="eastAsia" w:ascii="宋体" w:hAnsi="宋体" w:eastAsia="宋体" w:cs="宋体"/>
          <w:color w:val="231F20"/>
          <w:spacing w:val="9"/>
          <w:sz w:val="24"/>
          <w:szCs w:val="24"/>
        </w:rPr>
        <w:t>的内在机理，并探索运用好五种分配方式来推动共同富裕的实践要义。</w:t>
      </w:r>
    </w:p>
    <w:p w14:paraId="5FCAD92B">
      <w:pPr>
        <w:pStyle w:val="4"/>
        <w:bidi w:val="0"/>
        <w:rPr>
          <w:rFonts w:hint="eastAsia"/>
        </w:rPr>
      </w:pPr>
      <w:r>
        <w:rPr>
          <w:rFonts w:hint="eastAsia"/>
        </w:rPr>
        <w:t>一、起决定作用的“劳主多辅”分配方式</w:t>
      </w:r>
    </w:p>
    <w:p w14:paraId="40FDA26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习近平总书记强调，按劳分配为主体、多种分配方式并存的分配制度“有利于调</w:t>
      </w:r>
      <w:r>
        <w:rPr>
          <w:rFonts w:hint="eastAsia" w:ascii="宋体" w:hAnsi="宋体" w:eastAsia="宋体" w:cs="宋体"/>
          <w:color w:val="231F20"/>
          <w:spacing w:val="6"/>
          <w:sz w:val="24"/>
          <w:szCs w:val="24"/>
        </w:rPr>
        <w:t>动各方面积极性，有利于实现效率和公平有机统一”。</w:t>
      </w:r>
      <w:r>
        <w:rPr>
          <w:rStyle w:val="20"/>
          <w:rFonts w:hint="eastAsia" w:ascii="宋体" w:hAnsi="宋体" w:eastAsia="宋体" w:cs="宋体"/>
          <w:color w:val="231F20"/>
          <w:spacing w:val="6"/>
          <w:sz w:val="24"/>
          <w:szCs w:val="24"/>
        </w:rPr>
        <w:footnoteReference w:id="878"/>
      </w:r>
      <w:r>
        <w:rPr>
          <w:rFonts w:hint="eastAsia" w:ascii="宋体" w:hAnsi="宋体" w:eastAsia="宋体" w:cs="宋体"/>
          <w:color w:val="231F20"/>
          <w:spacing w:val="6"/>
          <w:sz w:val="24"/>
          <w:szCs w:val="24"/>
        </w:rPr>
        <w:t>从国民收入分配层次看，在企</w:t>
      </w:r>
      <w:r>
        <w:rPr>
          <w:rFonts w:hint="eastAsia" w:ascii="宋体" w:hAnsi="宋体" w:eastAsia="宋体" w:cs="宋体"/>
          <w:color w:val="231F20"/>
          <w:spacing w:val="11"/>
          <w:sz w:val="24"/>
          <w:szCs w:val="24"/>
        </w:rPr>
        <w:t>业进行的“第一次分配”体系中，按劳分配为主、多种分配方式</w:t>
      </w:r>
      <w:r>
        <w:rPr>
          <w:rFonts w:hint="eastAsia" w:ascii="宋体" w:hAnsi="宋体" w:eastAsia="宋体" w:cs="宋体"/>
          <w:color w:val="231F20"/>
          <w:spacing w:val="10"/>
          <w:sz w:val="24"/>
          <w:szCs w:val="24"/>
        </w:rPr>
        <w:t>为辅（简称“劳主多</w:t>
      </w:r>
      <w:r>
        <w:rPr>
          <w:rFonts w:hint="eastAsia" w:ascii="宋体" w:hAnsi="宋体" w:eastAsia="宋体" w:cs="宋体"/>
          <w:color w:val="231F20"/>
          <w:spacing w:val="11"/>
          <w:sz w:val="24"/>
          <w:szCs w:val="24"/>
        </w:rPr>
        <w:t>辅”）是我国现阶段生产经营单位内部层次的基本分配方式，在</w:t>
      </w:r>
      <w:r>
        <w:rPr>
          <w:rFonts w:hint="eastAsia" w:ascii="宋体" w:hAnsi="宋体" w:eastAsia="宋体" w:cs="宋体"/>
          <w:color w:val="231F20"/>
          <w:spacing w:val="10"/>
          <w:sz w:val="24"/>
          <w:szCs w:val="24"/>
        </w:rPr>
        <w:t>国民收入分配体系中</w:t>
      </w:r>
      <w:r>
        <w:rPr>
          <w:rFonts w:hint="eastAsia" w:ascii="宋体" w:hAnsi="宋体" w:eastAsia="宋体" w:cs="宋体"/>
          <w:color w:val="231F20"/>
          <w:spacing w:val="11"/>
          <w:sz w:val="24"/>
          <w:szCs w:val="24"/>
        </w:rPr>
        <w:t>起决定性作用。其中，占主体地位的按劳分配制度在扎实推动共</w:t>
      </w:r>
      <w:r>
        <w:rPr>
          <w:rFonts w:hint="eastAsia" w:ascii="宋体" w:hAnsi="宋体" w:eastAsia="宋体" w:cs="宋体"/>
          <w:color w:val="231F20"/>
          <w:spacing w:val="10"/>
          <w:sz w:val="24"/>
          <w:szCs w:val="24"/>
        </w:rPr>
        <w:t>同富裕中处于主方式</w:t>
      </w:r>
      <w:r>
        <w:rPr>
          <w:rFonts w:hint="eastAsia" w:ascii="宋体" w:hAnsi="宋体" w:eastAsia="宋体" w:cs="宋体"/>
          <w:color w:val="231F20"/>
          <w:spacing w:val="5"/>
          <w:sz w:val="24"/>
          <w:szCs w:val="24"/>
        </w:rPr>
        <w:t>的地位。</w:t>
      </w:r>
    </w:p>
    <w:p w14:paraId="29A0985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position w:val="1"/>
          <w:sz w:val="24"/>
          <w:szCs w:val="24"/>
        </w:rPr>
        <w:t>（一）按劳分配在推动共同富裕中的主方式作用</w:t>
      </w:r>
    </w:p>
    <w:p w14:paraId="2226568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在我国社会主义初级阶段，按劳分配制度在分配领域的主</w:t>
      </w:r>
      <w:r>
        <w:rPr>
          <w:rFonts w:hint="eastAsia" w:ascii="宋体" w:hAnsi="宋体" w:eastAsia="宋体" w:cs="宋体"/>
          <w:color w:val="231F20"/>
          <w:spacing w:val="10"/>
          <w:sz w:val="24"/>
          <w:szCs w:val="24"/>
        </w:rPr>
        <w:t>体地位对于扎实推动共</w:t>
      </w:r>
      <w:r>
        <w:rPr>
          <w:rFonts w:hint="eastAsia" w:ascii="宋体" w:hAnsi="宋体" w:eastAsia="宋体" w:cs="宋体"/>
          <w:color w:val="231F20"/>
          <w:spacing w:val="7"/>
          <w:sz w:val="24"/>
          <w:szCs w:val="24"/>
        </w:rPr>
        <w:t>同富裕具有直接决定性意义。</w:t>
      </w:r>
    </w:p>
    <w:p w14:paraId="5EFC7DF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首先，按劳分配原则是消除不劳而获和直接推动劳动致富的分配机制，从而能够</w:t>
      </w:r>
      <w:r>
        <w:rPr>
          <w:rFonts w:hint="eastAsia" w:ascii="宋体" w:hAnsi="宋体" w:eastAsia="宋体" w:cs="宋体"/>
          <w:color w:val="231F20"/>
          <w:spacing w:val="11"/>
          <w:sz w:val="24"/>
          <w:szCs w:val="24"/>
        </w:rPr>
        <w:t>直接推动共同富裕。在国家及时科学调控经济社会发展的条件</w:t>
      </w:r>
      <w:r>
        <w:rPr>
          <w:rFonts w:hint="eastAsia" w:ascii="宋体" w:hAnsi="宋体" w:eastAsia="宋体" w:cs="宋体"/>
          <w:color w:val="231F20"/>
          <w:spacing w:val="10"/>
          <w:sz w:val="24"/>
          <w:szCs w:val="24"/>
        </w:rPr>
        <w:t>下，劳动致富主要通过</w:t>
      </w:r>
      <w:r>
        <w:rPr>
          <w:rFonts w:hint="eastAsia" w:ascii="宋体" w:hAnsi="宋体" w:eastAsia="宋体" w:cs="宋体"/>
          <w:color w:val="231F20"/>
          <w:spacing w:val="12"/>
          <w:sz w:val="24"/>
          <w:szCs w:val="24"/>
        </w:rPr>
        <w:t>在公有制经济单位贯彻按劳分配原则来实现。马克思提出：“在一个集体的、</w:t>
      </w:r>
      <w:r>
        <w:rPr>
          <w:rFonts w:hint="eastAsia" w:ascii="宋体" w:hAnsi="宋体" w:eastAsia="宋体" w:cs="宋体"/>
          <w:color w:val="231F20"/>
          <w:spacing w:val="11"/>
          <w:sz w:val="24"/>
          <w:szCs w:val="24"/>
        </w:rPr>
        <w:t>以生产资料公有为基础的社会中……每一个生产者，在作了各项扣除以后，从社会领回的，</w:t>
      </w:r>
      <w:r>
        <w:rPr>
          <w:rFonts w:hint="eastAsia" w:ascii="宋体" w:hAnsi="宋体" w:eastAsia="宋体" w:cs="宋体"/>
          <w:color w:val="231F20"/>
          <w:spacing w:val="4"/>
          <w:sz w:val="24"/>
          <w:szCs w:val="24"/>
        </w:rPr>
        <w:t>正好是他给予社会的。他给予社会的，就是他个人的劳动量”，“扣</w:t>
      </w:r>
      <w:r>
        <w:rPr>
          <w:rFonts w:hint="eastAsia" w:ascii="宋体" w:hAnsi="宋体" w:eastAsia="宋体" w:cs="宋体"/>
          <w:color w:val="231F20"/>
          <w:spacing w:val="3"/>
          <w:sz w:val="24"/>
          <w:szCs w:val="24"/>
        </w:rPr>
        <w:t>除多少，应当根据</w:t>
      </w:r>
      <w:r>
        <w:rPr>
          <w:rFonts w:hint="eastAsia" w:ascii="宋体" w:hAnsi="宋体" w:eastAsia="宋体" w:cs="宋体"/>
          <w:color w:val="231F20"/>
          <w:spacing w:val="8"/>
          <w:sz w:val="24"/>
          <w:szCs w:val="24"/>
        </w:rPr>
        <w:t>现有的物资和力量来确定，部分地应当根据概率</w:t>
      </w:r>
      <w:r>
        <w:rPr>
          <w:rFonts w:hint="eastAsia" w:ascii="宋体" w:hAnsi="宋体" w:eastAsia="宋体" w:cs="宋体"/>
          <w:color w:val="231F20"/>
          <w:spacing w:val="7"/>
          <w:sz w:val="24"/>
          <w:szCs w:val="24"/>
        </w:rPr>
        <w:t>计算来确定”。在我国现阶段各类公</w:t>
      </w:r>
      <w:r>
        <w:rPr>
          <w:rFonts w:hint="eastAsia" w:ascii="宋体" w:hAnsi="宋体" w:eastAsia="宋体" w:cs="宋体"/>
          <w:color w:val="231F20"/>
          <w:spacing w:val="10"/>
          <w:sz w:val="24"/>
          <w:szCs w:val="24"/>
        </w:rPr>
        <w:t>有制经济的分配中，在进行各项必要扣除后，</w:t>
      </w:r>
      <w:r>
        <w:rPr>
          <w:rFonts w:hint="eastAsia" w:ascii="宋体" w:hAnsi="宋体" w:eastAsia="宋体" w:cs="宋体"/>
          <w:color w:val="231F20"/>
          <w:spacing w:val="9"/>
          <w:sz w:val="24"/>
          <w:szCs w:val="24"/>
        </w:rPr>
        <w:t>按劳分配原则将每个劳动者在生产中的</w:t>
      </w:r>
      <w:r>
        <w:rPr>
          <w:rFonts w:hint="eastAsia" w:ascii="宋体" w:hAnsi="宋体" w:eastAsia="宋体" w:cs="宋体"/>
          <w:color w:val="231F20"/>
          <w:spacing w:val="11"/>
          <w:sz w:val="24"/>
          <w:szCs w:val="24"/>
        </w:rPr>
        <w:t>实际劳动贡献（即劳动的数量和质量）作为分配劳动产品的基</w:t>
      </w:r>
      <w:r>
        <w:rPr>
          <w:rFonts w:hint="eastAsia" w:ascii="宋体" w:hAnsi="宋体" w:eastAsia="宋体" w:cs="宋体"/>
          <w:color w:val="231F20"/>
          <w:spacing w:val="10"/>
          <w:sz w:val="24"/>
          <w:szCs w:val="24"/>
        </w:rPr>
        <w:t>本依据，消除了劳动产</w:t>
      </w:r>
      <w:r>
        <w:rPr>
          <w:rFonts w:hint="eastAsia" w:ascii="宋体" w:hAnsi="宋体" w:eastAsia="宋体" w:cs="宋体"/>
          <w:color w:val="231F20"/>
          <w:spacing w:val="13"/>
          <w:sz w:val="24"/>
          <w:szCs w:val="24"/>
        </w:rPr>
        <w:t>品分配的剥削性质，从而在初次分配层面直接</w:t>
      </w:r>
      <w:r>
        <w:rPr>
          <w:rFonts w:hint="eastAsia" w:ascii="宋体" w:hAnsi="宋体" w:eastAsia="宋体" w:cs="宋体"/>
          <w:color w:val="231F20"/>
          <w:spacing w:val="12"/>
          <w:sz w:val="24"/>
          <w:szCs w:val="24"/>
        </w:rPr>
        <w:t>体现了劳动者之间的平等关系。因此，</w:t>
      </w:r>
      <w:r>
        <w:rPr>
          <w:rFonts w:hint="eastAsia" w:ascii="宋体" w:hAnsi="宋体" w:eastAsia="宋体" w:cs="宋体"/>
          <w:color w:val="231F20"/>
          <w:spacing w:val="10"/>
          <w:sz w:val="24"/>
          <w:szCs w:val="24"/>
        </w:rPr>
        <w:t>按劳分配原则既能消除平均主义，充分促进劳</w:t>
      </w:r>
      <w:r>
        <w:rPr>
          <w:rFonts w:hint="eastAsia" w:ascii="宋体" w:hAnsi="宋体" w:eastAsia="宋体" w:cs="宋体"/>
          <w:color w:val="231F20"/>
          <w:spacing w:val="9"/>
          <w:sz w:val="24"/>
          <w:szCs w:val="24"/>
        </w:rPr>
        <w:t>动致富，又能有效防止因生产资料的占有差异导致的贫富分化，从而为扎实推动共同富裕奠定坚实的分配制度基础。</w:t>
      </w:r>
      <w:r>
        <w:rPr>
          <w:rStyle w:val="20"/>
          <w:rFonts w:hint="eastAsia" w:ascii="宋体" w:hAnsi="宋体" w:eastAsia="宋体" w:cs="宋体"/>
          <w:color w:val="231F20"/>
          <w:spacing w:val="9"/>
          <w:sz w:val="24"/>
          <w:szCs w:val="24"/>
        </w:rPr>
        <w:footnoteReference w:id="879"/>
      </w:r>
    </w:p>
    <w:p w14:paraId="43122EF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其次，按劳分配原则的主体地位能够通过推进劳动致富与缩小</w:t>
      </w:r>
      <w:r>
        <w:rPr>
          <w:rFonts w:hint="eastAsia" w:ascii="宋体" w:hAnsi="宋体" w:eastAsia="宋体" w:cs="宋体"/>
          <w:color w:val="231F20"/>
          <w:spacing w:val="10"/>
          <w:sz w:val="24"/>
          <w:szCs w:val="24"/>
        </w:rPr>
        <w:t>收入差距而对非公</w:t>
      </w:r>
      <w:r>
        <w:rPr>
          <w:rFonts w:hint="eastAsia" w:ascii="宋体" w:hAnsi="宋体" w:eastAsia="宋体" w:cs="宋体"/>
          <w:color w:val="231F20"/>
          <w:spacing w:val="11"/>
          <w:sz w:val="24"/>
          <w:szCs w:val="24"/>
        </w:rPr>
        <w:t>有制经济的分配发挥辐射引导作用。马克思指出，“消费</w:t>
      </w:r>
      <w:r>
        <w:rPr>
          <w:rFonts w:hint="eastAsia" w:ascii="宋体" w:hAnsi="宋体" w:eastAsia="宋体" w:cs="宋体"/>
          <w:color w:val="231F20"/>
          <w:spacing w:val="10"/>
          <w:sz w:val="24"/>
          <w:szCs w:val="24"/>
        </w:rPr>
        <w:t>资料的任何一种分配，都不</w:t>
      </w:r>
      <w:r>
        <w:rPr>
          <w:rFonts w:hint="eastAsia" w:ascii="宋体" w:hAnsi="宋体" w:eastAsia="宋体" w:cs="宋体"/>
          <w:color w:val="231F20"/>
          <w:spacing w:val="9"/>
          <w:sz w:val="24"/>
          <w:szCs w:val="24"/>
        </w:rPr>
        <w:t>过是生产条件本身分配的结果”。</w:t>
      </w:r>
      <w:r>
        <w:rPr>
          <w:rStyle w:val="20"/>
          <w:rFonts w:hint="eastAsia" w:ascii="宋体" w:hAnsi="宋体" w:eastAsia="宋体" w:cs="宋体"/>
          <w:color w:val="231F20"/>
          <w:spacing w:val="9"/>
          <w:sz w:val="24"/>
          <w:szCs w:val="24"/>
        </w:rPr>
        <w:footnoteReference w:id="880"/>
      </w:r>
      <w:r>
        <w:rPr>
          <w:rFonts w:hint="eastAsia" w:ascii="宋体" w:hAnsi="宋体" w:eastAsia="宋体" w:cs="宋体"/>
          <w:color w:val="231F20"/>
          <w:spacing w:val="9"/>
          <w:sz w:val="24"/>
          <w:szCs w:val="24"/>
        </w:rPr>
        <w:t>我国现阶段民营企业和外资</w:t>
      </w:r>
      <w:r>
        <w:rPr>
          <w:rFonts w:hint="eastAsia" w:ascii="宋体" w:hAnsi="宋体" w:eastAsia="宋体" w:cs="宋体"/>
          <w:color w:val="231F20"/>
          <w:spacing w:val="8"/>
          <w:sz w:val="24"/>
          <w:szCs w:val="24"/>
        </w:rPr>
        <w:t>企业是占比较大的产权</w:t>
      </w:r>
      <w:r>
        <w:rPr>
          <w:rFonts w:hint="eastAsia" w:ascii="宋体" w:hAnsi="宋体" w:eastAsia="宋体" w:cs="宋体"/>
          <w:color w:val="231F20"/>
          <w:spacing w:val="10"/>
          <w:sz w:val="24"/>
          <w:szCs w:val="24"/>
        </w:rPr>
        <w:t>形式，按资本分配是这些非公有制经济的主要分</w:t>
      </w:r>
      <w:r>
        <w:rPr>
          <w:rFonts w:hint="eastAsia" w:ascii="宋体" w:hAnsi="宋体" w:eastAsia="宋体" w:cs="宋体"/>
          <w:color w:val="231F20"/>
          <w:spacing w:val="9"/>
          <w:sz w:val="24"/>
          <w:szCs w:val="24"/>
        </w:rPr>
        <w:t>配形式。在按资本分配原则下，私人</w:t>
      </w:r>
      <w:r>
        <w:rPr>
          <w:rFonts w:hint="eastAsia" w:ascii="宋体" w:hAnsi="宋体" w:eastAsia="宋体" w:cs="宋体"/>
          <w:color w:val="231F20"/>
          <w:spacing w:val="12"/>
          <w:sz w:val="24"/>
          <w:szCs w:val="24"/>
        </w:rPr>
        <w:t>资本所有者按照出资额或投入股份获取的剩余价值在生产经营单位内部初次分配</w:t>
      </w:r>
      <w:r>
        <w:rPr>
          <w:rFonts w:hint="eastAsia" w:ascii="宋体" w:hAnsi="宋体" w:eastAsia="宋体" w:cs="宋体"/>
          <w:color w:val="231F20"/>
          <w:spacing w:val="11"/>
          <w:sz w:val="24"/>
          <w:szCs w:val="24"/>
        </w:rPr>
        <w:t>中占</w:t>
      </w:r>
      <w:r>
        <w:rPr>
          <w:rFonts w:hint="eastAsia" w:ascii="宋体" w:hAnsi="宋体" w:eastAsia="宋体" w:cs="宋体"/>
          <w:color w:val="231F20"/>
          <w:spacing w:val="15"/>
          <w:sz w:val="24"/>
          <w:szCs w:val="24"/>
        </w:rPr>
        <w:t>据相当份额，劳动者报酬所占份额相对缩小，从而主要有利于资本致富而非劳动致</w:t>
      </w:r>
      <w:r>
        <w:rPr>
          <w:rFonts w:hint="eastAsia" w:ascii="宋体" w:hAnsi="宋体" w:eastAsia="宋体" w:cs="宋体"/>
          <w:color w:val="231F20"/>
          <w:spacing w:val="13"/>
          <w:sz w:val="24"/>
          <w:szCs w:val="24"/>
        </w:rPr>
        <w:t>富。</w:t>
      </w:r>
      <w:r>
        <w:rPr>
          <w:rStyle w:val="20"/>
          <w:rFonts w:hint="eastAsia" w:ascii="宋体" w:hAnsi="宋体" w:eastAsia="宋体" w:cs="宋体"/>
          <w:color w:val="231F20"/>
          <w:spacing w:val="13"/>
          <w:sz w:val="24"/>
          <w:szCs w:val="24"/>
        </w:rPr>
        <w:footnoteReference w:id="881"/>
      </w:r>
      <w:r>
        <w:rPr>
          <w:rFonts w:hint="eastAsia" w:ascii="宋体" w:hAnsi="宋体" w:eastAsia="宋体" w:cs="宋体"/>
          <w:color w:val="231F20"/>
          <w:spacing w:val="13"/>
          <w:sz w:val="24"/>
          <w:szCs w:val="24"/>
        </w:rPr>
        <w:t>不过，按劳分配原则的主体地位能够在一定程度上矫正和调节按私人资本分配</w:t>
      </w:r>
      <w:r>
        <w:rPr>
          <w:rFonts w:hint="eastAsia" w:ascii="宋体" w:hAnsi="宋体" w:eastAsia="宋体" w:cs="宋体"/>
          <w:color w:val="231F20"/>
          <w:spacing w:val="10"/>
          <w:sz w:val="24"/>
          <w:szCs w:val="24"/>
        </w:rPr>
        <w:t>原则导致的贫富分化倾向。其基本事实和逻辑</w:t>
      </w:r>
      <w:r>
        <w:rPr>
          <w:rFonts w:hint="eastAsia" w:ascii="宋体" w:hAnsi="宋体" w:eastAsia="宋体" w:cs="宋体"/>
          <w:color w:val="231F20"/>
          <w:spacing w:val="9"/>
          <w:sz w:val="24"/>
          <w:szCs w:val="24"/>
        </w:rPr>
        <w:t>在于：一是在整个国民经济中，处于主</w:t>
      </w:r>
      <w:r>
        <w:rPr>
          <w:rFonts w:hint="eastAsia" w:ascii="宋体" w:hAnsi="宋体" w:eastAsia="宋体" w:cs="宋体"/>
          <w:color w:val="231F20"/>
          <w:spacing w:val="11"/>
          <w:sz w:val="24"/>
          <w:szCs w:val="24"/>
        </w:rPr>
        <w:t>体地位的按劳分配原则能够发挥示范作用，为《中华人民</w:t>
      </w:r>
      <w:r>
        <w:rPr>
          <w:rFonts w:hint="eastAsia" w:ascii="宋体" w:hAnsi="宋体" w:eastAsia="宋体" w:cs="宋体"/>
          <w:color w:val="231F20"/>
          <w:spacing w:val="10"/>
          <w:sz w:val="24"/>
          <w:szCs w:val="24"/>
        </w:rPr>
        <w:t>共和国公司法》《中华人民</w:t>
      </w:r>
      <w:r>
        <w:rPr>
          <w:rFonts w:hint="eastAsia" w:ascii="宋体" w:hAnsi="宋体" w:eastAsia="宋体" w:cs="宋体"/>
          <w:color w:val="231F20"/>
          <w:spacing w:val="12"/>
          <w:sz w:val="24"/>
          <w:szCs w:val="24"/>
        </w:rPr>
        <w:t>共和国劳动法》《中华人民共和国劳动合同法》等与收入分配相关的立法提供标</w:t>
      </w:r>
      <w:r>
        <w:rPr>
          <w:rFonts w:hint="eastAsia" w:ascii="宋体" w:hAnsi="宋体" w:eastAsia="宋体" w:cs="宋体"/>
          <w:color w:val="231F20"/>
          <w:spacing w:val="11"/>
          <w:sz w:val="24"/>
          <w:szCs w:val="24"/>
        </w:rPr>
        <w:t>准与</w:t>
      </w:r>
      <w:r>
        <w:rPr>
          <w:rFonts w:hint="eastAsia" w:ascii="宋体" w:hAnsi="宋体" w:eastAsia="宋体" w:cs="宋体"/>
          <w:color w:val="231F20"/>
          <w:spacing w:val="10"/>
          <w:sz w:val="24"/>
          <w:szCs w:val="24"/>
        </w:rPr>
        <w:t>参照，从而间接影响非公有制经济的分配，促进</w:t>
      </w:r>
      <w:r>
        <w:rPr>
          <w:rFonts w:hint="eastAsia" w:ascii="宋体" w:hAnsi="宋体" w:eastAsia="宋体" w:cs="宋体"/>
          <w:color w:val="231F20"/>
          <w:spacing w:val="9"/>
          <w:sz w:val="24"/>
          <w:szCs w:val="24"/>
        </w:rPr>
        <w:t>企业出资人产权利益与劳动者劳动报</w:t>
      </w:r>
      <w:r>
        <w:rPr>
          <w:rFonts w:hint="eastAsia" w:ascii="宋体" w:hAnsi="宋体" w:eastAsia="宋体" w:cs="宋体"/>
          <w:color w:val="231F20"/>
          <w:spacing w:val="11"/>
          <w:sz w:val="24"/>
          <w:szCs w:val="24"/>
        </w:rPr>
        <w:t>酬、劳动福利之间的平衡与协调。二是在公有资本控股的混合所</w:t>
      </w:r>
      <w:r>
        <w:rPr>
          <w:rFonts w:hint="eastAsia" w:ascii="宋体" w:hAnsi="宋体" w:eastAsia="宋体" w:cs="宋体"/>
          <w:color w:val="231F20"/>
          <w:spacing w:val="10"/>
          <w:sz w:val="24"/>
          <w:szCs w:val="24"/>
        </w:rPr>
        <w:t>有制经济中，按劳分</w:t>
      </w:r>
      <w:r>
        <w:rPr>
          <w:rFonts w:hint="eastAsia" w:ascii="宋体" w:hAnsi="宋体" w:eastAsia="宋体" w:cs="宋体"/>
          <w:color w:val="231F20"/>
          <w:spacing w:val="11"/>
          <w:sz w:val="24"/>
          <w:szCs w:val="24"/>
        </w:rPr>
        <w:t>配原则在企业的经营和分配中能够得到较为充分的贯彻与实施，</w:t>
      </w:r>
      <w:r>
        <w:rPr>
          <w:rFonts w:hint="eastAsia" w:ascii="宋体" w:hAnsi="宋体" w:eastAsia="宋体" w:cs="宋体"/>
          <w:color w:val="231F20"/>
          <w:spacing w:val="10"/>
          <w:sz w:val="24"/>
          <w:szCs w:val="24"/>
        </w:rPr>
        <w:t>从而在相当程度上矫</w:t>
      </w:r>
      <w:r>
        <w:rPr>
          <w:rFonts w:hint="eastAsia" w:ascii="宋体" w:hAnsi="宋体" w:eastAsia="宋体" w:cs="宋体"/>
          <w:color w:val="231F20"/>
          <w:spacing w:val="9"/>
          <w:sz w:val="24"/>
          <w:szCs w:val="24"/>
        </w:rPr>
        <w:t>正与缓解按资本分配原则形成的贫富差距过大问题。</w:t>
      </w:r>
    </w:p>
    <w:p w14:paraId="306F751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position w:val="1"/>
          <w:sz w:val="24"/>
          <w:szCs w:val="24"/>
        </w:rPr>
        <w:t>（二）发挥“劳主多辅”分配方式在实现共同富裕中的决</w:t>
      </w:r>
      <w:r>
        <w:rPr>
          <w:rFonts w:hint="eastAsia" w:ascii="宋体" w:hAnsi="宋体" w:eastAsia="宋体" w:cs="宋体"/>
          <w:color w:val="231F20"/>
          <w:spacing w:val="8"/>
          <w:position w:val="1"/>
          <w:sz w:val="24"/>
          <w:szCs w:val="24"/>
        </w:rPr>
        <w:t>定性作用</w:t>
      </w:r>
    </w:p>
    <w:p w14:paraId="42546D0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6"/>
          <w:sz w:val="24"/>
          <w:szCs w:val="24"/>
        </w:rPr>
        <w:t>在我国新发展阶段，发挥“劳主多辅”分配方式在实现共同富裕中的决定性作</w:t>
      </w:r>
      <w:r>
        <w:rPr>
          <w:rFonts w:hint="eastAsia" w:ascii="宋体" w:hAnsi="宋体" w:eastAsia="宋体" w:cs="宋体"/>
          <w:color w:val="231F20"/>
          <w:spacing w:val="10"/>
          <w:sz w:val="24"/>
          <w:szCs w:val="24"/>
        </w:rPr>
        <w:t>用，核心在于坚持与巩固按劳分配原则的主</w:t>
      </w:r>
      <w:r>
        <w:rPr>
          <w:rFonts w:hint="eastAsia" w:ascii="宋体" w:hAnsi="宋体" w:eastAsia="宋体" w:cs="宋体"/>
          <w:color w:val="231F20"/>
          <w:spacing w:val="9"/>
          <w:sz w:val="24"/>
          <w:szCs w:val="24"/>
        </w:rPr>
        <w:t>体地位，推进建设体现效率、促进公平的</w:t>
      </w:r>
      <w:r>
        <w:rPr>
          <w:rFonts w:hint="eastAsia" w:ascii="宋体" w:hAnsi="宋体" w:eastAsia="宋体" w:cs="宋体"/>
          <w:color w:val="231F20"/>
          <w:spacing w:val="7"/>
          <w:sz w:val="24"/>
          <w:szCs w:val="24"/>
        </w:rPr>
        <w:t>收入分配体系。</w:t>
      </w:r>
    </w:p>
    <w:p w14:paraId="4166489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首先，发挥“劳主多辅”分配方式在实现共同富裕中的决定性作用，需要坚持和</w:t>
      </w:r>
      <w:r>
        <w:rPr>
          <w:rFonts w:hint="eastAsia" w:ascii="宋体" w:hAnsi="宋体" w:eastAsia="宋体" w:cs="宋体"/>
          <w:color w:val="231F20"/>
          <w:spacing w:val="11"/>
          <w:sz w:val="24"/>
          <w:szCs w:val="24"/>
        </w:rPr>
        <w:t>巩固公有制经济的主体地位。一是公有制经济通过贯彻按劳分配</w:t>
      </w:r>
      <w:r>
        <w:rPr>
          <w:rFonts w:hint="eastAsia" w:ascii="宋体" w:hAnsi="宋体" w:eastAsia="宋体" w:cs="宋体"/>
          <w:color w:val="231F20"/>
          <w:spacing w:val="10"/>
          <w:sz w:val="24"/>
          <w:szCs w:val="24"/>
        </w:rPr>
        <w:t>原则，消除了由生产</w:t>
      </w:r>
      <w:r>
        <w:rPr>
          <w:rFonts w:hint="eastAsia" w:ascii="宋体" w:hAnsi="宋体" w:eastAsia="宋体" w:cs="宋体"/>
          <w:color w:val="231F20"/>
          <w:spacing w:val="13"/>
          <w:sz w:val="24"/>
          <w:szCs w:val="24"/>
        </w:rPr>
        <w:t>资料的占有差异引起的剥削，从而为扎实推动共同富裕提供了根本的产权制</w:t>
      </w:r>
      <w:r>
        <w:rPr>
          <w:rFonts w:hint="eastAsia" w:ascii="宋体" w:hAnsi="宋体" w:eastAsia="宋体" w:cs="宋体"/>
          <w:color w:val="231F20"/>
          <w:spacing w:val="12"/>
          <w:sz w:val="24"/>
          <w:szCs w:val="24"/>
        </w:rPr>
        <w:t>度保证。</w:t>
      </w:r>
      <w:r>
        <w:rPr>
          <w:rFonts w:hint="eastAsia" w:ascii="宋体" w:hAnsi="宋体" w:eastAsia="宋体" w:cs="宋体"/>
          <w:color w:val="231F20"/>
          <w:spacing w:val="17"/>
          <w:sz w:val="24"/>
          <w:szCs w:val="24"/>
        </w:rPr>
        <w:t>在我国现阶段，公有制经济的基本分配原则是主要体现共同</w:t>
      </w:r>
      <w:r>
        <w:rPr>
          <w:rFonts w:hint="eastAsia" w:ascii="宋体" w:hAnsi="宋体" w:eastAsia="宋体" w:cs="宋体"/>
          <w:color w:val="231F20"/>
          <w:spacing w:val="16"/>
          <w:sz w:val="24"/>
          <w:szCs w:val="24"/>
        </w:rPr>
        <w:t>富裕方向的按劳分配原</w:t>
      </w:r>
      <w:r>
        <w:rPr>
          <w:rFonts w:hint="eastAsia" w:ascii="宋体" w:hAnsi="宋体" w:eastAsia="宋体" w:cs="宋体"/>
          <w:color w:val="231F20"/>
          <w:spacing w:val="10"/>
          <w:sz w:val="24"/>
          <w:szCs w:val="24"/>
        </w:rPr>
        <w:t>则。根据我国宪法，社会主义公有制消灭了人剥</w:t>
      </w:r>
      <w:r>
        <w:rPr>
          <w:rFonts w:hint="eastAsia" w:ascii="宋体" w:hAnsi="宋体" w:eastAsia="宋体" w:cs="宋体"/>
          <w:color w:val="231F20"/>
          <w:spacing w:val="9"/>
          <w:sz w:val="24"/>
          <w:szCs w:val="24"/>
        </w:rPr>
        <w:t>削人的制度，实行各尽所能、按劳分</w:t>
      </w:r>
      <w:r>
        <w:rPr>
          <w:rFonts w:hint="eastAsia" w:ascii="宋体" w:hAnsi="宋体" w:eastAsia="宋体" w:cs="宋体"/>
          <w:color w:val="231F20"/>
          <w:spacing w:val="11"/>
          <w:sz w:val="24"/>
          <w:szCs w:val="24"/>
        </w:rPr>
        <w:t>配的原则。在性质方面，我国社会主义公有制经济通过实现各尽</w:t>
      </w:r>
      <w:r>
        <w:rPr>
          <w:rFonts w:hint="eastAsia" w:ascii="宋体" w:hAnsi="宋体" w:eastAsia="宋体" w:cs="宋体"/>
          <w:color w:val="231F20"/>
          <w:spacing w:val="10"/>
          <w:sz w:val="24"/>
          <w:szCs w:val="24"/>
        </w:rPr>
        <w:t>所能、按劳分配的原则而“消灭剥削，消除两极分化”，</w:t>
      </w:r>
      <w:r>
        <w:rPr>
          <w:rStyle w:val="20"/>
          <w:rFonts w:hint="eastAsia" w:ascii="宋体" w:hAnsi="宋体" w:eastAsia="宋体" w:cs="宋体"/>
          <w:color w:val="231F20"/>
          <w:spacing w:val="10"/>
          <w:sz w:val="24"/>
          <w:szCs w:val="24"/>
        </w:rPr>
        <w:footnoteReference w:id="882"/>
      </w:r>
      <w:r>
        <w:rPr>
          <w:rFonts w:hint="eastAsia" w:ascii="宋体" w:hAnsi="宋体" w:eastAsia="宋体" w:cs="宋体"/>
          <w:color w:val="231F20"/>
          <w:spacing w:val="10"/>
          <w:sz w:val="24"/>
          <w:szCs w:val="24"/>
        </w:rPr>
        <w:t>是社会主义本质的根</w:t>
      </w:r>
      <w:r>
        <w:rPr>
          <w:rFonts w:hint="eastAsia" w:ascii="宋体" w:hAnsi="宋体" w:eastAsia="宋体" w:cs="宋体"/>
          <w:color w:val="231F20"/>
          <w:spacing w:val="9"/>
          <w:sz w:val="24"/>
          <w:szCs w:val="24"/>
        </w:rPr>
        <w:t>本体现。在数量比例方面，</w:t>
      </w:r>
      <w:r>
        <w:rPr>
          <w:rFonts w:hint="eastAsia" w:ascii="宋体" w:hAnsi="宋体" w:eastAsia="宋体" w:cs="宋体"/>
          <w:color w:val="231F20"/>
          <w:spacing w:val="14"/>
          <w:sz w:val="24"/>
          <w:szCs w:val="24"/>
        </w:rPr>
        <w:t>公有制经济单位一般主动通过贯彻按劳分配原则和合理确定积累与消费的适当比例，</w:t>
      </w:r>
      <w:r>
        <w:rPr>
          <w:rFonts w:hint="eastAsia" w:ascii="宋体" w:hAnsi="宋体" w:eastAsia="宋体" w:cs="宋体"/>
          <w:color w:val="231F20"/>
          <w:spacing w:val="11"/>
          <w:sz w:val="24"/>
          <w:szCs w:val="24"/>
        </w:rPr>
        <w:t>使得劳动报酬能够在初次分配中保持较为合理的比重，促进劳动</w:t>
      </w:r>
      <w:r>
        <w:rPr>
          <w:rFonts w:hint="eastAsia" w:ascii="宋体" w:hAnsi="宋体" w:eastAsia="宋体" w:cs="宋体"/>
          <w:color w:val="231F20"/>
          <w:spacing w:val="10"/>
          <w:sz w:val="24"/>
          <w:szCs w:val="24"/>
        </w:rPr>
        <w:t>报酬随劳动生产率的提高而实现同步增长，从而为扎实推动共同富裕奠定了根本的制度保证。据统计，国有企业平均工资一直高于私有企业平均工资。例如，2020年我国国有单位就业人员平</w:t>
      </w:r>
      <w:r>
        <w:rPr>
          <w:rFonts w:hint="eastAsia" w:ascii="宋体" w:hAnsi="宋体" w:eastAsia="宋体" w:cs="宋体"/>
          <w:color w:val="231F20"/>
          <w:spacing w:val="9"/>
          <w:sz w:val="24"/>
          <w:szCs w:val="24"/>
        </w:rPr>
        <w:t>均工资为108132元，不仅高于城镇集体单位就业人员平均工资（</w:t>
      </w:r>
      <w:r>
        <w:rPr>
          <w:rFonts w:hint="eastAsia" w:ascii="宋体" w:hAnsi="宋体" w:eastAsia="宋体" w:cs="宋体"/>
          <w:color w:val="231F20"/>
          <w:spacing w:val="8"/>
          <w:sz w:val="24"/>
          <w:szCs w:val="24"/>
        </w:rPr>
        <w:t>68590元</w:t>
      </w:r>
      <w:r>
        <w:rPr>
          <w:rFonts w:hint="eastAsia" w:ascii="宋体" w:hAnsi="宋体" w:eastAsia="宋体" w:cs="宋体"/>
          <w:color w:val="231F20"/>
          <w:spacing w:val="-41"/>
          <w:sz w:val="24"/>
          <w:szCs w:val="24"/>
        </w:rPr>
        <w:t>），</w:t>
      </w:r>
      <w:r>
        <w:rPr>
          <w:rFonts w:hint="eastAsia" w:ascii="宋体" w:hAnsi="宋体" w:eastAsia="宋体" w:cs="宋体"/>
          <w:color w:val="231F20"/>
          <w:spacing w:val="8"/>
          <w:sz w:val="24"/>
          <w:szCs w:val="24"/>
        </w:rPr>
        <w:t>更是远高</w:t>
      </w:r>
      <w:r>
        <w:rPr>
          <w:rFonts w:hint="eastAsia" w:ascii="宋体" w:hAnsi="宋体" w:eastAsia="宋体" w:cs="宋体"/>
          <w:color w:val="231F20"/>
          <w:spacing w:val="7"/>
          <w:sz w:val="24"/>
          <w:szCs w:val="24"/>
        </w:rPr>
        <w:t>于城镇私营单位就业人员平均工资（57727元）。二是公有制经济通过较高的整体经济</w:t>
      </w:r>
      <w:r>
        <w:rPr>
          <w:rFonts w:hint="eastAsia" w:ascii="宋体" w:hAnsi="宋体" w:eastAsia="宋体" w:cs="宋体"/>
          <w:color w:val="231F20"/>
          <w:spacing w:val="10"/>
          <w:sz w:val="24"/>
          <w:szCs w:val="24"/>
        </w:rPr>
        <w:t>绩效，从而为扎实推动共同富裕奠定坚实的物质</w:t>
      </w:r>
      <w:r>
        <w:rPr>
          <w:rFonts w:hint="eastAsia" w:ascii="宋体" w:hAnsi="宋体" w:eastAsia="宋体" w:cs="宋体"/>
          <w:color w:val="231F20"/>
          <w:spacing w:val="9"/>
          <w:sz w:val="24"/>
          <w:szCs w:val="24"/>
        </w:rPr>
        <w:t>基础。在我国经济发展实践中，公有</w:t>
      </w:r>
      <w:r>
        <w:rPr>
          <w:rFonts w:hint="eastAsia" w:ascii="宋体" w:hAnsi="宋体" w:eastAsia="宋体" w:cs="宋体"/>
          <w:color w:val="231F20"/>
          <w:spacing w:val="12"/>
          <w:sz w:val="24"/>
          <w:szCs w:val="24"/>
        </w:rPr>
        <w:t>制经济的两种主要形式即全民所有制和集体所有制均表现出较高的经济绩效。在</w:t>
      </w:r>
      <w:r>
        <w:rPr>
          <w:rFonts w:hint="eastAsia" w:ascii="宋体" w:hAnsi="宋体" w:eastAsia="宋体" w:cs="宋体"/>
          <w:color w:val="231F20"/>
          <w:spacing w:val="11"/>
          <w:sz w:val="24"/>
          <w:szCs w:val="24"/>
        </w:rPr>
        <w:t>宏观绩效层面，我国公有制经济是国家适应社会化大生产发展要求进</w:t>
      </w:r>
      <w:r>
        <w:rPr>
          <w:rFonts w:hint="eastAsia" w:ascii="宋体" w:hAnsi="宋体" w:eastAsia="宋体" w:cs="宋体"/>
          <w:color w:val="231F20"/>
          <w:spacing w:val="10"/>
          <w:sz w:val="24"/>
          <w:szCs w:val="24"/>
        </w:rPr>
        <w:t>行经济调节的微观基</w:t>
      </w:r>
      <w:r>
        <w:rPr>
          <w:rFonts w:hint="eastAsia" w:ascii="宋体" w:hAnsi="宋体" w:eastAsia="宋体" w:cs="宋体"/>
          <w:color w:val="231F20"/>
          <w:spacing w:val="13"/>
          <w:sz w:val="24"/>
          <w:szCs w:val="24"/>
        </w:rPr>
        <w:t>础与重要手段，从而在国家建设、国防安全、人民生活改善等方面作出了突出贡献。</w:t>
      </w:r>
      <w:r>
        <w:rPr>
          <w:rFonts w:hint="eastAsia" w:ascii="宋体" w:hAnsi="宋体" w:eastAsia="宋体" w:cs="宋体"/>
          <w:color w:val="231F20"/>
          <w:spacing w:val="10"/>
          <w:sz w:val="24"/>
          <w:szCs w:val="24"/>
        </w:rPr>
        <w:t>在企业绩效层面，我国国有企业既具有较高的整</w:t>
      </w:r>
      <w:r>
        <w:rPr>
          <w:rFonts w:hint="eastAsia" w:ascii="宋体" w:hAnsi="宋体" w:eastAsia="宋体" w:cs="宋体"/>
          <w:color w:val="231F20"/>
          <w:spacing w:val="9"/>
          <w:sz w:val="24"/>
          <w:szCs w:val="24"/>
        </w:rPr>
        <w:t>体经济绩效，又具有较高的微观经济</w:t>
      </w:r>
      <w:r>
        <w:rPr>
          <w:rFonts w:hint="eastAsia" w:ascii="宋体" w:hAnsi="宋体" w:eastAsia="宋体" w:cs="宋体"/>
          <w:color w:val="231F20"/>
          <w:spacing w:val="11"/>
          <w:sz w:val="24"/>
          <w:szCs w:val="24"/>
        </w:rPr>
        <w:t>绩效。例如，2020年中央企业净利润同比增长2.1</w:t>
      </w:r>
      <w:r>
        <w:rPr>
          <w:rFonts w:hint="eastAsia" w:ascii="宋体" w:hAnsi="宋体" w:eastAsia="宋体" w:cs="宋体"/>
          <w:color w:val="231F20"/>
          <w:spacing w:val="-21"/>
          <w:sz w:val="24"/>
          <w:szCs w:val="24"/>
        </w:rPr>
        <w:t>％，</w:t>
      </w:r>
      <w:r>
        <w:rPr>
          <w:rFonts w:hint="eastAsia" w:ascii="宋体" w:hAnsi="宋体" w:eastAsia="宋体" w:cs="宋体"/>
          <w:color w:val="231F20"/>
          <w:spacing w:val="11"/>
          <w:sz w:val="24"/>
          <w:szCs w:val="24"/>
        </w:rPr>
        <w:t>从而</w:t>
      </w:r>
      <w:r>
        <w:rPr>
          <w:rFonts w:hint="eastAsia" w:ascii="宋体" w:hAnsi="宋体" w:eastAsia="宋体" w:cs="宋体"/>
          <w:color w:val="231F20"/>
          <w:spacing w:val="10"/>
          <w:sz w:val="24"/>
          <w:szCs w:val="24"/>
        </w:rPr>
        <w:t>为我国率先控制疫情、率</w:t>
      </w:r>
      <w:r>
        <w:rPr>
          <w:rFonts w:hint="eastAsia" w:ascii="宋体" w:hAnsi="宋体" w:eastAsia="宋体" w:cs="宋体"/>
          <w:color w:val="231F20"/>
          <w:spacing w:val="11"/>
          <w:sz w:val="24"/>
          <w:szCs w:val="24"/>
        </w:rPr>
        <w:t>先复工复产、率先实现经济增长由负转正，以及决战脱贫攻坚和</w:t>
      </w:r>
      <w:r>
        <w:rPr>
          <w:rFonts w:hint="eastAsia" w:ascii="宋体" w:hAnsi="宋体" w:eastAsia="宋体" w:cs="宋体"/>
          <w:color w:val="231F20"/>
          <w:spacing w:val="10"/>
          <w:sz w:val="24"/>
          <w:szCs w:val="24"/>
        </w:rPr>
        <w:t>决胜全面小康作出了</w:t>
      </w:r>
      <w:r>
        <w:rPr>
          <w:rFonts w:hint="eastAsia" w:ascii="宋体" w:hAnsi="宋体" w:eastAsia="宋体" w:cs="宋体"/>
          <w:color w:val="231F20"/>
          <w:spacing w:val="15"/>
          <w:sz w:val="24"/>
          <w:szCs w:val="24"/>
        </w:rPr>
        <w:t>重要贡献。</w:t>
      </w:r>
      <w:r>
        <w:rPr>
          <w:rStyle w:val="20"/>
          <w:rFonts w:hint="eastAsia" w:ascii="宋体" w:hAnsi="宋体" w:eastAsia="宋体" w:cs="宋体"/>
          <w:color w:val="231F20"/>
          <w:spacing w:val="15"/>
          <w:sz w:val="24"/>
          <w:szCs w:val="24"/>
        </w:rPr>
        <w:footnoteReference w:id="883"/>
      </w:r>
      <w:r>
        <w:rPr>
          <w:rFonts w:hint="eastAsia" w:ascii="宋体" w:hAnsi="宋体" w:eastAsia="宋体" w:cs="宋体"/>
          <w:color w:val="231F20"/>
          <w:spacing w:val="15"/>
          <w:sz w:val="24"/>
          <w:szCs w:val="24"/>
        </w:rPr>
        <w:t>这印证了习近平总书记的正确论断</w:t>
      </w:r>
      <w:r>
        <w:rPr>
          <w:rFonts w:hint="eastAsia" w:ascii="宋体" w:hAnsi="宋体" w:eastAsia="宋体" w:cs="宋体"/>
          <w:color w:val="231F20"/>
          <w:spacing w:val="14"/>
          <w:sz w:val="24"/>
          <w:szCs w:val="24"/>
        </w:rPr>
        <w:t>，即“国有企业是推进国家现代化、</w:t>
      </w:r>
      <w:r>
        <w:rPr>
          <w:rFonts w:hint="eastAsia" w:ascii="宋体" w:hAnsi="宋体" w:eastAsia="宋体" w:cs="宋体"/>
          <w:color w:val="231F20"/>
          <w:spacing w:val="2"/>
          <w:sz w:val="24"/>
          <w:szCs w:val="24"/>
        </w:rPr>
        <w:t>保障人民共同利益的重要力量”。</w:t>
      </w:r>
      <w:r>
        <w:rPr>
          <w:rStyle w:val="20"/>
          <w:rFonts w:hint="eastAsia" w:ascii="宋体" w:hAnsi="宋体" w:eastAsia="宋体" w:cs="宋体"/>
          <w:color w:val="231F20"/>
          <w:spacing w:val="2"/>
          <w:sz w:val="24"/>
          <w:szCs w:val="24"/>
        </w:rPr>
        <w:footnoteReference w:id="884"/>
      </w:r>
    </w:p>
    <w:p w14:paraId="35D6443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因此，发挥“劳主多辅”分配方式在实现共同富裕中的决定性作用，在国有</w:t>
      </w:r>
      <w:r>
        <w:rPr>
          <w:rFonts w:hint="eastAsia" w:ascii="宋体" w:hAnsi="宋体" w:eastAsia="宋体" w:cs="宋体"/>
          <w:color w:val="231F20"/>
          <w:spacing w:val="8"/>
          <w:sz w:val="24"/>
          <w:szCs w:val="24"/>
        </w:rPr>
        <w:t>制经</w:t>
      </w:r>
      <w:r>
        <w:rPr>
          <w:rFonts w:hint="eastAsia" w:ascii="宋体" w:hAnsi="宋体" w:eastAsia="宋体" w:cs="宋体"/>
          <w:color w:val="231F20"/>
          <w:spacing w:val="10"/>
          <w:sz w:val="24"/>
          <w:szCs w:val="24"/>
        </w:rPr>
        <w:t>济层面，需要做强做优做大国有企业和国有资</w:t>
      </w:r>
      <w:r>
        <w:rPr>
          <w:rFonts w:hint="eastAsia" w:ascii="宋体" w:hAnsi="宋体" w:eastAsia="宋体" w:cs="宋体"/>
          <w:color w:val="231F20"/>
          <w:spacing w:val="9"/>
          <w:sz w:val="24"/>
          <w:szCs w:val="24"/>
        </w:rPr>
        <w:t>本，推动国有企业成长为具有全球竞争</w:t>
      </w:r>
      <w:r>
        <w:rPr>
          <w:rFonts w:hint="eastAsia" w:ascii="宋体" w:hAnsi="宋体" w:eastAsia="宋体" w:cs="宋体"/>
          <w:color w:val="231F20"/>
          <w:spacing w:val="10"/>
          <w:sz w:val="24"/>
          <w:szCs w:val="24"/>
        </w:rPr>
        <w:t>力和影响力的世界一流企业；在混合所有制经济</w:t>
      </w:r>
      <w:r>
        <w:rPr>
          <w:rFonts w:hint="eastAsia" w:ascii="宋体" w:hAnsi="宋体" w:eastAsia="宋体" w:cs="宋体"/>
          <w:color w:val="231F20"/>
          <w:spacing w:val="9"/>
          <w:sz w:val="24"/>
          <w:szCs w:val="24"/>
        </w:rPr>
        <w:t>层面，需要重点推动和发展公有资本</w:t>
      </w:r>
      <w:r>
        <w:rPr>
          <w:rFonts w:hint="eastAsia" w:ascii="宋体" w:hAnsi="宋体" w:eastAsia="宋体" w:cs="宋体"/>
          <w:color w:val="231F20"/>
          <w:spacing w:val="11"/>
          <w:sz w:val="24"/>
          <w:szCs w:val="24"/>
        </w:rPr>
        <w:t>控股的混合所有制经济；在农村经济方面，需要坚持农村土地集体所有制性质</w:t>
      </w:r>
      <w:r>
        <w:rPr>
          <w:rFonts w:hint="eastAsia" w:ascii="宋体" w:hAnsi="宋体" w:eastAsia="宋体" w:cs="宋体"/>
          <w:color w:val="231F20"/>
          <w:spacing w:val="10"/>
          <w:sz w:val="24"/>
          <w:szCs w:val="24"/>
        </w:rPr>
        <w:t>，</w:t>
      </w:r>
      <w:r>
        <w:rPr>
          <w:rStyle w:val="20"/>
          <w:rFonts w:hint="eastAsia" w:ascii="宋体" w:hAnsi="宋体" w:eastAsia="宋体" w:cs="宋体"/>
          <w:color w:val="231F20"/>
          <w:spacing w:val="10"/>
          <w:sz w:val="24"/>
          <w:szCs w:val="24"/>
        </w:rPr>
        <w:footnoteReference w:id="885"/>
      </w:r>
      <w:r>
        <w:rPr>
          <w:rFonts w:hint="eastAsia" w:ascii="宋体" w:hAnsi="宋体" w:eastAsia="宋体" w:cs="宋体"/>
          <w:color w:val="231F20"/>
          <w:spacing w:val="10"/>
          <w:sz w:val="24"/>
          <w:szCs w:val="24"/>
        </w:rPr>
        <w:t>积</w:t>
      </w:r>
      <w:r>
        <w:rPr>
          <w:rFonts w:hint="eastAsia" w:ascii="宋体" w:hAnsi="宋体" w:eastAsia="宋体" w:cs="宋体"/>
          <w:color w:val="231F20"/>
          <w:spacing w:val="8"/>
          <w:sz w:val="24"/>
          <w:szCs w:val="24"/>
        </w:rPr>
        <w:t>极探索发展新型集体经济和合作经济。</w:t>
      </w:r>
    </w:p>
    <w:p w14:paraId="22A5BC4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color w:val="231F20"/>
          <w:spacing w:val="18"/>
          <w:sz w:val="24"/>
          <w:szCs w:val="24"/>
        </w:rPr>
      </w:pPr>
      <w:r>
        <w:rPr>
          <w:rFonts w:hint="eastAsia" w:ascii="宋体" w:hAnsi="宋体" w:eastAsia="宋体" w:cs="宋体"/>
          <w:color w:val="231F20"/>
          <w:spacing w:val="9"/>
          <w:sz w:val="24"/>
          <w:szCs w:val="24"/>
        </w:rPr>
        <w:t>其次，发挥“劳主多辅”分配方式在实现共同富裕中的决定性作用，需要正确处</w:t>
      </w:r>
      <w:r>
        <w:rPr>
          <w:rFonts w:hint="eastAsia" w:ascii="宋体" w:hAnsi="宋体" w:eastAsia="宋体" w:cs="宋体"/>
          <w:color w:val="231F20"/>
          <w:spacing w:val="12"/>
          <w:sz w:val="24"/>
          <w:szCs w:val="24"/>
        </w:rPr>
        <w:t>理积累与消费之间的关系，使得积累与消费的比例在总体上处于相对合理的</w:t>
      </w:r>
      <w:r>
        <w:rPr>
          <w:rFonts w:hint="eastAsia" w:ascii="宋体" w:hAnsi="宋体" w:eastAsia="宋体" w:cs="宋体"/>
          <w:color w:val="231F20"/>
          <w:spacing w:val="11"/>
          <w:sz w:val="24"/>
          <w:szCs w:val="24"/>
        </w:rPr>
        <w:t>状态，从</w:t>
      </w:r>
      <w:r>
        <w:rPr>
          <w:rFonts w:hint="eastAsia" w:ascii="宋体" w:hAnsi="宋体" w:eastAsia="宋体" w:cs="宋体"/>
          <w:color w:val="231F20"/>
          <w:spacing w:val="13"/>
          <w:sz w:val="24"/>
          <w:szCs w:val="24"/>
        </w:rPr>
        <w:t>而促进劳动报酬随着劳动生产率的提高实现相对同步的增长，以达到和保持劳动者报酬在生产单位内部分配中相对较高的比重。撇开上缴税款不算，全民所有制企业的总</w:t>
      </w:r>
      <w:r>
        <w:rPr>
          <w:rFonts w:hint="eastAsia" w:ascii="宋体" w:hAnsi="宋体" w:eastAsia="宋体" w:cs="宋体"/>
          <w:color w:val="231F20"/>
          <w:spacing w:val="19"/>
          <w:sz w:val="24"/>
          <w:szCs w:val="24"/>
        </w:rPr>
        <w:t>收益主要由国家财产收益（主要表现为国有企业的</w:t>
      </w:r>
      <w:r>
        <w:rPr>
          <w:rFonts w:hint="eastAsia" w:ascii="宋体" w:hAnsi="宋体" w:eastAsia="宋体" w:cs="宋体"/>
          <w:color w:val="231F20"/>
          <w:spacing w:val="18"/>
          <w:sz w:val="24"/>
          <w:szCs w:val="24"/>
        </w:rPr>
        <w:t>上缴利润）、积累、劳动者报酬</w:t>
      </w:r>
      <w:r>
        <w:rPr>
          <w:rFonts w:hint="eastAsia" w:ascii="宋体" w:hAnsi="宋体" w:eastAsia="宋体" w:cs="宋体"/>
          <w:color w:val="231F20"/>
          <w:spacing w:val="13"/>
          <w:sz w:val="24"/>
          <w:szCs w:val="24"/>
        </w:rPr>
        <w:t>（即消费）等三部分构成；独资的集体所有制企业的总收益主要由积累与消费（可分为劳动者报酬和劳动者股份收益）两部分构成；公私资本混合企业的总收益主要由股份收益（可分为公有股份收益和私有股份收益）、积累和劳动者报</w:t>
      </w:r>
      <w:r>
        <w:rPr>
          <w:rFonts w:hint="eastAsia" w:ascii="宋体" w:hAnsi="宋体" w:eastAsia="宋体" w:cs="宋体"/>
          <w:color w:val="231F20"/>
          <w:spacing w:val="12"/>
          <w:sz w:val="24"/>
          <w:szCs w:val="24"/>
        </w:rPr>
        <w:t>酬（即消费）三部</w:t>
      </w:r>
      <w:r>
        <w:rPr>
          <w:rFonts w:hint="eastAsia" w:ascii="宋体" w:hAnsi="宋体" w:eastAsia="宋体" w:cs="宋体"/>
          <w:color w:val="231F20"/>
          <w:spacing w:val="13"/>
          <w:sz w:val="24"/>
          <w:szCs w:val="24"/>
        </w:rPr>
        <w:t>分构成。积累的增长为实现劳动者的整体利益和长远利益奠定了基础，而消费的增长</w:t>
      </w:r>
      <w:r>
        <w:rPr>
          <w:rFonts w:hint="eastAsia" w:ascii="宋体" w:hAnsi="宋体" w:eastAsia="宋体" w:cs="宋体"/>
          <w:color w:val="231F20"/>
          <w:spacing w:val="12"/>
          <w:sz w:val="24"/>
          <w:szCs w:val="24"/>
        </w:rPr>
        <w:t>则是社会主义生产的最终目的。因此，按劳分配原则的机制完善与规则细化</w:t>
      </w:r>
      <w:r>
        <w:rPr>
          <w:rFonts w:hint="eastAsia" w:ascii="宋体" w:hAnsi="宋体" w:eastAsia="宋体" w:cs="宋体"/>
          <w:color w:val="231F20"/>
          <w:spacing w:val="11"/>
          <w:sz w:val="24"/>
          <w:szCs w:val="24"/>
        </w:rPr>
        <w:t>，需要正</w:t>
      </w:r>
      <w:r>
        <w:rPr>
          <w:rFonts w:hint="eastAsia" w:ascii="宋体" w:hAnsi="宋体" w:eastAsia="宋体" w:cs="宋体"/>
          <w:color w:val="231F20"/>
          <w:spacing w:val="12"/>
          <w:sz w:val="24"/>
          <w:szCs w:val="24"/>
        </w:rPr>
        <w:t>确处理积累与消费之间的关系，既满足扩大再生产的积累需要，又保证劳动</w:t>
      </w:r>
      <w:r>
        <w:rPr>
          <w:rFonts w:hint="eastAsia" w:ascii="宋体" w:hAnsi="宋体" w:eastAsia="宋体" w:cs="宋体"/>
          <w:color w:val="231F20"/>
          <w:spacing w:val="11"/>
          <w:sz w:val="24"/>
          <w:szCs w:val="24"/>
        </w:rPr>
        <w:t>者消费水平日益增长的需要，自觉实现劳动报酬和劳动生产率的</w:t>
      </w:r>
      <w:r>
        <w:rPr>
          <w:rFonts w:hint="eastAsia" w:ascii="宋体" w:hAnsi="宋体" w:eastAsia="宋体" w:cs="宋体"/>
          <w:color w:val="231F20"/>
          <w:spacing w:val="10"/>
          <w:sz w:val="24"/>
          <w:szCs w:val="24"/>
        </w:rPr>
        <w:t>同步提高，在初次分配层面切</w:t>
      </w:r>
      <w:r>
        <w:rPr>
          <w:rFonts w:hint="eastAsia" w:ascii="宋体" w:hAnsi="宋体" w:eastAsia="宋体" w:cs="宋体"/>
          <w:color w:val="231F20"/>
          <w:spacing w:val="18"/>
          <w:sz w:val="24"/>
          <w:szCs w:val="24"/>
        </w:rPr>
        <w:t>实促进共同富裕。</w:t>
      </w:r>
    </w:p>
    <w:p w14:paraId="0F7330D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再次，发挥“劳主多辅”分配方式在实现共</w:t>
      </w:r>
      <w:r>
        <w:rPr>
          <w:rFonts w:hint="eastAsia" w:ascii="宋体" w:hAnsi="宋体" w:eastAsia="宋体" w:cs="宋体"/>
          <w:color w:val="231F20"/>
          <w:spacing w:val="9"/>
          <w:sz w:val="24"/>
          <w:szCs w:val="24"/>
        </w:rPr>
        <w:t>同富裕中的决定性作用，需要科学区</w:t>
      </w:r>
      <w:r>
        <w:rPr>
          <w:rFonts w:hint="eastAsia" w:ascii="宋体" w:hAnsi="宋体" w:eastAsia="宋体" w:cs="宋体"/>
          <w:color w:val="231F20"/>
          <w:spacing w:val="11"/>
          <w:sz w:val="24"/>
          <w:szCs w:val="24"/>
        </w:rPr>
        <w:t>分劳动的数量差别和质量差别，从而在初次分配中体现和保障</w:t>
      </w:r>
      <w:r>
        <w:rPr>
          <w:rFonts w:hint="eastAsia" w:ascii="宋体" w:hAnsi="宋体" w:eastAsia="宋体" w:cs="宋体"/>
          <w:color w:val="231F20"/>
          <w:spacing w:val="10"/>
          <w:sz w:val="24"/>
          <w:szCs w:val="24"/>
        </w:rPr>
        <w:t>科研劳动者、管理劳动</w:t>
      </w:r>
      <w:r>
        <w:rPr>
          <w:rFonts w:hint="eastAsia" w:ascii="宋体" w:hAnsi="宋体" w:eastAsia="宋体" w:cs="宋体"/>
          <w:color w:val="231F20"/>
          <w:spacing w:val="11"/>
          <w:sz w:val="24"/>
          <w:szCs w:val="24"/>
        </w:rPr>
        <w:t>者和高技能劳动者的劳动报酬处于相对合理的水平。在我国社</w:t>
      </w:r>
      <w:r>
        <w:rPr>
          <w:rFonts w:hint="eastAsia" w:ascii="宋体" w:hAnsi="宋体" w:eastAsia="宋体" w:cs="宋体"/>
          <w:color w:val="231F20"/>
          <w:spacing w:val="10"/>
          <w:sz w:val="24"/>
          <w:szCs w:val="24"/>
        </w:rPr>
        <w:t>会主义市场经济中，按</w:t>
      </w:r>
      <w:r>
        <w:rPr>
          <w:rFonts w:hint="eastAsia" w:ascii="宋体" w:hAnsi="宋体" w:eastAsia="宋体" w:cs="宋体"/>
          <w:color w:val="231F20"/>
          <w:spacing w:val="17"/>
          <w:sz w:val="24"/>
          <w:szCs w:val="24"/>
        </w:rPr>
        <w:t>劳分配原则主要表现为市场型按劳分配，即公有制生产单</w:t>
      </w:r>
      <w:r>
        <w:rPr>
          <w:rFonts w:hint="eastAsia" w:ascii="宋体" w:hAnsi="宋体" w:eastAsia="宋体" w:cs="宋体"/>
          <w:color w:val="231F20"/>
          <w:spacing w:val="16"/>
          <w:sz w:val="24"/>
          <w:szCs w:val="24"/>
        </w:rPr>
        <w:t>位的分配主要采用货币形</w:t>
      </w:r>
      <w:r>
        <w:rPr>
          <w:rFonts w:hint="eastAsia" w:ascii="宋体" w:hAnsi="宋体" w:eastAsia="宋体" w:cs="宋体"/>
          <w:color w:val="231F20"/>
          <w:spacing w:val="11"/>
          <w:sz w:val="24"/>
          <w:szCs w:val="24"/>
        </w:rPr>
        <w:t>式，从而劳动者报酬也相应地表现为货币工资形式。由于劳动</w:t>
      </w:r>
      <w:r>
        <w:rPr>
          <w:rFonts w:hint="eastAsia" w:ascii="宋体" w:hAnsi="宋体" w:eastAsia="宋体" w:cs="宋体"/>
          <w:color w:val="231F20"/>
          <w:spacing w:val="10"/>
          <w:sz w:val="24"/>
          <w:szCs w:val="24"/>
        </w:rPr>
        <w:t>者及其家庭承担的教育</w:t>
      </w:r>
      <w:r>
        <w:rPr>
          <w:rFonts w:hint="eastAsia" w:ascii="宋体" w:hAnsi="宋体" w:eastAsia="宋体" w:cs="宋体"/>
          <w:color w:val="231F20"/>
          <w:spacing w:val="11"/>
          <w:sz w:val="24"/>
          <w:szCs w:val="24"/>
        </w:rPr>
        <w:t>和培养费用仍然占较大比重，市场型按劳分配仍需要承认与区</w:t>
      </w:r>
      <w:r>
        <w:rPr>
          <w:rFonts w:hint="eastAsia" w:ascii="宋体" w:hAnsi="宋体" w:eastAsia="宋体" w:cs="宋体"/>
          <w:color w:val="231F20"/>
          <w:spacing w:val="10"/>
          <w:sz w:val="24"/>
          <w:szCs w:val="24"/>
        </w:rPr>
        <w:t>分劳动的数量差别和质量差别，充分考虑劳动复杂程度对价值创造的</w:t>
      </w:r>
      <w:r>
        <w:rPr>
          <w:rFonts w:hint="eastAsia" w:ascii="宋体" w:hAnsi="宋体" w:eastAsia="宋体" w:cs="宋体"/>
          <w:color w:val="231F20"/>
          <w:spacing w:val="9"/>
          <w:sz w:val="24"/>
          <w:szCs w:val="24"/>
        </w:rPr>
        <w:t>影响，从而充分体现科研劳动、管理劳</w:t>
      </w:r>
      <w:r>
        <w:rPr>
          <w:rFonts w:hint="eastAsia" w:ascii="宋体" w:hAnsi="宋体" w:eastAsia="宋体" w:cs="宋体"/>
          <w:color w:val="231F20"/>
          <w:spacing w:val="11"/>
          <w:sz w:val="24"/>
          <w:szCs w:val="24"/>
        </w:rPr>
        <w:t>动和高技能劳动在价值创造、财富创造中的突出贡献。因此，</w:t>
      </w:r>
      <w:r>
        <w:rPr>
          <w:rFonts w:hint="eastAsia" w:ascii="宋体" w:hAnsi="宋体" w:eastAsia="宋体" w:cs="宋体"/>
          <w:color w:val="231F20"/>
          <w:spacing w:val="10"/>
          <w:sz w:val="24"/>
          <w:szCs w:val="24"/>
        </w:rPr>
        <w:t>公有制经济要通过具体</w:t>
      </w:r>
      <w:r>
        <w:rPr>
          <w:rFonts w:hint="eastAsia" w:ascii="宋体" w:hAnsi="宋体" w:eastAsia="宋体" w:cs="宋体"/>
          <w:color w:val="231F20"/>
          <w:spacing w:val="11"/>
          <w:sz w:val="24"/>
          <w:szCs w:val="24"/>
        </w:rPr>
        <w:t>收入分配机制的完善来降低劳动者之间报酬差距的不合理性，</w:t>
      </w:r>
      <w:r>
        <w:rPr>
          <w:rFonts w:hint="eastAsia" w:ascii="宋体" w:hAnsi="宋体" w:eastAsia="宋体" w:cs="宋体"/>
          <w:color w:val="231F20"/>
          <w:spacing w:val="10"/>
          <w:sz w:val="24"/>
          <w:szCs w:val="24"/>
        </w:rPr>
        <w:t>促进初次分配领域的相</w:t>
      </w:r>
      <w:r>
        <w:rPr>
          <w:rFonts w:hint="eastAsia" w:ascii="宋体" w:hAnsi="宋体" w:eastAsia="宋体" w:cs="宋体"/>
          <w:color w:val="231F20"/>
          <w:spacing w:val="-4"/>
          <w:sz w:val="24"/>
          <w:szCs w:val="24"/>
        </w:rPr>
        <w:t>对平等（即共同富裕）。</w:t>
      </w:r>
    </w:p>
    <w:p w14:paraId="12A94EF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简言之，在分配层面，扎实推动共同富裕，需要充分发挥“劳主多辅”分配方式</w:t>
      </w:r>
      <w:r>
        <w:rPr>
          <w:rFonts w:hint="eastAsia" w:ascii="宋体" w:hAnsi="宋体" w:eastAsia="宋体" w:cs="宋体"/>
          <w:color w:val="231F20"/>
          <w:spacing w:val="10"/>
          <w:sz w:val="24"/>
          <w:szCs w:val="24"/>
        </w:rPr>
        <w:t>在实现共同富裕中的决定性作用，扎实推进</w:t>
      </w:r>
      <w:r>
        <w:rPr>
          <w:rFonts w:hint="eastAsia" w:ascii="宋体" w:hAnsi="宋体" w:eastAsia="宋体" w:cs="宋体"/>
          <w:color w:val="231F20"/>
          <w:spacing w:val="9"/>
          <w:sz w:val="24"/>
          <w:szCs w:val="24"/>
        </w:rPr>
        <w:t>按劳分配原则的科学化与合理化，以实现</w:t>
      </w:r>
      <w:r>
        <w:rPr>
          <w:rFonts w:hint="eastAsia" w:ascii="宋体" w:hAnsi="宋体" w:eastAsia="宋体" w:cs="宋体"/>
          <w:color w:val="231F20"/>
          <w:spacing w:val="12"/>
          <w:sz w:val="24"/>
          <w:szCs w:val="24"/>
        </w:rPr>
        <w:t>分配中公平与效率的和谐统一。那种回避在企业内部进行的“第一次分配</w:t>
      </w:r>
      <w:r>
        <w:rPr>
          <w:rFonts w:hint="eastAsia" w:ascii="宋体" w:hAnsi="宋体" w:eastAsia="宋体" w:cs="宋体"/>
          <w:color w:val="231F20"/>
          <w:spacing w:val="11"/>
          <w:sz w:val="24"/>
          <w:szCs w:val="24"/>
        </w:rPr>
        <w:t>”主要取决</w:t>
      </w:r>
      <w:r>
        <w:rPr>
          <w:rFonts w:hint="eastAsia" w:ascii="宋体" w:hAnsi="宋体" w:eastAsia="宋体" w:cs="宋体"/>
          <w:color w:val="231F20"/>
          <w:spacing w:val="23"/>
          <w:sz w:val="24"/>
          <w:szCs w:val="24"/>
        </w:rPr>
        <w:t>于与市场竞争有关的生产要素产权关系，而认为主要取决于供求等市场机制</w:t>
      </w:r>
      <w:r>
        <w:rPr>
          <w:rFonts w:hint="eastAsia" w:ascii="宋体" w:hAnsi="宋体" w:eastAsia="宋体" w:cs="宋体"/>
          <w:color w:val="231F20"/>
          <w:spacing w:val="22"/>
          <w:sz w:val="24"/>
          <w:szCs w:val="24"/>
        </w:rPr>
        <w:t>的观</w:t>
      </w:r>
      <w:r>
        <w:rPr>
          <w:rFonts w:hint="eastAsia" w:ascii="宋体" w:hAnsi="宋体" w:eastAsia="宋体" w:cs="宋体"/>
          <w:color w:val="231F20"/>
          <w:spacing w:val="7"/>
          <w:sz w:val="24"/>
          <w:szCs w:val="24"/>
        </w:rPr>
        <w:t>点，</w:t>
      </w:r>
      <w:r>
        <w:rPr>
          <w:rStyle w:val="20"/>
          <w:rFonts w:hint="eastAsia" w:ascii="宋体" w:hAnsi="宋体" w:eastAsia="宋体" w:cs="宋体"/>
          <w:color w:val="231F20"/>
          <w:spacing w:val="7"/>
          <w:sz w:val="24"/>
          <w:szCs w:val="24"/>
        </w:rPr>
        <w:footnoteReference w:id="886"/>
      </w:r>
      <w:r>
        <w:rPr>
          <w:rFonts w:hint="eastAsia" w:ascii="宋体" w:hAnsi="宋体" w:eastAsia="宋体" w:cs="宋体"/>
          <w:color w:val="231F20"/>
          <w:spacing w:val="7"/>
          <w:sz w:val="24"/>
          <w:szCs w:val="24"/>
        </w:rPr>
        <w:t>是片面的。</w:t>
      </w:r>
    </w:p>
    <w:p w14:paraId="0E566E3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5E1B6CFA">
      <w:pPr>
        <w:pStyle w:val="4"/>
        <w:bidi w:val="0"/>
        <w:rPr>
          <w:rFonts w:hint="eastAsia"/>
        </w:rPr>
      </w:pPr>
      <w:r>
        <w:rPr>
          <w:rFonts w:hint="eastAsia"/>
        </w:rPr>
        <w:t>二、起辅助作用的“国家法策”分配方式</w:t>
      </w:r>
    </w:p>
    <w:p w14:paraId="35ACE6D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eastAsia" w:ascii="宋体" w:hAnsi="宋体" w:eastAsia="宋体" w:cs="宋体"/>
          <w:sz w:val="24"/>
          <w:szCs w:val="24"/>
        </w:rPr>
      </w:pPr>
    </w:p>
    <w:p w14:paraId="2549CF4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国家关于财富与收入分配的相关法律法规和政策（简称“国家法策”）是以国家</w:t>
      </w:r>
      <w:r>
        <w:rPr>
          <w:rFonts w:hint="eastAsia" w:ascii="宋体" w:hAnsi="宋体" w:eastAsia="宋体" w:cs="宋体"/>
          <w:color w:val="231F20"/>
          <w:spacing w:val="14"/>
          <w:sz w:val="24"/>
          <w:szCs w:val="24"/>
        </w:rPr>
        <w:t>为主体、贯穿初次分配和再分配的分配方式，包括法律法规、</w:t>
      </w:r>
      <w:r>
        <w:rPr>
          <w:rFonts w:hint="eastAsia" w:ascii="宋体" w:hAnsi="宋体" w:eastAsia="宋体" w:cs="宋体"/>
          <w:color w:val="231F20"/>
          <w:spacing w:val="13"/>
          <w:sz w:val="24"/>
          <w:szCs w:val="24"/>
        </w:rPr>
        <w:t>税收、转移支付、公共</w:t>
      </w:r>
      <w:r>
        <w:rPr>
          <w:rFonts w:hint="eastAsia" w:ascii="宋体" w:hAnsi="宋体" w:eastAsia="宋体" w:cs="宋体"/>
          <w:color w:val="231F20"/>
          <w:spacing w:val="14"/>
          <w:sz w:val="24"/>
          <w:szCs w:val="24"/>
        </w:rPr>
        <w:t>产品和服务等核心子系统。“国家法策”方式是国家的财富与收入调节借以实现的机</w:t>
      </w:r>
      <w:r>
        <w:rPr>
          <w:rFonts w:hint="eastAsia" w:ascii="宋体" w:hAnsi="宋体" w:eastAsia="宋体" w:cs="宋体"/>
          <w:color w:val="231F20"/>
          <w:spacing w:val="18"/>
          <w:sz w:val="24"/>
          <w:szCs w:val="24"/>
        </w:rPr>
        <w:t>制，在扎实推动共同富裕中具有重要的辅助性作用。扎实推动共同富裕，需要通过</w:t>
      </w:r>
      <w:r>
        <w:rPr>
          <w:rFonts w:hint="eastAsia" w:ascii="宋体" w:hAnsi="宋体" w:eastAsia="宋体" w:cs="宋体"/>
          <w:color w:val="231F20"/>
          <w:spacing w:val="8"/>
          <w:sz w:val="24"/>
          <w:szCs w:val="24"/>
        </w:rPr>
        <w:t>“国家法策”方式发挥国家调节在推动共同富裕中的重要导向性作用。</w:t>
      </w:r>
    </w:p>
    <w:p w14:paraId="67E192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position w:val="1"/>
          <w:sz w:val="24"/>
          <w:szCs w:val="24"/>
        </w:rPr>
        <w:t>（一）发挥法律法规在扎实推动共同富裕中的重要作用</w:t>
      </w:r>
    </w:p>
    <w:p w14:paraId="635957A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国家关于财富与收入分配的相关法律法规为规范和调节财富与收入分配，从而引</w:t>
      </w:r>
      <w:r>
        <w:rPr>
          <w:rFonts w:hint="eastAsia" w:ascii="宋体" w:hAnsi="宋体" w:eastAsia="宋体" w:cs="宋体"/>
          <w:color w:val="231F20"/>
          <w:spacing w:val="11"/>
          <w:sz w:val="24"/>
          <w:szCs w:val="24"/>
        </w:rPr>
        <w:t>导财富与收入分配朝着共同富裕方向发展提供了法治保障。</w:t>
      </w:r>
      <w:r>
        <w:rPr>
          <w:rFonts w:hint="eastAsia" w:ascii="宋体" w:hAnsi="宋体" w:eastAsia="宋体" w:cs="宋体"/>
          <w:color w:val="231F20"/>
          <w:spacing w:val="10"/>
          <w:sz w:val="24"/>
          <w:szCs w:val="24"/>
        </w:rPr>
        <w:t>扎实推动共同富裕，需要</w:t>
      </w:r>
      <w:r>
        <w:rPr>
          <w:rFonts w:hint="eastAsia" w:ascii="宋体" w:hAnsi="宋体" w:eastAsia="宋体" w:cs="宋体"/>
          <w:color w:val="231F20"/>
          <w:spacing w:val="9"/>
          <w:sz w:val="24"/>
          <w:szCs w:val="24"/>
        </w:rPr>
        <w:t>充分发挥法律法规在规范调节财富与收入分配中的重要导向作用。</w:t>
      </w:r>
    </w:p>
    <w:p w14:paraId="1BD19D5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在初次分配环节，国家劳动立法可以为保护劳动者合法权</w:t>
      </w:r>
      <w:r>
        <w:rPr>
          <w:rFonts w:hint="eastAsia" w:ascii="宋体" w:hAnsi="宋体" w:eastAsia="宋体" w:cs="宋体"/>
          <w:color w:val="231F20"/>
          <w:spacing w:val="10"/>
          <w:sz w:val="24"/>
          <w:szCs w:val="24"/>
        </w:rPr>
        <w:t>益和扎实推动共同富裕</w:t>
      </w:r>
      <w:r>
        <w:rPr>
          <w:rFonts w:hint="eastAsia" w:ascii="宋体" w:hAnsi="宋体" w:eastAsia="宋体" w:cs="宋体"/>
          <w:color w:val="231F20"/>
          <w:spacing w:val="12"/>
          <w:sz w:val="24"/>
          <w:szCs w:val="24"/>
        </w:rPr>
        <w:t>提供坚实的法治保障。具体需要推动劳动法、最低工资标准等收入调</w:t>
      </w:r>
      <w:r>
        <w:rPr>
          <w:rFonts w:hint="eastAsia" w:ascii="宋体" w:hAnsi="宋体" w:eastAsia="宋体" w:cs="宋体"/>
          <w:color w:val="231F20"/>
          <w:spacing w:val="11"/>
          <w:sz w:val="24"/>
          <w:szCs w:val="24"/>
        </w:rPr>
        <w:t>节相关法律法规与社会生产力发展水平相适应，进而推进实现企业内</w:t>
      </w:r>
      <w:r>
        <w:rPr>
          <w:rFonts w:hint="eastAsia" w:ascii="宋体" w:hAnsi="宋体" w:eastAsia="宋体" w:cs="宋体"/>
          <w:color w:val="231F20"/>
          <w:spacing w:val="10"/>
          <w:sz w:val="24"/>
          <w:szCs w:val="24"/>
        </w:rPr>
        <w:t>部劳动报酬与劳动生产率的同步</w:t>
      </w:r>
      <w:r>
        <w:rPr>
          <w:rFonts w:hint="eastAsia" w:ascii="宋体" w:hAnsi="宋体" w:eastAsia="宋体" w:cs="宋体"/>
          <w:color w:val="231F20"/>
          <w:spacing w:val="11"/>
          <w:sz w:val="24"/>
          <w:szCs w:val="24"/>
        </w:rPr>
        <w:t>提高。我国国家劳动立法能够在法制层面体现与维护</w:t>
      </w:r>
      <w:r>
        <w:rPr>
          <w:rFonts w:hint="eastAsia" w:ascii="宋体" w:hAnsi="宋体" w:eastAsia="宋体" w:cs="宋体"/>
          <w:color w:val="231F20"/>
          <w:spacing w:val="10"/>
          <w:sz w:val="24"/>
          <w:szCs w:val="24"/>
        </w:rPr>
        <w:t>劳动者的正当权益，如规定劳动</w:t>
      </w:r>
      <w:r>
        <w:rPr>
          <w:rFonts w:hint="eastAsia" w:ascii="宋体" w:hAnsi="宋体" w:eastAsia="宋体" w:cs="宋体"/>
          <w:color w:val="231F20"/>
          <w:spacing w:val="12"/>
          <w:sz w:val="24"/>
          <w:szCs w:val="24"/>
        </w:rPr>
        <w:t>合同的签订、维护法定劳动时间、限制加班时间、支付节假日和加班劳动的报酬</w:t>
      </w:r>
      <w:r>
        <w:rPr>
          <w:rFonts w:hint="eastAsia" w:ascii="宋体" w:hAnsi="宋体" w:eastAsia="宋体" w:cs="宋体"/>
          <w:color w:val="231F20"/>
          <w:spacing w:val="11"/>
          <w:sz w:val="24"/>
          <w:szCs w:val="24"/>
        </w:rPr>
        <w:t>、企</w:t>
      </w:r>
      <w:r>
        <w:rPr>
          <w:rFonts w:hint="eastAsia" w:ascii="宋体" w:hAnsi="宋体" w:eastAsia="宋体" w:cs="宋体"/>
          <w:color w:val="231F20"/>
          <w:spacing w:val="17"/>
          <w:sz w:val="24"/>
          <w:szCs w:val="24"/>
        </w:rPr>
        <w:t>业工资的集体谈判、惩罚拖欠职工工资、职工保险和福利等</w:t>
      </w:r>
      <w:r>
        <w:rPr>
          <w:rFonts w:hint="eastAsia" w:ascii="宋体" w:hAnsi="宋体" w:eastAsia="宋体" w:cs="宋体"/>
          <w:color w:val="231F20"/>
          <w:spacing w:val="16"/>
          <w:sz w:val="24"/>
          <w:szCs w:val="24"/>
        </w:rPr>
        <w:t>行为，从而推进劳动致</w:t>
      </w:r>
      <w:r>
        <w:rPr>
          <w:rFonts w:hint="eastAsia" w:ascii="宋体" w:hAnsi="宋体" w:eastAsia="宋体" w:cs="宋体"/>
          <w:color w:val="231F20"/>
          <w:spacing w:val="9"/>
          <w:sz w:val="24"/>
          <w:szCs w:val="24"/>
        </w:rPr>
        <w:t>富，引导初次分配朝着共同富裕方向发展。</w:t>
      </w:r>
    </w:p>
    <w:p w14:paraId="3644FF7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在劳动报酬方面，国家劳动立法为劳动者依法获取合理的</w:t>
      </w:r>
      <w:r>
        <w:rPr>
          <w:rFonts w:hint="eastAsia" w:ascii="宋体" w:hAnsi="宋体" w:eastAsia="宋体" w:cs="宋体"/>
          <w:color w:val="231F20"/>
          <w:spacing w:val="10"/>
          <w:sz w:val="24"/>
          <w:szCs w:val="24"/>
        </w:rPr>
        <w:t>劳动报酬提供了法制依</w:t>
      </w:r>
      <w:r>
        <w:rPr>
          <w:rFonts w:hint="eastAsia" w:ascii="宋体" w:hAnsi="宋体" w:eastAsia="宋体" w:cs="宋体"/>
          <w:color w:val="231F20"/>
          <w:spacing w:val="8"/>
          <w:sz w:val="24"/>
          <w:szCs w:val="24"/>
        </w:rPr>
        <w:t>据。《中华人民共和国劳动法》（以下简称《劳动法》）</w:t>
      </w:r>
      <w:r>
        <w:rPr>
          <w:rStyle w:val="20"/>
          <w:rFonts w:hint="eastAsia" w:ascii="宋体" w:hAnsi="宋体" w:eastAsia="宋体" w:cs="宋体"/>
          <w:color w:val="231F20"/>
          <w:spacing w:val="36"/>
          <w:sz w:val="24"/>
          <w:szCs w:val="24"/>
        </w:rPr>
        <w:footnoteReference w:id="887"/>
      </w:r>
      <w:r>
        <w:rPr>
          <w:rFonts w:hint="eastAsia" w:ascii="宋体" w:hAnsi="宋体" w:eastAsia="宋体" w:cs="宋体"/>
          <w:color w:val="231F20"/>
          <w:spacing w:val="8"/>
          <w:sz w:val="24"/>
          <w:szCs w:val="24"/>
        </w:rPr>
        <w:t>将劳动报酬列为劳动</w:t>
      </w:r>
      <w:r>
        <w:rPr>
          <w:rFonts w:hint="eastAsia" w:ascii="宋体" w:hAnsi="宋体" w:eastAsia="宋体" w:cs="宋体"/>
          <w:color w:val="231F20"/>
          <w:spacing w:val="7"/>
          <w:sz w:val="24"/>
          <w:szCs w:val="24"/>
        </w:rPr>
        <w:t>合同的</w:t>
      </w:r>
      <w:r>
        <w:rPr>
          <w:rFonts w:hint="eastAsia" w:ascii="宋体" w:hAnsi="宋体" w:eastAsia="宋体" w:cs="宋体"/>
          <w:color w:val="231F20"/>
          <w:spacing w:val="15"/>
          <w:sz w:val="24"/>
          <w:szCs w:val="24"/>
        </w:rPr>
        <w:t>必备条款，规定了工资分配与工资增长原则，为促进</w:t>
      </w:r>
      <w:r>
        <w:rPr>
          <w:rFonts w:hint="eastAsia" w:ascii="宋体" w:hAnsi="宋体" w:eastAsia="宋体" w:cs="宋体"/>
          <w:color w:val="231F20"/>
          <w:spacing w:val="14"/>
          <w:sz w:val="24"/>
          <w:szCs w:val="24"/>
        </w:rPr>
        <w:t>共同富裕奠定法制基础。其中，工资分配的按劳分配原则和同工同酬原则保障了劳动者之间的分</w:t>
      </w:r>
      <w:r>
        <w:rPr>
          <w:rFonts w:hint="eastAsia" w:ascii="宋体" w:hAnsi="宋体" w:eastAsia="宋体" w:cs="宋体"/>
          <w:color w:val="231F20"/>
          <w:spacing w:val="13"/>
          <w:sz w:val="24"/>
          <w:szCs w:val="24"/>
        </w:rPr>
        <w:t>配公平；而工资水平</w:t>
      </w:r>
      <w:r>
        <w:rPr>
          <w:rFonts w:hint="eastAsia" w:ascii="宋体" w:hAnsi="宋体" w:eastAsia="宋体" w:cs="宋体"/>
          <w:color w:val="231F20"/>
          <w:spacing w:val="9"/>
          <w:sz w:val="24"/>
          <w:szCs w:val="24"/>
        </w:rPr>
        <w:t>“在经济发展的基础上逐步提高”的原则保障了劳动者能够共享经济发展的成果。《劳</w:t>
      </w:r>
      <w:r>
        <w:rPr>
          <w:rFonts w:hint="eastAsia" w:ascii="宋体" w:hAnsi="宋体" w:eastAsia="宋体" w:cs="宋体"/>
          <w:color w:val="231F20"/>
          <w:spacing w:val="22"/>
          <w:sz w:val="24"/>
          <w:szCs w:val="24"/>
        </w:rPr>
        <w:t>动法》中的最低工资保障制度条款规定劳动者的工资不得</w:t>
      </w:r>
      <w:r>
        <w:rPr>
          <w:rFonts w:hint="eastAsia" w:ascii="宋体" w:hAnsi="宋体" w:eastAsia="宋体" w:cs="宋体"/>
          <w:color w:val="231F20"/>
          <w:spacing w:val="21"/>
          <w:sz w:val="24"/>
          <w:szCs w:val="24"/>
        </w:rPr>
        <w:t>低于当地最低工资标准。</w:t>
      </w:r>
      <w:r>
        <w:rPr>
          <w:rFonts w:hint="eastAsia" w:ascii="宋体" w:hAnsi="宋体" w:eastAsia="宋体" w:cs="宋体"/>
          <w:color w:val="231F20"/>
          <w:spacing w:val="12"/>
          <w:sz w:val="24"/>
          <w:szCs w:val="24"/>
        </w:rPr>
        <w:t>《最低工资规定》</w:t>
      </w:r>
      <w:r>
        <w:rPr>
          <w:rStyle w:val="20"/>
          <w:rFonts w:hint="eastAsia" w:ascii="宋体" w:hAnsi="宋体" w:eastAsia="宋体" w:cs="宋体"/>
          <w:color w:val="231F20"/>
          <w:spacing w:val="12"/>
          <w:sz w:val="24"/>
          <w:szCs w:val="24"/>
        </w:rPr>
        <w:footnoteReference w:id="888"/>
      </w:r>
      <w:r>
        <w:rPr>
          <w:rFonts w:hint="eastAsia" w:ascii="宋体" w:hAnsi="宋体" w:eastAsia="宋体" w:cs="宋体"/>
          <w:color w:val="231F20"/>
          <w:spacing w:val="12"/>
          <w:sz w:val="24"/>
          <w:szCs w:val="24"/>
        </w:rPr>
        <w:t>进一步细化了最低工资标准的实施</w:t>
      </w:r>
      <w:r>
        <w:rPr>
          <w:rFonts w:hint="eastAsia" w:ascii="宋体" w:hAnsi="宋体" w:eastAsia="宋体" w:cs="宋体"/>
          <w:color w:val="231F20"/>
          <w:spacing w:val="11"/>
          <w:sz w:val="24"/>
          <w:szCs w:val="24"/>
        </w:rPr>
        <w:t>规则。关于最低工资标准的法律</w:t>
      </w:r>
      <w:r>
        <w:rPr>
          <w:rFonts w:hint="eastAsia" w:ascii="宋体" w:hAnsi="宋体" w:eastAsia="宋体" w:cs="宋体"/>
          <w:color w:val="231F20"/>
          <w:spacing w:val="13"/>
          <w:sz w:val="24"/>
          <w:szCs w:val="24"/>
        </w:rPr>
        <w:t>法规为最低工资标准的不断提高奠定了法制基础</w:t>
      </w:r>
      <w:r>
        <w:rPr>
          <w:rFonts w:hint="eastAsia" w:ascii="宋体" w:hAnsi="宋体" w:eastAsia="宋体" w:cs="宋体"/>
          <w:color w:val="231F20"/>
          <w:spacing w:val="12"/>
          <w:sz w:val="24"/>
          <w:szCs w:val="24"/>
        </w:rPr>
        <w:t>，直接保障了劳动者的收入底线，从</w:t>
      </w:r>
      <w:r>
        <w:rPr>
          <w:rFonts w:hint="eastAsia" w:ascii="宋体" w:hAnsi="宋体" w:eastAsia="宋体" w:cs="宋体"/>
          <w:color w:val="231F20"/>
          <w:spacing w:val="16"/>
          <w:sz w:val="24"/>
          <w:szCs w:val="24"/>
        </w:rPr>
        <w:t>而扎实推动共同富裕的底线保障。</w:t>
      </w:r>
    </w:p>
    <w:p w14:paraId="43D3075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在劳动者权益方面，国家劳动立法为劳动者在依法休息和</w:t>
      </w:r>
      <w:r>
        <w:rPr>
          <w:rFonts w:hint="eastAsia" w:ascii="宋体" w:hAnsi="宋体" w:eastAsia="宋体" w:cs="宋体"/>
          <w:color w:val="231F20"/>
          <w:spacing w:val="10"/>
          <w:sz w:val="24"/>
          <w:szCs w:val="24"/>
        </w:rPr>
        <w:t>休假的条件下正常获取劳动报酬提供了法制依据。《劳动法》规定“以货币形式按月支付给劳动者本人”的</w:t>
      </w:r>
      <w:r>
        <w:rPr>
          <w:rFonts w:hint="eastAsia" w:ascii="宋体" w:hAnsi="宋体" w:eastAsia="宋体" w:cs="宋体"/>
          <w:color w:val="231F20"/>
          <w:spacing w:val="11"/>
          <w:sz w:val="24"/>
          <w:szCs w:val="24"/>
        </w:rPr>
        <w:t>工资支付方式和“不得克扣或者无故拖欠”的工资支付原则，并强</w:t>
      </w:r>
      <w:r>
        <w:rPr>
          <w:rFonts w:hint="eastAsia" w:ascii="宋体" w:hAnsi="宋体" w:eastAsia="宋体" w:cs="宋体"/>
          <w:color w:val="231F20"/>
          <w:spacing w:val="10"/>
          <w:sz w:val="24"/>
          <w:szCs w:val="24"/>
        </w:rPr>
        <w:t>调劳动者依法休假</w:t>
      </w:r>
      <w:r>
        <w:rPr>
          <w:rFonts w:hint="eastAsia" w:ascii="宋体" w:hAnsi="宋体" w:eastAsia="宋体" w:cs="宋体"/>
          <w:color w:val="231F20"/>
          <w:spacing w:val="9"/>
          <w:sz w:val="24"/>
          <w:szCs w:val="24"/>
        </w:rPr>
        <w:t>和参加社会活动期间享受工资待遇。在此基础上，《工资支付暂行</w:t>
      </w:r>
      <w:r>
        <w:rPr>
          <w:rFonts w:hint="eastAsia" w:ascii="宋体" w:hAnsi="宋体" w:eastAsia="宋体" w:cs="宋体"/>
          <w:color w:val="231F20"/>
          <w:spacing w:val="8"/>
          <w:sz w:val="24"/>
          <w:szCs w:val="24"/>
        </w:rPr>
        <w:t>规定》</w:t>
      </w:r>
      <w:r>
        <w:rPr>
          <w:rStyle w:val="20"/>
          <w:rFonts w:hint="eastAsia" w:ascii="宋体" w:hAnsi="宋体" w:eastAsia="宋体" w:cs="宋体"/>
          <w:color w:val="231F20"/>
          <w:spacing w:val="8"/>
          <w:sz w:val="24"/>
          <w:szCs w:val="24"/>
        </w:rPr>
        <w:footnoteReference w:id="889"/>
      </w:r>
      <w:r>
        <w:rPr>
          <w:rFonts w:hint="eastAsia" w:ascii="宋体" w:hAnsi="宋体" w:eastAsia="宋体" w:cs="宋体"/>
          <w:color w:val="231F20"/>
          <w:spacing w:val="8"/>
          <w:sz w:val="24"/>
          <w:szCs w:val="24"/>
        </w:rPr>
        <w:t>通过细化规</w:t>
      </w:r>
      <w:r>
        <w:rPr>
          <w:rFonts w:hint="eastAsia" w:ascii="宋体" w:hAnsi="宋体" w:eastAsia="宋体" w:cs="宋体"/>
          <w:color w:val="231F20"/>
          <w:spacing w:val="9"/>
          <w:sz w:val="24"/>
          <w:szCs w:val="24"/>
        </w:rPr>
        <w:t>则进一步规范用人单位的工资支付行为。《保障农民工工资支付条</w:t>
      </w:r>
      <w:r>
        <w:rPr>
          <w:rFonts w:hint="eastAsia" w:ascii="宋体" w:hAnsi="宋体" w:eastAsia="宋体" w:cs="宋体"/>
          <w:color w:val="231F20"/>
          <w:spacing w:val="8"/>
          <w:sz w:val="24"/>
          <w:szCs w:val="24"/>
        </w:rPr>
        <w:t>例》</w:t>
      </w:r>
      <w:r>
        <w:rPr>
          <w:rStyle w:val="20"/>
          <w:rFonts w:hint="eastAsia" w:ascii="宋体" w:hAnsi="宋体" w:eastAsia="宋体" w:cs="宋体"/>
          <w:color w:val="231F20"/>
          <w:spacing w:val="8"/>
          <w:sz w:val="24"/>
          <w:szCs w:val="24"/>
        </w:rPr>
        <w:footnoteReference w:id="890"/>
      </w:r>
      <w:r>
        <w:rPr>
          <w:rFonts w:hint="eastAsia" w:ascii="宋体" w:hAnsi="宋体" w:eastAsia="宋体" w:cs="宋体"/>
          <w:color w:val="231F20"/>
          <w:spacing w:val="8"/>
          <w:sz w:val="24"/>
          <w:szCs w:val="24"/>
        </w:rPr>
        <w:t>通过细化农民</w:t>
      </w:r>
      <w:r>
        <w:rPr>
          <w:rFonts w:hint="eastAsia" w:ascii="宋体" w:hAnsi="宋体" w:eastAsia="宋体" w:cs="宋体"/>
          <w:color w:val="231F20"/>
          <w:spacing w:val="11"/>
          <w:sz w:val="24"/>
          <w:szCs w:val="24"/>
        </w:rPr>
        <w:t>工工资支付的规则来规范农民工工资支付行为，从而为保障农民工</w:t>
      </w:r>
      <w:r>
        <w:rPr>
          <w:rFonts w:hint="eastAsia" w:ascii="宋体" w:hAnsi="宋体" w:eastAsia="宋体" w:cs="宋体"/>
          <w:color w:val="231F20"/>
          <w:spacing w:val="10"/>
          <w:sz w:val="24"/>
          <w:szCs w:val="24"/>
        </w:rPr>
        <w:t>按时足额获得工资</w:t>
      </w:r>
      <w:r>
        <w:rPr>
          <w:rFonts w:hint="eastAsia" w:ascii="宋体" w:hAnsi="宋体" w:eastAsia="宋体" w:cs="宋体"/>
          <w:color w:val="231F20"/>
          <w:spacing w:val="9"/>
          <w:sz w:val="24"/>
          <w:szCs w:val="24"/>
        </w:rPr>
        <w:t>提供有力的法制基础。《拖欠农民工工资失信联合惩戒对象名单管</w:t>
      </w:r>
      <w:r>
        <w:rPr>
          <w:rFonts w:hint="eastAsia" w:ascii="宋体" w:hAnsi="宋体" w:eastAsia="宋体" w:cs="宋体"/>
          <w:color w:val="231F20"/>
          <w:spacing w:val="8"/>
          <w:sz w:val="24"/>
          <w:szCs w:val="24"/>
        </w:rPr>
        <w:t>理暂行办法》</w:t>
      </w:r>
      <w:r>
        <w:rPr>
          <w:rStyle w:val="20"/>
          <w:rFonts w:hint="eastAsia" w:ascii="宋体" w:hAnsi="宋体" w:eastAsia="宋体" w:cs="宋体"/>
          <w:color w:val="231F20"/>
          <w:spacing w:val="8"/>
          <w:sz w:val="24"/>
          <w:szCs w:val="24"/>
        </w:rPr>
        <w:footnoteReference w:id="891"/>
      </w:r>
      <w:r>
        <w:rPr>
          <w:rFonts w:hint="eastAsia" w:ascii="宋体" w:hAnsi="宋体" w:eastAsia="宋体" w:cs="宋体"/>
          <w:color w:val="231F20"/>
          <w:spacing w:val="8"/>
          <w:sz w:val="24"/>
          <w:szCs w:val="24"/>
        </w:rPr>
        <w:t>则为</w:t>
      </w:r>
      <w:r>
        <w:rPr>
          <w:rFonts w:hint="eastAsia" w:ascii="宋体" w:hAnsi="宋体" w:eastAsia="宋体" w:cs="宋体"/>
          <w:color w:val="231F20"/>
          <w:spacing w:val="12"/>
          <w:sz w:val="24"/>
          <w:szCs w:val="24"/>
        </w:rPr>
        <w:t>惩戒拖欠农民工工资的行为从而确保农民工按时获得工资提供法制手段。在劳动者组</w:t>
      </w:r>
      <w:r>
        <w:rPr>
          <w:rFonts w:hint="eastAsia" w:ascii="宋体" w:hAnsi="宋体" w:eastAsia="宋体" w:cs="宋体"/>
          <w:color w:val="231F20"/>
          <w:spacing w:val="11"/>
          <w:sz w:val="24"/>
          <w:szCs w:val="24"/>
        </w:rPr>
        <w:t>织方面，国家劳动立法为发挥工会在企业工资的集体谈判、交涉拖</w:t>
      </w:r>
      <w:r>
        <w:rPr>
          <w:rFonts w:hint="eastAsia" w:ascii="宋体" w:hAnsi="宋体" w:eastAsia="宋体" w:cs="宋体"/>
          <w:color w:val="231F20"/>
          <w:spacing w:val="10"/>
          <w:sz w:val="24"/>
          <w:szCs w:val="24"/>
        </w:rPr>
        <w:t>欠职工工资、职工</w:t>
      </w:r>
      <w:r>
        <w:rPr>
          <w:rFonts w:hint="eastAsia" w:ascii="宋体" w:hAnsi="宋体" w:eastAsia="宋体" w:cs="宋体"/>
          <w:color w:val="231F20"/>
          <w:spacing w:val="8"/>
          <w:sz w:val="24"/>
          <w:szCs w:val="24"/>
        </w:rPr>
        <w:t>保险和福利等方面的积极作用奠定了法制基础。《中华人民共和国工会法》</w:t>
      </w:r>
      <w:r>
        <w:rPr>
          <w:rStyle w:val="20"/>
          <w:rFonts w:hint="eastAsia" w:ascii="宋体" w:hAnsi="宋体" w:eastAsia="宋体" w:cs="宋体"/>
          <w:color w:val="231F20"/>
          <w:spacing w:val="8"/>
          <w:sz w:val="24"/>
          <w:szCs w:val="24"/>
        </w:rPr>
        <w:footnoteReference w:id="892"/>
      </w:r>
      <w:r>
        <w:rPr>
          <w:rFonts w:hint="eastAsia" w:ascii="宋体" w:hAnsi="宋体" w:eastAsia="宋体" w:cs="宋体"/>
          <w:color w:val="231F20"/>
          <w:spacing w:val="8"/>
          <w:sz w:val="24"/>
          <w:szCs w:val="24"/>
        </w:rPr>
        <w:t>明确列举</w:t>
      </w:r>
      <w:r>
        <w:rPr>
          <w:rFonts w:hint="eastAsia" w:ascii="宋体" w:hAnsi="宋体" w:eastAsia="宋体" w:cs="宋体"/>
          <w:color w:val="231F20"/>
          <w:spacing w:val="11"/>
          <w:sz w:val="24"/>
          <w:szCs w:val="24"/>
        </w:rPr>
        <w:t>了工会应当代表职工与企业、事业单位、社会组织进行交涉的侵犯职工劳动权益情形</w:t>
      </w:r>
      <w:r>
        <w:rPr>
          <w:rFonts w:hint="eastAsia" w:ascii="宋体" w:hAnsi="宋体" w:eastAsia="宋体" w:cs="宋体"/>
          <w:color w:val="231F20"/>
          <w:spacing w:val="10"/>
          <w:sz w:val="24"/>
          <w:szCs w:val="24"/>
        </w:rPr>
        <w:t>（包括克扣、拖欠职工工资，随意延长劳动时间等多种情形</w:t>
      </w:r>
      <w:r>
        <w:rPr>
          <w:rFonts w:hint="eastAsia" w:ascii="宋体" w:hAnsi="宋体" w:eastAsia="宋体" w:cs="宋体"/>
          <w:color w:val="231F20"/>
          <w:spacing w:val="-53"/>
          <w:w w:val="96"/>
          <w:sz w:val="24"/>
          <w:szCs w:val="24"/>
        </w:rPr>
        <w:t>），</w:t>
      </w:r>
      <w:r>
        <w:rPr>
          <w:rFonts w:hint="eastAsia" w:ascii="宋体" w:hAnsi="宋体" w:eastAsia="宋体" w:cs="宋体"/>
          <w:color w:val="231F20"/>
          <w:spacing w:val="9"/>
          <w:sz w:val="24"/>
          <w:szCs w:val="24"/>
        </w:rPr>
        <w:t>并强调了工会协助用人</w:t>
      </w:r>
      <w:r>
        <w:rPr>
          <w:rFonts w:hint="eastAsia" w:ascii="宋体" w:hAnsi="宋体" w:eastAsia="宋体" w:cs="宋体"/>
          <w:color w:val="231F20"/>
          <w:spacing w:val="14"/>
          <w:sz w:val="24"/>
          <w:szCs w:val="24"/>
        </w:rPr>
        <w:t>单位办好职工集体福利事业的职能。</w:t>
      </w:r>
    </w:p>
    <w:p w14:paraId="4A479DA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在再分配环节，国家再分配立法可以发挥国家在财富与收</w:t>
      </w:r>
      <w:r>
        <w:rPr>
          <w:rFonts w:hint="eastAsia" w:ascii="宋体" w:hAnsi="宋体" w:eastAsia="宋体" w:cs="宋体"/>
          <w:color w:val="231F20"/>
          <w:spacing w:val="10"/>
          <w:sz w:val="24"/>
          <w:szCs w:val="24"/>
        </w:rPr>
        <w:t>入的调节等方面的导向</w:t>
      </w:r>
      <w:r>
        <w:rPr>
          <w:rFonts w:hint="eastAsia" w:ascii="宋体" w:hAnsi="宋体" w:eastAsia="宋体" w:cs="宋体"/>
          <w:color w:val="231F20"/>
          <w:spacing w:val="11"/>
          <w:sz w:val="24"/>
          <w:szCs w:val="24"/>
        </w:rPr>
        <w:t>作用，从而为实现共同富裕奠定了法制基础。国家通过政府利</w:t>
      </w:r>
      <w:r>
        <w:rPr>
          <w:rFonts w:hint="eastAsia" w:ascii="宋体" w:hAnsi="宋体" w:eastAsia="宋体" w:cs="宋体"/>
          <w:color w:val="231F20"/>
          <w:spacing w:val="10"/>
          <w:sz w:val="24"/>
          <w:szCs w:val="24"/>
        </w:rPr>
        <w:t>率、价格、税收、转移支付等手段调节财富与收入的宏观调控政策，</w:t>
      </w:r>
      <w:r>
        <w:rPr>
          <w:rFonts w:hint="eastAsia" w:ascii="宋体" w:hAnsi="宋体" w:eastAsia="宋体" w:cs="宋体"/>
          <w:color w:val="231F20"/>
          <w:spacing w:val="9"/>
          <w:sz w:val="24"/>
          <w:szCs w:val="24"/>
        </w:rPr>
        <w:t>取缔非法收入，以及发展社会福利保障</w:t>
      </w:r>
      <w:r>
        <w:rPr>
          <w:rFonts w:hint="eastAsia" w:ascii="宋体" w:hAnsi="宋体" w:eastAsia="宋体" w:cs="宋体"/>
          <w:color w:val="231F20"/>
          <w:spacing w:val="11"/>
          <w:sz w:val="24"/>
          <w:szCs w:val="24"/>
        </w:rPr>
        <w:t>体系，均需以国家再分配方面的法律法规为依据。例如</w:t>
      </w:r>
      <w:r>
        <w:rPr>
          <w:rFonts w:hint="eastAsia" w:ascii="宋体" w:hAnsi="宋体" w:eastAsia="宋体" w:cs="宋体"/>
          <w:color w:val="231F20"/>
          <w:spacing w:val="10"/>
          <w:sz w:val="24"/>
          <w:szCs w:val="24"/>
        </w:rPr>
        <w:t>，《中华人民共和国税收征收</w:t>
      </w:r>
      <w:r>
        <w:rPr>
          <w:rFonts w:hint="eastAsia" w:ascii="宋体" w:hAnsi="宋体" w:eastAsia="宋体" w:cs="宋体"/>
          <w:color w:val="231F20"/>
          <w:spacing w:val="12"/>
          <w:sz w:val="24"/>
          <w:szCs w:val="24"/>
        </w:rPr>
        <w:t>管理法》和《中华人民共和国税收征收管理法实施细则》为规范税收征收和缴</w:t>
      </w:r>
      <w:r>
        <w:rPr>
          <w:rFonts w:hint="eastAsia" w:ascii="宋体" w:hAnsi="宋体" w:eastAsia="宋体" w:cs="宋体"/>
          <w:color w:val="231F20"/>
          <w:spacing w:val="11"/>
          <w:sz w:val="24"/>
          <w:szCs w:val="24"/>
        </w:rPr>
        <w:t>纳行为</w:t>
      </w:r>
      <w:r>
        <w:rPr>
          <w:rFonts w:hint="eastAsia" w:ascii="宋体" w:hAnsi="宋体" w:eastAsia="宋体" w:cs="宋体"/>
          <w:color w:val="231F20"/>
          <w:spacing w:val="5"/>
          <w:sz w:val="24"/>
          <w:szCs w:val="24"/>
        </w:rPr>
        <w:t>尤其是查处偷逃税、“阴阳合同”“天价片酬”等行为提供了法律法规依据。《中华人</w:t>
      </w:r>
      <w:r>
        <w:rPr>
          <w:rFonts w:hint="eastAsia" w:ascii="宋体" w:hAnsi="宋体" w:eastAsia="宋体" w:cs="宋体"/>
          <w:color w:val="231F20"/>
          <w:spacing w:val="12"/>
          <w:sz w:val="24"/>
          <w:szCs w:val="24"/>
        </w:rPr>
        <w:t>民共和国社会保险法》为规范社会保险关系从而促进公民共享经济发展成果提</w:t>
      </w:r>
      <w:r>
        <w:rPr>
          <w:rFonts w:hint="eastAsia" w:ascii="宋体" w:hAnsi="宋体" w:eastAsia="宋体" w:cs="宋体"/>
          <w:color w:val="231F20"/>
          <w:spacing w:val="11"/>
          <w:sz w:val="24"/>
          <w:szCs w:val="24"/>
        </w:rPr>
        <w:t>供了法</w:t>
      </w:r>
      <w:r>
        <w:rPr>
          <w:rFonts w:hint="eastAsia" w:ascii="宋体" w:hAnsi="宋体" w:eastAsia="宋体" w:cs="宋体"/>
          <w:color w:val="231F20"/>
          <w:spacing w:val="7"/>
          <w:sz w:val="24"/>
          <w:szCs w:val="24"/>
        </w:rPr>
        <w:t>律法规保障。</w:t>
      </w:r>
    </w:p>
    <w:p w14:paraId="0EC8882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可见，在法治层面，扎实推动共同富裕，需要发挥国家法制法规在保护劳动者正</w:t>
      </w:r>
      <w:r>
        <w:rPr>
          <w:rFonts w:hint="eastAsia" w:ascii="宋体" w:hAnsi="宋体" w:eastAsia="宋体" w:cs="宋体"/>
          <w:color w:val="231F20"/>
          <w:spacing w:val="9"/>
          <w:sz w:val="24"/>
          <w:szCs w:val="24"/>
        </w:rPr>
        <w:t>当权益、维护劳资双方平等地位、防止财富和收入差距过大等方面的权威保障作用。</w:t>
      </w:r>
    </w:p>
    <w:p w14:paraId="682A05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position w:val="1"/>
          <w:sz w:val="24"/>
          <w:szCs w:val="24"/>
        </w:rPr>
        <w:t>（二）发挥国家再分配政策在扎实推动共同富裕</w:t>
      </w:r>
      <w:r>
        <w:rPr>
          <w:rFonts w:hint="eastAsia" w:ascii="宋体" w:hAnsi="宋体" w:eastAsia="宋体" w:cs="宋体"/>
          <w:color w:val="231F20"/>
          <w:spacing w:val="8"/>
          <w:position w:val="1"/>
          <w:sz w:val="24"/>
          <w:szCs w:val="24"/>
        </w:rPr>
        <w:t>中的重要作用</w:t>
      </w:r>
    </w:p>
    <w:p w14:paraId="7127363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在再分配环节，国家对财富与收入的调节政策能够矫正初</w:t>
      </w:r>
      <w:r>
        <w:rPr>
          <w:rFonts w:hint="eastAsia" w:ascii="宋体" w:hAnsi="宋体" w:eastAsia="宋体" w:cs="宋体"/>
          <w:color w:val="231F20"/>
          <w:spacing w:val="10"/>
          <w:sz w:val="24"/>
          <w:szCs w:val="24"/>
        </w:rPr>
        <w:t>次分配造成的贫富差距</w:t>
      </w:r>
      <w:r>
        <w:rPr>
          <w:rFonts w:hint="eastAsia" w:ascii="宋体" w:hAnsi="宋体" w:eastAsia="宋体" w:cs="宋体"/>
          <w:color w:val="231F20"/>
          <w:spacing w:val="11"/>
          <w:sz w:val="24"/>
          <w:szCs w:val="24"/>
        </w:rPr>
        <w:t>过大的状况，对促进共同富裕发挥托底保障作用。发挥国家再分配</w:t>
      </w:r>
      <w:r>
        <w:rPr>
          <w:rFonts w:hint="eastAsia" w:ascii="宋体" w:hAnsi="宋体" w:eastAsia="宋体" w:cs="宋体"/>
          <w:color w:val="231F20"/>
          <w:spacing w:val="10"/>
          <w:sz w:val="24"/>
          <w:szCs w:val="24"/>
        </w:rPr>
        <w:t>政策在扎实推动共同富裕中的重要作用，需要不断完善再分配调节机</w:t>
      </w:r>
      <w:r>
        <w:rPr>
          <w:rFonts w:hint="eastAsia" w:ascii="宋体" w:hAnsi="宋体" w:eastAsia="宋体" w:cs="宋体"/>
          <w:color w:val="231F20"/>
          <w:spacing w:val="9"/>
          <w:sz w:val="24"/>
          <w:szCs w:val="24"/>
        </w:rPr>
        <w:t>制，综合运用税收、转移支付、社会保障等调节手段，推动居民收入增长与经济增长同步。</w:t>
      </w:r>
    </w:p>
    <w:p w14:paraId="1AB0831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首先，在财富与收入的直接调节层面，扎实推动共同富裕，国家需要综合运用税</w:t>
      </w:r>
      <w:r>
        <w:rPr>
          <w:rFonts w:hint="eastAsia" w:ascii="宋体" w:hAnsi="宋体" w:eastAsia="宋体" w:cs="宋体"/>
          <w:color w:val="231F20"/>
          <w:spacing w:val="10"/>
          <w:sz w:val="24"/>
          <w:szCs w:val="24"/>
        </w:rPr>
        <w:t>收、转移支付等调节手段进行财富与收入分配</w:t>
      </w:r>
      <w:r>
        <w:rPr>
          <w:rFonts w:hint="eastAsia" w:ascii="宋体" w:hAnsi="宋体" w:eastAsia="宋体" w:cs="宋体"/>
          <w:color w:val="231F20"/>
          <w:spacing w:val="9"/>
          <w:sz w:val="24"/>
          <w:szCs w:val="24"/>
        </w:rPr>
        <w:t>的系统性调节，从而缩小贫富差距，防</w:t>
      </w:r>
      <w:r>
        <w:rPr>
          <w:rFonts w:hint="eastAsia" w:ascii="宋体" w:hAnsi="宋体" w:eastAsia="宋体" w:cs="宋体"/>
          <w:color w:val="231F20"/>
          <w:spacing w:val="10"/>
          <w:sz w:val="24"/>
          <w:szCs w:val="24"/>
        </w:rPr>
        <w:t>止贫富两极分化。当前，我国在已完成了消除</w:t>
      </w:r>
      <w:r>
        <w:rPr>
          <w:rFonts w:hint="eastAsia" w:ascii="宋体" w:hAnsi="宋体" w:eastAsia="宋体" w:cs="宋体"/>
          <w:color w:val="231F20"/>
          <w:spacing w:val="9"/>
          <w:sz w:val="24"/>
          <w:szCs w:val="24"/>
        </w:rPr>
        <w:t>绝对贫困的艰巨任务之后，需要重视并</w:t>
      </w:r>
      <w:r>
        <w:rPr>
          <w:rFonts w:hint="eastAsia" w:ascii="宋体" w:hAnsi="宋体" w:eastAsia="宋体" w:cs="宋体"/>
          <w:color w:val="231F20"/>
          <w:spacing w:val="7"/>
          <w:sz w:val="24"/>
          <w:szCs w:val="24"/>
        </w:rPr>
        <w:t>逐步解决相对贫困。</w:t>
      </w:r>
    </w:p>
    <w:p w14:paraId="48B36D6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在我国社会主义市场经济中，国家税收体系能够调节高收</w:t>
      </w:r>
      <w:r>
        <w:rPr>
          <w:rFonts w:hint="eastAsia" w:ascii="宋体" w:hAnsi="宋体" w:eastAsia="宋体" w:cs="宋体"/>
          <w:color w:val="231F20"/>
          <w:spacing w:val="10"/>
          <w:sz w:val="24"/>
          <w:szCs w:val="24"/>
        </w:rPr>
        <w:t>入群体过高的财富和收入。以我国税收体系为例，与个人可支配收入直接相联系的税种是个人所得税。1993年修订的个人所得税法实施以来，我国个人所得税</w:t>
      </w:r>
      <w:r>
        <w:rPr>
          <w:rFonts w:hint="eastAsia" w:ascii="宋体" w:hAnsi="宋体" w:eastAsia="宋体" w:cs="宋体"/>
          <w:color w:val="231F20"/>
          <w:spacing w:val="9"/>
          <w:sz w:val="24"/>
          <w:szCs w:val="24"/>
        </w:rPr>
        <w:t>的起征水平逐渐提升；中低收入群</w:t>
      </w:r>
      <w:r>
        <w:rPr>
          <w:rFonts w:hint="eastAsia" w:ascii="宋体" w:hAnsi="宋体" w:eastAsia="宋体" w:cs="宋体"/>
          <w:color w:val="231F20"/>
          <w:spacing w:val="11"/>
          <w:sz w:val="24"/>
          <w:szCs w:val="24"/>
        </w:rPr>
        <w:t>体适用的个人所得税率逐步降低，以及个人所得税率的级距设计</w:t>
      </w:r>
      <w:r>
        <w:rPr>
          <w:rFonts w:hint="eastAsia" w:ascii="宋体" w:hAnsi="宋体" w:eastAsia="宋体" w:cs="宋体"/>
          <w:color w:val="231F20"/>
          <w:spacing w:val="10"/>
          <w:sz w:val="24"/>
          <w:szCs w:val="24"/>
        </w:rPr>
        <w:t>越来越发挥对收入的</w:t>
      </w:r>
      <w:r>
        <w:rPr>
          <w:rFonts w:hint="eastAsia" w:ascii="宋体" w:hAnsi="宋体" w:eastAsia="宋体" w:cs="宋体"/>
          <w:color w:val="231F20"/>
          <w:spacing w:val="11"/>
          <w:sz w:val="24"/>
          <w:szCs w:val="24"/>
        </w:rPr>
        <w:t>科学的结构性调节作用。可见，我国个人所得税制度体系在实践</w:t>
      </w:r>
      <w:r>
        <w:rPr>
          <w:rFonts w:hint="eastAsia" w:ascii="宋体" w:hAnsi="宋体" w:eastAsia="宋体" w:cs="宋体"/>
          <w:color w:val="231F20"/>
          <w:spacing w:val="10"/>
          <w:sz w:val="24"/>
          <w:szCs w:val="24"/>
        </w:rPr>
        <w:t>中有效发挥了对收入</w:t>
      </w:r>
      <w:r>
        <w:rPr>
          <w:rFonts w:hint="eastAsia" w:ascii="宋体" w:hAnsi="宋体" w:eastAsia="宋体" w:cs="宋体"/>
          <w:color w:val="231F20"/>
          <w:spacing w:val="11"/>
          <w:sz w:val="24"/>
          <w:szCs w:val="24"/>
        </w:rPr>
        <w:t>的科学调节作用。从税收的阶级属性看，税法规则的制定与完善</w:t>
      </w:r>
      <w:r>
        <w:rPr>
          <w:rFonts w:hint="eastAsia" w:ascii="宋体" w:hAnsi="宋体" w:eastAsia="宋体" w:cs="宋体"/>
          <w:color w:val="231F20"/>
          <w:spacing w:val="10"/>
          <w:sz w:val="24"/>
          <w:szCs w:val="24"/>
        </w:rPr>
        <w:t>能够越来越充分贯彻以人民为中心（尤其是以劳动人民为中心）的原则</w:t>
      </w:r>
      <w:r>
        <w:rPr>
          <w:rFonts w:hint="eastAsia" w:ascii="宋体" w:hAnsi="宋体" w:eastAsia="宋体" w:cs="宋体"/>
          <w:color w:val="231F20"/>
          <w:spacing w:val="9"/>
          <w:sz w:val="24"/>
          <w:szCs w:val="24"/>
        </w:rPr>
        <w:t>。因此，国家税收体系的完善需要</w:t>
      </w:r>
      <w:r>
        <w:rPr>
          <w:rFonts w:hint="eastAsia" w:ascii="宋体" w:hAnsi="宋体" w:eastAsia="宋体" w:cs="宋体"/>
          <w:color w:val="231F20"/>
          <w:spacing w:val="11"/>
          <w:sz w:val="24"/>
          <w:szCs w:val="24"/>
        </w:rPr>
        <w:t>坚持以人民为中心（尤其是以劳动人民为中心）的原则，</w:t>
      </w:r>
      <w:r>
        <w:rPr>
          <w:rStyle w:val="20"/>
          <w:rFonts w:hint="eastAsia" w:ascii="宋体" w:hAnsi="宋体" w:eastAsia="宋体" w:cs="宋体"/>
          <w:color w:val="231F20"/>
          <w:spacing w:val="11"/>
          <w:sz w:val="24"/>
          <w:szCs w:val="24"/>
        </w:rPr>
        <w:footnoteReference w:id="893"/>
      </w:r>
      <w:r>
        <w:rPr>
          <w:rFonts w:hint="eastAsia" w:ascii="宋体" w:hAnsi="宋体" w:eastAsia="宋体" w:cs="宋体"/>
          <w:color w:val="231F20"/>
          <w:spacing w:val="11"/>
          <w:sz w:val="24"/>
          <w:szCs w:val="24"/>
        </w:rPr>
        <w:t>随着生产力发展水平的提</w:t>
      </w:r>
      <w:r>
        <w:rPr>
          <w:rFonts w:hint="eastAsia" w:ascii="宋体" w:hAnsi="宋体" w:eastAsia="宋体" w:cs="宋体"/>
          <w:color w:val="231F20"/>
          <w:spacing w:val="15"/>
          <w:sz w:val="24"/>
          <w:szCs w:val="24"/>
        </w:rPr>
        <w:t>高，科学调节高收入群体过高的财富和收入，而逐渐减轻收入相对较低群体的税收</w:t>
      </w:r>
      <w:r>
        <w:rPr>
          <w:rFonts w:hint="eastAsia" w:ascii="宋体" w:hAnsi="宋体" w:eastAsia="宋体" w:cs="宋体"/>
          <w:color w:val="231F20"/>
          <w:spacing w:val="2"/>
          <w:sz w:val="24"/>
          <w:szCs w:val="24"/>
        </w:rPr>
        <w:t>负担。</w:t>
      </w:r>
    </w:p>
    <w:p w14:paraId="7A8DB34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国家转移支付体系不仅能够为低收入群体提供基本生活保障，而且为发展相对滞</w:t>
      </w:r>
      <w:r>
        <w:rPr>
          <w:rFonts w:hint="eastAsia" w:ascii="宋体" w:hAnsi="宋体" w:eastAsia="宋体" w:cs="宋体"/>
          <w:color w:val="231F20"/>
          <w:spacing w:val="11"/>
          <w:sz w:val="24"/>
          <w:szCs w:val="24"/>
        </w:rPr>
        <w:t>后的地区和部门改善民生、提高公共服务水平等社会事业提供必</w:t>
      </w:r>
      <w:r>
        <w:rPr>
          <w:rFonts w:hint="eastAsia" w:ascii="宋体" w:hAnsi="宋体" w:eastAsia="宋体" w:cs="宋体"/>
          <w:color w:val="231F20"/>
          <w:spacing w:val="10"/>
          <w:sz w:val="24"/>
          <w:szCs w:val="24"/>
        </w:rPr>
        <w:t>要的财力支持，从而</w:t>
      </w:r>
      <w:r>
        <w:rPr>
          <w:rFonts w:hint="eastAsia" w:ascii="宋体" w:hAnsi="宋体" w:eastAsia="宋体" w:cs="宋体"/>
          <w:color w:val="231F20"/>
          <w:spacing w:val="11"/>
          <w:sz w:val="24"/>
          <w:szCs w:val="24"/>
        </w:rPr>
        <w:t>促进人民群众共享发展成果。例如，困难群众救助补助资金能够</w:t>
      </w:r>
      <w:r>
        <w:rPr>
          <w:rFonts w:hint="eastAsia" w:ascii="宋体" w:hAnsi="宋体" w:eastAsia="宋体" w:cs="宋体"/>
          <w:color w:val="231F20"/>
          <w:spacing w:val="10"/>
          <w:sz w:val="24"/>
          <w:szCs w:val="24"/>
        </w:rPr>
        <w:t>直接为困难群众提供</w:t>
      </w:r>
      <w:r>
        <w:rPr>
          <w:rFonts w:hint="eastAsia" w:ascii="宋体" w:hAnsi="宋体" w:eastAsia="宋体" w:cs="宋体"/>
          <w:color w:val="231F20"/>
          <w:spacing w:val="13"/>
          <w:sz w:val="24"/>
          <w:szCs w:val="24"/>
        </w:rPr>
        <w:t>基本生活保障。</w:t>
      </w:r>
      <w:r>
        <w:rPr>
          <w:rStyle w:val="20"/>
          <w:rFonts w:hint="eastAsia" w:ascii="宋体" w:hAnsi="宋体" w:eastAsia="宋体" w:cs="宋体"/>
          <w:color w:val="231F20"/>
          <w:spacing w:val="13"/>
          <w:sz w:val="24"/>
          <w:szCs w:val="24"/>
        </w:rPr>
        <w:footnoteReference w:id="894"/>
      </w:r>
      <w:r>
        <w:rPr>
          <w:rFonts w:hint="eastAsia" w:ascii="宋体" w:hAnsi="宋体" w:eastAsia="宋体" w:cs="宋体"/>
          <w:color w:val="231F20"/>
          <w:spacing w:val="13"/>
          <w:sz w:val="24"/>
          <w:szCs w:val="24"/>
        </w:rPr>
        <w:t>中央对地方均衡性转移支付能够通过财力协调推进区域之间的基本</w:t>
      </w:r>
      <w:r>
        <w:rPr>
          <w:rFonts w:hint="eastAsia" w:ascii="宋体" w:hAnsi="宋体" w:eastAsia="宋体" w:cs="宋体"/>
          <w:color w:val="231F20"/>
          <w:spacing w:val="12"/>
          <w:sz w:val="24"/>
          <w:szCs w:val="24"/>
        </w:rPr>
        <w:t>公共服务均等化。基本养老金转移支付能够为城乡居民基本养老保险基金的运转</w:t>
      </w:r>
      <w:r>
        <w:rPr>
          <w:rFonts w:hint="eastAsia" w:ascii="宋体" w:hAnsi="宋体" w:eastAsia="宋体" w:cs="宋体"/>
          <w:color w:val="231F20"/>
          <w:spacing w:val="11"/>
          <w:sz w:val="24"/>
          <w:szCs w:val="24"/>
        </w:rPr>
        <w:t>提供</w:t>
      </w:r>
      <w:r>
        <w:rPr>
          <w:rFonts w:hint="eastAsia" w:ascii="宋体" w:hAnsi="宋体" w:eastAsia="宋体" w:cs="宋体"/>
          <w:color w:val="231F20"/>
          <w:spacing w:val="12"/>
          <w:sz w:val="24"/>
          <w:szCs w:val="24"/>
        </w:rPr>
        <w:t>补助性资金支持。老少边穷地区转移支付能够为老少边穷地区的民生改善和保障</w:t>
      </w:r>
      <w:r>
        <w:rPr>
          <w:rFonts w:hint="eastAsia" w:ascii="宋体" w:hAnsi="宋体" w:eastAsia="宋体" w:cs="宋体"/>
          <w:color w:val="231F20"/>
          <w:spacing w:val="11"/>
          <w:sz w:val="24"/>
          <w:szCs w:val="24"/>
        </w:rPr>
        <w:t>提供</w:t>
      </w:r>
      <w:r>
        <w:rPr>
          <w:rFonts w:hint="eastAsia" w:ascii="宋体" w:hAnsi="宋体" w:eastAsia="宋体" w:cs="宋体"/>
          <w:color w:val="231F20"/>
          <w:spacing w:val="10"/>
          <w:sz w:val="24"/>
          <w:szCs w:val="24"/>
        </w:rPr>
        <w:t>补助性资金支持。可见，扎实推动共同富裕，需</w:t>
      </w:r>
      <w:r>
        <w:rPr>
          <w:rFonts w:hint="eastAsia" w:ascii="宋体" w:hAnsi="宋体" w:eastAsia="宋体" w:cs="宋体"/>
          <w:color w:val="231F20"/>
          <w:spacing w:val="9"/>
          <w:sz w:val="24"/>
          <w:szCs w:val="24"/>
        </w:rPr>
        <w:t>要充分发挥国家转移支付体系在促进人民群众共享发展成果中的底线保障作用。</w:t>
      </w:r>
    </w:p>
    <w:p w14:paraId="645D771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其次，在财富与收入的间接调节层面，国家需要发展和完善社会公平保障体系，使之充分发挥为经济发展托底的功能，从而为扎实推动共同富裕提</w:t>
      </w:r>
      <w:r>
        <w:rPr>
          <w:rFonts w:hint="eastAsia" w:ascii="宋体" w:hAnsi="宋体" w:eastAsia="宋体" w:cs="宋体"/>
          <w:color w:val="231F20"/>
          <w:spacing w:val="10"/>
          <w:sz w:val="24"/>
          <w:szCs w:val="24"/>
        </w:rPr>
        <w:t>供底线保障。在基</w:t>
      </w:r>
      <w:r>
        <w:rPr>
          <w:rFonts w:hint="eastAsia" w:ascii="宋体" w:hAnsi="宋体" w:eastAsia="宋体" w:cs="宋体"/>
          <w:color w:val="231F20"/>
          <w:spacing w:val="17"/>
          <w:sz w:val="24"/>
          <w:szCs w:val="24"/>
        </w:rPr>
        <w:t>础设施领域，国家要依据经济社会发展需要系统规划与科学布</w:t>
      </w:r>
      <w:r>
        <w:rPr>
          <w:rFonts w:hint="eastAsia" w:ascii="宋体" w:hAnsi="宋体" w:eastAsia="宋体" w:cs="宋体"/>
          <w:color w:val="231F20"/>
          <w:spacing w:val="16"/>
          <w:sz w:val="24"/>
          <w:szCs w:val="24"/>
        </w:rPr>
        <w:t>局基础设施领域的投</w:t>
      </w:r>
      <w:r>
        <w:rPr>
          <w:rFonts w:hint="eastAsia" w:ascii="宋体" w:hAnsi="宋体" w:eastAsia="宋体" w:cs="宋体"/>
          <w:color w:val="231F20"/>
          <w:spacing w:val="11"/>
          <w:sz w:val="24"/>
          <w:szCs w:val="24"/>
        </w:rPr>
        <w:t>入，为缩小与消除地区差别和城乡差别、从整体上提高国民经济效</w:t>
      </w:r>
      <w:r>
        <w:rPr>
          <w:rFonts w:hint="eastAsia" w:ascii="宋体" w:hAnsi="宋体" w:eastAsia="宋体" w:cs="宋体"/>
          <w:color w:val="231F20"/>
          <w:spacing w:val="10"/>
          <w:sz w:val="24"/>
          <w:szCs w:val="24"/>
        </w:rPr>
        <w:t>能和居民生活质量</w:t>
      </w:r>
      <w:r>
        <w:rPr>
          <w:rFonts w:hint="eastAsia" w:ascii="宋体" w:hAnsi="宋体" w:eastAsia="宋体" w:cs="宋体"/>
          <w:color w:val="231F20"/>
          <w:spacing w:val="15"/>
          <w:sz w:val="24"/>
          <w:szCs w:val="24"/>
        </w:rPr>
        <w:t>提供硬件保障。在民生领域，国家要着眼于民生领域的短板，依据经济社会发展实</w:t>
      </w:r>
      <w:r>
        <w:rPr>
          <w:rFonts w:hint="eastAsia" w:ascii="宋体" w:hAnsi="宋体" w:eastAsia="宋体" w:cs="宋体"/>
          <w:color w:val="231F20"/>
          <w:spacing w:val="10"/>
          <w:sz w:val="24"/>
          <w:szCs w:val="24"/>
        </w:rPr>
        <w:t>际，与社会生产力发展水平适应，持续、系统地加</w:t>
      </w:r>
      <w:r>
        <w:rPr>
          <w:rFonts w:hint="eastAsia" w:ascii="宋体" w:hAnsi="宋体" w:eastAsia="宋体" w:cs="宋体"/>
          <w:color w:val="231F20"/>
          <w:spacing w:val="9"/>
          <w:sz w:val="24"/>
          <w:szCs w:val="24"/>
        </w:rPr>
        <w:t>大对就业、医疗、住房、教育、社</w:t>
      </w:r>
      <w:r>
        <w:rPr>
          <w:rFonts w:hint="eastAsia" w:ascii="宋体" w:hAnsi="宋体" w:eastAsia="宋体" w:cs="宋体"/>
          <w:color w:val="231F20"/>
          <w:spacing w:val="11"/>
          <w:sz w:val="24"/>
          <w:szCs w:val="24"/>
        </w:rPr>
        <w:t>会保障等民生领域的投入，从而“在学有所教、劳有所得、病有所</w:t>
      </w:r>
      <w:r>
        <w:rPr>
          <w:rFonts w:hint="eastAsia" w:ascii="宋体" w:hAnsi="宋体" w:eastAsia="宋体" w:cs="宋体"/>
          <w:color w:val="231F20"/>
          <w:spacing w:val="10"/>
          <w:sz w:val="24"/>
          <w:szCs w:val="24"/>
        </w:rPr>
        <w:t>医、老有所养、住</w:t>
      </w:r>
      <w:r>
        <w:rPr>
          <w:rFonts w:hint="eastAsia" w:ascii="宋体" w:hAnsi="宋体" w:eastAsia="宋体" w:cs="宋体"/>
          <w:color w:val="231F20"/>
          <w:spacing w:val="8"/>
          <w:sz w:val="24"/>
          <w:szCs w:val="24"/>
        </w:rPr>
        <w:t>有所居上持续取得新进展”。</w:t>
      </w:r>
      <w:r>
        <w:rPr>
          <w:rStyle w:val="20"/>
          <w:rFonts w:hint="eastAsia" w:ascii="宋体" w:hAnsi="宋体" w:eastAsia="宋体" w:cs="宋体"/>
          <w:color w:val="231F20"/>
          <w:spacing w:val="8"/>
          <w:sz w:val="24"/>
          <w:szCs w:val="24"/>
        </w:rPr>
        <w:footnoteReference w:id="895"/>
      </w:r>
      <w:r>
        <w:rPr>
          <w:rFonts w:hint="eastAsia" w:ascii="宋体" w:hAnsi="宋体" w:eastAsia="宋体" w:cs="宋体"/>
          <w:color w:val="231F20"/>
          <w:spacing w:val="8"/>
          <w:sz w:val="24"/>
          <w:szCs w:val="24"/>
        </w:rPr>
        <w:t>基础设施领域的硬件</w:t>
      </w:r>
      <w:r>
        <w:rPr>
          <w:rFonts w:hint="eastAsia" w:ascii="宋体" w:hAnsi="宋体" w:eastAsia="宋体" w:cs="宋体"/>
          <w:color w:val="231F20"/>
          <w:spacing w:val="7"/>
          <w:sz w:val="24"/>
          <w:szCs w:val="24"/>
        </w:rPr>
        <w:t>建设和民生领域的软件建设，都是</w:t>
      </w:r>
      <w:r>
        <w:rPr>
          <w:rFonts w:hint="eastAsia" w:ascii="宋体" w:hAnsi="宋体" w:eastAsia="宋体" w:cs="宋体"/>
          <w:color w:val="231F20"/>
          <w:spacing w:val="11"/>
          <w:sz w:val="24"/>
          <w:szCs w:val="24"/>
        </w:rPr>
        <w:t>从整体上提高国民经济效能和居民生活质量，从而扎实推动共同富</w:t>
      </w:r>
      <w:r>
        <w:rPr>
          <w:rFonts w:hint="eastAsia" w:ascii="宋体" w:hAnsi="宋体" w:eastAsia="宋体" w:cs="宋体"/>
          <w:color w:val="231F20"/>
          <w:spacing w:val="10"/>
          <w:sz w:val="24"/>
          <w:szCs w:val="24"/>
        </w:rPr>
        <w:t>裕的国家调节和分</w:t>
      </w:r>
      <w:r>
        <w:rPr>
          <w:rFonts w:hint="eastAsia" w:ascii="宋体" w:hAnsi="宋体" w:eastAsia="宋体" w:cs="宋体"/>
          <w:color w:val="231F20"/>
          <w:spacing w:val="11"/>
          <w:sz w:val="24"/>
          <w:szCs w:val="24"/>
        </w:rPr>
        <w:t>配方式。二者的投入规模和投入结构，需要在充分科学论证的基础</w:t>
      </w:r>
      <w:r>
        <w:rPr>
          <w:rFonts w:hint="eastAsia" w:ascii="宋体" w:hAnsi="宋体" w:eastAsia="宋体" w:cs="宋体"/>
          <w:color w:val="231F20"/>
          <w:spacing w:val="10"/>
          <w:sz w:val="24"/>
          <w:szCs w:val="24"/>
        </w:rPr>
        <w:t>上根据我国经济社</w:t>
      </w:r>
      <w:r>
        <w:rPr>
          <w:rFonts w:hint="eastAsia" w:ascii="宋体" w:hAnsi="宋体" w:eastAsia="宋体" w:cs="宋体"/>
          <w:color w:val="231F20"/>
          <w:spacing w:val="8"/>
          <w:sz w:val="24"/>
          <w:szCs w:val="24"/>
        </w:rPr>
        <w:t>会发展实际状况统筹确定和实施。</w:t>
      </w:r>
    </w:p>
    <w:p w14:paraId="2E0FB3D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因此，发挥国家分配政策在扎实推动共同富裕中的重要作用，既要在直接调</w:t>
      </w:r>
      <w:r>
        <w:rPr>
          <w:rFonts w:hint="eastAsia" w:ascii="宋体" w:hAnsi="宋体" w:eastAsia="宋体" w:cs="宋体"/>
          <w:color w:val="231F20"/>
          <w:spacing w:val="8"/>
          <w:sz w:val="24"/>
          <w:szCs w:val="24"/>
        </w:rPr>
        <w:t>节层</w:t>
      </w:r>
      <w:r>
        <w:rPr>
          <w:rFonts w:hint="eastAsia" w:ascii="宋体" w:hAnsi="宋体" w:eastAsia="宋体" w:cs="宋体"/>
          <w:color w:val="231F20"/>
          <w:spacing w:val="18"/>
          <w:sz w:val="24"/>
          <w:szCs w:val="24"/>
        </w:rPr>
        <w:t>面发挥国家对财富与收入的分配效应、对初次分配环节贫富过度分化趋势的矫正功</w:t>
      </w:r>
      <w:r>
        <w:rPr>
          <w:rFonts w:hint="eastAsia" w:ascii="宋体" w:hAnsi="宋体" w:eastAsia="宋体" w:cs="宋体"/>
          <w:color w:val="231F20"/>
          <w:spacing w:val="9"/>
          <w:sz w:val="24"/>
          <w:szCs w:val="24"/>
        </w:rPr>
        <w:t>能，又要通过国家在基础设施领域和民生领域持续的系统性投入，从整体上提高国民经济效能、公共服务设施共享和居民生活质</w:t>
      </w:r>
      <w:r>
        <w:rPr>
          <w:rFonts w:hint="eastAsia" w:ascii="宋体" w:hAnsi="宋体" w:eastAsia="宋体" w:cs="宋体"/>
          <w:color w:val="231F20"/>
          <w:spacing w:val="8"/>
          <w:sz w:val="24"/>
          <w:szCs w:val="24"/>
        </w:rPr>
        <w:t>量。</w:t>
      </w:r>
    </w:p>
    <w:p w14:paraId="00030EB9">
      <w:pPr>
        <w:pStyle w:val="4"/>
        <w:numPr>
          <w:ilvl w:val="0"/>
          <w:numId w:val="18"/>
        </w:numPr>
        <w:bidi w:val="0"/>
        <w:rPr>
          <w:rFonts w:hint="eastAsia"/>
        </w:rPr>
      </w:pPr>
      <w:r>
        <w:rPr>
          <w:rFonts w:hint="eastAsia"/>
        </w:rPr>
        <w:t>起调节作用的“物价变动”分配方式</w:t>
      </w:r>
    </w:p>
    <w:p w14:paraId="47DAFAD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2"/>
          <w:sz w:val="24"/>
          <w:szCs w:val="24"/>
        </w:rPr>
        <w:t>理好政府和市场的关系，使市场在资源配置中起决定性作用，更好发挥政府作用。</w:t>
      </w:r>
      <w:r>
        <w:rPr>
          <w:rStyle w:val="20"/>
          <w:rFonts w:hint="eastAsia" w:ascii="宋体" w:hAnsi="宋体" w:eastAsia="宋体" w:cs="宋体"/>
          <w:color w:val="231F20"/>
          <w:spacing w:val="12"/>
          <w:sz w:val="24"/>
          <w:szCs w:val="24"/>
        </w:rPr>
        <w:footnoteReference w:id="896"/>
      </w:r>
      <w:r>
        <w:rPr>
          <w:rFonts w:hint="eastAsia" w:ascii="宋体" w:hAnsi="宋体" w:eastAsia="宋体" w:cs="宋体"/>
          <w:color w:val="231F20"/>
          <w:spacing w:val="10"/>
          <w:sz w:val="24"/>
          <w:szCs w:val="24"/>
        </w:rPr>
        <w:t>在计划经济中，物价变动主要是由政府来调节</w:t>
      </w:r>
      <w:r>
        <w:rPr>
          <w:rFonts w:hint="eastAsia" w:ascii="宋体" w:hAnsi="宋体" w:eastAsia="宋体" w:cs="宋体"/>
          <w:color w:val="231F20"/>
          <w:spacing w:val="9"/>
          <w:sz w:val="24"/>
          <w:szCs w:val="24"/>
        </w:rPr>
        <w:t>的。而在社会主义市场经济中，消费品</w:t>
      </w:r>
      <w:r>
        <w:rPr>
          <w:rFonts w:hint="eastAsia" w:ascii="宋体" w:hAnsi="宋体" w:eastAsia="宋体" w:cs="宋体"/>
          <w:color w:val="231F20"/>
          <w:spacing w:val="11"/>
          <w:sz w:val="24"/>
          <w:szCs w:val="24"/>
        </w:rPr>
        <w:t>和服务的物价变动对财富和收入分配的调节，是市场调节资源</w:t>
      </w:r>
      <w:r>
        <w:rPr>
          <w:rFonts w:hint="eastAsia" w:ascii="宋体" w:hAnsi="宋体" w:eastAsia="宋体" w:cs="宋体"/>
          <w:color w:val="231F20"/>
          <w:spacing w:val="10"/>
          <w:sz w:val="24"/>
          <w:szCs w:val="24"/>
        </w:rPr>
        <w:t>配置的重要方面。物价</w:t>
      </w:r>
      <w:r>
        <w:rPr>
          <w:rFonts w:hint="eastAsia" w:ascii="宋体" w:hAnsi="宋体" w:eastAsia="宋体" w:cs="宋体"/>
          <w:color w:val="231F20"/>
          <w:spacing w:val="11"/>
          <w:sz w:val="24"/>
          <w:szCs w:val="24"/>
        </w:rPr>
        <w:t>相对稳定尤其是房地产等大额商品的价格适中与价格稳定，对</w:t>
      </w:r>
      <w:r>
        <w:rPr>
          <w:rFonts w:hint="eastAsia" w:ascii="宋体" w:hAnsi="宋体" w:eastAsia="宋体" w:cs="宋体"/>
          <w:color w:val="231F20"/>
          <w:spacing w:val="10"/>
          <w:sz w:val="24"/>
          <w:szCs w:val="24"/>
        </w:rPr>
        <w:t>于扎实推动共同富裕具</w:t>
      </w:r>
      <w:r>
        <w:rPr>
          <w:rFonts w:hint="eastAsia" w:ascii="宋体" w:hAnsi="宋体" w:eastAsia="宋体" w:cs="宋体"/>
          <w:color w:val="231F20"/>
          <w:spacing w:val="12"/>
          <w:sz w:val="24"/>
          <w:szCs w:val="24"/>
        </w:rPr>
        <w:t>有重要意义。以往政治经济学只用“名义收入”与“实际收入”来描述物价变</w:t>
      </w:r>
      <w:r>
        <w:rPr>
          <w:rFonts w:hint="eastAsia" w:ascii="宋体" w:hAnsi="宋体" w:eastAsia="宋体" w:cs="宋体"/>
          <w:color w:val="231F20"/>
          <w:spacing w:val="11"/>
          <w:sz w:val="24"/>
          <w:szCs w:val="24"/>
        </w:rPr>
        <w:t>动和通</w:t>
      </w:r>
      <w:r>
        <w:rPr>
          <w:rFonts w:hint="eastAsia" w:ascii="宋体" w:hAnsi="宋体" w:eastAsia="宋体" w:cs="宋体"/>
          <w:color w:val="231F20"/>
          <w:spacing w:val="10"/>
          <w:sz w:val="24"/>
          <w:szCs w:val="24"/>
        </w:rPr>
        <w:t>货膨胀的现象，现在从学术创新的精神来深入</w:t>
      </w:r>
      <w:r>
        <w:rPr>
          <w:rFonts w:hint="eastAsia" w:ascii="宋体" w:hAnsi="宋体" w:eastAsia="宋体" w:cs="宋体"/>
          <w:color w:val="231F20"/>
          <w:spacing w:val="9"/>
          <w:sz w:val="24"/>
          <w:szCs w:val="24"/>
        </w:rPr>
        <w:t>分析，由于“物价变动”的客观分配效</w:t>
      </w:r>
      <w:r>
        <w:rPr>
          <w:rFonts w:hint="eastAsia" w:ascii="宋体" w:hAnsi="宋体" w:eastAsia="宋体" w:cs="宋体"/>
          <w:color w:val="231F20"/>
          <w:spacing w:val="11"/>
          <w:sz w:val="24"/>
          <w:szCs w:val="24"/>
        </w:rPr>
        <w:t>应在市场经济中具有特殊的形成机制，因而有必要将“物价变</w:t>
      </w:r>
      <w:r>
        <w:rPr>
          <w:rFonts w:hint="eastAsia" w:ascii="宋体" w:hAnsi="宋体" w:eastAsia="宋体" w:cs="宋体"/>
          <w:color w:val="231F20"/>
          <w:spacing w:val="10"/>
          <w:sz w:val="24"/>
          <w:szCs w:val="24"/>
        </w:rPr>
        <w:t>动”这一重要因素作为</w:t>
      </w:r>
      <w:r>
        <w:rPr>
          <w:rFonts w:hint="eastAsia" w:ascii="宋体" w:hAnsi="宋体" w:eastAsia="宋体" w:cs="宋体"/>
          <w:color w:val="231F20"/>
          <w:spacing w:val="8"/>
          <w:sz w:val="24"/>
          <w:szCs w:val="24"/>
        </w:rPr>
        <w:t>单独的分配方式来考察论证。</w:t>
      </w:r>
    </w:p>
    <w:p w14:paraId="62ECCFA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position w:val="1"/>
          <w:sz w:val="24"/>
          <w:szCs w:val="24"/>
        </w:rPr>
        <w:t>（一）物价变动对财富和收入分配的调节机制</w:t>
      </w:r>
    </w:p>
    <w:p w14:paraId="1723EF9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2"/>
          <w:sz w:val="24"/>
          <w:szCs w:val="24"/>
        </w:rPr>
        <w:t>认识和把握物价变动对财富和收入分配的调节机制是发挥“物价变动”方式在推</w:t>
      </w:r>
      <w:r>
        <w:rPr>
          <w:rFonts w:hint="eastAsia" w:ascii="宋体" w:hAnsi="宋体" w:eastAsia="宋体" w:cs="宋体"/>
          <w:color w:val="231F20"/>
          <w:spacing w:val="8"/>
          <w:sz w:val="24"/>
          <w:szCs w:val="24"/>
        </w:rPr>
        <w:t>动共同富裕中的调节作用的基础。</w:t>
      </w:r>
    </w:p>
    <w:p w14:paraId="57F80B0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首先，单个商品的价格变动引起市场主体之间的收入分配</w:t>
      </w:r>
      <w:r>
        <w:rPr>
          <w:rFonts w:hint="eastAsia" w:ascii="宋体" w:hAnsi="宋体" w:eastAsia="宋体" w:cs="宋体"/>
          <w:color w:val="231F20"/>
          <w:spacing w:val="10"/>
          <w:sz w:val="24"/>
          <w:szCs w:val="24"/>
        </w:rPr>
        <w:t>效应。一是单个消费资</w:t>
      </w:r>
      <w:r>
        <w:rPr>
          <w:rFonts w:hint="eastAsia" w:ascii="宋体" w:hAnsi="宋体" w:eastAsia="宋体" w:cs="宋体"/>
          <w:color w:val="231F20"/>
          <w:spacing w:val="12"/>
          <w:sz w:val="24"/>
          <w:szCs w:val="24"/>
        </w:rPr>
        <w:t>料价格变动直接引起消费者和生产者之间的收入分配效应。消费资料价格的</w:t>
      </w:r>
      <w:r>
        <w:rPr>
          <w:rFonts w:hint="eastAsia" w:ascii="宋体" w:hAnsi="宋体" w:eastAsia="宋体" w:cs="宋体"/>
          <w:color w:val="231F20"/>
          <w:spacing w:val="11"/>
          <w:sz w:val="24"/>
          <w:szCs w:val="24"/>
        </w:rPr>
        <w:t>上涨导致消费者的一部分收入通过商品交换转移到生产者手中。同时</w:t>
      </w:r>
      <w:r>
        <w:rPr>
          <w:rFonts w:hint="eastAsia" w:ascii="宋体" w:hAnsi="宋体" w:eastAsia="宋体" w:cs="宋体"/>
          <w:color w:val="231F20"/>
          <w:spacing w:val="10"/>
          <w:sz w:val="24"/>
          <w:szCs w:val="24"/>
        </w:rPr>
        <w:t>，再生产劳动力必需的消费资料价格上涨将导致劳动力价值的提高，在</w:t>
      </w:r>
      <w:r>
        <w:rPr>
          <w:rFonts w:hint="eastAsia" w:ascii="宋体" w:hAnsi="宋体" w:eastAsia="宋体" w:cs="宋体"/>
          <w:color w:val="231F20"/>
          <w:spacing w:val="9"/>
          <w:sz w:val="24"/>
          <w:szCs w:val="24"/>
        </w:rPr>
        <w:t>工资没有提高的情况下，将使工资低于</w:t>
      </w:r>
      <w:r>
        <w:rPr>
          <w:rFonts w:hint="eastAsia" w:ascii="宋体" w:hAnsi="宋体" w:eastAsia="宋体" w:cs="宋体"/>
          <w:color w:val="231F20"/>
          <w:spacing w:val="12"/>
          <w:sz w:val="24"/>
          <w:szCs w:val="24"/>
        </w:rPr>
        <w:t>劳动力价值。二是单个生产资料价格变动通过产业链和价值链引起市场主体</w:t>
      </w:r>
      <w:r>
        <w:rPr>
          <w:rFonts w:hint="eastAsia" w:ascii="宋体" w:hAnsi="宋体" w:eastAsia="宋体" w:cs="宋体"/>
          <w:color w:val="231F20"/>
          <w:spacing w:val="11"/>
          <w:sz w:val="24"/>
          <w:szCs w:val="24"/>
        </w:rPr>
        <w:t>之间的一系列收入分配效应。一方面，单个生产资料价格变动引起上</w:t>
      </w:r>
      <w:r>
        <w:rPr>
          <w:rFonts w:hint="eastAsia" w:ascii="宋体" w:hAnsi="宋体" w:eastAsia="宋体" w:cs="宋体"/>
          <w:color w:val="231F20"/>
          <w:spacing w:val="10"/>
          <w:sz w:val="24"/>
          <w:szCs w:val="24"/>
        </w:rPr>
        <w:t>下游生产者之间的收入分</w:t>
      </w:r>
      <w:r>
        <w:rPr>
          <w:rFonts w:hint="eastAsia" w:ascii="宋体" w:hAnsi="宋体" w:eastAsia="宋体" w:cs="宋体"/>
          <w:color w:val="231F20"/>
          <w:spacing w:val="11"/>
          <w:sz w:val="24"/>
          <w:szCs w:val="24"/>
        </w:rPr>
        <w:t>配效应。例如，生产资料价格的上涨导致下游生产者的部分</w:t>
      </w:r>
      <w:r>
        <w:rPr>
          <w:rFonts w:hint="eastAsia" w:ascii="宋体" w:hAnsi="宋体" w:eastAsia="宋体" w:cs="宋体"/>
          <w:color w:val="231F20"/>
          <w:spacing w:val="10"/>
          <w:sz w:val="24"/>
          <w:szCs w:val="24"/>
        </w:rPr>
        <w:t>收入转移至上游生产者手</w:t>
      </w:r>
      <w:r>
        <w:rPr>
          <w:rFonts w:hint="eastAsia" w:ascii="宋体" w:hAnsi="宋体" w:eastAsia="宋体" w:cs="宋体"/>
          <w:color w:val="231F20"/>
          <w:spacing w:val="11"/>
          <w:sz w:val="24"/>
          <w:szCs w:val="24"/>
        </w:rPr>
        <w:t>中。另一方面，单个生产资料价格变动通过产业链和价值链</w:t>
      </w:r>
      <w:r>
        <w:rPr>
          <w:rFonts w:hint="eastAsia" w:ascii="宋体" w:hAnsi="宋体" w:eastAsia="宋体" w:cs="宋体"/>
          <w:color w:val="231F20"/>
          <w:spacing w:val="10"/>
          <w:sz w:val="24"/>
          <w:szCs w:val="24"/>
        </w:rPr>
        <w:t>引起相关消费资料价格的</w:t>
      </w:r>
      <w:r>
        <w:rPr>
          <w:rFonts w:hint="eastAsia" w:ascii="宋体" w:hAnsi="宋体" w:eastAsia="宋体" w:cs="宋体"/>
          <w:color w:val="231F20"/>
          <w:spacing w:val="11"/>
          <w:sz w:val="24"/>
          <w:szCs w:val="24"/>
        </w:rPr>
        <w:t>变动，从而导致消费者和生产者之间的收入分配效应。由于</w:t>
      </w:r>
      <w:r>
        <w:rPr>
          <w:rFonts w:hint="eastAsia" w:ascii="宋体" w:hAnsi="宋体" w:eastAsia="宋体" w:cs="宋体"/>
          <w:color w:val="231F20"/>
          <w:spacing w:val="10"/>
          <w:sz w:val="24"/>
          <w:szCs w:val="24"/>
        </w:rPr>
        <w:t>固定资本的价值逐步转移</w:t>
      </w:r>
      <w:r>
        <w:rPr>
          <w:rFonts w:hint="eastAsia" w:ascii="宋体" w:hAnsi="宋体" w:eastAsia="宋体" w:cs="宋体"/>
          <w:color w:val="231F20"/>
          <w:spacing w:val="9"/>
          <w:sz w:val="24"/>
          <w:szCs w:val="24"/>
        </w:rPr>
        <w:t>到新产品的资本周转特点，原料的价格变动对消费资料价格变动产生更大的影响。</w:t>
      </w:r>
    </w:p>
    <w:p w14:paraId="1717A79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7"/>
          <w:sz w:val="24"/>
          <w:szCs w:val="24"/>
        </w:rPr>
        <w:t>其次，通货膨胀和通货紧缩引发的普遍物价变动将导致宏观层面的收入分配效</w:t>
      </w:r>
      <w:r>
        <w:rPr>
          <w:rFonts w:hint="eastAsia" w:ascii="宋体" w:hAnsi="宋体" w:eastAsia="宋体" w:cs="宋体"/>
          <w:color w:val="231F20"/>
          <w:spacing w:val="12"/>
          <w:sz w:val="24"/>
          <w:szCs w:val="24"/>
        </w:rPr>
        <w:t>应。通货膨胀引发的物价普遍持续上涨将导致固定收入者和收入增加慢于物价</w:t>
      </w:r>
      <w:r>
        <w:rPr>
          <w:rFonts w:hint="eastAsia" w:ascii="宋体" w:hAnsi="宋体" w:eastAsia="宋体" w:cs="宋体"/>
          <w:color w:val="231F20"/>
          <w:spacing w:val="11"/>
          <w:sz w:val="24"/>
          <w:szCs w:val="24"/>
        </w:rPr>
        <w:t>上涨的</w:t>
      </w:r>
      <w:r>
        <w:rPr>
          <w:rFonts w:hint="eastAsia" w:ascii="宋体" w:hAnsi="宋体" w:eastAsia="宋体" w:cs="宋体"/>
          <w:color w:val="231F20"/>
          <w:spacing w:val="15"/>
          <w:sz w:val="24"/>
          <w:szCs w:val="24"/>
        </w:rPr>
        <w:t>群体的收入购买力下降，债权人的部分收入转移至债务人手中，民众的税收负担加</w:t>
      </w:r>
      <w:r>
        <w:rPr>
          <w:rFonts w:hint="eastAsia" w:ascii="宋体" w:hAnsi="宋体" w:eastAsia="宋体" w:cs="宋体"/>
          <w:color w:val="231F20"/>
          <w:spacing w:val="11"/>
          <w:sz w:val="24"/>
          <w:szCs w:val="24"/>
        </w:rPr>
        <w:t>重。通货紧缩引发的物价普遍持续下降将导致企业生产的普遍</w:t>
      </w:r>
      <w:r>
        <w:rPr>
          <w:rFonts w:hint="eastAsia" w:ascii="宋体" w:hAnsi="宋体" w:eastAsia="宋体" w:cs="宋体"/>
          <w:color w:val="231F20"/>
          <w:spacing w:val="10"/>
          <w:sz w:val="24"/>
          <w:szCs w:val="24"/>
        </w:rPr>
        <w:t>萎缩甚至破产，进而引</w:t>
      </w:r>
      <w:r>
        <w:rPr>
          <w:rFonts w:hint="eastAsia" w:ascii="宋体" w:hAnsi="宋体" w:eastAsia="宋体" w:cs="宋体"/>
          <w:color w:val="231F20"/>
          <w:spacing w:val="9"/>
          <w:sz w:val="24"/>
          <w:szCs w:val="24"/>
        </w:rPr>
        <w:t>发较大规模的失业。相应地，因此而失业的劳动者将失去工资收入。</w:t>
      </w:r>
    </w:p>
    <w:p w14:paraId="5D41603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再次，垄断价格的形成使得非垄断组织的部分利润和最终消费者</w:t>
      </w:r>
      <w:r>
        <w:rPr>
          <w:rFonts w:hint="eastAsia" w:ascii="宋体" w:hAnsi="宋体" w:eastAsia="宋体" w:cs="宋体"/>
          <w:color w:val="231F20"/>
          <w:spacing w:val="10"/>
          <w:sz w:val="24"/>
          <w:szCs w:val="24"/>
        </w:rPr>
        <w:t>的部分收入被垄</w:t>
      </w:r>
      <w:r>
        <w:rPr>
          <w:rFonts w:hint="eastAsia" w:ascii="宋体" w:hAnsi="宋体" w:eastAsia="宋体" w:cs="宋体"/>
          <w:color w:val="231F20"/>
          <w:spacing w:val="11"/>
          <w:sz w:val="24"/>
          <w:szCs w:val="24"/>
        </w:rPr>
        <w:t>断组织所攫取。一方面，垄断组织凭借在原料产地、</w:t>
      </w:r>
      <w:r>
        <w:rPr>
          <w:rFonts w:hint="eastAsia" w:ascii="宋体" w:hAnsi="宋体" w:eastAsia="宋体" w:cs="宋体"/>
          <w:color w:val="231F20"/>
          <w:spacing w:val="10"/>
          <w:sz w:val="24"/>
          <w:szCs w:val="24"/>
        </w:rPr>
        <w:t>市场份额、技术专利等方面的支</w:t>
      </w:r>
      <w:r>
        <w:rPr>
          <w:rFonts w:hint="eastAsia" w:ascii="宋体" w:hAnsi="宋体" w:eastAsia="宋体" w:cs="宋体"/>
          <w:color w:val="231F20"/>
          <w:spacing w:val="9"/>
          <w:sz w:val="24"/>
          <w:szCs w:val="24"/>
        </w:rPr>
        <w:t>配性地位以垄断低价购买自身需要的生产资料，而以垄断高价销售自己的产品，从而</w:t>
      </w:r>
      <w:r>
        <w:rPr>
          <w:rFonts w:hint="eastAsia" w:ascii="宋体" w:hAnsi="宋体" w:eastAsia="宋体" w:cs="宋体"/>
          <w:color w:val="231F20"/>
          <w:spacing w:val="12"/>
          <w:sz w:val="24"/>
          <w:szCs w:val="24"/>
        </w:rPr>
        <w:t>攫取了上下游产业链中的非垄断组织的部分利润。马克思指出：“某些商品的垄</w:t>
      </w:r>
      <w:r>
        <w:rPr>
          <w:rFonts w:hint="eastAsia" w:ascii="宋体" w:hAnsi="宋体" w:eastAsia="宋体" w:cs="宋体"/>
          <w:color w:val="231F20"/>
          <w:spacing w:val="11"/>
          <w:sz w:val="24"/>
          <w:szCs w:val="24"/>
        </w:rPr>
        <w:t>断价</w:t>
      </w:r>
      <w:r>
        <w:rPr>
          <w:rFonts w:hint="eastAsia" w:ascii="宋体" w:hAnsi="宋体" w:eastAsia="宋体" w:cs="宋体"/>
          <w:color w:val="231F20"/>
          <w:spacing w:val="6"/>
          <w:sz w:val="24"/>
          <w:szCs w:val="24"/>
        </w:rPr>
        <w:t>格，不过是把其他商品生产者的一部分利润，转移到具有垄断价格的商品上。”</w:t>
      </w:r>
      <w:r>
        <w:rPr>
          <w:rStyle w:val="20"/>
          <w:rFonts w:hint="eastAsia" w:ascii="宋体" w:hAnsi="宋体" w:eastAsia="宋体" w:cs="宋体"/>
          <w:color w:val="231F20"/>
          <w:spacing w:val="6"/>
          <w:sz w:val="24"/>
          <w:szCs w:val="24"/>
        </w:rPr>
        <w:footnoteReference w:id="897"/>
      </w:r>
      <w:r>
        <w:rPr>
          <w:rFonts w:hint="eastAsia" w:ascii="宋体" w:hAnsi="宋体" w:eastAsia="宋体" w:cs="宋体"/>
          <w:color w:val="231F20"/>
          <w:spacing w:val="6"/>
          <w:sz w:val="24"/>
          <w:szCs w:val="24"/>
        </w:rPr>
        <w:t>另一</w:t>
      </w:r>
      <w:r>
        <w:rPr>
          <w:rFonts w:hint="eastAsia" w:ascii="宋体" w:hAnsi="宋体" w:eastAsia="宋体" w:cs="宋体"/>
          <w:color w:val="231F20"/>
          <w:spacing w:val="10"/>
          <w:sz w:val="24"/>
          <w:szCs w:val="24"/>
        </w:rPr>
        <w:t>方面，垄断组织以垄断高价销售自身生产的消</w:t>
      </w:r>
      <w:r>
        <w:rPr>
          <w:rFonts w:hint="eastAsia" w:ascii="宋体" w:hAnsi="宋体" w:eastAsia="宋体" w:cs="宋体"/>
          <w:color w:val="231F20"/>
          <w:spacing w:val="9"/>
          <w:sz w:val="24"/>
          <w:szCs w:val="24"/>
        </w:rPr>
        <w:t>费资料，从而攫取最终消费者的部分收</w:t>
      </w:r>
      <w:r>
        <w:rPr>
          <w:rFonts w:hint="eastAsia" w:ascii="宋体" w:hAnsi="宋体" w:eastAsia="宋体" w:cs="宋体"/>
          <w:color w:val="231F20"/>
          <w:spacing w:val="12"/>
          <w:sz w:val="24"/>
          <w:szCs w:val="24"/>
        </w:rPr>
        <w:t>入。而垄断高价制定的界限在于消费者的消费愿望和购买能力。马克思指出</w:t>
      </w:r>
      <w:r>
        <w:rPr>
          <w:rFonts w:hint="eastAsia" w:ascii="宋体" w:hAnsi="宋体" w:eastAsia="宋体" w:cs="宋体"/>
          <w:color w:val="231F20"/>
          <w:spacing w:val="11"/>
          <w:sz w:val="24"/>
          <w:szCs w:val="24"/>
        </w:rPr>
        <w:t>，“垄断</w:t>
      </w:r>
      <w:r>
        <w:rPr>
          <w:rFonts w:hint="eastAsia" w:ascii="宋体" w:hAnsi="宋体" w:eastAsia="宋体" w:cs="宋体"/>
          <w:color w:val="231F20"/>
          <w:spacing w:val="10"/>
          <w:sz w:val="24"/>
          <w:szCs w:val="24"/>
        </w:rPr>
        <w:t>价格既不是由商品的生产价格决定，也不是由</w:t>
      </w:r>
      <w:r>
        <w:rPr>
          <w:rFonts w:hint="eastAsia" w:ascii="宋体" w:hAnsi="宋体" w:eastAsia="宋体" w:cs="宋体"/>
          <w:color w:val="231F20"/>
          <w:spacing w:val="9"/>
          <w:sz w:val="24"/>
          <w:szCs w:val="24"/>
        </w:rPr>
        <w:t>商品的价值决定，而是由购买者的需要</w:t>
      </w:r>
      <w:r>
        <w:rPr>
          <w:rFonts w:hint="eastAsia" w:ascii="宋体" w:hAnsi="宋体" w:eastAsia="宋体" w:cs="宋体"/>
          <w:color w:val="231F20"/>
          <w:spacing w:val="-3"/>
          <w:sz w:val="24"/>
          <w:szCs w:val="24"/>
        </w:rPr>
        <w:t>和支付能力决定”。</w:t>
      </w:r>
      <w:r>
        <w:rPr>
          <w:rStyle w:val="20"/>
          <w:rFonts w:hint="eastAsia" w:ascii="宋体" w:hAnsi="宋体" w:eastAsia="宋体" w:cs="宋体"/>
          <w:color w:val="231F20"/>
          <w:spacing w:val="-3"/>
          <w:sz w:val="24"/>
          <w:szCs w:val="24"/>
        </w:rPr>
        <w:footnoteReference w:id="898"/>
      </w:r>
    </w:p>
    <w:p w14:paraId="37F76B2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position w:val="1"/>
          <w:sz w:val="24"/>
          <w:szCs w:val="24"/>
        </w:rPr>
        <w:t>（二）运用好“物价变动”方式在推动共同富裕</w:t>
      </w:r>
      <w:r>
        <w:rPr>
          <w:rFonts w:hint="eastAsia" w:ascii="宋体" w:hAnsi="宋体" w:eastAsia="宋体" w:cs="宋体"/>
          <w:color w:val="231F20"/>
          <w:spacing w:val="8"/>
          <w:position w:val="1"/>
          <w:sz w:val="24"/>
          <w:szCs w:val="24"/>
        </w:rPr>
        <w:t>中的调节作用</w:t>
      </w:r>
    </w:p>
    <w:p w14:paraId="7831272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运用好“物价变动”在推动共同富裕中的调节作用，就是要</w:t>
      </w:r>
      <w:r>
        <w:rPr>
          <w:rFonts w:hint="eastAsia" w:ascii="宋体" w:hAnsi="宋体" w:eastAsia="宋体" w:cs="宋体"/>
          <w:color w:val="231F20"/>
          <w:spacing w:val="10"/>
          <w:sz w:val="24"/>
          <w:szCs w:val="24"/>
        </w:rPr>
        <w:t>依据物价变动对财富</w:t>
      </w:r>
      <w:r>
        <w:rPr>
          <w:rFonts w:hint="eastAsia" w:ascii="宋体" w:hAnsi="宋体" w:eastAsia="宋体" w:cs="宋体"/>
          <w:color w:val="231F20"/>
          <w:spacing w:val="9"/>
          <w:sz w:val="24"/>
          <w:szCs w:val="24"/>
        </w:rPr>
        <w:t>和收入分配的调节机制，通过市场调节与国家调节在物价变动中的有机结合，规范和引导“物价变动”方式，使之促进财富和收入分配朝着共同富裕方向发展。</w:t>
      </w:r>
    </w:p>
    <w:p w14:paraId="49786FA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首先，发挥国家调节对市场物价变动的规范和引导作用，促进物价的合理确定和</w:t>
      </w:r>
      <w:r>
        <w:rPr>
          <w:rFonts w:hint="eastAsia" w:ascii="宋体" w:hAnsi="宋体" w:eastAsia="宋体" w:cs="宋体"/>
          <w:color w:val="231F20"/>
          <w:spacing w:val="11"/>
          <w:sz w:val="24"/>
          <w:szCs w:val="24"/>
        </w:rPr>
        <w:t>基本稳定。一是国家自觉运用物价变动的客观规律，根据各类</w:t>
      </w:r>
      <w:r>
        <w:rPr>
          <w:rFonts w:hint="eastAsia" w:ascii="宋体" w:hAnsi="宋体" w:eastAsia="宋体" w:cs="宋体"/>
          <w:color w:val="231F20"/>
          <w:spacing w:val="10"/>
          <w:sz w:val="24"/>
          <w:szCs w:val="24"/>
        </w:rPr>
        <w:t>商品价格变动的实际运行状况和发展态势，预先制定商品生产和产业</w:t>
      </w:r>
      <w:r>
        <w:rPr>
          <w:rFonts w:hint="eastAsia" w:ascii="宋体" w:hAnsi="宋体" w:eastAsia="宋体" w:cs="宋体"/>
          <w:color w:val="231F20"/>
          <w:spacing w:val="9"/>
          <w:sz w:val="24"/>
          <w:szCs w:val="24"/>
        </w:rPr>
        <w:t>发展的总体性规划，从而推动实现国民</w:t>
      </w:r>
      <w:r>
        <w:rPr>
          <w:rFonts w:hint="eastAsia" w:ascii="宋体" w:hAnsi="宋体" w:eastAsia="宋体" w:cs="宋体"/>
          <w:color w:val="231F20"/>
          <w:spacing w:val="11"/>
          <w:sz w:val="24"/>
          <w:szCs w:val="24"/>
        </w:rPr>
        <w:t>经济各产业内部与产业之间产品供给与需求的综合平衡，以避</w:t>
      </w:r>
      <w:r>
        <w:rPr>
          <w:rFonts w:hint="eastAsia" w:ascii="宋体" w:hAnsi="宋体" w:eastAsia="宋体" w:cs="宋体"/>
          <w:color w:val="231F20"/>
          <w:spacing w:val="10"/>
          <w:sz w:val="24"/>
          <w:szCs w:val="24"/>
        </w:rPr>
        <w:t>免由供需矛盾激化引发</w:t>
      </w:r>
      <w:r>
        <w:rPr>
          <w:rFonts w:hint="eastAsia" w:ascii="宋体" w:hAnsi="宋体" w:eastAsia="宋体" w:cs="宋体"/>
          <w:color w:val="231F20"/>
          <w:spacing w:val="12"/>
          <w:sz w:val="24"/>
          <w:szCs w:val="24"/>
        </w:rPr>
        <w:t>物价的大起大落。二是国家及时跟踪、监控和研判事关国计民生的重要商品的</w:t>
      </w:r>
      <w:r>
        <w:rPr>
          <w:rFonts w:hint="eastAsia" w:ascii="宋体" w:hAnsi="宋体" w:eastAsia="宋体" w:cs="宋体"/>
          <w:color w:val="231F20"/>
          <w:spacing w:val="11"/>
          <w:sz w:val="24"/>
          <w:szCs w:val="24"/>
        </w:rPr>
        <w:t>价格变动，自觉运用包括经济、法律、行政、劝导等手段在内的国家物价监控与调节体系，</w:t>
      </w:r>
      <w:r>
        <w:rPr>
          <w:rFonts w:hint="eastAsia" w:ascii="宋体" w:hAnsi="宋体" w:eastAsia="宋体" w:cs="宋体"/>
          <w:color w:val="231F20"/>
          <w:spacing w:val="9"/>
          <w:sz w:val="24"/>
          <w:szCs w:val="24"/>
        </w:rPr>
        <w:t>规范和引导物价处于合理区间并保持基本稳定。</w:t>
      </w:r>
    </w:p>
    <w:p w14:paraId="6D56184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其次，国家依法治理垄断，防止资本的无序扩张，既发挥大企业在社会化大生产</w:t>
      </w:r>
      <w:r>
        <w:rPr>
          <w:rFonts w:hint="eastAsia" w:ascii="宋体" w:hAnsi="宋体" w:eastAsia="宋体" w:cs="宋体"/>
          <w:color w:val="231F20"/>
          <w:spacing w:val="11"/>
          <w:sz w:val="24"/>
          <w:szCs w:val="24"/>
        </w:rPr>
        <w:t>中的规模优势，又反对大企业凭借自身的规模优势实行垄断价</w:t>
      </w:r>
      <w:r>
        <w:rPr>
          <w:rFonts w:hint="eastAsia" w:ascii="宋体" w:hAnsi="宋体" w:eastAsia="宋体" w:cs="宋体"/>
          <w:color w:val="231F20"/>
          <w:spacing w:val="10"/>
          <w:sz w:val="24"/>
          <w:szCs w:val="24"/>
        </w:rPr>
        <w:t>格而攫取垄断利润。在</w:t>
      </w:r>
      <w:r>
        <w:rPr>
          <w:rFonts w:hint="eastAsia" w:ascii="宋体" w:hAnsi="宋体" w:eastAsia="宋体" w:cs="宋体"/>
          <w:color w:val="231F20"/>
          <w:spacing w:val="11"/>
          <w:sz w:val="24"/>
          <w:szCs w:val="24"/>
        </w:rPr>
        <w:t>现代全球化市场竞争中，具有规模优势的大企业是市场竞争的</w:t>
      </w:r>
      <w:r>
        <w:rPr>
          <w:rFonts w:hint="eastAsia" w:ascii="宋体" w:hAnsi="宋体" w:eastAsia="宋体" w:cs="宋体"/>
          <w:color w:val="231F20"/>
          <w:spacing w:val="10"/>
          <w:sz w:val="24"/>
          <w:szCs w:val="24"/>
        </w:rPr>
        <w:t>主体。这种大企业具有</w:t>
      </w:r>
      <w:r>
        <w:rPr>
          <w:rFonts w:hint="eastAsia" w:ascii="宋体" w:hAnsi="宋体" w:eastAsia="宋体" w:cs="宋体"/>
          <w:color w:val="231F20"/>
          <w:spacing w:val="8"/>
          <w:sz w:val="24"/>
          <w:szCs w:val="24"/>
        </w:rPr>
        <w:t>规模垄断或自然垄断性质，集中体现了规模经济，具有推动技术进步的功能，并能够</w:t>
      </w:r>
      <w:r>
        <w:rPr>
          <w:rFonts w:hint="eastAsia" w:ascii="宋体" w:hAnsi="宋体" w:eastAsia="宋体" w:cs="宋体"/>
          <w:color w:val="231F20"/>
          <w:spacing w:val="10"/>
          <w:sz w:val="24"/>
          <w:szCs w:val="24"/>
        </w:rPr>
        <w:t>降低各类成本，从而与现代社会化大生产的发展</w:t>
      </w:r>
      <w:r>
        <w:rPr>
          <w:rFonts w:hint="eastAsia" w:ascii="宋体" w:hAnsi="宋体" w:eastAsia="宋体" w:cs="宋体"/>
          <w:color w:val="231F20"/>
          <w:spacing w:val="9"/>
          <w:sz w:val="24"/>
          <w:szCs w:val="24"/>
        </w:rPr>
        <w:t>要求相适应。因此，国家依法治理垄</w:t>
      </w:r>
      <w:r>
        <w:rPr>
          <w:rFonts w:hint="eastAsia" w:ascii="宋体" w:hAnsi="宋体" w:eastAsia="宋体" w:cs="宋体"/>
          <w:color w:val="231F20"/>
          <w:spacing w:val="11"/>
          <w:sz w:val="24"/>
          <w:szCs w:val="24"/>
        </w:rPr>
        <w:t>断的核心并不在于反对企业的较大规模，而在于反对与惩戒垄</w:t>
      </w:r>
      <w:r>
        <w:rPr>
          <w:rFonts w:hint="eastAsia" w:ascii="宋体" w:hAnsi="宋体" w:eastAsia="宋体" w:cs="宋体"/>
          <w:color w:val="231F20"/>
          <w:spacing w:val="10"/>
          <w:sz w:val="24"/>
          <w:szCs w:val="24"/>
        </w:rPr>
        <w:t>断企业为确定和维持垄断价格从而攫取垄断利润采取的各种不正当竞</w:t>
      </w:r>
      <w:r>
        <w:rPr>
          <w:rFonts w:hint="eastAsia" w:ascii="宋体" w:hAnsi="宋体" w:eastAsia="宋体" w:cs="宋体"/>
          <w:color w:val="231F20"/>
          <w:spacing w:val="9"/>
          <w:sz w:val="24"/>
          <w:szCs w:val="24"/>
        </w:rPr>
        <w:t>争行为，例如垄断协议，滥用市场支配</w:t>
      </w:r>
      <w:r>
        <w:rPr>
          <w:rFonts w:hint="eastAsia" w:ascii="宋体" w:hAnsi="宋体" w:eastAsia="宋体" w:cs="宋体"/>
          <w:color w:val="231F20"/>
          <w:spacing w:val="11"/>
          <w:sz w:val="24"/>
          <w:szCs w:val="24"/>
        </w:rPr>
        <w:t>地位，经营者集中以及滥用行政权力排除、限制竞争等。国家</w:t>
      </w:r>
      <w:r>
        <w:rPr>
          <w:rFonts w:hint="eastAsia" w:ascii="宋体" w:hAnsi="宋体" w:eastAsia="宋体" w:cs="宋体"/>
          <w:color w:val="231F20"/>
          <w:spacing w:val="10"/>
          <w:sz w:val="24"/>
          <w:szCs w:val="24"/>
        </w:rPr>
        <w:t>依法处罚与限制不正当</w:t>
      </w:r>
      <w:r>
        <w:rPr>
          <w:rFonts w:hint="eastAsia" w:ascii="宋体" w:hAnsi="宋体" w:eastAsia="宋体" w:cs="宋体"/>
          <w:color w:val="231F20"/>
          <w:spacing w:val="9"/>
          <w:sz w:val="24"/>
          <w:szCs w:val="24"/>
        </w:rPr>
        <w:t>竞争行为，能够有效防止和限制垄断价格的形成，从而有利于防止贫富两极分化。</w:t>
      </w:r>
    </w:p>
    <w:p w14:paraId="3E86240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color w:val="231F20"/>
          <w:spacing w:val="9"/>
          <w:sz w:val="24"/>
          <w:szCs w:val="24"/>
        </w:rPr>
      </w:pPr>
      <w:r>
        <w:rPr>
          <w:rFonts w:hint="eastAsia" w:ascii="宋体" w:hAnsi="宋体" w:eastAsia="宋体" w:cs="宋体"/>
          <w:color w:val="231F20"/>
          <w:spacing w:val="9"/>
          <w:sz w:val="24"/>
          <w:szCs w:val="24"/>
        </w:rPr>
        <w:t>可见，运用好“物价变动”的客观方式在推动共同富裕中的调节作用，既要充分</w:t>
      </w:r>
      <w:r>
        <w:rPr>
          <w:rFonts w:hint="eastAsia" w:ascii="宋体" w:hAnsi="宋体" w:eastAsia="宋体" w:cs="宋体"/>
          <w:color w:val="231F20"/>
          <w:spacing w:val="10"/>
          <w:sz w:val="24"/>
          <w:szCs w:val="24"/>
        </w:rPr>
        <w:t>发挥物价变动在资源配置中的调节作用，又要</w:t>
      </w:r>
      <w:r>
        <w:rPr>
          <w:rFonts w:hint="eastAsia" w:ascii="宋体" w:hAnsi="宋体" w:eastAsia="宋体" w:cs="宋体"/>
          <w:color w:val="231F20"/>
          <w:spacing w:val="9"/>
          <w:sz w:val="24"/>
          <w:szCs w:val="24"/>
        </w:rPr>
        <w:t>加强对物价变动的规范与引导，使之促进财富和收入分配朝着共同富裕方向发展。</w:t>
      </w:r>
    </w:p>
    <w:p w14:paraId="37791213">
      <w:pPr>
        <w:pStyle w:val="4"/>
        <w:bidi w:val="0"/>
        <w:rPr>
          <w:rFonts w:hint="eastAsia"/>
        </w:rPr>
      </w:pPr>
      <w:r>
        <w:rPr>
          <w:rFonts w:hint="eastAsia"/>
        </w:rPr>
        <w:t>四、起胀缩作用的“资本市场”分配方式</w:t>
      </w:r>
    </w:p>
    <w:p w14:paraId="2C41879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7"/>
          <w:sz w:val="24"/>
          <w:szCs w:val="24"/>
        </w:rPr>
        <w:t>习近平总书记指出，要“健全资本市场功能、发挥现代资本市场积极作用”。</w:t>
      </w:r>
      <w:r>
        <w:rPr>
          <w:rStyle w:val="20"/>
          <w:rFonts w:hint="eastAsia" w:ascii="宋体" w:hAnsi="宋体" w:eastAsia="宋体" w:cs="宋体"/>
          <w:color w:val="231F20"/>
          <w:spacing w:val="7"/>
          <w:sz w:val="24"/>
          <w:szCs w:val="24"/>
        </w:rPr>
        <w:footnoteReference w:id="899"/>
      </w:r>
      <w:r>
        <w:rPr>
          <w:rFonts w:hint="eastAsia" w:ascii="宋体" w:hAnsi="宋体" w:eastAsia="宋体" w:cs="宋体"/>
          <w:color w:val="231F20"/>
          <w:spacing w:val="7"/>
          <w:sz w:val="24"/>
          <w:szCs w:val="24"/>
        </w:rPr>
        <w:t>资</w:t>
      </w:r>
      <w:r>
        <w:rPr>
          <w:rFonts w:hint="eastAsia" w:ascii="宋体" w:hAnsi="宋体" w:eastAsia="宋体" w:cs="宋体"/>
          <w:color w:val="231F20"/>
          <w:spacing w:val="11"/>
          <w:sz w:val="24"/>
          <w:szCs w:val="24"/>
        </w:rPr>
        <w:t>本市场上证券、债券等金融产品的价格变动，能够引发资本市场</w:t>
      </w:r>
      <w:r>
        <w:rPr>
          <w:rFonts w:hint="eastAsia" w:ascii="宋体" w:hAnsi="宋体" w:eastAsia="宋体" w:cs="宋体"/>
          <w:color w:val="231F20"/>
          <w:spacing w:val="10"/>
          <w:sz w:val="24"/>
          <w:szCs w:val="24"/>
        </w:rPr>
        <w:t>参与者的家庭财富与</w:t>
      </w:r>
      <w:r>
        <w:rPr>
          <w:rFonts w:hint="eastAsia" w:ascii="宋体" w:hAnsi="宋体" w:eastAsia="宋体" w:cs="宋体"/>
          <w:color w:val="231F20"/>
          <w:spacing w:val="12"/>
          <w:sz w:val="24"/>
          <w:szCs w:val="24"/>
        </w:rPr>
        <w:t>收入的相应膨胀或收缩。资本市场稳定对于避免居民财产性收入的剧烈震荡和大</w:t>
      </w:r>
      <w:r>
        <w:rPr>
          <w:rFonts w:hint="eastAsia" w:ascii="宋体" w:hAnsi="宋体" w:eastAsia="宋体" w:cs="宋体"/>
          <w:color w:val="231F20"/>
          <w:spacing w:val="11"/>
          <w:sz w:val="24"/>
          <w:szCs w:val="24"/>
        </w:rPr>
        <w:t>幅缩</w:t>
      </w:r>
      <w:r>
        <w:rPr>
          <w:rFonts w:hint="eastAsia" w:ascii="宋体" w:hAnsi="宋体" w:eastAsia="宋体" w:cs="宋体"/>
          <w:color w:val="231F20"/>
          <w:spacing w:val="10"/>
          <w:sz w:val="24"/>
          <w:szCs w:val="24"/>
        </w:rPr>
        <w:t>水，从而扎实推动共同富裕具有重要意义，但以</w:t>
      </w:r>
      <w:r>
        <w:rPr>
          <w:rFonts w:hint="eastAsia" w:ascii="宋体" w:hAnsi="宋体" w:eastAsia="宋体" w:cs="宋体"/>
          <w:color w:val="231F20"/>
          <w:spacing w:val="9"/>
          <w:sz w:val="24"/>
          <w:szCs w:val="24"/>
        </w:rPr>
        <w:t>往政治经济学分配理论对此没有加以</w:t>
      </w:r>
      <w:r>
        <w:rPr>
          <w:rFonts w:hint="eastAsia" w:ascii="宋体" w:hAnsi="宋体" w:eastAsia="宋体" w:cs="宋体"/>
          <w:color w:val="231F20"/>
          <w:spacing w:val="11"/>
          <w:sz w:val="24"/>
          <w:szCs w:val="24"/>
        </w:rPr>
        <w:t>探讨。现在从学术创新的精神来深入分析，由于“资本市场”的</w:t>
      </w:r>
      <w:r>
        <w:rPr>
          <w:rFonts w:hint="eastAsia" w:ascii="宋体" w:hAnsi="宋体" w:eastAsia="宋体" w:cs="宋体"/>
          <w:color w:val="231F20"/>
          <w:spacing w:val="10"/>
          <w:sz w:val="24"/>
          <w:szCs w:val="24"/>
        </w:rPr>
        <w:t>分配效应在市场经济</w:t>
      </w:r>
      <w:r>
        <w:rPr>
          <w:rFonts w:hint="eastAsia" w:ascii="宋体" w:hAnsi="宋体" w:eastAsia="宋体" w:cs="宋体"/>
          <w:color w:val="231F20"/>
          <w:spacing w:val="16"/>
          <w:sz w:val="24"/>
          <w:szCs w:val="24"/>
        </w:rPr>
        <w:t>中具有特殊的形成机制，因而有必要将“资本市场”方式作为单独的分配</w:t>
      </w:r>
      <w:r>
        <w:rPr>
          <w:rFonts w:hint="eastAsia" w:ascii="宋体" w:hAnsi="宋体" w:eastAsia="宋体" w:cs="宋体"/>
          <w:color w:val="231F20"/>
          <w:spacing w:val="15"/>
          <w:sz w:val="24"/>
          <w:szCs w:val="24"/>
        </w:rPr>
        <w:t>方式考察</w:t>
      </w:r>
      <w:r>
        <w:rPr>
          <w:rFonts w:hint="eastAsia" w:ascii="宋体" w:hAnsi="宋体" w:eastAsia="宋体" w:cs="宋体"/>
          <w:color w:val="231F20"/>
          <w:spacing w:val="4"/>
          <w:sz w:val="24"/>
          <w:szCs w:val="24"/>
        </w:rPr>
        <w:t>论证。</w:t>
      </w:r>
    </w:p>
    <w:p w14:paraId="272CB80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position w:val="1"/>
          <w:sz w:val="24"/>
          <w:szCs w:val="24"/>
        </w:rPr>
        <w:t>（一）资本市场产品价格变动的本质与规律</w:t>
      </w:r>
    </w:p>
    <w:p w14:paraId="1BDEA08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认识和把握资本市场产品价格变动的本质与规律，是发挥“资本市场</w:t>
      </w:r>
      <w:r>
        <w:rPr>
          <w:rFonts w:hint="eastAsia" w:ascii="宋体" w:hAnsi="宋体" w:eastAsia="宋体" w:cs="宋体"/>
          <w:color w:val="231F20"/>
          <w:spacing w:val="10"/>
          <w:sz w:val="24"/>
          <w:szCs w:val="24"/>
        </w:rPr>
        <w:t>”在推动共</w:t>
      </w:r>
      <w:r>
        <w:rPr>
          <w:rFonts w:hint="eastAsia" w:ascii="宋体" w:hAnsi="宋体" w:eastAsia="宋体" w:cs="宋体"/>
          <w:color w:val="231F20"/>
          <w:spacing w:val="7"/>
          <w:sz w:val="24"/>
          <w:szCs w:val="24"/>
        </w:rPr>
        <w:t>同富裕中的积极作用的基础。</w:t>
      </w:r>
    </w:p>
    <w:p w14:paraId="68A094D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首先，资本市场产品价格需要以实体经济发展为基础。以股票为例，股票本身没</w:t>
      </w:r>
      <w:r>
        <w:rPr>
          <w:rFonts w:hint="eastAsia" w:ascii="宋体" w:hAnsi="宋体" w:eastAsia="宋体" w:cs="宋体"/>
          <w:color w:val="231F20"/>
          <w:spacing w:val="10"/>
          <w:sz w:val="24"/>
          <w:szCs w:val="24"/>
        </w:rPr>
        <w:t>有价值，其实质是借以索取剩余价值的所有权凭</w:t>
      </w:r>
      <w:r>
        <w:rPr>
          <w:rFonts w:hint="eastAsia" w:ascii="宋体" w:hAnsi="宋体" w:eastAsia="宋体" w:cs="宋体"/>
          <w:color w:val="231F20"/>
          <w:spacing w:val="9"/>
          <w:sz w:val="24"/>
          <w:szCs w:val="24"/>
        </w:rPr>
        <w:t>证。与此相对应，股票持有者获得的</w:t>
      </w:r>
      <w:r>
        <w:rPr>
          <w:rFonts w:hint="eastAsia" w:ascii="宋体" w:hAnsi="宋体" w:eastAsia="宋体" w:cs="宋体"/>
          <w:color w:val="231F20"/>
          <w:spacing w:val="11"/>
          <w:sz w:val="24"/>
          <w:szCs w:val="24"/>
        </w:rPr>
        <w:t>股息红利，实质是其股票代表的实体经济现实资本雇佣的劳动</w:t>
      </w:r>
      <w:r>
        <w:rPr>
          <w:rFonts w:hint="eastAsia" w:ascii="宋体" w:hAnsi="宋体" w:eastAsia="宋体" w:cs="宋体"/>
          <w:color w:val="231F20"/>
          <w:spacing w:val="10"/>
          <w:sz w:val="24"/>
          <w:szCs w:val="24"/>
        </w:rPr>
        <w:t>者创造的剩余价值。股</w:t>
      </w:r>
      <w:r>
        <w:rPr>
          <w:rFonts w:hint="eastAsia" w:ascii="宋体" w:hAnsi="宋体" w:eastAsia="宋体" w:cs="宋体"/>
          <w:color w:val="231F20"/>
          <w:spacing w:val="12"/>
          <w:sz w:val="24"/>
          <w:szCs w:val="24"/>
        </w:rPr>
        <w:t>票持有者所获股票收益的多少取决于股份公司劳动者创造的剩余价值量。如果</w:t>
      </w:r>
      <w:r>
        <w:rPr>
          <w:rFonts w:hint="eastAsia" w:ascii="宋体" w:hAnsi="宋体" w:eastAsia="宋体" w:cs="宋体"/>
          <w:color w:val="231F20"/>
          <w:spacing w:val="11"/>
          <w:sz w:val="24"/>
          <w:szCs w:val="24"/>
        </w:rPr>
        <w:t>股票所</w:t>
      </w:r>
      <w:r>
        <w:rPr>
          <w:rFonts w:hint="eastAsia" w:ascii="宋体" w:hAnsi="宋体" w:eastAsia="宋体" w:cs="宋体"/>
          <w:color w:val="231F20"/>
          <w:spacing w:val="13"/>
          <w:sz w:val="24"/>
          <w:szCs w:val="24"/>
        </w:rPr>
        <w:t>代表的现实资本处于亏损状态，持有股票并不</w:t>
      </w:r>
      <w:r>
        <w:rPr>
          <w:rFonts w:hint="eastAsia" w:ascii="宋体" w:hAnsi="宋体" w:eastAsia="宋体" w:cs="宋体"/>
          <w:color w:val="231F20"/>
          <w:spacing w:val="12"/>
          <w:sz w:val="24"/>
          <w:szCs w:val="24"/>
        </w:rPr>
        <w:t>一定能获得股票收益。从这个角度看，</w:t>
      </w:r>
      <w:r>
        <w:rPr>
          <w:rFonts w:hint="eastAsia" w:ascii="宋体" w:hAnsi="宋体" w:eastAsia="宋体" w:cs="宋体"/>
          <w:color w:val="231F20"/>
          <w:spacing w:val="13"/>
          <w:sz w:val="24"/>
          <w:szCs w:val="24"/>
        </w:rPr>
        <w:t>股票持有者通过获取股份收益来致富，就必须</w:t>
      </w:r>
      <w:r>
        <w:rPr>
          <w:rFonts w:hint="eastAsia" w:ascii="宋体" w:hAnsi="宋体" w:eastAsia="宋体" w:cs="宋体"/>
          <w:color w:val="231F20"/>
          <w:spacing w:val="12"/>
          <w:sz w:val="24"/>
          <w:szCs w:val="24"/>
        </w:rPr>
        <w:t>依赖实体经济中劳动者的劳动。可见，</w:t>
      </w:r>
      <w:r>
        <w:rPr>
          <w:rFonts w:hint="eastAsia" w:ascii="宋体" w:hAnsi="宋体" w:eastAsia="宋体" w:cs="宋体"/>
          <w:color w:val="231F20"/>
          <w:spacing w:val="11"/>
          <w:sz w:val="24"/>
          <w:szCs w:val="24"/>
        </w:rPr>
        <w:t>金融发展离不开实体经济中劳动者的劳动，而且并不能确保股</w:t>
      </w:r>
      <w:r>
        <w:rPr>
          <w:rFonts w:hint="eastAsia" w:ascii="宋体" w:hAnsi="宋体" w:eastAsia="宋体" w:cs="宋体"/>
          <w:color w:val="231F20"/>
          <w:spacing w:val="10"/>
          <w:sz w:val="24"/>
          <w:szCs w:val="24"/>
        </w:rPr>
        <w:t>票持有者通过持有股票</w:t>
      </w:r>
      <w:r>
        <w:rPr>
          <w:rFonts w:hint="eastAsia" w:ascii="宋体" w:hAnsi="宋体" w:eastAsia="宋体" w:cs="宋体"/>
          <w:color w:val="231F20"/>
          <w:spacing w:val="5"/>
          <w:sz w:val="24"/>
          <w:szCs w:val="24"/>
        </w:rPr>
        <w:t>而致富。</w:t>
      </w:r>
    </w:p>
    <w:p w14:paraId="1C198CF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其次，资本市场金融产品的价格变动受到多种预期因素的影响，从而具有一定的</w:t>
      </w:r>
      <w:r>
        <w:rPr>
          <w:rFonts w:hint="eastAsia" w:ascii="宋体" w:hAnsi="宋体" w:eastAsia="宋体" w:cs="宋体"/>
          <w:color w:val="231F20"/>
          <w:spacing w:val="8"/>
          <w:sz w:val="24"/>
          <w:szCs w:val="24"/>
        </w:rPr>
        <w:t>投机性质。以股票为例，在股票交易中，股票价格处于不断波动之中，而并不必然持</w:t>
      </w:r>
      <w:r>
        <w:rPr>
          <w:rFonts w:hint="eastAsia" w:ascii="宋体" w:hAnsi="宋体" w:eastAsia="宋体" w:cs="宋体"/>
          <w:color w:val="231F20"/>
          <w:spacing w:val="11"/>
          <w:sz w:val="24"/>
          <w:szCs w:val="24"/>
        </w:rPr>
        <w:t>续地上涨。实际上，任何影响股票预期收益的事件都可能导致股票价格</w:t>
      </w:r>
      <w:r>
        <w:rPr>
          <w:rFonts w:hint="eastAsia" w:ascii="宋体" w:hAnsi="宋体" w:eastAsia="宋体" w:cs="宋体"/>
          <w:color w:val="231F20"/>
          <w:spacing w:val="10"/>
          <w:sz w:val="24"/>
          <w:szCs w:val="24"/>
        </w:rPr>
        <w:t>下跌。股票交易的投机性质，很难直接使相关市场参与者同时获益，</w:t>
      </w:r>
      <w:r>
        <w:rPr>
          <w:rFonts w:hint="eastAsia" w:ascii="宋体" w:hAnsi="宋体" w:eastAsia="宋体" w:cs="宋体"/>
          <w:color w:val="231F20"/>
          <w:spacing w:val="9"/>
          <w:sz w:val="24"/>
          <w:szCs w:val="24"/>
        </w:rPr>
        <w:t>反而使股票持有者感觉富有程</w:t>
      </w:r>
      <w:r>
        <w:rPr>
          <w:rFonts w:hint="eastAsia" w:ascii="宋体" w:hAnsi="宋体" w:eastAsia="宋体" w:cs="宋体"/>
          <w:color w:val="231F20"/>
          <w:spacing w:val="10"/>
          <w:sz w:val="24"/>
          <w:szCs w:val="24"/>
        </w:rPr>
        <w:t>度降低。对具体交易个体而言，股票市场的巨大波动可</w:t>
      </w:r>
      <w:r>
        <w:rPr>
          <w:rFonts w:hint="eastAsia" w:ascii="宋体" w:hAnsi="宋体" w:eastAsia="宋体" w:cs="宋体"/>
          <w:color w:val="231F20"/>
          <w:spacing w:val="9"/>
          <w:sz w:val="24"/>
          <w:szCs w:val="24"/>
        </w:rPr>
        <w:t>能不仅没有因此致富，反而被</w:t>
      </w:r>
      <w:r>
        <w:rPr>
          <w:rFonts w:hint="eastAsia" w:ascii="宋体" w:hAnsi="宋体" w:eastAsia="宋体" w:cs="宋体"/>
          <w:color w:val="231F20"/>
          <w:spacing w:val="7"/>
          <w:sz w:val="24"/>
          <w:szCs w:val="24"/>
        </w:rPr>
        <w:t>洗劫一空。</w:t>
      </w:r>
    </w:p>
    <w:p w14:paraId="5FACE74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可见，资本市场产品价格变动以实体经济发展为基础，并受到多种预期因素的影响，从而引发市场参与者之间社会财富价值</w:t>
      </w:r>
      <w:r>
        <w:rPr>
          <w:rFonts w:hint="eastAsia" w:ascii="宋体" w:hAnsi="宋体" w:eastAsia="宋体" w:cs="宋体"/>
          <w:color w:val="231F20"/>
          <w:spacing w:val="8"/>
          <w:sz w:val="24"/>
          <w:szCs w:val="24"/>
        </w:rPr>
        <w:t>的转移与分配。</w:t>
      </w:r>
    </w:p>
    <w:p w14:paraId="7F1B12C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position w:val="1"/>
          <w:sz w:val="24"/>
          <w:szCs w:val="24"/>
        </w:rPr>
        <w:t>（二）运用好“资本市场”方式在推动共同富裕</w:t>
      </w:r>
      <w:r>
        <w:rPr>
          <w:rFonts w:hint="eastAsia" w:ascii="宋体" w:hAnsi="宋体" w:eastAsia="宋体" w:cs="宋体"/>
          <w:color w:val="231F20"/>
          <w:spacing w:val="8"/>
          <w:position w:val="1"/>
          <w:sz w:val="24"/>
          <w:szCs w:val="24"/>
        </w:rPr>
        <w:t>中的胀缩作用</w:t>
      </w:r>
    </w:p>
    <w:p w14:paraId="05E08D5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运用好“资本市场”方式在推动共同富裕中的胀缩作用，需</w:t>
      </w:r>
      <w:r>
        <w:rPr>
          <w:rFonts w:hint="eastAsia" w:ascii="宋体" w:hAnsi="宋体" w:eastAsia="宋体" w:cs="宋体"/>
          <w:color w:val="231F20"/>
          <w:spacing w:val="10"/>
          <w:sz w:val="24"/>
          <w:szCs w:val="24"/>
        </w:rPr>
        <w:t>要依据金融产品价格</w:t>
      </w:r>
      <w:r>
        <w:rPr>
          <w:rFonts w:hint="eastAsia" w:ascii="宋体" w:hAnsi="宋体" w:eastAsia="宋体" w:cs="宋体"/>
          <w:color w:val="231F20"/>
          <w:spacing w:val="9"/>
          <w:sz w:val="24"/>
          <w:szCs w:val="24"/>
        </w:rPr>
        <w:t>波动的本质与规律，规范和引导金融服务于实体经济，有效监管治理资本市场的剧烈震荡，从而促进金融与实体经济的良性互动，使之促进与推动共同富裕。</w:t>
      </w:r>
    </w:p>
    <w:p w14:paraId="5ED0864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5"/>
          <w:sz w:val="24"/>
          <w:szCs w:val="24"/>
        </w:rPr>
        <w:t>首先，金融发展要充分贯彻服务实体经济的宗旨，不断提升服务能力与服务水</w:t>
      </w:r>
      <w:r>
        <w:rPr>
          <w:rFonts w:hint="eastAsia" w:ascii="宋体" w:hAnsi="宋体" w:eastAsia="宋体" w:cs="宋体"/>
          <w:color w:val="231F20"/>
          <w:spacing w:val="11"/>
          <w:sz w:val="24"/>
          <w:szCs w:val="24"/>
        </w:rPr>
        <w:t>平，从而科学、精准、系统地为实体经济劳动者的财富创造和</w:t>
      </w:r>
      <w:r>
        <w:rPr>
          <w:rFonts w:hint="eastAsia" w:ascii="宋体" w:hAnsi="宋体" w:eastAsia="宋体" w:cs="宋体"/>
          <w:color w:val="231F20"/>
          <w:spacing w:val="10"/>
          <w:sz w:val="24"/>
          <w:szCs w:val="24"/>
        </w:rPr>
        <w:t>价值创造提供强有力的</w:t>
      </w:r>
      <w:r>
        <w:rPr>
          <w:rFonts w:hint="eastAsia" w:ascii="宋体" w:hAnsi="宋体" w:eastAsia="宋体" w:cs="宋体"/>
          <w:color w:val="231F20"/>
          <w:spacing w:val="11"/>
          <w:sz w:val="24"/>
          <w:szCs w:val="24"/>
        </w:rPr>
        <w:t>金融支持。在服务方向上，金融产品体系的设计与发展要致力</w:t>
      </w:r>
      <w:r>
        <w:rPr>
          <w:rFonts w:hint="eastAsia" w:ascii="宋体" w:hAnsi="宋体" w:eastAsia="宋体" w:cs="宋体"/>
          <w:color w:val="231F20"/>
          <w:spacing w:val="10"/>
          <w:sz w:val="24"/>
          <w:szCs w:val="24"/>
        </w:rPr>
        <w:t>于满足实体经济发展的</w:t>
      </w:r>
      <w:r>
        <w:rPr>
          <w:rFonts w:hint="eastAsia" w:ascii="宋体" w:hAnsi="宋体" w:eastAsia="宋体" w:cs="宋体"/>
          <w:color w:val="231F20"/>
          <w:spacing w:val="11"/>
          <w:sz w:val="24"/>
          <w:szCs w:val="24"/>
        </w:rPr>
        <w:t>重点领域和薄弱环节对金融的需求，尤其是满足实体经济中重</w:t>
      </w:r>
      <w:r>
        <w:rPr>
          <w:rFonts w:hint="eastAsia" w:ascii="宋体" w:hAnsi="宋体" w:eastAsia="宋体" w:cs="宋体"/>
          <w:color w:val="231F20"/>
          <w:spacing w:val="10"/>
          <w:sz w:val="24"/>
          <w:szCs w:val="24"/>
        </w:rPr>
        <w:t>点产业和关键领域的研</w:t>
      </w:r>
      <w:r>
        <w:rPr>
          <w:rFonts w:hint="eastAsia" w:ascii="宋体" w:hAnsi="宋体" w:eastAsia="宋体" w:cs="宋体"/>
          <w:color w:val="231F20"/>
          <w:spacing w:val="11"/>
          <w:sz w:val="24"/>
          <w:szCs w:val="24"/>
        </w:rPr>
        <w:t>发创新对金融的需求，从而促进与推动实体经济劳动者（尤其</w:t>
      </w:r>
      <w:r>
        <w:rPr>
          <w:rFonts w:hint="eastAsia" w:ascii="宋体" w:hAnsi="宋体" w:eastAsia="宋体" w:cs="宋体"/>
          <w:color w:val="231F20"/>
          <w:spacing w:val="10"/>
          <w:sz w:val="24"/>
          <w:szCs w:val="24"/>
        </w:rPr>
        <w:t>是从事复杂劳动的劳动者）的财富创造和价值创造。在服务结构上，金融</w:t>
      </w:r>
      <w:r>
        <w:rPr>
          <w:rFonts w:hint="eastAsia" w:ascii="宋体" w:hAnsi="宋体" w:eastAsia="宋体" w:cs="宋体"/>
          <w:color w:val="231F20"/>
          <w:spacing w:val="9"/>
          <w:sz w:val="24"/>
          <w:szCs w:val="24"/>
        </w:rPr>
        <w:t>产品体系的结构要适应与反映实体</w:t>
      </w:r>
      <w:r>
        <w:rPr>
          <w:rFonts w:hint="eastAsia" w:ascii="宋体" w:hAnsi="宋体" w:eastAsia="宋体" w:cs="宋体"/>
          <w:color w:val="231F20"/>
          <w:spacing w:val="10"/>
          <w:sz w:val="24"/>
          <w:szCs w:val="24"/>
        </w:rPr>
        <w:t>经济的结构及其变化，充分发挥各类金融产品</w:t>
      </w:r>
      <w:r>
        <w:rPr>
          <w:rFonts w:hint="eastAsia" w:ascii="宋体" w:hAnsi="宋体" w:eastAsia="宋体" w:cs="宋体"/>
          <w:color w:val="231F20"/>
          <w:spacing w:val="9"/>
          <w:sz w:val="24"/>
          <w:szCs w:val="24"/>
        </w:rPr>
        <w:t>服务实体经济的独特优势，同时避免与</w:t>
      </w:r>
      <w:r>
        <w:rPr>
          <w:rFonts w:hint="eastAsia" w:ascii="宋体" w:hAnsi="宋体" w:eastAsia="宋体" w:cs="宋体"/>
          <w:color w:val="231F20"/>
          <w:spacing w:val="11"/>
          <w:sz w:val="24"/>
          <w:szCs w:val="24"/>
        </w:rPr>
        <w:t>防控每个金融产品服务实体经济的内在风险，从而为实体经济</w:t>
      </w:r>
      <w:r>
        <w:rPr>
          <w:rFonts w:hint="eastAsia" w:ascii="宋体" w:hAnsi="宋体" w:eastAsia="宋体" w:cs="宋体"/>
          <w:color w:val="231F20"/>
          <w:spacing w:val="10"/>
          <w:sz w:val="24"/>
          <w:szCs w:val="24"/>
        </w:rPr>
        <w:t>各部门、各产业和各领</w:t>
      </w:r>
      <w:r>
        <w:rPr>
          <w:rFonts w:hint="eastAsia" w:ascii="宋体" w:hAnsi="宋体" w:eastAsia="宋体" w:cs="宋体"/>
          <w:color w:val="231F20"/>
          <w:spacing w:val="9"/>
          <w:sz w:val="24"/>
          <w:szCs w:val="24"/>
        </w:rPr>
        <w:t>域的劳动者财富创造和价值创造提供有利条件。</w:t>
      </w:r>
    </w:p>
    <w:p w14:paraId="7D26076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color w:val="231F20"/>
          <w:spacing w:val="9"/>
          <w:sz w:val="24"/>
          <w:szCs w:val="24"/>
        </w:rPr>
      </w:pPr>
      <w:r>
        <w:rPr>
          <w:rFonts w:hint="eastAsia" w:ascii="宋体" w:hAnsi="宋体" w:eastAsia="宋体" w:cs="宋体"/>
          <w:color w:val="231F20"/>
          <w:spacing w:val="9"/>
          <w:sz w:val="24"/>
          <w:szCs w:val="24"/>
        </w:rPr>
        <w:t>其次，国家要通过金融监管体系有效监管治理防止资本市场的剧烈震荡，避免引</w:t>
      </w:r>
      <w:r>
        <w:rPr>
          <w:rFonts w:hint="eastAsia" w:ascii="宋体" w:hAnsi="宋体" w:eastAsia="宋体" w:cs="宋体"/>
          <w:color w:val="231F20"/>
          <w:spacing w:val="10"/>
          <w:sz w:val="24"/>
          <w:szCs w:val="24"/>
        </w:rPr>
        <w:t>发市场参与者财富与收入的巨幅胀缩。习近平总</w:t>
      </w:r>
      <w:r>
        <w:rPr>
          <w:rFonts w:hint="eastAsia" w:ascii="宋体" w:hAnsi="宋体" w:eastAsia="宋体" w:cs="宋体"/>
          <w:color w:val="231F20"/>
          <w:spacing w:val="9"/>
          <w:sz w:val="24"/>
          <w:szCs w:val="24"/>
        </w:rPr>
        <w:t>书记指出，扎实推动共同富裕，要坚</w:t>
      </w:r>
      <w:r>
        <w:rPr>
          <w:rFonts w:hint="eastAsia" w:ascii="宋体" w:hAnsi="宋体" w:eastAsia="宋体" w:cs="宋体"/>
          <w:color w:val="231F20"/>
          <w:spacing w:val="15"/>
          <w:sz w:val="24"/>
          <w:szCs w:val="24"/>
        </w:rPr>
        <w:t>决打击内幕交易、操纵股市、财务造假等获取非法收</w:t>
      </w:r>
      <w:r>
        <w:rPr>
          <w:rFonts w:hint="eastAsia" w:ascii="宋体" w:hAnsi="宋体" w:eastAsia="宋体" w:cs="宋体"/>
          <w:color w:val="231F20"/>
          <w:spacing w:val="14"/>
          <w:sz w:val="24"/>
          <w:szCs w:val="24"/>
        </w:rPr>
        <w:t>入行为。</w:t>
      </w:r>
      <w:r>
        <w:rPr>
          <w:rStyle w:val="20"/>
          <w:rFonts w:hint="eastAsia" w:ascii="宋体" w:hAnsi="宋体" w:eastAsia="宋体" w:cs="宋体"/>
          <w:color w:val="231F20"/>
          <w:spacing w:val="14"/>
          <w:sz w:val="24"/>
          <w:szCs w:val="24"/>
        </w:rPr>
        <w:footnoteReference w:id="900"/>
      </w:r>
      <w:r>
        <w:rPr>
          <w:rFonts w:hint="eastAsia" w:ascii="宋体" w:hAnsi="宋体" w:eastAsia="宋体" w:cs="宋体"/>
          <w:color w:val="231F20"/>
          <w:spacing w:val="14"/>
          <w:sz w:val="24"/>
          <w:szCs w:val="24"/>
        </w:rPr>
        <w:t>有效监管治理资本市</w:t>
      </w:r>
      <w:r>
        <w:rPr>
          <w:rFonts w:hint="eastAsia" w:ascii="宋体" w:hAnsi="宋体" w:eastAsia="宋体" w:cs="宋体"/>
          <w:color w:val="231F20"/>
          <w:spacing w:val="17"/>
          <w:sz w:val="24"/>
          <w:szCs w:val="24"/>
        </w:rPr>
        <w:t>场的剧烈震荡，需要充分发挥金融监管体系的作用。在金</w:t>
      </w:r>
      <w:r>
        <w:rPr>
          <w:rFonts w:hint="eastAsia" w:ascii="宋体" w:hAnsi="宋体" w:eastAsia="宋体" w:cs="宋体"/>
          <w:color w:val="231F20"/>
          <w:spacing w:val="16"/>
          <w:sz w:val="24"/>
          <w:szCs w:val="24"/>
        </w:rPr>
        <w:t>融机构股权结构的监管方</w:t>
      </w:r>
      <w:r>
        <w:rPr>
          <w:rFonts w:hint="eastAsia" w:ascii="宋体" w:hAnsi="宋体" w:eastAsia="宋体" w:cs="宋体"/>
          <w:color w:val="231F20"/>
          <w:spacing w:val="11"/>
          <w:sz w:val="24"/>
          <w:szCs w:val="24"/>
        </w:rPr>
        <w:t>面，要有效防止外国金融资本通过对我国金融机构的实质性控</w:t>
      </w:r>
      <w:r>
        <w:rPr>
          <w:rFonts w:hint="eastAsia" w:ascii="宋体" w:hAnsi="宋体" w:eastAsia="宋体" w:cs="宋体"/>
          <w:color w:val="231F20"/>
          <w:spacing w:val="10"/>
          <w:sz w:val="24"/>
          <w:szCs w:val="24"/>
        </w:rPr>
        <w:t>股而形成对中国的金融垄断，从而既能够避免大量金融垄断利润的形</w:t>
      </w:r>
      <w:r>
        <w:rPr>
          <w:rFonts w:hint="eastAsia" w:ascii="宋体" w:hAnsi="宋体" w:eastAsia="宋体" w:cs="宋体"/>
          <w:color w:val="231F20"/>
          <w:spacing w:val="9"/>
          <w:sz w:val="24"/>
          <w:szCs w:val="24"/>
        </w:rPr>
        <w:t>成并流往国外，又能够避免我国经济自</w:t>
      </w:r>
      <w:r>
        <w:rPr>
          <w:rFonts w:hint="eastAsia" w:ascii="宋体" w:hAnsi="宋体" w:eastAsia="宋体" w:cs="宋体"/>
          <w:color w:val="231F20"/>
          <w:spacing w:val="11"/>
          <w:sz w:val="24"/>
          <w:szCs w:val="24"/>
        </w:rPr>
        <w:t>主权的丧失和国家安全屏障的失效。防止外国资本在我国的金</w:t>
      </w:r>
      <w:r>
        <w:rPr>
          <w:rFonts w:hint="eastAsia" w:ascii="宋体" w:hAnsi="宋体" w:eastAsia="宋体" w:cs="宋体"/>
          <w:color w:val="231F20"/>
          <w:spacing w:val="10"/>
          <w:sz w:val="24"/>
          <w:szCs w:val="24"/>
        </w:rPr>
        <w:t>融垄断，需要通过金融</w:t>
      </w:r>
      <w:r>
        <w:rPr>
          <w:rFonts w:hint="eastAsia" w:ascii="宋体" w:hAnsi="宋体" w:eastAsia="宋体" w:cs="宋体"/>
          <w:color w:val="231F20"/>
          <w:spacing w:val="11"/>
          <w:sz w:val="24"/>
          <w:szCs w:val="24"/>
        </w:rPr>
        <w:t>法律法规严格限定外国金融资本参股我国商业金融机构的条件</w:t>
      </w:r>
      <w:r>
        <w:rPr>
          <w:rFonts w:hint="eastAsia" w:ascii="宋体" w:hAnsi="宋体" w:eastAsia="宋体" w:cs="宋体"/>
          <w:color w:val="231F20"/>
          <w:spacing w:val="10"/>
          <w:sz w:val="24"/>
          <w:szCs w:val="24"/>
        </w:rPr>
        <w:t>与股权比例，以及外国</w:t>
      </w:r>
      <w:r>
        <w:rPr>
          <w:rFonts w:hint="eastAsia" w:ascii="宋体" w:hAnsi="宋体" w:eastAsia="宋体" w:cs="宋体"/>
          <w:color w:val="231F20"/>
          <w:spacing w:val="9"/>
          <w:sz w:val="24"/>
          <w:szCs w:val="24"/>
        </w:rPr>
        <w:t>金融资本在华分支机构的设立条件与经营范围。</w:t>
      </w:r>
    </w:p>
    <w:p w14:paraId="6ACA04C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在金融监管体系的完善与发展方面，要系统推进建设与金</w:t>
      </w:r>
      <w:r>
        <w:rPr>
          <w:rFonts w:hint="eastAsia" w:ascii="宋体" w:hAnsi="宋体" w:eastAsia="宋体" w:cs="宋体"/>
          <w:color w:val="231F20"/>
          <w:spacing w:val="10"/>
          <w:sz w:val="24"/>
          <w:szCs w:val="24"/>
        </w:rPr>
        <w:t>融市场各类可能性风险</w:t>
      </w:r>
      <w:r>
        <w:rPr>
          <w:rFonts w:hint="eastAsia" w:ascii="宋体" w:hAnsi="宋体" w:eastAsia="宋体" w:cs="宋体"/>
          <w:color w:val="231F20"/>
          <w:spacing w:val="13"/>
          <w:sz w:val="24"/>
          <w:szCs w:val="24"/>
        </w:rPr>
        <w:t>相适应的动态全过程的高质量监管体系，以防范和化解系统性金融风险和金</w:t>
      </w:r>
      <w:r>
        <w:rPr>
          <w:rFonts w:hint="eastAsia" w:ascii="宋体" w:hAnsi="宋体" w:eastAsia="宋体" w:cs="宋体"/>
          <w:color w:val="231F20"/>
          <w:spacing w:val="12"/>
          <w:sz w:val="24"/>
          <w:szCs w:val="24"/>
        </w:rPr>
        <w:t>融危机。</w:t>
      </w:r>
      <w:r>
        <w:rPr>
          <w:rFonts w:hint="eastAsia" w:ascii="宋体" w:hAnsi="宋体" w:eastAsia="宋体" w:cs="宋体"/>
          <w:color w:val="231F20"/>
          <w:spacing w:val="11"/>
          <w:sz w:val="24"/>
          <w:szCs w:val="24"/>
        </w:rPr>
        <w:t>一方面，我国全国人大等金融立法部门要系统推动金融市场监</w:t>
      </w:r>
      <w:r>
        <w:rPr>
          <w:rFonts w:hint="eastAsia" w:ascii="宋体" w:hAnsi="宋体" w:eastAsia="宋体" w:cs="宋体"/>
          <w:color w:val="231F20"/>
          <w:spacing w:val="10"/>
          <w:sz w:val="24"/>
          <w:szCs w:val="24"/>
        </w:rPr>
        <w:t>管的相关法律法规体系</w:t>
      </w:r>
      <w:r>
        <w:rPr>
          <w:rFonts w:hint="eastAsia" w:ascii="宋体" w:hAnsi="宋体" w:eastAsia="宋体" w:cs="宋体"/>
          <w:color w:val="231F20"/>
          <w:spacing w:val="11"/>
          <w:sz w:val="24"/>
          <w:szCs w:val="24"/>
        </w:rPr>
        <w:t>建设与我国金融市场发展实践相适应，使对金融市场活动全过</w:t>
      </w:r>
      <w:r>
        <w:rPr>
          <w:rFonts w:hint="eastAsia" w:ascii="宋体" w:hAnsi="宋体" w:eastAsia="宋体" w:cs="宋体"/>
          <w:color w:val="231F20"/>
          <w:spacing w:val="10"/>
          <w:sz w:val="24"/>
          <w:szCs w:val="24"/>
        </w:rPr>
        <w:t>程、全领域（尤其是新兴金融领域）的金融监管能够有法可依。另一方面</w:t>
      </w:r>
      <w:r>
        <w:rPr>
          <w:rFonts w:hint="eastAsia" w:ascii="宋体" w:hAnsi="宋体" w:eastAsia="宋体" w:cs="宋体"/>
          <w:color w:val="231F20"/>
          <w:spacing w:val="9"/>
          <w:sz w:val="24"/>
          <w:szCs w:val="24"/>
        </w:rPr>
        <w:t>，金融监管部门要从人员素质、技</w:t>
      </w:r>
      <w:r>
        <w:rPr>
          <w:rFonts w:hint="eastAsia" w:ascii="宋体" w:hAnsi="宋体" w:eastAsia="宋体" w:cs="宋体"/>
          <w:color w:val="231F20"/>
          <w:spacing w:val="11"/>
          <w:sz w:val="24"/>
          <w:szCs w:val="24"/>
        </w:rPr>
        <w:t>术手段、监管机制等方面全方位系统提升金融监管的水平和能</w:t>
      </w:r>
      <w:r>
        <w:rPr>
          <w:rFonts w:hint="eastAsia" w:ascii="宋体" w:hAnsi="宋体" w:eastAsia="宋体" w:cs="宋体"/>
          <w:color w:val="231F20"/>
          <w:spacing w:val="10"/>
          <w:sz w:val="24"/>
          <w:szCs w:val="24"/>
        </w:rPr>
        <w:t>力，紧跟金融市场发展</w:t>
      </w:r>
      <w:r>
        <w:rPr>
          <w:rFonts w:hint="eastAsia" w:ascii="宋体" w:hAnsi="宋体" w:eastAsia="宋体" w:cs="宋体"/>
          <w:color w:val="231F20"/>
          <w:spacing w:val="9"/>
          <w:sz w:val="24"/>
          <w:szCs w:val="24"/>
        </w:rPr>
        <w:t>动态，力争做到实时跟踪、及时预判、科学评估、迅疾反应。</w:t>
      </w:r>
    </w:p>
    <w:p w14:paraId="1A3F32B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color w:val="231F20"/>
          <w:spacing w:val="8"/>
          <w:sz w:val="24"/>
          <w:szCs w:val="24"/>
          <w:lang w:eastAsia="zh-CN"/>
        </w:rPr>
      </w:pPr>
      <w:r>
        <w:rPr>
          <w:rFonts w:hint="eastAsia" w:ascii="宋体" w:hAnsi="宋体" w:eastAsia="宋体" w:cs="宋体"/>
          <w:color w:val="231F20"/>
          <w:spacing w:val="9"/>
          <w:sz w:val="24"/>
          <w:szCs w:val="24"/>
        </w:rPr>
        <w:t>在金融对外开放方面，要统筹发展与安全，谨慎对待并充分论证资本项目的对外</w:t>
      </w:r>
      <w:r>
        <w:rPr>
          <w:rFonts w:hint="eastAsia" w:ascii="宋体" w:hAnsi="宋体" w:eastAsia="宋体" w:cs="宋体"/>
          <w:color w:val="231F20"/>
          <w:spacing w:val="12"/>
          <w:sz w:val="24"/>
          <w:szCs w:val="24"/>
        </w:rPr>
        <w:t>开放问题。资本项目管制能够有效防止外国金融投机资本对国内金融市场乃</w:t>
      </w:r>
      <w:r>
        <w:rPr>
          <w:rFonts w:hint="eastAsia" w:ascii="宋体" w:hAnsi="宋体" w:eastAsia="宋体" w:cs="宋体"/>
          <w:color w:val="231F20"/>
          <w:spacing w:val="11"/>
          <w:sz w:val="24"/>
          <w:szCs w:val="24"/>
        </w:rPr>
        <w:t>至整个经</w:t>
      </w:r>
      <w:r>
        <w:rPr>
          <w:rFonts w:hint="eastAsia" w:ascii="宋体" w:hAnsi="宋体" w:eastAsia="宋体" w:cs="宋体"/>
          <w:color w:val="231F20"/>
          <w:spacing w:val="12"/>
          <w:sz w:val="24"/>
          <w:szCs w:val="24"/>
        </w:rPr>
        <w:t>济体系的严重冲击。资本项目开放需要在充分论证可行性和科学评估风险的</w:t>
      </w:r>
      <w:r>
        <w:rPr>
          <w:rFonts w:hint="eastAsia" w:ascii="宋体" w:hAnsi="宋体" w:eastAsia="宋体" w:cs="宋体"/>
          <w:color w:val="231F20"/>
          <w:spacing w:val="11"/>
          <w:sz w:val="24"/>
          <w:szCs w:val="24"/>
        </w:rPr>
        <w:t>基础上谨慎推进，以避免超过国内资本市场的抗风险能力和金融监管</w:t>
      </w:r>
      <w:r>
        <w:rPr>
          <w:rFonts w:hint="eastAsia" w:ascii="宋体" w:hAnsi="宋体" w:eastAsia="宋体" w:cs="宋体"/>
          <w:color w:val="231F20"/>
          <w:spacing w:val="10"/>
          <w:sz w:val="24"/>
          <w:szCs w:val="24"/>
        </w:rPr>
        <w:t>部门的监管能力而贸然开</w:t>
      </w:r>
      <w:r>
        <w:rPr>
          <w:rFonts w:hint="eastAsia" w:ascii="宋体" w:hAnsi="宋体" w:eastAsia="宋体" w:cs="宋体"/>
          <w:color w:val="231F20"/>
          <w:spacing w:val="8"/>
          <w:sz w:val="24"/>
          <w:szCs w:val="24"/>
        </w:rPr>
        <w:t>放形成巨幅的金融市场震荡</w:t>
      </w:r>
      <w:r>
        <w:rPr>
          <w:rFonts w:hint="eastAsia" w:ascii="宋体" w:hAnsi="宋体" w:eastAsia="宋体" w:cs="宋体"/>
          <w:color w:val="231F20"/>
          <w:spacing w:val="8"/>
          <w:sz w:val="24"/>
          <w:szCs w:val="24"/>
          <w:lang w:eastAsia="zh-CN"/>
        </w:rPr>
        <w:t>。</w:t>
      </w:r>
    </w:p>
    <w:p w14:paraId="734B8D5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color w:val="231F20"/>
          <w:spacing w:val="8"/>
          <w:sz w:val="24"/>
          <w:szCs w:val="24"/>
          <w:lang w:eastAsia="zh-CN"/>
        </w:rPr>
      </w:pPr>
    </w:p>
    <w:p w14:paraId="56DEEC6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8"/>
          <w:sz w:val="24"/>
          <w:szCs w:val="24"/>
        </w:rPr>
        <w:t>可见，扎实推动共同富裕，需要运用好“资本市场”的胀缩作用，依据金融产品</w:t>
      </w:r>
      <w:r>
        <w:rPr>
          <w:rFonts w:hint="eastAsia" w:ascii="宋体" w:hAnsi="宋体" w:eastAsia="宋体" w:cs="宋体"/>
          <w:color w:val="231F20"/>
          <w:spacing w:val="10"/>
          <w:sz w:val="24"/>
          <w:szCs w:val="24"/>
        </w:rPr>
        <w:t>价格波动的本质与规律，规范和引导金融服务</w:t>
      </w:r>
      <w:r>
        <w:rPr>
          <w:rFonts w:hint="eastAsia" w:ascii="宋体" w:hAnsi="宋体" w:eastAsia="宋体" w:cs="宋体"/>
          <w:color w:val="231F20"/>
          <w:spacing w:val="9"/>
          <w:sz w:val="24"/>
          <w:szCs w:val="24"/>
        </w:rPr>
        <w:t>于实体经济，有效监管治理资本市场的剧烈震荡，使之促进财富和收入分配朝着共同富裕方向发展。</w:t>
      </w:r>
    </w:p>
    <w:p w14:paraId="2C6FFBE7">
      <w:pPr>
        <w:pStyle w:val="4"/>
        <w:bidi w:val="0"/>
        <w:rPr>
          <w:rFonts w:hint="eastAsia"/>
          <w:lang w:val="en-US" w:eastAsia="zh-CN"/>
        </w:rPr>
      </w:pPr>
      <w:r>
        <w:rPr>
          <w:rFonts w:hint="eastAsia"/>
        </w:rPr>
        <w:t>五、起微补作用的“捐赠穷弱”分配</w:t>
      </w:r>
      <w:r>
        <w:rPr>
          <w:rFonts w:hint="eastAsia"/>
          <w:lang w:val="en-US" w:eastAsia="zh-CN"/>
        </w:rPr>
        <w:t>方式</w:t>
      </w:r>
    </w:p>
    <w:p w14:paraId="71C0B9F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任何对弱势群体的捐赠，其中包括先富起来的</w:t>
      </w:r>
      <w:r>
        <w:rPr>
          <w:rFonts w:hint="eastAsia" w:ascii="宋体" w:hAnsi="宋体" w:eastAsia="宋体" w:cs="宋体"/>
          <w:color w:val="231F20"/>
          <w:spacing w:val="9"/>
          <w:sz w:val="24"/>
          <w:szCs w:val="24"/>
        </w:rPr>
        <w:t>个人和单位对弱势群体的捐赠，都</w:t>
      </w:r>
      <w:r>
        <w:rPr>
          <w:rFonts w:hint="eastAsia" w:ascii="宋体" w:hAnsi="宋体" w:eastAsia="宋体" w:cs="宋体"/>
          <w:color w:val="231F20"/>
          <w:spacing w:val="11"/>
          <w:sz w:val="24"/>
          <w:szCs w:val="24"/>
        </w:rPr>
        <w:t>能够在一定程度上帮助弱势群体渡过暂时的困难</w:t>
      </w:r>
      <w:r>
        <w:rPr>
          <w:rFonts w:hint="eastAsia" w:ascii="宋体" w:hAnsi="宋体" w:eastAsia="宋体" w:cs="宋体"/>
          <w:color w:val="231F20"/>
          <w:spacing w:val="10"/>
          <w:sz w:val="24"/>
          <w:szCs w:val="24"/>
        </w:rPr>
        <w:t>，从而对改善低收入群体的生活质量</w:t>
      </w:r>
      <w:r>
        <w:rPr>
          <w:rFonts w:hint="eastAsia" w:ascii="宋体" w:hAnsi="宋体" w:eastAsia="宋体" w:cs="宋体"/>
          <w:color w:val="231F20"/>
          <w:spacing w:val="8"/>
          <w:sz w:val="24"/>
          <w:szCs w:val="24"/>
        </w:rPr>
        <w:t>和促进共同富裕具有一定的弥补作用。</w:t>
      </w:r>
    </w:p>
    <w:p w14:paraId="1F46B7A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首先，捐赠弱势群体的行为在一定程度上能满足困难群体的紧急生活需要，是对</w:t>
      </w:r>
      <w:r>
        <w:rPr>
          <w:rFonts w:hint="eastAsia" w:ascii="宋体" w:hAnsi="宋体" w:eastAsia="宋体" w:cs="宋体"/>
          <w:color w:val="231F20"/>
          <w:spacing w:val="11"/>
          <w:sz w:val="24"/>
          <w:szCs w:val="24"/>
        </w:rPr>
        <w:t>国家社会救助体系与底线保障功能的有益补充。近年来，我国慈善</w:t>
      </w:r>
      <w:r>
        <w:rPr>
          <w:rFonts w:hint="eastAsia" w:ascii="宋体" w:hAnsi="宋体" w:eastAsia="宋体" w:cs="宋体"/>
          <w:color w:val="231F20"/>
          <w:spacing w:val="10"/>
          <w:sz w:val="24"/>
          <w:szCs w:val="24"/>
        </w:rPr>
        <w:t>组织和其他社会力</w:t>
      </w:r>
      <w:r>
        <w:rPr>
          <w:rFonts w:hint="eastAsia" w:ascii="宋体" w:hAnsi="宋体" w:eastAsia="宋体" w:cs="宋体"/>
          <w:color w:val="231F20"/>
          <w:spacing w:val="12"/>
          <w:sz w:val="24"/>
          <w:szCs w:val="24"/>
        </w:rPr>
        <w:t>量在灾害救助、贫困救济、医疗救助、扶老助残等多个公益事业领域广泛开展慈善帮</w:t>
      </w:r>
      <w:r>
        <w:rPr>
          <w:rFonts w:hint="eastAsia" w:ascii="宋体" w:hAnsi="宋体" w:eastAsia="宋体" w:cs="宋体"/>
          <w:color w:val="231F20"/>
          <w:spacing w:val="15"/>
          <w:sz w:val="24"/>
          <w:szCs w:val="24"/>
        </w:rPr>
        <w:t>扶，发挥了重要的作用。例如，2017—2021年间，全国社会组织捐赠收入分别为</w:t>
      </w:r>
      <w:r>
        <w:rPr>
          <w:rFonts w:hint="eastAsia" w:ascii="宋体" w:hAnsi="宋体" w:eastAsia="宋体" w:cs="宋体"/>
          <w:color w:val="231F20"/>
          <w:spacing w:val="4"/>
          <w:sz w:val="24"/>
          <w:szCs w:val="24"/>
        </w:rPr>
        <w:t>729.2亿元、919.7亿元、873.2亿元、1059.1亿元和1192.5亿元；</w:t>
      </w:r>
      <w:r>
        <w:rPr>
          <w:rStyle w:val="20"/>
          <w:rFonts w:hint="eastAsia" w:ascii="宋体" w:hAnsi="宋体" w:eastAsia="宋体" w:cs="宋体"/>
          <w:color w:val="231F20"/>
          <w:spacing w:val="4"/>
          <w:sz w:val="24"/>
          <w:szCs w:val="24"/>
        </w:rPr>
        <w:footnoteReference w:id="901"/>
      </w:r>
      <w:r>
        <w:rPr>
          <w:rFonts w:hint="eastAsia" w:ascii="宋体" w:hAnsi="宋体" w:eastAsia="宋体" w:cs="宋体"/>
          <w:color w:val="231F20"/>
          <w:spacing w:val="4"/>
          <w:sz w:val="24"/>
          <w:szCs w:val="24"/>
        </w:rPr>
        <w:t>2020年中华慈善总</w:t>
      </w:r>
      <w:r>
        <w:rPr>
          <w:rFonts w:hint="eastAsia" w:ascii="宋体" w:hAnsi="宋体" w:eastAsia="宋体" w:cs="宋体"/>
          <w:color w:val="231F20"/>
          <w:spacing w:val="7"/>
          <w:sz w:val="24"/>
          <w:szCs w:val="24"/>
        </w:rPr>
        <w:t>会和《中华慈善年鉴（2020）》收录的101家慈善会接收慈善款物总额为344.02亿元，</w:t>
      </w:r>
      <w:r>
        <w:rPr>
          <w:rFonts w:hint="eastAsia" w:ascii="宋体" w:hAnsi="宋体" w:eastAsia="宋体" w:cs="宋体"/>
          <w:color w:val="231F20"/>
          <w:spacing w:val="1"/>
          <w:sz w:val="24"/>
          <w:szCs w:val="24"/>
        </w:rPr>
        <w:t>支出333.27亿元，救助数千万人（次）。</w:t>
      </w:r>
      <w:r>
        <w:rPr>
          <w:rStyle w:val="20"/>
          <w:rFonts w:hint="eastAsia" w:ascii="宋体" w:hAnsi="宋体" w:eastAsia="宋体" w:cs="宋体"/>
          <w:color w:val="231F20"/>
          <w:spacing w:val="1"/>
          <w:sz w:val="24"/>
          <w:szCs w:val="24"/>
        </w:rPr>
        <w:footnoteReference w:id="902"/>
      </w:r>
    </w:p>
    <w:p w14:paraId="0AFCEB1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其次，捐赠弱势群体的行为在一定程度上能提高劳动力素质和就业技能，促进其</w:t>
      </w:r>
      <w:r>
        <w:rPr>
          <w:rFonts w:hint="eastAsia" w:ascii="宋体" w:hAnsi="宋体" w:eastAsia="宋体" w:cs="宋体"/>
          <w:color w:val="231F20"/>
          <w:spacing w:val="11"/>
          <w:sz w:val="24"/>
          <w:szCs w:val="24"/>
        </w:rPr>
        <w:t>就业创业的能力，进而在使其获取较高劳动报酬等方面发挥有</w:t>
      </w:r>
      <w:r>
        <w:rPr>
          <w:rFonts w:hint="eastAsia" w:ascii="宋体" w:hAnsi="宋体" w:eastAsia="宋体" w:cs="宋体"/>
          <w:color w:val="231F20"/>
          <w:spacing w:val="10"/>
          <w:sz w:val="24"/>
          <w:szCs w:val="24"/>
        </w:rPr>
        <w:t>益作用。先富起来的个</w:t>
      </w:r>
      <w:r>
        <w:rPr>
          <w:rFonts w:hint="eastAsia" w:ascii="宋体" w:hAnsi="宋体" w:eastAsia="宋体" w:cs="宋体"/>
          <w:color w:val="231F20"/>
          <w:spacing w:val="11"/>
          <w:sz w:val="24"/>
          <w:szCs w:val="24"/>
        </w:rPr>
        <w:t>人和单位对弱势群体在接受教育和职业技能培训等方面的捐赠</w:t>
      </w:r>
      <w:r>
        <w:rPr>
          <w:rFonts w:hint="eastAsia" w:ascii="宋体" w:hAnsi="宋体" w:eastAsia="宋体" w:cs="宋体"/>
          <w:color w:val="231F20"/>
          <w:spacing w:val="10"/>
          <w:sz w:val="24"/>
          <w:szCs w:val="24"/>
        </w:rPr>
        <w:t>与帮扶，能够为弱势群</w:t>
      </w:r>
      <w:r>
        <w:rPr>
          <w:rFonts w:hint="eastAsia" w:ascii="宋体" w:hAnsi="宋体" w:eastAsia="宋体" w:cs="宋体"/>
          <w:color w:val="231F20"/>
          <w:spacing w:val="12"/>
          <w:sz w:val="24"/>
          <w:szCs w:val="24"/>
        </w:rPr>
        <w:t>体在很大程度上消除因劳动能力不足导致的穷弱根源。针对弱势群体的助学捐</w:t>
      </w:r>
      <w:r>
        <w:rPr>
          <w:rFonts w:hint="eastAsia" w:ascii="宋体" w:hAnsi="宋体" w:eastAsia="宋体" w:cs="宋体"/>
          <w:color w:val="231F20"/>
          <w:spacing w:val="11"/>
          <w:sz w:val="24"/>
          <w:szCs w:val="24"/>
        </w:rPr>
        <w:t>赠和教</w:t>
      </w:r>
      <w:r>
        <w:rPr>
          <w:rFonts w:hint="eastAsia" w:ascii="宋体" w:hAnsi="宋体" w:eastAsia="宋体" w:cs="宋体"/>
          <w:color w:val="231F20"/>
          <w:spacing w:val="9"/>
          <w:sz w:val="24"/>
          <w:szCs w:val="24"/>
        </w:rPr>
        <w:t>育类的慈善信托都能够发挥重要的扶智作用。据</w:t>
      </w:r>
      <w:r>
        <w:rPr>
          <w:rFonts w:hint="eastAsia" w:ascii="宋体" w:hAnsi="宋体" w:eastAsia="宋体" w:cs="宋体"/>
          <w:color w:val="231F20"/>
          <w:spacing w:val="9"/>
          <w:sz w:val="24"/>
          <w:szCs w:val="24"/>
          <w:lang w:val="en-US" w:eastAsia="zh-CN"/>
        </w:rPr>
        <w:t>统</w:t>
      </w:r>
      <w:r>
        <w:rPr>
          <w:rFonts w:hint="eastAsia" w:ascii="宋体" w:hAnsi="宋体" w:eastAsia="宋体" w:cs="宋体"/>
          <w:color w:val="231F20"/>
          <w:spacing w:val="9"/>
          <w:sz w:val="24"/>
          <w:szCs w:val="24"/>
        </w:rPr>
        <w:t>计，截至2021年底，全国备案慈善</w:t>
      </w:r>
      <w:r>
        <w:rPr>
          <w:rFonts w:hint="eastAsia" w:ascii="宋体" w:hAnsi="宋体" w:eastAsia="宋体" w:cs="宋体"/>
          <w:color w:val="231F20"/>
          <w:spacing w:val="8"/>
          <w:sz w:val="24"/>
          <w:szCs w:val="24"/>
        </w:rPr>
        <w:t>信托580单，慈善信托合同规模34.7亿元。</w:t>
      </w:r>
      <w:r>
        <w:rPr>
          <w:rStyle w:val="20"/>
          <w:rFonts w:hint="eastAsia" w:ascii="宋体" w:hAnsi="宋体" w:eastAsia="宋体" w:cs="宋体"/>
          <w:color w:val="231F20"/>
          <w:spacing w:val="8"/>
          <w:sz w:val="24"/>
          <w:szCs w:val="24"/>
        </w:rPr>
        <w:footnoteReference w:id="903"/>
      </w:r>
      <w:r>
        <w:rPr>
          <w:rFonts w:hint="eastAsia" w:ascii="宋体" w:hAnsi="宋体" w:eastAsia="宋体" w:cs="宋体"/>
          <w:color w:val="231F20"/>
          <w:spacing w:val="8"/>
          <w:sz w:val="24"/>
          <w:szCs w:val="24"/>
        </w:rPr>
        <w:t>2021年，全国范围内单笔规模最高的慈善信托“中信信托•2021芳梅教育慈善信托”备案规模达2.0001</w:t>
      </w:r>
      <w:r>
        <w:rPr>
          <w:rFonts w:hint="eastAsia" w:ascii="宋体" w:hAnsi="宋体" w:eastAsia="宋体" w:cs="宋体"/>
          <w:color w:val="231F20"/>
          <w:spacing w:val="7"/>
          <w:sz w:val="24"/>
          <w:szCs w:val="24"/>
        </w:rPr>
        <w:t>亿元。</w:t>
      </w:r>
      <w:r>
        <w:rPr>
          <w:rStyle w:val="20"/>
          <w:rFonts w:hint="eastAsia" w:ascii="宋体" w:hAnsi="宋体" w:eastAsia="宋体" w:cs="宋体"/>
          <w:color w:val="231F20"/>
          <w:spacing w:val="7"/>
          <w:sz w:val="24"/>
          <w:szCs w:val="24"/>
        </w:rPr>
        <w:footnoteReference w:id="904"/>
      </w:r>
    </w:p>
    <w:p w14:paraId="1BF94D7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0"/>
          <w:sz w:val="24"/>
          <w:szCs w:val="24"/>
        </w:rPr>
        <w:t>再次，捐赠相对落后地区和困难地区，在一</w:t>
      </w:r>
      <w:r>
        <w:rPr>
          <w:rFonts w:hint="eastAsia" w:ascii="宋体" w:hAnsi="宋体" w:eastAsia="宋体" w:cs="宋体"/>
          <w:color w:val="231F20"/>
          <w:spacing w:val="9"/>
          <w:sz w:val="24"/>
          <w:szCs w:val="24"/>
        </w:rPr>
        <w:t>定程度上能够缩小地区之间的发展差</w:t>
      </w:r>
      <w:r>
        <w:rPr>
          <w:rFonts w:hint="eastAsia" w:ascii="宋体" w:hAnsi="宋体" w:eastAsia="宋体" w:cs="宋体"/>
          <w:color w:val="231F20"/>
          <w:spacing w:val="10"/>
          <w:sz w:val="24"/>
          <w:szCs w:val="24"/>
        </w:rPr>
        <w:t>距，改善相对落后地区和困难地区弱势群体的生活</w:t>
      </w:r>
      <w:r>
        <w:rPr>
          <w:rFonts w:hint="eastAsia" w:ascii="宋体" w:hAnsi="宋体" w:eastAsia="宋体" w:cs="宋体"/>
          <w:color w:val="231F20"/>
          <w:spacing w:val="9"/>
          <w:sz w:val="24"/>
          <w:szCs w:val="24"/>
        </w:rPr>
        <w:t>质量，从而促进区域之间的平衡发</w:t>
      </w:r>
      <w:r>
        <w:rPr>
          <w:rFonts w:hint="eastAsia" w:ascii="宋体" w:hAnsi="宋体" w:eastAsia="宋体" w:cs="宋体"/>
          <w:color w:val="231F20"/>
          <w:spacing w:val="11"/>
          <w:sz w:val="24"/>
          <w:szCs w:val="24"/>
        </w:rPr>
        <w:t>展与共同富裕。先富地区对困难地区的应急性支援和帮扶，</w:t>
      </w:r>
      <w:r>
        <w:rPr>
          <w:rFonts w:hint="eastAsia" w:ascii="宋体" w:hAnsi="宋体" w:eastAsia="宋体" w:cs="宋体"/>
          <w:color w:val="231F20"/>
          <w:spacing w:val="10"/>
          <w:sz w:val="24"/>
          <w:szCs w:val="24"/>
        </w:rPr>
        <w:t>能够较为直接迅速地帮助</w:t>
      </w:r>
      <w:r>
        <w:rPr>
          <w:rFonts w:hint="eastAsia" w:ascii="宋体" w:hAnsi="宋体" w:eastAsia="宋体" w:cs="宋体"/>
          <w:color w:val="231F20"/>
          <w:spacing w:val="12"/>
          <w:sz w:val="24"/>
          <w:szCs w:val="24"/>
        </w:rPr>
        <w:t>当地群众摆脱困境。而先富地区对相对落后地区在民生领域的持续性系统性</w:t>
      </w:r>
      <w:r>
        <w:rPr>
          <w:rFonts w:hint="eastAsia" w:ascii="宋体" w:hAnsi="宋体" w:eastAsia="宋体" w:cs="宋体"/>
          <w:color w:val="231F20"/>
          <w:spacing w:val="11"/>
          <w:sz w:val="24"/>
          <w:szCs w:val="24"/>
        </w:rPr>
        <w:t>支援和帮</w:t>
      </w:r>
      <w:r>
        <w:rPr>
          <w:rFonts w:hint="eastAsia" w:ascii="宋体" w:hAnsi="宋体" w:eastAsia="宋体" w:cs="宋体"/>
          <w:color w:val="231F20"/>
          <w:spacing w:val="10"/>
          <w:sz w:val="24"/>
          <w:szCs w:val="24"/>
        </w:rPr>
        <w:t>扶，能够在不同程度上改善当地的发展条件，</w:t>
      </w:r>
      <w:r>
        <w:rPr>
          <w:rFonts w:hint="eastAsia" w:ascii="宋体" w:hAnsi="宋体" w:eastAsia="宋体" w:cs="宋体"/>
          <w:color w:val="231F20"/>
          <w:spacing w:val="9"/>
          <w:sz w:val="24"/>
          <w:szCs w:val="24"/>
        </w:rPr>
        <w:t>从而不断提高当地群众的生活质量。例</w:t>
      </w:r>
      <w:r>
        <w:rPr>
          <w:rFonts w:hint="eastAsia" w:ascii="宋体" w:hAnsi="宋体" w:eastAsia="宋体" w:cs="宋体"/>
          <w:color w:val="231F20"/>
          <w:spacing w:val="13"/>
          <w:sz w:val="24"/>
          <w:szCs w:val="24"/>
        </w:rPr>
        <w:t>如，省市对口支援在贫困地区脱贫摘帽中发挥了重要作用。2016年以来（</w:t>
      </w:r>
      <w:r>
        <w:rPr>
          <w:rFonts w:hint="eastAsia" w:ascii="宋体" w:hAnsi="宋体" w:eastAsia="宋体" w:cs="宋体"/>
          <w:color w:val="231F20"/>
          <w:spacing w:val="12"/>
          <w:sz w:val="24"/>
          <w:szCs w:val="24"/>
        </w:rPr>
        <w:t>截至2020</w:t>
      </w:r>
      <w:r>
        <w:rPr>
          <w:rFonts w:hint="eastAsia" w:ascii="宋体" w:hAnsi="宋体" w:eastAsia="宋体" w:cs="宋体"/>
          <w:color w:val="231F20"/>
          <w:spacing w:val="9"/>
          <w:sz w:val="24"/>
          <w:szCs w:val="24"/>
        </w:rPr>
        <w:t>年</w:t>
      </w:r>
      <w:r>
        <w:rPr>
          <w:rFonts w:hint="eastAsia" w:ascii="宋体" w:hAnsi="宋体" w:eastAsia="宋体" w:cs="宋体"/>
          <w:color w:val="231F20"/>
          <w:spacing w:val="-53"/>
          <w:w w:val="96"/>
          <w:sz w:val="24"/>
          <w:szCs w:val="24"/>
        </w:rPr>
        <w:t>），</w:t>
      </w:r>
      <w:r>
        <w:rPr>
          <w:rFonts w:hint="eastAsia" w:ascii="宋体" w:hAnsi="宋体" w:eastAsia="宋体" w:cs="宋体"/>
          <w:color w:val="231F20"/>
          <w:spacing w:val="9"/>
          <w:sz w:val="24"/>
          <w:szCs w:val="24"/>
        </w:rPr>
        <w:t>东西部扶贫协作落地援藏项目达313个</w:t>
      </w:r>
      <w:r>
        <w:rPr>
          <w:rFonts w:hint="eastAsia" w:ascii="宋体" w:hAnsi="宋体" w:eastAsia="宋体" w:cs="宋体"/>
          <w:color w:val="231F20"/>
          <w:spacing w:val="8"/>
          <w:sz w:val="24"/>
          <w:szCs w:val="24"/>
        </w:rPr>
        <w:t>，到位援藏资金达195亿元。其中，仅北</w:t>
      </w:r>
      <w:r>
        <w:rPr>
          <w:rFonts w:hint="eastAsia" w:ascii="宋体" w:hAnsi="宋体" w:eastAsia="宋体" w:cs="宋体"/>
          <w:color w:val="231F20"/>
          <w:spacing w:val="12"/>
          <w:sz w:val="24"/>
          <w:szCs w:val="24"/>
        </w:rPr>
        <w:t>京财政就投入近13亿元，助力当雄等4县区</w:t>
      </w:r>
      <w:r>
        <w:rPr>
          <w:rFonts w:hint="eastAsia" w:ascii="宋体" w:hAnsi="宋体" w:eastAsia="宋体" w:cs="宋体"/>
          <w:color w:val="231F20"/>
          <w:spacing w:val="11"/>
          <w:sz w:val="24"/>
          <w:szCs w:val="24"/>
        </w:rPr>
        <w:t>在2018年底前实现脱贫摘帽。</w:t>
      </w:r>
      <w:r>
        <w:rPr>
          <w:rStyle w:val="20"/>
          <w:rFonts w:hint="eastAsia" w:ascii="宋体" w:hAnsi="宋体" w:eastAsia="宋体" w:cs="宋体"/>
          <w:color w:val="231F20"/>
          <w:spacing w:val="11"/>
          <w:sz w:val="24"/>
          <w:szCs w:val="24"/>
        </w:rPr>
        <w:footnoteReference w:id="905"/>
      </w:r>
    </w:p>
    <w:p w14:paraId="10E53DC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11"/>
          <w:sz w:val="24"/>
          <w:szCs w:val="24"/>
        </w:rPr>
        <w:t>扎实推动共同富裕需要发挥“捐赠穷弱”分配方式的微补</w:t>
      </w:r>
      <w:r>
        <w:rPr>
          <w:rFonts w:hint="eastAsia" w:ascii="宋体" w:hAnsi="宋体" w:eastAsia="宋体" w:cs="宋体"/>
          <w:color w:val="231F20"/>
          <w:spacing w:val="10"/>
          <w:sz w:val="24"/>
          <w:szCs w:val="24"/>
        </w:rPr>
        <w:t>作用，通过制度建设和</w:t>
      </w:r>
      <w:r>
        <w:rPr>
          <w:rFonts w:hint="eastAsia" w:ascii="宋体" w:hAnsi="宋体" w:eastAsia="宋体" w:cs="宋体"/>
          <w:color w:val="231F20"/>
          <w:spacing w:val="12"/>
          <w:sz w:val="24"/>
          <w:szCs w:val="24"/>
        </w:rPr>
        <w:t>文化感召来鼓励已经相对富裕的个人和单位根据自身经济条件向贫者、弱</w:t>
      </w:r>
      <w:r>
        <w:rPr>
          <w:rFonts w:hint="eastAsia" w:ascii="宋体" w:hAnsi="宋体" w:eastAsia="宋体" w:cs="宋体"/>
          <w:color w:val="231F20"/>
          <w:spacing w:val="11"/>
          <w:sz w:val="24"/>
          <w:szCs w:val="24"/>
        </w:rPr>
        <w:t>者、遭灾难者等困难群体适当捐赠。一方面，要通过公益慈善事业的制</w:t>
      </w:r>
      <w:r>
        <w:rPr>
          <w:rFonts w:hint="eastAsia" w:ascii="宋体" w:hAnsi="宋体" w:eastAsia="宋体" w:cs="宋体"/>
          <w:color w:val="231F20"/>
          <w:spacing w:val="10"/>
          <w:sz w:val="24"/>
          <w:szCs w:val="24"/>
        </w:rPr>
        <w:t>度体系建设来规范和鼓励</w:t>
      </w:r>
      <w:r>
        <w:rPr>
          <w:rFonts w:hint="eastAsia" w:ascii="宋体" w:hAnsi="宋体" w:eastAsia="宋体" w:cs="宋体"/>
          <w:color w:val="231F20"/>
          <w:spacing w:val="6"/>
          <w:sz w:val="24"/>
          <w:szCs w:val="24"/>
        </w:rPr>
        <w:t>收入相对较高的群体和企业根据自身实际为公益慈善事业做出一定的贡献。正如习近平</w:t>
      </w:r>
      <w:r>
        <w:rPr>
          <w:rFonts w:hint="eastAsia" w:ascii="宋体" w:hAnsi="宋体" w:eastAsia="宋体" w:cs="宋体"/>
          <w:color w:val="231F20"/>
          <w:spacing w:val="9"/>
          <w:sz w:val="24"/>
          <w:szCs w:val="24"/>
        </w:rPr>
        <w:t>总书记指出的：“要加强公益慈善事业规范管理，完善税收优惠政策，鼓励高收入人</w:t>
      </w:r>
      <w:r>
        <w:rPr>
          <w:rFonts w:hint="eastAsia" w:ascii="宋体" w:hAnsi="宋体" w:eastAsia="宋体" w:cs="宋体"/>
          <w:color w:val="231F20"/>
          <w:spacing w:val="13"/>
          <w:sz w:val="24"/>
          <w:szCs w:val="24"/>
        </w:rPr>
        <w:t>群和企业更多回报社会。”</w:t>
      </w:r>
      <w:r>
        <w:rPr>
          <w:rStyle w:val="20"/>
          <w:rFonts w:hint="eastAsia" w:ascii="宋体" w:hAnsi="宋体" w:eastAsia="宋体" w:cs="宋体"/>
          <w:color w:val="231F20"/>
          <w:spacing w:val="13"/>
          <w:sz w:val="24"/>
          <w:szCs w:val="24"/>
        </w:rPr>
        <w:footnoteReference w:id="906"/>
      </w:r>
      <w:r>
        <w:rPr>
          <w:rFonts w:hint="eastAsia" w:ascii="宋体" w:hAnsi="宋体" w:eastAsia="宋体" w:cs="宋体"/>
          <w:color w:val="231F20"/>
          <w:spacing w:val="13"/>
          <w:sz w:val="24"/>
          <w:szCs w:val="24"/>
        </w:rPr>
        <w:t>另一方面，要通过弘扬社会主义核心价值观和“扶危济</w:t>
      </w:r>
      <w:r>
        <w:rPr>
          <w:rFonts w:hint="eastAsia" w:ascii="宋体" w:hAnsi="宋体" w:eastAsia="宋体" w:cs="宋体"/>
          <w:color w:val="231F20"/>
          <w:spacing w:val="11"/>
          <w:sz w:val="24"/>
          <w:szCs w:val="24"/>
        </w:rPr>
        <w:t>困”的中华民族传统美德，倡导“先富者”富而思源、富而</w:t>
      </w:r>
      <w:r>
        <w:rPr>
          <w:rFonts w:hint="eastAsia" w:ascii="宋体" w:hAnsi="宋体" w:eastAsia="宋体" w:cs="宋体"/>
          <w:color w:val="231F20"/>
          <w:spacing w:val="10"/>
          <w:sz w:val="24"/>
          <w:szCs w:val="24"/>
        </w:rPr>
        <w:t>感恩、回馈社会、回报人民，积极担负社会责任，向“后富”地区投</w:t>
      </w:r>
      <w:r>
        <w:rPr>
          <w:rFonts w:hint="eastAsia" w:ascii="宋体" w:hAnsi="宋体" w:eastAsia="宋体" w:cs="宋体"/>
          <w:color w:val="231F20"/>
          <w:spacing w:val="9"/>
          <w:sz w:val="24"/>
          <w:szCs w:val="24"/>
        </w:rPr>
        <w:t>资生产、转移财富、支持公益、做好慈善</w:t>
      </w:r>
      <w:r>
        <w:rPr>
          <w:rFonts w:hint="eastAsia" w:ascii="宋体" w:hAnsi="宋体" w:eastAsia="宋体" w:cs="宋体"/>
          <w:color w:val="231F20"/>
          <w:spacing w:val="8"/>
          <w:sz w:val="24"/>
          <w:szCs w:val="24"/>
        </w:rPr>
        <w:t>等，践行先富带动后富，较富带动较穷。</w:t>
      </w:r>
    </w:p>
    <w:p w14:paraId="345A6CB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eastAsia" w:ascii="宋体" w:hAnsi="宋体" w:eastAsia="宋体" w:cs="宋体"/>
          <w:sz w:val="24"/>
          <w:szCs w:val="24"/>
        </w:rPr>
      </w:pPr>
      <w:r>
        <w:rPr>
          <w:rFonts w:hint="eastAsia" w:ascii="宋体" w:hAnsi="宋体" w:eastAsia="宋体" w:cs="宋体"/>
          <w:color w:val="231F20"/>
          <w:spacing w:val="9"/>
          <w:sz w:val="24"/>
          <w:szCs w:val="24"/>
        </w:rPr>
        <w:t>总而言之，在全面建设社会主义现代化国家新征程中，应以政治经济学的理论创新精神，全方位地认识和实践分配的各种方式，扎实地整体推进共同富裕。</w:t>
      </w:r>
    </w:p>
    <w:p w14:paraId="1B70BC6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32"/>
          <w:lang w:val="en-US" w:eastAsia="zh-CN"/>
        </w:rPr>
      </w:pPr>
      <w:r>
        <w:rPr>
          <w:rFonts w:hint="eastAsia" w:ascii="宋体" w:hAnsi="宋体" w:eastAsia="宋体" w:cs="宋体"/>
          <w:sz w:val="24"/>
          <w:szCs w:val="32"/>
          <w:lang w:val="en-US" w:eastAsia="zh-CN"/>
        </w:rPr>
        <w:t>（原载《</w:t>
      </w:r>
      <w:r>
        <w:rPr>
          <w:rFonts w:hint="eastAsia" w:ascii="宋体" w:hAnsi="宋体" w:eastAsia="宋体" w:cs="宋体"/>
          <w:sz w:val="24"/>
          <w:szCs w:val="32"/>
        </w:rPr>
        <w:t>福建论坛(人文社会科学版)</w:t>
      </w:r>
      <w:r>
        <w:rPr>
          <w:rFonts w:hint="eastAsia" w:ascii="宋体" w:hAnsi="宋体" w:eastAsia="宋体" w:cs="宋体"/>
          <w:sz w:val="24"/>
          <w:szCs w:val="32"/>
          <w:lang w:val="en-US" w:eastAsia="zh-CN"/>
        </w:rPr>
        <w:t>》2024年第2期。）</w:t>
      </w:r>
    </w:p>
    <w:p w14:paraId="4ADFB0CE">
      <w:pPr>
        <w:pStyle w:val="3"/>
        <w:bidi w:val="0"/>
        <w:rPr>
          <w:rFonts w:hint="eastAsia"/>
        </w:rPr>
      </w:pPr>
      <w:bookmarkStart w:id="604" w:name="_Toc707072916"/>
      <w:bookmarkStart w:id="605" w:name="_Toc1107853310"/>
      <w:bookmarkStart w:id="606" w:name="_Toc25051"/>
      <w:bookmarkStart w:id="607" w:name="_Toc1674695613"/>
      <w:bookmarkStart w:id="608" w:name="_Toc1547864420"/>
      <w:bookmarkStart w:id="609" w:name="_Toc1842465115"/>
      <w:r>
        <w:rPr>
          <w:rFonts w:hint="eastAsia"/>
          <w:lang w:val="en-US" w:eastAsia="zh-CN"/>
        </w:rPr>
        <w:t>15</w:t>
      </w:r>
      <w:r>
        <w:rPr>
          <w:rFonts w:hint="eastAsia"/>
        </w:rPr>
        <w:t>中国“六大全球倡议”促进人类命运共同体构建</w:t>
      </w:r>
      <w:bookmarkEnd w:id="604"/>
      <w:bookmarkEnd w:id="605"/>
      <w:bookmarkEnd w:id="606"/>
      <w:bookmarkEnd w:id="607"/>
      <w:bookmarkEnd w:id="608"/>
      <w:bookmarkEnd w:id="609"/>
    </w:p>
    <w:p w14:paraId="037C296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5376B6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内容提要：本文首先阐明人类命运共同体理念与倡议是现阶段实现人类繁荣发展的中国式创新，是马克思主义及其中国化关于世界历史发展的探索。其次阐发“六大全球倡议”是呼应现阶段世界历史发展现实需要的根本举措，其中：共建“一带一路”倡议以新秩序合作为平台，塑造各国经济文化共同繁荣的新示范；全球发展倡议以提升“发展”议题为目标，塑造各国经济社会共同发展的新遵循；全球安全倡议以消除零和博弈和冷战思维为规范，塑造国际社会共同安全的新思路；全球文明倡议以打破西方文明迷思为前提，塑造多样文明共同互鉴的新观念；全球人工智能治理倡议以凝聚共识为基础，塑造科技发展共同治理的新尝试。最后概述中国“六大全球倡议”从多个领域共同促进了人类命运共同体构建</w:t>
      </w:r>
      <w:r>
        <w:rPr>
          <w:rFonts w:hint="eastAsia"/>
          <w:sz w:val="24"/>
          <w:lang w:eastAsia="zh-CN"/>
        </w:rPr>
        <w:t>，</w:t>
      </w:r>
      <w:r>
        <w:rPr>
          <w:rFonts w:hint="eastAsia"/>
          <w:sz w:val="24"/>
          <w:lang w:val="en-US" w:eastAsia="zh-CN"/>
        </w:rPr>
        <w:t>并提出未来的发展举措</w:t>
      </w:r>
      <w:r>
        <w:rPr>
          <w:rFonts w:hint="eastAsia"/>
          <w:sz w:val="24"/>
        </w:rPr>
        <w:t>。</w:t>
      </w:r>
    </w:p>
    <w:p w14:paraId="133A1A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关键词：人类命运共同体 中国全球倡议 新型国际关系 中国外交</w:t>
      </w:r>
      <w:r>
        <w:rPr>
          <w:rFonts w:hint="eastAsia"/>
          <w:sz w:val="24"/>
          <w:lang w:val="en-US" w:eastAsia="zh-CN"/>
        </w:rPr>
        <w:t xml:space="preserve"> </w:t>
      </w:r>
      <w:r>
        <w:rPr>
          <w:rFonts w:hint="eastAsia"/>
          <w:sz w:val="24"/>
        </w:rPr>
        <w:t>国际政治经济</w:t>
      </w:r>
      <w:r>
        <w:rPr>
          <w:rFonts w:hint="eastAsia"/>
          <w:sz w:val="24"/>
          <w:lang w:val="en-US" w:eastAsia="zh-CN"/>
        </w:rPr>
        <w:t>学</w:t>
      </w:r>
      <w:r>
        <w:rPr>
          <w:rFonts w:hint="eastAsia"/>
          <w:sz w:val="24"/>
        </w:rPr>
        <w:t xml:space="preserve">理论 </w:t>
      </w:r>
    </w:p>
    <w:p w14:paraId="29C5E1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F271F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10月18日，习近平主席在第三届“一带一路”国际合作高峰论坛开幕式上发表主旨演讲时宣布：“中方将在本届论坛上提出全球人工智能治理倡议，愿同各国加强交流和对话，共同促进全球人工智能健康有序安全发展。”①至此，自2013年3月习近平主席在莫斯科国际关系学院首次在国际上提出“人类命运共同体”重要理念并形成倡议，2013年10月提出“一带一路”倡议，再到2021年9月、2022年4月、2023年3月分别提出“全球发展倡议”、“全球安全倡议”和“全球文明倡议”，我国已经提出了促进人类社会共同和平与发展的“六大全球倡议”。其中，“人类命运共同体倡议”是所有倡议的核心理念。正如党的二十大报告指出：“构建人类命运共同体是世界各国人民前途所在”，“推动构建人类命运共同体，创造人类文明新形态”②已成为中国式现代化的本质要求。纵观过去十年“人类命运共同体”理念的实践以及各个倡议所取得的丰硕成果，以全人类共同命运为核心价值观念的人类命运共同体理念，已经得到国际社会日益广泛的支持和认同。第七十一届联大主席汤姆森高度评价说：构建人类命运共同体是“人类在这个星球上的唯一未来”③。</w:t>
      </w:r>
    </w:p>
    <w:p w14:paraId="12CACB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13B53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一、人类命运共同体理念与倡议，是现阶段实现人类繁荣发展的中国式创新</w:t>
      </w:r>
    </w:p>
    <w:p w14:paraId="3E1696F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52CD4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马克思恩格斯在《德意志意识形态》中批判了黑格尔的世界历史思想，从唯物主义视角提出人类历史发展进程将会从民族历史走向世界历史，这是在生产力普遍发展基础上形成的社会分工和各民族互相交往的结果，“每一个过着实际生活的，需要吃、喝、穿的个人都可以证明这种行动”④。这一世界历史正是伴随着资本主义的诞生而形成的，“因为它使每个文明国家以及这些国家中的每一个人的需要的满足都依赖于整个世界，因为它消灭了各国以往自然形成的闭关自守的状态”⑤。也就是说，正是在资本主义社会形态下，人类社会才会且必将从封闭、孤立走向开放和联合，从而进入真正意义上的人类世界历史进程。从15世纪的地理大发现到世界市场的形成，再从世界自由竞争到全球化的不断提升，如今的世界逐步发展成为一个不可分割的整体。这是由人类社会的客观发展规律所决定的。马克思还指出：只有在世界历史中，“单个人才能摆脱种种民族局限和地域局限而同整个世界的生产（也同精神的生产）发生实际联系，才能获得利用全球的这种全面的生产（人们的创造）的能力”⑥。按照马克思恩斯的世界历史理论，最终这一高度全球化资本主义世界体系必将被共产主义的世界体系所取代，形成以“自由人联合体”为特征的新世界，这也正是我们所憧憬的”世界大同”。</w:t>
      </w:r>
    </w:p>
    <w:p w14:paraId="59FEEA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然而在这之前，世界历史发展的进程分成了多个阶段，在不同的阶段面临着各自不同的矛盾、冲突和各种不确定性，尤其是在当前我们所处的历史方位中，一方面是全球化大潮已经席卷全世界，生产的全球化、贸易的全球化、金融的全球化推动商品、资本、劳动力、技术、信息等的全球流动，人类“生活在历史和现实交汇的同一个时空里，越来越成为你中有我、我中有你的命运共同体。”⑦另一方面，现阶段全球发展深层次矛盾突出，霸权主义、强权政治依然存在，治理赤字、信任赤字、和平赤字、发展赤字、环境赤字成为摆在全人类面前的严峻挑战，国际社会充满着强权政治、霸权逻辑、丛林法则的“利益共同体”带来的更多是人类的灾难（刘洋、李燕芳，2022），这些问题不可能由某一个国家或某一些国家来解决，也不可能根据政治制度的划分，由资本主义制度的国家或社会主义制度的国家来唯一面对，必须超越国家的界限、甚至超越两种制度的对立来共同解决。这是在新的世界历史进程中最迫切的现实需要。站在人类历史发展进程的高度，习近平主席提出构建人类命运共同体重要理念并向全世界发出这一倡议，正是将马克思主义世界历史理论、中华优秀传统文化与当</w:t>
      </w:r>
      <w:r>
        <w:rPr>
          <w:rFonts w:hint="eastAsia"/>
          <w:sz w:val="24"/>
          <w:lang w:val="en-US" w:eastAsia="zh-CN"/>
        </w:rPr>
        <w:t>今</w:t>
      </w:r>
      <w:r>
        <w:rPr>
          <w:rFonts w:hint="eastAsia"/>
          <w:sz w:val="24"/>
        </w:rPr>
        <w:t>的世界历史进程相联系、与中国特色社会主义实践相联系而形成的对这一现实需要的切实呼应，是解决人类面临的共同难题的勇敢探索，是实现现阶段全人类繁荣发展的中国式创新。</w:t>
      </w:r>
    </w:p>
    <w:p w14:paraId="6B8BA3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46D19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二、“六大全球倡议”是呼应现阶段世界历史发展现实需要的根本举措</w:t>
      </w:r>
    </w:p>
    <w:p w14:paraId="292A72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071EFB5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围绕人类命运共同体理念，习近平主席指出：“世界的命运必须由各国人民共同掌握。各国主权范围内的事情只能由本国政府和人民去管，世界上的事情只能由各国政府和人民共同商量来办”⑧，倡导各国建设持久和平、普遍安全、共同繁荣、开放包容、清洁美丽的世界。一带一路倡议、全球安全倡议、全球发展倡议、全球文明倡议乃至最新提出的全球人工智能治理倡议，正是呼应了现阶段人类社会生存和发展所共同面临的国际治理困境、国际经贸合作需求、战争威胁、发展障碍、文明冲突以及人工智能风险管控等难题，力图为世界各国人民的前途提供中国方案。</w:t>
      </w:r>
    </w:p>
    <w:p w14:paraId="1D9F5E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（一）共建“一带一路”倡议以新秩序合作为平台</w:t>
      </w:r>
      <w:r>
        <w:rPr>
          <w:rFonts w:hint="eastAsia"/>
          <w:sz w:val="24"/>
          <w:lang w:eastAsia="zh-CN"/>
        </w:rPr>
        <w:t>，</w:t>
      </w:r>
      <w:r>
        <w:rPr>
          <w:rFonts w:hint="eastAsia"/>
          <w:sz w:val="24"/>
        </w:rPr>
        <w:t>塑造各国经济文化共同繁荣的新示范</w:t>
      </w:r>
    </w:p>
    <w:p w14:paraId="07C113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10月17日至18日，第三届“一带一路”国际合作高峰论坛在北京举行并庆祝“一带一路”倡议十周年。习近平主席在人民大会堂出席发表《建设开放包容、互联互通、共同发展的世界》的主旨演讲，宣布了中国支持高质量共建“一带一路”的八项行动，以深化“一带一路”合作伙伴关系，推动共建“一带一路”进入高质量发展阶段。共建“一带一路”的十年发展，可谓硕果磊磊。以“丝绸之路经济带”和美国财政部长珍妮特·耶伦“21世纪海上丝绸之路”为指引，“一带一路”合作从亚欧大陆延伸到非洲和拉美，先后与150多个国家、30多个国际组织签署共建“一带一路”合作文件，签署200余份共建“一带一路”合作文件，形成3000多个合作项目，成立了20多个专业领域多边合作平台。周文等（2020）指出中国成功跳出了西方国家狭隘的资本利益视角，摒弃了对资本利润的无止尽攫取</w:t>
      </w:r>
      <w:r>
        <w:rPr>
          <w:rFonts w:hint="eastAsia"/>
          <w:sz w:val="24"/>
          <w:lang w:eastAsia="zh-CN"/>
        </w:rPr>
        <w:t>，</w:t>
      </w:r>
      <w:r>
        <w:rPr>
          <w:rFonts w:hint="eastAsia"/>
          <w:sz w:val="24"/>
        </w:rPr>
        <w:t>从人类大多数人的整体利益关怀出发提出了全球治理的中国方案。根据数据显示，2013—2022年，中国与共建国家进出口总额累计达到19.1万亿美元，年均增长6.4%；与共建国家双向投资累计超过3800亿美元，其中中国对外直接投资超过2400亿美元。⑨“一带一路”共建，一方面重点体现在跨国、跨区域互联互通的基础设施建设上，如“中欧班列”通道、“郑州-卢森堡”空中丝路，以及区域之间的亚吉铁路、蒙内铁路、中老铁路乃至最新的雅万高铁等，还有高速公路、集装箱海港、航空枢纽、电力输送、网络基站等，可以说这些基础设施建设全面推进了“海、陆、空、网”四位一体的互联互通；另一方面，它又体现在共建国家之间经贸产业园区的建设与合作、科技文化的交流与融合等，极大地改善了相关区域的经济发展状况和生活水平，增强了国家之间的相互理解、相互依赖、相互协助，提升了国际治理的总体水平。</w:t>
      </w:r>
    </w:p>
    <w:p w14:paraId="32CEE2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共建“一带一路”倡议之所以结出如此丰硕的成果，既是因为它反映了共建国家或区域之间存在巨大的经贸与投资需求，也是因为它打破了资本主义诞生以来通过殖民统治或霸权输出所推动的国际交往模式，一定程度上撼动了传统西方中心主义主导下的中心国家对外围国家的不平等往来及剥削。在以往西方资本主义发达国家所主导的全球化中，各国普遍交往的世界历史虽然已经形成，但是，在以追求利润为根本目标的资本贪婪本性的作用下，被卷入世界市场和全球生产体系中的边缘国家以及状况略好的半边缘国家，只能被动地接受有利于中心国家供应链体系的商品销售、产业配置，从而沦为西方中心国家的提款机，大量的财富从边缘国家、半边缘国家流入中心国家。此外，作为世界上最发达的资本主义国家，美国更是利用其美元霸权、军事霸权、语言文化霸权，伺机挑起金融危机、地区和国际冲突、颜色革命及意识形态霸凌等，以借机收割世界财富（陆夏、王丽君，2023）。在这样一种世界历史进程中，不仅是两种制度之间的对抗，更是霸权与非霸权国家或地区之间的对抗，对整个人类社会的安全、稳定、发展都造成了严重的危害。“世界怎么了”，“人类向何处去”的时代之问，充分展现了人们在这一充满了分裂和对抗的世界历史进程中对世界的困惑、对人类未来发展的迷茫。中国作为具有举足轻重影响力的世界性大国，有责任对此作出顺应世界历史发展大势、符合全人类根本利益追求的回答，对此提供更多更好的中国方案、中国智慧。共建”一带一路“倡议正是其中的中国方案之一，是打破这种对抗的良药之一。因为共建“一带一路”倡议不仅超越了制度和价值观的对立，更是力图绕过西方霸权，以团结代替分裂、以合作代替对抗、以包容代替排他，遵循“共商共建共享、开放绿色廉洁、高标准惠民生可持续”的重要指导原则，构建了一个完全不同于西方霸权体系的国际经济新秩序。国家与国家之间或地区之间不再是霸权一方对非霸权一方的压迫和剥夺，而是平等交往、和平合作、互学互鉴、互利共赢的合作伙伴和朋友。习近平曾指出，“大雁之所以能够穿越风雨、行稳致远，关键在于其结伴成行，相互借力”⑩。在世界百年未有之大变局中，在世界新的动荡变革期中，“结伴成行、相互借力”就是“一带一路”的精髓之所在。以共商共建共享、开放绿色廉洁、高标准惠民生可持续共建为重要指导原则的“一带一路”，已日益成为深受欢迎的国际公共产品和国际合作平台，有效地塑造出各国互利合作、共同繁荣的经济文化交流新示范，促进了人类命运共同体理念的实践。</w:t>
      </w:r>
    </w:p>
    <w:p w14:paraId="482B04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（二）全球发展倡议以提升“发展”议题为目标，塑造各国经济社会共同发展的新遵循</w:t>
      </w:r>
    </w:p>
    <w:p w14:paraId="4A9CA8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2021年9月21日，习近平在北京以视频方式出席第七十六届联合国大会一般性辩论并发表重要讲话，提出了“全球发展倡议”，具体内容包括六个“坚持”：坚持发展优先；坚持以人民为中心；坚持普惠包容；坚持创新驱动；坚持人与自然和谐共生；坚持行动导向。 2022年11月15日，在二十国集团领导人第十七次峰会上，习近平主席在讲话中再次提出全球发展倡议。2023年5月18日至19日，中国－中亚峰会达成系列合作共识，其中之一也是积极践行全球发展倡议。由此可见，“全球发展”问题越来越成为近三年来世界各国关注的焦点。</w:t>
      </w:r>
    </w:p>
    <w:p w14:paraId="76B48F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和平与发展是当今世界的主题，但是在世界历史进程的当前方位下，受到霸权国家与非霸权国家之间的激烈对抗、地缘政治和民族矛盾与冲突、全球疫情长期存在、逆全球化思潮等影响，“发展”受到普遍抑制。由此造成的恶果是地区军事冲突严重、全球贫困的加剧、贫富差距拉大、大宗商品价格上涨、全球极端气候频现等，这也使得联合国2030年可持续发展目标陷入无法如期实现的窘境。面对这种状况，中国挺身而出，提出“全球发展倡议”可谓恰逢其时，雪中送炭，展现了中国的大国担当，成为促进人类命运共同体构建的重要举措。事实上，发展是马克思主义的基本要义之一。马克思主义的发展观认为，一方面，人类社会是不断发展的，这个发展是由生产力的发展所推动，它是人类社会发展的前提和基础，最终决定着社会关系、社会制度、社会意识、社会形态的变迁；另一方面，生产力的发展和人类社会的发展将逐步消灭阶级之间、城乡之间、脑力劳动和体力劳动之间的对立和差别，创造极大丰富的物质财富和精神财富，最终实现人的自由和全面发展，这个发展应当是人与自然、社会的和谐共生。然而，现阶段尽管资本主义社会形态占主导的时代，科技和生产力继续在发展，但又存在着经济政治发展的严重不平衡。列宁曾深刻指出：“经济和政治发展的不平衡是资本主义的绝对规律。”</w:t>
      </w:r>
      <w:r>
        <w:rPr>
          <w:rFonts w:hint="eastAsia"/>
          <w:sz w:val="24"/>
          <w:lang w:eastAsia="ja-JP"/>
        </w:rPr>
        <w:t>⑪</w:t>
      </w:r>
      <w:r>
        <w:rPr>
          <w:rFonts w:hint="eastAsia"/>
          <w:sz w:val="24"/>
        </w:rPr>
        <w:t>这种发展的不平衡，既存在于资本主义国家内部的各个经济部门之间的不平衡，也表现在不同国家之间、尤其是东西方之间的不平衡。对此，马克思和恩格斯曾说：“正像它使农村从属于城市一样，它使未开化和半开化的国家从属于文明的国家，使农民的民族从属于资产阶级的民族，使东方从属于西方。”</w:t>
      </w:r>
      <w:r>
        <w:rPr>
          <w:rFonts w:hint="eastAsia"/>
          <w:sz w:val="24"/>
          <w:lang w:eastAsia="ja-JP"/>
        </w:rPr>
        <w:t>⑫</w:t>
      </w:r>
      <w:r>
        <w:rPr>
          <w:rFonts w:hint="eastAsia"/>
          <w:sz w:val="24"/>
        </w:rPr>
        <w:t>这在资本主义的发展史上，表现得十分突出。城乡差距、贫富分化、南北对立是资本主义世界内在难以避免的重大问题。当前在滚滚向前的历史车轮中，新帝国主义导致压制“发展”的种种因素，如殖民主义、霸权主义、冷战思维等。习近平就指出：“发展是各国不可剥夺的权利，不是少数国家的“专利”。”</w:t>
      </w:r>
      <w:r>
        <w:rPr>
          <w:rFonts w:hint="eastAsia"/>
          <w:sz w:val="24"/>
          <w:lang w:eastAsia="ja-JP"/>
        </w:rPr>
        <w:t>⑬</w:t>
      </w:r>
      <w:r>
        <w:rPr>
          <w:rFonts w:hint="eastAsia"/>
          <w:sz w:val="24"/>
        </w:rPr>
        <w:t>“吹灭别人的灯，并不会让自己更加光明；阻挡别人的路，也不会让自己走得更远。个别维护一己私利、遏制别国发展的国家，是逆历史潮流而动，注定徒劳无功。”</w:t>
      </w:r>
      <w:r>
        <w:rPr>
          <w:rFonts w:hint="eastAsia"/>
          <w:sz w:val="24"/>
          <w:lang w:eastAsia="ja-JP"/>
        </w:rPr>
        <w:t>⑭。</w:t>
      </w:r>
      <w:r>
        <w:rPr>
          <w:rFonts w:hint="eastAsia"/>
          <w:sz w:val="24"/>
        </w:rPr>
        <w:t>全球发展倡议的提出，就是力求破除阻碍全球发展的种种障碍，继续推进世界各国的全面发展。“全球发展倡议”改变了资本主义国家主导的以美国为世界经济体系“中心”的发展格局，真正从发展的角度考察和解决南北差距等世界发展问题（刘旭、程恩富，2023）这也正是人类命运共同体理念的重要体现之一。</w:t>
      </w:r>
    </w:p>
    <w:p w14:paraId="617498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全球发展倡议提出的“六个坚持”，特别强调了不同于传统西方发展理论的发展观。它不是以西方化、美国化为发展蓝图，不是唯经济增长论，不是以牺牲其他国家的发展来达成自己的发展目标。它主张要从本国国情出发，在借鉴人类优秀文明成果基础上，探索实现现代化的新路径；要促进全球平衡发展，构建发展伙伴关系；要注重民生，切实让人民共享发展成果，增强幸福感；要着力于发展中国家的发展问题，力促减贫、基础设施建设和公共服务提供；要狠抓科技创新，争取弯道超车，推进科技强国；要走低碳、环保的绿色发展之路，不走先污染后治理的老路；要加强交流、多方务实合作，尽快形成行动方案。通过这一全球发展倡议，习近平强调：作为最大的发展中国家，中国始终将自身发展置于人类发展的坐标系，以自身发展为世界发展创造新机遇。这是中国为世界发展，尤其是发展中国家的发展提供的中国方案，以加快推进联合国2030年可持续发展目标的实现，推动基于全球发展的人类命运共同体的构建。自全球发展倡议提出以来，已经得到世界上100多个国家的支持，全球共同“发展”共同体越来越成为更多国家的优先战略。</w:t>
      </w:r>
    </w:p>
    <w:p w14:paraId="40D778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（三）全球安全倡议以消除零和博弈和冷战思维为规范，塑造国际社会共同安全的新思路</w:t>
      </w:r>
    </w:p>
    <w:p w14:paraId="7442A9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2022年4月21日，习近平主席在博鳌亚洲论坛年会开幕式上以视频方式发表题为《携手迎接挑战，合作开创未来》的主旨演讲，首次提出全球安全倡议。2022年11月，在二十国集团领导人第十七次峰会第一阶段会议上的讲话中，习近平主席又强调全球安全倡议的目的，是同大家一道弘扬联合国宪章精神，本着安全不可分割原则，坚持共同、综合、合作、可持续的安全观，倡导通过谈判消弭冲突，通过协商化解争端，支持一切有利于和平解决危机的努力。2023年2月，我国政府发表了《全球安全倡议概念文件》，全面深入地阐述了中国关于全球安全的六大核心理念和原则，指出“实现世界持久和平，让每一个国家享有和平稳定的外部环境，让每一个国家的人民都能安居乐业，人民权利得到充分保障，是我们的共同愿望。各国需要同舟共济、团结协作，构建人类安全共同体，携手建设一个远离恐惧、普遍安全的世界。”</w:t>
      </w:r>
      <w:r>
        <w:rPr>
          <w:rFonts w:hint="eastAsia"/>
          <w:sz w:val="24"/>
          <w:lang w:eastAsia="ja-JP"/>
        </w:rPr>
        <w:t>⑮</w:t>
      </w:r>
      <w:r>
        <w:rPr>
          <w:rFonts w:hint="eastAsia"/>
          <w:sz w:val="24"/>
        </w:rPr>
        <w:t>人类命运共同体真正摒弃掉数百年资本主义扩张史的西方国家形成的我优他劣、我高他下的思维方式，理解人类文明是多彩的、平等的、包容的，有效化解西方“文明冲突论”的误导与挑战（林伯海，2021）。</w:t>
      </w:r>
    </w:p>
    <w:p w14:paraId="75CFEF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我们所处的这一世界历史进程充满了多重的不安全因素：领土之争、民族宗教之争、意识形态之争等等，但所有这些因素背后的根本原因在于资本的逐利之争。资本主义从自由竞争阶段走到帝国主义阶段，接连导致了两次世界大战的爆发。二战后，以苏联为首的社会主义力量的壮大，对资本主义构成了极大的威胁，动摇了资本主义制度的根基，于是美西方发动了持续三十多年的“冷战”，让整个世界随时笼罩再战争的阴云之下。苏联东欧社会主义被摧毁后，被犹太资本控制的美国为主导的单极世界，开始肆意妄为，在世界各地煽风点火、制造争端，以满足其背后军工资本贪婪的逐利需求。因此，各种所谓的国际争端背后，实际上正是垄断资本在全球范围内敛财的良机。例如，自诩为“国际警察”的美国，不但不维护世界的安全与稳定，反而是各种“颜色革命”（策动政变）、地区冲突乃至战争的制造者。这都说明，以私人垄断资本为中心的世界缺乏安全性，尤其在垄断资本主义国家主导的国际秩序中，为资本逐利服务的霸权主义、强权政治等是当前世界历史进程中的根本特征之一。他们主张所谓的国际安全领域零和博弈、追求绝对军事优势，成为了世界最不安全的因素。但是，在全球化时代，整个世界趋向构成一荣俱荣、一损俱损的命运共同体。不安全的外部环境不仅会影响一个国家或地区，实际上还会传导到全球各地。在此状态下，是任由垄断资本主义主导的国际秩序继续纷乱不堪，破坏世界各国安全环境，还是突破这一霸权秩序，为世界重新营造一个和平、稳定的新秩序，其答案自然是不言而喻的。因此，我国提出全球安全倡议，就是对这种全球安全隐忧的呼应，是为消除国际冲突，防止战争，促进世界和平发展的新思路，更是人类命运共同体理念在安全领域的生动实践。</w:t>
      </w:r>
    </w:p>
    <w:p w14:paraId="685C0C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从“零和博弈”走向“共赢思维”，全球安全倡议秉承“共同维护世界和平安宁”的理念，以多边主义、多极化世界替代单边主义、单极世界，提出“六个坚持”，即“坚持共同、综合、合作、可持续的安全观”，“坚持尊重各国主权、领土完整”，“坚持遵守联合国宪章宗旨和原则”，“坚持重视各国合理安全关切”，“坚持通过对话协商以和平方式解决国家间的分歧和争端”，“坚持统筹维护传统领域和非传统领域安全”，充分体现了我国在维护国际安全、世界和平上的大国担当和中国智慧。党的二十大报告指出：“中国的发展是世界和平力量的增长，无论发展到什么程度，中国永远不称霸、永远不搞扩张。”②61这是对以美国为首的西方霸权主义为了自我利益牺牲他国和全球和平与发展，不断挑起事端、制造祸乱的有力回应。这也是对以霸权为支撑的垄断资本在全球范围内疯狂逐利行为发起国际联合，以和平方式维护各国共同安全，为世界历史的顺利发展清除障碍。</w:t>
      </w:r>
    </w:p>
    <w:p w14:paraId="4CDCCF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全球安全倡议自提出以来，不断通过上海合作组织、金砖国家、中非和平安全论坛、中东安全论坛、北京香山论坛、全球公共安全论坛等平台展开对话，许多对安全有着共同需求的国家本着平等、互利的精神，就多领域可能遭受的安全威胁共商维护国家与地区安全的对策，力图缓解霸权主义对国际安全的干扰，已取得了丰硕的成果。例如，2023年4月6日在中国斡旋下，伊朗与沙特恢复外交关系，结束了7年的外交隔阂。二者曾经因教派分歧、革命冲突、代理人战争等存在数十年矛盾与冲突，根本上也是与西方霸权和冷战思维作祟的结果。这一世纪和解充分体现了中国为破解人类安全困境所贡献的中国智慧，以及践行全球安全倡议所展现的气魄。同时，对于两个国家而言，通过摒弃对抗、务实合作，也减少了对彼此的危害以及对中东地区乃至世界和平的安全威胁，尤其为中东地区的合作与发展奠定了基础。除此之外，在阿富汗问题、朝鲜半岛问题、俄乌冲突问题、哈以冲突问题等多个领域，中国提出的关于各方关切的解决方式以及整个全球安全倡议，正得到越来越多国家或地区的认同。</w:t>
      </w:r>
    </w:p>
    <w:p w14:paraId="09133E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（四）全球文明倡议以打破西方文明迷思为前提，塑造多样文明共同互鉴的新观念。</w:t>
      </w:r>
    </w:p>
    <w:p w14:paraId="08145C4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2023年3月15日习近平在中国共产党与世界政党高层对话会上发表题为《携手同行现代化之路》的主旨讲话，首次提出“全球文明倡议”。</w:t>
      </w:r>
    </w:p>
    <w:p w14:paraId="45CB086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什么是文明？西方理性主义文明观认为理性是人类走向文明的标志，因而文明被看作文化或心理层面上的一种范畴，是只有少数精英阶层才具有的一种品质，其他普通人都处于野蛮的状态。如汤因比（1986）指出：“在每一个生长中的文明社会里，其中绝大部分成员个人都是处于一种停滞不前的无声无息的状态中，像静止的原始社会中的成员一样。”。在人类社会的发展进程中，由于文艺复兴以及资本主义在欧洲的萌发，西方中心主义更是将欧洲的文明看作是高于其他地方的文明，他们是掌握文明的“精英”。这种对文明的理解必然意味着文明的排他性或非包容性。美国更是排斥其他区域的文明，并制造各种“文明隔阂论”“文明冲突论”等，大肆输出所谓的美式民主、自由等价值观和意识形态，凌驾于其他文明形态之上并试图摧毁或消灭他们。马克思主义的文明观则与之恰恰相反。恩格斯曾经对文明作了一个最基本的论断，他说：“文明是实践的事情，是社会的素质。”</w:t>
      </w:r>
      <w:r>
        <w:rPr>
          <w:rFonts w:hint="eastAsia"/>
          <w:sz w:val="24"/>
          <w:lang w:eastAsia="ja-JP"/>
        </w:rPr>
        <w:t>⑯</w:t>
      </w:r>
      <w:r>
        <w:rPr>
          <w:rFonts w:hint="eastAsia"/>
          <w:sz w:val="24"/>
        </w:rPr>
        <w:t>这意味着文明不仅是某种文化或心理层次上的概念，而且是一个实践范畴，它不是单纯依靠人的理性来实现的，而是在人类社会物质生产和精神生产的活动中创造出来的，是代表大多数人利益的社会实践活动。从这个意义上来说，它是一种普遍的文明，是与全社会普遍利益相结合的文明。这种文明是被处于不同社会形态的广大从事社会生产实践的劳动者所创造的文明。这种文明观超越了西方中心主义，不再将文明只看作是欧洲或美国的文明、某一地域或某一民族或某一种族的文明，而是全世界各国劳动人民各自创造的有同有异文明的总和。正如马兹利什（2017）所指出的：“现实中，存在一种人类的共同命运，人类共同向文明汇集”。人类的世界历史展现出百花齐放、百家争鸣的文明多样性和文明共同体，其最终目标是人的解放，是实现人的自由和全面发展。</w:t>
      </w:r>
    </w:p>
    <w:p w14:paraId="3C2CB7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马克思主义文明观的指引下，我国提出的“全球文明倡议”包含了以“共同倡导尊重世界文明多样性”、“共同倡导弘扬全人类共同价值”、“共同倡导重视文明传承和创新”、“共同倡导加强国际人文交流合作”为主要内容的“四个共同倡导”，充分体现了历史唯物主义视阈下文明的真正内涵。习近平曾深刻指出：“人类文明多样性是世界的基本特征，也是人类进步的源泉。世界上有200多个国家和地区、2500多个民族、多种宗教。不同历史和国情，不同民族和习俗，孕育了不同文明，使世界更加丰富多彩。文明没有高下、优劣之分，只有特色、地域之别。文明差异不应该成为世界冲突的根源，而应该成为人类文明进步的动力。”</w:t>
      </w:r>
      <w:r>
        <w:rPr>
          <w:rFonts w:hint="eastAsia"/>
          <w:sz w:val="24"/>
          <w:lang w:eastAsia="ja-JP"/>
        </w:rPr>
        <w:t>⑰</w:t>
      </w:r>
      <w:r>
        <w:rPr>
          <w:rFonts w:hint="eastAsia"/>
          <w:sz w:val="24"/>
        </w:rPr>
        <w:t>尤其在当前的世界历史进程中，全球化几乎让所有文明之间有了相互交流、甚至是碰撞的机会，任何文明都无法在封闭起来孤芳自赏，也不应被消解。例如，二战之后，伴随着工业化、网络化和英语“文化帝国主义”的发展，世界上的很多语种就慢慢消失了。全世界原来有7000多种语言，但现在已经消失了一半以上，而且据联合国教科文组织最新发布的《濒危语言图谱》，80~90%的语种将在未来200年灭绝。这也意味着以语言为载体的民族文化和文明的某种消解。每一种语言、每一种文化、每一种文明其实都是劳动人民在物质生产中集体智慧的结晶，都闪耀着独特的光辉和魅力。不过，在资本主义世界市场的形成中，新老殖民主义、资本输出以及语言文化的输出，不断地摧毁着这些文明，被所谓的西方文明所埋葬。如何解决这一难题，也成为当今世界语言学界、人类学领域等关注的焦点，更是世界各国普遍交往中不得不面对的关键问题。国际关系学者罗伯特·考克斯指出，“人类的未来有多重选择，当不同的文明需要共存时，如何相互理解将成为维护世界秩序的首要问题”。</w:t>
      </w:r>
      <w:r>
        <w:rPr>
          <w:rFonts w:hint="eastAsia"/>
          <w:sz w:val="24"/>
          <w:lang w:eastAsia="ja-JP"/>
        </w:rPr>
        <w:t>⑱</w:t>
      </w:r>
      <w:r>
        <w:rPr>
          <w:rFonts w:hint="eastAsia"/>
          <w:sz w:val="24"/>
        </w:rPr>
        <w:t>可见，中国关于全球文明倡议的提出呼应了这种迫切的需求，突出强调了文明的多样性、平等性、包容性，由此决定了文明之间相互共存和相互借鉴的必要性。党的二十大报告也指出：“尊重世界文明多样性，以文明交流超越文明隔阂、文明互鉴超越文明冲突、文明共存超越文明优越，共同应对各种全球性挑战。”②63此外，我们中华文明作为世界文明的一种，虽然有着悠久和璀璨的历史，但从不高人一等、唯我独尊，一直都倡导“和而不同”、“兼收并蓄”，如一带一路”倡议中曾经的古丝绸之路就做到了与其他文明之间的相互交流、融合以及共同进步。正如英国学者马丁·雅克评价指出：“中国为世界提供了一种‘新的可能’，那就是摒弃丛林法则、不搞强权独霸、超越零和博弈，开辟一条合作共赢、共建共享的文明发展新道路。”</w:t>
      </w:r>
      <w:r>
        <w:rPr>
          <w:rFonts w:hint="eastAsia"/>
          <w:sz w:val="24"/>
          <w:lang w:eastAsia="ja-JP"/>
        </w:rPr>
        <w:t>⑲</w:t>
      </w:r>
      <w:r>
        <w:rPr>
          <w:rFonts w:hint="eastAsia"/>
          <w:sz w:val="24"/>
        </w:rPr>
        <w:t>确实如此，当前中国式现代化作为人类文明的一种新形态，将与其他文明一起互相学习、互相包容，共创全球文明的共同发展，并推动人类命运共同体的构建。人类命运共同体不是单一种族或文化同质性的实体，不以意识形态划界、不搞价值观外交、不针对特定的对象，不拉帮结派，不搞排他性的小圈子，遵循着“彼此包容”的原则（陈曙光，2023）。</w:t>
      </w:r>
    </w:p>
    <w:p w14:paraId="17ADAE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（五）全球人工智能治理倡议以凝聚共识为基础，塑造科技发展共同治理的新尝试</w:t>
      </w:r>
    </w:p>
    <w:p w14:paraId="6A08B0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10月18日在第三届“一带一路”国际合作高峰论坛上，习近平宣布中方提出《全球人工智能治理倡议》，成为在人类命运共同体理念基础上提出的又一新倡议。该《倡议》围绕人工智能发展、安全、治理三方面系统阐述了人工智能治理的中国方案。之所以现在提出这样一个有关高新技术的全球倡议，一方面是因为人工智能技术的发展已成为全球科技发展的最前沿，并且开始对现有各国产业的发展产生重大影响。其标志性事件之一，美国开放人工智能公司（Open AI）2023年3月14日发布了聊天机器人Chat GPT的第四代语言模型（GPT-4），引起了极大的轰动。这种技术不但对各种问题能够给出系统的答案，自动生成各种创意文本，甚至可以对自身智能程序进行迭代升级。这意味着人工智能技术越来越具备替代甚至超越人的自身的能力，从而极有可能在未来给人类社会带来包括法律、伦理和人道主义等多方面的挑战和危害。面对人工智能技术可能带来的这些问题，整个国际社会需要联合起来对人工智能的发展予以规制，使其能够在人类可控的范围内造福人类。另一方面，美国在人工智能（AI）技术上的领先优势是显而易见的，这种技术优势则一定程度上就意味着在全球范围内人工智能垄断的可能。例如，有关专业人士以大模型底座提供者角度，从Open AI升级深入分析了全球潜在的AI生态风险，提出警惕“AI帝国”进行数据、流量、技术“三垄断”，造成用户严重依赖、不健康的产业生态、加剧智能鸿沟等后果。对于在人工智能技术上相对落后的广大发展中国家而言，这种差距意味着未来在人工智能发展机会、规则等方面可能存在严重的不平等性和不良竞争。在此背景下，需要有代表全人类利益和发展中国家利益的一方来共商对人工智能发展治理的主动权和话语权。</w:t>
      </w:r>
    </w:p>
    <w:p w14:paraId="62A87C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基于以上两个方面的原因，中国提出了《全球人工智能治理倡议》。首先，该《倡议》倡导以人为本、智能向善的宗旨，引导人工智能朝着有利于人类文明进步的方向发展，并主张建立人工智能风险等级测试评估体系，不断提升人工智能技术的安全性、可靠性、可控性、公平性。其次，该《倡议》倡导相互尊重、平等互利，反对以意识形态划线或构建排他性集团，恶意阻挠他国人工智能发展，呼吁努力弥合“智能鸿沟”，确保“智能红利”惠及各国，支持在联合国框架下讨论成立国际人工智能治理机构，加强面向发展中国家的国际合作与援助等。正如《人民日报》评论文章所点评的：“倡议就各方普遍关切的人工智能发展与治理问题提供了建设性解决思路，为相关国际讨论和规则制定提供了蓝本，是中方践行人类命运共同体理念，落实全球发展倡议、全球安全倡议、全球文明倡议的又一行动......反映出中国在人工智能领域成熟的治理经验，彰显出中国胸怀天下、大公无私的大国胸襟。”</w:t>
      </w:r>
      <w:r>
        <w:rPr>
          <w:rFonts w:hint="eastAsia"/>
          <w:sz w:val="24"/>
          <w:lang w:eastAsia="ja-JP"/>
        </w:rPr>
        <w:t>⑳</w:t>
      </w:r>
    </w:p>
    <w:p w14:paraId="20A4C8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9A490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三、中国“六大全球倡议”共同促进人类命运共同体构建</w:t>
      </w:r>
    </w:p>
    <w:p w14:paraId="2E3036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43E5E5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人类进入21世纪的今天，伴随科技的飞速发展，</w:t>
      </w:r>
      <w:r>
        <w:rPr>
          <w:rFonts w:hint="eastAsia"/>
          <w:sz w:val="24"/>
          <w:lang w:val="en-US" w:eastAsia="zh-CN"/>
        </w:rPr>
        <w:t>新质</w:t>
      </w:r>
      <w:r>
        <w:rPr>
          <w:rFonts w:hint="eastAsia"/>
          <w:sz w:val="24"/>
        </w:rPr>
        <w:t>生产力的进步，世界发生了翻天覆地的变化。在全球都在强调和平与发展的同时，地区冲突、局部战争、经贸受阻、贫富分化、气候危机</w:t>
      </w:r>
      <w:r>
        <w:rPr>
          <w:rFonts w:hint="eastAsia"/>
          <w:sz w:val="24"/>
          <w:lang w:eastAsia="zh-CN"/>
        </w:rPr>
        <w:t>、</w:t>
      </w:r>
      <w:r>
        <w:rPr>
          <w:rFonts w:hint="eastAsia"/>
          <w:sz w:val="24"/>
          <w:lang w:val="en-US" w:eastAsia="zh-CN"/>
        </w:rPr>
        <w:t>结盟行霸</w:t>
      </w:r>
      <w:r>
        <w:rPr>
          <w:rFonts w:hint="eastAsia"/>
          <w:sz w:val="24"/>
        </w:rPr>
        <w:t>等，不断给对人类未来的共同发展带来了前所未有的挑战，使人类进入到了一个充满了动荡和挑战的世界历史进程之中。每个国家都不可能再将自己封闭起来，逆潮流而动，退出各国普遍交往、相互依存的这一世界态势。人类命运共同体理念与倡议的提出，正是呼应当前世界历史进程、顺应历史发展潮流的最佳选择，是马克思主义世界历史视阈下实现现阶段全人类繁荣发展的中国式创新。它既反映了世界各国人民普遍认同的价值理念和诉求，也跨过了不同意识形态、不同社会制度和发展水平上曾经难以逾越的鸿沟。从共建“一带一路”倡议到近三年</w:t>
      </w:r>
      <w:r>
        <w:rPr>
          <w:rFonts w:hint="eastAsia"/>
          <w:sz w:val="24"/>
          <w:lang w:val="en-US" w:eastAsia="zh-CN"/>
        </w:rPr>
        <w:t>四</w:t>
      </w:r>
      <w:r>
        <w:rPr>
          <w:rFonts w:hint="eastAsia"/>
          <w:sz w:val="24"/>
        </w:rPr>
        <w:t>大全球倡议的提出，无不深刻体现了这一人类命运共同体理念的深刻内涵和价值意蕴。“和平合作、互学互鉴、互利共赢”的全球合作观，“共同、综合、合作、可持续”的安全观和“共商、共建、共享”的全球治理观，为世界发展进步指引前进方向。</w:t>
      </w:r>
    </w:p>
    <w:p w14:paraId="1F615F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六大全球倡议”是中国站在历史的潮头，尝试为人类不可分割的共同命运所贡献的中国智慧。正如党的二十大报告所指出：“中国式现代化是走和平发展道路的现代化。我国不走一些国家通过战争、殖民、掠夺等方式实现现代化的老路，那种损人利己、充满血腥罪恶的老路给广大发展中国家人民带来深重苦难。我们坚定站在历史正确的一边、站在人类文明进步的一边，高举和平、发展、合作、共赢旗帜，在坚定维护世界和平与发展中谋求自身发展，又以自身发展更好维护世界和平与发展。”②23只有尊重世界的多样性和各国人民自主选择发展道路的权利，推动构建人类命运共同体，才能真正逐步实现人类的美好理想。因此，我们应当：</w:t>
      </w:r>
    </w:p>
    <w:p w14:paraId="3CD934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（一）秉持“六大全球倡议”合作理念，坚决与各种错误思维作斗争。</w:t>
      </w:r>
    </w:p>
    <w:p w14:paraId="5421A49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理念是行动的先导。“六大全球倡议”首先是一种全球新型合作关系的重要理念，它突破了以美国为代表的西方霸权以强权来维护国际政治经济秩序的全球治理理念，取而代之的是在尊重他国意愿的基础上共谋政治、经济、文化、科技等领域进行交流合作的可能性。“六大全球倡议”所体现出来的这种合作理念是世界各国能够真诚接受以及互相配合去践行各项倡议的基础。因此，不管是哪一项全球倡议，我们都应不忘初心，始终将这一理念作为未来开展国际交流、推进各项倡议达成的基础，同时也是未来更多全球倡议达成的基础。</w:t>
      </w:r>
    </w:p>
    <w:p w14:paraId="32B525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方面，我们要坚决同固守霸权思维、冷战思维、零和思维等的传统西方国际交往理念和理论作斗争。20世纪70年代初，美国经济学家C.P.金德尔伯格在国际经济领域提出了有关国际关系的经典理论——霸权稳定论。该理论认为，国际体系的稳定依赖于霸权的支配，当霸权衰落时原有国际体系就会发生动荡，直到新霸权国确立，因此，霸权是维持国际稳定秩序的充分必要条件。这类观点早已成为美西方推行霸权主义的重要理论依据。事实上，二战以来乃至进入21世纪以来，美国通过霸权来充当世界警察的角色不但没有带来国际体系的稳定，恰恰因为它借由冷战思维四处煽风点火，唯恐天下不乱地制造各种事端，导致了战争与混乱在世界各地频发，成为世界政治经济秩序“不稳定”的始作俑者。多年来，我们一直倡导建立国际政治经济新秩序，力图打破霸权主义旧秩序，但效果甚微。直至人类命运共同体理念与倡议的提出，才真正使我们拥有和掌握了能够与传统西方霸权理念与理论作斗争的武器。因此，我们要继续揭露和批判西方霸权的错误理念，在全球范围内树立新的全球治理新思维。</w:t>
      </w:r>
    </w:p>
    <w:p w14:paraId="5AFFCAF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另一方面，我们要坚决对西方诋毁我国“新殖民主义”、“新帝国主义”的谬论说“不”。近年来，西方某些国家炮制“中国威胁论”“中国经济侵略论”“中国文化渗透论”等，制造舆论宣称中国在全球推行“新帝国主义”，不遗余力诽谤中国，给我们在构建人类命运共同体倡议的道路上设置障碍。事实上，这充分折射出美西方霸权主义衰落及其在垂死挣扎中皆有对中国的污名化来打压中国的邪恶本质。我们要从历史、政治、经济、舆论等各个方面深刻揭露其真实面目，坚决抵制这些错误言论，并继续用实际行动证明，我们绝不会像美西方国家那样走霸权霸凌的道路，在国际交往中我们绝不通过压制他国、使他国被迫屈服的方式来开展国际经贸等领域的合作，而是互相尊重，携手共创人类美好未来。</w:t>
      </w:r>
    </w:p>
    <w:p w14:paraId="602DA19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构建“六大全球倡议”的对话机制，消除全球合作、交流、治理的隔阂。</w:t>
      </w:r>
    </w:p>
    <w:p w14:paraId="5517371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对话是解决分歧和争端的良药。“六大全球倡议”的提出，向全世界发出了互利互惠、共同促进各国在经贸往来与经济发展、安全共享、文明交流、科技共创等领域的合作倡议。但是这些倡议能否被理解、被采纳、被共同践行，还亟需建立世界各国之间更好的对话机制，以增进大家对倡议的认同、消除可能产生的误解。如“一带一路”高峰论坛、北京香山论坛、“全球发展倡议之友小组”等都取得了丰硕的对话成果，促进了相关全球倡议的实施。</w:t>
      </w:r>
    </w:p>
    <w:p w14:paraId="6404EC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基于此，未来我国政界、学界、商界、军界应在进一步丰富和深化现有对话平台功能的基础上，构建和完善服务于各类全球倡议的更丰富的对话机制或对话网络，定期举办基于平台的双边或多边会谈，公开发布论坛成果，打造更多合作项目，尤其是要多多开展民间互动友好往来活动，以寻求共同利益交汇点，加强合作伙伴关系，以不断消除不同国家之间、不同文明之间、不同种族民族之间的顾虑和隔阂。此外，有关于全球文明倡议和全球人工智能倡议的官方和民间对话平台，还需要更快更好地搭建起来，以促进两项全球倡议的实施。</w:t>
      </w:r>
    </w:p>
    <w:p w14:paraId="79024A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（三）坚持“六大全球倡议”的行动导向，扎实推进各项全球倡议的务实实践。</w:t>
      </w:r>
    </w:p>
    <w:p w14:paraId="135F1C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行动是一切成功的根本。要坚持“六大全球倡议”的行动导向，继续把工作落到实处，将愿景转化为现实，扎实推进倡议的务实实践。一方面，要努力实现全球倡议合作组织合理扩容，推动全球治理机制变革。人类命运共同体的构建离不开更多国家的加入与支持，尤其是全球南方国家之间的互助合作。要推进各项全球倡议的实践，需要不断以各类组织平台为依托持续发声，带动更多国家融入全球倡议的合作之中。2024年1月1日，沙特、埃及、阿联酋、伊朗、埃塞俄比亚成为金砖国家正式成员，金砖国家从原来的金砖5国扩容为10个正式成员国，就是一项很好的举措。目前还有34个国家提出书面申请，希望加入金砖合作机制。未来上海合作组织也将继续扩容。通过组织扩容，可以协调更多新兴经济体和发展中国家的多边行动，提升全球南方国家之间的合作广度和深度，有利于更加公正的全球治理体制的变革。</w:t>
      </w:r>
    </w:p>
    <w:p w14:paraId="442EF1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另一方面，要努力创立各类促进全球倡议实践基金或增扩基金规模，为全球合作尤其是南方合作注入经济实力。如为了促进全球各国的共同发展，自前年起我国就宣布将加大对全球发展合作的资源投入，把南南合作援助基金整合升级为“全球发展和南南合作基金”，资金规模扩展为40亿美元。这一举措是全球发展倡议务实实践的充分体现，因为通过资金的扩容，为更多国家尤其是南方国家的发展提供了实实在在的物质支持。中国金融机构还会陆续推出100亿美元专项资金，专门用于落实全球发展倡议，这彰显了我国为推动全球发展的诚心和决心。因此，在其他全球倡议中，未来我们也要创新更多类似全球基金，支持全球安全、文明、人工智能等领域的广泛和务实合作。</w:t>
      </w:r>
    </w:p>
    <w:p w14:paraId="09E0592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综上所述，</w:t>
      </w:r>
      <w:r>
        <w:rPr>
          <w:rFonts w:hint="eastAsia"/>
          <w:sz w:val="24"/>
        </w:rPr>
        <w:t>通过共建“一带一路”倡议，共建各国将携手将打破西方霸权主导下的不平等经贸秩序，塑造各国互利合作、共同繁荣的经济文化交流新示范，让每个国家在经贸往来</w:t>
      </w:r>
      <w:r>
        <w:rPr>
          <w:rFonts w:hint="eastAsia"/>
          <w:sz w:val="24"/>
          <w:lang w:eastAsia="zh-CN"/>
        </w:rPr>
        <w:t>、</w:t>
      </w:r>
      <w:r>
        <w:rPr>
          <w:rFonts w:hint="eastAsia"/>
          <w:sz w:val="24"/>
          <w:lang w:val="en-US" w:eastAsia="zh-CN"/>
        </w:rPr>
        <w:t>科技创新</w:t>
      </w:r>
      <w:r>
        <w:rPr>
          <w:rFonts w:hint="eastAsia"/>
          <w:sz w:val="24"/>
        </w:rPr>
        <w:t>和文化交流中受益，促进人类命运共同体在基础设施、产业合作等领域的物质实践；通过全球发展倡议，共同加强各个国家、尤其是发展中国家包括“南南合作”在内的互利共赢，缩小与发达国家之间的差距，不断给人民带来更加富裕和美好的生活，促进人类命运共同体在全球发展理念上的一致性；通过全球安全倡议，打破过往零和博弈、丛林法则带来的安全争端，塑造对话和平的安全共享新思路，促进人类命运安全共同体的构建；通过全球文明倡议，打破西方文明迷思，改变西方中心主义对文明的分割，塑造多样文明交流互鉴新观念，促进人类文明的相互交流与学习，共同推动人类文明的进步，促进人类命运共同体的凝聚力；通过全球人工智能治理倡议，凝聚对人类未来可能造成风险和挑战的普遍共识，塑造有关人工智能国际治理与合作的新尝试，提升发展中国家的主动权和话语权，促进人类命运共同体在更多领域的共建</w:t>
      </w:r>
      <w:r>
        <w:rPr>
          <w:rFonts w:hint="eastAsia"/>
          <w:sz w:val="24"/>
          <w:lang w:val="en-US" w:eastAsia="zh-CN"/>
        </w:rPr>
        <w:t>共享</w:t>
      </w:r>
      <w:r>
        <w:rPr>
          <w:rFonts w:hint="eastAsia"/>
          <w:sz w:val="24"/>
        </w:rPr>
        <w:t>。</w:t>
      </w:r>
    </w:p>
    <w:p w14:paraId="189BED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简言之，伴随着多个全球倡议的提出，人类命运共同体理念的内涵也越来越丰富，形成了更加完备和科学的理念体系和战略举措，这必将不断为人类的共同发展和进步指明前进的方向，并提供更多领域的国际合作方案。从思想理论高度来认知，以人类命运共同体构建为核心的“六大全球倡议”，属于新时代中国特色新国际主义思维，是习近平新时代中国特色社会主义思想的世界观和方法论在国际关系和对外交往领域的重大创新。</w:t>
      </w:r>
      <w:r>
        <w:rPr>
          <w:rFonts w:hint="eastAsia"/>
          <w:sz w:val="24"/>
          <w:lang w:val="en-US" w:eastAsia="zh-CN"/>
        </w:rPr>
        <w:t>而国际上某些自称为左派的学者和政治家，污蔑中国的全球倡议及其践行是所谓与美国争霸的新帝国主义，这一谬论完全混淆了是非。</w:t>
      </w:r>
    </w:p>
    <w:p w14:paraId="5E009D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282D1B1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注释：</w:t>
      </w:r>
    </w:p>
    <w:p w14:paraId="1D5550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①习近平，《建设开放包容、互联互通、共同发展的世界——在第三届“一带一路”国际合作高峰论坛开幕式上的主旨演讲》，中国政府网，https://www.gov.cn/yaowen/liebiao/202310/content_6909882.htm?ddtab=true（2023年10月18日）。</w:t>
      </w:r>
    </w:p>
    <w:p w14:paraId="10E180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②习近平，《高举中国特色社会主义伟大旗帜为全面建设社会主义现代化国家而团结奋斗——在中国共产党第二十次全国代表大会上的报告》，第24页，第61页，第63页，第23页。</w:t>
      </w:r>
    </w:p>
    <w:p w14:paraId="21D221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③秦龙、吉瑞霞.共同谱写推动构建人类命运共同体的崭新篇章N.光明日报,2022-08-08(06).</w:t>
      </w:r>
    </w:p>
    <w:p w14:paraId="7C4785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④《马克思恩格斯选集》第1卷，北京：人民出版社，1995年，第88页。</w:t>
      </w:r>
    </w:p>
    <w:p w14:paraId="59D0AE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⑤《马克思恩格斯选集》第1卷，北京：人民出版社，1995年，第114页。</w:t>
      </w:r>
    </w:p>
    <w:p w14:paraId="0798F4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⑥《马克思恩格斯选集》第1卷，北京：人民出版社，1995年，第89页。</w:t>
      </w:r>
    </w:p>
    <w:p w14:paraId="234E30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⑦中共中央宣传部、生态环境部：《习近平生态文明思想学习纲要》，北京：学习出版社、人民出版社，2022年，第99页。</w:t>
      </w:r>
    </w:p>
    <w:p w14:paraId="782205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⑧《习近平谈治国理政》第1卷，北京：外文出版社，2018年，第274页。</w:t>
      </w:r>
    </w:p>
    <w:p w14:paraId="566279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⑨《共建“一带一路”：构建人类命运共同体的重大实践》白皮书，中国政府网，https://www.gov.cn/govweb/zhengce/202310/content_6907994.htm（2023年10月10日）。</w:t>
      </w:r>
    </w:p>
    <w:p w14:paraId="6B78D32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⑩《习近平外交演讲集》第2卷，北京：中央文献出版社出版，2022年，第43页。</w:t>
      </w:r>
    </w:p>
    <w:p w14:paraId="1835C94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⑪《列宁选集》第2卷，北京，人民出版社，1995年，第554页。</w:t>
      </w:r>
    </w:p>
    <w:p w14:paraId="36F98E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⑫《马克思恩格斯选集》第1卷，北京：人民出版社，1995年，第277页。</w:t>
      </w:r>
    </w:p>
    <w:p w14:paraId="24F0AA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⑬习近平，团结协作谋发展勇于担当促和平——在金砖国家领导人第十五次会晤上的讲话，中国政府网，https://www.gov.cn/gongbao/2023/issue_10686/202309/content_6902566.html（2023年8月23日）。</w:t>
      </w:r>
    </w:p>
    <w:p w14:paraId="4CA33B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⑭唐健：“吹灭别人的灯，并不会让自己更加光明”，《学习时报》,2023年09月27日。</w:t>
      </w:r>
    </w:p>
    <w:p w14:paraId="6D1017E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⑮《全球安全倡议概念文件》，中国政府网，https://www.gov.cn/xinwen/2023-02/21/content_5742481.htm（2023年2月21日）。</w:t>
      </w:r>
    </w:p>
    <w:p w14:paraId="1AFF228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⑯《马克思恩格斯文集》第1卷，北京：人民出版社，2009年，第97页。</w:t>
      </w:r>
    </w:p>
    <w:p w14:paraId="4A3D26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⑰《习近平谈治国理政》第2卷，北京，外文出版社，2017年，第543页。</w:t>
      </w:r>
    </w:p>
    <w:p w14:paraId="00B1F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⑱邢丽菊：“全球文明倡议：促进人类文明交流互鉴的中国方案”，《学习时报》，2023年7月14日。</w:t>
      </w:r>
    </w:p>
    <w:p w14:paraId="6DB4425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⑲徐胥、仇莉娜：“「喜迎二十大·特稿」为世界永续和平发展贡献中国力量——‘中国式现代化’深度探析”，《经济日报》，2022年10月12日。</w:t>
      </w:r>
    </w:p>
    <w:p w14:paraId="3863E9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⑳“引领全球人工智能治理的中国强音”，《人民日报》，2023年10月28日。</w:t>
      </w:r>
    </w:p>
    <w:p w14:paraId="7DC4E6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1190C72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参考文献：</w:t>
      </w:r>
    </w:p>
    <w:p w14:paraId="12F69A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[1]刘旭、程恩富：“四个倡议”回答世界之问时代之问，文汇报，2023年10月15日。</w:t>
      </w:r>
    </w:p>
    <w:p w14:paraId="6AF6C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[2]陆夏,王丽君.构建新发展格局、破解美元霸权体系与应对新帝国主义挑战[J].上海经济研究,2023,(05):107-116.</w:t>
      </w:r>
    </w:p>
    <w:p w14:paraId="2637B1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[3]周文,李亚男.全球化治理中的问题与全球化进程中的中国经验和中国贡献[J].政治经济学研究,2020(02):69-82.</w:t>
      </w:r>
    </w:p>
    <w:p w14:paraId="03D2AC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[4]刘洋,李燕芳.全球共享发展理念视域下的人类命运共同体构建</w:t>
      </w:r>
      <w:bookmarkStart w:id="610" w:name="OLE_LINK4"/>
      <w:r>
        <w:rPr>
          <w:rFonts w:hint="eastAsia"/>
          <w:sz w:val="24"/>
        </w:rPr>
        <w:t>[J].海派经济学,2022,20(02):202-213.</w:t>
      </w:r>
    </w:p>
    <w:bookmarkEnd w:id="610"/>
    <w:p w14:paraId="14BE1B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[5]林伯海.论全人类共同价值与人类命运共同体的辩证关系[J].马克思主义研究,2021(11):79-88+159.</w:t>
      </w:r>
    </w:p>
    <w:p w14:paraId="2D1E5C6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[6]</w:t>
      </w:r>
      <w:bookmarkStart w:id="611" w:name="OLE_LINK2"/>
      <w:r>
        <w:rPr>
          <w:rFonts w:hint="eastAsia"/>
          <w:sz w:val="24"/>
        </w:rPr>
        <w:t>陈曙光：人类命运共同体何以改变世界[J].马克思主义研究.2023（2）：49-60.</w:t>
      </w:r>
    </w:p>
    <w:bookmarkEnd w:id="611"/>
    <w:p w14:paraId="5F65DE8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w:t>
      </w:r>
      <w:r>
        <w:rPr>
          <w:rFonts w:hint="eastAsia"/>
          <w:sz w:val="24"/>
        </w:rPr>
        <w:t>7</w:t>
      </w:r>
      <w:r>
        <w:rPr>
          <w:rFonts w:hint="eastAsia"/>
          <w:sz w:val="24"/>
          <w:lang w:val="en-US" w:eastAsia="zh-CN"/>
        </w:rPr>
        <w:t>]唐鑫：关于当代国际主义的理论认知与实践思考</w:t>
      </w:r>
      <w:r>
        <w:rPr>
          <w:rFonts w:hint="eastAsia"/>
          <w:sz w:val="24"/>
        </w:rPr>
        <w:t>[J].</w:t>
      </w:r>
      <w:r>
        <w:rPr>
          <w:rFonts w:hint="eastAsia"/>
          <w:sz w:val="24"/>
          <w:lang w:val="en-US" w:eastAsia="zh-CN"/>
        </w:rPr>
        <w:t>世界马克思主义研究</w:t>
      </w:r>
      <w:r>
        <w:rPr>
          <w:rFonts w:hint="eastAsia"/>
          <w:sz w:val="24"/>
        </w:rPr>
        <w:t>,202</w:t>
      </w:r>
      <w:r>
        <w:rPr>
          <w:rFonts w:hint="eastAsia"/>
          <w:sz w:val="24"/>
          <w:lang w:val="en-US" w:eastAsia="zh-CN"/>
        </w:rPr>
        <w:t>1</w:t>
      </w:r>
      <w:r>
        <w:rPr>
          <w:rFonts w:hint="eastAsia"/>
          <w:sz w:val="24"/>
        </w:rPr>
        <w:t>(02):</w:t>
      </w:r>
      <w:r>
        <w:rPr>
          <w:rFonts w:hint="eastAsia"/>
          <w:sz w:val="24"/>
          <w:lang w:val="en-US" w:eastAsia="zh-CN"/>
        </w:rPr>
        <w:t>136</w:t>
      </w:r>
      <w:r>
        <w:rPr>
          <w:rFonts w:hint="eastAsia"/>
          <w:sz w:val="24"/>
        </w:rPr>
        <w:t>-</w:t>
      </w:r>
      <w:r>
        <w:rPr>
          <w:rFonts w:hint="eastAsia"/>
          <w:sz w:val="24"/>
          <w:lang w:val="en-US" w:eastAsia="zh-CN"/>
        </w:rPr>
        <w:t>145</w:t>
      </w:r>
      <w:r>
        <w:rPr>
          <w:rFonts w:hint="eastAsia"/>
          <w:sz w:val="24"/>
        </w:rPr>
        <w:t>.</w:t>
      </w:r>
    </w:p>
    <w:p w14:paraId="0EC56D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r>
        <w:rPr>
          <w:rFonts w:hint="eastAsia"/>
          <w:sz w:val="24"/>
          <w:lang w:val="en-US" w:eastAsia="zh-CN"/>
        </w:rPr>
        <w:t>8</w:t>
      </w:r>
      <w:r>
        <w:rPr>
          <w:rFonts w:hint="eastAsia"/>
          <w:sz w:val="24"/>
        </w:rPr>
        <w:t>]</w:t>
      </w:r>
      <w:r>
        <w:rPr>
          <w:rFonts w:hint="eastAsia"/>
          <w:sz w:val="24"/>
          <w:lang w:val="en-US" w:eastAsia="zh-CN"/>
        </w:rPr>
        <w:t>人工智能时代的“劳动异化危机”与劳动解放论析</w:t>
      </w:r>
      <w:r>
        <w:rPr>
          <w:rFonts w:hint="eastAsia"/>
          <w:sz w:val="24"/>
        </w:rPr>
        <w:t>[J].政治经济学研究,202</w:t>
      </w:r>
      <w:r>
        <w:rPr>
          <w:rFonts w:hint="eastAsia"/>
          <w:sz w:val="24"/>
          <w:lang w:val="en-US" w:eastAsia="zh-CN"/>
        </w:rPr>
        <w:t>3</w:t>
      </w:r>
      <w:r>
        <w:rPr>
          <w:rFonts w:hint="eastAsia"/>
          <w:sz w:val="24"/>
        </w:rPr>
        <w:t>(0</w:t>
      </w:r>
      <w:r>
        <w:rPr>
          <w:rFonts w:hint="eastAsia"/>
          <w:sz w:val="24"/>
          <w:lang w:val="en-US" w:eastAsia="zh-CN"/>
        </w:rPr>
        <w:t>3</w:t>
      </w:r>
      <w:r>
        <w:rPr>
          <w:rFonts w:hint="eastAsia"/>
          <w:sz w:val="24"/>
        </w:rPr>
        <w:t>):</w:t>
      </w:r>
      <w:r>
        <w:rPr>
          <w:rFonts w:hint="eastAsia"/>
          <w:sz w:val="24"/>
          <w:lang w:val="en-US" w:eastAsia="zh-CN"/>
        </w:rPr>
        <w:t>81</w:t>
      </w:r>
      <w:r>
        <w:rPr>
          <w:rFonts w:hint="eastAsia"/>
          <w:sz w:val="24"/>
        </w:rPr>
        <w:t>-</w:t>
      </w:r>
      <w:r>
        <w:rPr>
          <w:rFonts w:hint="eastAsia"/>
          <w:sz w:val="24"/>
          <w:lang w:val="en-US" w:eastAsia="zh-CN"/>
        </w:rPr>
        <w:t>90</w:t>
      </w:r>
      <w:r>
        <w:rPr>
          <w:rFonts w:hint="eastAsia"/>
          <w:sz w:val="24"/>
        </w:rPr>
        <w:t>.</w:t>
      </w:r>
    </w:p>
    <w:p w14:paraId="044AB2B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r>
        <w:rPr>
          <w:rFonts w:hint="eastAsia"/>
          <w:sz w:val="24"/>
          <w:lang w:val="en-US" w:eastAsia="zh-CN"/>
        </w:rPr>
        <w:t>9</w:t>
      </w:r>
      <w:r>
        <w:rPr>
          <w:rFonts w:hint="eastAsia"/>
          <w:sz w:val="24"/>
        </w:rPr>
        <w:t>]</w:t>
      </w:r>
      <w:bookmarkStart w:id="612" w:name="OLE_LINK3"/>
      <w:r>
        <w:rPr>
          <w:rFonts w:hint="eastAsia"/>
          <w:sz w:val="24"/>
        </w:rPr>
        <w:t>【英】阿诺德·约瑟夫·汤因比：《历史研究》上，曹末风等译，上海：上海人民出版社，1986年，第272页。</w:t>
      </w:r>
      <w:bookmarkEnd w:id="612"/>
    </w:p>
    <w:p w14:paraId="55AB9C3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lang w:val="en-US" w:eastAsia="zh-CN"/>
        </w:rPr>
        <w:t>[10]</w:t>
      </w:r>
      <w:r>
        <w:rPr>
          <w:rFonts w:hint="eastAsia"/>
          <w:sz w:val="24"/>
        </w:rPr>
        <w:t>【美】布鲁斯·马兹利什：《文明及其内涵》，汪辉译，北京：商务印书馆，2017年，第145页。</w:t>
      </w:r>
    </w:p>
    <w:p w14:paraId="7A680B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lang w:eastAsia="zh-CN"/>
        </w:rPr>
        <w:t>（</w:t>
      </w:r>
      <w:r>
        <w:rPr>
          <w:rFonts w:hint="eastAsia"/>
          <w:sz w:val="24"/>
          <w:lang w:val="en-US" w:eastAsia="zh-CN"/>
        </w:rPr>
        <w:t>原载《亚太经济》2024年第1期，第二作者为陆夏。</w:t>
      </w:r>
      <w:r>
        <w:rPr>
          <w:rFonts w:hint="eastAsia"/>
          <w:sz w:val="24"/>
          <w:lang w:eastAsia="zh-CN"/>
        </w:rPr>
        <w:t>）</w:t>
      </w:r>
    </w:p>
    <w:p w14:paraId="340C9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3785D673">
      <w:pPr>
        <w:pStyle w:val="3"/>
        <w:bidi w:val="0"/>
        <w:rPr>
          <w:rFonts w:hint="eastAsia"/>
          <w:lang w:val="en-US" w:eastAsia="zh-CN"/>
        </w:rPr>
      </w:pPr>
      <w:bookmarkStart w:id="613" w:name="_Toc1007361680"/>
      <w:bookmarkStart w:id="614" w:name="_Toc340407182"/>
      <w:bookmarkStart w:id="615" w:name="_Toc1747480361"/>
      <w:bookmarkStart w:id="616" w:name="_Toc26441"/>
      <w:bookmarkStart w:id="617" w:name="_Toc1688490109"/>
      <w:bookmarkStart w:id="618" w:name="_Toc1744481712"/>
      <w:r>
        <w:rPr>
          <w:rFonts w:hint="eastAsia"/>
          <w:lang w:val="en-US" w:eastAsia="zh-CN"/>
        </w:rPr>
        <w:t>16论国有企业应引领和主导新质生产力发展</w:t>
      </w:r>
      <w:bookmarkEnd w:id="613"/>
      <w:bookmarkEnd w:id="614"/>
      <w:bookmarkEnd w:id="615"/>
      <w:bookmarkEnd w:id="616"/>
      <w:bookmarkEnd w:id="617"/>
      <w:bookmarkEnd w:id="618"/>
    </w:p>
    <w:p w14:paraId="6B1550F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摘要：发展新质生产力是夯实中国式现代化和高质量发展物质技术基础的重要举措，也是应对日趋激烈的国际竞争、保障国家经济安全的时代要求。新质生产力的发展总是在一定的生产关系中运行，也需要借助企业这一微观载体。国有企业的生产资料全民所有制性质、强大的综合实力以及党的领导，决定其有责任有能力引领和主导新质生产力的发展。国有企业引领新质生产力发展的关键着力点是突破重大科技创新、引领现代化产业体系建设、保障国家经济安全。在具体的实践中，需要深入实施创新驱动发展战略，加强核心技术攻关；优化国有企业产业布局结构，加快形成以新兴产业和未来产业为引领的现代化产业体系；做强做优做大国有企业和国有资本，发展“四控型”国有跨国公司，提高国际高端竞争力。</w:t>
      </w:r>
    </w:p>
    <w:p w14:paraId="23DE30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关键词：国有企业  新质生产力  现代化产业体系  自主知识产权优势  经济安全</w:t>
      </w:r>
    </w:p>
    <w:p w14:paraId="0575796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602576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一、文献简述</w:t>
      </w:r>
    </w:p>
    <w:p w14:paraId="03FD59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20世纪80-90年代，我国理论界就对“新质生产力”进行了一些讨论。有学者认为生产力的发展过程的角度来看，新质的生产力通过自身的质变量变而引起某一历史时期的生产力综合发生的根本的变革，这是一个同旧的生产力由并存到排斥直至最后彻底改造和代替旧的生产力的复杂历史过程。</w:t>
      </w:r>
      <w:r>
        <w:rPr>
          <w:rStyle w:val="20"/>
          <w:rFonts w:hint="eastAsia" w:ascii="宋体" w:hAnsi="宋体" w:eastAsia="宋体" w:cs="宋体"/>
          <w:sz w:val="24"/>
          <w:szCs w:val="21"/>
          <w:lang w:val="en-US" w:eastAsia="zh-CN"/>
        </w:rPr>
        <w:footnoteReference w:id="907"/>
      </w:r>
      <w:r>
        <w:rPr>
          <w:rFonts w:hint="eastAsia"/>
          <w:sz w:val="24"/>
          <w:lang w:val="en-US" w:eastAsia="zh-CN"/>
        </w:rPr>
        <w:t>同时，新质生产力的获得，又为生产力水平的进一步提高开辟了道路</w:t>
      </w:r>
      <w:r>
        <w:rPr>
          <w:rStyle w:val="20"/>
          <w:rFonts w:hint="eastAsia" w:ascii="宋体" w:hAnsi="宋体" w:eastAsia="宋体" w:cs="宋体"/>
          <w:sz w:val="24"/>
          <w:szCs w:val="21"/>
          <w:lang w:val="en-US" w:eastAsia="zh-CN"/>
        </w:rPr>
        <w:footnoteReference w:id="908"/>
      </w:r>
      <w:r>
        <w:rPr>
          <w:rStyle w:val="20"/>
          <w:rFonts w:hint="eastAsia" w:ascii="宋体" w:hAnsi="宋体" w:eastAsia="宋体" w:cs="宋体"/>
          <w:sz w:val="24"/>
          <w:szCs w:val="21"/>
          <w:lang w:val="en-US" w:eastAsia="zh-CN"/>
        </w:rPr>
        <w:footnoteReference w:id="909"/>
      </w:r>
      <w:r>
        <w:rPr>
          <w:rFonts w:hint="eastAsia"/>
          <w:sz w:val="24"/>
          <w:lang w:val="en-US" w:eastAsia="zh-CN"/>
        </w:rPr>
        <w:t>；部分学者从具体内容角度认为新质生产力以全新的产业结构为载体出现在社会生产力大系统中，新质生产力不仅在构成因素、组合方式、总体功能上出现了全新内容，而且在数量已经达到了相当的比重</w:t>
      </w:r>
      <w:r>
        <w:rPr>
          <w:rStyle w:val="20"/>
          <w:rFonts w:hint="eastAsia" w:ascii="宋体" w:hAnsi="宋体" w:eastAsia="宋体" w:cs="宋体"/>
          <w:sz w:val="24"/>
          <w:szCs w:val="21"/>
          <w:lang w:val="en-US" w:eastAsia="zh-CN"/>
        </w:rPr>
        <w:footnoteReference w:id="910"/>
      </w:r>
      <w:r>
        <w:rPr>
          <w:rFonts w:hint="eastAsia"/>
          <w:sz w:val="24"/>
          <w:lang w:val="en-US" w:eastAsia="zh-CN"/>
        </w:rPr>
        <w:t>；还有学者从科技革命的角度认为科技对生产力的强烈的渗透作用可以从根本上改造其物质技术基础，从而使生产力实现从旧质向新质的转化</w:t>
      </w:r>
      <w:r>
        <w:rPr>
          <w:rStyle w:val="20"/>
          <w:rFonts w:hint="eastAsia" w:ascii="宋体" w:hAnsi="宋体" w:eastAsia="宋体" w:cs="宋体"/>
          <w:sz w:val="24"/>
          <w:szCs w:val="21"/>
          <w:lang w:val="en-US" w:eastAsia="zh-CN"/>
        </w:rPr>
        <w:footnoteReference w:id="911"/>
      </w:r>
      <w:r>
        <w:rPr>
          <w:rStyle w:val="20"/>
          <w:rFonts w:hint="eastAsia" w:ascii="宋体" w:hAnsi="宋体" w:eastAsia="宋体" w:cs="宋体"/>
          <w:sz w:val="24"/>
          <w:szCs w:val="21"/>
          <w:lang w:val="en-US" w:eastAsia="zh-CN"/>
        </w:rPr>
        <w:footnoteReference w:id="912"/>
      </w:r>
      <w:r>
        <w:rPr>
          <w:rFonts w:hint="eastAsia"/>
          <w:sz w:val="24"/>
          <w:lang w:val="en-US" w:eastAsia="zh-CN"/>
        </w:rPr>
        <w:t>。但是，也有学者认为，即使具备了形成生产力的文化、科学、技术等客观条件，但以国家为本体的垂直型社会结构也可能阻碍新质生产力的形成或大范围展开。</w:t>
      </w:r>
      <w:r>
        <w:rPr>
          <w:rStyle w:val="20"/>
          <w:rFonts w:hint="eastAsia" w:ascii="宋体" w:hAnsi="宋体" w:eastAsia="宋体" w:cs="宋体"/>
          <w:sz w:val="24"/>
          <w:szCs w:val="21"/>
          <w:lang w:val="en-US" w:eastAsia="zh-CN"/>
        </w:rPr>
        <w:footnoteReference w:id="913"/>
      </w:r>
    </w:p>
    <w:p w14:paraId="509ECBB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2023年9月初，习近平总书记提出“新质生产力”之后，学界进行了新一轮的讨论，，主要集中在以下几个方面：</w:t>
      </w:r>
    </w:p>
    <w:p w14:paraId="139794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一是阐述新质生产力的出场逻辑。从理论视角来看，生产力理论经历了从基于较低科技水平和普通生产要素的传统生产力到基于高水平科技创新和数据、算力等生产要素的新质生产力的发展和演化过程。</w:t>
      </w:r>
      <w:r>
        <w:rPr>
          <w:rStyle w:val="20"/>
          <w:rFonts w:hint="eastAsia" w:ascii="宋体" w:hAnsi="宋体" w:eastAsia="宋体" w:cs="宋体"/>
          <w:sz w:val="24"/>
          <w:szCs w:val="21"/>
          <w:lang w:val="en-US" w:eastAsia="zh-CN"/>
        </w:rPr>
        <w:footnoteReference w:id="914"/>
      </w:r>
      <w:r>
        <w:rPr>
          <w:rFonts w:hint="eastAsia"/>
          <w:sz w:val="24"/>
          <w:lang w:val="en-US" w:eastAsia="zh-CN"/>
        </w:rPr>
        <w:t>从现实视角来看，新质生产力的提出既是源于对经济发展取得的显著绩效以及对生产力发展规律的深刻认识，也是源于我国经济发展环境的深刻变化及其对生产力发展带来的新挑战。</w:t>
      </w:r>
      <w:r>
        <w:rPr>
          <w:rStyle w:val="20"/>
          <w:rFonts w:hint="eastAsia" w:ascii="宋体" w:hAnsi="宋体" w:eastAsia="宋体" w:cs="宋体"/>
          <w:sz w:val="24"/>
          <w:szCs w:val="21"/>
          <w:lang w:val="en-US" w:eastAsia="zh-CN"/>
        </w:rPr>
        <w:footnoteReference w:id="915"/>
      </w:r>
    </w:p>
    <w:p w14:paraId="3FB3ED6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二是界定新质生产力的科学内涵、特征。新质生产力是指实现关键性颠覆性技术突破而产生的生产力，主要内涵是新技术、新经济和新业态。</w:t>
      </w:r>
      <w:r>
        <w:rPr>
          <w:rStyle w:val="20"/>
          <w:rFonts w:hint="eastAsia" w:ascii="宋体" w:hAnsi="宋体" w:eastAsia="宋体" w:cs="宋体"/>
          <w:sz w:val="24"/>
          <w:szCs w:val="21"/>
          <w:lang w:val="en-US" w:eastAsia="zh-CN"/>
        </w:rPr>
        <w:footnoteReference w:id="916"/>
      </w:r>
      <w:r>
        <w:rPr>
          <w:rFonts w:hint="eastAsia"/>
          <w:sz w:val="24"/>
          <w:lang w:val="en-US" w:eastAsia="zh-CN"/>
        </w:rPr>
        <w:t>从生产力的构成要素上讲，新质生产力主要包括高新科学技术、高素质劳动力和新型高品质生产资料。</w:t>
      </w:r>
      <w:r>
        <w:rPr>
          <w:rStyle w:val="20"/>
          <w:rFonts w:hint="eastAsia" w:ascii="宋体" w:hAnsi="宋体" w:eastAsia="宋体" w:cs="宋体"/>
          <w:sz w:val="24"/>
          <w:szCs w:val="21"/>
          <w:lang w:val="en-US" w:eastAsia="zh-CN"/>
        </w:rPr>
        <w:footnoteReference w:id="917"/>
      </w:r>
      <w:r>
        <w:rPr>
          <w:rFonts w:hint="eastAsia"/>
          <w:sz w:val="24"/>
          <w:lang w:val="en-US" w:eastAsia="zh-CN"/>
        </w:rPr>
        <w:t>新质生产力呈现出颠覆性创新驱动、产业链条新、发展质量高等一般性特征，在新一轮科技革命和产业变革的背景下还具有数字化和绿色化的时代特征。</w:t>
      </w:r>
      <w:r>
        <w:rPr>
          <w:rStyle w:val="20"/>
          <w:rFonts w:hint="eastAsia" w:ascii="宋体" w:hAnsi="宋体" w:eastAsia="宋体" w:cs="宋体"/>
          <w:sz w:val="24"/>
          <w:szCs w:val="21"/>
          <w:lang w:val="en-US" w:eastAsia="zh-CN"/>
        </w:rPr>
        <w:footnoteReference w:id="918"/>
      </w:r>
    </w:p>
    <w:p w14:paraId="3FA613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三是关于新质生产力的实现路径。现阶段要加快形成新质生产力，需要充分发挥社会主义制度优势促进高水平技术创新，不断培养适应新质生产力发展的高素质人才，着力培育和壮大战略性新兴产业和未来产业等。</w:t>
      </w:r>
      <w:r>
        <w:rPr>
          <w:rStyle w:val="20"/>
          <w:rFonts w:hint="eastAsia" w:ascii="宋体" w:hAnsi="宋体" w:eastAsia="宋体" w:cs="宋体"/>
          <w:sz w:val="24"/>
          <w:szCs w:val="21"/>
          <w:lang w:val="en-US" w:eastAsia="zh-CN"/>
        </w:rPr>
        <w:footnoteReference w:id="919"/>
      </w:r>
      <w:r>
        <w:rPr>
          <w:rFonts w:hint="eastAsia"/>
          <w:sz w:val="24"/>
          <w:lang w:val="en-US" w:eastAsia="zh-CN"/>
        </w:rPr>
        <w:t>从新质生产力的形成条件入手，其主要路径有：培养高质量的“劳动者”、深入实施创新驱动发展战略以提升劳动资料及科学技术这两个要素的质量、建设超大规模统一市场以实现劳动对象的扩展、加强党的领导和培育企业家精神以实现企业管理变革。</w:t>
      </w:r>
      <w:r>
        <w:rPr>
          <w:rStyle w:val="20"/>
          <w:rFonts w:hint="eastAsia" w:ascii="宋体" w:hAnsi="宋体" w:eastAsia="宋体" w:cs="宋体"/>
          <w:sz w:val="24"/>
          <w:szCs w:val="21"/>
          <w:lang w:val="en-US" w:eastAsia="zh-CN"/>
        </w:rPr>
        <w:footnoteReference w:id="920"/>
      </w:r>
    </w:p>
    <w:p w14:paraId="7B6ED2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四是制定衡量新质生产力发展的指标体系。根据生产力的三大构成要件，从新质劳动者、新质劳动资料和新质劳动对象3个维度构建了新质生产力指标测度体系。</w:t>
      </w:r>
      <w:r>
        <w:rPr>
          <w:rStyle w:val="20"/>
          <w:rFonts w:hint="eastAsia" w:ascii="宋体" w:hAnsi="宋体" w:eastAsia="宋体" w:cs="宋体"/>
          <w:sz w:val="24"/>
          <w:szCs w:val="21"/>
          <w:lang w:val="en-US" w:eastAsia="zh-CN"/>
        </w:rPr>
        <w:footnoteReference w:id="921"/>
      </w:r>
    </w:p>
    <w:p w14:paraId="42187D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总体来说，现有研究围绕新质生产力的出场、内涵、意义、实现路径等进行了广泛的研究，但鲜有从微观主体的角度，研究和回答国有企业在加快形成新质生产力中的角色与作用。因此，本文尝试运用马克思主义政治经济学的原理与方法，依据《宪法》有关发挥国有经济在国民经济中主导作用的精神，阐释国有企业引领和主导新质生产力发展的理论依据和实践路径，以期更好更快地发展新质生产力。</w:t>
      </w:r>
    </w:p>
    <w:p w14:paraId="64B4AC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016C22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二、新质生产力研究的重要性与主要内涵</w:t>
      </w:r>
    </w:p>
    <w:p w14:paraId="7DEAC5B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2023年9月初，习近平总书记在主持召开新时代推动东北全面振兴座谈会时强调：“积极培育新能源、新材料、先进制造、电子信息等战略性新兴产业，积极培育未来产业，加快形成新质生产力，增强发展新动能”。</w:t>
      </w:r>
      <w:r>
        <w:rPr>
          <w:rStyle w:val="20"/>
          <w:rFonts w:hint="eastAsia" w:ascii="宋体" w:hAnsi="宋体" w:eastAsia="宋体" w:cs="宋体"/>
          <w:sz w:val="24"/>
          <w:szCs w:val="21"/>
          <w:lang w:val="en-US" w:eastAsia="zh-CN"/>
        </w:rPr>
        <w:footnoteReference w:id="922"/>
      </w:r>
      <w:r>
        <w:rPr>
          <w:rFonts w:hint="eastAsia"/>
          <w:sz w:val="24"/>
          <w:lang w:val="en-US" w:eastAsia="zh-CN"/>
        </w:rPr>
        <w:t>在2023年12月的中央经济工作会议上，习近平总书记又特别强调：“一是以科技创新引领现代化产业体系建设。要以科技创新推动产业创新，特别是以颠覆性技术和前沿技术催生新产业、新模式、新动能，发展新质生产力。”</w:t>
      </w:r>
      <w:r>
        <w:rPr>
          <w:rStyle w:val="20"/>
          <w:rFonts w:hint="eastAsia" w:ascii="宋体" w:hAnsi="宋体" w:eastAsia="宋体" w:cs="宋体"/>
          <w:sz w:val="24"/>
          <w:szCs w:val="21"/>
          <w:lang w:val="en-US" w:eastAsia="zh-CN"/>
        </w:rPr>
        <w:footnoteReference w:id="923"/>
      </w:r>
      <w:r>
        <w:rPr>
          <w:rFonts w:hint="eastAsia"/>
          <w:sz w:val="24"/>
          <w:lang w:val="en-US" w:eastAsia="zh-CN"/>
        </w:rPr>
        <w:t>因此，加快形成新质生产力是新发展阶段中国特色社会主义发展向前的重要任务，是夯实中国式现代化和高质量发展物质技术基础的重要举措，也是应对日趋激烈的国际竞争、保障国家经济安全的时代要求。在加快形成新质生产力的过程中，作为国民经济重要支柱的国有企业理应按照《宪法》关于发挥国有经济“主导作用”的规定和要求，承担起时代赋予的重大使命，主动服务于国家战略的需要，在推进科技创新、建设现代化产业体系和维护国家经济安全中发挥出应有的作用。</w:t>
      </w:r>
    </w:p>
    <w:p w14:paraId="4A6BE1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（一）研究新质生产力的重要性</w:t>
      </w:r>
    </w:p>
    <w:p w14:paraId="3202297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第一，加快形成新质生产力是适应我国当前经济发展阶段的必然选择。</w:t>
      </w:r>
    </w:p>
    <w:p w14:paraId="4D3F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经过改革开放40多年的发展，我国经济发展在取得巨大成就的同时，也出现了不少新情况新问题。党的二十大报告指出“高质量发展是全面建设社会主义现代化国家的首要任务”</w:t>
      </w:r>
      <w:r>
        <w:rPr>
          <w:rStyle w:val="20"/>
          <w:rFonts w:hint="eastAsia" w:ascii="宋体" w:hAnsi="宋体" w:eastAsia="宋体" w:cs="宋体"/>
          <w:kern w:val="2"/>
          <w:sz w:val="24"/>
          <w:szCs w:val="21"/>
          <w:lang w:val="en-US" w:eastAsia="zh-CN" w:bidi="ar-SA"/>
        </w:rPr>
        <w:footnoteReference w:id="924"/>
      </w:r>
      <w:r>
        <w:rPr>
          <w:rFonts w:hint="eastAsia"/>
          <w:sz w:val="24"/>
          <w:lang w:val="en-US" w:eastAsia="zh-CN"/>
        </w:rPr>
        <w:t>。经济高质量发展要改变传统的高消耗、高污染、低效益的发展模式，优化经济结构，培养新的增长动力。新质生产力正是“摆脱传统经济增长方式、生产力发展路径，具有高科技、高效能、高质量特征，符合新发展理念的先进生产力质态”</w:t>
      </w:r>
      <w:r>
        <w:rPr>
          <w:rStyle w:val="20"/>
          <w:rFonts w:hint="eastAsia" w:ascii="宋体" w:hAnsi="宋体" w:eastAsia="宋体" w:cs="宋体"/>
          <w:kern w:val="2"/>
          <w:sz w:val="24"/>
          <w:szCs w:val="21"/>
          <w:lang w:val="en-US" w:eastAsia="zh-CN" w:bidi="ar-SA"/>
        </w:rPr>
        <w:footnoteReference w:id="925"/>
      </w:r>
      <w:r>
        <w:rPr>
          <w:rFonts w:hint="eastAsia"/>
          <w:sz w:val="24"/>
          <w:lang w:val="en-US" w:eastAsia="zh-CN"/>
        </w:rPr>
        <w:t>。因此，新发展阶段加快形成新质生产力，实现经济发展动力的新旧转换，助力经济高质量发展。</w:t>
      </w:r>
    </w:p>
    <w:p w14:paraId="497AFC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第二，加快形成新质生产力是应对激烈的国际竞争的战略举措。</w:t>
      </w:r>
    </w:p>
    <w:p w14:paraId="09C04D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当前，百年未有之大变局加速演进，以满足消费者个性化需求为目标的平台经济、共享经济和社交电商等新业态不断发展，以数字化、智能化和网络化为代表的现代信息技术不断突破，世界创新格局和竞争格局正发生深刻变化。而与此同时，贸易保护主义和逆全球化等落后思潮死灰复燃，全球的治理体系和秩序正在面临巨大挑战。我国经济经过几十年的发展，虽然取得了很高的成就，但仍然处在大而不强的发展状态，价值链长期处于中低位，产业链中的核心技术仍然有待突破，关键零部件仍然需要进口，科技创新能力还不够强。这些问题都需要通过发展战略性新兴产业和未来产业来进行完善和补足，也就是通过发展新质生产力这一路径来弥补。因此加快形成和发展新质生产力，是中国融入并优化全球经济治理体系的重要途径，有助于提高我国在全球创新体系中的地位和作用，也有利于我国在当前激烈的国际竞争中占据制高点。</w:t>
      </w:r>
    </w:p>
    <w:p w14:paraId="3D56709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第三，加快形成新质生产力是顺应新一轮科技革命的科学判断。</w:t>
      </w:r>
    </w:p>
    <w:p w14:paraId="38F8CA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当前，以人工智能、新材料技术、分子工程、石墨烯、虚拟现实、量子信息技术、可控核聚变、清洁能源以及生物技术等为技术突破口的新技术革命和全球产业变革正在孕育兴起。必须要认识到新质生产力是在这一全球化背景下，科技革命和产业变革加速推进的大环境下提出来的。</w:t>
      </w:r>
      <w:r>
        <w:rPr>
          <w:rStyle w:val="20"/>
          <w:rFonts w:hint="eastAsia" w:ascii="宋体" w:hAnsi="宋体" w:eastAsia="宋体" w:cs="宋体"/>
          <w:kern w:val="2"/>
          <w:sz w:val="24"/>
          <w:szCs w:val="21"/>
          <w:lang w:val="en-US" w:eastAsia="zh-CN" w:bidi="ar-SA"/>
        </w:rPr>
        <w:footnoteReference w:id="926"/>
      </w:r>
      <w:r>
        <w:rPr>
          <w:rFonts w:hint="eastAsia"/>
          <w:sz w:val="24"/>
          <w:lang w:val="en-US" w:eastAsia="zh-CN"/>
        </w:rPr>
        <w:t>新一轮科技革命所带来的一系列创新技术，为生产力实现质的飞跃奠定了坚实的物质基础；产业变革意味着传统产业面临升级重构，同时新兴产业和未来产业加速发展，为新质生产力的发展壮大提供了必要的空间和市场。</w:t>
      </w:r>
    </w:p>
    <w:p w14:paraId="4AB399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加快形成新质生产力是满足人民群众对美好生活的需要的必然要求。</w:t>
      </w:r>
    </w:p>
    <w:p w14:paraId="15951C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中国特色社会主义进入新时代，人民群众对美好生活的需要日益广泛，不仅对于物质生活提出了更好的要求，而且在文化生活和生态文明方面也提出了新的要求，需要更高质量、更多层次和更多维度的产品和服务。新质生产力包括以颠覆性技术和前沿技术催生的新产业、新模式和新动能，是实现经济社会可持续发展、创造更高质量和更多数量的物质和精神财富的关键动力。新质生产力的提出和形成更能适应人民对美好生活需要的变化，可以促进战略性产业和新兴产业的发展，摒弃无效和低端的供给，极大地提升生产效率和产品品质，为人民群众提供更丰富和更高品质的产品和服务。</w:t>
      </w:r>
    </w:p>
    <w:p w14:paraId="07F9C2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（二）新质生产力的内涵</w:t>
      </w:r>
    </w:p>
    <w:p w14:paraId="388AD6E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新质生产力是一个内涵丰富的经济范畴，是科技创新在其中发挥主导作用的生产力，尤其是以关键性颠覆性核心技术实现突破的生产力，具有高效能、高质量的特征，区别于传统的经济增长模式和发展路径，是一种符合新发展理念的先进的生产力质态。</w:t>
      </w:r>
      <w:r>
        <w:rPr>
          <w:rStyle w:val="20"/>
          <w:rFonts w:hint="eastAsia" w:ascii="宋体" w:hAnsi="宋体" w:eastAsia="宋体" w:cs="宋体"/>
          <w:kern w:val="2"/>
          <w:sz w:val="24"/>
          <w:szCs w:val="21"/>
          <w:lang w:val="en-US" w:eastAsia="zh-CN" w:bidi="ar-SA"/>
        </w:rPr>
        <w:footnoteReference w:id="927"/>
      </w:r>
      <w:r>
        <w:rPr>
          <w:rFonts w:hint="eastAsia"/>
          <w:sz w:val="24"/>
          <w:lang w:val="en-US" w:eastAsia="zh-CN"/>
        </w:rPr>
        <w:t>准确把握新质生产力内涵，具体来讲，可以从“新”和“质”两个方面来理解。</w:t>
      </w:r>
    </w:p>
    <w:p w14:paraId="2335BB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一，新质生产力的“新”直接体现在新的构成要素上。历史唯物主义强调，生产力是推动社会进步最革命、最活跃的要素。构成生产力的要素可以分为实体性要素（劳动者、劳动资料和劳动对象）和渗透性要素（科技、管理和教育），其中，科技具有引领生产力发展的决定性功效。</w:t>
      </w:r>
      <w:r>
        <w:rPr>
          <w:rStyle w:val="20"/>
          <w:rFonts w:hint="eastAsia" w:ascii="宋体" w:hAnsi="宋体" w:eastAsia="宋体" w:cs="宋体"/>
          <w:kern w:val="2"/>
          <w:sz w:val="24"/>
          <w:szCs w:val="21"/>
          <w:lang w:val="en-US" w:eastAsia="zh-CN" w:bidi="ar-SA"/>
        </w:rPr>
        <w:footnoteReference w:id="928"/>
      </w:r>
      <w:r>
        <w:rPr>
          <w:rFonts w:hint="eastAsia"/>
          <w:sz w:val="24"/>
          <w:lang w:val="en-US" w:eastAsia="zh-CN"/>
        </w:rPr>
        <w:t>从生产力构成要素上看，新质生产力是实体性要素提质增效，渗透性要素尤其是科技起主导作用的全新质态的先进生产力。其中新型劳动者主要是指受过一定的教育和训练，能够掌握新技术使用的高技能劳动者、新型劳动资料主要是指与高新技术匹配的智能化设备等；新型劳动对象包括新能源、新材料和大数据等。同时，渗透性要素表现为新科技、新组织管理模式和新教育培养模式等。</w:t>
      </w:r>
    </w:p>
    <w:p w14:paraId="23F1C3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二，从具体表现来看，新技术主要是强调关键性颠覆性技术突破，包括人工智能技术、量子信息技术、生物技术、可控核聚变等；新产业主要指新能源、新材料、先进制造和电子信息等新兴产业，这些产业具有技术含量高和创新能力强的特点；新模式包括新型商业模式和服务模式等，主要特征是个性化、定制化和体验化，如平台经济、分享经济、电商经济等新兴业态，能够更好地满足消费者的个性化需求。</w:t>
      </w:r>
    </w:p>
    <w:p w14:paraId="51D3251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三，新质生产力的“质”表现在新性质与高质量。“质”是一事物成为其自身并区别与其他事物的规定性，所以说新质生产力不是传统生产力的局部优化和简单迭代，也不是单纯量的增长，而是由技术革命性突破、生产要素创新配置、产业深度转型升级而催生的当代先进生产力。这种生产力的跃升是一个从量变到质变的过程，更是一个系统的跃升，而非单点突破。另外，新质生产力以创新驱动发展，全要素生产率不断提高，改变了传统的高污染、高消耗的粗放式的发展方式，能够有效提高生产的效率、增加产品的多样性、提高产品质量的同时减少对环境的负面影响，在不断释放经济增长潜力的同时更好地满足人民对高品质生活的需要，确保经济可持续和高质量发展。</w:t>
      </w:r>
    </w:p>
    <w:p w14:paraId="173579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0F2002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三、国有企业引领新质生产力发展的内在依据</w:t>
      </w:r>
    </w:p>
    <w:p w14:paraId="7711D0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任何一种生产力的革新都要通过微观载体完成，国有企业作为国民经济的支柱，必然是发展新质生产力的主力军。国有企业为何能够引领新质生产力的发展，从内在依据上看，主要是国有企业的性质、实力和政治属性决定了它必然在新质生产力发展过程中扮演引领者角色。</w:t>
      </w:r>
    </w:p>
    <w:p w14:paraId="7B08B47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（一）生产资料全民所有制性质的国有企业是发展新质生产力的主要载体</w:t>
      </w:r>
    </w:p>
    <w:p w14:paraId="524E6E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发展新质生产力是党和国家基于当前国内外经济发展形势，把握第四次科技革命和产业革命的历史机遇，旨在满足人民群众对美好生活需要而提出的重大战略。有学者认为新质生产力发展主要依赖于民营企业，民营企业是新质生产力发展的主力军，否定国有企业的主导作用。</w:t>
      </w:r>
      <w:r>
        <w:rPr>
          <w:rStyle w:val="20"/>
          <w:rFonts w:hint="eastAsia" w:ascii="宋体" w:hAnsi="宋体" w:eastAsia="宋体" w:cs="宋体"/>
          <w:kern w:val="2"/>
          <w:sz w:val="24"/>
          <w:szCs w:val="21"/>
          <w:lang w:val="en-US" w:eastAsia="zh-CN" w:bidi="ar-SA"/>
        </w:rPr>
        <w:footnoteReference w:id="929"/>
      </w:r>
      <w:r>
        <w:rPr>
          <w:rFonts w:hint="eastAsia"/>
          <w:sz w:val="24"/>
          <w:lang w:val="en-US" w:eastAsia="zh-CN"/>
        </w:rPr>
        <w:t>习近平总书记明确指出“公有制主体地位不能动摇，国有经济主导作用不能动摇”，</w:t>
      </w:r>
      <w:r>
        <w:rPr>
          <w:rStyle w:val="20"/>
          <w:rFonts w:hint="eastAsia" w:ascii="宋体" w:hAnsi="宋体" w:eastAsia="宋体" w:cs="宋体"/>
          <w:kern w:val="2"/>
          <w:sz w:val="24"/>
          <w:szCs w:val="21"/>
          <w:lang w:val="en-US" w:eastAsia="zh-CN" w:bidi="ar-SA"/>
        </w:rPr>
        <w:footnoteReference w:id="930"/>
      </w:r>
      <w:r>
        <w:rPr>
          <w:rFonts w:hint="eastAsia"/>
          <w:sz w:val="24"/>
          <w:lang w:val="en-US" w:eastAsia="zh-CN"/>
        </w:rPr>
        <w:t>多次强调“做强做优做大国有企业”</w:t>
      </w:r>
      <w:r>
        <w:rPr>
          <w:rStyle w:val="20"/>
          <w:rFonts w:hint="eastAsia" w:ascii="宋体" w:hAnsi="宋体" w:eastAsia="宋体" w:cs="宋体"/>
          <w:kern w:val="2"/>
          <w:sz w:val="24"/>
          <w:szCs w:val="21"/>
          <w:lang w:val="en-US" w:eastAsia="zh-CN" w:bidi="ar-SA"/>
        </w:rPr>
        <w:footnoteReference w:id="931"/>
      </w:r>
      <w:r>
        <w:rPr>
          <w:rFonts w:hint="eastAsia"/>
          <w:sz w:val="24"/>
          <w:lang w:val="en-US" w:eastAsia="zh-CN"/>
        </w:rPr>
        <w:t>。新质生产力本质上是先进生产力，也需要在更为先进的生产关系中发展。从理论与实践来看，社会主义公有制经济以人民利益为直接经济动力，着眼于人民的长远和整体利益，是保持国家社会主义性质的经济基础，</w:t>
      </w:r>
      <w:r>
        <w:rPr>
          <w:rStyle w:val="20"/>
          <w:rFonts w:hint="eastAsia" w:ascii="宋体" w:hAnsi="宋体" w:eastAsia="宋体" w:cs="宋体"/>
          <w:kern w:val="2"/>
          <w:sz w:val="24"/>
          <w:szCs w:val="21"/>
          <w:lang w:val="en-US" w:eastAsia="zh-CN" w:bidi="ar-SA"/>
        </w:rPr>
        <w:footnoteReference w:id="932"/>
      </w:r>
      <w:r>
        <w:rPr>
          <w:rFonts w:hint="eastAsia"/>
          <w:sz w:val="24"/>
          <w:lang w:val="en-US" w:eastAsia="zh-CN"/>
        </w:rPr>
        <w:t>比资本主义私有制更能促进生产力的发展。国有企业作为我国社会主义全民所有制的表现形式，其本身就代表了先进生产力的发展要求，在承担发展新质生产力的国家发展战略上可以发挥《宪法》所赋予的“主导作用”，并在此基础上携手非公经济的生力军作用，共同担负起相应责任与使命，引领新质生产力更好地为共同富裕服务。</w:t>
      </w:r>
    </w:p>
    <w:p w14:paraId="30C8D5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国有企业的生产资料公有制性质，决定其具有发展新质生产力的责任与使命。一方面，国有企业的生产资料公有制性质更符合先进生产力的发展要求。国有企业作为社会主义公有制经济的重要实现形式，生产资料归全体人民共同所有，适应了社会化大生产的需要，从根本上解决了生产资料私有制与社会化大生产之间的矛盾，代表了先进生产力的发展要求和方向。新质生产力是依托于新技术、新产业、新业态和新领域的先进生产力，意味着生产社会化的程度更高，对共享的要求更高，这与社会主义生产资料公有制的本质属性不谋而合，具有高度的契合性。另一方面，国有企业的生产资料公有制性质决定了企业利益与国家利益、社会利益是统一的。国有企业不是单纯地追求利润最大化，更要在适应市场竞争的同时不断满足国家和社会的需要，因此，国有企业能够更好地执行国家战略。发展新质生产力所面临的颠覆性和原创性的技术创新往往都是投入大、风险高和周期长的创新，而且往往具有很强的外部性和公益性，在这种情况下，追求利润最大化的私营企业和私人资本一般缺乏进行这类创新的动力，而恰恰需要国有企业担负起这一使命与责任。</w:t>
      </w:r>
    </w:p>
    <w:p w14:paraId="32EBB6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国有企业的生产资料公有制性质，决定其引领新质生产力发展能更好地促进共同富裕。恩格斯在《社会主义从空想到科学的发展》中就指出了实现共同富裕的实践路径，即在无产阶级政党领导下坚持发展生产力和坚持生产资料公有制。</w:t>
      </w:r>
      <w:r>
        <w:rPr>
          <w:rStyle w:val="20"/>
          <w:rFonts w:hint="eastAsia" w:ascii="宋体" w:hAnsi="宋体" w:eastAsia="宋体" w:cs="宋体"/>
          <w:kern w:val="2"/>
          <w:sz w:val="24"/>
          <w:szCs w:val="21"/>
          <w:lang w:val="en-US" w:eastAsia="zh-CN" w:bidi="ar-SA"/>
        </w:rPr>
        <w:footnoteReference w:id="933"/>
      </w:r>
      <w:r>
        <w:rPr>
          <w:rFonts w:hint="eastAsia"/>
          <w:sz w:val="24"/>
          <w:lang w:val="en-US" w:eastAsia="zh-CN"/>
        </w:rPr>
        <w:t>中国的国有企业的生产资料的所有权属于全体人民，在分配上采取按劳分配的方式，因而能够直接推动共同富裕。因此，以国有企业引领新质生产力发展不仅可以生产出更多满足人民物质和精神需要的高质量产品，而且国有企业的产权结构和分配方式更有助于实现共同富裕。</w:t>
      </w:r>
    </w:p>
    <w:p w14:paraId="360F11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（二）综合实力雄厚的国有企业是发展新质生产力的重要保障</w:t>
      </w:r>
    </w:p>
    <w:p w14:paraId="7B2C9E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国有企业不仅具有引领新质生产力发展的责任与使命，也具有引领新质生产力发展的强大的实力，主要表现在强大的实体经济、雄厚的研发基础和强大的资金实力上。</w:t>
      </w:r>
    </w:p>
    <w:p w14:paraId="3B5679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国有企业代表强大的实体经济。习近平总书记指出，进一步培育新质生产力的根基在实体经济，生产力实现质态跃迁离不开实体经济量的长期积累，而国有企业正是强大的国家实体经济的最重要载体，习近平总书记在2015年7月同吉林省国企职工座谈时指出“国有企业是国民经济发展的中坚力量”，“我们要向全社会发出明确信息：搞好经济、搞好企业、搞好国有企业，把实体经济抓上去。”</w:t>
      </w:r>
      <w:r>
        <w:rPr>
          <w:rStyle w:val="20"/>
          <w:rFonts w:hint="eastAsia" w:ascii="宋体" w:hAnsi="宋体" w:eastAsia="宋体" w:cs="宋体"/>
          <w:kern w:val="2"/>
          <w:sz w:val="24"/>
          <w:szCs w:val="21"/>
          <w:lang w:val="en-US" w:eastAsia="zh-CN" w:bidi="ar-SA"/>
        </w:rPr>
        <w:footnoteReference w:id="934"/>
      </w:r>
      <w:r>
        <w:rPr>
          <w:rFonts w:hint="eastAsia"/>
          <w:sz w:val="24"/>
          <w:lang w:val="en-US" w:eastAsia="zh-CN"/>
        </w:rPr>
        <w:t>因此，以实体经济为根基带动新质生产力的发展，更需要以国有企业为引领。</w:t>
      </w:r>
    </w:p>
    <w:p w14:paraId="731E00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国有企业研发基础雄厚。发展新质生产力的关键是需要突破重大核心技术，国有企业雄厚的研发基础是发展新质生产力的有力支撑。截止到2022年，中央企业累计建成打造国家级研发平台764个，拥有全国重点实验室91个，拥有专职研发人员104.5万人，占全国的1/5，两院院士231名，占全国的1/7。</w:t>
      </w:r>
      <w:r>
        <w:rPr>
          <w:rStyle w:val="20"/>
          <w:rFonts w:hint="eastAsia" w:ascii="宋体" w:hAnsi="宋体" w:eastAsia="宋体" w:cs="宋体"/>
          <w:kern w:val="2"/>
          <w:sz w:val="24"/>
          <w:szCs w:val="21"/>
          <w:lang w:val="en-US" w:eastAsia="zh-CN" w:bidi="ar-SA"/>
        </w:rPr>
        <w:footnoteReference w:id="935"/>
      </w:r>
      <w:r>
        <w:rPr>
          <w:rFonts w:hint="eastAsia"/>
          <w:sz w:val="24"/>
          <w:lang w:val="en-US" w:eastAsia="zh-CN"/>
        </w:rPr>
        <w:t>从科研创新成果方面看，国有企业不断取得新的突破，在载人航天、深海探测、高速铁路、高端装备、能源化工、移动通信、北斗导航、国产航母、核电等新兴产业和高科技产业中，涌现出一大批世界先进水平的标志性重大成果。2023年5月30日在京发布的《全国科技创新百强指数报告2023》显示，在全国科技创新企业500强榜单中，共有央企129家，国企119家，央企、国企数量总和248家，占比接近50%，起着引领创新发展的关键作用。</w:t>
      </w:r>
      <w:r>
        <w:rPr>
          <w:rStyle w:val="20"/>
          <w:rFonts w:hint="eastAsia" w:ascii="宋体" w:hAnsi="宋体" w:eastAsia="宋体" w:cs="宋体"/>
          <w:kern w:val="2"/>
          <w:sz w:val="24"/>
          <w:szCs w:val="21"/>
          <w:lang w:val="en-US" w:eastAsia="zh-CN" w:bidi="ar-SA"/>
        </w:rPr>
        <w:footnoteReference w:id="936"/>
      </w:r>
    </w:p>
    <w:p w14:paraId="62E4D2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最后，国有企业资金实力强大。发展新质生产力需要大力发展科技创新，而创新的累积性和不确定性决定企业需要长期把资金投入到创新过程中，提供该过程所需要的“耐心资本”</w:t>
      </w:r>
      <w:r>
        <w:rPr>
          <w:rStyle w:val="20"/>
          <w:rFonts w:hint="eastAsia" w:ascii="宋体" w:hAnsi="宋体" w:eastAsia="宋体" w:cs="宋体"/>
          <w:kern w:val="2"/>
          <w:sz w:val="24"/>
          <w:szCs w:val="21"/>
          <w:lang w:val="en-US" w:eastAsia="zh-CN" w:bidi="ar-SA"/>
        </w:rPr>
        <w:footnoteReference w:id="937"/>
      </w:r>
      <w:r>
        <w:rPr>
          <w:rFonts w:hint="eastAsia"/>
          <w:sz w:val="24"/>
          <w:lang w:val="en-US" w:eastAsia="zh-CN"/>
        </w:rPr>
        <w:t>。国有企业对于投入很大、风险很高的重大核心技术创新具有财务承诺优势，对风险的容忍度更高。</w:t>
      </w:r>
      <w:r>
        <w:rPr>
          <w:rStyle w:val="20"/>
          <w:rFonts w:hint="eastAsia" w:ascii="宋体" w:hAnsi="宋体" w:eastAsia="宋体" w:cs="宋体"/>
          <w:kern w:val="2"/>
          <w:sz w:val="24"/>
          <w:szCs w:val="21"/>
          <w:lang w:val="en-US" w:eastAsia="zh-CN" w:bidi="ar-SA"/>
        </w:rPr>
        <w:footnoteReference w:id="938"/>
      </w:r>
      <w:r>
        <w:rPr>
          <w:rFonts w:hint="eastAsia"/>
          <w:sz w:val="24"/>
          <w:lang w:val="en-US" w:eastAsia="zh-CN"/>
        </w:rPr>
        <w:t>根据2023年最新发布的《中央企业高质量发展报告》（2023），2012年—2021年，累计投入研发经费6.2万亿元，年均增速超过10%，其中：2021年中央企业研发经费投入9045.9亿元，同比增长16.1%。</w:t>
      </w:r>
      <w:r>
        <w:rPr>
          <w:rStyle w:val="20"/>
          <w:rFonts w:hint="eastAsia" w:ascii="宋体" w:hAnsi="宋体" w:eastAsia="宋体" w:cs="宋体"/>
          <w:kern w:val="2"/>
          <w:sz w:val="24"/>
          <w:szCs w:val="21"/>
          <w:lang w:val="en-US" w:eastAsia="zh-CN" w:bidi="ar-SA"/>
        </w:rPr>
        <w:footnoteReference w:id="939"/>
      </w:r>
      <w:r>
        <w:rPr>
          <w:rFonts w:hint="eastAsia"/>
          <w:sz w:val="24"/>
          <w:lang w:val="en-US" w:eastAsia="zh-CN"/>
        </w:rPr>
        <w:t>研发投入强度从2012年的1.34%提升到2021年的2.5%，中央工业企业研发投入强度达到3%。</w:t>
      </w:r>
      <w:r>
        <w:rPr>
          <w:rStyle w:val="20"/>
          <w:rFonts w:hint="eastAsia" w:ascii="宋体" w:hAnsi="宋体" w:eastAsia="宋体" w:cs="宋体"/>
          <w:kern w:val="2"/>
          <w:sz w:val="24"/>
          <w:szCs w:val="21"/>
          <w:lang w:val="en-US" w:eastAsia="zh-CN" w:bidi="ar-SA"/>
        </w:rPr>
        <w:footnoteReference w:id="940"/>
      </w:r>
      <w:r>
        <w:rPr>
          <w:rFonts w:hint="eastAsia"/>
          <w:sz w:val="24"/>
          <w:lang w:val="en-US" w:eastAsia="zh-CN"/>
        </w:rPr>
        <w:t>2022年中央企业研发投入更是首次突破1万亿元。</w:t>
      </w:r>
      <w:r>
        <w:rPr>
          <w:rStyle w:val="20"/>
          <w:rFonts w:hint="eastAsia" w:ascii="宋体" w:hAnsi="宋体" w:eastAsia="宋体" w:cs="宋体"/>
          <w:kern w:val="2"/>
          <w:sz w:val="24"/>
          <w:szCs w:val="21"/>
          <w:lang w:val="en-US" w:eastAsia="zh-CN" w:bidi="ar-SA"/>
        </w:rPr>
        <w:footnoteReference w:id="941"/>
      </w:r>
      <w:r>
        <w:rPr>
          <w:rFonts w:hint="eastAsia"/>
          <w:sz w:val="24"/>
          <w:lang w:val="en-US" w:eastAsia="zh-CN"/>
        </w:rPr>
        <w:t>同花顺数据显示，2022年A股研发投入金额排名前十的上市公司中，除了中兴通讯之外，其他9家均为国企，国有企业控股上市公司仍然是上市公司科技创新的领跑者。上述9家国企2022年的研发投入合计达2408.61亿元，占A股上市公司研发投入总金额的比例约为14.68%。</w:t>
      </w:r>
      <w:r>
        <w:rPr>
          <w:rStyle w:val="20"/>
          <w:rFonts w:hint="eastAsia" w:ascii="宋体" w:hAnsi="宋体" w:eastAsia="宋体" w:cs="宋体"/>
          <w:kern w:val="2"/>
          <w:sz w:val="24"/>
          <w:szCs w:val="21"/>
          <w:lang w:val="en-US" w:eastAsia="zh-CN" w:bidi="ar-SA"/>
        </w:rPr>
        <w:footnoteReference w:id="942"/>
      </w:r>
    </w:p>
    <w:p w14:paraId="52E207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（三）党领导下的国有企业是发展新质生产力的可靠力量</w:t>
      </w:r>
    </w:p>
    <w:p w14:paraId="6C4E9F0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中国共产党始终代表着先进生产力的发展方向，因而发展新质生产力也是中国共产党的庄严使命。习近平总书记指出“坚持党的领导、加强党的建设，是我国国有企业的光荣传统，是国有企业的‘根’和‘魂’，是我国国有企业的独特优势”</w:t>
      </w:r>
      <w:r>
        <w:rPr>
          <w:rStyle w:val="20"/>
          <w:rFonts w:hint="eastAsia" w:ascii="宋体" w:hAnsi="宋体" w:eastAsia="宋体" w:cs="宋体"/>
          <w:sz w:val="24"/>
          <w:szCs w:val="21"/>
          <w:lang w:val="en-US" w:eastAsia="zh-CN"/>
        </w:rPr>
        <w:footnoteReference w:id="943"/>
      </w:r>
      <w:r>
        <w:rPr>
          <w:rFonts w:hint="eastAsia"/>
          <w:sz w:val="24"/>
          <w:lang w:val="en-US" w:eastAsia="zh-CN"/>
        </w:rPr>
        <w:t>。因此，大力发展新质生产力，以科技创新促进各类产业和整个国民经济的发展，必须要倚靠党领导下的国有企业这一可靠力量，发挥好党的领导的独特优势，统筹好发展与安全的关系。</w:t>
      </w:r>
    </w:p>
    <w:p w14:paraId="76F5C16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党领导下的国有企业引领新质生产力发展有助于维护国家经济安全。当前世界正处于百年未有之大变局，我国的经济安全面临内外环境变化带来的严峻挑战，在这样的时代背景下，大力发展新质生产力必须要有助于保障国家经济安全。党的领导是维护国家经济安全的根本保证，国有企业作为党和国家最可信赖的“依靠力量”，对于维护国家经济安全起着十分重要的作用。一方面，党领导下的国有企业是壮大综合国力和参与国际竞争的重要力量。在资本全球化的新帝国主义阶段，国家经济安全显得愈发重要，尤其是保护民族产业安全，而实力强大的国有企业可以有效应对跨国垄断资本对本国产业的冲击。另一方面，党领导下的国有企业可以集中力量突破一些关键性的“卡脖子”技术，进行一些高端价值链的创新，突破西方脱钩断链式的科技打压和产业围堵，在发展过程中逐步赢得国际竞争战略主动权和经济自主权，实现高水平科技自立自强，维护国家经济安全。</w:t>
      </w:r>
    </w:p>
    <w:p w14:paraId="2D6607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党领导下的国有企业引领新质生产力发展具有很强的组织整合优势。有学者认为政府是为适应新质生产力发展的新型生产关系的调整者，是经济体制、科技体制和社会体制的改革者，不是新质生产力发展的组织者和实施者。</w:t>
      </w:r>
      <w:r>
        <w:rPr>
          <w:rStyle w:val="20"/>
          <w:rFonts w:hint="eastAsia" w:ascii="宋体" w:hAnsi="宋体" w:eastAsia="宋体" w:cs="宋体"/>
          <w:sz w:val="24"/>
          <w:szCs w:val="21"/>
          <w:lang w:val="en-US" w:eastAsia="zh-CN"/>
        </w:rPr>
        <w:footnoteReference w:id="944"/>
      </w:r>
      <w:r>
        <w:rPr>
          <w:rFonts w:hint="eastAsia"/>
          <w:sz w:val="24"/>
          <w:lang w:val="en-US" w:eastAsia="zh-CN"/>
        </w:rPr>
        <w:t>但实际上新质生产力的发展需要协调各种矛盾和难题，比如市场需求和资源配置、技术创新和产业转型等，一般需要进行跨部门、跨领域的协调，形成发展新质生产力的合力。</w:t>
      </w:r>
      <w:r>
        <w:rPr>
          <w:rStyle w:val="20"/>
          <w:rFonts w:hint="eastAsia" w:ascii="宋体" w:hAnsi="宋体" w:eastAsia="宋体" w:cs="宋体"/>
          <w:sz w:val="24"/>
          <w:szCs w:val="21"/>
          <w:lang w:val="en-US" w:eastAsia="zh-CN"/>
        </w:rPr>
        <w:footnoteReference w:id="945"/>
      </w:r>
      <w:r>
        <w:rPr>
          <w:rFonts w:hint="eastAsia"/>
          <w:sz w:val="24"/>
          <w:lang w:val="en-US" w:eastAsia="zh-CN"/>
        </w:rPr>
        <w:t>一般的私人企业之间的合作往往会因为所有者不同而陷入到不完全信息博弈，最终导致合作破裂。党和政府领导下的国有企业能够很好的超越个人利益、个人目标和个人知识的藩篱，参与集体利益、集体目标和集体知识的形成过程，</w:t>
      </w:r>
      <w:r>
        <w:rPr>
          <w:rStyle w:val="20"/>
          <w:rFonts w:hint="eastAsia" w:ascii="宋体" w:hAnsi="宋体" w:eastAsia="宋体" w:cs="宋体"/>
          <w:sz w:val="24"/>
          <w:szCs w:val="21"/>
          <w:lang w:val="en-US" w:eastAsia="zh-CN"/>
        </w:rPr>
        <w:footnoteReference w:id="946"/>
      </w:r>
      <w:r>
        <w:rPr>
          <w:rFonts w:hint="eastAsia"/>
          <w:sz w:val="24"/>
          <w:lang w:val="en-US" w:eastAsia="zh-CN"/>
        </w:rPr>
        <w:t>通过经济政治资源获得独有的联合优势，通过投资产业链上的企业获得相应的产业链整合优势，能够真正发挥出集中力量办大事的体制机制优势。</w:t>
      </w:r>
    </w:p>
    <w:p w14:paraId="462AC7C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706C0C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四、国有企业引领和主导新质生产力发展的核心要义</w:t>
      </w:r>
    </w:p>
    <w:p w14:paraId="58EBB8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在确定了国有企业在新质生产力发展中的引领作用之后，还需要进一步明确国有企业引领新质生产力发展的着力点与主要作用。习近平总书记指出：“科技创新能够催生新产业、新模式、新动能，是发展新质生产力的核心要素。”</w:t>
      </w:r>
      <w:r>
        <w:rPr>
          <w:rStyle w:val="20"/>
          <w:rFonts w:hint="eastAsia" w:ascii="宋体" w:hAnsi="宋体" w:eastAsia="宋体" w:cs="宋体"/>
          <w:kern w:val="2"/>
          <w:sz w:val="24"/>
          <w:szCs w:val="21"/>
          <w:lang w:val="en-US" w:eastAsia="zh-CN" w:bidi="ar-SA"/>
        </w:rPr>
        <w:footnoteReference w:id="947"/>
      </w:r>
      <w:r>
        <w:rPr>
          <w:rFonts w:hint="eastAsia"/>
          <w:sz w:val="24"/>
          <w:lang w:val="en-US" w:eastAsia="zh-CN"/>
        </w:rPr>
        <w:t>同时，“要及时将科技创新成果应用到具体产业和产业链上，改造提升传统产业，培育壮大新兴产业，布局建设未来产业，完善现代化产业体系”、“要围绕发展新质生产力布局产业链，提升产业链供应链韧性和安全水平，保证产业体系自主可控、安全可靠”</w:t>
      </w:r>
      <w:r>
        <w:rPr>
          <w:rStyle w:val="20"/>
          <w:rFonts w:hint="eastAsia" w:ascii="宋体" w:hAnsi="宋体" w:eastAsia="宋体" w:cs="宋体"/>
          <w:kern w:val="2"/>
          <w:sz w:val="24"/>
          <w:szCs w:val="21"/>
          <w:lang w:val="en-US" w:eastAsia="zh-CN" w:bidi="ar-SA"/>
        </w:rPr>
        <w:footnoteReference w:id="948"/>
      </w:r>
      <w:r>
        <w:rPr>
          <w:rFonts w:hint="eastAsia"/>
          <w:sz w:val="24"/>
          <w:lang w:val="en-US" w:eastAsia="zh-CN"/>
        </w:rPr>
        <w:t>。因此，发展新质生产力需要抓好科技创新、现代化产业体系建设和经济安全等具体内容，更需要科技、教育和产业等部门全力配合。在这其中，政府机构相关部门、学校和科研机构、国有企业和民营企业都发挥着不可或缺的作用，尤其企业是科技成果转化的核心载体，是科技成果落地转化率的关键因素。国有企业作为党和国家执政兴国的经济基础，是国民经济发展的中坚力量，是国家调控国民经济的重要微观基础，也是壮大国家综合实力和参与国际竞争的重要力量，能够坚决贯彻执行党中央的决策部署和重大的国家战略。因此，在加快形成新质生产力的过程中，国有企业理应主动担当，积极作为，发挥好引领作用，努力成为发展新质生产力可靠的微观主体。</w:t>
      </w:r>
    </w:p>
    <w:p w14:paraId="0814D0F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（一）发挥国有企业在重大科技创新中的主导作用</w:t>
      </w:r>
    </w:p>
    <w:p w14:paraId="21F0DE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加快形成新质生产力，科技创新起主导作用，特别是原创性、颠覆性科技创新。企业是科技创新的主体，而在推进重大科技创新中，国有企业因其独特的创新优势、雄厚的创新实力和一流的技术管理水平而在重大科技创新中发挥主导作用。</w:t>
      </w:r>
    </w:p>
    <w:p w14:paraId="245DA0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国有企业是实施国家创新战略的“排头兵”。国有企业的公有制性质和在国民经济中的主导作用决定其是能更好地代表和维护全体人民的共同利益。因此，国有企业具有自觉承担国家创新驱动战略的责任与使命，尤其是在事关国家安全、国计民生、国家核心利益的高资本和高技术行业，国有企业的作用不可替代。</w:t>
      </w:r>
    </w:p>
    <w:p w14:paraId="5D6DB2A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国有企业是原创技术的“策源地”。原创性和颠覆性的科技创新往往具有投入成本高、周期长和风险大的特征，而且短期内也缺乏经济效益的吸引力，私营企业一般缺乏实力和动力进行此类创新。这些年来，我国重大的科技进步，甚至超越世界先进水平的创新，比如载人航天、探月、高铁、特高压、核电、造船等，主要是依靠国有企业创新取得的。因此，形成和发展新质生产力，实现原创性和颠覆性技术的突破，就需要进一步发挥好国有企业的优势，研发和掌握更多的国之重器。</w:t>
      </w:r>
    </w:p>
    <w:p w14:paraId="63F2A06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最后，国有企业承担着协同创新和技术扩散的重要角色。一方面，国有企业充分发挥技术、产业、资金和人才等方面的综合优势，将产业链上下游的中小企业、政府、科研机构和高效等紧密联系起来，搭建创新平台，建立产学研协同创新的体制机制，共克技术难题，提高整体的创新效率，同时进一步强化国有企业在整个创新体系中的主体地位；另一方面，国有企业技术创新的溢出效应明显，主要通过打造新兴产业链、提供新兴技术服务和输出创新型人才等方式，引导创新资源和要素不断流动和合理配置，进而发挥国有企业的引领作用，并结合混合所有制改革参股或者控股相关民营企业，进一步增强技术扩散效应。</w:t>
      </w:r>
    </w:p>
    <w:p w14:paraId="06EF933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（二）发挥国有企业在现代化产业体系中的引领作用</w:t>
      </w:r>
    </w:p>
    <w:p w14:paraId="6D3061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现代化产业体系的构建是发展新质生产力的重要内容，通过科技创新助推产业创新，进而催生新产业、新模式和新动能以发展新质生产力。国有企业作为中国特色社会主义的重要物质基础和政治基础，在现代化产业体系建设中应该积极发挥引领支撑作用，助力新质生产力的大发展、大繁荣。</w:t>
      </w:r>
    </w:p>
    <w:p w14:paraId="3A5C9D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发挥国有企业现代产业链的“链长”作用，引领现代化产业体系建设。国有企业尤其是中央企业立足于全国全局的产业链，着力打造产业链领军型企业，以链带面、织链成网，助力构建具有完整性、先进性、安全性的现代化产业体系。具体来讲，一方面，国有企业需要用好自身的竞争优势，努力提高企业效益，同时需要逐步淘汰产业链落后环节，补足弱项，进而发挥产业链“链长”作用，引领产业链从中低端向中高端转移。2022年，16家国有领军企业完成强链补链项目投资1300多亿元，解决270余个产业链难点。</w:t>
      </w:r>
      <w:r>
        <w:rPr>
          <w:rStyle w:val="20"/>
          <w:rFonts w:hint="eastAsia" w:ascii="宋体" w:hAnsi="宋体" w:eastAsia="宋体" w:cs="宋体"/>
          <w:kern w:val="2"/>
          <w:sz w:val="24"/>
          <w:szCs w:val="21"/>
          <w:lang w:val="en-US" w:eastAsia="zh-CN" w:bidi="ar-SA"/>
        </w:rPr>
        <w:footnoteReference w:id="949"/>
      </w:r>
      <w:r>
        <w:rPr>
          <w:rFonts w:hint="eastAsia"/>
          <w:sz w:val="24"/>
          <w:lang w:val="en-US" w:eastAsia="zh-CN"/>
        </w:rPr>
        <w:t>另一方面，国有企业发挥“链长”作用，紧密联系上下游企业，通过协调配置整个产业链上各种要素和资源，进行联合技术攻关，从而不断突破关键核心技术领域。</w:t>
      </w:r>
    </w:p>
    <w:p w14:paraId="037AFB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引领传统产业转型升级。国有企业主要分布的传统制造业领域是国民经济的主体，比如中央企业超过70%的资产集中在石油化工、冶金矿业等传统产业，党的十八大以来，专业化整合成为中央企业推进传统产业转型升级的重要手段，累计有27组49家中央企业实施战略性重组和专业化整合，落后产能加快淘汰，非主业、非优势业务和低效无效资产有序退出。</w:t>
      </w:r>
      <w:r>
        <w:rPr>
          <w:rStyle w:val="20"/>
          <w:rFonts w:hint="eastAsia" w:ascii="宋体" w:hAnsi="宋体" w:eastAsia="宋体" w:cs="宋体"/>
          <w:kern w:val="2"/>
          <w:sz w:val="24"/>
          <w:szCs w:val="21"/>
          <w:lang w:val="en-US" w:eastAsia="zh-CN" w:bidi="ar-SA"/>
        </w:rPr>
        <w:footnoteReference w:id="950"/>
      </w:r>
      <w:r>
        <w:rPr>
          <w:rFonts w:hint="eastAsia"/>
          <w:sz w:val="24"/>
          <w:lang w:val="en-US" w:eastAsia="zh-CN"/>
        </w:rPr>
        <w:t>因此，需要国有企业从智能化、绿色化和融合化三个方面着手，加快技术改造和设备升级，优化重大生产力布局，持续推进传统产业优化升级，全面提升我国产业基础高级化和产业链现代化水平。</w:t>
      </w:r>
    </w:p>
    <w:p w14:paraId="3CA7F7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最后，带动战略性新兴产业集群化发展。战略性新兴产业在建设现代化产业体系中扮演着十分重要的角色，也是发展新质生产力的主要载体。近年来，国有企业不断加强在战略新兴产业中的布局，数据显示，2018年到2022年，中央企业在战略新兴产业领域的投资由0.7万亿元增长至1.5万亿元，占全部投资比重由12.8%提升到27%，投资规模增长115.2%，年均增长28%。</w:t>
      </w:r>
      <w:r>
        <w:rPr>
          <w:rStyle w:val="20"/>
          <w:rFonts w:hint="eastAsia" w:ascii="宋体" w:hAnsi="宋体" w:eastAsia="宋体" w:cs="宋体"/>
          <w:kern w:val="2"/>
          <w:sz w:val="24"/>
          <w:szCs w:val="21"/>
          <w:lang w:val="en-US" w:eastAsia="zh-CN" w:bidi="ar-SA"/>
        </w:rPr>
        <w:footnoteReference w:id="951"/>
      </w:r>
      <w:r>
        <w:rPr>
          <w:rFonts w:hint="eastAsia"/>
          <w:sz w:val="24"/>
          <w:lang w:val="en-US" w:eastAsia="zh-CN"/>
        </w:rPr>
        <w:t>2023年上半年，中央企业在战略性新兴产业完成投资同比增长超过40%，在全部投资中的占比超过四分之一，主要覆盖新一代移动通信、人工智能、生物技术、新材料等15个重点产业领域方向。</w:t>
      </w:r>
      <w:r>
        <w:rPr>
          <w:rStyle w:val="20"/>
          <w:rFonts w:hint="eastAsia" w:ascii="宋体" w:hAnsi="宋体" w:eastAsia="宋体" w:cs="宋体"/>
          <w:kern w:val="2"/>
          <w:sz w:val="24"/>
          <w:szCs w:val="21"/>
          <w:lang w:val="en-US" w:eastAsia="zh-CN" w:bidi="ar-SA"/>
        </w:rPr>
        <w:footnoteReference w:id="952"/>
      </w:r>
    </w:p>
    <w:p w14:paraId="63D4FCF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（三）发挥国有企业在国家经济安全中的保障作用</w:t>
      </w:r>
    </w:p>
    <w:p w14:paraId="24E14D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发展新质生产力，首要的是以关键性颠覆性技术为抓手，提升产业链供应链韧性和安全水平，保证产业体系自主可控、安全可靠，降低产业对外依赖所引发的经济安全风险。国有企业作为中国共产党长期稳定执政的经济基础，也是推动发展新质生产力和实现中国式现代化的坚强后盾，同时，国有企业在关系国家安全和国计民生领域发挥着不可替代的作用，长期以来，为我国发展打下了重要的物质基础，是经济独立和国家安全的坚强保障者。</w:t>
      </w:r>
    </w:p>
    <w:p w14:paraId="2BDAE4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首先，发挥国有企业对国家经济安全的战略支撑作用，突破“卡脖子”风险。当前，中国经济发展正在面临复杂严峻的外部形势，以美国为首的西方国家为遏制中国的发展，在高端芯片、核心算法和工业母机等关键领域与中国实行“硬脱钩”，比如在中美贸易战中，以华为和中兴为代表的中国高科技企业被限制使用美国技术和关键元器件等，对中国相关企业造成严重冲击，进而影响到我国产业链和经济结构安全。习近平总书记强调：“关键核心技术是要不来、买不来、讨不来的”</w:t>
      </w:r>
      <w:r>
        <w:rPr>
          <w:rStyle w:val="20"/>
          <w:rFonts w:hint="eastAsia" w:ascii="宋体" w:hAnsi="宋体" w:eastAsia="宋体" w:cs="宋体"/>
          <w:sz w:val="24"/>
          <w:szCs w:val="21"/>
          <w:lang w:val="en-US" w:eastAsia="zh-CN"/>
        </w:rPr>
        <w:footnoteReference w:id="953"/>
      </w:r>
      <w:r>
        <w:rPr>
          <w:rFonts w:hint="eastAsia"/>
          <w:sz w:val="24"/>
          <w:lang w:val="en-US" w:eastAsia="zh-CN"/>
        </w:rPr>
        <w:t>。因此，国有企业有责任和使命承担起这些“卡脖子”的关键核心技术的攻关，突破西方国家的技术垄断，确保国家经济主权安全。近年来，国有企业不断加强技术研发，创新效率和质量不断提升，一批有国际影响力的科技创新成果不断涌现。</w:t>
      </w:r>
    </w:p>
    <w:p w14:paraId="57297EB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其次，发挥国有企业在国家经济安全中的保障作用，有效应对外资的垄断与扩张，保护我国重要产业的安全。随着经济全球化的不断深入，我国处在大型跨国公司建构的资本全球化环境之中，经济安全面临严峻的内外形势。根据相关统计数据，在国内28个主要行业中，有21个是由外资控股的，已经对外开放的各个产业的前五名也均由外资控制。</w:t>
      </w:r>
      <w:r>
        <w:rPr>
          <w:rStyle w:val="20"/>
          <w:rFonts w:hint="eastAsia" w:ascii="宋体" w:hAnsi="宋体" w:eastAsia="宋体" w:cs="宋体"/>
          <w:sz w:val="24"/>
          <w:szCs w:val="21"/>
          <w:lang w:val="en-US" w:eastAsia="zh-CN"/>
        </w:rPr>
        <w:footnoteReference w:id="954"/>
      </w:r>
      <w:r>
        <w:rPr>
          <w:rFonts w:hint="eastAsia"/>
          <w:sz w:val="24"/>
          <w:lang w:val="en-US" w:eastAsia="zh-CN"/>
        </w:rPr>
        <w:t>为防止大型跨国公司和国际金融资本操控我国的重要产业，应该发挥大型国有企业在维护经济安全中的中流砥柱作用，做强做优做大国有企业和国有资本，才能真正促进我国经济稳定、经济安全和国民福利。</w:t>
      </w:r>
    </w:p>
    <w:p w14:paraId="318203C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6579124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五、国有企业引领和主导新质生产力发展的实践路径</w:t>
      </w:r>
    </w:p>
    <w:p w14:paraId="5B0F8BA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现实实践中，国有企业引领新质生产力发展是一项系统而复杂的工作，既要发挥原创技术策源地作用，着力攻克核心技术；又要优化产业布局，加快形成形成以新产业为主导的现代化产业体系；同时做强做优做大国有企业和国有资本，不断提高国际竞争力。</w:t>
      </w:r>
    </w:p>
    <w:p w14:paraId="69737A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（一）深入实施创新驱动发展战略，加强核心技术攻关</w:t>
      </w:r>
    </w:p>
    <w:p w14:paraId="74FB19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加快形成新质生产力，客观要求国有企业必须要打好关键技术攻坚战，必须以国家战略需求为导向，加快实施创新驱动发展战略，集中力量攻克“卡脖子”技术，加快实现高水平科技自立自强。</w:t>
      </w:r>
    </w:p>
    <w:p w14:paraId="08E7783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是建立和完善国有企业科技创新容错机制和激励机制。国有企业进行科技创新必须要解决创新风险与现实考核的核心矛盾。一方面，发展新质生产力所需要的原创新和颠覆性的技术创新大都是高投入、高风险和长周期的创新，往往持续时间很长，才可能取得相应的创新成果，同时也存在巨大的失败风险。另一方面，国有企业领导在有限的任期内往往有相应的业绩考核，而且是作为主要的晋升依据，因此，一般的国有企业领导往往倾向于投资周期短、成功率高的科技创新项目。面对这种情况，应该深化国有企业科技创新的体制机制改革，加快完善国有企业经营者的容错免责机制，营造鼓励创新、宽容失败的创新生态系统。同时，建立针对国有企业领导者选拔任用制度和经营绩效考核评价机制，在考核中纳入研发投入与创新绩效等反映科技创新的指标，并对国有企业科研投入和产出进行分类考核，同时在薪酬制度和激励制度中突出创新导向。</w:t>
      </w:r>
    </w:p>
    <w:p w14:paraId="4078AF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是加快整合创新资源和要素。新质生产力的形成需要以核心技术的突破性创新为前提，这就离不开重大科技项目攻关。重大科技项目攻关任务往往具有很高的复杂性和综合性，仅仅依靠一个部门、一个单位、一家企业都很难完成。因此，要完成这一重大任务，就需要国有企业发挥组织优势，最大程度地集中与创新相关的资源和要素，协同各方力量攻克战略性、基础性、原创性、颠覆性的技术难题。为进一步加快形成新质生产力，国有企业努力成为新型举国体制的技术攻关平台，协调各个公共部门（高校、科研机构、国家实验室等）和各类要素资源，各方协同行动，合力攻坚。</w:t>
      </w:r>
    </w:p>
    <w:p w14:paraId="299837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三是积极培育和吸引科技创新人才。科技创新人才是新质生产力发展的基本要素和根本动力，培育新质生产力最为关键的就是人的转型，培养新型劳动者人才队伍，同时，建立与新质生产力发展相匹配的人才培养、评价、激励和引进体系</w:t>
      </w:r>
      <w:r>
        <w:rPr>
          <w:rStyle w:val="20"/>
          <w:rFonts w:hint="eastAsia" w:ascii="宋体" w:hAnsi="宋体" w:eastAsia="宋体" w:cs="宋体"/>
          <w:kern w:val="2"/>
          <w:sz w:val="24"/>
          <w:szCs w:val="21"/>
          <w:lang w:val="en-US" w:eastAsia="zh-CN" w:bidi="ar-SA"/>
        </w:rPr>
        <w:footnoteReference w:id="955"/>
      </w:r>
      <w:r>
        <w:rPr>
          <w:rFonts w:hint="eastAsia"/>
          <w:sz w:val="24"/>
          <w:lang w:val="en-US" w:eastAsia="zh-CN"/>
        </w:rPr>
        <w:t>。一方面，提高国有企业已有劳动者素质，培养符合新质生产力发展的新型劳动者。不断完善国有企业劳动者职业技能和教育培训体系，通过为劳动者创新创造提供培养条件和良好生态、塑造劳动者的新思维</w:t>
      </w:r>
      <w:r>
        <w:rPr>
          <w:rStyle w:val="20"/>
          <w:rFonts w:hint="eastAsia" w:ascii="宋体" w:hAnsi="宋体" w:eastAsia="宋体" w:cs="宋体"/>
          <w:kern w:val="2"/>
          <w:sz w:val="24"/>
          <w:szCs w:val="21"/>
          <w:lang w:val="en-US" w:eastAsia="zh-CN" w:bidi="ar-SA"/>
        </w:rPr>
        <w:footnoteReference w:id="956"/>
      </w:r>
      <w:r>
        <w:rPr>
          <w:rFonts w:hint="eastAsia"/>
          <w:sz w:val="24"/>
          <w:lang w:val="en-US" w:eastAsia="zh-CN"/>
        </w:rPr>
        <w:t>、提高劳动者的知识素养和职业技能等方式来逐步激发创新潜能和培养创新能力。另一方面，推进科技人才队伍建设，加大人才吸引力度。国有企业应该建立起更为完善的人才管理制度，制定更为稳定和开放的引才政策，以便进一步从世界范围内吸引更多高水平和高层次的科研创新人才和战略型科学家。</w:t>
      </w:r>
    </w:p>
    <w:p w14:paraId="69CAEF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（二）优化国有企业产业布局结构，加快形成以新兴产业和未来产业为引领的现代化产业体系</w:t>
      </w:r>
    </w:p>
    <w:p w14:paraId="6DFEF3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战略性新兴产业和未来产业是发展新质生产力的产业载体，加快形成以新兴产业为引领的现代化产业体系，对加快形成新质生产力尤为重要。国有企业作为构建现代化产业体系的主力军，亟需通过进一步优化产业布局、推动传统产业转型升级来构建现代化产业体系，进而助力新质生产力形成。</w:t>
      </w:r>
    </w:p>
    <w:p w14:paraId="658168C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是加快布局战略性新兴产业和未来产业。从国有企业的的传统布局来看，我国国有资本主要集中在重化工业，十八大之后，国有企业加快布局优化调整，取得了显著成效。为进一步助力新质生产力发展，应该推动国有企业和国有资本加快布局新一代信息技术、高端装备制造、新材料、生物技术、新能源、节能环保、数字创意等战略新兴产业和类脑智能、量子信息、基因技术、未来网络、深海空天开发、氢能和储能等未来产业。一方面，加强核心技术研发和新技术、新产业所需基础设施建设；另一方面，通过国有资本并购重组，发展公有资本控股的混合所有制经济，增强国有资本在新产业的控制力，尽快培养一批有国际竞争力和影响力的产业集群。</w:t>
      </w:r>
    </w:p>
    <w:p w14:paraId="51B453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是加快实现传统产业转型升级。新质生产力的形成过程既是新产业的形成过程，也是传统产业转型升级的过程。我国传统产业尤其是制造业大都是国有企业，因此，需要加快实现国有企业数字化转型，推动传统产业与新技术深度融合，将新技术、新科技融入到生产、管理、流通等各个环节中去，引领传统产业向技术先进、产品高端升级。</w:t>
      </w:r>
      <w:r>
        <w:rPr>
          <w:rStyle w:val="20"/>
          <w:rFonts w:hint="eastAsia" w:ascii="宋体" w:hAnsi="宋体" w:eastAsia="宋体" w:cs="宋体"/>
          <w:sz w:val="24"/>
          <w:szCs w:val="21"/>
          <w:lang w:val="en-US" w:eastAsia="zh-CN"/>
        </w:rPr>
        <w:footnoteReference w:id="957"/>
      </w:r>
      <w:r>
        <w:rPr>
          <w:rFonts w:hint="eastAsia"/>
          <w:sz w:val="24"/>
          <w:lang w:val="en-US" w:eastAsia="zh-CN"/>
        </w:rPr>
        <w:t>另外，在传统产业数字化转型升级的同时，加快推进战略性新兴产业与传统产业交叉融合发展，发挥国有企业的引领作用，强化资源共享和联合开发，畅通资金、信息、产品和数据流动，形成新兴产业与传统产业协同发展的生态网络。</w:t>
      </w:r>
      <w:r>
        <w:rPr>
          <w:rStyle w:val="20"/>
          <w:rFonts w:hint="eastAsia" w:ascii="宋体" w:hAnsi="宋体" w:eastAsia="宋体" w:cs="宋体"/>
          <w:sz w:val="24"/>
          <w:szCs w:val="21"/>
          <w:lang w:val="en-US" w:eastAsia="zh-CN"/>
        </w:rPr>
        <w:footnoteReference w:id="958"/>
      </w:r>
    </w:p>
    <w:p w14:paraId="7F823B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（三）做强做优做大国有企业和国有资本，提高国际竞争力</w:t>
      </w:r>
    </w:p>
    <w:p w14:paraId="77BFC0C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全球化的历史经验表明，造就全球竞争力的世界一流企业，是新质生产力形成的关键主体。为此，必须做强做优做大国有企业和国有资本，培育新型国有控股公司，发展国有资本控股的混合所有制经济，加强国有企事业在新质生产力及其产学研联盟的有效投资和在国内外的战略布局</w:t>
      </w:r>
    </w:p>
    <w:p w14:paraId="351EAF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一是培育国有资本控股、控技（核心技术）、控牌（品牌）、控链（产业链、供应链和价值链）的“四控型”跨国公司。</w:t>
      </w:r>
      <w:r>
        <w:rPr>
          <w:rStyle w:val="20"/>
          <w:rFonts w:hint="eastAsia" w:ascii="宋体" w:hAnsi="宋体" w:eastAsia="宋体" w:cs="宋体"/>
          <w:kern w:val="2"/>
          <w:sz w:val="24"/>
          <w:szCs w:val="21"/>
          <w:lang w:val="en-US" w:eastAsia="zh-CN" w:bidi="ar-SA"/>
        </w:rPr>
        <w:footnoteReference w:id="959"/>
      </w:r>
      <w:r>
        <w:rPr>
          <w:rFonts w:hint="eastAsia"/>
          <w:sz w:val="24"/>
          <w:lang w:val="en-US" w:eastAsia="zh-CN"/>
        </w:rPr>
        <w:t>国有企业是参与国际竞争的重要力量，其科技创新和技术进步水平是影响其国际竞争能力的决定性因素。2023年世界500强中，共有97家国有企业上榜，</w:t>
      </w:r>
      <w:r>
        <w:rPr>
          <w:rStyle w:val="20"/>
          <w:rFonts w:hint="eastAsia" w:ascii="宋体" w:hAnsi="宋体" w:eastAsia="宋体" w:cs="宋体"/>
          <w:kern w:val="2"/>
          <w:sz w:val="24"/>
          <w:szCs w:val="21"/>
          <w:lang w:val="en-US" w:eastAsia="zh-CN" w:bidi="ar-SA"/>
        </w:rPr>
        <w:footnoteReference w:id="960"/>
      </w:r>
      <w:r>
        <w:rPr>
          <w:rFonts w:hint="eastAsia"/>
          <w:sz w:val="24"/>
          <w:lang w:val="en-US" w:eastAsia="zh-CN"/>
        </w:rPr>
        <w:t>参与国际竞争的国有企业日渐增多，但总体上与美国和日本等强国相比，在生产经营集中度、核心技术和世界名牌等方面尚有相当差距，因而国有企业必须适应我国引领公正的经济全球化发展、共同塑造国际经济新秩序和国家经济安全的新形势需要，认清单纯比较优势的缺陷，充分发挥自主知识产权优势和国有平台，打造一大批具有自主知识产权的国际知名品牌，加快培育一批具有强大国际竞争力的跨国公司和综合商社</w:t>
      </w:r>
      <w:r>
        <w:rPr>
          <w:rStyle w:val="20"/>
          <w:rFonts w:hint="eastAsia" w:ascii="宋体" w:hAnsi="宋体" w:eastAsia="宋体" w:cs="宋体"/>
          <w:kern w:val="2"/>
          <w:sz w:val="24"/>
          <w:szCs w:val="21"/>
          <w:lang w:val="en-US" w:eastAsia="zh-CN" w:bidi="ar-SA"/>
        </w:rPr>
        <w:footnoteReference w:id="961"/>
      </w:r>
      <w:r>
        <w:rPr>
          <w:rFonts w:hint="eastAsia"/>
          <w:sz w:val="24"/>
          <w:lang w:val="en-US" w:eastAsia="zh-CN"/>
        </w:rPr>
        <w:t>。</w:t>
      </w:r>
    </w:p>
    <w:p w14:paraId="7A97406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二是重点推动和发展国有资本控股的混合所有制经济。发展新质生产力必须要着力攻克核心关键技术，保障国家经济独立自主和国家经济安全。因此，国有资本不仅要在关乎国家经济安全的重要行业和领域居于主导地位，在发展新质生产力所需要进行的重大科技创新和新兴产业方面，也应该重点发展公有资本控股的混合所有制企业及其重要平台，这样可以通过国有企业强大的资金、技术和人才优势为重大科技创新提供更稳定的保障，同时也能使产业链中的国有企业、集体企业、合作企业和民营企业优势互补共同发展。</w:t>
      </w:r>
    </w:p>
    <w:p w14:paraId="3855291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3E7477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lang w:val="en-US" w:eastAsia="zh-CN"/>
        </w:rPr>
      </w:pPr>
      <w:r>
        <w:rPr>
          <w:rFonts w:hint="eastAsia"/>
          <w:b/>
          <w:bCs/>
          <w:sz w:val="24"/>
          <w:lang w:val="en-US" w:eastAsia="zh-CN"/>
        </w:rPr>
        <w:t>六、尾论：国有企业的历史和现实贡献不容否定</w:t>
      </w:r>
    </w:p>
    <w:p w14:paraId="703F035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新中国成立75年来，国有企业为推动中国科技进步</w:t>
      </w:r>
      <w:r>
        <w:rPr>
          <w:rFonts w:hint="eastAsia"/>
          <w:sz w:val="24"/>
          <w:lang w:val="en-US" w:eastAsia="zh-CN"/>
        </w:rPr>
        <w:t>和国计民生</w:t>
      </w:r>
      <w:r>
        <w:rPr>
          <w:rFonts w:hint="eastAsia"/>
          <w:sz w:val="24"/>
        </w:rPr>
        <w:t>改善作出了历史性</w:t>
      </w:r>
      <w:r>
        <w:rPr>
          <w:rFonts w:hint="eastAsia"/>
          <w:sz w:val="24"/>
          <w:lang w:val="en-US" w:eastAsia="zh-CN"/>
        </w:rPr>
        <w:t>重大</w:t>
      </w:r>
      <w:r>
        <w:rPr>
          <w:rFonts w:hint="eastAsia"/>
          <w:sz w:val="24"/>
        </w:rPr>
        <w:t>贡献。</w:t>
      </w:r>
      <w:r>
        <w:rPr>
          <w:rFonts w:hint="eastAsia"/>
          <w:sz w:val="24"/>
          <w:lang w:val="en-US" w:eastAsia="zh-CN"/>
        </w:rPr>
        <w:t>改革开放前</w:t>
      </w:r>
      <w:r>
        <w:rPr>
          <w:rFonts w:hint="eastAsia"/>
          <w:sz w:val="24"/>
        </w:rPr>
        <w:t>，面对</w:t>
      </w:r>
      <w:r>
        <w:rPr>
          <w:rFonts w:hint="eastAsia"/>
          <w:sz w:val="24"/>
          <w:lang w:val="en-US" w:eastAsia="zh-CN"/>
        </w:rPr>
        <w:t>资本主义国家的</w:t>
      </w:r>
      <w:r>
        <w:rPr>
          <w:rFonts w:hint="eastAsia"/>
          <w:sz w:val="24"/>
        </w:rPr>
        <w:t>封锁，</w:t>
      </w:r>
      <w:r>
        <w:rPr>
          <w:rFonts w:hint="eastAsia"/>
          <w:sz w:val="24"/>
          <w:lang w:val="en-US" w:eastAsia="zh-CN"/>
        </w:rPr>
        <w:t>在苏联的大力支援下，我国国有企事业单位的</w:t>
      </w:r>
      <w:r>
        <w:rPr>
          <w:rFonts w:hint="eastAsia"/>
          <w:sz w:val="24"/>
        </w:rPr>
        <w:t>广大科技工作者</w:t>
      </w:r>
      <w:r>
        <w:rPr>
          <w:rFonts w:hint="eastAsia"/>
          <w:sz w:val="24"/>
          <w:lang w:val="en-US" w:eastAsia="zh-CN"/>
        </w:rPr>
        <w:t>响应党中央</w:t>
      </w:r>
      <w:r>
        <w:rPr>
          <w:rFonts w:hint="eastAsia"/>
          <w:sz w:val="24"/>
          <w:lang w:eastAsia="zh-CN"/>
        </w:rPr>
        <w:t>“</w:t>
      </w:r>
      <w:r>
        <w:rPr>
          <w:rFonts w:hint="eastAsia"/>
          <w:sz w:val="24"/>
          <w:lang w:val="en-US" w:eastAsia="zh-CN"/>
        </w:rPr>
        <w:t>向科学进军</w:t>
      </w:r>
      <w:r>
        <w:rPr>
          <w:rFonts w:hint="eastAsia"/>
          <w:sz w:val="24"/>
          <w:lang w:eastAsia="zh-CN"/>
        </w:rPr>
        <w:t>”</w:t>
      </w:r>
      <w:r>
        <w:rPr>
          <w:rFonts w:hint="eastAsia"/>
          <w:sz w:val="24"/>
          <w:lang w:val="en-US" w:eastAsia="zh-CN"/>
        </w:rPr>
        <w:t>的号召</w:t>
      </w:r>
      <w:r>
        <w:rPr>
          <w:rFonts w:hint="eastAsia"/>
          <w:sz w:val="24"/>
        </w:rPr>
        <w:t>，</w:t>
      </w:r>
      <w:r>
        <w:rPr>
          <w:rFonts w:hint="eastAsia"/>
          <w:sz w:val="24"/>
          <w:lang w:val="en-US" w:eastAsia="zh-CN"/>
        </w:rPr>
        <w:t>为迅速初步建成独立的工业体系和国民经济体系立下了汗马功劳，</w:t>
      </w:r>
      <w:r>
        <w:rPr>
          <w:rFonts w:hint="eastAsia"/>
          <w:sz w:val="24"/>
        </w:rPr>
        <w:t>一批追赶世界水平的首创成果振奋人心，其中“两弹一星</w:t>
      </w:r>
      <w:r>
        <w:rPr>
          <w:rFonts w:hint="eastAsia"/>
          <w:sz w:val="24"/>
          <w:lang w:val="en-US" w:eastAsia="zh-CN"/>
        </w:rPr>
        <w:t>一艇一机</w:t>
      </w:r>
      <w:r>
        <w:rPr>
          <w:rFonts w:hint="eastAsia"/>
          <w:sz w:val="24"/>
        </w:rPr>
        <w:t>”</w:t>
      </w:r>
      <w:r>
        <w:rPr>
          <w:rFonts w:hint="eastAsia"/>
          <w:sz w:val="24"/>
          <w:lang w:eastAsia="zh-CN"/>
        </w:rPr>
        <w:t>（</w:t>
      </w:r>
      <w:r>
        <w:rPr>
          <w:rFonts w:hint="eastAsia"/>
          <w:sz w:val="24"/>
          <w:lang w:val="en-US" w:eastAsia="zh-CN"/>
        </w:rPr>
        <w:t>核潜艇、大飞机</w:t>
      </w:r>
      <w:r>
        <w:rPr>
          <w:rFonts w:hint="eastAsia"/>
          <w:sz w:val="24"/>
          <w:lang w:eastAsia="zh-CN"/>
        </w:rPr>
        <w:t>）</w:t>
      </w:r>
      <w:r>
        <w:rPr>
          <w:rFonts w:hint="eastAsia"/>
          <w:sz w:val="24"/>
        </w:rPr>
        <w:t>成为新中国科技</w:t>
      </w:r>
      <w:r>
        <w:rPr>
          <w:rFonts w:hint="eastAsia"/>
          <w:sz w:val="24"/>
          <w:lang w:val="en-US" w:eastAsia="zh-CN"/>
        </w:rPr>
        <w:t>和新质生产力</w:t>
      </w:r>
      <w:r>
        <w:rPr>
          <w:rFonts w:hint="eastAsia"/>
          <w:sz w:val="24"/>
        </w:rPr>
        <w:t>发展的一座历史丰碑。</w:t>
      </w:r>
    </w:p>
    <w:p w14:paraId="0D590D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十八大以来，全国国资系统监管企业资产总额从2012年的71.4万亿元增长到2023年的317.1万亿元，利润总额从2012年的2万亿元增长到2023年的4.5万亿元，规模实力和质量效益明显提升。2013年以来，中央企业累计上缴税费超过20万亿元，上交国有资本收益1.5万亿元，向社保基金划转国有资本1.2万亿元；坚决助力打赢脱贫攻坚战，累计投入和引进帮扶资金超过千亿元。“十三五”期间中央企业研发投入年均增长14.5%，过去两年研发投入均超过万亿元。截至目前，中央企业对外参股投资各类企业超过1.3万户；央企直接带动的供应链上下游200多万户企业中，96%是民营中小企业。近年来，国资央企聚焦工业母机、工业软件等重要领域，组织百万科研人员投身攻关一线，有力维护了产业链供应链稳定；在量子信息、深空深地深海等领域建设97个原创技术策源地，实施“加强应用基础研究”等11个专项行动，在可控核聚变等前沿领域不断实现突破。</w:t>
      </w:r>
      <w:r>
        <w:rPr>
          <w:rStyle w:val="20"/>
          <w:rFonts w:hint="eastAsia" w:ascii="宋体" w:hAnsi="宋体" w:eastAsia="宋体" w:cs="宋体"/>
          <w:b w:val="0"/>
          <w:bCs w:val="0"/>
          <w:i w:val="0"/>
          <w:iCs w:val="0"/>
          <w:caps w:val="0"/>
          <w:color w:val="404040"/>
          <w:spacing w:val="0"/>
          <w:sz w:val="24"/>
          <w:szCs w:val="21"/>
        </w:rPr>
        <w:footnoteReference w:id="962"/>
      </w:r>
    </w:p>
    <w:p w14:paraId="2E300C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作为国资委发展的案例和缩影，值得提倡和借鉴的是深圳市“国资委模式”。该市国资委坚决贯彻落实习近平总书记关于做强做优做大国企国资的相关讲话精神，推动深圳国资国企全面深化改革和发展壮大，破除国有企业不能投资所谓竞争性领域的新自由主义误区（新加坡谈马锡国有上市公司是投资和控股某些竞争性领域企业的），使综合实力不断提升。截至2023年底，深圳市属企业总资产达到5.1万亿元，年上缴税金超千亿</w:t>
      </w:r>
      <w:r>
        <w:rPr>
          <w:rStyle w:val="20"/>
          <w:rFonts w:hint="eastAsia" w:ascii="宋体" w:hAnsi="宋体" w:eastAsia="宋体" w:cs="宋体"/>
          <w:kern w:val="2"/>
          <w:sz w:val="24"/>
          <w:szCs w:val="21"/>
          <w:lang w:val="en-US" w:eastAsia="zh-CN" w:bidi="ar-SA"/>
        </w:rPr>
        <w:footnoteReference w:id="963"/>
      </w:r>
      <w:r>
        <w:rPr>
          <w:rFonts w:hint="eastAsia"/>
          <w:sz w:val="24"/>
          <w:lang w:val="en-US" w:eastAsia="zh-CN"/>
        </w:rPr>
        <w:t>，拥有上市公司37家，资产证券化率60.8%</w:t>
      </w:r>
      <w:r>
        <w:rPr>
          <w:rStyle w:val="20"/>
          <w:rFonts w:hint="eastAsia" w:ascii="宋体" w:hAnsi="宋体" w:eastAsia="宋体" w:cs="宋体"/>
          <w:kern w:val="2"/>
          <w:sz w:val="24"/>
          <w:szCs w:val="21"/>
          <w:lang w:val="en-US" w:eastAsia="zh-CN" w:bidi="ar-SA"/>
        </w:rPr>
        <w:footnoteReference w:id="964"/>
      </w:r>
      <w:r>
        <w:rPr>
          <w:rFonts w:hint="eastAsia"/>
          <w:sz w:val="24"/>
          <w:lang w:val="en-US" w:eastAsia="zh-CN"/>
        </w:rPr>
        <w:t>。在发展新质生产力的大背景下，深圳市属国企不断加大对科技创新的考核权重，引导企业加大科技创新投入，仅2024年上半年，市属企业实现研发投入79.1亿元，同比增长147.2%</w:t>
      </w:r>
      <w:r>
        <w:rPr>
          <w:rStyle w:val="20"/>
          <w:rFonts w:hint="eastAsia" w:ascii="宋体" w:hAnsi="宋体" w:eastAsia="宋体" w:cs="宋体"/>
          <w:kern w:val="2"/>
          <w:sz w:val="24"/>
          <w:szCs w:val="21"/>
          <w:lang w:val="en-US" w:eastAsia="zh-CN" w:bidi="ar-SA"/>
        </w:rPr>
        <w:footnoteReference w:id="965"/>
      </w:r>
      <w:r>
        <w:rPr>
          <w:rFonts w:hint="eastAsia"/>
          <w:sz w:val="24"/>
          <w:lang w:val="en-US" w:eastAsia="zh-CN"/>
        </w:rPr>
        <w:t>。同时，深圳国资委对标新加坡淡马锡模式，提出并实施“大国资”战略，通过“耐心资本”扶持科创企业成长，为传统产业升级、战略新兴产业壮大和未来产业培育提供了强大的资金支持，数据显示，深圳国资委旗下的深创投聚焦新质生产力项目，共投资以先进制造业为骨干的“20+8”重点产业集群项目超过2800个</w:t>
      </w:r>
      <w:r>
        <w:rPr>
          <w:rStyle w:val="20"/>
          <w:rFonts w:hint="eastAsia" w:ascii="宋体" w:hAnsi="宋体" w:eastAsia="宋体" w:cs="宋体"/>
          <w:kern w:val="2"/>
          <w:sz w:val="24"/>
          <w:szCs w:val="21"/>
          <w:lang w:val="en-US" w:eastAsia="zh-CN" w:bidi="ar-SA"/>
        </w:rPr>
        <w:footnoteReference w:id="966"/>
      </w:r>
      <w:r>
        <w:rPr>
          <w:rFonts w:hint="eastAsia"/>
          <w:sz w:val="24"/>
          <w:lang w:val="en-US" w:eastAsia="zh-CN"/>
        </w:rPr>
        <w:t>，有力推动了新质生产力发展。因此，各地国资委应该学习深圳市国资委的成功经验，主动出击，推动国有资本向发展新质生产力相关产业布局，尤其要重点发展国有资本控股、控技（核心技术）、控牌（品牌）、控链（产业链、供应链和价值链）的混合所有制企业集团跨国公司，才能在发展新质生产力及其相关产业体系过程中有效应对国际高端竞争和保障国家经济安全。</w:t>
      </w:r>
    </w:p>
    <w:p w14:paraId="23E21D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简言之，新中国成立以来，国有企业（还有中国科学院、工程院等相关国有事业单位）“姓党为民”的经济政治本色和主导科技和新质生产力发展的作用始终彰显，党政部门在科技和新质生产力方面的立法、规划、政策、组织的作用始终彰显。历史一再证明，关键核心技术有钱买不来和市场换不来的，只能靠自力自主和举国体制。那种认为单纯实施比较优势政策就能实现科技领先和高质量发展，那种认为政府“不是新质生产力发展的组织者和实施者......，不是政府制定政策、出台规划、利用政府各类投融资平台直接投资去发展新兴产业或未来产业”观点，都是片面或错误的。</w:t>
      </w:r>
      <w:r>
        <w:rPr>
          <w:rStyle w:val="20"/>
          <w:rFonts w:hint="eastAsia" w:ascii="宋体" w:hAnsi="宋体" w:eastAsia="宋体" w:cs="宋体"/>
          <w:kern w:val="2"/>
          <w:sz w:val="24"/>
          <w:szCs w:val="21"/>
          <w:lang w:val="en-US" w:eastAsia="zh-CN" w:bidi="ar-SA"/>
        </w:rPr>
        <w:footnoteReference w:id="967"/>
      </w:r>
    </w:p>
    <w:p w14:paraId="0EEB497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9C5BF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151D00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5C903D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参考文献</w:t>
      </w:r>
    </w:p>
    <w:p w14:paraId="53EC47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7F39440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盖凯程、韩文龙：《新质生产力》，北京：中国社会科学出版社，2024年。</w:t>
      </w:r>
    </w:p>
    <w:p w14:paraId="0D0309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程恩富、罗玉辉：《论塑造与新质生产力相适应的新型生产关系——学习党的二十届三中全会精神的体会》，《思想理论教育导刊》2024年第8期。</w:t>
      </w:r>
    </w:p>
    <w:p w14:paraId="0DFEBB7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程恩富、陈健：《大力发展新质生产力 加速推进中国式现代化》，《当代经济研究》2023年第12期。</w:t>
      </w:r>
    </w:p>
    <w:p w14:paraId="246A2E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[4]程恩富：《新时代为什么要做强做优做大国有企业》，《世界社会主义研究》2018年第3期。</w:t>
      </w:r>
    </w:p>
    <w:p w14:paraId="71438A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[5]程恩富、侯为民：《做强做优做大国有企业与共产党执政》，《政治经济学评论》2015年第6期。</w:t>
      </w:r>
    </w:p>
    <w:p w14:paraId="7A464C1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[6]</w:t>
      </w:r>
      <w:r>
        <w:rPr>
          <w:rFonts w:hint="eastAsia"/>
          <w:sz w:val="24"/>
          <w:lang w:val="en-US" w:eastAsia="zh-CN"/>
        </w:rPr>
        <w:fldChar w:fldCharType="begin"/>
      </w:r>
      <w:r>
        <w:rPr>
          <w:rFonts w:hint="eastAsia"/>
          <w:sz w:val="24"/>
          <w:lang w:val="en-US" w:eastAsia="zh-CN"/>
        </w:rPr>
        <w:instrText xml:space="preserve"> HYPERLINK "https://kns.cnki.net/kcms2/author/detail?v=K-Um1AVqjsL5VX0an4V64nKSaNTq13JQfK14bTR_UmGEi2XChQQztC2Jig6vJhnJK3zu_EPL05MNxywLmujLt_FSk3qvD2ZHU43NUjzAhJrluF-Lp2PcSw==&amp;uniplatform=NZKPT&amp;language=CHS" \t "https://kns.cnki.net/nzkhtml/xmlRead/_blank" </w:instrText>
      </w:r>
      <w:r>
        <w:rPr>
          <w:rFonts w:hint="eastAsia"/>
          <w:sz w:val="24"/>
          <w:lang w:val="en-US" w:eastAsia="zh-CN"/>
        </w:rPr>
        <w:fldChar w:fldCharType="separate"/>
      </w:r>
      <w:r>
        <w:rPr>
          <w:rFonts w:hint="eastAsia"/>
          <w:sz w:val="24"/>
          <w:lang w:val="en-US" w:eastAsia="zh-CN"/>
        </w:rPr>
        <w:t>文魁</w:t>
      </w:r>
      <w:r>
        <w:rPr>
          <w:rFonts w:hint="eastAsia"/>
          <w:sz w:val="24"/>
          <w:lang w:val="en-US" w:eastAsia="zh-CN"/>
        </w:rPr>
        <w:fldChar w:fldCharType="end"/>
      </w:r>
      <w:r>
        <w:rPr>
          <w:rFonts w:hint="eastAsia"/>
          <w:sz w:val="24"/>
          <w:lang w:val="en-US" w:eastAsia="zh-CN"/>
        </w:rPr>
        <w:t>：《略谈新质生产力的新型生产关系》，《政治经济学研究》2024年第2期。[7]谢文帅、宋冬林：《</w:t>
      </w:r>
      <w:r>
        <w:rPr>
          <w:rFonts w:hint="eastAsia"/>
          <w:sz w:val="24"/>
          <w:lang w:val="en-US" w:eastAsia="zh-CN"/>
        </w:rPr>
        <w:fldChar w:fldCharType="begin"/>
      </w:r>
      <w:r>
        <w:rPr>
          <w:rFonts w:hint="eastAsia"/>
          <w:sz w:val="24"/>
          <w:lang w:val="en-US" w:eastAsia="zh-CN"/>
        </w:rPr>
        <w:instrText xml:space="preserve"> HYPERLINK "https://kns.cnki.net/kcms2/article/abstract?v=29axctaKF3xjJ90S9KsGK88G9bmeUVwZq6ut8Cb2YZuJH2BX1ak4a5u4gVT0YQ2FfH69q8NumLaJBm6dIvP08Bt4Dc_Gl-b5XPg1V28TGEQeEOY5aFv5fzCd72LnpxEaezlLY-4eNjNfvQTmz2PgUA==&amp;uniplatform=NZKPT&amp;language=CHS" \t "https://kns.cnki.net/kns8s/defaultresult/_blank" </w:instrText>
      </w:r>
      <w:r>
        <w:rPr>
          <w:rFonts w:hint="eastAsia"/>
          <w:sz w:val="24"/>
          <w:lang w:val="en-US" w:eastAsia="zh-CN"/>
        </w:rPr>
        <w:fldChar w:fldCharType="separate"/>
      </w:r>
      <w:r>
        <w:rPr>
          <w:rFonts w:hint="eastAsia"/>
          <w:sz w:val="24"/>
          <w:lang w:val="en-US" w:eastAsia="zh-CN"/>
        </w:rPr>
        <w:t>中央企业引领高水平科技自立自强：内在依据、核心要义与实践路径</w:t>
      </w:r>
      <w:r>
        <w:rPr>
          <w:rFonts w:hint="eastAsia"/>
          <w:sz w:val="24"/>
          <w:lang w:val="en-US" w:eastAsia="zh-CN"/>
        </w:rPr>
        <w:fldChar w:fldCharType="end"/>
      </w:r>
      <w:r>
        <w:rPr>
          <w:rFonts w:hint="eastAsia"/>
          <w:sz w:val="24"/>
          <w:lang w:val="en-US" w:eastAsia="zh-CN"/>
        </w:rPr>
        <w:t>》，《马克思主义与现实》2023年第6期。</w:t>
      </w:r>
    </w:p>
    <w:p w14:paraId="02F2372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[8]李政：《国有企业推进高水平科技自立自强的作用与机制路径》，《</w:t>
      </w:r>
      <w:r>
        <w:rPr>
          <w:rFonts w:hint="eastAsia"/>
          <w:sz w:val="24"/>
          <w:lang w:val="en-US" w:eastAsia="zh-CN"/>
        </w:rPr>
        <w:fldChar w:fldCharType="begin"/>
      </w:r>
      <w:r>
        <w:rPr>
          <w:rFonts w:hint="eastAsia"/>
          <w:sz w:val="24"/>
          <w:lang w:val="en-US" w:eastAsia="zh-CN"/>
        </w:rPr>
        <w:instrText xml:space="preserve"> HYPERLINK "https://kns.cnki.net/knavi/journals/KXXG/detail?uniplatform=NZKPT" \t "https://kns.cnki.net/kns8s/defaultresult/_blank" </w:instrText>
      </w:r>
      <w:r>
        <w:rPr>
          <w:rFonts w:hint="eastAsia"/>
          <w:sz w:val="24"/>
          <w:lang w:val="en-US" w:eastAsia="zh-CN"/>
        </w:rPr>
        <w:fldChar w:fldCharType="separate"/>
      </w:r>
      <w:r>
        <w:rPr>
          <w:rFonts w:hint="eastAsia"/>
          <w:sz w:val="24"/>
          <w:lang w:val="en-US" w:eastAsia="zh-CN"/>
        </w:rPr>
        <w:t>科学学与科学技术管理</w:t>
      </w:r>
      <w:r>
        <w:rPr>
          <w:rFonts w:hint="eastAsia"/>
          <w:sz w:val="24"/>
          <w:lang w:val="en-US" w:eastAsia="zh-CN"/>
        </w:rPr>
        <w:fldChar w:fldCharType="end"/>
      </w:r>
      <w:r>
        <w:rPr>
          <w:rFonts w:hint="eastAsia"/>
          <w:sz w:val="24"/>
          <w:lang w:val="en-US" w:eastAsia="zh-CN"/>
        </w:rPr>
        <w:t>》2023年第1期。</w:t>
      </w:r>
    </w:p>
    <w:p w14:paraId="4B7C63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[9]程恩富、刘美平：《以耐心资本助力新质生产力发展》，《光明日报》2024年6月25日。</w:t>
      </w:r>
    </w:p>
    <w:p w14:paraId="790ABB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247276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On State owned Enterprises Should Lead and Lead the Development of New Quality Productivity</w:t>
      </w:r>
    </w:p>
    <w:p w14:paraId="27C2F2A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Cheng Enfu  Wang Junxi</w:t>
      </w:r>
    </w:p>
    <w:p w14:paraId="7F314C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Abstract  Developing new quality productive forces is an important measure to consolidate the material and technological foundation for Chinese-style modernization and high-quality development. It is also a requirement of The Times to cope with increasingly fierce international competition and ensure national economic security. The development of new quality productivity always runs in a certain production relationship, and also needs to rely on the micro carrier of enterprise. The state-owned enterprises have the nature of national ownership of the means of production, strong comprehensive strength, and the leadership of the Party, which determines their responsibility and ability to lead and dominate the development of new quality productive forces. The key focus of state-owned enterprises to lead the development of new quality productivity is to break through major scientific and technological innovation, lead the construction of a modern industrial system, and ensure national economic security. In practical applications, it is necessary to deeply implement the innovation driven development strategy and strengthen the research and development of core technologies; Optimize the industrial layout structure of state-owned enterprises and accelerate the formation of a modern industrial system led by emerging and future industries; Strengthen, optimize, and expand state-owned enterprises and capital, develop "four control" state-owned multinational corporations, and enhance international high-end competitiveness.</w:t>
      </w:r>
    </w:p>
    <w:p w14:paraId="3D7D60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Key Words  State-Owned Enterprises；New Quality Productivity；Modern Industrial System；Advantages of independent intellectual property rights；Economic Security</w:t>
      </w:r>
    </w:p>
    <w:p w14:paraId="5E9591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5C2EA2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05ADD17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1A41B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宋树理,程恩富.世界经济论坛全球化影响力的政治经济学批判[J].政治经济学研究,2024,(04):85-98.</w:t>
      </w:r>
    </w:p>
    <w:p w14:paraId="534F42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刘长明,程恩富.管仲经济学论纲[J/OL].烟台大学学报(哲学社会科学版),1-15[2025-01-27]</w:t>
      </w:r>
    </w:p>
    <w:p w14:paraId="4B4769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程恩富.“东升西降”国际新格局与全球经济治理[J].世界社会主义研究,2024,9(11):11-13.</w:t>
      </w:r>
    </w:p>
    <w:p w14:paraId="1754DC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“东升西降”国际新格局与全球经济治理</w:t>
      </w:r>
    </w:p>
    <w:p w14:paraId="6F8C7E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程恩富</w:t>
      </w:r>
    </w:p>
    <w:p w14:paraId="531961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86BE8A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“东升西降”</w:t>
      </w:r>
      <w:r>
        <w:rPr>
          <w:rFonts w:hint="eastAsia"/>
          <w:sz w:val="24"/>
          <w:lang w:val="en-US" w:eastAsia="zh-CN"/>
        </w:rPr>
        <w:t>国际政治格局，主要展现为中俄伊等南方国家合作反霸、美西方逐渐衰落。而这一国际政治新格局是以国际</w:t>
      </w:r>
      <w:r>
        <w:rPr>
          <w:rFonts w:hint="eastAsia"/>
          <w:sz w:val="24"/>
        </w:rPr>
        <w:t>经济新格局</w:t>
      </w:r>
      <w:r>
        <w:rPr>
          <w:rFonts w:hint="eastAsia"/>
          <w:sz w:val="24"/>
          <w:lang w:val="en-US" w:eastAsia="zh-CN"/>
        </w:rPr>
        <w:t>为基础的。</w:t>
      </w:r>
      <w:r>
        <w:rPr>
          <w:rFonts w:hint="eastAsia"/>
          <w:sz w:val="24"/>
        </w:rPr>
        <w:t>2008年</w:t>
      </w:r>
      <w:r>
        <w:rPr>
          <w:rFonts w:hint="eastAsia"/>
          <w:sz w:val="24"/>
          <w:lang w:val="en-US" w:eastAsia="zh-CN"/>
        </w:rPr>
        <w:t>资本主义国际</w:t>
      </w:r>
      <w:r>
        <w:rPr>
          <w:rFonts w:hint="eastAsia"/>
          <w:sz w:val="24"/>
        </w:rPr>
        <w:t>金融危机、2022年俄乌冲突以来，国际经济新格局趋向为“东升西降”（与“西强东弱”的格局并存），即</w:t>
      </w:r>
      <w:r>
        <w:rPr>
          <w:rFonts w:hint="eastAsia"/>
          <w:sz w:val="24"/>
          <w:lang w:val="en-US" w:eastAsia="zh-CN"/>
        </w:rPr>
        <w:t>表现为以</w:t>
      </w:r>
      <w:r>
        <w:rPr>
          <w:rFonts w:hint="eastAsia"/>
          <w:sz w:val="24"/>
        </w:rPr>
        <w:t>七国集团为代表的美西方经济重要性和全球贡献GDP的占比下降，而</w:t>
      </w:r>
      <w:r>
        <w:rPr>
          <w:rFonts w:hint="eastAsia"/>
          <w:sz w:val="24"/>
          <w:lang w:val="en-US" w:eastAsia="zh-CN"/>
        </w:rPr>
        <w:t>以</w:t>
      </w:r>
      <w:r>
        <w:rPr>
          <w:rFonts w:hint="eastAsia"/>
          <w:sz w:val="24"/>
        </w:rPr>
        <w:t>中国、俄罗斯等金砖国家为代表的东方国家和南方国家经济重要性和全球贡献GDP的占比上升。</w:t>
      </w:r>
    </w:p>
    <w:p w14:paraId="10BFA6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2023年4月9 日，据英国宏观经济研究公司Acorn Macro Consulting最新公布的数据显示，在基于购买力平价的水平下，由世界5个主要发展中经济体组成的金砖国家集团</w:t>
      </w:r>
      <w:r>
        <w:rPr>
          <w:rFonts w:hint="eastAsia"/>
          <w:sz w:val="24"/>
          <w:lang w:val="en-US" w:eastAsia="zh-CN"/>
        </w:rPr>
        <w:t>在</w:t>
      </w:r>
      <w:r>
        <w:rPr>
          <w:rFonts w:hint="eastAsia"/>
          <w:sz w:val="24"/>
        </w:rPr>
        <w:t>全球GDP中所占份额已超过七国集团(G7)。具体数据来看，巴西、俄罗斯、印度、中国和南非等金砖五国集团贡献了全球 GDP 的 31.5%。与此同时，由美国、加拿大、法国、德国、意大利、日本和英国组成的七国集团（G7）加起来则占全球GDP的30.7%</w:t>
      </w:r>
      <w:r>
        <w:rPr>
          <w:rStyle w:val="20"/>
          <w:rFonts w:hint="eastAsia" w:ascii="宋体" w:hAnsi="宋体" w:eastAsia="宋体" w:cs="宋体"/>
          <w:b w:val="0"/>
          <w:bCs w:val="0"/>
          <w:sz w:val="24"/>
          <w:szCs w:val="21"/>
        </w:rPr>
        <w:footnoteReference w:id="968"/>
      </w:r>
      <w:r>
        <w:rPr>
          <w:rFonts w:hint="eastAsia"/>
          <w:sz w:val="24"/>
        </w:rPr>
        <w:t>。换句话说，金砖五国GDP总量占全球GDP的比重已</w:t>
      </w:r>
      <w:r>
        <w:rPr>
          <w:rFonts w:hint="eastAsia"/>
          <w:sz w:val="24"/>
          <w:lang w:val="en-US" w:eastAsia="zh-CN"/>
        </w:rPr>
        <w:t>略</w:t>
      </w:r>
      <w:r>
        <w:rPr>
          <w:rFonts w:hint="eastAsia"/>
          <w:sz w:val="24"/>
        </w:rPr>
        <w:t>超G7的比重。</w:t>
      </w:r>
      <w:r>
        <w:rPr>
          <w:rFonts w:hint="eastAsia"/>
          <w:sz w:val="24"/>
          <w:lang w:val="en-US" w:eastAsia="zh-CN"/>
        </w:rPr>
        <w:t>扩员后的“大金砖国家”经济总量占比远超七国集团。这其中</w:t>
      </w:r>
      <w:r>
        <w:rPr>
          <w:rFonts w:hint="eastAsia"/>
          <w:sz w:val="24"/>
        </w:rPr>
        <w:t>中国表现</w:t>
      </w:r>
      <w:r>
        <w:rPr>
          <w:rFonts w:hint="eastAsia"/>
          <w:sz w:val="24"/>
          <w:lang w:val="en-US" w:eastAsia="zh-CN"/>
        </w:rPr>
        <w:t>尤为</w:t>
      </w:r>
      <w:r>
        <w:rPr>
          <w:rFonts w:hint="eastAsia"/>
          <w:sz w:val="24"/>
        </w:rPr>
        <w:t>突出，据国际货币基金组织（IMF）等资料</w:t>
      </w:r>
      <w:r>
        <w:rPr>
          <w:rFonts w:hint="eastAsia"/>
          <w:sz w:val="24"/>
          <w:lang w:val="en-US" w:eastAsia="zh-CN"/>
        </w:rPr>
        <w:t>显示</w:t>
      </w:r>
      <w:r>
        <w:rPr>
          <w:rFonts w:hint="eastAsia"/>
          <w:sz w:val="24"/>
        </w:rPr>
        <w:t>，仅从汇率而</w:t>
      </w:r>
      <w:r>
        <w:rPr>
          <w:rFonts w:hint="eastAsia"/>
          <w:sz w:val="24"/>
          <w:lang w:val="en-US" w:eastAsia="zh-CN"/>
        </w:rPr>
        <w:t>非</w:t>
      </w:r>
      <w:r>
        <w:rPr>
          <w:rFonts w:hint="eastAsia"/>
          <w:sz w:val="24"/>
        </w:rPr>
        <w:t>人民币购买力平价的占比看，1978年中国GDP总量占世界比重为1.8%，1990年中国由最低的1.76%，开始触底反弹；2022年，中国大陆GDP总量对美国的占比为71.1%，出于汇率变化因素，较上年（75.9%）有所下降。若将两岸四地合并计算（中国大陆</w:t>
      </w:r>
      <w:r>
        <w:rPr>
          <w:rFonts w:hint="eastAsia"/>
          <w:sz w:val="24"/>
          <w:lang w:val="en-US" w:eastAsia="zh-CN"/>
        </w:rPr>
        <w:t>和</w:t>
      </w:r>
      <w:r>
        <w:rPr>
          <w:rFonts w:hint="eastAsia"/>
          <w:sz w:val="24"/>
        </w:rPr>
        <w:t>港澳台</w:t>
      </w:r>
      <w:r>
        <w:rPr>
          <w:rFonts w:hint="eastAsia"/>
          <w:sz w:val="24"/>
          <w:lang w:val="en-US" w:eastAsia="zh-CN"/>
        </w:rPr>
        <w:t>地区</w:t>
      </w:r>
      <w:r>
        <w:rPr>
          <w:rFonts w:hint="eastAsia"/>
          <w:sz w:val="24"/>
        </w:rPr>
        <w:t>），则</w:t>
      </w:r>
      <w:r>
        <w:rPr>
          <w:rFonts w:hint="eastAsia"/>
          <w:sz w:val="24"/>
          <w:lang w:val="en-US" w:eastAsia="zh-CN"/>
        </w:rPr>
        <w:t>中国的</w:t>
      </w:r>
      <w:r>
        <w:rPr>
          <w:rFonts w:hint="eastAsia"/>
          <w:sz w:val="24"/>
        </w:rPr>
        <w:t>GDP</w:t>
      </w:r>
      <w:r>
        <w:rPr>
          <w:rFonts w:hint="eastAsia"/>
          <w:sz w:val="24"/>
          <w:lang w:val="en-US" w:eastAsia="zh-CN"/>
        </w:rPr>
        <w:t>总量</w:t>
      </w:r>
      <w:r>
        <w:rPr>
          <w:rFonts w:hint="eastAsia"/>
          <w:sz w:val="24"/>
        </w:rPr>
        <w:t>合计19.2万亿美元，占比为美国GDP总量</w:t>
      </w:r>
      <w:r>
        <w:rPr>
          <w:rFonts w:hint="eastAsia"/>
          <w:sz w:val="24"/>
          <w:lang w:val="en-US" w:eastAsia="zh-CN"/>
        </w:rPr>
        <w:t>的</w:t>
      </w:r>
      <w:r>
        <w:rPr>
          <w:rFonts w:hint="eastAsia"/>
          <w:sz w:val="24"/>
        </w:rPr>
        <w:t>75.6%。2022年，欧盟27国GDP合计16.6万亿美元，低于中国。2022年中国GDP实际增速3.0%，规模121万亿元（18万亿美元），相当于美国约71%，占全球GDP比重约18%，稳居全球第二大经济体。2022年美国GDP同比实际增长2.1，总量达到25.47万亿美元，占比全球的25.55%。中国与美国GDP规模差距快速缩小，相当于美国的70%，预计2030年中国GDP总量赶超美国</w:t>
      </w:r>
      <w:r>
        <w:rPr>
          <w:rStyle w:val="20"/>
          <w:rFonts w:hint="eastAsia" w:ascii="宋体" w:hAnsi="宋体" w:eastAsia="宋体" w:cs="宋体"/>
          <w:b w:val="0"/>
          <w:bCs w:val="0"/>
          <w:sz w:val="24"/>
          <w:szCs w:val="21"/>
        </w:rPr>
        <w:footnoteReference w:id="969"/>
      </w:r>
      <w:r>
        <w:rPr>
          <w:rFonts w:hint="eastAsia"/>
          <w:sz w:val="24"/>
        </w:rPr>
        <w:t>。</w:t>
      </w:r>
    </w:p>
    <w:p w14:paraId="0205BF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“东升西降”的</w:t>
      </w:r>
      <w:r>
        <w:rPr>
          <w:rFonts w:hint="eastAsia"/>
          <w:sz w:val="24"/>
          <w:lang w:val="en-US" w:eastAsia="zh-CN"/>
        </w:rPr>
        <w:t>国际</w:t>
      </w:r>
      <w:r>
        <w:rPr>
          <w:rFonts w:hint="eastAsia"/>
          <w:sz w:val="24"/>
        </w:rPr>
        <w:t>经济新格局是</w:t>
      </w:r>
      <w:r>
        <w:rPr>
          <w:rFonts w:hint="eastAsia"/>
          <w:sz w:val="24"/>
          <w:lang w:val="en-US" w:eastAsia="zh-CN"/>
        </w:rPr>
        <w:t>由</w:t>
      </w:r>
      <w:r>
        <w:rPr>
          <w:rFonts w:hint="eastAsia"/>
          <w:sz w:val="24"/>
        </w:rPr>
        <w:t>美国国内外众多矛盾、霸权衰落的机制规律</w:t>
      </w:r>
      <w:r>
        <w:rPr>
          <w:rFonts w:hint="eastAsia"/>
          <w:sz w:val="24"/>
          <w:lang w:val="en-US" w:eastAsia="zh-CN"/>
        </w:rPr>
        <w:t>和</w:t>
      </w:r>
      <w:r>
        <w:rPr>
          <w:rFonts w:hint="eastAsia"/>
          <w:sz w:val="24"/>
        </w:rPr>
        <w:t>各发展中国家立足本国实际情况，积极参与全球发展合作</w:t>
      </w:r>
      <w:r>
        <w:rPr>
          <w:rFonts w:hint="eastAsia"/>
          <w:sz w:val="24"/>
          <w:lang w:eastAsia="zh-CN"/>
        </w:rPr>
        <w:t>、</w:t>
      </w:r>
      <w:r>
        <w:rPr>
          <w:rFonts w:hint="eastAsia"/>
          <w:sz w:val="24"/>
        </w:rPr>
        <w:t>积极拓展发展渠道，坚持自力更生、独立自主所决定的。</w:t>
      </w:r>
    </w:p>
    <w:p w14:paraId="1B85B2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作为发展中大国，中国高度重视作为兴国强国的第一要务，成功推进和拓展了中国式现代化，取得了举世瞩目的发展成就。中美之间差距的缩小是美国式现代化与中国式现代化</w:t>
      </w:r>
      <w:r>
        <w:rPr>
          <w:rFonts w:hint="eastAsia"/>
          <w:sz w:val="24"/>
          <w:lang w:val="en-US" w:eastAsia="zh-CN"/>
        </w:rPr>
        <w:t>走</w:t>
      </w:r>
      <w:r>
        <w:rPr>
          <w:rFonts w:hint="eastAsia"/>
          <w:sz w:val="24"/>
        </w:rPr>
        <w:t>各自不同发展道路的</w:t>
      </w:r>
      <w:r>
        <w:rPr>
          <w:rFonts w:hint="eastAsia"/>
          <w:sz w:val="24"/>
          <w:lang w:val="en-US" w:eastAsia="zh-CN"/>
        </w:rPr>
        <w:t>结</w:t>
      </w:r>
      <w:r>
        <w:rPr>
          <w:rFonts w:hint="eastAsia"/>
          <w:sz w:val="24"/>
        </w:rPr>
        <w:t>果，而非中国的经济发展负面影响了美国；恰恰相反，中国的经济发展不断受到美国违反国际法的</w:t>
      </w:r>
      <w:r>
        <w:rPr>
          <w:rFonts w:hint="eastAsia"/>
          <w:sz w:val="24"/>
          <w:lang w:val="en-US" w:eastAsia="zh-CN"/>
        </w:rPr>
        <w:t>各种</w:t>
      </w:r>
      <w:r>
        <w:rPr>
          <w:rFonts w:hint="eastAsia"/>
          <w:sz w:val="24"/>
        </w:rPr>
        <w:t>非法制裁和打压。</w:t>
      </w:r>
      <w:r>
        <w:rPr>
          <w:rFonts w:hint="eastAsia"/>
          <w:sz w:val="24"/>
          <w:lang w:val="en-US" w:eastAsia="zh-CN"/>
        </w:rPr>
        <w:t>尤其是近年“</w:t>
      </w:r>
      <w:r>
        <w:rPr>
          <w:rFonts w:hint="eastAsia"/>
          <w:sz w:val="24"/>
        </w:rPr>
        <w:t>美西方以“中国产能过剩论”为名，大行保护主义之实的霸权主义行径，将经贸科技问题政治化、工具化、武器化，是一种贸易保护主义和霸权主义的现实表现，势必不断给世界经济发展带来严重灾难。</w:t>
      </w:r>
      <w:r>
        <w:rPr>
          <w:rFonts w:hint="eastAsia"/>
          <w:sz w:val="24"/>
          <w:lang w:val="en-US" w:eastAsia="zh-CN"/>
        </w:rPr>
        <w:t>”</w:t>
      </w:r>
      <w:r>
        <w:rPr>
          <w:rStyle w:val="20"/>
          <w:rFonts w:hint="eastAsia" w:ascii="宋体" w:hAnsi="宋体" w:eastAsia="宋体" w:cs="宋体"/>
          <w:color w:val="000000"/>
          <w:sz w:val="24"/>
          <w:szCs w:val="21"/>
        </w:rPr>
        <w:footnoteReference w:id="970"/>
      </w:r>
      <w:r>
        <w:rPr>
          <w:rFonts w:hint="eastAsia"/>
          <w:sz w:val="24"/>
          <w:lang w:val="en-US" w:eastAsia="zh-CN"/>
        </w:rPr>
        <w:t>而美国通过“逆全球化”的非法保护主义来遏制中国发展的措施，必然有损于中国和世界经济的正常发展，发过来也必然大大损害美国经济。</w:t>
      </w:r>
      <w:r>
        <w:rPr>
          <w:rStyle w:val="20"/>
          <w:rFonts w:hint="eastAsia" w:ascii="宋体" w:hAnsi="宋体" w:eastAsia="宋体" w:cs="宋体"/>
          <w:b w:val="0"/>
          <w:bCs w:val="0"/>
          <w:sz w:val="24"/>
          <w:szCs w:val="21"/>
          <w:lang w:val="en-US" w:eastAsia="zh-CN"/>
        </w:rPr>
        <w:footnoteReference w:id="971"/>
      </w:r>
    </w:p>
    <w:p w14:paraId="3AA763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目前美国政府对国际多边机制的损害性运用，已经严重影响到国际制度的权威性与可信性，传统全球经济治理体系缺乏包容性和公平性问题不断凸显，无法实现对全球经济运行失衡的破局，因而全球经济治理体系正悄然嬗变。由于新兴市场和发展中国家经济崛起，客观上削弱了霸权国家在全球经济治理</w:t>
      </w:r>
      <w:r>
        <w:rPr>
          <w:rFonts w:hint="eastAsia"/>
          <w:sz w:val="24"/>
          <w:lang w:val="en-US" w:eastAsia="zh-CN"/>
        </w:rPr>
        <w:t>中</w:t>
      </w:r>
      <w:r>
        <w:rPr>
          <w:rFonts w:hint="eastAsia"/>
          <w:sz w:val="24"/>
        </w:rPr>
        <w:t>的绝对主导地位，全球经济权力呈多极化态势，霸权国家为维护自身利益，</w:t>
      </w:r>
      <w:r>
        <w:rPr>
          <w:rFonts w:hint="eastAsia"/>
          <w:sz w:val="24"/>
          <w:lang w:val="en-US" w:eastAsia="zh-CN"/>
        </w:rPr>
        <w:t>在</w:t>
      </w:r>
      <w:r>
        <w:rPr>
          <w:rFonts w:hint="eastAsia"/>
          <w:sz w:val="24"/>
        </w:rPr>
        <w:t>实施贸易保护主义的同时也降低了其全球公共产品供给的积极性，原有大国霸权治理向多主体合作共治转变。然而，拜登政府极力维护美国自</w:t>
      </w:r>
      <w:r>
        <w:rPr>
          <w:rFonts w:hint="eastAsia"/>
          <w:sz w:val="24"/>
          <w:lang w:val="en-US" w:eastAsia="zh-CN"/>
        </w:rPr>
        <w:t>诩</w:t>
      </w:r>
      <w:r>
        <w:rPr>
          <w:rFonts w:hint="eastAsia"/>
          <w:sz w:val="24"/>
        </w:rPr>
        <w:t>的全球“领导地位”，并不断强化跨大西洋联盟和跨太平洋联盟，以期形成对所谓“非市场经济体”的共同贸易、金融和科技政策，并加大力度逼迫发展中国家做出选择，企图改变世界多极化发展趋势。</w:t>
      </w:r>
    </w:p>
    <w:p w14:paraId="750C28B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不过，</w:t>
      </w:r>
      <w:r>
        <w:rPr>
          <w:rFonts w:hint="eastAsia"/>
          <w:sz w:val="24"/>
          <w:lang w:val="en-US" w:eastAsia="zh-CN"/>
        </w:rPr>
        <w:t>金砖国家、</w:t>
      </w:r>
      <w:r>
        <w:rPr>
          <w:rFonts w:hint="eastAsia"/>
          <w:sz w:val="24"/>
          <w:lang w:eastAsia="zh-CN"/>
        </w:rPr>
        <w:t>“</w:t>
      </w:r>
      <w:r>
        <w:rPr>
          <w:rFonts w:hint="eastAsia"/>
          <w:sz w:val="24"/>
          <w:lang w:val="en-US" w:eastAsia="zh-CN"/>
        </w:rPr>
        <w:t>一带一路</w:t>
      </w:r>
      <w:r>
        <w:rPr>
          <w:rFonts w:hint="eastAsia"/>
          <w:sz w:val="24"/>
          <w:lang w:eastAsia="zh-CN"/>
        </w:rPr>
        <w:t>”</w:t>
      </w:r>
      <w:r>
        <w:rPr>
          <w:rFonts w:hint="eastAsia"/>
          <w:sz w:val="24"/>
          <w:lang w:val="en-US" w:eastAsia="zh-CN"/>
        </w:rPr>
        <w:t>国际共建、上合组织、77国集团和中国、</w:t>
      </w:r>
      <w:r>
        <w:rPr>
          <w:rFonts w:hint="eastAsia"/>
          <w:sz w:val="24"/>
        </w:rPr>
        <w:t>二十国集团（G20）等新型区域</w:t>
      </w:r>
      <w:r>
        <w:rPr>
          <w:rFonts w:hint="eastAsia"/>
          <w:sz w:val="24"/>
          <w:lang w:val="en-US" w:eastAsia="zh-CN"/>
        </w:rPr>
        <w:t>性和集团性</w:t>
      </w:r>
      <w:r>
        <w:rPr>
          <w:rFonts w:hint="eastAsia"/>
          <w:sz w:val="24"/>
        </w:rPr>
        <w:t>经济</w:t>
      </w:r>
      <w:r>
        <w:rPr>
          <w:rFonts w:hint="eastAsia"/>
          <w:sz w:val="24"/>
          <w:lang w:val="en-US" w:eastAsia="zh-CN"/>
        </w:rPr>
        <w:t>政治</w:t>
      </w:r>
      <w:r>
        <w:rPr>
          <w:rFonts w:hint="eastAsia"/>
          <w:sz w:val="24"/>
        </w:rPr>
        <w:t>治理组织的出现，促使发展中经济体也逐渐被纳入全球治理体系之中，促成了区域合作与高层对话，成为通向更高层次多边合作的重要平台。尤其是中国</w:t>
      </w:r>
      <w:r>
        <w:rPr>
          <w:rFonts w:hint="eastAsia"/>
          <w:sz w:val="24"/>
          <w:lang w:val="en-US" w:eastAsia="zh-CN"/>
        </w:rPr>
        <w:t>先后提出以</w:t>
      </w:r>
      <w:r>
        <w:rPr>
          <w:rFonts w:hint="eastAsia"/>
          <w:sz w:val="24"/>
        </w:rPr>
        <w:t>人类命运共同体</w:t>
      </w:r>
      <w:r>
        <w:rPr>
          <w:rFonts w:hint="eastAsia"/>
          <w:sz w:val="24"/>
          <w:lang w:val="en-US" w:eastAsia="zh-CN"/>
        </w:rPr>
        <w:t>理念</w:t>
      </w:r>
      <w:r>
        <w:rPr>
          <w:rFonts w:hint="eastAsia"/>
          <w:sz w:val="24"/>
        </w:rPr>
        <w:t>倡导</w:t>
      </w:r>
      <w:r>
        <w:rPr>
          <w:rFonts w:hint="eastAsia"/>
          <w:sz w:val="24"/>
          <w:lang w:val="en-US" w:eastAsia="zh-CN"/>
        </w:rPr>
        <w:t>为核心、扩展到“一带一路”和全球的发展、安全、文明、人工智能治理、互不首先使用核武器共“七大倡议”，</w:t>
      </w:r>
      <w:r>
        <w:rPr>
          <w:rFonts w:hint="eastAsia"/>
          <w:sz w:val="24"/>
        </w:rPr>
        <w:t>为全球经济</w:t>
      </w:r>
      <w:r>
        <w:rPr>
          <w:rFonts w:hint="eastAsia"/>
          <w:sz w:val="24"/>
          <w:lang w:val="en-US" w:eastAsia="zh-CN"/>
        </w:rPr>
        <w:t>政治</w:t>
      </w:r>
      <w:r>
        <w:rPr>
          <w:rFonts w:hint="eastAsia"/>
          <w:sz w:val="24"/>
        </w:rPr>
        <w:t>治理拓展了新思路。</w:t>
      </w:r>
    </w:p>
    <w:p w14:paraId="273968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2022年11月10日，在联合国举行的第21次会议上，作为代表77国集团成员国和中国的联合国会员国，巴基斯坦代表提出了题为“走向国际经济新秩序”的决议草案；2022年11月21日，联合国在第22次会议上通过了题为“走向国际经济新秩序”的决议。其中，中国、俄罗斯等124票赞成，美国、乌克兰、英国、日本、韩国等50票反对、土耳其等2票弃权。</w:t>
      </w:r>
      <w:r>
        <w:rPr>
          <w:rStyle w:val="20"/>
          <w:rFonts w:hint="eastAsia" w:ascii="宋体" w:hAnsi="宋体" w:eastAsia="宋体" w:cs="宋体"/>
          <w:b w:val="0"/>
          <w:bCs w:val="0"/>
          <w:sz w:val="24"/>
          <w:szCs w:val="21"/>
          <w:highlight w:val="yellow"/>
          <w:lang w:val="en-US" w:eastAsia="zh-CN"/>
        </w:rPr>
        <w:footnoteReference w:id="972"/>
      </w:r>
      <w:r>
        <w:rPr>
          <w:rFonts w:hint="eastAsia"/>
          <w:sz w:val="24"/>
        </w:rPr>
        <w:t>这充分反映</w:t>
      </w:r>
      <w:r>
        <w:rPr>
          <w:rFonts w:hint="eastAsia"/>
          <w:sz w:val="24"/>
          <w:lang w:val="en-US" w:eastAsia="zh-CN"/>
        </w:rPr>
        <w:t>了</w:t>
      </w:r>
      <w:r>
        <w:rPr>
          <w:rFonts w:hint="eastAsia"/>
          <w:sz w:val="24"/>
        </w:rPr>
        <w:t>美国等新帝国主义</w:t>
      </w:r>
      <w:r>
        <w:rPr>
          <w:rFonts w:hint="eastAsia"/>
          <w:sz w:val="24"/>
          <w:lang w:eastAsia="zh-CN"/>
        </w:rPr>
        <w:t>、</w:t>
      </w:r>
      <w:r>
        <w:rPr>
          <w:rFonts w:hint="eastAsia"/>
          <w:sz w:val="24"/>
          <w:lang w:val="en-US" w:eastAsia="zh-CN"/>
        </w:rPr>
        <w:t>新殖民主义</w:t>
      </w:r>
      <w:r>
        <w:rPr>
          <w:rFonts w:hint="eastAsia"/>
          <w:sz w:val="24"/>
        </w:rPr>
        <w:t>及其盟国维护不合理的国际经济秩序，以及中国、俄罗斯等为代表的广大发展中国家</w:t>
      </w:r>
      <w:r>
        <w:rPr>
          <w:rFonts w:hint="eastAsia"/>
          <w:sz w:val="24"/>
          <w:lang w:val="en-US" w:eastAsia="zh-CN"/>
        </w:rPr>
        <w:t>和南方国家</w:t>
      </w:r>
      <w:r>
        <w:rPr>
          <w:rFonts w:hint="eastAsia"/>
          <w:sz w:val="24"/>
        </w:rPr>
        <w:t>积极要求改革不公正的国际经济旧秩序和加强国际经济治理的良好愿望。可见，世界进步友好国家抵制和反制“美国式”经济政治军事的霸权治理，联手打造利益共同体、责任共同体、命运共同体，这既是各国走向共同繁荣的现实利益需要，也是维护世界和平与发展的治理需要。</w:t>
      </w:r>
    </w:p>
    <w:p w14:paraId="357064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应当看到，参与全球经济治理的行为体既有主权国家、国家集团、国际组织，也有跨国公司、非政府组织、社会运动等，而在这些行为体中扮演着十分重要角色的往往是大国或强国。当前，只有在南方国家联合反对新霸权主义、新帝国主义、新殖民主义、新种族主义、新自由主义、新法西斯主义的伟大斗争中，尤其是反对美西方引发的俄乌冲突、中东冲突，反对美西方试图引发印太若干地区冲突中，才能真正实现国际经济政治的有效治理。</w:t>
      </w:r>
    </w:p>
    <w:p w14:paraId="16CE01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（程恩富系中国社会科学院学部委员、世界政治经济学学会会长）</w:t>
      </w:r>
    </w:p>
    <w:p w14:paraId="49ED97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552340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r>
        <w:rPr>
          <w:rFonts w:hint="eastAsia"/>
          <w:sz w:val="24"/>
          <w:lang w:val="en-US" w:eastAsia="zh-CN"/>
        </w:rPr>
        <w:t>6</w:t>
      </w:r>
      <w:r>
        <w:rPr>
          <w:rFonts w:hint="eastAsia"/>
          <w:sz w:val="24"/>
        </w:rPr>
        <w:t>]程恩富,刘志鹏.中国式现代化的伟大创举及其世界贡献[J].中国新闻发布(实务版),2024,(10):19-22.</w:t>
      </w:r>
    </w:p>
    <w:p w14:paraId="301B1C2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r>
        <w:rPr>
          <w:rFonts w:hint="eastAsia"/>
          <w:sz w:val="24"/>
          <w:lang w:val="en-US" w:eastAsia="zh-CN"/>
        </w:rPr>
        <w:t>7</w:t>
      </w:r>
      <w:r>
        <w:rPr>
          <w:rFonts w:hint="eastAsia"/>
          <w:sz w:val="24"/>
        </w:rPr>
        <w:t>]程恩富,陈健.“中国产能过剩论”没有学理和事实依据[J].海派经济学,2024,22(03):206-207.</w:t>
      </w:r>
    </w:p>
    <w:p w14:paraId="338CD8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r>
        <w:rPr>
          <w:rFonts w:hint="eastAsia"/>
          <w:sz w:val="24"/>
          <w:lang w:val="en-US" w:eastAsia="zh-CN"/>
        </w:rPr>
        <w:t>8</w:t>
      </w:r>
      <w:r>
        <w:rPr>
          <w:rFonts w:hint="eastAsia"/>
          <w:sz w:val="24"/>
        </w:rPr>
        <w:t>]徐文斌,程恩富.论资本主义私有制增长缓慢规律[J].毛泽东邓小平理论研究,2024,(08):36-43+108.</w:t>
      </w:r>
    </w:p>
    <w:p w14:paraId="7CD80C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w:t>
      </w:r>
      <w:r>
        <w:rPr>
          <w:rFonts w:hint="eastAsia"/>
          <w:sz w:val="24"/>
          <w:lang w:val="en-US" w:eastAsia="zh-CN"/>
        </w:rPr>
        <w:t>9</w:t>
      </w:r>
      <w:r>
        <w:rPr>
          <w:rFonts w:hint="eastAsia"/>
          <w:sz w:val="24"/>
        </w:rPr>
        <w:t>]程恩富,罗玉辉.论塑造与新质生产力相适应的新型生产关系——学习党的二十届三中全会精神的体会[J].思想理论教育导刊,2024,(08):13-25.</w:t>
      </w:r>
    </w:p>
    <w:p w14:paraId="55F143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val="en-US" w:eastAsia="zh-CN"/>
        </w:rPr>
        <w:t>0</w:t>
      </w:r>
      <w:r>
        <w:rPr>
          <w:rFonts w:hint="eastAsia"/>
          <w:sz w:val="24"/>
        </w:rPr>
        <w:t>]程恩富,高斯扬.智能经济及其相关论争的辨析[J].当代经济研究,2024,(08):44-51.</w:t>
      </w:r>
    </w:p>
    <w:p w14:paraId="0F22C1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val="en-US" w:eastAsia="zh-CN"/>
        </w:rPr>
        <w:t>1</w:t>
      </w:r>
      <w:r>
        <w:rPr>
          <w:rFonts w:hint="eastAsia"/>
          <w:sz w:val="24"/>
        </w:rPr>
        <w:t>]王智强,程恩富.开放经济社会再生产视角下经济循环与经济增长研究[J].经济研究,2024,59(07):188-208.</w:t>
      </w:r>
    </w:p>
    <w:p w14:paraId="15F3F11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[1</w:t>
      </w:r>
      <w:r>
        <w:rPr>
          <w:rFonts w:hint="eastAsia"/>
          <w:sz w:val="24"/>
          <w:lang w:val="en-US" w:eastAsia="zh-CN"/>
        </w:rPr>
        <w:t>2</w:t>
      </w:r>
      <w:r>
        <w:rPr>
          <w:rFonts w:hint="eastAsia"/>
          <w:sz w:val="24"/>
        </w:rPr>
        <w:t>]宋宪萍,程恩富.马克思主义的分工理论及其当代发展[J].世界马克思主义研究,2023,(02):143.</w:t>
      </w:r>
    </w:p>
    <w:p w14:paraId="320EC0DF">
      <w:pPr>
        <w:pStyle w:val="3"/>
        <w:bidi w:val="0"/>
        <w:rPr>
          <w:rFonts w:hint="eastAsia"/>
          <w:sz w:val="24"/>
        </w:rPr>
      </w:pPr>
      <w:bookmarkStart w:id="619" w:name="_Toc32220"/>
      <w:bookmarkStart w:id="620" w:name="_Toc327072266"/>
      <w:bookmarkStart w:id="621" w:name="_Toc1604350505"/>
      <w:bookmarkStart w:id="622" w:name="_Toc2114166459"/>
      <w:bookmarkStart w:id="623" w:name="_Toc916070955"/>
      <w:bookmarkStart w:id="624" w:name="_Toc2057384740"/>
      <w:r>
        <w:rPr>
          <w:rFonts w:hint="eastAsia"/>
          <w:b/>
          <w:bCs/>
          <w:sz w:val="28"/>
          <w:szCs w:val="28"/>
          <w:lang w:val="en-US" w:eastAsia="zh-CN"/>
        </w:rPr>
        <w:t>17</w:t>
      </w:r>
      <w:r>
        <w:rPr>
          <w:rFonts w:hint="eastAsia"/>
          <w:b/>
          <w:bCs/>
          <w:sz w:val="28"/>
          <w:szCs w:val="28"/>
        </w:rPr>
        <w:t>新时代全面深化经济改革宝贵经验的科学总结</w:t>
      </w:r>
      <w:bookmarkEnd w:id="619"/>
      <w:bookmarkEnd w:id="620"/>
      <w:bookmarkEnd w:id="621"/>
      <w:bookmarkEnd w:id="622"/>
      <w:bookmarkEnd w:id="623"/>
      <w:bookmarkEnd w:id="624"/>
    </w:p>
    <w:p w14:paraId="72BC83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7CDAF2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程恩富  宋宪萍</w:t>
      </w:r>
    </w:p>
    <w:p w14:paraId="4B98E04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在改革战略上，中国共产党始终以经济体制改革为重点，以经济建设为中心。新时代以来，全面深化经济改革用于面对现实中的难点和卡点，一路闯关夺隘、纵深推进，实现经济改革由局部探索、破冰突围到系统集成、全面深化的转变，开创了我国经济改革开放新局面。以习近平同志为核心的党中央，深刻总结经济改革的历史经验，直面经济改革过程中面临的突出问题和难题，提出一系列制度性、根本性、长远性的举措，形成了习近平关于经济改革和国家治理的重要思路，为新时代推进经济发展提供了根本遵循。党的二十届三中全会审议通过的《中共中央关于进一步全面深化改革、推进中国式现代化的决定》，更加注重突出重点，突出体制机制改革，突出战略性、全局性重大改革，突出经济体制改革牵引作用，为进一步全面深化改革、推进中国式现代化明确了重点任务、指出了主攻方向。 </w:t>
      </w:r>
    </w:p>
    <w:p w14:paraId="6261F2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一、新时代全面深化经济改革的巨大成就</w:t>
      </w:r>
    </w:p>
    <w:p w14:paraId="55FF5F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以习近平同志为核心的党中央坚强领导下，各地区各部门认真贯彻落实党中央、国务院决策部署，坚持稳中求进工作总基调，完整、准确、全面贯彻新发展理念，加快构建新发展格局，着力推动高质量发展，全面深化改革开放，现代化产业体系建设取得重要进展，科技创新实现新的突破，改革开放向纵深推进，实现经济回升向好，安全发展基础巩固夯实，民生保障有力有效，社会大局和谐稳定，全面建设社会主义现代化国家迈出坚实步伐。新时代以来，2013—2021年，我国国内生产总值年均增长6.6%，高于同期世界2.6%和发展中经济体3.7%的平均增长水平。按年平均汇率折算，2021年我国经济总量占世界经济的比重达18.5%，比2012年提高7.2个百分点，稳居世界第二位。2013—2021年，我国对世界经济增长的平均贡献率超过30%，居世界第一。</w:t>
      </w:r>
      <w:r>
        <w:rPr>
          <w:rStyle w:val="20"/>
          <w:rFonts w:hint="eastAsia" w:ascii="宋体" w:hAnsi="宋体" w:eastAsia="宋体" w:cs="宋体"/>
          <w:color w:val="000000" w:themeColor="text1"/>
          <w:sz w:val="24"/>
          <w:szCs w:val="21"/>
          <w:shd w:val="clear" w:color="auto" w:fill="FFFFFF"/>
          <w14:textFill>
            <w14:solidFill>
              <w14:schemeClr w14:val="tx1"/>
            </w14:solidFill>
          </w14:textFill>
        </w:rPr>
        <w:footnoteReference w:id="973"/>
      </w:r>
      <w:r>
        <w:rPr>
          <w:rFonts w:hint="eastAsia"/>
          <w:sz w:val="24"/>
        </w:rPr>
        <w:t>2023年中国国内生产总值超过126万亿元，增长率为5.2%，较2022年提高2.2个百分点，改革开放持续向纵深推进。</w:t>
      </w:r>
    </w:p>
    <w:p w14:paraId="6F88382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2024年是新中国成立75周年，也是实现“十四五”规划目标任务的关键一年，中国经济回升向好的态势不断巩固和增强。2024年政府工作报告提出5%左右的增长预期目标，彰显中国经济韧性强、潜力大、活力足。这一目标不仅高于此前国际货币基金组织和世界银行对中国今年的经济增长预期，也远超国际货币基金组织对美欧的增速预测，蕴含着巨大的发展机遇。</w:t>
      </w:r>
      <w:r>
        <w:rPr>
          <w:rStyle w:val="20"/>
          <w:rFonts w:hint="eastAsia" w:ascii="宋体" w:hAnsi="宋体" w:eastAsia="宋体" w:cs="宋体"/>
          <w:color w:val="000000" w:themeColor="text1"/>
          <w:sz w:val="24"/>
          <w:szCs w:val="21"/>
          <w14:textFill>
            <w14:solidFill>
              <w14:schemeClr w14:val="tx1"/>
            </w14:solidFill>
          </w14:textFill>
        </w:rPr>
        <w:footnoteReference w:id="974"/>
      </w:r>
      <w:r>
        <w:rPr>
          <w:rFonts w:hint="eastAsia"/>
          <w:sz w:val="24"/>
        </w:rPr>
        <w:t>根据国家统计局数据，2024年上半年国民经济运行总体平稳，稳中有进，上半年国内生产总值616836亿元，按不变价格计算，同比增长5.0%。三次产业稳步增长，生产形势恢复良好，第一产业增加值30660亿元，同比增长3.5%；第二产业增加值236530亿元，增长5.8%；第三产业增加值349646亿元，增长4.6%。消费“主引擎”作用显著，内需潜力持续释放，社会消费品零售总额235969亿元，同比增长3.7%。就业、物价总体稳定，居民收入继续增加，全国居民人均可支配收入20733元，同比名义增长5.4%，扣除价格因素实际增长5.3%。</w:t>
      </w:r>
      <w:r>
        <w:rPr>
          <w:rStyle w:val="20"/>
          <w:rFonts w:hint="eastAsia" w:ascii="宋体" w:hAnsi="宋体" w:eastAsia="宋体" w:cs="宋体"/>
          <w:color w:val="000000" w:themeColor="text1"/>
          <w:sz w:val="24"/>
          <w:szCs w:val="21"/>
          <w14:textFill>
            <w14:solidFill>
              <w14:schemeClr w14:val="tx1"/>
            </w14:solidFill>
          </w14:textFill>
        </w:rPr>
        <w:footnoteReference w:id="975"/>
      </w:r>
      <w:r>
        <w:rPr>
          <w:rFonts w:hint="eastAsia"/>
          <w:sz w:val="24"/>
        </w:rPr>
        <w:t>高技术行业增势良好，2023年我国“三新”经济增加值相当于国内生产总值的比重为17.73%，高质量发展持续推进。</w:t>
      </w:r>
      <w:r>
        <w:rPr>
          <w:rStyle w:val="20"/>
          <w:rFonts w:hint="eastAsia" w:ascii="宋体" w:hAnsi="宋体" w:eastAsia="宋体" w:cs="宋体"/>
          <w:color w:val="000000" w:themeColor="text1"/>
          <w:sz w:val="24"/>
          <w:szCs w:val="21"/>
          <w14:textFill>
            <w14:solidFill>
              <w14:schemeClr w14:val="tx1"/>
            </w14:solidFill>
          </w14:textFill>
        </w:rPr>
        <w:footnoteReference w:id="976"/>
      </w:r>
      <w:r>
        <w:rPr>
          <w:rFonts w:hint="eastAsia"/>
          <w:sz w:val="24"/>
        </w:rPr>
        <w:t>总之，上半年国民经济延续恢复向好态势，转型升级稳步推进，向“新”向“绿”态势明显。</w:t>
      </w:r>
    </w:p>
    <w:p w14:paraId="646F37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二、新时代全面深化经济改革的宝贵经验</w:t>
      </w:r>
    </w:p>
    <w:p w14:paraId="7D0726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每一个重要关头和关键节点，回顾历史、总结经验，从中汲取继续前行的智慧和力量事关重大。中国共产党历来有总结历史经验的优良传统，始终把马克思主义基本原理同中国具体实际相结合，运用辩证思维方法总结经验。在以中国式现代化全面推进中华民族伟大复兴的新征程上，中国共产党高度重视总结历史经验、善于运用历史规律，并提出因应的战略策略，沿着中国式现代化道路笃定前行。党的二十届三中全会强调，进一步全面深化改革要总结和运用改革开放以来特别是新时代全面深化改革的宝贵经验，贯彻坚持党的全面领导、坚持以人民为中心、坚持守正创新、坚持以制度建设为主线、坚持全面依法治国、坚持系统观念等原则。</w:t>
      </w:r>
      <w:r>
        <w:rPr>
          <w:rStyle w:val="20"/>
          <w:rFonts w:hint="eastAsia" w:ascii="宋体" w:hAnsi="宋体" w:eastAsia="宋体" w:cs="宋体"/>
          <w:color w:val="000000" w:themeColor="text1"/>
          <w:sz w:val="24"/>
          <w:szCs w:val="21"/>
          <w14:textFill>
            <w14:solidFill>
              <w14:schemeClr w14:val="tx1"/>
            </w14:solidFill>
          </w14:textFill>
        </w:rPr>
        <w:footnoteReference w:id="977"/>
      </w:r>
      <w:r>
        <w:rPr>
          <w:rFonts w:hint="eastAsia"/>
          <w:sz w:val="24"/>
        </w:rPr>
        <w:t>这是我们党不断深化对改革规律性认识的重大成果，经济改革是改革的主旋律，新时代全面深化经济改革的宝贵经验也可以分别对照这些原则。</w:t>
      </w:r>
    </w:p>
    <w:p w14:paraId="6C702C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党的全面领导。中国共产党领导中国经济发展的政策逻辑，来源于中国共产党的初心使命就是为人民谋幸福、为中华民族谋复兴，这是中国共产党区别于其他政党的最本质差别。中国共产党始终代表最广大人民的根本利益，与人民休戚与共、生死相依，没有任何自己特殊的利益，从来不代表任何利益集团、任何权势团体、任何特权阶层的利益，这样才能使自己身置经济利益关系协调中而不迷失，这也是中国共产党在曲折艰难复杂的发展过程和环境中不断走向胜利的法宝。</w:t>
      </w:r>
      <w:r>
        <w:rPr>
          <w:rStyle w:val="20"/>
          <w:rFonts w:hint="eastAsia" w:ascii="宋体" w:hAnsi="宋体" w:eastAsia="宋体" w:cs="宋体"/>
          <w:color w:val="000000" w:themeColor="text1"/>
          <w:sz w:val="24"/>
          <w:szCs w:val="21"/>
          <w14:textFill>
            <w14:solidFill>
              <w14:schemeClr w14:val="tx1"/>
            </w14:solidFill>
          </w14:textFill>
        </w:rPr>
        <w:footnoteReference w:id="978"/>
      </w:r>
      <w:r>
        <w:rPr>
          <w:rFonts w:hint="eastAsia"/>
          <w:sz w:val="24"/>
        </w:rPr>
        <w:t>同时，随着改革开放的不断推进和深化，利益主体不断多元，矛盾分歧日益复杂，坚持党的领导有利于发挥党在经济现代化建设中的统筹、协调和动员能力，有效实现经济矛盾纠纷多元协同化解机制，防止因信息不对称所导致的社会信任危机，维护社会和谐稳定，以便实现高质量发展与高水平安全的互动格局。</w:t>
      </w:r>
    </w:p>
    <w:p w14:paraId="516EFC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以人民为中心。经济体制改革的根本动力来自于人民对美好生活的追求与现实中发展不充分不平衡之间的矛盾，纵观世界各国的经济发展历程，没有哪个国家的政党会像中国共产党这样，为人民整体利益、根本利益、长远利益出发而持续不懈地努力和奋斗。坚持以人民为中心的发展思想，把增进人民福祉、促进人的全面发展作为发展的出发点和落脚点，善于把加强顶层设计和坚持问计于民统一起来，在经济改革过程中充分吸收基层经验、群众智慧、社会诉求，注重从与老百姓生活密切相关的就业、增收、教育、医疗、住房、养老等方面找准经济改革的发力点和突破口。当前在解决制约构建新发展格局和推动高质量发展的卡点堵点问题、发展环境和民生领域的痛点难点问题、有悖社会公平正义的焦点热点问题，以及如何有效防范化解重大风险等问题，都需要发挥人民群众在改革中的主体作用，推动广大人民参与到全面深化改革的进程中来。同时，又要让全体人民共享改革开放发展的硕果，推动人的全面发展、全体人民共同富裕取得更为明显的实质性进展。。</w:t>
      </w:r>
    </w:p>
    <w:p w14:paraId="7A5B4F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守正创新。新时代以来，党和国家带领全国人民守正创新，一方面，坚持马克思主义基本原理的立场、观点与方法论不动摇，以强大定力坚持中国特色社会主义方向；另一方面，紧扣中国社会现实需要，对社会主义经济制度的具体形态实行历史性变革、系统性重塑与整体性重构，提炼以中国实践、中国智慧和中国经验为摹本的中国化时代化马克思主义的理论进路，促进中国特色社会主义基本经济制度不断发展完善。守正才能坚定方向、不犯原则性错误，创新才能对标现实、引领时代，中国式现代化道路是新中国70多年来中国特色社会主义建设守正创新的重要成果。只有持续提升国家创新体系整体效能，激活新质生产力的强大动能，才能形成推动高质量发展的倍增效应，彰显中国式现代化“创造人类文明新形态”的社会历史性效应。</w:t>
      </w:r>
    </w:p>
    <w:p w14:paraId="3E3750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以制度建设为主线。“摸着石头过河”的传统改革模式已不再适应新时代的改革需要，而是需要顶层设计、全面推进的总体统筹，强化党和政府在经济改革中的主导作用和自觉意识。在满足人民美好生活的追求中，党和政府从实现社会公平公正和美好生活的角度进行制度设计，坚持解放和发展社会生产力，坚持社会主义市场经济改革方向，推动经济持续健康发展。深化改革的目标是完善和发展中国特色社会主义制度，推进国家治理体系和治理能力现代化。党的十八大以来，以习近平同志为核心的党中央高度重视社会主义市场经济体制改革，党的十八届三中全会明确提出使市场在资源配置中起决定性作用和更好发挥政府作用，党的十九届四中全会将社会主义市场经济体制上升为第三项基本经济制度（前两项为公有制为主体、多种所有制经济共同发展，按劳分配为主体、多种分配方式并存），党的二十届三中全会明确提出构建高水平社会主义市场经济体制。当前全面深化经济体制改革仍是进一步全面深化改革的重点，主要任务是完善有利于推动高质量发展的体制机制，塑造发展新动能新优势，坚持和落实“两个毫不动摇”，构建全国统一大市场，完善市场经济基础制度。</w:t>
      </w:r>
    </w:p>
    <w:p w14:paraId="7371C4A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坚持全面依法治国。“‘改革与法治如鸟之两翼、车之两轮’，要坚持在法治下推进改革，在改革中完善法治。”</w:t>
      </w:r>
      <w:r>
        <w:rPr>
          <w:rStyle w:val="20"/>
          <w:rFonts w:hint="eastAsia" w:ascii="宋体" w:hAnsi="宋体" w:eastAsia="宋体" w:cs="宋体"/>
          <w:color w:val="000000" w:themeColor="text1"/>
          <w:sz w:val="24"/>
          <w:szCs w:val="21"/>
          <w14:textFill>
            <w14:solidFill>
              <w14:schemeClr w14:val="tx1"/>
            </w14:solidFill>
          </w14:textFill>
        </w:rPr>
        <w:footnoteReference w:id="979"/>
      </w:r>
      <w:r>
        <w:rPr>
          <w:rFonts w:hint="eastAsia"/>
          <w:sz w:val="24"/>
        </w:rPr>
        <w:t>当前，经济改革在很多领域突入了“无人区”，构建高水平社会主义市场经济体制仍然有许多关键议题、未知领域需要探索实践，有许多崭新的应用场景需要开拓创新。深刻阐明全面深化改革和全面依法治国的有效衔接和互动逻辑，将为保证改革的合法性与法治的现代性提供重要理论支撑，为坚持全面依法治国，推进法治中国建设指明方向和道路。在研究经济改革方案和改革措施时，要同步考虑经济改革涉及的立法问题，及时提出立法需求和立法建议，完善各项法规和规章。同时，立法要主动适应经济改革需要，及时根据党的经济改革政策作出相应调整，确保重大经济改革于法有据，坚持通过立法引导经济改革进程，坚持通过立法破除改革经济阻碍，坚持通过立法预留经济改革空间，坚持通过立法确认经济改革成果。</w:t>
      </w:r>
    </w:p>
    <w:p w14:paraId="1FA1F27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坚持系统观念。习近平总书记强调，改革攻坚“要注重增强系统性、整体性、协同性，使各项改革举措相互配合、相互促进、相得益彰”。全面深化改革是一项长期复杂的系统性工程，绝不仅是抽象的逻辑推演或单向的制度建构与执行，而是由不同主体的行动绘制成的立体画卷，归根结底是制度架构与实际生活的勾连和互嵌，涉及面之广，牵扯利益之多，影响范围之大，往往牵一发而动全身。因此，要坚持系统观念，注重处理好经济和社会、政府和市场、效率和公平、活力和秩序、发展和安全、国内与国际等重大关系，加强经济社会运行不同层次、不同内容、不同时空因素的系统集成，使系统因素在整合资源配置、维系各类经济主体合作关系中发挥特殊的积极的作用，恰当处理好各项经济举措的充分联动和衔接配套，充分释放系统集成的活力，为高质量发展提供动力。针对国际形势新变化的系统思维，还要建设国家战略腹地和关键产业备份，加快完善国家储备体系。</w:t>
      </w:r>
    </w:p>
    <w:p w14:paraId="2DFAAE5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b/>
          <w:bCs/>
          <w:sz w:val="24"/>
        </w:rPr>
      </w:pPr>
      <w:r>
        <w:rPr>
          <w:rFonts w:hint="eastAsia"/>
          <w:b/>
          <w:bCs/>
          <w:sz w:val="24"/>
        </w:rPr>
        <w:t>三、科学总结新时代全面深化经济改革宝贵经验的重要意义</w:t>
      </w:r>
    </w:p>
    <w:p w14:paraId="08B7F0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历史和实践充分证明，我们党对历史经验的每一次科学梳理和全面总结，都极大地凝聚了思想共识、促进了党内团结，对于全党坚定信心、开创未来具有重大意义。正如习近平指出的: “今天，我们回顾历史，不是为了从成功中寻求慰藉，更不是为了躺在功劳簿上、为回避今天面临的困难和问题寻找借口，而是为了总结历史经验、把握历史规律，增强开拓前进的勇气和力量。”</w:t>
      </w:r>
      <w:r>
        <w:rPr>
          <w:rStyle w:val="20"/>
          <w:rFonts w:hint="eastAsia" w:ascii="宋体" w:hAnsi="宋体" w:eastAsia="宋体" w:cs="宋体"/>
          <w:color w:val="000000" w:themeColor="text1"/>
          <w:sz w:val="24"/>
          <w:szCs w:val="21"/>
          <w14:textFill>
            <w14:solidFill>
              <w14:schemeClr w14:val="tx1"/>
            </w14:solidFill>
          </w14:textFill>
        </w:rPr>
        <w:footnoteReference w:id="980"/>
      </w:r>
    </w:p>
    <w:p w14:paraId="6A8B23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一是有利于理论体系创新，增强党和国家事业发展的历史主动性。通盘审视和深入研究中国共产党推动经济理论创新的内在逻辑与历史经验，在现在和未来的经济发展逻辑中增强历史自信、明晰历史使命，既有利于对“中国发展”何以可能、“中国奇迹”何以发生作出深刻回答，也有利于为构建中国自主经济学理论体系提供有益参考，从而“进一步把握历史发展规律和大势，始终掌握党和国家事业发展的历史主动”</w:t>
      </w:r>
      <w:r>
        <w:rPr>
          <w:rStyle w:val="20"/>
          <w:rFonts w:hint="eastAsia" w:ascii="宋体" w:hAnsi="宋体" w:eastAsia="宋体" w:cs="宋体"/>
          <w:color w:val="000000" w:themeColor="text1"/>
          <w:sz w:val="24"/>
          <w:szCs w:val="21"/>
          <w14:textFill>
            <w14:solidFill>
              <w14:schemeClr w14:val="tx1"/>
            </w14:solidFill>
          </w14:textFill>
        </w:rPr>
        <w:footnoteReference w:id="981"/>
      </w:r>
      <w:r>
        <w:rPr>
          <w:rFonts w:hint="eastAsia"/>
          <w:sz w:val="24"/>
        </w:rPr>
        <w:t>。</w:t>
      </w:r>
    </w:p>
    <w:p w14:paraId="14A7B6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 xml:space="preserve">二是有利于工作机制完善，提升实践工作的系统性、预见性、创造性。我们党对历史经验的总结，不仅意味着其对重大历史问题的理论体系创新，更蕴含着运用提高马克思主义分析和解决实际经济问题的能力。历史规律的凝练和总结，就是要回到实践中，对实践起指导作用，以史为鉴、触类旁通，及时把经验上升为工作机制，进行推广、运用和完善，从“问题倒逼”转向“主动抉择”，为今后在解放和增强社会经济活力的过程中，展示出对社会经济发展规律的深刻洞察和自觉运用。 </w:t>
      </w:r>
    </w:p>
    <w:p w14:paraId="42A2A3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三是有利于成功经验分享，扩大中国治国理政的国际影响力。中国70多年的社会主义经济建设探索充分证明，“中国式现代化”不仅是一个自主现代化的共识凝结，而且是一个开创人类文明新形态、与世界对话的平台。随着中国国家治理体系和治理能力现代化的推进，从中国改革发展的实践经验中总结提炼出的新话语、新概念和新模式会越来越多，以发展中国家为蓝本的中国方案、中国理论和中国追求对当代人类繁荣的历史推进，将会拓展并丰富发展中国家或南方国家走向现代化的路径选择。</w:t>
      </w:r>
    </w:p>
    <w:p w14:paraId="7FD8F3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文化发展与经济发展的融合互促关系</w:t>
      </w:r>
    </w:p>
    <w:p w14:paraId="51CBD5C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程恩富</w:t>
      </w:r>
    </w:p>
    <w:p w14:paraId="333676E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4CB7BD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习近平总书记提出：“所谓文化经济是对文化经济化和经济文化化的统称，其实质是文化与经济的交融互动、融合发展。”</w:t>
      </w:r>
      <w:r>
        <w:rPr>
          <w:rFonts w:hint="eastAsia"/>
          <w:sz w:val="24"/>
          <w:lang w:eastAsia="zh-CN"/>
        </w:rPr>
        <w:t>学习</w:t>
      </w:r>
      <w:r>
        <w:rPr>
          <w:rFonts w:hint="eastAsia"/>
          <w:sz w:val="24"/>
        </w:rPr>
        <w:t>习近平总书记提出的人文经济学以及关于文化与经济融合发展的重要论述，</w:t>
      </w:r>
      <w:r>
        <w:rPr>
          <w:rFonts w:hint="eastAsia"/>
          <w:sz w:val="24"/>
          <w:lang w:eastAsia="zh-CN"/>
        </w:rPr>
        <w:t>就要</w:t>
      </w:r>
      <w:r>
        <w:rPr>
          <w:rFonts w:hint="eastAsia"/>
          <w:sz w:val="24"/>
        </w:rPr>
        <w:t xml:space="preserve">深入研究文化发展与经济发展的融合互促关系。 </w:t>
      </w:r>
    </w:p>
    <w:p w14:paraId="3AFA7C3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在当今社会主义条件下，文化发展对经济发展有着积极的效应。它主要表现在以下三个方面：其一，文化发展能有力地推动社会主义经济增长</w:t>
      </w:r>
      <w:r>
        <w:rPr>
          <w:rFonts w:hint="eastAsia"/>
          <w:sz w:val="24"/>
          <w:lang w:eastAsia="zh-CN"/>
        </w:rPr>
        <w:t>。教育训练和科学技术是经济增长的主要源泉，加快我国经济增长速度和经济效益，必须切实抓好教育、科学技术等文化事业的发展；</w:t>
      </w:r>
      <w:r>
        <w:rPr>
          <w:rFonts w:hint="eastAsia"/>
          <w:sz w:val="24"/>
        </w:rPr>
        <w:t>其二，文化发展能积极促进社会主义产业结构合理化和高</w:t>
      </w:r>
      <w:r>
        <w:rPr>
          <w:rFonts w:hint="eastAsia"/>
          <w:sz w:val="24"/>
          <w:lang w:val="en-US" w:eastAsia="zh-CN"/>
        </w:rPr>
        <w:t>级</w:t>
      </w:r>
      <w:r>
        <w:rPr>
          <w:rFonts w:hint="eastAsia"/>
          <w:sz w:val="24"/>
        </w:rPr>
        <w:t>化</w:t>
      </w:r>
      <w:r>
        <w:rPr>
          <w:rFonts w:hint="eastAsia"/>
          <w:sz w:val="24"/>
          <w:lang w:eastAsia="zh-CN"/>
        </w:rPr>
        <w:t>。文化发展有助于物质产业与文化产业保持良好的比例，文化生产的不断进步，也必然引起物质产业结构的巨大变化。</w:t>
      </w:r>
      <w:r>
        <w:rPr>
          <w:rFonts w:hint="eastAsia"/>
          <w:sz w:val="24"/>
        </w:rPr>
        <w:t>其三，文化发展能改变社会消费结构和提高劳动力素质。文化生活消费是消费结构的重要组成部分，是人自身的内含式扩大再生产的主要原因，它能提高全体劳动者的科学文化和技术素质，最终为生产力和整个社会主义市场经济的发展源源不断地提供高质量的劳动力和各类人才。当代经济竞争的实质是以教育和科学发展为核心的文化竞争，社会主义</w:t>
      </w:r>
      <w:r>
        <w:rPr>
          <w:rFonts w:hint="eastAsia"/>
          <w:sz w:val="24"/>
          <w:lang w:eastAsia="zh-CN"/>
        </w:rPr>
        <w:t>文化发展</w:t>
      </w:r>
      <w:r>
        <w:rPr>
          <w:rFonts w:hint="eastAsia"/>
          <w:sz w:val="24"/>
        </w:rPr>
        <w:t>就是从根本上奠定国际经济竞争的扎实基础。此外，文化因素势必日益渗透到市场经济活动中，致使物质生产的产品和服务逐渐艺术化。</w:t>
      </w:r>
    </w:p>
    <w:p w14:paraId="4B7842C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在充分肯定文化发展对经济发展具有积极意义的同时，也必须看到经济发展对社会主义文化发展的正能量。这种促进效应集中表现在两个方面</w:t>
      </w:r>
      <w:r>
        <w:rPr>
          <w:rFonts w:hint="eastAsia"/>
          <w:sz w:val="24"/>
          <w:lang w:eastAsia="zh-CN"/>
        </w:rPr>
        <w:t>：</w:t>
      </w:r>
    </w:p>
    <w:p w14:paraId="269D3A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第一，公有制</w:t>
      </w:r>
      <w:r>
        <w:rPr>
          <w:rFonts w:hint="eastAsia"/>
          <w:sz w:val="24"/>
          <w:lang w:val="en-US" w:eastAsia="zh-CN"/>
        </w:rPr>
        <w:t>主体型</w:t>
      </w:r>
      <w:r>
        <w:rPr>
          <w:rFonts w:hint="eastAsia"/>
          <w:sz w:val="24"/>
        </w:rPr>
        <w:t>市场经济发展的要求</w:t>
      </w:r>
      <w:r>
        <w:rPr>
          <w:rFonts w:hint="eastAsia"/>
          <w:sz w:val="24"/>
          <w:lang w:eastAsia="zh-CN"/>
        </w:rPr>
        <w:t>，</w:t>
      </w:r>
      <w:r>
        <w:rPr>
          <w:rFonts w:hint="eastAsia"/>
          <w:sz w:val="24"/>
        </w:rPr>
        <w:t>从根本上规定着文化生产的性质和方向。在社会主义条件下，市场经济发展和公有制主体型经济基础的内在要求</w:t>
      </w:r>
      <w:r>
        <w:rPr>
          <w:rFonts w:hint="eastAsia"/>
          <w:sz w:val="24"/>
          <w:lang w:eastAsia="zh-CN"/>
        </w:rPr>
        <w:t>，</w:t>
      </w:r>
      <w:r>
        <w:rPr>
          <w:rFonts w:hint="eastAsia"/>
          <w:sz w:val="24"/>
        </w:rPr>
        <w:t>对于社会主义文化生产和建设的规定是：首先，它规定新型社会主义的文化必须建立在生产资料公有制为主体和市场经济的基础上，并为之服务；其次，它规定新型社会主义文化必须把社会效益放在首位，</w:t>
      </w:r>
      <w:r>
        <w:rPr>
          <w:rFonts w:hint="eastAsia"/>
          <w:sz w:val="24"/>
          <w:lang w:val="en-US" w:eastAsia="zh-CN"/>
        </w:rPr>
        <w:t>有机结合经济效益，以劳动人民而不是以私人资本为核心，</w:t>
      </w:r>
      <w:r>
        <w:rPr>
          <w:rFonts w:hint="eastAsia"/>
          <w:sz w:val="24"/>
        </w:rPr>
        <w:t>为</w:t>
      </w:r>
      <w:r>
        <w:rPr>
          <w:rFonts w:hint="eastAsia"/>
          <w:sz w:val="24"/>
          <w:lang w:val="en-US" w:eastAsia="zh-CN"/>
        </w:rPr>
        <w:t>全体人民</w:t>
      </w:r>
      <w:r>
        <w:rPr>
          <w:rFonts w:hint="eastAsia"/>
          <w:sz w:val="24"/>
        </w:rPr>
        <w:t>的全面自由发展创造社会精神环境；再次，它规定新型社会主义文化必须体现生产者与享受者—致的原则</w:t>
      </w:r>
      <w:r>
        <w:rPr>
          <w:rFonts w:hint="eastAsia"/>
          <w:sz w:val="24"/>
          <w:lang w:eastAsia="zh-CN"/>
        </w:rPr>
        <w:t>，</w:t>
      </w:r>
      <w:r>
        <w:rPr>
          <w:rFonts w:hint="eastAsia"/>
          <w:sz w:val="24"/>
          <w:lang w:val="en-US" w:eastAsia="zh-CN"/>
        </w:rPr>
        <w:t>缩小文化消费的贫富差距</w:t>
      </w:r>
      <w:r>
        <w:rPr>
          <w:rFonts w:hint="eastAsia"/>
          <w:sz w:val="24"/>
        </w:rPr>
        <w:t>。</w:t>
      </w:r>
    </w:p>
    <w:p w14:paraId="16B3DC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第二，经济发展的水平从总体上制约着文化发展的状况。</w:t>
      </w:r>
      <w:r>
        <w:rPr>
          <w:rFonts w:hint="eastAsia"/>
          <w:sz w:val="24"/>
          <w:lang w:val="en-US" w:eastAsia="zh-CN"/>
        </w:rPr>
        <w:t>一般说来，</w:t>
      </w:r>
      <w:r>
        <w:rPr>
          <w:rFonts w:hint="eastAsia"/>
          <w:sz w:val="24"/>
        </w:rPr>
        <w:t>经济发展水平既推动又约束文化发展发展状况表现</w:t>
      </w:r>
      <w:r>
        <w:rPr>
          <w:rFonts w:hint="eastAsia"/>
          <w:sz w:val="24"/>
          <w:lang w:eastAsia="zh-CN"/>
        </w:rPr>
        <w:t>为：</w:t>
      </w:r>
      <w:r>
        <w:rPr>
          <w:rFonts w:hint="eastAsia"/>
          <w:sz w:val="24"/>
        </w:rPr>
        <w:t>经济发展水平决定了文化发展的规模；市场经济发展水平决定了文化生产的效率和结构；市场经济发展水平决定了文化普及的方式和程度。</w:t>
      </w:r>
      <w:r>
        <w:rPr>
          <w:rFonts w:hint="eastAsia"/>
          <w:sz w:val="24"/>
          <w:lang w:val="en-US" w:eastAsia="zh-CN"/>
        </w:rPr>
        <w:t>诚然，国家调控经济和文化的不同情况，也必然较大地影响二者的发展及其相互关系。</w:t>
      </w:r>
    </w:p>
    <w:p w14:paraId="03A897E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综上所述，文化发展与经济发展之间存在共生互动效应，它们有互渗性和互制性</w:t>
      </w:r>
      <w:r>
        <w:rPr>
          <w:rFonts w:hint="eastAsia"/>
          <w:sz w:val="24"/>
          <w:lang w:eastAsia="zh-CN"/>
        </w:rPr>
        <w:t>，</w:t>
      </w:r>
      <w:r>
        <w:rPr>
          <w:rFonts w:hint="eastAsia"/>
          <w:sz w:val="24"/>
        </w:rPr>
        <w:t>其特点正如恩格斯所概括的：“政治、法律、哲学、宗教、文学、艺术等的发展是以经济发展为基础的。但是，它们又都互相影响并对经济基础发生影响。</w:t>
      </w:r>
      <w:r>
        <w:rPr>
          <w:rFonts w:hint="eastAsia"/>
          <w:sz w:val="24"/>
          <w:lang w:eastAsia="zh-CN"/>
        </w:rPr>
        <w:t>”</w:t>
      </w:r>
    </w:p>
    <w:p w14:paraId="292462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最后应当指出，马克思在《&lt;政治经济学批判&gt;导言》中曾经批判了当时资产阶级经济学家关于物质生产与艺术生产“绝对平衡论”的时髦观点</w:t>
      </w:r>
      <w:r>
        <w:rPr>
          <w:rFonts w:hint="eastAsia"/>
          <w:sz w:val="24"/>
          <w:lang w:eastAsia="zh-CN"/>
        </w:rPr>
        <w:t>，</w:t>
      </w:r>
      <w:r>
        <w:rPr>
          <w:rFonts w:hint="eastAsia"/>
          <w:sz w:val="24"/>
        </w:rPr>
        <w:t>揭示</w:t>
      </w:r>
      <w:r>
        <w:rPr>
          <w:rFonts w:hint="eastAsia"/>
          <w:sz w:val="24"/>
          <w:lang w:eastAsia="zh-CN"/>
        </w:rPr>
        <w:t>出</w:t>
      </w:r>
      <w:r>
        <w:rPr>
          <w:rFonts w:hint="eastAsia"/>
          <w:sz w:val="24"/>
        </w:rPr>
        <w:t>关于“物质生产的发展例如同艺术生产的不平衡关系”的规律，在社会主义市场经济条件下同样存在。这种不平衡规律说明，文化与经济（物质生产）是两个社会系统，它们</w:t>
      </w:r>
      <w:r>
        <w:rPr>
          <w:rFonts w:hint="eastAsia"/>
          <w:sz w:val="24"/>
          <w:lang w:eastAsia="zh-CN"/>
        </w:rPr>
        <w:t>的</w:t>
      </w:r>
      <w:r>
        <w:rPr>
          <w:rFonts w:hint="eastAsia"/>
          <w:sz w:val="24"/>
        </w:rPr>
        <w:t>各自发展有其内在动因和独立性，正是这种相对独立性导致文化发展与经济发展存在—定的不平衡现象。引起文化发展与经济发展不平衡现象的原因是多种多样的</w:t>
      </w:r>
      <w:r>
        <w:rPr>
          <w:rFonts w:hint="eastAsia"/>
          <w:sz w:val="24"/>
          <w:lang w:eastAsia="zh-CN"/>
        </w:rPr>
        <w:t>，</w:t>
      </w:r>
      <w:r>
        <w:rPr>
          <w:rFonts w:hint="eastAsia"/>
          <w:sz w:val="24"/>
          <w:lang w:val="en-US" w:eastAsia="zh-CN"/>
        </w:rPr>
        <w:t>其中包括贯彻“百花齐放百家争鸣”方针的不同情况</w:t>
      </w:r>
      <w:r>
        <w:rPr>
          <w:rFonts w:hint="eastAsia"/>
          <w:sz w:val="24"/>
        </w:rPr>
        <w:t>。不过，我们还应当重视恩格斯的这—段话：“我们所研究的领域愈是远离经济领域，愈是接近于纯粹抽象的思想领域，我们在它的发展中看到的偶然性就愈多，它的曲线就愈是曲折。如果您划出曲折的中轴线，您就会发觉，研究的时期愈长，研究的范围愈广，这个曲线就愈接近经济发展的轴线，就愈是跟后者平行而进。”这清楚地表明，文化发展与经济发展不平衡演化的现象，并不否定它们在相互作用中大步前进</w:t>
      </w:r>
      <w:r>
        <w:rPr>
          <w:rFonts w:hint="eastAsia"/>
          <w:sz w:val="24"/>
          <w:lang w:eastAsia="zh-CN"/>
        </w:rPr>
        <w:t>。</w:t>
      </w:r>
      <w:r>
        <w:rPr>
          <w:rFonts w:hint="eastAsia"/>
          <w:sz w:val="24"/>
          <w:lang w:val="en-US" w:eastAsia="zh-CN"/>
        </w:rPr>
        <w:t>只有同时推动经济与文化的高质量发展，才能加速实现中国式现代化</w:t>
      </w:r>
      <w:r>
        <w:rPr>
          <w:rFonts w:hint="eastAsia"/>
          <w:sz w:val="24"/>
        </w:rPr>
        <w:t>。</w:t>
      </w:r>
      <w:r>
        <w:rPr>
          <w:rFonts w:hint="eastAsia"/>
          <w:sz w:val="24"/>
          <w:lang w:eastAsia="zh-CN"/>
        </w:rPr>
        <w:t>（作者为中国社会科学院马克思主义研究院原院长、学部委员）</w:t>
      </w:r>
    </w:p>
    <w:p w14:paraId="5B7D51B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908C5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p>
    <w:p w14:paraId="63FEBBE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7AEE6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70E0E6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4071C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lang w:val="en-US" w:eastAsia="zh-CN"/>
        </w:rPr>
        <w:t>2023年PDF目录</w:t>
      </w:r>
    </w:p>
    <w:p w14:paraId="14D2C20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农业强县建设的五重维度</w:t>
      </w:r>
    </w:p>
    <w:p w14:paraId="674D77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党的二十大报告指出，要加快建设农业强国，扎实推动乡村产业、人才、文化、生态、组织振兴。系统推进农业强国建设，要求实现农业全面升级、农村全面进步、农民全面发展。建设供给保障强、科技装备强、经营体系强、产业韧性强、竞争能力强的农业强县，需要综合考虑农业、农民、农资、农地和农村生态等基本要素，围绕“农业强、农村美、农民富、土地丰、资本足”五个方面，积极推进农业强县的各项工作。</w:t>
      </w:r>
    </w:p>
    <w:p w14:paraId="5D8924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业强：以创新政府服务方式为中心变革小农生产方式。第一，坚定政府主动有所作为的决心。现代经济发展的实践证明，要发展经济，尤其在落后农村发展农业经济，不仅要靠市场“看不见的手”，更要依靠政府“看得见的手”的协调指挥。在中国特色社会主义市场经济条件下，政府只有通过多途径将分散的小农经济组织起来形成社会化大生产，产生规模效益，才能切实推动农业做大做强。第二，找准政府服务农村发展现代农业的切入点和关键点。通过特色强农、质量强农、产业融合强农、科技强农等手段，因地制宜地发展当地特色产业。第三，急农村所急，解农民所需。一方面做好对接市场、对接技术、对接生产资料、对接金融的服务，另一方面还要遵循市场经济规律，按照农村新趋势开展政府服务，从实际出发，因地制宜解决农民服务的问题。</w:t>
      </w:r>
    </w:p>
    <w:p w14:paraId="5ABE470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村美：一体化推进宜居宜业美丽乡村建设。一要强化农村环境保护意识，推进农业绿色发展。通过推广有机农业、绿色种植等方式，减少化肥农药的使用量，降低农业对环境的污染，切实改善农产品的饮食安全状况。二是促进乡村生态旅游发展。结合当地文化传承特色，开发乡村旅游资源，推动农村经济转型升级，实现可持续发展。健全美丽乡村可持续发展的惩戒机制，实施以绿色生态为导向的农业生态治理补贴制度，进一步完善耕地保护补偿机制和耕地轮作休耕制度，建立耕地、碳汇、景观、生物多样性等生态保护补偿机制，落实好生态保护奖补政策。三是科学合理编制乡村建设规划。根据各个地区的地域特点和村民需求，制定具有特色的乡村建设规划，确保规划的针对性和可行性并建立健全后期监督管理制度，助推美丽乡村建设顺利实施和集中维护。</w:t>
      </w:r>
    </w:p>
    <w:p w14:paraId="3B37E2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农民富：多维度助推农民增收致富。一是大力培育农业合作经济组织，发展村集体层面的共富实体企业。成立农副产供销中介组织和相关服务配套机构，发展农村专业分工，变无序竞争为有序竞争。通过政府引导、政策扶持、市区镇村奖励等形式，培育一批善于开拓农副产品市场的经纪人组织。大力发展直接面对市场竞争的各类农村合作合股、中介经营等新经济组织，引导带领农民适时适度生产，调控供求关系，避免生产过剩或不足。二是加强农村基础设施建设，加快推进中心村镇建设，在村镇创造就业机会，增加农民收入。三是整合农村科技资源，推进农业技术升级和市场化运作。要推动新质生产力大发展，加强农业生产中科学农业、智慧农业、数字农业、体验农业的发展建设，实现“传统种植”向“现代工厂”转型。四是深化农村改革，赋予农民更多产权。通过深化改革增加收入，发展土地股份，推动资源变资产、资本变股份、农民变股东。完善农业支持保护体系，通过建立多层次社会保障体系，强化民生保障，增加收入。</w:t>
      </w:r>
    </w:p>
    <w:p w14:paraId="699021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土地丰：全方位提升土地利用效率。第一，提高土地资源开发效益、生态价值，使得社会价值土地共享、有效利用，提高土地利用的经济效益。第二，通过对当地土地利用状况的调查，盘活农村闲置土地，提高土地利用效率，为区域振兴提供可复制、可推广的经验。第三，为了促进节约集约用地，严格控制并抵消建设用地增加，从紧约束土地供应。第四，在公平和效率的基础上，进一步改进和完善家庭承包为基础的双层经营制度，通过土地托管等深化农村土地制度改革，充分发挥市场配置土地资源的基础性作用，加快经营性基础设施和公共服务设施建设，推动产业结构调整和转型升级。第五，实施土地内涵挖潜和整治再开发战略，积极完成城镇低效用地再开发、农村建设用地整治、历史遗留工矿废弃地复垦利用等项目。</w:t>
      </w:r>
    </w:p>
    <w:p w14:paraId="0EAD83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资本足：长效化推动资本与金融服务乡村振兴。首先，围绕做大做强当地主导产业，不断提高主导产业经济效益，增强贷款资金安全保障系数。应组织开展“平台+产业+服务”金融助农专项行动，引导金融机构聚焦地域特色产业发展，加大涉农信贷投放力度，推出一系列金融创新产品。打造绿色产业助农支农新模式，聚焦农业农村重点领域和薄弱环节，引导金融机构因“业”制宜，利用县域新兴能源特色，围绕清洁能源、节能环保、碳减排技术等重点领域，创新抵质押新型信贷产品，向具有显著减排效应的项目投放优惠利率贷款。其次，必须加大农业资金扶持，建立稳定、灵活的新型农业经营主体与农户合作联结机制，留住当地资本、引入外来资本，鼓励国有资本下乡，盘活政府与企业的资金，实现资产增值。构建“实体经济+科技创新+资本金融”齐头并进的现代经济新体系，全面推广“电商企业+基地+专业合作社+农户”模式，打造特色产业园区，实现产销一体化。</w:t>
      </w:r>
    </w:p>
    <w:p w14:paraId="043A5E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（作者 罗玉辉 程恩富 分别为安徽大学马克思主义学院副教授，中国社会科学院学部委员、首席教授）</w:t>
      </w:r>
    </w:p>
    <w:p w14:paraId="56E34FB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（2023年9月27日《贵州日报》）</w:t>
      </w:r>
    </w:p>
    <w:p w14:paraId="65310C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3E219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p>
    <w:p w14:paraId="3690C3B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AFF5B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32D4E7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p>
    <w:p w14:paraId="6907743B">
      <w:pPr>
        <w:pStyle w:val="3"/>
        <w:bidi w:val="0"/>
        <w:rPr>
          <w:rFonts w:hint="eastAsia"/>
        </w:rPr>
      </w:pPr>
      <w:bookmarkStart w:id="625" w:name="_Toc1094275342"/>
      <w:bookmarkStart w:id="626" w:name="_Toc17082"/>
      <w:bookmarkStart w:id="627" w:name="_Toc1692921989"/>
      <w:bookmarkStart w:id="628" w:name="_Toc531253151"/>
      <w:bookmarkStart w:id="629" w:name="_Toc514265803"/>
      <w:bookmarkStart w:id="630" w:name="_Toc1831124833"/>
      <w:r>
        <w:rPr>
          <w:rFonts w:hint="eastAsia"/>
          <w:lang w:val="en-US" w:eastAsia="zh-CN"/>
        </w:rPr>
        <w:t>18</w:t>
      </w:r>
      <w:r>
        <w:rPr>
          <w:rFonts w:hint="eastAsia"/>
        </w:rPr>
        <w:t>文化发展与经济发展的融合互促关系</w:t>
      </w:r>
      <w:bookmarkEnd w:id="625"/>
      <w:bookmarkEnd w:id="626"/>
      <w:bookmarkEnd w:id="627"/>
      <w:bookmarkEnd w:id="628"/>
      <w:bookmarkEnd w:id="629"/>
      <w:bookmarkEnd w:id="630"/>
    </w:p>
    <w:p w14:paraId="3E6552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习近平总书记提出：“所谓文化经济是对文化经济化和经济文化化的统称，其实质是文化与经济的交融互动、融合发展。”</w:t>
      </w:r>
      <w:r>
        <w:rPr>
          <w:rFonts w:hint="eastAsia"/>
          <w:sz w:val="24"/>
          <w:lang w:eastAsia="zh-CN"/>
        </w:rPr>
        <w:t>学习</w:t>
      </w:r>
      <w:r>
        <w:rPr>
          <w:rFonts w:hint="eastAsia"/>
          <w:sz w:val="24"/>
        </w:rPr>
        <w:t>习近平总书记提出的人文经济学以及关于文化与经济融合发展的重要论述，</w:t>
      </w:r>
      <w:r>
        <w:rPr>
          <w:rFonts w:hint="eastAsia"/>
          <w:sz w:val="24"/>
          <w:lang w:eastAsia="zh-CN"/>
        </w:rPr>
        <w:t>就要</w:t>
      </w:r>
      <w:r>
        <w:rPr>
          <w:rFonts w:hint="eastAsia"/>
          <w:sz w:val="24"/>
        </w:rPr>
        <w:t xml:space="preserve">深入研究文化发展与经济发展的融合互促关系。 </w:t>
      </w:r>
    </w:p>
    <w:p w14:paraId="65B616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在当今社会主义条件下，文化发展对经济发展有着积极的效应。它主要表现在以下三个方面：其一，文化发展能有力地推动社会主义经济增长</w:t>
      </w:r>
      <w:r>
        <w:rPr>
          <w:rFonts w:hint="eastAsia"/>
          <w:sz w:val="24"/>
          <w:lang w:eastAsia="zh-CN"/>
        </w:rPr>
        <w:t>。教育训练和科学技术是经济增长的主要源泉，加快我国经济增长速度和经济效益，必须切实抓好教育、科学技术等文化事业的发展；</w:t>
      </w:r>
      <w:r>
        <w:rPr>
          <w:rFonts w:hint="eastAsia"/>
          <w:sz w:val="24"/>
        </w:rPr>
        <w:t>其二，文化发展能积极促进社会主义产业结构合理化和高</w:t>
      </w:r>
      <w:r>
        <w:rPr>
          <w:rFonts w:hint="eastAsia"/>
          <w:sz w:val="24"/>
          <w:lang w:val="en-US" w:eastAsia="zh-CN"/>
        </w:rPr>
        <w:t>级</w:t>
      </w:r>
      <w:r>
        <w:rPr>
          <w:rFonts w:hint="eastAsia"/>
          <w:sz w:val="24"/>
        </w:rPr>
        <w:t>化</w:t>
      </w:r>
      <w:r>
        <w:rPr>
          <w:rFonts w:hint="eastAsia"/>
          <w:sz w:val="24"/>
          <w:lang w:eastAsia="zh-CN"/>
        </w:rPr>
        <w:t>。文化发展有助于物质产业与文化产业保持良好的比例，文化生产的不断进步，也必然引起物质产业结构的巨大变化。</w:t>
      </w:r>
      <w:r>
        <w:rPr>
          <w:rFonts w:hint="eastAsia"/>
          <w:sz w:val="24"/>
        </w:rPr>
        <w:t>其三，文化发展能改变社会消费结构和提高劳动力素质。文化生活消费是消费结构的重要组成部分，是人自身的内含式扩大再生产的主要原因，它能提高全体劳动者的科学文化和技术素质，最终为生产力和整个社会主义市场经济的发展源源不断地提供高质量的劳动力和各类人才。当代经济竞争的实质是以教育和科学发展为核心的文化竞争，社会主义</w:t>
      </w:r>
      <w:r>
        <w:rPr>
          <w:rFonts w:hint="eastAsia"/>
          <w:sz w:val="24"/>
          <w:lang w:eastAsia="zh-CN"/>
        </w:rPr>
        <w:t>文化发展</w:t>
      </w:r>
      <w:r>
        <w:rPr>
          <w:rFonts w:hint="eastAsia"/>
          <w:sz w:val="24"/>
        </w:rPr>
        <w:t>就是从根本上奠定国际经济竞争的扎实基础。此外，文化因素势必日益渗透到市场经济活动中，致使物质生产的产品和服务逐渐艺术化。</w:t>
      </w:r>
    </w:p>
    <w:p w14:paraId="723DCCB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在充分肯定文化发展对经济发展具有积极意义的同时，也必须看到经济发展对社会主义文化发展的正能量。这种促进效应集中表现在两个方面</w:t>
      </w:r>
      <w:r>
        <w:rPr>
          <w:rFonts w:hint="eastAsia"/>
          <w:sz w:val="24"/>
          <w:lang w:eastAsia="zh-CN"/>
        </w:rPr>
        <w:t>：</w:t>
      </w:r>
    </w:p>
    <w:p w14:paraId="32DB12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rPr>
      </w:pPr>
      <w:r>
        <w:rPr>
          <w:rFonts w:hint="eastAsia"/>
          <w:sz w:val="24"/>
        </w:rPr>
        <w:t>第一，公有制</w:t>
      </w:r>
      <w:r>
        <w:rPr>
          <w:rFonts w:hint="eastAsia"/>
          <w:sz w:val="24"/>
          <w:lang w:val="en-US" w:eastAsia="zh-CN"/>
        </w:rPr>
        <w:t>主体型</w:t>
      </w:r>
      <w:r>
        <w:rPr>
          <w:rFonts w:hint="eastAsia"/>
          <w:sz w:val="24"/>
        </w:rPr>
        <w:t>市场经济发展的要求</w:t>
      </w:r>
      <w:r>
        <w:rPr>
          <w:rFonts w:hint="eastAsia"/>
          <w:sz w:val="24"/>
          <w:lang w:eastAsia="zh-CN"/>
        </w:rPr>
        <w:t>，</w:t>
      </w:r>
      <w:r>
        <w:rPr>
          <w:rFonts w:hint="eastAsia"/>
          <w:sz w:val="24"/>
        </w:rPr>
        <w:t>从根本上规定着文化生产的性质和方向。在社会主义条件下，市场经济发展和公有制主体型经济基础的内在要求</w:t>
      </w:r>
      <w:r>
        <w:rPr>
          <w:rFonts w:hint="eastAsia"/>
          <w:sz w:val="24"/>
          <w:lang w:eastAsia="zh-CN"/>
        </w:rPr>
        <w:t>，</w:t>
      </w:r>
      <w:r>
        <w:rPr>
          <w:rFonts w:hint="eastAsia"/>
          <w:sz w:val="24"/>
        </w:rPr>
        <w:t>对于社会主义文化生产和建设的规定是：首先，它规定新型社会主义的文化必须建立在生产资料公有制为主体和市场经济的基础上，并为之服务；其次，它规定新型社会主义文化必须把社会效益放在首位，</w:t>
      </w:r>
      <w:r>
        <w:rPr>
          <w:rFonts w:hint="eastAsia"/>
          <w:sz w:val="24"/>
          <w:lang w:val="en-US" w:eastAsia="zh-CN"/>
        </w:rPr>
        <w:t>有机结合经济效益，以劳动人民而不是以私人资本为核心，</w:t>
      </w:r>
      <w:r>
        <w:rPr>
          <w:rFonts w:hint="eastAsia"/>
          <w:sz w:val="24"/>
        </w:rPr>
        <w:t>为</w:t>
      </w:r>
      <w:r>
        <w:rPr>
          <w:rFonts w:hint="eastAsia"/>
          <w:sz w:val="24"/>
          <w:lang w:val="en-US" w:eastAsia="zh-CN"/>
        </w:rPr>
        <w:t>全体人民</w:t>
      </w:r>
      <w:r>
        <w:rPr>
          <w:rFonts w:hint="eastAsia"/>
          <w:sz w:val="24"/>
        </w:rPr>
        <w:t>的全面自由发展创造社会精神环境；再次，它规定新型社会主义文化必须体现生产者与享受者—致的原则</w:t>
      </w:r>
      <w:r>
        <w:rPr>
          <w:rFonts w:hint="eastAsia"/>
          <w:sz w:val="24"/>
          <w:lang w:eastAsia="zh-CN"/>
        </w:rPr>
        <w:t>，</w:t>
      </w:r>
      <w:r>
        <w:rPr>
          <w:rFonts w:hint="eastAsia"/>
          <w:sz w:val="24"/>
          <w:lang w:val="en-US" w:eastAsia="zh-CN"/>
        </w:rPr>
        <w:t>缩小文化消费的贫富差距</w:t>
      </w:r>
      <w:r>
        <w:rPr>
          <w:rFonts w:hint="eastAsia"/>
          <w:sz w:val="24"/>
        </w:rPr>
        <w:t>。</w:t>
      </w:r>
    </w:p>
    <w:p w14:paraId="40C54D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val="en-US" w:eastAsia="zh-CN"/>
        </w:rPr>
      </w:pPr>
      <w:r>
        <w:rPr>
          <w:rFonts w:hint="eastAsia"/>
          <w:sz w:val="24"/>
        </w:rPr>
        <w:t>第二，经济发展的水平从总体上制约着文化发展的状况。</w:t>
      </w:r>
      <w:r>
        <w:rPr>
          <w:rFonts w:hint="eastAsia"/>
          <w:sz w:val="24"/>
          <w:lang w:val="en-US" w:eastAsia="zh-CN"/>
        </w:rPr>
        <w:t>一般说来，</w:t>
      </w:r>
      <w:r>
        <w:rPr>
          <w:rFonts w:hint="eastAsia"/>
          <w:sz w:val="24"/>
        </w:rPr>
        <w:t>经济发展水平既推动又约束文化发展发展状况表现</w:t>
      </w:r>
      <w:r>
        <w:rPr>
          <w:rFonts w:hint="eastAsia"/>
          <w:sz w:val="24"/>
          <w:lang w:eastAsia="zh-CN"/>
        </w:rPr>
        <w:t>为：</w:t>
      </w:r>
      <w:r>
        <w:rPr>
          <w:rFonts w:hint="eastAsia"/>
          <w:sz w:val="24"/>
        </w:rPr>
        <w:t>经济发展水平决定了文化发展的规模；市场经济发展水平决定了文化生产的效率和结构；市场经济发展水平决定了文化普及的方式和程度。</w:t>
      </w:r>
      <w:r>
        <w:rPr>
          <w:rFonts w:hint="eastAsia"/>
          <w:sz w:val="24"/>
          <w:lang w:val="en-US" w:eastAsia="zh-CN"/>
        </w:rPr>
        <w:t>诚然，国家调控经济和文化的不同情况，也必然较大地影响二者的发展及其相互关系。</w:t>
      </w:r>
    </w:p>
    <w:p w14:paraId="3AD395B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综上所述，文化发展与经济发展之间存在共生互动效应，它们有互渗性和互制性</w:t>
      </w:r>
      <w:r>
        <w:rPr>
          <w:rFonts w:hint="eastAsia"/>
          <w:sz w:val="24"/>
          <w:lang w:eastAsia="zh-CN"/>
        </w:rPr>
        <w:t>，</w:t>
      </w:r>
      <w:r>
        <w:rPr>
          <w:rFonts w:hint="eastAsia"/>
          <w:sz w:val="24"/>
        </w:rPr>
        <w:t>其特点正如恩格斯所概括的：“政治、法律、哲学、宗教、文学、艺术等的发展是以经济发展为基础的。但是，它们又都互相影响并对经济基础发生影响。</w:t>
      </w:r>
      <w:r>
        <w:rPr>
          <w:rFonts w:hint="eastAsia"/>
          <w:sz w:val="24"/>
          <w:lang w:eastAsia="zh-CN"/>
        </w:rPr>
        <w:t>”</w:t>
      </w:r>
    </w:p>
    <w:p w14:paraId="47229E8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sz w:val="24"/>
          <w:lang w:eastAsia="zh-CN"/>
        </w:rPr>
      </w:pPr>
      <w:r>
        <w:rPr>
          <w:rFonts w:hint="eastAsia"/>
          <w:sz w:val="24"/>
        </w:rPr>
        <w:t>最后应当指出，马克思在《&lt;政治经济学批判&gt;导言》中曾经批判了当时资产阶级经济学家关于物质生产与艺术生产“绝对平衡论”的时髦观点</w:t>
      </w:r>
      <w:r>
        <w:rPr>
          <w:rFonts w:hint="eastAsia"/>
          <w:sz w:val="24"/>
          <w:lang w:eastAsia="zh-CN"/>
        </w:rPr>
        <w:t>，</w:t>
      </w:r>
      <w:r>
        <w:rPr>
          <w:rFonts w:hint="eastAsia"/>
          <w:sz w:val="24"/>
        </w:rPr>
        <w:t>揭示</w:t>
      </w:r>
      <w:r>
        <w:rPr>
          <w:rFonts w:hint="eastAsia"/>
          <w:sz w:val="24"/>
          <w:lang w:eastAsia="zh-CN"/>
        </w:rPr>
        <w:t>出</w:t>
      </w:r>
      <w:r>
        <w:rPr>
          <w:rFonts w:hint="eastAsia"/>
          <w:sz w:val="24"/>
        </w:rPr>
        <w:t>关于“物质生产的发展例如同艺术生产的不平衡关系”的规律，在社会主义市场经济条件下同样存在。这种不平衡规律说明，文化与经济（物质生产）是两个社会系统，它们</w:t>
      </w:r>
      <w:r>
        <w:rPr>
          <w:rFonts w:hint="eastAsia"/>
          <w:sz w:val="24"/>
          <w:lang w:eastAsia="zh-CN"/>
        </w:rPr>
        <w:t>的</w:t>
      </w:r>
      <w:r>
        <w:rPr>
          <w:rFonts w:hint="eastAsia"/>
          <w:sz w:val="24"/>
        </w:rPr>
        <w:t>各自发展有其内在动因和独立性，正是这种相对独立性导致文化发展与经济发展存在—定的不平衡现象。引起文化发展与经济发展不平衡现象的原因是多种多样的</w:t>
      </w:r>
      <w:r>
        <w:rPr>
          <w:rFonts w:hint="eastAsia"/>
          <w:sz w:val="24"/>
          <w:lang w:eastAsia="zh-CN"/>
        </w:rPr>
        <w:t>，</w:t>
      </w:r>
      <w:r>
        <w:rPr>
          <w:rFonts w:hint="eastAsia"/>
          <w:sz w:val="24"/>
          <w:lang w:val="en-US" w:eastAsia="zh-CN"/>
        </w:rPr>
        <w:t>其中包括贯彻“百花齐放百家争鸣”方针的不同情况</w:t>
      </w:r>
      <w:r>
        <w:rPr>
          <w:rFonts w:hint="eastAsia"/>
          <w:sz w:val="24"/>
        </w:rPr>
        <w:t>。不过，我们还应当重视恩格斯的这—段话：“我们所研究的领域愈是远离经济领域，愈是接近于纯粹抽象的思想领域，我们在它的发展中看到的偶然性就愈多，它的曲线就愈是曲折。如果您划出曲折的中轴线，您就会发觉，研究的时期愈长，研究的范围愈广，这个曲线就愈接近经济发展的轴线，就愈是跟后者平行而进。”这清楚地表明，文化发展与经济发展不平衡演化的现象，并不否定它们在相互作用中大步前进</w:t>
      </w:r>
      <w:r>
        <w:rPr>
          <w:rFonts w:hint="eastAsia"/>
          <w:sz w:val="24"/>
          <w:lang w:eastAsia="zh-CN"/>
        </w:rPr>
        <w:t>。</w:t>
      </w:r>
      <w:r>
        <w:rPr>
          <w:rFonts w:hint="eastAsia"/>
          <w:sz w:val="24"/>
          <w:lang w:val="en-US" w:eastAsia="zh-CN"/>
        </w:rPr>
        <w:t>只有同时推动经济与文化的高质量发展，才能加速实现中国式现代化</w:t>
      </w:r>
      <w:r>
        <w:rPr>
          <w:rFonts w:hint="eastAsia"/>
          <w:sz w:val="24"/>
        </w:rPr>
        <w:t>。</w:t>
      </w:r>
      <w:r>
        <w:rPr>
          <w:rFonts w:hint="eastAsia"/>
          <w:sz w:val="24"/>
          <w:lang w:eastAsia="zh-CN"/>
        </w:rPr>
        <w:t>（作者为中国社会科学院马克思主义研究院原院长、学部委员）</w:t>
      </w:r>
    </w:p>
    <w:p w14:paraId="4CE8E8B0">
      <w:pPr>
        <w:rPr>
          <w:rFonts w:hint="eastAsia"/>
          <w:lang w:eastAsia="zh-CN"/>
        </w:rPr>
      </w:pPr>
    </w:p>
    <w:p w14:paraId="29D03BD9">
      <w:pPr>
        <w:rPr>
          <w:sz w:val="24"/>
          <w:szCs w:val="32"/>
        </w:rPr>
      </w:pPr>
    </w:p>
    <w:p w14:paraId="4E1E093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4" w:firstLineChars="200"/>
        <w:jc w:val="both"/>
        <w:textAlignment w:val="baseline"/>
        <w:outlineLvl w:val="9"/>
        <w:rPr>
          <w:rFonts w:hint="default" w:ascii="Times New Roman" w:hAnsi="Times New Roman" w:eastAsia="宋体" w:cs="Times New Roman"/>
          <w:spacing w:val="-4"/>
          <w:sz w:val="24"/>
          <w:szCs w:val="24"/>
          <w:lang w:val="en-US" w:eastAsia="zh-CN"/>
        </w:rPr>
      </w:pPr>
    </w:p>
    <w:p w14:paraId="726F4986">
      <w:pPr>
        <w:pStyle w:val="2"/>
        <w:bidi w:val="0"/>
        <w:rPr>
          <w:rFonts w:hint="default"/>
          <w:lang w:val="en-US" w:eastAsia="zh-CN"/>
        </w:rPr>
      </w:pPr>
      <w:bookmarkStart w:id="631" w:name="_Toc929030020"/>
      <w:bookmarkStart w:id="632" w:name="_Toc1682188278"/>
      <w:bookmarkStart w:id="633" w:name="_Toc8906"/>
      <w:bookmarkStart w:id="634" w:name="_Toc435720086"/>
      <w:bookmarkStart w:id="635" w:name="_Toc1791155493"/>
      <w:bookmarkStart w:id="636" w:name="_Toc126923074"/>
      <w:r>
        <w:rPr>
          <w:rFonts w:hint="eastAsia"/>
          <w:lang w:val="en-US" w:eastAsia="zh-CN"/>
        </w:rPr>
        <w:t>2025年</w:t>
      </w:r>
      <w:bookmarkEnd w:id="631"/>
      <w:bookmarkEnd w:id="632"/>
      <w:bookmarkEnd w:id="633"/>
      <w:bookmarkEnd w:id="634"/>
      <w:bookmarkEnd w:id="635"/>
      <w:bookmarkEnd w:id="636"/>
    </w:p>
    <w:p w14:paraId="23E5FD4D">
      <w:pPr>
        <w:pStyle w:val="3"/>
        <w:bidi w:val="0"/>
        <w:rPr>
          <w:rFonts w:hint="default"/>
        </w:rPr>
      </w:pPr>
      <w:bookmarkStart w:id="637" w:name="_Toc2001432450"/>
      <w:bookmarkStart w:id="638" w:name="_Toc524607205"/>
      <w:bookmarkStart w:id="639" w:name="_Toc228249132"/>
      <w:bookmarkStart w:id="640" w:name="_Toc916175591"/>
      <w:bookmarkStart w:id="641" w:name="_Toc23884"/>
      <w:bookmarkStart w:id="642" w:name="_Toc744843247"/>
      <w:r>
        <w:rPr>
          <w:rFonts w:hint="eastAsia"/>
          <w:lang w:val="en-US" w:eastAsia="zh-CN"/>
        </w:rPr>
        <w:t>1</w:t>
      </w:r>
      <w:r>
        <w:rPr>
          <w:rFonts w:hint="default"/>
        </w:rPr>
        <w:t>“ 印太战略”视域下大国博弈与中国应对方略</w:t>
      </w:r>
      <w:bookmarkEnd w:id="637"/>
      <w:bookmarkEnd w:id="638"/>
      <w:bookmarkEnd w:id="639"/>
      <w:bookmarkEnd w:id="640"/>
      <w:bookmarkEnd w:id="641"/>
      <w:bookmarkEnd w:id="642"/>
    </w:p>
    <w:p w14:paraId="2D67E01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F7E293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内容摘要：“印太战略”由特朗普政府正式提出并系统阐述，经拜登政府全面继承并深入细化。</w:t>
      </w:r>
      <w:r>
        <w:rPr>
          <w:rFonts w:hint="default" w:ascii="Times New Roman" w:hAnsi="Times New Roman" w:eastAsia="宋体" w:cs="Times New Roman"/>
          <w:color w:val="231F20"/>
          <w:spacing w:val="6"/>
          <w:sz w:val="24"/>
          <w:szCs w:val="24"/>
        </w:rPr>
        <w:t>“印太战略”的目的在于维持美国的霸权优势，遏制中国的发展。</w:t>
      </w:r>
      <w:r>
        <w:rPr>
          <w:rFonts w:hint="default" w:ascii="Times New Roman" w:hAnsi="Times New Roman" w:eastAsia="宋体" w:cs="Times New Roman"/>
          <w:color w:val="231F20"/>
          <w:spacing w:val="5"/>
          <w:sz w:val="24"/>
          <w:szCs w:val="24"/>
        </w:rPr>
        <w:t>为了推进“印太战略”，美国在安</w:t>
      </w:r>
      <w:r>
        <w:rPr>
          <w:rFonts w:hint="default" w:ascii="Times New Roman" w:hAnsi="Times New Roman" w:eastAsia="宋体" w:cs="Times New Roman"/>
          <w:color w:val="231F20"/>
          <w:spacing w:val="11"/>
          <w:sz w:val="24"/>
          <w:szCs w:val="24"/>
        </w:rPr>
        <w:t>全上加强联盟体系，注重打造伙伴关系，不断提升对华竞争的“非</w:t>
      </w:r>
      <w:r>
        <w:rPr>
          <w:rFonts w:hint="default" w:ascii="Times New Roman" w:hAnsi="Times New Roman" w:eastAsia="宋体" w:cs="Times New Roman"/>
          <w:color w:val="231F20"/>
          <w:spacing w:val="10"/>
          <w:sz w:val="24"/>
          <w:szCs w:val="24"/>
        </w:rPr>
        <w:t>对称优势”；在军事上加大军费</w:t>
      </w:r>
      <w:r>
        <w:rPr>
          <w:rFonts w:hint="default" w:ascii="Times New Roman" w:hAnsi="Times New Roman" w:eastAsia="宋体" w:cs="Times New Roman"/>
          <w:color w:val="231F20"/>
          <w:spacing w:val="8"/>
          <w:sz w:val="24"/>
          <w:szCs w:val="24"/>
        </w:rPr>
        <w:t>投入，全方位推进对华“一体化威慑”，步步紧逼中国；在经济上提高对华关税，重组产业链体</w:t>
      </w:r>
      <w:r>
        <w:rPr>
          <w:rFonts w:hint="default" w:ascii="Times New Roman" w:hAnsi="Times New Roman" w:eastAsia="宋体" w:cs="Times New Roman"/>
          <w:color w:val="231F20"/>
          <w:spacing w:val="7"/>
          <w:sz w:val="24"/>
          <w:szCs w:val="24"/>
        </w:rPr>
        <w:t>系，</w:t>
      </w:r>
      <w:r>
        <w:rPr>
          <w:rFonts w:hint="default" w:ascii="Times New Roman" w:hAnsi="Times New Roman" w:eastAsia="宋体" w:cs="Times New Roman"/>
          <w:color w:val="231F20"/>
          <w:spacing w:val="12"/>
          <w:sz w:val="24"/>
          <w:szCs w:val="24"/>
        </w:rPr>
        <w:t>试图让地区国家与中国在经济与科技上“脱钩断链”。面对</w:t>
      </w:r>
      <w:r>
        <w:rPr>
          <w:rFonts w:hint="default" w:ascii="Times New Roman" w:hAnsi="Times New Roman" w:eastAsia="宋体" w:cs="Times New Roman"/>
          <w:color w:val="231F20"/>
          <w:spacing w:val="11"/>
          <w:sz w:val="24"/>
          <w:szCs w:val="24"/>
        </w:rPr>
        <w:t>美国的全方位遏制与打压，中国必须做</w:t>
      </w:r>
      <w:r>
        <w:rPr>
          <w:rFonts w:hint="default" w:ascii="Times New Roman" w:hAnsi="Times New Roman" w:eastAsia="宋体" w:cs="Times New Roman"/>
          <w:color w:val="231F20"/>
          <w:spacing w:val="20"/>
          <w:sz w:val="24"/>
          <w:szCs w:val="24"/>
        </w:rPr>
        <w:t>好全方位应对之策。</w:t>
      </w:r>
    </w:p>
    <w:p w14:paraId="1DF0756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关键词：美国中国“印太战略”大国博弈</w:t>
      </w:r>
    </w:p>
    <w:p w14:paraId="468AE5A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44676FAE">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468C38D0">
      <w:pPr>
        <w:keepNext w:val="0"/>
        <w:keepLines w:val="0"/>
        <w:pageBreakBefore w:val="0"/>
        <w:widowControl/>
        <w:tabs>
          <w:tab w:val="left" w:pos="10635"/>
        </w:tabs>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自2017年特朗普就任美国总统以来，“印太”逐渐成为全球关注的热点。印太地区占</w:t>
      </w:r>
      <w:r>
        <w:rPr>
          <w:rFonts w:hint="default" w:ascii="Times New Roman" w:hAnsi="Times New Roman" w:eastAsia="宋体" w:cs="Times New Roman"/>
          <w:color w:val="231F20"/>
          <w:spacing w:val="10"/>
          <w:sz w:val="24"/>
          <w:szCs w:val="24"/>
        </w:rPr>
        <w:t>据世界海洋面积的65%、陆地面积的25%</w:t>
      </w:r>
      <w:r>
        <w:rPr>
          <w:rFonts w:hint="default" w:ascii="Times New Roman" w:hAnsi="Times New Roman" w:eastAsia="宋体" w:cs="Times New Roman"/>
          <w:color w:val="231F20"/>
          <w:spacing w:val="9"/>
          <w:sz w:val="24"/>
          <w:szCs w:val="24"/>
        </w:rPr>
        <w:t>，拥有全球一半以上的人口。作为全球经济最具活力的地区，印太地区占全球国内生产总值（</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9"/>
          <w:sz w:val="24"/>
          <w:szCs w:val="24"/>
        </w:rPr>
        <w:t>）的60%，有全球最大的经济体——美</w:t>
      </w:r>
      <w:r>
        <w:rPr>
          <w:rFonts w:hint="default" w:ascii="Times New Roman" w:hAnsi="Times New Roman" w:eastAsia="宋体" w:cs="Times New Roman"/>
          <w:color w:val="231F20"/>
          <w:spacing w:val="7"/>
          <w:sz w:val="24"/>
          <w:szCs w:val="24"/>
        </w:rPr>
        <w:t>国、中国和日本，以及印度、柬埔寨、老挝等全球增长较快的经济体。印太地区是全</w:t>
      </w:r>
      <w:r>
        <w:rPr>
          <w:rFonts w:hint="default" w:ascii="Times New Roman" w:hAnsi="Times New Roman" w:eastAsia="宋体" w:cs="Times New Roman"/>
          <w:color w:val="231F20"/>
          <w:spacing w:val="6"/>
          <w:sz w:val="24"/>
          <w:szCs w:val="24"/>
        </w:rPr>
        <w:t>球大</w:t>
      </w:r>
      <w:r>
        <w:rPr>
          <w:rFonts w:hint="default" w:ascii="Times New Roman" w:hAnsi="Times New Roman" w:eastAsia="宋体" w:cs="Times New Roman"/>
          <w:color w:val="231F20"/>
          <w:spacing w:val="10"/>
          <w:sz w:val="24"/>
          <w:szCs w:val="24"/>
        </w:rPr>
        <w:t>国博弈最为激烈的区域，对国际局势的发展演变具有深刻的影响力。随</w:t>
      </w:r>
      <w:r>
        <w:rPr>
          <w:rFonts w:hint="default" w:ascii="Times New Roman" w:hAnsi="Times New Roman" w:eastAsia="宋体" w:cs="Times New Roman"/>
          <w:color w:val="231F20"/>
          <w:spacing w:val="9"/>
          <w:sz w:val="24"/>
          <w:szCs w:val="24"/>
        </w:rPr>
        <w:t>着美国“印太战略”</w:t>
      </w:r>
      <w:r>
        <w:rPr>
          <w:rFonts w:hint="default" w:ascii="Times New Roman" w:hAnsi="Times New Roman" w:eastAsia="宋体" w:cs="Times New Roman"/>
          <w:color w:val="231F20"/>
          <w:spacing w:val="7"/>
          <w:sz w:val="24"/>
          <w:szCs w:val="24"/>
        </w:rPr>
        <w:t>的深入推进，印太地区格局正在加速重组。</w:t>
      </w:r>
    </w:p>
    <w:p w14:paraId="38E476D7">
      <w:pPr>
        <w:pStyle w:val="4"/>
        <w:bidi w:val="0"/>
        <w:jc w:val="both"/>
        <w:rPr>
          <w:rFonts w:hint="default"/>
        </w:rPr>
      </w:pPr>
      <w:r>
        <w:rPr>
          <w:rFonts w:hint="default"/>
        </w:rPr>
        <w:t>一、“印太战略”的发展演进</w:t>
      </w:r>
    </w:p>
    <w:p w14:paraId="6D40114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作为各自独立的地理单元，印度洋和太平洋长期处于分离的状态。随着世界大航海时</w:t>
      </w:r>
      <w:r>
        <w:rPr>
          <w:rFonts w:hint="default" w:ascii="Times New Roman" w:hAnsi="Times New Roman" w:eastAsia="宋体" w:cs="Times New Roman"/>
          <w:color w:val="231F20"/>
          <w:spacing w:val="8"/>
          <w:sz w:val="24"/>
          <w:szCs w:val="24"/>
        </w:rPr>
        <w:t>代的到来，生物地理学和人种学的研究将印度洋和太平洋整合成一个海洋</w:t>
      </w:r>
      <w:r>
        <w:rPr>
          <w:rFonts w:hint="default" w:ascii="Times New Roman" w:hAnsi="Times New Roman" w:eastAsia="宋体" w:cs="Times New Roman"/>
          <w:color w:val="231F20"/>
          <w:spacing w:val="7"/>
          <w:sz w:val="24"/>
          <w:szCs w:val="24"/>
        </w:rPr>
        <w:t>生态体系。此后，</w:t>
      </w:r>
      <w:r>
        <w:rPr>
          <w:rFonts w:hint="default" w:ascii="Times New Roman" w:hAnsi="Times New Roman" w:eastAsia="宋体" w:cs="Times New Roman"/>
          <w:color w:val="231F20"/>
          <w:spacing w:val="9"/>
          <w:sz w:val="24"/>
          <w:szCs w:val="24"/>
        </w:rPr>
        <w:t>地缘政治话语的传播使印度洋-太平洋从生物地理区域逐渐转变为地缘战略区域。</w:t>
      </w:r>
    </w:p>
    <w:p w14:paraId="75D13BA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21世纪以来，随着印度洋-太平洋地区战略地位的不断提升，</w:t>
      </w:r>
      <w:r>
        <w:rPr>
          <w:rFonts w:hint="default" w:ascii="Times New Roman" w:hAnsi="Times New Roman" w:eastAsia="宋体" w:cs="Times New Roman"/>
          <w:color w:val="231F20"/>
          <w:spacing w:val="7"/>
          <w:sz w:val="24"/>
          <w:szCs w:val="24"/>
        </w:rPr>
        <w:t>“印太”一词引发了学术</w:t>
      </w:r>
      <w:r>
        <w:rPr>
          <w:rFonts w:hint="default" w:ascii="Times New Roman" w:hAnsi="Times New Roman" w:eastAsia="宋体" w:cs="Times New Roman"/>
          <w:color w:val="231F20"/>
          <w:spacing w:val="6"/>
          <w:sz w:val="24"/>
          <w:szCs w:val="24"/>
        </w:rPr>
        <w:t>界、战略界的重视和讨论。一般认为，最早对“印度洋-太平洋”的地缘</w:t>
      </w:r>
      <w:r>
        <w:rPr>
          <w:rFonts w:hint="default" w:ascii="Times New Roman" w:hAnsi="Times New Roman" w:eastAsia="宋体" w:cs="Times New Roman"/>
          <w:color w:val="231F20"/>
          <w:spacing w:val="5"/>
          <w:sz w:val="24"/>
          <w:szCs w:val="24"/>
        </w:rPr>
        <w:t>概念进行官方使用</w:t>
      </w:r>
      <w:r>
        <w:rPr>
          <w:rFonts w:hint="default" w:ascii="Times New Roman" w:hAnsi="Times New Roman" w:eastAsia="宋体" w:cs="Times New Roman"/>
          <w:color w:val="231F20"/>
          <w:spacing w:val="6"/>
          <w:sz w:val="24"/>
          <w:szCs w:val="24"/>
        </w:rPr>
        <w:t>的是安倍晋三。2007年8月，时任日本首相安倍晋三在印度议会的</w:t>
      </w:r>
      <w:r>
        <w:rPr>
          <w:rFonts w:hint="default" w:ascii="Times New Roman" w:hAnsi="Times New Roman" w:eastAsia="宋体" w:cs="Times New Roman"/>
          <w:color w:val="231F20"/>
          <w:spacing w:val="5"/>
          <w:sz w:val="24"/>
          <w:szCs w:val="24"/>
        </w:rPr>
        <w:t>演讲中指出：“在印度洋</w:t>
      </w:r>
      <w:r>
        <w:rPr>
          <w:rFonts w:hint="default" w:ascii="Times New Roman" w:hAnsi="Times New Roman" w:eastAsia="宋体" w:cs="Times New Roman"/>
          <w:color w:val="231F20"/>
          <w:spacing w:val="7"/>
          <w:sz w:val="24"/>
          <w:szCs w:val="24"/>
        </w:rPr>
        <w:t>与太平洋交汇处形成了更广阔的亚洲。”这一打破地理边界的“更广阔的亚洲”演变成一个</w:t>
      </w:r>
      <w:r>
        <w:rPr>
          <w:rFonts w:hint="default" w:ascii="Times New Roman" w:hAnsi="Times New Roman" w:eastAsia="宋体" w:cs="Times New Roman"/>
          <w:color w:val="231F20"/>
          <w:spacing w:val="20"/>
          <w:sz w:val="24"/>
          <w:szCs w:val="24"/>
        </w:rPr>
        <w:t>横跨整个太平洋的巨大网络，包括美国和澳大利亚。“</w:t>
      </w:r>
      <w:r>
        <w:rPr>
          <w:rFonts w:hint="default" w:ascii="Times New Roman" w:hAnsi="Times New Roman" w:eastAsia="宋体" w:cs="Times New Roman"/>
          <w:color w:val="231F20"/>
          <w:spacing w:val="19"/>
          <w:sz w:val="24"/>
          <w:szCs w:val="24"/>
        </w:rPr>
        <w:t>这是一片开放透明的自由繁荣之</w:t>
      </w:r>
      <w:r>
        <w:rPr>
          <w:rFonts w:hint="default" w:ascii="Times New Roman" w:hAnsi="Times New Roman" w:eastAsia="宋体" w:cs="Times New Roman"/>
          <w:color w:val="231F20"/>
          <w:spacing w:val="-26"/>
          <w:sz w:val="24"/>
          <w:szCs w:val="24"/>
        </w:rPr>
        <w:t>海。”</w:t>
      </w:r>
      <w:r>
        <w:rPr>
          <w:rFonts w:hint="default" w:ascii="Times New Roman" w:hAnsi="Times New Roman" w:eastAsia="宋体" w:cs="Times New Roman"/>
          <w:color w:val="231F20"/>
          <w:spacing w:val="11"/>
          <w:position w:val="9"/>
          <w:sz w:val="24"/>
          <w:szCs w:val="24"/>
        </w:rPr>
        <w:t>①</w:t>
      </w:r>
      <w:r>
        <w:rPr>
          <w:rFonts w:hint="default" w:ascii="Times New Roman" w:hAnsi="Times New Roman" w:eastAsia="宋体" w:cs="Times New Roman"/>
          <w:color w:val="231F20"/>
          <w:spacing w:val="11"/>
          <w:sz w:val="24"/>
          <w:szCs w:val="24"/>
        </w:rPr>
        <w:t>尽管安倍晋三未明确提出“印太”（</w:t>
      </w:r>
      <w:r>
        <w:rPr>
          <w:rFonts w:hint="default" w:ascii="Times New Roman" w:hAnsi="Times New Roman" w:eastAsia="宋体" w:cs="Times New Roman"/>
          <w:color w:val="231F20"/>
          <w:sz w:val="24"/>
          <w:szCs w:val="24"/>
        </w:rPr>
        <w:t>Indo</w:t>
      </w:r>
      <w:r>
        <w:rPr>
          <w:rFonts w:hint="default" w:ascii="Times New Roman" w:hAnsi="Times New Roman" w:eastAsia="宋体" w:cs="Times New Roman"/>
          <w:color w:val="231F20"/>
          <w:spacing w:val="11"/>
          <w:sz w:val="24"/>
          <w:szCs w:val="24"/>
        </w:rPr>
        <w:t>-</w:t>
      </w:r>
      <w:r>
        <w:rPr>
          <w:rFonts w:hint="default" w:ascii="Times New Roman" w:hAnsi="Times New Roman" w:eastAsia="宋体" w:cs="Times New Roman"/>
          <w:color w:val="231F20"/>
          <w:sz w:val="24"/>
          <w:szCs w:val="24"/>
        </w:rPr>
        <w:t>Pacific</w:t>
      </w:r>
      <w:r>
        <w:rPr>
          <w:rFonts w:hint="default" w:ascii="Times New Roman" w:hAnsi="Times New Roman" w:eastAsia="宋体" w:cs="Times New Roman"/>
          <w:color w:val="231F20"/>
          <w:spacing w:val="11"/>
          <w:sz w:val="24"/>
          <w:szCs w:val="24"/>
        </w:rPr>
        <w:t>）这一概</w:t>
      </w:r>
      <w:r>
        <w:rPr>
          <w:rFonts w:hint="default" w:ascii="Times New Roman" w:hAnsi="Times New Roman" w:eastAsia="宋体" w:cs="Times New Roman"/>
          <w:color w:val="231F20"/>
          <w:spacing w:val="10"/>
          <w:sz w:val="24"/>
          <w:szCs w:val="24"/>
        </w:rPr>
        <w:t>念，却为美国的“印太战</w:t>
      </w:r>
      <w:r>
        <w:rPr>
          <w:rFonts w:hint="default" w:ascii="Times New Roman" w:hAnsi="Times New Roman" w:eastAsia="宋体" w:cs="Times New Roman"/>
          <w:color w:val="231F20"/>
          <w:spacing w:val="6"/>
          <w:sz w:val="24"/>
          <w:szCs w:val="24"/>
        </w:rPr>
        <w:t>略”提供了最初的灵感。</w:t>
      </w:r>
    </w:p>
    <w:p w14:paraId="59BD9B9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随着中国综合实力的不断提升，美国在“泛安全化”理念指引下，把中国看成是自身</w:t>
      </w:r>
      <w:r>
        <w:rPr>
          <w:rFonts w:hint="default" w:ascii="Times New Roman" w:hAnsi="Times New Roman" w:eastAsia="宋体" w:cs="Times New Roman"/>
          <w:color w:val="231F20"/>
          <w:spacing w:val="14"/>
          <w:sz w:val="24"/>
          <w:szCs w:val="24"/>
        </w:rPr>
        <w:t>安全的威胁，认为在必要时需采取非同寻常</w:t>
      </w:r>
      <w:r>
        <w:rPr>
          <w:rFonts w:hint="default" w:ascii="Times New Roman" w:hAnsi="Times New Roman" w:eastAsia="宋体" w:cs="Times New Roman"/>
          <w:color w:val="231F20"/>
          <w:spacing w:val="13"/>
          <w:sz w:val="24"/>
          <w:szCs w:val="24"/>
        </w:rPr>
        <w:t>的措施予以应对。美国将“印太”概念纳入其</w:t>
      </w:r>
      <w:r>
        <w:rPr>
          <w:rFonts w:hint="default" w:ascii="Times New Roman" w:hAnsi="Times New Roman" w:eastAsia="宋体" w:cs="Times New Roman"/>
          <w:color w:val="231F20"/>
          <w:spacing w:val="4"/>
          <w:sz w:val="24"/>
          <w:szCs w:val="24"/>
        </w:rPr>
        <w:t>战略思维的核心，“印太战略”应运而生。</w:t>
      </w:r>
      <w:r>
        <w:rPr>
          <w:rFonts w:hint="default" w:ascii="Times New Roman" w:hAnsi="Times New Roman" w:eastAsia="宋体" w:cs="Times New Roman"/>
          <w:color w:val="231F20"/>
          <w:spacing w:val="4"/>
          <w:position w:val="9"/>
          <w:sz w:val="24"/>
          <w:szCs w:val="24"/>
        </w:rPr>
        <w:t>②</w:t>
      </w:r>
      <w:r>
        <w:rPr>
          <w:rFonts w:hint="default" w:ascii="Times New Roman" w:hAnsi="Times New Roman" w:eastAsia="宋体" w:cs="Times New Roman"/>
          <w:color w:val="231F20"/>
          <w:spacing w:val="4"/>
          <w:sz w:val="24"/>
          <w:szCs w:val="24"/>
        </w:rPr>
        <w:t>2017年11月10日，时任美国总统特朗普在越南</w:t>
      </w:r>
      <w:r>
        <w:rPr>
          <w:rFonts w:hint="default" w:ascii="Times New Roman" w:hAnsi="Times New Roman" w:eastAsia="宋体" w:cs="Times New Roman"/>
          <w:color w:val="231F20"/>
          <w:spacing w:val="10"/>
          <w:sz w:val="24"/>
          <w:szCs w:val="24"/>
        </w:rPr>
        <w:t>出席亚太经合组织工商领导人峰会时，正式提出要构建“自由开放的印太</w:t>
      </w:r>
      <w:r>
        <w:rPr>
          <w:rFonts w:hint="default" w:ascii="Times New Roman" w:hAnsi="Times New Roman" w:eastAsia="宋体" w:cs="Times New Roman"/>
          <w:color w:val="231F20"/>
          <w:spacing w:val="9"/>
          <w:sz w:val="24"/>
          <w:szCs w:val="24"/>
        </w:rPr>
        <w:t>”。</w:t>
      </w:r>
      <w:r>
        <w:rPr>
          <w:rFonts w:hint="default" w:ascii="Times New Roman" w:hAnsi="Times New Roman" w:eastAsia="宋体" w:cs="Times New Roman"/>
          <w:color w:val="231F20"/>
          <w:spacing w:val="9"/>
          <w:position w:val="9"/>
          <w:sz w:val="24"/>
          <w:szCs w:val="24"/>
        </w:rPr>
        <w:t>③</w:t>
      </w:r>
      <w:r>
        <w:rPr>
          <w:rFonts w:hint="default" w:ascii="Times New Roman" w:hAnsi="Times New Roman" w:eastAsia="宋体" w:cs="Times New Roman"/>
          <w:color w:val="231F20"/>
          <w:spacing w:val="9"/>
          <w:sz w:val="24"/>
          <w:szCs w:val="24"/>
        </w:rPr>
        <w:t>同年12月，</w:t>
      </w:r>
      <w:r>
        <w:rPr>
          <w:rFonts w:hint="default" w:ascii="Times New Roman" w:hAnsi="Times New Roman" w:eastAsia="宋体" w:cs="Times New Roman"/>
          <w:color w:val="231F20"/>
          <w:spacing w:val="7"/>
          <w:sz w:val="24"/>
          <w:szCs w:val="24"/>
        </w:rPr>
        <w:t>特朗普政府发布《美国国家安全战略》，明确“印太”具体指从印度西海岸一直延伸到美国</w:t>
      </w:r>
      <w:r>
        <w:rPr>
          <w:rFonts w:hint="default" w:ascii="Times New Roman" w:hAnsi="Times New Roman" w:eastAsia="宋体" w:cs="Times New Roman"/>
          <w:color w:val="231F20"/>
          <w:spacing w:val="10"/>
          <w:sz w:val="24"/>
          <w:szCs w:val="24"/>
        </w:rPr>
        <w:t>西海岸的广大地区。</w:t>
      </w:r>
      <w:r>
        <w:rPr>
          <w:rFonts w:hint="default" w:ascii="Times New Roman" w:hAnsi="Times New Roman" w:eastAsia="宋体" w:cs="Times New Roman"/>
          <w:color w:val="231F20"/>
          <w:spacing w:val="10"/>
          <w:position w:val="9"/>
          <w:sz w:val="24"/>
          <w:szCs w:val="24"/>
        </w:rPr>
        <w:t>④</w:t>
      </w:r>
      <w:r>
        <w:rPr>
          <w:rFonts w:hint="default" w:ascii="Times New Roman" w:hAnsi="Times New Roman" w:eastAsia="宋体" w:cs="Times New Roman"/>
          <w:color w:val="231F20"/>
          <w:spacing w:val="10"/>
          <w:sz w:val="24"/>
          <w:szCs w:val="24"/>
        </w:rPr>
        <w:t>2018年2月，特朗普签署美国国家安全委员会制定的《美国印太</w:t>
      </w:r>
      <w:r>
        <w:rPr>
          <w:rFonts w:hint="default" w:ascii="Times New Roman" w:hAnsi="Times New Roman" w:eastAsia="宋体" w:cs="Times New Roman"/>
          <w:color w:val="231F20"/>
          <w:spacing w:val="9"/>
          <w:sz w:val="24"/>
          <w:szCs w:val="24"/>
        </w:rPr>
        <w:t>战略</w:t>
      </w:r>
      <w:r>
        <w:rPr>
          <w:rFonts w:hint="default" w:ascii="Times New Roman" w:hAnsi="Times New Roman" w:eastAsia="宋体" w:cs="Times New Roman"/>
          <w:color w:val="231F20"/>
          <w:spacing w:val="7"/>
          <w:sz w:val="24"/>
          <w:szCs w:val="24"/>
        </w:rPr>
        <w:t>框架》，将其作为美国在印太地区的战略目标与行动指南，该文件于2021年1月5日特朗普</w:t>
      </w:r>
      <w:r>
        <w:rPr>
          <w:rFonts w:hint="default" w:ascii="Times New Roman" w:hAnsi="Times New Roman" w:eastAsia="宋体" w:cs="Times New Roman"/>
          <w:color w:val="231F20"/>
          <w:spacing w:val="5"/>
          <w:sz w:val="24"/>
          <w:szCs w:val="24"/>
        </w:rPr>
        <w:t>离任前夕由白宫解密。</w:t>
      </w:r>
      <w:r>
        <w:rPr>
          <w:rFonts w:hint="default" w:ascii="Times New Roman" w:hAnsi="Times New Roman" w:eastAsia="宋体" w:cs="Times New Roman"/>
          <w:color w:val="231F20"/>
          <w:spacing w:val="5"/>
          <w:position w:val="9"/>
          <w:sz w:val="24"/>
          <w:szCs w:val="24"/>
        </w:rPr>
        <w:t>⑤</w:t>
      </w:r>
      <w:r>
        <w:rPr>
          <w:rFonts w:hint="default" w:ascii="Times New Roman" w:hAnsi="Times New Roman" w:eastAsia="宋体" w:cs="Times New Roman"/>
          <w:color w:val="231F20"/>
          <w:spacing w:val="5"/>
          <w:sz w:val="24"/>
          <w:szCs w:val="24"/>
        </w:rPr>
        <w:t>2019年6月，美国国防部发布《印太战略报告》，报告在开篇指出，</w:t>
      </w:r>
      <w:r>
        <w:rPr>
          <w:rFonts w:hint="default" w:ascii="Times New Roman" w:hAnsi="Times New Roman" w:eastAsia="宋体" w:cs="Times New Roman"/>
          <w:color w:val="231F20"/>
          <w:spacing w:val="10"/>
          <w:sz w:val="24"/>
          <w:szCs w:val="24"/>
        </w:rPr>
        <w:t>“美国国家安全的首要关切是国家间的战略竞争，其内涵是自由与专</w:t>
      </w:r>
      <w:r>
        <w:rPr>
          <w:rFonts w:hint="default" w:ascii="Times New Roman" w:hAnsi="Times New Roman" w:eastAsia="宋体" w:cs="Times New Roman"/>
          <w:color w:val="231F20"/>
          <w:spacing w:val="9"/>
          <w:sz w:val="24"/>
          <w:szCs w:val="24"/>
        </w:rPr>
        <w:t>制世界秩序愿景之间的</w:t>
      </w:r>
      <w:r>
        <w:rPr>
          <w:rFonts w:hint="default" w:ascii="Times New Roman" w:hAnsi="Times New Roman" w:eastAsia="宋体" w:cs="Times New Roman"/>
          <w:color w:val="231F20"/>
          <w:spacing w:val="10"/>
          <w:sz w:val="24"/>
          <w:szCs w:val="24"/>
        </w:rPr>
        <w:t>地缘政治竞争”，申明美国将通过备战、伙伴关系和促进地区网络化的发展来实现其地区目</w:t>
      </w:r>
      <w:r>
        <w:rPr>
          <w:rFonts w:hint="default" w:ascii="Times New Roman" w:hAnsi="Times New Roman" w:eastAsia="宋体" w:cs="Times New Roman"/>
          <w:color w:val="231F20"/>
          <w:spacing w:val="11"/>
          <w:sz w:val="24"/>
          <w:szCs w:val="24"/>
        </w:rPr>
        <w:t>标。</w:t>
      </w:r>
      <w:r>
        <w:rPr>
          <w:rFonts w:hint="default" w:ascii="Times New Roman" w:hAnsi="Times New Roman" w:eastAsia="宋体" w:cs="Times New Roman"/>
          <w:color w:val="231F20"/>
          <w:spacing w:val="11"/>
          <w:position w:val="9"/>
          <w:sz w:val="24"/>
          <w:szCs w:val="24"/>
        </w:rPr>
        <w:t>⑥</w:t>
      </w:r>
      <w:r>
        <w:rPr>
          <w:rFonts w:hint="default" w:ascii="Times New Roman" w:hAnsi="Times New Roman" w:eastAsia="宋体" w:cs="Times New Roman"/>
          <w:color w:val="231F20"/>
          <w:spacing w:val="11"/>
          <w:sz w:val="24"/>
          <w:szCs w:val="24"/>
        </w:rPr>
        <w:t>作为美国政府公开发布的首份“印太</w:t>
      </w:r>
      <w:r>
        <w:rPr>
          <w:rFonts w:hint="default" w:ascii="Times New Roman" w:hAnsi="Times New Roman" w:eastAsia="宋体" w:cs="Times New Roman"/>
          <w:color w:val="231F20"/>
          <w:spacing w:val="10"/>
          <w:sz w:val="24"/>
          <w:szCs w:val="24"/>
        </w:rPr>
        <w:t>战略”文件，该报告体现了美国在印太地区备战大国战争与平时战略竞争的顶层设计，标志着美国“印太战略”的成形。</w:t>
      </w:r>
    </w:p>
    <w:p w14:paraId="1244B58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拜登政府继承了特朗普政府的“印太战略”，并于2022年2月发</w:t>
      </w:r>
      <w:r>
        <w:rPr>
          <w:rFonts w:hint="default" w:ascii="Times New Roman" w:hAnsi="Times New Roman" w:eastAsia="宋体" w:cs="Times New Roman"/>
          <w:color w:val="231F20"/>
          <w:sz w:val="24"/>
          <w:szCs w:val="24"/>
        </w:rPr>
        <w:t>布了《美国印太战略》，</w:t>
      </w:r>
      <w:r>
        <w:rPr>
          <w:rFonts w:hint="default" w:ascii="Times New Roman" w:hAnsi="Times New Roman" w:eastAsia="宋体" w:cs="Times New Roman"/>
          <w:color w:val="231F20"/>
          <w:spacing w:val="11"/>
          <w:sz w:val="24"/>
          <w:szCs w:val="24"/>
        </w:rPr>
        <w:t>强调美国“将关注印太地区的每一个角落，从东北亚、东南亚到南亚和包括太平洋岛国在</w:t>
      </w:r>
      <w:r>
        <w:rPr>
          <w:rFonts w:hint="default" w:ascii="Times New Roman" w:hAnsi="Times New Roman" w:eastAsia="宋体" w:cs="Times New Roman"/>
          <w:color w:val="231F20"/>
          <w:spacing w:val="8"/>
          <w:sz w:val="24"/>
          <w:szCs w:val="24"/>
        </w:rPr>
        <w:t>内的大洋洲”，明确了对具体区域和国家的政策目标与行动计划。</w:t>
      </w:r>
      <w:r>
        <w:rPr>
          <w:rFonts w:hint="default" w:ascii="Times New Roman" w:hAnsi="Times New Roman" w:eastAsia="宋体" w:cs="Times New Roman"/>
          <w:color w:val="231F20"/>
          <w:spacing w:val="8"/>
          <w:position w:val="9"/>
          <w:sz w:val="24"/>
          <w:szCs w:val="24"/>
        </w:rPr>
        <w:t>⑦</w:t>
      </w:r>
      <w:r>
        <w:rPr>
          <w:rFonts w:hint="default" w:ascii="Times New Roman" w:hAnsi="Times New Roman" w:eastAsia="宋体" w:cs="Times New Roman"/>
          <w:color w:val="231F20"/>
          <w:spacing w:val="8"/>
          <w:sz w:val="24"/>
          <w:szCs w:val="24"/>
        </w:rPr>
        <w:t>至此，由特朗普政府正</w:t>
      </w:r>
      <w:r>
        <w:rPr>
          <w:rFonts w:hint="default" w:ascii="Times New Roman" w:hAnsi="Times New Roman" w:eastAsia="宋体" w:cs="Times New Roman"/>
          <w:color w:val="231F20"/>
          <w:spacing w:val="6"/>
          <w:sz w:val="24"/>
          <w:szCs w:val="24"/>
        </w:rPr>
        <w:t>式提出并系统阐述、经拜登政府全面继承并深入细化的“印太战略”，成为美国在印太地区</w:t>
      </w:r>
      <w:r>
        <w:rPr>
          <w:rFonts w:hint="default" w:ascii="Times New Roman" w:hAnsi="Times New Roman" w:eastAsia="宋体" w:cs="Times New Roman"/>
          <w:color w:val="231F20"/>
          <w:spacing w:val="5"/>
          <w:sz w:val="24"/>
          <w:szCs w:val="24"/>
        </w:rPr>
        <w:t>的战略遵循与行动指南。“印太战略”得到域内外国家和地区组织的积极响应，日</w:t>
      </w:r>
      <w:r>
        <w:rPr>
          <w:rFonts w:hint="default" w:ascii="Times New Roman" w:hAnsi="Times New Roman" w:eastAsia="宋体" w:cs="Times New Roman"/>
          <w:color w:val="231F20"/>
          <w:spacing w:val="4"/>
          <w:sz w:val="24"/>
          <w:szCs w:val="24"/>
        </w:rPr>
        <w:t>本、澳大</w:t>
      </w:r>
      <w:r>
        <w:rPr>
          <w:rFonts w:hint="default" w:ascii="Times New Roman" w:hAnsi="Times New Roman" w:eastAsia="宋体" w:cs="Times New Roman"/>
          <w:color w:val="231F20"/>
          <w:spacing w:val="5"/>
          <w:sz w:val="24"/>
          <w:szCs w:val="24"/>
        </w:rPr>
        <w:t>利亚、印度、韩国、英国、德国、法国、东盟、欧盟等均通过发布“印太”文件</w:t>
      </w:r>
      <w:r>
        <w:rPr>
          <w:rFonts w:hint="default" w:ascii="Times New Roman" w:hAnsi="Times New Roman" w:eastAsia="宋体" w:cs="Times New Roman"/>
          <w:color w:val="231F20"/>
          <w:spacing w:val="4"/>
          <w:sz w:val="24"/>
          <w:szCs w:val="24"/>
        </w:rPr>
        <w:t>阐述其在</w:t>
      </w:r>
      <w:r>
        <w:rPr>
          <w:rFonts w:hint="default" w:ascii="Times New Roman" w:hAnsi="Times New Roman" w:eastAsia="宋体" w:cs="Times New Roman"/>
          <w:color w:val="231F20"/>
          <w:spacing w:val="-2"/>
          <w:sz w:val="24"/>
          <w:szCs w:val="24"/>
        </w:rPr>
        <w:t>这一地区的战略规划（卢光盛和刘津瑞，2023）。</w:t>
      </w:r>
    </w:p>
    <w:p w14:paraId="1A199B8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从实际效果看，特朗普第一任期的“印太战略”由于缺乏高水平的区域制度基础、坚实的经济合作基础与充足的资源投入，加之美国单边主义的政策倾向，以及与印太盟友间</w:t>
      </w:r>
      <w:r>
        <w:rPr>
          <w:rFonts w:hint="default" w:ascii="Times New Roman" w:hAnsi="Times New Roman" w:eastAsia="宋体" w:cs="Times New Roman"/>
          <w:color w:val="231F20"/>
          <w:spacing w:val="2"/>
          <w:sz w:val="24"/>
          <w:szCs w:val="24"/>
        </w:rPr>
        <w:t>矛盾频发，这一战略成效甚微（赵菩和李巍，2022）。拜登政府对“印太战略”采取了延续</w:t>
      </w:r>
      <w:r>
        <w:rPr>
          <w:rFonts w:hint="default" w:ascii="Times New Roman" w:hAnsi="Times New Roman" w:eastAsia="宋体" w:cs="Times New Roman"/>
          <w:color w:val="231F20"/>
          <w:spacing w:val="6"/>
          <w:sz w:val="24"/>
          <w:szCs w:val="24"/>
        </w:rPr>
        <w:t>并强化的态度，尤其注重联盟的构建，加强与盟友的关系。2022年的《美国印太</w:t>
      </w:r>
      <w:r>
        <w:rPr>
          <w:rFonts w:hint="default" w:ascii="Times New Roman" w:hAnsi="Times New Roman" w:eastAsia="宋体" w:cs="Times New Roman"/>
          <w:color w:val="231F20"/>
          <w:spacing w:val="5"/>
          <w:sz w:val="24"/>
          <w:szCs w:val="24"/>
        </w:rPr>
        <w:t>战略》宣</w:t>
      </w:r>
      <w:r>
        <w:rPr>
          <w:rFonts w:hint="default" w:ascii="Times New Roman" w:hAnsi="Times New Roman" w:eastAsia="宋体" w:cs="Times New Roman"/>
          <w:color w:val="231F20"/>
          <w:spacing w:val="4"/>
          <w:sz w:val="24"/>
          <w:szCs w:val="24"/>
        </w:rPr>
        <w:t>称，美国的目标“不是改变中国，而是塑造其所处的战略环境”。为了</w:t>
      </w:r>
      <w:r>
        <w:rPr>
          <w:rFonts w:hint="default" w:ascii="Times New Roman" w:hAnsi="Times New Roman" w:eastAsia="宋体" w:cs="Times New Roman"/>
          <w:color w:val="231F20"/>
          <w:spacing w:val="3"/>
          <w:sz w:val="24"/>
          <w:szCs w:val="24"/>
        </w:rPr>
        <w:t>达成该目标，美国在</w:t>
      </w:r>
      <w:r>
        <w:rPr>
          <w:rFonts w:hint="default" w:ascii="Times New Roman" w:hAnsi="Times New Roman" w:eastAsia="宋体" w:cs="Times New Roman"/>
          <w:color w:val="231F20"/>
          <w:spacing w:val="14"/>
          <w:sz w:val="24"/>
          <w:szCs w:val="24"/>
        </w:rPr>
        <w:t>集体安全观念的指导下通过加强联盟体系和打造伙伴关系来汇集集体力量，提升对华竞争</w:t>
      </w:r>
      <w:r>
        <w:rPr>
          <w:rFonts w:hint="default" w:ascii="Times New Roman" w:hAnsi="Times New Roman" w:eastAsia="宋体" w:cs="Times New Roman"/>
          <w:color w:val="231F20"/>
          <w:spacing w:val="5"/>
          <w:sz w:val="24"/>
          <w:szCs w:val="24"/>
        </w:rPr>
        <w:t>的“非对称优势”。在美国的推动下，美英加澳新“</w:t>
      </w:r>
      <w:r>
        <w:rPr>
          <w:rFonts w:hint="default" w:ascii="Times New Roman" w:hAnsi="Times New Roman" w:eastAsia="宋体" w:cs="Times New Roman"/>
          <w:color w:val="231F20"/>
          <w:spacing w:val="4"/>
          <w:sz w:val="24"/>
          <w:szCs w:val="24"/>
        </w:rPr>
        <w:t>五眼联盟”的合作范围得到拓展；美日</w:t>
      </w:r>
      <w:r>
        <w:rPr>
          <w:rFonts w:hint="default" w:ascii="Times New Roman" w:hAnsi="Times New Roman" w:eastAsia="宋体" w:cs="Times New Roman"/>
          <w:color w:val="231F20"/>
          <w:spacing w:val="5"/>
          <w:sz w:val="24"/>
          <w:szCs w:val="24"/>
        </w:rPr>
        <w:t>印澳“四方安全对话”机制（</w:t>
      </w:r>
      <w:r>
        <w:rPr>
          <w:rFonts w:hint="default" w:ascii="Times New Roman" w:hAnsi="Times New Roman" w:eastAsia="宋体" w:cs="Times New Roman"/>
          <w:color w:val="231F20"/>
          <w:sz w:val="24"/>
          <w:szCs w:val="24"/>
        </w:rPr>
        <w:t>QUAD</w:t>
      </w:r>
      <w:r>
        <w:rPr>
          <w:rFonts w:hint="default" w:ascii="Times New Roman" w:hAnsi="Times New Roman" w:eastAsia="宋体" w:cs="Times New Roman"/>
          <w:color w:val="231F20"/>
          <w:spacing w:val="5"/>
          <w:sz w:val="24"/>
          <w:szCs w:val="24"/>
        </w:rPr>
        <w:t>）升级为首脑级安全对</w:t>
      </w:r>
      <w:r>
        <w:rPr>
          <w:rFonts w:hint="default" w:ascii="Times New Roman" w:hAnsi="Times New Roman" w:eastAsia="宋体" w:cs="Times New Roman"/>
          <w:color w:val="231F20"/>
          <w:spacing w:val="4"/>
          <w:sz w:val="24"/>
          <w:szCs w:val="24"/>
        </w:rPr>
        <w:t>话机制；美英澳“三边安全伙伴</w:t>
      </w:r>
      <w:r>
        <w:rPr>
          <w:rFonts w:hint="default" w:ascii="Times New Roman" w:hAnsi="Times New Roman" w:eastAsia="宋体" w:cs="Times New Roman"/>
          <w:sz w:val="24"/>
          <w:szCs w:val="24"/>
        </w:rPr>
        <w:tab/>
      </w:r>
      <w:r>
        <w:rPr>
          <w:rFonts w:hint="default" w:ascii="Times New Roman" w:hAnsi="Times New Roman" w:eastAsia="宋体" w:cs="Times New Roman"/>
          <w:color w:val="231F20"/>
          <w:spacing w:val="2"/>
          <w:sz w:val="24"/>
          <w:szCs w:val="24"/>
        </w:rPr>
        <w:t>关系”（</w:t>
      </w:r>
      <w:r>
        <w:rPr>
          <w:rFonts w:hint="default" w:ascii="Times New Roman" w:hAnsi="Times New Roman" w:eastAsia="宋体" w:cs="Times New Roman"/>
          <w:color w:val="231F20"/>
          <w:sz w:val="24"/>
          <w:szCs w:val="24"/>
        </w:rPr>
        <w:t>AUKUS</w:t>
      </w:r>
      <w:r>
        <w:rPr>
          <w:rFonts w:hint="default" w:ascii="Times New Roman" w:hAnsi="Times New Roman" w:eastAsia="宋体" w:cs="Times New Roman"/>
          <w:color w:val="231F20"/>
          <w:spacing w:val="2"/>
          <w:sz w:val="24"/>
          <w:szCs w:val="24"/>
        </w:rPr>
        <w:t>）得以组建；美日韩、美日澳、美日菲三边安全合作取得进展；美国</w:t>
      </w:r>
      <w:r>
        <w:rPr>
          <w:rFonts w:hint="default" w:ascii="Times New Roman" w:hAnsi="Times New Roman" w:eastAsia="宋体" w:cs="Times New Roman"/>
          <w:color w:val="231F20"/>
          <w:spacing w:val="1"/>
          <w:sz w:val="24"/>
          <w:szCs w:val="24"/>
        </w:rPr>
        <w:t>与澳日</w:t>
      </w:r>
      <w:r>
        <w:rPr>
          <w:rFonts w:hint="default" w:ascii="Times New Roman" w:hAnsi="Times New Roman" w:eastAsia="宋体" w:cs="Times New Roman"/>
          <w:sz w:val="24"/>
          <w:szCs w:val="24"/>
        </w:rPr>
        <w:tab/>
      </w:r>
      <w:r>
        <w:rPr>
          <w:rFonts w:hint="default" w:ascii="Times New Roman" w:hAnsi="Times New Roman" w:eastAsia="宋体" w:cs="Times New Roman"/>
          <w:color w:val="231F20"/>
          <w:spacing w:val="8"/>
          <w:sz w:val="24"/>
          <w:szCs w:val="24"/>
        </w:rPr>
        <w:t>韩菲泰这五组双边同盟的关系得到强化。与此同时</w:t>
      </w:r>
      <w:r>
        <w:rPr>
          <w:rFonts w:hint="default" w:ascii="Times New Roman" w:hAnsi="Times New Roman" w:eastAsia="宋体" w:cs="Times New Roman"/>
          <w:color w:val="231F20"/>
          <w:spacing w:val="7"/>
          <w:sz w:val="24"/>
          <w:szCs w:val="24"/>
        </w:rPr>
        <w:t>，美国还不断加强与印度、印尼、马来</w:t>
      </w:r>
      <w:r>
        <w:rPr>
          <w:rFonts w:hint="default" w:ascii="Times New Roman" w:hAnsi="Times New Roman" w:eastAsia="宋体" w:cs="Times New Roman"/>
          <w:sz w:val="24"/>
          <w:szCs w:val="24"/>
        </w:rPr>
        <w:tab/>
      </w:r>
      <w:r>
        <w:rPr>
          <w:rFonts w:hint="default" w:ascii="Times New Roman" w:hAnsi="Times New Roman" w:eastAsia="宋体" w:cs="Times New Roman"/>
          <w:color w:val="231F20"/>
          <w:spacing w:val="3"/>
          <w:sz w:val="24"/>
          <w:szCs w:val="24"/>
        </w:rPr>
        <w:t>西亚、蒙古国、新西兰、新加坡、太平洋岛国，以及中国台湾等的“印太伙伴关系”。在这</w:t>
      </w:r>
      <w:r>
        <w:rPr>
          <w:rFonts w:hint="default" w:ascii="Times New Roman" w:hAnsi="Times New Roman" w:eastAsia="宋体" w:cs="Times New Roman"/>
          <w:sz w:val="24"/>
          <w:szCs w:val="24"/>
        </w:rPr>
        <w:tab/>
      </w:r>
      <w:r>
        <w:rPr>
          <w:rFonts w:hint="default" w:ascii="Times New Roman" w:hAnsi="Times New Roman" w:eastAsia="宋体" w:cs="Times New Roman"/>
          <w:color w:val="231F20"/>
          <w:spacing w:val="16"/>
          <w:sz w:val="24"/>
          <w:szCs w:val="24"/>
        </w:rPr>
        <w:t>一系列组合拳之下，以美国为中心的小多边安全网</w:t>
      </w:r>
      <w:r>
        <w:rPr>
          <w:rFonts w:hint="default" w:ascii="Times New Roman" w:hAnsi="Times New Roman" w:eastAsia="宋体" w:cs="Times New Roman"/>
          <w:color w:val="231F20"/>
          <w:spacing w:val="15"/>
          <w:sz w:val="24"/>
          <w:szCs w:val="24"/>
        </w:rPr>
        <w:t>络得到充实和强化，美国“印太战略”</w:t>
      </w:r>
      <w:r>
        <w:rPr>
          <w:rFonts w:hint="default" w:ascii="Times New Roman" w:hAnsi="Times New Roman" w:eastAsia="宋体" w:cs="Times New Roman"/>
          <w:color w:val="231F20"/>
          <w:spacing w:val="9"/>
          <w:sz w:val="24"/>
          <w:szCs w:val="24"/>
        </w:rPr>
        <w:t>也得以不断深化和拓展。特朗普第二任期暂时未发布新的“印太战略”文件，但这一战略</w:t>
      </w:r>
      <w:r>
        <w:rPr>
          <w:rFonts w:hint="default" w:ascii="Times New Roman" w:hAnsi="Times New Roman" w:eastAsia="宋体" w:cs="Times New Roman"/>
          <w:color w:val="231F20"/>
          <w:spacing w:val="8"/>
          <w:sz w:val="24"/>
          <w:szCs w:val="24"/>
        </w:rPr>
        <w:t>由特朗普正式发起，特朗普政府通过该战略进行霸权护持的意图将不会改变。</w:t>
      </w:r>
    </w:p>
    <w:p w14:paraId="35900E98">
      <w:pPr>
        <w:pStyle w:val="4"/>
        <w:bidi w:val="0"/>
        <w:jc w:val="both"/>
        <w:rPr>
          <w:rFonts w:hint="default"/>
        </w:rPr>
      </w:pPr>
      <w:r>
        <w:rPr>
          <w:rFonts w:hint="default"/>
        </w:rPr>
        <w:t>二、“印太战略”下的地缘安全竞争</w:t>
      </w:r>
    </w:p>
    <w:p w14:paraId="27B46ED3">
      <w:pPr>
        <w:pStyle w:val="6"/>
        <w:bidi w:val="0"/>
        <w:rPr>
          <w:rFonts w:hint="default"/>
          <w:sz w:val="24"/>
          <w:szCs w:val="32"/>
        </w:rPr>
      </w:pPr>
      <w:r>
        <w:rPr>
          <w:rFonts w:hint="default"/>
          <w:sz w:val="24"/>
          <w:szCs w:val="32"/>
        </w:rPr>
        <w:t>（一）印太地区大国博弈现状</w:t>
      </w:r>
    </w:p>
    <w:p w14:paraId="1CECCEB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美国秉持“泛安全化”理念，认定中国是一个明确的战略竞争对手，对</w:t>
      </w:r>
      <w:r>
        <w:rPr>
          <w:rFonts w:hint="default" w:ascii="Times New Roman" w:hAnsi="Times New Roman" w:eastAsia="宋体" w:cs="Times New Roman"/>
          <w:color w:val="231F20"/>
          <w:spacing w:val="9"/>
          <w:sz w:val="24"/>
          <w:szCs w:val="24"/>
        </w:rPr>
        <w:t>以规则为基础</w:t>
      </w:r>
      <w:r>
        <w:rPr>
          <w:rFonts w:hint="default" w:ascii="Times New Roman" w:hAnsi="Times New Roman" w:eastAsia="宋体" w:cs="Times New Roman"/>
          <w:color w:val="231F20"/>
          <w:spacing w:val="10"/>
          <w:sz w:val="24"/>
          <w:szCs w:val="24"/>
        </w:rPr>
        <w:t>的国际秩序构成了挑战（</w:t>
      </w:r>
      <w:r>
        <w:rPr>
          <w:rFonts w:hint="default" w:ascii="Times New Roman" w:hAnsi="Times New Roman" w:eastAsia="宋体" w:cs="Times New Roman"/>
          <w:color w:val="231F20"/>
          <w:sz w:val="24"/>
          <w:szCs w:val="24"/>
        </w:rPr>
        <w:t>Smith</w:t>
      </w:r>
      <w:r>
        <w:rPr>
          <w:rFonts w:hint="default" w:ascii="Times New Roman" w:hAnsi="Times New Roman" w:eastAsia="宋体" w:cs="Times New Roman"/>
          <w:color w:val="231F20"/>
          <w:spacing w:val="10"/>
          <w:sz w:val="24"/>
          <w:szCs w:val="24"/>
        </w:rPr>
        <w:t>和</w:t>
      </w:r>
      <w:r>
        <w:rPr>
          <w:rFonts w:hint="default" w:ascii="Times New Roman" w:hAnsi="Times New Roman" w:eastAsia="宋体" w:cs="Times New Roman"/>
          <w:color w:val="231F20"/>
          <w:sz w:val="24"/>
          <w:szCs w:val="24"/>
        </w:rPr>
        <w:t>Bacon</w:t>
      </w:r>
      <w:r>
        <w:rPr>
          <w:rFonts w:hint="default" w:ascii="Times New Roman" w:hAnsi="Times New Roman" w:eastAsia="宋体" w:cs="Times New Roman"/>
          <w:color w:val="231F20"/>
          <w:spacing w:val="10"/>
          <w:sz w:val="24"/>
          <w:szCs w:val="24"/>
        </w:rPr>
        <w:t>,2024）。基于这一认</w:t>
      </w:r>
      <w:r>
        <w:rPr>
          <w:rFonts w:hint="default" w:ascii="Times New Roman" w:hAnsi="Times New Roman" w:eastAsia="宋体" w:cs="Times New Roman"/>
          <w:color w:val="231F20"/>
          <w:spacing w:val="9"/>
          <w:sz w:val="24"/>
          <w:szCs w:val="24"/>
        </w:rPr>
        <w:t>定，美国大力推动“印太战</w:t>
      </w:r>
      <w:r>
        <w:rPr>
          <w:rFonts w:hint="default" w:ascii="Times New Roman" w:hAnsi="Times New Roman" w:eastAsia="宋体" w:cs="Times New Roman"/>
          <w:color w:val="231F20"/>
          <w:spacing w:val="1"/>
          <w:sz w:val="24"/>
          <w:szCs w:val="24"/>
        </w:rPr>
        <w:t>略”，引发了印太地区局势的剧烈变化。</w:t>
      </w:r>
    </w:p>
    <w:p w14:paraId="4420FA5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1.印太地区大国博弈日渐激烈，其中最具系统性影响的是中美之间的战略竞争</w:t>
      </w:r>
    </w:p>
    <w:p w14:paraId="5E961D9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作为全球大国，中美两国是决定印太地区能否实现长期和平与稳定的主导国家。</w:t>
      </w:r>
      <w:r>
        <w:rPr>
          <w:rFonts w:hint="default" w:ascii="Times New Roman" w:hAnsi="Times New Roman" w:eastAsia="宋体" w:cs="Times New Roman"/>
          <w:color w:val="231F20"/>
          <w:spacing w:val="10"/>
          <w:sz w:val="24"/>
          <w:szCs w:val="24"/>
        </w:rPr>
        <w:t>中美合作，就能保持地区基本稳定；中美冲突，则势必加剧一系列</w:t>
      </w:r>
      <w:r>
        <w:rPr>
          <w:rFonts w:hint="default" w:ascii="Times New Roman" w:hAnsi="Times New Roman" w:eastAsia="宋体" w:cs="Times New Roman"/>
          <w:color w:val="231F20"/>
          <w:spacing w:val="9"/>
          <w:sz w:val="24"/>
          <w:szCs w:val="24"/>
        </w:rPr>
        <w:t>国际矛盾。自冷战结束至奥</w:t>
      </w:r>
      <w:r>
        <w:rPr>
          <w:rFonts w:hint="default" w:ascii="Times New Roman" w:hAnsi="Times New Roman" w:eastAsia="宋体" w:cs="Times New Roman"/>
          <w:color w:val="231F20"/>
          <w:spacing w:val="14"/>
          <w:sz w:val="24"/>
          <w:szCs w:val="24"/>
        </w:rPr>
        <w:t>巴马政府时期，尽管中美两国存在着不少的矛盾和冲突，但不同程度的合作和竞争始终是</w:t>
      </w:r>
      <w:r>
        <w:rPr>
          <w:rFonts w:hint="default" w:ascii="Times New Roman" w:hAnsi="Times New Roman" w:eastAsia="宋体" w:cs="Times New Roman"/>
          <w:color w:val="231F20"/>
          <w:spacing w:val="4"/>
          <w:sz w:val="24"/>
          <w:szCs w:val="24"/>
        </w:rPr>
        <w:t>美国对华的战略原则（秦亚青，2021）。特朗普上台后，美国对华战略出现重大调整，呈现</w:t>
      </w:r>
      <w:r>
        <w:rPr>
          <w:rFonts w:hint="default" w:ascii="Times New Roman" w:hAnsi="Times New Roman" w:eastAsia="宋体" w:cs="Times New Roman"/>
          <w:color w:val="231F20"/>
          <w:spacing w:val="11"/>
          <w:sz w:val="24"/>
          <w:szCs w:val="24"/>
        </w:rPr>
        <w:t>全面遏制、恶性竞争和系统对抗的态势。在2017年的《美国国家安全战略》和</w:t>
      </w:r>
      <w:r>
        <w:rPr>
          <w:rFonts w:hint="default" w:ascii="Times New Roman" w:hAnsi="Times New Roman" w:eastAsia="宋体" w:cs="Times New Roman"/>
          <w:color w:val="231F20"/>
          <w:spacing w:val="10"/>
          <w:sz w:val="24"/>
          <w:szCs w:val="24"/>
        </w:rPr>
        <w:t>2020年的</w:t>
      </w:r>
      <w:r>
        <w:rPr>
          <w:rFonts w:hint="default" w:ascii="Times New Roman" w:hAnsi="Times New Roman" w:eastAsia="宋体" w:cs="Times New Roman"/>
          <w:color w:val="231F20"/>
          <w:spacing w:val="8"/>
          <w:sz w:val="24"/>
          <w:szCs w:val="24"/>
        </w:rPr>
        <w:t>《美国对中华人民共和国的战略方针》中，美国均将中国界定为最主要的竞</w:t>
      </w:r>
      <w:r>
        <w:rPr>
          <w:rFonts w:hint="default" w:ascii="Times New Roman" w:hAnsi="Times New Roman" w:eastAsia="宋体" w:cs="Times New Roman"/>
          <w:color w:val="231F20"/>
          <w:spacing w:val="7"/>
          <w:sz w:val="24"/>
          <w:szCs w:val="24"/>
        </w:rPr>
        <w:t>争对手和美国最</w:t>
      </w:r>
      <w:r>
        <w:rPr>
          <w:rFonts w:hint="default" w:ascii="Times New Roman" w:hAnsi="Times New Roman" w:eastAsia="宋体" w:cs="Times New Roman"/>
          <w:color w:val="231F20"/>
          <w:spacing w:val="15"/>
          <w:sz w:val="24"/>
          <w:szCs w:val="24"/>
        </w:rPr>
        <w:t>大的挑战。特朗普政府将印太地区视为中美战略博弈的核心场域</w:t>
      </w:r>
      <w:r>
        <w:rPr>
          <w:rFonts w:hint="default" w:ascii="Times New Roman" w:hAnsi="Times New Roman" w:eastAsia="宋体" w:cs="Times New Roman"/>
          <w:color w:val="231F20"/>
          <w:spacing w:val="14"/>
          <w:sz w:val="24"/>
          <w:szCs w:val="24"/>
        </w:rPr>
        <w:t>，为此采取的第一个实质</w:t>
      </w:r>
      <w:r>
        <w:rPr>
          <w:rFonts w:hint="default" w:ascii="Times New Roman" w:hAnsi="Times New Roman" w:eastAsia="宋体" w:cs="Times New Roman"/>
          <w:color w:val="231F20"/>
          <w:spacing w:val="10"/>
          <w:sz w:val="24"/>
          <w:szCs w:val="24"/>
        </w:rPr>
        <w:t>性举动是于2018年5月30日将太平洋司令部正式更名为印度洋-太平洋司令部。2019年，</w:t>
      </w:r>
      <w:r>
        <w:rPr>
          <w:rFonts w:hint="default" w:ascii="Times New Roman" w:hAnsi="Times New Roman" w:eastAsia="宋体" w:cs="Times New Roman"/>
          <w:color w:val="231F20"/>
          <w:spacing w:val="8"/>
          <w:sz w:val="24"/>
          <w:szCs w:val="24"/>
        </w:rPr>
        <w:t>特朗普政府发布的《美国印太战略报告》把中国描述成一个“修正主义国家”，指出：“随</w:t>
      </w:r>
      <w:r>
        <w:rPr>
          <w:rFonts w:hint="default" w:ascii="Times New Roman" w:hAnsi="Times New Roman" w:eastAsia="宋体" w:cs="Times New Roman"/>
          <w:color w:val="231F20"/>
          <w:spacing w:val="16"/>
          <w:sz w:val="24"/>
          <w:szCs w:val="24"/>
        </w:rPr>
        <w:t>着中国经济和军事地位的不断提升，它在短</w:t>
      </w:r>
      <w:r>
        <w:rPr>
          <w:rFonts w:hint="default" w:ascii="Times New Roman" w:hAnsi="Times New Roman" w:eastAsia="宋体" w:cs="Times New Roman"/>
          <w:color w:val="231F20"/>
          <w:spacing w:val="15"/>
          <w:sz w:val="24"/>
          <w:szCs w:val="24"/>
        </w:rPr>
        <w:t>期内寻求印太地区的霸权，并最终在长期内寻</w:t>
      </w:r>
      <w:r>
        <w:rPr>
          <w:rFonts w:hint="default" w:ascii="Times New Roman" w:hAnsi="Times New Roman" w:eastAsia="宋体" w:cs="Times New Roman"/>
          <w:color w:val="231F20"/>
          <w:spacing w:val="9"/>
          <w:sz w:val="24"/>
          <w:szCs w:val="24"/>
        </w:rPr>
        <w:t>求全球霸权。”作为回应，美国必须“通过实力维护和平，重建军队以使其保持卓越地位，</w:t>
      </w:r>
      <w:r>
        <w:rPr>
          <w:rFonts w:hint="default" w:ascii="Times New Roman" w:hAnsi="Times New Roman" w:eastAsia="宋体" w:cs="Times New Roman"/>
          <w:color w:val="231F20"/>
          <w:spacing w:val="12"/>
          <w:sz w:val="24"/>
          <w:szCs w:val="24"/>
        </w:rPr>
        <w:t>并依靠盟友和伙伴承担起合理的责任，以抵御共同威胁”。</w:t>
      </w:r>
    </w:p>
    <w:p w14:paraId="4A563D3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拜登政府延续了特朗普政府的对华战略，并在2022年《美国国家安全战略》的开篇写</w:t>
      </w:r>
      <w:r>
        <w:rPr>
          <w:rFonts w:hint="default" w:ascii="Times New Roman" w:hAnsi="Times New Roman" w:eastAsia="宋体" w:cs="Times New Roman"/>
          <w:color w:val="231F20"/>
          <w:spacing w:val="10"/>
          <w:sz w:val="24"/>
          <w:szCs w:val="24"/>
        </w:rPr>
        <w:t>道：“后冷战时代已经明确结束，大国之间的竞争正在塑造下一个时代。”该战略把中国</w:t>
      </w:r>
      <w:r>
        <w:rPr>
          <w:rFonts w:hint="default" w:ascii="Times New Roman" w:hAnsi="Times New Roman" w:eastAsia="宋体" w:cs="Times New Roman"/>
          <w:color w:val="231F20"/>
          <w:spacing w:val="11"/>
          <w:sz w:val="24"/>
          <w:szCs w:val="24"/>
        </w:rPr>
        <w:t>界定为“唯一一个既有重塑国际秩序的意图，又日益具备经济、外交、军事和技术力量来</w:t>
      </w:r>
      <w:r>
        <w:rPr>
          <w:rFonts w:hint="default" w:ascii="Times New Roman" w:hAnsi="Times New Roman" w:eastAsia="宋体" w:cs="Times New Roman"/>
          <w:color w:val="231F20"/>
          <w:spacing w:val="3"/>
          <w:sz w:val="24"/>
          <w:szCs w:val="24"/>
        </w:rPr>
        <w:t>推进这一目标的竞争对手”。“竞赢”（</w:t>
      </w:r>
      <w:r>
        <w:rPr>
          <w:rFonts w:hint="default" w:ascii="Times New Roman" w:hAnsi="Times New Roman" w:eastAsia="宋体" w:cs="Times New Roman"/>
          <w:color w:val="231F20"/>
          <w:sz w:val="24"/>
          <w:szCs w:val="24"/>
        </w:rPr>
        <w:t>outcompete</w:t>
      </w:r>
      <w:r>
        <w:rPr>
          <w:rFonts w:hint="default" w:ascii="Times New Roman" w:hAnsi="Times New Roman" w:eastAsia="宋体" w:cs="Times New Roman"/>
          <w:color w:val="231F20"/>
          <w:spacing w:val="3"/>
          <w:sz w:val="24"/>
          <w:szCs w:val="24"/>
        </w:rPr>
        <w:t>）一词在该战略中出现了10次，</w:t>
      </w:r>
      <w:r>
        <w:rPr>
          <w:rFonts w:hint="default" w:ascii="Times New Roman" w:hAnsi="Times New Roman" w:eastAsia="宋体" w:cs="Times New Roman"/>
          <w:color w:val="231F20"/>
          <w:spacing w:val="2"/>
          <w:sz w:val="24"/>
          <w:szCs w:val="24"/>
        </w:rPr>
        <w:t>而“竞赢</w:t>
      </w:r>
      <w:r>
        <w:rPr>
          <w:rFonts w:hint="default" w:ascii="Times New Roman" w:hAnsi="Times New Roman" w:eastAsia="宋体" w:cs="Times New Roman"/>
          <w:color w:val="231F20"/>
          <w:spacing w:val="3"/>
          <w:sz w:val="24"/>
          <w:szCs w:val="24"/>
        </w:rPr>
        <w:t>中国”（</w:t>
      </w:r>
      <w:r>
        <w:rPr>
          <w:rFonts w:hint="default" w:ascii="Times New Roman" w:hAnsi="Times New Roman" w:eastAsia="宋体" w:cs="Times New Roman"/>
          <w:color w:val="231F20"/>
          <w:sz w:val="24"/>
          <w:szCs w:val="24"/>
        </w:rPr>
        <w:t>outcompeteChina</w:t>
      </w:r>
      <w:r>
        <w:rPr>
          <w:rFonts w:hint="default" w:ascii="Times New Roman" w:hAnsi="Times New Roman" w:eastAsia="宋体" w:cs="Times New Roman"/>
          <w:color w:val="231F20"/>
          <w:spacing w:val="3"/>
          <w:sz w:val="24"/>
          <w:szCs w:val="24"/>
        </w:rPr>
        <w:t>）则出现了4次。美国众议院议长迈克·约翰逊公开称中国为“美</w:t>
      </w:r>
      <w:r>
        <w:rPr>
          <w:rFonts w:hint="default" w:ascii="Times New Roman" w:hAnsi="Times New Roman" w:eastAsia="宋体" w:cs="Times New Roman"/>
          <w:color w:val="231F20"/>
          <w:spacing w:val="13"/>
          <w:sz w:val="24"/>
          <w:szCs w:val="24"/>
        </w:rPr>
        <w:t>国最大的地缘政治对手”与“敌人”。</w:t>
      </w:r>
      <w:r>
        <w:rPr>
          <w:rFonts w:hint="eastAsia" w:ascii="微软雅黑" w:hAnsi="微软雅黑" w:eastAsia="微软雅黑" w:cs="微软雅黑"/>
          <w:i w:val="0"/>
          <w:iCs w:val="0"/>
          <w:caps w:val="0"/>
          <w:color w:val="333333"/>
          <w:spacing w:val="0"/>
          <w:sz w:val="24"/>
          <w:szCs w:val="24"/>
          <w:shd w:val="clear" w:color="auto" w:fill="FFFFFF"/>
          <w:vertAlign w:val="superscript"/>
        </w:rPr>
        <w:t>⑧</w:t>
      </w:r>
      <w:r>
        <w:rPr>
          <w:rFonts w:hint="default" w:ascii="Times New Roman" w:hAnsi="Times New Roman" w:eastAsia="宋体" w:cs="Times New Roman"/>
          <w:color w:val="231F20"/>
          <w:spacing w:val="13"/>
          <w:sz w:val="24"/>
          <w:szCs w:val="24"/>
        </w:rPr>
        <w:t>在具体实践中，美国全方位推进对华“一体化威</w:t>
      </w:r>
      <w:r>
        <w:rPr>
          <w:rFonts w:hint="default" w:ascii="Times New Roman" w:hAnsi="Times New Roman" w:eastAsia="宋体" w:cs="Times New Roman"/>
          <w:color w:val="231F20"/>
          <w:spacing w:val="6"/>
          <w:sz w:val="24"/>
          <w:szCs w:val="24"/>
        </w:rPr>
        <w:t>慑”。一是加速落实“太平洋威慑计划”（</w:t>
      </w:r>
      <w:r>
        <w:rPr>
          <w:rFonts w:hint="default" w:ascii="Times New Roman" w:hAnsi="Times New Roman" w:eastAsia="宋体" w:cs="Times New Roman"/>
          <w:color w:val="231F20"/>
          <w:sz w:val="24"/>
          <w:szCs w:val="24"/>
        </w:rPr>
        <w:t>PacificDeterrenceInitiative</w:t>
      </w:r>
      <w:r>
        <w:rPr>
          <w:rFonts w:hint="default" w:ascii="Times New Roman" w:hAnsi="Times New Roman" w:eastAsia="宋体" w:cs="Times New Roman"/>
          <w:color w:val="231F20"/>
          <w:spacing w:val="6"/>
          <w:sz w:val="24"/>
          <w:szCs w:val="24"/>
        </w:rPr>
        <w:t>，</w:t>
      </w:r>
      <w:r>
        <w:rPr>
          <w:rFonts w:hint="default" w:ascii="Times New Roman" w:hAnsi="Times New Roman" w:eastAsia="宋体" w:cs="Times New Roman"/>
          <w:color w:val="231F20"/>
          <w:sz w:val="24"/>
          <w:szCs w:val="24"/>
        </w:rPr>
        <w:t>PDI</w:t>
      </w:r>
      <w:r>
        <w:rPr>
          <w:rFonts w:hint="default" w:ascii="Times New Roman" w:hAnsi="Times New Roman" w:eastAsia="宋体" w:cs="Times New Roman"/>
          <w:color w:val="231F20"/>
          <w:spacing w:val="-69"/>
          <w:sz w:val="24"/>
          <w:szCs w:val="24"/>
        </w:rPr>
        <w:t>），</w:t>
      </w:r>
      <w:r>
        <w:rPr>
          <w:rFonts w:hint="default" w:ascii="Times New Roman" w:hAnsi="Times New Roman" w:eastAsia="宋体" w:cs="Times New Roman"/>
          <w:color w:val="231F20"/>
          <w:spacing w:val="6"/>
          <w:sz w:val="24"/>
          <w:szCs w:val="24"/>
        </w:rPr>
        <w:t>旨在通</w:t>
      </w:r>
      <w:r>
        <w:rPr>
          <w:rFonts w:hint="default" w:ascii="Times New Roman" w:hAnsi="Times New Roman" w:eastAsia="宋体" w:cs="Times New Roman"/>
          <w:color w:val="231F20"/>
          <w:spacing w:val="5"/>
          <w:sz w:val="24"/>
          <w:szCs w:val="24"/>
        </w:rPr>
        <w:t>过强化</w:t>
      </w:r>
      <w:r>
        <w:rPr>
          <w:rFonts w:hint="default" w:ascii="Times New Roman" w:hAnsi="Times New Roman" w:eastAsia="宋体" w:cs="Times New Roman"/>
          <w:color w:val="231F20"/>
          <w:spacing w:val="12"/>
          <w:sz w:val="24"/>
          <w:szCs w:val="24"/>
        </w:rPr>
        <w:t>美军在印太地区的国防能力建设和加强合作伙伴关系，加速备战进程，为打赢战争做好全</w:t>
      </w:r>
      <w:r>
        <w:rPr>
          <w:rFonts w:hint="default" w:ascii="Times New Roman" w:hAnsi="Times New Roman" w:eastAsia="宋体" w:cs="Times New Roman"/>
          <w:color w:val="231F20"/>
          <w:spacing w:val="9"/>
          <w:sz w:val="24"/>
          <w:szCs w:val="24"/>
        </w:rPr>
        <w:t>面准备；二是启动“印太海域态势感知伙伴关系”倡议，加强对印太地区水域的监测；三</w:t>
      </w:r>
      <w:r>
        <w:rPr>
          <w:rFonts w:hint="default" w:ascii="Times New Roman" w:hAnsi="Times New Roman" w:eastAsia="宋体" w:cs="Times New Roman"/>
          <w:color w:val="231F20"/>
          <w:spacing w:val="7"/>
          <w:sz w:val="24"/>
          <w:szCs w:val="24"/>
        </w:rPr>
        <w:t>是推动北约介入亚太事务，打造“亚太版北约”；四是与盟友及</w:t>
      </w:r>
      <w:r>
        <w:rPr>
          <w:rFonts w:hint="default" w:ascii="Times New Roman" w:hAnsi="Times New Roman" w:eastAsia="宋体" w:cs="Times New Roman"/>
          <w:color w:val="231F20"/>
          <w:spacing w:val="6"/>
          <w:sz w:val="24"/>
          <w:szCs w:val="24"/>
        </w:rPr>
        <w:t>伙伴合作开展军事演习，试</w:t>
      </w:r>
      <w:r>
        <w:rPr>
          <w:rFonts w:hint="default" w:ascii="Times New Roman" w:hAnsi="Times New Roman" w:eastAsia="宋体" w:cs="Times New Roman"/>
          <w:color w:val="231F20"/>
          <w:spacing w:val="11"/>
          <w:sz w:val="24"/>
          <w:szCs w:val="24"/>
        </w:rPr>
        <w:t>图以此形成对中国的全方位围堵和遏制，这</w:t>
      </w:r>
      <w:r>
        <w:rPr>
          <w:rFonts w:hint="default" w:ascii="Times New Roman" w:hAnsi="Times New Roman" w:eastAsia="宋体" w:cs="Times New Roman"/>
          <w:color w:val="231F20"/>
          <w:spacing w:val="10"/>
          <w:sz w:val="24"/>
          <w:szCs w:val="24"/>
        </w:rPr>
        <w:t>将严重破坏地区和平稳定。随着美国对华战略</w:t>
      </w:r>
      <w:r>
        <w:rPr>
          <w:rFonts w:hint="default" w:ascii="Times New Roman" w:hAnsi="Times New Roman" w:eastAsia="宋体" w:cs="Times New Roman"/>
          <w:color w:val="231F20"/>
          <w:spacing w:val="8"/>
          <w:sz w:val="24"/>
          <w:szCs w:val="24"/>
        </w:rPr>
        <w:t>竞争的展开，印太地区秩序将不可避免地呈</w:t>
      </w:r>
      <w:r>
        <w:rPr>
          <w:rFonts w:hint="default" w:ascii="Times New Roman" w:hAnsi="Times New Roman" w:eastAsia="宋体" w:cs="Times New Roman"/>
          <w:color w:val="231F20"/>
          <w:spacing w:val="7"/>
          <w:sz w:val="24"/>
          <w:szCs w:val="24"/>
        </w:rPr>
        <w:t>现一系列分化、改组和重构。</w:t>
      </w:r>
    </w:p>
    <w:p w14:paraId="0868FB4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2.朝鲜半岛、台海和南海等地区热点问题持续发酵，成为影响印太安全形势的重要因素</w:t>
      </w:r>
    </w:p>
    <w:p w14:paraId="25DFCE4A">
      <w:pPr>
        <w:pStyle w:val="6"/>
        <w:keepNext w:val="0"/>
        <w:keepLines w:val="0"/>
        <w:pageBreakBefore w:val="0"/>
        <w:widowControl/>
        <w:tabs>
          <w:tab w:val="left" w:pos="1001"/>
        </w:tabs>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color w:val="231F20"/>
          <w:spacing w:val="14"/>
          <w:sz w:val="24"/>
          <w:szCs w:val="24"/>
        </w:rPr>
      </w:pPr>
      <w:r>
        <w:rPr>
          <w:rFonts w:hint="default" w:ascii="Times New Roman" w:hAnsi="Times New Roman" w:eastAsia="宋体" w:cs="Times New Roman"/>
          <w:color w:val="231F20"/>
          <w:spacing w:val="11"/>
          <w:sz w:val="24"/>
          <w:szCs w:val="24"/>
        </w:rPr>
        <w:t>其一，作为冷战遗留问题，美国挑动的朝鲜</w:t>
      </w:r>
      <w:r>
        <w:rPr>
          <w:rFonts w:hint="default" w:ascii="Times New Roman" w:hAnsi="Times New Roman" w:eastAsia="宋体" w:cs="Times New Roman"/>
          <w:color w:val="231F20"/>
          <w:spacing w:val="10"/>
          <w:sz w:val="24"/>
          <w:szCs w:val="24"/>
        </w:rPr>
        <w:t>半岛持续紧张局势严重影响着东北亚地区</w:t>
      </w:r>
      <w:r>
        <w:rPr>
          <w:rFonts w:hint="default" w:ascii="Times New Roman" w:hAnsi="Times New Roman" w:eastAsia="宋体" w:cs="Times New Roman"/>
          <w:color w:val="231F20"/>
          <w:spacing w:val="14"/>
          <w:sz w:val="24"/>
          <w:szCs w:val="24"/>
        </w:rPr>
        <w:t>安全。韩国尹锡悦政府上台后，美日韩持续强化三边军</w:t>
      </w:r>
      <w:r>
        <w:rPr>
          <w:rFonts w:hint="default" w:ascii="Times New Roman" w:hAnsi="Times New Roman" w:eastAsia="宋体" w:cs="Times New Roman"/>
          <w:color w:val="231F20"/>
          <w:spacing w:val="13"/>
          <w:sz w:val="24"/>
          <w:szCs w:val="24"/>
        </w:rPr>
        <w:t>事合作，密集举行军事演习，不断</w:t>
      </w:r>
      <w:r>
        <w:rPr>
          <w:rFonts w:hint="default" w:ascii="Times New Roman" w:hAnsi="Times New Roman" w:eastAsia="宋体" w:cs="Times New Roman"/>
          <w:color w:val="231F20"/>
          <w:spacing w:val="11"/>
          <w:sz w:val="24"/>
          <w:szCs w:val="24"/>
        </w:rPr>
        <w:t>推进情报共享机制。朝鲜则被迫频繁试射导弹进行回应。2024年1月，朝鲜调整对韩关系</w:t>
      </w:r>
      <w:r>
        <w:rPr>
          <w:rFonts w:hint="default" w:ascii="Times New Roman" w:hAnsi="Times New Roman" w:eastAsia="宋体" w:cs="Times New Roman"/>
          <w:color w:val="231F20"/>
          <w:spacing w:val="14"/>
          <w:sz w:val="24"/>
          <w:szCs w:val="24"/>
        </w:rPr>
        <w:t>政策，表示北南是敌对方、交战方，永远无法实现统一。同时，朝鲜与俄罗斯加速靠拢。</w:t>
      </w:r>
    </w:p>
    <w:p w14:paraId="3AAF65DB">
      <w:pPr>
        <w:pStyle w:val="6"/>
        <w:keepNext w:val="0"/>
        <w:keepLines w:val="0"/>
        <w:pageBreakBefore w:val="0"/>
        <w:widowControl/>
        <w:tabs>
          <w:tab w:val="left" w:pos="1001"/>
        </w:tabs>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2024年，朝俄签订《俄罗斯与朝鲜全面战略伙伴关系条约》，条约规定，当任何缔约方遭受</w:t>
      </w:r>
      <w:r>
        <w:rPr>
          <w:rFonts w:hint="default" w:ascii="Times New Roman" w:hAnsi="Times New Roman" w:eastAsia="宋体" w:cs="Times New Roman"/>
          <w:color w:val="231F20"/>
          <w:spacing w:val="17"/>
          <w:sz w:val="24"/>
          <w:szCs w:val="24"/>
        </w:rPr>
        <w:t>侵略时，另一方将向其提供援助；俄方不排除与朝鲜发展军事技术合作的可能性。其二，</w:t>
      </w:r>
      <w:r>
        <w:rPr>
          <w:rFonts w:hint="default" w:ascii="Times New Roman" w:hAnsi="Times New Roman" w:eastAsia="宋体" w:cs="Times New Roman"/>
          <w:color w:val="231F20"/>
          <w:spacing w:val="20"/>
          <w:sz w:val="24"/>
          <w:szCs w:val="24"/>
        </w:rPr>
        <w:t>台湾问题事关中国主权和领土完整，是中国</w:t>
      </w:r>
      <w:r>
        <w:rPr>
          <w:rFonts w:hint="default" w:ascii="Times New Roman" w:hAnsi="Times New Roman" w:eastAsia="宋体" w:cs="Times New Roman"/>
          <w:color w:val="231F20"/>
          <w:spacing w:val="19"/>
          <w:sz w:val="24"/>
          <w:szCs w:val="24"/>
        </w:rPr>
        <w:t>最重要的核心利益，也是中美关系中最重要、</w:t>
      </w:r>
      <w:r>
        <w:rPr>
          <w:rFonts w:hint="default" w:ascii="Times New Roman" w:hAnsi="Times New Roman" w:eastAsia="宋体" w:cs="Times New Roman"/>
          <w:color w:val="231F20"/>
          <w:spacing w:val="14"/>
          <w:sz w:val="24"/>
          <w:szCs w:val="24"/>
        </w:rPr>
        <w:t>最敏感的核心问题。美国在中国台湾问题上声称“不寻求对抗或冲突”的同时，一再强调</w:t>
      </w:r>
      <w:r>
        <w:rPr>
          <w:rFonts w:hint="default" w:ascii="Times New Roman" w:hAnsi="Times New Roman" w:eastAsia="宋体" w:cs="Times New Roman"/>
          <w:color w:val="231F20"/>
          <w:spacing w:val="4"/>
          <w:sz w:val="24"/>
          <w:szCs w:val="24"/>
        </w:rPr>
        <w:t>“帮助台湾保持足够的防卫能力”，企图“以台制华”，成为当前台海和平稳定发</w:t>
      </w:r>
      <w:r>
        <w:rPr>
          <w:rFonts w:hint="default" w:ascii="Times New Roman" w:hAnsi="Times New Roman" w:eastAsia="宋体" w:cs="Times New Roman"/>
          <w:color w:val="231F20"/>
          <w:spacing w:val="3"/>
          <w:sz w:val="24"/>
          <w:szCs w:val="24"/>
        </w:rPr>
        <w:t>展的主要威</w:t>
      </w:r>
      <w:r>
        <w:rPr>
          <w:rFonts w:hint="default" w:ascii="Times New Roman" w:hAnsi="Times New Roman" w:eastAsia="宋体" w:cs="Times New Roman"/>
          <w:color w:val="231F20"/>
          <w:spacing w:val="14"/>
          <w:sz w:val="24"/>
          <w:szCs w:val="24"/>
        </w:rPr>
        <w:t>胁。</w:t>
      </w:r>
      <w:r>
        <w:rPr>
          <w:rFonts w:hint="default" w:ascii="Times New Roman" w:hAnsi="Times New Roman" w:eastAsia="宋体" w:cs="Times New Roman"/>
          <w:color w:val="231F20"/>
          <w:spacing w:val="14"/>
          <w:position w:val="9"/>
          <w:sz w:val="24"/>
          <w:szCs w:val="24"/>
        </w:rPr>
        <w:t>⑨</w:t>
      </w:r>
      <w:r>
        <w:rPr>
          <w:rFonts w:hint="default" w:ascii="Times New Roman" w:hAnsi="Times New Roman" w:eastAsia="宋体" w:cs="Times New Roman"/>
          <w:color w:val="231F20"/>
          <w:spacing w:val="14"/>
          <w:sz w:val="24"/>
          <w:szCs w:val="24"/>
        </w:rPr>
        <w:t>其三，南海问题涉及领土主权争议、围绕南海问题的战略博弈与军事博弈，以及能</w:t>
      </w:r>
      <w:r>
        <w:rPr>
          <w:rFonts w:hint="default" w:ascii="Times New Roman" w:hAnsi="Times New Roman" w:eastAsia="宋体" w:cs="Times New Roman"/>
          <w:color w:val="231F20"/>
          <w:spacing w:val="3"/>
          <w:sz w:val="24"/>
          <w:szCs w:val="24"/>
        </w:rPr>
        <w:t>源、矿产、生物、渔业、旅游等海洋资源开发这三个层面（王缉思，20</w:t>
      </w:r>
      <w:r>
        <w:rPr>
          <w:rFonts w:hint="default" w:ascii="Times New Roman" w:hAnsi="Times New Roman" w:eastAsia="宋体" w:cs="Times New Roman"/>
          <w:color w:val="231F20"/>
          <w:spacing w:val="2"/>
          <w:sz w:val="24"/>
          <w:szCs w:val="24"/>
        </w:rPr>
        <w:t>16）。近年来，美国</w:t>
      </w:r>
      <w:r>
        <w:rPr>
          <w:rFonts w:hint="default" w:ascii="Times New Roman" w:hAnsi="Times New Roman" w:eastAsia="宋体" w:cs="Times New Roman"/>
          <w:color w:val="231F20"/>
          <w:spacing w:val="9"/>
          <w:sz w:val="24"/>
          <w:szCs w:val="24"/>
        </w:rPr>
        <w:t>不断炒作“中国威胁论”，以所谓的南海“航行自由”为借</w:t>
      </w:r>
      <w:r>
        <w:rPr>
          <w:rFonts w:hint="default" w:ascii="Times New Roman" w:hAnsi="Times New Roman" w:eastAsia="宋体" w:cs="Times New Roman"/>
          <w:color w:val="231F20"/>
          <w:spacing w:val="8"/>
          <w:sz w:val="24"/>
          <w:szCs w:val="24"/>
        </w:rPr>
        <w:t>口损害中国的主权、安全和海洋</w:t>
      </w:r>
      <w:r>
        <w:rPr>
          <w:rFonts w:hint="default" w:ascii="Times New Roman" w:hAnsi="Times New Roman" w:eastAsia="宋体" w:cs="Times New Roman"/>
          <w:color w:val="231F20"/>
          <w:spacing w:val="14"/>
          <w:sz w:val="24"/>
          <w:szCs w:val="24"/>
        </w:rPr>
        <w:t>权益，并不断怂恿菲律宾等盟友在南海地区主动挑起对华冲突。其四，印太地区还存在着</w:t>
      </w:r>
      <w:r>
        <w:rPr>
          <w:rFonts w:hint="default" w:ascii="Times New Roman" w:hAnsi="Times New Roman" w:eastAsia="宋体" w:cs="Times New Roman"/>
          <w:color w:val="231F20"/>
          <w:spacing w:val="11"/>
          <w:sz w:val="24"/>
          <w:szCs w:val="24"/>
        </w:rPr>
        <w:t>中日、韩日、俄日、中菲、中越等国间的岛屿和海洋权益争端，以及中印陆地边界争端。</w:t>
      </w:r>
      <w:r>
        <w:rPr>
          <w:rFonts w:hint="default" w:ascii="Times New Roman" w:hAnsi="Times New Roman" w:eastAsia="宋体" w:cs="Times New Roman"/>
          <w:color w:val="231F20"/>
          <w:spacing w:val="13"/>
          <w:sz w:val="24"/>
          <w:szCs w:val="24"/>
        </w:rPr>
        <w:t>这一系列传统安全热点问题同样严重影响着印太地区的稳定和发展。</w:t>
      </w:r>
    </w:p>
    <w:p w14:paraId="7C9A0E0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3.印太地区主要国家大幅提升防务预算，地区安全风险加剧</w:t>
      </w:r>
    </w:p>
    <w:p w14:paraId="5C92D90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2024财年，美国国防预算达到8420亿美元，约占全球军费总额的40%，超过中东大国</w:t>
      </w:r>
      <w:r>
        <w:rPr>
          <w:rFonts w:hint="default" w:ascii="Times New Roman" w:hAnsi="Times New Roman" w:eastAsia="宋体" w:cs="Times New Roman"/>
          <w:color w:val="231F20"/>
          <w:spacing w:val="9"/>
          <w:sz w:val="24"/>
          <w:szCs w:val="24"/>
        </w:rPr>
        <w:t>沙特阿拉伯2021年全年</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9"/>
          <w:sz w:val="24"/>
          <w:szCs w:val="24"/>
        </w:rPr>
        <w:t>，比中国、俄罗斯、印度、英</w:t>
      </w:r>
      <w:r>
        <w:rPr>
          <w:rFonts w:hint="default" w:ascii="Times New Roman" w:hAnsi="Times New Roman" w:eastAsia="宋体" w:cs="Times New Roman"/>
          <w:color w:val="231F20"/>
          <w:spacing w:val="8"/>
          <w:sz w:val="24"/>
          <w:szCs w:val="24"/>
        </w:rPr>
        <w:t>国等9国的国防预算总和还高出</w:t>
      </w:r>
      <w:r>
        <w:rPr>
          <w:rFonts w:hint="default" w:ascii="Times New Roman" w:hAnsi="Times New Roman" w:eastAsia="宋体" w:cs="Times New Roman"/>
          <w:color w:val="231F20"/>
          <w:spacing w:val="6"/>
          <w:sz w:val="24"/>
          <w:szCs w:val="24"/>
        </w:rPr>
        <w:t>20%。2025财年，美国国防预算持续走高，申请总额为8952亿美元；</w:t>
      </w:r>
      <w:r>
        <w:rPr>
          <w:rFonts w:hint="default" w:ascii="Times New Roman" w:hAnsi="Times New Roman" w:eastAsia="宋体" w:cs="Times New Roman"/>
          <w:color w:val="231F20"/>
          <w:spacing w:val="6"/>
          <w:position w:val="9"/>
          <w:sz w:val="24"/>
          <w:szCs w:val="24"/>
        </w:rPr>
        <w:t>⑩</w:t>
      </w:r>
      <w:r>
        <w:rPr>
          <w:rFonts w:hint="default" w:ascii="Times New Roman" w:hAnsi="Times New Roman" w:eastAsia="宋体" w:cs="Times New Roman"/>
          <w:color w:val="231F20"/>
          <w:spacing w:val="6"/>
          <w:sz w:val="24"/>
          <w:szCs w:val="24"/>
        </w:rPr>
        <w:t>日本计划到2</w:t>
      </w:r>
      <w:r>
        <w:rPr>
          <w:rFonts w:hint="default" w:ascii="Times New Roman" w:hAnsi="Times New Roman" w:eastAsia="宋体" w:cs="Times New Roman"/>
          <w:color w:val="231F20"/>
          <w:spacing w:val="5"/>
          <w:sz w:val="24"/>
          <w:szCs w:val="24"/>
        </w:rPr>
        <w:t>027年</w:t>
      </w:r>
      <w:r>
        <w:rPr>
          <w:rFonts w:hint="default" w:ascii="Times New Roman" w:hAnsi="Times New Roman" w:eastAsia="宋体" w:cs="Times New Roman"/>
          <w:color w:val="231F20"/>
          <w:spacing w:val="14"/>
          <w:sz w:val="24"/>
          <w:szCs w:val="24"/>
        </w:rPr>
        <w:t>将防卫费提高到其</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14"/>
          <w:sz w:val="24"/>
          <w:szCs w:val="24"/>
        </w:rPr>
        <w:t>的2%，其2025财年防卫预算申请总额达到创纪</w:t>
      </w:r>
      <w:r>
        <w:rPr>
          <w:rFonts w:hint="default" w:ascii="Times New Roman" w:hAnsi="Times New Roman" w:eastAsia="宋体" w:cs="Times New Roman"/>
          <w:color w:val="231F20"/>
          <w:spacing w:val="13"/>
          <w:sz w:val="24"/>
          <w:szCs w:val="24"/>
        </w:rPr>
        <w:t>录的8.5万亿日元</w:t>
      </w:r>
      <w:r>
        <w:rPr>
          <w:rFonts w:hint="default" w:ascii="Times New Roman" w:hAnsi="Times New Roman" w:eastAsia="宋体" w:cs="Times New Roman"/>
          <w:color w:val="231F20"/>
          <w:spacing w:val="2"/>
          <w:sz w:val="24"/>
          <w:szCs w:val="24"/>
        </w:rPr>
        <w:t>（约合590亿美元</w:t>
      </w:r>
      <w:r>
        <w:rPr>
          <w:rFonts w:hint="default" w:ascii="Times New Roman" w:hAnsi="Times New Roman" w:eastAsia="宋体" w:cs="Times New Roman"/>
          <w:color w:val="231F20"/>
          <w:spacing w:val="-68"/>
          <w:sz w:val="24"/>
          <w:szCs w:val="24"/>
        </w:rPr>
        <w:t>）；</w:t>
      </w:r>
      <w:r>
        <w:rPr>
          <w:rFonts w:hint="default" w:ascii="Times New Roman" w:hAnsi="Times New Roman" w:eastAsia="宋体" w:cs="Times New Roman"/>
          <w:color w:val="231F20"/>
          <w:spacing w:val="2"/>
          <w:sz w:val="24"/>
          <w:szCs w:val="24"/>
        </w:rPr>
        <w:t>韩国发布《2024至2028年国防中</w:t>
      </w:r>
      <w:r>
        <w:rPr>
          <w:rFonts w:hint="default" w:ascii="Times New Roman" w:hAnsi="Times New Roman" w:eastAsia="宋体" w:cs="Times New Roman"/>
          <w:color w:val="231F20"/>
          <w:spacing w:val="1"/>
          <w:sz w:val="24"/>
          <w:szCs w:val="24"/>
        </w:rPr>
        <w:t>期计划》，计划在未来5年投入约2700</w:t>
      </w:r>
      <w:r>
        <w:rPr>
          <w:rFonts w:hint="default" w:ascii="Times New Roman" w:hAnsi="Times New Roman" w:eastAsia="宋体" w:cs="Times New Roman"/>
          <w:color w:val="231F20"/>
          <w:spacing w:val="11"/>
          <w:sz w:val="24"/>
          <w:szCs w:val="24"/>
        </w:rPr>
        <w:t>亿美元用于军费开支；印度2024—2025财年国防预算增至6.219万亿卢比（约合741亿美</w:t>
      </w:r>
      <w:r>
        <w:rPr>
          <w:rFonts w:hint="default" w:ascii="Times New Roman" w:hAnsi="Times New Roman" w:eastAsia="宋体" w:cs="Times New Roman"/>
          <w:color w:val="231F20"/>
          <w:spacing w:val="9"/>
          <w:sz w:val="24"/>
          <w:szCs w:val="24"/>
        </w:rPr>
        <w:t>元</w:t>
      </w:r>
      <w:r>
        <w:rPr>
          <w:rFonts w:hint="default" w:ascii="Times New Roman" w:hAnsi="Times New Roman" w:eastAsia="宋体" w:cs="Times New Roman"/>
          <w:color w:val="231F20"/>
          <w:spacing w:val="-64"/>
          <w:sz w:val="24"/>
          <w:szCs w:val="24"/>
        </w:rPr>
        <w:t>），</w:t>
      </w:r>
      <w:r>
        <w:rPr>
          <w:rFonts w:hint="default" w:ascii="Times New Roman" w:hAnsi="Times New Roman" w:eastAsia="宋体" w:cs="Times New Roman"/>
          <w:color w:val="231F20"/>
          <w:spacing w:val="9"/>
          <w:sz w:val="24"/>
          <w:szCs w:val="24"/>
        </w:rPr>
        <w:t>比上一财年增长约4.79%，比2022—2023财年增长18.43%；澳大利亚计</w:t>
      </w:r>
      <w:r>
        <w:rPr>
          <w:rFonts w:hint="default" w:ascii="Times New Roman" w:hAnsi="Times New Roman" w:eastAsia="宋体" w:cs="Times New Roman"/>
          <w:color w:val="231F20"/>
          <w:spacing w:val="8"/>
          <w:sz w:val="24"/>
          <w:szCs w:val="24"/>
        </w:rPr>
        <w:t>划到2026年</w:t>
      </w:r>
      <w:r>
        <w:rPr>
          <w:rFonts w:hint="default" w:ascii="Times New Roman" w:hAnsi="Times New Roman" w:eastAsia="宋体" w:cs="Times New Roman"/>
          <w:color w:val="231F20"/>
          <w:spacing w:val="6"/>
          <w:sz w:val="24"/>
          <w:szCs w:val="24"/>
        </w:rPr>
        <w:t>将国防开支增加至</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6"/>
          <w:sz w:val="24"/>
          <w:szCs w:val="24"/>
        </w:rPr>
        <w:t>的2%以上，并宣布未来10年额</w:t>
      </w:r>
      <w:r>
        <w:rPr>
          <w:rFonts w:hint="default" w:ascii="Times New Roman" w:hAnsi="Times New Roman" w:eastAsia="宋体" w:cs="Times New Roman"/>
          <w:color w:val="231F20"/>
          <w:spacing w:val="5"/>
          <w:sz w:val="24"/>
          <w:szCs w:val="24"/>
        </w:rPr>
        <w:t>外增加111亿澳元（约72.5亿美元）</w:t>
      </w:r>
      <w:r>
        <w:rPr>
          <w:rFonts w:hint="default" w:ascii="Times New Roman" w:hAnsi="Times New Roman" w:eastAsia="宋体" w:cs="Times New Roman"/>
          <w:color w:val="231F20"/>
          <w:spacing w:val="14"/>
          <w:sz w:val="24"/>
          <w:szCs w:val="24"/>
        </w:rPr>
        <w:t>的国防开支，用以建设其二战以来最大规模舰队。美国及其盟友通过提升国防预算来确保</w:t>
      </w:r>
      <w:r>
        <w:rPr>
          <w:rFonts w:hint="default" w:ascii="Times New Roman" w:hAnsi="Times New Roman" w:eastAsia="宋体" w:cs="Times New Roman"/>
          <w:color w:val="231F20"/>
          <w:spacing w:val="15"/>
          <w:sz w:val="24"/>
          <w:szCs w:val="24"/>
        </w:rPr>
        <w:t>军事优势和军事霸权的做法，不仅会进一步加剧</w:t>
      </w:r>
      <w:r>
        <w:rPr>
          <w:rFonts w:hint="default" w:ascii="Times New Roman" w:hAnsi="Times New Roman" w:eastAsia="宋体" w:cs="Times New Roman"/>
          <w:color w:val="231F20"/>
          <w:spacing w:val="14"/>
          <w:sz w:val="24"/>
          <w:szCs w:val="24"/>
        </w:rPr>
        <w:t>地区安全不稳定性，而且可能会引发军备</w:t>
      </w:r>
      <w:r>
        <w:rPr>
          <w:rFonts w:hint="default" w:ascii="Times New Roman" w:hAnsi="Times New Roman" w:eastAsia="宋体" w:cs="Times New Roman"/>
          <w:color w:val="231F20"/>
          <w:spacing w:val="12"/>
          <w:sz w:val="24"/>
          <w:szCs w:val="24"/>
        </w:rPr>
        <w:t>竞赛，恶化印太地区安全形势。</w:t>
      </w:r>
    </w:p>
    <w:p w14:paraId="37AD521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（二）印太地区力量的分化重组</w:t>
      </w:r>
    </w:p>
    <w:p w14:paraId="32C0BCB0">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4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5"/>
          <w:sz w:val="24"/>
          <w:szCs w:val="24"/>
        </w:rPr>
        <w:t>现阶段，印太地区面临着错综复杂的安全形势，总体上维持着</w:t>
      </w:r>
      <w:r>
        <w:rPr>
          <w:rFonts w:hint="default" w:ascii="Times New Roman" w:hAnsi="Times New Roman" w:eastAsia="宋体" w:cs="Times New Roman"/>
          <w:color w:val="231F20"/>
          <w:spacing w:val="14"/>
          <w:sz w:val="24"/>
          <w:szCs w:val="24"/>
        </w:rPr>
        <w:t>极不稳定的和平状态。</w:t>
      </w:r>
      <w:r>
        <w:rPr>
          <w:rFonts w:hint="default" w:ascii="Times New Roman" w:hAnsi="Times New Roman" w:eastAsia="宋体" w:cs="Times New Roman"/>
          <w:color w:val="231F20"/>
          <w:spacing w:val="10"/>
          <w:sz w:val="24"/>
          <w:szCs w:val="24"/>
        </w:rPr>
        <w:t>随着美国“印太战略”的推进，印太地区主要力量出现分化重组，地区国家面临着“</w:t>
      </w:r>
      <w:r>
        <w:rPr>
          <w:rFonts w:hint="default" w:ascii="Times New Roman" w:hAnsi="Times New Roman" w:eastAsia="宋体" w:cs="Times New Roman"/>
          <w:color w:val="231F20"/>
          <w:spacing w:val="9"/>
          <w:sz w:val="24"/>
          <w:szCs w:val="24"/>
        </w:rPr>
        <w:t>选边</w:t>
      </w:r>
      <w:r>
        <w:rPr>
          <w:rFonts w:hint="default" w:ascii="Times New Roman" w:hAnsi="Times New Roman" w:eastAsia="宋体" w:cs="Times New Roman"/>
          <w:color w:val="231F20"/>
          <w:spacing w:val="3"/>
          <w:sz w:val="24"/>
          <w:szCs w:val="24"/>
        </w:rPr>
        <w:t>站队”的困境。</w:t>
      </w:r>
    </w:p>
    <w:p w14:paraId="192BCB6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1.美国的盟友积极响应“印太战略”</w:t>
      </w:r>
    </w:p>
    <w:p w14:paraId="579323E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日本、韩国、澳大利亚、菲律宾等美国盟友大力</w:t>
      </w:r>
      <w:r>
        <w:rPr>
          <w:rFonts w:hint="default" w:ascii="Times New Roman" w:hAnsi="Times New Roman" w:eastAsia="宋体" w:cs="Times New Roman"/>
          <w:color w:val="231F20"/>
          <w:spacing w:val="1"/>
          <w:sz w:val="24"/>
          <w:szCs w:val="24"/>
        </w:rPr>
        <w:t>支持“印太战略”。2023年8月，美日</w:t>
      </w:r>
      <w:r>
        <w:rPr>
          <w:rFonts w:hint="default" w:ascii="Times New Roman" w:hAnsi="Times New Roman" w:eastAsia="宋体" w:cs="Times New Roman"/>
          <w:color w:val="231F20"/>
          <w:spacing w:val="7"/>
          <w:sz w:val="24"/>
          <w:szCs w:val="24"/>
        </w:rPr>
        <w:t>韩三国领导人在戴维营举行会晤，就“加强三边磋商机制、强化安全协作、深化地区合作、</w:t>
      </w:r>
      <w:r>
        <w:rPr>
          <w:rFonts w:hint="default" w:ascii="Times New Roman" w:hAnsi="Times New Roman" w:eastAsia="宋体" w:cs="Times New Roman"/>
          <w:color w:val="231F20"/>
          <w:spacing w:val="6"/>
          <w:sz w:val="24"/>
          <w:szCs w:val="24"/>
        </w:rPr>
        <w:t>加深经济技术合作”等达成共识，表明三国的军事合作正在朝机制化方向发展。</w:t>
      </w:r>
      <w:r>
        <w:rPr>
          <w:rFonts w:hint="default" w:ascii="Times New Roman" w:hAnsi="Times New Roman" w:eastAsia="宋体" w:cs="Times New Roman"/>
          <w:color w:val="231F20"/>
          <w:spacing w:val="6"/>
          <w:sz w:val="32"/>
          <w:szCs w:val="32"/>
          <w:vertAlign w:val="superscript"/>
        </w:rPr>
        <w:t>⑪</w:t>
      </w:r>
      <w:r>
        <w:rPr>
          <w:rFonts w:hint="default" w:ascii="Times New Roman" w:hAnsi="Times New Roman" w:eastAsia="宋体" w:cs="Times New Roman"/>
          <w:color w:val="231F20"/>
          <w:spacing w:val="6"/>
          <w:sz w:val="24"/>
          <w:szCs w:val="24"/>
        </w:rPr>
        <w:t>2024年4</w:t>
      </w:r>
      <w:r>
        <w:rPr>
          <w:rFonts w:hint="default" w:ascii="Times New Roman" w:hAnsi="Times New Roman" w:eastAsia="宋体" w:cs="Times New Roman"/>
          <w:color w:val="231F20"/>
          <w:spacing w:val="5"/>
          <w:sz w:val="24"/>
          <w:szCs w:val="24"/>
        </w:rPr>
        <w:t>月，美国、日本、菲律宾三国在白宫举行首次三边峰会。此次峰会形成了三国在海上安全、</w:t>
      </w:r>
      <w:r>
        <w:rPr>
          <w:rFonts w:hint="default" w:ascii="Times New Roman" w:hAnsi="Times New Roman" w:eastAsia="宋体" w:cs="Times New Roman"/>
          <w:color w:val="231F20"/>
          <w:spacing w:val="8"/>
          <w:sz w:val="24"/>
          <w:szCs w:val="24"/>
        </w:rPr>
        <w:t>经济安全、清洁能源、人文等多领域的合作成果。印度虽然不是美国盟友，但美国出于战</w:t>
      </w:r>
      <w:r>
        <w:rPr>
          <w:rFonts w:hint="default" w:ascii="Times New Roman" w:hAnsi="Times New Roman" w:eastAsia="宋体" w:cs="Times New Roman"/>
          <w:color w:val="231F20"/>
          <w:spacing w:val="11"/>
          <w:sz w:val="24"/>
          <w:szCs w:val="24"/>
        </w:rPr>
        <w:t>略需要，特别是看重印度在平衡中国力量</w:t>
      </w:r>
      <w:r>
        <w:rPr>
          <w:rFonts w:hint="default" w:ascii="Times New Roman" w:hAnsi="Times New Roman" w:eastAsia="宋体" w:cs="Times New Roman"/>
          <w:color w:val="231F20"/>
          <w:spacing w:val="10"/>
          <w:sz w:val="24"/>
          <w:szCs w:val="24"/>
        </w:rPr>
        <w:t>方面的作用而加速推进与印度的合作，支持印度</w:t>
      </w:r>
      <w:r>
        <w:rPr>
          <w:rFonts w:hint="default" w:ascii="Times New Roman" w:hAnsi="Times New Roman" w:eastAsia="宋体" w:cs="Times New Roman"/>
          <w:color w:val="231F20"/>
          <w:spacing w:val="18"/>
          <w:sz w:val="24"/>
          <w:szCs w:val="24"/>
        </w:rPr>
        <w:t>发挥地区领导者的作用。当前，美印关系的强化呈现加快趋势且难以发</w:t>
      </w:r>
      <w:r>
        <w:rPr>
          <w:rFonts w:hint="default" w:ascii="Times New Roman" w:hAnsi="Times New Roman" w:eastAsia="宋体" w:cs="Times New Roman"/>
          <w:color w:val="231F20"/>
          <w:spacing w:val="17"/>
          <w:sz w:val="24"/>
          <w:szCs w:val="24"/>
        </w:rPr>
        <w:t>生逆转（周琪，</w:t>
      </w:r>
      <w:r>
        <w:rPr>
          <w:rFonts w:hint="default" w:ascii="Times New Roman" w:hAnsi="Times New Roman" w:eastAsia="宋体" w:cs="Times New Roman"/>
          <w:color w:val="231F20"/>
          <w:spacing w:val="2"/>
          <w:sz w:val="24"/>
          <w:szCs w:val="24"/>
        </w:rPr>
        <w:t>2024）。美日印澳“四方安全对话”机制最早于2007年启动，后经历了10年沉寂，于2017</w:t>
      </w:r>
      <w:r>
        <w:rPr>
          <w:rFonts w:hint="default" w:ascii="Times New Roman" w:hAnsi="Times New Roman" w:eastAsia="宋体" w:cs="Times New Roman"/>
          <w:color w:val="231F20"/>
          <w:spacing w:val="9"/>
          <w:sz w:val="24"/>
          <w:szCs w:val="24"/>
        </w:rPr>
        <w:t>年重启，2021年3月升级为首脑级别峰会。该合作机制的重点主要在科技、经济、非传统安全等领域，包括战略技术、供应链稳定、卫生安全、海</w:t>
      </w:r>
      <w:r>
        <w:rPr>
          <w:rFonts w:hint="default" w:ascii="Times New Roman" w:hAnsi="Times New Roman" w:eastAsia="宋体" w:cs="Times New Roman"/>
          <w:color w:val="231F20"/>
          <w:spacing w:val="8"/>
          <w:sz w:val="24"/>
          <w:szCs w:val="24"/>
        </w:rPr>
        <w:t>上安全和反恐等。这一合作机制表面上声称为地区提供公共产品，实际上则带有对冲中国在印太地区影响的企图。</w:t>
      </w:r>
    </w:p>
    <w:p w14:paraId="18EF62E4">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2.东盟的中心地位受到冲击</w:t>
      </w:r>
    </w:p>
    <w:p w14:paraId="343F461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2019年6月，东盟发布的《东盟印太展望》致力于“发展包容性的区域架构”“发挥领</w:t>
      </w:r>
      <w:r>
        <w:rPr>
          <w:rFonts w:hint="default" w:ascii="Times New Roman" w:hAnsi="Times New Roman" w:eastAsia="宋体" w:cs="Times New Roman"/>
          <w:color w:val="231F20"/>
          <w:spacing w:val="11"/>
          <w:sz w:val="24"/>
          <w:szCs w:val="24"/>
        </w:rPr>
        <w:t>导作用，打造和塑造印太地区更紧密合作的愿景”，并继续在“东南亚及其周边地</w:t>
      </w:r>
      <w:r>
        <w:rPr>
          <w:rFonts w:hint="default" w:ascii="Times New Roman" w:hAnsi="Times New Roman" w:eastAsia="宋体" w:cs="Times New Roman"/>
          <w:color w:val="231F20"/>
          <w:spacing w:val="10"/>
          <w:sz w:val="24"/>
          <w:szCs w:val="24"/>
        </w:rPr>
        <w:t>区不断发</w:t>
      </w:r>
      <w:r>
        <w:rPr>
          <w:rFonts w:hint="default" w:ascii="Times New Roman" w:hAnsi="Times New Roman" w:eastAsia="宋体" w:cs="Times New Roman"/>
          <w:color w:val="231F20"/>
          <w:spacing w:val="9"/>
          <w:sz w:val="24"/>
          <w:szCs w:val="24"/>
        </w:rPr>
        <w:t>展的区域架构中保持东盟的核心作用，在利益竞争的战略环境中充当诚实的中间人”。</w:t>
      </w:r>
      <w:r>
        <w:rPr>
          <w:rFonts w:hint="default" w:ascii="Times New Roman" w:hAnsi="Times New Roman" w:eastAsia="宋体" w:cs="Times New Roman"/>
          <w:color w:val="231F20"/>
          <w:spacing w:val="9"/>
          <w:sz w:val="32"/>
          <w:szCs w:val="32"/>
          <w:vertAlign w:val="superscript"/>
        </w:rPr>
        <w:t>⑫</w:t>
      </w:r>
      <w:r>
        <w:rPr>
          <w:rFonts w:hint="default" w:ascii="Times New Roman" w:hAnsi="Times New Roman" w:eastAsia="宋体" w:cs="Times New Roman"/>
          <w:color w:val="231F20"/>
          <w:spacing w:val="9"/>
          <w:sz w:val="24"/>
          <w:szCs w:val="24"/>
        </w:rPr>
        <w:t>为</w:t>
      </w:r>
      <w:r>
        <w:rPr>
          <w:rFonts w:hint="default" w:ascii="Times New Roman" w:hAnsi="Times New Roman" w:eastAsia="宋体" w:cs="Times New Roman"/>
          <w:color w:val="231F20"/>
          <w:spacing w:val="11"/>
          <w:sz w:val="24"/>
          <w:szCs w:val="24"/>
        </w:rPr>
        <w:t>了更好地推进“印太战略”，拜登政府举行了四次美国-东盟峰会。在2022年11月举行的</w:t>
      </w:r>
      <w:r>
        <w:rPr>
          <w:rFonts w:hint="default" w:ascii="Times New Roman" w:hAnsi="Times New Roman" w:eastAsia="宋体" w:cs="Times New Roman"/>
          <w:color w:val="231F20"/>
          <w:spacing w:val="12"/>
          <w:sz w:val="24"/>
          <w:szCs w:val="24"/>
        </w:rPr>
        <w:t>“美国-东盟领导人峰会”期间，拜登总统和东盟领导</w:t>
      </w:r>
      <w:r>
        <w:rPr>
          <w:rFonts w:hint="default" w:ascii="Times New Roman" w:hAnsi="Times New Roman" w:eastAsia="宋体" w:cs="Times New Roman"/>
          <w:color w:val="231F20"/>
          <w:spacing w:val="11"/>
          <w:sz w:val="24"/>
          <w:szCs w:val="24"/>
        </w:rPr>
        <w:t>人将美国与东盟的关系提升为“全面</w:t>
      </w:r>
      <w:r>
        <w:rPr>
          <w:rFonts w:hint="default" w:ascii="Times New Roman" w:hAnsi="Times New Roman" w:eastAsia="宋体" w:cs="Times New Roman"/>
          <w:color w:val="231F20"/>
          <w:spacing w:val="9"/>
          <w:sz w:val="24"/>
          <w:szCs w:val="24"/>
        </w:rPr>
        <w:t>战略伙伴关系”。表面上看，美国在各种场合宣称尊</w:t>
      </w:r>
      <w:r>
        <w:rPr>
          <w:rFonts w:hint="default" w:ascii="Times New Roman" w:hAnsi="Times New Roman" w:eastAsia="宋体" w:cs="Times New Roman"/>
          <w:color w:val="231F20"/>
          <w:spacing w:val="8"/>
          <w:sz w:val="24"/>
          <w:szCs w:val="24"/>
        </w:rPr>
        <w:t>重东盟在地区架构中的中心地位，但在</w:t>
      </w:r>
      <w:r>
        <w:rPr>
          <w:rFonts w:hint="default" w:ascii="Times New Roman" w:hAnsi="Times New Roman" w:eastAsia="宋体" w:cs="Times New Roman"/>
          <w:color w:val="231F20"/>
          <w:spacing w:val="14"/>
          <w:sz w:val="24"/>
          <w:szCs w:val="24"/>
        </w:rPr>
        <w:t>实际行动中却不断强化美日印澳“四方安全对话”机制的作用，把东盟作为一个整体排除</w:t>
      </w:r>
      <w:r>
        <w:rPr>
          <w:rFonts w:hint="default" w:ascii="Times New Roman" w:hAnsi="Times New Roman" w:eastAsia="宋体" w:cs="Times New Roman"/>
          <w:color w:val="231F20"/>
          <w:spacing w:val="17"/>
          <w:sz w:val="24"/>
          <w:szCs w:val="24"/>
        </w:rPr>
        <w:t>在外，甚至还探索以“</w:t>
      </w:r>
      <w:r>
        <w:rPr>
          <w:rFonts w:hint="default" w:ascii="Times New Roman" w:hAnsi="Times New Roman" w:eastAsia="宋体" w:cs="Times New Roman"/>
          <w:color w:val="231F20"/>
          <w:sz w:val="24"/>
          <w:szCs w:val="24"/>
        </w:rPr>
        <w:t>QUAD</w:t>
      </w:r>
      <w:r>
        <w:rPr>
          <w:rFonts w:hint="default" w:ascii="Times New Roman" w:hAnsi="Times New Roman" w:eastAsia="宋体" w:cs="Times New Roman"/>
          <w:color w:val="231F20"/>
          <w:spacing w:val="17"/>
          <w:sz w:val="24"/>
          <w:szCs w:val="24"/>
        </w:rPr>
        <w:t>+”的方式分化、拉拢个别东盟成员国。东盟对于美日印澳</w:t>
      </w:r>
      <w:r>
        <w:rPr>
          <w:rFonts w:hint="default" w:ascii="Times New Roman" w:hAnsi="Times New Roman" w:eastAsia="宋体" w:cs="Times New Roman"/>
          <w:color w:val="231F20"/>
          <w:spacing w:val="9"/>
          <w:sz w:val="24"/>
          <w:szCs w:val="24"/>
        </w:rPr>
        <w:t>“四方安全对话”机制心存疑虑，担心其对自身的中心地位构成挑战（</w:t>
      </w:r>
      <w:r>
        <w:rPr>
          <w:rFonts w:hint="default" w:ascii="Times New Roman" w:hAnsi="Times New Roman" w:eastAsia="宋体" w:cs="Times New Roman"/>
          <w:color w:val="231F20"/>
          <w:sz w:val="24"/>
          <w:szCs w:val="24"/>
        </w:rPr>
        <w:t>Laksmana</w:t>
      </w:r>
      <w:r>
        <w:rPr>
          <w:rFonts w:hint="default" w:ascii="Times New Roman" w:hAnsi="Times New Roman" w:eastAsia="宋体" w:cs="Times New Roman"/>
          <w:color w:val="231F20"/>
          <w:spacing w:val="9"/>
          <w:sz w:val="24"/>
          <w:szCs w:val="24"/>
        </w:rPr>
        <w:t>，2020）。</w:t>
      </w:r>
      <w:r>
        <w:rPr>
          <w:rFonts w:hint="default" w:ascii="Times New Roman" w:hAnsi="Times New Roman" w:eastAsia="宋体" w:cs="Times New Roman"/>
          <w:color w:val="231F20"/>
          <w:spacing w:val="15"/>
          <w:sz w:val="24"/>
          <w:szCs w:val="24"/>
        </w:rPr>
        <w:t>美国这一系列做法的目的在于“弱化以东盟为中心的地区合作架构，强化由美国主导的地</w:t>
      </w:r>
      <w:r>
        <w:rPr>
          <w:rFonts w:hint="default" w:ascii="Times New Roman" w:hAnsi="Times New Roman" w:eastAsia="宋体" w:cs="Times New Roman"/>
          <w:color w:val="231F20"/>
          <w:spacing w:val="9"/>
          <w:sz w:val="24"/>
          <w:szCs w:val="24"/>
        </w:rPr>
        <w:t>区格局”</w:t>
      </w:r>
      <w:r>
        <w:rPr>
          <w:rFonts w:hint="default" w:ascii="Times New Roman" w:hAnsi="Times New Roman" w:eastAsia="宋体" w:cs="Times New Roman"/>
          <w:color w:val="231F20"/>
          <w:spacing w:val="9"/>
          <w:sz w:val="32"/>
          <w:szCs w:val="32"/>
          <w:vertAlign w:val="superscript"/>
        </w:rPr>
        <w:t>⑬</w:t>
      </w:r>
      <w:r>
        <w:rPr>
          <w:rFonts w:hint="default" w:ascii="Times New Roman" w:hAnsi="Times New Roman" w:eastAsia="宋体" w:cs="Times New Roman"/>
          <w:color w:val="231F20"/>
          <w:spacing w:val="9"/>
          <w:sz w:val="24"/>
          <w:szCs w:val="24"/>
        </w:rPr>
        <w:t>，这表明美国事实上“扮演着主导者和中心的角色，</w:t>
      </w:r>
      <w:r>
        <w:rPr>
          <w:rFonts w:hint="default" w:ascii="Times New Roman" w:hAnsi="Times New Roman" w:eastAsia="宋体" w:cs="Times New Roman"/>
          <w:color w:val="231F20"/>
          <w:spacing w:val="8"/>
          <w:sz w:val="24"/>
          <w:szCs w:val="24"/>
        </w:rPr>
        <w:t>并有另立门户和搞小圈子的</w:t>
      </w:r>
      <w:r>
        <w:rPr>
          <w:rFonts w:hint="default" w:ascii="Times New Roman" w:hAnsi="Times New Roman" w:eastAsia="宋体" w:cs="Times New Roman"/>
          <w:color w:val="231F20"/>
          <w:spacing w:val="-3"/>
          <w:sz w:val="24"/>
          <w:szCs w:val="24"/>
        </w:rPr>
        <w:t>倾向”（凌胜利和王彦飞，2022）。</w:t>
      </w:r>
    </w:p>
    <w:p w14:paraId="61B6E96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3.南太平洋岛国面临美国的全力拉拢</w:t>
      </w:r>
    </w:p>
    <w:p w14:paraId="7C2728E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与其他地区相比，南太平洋在由“亚太”向“印太”的视域转换过程中，获得了战略</w:t>
      </w:r>
      <w:r>
        <w:rPr>
          <w:rFonts w:hint="default" w:ascii="Times New Roman" w:hAnsi="Times New Roman" w:eastAsia="宋体" w:cs="Times New Roman"/>
          <w:color w:val="231F20"/>
          <w:spacing w:val="1"/>
          <w:sz w:val="24"/>
          <w:szCs w:val="24"/>
        </w:rPr>
        <w:t>地位的巨大提升，成为落实“印太战略”、强化对华制衡的关键区域（秦升，2019）。在美</w:t>
      </w:r>
      <w:r>
        <w:rPr>
          <w:rFonts w:hint="default" w:ascii="Times New Roman" w:hAnsi="Times New Roman" w:eastAsia="宋体" w:cs="Times New Roman"/>
          <w:color w:val="231F20"/>
          <w:spacing w:val="10"/>
          <w:sz w:val="24"/>
          <w:szCs w:val="24"/>
        </w:rPr>
        <w:t>国看来，中国近年通过加大援助和投资力度</w:t>
      </w:r>
      <w:r>
        <w:rPr>
          <w:rFonts w:hint="default" w:ascii="Times New Roman" w:hAnsi="Times New Roman" w:eastAsia="宋体" w:cs="Times New Roman"/>
          <w:color w:val="231F20"/>
          <w:spacing w:val="9"/>
          <w:sz w:val="24"/>
          <w:szCs w:val="24"/>
        </w:rPr>
        <w:t>，强化了在整个太平洋地区的活动，太平洋岛</w:t>
      </w:r>
    </w:p>
    <w:p w14:paraId="5074C2F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30955CE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59D836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1292D9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6E26317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国“受到中国雄厚财力的诱惑而愿意参与大型项目的建设”（</w:t>
      </w:r>
      <w:r>
        <w:rPr>
          <w:rFonts w:hint="default" w:ascii="Times New Roman" w:hAnsi="Times New Roman" w:eastAsia="宋体" w:cs="Times New Roman"/>
          <w:color w:val="231F20"/>
          <w:sz w:val="24"/>
          <w:szCs w:val="24"/>
        </w:rPr>
        <w:t>Edel</w:t>
      </w:r>
      <w:r>
        <w:rPr>
          <w:rFonts w:hint="default" w:ascii="Times New Roman" w:hAnsi="Times New Roman" w:eastAsia="宋体" w:cs="Times New Roman"/>
          <w:color w:val="231F20"/>
          <w:spacing w:val="5"/>
          <w:sz w:val="24"/>
          <w:szCs w:val="24"/>
        </w:rPr>
        <w:t>，2018）。美国认为，中</w:t>
      </w:r>
      <w:r>
        <w:rPr>
          <w:rFonts w:hint="default" w:ascii="Times New Roman" w:hAnsi="Times New Roman" w:eastAsia="宋体" w:cs="Times New Roman"/>
          <w:color w:val="231F20"/>
          <w:spacing w:val="12"/>
          <w:sz w:val="24"/>
          <w:szCs w:val="24"/>
        </w:rPr>
        <w:t>国在南太平洋地区有三大利益目标：一是推进中国的外</w:t>
      </w:r>
      <w:r>
        <w:rPr>
          <w:rFonts w:hint="default" w:ascii="Times New Roman" w:hAnsi="Times New Roman" w:eastAsia="宋体" w:cs="Times New Roman"/>
          <w:color w:val="231F20"/>
          <w:spacing w:val="11"/>
          <w:sz w:val="24"/>
          <w:szCs w:val="24"/>
        </w:rPr>
        <w:t>交和战略利益，突破美国对于第二</w:t>
      </w:r>
      <w:r>
        <w:rPr>
          <w:rFonts w:hint="default" w:ascii="Times New Roman" w:hAnsi="Times New Roman" w:eastAsia="宋体" w:cs="Times New Roman"/>
          <w:color w:val="231F20"/>
          <w:spacing w:val="5"/>
          <w:sz w:val="24"/>
          <w:szCs w:val="24"/>
        </w:rPr>
        <w:t>岛链的军事控制；二是挤压台湾当局的“国际空间</w:t>
      </w:r>
      <w:r>
        <w:rPr>
          <w:rFonts w:hint="default" w:ascii="Times New Roman" w:hAnsi="Times New Roman" w:eastAsia="宋体" w:cs="Times New Roman"/>
          <w:color w:val="231F20"/>
          <w:spacing w:val="4"/>
          <w:sz w:val="24"/>
          <w:szCs w:val="24"/>
        </w:rPr>
        <w:t>”；三是获取原材料和自然资源。而美国</w:t>
      </w:r>
      <w:r>
        <w:rPr>
          <w:rFonts w:hint="default" w:ascii="Times New Roman" w:hAnsi="Times New Roman" w:eastAsia="宋体" w:cs="Times New Roman"/>
          <w:color w:val="231F20"/>
          <w:spacing w:val="10"/>
          <w:sz w:val="24"/>
          <w:szCs w:val="24"/>
        </w:rPr>
        <w:t>在南太平洋地区的利益包括：一是美国的军事利益。美国的海外属地（关岛和北马里亚纳</w:t>
      </w:r>
      <w:r>
        <w:rPr>
          <w:rFonts w:hint="default" w:ascii="Times New Roman" w:hAnsi="Times New Roman" w:eastAsia="宋体" w:cs="Times New Roman"/>
          <w:color w:val="231F20"/>
          <w:spacing w:val="3"/>
          <w:sz w:val="24"/>
          <w:szCs w:val="24"/>
        </w:rPr>
        <w:t>群岛自由邦）以及美国承诺提供防务保护的三个“自由联系国”（密克罗尼西亚联邦、帕劳</w:t>
      </w:r>
      <w:r>
        <w:rPr>
          <w:rFonts w:hint="default" w:ascii="Times New Roman" w:hAnsi="Times New Roman" w:eastAsia="宋体" w:cs="Times New Roman"/>
          <w:color w:val="231F20"/>
          <w:spacing w:val="10"/>
          <w:sz w:val="24"/>
          <w:szCs w:val="24"/>
        </w:rPr>
        <w:t>和马绍尔群岛）都位于密克罗尼西亚群岛，美国重要的</w:t>
      </w:r>
      <w:r>
        <w:rPr>
          <w:rFonts w:hint="default" w:ascii="Times New Roman" w:hAnsi="Times New Roman" w:eastAsia="宋体" w:cs="Times New Roman"/>
          <w:color w:val="231F20"/>
          <w:spacing w:val="9"/>
          <w:sz w:val="24"/>
          <w:szCs w:val="24"/>
        </w:rPr>
        <w:t>海军和空军基地都位于该地区。二</w:t>
      </w:r>
      <w:r>
        <w:rPr>
          <w:rFonts w:hint="default" w:ascii="Times New Roman" w:hAnsi="Times New Roman" w:eastAsia="宋体" w:cs="Times New Roman"/>
          <w:color w:val="231F20"/>
          <w:spacing w:val="5"/>
          <w:sz w:val="24"/>
          <w:szCs w:val="24"/>
        </w:rPr>
        <w:t>是增强对太平洋岛国的影响力。三是对台湾当局的支持。</w:t>
      </w:r>
      <w:r>
        <w:rPr>
          <w:rFonts w:hint="default" w:ascii="Times New Roman" w:hAnsi="Times New Roman" w:eastAsia="宋体" w:cs="Times New Roman"/>
          <w:color w:val="231F20"/>
          <w:spacing w:val="9"/>
          <w:sz w:val="32"/>
          <w:szCs w:val="32"/>
          <w:vertAlign w:val="superscript"/>
        </w:rPr>
        <w:t>⑭</w:t>
      </w:r>
      <w:r>
        <w:rPr>
          <w:rFonts w:hint="default" w:ascii="Times New Roman" w:hAnsi="Times New Roman" w:eastAsia="宋体" w:cs="Times New Roman"/>
          <w:color w:val="231F20"/>
          <w:spacing w:val="5"/>
          <w:sz w:val="24"/>
          <w:szCs w:val="24"/>
        </w:rPr>
        <w:t>为此，拜登政府不断在南太平洋</w:t>
      </w:r>
      <w:r>
        <w:rPr>
          <w:rFonts w:hint="default" w:ascii="Times New Roman" w:hAnsi="Times New Roman" w:eastAsia="宋体" w:cs="Times New Roman"/>
          <w:color w:val="231F20"/>
          <w:spacing w:val="9"/>
          <w:sz w:val="24"/>
          <w:szCs w:val="24"/>
        </w:rPr>
        <w:t>地区调动和投入新资源以强化美国的影响力。美国政府于2022年9月和2023年9</w:t>
      </w:r>
      <w:r>
        <w:rPr>
          <w:rFonts w:hint="default" w:ascii="Times New Roman" w:hAnsi="Times New Roman" w:eastAsia="宋体" w:cs="Times New Roman"/>
          <w:color w:val="231F20"/>
          <w:spacing w:val="8"/>
          <w:sz w:val="24"/>
          <w:szCs w:val="24"/>
        </w:rPr>
        <w:t>月主办了两次“美国-太平洋岛国峰会”，并于2022年发布了有史以来首个“太平洋岛国伙伴关系战</w:t>
      </w:r>
      <w:r>
        <w:rPr>
          <w:rFonts w:hint="default" w:ascii="Times New Roman" w:hAnsi="Times New Roman" w:eastAsia="宋体" w:cs="Times New Roman"/>
          <w:color w:val="231F20"/>
          <w:spacing w:val="4"/>
          <w:sz w:val="24"/>
          <w:szCs w:val="24"/>
        </w:rPr>
        <w:t>略”。2023年，美国扩展了在印太地区的外交关系，在所罗门</w:t>
      </w:r>
      <w:r>
        <w:rPr>
          <w:rFonts w:hint="default" w:ascii="Times New Roman" w:hAnsi="Times New Roman" w:eastAsia="宋体" w:cs="Times New Roman"/>
          <w:color w:val="231F20"/>
          <w:spacing w:val="3"/>
          <w:sz w:val="24"/>
          <w:szCs w:val="24"/>
        </w:rPr>
        <w:t>群岛、汤加和马尔代夫均开设</w:t>
      </w:r>
      <w:r>
        <w:rPr>
          <w:rFonts w:hint="default" w:ascii="Times New Roman" w:hAnsi="Times New Roman" w:eastAsia="宋体" w:cs="Times New Roman"/>
          <w:color w:val="231F20"/>
          <w:spacing w:val="8"/>
          <w:sz w:val="24"/>
          <w:szCs w:val="24"/>
        </w:rPr>
        <w:t>了大使馆。美国承认库克群岛和纽埃为主权独立国家，并与其建交。同年</w:t>
      </w:r>
      <w:r>
        <w:rPr>
          <w:rFonts w:hint="default" w:ascii="Times New Roman" w:hAnsi="Times New Roman" w:eastAsia="宋体" w:cs="Times New Roman"/>
          <w:color w:val="231F20"/>
          <w:spacing w:val="7"/>
          <w:sz w:val="24"/>
          <w:szCs w:val="24"/>
        </w:rPr>
        <w:t>，美国任命了一</w:t>
      </w:r>
      <w:r>
        <w:rPr>
          <w:rFonts w:hint="default" w:ascii="Times New Roman" w:hAnsi="Times New Roman" w:eastAsia="宋体" w:cs="Times New Roman"/>
          <w:color w:val="231F20"/>
          <w:spacing w:val="12"/>
          <w:sz w:val="24"/>
          <w:szCs w:val="24"/>
        </w:rPr>
        <w:t>名驻太平洋岛国论坛特使，为就太平洋地区的重点要务增强</w:t>
      </w:r>
      <w:r>
        <w:rPr>
          <w:rFonts w:hint="default" w:ascii="Times New Roman" w:hAnsi="Times New Roman" w:eastAsia="宋体" w:cs="Times New Roman"/>
          <w:color w:val="231F20"/>
          <w:spacing w:val="11"/>
          <w:sz w:val="24"/>
          <w:szCs w:val="24"/>
        </w:rPr>
        <w:t>协调提供支持。时任美国国务</w:t>
      </w:r>
      <w:r>
        <w:rPr>
          <w:rFonts w:hint="default" w:ascii="Times New Roman" w:hAnsi="Times New Roman" w:eastAsia="宋体" w:cs="Times New Roman"/>
          <w:color w:val="231F20"/>
          <w:spacing w:val="9"/>
          <w:sz w:val="24"/>
          <w:szCs w:val="24"/>
        </w:rPr>
        <w:t>卿布林肯在2023年5月强调指出，美国国务院承诺与</w:t>
      </w:r>
      <w:r>
        <w:rPr>
          <w:rFonts w:hint="default" w:ascii="Times New Roman" w:hAnsi="Times New Roman" w:eastAsia="宋体" w:cs="Times New Roman"/>
          <w:color w:val="231F20"/>
          <w:spacing w:val="8"/>
          <w:sz w:val="24"/>
          <w:szCs w:val="24"/>
        </w:rPr>
        <w:t>国会合作，确保为太平洋岛国地区提供超过72亿美元的新资金和项目。</w:t>
      </w:r>
      <w:r>
        <w:rPr>
          <w:rFonts w:hint="default" w:ascii="Times New Roman" w:hAnsi="Times New Roman" w:eastAsia="宋体" w:cs="Times New Roman"/>
          <w:color w:val="231F20"/>
          <w:spacing w:val="9"/>
          <w:sz w:val="32"/>
          <w:szCs w:val="32"/>
          <w:vertAlign w:val="superscript"/>
        </w:rPr>
        <w:t>⑮</w:t>
      </w:r>
      <w:r>
        <w:rPr>
          <w:rFonts w:hint="default" w:ascii="Times New Roman" w:hAnsi="Times New Roman" w:eastAsia="宋体" w:cs="Times New Roman"/>
          <w:color w:val="231F20"/>
          <w:spacing w:val="8"/>
          <w:sz w:val="24"/>
          <w:szCs w:val="24"/>
        </w:rPr>
        <w:t>面对“印太战略”的南太平洋攻略和中国的“海上丝</w:t>
      </w:r>
      <w:r>
        <w:rPr>
          <w:rFonts w:hint="default" w:ascii="Times New Roman" w:hAnsi="Times New Roman" w:eastAsia="宋体" w:cs="Times New Roman"/>
          <w:color w:val="231F20"/>
          <w:spacing w:val="3"/>
          <w:sz w:val="24"/>
          <w:szCs w:val="24"/>
        </w:rPr>
        <w:t>绸之路倡议”，太平洋岛国面临重大外交抉择。</w:t>
      </w:r>
    </w:p>
    <w:p w14:paraId="15FA7F2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2"/>
          <w:sz w:val="24"/>
          <w:szCs w:val="24"/>
        </w:rPr>
        <w:t>面对“印太战略”引发的复杂安全局势，印太地</w:t>
      </w:r>
      <w:r>
        <w:rPr>
          <w:rFonts w:hint="default" w:ascii="Times New Roman" w:hAnsi="Times New Roman" w:eastAsia="宋体" w:cs="Times New Roman"/>
          <w:color w:val="231F20"/>
          <w:spacing w:val="11"/>
          <w:sz w:val="24"/>
          <w:szCs w:val="24"/>
        </w:rPr>
        <w:t>区的安全机制呈现出治理效力不足的</w:t>
      </w:r>
      <w:r>
        <w:rPr>
          <w:rFonts w:hint="default" w:ascii="Times New Roman" w:hAnsi="Times New Roman" w:eastAsia="宋体" w:cs="Times New Roman"/>
          <w:color w:val="231F20"/>
          <w:spacing w:val="13"/>
          <w:sz w:val="24"/>
          <w:szCs w:val="24"/>
        </w:rPr>
        <w:t>问题。印太地区已有的涉及安全的组织和机制主要包括：美</w:t>
      </w:r>
      <w:r>
        <w:rPr>
          <w:rFonts w:hint="default" w:ascii="Times New Roman" w:hAnsi="Times New Roman" w:eastAsia="宋体" w:cs="Times New Roman"/>
          <w:color w:val="231F20"/>
          <w:spacing w:val="12"/>
          <w:sz w:val="24"/>
          <w:szCs w:val="24"/>
        </w:rPr>
        <w:t>国主导的印太联盟体系、东盟</w:t>
      </w:r>
      <w:r>
        <w:rPr>
          <w:rFonts w:hint="default" w:ascii="Times New Roman" w:hAnsi="Times New Roman" w:eastAsia="宋体" w:cs="Times New Roman"/>
          <w:color w:val="231F20"/>
          <w:spacing w:val="14"/>
          <w:sz w:val="24"/>
          <w:szCs w:val="24"/>
        </w:rPr>
        <w:t>主导的东盟地区论坛、上海合作组织，以及一些相对松散的对话机制，如“香格里拉对话</w:t>
      </w:r>
      <w:r>
        <w:rPr>
          <w:rFonts w:hint="default" w:ascii="Times New Roman" w:hAnsi="Times New Roman" w:eastAsia="宋体" w:cs="Times New Roman"/>
          <w:color w:val="231F20"/>
          <w:spacing w:val="8"/>
          <w:sz w:val="24"/>
          <w:szCs w:val="24"/>
        </w:rPr>
        <w:t>会”“北京香山论坛”等。尽管如此，由于地区国家之间政治互信不足，多</w:t>
      </w:r>
      <w:r>
        <w:rPr>
          <w:rFonts w:hint="default" w:ascii="Times New Roman" w:hAnsi="Times New Roman" w:eastAsia="宋体" w:cs="Times New Roman"/>
          <w:color w:val="231F20"/>
          <w:spacing w:val="7"/>
          <w:sz w:val="24"/>
          <w:szCs w:val="24"/>
        </w:rPr>
        <w:t>种安全机制之间</w:t>
      </w:r>
      <w:r>
        <w:rPr>
          <w:rFonts w:hint="default" w:ascii="Times New Roman" w:hAnsi="Times New Roman" w:eastAsia="宋体" w:cs="Times New Roman"/>
          <w:color w:val="231F20"/>
          <w:spacing w:val="6"/>
          <w:sz w:val="24"/>
          <w:szCs w:val="24"/>
        </w:rPr>
        <w:t>存在竞争，甚至引发了“过度拥挤”的问题</w:t>
      </w:r>
      <w:r>
        <w:rPr>
          <w:rFonts w:hint="default" w:ascii="Times New Roman" w:hAnsi="Times New Roman" w:eastAsia="宋体" w:cs="Times New Roman"/>
          <w:color w:val="231F20"/>
          <w:spacing w:val="5"/>
          <w:sz w:val="24"/>
          <w:szCs w:val="24"/>
        </w:rPr>
        <w:t>（凌胜利，2023）。相比于区域经济一体化的快</w:t>
      </w:r>
      <w:r>
        <w:rPr>
          <w:rFonts w:hint="default" w:ascii="Times New Roman" w:hAnsi="Times New Roman" w:eastAsia="宋体" w:cs="Times New Roman"/>
          <w:color w:val="231F20"/>
          <w:spacing w:val="21"/>
          <w:sz w:val="24"/>
          <w:szCs w:val="24"/>
        </w:rPr>
        <w:t>速发展，印太地区已有的安全治理机制不能满足现实的安全治理需求</w:t>
      </w:r>
      <w:r>
        <w:rPr>
          <w:rFonts w:hint="default" w:ascii="Times New Roman" w:hAnsi="Times New Roman" w:eastAsia="宋体" w:cs="Times New Roman"/>
          <w:color w:val="231F20"/>
          <w:spacing w:val="20"/>
          <w:sz w:val="24"/>
          <w:szCs w:val="24"/>
        </w:rPr>
        <w:t>。在美国大力推进</w:t>
      </w:r>
      <w:r>
        <w:rPr>
          <w:rFonts w:hint="default" w:ascii="Times New Roman" w:hAnsi="Times New Roman" w:eastAsia="宋体" w:cs="Times New Roman"/>
          <w:color w:val="231F20"/>
          <w:spacing w:val="8"/>
          <w:sz w:val="24"/>
          <w:szCs w:val="24"/>
        </w:rPr>
        <w:t>“印太战略”的背景下，在可预见的将来，印太地区难以建立起一套能被域内</w:t>
      </w:r>
      <w:r>
        <w:rPr>
          <w:rFonts w:hint="default" w:ascii="Times New Roman" w:hAnsi="Times New Roman" w:eastAsia="宋体" w:cs="Times New Roman"/>
          <w:color w:val="231F20"/>
          <w:spacing w:val="7"/>
          <w:sz w:val="24"/>
          <w:szCs w:val="24"/>
        </w:rPr>
        <w:t>各国接受并高</w:t>
      </w:r>
      <w:r>
        <w:rPr>
          <w:rFonts w:hint="default" w:ascii="Times New Roman" w:hAnsi="Times New Roman" w:eastAsia="宋体" w:cs="Times New Roman"/>
          <w:color w:val="231F20"/>
          <w:spacing w:val="14"/>
          <w:sz w:val="24"/>
          <w:szCs w:val="24"/>
        </w:rPr>
        <w:t>效运转的安全治理机制。随着印太地区大国博弈的加剧，美国将强化其所构建的小多边集</w:t>
      </w:r>
      <w:r>
        <w:rPr>
          <w:rFonts w:hint="default" w:ascii="Times New Roman" w:hAnsi="Times New Roman" w:eastAsia="宋体" w:cs="Times New Roman"/>
          <w:color w:val="231F20"/>
          <w:spacing w:val="12"/>
          <w:sz w:val="24"/>
          <w:szCs w:val="24"/>
        </w:rPr>
        <w:t>团，加速印太地区格局的分化重构；美国盟友将全方位强化与美国的合作，威慑中国；东</w:t>
      </w:r>
      <w:r>
        <w:rPr>
          <w:rFonts w:hint="default" w:ascii="Times New Roman" w:hAnsi="Times New Roman" w:eastAsia="宋体" w:cs="Times New Roman"/>
          <w:color w:val="231F20"/>
          <w:spacing w:val="15"/>
          <w:sz w:val="24"/>
          <w:szCs w:val="24"/>
        </w:rPr>
        <w:t>盟成员国面临着被美国及其盟友分化拉拢的态势，</w:t>
      </w:r>
      <w:r>
        <w:rPr>
          <w:rFonts w:hint="default" w:ascii="Times New Roman" w:hAnsi="Times New Roman" w:eastAsia="宋体" w:cs="Times New Roman"/>
          <w:color w:val="231F20"/>
          <w:spacing w:val="14"/>
          <w:sz w:val="24"/>
          <w:szCs w:val="24"/>
        </w:rPr>
        <w:t>其在该地区的中心地位将遭受冲击；南太平洋国家很可能会根据自身利益考量在中美之间选边站队；被“印太战略”孤立的俄罗</w:t>
      </w:r>
      <w:r>
        <w:rPr>
          <w:rFonts w:hint="default" w:ascii="Times New Roman" w:hAnsi="Times New Roman" w:eastAsia="宋体" w:cs="Times New Roman"/>
          <w:color w:val="231F20"/>
          <w:spacing w:val="8"/>
          <w:sz w:val="24"/>
          <w:szCs w:val="24"/>
        </w:rPr>
        <w:t>斯仍处于俄乌冲突中，短时期内很难缓和与美西方的关系，因而会继续加快“向东转”，加</w:t>
      </w:r>
      <w:r>
        <w:rPr>
          <w:rFonts w:hint="default" w:ascii="Times New Roman" w:hAnsi="Times New Roman" w:eastAsia="宋体" w:cs="Times New Roman"/>
          <w:color w:val="231F20"/>
          <w:spacing w:val="13"/>
          <w:sz w:val="24"/>
          <w:szCs w:val="24"/>
        </w:rPr>
        <w:t>大在印太地区的外交力度，并深化与朝鲜、中国的合</w:t>
      </w:r>
      <w:r>
        <w:rPr>
          <w:rFonts w:hint="default" w:ascii="Times New Roman" w:hAnsi="Times New Roman" w:eastAsia="宋体" w:cs="Times New Roman"/>
          <w:color w:val="231F20"/>
          <w:spacing w:val="12"/>
          <w:sz w:val="24"/>
          <w:szCs w:val="24"/>
        </w:rPr>
        <w:t>作，形成一支反制美西方霸权的重要</w:t>
      </w:r>
      <w:r>
        <w:rPr>
          <w:rFonts w:hint="default" w:ascii="Times New Roman" w:hAnsi="Times New Roman" w:eastAsia="宋体" w:cs="Times New Roman"/>
          <w:color w:val="231F20"/>
          <w:spacing w:val="44"/>
          <w:sz w:val="24"/>
          <w:szCs w:val="24"/>
        </w:rPr>
        <w:t>力量。</w:t>
      </w:r>
    </w:p>
    <w:p w14:paraId="2C1C71C1">
      <w:pPr>
        <w:pStyle w:val="4"/>
        <w:bidi w:val="0"/>
        <w:rPr>
          <w:rFonts w:hint="default"/>
        </w:rPr>
      </w:pPr>
      <w:r>
        <w:rPr>
          <w:rFonts w:hint="default"/>
        </w:rPr>
        <w:t>三、印太地缘经济格局的演进</w:t>
      </w:r>
    </w:p>
    <w:p w14:paraId="4E435CEA">
      <w:pPr>
        <w:pStyle w:val="6"/>
        <w:bidi w:val="0"/>
        <w:rPr>
          <w:rFonts w:hint="default"/>
          <w:sz w:val="24"/>
          <w:szCs w:val="32"/>
        </w:rPr>
      </w:pPr>
      <w:r>
        <w:rPr>
          <w:rFonts w:hint="default"/>
          <w:sz w:val="24"/>
          <w:szCs w:val="32"/>
        </w:rPr>
        <w:t>（一）印太经济治理机制</w:t>
      </w:r>
    </w:p>
    <w:p w14:paraId="7FB3A75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2"/>
          <w:sz w:val="24"/>
          <w:szCs w:val="24"/>
        </w:rPr>
        <w:t>印太地区拥有多层次、综合性的区域经济合作机制。亚太经合组织会议、东盟峰</w:t>
      </w:r>
      <w:r>
        <w:rPr>
          <w:rFonts w:hint="default" w:ascii="Times New Roman" w:hAnsi="Times New Roman" w:eastAsia="宋体" w:cs="Times New Roman"/>
          <w:color w:val="231F20"/>
          <w:spacing w:val="11"/>
          <w:sz w:val="24"/>
          <w:szCs w:val="24"/>
        </w:rPr>
        <w:t>会、</w:t>
      </w:r>
      <w:r>
        <w:rPr>
          <w:rFonts w:hint="default" w:ascii="Times New Roman" w:hAnsi="Times New Roman" w:eastAsia="宋体" w:cs="Times New Roman"/>
          <w:color w:val="231F20"/>
          <w:spacing w:val="10"/>
          <w:sz w:val="24"/>
          <w:szCs w:val="24"/>
        </w:rPr>
        <w:t>东亚峰会以及东盟与地区国家举办的领导人峰会等多边合作机制早已是处理亚太地区事务、</w:t>
      </w:r>
      <w:r>
        <w:rPr>
          <w:rFonts w:hint="default" w:ascii="Times New Roman" w:hAnsi="Times New Roman" w:eastAsia="宋体" w:cs="Times New Roman"/>
          <w:color w:val="231F20"/>
          <w:spacing w:val="12"/>
          <w:sz w:val="24"/>
          <w:szCs w:val="24"/>
        </w:rPr>
        <w:t>推进亚太地区合作的主要平台。如今，《区</w:t>
      </w:r>
      <w:r>
        <w:rPr>
          <w:rFonts w:hint="default" w:ascii="Times New Roman" w:hAnsi="Times New Roman" w:eastAsia="宋体" w:cs="Times New Roman"/>
          <w:color w:val="231F20"/>
          <w:spacing w:val="11"/>
          <w:sz w:val="24"/>
          <w:szCs w:val="24"/>
        </w:rPr>
        <w:t>域全面经济伙伴关系协定》（</w:t>
      </w:r>
      <w:r>
        <w:rPr>
          <w:rFonts w:hint="default" w:ascii="Times New Roman" w:hAnsi="Times New Roman" w:eastAsia="宋体" w:cs="Times New Roman"/>
          <w:color w:val="231F20"/>
          <w:sz w:val="24"/>
          <w:szCs w:val="24"/>
        </w:rPr>
        <w:t>RegionalCompre</w:t>
      </w:r>
      <w:r>
        <w:rPr>
          <w:rFonts w:hint="default" w:ascii="Times New Roman" w:hAnsi="Times New Roman" w:eastAsia="宋体" w:cs="Times New Roman"/>
          <w:color w:val="231F20"/>
          <w:spacing w:val="11"/>
          <w:sz w:val="24"/>
          <w:szCs w:val="24"/>
        </w:rPr>
        <w:t>-</w:t>
      </w:r>
      <w:r>
        <w:rPr>
          <w:rFonts w:hint="default" w:ascii="Times New Roman" w:hAnsi="Times New Roman" w:eastAsia="宋体" w:cs="Times New Roman"/>
          <w:color w:val="231F20"/>
          <w:sz w:val="24"/>
          <w:szCs w:val="24"/>
        </w:rPr>
        <w:t>hensiveEconomicPartnership</w:t>
      </w:r>
      <w:r>
        <w:rPr>
          <w:rFonts w:hint="default" w:ascii="Times New Roman" w:hAnsi="Times New Roman" w:eastAsia="宋体" w:cs="Times New Roman"/>
          <w:color w:val="231F20"/>
          <w:spacing w:val="15"/>
          <w:sz w:val="24"/>
          <w:szCs w:val="24"/>
        </w:rPr>
        <w:t>，</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5"/>
          <w:sz w:val="24"/>
          <w:szCs w:val="24"/>
        </w:rPr>
        <w:t>）和《全面与进步跨太平洋伙伴关系协定》（</w:t>
      </w:r>
      <w:r>
        <w:rPr>
          <w:rFonts w:hint="default" w:ascii="Times New Roman" w:hAnsi="Times New Roman" w:eastAsia="宋体" w:cs="Times New Roman"/>
          <w:color w:val="231F20"/>
          <w:sz w:val="24"/>
          <w:szCs w:val="24"/>
        </w:rPr>
        <w:t>Compre</w:t>
      </w:r>
      <w:r>
        <w:rPr>
          <w:rFonts w:hint="default" w:ascii="Times New Roman" w:hAnsi="Times New Roman" w:eastAsia="宋体" w:cs="Times New Roman"/>
          <w:color w:val="231F20"/>
          <w:spacing w:val="15"/>
          <w:sz w:val="24"/>
          <w:szCs w:val="24"/>
        </w:rPr>
        <w:t>-</w:t>
      </w:r>
      <w:r>
        <w:rPr>
          <w:rFonts w:hint="default" w:ascii="Times New Roman" w:hAnsi="Times New Roman" w:eastAsia="宋体" w:cs="Times New Roman"/>
          <w:color w:val="231F20"/>
          <w:sz w:val="24"/>
          <w:szCs w:val="24"/>
        </w:rPr>
        <w:t>hensiveandProgressiveAgreementforTrans</w:t>
      </w:r>
      <w:r>
        <w:rPr>
          <w:rFonts w:hint="default" w:ascii="Times New Roman" w:hAnsi="Times New Roman" w:eastAsia="宋体" w:cs="Times New Roman"/>
          <w:color w:val="231F20"/>
          <w:spacing w:val="20"/>
          <w:sz w:val="24"/>
          <w:szCs w:val="24"/>
        </w:rPr>
        <w:t>-</w:t>
      </w:r>
      <w:r>
        <w:rPr>
          <w:rFonts w:hint="default" w:ascii="Times New Roman" w:hAnsi="Times New Roman" w:eastAsia="宋体" w:cs="Times New Roman"/>
          <w:color w:val="231F20"/>
          <w:sz w:val="24"/>
          <w:szCs w:val="24"/>
        </w:rPr>
        <w:t>PacificPartnership</w:t>
      </w:r>
      <w:r>
        <w:rPr>
          <w:rFonts w:hint="default" w:ascii="Times New Roman" w:hAnsi="Times New Roman" w:eastAsia="宋体" w:cs="Times New Roman"/>
          <w:color w:val="231F20"/>
          <w:spacing w:val="20"/>
          <w:sz w:val="24"/>
          <w:szCs w:val="24"/>
        </w:rPr>
        <w:t>，</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20"/>
          <w:sz w:val="24"/>
          <w:szCs w:val="24"/>
        </w:rPr>
        <w:t>）成为印太经济合作的</w:t>
      </w:r>
      <w:r>
        <w:rPr>
          <w:rFonts w:hint="default" w:ascii="Times New Roman" w:hAnsi="Times New Roman" w:eastAsia="宋体" w:cs="Times New Roman"/>
          <w:color w:val="231F20"/>
          <w:spacing w:val="5"/>
          <w:sz w:val="24"/>
          <w:szCs w:val="24"/>
        </w:rPr>
        <w:t>主要机制。</w:t>
      </w:r>
    </w:p>
    <w:p w14:paraId="1AD67A5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2023年6月2日，</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8"/>
          <w:sz w:val="24"/>
          <w:szCs w:val="24"/>
        </w:rPr>
        <w:t>对15个成员国全面生效，标志着全球人口最多、经贸规模最</w:t>
      </w:r>
      <w:r>
        <w:rPr>
          <w:rFonts w:hint="default" w:ascii="Times New Roman" w:hAnsi="Times New Roman" w:eastAsia="宋体" w:cs="Times New Roman"/>
          <w:color w:val="231F20"/>
          <w:spacing w:val="9"/>
          <w:sz w:val="24"/>
          <w:szCs w:val="24"/>
        </w:rPr>
        <w:t>大、最具发展潜力的自由贸易区进入全面实施的新阶段。作为传统的自由贸易协定，</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1"/>
          <w:sz w:val="24"/>
          <w:szCs w:val="24"/>
        </w:rPr>
        <w:t>以降低成员国之间各种形式的贸易壁垒、创造更多贸易与投资机会为目标，规模大和包容</w:t>
      </w:r>
      <w:r>
        <w:rPr>
          <w:rFonts w:hint="default" w:ascii="Times New Roman" w:hAnsi="Times New Roman" w:eastAsia="宋体" w:cs="Times New Roman"/>
          <w:color w:val="231F20"/>
          <w:spacing w:val="5"/>
          <w:sz w:val="24"/>
          <w:szCs w:val="24"/>
        </w:rPr>
        <w:t>性强是其显著特征。</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5"/>
          <w:sz w:val="24"/>
          <w:szCs w:val="24"/>
        </w:rPr>
        <w:t>区域总人口、</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5"/>
          <w:sz w:val="24"/>
          <w:szCs w:val="24"/>
        </w:rPr>
        <w:t>总值、货物贸易金额均占全球比重约30%，其</w:t>
      </w:r>
      <w:r>
        <w:rPr>
          <w:rFonts w:hint="default" w:ascii="Times New Roman" w:hAnsi="Times New Roman" w:eastAsia="宋体" w:cs="Times New Roman"/>
          <w:color w:val="231F20"/>
          <w:spacing w:val="15"/>
          <w:sz w:val="24"/>
          <w:szCs w:val="24"/>
        </w:rPr>
        <w:t>成员国之间的经济发展水平落差较大，既有日本、新加坡这样的</w:t>
      </w:r>
      <w:r>
        <w:rPr>
          <w:rFonts w:hint="default" w:ascii="Times New Roman" w:hAnsi="Times New Roman" w:eastAsia="宋体" w:cs="Times New Roman"/>
          <w:color w:val="231F20"/>
          <w:spacing w:val="14"/>
          <w:sz w:val="24"/>
          <w:szCs w:val="24"/>
        </w:rPr>
        <w:t>高收入国家，也有老挝、</w:t>
      </w:r>
      <w:r>
        <w:rPr>
          <w:rFonts w:hint="default" w:ascii="Times New Roman" w:hAnsi="Times New Roman" w:eastAsia="宋体" w:cs="Times New Roman"/>
          <w:color w:val="231F20"/>
          <w:spacing w:val="11"/>
          <w:sz w:val="24"/>
          <w:szCs w:val="24"/>
        </w:rPr>
        <w:t>缅甸这样的低收入国家；既有工业制成品生产国，也有资源性产</w:t>
      </w:r>
      <w:r>
        <w:rPr>
          <w:rFonts w:hint="default" w:ascii="Times New Roman" w:hAnsi="Times New Roman" w:eastAsia="宋体" w:cs="Times New Roman"/>
          <w:color w:val="231F20"/>
          <w:spacing w:val="10"/>
          <w:sz w:val="24"/>
          <w:szCs w:val="24"/>
        </w:rPr>
        <w:t>品生产国。考虑到不同国</w:t>
      </w:r>
      <w:r>
        <w:rPr>
          <w:rFonts w:hint="default" w:ascii="Times New Roman" w:hAnsi="Times New Roman" w:eastAsia="宋体" w:cs="Times New Roman"/>
          <w:color w:val="231F20"/>
          <w:spacing w:val="7"/>
          <w:sz w:val="24"/>
          <w:szCs w:val="24"/>
        </w:rPr>
        <w:t>家的国情，</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7"/>
          <w:sz w:val="24"/>
          <w:szCs w:val="24"/>
        </w:rPr>
        <w:t>给予最不发达国家特殊与差别待遇，最大限度兼顾了各方诉求。成员的多</w:t>
      </w:r>
      <w:r>
        <w:rPr>
          <w:rFonts w:hint="default" w:ascii="Times New Roman" w:hAnsi="Times New Roman" w:eastAsia="宋体" w:cs="Times New Roman"/>
          <w:color w:val="231F20"/>
          <w:spacing w:val="2"/>
          <w:sz w:val="24"/>
          <w:szCs w:val="24"/>
        </w:rPr>
        <w:t>元性决定了</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2"/>
          <w:sz w:val="24"/>
          <w:szCs w:val="24"/>
        </w:rPr>
        <w:t>的包容性和灵活性特点（杨攻研和谭予婷，2020）。</w:t>
      </w:r>
    </w:p>
    <w:p w14:paraId="48A0005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7"/>
          <w:sz w:val="24"/>
          <w:szCs w:val="24"/>
        </w:rPr>
        <w:t>起源于美国、日本及加拿大等12国于2015年达成的《跨太平洋伙伴关系协定》</w:t>
      </w:r>
      <w:r>
        <w:rPr>
          <w:rFonts w:hint="default" w:ascii="Times New Roman" w:hAnsi="Times New Roman" w:eastAsia="宋体" w:cs="Times New Roman"/>
          <w:color w:val="231F20"/>
          <w:spacing w:val="5"/>
          <w:sz w:val="24"/>
          <w:szCs w:val="24"/>
        </w:rPr>
        <w:t>（</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65"/>
          <w:sz w:val="24"/>
          <w:szCs w:val="24"/>
        </w:rPr>
        <w:t>），</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5"/>
          <w:sz w:val="24"/>
          <w:szCs w:val="24"/>
        </w:rPr>
        <w:t>被认为是奥巴马执政期间的重要成果之一。2017年1月23日，特朗普上任后签</w:t>
      </w:r>
      <w:r>
        <w:rPr>
          <w:rFonts w:hint="default" w:ascii="Times New Roman" w:hAnsi="Times New Roman" w:eastAsia="宋体" w:cs="Times New Roman"/>
          <w:color w:val="231F20"/>
          <w:spacing w:val="11"/>
          <w:sz w:val="24"/>
          <w:szCs w:val="24"/>
        </w:rPr>
        <w:t>署行政令，正式宣布美国退出</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11"/>
          <w:sz w:val="24"/>
          <w:szCs w:val="24"/>
        </w:rPr>
        <w:t>。此后，在日本力推下，剩余11国继续推进</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11"/>
          <w:sz w:val="24"/>
          <w:szCs w:val="24"/>
        </w:rPr>
        <w:t>，并在</w:t>
      </w:r>
      <w:r>
        <w:rPr>
          <w:rFonts w:hint="default" w:ascii="Times New Roman" w:hAnsi="Times New Roman" w:eastAsia="宋体" w:cs="Times New Roman"/>
          <w:color w:val="231F20"/>
          <w:spacing w:val="8"/>
          <w:sz w:val="24"/>
          <w:szCs w:val="24"/>
        </w:rPr>
        <w:t>2018年3月8日签订了新的贸易协定，即</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8"/>
          <w:sz w:val="24"/>
          <w:szCs w:val="24"/>
        </w:rPr>
        <w:t>，该协定于2018年12月30日正式生效。</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11"/>
          <w:sz w:val="24"/>
          <w:szCs w:val="24"/>
        </w:rPr>
        <w:t>与</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11"/>
          <w:sz w:val="24"/>
          <w:szCs w:val="24"/>
        </w:rPr>
        <w:t>在市场准入、贸易便利化、电子商务和服务贸易等方面均无差异，最大区别在于</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11"/>
          <w:sz w:val="24"/>
          <w:szCs w:val="24"/>
        </w:rPr>
        <w:t>冻结了</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11"/>
          <w:sz w:val="24"/>
          <w:szCs w:val="24"/>
        </w:rPr>
        <w:t>中关于投资、知识产权、政府采购、透明</w:t>
      </w:r>
      <w:r>
        <w:rPr>
          <w:rFonts w:hint="default" w:ascii="Times New Roman" w:hAnsi="Times New Roman" w:eastAsia="宋体" w:cs="Times New Roman"/>
          <w:color w:val="231F20"/>
          <w:spacing w:val="10"/>
          <w:sz w:val="24"/>
          <w:szCs w:val="24"/>
        </w:rPr>
        <w:t>度与反腐败等内容的22项</w:t>
      </w:r>
      <w:r>
        <w:rPr>
          <w:rFonts w:hint="default" w:ascii="Times New Roman" w:hAnsi="Times New Roman" w:eastAsia="宋体" w:cs="Times New Roman"/>
          <w:color w:val="231F20"/>
          <w:spacing w:val="5"/>
          <w:sz w:val="24"/>
          <w:szCs w:val="24"/>
        </w:rPr>
        <w:t>条款。2024年12月15日，英国正式成为</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5"/>
          <w:sz w:val="24"/>
          <w:szCs w:val="24"/>
        </w:rPr>
        <w:t>的第12个成员国，也是首个加入这一贸易</w:t>
      </w:r>
      <w:r>
        <w:rPr>
          <w:rFonts w:hint="default" w:ascii="Times New Roman" w:hAnsi="Times New Roman" w:eastAsia="宋体" w:cs="Times New Roman"/>
          <w:color w:val="231F20"/>
          <w:spacing w:val="10"/>
          <w:sz w:val="24"/>
          <w:szCs w:val="24"/>
        </w:rPr>
        <w:t>协定的欧洲国家。由此，</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10"/>
          <w:sz w:val="24"/>
          <w:szCs w:val="24"/>
        </w:rPr>
        <w:t>的经济总量提升</w:t>
      </w:r>
      <w:r>
        <w:rPr>
          <w:rFonts w:hint="default" w:ascii="Times New Roman" w:hAnsi="Times New Roman" w:eastAsia="宋体" w:cs="Times New Roman"/>
          <w:color w:val="231F20"/>
          <w:spacing w:val="9"/>
          <w:sz w:val="24"/>
          <w:szCs w:val="24"/>
        </w:rPr>
        <w:t>至全球</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9"/>
          <w:sz w:val="24"/>
          <w:szCs w:val="24"/>
        </w:rPr>
        <w:t>的15%，成为全球最大自由贸</w:t>
      </w:r>
      <w:r>
        <w:rPr>
          <w:rFonts w:hint="default" w:ascii="Times New Roman" w:hAnsi="Times New Roman" w:eastAsia="宋体" w:cs="Times New Roman"/>
          <w:color w:val="231F20"/>
          <w:spacing w:val="8"/>
          <w:sz w:val="24"/>
          <w:szCs w:val="24"/>
        </w:rPr>
        <w:t>易区之一。2021年9月，中国正式申请加入</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8"/>
          <w:sz w:val="24"/>
          <w:szCs w:val="24"/>
        </w:rPr>
        <w:t>，当前正积极推进该进程。</w:t>
      </w:r>
    </w:p>
    <w:p w14:paraId="03DD998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一般来说，建立自由贸易区是区域经济一体化的重要表现。</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8"/>
          <w:sz w:val="24"/>
          <w:szCs w:val="24"/>
        </w:rPr>
        <w:t>和</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8"/>
          <w:sz w:val="24"/>
          <w:szCs w:val="24"/>
        </w:rPr>
        <w:t>通常被</w:t>
      </w:r>
      <w:r>
        <w:rPr>
          <w:rFonts w:hint="default" w:ascii="Times New Roman" w:hAnsi="Times New Roman" w:eastAsia="宋体" w:cs="Times New Roman"/>
          <w:color w:val="231F20"/>
          <w:spacing w:val="7"/>
          <w:sz w:val="24"/>
          <w:szCs w:val="24"/>
        </w:rPr>
        <w:t>视为</w:t>
      </w:r>
      <w:r>
        <w:rPr>
          <w:rFonts w:hint="default" w:ascii="Times New Roman" w:hAnsi="Times New Roman" w:eastAsia="宋体" w:cs="Times New Roman"/>
          <w:color w:val="231F20"/>
          <w:spacing w:val="10"/>
          <w:sz w:val="24"/>
          <w:szCs w:val="24"/>
        </w:rPr>
        <w:t>通往亚太经济一体化的两条不同路径。由于在主导力量、规则水平、规则制定模式等方面</w:t>
      </w:r>
      <w:r>
        <w:rPr>
          <w:rFonts w:hint="default" w:ascii="Times New Roman" w:hAnsi="Times New Roman" w:eastAsia="宋体" w:cs="Times New Roman"/>
          <w:color w:val="231F20"/>
          <w:spacing w:val="12"/>
          <w:sz w:val="24"/>
          <w:szCs w:val="24"/>
        </w:rPr>
        <w:t>存在明显差异，</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2"/>
          <w:sz w:val="24"/>
          <w:szCs w:val="24"/>
        </w:rPr>
        <w:t>和</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12"/>
          <w:sz w:val="24"/>
          <w:szCs w:val="24"/>
        </w:rPr>
        <w:t>呈现出了不同的特点。东盟在</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2"/>
          <w:sz w:val="24"/>
          <w:szCs w:val="24"/>
        </w:rPr>
        <w:t>的发起和建立中</w:t>
      </w:r>
      <w:r>
        <w:rPr>
          <w:rFonts w:hint="default" w:ascii="Times New Roman" w:hAnsi="Times New Roman" w:eastAsia="宋体" w:cs="Times New Roman"/>
          <w:color w:val="231F20"/>
          <w:spacing w:val="11"/>
          <w:sz w:val="24"/>
          <w:szCs w:val="24"/>
        </w:rPr>
        <w:t>起了主</w:t>
      </w:r>
      <w:r>
        <w:rPr>
          <w:rFonts w:hint="default" w:ascii="Times New Roman" w:hAnsi="Times New Roman" w:eastAsia="宋体" w:cs="Times New Roman"/>
          <w:color w:val="231F20"/>
          <w:spacing w:val="8"/>
          <w:sz w:val="24"/>
          <w:szCs w:val="24"/>
        </w:rPr>
        <w:t>导推动作用，因而，</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8"/>
          <w:sz w:val="24"/>
          <w:szCs w:val="24"/>
        </w:rPr>
        <w:t>更多地反映着“发展中国家以灵活性、渐进性和调适弹性实现区</w:t>
      </w:r>
      <w:r>
        <w:rPr>
          <w:rFonts w:hint="default" w:ascii="Times New Roman" w:hAnsi="Times New Roman" w:eastAsia="宋体" w:cs="Times New Roman"/>
          <w:color w:val="231F20"/>
          <w:spacing w:val="4"/>
          <w:sz w:val="24"/>
          <w:szCs w:val="24"/>
        </w:rPr>
        <w:t>域经济整合的努力”（孙忆，2022）。相比之下，</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4"/>
          <w:sz w:val="24"/>
          <w:szCs w:val="24"/>
        </w:rPr>
        <w:t>由日本主导，推动建立，是迄</w:t>
      </w:r>
      <w:r>
        <w:rPr>
          <w:rFonts w:hint="default" w:ascii="Times New Roman" w:hAnsi="Times New Roman" w:eastAsia="宋体" w:cs="Times New Roman"/>
          <w:color w:val="231F20"/>
          <w:spacing w:val="3"/>
          <w:sz w:val="24"/>
          <w:szCs w:val="24"/>
        </w:rPr>
        <w:t>今为</w:t>
      </w:r>
      <w:r>
        <w:rPr>
          <w:rFonts w:hint="default" w:ascii="Times New Roman" w:hAnsi="Times New Roman" w:eastAsia="宋体" w:cs="Times New Roman"/>
          <w:color w:val="231F20"/>
          <w:spacing w:val="11"/>
          <w:sz w:val="24"/>
          <w:szCs w:val="24"/>
        </w:rPr>
        <w:t>止开放程度和规则水平最高的自贸协定，代表着“新一代贸易协定的最高标准，可引领21</w:t>
      </w:r>
      <w:r>
        <w:rPr>
          <w:rFonts w:hint="default" w:ascii="Times New Roman" w:hAnsi="Times New Roman" w:eastAsia="宋体" w:cs="Times New Roman"/>
          <w:color w:val="231F20"/>
          <w:spacing w:val="6"/>
          <w:sz w:val="24"/>
          <w:szCs w:val="24"/>
        </w:rPr>
        <w:t>世纪国际经贸规则”（白洁和苏庆义，2019）。在自由贸易的深度和</w:t>
      </w:r>
      <w:r>
        <w:rPr>
          <w:rFonts w:hint="default" w:ascii="Times New Roman" w:hAnsi="Times New Roman" w:eastAsia="宋体" w:cs="Times New Roman"/>
          <w:color w:val="231F20"/>
          <w:spacing w:val="5"/>
          <w:sz w:val="24"/>
          <w:szCs w:val="24"/>
        </w:rPr>
        <w:t>广度上，</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5"/>
          <w:sz w:val="24"/>
          <w:szCs w:val="24"/>
        </w:rPr>
        <w:t>均超过</w:t>
      </w:r>
      <w:r>
        <w:rPr>
          <w:rFonts w:hint="default" w:ascii="Times New Roman" w:hAnsi="Times New Roman" w:eastAsia="宋体" w:cs="Times New Roman"/>
          <w:color w:val="231F20"/>
          <w:spacing w:val="16"/>
          <w:sz w:val="24"/>
          <w:szCs w:val="24"/>
        </w:rPr>
        <w:t>了</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6"/>
          <w:sz w:val="24"/>
          <w:szCs w:val="24"/>
        </w:rPr>
        <w:t>。在规则制定上，</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6"/>
          <w:sz w:val="24"/>
          <w:szCs w:val="24"/>
        </w:rPr>
        <w:t>采取的是低法律化水平的一体化路径，践行“低缔约成</w:t>
      </w:r>
      <w:r>
        <w:rPr>
          <w:rFonts w:hint="default" w:ascii="Times New Roman" w:hAnsi="Times New Roman" w:eastAsia="宋体" w:cs="Times New Roman"/>
          <w:color w:val="231F20"/>
          <w:spacing w:val="11"/>
          <w:sz w:val="24"/>
          <w:szCs w:val="24"/>
        </w:rPr>
        <w:t>本—高治理成本”模式，倾向于“渐进达成”</w:t>
      </w:r>
      <w:r>
        <w:rPr>
          <w:rFonts w:hint="default" w:ascii="Times New Roman" w:hAnsi="Times New Roman" w:eastAsia="宋体" w:cs="Times New Roman"/>
          <w:color w:val="231F20"/>
          <w:spacing w:val="10"/>
          <w:sz w:val="24"/>
          <w:szCs w:val="24"/>
        </w:rPr>
        <w:t>规则目标；</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10"/>
          <w:sz w:val="24"/>
          <w:szCs w:val="24"/>
        </w:rPr>
        <w:t>采取的是高法律化的一体</w:t>
      </w:r>
      <w:r>
        <w:rPr>
          <w:rFonts w:hint="default" w:ascii="Times New Roman" w:hAnsi="Times New Roman" w:eastAsia="宋体" w:cs="Times New Roman"/>
          <w:color w:val="231F20"/>
          <w:spacing w:val="9"/>
          <w:sz w:val="24"/>
          <w:szCs w:val="24"/>
        </w:rPr>
        <w:t>化路径，践行“高缔约成本—低治理成本”模式，谋求“一步到位”</w:t>
      </w:r>
      <w:r>
        <w:rPr>
          <w:rFonts w:hint="default" w:ascii="Times New Roman" w:hAnsi="Times New Roman" w:eastAsia="宋体" w:cs="Times New Roman"/>
          <w:color w:val="231F20"/>
          <w:spacing w:val="8"/>
          <w:sz w:val="24"/>
          <w:szCs w:val="24"/>
        </w:rPr>
        <w:t>实现高水平高标准的</w:t>
      </w:r>
      <w:r>
        <w:rPr>
          <w:rFonts w:hint="default" w:ascii="Times New Roman" w:hAnsi="Times New Roman" w:eastAsia="宋体" w:cs="Times New Roman"/>
          <w:color w:val="231F20"/>
          <w:spacing w:val="3"/>
          <w:sz w:val="24"/>
          <w:szCs w:val="24"/>
        </w:rPr>
        <w:t>亚太经贸规则（孙忆，2022）。尽管如此</w:t>
      </w:r>
      <w:r>
        <w:rPr>
          <w:rFonts w:hint="default" w:ascii="Times New Roman" w:hAnsi="Times New Roman" w:eastAsia="宋体" w:cs="Times New Roman"/>
          <w:color w:val="231F20"/>
          <w:spacing w:val="2"/>
          <w:sz w:val="24"/>
          <w:szCs w:val="24"/>
        </w:rPr>
        <w:t>，这两大自由贸易协定都坚持开放包容、不断推进</w:t>
      </w:r>
      <w:r>
        <w:rPr>
          <w:rFonts w:hint="default" w:ascii="Times New Roman" w:hAnsi="Times New Roman" w:eastAsia="宋体" w:cs="Times New Roman"/>
          <w:color w:val="231F20"/>
          <w:spacing w:val="6"/>
          <w:sz w:val="24"/>
          <w:szCs w:val="24"/>
        </w:rPr>
        <w:t>扩员进程，以惠及更多经济体。</w:t>
      </w:r>
    </w:p>
    <w:p w14:paraId="3656808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从长远来看，RCEP与CPTPP的制度化</w:t>
      </w:r>
      <w:r>
        <w:rPr>
          <w:rFonts w:hint="default" w:ascii="Times New Roman" w:hAnsi="Times New Roman" w:eastAsia="宋体" w:cs="Times New Roman"/>
          <w:color w:val="231F20"/>
          <w:spacing w:val="-1"/>
          <w:sz w:val="24"/>
          <w:szCs w:val="24"/>
        </w:rPr>
        <w:t>程度较高，未来，这两种机制会长期并存并相互竞</w:t>
      </w:r>
      <w:r>
        <w:rPr>
          <w:rFonts w:hint="default" w:ascii="Times New Roman" w:hAnsi="Times New Roman" w:eastAsia="宋体" w:cs="Times New Roman"/>
          <w:color w:val="231F20"/>
          <w:spacing w:val="-2"/>
          <w:sz w:val="24"/>
          <w:szCs w:val="24"/>
        </w:rPr>
        <w:t>争。目前，泰国、韩国及中国先后表达了加入CPTPP的意愿，加之RCEP中有7个成员亦是CPTPP</w:t>
      </w:r>
      <w:r>
        <w:rPr>
          <w:rFonts w:hint="default" w:ascii="Times New Roman" w:hAnsi="Times New Roman" w:eastAsia="宋体" w:cs="Times New Roman"/>
          <w:color w:val="231F20"/>
          <w:sz w:val="24"/>
          <w:szCs w:val="24"/>
        </w:rPr>
        <w:t>成员，表明有2/3的RCEP成员愿意接受</w:t>
      </w:r>
      <w:r>
        <w:rPr>
          <w:rFonts w:hint="default" w:ascii="Times New Roman" w:hAnsi="Times New Roman" w:eastAsia="宋体" w:cs="Times New Roman"/>
          <w:color w:val="231F20"/>
          <w:spacing w:val="-1"/>
          <w:sz w:val="24"/>
          <w:szCs w:val="24"/>
        </w:rPr>
        <w:t>CPTPP规则（潘晓明，2021）。随着成员的大范围重</w:t>
      </w:r>
      <w:r>
        <w:rPr>
          <w:rFonts w:hint="default" w:ascii="Times New Roman" w:hAnsi="Times New Roman" w:eastAsia="宋体" w:cs="Times New Roman"/>
          <w:color w:val="231F20"/>
          <w:spacing w:val="7"/>
          <w:sz w:val="24"/>
          <w:szCs w:val="24"/>
        </w:rPr>
        <w:t>合，不排除未来这两大机制相互融合、促进亚太地区经济一体化快速发展的可能性。</w:t>
      </w:r>
    </w:p>
    <w:p w14:paraId="1AE2F4A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（二）“印太战略”与美国对华经济竞争</w:t>
      </w:r>
    </w:p>
    <w:p w14:paraId="3D35735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美国“印太战略”旨在“确保地区盟友意识到中国崛起可能带来的风险”。然而，在执</w:t>
      </w:r>
      <w:r>
        <w:rPr>
          <w:rFonts w:hint="default" w:ascii="Times New Roman" w:hAnsi="Times New Roman" w:eastAsia="宋体" w:cs="Times New Roman"/>
          <w:color w:val="231F20"/>
          <w:spacing w:val="6"/>
          <w:sz w:val="24"/>
          <w:szCs w:val="24"/>
        </w:rPr>
        <w:t>行过程中，各届政府的侧重点有所不同。</w:t>
      </w:r>
    </w:p>
    <w:p w14:paraId="55D75D9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8"/>
          <w:sz w:val="24"/>
          <w:szCs w:val="24"/>
        </w:rPr>
        <w:t>特朗普第一任期对华采取以高强度关税为核心、以经济制裁为胁迫的激进式打压政</w:t>
      </w:r>
      <w:r>
        <w:rPr>
          <w:rFonts w:hint="default" w:ascii="Times New Roman" w:hAnsi="Times New Roman" w:eastAsia="宋体" w:cs="Times New Roman"/>
          <w:color w:val="231F20"/>
          <w:spacing w:val="6"/>
          <w:sz w:val="24"/>
          <w:szCs w:val="24"/>
        </w:rPr>
        <w:t>策。通过动用美国国内贸易法中所谓的232、301和201条款，特朗普政</w:t>
      </w:r>
      <w:r>
        <w:rPr>
          <w:rFonts w:hint="default" w:ascii="Times New Roman" w:hAnsi="Times New Roman" w:eastAsia="宋体" w:cs="Times New Roman"/>
          <w:color w:val="231F20"/>
          <w:spacing w:val="5"/>
          <w:sz w:val="24"/>
          <w:szCs w:val="24"/>
        </w:rPr>
        <w:t>府对中国总计3500</w:t>
      </w:r>
      <w:r>
        <w:rPr>
          <w:rFonts w:hint="default" w:ascii="Times New Roman" w:hAnsi="Times New Roman" w:eastAsia="宋体" w:cs="Times New Roman"/>
          <w:color w:val="231F20"/>
          <w:spacing w:val="12"/>
          <w:sz w:val="24"/>
          <w:szCs w:val="24"/>
        </w:rPr>
        <w:t>亿美元的出口产品加征高额关税，开启了对华贸易战。但在推进“印太战略”的过程中，</w:t>
      </w:r>
      <w:r>
        <w:rPr>
          <w:rFonts w:hint="default" w:ascii="Times New Roman" w:hAnsi="Times New Roman" w:eastAsia="宋体" w:cs="Times New Roman"/>
          <w:color w:val="231F20"/>
          <w:spacing w:val="8"/>
          <w:sz w:val="24"/>
          <w:szCs w:val="24"/>
        </w:rPr>
        <w:t>其将关注点放在军事和安全领域，并未进行相关</w:t>
      </w:r>
      <w:r>
        <w:rPr>
          <w:rFonts w:hint="default" w:ascii="Times New Roman" w:hAnsi="Times New Roman" w:eastAsia="宋体" w:cs="Times New Roman"/>
          <w:color w:val="231F20"/>
          <w:spacing w:val="7"/>
          <w:sz w:val="24"/>
          <w:szCs w:val="24"/>
        </w:rPr>
        <w:t>经济机制建设。</w:t>
      </w:r>
    </w:p>
    <w:p w14:paraId="226519C9">
      <w:pPr>
        <w:pStyle w:val="6"/>
        <w:keepNext w:val="0"/>
        <w:keepLines w:val="0"/>
        <w:pageBreakBefore w:val="0"/>
        <w:widowControl/>
        <w:tabs>
          <w:tab w:val="left" w:pos="998"/>
        </w:tabs>
        <w:kinsoku w:val="0"/>
        <w:wordWrap/>
        <w:overflowPunct/>
        <w:topLinePunct w:val="0"/>
        <w:autoSpaceDE w:val="0"/>
        <w:autoSpaceDN w:val="0"/>
        <w:bidi w:val="0"/>
        <w:adjustRightInd w:val="0"/>
        <w:snapToGrid w:val="0"/>
        <w:spacing w:line="400" w:lineRule="exact"/>
        <w:ind w:left="0" w:right="0" w:firstLine="51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拜登政府采取了“制裁断链、竞争扼杀、结盟排华、少量合作”的对华战略，在其国</w:t>
      </w:r>
      <w:r>
        <w:rPr>
          <w:rFonts w:hint="default" w:ascii="Times New Roman" w:hAnsi="Times New Roman" w:eastAsia="宋体" w:cs="Times New Roman"/>
          <w:color w:val="231F20"/>
          <w:spacing w:val="14"/>
          <w:sz w:val="24"/>
          <w:szCs w:val="24"/>
        </w:rPr>
        <w:t>内投资高科技和其他未来产业，团结盟友，并与中国展开竞争。拜登政府为了强化美</w:t>
      </w:r>
      <w:r>
        <w:rPr>
          <w:rFonts w:hint="default" w:ascii="Times New Roman" w:hAnsi="Times New Roman" w:eastAsia="宋体" w:cs="Times New Roman"/>
          <w:color w:val="231F20"/>
          <w:spacing w:val="13"/>
          <w:sz w:val="24"/>
          <w:szCs w:val="24"/>
        </w:rPr>
        <w:t>国在</w:t>
      </w:r>
      <w:r>
        <w:rPr>
          <w:rFonts w:hint="default" w:ascii="Times New Roman" w:hAnsi="Times New Roman" w:eastAsia="宋体" w:cs="Times New Roman"/>
          <w:color w:val="231F20"/>
          <w:spacing w:val="15"/>
          <w:sz w:val="24"/>
          <w:szCs w:val="24"/>
        </w:rPr>
        <w:t>印太地区的经济存在而推出的“印太经济框架”（</w:t>
      </w:r>
      <w:r>
        <w:rPr>
          <w:rFonts w:hint="default" w:ascii="Times New Roman" w:hAnsi="Times New Roman" w:eastAsia="宋体" w:cs="Times New Roman"/>
          <w:color w:val="231F20"/>
          <w:sz w:val="24"/>
          <w:szCs w:val="24"/>
        </w:rPr>
        <w:t>Indo</w:t>
      </w:r>
      <w:r>
        <w:rPr>
          <w:rFonts w:hint="default" w:ascii="Times New Roman" w:hAnsi="Times New Roman" w:eastAsia="宋体" w:cs="Times New Roman"/>
          <w:color w:val="231F20"/>
          <w:spacing w:val="15"/>
          <w:sz w:val="24"/>
          <w:szCs w:val="24"/>
        </w:rPr>
        <w:t>-</w:t>
      </w:r>
      <w:r>
        <w:rPr>
          <w:rFonts w:hint="default" w:ascii="Times New Roman" w:hAnsi="Times New Roman" w:eastAsia="宋体" w:cs="Times New Roman"/>
          <w:color w:val="231F20"/>
          <w:sz w:val="24"/>
          <w:szCs w:val="24"/>
        </w:rPr>
        <w:t>Pacific</w:t>
      </w:r>
      <w:r>
        <w:rPr>
          <w:rFonts w:hint="eastAsia" w:ascii="Times New Roman" w:hAnsi="Times New Roman" w:eastAsia="宋体" w:cs="Times New Roman"/>
          <w:color w:val="231F20"/>
          <w:sz w:val="24"/>
          <w:szCs w:val="24"/>
          <w:lang w:val="en-US" w:eastAsia="zh-CN"/>
        </w:rPr>
        <w:t xml:space="preserve"> </w:t>
      </w:r>
      <w:r>
        <w:rPr>
          <w:rFonts w:hint="default" w:ascii="Times New Roman" w:hAnsi="Times New Roman" w:eastAsia="宋体" w:cs="Times New Roman"/>
          <w:color w:val="231F20"/>
          <w:sz w:val="24"/>
          <w:szCs w:val="24"/>
        </w:rPr>
        <w:t>Economic</w:t>
      </w:r>
      <w:r>
        <w:rPr>
          <w:rFonts w:hint="eastAsia" w:ascii="Times New Roman" w:hAnsi="Times New Roman" w:eastAsia="宋体" w:cs="Times New Roman"/>
          <w:color w:val="231F20"/>
          <w:sz w:val="24"/>
          <w:szCs w:val="24"/>
          <w:lang w:val="en-US" w:eastAsia="zh-CN"/>
        </w:rPr>
        <w:t xml:space="preserve"> </w:t>
      </w:r>
      <w:r>
        <w:rPr>
          <w:rFonts w:hint="default" w:ascii="Times New Roman" w:hAnsi="Times New Roman" w:eastAsia="宋体" w:cs="Times New Roman"/>
          <w:color w:val="231F20"/>
          <w:sz w:val="24"/>
          <w:szCs w:val="24"/>
        </w:rPr>
        <w:t>Framework</w:t>
      </w:r>
      <w:r>
        <w:rPr>
          <w:rFonts w:hint="default" w:ascii="Times New Roman" w:hAnsi="Times New Roman" w:eastAsia="宋体" w:cs="Times New Roman"/>
          <w:color w:val="231F20"/>
          <w:spacing w:val="15"/>
          <w:sz w:val="24"/>
          <w:szCs w:val="24"/>
        </w:rPr>
        <w:t>，</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65"/>
          <w:sz w:val="24"/>
          <w:szCs w:val="24"/>
        </w:rPr>
        <w:t>），</w:t>
      </w:r>
      <w:r>
        <w:rPr>
          <w:rFonts w:hint="default" w:ascii="Times New Roman" w:hAnsi="Times New Roman" w:eastAsia="宋体" w:cs="Times New Roman"/>
          <w:color w:val="231F20"/>
          <w:spacing w:val="14"/>
          <w:sz w:val="24"/>
          <w:szCs w:val="24"/>
        </w:rPr>
        <w:t>意在填补特朗普政府留下的经济空白，以竞赢中国及其共建“一带一路”倡议，并维护美</w:t>
      </w:r>
      <w:r>
        <w:rPr>
          <w:rFonts w:hint="default" w:ascii="Times New Roman" w:hAnsi="Times New Roman" w:eastAsia="宋体" w:cs="Times New Roman"/>
          <w:color w:val="231F20"/>
          <w:spacing w:val="5"/>
          <w:sz w:val="24"/>
          <w:szCs w:val="24"/>
        </w:rPr>
        <w:t>国主导的国际规则和国际秩序（</w:t>
      </w:r>
      <w:r>
        <w:rPr>
          <w:rFonts w:hint="default" w:ascii="Times New Roman" w:hAnsi="Times New Roman" w:eastAsia="宋体" w:cs="Times New Roman"/>
          <w:color w:val="231F20"/>
          <w:sz w:val="24"/>
          <w:szCs w:val="24"/>
        </w:rPr>
        <w:t>Uddin</w:t>
      </w:r>
      <w:r>
        <w:rPr>
          <w:rFonts w:hint="default" w:ascii="Times New Roman" w:hAnsi="Times New Roman" w:eastAsia="宋体" w:cs="Times New Roman"/>
          <w:color w:val="231F20"/>
          <w:spacing w:val="5"/>
          <w:sz w:val="24"/>
          <w:szCs w:val="24"/>
        </w:rPr>
        <w:t>和</w:t>
      </w:r>
      <w:r>
        <w:rPr>
          <w:rFonts w:hint="default" w:ascii="Times New Roman" w:hAnsi="Times New Roman" w:eastAsia="宋体" w:cs="Times New Roman"/>
          <w:color w:val="231F20"/>
          <w:sz w:val="24"/>
          <w:szCs w:val="24"/>
        </w:rPr>
        <w:t>Lau</w:t>
      </w:r>
      <w:r>
        <w:rPr>
          <w:rFonts w:hint="default" w:ascii="Times New Roman" w:hAnsi="Times New Roman" w:eastAsia="宋体" w:cs="Times New Roman"/>
          <w:color w:val="231F20"/>
          <w:spacing w:val="5"/>
          <w:sz w:val="24"/>
          <w:szCs w:val="24"/>
        </w:rPr>
        <w:t>，2023）。2021年10月</w:t>
      </w:r>
      <w:r>
        <w:rPr>
          <w:rFonts w:hint="default" w:ascii="Times New Roman" w:hAnsi="Times New Roman" w:eastAsia="宋体" w:cs="Times New Roman"/>
          <w:color w:val="231F20"/>
          <w:spacing w:val="4"/>
          <w:sz w:val="24"/>
          <w:szCs w:val="24"/>
        </w:rPr>
        <w:t>，拜登以视频方式出席</w:t>
      </w:r>
      <w:r>
        <w:rPr>
          <w:rFonts w:hint="default" w:ascii="Times New Roman" w:hAnsi="Times New Roman" w:eastAsia="宋体" w:cs="Times New Roman"/>
          <w:color w:val="231F20"/>
          <w:spacing w:val="8"/>
          <w:sz w:val="24"/>
          <w:szCs w:val="24"/>
        </w:rPr>
        <w:t>第16届东亚峰会时提出</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8"/>
          <w:sz w:val="24"/>
          <w:szCs w:val="24"/>
        </w:rPr>
        <w:t>的概念。2022年5月，拜登在访问日本期间启动该框架。该框</w:t>
      </w:r>
      <w:r>
        <w:rPr>
          <w:rFonts w:hint="default" w:ascii="Times New Roman" w:hAnsi="Times New Roman" w:eastAsia="宋体" w:cs="Times New Roman"/>
          <w:color w:val="231F20"/>
          <w:spacing w:val="5"/>
          <w:sz w:val="24"/>
          <w:szCs w:val="24"/>
        </w:rPr>
        <w:t>架共有美国、澳大利亚、文莱、斐济、印度、印度尼西亚、日本、韩国、马来西亚、新西</w:t>
      </w:r>
      <w:r>
        <w:rPr>
          <w:rFonts w:hint="default" w:ascii="Times New Roman" w:hAnsi="Times New Roman" w:eastAsia="宋体" w:cs="Times New Roman"/>
          <w:color w:val="231F20"/>
          <w:spacing w:val="8"/>
          <w:sz w:val="24"/>
          <w:szCs w:val="24"/>
        </w:rPr>
        <w:t>兰、菲律宾、新加坡、泰国、越南14个成员国，其中包括7个东盟国家。</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8"/>
          <w:sz w:val="24"/>
          <w:szCs w:val="24"/>
        </w:rPr>
        <w:t>由四个支柱</w:t>
      </w:r>
      <w:r>
        <w:rPr>
          <w:rFonts w:hint="default" w:ascii="Times New Roman" w:hAnsi="Times New Roman" w:eastAsia="宋体" w:cs="Times New Roman"/>
          <w:color w:val="231F20"/>
          <w:spacing w:val="15"/>
          <w:sz w:val="24"/>
          <w:szCs w:val="24"/>
        </w:rPr>
        <w:t>构成：互联经济、韧性经济、清洁经济、公平经济。其14个成员</w:t>
      </w:r>
      <w:r>
        <w:rPr>
          <w:rFonts w:hint="default" w:ascii="Times New Roman" w:hAnsi="Times New Roman" w:eastAsia="宋体" w:cs="Times New Roman"/>
          <w:color w:val="231F20"/>
          <w:spacing w:val="14"/>
          <w:sz w:val="24"/>
          <w:szCs w:val="24"/>
        </w:rPr>
        <w:t>国</w:t>
      </w:r>
      <w:r>
        <w:rPr>
          <w:rFonts w:hint="default" w:ascii="Times New Roman" w:hAnsi="Times New Roman" w:eastAsia="宋体" w:cs="Times New Roman"/>
          <w:color w:val="231F20"/>
          <w:sz w:val="24"/>
          <w:szCs w:val="24"/>
        </w:rPr>
        <w:t>GDP</w:t>
      </w:r>
      <w:r>
        <w:rPr>
          <w:rFonts w:hint="default" w:ascii="Times New Roman" w:hAnsi="Times New Roman" w:eastAsia="宋体" w:cs="Times New Roman"/>
          <w:color w:val="231F20"/>
          <w:spacing w:val="14"/>
          <w:sz w:val="24"/>
          <w:szCs w:val="24"/>
        </w:rPr>
        <w:t>总和占全球的</w:t>
      </w:r>
      <w:r>
        <w:rPr>
          <w:rFonts w:hint="default" w:ascii="Times New Roman" w:hAnsi="Times New Roman" w:eastAsia="宋体" w:cs="Times New Roman"/>
          <w:color w:val="231F20"/>
          <w:sz w:val="24"/>
          <w:szCs w:val="24"/>
        </w:rPr>
        <w:tab/>
      </w:r>
      <w:r>
        <w:rPr>
          <w:rFonts w:hint="default" w:ascii="Times New Roman" w:hAnsi="Times New Roman" w:eastAsia="宋体" w:cs="Times New Roman"/>
          <w:color w:val="231F20"/>
          <w:spacing w:val="6"/>
          <w:sz w:val="24"/>
          <w:szCs w:val="24"/>
        </w:rPr>
        <w:t>40%，商品和服务贸易占全球的28%。不同于</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6"/>
          <w:sz w:val="24"/>
          <w:szCs w:val="24"/>
        </w:rPr>
        <w:t>和</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6"/>
          <w:sz w:val="24"/>
          <w:szCs w:val="24"/>
        </w:rPr>
        <w:t>，</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6"/>
          <w:sz w:val="24"/>
          <w:szCs w:val="24"/>
        </w:rPr>
        <w:t>本身并不是一项贸易协</w:t>
      </w:r>
      <w:r>
        <w:rPr>
          <w:rFonts w:hint="default" w:ascii="Times New Roman" w:hAnsi="Times New Roman" w:eastAsia="宋体" w:cs="Times New Roman"/>
          <w:color w:val="231F20"/>
          <w:spacing w:val="17"/>
          <w:sz w:val="24"/>
          <w:szCs w:val="24"/>
        </w:rPr>
        <w:t>定，而是一项行政部门倡议，旨在就该地区的经贸标准和规则进行谈判，缺乏关税</w:t>
      </w:r>
      <w:r>
        <w:rPr>
          <w:rFonts w:hint="default" w:ascii="Times New Roman" w:hAnsi="Times New Roman" w:eastAsia="宋体" w:cs="Times New Roman"/>
          <w:color w:val="231F20"/>
          <w:spacing w:val="16"/>
          <w:sz w:val="24"/>
          <w:szCs w:val="24"/>
        </w:rPr>
        <w:t>减让、</w:t>
      </w:r>
      <w:r>
        <w:rPr>
          <w:rFonts w:hint="default" w:ascii="Times New Roman" w:hAnsi="Times New Roman" w:eastAsia="宋体" w:cs="Times New Roman"/>
          <w:color w:val="231F20"/>
          <w:spacing w:val="14"/>
          <w:sz w:val="24"/>
          <w:szCs w:val="24"/>
        </w:rPr>
        <w:t>市场准入等相关内容。拜登政府之所以大力推动</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14"/>
          <w:sz w:val="24"/>
          <w:szCs w:val="24"/>
        </w:rPr>
        <w:t>，其核心目的在于强化美国与印太地</w:t>
      </w:r>
      <w:r>
        <w:rPr>
          <w:rFonts w:hint="default" w:ascii="Times New Roman" w:hAnsi="Times New Roman" w:eastAsia="宋体" w:cs="Times New Roman"/>
          <w:color w:val="231F20"/>
          <w:spacing w:val="15"/>
          <w:sz w:val="24"/>
          <w:szCs w:val="24"/>
        </w:rPr>
        <w:t>区关键经济体及盟国的关系，建立美国主导的贸</w:t>
      </w:r>
      <w:r>
        <w:rPr>
          <w:rFonts w:hint="default" w:ascii="Times New Roman" w:hAnsi="Times New Roman" w:eastAsia="宋体" w:cs="Times New Roman"/>
          <w:color w:val="231F20"/>
          <w:spacing w:val="14"/>
          <w:sz w:val="24"/>
          <w:szCs w:val="24"/>
        </w:rPr>
        <w:t>易规则，在排除中国的情况下建立供应链</w:t>
      </w:r>
      <w:r>
        <w:rPr>
          <w:rFonts w:hint="default" w:ascii="Times New Roman" w:hAnsi="Times New Roman" w:eastAsia="宋体" w:cs="Times New Roman"/>
          <w:color w:val="231F20"/>
          <w:spacing w:val="13"/>
          <w:sz w:val="24"/>
          <w:szCs w:val="24"/>
        </w:rPr>
        <w:t>机制，让地区国家与中国在经济和科技上“脱钩断链”</w:t>
      </w:r>
      <w:r>
        <w:rPr>
          <w:rFonts w:hint="default" w:ascii="Times New Roman" w:hAnsi="Times New Roman" w:eastAsia="宋体" w:cs="Times New Roman"/>
          <w:color w:val="231F20"/>
          <w:spacing w:val="12"/>
          <w:sz w:val="24"/>
          <w:szCs w:val="24"/>
        </w:rPr>
        <w:t>。美国前商务部长雷蒙多称</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12"/>
          <w:sz w:val="24"/>
          <w:szCs w:val="24"/>
        </w:rPr>
        <w:t>为</w:t>
      </w:r>
      <w:r>
        <w:rPr>
          <w:rFonts w:hint="default" w:ascii="Times New Roman" w:hAnsi="Times New Roman" w:eastAsia="宋体" w:cs="Times New Roman"/>
          <w:color w:val="231F20"/>
          <w:spacing w:val="6"/>
          <w:sz w:val="24"/>
          <w:szCs w:val="24"/>
        </w:rPr>
        <w:t>“恢复美国在印太地区经济领导地位，为地区国家提供替代中</w:t>
      </w:r>
      <w:r>
        <w:rPr>
          <w:rFonts w:hint="default" w:ascii="Times New Roman" w:hAnsi="Times New Roman" w:eastAsia="宋体" w:cs="Times New Roman"/>
          <w:color w:val="231F20"/>
          <w:spacing w:val="5"/>
          <w:sz w:val="24"/>
          <w:szCs w:val="24"/>
        </w:rPr>
        <w:t>国方案的重要转折点”。</w:t>
      </w:r>
      <w:r>
        <w:rPr>
          <w:rFonts w:hint="default" w:ascii="Times New Roman" w:hAnsi="Times New Roman" w:eastAsia="宋体" w:cs="Times New Roman"/>
          <w:color w:val="231F20"/>
          <w:spacing w:val="9"/>
          <w:sz w:val="32"/>
          <w:szCs w:val="32"/>
          <w:vertAlign w:val="superscript"/>
        </w:rPr>
        <w:t>⑯</w:t>
      </w:r>
      <w:r>
        <w:rPr>
          <w:rFonts w:hint="default" w:ascii="Times New Roman" w:hAnsi="Times New Roman" w:eastAsia="宋体" w:cs="Times New Roman"/>
          <w:color w:val="231F20"/>
          <w:spacing w:val="5"/>
          <w:sz w:val="24"/>
          <w:szCs w:val="24"/>
        </w:rPr>
        <w:t>作为</w:t>
      </w:r>
      <w:r>
        <w:rPr>
          <w:rFonts w:hint="default" w:ascii="Times New Roman" w:hAnsi="Times New Roman" w:eastAsia="宋体" w:cs="Times New Roman"/>
          <w:color w:val="231F20"/>
          <w:spacing w:val="14"/>
          <w:sz w:val="24"/>
          <w:szCs w:val="24"/>
        </w:rPr>
        <w:t>美国维护地区经济霸权的政治工具，</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14"/>
          <w:sz w:val="24"/>
          <w:szCs w:val="24"/>
        </w:rPr>
        <w:t>的实质是通过把控供应链价值链和掌控新经济新</w:t>
      </w:r>
      <w:r>
        <w:rPr>
          <w:rFonts w:hint="default" w:ascii="Times New Roman" w:hAnsi="Times New Roman" w:eastAsia="宋体" w:cs="Times New Roman"/>
          <w:color w:val="231F20"/>
          <w:spacing w:val="10"/>
          <w:sz w:val="24"/>
          <w:szCs w:val="24"/>
        </w:rPr>
        <w:t>业态，刻意把特定国家排除在外，把经济问题政治化、武</w:t>
      </w:r>
      <w:r>
        <w:rPr>
          <w:rFonts w:hint="default" w:ascii="Times New Roman" w:hAnsi="Times New Roman" w:eastAsia="宋体" w:cs="Times New Roman"/>
          <w:color w:val="231F20"/>
          <w:spacing w:val="9"/>
          <w:sz w:val="24"/>
          <w:szCs w:val="24"/>
        </w:rPr>
        <w:t>器化、意识形态化，用经济手段</w:t>
      </w:r>
      <w:r>
        <w:rPr>
          <w:rFonts w:hint="default" w:ascii="Times New Roman" w:hAnsi="Times New Roman" w:eastAsia="宋体" w:cs="Times New Roman"/>
          <w:color w:val="231F20"/>
          <w:spacing w:val="14"/>
          <w:sz w:val="24"/>
          <w:szCs w:val="24"/>
        </w:rPr>
        <w:t>胁迫地区国家在中美间选边站队。从实际效果来看，</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14"/>
          <w:sz w:val="24"/>
          <w:szCs w:val="24"/>
        </w:rPr>
        <w:t>意在扩大美国在印太地区的经济</w:t>
      </w:r>
      <w:r>
        <w:rPr>
          <w:rFonts w:hint="default" w:ascii="Times New Roman" w:hAnsi="Times New Roman" w:eastAsia="宋体" w:cs="Times New Roman"/>
          <w:color w:val="231F20"/>
          <w:spacing w:val="15"/>
          <w:sz w:val="24"/>
          <w:szCs w:val="24"/>
        </w:rPr>
        <w:t>存在，服务于美国的贸易保护主义，与地区国家希望提升经济合作、实现经济复苏的关切</w:t>
      </w:r>
      <w:r>
        <w:rPr>
          <w:rFonts w:hint="default" w:ascii="Times New Roman" w:hAnsi="Times New Roman" w:eastAsia="宋体" w:cs="Times New Roman"/>
          <w:color w:val="231F20"/>
          <w:spacing w:val="7"/>
          <w:sz w:val="24"/>
          <w:szCs w:val="24"/>
        </w:rPr>
        <w:t>南辕北辙。同时，</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7"/>
          <w:sz w:val="24"/>
          <w:szCs w:val="24"/>
        </w:rPr>
        <w:t>未经美国国会批准，仅以总统行政命令方式推进，缺乏法律强制性，</w:t>
      </w:r>
      <w:r>
        <w:rPr>
          <w:rFonts w:hint="default" w:ascii="Times New Roman" w:hAnsi="Times New Roman" w:eastAsia="宋体" w:cs="Times New Roman"/>
          <w:color w:val="231F20"/>
          <w:spacing w:val="12"/>
          <w:sz w:val="24"/>
          <w:szCs w:val="24"/>
        </w:rPr>
        <w:t>易受美国高层政治变动影响（金君达，2023</w:t>
      </w:r>
      <w:r>
        <w:rPr>
          <w:rFonts w:hint="default" w:ascii="Times New Roman" w:hAnsi="Times New Roman" w:eastAsia="宋体" w:cs="Times New Roman"/>
          <w:color w:val="231F20"/>
          <w:spacing w:val="11"/>
          <w:sz w:val="24"/>
          <w:szCs w:val="24"/>
        </w:rPr>
        <w:t>）。随着特朗普第二任期的到来，在“美国优</w:t>
      </w:r>
      <w:r>
        <w:rPr>
          <w:rFonts w:hint="default" w:ascii="Times New Roman" w:hAnsi="Times New Roman" w:eastAsia="宋体" w:cs="Times New Roman"/>
          <w:color w:val="231F20"/>
          <w:spacing w:val="10"/>
          <w:sz w:val="24"/>
          <w:szCs w:val="24"/>
        </w:rPr>
        <w:t>先”的保护主义立场指引下，美国将退出不利于自身利益的贸易协定，这</w:t>
      </w:r>
      <w:r>
        <w:rPr>
          <w:rFonts w:hint="default" w:ascii="Times New Roman" w:hAnsi="Times New Roman" w:eastAsia="宋体" w:cs="Times New Roman"/>
          <w:color w:val="231F20"/>
          <w:spacing w:val="9"/>
          <w:sz w:val="24"/>
          <w:szCs w:val="24"/>
        </w:rPr>
        <w:t>个被特朗普称为</w:t>
      </w:r>
      <w:r>
        <w:rPr>
          <w:rFonts w:hint="default" w:ascii="Times New Roman" w:hAnsi="Times New Roman" w:eastAsia="宋体" w:cs="Times New Roman"/>
          <w:color w:val="231F20"/>
          <w:spacing w:val="7"/>
          <w:sz w:val="24"/>
          <w:szCs w:val="24"/>
        </w:rPr>
        <w:t>“</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7"/>
          <w:sz w:val="24"/>
          <w:szCs w:val="24"/>
        </w:rPr>
        <w:t>二号”的</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7"/>
          <w:sz w:val="24"/>
          <w:szCs w:val="24"/>
        </w:rPr>
        <w:t>或将遭到废除。</w:t>
      </w:r>
    </w:p>
    <w:p w14:paraId="2049F78B">
      <w:pPr>
        <w:pStyle w:val="6"/>
        <w:keepNext w:val="0"/>
        <w:keepLines w:val="0"/>
        <w:pageBreakBefore w:val="0"/>
        <w:widowControl/>
        <w:tabs>
          <w:tab w:val="left" w:pos="888"/>
        </w:tabs>
        <w:kinsoku w:val="0"/>
        <w:wordWrap/>
        <w:overflowPunct/>
        <w:topLinePunct w:val="0"/>
        <w:autoSpaceDE w:val="0"/>
        <w:autoSpaceDN w:val="0"/>
        <w:bidi w:val="0"/>
        <w:adjustRightInd w:val="0"/>
        <w:snapToGrid w:val="0"/>
        <w:spacing w:line="400" w:lineRule="exact"/>
        <w:ind w:left="0" w:right="0" w:firstLine="53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3"/>
          <w:sz w:val="24"/>
          <w:szCs w:val="24"/>
        </w:rPr>
        <w:t>为了通过“印太战略”实现“维霸遏华”，美国除了积极构建</w:t>
      </w:r>
      <w:r>
        <w:rPr>
          <w:rFonts w:hint="default" w:ascii="Times New Roman" w:hAnsi="Times New Roman" w:eastAsia="宋体" w:cs="Times New Roman"/>
          <w:color w:val="231F20"/>
          <w:sz w:val="24"/>
          <w:szCs w:val="24"/>
        </w:rPr>
        <w:t>IPEF</w:t>
      </w:r>
      <w:r>
        <w:rPr>
          <w:rFonts w:hint="default" w:ascii="Times New Roman" w:hAnsi="Times New Roman" w:eastAsia="宋体" w:cs="Times New Roman"/>
          <w:color w:val="231F20"/>
          <w:spacing w:val="13"/>
          <w:sz w:val="24"/>
          <w:szCs w:val="24"/>
        </w:rPr>
        <w:t>这一对华围堵的</w:t>
      </w:r>
      <w:r>
        <w:rPr>
          <w:rFonts w:hint="default" w:ascii="Times New Roman" w:hAnsi="Times New Roman" w:eastAsia="宋体" w:cs="Times New Roman"/>
          <w:color w:val="231F20"/>
          <w:spacing w:val="4"/>
          <w:sz w:val="24"/>
          <w:szCs w:val="24"/>
        </w:rPr>
        <w:t>“印太经贸小圈子”外，还采取了下列措施：其一，美国以维护“国家安全”为由出台了一</w:t>
      </w:r>
      <w:r>
        <w:rPr>
          <w:rFonts w:hint="default" w:ascii="Times New Roman" w:hAnsi="Times New Roman" w:eastAsia="宋体" w:cs="Times New Roman"/>
          <w:color w:val="231F20"/>
          <w:spacing w:val="15"/>
          <w:sz w:val="24"/>
          <w:szCs w:val="24"/>
        </w:rPr>
        <w:t>系列遏制中国科技和产业发展的举措。通过高筑技术壁垒、加大对中国在美国的投资审查力度、加强对美国技术产品的出口管制等方式全力阻断中国高科技企业对关键技术、核心</w:t>
      </w:r>
      <w:r>
        <w:rPr>
          <w:rFonts w:hint="default" w:ascii="Times New Roman" w:hAnsi="Times New Roman" w:eastAsia="宋体" w:cs="Times New Roman"/>
          <w:color w:val="231F20"/>
          <w:spacing w:val="9"/>
          <w:sz w:val="24"/>
          <w:szCs w:val="24"/>
        </w:rPr>
        <w:t>设备材料的获取。</w:t>
      </w:r>
      <w:r>
        <w:rPr>
          <w:rFonts w:hint="default" w:ascii="Times New Roman" w:hAnsi="Times New Roman" w:eastAsia="宋体" w:cs="Times New Roman"/>
          <w:color w:val="231F20"/>
          <w:spacing w:val="9"/>
          <w:sz w:val="32"/>
          <w:szCs w:val="32"/>
          <w:vertAlign w:val="superscript"/>
        </w:rPr>
        <w:t>⑰</w:t>
      </w:r>
      <w:r>
        <w:rPr>
          <w:rFonts w:hint="default" w:ascii="Times New Roman" w:hAnsi="Times New Roman" w:eastAsia="宋体" w:cs="Times New Roman"/>
          <w:color w:val="231F20"/>
          <w:spacing w:val="9"/>
          <w:sz w:val="24"/>
          <w:szCs w:val="24"/>
        </w:rPr>
        <w:t>其二，美国炮制各种借口，围追打压具有国际</w:t>
      </w:r>
      <w:r>
        <w:rPr>
          <w:rFonts w:hint="default" w:ascii="Times New Roman" w:hAnsi="Times New Roman" w:eastAsia="宋体" w:cs="Times New Roman"/>
          <w:color w:val="231F20"/>
          <w:spacing w:val="8"/>
          <w:sz w:val="24"/>
          <w:szCs w:val="24"/>
        </w:rPr>
        <w:t>竞争力的中国高科技企业</w:t>
      </w:r>
      <w:r>
        <w:rPr>
          <w:rFonts w:hint="default" w:ascii="Times New Roman" w:hAnsi="Times New Roman" w:eastAsia="宋体" w:cs="Times New Roman"/>
          <w:color w:val="231F20"/>
          <w:spacing w:val="9"/>
          <w:sz w:val="24"/>
          <w:szCs w:val="24"/>
        </w:rPr>
        <w:t>和科研机构。截至本文完稿时，美国已经将1300多家中国企业、高校和实体列入了各种制</w:t>
      </w:r>
      <w:r>
        <w:rPr>
          <w:rFonts w:hint="default" w:ascii="Times New Roman" w:hAnsi="Times New Roman" w:eastAsia="宋体" w:cs="Times New Roman"/>
          <w:color w:val="231F20"/>
          <w:spacing w:val="12"/>
          <w:sz w:val="24"/>
          <w:szCs w:val="24"/>
        </w:rPr>
        <w:t>裁清单，包括实体清单、未经核实清单、军工企业清单、禁止投资清单等。被列入制裁清</w:t>
      </w:r>
      <w:r>
        <w:rPr>
          <w:rFonts w:hint="default" w:ascii="Times New Roman" w:hAnsi="Times New Roman" w:eastAsia="宋体" w:cs="Times New Roman"/>
          <w:color w:val="231F20"/>
          <w:spacing w:val="13"/>
          <w:sz w:val="24"/>
          <w:szCs w:val="24"/>
        </w:rPr>
        <w:t>单的中国企业和实体涉及芯片、通信、人工智能、生物</w:t>
      </w:r>
      <w:r>
        <w:rPr>
          <w:rFonts w:hint="default" w:ascii="Times New Roman" w:hAnsi="Times New Roman" w:eastAsia="宋体" w:cs="Times New Roman"/>
          <w:color w:val="231F20"/>
          <w:spacing w:val="12"/>
          <w:sz w:val="24"/>
          <w:szCs w:val="24"/>
        </w:rPr>
        <w:t>医药、航空航天、教育科研等多个</w:t>
      </w:r>
      <w:r>
        <w:rPr>
          <w:rFonts w:hint="default" w:ascii="Times New Roman" w:hAnsi="Times New Roman" w:eastAsia="宋体" w:cs="Times New Roman"/>
          <w:color w:val="231F20"/>
          <w:spacing w:val="16"/>
          <w:sz w:val="24"/>
          <w:szCs w:val="24"/>
        </w:rPr>
        <w:t>领域和行业。美国对这些中国企业和实体实施的制裁措施主要包括限制或禁止向其出口美</w:t>
      </w:r>
      <w:r>
        <w:rPr>
          <w:rFonts w:hint="default" w:ascii="Times New Roman" w:hAnsi="Times New Roman" w:eastAsia="宋体" w:cs="Times New Roman"/>
          <w:color w:val="231F20"/>
          <w:spacing w:val="18"/>
          <w:sz w:val="24"/>
          <w:szCs w:val="24"/>
        </w:rPr>
        <w:t>国原产或含有美国技术的商品和技术；限制或禁止美国投资者投资或持有其股票或债券；</w:t>
      </w:r>
      <w:r>
        <w:rPr>
          <w:rFonts w:hint="default" w:ascii="Times New Roman" w:hAnsi="Times New Roman" w:eastAsia="宋体" w:cs="Times New Roman"/>
          <w:color w:val="231F20"/>
          <w:spacing w:val="13"/>
          <w:sz w:val="24"/>
          <w:szCs w:val="24"/>
        </w:rPr>
        <w:t>限制或禁止与其进行商业往来或合作等。美国的制裁措施严重损害了中国</w:t>
      </w:r>
      <w:r>
        <w:rPr>
          <w:rFonts w:hint="default" w:ascii="Times New Roman" w:hAnsi="Times New Roman" w:eastAsia="宋体" w:cs="Times New Roman"/>
          <w:color w:val="231F20"/>
          <w:spacing w:val="12"/>
          <w:sz w:val="24"/>
          <w:szCs w:val="24"/>
        </w:rPr>
        <w:t>企业的正当权益，</w:t>
      </w:r>
      <w:r>
        <w:rPr>
          <w:rFonts w:hint="default" w:ascii="Times New Roman" w:hAnsi="Times New Roman" w:eastAsia="宋体" w:cs="Times New Roman"/>
          <w:color w:val="231F20"/>
          <w:spacing w:val="19"/>
          <w:sz w:val="24"/>
          <w:szCs w:val="24"/>
        </w:rPr>
        <w:t>其实质是“以竞争之名行霸权之实，破坏国际经贸规则，对全球经贸体系带来严重影响”</w:t>
      </w:r>
      <w:r>
        <w:rPr>
          <w:rFonts w:hint="default" w:ascii="Times New Roman" w:hAnsi="Times New Roman" w:eastAsia="宋体" w:cs="Times New Roman"/>
          <w:color w:val="231F20"/>
          <w:spacing w:val="4"/>
          <w:sz w:val="24"/>
          <w:szCs w:val="24"/>
        </w:rPr>
        <w:t>（程恩富和陈健，2024）。其三，美国积极组建联盟，构筑科技遏华阵营。2021年6月，美</w:t>
      </w:r>
      <w:r>
        <w:rPr>
          <w:rFonts w:hint="default" w:ascii="Times New Roman" w:hAnsi="Times New Roman" w:eastAsia="宋体" w:cs="Times New Roman"/>
          <w:color w:val="231F20"/>
          <w:spacing w:val="10"/>
          <w:sz w:val="24"/>
          <w:szCs w:val="24"/>
        </w:rPr>
        <w:t>欧贸易和技术委员会（U.S.-</w:t>
      </w:r>
      <w:r>
        <w:rPr>
          <w:rFonts w:hint="default" w:ascii="Times New Roman" w:hAnsi="Times New Roman" w:eastAsia="宋体" w:cs="Times New Roman"/>
          <w:color w:val="231F20"/>
          <w:sz w:val="24"/>
          <w:szCs w:val="24"/>
        </w:rPr>
        <w:t>EU</w:t>
      </w:r>
      <w:r>
        <w:rPr>
          <w:rFonts w:hint="eastAsia" w:ascii="Times New Roman" w:hAnsi="Times New Roman" w:eastAsia="宋体" w:cs="Times New Roman"/>
          <w:color w:val="231F20"/>
          <w:sz w:val="24"/>
          <w:szCs w:val="24"/>
          <w:lang w:val="en-US" w:eastAsia="zh-CN"/>
        </w:rPr>
        <w:t xml:space="preserve"> </w:t>
      </w:r>
      <w:r>
        <w:rPr>
          <w:rFonts w:hint="default" w:ascii="Times New Roman" w:hAnsi="Times New Roman" w:eastAsia="宋体" w:cs="Times New Roman"/>
          <w:color w:val="231F20"/>
          <w:sz w:val="24"/>
          <w:szCs w:val="24"/>
        </w:rPr>
        <w:t>Trade</w:t>
      </w:r>
      <w:r>
        <w:rPr>
          <w:rFonts w:hint="eastAsia" w:ascii="Times New Roman" w:hAnsi="Times New Roman" w:eastAsia="宋体" w:cs="Times New Roman"/>
          <w:color w:val="231F20"/>
          <w:sz w:val="24"/>
          <w:szCs w:val="24"/>
          <w:lang w:val="en-US" w:eastAsia="zh-CN"/>
        </w:rPr>
        <w:t xml:space="preserve"> </w:t>
      </w:r>
      <w:r>
        <w:rPr>
          <w:rFonts w:hint="default" w:ascii="Times New Roman" w:hAnsi="Times New Roman" w:eastAsia="宋体" w:cs="Times New Roman"/>
          <w:color w:val="231F20"/>
          <w:sz w:val="24"/>
          <w:szCs w:val="24"/>
        </w:rPr>
        <w:t>and</w:t>
      </w:r>
      <w:r>
        <w:rPr>
          <w:rFonts w:hint="eastAsia" w:ascii="Times New Roman" w:hAnsi="Times New Roman" w:eastAsia="宋体" w:cs="Times New Roman"/>
          <w:color w:val="231F20"/>
          <w:sz w:val="24"/>
          <w:szCs w:val="24"/>
          <w:lang w:val="en-US" w:eastAsia="zh-CN"/>
        </w:rPr>
        <w:t xml:space="preserve"> </w:t>
      </w:r>
      <w:r>
        <w:rPr>
          <w:rFonts w:hint="default" w:ascii="Times New Roman" w:hAnsi="Times New Roman" w:eastAsia="宋体" w:cs="Times New Roman"/>
          <w:color w:val="231F20"/>
          <w:sz w:val="24"/>
          <w:szCs w:val="24"/>
        </w:rPr>
        <w:t>Technology</w:t>
      </w:r>
      <w:r>
        <w:rPr>
          <w:rFonts w:hint="eastAsia" w:ascii="Times New Roman" w:hAnsi="Times New Roman" w:eastAsia="宋体" w:cs="Times New Roman"/>
          <w:color w:val="231F20"/>
          <w:sz w:val="24"/>
          <w:szCs w:val="24"/>
          <w:lang w:val="en-US" w:eastAsia="zh-CN"/>
        </w:rPr>
        <w:t xml:space="preserve"> </w:t>
      </w:r>
      <w:r>
        <w:rPr>
          <w:rFonts w:hint="default" w:ascii="Times New Roman" w:hAnsi="Times New Roman" w:eastAsia="宋体" w:cs="Times New Roman"/>
          <w:color w:val="231F20"/>
          <w:sz w:val="24"/>
          <w:szCs w:val="24"/>
        </w:rPr>
        <w:t>Council</w:t>
      </w:r>
      <w:r>
        <w:rPr>
          <w:rFonts w:hint="default" w:ascii="Times New Roman" w:hAnsi="Times New Roman" w:eastAsia="宋体" w:cs="Times New Roman"/>
          <w:color w:val="231F20"/>
          <w:spacing w:val="10"/>
          <w:sz w:val="24"/>
          <w:szCs w:val="24"/>
        </w:rPr>
        <w:t>）成立，旨在“以民主方式</w:t>
      </w:r>
      <w:r>
        <w:rPr>
          <w:rFonts w:hint="default" w:ascii="Times New Roman" w:hAnsi="Times New Roman" w:eastAsia="宋体" w:cs="Times New Roman"/>
          <w:color w:val="231F20"/>
          <w:spacing w:val="9"/>
          <w:sz w:val="24"/>
          <w:szCs w:val="24"/>
        </w:rPr>
        <w:t>促进大西洋两岸的贸易、技术和安全合作”。</w:t>
      </w:r>
      <w:r>
        <w:rPr>
          <w:rFonts w:hint="default" w:ascii="Times New Roman" w:hAnsi="Times New Roman" w:eastAsia="宋体" w:cs="Times New Roman"/>
          <w:color w:val="231F20"/>
          <w:spacing w:val="9"/>
          <w:sz w:val="32"/>
          <w:szCs w:val="32"/>
          <w:vertAlign w:val="superscript"/>
        </w:rPr>
        <w:t>⑱</w:t>
      </w:r>
      <w:r>
        <w:rPr>
          <w:rFonts w:hint="default" w:ascii="Times New Roman" w:hAnsi="Times New Roman" w:eastAsia="宋体" w:cs="Times New Roman"/>
          <w:color w:val="231F20"/>
          <w:spacing w:val="9"/>
          <w:sz w:val="24"/>
          <w:szCs w:val="24"/>
        </w:rPr>
        <w:t>在这一委员会的推动下，美欧关系被定义为“致</w:t>
      </w:r>
      <w:r>
        <w:rPr>
          <w:rFonts w:hint="default" w:ascii="Times New Roman" w:hAnsi="Times New Roman" w:eastAsia="宋体" w:cs="Times New Roman"/>
          <w:color w:val="231F20"/>
          <w:spacing w:val="10"/>
          <w:sz w:val="24"/>
          <w:szCs w:val="24"/>
        </w:rPr>
        <w:t>力于推动数字转型和新技术合作的伙伴”，双方的合作基于共同的</w:t>
      </w:r>
      <w:r>
        <w:rPr>
          <w:rFonts w:hint="default" w:ascii="Times New Roman" w:hAnsi="Times New Roman" w:eastAsia="宋体" w:cs="Times New Roman"/>
          <w:color w:val="231F20"/>
          <w:spacing w:val="9"/>
          <w:sz w:val="24"/>
          <w:szCs w:val="24"/>
        </w:rPr>
        <w:t>民主价值观，其作用是协</w:t>
      </w:r>
      <w:r>
        <w:rPr>
          <w:rFonts w:hint="default" w:ascii="Times New Roman" w:hAnsi="Times New Roman" w:eastAsia="宋体" w:cs="Times New Roman"/>
          <w:color w:val="231F20"/>
          <w:spacing w:val="8"/>
          <w:sz w:val="24"/>
          <w:szCs w:val="24"/>
        </w:rPr>
        <w:t>调和推动美欧联合对中国科技的遏制行动。2022年4月，美国提议与韩国、日本、中国台</w:t>
      </w:r>
      <w:r>
        <w:rPr>
          <w:rFonts w:hint="default" w:ascii="Times New Roman" w:hAnsi="Times New Roman" w:eastAsia="宋体" w:cs="Times New Roman"/>
          <w:color w:val="231F20"/>
          <w:spacing w:val="16"/>
          <w:sz w:val="24"/>
          <w:szCs w:val="24"/>
        </w:rPr>
        <w:t>湾组建“芯片四方联盟”（</w:t>
      </w:r>
      <w:r>
        <w:rPr>
          <w:rFonts w:hint="default" w:ascii="Times New Roman" w:hAnsi="Times New Roman" w:eastAsia="宋体" w:cs="Times New Roman"/>
          <w:color w:val="231F20"/>
          <w:sz w:val="24"/>
          <w:szCs w:val="24"/>
        </w:rPr>
        <w:t>CHIP</w:t>
      </w:r>
      <w:r>
        <w:rPr>
          <w:rFonts w:hint="default" w:ascii="Times New Roman" w:hAnsi="Times New Roman" w:eastAsia="宋体" w:cs="Times New Roman"/>
          <w:color w:val="231F20"/>
          <w:spacing w:val="16"/>
          <w:sz w:val="24"/>
          <w:szCs w:val="24"/>
        </w:rPr>
        <w:t>4</w:t>
      </w:r>
      <w:r>
        <w:rPr>
          <w:rFonts w:hint="default" w:ascii="Times New Roman" w:hAnsi="Times New Roman" w:eastAsia="宋体" w:cs="Times New Roman"/>
          <w:color w:val="231F20"/>
          <w:spacing w:val="-62"/>
          <w:sz w:val="24"/>
          <w:szCs w:val="24"/>
        </w:rPr>
        <w:t>），</w:t>
      </w:r>
      <w:r>
        <w:rPr>
          <w:rFonts w:hint="default" w:ascii="Times New Roman" w:hAnsi="Times New Roman" w:eastAsia="宋体" w:cs="Times New Roman"/>
          <w:color w:val="231F20"/>
          <w:spacing w:val="16"/>
          <w:sz w:val="24"/>
          <w:szCs w:val="24"/>
        </w:rPr>
        <w:t>试图将中国大陆排除在全球半导体供应链联盟之外。</w:t>
      </w:r>
      <w:r>
        <w:rPr>
          <w:rFonts w:hint="default" w:ascii="Times New Roman" w:hAnsi="Times New Roman" w:eastAsia="宋体" w:cs="Times New Roman"/>
          <w:color w:val="231F20"/>
          <w:sz w:val="24"/>
          <w:szCs w:val="24"/>
        </w:rPr>
        <w:tab/>
      </w:r>
      <w:r>
        <w:rPr>
          <w:rFonts w:hint="default" w:ascii="Times New Roman" w:hAnsi="Times New Roman" w:eastAsia="宋体" w:cs="Times New Roman"/>
          <w:color w:val="231F20"/>
          <w:spacing w:val="1"/>
          <w:sz w:val="24"/>
          <w:szCs w:val="24"/>
        </w:rPr>
        <w:t>2022年8月，拜登政府签署《芯片与科学法案》，明文列举了“中国护栏”条款，禁止获得</w:t>
      </w:r>
      <w:r>
        <w:rPr>
          <w:rFonts w:hint="default" w:ascii="Times New Roman" w:hAnsi="Times New Roman" w:eastAsia="宋体" w:cs="Times New Roman"/>
          <w:color w:val="231F20"/>
          <w:spacing w:val="15"/>
          <w:sz w:val="24"/>
          <w:szCs w:val="24"/>
        </w:rPr>
        <w:t>联邦资金的公司在中国大幅增产先进制程芯片。通过上述措施，美国意图斩断同</w:t>
      </w:r>
      <w:r>
        <w:rPr>
          <w:rFonts w:hint="default" w:ascii="Times New Roman" w:hAnsi="Times New Roman" w:eastAsia="宋体" w:cs="Times New Roman"/>
          <w:color w:val="231F20"/>
          <w:spacing w:val="14"/>
          <w:sz w:val="24"/>
          <w:szCs w:val="24"/>
        </w:rPr>
        <w:t>中国的科</w:t>
      </w:r>
      <w:r>
        <w:rPr>
          <w:rFonts w:hint="default" w:ascii="Times New Roman" w:hAnsi="Times New Roman" w:eastAsia="宋体" w:cs="Times New Roman"/>
          <w:color w:val="231F20"/>
          <w:spacing w:val="21"/>
          <w:sz w:val="24"/>
          <w:szCs w:val="24"/>
        </w:rPr>
        <w:t>技投资、供应链依存合作，全力压制中国高科技企</w:t>
      </w:r>
      <w:r>
        <w:rPr>
          <w:rFonts w:hint="default" w:ascii="Times New Roman" w:hAnsi="Times New Roman" w:eastAsia="宋体" w:cs="Times New Roman"/>
          <w:color w:val="231F20"/>
          <w:spacing w:val="20"/>
          <w:sz w:val="24"/>
          <w:szCs w:val="24"/>
        </w:rPr>
        <w:t>业的国际生存空间，遏制中国的经济</w:t>
      </w:r>
      <w:r>
        <w:rPr>
          <w:rFonts w:hint="default" w:ascii="Times New Roman" w:hAnsi="Times New Roman" w:eastAsia="宋体" w:cs="Times New Roman"/>
          <w:color w:val="231F20"/>
          <w:spacing w:val="44"/>
          <w:sz w:val="24"/>
          <w:szCs w:val="24"/>
        </w:rPr>
        <w:t>增长。</w:t>
      </w:r>
    </w:p>
    <w:p w14:paraId="1B8C5B9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特朗普再次执政后，将继续视中国为头号竞争</w:t>
      </w:r>
      <w:r>
        <w:rPr>
          <w:rFonts w:hint="default" w:ascii="Times New Roman" w:hAnsi="Times New Roman" w:eastAsia="宋体" w:cs="Times New Roman"/>
          <w:color w:val="231F20"/>
          <w:spacing w:val="9"/>
          <w:sz w:val="24"/>
          <w:szCs w:val="24"/>
        </w:rPr>
        <w:t>对手，对华实施全面遏制。结合其在总</w:t>
      </w:r>
      <w:r>
        <w:rPr>
          <w:rFonts w:hint="default" w:ascii="Times New Roman" w:hAnsi="Times New Roman" w:eastAsia="宋体" w:cs="Times New Roman"/>
          <w:color w:val="231F20"/>
          <w:spacing w:val="11"/>
          <w:sz w:val="24"/>
          <w:szCs w:val="24"/>
        </w:rPr>
        <w:t>统竞选期间的言论，特朗普第二任期可能将从以</w:t>
      </w:r>
      <w:r>
        <w:rPr>
          <w:rFonts w:hint="default" w:ascii="Times New Roman" w:hAnsi="Times New Roman" w:eastAsia="宋体" w:cs="Times New Roman"/>
          <w:color w:val="231F20"/>
          <w:spacing w:val="10"/>
          <w:sz w:val="24"/>
          <w:szCs w:val="24"/>
        </w:rPr>
        <w:t>下方面对中国进行打压：一是继续利用关</w:t>
      </w:r>
      <w:r>
        <w:rPr>
          <w:rFonts w:hint="default" w:ascii="Times New Roman" w:hAnsi="Times New Roman" w:eastAsia="宋体" w:cs="Times New Roman"/>
          <w:color w:val="231F20"/>
          <w:spacing w:val="11"/>
          <w:sz w:val="24"/>
          <w:szCs w:val="24"/>
        </w:rPr>
        <w:t>税政策对进口商品，特别是来自中国的商品施加更高的关税；二是废除中国的“最惠国待</w:t>
      </w:r>
      <w:r>
        <w:rPr>
          <w:rFonts w:hint="default" w:ascii="Times New Roman" w:hAnsi="Times New Roman" w:eastAsia="宋体" w:cs="Times New Roman"/>
          <w:color w:val="231F20"/>
          <w:spacing w:val="7"/>
          <w:sz w:val="24"/>
          <w:szCs w:val="24"/>
        </w:rPr>
        <w:t>遇”；三是停止对中国生产的必需品的进口；四是严厉打击中国商品通过第三国出</w:t>
      </w:r>
      <w:r>
        <w:rPr>
          <w:rFonts w:hint="default" w:ascii="Times New Roman" w:hAnsi="Times New Roman" w:eastAsia="宋体" w:cs="Times New Roman"/>
          <w:color w:val="231F20"/>
          <w:spacing w:val="6"/>
          <w:sz w:val="24"/>
          <w:szCs w:val="24"/>
        </w:rPr>
        <w:t>口到美国</w:t>
      </w:r>
      <w:r>
        <w:rPr>
          <w:rFonts w:hint="default" w:ascii="Times New Roman" w:hAnsi="Times New Roman" w:eastAsia="宋体" w:cs="Times New Roman"/>
          <w:color w:val="231F20"/>
          <w:spacing w:val="11"/>
          <w:sz w:val="24"/>
          <w:szCs w:val="24"/>
        </w:rPr>
        <w:t>的避税行为；五是阻止中国购买美国的房地产和工业企业；六是阻止进口中国汽车，以重振美国汽车产业；七是使关键供应链回流美国。在这一背景下，中美</w:t>
      </w:r>
      <w:r>
        <w:rPr>
          <w:rFonts w:hint="default" w:ascii="Times New Roman" w:hAnsi="Times New Roman" w:eastAsia="宋体" w:cs="Times New Roman"/>
          <w:color w:val="231F20"/>
          <w:spacing w:val="10"/>
          <w:sz w:val="24"/>
          <w:szCs w:val="24"/>
        </w:rPr>
        <w:t>经贸冲突和“技术冷</w:t>
      </w:r>
      <w:r>
        <w:rPr>
          <w:rFonts w:hint="default" w:ascii="Times New Roman" w:hAnsi="Times New Roman" w:eastAsia="宋体" w:cs="Times New Roman"/>
          <w:color w:val="231F20"/>
          <w:spacing w:val="6"/>
          <w:sz w:val="24"/>
          <w:szCs w:val="24"/>
        </w:rPr>
        <w:t>战”将不可避免，两国关系也将面临更为严峻的考验。</w:t>
      </w:r>
    </w:p>
    <w:p w14:paraId="57A9986A">
      <w:pPr>
        <w:pStyle w:val="4"/>
        <w:bidi w:val="0"/>
        <w:rPr>
          <w:rFonts w:hint="default"/>
        </w:rPr>
      </w:pPr>
      <w:r>
        <w:rPr>
          <w:rFonts w:hint="default"/>
        </w:rPr>
        <w:t>四、中国应对印太形势的方略选择</w:t>
      </w:r>
    </w:p>
    <w:p w14:paraId="50022A3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长期以来，美国在对外事务中标榜“基于规则的国际秩序”——其实质是“由美国及</w:t>
      </w:r>
      <w:r>
        <w:rPr>
          <w:rFonts w:hint="default" w:ascii="Times New Roman" w:hAnsi="Times New Roman" w:eastAsia="宋体" w:cs="Times New Roman"/>
          <w:color w:val="231F20"/>
          <w:spacing w:val="9"/>
          <w:sz w:val="24"/>
          <w:szCs w:val="24"/>
        </w:rPr>
        <w:t>其伙伴建立的自由主义世界秩序，并通过联合国、国</w:t>
      </w:r>
      <w:r>
        <w:rPr>
          <w:rFonts w:hint="default" w:ascii="Times New Roman" w:hAnsi="Times New Roman" w:eastAsia="宋体" w:cs="Times New Roman"/>
          <w:color w:val="231F20"/>
          <w:spacing w:val="8"/>
          <w:sz w:val="24"/>
          <w:szCs w:val="24"/>
        </w:rPr>
        <w:t>际货币基金组织、世界银行、关税及</w:t>
      </w:r>
      <w:r>
        <w:rPr>
          <w:rFonts w:hint="default" w:ascii="Times New Roman" w:hAnsi="Times New Roman" w:eastAsia="宋体" w:cs="Times New Roman"/>
          <w:color w:val="231F20"/>
          <w:spacing w:val="23"/>
          <w:sz w:val="24"/>
          <w:szCs w:val="24"/>
        </w:rPr>
        <w:t>贸易总协定（世界贸易组织的前身）和北大西洋公约组织这五个主要国际</w:t>
      </w:r>
      <w:r>
        <w:rPr>
          <w:rFonts w:hint="default" w:ascii="Times New Roman" w:hAnsi="Times New Roman" w:eastAsia="宋体" w:cs="Times New Roman"/>
          <w:color w:val="231F20"/>
          <w:spacing w:val="22"/>
          <w:sz w:val="24"/>
          <w:szCs w:val="24"/>
        </w:rPr>
        <w:t>机构得到充</w:t>
      </w:r>
      <w:r>
        <w:rPr>
          <w:rFonts w:hint="default" w:ascii="Times New Roman" w:hAnsi="Times New Roman" w:eastAsia="宋体" w:cs="Times New Roman"/>
          <w:color w:val="231F20"/>
          <w:spacing w:val="5"/>
          <w:sz w:val="24"/>
          <w:szCs w:val="24"/>
        </w:rPr>
        <w:t>实”。</w:t>
      </w:r>
      <w:r>
        <w:rPr>
          <w:rFonts w:hint="eastAsia" w:ascii="Times New Roman" w:hAnsi="Times New Roman" w:eastAsia="宋体" w:cs="Times New Roman"/>
          <w:color w:val="231F20"/>
          <w:spacing w:val="4"/>
          <w:sz w:val="32"/>
          <w:szCs w:val="32"/>
          <w:vertAlign w:val="superscript"/>
        </w:rPr>
        <w:t>⑲</w:t>
      </w:r>
      <w:r>
        <w:rPr>
          <w:rFonts w:hint="default" w:ascii="Times New Roman" w:hAnsi="Times New Roman" w:eastAsia="宋体" w:cs="Times New Roman"/>
          <w:color w:val="231F20"/>
          <w:spacing w:val="5"/>
          <w:sz w:val="24"/>
          <w:szCs w:val="24"/>
        </w:rPr>
        <w:t>美国倡导所谓“基于规则的国际秩序”是为了掌握根据自身利益解</w:t>
      </w:r>
      <w:r>
        <w:rPr>
          <w:rFonts w:hint="default" w:ascii="Times New Roman" w:hAnsi="Times New Roman" w:eastAsia="宋体" w:cs="Times New Roman"/>
          <w:color w:val="231F20"/>
          <w:spacing w:val="4"/>
          <w:sz w:val="24"/>
          <w:szCs w:val="24"/>
        </w:rPr>
        <w:t>释和使用国际法、</w:t>
      </w:r>
      <w:r>
        <w:rPr>
          <w:rFonts w:hint="default" w:ascii="Times New Roman" w:hAnsi="Times New Roman" w:eastAsia="宋体" w:cs="Times New Roman"/>
          <w:color w:val="231F20"/>
          <w:spacing w:val="10"/>
          <w:sz w:val="24"/>
          <w:szCs w:val="24"/>
        </w:rPr>
        <w:t>垄断国际规则和国际秩序的定义权，用少数国家的“规则”取代普遍接受的国</w:t>
      </w:r>
      <w:r>
        <w:rPr>
          <w:rFonts w:hint="default" w:ascii="Times New Roman" w:hAnsi="Times New Roman" w:eastAsia="宋体" w:cs="Times New Roman"/>
          <w:color w:val="231F20"/>
          <w:spacing w:val="9"/>
          <w:sz w:val="24"/>
          <w:szCs w:val="24"/>
        </w:rPr>
        <w:t>际法则，并</w:t>
      </w:r>
      <w:r>
        <w:rPr>
          <w:rFonts w:hint="default" w:ascii="Times New Roman" w:hAnsi="Times New Roman" w:eastAsia="宋体" w:cs="Times New Roman"/>
          <w:color w:val="231F20"/>
          <w:spacing w:val="10"/>
          <w:sz w:val="24"/>
          <w:szCs w:val="24"/>
        </w:rPr>
        <w:t>将自身的意志和标准强加于别的国家，其本质是强权政治的</w:t>
      </w:r>
      <w:r>
        <w:rPr>
          <w:rFonts w:hint="default" w:ascii="Times New Roman" w:hAnsi="Times New Roman" w:eastAsia="宋体" w:cs="Times New Roman"/>
          <w:color w:val="231F20"/>
          <w:spacing w:val="9"/>
          <w:sz w:val="24"/>
          <w:szCs w:val="24"/>
        </w:rPr>
        <w:t>翻版。在对华关系上，美国亦</w:t>
      </w:r>
      <w:r>
        <w:rPr>
          <w:rFonts w:hint="default" w:ascii="Times New Roman" w:hAnsi="Times New Roman" w:eastAsia="宋体" w:cs="Times New Roman"/>
          <w:color w:val="231F20"/>
          <w:spacing w:val="10"/>
          <w:sz w:val="24"/>
          <w:szCs w:val="24"/>
        </w:rPr>
        <w:t>奉行“强权即真理”原则，强调“从实力地位出发与中国</w:t>
      </w:r>
      <w:r>
        <w:rPr>
          <w:rFonts w:hint="default" w:ascii="Times New Roman" w:hAnsi="Times New Roman" w:eastAsia="宋体" w:cs="Times New Roman"/>
          <w:color w:val="231F20"/>
          <w:spacing w:val="9"/>
          <w:sz w:val="24"/>
          <w:szCs w:val="24"/>
        </w:rPr>
        <w:t>接触”。面对美国以“印太战略”</w:t>
      </w:r>
      <w:r>
        <w:rPr>
          <w:rFonts w:hint="default" w:ascii="Times New Roman" w:hAnsi="Times New Roman" w:eastAsia="宋体" w:cs="Times New Roman"/>
          <w:color w:val="231F20"/>
          <w:spacing w:val="7"/>
          <w:sz w:val="24"/>
          <w:szCs w:val="24"/>
        </w:rPr>
        <w:t>为抓手的遏华态势，中国应采取有力措施予以回应。</w:t>
      </w:r>
    </w:p>
    <w:p w14:paraId="18EE64BA">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首先，坚定维护以联合国为核心的国际体系，积极构建人类命运共同体。在国际事务</w:t>
      </w:r>
      <w:r>
        <w:rPr>
          <w:rFonts w:hint="default" w:ascii="Times New Roman" w:hAnsi="Times New Roman" w:eastAsia="宋体" w:cs="Times New Roman"/>
          <w:color w:val="231F20"/>
          <w:spacing w:val="9"/>
          <w:sz w:val="24"/>
          <w:szCs w:val="24"/>
        </w:rPr>
        <w:t>中，中国始终坚持遵循以联合国为核心的国际体系、以国际法为基础的国际秩序、以联合</w:t>
      </w:r>
      <w:r>
        <w:rPr>
          <w:rFonts w:hint="default" w:ascii="Times New Roman" w:hAnsi="Times New Roman" w:eastAsia="宋体" w:cs="Times New Roman"/>
          <w:color w:val="231F20"/>
          <w:spacing w:val="12"/>
          <w:sz w:val="24"/>
          <w:szCs w:val="24"/>
        </w:rPr>
        <w:t>国宪章宗旨和原则为基础的国际关系基本准则，</w:t>
      </w:r>
      <w:r>
        <w:rPr>
          <w:rFonts w:hint="default" w:ascii="Times New Roman" w:hAnsi="Times New Roman" w:eastAsia="宋体" w:cs="Times New Roman"/>
          <w:color w:val="231F20"/>
          <w:spacing w:val="11"/>
          <w:sz w:val="24"/>
          <w:szCs w:val="24"/>
        </w:rPr>
        <w:t>而不是一小部分国家所鼓吹的、以规则为</w:t>
      </w:r>
      <w:r>
        <w:rPr>
          <w:rFonts w:hint="default" w:ascii="Times New Roman" w:hAnsi="Times New Roman" w:eastAsia="宋体" w:cs="Times New Roman"/>
          <w:color w:val="231F20"/>
          <w:spacing w:val="9"/>
          <w:sz w:val="24"/>
          <w:szCs w:val="24"/>
        </w:rPr>
        <w:t>基础的国际秩序。中国主张平等、有序的世界多极化和普惠包容的经济全球化，反对少数</w:t>
      </w:r>
      <w:r>
        <w:rPr>
          <w:rFonts w:hint="default" w:ascii="Times New Roman" w:hAnsi="Times New Roman" w:eastAsia="宋体" w:cs="Times New Roman"/>
          <w:color w:val="231F20"/>
          <w:spacing w:val="10"/>
          <w:sz w:val="24"/>
          <w:szCs w:val="24"/>
        </w:rPr>
        <w:t>国家垄断国际事务。中国在国际上倡导构建人类命运共同体，这是对“建设一个什么样的</w:t>
      </w:r>
      <w:r>
        <w:rPr>
          <w:rFonts w:hint="default" w:ascii="Times New Roman" w:hAnsi="Times New Roman" w:eastAsia="宋体" w:cs="Times New Roman"/>
          <w:color w:val="231F20"/>
          <w:spacing w:val="9"/>
          <w:sz w:val="24"/>
          <w:szCs w:val="24"/>
        </w:rPr>
        <w:t>世界、怎样建设这个世界”给出的中国方案。以人类命运共同体理念为指</w:t>
      </w:r>
      <w:r>
        <w:rPr>
          <w:rFonts w:hint="default" w:ascii="Times New Roman" w:hAnsi="Times New Roman" w:eastAsia="宋体" w:cs="Times New Roman"/>
          <w:color w:val="231F20"/>
          <w:spacing w:val="8"/>
          <w:sz w:val="24"/>
          <w:szCs w:val="24"/>
        </w:rPr>
        <w:t>引，中国坚持共</w:t>
      </w:r>
      <w:r>
        <w:rPr>
          <w:rFonts w:hint="default" w:ascii="Times New Roman" w:hAnsi="Times New Roman" w:eastAsia="宋体" w:cs="Times New Roman"/>
          <w:color w:val="231F20"/>
          <w:spacing w:val="12"/>
          <w:sz w:val="24"/>
          <w:szCs w:val="24"/>
        </w:rPr>
        <w:t>商共建共享的全球治理观，提出了全球发展倡议、</w:t>
      </w:r>
      <w:r>
        <w:rPr>
          <w:rFonts w:hint="default" w:ascii="Times New Roman" w:hAnsi="Times New Roman" w:eastAsia="宋体" w:cs="Times New Roman"/>
          <w:color w:val="231F20"/>
          <w:spacing w:val="11"/>
          <w:sz w:val="24"/>
          <w:szCs w:val="24"/>
        </w:rPr>
        <w:t>全球安全倡议、全球文明倡议，为携手</w:t>
      </w:r>
      <w:r>
        <w:rPr>
          <w:rFonts w:hint="default" w:ascii="Times New Roman" w:hAnsi="Times New Roman" w:eastAsia="宋体" w:cs="Times New Roman"/>
          <w:color w:val="231F20"/>
          <w:spacing w:val="10"/>
          <w:sz w:val="24"/>
          <w:szCs w:val="24"/>
        </w:rPr>
        <w:t>应对全球性挑战贡献中国方案和中国力量。因此，包括中国在内的进步国家须调整各自单</w:t>
      </w:r>
      <w:r>
        <w:rPr>
          <w:rFonts w:hint="default" w:ascii="Times New Roman" w:hAnsi="Times New Roman" w:eastAsia="宋体" w:cs="Times New Roman"/>
          <w:color w:val="231F20"/>
          <w:spacing w:val="7"/>
          <w:sz w:val="24"/>
          <w:szCs w:val="24"/>
        </w:rPr>
        <w:t>打独斗抵制美西方霸权的格局，结成反霸国际统</w:t>
      </w:r>
      <w:r>
        <w:rPr>
          <w:rFonts w:hint="default" w:ascii="Times New Roman" w:hAnsi="Times New Roman" w:eastAsia="宋体" w:cs="Times New Roman"/>
          <w:color w:val="231F20"/>
          <w:spacing w:val="6"/>
          <w:sz w:val="24"/>
          <w:szCs w:val="24"/>
        </w:rPr>
        <w:t>一战线，提升国际话语权。</w:t>
      </w:r>
    </w:p>
    <w:p w14:paraId="17C05FD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其次，坚持正确相处之道，推动中美经贸关系行稳致远。2024年11月7日，习近平主</w:t>
      </w:r>
      <w:r>
        <w:rPr>
          <w:rFonts w:hint="default" w:ascii="Times New Roman" w:hAnsi="Times New Roman" w:eastAsia="宋体" w:cs="Times New Roman"/>
          <w:color w:val="231F20"/>
          <w:spacing w:val="10"/>
          <w:sz w:val="24"/>
          <w:szCs w:val="24"/>
        </w:rPr>
        <w:t>席在致美国当选总统特朗普的贺电中指出：“中美合</w:t>
      </w:r>
      <w:r>
        <w:rPr>
          <w:rFonts w:hint="default" w:ascii="Times New Roman" w:hAnsi="Times New Roman" w:eastAsia="宋体" w:cs="Times New Roman"/>
          <w:color w:val="231F20"/>
          <w:spacing w:val="9"/>
          <w:sz w:val="24"/>
          <w:szCs w:val="24"/>
        </w:rPr>
        <w:t>则两利、斗则俱伤。一个稳定、健康、</w:t>
      </w:r>
      <w:r>
        <w:rPr>
          <w:rFonts w:hint="default" w:ascii="Times New Roman" w:hAnsi="Times New Roman" w:eastAsia="宋体" w:cs="Times New Roman"/>
          <w:color w:val="231F20"/>
          <w:spacing w:val="14"/>
          <w:sz w:val="24"/>
          <w:szCs w:val="24"/>
        </w:rPr>
        <w:t>可持续发展的中美关系符合两国共同利益和国际</w:t>
      </w:r>
      <w:r>
        <w:rPr>
          <w:rFonts w:hint="default" w:ascii="Times New Roman" w:hAnsi="Times New Roman" w:eastAsia="宋体" w:cs="Times New Roman"/>
          <w:color w:val="231F20"/>
          <w:spacing w:val="13"/>
          <w:sz w:val="24"/>
          <w:szCs w:val="24"/>
        </w:rPr>
        <w:t>社会期待。希望双方秉持相互尊重、和平</w:t>
      </w:r>
      <w:r>
        <w:rPr>
          <w:rFonts w:hint="default" w:ascii="Times New Roman" w:hAnsi="Times New Roman" w:eastAsia="宋体" w:cs="Times New Roman"/>
          <w:color w:val="231F20"/>
          <w:spacing w:val="9"/>
          <w:sz w:val="24"/>
          <w:szCs w:val="24"/>
        </w:rPr>
        <w:t>共处、合作共赢的原则，加强对话沟通</w:t>
      </w:r>
      <w:r>
        <w:rPr>
          <w:rFonts w:hint="default" w:ascii="Times New Roman" w:hAnsi="Times New Roman" w:eastAsia="宋体" w:cs="Times New Roman"/>
          <w:color w:val="231F20"/>
          <w:spacing w:val="8"/>
          <w:sz w:val="24"/>
          <w:szCs w:val="24"/>
        </w:rPr>
        <w:t>，妥善管控分歧，拓展互利合作，走出一条新时期</w:t>
      </w:r>
      <w:r>
        <w:rPr>
          <w:rFonts w:hint="default" w:ascii="Times New Roman" w:hAnsi="Times New Roman" w:eastAsia="宋体" w:cs="Times New Roman"/>
          <w:color w:val="231F20"/>
          <w:spacing w:val="9"/>
          <w:sz w:val="24"/>
          <w:szCs w:val="24"/>
        </w:rPr>
        <w:t>中美正确相处之道，造福两国，惠及世界。”这是中美建交多年</w:t>
      </w:r>
      <w:r>
        <w:rPr>
          <w:rFonts w:hint="default" w:ascii="Times New Roman" w:hAnsi="Times New Roman" w:eastAsia="宋体" w:cs="Times New Roman"/>
          <w:color w:val="231F20"/>
          <w:spacing w:val="8"/>
          <w:sz w:val="24"/>
          <w:szCs w:val="24"/>
        </w:rPr>
        <w:t>的经验总结，为中美关系发</w:t>
      </w:r>
      <w:r>
        <w:rPr>
          <w:rFonts w:hint="default" w:ascii="Times New Roman" w:hAnsi="Times New Roman" w:eastAsia="宋体" w:cs="Times New Roman"/>
          <w:color w:val="231F20"/>
          <w:spacing w:val="13"/>
          <w:sz w:val="24"/>
          <w:szCs w:val="24"/>
        </w:rPr>
        <w:t>展指明了方向。美国应放弃从所谓“实力地位”出发压制中</w:t>
      </w:r>
      <w:r>
        <w:rPr>
          <w:rFonts w:hint="default" w:ascii="Times New Roman" w:hAnsi="Times New Roman" w:eastAsia="宋体" w:cs="Times New Roman"/>
          <w:color w:val="231F20"/>
          <w:spacing w:val="12"/>
          <w:sz w:val="24"/>
          <w:szCs w:val="24"/>
        </w:rPr>
        <w:t>国的战略，并摒弃零和博弈思</w:t>
      </w:r>
      <w:r>
        <w:rPr>
          <w:rFonts w:hint="default" w:ascii="Times New Roman" w:hAnsi="Times New Roman" w:eastAsia="宋体" w:cs="Times New Roman"/>
          <w:color w:val="231F20"/>
          <w:spacing w:val="11"/>
          <w:sz w:val="24"/>
          <w:szCs w:val="24"/>
        </w:rPr>
        <w:t>维。面对美国通过“印太战略”对中国进行的围堵与遏制，中国需要妥善应对。一要坚决反对以美国为首的霸权主义。以中国、俄罗斯、伊朗、朝鲜等为主的反霸力量要与美西方</w:t>
      </w:r>
      <w:r>
        <w:rPr>
          <w:rFonts w:hint="default" w:ascii="Times New Roman" w:hAnsi="Times New Roman" w:eastAsia="宋体" w:cs="Times New Roman"/>
          <w:color w:val="231F20"/>
          <w:spacing w:val="14"/>
          <w:sz w:val="24"/>
          <w:szCs w:val="24"/>
        </w:rPr>
        <w:t>结盟霸权力量保持战略稳定。欲保持战略稳定就应保持战略平衡，而战略平衡取决</w:t>
      </w:r>
      <w:r>
        <w:rPr>
          <w:rFonts w:hint="default" w:ascii="Times New Roman" w:hAnsi="Times New Roman" w:eastAsia="宋体" w:cs="Times New Roman"/>
          <w:color w:val="231F20"/>
          <w:spacing w:val="13"/>
          <w:sz w:val="24"/>
          <w:szCs w:val="24"/>
        </w:rPr>
        <w:t>于反霸</w:t>
      </w:r>
      <w:r>
        <w:rPr>
          <w:rFonts w:hint="default" w:ascii="Times New Roman" w:hAnsi="Times New Roman" w:eastAsia="宋体" w:cs="Times New Roman"/>
          <w:color w:val="231F20"/>
          <w:spacing w:val="9"/>
          <w:sz w:val="24"/>
          <w:szCs w:val="24"/>
        </w:rPr>
        <w:t>国家基于经济、科技、外交、意志和民心基础上的综合军事战略力量，即军事斗争的斗力、</w:t>
      </w:r>
      <w:r>
        <w:rPr>
          <w:rFonts w:hint="default" w:ascii="Times New Roman" w:hAnsi="Times New Roman" w:eastAsia="宋体" w:cs="Times New Roman"/>
          <w:color w:val="231F20"/>
          <w:spacing w:val="14"/>
          <w:sz w:val="24"/>
          <w:szCs w:val="24"/>
        </w:rPr>
        <w:t>斗志和斗法。二要坚决维护中国的安全体系和利益体系。美国在全球拥有约750个军事基</w:t>
      </w:r>
      <w:r>
        <w:rPr>
          <w:rFonts w:hint="default" w:ascii="Times New Roman" w:hAnsi="Times New Roman" w:eastAsia="宋体" w:cs="Times New Roman"/>
          <w:color w:val="231F20"/>
          <w:spacing w:val="10"/>
          <w:sz w:val="24"/>
          <w:szCs w:val="24"/>
        </w:rPr>
        <w:t>地，其中的300多个在中国周边，显示其正在将影响力进一步投射到印太地区。台湾问题</w:t>
      </w:r>
      <w:r>
        <w:rPr>
          <w:rFonts w:hint="default" w:ascii="Times New Roman" w:hAnsi="Times New Roman" w:eastAsia="宋体" w:cs="Times New Roman"/>
          <w:color w:val="231F20"/>
          <w:spacing w:val="20"/>
          <w:sz w:val="24"/>
          <w:szCs w:val="24"/>
        </w:rPr>
        <w:t>是中国核心利益中的核心，然而，美国在台湾问题上采取了“强化军事护台，助</w:t>
      </w:r>
      <w:r>
        <w:rPr>
          <w:rFonts w:hint="default" w:ascii="Times New Roman" w:hAnsi="Times New Roman" w:eastAsia="宋体" w:cs="Times New Roman"/>
          <w:color w:val="231F20"/>
          <w:spacing w:val="19"/>
          <w:sz w:val="24"/>
          <w:szCs w:val="24"/>
        </w:rPr>
        <w:t>台推进</w:t>
      </w:r>
      <w:r>
        <w:rPr>
          <w:rFonts w:hint="default" w:ascii="Times New Roman" w:hAnsi="Times New Roman" w:eastAsia="宋体" w:cs="Times New Roman"/>
          <w:color w:val="231F20"/>
          <w:spacing w:val="1"/>
          <w:sz w:val="24"/>
          <w:szCs w:val="24"/>
        </w:rPr>
        <w:t>‘以武拒统’”“强化同盟挺台，力推台湾问题国际化”“强化经济拉台，深化与台湾地区的</w:t>
      </w:r>
      <w:r>
        <w:rPr>
          <w:rFonts w:hint="default" w:ascii="Times New Roman" w:hAnsi="Times New Roman" w:eastAsia="宋体" w:cs="Times New Roman"/>
          <w:color w:val="231F20"/>
          <w:spacing w:val="7"/>
          <w:sz w:val="24"/>
          <w:szCs w:val="24"/>
        </w:rPr>
        <w:t>经济捆绑”等做法，尤其是美国《2024财年国防授权法案》包含大量涉台危险条款。必须</w:t>
      </w:r>
      <w:r>
        <w:rPr>
          <w:rFonts w:hint="default" w:ascii="Times New Roman" w:hAnsi="Times New Roman" w:eastAsia="宋体" w:cs="Times New Roman"/>
          <w:color w:val="231F20"/>
          <w:spacing w:val="11"/>
          <w:sz w:val="24"/>
          <w:szCs w:val="24"/>
        </w:rPr>
        <w:t>看到，台湾问题不是单纯的军事问题，而是具有战略性、全</w:t>
      </w:r>
      <w:r>
        <w:rPr>
          <w:rFonts w:hint="default" w:ascii="Times New Roman" w:hAnsi="Times New Roman" w:eastAsia="宋体" w:cs="Times New Roman"/>
          <w:color w:val="231F20"/>
          <w:spacing w:val="10"/>
          <w:sz w:val="24"/>
          <w:szCs w:val="24"/>
        </w:rPr>
        <w:t>局性的政治问题。充分认识台</w:t>
      </w:r>
      <w:r>
        <w:rPr>
          <w:rFonts w:hint="default" w:ascii="Times New Roman" w:hAnsi="Times New Roman" w:eastAsia="宋体" w:cs="Times New Roman"/>
          <w:color w:val="231F20"/>
          <w:spacing w:val="9"/>
          <w:sz w:val="24"/>
          <w:szCs w:val="24"/>
        </w:rPr>
        <w:t>湾问题的极端重要性，根据中国自身国情提前做好政治、经济、军</w:t>
      </w:r>
      <w:r>
        <w:rPr>
          <w:rFonts w:hint="default" w:ascii="Times New Roman" w:hAnsi="Times New Roman" w:eastAsia="宋体" w:cs="Times New Roman"/>
          <w:color w:val="231F20"/>
          <w:spacing w:val="8"/>
          <w:sz w:val="24"/>
          <w:szCs w:val="24"/>
        </w:rPr>
        <w:t>事、金融、外交等领域</w:t>
      </w:r>
      <w:r>
        <w:rPr>
          <w:rFonts w:hint="default" w:ascii="Times New Roman" w:hAnsi="Times New Roman" w:eastAsia="宋体" w:cs="Times New Roman"/>
          <w:color w:val="231F20"/>
          <w:spacing w:val="13"/>
          <w:sz w:val="24"/>
          <w:szCs w:val="24"/>
        </w:rPr>
        <w:t>的应对方案十分必要。鉴于债务高企的帝国主义国家往往会以发动战争的方式抵消自身债</w:t>
      </w:r>
      <w:r>
        <w:rPr>
          <w:rFonts w:hint="default" w:ascii="Times New Roman" w:hAnsi="Times New Roman" w:eastAsia="宋体" w:cs="Times New Roman"/>
          <w:color w:val="231F20"/>
          <w:spacing w:val="9"/>
          <w:sz w:val="24"/>
          <w:szCs w:val="24"/>
        </w:rPr>
        <w:t>务，要深入研究俄乌冲突中美西方对俄罗斯的制裁手段及其影响，做足防范预案。三要妥</w:t>
      </w:r>
      <w:r>
        <w:rPr>
          <w:rFonts w:hint="default" w:ascii="Times New Roman" w:hAnsi="Times New Roman" w:eastAsia="宋体" w:cs="Times New Roman"/>
          <w:color w:val="231F20"/>
          <w:spacing w:val="12"/>
          <w:sz w:val="24"/>
          <w:szCs w:val="24"/>
        </w:rPr>
        <w:t>善应对特朗普第二任期对华升级贸易摩擦所致的影响。特</w:t>
      </w:r>
      <w:r>
        <w:rPr>
          <w:rFonts w:hint="default" w:ascii="Times New Roman" w:hAnsi="Times New Roman" w:eastAsia="宋体" w:cs="Times New Roman"/>
          <w:color w:val="231F20"/>
          <w:spacing w:val="11"/>
          <w:sz w:val="24"/>
          <w:szCs w:val="24"/>
        </w:rPr>
        <w:t>朗普政府把关税与产业回流、对华遏制、重塑国际分工、维护经济安全深度链接，意在改变全球贸易、投资和资金流向，遏制中国经济的发展。对此，中国应以国际政治经济学理论和政策措施为基点，注重对美</w:t>
      </w:r>
      <w:r>
        <w:rPr>
          <w:rFonts w:hint="default" w:ascii="Times New Roman" w:hAnsi="Times New Roman" w:eastAsia="宋体" w:cs="Times New Roman"/>
          <w:color w:val="231F20"/>
          <w:spacing w:val="12"/>
          <w:sz w:val="24"/>
          <w:szCs w:val="24"/>
        </w:rPr>
        <w:t>贸易平衡问题。特朗普发动贸易战的借口之一是中</w:t>
      </w:r>
      <w:r>
        <w:rPr>
          <w:rFonts w:hint="default" w:ascii="Times New Roman" w:hAnsi="Times New Roman" w:eastAsia="宋体" w:cs="Times New Roman"/>
          <w:color w:val="231F20"/>
          <w:spacing w:val="11"/>
          <w:sz w:val="24"/>
          <w:szCs w:val="24"/>
        </w:rPr>
        <w:t>国对美国有大量贸易顺差，因此破解的</w:t>
      </w:r>
      <w:r>
        <w:rPr>
          <w:rFonts w:hint="default" w:ascii="Times New Roman" w:hAnsi="Times New Roman" w:eastAsia="宋体" w:cs="Times New Roman"/>
          <w:color w:val="231F20"/>
          <w:spacing w:val="7"/>
          <w:sz w:val="24"/>
          <w:szCs w:val="24"/>
        </w:rPr>
        <w:t>关键是在中美贸易中树立贸易平衡的理念，而非一</w:t>
      </w:r>
      <w:r>
        <w:rPr>
          <w:rFonts w:hint="default" w:ascii="Times New Roman" w:hAnsi="Times New Roman" w:eastAsia="宋体" w:cs="Times New Roman"/>
          <w:color w:val="231F20"/>
          <w:spacing w:val="6"/>
          <w:sz w:val="24"/>
          <w:szCs w:val="24"/>
        </w:rPr>
        <w:t>味追求贸易顺差。同时，与欧盟、亚洲、</w:t>
      </w:r>
      <w:r>
        <w:rPr>
          <w:rFonts w:hint="default" w:ascii="Times New Roman" w:hAnsi="Times New Roman" w:eastAsia="宋体" w:cs="Times New Roman"/>
          <w:color w:val="231F20"/>
          <w:spacing w:val="11"/>
          <w:sz w:val="24"/>
          <w:szCs w:val="24"/>
        </w:rPr>
        <w:t>非洲和拉美等国家和地区建立更加紧密的贸易关系，推动多边和全方位贸易合作，以减轻</w:t>
      </w:r>
      <w:r>
        <w:rPr>
          <w:rFonts w:hint="default" w:ascii="Times New Roman" w:hAnsi="Times New Roman" w:eastAsia="宋体" w:cs="Times New Roman"/>
          <w:color w:val="231F20"/>
          <w:spacing w:val="10"/>
          <w:sz w:val="24"/>
          <w:szCs w:val="24"/>
        </w:rPr>
        <w:t>对美国市场的依赖。此外，应在中国国内扎实推动共同富裕。坚持人民至上的根本价值取</w:t>
      </w:r>
      <w:r>
        <w:rPr>
          <w:rFonts w:hint="default" w:ascii="Times New Roman" w:hAnsi="Times New Roman" w:eastAsia="宋体" w:cs="Times New Roman"/>
          <w:color w:val="231F20"/>
          <w:spacing w:val="6"/>
          <w:sz w:val="24"/>
          <w:szCs w:val="24"/>
        </w:rPr>
        <w:t>向，以人本逻辑超越资本逻辑（孙业霞和王怡然，2023</w:t>
      </w:r>
      <w:r>
        <w:rPr>
          <w:rFonts w:hint="default" w:ascii="Times New Roman" w:hAnsi="Times New Roman" w:eastAsia="宋体" w:cs="Times New Roman"/>
          <w:color w:val="231F20"/>
          <w:spacing w:val="-69"/>
          <w:sz w:val="24"/>
          <w:szCs w:val="24"/>
        </w:rPr>
        <w:t>），</w:t>
      </w:r>
      <w:r>
        <w:rPr>
          <w:rFonts w:hint="default" w:ascii="Times New Roman" w:hAnsi="Times New Roman" w:eastAsia="宋体" w:cs="Times New Roman"/>
          <w:color w:val="231F20"/>
          <w:spacing w:val="6"/>
          <w:sz w:val="24"/>
          <w:szCs w:val="24"/>
        </w:rPr>
        <w:t>缩小贫富差距，提高国民</w:t>
      </w:r>
      <w:r>
        <w:rPr>
          <w:rFonts w:hint="default" w:ascii="Times New Roman" w:hAnsi="Times New Roman" w:eastAsia="宋体" w:cs="Times New Roman"/>
          <w:color w:val="231F20"/>
          <w:spacing w:val="5"/>
          <w:sz w:val="24"/>
          <w:szCs w:val="24"/>
        </w:rPr>
        <w:t>购买力</w:t>
      </w:r>
      <w:r>
        <w:rPr>
          <w:rFonts w:hint="default" w:ascii="Times New Roman" w:hAnsi="Times New Roman" w:eastAsia="宋体" w:cs="Times New Roman"/>
          <w:color w:val="231F20"/>
          <w:spacing w:val="6"/>
          <w:sz w:val="24"/>
          <w:szCs w:val="24"/>
        </w:rPr>
        <w:t>和消费力，以此扩大内需，筑牢抵御美国对华贸易战、金融战的国计民生基础。</w:t>
      </w:r>
    </w:p>
    <w:p w14:paraId="3FBD7BAC">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再次，坚定不移地支持公正的经济全球化，深化区域经济一体化。在经济全球化时代，</w:t>
      </w:r>
      <w:r>
        <w:rPr>
          <w:rFonts w:hint="default" w:ascii="Times New Roman" w:hAnsi="Times New Roman" w:eastAsia="宋体" w:cs="Times New Roman"/>
          <w:color w:val="231F20"/>
          <w:spacing w:val="9"/>
          <w:sz w:val="24"/>
          <w:szCs w:val="24"/>
        </w:rPr>
        <w:t>开放融通是不可阻挡的历史趋势。2024年，中国牵头123个世贸组织成</w:t>
      </w:r>
      <w:r>
        <w:rPr>
          <w:rFonts w:hint="default" w:ascii="Times New Roman" w:hAnsi="Times New Roman" w:eastAsia="宋体" w:cs="Times New Roman"/>
          <w:color w:val="231F20"/>
          <w:spacing w:val="8"/>
          <w:sz w:val="24"/>
          <w:szCs w:val="24"/>
        </w:rPr>
        <w:t>员正式达成《促进</w:t>
      </w:r>
      <w:r>
        <w:rPr>
          <w:rFonts w:hint="default" w:ascii="Times New Roman" w:hAnsi="Times New Roman" w:eastAsia="宋体" w:cs="Times New Roman"/>
          <w:color w:val="231F20"/>
          <w:spacing w:val="5"/>
          <w:sz w:val="24"/>
          <w:szCs w:val="24"/>
        </w:rPr>
        <w:t>发展的投资便利化协定》，以提高投资措施的透明度、简化相关审</w:t>
      </w:r>
      <w:r>
        <w:rPr>
          <w:rFonts w:hint="default" w:ascii="Times New Roman" w:hAnsi="Times New Roman" w:eastAsia="宋体" w:cs="Times New Roman"/>
          <w:color w:val="231F20"/>
          <w:spacing w:val="4"/>
          <w:sz w:val="24"/>
          <w:szCs w:val="24"/>
        </w:rPr>
        <w:t>批程序、促进跨境投资合作、推动全球投资流动更加顺畅。中国还正式</w:t>
      </w:r>
      <w:r>
        <w:rPr>
          <w:rFonts w:hint="default" w:ascii="Times New Roman" w:hAnsi="Times New Roman" w:eastAsia="宋体" w:cs="Times New Roman"/>
          <w:color w:val="231F20"/>
          <w:spacing w:val="3"/>
          <w:sz w:val="24"/>
          <w:szCs w:val="24"/>
        </w:rPr>
        <w:t>申请加入《数字经济伙伴关系协定》，积极参</w:t>
      </w:r>
      <w:r>
        <w:rPr>
          <w:rFonts w:hint="default" w:ascii="Times New Roman" w:hAnsi="Times New Roman" w:eastAsia="宋体" w:cs="Times New Roman"/>
          <w:color w:val="231F20"/>
          <w:spacing w:val="10"/>
          <w:sz w:val="24"/>
          <w:szCs w:val="24"/>
        </w:rPr>
        <w:t>与全球经济治理，致力于为推动全球经济发展作贡</w:t>
      </w:r>
      <w:r>
        <w:rPr>
          <w:rFonts w:hint="default" w:ascii="Times New Roman" w:hAnsi="Times New Roman" w:eastAsia="宋体" w:cs="Times New Roman"/>
          <w:color w:val="231F20"/>
          <w:spacing w:val="9"/>
          <w:sz w:val="24"/>
          <w:szCs w:val="24"/>
        </w:rPr>
        <w:t>献。然而，近年来，由于单边主义和保</w:t>
      </w:r>
      <w:r>
        <w:rPr>
          <w:rFonts w:hint="default" w:ascii="Times New Roman" w:hAnsi="Times New Roman" w:eastAsia="宋体" w:cs="Times New Roman"/>
          <w:color w:val="231F20"/>
          <w:spacing w:val="10"/>
          <w:sz w:val="24"/>
          <w:szCs w:val="24"/>
        </w:rPr>
        <w:t>护主义势力抬头，逆全球化思潮升温，对多边主义和自</w:t>
      </w:r>
      <w:r>
        <w:rPr>
          <w:rFonts w:hint="default" w:ascii="Times New Roman" w:hAnsi="Times New Roman" w:eastAsia="宋体" w:cs="Times New Roman"/>
          <w:color w:val="231F20"/>
          <w:spacing w:val="9"/>
          <w:sz w:val="24"/>
          <w:szCs w:val="24"/>
        </w:rPr>
        <w:t>由贸易体制造成严重冲击。在此背</w:t>
      </w:r>
      <w:r>
        <w:rPr>
          <w:rFonts w:hint="default" w:ascii="Times New Roman" w:hAnsi="Times New Roman" w:eastAsia="宋体" w:cs="Times New Roman"/>
          <w:color w:val="231F20"/>
          <w:spacing w:val="8"/>
          <w:sz w:val="24"/>
          <w:szCs w:val="24"/>
        </w:rPr>
        <w:t>景下，中国应继续坚持经济全球化的正确方向，维护多元稳</w:t>
      </w:r>
      <w:r>
        <w:rPr>
          <w:rFonts w:hint="default" w:ascii="Times New Roman" w:hAnsi="Times New Roman" w:eastAsia="宋体" w:cs="Times New Roman"/>
          <w:color w:val="231F20"/>
          <w:spacing w:val="7"/>
          <w:sz w:val="24"/>
          <w:szCs w:val="24"/>
        </w:rPr>
        <w:t>定的国际经济格局和经贸关系，</w:t>
      </w:r>
      <w:r>
        <w:rPr>
          <w:rFonts w:hint="default" w:ascii="Times New Roman" w:hAnsi="Times New Roman" w:eastAsia="宋体" w:cs="Times New Roman"/>
          <w:color w:val="231F20"/>
          <w:spacing w:val="11"/>
          <w:sz w:val="24"/>
          <w:szCs w:val="24"/>
        </w:rPr>
        <w:t>不断提升自力更生主导的对外开放质量和安全度，健全更加独立的货币发行权（币权与政</w:t>
      </w:r>
      <w:r>
        <w:rPr>
          <w:rFonts w:hint="default" w:ascii="Times New Roman" w:hAnsi="Times New Roman" w:eastAsia="宋体" w:cs="Times New Roman"/>
          <w:color w:val="231F20"/>
          <w:spacing w:val="3"/>
          <w:sz w:val="24"/>
          <w:szCs w:val="24"/>
        </w:rPr>
        <w:t>权、军权、技权、舆权均很重要）。在加快构建新发展格局的同时，深入推进</w:t>
      </w:r>
      <w:r>
        <w:rPr>
          <w:rFonts w:hint="default" w:ascii="Times New Roman" w:hAnsi="Times New Roman" w:eastAsia="宋体" w:cs="Times New Roman"/>
          <w:color w:val="231F20"/>
          <w:spacing w:val="2"/>
          <w:sz w:val="24"/>
          <w:szCs w:val="24"/>
        </w:rPr>
        <w:t>区域经济一体</w:t>
      </w:r>
      <w:r>
        <w:rPr>
          <w:rFonts w:hint="default" w:ascii="Times New Roman" w:hAnsi="Times New Roman" w:eastAsia="宋体" w:cs="Times New Roman"/>
          <w:color w:val="231F20"/>
          <w:spacing w:val="14"/>
          <w:sz w:val="24"/>
          <w:szCs w:val="24"/>
        </w:rPr>
        <w:t>化，推动贸易和投资自由化、便利化，全面落</w:t>
      </w:r>
      <w:r>
        <w:rPr>
          <w:rFonts w:hint="default" w:ascii="Times New Roman" w:hAnsi="Times New Roman" w:eastAsia="宋体" w:cs="Times New Roman"/>
          <w:color w:val="231F20"/>
          <w:spacing w:val="13"/>
          <w:sz w:val="24"/>
          <w:szCs w:val="24"/>
        </w:rPr>
        <w:t>实《亚太经合组织互联互通蓝图（2015—</w:t>
      </w:r>
      <w:r>
        <w:rPr>
          <w:rFonts w:hint="default" w:ascii="Times New Roman" w:hAnsi="Times New Roman" w:eastAsia="宋体" w:cs="Times New Roman"/>
          <w:color w:val="231F20"/>
          <w:spacing w:val="-1"/>
          <w:sz w:val="24"/>
          <w:szCs w:val="24"/>
        </w:rPr>
        <w:t>2025）》，共享区域开放发展机遇。</w:t>
      </w:r>
    </w:p>
    <w:p w14:paraId="6EDA356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1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最后，高质量共建“一带一路”，推动地区合作机制迈向</w:t>
      </w:r>
      <w:r>
        <w:rPr>
          <w:rFonts w:hint="default" w:ascii="Times New Roman" w:hAnsi="Times New Roman" w:eastAsia="宋体" w:cs="Times New Roman"/>
          <w:color w:val="231F20"/>
          <w:spacing w:val="8"/>
          <w:sz w:val="24"/>
          <w:szCs w:val="24"/>
        </w:rPr>
        <w:t>新高度。从2013年提出“一</w:t>
      </w:r>
      <w:r>
        <w:rPr>
          <w:rFonts w:hint="default" w:ascii="Times New Roman" w:hAnsi="Times New Roman" w:eastAsia="宋体" w:cs="Times New Roman"/>
          <w:color w:val="231F20"/>
          <w:spacing w:val="7"/>
          <w:sz w:val="24"/>
          <w:szCs w:val="24"/>
        </w:rPr>
        <w:t>带一路”倡议至2022年的10年间，中国与共建</w:t>
      </w:r>
      <w:r>
        <w:rPr>
          <w:rFonts w:hint="default" w:ascii="Times New Roman" w:hAnsi="Times New Roman" w:eastAsia="宋体" w:cs="Times New Roman"/>
          <w:color w:val="231F20"/>
          <w:spacing w:val="6"/>
          <w:sz w:val="24"/>
          <w:szCs w:val="24"/>
        </w:rPr>
        <w:t>国家进出口贸易总额累计达19.1万亿美元，</w:t>
      </w:r>
      <w:r>
        <w:rPr>
          <w:rFonts w:hint="default" w:ascii="Times New Roman" w:hAnsi="Times New Roman" w:eastAsia="宋体" w:cs="Times New Roman"/>
          <w:color w:val="231F20"/>
          <w:spacing w:val="8"/>
          <w:sz w:val="24"/>
          <w:szCs w:val="24"/>
        </w:rPr>
        <w:t>与共建国家双向投资额累计超过3800亿美元。中国在共建国家的承包工程年均完成营业额</w:t>
      </w:r>
      <w:r>
        <w:rPr>
          <w:rFonts w:hint="default" w:ascii="Times New Roman" w:hAnsi="Times New Roman" w:eastAsia="宋体" w:cs="Times New Roman"/>
          <w:color w:val="231F20"/>
          <w:spacing w:val="5"/>
          <w:sz w:val="24"/>
          <w:szCs w:val="24"/>
        </w:rPr>
        <w:t>约1300亿美元，建设了中老铁路、雅万高铁等</w:t>
      </w:r>
      <w:r>
        <w:rPr>
          <w:rFonts w:hint="default" w:ascii="Times New Roman" w:hAnsi="Times New Roman" w:eastAsia="宋体" w:cs="Times New Roman"/>
          <w:color w:val="231F20"/>
          <w:spacing w:val="4"/>
          <w:sz w:val="24"/>
          <w:szCs w:val="24"/>
        </w:rPr>
        <w:t>一系列标志性项目。</w:t>
      </w:r>
      <w:r>
        <w:rPr>
          <w:rFonts w:hint="default" w:ascii="Times New Roman" w:hAnsi="Times New Roman" w:eastAsia="宋体" w:cs="Times New Roman"/>
          <w:color w:val="231F20"/>
          <w:spacing w:val="4"/>
          <w:sz w:val="32"/>
          <w:szCs w:val="32"/>
          <w:vertAlign w:val="superscript"/>
        </w:rPr>
        <w:t>⑳</w:t>
      </w:r>
      <w:r>
        <w:rPr>
          <w:rFonts w:hint="default" w:ascii="Times New Roman" w:hAnsi="Times New Roman" w:eastAsia="宋体" w:cs="Times New Roman"/>
          <w:color w:val="231F20"/>
          <w:spacing w:val="4"/>
          <w:sz w:val="24"/>
          <w:szCs w:val="24"/>
        </w:rPr>
        <w:t>截至本文完稿时，已</w:t>
      </w:r>
      <w:r>
        <w:rPr>
          <w:rFonts w:hint="default" w:ascii="Times New Roman" w:hAnsi="Times New Roman" w:eastAsia="宋体" w:cs="Times New Roman"/>
          <w:color w:val="231F20"/>
          <w:spacing w:val="9"/>
          <w:sz w:val="24"/>
          <w:szCs w:val="24"/>
        </w:rPr>
        <w:t>有150多个国家和30多个国际组织加入共建“一带一路”倡议。作为广受发展中国家称赞</w:t>
      </w:r>
      <w:r>
        <w:rPr>
          <w:rFonts w:hint="default" w:ascii="Times New Roman" w:hAnsi="Times New Roman" w:eastAsia="宋体" w:cs="Times New Roman"/>
          <w:color w:val="231F20"/>
          <w:spacing w:val="11"/>
          <w:sz w:val="24"/>
          <w:szCs w:val="24"/>
        </w:rPr>
        <w:t>的国际公共产品、构建人类命运共同体的重要实践平台</w:t>
      </w:r>
      <w:r>
        <w:rPr>
          <w:rFonts w:hint="default" w:ascii="Times New Roman" w:hAnsi="Times New Roman" w:eastAsia="宋体" w:cs="Times New Roman"/>
          <w:color w:val="231F20"/>
          <w:spacing w:val="10"/>
          <w:sz w:val="24"/>
          <w:szCs w:val="24"/>
        </w:rPr>
        <w:t>，共建“一带一路”倡议为推动平</w:t>
      </w:r>
      <w:r>
        <w:rPr>
          <w:rFonts w:hint="default" w:ascii="Times New Roman" w:hAnsi="Times New Roman" w:eastAsia="宋体" w:cs="Times New Roman"/>
          <w:color w:val="231F20"/>
          <w:spacing w:val="11"/>
          <w:sz w:val="24"/>
          <w:szCs w:val="24"/>
        </w:rPr>
        <w:t>等互利的国际合作、完善全球治理体系提供了中国方案。此外，中国一直大力推动金砖合</w:t>
      </w:r>
      <w:r>
        <w:rPr>
          <w:rFonts w:hint="default" w:ascii="Times New Roman" w:hAnsi="Times New Roman" w:eastAsia="宋体" w:cs="Times New Roman"/>
          <w:color w:val="231F20"/>
          <w:spacing w:val="12"/>
          <w:sz w:val="24"/>
          <w:szCs w:val="24"/>
        </w:rPr>
        <w:t>作机制、上海合作组织等的发展。金砖合作机制是新兴市场国家和发展中国家加强团结合</w:t>
      </w:r>
      <w:r>
        <w:rPr>
          <w:rFonts w:hint="default" w:ascii="Times New Roman" w:hAnsi="Times New Roman" w:eastAsia="宋体" w:cs="Times New Roman"/>
          <w:color w:val="231F20"/>
          <w:spacing w:val="1"/>
          <w:sz w:val="24"/>
          <w:szCs w:val="24"/>
        </w:rPr>
        <w:t>作、维护共同利益的重要平台。从2024年1月1日起，埃及、阿联酋、伊朗</w:t>
      </w:r>
      <w:r>
        <w:rPr>
          <w:rFonts w:hint="default" w:ascii="Times New Roman" w:hAnsi="Times New Roman" w:eastAsia="宋体" w:cs="Times New Roman"/>
          <w:color w:val="231F20"/>
          <w:sz w:val="24"/>
          <w:szCs w:val="24"/>
        </w:rPr>
        <w:t>、埃塞俄比亚，</w:t>
      </w:r>
      <w:r>
        <w:rPr>
          <w:rFonts w:hint="default" w:ascii="Times New Roman" w:hAnsi="Times New Roman" w:eastAsia="宋体" w:cs="Times New Roman"/>
          <w:color w:val="231F20"/>
          <w:spacing w:val="5"/>
          <w:sz w:val="24"/>
          <w:szCs w:val="24"/>
        </w:rPr>
        <w:t>2025年1月，印尼成为金砖国家正式成</w:t>
      </w:r>
      <w:r>
        <w:rPr>
          <w:rFonts w:hint="default" w:ascii="Times New Roman" w:hAnsi="Times New Roman" w:eastAsia="宋体" w:cs="Times New Roman"/>
          <w:color w:val="231F20"/>
          <w:spacing w:val="4"/>
          <w:sz w:val="24"/>
          <w:szCs w:val="24"/>
        </w:rPr>
        <w:t>员，金砖成员国数量从5个增加到10个，还有30多</w:t>
      </w:r>
      <w:r>
        <w:rPr>
          <w:rFonts w:hint="default" w:ascii="Times New Roman" w:hAnsi="Times New Roman" w:eastAsia="宋体" w:cs="Times New Roman"/>
          <w:color w:val="231F20"/>
          <w:spacing w:val="8"/>
          <w:sz w:val="24"/>
          <w:szCs w:val="24"/>
        </w:rPr>
        <w:t>个国家提出书面申请，希望加入金砖合作机制。以此次扩员为新起点，这一机制进入“大</w:t>
      </w:r>
      <w:r>
        <w:rPr>
          <w:rFonts w:hint="default" w:ascii="Times New Roman" w:hAnsi="Times New Roman" w:eastAsia="宋体" w:cs="Times New Roman"/>
          <w:color w:val="231F20"/>
          <w:spacing w:val="6"/>
          <w:sz w:val="24"/>
          <w:szCs w:val="24"/>
        </w:rPr>
        <w:t>金砖合作”新时代。2024年7月4日，在哈萨克斯坦首都阿斯塔</w:t>
      </w:r>
      <w:r>
        <w:rPr>
          <w:rFonts w:hint="default" w:ascii="Times New Roman" w:hAnsi="Times New Roman" w:eastAsia="宋体" w:cs="Times New Roman"/>
          <w:color w:val="231F20"/>
          <w:spacing w:val="5"/>
          <w:sz w:val="24"/>
          <w:szCs w:val="24"/>
        </w:rPr>
        <w:t>纳举行的上海合作组织成员</w:t>
      </w:r>
      <w:r>
        <w:rPr>
          <w:rFonts w:hint="default" w:ascii="Times New Roman" w:hAnsi="Times New Roman" w:eastAsia="宋体" w:cs="Times New Roman"/>
          <w:color w:val="231F20"/>
          <w:spacing w:val="9"/>
          <w:sz w:val="24"/>
          <w:szCs w:val="24"/>
        </w:rPr>
        <w:t>国元首理事会第二十四次会议正式接收白俄罗斯为成员国。至此，上海合作组织已拥有10</w:t>
      </w:r>
      <w:r>
        <w:rPr>
          <w:rFonts w:hint="default" w:ascii="Times New Roman" w:hAnsi="Times New Roman" w:eastAsia="宋体" w:cs="Times New Roman"/>
          <w:color w:val="231F20"/>
          <w:spacing w:val="11"/>
          <w:sz w:val="24"/>
          <w:szCs w:val="24"/>
        </w:rPr>
        <w:t>个正式成员国、2个观察员国和14个对话伙伴。不断发展壮大的上海合作组织将为维护世</w:t>
      </w:r>
      <w:r>
        <w:rPr>
          <w:rFonts w:hint="default" w:ascii="Times New Roman" w:hAnsi="Times New Roman" w:eastAsia="宋体" w:cs="Times New Roman"/>
          <w:color w:val="231F20"/>
          <w:spacing w:val="12"/>
          <w:sz w:val="24"/>
          <w:szCs w:val="24"/>
        </w:rPr>
        <w:t>界和平与发展注入更多确定性和正能量。为更好</w:t>
      </w:r>
      <w:r>
        <w:rPr>
          <w:rFonts w:hint="default" w:ascii="Times New Roman" w:hAnsi="Times New Roman" w:eastAsia="宋体" w:cs="Times New Roman"/>
          <w:color w:val="231F20"/>
          <w:spacing w:val="11"/>
          <w:sz w:val="24"/>
          <w:szCs w:val="24"/>
        </w:rPr>
        <w:t>地推动经贸关系发展，当务之急是推动中</w:t>
      </w:r>
      <w:r>
        <w:rPr>
          <w:rFonts w:hint="default" w:ascii="Times New Roman" w:hAnsi="Times New Roman" w:eastAsia="宋体" w:cs="Times New Roman"/>
          <w:color w:val="231F20"/>
          <w:spacing w:val="12"/>
          <w:sz w:val="24"/>
          <w:szCs w:val="24"/>
        </w:rPr>
        <w:t>俄等国尽快建立独立于美元和欧元的新的国际结算体系。</w:t>
      </w:r>
      <w:r>
        <w:rPr>
          <w:rFonts w:hint="default" w:ascii="Times New Roman" w:hAnsi="Times New Roman" w:eastAsia="宋体" w:cs="Times New Roman"/>
          <w:color w:val="231F20"/>
          <w:spacing w:val="11"/>
          <w:sz w:val="24"/>
          <w:szCs w:val="24"/>
        </w:rPr>
        <w:t>未来，中国须继续推动共建“一</w:t>
      </w:r>
      <w:r>
        <w:rPr>
          <w:rFonts w:hint="default" w:ascii="Times New Roman" w:hAnsi="Times New Roman" w:eastAsia="宋体" w:cs="Times New Roman"/>
          <w:color w:val="231F20"/>
          <w:spacing w:val="7"/>
          <w:sz w:val="24"/>
          <w:szCs w:val="24"/>
        </w:rPr>
        <w:t>带一路”倡议、金砖合作机制和上海合作组织等平台，为构建新型国际关系作</w:t>
      </w:r>
      <w:r>
        <w:rPr>
          <w:rFonts w:hint="default" w:ascii="Times New Roman" w:hAnsi="Times New Roman" w:eastAsia="宋体" w:cs="Times New Roman"/>
          <w:color w:val="231F20"/>
          <w:spacing w:val="6"/>
          <w:sz w:val="24"/>
          <w:szCs w:val="24"/>
        </w:rPr>
        <w:t>出贡献。</w:t>
      </w:r>
    </w:p>
    <w:p w14:paraId="3BA68E35">
      <w:pPr>
        <w:pStyle w:val="4"/>
        <w:bidi w:val="0"/>
        <w:rPr>
          <w:rFonts w:hint="default"/>
        </w:rPr>
      </w:pPr>
      <w:r>
        <w:rPr>
          <w:rFonts w:hint="default"/>
        </w:rPr>
        <w:t>五、结语</w:t>
      </w:r>
    </w:p>
    <w:p w14:paraId="33DBEF93">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“印太”概念并非美国首先提出和使用，但美国用“印太”替代“亚太”，意在扩大其</w:t>
      </w:r>
      <w:r>
        <w:rPr>
          <w:rFonts w:hint="default" w:ascii="Times New Roman" w:hAnsi="Times New Roman" w:eastAsia="宋体" w:cs="Times New Roman"/>
          <w:color w:val="231F20"/>
          <w:spacing w:val="13"/>
          <w:sz w:val="24"/>
          <w:szCs w:val="24"/>
        </w:rPr>
        <w:t>主导下的安全架构范围。“印太战略”是特朗普第一任期以来美国国家安全战略的重要内</w:t>
      </w:r>
      <w:r>
        <w:rPr>
          <w:rFonts w:hint="default" w:ascii="Times New Roman" w:hAnsi="Times New Roman" w:eastAsia="宋体" w:cs="Times New Roman"/>
          <w:color w:val="231F20"/>
          <w:spacing w:val="4"/>
          <w:sz w:val="24"/>
          <w:szCs w:val="24"/>
        </w:rPr>
        <w:t>容，其目的在于维持美国的霸权优势、遏制中国的发展。为了推进“印太战略”，美国推行了集团政治，从强化“五眼联盟”到推进“四边机制”，从拼凑“三边安全伙</w:t>
      </w:r>
      <w:r>
        <w:rPr>
          <w:rFonts w:hint="default" w:ascii="Times New Roman" w:hAnsi="Times New Roman" w:eastAsia="宋体" w:cs="Times New Roman"/>
          <w:color w:val="231F20"/>
          <w:spacing w:val="3"/>
          <w:sz w:val="24"/>
          <w:szCs w:val="24"/>
        </w:rPr>
        <w:t>伴关系”到收</w:t>
      </w:r>
      <w:r>
        <w:rPr>
          <w:rFonts w:hint="default" w:ascii="Times New Roman" w:hAnsi="Times New Roman" w:eastAsia="宋体" w:cs="Times New Roman"/>
          <w:color w:val="231F20"/>
          <w:spacing w:val="10"/>
          <w:sz w:val="24"/>
          <w:szCs w:val="24"/>
        </w:rPr>
        <w:t>紧双边军事同盟，使得印太地区原有安全格局遭到严重冲击</w:t>
      </w:r>
      <w:r>
        <w:rPr>
          <w:rFonts w:hint="default" w:ascii="Times New Roman" w:hAnsi="Times New Roman" w:eastAsia="宋体" w:cs="Times New Roman"/>
          <w:color w:val="231F20"/>
          <w:spacing w:val="9"/>
          <w:sz w:val="24"/>
          <w:szCs w:val="24"/>
        </w:rPr>
        <w:t>。不仅如此，美国还试图把各</w:t>
      </w:r>
      <w:r>
        <w:rPr>
          <w:rFonts w:hint="default" w:ascii="Times New Roman" w:hAnsi="Times New Roman" w:eastAsia="宋体" w:cs="Times New Roman"/>
          <w:color w:val="231F20"/>
          <w:spacing w:val="12"/>
          <w:sz w:val="24"/>
          <w:szCs w:val="24"/>
        </w:rPr>
        <w:t>个小多边集团进行嵌套式组合，打造一个更广泛且有层次的同盟体系，以此构筑符合自身</w:t>
      </w:r>
      <w:r>
        <w:rPr>
          <w:rFonts w:hint="default" w:ascii="Times New Roman" w:hAnsi="Times New Roman" w:eastAsia="宋体" w:cs="Times New Roman"/>
          <w:color w:val="231F20"/>
          <w:spacing w:val="13"/>
          <w:sz w:val="24"/>
          <w:szCs w:val="24"/>
        </w:rPr>
        <w:t>利益的地区秩序。在经济上，美国通过加强与印太</w:t>
      </w:r>
      <w:r>
        <w:rPr>
          <w:rFonts w:hint="default" w:ascii="Times New Roman" w:hAnsi="Times New Roman" w:eastAsia="宋体" w:cs="Times New Roman"/>
          <w:color w:val="231F20"/>
          <w:spacing w:val="12"/>
          <w:sz w:val="24"/>
          <w:szCs w:val="24"/>
        </w:rPr>
        <w:t>地区国家的经贸关系，重塑地区环境，</w:t>
      </w:r>
      <w:r>
        <w:rPr>
          <w:rFonts w:hint="default" w:ascii="Times New Roman" w:hAnsi="Times New Roman" w:eastAsia="宋体" w:cs="Times New Roman"/>
          <w:color w:val="231F20"/>
          <w:spacing w:val="7"/>
          <w:sz w:val="24"/>
          <w:szCs w:val="24"/>
        </w:rPr>
        <w:t>重组产业链体系，试图让地区国家与中国在经济与科技上“脱钩断</w:t>
      </w:r>
      <w:r>
        <w:rPr>
          <w:rFonts w:hint="default" w:ascii="Times New Roman" w:hAnsi="Times New Roman" w:eastAsia="宋体" w:cs="Times New Roman"/>
          <w:color w:val="231F20"/>
          <w:spacing w:val="6"/>
          <w:sz w:val="24"/>
          <w:szCs w:val="24"/>
        </w:rPr>
        <w:t>链”，遏制中国不断增强</w:t>
      </w:r>
      <w:r>
        <w:rPr>
          <w:rFonts w:hint="default" w:ascii="Times New Roman" w:hAnsi="Times New Roman" w:eastAsia="宋体" w:cs="Times New Roman"/>
          <w:color w:val="231F20"/>
          <w:spacing w:val="1"/>
          <w:sz w:val="24"/>
          <w:szCs w:val="24"/>
        </w:rPr>
        <w:t>的经济实力。“印太战略”的实施，标志着美国对华政策由“接触”（</w:t>
      </w:r>
      <w:r>
        <w:rPr>
          <w:rFonts w:hint="default" w:ascii="Times New Roman" w:hAnsi="Times New Roman" w:eastAsia="宋体" w:cs="Times New Roman"/>
          <w:color w:val="231F20"/>
          <w:sz w:val="24"/>
          <w:szCs w:val="24"/>
        </w:rPr>
        <w:t>engagement</w:t>
      </w:r>
      <w:r>
        <w:rPr>
          <w:rFonts w:hint="default" w:ascii="Times New Roman" w:hAnsi="Times New Roman" w:eastAsia="宋体" w:cs="Times New Roman"/>
          <w:color w:val="231F20"/>
          <w:spacing w:val="1"/>
          <w:sz w:val="24"/>
          <w:szCs w:val="24"/>
        </w:rPr>
        <w:t>）调整为遏</w:t>
      </w:r>
      <w:r>
        <w:rPr>
          <w:rFonts w:hint="default" w:ascii="Times New Roman" w:hAnsi="Times New Roman" w:eastAsia="宋体" w:cs="Times New Roman"/>
          <w:color w:val="231F20"/>
          <w:spacing w:val="-5"/>
          <w:sz w:val="24"/>
          <w:szCs w:val="24"/>
        </w:rPr>
        <w:t>制与规锁（confinement）。</w:t>
      </w:r>
    </w:p>
    <w:p w14:paraId="1EBA64BB">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“印太战略”损害了地区国家的整体和长远利益，</w:t>
      </w:r>
      <w:r>
        <w:rPr>
          <w:rFonts w:hint="default" w:ascii="Times New Roman" w:hAnsi="Times New Roman" w:eastAsia="宋体" w:cs="Times New Roman"/>
          <w:color w:val="231F20"/>
          <w:spacing w:val="6"/>
          <w:sz w:val="24"/>
          <w:szCs w:val="24"/>
        </w:rPr>
        <w:t>具有浓厚的“新冷战”色彩，是零和</w:t>
      </w:r>
      <w:r>
        <w:rPr>
          <w:rFonts w:hint="default" w:ascii="Times New Roman" w:hAnsi="Times New Roman" w:eastAsia="宋体" w:cs="Times New Roman"/>
          <w:color w:val="231F20"/>
          <w:spacing w:val="10"/>
          <w:sz w:val="24"/>
          <w:szCs w:val="24"/>
        </w:rPr>
        <w:t>思维的典型表现。随着印太大国博弈的加剧，地区国</w:t>
      </w:r>
      <w:r>
        <w:rPr>
          <w:rFonts w:hint="default" w:ascii="Times New Roman" w:hAnsi="Times New Roman" w:eastAsia="宋体" w:cs="Times New Roman"/>
          <w:color w:val="231F20"/>
          <w:spacing w:val="9"/>
          <w:sz w:val="24"/>
          <w:szCs w:val="24"/>
        </w:rPr>
        <w:t>家陷入选边站队的困境，以东盟为中</w:t>
      </w:r>
      <w:r>
        <w:rPr>
          <w:rFonts w:hint="default" w:ascii="Times New Roman" w:hAnsi="Times New Roman" w:eastAsia="宋体" w:cs="Times New Roman"/>
          <w:color w:val="231F20"/>
          <w:spacing w:val="10"/>
          <w:sz w:val="24"/>
          <w:szCs w:val="24"/>
        </w:rPr>
        <w:t>心的区域合作架构受到冲击。泛安全化的“印太”概念扭曲了地缘政治，域内各主</w:t>
      </w:r>
      <w:r>
        <w:rPr>
          <w:rFonts w:hint="default" w:ascii="Times New Roman" w:hAnsi="Times New Roman" w:eastAsia="宋体" w:cs="Times New Roman"/>
          <w:color w:val="231F20"/>
          <w:spacing w:val="9"/>
          <w:sz w:val="24"/>
          <w:szCs w:val="24"/>
        </w:rPr>
        <w:t>要大国</w:t>
      </w:r>
      <w:r>
        <w:rPr>
          <w:rFonts w:hint="default" w:ascii="Times New Roman" w:hAnsi="Times New Roman" w:eastAsia="宋体" w:cs="Times New Roman"/>
          <w:color w:val="231F20"/>
          <w:spacing w:val="14"/>
          <w:sz w:val="24"/>
          <w:szCs w:val="24"/>
        </w:rPr>
        <w:t>竞相争夺经贸规则与标准的制定权和主导权，地区经济秩序面临被重构的风险。“印</w:t>
      </w:r>
      <w:r>
        <w:rPr>
          <w:rFonts w:hint="default" w:ascii="Times New Roman" w:hAnsi="Times New Roman" w:eastAsia="宋体" w:cs="Times New Roman"/>
          <w:color w:val="231F20"/>
          <w:spacing w:val="13"/>
          <w:sz w:val="24"/>
          <w:szCs w:val="24"/>
        </w:rPr>
        <w:t>太战</w:t>
      </w:r>
      <w:r>
        <w:rPr>
          <w:rFonts w:hint="default" w:ascii="Times New Roman" w:hAnsi="Times New Roman" w:eastAsia="宋体" w:cs="Times New Roman"/>
          <w:color w:val="231F20"/>
          <w:spacing w:val="9"/>
          <w:sz w:val="24"/>
          <w:szCs w:val="24"/>
        </w:rPr>
        <w:t>略”试图改变亚太地区和平稳定的现状，与地区国家求和平、谋发展、促合作、图共赢的</w:t>
      </w:r>
      <w:r>
        <w:rPr>
          <w:rFonts w:hint="default" w:ascii="Times New Roman" w:hAnsi="Times New Roman" w:eastAsia="宋体" w:cs="Times New Roman"/>
          <w:color w:val="231F20"/>
          <w:spacing w:val="6"/>
          <w:sz w:val="24"/>
          <w:szCs w:val="24"/>
        </w:rPr>
        <w:t>共同愿景背道而驰。当前，随着俄乌冲突、中东冲突的不断演进，多项热点议题吸引视线。</w:t>
      </w:r>
      <w:r>
        <w:rPr>
          <w:rFonts w:hint="default" w:ascii="Times New Roman" w:hAnsi="Times New Roman" w:eastAsia="宋体" w:cs="Times New Roman"/>
          <w:color w:val="231F20"/>
          <w:spacing w:val="8"/>
          <w:sz w:val="24"/>
          <w:szCs w:val="24"/>
        </w:rPr>
        <w:t>在美国国内，要求政府关注经济发展、民生议题及国内建设的呼声日益高</w:t>
      </w:r>
      <w:r>
        <w:rPr>
          <w:rFonts w:hint="default" w:ascii="Times New Roman" w:hAnsi="Times New Roman" w:eastAsia="宋体" w:cs="Times New Roman"/>
          <w:color w:val="231F20"/>
          <w:spacing w:val="7"/>
          <w:sz w:val="24"/>
          <w:szCs w:val="24"/>
        </w:rPr>
        <w:t>涨，因而，美国</w:t>
      </w:r>
      <w:r>
        <w:rPr>
          <w:rFonts w:hint="default" w:ascii="Times New Roman" w:hAnsi="Times New Roman" w:eastAsia="宋体" w:cs="Times New Roman"/>
          <w:color w:val="231F20"/>
          <w:spacing w:val="11"/>
          <w:sz w:val="24"/>
          <w:szCs w:val="24"/>
        </w:rPr>
        <w:t>在印太地区的资源投入也将面临种种限制。尽管如此，美国视中国为竞争对手的战略定位</w:t>
      </w:r>
      <w:r>
        <w:rPr>
          <w:rFonts w:hint="default" w:ascii="Times New Roman" w:hAnsi="Times New Roman" w:eastAsia="宋体" w:cs="Times New Roman"/>
          <w:color w:val="231F20"/>
          <w:spacing w:val="6"/>
          <w:sz w:val="24"/>
          <w:szCs w:val="24"/>
        </w:rPr>
        <w:t>没有变，通过“印太战略”来遏制打压中国的战略意图也不会改变。</w:t>
      </w:r>
    </w:p>
    <w:p w14:paraId="4187CCB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2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1"/>
          <w:sz w:val="24"/>
          <w:szCs w:val="24"/>
        </w:rPr>
        <w:t>亚太地区应是和平发展的高地，而不是地缘博弈的棋局。作为负责任大国，中国始终</w:t>
      </w:r>
      <w:r>
        <w:rPr>
          <w:rFonts w:hint="default" w:ascii="Times New Roman" w:hAnsi="Times New Roman" w:eastAsia="宋体" w:cs="Times New Roman"/>
          <w:color w:val="231F20"/>
          <w:spacing w:val="4"/>
          <w:sz w:val="24"/>
          <w:szCs w:val="24"/>
        </w:rPr>
        <w:t>扎根亚太、建设亚太、造福亚太。中国在周边外交中坚持与邻为善、以邻为伴，坚持睦邻、</w:t>
      </w:r>
      <w:r>
        <w:rPr>
          <w:rFonts w:hint="default" w:ascii="Times New Roman" w:hAnsi="Times New Roman" w:eastAsia="宋体" w:cs="Times New Roman"/>
          <w:color w:val="231F20"/>
          <w:spacing w:val="8"/>
          <w:sz w:val="24"/>
          <w:szCs w:val="24"/>
        </w:rPr>
        <w:t>安邻、富邻，突出亲诚惠容的理念，发展同周边国家的睦邻友好关系。中国坚持扩大高水</w:t>
      </w:r>
      <w:r>
        <w:rPr>
          <w:rFonts w:hint="default" w:ascii="Times New Roman" w:hAnsi="Times New Roman" w:eastAsia="宋体" w:cs="Times New Roman"/>
          <w:color w:val="231F20"/>
          <w:spacing w:val="7"/>
          <w:sz w:val="24"/>
          <w:szCs w:val="24"/>
        </w:rPr>
        <w:t>平开放，与地区国家签订或升级自由贸易协定，携手地区国家高</w:t>
      </w:r>
      <w:r>
        <w:rPr>
          <w:rFonts w:hint="default" w:ascii="Times New Roman" w:hAnsi="Times New Roman" w:eastAsia="宋体" w:cs="Times New Roman"/>
          <w:color w:val="231F20"/>
          <w:spacing w:val="6"/>
          <w:sz w:val="24"/>
          <w:szCs w:val="24"/>
        </w:rPr>
        <w:t>质量共建“一带一路”，推</w:t>
      </w:r>
      <w:r>
        <w:rPr>
          <w:rFonts w:hint="default" w:ascii="Times New Roman" w:hAnsi="Times New Roman" w:eastAsia="宋体" w:cs="Times New Roman"/>
          <w:color w:val="231F20"/>
          <w:spacing w:val="10"/>
          <w:sz w:val="24"/>
          <w:szCs w:val="24"/>
        </w:rPr>
        <w:t>动亚太地区形成更紧密务实的合作新态势。同时，中国高度</w:t>
      </w:r>
      <w:r>
        <w:rPr>
          <w:rFonts w:hint="default" w:ascii="Times New Roman" w:hAnsi="Times New Roman" w:eastAsia="宋体" w:cs="Times New Roman"/>
          <w:color w:val="231F20"/>
          <w:spacing w:val="9"/>
          <w:sz w:val="24"/>
          <w:szCs w:val="24"/>
        </w:rPr>
        <w:t>重视加强同“全球南方”国家</w:t>
      </w:r>
      <w:r>
        <w:rPr>
          <w:rFonts w:hint="default" w:ascii="Times New Roman" w:hAnsi="Times New Roman" w:eastAsia="宋体" w:cs="Times New Roman"/>
          <w:color w:val="231F20"/>
          <w:spacing w:val="5"/>
          <w:sz w:val="24"/>
          <w:szCs w:val="24"/>
        </w:rPr>
        <w:t>的团结合作，明确宣示中国作为发展中国家、“全球南方”的一员，始终同其他发展中国家</w:t>
      </w:r>
      <w:r>
        <w:rPr>
          <w:rFonts w:hint="default" w:ascii="Times New Roman" w:hAnsi="Times New Roman" w:eastAsia="宋体" w:cs="Times New Roman"/>
          <w:color w:val="231F20"/>
          <w:spacing w:val="12"/>
          <w:sz w:val="24"/>
          <w:szCs w:val="24"/>
        </w:rPr>
        <w:t>同呼吸、共命运。在安全问题上，中国一贯奉行防御性国防政策，坚持走和平发展道路，</w:t>
      </w:r>
      <w:r>
        <w:rPr>
          <w:rFonts w:hint="default" w:ascii="Times New Roman" w:hAnsi="Times New Roman" w:eastAsia="宋体" w:cs="Times New Roman"/>
          <w:color w:val="231F20"/>
          <w:spacing w:val="8"/>
          <w:sz w:val="24"/>
          <w:szCs w:val="24"/>
        </w:rPr>
        <w:t>倡导并践行全球安全倡议，是维护世界和平与世界经贸秩序公正性的坚定力量。</w:t>
      </w:r>
    </w:p>
    <w:p w14:paraId="209048A8">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4"/>
          <w:sz w:val="24"/>
          <w:szCs w:val="24"/>
        </w:rPr>
        <w:t>美国为维护自身霸权，刻意用“印太”替代“亚太”，并通过“印太战略”在这一地区</w:t>
      </w:r>
      <w:r>
        <w:rPr>
          <w:rFonts w:hint="default" w:ascii="Times New Roman" w:hAnsi="Times New Roman" w:eastAsia="宋体" w:cs="Times New Roman"/>
          <w:color w:val="231F20"/>
          <w:spacing w:val="10"/>
          <w:sz w:val="24"/>
          <w:szCs w:val="24"/>
        </w:rPr>
        <w:t>挑起阵营对抗、制造紧张局势，这些做法并不得人心。如果美国继续抱持过时的</w:t>
      </w:r>
      <w:r>
        <w:rPr>
          <w:rFonts w:hint="default" w:ascii="Times New Roman" w:hAnsi="Times New Roman" w:eastAsia="宋体" w:cs="Times New Roman"/>
          <w:color w:val="231F20"/>
          <w:spacing w:val="9"/>
          <w:sz w:val="24"/>
          <w:szCs w:val="24"/>
        </w:rPr>
        <w:t>经济安全</w:t>
      </w:r>
      <w:r>
        <w:rPr>
          <w:rFonts w:hint="default" w:ascii="Times New Roman" w:hAnsi="Times New Roman" w:eastAsia="宋体" w:cs="Times New Roman"/>
          <w:color w:val="231F20"/>
          <w:spacing w:val="10"/>
          <w:sz w:val="24"/>
          <w:szCs w:val="24"/>
        </w:rPr>
        <w:t>观，陷在霸权迷思中难以自拔，最终只会加剧国际社会的阵营对抗、军备竞赛和“新冷战”</w:t>
      </w:r>
      <w:r>
        <w:rPr>
          <w:rFonts w:hint="default" w:ascii="Times New Roman" w:hAnsi="Times New Roman" w:eastAsia="宋体" w:cs="Times New Roman"/>
          <w:color w:val="231F20"/>
          <w:spacing w:val="8"/>
          <w:sz w:val="24"/>
          <w:szCs w:val="24"/>
        </w:rPr>
        <w:t>态势，不利于全球经济的繁荣与进步。长此以往，违背地区国家人民普遍意愿的“印太战</w:t>
      </w:r>
      <w:r>
        <w:rPr>
          <w:rFonts w:hint="default" w:ascii="Times New Roman" w:hAnsi="Times New Roman" w:eastAsia="宋体" w:cs="Times New Roman"/>
          <w:color w:val="231F20"/>
          <w:spacing w:val="6"/>
          <w:sz w:val="24"/>
          <w:szCs w:val="24"/>
        </w:rPr>
        <w:t>略”也注定会走向失败。</w:t>
      </w:r>
    </w:p>
    <w:p w14:paraId="0EFE249F">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AEC525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position w:val="1"/>
          <w:sz w:val="24"/>
          <w:szCs w:val="24"/>
        </w:rPr>
        <w:t>注释：</w:t>
      </w:r>
    </w:p>
    <w:p w14:paraId="3564873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①Ministry</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0"/>
          <w:sz w:val="24"/>
          <w:szCs w:val="24"/>
        </w:rPr>
        <w:t>of</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10"/>
          <w:sz w:val="24"/>
          <w:szCs w:val="24"/>
        </w:rPr>
        <w:t>foreign</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0"/>
          <w:sz w:val="24"/>
          <w:szCs w:val="24"/>
        </w:rPr>
        <w:t>affa</w:t>
      </w:r>
      <w:r>
        <w:rPr>
          <w:rFonts w:hint="default" w:ascii="Times New Roman" w:hAnsi="Times New Roman" w:eastAsia="宋体" w:cs="Times New Roman"/>
          <w:color w:val="231F20"/>
          <w:spacing w:val="-11"/>
          <w:sz w:val="24"/>
          <w:szCs w:val="24"/>
        </w:rPr>
        <w:t>irs</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1"/>
          <w:sz w:val="24"/>
          <w:szCs w:val="24"/>
        </w:rPr>
        <w:t>of</w:t>
      </w:r>
      <w:r>
        <w:rPr>
          <w:rFonts w:hint="default" w:ascii="Times New Roman" w:hAnsi="Times New Roman" w:eastAsia="宋体" w:cs="Times New Roman"/>
          <w:color w:val="231F20"/>
          <w:spacing w:val="-44"/>
          <w:sz w:val="24"/>
          <w:szCs w:val="24"/>
        </w:rPr>
        <w:t xml:space="preserve"> </w:t>
      </w:r>
      <w:r>
        <w:rPr>
          <w:rFonts w:hint="default" w:ascii="Times New Roman" w:hAnsi="Times New Roman" w:eastAsia="宋体" w:cs="Times New Roman"/>
          <w:color w:val="231F20"/>
          <w:spacing w:val="-11"/>
          <w:sz w:val="24"/>
          <w:szCs w:val="24"/>
        </w:rPr>
        <w:t>Japan.</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11"/>
          <w:sz w:val="24"/>
          <w:szCs w:val="24"/>
        </w:rPr>
        <w:t>Confluence</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1"/>
          <w:sz w:val="24"/>
          <w:szCs w:val="24"/>
        </w:rPr>
        <w:t>of</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1"/>
          <w:sz w:val="24"/>
          <w:szCs w:val="24"/>
        </w:rPr>
        <w:t>the</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1"/>
          <w:sz w:val="24"/>
          <w:szCs w:val="24"/>
        </w:rPr>
        <w:t>two</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1"/>
          <w:sz w:val="24"/>
          <w:szCs w:val="24"/>
        </w:rPr>
        <w:t>seas'</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11"/>
          <w:sz w:val="24"/>
          <w:szCs w:val="24"/>
        </w:rPr>
        <w:t>speech by</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11"/>
          <w:sz w:val="24"/>
          <w:szCs w:val="24"/>
        </w:rPr>
        <w:t>H. E. Mr.</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1"/>
          <w:sz w:val="24"/>
          <w:szCs w:val="24"/>
        </w:rPr>
        <w:t>Shinzo Abe,</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11"/>
          <w:sz w:val="24"/>
          <w:szCs w:val="24"/>
        </w:rPr>
        <w:t>Prime</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1"/>
          <w:sz w:val="24"/>
          <w:szCs w:val="24"/>
        </w:rPr>
        <w:t>minis</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11"/>
          <w:sz w:val="24"/>
          <w:szCs w:val="24"/>
        </w:rPr>
        <w:t>‐</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9"/>
          <w:sz w:val="24"/>
          <w:szCs w:val="24"/>
        </w:rPr>
        <w:t>ter</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9"/>
          <w:sz w:val="24"/>
          <w:szCs w:val="24"/>
        </w:rPr>
        <w:t>of</w:t>
      </w:r>
      <w:r>
        <w:rPr>
          <w:rFonts w:hint="default" w:ascii="Times New Roman" w:hAnsi="Times New Roman" w:eastAsia="宋体" w:cs="Times New Roman"/>
          <w:color w:val="231F20"/>
          <w:spacing w:val="-43"/>
          <w:sz w:val="24"/>
          <w:szCs w:val="24"/>
        </w:rPr>
        <w:t xml:space="preserve"> </w:t>
      </w:r>
      <w:r>
        <w:rPr>
          <w:rFonts w:hint="default" w:ascii="Times New Roman" w:hAnsi="Times New Roman" w:eastAsia="宋体" w:cs="Times New Roman"/>
          <w:color w:val="231F20"/>
          <w:spacing w:val="-9"/>
          <w:sz w:val="24"/>
          <w:szCs w:val="24"/>
        </w:rPr>
        <w:t>Japan</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9"/>
          <w:sz w:val="24"/>
          <w:szCs w:val="24"/>
        </w:rPr>
        <w:t>at</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9"/>
          <w:sz w:val="24"/>
          <w:szCs w:val="24"/>
        </w:rPr>
        <w:t>the parliame</w:t>
      </w:r>
      <w:r>
        <w:rPr>
          <w:rFonts w:hint="default" w:ascii="Times New Roman" w:hAnsi="Times New Roman" w:eastAsia="宋体" w:cs="Times New Roman"/>
          <w:color w:val="231F20"/>
          <w:spacing w:val="-10"/>
          <w:sz w:val="24"/>
          <w:szCs w:val="24"/>
        </w:rPr>
        <w:t>nt</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10"/>
          <w:sz w:val="24"/>
          <w:szCs w:val="24"/>
        </w:rPr>
        <w:t>of</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0"/>
          <w:sz w:val="24"/>
          <w:szCs w:val="24"/>
        </w:rPr>
        <w:t>the</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10"/>
          <w:sz w:val="24"/>
          <w:szCs w:val="24"/>
        </w:rPr>
        <w:t>republic</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10"/>
          <w:sz w:val="24"/>
          <w:szCs w:val="24"/>
        </w:rPr>
        <w:t>of</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India</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0"/>
          <w:sz w:val="24"/>
          <w:szCs w:val="24"/>
        </w:rPr>
        <w:t>[EB/OL].（2007-08-22）.</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0"/>
          <w:sz w:val="24"/>
          <w:szCs w:val="24"/>
        </w:rPr>
        <w:t>https://www.mofa.go.jp/region/asia-</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0"/>
          <w:sz w:val="24"/>
          <w:szCs w:val="24"/>
        </w:rPr>
        <w:t>paci/pmv0708/speech-2.html。</w:t>
      </w:r>
    </w:p>
    <w:p w14:paraId="588138E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②SMITH</w:t>
      </w:r>
      <w:r>
        <w:rPr>
          <w:rFonts w:hint="default" w:ascii="Times New Roman" w:hAnsi="Times New Roman" w:eastAsia="宋体" w:cs="Times New Roman"/>
          <w:color w:val="231F20"/>
          <w:spacing w:val="33"/>
          <w:w w:val="101"/>
          <w:sz w:val="24"/>
          <w:szCs w:val="24"/>
        </w:rPr>
        <w:t xml:space="preserve"> </w:t>
      </w:r>
      <w:r>
        <w:rPr>
          <w:rFonts w:hint="default" w:ascii="Times New Roman" w:hAnsi="Times New Roman" w:eastAsia="宋体" w:cs="Times New Roman"/>
          <w:color w:val="231F20"/>
          <w:spacing w:val="-10"/>
          <w:sz w:val="24"/>
          <w:szCs w:val="24"/>
        </w:rPr>
        <w:t>N</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0"/>
          <w:sz w:val="24"/>
          <w:szCs w:val="24"/>
        </w:rPr>
        <w:t>S,</w:t>
      </w:r>
      <w:r>
        <w:rPr>
          <w:rFonts w:hint="default" w:ascii="Times New Roman" w:hAnsi="Times New Roman" w:eastAsia="宋体" w:cs="Times New Roman"/>
          <w:color w:val="231F20"/>
          <w:spacing w:val="19"/>
          <w:sz w:val="24"/>
          <w:szCs w:val="24"/>
        </w:rPr>
        <w:t xml:space="preserve"> </w:t>
      </w:r>
      <w:r>
        <w:rPr>
          <w:rFonts w:hint="default" w:ascii="Times New Roman" w:hAnsi="Times New Roman" w:eastAsia="宋体" w:cs="Times New Roman"/>
          <w:color w:val="231F20"/>
          <w:spacing w:val="-10"/>
          <w:sz w:val="24"/>
          <w:szCs w:val="24"/>
        </w:rPr>
        <w:t>BACON</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10"/>
          <w:sz w:val="24"/>
          <w:szCs w:val="24"/>
        </w:rPr>
        <w:t>P</w:t>
      </w:r>
      <w:r>
        <w:rPr>
          <w:rFonts w:hint="default" w:ascii="Times New Roman" w:hAnsi="Times New Roman" w:eastAsia="宋体" w:cs="Times New Roman"/>
          <w:color w:val="231F20"/>
          <w:spacing w:val="22"/>
          <w:sz w:val="24"/>
          <w:szCs w:val="24"/>
        </w:rPr>
        <w:t xml:space="preserve"> </w:t>
      </w:r>
      <w:r>
        <w:rPr>
          <w:rFonts w:hint="default" w:ascii="Times New Roman" w:hAnsi="Times New Roman" w:eastAsia="宋体" w:cs="Times New Roman"/>
          <w:color w:val="231F20"/>
          <w:spacing w:val="-10"/>
          <w:sz w:val="24"/>
          <w:szCs w:val="24"/>
        </w:rPr>
        <w:t>M.</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10"/>
          <w:sz w:val="24"/>
          <w:szCs w:val="24"/>
        </w:rPr>
        <w:t>The</w:t>
      </w:r>
      <w:r>
        <w:rPr>
          <w:rFonts w:hint="default" w:ascii="Times New Roman" w:hAnsi="Times New Roman" w:eastAsia="宋体" w:cs="Times New Roman"/>
          <w:color w:val="231F20"/>
          <w:spacing w:val="27"/>
          <w:w w:val="101"/>
          <w:sz w:val="24"/>
          <w:szCs w:val="24"/>
        </w:rPr>
        <w:t xml:space="preserve"> </w:t>
      </w:r>
      <w:r>
        <w:rPr>
          <w:rFonts w:hint="default" w:ascii="Times New Roman" w:hAnsi="Times New Roman" w:eastAsia="宋体" w:cs="Times New Roman"/>
          <w:color w:val="231F20"/>
          <w:spacing w:val="-10"/>
          <w:sz w:val="24"/>
          <w:szCs w:val="24"/>
        </w:rPr>
        <w:t>Indo-Pacific</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0"/>
          <w:sz w:val="24"/>
          <w:szCs w:val="24"/>
        </w:rPr>
        <w:t>is</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10"/>
          <w:sz w:val="24"/>
          <w:szCs w:val="24"/>
        </w:rPr>
        <w:t>an</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0"/>
          <w:sz w:val="24"/>
          <w:szCs w:val="24"/>
        </w:rPr>
        <w:t>idea</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0"/>
          <w:sz w:val="24"/>
          <w:szCs w:val="24"/>
        </w:rPr>
        <w:t>more</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10"/>
          <w:sz w:val="24"/>
          <w:szCs w:val="24"/>
        </w:rPr>
        <w:t>than</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10"/>
          <w:sz w:val="24"/>
          <w:szCs w:val="24"/>
        </w:rPr>
        <w:t>a</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10"/>
          <w:sz w:val="24"/>
          <w:szCs w:val="24"/>
        </w:rPr>
        <w:t>region</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10"/>
          <w:sz w:val="24"/>
          <w:szCs w:val="24"/>
        </w:rPr>
        <w:t>and</w:t>
      </w:r>
      <w:r>
        <w:rPr>
          <w:rFonts w:hint="default" w:ascii="Times New Roman" w:hAnsi="Times New Roman" w:eastAsia="宋体" w:cs="Times New Roman"/>
          <w:color w:val="231F20"/>
          <w:spacing w:val="23"/>
          <w:w w:val="101"/>
          <w:sz w:val="24"/>
          <w:szCs w:val="24"/>
        </w:rPr>
        <w:t xml:space="preserve"> </w:t>
      </w:r>
      <w:r>
        <w:rPr>
          <w:rFonts w:hint="default" w:ascii="Times New Roman" w:hAnsi="Times New Roman" w:eastAsia="宋体" w:cs="Times New Roman"/>
          <w:color w:val="231F20"/>
          <w:spacing w:val="-10"/>
          <w:sz w:val="24"/>
          <w:szCs w:val="24"/>
        </w:rPr>
        <w:t>it's</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pushing</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politics</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10"/>
          <w:sz w:val="24"/>
          <w:szCs w:val="24"/>
        </w:rPr>
        <w:t>in</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10"/>
          <w:sz w:val="24"/>
          <w:szCs w:val="24"/>
        </w:rPr>
        <w:t>a</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1"/>
          <w:sz w:val="24"/>
          <w:szCs w:val="24"/>
        </w:rPr>
        <w:t>"pessimistic and paranoid"</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1"/>
          <w:sz w:val="24"/>
          <w:szCs w:val="24"/>
        </w:rPr>
        <w:t>direction</w:t>
      </w:r>
      <w:r>
        <w:rPr>
          <w:rFonts w:hint="default" w:ascii="Times New Roman" w:hAnsi="Times New Roman" w:eastAsia="宋体" w:cs="Times New Roman"/>
          <w:color w:val="231F20"/>
          <w:spacing w:val="20"/>
          <w:w w:val="101"/>
          <w:sz w:val="24"/>
          <w:szCs w:val="24"/>
        </w:rPr>
        <w:t xml:space="preserve"> </w:t>
      </w:r>
      <w:r>
        <w:rPr>
          <w:rFonts w:hint="default" w:ascii="Times New Roman" w:hAnsi="Times New Roman" w:eastAsia="宋体" w:cs="Times New Roman"/>
          <w:color w:val="231F20"/>
          <w:spacing w:val="-11"/>
          <w:sz w:val="24"/>
          <w:szCs w:val="24"/>
        </w:rPr>
        <w:t xml:space="preserve">[EB/OL]. </w:t>
      </w:r>
      <w:r>
        <w:rPr>
          <w:rFonts w:hint="default" w:ascii="Times New Roman" w:hAnsi="Times New Roman" w:eastAsia="宋体" w:cs="Times New Roman"/>
          <w:i/>
          <w:iCs/>
          <w:color w:val="231F20"/>
          <w:spacing w:val="-11"/>
          <w:sz w:val="24"/>
          <w:szCs w:val="24"/>
        </w:rPr>
        <w:t>TheConversatio</w:t>
      </w:r>
      <w:r>
        <w:rPr>
          <w:rFonts w:hint="default" w:ascii="Times New Roman" w:hAnsi="Times New Roman" w:eastAsia="宋体" w:cs="Times New Roman"/>
          <w:i/>
          <w:iCs/>
          <w:color w:val="231F20"/>
          <w:spacing w:val="-12"/>
          <w:sz w:val="24"/>
          <w:szCs w:val="24"/>
        </w:rPr>
        <w:t>n</w:t>
      </w:r>
      <w:r>
        <w:rPr>
          <w:rFonts w:hint="default" w:ascii="Times New Roman" w:hAnsi="Times New Roman" w:eastAsia="宋体" w:cs="Times New Roman"/>
          <w:color w:val="231F20"/>
          <w:spacing w:val="-12"/>
          <w:sz w:val="24"/>
          <w:szCs w:val="24"/>
        </w:rPr>
        <w:t>.（2024-11-07）. https://theconversation.com/the-indo-</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7"/>
          <w:sz w:val="24"/>
          <w:szCs w:val="24"/>
        </w:rPr>
        <w:t>pacific-is-an-idea-more-than-a-region-and-its-pushing-politic</w:t>
      </w:r>
      <w:r>
        <w:rPr>
          <w:rFonts w:hint="default" w:ascii="Times New Roman" w:hAnsi="Times New Roman" w:eastAsia="宋体" w:cs="Times New Roman"/>
          <w:color w:val="231F20"/>
          <w:spacing w:val="-8"/>
          <w:sz w:val="24"/>
          <w:szCs w:val="24"/>
        </w:rPr>
        <w:t>s-in-a-pessimistic-and-paranoid-direction-243130。</w:t>
      </w:r>
    </w:p>
    <w:p w14:paraId="679F69B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③The White House. Remarks by president</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7"/>
          <w:sz w:val="24"/>
          <w:szCs w:val="24"/>
        </w:rPr>
        <w:t>Trum</w:t>
      </w:r>
      <w:r>
        <w:rPr>
          <w:rFonts w:hint="default" w:ascii="Times New Roman" w:hAnsi="Times New Roman" w:eastAsia="宋体" w:cs="Times New Roman"/>
          <w:color w:val="231F20"/>
          <w:spacing w:val="-8"/>
          <w:sz w:val="24"/>
          <w:szCs w:val="24"/>
        </w:rPr>
        <w:t>p</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8"/>
          <w:sz w:val="24"/>
          <w:szCs w:val="24"/>
        </w:rPr>
        <w:t>at APEC</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8"/>
          <w:sz w:val="24"/>
          <w:szCs w:val="24"/>
        </w:rPr>
        <w:t>CEO</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8"/>
          <w:sz w:val="24"/>
          <w:szCs w:val="24"/>
        </w:rPr>
        <w:t>summit,</w:t>
      </w:r>
      <w:r>
        <w:rPr>
          <w:rFonts w:hint="default" w:ascii="Times New Roman" w:hAnsi="Times New Roman" w:eastAsia="宋体" w:cs="Times New Roman"/>
          <w:color w:val="231F20"/>
          <w:spacing w:val="5"/>
          <w:sz w:val="24"/>
          <w:szCs w:val="24"/>
        </w:rPr>
        <w:t xml:space="preserve"> </w:t>
      </w:r>
      <w:r>
        <w:rPr>
          <w:rFonts w:hint="default" w:ascii="Times New Roman" w:hAnsi="Times New Roman" w:eastAsia="宋体" w:cs="Times New Roman"/>
          <w:color w:val="231F20"/>
          <w:spacing w:val="-8"/>
          <w:sz w:val="24"/>
          <w:szCs w:val="24"/>
        </w:rPr>
        <w:t>Da</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8"/>
          <w:sz w:val="24"/>
          <w:szCs w:val="24"/>
        </w:rPr>
        <w:t>Nang,</w:t>
      </w:r>
      <w:r>
        <w:rPr>
          <w:rFonts w:hint="default" w:ascii="Times New Roman" w:hAnsi="Times New Roman" w:eastAsia="宋体" w:cs="Times New Roman"/>
          <w:color w:val="231F20"/>
          <w:spacing w:val="2"/>
          <w:sz w:val="24"/>
          <w:szCs w:val="24"/>
        </w:rPr>
        <w:t xml:space="preserve"> </w:t>
      </w:r>
      <w:r>
        <w:rPr>
          <w:rFonts w:hint="default" w:ascii="Times New Roman" w:hAnsi="Times New Roman" w:eastAsia="宋体" w:cs="Times New Roman"/>
          <w:color w:val="231F20"/>
          <w:spacing w:val="-8"/>
          <w:sz w:val="24"/>
          <w:szCs w:val="24"/>
        </w:rPr>
        <w:t>Vietnam</w:t>
      </w:r>
      <w:r>
        <w:rPr>
          <w:rFonts w:hint="default" w:ascii="Times New Roman" w:hAnsi="Times New Roman" w:eastAsia="宋体" w:cs="Times New Roman"/>
          <w:color w:val="231F20"/>
          <w:spacing w:val="24"/>
          <w:sz w:val="24"/>
          <w:szCs w:val="24"/>
        </w:rPr>
        <w:t xml:space="preserve"> </w:t>
      </w:r>
      <w:r>
        <w:rPr>
          <w:rFonts w:hint="default" w:ascii="Times New Roman" w:hAnsi="Times New Roman" w:eastAsia="宋体" w:cs="Times New Roman"/>
          <w:color w:val="231F20"/>
          <w:spacing w:val="-8"/>
          <w:sz w:val="24"/>
          <w:szCs w:val="24"/>
        </w:rPr>
        <w:t>[EB/OL].（2017-</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0"/>
          <w:sz w:val="24"/>
          <w:szCs w:val="24"/>
        </w:rPr>
        <w:t>11-10）.</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"https://trumpwhitehouse.archives.gov/briefings-statements/remarks-president-trump-apec-ceo-summit-"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color w:val="231F20"/>
          <w:spacing w:val="-10"/>
          <w:sz w:val="24"/>
          <w:szCs w:val="24"/>
        </w:rPr>
        <w:t>https://trumpwhitehouse.</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10"/>
          <w:sz w:val="24"/>
          <w:szCs w:val="24"/>
        </w:rPr>
        <w:t>archives.</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10"/>
          <w:sz w:val="24"/>
          <w:szCs w:val="24"/>
        </w:rPr>
        <w:t>gov</w:t>
      </w:r>
      <w:r>
        <w:rPr>
          <w:rFonts w:hint="default" w:ascii="Times New Roman" w:hAnsi="Times New Roman" w:eastAsia="宋体" w:cs="Times New Roman"/>
          <w:color w:val="231F20"/>
          <w:spacing w:val="-22"/>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31"/>
          <w:sz w:val="24"/>
          <w:szCs w:val="24"/>
        </w:rPr>
        <w:t xml:space="preserve"> </w:t>
      </w:r>
      <w:r>
        <w:rPr>
          <w:rFonts w:hint="default" w:ascii="Times New Roman" w:hAnsi="Times New Roman" w:eastAsia="宋体" w:cs="Times New Roman"/>
          <w:color w:val="231F20"/>
          <w:spacing w:val="-10"/>
          <w:sz w:val="24"/>
          <w:szCs w:val="24"/>
        </w:rPr>
        <w:t>briefings-statement</w:t>
      </w:r>
      <w:r>
        <w:rPr>
          <w:rFonts w:hint="default" w:ascii="Times New Roman" w:hAnsi="Times New Roman" w:eastAsia="宋体" w:cs="Times New Roman"/>
          <w:color w:val="231F20"/>
          <w:spacing w:val="-11"/>
          <w:sz w:val="24"/>
          <w:szCs w:val="24"/>
        </w:rPr>
        <w:t>s</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1"/>
          <w:sz w:val="24"/>
          <w:szCs w:val="24"/>
        </w:rPr>
        <w:t>/</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11"/>
          <w:sz w:val="24"/>
          <w:szCs w:val="24"/>
        </w:rPr>
        <w:t>remarks-president-trump-apec-ceo-summit-</w:t>
      </w:r>
      <w:r>
        <w:rPr>
          <w:rFonts w:hint="default" w:ascii="Times New Roman" w:hAnsi="Times New Roman" w:eastAsia="宋体" w:cs="Times New Roman"/>
          <w:color w:val="231F20"/>
          <w:spacing w:val="-11"/>
          <w:sz w:val="24"/>
          <w:szCs w:val="24"/>
        </w:rPr>
        <w:fldChar w:fldCharType="end"/>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8"/>
          <w:sz w:val="24"/>
          <w:szCs w:val="24"/>
        </w:rPr>
        <w:t>da-nang-vietnam/。</w:t>
      </w:r>
    </w:p>
    <w:p w14:paraId="5AC3850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④The</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10"/>
          <w:sz w:val="24"/>
          <w:szCs w:val="24"/>
        </w:rPr>
        <w:t>White</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0"/>
          <w:sz w:val="24"/>
          <w:szCs w:val="24"/>
        </w:rPr>
        <w:t>House.</w:t>
      </w:r>
      <w:r>
        <w:rPr>
          <w:rFonts w:hint="default" w:ascii="Times New Roman" w:hAnsi="Times New Roman" w:eastAsia="宋体" w:cs="Times New Roman"/>
          <w:color w:val="231F20"/>
          <w:spacing w:val="15"/>
          <w:w w:val="101"/>
          <w:sz w:val="24"/>
          <w:szCs w:val="24"/>
        </w:rPr>
        <w:t xml:space="preserve"> </w:t>
      </w:r>
      <w:r>
        <w:rPr>
          <w:rFonts w:hint="default" w:ascii="Times New Roman" w:hAnsi="Times New Roman" w:eastAsia="宋体" w:cs="Times New Roman"/>
          <w:color w:val="231F20"/>
          <w:spacing w:val="-10"/>
          <w:sz w:val="24"/>
          <w:szCs w:val="24"/>
        </w:rPr>
        <w:t>National</w:t>
      </w:r>
      <w:r>
        <w:rPr>
          <w:rFonts w:hint="default" w:ascii="Times New Roman" w:hAnsi="Times New Roman" w:eastAsia="宋体" w:cs="Times New Roman"/>
          <w:color w:val="231F20"/>
          <w:spacing w:val="14"/>
          <w:sz w:val="24"/>
          <w:szCs w:val="24"/>
        </w:rPr>
        <w:t xml:space="preserve"> </w:t>
      </w:r>
      <w:r>
        <w:rPr>
          <w:rFonts w:hint="default" w:ascii="Times New Roman" w:hAnsi="Times New Roman" w:eastAsia="宋体" w:cs="Times New Roman"/>
          <w:color w:val="231F20"/>
          <w:spacing w:val="-10"/>
          <w:sz w:val="24"/>
          <w:szCs w:val="24"/>
        </w:rPr>
        <w:t>security</w:t>
      </w:r>
      <w:r>
        <w:rPr>
          <w:rFonts w:hint="default" w:ascii="Times New Roman" w:hAnsi="Times New Roman" w:eastAsia="宋体" w:cs="Times New Roman"/>
          <w:color w:val="231F20"/>
          <w:spacing w:val="14"/>
          <w:w w:val="101"/>
          <w:sz w:val="24"/>
          <w:szCs w:val="24"/>
        </w:rPr>
        <w:t xml:space="preserve"> </w:t>
      </w:r>
      <w:r>
        <w:rPr>
          <w:rFonts w:hint="default" w:ascii="Times New Roman" w:hAnsi="Times New Roman" w:eastAsia="宋体" w:cs="Times New Roman"/>
          <w:color w:val="231F20"/>
          <w:spacing w:val="-10"/>
          <w:sz w:val="24"/>
          <w:szCs w:val="24"/>
        </w:rPr>
        <w:t>strategy</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1"/>
          <w:sz w:val="24"/>
          <w:szCs w:val="24"/>
        </w:rPr>
        <w:t>of the</w:t>
      </w:r>
      <w:r>
        <w:rPr>
          <w:rFonts w:hint="default" w:ascii="Times New Roman" w:hAnsi="Times New Roman" w:eastAsia="宋体" w:cs="Times New Roman"/>
          <w:color w:val="231F20"/>
          <w:spacing w:val="14"/>
          <w:sz w:val="24"/>
          <w:szCs w:val="24"/>
        </w:rPr>
        <w:t xml:space="preserve"> </w:t>
      </w:r>
      <w:r>
        <w:rPr>
          <w:rFonts w:hint="default" w:ascii="Times New Roman" w:hAnsi="Times New Roman" w:eastAsia="宋体" w:cs="Times New Roman"/>
          <w:color w:val="231F20"/>
          <w:spacing w:val="-11"/>
          <w:sz w:val="24"/>
          <w:szCs w:val="24"/>
        </w:rPr>
        <w:t>United</w:t>
      </w:r>
      <w:r>
        <w:rPr>
          <w:rFonts w:hint="default" w:ascii="Times New Roman" w:hAnsi="Times New Roman" w:eastAsia="宋体" w:cs="Times New Roman"/>
          <w:color w:val="231F20"/>
          <w:spacing w:val="18"/>
          <w:w w:val="101"/>
          <w:sz w:val="24"/>
          <w:szCs w:val="24"/>
        </w:rPr>
        <w:t xml:space="preserve"> </w:t>
      </w:r>
      <w:r>
        <w:rPr>
          <w:rFonts w:hint="default" w:ascii="Times New Roman" w:hAnsi="Times New Roman" w:eastAsia="宋体" w:cs="Times New Roman"/>
          <w:color w:val="231F20"/>
          <w:spacing w:val="-11"/>
          <w:sz w:val="24"/>
          <w:szCs w:val="24"/>
        </w:rPr>
        <w:t>States</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1"/>
          <w:sz w:val="24"/>
          <w:szCs w:val="24"/>
        </w:rPr>
        <w:t>of</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1"/>
          <w:sz w:val="24"/>
          <w:szCs w:val="24"/>
        </w:rPr>
        <w:t>America</w:t>
      </w:r>
      <w:r>
        <w:rPr>
          <w:rFonts w:hint="default" w:ascii="Times New Roman" w:hAnsi="Times New Roman" w:eastAsia="宋体" w:cs="Times New Roman"/>
          <w:color w:val="231F20"/>
          <w:spacing w:val="34"/>
          <w:w w:val="101"/>
          <w:sz w:val="24"/>
          <w:szCs w:val="24"/>
        </w:rPr>
        <w:t xml:space="preserve"> </w:t>
      </w:r>
      <w:r>
        <w:rPr>
          <w:rFonts w:hint="default" w:ascii="Times New Roman" w:hAnsi="Times New Roman" w:eastAsia="宋体" w:cs="Times New Roman"/>
          <w:color w:val="231F20"/>
          <w:spacing w:val="-11"/>
          <w:sz w:val="24"/>
          <w:szCs w:val="24"/>
        </w:rPr>
        <w:t>[EB/OL].（2017-12-18）.</w:t>
      </w:r>
      <w:r>
        <w:rPr>
          <w:rFonts w:hint="default" w:ascii="Times New Roman" w:hAnsi="Times New Roman" w:eastAsia="宋体" w:cs="Times New Roman"/>
          <w:color w:val="231F20"/>
          <w:spacing w:val="14"/>
          <w:sz w:val="24"/>
          <w:szCs w:val="24"/>
        </w:rPr>
        <w:t xml:space="preserve"> </w:t>
      </w:r>
      <w:r>
        <w:rPr>
          <w:rFonts w:hint="default" w:ascii="Times New Roman" w:hAnsi="Times New Roman" w:eastAsia="宋体" w:cs="Times New Roman"/>
          <w:color w:val="231F20"/>
          <w:spacing w:val="-11"/>
          <w:sz w:val="24"/>
          <w:szCs w:val="24"/>
        </w:rPr>
        <w:t>https:</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6"/>
          <w:sz w:val="24"/>
          <w:szCs w:val="24"/>
        </w:rPr>
        <w:t>//trumpwhitehouse.archives.gov/wp-content/uploads/2017/12/NSS-Final</w:t>
      </w:r>
      <w:r>
        <w:rPr>
          <w:rFonts w:hint="default" w:ascii="Times New Roman" w:hAnsi="Times New Roman" w:eastAsia="宋体" w:cs="Times New Roman"/>
          <w:color w:val="231F20"/>
          <w:spacing w:val="-7"/>
          <w:sz w:val="24"/>
          <w:szCs w:val="24"/>
        </w:rPr>
        <w:t>-12-18-2017-0905-2.pdf。</w:t>
      </w:r>
    </w:p>
    <w:p w14:paraId="0DF96F7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⑤</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8"/>
          <w:sz w:val="24"/>
          <w:szCs w:val="24"/>
        </w:rPr>
        <w:t>The  White</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8"/>
          <w:sz w:val="24"/>
          <w:szCs w:val="24"/>
        </w:rPr>
        <w:t>House.  U.</w:t>
      </w:r>
      <w:r>
        <w:rPr>
          <w:rFonts w:hint="default" w:ascii="Times New Roman" w:hAnsi="Times New Roman" w:eastAsia="宋体" w:cs="Times New Roman"/>
          <w:color w:val="231F20"/>
          <w:spacing w:val="21"/>
          <w:w w:val="101"/>
          <w:sz w:val="24"/>
          <w:szCs w:val="24"/>
        </w:rPr>
        <w:t xml:space="preserve"> </w:t>
      </w:r>
      <w:r>
        <w:rPr>
          <w:rFonts w:hint="default" w:ascii="Times New Roman" w:hAnsi="Times New Roman" w:eastAsia="宋体" w:cs="Times New Roman"/>
          <w:color w:val="231F20"/>
          <w:spacing w:val="-8"/>
          <w:sz w:val="24"/>
          <w:szCs w:val="24"/>
        </w:rPr>
        <w:t>S.</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8"/>
          <w:sz w:val="24"/>
          <w:szCs w:val="24"/>
        </w:rPr>
        <w:t>strategic</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8"/>
          <w:sz w:val="24"/>
          <w:szCs w:val="24"/>
        </w:rPr>
        <w:t>framework</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8"/>
          <w:sz w:val="24"/>
          <w:szCs w:val="24"/>
        </w:rPr>
        <w:t>for</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8"/>
          <w:sz w:val="24"/>
          <w:szCs w:val="24"/>
        </w:rPr>
        <w:t>the   Indo-Pacific   [EB</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8"/>
          <w:sz w:val="24"/>
          <w:szCs w:val="24"/>
        </w:rPr>
        <w:t>/</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8"/>
          <w:sz w:val="24"/>
          <w:szCs w:val="24"/>
        </w:rPr>
        <w:t>OL</w:t>
      </w:r>
      <w:r>
        <w:rPr>
          <w:rFonts w:hint="default" w:ascii="Times New Roman" w:hAnsi="Times New Roman" w:eastAsia="宋体" w:cs="Times New Roman"/>
          <w:color w:val="231F20"/>
          <w:spacing w:val="-9"/>
          <w:sz w:val="24"/>
          <w:szCs w:val="24"/>
        </w:rPr>
        <w:t>].（2021-12-12）.</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9"/>
          <w:sz w:val="24"/>
          <w:szCs w:val="24"/>
        </w:rPr>
        <w:t>https://</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9"/>
          <w:sz w:val="24"/>
          <w:szCs w:val="24"/>
        </w:rPr>
        <w:t>trumpwhitehouse.archives.gov/wp-content/uploads/2021/01/IPS-Final-Declass.pdf。</w:t>
      </w:r>
    </w:p>
    <w:p w14:paraId="091686B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0"/>
          <w:sz w:val="24"/>
          <w:szCs w:val="24"/>
        </w:rPr>
        <w:t>⑥</w:t>
      </w:r>
      <w:r>
        <w:rPr>
          <w:rFonts w:hint="default" w:ascii="Times New Roman" w:hAnsi="Times New Roman" w:eastAsia="宋体" w:cs="Times New Roman"/>
          <w:color w:val="231F20"/>
          <w:spacing w:val="-24"/>
          <w:sz w:val="24"/>
          <w:szCs w:val="24"/>
        </w:rPr>
        <w:t xml:space="preserve"> </w:t>
      </w:r>
      <w:r>
        <w:rPr>
          <w:rFonts w:hint="default" w:ascii="Times New Roman" w:hAnsi="Times New Roman" w:eastAsia="宋体" w:cs="Times New Roman"/>
          <w:color w:val="231F20"/>
          <w:spacing w:val="-10"/>
          <w:sz w:val="24"/>
          <w:szCs w:val="24"/>
        </w:rPr>
        <w:t>U.</w:t>
      </w:r>
      <w:r>
        <w:rPr>
          <w:rFonts w:hint="default" w:ascii="Times New Roman" w:hAnsi="Times New Roman" w:eastAsia="宋体" w:cs="Times New Roman"/>
          <w:color w:val="231F20"/>
          <w:spacing w:val="-22"/>
          <w:sz w:val="24"/>
          <w:szCs w:val="24"/>
        </w:rPr>
        <w:t xml:space="preserve"> </w:t>
      </w:r>
      <w:r>
        <w:rPr>
          <w:rFonts w:hint="default" w:ascii="Times New Roman" w:hAnsi="Times New Roman" w:eastAsia="宋体" w:cs="Times New Roman"/>
          <w:color w:val="231F20"/>
          <w:spacing w:val="-10"/>
          <w:sz w:val="24"/>
          <w:szCs w:val="24"/>
        </w:rPr>
        <w:t>S.</w:t>
      </w:r>
      <w:r>
        <w:rPr>
          <w:rFonts w:hint="default" w:ascii="Times New Roman" w:hAnsi="Times New Roman" w:eastAsia="宋体" w:cs="Times New Roman"/>
          <w:color w:val="231F20"/>
          <w:spacing w:val="28"/>
          <w:sz w:val="24"/>
          <w:szCs w:val="24"/>
        </w:rPr>
        <w:t xml:space="preserve"> </w:t>
      </w:r>
      <w:r>
        <w:rPr>
          <w:rFonts w:hint="default" w:ascii="Times New Roman" w:hAnsi="Times New Roman" w:eastAsia="宋体" w:cs="Times New Roman"/>
          <w:color w:val="231F20"/>
          <w:spacing w:val="-10"/>
          <w:sz w:val="24"/>
          <w:szCs w:val="24"/>
        </w:rPr>
        <w:t>Department</w:t>
      </w:r>
      <w:r>
        <w:rPr>
          <w:rFonts w:hint="default" w:ascii="Times New Roman" w:hAnsi="Times New Roman" w:eastAsia="宋体" w:cs="Times New Roman"/>
          <w:color w:val="231F20"/>
          <w:spacing w:val="33"/>
          <w:w w:val="101"/>
          <w:sz w:val="24"/>
          <w:szCs w:val="24"/>
        </w:rPr>
        <w:t xml:space="preserve"> </w:t>
      </w:r>
      <w:r>
        <w:rPr>
          <w:rFonts w:hint="default" w:ascii="Times New Roman" w:hAnsi="Times New Roman" w:eastAsia="宋体" w:cs="Times New Roman"/>
          <w:color w:val="231F20"/>
          <w:spacing w:val="-10"/>
          <w:sz w:val="24"/>
          <w:szCs w:val="24"/>
        </w:rPr>
        <w:t>of Defense.</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0"/>
          <w:sz w:val="24"/>
          <w:szCs w:val="24"/>
        </w:rPr>
        <w:t>Indo-Pacific</w:t>
      </w:r>
      <w:r>
        <w:rPr>
          <w:rFonts w:hint="default" w:ascii="Times New Roman" w:hAnsi="Times New Roman" w:eastAsia="宋体" w:cs="Times New Roman"/>
          <w:color w:val="231F20"/>
          <w:spacing w:val="30"/>
          <w:sz w:val="24"/>
          <w:szCs w:val="24"/>
        </w:rPr>
        <w:t xml:space="preserve"> </w:t>
      </w:r>
      <w:r>
        <w:rPr>
          <w:rFonts w:hint="default" w:ascii="Times New Roman" w:hAnsi="Times New Roman" w:eastAsia="宋体" w:cs="Times New Roman"/>
          <w:color w:val="231F20"/>
          <w:spacing w:val="-10"/>
          <w:sz w:val="24"/>
          <w:szCs w:val="24"/>
        </w:rPr>
        <w:t>strategy</w:t>
      </w:r>
      <w:r>
        <w:rPr>
          <w:rFonts w:hint="default" w:ascii="Times New Roman" w:hAnsi="Times New Roman" w:eastAsia="宋体" w:cs="Times New Roman"/>
          <w:color w:val="231F20"/>
          <w:spacing w:val="31"/>
          <w:sz w:val="24"/>
          <w:szCs w:val="24"/>
        </w:rPr>
        <w:t xml:space="preserve"> </w:t>
      </w:r>
      <w:r>
        <w:rPr>
          <w:rFonts w:hint="default" w:ascii="Times New Roman" w:hAnsi="Times New Roman" w:eastAsia="宋体" w:cs="Times New Roman"/>
          <w:color w:val="231F20"/>
          <w:spacing w:val="-10"/>
          <w:sz w:val="24"/>
          <w:szCs w:val="24"/>
        </w:rPr>
        <w:t>report  [EB</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OL].（2019-05-31）.</w:t>
      </w:r>
      <w:r>
        <w:rPr>
          <w:rFonts w:hint="default" w:ascii="Times New Roman" w:hAnsi="Times New Roman" w:eastAsia="宋体" w:cs="Times New Roman"/>
          <w:color w:val="231F20"/>
          <w:spacing w:val="29"/>
          <w:w w:val="101"/>
          <w:sz w:val="24"/>
          <w:szCs w:val="24"/>
        </w:rPr>
        <w:t xml:space="preserve"> </w:t>
      </w:r>
      <w:r>
        <w:rPr>
          <w:rFonts w:hint="default" w:ascii="Times New Roman" w:hAnsi="Times New Roman" w:eastAsia="宋体" w:cs="Times New Roman"/>
          <w:color w:val="231F20"/>
          <w:spacing w:val="-10"/>
          <w:sz w:val="24"/>
          <w:szCs w:val="24"/>
        </w:rPr>
        <w:t>https://m</w:t>
      </w:r>
      <w:r>
        <w:rPr>
          <w:rFonts w:hint="default" w:ascii="Times New Roman" w:hAnsi="Times New Roman" w:eastAsia="宋体" w:cs="Times New Roman"/>
          <w:color w:val="231F20"/>
          <w:spacing w:val="-11"/>
          <w:sz w:val="24"/>
          <w:szCs w:val="24"/>
        </w:rPr>
        <w:t>edia.</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1"/>
          <w:sz w:val="24"/>
          <w:szCs w:val="24"/>
        </w:rPr>
        <w:t>defense.</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8"/>
          <w:sz w:val="24"/>
          <w:szCs w:val="24"/>
        </w:rPr>
        <w:t>gov</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8"/>
          <w:sz w:val="24"/>
          <w:szCs w:val="24"/>
        </w:rPr>
        <w:t>/</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8"/>
          <w:sz w:val="24"/>
          <w:szCs w:val="24"/>
        </w:rPr>
        <w:t>2019</w:t>
      </w:r>
      <w:r>
        <w:rPr>
          <w:rFonts w:hint="default" w:ascii="Times New Roman" w:hAnsi="Times New Roman" w:eastAsia="宋体" w:cs="Times New Roman"/>
          <w:color w:val="231F20"/>
          <w:spacing w:val="-14"/>
          <w:sz w:val="24"/>
          <w:szCs w:val="24"/>
        </w:rPr>
        <w:t xml:space="preserve"> </w:t>
      </w:r>
      <w:r>
        <w:rPr>
          <w:rFonts w:hint="default" w:ascii="Times New Roman" w:hAnsi="Times New Roman" w:eastAsia="宋体" w:cs="Times New Roman"/>
          <w:color w:val="231F20"/>
          <w:spacing w:val="-8"/>
          <w:sz w:val="24"/>
          <w:szCs w:val="24"/>
        </w:rPr>
        <w:t>/Jul</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8"/>
          <w:sz w:val="24"/>
          <w:szCs w:val="24"/>
        </w:rPr>
        <w:t>/</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8"/>
          <w:sz w:val="24"/>
          <w:szCs w:val="24"/>
        </w:rPr>
        <w:t>01/</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8"/>
          <w:sz w:val="24"/>
          <w:szCs w:val="24"/>
        </w:rPr>
        <w:t>2002152311/- 1/- 1</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8"/>
          <w:sz w:val="24"/>
          <w:szCs w:val="24"/>
        </w:rPr>
        <w:t>/ 1</w:t>
      </w:r>
      <w:r>
        <w:rPr>
          <w:rFonts w:hint="default" w:ascii="Times New Roman" w:hAnsi="Times New Roman" w:eastAsia="宋体" w:cs="Times New Roman"/>
          <w:color w:val="231F20"/>
          <w:spacing w:val="-14"/>
          <w:sz w:val="24"/>
          <w:szCs w:val="24"/>
        </w:rPr>
        <w:t xml:space="preserve"> </w:t>
      </w:r>
      <w:r>
        <w:rPr>
          <w:rFonts w:hint="default" w:ascii="Times New Roman" w:hAnsi="Times New Roman" w:eastAsia="宋体" w:cs="Times New Roman"/>
          <w:color w:val="231F20"/>
          <w:spacing w:val="-8"/>
          <w:sz w:val="24"/>
          <w:szCs w:val="24"/>
        </w:rPr>
        <w:t>/</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16"/>
          <w:sz w:val="24"/>
          <w:szCs w:val="24"/>
        </w:rPr>
        <w:t>DEPARTMENT-OF-DEFENSE-INDO-PA</w:t>
      </w:r>
      <w:r>
        <w:rPr>
          <w:rFonts w:hint="default" w:ascii="Times New Roman" w:hAnsi="Times New Roman" w:eastAsia="宋体" w:cs="Times New Roman"/>
          <w:color w:val="231F20"/>
          <w:spacing w:val="15"/>
          <w:sz w:val="24"/>
          <w:szCs w:val="24"/>
        </w:rPr>
        <w:t>CIFIC-STRATEGY</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5"/>
          <w:sz w:val="24"/>
          <w:szCs w:val="24"/>
        </w:rPr>
        <w:t>-</w:t>
      </w:r>
    </w:p>
    <w:p w14:paraId="2959BDA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position w:val="2"/>
          <w:sz w:val="24"/>
          <w:szCs w:val="24"/>
        </w:rPr>
        <w:t>REPORT</w:t>
      </w:r>
      <w:r>
        <w:rPr>
          <w:rFonts w:hint="default" w:ascii="Times New Roman" w:hAnsi="Times New Roman" w:eastAsia="宋体" w:cs="Times New Roman"/>
          <w:color w:val="231F20"/>
          <w:spacing w:val="16"/>
          <w:position w:val="2"/>
          <w:sz w:val="24"/>
          <w:szCs w:val="24"/>
        </w:rPr>
        <w:t>-2019.</w:t>
      </w:r>
      <w:r>
        <w:rPr>
          <w:rFonts w:hint="default" w:ascii="Times New Roman" w:hAnsi="Times New Roman" w:eastAsia="宋体" w:cs="Times New Roman"/>
          <w:color w:val="231F20"/>
          <w:position w:val="2"/>
          <w:sz w:val="24"/>
          <w:szCs w:val="24"/>
        </w:rPr>
        <w:t>PDF</w:t>
      </w:r>
      <w:r>
        <w:rPr>
          <w:rFonts w:hint="default" w:ascii="Times New Roman" w:hAnsi="Times New Roman" w:eastAsia="宋体" w:cs="Times New Roman"/>
          <w:color w:val="231F20"/>
          <w:spacing w:val="16"/>
          <w:position w:val="2"/>
          <w:sz w:val="24"/>
          <w:szCs w:val="24"/>
        </w:rPr>
        <w:t>。</w:t>
      </w:r>
    </w:p>
    <w:p w14:paraId="6EAF94C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⑦The</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8"/>
          <w:sz w:val="24"/>
          <w:szCs w:val="24"/>
        </w:rPr>
        <w:t>White</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8"/>
          <w:sz w:val="24"/>
          <w:szCs w:val="24"/>
        </w:rPr>
        <w:t>House.</w:t>
      </w:r>
      <w:r>
        <w:rPr>
          <w:rFonts w:hint="default" w:ascii="Times New Roman" w:hAnsi="Times New Roman" w:eastAsia="宋体" w:cs="Times New Roman"/>
          <w:color w:val="231F20"/>
          <w:spacing w:val="28"/>
          <w:w w:val="101"/>
          <w:sz w:val="24"/>
          <w:szCs w:val="24"/>
        </w:rPr>
        <w:t xml:space="preserve"> </w:t>
      </w:r>
      <w:r>
        <w:rPr>
          <w:rFonts w:hint="default" w:ascii="Times New Roman" w:hAnsi="Times New Roman" w:eastAsia="宋体" w:cs="Times New Roman"/>
          <w:color w:val="231F20"/>
          <w:spacing w:val="-8"/>
          <w:sz w:val="24"/>
          <w:szCs w:val="24"/>
        </w:rPr>
        <w:t>Indo-Pacific</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8"/>
          <w:sz w:val="24"/>
          <w:szCs w:val="24"/>
        </w:rPr>
        <w:t>strategy</w:t>
      </w:r>
      <w:r>
        <w:rPr>
          <w:rFonts w:hint="default" w:ascii="Times New Roman" w:hAnsi="Times New Roman" w:eastAsia="宋体" w:cs="Times New Roman"/>
          <w:color w:val="231F20"/>
          <w:spacing w:val="29"/>
          <w:w w:val="101"/>
          <w:sz w:val="24"/>
          <w:szCs w:val="24"/>
        </w:rPr>
        <w:t xml:space="preserve"> </w:t>
      </w:r>
      <w:r>
        <w:rPr>
          <w:rFonts w:hint="default" w:ascii="Times New Roman" w:hAnsi="Times New Roman" w:eastAsia="宋体" w:cs="Times New Roman"/>
          <w:color w:val="231F20"/>
          <w:spacing w:val="-8"/>
          <w:sz w:val="24"/>
          <w:szCs w:val="24"/>
        </w:rPr>
        <w:t>of the</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8"/>
          <w:sz w:val="24"/>
          <w:szCs w:val="24"/>
        </w:rPr>
        <w:t>United</w:t>
      </w:r>
      <w:r>
        <w:rPr>
          <w:rFonts w:hint="default" w:ascii="Times New Roman" w:hAnsi="Times New Roman" w:eastAsia="宋体" w:cs="Times New Roman"/>
          <w:color w:val="231F20"/>
          <w:spacing w:val="29"/>
          <w:w w:val="101"/>
          <w:sz w:val="24"/>
          <w:szCs w:val="24"/>
        </w:rPr>
        <w:t xml:space="preserve"> </w:t>
      </w:r>
      <w:r>
        <w:rPr>
          <w:rFonts w:hint="default" w:ascii="Times New Roman" w:hAnsi="Times New Roman" w:eastAsia="宋体" w:cs="Times New Roman"/>
          <w:color w:val="231F20"/>
          <w:spacing w:val="-8"/>
          <w:sz w:val="24"/>
          <w:szCs w:val="24"/>
        </w:rPr>
        <w:t>States</w:t>
      </w:r>
      <w:r>
        <w:rPr>
          <w:rFonts w:hint="default" w:ascii="Times New Roman" w:hAnsi="Times New Roman" w:eastAsia="宋体" w:cs="Times New Roman"/>
          <w:color w:val="231F20"/>
          <w:spacing w:val="43"/>
          <w:w w:val="101"/>
          <w:sz w:val="24"/>
          <w:szCs w:val="24"/>
        </w:rPr>
        <w:t xml:space="preserve"> </w:t>
      </w:r>
      <w:r>
        <w:rPr>
          <w:rFonts w:hint="default" w:ascii="Times New Roman" w:hAnsi="Times New Roman" w:eastAsia="宋体" w:cs="Times New Roman"/>
          <w:color w:val="231F20"/>
          <w:spacing w:val="-8"/>
          <w:sz w:val="24"/>
          <w:szCs w:val="24"/>
        </w:rPr>
        <w:t>[EB/OL].</w:t>
      </w:r>
      <w:r>
        <w:rPr>
          <w:rFonts w:hint="default" w:ascii="Times New Roman" w:hAnsi="Times New Roman" w:eastAsia="宋体" w:cs="Times New Roman"/>
          <w:color w:val="231F20"/>
          <w:spacing w:val="26"/>
          <w:w w:val="101"/>
          <w:sz w:val="24"/>
          <w:szCs w:val="24"/>
        </w:rPr>
        <w:t xml:space="preserve"> </w:t>
      </w:r>
      <w:r>
        <w:rPr>
          <w:rFonts w:hint="default" w:ascii="Times New Roman" w:hAnsi="Times New Roman" w:eastAsia="宋体" w:cs="Times New Roman"/>
          <w:color w:val="231F20"/>
          <w:spacing w:val="-8"/>
          <w:sz w:val="24"/>
          <w:szCs w:val="24"/>
        </w:rPr>
        <w:t>2022-02.</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8"/>
          <w:sz w:val="24"/>
          <w:szCs w:val="24"/>
        </w:rPr>
        <w:t>https://www.</w:t>
      </w:r>
      <w:r>
        <w:rPr>
          <w:rFonts w:hint="default" w:ascii="Times New Roman" w:hAnsi="Times New Roman" w:eastAsia="宋体" w:cs="Times New Roman"/>
          <w:color w:val="231F20"/>
          <w:spacing w:val="-34"/>
          <w:sz w:val="24"/>
          <w:szCs w:val="24"/>
        </w:rPr>
        <w:t xml:space="preserve"> </w:t>
      </w:r>
      <w:r>
        <w:rPr>
          <w:rFonts w:hint="default" w:ascii="Times New Roman" w:hAnsi="Times New Roman" w:eastAsia="宋体" w:cs="Times New Roman"/>
          <w:color w:val="231F20"/>
          <w:spacing w:val="-8"/>
          <w:sz w:val="24"/>
          <w:szCs w:val="24"/>
        </w:rPr>
        <w:t>whiteho</w:t>
      </w:r>
      <w:r>
        <w:rPr>
          <w:rFonts w:hint="default" w:ascii="Times New Roman" w:hAnsi="Times New Roman" w:eastAsia="宋体" w:cs="Times New Roman"/>
          <w:color w:val="231F20"/>
          <w:spacing w:val="-9"/>
          <w:sz w:val="24"/>
          <w:szCs w:val="24"/>
        </w:rPr>
        <w:t>use.</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6"/>
          <w:sz w:val="24"/>
          <w:szCs w:val="24"/>
        </w:rPr>
        <w:t>gov/wp-content/uploads/2022/02/U.S.-Indo-Pa</w:t>
      </w:r>
      <w:r>
        <w:rPr>
          <w:rFonts w:hint="default" w:ascii="Times New Roman" w:hAnsi="Times New Roman" w:eastAsia="宋体" w:cs="Times New Roman"/>
          <w:color w:val="231F20"/>
          <w:spacing w:val="-7"/>
          <w:sz w:val="24"/>
          <w:szCs w:val="24"/>
        </w:rPr>
        <w:t>cific-Strategy.pdf。</w:t>
      </w:r>
    </w:p>
    <w:p w14:paraId="578185F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5"/>
          <w:sz w:val="24"/>
          <w:szCs w:val="24"/>
        </w:rPr>
        <w:t>⑧</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5"/>
          <w:sz w:val="24"/>
          <w:szCs w:val="24"/>
        </w:rPr>
        <w:t>Speaker</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5"/>
          <w:sz w:val="24"/>
          <w:szCs w:val="24"/>
        </w:rPr>
        <w:t>of</w:t>
      </w:r>
      <w:r>
        <w:rPr>
          <w:rFonts w:hint="default" w:ascii="Times New Roman" w:hAnsi="Times New Roman" w:eastAsia="宋体" w:cs="Times New Roman"/>
          <w:color w:val="231F20"/>
          <w:spacing w:val="4"/>
          <w:sz w:val="24"/>
          <w:szCs w:val="24"/>
        </w:rPr>
        <w:t xml:space="preserve"> </w:t>
      </w:r>
      <w:r>
        <w:rPr>
          <w:rFonts w:hint="default" w:ascii="Times New Roman" w:hAnsi="Times New Roman" w:eastAsia="宋体" w:cs="Times New Roman"/>
          <w:color w:val="231F20"/>
          <w:spacing w:val="-15"/>
          <w:sz w:val="24"/>
          <w:szCs w:val="24"/>
        </w:rPr>
        <w:t>the</w:t>
      </w:r>
      <w:r>
        <w:rPr>
          <w:rFonts w:hint="default" w:ascii="Times New Roman" w:hAnsi="Times New Roman" w:eastAsia="宋体" w:cs="Times New Roman"/>
          <w:color w:val="231F20"/>
          <w:spacing w:val="33"/>
          <w:w w:val="101"/>
          <w:sz w:val="24"/>
          <w:szCs w:val="24"/>
        </w:rPr>
        <w:t xml:space="preserve"> </w:t>
      </w:r>
      <w:r>
        <w:rPr>
          <w:rFonts w:hint="default" w:ascii="Times New Roman" w:hAnsi="Times New Roman" w:eastAsia="宋体" w:cs="Times New Roman"/>
          <w:color w:val="231F20"/>
          <w:spacing w:val="-15"/>
          <w:sz w:val="24"/>
          <w:szCs w:val="24"/>
        </w:rPr>
        <w:t>House.</w:t>
      </w:r>
      <w:r>
        <w:rPr>
          <w:rFonts w:hint="default" w:ascii="Times New Roman" w:hAnsi="Times New Roman" w:eastAsia="宋体" w:cs="Times New Roman"/>
          <w:color w:val="231F20"/>
          <w:spacing w:val="35"/>
          <w:sz w:val="24"/>
          <w:szCs w:val="24"/>
        </w:rPr>
        <w:t xml:space="preserve"> </w:t>
      </w:r>
      <w:r>
        <w:rPr>
          <w:rFonts w:hint="default" w:ascii="Times New Roman" w:hAnsi="Times New Roman" w:eastAsia="宋体" w:cs="Times New Roman"/>
          <w:color w:val="231F20"/>
          <w:spacing w:val="-15"/>
          <w:sz w:val="24"/>
          <w:szCs w:val="24"/>
        </w:rPr>
        <w:t>Spea</w:t>
      </w:r>
      <w:r>
        <w:rPr>
          <w:rFonts w:hint="default" w:ascii="Times New Roman" w:hAnsi="Times New Roman" w:eastAsia="宋体" w:cs="Times New Roman"/>
          <w:color w:val="231F20"/>
          <w:spacing w:val="-16"/>
          <w:sz w:val="24"/>
          <w:szCs w:val="24"/>
        </w:rPr>
        <w:t>ker</w:t>
      </w:r>
      <w:r>
        <w:rPr>
          <w:rFonts w:hint="default" w:ascii="Times New Roman" w:hAnsi="Times New Roman" w:eastAsia="宋体" w:cs="Times New Roman"/>
          <w:color w:val="231F20"/>
          <w:spacing w:val="5"/>
          <w:sz w:val="24"/>
          <w:szCs w:val="24"/>
        </w:rPr>
        <w:t xml:space="preserve"> </w:t>
      </w:r>
      <w:r>
        <w:rPr>
          <w:rFonts w:hint="default" w:ascii="Times New Roman" w:hAnsi="Times New Roman" w:eastAsia="宋体" w:cs="Times New Roman"/>
          <w:color w:val="231F20"/>
          <w:spacing w:val="-16"/>
          <w:sz w:val="24"/>
          <w:szCs w:val="24"/>
        </w:rPr>
        <w:t>Johnson</w:t>
      </w:r>
      <w:r>
        <w:rPr>
          <w:rFonts w:hint="default" w:ascii="Times New Roman" w:hAnsi="Times New Roman" w:eastAsia="宋体" w:cs="Times New Roman"/>
          <w:color w:val="231F20"/>
          <w:spacing w:val="37"/>
          <w:w w:val="101"/>
          <w:sz w:val="24"/>
          <w:szCs w:val="24"/>
        </w:rPr>
        <w:t xml:space="preserve"> </w:t>
      </w:r>
      <w:r>
        <w:rPr>
          <w:rFonts w:hint="default" w:ascii="Times New Roman" w:hAnsi="Times New Roman" w:eastAsia="宋体" w:cs="Times New Roman"/>
          <w:color w:val="231F20"/>
          <w:spacing w:val="-16"/>
          <w:sz w:val="24"/>
          <w:szCs w:val="24"/>
        </w:rPr>
        <w:t>commends</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6"/>
          <w:sz w:val="24"/>
          <w:szCs w:val="24"/>
        </w:rPr>
        <w:t>House</w:t>
      </w:r>
      <w:r>
        <w:rPr>
          <w:rFonts w:hint="default" w:ascii="Times New Roman" w:hAnsi="Times New Roman" w:eastAsia="宋体" w:cs="Times New Roman"/>
          <w:color w:val="231F20"/>
          <w:spacing w:val="31"/>
          <w:sz w:val="24"/>
          <w:szCs w:val="24"/>
        </w:rPr>
        <w:t xml:space="preserve"> </w:t>
      </w:r>
      <w:r>
        <w:rPr>
          <w:rFonts w:hint="default" w:ascii="Times New Roman" w:hAnsi="Times New Roman" w:eastAsia="宋体" w:cs="Times New Roman"/>
          <w:color w:val="231F20"/>
          <w:spacing w:val="-16"/>
          <w:sz w:val="24"/>
          <w:szCs w:val="24"/>
        </w:rPr>
        <w:t>Passage</w:t>
      </w:r>
      <w:r>
        <w:rPr>
          <w:rFonts w:hint="default" w:ascii="Times New Roman" w:hAnsi="Times New Roman" w:eastAsia="宋体" w:cs="Times New Roman"/>
          <w:color w:val="231F20"/>
          <w:spacing w:val="35"/>
          <w:w w:val="101"/>
          <w:sz w:val="24"/>
          <w:szCs w:val="24"/>
        </w:rPr>
        <w:t xml:space="preserve"> </w:t>
      </w:r>
      <w:r>
        <w:rPr>
          <w:rFonts w:hint="default" w:ascii="Times New Roman" w:hAnsi="Times New Roman" w:eastAsia="宋体" w:cs="Times New Roman"/>
          <w:color w:val="231F20"/>
          <w:spacing w:val="-16"/>
          <w:sz w:val="24"/>
          <w:szCs w:val="24"/>
        </w:rPr>
        <w:t>of</w:t>
      </w:r>
      <w:r>
        <w:rPr>
          <w:rFonts w:hint="default" w:ascii="Times New Roman" w:hAnsi="Times New Roman" w:eastAsia="宋体" w:cs="Times New Roman"/>
          <w:color w:val="231F20"/>
          <w:spacing w:val="4"/>
          <w:sz w:val="24"/>
          <w:szCs w:val="24"/>
        </w:rPr>
        <w:t xml:space="preserve"> </w:t>
      </w:r>
      <w:r>
        <w:rPr>
          <w:rFonts w:hint="default" w:ascii="Times New Roman" w:hAnsi="Times New Roman" w:eastAsia="宋体" w:cs="Times New Roman"/>
          <w:color w:val="231F20"/>
          <w:spacing w:val="-16"/>
          <w:sz w:val="24"/>
          <w:szCs w:val="24"/>
        </w:rPr>
        <w:t>the</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6"/>
          <w:sz w:val="24"/>
          <w:szCs w:val="24"/>
        </w:rPr>
        <w:t>protecting</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16"/>
          <w:sz w:val="24"/>
          <w:szCs w:val="24"/>
        </w:rPr>
        <w:t>Americans</w:t>
      </w:r>
      <w:r>
        <w:rPr>
          <w:rFonts w:hint="default" w:ascii="Times New Roman" w:hAnsi="Times New Roman" w:eastAsia="宋体" w:cs="Times New Roman"/>
          <w:color w:val="231F20"/>
          <w:spacing w:val="30"/>
          <w:sz w:val="24"/>
          <w:szCs w:val="24"/>
        </w:rPr>
        <w:t xml:space="preserve"> </w:t>
      </w:r>
      <w:r>
        <w:rPr>
          <w:rFonts w:hint="default" w:ascii="Times New Roman" w:hAnsi="Times New Roman" w:eastAsia="宋体" w:cs="Times New Roman"/>
          <w:color w:val="231F20"/>
          <w:spacing w:val="-16"/>
          <w:sz w:val="24"/>
          <w:szCs w:val="24"/>
        </w:rPr>
        <w:t>from</w:t>
      </w:r>
      <w:r>
        <w:rPr>
          <w:rFonts w:hint="default" w:ascii="Times New Roman" w:hAnsi="Times New Roman" w:eastAsia="宋体" w:cs="Times New Roman"/>
          <w:color w:val="231F20"/>
          <w:spacing w:val="32"/>
          <w:sz w:val="24"/>
          <w:szCs w:val="24"/>
        </w:rPr>
        <w:t xml:space="preserve"> </w:t>
      </w:r>
      <w:r>
        <w:rPr>
          <w:rFonts w:hint="default" w:ascii="Times New Roman" w:hAnsi="Times New Roman" w:eastAsia="宋体" w:cs="Times New Roman"/>
          <w:color w:val="231F20"/>
          <w:spacing w:val="-16"/>
          <w:sz w:val="24"/>
          <w:szCs w:val="24"/>
        </w:rPr>
        <w:t>foreign</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1"/>
          <w:sz w:val="24"/>
          <w:szCs w:val="24"/>
        </w:rPr>
        <w:t>adversary</w:t>
      </w:r>
      <w:r>
        <w:rPr>
          <w:rFonts w:hint="default" w:ascii="Times New Roman" w:hAnsi="Times New Roman" w:eastAsia="宋体" w:cs="Times New Roman"/>
          <w:color w:val="231F20"/>
          <w:spacing w:val="38"/>
          <w:sz w:val="24"/>
          <w:szCs w:val="24"/>
        </w:rPr>
        <w:t xml:space="preserve"> </w:t>
      </w:r>
      <w:r>
        <w:rPr>
          <w:rFonts w:hint="default" w:ascii="Times New Roman" w:hAnsi="Times New Roman" w:eastAsia="宋体" w:cs="Times New Roman"/>
          <w:color w:val="231F20"/>
          <w:spacing w:val="-11"/>
          <w:sz w:val="24"/>
          <w:szCs w:val="24"/>
        </w:rPr>
        <w:t>controlled</w:t>
      </w:r>
      <w:r>
        <w:rPr>
          <w:rFonts w:hint="default" w:ascii="Times New Roman" w:hAnsi="Times New Roman" w:eastAsia="宋体" w:cs="Times New Roman"/>
          <w:color w:val="231F20"/>
          <w:spacing w:val="34"/>
          <w:w w:val="101"/>
          <w:sz w:val="24"/>
          <w:szCs w:val="24"/>
        </w:rPr>
        <w:t xml:space="preserve"> </w:t>
      </w:r>
      <w:r>
        <w:rPr>
          <w:rFonts w:hint="default" w:ascii="Times New Roman" w:hAnsi="Times New Roman" w:eastAsia="宋体" w:cs="Times New Roman"/>
          <w:color w:val="231F20"/>
          <w:spacing w:val="-11"/>
          <w:sz w:val="24"/>
          <w:szCs w:val="24"/>
        </w:rPr>
        <w:t>applications</w:t>
      </w:r>
      <w:r>
        <w:rPr>
          <w:rFonts w:hint="default" w:ascii="Times New Roman" w:hAnsi="Times New Roman" w:eastAsia="宋体" w:cs="Times New Roman"/>
          <w:color w:val="231F20"/>
          <w:spacing w:val="34"/>
          <w:sz w:val="24"/>
          <w:szCs w:val="24"/>
        </w:rPr>
        <w:t xml:space="preserve"> </w:t>
      </w:r>
      <w:r>
        <w:rPr>
          <w:rFonts w:hint="default" w:ascii="Times New Roman" w:hAnsi="Times New Roman" w:eastAsia="宋体" w:cs="Times New Roman"/>
          <w:color w:val="231F20"/>
          <w:spacing w:val="-11"/>
          <w:sz w:val="24"/>
          <w:szCs w:val="24"/>
        </w:rPr>
        <w:t>act  [</w:t>
      </w:r>
      <w:r>
        <w:rPr>
          <w:rFonts w:hint="default" w:ascii="Times New Roman" w:hAnsi="Times New Roman" w:eastAsia="宋体" w:cs="Times New Roman"/>
          <w:color w:val="231F20"/>
          <w:spacing w:val="-12"/>
          <w:sz w:val="24"/>
          <w:szCs w:val="24"/>
        </w:rPr>
        <w:t>EB</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2"/>
          <w:sz w:val="24"/>
          <w:szCs w:val="24"/>
        </w:rPr>
        <w:t>/</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2"/>
          <w:sz w:val="24"/>
          <w:szCs w:val="24"/>
        </w:rPr>
        <w:t>OL].（2024-03-13）.</w:t>
      </w:r>
      <w:r>
        <w:rPr>
          <w:rFonts w:hint="default" w:ascii="Times New Roman" w:hAnsi="Times New Roman" w:eastAsia="宋体" w:cs="Times New Roman"/>
          <w:color w:val="231F20"/>
          <w:spacing w:val="32"/>
          <w:sz w:val="24"/>
          <w:szCs w:val="24"/>
        </w:rPr>
        <w:t xml:space="preserve"> </w:t>
      </w:r>
      <w:r>
        <w:rPr>
          <w:rFonts w:hint="default" w:ascii="Times New Roman" w:hAnsi="Times New Roman" w:eastAsia="宋体" w:cs="Times New Roman"/>
          <w:color w:val="231F20"/>
          <w:spacing w:val="-12"/>
          <w:sz w:val="24"/>
          <w:szCs w:val="24"/>
        </w:rPr>
        <w:t>https://www.</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2"/>
          <w:sz w:val="24"/>
          <w:szCs w:val="24"/>
        </w:rPr>
        <w:t>speaker.</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12"/>
          <w:sz w:val="24"/>
          <w:szCs w:val="24"/>
        </w:rPr>
        <w:t>gov</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2"/>
          <w:sz w:val="24"/>
          <w:szCs w:val="24"/>
        </w:rPr>
        <w:t>/</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2"/>
          <w:sz w:val="24"/>
          <w:szCs w:val="24"/>
        </w:rPr>
        <w:t>speaker-johnson-comme</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7"/>
          <w:sz w:val="24"/>
          <w:szCs w:val="24"/>
        </w:rPr>
        <w:t>nds-house-passage-of-the-protecting-americans-</w:t>
      </w:r>
      <w:r>
        <w:rPr>
          <w:rFonts w:hint="default" w:ascii="Times New Roman" w:hAnsi="Times New Roman" w:eastAsia="宋体" w:cs="Times New Roman"/>
          <w:color w:val="231F20"/>
          <w:spacing w:val="-8"/>
          <w:sz w:val="24"/>
          <w:szCs w:val="24"/>
        </w:rPr>
        <w:t>from-foreign-adversary-controlled-applications-act/。</w:t>
      </w:r>
    </w:p>
    <w:p w14:paraId="21E2112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7"/>
          <w:sz w:val="24"/>
          <w:szCs w:val="24"/>
        </w:rPr>
        <w:t>⑨中华人民共和国外交部 . 美国对华认知中的谬误和事实真相[</w:t>
      </w:r>
      <w:r>
        <w:rPr>
          <w:rFonts w:hint="default" w:ascii="Times New Roman" w:hAnsi="Times New Roman" w:eastAsia="宋体" w:cs="Times New Roman"/>
          <w:color w:val="231F20"/>
          <w:sz w:val="24"/>
          <w:szCs w:val="24"/>
        </w:rPr>
        <w:t>EB</w:t>
      </w:r>
      <w:r>
        <w:rPr>
          <w:rFonts w:hint="default" w:ascii="Times New Roman" w:hAnsi="Times New Roman" w:eastAsia="宋体" w:cs="Times New Roman"/>
          <w:color w:val="231F20"/>
          <w:spacing w:val="7"/>
          <w:sz w:val="24"/>
          <w:szCs w:val="24"/>
        </w:rPr>
        <w:t>/</w:t>
      </w:r>
      <w:r>
        <w:rPr>
          <w:rFonts w:hint="default" w:ascii="Times New Roman" w:hAnsi="Times New Roman" w:eastAsia="宋体" w:cs="Times New Roman"/>
          <w:color w:val="231F20"/>
          <w:sz w:val="24"/>
          <w:szCs w:val="24"/>
        </w:rPr>
        <w:t>OL</w:t>
      </w:r>
      <w:r>
        <w:rPr>
          <w:rFonts w:hint="default" w:ascii="Times New Roman" w:hAnsi="Times New Roman" w:eastAsia="宋体" w:cs="Times New Roman"/>
          <w:color w:val="231F20"/>
          <w:spacing w:val="7"/>
          <w:sz w:val="24"/>
          <w:szCs w:val="24"/>
        </w:rPr>
        <w:t>].（2022-0</w:t>
      </w:r>
      <w:r>
        <w:rPr>
          <w:rFonts w:hint="default" w:ascii="Times New Roman" w:hAnsi="Times New Roman" w:eastAsia="宋体" w:cs="Times New Roman"/>
          <w:color w:val="231F20"/>
          <w:spacing w:val="6"/>
          <w:sz w:val="24"/>
          <w:szCs w:val="24"/>
        </w:rPr>
        <w:t xml:space="preserve">6-19）. </w:t>
      </w:r>
      <w:r>
        <w:rPr>
          <w:rFonts w:hint="default" w:ascii="Times New Roman" w:hAnsi="Times New Roman" w:eastAsia="宋体" w:cs="Times New Roman"/>
          <w:color w:val="231F20"/>
          <w:sz w:val="24"/>
          <w:szCs w:val="24"/>
        </w:rPr>
        <w:t>http</w:t>
      </w:r>
      <w:r>
        <w:rPr>
          <w:rFonts w:hint="default" w:ascii="Times New Roman" w:hAnsi="Times New Roman" w:eastAsia="宋体" w:cs="Times New Roman"/>
          <w:color w:val="231F20"/>
          <w:spacing w:val="6"/>
          <w:sz w:val="24"/>
          <w:szCs w:val="24"/>
        </w:rPr>
        <w:t>://</w:t>
      </w:r>
      <w:r>
        <w:rPr>
          <w:rFonts w:hint="default" w:ascii="Times New Roman" w:hAnsi="Times New Roman" w:eastAsia="宋体" w:cs="Times New Roman"/>
          <w:color w:val="231F20"/>
          <w:sz w:val="24"/>
          <w:szCs w:val="24"/>
        </w:rPr>
        <w:t>newyork</w:t>
      </w:r>
      <w:r>
        <w:rPr>
          <w:rFonts w:hint="default" w:ascii="Times New Roman" w:hAnsi="Times New Roman" w:eastAsia="宋体" w:cs="Times New Roman"/>
          <w:color w:val="231F20"/>
          <w:spacing w:val="6"/>
          <w:sz w:val="24"/>
          <w:szCs w:val="24"/>
        </w:rPr>
        <w:t>.</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0"/>
          <w:sz w:val="24"/>
          <w:szCs w:val="24"/>
        </w:rPr>
        <w:t>fmprc.gov.cn/web/wjbxw_new/202206/t20220619_10706065.shtml。</w:t>
      </w:r>
    </w:p>
    <w:p w14:paraId="24424E1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6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⑩胡波</w:t>
      </w:r>
      <w:r>
        <w:rPr>
          <w:rFonts w:hint="default" w:ascii="Times New Roman" w:hAnsi="Times New Roman" w:eastAsia="宋体" w:cs="Times New Roman"/>
          <w:color w:val="231F20"/>
          <w:spacing w:val="-4"/>
          <w:sz w:val="24"/>
          <w:szCs w:val="24"/>
        </w:rPr>
        <w:t xml:space="preserve"> </w:t>
      </w:r>
      <w:r>
        <w:rPr>
          <w:rFonts w:hint="default" w:ascii="Times New Roman" w:hAnsi="Times New Roman" w:eastAsia="宋体" w:cs="Times New Roman"/>
          <w:color w:val="231F20"/>
          <w:spacing w:val="-3"/>
          <w:sz w:val="24"/>
          <w:szCs w:val="24"/>
        </w:rPr>
        <w:t>. 美新财年国防预算持续走高[N]. 中国国防报</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3"/>
          <w:sz w:val="24"/>
          <w:szCs w:val="24"/>
        </w:rPr>
        <w:t>.2024-03-27（4）。</w:t>
      </w:r>
    </w:p>
    <w:p w14:paraId="558A8651">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56A2781D">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0108DAF3">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 xml:space="preserve">⑪ </w:t>
      </w:r>
      <w:r>
        <w:rPr>
          <w:rFonts w:hint="default" w:ascii="Times New Roman" w:hAnsi="Times New Roman" w:eastAsia="宋体" w:cs="Times New Roman"/>
          <w:color w:val="231F20"/>
          <w:spacing w:val="-9"/>
          <w:sz w:val="24"/>
          <w:szCs w:val="24"/>
        </w:rPr>
        <w:t>The</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9"/>
          <w:sz w:val="24"/>
          <w:szCs w:val="24"/>
        </w:rPr>
        <w:t>White</w:t>
      </w:r>
      <w:r>
        <w:rPr>
          <w:rFonts w:hint="default" w:ascii="Times New Roman" w:hAnsi="Times New Roman" w:eastAsia="宋体" w:cs="Times New Roman"/>
          <w:color w:val="231F20"/>
          <w:spacing w:val="27"/>
          <w:w w:val="101"/>
          <w:sz w:val="24"/>
          <w:szCs w:val="24"/>
        </w:rPr>
        <w:t xml:space="preserve"> </w:t>
      </w:r>
      <w:r>
        <w:rPr>
          <w:rFonts w:hint="default" w:ascii="Times New Roman" w:hAnsi="Times New Roman" w:eastAsia="宋体" w:cs="Times New Roman"/>
          <w:color w:val="231F20"/>
          <w:spacing w:val="-9"/>
          <w:sz w:val="24"/>
          <w:szCs w:val="24"/>
        </w:rPr>
        <w:t>House.</w:t>
      </w:r>
      <w:r>
        <w:rPr>
          <w:rFonts w:hint="default" w:ascii="Times New Roman" w:hAnsi="Times New Roman" w:eastAsia="宋体" w:cs="Times New Roman"/>
          <w:color w:val="231F20"/>
          <w:spacing w:val="30"/>
          <w:sz w:val="24"/>
          <w:szCs w:val="24"/>
        </w:rPr>
        <w:t xml:space="preserve"> </w:t>
      </w:r>
      <w:r>
        <w:rPr>
          <w:rFonts w:hint="default" w:ascii="Times New Roman" w:hAnsi="Times New Roman" w:eastAsia="宋体" w:cs="Times New Roman"/>
          <w:color w:val="231F20"/>
          <w:spacing w:val="-9"/>
          <w:sz w:val="24"/>
          <w:szCs w:val="24"/>
        </w:rPr>
        <w:t>FACT</w:t>
      </w:r>
      <w:r>
        <w:rPr>
          <w:rFonts w:hint="default" w:ascii="Times New Roman" w:hAnsi="Times New Roman" w:eastAsia="宋体" w:cs="Times New Roman"/>
          <w:color w:val="231F20"/>
          <w:spacing w:val="31"/>
          <w:sz w:val="24"/>
          <w:szCs w:val="24"/>
        </w:rPr>
        <w:t xml:space="preserve"> </w:t>
      </w:r>
      <w:r>
        <w:rPr>
          <w:rFonts w:hint="default" w:ascii="Times New Roman" w:hAnsi="Times New Roman" w:eastAsia="宋体" w:cs="Times New Roman"/>
          <w:color w:val="231F20"/>
          <w:spacing w:val="-9"/>
          <w:sz w:val="24"/>
          <w:szCs w:val="24"/>
        </w:rPr>
        <w:t>SHEET:</w:t>
      </w:r>
      <w:r>
        <w:rPr>
          <w:rFonts w:hint="default" w:ascii="Times New Roman" w:hAnsi="Times New Roman" w:eastAsia="宋体" w:cs="Times New Roman"/>
          <w:color w:val="231F20"/>
          <w:spacing w:val="27"/>
          <w:w w:val="101"/>
          <w:sz w:val="24"/>
          <w:szCs w:val="24"/>
        </w:rPr>
        <w:t xml:space="preserve"> </w:t>
      </w:r>
      <w:r>
        <w:rPr>
          <w:rFonts w:hint="default" w:ascii="Times New Roman" w:hAnsi="Times New Roman" w:eastAsia="宋体" w:cs="Times New Roman"/>
          <w:color w:val="231F20"/>
          <w:spacing w:val="-9"/>
          <w:sz w:val="24"/>
          <w:szCs w:val="24"/>
        </w:rPr>
        <w:t>The</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9"/>
          <w:sz w:val="24"/>
          <w:szCs w:val="24"/>
        </w:rPr>
        <w:t>trilater</w:t>
      </w:r>
      <w:r>
        <w:rPr>
          <w:rFonts w:hint="default" w:ascii="Times New Roman" w:hAnsi="Times New Roman" w:eastAsia="宋体" w:cs="Times New Roman"/>
          <w:color w:val="231F20"/>
          <w:spacing w:val="-10"/>
          <w:sz w:val="24"/>
          <w:szCs w:val="24"/>
        </w:rPr>
        <w:t>al</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10"/>
          <w:sz w:val="24"/>
          <w:szCs w:val="24"/>
        </w:rPr>
        <w:t>leaders'</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10"/>
          <w:sz w:val="24"/>
          <w:szCs w:val="24"/>
        </w:rPr>
        <w:t>summit</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10"/>
          <w:sz w:val="24"/>
          <w:szCs w:val="24"/>
        </w:rPr>
        <w:t>at</w:t>
      </w:r>
      <w:r>
        <w:rPr>
          <w:rFonts w:hint="default" w:ascii="Times New Roman" w:hAnsi="Times New Roman" w:eastAsia="宋体" w:cs="Times New Roman"/>
          <w:color w:val="231F20"/>
          <w:spacing w:val="31"/>
          <w:w w:val="101"/>
          <w:sz w:val="24"/>
          <w:szCs w:val="24"/>
        </w:rPr>
        <w:t xml:space="preserve"> </w:t>
      </w:r>
      <w:r>
        <w:rPr>
          <w:rFonts w:hint="default" w:ascii="Times New Roman" w:hAnsi="Times New Roman" w:eastAsia="宋体" w:cs="Times New Roman"/>
          <w:color w:val="231F20"/>
          <w:spacing w:val="-10"/>
          <w:sz w:val="24"/>
          <w:szCs w:val="24"/>
        </w:rPr>
        <w:t>Camp</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10"/>
          <w:sz w:val="24"/>
          <w:szCs w:val="24"/>
        </w:rPr>
        <w:t>David</w:t>
      </w:r>
      <w:r>
        <w:rPr>
          <w:rFonts w:hint="default" w:ascii="Times New Roman" w:hAnsi="Times New Roman" w:eastAsia="宋体" w:cs="Times New Roman"/>
          <w:color w:val="231F20"/>
          <w:spacing w:val="45"/>
          <w:w w:val="101"/>
          <w:sz w:val="24"/>
          <w:szCs w:val="24"/>
        </w:rPr>
        <w:t xml:space="preserve"> </w:t>
      </w:r>
      <w:r>
        <w:rPr>
          <w:rFonts w:hint="default" w:ascii="Times New Roman" w:hAnsi="Times New Roman" w:eastAsia="宋体" w:cs="Times New Roman"/>
          <w:color w:val="231F20"/>
          <w:spacing w:val="-10"/>
          <w:sz w:val="24"/>
          <w:szCs w:val="24"/>
        </w:rPr>
        <w:t>[EB</w:t>
      </w:r>
      <w:r>
        <w:rPr>
          <w:rFonts w:hint="default" w:ascii="Times New Roman" w:hAnsi="Times New Roman" w:eastAsia="宋体" w:cs="Times New Roman"/>
          <w:color w:val="231F20"/>
          <w:spacing w:val="-24"/>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24"/>
          <w:sz w:val="24"/>
          <w:szCs w:val="24"/>
        </w:rPr>
        <w:t xml:space="preserve"> </w:t>
      </w:r>
      <w:r>
        <w:rPr>
          <w:rFonts w:hint="default" w:ascii="Times New Roman" w:hAnsi="Times New Roman" w:eastAsia="宋体" w:cs="Times New Roman"/>
          <w:color w:val="231F20"/>
          <w:spacing w:val="-10"/>
          <w:sz w:val="24"/>
          <w:szCs w:val="24"/>
        </w:rPr>
        <w:t>OL].（2023-08-18）.</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"https://www.whitehouse.gov/briefing-room/statements-releases/2023/08/18/fact-sheet-the-trilateral-leaders-"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color w:val="231F20"/>
          <w:spacing w:val="-10"/>
          <w:sz w:val="24"/>
          <w:szCs w:val="24"/>
        </w:rPr>
        <w:t>https://www.</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0"/>
          <w:sz w:val="24"/>
          <w:szCs w:val="24"/>
        </w:rPr>
        <w:t>whitehouse.</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0"/>
          <w:sz w:val="24"/>
          <w:szCs w:val="24"/>
        </w:rPr>
        <w:t>gov</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22"/>
          <w:sz w:val="24"/>
          <w:szCs w:val="24"/>
        </w:rPr>
        <w:t xml:space="preserve"> </w:t>
      </w:r>
      <w:r>
        <w:rPr>
          <w:rFonts w:hint="default" w:ascii="Times New Roman" w:hAnsi="Times New Roman" w:eastAsia="宋体" w:cs="Times New Roman"/>
          <w:color w:val="231F20"/>
          <w:spacing w:val="-10"/>
          <w:sz w:val="24"/>
          <w:szCs w:val="24"/>
        </w:rPr>
        <w:t>briefing-room /</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statements-releases</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2023</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08</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 18</w:t>
      </w:r>
      <w:r>
        <w:rPr>
          <w:rFonts w:hint="default" w:ascii="Times New Roman" w:hAnsi="Times New Roman" w:eastAsia="宋体" w:cs="Times New Roman"/>
          <w:color w:val="231F20"/>
          <w:spacing w:val="-14"/>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10"/>
          <w:sz w:val="24"/>
          <w:szCs w:val="24"/>
        </w:rPr>
        <w:t>fact-sheet-the-trilateral-</w:t>
      </w:r>
      <w:r>
        <w:rPr>
          <w:rFonts w:hint="default" w:ascii="Times New Roman" w:hAnsi="Times New Roman" w:eastAsia="宋体" w:cs="Times New Roman"/>
          <w:color w:val="231F20"/>
          <w:spacing w:val="-11"/>
          <w:sz w:val="24"/>
          <w:szCs w:val="24"/>
        </w:rPr>
        <w:t>leaders-</w:t>
      </w:r>
      <w:r>
        <w:rPr>
          <w:rFonts w:hint="default" w:ascii="Times New Roman" w:hAnsi="Times New Roman" w:eastAsia="宋体" w:cs="Times New Roman"/>
          <w:color w:val="231F20"/>
          <w:spacing w:val="-11"/>
          <w:sz w:val="24"/>
          <w:szCs w:val="24"/>
        </w:rPr>
        <w:fldChar w:fldCharType="end"/>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6"/>
          <w:sz w:val="24"/>
          <w:szCs w:val="24"/>
        </w:rPr>
        <w:t>summit-at-camp-david/。</w:t>
      </w:r>
    </w:p>
    <w:p w14:paraId="6EEAEC1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⑫</w:t>
      </w:r>
      <w:r>
        <w:rPr>
          <w:rFonts w:hint="default" w:ascii="Times New Roman" w:hAnsi="Times New Roman" w:eastAsia="宋体" w:cs="Times New Roman"/>
          <w:color w:val="231F20"/>
          <w:spacing w:val="-10"/>
          <w:sz w:val="24"/>
          <w:szCs w:val="24"/>
        </w:rPr>
        <w:t>Asian</w:t>
      </w:r>
      <w:r>
        <w:rPr>
          <w:rFonts w:hint="default" w:ascii="Times New Roman" w:hAnsi="Times New Roman" w:eastAsia="宋体" w:cs="Times New Roman"/>
          <w:color w:val="231F20"/>
          <w:spacing w:val="20"/>
          <w:w w:val="101"/>
          <w:sz w:val="24"/>
          <w:szCs w:val="24"/>
        </w:rPr>
        <w:t xml:space="preserve"> </w:t>
      </w:r>
      <w:r>
        <w:rPr>
          <w:rFonts w:hint="default" w:ascii="Times New Roman" w:hAnsi="Times New Roman" w:eastAsia="宋体" w:cs="Times New Roman"/>
          <w:color w:val="231F20"/>
          <w:spacing w:val="-10"/>
          <w:sz w:val="24"/>
          <w:szCs w:val="24"/>
        </w:rPr>
        <w:t>Main</w:t>
      </w:r>
      <w:r>
        <w:rPr>
          <w:rFonts w:hint="default" w:ascii="Times New Roman" w:hAnsi="Times New Roman" w:eastAsia="宋体" w:cs="Times New Roman"/>
          <w:color w:val="231F20"/>
          <w:spacing w:val="18"/>
          <w:w w:val="101"/>
          <w:sz w:val="24"/>
          <w:szCs w:val="24"/>
        </w:rPr>
        <w:t xml:space="preserve"> </w:t>
      </w:r>
      <w:r>
        <w:rPr>
          <w:rFonts w:hint="default" w:ascii="Times New Roman" w:hAnsi="Times New Roman" w:eastAsia="宋体" w:cs="Times New Roman"/>
          <w:color w:val="231F20"/>
          <w:spacing w:val="-10"/>
          <w:sz w:val="24"/>
          <w:szCs w:val="24"/>
        </w:rPr>
        <w:t>Portal.</w:t>
      </w:r>
      <w:r>
        <w:rPr>
          <w:rFonts w:hint="default" w:ascii="Times New Roman" w:hAnsi="Times New Roman" w:eastAsia="宋体" w:cs="Times New Roman"/>
          <w:color w:val="231F20"/>
          <w:spacing w:val="14"/>
          <w:w w:val="101"/>
          <w:sz w:val="24"/>
          <w:szCs w:val="24"/>
        </w:rPr>
        <w:t xml:space="preserve"> </w:t>
      </w:r>
      <w:r>
        <w:rPr>
          <w:rFonts w:hint="default" w:ascii="Times New Roman" w:hAnsi="Times New Roman" w:eastAsia="宋体" w:cs="Times New Roman"/>
          <w:color w:val="231F20"/>
          <w:spacing w:val="-10"/>
          <w:sz w:val="24"/>
          <w:szCs w:val="24"/>
        </w:rPr>
        <w:t>ASEAN</w:t>
      </w:r>
      <w:r>
        <w:rPr>
          <w:rFonts w:hint="default" w:ascii="Times New Roman" w:hAnsi="Times New Roman" w:eastAsia="宋体" w:cs="Times New Roman"/>
          <w:color w:val="231F20"/>
          <w:spacing w:val="24"/>
          <w:sz w:val="24"/>
          <w:szCs w:val="24"/>
        </w:rPr>
        <w:t xml:space="preserve"> </w:t>
      </w:r>
      <w:r>
        <w:rPr>
          <w:rFonts w:hint="default" w:ascii="Times New Roman" w:hAnsi="Times New Roman" w:eastAsia="宋体" w:cs="Times New Roman"/>
          <w:color w:val="231F20"/>
          <w:spacing w:val="-10"/>
          <w:sz w:val="24"/>
          <w:szCs w:val="24"/>
        </w:rPr>
        <w:t>outlook</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0"/>
          <w:sz w:val="24"/>
          <w:szCs w:val="24"/>
        </w:rPr>
        <w:t>on</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the</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10"/>
          <w:sz w:val="24"/>
          <w:szCs w:val="24"/>
        </w:rPr>
        <w:t>Indo-Pacific</w:t>
      </w:r>
      <w:r>
        <w:rPr>
          <w:rFonts w:hint="default" w:ascii="Times New Roman" w:hAnsi="Times New Roman" w:eastAsia="宋体" w:cs="Times New Roman"/>
          <w:color w:val="231F20"/>
          <w:spacing w:val="37"/>
          <w:sz w:val="24"/>
          <w:szCs w:val="24"/>
        </w:rPr>
        <w:t xml:space="preserve"> </w:t>
      </w:r>
      <w:r>
        <w:rPr>
          <w:rFonts w:hint="default" w:ascii="Times New Roman" w:hAnsi="Times New Roman" w:eastAsia="宋体" w:cs="Times New Roman"/>
          <w:color w:val="231F20"/>
          <w:spacing w:val="-10"/>
          <w:sz w:val="24"/>
          <w:szCs w:val="24"/>
        </w:rPr>
        <w:t>[EB/OL].（2019-06-23）.https://asean.</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0"/>
          <w:sz w:val="24"/>
          <w:szCs w:val="24"/>
        </w:rPr>
        <w:t>org/asean20</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4"/>
          <w:sz w:val="24"/>
          <w:szCs w:val="24"/>
        </w:rPr>
        <w:t>20/wp-content/uploads/2021/01/ASEAN-Outlook-on-the-Indo-Pacific_FINAL_22062019.pdf。</w:t>
      </w:r>
    </w:p>
    <w:p w14:paraId="788C610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⑬</w:t>
      </w:r>
      <w:r>
        <w:rPr>
          <w:rFonts w:hint="default" w:ascii="Times New Roman" w:hAnsi="Times New Roman" w:eastAsia="宋体" w:cs="Times New Roman"/>
          <w:color w:val="231F20"/>
          <w:spacing w:val="-5"/>
          <w:sz w:val="24"/>
          <w:szCs w:val="24"/>
        </w:rPr>
        <w:t>沈雅梅</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5"/>
          <w:sz w:val="24"/>
          <w:szCs w:val="24"/>
        </w:rPr>
        <w:t>. 美国印太战略的谎言与真相[N].</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5"/>
          <w:sz w:val="24"/>
          <w:szCs w:val="24"/>
        </w:rPr>
        <w:t>光明日报</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6"/>
          <w:sz w:val="24"/>
          <w:szCs w:val="24"/>
        </w:rPr>
        <w:t>.2023-08-06（8）。</w:t>
      </w:r>
    </w:p>
    <w:p w14:paraId="6573B31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⑭</w:t>
      </w:r>
      <w:r>
        <w:rPr>
          <w:rFonts w:hint="default" w:ascii="Times New Roman" w:hAnsi="Times New Roman" w:eastAsia="宋体" w:cs="Times New Roman"/>
          <w:color w:val="231F20"/>
          <w:spacing w:val="-9"/>
          <w:sz w:val="24"/>
          <w:szCs w:val="24"/>
        </w:rPr>
        <w:t>CETHAN MEICK, MICHELLE KER,</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9"/>
          <w:sz w:val="24"/>
          <w:szCs w:val="24"/>
        </w:rPr>
        <w:t>HAN MAY</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9"/>
          <w:sz w:val="24"/>
          <w:szCs w:val="24"/>
        </w:rPr>
        <w:t>CHAN.</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9"/>
          <w:sz w:val="24"/>
          <w:szCs w:val="24"/>
        </w:rPr>
        <w:t>China's</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9"/>
          <w:sz w:val="24"/>
          <w:szCs w:val="24"/>
        </w:rPr>
        <w:t>engagement in</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9"/>
          <w:sz w:val="24"/>
          <w:szCs w:val="24"/>
        </w:rPr>
        <w:t>the Pacific</w:t>
      </w:r>
      <w:r>
        <w:rPr>
          <w:rFonts w:hint="default" w:ascii="Times New Roman" w:hAnsi="Times New Roman" w:eastAsia="宋体" w:cs="Times New Roman"/>
          <w:color w:val="231F20"/>
          <w:spacing w:val="5"/>
          <w:sz w:val="24"/>
          <w:szCs w:val="24"/>
        </w:rPr>
        <w:t xml:space="preserve"> </w:t>
      </w:r>
      <w:r>
        <w:rPr>
          <w:rFonts w:hint="default" w:ascii="Times New Roman" w:hAnsi="Times New Roman" w:eastAsia="宋体" w:cs="Times New Roman"/>
          <w:color w:val="231F20"/>
          <w:spacing w:val="-9"/>
          <w:sz w:val="24"/>
          <w:szCs w:val="24"/>
        </w:rPr>
        <w:t>islands:</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9"/>
          <w:sz w:val="24"/>
          <w:szCs w:val="24"/>
        </w:rPr>
        <w:t>Implications</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1"/>
          <w:sz w:val="24"/>
          <w:szCs w:val="24"/>
        </w:rPr>
        <w:t>for the United</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1"/>
          <w:sz w:val="24"/>
          <w:szCs w:val="24"/>
        </w:rPr>
        <w:t>States</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1"/>
          <w:sz w:val="24"/>
          <w:szCs w:val="24"/>
        </w:rPr>
        <w:t>[EB/OL]. U.S.-China</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1"/>
          <w:sz w:val="24"/>
          <w:szCs w:val="24"/>
        </w:rPr>
        <w:t>economic and</w:t>
      </w:r>
      <w:r>
        <w:rPr>
          <w:rFonts w:hint="default" w:ascii="Times New Roman" w:hAnsi="Times New Roman" w:eastAsia="宋体" w:cs="Times New Roman"/>
          <w:color w:val="231F20"/>
          <w:spacing w:val="3"/>
          <w:sz w:val="24"/>
          <w:szCs w:val="24"/>
        </w:rPr>
        <w:t xml:space="preserve"> </w:t>
      </w:r>
      <w:r>
        <w:rPr>
          <w:rFonts w:hint="default" w:ascii="Times New Roman" w:hAnsi="Times New Roman" w:eastAsia="宋体" w:cs="Times New Roman"/>
          <w:color w:val="231F20"/>
          <w:spacing w:val="-11"/>
          <w:sz w:val="24"/>
          <w:szCs w:val="24"/>
        </w:rPr>
        <w:t>security</w:t>
      </w:r>
      <w:r>
        <w:rPr>
          <w:rFonts w:hint="default" w:ascii="Times New Roman" w:hAnsi="Times New Roman" w:eastAsia="宋体" w:cs="Times New Roman"/>
          <w:color w:val="231F20"/>
          <w:spacing w:val="4"/>
          <w:sz w:val="24"/>
          <w:szCs w:val="24"/>
        </w:rPr>
        <w:t xml:space="preserve"> </w:t>
      </w:r>
      <w:r>
        <w:rPr>
          <w:rFonts w:hint="default" w:ascii="Times New Roman" w:hAnsi="Times New Roman" w:eastAsia="宋体" w:cs="Times New Roman"/>
          <w:color w:val="231F20"/>
          <w:spacing w:val="-11"/>
          <w:sz w:val="24"/>
          <w:szCs w:val="24"/>
        </w:rPr>
        <w:t>review</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1"/>
          <w:sz w:val="24"/>
          <w:szCs w:val="24"/>
        </w:rPr>
        <w:t>commission,</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1"/>
          <w:sz w:val="24"/>
          <w:szCs w:val="24"/>
        </w:rPr>
        <w:t>June</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1"/>
          <w:sz w:val="24"/>
          <w:szCs w:val="24"/>
        </w:rPr>
        <w:t>14,</w:t>
      </w:r>
      <w:r>
        <w:rPr>
          <w:rFonts w:hint="default" w:ascii="Times New Roman" w:hAnsi="Times New Roman" w:eastAsia="宋体" w:cs="Times New Roman"/>
          <w:color w:val="231F20"/>
          <w:spacing w:val="5"/>
          <w:sz w:val="24"/>
          <w:szCs w:val="24"/>
        </w:rPr>
        <w:t xml:space="preserve"> </w:t>
      </w:r>
      <w:r>
        <w:rPr>
          <w:rFonts w:hint="default" w:ascii="Times New Roman" w:hAnsi="Times New Roman" w:eastAsia="宋体" w:cs="Times New Roman"/>
          <w:color w:val="231F20"/>
          <w:spacing w:val="-11"/>
          <w:sz w:val="24"/>
          <w:szCs w:val="24"/>
        </w:rPr>
        <w:t>2018, p.</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1"/>
          <w:sz w:val="24"/>
          <w:szCs w:val="24"/>
        </w:rPr>
        <w:t>1</w:t>
      </w:r>
      <w:r>
        <w:rPr>
          <w:rFonts w:hint="default" w:ascii="Times New Roman" w:hAnsi="Times New Roman" w:eastAsia="宋体" w:cs="Times New Roman"/>
          <w:color w:val="231F20"/>
          <w:spacing w:val="-12"/>
          <w:sz w:val="24"/>
          <w:szCs w:val="24"/>
        </w:rPr>
        <w:t>.</w:t>
      </w:r>
      <w:r>
        <w:rPr>
          <w:rFonts w:hint="default" w:ascii="Times New Roman" w:hAnsi="Times New Roman" w:eastAsia="宋体" w:cs="Times New Roman"/>
          <w:color w:val="231F20"/>
          <w:spacing w:val="4"/>
          <w:sz w:val="24"/>
          <w:szCs w:val="24"/>
        </w:rPr>
        <w:t xml:space="preserve"> </w:t>
      </w:r>
      <w:r>
        <w:rPr>
          <w:rFonts w:hint="default" w:ascii="Times New Roman" w:hAnsi="Times New Roman" w:eastAsia="宋体" w:cs="Times New Roman"/>
          <w:color w:val="231F20"/>
          <w:spacing w:val="-12"/>
          <w:sz w:val="24"/>
          <w:szCs w:val="24"/>
        </w:rPr>
        <w:t>https://www.</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6"/>
          <w:sz w:val="24"/>
          <w:szCs w:val="24"/>
        </w:rPr>
        <w:t>sem</w:t>
      </w:r>
      <w:r>
        <w:rPr>
          <w:rFonts w:hint="default" w:ascii="Times New Roman" w:hAnsi="Times New Roman" w:eastAsia="宋体" w:cs="Times New Roman"/>
          <w:color w:val="231F20"/>
          <w:spacing w:val="-5"/>
          <w:sz w:val="24"/>
          <w:szCs w:val="24"/>
        </w:rPr>
        <w:t xml:space="preserve">anticscholar.    org   </w:t>
      </w:r>
      <w:r>
        <w:rPr>
          <w:rFonts w:hint="default" w:ascii="Times New Roman" w:hAnsi="Times New Roman" w:eastAsia="宋体" w:cs="Times New Roman"/>
          <w:color w:val="231F20"/>
          <w:spacing w:val="-6"/>
          <w:sz w:val="24"/>
          <w:szCs w:val="24"/>
        </w:rPr>
        <w:t xml:space="preserve"> /    paper    /    China's-Engagement-in-the-Pacific-Islands%    3A-for-the-Meick-Ker    </w:t>
      </w:r>
      <w:r>
        <w:rPr>
          <w:rFonts w:hint="default" w:ascii="Times New Roman" w:hAnsi="Times New Roman" w:eastAsia="宋体" w:cs="Times New Roman"/>
          <w:color w:val="231F20"/>
          <w:spacing w:val="-3"/>
          <w:sz w:val="24"/>
          <w:szCs w:val="24"/>
        </w:rPr>
        <w:t>/</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6"/>
          <w:sz w:val="24"/>
          <w:szCs w:val="24"/>
        </w:rPr>
        <w:t>659fd8b47507aa80576d2859bf06c9f636ada160。</w:t>
      </w:r>
    </w:p>
    <w:p w14:paraId="702326CD">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⑮</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3"/>
          <w:sz w:val="24"/>
          <w:szCs w:val="24"/>
        </w:rPr>
        <w:t>U.</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13"/>
          <w:sz w:val="24"/>
          <w:szCs w:val="24"/>
        </w:rPr>
        <w:t>S.</w:t>
      </w:r>
      <w:r>
        <w:rPr>
          <w:rFonts w:hint="default" w:ascii="Times New Roman" w:hAnsi="Times New Roman" w:eastAsia="宋体" w:cs="Times New Roman"/>
          <w:color w:val="231F20"/>
          <w:spacing w:val="23"/>
          <w:w w:val="101"/>
          <w:sz w:val="24"/>
          <w:szCs w:val="24"/>
        </w:rPr>
        <w:t xml:space="preserve"> </w:t>
      </w:r>
      <w:r>
        <w:rPr>
          <w:rFonts w:hint="default" w:ascii="Times New Roman" w:hAnsi="Times New Roman" w:eastAsia="宋体" w:cs="Times New Roman"/>
          <w:color w:val="231F20"/>
          <w:spacing w:val="-13"/>
          <w:sz w:val="24"/>
          <w:szCs w:val="24"/>
        </w:rPr>
        <w:t>Department</w:t>
      </w:r>
      <w:r>
        <w:rPr>
          <w:rFonts w:hint="default" w:ascii="Times New Roman" w:hAnsi="Times New Roman" w:eastAsia="宋体" w:cs="Times New Roman"/>
          <w:color w:val="231F20"/>
          <w:spacing w:val="28"/>
          <w:w w:val="101"/>
          <w:sz w:val="24"/>
          <w:szCs w:val="24"/>
        </w:rPr>
        <w:t xml:space="preserve"> </w:t>
      </w:r>
      <w:r>
        <w:rPr>
          <w:rFonts w:hint="default" w:ascii="Times New Roman" w:hAnsi="Times New Roman" w:eastAsia="宋体" w:cs="Times New Roman"/>
          <w:color w:val="231F20"/>
          <w:spacing w:val="-13"/>
          <w:sz w:val="24"/>
          <w:szCs w:val="24"/>
        </w:rPr>
        <w:t>of State.</w:t>
      </w:r>
      <w:r>
        <w:rPr>
          <w:rFonts w:hint="default" w:ascii="Times New Roman" w:hAnsi="Times New Roman" w:eastAsia="宋体" w:cs="Times New Roman"/>
          <w:color w:val="231F20"/>
          <w:spacing w:val="26"/>
          <w:w w:val="101"/>
          <w:sz w:val="24"/>
          <w:szCs w:val="24"/>
        </w:rPr>
        <w:t xml:space="preserve"> </w:t>
      </w:r>
      <w:r>
        <w:rPr>
          <w:rFonts w:hint="default" w:ascii="Times New Roman" w:hAnsi="Times New Roman" w:eastAsia="宋体" w:cs="Times New Roman"/>
          <w:color w:val="231F20"/>
          <w:spacing w:val="-13"/>
          <w:sz w:val="24"/>
          <w:szCs w:val="24"/>
        </w:rPr>
        <w:t>The</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13"/>
          <w:sz w:val="24"/>
          <w:szCs w:val="24"/>
        </w:rPr>
        <w:t>United</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3"/>
          <w:sz w:val="24"/>
          <w:szCs w:val="24"/>
        </w:rPr>
        <w:t>States'</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3"/>
          <w:sz w:val="24"/>
          <w:szCs w:val="24"/>
        </w:rPr>
        <w:t>enduring</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3"/>
          <w:sz w:val="24"/>
          <w:szCs w:val="24"/>
        </w:rPr>
        <w:t>commitment</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13"/>
          <w:sz w:val="24"/>
          <w:szCs w:val="24"/>
        </w:rPr>
        <w:t>t</w:t>
      </w:r>
      <w:r>
        <w:rPr>
          <w:rFonts w:hint="default" w:ascii="Times New Roman" w:hAnsi="Times New Roman" w:eastAsia="宋体" w:cs="Times New Roman"/>
          <w:color w:val="231F20"/>
          <w:spacing w:val="-14"/>
          <w:sz w:val="24"/>
          <w:szCs w:val="24"/>
        </w:rPr>
        <w:t>o</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14"/>
          <w:sz w:val="24"/>
          <w:szCs w:val="24"/>
        </w:rPr>
        <w:t>the</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4"/>
          <w:sz w:val="24"/>
          <w:szCs w:val="24"/>
        </w:rPr>
        <w:t>Indo-Pacific:</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14"/>
          <w:sz w:val="24"/>
          <w:szCs w:val="24"/>
        </w:rPr>
        <w:t>Marking</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14"/>
          <w:sz w:val="24"/>
          <w:szCs w:val="24"/>
        </w:rPr>
        <w:t>two</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14"/>
          <w:sz w:val="24"/>
          <w:szCs w:val="24"/>
        </w:rPr>
        <w:t>year</w:t>
      </w:r>
      <w:r>
        <w:rPr>
          <w:rFonts w:hint="default" w:ascii="Times New Roman" w:hAnsi="Times New Roman" w:eastAsia="宋体" w:cs="Times New Roman"/>
          <w:color w:val="231F20"/>
          <w:spacing w:val="-12"/>
          <w:sz w:val="24"/>
          <w:szCs w:val="24"/>
        </w:rPr>
        <w:t>s</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9"/>
          <w:sz w:val="24"/>
          <w:szCs w:val="24"/>
        </w:rPr>
        <w:t>Since</w:t>
      </w:r>
      <w:r>
        <w:rPr>
          <w:rFonts w:hint="default" w:ascii="Times New Roman" w:hAnsi="Times New Roman" w:eastAsia="宋体" w:cs="Times New Roman"/>
          <w:color w:val="231F20"/>
          <w:spacing w:val="19"/>
          <w:w w:val="101"/>
          <w:sz w:val="24"/>
          <w:szCs w:val="24"/>
        </w:rPr>
        <w:t xml:space="preserve"> </w:t>
      </w:r>
      <w:r>
        <w:rPr>
          <w:rFonts w:hint="default" w:ascii="Times New Roman" w:hAnsi="Times New Roman" w:eastAsia="宋体" w:cs="Times New Roman"/>
          <w:color w:val="231F20"/>
          <w:spacing w:val="-9"/>
          <w:sz w:val="24"/>
          <w:szCs w:val="24"/>
        </w:rPr>
        <w:t>the</w:t>
      </w:r>
      <w:r>
        <w:rPr>
          <w:rFonts w:hint="default" w:ascii="Times New Roman" w:hAnsi="Times New Roman" w:eastAsia="宋体" w:cs="Times New Roman"/>
          <w:color w:val="231F20"/>
          <w:spacing w:val="19"/>
          <w:sz w:val="24"/>
          <w:szCs w:val="24"/>
        </w:rPr>
        <w:t xml:space="preserve"> </w:t>
      </w:r>
      <w:r>
        <w:rPr>
          <w:rFonts w:hint="default" w:ascii="Times New Roman" w:hAnsi="Times New Roman" w:eastAsia="宋体" w:cs="Times New Roman"/>
          <w:color w:val="231F20"/>
          <w:spacing w:val="-9"/>
          <w:sz w:val="24"/>
          <w:szCs w:val="24"/>
        </w:rPr>
        <w:t>release</w:t>
      </w:r>
      <w:r>
        <w:rPr>
          <w:rFonts w:hint="default" w:ascii="Times New Roman" w:hAnsi="Times New Roman" w:eastAsia="宋体" w:cs="Times New Roman"/>
          <w:color w:val="231F20"/>
          <w:spacing w:val="22"/>
          <w:w w:val="101"/>
          <w:sz w:val="24"/>
          <w:szCs w:val="24"/>
        </w:rPr>
        <w:t xml:space="preserve"> </w:t>
      </w:r>
      <w:r>
        <w:rPr>
          <w:rFonts w:hint="default" w:ascii="Times New Roman" w:hAnsi="Times New Roman" w:eastAsia="宋体" w:cs="Times New Roman"/>
          <w:color w:val="231F20"/>
          <w:spacing w:val="-9"/>
          <w:sz w:val="24"/>
          <w:szCs w:val="24"/>
        </w:rPr>
        <w:t>of the</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9"/>
          <w:sz w:val="24"/>
          <w:szCs w:val="24"/>
        </w:rPr>
        <w:t>administrat</w:t>
      </w:r>
      <w:r>
        <w:rPr>
          <w:rFonts w:hint="default" w:ascii="Times New Roman" w:hAnsi="Times New Roman" w:eastAsia="宋体" w:cs="Times New Roman"/>
          <w:color w:val="231F20"/>
          <w:spacing w:val="-10"/>
          <w:sz w:val="24"/>
          <w:szCs w:val="24"/>
        </w:rPr>
        <w:t>ion's</w:t>
      </w:r>
      <w:r>
        <w:rPr>
          <w:rFonts w:hint="default" w:ascii="Times New Roman" w:hAnsi="Times New Roman" w:eastAsia="宋体" w:cs="Times New Roman"/>
          <w:color w:val="231F20"/>
          <w:spacing w:val="22"/>
          <w:sz w:val="24"/>
          <w:szCs w:val="24"/>
        </w:rPr>
        <w:t xml:space="preserve"> </w:t>
      </w:r>
      <w:r>
        <w:rPr>
          <w:rFonts w:hint="default" w:ascii="Times New Roman" w:hAnsi="Times New Roman" w:eastAsia="宋体" w:cs="Times New Roman"/>
          <w:color w:val="231F20"/>
          <w:spacing w:val="-10"/>
          <w:sz w:val="24"/>
          <w:szCs w:val="24"/>
        </w:rPr>
        <w:t>Indo-Pacific</w:t>
      </w:r>
      <w:r>
        <w:rPr>
          <w:rFonts w:hint="default" w:ascii="Times New Roman" w:hAnsi="Times New Roman" w:eastAsia="宋体" w:cs="Times New Roman"/>
          <w:color w:val="231F20"/>
          <w:spacing w:val="18"/>
          <w:w w:val="101"/>
          <w:sz w:val="24"/>
          <w:szCs w:val="24"/>
        </w:rPr>
        <w:t xml:space="preserve"> </w:t>
      </w:r>
      <w:r>
        <w:rPr>
          <w:rFonts w:hint="default" w:ascii="Times New Roman" w:hAnsi="Times New Roman" w:eastAsia="宋体" w:cs="Times New Roman"/>
          <w:color w:val="231F20"/>
          <w:spacing w:val="-10"/>
          <w:sz w:val="24"/>
          <w:szCs w:val="24"/>
        </w:rPr>
        <w:t>strategy</w:t>
      </w:r>
      <w:r>
        <w:rPr>
          <w:rFonts w:hint="default" w:ascii="Times New Roman" w:hAnsi="Times New Roman" w:eastAsia="宋体" w:cs="Times New Roman"/>
          <w:color w:val="231F20"/>
          <w:spacing w:val="39"/>
          <w:w w:val="101"/>
          <w:sz w:val="24"/>
          <w:szCs w:val="24"/>
        </w:rPr>
        <w:t xml:space="preserve"> </w:t>
      </w:r>
      <w:r>
        <w:rPr>
          <w:rFonts w:hint="default" w:ascii="Times New Roman" w:hAnsi="Times New Roman" w:eastAsia="宋体" w:cs="Times New Roman"/>
          <w:color w:val="231F20"/>
          <w:spacing w:val="-10"/>
          <w:sz w:val="24"/>
          <w:szCs w:val="24"/>
        </w:rPr>
        <w:t>[EB/OL].（2024-02-09）.</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0"/>
          <w:sz w:val="24"/>
          <w:szCs w:val="24"/>
        </w:rPr>
        <w:t>https://www.state.gov/the-</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5"/>
          <w:sz w:val="24"/>
          <w:szCs w:val="24"/>
        </w:rPr>
        <w:t>united-states-enduring-commitment-to-the-indo-pacific-marking-two-years-since-the-release-of-the-admini</w:t>
      </w:r>
      <w:r>
        <w:rPr>
          <w:rFonts w:hint="default" w:ascii="Times New Roman" w:hAnsi="Times New Roman" w:eastAsia="宋体" w:cs="Times New Roman"/>
          <w:color w:val="231F20"/>
          <w:spacing w:val="5"/>
          <w:sz w:val="24"/>
          <w:szCs w:val="24"/>
        </w:rPr>
        <w:t xml:space="preserve">  </w:t>
      </w:r>
      <w:r>
        <w:rPr>
          <w:rFonts w:hint="default" w:ascii="Times New Roman" w:hAnsi="Times New Roman" w:eastAsia="宋体" w:cs="Times New Roman"/>
          <w:color w:val="231F20"/>
          <w:spacing w:val="-8"/>
          <w:sz w:val="24"/>
          <w:szCs w:val="24"/>
        </w:rPr>
        <w:t>strations-indo-pacific-strategy/。</w:t>
      </w:r>
    </w:p>
    <w:p w14:paraId="60919E9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⑯</w:t>
      </w:r>
      <w:r>
        <w:rPr>
          <w:rFonts w:hint="default" w:ascii="Times New Roman" w:hAnsi="Times New Roman" w:eastAsia="宋体" w:cs="Times New Roman"/>
          <w:color w:val="231F20"/>
          <w:spacing w:val="-12"/>
          <w:sz w:val="24"/>
          <w:szCs w:val="24"/>
        </w:rPr>
        <w:t>The</w:t>
      </w:r>
      <w:r>
        <w:rPr>
          <w:rFonts w:hint="default" w:ascii="Times New Roman" w:hAnsi="Times New Roman" w:eastAsia="宋体" w:cs="Times New Roman"/>
          <w:color w:val="231F20"/>
          <w:spacing w:val="19"/>
          <w:w w:val="101"/>
          <w:sz w:val="24"/>
          <w:szCs w:val="24"/>
        </w:rPr>
        <w:t xml:space="preserve"> </w:t>
      </w:r>
      <w:r>
        <w:rPr>
          <w:rFonts w:hint="default" w:ascii="Times New Roman" w:hAnsi="Times New Roman" w:eastAsia="宋体" w:cs="Times New Roman"/>
          <w:color w:val="231F20"/>
          <w:spacing w:val="-12"/>
          <w:sz w:val="24"/>
          <w:szCs w:val="24"/>
        </w:rPr>
        <w:t>Whi</w:t>
      </w:r>
      <w:r>
        <w:rPr>
          <w:rFonts w:hint="default" w:ascii="Times New Roman" w:hAnsi="Times New Roman" w:eastAsia="宋体" w:cs="Times New Roman"/>
          <w:color w:val="231F20"/>
          <w:spacing w:val="-11"/>
          <w:sz w:val="24"/>
          <w:szCs w:val="24"/>
        </w:rPr>
        <w:t>te</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11"/>
          <w:sz w:val="24"/>
          <w:szCs w:val="24"/>
        </w:rPr>
        <w:t>House.</w:t>
      </w:r>
      <w:r>
        <w:rPr>
          <w:rFonts w:hint="default" w:ascii="Times New Roman" w:hAnsi="Times New Roman" w:eastAsia="宋体" w:cs="Times New Roman"/>
          <w:color w:val="231F20"/>
          <w:spacing w:val="29"/>
          <w:w w:val="101"/>
          <w:sz w:val="24"/>
          <w:szCs w:val="24"/>
        </w:rPr>
        <w:t xml:space="preserve"> </w:t>
      </w:r>
      <w:r>
        <w:rPr>
          <w:rFonts w:hint="default" w:ascii="Times New Roman" w:hAnsi="Times New Roman" w:eastAsia="宋体" w:cs="Times New Roman"/>
          <w:color w:val="231F20"/>
          <w:spacing w:val="-11"/>
          <w:sz w:val="24"/>
          <w:szCs w:val="24"/>
        </w:rPr>
        <w:t>On-the-Record</w:t>
      </w:r>
      <w:r>
        <w:rPr>
          <w:rFonts w:hint="default" w:ascii="Times New Roman" w:hAnsi="Times New Roman" w:eastAsia="宋体" w:cs="Times New Roman"/>
          <w:color w:val="231F20"/>
          <w:spacing w:val="21"/>
          <w:w w:val="101"/>
          <w:sz w:val="24"/>
          <w:szCs w:val="24"/>
        </w:rPr>
        <w:t xml:space="preserve"> </w:t>
      </w:r>
      <w:r>
        <w:rPr>
          <w:rFonts w:hint="default" w:ascii="Times New Roman" w:hAnsi="Times New Roman" w:eastAsia="宋体" w:cs="Times New Roman"/>
          <w:color w:val="231F20"/>
          <w:spacing w:val="-11"/>
          <w:sz w:val="24"/>
          <w:szCs w:val="24"/>
        </w:rPr>
        <w:t>press</w:t>
      </w:r>
      <w:r>
        <w:rPr>
          <w:rFonts w:hint="default" w:ascii="Times New Roman" w:hAnsi="Times New Roman" w:eastAsia="宋体" w:cs="Times New Roman"/>
          <w:color w:val="231F20"/>
          <w:spacing w:val="28"/>
          <w:w w:val="101"/>
          <w:sz w:val="24"/>
          <w:szCs w:val="24"/>
        </w:rPr>
        <w:t xml:space="preserve"> </w:t>
      </w:r>
      <w:r>
        <w:rPr>
          <w:rFonts w:hint="default" w:ascii="Times New Roman" w:hAnsi="Times New Roman" w:eastAsia="宋体" w:cs="Times New Roman"/>
          <w:color w:val="231F20"/>
          <w:spacing w:val="-11"/>
          <w:sz w:val="24"/>
          <w:szCs w:val="24"/>
        </w:rPr>
        <w:t>call</w:t>
      </w:r>
      <w:r>
        <w:rPr>
          <w:rFonts w:hint="default" w:ascii="Times New Roman" w:hAnsi="Times New Roman" w:eastAsia="宋体" w:cs="Times New Roman"/>
          <w:color w:val="231F20"/>
          <w:spacing w:val="27"/>
          <w:w w:val="101"/>
          <w:sz w:val="24"/>
          <w:szCs w:val="24"/>
        </w:rPr>
        <w:t xml:space="preserve"> </w:t>
      </w:r>
      <w:r>
        <w:rPr>
          <w:rFonts w:hint="default" w:ascii="Times New Roman" w:hAnsi="Times New Roman" w:eastAsia="宋体" w:cs="Times New Roman"/>
          <w:color w:val="231F20"/>
          <w:spacing w:val="-11"/>
          <w:sz w:val="24"/>
          <w:szCs w:val="24"/>
        </w:rPr>
        <w:t>on</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11"/>
          <w:sz w:val="24"/>
          <w:szCs w:val="24"/>
        </w:rPr>
        <w:t>the</w:t>
      </w:r>
      <w:r>
        <w:rPr>
          <w:rFonts w:hint="default" w:ascii="Times New Roman" w:hAnsi="Times New Roman" w:eastAsia="宋体" w:cs="Times New Roman"/>
          <w:color w:val="231F20"/>
          <w:spacing w:val="21"/>
          <w:w w:val="101"/>
          <w:sz w:val="24"/>
          <w:szCs w:val="24"/>
        </w:rPr>
        <w:t xml:space="preserve"> </w:t>
      </w:r>
      <w:r>
        <w:rPr>
          <w:rFonts w:hint="default" w:ascii="Times New Roman" w:hAnsi="Times New Roman" w:eastAsia="宋体" w:cs="Times New Roman"/>
          <w:color w:val="231F20"/>
          <w:spacing w:val="-11"/>
          <w:sz w:val="24"/>
          <w:szCs w:val="24"/>
        </w:rPr>
        <w:t>launch</w:t>
      </w:r>
      <w:r>
        <w:rPr>
          <w:rFonts w:hint="default" w:ascii="Times New Roman" w:hAnsi="Times New Roman" w:eastAsia="宋体" w:cs="Times New Roman"/>
          <w:color w:val="231F20"/>
          <w:spacing w:val="28"/>
          <w:w w:val="101"/>
          <w:sz w:val="24"/>
          <w:szCs w:val="24"/>
        </w:rPr>
        <w:t xml:space="preserve"> </w:t>
      </w:r>
      <w:r>
        <w:rPr>
          <w:rFonts w:hint="default" w:ascii="Times New Roman" w:hAnsi="Times New Roman" w:eastAsia="宋体" w:cs="Times New Roman"/>
          <w:color w:val="231F20"/>
          <w:spacing w:val="-11"/>
          <w:sz w:val="24"/>
          <w:szCs w:val="24"/>
        </w:rPr>
        <w:t>of the</w:t>
      </w:r>
      <w:r>
        <w:rPr>
          <w:rFonts w:hint="default" w:ascii="Times New Roman" w:hAnsi="Times New Roman" w:eastAsia="宋体" w:cs="Times New Roman"/>
          <w:color w:val="231F20"/>
          <w:spacing w:val="28"/>
          <w:w w:val="101"/>
          <w:sz w:val="24"/>
          <w:szCs w:val="24"/>
        </w:rPr>
        <w:t xml:space="preserve"> </w:t>
      </w:r>
      <w:r>
        <w:rPr>
          <w:rFonts w:hint="default" w:ascii="Times New Roman" w:hAnsi="Times New Roman" w:eastAsia="宋体" w:cs="Times New Roman"/>
          <w:color w:val="231F20"/>
          <w:spacing w:val="-11"/>
          <w:sz w:val="24"/>
          <w:szCs w:val="24"/>
        </w:rPr>
        <w:t>Indo-Pacific</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11"/>
          <w:sz w:val="24"/>
          <w:szCs w:val="24"/>
        </w:rPr>
        <w:t>economic</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1"/>
          <w:sz w:val="24"/>
          <w:szCs w:val="24"/>
        </w:rPr>
        <w:t>framework  [EB</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2"/>
          <w:sz w:val="24"/>
          <w:szCs w:val="24"/>
        </w:rPr>
        <w:t>/</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9"/>
          <w:sz w:val="24"/>
          <w:szCs w:val="24"/>
        </w:rPr>
        <w:t>OL].（2022-05-23）. https://www.whitehouse.gov/briefing-room/press-briefings/2022/05/23/on-the-record-press-</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5"/>
          <w:sz w:val="24"/>
          <w:szCs w:val="24"/>
        </w:rPr>
        <w:t>call-on-the-launch-of-the-indo-pacific-economic-framework/。</w:t>
      </w:r>
    </w:p>
    <w:p w14:paraId="735860F9">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⑰</w:t>
      </w:r>
      <w:r>
        <w:rPr>
          <w:rFonts w:hint="default" w:ascii="Times New Roman" w:hAnsi="Times New Roman" w:eastAsia="宋体" w:cs="Times New Roman"/>
          <w:color w:val="231F20"/>
          <w:spacing w:val="-6"/>
          <w:sz w:val="24"/>
          <w:szCs w:val="24"/>
        </w:rPr>
        <w:t>丑则静</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6"/>
          <w:sz w:val="24"/>
          <w:szCs w:val="24"/>
        </w:rPr>
        <w:t>. 美国搞科技霸凌将反噬其身[N].</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6"/>
          <w:sz w:val="24"/>
          <w:szCs w:val="24"/>
        </w:rPr>
        <w:t>光明日报</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6"/>
          <w:sz w:val="24"/>
          <w:szCs w:val="24"/>
        </w:rPr>
        <w:t>.2023-04-</w:t>
      </w:r>
      <w:r>
        <w:rPr>
          <w:rFonts w:hint="default" w:ascii="Times New Roman" w:hAnsi="Times New Roman" w:eastAsia="宋体" w:cs="Times New Roman"/>
          <w:color w:val="231F20"/>
          <w:spacing w:val="-7"/>
          <w:sz w:val="24"/>
          <w:szCs w:val="24"/>
        </w:rPr>
        <w:t>03（</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7"/>
          <w:sz w:val="24"/>
          <w:szCs w:val="24"/>
        </w:rPr>
        <w:t>12）。</w:t>
      </w:r>
    </w:p>
    <w:p w14:paraId="77BDCFB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⑱</w:t>
      </w:r>
      <w:r>
        <w:rPr>
          <w:rFonts w:hint="default" w:ascii="Times New Roman" w:hAnsi="Times New Roman" w:eastAsia="宋体" w:cs="Times New Roman"/>
          <w:color w:val="231F20"/>
          <w:spacing w:val="-11"/>
          <w:sz w:val="24"/>
          <w:szCs w:val="24"/>
        </w:rPr>
        <w:t>U.S. Department</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11"/>
          <w:sz w:val="24"/>
          <w:szCs w:val="24"/>
        </w:rPr>
        <w:t>of</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1"/>
          <w:sz w:val="24"/>
          <w:szCs w:val="24"/>
        </w:rPr>
        <w:t>State.</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1"/>
          <w:sz w:val="24"/>
          <w:szCs w:val="24"/>
        </w:rPr>
        <w:t>The</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1"/>
          <w:sz w:val="24"/>
          <w:szCs w:val="24"/>
        </w:rPr>
        <w:t>United</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1"/>
          <w:sz w:val="24"/>
          <w:szCs w:val="24"/>
        </w:rPr>
        <w:t>States-European</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1"/>
          <w:sz w:val="24"/>
          <w:szCs w:val="24"/>
        </w:rPr>
        <w:t>Uuion</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1"/>
          <w:sz w:val="24"/>
          <w:szCs w:val="24"/>
        </w:rPr>
        <w:t>trade</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11"/>
          <w:sz w:val="24"/>
          <w:szCs w:val="24"/>
        </w:rPr>
        <w:t>and</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1"/>
          <w:sz w:val="24"/>
          <w:szCs w:val="24"/>
        </w:rPr>
        <w:t>technology</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11"/>
          <w:sz w:val="24"/>
          <w:szCs w:val="24"/>
        </w:rPr>
        <w:t>council</w:t>
      </w:r>
      <w:r>
        <w:rPr>
          <w:rFonts w:hint="default" w:ascii="Times New Roman" w:hAnsi="Times New Roman" w:eastAsia="宋体" w:cs="Times New Roman"/>
          <w:color w:val="231F20"/>
          <w:spacing w:val="27"/>
          <w:w w:val="101"/>
          <w:sz w:val="24"/>
          <w:szCs w:val="24"/>
        </w:rPr>
        <w:t xml:space="preserve"> </w:t>
      </w:r>
      <w:r>
        <w:rPr>
          <w:rFonts w:hint="default" w:ascii="Times New Roman" w:hAnsi="Times New Roman" w:eastAsia="宋体" w:cs="Times New Roman"/>
          <w:color w:val="231F20"/>
          <w:spacing w:val="-11"/>
          <w:sz w:val="24"/>
          <w:szCs w:val="24"/>
        </w:rPr>
        <w:t>[EB/</w:t>
      </w:r>
      <w:r>
        <w:rPr>
          <w:rFonts w:hint="default" w:ascii="Times New Roman" w:hAnsi="Times New Roman" w:eastAsia="宋体" w:cs="Times New Roman"/>
          <w:color w:val="231F20"/>
          <w:spacing w:val="-12"/>
          <w:sz w:val="24"/>
          <w:szCs w:val="24"/>
        </w:rPr>
        <w:t>OL].（2021-</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7"/>
          <w:sz w:val="24"/>
          <w:szCs w:val="24"/>
        </w:rPr>
        <w:t>09-28）. https://www.state.gov/the-un</w:t>
      </w:r>
      <w:r>
        <w:rPr>
          <w:rFonts w:hint="default" w:ascii="Times New Roman" w:hAnsi="Times New Roman" w:eastAsia="宋体" w:cs="Times New Roman"/>
          <w:color w:val="231F20"/>
          <w:spacing w:val="-8"/>
          <w:sz w:val="24"/>
          <w:szCs w:val="24"/>
        </w:rPr>
        <w:t>ited-states-european-union-trade-and-technology-council/。</w:t>
      </w:r>
    </w:p>
    <w:p w14:paraId="049F33CC">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⑲</w:t>
      </w:r>
      <w:r>
        <w:rPr>
          <w:rFonts w:hint="default" w:ascii="Times New Roman" w:hAnsi="Times New Roman" w:eastAsia="宋体" w:cs="Times New Roman"/>
          <w:color w:val="231F20"/>
          <w:spacing w:val="-9"/>
          <w:sz w:val="24"/>
          <w:szCs w:val="24"/>
        </w:rPr>
        <w:t>PARIS V E</w:t>
      </w:r>
      <w:r>
        <w:rPr>
          <w:rFonts w:hint="default" w:ascii="Times New Roman" w:hAnsi="Times New Roman" w:eastAsia="宋体" w:cs="Times New Roman"/>
          <w:color w:val="231F20"/>
          <w:spacing w:val="20"/>
          <w:w w:val="101"/>
          <w:sz w:val="24"/>
          <w:szCs w:val="24"/>
        </w:rPr>
        <w:t xml:space="preserve"> </w:t>
      </w:r>
      <w:r>
        <w:rPr>
          <w:rFonts w:hint="default" w:ascii="Times New Roman" w:hAnsi="Times New Roman" w:eastAsia="宋体" w:cs="Times New Roman"/>
          <w:color w:val="231F20"/>
          <w:spacing w:val="-9"/>
          <w:sz w:val="24"/>
          <w:szCs w:val="24"/>
        </w:rPr>
        <w:t>.The Wrecking</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9"/>
          <w:sz w:val="24"/>
          <w:szCs w:val="24"/>
        </w:rPr>
        <w:t>of</w:t>
      </w:r>
      <w:r>
        <w:rPr>
          <w:rFonts w:hint="default" w:ascii="Times New Roman" w:hAnsi="Times New Roman" w:eastAsia="宋体" w:cs="Times New Roman"/>
          <w:color w:val="231F20"/>
          <w:spacing w:val="-22"/>
          <w:sz w:val="24"/>
          <w:szCs w:val="24"/>
        </w:rPr>
        <w:t xml:space="preserve"> </w:t>
      </w:r>
      <w:r>
        <w:rPr>
          <w:rFonts w:hint="default" w:ascii="Times New Roman" w:hAnsi="Times New Roman" w:eastAsia="宋体" w:cs="Times New Roman"/>
          <w:color w:val="231F20"/>
          <w:spacing w:val="-9"/>
          <w:sz w:val="24"/>
          <w:szCs w:val="24"/>
        </w:rPr>
        <w:t>the Liberal World</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9"/>
          <w:sz w:val="24"/>
          <w:szCs w:val="24"/>
        </w:rPr>
        <w:t>Order[M].London: Palgrave</w:t>
      </w:r>
      <w:r>
        <w:rPr>
          <w:rFonts w:hint="default" w:ascii="Times New Roman" w:hAnsi="Times New Roman" w:eastAsia="宋体" w:cs="Times New Roman"/>
          <w:color w:val="231F20"/>
          <w:spacing w:val="4"/>
          <w:sz w:val="24"/>
          <w:szCs w:val="24"/>
        </w:rPr>
        <w:t xml:space="preserve"> </w:t>
      </w:r>
      <w:r>
        <w:rPr>
          <w:rFonts w:hint="default" w:ascii="Times New Roman" w:hAnsi="Times New Roman" w:eastAsia="宋体" w:cs="Times New Roman"/>
          <w:color w:val="231F20"/>
          <w:spacing w:val="-9"/>
          <w:sz w:val="24"/>
          <w:szCs w:val="24"/>
        </w:rPr>
        <w:t>Mac</w:t>
      </w:r>
      <w:r>
        <w:rPr>
          <w:rFonts w:hint="default" w:ascii="Times New Roman" w:hAnsi="Times New Roman" w:eastAsia="宋体" w:cs="Times New Roman"/>
          <w:color w:val="231F20"/>
          <w:spacing w:val="3"/>
          <w:sz w:val="24"/>
          <w:szCs w:val="24"/>
        </w:rPr>
        <w:t xml:space="preserve"> </w:t>
      </w:r>
      <w:r>
        <w:rPr>
          <w:rFonts w:hint="default" w:ascii="Times New Roman" w:hAnsi="Times New Roman" w:eastAsia="宋体" w:cs="Times New Roman"/>
          <w:color w:val="231F20"/>
          <w:spacing w:val="-9"/>
          <w:sz w:val="24"/>
          <w:szCs w:val="24"/>
        </w:rPr>
        <w:t>Millan,</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9"/>
          <w:sz w:val="24"/>
          <w:szCs w:val="24"/>
        </w:rPr>
        <w:t>2021。</w:t>
      </w:r>
    </w:p>
    <w:p w14:paraId="06F0334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3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6"/>
          <w:sz w:val="24"/>
          <w:szCs w:val="24"/>
        </w:rPr>
        <w:t>⑳</w:t>
      </w:r>
      <w:r>
        <w:rPr>
          <w:rFonts w:hint="default" w:ascii="Times New Roman" w:hAnsi="Times New Roman" w:eastAsia="宋体" w:cs="Times New Roman"/>
          <w:color w:val="231F20"/>
          <w:spacing w:val="-4"/>
          <w:sz w:val="24"/>
          <w:szCs w:val="24"/>
        </w:rPr>
        <w:t>中国一带一路网 .</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4"/>
          <w:sz w:val="24"/>
          <w:szCs w:val="24"/>
        </w:rPr>
        <w:t>共建“一带一路</w:t>
      </w:r>
      <w:r>
        <w:rPr>
          <w:rFonts w:hint="default" w:ascii="Times New Roman" w:hAnsi="Times New Roman" w:eastAsia="宋体" w:cs="Times New Roman"/>
          <w:color w:val="231F20"/>
          <w:spacing w:val="-35"/>
          <w:sz w:val="24"/>
          <w:szCs w:val="24"/>
        </w:rPr>
        <w:t xml:space="preserve"> </w:t>
      </w:r>
      <w:r>
        <w:rPr>
          <w:rFonts w:hint="default" w:ascii="Times New Roman" w:hAnsi="Times New Roman" w:eastAsia="宋体" w:cs="Times New Roman"/>
          <w:color w:val="231F20"/>
          <w:spacing w:val="-4"/>
          <w:sz w:val="24"/>
          <w:szCs w:val="24"/>
        </w:rPr>
        <w:t>”十周年</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4"/>
          <w:sz w:val="24"/>
          <w:szCs w:val="24"/>
        </w:rPr>
        <w:t>这</w:t>
      </w:r>
      <w:r>
        <w:rPr>
          <w:rFonts w:hint="default" w:ascii="Times New Roman" w:hAnsi="Times New Roman" w:eastAsia="宋体" w:cs="Times New Roman"/>
          <w:color w:val="231F20"/>
          <w:spacing w:val="-5"/>
          <w:sz w:val="24"/>
          <w:szCs w:val="24"/>
        </w:rPr>
        <w:t>份成绩单很亮眼[EB/OL].（2023-10-11）. https://www.yid ‐</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6"/>
          <w:sz w:val="24"/>
          <w:szCs w:val="24"/>
        </w:rPr>
        <w:t>aiyilu.gov.cn/p/087OQOQP.html。</w:t>
      </w:r>
    </w:p>
    <w:p w14:paraId="2C3AE0A2">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p>
    <w:p w14:paraId="22DE7AC7">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position w:val="1"/>
          <w:sz w:val="24"/>
          <w:szCs w:val="24"/>
        </w:rPr>
        <w:t>参考文献：</w:t>
      </w:r>
    </w:p>
    <w:p w14:paraId="7AC9133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[1]程恩富,</w:t>
      </w:r>
      <w:r>
        <w:rPr>
          <w:rFonts w:hint="default" w:ascii="Times New Roman" w:hAnsi="Times New Roman" w:eastAsia="宋体" w:cs="Times New Roman"/>
          <w:color w:val="231F20"/>
          <w:spacing w:val="-30"/>
          <w:sz w:val="24"/>
          <w:szCs w:val="24"/>
        </w:rPr>
        <w:t xml:space="preserve"> </w:t>
      </w:r>
      <w:r>
        <w:rPr>
          <w:rFonts w:hint="default" w:ascii="Times New Roman" w:hAnsi="Times New Roman" w:eastAsia="宋体" w:cs="Times New Roman"/>
          <w:color w:val="231F20"/>
          <w:spacing w:val="3"/>
          <w:sz w:val="24"/>
          <w:szCs w:val="24"/>
        </w:rPr>
        <w:t>陈健</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3"/>
          <w:sz w:val="24"/>
          <w:szCs w:val="24"/>
        </w:rPr>
        <w:t>.</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3"/>
          <w:sz w:val="24"/>
          <w:szCs w:val="24"/>
        </w:rPr>
        <w:t>评析美西方炒作的"中国产能过剩论"[J].政治</w:t>
      </w:r>
      <w:r>
        <w:rPr>
          <w:rFonts w:hint="default" w:ascii="Times New Roman" w:hAnsi="Times New Roman" w:eastAsia="宋体" w:cs="Times New Roman"/>
          <w:color w:val="231F20"/>
          <w:spacing w:val="2"/>
          <w:sz w:val="24"/>
          <w:szCs w:val="24"/>
        </w:rPr>
        <w:t>经济学研究,2024(2):6-12.</w:t>
      </w:r>
    </w:p>
    <w:p w14:paraId="7402CEF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[2]白洁,</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
          <w:sz w:val="24"/>
          <w:szCs w:val="24"/>
        </w:rPr>
        <w:t>苏庆义</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
          <w:sz w:val="24"/>
          <w:szCs w:val="24"/>
        </w:rPr>
        <w:t>.</w:t>
      </w:r>
      <w:r>
        <w:rPr>
          <w:rFonts w:hint="default" w:ascii="Times New Roman" w:hAnsi="Times New Roman" w:eastAsia="宋体" w:cs="Times New Roman"/>
          <w:color w:val="231F20"/>
          <w:sz w:val="24"/>
          <w:szCs w:val="24"/>
        </w:rPr>
        <w:t>CPTPP</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1"/>
          <w:sz w:val="24"/>
          <w:szCs w:val="24"/>
        </w:rPr>
        <w:t>的规则、影响及中国对策:基于和</w:t>
      </w:r>
      <w:r>
        <w:rPr>
          <w:rFonts w:hint="default" w:ascii="Times New Roman" w:hAnsi="Times New Roman" w:eastAsia="宋体" w:cs="Times New Roman"/>
          <w:color w:val="231F20"/>
          <w:sz w:val="24"/>
          <w:szCs w:val="24"/>
        </w:rPr>
        <w:t>TPP</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
          <w:sz w:val="24"/>
          <w:szCs w:val="24"/>
        </w:rPr>
        <w:t>对比的分析[J]. 国际经济评论,2019(1):58-7</w:t>
      </w:r>
      <w:r>
        <w:rPr>
          <w:rFonts w:hint="default" w:ascii="Times New Roman" w:hAnsi="Times New Roman" w:eastAsia="宋体" w:cs="Times New Roman"/>
          <w:color w:val="231F20"/>
          <w:sz w:val="24"/>
          <w:szCs w:val="24"/>
        </w:rPr>
        <w:t>6.</w:t>
      </w:r>
    </w:p>
    <w:p w14:paraId="109F0B2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[3]金君达</w:t>
      </w:r>
      <w:r>
        <w:rPr>
          <w:rFonts w:hint="default" w:ascii="Times New Roman" w:hAnsi="Times New Roman" w:eastAsia="宋体" w:cs="Times New Roman"/>
          <w:color w:val="231F20"/>
          <w:spacing w:val="-1"/>
          <w:sz w:val="24"/>
          <w:szCs w:val="24"/>
        </w:rPr>
        <w:t xml:space="preserve"> </w:t>
      </w:r>
      <w:r>
        <w:rPr>
          <w:rFonts w:hint="default" w:ascii="Times New Roman" w:hAnsi="Times New Roman" w:eastAsia="宋体" w:cs="Times New Roman"/>
          <w:color w:val="231F20"/>
          <w:sz w:val="24"/>
          <w:szCs w:val="24"/>
        </w:rPr>
        <w:t>. 美国落实"印太经济框架"的国内政治制约[J]. 东北亚论坛,2023(5):115-126.</w:t>
      </w:r>
    </w:p>
    <w:p w14:paraId="6FB761A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50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5"/>
          <w:sz w:val="24"/>
          <w:szCs w:val="24"/>
        </w:rPr>
        <w:t>[4]卢光盛,刘津瑞</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5"/>
          <w:sz w:val="24"/>
          <w:szCs w:val="24"/>
        </w:rPr>
        <w:t>.</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5"/>
          <w:sz w:val="24"/>
          <w:szCs w:val="24"/>
        </w:rPr>
        <w:t>世界主要国家及地区的"印太战略"</w:t>
      </w:r>
      <w:r>
        <w:rPr>
          <w:rFonts w:hint="default" w:ascii="Times New Roman" w:hAnsi="Times New Roman" w:eastAsia="宋体" w:cs="Times New Roman"/>
          <w:color w:val="231F20"/>
          <w:spacing w:val="4"/>
          <w:sz w:val="24"/>
          <w:szCs w:val="24"/>
        </w:rPr>
        <w:t>及其比较[J].云南师范大学学报(哲学社会科学版),2023</w:t>
      </w:r>
    </w:p>
    <w:p w14:paraId="5DEBA236">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(3):137-147.</w:t>
      </w:r>
    </w:p>
    <w:p w14:paraId="362E15C8">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[5]凌胜利,王彦飞</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2"/>
          <w:sz w:val="24"/>
          <w:szCs w:val="24"/>
        </w:rPr>
        <w:t>.</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2"/>
          <w:sz w:val="24"/>
          <w:szCs w:val="24"/>
        </w:rPr>
        <w:t>霸权的逻辑:美国亚太安全战略的多边转向[J]. 国际安全研究,2022(4):91-12</w:t>
      </w:r>
      <w:r>
        <w:rPr>
          <w:rFonts w:hint="default" w:ascii="Times New Roman" w:hAnsi="Times New Roman" w:eastAsia="宋体" w:cs="Times New Roman"/>
          <w:color w:val="231F20"/>
          <w:spacing w:val="1"/>
          <w:sz w:val="24"/>
          <w:szCs w:val="24"/>
        </w:rPr>
        <w:t>6.</w:t>
      </w:r>
    </w:p>
    <w:p w14:paraId="6B343C2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[6]凌胜利</w:t>
      </w:r>
      <w:r>
        <w:rPr>
          <w:rFonts w:hint="default" w:ascii="Times New Roman" w:hAnsi="Times New Roman" w:eastAsia="宋体" w:cs="Times New Roman"/>
          <w:color w:val="231F20"/>
          <w:spacing w:val="2"/>
          <w:sz w:val="24"/>
          <w:szCs w:val="24"/>
        </w:rPr>
        <w:t xml:space="preserve"> </w:t>
      </w:r>
      <w:r>
        <w:rPr>
          <w:rFonts w:hint="default" w:ascii="Times New Roman" w:hAnsi="Times New Roman" w:eastAsia="宋体" w:cs="Times New Roman"/>
          <w:color w:val="231F20"/>
          <w:spacing w:val="3"/>
          <w:sz w:val="24"/>
          <w:szCs w:val="24"/>
        </w:rPr>
        <w:t>.</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3"/>
          <w:sz w:val="24"/>
          <w:szCs w:val="24"/>
        </w:rPr>
        <w:t>亚太地区安全机制构建与中国方案[J].人民论坛·学术前沿,2023(15):45-54.</w:t>
      </w:r>
    </w:p>
    <w:p w14:paraId="41AEC92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[7]潘晓明</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
          <w:sz w:val="24"/>
          <w:szCs w:val="24"/>
        </w:rPr>
        <w:t>.</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
          <w:sz w:val="24"/>
          <w:szCs w:val="24"/>
        </w:rPr>
        <w:t>与亚太经济一体化未来[J]. 国际问题研究,2021(5</w:t>
      </w:r>
      <w:r>
        <w:rPr>
          <w:rFonts w:hint="default" w:ascii="Times New Roman" w:hAnsi="Times New Roman" w:eastAsia="宋体" w:cs="Times New Roman"/>
          <w:color w:val="231F20"/>
          <w:sz w:val="24"/>
          <w:szCs w:val="24"/>
        </w:rPr>
        <w:t>):108-117.</w:t>
      </w:r>
    </w:p>
    <w:p w14:paraId="21182AAA">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3"/>
          <w:sz w:val="24"/>
          <w:szCs w:val="24"/>
        </w:rPr>
        <w:t>[8]秦亚青</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3"/>
          <w:sz w:val="24"/>
          <w:szCs w:val="24"/>
        </w:rPr>
        <w:t>. 美国对华战略转变与中美关系走向[J].人民论坛·学术前沿,2021(5):61-71.</w:t>
      </w:r>
    </w:p>
    <w:p w14:paraId="02EE2EA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2"/>
          <w:sz w:val="24"/>
          <w:szCs w:val="24"/>
        </w:rPr>
        <w:t>[9]秦升</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2"/>
          <w:sz w:val="24"/>
          <w:szCs w:val="24"/>
        </w:rPr>
        <w:t>."印太"战略的南太平洋攻势:现状、动力与</w:t>
      </w:r>
      <w:r>
        <w:rPr>
          <w:rFonts w:hint="default" w:ascii="Times New Roman" w:hAnsi="Times New Roman" w:eastAsia="宋体" w:cs="Times New Roman"/>
          <w:color w:val="231F20"/>
          <w:spacing w:val="1"/>
          <w:sz w:val="24"/>
          <w:szCs w:val="24"/>
        </w:rPr>
        <w:t>前景[J].亚太安全与海洋研究, 2019(6):79-94.</w:t>
      </w:r>
    </w:p>
    <w:p w14:paraId="7AFF53FF">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[10]孙忆</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z w:val="24"/>
          <w:szCs w:val="24"/>
        </w:rPr>
        <w:t>.CPTPP、RCEP</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z w:val="24"/>
          <w:szCs w:val="24"/>
        </w:rPr>
        <w:t>与亚太区域经济一体化的前景[J]. 东北亚论坛,2</w:t>
      </w:r>
      <w:r>
        <w:rPr>
          <w:rFonts w:hint="default" w:ascii="Times New Roman" w:hAnsi="Times New Roman" w:eastAsia="宋体" w:cs="Times New Roman"/>
          <w:color w:val="231F20"/>
          <w:spacing w:val="-1"/>
          <w:sz w:val="24"/>
          <w:szCs w:val="24"/>
        </w:rPr>
        <w:t>022(4):98-113.</w:t>
      </w:r>
    </w:p>
    <w:p w14:paraId="18D1EC8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92" w:firstLineChars="200"/>
        <w:jc w:val="both"/>
        <w:textAlignment w:val="baseline"/>
        <w:rPr>
          <w:rFonts w:hint="default" w:ascii="Times New Roman" w:hAnsi="Times New Roman" w:eastAsia="宋体" w:cs="Times New Roman"/>
          <w:color w:val="231F20"/>
          <w:spacing w:val="2"/>
          <w:sz w:val="24"/>
          <w:szCs w:val="24"/>
        </w:rPr>
      </w:pPr>
      <w:r>
        <w:rPr>
          <w:rFonts w:hint="default" w:ascii="Times New Roman" w:hAnsi="Times New Roman" w:eastAsia="宋体" w:cs="Times New Roman"/>
          <w:color w:val="231F20"/>
          <w:spacing w:val="3"/>
          <w:sz w:val="24"/>
          <w:szCs w:val="24"/>
        </w:rPr>
        <w:t>[11]孙业霞,王怡然</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3"/>
          <w:sz w:val="24"/>
          <w:szCs w:val="24"/>
        </w:rPr>
        <w:t>.</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3"/>
          <w:sz w:val="24"/>
          <w:szCs w:val="24"/>
        </w:rPr>
        <w:t>数字资本主义经济的新变化及我国的应对战略选择[J].海派经济学,2023(</w:t>
      </w:r>
      <w:r>
        <w:rPr>
          <w:rFonts w:hint="default" w:ascii="Times New Roman" w:hAnsi="Times New Roman" w:eastAsia="宋体" w:cs="Times New Roman"/>
          <w:color w:val="231F20"/>
          <w:spacing w:val="2"/>
          <w:sz w:val="24"/>
          <w:szCs w:val="24"/>
        </w:rPr>
        <w:t>4):156-169.</w:t>
      </w:r>
    </w:p>
    <w:p w14:paraId="17D9B5D4">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[12]王缉思</w:t>
      </w:r>
      <w:r>
        <w:rPr>
          <w:rFonts w:hint="default" w:ascii="Times New Roman" w:hAnsi="Times New Roman" w:eastAsia="宋体" w:cs="Times New Roman"/>
          <w:color w:val="231F20"/>
          <w:spacing w:val="5"/>
          <w:sz w:val="24"/>
          <w:szCs w:val="24"/>
        </w:rPr>
        <w:t xml:space="preserve"> </w:t>
      </w:r>
      <w:r>
        <w:rPr>
          <w:rFonts w:hint="default" w:ascii="Times New Roman" w:hAnsi="Times New Roman" w:eastAsia="宋体" w:cs="Times New Roman"/>
          <w:color w:val="231F20"/>
          <w:spacing w:val="-1"/>
          <w:sz w:val="24"/>
          <w:szCs w:val="24"/>
        </w:rPr>
        <w:t>.</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
          <w:sz w:val="24"/>
          <w:szCs w:val="24"/>
        </w:rPr>
        <w:t>亚太地区安全架构:目标、条件与构想[J]. 国际安全研究,2016(1): 4-12.</w:t>
      </w:r>
    </w:p>
    <w:p w14:paraId="57B3F251">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[13]杨攻研,谭予婷</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
          <w:sz w:val="24"/>
          <w:szCs w:val="24"/>
        </w:rPr>
        <w:t>.</w:t>
      </w:r>
      <w:r>
        <w:rPr>
          <w:rFonts w:hint="default" w:ascii="Times New Roman" w:hAnsi="Times New Roman" w:eastAsia="宋体" w:cs="Times New Roman"/>
          <w:color w:val="231F20"/>
          <w:sz w:val="24"/>
          <w:szCs w:val="24"/>
        </w:rPr>
        <w:t>RCEP</w:t>
      </w:r>
      <w:r>
        <w:rPr>
          <w:rFonts w:hint="default" w:ascii="Times New Roman" w:hAnsi="Times New Roman" w:eastAsia="宋体" w:cs="Times New Roman"/>
          <w:color w:val="231F20"/>
          <w:spacing w:val="-10"/>
          <w:sz w:val="24"/>
          <w:szCs w:val="24"/>
        </w:rPr>
        <w:t xml:space="preserve"> </w:t>
      </w:r>
      <w:r>
        <w:rPr>
          <w:rFonts w:hint="default" w:ascii="Times New Roman" w:hAnsi="Times New Roman" w:eastAsia="宋体" w:cs="Times New Roman"/>
          <w:color w:val="231F20"/>
          <w:spacing w:val="1"/>
          <w:sz w:val="24"/>
          <w:szCs w:val="24"/>
        </w:rPr>
        <w:t>的起源、内容特征与经济</w:t>
      </w:r>
      <w:r>
        <w:rPr>
          <w:rFonts w:hint="default" w:ascii="Times New Roman" w:hAnsi="Times New Roman" w:eastAsia="宋体" w:cs="Times New Roman"/>
          <w:color w:val="231F20"/>
          <w:sz w:val="24"/>
          <w:szCs w:val="24"/>
        </w:rPr>
        <w:t>影响评估[J].</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z w:val="24"/>
          <w:szCs w:val="24"/>
        </w:rPr>
        <w:t>日本研究,2020(4):1-8.</w:t>
      </w:r>
    </w:p>
    <w:p w14:paraId="1752A3D5">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0"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z w:val="24"/>
          <w:szCs w:val="24"/>
        </w:rPr>
        <w:t>[14]赵菩,李巍</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z w:val="24"/>
          <w:szCs w:val="24"/>
        </w:rPr>
        <w:t>.</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z w:val="24"/>
          <w:szCs w:val="24"/>
        </w:rPr>
        <w:t xml:space="preserve">霸权护持:美国"印太"战略的升级[J]. </w:t>
      </w:r>
      <w:r>
        <w:rPr>
          <w:rFonts w:hint="default" w:ascii="Times New Roman" w:hAnsi="Times New Roman" w:eastAsia="宋体" w:cs="Times New Roman"/>
          <w:color w:val="231F20"/>
          <w:spacing w:val="-1"/>
          <w:sz w:val="24"/>
          <w:szCs w:val="24"/>
        </w:rPr>
        <w:t>东北亚论坛,2022(4):24-46+127.</w:t>
      </w:r>
    </w:p>
    <w:p w14:paraId="007B8FF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7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1"/>
          <w:sz w:val="24"/>
          <w:szCs w:val="24"/>
        </w:rPr>
        <w:t>[15]周琪</w:t>
      </w:r>
      <w:r>
        <w:rPr>
          <w:rFonts w:hint="default" w:ascii="Times New Roman" w:hAnsi="Times New Roman" w:eastAsia="宋体" w:cs="Times New Roman"/>
          <w:color w:val="231F20"/>
          <w:spacing w:val="3"/>
          <w:sz w:val="24"/>
          <w:szCs w:val="24"/>
        </w:rPr>
        <w:t xml:space="preserve"> </w:t>
      </w:r>
      <w:r>
        <w:rPr>
          <w:rFonts w:hint="default" w:ascii="Times New Roman" w:hAnsi="Times New Roman" w:eastAsia="宋体" w:cs="Times New Roman"/>
          <w:color w:val="231F20"/>
          <w:spacing w:val="-1"/>
          <w:sz w:val="24"/>
          <w:szCs w:val="24"/>
        </w:rPr>
        <w:t>. 美国与印度接近的过程及动机[J]. 当代世界,2024(2):38-44.</w:t>
      </w:r>
    </w:p>
    <w:p w14:paraId="4BC84CEE">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8"/>
          <w:sz w:val="24"/>
          <w:szCs w:val="24"/>
        </w:rPr>
        <w:t>[16]EVAN</w:t>
      </w:r>
      <w:r>
        <w:rPr>
          <w:rFonts w:hint="default" w:ascii="Times New Roman" w:hAnsi="Times New Roman" w:eastAsia="宋体" w:cs="Times New Roman"/>
          <w:color w:val="231F20"/>
          <w:spacing w:val="24"/>
          <w:sz w:val="24"/>
          <w:szCs w:val="24"/>
        </w:rPr>
        <w:t xml:space="preserve"> </w:t>
      </w:r>
      <w:r>
        <w:rPr>
          <w:rFonts w:hint="default" w:ascii="Times New Roman" w:hAnsi="Times New Roman" w:eastAsia="宋体" w:cs="Times New Roman"/>
          <w:color w:val="231F20"/>
          <w:spacing w:val="-8"/>
          <w:sz w:val="24"/>
          <w:szCs w:val="24"/>
        </w:rPr>
        <w:t>A.</w:t>
      </w:r>
      <w:r>
        <w:rPr>
          <w:rFonts w:hint="default" w:ascii="Times New Roman" w:hAnsi="Times New Roman" w:eastAsia="宋体" w:cs="Times New Roman"/>
          <w:color w:val="231F20"/>
          <w:spacing w:val="25"/>
          <w:sz w:val="24"/>
          <w:szCs w:val="24"/>
        </w:rPr>
        <w:t xml:space="preserve"> </w:t>
      </w:r>
      <w:r>
        <w:rPr>
          <w:rFonts w:hint="default" w:ascii="Times New Roman" w:hAnsi="Times New Roman" w:eastAsia="宋体" w:cs="Times New Roman"/>
          <w:color w:val="231F20"/>
          <w:spacing w:val="-8"/>
          <w:sz w:val="24"/>
          <w:szCs w:val="24"/>
        </w:rPr>
        <w:t>LAKSMANA.</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8"/>
          <w:sz w:val="24"/>
          <w:szCs w:val="24"/>
        </w:rPr>
        <w:t>Whose</w:t>
      </w:r>
      <w:r>
        <w:rPr>
          <w:rFonts w:hint="default" w:ascii="Times New Roman" w:hAnsi="Times New Roman" w:eastAsia="宋体" w:cs="Times New Roman"/>
          <w:color w:val="231F20"/>
          <w:spacing w:val="30"/>
          <w:w w:val="101"/>
          <w:sz w:val="24"/>
          <w:szCs w:val="24"/>
        </w:rPr>
        <w:t xml:space="preserve"> </w:t>
      </w:r>
      <w:r>
        <w:rPr>
          <w:rFonts w:hint="default" w:ascii="Times New Roman" w:hAnsi="Times New Roman" w:eastAsia="宋体" w:cs="Times New Roman"/>
          <w:color w:val="231F20"/>
          <w:spacing w:val="-8"/>
          <w:sz w:val="24"/>
          <w:szCs w:val="24"/>
        </w:rPr>
        <w:t>centrality?</w:t>
      </w:r>
      <w:r>
        <w:rPr>
          <w:rFonts w:hint="default" w:ascii="Times New Roman" w:hAnsi="Times New Roman" w:eastAsia="宋体" w:cs="Times New Roman"/>
          <w:color w:val="231F20"/>
          <w:spacing w:val="21"/>
          <w:w w:val="101"/>
          <w:sz w:val="24"/>
          <w:szCs w:val="24"/>
        </w:rPr>
        <w:t xml:space="preserve"> </w:t>
      </w:r>
      <w:r>
        <w:rPr>
          <w:rFonts w:hint="default" w:ascii="Times New Roman" w:hAnsi="Times New Roman" w:eastAsia="宋体" w:cs="Times New Roman"/>
          <w:color w:val="231F20"/>
          <w:spacing w:val="-8"/>
          <w:sz w:val="24"/>
          <w:szCs w:val="24"/>
        </w:rPr>
        <w:t>ASEAN</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8"/>
          <w:sz w:val="24"/>
          <w:szCs w:val="24"/>
        </w:rPr>
        <w:t>and</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8"/>
          <w:sz w:val="24"/>
          <w:szCs w:val="24"/>
        </w:rPr>
        <w:t>the</w:t>
      </w:r>
      <w:r>
        <w:rPr>
          <w:rFonts w:hint="default" w:ascii="Times New Roman" w:hAnsi="Times New Roman" w:eastAsia="宋体" w:cs="Times New Roman"/>
          <w:color w:val="231F20"/>
          <w:spacing w:val="30"/>
          <w:w w:val="101"/>
          <w:sz w:val="24"/>
          <w:szCs w:val="24"/>
        </w:rPr>
        <w:t xml:space="preserve"> </w:t>
      </w:r>
      <w:r>
        <w:rPr>
          <w:rFonts w:hint="default" w:ascii="Times New Roman" w:hAnsi="Times New Roman" w:eastAsia="宋体" w:cs="Times New Roman"/>
          <w:color w:val="231F20"/>
          <w:spacing w:val="-8"/>
          <w:sz w:val="24"/>
          <w:szCs w:val="24"/>
        </w:rPr>
        <w:t>quad</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8"/>
          <w:sz w:val="24"/>
          <w:szCs w:val="24"/>
        </w:rPr>
        <w:t>in</w:t>
      </w:r>
      <w:r>
        <w:rPr>
          <w:rFonts w:hint="default" w:ascii="Times New Roman" w:hAnsi="Times New Roman" w:eastAsia="宋体" w:cs="Times New Roman"/>
          <w:color w:val="231F20"/>
          <w:spacing w:val="27"/>
          <w:sz w:val="24"/>
          <w:szCs w:val="24"/>
        </w:rPr>
        <w:t xml:space="preserve"> </w:t>
      </w:r>
      <w:r>
        <w:rPr>
          <w:rFonts w:hint="default" w:ascii="Times New Roman" w:hAnsi="Times New Roman" w:eastAsia="宋体" w:cs="Times New Roman"/>
          <w:color w:val="231F20"/>
          <w:spacing w:val="-8"/>
          <w:sz w:val="24"/>
          <w:szCs w:val="24"/>
        </w:rPr>
        <w:t>the</w:t>
      </w:r>
      <w:r>
        <w:rPr>
          <w:rFonts w:hint="default" w:ascii="Times New Roman" w:hAnsi="Times New Roman" w:eastAsia="宋体" w:cs="Times New Roman"/>
          <w:color w:val="231F20"/>
          <w:spacing w:val="30"/>
          <w:sz w:val="24"/>
          <w:szCs w:val="24"/>
        </w:rPr>
        <w:t xml:space="preserve"> </w:t>
      </w:r>
      <w:r>
        <w:rPr>
          <w:rFonts w:hint="default" w:ascii="Times New Roman" w:hAnsi="Times New Roman" w:eastAsia="宋体" w:cs="Times New Roman"/>
          <w:color w:val="231F20"/>
          <w:spacing w:val="-8"/>
          <w:sz w:val="24"/>
          <w:szCs w:val="24"/>
        </w:rPr>
        <w:t>Indo-Pacific</w:t>
      </w:r>
      <w:r>
        <w:rPr>
          <w:rFonts w:hint="default" w:ascii="Times New Roman" w:hAnsi="Times New Roman" w:eastAsia="宋体" w:cs="Times New Roman"/>
          <w:color w:val="231F20"/>
          <w:spacing w:val="44"/>
          <w:sz w:val="24"/>
          <w:szCs w:val="24"/>
        </w:rPr>
        <w:t xml:space="preserve"> </w:t>
      </w:r>
      <w:r>
        <w:rPr>
          <w:rFonts w:hint="default" w:ascii="Times New Roman" w:hAnsi="Times New Roman" w:eastAsia="宋体" w:cs="Times New Roman"/>
          <w:color w:val="231F20"/>
          <w:spacing w:val="-8"/>
          <w:sz w:val="24"/>
          <w:szCs w:val="24"/>
        </w:rPr>
        <w:t>[J]. Journal</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8"/>
          <w:sz w:val="24"/>
          <w:szCs w:val="24"/>
        </w:rPr>
        <w:t>of ind</w:t>
      </w:r>
      <w:r>
        <w:rPr>
          <w:rFonts w:hint="default" w:ascii="Times New Roman" w:hAnsi="Times New Roman" w:eastAsia="宋体" w:cs="Times New Roman"/>
          <w:color w:val="231F20"/>
          <w:spacing w:val="-9"/>
          <w:sz w:val="24"/>
          <w:szCs w:val="24"/>
        </w:rPr>
        <w:t>o-</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9"/>
          <w:sz w:val="24"/>
          <w:szCs w:val="24"/>
        </w:rPr>
        <w:t>Pacifc</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9"/>
          <w:sz w:val="24"/>
          <w:szCs w:val="24"/>
        </w:rPr>
        <w:t>affairs, 2020(5):10</w:t>
      </w:r>
      <w:r>
        <w:rPr>
          <w:rFonts w:hint="default" w:ascii="Times New Roman" w:hAnsi="Times New Roman" w:eastAsia="宋体" w:cs="Times New Roman"/>
          <w:color w:val="231F20"/>
          <w:spacing w:val="-10"/>
          <w:sz w:val="24"/>
          <w:szCs w:val="24"/>
        </w:rPr>
        <w:t>6-114.</w:t>
      </w:r>
    </w:p>
    <w:p w14:paraId="52B74A50">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9"/>
          <w:sz w:val="24"/>
          <w:szCs w:val="24"/>
        </w:rPr>
        <w:t>[17]EDEL</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9"/>
          <w:sz w:val="24"/>
          <w:szCs w:val="24"/>
        </w:rPr>
        <w:t>C. How</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9"/>
          <w:sz w:val="24"/>
          <w:szCs w:val="24"/>
        </w:rPr>
        <w:t>to</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9"/>
          <w:sz w:val="24"/>
          <w:szCs w:val="24"/>
        </w:rPr>
        <w:t>counter</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9"/>
          <w:sz w:val="24"/>
          <w:szCs w:val="24"/>
        </w:rPr>
        <w:t>China's influence in the</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9"/>
          <w:sz w:val="24"/>
          <w:szCs w:val="24"/>
        </w:rPr>
        <w:t>S</w:t>
      </w:r>
      <w:r>
        <w:rPr>
          <w:rFonts w:hint="default" w:ascii="Times New Roman" w:hAnsi="Times New Roman" w:eastAsia="宋体" w:cs="Times New Roman"/>
          <w:color w:val="231F20"/>
          <w:spacing w:val="-10"/>
          <w:sz w:val="24"/>
          <w:szCs w:val="24"/>
        </w:rPr>
        <w:t>outh</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10"/>
          <w:sz w:val="24"/>
          <w:szCs w:val="24"/>
        </w:rPr>
        <w:t>Pacific</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10"/>
          <w:sz w:val="24"/>
          <w:szCs w:val="24"/>
        </w:rPr>
        <w:t>[J/OL].</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0"/>
          <w:sz w:val="24"/>
          <w:szCs w:val="24"/>
        </w:rPr>
        <w:t>Foreign</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0"/>
          <w:sz w:val="24"/>
          <w:szCs w:val="24"/>
        </w:rPr>
        <w:t>affairs,</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0"/>
          <w:sz w:val="24"/>
          <w:szCs w:val="24"/>
        </w:rPr>
        <w:t>Nov.</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13,</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0"/>
          <w:sz w:val="24"/>
          <w:szCs w:val="24"/>
        </w:rPr>
        <w:t>2018.</w:t>
      </w:r>
    </w:p>
    <w:p w14:paraId="6A38370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[18]MICHAEL D, SWAINE. A.</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6"/>
          <w:sz w:val="24"/>
          <w:szCs w:val="24"/>
        </w:rPr>
        <w:t>Coun</w:t>
      </w:r>
      <w:r>
        <w:rPr>
          <w:rFonts w:hint="default" w:ascii="Times New Roman" w:hAnsi="Times New Roman" w:eastAsia="宋体" w:cs="Times New Roman"/>
          <w:color w:val="231F20"/>
          <w:spacing w:val="-7"/>
          <w:sz w:val="24"/>
          <w:szCs w:val="24"/>
        </w:rPr>
        <w:t>terproductive</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7"/>
          <w:sz w:val="24"/>
          <w:szCs w:val="24"/>
        </w:rPr>
        <w:t>Cold War with</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7"/>
          <w:sz w:val="24"/>
          <w:szCs w:val="24"/>
        </w:rPr>
        <w:t>China</w:t>
      </w:r>
      <w:r>
        <w:rPr>
          <w:rFonts w:hint="default" w:ascii="Times New Roman" w:hAnsi="Times New Roman" w:eastAsia="宋体" w:cs="Times New Roman"/>
          <w:color w:val="231F20"/>
          <w:spacing w:val="23"/>
          <w:w w:val="101"/>
          <w:sz w:val="24"/>
          <w:szCs w:val="24"/>
        </w:rPr>
        <w:t xml:space="preserve"> </w:t>
      </w:r>
      <w:r>
        <w:rPr>
          <w:rFonts w:hint="default" w:ascii="Times New Roman" w:hAnsi="Times New Roman" w:eastAsia="宋体" w:cs="Times New Roman"/>
          <w:color w:val="231F20"/>
          <w:spacing w:val="-7"/>
          <w:sz w:val="24"/>
          <w:szCs w:val="24"/>
        </w:rPr>
        <w:t>[J/OL]. Foreign</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7"/>
          <w:sz w:val="24"/>
          <w:szCs w:val="24"/>
        </w:rPr>
        <w:t>affaris,</w:t>
      </w:r>
      <w:r>
        <w:rPr>
          <w:rFonts w:hint="default" w:ascii="Times New Roman" w:hAnsi="Times New Roman" w:eastAsia="宋体" w:cs="Times New Roman"/>
          <w:color w:val="231F20"/>
          <w:spacing w:val="3"/>
          <w:sz w:val="24"/>
          <w:szCs w:val="24"/>
        </w:rPr>
        <w:t xml:space="preserve"> </w:t>
      </w:r>
      <w:r>
        <w:rPr>
          <w:rFonts w:hint="default" w:ascii="Times New Roman" w:hAnsi="Times New Roman" w:eastAsia="宋体" w:cs="Times New Roman"/>
          <w:color w:val="231F20"/>
          <w:spacing w:val="-7"/>
          <w:sz w:val="24"/>
          <w:szCs w:val="24"/>
        </w:rPr>
        <w:t>March</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7"/>
          <w:sz w:val="24"/>
          <w:szCs w:val="24"/>
        </w:rPr>
        <w:t>2,</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7"/>
          <w:sz w:val="24"/>
          <w:szCs w:val="24"/>
        </w:rPr>
        <w:t>2018.</w:t>
      </w:r>
    </w:p>
    <w:p w14:paraId="5AE2A0C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56"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231F20"/>
          <w:spacing w:val="-6"/>
          <w:sz w:val="24"/>
          <w:szCs w:val="24"/>
        </w:rPr>
        <w:t>[19]UDDIN</w:t>
      </w:r>
      <w:r>
        <w:rPr>
          <w:rFonts w:hint="default" w:ascii="Times New Roman" w:hAnsi="Times New Roman" w:eastAsia="宋体" w:cs="Times New Roman"/>
          <w:color w:val="231F20"/>
          <w:spacing w:val="27"/>
          <w:w w:val="101"/>
          <w:sz w:val="24"/>
          <w:szCs w:val="24"/>
        </w:rPr>
        <w:t xml:space="preserve"> </w:t>
      </w:r>
      <w:r>
        <w:rPr>
          <w:rFonts w:hint="default" w:ascii="Times New Roman" w:hAnsi="Times New Roman" w:eastAsia="宋体" w:cs="Times New Roman"/>
          <w:color w:val="231F20"/>
          <w:spacing w:val="-6"/>
          <w:sz w:val="24"/>
          <w:szCs w:val="24"/>
        </w:rPr>
        <w:t>M J,</w:t>
      </w:r>
      <w:r>
        <w:rPr>
          <w:rFonts w:hint="default" w:ascii="Times New Roman" w:hAnsi="Times New Roman" w:eastAsia="宋体" w:cs="Times New Roman"/>
          <w:color w:val="231F20"/>
          <w:spacing w:val="26"/>
          <w:w w:val="101"/>
          <w:sz w:val="24"/>
          <w:szCs w:val="24"/>
        </w:rPr>
        <w:t xml:space="preserve"> </w:t>
      </w:r>
      <w:r>
        <w:rPr>
          <w:rFonts w:hint="default" w:ascii="Times New Roman" w:hAnsi="Times New Roman" w:eastAsia="宋体" w:cs="Times New Roman"/>
          <w:color w:val="231F20"/>
          <w:spacing w:val="-6"/>
          <w:sz w:val="24"/>
          <w:szCs w:val="24"/>
        </w:rPr>
        <w:t>KWUN-SUN</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6"/>
          <w:sz w:val="24"/>
          <w:szCs w:val="24"/>
        </w:rPr>
        <w:t>LAU</w:t>
      </w:r>
      <w:r>
        <w:rPr>
          <w:rFonts w:hint="default" w:ascii="Times New Roman" w:hAnsi="Times New Roman" w:eastAsia="宋体" w:cs="Times New Roman"/>
          <w:color w:val="231F20"/>
          <w:spacing w:val="29"/>
          <w:sz w:val="24"/>
          <w:szCs w:val="24"/>
        </w:rPr>
        <w:t xml:space="preserve"> </w:t>
      </w:r>
      <w:r>
        <w:rPr>
          <w:rFonts w:hint="default" w:ascii="Times New Roman" w:hAnsi="Times New Roman" w:eastAsia="宋体" w:cs="Times New Roman"/>
          <w:color w:val="231F20"/>
          <w:spacing w:val="-6"/>
          <w:sz w:val="24"/>
          <w:szCs w:val="24"/>
        </w:rPr>
        <w:t>R.</w:t>
      </w:r>
      <w:r>
        <w:rPr>
          <w:rFonts w:hint="default" w:ascii="Times New Roman" w:hAnsi="Times New Roman" w:eastAsia="宋体" w:cs="Times New Roman"/>
          <w:color w:val="231F20"/>
          <w:spacing w:val="26"/>
          <w:w w:val="101"/>
          <w:sz w:val="24"/>
          <w:szCs w:val="24"/>
        </w:rPr>
        <w:t xml:space="preserve"> </w:t>
      </w:r>
      <w:r>
        <w:rPr>
          <w:rFonts w:hint="default" w:ascii="Times New Roman" w:hAnsi="Times New Roman" w:eastAsia="宋体" w:cs="Times New Roman"/>
          <w:color w:val="231F20"/>
          <w:spacing w:val="-6"/>
          <w:sz w:val="24"/>
          <w:szCs w:val="24"/>
        </w:rPr>
        <w:t>Rules-based</w:t>
      </w:r>
      <w:r>
        <w:rPr>
          <w:rFonts w:hint="default" w:ascii="Times New Roman" w:hAnsi="Times New Roman" w:eastAsia="宋体" w:cs="Times New Roman"/>
          <w:color w:val="231F20"/>
          <w:spacing w:val="28"/>
          <w:sz w:val="24"/>
          <w:szCs w:val="24"/>
        </w:rPr>
        <w:t xml:space="preserve"> </w:t>
      </w:r>
      <w:r>
        <w:rPr>
          <w:rFonts w:hint="default" w:ascii="Times New Roman" w:hAnsi="Times New Roman" w:eastAsia="宋体" w:cs="Times New Roman"/>
          <w:color w:val="231F20"/>
          <w:spacing w:val="-7"/>
          <w:sz w:val="24"/>
          <w:szCs w:val="24"/>
        </w:rPr>
        <w:t>international</w:t>
      </w:r>
      <w:r>
        <w:rPr>
          <w:rFonts w:hint="default" w:ascii="Times New Roman" w:hAnsi="Times New Roman" w:eastAsia="宋体" w:cs="Times New Roman"/>
          <w:color w:val="231F20"/>
          <w:spacing w:val="31"/>
          <w:sz w:val="24"/>
          <w:szCs w:val="24"/>
        </w:rPr>
        <w:t xml:space="preserve"> </w:t>
      </w:r>
      <w:r>
        <w:rPr>
          <w:rFonts w:hint="default" w:ascii="Times New Roman" w:hAnsi="Times New Roman" w:eastAsia="宋体" w:cs="Times New Roman"/>
          <w:color w:val="231F20"/>
          <w:spacing w:val="-7"/>
          <w:sz w:val="24"/>
          <w:szCs w:val="24"/>
        </w:rPr>
        <w:t>order</w:t>
      </w:r>
      <w:r>
        <w:rPr>
          <w:rFonts w:hint="default" w:ascii="Times New Roman" w:hAnsi="Times New Roman" w:eastAsia="宋体" w:cs="Times New Roman"/>
          <w:color w:val="231F20"/>
          <w:spacing w:val="26"/>
          <w:w w:val="101"/>
          <w:sz w:val="24"/>
          <w:szCs w:val="24"/>
        </w:rPr>
        <w:t xml:space="preserve"> </w:t>
      </w:r>
      <w:r>
        <w:rPr>
          <w:rFonts w:hint="default" w:ascii="Times New Roman" w:hAnsi="Times New Roman" w:eastAsia="宋体" w:cs="Times New Roman"/>
          <w:color w:val="231F20"/>
          <w:spacing w:val="-7"/>
          <w:sz w:val="24"/>
          <w:szCs w:val="24"/>
        </w:rPr>
        <w:t>and</w:t>
      </w:r>
      <w:r>
        <w:rPr>
          <w:rFonts w:hint="default" w:ascii="Times New Roman" w:hAnsi="Times New Roman" w:eastAsia="宋体" w:cs="Times New Roman"/>
          <w:color w:val="231F20"/>
          <w:spacing w:val="28"/>
          <w:sz w:val="24"/>
          <w:szCs w:val="24"/>
        </w:rPr>
        <w:t xml:space="preserve"> </w:t>
      </w:r>
      <w:r>
        <w:rPr>
          <w:rFonts w:hint="default" w:ascii="Times New Roman" w:hAnsi="Times New Roman" w:eastAsia="宋体" w:cs="Times New Roman"/>
          <w:color w:val="231F20"/>
          <w:spacing w:val="-7"/>
          <w:sz w:val="24"/>
          <w:szCs w:val="24"/>
        </w:rPr>
        <w:t>its</w:t>
      </w:r>
      <w:r>
        <w:rPr>
          <w:rFonts w:hint="default" w:ascii="Times New Roman" w:hAnsi="Times New Roman" w:eastAsia="宋体" w:cs="Times New Roman"/>
          <w:color w:val="231F20"/>
          <w:spacing w:val="31"/>
          <w:sz w:val="24"/>
          <w:szCs w:val="24"/>
        </w:rPr>
        <w:t xml:space="preserve"> </w:t>
      </w:r>
      <w:r>
        <w:rPr>
          <w:rFonts w:hint="default" w:ascii="Times New Roman" w:hAnsi="Times New Roman" w:eastAsia="宋体" w:cs="Times New Roman"/>
          <w:color w:val="231F20"/>
          <w:spacing w:val="-7"/>
          <w:sz w:val="24"/>
          <w:szCs w:val="24"/>
        </w:rPr>
        <w:t>Indo-Pacific</w:t>
      </w:r>
      <w:r>
        <w:rPr>
          <w:rFonts w:hint="default" w:ascii="Times New Roman" w:hAnsi="Times New Roman" w:eastAsia="宋体" w:cs="Times New Roman"/>
          <w:color w:val="231F20"/>
          <w:spacing w:val="28"/>
          <w:sz w:val="24"/>
          <w:szCs w:val="24"/>
        </w:rPr>
        <w:t xml:space="preserve"> </w:t>
      </w:r>
      <w:r>
        <w:rPr>
          <w:rFonts w:hint="default" w:ascii="Times New Roman" w:hAnsi="Times New Roman" w:eastAsia="宋体" w:cs="Times New Roman"/>
          <w:color w:val="231F20"/>
          <w:spacing w:val="-7"/>
          <w:sz w:val="24"/>
          <w:szCs w:val="24"/>
        </w:rPr>
        <w:t>strategy:</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7"/>
          <w:sz w:val="24"/>
          <w:szCs w:val="24"/>
        </w:rPr>
        <w:t>What</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1"/>
          <w:sz w:val="24"/>
          <w:szCs w:val="24"/>
        </w:rPr>
        <w:t>does it mean for</w:t>
      </w:r>
      <w:r>
        <w:rPr>
          <w:rFonts w:hint="default" w:ascii="Times New Roman" w:hAnsi="Times New Roman" w:eastAsia="宋体" w:cs="Times New Roman"/>
          <w:color w:val="231F20"/>
          <w:spacing w:val="8"/>
          <w:sz w:val="24"/>
          <w:szCs w:val="24"/>
        </w:rPr>
        <w:t xml:space="preserve"> </w:t>
      </w:r>
      <w:r>
        <w:rPr>
          <w:rFonts w:hint="default" w:ascii="Times New Roman" w:hAnsi="Times New Roman" w:eastAsia="宋体" w:cs="Times New Roman"/>
          <w:color w:val="231F20"/>
          <w:spacing w:val="-11"/>
          <w:sz w:val="24"/>
          <w:szCs w:val="24"/>
        </w:rPr>
        <w:t>China's BRI?</w:t>
      </w:r>
      <w:r>
        <w:rPr>
          <w:rFonts w:hint="default" w:ascii="Times New Roman" w:hAnsi="Times New Roman" w:eastAsia="宋体" w:cs="Times New Roman"/>
          <w:color w:val="231F20"/>
          <w:spacing w:val="20"/>
          <w:w w:val="101"/>
          <w:sz w:val="24"/>
          <w:szCs w:val="24"/>
        </w:rPr>
        <w:t xml:space="preserve"> </w:t>
      </w:r>
      <w:r>
        <w:rPr>
          <w:rFonts w:hint="default" w:ascii="Times New Roman" w:hAnsi="Times New Roman" w:eastAsia="宋体" w:cs="Times New Roman"/>
          <w:color w:val="231F20"/>
          <w:spacing w:val="-11"/>
          <w:sz w:val="24"/>
          <w:szCs w:val="24"/>
        </w:rPr>
        <w:t>[J].</w:t>
      </w:r>
      <w:r>
        <w:rPr>
          <w:rFonts w:hint="default" w:ascii="Times New Roman" w:hAnsi="Times New Roman" w:eastAsia="宋体" w:cs="Times New Roman"/>
          <w:color w:val="231F20"/>
          <w:spacing w:val="-19"/>
          <w:sz w:val="24"/>
          <w:szCs w:val="24"/>
        </w:rPr>
        <w:t xml:space="preserve"> </w:t>
      </w:r>
      <w:r>
        <w:rPr>
          <w:rFonts w:hint="default" w:ascii="Times New Roman" w:hAnsi="Times New Roman" w:eastAsia="宋体" w:cs="Times New Roman"/>
          <w:color w:val="231F20"/>
          <w:spacing w:val="-11"/>
          <w:sz w:val="24"/>
          <w:szCs w:val="24"/>
        </w:rPr>
        <w:t>Journal</w:t>
      </w:r>
      <w:r>
        <w:rPr>
          <w:rFonts w:hint="default" w:ascii="Times New Roman" w:hAnsi="Times New Roman" w:eastAsia="宋体" w:cs="Times New Roman"/>
          <w:color w:val="231F20"/>
          <w:spacing w:val="9"/>
          <w:sz w:val="24"/>
          <w:szCs w:val="24"/>
        </w:rPr>
        <w:t xml:space="preserve"> </w:t>
      </w:r>
      <w:r>
        <w:rPr>
          <w:rFonts w:hint="default" w:ascii="Times New Roman" w:hAnsi="Times New Roman" w:eastAsia="宋体" w:cs="Times New Roman"/>
          <w:color w:val="231F20"/>
          <w:spacing w:val="-11"/>
          <w:sz w:val="24"/>
          <w:szCs w:val="24"/>
        </w:rPr>
        <w:t>of</w:t>
      </w:r>
      <w:r>
        <w:rPr>
          <w:rFonts w:hint="default" w:ascii="Times New Roman" w:hAnsi="Times New Roman" w:eastAsia="宋体" w:cs="Times New Roman"/>
          <w:color w:val="231F20"/>
          <w:spacing w:val="-26"/>
          <w:sz w:val="24"/>
          <w:szCs w:val="24"/>
        </w:rPr>
        <w:t xml:space="preserve"> </w:t>
      </w:r>
      <w:r>
        <w:rPr>
          <w:rFonts w:hint="default" w:ascii="Times New Roman" w:hAnsi="Times New Roman" w:eastAsia="宋体" w:cs="Times New Roman"/>
          <w:color w:val="231F20"/>
          <w:spacing w:val="-11"/>
          <w:sz w:val="24"/>
          <w:szCs w:val="24"/>
        </w:rPr>
        <w:t>liberty</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1"/>
          <w:sz w:val="24"/>
          <w:szCs w:val="24"/>
        </w:rPr>
        <w:t>and</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11"/>
          <w:sz w:val="24"/>
          <w:szCs w:val="24"/>
        </w:rPr>
        <w:t>international</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11"/>
          <w:sz w:val="24"/>
          <w:szCs w:val="24"/>
        </w:rPr>
        <w:t>affairs,</w:t>
      </w:r>
      <w:r>
        <w:rPr>
          <w:rFonts w:hint="default" w:ascii="Times New Roman" w:hAnsi="Times New Roman" w:eastAsia="宋体" w:cs="Times New Roman"/>
          <w:color w:val="231F20"/>
          <w:spacing w:val="6"/>
          <w:sz w:val="24"/>
          <w:szCs w:val="24"/>
        </w:rPr>
        <w:t xml:space="preserve"> </w:t>
      </w:r>
      <w:r>
        <w:rPr>
          <w:rFonts w:hint="default" w:ascii="Times New Roman" w:hAnsi="Times New Roman" w:eastAsia="宋体" w:cs="Times New Roman"/>
          <w:color w:val="231F20"/>
          <w:spacing w:val="-11"/>
          <w:sz w:val="24"/>
          <w:szCs w:val="24"/>
        </w:rPr>
        <w:t>2023</w:t>
      </w:r>
      <w:r>
        <w:rPr>
          <w:rFonts w:hint="default" w:ascii="Times New Roman" w:hAnsi="Times New Roman" w:eastAsia="宋体" w:cs="Times New Roman"/>
          <w:color w:val="231F20"/>
          <w:spacing w:val="16"/>
          <w:w w:val="101"/>
          <w:sz w:val="24"/>
          <w:szCs w:val="24"/>
        </w:rPr>
        <w:t xml:space="preserve"> </w:t>
      </w:r>
      <w:r>
        <w:rPr>
          <w:rFonts w:hint="default" w:ascii="Times New Roman" w:hAnsi="Times New Roman" w:eastAsia="宋体" w:cs="Times New Roman"/>
          <w:color w:val="231F20"/>
          <w:spacing w:val="-11"/>
          <w:sz w:val="24"/>
          <w:szCs w:val="24"/>
        </w:rPr>
        <w:t>(9):</w:t>
      </w:r>
      <w:r>
        <w:rPr>
          <w:rFonts w:hint="default" w:ascii="Times New Roman" w:hAnsi="Times New Roman" w:eastAsia="宋体" w:cs="Times New Roman"/>
          <w:color w:val="231F20"/>
          <w:spacing w:val="7"/>
          <w:sz w:val="24"/>
          <w:szCs w:val="24"/>
        </w:rPr>
        <w:t xml:space="preserve"> </w:t>
      </w:r>
      <w:r>
        <w:rPr>
          <w:rFonts w:hint="default" w:ascii="Times New Roman" w:hAnsi="Times New Roman" w:eastAsia="宋体" w:cs="Times New Roman"/>
          <w:color w:val="231F20"/>
          <w:spacing w:val="-11"/>
          <w:sz w:val="24"/>
          <w:szCs w:val="24"/>
        </w:rPr>
        <w:t>386-400.</w:t>
      </w:r>
    </w:p>
    <w:p w14:paraId="6C649E37">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40" w:firstLineChars="200"/>
        <w:jc w:val="both"/>
        <w:textAlignment w:val="baseline"/>
        <w:rPr>
          <w:rFonts w:hint="default" w:ascii="Times New Roman" w:hAnsi="Times New Roman" w:eastAsia="宋体" w:cs="Times New Roman"/>
          <w:color w:val="231F20"/>
          <w:spacing w:val="-6"/>
          <w:sz w:val="24"/>
          <w:szCs w:val="24"/>
        </w:rPr>
      </w:pPr>
      <w:r>
        <w:rPr>
          <w:rFonts w:hint="default" w:ascii="Times New Roman" w:hAnsi="Times New Roman" w:eastAsia="宋体" w:cs="Times New Roman"/>
          <w:color w:val="231F20"/>
          <w:spacing w:val="-10"/>
          <w:sz w:val="24"/>
          <w:szCs w:val="24"/>
        </w:rPr>
        <w:t>[20]SMITH</w:t>
      </w:r>
      <w:r>
        <w:rPr>
          <w:rFonts w:hint="default" w:ascii="Times New Roman" w:hAnsi="Times New Roman" w:eastAsia="宋体" w:cs="Times New Roman"/>
          <w:color w:val="231F20"/>
          <w:spacing w:val="29"/>
          <w:w w:val="101"/>
          <w:sz w:val="24"/>
          <w:szCs w:val="24"/>
        </w:rPr>
        <w:t xml:space="preserve"> </w:t>
      </w:r>
      <w:r>
        <w:rPr>
          <w:rFonts w:hint="default" w:ascii="Times New Roman" w:hAnsi="Times New Roman" w:eastAsia="宋体" w:cs="Times New Roman"/>
          <w:color w:val="231F20"/>
          <w:spacing w:val="-10"/>
          <w:sz w:val="24"/>
          <w:szCs w:val="24"/>
        </w:rPr>
        <w:t>N</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R,</w:t>
      </w:r>
      <w:r>
        <w:rPr>
          <w:rFonts w:hint="default" w:ascii="Times New Roman" w:hAnsi="Times New Roman" w:eastAsia="宋体" w:cs="Times New Roman"/>
          <w:color w:val="231F20"/>
          <w:spacing w:val="11"/>
          <w:sz w:val="24"/>
          <w:szCs w:val="24"/>
        </w:rPr>
        <w:t xml:space="preserve"> </w:t>
      </w:r>
      <w:r>
        <w:rPr>
          <w:rFonts w:hint="default" w:ascii="Times New Roman" w:hAnsi="Times New Roman" w:eastAsia="宋体" w:cs="Times New Roman"/>
          <w:color w:val="231F20"/>
          <w:spacing w:val="-10"/>
          <w:sz w:val="24"/>
          <w:szCs w:val="24"/>
        </w:rPr>
        <w:t>BACON</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P</w:t>
      </w:r>
      <w:r>
        <w:rPr>
          <w:rFonts w:hint="default" w:ascii="Times New Roman" w:hAnsi="Times New Roman" w:eastAsia="宋体" w:cs="Times New Roman"/>
          <w:color w:val="231F20"/>
          <w:spacing w:val="14"/>
          <w:w w:val="101"/>
          <w:sz w:val="24"/>
          <w:szCs w:val="24"/>
        </w:rPr>
        <w:t xml:space="preserve"> </w:t>
      </w:r>
      <w:r>
        <w:rPr>
          <w:rFonts w:hint="default" w:ascii="Times New Roman" w:hAnsi="Times New Roman" w:eastAsia="宋体" w:cs="Times New Roman"/>
          <w:color w:val="231F20"/>
          <w:spacing w:val="-10"/>
          <w:sz w:val="24"/>
          <w:szCs w:val="24"/>
        </w:rPr>
        <w:t>M.</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The</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0"/>
          <w:sz w:val="24"/>
          <w:szCs w:val="24"/>
        </w:rPr>
        <w:t>Indo-Pacific</w:t>
      </w:r>
      <w:r>
        <w:rPr>
          <w:rFonts w:hint="default" w:ascii="Times New Roman" w:hAnsi="Times New Roman" w:eastAsia="宋体" w:cs="Times New Roman"/>
          <w:color w:val="231F20"/>
          <w:spacing w:val="15"/>
          <w:w w:val="101"/>
          <w:sz w:val="24"/>
          <w:szCs w:val="24"/>
        </w:rPr>
        <w:t xml:space="preserve"> </w:t>
      </w:r>
      <w:r>
        <w:rPr>
          <w:rFonts w:hint="default" w:ascii="Times New Roman" w:hAnsi="Times New Roman" w:eastAsia="宋体" w:cs="Times New Roman"/>
          <w:color w:val="231F20"/>
          <w:spacing w:val="-10"/>
          <w:sz w:val="24"/>
          <w:szCs w:val="24"/>
        </w:rPr>
        <w:t>is</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an</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0"/>
          <w:sz w:val="24"/>
          <w:szCs w:val="24"/>
        </w:rPr>
        <w:t>idea</w:t>
      </w:r>
      <w:r>
        <w:rPr>
          <w:rFonts w:hint="default" w:ascii="Times New Roman" w:hAnsi="Times New Roman" w:eastAsia="宋体" w:cs="Times New Roman"/>
          <w:color w:val="231F20"/>
          <w:spacing w:val="15"/>
          <w:sz w:val="24"/>
          <w:szCs w:val="24"/>
        </w:rPr>
        <w:t xml:space="preserve"> </w:t>
      </w:r>
      <w:r>
        <w:rPr>
          <w:rFonts w:hint="default" w:ascii="Times New Roman" w:hAnsi="Times New Roman" w:eastAsia="宋体" w:cs="Times New Roman"/>
          <w:color w:val="231F20"/>
          <w:spacing w:val="-10"/>
          <w:sz w:val="24"/>
          <w:szCs w:val="24"/>
        </w:rPr>
        <w:t>more</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than</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0"/>
          <w:sz w:val="24"/>
          <w:szCs w:val="24"/>
        </w:rPr>
        <w:t>a</w:t>
      </w:r>
      <w:r>
        <w:rPr>
          <w:rFonts w:hint="default" w:ascii="Times New Roman" w:hAnsi="Times New Roman" w:eastAsia="宋体" w:cs="Times New Roman"/>
          <w:color w:val="231F20"/>
          <w:spacing w:val="17"/>
          <w:sz w:val="24"/>
          <w:szCs w:val="24"/>
        </w:rPr>
        <w:t xml:space="preserve"> </w:t>
      </w:r>
      <w:r>
        <w:rPr>
          <w:rFonts w:hint="default" w:ascii="Times New Roman" w:hAnsi="Times New Roman" w:eastAsia="宋体" w:cs="Times New Roman"/>
          <w:color w:val="231F20"/>
          <w:spacing w:val="-10"/>
          <w:sz w:val="24"/>
          <w:szCs w:val="24"/>
        </w:rPr>
        <w:t>region</w:t>
      </w:r>
      <w:r>
        <w:rPr>
          <w:rFonts w:hint="default" w:ascii="Times New Roman" w:hAnsi="Times New Roman" w:eastAsia="宋体" w:cs="Times New Roman"/>
          <w:color w:val="231F20"/>
          <w:spacing w:val="25"/>
          <w:w w:val="101"/>
          <w:sz w:val="24"/>
          <w:szCs w:val="24"/>
        </w:rPr>
        <w:t xml:space="preserve"> </w:t>
      </w:r>
      <w:r>
        <w:rPr>
          <w:rFonts w:hint="default" w:ascii="Times New Roman" w:hAnsi="Times New Roman" w:eastAsia="宋体" w:cs="Times New Roman"/>
          <w:color w:val="231F20"/>
          <w:spacing w:val="-10"/>
          <w:sz w:val="24"/>
          <w:szCs w:val="24"/>
        </w:rPr>
        <w:t>-</w:t>
      </w:r>
      <w:r>
        <w:rPr>
          <w:rFonts w:hint="default" w:ascii="Times New Roman" w:hAnsi="Times New Roman" w:eastAsia="宋体" w:cs="Times New Roman"/>
          <w:color w:val="231F20"/>
          <w:spacing w:val="18"/>
          <w:w w:val="101"/>
          <w:sz w:val="24"/>
          <w:szCs w:val="24"/>
        </w:rPr>
        <w:t xml:space="preserve"> </w:t>
      </w:r>
      <w:r>
        <w:rPr>
          <w:rFonts w:hint="default" w:ascii="Times New Roman" w:hAnsi="Times New Roman" w:eastAsia="宋体" w:cs="Times New Roman"/>
          <w:color w:val="231F20"/>
          <w:spacing w:val="-10"/>
          <w:sz w:val="24"/>
          <w:szCs w:val="24"/>
        </w:rPr>
        <w:t>and</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0"/>
          <w:sz w:val="24"/>
          <w:szCs w:val="24"/>
        </w:rPr>
        <w:t>it's</w:t>
      </w:r>
      <w:r>
        <w:rPr>
          <w:rFonts w:hint="default" w:ascii="Times New Roman" w:hAnsi="Times New Roman" w:eastAsia="宋体" w:cs="Times New Roman"/>
          <w:color w:val="231F20"/>
          <w:spacing w:val="12"/>
          <w:sz w:val="24"/>
          <w:szCs w:val="24"/>
        </w:rPr>
        <w:t xml:space="preserve"> </w:t>
      </w:r>
      <w:r>
        <w:rPr>
          <w:rFonts w:hint="default" w:ascii="Times New Roman" w:hAnsi="Times New Roman" w:eastAsia="宋体" w:cs="Times New Roman"/>
          <w:color w:val="231F20"/>
          <w:spacing w:val="-10"/>
          <w:sz w:val="24"/>
          <w:szCs w:val="24"/>
        </w:rPr>
        <w:t>pushing</w:t>
      </w:r>
      <w:r>
        <w:rPr>
          <w:rFonts w:hint="default" w:ascii="Times New Roman" w:hAnsi="Times New Roman" w:eastAsia="宋体" w:cs="Times New Roman"/>
          <w:color w:val="231F20"/>
          <w:spacing w:val="13"/>
          <w:sz w:val="24"/>
          <w:szCs w:val="24"/>
        </w:rPr>
        <w:t xml:space="preserve"> </w:t>
      </w:r>
      <w:r>
        <w:rPr>
          <w:rFonts w:hint="default" w:ascii="Times New Roman" w:hAnsi="Times New Roman" w:eastAsia="宋体" w:cs="Times New Roman"/>
          <w:color w:val="231F20"/>
          <w:spacing w:val="-10"/>
          <w:sz w:val="24"/>
          <w:szCs w:val="24"/>
        </w:rPr>
        <w:t>politics</w:t>
      </w:r>
      <w:r>
        <w:rPr>
          <w:rFonts w:hint="default" w:ascii="Times New Roman" w:hAnsi="Times New Roman" w:eastAsia="宋体" w:cs="Times New Roman"/>
          <w:color w:val="231F20"/>
          <w:spacing w:val="14"/>
          <w:w w:val="101"/>
          <w:sz w:val="24"/>
          <w:szCs w:val="24"/>
        </w:rPr>
        <w:t xml:space="preserve"> </w:t>
      </w:r>
      <w:r>
        <w:rPr>
          <w:rFonts w:hint="default" w:ascii="Times New Roman" w:hAnsi="Times New Roman" w:eastAsia="宋体" w:cs="Times New Roman"/>
          <w:color w:val="231F20"/>
          <w:spacing w:val="-10"/>
          <w:sz w:val="24"/>
          <w:szCs w:val="24"/>
        </w:rPr>
        <w:t>in</w:t>
      </w:r>
      <w:r>
        <w:rPr>
          <w:rFonts w:hint="default" w:ascii="Times New Roman" w:hAnsi="Times New Roman" w:eastAsia="宋体" w:cs="Times New Roman"/>
          <w:color w:val="231F20"/>
          <w:spacing w:val="18"/>
          <w:sz w:val="24"/>
          <w:szCs w:val="24"/>
        </w:rPr>
        <w:t xml:space="preserve"> </w:t>
      </w:r>
      <w:r>
        <w:rPr>
          <w:rFonts w:hint="default" w:ascii="Times New Roman" w:hAnsi="Times New Roman" w:eastAsia="宋体" w:cs="Times New Roman"/>
          <w:color w:val="231F20"/>
          <w:spacing w:val="-10"/>
          <w:sz w:val="24"/>
          <w:szCs w:val="24"/>
        </w:rPr>
        <w:t>a</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10"/>
          <w:sz w:val="24"/>
          <w:szCs w:val="24"/>
        </w:rPr>
        <w:t>"pessimistic</w:t>
      </w:r>
      <w:r>
        <w:rPr>
          <w:rFonts w:hint="default" w:ascii="Times New Roman" w:hAnsi="Times New Roman" w:eastAsia="宋体" w:cs="Times New Roman"/>
          <w:color w:val="231F20"/>
          <w:spacing w:val="21"/>
          <w:sz w:val="24"/>
          <w:szCs w:val="24"/>
        </w:rPr>
        <w:t xml:space="preserve"> </w:t>
      </w:r>
      <w:r>
        <w:rPr>
          <w:rFonts w:hint="default" w:ascii="Times New Roman" w:hAnsi="Times New Roman" w:eastAsia="宋体" w:cs="Times New Roman"/>
          <w:color w:val="231F20"/>
          <w:spacing w:val="-10"/>
          <w:sz w:val="24"/>
          <w:szCs w:val="24"/>
        </w:rPr>
        <w:t>and</w:t>
      </w:r>
      <w:r>
        <w:rPr>
          <w:rFonts w:hint="default" w:ascii="Times New Roman" w:hAnsi="Times New Roman" w:eastAsia="宋体" w:cs="Times New Roman"/>
          <w:color w:val="231F20"/>
          <w:spacing w:val="16"/>
          <w:sz w:val="24"/>
          <w:szCs w:val="24"/>
        </w:rPr>
        <w:t xml:space="preserve"> </w:t>
      </w:r>
      <w:r>
        <w:rPr>
          <w:rFonts w:hint="default" w:ascii="Times New Roman" w:hAnsi="Times New Roman" w:eastAsia="宋体" w:cs="Times New Roman"/>
          <w:color w:val="231F20"/>
          <w:spacing w:val="-10"/>
          <w:sz w:val="24"/>
          <w:szCs w:val="24"/>
        </w:rPr>
        <w:t>paranoid"</w:t>
      </w:r>
      <w:r>
        <w:rPr>
          <w:rFonts w:hint="default" w:ascii="Times New Roman" w:hAnsi="Times New Roman" w:eastAsia="宋体" w:cs="Times New Roman"/>
          <w:color w:val="231F20"/>
          <w:spacing w:val="23"/>
          <w:sz w:val="24"/>
          <w:szCs w:val="24"/>
        </w:rPr>
        <w:t xml:space="preserve"> </w:t>
      </w:r>
      <w:r>
        <w:rPr>
          <w:rFonts w:hint="default" w:ascii="Times New Roman" w:hAnsi="Times New Roman" w:eastAsia="宋体" w:cs="Times New Roman"/>
          <w:color w:val="231F20"/>
          <w:spacing w:val="-10"/>
          <w:sz w:val="24"/>
          <w:szCs w:val="24"/>
        </w:rPr>
        <w:t>direc</w:t>
      </w:r>
      <w:r>
        <w:rPr>
          <w:rFonts w:hint="default" w:ascii="Times New Roman" w:hAnsi="Times New Roman" w:eastAsia="宋体" w:cs="Times New Roman"/>
          <w:color w:val="231F20"/>
          <w:spacing w:val="-11"/>
          <w:sz w:val="24"/>
          <w:szCs w:val="24"/>
        </w:rPr>
        <w:t>tion</w:t>
      </w:r>
      <w:r>
        <w:rPr>
          <w:rFonts w:hint="default" w:ascii="Times New Roman" w:hAnsi="Times New Roman" w:eastAsia="宋体" w:cs="Times New Roman"/>
          <w:color w:val="231F20"/>
          <w:spacing w:val="38"/>
          <w:sz w:val="24"/>
          <w:szCs w:val="24"/>
        </w:rPr>
        <w:t xml:space="preserve"> </w:t>
      </w:r>
      <w:r>
        <w:rPr>
          <w:rFonts w:hint="default" w:ascii="Times New Roman" w:hAnsi="Times New Roman" w:eastAsia="宋体" w:cs="Times New Roman"/>
          <w:color w:val="231F20"/>
          <w:spacing w:val="-11"/>
          <w:sz w:val="24"/>
          <w:szCs w:val="24"/>
        </w:rPr>
        <w:t>[EB/OL].</w:t>
      </w:r>
      <w:r>
        <w:rPr>
          <w:rFonts w:hint="default" w:ascii="Times New Roman" w:hAnsi="Times New Roman" w:eastAsia="宋体" w:cs="Times New Roman"/>
          <w:color w:val="231F20"/>
          <w:spacing w:val="20"/>
          <w:sz w:val="24"/>
          <w:szCs w:val="24"/>
        </w:rPr>
        <w:t xml:space="preserve"> </w:t>
      </w:r>
      <w:r>
        <w:rPr>
          <w:rFonts w:hint="default" w:ascii="Times New Roman" w:hAnsi="Times New Roman" w:eastAsia="宋体" w:cs="Times New Roman"/>
          <w:color w:val="231F20"/>
          <w:spacing w:val="-11"/>
          <w:sz w:val="24"/>
          <w:szCs w:val="24"/>
        </w:rPr>
        <w:t>The</w:t>
      </w:r>
      <w:r>
        <w:rPr>
          <w:rFonts w:hint="default" w:ascii="Times New Roman" w:hAnsi="Times New Roman" w:eastAsia="宋体" w:cs="Times New Roman"/>
          <w:color w:val="231F20"/>
          <w:spacing w:val="24"/>
          <w:w w:val="101"/>
          <w:sz w:val="24"/>
          <w:szCs w:val="24"/>
        </w:rPr>
        <w:t xml:space="preserve"> </w:t>
      </w:r>
      <w:r>
        <w:rPr>
          <w:rFonts w:hint="default" w:ascii="Times New Roman" w:hAnsi="Times New Roman" w:eastAsia="宋体" w:cs="Times New Roman"/>
          <w:color w:val="231F20"/>
          <w:spacing w:val="-11"/>
          <w:sz w:val="24"/>
          <w:szCs w:val="24"/>
        </w:rPr>
        <w:t>Conversation</w:t>
      </w:r>
      <w:r>
        <w:rPr>
          <w:rFonts w:hint="default" w:ascii="Times New Roman" w:hAnsi="Times New Roman" w:eastAsia="宋体" w:cs="Times New Roman"/>
          <w:color w:val="231F20"/>
          <w:spacing w:val="31"/>
          <w:w w:val="101"/>
          <w:sz w:val="24"/>
          <w:szCs w:val="24"/>
        </w:rPr>
        <w:t xml:space="preserve"> </w:t>
      </w:r>
      <w:r>
        <w:rPr>
          <w:rFonts w:hint="default" w:ascii="Times New Roman" w:hAnsi="Times New Roman" w:eastAsia="宋体" w:cs="Times New Roman"/>
          <w:color w:val="231F20"/>
          <w:spacing w:val="-11"/>
          <w:sz w:val="24"/>
          <w:szCs w:val="24"/>
        </w:rPr>
        <w:t>.（2024-11-07）.</w:t>
      </w:r>
      <w:r>
        <w:rPr>
          <w:rFonts w:hint="default" w:ascii="Times New Roman" w:hAnsi="Times New Roman" w:eastAsia="宋体" w:cs="Times New Roman"/>
          <w:color w:val="231F20"/>
          <w:spacing w:val="18"/>
          <w:w w:val="101"/>
          <w:sz w:val="24"/>
          <w:szCs w:val="24"/>
        </w:rPr>
        <w:t xml:space="preserve"> </w:t>
      </w:r>
      <w:r>
        <w:rPr>
          <w:rFonts w:hint="default" w:ascii="Times New Roman" w:hAnsi="Times New Roman" w:eastAsia="宋体" w:cs="Times New Roman"/>
          <w:color w:val="231F20"/>
          <w:spacing w:val="-11"/>
          <w:sz w:val="24"/>
          <w:szCs w:val="24"/>
        </w:rPr>
        <w:t>https://theconversation.</w:t>
      </w:r>
      <w:r>
        <w:rPr>
          <w:rFonts w:hint="default" w:ascii="Times New Roman" w:hAnsi="Times New Roman" w:eastAsia="宋体" w:cs="Times New Roman"/>
          <w:color w:val="231F20"/>
          <w:spacing w:val="-33"/>
          <w:sz w:val="24"/>
          <w:szCs w:val="24"/>
        </w:rPr>
        <w:t xml:space="preserve"> </w:t>
      </w:r>
      <w:r>
        <w:rPr>
          <w:rFonts w:hint="default" w:ascii="Times New Roman" w:hAnsi="Times New Roman" w:eastAsia="宋体" w:cs="Times New Roman"/>
          <w:color w:val="231F20"/>
          <w:spacing w:val="-11"/>
          <w:sz w:val="24"/>
          <w:szCs w:val="24"/>
        </w:rPr>
        <w:t>com/the-</w:t>
      </w:r>
      <w:r>
        <w:rPr>
          <w:rFonts w:hint="default" w:ascii="Times New Roman" w:hAnsi="Times New Roman" w:eastAsia="宋体" w:cs="Times New Roman"/>
          <w:color w:val="231F20"/>
          <w:sz w:val="24"/>
          <w:szCs w:val="24"/>
        </w:rPr>
        <w:t xml:space="preserve"> </w:t>
      </w:r>
      <w:r>
        <w:rPr>
          <w:rFonts w:hint="default" w:ascii="Times New Roman" w:hAnsi="Times New Roman" w:eastAsia="宋体" w:cs="Times New Roman"/>
          <w:color w:val="231F20"/>
          <w:spacing w:val="-3"/>
          <w:sz w:val="24"/>
          <w:szCs w:val="24"/>
        </w:rPr>
        <w:t>indo-pacific-is-an-idea-more-than-a-region-and-its-pushing-politics-in-a-pessimistic-and-par</w:t>
      </w:r>
      <w:r>
        <w:rPr>
          <w:rFonts w:hint="default" w:ascii="Times New Roman" w:hAnsi="Times New Roman" w:eastAsia="宋体" w:cs="Times New Roman"/>
          <w:color w:val="231F20"/>
          <w:spacing w:val="-4"/>
          <w:sz w:val="24"/>
          <w:szCs w:val="24"/>
        </w:rPr>
        <w:t>anoid-direc</w:t>
      </w:r>
      <w:r>
        <w:rPr>
          <w:rFonts w:hint="default" w:ascii="Times New Roman" w:hAnsi="Times New Roman" w:eastAsia="宋体" w:cs="Times New Roman"/>
          <w:color w:val="231F20"/>
          <w:spacing w:val="-6"/>
          <w:sz w:val="24"/>
          <w:szCs w:val="24"/>
        </w:rPr>
        <w:t>tion-243130.</w:t>
      </w:r>
    </w:p>
    <w:p w14:paraId="04C0C7BB">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Times New Roman" w:hAnsi="Times New Roman" w:eastAsia="宋体" w:cs="Times New Roman"/>
          <w:color w:val="231F20"/>
          <w:spacing w:val="2"/>
          <w:sz w:val="24"/>
          <w:szCs w:val="24"/>
          <w:lang w:eastAsia="zh-CN"/>
        </w:rPr>
      </w:pPr>
      <w:r>
        <w:rPr>
          <w:rFonts w:hint="eastAsia" w:ascii="Times New Roman" w:hAnsi="Times New Roman" w:eastAsia="宋体" w:cs="Times New Roman"/>
          <w:color w:val="231F20"/>
          <w:spacing w:val="2"/>
          <w:sz w:val="24"/>
          <w:szCs w:val="24"/>
          <w:lang w:eastAsia="zh-CN"/>
        </w:rPr>
        <w:t>（</w:t>
      </w:r>
      <w:r>
        <w:rPr>
          <w:rFonts w:hint="eastAsia" w:ascii="Times New Roman" w:hAnsi="Times New Roman" w:eastAsia="宋体" w:cs="Times New Roman"/>
          <w:color w:val="231F20"/>
          <w:spacing w:val="2"/>
          <w:sz w:val="24"/>
          <w:szCs w:val="24"/>
          <w:lang w:val="en-US" w:eastAsia="zh-CN"/>
        </w:rPr>
        <w:t>原载《亚太研究》2025年第1期，第二作者为李静。</w:t>
      </w:r>
      <w:r>
        <w:rPr>
          <w:rFonts w:hint="eastAsia" w:ascii="Times New Roman" w:hAnsi="Times New Roman" w:eastAsia="宋体" w:cs="Times New Roman"/>
          <w:color w:val="231F20"/>
          <w:spacing w:val="2"/>
          <w:sz w:val="24"/>
          <w:szCs w:val="24"/>
          <w:lang w:eastAsia="zh-CN"/>
        </w:rPr>
        <w:t>）</w:t>
      </w:r>
    </w:p>
    <w:p w14:paraId="0BBB9972">
      <w:pPr>
        <w:pStyle w:val="6"/>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88" w:firstLineChars="200"/>
        <w:jc w:val="both"/>
        <w:textAlignment w:val="baseline"/>
        <w:rPr>
          <w:rFonts w:hint="eastAsia" w:ascii="Times New Roman" w:hAnsi="Times New Roman" w:eastAsia="宋体" w:cs="Times New Roman"/>
          <w:color w:val="231F20"/>
          <w:spacing w:val="2"/>
          <w:sz w:val="24"/>
          <w:szCs w:val="24"/>
          <w:lang w:eastAsia="zh-CN"/>
        </w:rPr>
      </w:pPr>
    </w:p>
    <w:p w14:paraId="48A4E13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3FAC72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556476E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43B4F1F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29C412C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1933A5FB">
      <w:pPr>
        <w:pStyle w:val="2"/>
        <w:bidi w:val="0"/>
        <w:rPr>
          <w:rFonts w:hint="eastAsia"/>
        </w:rPr>
      </w:pPr>
      <w:bookmarkStart w:id="643" w:name="_Toc2038824189"/>
      <w:bookmarkStart w:id="644" w:name="_Toc777367982"/>
      <w:bookmarkStart w:id="645" w:name="_Toc705408947"/>
      <w:bookmarkStart w:id="646" w:name="_Toc1652923500"/>
      <w:bookmarkStart w:id="647" w:name="_Toc10656"/>
      <w:bookmarkStart w:id="648" w:name="_Toc898273966"/>
      <w:r>
        <w:rPr>
          <w:rFonts w:hint="eastAsia"/>
          <w:lang w:val="en-US" w:eastAsia="zh-CN"/>
        </w:rPr>
        <w:t>2</w:t>
      </w:r>
      <w:r>
        <w:rPr>
          <w:rFonts w:hint="eastAsia"/>
        </w:rPr>
        <w:t>当前推动高质量发展面临的若干问题及对策研究</w:t>
      </w:r>
      <w:bookmarkEnd w:id="643"/>
      <w:bookmarkEnd w:id="644"/>
      <w:bookmarkEnd w:id="645"/>
      <w:bookmarkEnd w:id="646"/>
      <w:bookmarkEnd w:id="647"/>
      <w:bookmarkEnd w:id="648"/>
    </w:p>
    <w:p w14:paraId="59D9162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［摘要］高质量发展是中国式现代化的本质要求，是谋求国家发展和推动民族复兴的必</w:t>
      </w:r>
      <w:r>
        <w:rPr>
          <w:rFonts w:hint="eastAsia" w:ascii="宋体" w:hAnsi="宋体" w:eastAsia="宋体" w:cs="宋体"/>
          <w:spacing w:val="6"/>
          <w:sz w:val="21"/>
          <w:szCs w:val="21"/>
        </w:rPr>
        <w:t>由之路。当前，推动高质量发展面临的突出问题依然是发展不平衡不充分，主要表现在创新能力</w:t>
      </w:r>
      <w:r>
        <w:rPr>
          <w:rFonts w:hint="eastAsia" w:ascii="宋体" w:hAnsi="宋体" w:eastAsia="宋体" w:cs="宋体"/>
          <w:spacing w:val="3"/>
          <w:sz w:val="21"/>
          <w:szCs w:val="21"/>
        </w:rPr>
        <w:t>不适应高质量发展要求，一些关键核心技术受制于人，产业体系整体大而不强</w:t>
      </w:r>
      <w:r>
        <w:rPr>
          <w:rFonts w:hint="eastAsia" w:ascii="宋体" w:hAnsi="宋体" w:eastAsia="宋体" w:cs="宋体"/>
          <w:spacing w:val="2"/>
          <w:sz w:val="21"/>
          <w:szCs w:val="21"/>
        </w:rPr>
        <w:t>、全而不精，民生保障、生态环境保护仍存短板，城乡区域发展和收入分配差距仍然较大，等等。解决高质量发展面临</w:t>
      </w:r>
      <w:r>
        <w:rPr>
          <w:rFonts w:hint="eastAsia" w:ascii="宋体" w:hAnsi="宋体" w:eastAsia="宋体" w:cs="宋体"/>
          <w:spacing w:val="5"/>
          <w:sz w:val="21"/>
          <w:szCs w:val="21"/>
        </w:rPr>
        <w:t>的现实问题，需要深化改革破除制约，健全推动经济高</w:t>
      </w:r>
      <w:r>
        <w:rPr>
          <w:rFonts w:hint="eastAsia" w:ascii="宋体" w:hAnsi="宋体" w:eastAsia="宋体" w:cs="宋体"/>
          <w:spacing w:val="4"/>
          <w:sz w:val="21"/>
          <w:szCs w:val="21"/>
        </w:rPr>
        <w:t>质量发展体制机制、大力发展新质生产力、</w:t>
      </w:r>
      <w:r>
        <w:rPr>
          <w:rFonts w:hint="eastAsia" w:ascii="宋体" w:hAnsi="宋体" w:eastAsia="宋体" w:cs="宋体"/>
          <w:spacing w:val="7"/>
          <w:sz w:val="21"/>
          <w:szCs w:val="21"/>
        </w:rPr>
        <w:t>发挥国有企业在推动高质量发展中的作用、引领非公有制经济健康发展、着力提高发展的平衡性</w:t>
      </w:r>
      <w:r>
        <w:rPr>
          <w:rFonts w:hint="eastAsia" w:ascii="宋体" w:hAnsi="宋体" w:eastAsia="宋体" w:cs="宋体"/>
          <w:spacing w:val="6"/>
          <w:sz w:val="21"/>
          <w:szCs w:val="21"/>
        </w:rPr>
        <w:t>协调性包容性。</w:t>
      </w:r>
    </w:p>
    <w:p w14:paraId="1D13BC8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textAlignment w:val="baseline"/>
        <w:rPr>
          <w:rFonts w:hint="eastAsia" w:ascii="宋体" w:hAnsi="宋体" w:eastAsia="宋体" w:cs="宋体"/>
          <w:sz w:val="21"/>
          <w:szCs w:val="21"/>
        </w:rPr>
      </w:pPr>
      <w:r>
        <w:rPr>
          <w:rFonts w:hint="eastAsia" w:ascii="宋体" w:hAnsi="宋体" w:eastAsia="宋体" w:cs="宋体"/>
          <w:spacing w:val="1"/>
          <w:sz w:val="21"/>
          <w:szCs w:val="21"/>
        </w:rPr>
        <w:t>［关键词］高质量发展；新质生产力；体制机制改革；内外经济循环；协调发展</w:t>
      </w:r>
    </w:p>
    <w:p w14:paraId="1C1F781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高质量发展是全面建设社会主义现代化国家的首要任务</w:t>
      </w:r>
      <w:r>
        <w:rPr>
          <w:rFonts w:hint="eastAsia" w:ascii="宋体" w:hAnsi="宋体" w:eastAsia="宋体" w:cs="宋体"/>
          <w:spacing w:val="8"/>
          <w:sz w:val="21"/>
          <w:szCs w:val="21"/>
        </w:rPr>
        <w:t>，是新时代的硬道理。党的二十届三中</w:t>
      </w:r>
      <w:r>
        <w:rPr>
          <w:rFonts w:hint="eastAsia" w:ascii="宋体" w:hAnsi="宋体" w:eastAsia="宋体" w:cs="宋体"/>
          <w:spacing w:val="5"/>
          <w:sz w:val="21"/>
          <w:szCs w:val="21"/>
        </w:rPr>
        <w:t>全会对健全推动经济高质量发展体制机制作出重要部署，强调“</w:t>
      </w:r>
      <w:r>
        <w:rPr>
          <w:rFonts w:hint="eastAsia" w:ascii="宋体" w:hAnsi="宋体" w:eastAsia="宋体" w:cs="宋体"/>
          <w:spacing w:val="4"/>
          <w:sz w:val="21"/>
          <w:szCs w:val="21"/>
        </w:rPr>
        <w:t>必须以新发展理念引领改革，立足新</w:t>
      </w:r>
      <w:r>
        <w:rPr>
          <w:rFonts w:hint="eastAsia" w:ascii="宋体" w:hAnsi="宋体" w:eastAsia="宋体" w:cs="宋体"/>
          <w:spacing w:val="3"/>
          <w:sz w:val="21"/>
          <w:szCs w:val="21"/>
        </w:rPr>
        <w:t>发展阶段，深化供给侧结构性改革，完善推动高质量发展激励约束机制，</w:t>
      </w:r>
      <w:r>
        <w:rPr>
          <w:rFonts w:hint="eastAsia" w:ascii="宋体" w:hAnsi="宋体" w:eastAsia="宋体" w:cs="宋体"/>
          <w:spacing w:val="2"/>
          <w:sz w:val="21"/>
          <w:szCs w:val="21"/>
        </w:rPr>
        <w:t>塑造发展新动能新优势</w:t>
      </w:r>
      <w:r>
        <w:rPr>
          <w:rFonts w:hint="eastAsia" w:ascii="宋体" w:hAnsi="宋体" w:eastAsia="宋体" w:cs="宋体"/>
          <w:spacing w:val="2"/>
          <w:position w:val="6"/>
          <w:sz w:val="21"/>
          <w:szCs w:val="21"/>
        </w:rPr>
        <w:t>”</w:t>
      </w:r>
      <w:r>
        <w:rPr>
          <w:rStyle w:val="20"/>
          <w:rFonts w:hint="eastAsia" w:ascii="宋体" w:hAnsi="宋体" w:eastAsia="宋体" w:cs="宋体"/>
          <w:spacing w:val="2"/>
          <w:position w:val="6"/>
          <w:sz w:val="21"/>
          <w:szCs w:val="21"/>
        </w:rPr>
        <w:footnoteReference w:id="982"/>
      </w:r>
      <w:r>
        <w:rPr>
          <w:rFonts w:hint="eastAsia" w:ascii="宋体" w:hAnsi="宋体" w:eastAsia="宋体" w:cs="宋体"/>
          <w:spacing w:val="2"/>
          <w:sz w:val="21"/>
          <w:szCs w:val="21"/>
        </w:rPr>
        <w:t>。当前，我国发展面临新的战略机遇期、新的战略要求、新的战略环境，需要针对发展</w:t>
      </w:r>
      <w:r>
        <w:rPr>
          <w:rFonts w:hint="eastAsia" w:ascii="宋体" w:hAnsi="宋体" w:eastAsia="宋体" w:cs="宋体"/>
          <w:spacing w:val="1"/>
          <w:sz w:val="21"/>
          <w:szCs w:val="21"/>
        </w:rPr>
        <w:t>面临的突出问题，</w:t>
      </w:r>
      <w:r>
        <w:rPr>
          <w:rFonts w:hint="eastAsia" w:ascii="宋体" w:hAnsi="宋体" w:eastAsia="宋体" w:cs="宋体"/>
          <w:spacing w:val="6"/>
          <w:sz w:val="21"/>
          <w:szCs w:val="21"/>
        </w:rPr>
        <w:t>按照党的二十届三中全会作出的一系列重大部署进一步全面深化改革，推动高质量发展。</w:t>
      </w:r>
    </w:p>
    <w:p w14:paraId="0144C65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2"/>
        <w:rPr>
          <w:rFonts w:hint="eastAsia" w:ascii="宋体" w:hAnsi="宋体" w:eastAsia="宋体" w:cs="宋体"/>
          <w:sz w:val="21"/>
          <w:szCs w:val="21"/>
        </w:rPr>
      </w:pPr>
      <w:r>
        <w:rPr>
          <w:rFonts w:hint="eastAsia" w:ascii="宋体" w:hAnsi="宋体" w:eastAsia="宋体" w:cs="宋体"/>
          <w:sz w:val="21"/>
          <w:szCs w:val="21"/>
        </w:rPr>
        <w:t>一、高质量发展面临的卡点瓶颈</w:t>
      </w:r>
    </w:p>
    <w:p w14:paraId="18058F0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4"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习近平总书记指出：“当前，推动高质量发展面临的突出问题依然是发</w:t>
      </w:r>
      <w:r>
        <w:rPr>
          <w:rFonts w:hint="eastAsia" w:ascii="宋体" w:hAnsi="宋体" w:eastAsia="宋体" w:cs="宋体"/>
          <w:spacing w:val="-5"/>
          <w:sz w:val="21"/>
          <w:szCs w:val="21"/>
        </w:rPr>
        <w:t>展不平衡不充分。</w:t>
      </w:r>
      <w:r>
        <w:rPr>
          <w:rFonts w:hint="eastAsia" w:ascii="宋体" w:hAnsi="宋体" w:eastAsia="宋体" w:cs="宋体"/>
          <w:spacing w:val="-5"/>
          <w:position w:val="6"/>
          <w:sz w:val="21"/>
          <w:szCs w:val="21"/>
        </w:rPr>
        <w:t>”</w:t>
      </w:r>
      <w:r>
        <w:rPr>
          <w:rStyle w:val="20"/>
          <w:rFonts w:hint="eastAsia" w:ascii="宋体" w:hAnsi="宋体" w:eastAsia="宋体" w:cs="宋体"/>
          <w:spacing w:val="-5"/>
          <w:position w:val="6"/>
          <w:sz w:val="21"/>
          <w:szCs w:val="21"/>
        </w:rPr>
        <w:footnoteReference w:id="983"/>
      </w:r>
      <w:r>
        <w:rPr>
          <w:rFonts w:hint="eastAsia" w:ascii="宋体" w:hAnsi="宋体" w:eastAsia="宋体" w:cs="宋体"/>
          <w:spacing w:val="-5"/>
          <w:sz w:val="21"/>
          <w:szCs w:val="21"/>
        </w:rPr>
        <w:t>目前，</w:t>
      </w:r>
      <w:r>
        <w:rPr>
          <w:rFonts w:hint="eastAsia" w:ascii="宋体" w:hAnsi="宋体" w:eastAsia="宋体" w:cs="宋体"/>
          <w:spacing w:val="5"/>
          <w:sz w:val="21"/>
          <w:szCs w:val="21"/>
        </w:rPr>
        <w:t>我国发展进入战略机遇和风险挑战并存、不确定难预料因</w:t>
      </w:r>
      <w:r>
        <w:rPr>
          <w:rFonts w:hint="eastAsia" w:ascii="宋体" w:hAnsi="宋体" w:eastAsia="宋体" w:cs="宋体"/>
          <w:spacing w:val="4"/>
          <w:sz w:val="21"/>
          <w:szCs w:val="21"/>
        </w:rPr>
        <w:t>素增多的时期，推动高质量发展还有许多卡</w:t>
      </w:r>
      <w:r>
        <w:rPr>
          <w:rFonts w:hint="eastAsia" w:ascii="宋体" w:hAnsi="宋体" w:eastAsia="宋体" w:cs="宋体"/>
          <w:spacing w:val="7"/>
          <w:sz w:val="21"/>
          <w:szCs w:val="21"/>
        </w:rPr>
        <w:t>点瓶颈需要破解。</w:t>
      </w:r>
    </w:p>
    <w:p w14:paraId="1E722B2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r>
        <w:rPr>
          <w:rFonts w:hint="eastAsia" w:ascii="宋体" w:hAnsi="宋体" w:eastAsia="宋体" w:cs="宋体"/>
          <w:sz w:val="21"/>
          <w:szCs w:val="21"/>
        </w:rPr>
        <w:t>（一）一些关键核心技术受制于人</w:t>
      </w:r>
    </w:p>
    <w:p w14:paraId="6BA82D1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加快实现高水平科技自立自强，是推动高质量发展的必由之路。党的</w:t>
      </w:r>
      <w:r>
        <w:rPr>
          <w:rFonts w:hint="eastAsia" w:ascii="宋体" w:hAnsi="宋体" w:eastAsia="宋体" w:cs="宋体"/>
          <w:spacing w:val="3"/>
          <w:sz w:val="21"/>
          <w:szCs w:val="21"/>
        </w:rPr>
        <w:t>十八大以来，我国基础研究</w:t>
      </w:r>
      <w:r>
        <w:rPr>
          <w:rFonts w:hint="eastAsia" w:ascii="宋体" w:hAnsi="宋体" w:eastAsia="宋体" w:cs="宋体"/>
          <w:spacing w:val="2"/>
          <w:sz w:val="21"/>
          <w:szCs w:val="21"/>
        </w:rPr>
        <w:t>和原始创新不断加强，关键核心技术实现重大突破，创新活力进一</w:t>
      </w:r>
      <w:r>
        <w:rPr>
          <w:rFonts w:hint="eastAsia" w:ascii="宋体" w:hAnsi="宋体" w:eastAsia="宋体" w:cs="宋体"/>
          <w:spacing w:val="1"/>
          <w:sz w:val="21"/>
          <w:szCs w:val="21"/>
        </w:rPr>
        <w:t>步释放，成功进入创新型国家行列。</w:t>
      </w:r>
      <w:r>
        <w:rPr>
          <w:rFonts w:hint="eastAsia" w:ascii="宋体" w:hAnsi="宋体" w:eastAsia="宋体" w:cs="宋体"/>
          <w:sz w:val="21"/>
          <w:szCs w:val="21"/>
        </w:rPr>
        <w:t>当前，新一轮科技革命和产业变革深入发展，我国正处在转变发展方式、优化经济结构、转换</w:t>
      </w:r>
      <w:r>
        <w:rPr>
          <w:rFonts w:hint="eastAsia" w:ascii="宋体" w:hAnsi="宋体" w:eastAsia="宋体" w:cs="宋体"/>
          <w:spacing w:val="-1"/>
          <w:sz w:val="21"/>
          <w:szCs w:val="21"/>
        </w:rPr>
        <w:t>增长动力</w:t>
      </w:r>
      <w:r>
        <w:rPr>
          <w:rFonts w:hint="eastAsia" w:ascii="宋体" w:hAnsi="宋体" w:eastAsia="宋体" w:cs="宋体"/>
          <w:spacing w:val="4"/>
          <w:sz w:val="21"/>
          <w:szCs w:val="21"/>
        </w:rPr>
        <w:t>的攻关期，推动高质量发展关键在依靠科技创新转换发展动力</w:t>
      </w:r>
      <w:r>
        <w:rPr>
          <w:rFonts w:hint="eastAsia" w:ascii="宋体" w:hAnsi="宋体" w:eastAsia="宋体" w:cs="宋体"/>
          <w:spacing w:val="3"/>
          <w:sz w:val="21"/>
          <w:szCs w:val="21"/>
        </w:rPr>
        <w:t>。虽然我国在载人航天、人工智能、超</w:t>
      </w:r>
      <w:r>
        <w:rPr>
          <w:rFonts w:hint="eastAsia" w:ascii="宋体" w:hAnsi="宋体" w:eastAsia="宋体" w:cs="宋体"/>
          <w:spacing w:val="7"/>
          <w:sz w:val="21"/>
          <w:szCs w:val="21"/>
        </w:rPr>
        <w:t>算、探月工程等领域取得了关键技术攻关的重大突破，“但原始创</w:t>
      </w:r>
      <w:r>
        <w:rPr>
          <w:rFonts w:hint="eastAsia" w:ascii="宋体" w:hAnsi="宋体" w:eastAsia="宋体" w:cs="宋体"/>
          <w:spacing w:val="6"/>
          <w:sz w:val="21"/>
          <w:szCs w:val="21"/>
        </w:rPr>
        <w:t>新能力还相对薄弱，一些关键核心</w:t>
      </w:r>
      <w:r>
        <w:rPr>
          <w:rFonts w:hint="eastAsia" w:ascii="宋体" w:hAnsi="宋体" w:eastAsia="宋体" w:cs="宋体"/>
          <w:spacing w:val="-1"/>
          <w:sz w:val="21"/>
          <w:szCs w:val="21"/>
        </w:rPr>
        <w:t>技术受制于人，顶尖科技人才不足</w:t>
      </w:r>
      <w:r>
        <w:rPr>
          <w:rFonts w:hint="eastAsia" w:ascii="宋体" w:hAnsi="宋体" w:eastAsia="宋体" w:cs="宋体"/>
          <w:spacing w:val="-1"/>
          <w:position w:val="4"/>
          <w:sz w:val="21"/>
          <w:szCs w:val="21"/>
        </w:rPr>
        <w:t>”</w:t>
      </w:r>
      <w:r>
        <w:rPr>
          <w:rStyle w:val="20"/>
          <w:rFonts w:hint="eastAsia" w:ascii="宋体" w:hAnsi="宋体" w:eastAsia="宋体" w:cs="宋体"/>
          <w:spacing w:val="-1"/>
          <w:position w:val="4"/>
          <w:sz w:val="21"/>
          <w:szCs w:val="21"/>
        </w:rPr>
        <w:footnoteReference w:id="984"/>
      </w:r>
      <w:r>
        <w:rPr>
          <w:rFonts w:hint="eastAsia" w:ascii="宋体" w:hAnsi="宋体" w:eastAsia="宋体" w:cs="宋体"/>
          <w:spacing w:val="-1"/>
          <w:sz w:val="21"/>
          <w:szCs w:val="21"/>
        </w:rPr>
        <w:t>。数据显示，2014—2019</w:t>
      </w:r>
      <w:r>
        <w:rPr>
          <w:rFonts w:hint="eastAsia" w:ascii="宋体" w:hAnsi="宋体" w:eastAsia="宋体" w:cs="宋体"/>
          <w:spacing w:val="-2"/>
          <w:sz w:val="21"/>
          <w:szCs w:val="21"/>
        </w:rPr>
        <w:t>年全球三方专利形成的7375个技术焦</w:t>
      </w:r>
      <w:r>
        <w:rPr>
          <w:rFonts w:hint="eastAsia" w:ascii="宋体" w:hAnsi="宋体" w:eastAsia="宋体" w:cs="宋体"/>
          <w:spacing w:val="5"/>
          <w:sz w:val="21"/>
          <w:szCs w:val="21"/>
        </w:rPr>
        <w:t>点中，日本、美国的三方专利量都覆盖了接近95%的技术焦点，以绝对优势位居世</w:t>
      </w:r>
      <w:r>
        <w:rPr>
          <w:rFonts w:hint="eastAsia" w:ascii="宋体" w:hAnsi="宋体" w:eastAsia="宋体" w:cs="宋体"/>
          <w:spacing w:val="4"/>
          <w:sz w:val="21"/>
          <w:szCs w:val="21"/>
        </w:rPr>
        <w:t>界前两位，中国三</w:t>
      </w:r>
      <w:r>
        <w:rPr>
          <w:rFonts w:hint="eastAsia" w:ascii="宋体" w:hAnsi="宋体" w:eastAsia="宋体" w:cs="宋体"/>
          <w:spacing w:val="-3"/>
          <w:sz w:val="21"/>
          <w:szCs w:val="21"/>
        </w:rPr>
        <w:t>方专利量只覆盖50%多的技术焦点。</w:t>
      </w:r>
      <w:r>
        <w:rPr>
          <w:rStyle w:val="20"/>
          <w:rFonts w:hint="eastAsia" w:ascii="宋体" w:hAnsi="宋体" w:eastAsia="宋体" w:cs="宋体"/>
          <w:spacing w:val="-3"/>
          <w:sz w:val="21"/>
          <w:szCs w:val="21"/>
        </w:rPr>
        <w:footnoteReference w:id="985"/>
      </w:r>
      <w:r>
        <w:rPr>
          <w:rFonts w:hint="eastAsia" w:ascii="宋体" w:hAnsi="宋体" w:eastAsia="宋体" w:cs="宋体"/>
          <w:spacing w:val="-3"/>
          <w:sz w:val="21"/>
          <w:szCs w:val="21"/>
        </w:rPr>
        <w:t>具体来看，产业层面，高端光刻胶、极紫外光刻机、EDA、FPGA</w:t>
      </w:r>
      <w:r>
        <w:rPr>
          <w:rFonts w:hint="eastAsia" w:ascii="宋体" w:hAnsi="宋体" w:eastAsia="宋体" w:cs="宋体"/>
          <w:spacing w:val="-4"/>
          <w:sz w:val="21"/>
          <w:szCs w:val="21"/>
        </w:rPr>
        <w:t>芯片、DRAM芯片、射频前端芯片等关键核心技术受制于人；企业层面，部分</w:t>
      </w:r>
      <w:r>
        <w:rPr>
          <w:rFonts w:hint="eastAsia" w:ascii="宋体" w:hAnsi="宋体" w:eastAsia="宋体" w:cs="宋体"/>
          <w:spacing w:val="-5"/>
          <w:sz w:val="21"/>
          <w:szCs w:val="21"/>
        </w:rPr>
        <w:t>关键元器件、零部件、原材</w:t>
      </w:r>
      <w:r>
        <w:rPr>
          <w:rFonts w:hint="eastAsia" w:ascii="宋体" w:hAnsi="宋体" w:eastAsia="宋体" w:cs="宋体"/>
          <w:spacing w:val="2"/>
          <w:sz w:val="21"/>
          <w:szCs w:val="21"/>
        </w:rPr>
        <w:t>料依赖进口，一旦断供，就形成“卡脖子”问题</w:t>
      </w:r>
      <w:r>
        <w:rPr>
          <w:rFonts w:hint="eastAsia" w:ascii="宋体" w:hAnsi="宋体" w:eastAsia="宋体" w:cs="宋体"/>
          <w:spacing w:val="1"/>
          <w:sz w:val="21"/>
          <w:szCs w:val="21"/>
        </w:rPr>
        <w:t>。研究基础薄弱、创新能力不足是我国关键核心技术受</w:t>
      </w:r>
      <w:r>
        <w:rPr>
          <w:rFonts w:hint="eastAsia" w:ascii="宋体" w:hAnsi="宋体" w:eastAsia="宋体" w:cs="宋体"/>
          <w:spacing w:val="11"/>
          <w:sz w:val="21"/>
          <w:szCs w:val="21"/>
        </w:rPr>
        <w:t>制于人的重要原因。过去我国经济依靠劳动力要素禀赋优势实现迅速发展，处于全</w:t>
      </w:r>
      <w:r>
        <w:rPr>
          <w:rFonts w:hint="eastAsia" w:ascii="宋体" w:hAnsi="宋体" w:eastAsia="宋体" w:cs="宋体"/>
          <w:spacing w:val="10"/>
          <w:sz w:val="21"/>
          <w:szCs w:val="21"/>
        </w:rPr>
        <w:t>球价值链中低端</w:t>
      </w:r>
      <w:r>
        <w:rPr>
          <w:rFonts w:hint="eastAsia" w:ascii="宋体" w:hAnsi="宋体" w:eastAsia="宋体" w:cs="宋体"/>
          <w:spacing w:val="1"/>
          <w:sz w:val="21"/>
          <w:szCs w:val="21"/>
        </w:rPr>
        <w:t>“舒适区”，对自主创新能力重视程度不够，导</w:t>
      </w:r>
      <w:r>
        <w:rPr>
          <w:rFonts w:hint="eastAsia" w:ascii="宋体" w:hAnsi="宋体" w:eastAsia="宋体" w:cs="宋体"/>
          <w:sz w:val="21"/>
          <w:szCs w:val="21"/>
        </w:rPr>
        <w:t>致原始创新成果缺乏，基础研究积累不足。同时，科技</w:t>
      </w:r>
      <w:r>
        <w:rPr>
          <w:rFonts w:hint="eastAsia" w:ascii="宋体" w:hAnsi="宋体" w:eastAsia="宋体" w:cs="宋体"/>
          <w:spacing w:val="11"/>
          <w:sz w:val="21"/>
          <w:szCs w:val="21"/>
        </w:rPr>
        <w:t>顶尖人才仍然十分缺乏，实现关键核心技术突破的人才支撑力度不够。关键核心技</w:t>
      </w:r>
      <w:r>
        <w:rPr>
          <w:rFonts w:hint="eastAsia" w:ascii="宋体" w:hAnsi="宋体" w:eastAsia="宋体" w:cs="宋体"/>
          <w:spacing w:val="10"/>
          <w:sz w:val="21"/>
          <w:szCs w:val="21"/>
        </w:rPr>
        <w:t>术受制于人就意</w:t>
      </w:r>
      <w:r>
        <w:rPr>
          <w:rFonts w:hint="eastAsia" w:ascii="宋体" w:hAnsi="宋体" w:eastAsia="宋体" w:cs="宋体"/>
          <w:spacing w:val="7"/>
          <w:sz w:val="21"/>
          <w:szCs w:val="21"/>
        </w:rPr>
        <w:t>味着我国经济发展的一些关键领域的命运掌握在别人手里，容易遭</w:t>
      </w:r>
      <w:r>
        <w:rPr>
          <w:rFonts w:hint="eastAsia" w:ascii="宋体" w:hAnsi="宋体" w:eastAsia="宋体" w:cs="宋体"/>
          <w:spacing w:val="6"/>
          <w:sz w:val="21"/>
          <w:szCs w:val="21"/>
        </w:rPr>
        <w:t>到技术封锁和遏制，严重威胁我国</w:t>
      </w:r>
      <w:r>
        <w:rPr>
          <w:rFonts w:hint="eastAsia" w:ascii="宋体" w:hAnsi="宋体" w:eastAsia="宋体" w:cs="宋体"/>
          <w:spacing w:val="1"/>
          <w:sz w:val="21"/>
          <w:szCs w:val="21"/>
        </w:rPr>
        <w:t>产业链供应链安全，影响经济顺利运行。提升自主创新能力，突破“卡脖子”技术，实现关键核心技术</w:t>
      </w:r>
      <w:r>
        <w:rPr>
          <w:rFonts w:hint="eastAsia" w:ascii="宋体" w:hAnsi="宋体" w:eastAsia="宋体" w:cs="宋体"/>
          <w:spacing w:val="7"/>
          <w:sz w:val="21"/>
          <w:szCs w:val="21"/>
        </w:rPr>
        <w:t>自主可控，才能确保产业链供应链安全稳定。</w:t>
      </w:r>
    </w:p>
    <w:p w14:paraId="4F2F193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96" w:firstLineChars="200"/>
        <w:textAlignment w:val="baseline"/>
        <w:rPr>
          <w:rFonts w:hint="eastAsia" w:ascii="宋体" w:hAnsi="宋体" w:eastAsia="宋体" w:cs="宋体"/>
          <w:sz w:val="21"/>
          <w:szCs w:val="21"/>
        </w:rPr>
      </w:pPr>
      <w:r>
        <w:rPr>
          <w:rFonts w:hint="eastAsia" w:ascii="宋体" w:hAnsi="宋体" w:eastAsia="宋体" w:cs="宋体"/>
          <w:spacing w:val="-6"/>
          <w:sz w:val="21"/>
          <w:szCs w:val="21"/>
        </w:rPr>
        <w:t>（二）有效需求不足</w:t>
      </w:r>
    </w:p>
    <w:p w14:paraId="48AB3E3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spacing w:val="6"/>
          <w:sz w:val="21"/>
          <w:szCs w:val="21"/>
        </w:rPr>
        <w:t>党的二十届三中全会对加快培育完整内需体系作出全面部署，要求“完善扩大消费长效机制”。</w:t>
      </w:r>
      <w:r>
        <w:rPr>
          <w:rFonts w:hint="eastAsia" w:ascii="宋体" w:hAnsi="宋体" w:eastAsia="宋体" w:cs="宋体"/>
          <w:spacing w:val="9"/>
          <w:sz w:val="21"/>
          <w:szCs w:val="21"/>
        </w:rPr>
        <w:t>需求是经济发展的主要动力之一，有效需求不足是制约当前我国经济发展的突出</w:t>
      </w:r>
      <w:r>
        <w:rPr>
          <w:rFonts w:hint="eastAsia" w:ascii="宋体" w:hAnsi="宋体" w:eastAsia="宋体" w:cs="宋体"/>
          <w:spacing w:val="8"/>
          <w:sz w:val="21"/>
          <w:szCs w:val="21"/>
        </w:rPr>
        <w:t>卡点之一。一是国</w:t>
      </w:r>
      <w:r>
        <w:rPr>
          <w:rFonts w:hint="eastAsia" w:ascii="宋体" w:hAnsi="宋体" w:eastAsia="宋体" w:cs="宋体"/>
          <w:spacing w:val="-3"/>
          <w:sz w:val="21"/>
          <w:szCs w:val="21"/>
        </w:rPr>
        <w:t>内投资需求不足，投资延续偏弱、投资增速屡创新低，民间投资继续负增长。《中国统计年鉴2023》相</w:t>
      </w:r>
      <w:r>
        <w:rPr>
          <w:rFonts w:hint="eastAsia" w:ascii="宋体" w:hAnsi="宋体" w:eastAsia="宋体" w:cs="宋体"/>
          <w:spacing w:val="2"/>
          <w:sz w:val="21"/>
          <w:szCs w:val="21"/>
        </w:rPr>
        <w:t>关数据显示，2022年全社会固定资产投资实际到位资金比上年增长0.5%,破自1</w:t>
      </w:r>
      <w:r>
        <w:rPr>
          <w:rFonts w:hint="eastAsia" w:ascii="宋体" w:hAnsi="宋体" w:eastAsia="宋体" w:cs="宋体"/>
          <w:spacing w:val="1"/>
          <w:sz w:val="21"/>
          <w:szCs w:val="21"/>
        </w:rPr>
        <w:t>996年以来增速新</w:t>
      </w:r>
      <w:r>
        <w:rPr>
          <w:rFonts w:hint="eastAsia" w:ascii="宋体" w:hAnsi="宋体" w:eastAsia="宋体" w:cs="宋体"/>
          <w:sz w:val="21"/>
          <w:szCs w:val="21"/>
        </w:rPr>
        <w:t>低；2022年民间投资仅增长0.9%,创下历年最低增速，2023年民间投资继续延续上年增速逐月下滑</w:t>
      </w:r>
      <w:r>
        <w:rPr>
          <w:rFonts w:hint="eastAsia" w:ascii="宋体" w:hAnsi="宋体" w:eastAsia="宋体" w:cs="宋体"/>
          <w:spacing w:val="-4"/>
          <w:sz w:val="21"/>
          <w:szCs w:val="21"/>
        </w:rPr>
        <w:t>趋势。二是私人消费需求不足，居民消费意愿较低，储</w:t>
      </w:r>
      <w:r>
        <w:rPr>
          <w:rFonts w:hint="eastAsia" w:ascii="宋体" w:hAnsi="宋体" w:eastAsia="宋体" w:cs="宋体"/>
          <w:spacing w:val="-5"/>
          <w:sz w:val="21"/>
          <w:szCs w:val="21"/>
        </w:rPr>
        <w:t>蓄意愿增强，“消费降级”趋势明显。2022年全</w:t>
      </w:r>
      <w:r>
        <w:rPr>
          <w:rFonts w:hint="eastAsia" w:ascii="宋体" w:hAnsi="宋体" w:eastAsia="宋体" w:cs="宋体"/>
          <w:spacing w:val="-3"/>
          <w:sz w:val="21"/>
          <w:szCs w:val="21"/>
        </w:rPr>
        <w:t>国居民人均消费支出减少0.2%,首次出现负增长；2024年10月末人民币存款余额为301.48万亿元，</w:t>
      </w:r>
      <w:r>
        <w:rPr>
          <w:rFonts w:hint="eastAsia" w:ascii="宋体" w:hAnsi="宋体" w:eastAsia="宋体" w:cs="宋体"/>
          <w:spacing w:val="4"/>
          <w:sz w:val="21"/>
          <w:szCs w:val="21"/>
        </w:rPr>
        <w:t>同比增长7%。三是政府购买需求不足，政府债务约束趋紧，政府投资扩张受到资金来源的制约。根</w:t>
      </w:r>
      <w:r>
        <w:rPr>
          <w:rFonts w:hint="eastAsia" w:ascii="宋体" w:hAnsi="宋体" w:eastAsia="宋体" w:cs="宋体"/>
          <w:spacing w:val="5"/>
          <w:sz w:val="21"/>
          <w:szCs w:val="21"/>
        </w:rPr>
        <w:t>据财政部发布的《关于2023年中央和地方预算执行情况与2024年中央和地方预算草案的报告》，</w:t>
      </w:r>
      <w:r>
        <w:rPr>
          <w:rFonts w:hint="eastAsia" w:ascii="宋体" w:hAnsi="宋体" w:eastAsia="宋体" w:cs="宋体"/>
          <w:spacing w:val="3"/>
          <w:sz w:val="21"/>
          <w:szCs w:val="21"/>
        </w:rPr>
        <w:t>2023年全国地方政府债务余额首超40</w:t>
      </w:r>
      <w:r>
        <w:rPr>
          <w:rFonts w:hint="eastAsia" w:ascii="宋体" w:hAnsi="宋体" w:eastAsia="宋体" w:cs="宋体"/>
          <w:spacing w:val="2"/>
          <w:sz w:val="21"/>
          <w:szCs w:val="21"/>
        </w:rPr>
        <w:t>万亿元，地方债发行规模相比往年大幅增加，地方政府债务超</w:t>
      </w:r>
      <w:r>
        <w:rPr>
          <w:rFonts w:hint="eastAsia" w:ascii="宋体" w:hAnsi="宋体" w:eastAsia="宋体" w:cs="宋体"/>
          <w:spacing w:val="4"/>
          <w:sz w:val="21"/>
          <w:szCs w:val="21"/>
        </w:rPr>
        <w:t>过警戒线。究其原因，从国内来看，改革开放以来，我国发挥劳动力资源丰富、原料价格低等比较优势，加入国际大循环发展，在比较短的时间里实现了经济快速增长。但是由于长期主要发展中低端产</w:t>
      </w:r>
      <w:r>
        <w:rPr>
          <w:rFonts w:hint="eastAsia" w:ascii="宋体" w:hAnsi="宋体" w:eastAsia="宋体" w:cs="宋体"/>
          <w:spacing w:val="5"/>
          <w:sz w:val="21"/>
          <w:szCs w:val="21"/>
        </w:rPr>
        <w:t>业，致使我国制造业出现重复建设、过度竞争等问题，这就导致在产业</w:t>
      </w:r>
      <w:r>
        <w:rPr>
          <w:rFonts w:hint="eastAsia" w:ascii="宋体" w:hAnsi="宋体" w:eastAsia="宋体" w:cs="宋体"/>
          <w:spacing w:val="4"/>
          <w:sz w:val="21"/>
          <w:szCs w:val="21"/>
        </w:rPr>
        <w:t>转型升级过程中企业投资需求增速降低。马克思主义政治经济学认为，所有制关系决定分配关系，生产资料所有制是造成贫富差距</w:t>
      </w:r>
      <w:r>
        <w:rPr>
          <w:rFonts w:hint="eastAsia" w:ascii="宋体" w:hAnsi="宋体" w:eastAsia="宋体" w:cs="宋体"/>
          <w:spacing w:val="9"/>
          <w:sz w:val="21"/>
          <w:szCs w:val="21"/>
        </w:rPr>
        <w:t>的根本原因。改革开放以来我国所有制结构的变化所形成的财富和收入的过大差</w:t>
      </w:r>
      <w:r>
        <w:rPr>
          <w:rFonts w:hint="eastAsia" w:ascii="宋体" w:hAnsi="宋体" w:eastAsia="宋体" w:cs="宋体"/>
          <w:spacing w:val="8"/>
          <w:sz w:val="21"/>
          <w:szCs w:val="21"/>
        </w:rPr>
        <w:t>距，导致广大中低</w:t>
      </w:r>
      <w:r>
        <w:rPr>
          <w:rFonts w:hint="eastAsia" w:ascii="宋体" w:hAnsi="宋体" w:eastAsia="宋体" w:cs="宋体"/>
          <w:spacing w:val="1"/>
          <w:sz w:val="21"/>
          <w:szCs w:val="21"/>
        </w:rPr>
        <w:t>收入者的消费能力不足，故无法形成有效需求。从国际来看，20</w:t>
      </w:r>
      <w:r>
        <w:rPr>
          <w:rFonts w:hint="eastAsia" w:ascii="宋体" w:hAnsi="宋体" w:eastAsia="宋体" w:cs="宋体"/>
          <w:sz w:val="21"/>
          <w:szCs w:val="21"/>
        </w:rPr>
        <w:t>08年以来，西方国家先后爆发次贷危机和欧债危机，美欧等少部分国家大搞单边主义、贸易保护主义，逆经济全球化趋势抬头，导致海外市</w:t>
      </w:r>
      <w:r>
        <w:rPr>
          <w:rFonts w:hint="eastAsia" w:ascii="宋体" w:hAnsi="宋体" w:eastAsia="宋体" w:cs="宋体"/>
          <w:spacing w:val="4"/>
          <w:sz w:val="21"/>
          <w:szCs w:val="21"/>
        </w:rPr>
        <w:t>场需求减少。“没有需求，供给就无从实现，新的需求可</w:t>
      </w:r>
      <w:r>
        <w:rPr>
          <w:rFonts w:hint="eastAsia" w:ascii="宋体" w:hAnsi="宋体" w:eastAsia="宋体" w:cs="宋体"/>
          <w:spacing w:val="3"/>
          <w:sz w:val="21"/>
          <w:szCs w:val="21"/>
        </w:rPr>
        <w:t>以催生新的供给；没有供给，需求就无法满</w:t>
      </w:r>
      <w:r>
        <w:rPr>
          <w:rFonts w:hint="eastAsia" w:ascii="宋体" w:hAnsi="宋体" w:eastAsia="宋体" w:cs="宋体"/>
          <w:spacing w:val="2"/>
          <w:sz w:val="21"/>
          <w:szCs w:val="21"/>
        </w:rPr>
        <w:t>足，新的供给可以创造新的需求。</w:t>
      </w:r>
      <w:r>
        <w:rPr>
          <w:rFonts w:hint="eastAsia" w:ascii="宋体" w:hAnsi="宋体" w:eastAsia="宋体" w:cs="宋体"/>
          <w:spacing w:val="2"/>
          <w:position w:val="4"/>
          <w:sz w:val="21"/>
          <w:szCs w:val="21"/>
        </w:rPr>
        <w:t>”</w:t>
      </w:r>
      <w:r>
        <w:rPr>
          <w:rStyle w:val="20"/>
          <w:rFonts w:hint="eastAsia" w:ascii="宋体" w:hAnsi="宋体" w:eastAsia="宋体" w:cs="宋体"/>
          <w:spacing w:val="2"/>
          <w:position w:val="4"/>
          <w:sz w:val="21"/>
          <w:szCs w:val="21"/>
        </w:rPr>
        <w:footnoteReference w:id="986"/>
      </w:r>
      <w:r>
        <w:rPr>
          <w:rFonts w:hint="eastAsia" w:ascii="宋体" w:hAnsi="宋体" w:eastAsia="宋体" w:cs="宋体"/>
          <w:spacing w:val="2"/>
          <w:position w:val="4"/>
          <w:sz w:val="21"/>
          <w:szCs w:val="21"/>
        </w:rPr>
        <w:t>③</w:t>
      </w:r>
      <w:r>
        <w:rPr>
          <w:rFonts w:hint="eastAsia" w:ascii="宋体" w:hAnsi="宋体" w:eastAsia="宋体" w:cs="宋体"/>
          <w:spacing w:val="2"/>
          <w:sz w:val="21"/>
          <w:szCs w:val="21"/>
        </w:rPr>
        <w:t>经济发展是供给与需求相互作用的</w:t>
      </w:r>
      <w:r>
        <w:rPr>
          <w:rFonts w:hint="eastAsia" w:ascii="宋体" w:hAnsi="宋体" w:eastAsia="宋体" w:cs="宋体"/>
          <w:spacing w:val="1"/>
          <w:sz w:val="21"/>
          <w:szCs w:val="21"/>
        </w:rPr>
        <w:t>结果，只有供给与需求两者相</w:t>
      </w:r>
      <w:r>
        <w:rPr>
          <w:rFonts w:hint="eastAsia" w:ascii="宋体" w:hAnsi="宋体" w:eastAsia="宋体" w:cs="宋体"/>
          <w:spacing w:val="5"/>
          <w:sz w:val="21"/>
          <w:szCs w:val="21"/>
        </w:rPr>
        <w:t>对平衡才能维持经济平稳健康发展，中国经济转向高质量发展阶段，若</w:t>
      </w:r>
      <w:r>
        <w:rPr>
          <w:rFonts w:hint="eastAsia" w:ascii="宋体" w:hAnsi="宋体" w:eastAsia="宋体" w:cs="宋体"/>
          <w:spacing w:val="4"/>
          <w:sz w:val="21"/>
          <w:szCs w:val="21"/>
        </w:rPr>
        <w:t>有效需求不足，必然导致有效</w:t>
      </w:r>
      <w:r>
        <w:rPr>
          <w:rFonts w:hint="eastAsia" w:ascii="宋体" w:hAnsi="宋体" w:eastAsia="宋体" w:cs="宋体"/>
          <w:spacing w:val="2"/>
          <w:sz w:val="21"/>
          <w:szCs w:val="21"/>
        </w:rPr>
        <w:t>供给不足，进而放缓高质量发展进程。</w:t>
      </w:r>
    </w:p>
    <w:p w14:paraId="724608E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textAlignment w:val="baseline"/>
        <w:rPr>
          <w:rFonts w:hint="eastAsia" w:ascii="宋体" w:hAnsi="宋体" w:eastAsia="宋体" w:cs="宋体"/>
          <w:sz w:val="21"/>
          <w:szCs w:val="21"/>
        </w:rPr>
      </w:pPr>
      <w:r>
        <w:rPr>
          <w:rFonts w:hint="eastAsia" w:ascii="宋体" w:hAnsi="宋体" w:eastAsia="宋体" w:cs="宋体"/>
          <w:spacing w:val="-2"/>
          <w:sz w:val="21"/>
          <w:szCs w:val="21"/>
        </w:rPr>
        <w:t>（三）产业体系整体大而不强、全而不精</w:t>
      </w:r>
    </w:p>
    <w:p w14:paraId="65542C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现代化产业体系是现代化国家的物质技术基础。产业体系</w:t>
      </w:r>
      <w:r>
        <w:rPr>
          <w:rFonts w:hint="eastAsia" w:ascii="宋体" w:hAnsi="宋体" w:eastAsia="宋体" w:cs="宋体"/>
          <w:spacing w:val="8"/>
          <w:sz w:val="21"/>
          <w:szCs w:val="21"/>
        </w:rPr>
        <w:t>的完整性反映了产业门类齐全和体系</w:t>
      </w:r>
      <w:r>
        <w:rPr>
          <w:rFonts w:hint="eastAsia" w:ascii="宋体" w:hAnsi="宋体" w:eastAsia="宋体" w:cs="宋体"/>
          <w:spacing w:val="4"/>
          <w:sz w:val="21"/>
          <w:szCs w:val="21"/>
        </w:rPr>
        <w:t>完备的程度，是经济运行与发展的基础支撑。产业体系的强大主要体现在产业体系的先进性上，突出</w:t>
      </w:r>
      <w:r>
        <w:rPr>
          <w:rFonts w:hint="eastAsia" w:ascii="宋体" w:hAnsi="宋体" w:eastAsia="宋体" w:cs="宋体"/>
          <w:spacing w:val="2"/>
          <w:sz w:val="21"/>
          <w:szCs w:val="21"/>
        </w:rPr>
        <w:t>表现为科技创新水平、产业国际竞争力。经过新中国70多年特别是改革开放40多年</w:t>
      </w:r>
      <w:r>
        <w:rPr>
          <w:rFonts w:hint="eastAsia" w:ascii="宋体" w:hAnsi="宋体" w:eastAsia="宋体" w:cs="宋体"/>
          <w:spacing w:val="1"/>
          <w:sz w:val="21"/>
          <w:szCs w:val="21"/>
        </w:rPr>
        <w:t>的发展，我国工</w:t>
      </w:r>
      <w:r>
        <w:rPr>
          <w:rFonts w:hint="eastAsia" w:ascii="宋体" w:hAnsi="宋体" w:eastAsia="宋体" w:cs="宋体"/>
          <w:sz w:val="21"/>
          <w:szCs w:val="21"/>
        </w:rPr>
        <w:t>业、农业、服务业迅速发展，已基本形成规模大、</w:t>
      </w:r>
      <w:r>
        <w:rPr>
          <w:rFonts w:hint="eastAsia" w:ascii="宋体" w:hAnsi="宋体" w:eastAsia="宋体" w:cs="宋体"/>
          <w:spacing w:val="-1"/>
          <w:sz w:val="21"/>
          <w:szCs w:val="21"/>
        </w:rPr>
        <w:t>体系全、竞争力较强的产业体系。我国是全世界唯一</w:t>
      </w:r>
      <w:r>
        <w:rPr>
          <w:rFonts w:hint="eastAsia" w:ascii="宋体" w:hAnsi="宋体" w:eastAsia="宋体" w:cs="宋体"/>
          <w:spacing w:val="9"/>
          <w:sz w:val="21"/>
          <w:szCs w:val="21"/>
        </w:rPr>
        <w:t>拥有联合国产业分类中全部工业门类的国家，拥有全球最完整、规模最大的</w:t>
      </w:r>
      <w:r>
        <w:rPr>
          <w:rFonts w:hint="eastAsia" w:ascii="宋体" w:hAnsi="宋体" w:eastAsia="宋体" w:cs="宋体"/>
          <w:spacing w:val="8"/>
          <w:sz w:val="21"/>
          <w:szCs w:val="21"/>
        </w:rPr>
        <w:t>工业体系。以制造业为</w:t>
      </w:r>
      <w:r>
        <w:rPr>
          <w:rFonts w:hint="eastAsia" w:ascii="宋体" w:hAnsi="宋体" w:eastAsia="宋体" w:cs="宋体"/>
          <w:spacing w:val="5"/>
          <w:sz w:val="21"/>
          <w:szCs w:val="21"/>
        </w:rPr>
        <w:t>例，2023年我国制造业增加值占全球比重近30%,数字经济核心</w:t>
      </w:r>
      <w:r>
        <w:rPr>
          <w:rFonts w:hint="eastAsia" w:ascii="宋体" w:hAnsi="宋体" w:eastAsia="宋体" w:cs="宋体"/>
          <w:spacing w:val="4"/>
          <w:sz w:val="21"/>
          <w:szCs w:val="21"/>
        </w:rPr>
        <w:t>产业增加值占国内生产总值的比重</w:t>
      </w:r>
      <w:r>
        <w:rPr>
          <w:rFonts w:hint="eastAsia" w:ascii="宋体" w:hAnsi="宋体" w:eastAsia="宋体" w:cs="宋体"/>
          <w:spacing w:val="-2"/>
          <w:sz w:val="21"/>
          <w:szCs w:val="21"/>
        </w:rPr>
        <w:t>达到10%,智能制造装备产业规模超3.2万亿元，产业体系先进性持续提升，涌现了一批技术先进、国</w:t>
      </w:r>
      <w:r>
        <w:rPr>
          <w:rFonts w:hint="eastAsia" w:ascii="宋体" w:hAnsi="宋体" w:eastAsia="宋体" w:cs="宋体"/>
          <w:spacing w:val="4"/>
          <w:sz w:val="21"/>
          <w:szCs w:val="21"/>
        </w:rPr>
        <w:t>际领先的重大标志性成果，现代化产业体系建设基础不断夯实。但是，我国目前的产业体系整体大而</w:t>
      </w:r>
      <w:r>
        <w:rPr>
          <w:rFonts w:hint="eastAsia" w:ascii="宋体" w:hAnsi="宋体" w:eastAsia="宋体" w:cs="宋体"/>
          <w:sz w:val="21"/>
          <w:szCs w:val="21"/>
        </w:rPr>
        <w:t>不强、全而不精。具体来看，农业方面，我国农业</w:t>
      </w:r>
      <w:r>
        <w:rPr>
          <w:rFonts w:hint="eastAsia" w:ascii="宋体" w:hAnsi="宋体" w:eastAsia="宋体" w:cs="宋体"/>
          <w:spacing w:val="-1"/>
          <w:sz w:val="21"/>
          <w:szCs w:val="21"/>
        </w:rPr>
        <w:t>科技创新水平还不高，农业科技成果转化率较低，农</w:t>
      </w:r>
      <w:r>
        <w:rPr>
          <w:rFonts w:hint="eastAsia" w:ascii="宋体" w:hAnsi="宋体" w:eastAsia="宋体" w:cs="宋体"/>
          <w:spacing w:val="4"/>
          <w:sz w:val="21"/>
          <w:szCs w:val="21"/>
        </w:rPr>
        <w:t>业转型升级面临一定的阻力。工业方面，我国传统制造业仍存在自主创新能力不足、传统产业转型升级滞后、资源消耗和污染物排放较大、发展不平衡不充分问题比较突出等短板。服务业方面，生产性</w:t>
      </w:r>
      <w:r>
        <w:rPr>
          <w:rFonts w:hint="eastAsia" w:ascii="宋体" w:hAnsi="宋体" w:eastAsia="宋体" w:cs="宋体"/>
          <w:spacing w:val="-1"/>
          <w:sz w:val="21"/>
          <w:szCs w:val="21"/>
        </w:rPr>
        <w:t>服务业占比偏低，2023年我国服务业增加值占GDP的比重超过54%,但其中生产性服务业只占18%</w:t>
      </w:r>
      <w:r>
        <w:rPr>
          <w:rFonts w:hint="eastAsia" w:ascii="宋体" w:hAnsi="宋体" w:eastAsia="宋体" w:cs="宋体"/>
          <w:spacing w:val="5"/>
          <w:sz w:val="21"/>
          <w:szCs w:val="21"/>
        </w:rPr>
        <w:t>左右，低于欧洲40%、美国50%的水平。这些问题的存在使得我国</w:t>
      </w:r>
      <w:r>
        <w:rPr>
          <w:rFonts w:hint="eastAsia" w:ascii="宋体" w:hAnsi="宋体" w:eastAsia="宋体" w:cs="宋体"/>
          <w:spacing w:val="4"/>
          <w:sz w:val="21"/>
          <w:szCs w:val="21"/>
        </w:rPr>
        <w:t>部分产业长期处于全球产业链的</w:t>
      </w:r>
      <w:r>
        <w:rPr>
          <w:rFonts w:hint="eastAsia" w:ascii="宋体" w:hAnsi="宋体" w:eastAsia="宋体" w:cs="宋体"/>
          <w:spacing w:val="2"/>
          <w:sz w:val="21"/>
          <w:szCs w:val="21"/>
        </w:rPr>
        <w:t>中低端，产业国际竞争力不强，产业链供应链安全性还有一定隐患。</w:t>
      </w:r>
    </w:p>
    <w:p w14:paraId="1A1DEAF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textAlignment w:val="baseline"/>
        <w:rPr>
          <w:rFonts w:hint="eastAsia" w:ascii="宋体" w:hAnsi="宋体" w:eastAsia="宋体" w:cs="宋体"/>
          <w:sz w:val="21"/>
          <w:szCs w:val="21"/>
        </w:rPr>
      </w:pPr>
      <w:r>
        <w:rPr>
          <w:rFonts w:hint="eastAsia" w:ascii="宋体" w:hAnsi="宋体" w:eastAsia="宋体" w:cs="宋体"/>
          <w:spacing w:val="2"/>
          <w:sz w:val="21"/>
          <w:szCs w:val="21"/>
        </w:rPr>
        <w:t>（四）经济发展风险隐患仍然较多</w:t>
      </w:r>
    </w:p>
    <w:p w14:paraId="4E3D58D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党的二十届三中全会对经济社会发展风险给予高度关注，明确提出要统筹好发展和安全，落实好防范化解房地产、地方政府债务、中小金融机构等重点领域风险的各项举措。这表明当前推动高质量</w:t>
      </w:r>
      <w:r>
        <w:rPr>
          <w:rFonts w:hint="eastAsia" w:ascii="宋体" w:hAnsi="宋体" w:eastAsia="宋体" w:cs="宋体"/>
          <w:spacing w:val="1"/>
          <w:sz w:val="21"/>
          <w:szCs w:val="21"/>
        </w:rPr>
        <w:t>发展注定不会一帆风顺，必须切实防范化解重大风险。究其原因，当今世界变乱交织，大国博弈加剧、</w:t>
      </w:r>
      <w:r>
        <w:rPr>
          <w:rFonts w:hint="eastAsia" w:ascii="宋体" w:hAnsi="宋体" w:eastAsia="宋体" w:cs="宋体"/>
          <w:spacing w:val="4"/>
          <w:sz w:val="21"/>
          <w:szCs w:val="21"/>
        </w:rPr>
        <w:t>地缘政治冲突增多、世界经济增长乏力。同时，我国经济发展也面临一些困难挑战，结构性周期性矛盾交织、产业转型调整、需求不足，一些领域风险隐患较多，如粮食（</w:t>
      </w:r>
      <w:r>
        <w:rPr>
          <w:rFonts w:hint="eastAsia" w:ascii="宋体" w:hAnsi="宋体" w:eastAsia="宋体" w:cs="宋体"/>
          <w:spacing w:val="3"/>
          <w:sz w:val="21"/>
          <w:szCs w:val="21"/>
        </w:rPr>
        <w:t>特别是不少种子和种畜依赖外</w:t>
      </w:r>
      <w:r>
        <w:rPr>
          <w:rFonts w:hint="eastAsia" w:ascii="宋体" w:hAnsi="宋体" w:eastAsia="宋体" w:cs="宋体"/>
          <w:sz w:val="21"/>
          <w:szCs w:val="21"/>
        </w:rPr>
        <w:t>国）、能源、金融及房地产等领域存在不同程度的不</w:t>
      </w:r>
      <w:r>
        <w:rPr>
          <w:rFonts w:hint="eastAsia" w:ascii="宋体" w:hAnsi="宋体" w:eastAsia="宋体" w:cs="宋体"/>
          <w:spacing w:val="-1"/>
          <w:sz w:val="21"/>
          <w:szCs w:val="21"/>
        </w:rPr>
        <w:t>稳定因素。以金融行业为例，统计数据显示，近年</w:t>
      </w:r>
      <w:r>
        <w:rPr>
          <w:rFonts w:hint="eastAsia" w:ascii="宋体" w:hAnsi="宋体" w:eastAsia="宋体" w:cs="宋体"/>
          <w:spacing w:val="6"/>
          <w:sz w:val="21"/>
          <w:szCs w:val="21"/>
        </w:rPr>
        <w:t>来，我国金融业增加值占国内生产总值的比重保持在8%</w:t>
      </w:r>
      <w:r>
        <w:rPr>
          <w:rFonts w:hint="eastAsia" w:ascii="宋体" w:hAnsi="宋体" w:eastAsia="宋体" w:cs="宋体"/>
          <w:spacing w:val="5"/>
          <w:sz w:val="21"/>
          <w:szCs w:val="21"/>
        </w:rPr>
        <w:t>左右，高于经济合作与发展组织成员国平均</w:t>
      </w:r>
      <w:r>
        <w:rPr>
          <w:rFonts w:hint="eastAsia" w:ascii="宋体" w:hAnsi="宋体" w:eastAsia="宋体" w:cs="宋体"/>
          <w:spacing w:val="-3"/>
          <w:sz w:val="21"/>
          <w:szCs w:val="21"/>
        </w:rPr>
        <w:t>比重4.8%的水平，也高于欧盟成员国平均比重3.8%的水平，大量资金在金融系统内部循环，“脱实向</w:t>
      </w:r>
      <w:r>
        <w:rPr>
          <w:rFonts w:hint="eastAsia" w:ascii="宋体" w:hAnsi="宋体" w:eastAsia="宋体" w:cs="宋体"/>
          <w:spacing w:val="8"/>
          <w:sz w:val="21"/>
          <w:szCs w:val="21"/>
        </w:rPr>
        <w:t>虚”现象比较突出，金融服务实体经济的能力有待提升。</w:t>
      </w:r>
      <w:r>
        <w:rPr>
          <w:rStyle w:val="20"/>
          <w:rFonts w:hint="eastAsia" w:ascii="宋体" w:hAnsi="宋体" w:eastAsia="宋体" w:cs="宋体"/>
          <w:spacing w:val="8"/>
          <w:sz w:val="21"/>
          <w:szCs w:val="21"/>
        </w:rPr>
        <w:footnoteReference w:id="987"/>
      </w:r>
      <w:r>
        <w:rPr>
          <w:rFonts w:hint="eastAsia" w:ascii="宋体" w:hAnsi="宋体" w:eastAsia="宋体" w:cs="宋体"/>
          <w:spacing w:val="8"/>
          <w:sz w:val="21"/>
          <w:szCs w:val="21"/>
        </w:rPr>
        <w:t>我国金融体系发生金</w:t>
      </w:r>
      <w:r>
        <w:rPr>
          <w:rFonts w:hint="eastAsia" w:ascii="宋体" w:hAnsi="宋体" w:eastAsia="宋体" w:cs="宋体"/>
          <w:spacing w:val="7"/>
          <w:sz w:val="21"/>
          <w:szCs w:val="21"/>
        </w:rPr>
        <w:t>融风险的可能性加</w:t>
      </w:r>
      <w:r>
        <w:rPr>
          <w:rFonts w:hint="eastAsia" w:ascii="宋体" w:hAnsi="宋体" w:eastAsia="宋体" w:cs="宋体"/>
          <w:spacing w:val="1"/>
          <w:sz w:val="21"/>
          <w:szCs w:val="21"/>
        </w:rPr>
        <w:t>大，而系统性金融风险不利于经济稳定，影响资源配置效率，阻碍创新和发展。首先是破坏经济稳定，</w:t>
      </w:r>
      <w:r>
        <w:rPr>
          <w:rFonts w:hint="eastAsia" w:ascii="宋体" w:hAnsi="宋体" w:eastAsia="宋体" w:cs="宋体"/>
          <w:spacing w:val="5"/>
          <w:sz w:val="21"/>
          <w:szCs w:val="21"/>
        </w:rPr>
        <w:t>系统性金融风险一旦爆发，不仅在金融体系内集聚，而且具备较强的</w:t>
      </w:r>
      <w:r>
        <w:rPr>
          <w:rFonts w:hint="eastAsia" w:ascii="宋体" w:hAnsi="宋体" w:eastAsia="宋体" w:cs="宋体"/>
          <w:spacing w:val="4"/>
          <w:sz w:val="21"/>
          <w:szCs w:val="21"/>
        </w:rPr>
        <w:t>传染性，对实体经济部门要素投入与产出造成损害，破坏经济稳定。其次是影响资源配置效率，系统性金融风险可能导致市场信心下</w:t>
      </w:r>
      <w:r>
        <w:rPr>
          <w:rFonts w:hint="eastAsia" w:ascii="宋体" w:hAnsi="宋体" w:eastAsia="宋体" w:cs="宋体"/>
          <w:sz w:val="21"/>
          <w:szCs w:val="21"/>
        </w:rPr>
        <w:t>降，投资者风险偏好降低，影响资本配置效率，进而阻碍产业结构的优化升级，影响经济增长的质量和</w:t>
      </w:r>
      <w:r>
        <w:rPr>
          <w:rFonts w:hint="eastAsia" w:ascii="宋体" w:hAnsi="宋体" w:eastAsia="宋体" w:cs="宋体"/>
          <w:spacing w:val="9"/>
          <w:sz w:val="21"/>
          <w:szCs w:val="21"/>
        </w:rPr>
        <w:t>效益。最后是阻碍创新和发展，系统性金融风险的存在可能使企业和金融机构</w:t>
      </w:r>
      <w:r>
        <w:rPr>
          <w:rFonts w:hint="eastAsia" w:ascii="宋体" w:hAnsi="宋体" w:eastAsia="宋体" w:cs="宋体"/>
          <w:spacing w:val="8"/>
          <w:sz w:val="21"/>
          <w:szCs w:val="21"/>
        </w:rPr>
        <w:t>在投资决策时变得更</w:t>
      </w:r>
      <w:r>
        <w:rPr>
          <w:rFonts w:hint="eastAsia" w:ascii="宋体" w:hAnsi="宋体" w:eastAsia="宋体" w:cs="宋体"/>
          <w:spacing w:val="4"/>
          <w:sz w:val="21"/>
          <w:szCs w:val="21"/>
        </w:rPr>
        <w:t>加谨慎，减少对新项目和新技术的投入，这将阻碍创新和技术进步，影响经济增长的潜力和动力。因</w:t>
      </w:r>
      <w:r>
        <w:rPr>
          <w:rFonts w:hint="eastAsia" w:ascii="宋体" w:hAnsi="宋体" w:eastAsia="宋体" w:cs="宋体"/>
          <w:spacing w:val="-4"/>
          <w:sz w:val="21"/>
          <w:szCs w:val="21"/>
        </w:rPr>
        <w:t>此，要高度警惕和防范“黑天鹅”“灰犀牛”事件，做好应对任何形式的矛盾风险</w:t>
      </w:r>
      <w:r>
        <w:rPr>
          <w:rFonts w:hint="eastAsia" w:ascii="宋体" w:hAnsi="宋体" w:eastAsia="宋体" w:cs="宋体"/>
          <w:spacing w:val="-5"/>
          <w:sz w:val="21"/>
          <w:szCs w:val="21"/>
        </w:rPr>
        <w:t>挑战的准备，牢牢守住</w:t>
      </w:r>
      <w:r>
        <w:rPr>
          <w:rFonts w:hint="eastAsia" w:ascii="宋体" w:hAnsi="宋体" w:eastAsia="宋体" w:cs="宋体"/>
          <w:spacing w:val="8"/>
          <w:sz w:val="21"/>
          <w:szCs w:val="21"/>
        </w:rPr>
        <w:t>高质量发展的安全底线。</w:t>
      </w:r>
    </w:p>
    <w:p w14:paraId="15E0BA8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textAlignment w:val="baseline"/>
        <w:rPr>
          <w:rFonts w:hint="eastAsia" w:ascii="宋体" w:hAnsi="宋体" w:eastAsia="宋体" w:cs="宋体"/>
          <w:sz w:val="21"/>
          <w:szCs w:val="21"/>
        </w:rPr>
      </w:pPr>
      <w:r>
        <w:rPr>
          <w:rFonts w:hint="eastAsia" w:ascii="宋体" w:hAnsi="宋体" w:eastAsia="宋体" w:cs="宋体"/>
          <w:spacing w:val="3"/>
          <w:sz w:val="21"/>
          <w:szCs w:val="21"/>
        </w:rPr>
        <w:t>（五）全国统一大市场尚未完全形成</w:t>
      </w:r>
    </w:p>
    <w:p w14:paraId="3576F51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经济发展的过程，就是经济循环范围、频次和体量逐渐放大或增</w:t>
      </w:r>
      <w:r>
        <w:rPr>
          <w:rFonts w:hint="eastAsia" w:ascii="宋体" w:hAnsi="宋体" w:eastAsia="宋体" w:cs="宋体"/>
          <w:spacing w:val="3"/>
          <w:sz w:val="21"/>
          <w:szCs w:val="21"/>
        </w:rPr>
        <w:t>加的过程。从世界各国经济发展</w:t>
      </w:r>
      <w:r>
        <w:rPr>
          <w:rFonts w:hint="eastAsia" w:ascii="宋体" w:hAnsi="宋体" w:eastAsia="宋体" w:cs="宋体"/>
          <w:sz w:val="21"/>
          <w:szCs w:val="21"/>
        </w:rPr>
        <w:t>规律来看，对于大的经济体，随着经济体量的增大、服务业占比的提高，国际市场在经济发展中的比重</w:t>
      </w:r>
      <w:r>
        <w:rPr>
          <w:rFonts w:hint="eastAsia" w:ascii="宋体" w:hAnsi="宋体" w:eastAsia="宋体" w:cs="宋体"/>
          <w:spacing w:val="4"/>
          <w:sz w:val="21"/>
          <w:szCs w:val="21"/>
        </w:rPr>
        <w:t>会显著下降，而国内市场的比重会上升。党的二十届三中全会提出，高水平社会主义市场经济体制是中国式现代化的重要保障，明确要构建全国统一大市场。我国国内市场规模已位居世界前列，但仍存在市场分割和地方保护、市场竞争不充分、要素市场发展滞后等问题。当前，全国统一大市场构建面</w:t>
      </w:r>
      <w:r>
        <w:rPr>
          <w:rFonts w:hint="eastAsia" w:ascii="宋体" w:hAnsi="宋体" w:eastAsia="宋体" w:cs="宋体"/>
          <w:sz w:val="21"/>
          <w:szCs w:val="21"/>
        </w:rPr>
        <w:t>临几个突出的堵点：一是创新驱动力不够，一些关键核心技术被“</w:t>
      </w:r>
      <w:r>
        <w:rPr>
          <w:rFonts w:hint="eastAsia" w:ascii="宋体" w:hAnsi="宋体" w:eastAsia="宋体" w:cs="宋体"/>
          <w:spacing w:val="-1"/>
          <w:sz w:val="21"/>
          <w:szCs w:val="21"/>
        </w:rPr>
        <w:t>卡脖子”，对全球资源的整合和控制</w:t>
      </w:r>
      <w:r>
        <w:rPr>
          <w:rFonts w:hint="eastAsia" w:ascii="宋体" w:hAnsi="宋体" w:eastAsia="宋体" w:cs="宋体"/>
          <w:sz w:val="21"/>
          <w:szCs w:val="21"/>
        </w:rPr>
        <w:t>力不足，一部分具有国际竞争力的产业仍处于产业链不完整状态，存在明显短板、弱项和安全风险，抑</w:t>
      </w:r>
      <w:r>
        <w:rPr>
          <w:rFonts w:hint="eastAsia" w:ascii="宋体" w:hAnsi="宋体" w:eastAsia="宋体" w:cs="宋体"/>
          <w:spacing w:val="4"/>
          <w:sz w:val="21"/>
          <w:szCs w:val="21"/>
        </w:rPr>
        <w:t>制了产业链供应链向高附加值攀升。二是市场需求乏力，进入高收入发展阶段，消费应成为拉动经济</w:t>
      </w:r>
      <w:r>
        <w:rPr>
          <w:rFonts w:hint="eastAsia" w:ascii="宋体" w:hAnsi="宋体" w:eastAsia="宋体" w:cs="宋体"/>
          <w:spacing w:val="5"/>
          <w:sz w:val="21"/>
          <w:szCs w:val="21"/>
        </w:rPr>
        <w:t>增长的第一动力，但目前消费尤其是中低收入群体消费需求不足，</w:t>
      </w:r>
      <w:r>
        <w:rPr>
          <w:rFonts w:hint="eastAsia" w:ascii="宋体" w:hAnsi="宋体" w:eastAsia="宋体" w:cs="宋体"/>
          <w:spacing w:val="4"/>
          <w:sz w:val="21"/>
          <w:szCs w:val="21"/>
        </w:rPr>
        <w:t>消费跟不上生产供给能力的快速提升，制约了经济快速发展。三是生产要素市场的国内流动还不够畅通，有一些要素还不能够实现平等</w:t>
      </w:r>
      <w:r>
        <w:rPr>
          <w:rFonts w:hint="eastAsia" w:ascii="宋体" w:hAnsi="宋体" w:eastAsia="宋体" w:cs="宋体"/>
          <w:sz w:val="21"/>
          <w:szCs w:val="21"/>
        </w:rPr>
        <w:t>交换。劳动力、资本、土地三大要素的跨区域流动</w:t>
      </w:r>
      <w:r>
        <w:rPr>
          <w:rFonts w:hint="eastAsia" w:ascii="宋体" w:hAnsi="宋体" w:eastAsia="宋体" w:cs="宋体"/>
          <w:spacing w:val="-1"/>
          <w:sz w:val="21"/>
          <w:szCs w:val="21"/>
        </w:rPr>
        <w:t>遇到各种政策壁垒，数据、知识产权等新型优质生产</w:t>
      </w:r>
      <w:r>
        <w:rPr>
          <w:rFonts w:hint="eastAsia" w:ascii="宋体" w:hAnsi="宋体" w:eastAsia="宋体" w:cs="宋体"/>
          <w:spacing w:val="4"/>
          <w:sz w:val="21"/>
          <w:szCs w:val="21"/>
        </w:rPr>
        <w:t>要素流动、转型的法律、政策制度还不完善，一定程度</w:t>
      </w:r>
      <w:r>
        <w:rPr>
          <w:rFonts w:hint="eastAsia" w:ascii="宋体" w:hAnsi="宋体" w:eastAsia="宋体" w:cs="宋体"/>
          <w:spacing w:val="3"/>
          <w:sz w:val="21"/>
          <w:szCs w:val="21"/>
        </w:rPr>
        <w:t>上抑制了新质生产力的发展。四是流通体系现</w:t>
      </w:r>
      <w:r>
        <w:rPr>
          <w:rFonts w:hint="eastAsia" w:ascii="宋体" w:hAnsi="宋体" w:eastAsia="宋体" w:cs="宋体"/>
          <w:spacing w:val="2"/>
          <w:sz w:val="21"/>
          <w:szCs w:val="21"/>
        </w:rPr>
        <w:t>代化程度不高，与发达国家相比，我国社会物流总费用占</w:t>
      </w:r>
      <w:r>
        <w:rPr>
          <w:rFonts w:hint="eastAsia" w:ascii="宋体" w:hAnsi="宋体" w:eastAsia="宋体" w:cs="宋体"/>
          <w:sz w:val="21"/>
          <w:szCs w:val="21"/>
        </w:rPr>
        <w:t>GDP</w:t>
      </w:r>
      <w:r>
        <w:rPr>
          <w:rFonts w:hint="eastAsia" w:ascii="宋体" w:hAnsi="宋体" w:eastAsia="宋体" w:cs="宋体"/>
          <w:spacing w:val="2"/>
          <w:sz w:val="21"/>
          <w:szCs w:val="21"/>
        </w:rPr>
        <w:t>的比重仍然较高，综合交通运输体系、</w:t>
      </w:r>
      <w:r>
        <w:rPr>
          <w:rFonts w:hint="eastAsia" w:ascii="宋体" w:hAnsi="宋体" w:eastAsia="宋体" w:cs="宋体"/>
          <w:sz w:val="21"/>
          <w:szCs w:val="21"/>
        </w:rPr>
        <w:t>铁路货运等改革滞后，物流数智化发展、绿色化转型还未完成，全链条运行效率低、成本高的状况没有</w:t>
      </w:r>
      <w:r>
        <w:rPr>
          <w:rFonts w:hint="eastAsia" w:ascii="宋体" w:hAnsi="宋体" w:eastAsia="宋体" w:cs="宋体"/>
          <w:spacing w:val="4"/>
          <w:sz w:val="21"/>
          <w:szCs w:val="21"/>
        </w:rPr>
        <w:t>根本改变，增加了国民经济循环成本。由此可以看出，发</w:t>
      </w:r>
      <w:r>
        <w:rPr>
          <w:rFonts w:hint="eastAsia" w:ascii="宋体" w:hAnsi="宋体" w:eastAsia="宋体" w:cs="宋体"/>
          <w:spacing w:val="3"/>
          <w:sz w:val="21"/>
          <w:szCs w:val="21"/>
        </w:rPr>
        <w:t>展模式转换困难和重点领域改革滞后是堵点</w:t>
      </w:r>
      <w:r>
        <w:rPr>
          <w:rFonts w:hint="eastAsia" w:ascii="宋体" w:hAnsi="宋体" w:eastAsia="宋体" w:cs="宋体"/>
          <w:spacing w:val="4"/>
          <w:sz w:val="21"/>
          <w:szCs w:val="21"/>
        </w:rPr>
        <w:t>出现的两大主要原因。</w:t>
      </w:r>
      <w:r>
        <w:rPr>
          <w:rStyle w:val="20"/>
          <w:rFonts w:hint="eastAsia" w:ascii="宋体" w:hAnsi="宋体" w:eastAsia="宋体" w:cs="宋体"/>
          <w:spacing w:val="4"/>
          <w:sz w:val="21"/>
          <w:szCs w:val="21"/>
        </w:rPr>
        <w:footnoteReference w:id="988"/>
      </w:r>
      <w:r>
        <w:rPr>
          <w:rFonts w:hint="eastAsia" w:ascii="宋体" w:hAnsi="宋体" w:eastAsia="宋体" w:cs="宋体"/>
          <w:spacing w:val="4"/>
          <w:sz w:val="21"/>
          <w:szCs w:val="21"/>
        </w:rPr>
        <w:t>这些堵点影响了国民经济的平稳运行，导致</w:t>
      </w:r>
      <w:r>
        <w:rPr>
          <w:rFonts w:hint="eastAsia" w:ascii="宋体" w:hAnsi="宋体" w:eastAsia="宋体" w:cs="宋体"/>
          <w:spacing w:val="3"/>
          <w:sz w:val="21"/>
          <w:szCs w:val="21"/>
        </w:rPr>
        <w:t>生产、分配、流通和消费等环节</w:t>
      </w:r>
      <w:r>
        <w:rPr>
          <w:rFonts w:hint="eastAsia" w:ascii="宋体" w:hAnsi="宋体" w:eastAsia="宋体" w:cs="宋体"/>
          <w:spacing w:val="5"/>
          <w:sz w:val="21"/>
          <w:szCs w:val="21"/>
        </w:rPr>
        <w:t>出现不畅，进而影响到整个经济体系的稳定性和健康</w:t>
      </w:r>
      <w:r>
        <w:rPr>
          <w:rFonts w:hint="eastAsia" w:ascii="宋体" w:hAnsi="宋体" w:eastAsia="宋体" w:cs="宋体"/>
          <w:spacing w:val="4"/>
          <w:sz w:val="21"/>
          <w:szCs w:val="21"/>
        </w:rPr>
        <w:t>发展。</w:t>
      </w:r>
    </w:p>
    <w:p w14:paraId="2A77147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textAlignment w:val="baseline"/>
        <w:outlineLvl w:val="2"/>
        <w:rPr>
          <w:rFonts w:hint="eastAsia" w:ascii="宋体" w:hAnsi="宋体" w:eastAsia="宋体" w:cs="宋体"/>
          <w:sz w:val="21"/>
          <w:szCs w:val="21"/>
        </w:rPr>
      </w:pPr>
      <w:r>
        <w:rPr>
          <w:rFonts w:hint="eastAsia" w:ascii="宋体" w:hAnsi="宋体" w:eastAsia="宋体" w:cs="宋体"/>
          <w:spacing w:val="3"/>
          <w:sz w:val="21"/>
          <w:szCs w:val="21"/>
        </w:rPr>
        <w:t>二、高质量发展面临的资源环境和民生领域问题</w:t>
      </w:r>
    </w:p>
    <w:p w14:paraId="7B3DA6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发展环境和社会民生问题，一直是人们关注的焦点。党的十八大以</w:t>
      </w:r>
      <w:r>
        <w:rPr>
          <w:rFonts w:hint="eastAsia" w:ascii="宋体" w:hAnsi="宋体" w:eastAsia="宋体" w:cs="宋体"/>
          <w:spacing w:val="3"/>
          <w:sz w:val="21"/>
          <w:szCs w:val="21"/>
        </w:rPr>
        <w:t>来，我国经济社会发展环境和</w:t>
      </w:r>
      <w:r>
        <w:rPr>
          <w:rFonts w:hint="eastAsia" w:ascii="宋体" w:hAnsi="宋体" w:eastAsia="宋体" w:cs="宋体"/>
          <w:spacing w:val="4"/>
          <w:sz w:val="21"/>
          <w:szCs w:val="21"/>
        </w:rPr>
        <w:t>民生领域取得了巨大成就，但也还面临许多现实问题，这成为制约高质量发展的重要因素。党的二十</w:t>
      </w:r>
      <w:r>
        <w:rPr>
          <w:rFonts w:hint="eastAsia" w:ascii="宋体" w:hAnsi="宋体" w:eastAsia="宋体" w:cs="宋体"/>
          <w:sz w:val="21"/>
          <w:szCs w:val="21"/>
        </w:rPr>
        <w:t>届三中全会坚持老百姓关心什么、期盼什么，改革就抓住什么、推进什么，持续聚焦人民群众最关心最</w:t>
      </w:r>
      <w:r>
        <w:rPr>
          <w:rFonts w:hint="eastAsia" w:ascii="宋体" w:hAnsi="宋体" w:eastAsia="宋体" w:cs="宋体"/>
          <w:spacing w:val="5"/>
          <w:sz w:val="21"/>
          <w:szCs w:val="21"/>
        </w:rPr>
        <w:t>直接最现实的问题，强调健全保障和改善民生制度体系，加快完</w:t>
      </w:r>
      <w:r>
        <w:rPr>
          <w:rFonts w:hint="eastAsia" w:ascii="宋体" w:hAnsi="宋体" w:eastAsia="宋体" w:cs="宋体"/>
          <w:spacing w:val="4"/>
          <w:sz w:val="21"/>
          <w:szCs w:val="21"/>
        </w:rPr>
        <w:t>善落实绿水青山就是金山银山理念的</w:t>
      </w:r>
      <w:r>
        <w:rPr>
          <w:rFonts w:hint="eastAsia" w:ascii="宋体" w:hAnsi="宋体" w:eastAsia="宋体" w:cs="宋体"/>
          <w:spacing w:val="1"/>
          <w:sz w:val="21"/>
          <w:szCs w:val="21"/>
        </w:rPr>
        <w:t>体制机制。实践证明，创造好的发展环境，统筹发展与民生，高质量发展才会有更广阔的空间。</w:t>
      </w:r>
    </w:p>
    <w:p w14:paraId="724C1F0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textAlignment w:val="baseline"/>
        <w:rPr>
          <w:rFonts w:hint="eastAsia" w:ascii="宋体" w:hAnsi="宋体" w:eastAsia="宋体" w:cs="宋体"/>
          <w:sz w:val="21"/>
          <w:szCs w:val="21"/>
        </w:rPr>
      </w:pPr>
      <w:r>
        <w:rPr>
          <w:rFonts w:hint="eastAsia" w:ascii="宋体" w:hAnsi="宋体" w:eastAsia="宋体" w:cs="宋体"/>
          <w:spacing w:val="1"/>
          <w:sz w:val="21"/>
          <w:szCs w:val="21"/>
        </w:rPr>
        <w:t>（一）资源环境约束压力增大</w:t>
      </w:r>
    </w:p>
    <w:p w14:paraId="667727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党的二十届三中全会明确将聚焦建设美丽中国作为进一步全面深化改革总目标的重要方面，对</w:t>
      </w:r>
      <w:r>
        <w:rPr>
          <w:rFonts w:hint="eastAsia" w:ascii="宋体" w:hAnsi="宋体" w:eastAsia="宋体" w:cs="宋体"/>
          <w:spacing w:val="3"/>
          <w:sz w:val="21"/>
          <w:szCs w:val="21"/>
        </w:rPr>
        <w:t>深化生态文明体制改革作出重大部署。目前我国环境承载能力已经达到或接近上限，然而，我国绿色</w:t>
      </w:r>
      <w:r>
        <w:rPr>
          <w:rFonts w:hint="eastAsia" w:ascii="宋体" w:hAnsi="宋体" w:eastAsia="宋体" w:cs="宋体"/>
          <w:spacing w:val="5"/>
          <w:sz w:val="21"/>
          <w:szCs w:val="21"/>
        </w:rPr>
        <w:t>低碳发展水平整体还不高，经济社会发展全面绿色转型内生动力不足、</w:t>
      </w:r>
      <w:r>
        <w:rPr>
          <w:rFonts w:hint="eastAsia" w:ascii="宋体" w:hAnsi="宋体" w:eastAsia="宋体" w:cs="宋体"/>
          <w:spacing w:val="4"/>
          <w:sz w:val="21"/>
          <w:szCs w:val="21"/>
        </w:rPr>
        <w:t>基础薄弱的问题依然存在，科</w:t>
      </w:r>
      <w:r>
        <w:rPr>
          <w:rFonts w:hint="eastAsia" w:ascii="宋体" w:hAnsi="宋体" w:eastAsia="宋体" w:cs="宋体"/>
          <w:spacing w:val="11"/>
          <w:sz w:val="21"/>
          <w:szCs w:val="21"/>
        </w:rPr>
        <w:t>技含量高、资源消耗低、环境污染少的产业结构尚未形成，这是阻碍经济高质量发展的难点问题。</w:t>
      </w:r>
      <w:r>
        <w:rPr>
          <w:rFonts w:hint="eastAsia" w:ascii="宋体" w:hAnsi="宋体" w:eastAsia="宋体" w:cs="宋体"/>
          <w:spacing w:val="3"/>
          <w:sz w:val="21"/>
          <w:szCs w:val="21"/>
        </w:rPr>
        <w:t>2023年国民经济和社会发展统计公报显示，第二产业增加值占国内生产总值的38.3%,占比依然偏</w:t>
      </w:r>
      <w:r>
        <w:rPr>
          <w:rFonts w:hint="eastAsia" w:ascii="宋体" w:hAnsi="宋体" w:eastAsia="宋体" w:cs="宋体"/>
          <w:spacing w:val="5"/>
          <w:sz w:val="21"/>
          <w:szCs w:val="21"/>
        </w:rPr>
        <w:t>高，并且由于劳动力、土地和资金等要素资源供给不足和自主创新能力</w:t>
      </w:r>
      <w:r>
        <w:rPr>
          <w:rFonts w:hint="eastAsia" w:ascii="宋体" w:hAnsi="宋体" w:eastAsia="宋体" w:cs="宋体"/>
          <w:spacing w:val="4"/>
          <w:sz w:val="21"/>
          <w:szCs w:val="21"/>
        </w:rPr>
        <w:t>不高等问题，产业转型升级受阻，传统产业仍然占据主导地位，高新技术产业和战略性新兴产业尚未成为经济发展的主导力量。除</w:t>
      </w:r>
      <w:r>
        <w:rPr>
          <w:rFonts w:hint="eastAsia" w:ascii="宋体" w:hAnsi="宋体" w:eastAsia="宋体" w:cs="宋体"/>
          <w:spacing w:val="-2"/>
          <w:sz w:val="21"/>
          <w:szCs w:val="21"/>
        </w:rPr>
        <w:t>此之外，我国生态质量指数(EQI)值为59.64,生态质</w:t>
      </w:r>
      <w:r>
        <w:rPr>
          <w:rFonts w:hint="eastAsia" w:ascii="宋体" w:hAnsi="宋体" w:eastAsia="宋体" w:cs="宋体"/>
          <w:spacing w:val="-3"/>
          <w:sz w:val="21"/>
          <w:szCs w:val="21"/>
        </w:rPr>
        <w:t>量综合评价为“二类”，空气污染、水污染等以及</w:t>
      </w:r>
      <w:r>
        <w:rPr>
          <w:rFonts w:hint="eastAsia" w:ascii="宋体" w:hAnsi="宋体" w:eastAsia="宋体" w:cs="宋体"/>
          <w:spacing w:val="3"/>
          <w:sz w:val="21"/>
          <w:szCs w:val="21"/>
        </w:rPr>
        <w:t>局部地区生态环境破坏问题依然突出，环境保护压力持续增大。《国务院关于2023年度</w:t>
      </w:r>
      <w:r>
        <w:rPr>
          <w:rFonts w:hint="eastAsia" w:ascii="宋体" w:hAnsi="宋体" w:eastAsia="宋体" w:cs="宋体"/>
          <w:spacing w:val="2"/>
          <w:sz w:val="21"/>
          <w:szCs w:val="21"/>
        </w:rPr>
        <w:t>环境状况和</w:t>
      </w:r>
      <w:r>
        <w:rPr>
          <w:rFonts w:hint="eastAsia" w:ascii="宋体" w:hAnsi="宋体" w:eastAsia="宋体" w:cs="宋体"/>
          <w:spacing w:val="-2"/>
          <w:sz w:val="21"/>
          <w:szCs w:val="21"/>
        </w:rPr>
        <w:t>环境保护目标完成情况的报告》显示，2023年共发生各类突发环境事件130起，同比上升15%,突发</w:t>
      </w:r>
      <w:r>
        <w:rPr>
          <w:rFonts w:hint="eastAsia" w:ascii="宋体" w:hAnsi="宋体" w:eastAsia="宋体" w:cs="宋体"/>
          <w:spacing w:val="6"/>
          <w:sz w:val="21"/>
          <w:szCs w:val="21"/>
        </w:rPr>
        <w:t>环境事件多发频发的高风险态势尚未根本改变。究其原因，一方面是我国经济发展阶段</w:t>
      </w:r>
      <w:r>
        <w:rPr>
          <w:rFonts w:hint="eastAsia" w:ascii="宋体" w:hAnsi="宋体" w:eastAsia="宋体" w:cs="宋体"/>
          <w:spacing w:val="5"/>
          <w:sz w:val="21"/>
          <w:szCs w:val="21"/>
        </w:rPr>
        <w:t>的内在矛盾，</w:t>
      </w:r>
      <w:r>
        <w:rPr>
          <w:rFonts w:hint="eastAsia" w:ascii="宋体" w:hAnsi="宋体" w:eastAsia="宋体" w:cs="宋体"/>
          <w:spacing w:val="4"/>
          <w:sz w:val="21"/>
          <w:szCs w:val="21"/>
        </w:rPr>
        <w:t>以及产业结构高耗能、高碳排放特征依然突出，“十四五”以来能源消费和二氧化碳排放增速明显快于“十三五”时期，污染减排压力有增无减。另一方面是生</w:t>
      </w:r>
      <w:r>
        <w:rPr>
          <w:rFonts w:hint="eastAsia" w:ascii="宋体" w:hAnsi="宋体" w:eastAsia="宋体" w:cs="宋体"/>
          <w:spacing w:val="3"/>
          <w:sz w:val="21"/>
          <w:szCs w:val="21"/>
        </w:rPr>
        <w:t>态环境治理体系还不健全，生态环境治理</w:t>
      </w:r>
      <w:r>
        <w:rPr>
          <w:rFonts w:hint="eastAsia" w:ascii="宋体" w:hAnsi="宋体" w:eastAsia="宋体" w:cs="宋体"/>
          <w:sz w:val="21"/>
          <w:szCs w:val="21"/>
        </w:rPr>
        <w:t>的政策法规和机制相对缺乏，科技支撑存在短板，市场化手段运用不足，基础设施建设滞后、运行总体水平不高。有的地方政府受利益驱动，生态环境监管流</w:t>
      </w:r>
      <w:r>
        <w:rPr>
          <w:rFonts w:hint="eastAsia" w:ascii="宋体" w:hAnsi="宋体" w:eastAsia="宋体" w:cs="宋体"/>
          <w:spacing w:val="-1"/>
          <w:sz w:val="21"/>
          <w:szCs w:val="21"/>
        </w:rPr>
        <w:t>于表面、执行不力；有的企业法律意识淡薄，不</w:t>
      </w:r>
      <w:r>
        <w:rPr>
          <w:rFonts w:hint="eastAsia" w:ascii="宋体" w:hAnsi="宋体" w:eastAsia="宋体" w:cs="宋体"/>
          <w:spacing w:val="4"/>
          <w:sz w:val="21"/>
          <w:szCs w:val="21"/>
        </w:rPr>
        <w:t>正常运行污染治理设施、超标排放等问题突出。当前我国已经进入高质量发展阶段，只有在生态环境</w:t>
      </w:r>
      <w:r>
        <w:rPr>
          <w:rFonts w:hint="eastAsia" w:ascii="宋体" w:hAnsi="宋体" w:eastAsia="宋体" w:cs="宋体"/>
          <w:spacing w:val="6"/>
          <w:sz w:val="21"/>
          <w:szCs w:val="21"/>
        </w:rPr>
        <w:t>和自然资源可承受范围内的经济活动，才能真正推动实现绿色低碳高质量发展。</w:t>
      </w:r>
    </w:p>
    <w:p w14:paraId="016E294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rPr>
          <w:rFonts w:hint="eastAsia" w:ascii="宋体" w:hAnsi="宋体" w:eastAsia="宋体" w:cs="宋体"/>
          <w:sz w:val="21"/>
          <w:szCs w:val="21"/>
        </w:rPr>
      </w:pPr>
      <w:r>
        <w:rPr>
          <w:rFonts w:hint="eastAsia" w:ascii="宋体" w:hAnsi="宋体" w:eastAsia="宋体" w:cs="宋体"/>
          <w:spacing w:val="-1"/>
          <w:sz w:val="21"/>
          <w:szCs w:val="21"/>
        </w:rPr>
        <w:t>（二）高质量充分就业形势严峻</w:t>
      </w:r>
    </w:p>
    <w:p w14:paraId="693E2EE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rPr>
          <w:rFonts w:hint="eastAsia" w:ascii="宋体" w:hAnsi="宋体" w:eastAsia="宋体" w:cs="宋体"/>
          <w:sz w:val="21"/>
          <w:szCs w:val="21"/>
        </w:rPr>
      </w:pPr>
      <w:r>
        <w:rPr>
          <w:rFonts w:hint="eastAsia" w:ascii="宋体" w:hAnsi="宋体" w:eastAsia="宋体" w:cs="宋体"/>
          <w:spacing w:val="9"/>
          <w:sz w:val="21"/>
          <w:szCs w:val="21"/>
        </w:rPr>
        <w:t>在发展中保障和改善民生是中国式现代化的重大任务，促进高质量充分就业是新时代新征程就</w:t>
      </w:r>
      <w:r>
        <w:rPr>
          <w:rFonts w:hint="eastAsia" w:ascii="宋体" w:hAnsi="宋体" w:eastAsia="宋体" w:cs="宋体"/>
          <w:spacing w:val="4"/>
          <w:sz w:val="21"/>
          <w:szCs w:val="21"/>
        </w:rPr>
        <w:t>业工作的新定位、新使命。习近平总书记多次强调，要全面落实就业优先政策，把推动实现更加充分更高质量的就业摆在突出位置。党的二十届三中全会强调，要健全高质量充分就业促进机制，完善就业公共服务体系，着力解决结构性就业矛盾。党的十八大以来，以习近平同志为核心的党中央把促进</w:t>
      </w:r>
      <w:r>
        <w:rPr>
          <w:rFonts w:hint="eastAsia" w:ascii="宋体" w:hAnsi="宋体" w:eastAsia="宋体" w:cs="宋体"/>
          <w:spacing w:val="5"/>
          <w:sz w:val="21"/>
          <w:szCs w:val="21"/>
        </w:rPr>
        <w:t>就业放在经济社会发展的优先位置，取得了就业规模扩大、重点群体就</w:t>
      </w:r>
      <w:r>
        <w:rPr>
          <w:rFonts w:hint="eastAsia" w:ascii="宋体" w:hAnsi="宋体" w:eastAsia="宋体" w:cs="宋体"/>
          <w:spacing w:val="4"/>
          <w:sz w:val="21"/>
          <w:szCs w:val="21"/>
        </w:rPr>
        <w:t>业平稳、就业保障制度不断完善等显著成效，但仍然存在就业人口总量压力大、供需结构不平衡、重点群体就业难等问题。供需不平衡的就业矛盾体现在：从劳动力供给侧看，质量和数量问题并存。过去我国劳动力的优势在于规模</w:t>
      </w:r>
      <w:r>
        <w:rPr>
          <w:rFonts w:hint="eastAsia" w:ascii="宋体" w:hAnsi="宋体" w:eastAsia="宋体" w:cs="宋体"/>
          <w:sz w:val="21"/>
          <w:szCs w:val="21"/>
        </w:rPr>
        <w:t>大、成本低，但多从事技术含量低的简单劳动，虽然近年来我国劳动力学历水平总体提升，但仍然存在</w:t>
      </w:r>
      <w:r>
        <w:rPr>
          <w:rFonts w:hint="eastAsia" w:ascii="宋体" w:hAnsi="宋体" w:eastAsia="宋体" w:cs="宋体"/>
          <w:spacing w:val="5"/>
          <w:sz w:val="21"/>
          <w:szCs w:val="21"/>
        </w:rPr>
        <w:t>专业技能与市场岗位需求不匹配的矛盾，高技能人才短缺，无法满足随</w:t>
      </w:r>
      <w:r>
        <w:rPr>
          <w:rFonts w:hint="eastAsia" w:ascii="宋体" w:hAnsi="宋体" w:eastAsia="宋体" w:cs="宋体"/>
          <w:spacing w:val="4"/>
          <w:sz w:val="21"/>
          <w:szCs w:val="21"/>
        </w:rPr>
        <w:t>着经济转型发展增加的技能型</w:t>
      </w:r>
      <w:r>
        <w:rPr>
          <w:rFonts w:hint="eastAsia" w:ascii="宋体" w:hAnsi="宋体" w:eastAsia="宋体" w:cs="宋体"/>
          <w:spacing w:val="1"/>
          <w:sz w:val="21"/>
          <w:szCs w:val="21"/>
        </w:rPr>
        <w:t>就业岗位需求；2023年国民经济和社会发展统计公报显示</w:t>
      </w:r>
      <w:r>
        <w:rPr>
          <w:rFonts w:hint="eastAsia" w:ascii="宋体" w:hAnsi="宋体" w:eastAsia="宋体" w:cs="宋体"/>
          <w:sz w:val="21"/>
          <w:szCs w:val="21"/>
        </w:rPr>
        <w:t>，我国高校毕业生规模为1158万人，预计</w:t>
      </w:r>
      <w:r>
        <w:rPr>
          <w:rFonts w:hint="eastAsia" w:ascii="宋体" w:hAnsi="宋体" w:eastAsia="宋体" w:cs="宋体"/>
          <w:spacing w:val="3"/>
          <w:sz w:val="21"/>
          <w:szCs w:val="21"/>
        </w:rPr>
        <w:t>2024年达1179万人，但是与之相匹配的岗位需求有限，从而造成高校毕业生群体就业难的问题。</w:t>
      </w:r>
      <w:r>
        <w:rPr>
          <w:rStyle w:val="20"/>
          <w:rFonts w:hint="eastAsia" w:ascii="宋体" w:hAnsi="宋体" w:eastAsia="宋体" w:cs="宋体"/>
          <w:spacing w:val="3"/>
          <w:sz w:val="21"/>
          <w:szCs w:val="21"/>
        </w:rPr>
        <w:footnoteReference w:id="989"/>
      </w:r>
      <w:r>
        <w:rPr>
          <w:rFonts w:hint="eastAsia" w:ascii="宋体" w:hAnsi="宋体" w:eastAsia="宋体" w:cs="宋体"/>
          <w:sz w:val="21"/>
          <w:szCs w:val="21"/>
        </w:rPr>
        <w:t>从市场需求侧来看，产业由劳动密集型向智能化、数字化等方向升级，对高技能人才的需求增加，但由</w:t>
      </w:r>
      <w:r>
        <w:rPr>
          <w:rFonts w:hint="eastAsia" w:ascii="宋体" w:hAnsi="宋体" w:eastAsia="宋体" w:cs="宋体"/>
          <w:spacing w:val="4"/>
          <w:sz w:val="21"/>
          <w:szCs w:val="21"/>
        </w:rPr>
        <w:t>于技能培训和教育的滞后性，市场岗位需求难以及时满足，造成企业招工难的问题。就业问题关系劳</w:t>
      </w:r>
      <w:r>
        <w:rPr>
          <w:rFonts w:hint="eastAsia" w:ascii="宋体" w:hAnsi="宋体" w:eastAsia="宋体" w:cs="宋体"/>
          <w:spacing w:val="5"/>
          <w:sz w:val="21"/>
          <w:szCs w:val="21"/>
        </w:rPr>
        <w:t>动者及其家庭的切身利益，没有就业就没有收入来源，就无法保障基本</w:t>
      </w:r>
      <w:r>
        <w:rPr>
          <w:rFonts w:hint="eastAsia" w:ascii="宋体" w:hAnsi="宋体" w:eastAsia="宋体" w:cs="宋体"/>
          <w:spacing w:val="4"/>
          <w:sz w:val="21"/>
          <w:szCs w:val="21"/>
        </w:rPr>
        <w:t>的生存，更遑论增进民生福祉和提高人民生活品质。此外，就业难还会引发一系列的社会问题。</w:t>
      </w:r>
    </w:p>
    <w:p w14:paraId="34FAD7F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textAlignment w:val="baseline"/>
        <w:rPr>
          <w:rFonts w:hint="eastAsia" w:ascii="宋体" w:hAnsi="宋体" w:eastAsia="宋体" w:cs="宋体"/>
          <w:sz w:val="21"/>
          <w:szCs w:val="21"/>
        </w:rPr>
      </w:pPr>
      <w:r>
        <w:rPr>
          <w:rFonts w:hint="eastAsia" w:ascii="宋体" w:hAnsi="宋体" w:eastAsia="宋体" w:cs="宋体"/>
          <w:spacing w:val="1"/>
          <w:sz w:val="21"/>
          <w:szCs w:val="21"/>
        </w:rPr>
        <w:t>（三）社会保障体系尚待完善</w:t>
      </w:r>
    </w:p>
    <w:p w14:paraId="370376C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eastAsia" w:ascii="宋体" w:hAnsi="宋体" w:eastAsia="宋体" w:cs="宋体"/>
          <w:sz w:val="21"/>
          <w:szCs w:val="21"/>
        </w:rPr>
      </w:pPr>
      <w:r>
        <w:rPr>
          <w:rFonts w:hint="eastAsia" w:ascii="宋体" w:hAnsi="宋体" w:eastAsia="宋体" w:cs="宋体"/>
          <w:spacing w:val="8"/>
          <w:sz w:val="21"/>
          <w:szCs w:val="21"/>
        </w:rPr>
        <w:t>民生保障方面仍存在短板是我国高质量发展面临的突出问题之一。经济高质量发展本质上是构</w:t>
      </w:r>
      <w:r>
        <w:rPr>
          <w:rFonts w:hint="eastAsia" w:ascii="宋体" w:hAnsi="宋体" w:eastAsia="宋体" w:cs="宋体"/>
          <w:spacing w:val="5"/>
          <w:sz w:val="21"/>
          <w:szCs w:val="21"/>
        </w:rPr>
        <w:t>建以人民为中心的新经济循环体系，推动经济高质量发展必须建成</w:t>
      </w:r>
      <w:r>
        <w:rPr>
          <w:rFonts w:hint="eastAsia" w:ascii="宋体" w:hAnsi="宋体" w:eastAsia="宋体" w:cs="宋体"/>
          <w:spacing w:val="4"/>
          <w:sz w:val="21"/>
          <w:szCs w:val="21"/>
        </w:rPr>
        <w:t>覆盖全民、多层次、系统化的社会保障体系。党的十八大以来，党中央高度重视社会保障体系建设，深入推进基本养老保险、医疗保障制度改革，建成了世界上最大的社会保障体系。随着我国社会主要矛盾发生变化和城镇化、人口老龄化、就业方式多样化加快发展，我国社会保障体系仍存在</w:t>
      </w:r>
      <w:r>
        <w:rPr>
          <w:rFonts w:hint="eastAsia" w:ascii="宋体" w:hAnsi="宋体" w:eastAsia="宋体" w:cs="宋体"/>
          <w:spacing w:val="3"/>
          <w:sz w:val="21"/>
          <w:szCs w:val="21"/>
        </w:rPr>
        <w:t>不足。</w:t>
      </w:r>
      <w:r>
        <w:rPr>
          <w:rStyle w:val="20"/>
          <w:rFonts w:hint="eastAsia" w:ascii="宋体" w:hAnsi="宋体" w:eastAsia="宋体" w:cs="宋体"/>
          <w:spacing w:val="3"/>
          <w:sz w:val="21"/>
          <w:szCs w:val="21"/>
        </w:rPr>
        <w:footnoteReference w:id="990"/>
      </w:r>
      <w:r>
        <w:rPr>
          <w:rFonts w:hint="eastAsia" w:ascii="宋体" w:hAnsi="宋体" w:eastAsia="宋体" w:cs="宋体"/>
          <w:spacing w:val="3"/>
          <w:sz w:val="21"/>
          <w:szCs w:val="21"/>
        </w:rPr>
        <w:t>一方面，社会保障体系的系统性不</w:t>
      </w:r>
      <w:r>
        <w:rPr>
          <w:rFonts w:hint="eastAsia" w:ascii="宋体" w:hAnsi="宋体" w:eastAsia="宋体" w:cs="宋体"/>
          <w:sz w:val="21"/>
          <w:szCs w:val="21"/>
        </w:rPr>
        <w:t>强。根据国家统计局数据，截至2021</w:t>
      </w:r>
      <w:r>
        <w:rPr>
          <w:rFonts w:hint="eastAsia" w:ascii="宋体" w:hAnsi="宋体" w:eastAsia="宋体" w:cs="宋体"/>
          <w:spacing w:val="-1"/>
          <w:sz w:val="21"/>
          <w:szCs w:val="21"/>
        </w:rPr>
        <w:t>年底，超过两亿人选择灵活性就业，劳动关系、就业岗位都出现</w:t>
      </w:r>
      <w:r>
        <w:rPr>
          <w:rFonts w:hint="eastAsia" w:ascii="宋体" w:hAnsi="宋体" w:eastAsia="宋体" w:cs="宋体"/>
          <w:sz w:val="21"/>
          <w:szCs w:val="21"/>
        </w:rPr>
        <w:t>新的变化，以单位进行参保的社会保障体系难以适应分散化、灵活性强的就业格局，包括农民、流动就</w:t>
      </w:r>
      <w:r>
        <w:rPr>
          <w:rFonts w:hint="eastAsia" w:ascii="宋体" w:hAnsi="宋体" w:eastAsia="宋体" w:cs="宋体"/>
          <w:spacing w:val="-5"/>
          <w:sz w:val="21"/>
          <w:szCs w:val="21"/>
        </w:rPr>
        <w:t>业人员、自由职业人员、新业态就业人员在内的群体尚未完全纳入参保范围，存在“漏保”“脱保”“断</w:t>
      </w:r>
      <w:r>
        <w:rPr>
          <w:rFonts w:hint="eastAsia" w:ascii="宋体" w:hAnsi="宋体" w:eastAsia="宋体" w:cs="宋体"/>
          <w:sz w:val="21"/>
          <w:szCs w:val="21"/>
        </w:rPr>
        <w:t>保”等问题。另一方面，城乡居民社会保障公平性不足。基础养老金区域差异悬殊，如2023年北京、</w:t>
      </w:r>
      <w:r>
        <w:rPr>
          <w:rFonts w:hint="eastAsia" w:ascii="宋体" w:hAnsi="宋体" w:eastAsia="宋体" w:cs="宋体"/>
          <w:spacing w:val="-8"/>
          <w:sz w:val="21"/>
          <w:szCs w:val="21"/>
        </w:rPr>
        <w:t>上海基础养老金每月分别为1400元、924元，贵州、云南分别为128元、118元。针对这些问题，党的</w:t>
      </w:r>
      <w:r>
        <w:rPr>
          <w:rFonts w:hint="eastAsia" w:ascii="宋体" w:hAnsi="宋体" w:eastAsia="宋体" w:cs="宋体"/>
          <w:sz w:val="21"/>
          <w:szCs w:val="21"/>
        </w:rPr>
        <w:t>二十届三中全会坚持人民至上，从人民整体利益、根本利益、长远利益出发谋划和推进改革，聚焦提高</w:t>
      </w:r>
      <w:r>
        <w:rPr>
          <w:rFonts w:hint="eastAsia" w:ascii="宋体" w:hAnsi="宋体" w:eastAsia="宋体" w:cs="宋体"/>
          <w:spacing w:val="4"/>
          <w:sz w:val="21"/>
          <w:szCs w:val="21"/>
        </w:rPr>
        <w:t>人民生活品质，就健全社会保障体系、健全人口发展支持和服务体系等作出一系列重要部署。</w:t>
      </w:r>
    </w:p>
    <w:p w14:paraId="5828D93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textAlignment w:val="baseline"/>
        <w:outlineLvl w:val="2"/>
        <w:rPr>
          <w:rFonts w:hint="eastAsia" w:ascii="宋体" w:hAnsi="宋体" w:eastAsia="宋体" w:cs="宋体"/>
          <w:sz w:val="21"/>
          <w:szCs w:val="21"/>
        </w:rPr>
      </w:pPr>
      <w:r>
        <w:rPr>
          <w:rFonts w:hint="eastAsia" w:ascii="宋体" w:hAnsi="宋体" w:eastAsia="宋体" w:cs="宋体"/>
          <w:spacing w:val="2"/>
          <w:sz w:val="21"/>
          <w:szCs w:val="21"/>
        </w:rPr>
        <w:t>三、高质量发展面临的社会公平正义问题</w:t>
      </w:r>
    </w:p>
    <w:p w14:paraId="550AA45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社会公平正义是社会和谐发展的基本要求和目标，也是社会文明进步的标志，当前要着力解决有</w:t>
      </w:r>
      <w:r>
        <w:rPr>
          <w:rFonts w:hint="eastAsia" w:ascii="宋体" w:hAnsi="宋体" w:eastAsia="宋体" w:cs="宋体"/>
          <w:spacing w:val="3"/>
          <w:sz w:val="21"/>
          <w:szCs w:val="21"/>
        </w:rPr>
        <w:t>悖社会公平正义的焦点热点问题，让广大人民群众共享改革发展</w:t>
      </w:r>
      <w:r>
        <w:rPr>
          <w:rFonts w:hint="eastAsia" w:ascii="宋体" w:hAnsi="宋体" w:eastAsia="宋体" w:cs="宋体"/>
          <w:spacing w:val="2"/>
          <w:sz w:val="21"/>
          <w:szCs w:val="21"/>
        </w:rPr>
        <w:t>成果。习近平总书记在《关于〈中共</w:t>
      </w:r>
      <w:r>
        <w:rPr>
          <w:rFonts w:hint="eastAsia" w:ascii="宋体" w:hAnsi="宋体" w:eastAsia="宋体" w:cs="宋体"/>
          <w:spacing w:val="5"/>
          <w:sz w:val="21"/>
          <w:szCs w:val="21"/>
        </w:rPr>
        <w:t>中央关于进一步全面深化改革、推进中国式现代化的决定〉的说明</w:t>
      </w:r>
      <w:r>
        <w:rPr>
          <w:rFonts w:hint="eastAsia" w:ascii="宋体" w:hAnsi="宋体" w:eastAsia="宋体" w:cs="宋体"/>
          <w:spacing w:val="4"/>
          <w:sz w:val="21"/>
          <w:szCs w:val="21"/>
        </w:rPr>
        <w:t>》中指出，推动高质量发展面临的</w:t>
      </w:r>
      <w:r>
        <w:rPr>
          <w:rFonts w:hint="eastAsia" w:ascii="宋体" w:hAnsi="宋体" w:eastAsia="宋体" w:cs="宋体"/>
          <w:spacing w:val="9"/>
          <w:sz w:val="21"/>
          <w:szCs w:val="21"/>
        </w:rPr>
        <w:t>突出问题之一是城乡区域发展和收入分配差距仍然较大。党的二十届三中全</w:t>
      </w:r>
      <w:r>
        <w:rPr>
          <w:rFonts w:hint="eastAsia" w:ascii="宋体" w:hAnsi="宋体" w:eastAsia="宋体" w:cs="宋体"/>
          <w:spacing w:val="8"/>
          <w:sz w:val="21"/>
          <w:szCs w:val="21"/>
        </w:rPr>
        <w:t>会强调，进一步全面深</w:t>
      </w:r>
      <w:r>
        <w:rPr>
          <w:rFonts w:hint="eastAsia" w:ascii="宋体" w:hAnsi="宋体" w:eastAsia="宋体" w:cs="宋体"/>
          <w:spacing w:val="5"/>
          <w:sz w:val="21"/>
          <w:szCs w:val="21"/>
        </w:rPr>
        <w:t>化改革要以促进社会公平正义、增进人民福祉为出发点和落脚点。</w:t>
      </w:r>
    </w:p>
    <w:p w14:paraId="15EC290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textAlignment w:val="baseline"/>
        <w:rPr>
          <w:rFonts w:hint="eastAsia" w:ascii="宋体" w:hAnsi="宋体" w:eastAsia="宋体" w:cs="宋体"/>
          <w:sz w:val="21"/>
          <w:szCs w:val="21"/>
        </w:rPr>
      </w:pPr>
      <w:r>
        <w:rPr>
          <w:rFonts w:hint="eastAsia" w:ascii="宋体" w:hAnsi="宋体" w:eastAsia="宋体" w:cs="宋体"/>
          <w:spacing w:val="1"/>
          <w:sz w:val="21"/>
          <w:szCs w:val="21"/>
        </w:rPr>
        <w:t>（一）收入分配差距仍然较大</w:t>
      </w:r>
    </w:p>
    <w:p w14:paraId="4851EE3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财富和收入差距问题一定程度影响着需求预期和经济高质量发</w:t>
      </w:r>
      <w:r>
        <w:rPr>
          <w:rFonts w:hint="eastAsia" w:ascii="宋体" w:hAnsi="宋体" w:eastAsia="宋体" w:cs="宋体"/>
          <w:spacing w:val="8"/>
          <w:sz w:val="21"/>
          <w:szCs w:val="21"/>
        </w:rPr>
        <w:t>展。当前我国收入分配格局还有</w:t>
      </w:r>
      <w:r>
        <w:rPr>
          <w:rFonts w:hint="eastAsia" w:ascii="宋体" w:hAnsi="宋体" w:eastAsia="宋体" w:cs="宋体"/>
          <w:spacing w:val="-4"/>
          <w:sz w:val="21"/>
          <w:szCs w:val="21"/>
        </w:rPr>
        <w:t>待进一步优化，要在推动高质量发展、做好做大“蛋糕”的同时，进一步</w:t>
      </w:r>
      <w:r>
        <w:rPr>
          <w:rFonts w:hint="eastAsia" w:ascii="宋体" w:hAnsi="宋体" w:eastAsia="宋体" w:cs="宋体"/>
          <w:spacing w:val="-5"/>
          <w:sz w:val="21"/>
          <w:szCs w:val="21"/>
        </w:rPr>
        <w:t>分好“蛋糕”，稳步推进收入分</w:t>
      </w:r>
      <w:r>
        <w:rPr>
          <w:rFonts w:hint="eastAsia" w:ascii="宋体" w:hAnsi="宋体" w:eastAsia="宋体" w:cs="宋体"/>
          <w:spacing w:val="11"/>
          <w:sz w:val="21"/>
          <w:szCs w:val="21"/>
        </w:rPr>
        <w:t>配制度改革。随着内外部环境的深刻变化，我国在</w:t>
      </w:r>
      <w:r>
        <w:rPr>
          <w:rFonts w:hint="eastAsia" w:ascii="宋体" w:hAnsi="宋体" w:eastAsia="宋体" w:cs="宋体"/>
          <w:spacing w:val="10"/>
          <w:sz w:val="21"/>
          <w:szCs w:val="21"/>
        </w:rPr>
        <w:t>收入分配领域面临的深层次矛盾和问题还不少。</w:t>
      </w:r>
    </w:p>
    <w:p w14:paraId="52B4A20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0" w:firstLineChars="200"/>
        <w:jc w:val="both"/>
        <w:textAlignment w:val="baseline"/>
        <w:rPr>
          <w:rFonts w:hint="eastAsia" w:ascii="宋体" w:hAnsi="宋体" w:eastAsia="宋体" w:cs="宋体"/>
          <w:sz w:val="21"/>
          <w:szCs w:val="21"/>
        </w:rPr>
      </w:pPr>
      <w:r>
        <w:rPr>
          <w:rFonts w:hint="eastAsia" w:ascii="宋体" w:hAnsi="宋体" w:eastAsia="宋体" w:cs="宋体"/>
          <w:spacing w:val="-5"/>
          <w:sz w:val="21"/>
          <w:szCs w:val="21"/>
        </w:rPr>
        <w:t>一方面，居民收入差距较大，根据《中国统计年鉴2022》相关数据计算，我国目前约80%的人口月收入</w:t>
      </w:r>
      <w:r>
        <w:rPr>
          <w:rFonts w:hint="eastAsia" w:ascii="宋体" w:hAnsi="宋体" w:eastAsia="宋体" w:cs="宋体"/>
          <w:spacing w:val="-4"/>
          <w:sz w:val="21"/>
          <w:szCs w:val="21"/>
        </w:rPr>
        <w:t>在5000元以下，其中40%的人口月收入在2000元以下，20%的人口月收入不足1000元，低收入群体</w:t>
      </w:r>
      <w:r>
        <w:rPr>
          <w:rFonts w:hint="eastAsia" w:ascii="宋体" w:hAnsi="宋体" w:eastAsia="宋体" w:cs="宋体"/>
          <w:spacing w:val="-5"/>
          <w:sz w:val="21"/>
          <w:szCs w:val="21"/>
        </w:rPr>
        <w:t>比重较大。《中国收入分配报告2021》显示，中国收入基尼系数从2008年的峰值</w:t>
      </w:r>
      <w:r>
        <w:rPr>
          <w:rFonts w:hint="eastAsia" w:ascii="宋体" w:hAnsi="宋体" w:eastAsia="宋体" w:cs="宋体"/>
          <w:spacing w:val="-6"/>
          <w:sz w:val="21"/>
          <w:szCs w:val="21"/>
        </w:rPr>
        <w:t>0.491见顶回落，近</w:t>
      </w:r>
      <w:r>
        <w:rPr>
          <w:rFonts w:hint="eastAsia" w:ascii="宋体" w:hAnsi="宋体" w:eastAsia="宋体" w:cs="宋体"/>
          <w:spacing w:val="-3"/>
          <w:sz w:val="21"/>
          <w:szCs w:val="21"/>
        </w:rPr>
        <w:t>年来维持在0.46—0.47区间；2013—2020年高低收入比的均值为10.64,处于较高水平区间。另一方</w:t>
      </w:r>
      <w:r>
        <w:rPr>
          <w:rFonts w:hint="eastAsia" w:ascii="宋体" w:hAnsi="宋体" w:eastAsia="宋体" w:cs="宋体"/>
          <w:sz w:val="21"/>
          <w:szCs w:val="21"/>
        </w:rPr>
        <w:t>面，财产性收入不平衡，财富集中度日益提高，劳动收入份额下降、资本收入份额上升，劳动所有者和</w:t>
      </w:r>
      <w:r>
        <w:rPr>
          <w:rFonts w:hint="eastAsia" w:ascii="宋体" w:hAnsi="宋体" w:eastAsia="宋体" w:cs="宋体"/>
          <w:spacing w:val="6"/>
          <w:sz w:val="21"/>
          <w:szCs w:val="21"/>
        </w:rPr>
        <w:t>资本所有者的收入差距扩大。据统计，中国财产性收入占比从2009年的2.5%提高至2020年的</w:t>
      </w:r>
      <w:r>
        <w:rPr>
          <w:rFonts w:hint="eastAsia" w:ascii="宋体" w:hAnsi="宋体" w:eastAsia="宋体" w:cs="宋体"/>
          <w:spacing w:val="-3"/>
          <w:sz w:val="21"/>
          <w:szCs w:val="21"/>
        </w:rPr>
        <w:t>8.7%；劳动性收入占比从2009年的72.1%下降至2020年的55.7%。收入差距大有悖于社会公平正</w:t>
      </w:r>
      <w:r>
        <w:rPr>
          <w:rFonts w:hint="eastAsia" w:ascii="宋体" w:hAnsi="宋体" w:eastAsia="宋体" w:cs="宋体"/>
          <w:spacing w:val="-1"/>
          <w:sz w:val="21"/>
          <w:szCs w:val="21"/>
        </w:rPr>
        <w:t>义，导致社会阶层逐渐固化，形成“穷则愈穷，富则愈富”的</w:t>
      </w:r>
      <w:r>
        <w:rPr>
          <w:rFonts w:hint="eastAsia" w:ascii="宋体" w:hAnsi="宋体" w:eastAsia="宋体" w:cs="宋体"/>
          <w:spacing w:val="-2"/>
          <w:sz w:val="21"/>
          <w:szCs w:val="21"/>
        </w:rPr>
        <w:t>马太效应</w:t>
      </w:r>
      <w:r>
        <w:rPr>
          <w:rStyle w:val="20"/>
          <w:rFonts w:hint="eastAsia" w:ascii="宋体" w:hAnsi="宋体" w:eastAsia="宋体" w:cs="宋体"/>
          <w:spacing w:val="-2"/>
          <w:sz w:val="21"/>
          <w:szCs w:val="21"/>
        </w:rPr>
        <w:footnoteReference w:id="991"/>
      </w:r>
      <w:r>
        <w:rPr>
          <w:rFonts w:hint="eastAsia" w:ascii="宋体" w:hAnsi="宋体" w:eastAsia="宋体" w:cs="宋体"/>
          <w:spacing w:val="-2"/>
          <w:sz w:val="21"/>
          <w:szCs w:val="21"/>
        </w:rPr>
        <w:t>,带来教育、医疗等社会资源的</w:t>
      </w:r>
      <w:r>
        <w:rPr>
          <w:rFonts w:hint="eastAsia" w:ascii="宋体" w:hAnsi="宋体" w:eastAsia="宋体" w:cs="宋体"/>
          <w:spacing w:val="6"/>
          <w:sz w:val="21"/>
          <w:szCs w:val="21"/>
        </w:rPr>
        <w:t>倾斜，产生机会不平等问题，影响社会进步和人的全面发</w:t>
      </w:r>
      <w:r>
        <w:rPr>
          <w:rFonts w:hint="eastAsia" w:ascii="宋体" w:hAnsi="宋体" w:eastAsia="宋体" w:cs="宋体"/>
          <w:spacing w:val="5"/>
          <w:sz w:val="21"/>
          <w:szCs w:val="21"/>
        </w:rPr>
        <w:t>展。分配失衡会影响消费倾向和需求结构，</w:t>
      </w:r>
      <w:r>
        <w:rPr>
          <w:rFonts w:hint="eastAsia" w:ascii="宋体" w:hAnsi="宋体" w:eastAsia="宋体" w:cs="宋体"/>
          <w:spacing w:val="1"/>
          <w:sz w:val="21"/>
          <w:szCs w:val="21"/>
        </w:rPr>
        <w:t>抑制内需的扩大，从而影响总需求水平，制约经济高质量发展。</w:t>
      </w:r>
    </w:p>
    <w:p w14:paraId="420AEE5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4" w:firstLineChars="200"/>
        <w:textAlignment w:val="baseline"/>
        <w:rPr>
          <w:rFonts w:hint="eastAsia" w:ascii="宋体" w:hAnsi="宋体" w:eastAsia="宋体" w:cs="宋体"/>
          <w:sz w:val="21"/>
          <w:szCs w:val="21"/>
        </w:rPr>
      </w:pPr>
      <w:r>
        <w:rPr>
          <w:rFonts w:hint="eastAsia" w:ascii="宋体" w:hAnsi="宋体" w:eastAsia="宋体" w:cs="宋体"/>
          <w:spacing w:val="-9"/>
          <w:sz w:val="21"/>
          <w:szCs w:val="21"/>
        </w:rPr>
        <w:t>（二）区域、行业发展不平衡</w:t>
      </w:r>
    </w:p>
    <w:p w14:paraId="1CC6AD6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rPr>
          <w:rFonts w:hint="eastAsia" w:ascii="宋体" w:hAnsi="宋体" w:eastAsia="宋体" w:cs="宋体"/>
          <w:sz w:val="21"/>
          <w:szCs w:val="21"/>
        </w:rPr>
      </w:pPr>
      <w:r>
        <w:rPr>
          <w:rFonts w:hint="eastAsia" w:ascii="宋体" w:hAnsi="宋体" w:eastAsia="宋体" w:cs="宋体"/>
          <w:spacing w:val="4"/>
          <w:sz w:val="21"/>
          <w:szCs w:val="21"/>
        </w:rPr>
        <w:t>促进经济平衡、充分发展是满足人民对美好生活需要的现实基础。当前，</w:t>
      </w:r>
      <w:r>
        <w:rPr>
          <w:rFonts w:hint="eastAsia" w:ascii="宋体" w:hAnsi="宋体" w:eastAsia="宋体" w:cs="宋体"/>
          <w:spacing w:val="3"/>
          <w:sz w:val="21"/>
          <w:szCs w:val="21"/>
        </w:rPr>
        <w:t>区域经济特别是城乡发</w:t>
      </w:r>
      <w:r>
        <w:rPr>
          <w:rFonts w:hint="eastAsia" w:ascii="宋体" w:hAnsi="宋体" w:eastAsia="宋体" w:cs="宋体"/>
          <w:spacing w:val="4"/>
          <w:sz w:val="21"/>
          <w:szCs w:val="21"/>
        </w:rPr>
        <w:t>展、行业发展不平衡的问题日益凸显，已经成为困扰我国国民经济持续快速健康发展的突出问题。从</w:t>
      </w:r>
      <w:r>
        <w:rPr>
          <w:rFonts w:hint="eastAsia" w:ascii="宋体" w:hAnsi="宋体" w:eastAsia="宋体" w:cs="宋体"/>
          <w:spacing w:val="5"/>
          <w:sz w:val="21"/>
          <w:szCs w:val="21"/>
        </w:rPr>
        <w:t>不同区域看，首先是地区差异日益增大，不同地区的贫富差距呈现出明</w:t>
      </w:r>
      <w:r>
        <w:rPr>
          <w:rFonts w:hint="eastAsia" w:ascii="宋体" w:hAnsi="宋体" w:eastAsia="宋体" w:cs="宋体"/>
          <w:spacing w:val="4"/>
          <w:sz w:val="21"/>
          <w:szCs w:val="21"/>
        </w:rPr>
        <w:t>显不均衡性，一些发达地区的</w:t>
      </w:r>
      <w:r>
        <w:rPr>
          <w:rFonts w:hint="eastAsia" w:ascii="宋体" w:hAnsi="宋体" w:eastAsia="宋体" w:cs="宋体"/>
          <w:spacing w:val="2"/>
          <w:sz w:val="21"/>
          <w:szCs w:val="21"/>
        </w:rPr>
        <w:t>收入普遍较高，东部沿海地区与西部内陆地区的收入水平差异明显。</w:t>
      </w:r>
      <w:r>
        <w:rPr>
          <w:rStyle w:val="20"/>
          <w:rFonts w:hint="eastAsia" w:ascii="宋体" w:hAnsi="宋体" w:eastAsia="宋体" w:cs="宋体"/>
          <w:spacing w:val="2"/>
          <w:sz w:val="21"/>
          <w:szCs w:val="21"/>
        </w:rPr>
        <w:footnoteReference w:id="992"/>
      </w:r>
      <w:r>
        <w:rPr>
          <w:rFonts w:hint="eastAsia" w:ascii="宋体" w:hAnsi="宋体" w:eastAsia="宋体" w:cs="宋体"/>
          <w:spacing w:val="2"/>
          <w:sz w:val="21"/>
          <w:szCs w:val="21"/>
        </w:rPr>
        <w:t>根据《招商银行2021年中国</w:t>
      </w:r>
      <w:r>
        <w:rPr>
          <w:rFonts w:hint="eastAsia" w:ascii="宋体" w:hAnsi="宋体" w:eastAsia="宋体" w:cs="宋体"/>
          <w:spacing w:val="-2"/>
          <w:sz w:val="21"/>
          <w:szCs w:val="21"/>
        </w:rPr>
        <w:t>私人财富报告》测算的高净值人群区域分布，202</w:t>
      </w:r>
      <w:r>
        <w:rPr>
          <w:rFonts w:hint="eastAsia" w:ascii="宋体" w:hAnsi="宋体" w:eastAsia="宋体" w:cs="宋体"/>
          <w:spacing w:val="-3"/>
          <w:sz w:val="21"/>
          <w:szCs w:val="21"/>
        </w:rPr>
        <w:t>0年广东、上海、北京、江苏和浙江五个东部沿海省市</w:t>
      </w:r>
      <w:r>
        <w:rPr>
          <w:rFonts w:hint="eastAsia" w:ascii="宋体" w:hAnsi="宋体" w:eastAsia="宋体" w:cs="宋体"/>
          <w:spacing w:val="3"/>
          <w:sz w:val="21"/>
          <w:szCs w:val="21"/>
        </w:rPr>
        <w:t>的高净值人群人数占全国总数的44%。其次是城乡差距和群体差距仍然较高，央行《2019年中国城</w:t>
      </w:r>
      <w:r>
        <w:rPr>
          <w:rFonts w:hint="eastAsia" w:ascii="宋体" w:hAnsi="宋体" w:eastAsia="宋体" w:cs="宋体"/>
          <w:spacing w:val="7"/>
          <w:sz w:val="21"/>
          <w:szCs w:val="21"/>
        </w:rPr>
        <w:t>镇居民家庭资产负债情况调查》显示，最低20%家庭所拥有的资产仅占全部样本的2.6%,而最高</w:t>
      </w:r>
      <w:r>
        <w:rPr>
          <w:rFonts w:hint="eastAsia" w:ascii="宋体" w:hAnsi="宋体" w:eastAsia="宋体" w:cs="宋体"/>
          <w:spacing w:val="-6"/>
          <w:sz w:val="21"/>
          <w:szCs w:val="21"/>
        </w:rPr>
        <w:t>20%家庭总资产占比为63.0%,城镇内部收</w:t>
      </w:r>
      <w:r>
        <w:rPr>
          <w:rFonts w:hint="eastAsia" w:ascii="宋体" w:hAnsi="宋体" w:eastAsia="宋体" w:cs="宋体"/>
          <w:spacing w:val="-7"/>
          <w:sz w:val="21"/>
          <w:szCs w:val="21"/>
        </w:rPr>
        <w:t>入差距较大；根据《中国统计年鉴2022》数据，2021年农村</w:t>
      </w:r>
      <w:r>
        <w:rPr>
          <w:rFonts w:hint="eastAsia" w:ascii="宋体" w:hAnsi="宋体" w:eastAsia="宋体" w:cs="宋体"/>
          <w:spacing w:val="4"/>
          <w:sz w:val="21"/>
          <w:szCs w:val="21"/>
        </w:rPr>
        <w:t>居民中20%的高收入组家庭人均可支配收入为43082元，是农村居民</w:t>
      </w:r>
      <w:r>
        <w:rPr>
          <w:rFonts w:hint="eastAsia" w:ascii="宋体" w:hAnsi="宋体" w:eastAsia="宋体" w:cs="宋体"/>
          <w:spacing w:val="3"/>
          <w:sz w:val="21"/>
          <w:szCs w:val="21"/>
        </w:rPr>
        <w:t>中20%低收入组家庭人均可支</w:t>
      </w:r>
      <w:r>
        <w:rPr>
          <w:rFonts w:hint="eastAsia" w:ascii="宋体" w:hAnsi="宋体" w:eastAsia="宋体" w:cs="宋体"/>
          <w:spacing w:val="4"/>
          <w:sz w:val="21"/>
          <w:szCs w:val="21"/>
        </w:rPr>
        <w:t>配收入的8.87倍，农村居民的人均可支配收入差距大于城镇。从不同行业看，行业发展不平衡问题</w:t>
      </w:r>
      <w:r>
        <w:rPr>
          <w:rFonts w:hint="eastAsia" w:ascii="宋体" w:hAnsi="宋体" w:eastAsia="宋体" w:cs="宋体"/>
          <w:spacing w:val="5"/>
          <w:sz w:val="21"/>
          <w:szCs w:val="21"/>
        </w:rPr>
        <w:t>突出，制造业方面，我国制造业虽已连续多年位居世界第一，但在关键</w:t>
      </w:r>
      <w:r>
        <w:rPr>
          <w:rFonts w:hint="eastAsia" w:ascii="宋体" w:hAnsi="宋体" w:eastAsia="宋体" w:cs="宋体"/>
          <w:spacing w:val="4"/>
          <w:sz w:val="21"/>
          <w:szCs w:val="21"/>
        </w:rPr>
        <w:t>核心技术上与制造强国相比还</w:t>
      </w:r>
      <w:r>
        <w:rPr>
          <w:rFonts w:hint="eastAsia" w:ascii="宋体" w:hAnsi="宋体" w:eastAsia="宋体" w:cs="宋体"/>
          <w:spacing w:val="5"/>
          <w:sz w:val="21"/>
          <w:szCs w:val="21"/>
        </w:rPr>
        <w:t>存在一定差距，在全球产业链价值链中的位置没有明显变化，部分传统</w:t>
      </w:r>
      <w:r>
        <w:rPr>
          <w:rFonts w:hint="eastAsia" w:ascii="宋体" w:hAnsi="宋体" w:eastAsia="宋体" w:cs="宋体"/>
          <w:spacing w:val="4"/>
          <w:sz w:val="21"/>
          <w:szCs w:val="21"/>
        </w:rPr>
        <w:t>产业发展进入平台期，增长放缓，而增速较快的新动能规模相对较小，不能及时弥补旧动能增长放缓产生的缺口。服务业方面，我国已连续多年保持全球服务贸易第二大国地位，知识密集型服务贸易持续增长。但也要注意，与高质</w:t>
      </w:r>
      <w:r>
        <w:rPr>
          <w:rFonts w:hint="eastAsia" w:ascii="宋体" w:hAnsi="宋体" w:eastAsia="宋体" w:cs="宋体"/>
          <w:sz w:val="21"/>
          <w:szCs w:val="21"/>
        </w:rPr>
        <w:t>量发展内在要求相比，我国服务贸易仍面临发展程度不充分、水平不均衡、结构不合理等问题，存在较</w:t>
      </w:r>
      <w:r>
        <w:rPr>
          <w:rFonts w:hint="eastAsia" w:ascii="宋体" w:hAnsi="宋体" w:eastAsia="宋体" w:cs="宋体"/>
          <w:spacing w:val="6"/>
          <w:sz w:val="21"/>
          <w:szCs w:val="21"/>
        </w:rPr>
        <w:t>大的提升空间。区域和产业经济发展的不平衡，容易形成</w:t>
      </w:r>
      <w:r>
        <w:rPr>
          <w:rFonts w:hint="eastAsia" w:ascii="宋体" w:hAnsi="宋体" w:eastAsia="宋体" w:cs="宋体"/>
          <w:spacing w:val="5"/>
          <w:sz w:val="21"/>
          <w:szCs w:val="21"/>
        </w:rPr>
        <w:t>地方保护主义和贸易壁垒，加剧市场分割，</w:t>
      </w:r>
      <w:r>
        <w:rPr>
          <w:rFonts w:hint="eastAsia" w:ascii="宋体" w:hAnsi="宋体" w:eastAsia="宋体" w:cs="宋体"/>
          <w:spacing w:val="4"/>
          <w:sz w:val="21"/>
          <w:szCs w:val="21"/>
        </w:rPr>
        <w:t>导致区域恶性竞争，不利于国内大循环格局的顺畅运行，影</w:t>
      </w:r>
      <w:r>
        <w:rPr>
          <w:rFonts w:hint="eastAsia" w:ascii="宋体" w:hAnsi="宋体" w:eastAsia="宋体" w:cs="宋体"/>
          <w:spacing w:val="3"/>
          <w:sz w:val="21"/>
          <w:szCs w:val="21"/>
        </w:rPr>
        <w:t>响国民经济发展的稳定性。</w:t>
      </w:r>
    </w:p>
    <w:p w14:paraId="7CCE95E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r>
        <w:rPr>
          <w:rFonts w:hint="eastAsia" w:ascii="宋体" w:hAnsi="宋体" w:eastAsia="宋体" w:cs="宋体"/>
          <w:sz w:val="21"/>
          <w:szCs w:val="21"/>
        </w:rPr>
        <w:t>（三）法治建设任重道远</w:t>
      </w:r>
    </w:p>
    <w:p w14:paraId="4A3A21D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rPr>
          <w:rFonts w:hint="eastAsia" w:ascii="宋体" w:hAnsi="宋体" w:eastAsia="宋体" w:cs="宋体"/>
          <w:sz w:val="21"/>
          <w:szCs w:val="21"/>
        </w:rPr>
      </w:pPr>
      <w:r>
        <w:rPr>
          <w:rFonts w:hint="eastAsia" w:ascii="宋体" w:hAnsi="宋体" w:eastAsia="宋体" w:cs="宋体"/>
          <w:spacing w:val="-3"/>
          <w:sz w:val="21"/>
          <w:szCs w:val="21"/>
        </w:rPr>
        <w:t>党的二十届三中全会指出，法治是中国式现代化的重要保障，明确强调协同推进立法、执法、司法、</w:t>
      </w:r>
      <w:r>
        <w:rPr>
          <w:rFonts w:hint="eastAsia" w:ascii="宋体" w:hAnsi="宋体" w:eastAsia="宋体" w:cs="宋体"/>
          <w:spacing w:val="-4"/>
          <w:sz w:val="21"/>
          <w:szCs w:val="21"/>
        </w:rPr>
        <w:t>守法各环节改革，健全法律面前人人平等保障机制，弘扬社会主义法治精神，维护社会公平正</w:t>
      </w:r>
      <w:r>
        <w:rPr>
          <w:rFonts w:hint="eastAsia" w:ascii="宋体" w:hAnsi="宋体" w:eastAsia="宋体" w:cs="宋体"/>
          <w:spacing w:val="-5"/>
          <w:sz w:val="21"/>
          <w:szCs w:val="21"/>
        </w:rPr>
        <w:t>义，全面推</w:t>
      </w:r>
      <w:r>
        <w:rPr>
          <w:rFonts w:hint="eastAsia" w:ascii="宋体" w:hAnsi="宋体" w:eastAsia="宋体" w:cs="宋体"/>
          <w:spacing w:val="4"/>
          <w:sz w:val="21"/>
          <w:szCs w:val="21"/>
        </w:rPr>
        <w:t>进国家各方面工作法治化。公平正义是社会主义法治的价值追求，中国法治建设取得了有目共睹的辉煌成绩，但距离人民群众的期待以及构建法治化营商环境和推动高质量发展要求还有差距。具体表现</w:t>
      </w:r>
      <w:r>
        <w:rPr>
          <w:rFonts w:hint="eastAsia" w:ascii="宋体" w:hAnsi="宋体" w:eastAsia="宋体" w:cs="宋体"/>
          <w:sz w:val="21"/>
          <w:szCs w:val="21"/>
        </w:rPr>
        <w:t>在以宪法为核心的中国特色社会主义法律体系有待完善，一些新兴领域、新兴业态的法律制度难以跟上</w:t>
      </w:r>
      <w:r>
        <w:rPr>
          <w:rFonts w:hint="eastAsia" w:ascii="宋体" w:hAnsi="宋体" w:eastAsia="宋体" w:cs="宋体"/>
          <w:spacing w:val="-1"/>
          <w:sz w:val="21"/>
          <w:szCs w:val="21"/>
        </w:rPr>
        <w:t>实践发展需要。</w:t>
      </w:r>
      <w:r>
        <w:rPr>
          <w:rStyle w:val="20"/>
          <w:rFonts w:hint="eastAsia" w:ascii="宋体" w:hAnsi="宋体" w:eastAsia="宋体" w:cs="宋体"/>
          <w:spacing w:val="-1"/>
          <w:sz w:val="21"/>
          <w:szCs w:val="21"/>
        </w:rPr>
        <w:footnoteReference w:id="993"/>
      </w:r>
      <w:r>
        <w:rPr>
          <w:rFonts w:hint="eastAsia" w:ascii="宋体" w:hAnsi="宋体" w:eastAsia="宋体" w:cs="宋体"/>
          <w:spacing w:val="-1"/>
          <w:sz w:val="21"/>
          <w:szCs w:val="21"/>
        </w:rPr>
        <w:t>执法规范性仍需加强，部分执法人员对法律的权威性认识不足，法治意识和法治观念</w:t>
      </w:r>
      <w:r>
        <w:rPr>
          <w:rFonts w:hint="eastAsia" w:ascii="宋体" w:hAnsi="宋体" w:eastAsia="宋体" w:cs="宋体"/>
          <w:spacing w:val="-4"/>
          <w:sz w:val="21"/>
          <w:szCs w:val="21"/>
        </w:rPr>
        <w:t>不强，有法不依、执法不严现象仍有发生。</w:t>
      </w:r>
      <w:r>
        <w:rPr>
          <w:rFonts w:hint="eastAsia" w:ascii="宋体" w:hAnsi="宋体" w:eastAsia="宋体" w:cs="宋体"/>
          <w:spacing w:val="-5"/>
          <w:sz w:val="21"/>
          <w:szCs w:val="21"/>
        </w:rPr>
        <w:t>司法公正有待提升，司法不公、冤假错案、司法腐败等问题时</w:t>
      </w:r>
      <w:r>
        <w:rPr>
          <w:rFonts w:hint="eastAsia" w:ascii="宋体" w:hAnsi="宋体" w:eastAsia="宋体" w:cs="宋体"/>
          <w:spacing w:val="-4"/>
          <w:sz w:val="21"/>
          <w:szCs w:val="21"/>
        </w:rPr>
        <w:t>有发生。公民法治意识和法治素养相对不足</w:t>
      </w:r>
      <w:r>
        <w:rPr>
          <w:rFonts w:hint="eastAsia" w:ascii="宋体" w:hAnsi="宋体" w:eastAsia="宋体" w:cs="宋体"/>
          <w:spacing w:val="-5"/>
          <w:sz w:val="21"/>
          <w:szCs w:val="21"/>
        </w:rPr>
        <w:t>，存在“信权不信法”“信访不信法”“信关系不信法”等问</w:t>
      </w:r>
      <w:r>
        <w:rPr>
          <w:rFonts w:hint="eastAsia" w:ascii="宋体" w:hAnsi="宋体" w:eastAsia="宋体" w:cs="宋体"/>
          <w:sz w:val="21"/>
          <w:szCs w:val="21"/>
        </w:rPr>
        <w:t>题。法治建设短板对高质量发展产生不利影响，一定程度上损害了人民群众</w:t>
      </w:r>
      <w:r>
        <w:rPr>
          <w:rFonts w:hint="eastAsia" w:ascii="宋体" w:hAnsi="宋体" w:eastAsia="宋体" w:cs="宋体"/>
          <w:spacing w:val="-1"/>
          <w:sz w:val="21"/>
          <w:szCs w:val="21"/>
        </w:rPr>
        <w:t>合法权益，有可能导致社会矛盾激化，影响社会和谐稳定</w:t>
      </w:r>
      <w:r>
        <w:rPr>
          <w:rStyle w:val="20"/>
          <w:rFonts w:hint="eastAsia" w:ascii="宋体" w:hAnsi="宋体" w:eastAsia="宋体" w:cs="宋体"/>
          <w:spacing w:val="-1"/>
          <w:sz w:val="21"/>
          <w:szCs w:val="21"/>
        </w:rPr>
        <w:footnoteReference w:id="994"/>
      </w:r>
      <w:r>
        <w:rPr>
          <w:rFonts w:hint="eastAsia" w:ascii="宋体" w:hAnsi="宋体" w:eastAsia="宋体" w:cs="宋体"/>
          <w:spacing w:val="-1"/>
          <w:sz w:val="21"/>
          <w:szCs w:val="21"/>
        </w:rPr>
        <w:t>,同时损害了党</w:t>
      </w:r>
      <w:r>
        <w:rPr>
          <w:rFonts w:hint="eastAsia" w:ascii="宋体" w:hAnsi="宋体" w:eastAsia="宋体" w:cs="宋体"/>
          <w:spacing w:val="-2"/>
          <w:sz w:val="21"/>
          <w:szCs w:val="21"/>
        </w:rPr>
        <w:t>和政府公信力，妨碍法治国家、法治政府、法治社会一体</w:t>
      </w:r>
      <w:r>
        <w:rPr>
          <w:rFonts w:hint="eastAsia" w:ascii="宋体" w:hAnsi="宋体" w:eastAsia="宋体" w:cs="宋体"/>
          <w:sz w:val="21"/>
          <w:szCs w:val="21"/>
        </w:rPr>
        <w:t>建设，影响市场主体的公平竞争、有序发展和预期稳定性，制约经</w:t>
      </w:r>
      <w:r>
        <w:rPr>
          <w:rFonts w:hint="eastAsia" w:ascii="宋体" w:hAnsi="宋体" w:eastAsia="宋体" w:cs="宋体"/>
          <w:spacing w:val="-1"/>
          <w:sz w:val="21"/>
          <w:szCs w:val="21"/>
        </w:rPr>
        <w:t>济高质量发展和高水平开放。</w:t>
      </w:r>
      <w:r>
        <w:rPr>
          <w:rStyle w:val="20"/>
          <w:rFonts w:hint="eastAsia" w:ascii="宋体" w:hAnsi="宋体" w:eastAsia="宋体" w:cs="宋体"/>
          <w:spacing w:val="-1"/>
          <w:sz w:val="21"/>
          <w:szCs w:val="21"/>
        </w:rPr>
        <w:footnoteReference w:id="995"/>
      </w:r>
    </w:p>
    <w:p w14:paraId="7435F40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textAlignment w:val="baseline"/>
        <w:outlineLvl w:val="2"/>
        <w:rPr>
          <w:rFonts w:hint="eastAsia" w:ascii="宋体" w:hAnsi="宋体" w:eastAsia="宋体" w:cs="宋体"/>
          <w:sz w:val="21"/>
          <w:szCs w:val="21"/>
        </w:rPr>
      </w:pPr>
      <w:r>
        <w:rPr>
          <w:rFonts w:hint="eastAsia" w:ascii="宋体" w:hAnsi="宋体" w:eastAsia="宋体" w:cs="宋体"/>
          <w:spacing w:val="2"/>
          <w:sz w:val="21"/>
          <w:szCs w:val="21"/>
        </w:rPr>
        <w:t>四、以经济体制改革为牵引推动高质量发展</w:t>
      </w:r>
    </w:p>
    <w:p w14:paraId="479AA60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党的二十届三中全会作出的一系列重大部署涵盖高质量发展的方方面面，强调进一步全面深化改革要以经济体制改革为牵引，释放了推动高质量发展的明确信号。针对</w:t>
      </w:r>
      <w:r>
        <w:rPr>
          <w:rFonts w:hint="eastAsia" w:ascii="宋体" w:hAnsi="宋体" w:eastAsia="宋体" w:cs="宋体"/>
          <w:spacing w:val="8"/>
          <w:sz w:val="21"/>
          <w:szCs w:val="21"/>
        </w:rPr>
        <w:t>推动高质量发展面临的不</w:t>
      </w:r>
      <w:r>
        <w:rPr>
          <w:rFonts w:hint="eastAsia" w:ascii="宋体" w:hAnsi="宋体" w:eastAsia="宋体" w:cs="宋体"/>
          <w:spacing w:val="5"/>
          <w:sz w:val="21"/>
          <w:szCs w:val="21"/>
        </w:rPr>
        <w:t>平衡不充分问题，要围绕以深化改革破除制约发展的体制机制障</w:t>
      </w:r>
      <w:r>
        <w:rPr>
          <w:rFonts w:hint="eastAsia" w:ascii="宋体" w:hAnsi="宋体" w:eastAsia="宋体" w:cs="宋体"/>
          <w:spacing w:val="4"/>
          <w:sz w:val="21"/>
          <w:szCs w:val="21"/>
        </w:rPr>
        <w:t>碍、大力发展新质生产力、重点发挥</w:t>
      </w:r>
      <w:r>
        <w:rPr>
          <w:rFonts w:hint="eastAsia" w:ascii="宋体" w:hAnsi="宋体" w:eastAsia="宋体" w:cs="宋体"/>
          <w:spacing w:val="9"/>
          <w:sz w:val="21"/>
          <w:szCs w:val="21"/>
        </w:rPr>
        <w:t>国有企业在推动高质量发展中的作用、引领非公有制经济健康发展和着力提高发展的平衡性协调性</w:t>
      </w:r>
      <w:r>
        <w:rPr>
          <w:rFonts w:hint="eastAsia" w:ascii="宋体" w:hAnsi="宋体" w:eastAsia="宋体" w:cs="宋体"/>
          <w:spacing w:val="2"/>
          <w:sz w:val="21"/>
          <w:szCs w:val="21"/>
        </w:rPr>
        <w:t>包容性等方面，采取有效措施加以应对。</w:t>
      </w:r>
    </w:p>
    <w:p w14:paraId="69AD9DB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textAlignment w:val="baseline"/>
        <w:rPr>
          <w:rFonts w:hint="eastAsia" w:ascii="宋体" w:hAnsi="宋体" w:eastAsia="宋体" w:cs="宋体"/>
          <w:sz w:val="21"/>
          <w:szCs w:val="21"/>
        </w:rPr>
      </w:pPr>
      <w:r>
        <w:rPr>
          <w:rFonts w:hint="eastAsia" w:ascii="宋体" w:hAnsi="宋体" w:eastAsia="宋体" w:cs="宋体"/>
          <w:spacing w:val="4"/>
          <w:sz w:val="21"/>
          <w:szCs w:val="21"/>
        </w:rPr>
        <w:t>（一）健全推动经济高质量发展体制机制</w:t>
      </w:r>
    </w:p>
    <w:p w14:paraId="513BB8A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r>
        <w:rPr>
          <w:rFonts w:hint="eastAsia" w:ascii="宋体" w:hAnsi="宋体" w:eastAsia="宋体" w:cs="宋体"/>
          <w:sz w:val="21"/>
          <w:szCs w:val="21"/>
        </w:rPr>
        <w:t>需要厘清制约高质量发展的体制机制障碍及其表现，剖析其深层</w:t>
      </w:r>
      <w:r>
        <w:rPr>
          <w:rFonts w:hint="eastAsia" w:ascii="宋体" w:hAnsi="宋体" w:eastAsia="宋体" w:cs="宋体"/>
          <w:spacing w:val="-1"/>
          <w:sz w:val="21"/>
          <w:szCs w:val="21"/>
        </w:rPr>
        <w:t>次原因，精准聚焦、靶向发力，推</w:t>
      </w:r>
      <w:r>
        <w:rPr>
          <w:rFonts w:hint="eastAsia" w:ascii="宋体" w:hAnsi="宋体" w:eastAsia="宋体" w:cs="宋体"/>
          <w:spacing w:val="6"/>
          <w:sz w:val="21"/>
          <w:szCs w:val="21"/>
        </w:rPr>
        <w:t>动改革向纵深发展，增强体制机制的系统性、整体性、协同性。一是要正确处理政</w:t>
      </w:r>
      <w:r>
        <w:rPr>
          <w:rFonts w:hint="eastAsia" w:ascii="宋体" w:hAnsi="宋体" w:eastAsia="宋体" w:cs="宋体"/>
          <w:spacing w:val="5"/>
          <w:sz w:val="21"/>
          <w:szCs w:val="21"/>
        </w:rPr>
        <w:t>府和市场的关系。</w:t>
      </w:r>
      <w:r>
        <w:rPr>
          <w:rFonts w:hint="eastAsia" w:ascii="宋体" w:hAnsi="宋体" w:eastAsia="宋体" w:cs="宋体"/>
          <w:sz w:val="21"/>
          <w:szCs w:val="21"/>
        </w:rPr>
        <w:t>党的二十届三中全会强调，必须更好发挥市场机制作用，创造更加公平、更有活力的市场环境，实现资</w:t>
      </w:r>
      <w:r>
        <w:rPr>
          <w:rFonts w:hint="eastAsia" w:ascii="宋体" w:hAnsi="宋体" w:eastAsia="宋体" w:cs="宋体"/>
          <w:spacing w:val="-4"/>
          <w:sz w:val="21"/>
          <w:szCs w:val="21"/>
        </w:rPr>
        <w:t>源配置效率最优化和效益最大化，既“放得活”又“管得住”，更好维护市场秩</w:t>
      </w:r>
      <w:r>
        <w:rPr>
          <w:rFonts w:hint="eastAsia" w:ascii="宋体" w:hAnsi="宋体" w:eastAsia="宋体" w:cs="宋体"/>
          <w:spacing w:val="-5"/>
          <w:sz w:val="21"/>
          <w:szCs w:val="21"/>
        </w:rPr>
        <w:t>序、弥补市场失灵，畅通</w:t>
      </w:r>
      <w:r>
        <w:rPr>
          <w:rFonts w:hint="eastAsia" w:ascii="宋体" w:hAnsi="宋体" w:eastAsia="宋体" w:cs="宋体"/>
          <w:spacing w:val="8"/>
          <w:sz w:val="21"/>
          <w:szCs w:val="21"/>
        </w:rPr>
        <w:t>国民经济循环，激发全社会内生动力和创新活力。</w:t>
      </w:r>
      <w:r>
        <w:rPr>
          <w:rStyle w:val="20"/>
          <w:rFonts w:hint="eastAsia" w:ascii="宋体" w:hAnsi="宋体" w:eastAsia="宋体" w:cs="宋体"/>
          <w:spacing w:val="8"/>
          <w:sz w:val="21"/>
          <w:szCs w:val="21"/>
        </w:rPr>
        <w:footnoteReference w:id="996"/>
      </w:r>
      <w:r>
        <w:rPr>
          <w:rFonts w:hint="eastAsia" w:ascii="宋体" w:hAnsi="宋体" w:eastAsia="宋体" w:cs="宋体"/>
          <w:spacing w:val="8"/>
          <w:sz w:val="21"/>
          <w:szCs w:val="21"/>
        </w:rPr>
        <w:t>在充分发挥市场在资源配置中的决定性作用的</w:t>
      </w:r>
      <w:r>
        <w:rPr>
          <w:rFonts w:hint="eastAsia" w:ascii="宋体" w:hAnsi="宋体" w:eastAsia="宋体" w:cs="宋体"/>
          <w:sz w:val="21"/>
          <w:szCs w:val="21"/>
        </w:rPr>
        <w:t>基础上，政府要发挥好监管和规范作用，加快破除体制机制障碍，促进市场经济良性、健康和可持续发</w:t>
      </w:r>
      <w:r>
        <w:rPr>
          <w:rFonts w:hint="eastAsia" w:ascii="宋体" w:hAnsi="宋体" w:eastAsia="宋体" w:cs="宋体"/>
          <w:spacing w:val="4"/>
          <w:sz w:val="21"/>
          <w:szCs w:val="21"/>
        </w:rPr>
        <w:t>展。政府还要遵循经济社会发展规律，从经济社会发展需要出发、从满足全体人民根本利益的需要出</w:t>
      </w:r>
      <w:r>
        <w:rPr>
          <w:rFonts w:hint="eastAsia" w:ascii="宋体" w:hAnsi="宋体" w:eastAsia="宋体" w:cs="宋体"/>
          <w:spacing w:val="8"/>
          <w:sz w:val="21"/>
          <w:szCs w:val="21"/>
        </w:rPr>
        <w:t>发进行高质量发展规划，以规划和战略引领经济发展。</w:t>
      </w:r>
      <w:r>
        <w:rPr>
          <w:rStyle w:val="20"/>
          <w:rFonts w:hint="eastAsia" w:ascii="宋体" w:hAnsi="宋体" w:eastAsia="宋体" w:cs="宋体"/>
          <w:spacing w:val="8"/>
          <w:sz w:val="21"/>
          <w:szCs w:val="21"/>
        </w:rPr>
        <w:footnoteReference w:id="997"/>
      </w:r>
      <w:r>
        <w:rPr>
          <w:rFonts w:hint="eastAsia" w:ascii="宋体" w:hAnsi="宋体" w:eastAsia="宋体" w:cs="宋体"/>
          <w:spacing w:val="8"/>
          <w:sz w:val="21"/>
          <w:szCs w:val="21"/>
        </w:rPr>
        <w:t>二是要统筹扩大内需和深化供给侧结构性改革。供给和需求是经济发展的一体两面。在当前供需动态平衡发生变化的条件下，要统筹推进扩</w:t>
      </w:r>
      <w:r>
        <w:rPr>
          <w:rFonts w:hint="eastAsia" w:ascii="宋体" w:hAnsi="宋体" w:eastAsia="宋体" w:cs="宋体"/>
          <w:spacing w:val="4"/>
          <w:sz w:val="21"/>
          <w:szCs w:val="21"/>
        </w:rPr>
        <w:t>大内需和优化供给，打通影响两者结合的断点堵点卡点，发挥超大规模市场和强大生产能力优势。各</w:t>
      </w:r>
      <w:r>
        <w:rPr>
          <w:rFonts w:hint="eastAsia" w:ascii="宋体" w:hAnsi="宋体" w:eastAsia="宋体" w:cs="宋体"/>
          <w:sz w:val="21"/>
          <w:szCs w:val="21"/>
        </w:rPr>
        <w:t>地区各部门要统筹兼顾、协同发力，立足需求扩张和提档升级持续优化供给，供需两端同时发力、协调配合，形成供需深度融合，畅通供需高质量循环，实现供给与需求更高水平动态平衡，推动经济行稳致</w:t>
      </w:r>
      <w:r>
        <w:rPr>
          <w:rFonts w:hint="eastAsia" w:ascii="宋体" w:hAnsi="宋体" w:eastAsia="宋体" w:cs="宋体"/>
          <w:spacing w:val="3"/>
          <w:sz w:val="21"/>
          <w:szCs w:val="21"/>
        </w:rPr>
        <w:t>远。三是要深化科技体制改革，强化创新驱动。坚持面向世界科技前沿、面向经济主战场、面向国家</w:t>
      </w:r>
      <w:r>
        <w:rPr>
          <w:rFonts w:hint="eastAsia" w:ascii="宋体" w:hAnsi="宋体" w:eastAsia="宋体" w:cs="宋体"/>
          <w:sz w:val="21"/>
          <w:szCs w:val="21"/>
        </w:rPr>
        <w:t>重大需求、面向人民生命健康，优化重大科技创新组织机制，统筹强化关键核心技术攻关，推动科技创</w:t>
      </w:r>
      <w:r>
        <w:rPr>
          <w:rFonts w:hint="eastAsia" w:ascii="宋体" w:hAnsi="宋体" w:eastAsia="宋体" w:cs="宋体"/>
          <w:spacing w:val="-8"/>
          <w:sz w:val="21"/>
          <w:szCs w:val="21"/>
        </w:rPr>
        <w:t>新力量、要素配置、人才队伍体系化、建制化、协同化。</w:t>
      </w:r>
    </w:p>
    <w:p w14:paraId="5168148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textAlignment w:val="baseline"/>
        <w:rPr>
          <w:rFonts w:hint="eastAsia" w:ascii="宋体" w:hAnsi="宋体" w:eastAsia="宋体" w:cs="宋体"/>
          <w:sz w:val="21"/>
          <w:szCs w:val="21"/>
        </w:rPr>
      </w:pPr>
      <w:r>
        <w:rPr>
          <w:rFonts w:hint="eastAsia" w:ascii="宋体" w:hAnsi="宋体" w:eastAsia="宋体" w:cs="宋体"/>
          <w:spacing w:val="1"/>
          <w:sz w:val="21"/>
          <w:szCs w:val="21"/>
        </w:rPr>
        <w:t>（二）发展新质生产力助推高质量发展</w:t>
      </w:r>
    </w:p>
    <w:p w14:paraId="42DDE1D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发展新质生产力，要通过深化改革加快形成同新质生产力更相</w:t>
      </w:r>
      <w:r>
        <w:rPr>
          <w:rFonts w:hint="eastAsia" w:ascii="宋体" w:hAnsi="宋体" w:eastAsia="宋体" w:cs="宋体"/>
          <w:spacing w:val="8"/>
          <w:sz w:val="21"/>
          <w:szCs w:val="21"/>
        </w:rPr>
        <w:t>适应的生产关系。党的二十届三</w:t>
      </w:r>
      <w:r>
        <w:rPr>
          <w:rFonts w:hint="eastAsia" w:ascii="宋体" w:hAnsi="宋体" w:eastAsia="宋体" w:cs="宋体"/>
          <w:spacing w:val="4"/>
          <w:sz w:val="21"/>
          <w:szCs w:val="21"/>
        </w:rPr>
        <w:t>中全会强调健全因地制宜发展新质生产力体制机制，作出“加强新领域新赛道制度供给”“建立未来产业投入增长机制”“以国家标准提升引领传统产业优化升级”等一系列部署，以发展新质生</w:t>
      </w:r>
      <w:r>
        <w:rPr>
          <w:rFonts w:hint="eastAsia" w:ascii="宋体" w:hAnsi="宋体" w:eastAsia="宋体" w:cs="宋体"/>
          <w:spacing w:val="3"/>
          <w:sz w:val="21"/>
          <w:szCs w:val="21"/>
        </w:rPr>
        <w:t>产力助</w:t>
      </w:r>
      <w:r>
        <w:rPr>
          <w:rFonts w:hint="eastAsia" w:ascii="宋体" w:hAnsi="宋体" w:eastAsia="宋体" w:cs="宋体"/>
          <w:spacing w:val="8"/>
          <w:sz w:val="21"/>
          <w:szCs w:val="21"/>
        </w:rPr>
        <w:t>推高质量发展。一是要加快传统产业改造升级。建立以国家标准为引领的新型产业评估体系，引领</w:t>
      </w:r>
      <w:r>
        <w:rPr>
          <w:rFonts w:hint="eastAsia" w:ascii="宋体" w:hAnsi="宋体" w:eastAsia="宋体" w:cs="宋体"/>
          <w:spacing w:val="4"/>
          <w:sz w:val="21"/>
          <w:szCs w:val="21"/>
        </w:rPr>
        <w:t>传统产业优化升级。通过引进新技术、新工艺和新装备，提升传统产业的生产效率和产品质量，实现</w:t>
      </w:r>
      <w:r>
        <w:rPr>
          <w:rFonts w:hint="eastAsia" w:ascii="宋体" w:hAnsi="宋体" w:eastAsia="宋体" w:cs="宋体"/>
          <w:spacing w:val="13"/>
          <w:sz w:val="21"/>
          <w:szCs w:val="21"/>
        </w:rPr>
        <w:t>产业结构的优化升级。二是要大力发展新兴产业。依托战略性新兴产业集群的集聚效应和溢出效</w:t>
      </w:r>
      <w:r>
        <w:rPr>
          <w:rFonts w:hint="eastAsia" w:ascii="宋体" w:hAnsi="宋体" w:eastAsia="宋体" w:cs="宋体"/>
          <w:spacing w:val="-8"/>
          <w:sz w:val="21"/>
          <w:szCs w:val="21"/>
        </w:rPr>
        <w:t>应，推动新产业、新业态的培育和发展，催生新产业、新模式</w:t>
      </w:r>
      <w:r>
        <w:rPr>
          <w:rFonts w:hint="eastAsia" w:ascii="宋体" w:hAnsi="宋体" w:eastAsia="宋体" w:cs="宋体"/>
          <w:spacing w:val="-9"/>
          <w:sz w:val="21"/>
          <w:szCs w:val="21"/>
        </w:rPr>
        <w:t>、新动能，发展以高技术、高效能、高质量为</w:t>
      </w:r>
      <w:r>
        <w:rPr>
          <w:rFonts w:hint="eastAsia" w:ascii="宋体" w:hAnsi="宋体" w:eastAsia="宋体" w:cs="宋体"/>
          <w:sz w:val="21"/>
          <w:szCs w:val="21"/>
        </w:rPr>
        <w:t>特征的生产力。要聚焦新能源、新材料、高端装</w:t>
      </w:r>
      <w:r>
        <w:rPr>
          <w:rFonts w:hint="eastAsia" w:ascii="宋体" w:hAnsi="宋体" w:eastAsia="宋体" w:cs="宋体"/>
          <w:spacing w:val="-1"/>
          <w:sz w:val="21"/>
          <w:szCs w:val="21"/>
        </w:rPr>
        <w:t>备、新能源汽车等战略性新兴产业，沿着低空经济、数</w:t>
      </w:r>
      <w:r>
        <w:rPr>
          <w:rFonts w:hint="eastAsia" w:ascii="宋体" w:hAnsi="宋体" w:eastAsia="宋体" w:cs="宋体"/>
          <w:spacing w:val="9"/>
          <w:sz w:val="21"/>
          <w:szCs w:val="21"/>
        </w:rPr>
        <w:t>字经济等发展方向，加快关键核心技术创新应用，促进新兴产业快速发展</w:t>
      </w:r>
      <w:r>
        <w:rPr>
          <w:rFonts w:hint="eastAsia" w:ascii="宋体" w:hAnsi="宋体" w:eastAsia="宋体" w:cs="宋体"/>
          <w:spacing w:val="8"/>
          <w:sz w:val="21"/>
          <w:szCs w:val="21"/>
        </w:rPr>
        <w:t>。三是要加快布局未来产</w:t>
      </w:r>
      <w:r>
        <w:rPr>
          <w:rFonts w:hint="eastAsia" w:ascii="宋体" w:hAnsi="宋体" w:eastAsia="宋体" w:cs="宋体"/>
          <w:spacing w:val="4"/>
          <w:sz w:val="21"/>
          <w:szCs w:val="21"/>
        </w:rPr>
        <w:t>业。要注重前瞻部署和梯次培育，加快打造标志性产品，建立未来产业投入增长机制，完善推动新一</w:t>
      </w:r>
      <w:r>
        <w:rPr>
          <w:rFonts w:hint="eastAsia" w:ascii="宋体" w:hAnsi="宋体" w:eastAsia="宋体" w:cs="宋体"/>
          <w:sz w:val="21"/>
          <w:szCs w:val="21"/>
        </w:rPr>
        <w:t>代信息技术、人工智能、航空航天、生物医药、量子科技等产业发展政策和治理体系，引导新兴产业健</w:t>
      </w:r>
      <w:r>
        <w:rPr>
          <w:rFonts w:hint="eastAsia" w:ascii="宋体" w:hAnsi="宋体" w:eastAsia="宋体" w:cs="宋体"/>
          <w:spacing w:val="3"/>
          <w:sz w:val="21"/>
          <w:szCs w:val="21"/>
        </w:rPr>
        <w:t>康有序发展。四是强化“因地制宜”发展新质生产力的导向。各地</w:t>
      </w:r>
      <w:r>
        <w:rPr>
          <w:rFonts w:hint="eastAsia" w:ascii="宋体" w:hAnsi="宋体" w:eastAsia="宋体" w:cs="宋体"/>
          <w:spacing w:val="2"/>
          <w:sz w:val="21"/>
          <w:szCs w:val="21"/>
        </w:rPr>
        <w:t>要坚持从实际出发，结合自身资源</w:t>
      </w:r>
      <w:r>
        <w:rPr>
          <w:rFonts w:hint="eastAsia" w:ascii="宋体" w:hAnsi="宋体" w:eastAsia="宋体" w:cs="宋体"/>
          <w:sz w:val="21"/>
          <w:szCs w:val="21"/>
        </w:rPr>
        <w:t>禀赋、现有产业基础、科技水平等现实条件，遵循生产力发展的客观规律，尊重发展新质生产力的多样</w:t>
      </w:r>
      <w:r>
        <w:rPr>
          <w:rFonts w:hint="eastAsia" w:ascii="宋体" w:hAnsi="宋体" w:eastAsia="宋体" w:cs="宋体"/>
          <w:spacing w:val="-4"/>
          <w:sz w:val="21"/>
          <w:szCs w:val="21"/>
        </w:rPr>
        <w:t>性、特殊性和差异性，注重长远谋划，稳中求进，务求实效，促进传统产业转</w:t>
      </w:r>
      <w:r>
        <w:rPr>
          <w:rFonts w:hint="eastAsia" w:ascii="宋体" w:hAnsi="宋体" w:eastAsia="宋体" w:cs="宋体"/>
          <w:spacing w:val="-5"/>
          <w:sz w:val="21"/>
          <w:szCs w:val="21"/>
        </w:rPr>
        <w:t>型升级，有选择地发展新兴</w:t>
      </w:r>
      <w:r>
        <w:rPr>
          <w:rFonts w:hint="eastAsia" w:ascii="宋体" w:hAnsi="宋体" w:eastAsia="宋体" w:cs="宋体"/>
          <w:sz w:val="21"/>
          <w:szCs w:val="21"/>
        </w:rPr>
        <w:t>产业，稳妥布局未来产业，推动地方经济高质量发展。</w:t>
      </w:r>
    </w:p>
    <w:p w14:paraId="0DC87A0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textAlignment w:val="baseline"/>
        <w:rPr>
          <w:rFonts w:hint="eastAsia" w:ascii="宋体" w:hAnsi="宋体" w:eastAsia="宋体" w:cs="宋体"/>
          <w:sz w:val="21"/>
          <w:szCs w:val="21"/>
        </w:rPr>
      </w:pPr>
      <w:r>
        <w:rPr>
          <w:rFonts w:hint="eastAsia" w:ascii="宋体" w:hAnsi="宋体" w:eastAsia="宋体" w:cs="宋体"/>
          <w:spacing w:val="4"/>
          <w:sz w:val="21"/>
          <w:szCs w:val="21"/>
        </w:rPr>
        <w:t>（三）发挥国有企业在推动高质量发展中的作用</w:t>
      </w:r>
    </w:p>
    <w:p w14:paraId="75EE088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国有企业在推动高质量发展中要发挥排头兵作用，要在打造原创技术策源地和实</w:t>
      </w:r>
      <w:r>
        <w:rPr>
          <w:rFonts w:hint="eastAsia" w:ascii="宋体" w:hAnsi="宋体" w:eastAsia="宋体" w:cs="宋体"/>
          <w:spacing w:val="8"/>
          <w:sz w:val="21"/>
          <w:szCs w:val="21"/>
        </w:rPr>
        <w:t>现科技自立自</w:t>
      </w:r>
      <w:r>
        <w:rPr>
          <w:rFonts w:hint="eastAsia" w:ascii="宋体" w:hAnsi="宋体" w:eastAsia="宋体" w:cs="宋体"/>
          <w:spacing w:val="10"/>
          <w:sz w:val="21"/>
          <w:szCs w:val="21"/>
        </w:rPr>
        <w:t>强中体现国有企业的担当作为，要在构建自</w:t>
      </w:r>
      <w:r>
        <w:rPr>
          <w:rFonts w:hint="eastAsia" w:ascii="宋体" w:hAnsi="宋体" w:eastAsia="宋体" w:cs="宋体"/>
          <w:spacing w:val="9"/>
          <w:sz w:val="21"/>
          <w:szCs w:val="21"/>
        </w:rPr>
        <w:t>主可控的现代化产业链体系和安全稳定的供应链体系中</w:t>
      </w:r>
      <w:r>
        <w:rPr>
          <w:rFonts w:hint="eastAsia" w:ascii="宋体" w:hAnsi="宋体" w:eastAsia="宋体" w:cs="宋体"/>
          <w:spacing w:val="8"/>
          <w:sz w:val="21"/>
          <w:szCs w:val="21"/>
        </w:rPr>
        <w:t>发挥国有企业的重要支撑作用，要在推动共同富裕中彰显国有企业的责任担当。</w:t>
      </w:r>
      <w:r>
        <w:rPr>
          <w:rStyle w:val="20"/>
          <w:rFonts w:hint="eastAsia" w:ascii="宋体" w:hAnsi="宋体" w:eastAsia="宋体" w:cs="宋体"/>
          <w:spacing w:val="8"/>
          <w:sz w:val="21"/>
          <w:szCs w:val="21"/>
        </w:rPr>
        <w:footnoteReference w:id="998"/>
      </w:r>
      <w:r>
        <w:rPr>
          <w:rFonts w:hint="eastAsia" w:ascii="宋体" w:hAnsi="宋体" w:eastAsia="宋体" w:cs="宋体"/>
          <w:spacing w:val="8"/>
          <w:sz w:val="21"/>
          <w:szCs w:val="21"/>
        </w:rPr>
        <w:t>一是要在打造原</w:t>
      </w:r>
      <w:r>
        <w:rPr>
          <w:rFonts w:hint="eastAsia" w:ascii="宋体" w:hAnsi="宋体" w:eastAsia="宋体" w:cs="宋体"/>
          <w:spacing w:val="13"/>
          <w:sz w:val="21"/>
          <w:szCs w:val="21"/>
        </w:rPr>
        <w:t>创技术策源地和实现科技自立自强中体现国有企业的担当作为。国有企业要积极响应国家战略需</w:t>
      </w:r>
      <w:r>
        <w:rPr>
          <w:rFonts w:hint="eastAsia" w:ascii="宋体" w:hAnsi="宋体" w:eastAsia="宋体" w:cs="宋体"/>
          <w:sz w:val="21"/>
          <w:szCs w:val="21"/>
        </w:rPr>
        <w:t>求，主动承担关键核心技术攻关任务，通过自主研发和创新，突破技术瓶颈，为国家科技进步和经济发</w:t>
      </w:r>
      <w:r>
        <w:rPr>
          <w:rFonts w:hint="eastAsia" w:ascii="宋体" w:hAnsi="宋体" w:eastAsia="宋体" w:cs="宋体"/>
          <w:spacing w:val="4"/>
          <w:sz w:val="21"/>
          <w:szCs w:val="21"/>
        </w:rPr>
        <w:t>展提供有力支撑。要加大科研投入力度，提高研发经费占比，同时优化研发资源配置，确保关键领域核心技术的研发得到优先支持，切实解决“卡脖子”问题</w:t>
      </w:r>
      <w:r>
        <w:rPr>
          <w:rFonts w:hint="eastAsia" w:ascii="宋体" w:hAnsi="宋体" w:eastAsia="宋体" w:cs="宋体"/>
          <w:spacing w:val="3"/>
          <w:sz w:val="21"/>
          <w:szCs w:val="21"/>
        </w:rPr>
        <w:t>，形成具有自主知识产权的原创技术。二是</w:t>
      </w:r>
      <w:r>
        <w:rPr>
          <w:rFonts w:hint="eastAsia" w:ascii="宋体" w:hAnsi="宋体" w:eastAsia="宋体" w:cs="宋体"/>
          <w:spacing w:val="11"/>
          <w:sz w:val="21"/>
          <w:szCs w:val="21"/>
        </w:rPr>
        <w:t>要在构建自主可控的现代化产业链体系和安全稳定的供应链体系中发挥国有企业的重要支撑作用。</w:t>
      </w:r>
      <w:r>
        <w:rPr>
          <w:rFonts w:hint="eastAsia" w:ascii="宋体" w:hAnsi="宋体" w:eastAsia="宋体" w:cs="宋体"/>
          <w:sz w:val="21"/>
          <w:szCs w:val="21"/>
        </w:rPr>
        <w:t>国有企业应发挥自身优势，围绕主导产业和关键领域，优化产业链布局，形成上下游协同、优势互补的</w:t>
      </w:r>
      <w:r>
        <w:rPr>
          <w:rFonts w:hint="eastAsia" w:ascii="宋体" w:hAnsi="宋体" w:eastAsia="宋体" w:cs="宋体"/>
          <w:spacing w:val="-1"/>
          <w:sz w:val="21"/>
          <w:szCs w:val="21"/>
        </w:rPr>
        <w:t>产业链生态。通过兼并重组、战略合作等方式，整合产业链资源，提升产业链整体竞争力。同</w:t>
      </w:r>
      <w:r>
        <w:rPr>
          <w:rFonts w:hint="eastAsia" w:ascii="宋体" w:hAnsi="宋体" w:eastAsia="宋体" w:cs="宋体"/>
          <w:spacing w:val="-2"/>
          <w:sz w:val="21"/>
          <w:szCs w:val="21"/>
        </w:rPr>
        <w:t>时，国有</w:t>
      </w:r>
      <w:r>
        <w:rPr>
          <w:rFonts w:hint="eastAsia" w:ascii="宋体" w:hAnsi="宋体" w:eastAsia="宋体" w:cs="宋体"/>
          <w:spacing w:val="5"/>
          <w:sz w:val="21"/>
          <w:szCs w:val="21"/>
        </w:rPr>
        <w:t>企业还应建立健全供应链风险预警和应对机制，加强供应链关键环节</w:t>
      </w:r>
      <w:r>
        <w:rPr>
          <w:rFonts w:hint="eastAsia" w:ascii="宋体" w:hAnsi="宋体" w:eastAsia="宋体" w:cs="宋体"/>
          <w:spacing w:val="4"/>
          <w:sz w:val="21"/>
          <w:szCs w:val="21"/>
        </w:rPr>
        <w:t>和节点的监测和管控，确保供应</w:t>
      </w:r>
      <w:r>
        <w:rPr>
          <w:rFonts w:hint="eastAsia" w:ascii="宋体" w:hAnsi="宋体" w:eastAsia="宋体" w:cs="宋体"/>
          <w:spacing w:val="10"/>
          <w:sz w:val="21"/>
          <w:szCs w:val="21"/>
        </w:rPr>
        <w:t>链稳定运行。三是要在推动共同富裕中彰显国有企业的责任担当。扎实推动共同富裕的首要政策，</w:t>
      </w:r>
      <w:r>
        <w:rPr>
          <w:rFonts w:hint="eastAsia" w:ascii="宋体" w:hAnsi="宋体" w:eastAsia="宋体" w:cs="宋体"/>
          <w:spacing w:val="8"/>
          <w:sz w:val="21"/>
          <w:szCs w:val="21"/>
        </w:rPr>
        <w:t>便是必须在产权方面采取有效措施，做强做优做大国有企业和国有资本。</w:t>
      </w:r>
      <w:r>
        <w:rPr>
          <w:rStyle w:val="20"/>
          <w:rFonts w:hint="eastAsia" w:ascii="宋体" w:hAnsi="宋体" w:eastAsia="宋体" w:cs="宋体"/>
          <w:spacing w:val="8"/>
          <w:sz w:val="21"/>
          <w:szCs w:val="21"/>
        </w:rPr>
        <w:footnoteReference w:id="999"/>
      </w:r>
      <w:r>
        <w:rPr>
          <w:rFonts w:hint="eastAsia" w:ascii="宋体" w:hAnsi="宋体" w:eastAsia="宋体" w:cs="宋体"/>
          <w:spacing w:val="8"/>
          <w:sz w:val="21"/>
          <w:szCs w:val="21"/>
        </w:rPr>
        <w:t>要加强国有资产和国有</w:t>
      </w:r>
      <w:r>
        <w:rPr>
          <w:rFonts w:hint="eastAsia" w:ascii="宋体" w:hAnsi="宋体" w:eastAsia="宋体" w:cs="宋体"/>
          <w:spacing w:val="5"/>
          <w:sz w:val="21"/>
          <w:szCs w:val="21"/>
        </w:rPr>
        <w:t>资本监管，完善符合我国国情、具有中国特色、适应市场经济规律和</w:t>
      </w:r>
      <w:r>
        <w:rPr>
          <w:rFonts w:hint="eastAsia" w:ascii="宋体" w:hAnsi="宋体" w:eastAsia="宋体" w:cs="宋体"/>
          <w:spacing w:val="4"/>
          <w:sz w:val="21"/>
          <w:szCs w:val="21"/>
        </w:rPr>
        <w:t>企业发展规律的国有资产和国有</w:t>
      </w:r>
      <w:r>
        <w:rPr>
          <w:rFonts w:hint="eastAsia" w:ascii="宋体" w:hAnsi="宋体" w:eastAsia="宋体" w:cs="宋体"/>
          <w:spacing w:val="8"/>
          <w:sz w:val="21"/>
          <w:szCs w:val="21"/>
        </w:rPr>
        <w:t>资本监管体制，把本质上是全民所有制的国有企业和全体人民共同的宝贵财富管好用好。</w:t>
      </w:r>
      <w:r>
        <w:rPr>
          <w:rStyle w:val="20"/>
          <w:rFonts w:hint="eastAsia" w:ascii="宋体" w:hAnsi="宋体" w:eastAsia="宋体" w:cs="宋体"/>
          <w:spacing w:val="8"/>
          <w:sz w:val="21"/>
          <w:szCs w:val="21"/>
        </w:rPr>
        <w:footnoteReference w:id="1000"/>
      </w:r>
      <w:r>
        <w:rPr>
          <w:rFonts w:hint="eastAsia" w:ascii="宋体" w:hAnsi="宋体" w:eastAsia="宋体" w:cs="宋体"/>
          <w:spacing w:val="8"/>
          <w:sz w:val="21"/>
          <w:szCs w:val="21"/>
        </w:rPr>
        <w:t>更重要</w:t>
      </w:r>
      <w:r>
        <w:rPr>
          <w:rFonts w:hint="eastAsia" w:ascii="宋体" w:hAnsi="宋体" w:eastAsia="宋体" w:cs="宋体"/>
          <w:spacing w:val="5"/>
          <w:sz w:val="21"/>
          <w:szCs w:val="21"/>
        </w:rPr>
        <w:t>的是发挥好基础设施建设的主力军作用、公共服务的压舱石作用、稳</w:t>
      </w:r>
      <w:r>
        <w:rPr>
          <w:rFonts w:hint="eastAsia" w:ascii="宋体" w:hAnsi="宋体" w:eastAsia="宋体" w:cs="宋体"/>
          <w:spacing w:val="4"/>
          <w:sz w:val="21"/>
          <w:szCs w:val="21"/>
        </w:rPr>
        <w:t>就业的蓄水池作用，为缩小财富</w:t>
      </w:r>
      <w:r>
        <w:rPr>
          <w:rFonts w:hint="eastAsia" w:ascii="宋体" w:hAnsi="宋体" w:eastAsia="宋体" w:cs="宋体"/>
          <w:spacing w:val="2"/>
          <w:sz w:val="21"/>
          <w:szCs w:val="21"/>
        </w:rPr>
        <w:t>和收入分配差距、促进共同富裕做出更加积极的贡献，维护社会稳定。</w:t>
      </w:r>
    </w:p>
    <w:p w14:paraId="6C05A16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textAlignment w:val="baseline"/>
        <w:rPr>
          <w:rFonts w:hint="eastAsia" w:ascii="宋体" w:hAnsi="宋体" w:eastAsia="宋体" w:cs="宋体"/>
          <w:sz w:val="21"/>
          <w:szCs w:val="21"/>
        </w:rPr>
      </w:pPr>
      <w:r>
        <w:rPr>
          <w:rFonts w:hint="eastAsia" w:ascii="宋体" w:hAnsi="宋体" w:eastAsia="宋体" w:cs="宋体"/>
          <w:spacing w:val="2"/>
          <w:sz w:val="21"/>
          <w:szCs w:val="21"/>
        </w:rPr>
        <w:t>（四）引领非公有制经济健康发展</w:t>
      </w:r>
    </w:p>
    <w:p w14:paraId="690ED4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spacing w:val="9"/>
          <w:sz w:val="21"/>
          <w:szCs w:val="21"/>
        </w:rPr>
        <w:t>非公有制经济是社会主义市场经济的重要组成部分，促进非公有制经济健康发展和民营企业家</w:t>
      </w:r>
      <w:r>
        <w:rPr>
          <w:rFonts w:hint="eastAsia" w:ascii="宋体" w:hAnsi="宋体" w:eastAsia="宋体" w:cs="宋体"/>
          <w:spacing w:val="1"/>
          <w:sz w:val="21"/>
          <w:szCs w:val="21"/>
        </w:rPr>
        <w:t>健康成长，才能不断为经济社会发展增动力、添活力。要不断完善落实“两个毫不动摇”的体制机</w:t>
      </w:r>
      <w:r>
        <w:rPr>
          <w:rFonts w:hint="eastAsia" w:ascii="宋体" w:hAnsi="宋体" w:eastAsia="宋体" w:cs="宋体"/>
          <w:sz w:val="21"/>
          <w:szCs w:val="21"/>
        </w:rPr>
        <w:t>制，</w:t>
      </w:r>
      <w:r>
        <w:rPr>
          <w:rFonts w:hint="eastAsia" w:ascii="宋体" w:hAnsi="宋体" w:eastAsia="宋体" w:cs="宋体"/>
          <w:spacing w:val="9"/>
          <w:sz w:val="21"/>
          <w:szCs w:val="21"/>
        </w:rPr>
        <w:t>坚持致力于为非公有制经济发展营造良好环境和提供更多机会的方针政策。</w:t>
      </w:r>
      <w:r>
        <w:rPr>
          <w:rFonts w:hint="eastAsia" w:ascii="宋体" w:hAnsi="宋体" w:eastAsia="宋体" w:cs="宋体"/>
          <w:spacing w:val="8"/>
          <w:sz w:val="21"/>
          <w:szCs w:val="21"/>
        </w:rPr>
        <w:t>但同时，要正确认识与</w:t>
      </w:r>
      <w:r>
        <w:rPr>
          <w:rFonts w:hint="eastAsia" w:ascii="宋体" w:hAnsi="宋体" w:eastAsia="宋体" w:cs="宋体"/>
          <w:spacing w:val="9"/>
          <w:sz w:val="21"/>
          <w:szCs w:val="21"/>
        </w:rPr>
        <w:t>非公有制经济相伴的资本的特性和行为规律，一方面支持和引导非公有制经济和资本的规范健康发</w:t>
      </w:r>
      <w:r>
        <w:rPr>
          <w:rFonts w:hint="eastAsia" w:ascii="宋体" w:hAnsi="宋体" w:eastAsia="宋体" w:cs="宋体"/>
          <w:spacing w:val="4"/>
          <w:sz w:val="21"/>
          <w:szCs w:val="21"/>
        </w:rPr>
        <w:t>展，另一方面依法加强对资本的有效监管，防止资本野蛮</w:t>
      </w:r>
      <w:r>
        <w:rPr>
          <w:rFonts w:hint="eastAsia" w:ascii="宋体" w:hAnsi="宋体" w:eastAsia="宋体" w:cs="宋体"/>
          <w:spacing w:val="3"/>
          <w:sz w:val="21"/>
          <w:szCs w:val="21"/>
        </w:rPr>
        <w:t>生长。</w:t>
      </w:r>
      <w:r>
        <w:rPr>
          <w:rStyle w:val="20"/>
          <w:rFonts w:hint="eastAsia" w:ascii="宋体" w:hAnsi="宋体" w:eastAsia="宋体" w:cs="宋体"/>
          <w:spacing w:val="3"/>
          <w:sz w:val="21"/>
          <w:szCs w:val="21"/>
        </w:rPr>
        <w:footnoteReference w:id="1001"/>
      </w:r>
      <w:r>
        <w:rPr>
          <w:rFonts w:hint="eastAsia" w:ascii="宋体" w:hAnsi="宋体" w:eastAsia="宋体" w:cs="宋体"/>
          <w:spacing w:val="3"/>
          <w:sz w:val="21"/>
          <w:szCs w:val="21"/>
        </w:rPr>
        <w:t>一是要创造更加公平、更有活力的</w:t>
      </w:r>
      <w:r>
        <w:rPr>
          <w:rFonts w:hint="eastAsia" w:ascii="宋体" w:hAnsi="宋体" w:eastAsia="宋体" w:cs="宋体"/>
          <w:spacing w:val="-4"/>
          <w:sz w:val="21"/>
          <w:szCs w:val="21"/>
        </w:rPr>
        <w:t>市场环境，实现资源配置效率最优化和效益最大化，既“放得活”又“管得住”</w:t>
      </w:r>
      <w:r>
        <w:rPr>
          <w:rFonts w:hint="eastAsia" w:ascii="宋体" w:hAnsi="宋体" w:eastAsia="宋体" w:cs="宋体"/>
          <w:spacing w:val="-5"/>
          <w:sz w:val="21"/>
          <w:szCs w:val="21"/>
        </w:rPr>
        <w:t>。同时，要更好维护市场</w:t>
      </w:r>
      <w:r>
        <w:rPr>
          <w:rFonts w:hint="eastAsia" w:ascii="宋体" w:hAnsi="宋体" w:eastAsia="宋体" w:cs="宋体"/>
          <w:spacing w:val="5"/>
          <w:sz w:val="21"/>
          <w:szCs w:val="21"/>
        </w:rPr>
        <w:t>秩序、弥补市场失灵，确保不同所有制经济依法平等地使用各种生</w:t>
      </w:r>
      <w:r>
        <w:rPr>
          <w:rFonts w:hint="eastAsia" w:ascii="宋体" w:hAnsi="宋体" w:eastAsia="宋体" w:cs="宋体"/>
          <w:spacing w:val="4"/>
          <w:sz w:val="21"/>
          <w:szCs w:val="21"/>
        </w:rPr>
        <w:t>产要素，维护市场竞争公平和准入公平，促进多种所有制经济共同发展，畅通国民经济循环，激发全社会内生动力和创新活力。二是要</w:t>
      </w:r>
      <w:r>
        <w:rPr>
          <w:rFonts w:hint="eastAsia" w:ascii="宋体" w:hAnsi="宋体" w:eastAsia="宋体" w:cs="宋体"/>
          <w:sz w:val="21"/>
          <w:szCs w:val="21"/>
        </w:rPr>
        <w:t>支持和引导非公有制经济和资本的规范健康发展，着重引导超越以“私人利益本位”为特征的资本主义逐利观，促使其积极参与实现共同富裕的伟大进程。三是要依法加强对资本的</w:t>
      </w:r>
      <w:r>
        <w:rPr>
          <w:rFonts w:hint="eastAsia" w:ascii="宋体" w:hAnsi="宋体" w:eastAsia="宋体" w:cs="宋体"/>
          <w:spacing w:val="-1"/>
          <w:sz w:val="21"/>
          <w:szCs w:val="21"/>
        </w:rPr>
        <w:t>有效监管，防止资本野蛮</w:t>
      </w:r>
      <w:r>
        <w:rPr>
          <w:rFonts w:hint="eastAsia" w:ascii="宋体" w:hAnsi="宋体" w:eastAsia="宋体" w:cs="宋体"/>
          <w:spacing w:val="4"/>
          <w:sz w:val="21"/>
          <w:szCs w:val="21"/>
        </w:rPr>
        <w:t>生长。支持引导民营企业完善治理结构和管理制度，加强企业合规建设和廉洁风</w:t>
      </w:r>
      <w:r>
        <w:rPr>
          <w:rFonts w:hint="eastAsia" w:ascii="宋体" w:hAnsi="宋体" w:eastAsia="宋体" w:cs="宋体"/>
          <w:spacing w:val="3"/>
          <w:sz w:val="21"/>
          <w:szCs w:val="21"/>
        </w:rPr>
        <w:t>险防控。政府要建立</w:t>
      </w:r>
      <w:r>
        <w:rPr>
          <w:rFonts w:hint="eastAsia" w:ascii="宋体" w:hAnsi="宋体" w:eastAsia="宋体" w:cs="宋体"/>
          <w:spacing w:val="-4"/>
          <w:sz w:val="21"/>
          <w:szCs w:val="21"/>
        </w:rPr>
        <w:t>健全资本监管体系，加强对资本市场、金融市场、房地产市场等领域的监管力度，防止资本</w:t>
      </w:r>
      <w:r>
        <w:rPr>
          <w:rFonts w:hint="eastAsia" w:ascii="宋体" w:hAnsi="宋体" w:eastAsia="宋体" w:cs="宋体"/>
          <w:spacing w:val="-5"/>
          <w:sz w:val="21"/>
          <w:szCs w:val="21"/>
        </w:rPr>
        <w:t>过度集中和垄</w:t>
      </w:r>
      <w:r>
        <w:rPr>
          <w:rFonts w:hint="eastAsia" w:ascii="宋体" w:hAnsi="宋体" w:eastAsia="宋体" w:cs="宋体"/>
          <w:spacing w:val="-3"/>
          <w:sz w:val="21"/>
          <w:szCs w:val="21"/>
        </w:rPr>
        <w:t>断，强化对资本流动的实时监控和预警机制，及时发现和处置风险隐患。政府还应引导企业及时、准确、完整地披露相关信息，提高市场透明度，同时加大对资本野蛮扩张行为的查处打</w:t>
      </w:r>
      <w:r>
        <w:rPr>
          <w:rFonts w:hint="eastAsia" w:ascii="宋体" w:hAnsi="宋体" w:eastAsia="宋体" w:cs="宋体"/>
          <w:spacing w:val="-4"/>
          <w:sz w:val="21"/>
          <w:szCs w:val="21"/>
        </w:rPr>
        <w:t>击力度，形成有效震慑。</w:t>
      </w:r>
    </w:p>
    <w:p w14:paraId="618735F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textAlignment w:val="baseline"/>
        <w:rPr>
          <w:rFonts w:hint="eastAsia" w:ascii="宋体" w:hAnsi="宋体" w:eastAsia="宋体" w:cs="宋体"/>
          <w:sz w:val="21"/>
          <w:szCs w:val="21"/>
        </w:rPr>
      </w:pPr>
      <w:r>
        <w:rPr>
          <w:rFonts w:hint="eastAsia" w:ascii="宋体" w:hAnsi="宋体" w:eastAsia="宋体" w:cs="宋体"/>
          <w:spacing w:val="4"/>
          <w:sz w:val="21"/>
          <w:szCs w:val="21"/>
        </w:rPr>
        <w:t>（五）着力提高发展的平衡性协调性包容性</w:t>
      </w:r>
    </w:p>
    <w:p w14:paraId="5D94A2C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rPr>
          <w:rFonts w:hint="eastAsia" w:ascii="宋体" w:hAnsi="宋体" w:eastAsia="宋体" w:cs="宋体"/>
          <w:sz w:val="21"/>
          <w:szCs w:val="21"/>
        </w:rPr>
      </w:pPr>
      <w:r>
        <w:rPr>
          <w:rFonts w:hint="eastAsia" w:ascii="宋体" w:hAnsi="宋体" w:eastAsia="宋体" w:cs="宋体"/>
          <w:spacing w:val="-2"/>
          <w:sz w:val="21"/>
          <w:szCs w:val="21"/>
        </w:rPr>
        <w:t>习近平总书记指出，“要增强区域发展的平衡性”，“要强化行业发展的协调性”。</w:t>
      </w:r>
      <w:r>
        <w:rPr>
          <w:rStyle w:val="20"/>
          <w:rFonts w:hint="eastAsia" w:ascii="宋体" w:hAnsi="宋体" w:eastAsia="宋体" w:cs="宋体"/>
          <w:spacing w:val="-2"/>
          <w:sz w:val="21"/>
          <w:szCs w:val="21"/>
        </w:rPr>
        <w:footnoteReference w:id="1002"/>
      </w:r>
      <w:r>
        <w:rPr>
          <w:rFonts w:hint="eastAsia" w:ascii="宋体" w:hAnsi="宋体" w:eastAsia="宋体" w:cs="宋体"/>
          <w:spacing w:val="-2"/>
          <w:sz w:val="21"/>
          <w:szCs w:val="21"/>
        </w:rPr>
        <w:t>一是要构建</w:t>
      </w:r>
      <w:r>
        <w:rPr>
          <w:rFonts w:hint="eastAsia" w:ascii="宋体" w:hAnsi="宋体" w:eastAsia="宋体" w:cs="宋体"/>
          <w:spacing w:val="4"/>
          <w:sz w:val="21"/>
          <w:szCs w:val="21"/>
        </w:rPr>
        <w:t>全国统一大市场。坚决破除地方保护主义和阻碍市场公平竞争的各种门槛，让各地方“小局”服从于</w:t>
      </w:r>
      <w:r>
        <w:rPr>
          <w:rFonts w:hint="eastAsia" w:ascii="宋体" w:hAnsi="宋体" w:eastAsia="宋体" w:cs="宋体"/>
          <w:sz w:val="21"/>
          <w:szCs w:val="21"/>
        </w:rPr>
        <w:t>全国“大局”和“全局”。完善要素市场制度和规则，促进要素资源在全国范围内自由流动，畅通国内经济循环的“血管”。加快发展物联网，健全一体衔接的流通规则和标准，降低全社会物流成本，激发</w:t>
      </w:r>
      <w:r>
        <w:rPr>
          <w:rFonts w:hint="eastAsia" w:ascii="宋体" w:hAnsi="宋体" w:eastAsia="宋体" w:cs="宋体"/>
          <w:spacing w:val="8"/>
          <w:sz w:val="21"/>
          <w:szCs w:val="21"/>
        </w:rPr>
        <w:t>市场活力，充分发挥我国超大规模市场优势。二是要增强区域发展的平衡性。加大对欠发达地区交</w:t>
      </w:r>
      <w:r>
        <w:rPr>
          <w:rFonts w:hint="eastAsia" w:ascii="宋体" w:hAnsi="宋体" w:eastAsia="宋体" w:cs="宋体"/>
          <w:sz w:val="21"/>
          <w:szCs w:val="21"/>
        </w:rPr>
        <w:t>通、通信、能源等基础设施的投资力度，提高区</w:t>
      </w:r>
      <w:r>
        <w:rPr>
          <w:rFonts w:hint="eastAsia" w:ascii="宋体" w:hAnsi="宋体" w:eastAsia="宋体" w:cs="宋体"/>
          <w:spacing w:val="-1"/>
          <w:sz w:val="21"/>
          <w:szCs w:val="21"/>
        </w:rPr>
        <w:t>域之间的连通性，为区域均衡发展创造物质基础。要推</w:t>
      </w:r>
      <w:r>
        <w:rPr>
          <w:rFonts w:hint="eastAsia" w:ascii="宋体" w:hAnsi="宋体" w:eastAsia="宋体" w:cs="宋体"/>
          <w:spacing w:val="1"/>
          <w:sz w:val="21"/>
          <w:szCs w:val="21"/>
        </w:rPr>
        <w:t>动各地区在资源、技术、人才等方面的深度合作，形成优势互补、互利共赢的发展格局。加大对教育、</w:t>
      </w:r>
      <w:r>
        <w:rPr>
          <w:rFonts w:hint="eastAsia" w:ascii="宋体" w:hAnsi="宋体" w:eastAsia="宋体" w:cs="宋体"/>
          <w:spacing w:val="5"/>
          <w:sz w:val="21"/>
          <w:szCs w:val="21"/>
        </w:rPr>
        <w:t>医疗、文化等公共服务领域的投入，提高公共服务的覆盖面和质</w:t>
      </w:r>
      <w:r>
        <w:rPr>
          <w:rFonts w:hint="eastAsia" w:ascii="宋体" w:hAnsi="宋体" w:eastAsia="宋体" w:cs="宋体"/>
          <w:spacing w:val="4"/>
          <w:sz w:val="21"/>
          <w:szCs w:val="21"/>
        </w:rPr>
        <w:t>量，确保各地区都能享受到基本均等</w:t>
      </w:r>
      <w:r>
        <w:rPr>
          <w:rFonts w:hint="eastAsia" w:ascii="宋体" w:hAnsi="宋体" w:eastAsia="宋体" w:cs="宋体"/>
          <w:spacing w:val="3"/>
          <w:sz w:val="21"/>
          <w:szCs w:val="21"/>
        </w:rPr>
        <w:t>的公共服务。三是要强化行业发展的协调性。搭建行业间的合作与交流平台，加强信息共享，促进各</w:t>
      </w:r>
      <w:r>
        <w:rPr>
          <w:rFonts w:hint="eastAsia" w:ascii="宋体" w:hAnsi="宋体" w:eastAsia="宋体" w:cs="宋体"/>
          <w:spacing w:val="4"/>
          <w:sz w:val="21"/>
          <w:szCs w:val="21"/>
        </w:rPr>
        <w:t>行业在资源、技术、市场等方面的互补与融合。加大行业私人大资本垄断的改革力度，加强行业收入水平的宏观指导和调控，规制和革新垄断定价方式，加大竞争性要素投入力度。建立健全法律法规体</w:t>
      </w:r>
      <w:r>
        <w:rPr>
          <w:rFonts w:hint="eastAsia" w:ascii="宋体" w:hAnsi="宋体" w:eastAsia="宋体" w:cs="宋体"/>
          <w:sz w:val="21"/>
          <w:szCs w:val="21"/>
        </w:rPr>
        <w:t>系，规范行业发展秩序，加强市场监管，打击不</w:t>
      </w:r>
      <w:r>
        <w:rPr>
          <w:rFonts w:hint="eastAsia" w:ascii="宋体" w:hAnsi="宋体" w:eastAsia="宋体" w:cs="宋体"/>
          <w:spacing w:val="-1"/>
          <w:sz w:val="21"/>
          <w:szCs w:val="21"/>
        </w:rPr>
        <w:t>正当竞争行为，维护公平竞争的市场环境。四是要提高</w:t>
      </w:r>
      <w:r>
        <w:rPr>
          <w:rFonts w:hint="eastAsia" w:ascii="宋体" w:hAnsi="宋体" w:eastAsia="宋体" w:cs="宋体"/>
          <w:spacing w:val="3"/>
          <w:sz w:val="21"/>
          <w:szCs w:val="21"/>
        </w:rPr>
        <w:t>发展的包容性。坚持以人民为中心的发展思想，落实让人民生活幸福是“国之大者”的根本要求，不</w:t>
      </w:r>
      <w:r>
        <w:rPr>
          <w:rFonts w:hint="eastAsia" w:ascii="宋体" w:hAnsi="宋体" w:eastAsia="宋体" w:cs="宋体"/>
          <w:spacing w:val="6"/>
          <w:sz w:val="21"/>
          <w:szCs w:val="21"/>
        </w:rPr>
        <w:t>断提高全体人民美好生活的质量，促进广大劳动人民的全面发展和自由发展。</w:t>
      </w:r>
    </w:p>
    <w:p w14:paraId="727FEFE8">
      <w:pPr>
        <w:pStyle w:val="6"/>
        <w:spacing w:before="110" w:line="274" w:lineRule="auto"/>
        <w:ind w:left="1286" w:right="11" w:hanging="407"/>
        <w:rPr>
          <w:color w:val="231F20"/>
          <w:spacing w:val="-5"/>
        </w:rPr>
      </w:pPr>
    </w:p>
    <w:p w14:paraId="640EF11A">
      <w:pPr>
        <w:spacing w:line="462" w:lineRule="auto"/>
        <w:rPr>
          <w:rFonts w:ascii="Arial"/>
          <w:sz w:val="21"/>
        </w:rPr>
      </w:pPr>
      <w:r>
        <w:rPr>
          <w:rFonts w:hint="eastAsia" w:ascii="Times New Roman" w:hAnsi="Times New Roman" w:eastAsia="宋体" w:cs="Times New Roman"/>
          <w:sz w:val="24"/>
          <w:szCs w:val="24"/>
          <w:lang w:val="en-US" w:eastAsia="zh-CN"/>
        </w:rPr>
        <w:t>（原载《山东社会科学》2025年第2期，第二作者为纪建强）</w:t>
      </w:r>
    </w:p>
    <w:p w14:paraId="3E43450B">
      <w:pPr>
        <w:pStyle w:val="6"/>
        <w:spacing w:before="59" w:line="186" w:lineRule="auto"/>
        <w:ind w:left="1069"/>
        <w:rPr>
          <w:sz w:val="20"/>
          <w:szCs w:val="20"/>
        </w:rPr>
      </w:pPr>
    </w:p>
    <w:p w14:paraId="3ADB0BA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Arial" w:eastAsia="宋体"/>
          <w:spacing w:val="0"/>
          <w:w w:val="100"/>
          <w:position w:val="0"/>
          <w:sz w:val="21"/>
          <w:szCs w:val="21"/>
        </w:rPr>
      </w:pPr>
    </w:p>
    <w:p w14:paraId="1052292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Arial" w:eastAsia="宋体"/>
          <w:spacing w:val="0"/>
          <w:w w:val="100"/>
          <w:position w:val="0"/>
          <w:sz w:val="21"/>
          <w:szCs w:val="21"/>
        </w:rPr>
      </w:pPr>
    </w:p>
    <w:p w14:paraId="645017A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509C12F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411FE62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719BBF12">
      <w:pPr>
        <w:pStyle w:val="2"/>
        <w:bidi w:val="0"/>
        <w:jc w:val="center"/>
      </w:pPr>
      <w:bookmarkStart w:id="649" w:name="_Toc27976"/>
      <w:bookmarkStart w:id="650" w:name="_Toc1698440789"/>
      <w:bookmarkStart w:id="651" w:name="_Toc2080648773"/>
      <w:bookmarkStart w:id="652" w:name="_Toc836806908"/>
      <w:bookmarkStart w:id="653" w:name="_Toc1269072991"/>
      <w:bookmarkStart w:id="654" w:name="_Toc480508152"/>
      <w:r>
        <w:rPr>
          <w:rFonts w:hint="eastAsia"/>
          <w:lang w:val="en-US" w:eastAsia="zh-CN"/>
        </w:rPr>
        <w:t>3</w:t>
      </w:r>
      <w:r>
        <w:t>大国视野下中国经济增长比较研究</w:t>
      </w:r>
      <w:bookmarkEnd w:id="649"/>
      <w:bookmarkEnd w:id="650"/>
      <w:bookmarkEnd w:id="651"/>
      <w:bookmarkEnd w:id="652"/>
      <w:bookmarkEnd w:id="653"/>
      <w:bookmarkEnd w:id="654"/>
    </w:p>
    <w:p w14:paraId="17A4BA13">
      <w:pPr>
        <w:spacing w:before="287" w:line="292" w:lineRule="auto"/>
        <w:ind w:left="1301" w:right="495" w:firstLine="1"/>
        <w:jc w:val="both"/>
        <w:rPr>
          <w:rFonts w:ascii="楷体" w:hAnsi="楷体" w:eastAsia="楷体" w:cs="楷体"/>
          <w:sz w:val="18"/>
          <w:szCs w:val="18"/>
        </w:rPr>
      </w:pPr>
      <w:r>
        <w:rPr>
          <w:rFonts w:ascii="微软雅黑" w:hAnsi="微软雅黑" w:eastAsia="微软雅黑" w:cs="微软雅黑"/>
          <w:color w:val="231F20"/>
          <w:spacing w:val="-4"/>
          <w:sz w:val="18"/>
          <w:szCs w:val="18"/>
        </w:rPr>
        <w:t>摘   要：</w:t>
      </w:r>
      <w:r>
        <w:rPr>
          <w:rFonts w:ascii="楷体" w:hAnsi="楷体" w:eastAsia="楷体" w:cs="楷体"/>
          <w:color w:val="231F20"/>
          <w:spacing w:val="-4"/>
          <w:sz w:val="18"/>
          <w:szCs w:val="18"/>
        </w:rPr>
        <w:t>通过研究各大国经济增长情况，分析中国经济增长现实，反驳中国经济“悲观论”。研究发现，中国经济“悲观论”的结论是基于片面数据和短期波动，其忽视了中国经济的基</w:t>
      </w:r>
      <w:r>
        <w:rPr>
          <w:rFonts w:ascii="楷体" w:hAnsi="楷体" w:eastAsia="楷体" w:cs="楷体"/>
          <w:color w:val="231F20"/>
          <w:spacing w:val="-5"/>
          <w:sz w:val="18"/>
          <w:szCs w:val="18"/>
        </w:rPr>
        <w:t>本面和长期趋势；人民币对美</w:t>
      </w:r>
      <w:r>
        <w:rPr>
          <w:rFonts w:ascii="楷体" w:hAnsi="楷体" w:eastAsia="楷体" w:cs="楷体"/>
          <w:color w:val="231F20"/>
          <w:spacing w:val="-4"/>
          <w:sz w:val="18"/>
          <w:szCs w:val="18"/>
        </w:rPr>
        <w:t>元贬值和美国高通胀是中国经济相对规模近年出现短期异动的主要原因，并且这种异动只是对长</w:t>
      </w:r>
      <w:r>
        <w:rPr>
          <w:rFonts w:ascii="楷体" w:hAnsi="楷体" w:eastAsia="楷体" w:cs="楷体"/>
          <w:color w:val="231F20"/>
          <w:spacing w:val="-5"/>
          <w:sz w:val="18"/>
          <w:szCs w:val="18"/>
        </w:rPr>
        <w:t>期上升趋势</w:t>
      </w:r>
      <w:r>
        <w:rPr>
          <w:rFonts w:ascii="楷体" w:hAnsi="楷体" w:eastAsia="楷体" w:cs="楷体"/>
          <w:color w:val="231F20"/>
          <w:spacing w:val="-4"/>
          <w:sz w:val="18"/>
          <w:szCs w:val="18"/>
        </w:rPr>
        <w:t>的短暂偏离；中国加速追赶发达国家发展水平的态势没有改变，世界经济格局“中升美降”“南升北降</w:t>
      </w:r>
      <w:r>
        <w:rPr>
          <w:rFonts w:ascii="楷体" w:hAnsi="楷体" w:eastAsia="楷体" w:cs="楷体"/>
          <w:color w:val="231F20"/>
          <w:spacing w:val="-5"/>
          <w:sz w:val="18"/>
          <w:szCs w:val="18"/>
        </w:rPr>
        <w:t>”的基本趋势没有改变。为了应对这种短期异动和促进经济高质量发展，中国应该在充分发挥基本经济制度作用的同时，利用经济规模庞大且层次丰富的独特优势，始终保持高于发达国家实际增长率的发展趋势。</w:t>
      </w:r>
    </w:p>
    <w:p w14:paraId="7B472666">
      <w:pPr>
        <w:spacing w:before="1" w:line="203" w:lineRule="auto"/>
        <w:ind w:left="1303"/>
        <w:rPr>
          <w:rFonts w:ascii="楷体" w:hAnsi="楷体" w:eastAsia="楷体" w:cs="楷体"/>
          <w:sz w:val="18"/>
          <w:szCs w:val="18"/>
        </w:rPr>
      </w:pPr>
      <w:r>
        <w:rPr>
          <w:rFonts w:ascii="微软雅黑" w:hAnsi="微软雅黑" w:eastAsia="微软雅黑" w:cs="微软雅黑"/>
          <w:color w:val="231F20"/>
          <w:spacing w:val="-4"/>
          <w:sz w:val="18"/>
          <w:szCs w:val="18"/>
        </w:rPr>
        <w:t>关键词</w:t>
      </w:r>
      <w:r>
        <w:rPr>
          <w:rFonts w:ascii="楷体" w:hAnsi="楷体" w:eastAsia="楷体" w:cs="楷体"/>
          <w:color w:val="231F20"/>
          <w:spacing w:val="-4"/>
          <w:sz w:val="18"/>
          <w:szCs w:val="18"/>
        </w:rPr>
        <w:t>：中国经济增长；美国经济增长；国际货币；世界经济格局；新发展理念</w:t>
      </w:r>
    </w:p>
    <w:p w14:paraId="56D6BE73">
      <w:pPr>
        <w:spacing w:line="255" w:lineRule="auto"/>
        <w:rPr>
          <w:rFonts w:ascii="Arial"/>
          <w:sz w:val="21"/>
        </w:rPr>
      </w:pPr>
    </w:p>
    <w:p w14:paraId="232ACE02">
      <w:pPr>
        <w:spacing w:line="255" w:lineRule="auto"/>
        <w:rPr>
          <w:rFonts w:ascii="Arial"/>
          <w:sz w:val="21"/>
        </w:rPr>
      </w:pPr>
    </w:p>
    <w:p w14:paraId="7CE4AFCC">
      <w:pPr>
        <w:spacing w:before="121" w:line="203" w:lineRule="auto"/>
        <w:ind w:left="1297"/>
        <w:outlineLvl w:val="1"/>
        <w:rPr>
          <w:rFonts w:ascii="微软雅黑" w:hAnsi="微软雅黑" w:eastAsia="微软雅黑" w:cs="微软雅黑"/>
          <w:sz w:val="28"/>
          <w:szCs w:val="28"/>
        </w:rPr>
      </w:pPr>
      <w:bookmarkStart w:id="655" w:name="_Toc5077"/>
      <w:bookmarkStart w:id="656" w:name="_Toc502177733"/>
      <w:bookmarkStart w:id="657" w:name="_Toc343298553"/>
      <w:bookmarkStart w:id="658" w:name="_Toc1987703710"/>
      <w:bookmarkStart w:id="659" w:name="_Toc1341704799"/>
      <w:bookmarkStart w:id="660" w:name="_Toc1361997944"/>
      <w:r>
        <w:rPr>
          <w:rFonts w:ascii="微软雅黑" w:hAnsi="微软雅黑" w:eastAsia="微软雅黑" w:cs="微软雅黑"/>
          <w:color w:val="231F20"/>
          <w:spacing w:val="-17"/>
          <w:sz w:val="28"/>
          <w:szCs w:val="28"/>
        </w:rPr>
        <w:t>一、引</w:t>
      </w:r>
      <w:r>
        <w:rPr>
          <w:rFonts w:ascii="微软雅黑" w:hAnsi="微软雅黑" w:eastAsia="微软雅黑" w:cs="微软雅黑"/>
          <w:color w:val="231F20"/>
          <w:spacing w:val="61"/>
          <w:sz w:val="28"/>
          <w:szCs w:val="28"/>
        </w:rPr>
        <w:t xml:space="preserve"> </w:t>
      </w:r>
      <w:r>
        <w:rPr>
          <w:rFonts w:ascii="微软雅黑" w:hAnsi="微软雅黑" w:eastAsia="微软雅黑" w:cs="微软雅黑"/>
          <w:color w:val="231F20"/>
          <w:spacing w:val="-17"/>
          <w:sz w:val="28"/>
          <w:szCs w:val="28"/>
        </w:rPr>
        <w:t>言</w:t>
      </w:r>
      <w:bookmarkEnd w:id="655"/>
      <w:bookmarkEnd w:id="656"/>
      <w:bookmarkEnd w:id="657"/>
      <w:bookmarkEnd w:id="658"/>
      <w:bookmarkEnd w:id="659"/>
      <w:bookmarkEnd w:id="660"/>
    </w:p>
    <w:p w14:paraId="50A61773">
      <w:pPr>
        <w:pStyle w:val="6"/>
        <w:spacing w:before="107" w:line="273" w:lineRule="auto"/>
        <w:ind w:left="875" w:firstLine="421"/>
        <w:rPr>
          <w:rFonts w:ascii="方正书宋简体" w:hAnsi="方正书宋简体" w:eastAsia="方正书宋简体" w:cs="方正书宋简体"/>
          <w:sz w:val="21"/>
          <w:szCs w:val="21"/>
        </w:rPr>
      </w:pPr>
      <w:r>
        <w:rPr>
          <w:color w:val="231F20"/>
          <w:sz w:val="21"/>
          <w:szCs w:val="21"/>
        </w:rPr>
        <w:t xml:space="preserve">2022 </w:t>
      </w:r>
      <w:r>
        <w:rPr>
          <w:rFonts w:ascii="方正书宋简体" w:hAnsi="方正书宋简体" w:eastAsia="方正书宋简体" w:cs="方正书宋简体"/>
          <w:color w:val="231F20"/>
          <w:sz w:val="21"/>
          <w:szCs w:val="21"/>
        </w:rPr>
        <w:t>年年底，日本经济研究中心认为中国经济规模可能永远也赶不上美国了</w:t>
      </w:r>
      <w:r>
        <w:rPr>
          <w:rFonts w:ascii="方正书宋简体" w:hAnsi="方正书宋简体" w:eastAsia="方正书宋简体" w:cs="方正书宋简体"/>
          <w:color w:val="231F20"/>
          <w:spacing w:val="50"/>
          <w:w w:val="101"/>
          <w:sz w:val="21"/>
          <w:szCs w:val="21"/>
        </w:rPr>
        <w:t xml:space="preserve"> </w:t>
      </w:r>
      <w:r>
        <w:rPr>
          <w:color w:val="231F20"/>
          <w:position w:val="9"/>
          <w:sz w:val="12"/>
          <w:szCs w:val="12"/>
        </w:rPr>
        <w:t>[1]</w:t>
      </w:r>
      <w:r>
        <w:rPr>
          <w:rFonts w:ascii="方正书宋简体" w:hAnsi="方正书宋简体" w:eastAsia="方正书宋简体" w:cs="方正书宋简体"/>
          <w:color w:val="231F20"/>
          <w:sz w:val="21"/>
          <w:szCs w:val="21"/>
        </w:rPr>
        <w:t>，其理由主要是</w:t>
      </w:r>
      <w:r>
        <w:rPr>
          <w:rFonts w:ascii="方正书宋简体" w:hAnsi="方正书宋简体" w:eastAsia="方正书宋简体" w:cs="方正书宋简体"/>
          <w:color w:val="231F20"/>
          <w:spacing w:val="2"/>
          <w:sz w:val="21"/>
          <w:szCs w:val="21"/>
        </w:rPr>
        <w:t>中国针对新冠疫情采用清零政策、美国针对中国采用先进技术“脱钩”战略、中国劳</w:t>
      </w:r>
      <w:r>
        <w:rPr>
          <w:rFonts w:ascii="方正书宋简体" w:hAnsi="方正书宋简体" w:eastAsia="方正书宋简体" w:cs="方正书宋简体"/>
          <w:color w:val="231F20"/>
          <w:spacing w:val="1"/>
          <w:sz w:val="21"/>
          <w:szCs w:val="21"/>
        </w:rPr>
        <w:t>动年龄人口减</w:t>
      </w:r>
      <w:r>
        <w:rPr>
          <w:rFonts w:ascii="方正书宋简体" w:hAnsi="方正书宋简体" w:eastAsia="方正书宋简体" w:cs="方正书宋简体"/>
          <w:color w:val="231F20"/>
          <w:sz w:val="21"/>
          <w:szCs w:val="21"/>
        </w:rPr>
        <w:t>少等。尽管口吻存在一定差异，英国《经济学人》</w:t>
      </w:r>
      <w:r>
        <w:rPr>
          <w:color w:val="231F20"/>
          <w:sz w:val="21"/>
          <w:szCs w:val="21"/>
        </w:rPr>
        <w:t xml:space="preserve">2023 </w:t>
      </w:r>
      <w:r>
        <w:rPr>
          <w:rFonts w:ascii="方正书宋简体" w:hAnsi="方正书宋简体" w:eastAsia="方正书宋简体" w:cs="方正书宋简体"/>
          <w:color w:val="231F20"/>
          <w:sz w:val="21"/>
          <w:szCs w:val="21"/>
        </w:rPr>
        <w:t xml:space="preserve">年 </w:t>
      </w:r>
      <w:r>
        <w:rPr>
          <w:color w:val="231F20"/>
          <w:sz w:val="21"/>
          <w:szCs w:val="21"/>
        </w:rPr>
        <w:t xml:space="preserve">5 </w:t>
      </w:r>
      <w:r>
        <w:rPr>
          <w:rFonts w:ascii="方正书宋简体" w:hAnsi="方正书宋简体" w:eastAsia="方正书宋简体" w:cs="方正书宋简体"/>
          <w:color w:val="231F20"/>
          <w:sz w:val="21"/>
          <w:szCs w:val="21"/>
        </w:rPr>
        <w:t>月刊的封面以《中国见顶了？</w:t>
      </w:r>
      <w:r>
        <w:rPr>
          <w:rFonts w:ascii="方正书宋简体" w:hAnsi="方正书宋简体" w:eastAsia="方正书宋简体" w:cs="方正书宋简体"/>
          <w:color w:val="231F20"/>
          <w:spacing w:val="-24"/>
          <w:sz w:val="21"/>
          <w:szCs w:val="21"/>
        </w:rPr>
        <w:t xml:space="preserve"> </w:t>
      </w:r>
      <w:r>
        <w:rPr>
          <w:rFonts w:ascii="方正书宋简体" w:hAnsi="方正书宋简体" w:eastAsia="方正书宋简体" w:cs="方正书宋简体"/>
          <w:color w:val="231F20"/>
          <w:sz w:val="21"/>
          <w:szCs w:val="21"/>
        </w:rPr>
        <w:t>》为题指</w:t>
      </w:r>
      <w:r>
        <w:rPr>
          <w:rFonts w:ascii="方正书宋简体" w:hAnsi="方正书宋简体" w:eastAsia="方正书宋简体" w:cs="方正书宋简体"/>
          <w:color w:val="231F20"/>
          <w:spacing w:val="2"/>
          <w:sz w:val="21"/>
          <w:szCs w:val="21"/>
        </w:rPr>
        <w:t>出，由于存在劳动年龄人口负增长、地缘政治动荡不安、美国对华科技打压等挑战，中国经济高速增长的时代已成为过去；中国经济虽然不至于崩溃，但其规模未来不可能大幅超过美国，这将使世</w:t>
      </w:r>
      <w:r>
        <w:rPr>
          <w:rFonts w:ascii="方正书宋简体" w:hAnsi="方正书宋简体" w:eastAsia="方正书宋简体" w:cs="方正书宋简体"/>
          <w:color w:val="231F20"/>
          <w:spacing w:val="-6"/>
          <w:sz w:val="21"/>
          <w:szCs w:val="21"/>
        </w:rPr>
        <w:t>界变得更加安全。针对“中国见顶论”，中国智库进行了批驳，认为其概念定义不清，逻辑有所欠缺，</w:t>
      </w:r>
      <w:r>
        <w:rPr>
          <w:rFonts w:ascii="方正书宋简体" w:hAnsi="方正书宋简体" w:eastAsia="方正书宋简体" w:cs="方正书宋简体"/>
          <w:color w:val="231F20"/>
          <w:spacing w:val="1"/>
          <w:sz w:val="21"/>
          <w:szCs w:val="21"/>
        </w:rPr>
        <w:t>高度短视，以弱研究导出强结论</w:t>
      </w:r>
      <w:r>
        <w:rPr>
          <w:rFonts w:ascii="方正书宋简体" w:hAnsi="方正书宋简体" w:eastAsia="方正书宋简体" w:cs="方正书宋简体"/>
          <w:color w:val="231F20"/>
          <w:spacing w:val="17"/>
          <w:w w:val="101"/>
          <w:sz w:val="21"/>
          <w:szCs w:val="21"/>
        </w:rPr>
        <w:t xml:space="preserve"> </w:t>
      </w:r>
      <w:r>
        <w:rPr>
          <w:color w:val="231F20"/>
          <w:spacing w:val="1"/>
          <w:position w:val="9"/>
          <w:sz w:val="12"/>
          <w:szCs w:val="12"/>
        </w:rPr>
        <w:t>[2]</w:t>
      </w:r>
      <w:r>
        <w:rPr>
          <w:color w:val="231F20"/>
          <w:spacing w:val="-7"/>
          <w:position w:val="9"/>
          <w:sz w:val="12"/>
          <w:szCs w:val="12"/>
        </w:rPr>
        <w:t xml:space="preserve"> </w:t>
      </w:r>
      <w:r>
        <w:rPr>
          <w:rFonts w:ascii="方正书宋简体" w:hAnsi="方正书宋简体" w:eastAsia="方正书宋简体" w:cs="方正书宋简体"/>
          <w:color w:val="231F20"/>
          <w:spacing w:val="1"/>
          <w:sz w:val="21"/>
          <w:szCs w:val="21"/>
        </w:rPr>
        <w:t>。另外，在讨论</w:t>
      </w:r>
      <w:r>
        <w:rPr>
          <w:rFonts w:ascii="方正书宋简体" w:hAnsi="方正书宋简体" w:eastAsia="方正书宋简体" w:cs="方正书宋简体"/>
          <w:color w:val="231F20"/>
          <w:sz w:val="21"/>
          <w:szCs w:val="21"/>
        </w:rPr>
        <w:t>欧洲经济日本化、美国经济日本化和全球经济日</w:t>
      </w:r>
      <w:r>
        <w:rPr>
          <w:rFonts w:ascii="方正书宋简体" w:hAnsi="方正书宋简体" w:eastAsia="方正书宋简体" w:cs="方正书宋简体"/>
          <w:color w:val="231F20"/>
          <w:spacing w:val="1"/>
          <w:sz w:val="21"/>
          <w:szCs w:val="21"/>
        </w:rPr>
        <w:t xml:space="preserve">本化之后 </w:t>
      </w:r>
      <w:r>
        <w:rPr>
          <w:color w:val="231F20"/>
          <w:spacing w:val="1"/>
          <w:position w:val="9"/>
          <w:sz w:val="12"/>
          <w:szCs w:val="12"/>
        </w:rPr>
        <w:t xml:space="preserve">[3] </w:t>
      </w:r>
      <w:r>
        <w:rPr>
          <w:rFonts w:ascii="方正书宋简体" w:hAnsi="方正书宋简体" w:eastAsia="方正书宋简体" w:cs="方正书宋简体"/>
          <w:color w:val="231F20"/>
          <w:spacing w:val="1"/>
          <w:sz w:val="21"/>
          <w:szCs w:val="21"/>
        </w:rPr>
        <w:t>，最近关于中国经济日本化的言论开始甚嚣尘上</w:t>
      </w:r>
      <w:r>
        <w:rPr>
          <w:rFonts w:ascii="方正书宋简体" w:hAnsi="方正书宋简体" w:eastAsia="方正书宋简体" w:cs="方正书宋简体"/>
          <w:color w:val="231F20"/>
          <w:spacing w:val="22"/>
          <w:w w:val="101"/>
          <w:sz w:val="21"/>
          <w:szCs w:val="21"/>
        </w:rPr>
        <w:t xml:space="preserve"> </w:t>
      </w:r>
      <w:r>
        <w:rPr>
          <w:color w:val="231F20"/>
          <w:spacing w:val="1"/>
          <w:position w:val="9"/>
          <w:sz w:val="12"/>
          <w:szCs w:val="12"/>
        </w:rPr>
        <w:t>[4]</w:t>
      </w:r>
      <w:r>
        <w:rPr>
          <w:color w:val="231F20"/>
          <w:spacing w:val="-6"/>
          <w:position w:val="9"/>
          <w:sz w:val="12"/>
          <w:szCs w:val="12"/>
        </w:rPr>
        <w:t xml:space="preserve"> </w:t>
      </w:r>
      <w:r>
        <w:rPr>
          <w:rFonts w:ascii="方正书宋简体" w:hAnsi="方正书宋简体" w:eastAsia="方正书宋简体" w:cs="方正书宋简体"/>
          <w:color w:val="231F20"/>
          <w:spacing w:val="1"/>
          <w:sz w:val="21"/>
          <w:szCs w:val="21"/>
        </w:rPr>
        <w:t>。不过，对于中国经济前</w:t>
      </w:r>
      <w:r>
        <w:rPr>
          <w:rFonts w:ascii="方正书宋简体" w:hAnsi="方正书宋简体" w:eastAsia="方正书宋简体" w:cs="方正书宋简体"/>
          <w:color w:val="231F20"/>
          <w:sz w:val="21"/>
          <w:szCs w:val="21"/>
        </w:rPr>
        <w:t>景仍然存在</w:t>
      </w:r>
      <w:r>
        <w:rPr>
          <w:rFonts w:ascii="方正书宋简体" w:hAnsi="方正书宋简体" w:eastAsia="方正书宋简体" w:cs="方正书宋简体"/>
          <w:color w:val="231F20"/>
          <w:spacing w:val="2"/>
          <w:sz w:val="21"/>
          <w:szCs w:val="21"/>
        </w:rPr>
        <w:t>一些不同的声音。例如，基于中国经济增长率依然高于美国、</w:t>
      </w:r>
      <w:r>
        <w:rPr>
          <w:rFonts w:ascii="方正书宋简体" w:hAnsi="方正书宋简体" w:eastAsia="方正书宋简体" w:cs="方正书宋简体"/>
          <w:color w:val="231F20"/>
          <w:spacing w:val="1"/>
          <w:sz w:val="21"/>
          <w:szCs w:val="21"/>
        </w:rPr>
        <w:t>美元对人民币汇率的高估终将消失、</w:t>
      </w:r>
      <w:r>
        <w:rPr>
          <w:rFonts w:ascii="方正书宋简体" w:hAnsi="方正书宋简体" w:eastAsia="方正书宋简体" w:cs="方正书宋简体"/>
          <w:color w:val="231F20"/>
          <w:sz w:val="21"/>
          <w:szCs w:val="21"/>
        </w:rPr>
        <w:t>对中国经济数据存在误读、低估中国经济发展韧性等</w:t>
      </w:r>
      <w:r>
        <w:rPr>
          <w:rFonts w:ascii="方正书宋简体" w:hAnsi="方正书宋简体" w:eastAsia="方正书宋简体" w:cs="方正书宋简体"/>
          <w:color w:val="231F20"/>
          <w:spacing w:val="-1"/>
          <w:sz w:val="21"/>
          <w:szCs w:val="21"/>
        </w:rPr>
        <w:t>理由，高盛（</w:t>
      </w:r>
      <w:r>
        <w:rPr>
          <w:color w:val="231F20"/>
          <w:spacing w:val="-1"/>
          <w:sz w:val="21"/>
          <w:szCs w:val="21"/>
        </w:rPr>
        <w:t>GS</w:t>
      </w:r>
      <w:r>
        <w:rPr>
          <w:rFonts w:ascii="方正书宋简体" w:hAnsi="方正书宋简体" w:eastAsia="方正书宋简体" w:cs="方正书宋简体"/>
          <w:color w:val="231F20"/>
          <w:spacing w:val="-1"/>
          <w:sz w:val="21"/>
          <w:szCs w:val="21"/>
        </w:rPr>
        <w:t>）经济学家</w:t>
      </w:r>
      <w:r>
        <w:rPr>
          <w:rFonts w:ascii="方正书宋简体" w:hAnsi="方正书宋简体" w:eastAsia="方正书宋简体" w:cs="方正书宋简体"/>
          <w:color w:val="231F20"/>
          <w:spacing w:val="17"/>
          <w:w w:val="101"/>
          <w:sz w:val="21"/>
          <w:szCs w:val="21"/>
        </w:rPr>
        <w:t xml:space="preserve"> </w:t>
      </w:r>
      <w:r>
        <w:rPr>
          <w:color w:val="231F20"/>
          <w:spacing w:val="-1"/>
          <w:position w:val="9"/>
          <w:sz w:val="12"/>
          <w:szCs w:val="12"/>
        </w:rPr>
        <w:t xml:space="preserve">[5]  </w:t>
      </w:r>
      <w:r>
        <w:rPr>
          <w:rFonts w:ascii="方正书宋简体" w:hAnsi="方正书宋简体" w:eastAsia="方正书宋简体" w:cs="方正书宋简体"/>
          <w:color w:val="231F20"/>
          <w:spacing w:val="-1"/>
          <w:sz w:val="21"/>
          <w:szCs w:val="21"/>
        </w:rPr>
        <w:t>和彼得森国际经</w:t>
      </w:r>
      <w:r>
        <w:rPr>
          <w:rFonts w:ascii="方正书宋简体" w:hAnsi="方正书宋简体" w:eastAsia="方正书宋简体" w:cs="方正书宋简体"/>
          <w:color w:val="231F20"/>
          <w:spacing w:val="1"/>
          <w:sz w:val="21"/>
          <w:szCs w:val="21"/>
        </w:rPr>
        <w:t>济研究所（</w:t>
      </w:r>
      <w:r>
        <w:rPr>
          <w:color w:val="231F20"/>
          <w:sz w:val="21"/>
          <w:szCs w:val="21"/>
        </w:rPr>
        <w:t>PIIE</w:t>
      </w:r>
      <w:r>
        <w:rPr>
          <w:rFonts w:ascii="方正书宋简体" w:hAnsi="方正书宋简体" w:eastAsia="方正书宋简体" w:cs="方正书宋简体"/>
          <w:color w:val="231F20"/>
          <w:spacing w:val="1"/>
          <w:sz w:val="21"/>
          <w:szCs w:val="21"/>
        </w:rPr>
        <w:t>）经济学家</w:t>
      </w:r>
      <w:r>
        <w:rPr>
          <w:rFonts w:ascii="方正书宋简体" w:hAnsi="方正书宋简体" w:eastAsia="方正书宋简体" w:cs="方正书宋简体"/>
          <w:color w:val="231F20"/>
          <w:spacing w:val="17"/>
          <w:sz w:val="21"/>
          <w:szCs w:val="21"/>
        </w:rPr>
        <w:t xml:space="preserve"> </w:t>
      </w:r>
      <w:r>
        <w:rPr>
          <w:color w:val="231F20"/>
          <w:spacing w:val="1"/>
          <w:position w:val="9"/>
          <w:sz w:val="12"/>
          <w:szCs w:val="12"/>
        </w:rPr>
        <w:t>[6]</w:t>
      </w:r>
      <w:r>
        <w:rPr>
          <w:color w:val="231F20"/>
          <w:spacing w:val="23"/>
          <w:w w:val="103"/>
          <w:position w:val="9"/>
          <w:sz w:val="12"/>
          <w:szCs w:val="12"/>
        </w:rPr>
        <w:t xml:space="preserve"> </w:t>
      </w:r>
      <w:r>
        <w:rPr>
          <w:rFonts w:ascii="方正书宋简体" w:hAnsi="方正书宋简体" w:eastAsia="方正书宋简体" w:cs="方正书宋简体"/>
          <w:color w:val="231F20"/>
          <w:spacing w:val="1"/>
          <w:sz w:val="21"/>
          <w:szCs w:val="21"/>
        </w:rPr>
        <w:t>认为中国经济增长未来</w:t>
      </w:r>
      <w:r>
        <w:rPr>
          <w:rFonts w:ascii="方正书宋简体" w:hAnsi="方正书宋简体" w:eastAsia="方正书宋简体" w:cs="方正书宋简体"/>
          <w:color w:val="231F20"/>
          <w:sz w:val="21"/>
          <w:szCs w:val="21"/>
        </w:rPr>
        <w:t>尽管有所放缓，</w:t>
      </w:r>
      <w:r>
        <w:rPr>
          <w:color w:val="231F20"/>
          <w:sz w:val="21"/>
          <w:szCs w:val="21"/>
        </w:rPr>
        <w:t xml:space="preserve">2035 </w:t>
      </w:r>
      <w:r>
        <w:rPr>
          <w:rFonts w:ascii="方正书宋简体" w:hAnsi="方正书宋简体" w:eastAsia="方正书宋简体" w:cs="方正书宋简体"/>
          <w:color w:val="231F20"/>
          <w:sz w:val="21"/>
          <w:szCs w:val="21"/>
        </w:rPr>
        <w:t>年之前仍然会超过美国经</w:t>
      </w:r>
      <w:r>
        <w:rPr>
          <w:rFonts w:ascii="方正书宋简体" w:hAnsi="方正书宋简体" w:eastAsia="方正书宋简体" w:cs="方正书宋简体"/>
          <w:color w:val="231F20"/>
          <w:spacing w:val="-6"/>
          <w:sz w:val="21"/>
          <w:szCs w:val="21"/>
        </w:rPr>
        <w:t>济规模。</w:t>
      </w:r>
    </w:p>
    <w:p w14:paraId="52095364">
      <w:pPr>
        <w:pStyle w:val="6"/>
        <w:spacing w:before="1" w:line="278" w:lineRule="auto"/>
        <w:ind w:left="876" w:right="67" w:firstLine="419"/>
        <w:rPr>
          <w:rFonts w:ascii="方正书宋简体" w:hAnsi="方正书宋简体" w:eastAsia="方正书宋简体" w:cs="方正书宋简体"/>
          <w:sz w:val="21"/>
          <w:szCs w:val="21"/>
        </w:rPr>
      </w:pPr>
      <w:r>
        <w:rPr>
          <w:color w:val="231F20"/>
          <w:spacing w:val="2"/>
          <w:sz w:val="21"/>
          <w:szCs w:val="21"/>
        </w:rPr>
        <w:t xml:space="preserve">2024 </w:t>
      </w:r>
      <w:r>
        <w:rPr>
          <w:rFonts w:ascii="方正书宋简体" w:hAnsi="方正书宋简体" w:eastAsia="方正书宋简体" w:cs="方正书宋简体"/>
          <w:color w:val="231F20"/>
          <w:spacing w:val="2"/>
          <w:sz w:val="21"/>
          <w:szCs w:val="21"/>
        </w:rPr>
        <w:t xml:space="preserve">年 </w:t>
      </w:r>
      <w:r>
        <w:rPr>
          <w:color w:val="231F20"/>
          <w:spacing w:val="2"/>
          <w:sz w:val="21"/>
          <w:szCs w:val="21"/>
        </w:rPr>
        <w:t xml:space="preserve">3 </w:t>
      </w:r>
      <w:r>
        <w:rPr>
          <w:rFonts w:ascii="方正书宋简体" w:hAnsi="方正书宋简体" w:eastAsia="方正书宋简体" w:cs="方正书宋简体"/>
          <w:color w:val="231F20"/>
          <w:spacing w:val="2"/>
          <w:sz w:val="21"/>
          <w:szCs w:val="21"/>
        </w:rPr>
        <w:t xml:space="preserve">月 </w:t>
      </w:r>
      <w:r>
        <w:rPr>
          <w:color w:val="231F20"/>
          <w:spacing w:val="2"/>
          <w:sz w:val="21"/>
          <w:szCs w:val="21"/>
        </w:rPr>
        <w:t xml:space="preserve">27  </w:t>
      </w:r>
      <w:r>
        <w:rPr>
          <w:rFonts w:ascii="方正书宋简体" w:hAnsi="方正书宋简体" w:eastAsia="方正书宋简体" w:cs="方正书宋简体"/>
          <w:color w:val="231F20"/>
          <w:spacing w:val="2"/>
          <w:sz w:val="21"/>
          <w:szCs w:val="21"/>
        </w:rPr>
        <w:t>日，习近平总书记在会见美国工商界和战略学术界代表时指出，中国</w:t>
      </w:r>
      <w:r>
        <w:rPr>
          <w:rFonts w:ascii="方正书宋简体" w:hAnsi="方正书宋简体" w:eastAsia="方正书宋简体" w:cs="方正书宋简体"/>
          <w:color w:val="231F20"/>
          <w:spacing w:val="1"/>
          <w:sz w:val="21"/>
          <w:szCs w:val="21"/>
        </w:rPr>
        <w:t>“过去没</w:t>
      </w:r>
      <w:r>
        <w:rPr>
          <w:rFonts w:ascii="方正书宋简体" w:hAnsi="方正书宋简体" w:eastAsia="方正书宋简体" w:cs="方正书宋简体"/>
          <w:color w:val="231F20"/>
          <w:spacing w:val="3"/>
          <w:sz w:val="21"/>
          <w:szCs w:val="21"/>
        </w:rPr>
        <w:t>有因为‘中国崩溃论’而崩溃，现在也不会因为‘中国见顶论’而见顶”</w:t>
      </w:r>
      <w:r>
        <w:rPr>
          <w:color w:val="231F20"/>
          <w:spacing w:val="3"/>
          <w:position w:val="9"/>
          <w:sz w:val="12"/>
          <w:szCs w:val="12"/>
        </w:rPr>
        <w:t>[7]</w:t>
      </w:r>
      <w:r>
        <w:rPr>
          <w:color w:val="231F20"/>
          <w:spacing w:val="-7"/>
          <w:position w:val="9"/>
          <w:sz w:val="12"/>
          <w:szCs w:val="12"/>
        </w:rPr>
        <w:t xml:space="preserve"> </w:t>
      </w:r>
      <w:r>
        <w:rPr>
          <w:rFonts w:ascii="方正书宋简体" w:hAnsi="方正书宋简体" w:eastAsia="方正书宋简体" w:cs="方正书宋简体"/>
          <w:color w:val="231F20"/>
          <w:spacing w:val="3"/>
          <w:sz w:val="21"/>
          <w:szCs w:val="21"/>
        </w:rPr>
        <w:t>。在大国视</w:t>
      </w:r>
      <w:r>
        <w:rPr>
          <w:rFonts w:ascii="方正书宋简体" w:hAnsi="方正书宋简体" w:eastAsia="方正书宋简体" w:cs="方正书宋简体"/>
          <w:color w:val="231F20"/>
          <w:spacing w:val="2"/>
          <w:sz w:val="21"/>
          <w:szCs w:val="21"/>
        </w:rPr>
        <w:t>野下对经济</w:t>
      </w:r>
      <w:r>
        <w:rPr>
          <w:rFonts w:ascii="方正书宋简体" w:hAnsi="方正书宋简体" w:eastAsia="方正书宋简体" w:cs="方正书宋简体"/>
          <w:color w:val="231F20"/>
          <w:spacing w:val="-4"/>
          <w:sz w:val="21"/>
          <w:szCs w:val="21"/>
        </w:rPr>
        <w:t>增长率进行比较有三大助益</w:t>
      </w:r>
      <w:r>
        <w:rPr>
          <w:rFonts w:ascii="方正书宋简体" w:hAnsi="方正书宋简体" w:eastAsia="方正书宋简体" w:cs="方正书宋简体"/>
          <w:color w:val="231F20"/>
          <w:spacing w:val="-33"/>
          <w:sz w:val="21"/>
          <w:szCs w:val="21"/>
        </w:rPr>
        <w:t>：（</w:t>
      </w:r>
      <w:r>
        <w:rPr>
          <w:color w:val="231F20"/>
          <w:spacing w:val="-4"/>
          <w:sz w:val="21"/>
          <w:szCs w:val="21"/>
        </w:rPr>
        <w:t>1</w:t>
      </w:r>
      <w:r>
        <w:rPr>
          <w:rFonts w:ascii="方正书宋简体" w:hAnsi="方正书宋简体" w:eastAsia="方正书宋简体" w:cs="方正书宋简体"/>
          <w:color w:val="231F20"/>
          <w:spacing w:val="-4"/>
          <w:sz w:val="21"/>
          <w:szCs w:val="21"/>
        </w:rPr>
        <w:t>）深挖“悲观论”的理论根源。“悲观论”把周期性、冲击性因素的</w:t>
      </w:r>
      <w:r>
        <w:rPr>
          <w:rFonts w:ascii="方正书宋简体" w:hAnsi="方正书宋简体" w:eastAsia="方正书宋简体" w:cs="方正书宋简体"/>
          <w:color w:val="231F20"/>
          <w:spacing w:val="2"/>
          <w:sz w:val="21"/>
          <w:szCs w:val="21"/>
        </w:rPr>
        <w:t>不利影响长期化，拔高了美国“脱钩”战略对阻滞中国经济增长的影响，忽视了驱动经济增长</w:t>
      </w:r>
      <w:r>
        <w:rPr>
          <w:rFonts w:ascii="方正书宋简体" w:hAnsi="方正书宋简体" w:eastAsia="方正书宋简体" w:cs="方正书宋简体"/>
          <w:color w:val="231F20"/>
          <w:spacing w:val="1"/>
          <w:sz w:val="21"/>
          <w:szCs w:val="21"/>
        </w:rPr>
        <w:t>的长期因素的累积性效果，相关预测经不起推敲。（</w:t>
      </w:r>
      <w:r>
        <w:rPr>
          <w:color w:val="231F20"/>
          <w:spacing w:val="1"/>
          <w:sz w:val="21"/>
          <w:szCs w:val="21"/>
        </w:rPr>
        <w:t>2</w:t>
      </w:r>
      <w:r>
        <w:rPr>
          <w:rFonts w:ascii="方正书宋简体" w:hAnsi="方正书宋简体" w:eastAsia="方正书宋简体" w:cs="方正书宋简体"/>
          <w:color w:val="231F20"/>
          <w:spacing w:val="1"/>
          <w:sz w:val="21"/>
          <w:szCs w:val="21"/>
        </w:rPr>
        <w:t>）回击“中国见顶论”</w:t>
      </w:r>
      <w:r>
        <w:rPr>
          <w:color w:val="231F20"/>
          <w:spacing w:val="1"/>
          <w:position w:val="9"/>
          <w:sz w:val="12"/>
          <w:szCs w:val="12"/>
        </w:rPr>
        <w:t>[8]</w:t>
      </w:r>
      <w:r>
        <w:rPr>
          <w:color w:val="231F20"/>
          <w:spacing w:val="-7"/>
          <w:position w:val="9"/>
          <w:sz w:val="12"/>
          <w:szCs w:val="12"/>
        </w:rPr>
        <w:t xml:space="preserve"> </w:t>
      </w:r>
      <w:r>
        <w:rPr>
          <w:rFonts w:ascii="方正书宋简体" w:hAnsi="方正书宋简体" w:eastAsia="方正书宋简体" w:cs="方正书宋简体"/>
          <w:color w:val="231F20"/>
          <w:spacing w:val="1"/>
          <w:sz w:val="21"/>
          <w:szCs w:val="21"/>
        </w:rPr>
        <w:t>。</w:t>
      </w:r>
      <w:r>
        <w:rPr>
          <w:rFonts w:ascii="方正书宋简体" w:hAnsi="方正书宋简体" w:eastAsia="方正书宋简体" w:cs="方正书宋简体"/>
          <w:color w:val="231F20"/>
          <w:sz w:val="21"/>
          <w:szCs w:val="21"/>
        </w:rPr>
        <w:t>无论“中国崩溃论”还</w:t>
      </w:r>
      <w:r>
        <w:rPr>
          <w:rFonts w:ascii="方正书宋简体" w:hAnsi="方正书宋简体" w:eastAsia="方正书宋简体" w:cs="方正书宋简体"/>
          <w:color w:val="231F20"/>
          <w:spacing w:val="2"/>
          <w:sz w:val="21"/>
          <w:szCs w:val="21"/>
        </w:rPr>
        <w:t>是“中国见顶论”，都放大了中国经济中风险性、短期性等负面因素的影响，对稳定性</w:t>
      </w:r>
      <w:r>
        <w:rPr>
          <w:rFonts w:ascii="方正书宋简体" w:hAnsi="方正书宋简体" w:eastAsia="方正书宋简体" w:cs="方正书宋简体"/>
          <w:color w:val="231F20"/>
          <w:spacing w:val="1"/>
          <w:sz w:val="21"/>
          <w:szCs w:val="21"/>
        </w:rPr>
        <w:t>、长期性的</w:t>
      </w:r>
      <w:r>
        <w:rPr>
          <w:rFonts w:ascii="方正书宋简体" w:hAnsi="方正书宋简体" w:eastAsia="方正书宋简体" w:cs="方正书宋简体"/>
          <w:color w:val="231F20"/>
          <w:spacing w:val="-3"/>
          <w:sz w:val="21"/>
          <w:szCs w:val="21"/>
        </w:rPr>
        <w:t>正面因素视而不见，以片面认识误导舆论，搅乱预</w:t>
      </w:r>
      <w:r>
        <w:rPr>
          <w:rFonts w:ascii="方正书宋简体" w:hAnsi="方正书宋简体" w:eastAsia="方正书宋简体" w:cs="方正书宋简体"/>
          <w:color w:val="231F20"/>
          <w:spacing w:val="-4"/>
          <w:sz w:val="21"/>
          <w:szCs w:val="21"/>
        </w:rPr>
        <w:t>期。（</w:t>
      </w:r>
      <w:r>
        <w:rPr>
          <w:color w:val="231F20"/>
          <w:spacing w:val="-4"/>
          <w:sz w:val="21"/>
          <w:szCs w:val="21"/>
        </w:rPr>
        <w:t>3</w:t>
      </w:r>
      <w:r>
        <w:rPr>
          <w:rFonts w:ascii="方正书宋简体" w:hAnsi="方正书宋简体" w:eastAsia="方正书宋简体" w:cs="方正书宋简体"/>
          <w:color w:val="231F20"/>
          <w:spacing w:val="-4"/>
          <w:sz w:val="21"/>
          <w:szCs w:val="21"/>
        </w:rPr>
        <w:t>）正确认识经济增长的意义。过去，   中国</w:t>
      </w:r>
      <w:r>
        <w:rPr>
          <w:rFonts w:ascii="方正书宋简体" w:hAnsi="方正书宋简体" w:eastAsia="方正书宋简体" w:cs="方正书宋简体"/>
          <w:color w:val="231F20"/>
          <w:spacing w:val="2"/>
          <w:sz w:val="21"/>
          <w:szCs w:val="21"/>
        </w:rPr>
        <w:t>经济增长速度快于美国，经济规模相对差距不断缩小。未来，如果超速增长态势不复存在，</w:t>
      </w:r>
      <w:r>
        <w:rPr>
          <w:rFonts w:ascii="方正书宋简体" w:hAnsi="方正书宋简体" w:eastAsia="方正书宋简体" w:cs="方正书宋简体"/>
          <w:color w:val="231F20"/>
          <w:spacing w:val="1"/>
          <w:sz w:val="21"/>
          <w:szCs w:val="21"/>
        </w:rPr>
        <w:t>我国追</w:t>
      </w:r>
      <w:r>
        <w:rPr>
          <w:rFonts w:ascii="方正书宋简体" w:hAnsi="方正书宋简体" w:eastAsia="方正书宋简体" w:cs="方正书宋简体"/>
          <w:color w:val="231F20"/>
          <w:spacing w:val="-4"/>
          <w:sz w:val="21"/>
          <w:szCs w:val="21"/>
        </w:rPr>
        <w:t>赶步伐必然停滞。站在民族复兴高度理解经济增长的意义，</w:t>
      </w:r>
      <w:r>
        <w:rPr>
          <w:rFonts w:ascii="方正书宋简体" w:hAnsi="方正书宋简体" w:eastAsia="方正书宋简体" w:cs="方正书宋简体"/>
          <w:color w:val="231F20"/>
          <w:spacing w:val="21"/>
          <w:sz w:val="21"/>
          <w:szCs w:val="21"/>
        </w:rPr>
        <w:t xml:space="preserve">  </w:t>
      </w:r>
      <w:r>
        <w:rPr>
          <w:rFonts w:ascii="方正书宋简体" w:hAnsi="方正书宋简体" w:eastAsia="方正书宋简体" w:cs="方正书宋简体"/>
          <w:color w:val="231F20"/>
          <w:spacing w:val="-4"/>
          <w:sz w:val="21"/>
          <w:szCs w:val="21"/>
        </w:rPr>
        <w:t>就更应驳斥上述论调并且做出</w:t>
      </w:r>
      <w:r>
        <w:rPr>
          <w:rFonts w:ascii="方正书宋简体" w:hAnsi="方正书宋简体" w:eastAsia="方正书宋简体" w:cs="方正书宋简体"/>
          <w:color w:val="231F20"/>
          <w:spacing w:val="-5"/>
          <w:sz w:val="21"/>
          <w:szCs w:val="21"/>
        </w:rPr>
        <w:t>科学判断。</w:t>
      </w:r>
      <w:r>
        <w:rPr>
          <w:rFonts w:ascii="方正书宋简体" w:hAnsi="方正书宋简体" w:eastAsia="方正书宋简体" w:cs="方正书宋简体"/>
          <w:color w:val="231F20"/>
          <w:spacing w:val="2"/>
          <w:sz w:val="21"/>
          <w:szCs w:val="21"/>
        </w:rPr>
        <w:t>为了突出重点，本文既不讨论各国经济增长如何决定，也不讨论各国经济统计口径的差异，而是在</w:t>
      </w:r>
      <w:r>
        <w:rPr>
          <w:rFonts w:ascii="方正书宋简体" w:hAnsi="方正书宋简体" w:eastAsia="方正书宋简体" w:cs="方正书宋简体"/>
          <w:color w:val="231F20"/>
          <w:spacing w:val="1"/>
          <w:sz w:val="21"/>
          <w:szCs w:val="21"/>
        </w:rPr>
        <w:t xml:space="preserve">对中国潜在增长率和经济走势分析基础上 </w:t>
      </w:r>
      <w:r>
        <w:rPr>
          <w:color w:val="231F20"/>
          <w:spacing w:val="1"/>
          <w:position w:val="9"/>
          <w:sz w:val="12"/>
          <w:szCs w:val="12"/>
        </w:rPr>
        <w:t xml:space="preserve">[9] </w:t>
      </w:r>
      <w:r>
        <w:rPr>
          <w:rFonts w:ascii="方正书宋简体" w:hAnsi="方正书宋简体" w:eastAsia="方正书宋简体" w:cs="方正书宋简体"/>
          <w:color w:val="231F20"/>
          <w:spacing w:val="1"/>
          <w:sz w:val="21"/>
          <w:szCs w:val="21"/>
        </w:rPr>
        <w:t>，在大国视野下，通过比较研究拨开迷雾，凸</w:t>
      </w:r>
      <w:r>
        <w:rPr>
          <w:rFonts w:ascii="方正书宋简体" w:hAnsi="方正书宋简体" w:eastAsia="方正书宋简体" w:cs="方正书宋简体"/>
          <w:color w:val="231F20"/>
          <w:sz w:val="21"/>
          <w:szCs w:val="21"/>
        </w:rPr>
        <w:t>显真相，</w:t>
      </w:r>
      <w:r>
        <w:rPr>
          <w:rFonts w:ascii="方正书宋简体" w:hAnsi="方正书宋简体" w:eastAsia="方正书宋简体" w:cs="方正书宋简体"/>
          <w:color w:val="231F20"/>
          <w:spacing w:val="-3"/>
          <w:sz w:val="21"/>
          <w:szCs w:val="21"/>
        </w:rPr>
        <w:t>支持中国经济“光明论”。</w:t>
      </w:r>
    </w:p>
    <w:p w14:paraId="0A9C28CE">
      <w:pPr>
        <w:spacing w:before="148" w:line="203" w:lineRule="auto"/>
        <w:ind w:left="1466"/>
        <w:outlineLvl w:val="1"/>
        <w:rPr>
          <w:rFonts w:ascii="微软雅黑" w:hAnsi="微软雅黑" w:eastAsia="微软雅黑" w:cs="微软雅黑"/>
          <w:sz w:val="28"/>
          <w:szCs w:val="28"/>
        </w:rPr>
      </w:pPr>
      <w:bookmarkStart w:id="661" w:name="_Toc18769"/>
      <w:bookmarkStart w:id="662" w:name="_Toc1454263293"/>
      <w:bookmarkStart w:id="663" w:name="_Toc490425821"/>
      <w:bookmarkStart w:id="664" w:name="_Toc1080641238"/>
      <w:bookmarkStart w:id="665" w:name="_Toc1677704429"/>
      <w:bookmarkStart w:id="666" w:name="_Toc1071251435"/>
      <w:r>
        <w:rPr>
          <w:rFonts w:ascii="微软雅黑" w:hAnsi="微软雅黑" w:eastAsia="微软雅黑" w:cs="微软雅黑"/>
          <w:color w:val="231F20"/>
          <w:spacing w:val="-2"/>
          <w:sz w:val="28"/>
          <w:szCs w:val="28"/>
        </w:rPr>
        <w:t>二、中美经济背离现象及其求解</w:t>
      </w:r>
      <w:bookmarkEnd w:id="661"/>
      <w:bookmarkEnd w:id="662"/>
      <w:bookmarkEnd w:id="663"/>
      <w:bookmarkEnd w:id="664"/>
      <w:bookmarkEnd w:id="665"/>
      <w:bookmarkEnd w:id="666"/>
    </w:p>
    <w:p w14:paraId="6EE69C81">
      <w:pPr>
        <w:spacing w:before="116" w:line="264" w:lineRule="auto"/>
        <w:ind w:left="1051" w:right="78" w:firstLine="414"/>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先做中美比较。中国是经济规模最大的发展中国家，美国是经济规模最大的发达国家。美国认</w:t>
      </w:r>
      <w:r>
        <w:rPr>
          <w:rFonts w:ascii="方正书宋简体" w:hAnsi="方正书宋简体" w:eastAsia="方正书宋简体" w:cs="方正书宋简体"/>
          <w:color w:val="231F20"/>
          <w:spacing w:val="-1"/>
          <w:sz w:val="21"/>
          <w:szCs w:val="21"/>
        </w:rPr>
        <w:t>为中国经济超速增长对它构成了威胁，但中国拥有快速发展经济的</w:t>
      </w:r>
      <w:r>
        <w:rPr>
          <w:rFonts w:ascii="方正书宋简体" w:hAnsi="方正书宋简体" w:eastAsia="方正书宋简体" w:cs="方正书宋简体"/>
          <w:color w:val="231F20"/>
          <w:spacing w:val="-2"/>
          <w:sz w:val="21"/>
          <w:szCs w:val="21"/>
        </w:rPr>
        <w:t>权力。</w:t>
      </w:r>
    </w:p>
    <w:p w14:paraId="5B011440">
      <w:pPr>
        <w:spacing w:before="1" w:line="205" w:lineRule="auto"/>
        <w:ind w:left="1347"/>
        <w:rPr>
          <w:rFonts w:ascii="微软雅黑" w:hAnsi="微软雅黑" w:eastAsia="微软雅黑" w:cs="微软雅黑"/>
          <w:sz w:val="21"/>
          <w:szCs w:val="21"/>
        </w:rPr>
      </w:pPr>
      <w:r>
        <w:rPr>
          <w:rFonts w:ascii="方正书宋简体" w:hAnsi="方正书宋简体" w:eastAsia="方正书宋简体" w:cs="方正书宋简体"/>
          <w:color w:val="231F20"/>
          <w:spacing w:val="-10"/>
          <w:sz w:val="21"/>
          <w:szCs w:val="21"/>
        </w:rPr>
        <w:t>（</w:t>
      </w:r>
      <w:r>
        <w:rPr>
          <w:rFonts w:ascii="方正书宋简体" w:hAnsi="方正书宋简体" w:eastAsia="方正书宋简体" w:cs="方正书宋简体"/>
          <w:color w:val="231F20"/>
          <w:spacing w:val="-28"/>
          <w:sz w:val="21"/>
          <w:szCs w:val="21"/>
        </w:rPr>
        <w:t xml:space="preserve"> </w:t>
      </w:r>
      <w:r>
        <w:rPr>
          <w:rFonts w:ascii="微软雅黑" w:hAnsi="微软雅黑" w:eastAsia="微软雅黑" w:cs="微软雅黑"/>
          <w:color w:val="231F20"/>
          <w:spacing w:val="-10"/>
          <w:sz w:val="21"/>
          <w:szCs w:val="21"/>
        </w:rPr>
        <w:t>一 ）基本事实</w:t>
      </w:r>
    </w:p>
    <w:p w14:paraId="3394171C">
      <w:pPr>
        <w:bidi w:val="0"/>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z w:val="21"/>
          <w:szCs w:val="21"/>
        </w:rPr>
        <w:t>图</w:t>
      </w:r>
      <w:r>
        <w:rPr>
          <w:rFonts w:ascii="方正书宋简体" w:hAnsi="方正书宋简体" w:eastAsia="方正书宋简体" w:cs="方正书宋简体"/>
          <w:color w:val="231F20"/>
          <w:spacing w:val="42"/>
          <w:sz w:val="21"/>
          <w:szCs w:val="21"/>
        </w:rPr>
        <w:t xml:space="preserve"> </w:t>
      </w:r>
      <w:r>
        <w:rPr>
          <w:color w:val="231F20"/>
          <w:sz w:val="21"/>
          <w:szCs w:val="21"/>
        </w:rPr>
        <w:t xml:space="preserve">1 </w:t>
      </w:r>
      <w:r>
        <w:rPr>
          <w:rFonts w:ascii="方正书宋简体" w:hAnsi="方正书宋简体" w:eastAsia="方正书宋简体" w:cs="方正书宋简体"/>
          <w:color w:val="231F20"/>
          <w:sz w:val="21"/>
          <w:szCs w:val="21"/>
        </w:rPr>
        <w:t>显示，上个世纪</w:t>
      </w:r>
      <w:r>
        <w:rPr>
          <w:rFonts w:ascii="方正书宋简体" w:hAnsi="方正书宋简体" w:eastAsia="方正书宋简体" w:cs="方正书宋简体"/>
          <w:color w:val="231F20"/>
          <w:spacing w:val="25"/>
          <w:sz w:val="21"/>
          <w:szCs w:val="21"/>
        </w:rPr>
        <w:t xml:space="preserve"> </w:t>
      </w:r>
      <w:r>
        <w:rPr>
          <w:color w:val="231F20"/>
          <w:sz w:val="21"/>
          <w:szCs w:val="21"/>
        </w:rPr>
        <w:t xml:space="preserve">80 </w:t>
      </w:r>
      <w:r>
        <w:rPr>
          <w:rFonts w:ascii="方正书宋简体" w:hAnsi="方正书宋简体" w:eastAsia="方正书宋简体" w:cs="方正书宋简体"/>
          <w:color w:val="231F20"/>
          <w:sz w:val="21"/>
          <w:szCs w:val="21"/>
        </w:rPr>
        <w:t xml:space="preserve">年代末至 </w:t>
      </w:r>
      <w:r>
        <w:rPr>
          <w:color w:val="231F20"/>
          <w:sz w:val="21"/>
          <w:szCs w:val="21"/>
        </w:rPr>
        <w:t xml:space="preserve">2021 </w:t>
      </w:r>
      <w:r>
        <w:rPr>
          <w:rFonts w:ascii="方正书宋简体" w:hAnsi="方正书宋简体" w:eastAsia="方正书宋简体" w:cs="方正书宋简体"/>
          <w:color w:val="231F20"/>
          <w:sz w:val="21"/>
          <w:szCs w:val="21"/>
        </w:rPr>
        <w:t>年，以现价美元计算的中美经济规模（</w:t>
      </w:r>
      <w:r>
        <w:rPr>
          <w:color w:val="231F20"/>
          <w:sz w:val="21"/>
          <w:szCs w:val="21"/>
        </w:rPr>
        <w:t>GDP</w:t>
      </w:r>
      <w:r>
        <w:rPr>
          <w:rFonts w:ascii="方正书宋简体" w:hAnsi="方正书宋简体" w:eastAsia="方正书宋简体" w:cs="方正书宋简体"/>
          <w:color w:val="231F20"/>
          <w:sz w:val="21"/>
          <w:szCs w:val="21"/>
        </w:rPr>
        <w:t>）之比呈上</w:t>
      </w:r>
    </w:p>
    <w:p w14:paraId="64766A23">
      <w:pPr>
        <w:pStyle w:val="6"/>
        <w:spacing w:before="72" w:line="271" w:lineRule="auto"/>
        <w:ind w:left="1050" w:right="87" w:hanging="1"/>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z w:val="21"/>
          <w:szCs w:val="21"/>
        </w:rPr>
        <w:t>升趋势。但是，该比值此后出现了异动。</w:t>
      </w:r>
      <w:r>
        <w:rPr>
          <w:color w:val="231F20"/>
          <w:sz w:val="21"/>
          <w:szCs w:val="21"/>
        </w:rPr>
        <w:t xml:space="preserve">2021 </w:t>
      </w:r>
      <w:r>
        <w:rPr>
          <w:rFonts w:ascii="方正书宋简体" w:hAnsi="方正书宋简体" w:eastAsia="方正书宋简体" w:cs="方正书宋简体"/>
          <w:color w:val="231F20"/>
          <w:sz w:val="21"/>
          <w:szCs w:val="21"/>
        </w:rPr>
        <w:t xml:space="preserve">年达到 </w:t>
      </w:r>
      <w:r>
        <w:rPr>
          <w:color w:val="231F20"/>
          <w:sz w:val="21"/>
          <w:szCs w:val="21"/>
        </w:rPr>
        <w:t>76</w:t>
      </w:r>
      <w:r>
        <w:rPr>
          <w:color w:val="231F20"/>
          <w:spacing w:val="-1"/>
          <w:sz w:val="21"/>
          <w:szCs w:val="21"/>
        </w:rPr>
        <w:t>.4%</w:t>
      </w:r>
      <w:r>
        <w:rPr>
          <w:color w:val="231F20"/>
          <w:spacing w:val="21"/>
          <w:w w:val="101"/>
          <w:sz w:val="21"/>
          <w:szCs w:val="21"/>
        </w:rPr>
        <w:t xml:space="preserve"> </w:t>
      </w:r>
      <w:r>
        <w:rPr>
          <w:rFonts w:ascii="方正书宋简体" w:hAnsi="方正书宋简体" w:eastAsia="方正书宋简体" w:cs="方正书宋简体"/>
          <w:color w:val="231F20"/>
          <w:spacing w:val="-1"/>
          <w:sz w:val="21"/>
          <w:szCs w:val="21"/>
        </w:rPr>
        <w:t>的高点后，</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 xml:space="preserve">年下降至 </w:t>
      </w:r>
      <w:r>
        <w:rPr>
          <w:color w:val="231F20"/>
          <w:spacing w:val="-1"/>
          <w:sz w:val="21"/>
          <w:szCs w:val="21"/>
        </w:rPr>
        <w:t>70.5%</w:t>
      </w:r>
      <w:r>
        <w:rPr>
          <w:rFonts w:ascii="方正书宋简体" w:hAnsi="方正书宋简体" w:eastAsia="方正书宋简体" w:cs="方正书宋简体"/>
          <w:color w:val="231F20"/>
          <w:spacing w:val="-1"/>
          <w:sz w:val="21"/>
          <w:szCs w:val="21"/>
        </w:rPr>
        <w:t>，大跌</w:t>
      </w:r>
      <w:r>
        <w:rPr>
          <w:color w:val="231F20"/>
          <w:spacing w:val="-2"/>
          <w:sz w:val="21"/>
          <w:szCs w:val="21"/>
        </w:rPr>
        <w:t>5.9%</w:t>
      </w:r>
      <w:r>
        <w:rPr>
          <w:rFonts w:ascii="方正书宋简体" w:hAnsi="方正书宋简体" w:eastAsia="方正书宋简体" w:cs="方正书宋简体"/>
          <w:color w:val="231F20"/>
          <w:spacing w:val="-2"/>
          <w:sz w:val="21"/>
          <w:szCs w:val="21"/>
        </w:rPr>
        <w:t>，</w:t>
      </w:r>
      <w:r>
        <w:rPr>
          <w:color w:val="231F20"/>
          <w:spacing w:val="-2"/>
          <w:sz w:val="21"/>
          <w:szCs w:val="21"/>
        </w:rPr>
        <w:t xml:space="preserve">2023 </w:t>
      </w:r>
      <w:r>
        <w:rPr>
          <w:rFonts w:ascii="方正书宋简体" w:hAnsi="方正书宋简体" w:eastAsia="方正书宋简体" w:cs="方正书宋简体"/>
          <w:color w:val="231F20"/>
          <w:spacing w:val="-2"/>
          <w:sz w:val="21"/>
          <w:szCs w:val="21"/>
        </w:rPr>
        <w:t>年仍在下跌。</w:t>
      </w:r>
    </w:p>
    <w:p w14:paraId="0730AAB0">
      <w:pPr>
        <w:spacing w:line="2807" w:lineRule="exact"/>
        <w:ind w:firstLine="2220"/>
      </w:pPr>
      <w:r>
        <w:rPr>
          <w:position w:val="-56"/>
        </w:rPr>
        <w:drawing>
          <wp:inline distT="0" distB="0" distL="0" distR="0">
            <wp:extent cx="4298315" cy="1782445"/>
            <wp:effectExtent l="0" t="0" r="19685" b="20955"/>
            <wp:docPr id="9" name="IM 4"/>
            <wp:cNvGraphicFramePr/>
            <a:graphic xmlns:a="http://schemas.openxmlformats.org/drawingml/2006/main">
              <a:graphicData uri="http://schemas.openxmlformats.org/drawingml/2006/picture">
                <pic:pic xmlns:pic="http://schemas.openxmlformats.org/drawingml/2006/picture">
                  <pic:nvPicPr>
                    <pic:cNvPr id="9" name="IM 4"/>
                    <pic:cNvPicPr/>
                  </pic:nvPicPr>
                  <pic:blipFill>
                    <a:blip r:embed="rId77"/>
                    <a:stretch>
                      <a:fillRect/>
                    </a:stretch>
                  </pic:blipFill>
                  <pic:spPr>
                    <a:xfrm>
                      <a:off x="0" y="0"/>
                      <a:ext cx="4298767" cy="1782914"/>
                    </a:xfrm>
                    <a:prstGeom prst="rect">
                      <a:avLst/>
                    </a:prstGeom>
                  </pic:spPr>
                </pic:pic>
              </a:graphicData>
            </a:graphic>
          </wp:inline>
        </w:drawing>
      </w:r>
    </w:p>
    <w:p w14:paraId="44832DE9">
      <w:pPr>
        <w:bidi w:val="0"/>
        <w:jc w:val="center"/>
        <w:rPr>
          <w:rFonts w:ascii="黑体" w:hAnsi="黑体" w:eastAsia="黑体" w:cs="黑体"/>
          <w:sz w:val="21"/>
          <w:szCs w:val="21"/>
        </w:rPr>
      </w:pPr>
      <w:r>
        <w:rPr>
          <w:rFonts w:ascii="黑体" w:hAnsi="黑体" w:eastAsia="黑体" w:cs="黑体"/>
          <w:color w:val="231F20"/>
          <w:spacing w:val="-1"/>
          <w:sz w:val="21"/>
          <w:szCs w:val="21"/>
        </w:rPr>
        <w:t>图</w:t>
      </w:r>
      <w:r>
        <w:rPr>
          <w:rFonts w:ascii="黑体" w:hAnsi="黑体" w:eastAsia="黑体" w:cs="黑体"/>
          <w:color w:val="231F20"/>
          <w:spacing w:val="-28"/>
          <w:sz w:val="21"/>
          <w:szCs w:val="21"/>
        </w:rPr>
        <w:t xml:space="preserve"> </w:t>
      </w:r>
      <w:r>
        <w:rPr>
          <w:color w:val="231F20"/>
          <w:spacing w:val="-1"/>
          <w:sz w:val="21"/>
          <w:szCs w:val="21"/>
        </w:rPr>
        <w:t xml:space="preserve">1   </w:t>
      </w:r>
      <w:r>
        <w:rPr>
          <w:rFonts w:ascii="黑体" w:hAnsi="黑体" w:eastAsia="黑体" w:cs="黑体"/>
          <w:color w:val="231F20"/>
          <w:spacing w:val="-1"/>
          <w:sz w:val="21"/>
          <w:szCs w:val="21"/>
        </w:rPr>
        <w:t>中美经济增长率（左轴，</w:t>
      </w:r>
      <w:r>
        <w:rPr>
          <w:color w:val="231F20"/>
          <w:spacing w:val="-1"/>
          <w:sz w:val="21"/>
          <w:szCs w:val="21"/>
        </w:rPr>
        <w:t>%</w:t>
      </w:r>
      <w:r>
        <w:rPr>
          <w:rFonts w:ascii="黑体" w:hAnsi="黑体" w:eastAsia="黑体" w:cs="黑体"/>
          <w:color w:val="231F20"/>
          <w:spacing w:val="-1"/>
          <w:sz w:val="21"/>
          <w:szCs w:val="21"/>
        </w:rPr>
        <w:t>）与中美</w:t>
      </w:r>
      <w:r>
        <w:rPr>
          <w:rFonts w:ascii="黑体" w:hAnsi="黑体" w:eastAsia="黑体" w:cs="黑体"/>
          <w:color w:val="231F20"/>
          <w:spacing w:val="-2"/>
          <w:sz w:val="21"/>
          <w:szCs w:val="21"/>
        </w:rPr>
        <w:t>经济规模之比（右轴，</w:t>
      </w:r>
      <w:r>
        <w:rPr>
          <w:color w:val="231F20"/>
          <w:spacing w:val="-2"/>
          <w:sz w:val="21"/>
          <w:szCs w:val="21"/>
        </w:rPr>
        <w:t>%</w:t>
      </w:r>
      <w:r>
        <w:rPr>
          <w:rFonts w:ascii="黑体" w:hAnsi="黑体" w:eastAsia="黑体" w:cs="黑体"/>
          <w:color w:val="231F20"/>
          <w:spacing w:val="-2"/>
          <w:sz w:val="21"/>
          <w:szCs w:val="21"/>
        </w:rPr>
        <w:t>）动态变化</w:t>
      </w:r>
    </w:p>
    <w:p w14:paraId="20CCD4A5">
      <w:pPr>
        <w:spacing w:before="137" w:line="208" w:lineRule="auto"/>
        <w:ind w:left="4068"/>
        <w:rPr>
          <w:rFonts w:ascii="方正书宋简体" w:hAnsi="方正书宋简体" w:eastAsia="方正书宋简体" w:cs="方正书宋简体"/>
          <w:sz w:val="18"/>
          <w:szCs w:val="18"/>
        </w:rPr>
      </w:pPr>
      <w:r>
        <w:rPr>
          <w:rFonts w:ascii="方正书宋简体" w:hAnsi="方正书宋简体" w:eastAsia="方正书宋简体" w:cs="方正书宋简体"/>
          <w:color w:val="231F20"/>
          <w:sz w:val="18"/>
          <w:szCs w:val="18"/>
        </w:rPr>
        <w:t>（数据来自于世界银行数据库，下同）</w:t>
      </w:r>
    </w:p>
    <w:p w14:paraId="08055464">
      <w:pPr>
        <w:pStyle w:val="6"/>
        <w:spacing w:before="157" w:line="272" w:lineRule="auto"/>
        <w:ind w:left="1046" w:right="80" w:firstLine="425"/>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为了解析这一异常现象，先给出</w:t>
      </w:r>
      <w:r>
        <w:rPr>
          <w:rFonts w:ascii="方正书宋简体" w:hAnsi="方正书宋简体" w:eastAsia="方正书宋简体" w:cs="方正书宋简体"/>
          <w:color w:val="231F20"/>
          <w:spacing w:val="36"/>
          <w:w w:val="101"/>
          <w:sz w:val="21"/>
          <w:szCs w:val="21"/>
        </w:rPr>
        <w:t xml:space="preserve"> </w:t>
      </w:r>
      <w:r>
        <w:rPr>
          <w:color w:val="231F20"/>
          <w:spacing w:val="1"/>
          <w:sz w:val="21"/>
          <w:szCs w:val="21"/>
        </w:rPr>
        <w:t xml:space="preserve">3 </w:t>
      </w:r>
      <w:r>
        <w:rPr>
          <w:rFonts w:ascii="方正书宋简体" w:hAnsi="方正书宋简体" w:eastAsia="方正书宋简体" w:cs="方正书宋简体"/>
          <w:color w:val="231F20"/>
          <w:spacing w:val="1"/>
          <w:sz w:val="21"/>
          <w:szCs w:val="21"/>
        </w:rPr>
        <w:t>个基本事实：一是中国实际增长率依然比美国高。实际增长</w:t>
      </w:r>
      <w:r>
        <w:rPr>
          <w:rFonts w:ascii="方正书宋简体" w:hAnsi="方正书宋简体" w:eastAsia="方正书宋简体" w:cs="方正书宋简体"/>
          <w:color w:val="231F20"/>
          <w:spacing w:val="-4"/>
          <w:sz w:val="21"/>
          <w:szCs w:val="21"/>
        </w:rPr>
        <w:t>率是用可比价格计算的。表</w:t>
      </w:r>
      <w:r>
        <w:rPr>
          <w:rFonts w:ascii="方正书宋简体" w:hAnsi="方正书宋简体" w:eastAsia="方正书宋简体" w:cs="方正书宋简体"/>
          <w:color w:val="231F20"/>
          <w:spacing w:val="33"/>
          <w:w w:val="101"/>
          <w:sz w:val="21"/>
          <w:szCs w:val="21"/>
        </w:rPr>
        <w:t xml:space="preserve"> </w:t>
      </w:r>
      <w:r>
        <w:rPr>
          <w:color w:val="231F20"/>
          <w:spacing w:val="-4"/>
          <w:sz w:val="21"/>
          <w:szCs w:val="21"/>
        </w:rPr>
        <w:t xml:space="preserve">1 </w:t>
      </w:r>
      <w:r>
        <w:rPr>
          <w:rFonts w:ascii="方正书宋简体" w:hAnsi="方正书宋简体" w:eastAsia="方正书宋简体" w:cs="方正书宋简体"/>
          <w:color w:val="231F20"/>
          <w:spacing w:val="-4"/>
          <w:sz w:val="21"/>
          <w:szCs w:val="21"/>
        </w:rPr>
        <w:t>显示，</w:t>
      </w:r>
      <w:r>
        <w:rPr>
          <w:color w:val="231F20"/>
          <w:spacing w:val="-4"/>
          <w:sz w:val="21"/>
          <w:szCs w:val="21"/>
        </w:rPr>
        <w:t xml:space="preserve">2020 </w:t>
      </w:r>
      <w:r>
        <w:rPr>
          <w:rFonts w:ascii="方正书宋简体" w:hAnsi="方正书宋简体" w:eastAsia="方正书宋简体" w:cs="方正书宋简体"/>
          <w:color w:val="231F20"/>
          <w:spacing w:val="-4"/>
          <w:sz w:val="21"/>
          <w:szCs w:val="21"/>
        </w:rPr>
        <w:t>年、</w:t>
      </w:r>
      <w:r>
        <w:rPr>
          <w:color w:val="231F20"/>
          <w:spacing w:val="-4"/>
          <w:sz w:val="21"/>
          <w:szCs w:val="21"/>
        </w:rPr>
        <w:t xml:space="preserve">2021 </w:t>
      </w:r>
      <w:r>
        <w:rPr>
          <w:rFonts w:ascii="方正书宋简体" w:hAnsi="方正书宋简体" w:eastAsia="方正书宋简体" w:cs="方正书宋简体"/>
          <w:color w:val="231F20"/>
          <w:spacing w:val="-4"/>
          <w:sz w:val="21"/>
          <w:szCs w:val="21"/>
        </w:rPr>
        <w:t xml:space="preserve">年和 </w:t>
      </w:r>
      <w:r>
        <w:rPr>
          <w:color w:val="231F20"/>
          <w:spacing w:val="-4"/>
          <w:sz w:val="21"/>
          <w:szCs w:val="21"/>
        </w:rPr>
        <w:t xml:space="preserve">2022 </w:t>
      </w:r>
      <w:r>
        <w:rPr>
          <w:rFonts w:ascii="方正书宋简体" w:hAnsi="方正书宋简体" w:eastAsia="方正书宋简体" w:cs="方正书宋简体"/>
          <w:color w:val="231F20"/>
          <w:spacing w:val="-4"/>
          <w:sz w:val="21"/>
          <w:szCs w:val="21"/>
        </w:rPr>
        <w:t xml:space="preserve">年，中国实际增长率分别为 </w:t>
      </w:r>
      <w:r>
        <w:rPr>
          <w:color w:val="231F20"/>
          <w:spacing w:val="-4"/>
          <w:sz w:val="21"/>
          <w:szCs w:val="21"/>
        </w:rPr>
        <w:t>2.2%</w:t>
      </w:r>
      <w:r>
        <w:rPr>
          <w:rFonts w:ascii="方正书宋简体" w:hAnsi="方正书宋简体" w:eastAsia="方正书宋简体" w:cs="方正书宋简体"/>
          <w:color w:val="231F20"/>
          <w:spacing w:val="-4"/>
          <w:sz w:val="21"/>
          <w:szCs w:val="21"/>
        </w:rPr>
        <w:t>、</w:t>
      </w:r>
      <w:r>
        <w:rPr>
          <w:color w:val="231F20"/>
          <w:spacing w:val="-4"/>
          <w:sz w:val="21"/>
          <w:szCs w:val="21"/>
        </w:rPr>
        <w:t>8.4%</w:t>
      </w:r>
      <w:r>
        <w:rPr>
          <w:rFonts w:ascii="方正书宋简体" w:hAnsi="方正书宋简体" w:eastAsia="方正书宋简体" w:cs="方正书宋简体"/>
          <w:color w:val="231F20"/>
          <w:spacing w:val="2"/>
          <w:sz w:val="21"/>
          <w:szCs w:val="21"/>
        </w:rPr>
        <w:t xml:space="preserve">和 </w:t>
      </w:r>
      <w:r>
        <w:rPr>
          <w:color w:val="231F20"/>
          <w:spacing w:val="2"/>
          <w:sz w:val="21"/>
          <w:szCs w:val="21"/>
        </w:rPr>
        <w:t>3.0%</w:t>
      </w:r>
      <w:r>
        <w:rPr>
          <w:rFonts w:ascii="方正书宋简体" w:hAnsi="方正书宋简体" w:eastAsia="方正书宋简体" w:cs="方正书宋简体"/>
          <w:color w:val="231F20"/>
          <w:spacing w:val="2"/>
          <w:sz w:val="21"/>
          <w:szCs w:val="21"/>
        </w:rPr>
        <w:t>，同期美国实际增长率分别为</w:t>
      </w:r>
      <w:r>
        <w:rPr>
          <w:rFonts w:ascii="方正书宋简体" w:hAnsi="方正书宋简体" w:eastAsia="方正书宋简体" w:cs="方正书宋简体"/>
          <w:color w:val="231F20"/>
          <w:spacing w:val="23"/>
          <w:w w:val="101"/>
          <w:sz w:val="21"/>
          <w:szCs w:val="21"/>
        </w:rPr>
        <w:t xml:space="preserve"> </w:t>
      </w:r>
      <w:r>
        <w:rPr>
          <w:rFonts w:ascii="宋体" w:hAnsi="宋体" w:eastAsia="宋体" w:cs="宋体"/>
          <w:color w:val="231F20"/>
          <w:spacing w:val="1"/>
          <w:sz w:val="21"/>
          <w:szCs w:val="21"/>
        </w:rPr>
        <w:t>-</w:t>
      </w:r>
      <w:r>
        <w:rPr>
          <w:color w:val="231F20"/>
          <w:spacing w:val="1"/>
          <w:sz w:val="21"/>
          <w:szCs w:val="21"/>
        </w:rPr>
        <w:t>2.8%</w:t>
      </w:r>
      <w:r>
        <w:rPr>
          <w:color w:val="231F20"/>
          <w:spacing w:val="-30"/>
          <w:sz w:val="21"/>
          <w:szCs w:val="21"/>
        </w:rPr>
        <w:t xml:space="preserve"> </w:t>
      </w:r>
      <w:r>
        <w:rPr>
          <w:rFonts w:ascii="方正书宋简体" w:hAnsi="方正书宋简体" w:eastAsia="方正书宋简体" w:cs="方正书宋简体"/>
          <w:color w:val="231F20"/>
          <w:spacing w:val="1"/>
          <w:sz w:val="21"/>
          <w:szCs w:val="21"/>
        </w:rPr>
        <w:t>、</w:t>
      </w:r>
      <w:r>
        <w:rPr>
          <w:color w:val="231F20"/>
          <w:spacing w:val="1"/>
          <w:sz w:val="21"/>
          <w:szCs w:val="21"/>
        </w:rPr>
        <w:t xml:space="preserve">5.9% </w:t>
      </w:r>
      <w:r>
        <w:rPr>
          <w:rFonts w:ascii="方正书宋简体" w:hAnsi="方正书宋简体" w:eastAsia="方正书宋简体" w:cs="方正书宋简体"/>
          <w:color w:val="231F20"/>
          <w:spacing w:val="1"/>
          <w:sz w:val="21"/>
          <w:szCs w:val="21"/>
        </w:rPr>
        <w:t xml:space="preserve">和 </w:t>
      </w:r>
      <w:r>
        <w:rPr>
          <w:color w:val="231F20"/>
          <w:spacing w:val="1"/>
          <w:sz w:val="21"/>
          <w:szCs w:val="21"/>
        </w:rPr>
        <w:t>2.1%</w:t>
      </w:r>
      <w:r>
        <w:rPr>
          <w:rFonts w:ascii="方正书宋简体" w:hAnsi="方正书宋简体" w:eastAsia="方正书宋简体" w:cs="方正书宋简体"/>
          <w:color w:val="231F20"/>
          <w:spacing w:val="1"/>
          <w:sz w:val="21"/>
          <w:szCs w:val="21"/>
        </w:rPr>
        <w:t>。可见，三年中的任何一年，中国的实</w:t>
      </w:r>
      <w:r>
        <w:rPr>
          <w:rFonts w:ascii="方正书宋简体" w:hAnsi="方正书宋简体" w:eastAsia="方正书宋简体" w:cs="方正书宋简体"/>
          <w:color w:val="231F20"/>
          <w:spacing w:val="2"/>
          <w:sz w:val="21"/>
          <w:szCs w:val="21"/>
        </w:rPr>
        <w:t>际增长率都比美国高，符合中国改革开放后两国实际增长率增长趋势的长期特征。因此，导致前述</w:t>
      </w:r>
      <w:r>
        <w:rPr>
          <w:rFonts w:ascii="方正书宋简体" w:hAnsi="方正书宋简体" w:eastAsia="方正书宋简体" w:cs="方正书宋简体"/>
          <w:color w:val="231F20"/>
          <w:spacing w:val="-2"/>
          <w:sz w:val="21"/>
          <w:szCs w:val="21"/>
        </w:rPr>
        <w:t>异常现象的，必有实际增长率之外的因素。</w:t>
      </w:r>
    </w:p>
    <w:p w14:paraId="1AA7CDAA">
      <w:pPr>
        <w:bidi w:val="0"/>
        <w:jc w:val="center"/>
        <w:rPr>
          <w:rFonts w:ascii="微软雅黑" w:hAnsi="微软雅黑" w:eastAsia="微软雅黑" w:cs="微软雅黑"/>
          <w:sz w:val="21"/>
          <w:szCs w:val="21"/>
        </w:rPr>
      </w:pPr>
      <w:r>
        <w:rPr>
          <w:rFonts w:ascii="微软雅黑" w:hAnsi="微软雅黑" w:eastAsia="微软雅黑" w:cs="微软雅黑"/>
          <w:color w:val="231F20"/>
          <w:spacing w:val="-4"/>
          <w:sz w:val="21"/>
          <w:szCs w:val="21"/>
        </w:rPr>
        <w:t>表</w:t>
      </w:r>
      <w:r>
        <w:rPr>
          <w:rFonts w:ascii="微软雅黑" w:hAnsi="微软雅黑" w:eastAsia="微软雅黑" w:cs="微软雅黑"/>
          <w:color w:val="231F20"/>
          <w:spacing w:val="14"/>
          <w:sz w:val="21"/>
          <w:szCs w:val="21"/>
        </w:rPr>
        <w:t xml:space="preserve"> </w:t>
      </w:r>
      <w:r>
        <w:rPr>
          <w:color w:val="231F20"/>
          <w:spacing w:val="-4"/>
          <w:sz w:val="21"/>
          <w:szCs w:val="21"/>
        </w:rPr>
        <w:t xml:space="preserve">1 </w:t>
      </w:r>
      <w:r>
        <w:rPr>
          <w:rFonts w:ascii="微软雅黑" w:hAnsi="微软雅黑" w:eastAsia="微软雅黑" w:cs="微软雅黑"/>
          <w:color w:val="231F20"/>
          <w:spacing w:val="-4"/>
          <w:sz w:val="21"/>
          <w:szCs w:val="21"/>
        </w:rPr>
        <w:t xml:space="preserve">按不同方式计算的中美经济增长率（ </w:t>
      </w:r>
      <w:r>
        <w:rPr>
          <w:color w:val="231F20"/>
          <w:spacing w:val="-4"/>
          <w:sz w:val="21"/>
          <w:szCs w:val="21"/>
        </w:rPr>
        <w:t xml:space="preserve">% </w:t>
      </w:r>
      <w:r>
        <w:rPr>
          <w:rFonts w:ascii="微软雅黑" w:hAnsi="微软雅黑" w:eastAsia="微软雅黑" w:cs="微软雅黑"/>
          <w:color w:val="231F20"/>
          <w:spacing w:val="-4"/>
          <w:sz w:val="21"/>
          <w:szCs w:val="21"/>
        </w:rPr>
        <w:t>）</w:t>
      </w:r>
    </w:p>
    <w:p w14:paraId="2632B01A">
      <w:pPr>
        <w:spacing w:line="36" w:lineRule="exact"/>
      </w:pPr>
    </w:p>
    <w:tbl>
      <w:tblPr>
        <w:tblStyle w:val="25"/>
        <w:tblW w:w="9107" w:type="dxa"/>
        <w:tblInd w:w="1052"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395"/>
        <w:gridCol w:w="824"/>
        <w:gridCol w:w="735"/>
        <w:gridCol w:w="735"/>
        <w:gridCol w:w="736"/>
        <w:gridCol w:w="735"/>
        <w:gridCol w:w="736"/>
        <w:gridCol w:w="736"/>
        <w:gridCol w:w="736"/>
        <w:gridCol w:w="739"/>
      </w:tblGrid>
      <w:tr w14:paraId="71ABCC34">
        <w:trPr>
          <w:trHeight w:val="271" w:hRule="atLeast"/>
        </w:trPr>
        <w:tc>
          <w:tcPr>
            <w:tcW w:w="2395" w:type="dxa"/>
            <w:vMerge w:val="restart"/>
            <w:tcBorders>
              <w:top w:val="single" w:color="231F20" w:sz="8" w:space="0"/>
              <w:bottom w:val="nil"/>
            </w:tcBorders>
            <w:vAlign w:val="top"/>
          </w:tcPr>
          <w:p w14:paraId="7E269854">
            <w:pPr>
              <w:autoSpaceDE w:val="0"/>
              <w:autoSpaceDN w:val="0"/>
              <w:spacing w:line="263" w:lineRule="auto"/>
              <w:rPr>
                <w:rFonts w:ascii="Arial"/>
                <w:sz w:val="21"/>
              </w:rPr>
            </w:pPr>
          </w:p>
          <w:p w14:paraId="2AEC7A19">
            <w:pPr>
              <w:autoSpaceDE w:val="0"/>
              <w:autoSpaceDN w:val="0"/>
              <w:spacing w:before="58" w:line="218" w:lineRule="auto"/>
              <w:ind w:left="623"/>
              <w:rPr>
                <w:rFonts w:ascii="楷体" w:hAnsi="楷体" w:eastAsia="楷体" w:cs="楷体"/>
                <w:sz w:val="18"/>
                <w:szCs w:val="18"/>
              </w:rPr>
            </w:pPr>
            <w:r>
              <w:rPr>
                <w:rFonts w:ascii="楷体" w:hAnsi="楷体" w:eastAsia="楷体" w:cs="楷体"/>
                <w:color w:val="231F20"/>
                <w:spacing w:val="-2"/>
                <w:sz w:val="18"/>
                <w:szCs w:val="18"/>
              </w:rPr>
              <w:t>增长率计算方式</w:t>
            </w:r>
          </w:p>
        </w:tc>
        <w:tc>
          <w:tcPr>
            <w:tcW w:w="824" w:type="dxa"/>
            <w:vMerge w:val="restart"/>
            <w:tcBorders>
              <w:top w:val="single" w:color="231F20" w:sz="8" w:space="0"/>
              <w:bottom w:val="nil"/>
            </w:tcBorders>
            <w:vAlign w:val="top"/>
          </w:tcPr>
          <w:p w14:paraId="18F0B30A">
            <w:pPr>
              <w:autoSpaceDE w:val="0"/>
              <w:autoSpaceDN w:val="0"/>
              <w:spacing w:line="263" w:lineRule="auto"/>
              <w:rPr>
                <w:rFonts w:ascii="Arial"/>
                <w:sz w:val="21"/>
              </w:rPr>
            </w:pPr>
          </w:p>
          <w:p w14:paraId="0439E16B">
            <w:pPr>
              <w:pStyle w:val="26"/>
              <w:autoSpaceDE w:val="0"/>
              <w:autoSpaceDN w:val="0"/>
              <w:spacing w:before="58" w:line="218" w:lineRule="auto"/>
              <w:ind w:left="171"/>
              <w:rPr>
                <w:rFonts w:ascii="楷体" w:hAnsi="楷体" w:eastAsia="楷体" w:cs="楷体"/>
              </w:rPr>
            </w:pPr>
            <w:r>
              <w:rPr>
                <w:color w:val="231F20"/>
                <w:spacing w:val="-1"/>
              </w:rPr>
              <w:t>2020</w:t>
            </w:r>
            <w:r>
              <w:rPr>
                <w:color w:val="231F20"/>
                <w:spacing w:val="5"/>
              </w:rPr>
              <w:t xml:space="preserve"> </w:t>
            </w:r>
            <w:r>
              <w:rPr>
                <w:rFonts w:ascii="楷体" w:hAnsi="楷体" w:eastAsia="楷体" w:cs="楷体"/>
                <w:color w:val="231F20"/>
                <w:spacing w:val="-1"/>
              </w:rPr>
              <w:t>年</w:t>
            </w:r>
          </w:p>
        </w:tc>
        <w:tc>
          <w:tcPr>
            <w:tcW w:w="735" w:type="dxa"/>
            <w:vMerge w:val="restart"/>
            <w:tcBorders>
              <w:top w:val="single" w:color="231F20" w:sz="8" w:space="0"/>
              <w:bottom w:val="nil"/>
            </w:tcBorders>
            <w:vAlign w:val="top"/>
          </w:tcPr>
          <w:p w14:paraId="25EB56D1">
            <w:pPr>
              <w:autoSpaceDE w:val="0"/>
              <w:autoSpaceDN w:val="0"/>
              <w:spacing w:before="39" w:line="235" w:lineRule="auto"/>
              <w:ind w:left="221"/>
              <w:rPr>
                <w:rFonts w:ascii="楷体" w:hAnsi="楷体" w:eastAsia="楷体" w:cs="楷体"/>
                <w:sz w:val="18"/>
                <w:szCs w:val="18"/>
              </w:rPr>
            </w:pPr>
            <w:r>
              <w:rPr>
                <w:rFonts w:ascii="楷体" w:hAnsi="楷体" w:eastAsia="楷体" w:cs="楷体"/>
                <w:color w:val="231F20"/>
                <w:spacing w:val="-8"/>
                <w:sz w:val="18"/>
                <w:szCs w:val="18"/>
              </w:rPr>
              <w:t>中国</w:t>
            </w:r>
          </w:p>
          <w:p w14:paraId="7106EE79">
            <w:pPr>
              <w:pStyle w:val="26"/>
              <w:autoSpaceDE w:val="0"/>
              <w:autoSpaceDN w:val="0"/>
              <w:spacing w:before="54" w:line="218" w:lineRule="auto"/>
              <w:ind w:left="82"/>
              <w:rPr>
                <w:rFonts w:ascii="楷体" w:hAnsi="楷体" w:eastAsia="楷体" w:cs="楷体"/>
              </w:rPr>
            </w:pPr>
            <w:r>
              <w:rPr>
                <w:color w:val="231F20"/>
                <w:spacing w:val="-1"/>
              </w:rPr>
              <w:t>2021</w:t>
            </w:r>
            <w:r>
              <w:rPr>
                <w:color w:val="231F20"/>
                <w:spacing w:val="5"/>
              </w:rPr>
              <w:t xml:space="preserve"> </w:t>
            </w:r>
            <w:r>
              <w:rPr>
                <w:rFonts w:ascii="楷体" w:hAnsi="楷体" w:eastAsia="楷体" w:cs="楷体"/>
                <w:color w:val="231F20"/>
                <w:spacing w:val="-1"/>
              </w:rPr>
              <w:t>年</w:t>
            </w:r>
          </w:p>
        </w:tc>
        <w:tc>
          <w:tcPr>
            <w:tcW w:w="735" w:type="dxa"/>
            <w:vMerge w:val="restart"/>
            <w:tcBorders>
              <w:top w:val="single" w:color="231F20" w:sz="8" w:space="0"/>
              <w:bottom w:val="nil"/>
            </w:tcBorders>
            <w:vAlign w:val="top"/>
          </w:tcPr>
          <w:p w14:paraId="20BF513B">
            <w:pPr>
              <w:autoSpaceDE w:val="0"/>
              <w:autoSpaceDN w:val="0"/>
              <w:spacing w:line="263" w:lineRule="auto"/>
              <w:rPr>
                <w:rFonts w:ascii="Arial"/>
                <w:sz w:val="21"/>
              </w:rPr>
            </w:pPr>
          </w:p>
          <w:p w14:paraId="63365E8C">
            <w:pPr>
              <w:pStyle w:val="26"/>
              <w:autoSpaceDE w:val="0"/>
              <w:autoSpaceDN w:val="0"/>
              <w:spacing w:before="58" w:line="218" w:lineRule="auto"/>
              <w:ind w:left="83"/>
              <w:rPr>
                <w:rFonts w:ascii="楷体" w:hAnsi="楷体" w:eastAsia="楷体" w:cs="楷体"/>
              </w:rPr>
            </w:pPr>
            <w:r>
              <w:rPr>
                <w:color w:val="231F20"/>
                <w:spacing w:val="-1"/>
              </w:rPr>
              <w:t>2022</w:t>
            </w:r>
            <w:r>
              <w:rPr>
                <w:color w:val="231F20"/>
                <w:spacing w:val="5"/>
              </w:rPr>
              <w:t xml:space="preserve"> </w:t>
            </w:r>
            <w:r>
              <w:rPr>
                <w:rFonts w:ascii="楷体" w:hAnsi="楷体" w:eastAsia="楷体" w:cs="楷体"/>
                <w:color w:val="231F20"/>
                <w:spacing w:val="-1"/>
              </w:rPr>
              <w:t>年</w:t>
            </w:r>
          </w:p>
        </w:tc>
        <w:tc>
          <w:tcPr>
            <w:tcW w:w="736" w:type="dxa"/>
            <w:vMerge w:val="restart"/>
            <w:tcBorders>
              <w:top w:val="single" w:color="231F20" w:sz="8" w:space="0"/>
              <w:bottom w:val="nil"/>
            </w:tcBorders>
            <w:vAlign w:val="top"/>
          </w:tcPr>
          <w:p w14:paraId="2D386829">
            <w:pPr>
              <w:autoSpaceDE w:val="0"/>
              <w:autoSpaceDN w:val="0"/>
              <w:spacing w:line="263" w:lineRule="auto"/>
              <w:rPr>
                <w:rFonts w:ascii="Arial"/>
                <w:sz w:val="21"/>
              </w:rPr>
            </w:pPr>
          </w:p>
          <w:p w14:paraId="09E937B5">
            <w:pPr>
              <w:pStyle w:val="26"/>
              <w:autoSpaceDE w:val="0"/>
              <w:autoSpaceDN w:val="0"/>
              <w:spacing w:before="58" w:line="218" w:lineRule="auto"/>
              <w:ind w:left="84"/>
              <w:rPr>
                <w:rFonts w:ascii="楷体" w:hAnsi="楷体" w:eastAsia="楷体" w:cs="楷体"/>
              </w:rPr>
            </w:pPr>
            <w:r>
              <w:rPr>
                <w:color w:val="231F20"/>
                <w:spacing w:val="-1"/>
              </w:rPr>
              <w:t>2020</w:t>
            </w:r>
            <w:r>
              <w:rPr>
                <w:color w:val="231F20"/>
                <w:spacing w:val="5"/>
              </w:rPr>
              <w:t xml:space="preserve"> </w:t>
            </w:r>
            <w:r>
              <w:rPr>
                <w:rFonts w:ascii="楷体" w:hAnsi="楷体" w:eastAsia="楷体" w:cs="楷体"/>
                <w:color w:val="231F20"/>
                <w:spacing w:val="-1"/>
              </w:rPr>
              <w:t>年</w:t>
            </w:r>
          </w:p>
        </w:tc>
        <w:tc>
          <w:tcPr>
            <w:tcW w:w="735" w:type="dxa"/>
            <w:vMerge w:val="restart"/>
            <w:tcBorders>
              <w:top w:val="single" w:color="231F20" w:sz="8" w:space="0"/>
              <w:bottom w:val="nil"/>
            </w:tcBorders>
            <w:vAlign w:val="top"/>
          </w:tcPr>
          <w:p w14:paraId="498908BB">
            <w:pPr>
              <w:autoSpaceDE w:val="0"/>
              <w:autoSpaceDN w:val="0"/>
              <w:spacing w:before="39" w:line="237" w:lineRule="auto"/>
              <w:ind w:left="207"/>
              <w:rPr>
                <w:rFonts w:ascii="楷体" w:hAnsi="楷体" w:eastAsia="楷体" w:cs="楷体"/>
                <w:sz w:val="18"/>
                <w:szCs w:val="18"/>
              </w:rPr>
            </w:pPr>
            <w:r>
              <w:rPr>
                <w:rFonts w:ascii="楷体" w:hAnsi="楷体" w:eastAsia="楷体" w:cs="楷体"/>
                <w:color w:val="231F20"/>
                <w:spacing w:val="-4"/>
                <w:sz w:val="18"/>
                <w:szCs w:val="18"/>
              </w:rPr>
              <w:t>美国</w:t>
            </w:r>
          </w:p>
          <w:p w14:paraId="4F8AB3FF">
            <w:pPr>
              <w:pStyle w:val="26"/>
              <w:autoSpaceDE w:val="0"/>
              <w:autoSpaceDN w:val="0"/>
              <w:spacing w:before="52" w:line="218" w:lineRule="auto"/>
              <w:ind w:left="83"/>
              <w:rPr>
                <w:rFonts w:ascii="楷体" w:hAnsi="楷体" w:eastAsia="楷体" w:cs="楷体"/>
              </w:rPr>
            </w:pPr>
            <w:r>
              <w:rPr>
                <w:color w:val="231F20"/>
                <w:spacing w:val="-1"/>
              </w:rPr>
              <w:t>2021</w:t>
            </w:r>
            <w:r>
              <w:rPr>
                <w:color w:val="231F20"/>
                <w:spacing w:val="5"/>
              </w:rPr>
              <w:t xml:space="preserve"> </w:t>
            </w:r>
            <w:r>
              <w:rPr>
                <w:rFonts w:ascii="楷体" w:hAnsi="楷体" w:eastAsia="楷体" w:cs="楷体"/>
                <w:color w:val="231F20"/>
                <w:spacing w:val="-1"/>
              </w:rPr>
              <w:t>年</w:t>
            </w:r>
          </w:p>
        </w:tc>
        <w:tc>
          <w:tcPr>
            <w:tcW w:w="736" w:type="dxa"/>
            <w:vMerge w:val="restart"/>
            <w:tcBorders>
              <w:top w:val="single" w:color="231F20" w:sz="8" w:space="0"/>
              <w:bottom w:val="nil"/>
            </w:tcBorders>
            <w:vAlign w:val="top"/>
          </w:tcPr>
          <w:p w14:paraId="5718B067">
            <w:pPr>
              <w:autoSpaceDE w:val="0"/>
              <w:autoSpaceDN w:val="0"/>
              <w:spacing w:line="263" w:lineRule="auto"/>
              <w:rPr>
                <w:rFonts w:ascii="Arial"/>
                <w:sz w:val="21"/>
              </w:rPr>
            </w:pPr>
          </w:p>
          <w:p w14:paraId="0CBA189F">
            <w:pPr>
              <w:pStyle w:val="26"/>
              <w:autoSpaceDE w:val="0"/>
              <w:autoSpaceDN w:val="0"/>
              <w:spacing w:before="58" w:line="218" w:lineRule="auto"/>
              <w:ind w:left="84"/>
              <w:rPr>
                <w:rFonts w:ascii="楷体" w:hAnsi="楷体" w:eastAsia="楷体" w:cs="楷体"/>
              </w:rPr>
            </w:pPr>
            <w:r>
              <w:rPr>
                <w:color w:val="231F20"/>
                <w:spacing w:val="-1"/>
              </w:rPr>
              <w:t>2022</w:t>
            </w:r>
            <w:r>
              <w:rPr>
                <w:color w:val="231F20"/>
                <w:spacing w:val="5"/>
              </w:rPr>
              <w:t xml:space="preserve"> </w:t>
            </w:r>
            <w:r>
              <w:rPr>
                <w:rFonts w:ascii="楷体" w:hAnsi="楷体" w:eastAsia="楷体" w:cs="楷体"/>
                <w:color w:val="231F20"/>
                <w:spacing w:val="-1"/>
              </w:rPr>
              <w:t>年</w:t>
            </w:r>
          </w:p>
        </w:tc>
        <w:tc>
          <w:tcPr>
            <w:tcW w:w="2211" w:type="dxa"/>
            <w:gridSpan w:val="3"/>
            <w:tcBorders>
              <w:top w:val="single" w:color="231F20" w:sz="8" w:space="0"/>
            </w:tcBorders>
            <w:vAlign w:val="top"/>
          </w:tcPr>
          <w:p w14:paraId="63A9278C">
            <w:pPr>
              <w:autoSpaceDE w:val="0"/>
              <w:autoSpaceDN w:val="0"/>
              <w:spacing w:before="39" w:line="227" w:lineRule="auto"/>
              <w:ind w:left="508"/>
              <w:rPr>
                <w:rFonts w:ascii="楷体" w:hAnsi="楷体" w:eastAsia="楷体" w:cs="楷体"/>
                <w:sz w:val="18"/>
                <w:szCs w:val="18"/>
              </w:rPr>
            </w:pPr>
            <w:r>
              <w:rPr>
                <w:rFonts w:ascii="楷体" w:hAnsi="楷体" w:eastAsia="楷体" w:cs="楷体"/>
                <w:color w:val="231F20"/>
                <w:spacing w:val="-4"/>
                <w:sz w:val="18"/>
                <w:szCs w:val="18"/>
              </w:rPr>
              <w:t>中国与美国之差</w:t>
            </w:r>
          </w:p>
        </w:tc>
      </w:tr>
      <w:tr w14:paraId="0EDF5460">
        <w:trPr>
          <w:trHeight w:val="275" w:hRule="atLeast"/>
        </w:trPr>
        <w:tc>
          <w:tcPr>
            <w:tcW w:w="2395" w:type="dxa"/>
            <w:vMerge w:val="continue"/>
            <w:tcBorders>
              <w:top w:val="nil"/>
              <w:bottom w:val="single" w:color="231F20" w:sz="2" w:space="0"/>
            </w:tcBorders>
            <w:vAlign w:val="top"/>
          </w:tcPr>
          <w:p w14:paraId="71B2BB62">
            <w:pPr>
              <w:autoSpaceDE w:val="0"/>
              <w:autoSpaceDN w:val="0"/>
              <w:rPr>
                <w:rFonts w:ascii="Arial"/>
                <w:sz w:val="21"/>
              </w:rPr>
            </w:pPr>
          </w:p>
        </w:tc>
        <w:tc>
          <w:tcPr>
            <w:tcW w:w="824" w:type="dxa"/>
            <w:vMerge w:val="continue"/>
            <w:tcBorders>
              <w:top w:val="nil"/>
              <w:bottom w:val="single" w:color="231F20" w:sz="2" w:space="0"/>
            </w:tcBorders>
            <w:vAlign w:val="top"/>
          </w:tcPr>
          <w:p w14:paraId="56F3A9EE">
            <w:pPr>
              <w:autoSpaceDE w:val="0"/>
              <w:autoSpaceDN w:val="0"/>
              <w:rPr>
                <w:rFonts w:ascii="Arial"/>
                <w:sz w:val="21"/>
              </w:rPr>
            </w:pPr>
          </w:p>
        </w:tc>
        <w:tc>
          <w:tcPr>
            <w:tcW w:w="735" w:type="dxa"/>
            <w:vMerge w:val="continue"/>
            <w:tcBorders>
              <w:top w:val="nil"/>
              <w:bottom w:val="single" w:color="231F20" w:sz="2" w:space="0"/>
            </w:tcBorders>
            <w:vAlign w:val="top"/>
          </w:tcPr>
          <w:p w14:paraId="71F6DFD7">
            <w:pPr>
              <w:autoSpaceDE w:val="0"/>
              <w:autoSpaceDN w:val="0"/>
              <w:rPr>
                <w:rFonts w:ascii="Arial"/>
                <w:sz w:val="21"/>
              </w:rPr>
            </w:pPr>
          </w:p>
        </w:tc>
        <w:tc>
          <w:tcPr>
            <w:tcW w:w="735" w:type="dxa"/>
            <w:vMerge w:val="continue"/>
            <w:tcBorders>
              <w:top w:val="nil"/>
              <w:bottom w:val="single" w:color="231F20" w:sz="2" w:space="0"/>
            </w:tcBorders>
            <w:vAlign w:val="top"/>
          </w:tcPr>
          <w:p w14:paraId="51CD3CBE">
            <w:pPr>
              <w:autoSpaceDE w:val="0"/>
              <w:autoSpaceDN w:val="0"/>
              <w:rPr>
                <w:rFonts w:ascii="Arial"/>
                <w:sz w:val="21"/>
              </w:rPr>
            </w:pPr>
          </w:p>
        </w:tc>
        <w:tc>
          <w:tcPr>
            <w:tcW w:w="736" w:type="dxa"/>
            <w:vMerge w:val="continue"/>
            <w:tcBorders>
              <w:top w:val="nil"/>
              <w:bottom w:val="single" w:color="231F20" w:sz="2" w:space="0"/>
            </w:tcBorders>
            <w:vAlign w:val="top"/>
          </w:tcPr>
          <w:p w14:paraId="73F2C09A">
            <w:pPr>
              <w:autoSpaceDE w:val="0"/>
              <w:autoSpaceDN w:val="0"/>
              <w:rPr>
                <w:rFonts w:ascii="Arial"/>
                <w:sz w:val="21"/>
              </w:rPr>
            </w:pPr>
          </w:p>
        </w:tc>
        <w:tc>
          <w:tcPr>
            <w:tcW w:w="735" w:type="dxa"/>
            <w:vMerge w:val="continue"/>
            <w:tcBorders>
              <w:top w:val="nil"/>
              <w:bottom w:val="single" w:color="231F20" w:sz="2" w:space="0"/>
            </w:tcBorders>
            <w:vAlign w:val="top"/>
          </w:tcPr>
          <w:p w14:paraId="107FAF9F">
            <w:pPr>
              <w:autoSpaceDE w:val="0"/>
              <w:autoSpaceDN w:val="0"/>
              <w:rPr>
                <w:rFonts w:ascii="Arial"/>
                <w:sz w:val="21"/>
              </w:rPr>
            </w:pPr>
          </w:p>
        </w:tc>
        <w:tc>
          <w:tcPr>
            <w:tcW w:w="736" w:type="dxa"/>
            <w:vMerge w:val="continue"/>
            <w:tcBorders>
              <w:top w:val="nil"/>
              <w:bottom w:val="single" w:color="231F20" w:sz="2" w:space="0"/>
            </w:tcBorders>
            <w:vAlign w:val="top"/>
          </w:tcPr>
          <w:p w14:paraId="6AEA759E">
            <w:pPr>
              <w:autoSpaceDE w:val="0"/>
              <w:autoSpaceDN w:val="0"/>
              <w:rPr>
                <w:rFonts w:ascii="Arial"/>
                <w:sz w:val="21"/>
              </w:rPr>
            </w:pPr>
          </w:p>
        </w:tc>
        <w:tc>
          <w:tcPr>
            <w:tcW w:w="736" w:type="dxa"/>
            <w:tcBorders>
              <w:bottom w:val="single" w:color="231F20" w:sz="2" w:space="0"/>
            </w:tcBorders>
            <w:vAlign w:val="top"/>
          </w:tcPr>
          <w:p w14:paraId="6DA7C78E">
            <w:pPr>
              <w:pStyle w:val="26"/>
              <w:autoSpaceDE w:val="0"/>
              <w:autoSpaceDN w:val="0"/>
              <w:spacing w:before="52" w:line="218" w:lineRule="auto"/>
              <w:ind w:left="84"/>
              <w:rPr>
                <w:rFonts w:ascii="楷体" w:hAnsi="楷体" w:eastAsia="楷体" w:cs="楷体"/>
              </w:rPr>
            </w:pPr>
            <w:r>
              <w:rPr>
                <w:color w:val="231F20"/>
                <w:spacing w:val="-1"/>
              </w:rPr>
              <w:t>2020</w:t>
            </w:r>
            <w:r>
              <w:rPr>
                <w:color w:val="231F20"/>
                <w:spacing w:val="5"/>
              </w:rPr>
              <w:t xml:space="preserve"> </w:t>
            </w:r>
            <w:r>
              <w:rPr>
                <w:rFonts w:ascii="楷体" w:hAnsi="楷体" w:eastAsia="楷体" w:cs="楷体"/>
                <w:color w:val="231F20"/>
                <w:spacing w:val="-1"/>
              </w:rPr>
              <w:t>年</w:t>
            </w:r>
          </w:p>
        </w:tc>
        <w:tc>
          <w:tcPr>
            <w:tcW w:w="736" w:type="dxa"/>
            <w:tcBorders>
              <w:bottom w:val="single" w:color="231F20" w:sz="2" w:space="0"/>
            </w:tcBorders>
            <w:vAlign w:val="top"/>
          </w:tcPr>
          <w:p w14:paraId="62516599">
            <w:pPr>
              <w:pStyle w:val="26"/>
              <w:autoSpaceDE w:val="0"/>
              <w:autoSpaceDN w:val="0"/>
              <w:spacing w:before="52" w:line="218" w:lineRule="auto"/>
              <w:ind w:left="83"/>
              <w:rPr>
                <w:rFonts w:ascii="楷体" w:hAnsi="楷体" w:eastAsia="楷体" w:cs="楷体"/>
              </w:rPr>
            </w:pPr>
            <w:r>
              <w:rPr>
                <w:color w:val="231F20"/>
                <w:spacing w:val="-1"/>
              </w:rPr>
              <w:t>2021</w:t>
            </w:r>
            <w:r>
              <w:rPr>
                <w:color w:val="231F20"/>
                <w:spacing w:val="5"/>
              </w:rPr>
              <w:t xml:space="preserve"> </w:t>
            </w:r>
            <w:r>
              <w:rPr>
                <w:rFonts w:ascii="楷体" w:hAnsi="楷体" w:eastAsia="楷体" w:cs="楷体"/>
                <w:color w:val="231F20"/>
                <w:spacing w:val="-1"/>
              </w:rPr>
              <w:t>年</w:t>
            </w:r>
          </w:p>
        </w:tc>
        <w:tc>
          <w:tcPr>
            <w:tcW w:w="739" w:type="dxa"/>
            <w:tcBorders>
              <w:bottom w:val="single" w:color="231F20" w:sz="2" w:space="0"/>
            </w:tcBorders>
            <w:vAlign w:val="top"/>
          </w:tcPr>
          <w:p w14:paraId="4262FBC3">
            <w:pPr>
              <w:pStyle w:val="26"/>
              <w:autoSpaceDE w:val="0"/>
              <w:autoSpaceDN w:val="0"/>
              <w:spacing w:before="52" w:line="218" w:lineRule="auto"/>
              <w:ind w:left="83"/>
              <w:rPr>
                <w:rFonts w:ascii="楷体" w:hAnsi="楷体" w:eastAsia="楷体" w:cs="楷体"/>
              </w:rPr>
            </w:pPr>
            <w:r>
              <w:rPr>
                <w:color w:val="231F20"/>
                <w:spacing w:val="-1"/>
              </w:rPr>
              <w:t>2022</w:t>
            </w:r>
            <w:r>
              <w:rPr>
                <w:color w:val="231F20"/>
                <w:spacing w:val="5"/>
              </w:rPr>
              <w:t xml:space="preserve"> </w:t>
            </w:r>
            <w:r>
              <w:rPr>
                <w:rFonts w:ascii="楷体" w:hAnsi="楷体" w:eastAsia="楷体" w:cs="楷体"/>
                <w:color w:val="231F20"/>
                <w:spacing w:val="-1"/>
              </w:rPr>
              <w:t>年</w:t>
            </w:r>
          </w:p>
        </w:tc>
      </w:tr>
      <w:tr w14:paraId="37B4C2B0">
        <w:trPr>
          <w:trHeight w:val="276" w:hRule="atLeast"/>
        </w:trPr>
        <w:tc>
          <w:tcPr>
            <w:tcW w:w="2395" w:type="dxa"/>
            <w:tcBorders>
              <w:top w:val="single" w:color="231F20" w:sz="2" w:space="0"/>
            </w:tcBorders>
            <w:vAlign w:val="top"/>
          </w:tcPr>
          <w:p w14:paraId="7D7566D4">
            <w:pPr>
              <w:autoSpaceDE w:val="0"/>
              <w:autoSpaceDN w:val="0"/>
              <w:spacing w:before="56" w:line="215" w:lineRule="auto"/>
              <w:ind w:left="275"/>
              <w:rPr>
                <w:rFonts w:ascii="楷体" w:hAnsi="楷体" w:eastAsia="楷体" w:cs="楷体"/>
                <w:sz w:val="18"/>
                <w:szCs w:val="18"/>
              </w:rPr>
            </w:pPr>
            <w:r>
              <w:rPr>
                <w:rFonts w:ascii="楷体" w:hAnsi="楷体" w:eastAsia="楷体" w:cs="楷体"/>
                <w:color w:val="231F20"/>
                <w:spacing w:val="-2"/>
                <w:sz w:val="18"/>
                <w:szCs w:val="18"/>
              </w:rPr>
              <w:t>以本币计算的实际增长率</w:t>
            </w:r>
          </w:p>
        </w:tc>
        <w:tc>
          <w:tcPr>
            <w:tcW w:w="824" w:type="dxa"/>
            <w:tcBorders>
              <w:top w:val="single" w:color="231F20" w:sz="2" w:space="0"/>
            </w:tcBorders>
            <w:vAlign w:val="top"/>
          </w:tcPr>
          <w:p w14:paraId="2E5E7103">
            <w:pPr>
              <w:pStyle w:val="26"/>
              <w:autoSpaceDE w:val="0"/>
              <w:autoSpaceDN w:val="0"/>
              <w:spacing w:before="89" w:line="186" w:lineRule="auto"/>
              <w:ind w:left="351"/>
            </w:pPr>
            <w:r>
              <w:rPr>
                <w:color w:val="231F20"/>
                <w:spacing w:val="-1"/>
              </w:rPr>
              <w:t>2.2</w:t>
            </w:r>
          </w:p>
        </w:tc>
        <w:tc>
          <w:tcPr>
            <w:tcW w:w="735" w:type="dxa"/>
            <w:tcBorders>
              <w:top w:val="single" w:color="231F20" w:sz="2" w:space="0"/>
            </w:tcBorders>
            <w:vAlign w:val="top"/>
          </w:tcPr>
          <w:p w14:paraId="350FA313">
            <w:pPr>
              <w:pStyle w:val="26"/>
              <w:autoSpaceDE w:val="0"/>
              <w:autoSpaceDN w:val="0"/>
              <w:spacing w:before="89" w:line="186" w:lineRule="auto"/>
              <w:ind w:left="270"/>
            </w:pPr>
            <w:r>
              <w:rPr>
                <w:color w:val="231F20"/>
                <w:spacing w:val="-3"/>
              </w:rPr>
              <w:t>8.4</w:t>
            </w:r>
          </w:p>
        </w:tc>
        <w:tc>
          <w:tcPr>
            <w:tcW w:w="735" w:type="dxa"/>
            <w:tcBorders>
              <w:top w:val="single" w:color="231F20" w:sz="2" w:space="0"/>
            </w:tcBorders>
            <w:vAlign w:val="top"/>
          </w:tcPr>
          <w:p w14:paraId="05C0F45C">
            <w:pPr>
              <w:pStyle w:val="26"/>
              <w:autoSpaceDE w:val="0"/>
              <w:autoSpaceDN w:val="0"/>
              <w:spacing w:before="89" w:line="186" w:lineRule="auto"/>
              <w:ind w:left="267"/>
            </w:pPr>
            <w:r>
              <w:rPr>
                <w:color w:val="231F20"/>
                <w:spacing w:val="-2"/>
              </w:rPr>
              <w:t>3.0</w:t>
            </w:r>
          </w:p>
        </w:tc>
        <w:tc>
          <w:tcPr>
            <w:tcW w:w="736" w:type="dxa"/>
            <w:tcBorders>
              <w:top w:val="single" w:color="231F20" w:sz="2" w:space="0"/>
            </w:tcBorders>
            <w:vAlign w:val="top"/>
          </w:tcPr>
          <w:p w14:paraId="1098C1C7">
            <w:pPr>
              <w:pStyle w:val="26"/>
              <w:autoSpaceDE w:val="0"/>
              <w:autoSpaceDN w:val="0"/>
              <w:spacing w:before="90" w:line="178" w:lineRule="auto"/>
              <w:ind w:left="221"/>
            </w:pPr>
            <w:r>
              <w:rPr>
                <w:rFonts w:ascii="宋体" w:hAnsi="宋体" w:eastAsia="宋体" w:cs="宋体"/>
                <w:color w:val="231F20"/>
                <w:spacing w:val="-2"/>
              </w:rPr>
              <w:t>-</w:t>
            </w:r>
            <w:r>
              <w:rPr>
                <w:color w:val="231F20"/>
                <w:spacing w:val="-2"/>
              </w:rPr>
              <w:t>2.8</w:t>
            </w:r>
          </w:p>
        </w:tc>
        <w:tc>
          <w:tcPr>
            <w:tcW w:w="735" w:type="dxa"/>
            <w:tcBorders>
              <w:top w:val="single" w:color="231F20" w:sz="2" w:space="0"/>
            </w:tcBorders>
            <w:vAlign w:val="top"/>
          </w:tcPr>
          <w:p w14:paraId="394AD6C1">
            <w:pPr>
              <w:pStyle w:val="26"/>
              <w:autoSpaceDE w:val="0"/>
              <w:autoSpaceDN w:val="0"/>
              <w:spacing w:before="89" w:line="186" w:lineRule="auto"/>
              <w:ind w:left="268"/>
            </w:pPr>
            <w:r>
              <w:rPr>
                <w:color w:val="231F20"/>
                <w:spacing w:val="-2"/>
              </w:rPr>
              <w:t>5.9</w:t>
            </w:r>
          </w:p>
        </w:tc>
        <w:tc>
          <w:tcPr>
            <w:tcW w:w="736" w:type="dxa"/>
            <w:tcBorders>
              <w:top w:val="single" w:color="231F20" w:sz="2" w:space="0"/>
            </w:tcBorders>
            <w:vAlign w:val="top"/>
          </w:tcPr>
          <w:p w14:paraId="40B3046E">
            <w:pPr>
              <w:pStyle w:val="26"/>
              <w:autoSpaceDE w:val="0"/>
              <w:autoSpaceDN w:val="0"/>
              <w:spacing w:before="89" w:line="186" w:lineRule="auto"/>
              <w:ind w:left="264"/>
            </w:pPr>
            <w:r>
              <w:rPr>
                <w:color w:val="231F20"/>
                <w:spacing w:val="-1"/>
              </w:rPr>
              <w:t>2.1</w:t>
            </w:r>
          </w:p>
        </w:tc>
        <w:tc>
          <w:tcPr>
            <w:tcW w:w="736" w:type="dxa"/>
            <w:tcBorders>
              <w:top w:val="single" w:color="231F20" w:sz="2" w:space="0"/>
            </w:tcBorders>
            <w:vAlign w:val="top"/>
          </w:tcPr>
          <w:p w14:paraId="3A38EA57">
            <w:pPr>
              <w:pStyle w:val="26"/>
              <w:autoSpaceDE w:val="0"/>
              <w:autoSpaceDN w:val="0"/>
              <w:spacing w:before="89" w:line="186" w:lineRule="auto"/>
              <w:ind w:left="269"/>
            </w:pPr>
            <w:r>
              <w:rPr>
                <w:color w:val="231F20"/>
                <w:spacing w:val="-2"/>
              </w:rPr>
              <w:t>5.0</w:t>
            </w:r>
          </w:p>
        </w:tc>
        <w:tc>
          <w:tcPr>
            <w:tcW w:w="736" w:type="dxa"/>
            <w:tcBorders>
              <w:top w:val="single" w:color="231F20" w:sz="2" w:space="0"/>
            </w:tcBorders>
            <w:vAlign w:val="top"/>
          </w:tcPr>
          <w:p w14:paraId="57C73027">
            <w:pPr>
              <w:pStyle w:val="26"/>
              <w:autoSpaceDE w:val="0"/>
              <w:autoSpaceDN w:val="0"/>
              <w:spacing w:before="89" w:line="186" w:lineRule="auto"/>
              <w:ind w:left="263"/>
            </w:pPr>
            <w:r>
              <w:rPr>
                <w:color w:val="231F20"/>
                <w:spacing w:val="-1"/>
              </w:rPr>
              <w:t>2.5</w:t>
            </w:r>
          </w:p>
        </w:tc>
        <w:tc>
          <w:tcPr>
            <w:tcW w:w="739" w:type="dxa"/>
            <w:tcBorders>
              <w:top w:val="single" w:color="231F20" w:sz="2" w:space="0"/>
            </w:tcBorders>
            <w:vAlign w:val="top"/>
          </w:tcPr>
          <w:p w14:paraId="07D0854A">
            <w:pPr>
              <w:pStyle w:val="26"/>
              <w:autoSpaceDE w:val="0"/>
              <w:autoSpaceDN w:val="0"/>
              <w:spacing w:before="89" w:line="186" w:lineRule="auto"/>
              <w:ind w:left="266"/>
            </w:pPr>
            <w:r>
              <w:rPr>
                <w:color w:val="231F20"/>
                <w:spacing w:val="-2"/>
              </w:rPr>
              <w:t>0.9</w:t>
            </w:r>
          </w:p>
        </w:tc>
      </w:tr>
      <w:tr w14:paraId="3EAC39E9">
        <w:trPr>
          <w:trHeight w:val="286" w:hRule="atLeast"/>
        </w:trPr>
        <w:tc>
          <w:tcPr>
            <w:tcW w:w="2395" w:type="dxa"/>
            <w:tcBorders>
              <w:bottom w:val="single" w:color="231F20" w:sz="8" w:space="0"/>
            </w:tcBorders>
            <w:vAlign w:val="top"/>
          </w:tcPr>
          <w:p w14:paraId="684482E1">
            <w:pPr>
              <w:autoSpaceDE w:val="0"/>
              <w:autoSpaceDN w:val="0"/>
              <w:spacing w:before="63" w:line="218" w:lineRule="auto"/>
              <w:ind w:left="275"/>
              <w:rPr>
                <w:rFonts w:ascii="楷体" w:hAnsi="楷体" w:eastAsia="楷体" w:cs="楷体"/>
                <w:sz w:val="18"/>
                <w:szCs w:val="18"/>
              </w:rPr>
            </w:pPr>
            <w:r>
              <w:rPr>
                <w:rFonts w:ascii="楷体" w:hAnsi="楷体" w:eastAsia="楷体" w:cs="楷体"/>
                <w:color w:val="231F20"/>
                <w:spacing w:val="-2"/>
                <w:sz w:val="18"/>
                <w:szCs w:val="18"/>
              </w:rPr>
              <w:t>以现价美元计算的增长率</w:t>
            </w:r>
          </w:p>
        </w:tc>
        <w:tc>
          <w:tcPr>
            <w:tcW w:w="824" w:type="dxa"/>
            <w:tcBorders>
              <w:bottom w:val="single" w:color="231F20" w:sz="8" w:space="0"/>
            </w:tcBorders>
            <w:vAlign w:val="top"/>
          </w:tcPr>
          <w:p w14:paraId="5413F111">
            <w:pPr>
              <w:pStyle w:val="26"/>
              <w:autoSpaceDE w:val="0"/>
              <w:autoSpaceDN w:val="0"/>
              <w:spacing w:before="97" w:line="186" w:lineRule="auto"/>
              <w:ind w:left="351"/>
            </w:pPr>
            <w:r>
              <w:rPr>
                <w:color w:val="231F20"/>
                <w:spacing w:val="-1"/>
              </w:rPr>
              <w:t>2.9</w:t>
            </w:r>
          </w:p>
        </w:tc>
        <w:tc>
          <w:tcPr>
            <w:tcW w:w="735" w:type="dxa"/>
            <w:tcBorders>
              <w:bottom w:val="single" w:color="231F20" w:sz="8" w:space="0"/>
            </w:tcBorders>
            <w:vAlign w:val="top"/>
          </w:tcPr>
          <w:p w14:paraId="7452D341">
            <w:pPr>
              <w:pStyle w:val="26"/>
              <w:autoSpaceDE w:val="0"/>
              <w:autoSpaceDN w:val="0"/>
              <w:spacing w:before="97" w:line="186" w:lineRule="auto"/>
              <w:ind w:left="218"/>
            </w:pPr>
            <w:r>
              <w:rPr>
                <w:color w:val="231F20"/>
                <w:spacing w:val="-1"/>
              </w:rPr>
              <w:t>21.3</w:t>
            </w:r>
          </w:p>
        </w:tc>
        <w:tc>
          <w:tcPr>
            <w:tcW w:w="735" w:type="dxa"/>
            <w:tcBorders>
              <w:bottom w:val="single" w:color="231F20" w:sz="8" w:space="0"/>
            </w:tcBorders>
            <w:vAlign w:val="top"/>
          </w:tcPr>
          <w:p w14:paraId="2C2E876B">
            <w:pPr>
              <w:pStyle w:val="26"/>
              <w:autoSpaceDE w:val="0"/>
              <w:autoSpaceDN w:val="0"/>
              <w:spacing w:before="97" w:line="186" w:lineRule="auto"/>
              <w:ind w:left="266"/>
            </w:pPr>
            <w:r>
              <w:rPr>
                <w:color w:val="231F20"/>
                <w:spacing w:val="-2"/>
              </w:rPr>
              <w:t>0.8</w:t>
            </w:r>
          </w:p>
        </w:tc>
        <w:tc>
          <w:tcPr>
            <w:tcW w:w="736" w:type="dxa"/>
            <w:tcBorders>
              <w:bottom w:val="single" w:color="231F20" w:sz="8" w:space="0"/>
            </w:tcBorders>
            <w:vAlign w:val="top"/>
          </w:tcPr>
          <w:p w14:paraId="515E87C9">
            <w:pPr>
              <w:pStyle w:val="26"/>
              <w:autoSpaceDE w:val="0"/>
              <w:autoSpaceDN w:val="0"/>
              <w:spacing w:before="97" w:line="178" w:lineRule="auto"/>
              <w:ind w:left="221"/>
            </w:pPr>
            <w:r>
              <w:rPr>
                <w:rFonts w:ascii="宋体" w:hAnsi="宋体" w:eastAsia="宋体" w:cs="宋体"/>
                <w:color w:val="231F20"/>
                <w:spacing w:val="-2"/>
              </w:rPr>
              <w:t>-</w:t>
            </w:r>
            <w:r>
              <w:rPr>
                <w:color w:val="231F20"/>
                <w:spacing w:val="-2"/>
              </w:rPr>
              <w:t>1.5</w:t>
            </w:r>
          </w:p>
        </w:tc>
        <w:tc>
          <w:tcPr>
            <w:tcW w:w="735" w:type="dxa"/>
            <w:tcBorders>
              <w:bottom w:val="single" w:color="231F20" w:sz="8" w:space="0"/>
            </w:tcBorders>
            <w:vAlign w:val="top"/>
          </w:tcPr>
          <w:p w14:paraId="28558F96">
            <w:pPr>
              <w:pStyle w:val="26"/>
              <w:autoSpaceDE w:val="0"/>
              <w:autoSpaceDN w:val="0"/>
              <w:spacing w:before="97" w:line="186" w:lineRule="auto"/>
              <w:ind w:left="236"/>
            </w:pPr>
            <w:r>
              <w:rPr>
                <w:color w:val="231F20"/>
                <w:spacing w:val="-4"/>
              </w:rPr>
              <w:t>10.7</w:t>
            </w:r>
          </w:p>
        </w:tc>
        <w:tc>
          <w:tcPr>
            <w:tcW w:w="736" w:type="dxa"/>
            <w:tcBorders>
              <w:bottom w:val="single" w:color="231F20" w:sz="8" w:space="0"/>
            </w:tcBorders>
            <w:vAlign w:val="top"/>
          </w:tcPr>
          <w:p w14:paraId="11AD43B9">
            <w:pPr>
              <w:pStyle w:val="26"/>
              <w:autoSpaceDE w:val="0"/>
              <w:autoSpaceDN w:val="0"/>
              <w:spacing w:before="97" w:line="186" w:lineRule="auto"/>
              <w:ind w:left="268"/>
            </w:pPr>
            <w:r>
              <w:rPr>
                <w:color w:val="231F20"/>
                <w:spacing w:val="-2"/>
              </w:rPr>
              <w:t>9.1</w:t>
            </w:r>
          </w:p>
        </w:tc>
        <w:tc>
          <w:tcPr>
            <w:tcW w:w="736" w:type="dxa"/>
            <w:tcBorders>
              <w:bottom w:val="single" w:color="231F20" w:sz="8" w:space="0"/>
            </w:tcBorders>
            <w:vAlign w:val="top"/>
          </w:tcPr>
          <w:p w14:paraId="62508416">
            <w:pPr>
              <w:pStyle w:val="26"/>
              <w:autoSpaceDE w:val="0"/>
              <w:autoSpaceDN w:val="0"/>
              <w:spacing w:before="97" w:line="186" w:lineRule="auto"/>
              <w:ind w:left="263"/>
            </w:pPr>
            <w:r>
              <w:rPr>
                <w:color w:val="231F20"/>
                <w:spacing w:val="-1"/>
              </w:rPr>
              <w:t>4.4</w:t>
            </w:r>
          </w:p>
        </w:tc>
        <w:tc>
          <w:tcPr>
            <w:tcW w:w="736" w:type="dxa"/>
            <w:tcBorders>
              <w:bottom w:val="single" w:color="231F20" w:sz="8" w:space="0"/>
            </w:tcBorders>
            <w:vAlign w:val="top"/>
          </w:tcPr>
          <w:p w14:paraId="28A6AE6D">
            <w:pPr>
              <w:pStyle w:val="26"/>
              <w:autoSpaceDE w:val="0"/>
              <w:autoSpaceDN w:val="0"/>
              <w:spacing w:before="97" w:line="186" w:lineRule="auto"/>
              <w:ind w:left="236"/>
            </w:pPr>
            <w:r>
              <w:rPr>
                <w:color w:val="231F20"/>
                <w:spacing w:val="-4"/>
              </w:rPr>
              <w:t>10.6</w:t>
            </w:r>
          </w:p>
        </w:tc>
        <w:tc>
          <w:tcPr>
            <w:tcW w:w="739" w:type="dxa"/>
            <w:tcBorders>
              <w:bottom w:val="single" w:color="231F20" w:sz="8" w:space="0"/>
            </w:tcBorders>
            <w:vAlign w:val="top"/>
          </w:tcPr>
          <w:p w14:paraId="60520DA1">
            <w:pPr>
              <w:pStyle w:val="26"/>
              <w:autoSpaceDE w:val="0"/>
              <w:autoSpaceDN w:val="0"/>
              <w:spacing w:before="97" w:line="178" w:lineRule="auto"/>
              <w:ind w:left="220"/>
            </w:pPr>
            <w:r>
              <w:rPr>
                <w:rFonts w:ascii="宋体" w:hAnsi="宋体" w:eastAsia="宋体" w:cs="宋体"/>
                <w:color w:val="231F20"/>
                <w:spacing w:val="-2"/>
              </w:rPr>
              <w:t>-</w:t>
            </w:r>
            <w:r>
              <w:rPr>
                <w:color w:val="231F20"/>
                <w:spacing w:val="-2"/>
              </w:rPr>
              <w:t>8.3</w:t>
            </w:r>
          </w:p>
        </w:tc>
      </w:tr>
    </w:tbl>
    <w:p w14:paraId="0B038D92">
      <w:pPr>
        <w:pStyle w:val="6"/>
        <w:spacing w:before="116" w:line="278" w:lineRule="auto"/>
        <w:ind w:left="1048" w:right="80" w:firstLine="418"/>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二是以不同方式计算的中美经济规模之比出现了明显的背离。图</w:t>
      </w:r>
      <w:r>
        <w:rPr>
          <w:rFonts w:ascii="方正书宋简体" w:hAnsi="方正书宋简体" w:eastAsia="方正书宋简体" w:cs="方正书宋简体"/>
          <w:color w:val="231F20"/>
          <w:spacing w:val="43"/>
          <w:sz w:val="21"/>
          <w:szCs w:val="21"/>
        </w:rPr>
        <w:t xml:space="preserve"> </w:t>
      </w:r>
      <w:r>
        <w:rPr>
          <w:color w:val="231F20"/>
          <w:spacing w:val="1"/>
          <w:sz w:val="21"/>
          <w:szCs w:val="21"/>
        </w:rPr>
        <w:t>1</w:t>
      </w:r>
      <w:r>
        <w:rPr>
          <w:color w:val="231F20"/>
          <w:sz w:val="21"/>
          <w:szCs w:val="21"/>
        </w:rPr>
        <w:t xml:space="preserve"> </w:t>
      </w:r>
      <w:r>
        <w:rPr>
          <w:rFonts w:ascii="方正书宋简体" w:hAnsi="方正书宋简体" w:eastAsia="方正书宋简体" w:cs="方正书宋简体"/>
          <w:color w:val="231F20"/>
          <w:sz w:val="21"/>
          <w:szCs w:val="21"/>
        </w:rPr>
        <w:t>显示，以现价美元计算和以购买力平价（现价国际元）计算的中美经济规模之比近年出现了背离。特</w:t>
      </w:r>
      <w:r>
        <w:rPr>
          <w:rFonts w:ascii="方正书宋简体" w:hAnsi="方正书宋简体" w:eastAsia="方正书宋简体" w:cs="方正书宋简体"/>
          <w:color w:val="231F20"/>
          <w:spacing w:val="-1"/>
          <w:sz w:val="21"/>
          <w:szCs w:val="21"/>
        </w:rPr>
        <w:t xml:space="preserve">别是在 </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年，后者并没</w:t>
      </w:r>
      <w:r>
        <w:rPr>
          <w:rFonts w:ascii="方正书宋简体" w:hAnsi="方正书宋简体" w:eastAsia="方正书宋简体" w:cs="方正书宋简体"/>
          <w:color w:val="231F20"/>
          <w:spacing w:val="2"/>
          <w:sz w:val="21"/>
          <w:szCs w:val="21"/>
        </w:rPr>
        <w:t>有像前者那样大幅拐头向下，而是继续保持上升态势。这就说明人民币对美元汇率的变化在引起前</w:t>
      </w:r>
      <w:r>
        <w:rPr>
          <w:rFonts w:ascii="方正书宋简体" w:hAnsi="方正书宋简体" w:eastAsia="方正书宋简体" w:cs="方正书宋简体"/>
          <w:color w:val="231F20"/>
          <w:spacing w:val="-7"/>
          <w:sz w:val="21"/>
          <w:szCs w:val="21"/>
        </w:rPr>
        <w:t>述异常现象中起了重要作用。事实上，人民币对美元的年平均汇率在</w:t>
      </w:r>
      <w:r>
        <w:rPr>
          <w:rFonts w:ascii="方正书宋简体" w:hAnsi="方正书宋简体" w:eastAsia="方正书宋简体" w:cs="方正书宋简体"/>
          <w:color w:val="231F20"/>
          <w:spacing w:val="-19"/>
          <w:sz w:val="21"/>
          <w:szCs w:val="21"/>
        </w:rPr>
        <w:t xml:space="preserve"> </w:t>
      </w:r>
      <w:r>
        <w:rPr>
          <w:color w:val="231F20"/>
          <w:spacing w:val="-7"/>
          <w:sz w:val="21"/>
          <w:szCs w:val="21"/>
        </w:rPr>
        <w:t>2021</w:t>
      </w:r>
      <w:r>
        <w:rPr>
          <w:color w:val="231F20"/>
          <w:spacing w:val="-17"/>
          <w:sz w:val="21"/>
          <w:szCs w:val="21"/>
        </w:rPr>
        <w:t xml:space="preserve"> </w:t>
      </w:r>
      <w:r>
        <w:rPr>
          <w:rFonts w:ascii="方正书宋简体" w:hAnsi="方正书宋简体" w:eastAsia="方正书宋简体" w:cs="方正书宋简体"/>
          <w:color w:val="231F20"/>
          <w:spacing w:val="-7"/>
          <w:sz w:val="21"/>
          <w:szCs w:val="21"/>
        </w:rPr>
        <w:t>年为</w:t>
      </w:r>
      <w:r>
        <w:rPr>
          <w:rFonts w:ascii="方正书宋简体" w:hAnsi="方正书宋简体" w:eastAsia="方正书宋简体" w:cs="方正书宋简体"/>
          <w:color w:val="231F20"/>
          <w:spacing w:val="-14"/>
          <w:sz w:val="21"/>
          <w:szCs w:val="21"/>
        </w:rPr>
        <w:t xml:space="preserve"> </w:t>
      </w:r>
      <w:r>
        <w:rPr>
          <w:color w:val="231F20"/>
          <w:spacing w:val="-7"/>
          <w:sz w:val="21"/>
          <w:szCs w:val="21"/>
        </w:rPr>
        <w:t>6.45</w:t>
      </w:r>
      <w:r>
        <w:rPr>
          <w:rFonts w:ascii="方正书宋简体" w:hAnsi="方正书宋简体" w:eastAsia="方正书宋简体" w:cs="方正书宋简体"/>
          <w:color w:val="231F20"/>
          <w:spacing w:val="-7"/>
          <w:sz w:val="21"/>
          <w:szCs w:val="21"/>
        </w:rPr>
        <w:t xml:space="preserve">，在 </w:t>
      </w:r>
      <w:r>
        <w:rPr>
          <w:color w:val="231F20"/>
          <w:spacing w:val="-7"/>
          <w:sz w:val="21"/>
          <w:szCs w:val="21"/>
        </w:rPr>
        <w:t>202</w:t>
      </w:r>
      <w:r>
        <w:rPr>
          <w:color w:val="231F20"/>
          <w:spacing w:val="-8"/>
          <w:sz w:val="21"/>
          <w:szCs w:val="21"/>
        </w:rPr>
        <w:t>2</w:t>
      </w:r>
      <w:r>
        <w:rPr>
          <w:color w:val="231F20"/>
          <w:spacing w:val="-17"/>
          <w:sz w:val="21"/>
          <w:szCs w:val="21"/>
        </w:rPr>
        <w:t xml:space="preserve"> </w:t>
      </w:r>
      <w:r>
        <w:rPr>
          <w:rFonts w:ascii="方正书宋简体" w:hAnsi="方正书宋简体" w:eastAsia="方正书宋简体" w:cs="方正书宋简体"/>
          <w:color w:val="231F20"/>
          <w:spacing w:val="-8"/>
          <w:sz w:val="21"/>
          <w:szCs w:val="21"/>
        </w:rPr>
        <w:t>年为</w:t>
      </w:r>
      <w:r>
        <w:rPr>
          <w:rFonts w:ascii="方正书宋简体" w:hAnsi="方正书宋简体" w:eastAsia="方正书宋简体" w:cs="方正书宋简体"/>
          <w:color w:val="231F20"/>
          <w:spacing w:val="-14"/>
          <w:sz w:val="21"/>
          <w:szCs w:val="21"/>
        </w:rPr>
        <w:t xml:space="preserve"> </w:t>
      </w:r>
      <w:r>
        <w:rPr>
          <w:color w:val="231F20"/>
          <w:spacing w:val="-8"/>
          <w:sz w:val="21"/>
          <w:szCs w:val="21"/>
        </w:rPr>
        <w:t>6.74</w:t>
      </w:r>
      <w:r>
        <w:rPr>
          <w:rFonts w:ascii="方正书宋简体" w:hAnsi="方正书宋简体" w:eastAsia="方正书宋简体" w:cs="方正书宋简体"/>
          <w:color w:val="231F20"/>
          <w:spacing w:val="-8"/>
          <w:sz w:val="21"/>
          <w:szCs w:val="21"/>
        </w:rPr>
        <w:t>，</w:t>
      </w:r>
      <w:r>
        <w:rPr>
          <w:rFonts w:ascii="方正书宋简体" w:hAnsi="方正书宋简体" w:eastAsia="方正书宋简体" w:cs="方正书宋简体"/>
          <w:color w:val="231F20"/>
          <w:spacing w:val="-1"/>
          <w:sz w:val="21"/>
          <w:szCs w:val="21"/>
        </w:rPr>
        <w:t>出现了较大幅度的贬值（</w:t>
      </w:r>
      <w:r>
        <w:rPr>
          <w:color w:val="231F20"/>
          <w:spacing w:val="-1"/>
          <w:sz w:val="21"/>
          <w:szCs w:val="21"/>
        </w:rPr>
        <w:t>4.3%</w:t>
      </w:r>
      <w:r>
        <w:rPr>
          <w:rFonts w:ascii="方正书宋简体" w:hAnsi="方正书宋简体" w:eastAsia="方正书宋简体" w:cs="方正书宋简体"/>
          <w:color w:val="231F20"/>
          <w:spacing w:val="-1"/>
          <w:sz w:val="21"/>
          <w:szCs w:val="21"/>
        </w:rPr>
        <w:t>）。</w:t>
      </w:r>
    </w:p>
    <w:p w14:paraId="0C8482F5">
      <w:pPr>
        <w:pStyle w:val="6"/>
        <w:spacing w:before="1" w:line="263" w:lineRule="auto"/>
        <w:ind w:left="874" w:right="54" w:firstLine="425"/>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三是以现价美元计算的中美经济增长率再次出现高低交错的局面。图</w:t>
      </w:r>
      <w:r>
        <w:rPr>
          <w:rFonts w:ascii="方正书宋简体" w:hAnsi="方正书宋简体" w:eastAsia="方正书宋简体" w:cs="方正书宋简体"/>
          <w:color w:val="231F20"/>
          <w:spacing w:val="44"/>
          <w:sz w:val="21"/>
          <w:szCs w:val="21"/>
        </w:rPr>
        <w:t xml:space="preserve"> </w:t>
      </w:r>
      <w:r>
        <w:rPr>
          <w:color w:val="231F20"/>
          <w:spacing w:val="1"/>
          <w:sz w:val="21"/>
          <w:szCs w:val="21"/>
        </w:rPr>
        <w:t xml:space="preserve">1 </w:t>
      </w:r>
      <w:r>
        <w:rPr>
          <w:rFonts w:ascii="方正书宋简体" w:hAnsi="方正书宋简体" w:eastAsia="方正书宋简体" w:cs="方正书宋简体"/>
          <w:color w:val="231F20"/>
          <w:spacing w:val="1"/>
          <w:sz w:val="21"/>
          <w:szCs w:val="21"/>
        </w:rPr>
        <w:t>显</w:t>
      </w:r>
      <w:r>
        <w:rPr>
          <w:rFonts w:ascii="方正书宋简体" w:hAnsi="方正书宋简体" w:eastAsia="方正书宋简体" w:cs="方正书宋简体"/>
          <w:color w:val="231F20"/>
          <w:sz w:val="21"/>
          <w:szCs w:val="21"/>
        </w:rPr>
        <w:t>示，以现价美元计算</w:t>
      </w:r>
      <w:r>
        <w:rPr>
          <w:rFonts w:ascii="方正书宋简体" w:hAnsi="方正书宋简体" w:eastAsia="方正书宋简体" w:cs="方正书宋简体"/>
          <w:color w:val="231F20"/>
          <w:spacing w:val="1"/>
          <w:sz w:val="21"/>
          <w:szCs w:val="21"/>
        </w:rPr>
        <w:t>的中美经济增长率（下同）在</w:t>
      </w:r>
      <w:r>
        <w:rPr>
          <w:rFonts w:ascii="方正书宋简体" w:hAnsi="方正书宋简体" w:eastAsia="方正书宋简体" w:cs="方正书宋简体"/>
          <w:color w:val="231F20"/>
          <w:spacing w:val="40"/>
          <w:sz w:val="21"/>
          <w:szCs w:val="21"/>
        </w:rPr>
        <w:t xml:space="preserve"> </w:t>
      </w:r>
      <w:r>
        <w:rPr>
          <w:color w:val="231F20"/>
          <w:spacing w:val="1"/>
          <w:sz w:val="21"/>
          <w:szCs w:val="21"/>
        </w:rPr>
        <w:t xml:space="preserve">1995 </w:t>
      </w:r>
      <w:r>
        <w:rPr>
          <w:rFonts w:ascii="方正书宋简体" w:hAnsi="方正书宋简体" w:eastAsia="方正书宋简体" w:cs="方正书宋简体"/>
          <w:color w:val="231F20"/>
          <w:spacing w:val="1"/>
          <w:sz w:val="21"/>
          <w:szCs w:val="21"/>
        </w:rPr>
        <w:t>年以前高低交错，经济规模之比做横盘整理。此后至</w:t>
      </w:r>
      <w:r>
        <w:rPr>
          <w:rFonts w:ascii="方正书宋简体" w:hAnsi="方正书宋简体" w:eastAsia="方正书宋简体" w:cs="方正书宋简体"/>
          <w:color w:val="231F20"/>
          <w:spacing w:val="14"/>
          <w:sz w:val="21"/>
          <w:szCs w:val="21"/>
        </w:rPr>
        <w:t xml:space="preserve"> </w:t>
      </w:r>
      <w:r>
        <w:rPr>
          <w:color w:val="231F20"/>
          <w:spacing w:val="1"/>
          <w:sz w:val="21"/>
          <w:szCs w:val="21"/>
        </w:rPr>
        <w:t xml:space="preserve">2015 </w:t>
      </w:r>
      <w:r>
        <w:rPr>
          <w:rFonts w:ascii="方正书宋简体" w:hAnsi="方正书宋简体" w:eastAsia="方正书宋简体" w:cs="方正书宋简体"/>
          <w:color w:val="231F20"/>
          <w:spacing w:val="1"/>
          <w:sz w:val="21"/>
          <w:szCs w:val="21"/>
        </w:rPr>
        <w:t>年，中国经济增长率高于美国经济增长率，中美经济规模之比持续走高。但是，</w:t>
      </w:r>
      <w:r>
        <w:rPr>
          <w:color w:val="231F20"/>
          <w:sz w:val="21"/>
          <w:szCs w:val="21"/>
        </w:rPr>
        <w:t xml:space="preserve">2016 </w:t>
      </w:r>
      <w:r>
        <w:rPr>
          <w:rFonts w:ascii="方正书宋简体" w:hAnsi="方正书宋简体" w:eastAsia="方正书宋简体" w:cs="方正书宋简体"/>
          <w:color w:val="231F20"/>
          <w:sz w:val="21"/>
          <w:szCs w:val="21"/>
        </w:rPr>
        <w:t>年以来，两国经济</w:t>
      </w:r>
      <w:r>
        <w:rPr>
          <w:rFonts w:ascii="方正书宋简体" w:hAnsi="方正书宋简体" w:eastAsia="方正书宋简体" w:cs="方正书宋简体"/>
          <w:color w:val="231F20"/>
          <w:spacing w:val="3"/>
          <w:sz w:val="21"/>
          <w:szCs w:val="21"/>
        </w:rPr>
        <w:t>增长率再次呈现高低交错的特征。例如，</w:t>
      </w:r>
      <w:r>
        <w:rPr>
          <w:color w:val="231F20"/>
          <w:spacing w:val="3"/>
          <w:sz w:val="21"/>
          <w:szCs w:val="21"/>
        </w:rPr>
        <w:t xml:space="preserve">2016 </w:t>
      </w:r>
      <w:r>
        <w:rPr>
          <w:rFonts w:ascii="方正书宋简体" w:hAnsi="方正书宋简体" w:eastAsia="方正书宋简体" w:cs="方正书宋简体"/>
          <w:color w:val="231F20"/>
          <w:spacing w:val="3"/>
          <w:sz w:val="21"/>
          <w:szCs w:val="21"/>
        </w:rPr>
        <w:t>年、</w:t>
      </w:r>
      <w:r>
        <w:rPr>
          <w:color w:val="231F20"/>
          <w:spacing w:val="3"/>
          <w:sz w:val="21"/>
          <w:szCs w:val="21"/>
        </w:rPr>
        <w:t xml:space="preserve">2019 </w:t>
      </w:r>
      <w:r>
        <w:rPr>
          <w:rFonts w:ascii="方正书宋简体" w:hAnsi="方正书宋简体" w:eastAsia="方正书宋简体" w:cs="方正书宋简体"/>
          <w:color w:val="231F20"/>
          <w:spacing w:val="3"/>
          <w:sz w:val="21"/>
          <w:szCs w:val="21"/>
        </w:rPr>
        <w:t>年、</w:t>
      </w:r>
      <w:r>
        <w:rPr>
          <w:color w:val="231F20"/>
          <w:spacing w:val="3"/>
          <w:sz w:val="21"/>
          <w:szCs w:val="21"/>
        </w:rPr>
        <w:t xml:space="preserve">2022 </w:t>
      </w:r>
      <w:r>
        <w:rPr>
          <w:rFonts w:ascii="方正书宋简体" w:hAnsi="方正书宋简体" w:eastAsia="方正书宋简体" w:cs="方正书宋简体"/>
          <w:color w:val="231F20"/>
          <w:spacing w:val="3"/>
          <w:sz w:val="21"/>
          <w:szCs w:val="21"/>
        </w:rPr>
        <w:t>年中国经</w:t>
      </w:r>
      <w:r>
        <w:rPr>
          <w:rFonts w:ascii="方正书宋简体" w:hAnsi="方正书宋简体" w:eastAsia="方正书宋简体" w:cs="方正书宋简体"/>
          <w:color w:val="231F20"/>
          <w:spacing w:val="2"/>
          <w:sz w:val="21"/>
          <w:szCs w:val="21"/>
        </w:rPr>
        <w:t>济增长率比美国低。特</w:t>
      </w:r>
      <w:r>
        <w:rPr>
          <w:rFonts w:ascii="方正书宋简体" w:hAnsi="方正书宋简体" w:eastAsia="方正书宋简体" w:cs="方正书宋简体"/>
          <w:color w:val="231F20"/>
          <w:spacing w:val="-2"/>
          <w:sz w:val="21"/>
          <w:szCs w:val="21"/>
        </w:rPr>
        <w:t xml:space="preserve">别是 </w:t>
      </w:r>
      <w:r>
        <w:rPr>
          <w:color w:val="231F20"/>
          <w:spacing w:val="-2"/>
          <w:sz w:val="21"/>
          <w:szCs w:val="21"/>
        </w:rPr>
        <w:t xml:space="preserve">2022 </w:t>
      </w:r>
      <w:r>
        <w:rPr>
          <w:rFonts w:ascii="方正书宋简体" w:hAnsi="方正书宋简体" w:eastAsia="方正书宋简体" w:cs="方正书宋简体"/>
          <w:color w:val="231F20"/>
          <w:spacing w:val="-2"/>
          <w:sz w:val="21"/>
          <w:szCs w:val="21"/>
        </w:rPr>
        <w:t>年，表</w:t>
      </w:r>
      <w:r>
        <w:rPr>
          <w:rFonts w:ascii="方正书宋简体" w:hAnsi="方正书宋简体" w:eastAsia="方正书宋简体" w:cs="方正书宋简体"/>
          <w:color w:val="231F20"/>
          <w:spacing w:val="28"/>
          <w:sz w:val="21"/>
          <w:szCs w:val="21"/>
        </w:rPr>
        <w:t xml:space="preserve"> </w:t>
      </w:r>
      <w:r>
        <w:rPr>
          <w:color w:val="231F20"/>
          <w:spacing w:val="-2"/>
          <w:sz w:val="21"/>
          <w:szCs w:val="21"/>
        </w:rPr>
        <w:t xml:space="preserve">1 </w:t>
      </w:r>
      <w:r>
        <w:rPr>
          <w:rFonts w:ascii="方正书宋简体" w:hAnsi="方正书宋简体" w:eastAsia="方正书宋简体" w:cs="方正书宋简体"/>
          <w:color w:val="231F20"/>
          <w:spacing w:val="-2"/>
          <w:sz w:val="21"/>
          <w:szCs w:val="21"/>
        </w:rPr>
        <w:t xml:space="preserve">显示美国比中国高 </w:t>
      </w:r>
      <w:r>
        <w:rPr>
          <w:color w:val="231F20"/>
          <w:spacing w:val="-2"/>
          <w:sz w:val="21"/>
          <w:szCs w:val="21"/>
        </w:rPr>
        <w:t>8.3</w:t>
      </w:r>
      <w:r>
        <w:rPr>
          <w:rFonts w:ascii="方正书宋简体" w:hAnsi="方正书宋简体" w:eastAsia="方正书宋简体" w:cs="方正书宋简体"/>
          <w:color w:val="231F20"/>
          <w:spacing w:val="-2"/>
          <w:sz w:val="21"/>
          <w:szCs w:val="21"/>
        </w:rPr>
        <w:t>个百分点（分别为</w:t>
      </w:r>
      <w:r>
        <w:rPr>
          <w:rFonts w:ascii="方正书宋简体" w:hAnsi="方正书宋简体" w:eastAsia="方正书宋简体" w:cs="方正书宋简体"/>
          <w:color w:val="231F20"/>
          <w:spacing w:val="19"/>
          <w:sz w:val="21"/>
          <w:szCs w:val="21"/>
        </w:rPr>
        <w:t xml:space="preserve"> </w:t>
      </w:r>
      <w:r>
        <w:rPr>
          <w:color w:val="231F20"/>
          <w:spacing w:val="-2"/>
          <w:sz w:val="21"/>
          <w:szCs w:val="21"/>
        </w:rPr>
        <w:t xml:space="preserve">9.1% </w:t>
      </w:r>
      <w:r>
        <w:rPr>
          <w:rFonts w:ascii="方正书宋简体" w:hAnsi="方正书宋简体" w:eastAsia="方正书宋简体" w:cs="方正书宋简体"/>
          <w:color w:val="231F20"/>
          <w:spacing w:val="-2"/>
          <w:sz w:val="21"/>
          <w:szCs w:val="21"/>
        </w:rPr>
        <w:t xml:space="preserve">和 </w:t>
      </w:r>
      <w:r>
        <w:rPr>
          <w:color w:val="231F20"/>
          <w:spacing w:val="-3"/>
          <w:sz w:val="21"/>
          <w:szCs w:val="21"/>
        </w:rPr>
        <w:t>0.8%</w:t>
      </w:r>
      <w:r>
        <w:rPr>
          <w:rFonts w:ascii="方正书宋简体" w:hAnsi="方正书宋简体" w:eastAsia="方正书宋简体" w:cs="方正书宋简体"/>
          <w:color w:val="231F20"/>
          <w:spacing w:val="-3"/>
          <w:sz w:val="21"/>
          <w:szCs w:val="21"/>
        </w:rPr>
        <w:t>）。这就引出了如下问题：</w:t>
      </w:r>
      <w:r>
        <w:rPr>
          <w:rFonts w:ascii="方正书宋简体" w:hAnsi="方正书宋简体" w:eastAsia="方正书宋简体" w:cs="方正书宋简体"/>
          <w:color w:val="231F20"/>
          <w:spacing w:val="-1"/>
          <w:sz w:val="21"/>
          <w:szCs w:val="21"/>
        </w:rPr>
        <w:t>按现价美元计算的中美经济规模之比，从此以后又要回到</w:t>
      </w:r>
      <w:r>
        <w:rPr>
          <w:rFonts w:ascii="方正书宋简体" w:hAnsi="方正书宋简体" w:eastAsia="方正书宋简体" w:cs="方正书宋简体"/>
          <w:color w:val="231F20"/>
          <w:spacing w:val="35"/>
          <w:sz w:val="21"/>
          <w:szCs w:val="21"/>
        </w:rPr>
        <w:t xml:space="preserve"> </w:t>
      </w:r>
      <w:r>
        <w:rPr>
          <w:color w:val="231F20"/>
          <w:spacing w:val="-1"/>
          <w:sz w:val="21"/>
          <w:szCs w:val="21"/>
        </w:rPr>
        <w:t xml:space="preserve">1995 </w:t>
      </w:r>
      <w:r>
        <w:rPr>
          <w:rFonts w:ascii="方正书宋简体" w:hAnsi="方正书宋简体" w:eastAsia="方正书宋简体" w:cs="方正书宋简体"/>
          <w:color w:val="231F20"/>
          <w:spacing w:val="-1"/>
          <w:sz w:val="21"/>
          <w:szCs w:val="21"/>
        </w:rPr>
        <w:t>年以前那种不存在明显趋势的情形了</w:t>
      </w:r>
      <w:r>
        <w:rPr>
          <w:rFonts w:ascii="方正书宋简体" w:hAnsi="方正书宋简体" w:eastAsia="方正书宋简体" w:cs="方正书宋简体"/>
          <w:color w:val="231F20"/>
          <w:spacing w:val="2"/>
          <w:sz w:val="21"/>
          <w:szCs w:val="21"/>
        </w:rPr>
        <w:t>吗？如果如此，就要对中国超过美国经济规模这种过去坚信不疑的预测做出修改，同时也提示，前</w:t>
      </w:r>
      <w:r>
        <w:rPr>
          <w:rFonts w:ascii="方正书宋简体" w:hAnsi="方正书宋简体" w:eastAsia="方正书宋简体" w:cs="方正书宋简体"/>
          <w:color w:val="231F20"/>
          <w:spacing w:val="-1"/>
          <w:sz w:val="21"/>
          <w:szCs w:val="21"/>
        </w:rPr>
        <w:t>述异常现象可能与两国通货膨胀率存在差异和人民币对美元贬值有关。</w:t>
      </w:r>
    </w:p>
    <w:p w14:paraId="2C77B07E">
      <w:pPr>
        <w:spacing w:line="197" w:lineRule="auto"/>
        <w:ind w:left="1176"/>
        <w:rPr>
          <w:rFonts w:ascii="微软雅黑" w:hAnsi="微软雅黑" w:eastAsia="微软雅黑" w:cs="微软雅黑"/>
          <w:sz w:val="21"/>
          <w:szCs w:val="21"/>
        </w:rPr>
      </w:pPr>
      <w:r>
        <w:rPr>
          <w:rFonts w:ascii="微软雅黑" w:hAnsi="微软雅黑" w:eastAsia="微软雅黑" w:cs="微软雅黑"/>
          <w:color w:val="231F20"/>
          <w:spacing w:val="1"/>
          <w:sz w:val="21"/>
          <w:szCs w:val="21"/>
        </w:rPr>
        <w:t>（二）一个简单分解</w:t>
      </w:r>
    </w:p>
    <w:p w14:paraId="0385BCAC">
      <w:pPr>
        <w:spacing w:before="42" w:line="265" w:lineRule="auto"/>
        <w:ind w:left="875" w:right="67" w:firstLine="420"/>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上面分析尽管具有提示意义，但是其具有主观性也不成体系。为了弥补这一缺陷，并为后文预</w:t>
      </w:r>
      <w:r>
        <w:rPr>
          <w:rFonts w:ascii="方正书宋简体" w:hAnsi="方正书宋简体" w:eastAsia="方正书宋简体" w:cs="方正书宋简体"/>
          <w:color w:val="231F20"/>
          <w:spacing w:val="-2"/>
          <w:sz w:val="21"/>
          <w:szCs w:val="21"/>
        </w:rPr>
        <w:t>测奠定基础，在此给出一个简单分解。</w:t>
      </w:r>
    </w:p>
    <w:p w14:paraId="1EC0CD91">
      <w:pPr>
        <w:spacing w:line="207" w:lineRule="auto"/>
        <w:ind w:left="1295"/>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考察两国经济规模之比与经济增长率的关系时存在两个基本视角。</w:t>
      </w:r>
    </w:p>
    <w:p w14:paraId="4A9CE3A6">
      <w:pPr>
        <w:pStyle w:val="6"/>
        <w:spacing w:before="73" w:line="272" w:lineRule="auto"/>
        <w:ind w:left="900" w:right="72" w:firstLine="395"/>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一是基于本币进行考察。假设美国实际</w:t>
      </w:r>
      <w:r>
        <w:rPr>
          <w:rFonts w:ascii="方正书宋简体" w:hAnsi="方正书宋简体" w:eastAsia="方正书宋简体" w:cs="方正书宋简体"/>
          <w:color w:val="231F20"/>
          <w:spacing w:val="26"/>
          <w:w w:val="101"/>
          <w:sz w:val="21"/>
          <w:szCs w:val="21"/>
        </w:rPr>
        <w:t xml:space="preserve"> </w:t>
      </w:r>
      <w:r>
        <w:rPr>
          <w:color w:val="231F20"/>
          <w:spacing w:val="-1"/>
          <w:sz w:val="21"/>
          <w:szCs w:val="21"/>
        </w:rPr>
        <w:t xml:space="preserve">GDP </w:t>
      </w:r>
      <w:r>
        <w:rPr>
          <w:rFonts w:ascii="方正书宋简体" w:hAnsi="方正书宋简体" w:eastAsia="方正书宋简体" w:cs="方正书宋简体"/>
          <w:color w:val="231F20"/>
          <w:spacing w:val="-1"/>
          <w:sz w:val="21"/>
          <w:szCs w:val="21"/>
        </w:rPr>
        <w:t>为</w:t>
      </w:r>
      <w:r>
        <w:rPr>
          <w:rFonts w:ascii="方正书宋简体" w:hAnsi="方正书宋简体" w:eastAsia="方正书宋简体" w:cs="方正书宋简体"/>
          <w:color w:val="231F20"/>
          <w:spacing w:val="20"/>
          <w:sz w:val="21"/>
          <w:szCs w:val="21"/>
        </w:rPr>
        <w:t xml:space="preserve"> </w:t>
      </w:r>
      <w:r>
        <w:rPr>
          <w:i/>
          <w:iCs/>
          <w:color w:val="231F20"/>
          <w:spacing w:val="-1"/>
          <w:sz w:val="21"/>
          <w:szCs w:val="21"/>
        </w:rPr>
        <w:t>Y</w:t>
      </w:r>
      <w:r>
        <w:rPr>
          <w:color w:val="231F20"/>
          <w:spacing w:val="-1"/>
          <w:position w:val="-3"/>
          <w:sz w:val="12"/>
          <w:szCs w:val="12"/>
        </w:rPr>
        <w:t>a</w:t>
      </w:r>
      <w:r>
        <w:rPr>
          <w:rFonts w:ascii="方正书宋简体" w:hAnsi="方正书宋简体" w:eastAsia="方正书宋简体" w:cs="方正书宋简体"/>
          <w:color w:val="231F20"/>
          <w:spacing w:val="-1"/>
          <w:sz w:val="21"/>
          <w:szCs w:val="21"/>
        </w:rPr>
        <w:t>，中国实际</w:t>
      </w:r>
      <w:r>
        <w:rPr>
          <w:rFonts w:ascii="方正书宋简体" w:hAnsi="方正书宋简体" w:eastAsia="方正书宋简体" w:cs="方正书宋简体"/>
          <w:color w:val="231F20"/>
          <w:spacing w:val="15"/>
          <w:w w:val="101"/>
          <w:sz w:val="21"/>
          <w:szCs w:val="21"/>
        </w:rPr>
        <w:t xml:space="preserve"> </w:t>
      </w:r>
      <w:r>
        <w:rPr>
          <w:color w:val="231F20"/>
          <w:spacing w:val="-1"/>
          <w:sz w:val="21"/>
          <w:szCs w:val="21"/>
        </w:rPr>
        <w:t xml:space="preserve">GDP </w:t>
      </w:r>
      <w:r>
        <w:rPr>
          <w:rFonts w:ascii="方正书宋简体" w:hAnsi="方正书宋简体" w:eastAsia="方正书宋简体" w:cs="方正书宋简体"/>
          <w:color w:val="231F20"/>
          <w:spacing w:val="-1"/>
          <w:sz w:val="21"/>
          <w:szCs w:val="21"/>
        </w:rPr>
        <w:t>为</w:t>
      </w:r>
      <w:r>
        <w:rPr>
          <w:rFonts w:ascii="方正书宋简体" w:hAnsi="方正书宋简体" w:eastAsia="方正书宋简体" w:cs="方正书宋简体"/>
          <w:color w:val="231F20"/>
          <w:spacing w:val="20"/>
          <w:w w:val="101"/>
          <w:sz w:val="21"/>
          <w:szCs w:val="21"/>
        </w:rPr>
        <w:t xml:space="preserve"> </w:t>
      </w:r>
      <w:r>
        <w:rPr>
          <w:i/>
          <w:iCs/>
          <w:color w:val="231F20"/>
          <w:spacing w:val="-1"/>
          <w:sz w:val="21"/>
          <w:szCs w:val="21"/>
        </w:rPr>
        <w:t>Y</w:t>
      </w:r>
      <w:r>
        <w:rPr>
          <w:color w:val="231F20"/>
          <w:spacing w:val="-1"/>
          <w:position w:val="-3"/>
          <w:sz w:val="12"/>
          <w:szCs w:val="12"/>
        </w:rPr>
        <w:t xml:space="preserve">c </w:t>
      </w:r>
      <w:r>
        <w:rPr>
          <w:rFonts w:ascii="方正书宋简体" w:hAnsi="方正书宋简体" w:eastAsia="方正书宋简体" w:cs="方正书宋简体"/>
          <w:color w:val="231F20"/>
          <w:spacing w:val="-1"/>
          <w:sz w:val="21"/>
          <w:szCs w:val="21"/>
        </w:rPr>
        <w:t>，中美实际经济规模之</w:t>
      </w:r>
      <w:r>
        <w:rPr>
          <w:rFonts w:ascii="方正书宋简体" w:hAnsi="方正书宋简体" w:eastAsia="方正书宋简体" w:cs="方正书宋简体"/>
          <w:color w:val="231F20"/>
          <w:spacing w:val="-10"/>
          <w:sz w:val="21"/>
          <w:szCs w:val="21"/>
        </w:rPr>
        <w:t xml:space="preserve">比 </w:t>
      </w:r>
      <w:r>
        <w:rPr>
          <w:i/>
          <w:iCs/>
          <w:color w:val="231F20"/>
          <w:spacing w:val="-10"/>
          <w:sz w:val="21"/>
          <w:szCs w:val="21"/>
        </w:rPr>
        <w:t>R</w:t>
      </w:r>
      <w:r>
        <w:rPr>
          <w:color w:val="231F20"/>
          <w:spacing w:val="-4"/>
          <w:position w:val="-3"/>
          <w:sz w:val="12"/>
          <w:szCs w:val="12"/>
        </w:rPr>
        <w:t xml:space="preserve">r  </w:t>
      </w:r>
      <w:r>
        <w:rPr>
          <w:rFonts w:ascii="方正书宋简体" w:hAnsi="方正书宋简体" w:eastAsia="方正书宋简体" w:cs="方正书宋简体"/>
          <w:color w:val="231F20"/>
          <w:spacing w:val="-4"/>
          <w:sz w:val="21"/>
          <w:szCs w:val="21"/>
        </w:rPr>
        <w:t>为：</w:t>
      </w:r>
    </w:p>
    <w:p w14:paraId="3CD916C8">
      <w:pPr>
        <w:pStyle w:val="6"/>
        <w:spacing w:before="10"/>
        <w:ind w:right="59"/>
        <w:jc w:val="right"/>
        <w:rPr>
          <w:rFonts w:ascii="方正书宋简体" w:hAnsi="方正书宋简体" w:eastAsia="方正书宋简体" w:cs="方正书宋简体"/>
          <w:sz w:val="21"/>
          <w:szCs w:val="21"/>
        </w:rPr>
      </w:pPr>
      <w:r>
        <w:rPr>
          <w:i/>
          <w:iCs/>
          <w:color w:val="231F20"/>
          <w:spacing w:val="-4"/>
          <w:position w:val="3"/>
          <w:sz w:val="21"/>
          <w:szCs w:val="21"/>
        </w:rPr>
        <w:t>R</w:t>
      </w:r>
      <w:r>
        <w:rPr>
          <w:color w:val="231F20"/>
          <w:spacing w:val="-4"/>
          <w:position w:val="-2"/>
          <w:sz w:val="12"/>
          <w:szCs w:val="12"/>
        </w:rPr>
        <w:t>r</w:t>
      </w:r>
      <w:r>
        <w:rPr>
          <w:color w:val="231F20"/>
          <w:spacing w:val="11"/>
          <w:w w:val="101"/>
          <w:position w:val="-2"/>
          <w:sz w:val="12"/>
          <w:szCs w:val="12"/>
        </w:rPr>
        <w:t xml:space="preserve">  </w:t>
      </w:r>
      <w:r>
        <w:rPr>
          <w:position w:val="-19"/>
          <w:sz w:val="12"/>
          <w:szCs w:val="12"/>
        </w:rPr>
        <w:drawing>
          <wp:inline distT="0" distB="0" distL="0" distR="0">
            <wp:extent cx="228600" cy="328295"/>
            <wp:effectExtent l="0" t="0" r="0" b="1905"/>
            <wp:docPr id="10" name="IM 6"/>
            <wp:cNvGraphicFramePr/>
            <a:graphic xmlns:a="http://schemas.openxmlformats.org/drawingml/2006/main">
              <a:graphicData uri="http://schemas.openxmlformats.org/drawingml/2006/picture">
                <pic:pic xmlns:pic="http://schemas.openxmlformats.org/drawingml/2006/picture">
                  <pic:nvPicPr>
                    <pic:cNvPr id="10" name="IM 6"/>
                    <pic:cNvPicPr/>
                  </pic:nvPicPr>
                  <pic:blipFill>
                    <a:blip r:embed="rId78"/>
                    <a:stretch>
                      <a:fillRect/>
                    </a:stretch>
                  </pic:blipFill>
                  <pic:spPr>
                    <a:xfrm>
                      <a:off x="0" y="0"/>
                      <a:ext cx="228984" cy="328600"/>
                    </a:xfrm>
                    <a:prstGeom prst="rect">
                      <a:avLst/>
                    </a:prstGeom>
                  </pic:spPr>
                </pic:pic>
              </a:graphicData>
            </a:graphic>
          </wp:inline>
        </w:drawing>
      </w:r>
      <w:r>
        <w:rPr>
          <w:color w:val="231F20"/>
          <w:position w:val="-2"/>
          <w:sz w:val="12"/>
          <w:szCs w:val="12"/>
        </w:rPr>
        <w:t xml:space="preserve">                                                                                                                            </w:t>
      </w:r>
      <w:r>
        <w:rPr>
          <w:rFonts w:ascii="方正书宋简体" w:hAnsi="方正书宋简体" w:eastAsia="方正书宋简体" w:cs="方正书宋简体"/>
          <w:color w:val="231F20"/>
          <w:spacing w:val="-4"/>
          <w:sz w:val="21"/>
          <w:szCs w:val="21"/>
        </w:rPr>
        <w:t>（</w:t>
      </w:r>
      <w:r>
        <w:rPr>
          <w:rFonts w:ascii="方正书宋简体" w:hAnsi="方正书宋简体" w:eastAsia="方正书宋简体" w:cs="方正书宋简体"/>
          <w:color w:val="231F20"/>
          <w:spacing w:val="-20"/>
          <w:sz w:val="21"/>
          <w:szCs w:val="21"/>
        </w:rPr>
        <w:t xml:space="preserve"> </w:t>
      </w:r>
      <w:r>
        <w:rPr>
          <w:color w:val="231F20"/>
          <w:spacing w:val="-4"/>
          <w:sz w:val="21"/>
          <w:szCs w:val="21"/>
        </w:rPr>
        <w:t>1</w:t>
      </w:r>
      <w:r>
        <w:rPr>
          <w:rFonts w:ascii="方正书宋简体" w:hAnsi="方正书宋简体" w:eastAsia="方正书宋简体" w:cs="方正书宋简体"/>
          <w:color w:val="231F20"/>
          <w:spacing w:val="-4"/>
          <w:sz w:val="21"/>
          <w:szCs w:val="21"/>
        </w:rPr>
        <w:t>）</w:t>
      </w:r>
    </w:p>
    <w:p w14:paraId="7563584A">
      <w:pPr>
        <w:spacing w:before="38" w:line="208" w:lineRule="auto"/>
        <w:ind w:left="1320"/>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由此可知：中美实际经济规模之比的变化率等于中美实际经济增长率的差。即：</w:t>
      </w:r>
    </w:p>
    <w:p w14:paraId="6646D929">
      <w:pPr>
        <w:spacing w:before="128" w:line="521" w:lineRule="exact"/>
        <w:ind w:left="4426"/>
      </w:pPr>
      <w:r>
        <w:rPr>
          <w:position w:val="-10"/>
        </w:rPr>
        <w:drawing>
          <wp:inline distT="0" distB="0" distL="0" distR="0">
            <wp:extent cx="3476625" cy="330200"/>
            <wp:effectExtent l="0" t="0" r="3175" b="0"/>
            <wp:docPr id="12" name="IM 8"/>
            <wp:cNvGraphicFramePr/>
            <a:graphic xmlns:a="http://schemas.openxmlformats.org/drawingml/2006/main">
              <a:graphicData uri="http://schemas.openxmlformats.org/drawingml/2006/picture">
                <pic:pic xmlns:pic="http://schemas.openxmlformats.org/drawingml/2006/picture">
                  <pic:nvPicPr>
                    <pic:cNvPr id="12" name="IM 8"/>
                    <pic:cNvPicPr/>
                  </pic:nvPicPr>
                  <pic:blipFill>
                    <a:blip r:embed="rId79"/>
                    <a:stretch>
                      <a:fillRect/>
                    </a:stretch>
                  </pic:blipFill>
                  <pic:spPr>
                    <a:xfrm>
                      <a:off x="0" y="0"/>
                      <a:ext cx="3477063" cy="330358"/>
                    </a:xfrm>
                    <a:prstGeom prst="rect">
                      <a:avLst/>
                    </a:prstGeom>
                  </pic:spPr>
                </pic:pic>
              </a:graphicData>
            </a:graphic>
          </wp:inline>
        </w:drawing>
      </w:r>
    </w:p>
    <w:p w14:paraId="7F095760">
      <w:pPr>
        <w:pStyle w:val="6"/>
        <w:spacing w:before="50" w:line="268" w:lineRule="auto"/>
        <w:ind w:left="874" w:right="70" w:firstLine="422"/>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二是基于单一货币进行考察。此时，美国按这种货币计算的</w:t>
      </w:r>
      <w:r>
        <w:rPr>
          <w:rFonts w:ascii="方正书宋简体" w:hAnsi="方正书宋简体" w:eastAsia="方正书宋简体" w:cs="方正书宋简体"/>
          <w:color w:val="231F20"/>
          <w:spacing w:val="24"/>
          <w:sz w:val="21"/>
          <w:szCs w:val="21"/>
        </w:rPr>
        <w:t xml:space="preserve"> </w:t>
      </w:r>
      <w:r>
        <w:rPr>
          <w:color w:val="231F20"/>
          <w:sz w:val="21"/>
          <w:szCs w:val="21"/>
        </w:rPr>
        <w:t>GDP</w:t>
      </w:r>
      <w:r>
        <w:rPr>
          <w:color w:val="231F20"/>
          <w:spacing w:val="1"/>
          <w:sz w:val="21"/>
          <w:szCs w:val="21"/>
        </w:rPr>
        <w:t xml:space="preserve"> </w:t>
      </w:r>
      <w:r>
        <w:rPr>
          <w:rFonts w:ascii="方正书宋简体" w:hAnsi="方正书宋简体" w:eastAsia="方正书宋简体" w:cs="方正书宋简体"/>
          <w:color w:val="231F20"/>
          <w:spacing w:val="1"/>
          <w:sz w:val="21"/>
          <w:szCs w:val="21"/>
        </w:rPr>
        <w:t xml:space="preserve">为 </w:t>
      </w:r>
      <w:r>
        <w:rPr>
          <w:i/>
          <w:iCs/>
          <w:color w:val="231F20"/>
          <w:sz w:val="21"/>
          <w:szCs w:val="21"/>
        </w:rPr>
        <w:t>e</w:t>
      </w:r>
      <w:r>
        <w:rPr>
          <w:color w:val="231F20"/>
          <w:position w:val="-3"/>
          <w:sz w:val="12"/>
          <w:szCs w:val="12"/>
        </w:rPr>
        <w:t>a</w:t>
      </w:r>
      <w:r>
        <w:rPr>
          <w:i/>
          <w:iCs/>
          <w:color w:val="231F20"/>
          <w:sz w:val="21"/>
          <w:szCs w:val="21"/>
        </w:rPr>
        <w:t>p</w:t>
      </w:r>
      <w:r>
        <w:rPr>
          <w:color w:val="231F20"/>
          <w:position w:val="-3"/>
          <w:sz w:val="12"/>
          <w:szCs w:val="12"/>
        </w:rPr>
        <w:t>a</w:t>
      </w:r>
      <w:r>
        <w:rPr>
          <w:i/>
          <w:iCs/>
          <w:color w:val="231F20"/>
          <w:sz w:val="21"/>
          <w:szCs w:val="21"/>
        </w:rPr>
        <w:t>Y</w:t>
      </w:r>
      <w:r>
        <w:rPr>
          <w:color w:val="231F20"/>
          <w:position w:val="-3"/>
          <w:sz w:val="12"/>
          <w:szCs w:val="12"/>
        </w:rPr>
        <w:t>a</w:t>
      </w:r>
      <w:r>
        <w:rPr>
          <w:color w:val="231F20"/>
          <w:spacing w:val="1"/>
          <w:position w:val="-3"/>
          <w:sz w:val="12"/>
          <w:szCs w:val="12"/>
        </w:rPr>
        <w:t xml:space="preserve"> </w:t>
      </w:r>
      <w:r>
        <w:rPr>
          <w:rFonts w:ascii="方正书宋简体" w:hAnsi="方正书宋简体" w:eastAsia="方正书宋简体" w:cs="方正书宋简体"/>
          <w:color w:val="231F20"/>
          <w:spacing w:val="1"/>
          <w:sz w:val="21"/>
          <w:szCs w:val="21"/>
        </w:rPr>
        <w:t>，中国</w:t>
      </w:r>
      <w:r>
        <w:rPr>
          <w:rFonts w:ascii="方正书宋简体" w:hAnsi="方正书宋简体" w:eastAsia="方正书宋简体" w:cs="方正书宋简体"/>
          <w:color w:val="231F20"/>
          <w:sz w:val="21"/>
          <w:szCs w:val="21"/>
        </w:rPr>
        <w:t>按这种货币计</w:t>
      </w:r>
      <w:r>
        <w:rPr>
          <w:rFonts w:ascii="方正书宋简体" w:hAnsi="方正书宋简体" w:eastAsia="方正书宋简体" w:cs="方正书宋简体"/>
          <w:color w:val="231F20"/>
          <w:spacing w:val="3"/>
          <w:sz w:val="21"/>
          <w:szCs w:val="21"/>
        </w:rPr>
        <w:t xml:space="preserve">算的 </w:t>
      </w:r>
      <w:r>
        <w:rPr>
          <w:color w:val="231F20"/>
          <w:sz w:val="21"/>
          <w:szCs w:val="21"/>
        </w:rPr>
        <w:t>GDP</w:t>
      </w:r>
      <w:r>
        <w:rPr>
          <w:color w:val="231F20"/>
          <w:spacing w:val="3"/>
          <w:sz w:val="21"/>
          <w:szCs w:val="21"/>
        </w:rPr>
        <w:t xml:space="preserve"> </w:t>
      </w:r>
      <w:r>
        <w:rPr>
          <w:rFonts w:ascii="方正书宋简体" w:hAnsi="方正书宋简体" w:eastAsia="方正书宋简体" w:cs="方正书宋简体"/>
          <w:color w:val="231F20"/>
          <w:spacing w:val="3"/>
          <w:sz w:val="21"/>
          <w:szCs w:val="21"/>
        </w:rPr>
        <w:t xml:space="preserve">为 </w:t>
      </w:r>
      <w:r>
        <w:rPr>
          <w:i/>
          <w:iCs/>
          <w:color w:val="231F20"/>
          <w:sz w:val="21"/>
          <w:szCs w:val="21"/>
        </w:rPr>
        <w:t>e</w:t>
      </w:r>
      <w:r>
        <w:rPr>
          <w:color w:val="231F20"/>
          <w:position w:val="-3"/>
          <w:sz w:val="12"/>
          <w:szCs w:val="12"/>
        </w:rPr>
        <w:t>c</w:t>
      </w:r>
      <w:r>
        <w:rPr>
          <w:color w:val="231F20"/>
          <w:spacing w:val="3"/>
          <w:position w:val="-3"/>
          <w:sz w:val="12"/>
          <w:szCs w:val="12"/>
        </w:rPr>
        <w:t xml:space="preserve"> </w:t>
      </w:r>
      <w:r>
        <w:rPr>
          <w:i/>
          <w:iCs/>
          <w:color w:val="231F20"/>
          <w:sz w:val="21"/>
          <w:szCs w:val="21"/>
        </w:rPr>
        <w:t>p</w:t>
      </w:r>
      <w:r>
        <w:rPr>
          <w:color w:val="231F20"/>
          <w:position w:val="-3"/>
          <w:sz w:val="12"/>
          <w:szCs w:val="12"/>
        </w:rPr>
        <w:t>c</w:t>
      </w:r>
      <w:r>
        <w:rPr>
          <w:color w:val="231F20"/>
          <w:spacing w:val="-9"/>
          <w:position w:val="-3"/>
          <w:sz w:val="12"/>
          <w:szCs w:val="12"/>
        </w:rPr>
        <w:t xml:space="preserve"> </w:t>
      </w:r>
      <w:r>
        <w:rPr>
          <w:i/>
          <w:iCs/>
          <w:color w:val="231F20"/>
          <w:sz w:val="21"/>
          <w:szCs w:val="21"/>
        </w:rPr>
        <w:t>Y</w:t>
      </w:r>
      <w:r>
        <w:rPr>
          <w:color w:val="231F20"/>
          <w:position w:val="-3"/>
          <w:sz w:val="12"/>
          <w:szCs w:val="12"/>
        </w:rPr>
        <w:t>c</w:t>
      </w:r>
      <w:r>
        <w:rPr>
          <w:color w:val="231F20"/>
          <w:spacing w:val="-6"/>
          <w:position w:val="-3"/>
          <w:sz w:val="12"/>
          <w:szCs w:val="12"/>
        </w:rPr>
        <w:t xml:space="preserve"> </w:t>
      </w:r>
      <w:r>
        <w:rPr>
          <w:rFonts w:ascii="方正书宋简体" w:hAnsi="方正书宋简体" w:eastAsia="方正书宋简体" w:cs="方正书宋简体"/>
          <w:color w:val="231F20"/>
          <w:spacing w:val="3"/>
          <w:sz w:val="21"/>
          <w:szCs w:val="21"/>
        </w:rPr>
        <w:t>。这里，</w:t>
      </w:r>
      <w:r>
        <w:rPr>
          <w:i/>
          <w:iCs/>
          <w:color w:val="231F20"/>
          <w:spacing w:val="3"/>
          <w:sz w:val="21"/>
          <w:szCs w:val="21"/>
        </w:rPr>
        <w:t xml:space="preserve">e </w:t>
      </w:r>
      <w:r>
        <w:rPr>
          <w:rFonts w:ascii="方正书宋简体" w:hAnsi="方正书宋简体" w:eastAsia="方正书宋简体" w:cs="方正书宋简体"/>
          <w:color w:val="231F20"/>
          <w:spacing w:val="3"/>
          <w:sz w:val="21"/>
          <w:szCs w:val="21"/>
        </w:rPr>
        <w:t>表示两国对这种货币的汇率，</w:t>
      </w:r>
      <w:r>
        <w:rPr>
          <w:i/>
          <w:iCs/>
          <w:color w:val="231F20"/>
          <w:spacing w:val="3"/>
          <w:sz w:val="21"/>
          <w:szCs w:val="21"/>
        </w:rPr>
        <w:t xml:space="preserve">p </w:t>
      </w:r>
      <w:r>
        <w:rPr>
          <w:rFonts w:ascii="方正书宋简体" w:hAnsi="方正书宋简体" w:eastAsia="方正书宋简体" w:cs="方正书宋简体"/>
          <w:color w:val="231F20"/>
          <w:spacing w:val="3"/>
          <w:sz w:val="21"/>
          <w:szCs w:val="21"/>
        </w:rPr>
        <w:t>表示两国的价格指数。按这种货币计</w:t>
      </w:r>
      <w:r>
        <w:rPr>
          <w:rFonts w:ascii="方正书宋简体" w:hAnsi="方正书宋简体" w:eastAsia="方正书宋简体" w:cs="方正书宋简体"/>
          <w:color w:val="231F20"/>
          <w:spacing w:val="-2"/>
          <w:sz w:val="21"/>
          <w:szCs w:val="21"/>
        </w:rPr>
        <w:t xml:space="preserve">算的中美经济规模之比 </w:t>
      </w:r>
      <w:r>
        <w:rPr>
          <w:i/>
          <w:iCs/>
          <w:color w:val="231F20"/>
          <w:spacing w:val="-2"/>
          <w:sz w:val="21"/>
          <w:szCs w:val="21"/>
        </w:rPr>
        <w:t>R</w:t>
      </w:r>
      <w:r>
        <w:rPr>
          <w:color w:val="231F20"/>
          <w:spacing w:val="-2"/>
          <w:position w:val="-3"/>
          <w:sz w:val="12"/>
          <w:szCs w:val="12"/>
        </w:rPr>
        <w:t xml:space="preserve">n  </w:t>
      </w:r>
      <w:r>
        <w:rPr>
          <w:rFonts w:ascii="方正书宋简体" w:hAnsi="方正书宋简体" w:eastAsia="方正书宋简体" w:cs="方正书宋简体"/>
          <w:color w:val="231F20"/>
          <w:spacing w:val="-2"/>
          <w:sz w:val="21"/>
          <w:szCs w:val="21"/>
        </w:rPr>
        <w:t>为：</w:t>
      </w:r>
    </w:p>
    <w:p w14:paraId="6069462A">
      <w:pPr>
        <w:pStyle w:val="6"/>
        <w:spacing w:before="3"/>
        <w:ind w:right="74"/>
        <w:jc w:val="right"/>
        <w:rPr>
          <w:rFonts w:ascii="方正书宋简体" w:hAnsi="方正书宋简体" w:eastAsia="方正书宋简体" w:cs="方正书宋简体"/>
        </w:rPr>
      </w:pPr>
      <w:r>
        <w:rPr>
          <w:i/>
          <w:iCs/>
          <w:color w:val="231F20"/>
          <w:position w:val="3"/>
          <w:sz w:val="21"/>
          <w:szCs w:val="21"/>
        </w:rPr>
        <w:t>R</w:t>
      </w:r>
      <w:r>
        <w:rPr>
          <w:color w:val="231F20"/>
          <w:position w:val="-1"/>
          <w:sz w:val="12"/>
          <w:szCs w:val="12"/>
        </w:rPr>
        <w:t>n</w:t>
      </w:r>
      <w:r>
        <w:rPr>
          <w:color w:val="231F20"/>
          <w:spacing w:val="11"/>
          <w:w w:val="102"/>
          <w:position w:val="-1"/>
          <w:sz w:val="12"/>
          <w:szCs w:val="12"/>
        </w:rPr>
        <w:t xml:space="preserve">  </w:t>
      </w:r>
      <w:r>
        <w:rPr>
          <w:position w:val="-18"/>
          <w:sz w:val="12"/>
          <w:szCs w:val="12"/>
        </w:rPr>
        <w:drawing>
          <wp:inline distT="0" distB="0" distL="0" distR="0">
            <wp:extent cx="455930" cy="328295"/>
            <wp:effectExtent l="0" t="0" r="1270" b="1905"/>
            <wp:docPr id="36" name="IM 10"/>
            <wp:cNvGraphicFramePr/>
            <a:graphic xmlns:a="http://schemas.openxmlformats.org/drawingml/2006/main">
              <a:graphicData uri="http://schemas.openxmlformats.org/drawingml/2006/picture">
                <pic:pic xmlns:pic="http://schemas.openxmlformats.org/drawingml/2006/picture">
                  <pic:nvPicPr>
                    <pic:cNvPr id="36" name="IM 10"/>
                    <pic:cNvPicPr/>
                  </pic:nvPicPr>
                  <pic:blipFill>
                    <a:blip r:embed="rId80"/>
                    <a:stretch>
                      <a:fillRect/>
                    </a:stretch>
                  </pic:blipFill>
                  <pic:spPr>
                    <a:xfrm>
                      <a:off x="0" y="0"/>
                      <a:ext cx="455983" cy="328602"/>
                    </a:xfrm>
                    <a:prstGeom prst="rect">
                      <a:avLst/>
                    </a:prstGeom>
                  </pic:spPr>
                </pic:pic>
              </a:graphicData>
            </a:graphic>
          </wp:inline>
        </w:drawing>
      </w:r>
      <w:r>
        <w:rPr>
          <w:color w:val="231F20"/>
          <w:spacing w:val="1"/>
          <w:position w:val="-1"/>
          <w:sz w:val="12"/>
          <w:szCs w:val="12"/>
        </w:rPr>
        <w:t xml:space="preserve">                             </w:t>
      </w:r>
      <w:r>
        <w:rPr>
          <w:color w:val="231F20"/>
          <w:position w:val="-1"/>
          <w:sz w:val="12"/>
          <w:szCs w:val="12"/>
        </w:rPr>
        <w:t xml:space="preserve">                                                                                      </w:t>
      </w:r>
      <w:r>
        <w:rPr>
          <w:rFonts w:ascii="方正书宋简体" w:hAnsi="方正书宋简体" w:eastAsia="方正书宋简体" w:cs="方正书宋简体"/>
          <w:color w:val="231F20"/>
          <w:spacing w:val="1"/>
        </w:rPr>
        <w:t>（</w:t>
      </w:r>
      <w:r>
        <w:rPr>
          <w:rFonts w:ascii="方正书宋简体" w:hAnsi="方正书宋简体" w:eastAsia="方正书宋简体" w:cs="方正书宋简体"/>
          <w:color w:val="231F20"/>
          <w:spacing w:val="-18"/>
        </w:rPr>
        <w:t xml:space="preserve"> </w:t>
      </w:r>
      <w:r>
        <w:rPr>
          <w:color w:val="231F20"/>
          <w:spacing w:val="1"/>
        </w:rPr>
        <w:t>3</w:t>
      </w:r>
      <w:r>
        <w:rPr>
          <w:color w:val="231F20"/>
          <w:spacing w:val="-22"/>
        </w:rPr>
        <w:t xml:space="preserve"> </w:t>
      </w:r>
      <w:r>
        <w:rPr>
          <w:rFonts w:ascii="方正书宋简体" w:hAnsi="方正书宋简体" w:eastAsia="方正书宋简体" w:cs="方正书宋简体"/>
          <w:color w:val="231F20"/>
          <w:spacing w:val="1"/>
        </w:rPr>
        <w:t>）</w:t>
      </w:r>
    </w:p>
    <w:p w14:paraId="11DF36BC">
      <w:pPr>
        <w:pStyle w:val="6"/>
        <w:spacing w:before="56" w:line="276" w:lineRule="auto"/>
        <w:ind w:left="881" w:right="77" w:firstLine="443"/>
        <w:jc w:val="both"/>
        <w:rPr>
          <w:rFonts w:ascii="宋体" w:hAnsi="宋体" w:eastAsia="宋体" w:cs="宋体"/>
          <w:sz w:val="21"/>
          <w:szCs w:val="21"/>
        </w:rPr>
      </w:pPr>
      <w:r>
        <w:rPr>
          <w:rFonts w:ascii="宋体" w:hAnsi="宋体" w:eastAsia="宋体" w:cs="宋体"/>
          <w:color w:val="231F20"/>
          <w:spacing w:val="1"/>
          <w:sz w:val="21"/>
          <w:szCs w:val="21"/>
        </w:rPr>
        <w:t>由此可知，中美两国按照这种货币计算的经济规模之比的变化率等于中美两国实际经济增长率</w:t>
      </w:r>
      <w:r>
        <w:rPr>
          <w:rFonts w:ascii="宋体" w:hAnsi="宋体" w:eastAsia="宋体" w:cs="宋体"/>
          <w:color w:val="231F20"/>
          <w:spacing w:val="2"/>
          <w:sz w:val="21"/>
          <w:szCs w:val="21"/>
        </w:rPr>
        <w:t>之差</w:t>
      </w:r>
      <w:r>
        <w:rPr>
          <w:rFonts w:ascii="方正书宋简体" w:hAnsi="方正书宋简体" w:eastAsia="方正书宋简体" w:cs="方正书宋简体"/>
          <w:color w:val="231F20"/>
          <w:spacing w:val="2"/>
          <w:sz w:val="21"/>
          <w:szCs w:val="21"/>
        </w:rPr>
        <w:t>（</w:t>
      </w:r>
      <w:r>
        <w:rPr>
          <w:i/>
          <w:iCs/>
          <w:color w:val="231F20"/>
          <w:spacing w:val="2"/>
          <w:sz w:val="21"/>
          <w:szCs w:val="21"/>
        </w:rPr>
        <w:t>A</w:t>
      </w:r>
      <w:r>
        <w:rPr>
          <w:rFonts w:ascii="方正书宋简体" w:hAnsi="方正书宋简体" w:eastAsia="方正书宋简体" w:cs="方正书宋简体"/>
          <w:color w:val="231F20"/>
          <w:spacing w:val="-2"/>
          <w:sz w:val="21"/>
          <w:szCs w:val="21"/>
        </w:rPr>
        <w:t>）</w:t>
      </w:r>
      <w:r>
        <w:rPr>
          <w:rFonts w:ascii="方正书宋简体" w:hAnsi="方正书宋简体" w:eastAsia="方正书宋简体" w:cs="方正书宋简体"/>
          <w:color w:val="231F20"/>
          <w:spacing w:val="-23"/>
          <w:sz w:val="21"/>
          <w:szCs w:val="21"/>
        </w:rPr>
        <w:t xml:space="preserve"> </w:t>
      </w:r>
      <w:r>
        <w:rPr>
          <w:rFonts w:ascii="宋体" w:hAnsi="宋体" w:eastAsia="宋体" w:cs="宋体"/>
          <w:color w:val="231F20"/>
          <w:spacing w:val="-2"/>
          <w:sz w:val="21"/>
          <w:szCs w:val="21"/>
        </w:rPr>
        <w:t>，</w:t>
      </w:r>
      <w:r>
        <w:rPr>
          <w:rFonts w:ascii="宋体" w:hAnsi="宋体" w:eastAsia="宋体" w:cs="宋体"/>
          <w:color w:val="231F20"/>
          <w:spacing w:val="2"/>
          <w:sz w:val="21"/>
          <w:szCs w:val="21"/>
        </w:rPr>
        <w:t>加上中美两国汇率变化率之差（</w:t>
      </w:r>
      <w:r>
        <w:rPr>
          <w:i/>
          <w:iCs/>
          <w:color w:val="231F20"/>
          <w:spacing w:val="2"/>
          <w:sz w:val="21"/>
          <w:szCs w:val="21"/>
        </w:rPr>
        <w:t>B</w:t>
      </w:r>
      <w:r>
        <w:rPr>
          <w:rFonts w:ascii="宋体" w:hAnsi="宋体" w:eastAsia="宋体" w:cs="宋体"/>
          <w:color w:val="231F20"/>
          <w:spacing w:val="-2"/>
          <w:sz w:val="21"/>
          <w:szCs w:val="21"/>
        </w:rPr>
        <w:t>），</w:t>
      </w:r>
      <w:r>
        <w:rPr>
          <w:rFonts w:ascii="宋体" w:hAnsi="宋体" w:eastAsia="宋体" w:cs="宋体"/>
          <w:color w:val="231F20"/>
          <w:spacing w:val="2"/>
          <w:sz w:val="21"/>
          <w:szCs w:val="21"/>
        </w:rPr>
        <w:t>再加上中美两国价格指数变化率之差（</w:t>
      </w:r>
      <w:r>
        <w:rPr>
          <w:i/>
          <w:iCs/>
          <w:color w:val="231F20"/>
          <w:spacing w:val="2"/>
          <w:sz w:val="21"/>
          <w:szCs w:val="21"/>
        </w:rPr>
        <w:t>C</w:t>
      </w:r>
      <w:r>
        <w:rPr>
          <w:rFonts w:ascii="宋体" w:hAnsi="宋体" w:eastAsia="宋体" w:cs="宋体"/>
          <w:color w:val="231F20"/>
          <w:spacing w:val="2"/>
          <w:sz w:val="21"/>
          <w:szCs w:val="21"/>
        </w:rPr>
        <w:t>）。用</w:t>
      </w:r>
      <w:r>
        <w:rPr>
          <w:rFonts w:ascii="宋体" w:hAnsi="宋体" w:eastAsia="宋体" w:cs="宋体"/>
          <w:color w:val="231F20"/>
          <w:spacing w:val="-8"/>
          <w:sz w:val="21"/>
          <w:szCs w:val="21"/>
        </w:rPr>
        <w:t>公式表示如下：</w:t>
      </w:r>
    </w:p>
    <w:p w14:paraId="43950289">
      <w:pPr>
        <w:spacing w:before="48" w:line="739" w:lineRule="exact"/>
        <w:ind w:left="2954"/>
      </w:pPr>
      <w:r>
        <w:rPr>
          <w:position w:val="-15"/>
        </w:rPr>
        <w:drawing>
          <wp:inline distT="0" distB="0" distL="0" distR="0">
            <wp:extent cx="4411980" cy="469265"/>
            <wp:effectExtent l="0" t="0" r="7620" b="13335"/>
            <wp:docPr id="57" name="IM 12"/>
            <wp:cNvGraphicFramePr/>
            <a:graphic xmlns:a="http://schemas.openxmlformats.org/drawingml/2006/main">
              <a:graphicData uri="http://schemas.openxmlformats.org/drawingml/2006/picture">
                <pic:pic xmlns:pic="http://schemas.openxmlformats.org/drawingml/2006/picture">
                  <pic:nvPicPr>
                    <pic:cNvPr id="57" name="IM 12"/>
                    <pic:cNvPicPr/>
                  </pic:nvPicPr>
                  <pic:blipFill>
                    <a:blip r:embed="rId81"/>
                    <a:stretch>
                      <a:fillRect/>
                    </a:stretch>
                  </pic:blipFill>
                  <pic:spPr>
                    <a:xfrm>
                      <a:off x="0" y="0"/>
                      <a:ext cx="4412100" cy="469411"/>
                    </a:xfrm>
                    <a:prstGeom prst="rect">
                      <a:avLst/>
                    </a:prstGeom>
                  </pic:spPr>
                </pic:pic>
              </a:graphicData>
            </a:graphic>
          </wp:inline>
        </w:drawing>
      </w:r>
    </w:p>
    <w:p w14:paraId="24F56F2C">
      <w:pPr>
        <w:pStyle w:val="6"/>
        <w:spacing w:before="63" w:line="265" w:lineRule="auto"/>
        <w:ind w:left="880" w:right="68" w:firstLine="417"/>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如果以现价美元进行计算，那么美元汇率等于</w:t>
      </w:r>
      <w:r>
        <w:rPr>
          <w:rFonts w:ascii="方正书宋简体" w:hAnsi="方正书宋简体" w:eastAsia="方正书宋简体" w:cs="方正书宋简体"/>
          <w:color w:val="231F20"/>
          <w:spacing w:val="36"/>
          <w:w w:val="101"/>
          <w:sz w:val="21"/>
          <w:szCs w:val="21"/>
        </w:rPr>
        <w:t xml:space="preserve"> </w:t>
      </w:r>
      <w:r>
        <w:rPr>
          <w:color w:val="231F20"/>
          <w:spacing w:val="2"/>
          <w:sz w:val="21"/>
          <w:szCs w:val="21"/>
        </w:rPr>
        <w:t>1</w:t>
      </w:r>
      <w:r>
        <w:rPr>
          <w:rFonts w:ascii="方正书宋简体" w:hAnsi="方正书宋简体" w:eastAsia="方正书宋简体" w:cs="方正书宋简体"/>
          <w:color w:val="231F20"/>
          <w:spacing w:val="2"/>
          <w:sz w:val="21"/>
          <w:szCs w:val="21"/>
        </w:rPr>
        <w:t>，变化</w:t>
      </w:r>
      <w:r>
        <w:rPr>
          <w:rFonts w:ascii="方正书宋简体" w:hAnsi="方正书宋简体" w:eastAsia="方正书宋简体" w:cs="方正书宋简体"/>
          <w:color w:val="231F20"/>
          <w:spacing w:val="1"/>
          <w:sz w:val="21"/>
          <w:szCs w:val="21"/>
        </w:rPr>
        <w:t>率等于零，上式中</w:t>
      </w:r>
      <w:r>
        <w:rPr>
          <w:rFonts w:ascii="方正书宋简体" w:hAnsi="方正书宋简体" w:eastAsia="方正书宋简体" w:cs="方正书宋简体"/>
          <w:color w:val="231F20"/>
          <w:spacing w:val="17"/>
          <w:w w:val="101"/>
          <w:sz w:val="21"/>
          <w:szCs w:val="21"/>
        </w:rPr>
        <w:t xml:space="preserve"> </w:t>
      </w:r>
      <w:r>
        <w:rPr>
          <w:i/>
          <w:iCs/>
          <w:color w:val="231F20"/>
          <w:spacing w:val="1"/>
          <w:sz w:val="21"/>
          <w:szCs w:val="21"/>
        </w:rPr>
        <w:t xml:space="preserve">B </w:t>
      </w:r>
      <w:r>
        <w:rPr>
          <w:rFonts w:ascii="方正书宋简体" w:hAnsi="方正书宋简体" w:eastAsia="方正书宋简体" w:cs="方正书宋简体"/>
          <w:color w:val="231F20"/>
          <w:spacing w:val="1"/>
          <w:sz w:val="21"/>
          <w:szCs w:val="21"/>
        </w:rPr>
        <w:t>等于人民币对美元</w:t>
      </w:r>
      <w:r>
        <w:rPr>
          <w:rFonts w:ascii="方正书宋简体" w:hAnsi="方正书宋简体" w:eastAsia="方正书宋简体" w:cs="方正书宋简体"/>
          <w:color w:val="231F20"/>
          <w:spacing w:val="2"/>
          <w:sz w:val="21"/>
          <w:szCs w:val="21"/>
        </w:rPr>
        <w:t>汇率变化率。这个式子包含一种可能性，即两国按现价美元计算的经济规模之比的变化可能因汇率</w:t>
      </w:r>
      <w:r>
        <w:rPr>
          <w:rFonts w:ascii="宋体" w:hAnsi="宋体" w:eastAsia="宋体" w:cs="宋体"/>
          <w:color w:val="231F20"/>
          <w:spacing w:val="-1"/>
          <w:sz w:val="21"/>
          <w:szCs w:val="21"/>
        </w:rPr>
        <w:t>（</w:t>
      </w:r>
      <w:r>
        <w:rPr>
          <w:i/>
          <w:iCs/>
          <w:color w:val="231F20"/>
          <w:spacing w:val="-1"/>
          <w:sz w:val="21"/>
          <w:szCs w:val="21"/>
        </w:rPr>
        <w:t>B</w:t>
      </w:r>
      <w:r>
        <w:rPr>
          <w:rFonts w:ascii="宋体" w:hAnsi="宋体" w:eastAsia="宋体" w:cs="宋体"/>
          <w:color w:val="231F20"/>
          <w:spacing w:val="-1"/>
          <w:sz w:val="21"/>
          <w:szCs w:val="21"/>
        </w:rPr>
        <w:t>）</w:t>
      </w:r>
      <w:r>
        <w:rPr>
          <w:rFonts w:ascii="方正书宋简体" w:hAnsi="方正书宋简体" w:eastAsia="方正书宋简体" w:cs="方正书宋简体"/>
          <w:color w:val="231F20"/>
          <w:spacing w:val="-1"/>
          <w:sz w:val="21"/>
          <w:szCs w:val="21"/>
        </w:rPr>
        <w:t>和通货膨胀率</w:t>
      </w:r>
      <w:r>
        <w:rPr>
          <w:rFonts w:ascii="宋体" w:hAnsi="宋体" w:eastAsia="宋体" w:cs="宋体"/>
          <w:color w:val="231F20"/>
          <w:spacing w:val="-1"/>
          <w:sz w:val="21"/>
          <w:szCs w:val="21"/>
        </w:rPr>
        <w:t>（</w:t>
      </w:r>
      <w:r>
        <w:rPr>
          <w:i/>
          <w:iCs/>
          <w:color w:val="231F20"/>
          <w:spacing w:val="-1"/>
          <w:sz w:val="21"/>
          <w:szCs w:val="21"/>
        </w:rPr>
        <w:t>C</w:t>
      </w:r>
      <w:r>
        <w:rPr>
          <w:rFonts w:ascii="宋体" w:hAnsi="宋体" w:eastAsia="宋体" w:cs="宋体"/>
          <w:color w:val="231F20"/>
          <w:spacing w:val="-1"/>
          <w:sz w:val="21"/>
          <w:szCs w:val="21"/>
        </w:rPr>
        <w:t>）</w:t>
      </w:r>
      <w:r>
        <w:rPr>
          <w:rFonts w:ascii="方正书宋简体" w:hAnsi="方正书宋简体" w:eastAsia="方正书宋简体" w:cs="方正书宋简体"/>
          <w:color w:val="231F20"/>
          <w:spacing w:val="-1"/>
          <w:sz w:val="21"/>
          <w:szCs w:val="21"/>
        </w:rPr>
        <w:t>的变化而与两国实际增长率</w:t>
      </w:r>
      <w:r>
        <w:rPr>
          <w:rFonts w:ascii="宋体" w:hAnsi="宋体" w:eastAsia="宋体" w:cs="宋体"/>
          <w:color w:val="231F20"/>
          <w:spacing w:val="-1"/>
          <w:sz w:val="21"/>
          <w:szCs w:val="21"/>
        </w:rPr>
        <w:t>（</w:t>
      </w:r>
      <w:r>
        <w:rPr>
          <w:i/>
          <w:iCs/>
          <w:color w:val="231F20"/>
          <w:spacing w:val="-1"/>
          <w:sz w:val="21"/>
          <w:szCs w:val="21"/>
        </w:rPr>
        <w:t>A</w:t>
      </w:r>
      <w:r>
        <w:rPr>
          <w:rFonts w:ascii="宋体" w:hAnsi="宋体" w:eastAsia="宋体" w:cs="宋体"/>
          <w:color w:val="231F20"/>
          <w:spacing w:val="-1"/>
          <w:sz w:val="21"/>
          <w:szCs w:val="21"/>
        </w:rPr>
        <w:t>）</w:t>
      </w:r>
      <w:r>
        <w:rPr>
          <w:rFonts w:ascii="方正书宋简体" w:hAnsi="方正书宋简体" w:eastAsia="方正书宋简体" w:cs="方正书宋简体"/>
          <w:color w:val="231F20"/>
          <w:spacing w:val="-1"/>
          <w:sz w:val="21"/>
          <w:szCs w:val="21"/>
        </w:rPr>
        <w:t>的变化相背离。</w:t>
      </w:r>
    </w:p>
    <w:p w14:paraId="327DA60B">
      <w:pPr>
        <w:pStyle w:val="6"/>
        <w:spacing w:before="2" w:line="272" w:lineRule="auto"/>
        <w:ind w:left="874" w:right="68" w:firstLine="423"/>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 xml:space="preserve">在表 </w:t>
      </w:r>
      <w:r>
        <w:rPr>
          <w:color w:val="231F20"/>
          <w:spacing w:val="-1"/>
          <w:sz w:val="21"/>
          <w:szCs w:val="21"/>
        </w:rPr>
        <w:t>2</w:t>
      </w:r>
      <w:r>
        <w:rPr>
          <w:color w:val="231F20"/>
          <w:spacing w:val="33"/>
          <w:sz w:val="21"/>
          <w:szCs w:val="21"/>
        </w:rPr>
        <w:t xml:space="preserve"> </w:t>
      </w:r>
      <w:r>
        <w:rPr>
          <w:rFonts w:ascii="方正书宋简体" w:hAnsi="方正书宋简体" w:eastAsia="方正书宋简体" w:cs="方正书宋简体"/>
          <w:color w:val="231F20"/>
          <w:spacing w:val="-1"/>
          <w:sz w:val="21"/>
          <w:szCs w:val="21"/>
        </w:rPr>
        <w:t xml:space="preserve">中，根据以上公式，按照 </w:t>
      </w:r>
      <w:r>
        <w:rPr>
          <w:color w:val="231F20"/>
          <w:spacing w:val="-1"/>
          <w:sz w:val="21"/>
          <w:szCs w:val="21"/>
        </w:rPr>
        <w:t xml:space="preserve">2000 </w:t>
      </w:r>
      <w:r>
        <w:rPr>
          <w:rFonts w:ascii="方正书宋简体" w:hAnsi="方正书宋简体" w:eastAsia="方正书宋简体" w:cs="方正书宋简体"/>
          <w:color w:val="231F20"/>
          <w:spacing w:val="-1"/>
          <w:sz w:val="21"/>
          <w:szCs w:val="21"/>
        </w:rPr>
        <w:t>年以来的一些年份，给出了分解中的各项、加总及其与测</w:t>
      </w:r>
      <w:r>
        <w:rPr>
          <w:rFonts w:ascii="方正书宋简体" w:hAnsi="方正书宋简体" w:eastAsia="方正书宋简体" w:cs="方正书宋简体"/>
          <w:color w:val="231F20"/>
          <w:spacing w:val="-4"/>
          <w:sz w:val="21"/>
          <w:szCs w:val="21"/>
        </w:rPr>
        <w:t>算值的比较。</w:t>
      </w:r>
    </w:p>
    <w:p w14:paraId="30DA9DB7">
      <w:pPr>
        <w:bidi w:val="0"/>
        <w:jc w:val="center"/>
        <w:rPr>
          <w:rFonts w:ascii="微软雅黑" w:hAnsi="微软雅黑" w:eastAsia="微软雅黑" w:cs="微软雅黑"/>
          <w:sz w:val="21"/>
          <w:szCs w:val="21"/>
        </w:rPr>
      </w:pPr>
      <w:r>
        <w:rPr>
          <w:rFonts w:ascii="微软雅黑" w:hAnsi="微软雅黑" w:eastAsia="微软雅黑" w:cs="微软雅黑"/>
          <w:color w:val="231F20"/>
          <w:spacing w:val="-4"/>
          <w:sz w:val="21"/>
          <w:szCs w:val="21"/>
        </w:rPr>
        <w:t xml:space="preserve">表 </w:t>
      </w:r>
      <w:r>
        <w:rPr>
          <w:color w:val="231F20"/>
          <w:spacing w:val="-4"/>
          <w:sz w:val="21"/>
          <w:szCs w:val="21"/>
        </w:rPr>
        <w:t xml:space="preserve">2    </w:t>
      </w:r>
      <w:r>
        <w:rPr>
          <w:rFonts w:ascii="微软雅黑" w:hAnsi="微软雅黑" w:eastAsia="微软雅黑" w:cs="微软雅黑"/>
          <w:color w:val="231F20"/>
          <w:spacing w:val="-4"/>
          <w:sz w:val="21"/>
          <w:szCs w:val="21"/>
        </w:rPr>
        <w:t xml:space="preserve">以现价美元计算的中美经济规模之比变化率（ </w:t>
      </w:r>
      <w:r>
        <w:rPr>
          <w:color w:val="231F20"/>
          <w:spacing w:val="-4"/>
          <w:sz w:val="21"/>
          <w:szCs w:val="21"/>
        </w:rPr>
        <w:t xml:space="preserve">% </w:t>
      </w:r>
      <w:r>
        <w:rPr>
          <w:rFonts w:ascii="微软雅黑" w:hAnsi="微软雅黑" w:eastAsia="微软雅黑" w:cs="微软雅黑"/>
          <w:color w:val="231F20"/>
          <w:spacing w:val="-4"/>
          <w:sz w:val="21"/>
          <w:szCs w:val="21"/>
        </w:rPr>
        <w:t>）的分解和比较</w:t>
      </w:r>
    </w:p>
    <w:p w14:paraId="3DF60B6A">
      <w:pPr>
        <w:spacing w:line="36" w:lineRule="exact"/>
      </w:pPr>
    </w:p>
    <w:p w14:paraId="07597A67">
      <w:pPr>
        <w:spacing w:line="284" w:lineRule="auto"/>
        <w:rPr>
          <w:rFonts w:ascii="Arial"/>
          <w:sz w:val="21"/>
        </w:rPr>
      </w:pPr>
    </w:p>
    <w:p w14:paraId="6770B205">
      <w:pPr>
        <w:spacing w:line="36" w:lineRule="exact"/>
      </w:pPr>
    </w:p>
    <w:tbl>
      <w:tblPr>
        <w:tblStyle w:val="25"/>
        <w:tblW w:w="9144" w:type="dxa"/>
        <w:tblInd w:w="1042"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648"/>
        <w:gridCol w:w="1155"/>
        <w:gridCol w:w="580"/>
        <w:gridCol w:w="1037"/>
        <w:gridCol w:w="844"/>
        <w:gridCol w:w="519"/>
        <w:gridCol w:w="999"/>
        <w:gridCol w:w="939"/>
        <w:gridCol w:w="770"/>
        <w:gridCol w:w="827"/>
        <w:gridCol w:w="826"/>
      </w:tblGrid>
      <w:tr w14:paraId="1C238ECB">
        <w:trPr>
          <w:trHeight w:val="276" w:hRule="atLeast"/>
        </w:trPr>
        <w:tc>
          <w:tcPr>
            <w:tcW w:w="648" w:type="dxa"/>
            <w:vMerge w:val="restart"/>
            <w:tcBorders>
              <w:top w:val="single" w:color="231F20" w:sz="8" w:space="0"/>
              <w:bottom w:val="nil"/>
            </w:tcBorders>
            <w:vAlign w:val="top"/>
          </w:tcPr>
          <w:p w14:paraId="6BF6C918">
            <w:pPr>
              <w:autoSpaceDE w:val="0"/>
              <w:autoSpaceDN w:val="0"/>
              <w:spacing w:before="181" w:line="235" w:lineRule="auto"/>
              <w:ind w:left="180"/>
              <w:rPr>
                <w:rFonts w:ascii="楷体" w:hAnsi="楷体" w:eastAsia="楷体" w:cs="楷体"/>
                <w:sz w:val="18"/>
                <w:szCs w:val="18"/>
              </w:rPr>
            </w:pPr>
            <w:r>
              <w:rPr>
                <w:rFonts w:ascii="楷体" w:hAnsi="楷体" w:eastAsia="楷体" w:cs="楷体"/>
                <w:color w:val="231F20"/>
                <w:spacing w:val="-2"/>
                <w:sz w:val="18"/>
                <w:szCs w:val="18"/>
              </w:rPr>
              <w:t>年份</w:t>
            </w:r>
          </w:p>
        </w:tc>
        <w:tc>
          <w:tcPr>
            <w:tcW w:w="1155" w:type="dxa"/>
            <w:vMerge w:val="restart"/>
            <w:tcBorders>
              <w:top w:val="single" w:color="231F20" w:sz="8" w:space="0"/>
              <w:bottom w:val="nil"/>
            </w:tcBorders>
            <w:vAlign w:val="top"/>
          </w:tcPr>
          <w:p w14:paraId="0B28B1DA">
            <w:pPr>
              <w:autoSpaceDE w:val="0"/>
              <w:autoSpaceDN w:val="0"/>
              <w:spacing w:before="73" w:line="235" w:lineRule="auto"/>
              <w:ind w:left="116"/>
              <w:rPr>
                <w:rFonts w:ascii="楷体" w:hAnsi="楷体" w:eastAsia="楷体" w:cs="楷体"/>
                <w:sz w:val="18"/>
                <w:szCs w:val="18"/>
              </w:rPr>
            </w:pPr>
            <w:r>
              <w:rPr>
                <w:rFonts w:ascii="楷体" w:hAnsi="楷体" w:eastAsia="楷体" w:cs="楷体"/>
                <w:color w:val="231F20"/>
                <w:spacing w:val="-2"/>
                <w:sz w:val="18"/>
                <w:szCs w:val="18"/>
              </w:rPr>
              <w:t>汇率变化率</w:t>
            </w:r>
          </w:p>
          <w:p w14:paraId="2C57E11F">
            <w:pPr>
              <w:pStyle w:val="26"/>
              <w:autoSpaceDE w:val="0"/>
              <w:autoSpaceDN w:val="0"/>
              <w:spacing w:before="17" w:line="190" w:lineRule="auto"/>
              <w:ind w:left="449"/>
            </w:pPr>
            <w:r>
              <w:rPr>
                <w:color w:val="231F20"/>
                <w:spacing w:val="-3"/>
              </w:rPr>
              <w:t>(</w:t>
            </w:r>
            <w:r>
              <w:rPr>
                <w:i/>
                <w:iCs/>
                <w:color w:val="231F20"/>
                <w:spacing w:val="-3"/>
              </w:rPr>
              <w:t>B</w:t>
            </w:r>
            <w:r>
              <w:rPr>
                <w:color w:val="231F20"/>
                <w:spacing w:val="-3"/>
              </w:rPr>
              <w:t>)</w:t>
            </w:r>
          </w:p>
        </w:tc>
        <w:tc>
          <w:tcPr>
            <w:tcW w:w="580" w:type="dxa"/>
            <w:vMerge w:val="restart"/>
            <w:tcBorders>
              <w:top w:val="single" w:color="231F20" w:sz="8" w:space="0"/>
              <w:bottom w:val="nil"/>
            </w:tcBorders>
            <w:vAlign w:val="top"/>
          </w:tcPr>
          <w:p w14:paraId="5D8AB254">
            <w:pPr>
              <w:autoSpaceDE w:val="0"/>
              <w:autoSpaceDN w:val="0"/>
              <w:spacing w:line="263" w:lineRule="auto"/>
              <w:rPr>
                <w:rFonts w:ascii="Arial"/>
                <w:sz w:val="21"/>
              </w:rPr>
            </w:pPr>
          </w:p>
          <w:p w14:paraId="213CC379">
            <w:pPr>
              <w:autoSpaceDE w:val="0"/>
              <w:autoSpaceDN w:val="0"/>
              <w:spacing w:before="59" w:line="226" w:lineRule="auto"/>
              <w:ind w:left="161"/>
              <w:rPr>
                <w:rFonts w:ascii="楷体" w:hAnsi="楷体" w:eastAsia="楷体" w:cs="楷体"/>
                <w:sz w:val="18"/>
                <w:szCs w:val="18"/>
              </w:rPr>
            </w:pPr>
            <w:r>
              <w:rPr>
                <w:rFonts w:ascii="楷体" w:hAnsi="楷体" w:eastAsia="楷体" w:cs="楷体"/>
                <w:color w:val="231F20"/>
                <w:spacing w:val="-8"/>
                <w:sz w:val="18"/>
                <w:szCs w:val="18"/>
              </w:rPr>
              <w:t>中国</w:t>
            </w:r>
          </w:p>
        </w:tc>
        <w:tc>
          <w:tcPr>
            <w:tcW w:w="1037" w:type="dxa"/>
            <w:vMerge w:val="restart"/>
            <w:tcBorders>
              <w:top w:val="single" w:color="231F20" w:sz="8" w:space="0"/>
              <w:bottom w:val="nil"/>
            </w:tcBorders>
            <w:vAlign w:val="top"/>
          </w:tcPr>
          <w:p w14:paraId="3984F43E">
            <w:pPr>
              <w:autoSpaceDE w:val="0"/>
              <w:autoSpaceDN w:val="0"/>
              <w:spacing w:before="40" w:line="258" w:lineRule="auto"/>
              <w:ind w:left="392" w:right="28" w:hanging="277"/>
              <w:rPr>
                <w:rFonts w:ascii="楷体" w:hAnsi="楷体" w:eastAsia="楷体" w:cs="楷体"/>
                <w:sz w:val="18"/>
                <w:szCs w:val="18"/>
              </w:rPr>
            </w:pPr>
            <w:r>
              <w:rPr>
                <w:rFonts w:ascii="楷体" w:hAnsi="楷体" w:eastAsia="楷体" w:cs="楷体"/>
                <w:color w:val="231F20"/>
                <w:spacing w:val="-2"/>
                <w:sz w:val="18"/>
                <w:szCs w:val="18"/>
              </w:rPr>
              <w:t>通货膨胀率</w:t>
            </w:r>
            <w:r>
              <w:rPr>
                <w:rFonts w:ascii="楷体" w:hAnsi="楷体" w:eastAsia="楷体" w:cs="楷体"/>
                <w:color w:val="231F20"/>
                <w:spacing w:val="-4"/>
                <w:sz w:val="18"/>
                <w:szCs w:val="18"/>
              </w:rPr>
              <w:t>美国</w:t>
            </w:r>
          </w:p>
        </w:tc>
        <w:tc>
          <w:tcPr>
            <w:tcW w:w="844" w:type="dxa"/>
            <w:vMerge w:val="restart"/>
            <w:tcBorders>
              <w:top w:val="single" w:color="231F20" w:sz="8" w:space="0"/>
              <w:bottom w:val="nil"/>
            </w:tcBorders>
            <w:vAlign w:val="top"/>
          </w:tcPr>
          <w:p w14:paraId="66E6981D">
            <w:pPr>
              <w:autoSpaceDE w:val="0"/>
              <w:autoSpaceDN w:val="0"/>
              <w:spacing w:line="272" w:lineRule="auto"/>
              <w:rPr>
                <w:rFonts w:ascii="Arial"/>
                <w:sz w:val="21"/>
              </w:rPr>
            </w:pPr>
          </w:p>
          <w:p w14:paraId="2D23CCBC">
            <w:pPr>
              <w:pStyle w:val="26"/>
              <w:autoSpaceDE w:val="0"/>
              <w:autoSpaceDN w:val="0"/>
              <w:spacing w:before="59" w:line="203" w:lineRule="auto"/>
              <w:ind w:left="38"/>
            </w:pPr>
            <w:r>
              <w:rPr>
                <w:rFonts w:ascii="楷体" w:hAnsi="楷体" w:eastAsia="楷体" w:cs="楷体"/>
                <w:color w:val="231F20"/>
                <w:spacing w:val="-3"/>
              </w:rPr>
              <w:t>差值</w:t>
            </w:r>
            <w:r>
              <w:rPr>
                <w:rFonts w:ascii="楷体" w:hAnsi="楷体" w:eastAsia="楷体" w:cs="楷体"/>
                <w:color w:val="231F20"/>
                <w:spacing w:val="-37"/>
              </w:rPr>
              <w:t xml:space="preserve"> </w:t>
            </w:r>
            <w:r>
              <w:rPr>
                <w:color w:val="231F20"/>
                <w:spacing w:val="-3"/>
              </w:rPr>
              <w:t>(</w:t>
            </w:r>
            <w:r>
              <w:rPr>
                <w:i/>
                <w:iCs/>
                <w:color w:val="231F20"/>
                <w:spacing w:val="-3"/>
              </w:rPr>
              <w:t>C</w:t>
            </w:r>
            <w:r>
              <w:rPr>
                <w:color w:val="231F20"/>
                <w:spacing w:val="-3"/>
              </w:rPr>
              <w:t>)</w:t>
            </w:r>
          </w:p>
        </w:tc>
        <w:tc>
          <w:tcPr>
            <w:tcW w:w="519" w:type="dxa"/>
            <w:vMerge w:val="restart"/>
            <w:tcBorders>
              <w:top w:val="single" w:color="231F20" w:sz="8" w:space="0"/>
              <w:bottom w:val="nil"/>
            </w:tcBorders>
            <w:vAlign w:val="top"/>
          </w:tcPr>
          <w:p w14:paraId="40409A4A">
            <w:pPr>
              <w:autoSpaceDE w:val="0"/>
              <w:autoSpaceDN w:val="0"/>
              <w:spacing w:line="263" w:lineRule="auto"/>
              <w:rPr>
                <w:rFonts w:ascii="Arial"/>
                <w:sz w:val="21"/>
              </w:rPr>
            </w:pPr>
          </w:p>
          <w:p w14:paraId="14651FEA">
            <w:pPr>
              <w:autoSpaceDE w:val="0"/>
              <w:autoSpaceDN w:val="0"/>
              <w:spacing w:before="59" w:line="226" w:lineRule="auto"/>
              <w:jc w:val="right"/>
              <w:rPr>
                <w:rFonts w:ascii="楷体" w:hAnsi="楷体" w:eastAsia="楷体" w:cs="楷体"/>
                <w:sz w:val="18"/>
                <w:szCs w:val="18"/>
              </w:rPr>
            </w:pPr>
            <w:r>
              <w:rPr>
                <w:rFonts w:ascii="楷体" w:hAnsi="楷体" w:eastAsia="楷体" w:cs="楷体"/>
                <w:color w:val="231F20"/>
                <w:spacing w:val="-16"/>
                <w:sz w:val="18"/>
                <w:szCs w:val="18"/>
              </w:rPr>
              <w:t>中国</w:t>
            </w:r>
          </w:p>
        </w:tc>
        <w:tc>
          <w:tcPr>
            <w:tcW w:w="1938" w:type="dxa"/>
            <w:gridSpan w:val="2"/>
            <w:tcBorders>
              <w:top w:val="single" w:color="231F20" w:sz="8" w:space="0"/>
            </w:tcBorders>
            <w:vAlign w:val="top"/>
          </w:tcPr>
          <w:p w14:paraId="782D8C8A">
            <w:pPr>
              <w:autoSpaceDE w:val="0"/>
              <w:autoSpaceDN w:val="0"/>
              <w:spacing w:before="39" w:line="232" w:lineRule="auto"/>
              <w:ind w:left="33"/>
              <w:rPr>
                <w:rFonts w:ascii="楷体" w:hAnsi="楷体" w:eastAsia="楷体" w:cs="楷体"/>
                <w:sz w:val="18"/>
                <w:szCs w:val="18"/>
              </w:rPr>
            </w:pPr>
            <w:r>
              <w:rPr>
                <w:rFonts w:ascii="楷体" w:hAnsi="楷体" w:eastAsia="楷体" w:cs="楷体"/>
                <w:color w:val="231F20"/>
                <w:spacing w:val="-3"/>
                <w:sz w:val="18"/>
                <w:szCs w:val="18"/>
              </w:rPr>
              <w:t>实际经济增长率</w:t>
            </w:r>
          </w:p>
        </w:tc>
        <w:tc>
          <w:tcPr>
            <w:tcW w:w="2423" w:type="dxa"/>
            <w:gridSpan w:val="3"/>
            <w:tcBorders>
              <w:top w:val="single" w:color="231F20" w:sz="8" w:space="0"/>
            </w:tcBorders>
            <w:vAlign w:val="top"/>
          </w:tcPr>
          <w:p w14:paraId="7ED9B1B7">
            <w:pPr>
              <w:autoSpaceDE w:val="0"/>
              <w:autoSpaceDN w:val="0"/>
              <w:spacing w:before="39" w:line="232" w:lineRule="auto"/>
              <w:ind w:left="389"/>
              <w:rPr>
                <w:rFonts w:ascii="楷体" w:hAnsi="楷体" w:eastAsia="楷体" w:cs="楷体"/>
                <w:sz w:val="18"/>
                <w:szCs w:val="18"/>
              </w:rPr>
            </w:pPr>
            <w:r>
              <w:rPr>
                <w:rFonts w:ascii="楷体" w:hAnsi="楷体" w:eastAsia="楷体" w:cs="楷体"/>
                <w:color w:val="030303"/>
                <w:spacing w:val="-2"/>
                <w:sz w:val="18"/>
                <w:szCs w:val="18"/>
              </w:rPr>
              <w:t>经济规模之比变化率</w:t>
            </w:r>
          </w:p>
        </w:tc>
      </w:tr>
      <w:tr w14:paraId="4BE6DC64">
        <w:trPr>
          <w:trHeight w:val="278" w:hRule="atLeast"/>
        </w:trPr>
        <w:tc>
          <w:tcPr>
            <w:tcW w:w="648" w:type="dxa"/>
            <w:vMerge w:val="continue"/>
            <w:tcBorders>
              <w:top w:val="nil"/>
              <w:bottom w:val="single" w:color="231F20" w:sz="2" w:space="0"/>
            </w:tcBorders>
            <w:vAlign w:val="top"/>
          </w:tcPr>
          <w:p w14:paraId="759D698B">
            <w:pPr>
              <w:autoSpaceDE w:val="0"/>
              <w:autoSpaceDN w:val="0"/>
              <w:rPr>
                <w:rFonts w:ascii="Arial"/>
                <w:sz w:val="21"/>
              </w:rPr>
            </w:pPr>
          </w:p>
        </w:tc>
        <w:tc>
          <w:tcPr>
            <w:tcW w:w="1155" w:type="dxa"/>
            <w:vMerge w:val="continue"/>
            <w:tcBorders>
              <w:top w:val="nil"/>
              <w:bottom w:val="single" w:color="231F20" w:sz="2" w:space="0"/>
            </w:tcBorders>
            <w:vAlign w:val="top"/>
          </w:tcPr>
          <w:p w14:paraId="10E4578E">
            <w:pPr>
              <w:autoSpaceDE w:val="0"/>
              <w:autoSpaceDN w:val="0"/>
              <w:rPr>
                <w:rFonts w:ascii="Arial"/>
                <w:sz w:val="21"/>
              </w:rPr>
            </w:pPr>
          </w:p>
        </w:tc>
        <w:tc>
          <w:tcPr>
            <w:tcW w:w="580" w:type="dxa"/>
            <w:vMerge w:val="continue"/>
            <w:tcBorders>
              <w:top w:val="nil"/>
              <w:bottom w:val="single" w:color="231F20" w:sz="2" w:space="0"/>
            </w:tcBorders>
            <w:vAlign w:val="top"/>
          </w:tcPr>
          <w:p w14:paraId="01C604B1">
            <w:pPr>
              <w:autoSpaceDE w:val="0"/>
              <w:autoSpaceDN w:val="0"/>
              <w:rPr>
                <w:rFonts w:ascii="Arial"/>
                <w:sz w:val="21"/>
              </w:rPr>
            </w:pPr>
          </w:p>
        </w:tc>
        <w:tc>
          <w:tcPr>
            <w:tcW w:w="1037" w:type="dxa"/>
            <w:vMerge w:val="continue"/>
            <w:tcBorders>
              <w:top w:val="nil"/>
              <w:bottom w:val="single" w:color="231F20" w:sz="2" w:space="0"/>
            </w:tcBorders>
            <w:vAlign w:val="top"/>
          </w:tcPr>
          <w:p w14:paraId="7F934588">
            <w:pPr>
              <w:autoSpaceDE w:val="0"/>
              <w:autoSpaceDN w:val="0"/>
              <w:rPr>
                <w:rFonts w:ascii="Arial"/>
                <w:sz w:val="21"/>
              </w:rPr>
            </w:pPr>
          </w:p>
        </w:tc>
        <w:tc>
          <w:tcPr>
            <w:tcW w:w="844" w:type="dxa"/>
            <w:vMerge w:val="continue"/>
            <w:tcBorders>
              <w:top w:val="nil"/>
              <w:bottom w:val="single" w:color="231F20" w:sz="2" w:space="0"/>
            </w:tcBorders>
            <w:vAlign w:val="top"/>
          </w:tcPr>
          <w:p w14:paraId="750D891C">
            <w:pPr>
              <w:autoSpaceDE w:val="0"/>
              <w:autoSpaceDN w:val="0"/>
              <w:rPr>
                <w:rFonts w:ascii="Arial"/>
                <w:sz w:val="21"/>
              </w:rPr>
            </w:pPr>
          </w:p>
        </w:tc>
        <w:tc>
          <w:tcPr>
            <w:tcW w:w="519" w:type="dxa"/>
            <w:vMerge w:val="continue"/>
            <w:tcBorders>
              <w:top w:val="nil"/>
              <w:bottom w:val="single" w:color="231F20" w:sz="2" w:space="0"/>
            </w:tcBorders>
            <w:vAlign w:val="top"/>
          </w:tcPr>
          <w:p w14:paraId="69D0E375">
            <w:pPr>
              <w:autoSpaceDE w:val="0"/>
              <w:autoSpaceDN w:val="0"/>
              <w:rPr>
                <w:rFonts w:ascii="Arial"/>
                <w:sz w:val="21"/>
              </w:rPr>
            </w:pPr>
          </w:p>
        </w:tc>
        <w:tc>
          <w:tcPr>
            <w:tcW w:w="999" w:type="dxa"/>
            <w:tcBorders>
              <w:bottom w:val="single" w:color="231F20" w:sz="2" w:space="0"/>
            </w:tcBorders>
            <w:vAlign w:val="top"/>
          </w:tcPr>
          <w:p w14:paraId="70242879">
            <w:pPr>
              <w:autoSpaceDE w:val="0"/>
              <w:autoSpaceDN w:val="0"/>
              <w:spacing w:before="47" w:line="226" w:lineRule="auto"/>
              <w:ind w:left="474"/>
              <w:rPr>
                <w:rFonts w:ascii="楷体" w:hAnsi="楷体" w:eastAsia="楷体" w:cs="楷体"/>
                <w:sz w:val="18"/>
                <w:szCs w:val="18"/>
              </w:rPr>
            </w:pPr>
            <w:r>
              <w:rPr>
                <w:rFonts w:ascii="楷体" w:hAnsi="楷体" w:eastAsia="楷体" w:cs="楷体"/>
                <w:color w:val="231F20"/>
                <w:spacing w:val="-4"/>
                <w:sz w:val="18"/>
                <w:szCs w:val="18"/>
              </w:rPr>
              <w:t>美国</w:t>
            </w:r>
          </w:p>
        </w:tc>
        <w:tc>
          <w:tcPr>
            <w:tcW w:w="939" w:type="dxa"/>
            <w:tcBorders>
              <w:bottom w:val="single" w:color="231F20" w:sz="2" w:space="0"/>
            </w:tcBorders>
            <w:vAlign w:val="top"/>
          </w:tcPr>
          <w:p w14:paraId="0F52A2B3">
            <w:pPr>
              <w:pStyle w:val="26"/>
              <w:autoSpaceDE w:val="0"/>
              <w:autoSpaceDN w:val="0"/>
              <w:spacing w:before="57" w:line="203" w:lineRule="auto"/>
              <w:ind w:left="162"/>
            </w:pPr>
            <w:r>
              <w:rPr>
                <w:rFonts w:ascii="楷体" w:hAnsi="楷体" w:eastAsia="楷体" w:cs="楷体"/>
                <w:color w:val="231F20"/>
                <w:spacing w:val="-4"/>
              </w:rPr>
              <w:t>差值</w:t>
            </w:r>
            <w:r>
              <w:rPr>
                <w:rFonts w:ascii="楷体" w:hAnsi="楷体" w:eastAsia="楷体" w:cs="楷体"/>
                <w:color w:val="231F20"/>
                <w:spacing w:val="-38"/>
              </w:rPr>
              <w:t xml:space="preserve"> </w:t>
            </w:r>
            <w:r>
              <w:rPr>
                <w:color w:val="231F20"/>
                <w:spacing w:val="-4"/>
              </w:rPr>
              <w:t>(</w:t>
            </w:r>
            <w:r>
              <w:rPr>
                <w:i/>
                <w:iCs/>
                <w:color w:val="231F20"/>
                <w:spacing w:val="-4"/>
              </w:rPr>
              <w:t>A</w:t>
            </w:r>
            <w:r>
              <w:rPr>
                <w:color w:val="231F20"/>
                <w:spacing w:val="-4"/>
              </w:rPr>
              <w:t>)</w:t>
            </w:r>
          </w:p>
        </w:tc>
        <w:tc>
          <w:tcPr>
            <w:tcW w:w="770" w:type="dxa"/>
            <w:tcBorders>
              <w:bottom w:val="single" w:color="231F20" w:sz="2" w:space="0"/>
            </w:tcBorders>
            <w:vAlign w:val="top"/>
          </w:tcPr>
          <w:p w14:paraId="373A85CC">
            <w:pPr>
              <w:autoSpaceDE w:val="0"/>
              <w:autoSpaceDN w:val="0"/>
              <w:spacing w:before="47" w:line="226" w:lineRule="auto"/>
              <w:ind w:left="186"/>
              <w:rPr>
                <w:rFonts w:ascii="楷体" w:hAnsi="楷体" w:eastAsia="楷体" w:cs="楷体"/>
                <w:sz w:val="18"/>
                <w:szCs w:val="18"/>
              </w:rPr>
            </w:pPr>
            <w:r>
              <w:rPr>
                <w:rFonts w:ascii="楷体" w:hAnsi="楷体" w:eastAsia="楷体" w:cs="楷体"/>
                <w:color w:val="231F20"/>
                <w:spacing w:val="-3"/>
                <w:sz w:val="18"/>
                <w:szCs w:val="18"/>
              </w:rPr>
              <w:t>分解</w:t>
            </w:r>
          </w:p>
        </w:tc>
        <w:tc>
          <w:tcPr>
            <w:tcW w:w="827" w:type="dxa"/>
            <w:tcBorders>
              <w:bottom w:val="single" w:color="231F20" w:sz="2" w:space="0"/>
            </w:tcBorders>
            <w:vAlign w:val="top"/>
          </w:tcPr>
          <w:p w14:paraId="58A70BBC">
            <w:pPr>
              <w:autoSpaceDE w:val="0"/>
              <w:autoSpaceDN w:val="0"/>
              <w:spacing w:before="47" w:line="226" w:lineRule="auto"/>
              <w:ind w:left="245"/>
              <w:rPr>
                <w:rFonts w:ascii="楷体" w:hAnsi="楷体" w:eastAsia="楷体" w:cs="楷体"/>
                <w:sz w:val="18"/>
                <w:szCs w:val="18"/>
              </w:rPr>
            </w:pPr>
            <w:r>
              <w:rPr>
                <w:rFonts w:ascii="楷体" w:hAnsi="楷体" w:eastAsia="楷体" w:cs="楷体"/>
                <w:color w:val="231F20"/>
                <w:spacing w:val="-4"/>
                <w:sz w:val="18"/>
                <w:szCs w:val="18"/>
              </w:rPr>
              <w:t>测算</w:t>
            </w:r>
          </w:p>
        </w:tc>
        <w:tc>
          <w:tcPr>
            <w:tcW w:w="826" w:type="dxa"/>
            <w:tcBorders>
              <w:bottom w:val="single" w:color="231F20" w:sz="2" w:space="0"/>
            </w:tcBorders>
            <w:vAlign w:val="top"/>
          </w:tcPr>
          <w:p w14:paraId="10C4FD6E">
            <w:pPr>
              <w:autoSpaceDE w:val="0"/>
              <w:autoSpaceDN w:val="0"/>
              <w:spacing w:before="56" w:line="201" w:lineRule="auto"/>
              <w:ind w:left="245"/>
              <w:rPr>
                <w:rFonts w:ascii="楷体" w:hAnsi="楷体" w:eastAsia="楷体" w:cs="楷体"/>
                <w:sz w:val="18"/>
                <w:szCs w:val="18"/>
              </w:rPr>
            </w:pPr>
            <w:r>
              <w:rPr>
                <w:rFonts w:ascii="楷体" w:hAnsi="楷体" w:eastAsia="楷体" w:cs="楷体"/>
                <w:color w:val="231F20"/>
                <w:spacing w:val="-3"/>
                <w:sz w:val="18"/>
                <w:szCs w:val="18"/>
              </w:rPr>
              <w:t>差值</w:t>
            </w:r>
          </w:p>
        </w:tc>
      </w:tr>
      <w:tr w14:paraId="2E026C2A">
        <w:trPr>
          <w:trHeight w:val="282" w:hRule="atLeast"/>
        </w:trPr>
        <w:tc>
          <w:tcPr>
            <w:tcW w:w="648" w:type="dxa"/>
            <w:tcBorders>
              <w:top w:val="single" w:color="231F20" w:sz="2" w:space="0"/>
            </w:tcBorders>
            <w:shd w:val="clear" w:color="auto" w:fill="auto"/>
            <w:vAlign w:val="top"/>
          </w:tcPr>
          <w:p w14:paraId="566DB9DF">
            <w:pPr>
              <w:pStyle w:val="26"/>
              <w:autoSpaceDE w:val="0"/>
              <w:autoSpaceDN w:val="0"/>
              <w:spacing w:before="91" w:line="186" w:lineRule="auto"/>
              <w:ind w:left="17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2000</w:t>
            </w:r>
          </w:p>
        </w:tc>
        <w:tc>
          <w:tcPr>
            <w:tcW w:w="1155" w:type="dxa"/>
            <w:tcBorders>
              <w:top w:val="single" w:color="231F20" w:sz="2" w:space="0"/>
            </w:tcBorders>
            <w:shd w:val="clear" w:color="auto" w:fill="auto"/>
            <w:vAlign w:val="top"/>
          </w:tcPr>
          <w:p w14:paraId="492CF7B0">
            <w:pPr>
              <w:pStyle w:val="26"/>
              <w:autoSpaceDE w:val="0"/>
              <w:autoSpaceDN w:val="0"/>
              <w:spacing w:before="92" w:line="178" w:lineRule="auto"/>
              <w:ind w:left="360"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0.00</w:t>
            </w:r>
          </w:p>
        </w:tc>
        <w:tc>
          <w:tcPr>
            <w:tcW w:w="580" w:type="dxa"/>
            <w:tcBorders>
              <w:top w:val="single" w:color="231F20" w:sz="2" w:space="0"/>
            </w:tcBorders>
            <w:shd w:val="clear" w:color="auto" w:fill="auto"/>
            <w:vAlign w:val="top"/>
          </w:tcPr>
          <w:p w14:paraId="6EC9E807">
            <w:pPr>
              <w:pStyle w:val="26"/>
              <w:autoSpaceDE w:val="0"/>
              <w:autoSpaceDN w:val="0"/>
              <w:spacing w:before="91" w:line="186" w:lineRule="auto"/>
              <w:ind w:left="15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0.35</w:t>
            </w:r>
          </w:p>
        </w:tc>
        <w:tc>
          <w:tcPr>
            <w:tcW w:w="1037" w:type="dxa"/>
            <w:tcBorders>
              <w:top w:val="single" w:color="231F20" w:sz="2" w:space="0"/>
            </w:tcBorders>
            <w:shd w:val="clear" w:color="auto" w:fill="auto"/>
            <w:vAlign w:val="top"/>
          </w:tcPr>
          <w:p w14:paraId="3D674BC6">
            <w:pPr>
              <w:pStyle w:val="26"/>
              <w:autoSpaceDE w:val="0"/>
              <w:autoSpaceDN w:val="0"/>
              <w:spacing w:before="91" w:line="186" w:lineRule="auto"/>
              <w:ind w:left="40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3.38</w:t>
            </w:r>
          </w:p>
        </w:tc>
        <w:tc>
          <w:tcPr>
            <w:tcW w:w="844" w:type="dxa"/>
            <w:tcBorders>
              <w:top w:val="single" w:color="231F20" w:sz="2" w:space="0"/>
            </w:tcBorders>
            <w:shd w:val="clear" w:color="auto" w:fill="auto"/>
            <w:vAlign w:val="top"/>
          </w:tcPr>
          <w:p w14:paraId="6357E459">
            <w:pPr>
              <w:pStyle w:val="26"/>
              <w:autoSpaceDE w:val="0"/>
              <w:autoSpaceDN w:val="0"/>
              <w:spacing w:before="92" w:line="178" w:lineRule="auto"/>
              <w:ind w:left="152"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3.03</w:t>
            </w:r>
          </w:p>
        </w:tc>
        <w:tc>
          <w:tcPr>
            <w:tcW w:w="519" w:type="dxa"/>
            <w:tcBorders>
              <w:top w:val="single" w:color="231F20" w:sz="2" w:space="0"/>
            </w:tcBorders>
            <w:shd w:val="clear" w:color="auto" w:fill="auto"/>
            <w:vAlign w:val="top"/>
          </w:tcPr>
          <w:p w14:paraId="7346DAEE">
            <w:pPr>
              <w:pStyle w:val="26"/>
              <w:autoSpaceDE w:val="0"/>
              <w:autoSpaceDN w:val="0"/>
              <w:spacing w:before="91" w:line="186" w:lineRule="auto"/>
              <w:ind w:left="185"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8.49</w:t>
            </w:r>
          </w:p>
        </w:tc>
        <w:tc>
          <w:tcPr>
            <w:tcW w:w="999" w:type="dxa"/>
            <w:tcBorders>
              <w:top w:val="single" w:color="231F20" w:sz="2" w:space="0"/>
            </w:tcBorders>
            <w:shd w:val="clear" w:color="auto" w:fill="auto"/>
            <w:vAlign w:val="top"/>
          </w:tcPr>
          <w:p w14:paraId="58857A56">
            <w:pPr>
              <w:pStyle w:val="26"/>
              <w:autoSpaceDE w:val="0"/>
              <w:autoSpaceDN w:val="0"/>
              <w:spacing w:before="91" w:line="186" w:lineRule="auto"/>
              <w:ind w:left="487"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4.08</w:t>
            </w:r>
          </w:p>
        </w:tc>
        <w:tc>
          <w:tcPr>
            <w:tcW w:w="939" w:type="dxa"/>
            <w:tcBorders>
              <w:top w:val="single" w:color="231F20" w:sz="2" w:space="0"/>
            </w:tcBorders>
            <w:shd w:val="clear" w:color="auto" w:fill="auto"/>
            <w:vAlign w:val="top"/>
          </w:tcPr>
          <w:p w14:paraId="18614434">
            <w:pPr>
              <w:pStyle w:val="26"/>
              <w:autoSpaceDE w:val="0"/>
              <w:autoSpaceDN w:val="0"/>
              <w:spacing w:before="91" w:line="186" w:lineRule="auto"/>
              <w:ind w:left="337"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4.41</w:t>
            </w:r>
          </w:p>
        </w:tc>
        <w:tc>
          <w:tcPr>
            <w:tcW w:w="770" w:type="dxa"/>
            <w:tcBorders>
              <w:top w:val="single" w:color="231F20" w:sz="2" w:space="0"/>
            </w:tcBorders>
            <w:shd w:val="clear" w:color="auto" w:fill="auto"/>
            <w:vAlign w:val="top"/>
          </w:tcPr>
          <w:p w14:paraId="315AD361">
            <w:pPr>
              <w:pStyle w:val="26"/>
              <w:autoSpaceDE w:val="0"/>
              <w:autoSpaceDN w:val="0"/>
              <w:spacing w:before="91" w:line="186" w:lineRule="auto"/>
              <w:ind w:left="207"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1.38</w:t>
            </w:r>
          </w:p>
        </w:tc>
        <w:tc>
          <w:tcPr>
            <w:tcW w:w="827" w:type="dxa"/>
            <w:tcBorders>
              <w:top w:val="single" w:color="231F20" w:sz="2" w:space="0"/>
            </w:tcBorders>
            <w:shd w:val="clear" w:color="auto" w:fill="auto"/>
            <w:vAlign w:val="top"/>
          </w:tcPr>
          <w:p w14:paraId="63AA31C4">
            <w:pPr>
              <w:pStyle w:val="26"/>
              <w:autoSpaceDE w:val="0"/>
              <w:autoSpaceDN w:val="0"/>
              <w:spacing w:before="91" w:line="186" w:lineRule="auto"/>
              <w:ind w:left="256"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4.03</w:t>
            </w:r>
          </w:p>
        </w:tc>
        <w:tc>
          <w:tcPr>
            <w:tcW w:w="826" w:type="dxa"/>
            <w:tcBorders>
              <w:top w:val="single" w:color="231F20" w:sz="2" w:space="0"/>
            </w:tcBorders>
            <w:shd w:val="clear" w:color="auto" w:fill="auto"/>
            <w:vAlign w:val="top"/>
          </w:tcPr>
          <w:p w14:paraId="71B7ECBE">
            <w:pPr>
              <w:pStyle w:val="26"/>
              <w:autoSpaceDE w:val="0"/>
              <w:autoSpaceDN w:val="0"/>
              <w:spacing w:before="91" w:line="186" w:lineRule="auto"/>
              <w:ind w:left="260"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2.65</w:t>
            </w:r>
          </w:p>
        </w:tc>
      </w:tr>
      <w:tr w14:paraId="40689AFB">
        <w:trPr>
          <w:trHeight w:val="282" w:hRule="atLeast"/>
        </w:trPr>
        <w:tc>
          <w:tcPr>
            <w:tcW w:w="648" w:type="dxa"/>
            <w:shd w:val="clear" w:color="auto" w:fill="auto"/>
            <w:vAlign w:val="top"/>
          </w:tcPr>
          <w:p w14:paraId="1640B2CA">
            <w:pPr>
              <w:pStyle w:val="26"/>
              <w:autoSpaceDE w:val="0"/>
              <w:autoSpaceDN w:val="0"/>
              <w:spacing w:before="81" w:line="186" w:lineRule="auto"/>
              <w:ind w:left="17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2005</w:t>
            </w:r>
          </w:p>
        </w:tc>
        <w:tc>
          <w:tcPr>
            <w:tcW w:w="1155" w:type="dxa"/>
            <w:shd w:val="clear" w:color="auto" w:fill="auto"/>
            <w:vAlign w:val="top"/>
          </w:tcPr>
          <w:p w14:paraId="5424F255">
            <w:pPr>
              <w:pStyle w:val="26"/>
              <w:autoSpaceDE w:val="0"/>
              <w:autoSpaceDN w:val="0"/>
              <w:spacing w:before="81" w:line="186" w:lineRule="auto"/>
              <w:ind w:left="420"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1.01</w:t>
            </w:r>
          </w:p>
        </w:tc>
        <w:tc>
          <w:tcPr>
            <w:tcW w:w="580" w:type="dxa"/>
            <w:shd w:val="clear" w:color="auto" w:fill="auto"/>
            <w:vAlign w:val="top"/>
          </w:tcPr>
          <w:p w14:paraId="79EC7DA5">
            <w:pPr>
              <w:pStyle w:val="26"/>
              <w:autoSpaceDE w:val="0"/>
              <w:autoSpaceDN w:val="0"/>
              <w:spacing w:before="81" w:line="186" w:lineRule="auto"/>
              <w:ind w:left="175"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1.78</w:t>
            </w:r>
          </w:p>
        </w:tc>
        <w:tc>
          <w:tcPr>
            <w:tcW w:w="1037" w:type="dxa"/>
            <w:shd w:val="clear" w:color="auto" w:fill="auto"/>
            <w:vAlign w:val="top"/>
          </w:tcPr>
          <w:p w14:paraId="42C3F3A9">
            <w:pPr>
              <w:pStyle w:val="26"/>
              <w:autoSpaceDE w:val="0"/>
              <w:autoSpaceDN w:val="0"/>
              <w:spacing w:before="81" w:line="186" w:lineRule="auto"/>
              <w:ind w:left="40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3.39</w:t>
            </w:r>
          </w:p>
        </w:tc>
        <w:tc>
          <w:tcPr>
            <w:tcW w:w="844" w:type="dxa"/>
            <w:shd w:val="clear" w:color="auto" w:fill="auto"/>
            <w:vAlign w:val="top"/>
          </w:tcPr>
          <w:p w14:paraId="1A5E5E31">
            <w:pPr>
              <w:pStyle w:val="26"/>
              <w:autoSpaceDE w:val="0"/>
              <w:autoSpaceDN w:val="0"/>
              <w:spacing w:before="82" w:line="178" w:lineRule="auto"/>
              <w:ind w:left="151"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1.62</w:t>
            </w:r>
          </w:p>
        </w:tc>
        <w:tc>
          <w:tcPr>
            <w:tcW w:w="519" w:type="dxa"/>
            <w:shd w:val="clear" w:color="auto" w:fill="auto"/>
            <w:vAlign w:val="top"/>
          </w:tcPr>
          <w:p w14:paraId="3DBEF3EB">
            <w:pPr>
              <w:pStyle w:val="26"/>
              <w:autoSpaceDE w:val="0"/>
              <w:autoSpaceDN w:val="0"/>
              <w:spacing w:before="81" w:line="186" w:lineRule="auto"/>
              <w:ind w:left="198" w:leftChars="0"/>
              <w:rPr>
                <w:rFonts w:ascii="Times New Roman" w:hAnsi="Times New Roman" w:eastAsia="Times New Roman" w:cs="Times New Roman"/>
                <w:snapToGrid w:val="0"/>
                <w:color w:val="000000"/>
                <w:kern w:val="0"/>
                <w:sz w:val="18"/>
                <w:szCs w:val="18"/>
                <w:lang w:val="en-US" w:eastAsia="en-US" w:bidi="ar-SA"/>
              </w:rPr>
            </w:pPr>
            <w:r>
              <w:rPr>
                <w:color w:val="231F20"/>
                <w:spacing w:val="-7"/>
              </w:rPr>
              <w:t>11.4</w:t>
            </w:r>
          </w:p>
        </w:tc>
        <w:tc>
          <w:tcPr>
            <w:tcW w:w="999" w:type="dxa"/>
            <w:shd w:val="clear" w:color="auto" w:fill="auto"/>
            <w:vAlign w:val="top"/>
          </w:tcPr>
          <w:p w14:paraId="2CF1344B">
            <w:pPr>
              <w:pStyle w:val="26"/>
              <w:autoSpaceDE w:val="0"/>
              <w:autoSpaceDN w:val="0"/>
              <w:spacing w:before="81" w:line="186" w:lineRule="auto"/>
              <w:ind w:left="48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3.48</w:t>
            </w:r>
          </w:p>
        </w:tc>
        <w:tc>
          <w:tcPr>
            <w:tcW w:w="939" w:type="dxa"/>
            <w:shd w:val="clear" w:color="auto" w:fill="auto"/>
            <w:vAlign w:val="top"/>
          </w:tcPr>
          <w:p w14:paraId="406DB8AF">
            <w:pPr>
              <w:pStyle w:val="26"/>
              <w:autoSpaceDE w:val="0"/>
              <w:autoSpaceDN w:val="0"/>
              <w:spacing w:before="81" w:line="186" w:lineRule="auto"/>
              <w:ind w:left="317"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7.91</w:t>
            </w:r>
          </w:p>
        </w:tc>
        <w:tc>
          <w:tcPr>
            <w:tcW w:w="770" w:type="dxa"/>
            <w:shd w:val="clear" w:color="auto" w:fill="auto"/>
            <w:vAlign w:val="top"/>
          </w:tcPr>
          <w:p w14:paraId="13891DFE">
            <w:pPr>
              <w:pStyle w:val="26"/>
              <w:autoSpaceDE w:val="0"/>
              <w:autoSpaceDN w:val="0"/>
              <w:spacing w:before="81" w:line="186" w:lineRule="auto"/>
              <w:ind w:left="205"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7.30</w:t>
            </w:r>
          </w:p>
        </w:tc>
        <w:tc>
          <w:tcPr>
            <w:tcW w:w="827" w:type="dxa"/>
            <w:shd w:val="clear" w:color="auto" w:fill="auto"/>
            <w:vAlign w:val="top"/>
          </w:tcPr>
          <w:p w14:paraId="583A7FC0">
            <w:pPr>
              <w:pStyle w:val="26"/>
              <w:autoSpaceDE w:val="0"/>
              <w:autoSpaceDN w:val="0"/>
              <w:spacing w:before="81" w:line="186" w:lineRule="auto"/>
              <w:ind w:left="262"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9.54</w:t>
            </w:r>
          </w:p>
        </w:tc>
        <w:tc>
          <w:tcPr>
            <w:tcW w:w="826" w:type="dxa"/>
            <w:shd w:val="clear" w:color="auto" w:fill="auto"/>
            <w:vAlign w:val="top"/>
          </w:tcPr>
          <w:p w14:paraId="66031861">
            <w:pPr>
              <w:pStyle w:val="26"/>
              <w:autoSpaceDE w:val="0"/>
              <w:autoSpaceDN w:val="0"/>
              <w:spacing w:before="81" w:line="186" w:lineRule="auto"/>
              <w:ind w:left="25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2.24</w:t>
            </w:r>
          </w:p>
        </w:tc>
      </w:tr>
      <w:tr w14:paraId="4109EE5E">
        <w:trPr>
          <w:trHeight w:val="282" w:hRule="atLeast"/>
        </w:trPr>
        <w:tc>
          <w:tcPr>
            <w:tcW w:w="648" w:type="dxa"/>
            <w:shd w:val="clear" w:color="auto" w:fill="auto"/>
            <w:vAlign w:val="top"/>
          </w:tcPr>
          <w:p w14:paraId="465745F2">
            <w:pPr>
              <w:pStyle w:val="26"/>
              <w:autoSpaceDE w:val="0"/>
              <w:autoSpaceDN w:val="0"/>
              <w:spacing w:before="83" w:line="186" w:lineRule="auto"/>
              <w:ind w:left="17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2010</w:t>
            </w:r>
          </w:p>
        </w:tc>
        <w:tc>
          <w:tcPr>
            <w:tcW w:w="1155" w:type="dxa"/>
            <w:shd w:val="clear" w:color="auto" w:fill="auto"/>
            <w:vAlign w:val="top"/>
          </w:tcPr>
          <w:p w14:paraId="654244AF">
            <w:pPr>
              <w:pStyle w:val="26"/>
              <w:autoSpaceDE w:val="0"/>
              <w:autoSpaceDN w:val="0"/>
              <w:spacing w:before="83" w:line="186" w:lineRule="auto"/>
              <w:ind w:left="405"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0.90</w:t>
            </w:r>
          </w:p>
        </w:tc>
        <w:tc>
          <w:tcPr>
            <w:tcW w:w="580" w:type="dxa"/>
            <w:shd w:val="clear" w:color="auto" w:fill="auto"/>
            <w:vAlign w:val="top"/>
          </w:tcPr>
          <w:p w14:paraId="7B877380">
            <w:pPr>
              <w:pStyle w:val="26"/>
              <w:autoSpaceDE w:val="0"/>
              <w:autoSpaceDN w:val="0"/>
              <w:spacing w:before="83" w:line="186" w:lineRule="auto"/>
              <w:ind w:left="161"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3.18</w:t>
            </w:r>
          </w:p>
        </w:tc>
        <w:tc>
          <w:tcPr>
            <w:tcW w:w="1037" w:type="dxa"/>
            <w:shd w:val="clear" w:color="auto" w:fill="auto"/>
            <w:vAlign w:val="top"/>
          </w:tcPr>
          <w:p w14:paraId="51C29021">
            <w:pPr>
              <w:pStyle w:val="26"/>
              <w:autoSpaceDE w:val="0"/>
              <w:autoSpaceDN w:val="0"/>
              <w:spacing w:before="83" w:line="186" w:lineRule="auto"/>
              <w:ind w:left="42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1.64</w:t>
            </w:r>
          </w:p>
        </w:tc>
        <w:tc>
          <w:tcPr>
            <w:tcW w:w="844" w:type="dxa"/>
            <w:shd w:val="clear" w:color="auto" w:fill="auto"/>
            <w:vAlign w:val="top"/>
          </w:tcPr>
          <w:p w14:paraId="2396F32B">
            <w:pPr>
              <w:pStyle w:val="26"/>
              <w:autoSpaceDE w:val="0"/>
              <w:autoSpaceDN w:val="0"/>
              <w:spacing w:before="83" w:line="186" w:lineRule="auto"/>
              <w:ind w:left="21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1.54</w:t>
            </w:r>
          </w:p>
        </w:tc>
        <w:tc>
          <w:tcPr>
            <w:tcW w:w="519" w:type="dxa"/>
            <w:shd w:val="clear" w:color="auto" w:fill="auto"/>
            <w:vAlign w:val="top"/>
          </w:tcPr>
          <w:p w14:paraId="2AA3EAE7">
            <w:pPr>
              <w:pStyle w:val="26"/>
              <w:autoSpaceDE w:val="0"/>
              <w:autoSpaceDN w:val="0"/>
              <w:spacing w:before="83" w:line="186" w:lineRule="auto"/>
              <w:ind w:right="23" w:rightChars="0"/>
              <w:jc w:val="right"/>
              <w:rPr>
                <w:rFonts w:ascii="Times New Roman" w:hAnsi="Times New Roman" w:eastAsia="Times New Roman" w:cs="Times New Roman"/>
                <w:snapToGrid w:val="0"/>
                <w:color w:val="000000"/>
                <w:kern w:val="0"/>
                <w:sz w:val="18"/>
                <w:szCs w:val="18"/>
                <w:lang w:val="en-US" w:eastAsia="en-US" w:bidi="ar-SA"/>
              </w:rPr>
            </w:pPr>
            <w:r>
              <w:rPr>
                <w:color w:val="231F20"/>
                <w:spacing w:val="-4"/>
              </w:rPr>
              <w:t>10.6</w:t>
            </w:r>
          </w:p>
        </w:tc>
        <w:tc>
          <w:tcPr>
            <w:tcW w:w="999" w:type="dxa"/>
            <w:shd w:val="clear" w:color="auto" w:fill="auto"/>
            <w:vAlign w:val="top"/>
          </w:tcPr>
          <w:p w14:paraId="36C90B61">
            <w:pPr>
              <w:pStyle w:val="26"/>
              <w:autoSpaceDE w:val="0"/>
              <w:autoSpaceDN w:val="0"/>
              <w:spacing w:before="83" w:line="186" w:lineRule="auto"/>
              <w:ind w:left="486"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2.71</w:t>
            </w:r>
          </w:p>
        </w:tc>
        <w:tc>
          <w:tcPr>
            <w:tcW w:w="939" w:type="dxa"/>
            <w:shd w:val="clear" w:color="auto" w:fill="auto"/>
            <w:vAlign w:val="top"/>
          </w:tcPr>
          <w:p w14:paraId="0BC1A2C1">
            <w:pPr>
              <w:pStyle w:val="26"/>
              <w:autoSpaceDE w:val="0"/>
              <w:autoSpaceDN w:val="0"/>
              <w:spacing w:before="83" w:line="186" w:lineRule="auto"/>
              <w:ind w:left="317"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7.93</w:t>
            </w:r>
          </w:p>
        </w:tc>
        <w:tc>
          <w:tcPr>
            <w:tcW w:w="770" w:type="dxa"/>
            <w:shd w:val="clear" w:color="auto" w:fill="auto"/>
            <w:vAlign w:val="top"/>
          </w:tcPr>
          <w:p w14:paraId="2170F0DF">
            <w:pPr>
              <w:pStyle w:val="26"/>
              <w:autoSpaceDE w:val="0"/>
              <w:autoSpaceDN w:val="0"/>
              <w:spacing w:before="83" w:line="186" w:lineRule="auto"/>
              <w:ind w:left="219"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10.4</w:t>
            </w:r>
          </w:p>
        </w:tc>
        <w:tc>
          <w:tcPr>
            <w:tcW w:w="827" w:type="dxa"/>
            <w:shd w:val="clear" w:color="auto" w:fill="auto"/>
            <w:vAlign w:val="top"/>
          </w:tcPr>
          <w:p w14:paraId="6A15FF2A">
            <w:pPr>
              <w:pStyle w:val="26"/>
              <w:autoSpaceDE w:val="0"/>
              <w:autoSpaceDN w:val="0"/>
              <w:spacing w:before="83" w:line="186" w:lineRule="auto"/>
              <w:ind w:left="276"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14.8</w:t>
            </w:r>
          </w:p>
        </w:tc>
        <w:tc>
          <w:tcPr>
            <w:tcW w:w="826" w:type="dxa"/>
            <w:shd w:val="clear" w:color="auto" w:fill="auto"/>
            <w:vAlign w:val="top"/>
          </w:tcPr>
          <w:p w14:paraId="1302444A">
            <w:pPr>
              <w:pStyle w:val="26"/>
              <w:autoSpaceDE w:val="0"/>
              <w:autoSpaceDN w:val="0"/>
              <w:spacing w:before="83" w:line="186" w:lineRule="auto"/>
              <w:ind w:left="25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4.43</w:t>
            </w:r>
          </w:p>
        </w:tc>
      </w:tr>
      <w:tr w14:paraId="09654979">
        <w:trPr>
          <w:trHeight w:val="282" w:hRule="atLeast"/>
        </w:trPr>
        <w:tc>
          <w:tcPr>
            <w:tcW w:w="648" w:type="dxa"/>
            <w:shd w:val="clear" w:color="auto" w:fill="auto"/>
            <w:vAlign w:val="top"/>
          </w:tcPr>
          <w:p w14:paraId="2E047B40">
            <w:pPr>
              <w:pStyle w:val="26"/>
              <w:autoSpaceDE w:val="0"/>
              <w:autoSpaceDN w:val="0"/>
              <w:spacing w:before="84" w:line="186" w:lineRule="auto"/>
              <w:ind w:left="17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2013</w:t>
            </w:r>
          </w:p>
        </w:tc>
        <w:tc>
          <w:tcPr>
            <w:tcW w:w="1155" w:type="dxa"/>
            <w:shd w:val="clear" w:color="auto" w:fill="auto"/>
            <w:vAlign w:val="top"/>
          </w:tcPr>
          <w:p w14:paraId="730E2242">
            <w:pPr>
              <w:pStyle w:val="26"/>
              <w:autoSpaceDE w:val="0"/>
              <w:autoSpaceDN w:val="0"/>
              <w:spacing w:before="84" w:line="186" w:lineRule="auto"/>
              <w:ind w:left="420"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1.88</w:t>
            </w:r>
          </w:p>
        </w:tc>
        <w:tc>
          <w:tcPr>
            <w:tcW w:w="580" w:type="dxa"/>
            <w:shd w:val="clear" w:color="auto" w:fill="auto"/>
            <w:vAlign w:val="top"/>
          </w:tcPr>
          <w:p w14:paraId="01513357">
            <w:pPr>
              <w:pStyle w:val="26"/>
              <w:autoSpaceDE w:val="0"/>
              <w:autoSpaceDN w:val="0"/>
              <w:spacing w:before="84" w:line="186" w:lineRule="auto"/>
              <w:ind w:left="15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2.62</w:t>
            </w:r>
          </w:p>
        </w:tc>
        <w:tc>
          <w:tcPr>
            <w:tcW w:w="1037" w:type="dxa"/>
            <w:shd w:val="clear" w:color="auto" w:fill="auto"/>
            <w:vAlign w:val="top"/>
          </w:tcPr>
          <w:p w14:paraId="01C361F6">
            <w:pPr>
              <w:pStyle w:val="26"/>
              <w:autoSpaceDE w:val="0"/>
              <w:autoSpaceDN w:val="0"/>
              <w:spacing w:before="84" w:line="186" w:lineRule="auto"/>
              <w:ind w:left="42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1.46</w:t>
            </w:r>
          </w:p>
        </w:tc>
        <w:tc>
          <w:tcPr>
            <w:tcW w:w="844" w:type="dxa"/>
            <w:shd w:val="clear" w:color="auto" w:fill="auto"/>
            <w:vAlign w:val="top"/>
          </w:tcPr>
          <w:p w14:paraId="2DD8B8E7">
            <w:pPr>
              <w:pStyle w:val="26"/>
              <w:autoSpaceDE w:val="0"/>
              <w:autoSpaceDN w:val="0"/>
              <w:spacing w:before="84" w:line="186" w:lineRule="auto"/>
              <w:ind w:left="21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1.16</w:t>
            </w:r>
          </w:p>
        </w:tc>
        <w:tc>
          <w:tcPr>
            <w:tcW w:w="519" w:type="dxa"/>
            <w:shd w:val="clear" w:color="auto" w:fill="auto"/>
            <w:vAlign w:val="top"/>
          </w:tcPr>
          <w:p w14:paraId="48830382">
            <w:pPr>
              <w:pStyle w:val="26"/>
              <w:autoSpaceDE w:val="0"/>
              <w:autoSpaceDN w:val="0"/>
              <w:spacing w:before="87" w:line="183" w:lineRule="auto"/>
              <w:ind w:left="181"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7.77</w:t>
            </w:r>
          </w:p>
        </w:tc>
        <w:tc>
          <w:tcPr>
            <w:tcW w:w="999" w:type="dxa"/>
            <w:shd w:val="clear" w:color="auto" w:fill="auto"/>
            <w:vAlign w:val="top"/>
          </w:tcPr>
          <w:p w14:paraId="01F211CF">
            <w:pPr>
              <w:pStyle w:val="26"/>
              <w:autoSpaceDE w:val="0"/>
              <w:autoSpaceDN w:val="0"/>
              <w:spacing w:before="84" w:line="186" w:lineRule="auto"/>
              <w:ind w:left="503"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1.84</w:t>
            </w:r>
          </w:p>
        </w:tc>
        <w:tc>
          <w:tcPr>
            <w:tcW w:w="939" w:type="dxa"/>
            <w:shd w:val="clear" w:color="auto" w:fill="auto"/>
            <w:vAlign w:val="top"/>
          </w:tcPr>
          <w:p w14:paraId="17441ABD">
            <w:pPr>
              <w:pStyle w:val="26"/>
              <w:autoSpaceDE w:val="0"/>
              <w:autoSpaceDN w:val="0"/>
              <w:spacing w:before="84" w:line="186" w:lineRule="auto"/>
              <w:ind w:left="31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5.92</w:t>
            </w:r>
          </w:p>
        </w:tc>
        <w:tc>
          <w:tcPr>
            <w:tcW w:w="770" w:type="dxa"/>
            <w:shd w:val="clear" w:color="auto" w:fill="auto"/>
            <w:vAlign w:val="top"/>
          </w:tcPr>
          <w:p w14:paraId="6D4CF4BC">
            <w:pPr>
              <w:pStyle w:val="26"/>
              <w:autoSpaceDE w:val="0"/>
              <w:autoSpaceDN w:val="0"/>
              <w:spacing w:before="84" w:line="186" w:lineRule="auto"/>
              <w:ind w:left="20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8.96</w:t>
            </w:r>
          </w:p>
        </w:tc>
        <w:tc>
          <w:tcPr>
            <w:tcW w:w="827" w:type="dxa"/>
            <w:shd w:val="clear" w:color="auto" w:fill="auto"/>
            <w:vAlign w:val="top"/>
          </w:tcPr>
          <w:p w14:paraId="3EC304A1">
            <w:pPr>
              <w:pStyle w:val="26"/>
              <w:autoSpaceDE w:val="0"/>
              <w:autoSpaceDN w:val="0"/>
              <w:spacing w:before="84" w:line="186" w:lineRule="auto"/>
              <w:ind w:left="266"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8.25</w:t>
            </w:r>
          </w:p>
        </w:tc>
        <w:tc>
          <w:tcPr>
            <w:tcW w:w="826" w:type="dxa"/>
            <w:shd w:val="clear" w:color="auto" w:fill="auto"/>
            <w:vAlign w:val="top"/>
          </w:tcPr>
          <w:p w14:paraId="47B5C2C1">
            <w:pPr>
              <w:pStyle w:val="26"/>
              <w:autoSpaceDE w:val="0"/>
              <w:autoSpaceDN w:val="0"/>
              <w:spacing w:before="85" w:line="178" w:lineRule="auto"/>
              <w:ind w:left="216"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0.72</w:t>
            </w:r>
          </w:p>
        </w:tc>
      </w:tr>
      <w:tr w14:paraId="1E1605CE">
        <w:trPr>
          <w:trHeight w:val="282" w:hRule="atLeast"/>
        </w:trPr>
        <w:tc>
          <w:tcPr>
            <w:tcW w:w="648" w:type="dxa"/>
            <w:shd w:val="clear" w:color="auto" w:fill="auto"/>
            <w:vAlign w:val="top"/>
          </w:tcPr>
          <w:p w14:paraId="55AC811C">
            <w:pPr>
              <w:pStyle w:val="26"/>
              <w:autoSpaceDE w:val="0"/>
              <w:autoSpaceDN w:val="0"/>
              <w:spacing w:before="86" w:line="186" w:lineRule="auto"/>
              <w:ind w:left="17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2014</w:t>
            </w:r>
          </w:p>
        </w:tc>
        <w:tc>
          <w:tcPr>
            <w:tcW w:w="1155" w:type="dxa"/>
            <w:shd w:val="clear" w:color="auto" w:fill="auto"/>
            <w:vAlign w:val="top"/>
          </w:tcPr>
          <w:p w14:paraId="16BC4296">
            <w:pPr>
              <w:pStyle w:val="26"/>
              <w:autoSpaceDE w:val="0"/>
              <w:autoSpaceDN w:val="0"/>
              <w:spacing w:before="86" w:line="186" w:lineRule="auto"/>
              <w:ind w:left="406"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0.85</w:t>
            </w:r>
          </w:p>
        </w:tc>
        <w:tc>
          <w:tcPr>
            <w:tcW w:w="580" w:type="dxa"/>
            <w:shd w:val="clear" w:color="auto" w:fill="auto"/>
            <w:vAlign w:val="top"/>
          </w:tcPr>
          <w:p w14:paraId="36D89E37">
            <w:pPr>
              <w:pStyle w:val="26"/>
              <w:autoSpaceDE w:val="0"/>
              <w:autoSpaceDN w:val="0"/>
              <w:spacing w:before="86" w:line="186" w:lineRule="auto"/>
              <w:ind w:left="175"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1.92</w:t>
            </w:r>
          </w:p>
        </w:tc>
        <w:tc>
          <w:tcPr>
            <w:tcW w:w="1037" w:type="dxa"/>
            <w:shd w:val="clear" w:color="auto" w:fill="auto"/>
            <w:vAlign w:val="top"/>
          </w:tcPr>
          <w:p w14:paraId="784BE96A">
            <w:pPr>
              <w:pStyle w:val="26"/>
              <w:autoSpaceDE w:val="0"/>
              <w:autoSpaceDN w:val="0"/>
              <w:spacing w:before="86" w:line="186" w:lineRule="auto"/>
              <w:ind w:left="42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1.62</w:t>
            </w:r>
          </w:p>
        </w:tc>
        <w:tc>
          <w:tcPr>
            <w:tcW w:w="844" w:type="dxa"/>
            <w:shd w:val="clear" w:color="auto" w:fill="auto"/>
            <w:vAlign w:val="top"/>
          </w:tcPr>
          <w:p w14:paraId="4C25DD2D">
            <w:pPr>
              <w:pStyle w:val="26"/>
              <w:autoSpaceDE w:val="0"/>
              <w:autoSpaceDN w:val="0"/>
              <w:spacing w:before="86" w:line="186" w:lineRule="auto"/>
              <w:ind w:left="19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0.30</w:t>
            </w:r>
          </w:p>
        </w:tc>
        <w:tc>
          <w:tcPr>
            <w:tcW w:w="519" w:type="dxa"/>
            <w:shd w:val="clear" w:color="auto" w:fill="auto"/>
            <w:vAlign w:val="top"/>
          </w:tcPr>
          <w:p w14:paraId="71CCB4AA">
            <w:pPr>
              <w:pStyle w:val="26"/>
              <w:autoSpaceDE w:val="0"/>
              <w:autoSpaceDN w:val="0"/>
              <w:spacing w:before="86" w:line="186" w:lineRule="auto"/>
              <w:ind w:left="181"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7.43</w:t>
            </w:r>
          </w:p>
        </w:tc>
        <w:tc>
          <w:tcPr>
            <w:tcW w:w="999" w:type="dxa"/>
            <w:shd w:val="clear" w:color="auto" w:fill="auto"/>
            <w:vAlign w:val="top"/>
          </w:tcPr>
          <w:p w14:paraId="0BC4E4CC">
            <w:pPr>
              <w:pStyle w:val="26"/>
              <w:autoSpaceDE w:val="0"/>
              <w:autoSpaceDN w:val="0"/>
              <w:spacing w:before="86" w:line="186" w:lineRule="auto"/>
              <w:ind w:left="486"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2.29</w:t>
            </w:r>
          </w:p>
        </w:tc>
        <w:tc>
          <w:tcPr>
            <w:tcW w:w="939" w:type="dxa"/>
            <w:shd w:val="clear" w:color="auto" w:fill="auto"/>
            <w:vAlign w:val="top"/>
          </w:tcPr>
          <w:p w14:paraId="0FFB641C">
            <w:pPr>
              <w:pStyle w:val="26"/>
              <w:autoSpaceDE w:val="0"/>
              <w:autoSpaceDN w:val="0"/>
              <w:spacing w:before="86" w:line="186" w:lineRule="auto"/>
              <w:ind w:left="31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5.14</w:t>
            </w:r>
          </w:p>
        </w:tc>
        <w:tc>
          <w:tcPr>
            <w:tcW w:w="770" w:type="dxa"/>
            <w:shd w:val="clear" w:color="auto" w:fill="auto"/>
            <w:vAlign w:val="top"/>
          </w:tcPr>
          <w:p w14:paraId="045C2306">
            <w:pPr>
              <w:pStyle w:val="26"/>
              <w:autoSpaceDE w:val="0"/>
              <w:autoSpaceDN w:val="0"/>
              <w:spacing w:before="86" w:line="186" w:lineRule="auto"/>
              <w:ind w:left="206"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6.29</w:t>
            </w:r>
          </w:p>
        </w:tc>
        <w:tc>
          <w:tcPr>
            <w:tcW w:w="827" w:type="dxa"/>
            <w:shd w:val="clear" w:color="auto" w:fill="auto"/>
            <w:vAlign w:val="top"/>
          </w:tcPr>
          <w:p w14:paraId="1C697F27">
            <w:pPr>
              <w:pStyle w:val="26"/>
              <w:autoSpaceDE w:val="0"/>
              <w:autoSpaceDN w:val="0"/>
              <w:spacing w:before="86" w:line="186" w:lineRule="auto"/>
              <w:ind w:left="264"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5.05</w:t>
            </w:r>
          </w:p>
        </w:tc>
        <w:tc>
          <w:tcPr>
            <w:tcW w:w="826" w:type="dxa"/>
            <w:shd w:val="clear" w:color="auto" w:fill="auto"/>
            <w:vAlign w:val="top"/>
          </w:tcPr>
          <w:p w14:paraId="4CFBEEF4">
            <w:pPr>
              <w:pStyle w:val="26"/>
              <w:autoSpaceDE w:val="0"/>
              <w:autoSpaceDN w:val="0"/>
              <w:spacing w:before="86" w:line="178" w:lineRule="auto"/>
              <w:ind w:left="216"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1.24</w:t>
            </w:r>
          </w:p>
        </w:tc>
      </w:tr>
      <w:tr w14:paraId="57074E51">
        <w:trPr>
          <w:trHeight w:val="282" w:hRule="atLeast"/>
        </w:trPr>
        <w:tc>
          <w:tcPr>
            <w:tcW w:w="648" w:type="dxa"/>
            <w:shd w:val="clear" w:color="auto" w:fill="auto"/>
            <w:vAlign w:val="top"/>
          </w:tcPr>
          <w:p w14:paraId="57DF1BEB">
            <w:pPr>
              <w:pStyle w:val="26"/>
              <w:autoSpaceDE w:val="0"/>
              <w:autoSpaceDN w:val="0"/>
              <w:spacing w:before="87" w:line="186" w:lineRule="auto"/>
              <w:ind w:left="17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2015</w:t>
            </w:r>
          </w:p>
        </w:tc>
        <w:tc>
          <w:tcPr>
            <w:tcW w:w="1155" w:type="dxa"/>
            <w:shd w:val="clear" w:color="auto" w:fill="auto"/>
            <w:vAlign w:val="top"/>
          </w:tcPr>
          <w:p w14:paraId="156738A5">
            <w:pPr>
              <w:pStyle w:val="26"/>
              <w:autoSpaceDE w:val="0"/>
              <w:autoSpaceDN w:val="0"/>
              <w:spacing w:before="88" w:line="178" w:lineRule="auto"/>
              <w:ind w:left="360"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1.35</w:t>
            </w:r>
          </w:p>
        </w:tc>
        <w:tc>
          <w:tcPr>
            <w:tcW w:w="580" w:type="dxa"/>
            <w:shd w:val="clear" w:color="auto" w:fill="auto"/>
            <w:vAlign w:val="top"/>
          </w:tcPr>
          <w:p w14:paraId="58E537AD">
            <w:pPr>
              <w:pStyle w:val="26"/>
              <w:autoSpaceDE w:val="0"/>
              <w:autoSpaceDN w:val="0"/>
              <w:spacing w:before="87" w:line="186" w:lineRule="auto"/>
              <w:ind w:left="175"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1.44</w:t>
            </w:r>
          </w:p>
        </w:tc>
        <w:tc>
          <w:tcPr>
            <w:tcW w:w="1037" w:type="dxa"/>
            <w:shd w:val="clear" w:color="auto" w:fill="auto"/>
            <w:vAlign w:val="top"/>
          </w:tcPr>
          <w:p w14:paraId="5EC7BFAB">
            <w:pPr>
              <w:pStyle w:val="26"/>
              <w:autoSpaceDE w:val="0"/>
              <w:autoSpaceDN w:val="0"/>
              <w:spacing w:before="87" w:line="186" w:lineRule="auto"/>
              <w:ind w:left="40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0.12</w:t>
            </w:r>
          </w:p>
        </w:tc>
        <w:tc>
          <w:tcPr>
            <w:tcW w:w="844" w:type="dxa"/>
            <w:shd w:val="clear" w:color="auto" w:fill="auto"/>
            <w:vAlign w:val="top"/>
          </w:tcPr>
          <w:p w14:paraId="781094CD">
            <w:pPr>
              <w:pStyle w:val="26"/>
              <w:autoSpaceDE w:val="0"/>
              <w:autoSpaceDN w:val="0"/>
              <w:spacing w:before="87" w:line="186" w:lineRule="auto"/>
              <w:ind w:left="21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1.32</w:t>
            </w:r>
          </w:p>
        </w:tc>
        <w:tc>
          <w:tcPr>
            <w:tcW w:w="519" w:type="dxa"/>
            <w:shd w:val="clear" w:color="auto" w:fill="auto"/>
            <w:vAlign w:val="top"/>
          </w:tcPr>
          <w:p w14:paraId="0B9F6D8B">
            <w:pPr>
              <w:pStyle w:val="26"/>
              <w:autoSpaceDE w:val="0"/>
              <w:autoSpaceDN w:val="0"/>
              <w:spacing w:before="87" w:line="186" w:lineRule="auto"/>
              <w:ind w:left="181"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7.04</w:t>
            </w:r>
          </w:p>
        </w:tc>
        <w:tc>
          <w:tcPr>
            <w:tcW w:w="999" w:type="dxa"/>
            <w:shd w:val="clear" w:color="auto" w:fill="auto"/>
            <w:vAlign w:val="top"/>
          </w:tcPr>
          <w:p w14:paraId="78E5E402">
            <w:pPr>
              <w:pStyle w:val="26"/>
              <w:autoSpaceDE w:val="0"/>
              <w:autoSpaceDN w:val="0"/>
              <w:spacing w:before="87" w:line="186" w:lineRule="auto"/>
              <w:ind w:left="486"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2.71</w:t>
            </w:r>
          </w:p>
        </w:tc>
        <w:tc>
          <w:tcPr>
            <w:tcW w:w="939" w:type="dxa"/>
            <w:shd w:val="clear" w:color="auto" w:fill="auto"/>
            <w:vAlign w:val="top"/>
          </w:tcPr>
          <w:p w14:paraId="2A3FC241">
            <w:pPr>
              <w:pStyle w:val="26"/>
              <w:autoSpaceDE w:val="0"/>
              <w:autoSpaceDN w:val="0"/>
              <w:spacing w:before="87" w:line="186" w:lineRule="auto"/>
              <w:ind w:left="313"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4.33</w:t>
            </w:r>
          </w:p>
        </w:tc>
        <w:tc>
          <w:tcPr>
            <w:tcW w:w="770" w:type="dxa"/>
            <w:shd w:val="clear" w:color="auto" w:fill="auto"/>
            <w:vAlign w:val="top"/>
          </w:tcPr>
          <w:p w14:paraId="1590D0F3">
            <w:pPr>
              <w:pStyle w:val="26"/>
              <w:autoSpaceDE w:val="0"/>
              <w:autoSpaceDN w:val="0"/>
              <w:spacing w:before="87" w:line="186" w:lineRule="auto"/>
              <w:ind w:left="202"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4.30</w:t>
            </w:r>
          </w:p>
        </w:tc>
        <w:tc>
          <w:tcPr>
            <w:tcW w:w="827" w:type="dxa"/>
            <w:shd w:val="clear" w:color="auto" w:fill="auto"/>
            <w:vAlign w:val="top"/>
          </w:tcPr>
          <w:p w14:paraId="2A0B30FE">
            <w:pPr>
              <w:pStyle w:val="26"/>
              <w:autoSpaceDE w:val="0"/>
              <w:autoSpaceDN w:val="0"/>
              <w:spacing w:before="87" w:line="186" w:lineRule="auto"/>
              <w:ind w:left="277"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1.79</w:t>
            </w:r>
          </w:p>
        </w:tc>
        <w:tc>
          <w:tcPr>
            <w:tcW w:w="826" w:type="dxa"/>
            <w:shd w:val="clear" w:color="auto" w:fill="auto"/>
            <w:vAlign w:val="top"/>
          </w:tcPr>
          <w:p w14:paraId="01138DBC">
            <w:pPr>
              <w:pStyle w:val="26"/>
              <w:autoSpaceDE w:val="0"/>
              <w:autoSpaceDN w:val="0"/>
              <w:spacing w:before="88" w:line="178" w:lineRule="auto"/>
              <w:ind w:left="216"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2.51</w:t>
            </w:r>
          </w:p>
        </w:tc>
      </w:tr>
      <w:tr w14:paraId="1E2538B6">
        <w:trPr>
          <w:trHeight w:val="282" w:hRule="atLeast"/>
        </w:trPr>
        <w:tc>
          <w:tcPr>
            <w:tcW w:w="648" w:type="dxa"/>
            <w:shd w:val="clear" w:color="auto" w:fill="auto"/>
            <w:vAlign w:val="top"/>
          </w:tcPr>
          <w:p w14:paraId="4CE0DF4C">
            <w:pPr>
              <w:pStyle w:val="26"/>
              <w:autoSpaceDE w:val="0"/>
              <w:autoSpaceDN w:val="0"/>
              <w:spacing w:before="89"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2016</w:t>
            </w:r>
          </w:p>
        </w:tc>
        <w:tc>
          <w:tcPr>
            <w:tcW w:w="1155" w:type="dxa"/>
            <w:shd w:val="clear" w:color="auto" w:fill="auto"/>
            <w:vAlign w:val="top"/>
          </w:tcPr>
          <w:p w14:paraId="7F5B82B0">
            <w:pPr>
              <w:pStyle w:val="26"/>
              <w:autoSpaceDE w:val="0"/>
              <w:autoSpaceDN w:val="0"/>
              <w:spacing w:before="89" w:line="178" w:lineRule="auto"/>
              <w:ind w:left="360"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6.28</w:t>
            </w:r>
          </w:p>
        </w:tc>
        <w:tc>
          <w:tcPr>
            <w:tcW w:w="580" w:type="dxa"/>
            <w:shd w:val="clear" w:color="auto" w:fill="auto"/>
            <w:vAlign w:val="top"/>
          </w:tcPr>
          <w:p w14:paraId="029E39D6">
            <w:pPr>
              <w:pStyle w:val="26"/>
              <w:autoSpaceDE w:val="0"/>
              <w:autoSpaceDN w:val="0"/>
              <w:spacing w:before="89" w:line="186" w:lineRule="auto"/>
              <w:ind w:left="15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2.00</w:t>
            </w:r>
          </w:p>
        </w:tc>
        <w:tc>
          <w:tcPr>
            <w:tcW w:w="1037" w:type="dxa"/>
            <w:shd w:val="clear" w:color="auto" w:fill="auto"/>
            <w:vAlign w:val="top"/>
          </w:tcPr>
          <w:p w14:paraId="0025DBA9">
            <w:pPr>
              <w:pStyle w:val="26"/>
              <w:autoSpaceDE w:val="0"/>
              <w:autoSpaceDN w:val="0"/>
              <w:spacing w:before="89" w:line="186" w:lineRule="auto"/>
              <w:ind w:left="422"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1.26</w:t>
            </w:r>
          </w:p>
        </w:tc>
        <w:tc>
          <w:tcPr>
            <w:tcW w:w="844" w:type="dxa"/>
            <w:shd w:val="clear" w:color="auto" w:fill="auto"/>
            <w:vAlign w:val="top"/>
          </w:tcPr>
          <w:p w14:paraId="644DEEC5">
            <w:pPr>
              <w:pStyle w:val="26"/>
              <w:autoSpaceDE w:val="0"/>
              <w:autoSpaceDN w:val="0"/>
              <w:spacing w:before="89" w:line="186" w:lineRule="auto"/>
              <w:ind w:left="19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0.74</w:t>
            </w:r>
          </w:p>
        </w:tc>
        <w:tc>
          <w:tcPr>
            <w:tcW w:w="519" w:type="dxa"/>
            <w:shd w:val="clear" w:color="auto" w:fill="auto"/>
            <w:vAlign w:val="top"/>
          </w:tcPr>
          <w:p w14:paraId="31FD1A94">
            <w:pPr>
              <w:pStyle w:val="26"/>
              <w:autoSpaceDE w:val="0"/>
              <w:autoSpaceDN w:val="0"/>
              <w:spacing w:before="89" w:line="186" w:lineRule="auto"/>
              <w:ind w:left="182"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6.85</w:t>
            </w:r>
          </w:p>
        </w:tc>
        <w:tc>
          <w:tcPr>
            <w:tcW w:w="999" w:type="dxa"/>
            <w:shd w:val="clear" w:color="auto" w:fill="auto"/>
            <w:vAlign w:val="top"/>
          </w:tcPr>
          <w:p w14:paraId="219845C5">
            <w:pPr>
              <w:pStyle w:val="26"/>
              <w:autoSpaceDE w:val="0"/>
              <w:autoSpaceDN w:val="0"/>
              <w:spacing w:before="89" w:line="186" w:lineRule="auto"/>
              <w:ind w:left="504"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1.67</w:t>
            </w:r>
          </w:p>
        </w:tc>
        <w:tc>
          <w:tcPr>
            <w:tcW w:w="939" w:type="dxa"/>
            <w:shd w:val="clear" w:color="auto" w:fill="auto"/>
            <w:vAlign w:val="top"/>
          </w:tcPr>
          <w:p w14:paraId="33E12E4B">
            <w:pPr>
              <w:pStyle w:val="26"/>
              <w:autoSpaceDE w:val="0"/>
              <w:autoSpaceDN w:val="0"/>
              <w:spacing w:before="89" w:line="186" w:lineRule="auto"/>
              <w:ind w:left="31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5.18</w:t>
            </w:r>
          </w:p>
        </w:tc>
        <w:tc>
          <w:tcPr>
            <w:tcW w:w="770" w:type="dxa"/>
            <w:shd w:val="clear" w:color="auto" w:fill="auto"/>
            <w:vAlign w:val="top"/>
          </w:tcPr>
          <w:p w14:paraId="6DCDDF5B">
            <w:pPr>
              <w:pStyle w:val="26"/>
              <w:autoSpaceDE w:val="0"/>
              <w:autoSpaceDN w:val="0"/>
              <w:spacing w:before="89" w:line="178" w:lineRule="auto"/>
              <w:ind w:left="159"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0.36</w:t>
            </w:r>
          </w:p>
        </w:tc>
        <w:tc>
          <w:tcPr>
            <w:tcW w:w="827" w:type="dxa"/>
            <w:shd w:val="clear" w:color="auto" w:fill="auto"/>
            <w:vAlign w:val="top"/>
          </w:tcPr>
          <w:p w14:paraId="2C4599EF">
            <w:pPr>
              <w:pStyle w:val="26"/>
              <w:autoSpaceDE w:val="0"/>
              <w:autoSpaceDN w:val="0"/>
              <w:spacing w:before="89" w:line="178" w:lineRule="auto"/>
              <w:ind w:left="217"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1.10</w:t>
            </w:r>
          </w:p>
        </w:tc>
        <w:tc>
          <w:tcPr>
            <w:tcW w:w="826" w:type="dxa"/>
            <w:shd w:val="clear" w:color="auto" w:fill="auto"/>
            <w:vAlign w:val="top"/>
          </w:tcPr>
          <w:p w14:paraId="1B2E820D">
            <w:pPr>
              <w:pStyle w:val="26"/>
              <w:autoSpaceDE w:val="0"/>
              <w:autoSpaceDN w:val="0"/>
              <w:spacing w:before="89" w:line="178" w:lineRule="auto"/>
              <w:ind w:left="217"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0.75</w:t>
            </w:r>
          </w:p>
        </w:tc>
      </w:tr>
      <w:tr w14:paraId="03CC9774">
        <w:trPr>
          <w:trHeight w:val="282" w:hRule="atLeast"/>
        </w:trPr>
        <w:tc>
          <w:tcPr>
            <w:tcW w:w="648" w:type="dxa"/>
            <w:shd w:val="clear" w:color="auto" w:fill="auto"/>
            <w:vAlign w:val="top"/>
          </w:tcPr>
          <w:p w14:paraId="39F6A10E">
            <w:pPr>
              <w:pStyle w:val="26"/>
              <w:autoSpaceDE w:val="0"/>
              <w:autoSpaceDN w:val="0"/>
              <w:spacing w:before="90"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2017</w:t>
            </w:r>
          </w:p>
        </w:tc>
        <w:tc>
          <w:tcPr>
            <w:tcW w:w="1155" w:type="dxa"/>
            <w:shd w:val="clear" w:color="auto" w:fill="auto"/>
            <w:vAlign w:val="top"/>
          </w:tcPr>
          <w:p w14:paraId="1C0913A1">
            <w:pPr>
              <w:pStyle w:val="26"/>
              <w:autoSpaceDE w:val="0"/>
              <w:autoSpaceDN w:val="0"/>
              <w:spacing w:before="91" w:line="178" w:lineRule="auto"/>
              <w:ind w:left="360"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1.69</w:t>
            </w:r>
          </w:p>
        </w:tc>
        <w:tc>
          <w:tcPr>
            <w:tcW w:w="580" w:type="dxa"/>
            <w:shd w:val="clear" w:color="auto" w:fill="auto"/>
            <w:vAlign w:val="top"/>
          </w:tcPr>
          <w:p w14:paraId="46565C06">
            <w:pPr>
              <w:pStyle w:val="26"/>
              <w:autoSpaceDE w:val="0"/>
              <w:autoSpaceDN w:val="0"/>
              <w:spacing w:before="90" w:line="186" w:lineRule="auto"/>
              <w:ind w:left="176"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1.59</w:t>
            </w:r>
          </w:p>
        </w:tc>
        <w:tc>
          <w:tcPr>
            <w:tcW w:w="1037" w:type="dxa"/>
            <w:shd w:val="clear" w:color="auto" w:fill="auto"/>
            <w:vAlign w:val="top"/>
          </w:tcPr>
          <w:p w14:paraId="1AAA618F">
            <w:pPr>
              <w:pStyle w:val="26"/>
              <w:autoSpaceDE w:val="0"/>
              <w:autoSpaceDN w:val="0"/>
              <w:spacing w:before="90" w:line="186" w:lineRule="auto"/>
              <w:ind w:left="405"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2.13</w:t>
            </w:r>
          </w:p>
        </w:tc>
        <w:tc>
          <w:tcPr>
            <w:tcW w:w="844" w:type="dxa"/>
            <w:shd w:val="clear" w:color="auto" w:fill="auto"/>
            <w:vAlign w:val="top"/>
          </w:tcPr>
          <w:p w14:paraId="14900A96">
            <w:pPr>
              <w:pStyle w:val="26"/>
              <w:autoSpaceDE w:val="0"/>
              <w:autoSpaceDN w:val="0"/>
              <w:spacing w:before="91" w:line="178" w:lineRule="auto"/>
              <w:ind w:left="152"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0.54</w:t>
            </w:r>
          </w:p>
        </w:tc>
        <w:tc>
          <w:tcPr>
            <w:tcW w:w="519" w:type="dxa"/>
            <w:shd w:val="clear" w:color="auto" w:fill="auto"/>
            <w:vAlign w:val="top"/>
          </w:tcPr>
          <w:p w14:paraId="1FB24ECB">
            <w:pPr>
              <w:pStyle w:val="26"/>
              <w:autoSpaceDE w:val="0"/>
              <w:autoSpaceDN w:val="0"/>
              <w:spacing w:before="90" w:line="186" w:lineRule="auto"/>
              <w:ind w:left="182"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6.95</w:t>
            </w:r>
          </w:p>
        </w:tc>
        <w:tc>
          <w:tcPr>
            <w:tcW w:w="999" w:type="dxa"/>
            <w:shd w:val="clear" w:color="auto" w:fill="auto"/>
            <w:vAlign w:val="top"/>
          </w:tcPr>
          <w:p w14:paraId="52D0431F">
            <w:pPr>
              <w:pStyle w:val="26"/>
              <w:autoSpaceDE w:val="0"/>
              <w:autoSpaceDN w:val="0"/>
              <w:spacing w:before="90" w:line="186" w:lineRule="auto"/>
              <w:ind w:left="487"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2.24</w:t>
            </w:r>
          </w:p>
        </w:tc>
        <w:tc>
          <w:tcPr>
            <w:tcW w:w="939" w:type="dxa"/>
            <w:shd w:val="clear" w:color="auto" w:fill="auto"/>
            <w:vAlign w:val="top"/>
          </w:tcPr>
          <w:p w14:paraId="1B837238">
            <w:pPr>
              <w:pStyle w:val="26"/>
              <w:autoSpaceDE w:val="0"/>
              <w:autoSpaceDN w:val="0"/>
              <w:spacing w:before="90" w:line="186" w:lineRule="auto"/>
              <w:ind w:left="314"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4.71</w:t>
            </w:r>
          </w:p>
        </w:tc>
        <w:tc>
          <w:tcPr>
            <w:tcW w:w="770" w:type="dxa"/>
            <w:shd w:val="clear" w:color="auto" w:fill="auto"/>
            <w:vAlign w:val="top"/>
          </w:tcPr>
          <w:p w14:paraId="4E0B1CE3">
            <w:pPr>
              <w:pStyle w:val="26"/>
              <w:autoSpaceDE w:val="0"/>
              <w:autoSpaceDN w:val="0"/>
              <w:spacing w:before="90" w:line="186" w:lineRule="auto"/>
              <w:ind w:left="203"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2.48</w:t>
            </w:r>
          </w:p>
        </w:tc>
        <w:tc>
          <w:tcPr>
            <w:tcW w:w="827" w:type="dxa"/>
            <w:shd w:val="clear" w:color="auto" w:fill="auto"/>
            <w:vAlign w:val="top"/>
          </w:tcPr>
          <w:p w14:paraId="01A349AC">
            <w:pPr>
              <w:pStyle w:val="26"/>
              <w:autoSpaceDE w:val="0"/>
              <w:autoSpaceDN w:val="0"/>
              <w:spacing w:before="90" w:line="186" w:lineRule="auto"/>
              <w:ind w:left="265"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5.19</w:t>
            </w:r>
          </w:p>
        </w:tc>
        <w:tc>
          <w:tcPr>
            <w:tcW w:w="826" w:type="dxa"/>
            <w:shd w:val="clear" w:color="auto" w:fill="auto"/>
            <w:vAlign w:val="top"/>
          </w:tcPr>
          <w:p w14:paraId="24730D3A">
            <w:pPr>
              <w:pStyle w:val="26"/>
              <w:autoSpaceDE w:val="0"/>
              <w:autoSpaceDN w:val="0"/>
              <w:spacing w:before="90" w:line="186" w:lineRule="auto"/>
              <w:ind w:left="260"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2.71</w:t>
            </w:r>
          </w:p>
        </w:tc>
      </w:tr>
      <w:tr w14:paraId="7ACD352D">
        <w:trPr>
          <w:trHeight w:val="282" w:hRule="atLeast"/>
        </w:trPr>
        <w:tc>
          <w:tcPr>
            <w:tcW w:w="648" w:type="dxa"/>
            <w:shd w:val="clear" w:color="auto" w:fill="auto"/>
            <w:vAlign w:val="top"/>
          </w:tcPr>
          <w:p w14:paraId="40C46129">
            <w:pPr>
              <w:pStyle w:val="26"/>
              <w:autoSpaceDE w:val="0"/>
              <w:autoSpaceDN w:val="0"/>
              <w:spacing w:before="92"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2018</w:t>
            </w:r>
          </w:p>
        </w:tc>
        <w:tc>
          <w:tcPr>
            <w:tcW w:w="1155" w:type="dxa"/>
            <w:shd w:val="clear" w:color="auto" w:fill="auto"/>
            <w:vAlign w:val="top"/>
          </w:tcPr>
          <w:p w14:paraId="6651700C">
            <w:pPr>
              <w:pStyle w:val="26"/>
              <w:autoSpaceDE w:val="0"/>
              <w:autoSpaceDN w:val="0"/>
              <w:spacing w:before="92" w:line="186" w:lineRule="auto"/>
              <w:ind w:left="404"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2.16</w:t>
            </w:r>
          </w:p>
        </w:tc>
        <w:tc>
          <w:tcPr>
            <w:tcW w:w="580" w:type="dxa"/>
            <w:shd w:val="clear" w:color="auto" w:fill="auto"/>
            <w:vAlign w:val="top"/>
          </w:tcPr>
          <w:p w14:paraId="5F233C3E">
            <w:pPr>
              <w:pStyle w:val="26"/>
              <w:autoSpaceDE w:val="0"/>
              <w:autoSpaceDN w:val="0"/>
              <w:spacing w:before="92" w:line="186" w:lineRule="auto"/>
              <w:ind w:left="15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2.07</w:t>
            </w:r>
          </w:p>
        </w:tc>
        <w:tc>
          <w:tcPr>
            <w:tcW w:w="1037" w:type="dxa"/>
            <w:shd w:val="clear" w:color="auto" w:fill="auto"/>
            <w:vAlign w:val="top"/>
          </w:tcPr>
          <w:p w14:paraId="7A7CAFE5">
            <w:pPr>
              <w:pStyle w:val="26"/>
              <w:autoSpaceDE w:val="0"/>
              <w:autoSpaceDN w:val="0"/>
              <w:spacing w:before="92" w:line="186" w:lineRule="auto"/>
              <w:ind w:left="406"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2.44</w:t>
            </w:r>
          </w:p>
        </w:tc>
        <w:tc>
          <w:tcPr>
            <w:tcW w:w="844" w:type="dxa"/>
            <w:shd w:val="clear" w:color="auto" w:fill="auto"/>
            <w:vAlign w:val="top"/>
          </w:tcPr>
          <w:p w14:paraId="221C17E9">
            <w:pPr>
              <w:pStyle w:val="26"/>
              <w:autoSpaceDE w:val="0"/>
              <w:autoSpaceDN w:val="0"/>
              <w:spacing w:before="92" w:line="178" w:lineRule="auto"/>
              <w:ind w:left="152"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0.37</w:t>
            </w:r>
          </w:p>
        </w:tc>
        <w:tc>
          <w:tcPr>
            <w:tcW w:w="519" w:type="dxa"/>
            <w:shd w:val="clear" w:color="auto" w:fill="auto"/>
            <w:vAlign w:val="top"/>
          </w:tcPr>
          <w:p w14:paraId="512941F0">
            <w:pPr>
              <w:pStyle w:val="26"/>
              <w:autoSpaceDE w:val="0"/>
              <w:autoSpaceDN w:val="0"/>
              <w:spacing w:before="92" w:line="186" w:lineRule="auto"/>
              <w:ind w:left="183"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6.75</w:t>
            </w:r>
          </w:p>
        </w:tc>
        <w:tc>
          <w:tcPr>
            <w:tcW w:w="999" w:type="dxa"/>
            <w:shd w:val="clear" w:color="auto" w:fill="auto"/>
            <w:vAlign w:val="top"/>
          </w:tcPr>
          <w:p w14:paraId="1EED7A1A">
            <w:pPr>
              <w:pStyle w:val="26"/>
              <w:autoSpaceDE w:val="0"/>
              <w:autoSpaceDN w:val="0"/>
              <w:spacing w:before="92" w:line="186" w:lineRule="auto"/>
              <w:ind w:left="487"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2.95</w:t>
            </w:r>
          </w:p>
        </w:tc>
        <w:tc>
          <w:tcPr>
            <w:tcW w:w="939" w:type="dxa"/>
            <w:shd w:val="clear" w:color="auto" w:fill="auto"/>
            <w:vAlign w:val="top"/>
          </w:tcPr>
          <w:p w14:paraId="72E236BE">
            <w:pPr>
              <w:pStyle w:val="26"/>
              <w:autoSpaceDE w:val="0"/>
              <w:autoSpaceDN w:val="0"/>
              <w:spacing w:before="92" w:line="186" w:lineRule="auto"/>
              <w:ind w:left="31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3.80</w:t>
            </w:r>
          </w:p>
        </w:tc>
        <w:tc>
          <w:tcPr>
            <w:tcW w:w="770" w:type="dxa"/>
            <w:shd w:val="clear" w:color="auto" w:fill="auto"/>
            <w:vAlign w:val="top"/>
          </w:tcPr>
          <w:p w14:paraId="434E6C34">
            <w:pPr>
              <w:pStyle w:val="26"/>
              <w:autoSpaceDE w:val="0"/>
              <w:autoSpaceDN w:val="0"/>
              <w:spacing w:before="92" w:line="186" w:lineRule="auto"/>
              <w:ind w:left="20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5.59</w:t>
            </w:r>
          </w:p>
        </w:tc>
        <w:tc>
          <w:tcPr>
            <w:tcW w:w="827" w:type="dxa"/>
            <w:shd w:val="clear" w:color="auto" w:fill="auto"/>
            <w:vAlign w:val="top"/>
          </w:tcPr>
          <w:p w14:paraId="1B11ED90">
            <w:pPr>
              <w:pStyle w:val="26"/>
              <w:autoSpaceDE w:val="0"/>
              <w:autoSpaceDN w:val="0"/>
              <w:spacing w:before="92" w:line="186" w:lineRule="auto"/>
              <w:ind w:left="263"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7.07</w:t>
            </w:r>
          </w:p>
        </w:tc>
        <w:tc>
          <w:tcPr>
            <w:tcW w:w="826" w:type="dxa"/>
            <w:shd w:val="clear" w:color="auto" w:fill="auto"/>
            <w:vAlign w:val="top"/>
          </w:tcPr>
          <w:p w14:paraId="58ECCF0F">
            <w:pPr>
              <w:pStyle w:val="26"/>
              <w:autoSpaceDE w:val="0"/>
              <w:autoSpaceDN w:val="0"/>
              <w:spacing w:before="92" w:line="186" w:lineRule="auto"/>
              <w:ind w:left="277"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1.47</w:t>
            </w:r>
          </w:p>
        </w:tc>
      </w:tr>
      <w:tr w14:paraId="4E2F2533">
        <w:trPr>
          <w:trHeight w:val="282" w:hRule="atLeast"/>
        </w:trPr>
        <w:tc>
          <w:tcPr>
            <w:tcW w:w="648" w:type="dxa"/>
            <w:shd w:val="clear" w:color="auto" w:fill="auto"/>
            <w:vAlign w:val="top"/>
          </w:tcPr>
          <w:p w14:paraId="697FE189">
            <w:pPr>
              <w:pStyle w:val="26"/>
              <w:autoSpaceDE w:val="0"/>
              <w:autoSpaceDN w:val="0"/>
              <w:spacing w:before="93"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2019</w:t>
            </w:r>
          </w:p>
        </w:tc>
        <w:tc>
          <w:tcPr>
            <w:tcW w:w="1155" w:type="dxa"/>
            <w:shd w:val="clear" w:color="auto" w:fill="auto"/>
            <w:vAlign w:val="top"/>
          </w:tcPr>
          <w:p w14:paraId="2E987C33">
            <w:pPr>
              <w:pStyle w:val="26"/>
              <w:autoSpaceDE w:val="0"/>
              <w:autoSpaceDN w:val="0"/>
              <w:spacing w:before="94" w:line="178" w:lineRule="auto"/>
              <w:ind w:left="361"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4.23</w:t>
            </w:r>
          </w:p>
        </w:tc>
        <w:tc>
          <w:tcPr>
            <w:tcW w:w="580" w:type="dxa"/>
            <w:shd w:val="clear" w:color="auto" w:fill="auto"/>
            <w:vAlign w:val="top"/>
          </w:tcPr>
          <w:p w14:paraId="256C302A">
            <w:pPr>
              <w:pStyle w:val="26"/>
              <w:autoSpaceDE w:val="0"/>
              <w:autoSpaceDN w:val="0"/>
              <w:spacing w:before="93" w:line="186" w:lineRule="auto"/>
              <w:ind w:left="15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2.90</w:t>
            </w:r>
          </w:p>
        </w:tc>
        <w:tc>
          <w:tcPr>
            <w:tcW w:w="1037" w:type="dxa"/>
            <w:shd w:val="clear" w:color="auto" w:fill="auto"/>
            <w:vAlign w:val="top"/>
          </w:tcPr>
          <w:p w14:paraId="3C988A1C">
            <w:pPr>
              <w:pStyle w:val="26"/>
              <w:autoSpaceDE w:val="0"/>
              <w:autoSpaceDN w:val="0"/>
              <w:spacing w:before="93" w:line="186" w:lineRule="auto"/>
              <w:ind w:left="423"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1.81</w:t>
            </w:r>
          </w:p>
        </w:tc>
        <w:tc>
          <w:tcPr>
            <w:tcW w:w="844" w:type="dxa"/>
            <w:shd w:val="clear" w:color="auto" w:fill="auto"/>
            <w:vAlign w:val="top"/>
          </w:tcPr>
          <w:p w14:paraId="377DE5BD">
            <w:pPr>
              <w:pStyle w:val="26"/>
              <w:autoSpaceDE w:val="0"/>
              <w:autoSpaceDN w:val="0"/>
              <w:spacing w:before="93" w:line="186" w:lineRule="auto"/>
              <w:ind w:left="213"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1.09</w:t>
            </w:r>
          </w:p>
        </w:tc>
        <w:tc>
          <w:tcPr>
            <w:tcW w:w="519" w:type="dxa"/>
            <w:shd w:val="clear" w:color="auto" w:fill="auto"/>
            <w:vAlign w:val="top"/>
          </w:tcPr>
          <w:p w14:paraId="6016B465">
            <w:pPr>
              <w:pStyle w:val="26"/>
              <w:autoSpaceDE w:val="0"/>
              <w:autoSpaceDN w:val="0"/>
              <w:spacing w:before="93" w:line="186" w:lineRule="auto"/>
              <w:ind w:left="184"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5.95</w:t>
            </w:r>
          </w:p>
        </w:tc>
        <w:tc>
          <w:tcPr>
            <w:tcW w:w="999" w:type="dxa"/>
            <w:shd w:val="clear" w:color="auto" w:fill="auto"/>
            <w:vAlign w:val="top"/>
          </w:tcPr>
          <w:p w14:paraId="07340DA5">
            <w:pPr>
              <w:pStyle w:val="26"/>
              <w:autoSpaceDE w:val="0"/>
              <w:autoSpaceDN w:val="0"/>
              <w:spacing w:before="93" w:line="186" w:lineRule="auto"/>
              <w:ind w:left="487"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2.29</w:t>
            </w:r>
          </w:p>
        </w:tc>
        <w:tc>
          <w:tcPr>
            <w:tcW w:w="939" w:type="dxa"/>
            <w:shd w:val="clear" w:color="auto" w:fill="auto"/>
            <w:vAlign w:val="top"/>
          </w:tcPr>
          <w:p w14:paraId="37CAA694">
            <w:pPr>
              <w:pStyle w:val="26"/>
              <w:autoSpaceDE w:val="0"/>
              <w:autoSpaceDN w:val="0"/>
              <w:spacing w:before="93" w:line="186" w:lineRule="auto"/>
              <w:ind w:left="319"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3.66</w:t>
            </w:r>
          </w:p>
        </w:tc>
        <w:tc>
          <w:tcPr>
            <w:tcW w:w="770" w:type="dxa"/>
            <w:shd w:val="clear" w:color="auto" w:fill="auto"/>
            <w:vAlign w:val="top"/>
          </w:tcPr>
          <w:p w14:paraId="66D93F8D">
            <w:pPr>
              <w:pStyle w:val="26"/>
              <w:autoSpaceDE w:val="0"/>
              <w:autoSpaceDN w:val="0"/>
              <w:spacing w:before="93" w:line="186" w:lineRule="auto"/>
              <w:ind w:left="206"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0.51</w:t>
            </w:r>
          </w:p>
        </w:tc>
        <w:tc>
          <w:tcPr>
            <w:tcW w:w="827" w:type="dxa"/>
            <w:shd w:val="clear" w:color="auto" w:fill="auto"/>
            <w:vAlign w:val="top"/>
          </w:tcPr>
          <w:p w14:paraId="5ACD1D97">
            <w:pPr>
              <w:pStyle w:val="26"/>
              <w:autoSpaceDE w:val="0"/>
              <w:autoSpaceDN w:val="0"/>
              <w:spacing w:before="94" w:line="178" w:lineRule="auto"/>
              <w:ind w:left="217"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1.30</w:t>
            </w:r>
          </w:p>
        </w:tc>
        <w:tc>
          <w:tcPr>
            <w:tcW w:w="826" w:type="dxa"/>
            <w:shd w:val="clear" w:color="auto" w:fill="auto"/>
            <w:vAlign w:val="top"/>
          </w:tcPr>
          <w:p w14:paraId="2F505E68">
            <w:pPr>
              <w:pStyle w:val="26"/>
              <w:autoSpaceDE w:val="0"/>
              <w:autoSpaceDN w:val="0"/>
              <w:spacing w:before="94" w:line="178" w:lineRule="auto"/>
              <w:ind w:left="217"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1.81</w:t>
            </w:r>
          </w:p>
        </w:tc>
      </w:tr>
      <w:tr w14:paraId="7FE7DEB6">
        <w:trPr>
          <w:trHeight w:val="282" w:hRule="atLeast"/>
        </w:trPr>
        <w:tc>
          <w:tcPr>
            <w:tcW w:w="648" w:type="dxa"/>
            <w:shd w:val="clear" w:color="auto" w:fill="auto"/>
            <w:vAlign w:val="top"/>
          </w:tcPr>
          <w:p w14:paraId="40850185">
            <w:pPr>
              <w:pStyle w:val="26"/>
              <w:autoSpaceDE w:val="0"/>
              <w:autoSpaceDN w:val="0"/>
              <w:spacing w:before="95"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2020</w:t>
            </w:r>
          </w:p>
        </w:tc>
        <w:tc>
          <w:tcPr>
            <w:tcW w:w="1155" w:type="dxa"/>
            <w:shd w:val="clear" w:color="auto" w:fill="auto"/>
            <w:vAlign w:val="top"/>
          </w:tcPr>
          <w:p w14:paraId="741BE172">
            <w:pPr>
              <w:pStyle w:val="26"/>
              <w:autoSpaceDE w:val="0"/>
              <w:autoSpaceDN w:val="0"/>
              <w:spacing w:before="95" w:line="186" w:lineRule="auto"/>
              <w:ind w:left="410"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0.11</w:t>
            </w:r>
          </w:p>
        </w:tc>
        <w:tc>
          <w:tcPr>
            <w:tcW w:w="580" w:type="dxa"/>
            <w:shd w:val="clear" w:color="auto" w:fill="auto"/>
            <w:vAlign w:val="top"/>
          </w:tcPr>
          <w:p w14:paraId="1BBE260E">
            <w:pPr>
              <w:pStyle w:val="26"/>
              <w:autoSpaceDE w:val="0"/>
              <w:autoSpaceDN w:val="0"/>
              <w:spacing w:before="95" w:line="186" w:lineRule="auto"/>
              <w:ind w:left="15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2.42</w:t>
            </w:r>
          </w:p>
        </w:tc>
        <w:tc>
          <w:tcPr>
            <w:tcW w:w="1037" w:type="dxa"/>
            <w:shd w:val="clear" w:color="auto" w:fill="auto"/>
            <w:vAlign w:val="top"/>
          </w:tcPr>
          <w:p w14:paraId="430111D7">
            <w:pPr>
              <w:pStyle w:val="26"/>
              <w:autoSpaceDE w:val="0"/>
              <w:autoSpaceDN w:val="0"/>
              <w:spacing w:before="95" w:line="186" w:lineRule="auto"/>
              <w:ind w:left="423"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1.23</w:t>
            </w:r>
          </w:p>
        </w:tc>
        <w:tc>
          <w:tcPr>
            <w:tcW w:w="844" w:type="dxa"/>
            <w:shd w:val="clear" w:color="auto" w:fill="auto"/>
            <w:vAlign w:val="top"/>
          </w:tcPr>
          <w:p w14:paraId="215EE86A">
            <w:pPr>
              <w:pStyle w:val="26"/>
              <w:autoSpaceDE w:val="0"/>
              <w:autoSpaceDN w:val="0"/>
              <w:spacing w:before="95" w:line="186" w:lineRule="auto"/>
              <w:ind w:left="213"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1.19</w:t>
            </w:r>
          </w:p>
        </w:tc>
        <w:tc>
          <w:tcPr>
            <w:tcW w:w="519" w:type="dxa"/>
            <w:shd w:val="clear" w:color="auto" w:fill="auto"/>
            <w:vAlign w:val="top"/>
          </w:tcPr>
          <w:p w14:paraId="08EC3111">
            <w:pPr>
              <w:pStyle w:val="26"/>
              <w:autoSpaceDE w:val="0"/>
              <w:autoSpaceDN w:val="0"/>
              <w:spacing w:before="95"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2.24</w:t>
            </w:r>
          </w:p>
        </w:tc>
        <w:tc>
          <w:tcPr>
            <w:tcW w:w="999" w:type="dxa"/>
            <w:shd w:val="clear" w:color="auto" w:fill="auto"/>
            <w:vAlign w:val="top"/>
          </w:tcPr>
          <w:p w14:paraId="1CAF5DA8">
            <w:pPr>
              <w:pStyle w:val="26"/>
              <w:autoSpaceDE w:val="0"/>
              <w:autoSpaceDN w:val="0"/>
              <w:spacing w:before="95" w:line="178" w:lineRule="auto"/>
              <w:ind w:left="444"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2.77</w:t>
            </w:r>
          </w:p>
        </w:tc>
        <w:tc>
          <w:tcPr>
            <w:tcW w:w="939" w:type="dxa"/>
            <w:shd w:val="clear" w:color="auto" w:fill="auto"/>
            <w:vAlign w:val="top"/>
          </w:tcPr>
          <w:p w14:paraId="70EF34B5">
            <w:pPr>
              <w:pStyle w:val="26"/>
              <w:autoSpaceDE w:val="0"/>
              <w:autoSpaceDN w:val="0"/>
              <w:spacing w:before="95" w:line="186" w:lineRule="auto"/>
              <w:ind w:left="320"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5.01</w:t>
            </w:r>
          </w:p>
        </w:tc>
        <w:tc>
          <w:tcPr>
            <w:tcW w:w="770" w:type="dxa"/>
            <w:shd w:val="clear" w:color="auto" w:fill="auto"/>
            <w:vAlign w:val="top"/>
          </w:tcPr>
          <w:p w14:paraId="5CA0C53A">
            <w:pPr>
              <w:pStyle w:val="26"/>
              <w:autoSpaceDE w:val="0"/>
              <w:autoSpaceDN w:val="0"/>
              <w:spacing w:before="95" w:line="186" w:lineRule="auto"/>
              <w:ind w:left="207"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6.30</w:t>
            </w:r>
          </w:p>
        </w:tc>
        <w:tc>
          <w:tcPr>
            <w:tcW w:w="827" w:type="dxa"/>
            <w:shd w:val="clear" w:color="auto" w:fill="auto"/>
            <w:vAlign w:val="top"/>
          </w:tcPr>
          <w:p w14:paraId="6EE82126">
            <w:pPr>
              <w:pStyle w:val="26"/>
              <w:autoSpaceDE w:val="0"/>
              <w:autoSpaceDN w:val="0"/>
              <w:spacing w:before="95" w:line="186" w:lineRule="auto"/>
              <w:ind w:left="260"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4.42</w:t>
            </w:r>
          </w:p>
        </w:tc>
        <w:tc>
          <w:tcPr>
            <w:tcW w:w="826" w:type="dxa"/>
            <w:shd w:val="clear" w:color="auto" w:fill="auto"/>
            <w:vAlign w:val="top"/>
          </w:tcPr>
          <w:p w14:paraId="23236235">
            <w:pPr>
              <w:pStyle w:val="26"/>
              <w:autoSpaceDE w:val="0"/>
              <w:autoSpaceDN w:val="0"/>
              <w:spacing w:before="95" w:line="178" w:lineRule="auto"/>
              <w:ind w:left="217"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1.88</w:t>
            </w:r>
          </w:p>
        </w:tc>
      </w:tr>
      <w:tr w14:paraId="4B4D48AF">
        <w:trPr>
          <w:trHeight w:val="269" w:hRule="atLeast"/>
        </w:trPr>
        <w:tc>
          <w:tcPr>
            <w:tcW w:w="648" w:type="dxa"/>
            <w:shd w:val="clear" w:color="auto" w:fill="auto"/>
            <w:vAlign w:val="top"/>
          </w:tcPr>
          <w:p w14:paraId="2DE46503">
            <w:pPr>
              <w:pStyle w:val="26"/>
              <w:autoSpaceDE w:val="0"/>
              <w:autoSpaceDN w:val="0"/>
              <w:spacing w:before="96"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2021</w:t>
            </w:r>
          </w:p>
        </w:tc>
        <w:tc>
          <w:tcPr>
            <w:tcW w:w="1155" w:type="dxa"/>
            <w:shd w:val="clear" w:color="auto" w:fill="auto"/>
            <w:vAlign w:val="top"/>
          </w:tcPr>
          <w:p w14:paraId="3DDF7A37">
            <w:pPr>
              <w:pStyle w:val="26"/>
              <w:autoSpaceDE w:val="0"/>
              <w:autoSpaceDN w:val="0"/>
              <w:spacing w:before="96" w:line="186" w:lineRule="auto"/>
              <w:ind w:left="407"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7.01</w:t>
            </w:r>
          </w:p>
        </w:tc>
        <w:tc>
          <w:tcPr>
            <w:tcW w:w="580" w:type="dxa"/>
            <w:shd w:val="clear" w:color="auto" w:fill="auto"/>
            <w:vAlign w:val="top"/>
          </w:tcPr>
          <w:p w14:paraId="49AEC2C1">
            <w:pPr>
              <w:pStyle w:val="26"/>
              <w:autoSpaceDE w:val="0"/>
              <w:autoSpaceDN w:val="0"/>
              <w:spacing w:before="96" w:line="186" w:lineRule="auto"/>
              <w:ind w:left="162"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0.98</w:t>
            </w:r>
          </w:p>
        </w:tc>
        <w:tc>
          <w:tcPr>
            <w:tcW w:w="1037" w:type="dxa"/>
            <w:shd w:val="clear" w:color="auto" w:fill="auto"/>
            <w:vAlign w:val="top"/>
          </w:tcPr>
          <w:p w14:paraId="1432598C">
            <w:pPr>
              <w:pStyle w:val="26"/>
              <w:autoSpaceDE w:val="0"/>
              <w:autoSpaceDN w:val="0"/>
              <w:spacing w:before="96" w:line="186" w:lineRule="auto"/>
              <w:ind w:left="405"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4.70</w:t>
            </w:r>
          </w:p>
        </w:tc>
        <w:tc>
          <w:tcPr>
            <w:tcW w:w="844" w:type="dxa"/>
            <w:shd w:val="clear" w:color="auto" w:fill="auto"/>
            <w:vAlign w:val="top"/>
          </w:tcPr>
          <w:p w14:paraId="33584906">
            <w:pPr>
              <w:pStyle w:val="26"/>
              <w:autoSpaceDE w:val="0"/>
              <w:autoSpaceDN w:val="0"/>
              <w:spacing w:before="97" w:line="178" w:lineRule="auto"/>
              <w:ind w:left="153"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3.71</w:t>
            </w:r>
          </w:p>
        </w:tc>
        <w:tc>
          <w:tcPr>
            <w:tcW w:w="519" w:type="dxa"/>
            <w:shd w:val="clear" w:color="auto" w:fill="auto"/>
            <w:vAlign w:val="top"/>
          </w:tcPr>
          <w:p w14:paraId="1D3C8C3F">
            <w:pPr>
              <w:pStyle w:val="26"/>
              <w:autoSpaceDE w:val="0"/>
              <w:autoSpaceDN w:val="0"/>
              <w:spacing w:before="96" w:line="186" w:lineRule="auto"/>
              <w:ind w:left="186"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8.45</w:t>
            </w:r>
          </w:p>
        </w:tc>
        <w:tc>
          <w:tcPr>
            <w:tcW w:w="999" w:type="dxa"/>
            <w:shd w:val="clear" w:color="auto" w:fill="auto"/>
            <w:vAlign w:val="top"/>
          </w:tcPr>
          <w:p w14:paraId="0384C544">
            <w:pPr>
              <w:pStyle w:val="26"/>
              <w:autoSpaceDE w:val="0"/>
              <w:autoSpaceDN w:val="0"/>
              <w:spacing w:before="96" w:line="186" w:lineRule="auto"/>
              <w:ind w:left="492"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5.95</w:t>
            </w:r>
          </w:p>
        </w:tc>
        <w:tc>
          <w:tcPr>
            <w:tcW w:w="939" w:type="dxa"/>
            <w:shd w:val="clear" w:color="auto" w:fill="auto"/>
            <w:vAlign w:val="top"/>
          </w:tcPr>
          <w:p w14:paraId="4E45CB7A">
            <w:pPr>
              <w:pStyle w:val="26"/>
              <w:autoSpaceDE w:val="0"/>
              <w:autoSpaceDN w:val="0"/>
              <w:spacing w:before="96" w:line="186" w:lineRule="auto"/>
              <w:ind w:left="315"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2.50</w:t>
            </w:r>
          </w:p>
        </w:tc>
        <w:tc>
          <w:tcPr>
            <w:tcW w:w="770" w:type="dxa"/>
            <w:shd w:val="clear" w:color="auto" w:fill="auto"/>
            <w:vAlign w:val="top"/>
          </w:tcPr>
          <w:p w14:paraId="3CC57402">
            <w:pPr>
              <w:pStyle w:val="26"/>
              <w:autoSpaceDE w:val="0"/>
              <w:autoSpaceDN w:val="0"/>
              <w:spacing w:before="96" w:line="186" w:lineRule="auto"/>
              <w:ind w:left="20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5.79</w:t>
            </w:r>
          </w:p>
        </w:tc>
        <w:tc>
          <w:tcPr>
            <w:tcW w:w="827" w:type="dxa"/>
            <w:shd w:val="clear" w:color="auto" w:fill="auto"/>
            <w:vAlign w:val="top"/>
          </w:tcPr>
          <w:p w14:paraId="65286B40">
            <w:pPr>
              <w:pStyle w:val="26"/>
              <w:autoSpaceDE w:val="0"/>
              <w:autoSpaceDN w:val="0"/>
              <w:spacing w:before="96" w:line="186" w:lineRule="auto"/>
              <w:ind w:left="264"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9.60</w:t>
            </w:r>
          </w:p>
        </w:tc>
        <w:tc>
          <w:tcPr>
            <w:tcW w:w="826" w:type="dxa"/>
            <w:shd w:val="clear" w:color="auto" w:fill="auto"/>
            <w:vAlign w:val="top"/>
          </w:tcPr>
          <w:p w14:paraId="69D6E198">
            <w:pPr>
              <w:pStyle w:val="26"/>
              <w:autoSpaceDE w:val="0"/>
              <w:autoSpaceDN w:val="0"/>
              <w:spacing w:before="96" w:line="186" w:lineRule="auto"/>
              <w:ind w:left="264"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3.81</w:t>
            </w:r>
          </w:p>
        </w:tc>
      </w:tr>
      <w:tr w14:paraId="143CAA00">
        <w:trPr>
          <w:trHeight w:val="301" w:hRule="atLeast"/>
        </w:trPr>
        <w:tc>
          <w:tcPr>
            <w:tcW w:w="648" w:type="dxa"/>
            <w:shd w:val="clear" w:color="auto" w:fill="auto"/>
            <w:vAlign w:val="top"/>
          </w:tcPr>
          <w:p w14:paraId="46AF8BB4">
            <w:pPr>
              <w:pStyle w:val="26"/>
              <w:autoSpaceDE w:val="0"/>
              <w:autoSpaceDN w:val="0"/>
              <w:spacing w:before="98" w:line="186" w:lineRule="auto"/>
              <w:ind w:left="180"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2022</w:t>
            </w:r>
          </w:p>
        </w:tc>
        <w:tc>
          <w:tcPr>
            <w:tcW w:w="1155" w:type="dxa"/>
            <w:shd w:val="clear" w:color="auto" w:fill="auto"/>
            <w:vAlign w:val="top"/>
          </w:tcPr>
          <w:p w14:paraId="3B6CD5A8">
            <w:pPr>
              <w:pStyle w:val="26"/>
              <w:autoSpaceDE w:val="0"/>
              <w:autoSpaceDN w:val="0"/>
              <w:spacing w:before="98" w:line="165" w:lineRule="auto"/>
              <w:ind w:left="361"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4.28</w:t>
            </w:r>
          </w:p>
        </w:tc>
        <w:tc>
          <w:tcPr>
            <w:tcW w:w="580" w:type="dxa"/>
            <w:shd w:val="clear" w:color="auto" w:fill="auto"/>
            <w:vAlign w:val="top"/>
          </w:tcPr>
          <w:p w14:paraId="618AD4ED">
            <w:pPr>
              <w:pStyle w:val="26"/>
              <w:autoSpaceDE w:val="0"/>
              <w:autoSpaceDN w:val="0"/>
              <w:spacing w:before="98" w:line="186" w:lineRule="auto"/>
              <w:ind w:left="176"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1.97</w:t>
            </w:r>
          </w:p>
        </w:tc>
        <w:tc>
          <w:tcPr>
            <w:tcW w:w="1037" w:type="dxa"/>
            <w:shd w:val="clear" w:color="auto" w:fill="auto"/>
            <w:vAlign w:val="top"/>
          </w:tcPr>
          <w:p w14:paraId="13B1126D">
            <w:pPr>
              <w:pStyle w:val="26"/>
              <w:autoSpaceDE w:val="0"/>
              <w:autoSpaceDN w:val="0"/>
              <w:spacing w:before="98" w:line="186" w:lineRule="auto"/>
              <w:ind w:left="413"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8.00</w:t>
            </w:r>
          </w:p>
        </w:tc>
        <w:tc>
          <w:tcPr>
            <w:tcW w:w="844" w:type="dxa"/>
            <w:shd w:val="clear" w:color="auto" w:fill="auto"/>
            <w:vAlign w:val="top"/>
          </w:tcPr>
          <w:p w14:paraId="45368077">
            <w:pPr>
              <w:pStyle w:val="26"/>
              <w:autoSpaceDE w:val="0"/>
              <w:autoSpaceDN w:val="0"/>
              <w:spacing w:before="98" w:line="165" w:lineRule="auto"/>
              <w:ind w:left="153"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6.03</w:t>
            </w:r>
          </w:p>
        </w:tc>
        <w:tc>
          <w:tcPr>
            <w:tcW w:w="519" w:type="dxa"/>
            <w:shd w:val="clear" w:color="auto" w:fill="auto"/>
            <w:vAlign w:val="top"/>
          </w:tcPr>
          <w:p w14:paraId="02788BED">
            <w:pPr>
              <w:pStyle w:val="26"/>
              <w:autoSpaceDE w:val="0"/>
              <w:autoSpaceDN w:val="0"/>
              <w:spacing w:before="98" w:line="186" w:lineRule="auto"/>
              <w:ind w:left="179"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2.99</w:t>
            </w:r>
          </w:p>
        </w:tc>
        <w:tc>
          <w:tcPr>
            <w:tcW w:w="999" w:type="dxa"/>
            <w:shd w:val="clear" w:color="auto" w:fill="auto"/>
            <w:vAlign w:val="top"/>
          </w:tcPr>
          <w:p w14:paraId="1962DAFB">
            <w:pPr>
              <w:pStyle w:val="26"/>
              <w:autoSpaceDE w:val="0"/>
              <w:autoSpaceDN w:val="0"/>
              <w:spacing w:before="98" w:line="186" w:lineRule="auto"/>
              <w:ind w:left="488" w:leftChars="0"/>
              <w:rPr>
                <w:rFonts w:ascii="Times New Roman" w:hAnsi="Times New Roman" w:eastAsia="Times New Roman" w:cs="Times New Roman"/>
                <w:snapToGrid w:val="0"/>
                <w:color w:val="000000"/>
                <w:kern w:val="0"/>
                <w:sz w:val="18"/>
                <w:szCs w:val="18"/>
                <w:lang w:val="en-US" w:eastAsia="en-US" w:bidi="ar-SA"/>
              </w:rPr>
            </w:pPr>
            <w:r>
              <w:rPr>
                <w:color w:val="231F20"/>
                <w:spacing w:val="-1"/>
              </w:rPr>
              <w:t>2.06</w:t>
            </w:r>
          </w:p>
        </w:tc>
        <w:tc>
          <w:tcPr>
            <w:tcW w:w="939" w:type="dxa"/>
            <w:shd w:val="clear" w:color="auto" w:fill="auto"/>
            <w:vAlign w:val="top"/>
          </w:tcPr>
          <w:p w14:paraId="4AF7ADFA">
            <w:pPr>
              <w:pStyle w:val="26"/>
              <w:autoSpaceDE w:val="0"/>
              <w:autoSpaceDN w:val="0"/>
              <w:spacing w:before="98" w:line="186" w:lineRule="auto"/>
              <w:ind w:left="318" w:leftChars="0"/>
              <w:rPr>
                <w:rFonts w:ascii="Times New Roman" w:hAnsi="Times New Roman" w:eastAsia="Times New Roman" w:cs="Times New Roman"/>
                <w:snapToGrid w:val="0"/>
                <w:color w:val="000000"/>
                <w:kern w:val="0"/>
                <w:sz w:val="18"/>
                <w:szCs w:val="18"/>
                <w:lang w:val="en-US" w:eastAsia="en-US" w:bidi="ar-SA"/>
              </w:rPr>
            </w:pPr>
            <w:r>
              <w:rPr>
                <w:color w:val="231F20"/>
                <w:spacing w:val="-2"/>
              </w:rPr>
              <w:t>0.93</w:t>
            </w:r>
          </w:p>
        </w:tc>
        <w:tc>
          <w:tcPr>
            <w:tcW w:w="770" w:type="dxa"/>
            <w:shd w:val="clear" w:color="auto" w:fill="auto"/>
            <w:vAlign w:val="top"/>
          </w:tcPr>
          <w:p w14:paraId="510EB509">
            <w:pPr>
              <w:pStyle w:val="26"/>
              <w:autoSpaceDE w:val="0"/>
              <w:autoSpaceDN w:val="0"/>
              <w:spacing w:before="98" w:line="165" w:lineRule="auto"/>
              <w:ind w:left="161"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9.38</w:t>
            </w:r>
          </w:p>
        </w:tc>
        <w:tc>
          <w:tcPr>
            <w:tcW w:w="827" w:type="dxa"/>
            <w:shd w:val="clear" w:color="auto" w:fill="auto"/>
            <w:vAlign w:val="top"/>
          </w:tcPr>
          <w:p w14:paraId="5F47D72D">
            <w:pPr>
              <w:pStyle w:val="26"/>
              <w:autoSpaceDE w:val="0"/>
              <w:autoSpaceDN w:val="0"/>
              <w:spacing w:before="98" w:line="165" w:lineRule="auto"/>
              <w:ind w:left="218" w:leftChars="0"/>
              <w:rPr>
                <w:rFonts w:ascii="Times New Roman" w:hAnsi="Times New Roman" w:eastAsia="Times New Roman" w:cs="Times New Roman"/>
                <w:snapToGrid w:val="0"/>
                <w:color w:val="000000"/>
                <w:kern w:val="0"/>
                <w:sz w:val="18"/>
                <w:szCs w:val="18"/>
                <w:lang w:val="en-US" w:eastAsia="en-US" w:bidi="ar-SA"/>
              </w:rPr>
            </w:pPr>
            <w:r>
              <w:rPr>
                <w:rFonts w:ascii="宋体" w:hAnsi="宋体" w:eastAsia="宋体" w:cs="宋体"/>
                <w:color w:val="231F20"/>
                <w:spacing w:val="-2"/>
              </w:rPr>
              <w:t>-</w:t>
            </w:r>
            <w:r>
              <w:rPr>
                <w:color w:val="231F20"/>
                <w:spacing w:val="-2"/>
              </w:rPr>
              <w:t>7.70</w:t>
            </w:r>
          </w:p>
        </w:tc>
        <w:tc>
          <w:tcPr>
            <w:tcW w:w="826" w:type="dxa"/>
            <w:shd w:val="clear" w:color="auto" w:fill="auto"/>
            <w:vAlign w:val="top"/>
          </w:tcPr>
          <w:p w14:paraId="728D4F2F">
            <w:pPr>
              <w:pStyle w:val="26"/>
              <w:autoSpaceDE w:val="0"/>
              <w:autoSpaceDN w:val="0"/>
              <w:spacing w:before="98" w:line="186" w:lineRule="auto"/>
              <w:ind w:left="278" w:leftChars="0"/>
              <w:rPr>
                <w:rFonts w:ascii="Times New Roman" w:hAnsi="Times New Roman" w:eastAsia="Times New Roman" w:cs="Times New Roman"/>
                <w:snapToGrid w:val="0"/>
                <w:color w:val="000000"/>
                <w:kern w:val="0"/>
                <w:sz w:val="18"/>
                <w:szCs w:val="18"/>
                <w:lang w:val="en-US" w:eastAsia="en-US" w:bidi="ar-SA"/>
              </w:rPr>
            </w:pPr>
            <w:r>
              <w:rPr>
                <w:color w:val="231F20"/>
                <w:spacing w:val="-4"/>
              </w:rPr>
              <w:t>1.68</w:t>
            </w:r>
          </w:p>
        </w:tc>
      </w:tr>
      <w:tr w14:paraId="08C824F2">
        <w:trPr>
          <w:trHeight w:val="301" w:hRule="atLeast"/>
        </w:trPr>
        <w:tc>
          <w:tcPr>
            <w:tcW w:w="648" w:type="dxa"/>
            <w:tcBorders>
              <w:bottom w:val="single" w:color="231F20" w:sz="8" w:space="0"/>
            </w:tcBorders>
            <w:shd w:val="clear" w:color="auto" w:fill="auto"/>
            <w:vAlign w:val="top"/>
          </w:tcPr>
          <w:p w14:paraId="0F2C237A">
            <w:pPr>
              <w:autoSpaceDE w:val="0"/>
              <w:autoSpaceDN w:val="0"/>
              <w:spacing w:before="79" w:line="217" w:lineRule="auto"/>
              <w:ind w:left="189" w:leftChars="0"/>
              <w:rPr>
                <w:rFonts w:ascii="楷体" w:hAnsi="楷体" w:eastAsia="楷体" w:cs="楷体"/>
                <w:snapToGrid w:val="0"/>
                <w:color w:val="000000"/>
                <w:kern w:val="0"/>
                <w:sz w:val="18"/>
                <w:szCs w:val="18"/>
                <w:lang w:val="en-US" w:eastAsia="en-US" w:bidi="ar-SA"/>
              </w:rPr>
            </w:pPr>
            <w:r>
              <w:rPr>
                <w:rFonts w:ascii="楷体" w:hAnsi="楷体" w:eastAsia="楷体" w:cs="楷体"/>
                <w:color w:val="231F20"/>
                <w:spacing w:val="-4"/>
                <w:sz w:val="18"/>
                <w:szCs w:val="18"/>
              </w:rPr>
              <w:t>列序</w:t>
            </w:r>
          </w:p>
        </w:tc>
        <w:tc>
          <w:tcPr>
            <w:tcW w:w="1155" w:type="dxa"/>
            <w:tcBorders>
              <w:bottom w:val="single" w:color="231F20" w:sz="8" w:space="0"/>
            </w:tcBorders>
            <w:shd w:val="clear" w:color="auto" w:fill="auto"/>
            <w:vAlign w:val="top"/>
          </w:tcPr>
          <w:p w14:paraId="637E9BB6">
            <w:pPr>
              <w:pStyle w:val="26"/>
              <w:autoSpaceDE w:val="0"/>
              <w:autoSpaceDN w:val="0"/>
              <w:spacing w:before="112" w:line="186" w:lineRule="auto"/>
              <w:ind w:left="535" w:leftChars="0"/>
              <w:rPr>
                <w:rFonts w:ascii="Times New Roman" w:hAnsi="Times New Roman" w:eastAsia="Times New Roman" w:cs="Times New Roman"/>
                <w:snapToGrid w:val="0"/>
                <w:color w:val="000000"/>
                <w:kern w:val="0"/>
                <w:sz w:val="18"/>
                <w:szCs w:val="18"/>
                <w:lang w:val="en-US" w:eastAsia="en-US" w:bidi="ar-SA"/>
              </w:rPr>
            </w:pPr>
            <w:r>
              <w:rPr>
                <w:color w:val="231F20"/>
              </w:rPr>
              <w:t>1</w:t>
            </w:r>
          </w:p>
        </w:tc>
        <w:tc>
          <w:tcPr>
            <w:tcW w:w="580" w:type="dxa"/>
            <w:tcBorders>
              <w:bottom w:val="single" w:color="231F20" w:sz="8" w:space="0"/>
            </w:tcBorders>
            <w:shd w:val="clear" w:color="auto" w:fill="auto"/>
            <w:vAlign w:val="top"/>
          </w:tcPr>
          <w:p w14:paraId="52EA2876">
            <w:pPr>
              <w:pStyle w:val="26"/>
              <w:autoSpaceDE w:val="0"/>
              <w:autoSpaceDN w:val="0"/>
              <w:spacing w:before="112" w:line="186" w:lineRule="auto"/>
              <w:ind w:left="272" w:leftChars="0"/>
              <w:rPr>
                <w:rFonts w:ascii="Times New Roman" w:hAnsi="Times New Roman" w:eastAsia="Times New Roman" w:cs="Times New Roman"/>
                <w:snapToGrid w:val="0"/>
                <w:color w:val="000000"/>
                <w:kern w:val="0"/>
                <w:sz w:val="18"/>
                <w:szCs w:val="18"/>
                <w:lang w:val="en-US" w:eastAsia="en-US" w:bidi="ar-SA"/>
              </w:rPr>
            </w:pPr>
            <w:r>
              <w:rPr>
                <w:color w:val="231F20"/>
              </w:rPr>
              <w:t>2</w:t>
            </w:r>
          </w:p>
        </w:tc>
        <w:tc>
          <w:tcPr>
            <w:tcW w:w="1037" w:type="dxa"/>
            <w:tcBorders>
              <w:bottom w:val="single" w:color="231F20" w:sz="8" w:space="0"/>
            </w:tcBorders>
            <w:shd w:val="clear" w:color="auto" w:fill="auto"/>
            <w:vAlign w:val="top"/>
          </w:tcPr>
          <w:p w14:paraId="1C3F8FC2">
            <w:pPr>
              <w:pStyle w:val="26"/>
              <w:autoSpaceDE w:val="0"/>
              <w:autoSpaceDN w:val="0"/>
              <w:spacing w:before="112" w:line="186" w:lineRule="auto"/>
              <w:ind w:left="523" w:leftChars="0"/>
              <w:rPr>
                <w:rFonts w:ascii="Times New Roman" w:hAnsi="Times New Roman" w:eastAsia="Times New Roman" w:cs="Times New Roman"/>
                <w:snapToGrid w:val="0"/>
                <w:color w:val="000000"/>
                <w:kern w:val="0"/>
                <w:sz w:val="18"/>
                <w:szCs w:val="18"/>
                <w:lang w:val="en-US" w:eastAsia="en-US" w:bidi="ar-SA"/>
              </w:rPr>
            </w:pPr>
            <w:r>
              <w:rPr>
                <w:color w:val="231F20"/>
              </w:rPr>
              <w:t>3</w:t>
            </w:r>
          </w:p>
        </w:tc>
        <w:tc>
          <w:tcPr>
            <w:tcW w:w="844" w:type="dxa"/>
            <w:tcBorders>
              <w:bottom w:val="single" w:color="231F20" w:sz="8" w:space="0"/>
            </w:tcBorders>
            <w:shd w:val="clear" w:color="auto" w:fill="auto"/>
            <w:vAlign w:val="top"/>
          </w:tcPr>
          <w:p w14:paraId="1916217C">
            <w:pPr>
              <w:pStyle w:val="26"/>
              <w:autoSpaceDE w:val="0"/>
              <w:autoSpaceDN w:val="0"/>
              <w:spacing w:before="112" w:line="186" w:lineRule="auto"/>
              <w:ind w:left="308" w:leftChars="0"/>
              <w:rPr>
                <w:rFonts w:ascii="Times New Roman" w:hAnsi="Times New Roman" w:eastAsia="Times New Roman" w:cs="Times New Roman"/>
                <w:snapToGrid w:val="0"/>
                <w:color w:val="000000"/>
                <w:kern w:val="0"/>
                <w:sz w:val="18"/>
                <w:szCs w:val="18"/>
                <w:lang w:val="en-US" w:eastAsia="en-US" w:bidi="ar-SA"/>
              </w:rPr>
            </w:pPr>
            <w:r>
              <w:rPr>
                <w:color w:val="231F20"/>
              </w:rPr>
              <w:t>4</w:t>
            </w:r>
          </w:p>
        </w:tc>
        <w:tc>
          <w:tcPr>
            <w:tcW w:w="519" w:type="dxa"/>
            <w:tcBorders>
              <w:bottom w:val="single" w:color="231F20" w:sz="8" w:space="0"/>
            </w:tcBorders>
            <w:shd w:val="clear" w:color="auto" w:fill="auto"/>
            <w:vAlign w:val="top"/>
          </w:tcPr>
          <w:p w14:paraId="7E44A0DF">
            <w:pPr>
              <w:pStyle w:val="26"/>
              <w:autoSpaceDE w:val="0"/>
              <w:autoSpaceDN w:val="0"/>
              <w:spacing w:before="115" w:line="183" w:lineRule="auto"/>
              <w:ind w:left="297" w:leftChars="0"/>
              <w:rPr>
                <w:rFonts w:ascii="Times New Roman" w:hAnsi="Times New Roman" w:eastAsia="Times New Roman" w:cs="Times New Roman"/>
                <w:snapToGrid w:val="0"/>
                <w:color w:val="000000"/>
                <w:kern w:val="0"/>
                <w:sz w:val="18"/>
                <w:szCs w:val="18"/>
                <w:lang w:val="en-US" w:eastAsia="en-US" w:bidi="ar-SA"/>
              </w:rPr>
            </w:pPr>
            <w:r>
              <w:rPr>
                <w:color w:val="231F20"/>
              </w:rPr>
              <w:t>5</w:t>
            </w:r>
          </w:p>
        </w:tc>
        <w:tc>
          <w:tcPr>
            <w:tcW w:w="999" w:type="dxa"/>
            <w:tcBorders>
              <w:bottom w:val="single" w:color="231F20" w:sz="8" w:space="0"/>
            </w:tcBorders>
            <w:shd w:val="clear" w:color="auto" w:fill="auto"/>
            <w:vAlign w:val="top"/>
          </w:tcPr>
          <w:p w14:paraId="0B6B465D">
            <w:pPr>
              <w:pStyle w:val="26"/>
              <w:autoSpaceDE w:val="0"/>
              <w:autoSpaceDN w:val="0"/>
              <w:spacing w:before="112" w:line="186" w:lineRule="auto"/>
              <w:ind w:left="604" w:leftChars="0"/>
              <w:rPr>
                <w:rFonts w:ascii="Times New Roman" w:hAnsi="Times New Roman" w:eastAsia="Times New Roman" w:cs="Times New Roman"/>
                <w:snapToGrid w:val="0"/>
                <w:color w:val="000000"/>
                <w:kern w:val="0"/>
                <w:sz w:val="18"/>
                <w:szCs w:val="18"/>
                <w:lang w:val="en-US" w:eastAsia="en-US" w:bidi="ar-SA"/>
              </w:rPr>
            </w:pPr>
            <w:r>
              <w:rPr>
                <w:color w:val="231F20"/>
              </w:rPr>
              <w:t>6</w:t>
            </w:r>
          </w:p>
        </w:tc>
        <w:tc>
          <w:tcPr>
            <w:tcW w:w="939" w:type="dxa"/>
            <w:tcBorders>
              <w:bottom w:val="single" w:color="231F20" w:sz="8" w:space="0"/>
            </w:tcBorders>
            <w:shd w:val="clear" w:color="auto" w:fill="auto"/>
            <w:vAlign w:val="top"/>
          </w:tcPr>
          <w:p w14:paraId="7FCDF3F6">
            <w:pPr>
              <w:pStyle w:val="26"/>
              <w:autoSpaceDE w:val="0"/>
              <w:autoSpaceDN w:val="0"/>
              <w:spacing w:before="115" w:line="183" w:lineRule="auto"/>
              <w:ind w:left="431" w:leftChars="0"/>
              <w:rPr>
                <w:rFonts w:ascii="Times New Roman" w:hAnsi="Times New Roman" w:eastAsia="Times New Roman" w:cs="Times New Roman"/>
                <w:snapToGrid w:val="0"/>
                <w:color w:val="000000"/>
                <w:kern w:val="0"/>
                <w:sz w:val="18"/>
                <w:szCs w:val="18"/>
                <w:lang w:val="en-US" w:eastAsia="en-US" w:bidi="ar-SA"/>
              </w:rPr>
            </w:pPr>
            <w:r>
              <w:rPr>
                <w:color w:val="231F20"/>
              </w:rPr>
              <w:t>7</w:t>
            </w:r>
          </w:p>
        </w:tc>
        <w:tc>
          <w:tcPr>
            <w:tcW w:w="770" w:type="dxa"/>
            <w:tcBorders>
              <w:bottom w:val="single" w:color="231F20" w:sz="8" w:space="0"/>
            </w:tcBorders>
            <w:shd w:val="clear" w:color="auto" w:fill="auto"/>
            <w:vAlign w:val="top"/>
          </w:tcPr>
          <w:p w14:paraId="134B7D66">
            <w:pPr>
              <w:pStyle w:val="26"/>
              <w:autoSpaceDE w:val="0"/>
              <w:autoSpaceDN w:val="0"/>
              <w:spacing w:before="112" w:line="186" w:lineRule="auto"/>
              <w:ind w:left="324" w:leftChars="0"/>
              <w:rPr>
                <w:rFonts w:ascii="Times New Roman" w:hAnsi="Times New Roman" w:eastAsia="Times New Roman" w:cs="Times New Roman"/>
                <w:snapToGrid w:val="0"/>
                <w:color w:val="000000"/>
                <w:kern w:val="0"/>
                <w:sz w:val="18"/>
                <w:szCs w:val="18"/>
                <w:lang w:val="en-US" w:eastAsia="en-US" w:bidi="ar-SA"/>
              </w:rPr>
            </w:pPr>
            <w:r>
              <w:rPr>
                <w:color w:val="231F20"/>
              </w:rPr>
              <w:t>8</w:t>
            </w:r>
          </w:p>
        </w:tc>
        <w:tc>
          <w:tcPr>
            <w:tcW w:w="827" w:type="dxa"/>
            <w:tcBorders>
              <w:bottom w:val="single" w:color="231F20" w:sz="8" w:space="0"/>
            </w:tcBorders>
            <w:shd w:val="clear" w:color="auto" w:fill="auto"/>
            <w:vAlign w:val="top"/>
          </w:tcPr>
          <w:p w14:paraId="76A403E9">
            <w:pPr>
              <w:pStyle w:val="26"/>
              <w:autoSpaceDE w:val="0"/>
              <w:autoSpaceDN w:val="0"/>
              <w:spacing w:before="112" w:line="186" w:lineRule="auto"/>
              <w:ind w:left="377" w:leftChars="0"/>
              <w:rPr>
                <w:rFonts w:ascii="Times New Roman" w:hAnsi="Times New Roman" w:eastAsia="Times New Roman" w:cs="Times New Roman"/>
                <w:snapToGrid w:val="0"/>
                <w:color w:val="000000"/>
                <w:kern w:val="0"/>
                <w:sz w:val="18"/>
                <w:szCs w:val="18"/>
                <w:lang w:val="en-US" w:eastAsia="en-US" w:bidi="ar-SA"/>
              </w:rPr>
            </w:pPr>
            <w:r>
              <w:rPr>
                <w:color w:val="231F20"/>
              </w:rPr>
              <w:t>9</w:t>
            </w:r>
          </w:p>
        </w:tc>
        <w:tc>
          <w:tcPr>
            <w:tcW w:w="826" w:type="dxa"/>
            <w:tcBorders>
              <w:bottom w:val="single" w:color="231F20" w:sz="8" w:space="0"/>
            </w:tcBorders>
            <w:shd w:val="clear" w:color="auto" w:fill="auto"/>
            <w:vAlign w:val="top"/>
          </w:tcPr>
          <w:p w14:paraId="032A810C">
            <w:pPr>
              <w:pStyle w:val="26"/>
              <w:autoSpaceDE w:val="0"/>
              <w:autoSpaceDN w:val="0"/>
              <w:spacing w:before="112" w:line="186" w:lineRule="auto"/>
              <w:ind w:left="346" w:leftChars="0"/>
              <w:rPr>
                <w:rFonts w:ascii="Times New Roman" w:hAnsi="Times New Roman" w:eastAsia="Times New Roman" w:cs="Times New Roman"/>
                <w:snapToGrid w:val="0"/>
                <w:color w:val="000000"/>
                <w:kern w:val="0"/>
                <w:sz w:val="18"/>
                <w:szCs w:val="18"/>
                <w:lang w:val="en-US" w:eastAsia="en-US" w:bidi="ar-SA"/>
              </w:rPr>
            </w:pPr>
            <w:r>
              <w:rPr>
                <w:color w:val="231F20"/>
                <w:spacing w:val="-6"/>
              </w:rPr>
              <w:t>10</w:t>
            </w:r>
          </w:p>
        </w:tc>
      </w:tr>
    </w:tbl>
    <w:p w14:paraId="43F09C8A">
      <w:pPr>
        <w:pStyle w:val="6"/>
        <w:spacing w:before="111" w:line="299" w:lineRule="auto"/>
        <w:ind w:left="1047" w:right="30" w:firstLine="364"/>
        <w:rPr>
          <w:rFonts w:ascii="方正书宋简体" w:hAnsi="方正书宋简体" w:eastAsia="方正书宋简体" w:cs="方正书宋简体"/>
        </w:rPr>
      </w:pPr>
      <w:r>
        <w:rPr>
          <w:rFonts w:ascii="方正书宋简体" w:hAnsi="方正书宋简体" w:eastAsia="方正书宋简体" w:cs="方正书宋简体"/>
          <w:color w:val="231F20"/>
        </w:rPr>
        <w:t>注：汇率变化率（</w:t>
      </w:r>
      <w:r>
        <w:rPr>
          <w:i/>
          <w:iCs/>
          <w:color w:val="231F20"/>
        </w:rPr>
        <w:t>B</w:t>
      </w:r>
      <w:r>
        <w:rPr>
          <w:rFonts w:ascii="方正书宋简体" w:hAnsi="方正书宋简体" w:eastAsia="方正书宋简体" w:cs="方正书宋简体"/>
          <w:color w:val="231F20"/>
        </w:rPr>
        <w:t>）表示人民币对美元汇率（对上年）的（年均值）变化率；分解指根据文中</w:t>
      </w:r>
      <w:r>
        <w:rPr>
          <w:rFonts w:ascii="方正书宋简体" w:hAnsi="方正书宋简体" w:eastAsia="方正书宋简体" w:cs="方正书宋简体"/>
          <w:color w:val="231F20"/>
          <w:spacing w:val="-1"/>
        </w:rPr>
        <w:t>公式进行分解的</w:t>
      </w:r>
      <w:r>
        <w:rPr>
          <w:rFonts w:ascii="方正书宋简体" w:hAnsi="方正书宋简体" w:eastAsia="方正书宋简体" w:cs="方正书宋简体"/>
          <w:color w:val="231F20"/>
        </w:rPr>
        <w:t>结果，等于第</w:t>
      </w:r>
      <w:r>
        <w:rPr>
          <w:rFonts w:ascii="方正书宋简体" w:hAnsi="方正书宋简体" w:eastAsia="方正书宋简体" w:cs="方正书宋简体"/>
          <w:color w:val="231F20"/>
          <w:spacing w:val="22"/>
        </w:rPr>
        <w:t xml:space="preserve"> </w:t>
      </w:r>
      <w:r>
        <w:rPr>
          <w:color w:val="231F20"/>
        </w:rPr>
        <w:t xml:space="preserve">1 </w:t>
      </w:r>
      <w:r>
        <w:rPr>
          <w:rFonts w:ascii="方正书宋简体" w:hAnsi="方正书宋简体" w:eastAsia="方正书宋简体" w:cs="方正书宋简体"/>
          <w:color w:val="231F20"/>
        </w:rPr>
        <w:t xml:space="preserve">列、第 </w:t>
      </w:r>
      <w:r>
        <w:rPr>
          <w:color w:val="231F20"/>
        </w:rPr>
        <w:t xml:space="preserve">4 </w:t>
      </w:r>
      <w:r>
        <w:rPr>
          <w:rFonts w:ascii="方正书宋简体" w:hAnsi="方正书宋简体" w:eastAsia="方正书宋简体" w:cs="方正书宋简体"/>
          <w:color w:val="231F20"/>
        </w:rPr>
        <w:t xml:space="preserve">列、第 </w:t>
      </w:r>
      <w:r>
        <w:rPr>
          <w:color w:val="231F20"/>
        </w:rPr>
        <w:t>7</w:t>
      </w:r>
      <w:r>
        <w:rPr>
          <w:rFonts w:ascii="方正书宋简体" w:hAnsi="方正书宋简体" w:eastAsia="方正书宋简体" w:cs="方正书宋简体"/>
          <w:color w:val="231F20"/>
        </w:rPr>
        <w:t xml:space="preserve">列之和；测算是直接计算结果；差值是第 </w:t>
      </w:r>
      <w:r>
        <w:rPr>
          <w:color w:val="231F20"/>
        </w:rPr>
        <w:t xml:space="preserve">9 </w:t>
      </w:r>
      <w:r>
        <w:rPr>
          <w:rFonts w:ascii="方正书宋简体" w:hAnsi="方正书宋简体" w:eastAsia="方正书宋简体" w:cs="方正书宋简体"/>
          <w:color w:val="231F20"/>
        </w:rPr>
        <w:t>列与第</w:t>
      </w:r>
      <w:r>
        <w:rPr>
          <w:rFonts w:ascii="方正书宋简体" w:hAnsi="方正书宋简体" w:eastAsia="方正书宋简体" w:cs="方正书宋简体"/>
          <w:color w:val="231F20"/>
          <w:spacing w:val="12"/>
        </w:rPr>
        <w:t xml:space="preserve"> </w:t>
      </w:r>
      <w:r>
        <w:rPr>
          <w:color w:val="231F20"/>
        </w:rPr>
        <w:t>8</w:t>
      </w:r>
      <w:r>
        <w:rPr>
          <w:color w:val="231F20"/>
          <w:spacing w:val="-1"/>
        </w:rPr>
        <w:t xml:space="preserve"> </w:t>
      </w:r>
      <w:r>
        <w:rPr>
          <w:rFonts w:ascii="方正书宋简体" w:hAnsi="方正书宋简体" w:eastAsia="方正书宋简体" w:cs="方正书宋简体"/>
          <w:color w:val="231F20"/>
          <w:spacing w:val="-1"/>
        </w:rPr>
        <w:t>列之差。</w:t>
      </w:r>
    </w:p>
    <w:p w14:paraId="12E4BF61">
      <w:pPr>
        <w:pStyle w:val="6"/>
        <w:spacing w:line="269" w:lineRule="auto"/>
        <w:ind w:left="1046" w:right="28" w:firstLine="437"/>
        <w:rPr>
          <w:rFonts w:ascii="方正书宋简体" w:hAnsi="方正书宋简体" w:eastAsia="方正书宋简体" w:cs="方正书宋简体"/>
          <w:color w:val="231F20"/>
          <w:spacing w:val="-3"/>
          <w:sz w:val="21"/>
          <w:szCs w:val="21"/>
        </w:rPr>
      </w:pPr>
      <w:r>
        <mc:AlternateContent>
          <mc:Choice Requires="wps">
            <w:drawing>
              <wp:anchor distT="0" distB="0" distL="114300" distR="114300" simplePos="0" relativeHeight="251699200" behindDoc="0" locked="0" layoutInCell="1" allowOverlap="1">
                <wp:simplePos x="0" y="0"/>
                <wp:positionH relativeFrom="column">
                  <wp:posOffset>5257165</wp:posOffset>
                </wp:positionH>
                <wp:positionV relativeFrom="paragraph">
                  <wp:posOffset>1475105</wp:posOffset>
                </wp:positionV>
                <wp:extent cx="56515" cy="11303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56515" cy="113030"/>
                        </a:xfrm>
                        <a:prstGeom prst="rect">
                          <a:avLst/>
                        </a:prstGeom>
                        <a:noFill/>
                        <a:ln>
                          <a:noFill/>
                        </a:ln>
                      </wps:spPr>
                      <wps:txbx>
                        <w:txbxContent>
                          <w:p w14:paraId="594AB6C0">
                            <w:pPr>
                              <w:spacing w:before="20" w:line="137" w:lineRule="exact"/>
                              <w:ind w:left="20"/>
                              <w:rPr>
                                <w:rFonts w:ascii="宋体" w:hAnsi="宋体" w:eastAsia="宋体" w:cs="宋体"/>
                                <w:sz w:val="10"/>
                                <w:szCs w:val="10"/>
                              </w:rPr>
                            </w:pPr>
                            <w:r>
                              <w:rPr>
                                <w:rFonts w:ascii="宋体" w:hAnsi="宋体" w:eastAsia="宋体" w:cs="宋体"/>
                                <w:color w:val="030303"/>
                                <w:position w:val="1"/>
                                <w:sz w:val="10"/>
                                <w:szCs w:val="10"/>
                              </w:rPr>
                              <w:t>0</w:t>
                            </w:r>
                          </w:p>
                        </w:txbxContent>
                      </wps:txbx>
                      <wps:bodyPr lIns="0" tIns="0" rIns="0" bIns="0" upright="1"/>
                    </wps:wsp>
                  </a:graphicData>
                </a:graphic>
              </wp:anchor>
            </w:drawing>
          </mc:Choice>
          <mc:Fallback>
            <w:pict>
              <v:shape id="_x0000_s1026" o:spid="_x0000_s1026" o:spt="202" type="#_x0000_t202" style="position:absolute;left:0pt;margin-left:413.95pt;margin-top:116.15pt;height:8.9pt;width:4.45pt;z-index:251699200;mso-width-relative:page;mso-height-relative:page;" filled="f" stroked="f" coordsize="21600,21600" o:gfxdata="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wJNoKtkAAAALAQAADwAAAAAAAAABACAAAAAiAAAAZHJzL2Rvd25yZXYueG1sUEsB&#10;AhQAFAAAAAgAh07iQFqDXwO7AQAAcgMAAA4AAAAAAAAAAQAgAAAAKAEAAGRycy9lMm9Eb2MueG1s&#10;UEsFBgAAAAAGAAYAWQEAAFUFAAAAAA==&#10;">
                <v:fill on="f" focussize="0,0"/>
                <v:stroke on="f"/>
                <v:imagedata o:title=""/>
                <o:lock v:ext="edit" aspectratio="f"/>
                <v:textbox inset="0mm,0mm,0mm,0mm">
                  <w:txbxContent>
                    <w:p w14:paraId="594AB6C0">
                      <w:pPr>
                        <w:spacing w:before="20" w:line="137" w:lineRule="exact"/>
                        <w:ind w:left="20"/>
                        <w:rPr>
                          <w:rFonts w:ascii="宋体" w:hAnsi="宋体" w:eastAsia="宋体" w:cs="宋体"/>
                          <w:sz w:val="10"/>
                          <w:szCs w:val="10"/>
                        </w:rPr>
                      </w:pPr>
                      <w:r>
                        <w:rPr>
                          <w:rFonts w:ascii="宋体" w:hAnsi="宋体" w:eastAsia="宋体" w:cs="宋体"/>
                          <w:color w:val="030303"/>
                          <w:position w:val="1"/>
                          <w:sz w:val="10"/>
                          <w:szCs w:val="10"/>
                        </w:rPr>
                        <w:t>0</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1811655</wp:posOffset>
                </wp:positionH>
                <wp:positionV relativeFrom="paragraph">
                  <wp:posOffset>1507490</wp:posOffset>
                </wp:positionV>
                <wp:extent cx="57785" cy="6858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57785" cy="68580"/>
                        </a:xfrm>
                        <a:prstGeom prst="rect">
                          <a:avLst/>
                        </a:prstGeom>
                        <a:noFill/>
                        <a:ln>
                          <a:noFill/>
                        </a:ln>
                      </wps:spPr>
                      <wps:txbx>
                        <w:txbxContent>
                          <w:p w14:paraId="40CA3108">
                            <w:pPr>
                              <w:spacing w:before="20" w:line="67" w:lineRule="exact"/>
                              <w:ind w:left="20"/>
                              <w:rPr>
                                <w:rFonts w:ascii="宋体" w:hAnsi="宋体" w:eastAsia="宋体" w:cs="宋体"/>
                                <w:sz w:val="10"/>
                                <w:szCs w:val="10"/>
                              </w:rPr>
                            </w:pPr>
                            <w:r>
                              <w:rPr>
                                <w:rFonts w:ascii="宋体" w:hAnsi="宋体" w:eastAsia="宋体" w:cs="宋体"/>
                                <w:color w:val="030303"/>
                                <w:position w:val="-2"/>
                                <w:sz w:val="10"/>
                                <w:szCs w:val="10"/>
                              </w:rPr>
                              <w:t>-</w:t>
                            </w:r>
                          </w:p>
                        </w:txbxContent>
                      </wps:txbx>
                      <wps:bodyPr lIns="0" tIns="0" rIns="0" bIns="0" upright="1"/>
                    </wps:wsp>
                  </a:graphicData>
                </a:graphic>
              </wp:anchor>
            </w:drawing>
          </mc:Choice>
          <mc:Fallback>
            <w:pict>
              <v:shape id="_x0000_s1026" o:spid="_x0000_s1026" o:spt="202" type="#_x0000_t202" style="position:absolute;left:0pt;margin-left:142.65pt;margin-top:118.7pt;height:5.4pt;width:4.55pt;z-index:251702272;mso-width-relative:page;mso-height-relative:page;" filled="f" stroked="f" coordsize="21600,21600" o:gfxdata="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Eq1ccLaAAAACwEAAA8AAAAAAAAAAQAgAAAAIgAAAGRycy9kb3ducmV2LnhtbFBL&#10;AQIUABQAAAAIAIdO4kAijqGwuwEAAHEDAAAOAAAAAAAAAAEAIAAAACkBAABkcnMvZTJvRG9jLnht&#10;bFBLBQYAAAAABgAGAFkBAABWBQAAAAA=&#10;">
                <v:fill on="f" focussize="0,0"/>
                <v:stroke on="f"/>
                <v:imagedata o:title=""/>
                <o:lock v:ext="edit" aspectratio="f"/>
                <v:textbox inset="0mm,0mm,0mm,0mm">
                  <w:txbxContent>
                    <w:p w14:paraId="40CA3108">
                      <w:pPr>
                        <w:spacing w:before="20" w:line="67" w:lineRule="exact"/>
                        <w:ind w:left="20"/>
                        <w:rPr>
                          <w:rFonts w:ascii="宋体" w:hAnsi="宋体" w:eastAsia="宋体" w:cs="宋体"/>
                          <w:sz w:val="10"/>
                          <w:szCs w:val="10"/>
                        </w:rPr>
                      </w:pPr>
                      <w:r>
                        <w:rPr>
                          <w:rFonts w:ascii="宋体" w:hAnsi="宋体" w:eastAsia="宋体" w:cs="宋体"/>
                          <w:color w:val="030303"/>
                          <w:position w:val="-2"/>
                          <w:sz w:val="10"/>
                          <w:szCs w:val="10"/>
                        </w:rPr>
                        <w:t>-</w:t>
                      </w:r>
                    </w:p>
                  </w:txbxContent>
                </v:textbox>
              </v:shape>
            </w:pict>
          </mc:Fallback>
        </mc:AlternateContent>
      </w:r>
      <w:r>
        <mc:AlternateContent>
          <mc:Choice Requires="wps">
            <w:drawing>
              <wp:anchor distT="0" distB="0" distL="114300" distR="114300" simplePos="0" relativeHeight="251709440" behindDoc="0" locked="0" layoutInCell="1" allowOverlap="1">
                <wp:simplePos x="0" y="0"/>
                <wp:positionH relativeFrom="column">
                  <wp:posOffset>2832100</wp:posOffset>
                </wp:positionH>
                <wp:positionV relativeFrom="paragraph">
                  <wp:posOffset>1800225</wp:posOffset>
                </wp:positionV>
                <wp:extent cx="57785" cy="6858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57785" cy="68580"/>
                        </a:xfrm>
                        <a:prstGeom prst="rect">
                          <a:avLst/>
                        </a:prstGeom>
                        <a:noFill/>
                        <a:ln>
                          <a:noFill/>
                        </a:ln>
                      </wps:spPr>
                      <wps:txbx>
                        <w:txbxContent>
                          <w:p w14:paraId="76E4961C">
                            <w:pPr>
                              <w:spacing w:before="20" w:line="67" w:lineRule="exact"/>
                              <w:ind w:left="20"/>
                              <w:rPr>
                                <w:rFonts w:ascii="宋体" w:hAnsi="宋体" w:eastAsia="宋体" w:cs="宋体"/>
                                <w:sz w:val="10"/>
                                <w:szCs w:val="10"/>
                              </w:rPr>
                            </w:pPr>
                            <w:r>
                              <w:rPr>
                                <w:rFonts w:ascii="宋体" w:hAnsi="宋体" w:eastAsia="宋体" w:cs="宋体"/>
                                <w:color w:val="030303"/>
                                <w:position w:val="-2"/>
                                <w:sz w:val="10"/>
                                <w:szCs w:val="10"/>
                              </w:rPr>
                              <w:t>-</w:t>
                            </w:r>
                          </w:p>
                        </w:txbxContent>
                      </wps:txbx>
                      <wps:bodyPr lIns="0" tIns="0" rIns="0" bIns="0" upright="1"/>
                    </wps:wsp>
                  </a:graphicData>
                </a:graphic>
              </wp:anchor>
            </w:drawing>
          </mc:Choice>
          <mc:Fallback>
            <w:pict>
              <v:shape id="_x0000_s1026" o:spid="_x0000_s1026" o:spt="202" type="#_x0000_t202" style="position:absolute;left:0pt;margin-left:223pt;margin-top:141.75pt;height:5.4pt;width:4.55pt;z-index:251709440;mso-width-relative:page;mso-height-relative:page;" filled="f" stroked="f" coordsize="21600,21600" o:gfxdata="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CebbprbAAAACwEAAA8AAAAAAAAAAQAgAAAAIgAAAGRycy9kb3ducmV2LnhtbFBL&#10;AQIUABQAAAAIAIdO4kCAdeLCugEAAHEDAAAOAAAAAAAAAAEAIAAAACoBAABkcnMvZTJvRG9jLnht&#10;bFBLBQYAAAAABgAGAFkBAABWBQAAAAA=&#10;">
                <v:fill on="f" focussize="0,0"/>
                <v:stroke on="f"/>
                <v:imagedata o:title=""/>
                <o:lock v:ext="edit" aspectratio="f"/>
                <v:textbox inset="0mm,0mm,0mm,0mm">
                  <w:txbxContent>
                    <w:p w14:paraId="76E4961C">
                      <w:pPr>
                        <w:spacing w:before="20" w:line="67" w:lineRule="exact"/>
                        <w:ind w:left="20"/>
                        <w:rPr>
                          <w:rFonts w:ascii="宋体" w:hAnsi="宋体" w:eastAsia="宋体" w:cs="宋体"/>
                          <w:sz w:val="10"/>
                          <w:szCs w:val="10"/>
                        </w:rPr>
                      </w:pPr>
                      <w:r>
                        <w:rPr>
                          <w:rFonts w:ascii="宋体" w:hAnsi="宋体" w:eastAsia="宋体" w:cs="宋体"/>
                          <w:color w:val="030303"/>
                          <w:position w:val="-2"/>
                          <w:sz w:val="10"/>
                          <w:szCs w:val="10"/>
                        </w:rPr>
                        <w:t>-</w:t>
                      </w:r>
                    </w:p>
                  </w:txbxContent>
                </v:textbox>
              </v:shape>
            </w:pict>
          </mc:Fallback>
        </mc:AlternateContent>
      </w:r>
      <w:r>
        <w:rPr>
          <w:rFonts w:ascii="方正书宋简体" w:hAnsi="方正书宋简体" w:eastAsia="方正书宋简体" w:cs="方正书宋简体"/>
          <w:color w:val="231F20"/>
          <w:spacing w:val="1"/>
          <w:sz w:val="21"/>
          <w:szCs w:val="21"/>
        </w:rPr>
        <w:t xml:space="preserve">图 </w:t>
      </w:r>
      <w:r>
        <w:rPr>
          <w:color w:val="231F20"/>
          <w:spacing w:val="1"/>
          <w:sz w:val="21"/>
          <w:szCs w:val="21"/>
        </w:rPr>
        <w:t xml:space="preserve">2 </w:t>
      </w:r>
      <w:r>
        <w:rPr>
          <w:rFonts w:ascii="方正书宋简体" w:hAnsi="方正书宋简体" w:eastAsia="方正书宋简体" w:cs="方正书宋简体"/>
          <w:color w:val="231F20"/>
          <w:spacing w:val="1"/>
          <w:sz w:val="21"/>
          <w:szCs w:val="21"/>
        </w:rPr>
        <w:t>给出了</w:t>
      </w:r>
      <w:r>
        <w:rPr>
          <w:rFonts w:ascii="方正书宋简体" w:hAnsi="方正书宋简体" w:eastAsia="方正书宋简体" w:cs="方正书宋简体"/>
          <w:color w:val="231F20"/>
          <w:spacing w:val="45"/>
          <w:sz w:val="21"/>
          <w:szCs w:val="21"/>
        </w:rPr>
        <w:t xml:space="preserve"> </w:t>
      </w:r>
      <w:r>
        <w:rPr>
          <w:color w:val="231F20"/>
          <w:spacing w:val="1"/>
          <w:sz w:val="21"/>
          <w:szCs w:val="21"/>
        </w:rPr>
        <w:t xml:space="preserve">1995 </w:t>
      </w:r>
      <w:r>
        <w:rPr>
          <w:rFonts w:ascii="方正书宋简体" w:hAnsi="方正书宋简体" w:eastAsia="方正书宋简体" w:cs="方正书宋简体"/>
          <w:color w:val="231F20"/>
          <w:spacing w:val="1"/>
          <w:sz w:val="21"/>
          <w:szCs w:val="21"/>
        </w:rPr>
        <w:t>年（</w:t>
      </w:r>
      <w:r>
        <w:rPr>
          <w:rFonts w:ascii="方正书宋简体" w:hAnsi="方正书宋简体" w:eastAsia="方正书宋简体" w:cs="方正书宋简体"/>
          <w:color w:val="231F20"/>
          <w:spacing w:val="-28"/>
          <w:sz w:val="21"/>
          <w:szCs w:val="21"/>
        </w:rPr>
        <w:t xml:space="preserve"> </w:t>
      </w:r>
      <w:r>
        <w:rPr>
          <w:color w:val="231F20"/>
          <w:spacing w:val="1"/>
          <w:sz w:val="21"/>
          <w:szCs w:val="21"/>
        </w:rPr>
        <w:t xml:space="preserve">1994 </w:t>
      </w:r>
      <w:r>
        <w:rPr>
          <w:rFonts w:ascii="方正书宋简体" w:hAnsi="方正书宋简体" w:eastAsia="方正书宋简体" w:cs="方正书宋简体"/>
          <w:color w:val="231F20"/>
          <w:spacing w:val="1"/>
          <w:sz w:val="21"/>
          <w:szCs w:val="21"/>
        </w:rPr>
        <w:t>年中国进行了汇率市场化改革）以来分解值与测算值的散点图，可</w:t>
      </w:r>
      <w:r>
        <w:rPr>
          <w:rFonts w:ascii="方正书宋简体" w:hAnsi="方正书宋简体" w:eastAsia="方正书宋简体" w:cs="方正书宋简体"/>
          <w:color w:val="231F20"/>
          <w:spacing w:val="-3"/>
          <w:sz w:val="21"/>
          <w:szCs w:val="21"/>
        </w:rPr>
        <w:t>见这两者是高度相关的。</w:t>
      </w:r>
    </w:p>
    <w:p w14:paraId="57F85C70">
      <w:pPr>
        <w:pStyle w:val="6"/>
        <w:spacing w:line="269" w:lineRule="auto"/>
        <w:ind w:left="1046" w:right="28" w:firstLine="437"/>
        <w:rPr>
          <w:rFonts w:ascii="方正书宋简体" w:hAnsi="方正书宋简体" w:eastAsia="方正书宋简体" w:cs="方正书宋简体"/>
          <w:color w:val="231F20"/>
          <w:spacing w:val="-3"/>
          <w:sz w:val="21"/>
          <w:szCs w:val="21"/>
        </w:rPr>
      </w:pPr>
    </w:p>
    <w:p w14:paraId="0B7BD53C">
      <w:pPr>
        <w:pStyle w:val="6"/>
        <w:spacing w:line="269" w:lineRule="auto"/>
        <w:ind w:left="1046" w:right="28" w:firstLine="437"/>
        <w:rPr>
          <w:rFonts w:ascii="方正书宋简体" w:hAnsi="方正书宋简体" w:eastAsia="方正书宋简体" w:cs="方正书宋简体"/>
          <w:color w:val="231F20"/>
          <w:spacing w:val="-3"/>
          <w:sz w:val="21"/>
          <w:szCs w:val="21"/>
        </w:rPr>
      </w:pPr>
    </w:p>
    <w:p w14:paraId="5B3A4A11">
      <w:pPr>
        <w:pStyle w:val="6"/>
        <w:spacing w:line="269" w:lineRule="auto"/>
        <w:ind w:left="1046" w:right="28" w:firstLine="437"/>
        <w:rPr>
          <w:rFonts w:ascii="方正书宋简体" w:hAnsi="方正书宋简体" w:eastAsia="方正书宋简体" w:cs="方正书宋简体"/>
          <w:color w:val="231F20"/>
          <w:spacing w:val="-3"/>
          <w:sz w:val="21"/>
          <w:szCs w:val="21"/>
        </w:rPr>
      </w:pPr>
    </w:p>
    <w:p w14:paraId="772C03AF">
      <w:pPr>
        <w:pStyle w:val="6"/>
        <w:spacing w:line="269" w:lineRule="auto"/>
        <w:ind w:left="1046" w:right="28" w:firstLine="437"/>
        <w:rPr>
          <w:rFonts w:ascii="方正书宋简体" w:hAnsi="方正书宋简体" w:eastAsia="方正书宋简体" w:cs="方正书宋简体"/>
          <w:color w:val="231F20"/>
          <w:spacing w:val="-3"/>
          <w:sz w:val="21"/>
          <w:szCs w:val="21"/>
        </w:rPr>
      </w:pPr>
    </w:p>
    <w:p w14:paraId="570F1CB3">
      <w:pPr>
        <w:pStyle w:val="6"/>
        <w:spacing w:line="269" w:lineRule="auto"/>
        <w:ind w:right="28"/>
        <w:rPr>
          <w:rFonts w:ascii="方正书宋简体" w:hAnsi="方正书宋简体" w:eastAsia="方正书宋简体" w:cs="方正书宋简体"/>
          <w:color w:val="231F20"/>
          <w:spacing w:val="-3"/>
          <w:sz w:val="21"/>
          <w:szCs w:val="21"/>
        </w:rPr>
      </w:pPr>
    </w:p>
    <w:p w14:paraId="20C30567">
      <w:pPr>
        <w:spacing w:line="37" w:lineRule="exact"/>
      </w:pPr>
    </w:p>
    <w:tbl>
      <w:tblPr>
        <w:tblStyle w:val="25"/>
        <w:tblW w:w="5347" w:type="dxa"/>
        <w:tblInd w:w="2947" w:type="dxa"/>
        <w:tblBorders>
          <w:top w:val="single" w:color="7D8083" w:sz="2" w:space="0"/>
          <w:left w:val="single" w:color="7D8083" w:sz="2" w:space="0"/>
          <w:bottom w:val="single" w:color="7D8083" w:sz="2" w:space="0"/>
          <w:right w:val="single" w:color="7D8083" w:sz="2" w:space="0"/>
          <w:insideH w:val="single" w:color="7D8083" w:sz="2" w:space="0"/>
          <w:insideV w:val="single" w:color="7D8083" w:sz="2" w:space="0"/>
        </w:tblBorders>
        <w:tblLayout w:type="fixed"/>
        <w:tblCellMar>
          <w:top w:w="0" w:type="dxa"/>
          <w:left w:w="0" w:type="dxa"/>
          <w:bottom w:w="0" w:type="dxa"/>
          <w:right w:w="0" w:type="dxa"/>
        </w:tblCellMar>
      </w:tblPr>
      <w:tblGrid>
        <w:gridCol w:w="892"/>
        <w:gridCol w:w="889"/>
        <w:gridCol w:w="561"/>
        <w:gridCol w:w="379"/>
        <w:gridCol w:w="2171"/>
        <w:gridCol w:w="455"/>
      </w:tblGrid>
      <w:tr w14:paraId="61944DFA">
        <w:trPr>
          <w:trHeight w:val="1501" w:hRule="atLeast"/>
        </w:trPr>
        <w:tc>
          <w:tcPr>
            <w:tcW w:w="892" w:type="dxa"/>
            <w:tcBorders>
              <w:bottom w:val="single" w:color="030303" w:sz="2" w:space="0"/>
              <w:right w:val="nil"/>
            </w:tcBorders>
            <w:vAlign w:val="top"/>
          </w:tcPr>
          <w:p w14:paraId="173C9191">
            <w:pPr>
              <w:autoSpaceDE w:val="0"/>
              <w:autoSpaceDN w:val="0"/>
              <w:rPr>
                <w:rFonts w:ascii="Arial"/>
                <w:sz w:val="21"/>
              </w:rPr>
            </w:pPr>
          </w:p>
        </w:tc>
        <w:tc>
          <w:tcPr>
            <w:tcW w:w="889" w:type="dxa"/>
            <w:tcBorders>
              <w:left w:val="nil"/>
              <w:bottom w:val="single" w:color="030303" w:sz="2" w:space="0"/>
              <w:right w:val="single" w:color="030303" w:sz="2" w:space="0"/>
            </w:tcBorders>
            <w:vAlign w:val="top"/>
          </w:tcPr>
          <w:p w14:paraId="4C06FCE4">
            <w:pPr>
              <w:autoSpaceDE w:val="0"/>
              <w:autoSpaceDN w:val="0"/>
              <w:spacing w:line="132" w:lineRule="exact"/>
              <w:ind w:left="697"/>
              <w:rPr>
                <w:rFonts w:ascii="宋体" w:hAnsi="宋体" w:eastAsia="宋体" w:cs="宋体"/>
                <w:sz w:val="10"/>
                <w:szCs w:val="10"/>
              </w:rPr>
            </w:pPr>
            <w:r>
              <w:rPr>
                <w:rFonts w:ascii="宋体" w:hAnsi="宋体" w:eastAsia="宋体" w:cs="宋体"/>
                <w:color w:val="030303"/>
                <w:sz w:val="10"/>
                <w:szCs w:val="10"/>
              </w:rPr>
              <w:t>35</w:t>
            </w:r>
          </w:p>
          <w:p w14:paraId="67FF3171">
            <w:pPr>
              <w:autoSpaceDE w:val="0"/>
              <w:autoSpaceDN w:val="0"/>
              <w:spacing w:before="71" w:line="138" w:lineRule="exact"/>
              <w:ind w:left="697"/>
              <w:rPr>
                <w:rFonts w:ascii="宋体" w:hAnsi="宋体" w:eastAsia="宋体" w:cs="宋体"/>
                <w:sz w:val="10"/>
                <w:szCs w:val="10"/>
              </w:rPr>
            </w:pPr>
            <w:r>
              <w:rPr>
                <w:rFonts w:ascii="宋体" w:hAnsi="宋体" w:eastAsia="宋体" w:cs="宋体"/>
                <w:color w:val="030303"/>
                <w:position w:val="1"/>
                <w:sz w:val="10"/>
                <w:szCs w:val="10"/>
              </w:rPr>
              <w:t>30</w:t>
            </w:r>
          </w:p>
          <w:p w14:paraId="0AEF193C">
            <w:pPr>
              <w:autoSpaceDE w:val="0"/>
              <w:autoSpaceDN w:val="0"/>
              <w:spacing w:before="71" w:line="138" w:lineRule="exact"/>
              <w:ind w:left="696"/>
              <w:rPr>
                <w:rFonts w:ascii="宋体" w:hAnsi="宋体" w:eastAsia="宋体" w:cs="宋体"/>
                <w:sz w:val="10"/>
                <w:szCs w:val="10"/>
              </w:rPr>
            </w:pPr>
            <w:r>
              <w:rPr>
                <w:rFonts w:ascii="宋体" w:hAnsi="宋体" w:eastAsia="宋体" w:cs="宋体"/>
                <w:color w:val="030303"/>
                <w:spacing w:val="1"/>
                <w:position w:val="1"/>
                <w:sz w:val="10"/>
                <w:szCs w:val="10"/>
              </w:rPr>
              <w:t>25</w:t>
            </w:r>
          </w:p>
          <w:p w14:paraId="1EC67F2C">
            <w:pPr>
              <w:autoSpaceDE w:val="0"/>
              <w:autoSpaceDN w:val="0"/>
              <w:spacing w:before="71" w:line="138" w:lineRule="exact"/>
              <w:ind w:left="696"/>
              <w:rPr>
                <w:rFonts w:ascii="宋体" w:hAnsi="宋体" w:eastAsia="宋体" w:cs="宋体"/>
                <w:sz w:val="10"/>
                <w:szCs w:val="10"/>
              </w:rPr>
            </w:pPr>
            <w:r>
              <w:rPr>
                <w:rFonts w:ascii="宋体" w:hAnsi="宋体" w:eastAsia="宋体" w:cs="宋体"/>
                <w:color w:val="030303"/>
                <w:spacing w:val="1"/>
                <w:position w:val="1"/>
                <w:sz w:val="10"/>
                <w:szCs w:val="10"/>
              </w:rPr>
              <w:t>20</w:t>
            </w:r>
          </w:p>
          <w:p w14:paraId="69200AA7">
            <w:pPr>
              <w:autoSpaceDE w:val="0"/>
              <w:autoSpaceDN w:val="0"/>
              <w:spacing w:before="71" w:line="138" w:lineRule="exact"/>
              <w:ind w:left="703"/>
              <w:rPr>
                <w:rFonts w:ascii="宋体" w:hAnsi="宋体" w:eastAsia="宋体" w:cs="宋体"/>
                <w:sz w:val="10"/>
                <w:szCs w:val="10"/>
              </w:rPr>
            </w:pPr>
            <w:r>
              <w:rPr>
                <w:rFonts w:ascii="宋体" w:hAnsi="宋体" w:eastAsia="宋体" w:cs="宋体"/>
                <w:color w:val="030303"/>
                <w:spacing w:val="-2"/>
                <w:position w:val="1"/>
                <w:sz w:val="10"/>
                <w:szCs w:val="10"/>
              </w:rPr>
              <w:t>15</w:t>
            </w:r>
          </w:p>
          <w:p w14:paraId="31C783D1">
            <w:pPr>
              <w:autoSpaceDE w:val="0"/>
              <w:autoSpaceDN w:val="0"/>
              <w:spacing w:before="71" w:line="138" w:lineRule="exact"/>
              <w:ind w:left="703"/>
              <w:rPr>
                <w:rFonts w:ascii="宋体" w:hAnsi="宋体" w:eastAsia="宋体" w:cs="宋体"/>
                <w:sz w:val="10"/>
                <w:szCs w:val="10"/>
              </w:rPr>
            </w:pPr>
            <w:r>
              <w:rPr>
                <w:rFonts w:ascii="宋体" w:hAnsi="宋体" w:eastAsia="宋体" w:cs="宋体"/>
                <w:color w:val="030303"/>
                <w:spacing w:val="-2"/>
                <w:position w:val="1"/>
                <w:sz w:val="10"/>
                <w:szCs w:val="10"/>
              </w:rPr>
              <w:t>10</w:t>
            </w:r>
          </w:p>
          <w:p w14:paraId="648FD9EC">
            <w:pPr>
              <w:autoSpaceDE w:val="0"/>
              <w:autoSpaceDN w:val="0"/>
              <w:spacing w:before="72" w:line="137" w:lineRule="exact"/>
              <w:ind w:left="751"/>
              <w:rPr>
                <w:rFonts w:ascii="宋体" w:hAnsi="宋体" w:eastAsia="宋体" w:cs="宋体"/>
                <w:sz w:val="10"/>
                <w:szCs w:val="10"/>
              </w:rPr>
            </w:pPr>
            <w:r>
              <w:rPr>
                <w:rFonts w:ascii="宋体" w:hAnsi="宋体" w:eastAsia="宋体" w:cs="宋体"/>
                <w:color w:val="030303"/>
                <w:position w:val="1"/>
                <w:sz w:val="10"/>
                <w:szCs w:val="10"/>
              </w:rPr>
              <w:t>5</w:t>
            </w:r>
          </w:p>
          <w:p w14:paraId="27C6B426">
            <w:pPr>
              <w:autoSpaceDE w:val="0"/>
              <w:autoSpaceDN w:val="0"/>
              <w:spacing w:before="95" w:line="8" w:lineRule="exact"/>
              <w:ind w:left="778"/>
              <w:rPr>
                <w:rFonts w:ascii="微软雅黑" w:hAnsi="微软雅黑" w:eastAsia="微软雅黑" w:cs="微软雅黑"/>
                <w:sz w:val="2"/>
                <w:szCs w:val="2"/>
              </w:rPr>
            </w:pPr>
            <w:r>
              <mc:AlternateContent>
                <mc:Choice Requires="wps">
                  <w:drawing>
                    <wp:anchor distT="0" distB="0" distL="114300" distR="114300" simplePos="0" relativeHeight="251710464" behindDoc="0" locked="0" layoutInCell="1" allowOverlap="1">
                      <wp:simplePos x="0" y="0"/>
                      <wp:positionH relativeFrom="column">
                        <wp:posOffset>427990</wp:posOffset>
                      </wp:positionH>
                      <wp:positionV relativeFrom="paragraph">
                        <wp:posOffset>32385</wp:posOffset>
                      </wp:positionV>
                      <wp:extent cx="92075" cy="245745"/>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92075" cy="245745"/>
                              </a:xfrm>
                              <a:prstGeom prst="rect">
                                <a:avLst/>
                              </a:prstGeom>
                              <a:noFill/>
                              <a:ln>
                                <a:noFill/>
                              </a:ln>
                            </wps:spPr>
                            <wps:txbx>
                              <w:txbxContent>
                                <w:p w14:paraId="4A592F17">
                                  <w:pPr>
                                    <w:spacing w:before="19" w:line="237" w:lineRule="auto"/>
                                    <w:ind w:left="75"/>
                                    <w:rPr>
                                      <w:rFonts w:ascii="宋体" w:hAnsi="宋体" w:eastAsia="宋体" w:cs="宋体"/>
                                      <w:sz w:val="10"/>
                                      <w:szCs w:val="10"/>
                                    </w:rPr>
                                  </w:pPr>
                                  <w:r>
                                    <w:rPr>
                                      <w:rFonts w:ascii="宋体" w:hAnsi="宋体" w:eastAsia="宋体" w:cs="宋体"/>
                                      <w:color w:val="030303"/>
                                      <w:sz w:val="10"/>
                                      <w:szCs w:val="10"/>
                                    </w:rPr>
                                    <w:t>0</w:t>
                                  </w:r>
                                </w:p>
                                <w:p w14:paraId="5DBBCFFE">
                                  <w:pPr>
                                    <w:spacing w:before="81" w:line="137" w:lineRule="exact"/>
                                    <w:ind w:left="20"/>
                                    <w:rPr>
                                      <w:rFonts w:ascii="宋体" w:hAnsi="宋体" w:eastAsia="宋体" w:cs="宋体"/>
                                      <w:sz w:val="10"/>
                                      <w:szCs w:val="10"/>
                                    </w:rPr>
                                  </w:pPr>
                                  <w:r>
                                    <w:rPr>
                                      <w:rFonts w:ascii="宋体" w:hAnsi="宋体" w:eastAsia="宋体" w:cs="宋体"/>
                                      <w:color w:val="030303"/>
                                      <w:spacing w:val="2"/>
                                      <w:position w:val="1"/>
                                      <w:sz w:val="10"/>
                                      <w:szCs w:val="10"/>
                                    </w:rPr>
                                    <w:t>-5</w:t>
                                  </w:r>
                                </w:p>
                              </w:txbxContent>
                            </wps:txbx>
                            <wps:bodyPr lIns="0" tIns="0" rIns="0" bIns="0" upright="1"/>
                          </wps:wsp>
                        </a:graphicData>
                      </a:graphic>
                    </wp:anchor>
                  </w:drawing>
                </mc:Choice>
                <mc:Fallback>
                  <w:pict>
                    <v:shape id="_x0000_s1026" o:spid="_x0000_s1026" o:spt="202" type="#_x0000_t202" style="position:absolute;left:0pt;margin-left:33.7pt;margin-top:2.55pt;height:19.35pt;width:7.25pt;z-index:251710464;mso-width-relative:page;mso-height-relative:page;" filled="f" stroked="f" coordsize="21600,21600" o:gfxdata="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qBmVj9YAAAAGAQAADwAAAAAAAAABACAAAAAiAAAAZHJzL2Rvd25yZXYueG1sUEsBAhQA&#10;FAAAAAgAh07iQGezG5K7AQAAcgMAAA4AAAAAAAAAAQAgAAAAJQEAAGRycy9lMm9Eb2MueG1sUEsF&#10;BgAAAAAGAAYAWQEAAFIFAAAAAA==&#10;">
                      <v:fill on="f" focussize="0,0"/>
                      <v:stroke on="f"/>
                      <v:imagedata o:title=""/>
                      <o:lock v:ext="edit" aspectratio="f"/>
                      <v:textbox inset="0mm,0mm,0mm,0mm">
                        <w:txbxContent>
                          <w:p w14:paraId="4A592F17">
                            <w:pPr>
                              <w:spacing w:before="19" w:line="237" w:lineRule="auto"/>
                              <w:ind w:left="75"/>
                              <w:rPr>
                                <w:rFonts w:ascii="宋体" w:hAnsi="宋体" w:eastAsia="宋体" w:cs="宋体"/>
                                <w:sz w:val="10"/>
                                <w:szCs w:val="10"/>
                              </w:rPr>
                            </w:pPr>
                            <w:r>
                              <w:rPr>
                                <w:rFonts w:ascii="宋体" w:hAnsi="宋体" w:eastAsia="宋体" w:cs="宋体"/>
                                <w:color w:val="030303"/>
                                <w:sz w:val="10"/>
                                <w:szCs w:val="10"/>
                              </w:rPr>
                              <w:t>0</w:t>
                            </w:r>
                          </w:p>
                          <w:p w14:paraId="5DBBCFFE">
                            <w:pPr>
                              <w:spacing w:before="81" w:line="137" w:lineRule="exact"/>
                              <w:ind w:left="20"/>
                              <w:rPr>
                                <w:rFonts w:ascii="宋体" w:hAnsi="宋体" w:eastAsia="宋体" w:cs="宋体"/>
                                <w:sz w:val="10"/>
                                <w:szCs w:val="10"/>
                              </w:rPr>
                            </w:pPr>
                            <w:r>
                              <w:rPr>
                                <w:rFonts w:ascii="宋体" w:hAnsi="宋体" w:eastAsia="宋体" w:cs="宋体"/>
                                <w:color w:val="030303"/>
                                <w:spacing w:val="2"/>
                                <w:position w:val="1"/>
                                <w:sz w:val="10"/>
                                <w:szCs w:val="10"/>
                              </w:rPr>
                              <w:t>-5</w:t>
                            </w:r>
                          </w:p>
                        </w:txbxContent>
                      </v:textbox>
                    </v:shape>
                  </w:pict>
                </mc:Fallback>
              </mc:AlternateContent>
            </w:r>
            <w:r>
              <w:rPr>
                <w:rFonts w:ascii="微软雅黑" w:hAnsi="微软雅黑" w:eastAsia="微软雅黑" w:cs="微软雅黑"/>
                <w:color w:val="1C1C1C"/>
                <w:spacing w:val="12"/>
                <w:w w:val="175"/>
                <w:sz w:val="2"/>
                <w:szCs w:val="2"/>
              </w:rPr>
              <w:t>口</w:t>
            </w:r>
          </w:p>
        </w:tc>
        <w:tc>
          <w:tcPr>
            <w:tcW w:w="561" w:type="dxa"/>
            <w:tcBorders>
              <w:left w:val="single" w:color="030303" w:sz="2" w:space="0"/>
              <w:bottom w:val="single" w:color="030303" w:sz="2" w:space="0"/>
              <w:right w:val="nil"/>
            </w:tcBorders>
            <w:vAlign w:val="top"/>
          </w:tcPr>
          <w:p w14:paraId="27D32A1B">
            <w:pPr>
              <w:autoSpaceDE w:val="0"/>
              <w:autoSpaceDN w:val="0"/>
              <w:spacing w:line="252" w:lineRule="auto"/>
              <w:rPr>
                <w:rFonts w:ascii="Arial"/>
                <w:sz w:val="21"/>
              </w:rPr>
            </w:pPr>
            <w:r>
              <mc:AlternateContent>
                <mc:Choice Requires="wps">
                  <w:drawing>
                    <wp:anchor distT="0" distB="0" distL="0" distR="0" simplePos="0" relativeHeight="251698176" behindDoc="0" locked="0" layoutInCell="1" allowOverlap="1">
                      <wp:simplePos x="0" y="0"/>
                      <wp:positionH relativeFrom="rightMargin">
                        <wp:posOffset>-377190</wp:posOffset>
                      </wp:positionH>
                      <wp:positionV relativeFrom="topMargin">
                        <wp:posOffset>116205</wp:posOffset>
                      </wp:positionV>
                      <wp:extent cx="227965" cy="118110"/>
                      <wp:effectExtent l="55245" t="0" r="0" b="0"/>
                      <wp:wrapNone/>
                      <wp:docPr id="312" name="TextBox 14"/>
                      <wp:cNvGraphicFramePr/>
                      <a:graphic xmlns:a="http://schemas.openxmlformats.org/drawingml/2006/main">
                        <a:graphicData uri="http://schemas.microsoft.com/office/word/2010/wordprocessingShape">
                          <wps:wsp>
                            <wps:cNvSpPr txBox="1"/>
                            <wps:spPr>
                              <a:xfrm rot="16200000">
                                <a:off x="-377220" y="116538"/>
                                <a:ext cx="227965" cy="11811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30930E64">
                                  <w:pPr>
                                    <w:spacing w:before="39" w:line="233" w:lineRule="auto"/>
                                    <w:ind w:left="20"/>
                                    <w:rPr>
                                      <w:rFonts w:ascii="宋体" w:hAnsi="宋体" w:eastAsia="宋体" w:cs="宋体"/>
                                      <w:sz w:val="10"/>
                                      <w:szCs w:val="10"/>
                                    </w:rPr>
                                  </w:pPr>
                                  <w:r>
                                    <w:rPr>
                                      <w:rFonts w:ascii="宋体" w:hAnsi="宋体" w:eastAsia="宋体" w:cs="宋体"/>
                                      <w:color w:val="030303"/>
                                      <w:spacing w:val="6"/>
                                      <w:sz w:val="10"/>
                                      <w:szCs w:val="10"/>
                                    </w:rPr>
                                    <w:t>测算值</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14" o:spid="_x0000_s1026" o:spt="202" type="#_x0000_t202" style="position:absolute;left:0pt;margin-left:-1.65pt;margin-top:9.4pt;height:9.3pt;width:17.95pt;mso-position-horizontal-relative:page;mso-position-vertical-relative:page;rotation:-5898240f;z-index:251698176;mso-width-relative:page;mso-height-relative:page;" filled="f" stroked="f" coordsize="21600,21600" o:gfxdata="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GpWNwDYAAAACQEAAA8A&#10;AAAAAAAAAQAgAAAAIgAAAGRycy9kb3ducmV2LnhtbFBLAQIUABQAAAAIAIdO4kCltHdQUAIAAKME&#10;AAAOAAAAAAAAAAEAIAAAACcBAABkcnMvZTJvRG9jLnhtbFBLBQYAAAAABgAGAFkBAADpBQAAAAA=&#10;">
                      <v:fill on="f" focussize="0,0"/>
                      <v:stroke on="f" weight="0pt" miterlimit="0" joinstyle="miter"/>
                      <v:imagedata o:title=""/>
                      <o:lock v:ext="edit" aspectratio="f"/>
                      <v:textbox inset="0mm,0mm,0mm,0mm">
                        <w:txbxContent>
                          <w:p w14:paraId="30930E64">
                            <w:pPr>
                              <w:spacing w:before="39" w:line="233" w:lineRule="auto"/>
                              <w:ind w:left="20"/>
                              <w:rPr>
                                <w:rFonts w:ascii="宋体" w:hAnsi="宋体" w:eastAsia="宋体" w:cs="宋体"/>
                                <w:sz w:val="10"/>
                                <w:szCs w:val="10"/>
                              </w:rPr>
                            </w:pPr>
                            <w:r>
                              <w:rPr>
                                <w:rFonts w:ascii="宋体" w:hAnsi="宋体" w:eastAsia="宋体" w:cs="宋体"/>
                                <w:color w:val="030303"/>
                                <w:spacing w:val="6"/>
                                <w:sz w:val="10"/>
                                <w:szCs w:val="10"/>
                              </w:rPr>
                              <w:t>测算值</w:t>
                            </w:r>
                          </w:p>
                        </w:txbxContent>
                      </v:textbox>
                    </v:shape>
                  </w:pict>
                </mc:Fallback>
              </mc:AlternateContent>
            </w:r>
          </w:p>
          <w:p w14:paraId="46FBE9B3">
            <w:pPr>
              <w:autoSpaceDE w:val="0"/>
              <w:autoSpaceDN w:val="0"/>
              <w:spacing w:line="252" w:lineRule="auto"/>
              <w:rPr>
                <w:rFonts w:ascii="Arial"/>
                <w:sz w:val="21"/>
              </w:rPr>
            </w:pPr>
          </w:p>
          <w:p w14:paraId="36880F68">
            <w:pPr>
              <w:autoSpaceDE w:val="0"/>
              <w:autoSpaceDN w:val="0"/>
              <w:spacing w:line="252" w:lineRule="auto"/>
              <w:rPr>
                <w:rFonts w:ascii="Arial"/>
                <w:sz w:val="21"/>
              </w:rPr>
            </w:pPr>
          </w:p>
          <w:p w14:paraId="586797DD">
            <w:pPr>
              <w:autoSpaceDE w:val="0"/>
              <w:autoSpaceDN w:val="0"/>
              <w:spacing w:line="252" w:lineRule="auto"/>
              <w:rPr>
                <w:rFonts w:ascii="Arial"/>
                <w:sz w:val="21"/>
              </w:rPr>
            </w:pPr>
          </w:p>
          <w:p w14:paraId="74C640A1">
            <w:pPr>
              <w:autoSpaceDE w:val="0"/>
              <w:autoSpaceDN w:val="0"/>
              <w:spacing w:line="252" w:lineRule="auto"/>
              <w:rPr>
                <w:rFonts w:ascii="Arial"/>
                <w:sz w:val="21"/>
              </w:rPr>
            </w:pPr>
          </w:p>
          <w:p w14:paraId="3C7DF8BB">
            <w:pPr>
              <w:autoSpaceDE w:val="0"/>
              <w:autoSpaceDN w:val="0"/>
              <w:spacing w:line="210" w:lineRule="exact"/>
              <w:ind w:firstLine="113"/>
            </w:pPr>
            <w:r>
              <w:rPr>
                <w:position w:val="-4"/>
              </w:rPr>
              <w:drawing>
                <wp:inline distT="0" distB="0" distL="0" distR="0">
                  <wp:extent cx="271145" cy="132715"/>
                  <wp:effectExtent l="0" t="0" r="8255" b="19685"/>
                  <wp:docPr id="313" name="IM 16"/>
                  <wp:cNvGraphicFramePr/>
                  <a:graphic xmlns:a="http://schemas.openxmlformats.org/drawingml/2006/main">
                    <a:graphicData uri="http://schemas.openxmlformats.org/drawingml/2006/picture">
                      <pic:pic xmlns:pic="http://schemas.openxmlformats.org/drawingml/2006/picture">
                        <pic:nvPicPr>
                          <pic:cNvPr id="313" name="IM 16"/>
                          <pic:cNvPicPr/>
                        </pic:nvPicPr>
                        <pic:blipFill>
                          <a:blip r:embed="rId82"/>
                          <a:stretch>
                            <a:fillRect/>
                          </a:stretch>
                        </pic:blipFill>
                        <pic:spPr>
                          <a:xfrm>
                            <a:off x="0" y="0"/>
                            <a:ext cx="271211" cy="132962"/>
                          </a:xfrm>
                          <a:prstGeom prst="rect">
                            <a:avLst/>
                          </a:prstGeom>
                        </pic:spPr>
                      </pic:pic>
                    </a:graphicData>
                  </a:graphic>
                </wp:inline>
              </w:drawing>
            </w:r>
          </w:p>
        </w:tc>
        <w:tc>
          <w:tcPr>
            <w:tcW w:w="379" w:type="dxa"/>
            <w:tcBorders>
              <w:left w:val="nil"/>
              <w:bottom w:val="single" w:color="030303" w:sz="2" w:space="0"/>
              <w:right w:val="nil"/>
            </w:tcBorders>
            <w:vAlign w:val="top"/>
          </w:tcPr>
          <w:p w14:paraId="127B1322">
            <w:pPr>
              <w:autoSpaceDE w:val="0"/>
              <w:autoSpaceDN w:val="0"/>
              <w:spacing w:line="260" w:lineRule="auto"/>
              <w:rPr>
                <w:rFonts w:ascii="Arial"/>
                <w:sz w:val="21"/>
              </w:rPr>
            </w:pPr>
          </w:p>
          <w:p w14:paraId="25B36B86">
            <w:pPr>
              <w:autoSpaceDE w:val="0"/>
              <w:autoSpaceDN w:val="0"/>
              <w:spacing w:line="260" w:lineRule="auto"/>
              <w:rPr>
                <w:rFonts w:ascii="Arial"/>
                <w:sz w:val="21"/>
              </w:rPr>
            </w:pPr>
          </w:p>
          <w:p w14:paraId="6783CACF">
            <w:pPr>
              <w:autoSpaceDE w:val="0"/>
              <w:autoSpaceDN w:val="0"/>
              <w:spacing w:line="260" w:lineRule="auto"/>
              <w:rPr>
                <w:rFonts w:ascii="Arial"/>
                <w:sz w:val="21"/>
              </w:rPr>
            </w:pPr>
          </w:p>
          <w:p w14:paraId="2325ABF9">
            <w:pPr>
              <w:autoSpaceDE w:val="0"/>
              <w:autoSpaceDN w:val="0"/>
              <w:spacing w:line="260" w:lineRule="auto"/>
              <w:rPr>
                <w:rFonts w:ascii="Arial"/>
                <w:sz w:val="21"/>
              </w:rPr>
            </w:pPr>
          </w:p>
          <w:p w14:paraId="0F3F31C7">
            <w:pPr>
              <w:autoSpaceDE w:val="0"/>
              <w:autoSpaceDN w:val="0"/>
              <w:spacing w:line="444" w:lineRule="exact"/>
              <w:ind w:firstLine="21"/>
            </w:pPr>
            <w:r>
              <w:rPr>
                <w:position w:val="-8"/>
              </w:rPr>
              <w:drawing>
                <wp:inline distT="0" distB="0" distL="0" distR="0">
                  <wp:extent cx="213995" cy="281305"/>
                  <wp:effectExtent l="0" t="0" r="14605" b="0"/>
                  <wp:docPr id="314" name="IM 18"/>
                  <wp:cNvGraphicFramePr/>
                  <a:graphic xmlns:a="http://schemas.openxmlformats.org/drawingml/2006/main">
                    <a:graphicData uri="http://schemas.openxmlformats.org/drawingml/2006/picture">
                      <pic:pic xmlns:pic="http://schemas.openxmlformats.org/drawingml/2006/picture">
                        <pic:nvPicPr>
                          <pic:cNvPr id="314" name="IM 18"/>
                          <pic:cNvPicPr/>
                        </pic:nvPicPr>
                        <pic:blipFill>
                          <a:blip r:embed="rId83"/>
                          <a:stretch>
                            <a:fillRect/>
                          </a:stretch>
                        </pic:blipFill>
                        <pic:spPr>
                          <a:xfrm>
                            <a:off x="0" y="0"/>
                            <a:ext cx="214313" cy="281770"/>
                          </a:xfrm>
                          <a:prstGeom prst="rect">
                            <a:avLst/>
                          </a:prstGeom>
                        </pic:spPr>
                      </pic:pic>
                    </a:graphicData>
                  </a:graphic>
                </wp:inline>
              </w:drawing>
            </w:r>
          </w:p>
        </w:tc>
        <w:tc>
          <w:tcPr>
            <w:tcW w:w="2171" w:type="dxa"/>
            <w:tcBorders>
              <w:left w:val="nil"/>
              <w:bottom w:val="single" w:color="030303" w:sz="2" w:space="0"/>
              <w:right w:val="nil"/>
            </w:tcBorders>
            <w:vAlign w:val="top"/>
          </w:tcPr>
          <w:p w14:paraId="49FEA8A5">
            <w:pPr>
              <w:autoSpaceDE w:val="0"/>
              <w:autoSpaceDN w:val="0"/>
              <w:spacing w:line="318" w:lineRule="auto"/>
              <w:rPr>
                <w:rFonts w:ascii="Arial"/>
                <w:sz w:val="21"/>
              </w:rPr>
            </w:pPr>
            <w:r>
              <mc:AlternateContent>
                <mc:Choice Requires="wps">
                  <w:drawing>
                    <wp:anchor distT="0" distB="0" distL="114300" distR="114300" simplePos="0" relativeHeight="251705344" behindDoc="0" locked="0" layoutInCell="1" allowOverlap="1">
                      <wp:simplePos x="0" y="0"/>
                      <wp:positionH relativeFrom="rightMargin">
                        <wp:posOffset>-1220470</wp:posOffset>
                      </wp:positionH>
                      <wp:positionV relativeFrom="topMargin">
                        <wp:posOffset>936625</wp:posOffset>
                      </wp:positionV>
                      <wp:extent cx="0" cy="22860"/>
                      <wp:effectExtent l="6350" t="6350" r="19050" b="8890"/>
                      <wp:wrapNone/>
                      <wp:docPr id="315" name="任意多边形 315"/>
                      <wp:cNvGraphicFramePr/>
                      <a:graphic xmlns:a="http://schemas.openxmlformats.org/drawingml/2006/main">
                        <a:graphicData uri="http://schemas.microsoft.com/office/word/2010/wordprocessingShape">
                          <wps:wsp>
                            <wps:cNvSpPr/>
                            <wps:spPr>
                              <a:xfrm>
                                <a:off x="0" y="0"/>
                                <a:ext cx="0" cy="22860"/>
                              </a:xfrm>
                              <a:custGeom>
                                <a:avLst/>
                                <a:gdLst/>
                                <a:ahLst/>
                                <a:cxnLst/>
                                <a:pathLst>
                                  <a:path h="35">
                                    <a:moveTo>
                                      <a:pt x="0" y="35"/>
                                    </a:moveTo>
                                    <a:lnTo>
                                      <a:pt x="0" y="0"/>
                                    </a:lnTo>
                                  </a:path>
                                </a:pathLst>
                              </a:custGeom>
                              <a:noFill/>
                              <a:ln w="0" cap="sq" cmpd="sng">
                                <a:solidFill>
                                  <a:srgbClr val="030303"/>
                                </a:solidFill>
                                <a:prstDash val="solid"/>
                                <a:miter lim="0"/>
                                <a:headEnd type="none" w="med" len="med"/>
                                <a:tailEnd type="none" w="med" len="med"/>
                              </a:ln>
                            </wps:spPr>
                            <wps:bodyPr upright="1"/>
                          </wps:wsp>
                        </a:graphicData>
                      </a:graphic>
                    </wp:anchor>
                  </w:drawing>
                </mc:Choice>
                <mc:Fallback>
                  <w:pict>
                    <v:shape id="_x0000_s1026" o:spid="_x0000_s1026" o:spt="100" style="position:absolute;left:0pt;margin-left:12.45pt;margin-top:74pt;height:1.8pt;width:0pt;mso-position-horizontal-relative:page;mso-position-vertical-relative:page;z-index:251705344;mso-width-relative:page;mso-height-relative:page;" filled="f" stroked="t" coordsize="1,35" o:gfxdata="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twE1F2QAAAA0BAAAPAAAAAAAAAAEAIAAAACIAAABkcnMvZG93bnJldi54bWxQSwEC&#10;FAAUAAAACACHTuJAD6e7ISwCAACNBAAADgAAAAAAAAABACAAAAAoAQAAZHJzL2Uyb0RvYy54bWxQ&#10;SwUGAAAAAAYABgBZAQAAxgUAAAAA&#10;" path="m0,35l0,0e">
                      <v:fill on="f" focussize="0,0"/>
                      <v:stroke weight="0pt" color="#030303" miterlimit="0" joinstyle="miter" endcap="square"/>
                      <v:imagedata o:title=""/>
                      <o:lock v:ext="edit" aspectratio="f"/>
                    </v:shape>
                  </w:pict>
                </mc:Fallback>
              </mc:AlternateContent>
            </w:r>
            <w:r>
              <mc:AlternateContent>
                <mc:Choice Requires="wps">
                  <w:drawing>
                    <wp:anchor distT="0" distB="0" distL="114300" distR="114300" simplePos="0" relativeHeight="251704320" behindDoc="0" locked="0" layoutInCell="1" allowOverlap="1">
                      <wp:simplePos x="0" y="0"/>
                      <wp:positionH relativeFrom="rightMargin">
                        <wp:posOffset>-841375</wp:posOffset>
                      </wp:positionH>
                      <wp:positionV relativeFrom="topMargin">
                        <wp:posOffset>936625</wp:posOffset>
                      </wp:positionV>
                      <wp:extent cx="0" cy="22860"/>
                      <wp:effectExtent l="6350" t="6350" r="19050" b="8890"/>
                      <wp:wrapNone/>
                      <wp:docPr id="316" name="任意多边形 316"/>
                      <wp:cNvGraphicFramePr/>
                      <a:graphic xmlns:a="http://schemas.openxmlformats.org/drawingml/2006/main">
                        <a:graphicData uri="http://schemas.microsoft.com/office/word/2010/wordprocessingShape">
                          <wps:wsp>
                            <wps:cNvSpPr/>
                            <wps:spPr>
                              <a:xfrm>
                                <a:off x="0" y="0"/>
                                <a:ext cx="0" cy="22860"/>
                              </a:xfrm>
                              <a:custGeom>
                                <a:avLst/>
                                <a:gdLst/>
                                <a:ahLst/>
                                <a:cxnLst/>
                                <a:pathLst>
                                  <a:path h="35">
                                    <a:moveTo>
                                      <a:pt x="0" y="35"/>
                                    </a:moveTo>
                                    <a:lnTo>
                                      <a:pt x="0" y="0"/>
                                    </a:lnTo>
                                  </a:path>
                                </a:pathLst>
                              </a:custGeom>
                              <a:noFill/>
                              <a:ln w="0" cap="sq" cmpd="sng">
                                <a:solidFill>
                                  <a:srgbClr val="030303"/>
                                </a:solidFill>
                                <a:prstDash val="solid"/>
                                <a:miter lim="0"/>
                                <a:headEnd type="none" w="med" len="med"/>
                                <a:tailEnd type="none" w="med" len="med"/>
                              </a:ln>
                            </wps:spPr>
                            <wps:bodyPr upright="1"/>
                          </wps:wsp>
                        </a:graphicData>
                      </a:graphic>
                    </wp:anchor>
                  </w:drawing>
                </mc:Choice>
                <mc:Fallback>
                  <w:pict>
                    <v:shape id="_x0000_s1026" o:spid="_x0000_s1026" o:spt="100" style="position:absolute;left:0pt;margin-left:42.3pt;margin-top:74pt;height:1.8pt;width:0pt;mso-position-horizontal-relative:page;mso-position-vertical-relative:page;z-index:251704320;mso-width-relative:page;mso-height-relative:page;" filled="f" stroked="t" coordsize="1,35" o:gfxdata="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s6Mug2QAAAA0BAAAPAAAAAAAAAAEAIAAAACIAAABkcnMvZG93bnJldi54bWxQSwEC&#10;FAAUAAAACACHTuJAkpJziCwCAACNBAAADgAAAAAAAAABACAAAAAoAQAAZHJzL2Uyb0RvYy54bWxQ&#10;SwUGAAAAAAYABgBZAQAAxgUAAAAA&#10;" path="m0,35l0,0e">
                      <v:fill on="f" focussize="0,0"/>
                      <v:stroke weight="0pt" color="#030303" miterlimit="0" joinstyle="miter" endcap="square"/>
                      <v:imagedata o:title=""/>
                      <o:lock v:ext="edit" aspectratio="f"/>
                    </v:shape>
                  </w:pict>
                </mc:Fallback>
              </mc:AlternateContent>
            </w:r>
            <w:r>
              <mc:AlternateContent>
                <mc:Choice Requires="wps">
                  <w:drawing>
                    <wp:anchor distT="0" distB="0" distL="114300" distR="114300" simplePos="0" relativeHeight="251706368" behindDoc="0" locked="0" layoutInCell="1" allowOverlap="1">
                      <wp:simplePos x="0" y="0"/>
                      <wp:positionH relativeFrom="rightMargin">
                        <wp:posOffset>-465455</wp:posOffset>
                      </wp:positionH>
                      <wp:positionV relativeFrom="topMargin">
                        <wp:posOffset>936625</wp:posOffset>
                      </wp:positionV>
                      <wp:extent cx="0" cy="22860"/>
                      <wp:effectExtent l="6350" t="6350" r="19050" b="8890"/>
                      <wp:wrapNone/>
                      <wp:docPr id="317" name="任意多边形 317"/>
                      <wp:cNvGraphicFramePr/>
                      <a:graphic xmlns:a="http://schemas.openxmlformats.org/drawingml/2006/main">
                        <a:graphicData uri="http://schemas.microsoft.com/office/word/2010/wordprocessingShape">
                          <wps:wsp>
                            <wps:cNvSpPr/>
                            <wps:spPr>
                              <a:xfrm>
                                <a:off x="0" y="0"/>
                                <a:ext cx="0" cy="22860"/>
                              </a:xfrm>
                              <a:custGeom>
                                <a:avLst/>
                                <a:gdLst/>
                                <a:ahLst/>
                                <a:cxnLst/>
                                <a:pathLst>
                                  <a:path h="35">
                                    <a:moveTo>
                                      <a:pt x="0" y="35"/>
                                    </a:moveTo>
                                    <a:lnTo>
                                      <a:pt x="0" y="0"/>
                                    </a:lnTo>
                                  </a:path>
                                </a:pathLst>
                              </a:custGeom>
                              <a:noFill/>
                              <a:ln w="0" cap="sq" cmpd="sng">
                                <a:solidFill>
                                  <a:srgbClr val="030303"/>
                                </a:solidFill>
                                <a:prstDash val="solid"/>
                                <a:miter lim="0"/>
                                <a:headEnd type="none" w="med" len="med"/>
                                <a:tailEnd type="none" w="med" len="med"/>
                              </a:ln>
                            </wps:spPr>
                            <wps:bodyPr upright="1"/>
                          </wps:wsp>
                        </a:graphicData>
                      </a:graphic>
                    </wp:anchor>
                  </w:drawing>
                </mc:Choice>
                <mc:Fallback>
                  <w:pict>
                    <v:shape id="_x0000_s1026" o:spid="_x0000_s1026" o:spt="100" style="position:absolute;left:0pt;margin-left:71.9pt;margin-top:74pt;height:1.8pt;width:0pt;mso-position-horizontal-relative:page;mso-position-vertical-relative:page;z-index:251706368;mso-width-relative:page;mso-height-relative:page;" filled="f" stroked="t" coordsize="1,35" o:gfxdata="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ptZCw2QAAAAsBAAAPAAAAAAAAAAEAIAAAACIAAABkcnMvZG93bnJldi54bWxQSwEC&#10;FAAUAAAACACHTuJAGX407ywCAACNBAAADgAAAAAAAAABACAAAAAoAQAAZHJzL2Uyb0RvYy54bWxQ&#10;SwUGAAAAAAYABgBZAQAAxgUAAAAA&#10;" path="m0,35l0,0e">
                      <v:fill on="f" focussize="0,0"/>
                      <v:stroke weight="0pt" color="#030303" miterlimit="0" joinstyle="miter" endcap="square"/>
                      <v:imagedata o:title=""/>
                      <o:lock v:ext="edit" aspectratio="f"/>
                    </v:shape>
                  </w:pict>
                </mc:Fallback>
              </mc:AlternateContent>
            </w:r>
            <w:r>
              <mc:AlternateContent>
                <mc:Choice Requires="wps">
                  <w:drawing>
                    <wp:anchor distT="0" distB="0" distL="114300" distR="114300" simplePos="0" relativeHeight="251703296" behindDoc="0" locked="0" layoutInCell="1" allowOverlap="1">
                      <wp:simplePos x="0" y="0"/>
                      <wp:positionH relativeFrom="rightMargin">
                        <wp:posOffset>-86360</wp:posOffset>
                      </wp:positionH>
                      <wp:positionV relativeFrom="topMargin">
                        <wp:posOffset>936625</wp:posOffset>
                      </wp:positionV>
                      <wp:extent cx="0" cy="22860"/>
                      <wp:effectExtent l="6350" t="6350" r="19050" b="8890"/>
                      <wp:wrapNone/>
                      <wp:docPr id="353" name="任意多边形 353"/>
                      <wp:cNvGraphicFramePr/>
                      <a:graphic xmlns:a="http://schemas.openxmlformats.org/drawingml/2006/main">
                        <a:graphicData uri="http://schemas.microsoft.com/office/word/2010/wordprocessingShape">
                          <wps:wsp>
                            <wps:cNvSpPr/>
                            <wps:spPr>
                              <a:xfrm>
                                <a:off x="0" y="0"/>
                                <a:ext cx="0" cy="22860"/>
                              </a:xfrm>
                              <a:custGeom>
                                <a:avLst/>
                                <a:gdLst/>
                                <a:ahLst/>
                                <a:cxnLst/>
                                <a:pathLst>
                                  <a:path h="35">
                                    <a:moveTo>
                                      <a:pt x="0" y="35"/>
                                    </a:moveTo>
                                    <a:lnTo>
                                      <a:pt x="0" y="0"/>
                                    </a:lnTo>
                                  </a:path>
                                </a:pathLst>
                              </a:custGeom>
                              <a:noFill/>
                              <a:ln w="0" cap="sq" cmpd="sng">
                                <a:solidFill>
                                  <a:srgbClr val="030303"/>
                                </a:solidFill>
                                <a:prstDash val="solid"/>
                                <a:miter lim="0"/>
                                <a:headEnd type="none" w="med" len="med"/>
                                <a:tailEnd type="none" w="med" len="med"/>
                              </a:ln>
                            </wps:spPr>
                            <wps:bodyPr upright="1"/>
                          </wps:wsp>
                        </a:graphicData>
                      </a:graphic>
                    </wp:anchor>
                  </w:drawing>
                </mc:Choice>
                <mc:Fallback>
                  <w:pict>
                    <v:shape id="_x0000_s1026" o:spid="_x0000_s1026" o:spt="100" style="position:absolute;left:0pt;margin-left:101.75pt;margin-top:74pt;height:1.8pt;width:0pt;mso-position-horizontal-relative:page;mso-position-vertical-relative:page;z-index:251703296;mso-width-relative:page;mso-height-relative:page;" filled="f" stroked="t" coordsize="1,35" o:gfxdata="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Zm+K6NgAAAALAQAADwAAAAAAAAABACAAAAAiAAAAZHJzL2Rvd25yZXYueG1sUEsBAhQA&#10;FAAAAAgAh07iQCW5H5orAgAAjQQAAA4AAAAAAAAAAQAgAAAAJwEAAGRycy9lMm9Eb2MueG1sUEsF&#10;BgAAAAAGAAYAWQEAAMQFAAAAAA==&#10;" path="m0,35l0,0e">
                      <v:fill on="f" focussize="0,0"/>
                      <v:stroke weight="0pt" color="#030303" miterlimit="0" joinstyle="miter" endcap="square"/>
                      <v:imagedata o:title=""/>
                      <o:lock v:ext="edit" aspectratio="f"/>
                    </v:shape>
                  </w:pict>
                </mc:Fallback>
              </mc:AlternateContent>
            </w:r>
          </w:p>
          <w:p w14:paraId="0C3DE1CB">
            <w:pPr>
              <w:autoSpaceDE w:val="0"/>
              <w:autoSpaceDN w:val="0"/>
              <w:spacing w:line="864" w:lineRule="exact"/>
              <w:ind w:firstLine="21"/>
            </w:pPr>
            <w:r>
              <w:rPr>
                <w:position w:val="-17"/>
              </w:rPr>
              <w:drawing>
                <wp:inline distT="0" distB="0" distL="0" distR="0">
                  <wp:extent cx="1325245" cy="548640"/>
                  <wp:effectExtent l="0" t="0" r="20955" b="10160"/>
                  <wp:docPr id="403" name="IM 20"/>
                  <wp:cNvGraphicFramePr/>
                  <a:graphic xmlns:a="http://schemas.openxmlformats.org/drawingml/2006/main">
                    <a:graphicData uri="http://schemas.openxmlformats.org/drawingml/2006/picture">
                      <pic:pic xmlns:pic="http://schemas.openxmlformats.org/drawingml/2006/picture">
                        <pic:nvPicPr>
                          <pic:cNvPr id="403" name="IM 20"/>
                          <pic:cNvPicPr/>
                        </pic:nvPicPr>
                        <pic:blipFill>
                          <a:blip r:embed="rId84"/>
                          <a:stretch>
                            <a:fillRect/>
                          </a:stretch>
                        </pic:blipFill>
                        <pic:spPr>
                          <a:xfrm>
                            <a:off x="0" y="0"/>
                            <a:ext cx="1325711" cy="548945"/>
                          </a:xfrm>
                          <a:prstGeom prst="rect">
                            <a:avLst/>
                          </a:prstGeom>
                        </pic:spPr>
                      </pic:pic>
                    </a:graphicData>
                  </a:graphic>
                </wp:inline>
              </w:drawing>
            </w:r>
          </w:p>
        </w:tc>
        <w:tc>
          <w:tcPr>
            <w:tcW w:w="455" w:type="dxa"/>
            <w:tcBorders>
              <w:left w:val="nil"/>
              <w:bottom w:val="single" w:color="030303" w:sz="2" w:space="0"/>
            </w:tcBorders>
            <w:vAlign w:val="top"/>
          </w:tcPr>
          <w:p w14:paraId="002C1F46">
            <w:pPr>
              <w:autoSpaceDE w:val="0"/>
              <w:autoSpaceDN w:val="0"/>
              <w:spacing w:line="252" w:lineRule="auto"/>
              <w:rPr>
                <w:rFonts w:ascii="Arial"/>
                <w:sz w:val="21"/>
              </w:rPr>
            </w:pPr>
          </w:p>
          <w:p w14:paraId="060E6B2B">
            <w:pPr>
              <w:autoSpaceDE w:val="0"/>
              <w:autoSpaceDN w:val="0"/>
              <w:spacing w:line="253" w:lineRule="auto"/>
              <w:rPr>
                <w:rFonts w:ascii="Arial"/>
                <w:sz w:val="21"/>
              </w:rPr>
            </w:pPr>
          </w:p>
          <w:p w14:paraId="38943718">
            <w:pPr>
              <w:autoSpaceDE w:val="0"/>
              <w:autoSpaceDN w:val="0"/>
              <w:spacing w:line="253" w:lineRule="auto"/>
              <w:rPr>
                <w:rFonts w:ascii="Arial"/>
                <w:sz w:val="21"/>
              </w:rPr>
            </w:pPr>
          </w:p>
          <w:p w14:paraId="4947A97D">
            <w:pPr>
              <w:autoSpaceDE w:val="0"/>
              <w:autoSpaceDN w:val="0"/>
              <w:spacing w:line="253" w:lineRule="auto"/>
              <w:rPr>
                <w:rFonts w:ascii="Arial"/>
                <w:sz w:val="21"/>
              </w:rPr>
            </w:pPr>
          </w:p>
          <w:p w14:paraId="07010CA0">
            <w:pPr>
              <w:autoSpaceDE w:val="0"/>
              <w:autoSpaceDN w:val="0"/>
              <w:spacing w:line="253" w:lineRule="auto"/>
              <w:rPr>
                <w:rFonts w:ascii="Arial"/>
                <w:sz w:val="21"/>
              </w:rPr>
            </w:pPr>
          </w:p>
          <w:p w14:paraId="2915B841">
            <w:pPr>
              <w:autoSpaceDE w:val="0"/>
              <w:autoSpaceDN w:val="0"/>
              <w:spacing w:before="32" w:line="234" w:lineRule="auto"/>
              <w:ind w:left="65"/>
              <w:rPr>
                <w:rFonts w:ascii="宋体" w:hAnsi="宋体" w:eastAsia="宋体" w:cs="宋体"/>
                <w:sz w:val="10"/>
                <w:szCs w:val="10"/>
              </w:rPr>
            </w:pPr>
            <w:r>
              <w:rPr>
                <w:rFonts w:ascii="宋体" w:hAnsi="宋体" w:eastAsia="宋体" w:cs="宋体"/>
                <w:color w:val="030303"/>
                <w:spacing w:val="5"/>
                <w:sz w:val="10"/>
                <w:szCs w:val="10"/>
              </w:rPr>
              <w:t>分解值</w:t>
            </w:r>
          </w:p>
        </w:tc>
      </w:tr>
      <w:tr w14:paraId="576E507D">
        <w:trPr>
          <w:trHeight w:val="631" w:hRule="atLeast"/>
        </w:trPr>
        <w:tc>
          <w:tcPr>
            <w:tcW w:w="1781" w:type="dxa"/>
            <w:gridSpan w:val="2"/>
            <w:tcBorders>
              <w:top w:val="single" w:color="030303" w:sz="2" w:space="0"/>
              <w:right w:val="single" w:color="030303" w:sz="2" w:space="0"/>
            </w:tcBorders>
            <w:vAlign w:val="top"/>
          </w:tcPr>
          <w:p w14:paraId="0793D678">
            <w:pPr>
              <w:autoSpaceDE w:val="0"/>
              <w:autoSpaceDN w:val="0"/>
              <w:spacing w:before="25" w:line="167" w:lineRule="auto"/>
              <w:ind w:left="1709"/>
              <w:rPr>
                <w:rFonts w:ascii="微软雅黑" w:hAnsi="微软雅黑" w:eastAsia="微软雅黑" w:cs="微软雅黑"/>
                <w:sz w:val="4"/>
                <w:szCs w:val="4"/>
              </w:rPr>
            </w:pPr>
            <w:r>
              <mc:AlternateContent>
                <mc:Choice Requires="wps">
                  <w:drawing>
                    <wp:anchor distT="0" distB="0" distL="114300" distR="114300" simplePos="0" relativeHeight="251707392" behindDoc="0" locked="0" layoutInCell="1" allowOverlap="1">
                      <wp:simplePos x="0" y="0"/>
                      <wp:positionH relativeFrom="rightMargin">
                        <wp:posOffset>-128270</wp:posOffset>
                      </wp:positionH>
                      <wp:positionV relativeFrom="topMargin">
                        <wp:posOffset>356870</wp:posOffset>
                      </wp:positionV>
                      <wp:extent cx="86360" cy="113030"/>
                      <wp:effectExtent l="0" t="0" r="0" b="0"/>
                      <wp:wrapNone/>
                      <wp:docPr id="404" name="文本框 404"/>
                      <wp:cNvGraphicFramePr/>
                      <a:graphic xmlns:a="http://schemas.openxmlformats.org/drawingml/2006/main">
                        <a:graphicData uri="http://schemas.microsoft.com/office/word/2010/wordprocessingShape">
                          <wps:wsp>
                            <wps:cNvSpPr txBox="1"/>
                            <wps:spPr>
                              <a:xfrm>
                                <a:off x="0" y="0"/>
                                <a:ext cx="86360" cy="113030"/>
                              </a:xfrm>
                              <a:prstGeom prst="rect">
                                <a:avLst/>
                              </a:prstGeom>
                              <a:noFill/>
                              <a:ln>
                                <a:noFill/>
                              </a:ln>
                            </wps:spPr>
                            <wps:txbx>
                              <w:txbxContent>
                                <w:p w14:paraId="326333B2">
                                  <w:pPr>
                                    <w:spacing w:before="20" w:line="137" w:lineRule="exact"/>
                                    <w:ind w:left="20"/>
                                    <w:rPr>
                                      <w:rFonts w:ascii="宋体" w:hAnsi="宋体" w:eastAsia="宋体" w:cs="宋体"/>
                                      <w:sz w:val="10"/>
                                      <w:szCs w:val="10"/>
                                    </w:rPr>
                                  </w:pPr>
                                  <w:r>
                                    <w:rPr>
                                      <w:rFonts w:ascii="宋体" w:hAnsi="宋体" w:eastAsia="宋体" w:cs="宋体"/>
                                      <w:color w:val="030303"/>
                                      <w:spacing w:val="-2"/>
                                      <w:position w:val="1"/>
                                      <w:sz w:val="10"/>
                                      <w:szCs w:val="10"/>
                                    </w:rPr>
                                    <w:t>15</w:t>
                                  </w:r>
                                </w:p>
                              </w:txbxContent>
                            </wps:txbx>
                            <wps:bodyPr lIns="0" tIns="0" rIns="0" bIns="0" upright="1"/>
                          </wps:wsp>
                        </a:graphicData>
                      </a:graphic>
                    </wp:anchor>
                  </w:drawing>
                </mc:Choice>
                <mc:Fallback>
                  <w:pict>
                    <v:shape id="_x0000_s1026" o:spid="_x0000_s1026" o:spt="202" type="#_x0000_t202" style="position:absolute;left:0pt;margin-left:78.85pt;margin-top:28.35pt;height:8.9pt;width:6.8pt;mso-position-horizontal-relative:page;mso-position-vertical-relative:page;z-index:251707392;mso-width-relative:page;mso-height-relative:page;" filled="f" stroked="f" coordsize="21600,21600" o:gfxdata="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7U7WT2AAAAAgBAAAPAAAAAAAAAAEAIAAAACIAAABkcnMvZG93bnJldi54bWxQSwEC&#10;FAAUAAAACACHTuJADdNrRLsBAAB0AwAADgAAAAAAAAABACAAAAAnAQAAZHJzL2Uyb0RvYy54bWxQ&#10;SwUGAAAAAAYABgBZAQAAVAUAAAAA&#10;">
                      <v:fill on="f" focussize="0,0"/>
                      <v:stroke on="f"/>
                      <v:imagedata o:title=""/>
                      <o:lock v:ext="edit" aspectratio="f"/>
                      <v:textbox inset="0mm,0mm,0mm,0mm">
                        <w:txbxContent>
                          <w:p w14:paraId="326333B2">
                            <w:pPr>
                              <w:spacing w:before="20" w:line="137" w:lineRule="exact"/>
                              <w:ind w:left="20"/>
                              <w:rPr>
                                <w:rFonts w:ascii="宋体" w:hAnsi="宋体" w:eastAsia="宋体" w:cs="宋体"/>
                                <w:sz w:val="10"/>
                                <w:szCs w:val="10"/>
                              </w:rPr>
                            </w:pPr>
                            <w:r>
                              <w:rPr>
                                <w:rFonts w:ascii="宋体" w:hAnsi="宋体" w:eastAsia="宋体" w:cs="宋体"/>
                                <w:color w:val="030303"/>
                                <w:spacing w:val="-2"/>
                                <w:position w:val="1"/>
                                <w:sz w:val="10"/>
                                <w:szCs w:val="10"/>
                              </w:rPr>
                              <w:t>15</w:t>
                            </w:r>
                          </w:p>
                        </w:txbxContent>
                      </v:textbox>
                    </v:shape>
                  </w:pict>
                </mc:Fallback>
              </mc:AlternateContent>
            </w:r>
            <w:r>
              <w:drawing>
                <wp:anchor distT="0" distB="0" distL="0" distR="0" simplePos="0" relativeHeight="251697152" behindDoc="1" locked="0" layoutInCell="1" allowOverlap="1">
                  <wp:simplePos x="0" y="0"/>
                  <wp:positionH relativeFrom="rightMargin">
                    <wp:posOffset>-586105</wp:posOffset>
                  </wp:positionH>
                  <wp:positionV relativeFrom="topMargin">
                    <wp:posOffset>211455</wp:posOffset>
                  </wp:positionV>
                  <wp:extent cx="53340" cy="26670"/>
                  <wp:effectExtent l="0" t="0" r="22860" b="11430"/>
                  <wp:wrapNone/>
                  <wp:docPr id="405" name="IM 22"/>
                  <wp:cNvGraphicFramePr/>
                  <a:graphic xmlns:a="http://schemas.openxmlformats.org/drawingml/2006/main">
                    <a:graphicData uri="http://schemas.openxmlformats.org/drawingml/2006/picture">
                      <pic:pic xmlns:pic="http://schemas.openxmlformats.org/drawingml/2006/picture">
                        <pic:nvPicPr>
                          <pic:cNvPr id="405" name="IM 22"/>
                          <pic:cNvPicPr/>
                        </pic:nvPicPr>
                        <pic:blipFill>
                          <a:blip r:embed="rId85"/>
                          <a:stretch>
                            <a:fillRect/>
                          </a:stretch>
                        </pic:blipFill>
                        <pic:spPr>
                          <a:xfrm>
                            <a:off x="0" y="0"/>
                            <a:ext cx="53104" cy="26592"/>
                          </a:xfrm>
                          <a:prstGeom prst="rect">
                            <a:avLst/>
                          </a:prstGeom>
                        </pic:spPr>
                      </pic:pic>
                    </a:graphicData>
                  </a:graphic>
                </wp:anchor>
              </w:drawing>
            </w:r>
            <w:r>
              <w:drawing>
                <wp:anchor distT="0" distB="0" distL="0" distR="0" simplePos="0" relativeHeight="251701248" behindDoc="0" locked="0" layoutInCell="1" allowOverlap="1">
                  <wp:simplePos x="0" y="0"/>
                  <wp:positionH relativeFrom="rightMargin">
                    <wp:posOffset>-631825</wp:posOffset>
                  </wp:positionH>
                  <wp:positionV relativeFrom="topMargin">
                    <wp:posOffset>241935</wp:posOffset>
                  </wp:positionV>
                  <wp:extent cx="19050" cy="15240"/>
                  <wp:effectExtent l="0" t="0" r="0" b="0"/>
                  <wp:wrapNone/>
                  <wp:docPr id="406" name="IM 24"/>
                  <wp:cNvGraphicFramePr/>
                  <a:graphic xmlns:a="http://schemas.openxmlformats.org/drawingml/2006/main">
                    <a:graphicData uri="http://schemas.openxmlformats.org/drawingml/2006/picture">
                      <pic:pic xmlns:pic="http://schemas.openxmlformats.org/drawingml/2006/picture">
                        <pic:nvPicPr>
                          <pic:cNvPr id="406" name="IM 24"/>
                          <pic:cNvPicPr/>
                        </pic:nvPicPr>
                        <pic:blipFill>
                          <a:blip r:embed="rId86"/>
                          <a:stretch>
                            <a:fillRect/>
                          </a:stretch>
                        </pic:blipFill>
                        <pic:spPr>
                          <a:xfrm>
                            <a:off x="0" y="0"/>
                            <a:ext cx="18965" cy="15195"/>
                          </a:xfrm>
                          <a:prstGeom prst="rect">
                            <a:avLst/>
                          </a:prstGeom>
                        </pic:spPr>
                      </pic:pic>
                    </a:graphicData>
                  </a:graphic>
                </wp:anchor>
              </w:drawing>
            </w:r>
            <w:r>
              <w:drawing>
                <wp:anchor distT="0" distB="0" distL="0" distR="0" simplePos="0" relativeHeight="251700224" behindDoc="0" locked="0" layoutInCell="1" allowOverlap="1">
                  <wp:simplePos x="0" y="0"/>
                  <wp:positionH relativeFrom="rightMargin">
                    <wp:posOffset>-707390</wp:posOffset>
                  </wp:positionH>
                  <wp:positionV relativeFrom="topMargin">
                    <wp:posOffset>260985</wp:posOffset>
                  </wp:positionV>
                  <wp:extent cx="53340" cy="26670"/>
                  <wp:effectExtent l="0" t="0" r="22860" b="11430"/>
                  <wp:wrapNone/>
                  <wp:docPr id="407" name="IM 26"/>
                  <wp:cNvGraphicFramePr/>
                  <a:graphic xmlns:a="http://schemas.openxmlformats.org/drawingml/2006/main">
                    <a:graphicData uri="http://schemas.openxmlformats.org/drawingml/2006/picture">
                      <pic:pic xmlns:pic="http://schemas.openxmlformats.org/drawingml/2006/picture">
                        <pic:nvPicPr>
                          <pic:cNvPr id="407" name="IM 26"/>
                          <pic:cNvPicPr/>
                        </pic:nvPicPr>
                        <pic:blipFill>
                          <a:blip r:embed="rId87"/>
                          <a:stretch>
                            <a:fillRect/>
                          </a:stretch>
                        </pic:blipFill>
                        <pic:spPr>
                          <a:xfrm>
                            <a:off x="0" y="0"/>
                            <a:ext cx="53104" cy="26592"/>
                          </a:xfrm>
                          <a:prstGeom prst="rect">
                            <a:avLst/>
                          </a:prstGeom>
                        </pic:spPr>
                      </pic:pic>
                    </a:graphicData>
                  </a:graphic>
                </wp:anchor>
              </w:drawing>
            </w:r>
            <w:r>
              <w:rPr>
                <w:rFonts w:ascii="微软雅黑" w:hAnsi="微软雅黑" w:eastAsia="微软雅黑" w:cs="微软雅黑"/>
                <w:color w:val="1C1C1C"/>
                <w:spacing w:val="7"/>
                <w:sz w:val="4"/>
                <w:szCs w:val="4"/>
              </w:rPr>
              <w:t>口</w:t>
            </w:r>
          </w:p>
          <w:p w14:paraId="55722213">
            <w:pPr>
              <w:autoSpaceDE w:val="0"/>
              <w:autoSpaceDN w:val="0"/>
              <w:spacing w:before="8" w:line="24" w:lineRule="exact"/>
              <w:ind w:left="1539"/>
            </w:pPr>
            <w:r>
              <w:drawing>
                <wp:inline distT="0" distB="0" distL="0" distR="0">
                  <wp:extent cx="18415" cy="14605"/>
                  <wp:effectExtent l="0" t="0" r="0" b="0"/>
                  <wp:docPr id="408" name="IM 28"/>
                  <wp:cNvGraphicFramePr/>
                  <a:graphic xmlns:a="http://schemas.openxmlformats.org/drawingml/2006/main">
                    <a:graphicData uri="http://schemas.openxmlformats.org/drawingml/2006/picture">
                      <pic:pic xmlns:pic="http://schemas.openxmlformats.org/drawingml/2006/picture">
                        <pic:nvPicPr>
                          <pic:cNvPr id="408" name="IM 28"/>
                          <pic:cNvPicPr/>
                        </pic:nvPicPr>
                        <pic:blipFill>
                          <a:blip r:embed="rId88"/>
                          <a:stretch>
                            <a:fillRect/>
                          </a:stretch>
                        </pic:blipFill>
                        <pic:spPr>
                          <a:xfrm>
                            <a:off x="0" y="0"/>
                            <a:ext cx="18965" cy="15195"/>
                          </a:xfrm>
                          <a:prstGeom prst="rect">
                            <a:avLst/>
                          </a:prstGeom>
                        </pic:spPr>
                      </pic:pic>
                    </a:graphicData>
                  </a:graphic>
                </wp:inline>
              </w:drawing>
            </w:r>
          </w:p>
          <w:p w14:paraId="73B6F088">
            <w:pPr>
              <w:autoSpaceDE w:val="0"/>
              <w:autoSpaceDN w:val="0"/>
              <w:spacing w:before="5" w:line="221" w:lineRule="auto"/>
              <w:rPr>
                <w:sz w:val="10"/>
                <w:szCs w:val="10"/>
              </w:rPr>
            </w:pPr>
            <w:r>
              <mc:AlternateContent>
                <mc:Choice Requires="wps">
                  <w:drawing>
                    <wp:anchor distT="0" distB="0" distL="114300" distR="114300" simplePos="0" relativeHeight="251708416" behindDoc="0" locked="0" layoutInCell="1" allowOverlap="1">
                      <wp:simplePos x="0" y="0"/>
                      <wp:positionH relativeFrom="column">
                        <wp:posOffset>1104265</wp:posOffset>
                      </wp:positionH>
                      <wp:positionV relativeFrom="paragraph">
                        <wp:posOffset>-2540</wp:posOffset>
                      </wp:positionV>
                      <wp:extent cx="56515" cy="113030"/>
                      <wp:effectExtent l="0" t="0" r="0" b="0"/>
                      <wp:wrapNone/>
                      <wp:docPr id="409" name="文本框 409"/>
                      <wp:cNvGraphicFramePr/>
                      <a:graphic xmlns:a="http://schemas.openxmlformats.org/drawingml/2006/main">
                        <a:graphicData uri="http://schemas.microsoft.com/office/word/2010/wordprocessingShape">
                          <wps:wsp>
                            <wps:cNvSpPr txBox="1"/>
                            <wps:spPr>
                              <a:xfrm>
                                <a:off x="0" y="0"/>
                                <a:ext cx="56515" cy="113030"/>
                              </a:xfrm>
                              <a:prstGeom prst="rect">
                                <a:avLst/>
                              </a:prstGeom>
                              <a:noFill/>
                              <a:ln>
                                <a:noFill/>
                              </a:ln>
                            </wps:spPr>
                            <wps:txbx>
                              <w:txbxContent>
                                <w:p w14:paraId="3947DF2F">
                                  <w:pPr>
                                    <w:spacing w:before="20" w:line="137" w:lineRule="exact"/>
                                    <w:ind w:left="20"/>
                                    <w:rPr>
                                      <w:rFonts w:ascii="宋体" w:hAnsi="宋体" w:eastAsia="宋体" w:cs="宋体"/>
                                      <w:sz w:val="10"/>
                                      <w:szCs w:val="10"/>
                                    </w:rPr>
                                  </w:pPr>
                                  <w:r>
                                    <w:rPr>
                                      <w:rFonts w:ascii="宋体" w:hAnsi="宋体" w:eastAsia="宋体" w:cs="宋体"/>
                                      <w:color w:val="030303"/>
                                      <w:position w:val="1"/>
                                      <w:sz w:val="10"/>
                                      <w:szCs w:val="10"/>
                                    </w:rPr>
                                    <w:t>0</w:t>
                                  </w:r>
                                </w:p>
                              </w:txbxContent>
                            </wps:txbx>
                            <wps:bodyPr lIns="0" tIns="0" rIns="0" bIns="0" upright="1"/>
                          </wps:wsp>
                        </a:graphicData>
                      </a:graphic>
                    </wp:anchor>
                  </w:drawing>
                </mc:Choice>
                <mc:Fallback>
                  <w:pict>
                    <v:shape id="_x0000_s1026" o:spid="_x0000_s1026" o:spt="202" type="#_x0000_t202" style="position:absolute;left:0pt;margin-left:86.95pt;margin-top:-0.2pt;height:8.9pt;width:4.45pt;z-index:251708416;mso-width-relative:page;mso-height-relative:page;" filled="f" stroked="f" coordsize="21600,21600" o:gfxdata="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xZxYx1gAAAAgBAAAPAAAAAAAAAAEAIAAAACIAAABkcnMvZG93bnJldi54bWxQSwEC&#10;FAAUAAAACACHTuJA0RQdBr0BAAB0AwAADgAAAAAAAAABACAAAAAlAQAAZHJzL2Uyb0RvYy54bWxQ&#10;SwUGAAAAAAYABgBZAQAAVAUAAAAA&#10;">
                      <v:fill on="f" focussize="0,0"/>
                      <v:stroke on="f"/>
                      <v:imagedata o:title=""/>
                      <o:lock v:ext="edit" aspectratio="f"/>
                      <v:textbox inset="0mm,0mm,0mm,0mm">
                        <w:txbxContent>
                          <w:p w14:paraId="3947DF2F">
                            <w:pPr>
                              <w:spacing w:before="20" w:line="137" w:lineRule="exact"/>
                              <w:ind w:left="20"/>
                              <w:rPr>
                                <w:rFonts w:ascii="宋体" w:hAnsi="宋体" w:eastAsia="宋体" w:cs="宋体"/>
                                <w:sz w:val="10"/>
                                <w:szCs w:val="10"/>
                              </w:rPr>
                            </w:pPr>
                            <w:r>
                              <w:rPr>
                                <w:rFonts w:ascii="宋体" w:hAnsi="宋体" w:eastAsia="宋体" w:cs="宋体"/>
                                <w:color w:val="030303"/>
                                <w:position w:val="1"/>
                                <w:sz w:val="10"/>
                                <w:szCs w:val="10"/>
                              </w:rPr>
                              <w:t>0</w:t>
                            </w:r>
                          </w:p>
                        </w:txbxContent>
                      </v:textbox>
                    </v:shape>
                  </w:pict>
                </mc:Fallback>
              </mc:AlternateContent>
            </w:r>
            <w:r>
              <w:rPr>
                <w:rFonts w:ascii="宋体" w:hAnsi="宋体" w:eastAsia="宋体" w:cs="宋体"/>
                <w:color w:val="030303"/>
                <w:sz w:val="10"/>
                <w:szCs w:val="10"/>
              </w:rPr>
              <w:t>15</w:t>
            </w:r>
            <w:r>
              <w:rPr>
                <w:rFonts w:ascii="宋体" w:hAnsi="宋体" w:eastAsia="宋体" w:cs="宋体"/>
                <w:color w:val="030303"/>
                <w:spacing w:val="5"/>
                <w:sz w:val="10"/>
                <w:szCs w:val="10"/>
              </w:rPr>
              <w:t xml:space="preserve">        </w:t>
            </w:r>
            <w:r>
              <w:rPr>
                <w:rFonts w:ascii="宋体" w:hAnsi="宋体" w:eastAsia="宋体" w:cs="宋体"/>
                <w:color w:val="030303"/>
                <w:sz w:val="10"/>
                <w:szCs w:val="10"/>
              </w:rPr>
              <w:t>-10         -5</w:t>
            </w:r>
            <w:r>
              <w:rPr>
                <w:rFonts w:ascii="宋体" w:hAnsi="宋体" w:eastAsia="宋体" w:cs="宋体"/>
                <w:color w:val="030303"/>
                <w:spacing w:val="7"/>
                <w:sz w:val="10"/>
                <w:szCs w:val="10"/>
              </w:rPr>
              <w:t xml:space="preserve">  </w:t>
            </w:r>
            <w:r>
              <w:rPr>
                <w:rFonts w:ascii="宋体" w:hAnsi="宋体" w:eastAsia="宋体" w:cs="宋体"/>
                <w:strike/>
                <w:color w:val="030303"/>
                <w:spacing w:val="-26"/>
                <w:sz w:val="10"/>
                <w:szCs w:val="10"/>
              </w:rPr>
              <w:t xml:space="preserve"> </w:t>
            </w:r>
            <w:r>
              <w:rPr>
                <w:rFonts w:ascii="宋体" w:hAnsi="宋体" w:eastAsia="宋体" w:cs="宋体"/>
                <w:color w:val="030303"/>
                <w:spacing w:val="-9"/>
                <w:sz w:val="10"/>
                <w:szCs w:val="10"/>
              </w:rPr>
              <w:t xml:space="preserve"> </w:t>
            </w:r>
            <w:r>
              <w:rPr>
                <w:position w:val="5"/>
                <w:sz w:val="10"/>
                <w:szCs w:val="10"/>
              </w:rPr>
              <w:drawing>
                <wp:inline distT="0" distB="0" distL="0" distR="0">
                  <wp:extent cx="52070" cy="26035"/>
                  <wp:effectExtent l="0" t="0" r="24130" b="12065"/>
                  <wp:docPr id="410" name="IM 30"/>
                  <wp:cNvGraphicFramePr/>
                  <a:graphic xmlns:a="http://schemas.openxmlformats.org/drawingml/2006/main">
                    <a:graphicData uri="http://schemas.openxmlformats.org/drawingml/2006/picture">
                      <pic:pic xmlns:pic="http://schemas.openxmlformats.org/drawingml/2006/picture">
                        <pic:nvPicPr>
                          <pic:cNvPr id="410" name="IM 30"/>
                          <pic:cNvPicPr/>
                        </pic:nvPicPr>
                        <pic:blipFill>
                          <a:blip r:embed="rId89"/>
                          <a:stretch>
                            <a:fillRect/>
                          </a:stretch>
                        </pic:blipFill>
                        <pic:spPr>
                          <a:xfrm>
                            <a:off x="0" y="0"/>
                            <a:ext cx="52622" cy="26592"/>
                          </a:xfrm>
                          <a:prstGeom prst="rect">
                            <a:avLst/>
                          </a:prstGeom>
                        </pic:spPr>
                      </pic:pic>
                    </a:graphicData>
                  </a:graphic>
                </wp:inline>
              </w:drawing>
            </w:r>
          </w:p>
          <w:p w14:paraId="5A762822">
            <w:pPr>
              <w:autoSpaceDE w:val="0"/>
              <w:autoSpaceDN w:val="0"/>
              <w:spacing w:line="24" w:lineRule="exact"/>
              <w:ind w:left="1162"/>
            </w:pPr>
            <w:r>
              <w:drawing>
                <wp:inline distT="0" distB="0" distL="0" distR="0">
                  <wp:extent cx="14605" cy="14605"/>
                  <wp:effectExtent l="0" t="0" r="0" b="0"/>
                  <wp:docPr id="411" name="IM 32"/>
                  <wp:cNvGraphicFramePr/>
                  <a:graphic xmlns:a="http://schemas.openxmlformats.org/drawingml/2006/main">
                    <a:graphicData uri="http://schemas.openxmlformats.org/drawingml/2006/picture">
                      <pic:pic xmlns:pic="http://schemas.openxmlformats.org/drawingml/2006/picture">
                        <pic:nvPicPr>
                          <pic:cNvPr id="411" name="IM 32"/>
                          <pic:cNvPicPr/>
                        </pic:nvPicPr>
                        <pic:blipFill>
                          <a:blip r:embed="rId90"/>
                          <a:stretch>
                            <a:fillRect/>
                          </a:stretch>
                        </pic:blipFill>
                        <pic:spPr>
                          <a:xfrm>
                            <a:off x="0" y="0"/>
                            <a:ext cx="15172" cy="15195"/>
                          </a:xfrm>
                          <a:prstGeom prst="rect">
                            <a:avLst/>
                          </a:prstGeom>
                        </pic:spPr>
                      </pic:pic>
                    </a:graphicData>
                  </a:graphic>
                </wp:inline>
              </w:drawing>
            </w:r>
          </w:p>
          <w:p w14:paraId="3623CD6E">
            <w:pPr>
              <w:autoSpaceDE w:val="0"/>
              <w:autoSpaceDN w:val="0"/>
              <w:spacing w:before="6" w:line="41" w:lineRule="exact"/>
              <w:ind w:left="1037"/>
            </w:pPr>
            <w:r>
              <w:rPr>
                <w:position w:val="-1"/>
              </w:rPr>
              <w:drawing>
                <wp:inline distT="0" distB="0" distL="0" distR="0">
                  <wp:extent cx="52705" cy="25400"/>
                  <wp:effectExtent l="0" t="0" r="0" b="0"/>
                  <wp:docPr id="412" name="IM 34"/>
                  <wp:cNvGraphicFramePr/>
                  <a:graphic xmlns:a="http://schemas.openxmlformats.org/drawingml/2006/main">
                    <a:graphicData uri="http://schemas.openxmlformats.org/drawingml/2006/picture">
                      <pic:pic xmlns:pic="http://schemas.openxmlformats.org/drawingml/2006/picture">
                        <pic:nvPicPr>
                          <pic:cNvPr id="412" name="IM 34"/>
                          <pic:cNvPicPr/>
                        </pic:nvPicPr>
                        <pic:blipFill>
                          <a:blip r:embed="rId91"/>
                          <a:stretch>
                            <a:fillRect/>
                          </a:stretch>
                        </pic:blipFill>
                        <pic:spPr>
                          <a:xfrm>
                            <a:off x="0" y="0"/>
                            <a:ext cx="53104" cy="25642"/>
                          </a:xfrm>
                          <a:prstGeom prst="rect">
                            <a:avLst/>
                          </a:prstGeom>
                        </pic:spPr>
                      </pic:pic>
                    </a:graphicData>
                  </a:graphic>
                </wp:inline>
              </w:drawing>
            </w:r>
          </w:p>
          <w:p w14:paraId="204452F8">
            <w:pPr>
              <w:autoSpaceDE w:val="0"/>
              <w:autoSpaceDN w:val="0"/>
              <w:spacing w:line="162" w:lineRule="auto"/>
              <w:ind w:left="640"/>
              <w:rPr>
                <w:sz w:val="4"/>
                <w:szCs w:val="4"/>
              </w:rPr>
            </w:pPr>
            <w:r>
              <w:rPr>
                <w:rFonts w:ascii="微软雅黑" w:hAnsi="微软雅黑" w:eastAsia="微软雅黑" w:cs="微软雅黑"/>
                <w:color w:val="030303"/>
                <w:spacing w:val="7"/>
                <w:sz w:val="4"/>
                <w:szCs w:val="4"/>
                <w:shd w:val="clear" w:fill="FFFFFE"/>
              </w:rPr>
              <w:t>口</w:t>
            </w:r>
            <w:r>
              <w:rPr>
                <w:rFonts w:ascii="微软雅黑" w:hAnsi="微软雅黑" w:eastAsia="微软雅黑" w:cs="微软雅黑"/>
                <w:color w:val="030303"/>
                <w:sz w:val="4"/>
                <w:szCs w:val="4"/>
              </w:rPr>
              <w:t xml:space="preserve">                        </w:t>
            </w:r>
            <w:r>
              <w:rPr>
                <w:position w:val="1"/>
                <w:sz w:val="4"/>
                <w:szCs w:val="4"/>
              </w:rPr>
              <w:drawing>
                <wp:inline distT="0" distB="0" distL="0" distR="0">
                  <wp:extent cx="14605" cy="10795"/>
                  <wp:effectExtent l="0" t="0" r="0" b="0"/>
                  <wp:docPr id="413" name="IM 36"/>
                  <wp:cNvGraphicFramePr/>
                  <a:graphic xmlns:a="http://schemas.openxmlformats.org/drawingml/2006/main">
                    <a:graphicData uri="http://schemas.openxmlformats.org/drawingml/2006/picture">
                      <pic:pic xmlns:pic="http://schemas.openxmlformats.org/drawingml/2006/picture">
                        <pic:nvPicPr>
                          <pic:cNvPr id="413" name="IM 36"/>
                          <pic:cNvPicPr/>
                        </pic:nvPicPr>
                        <pic:blipFill>
                          <a:blip r:embed="rId92"/>
                          <a:stretch>
                            <a:fillRect/>
                          </a:stretch>
                        </pic:blipFill>
                        <pic:spPr>
                          <a:xfrm>
                            <a:off x="0" y="0"/>
                            <a:ext cx="15172" cy="11040"/>
                          </a:xfrm>
                          <a:prstGeom prst="rect">
                            <a:avLst/>
                          </a:prstGeom>
                        </pic:spPr>
                      </pic:pic>
                    </a:graphicData>
                  </a:graphic>
                </wp:inline>
              </w:drawing>
            </w:r>
          </w:p>
          <w:p w14:paraId="74CB360D">
            <w:pPr>
              <w:autoSpaceDE w:val="0"/>
              <w:autoSpaceDN w:val="0"/>
              <w:spacing w:before="24" w:line="137" w:lineRule="exact"/>
              <w:ind w:left="1530"/>
              <w:rPr>
                <w:rFonts w:ascii="宋体" w:hAnsi="宋体" w:eastAsia="宋体" w:cs="宋体"/>
                <w:sz w:val="10"/>
                <w:szCs w:val="10"/>
              </w:rPr>
            </w:pPr>
            <w:r>
              <w:rPr>
                <w:rFonts w:ascii="宋体" w:hAnsi="宋体" w:eastAsia="宋体" w:cs="宋体"/>
                <w:color w:val="030303"/>
                <w:spacing w:val="2"/>
                <w:position w:val="1"/>
                <w:sz w:val="10"/>
                <w:szCs w:val="10"/>
              </w:rPr>
              <w:t>-10</w:t>
            </w:r>
          </w:p>
        </w:tc>
        <w:tc>
          <w:tcPr>
            <w:tcW w:w="3566" w:type="dxa"/>
            <w:gridSpan w:val="4"/>
            <w:tcBorders>
              <w:top w:val="single" w:color="030303" w:sz="2" w:space="0"/>
              <w:left w:val="single" w:color="030303" w:sz="2" w:space="0"/>
            </w:tcBorders>
            <w:vAlign w:val="top"/>
          </w:tcPr>
          <w:p w14:paraId="456E469E">
            <w:pPr>
              <w:autoSpaceDE w:val="0"/>
              <w:autoSpaceDN w:val="0"/>
              <w:spacing w:before="31" w:line="48" w:lineRule="exact"/>
              <w:ind w:firstLine="29"/>
            </w:pPr>
            <w:r>
              <w:drawing>
                <wp:inline distT="0" distB="0" distL="0" distR="0">
                  <wp:extent cx="29845" cy="29845"/>
                  <wp:effectExtent l="0" t="0" r="20955" b="8255"/>
                  <wp:docPr id="414" name="IM 38"/>
                  <wp:cNvGraphicFramePr/>
                  <a:graphic xmlns:a="http://schemas.openxmlformats.org/drawingml/2006/main">
                    <a:graphicData uri="http://schemas.openxmlformats.org/drawingml/2006/picture">
                      <pic:pic xmlns:pic="http://schemas.openxmlformats.org/drawingml/2006/picture">
                        <pic:nvPicPr>
                          <pic:cNvPr id="414" name="IM 38"/>
                          <pic:cNvPicPr/>
                        </pic:nvPicPr>
                        <pic:blipFill>
                          <a:blip r:embed="rId93"/>
                          <a:stretch>
                            <a:fillRect/>
                          </a:stretch>
                        </pic:blipFill>
                        <pic:spPr>
                          <a:xfrm>
                            <a:off x="0" y="0"/>
                            <a:ext cx="30345" cy="30391"/>
                          </a:xfrm>
                          <a:prstGeom prst="rect">
                            <a:avLst/>
                          </a:prstGeom>
                        </pic:spPr>
                      </pic:pic>
                    </a:graphicData>
                  </a:graphic>
                </wp:inline>
              </w:drawing>
            </w:r>
          </w:p>
          <w:p w14:paraId="446B195C">
            <w:pPr>
              <w:autoSpaceDE w:val="0"/>
              <w:autoSpaceDN w:val="0"/>
              <w:spacing w:before="42" w:line="137" w:lineRule="exact"/>
              <w:jc w:val="right"/>
              <w:rPr>
                <w:rFonts w:ascii="宋体" w:hAnsi="宋体" w:eastAsia="宋体" w:cs="宋体"/>
                <w:sz w:val="10"/>
                <w:szCs w:val="10"/>
              </w:rPr>
            </w:pPr>
            <w:r>
              <w:rPr>
                <w:rFonts w:ascii="宋体" w:hAnsi="宋体" w:eastAsia="宋体" w:cs="宋体"/>
                <w:color w:val="030303"/>
                <w:spacing w:val="-1"/>
                <w:position w:val="1"/>
                <w:sz w:val="10"/>
                <w:szCs w:val="10"/>
              </w:rPr>
              <w:t>5</w:t>
            </w:r>
            <w:r>
              <w:rPr>
                <w:rFonts w:ascii="宋体" w:hAnsi="宋体" w:eastAsia="宋体" w:cs="宋体"/>
                <w:color w:val="030303"/>
                <w:spacing w:val="2"/>
                <w:position w:val="1"/>
                <w:sz w:val="10"/>
                <w:szCs w:val="10"/>
              </w:rPr>
              <w:t xml:space="preserve">          </w:t>
            </w:r>
            <w:r>
              <w:rPr>
                <w:rFonts w:ascii="宋体" w:hAnsi="宋体" w:eastAsia="宋体" w:cs="宋体"/>
                <w:color w:val="030303"/>
                <w:spacing w:val="-1"/>
                <w:position w:val="1"/>
                <w:sz w:val="10"/>
                <w:szCs w:val="10"/>
              </w:rPr>
              <w:t>10</w:t>
            </w:r>
            <w:r>
              <w:rPr>
                <w:rFonts w:ascii="宋体" w:hAnsi="宋体" w:eastAsia="宋体" w:cs="宋体"/>
                <w:color w:val="030303"/>
                <w:position w:val="1"/>
                <w:sz w:val="10"/>
                <w:szCs w:val="10"/>
              </w:rPr>
              <w:t xml:space="preserve">          </w:t>
            </w:r>
            <w:r>
              <w:rPr>
                <w:rFonts w:ascii="宋体" w:hAnsi="宋体" w:eastAsia="宋体" w:cs="宋体"/>
                <w:color w:val="030303"/>
                <w:spacing w:val="-1"/>
                <w:position w:val="1"/>
                <w:sz w:val="10"/>
                <w:szCs w:val="10"/>
              </w:rPr>
              <w:t>15</w:t>
            </w:r>
            <w:r>
              <w:rPr>
                <w:rFonts w:ascii="宋体" w:hAnsi="宋体" w:eastAsia="宋体" w:cs="宋体"/>
                <w:color w:val="030303"/>
                <w:spacing w:val="4"/>
                <w:position w:val="1"/>
                <w:sz w:val="10"/>
                <w:szCs w:val="10"/>
              </w:rPr>
              <w:t xml:space="preserve">         </w:t>
            </w:r>
            <w:r>
              <w:rPr>
                <w:rFonts w:ascii="宋体" w:hAnsi="宋体" w:eastAsia="宋体" w:cs="宋体"/>
                <w:color w:val="030303"/>
                <w:spacing w:val="-1"/>
                <w:position w:val="1"/>
                <w:sz w:val="10"/>
                <w:szCs w:val="10"/>
              </w:rPr>
              <w:t>20          25          3</w:t>
            </w:r>
          </w:p>
        </w:tc>
      </w:tr>
    </w:tbl>
    <w:p w14:paraId="166BFF01">
      <w:pPr>
        <w:bidi w:val="0"/>
        <w:jc w:val="center"/>
        <w:rPr>
          <w:rFonts w:ascii="微软雅黑" w:hAnsi="微软雅黑" w:eastAsia="微软雅黑" w:cs="微软雅黑"/>
          <w:sz w:val="21"/>
          <w:szCs w:val="21"/>
        </w:rPr>
      </w:pPr>
      <w:r>
        <w:rPr>
          <w:rFonts w:ascii="微软雅黑" w:hAnsi="微软雅黑" w:eastAsia="微软雅黑" w:cs="微软雅黑"/>
          <w:color w:val="231F20"/>
          <w:spacing w:val="-4"/>
          <w:sz w:val="21"/>
          <w:szCs w:val="21"/>
        </w:rPr>
        <w:t xml:space="preserve">图 </w:t>
      </w:r>
      <w:r>
        <w:rPr>
          <w:color w:val="231F20"/>
          <w:spacing w:val="-4"/>
          <w:sz w:val="21"/>
          <w:szCs w:val="21"/>
        </w:rPr>
        <w:t>2</w:t>
      </w:r>
      <w:r>
        <w:rPr>
          <w:color w:val="231F20"/>
          <w:spacing w:val="15"/>
          <w:sz w:val="21"/>
          <w:szCs w:val="21"/>
        </w:rPr>
        <w:t xml:space="preserve">  </w:t>
      </w:r>
      <w:r>
        <w:rPr>
          <w:rFonts w:ascii="微软雅黑" w:hAnsi="微软雅黑" w:eastAsia="微软雅黑" w:cs="微软雅黑"/>
          <w:color w:val="231F20"/>
          <w:spacing w:val="-4"/>
          <w:sz w:val="21"/>
          <w:szCs w:val="21"/>
        </w:rPr>
        <w:t>中美经济规模之比变化的分解值与测算值的关系（</w:t>
      </w:r>
      <w:r>
        <w:rPr>
          <w:rFonts w:ascii="微软雅黑" w:hAnsi="微软雅黑" w:eastAsia="微软雅黑" w:cs="微软雅黑"/>
          <w:color w:val="231F20"/>
          <w:spacing w:val="18"/>
          <w:sz w:val="21"/>
          <w:szCs w:val="21"/>
        </w:rPr>
        <w:t xml:space="preserve"> </w:t>
      </w:r>
      <w:r>
        <w:rPr>
          <w:color w:val="231F20"/>
          <w:spacing w:val="-4"/>
          <w:sz w:val="21"/>
          <w:szCs w:val="21"/>
        </w:rPr>
        <w:t>1995</w:t>
      </w:r>
      <w:r>
        <w:rPr>
          <w:rFonts w:ascii="宋体" w:hAnsi="宋体" w:eastAsia="宋体" w:cs="宋体"/>
          <w:color w:val="231F20"/>
          <w:spacing w:val="-4"/>
          <w:sz w:val="21"/>
          <w:szCs w:val="21"/>
        </w:rPr>
        <w:t>-</w:t>
      </w:r>
      <w:r>
        <w:rPr>
          <w:color w:val="231F20"/>
          <w:spacing w:val="-4"/>
          <w:sz w:val="21"/>
          <w:szCs w:val="21"/>
        </w:rPr>
        <w:t>2022</w:t>
      </w:r>
      <w:r>
        <w:rPr>
          <w:color w:val="231F20"/>
          <w:spacing w:val="12"/>
          <w:sz w:val="21"/>
          <w:szCs w:val="21"/>
        </w:rPr>
        <w:t xml:space="preserve"> </w:t>
      </w:r>
      <w:r>
        <w:rPr>
          <w:rFonts w:ascii="微软雅黑" w:hAnsi="微软雅黑" w:eastAsia="微软雅黑" w:cs="微软雅黑"/>
          <w:color w:val="231F20"/>
          <w:spacing w:val="-4"/>
          <w:sz w:val="21"/>
          <w:szCs w:val="21"/>
        </w:rPr>
        <w:t>年）</w:t>
      </w:r>
    </w:p>
    <w:p w14:paraId="5C00ADB2">
      <w:pPr>
        <w:pStyle w:val="6"/>
        <w:spacing w:before="150" w:line="274" w:lineRule="auto"/>
        <w:ind w:left="1045" w:right="8" w:firstLine="445"/>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 xml:space="preserve">由表 </w:t>
      </w:r>
      <w:r>
        <w:rPr>
          <w:color w:val="231F20"/>
          <w:spacing w:val="-1"/>
          <w:sz w:val="21"/>
          <w:szCs w:val="21"/>
        </w:rPr>
        <w:t xml:space="preserve">2 </w:t>
      </w:r>
      <w:r>
        <w:rPr>
          <w:rFonts w:ascii="方正书宋简体" w:hAnsi="方正书宋简体" w:eastAsia="方正书宋简体" w:cs="方正书宋简体"/>
          <w:color w:val="231F20"/>
          <w:spacing w:val="-1"/>
          <w:sz w:val="21"/>
          <w:szCs w:val="21"/>
        </w:rPr>
        <w:t>可见</w:t>
      </w:r>
      <w:r>
        <w:rPr>
          <w:rFonts w:ascii="方正书宋简体" w:hAnsi="方正书宋简体" w:eastAsia="方正书宋简体" w:cs="方正书宋简体"/>
          <w:color w:val="231F20"/>
          <w:spacing w:val="5"/>
          <w:sz w:val="21"/>
          <w:szCs w:val="21"/>
        </w:rPr>
        <w:t>：（</w:t>
      </w:r>
      <w:r>
        <w:rPr>
          <w:rFonts w:ascii="方正书宋简体" w:hAnsi="方正书宋简体" w:eastAsia="方正书宋简体" w:cs="方正书宋简体"/>
          <w:color w:val="231F20"/>
          <w:spacing w:val="-22"/>
          <w:sz w:val="21"/>
          <w:szCs w:val="21"/>
        </w:rPr>
        <w:t xml:space="preserve"> </w:t>
      </w:r>
      <w:r>
        <w:rPr>
          <w:color w:val="231F20"/>
          <w:spacing w:val="-1"/>
          <w:sz w:val="21"/>
          <w:szCs w:val="21"/>
        </w:rPr>
        <w:t xml:space="preserve">1 </w:t>
      </w:r>
      <w:r>
        <w:rPr>
          <w:rFonts w:ascii="方正书宋简体" w:hAnsi="方正书宋简体" w:eastAsia="方正书宋简体" w:cs="方正书宋简体"/>
          <w:color w:val="231F20"/>
          <w:spacing w:val="-1"/>
          <w:sz w:val="21"/>
          <w:szCs w:val="21"/>
        </w:rPr>
        <w:t>）人民币汇率的变化在</w:t>
      </w:r>
      <w:r>
        <w:rPr>
          <w:rFonts w:ascii="方正书宋简体" w:hAnsi="方正书宋简体" w:eastAsia="方正书宋简体" w:cs="方正书宋简体"/>
          <w:color w:val="231F20"/>
          <w:spacing w:val="16"/>
          <w:sz w:val="21"/>
          <w:szCs w:val="21"/>
        </w:rPr>
        <w:t xml:space="preserve"> </w:t>
      </w:r>
      <w:r>
        <w:rPr>
          <w:color w:val="231F20"/>
          <w:spacing w:val="-1"/>
          <w:sz w:val="21"/>
          <w:szCs w:val="21"/>
        </w:rPr>
        <w:t xml:space="preserve">2016 </w:t>
      </w:r>
      <w:r>
        <w:rPr>
          <w:rFonts w:ascii="方正书宋简体" w:hAnsi="方正书宋简体" w:eastAsia="方正书宋简体" w:cs="方正书宋简体"/>
          <w:color w:val="231F20"/>
          <w:spacing w:val="-1"/>
          <w:sz w:val="21"/>
          <w:szCs w:val="21"/>
        </w:rPr>
        <w:t>年、</w:t>
      </w:r>
      <w:r>
        <w:rPr>
          <w:color w:val="231F20"/>
          <w:spacing w:val="-1"/>
          <w:sz w:val="21"/>
          <w:szCs w:val="21"/>
        </w:rPr>
        <w:t xml:space="preserve">2019 </w:t>
      </w:r>
      <w:r>
        <w:rPr>
          <w:rFonts w:ascii="方正书宋简体" w:hAnsi="方正书宋简体" w:eastAsia="方正书宋简体" w:cs="方正书宋简体"/>
          <w:color w:val="231F20"/>
          <w:spacing w:val="-1"/>
          <w:sz w:val="21"/>
          <w:szCs w:val="21"/>
        </w:rPr>
        <w:t>年、</w:t>
      </w:r>
      <w:r>
        <w:rPr>
          <w:color w:val="231F20"/>
          <w:spacing w:val="-1"/>
          <w:sz w:val="21"/>
          <w:szCs w:val="21"/>
        </w:rPr>
        <w:t xml:space="preserve">2021 </w:t>
      </w:r>
      <w:r>
        <w:rPr>
          <w:rFonts w:ascii="方正书宋简体" w:hAnsi="方正书宋简体" w:eastAsia="方正书宋简体" w:cs="方正书宋简体"/>
          <w:color w:val="231F20"/>
          <w:spacing w:val="-1"/>
          <w:sz w:val="21"/>
          <w:szCs w:val="21"/>
        </w:rPr>
        <w:t>年和</w:t>
      </w:r>
      <w:r>
        <w:rPr>
          <w:rFonts w:ascii="方正书宋简体" w:hAnsi="方正书宋简体" w:eastAsia="方正书宋简体" w:cs="方正书宋简体"/>
          <w:color w:val="231F20"/>
          <w:spacing w:val="6"/>
          <w:sz w:val="21"/>
          <w:szCs w:val="21"/>
        </w:rPr>
        <w:t xml:space="preserve"> </w:t>
      </w:r>
      <w:r>
        <w:rPr>
          <w:color w:val="231F20"/>
          <w:spacing w:val="-1"/>
          <w:sz w:val="21"/>
          <w:szCs w:val="21"/>
        </w:rPr>
        <w:t>2022</w:t>
      </w:r>
      <w:r>
        <w:rPr>
          <w:color w:val="231F20"/>
          <w:spacing w:val="8"/>
          <w:sz w:val="21"/>
          <w:szCs w:val="21"/>
        </w:rPr>
        <w:t xml:space="preserve"> </w:t>
      </w:r>
      <w:r>
        <w:rPr>
          <w:rFonts w:ascii="方正书宋简体" w:hAnsi="方正书宋简体" w:eastAsia="方正书宋简体" w:cs="方正书宋简体"/>
          <w:color w:val="231F20"/>
          <w:spacing w:val="-1"/>
          <w:sz w:val="21"/>
          <w:szCs w:val="21"/>
        </w:rPr>
        <w:t>年对中美经济规模</w:t>
      </w:r>
      <w:r>
        <w:rPr>
          <w:rFonts w:ascii="方正书宋简体" w:hAnsi="方正书宋简体" w:eastAsia="方正书宋简体" w:cs="方正书宋简体"/>
          <w:color w:val="231F20"/>
          <w:sz w:val="21"/>
          <w:szCs w:val="21"/>
        </w:rPr>
        <w:t>之比的变化起了重要作用。（</w:t>
      </w:r>
      <w:r>
        <w:rPr>
          <w:color w:val="231F20"/>
          <w:sz w:val="21"/>
          <w:szCs w:val="21"/>
        </w:rPr>
        <w:t>2</w:t>
      </w:r>
      <w:r>
        <w:rPr>
          <w:rFonts w:ascii="方正书宋简体" w:hAnsi="方正书宋简体" w:eastAsia="方正书宋简体" w:cs="方正书宋简体"/>
          <w:color w:val="231F20"/>
          <w:sz w:val="21"/>
          <w:szCs w:val="21"/>
        </w:rPr>
        <w:t xml:space="preserve">）通货膨胀率的变化在 </w:t>
      </w:r>
      <w:r>
        <w:rPr>
          <w:color w:val="231F20"/>
          <w:sz w:val="21"/>
          <w:szCs w:val="21"/>
        </w:rPr>
        <w:t xml:space="preserve">2021 </w:t>
      </w:r>
      <w:r>
        <w:rPr>
          <w:rFonts w:ascii="方正书宋简体" w:hAnsi="方正书宋简体" w:eastAsia="方正书宋简体" w:cs="方正书宋简体"/>
          <w:color w:val="231F20"/>
          <w:sz w:val="21"/>
          <w:szCs w:val="21"/>
        </w:rPr>
        <w:t xml:space="preserve">年和 </w:t>
      </w:r>
      <w:r>
        <w:rPr>
          <w:color w:val="231F20"/>
          <w:sz w:val="21"/>
          <w:szCs w:val="21"/>
        </w:rPr>
        <w:t xml:space="preserve">2022 </w:t>
      </w:r>
      <w:r>
        <w:rPr>
          <w:rFonts w:ascii="方正书宋简体" w:hAnsi="方正书宋简体" w:eastAsia="方正书宋简体" w:cs="方正书宋简体"/>
          <w:color w:val="231F20"/>
          <w:sz w:val="21"/>
          <w:szCs w:val="21"/>
        </w:rPr>
        <w:t>年对中</w:t>
      </w:r>
      <w:r>
        <w:rPr>
          <w:rFonts w:ascii="方正书宋简体" w:hAnsi="方正书宋简体" w:eastAsia="方正书宋简体" w:cs="方正书宋简体"/>
          <w:color w:val="231F20"/>
          <w:spacing w:val="-1"/>
          <w:sz w:val="21"/>
          <w:szCs w:val="21"/>
        </w:rPr>
        <w:t>美经济规模之比起了重</w:t>
      </w:r>
      <w:r>
        <w:rPr>
          <w:rFonts w:ascii="方正书宋简体" w:hAnsi="方正书宋简体" w:eastAsia="方正书宋简体" w:cs="方正书宋简体"/>
          <w:color w:val="231F20"/>
          <w:spacing w:val="-2"/>
          <w:sz w:val="21"/>
          <w:szCs w:val="21"/>
        </w:rPr>
        <w:t>要作用。（</w:t>
      </w:r>
      <w:r>
        <w:rPr>
          <w:color w:val="231F20"/>
          <w:spacing w:val="-2"/>
          <w:sz w:val="21"/>
          <w:szCs w:val="21"/>
        </w:rPr>
        <w:t>3</w:t>
      </w:r>
      <w:r>
        <w:rPr>
          <w:rFonts w:ascii="方正书宋简体" w:hAnsi="方正书宋简体" w:eastAsia="方正书宋简体" w:cs="方正书宋简体"/>
          <w:color w:val="231F20"/>
          <w:spacing w:val="-2"/>
          <w:sz w:val="21"/>
          <w:szCs w:val="21"/>
        </w:rPr>
        <w:t>）在</w:t>
      </w:r>
      <w:r>
        <w:rPr>
          <w:rFonts w:ascii="方正书宋简体" w:hAnsi="方正书宋简体" w:eastAsia="方正书宋简体" w:cs="方正书宋简体"/>
          <w:color w:val="231F20"/>
          <w:spacing w:val="30"/>
          <w:w w:val="101"/>
          <w:sz w:val="21"/>
          <w:szCs w:val="21"/>
        </w:rPr>
        <w:t xml:space="preserve"> </w:t>
      </w:r>
      <w:r>
        <w:rPr>
          <w:color w:val="231F20"/>
          <w:spacing w:val="-2"/>
          <w:sz w:val="21"/>
          <w:szCs w:val="21"/>
        </w:rPr>
        <w:t xml:space="preserve">2022 </w:t>
      </w:r>
      <w:r>
        <w:rPr>
          <w:rFonts w:ascii="方正书宋简体" w:hAnsi="方正书宋简体" w:eastAsia="方正书宋简体" w:cs="方正书宋简体"/>
          <w:color w:val="231F20"/>
          <w:spacing w:val="-2"/>
          <w:sz w:val="21"/>
          <w:szCs w:val="21"/>
        </w:rPr>
        <w:t>年，汇率因素（绝对贡献为</w:t>
      </w:r>
      <w:r>
        <w:rPr>
          <w:rFonts w:ascii="方正书宋简体" w:hAnsi="方正书宋简体" w:eastAsia="方正书宋简体" w:cs="方正书宋简体"/>
          <w:color w:val="231F20"/>
          <w:spacing w:val="19"/>
          <w:sz w:val="21"/>
          <w:szCs w:val="21"/>
        </w:rPr>
        <w:t xml:space="preserve"> </w:t>
      </w:r>
      <w:r>
        <w:rPr>
          <w:rFonts w:ascii="宋体" w:hAnsi="宋体" w:eastAsia="宋体" w:cs="宋体"/>
          <w:color w:val="231F20"/>
          <w:spacing w:val="-2"/>
          <w:sz w:val="21"/>
          <w:szCs w:val="21"/>
        </w:rPr>
        <w:t>-</w:t>
      </w:r>
      <w:r>
        <w:rPr>
          <w:color w:val="231F20"/>
          <w:spacing w:val="-2"/>
          <w:sz w:val="21"/>
          <w:szCs w:val="21"/>
        </w:rPr>
        <w:t>4.28%</w:t>
      </w:r>
      <w:r>
        <w:rPr>
          <w:rFonts w:ascii="方正书宋简体" w:hAnsi="方正书宋简体" w:eastAsia="方正书宋简体" w:cs="方正书宋简体"/>
          <w:color w:val="231F20"/>
          <w:spacing w:val="-2"/>
          <w:sz w:val="21"/>
          <w:szCs w:val="21"/>
        </w:rPr>
        <w:t>）与通货膨胀因素（绝对贡献为</w:t>
      </w:r>
      <w:r>
        <w:rPr>
          <w:rFonts w:ascii="方正书宋简体" w:hAnsi="方正书宋简体" w:eastAsia="方正书宋简体" w:cs="方正书宋简体"/>
          <w:color w:val="231F20"/>
          <w:spacing w:val="19"/>
          <w:sz w:val="21"/>
          <w:szCs w:val="21"/>
        </w:rPr>
        <w:t xml:space="preserve"> </w:t>
      </w:r>
      <w:r>
        <w:rPr>
          <w:rFonts w:ascii="宋体" w:hAnsi="宋体" w:eastAsia="宋体" w:cs="宋体"/>
          <w:color w:val="231F20"/>
          <w:spacing w:val="-2"/>
          <w:sz w:val="21"/>
          <w:szCs w:val="21"/>
        </w:rPr>
        <w:t>-</w:t>
      </w:r>
      <w:r>
        <w:rPr>
          <w:color w:val="231F20"/>
          <w:spacing w:val="-2"/>
          <w:sz w:val="21"/>
          <w:szCs w:val="21"/>
        </w:rPr>
        <w:t>6.03%</w:t>
      </w:r>
      <w:r>
        <w:rPr>
          <w:rFonts w:ascii="方正书宋简体" w:hAnsi="方正书宋简体" w:eastAsia="方正书宋简体" w:cs="方正书宋简体"/>
          <w:color w:val="231F20"/>
          <w:spacing w:val="-2"/>
          <w:sz w:val="21"/>
          <w:szCs w:val="21"/>
        </w:rPr>
        <w:t>）</w:t>
      </w:r>
      <w:r>
        <w:rPr>
          <w:rFonts w:ascii="方正书宋简体" w:hAnsi="方正书宋简体" w:eastAsia="方正书宋简体" w:cs="方正书宋简体"/>
          <w:color w:val="231F20"/>
          <w:spacing w:val="3"/>
          <w:sz w:val="21"/>
          <w:szCs w:val="21"/>
        </w:rPr>
        <w:t xml:space="preserve">叠加起来，使得以现价美元计算的中美经济规模之比大幅下滑。这与 </w:t>
      </w:r>
      <w:r>
        <w:rPr>
          <w:color w:val="231F20"/>
          <w:spacing w:val="3"/>
          <w:sz w:val="21"/>
          <w:szCs w:val="21"/>
        </w:rPr>
        <w:t xml:space="preserve">2021 </w:t>
      </w:r>
      <w:r>
        <w:rPr>
          <w:rFonts w:ascii="方正书宋简体" w:hAnsi="方正书宋简体" w:eastAsia="方正书宋简体" w:cs="方正书宋简体"/>
          <w:color w:val="231F20"/>
          <w:spacing w:val="3"/>
          <w:sz w:val="21"/>
          <w:szCs w:val="21"/>
        </w:rPr>
        <w:t>年不同，</w:t>
      </w:r>
      <w:r>
        <w:rPr>
          <w:color w:val="231F20"/>
          <w:spacing w:val="3"/>
          <w:sz w:val="21"/>
          <w:szCs w:val="21"/>
        </w:rPr>
        <w:t xml:space="preserve">2021 </w:t>
      </w:r>
      <w:r>
        <w:rPr>
          <w:rFonts w:ascii="方正书宋简体" w:hAnsi="方正书宋简体" w:eastAsia="方正书宋简体" w:cs="方正书宋简体"/>
          <w:color w:val="231F20"/>
          <w:spacing w:val="3"/>
          <w:sz w:val="21"/>
          <w:szCs w:val="21"/>
        </w:rPr>
        <w:t>年，美国</w:t>
      </w:r>
      <w:r>
        <w:rPr>
          <w:rFonts w:ascii="方正书宋简体" w:hAnsi="方正书宋简体" w:eastAsia="方正书宋简体" w:cs="方正书宋简体"/>
          <w:color w:val="231F20"/>
          <w:sz w:val="21"/>
          <w:szCs w:val="21"/>
        </w:rPr>
        <w:t>相对中国尽管发生了比较严重的通货膨胀（绝对贡献为</w:t>
      </w:r>
      <w:r>
        <w:rPr>
          <w:rFonts w:ascii="方正书宋简体" w:hAnsi="方正书宋简体" w:eastAsia="方正书宋简体" w:cs="方正书宋简体"/>
          <w:color w:val="231F20"/>
          <w:spacing w:val="20"/>
          <w:sz w:val="21"/>
          <w:szCs w:val="21"/>
        </w:rPr>
        <w:t xml:space="preserve"> </w:t>
      </w:r>
      <w:r>
        <w:rPr>
          <w:rFonts w:ascii="宋体" w:hAnsi="宋体" w:eastAsia="宋体" w:cs="宋体"/>
          <w:color w:val="231F20"/>
          <w:sz w:val="21"/>
          <w:szCs w:val="21"/>
        </w:rPr>
        <w:t>-</w:t>
      </w:r>
      <w:r>
        <w:rPr>
          <w:color w:val="231F20"/>
          <w:sz w:val="21"/>
          <w:szCs w:val="21"/>
        </w:rPr>
        <w:t>3.71%</w:t>
      </w:r>
      <w:r>
        <w:rPr>
          <w:rFonts w:ascii="方正书宋简体" w:hAnsi="方正书宋简体" w:eastAsia="方正书宋简体" w:cs="方正书宋简体"/>
          <w:color w:val="231F20"/>
          <w:spacing w:val="-1"/>
          <w:sz w:val="21"/>
          <w:szCs w:val="21"/>
        </w:rPr>
        <w:t>），</w:t>
      </w:r>
      <w:r>
        <w:rPr>
          <w:rFonts w:ascii="方正书宋简体" w:hAnsi="方正书宋简体" w:eastAsia="方正书宋简体" w:cs="方正书宋简体"/>
          <w:color w:val="231F20"/>
          <w:sz w:val="21"/>
          <w:szCs w:val="21"/>
        </w:rPr>
        <w:t>但人民币汇率上升</w:t>
      </w:r>
      <w:r>
        <w:rPr>
          <w:rFonts w:ascii="方正书宋简体" w:hAnsi="方正书宋简体" w:eastAsia="方正书宋简体" w:cs="方正书宋简体"/>
          <w:color w:val="231F20"/>
          <w:spacing w:val="-1"/>
          <w:sz w:val="21"/>
          <w:szCs w:val="21"/>
        </w:rPr>
        <w:t>（绝对贡献为</w:t>
      </w:r>
      <w:r>
        <w:rPr>
          <w:color w:val="231F20"/>
          <w:spacing w:val="-1"/>
          <w:sz w:val="21"/>
          <w:szCs w:val="21"/>
        </w:rPr>
        <w:t>7.01%</w:t>
      </w:r>
      <w:r>
        <w:rPr>
          <w:rFonts w:ascii="方正书宋简体" w:hAnsi="方正书宋简体" w:eastAsia="方正书宋简体" w:cs="方正书宋简体"/>
          <w:color w:val="231F20"/>
          <w:spacing w:val="-1"/>
          <w:sz w:val="21"/>
          <w:szCs w:val="21"/>
        </w:rPr>
        <w:t>）足以弥补美国通货膨胀的影响。</w:t>
      </w:r>
      <w:r>
        <w:rPr>
          <w:color w:val="231F20"/>
          <w:spacing w:val="-1"/>
          <w:sz w:val="21"/>
          <w:szCs w:val="21"/>
        </w:rPr>
        <w:t>2022</w:t>
      </w:r>
      <w:r>
        <w:rPr>
          <w:color w:val="231F20"/>
          <w:spacing w:val="-2"/>
          <w:sz w:val="21"/>
          <w:szCs w:val="21"/>
        </w:rPr>
        <w:t xml:space="preserve"> </w:t>
      </w:r>
      <w:r>
        <w:rPr>
          <w:rFonts w:ascii="方正书宋简体" w:hAnsi="方正书宋简体" w:eastAsia="方正书宋简体" w:cs="方正书宋简体"/>
          <w:color w:val="231F20"/>
          <w:spacing w:val="-2"/>
          <w:sz w:val="21"/>
          <w:szCs w:val="21"/>
        </w:rPr>
        <w:t>年，美国（国内）通胀与美元（国际）升值同时并存，</w:t>
      </w:r>
      <w:r>
        <w:rPr>
          <w:rFonts w:ascii="方正书宋简体" w:hAnsi="方正书宋简体" w:eastAsia="方正书宋简体" w:cs="方正书宋简体"/>
          <w:color w:val="231F20"/>
          <w:spacing w:val="2"/>
          <w:sz w:val="21"/>
          <w:szCs w:val="21"/>
        </w:rPr>
        <w:t>意味着在美国国内变得廉价的美元在国际市场上反而升值了。这就引出了本文的第一个问题，即美</w:t>
      </w:r>
      <w:r>
        <w:rPr>
          <w:rFonts w:ascii="方正书宋简体" w:hAnsi="方正书宋简体" w:eastAsia="方正书宋简体" w:cs="方正书宋简体"/>
          <w:color w:val="231F20"/>
          <w:spacing w:val="-5"/>
          <w:sz w:val="21"/>
          <w:szCs w:val="21"/>
        </w:rPr>
        <w:t>国在国内通货膨胀的情形下能不能长期维持美元升值的格局？</w:t>
      </w:r>
    </w:p>
    <w:p w14:paraId="4A56F236">
      <w:pPr>
        <w:pStyle w:val="6"/>
        <w:spacing w:before="5" w:line="273" w:lineRule="auto"/>
        <w:ind w:left="1047" w:right="21" w:firstLine="417"/>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需要指出的是，</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年中美以现价美元计算的经济规模之比出现大幅</w:t>
      </w:r>
      <w:r>
        <w:rPr>
          <w:rFonts w:ascii="方正书宋简体" w:hAnsi="方正书宋简体" w:eastAsia="方正书宋简体" w:cs="方正书宋简体"/>
          <w:color w:val="231F20"/>
          <w:sz w:val="21"/>
          <w:szCs w:val="21"/>
        </w:rPr>
        <w:t>掉头向下的现象，这只是</w:t>
      </w:r>
      <w:r>
        <w:rPr>
          <w:rFonts w:ascii="方正书宋简体" w:hAnsi="方正书宋简体" w:eastAsia="方正书宋简体" w:cs="方正书宋简体"/>
          <w:color w:val="231F20"/>
          <w:spacing w:val="1"/>
          <w:sz w:val="21"/>
          <w:szCs w:val="21"/>
        </w:rPr>
        <w:t>这个比例上升趋势中的一个暂时性回调。不过，</w:t>
      </w:r>
      <w:r>
        <w:rPr>
          <w:color w:val="231F20"/>
          <w:spacing w:val="1"/>
          <w:sz w:val="21"/>
          <w:szCs w:val="21"/>
        </w:rPr>
        <w:t xml:space="preserve">2023 </w:t>
      </w:r>
      <w:r>
        <w:rPr>
          <w:rFonts w:ascii="方正书宋简体" w:hAnsi="方正书宋简体" w:eastAsia="方正书宋简体" w:cs="方正书宋简体"/>
          <w:color w:val="231F20"/>
          <w:spacing w:val="1"/>
          <w:sz w:val="21"/>
          <w:szCs w:val="21"/>
        </w:rPr>
        <w:t>年仍然如此</w:t>
      </w:r>
      <w:r>
        <w:rPr>
          <w:rFonts w:ascii="方正书宋简体" w:hAnsi="方正书宋简体" w:eastAsia="方正书宋简体" w:cs="方正书宋简体"/>
          <w:color w:val="231F20"/>
          <w:sz w:val="21"/>
          <w:szCs w:val="21"/>
        </w:rPr>
        <w:t xml:space="preserve">，按修正前的信息，该年中美实际经济增长率分别为 </w:t>
      </w:r>
      <w:r>
        <w:rPr>
          <w:color w:val="231F20"/>
          <w:sz w:val="21"/>
          <w:szCs w:val="21"/>
        </w:rPr>
        <w:t xml:space="preserve">5.2% </w:t>
      </w:r>
      <w:r>
        <w:rPr>
          <w:rFonts w:ascii="方正书宋简体" w:hAnsi="方正书宋简体" w:eastAsia="方正书宋简体" w:cs="方正书宋简体"/>
          <w:color w:val="231F20"/>
          <w:sz w:val="21"/>
          <w:szCs w:val="21"/>
        </w:rPr>
        <w:t xml:space="preserve">和 </w:t>
      </w:r>
      <w:r>
        <w:rPr>
          <w:color w:val="231F20"/>
          <w:sz w:val="21"/>
          <w:szCs w:val="21"/>
        </w:rPr>
        <w:t>2.5%</w:t>
      </w:r>
      <w:r>
        <w:rPr>
          <w:rFonts w:ascii="方正书宋简体" w:hAnsi="方正书宋简体" w:eastAsia="方正书宋简体" w:cs="方正书宋简体"/>
          <w:color w:val="231F20"/>
          <w:sz w:val="21"/>
          <w:szCs w:val="21"/>
        </w:rPr>
        <w:t>，通货膨胀率分别为</w:t>
      </w:r>
      <w:r>
        <w:rPr>
          <w:rFonts w:ascii="方正书宋简体" w:hAnsi="方正书宋简体" w:eastAsia="方正书宋简体" w:cs="方正书宋简体"/>
          <w:color w:val="231F20"/>
          <w:spacing w:val="26"/>
          <w:w w:val="101"/>
          <w:sz w:val="21"/>
          <w:szCs w:val="21"/>
        </w:rPr>
        <w:t xml:space="preserve"> </w:t>
      </w:r>
      <w:r>
        <w:rPr>
          <w:color w:val="231F20"/>
          <w:sz w:val="21"/>
          <w:szCs w:val="21"/>
        </w:rPr>
        <w:t xml:space="preserve">0.2% </w:t>
      </w:r>
      <w:r>
        <w:rPr>
          <w:rFonts w:ascii="方正书宋简体" w:hAnsi="方正书宋简体" w:eastAsia="方正书宋简体" w:cs="方正书宋简体"/>
          <w:color w:val="231F20"/>
          <w:sz w:val="21"/>
          <w:szCs w:val="21"/>
        </w:rPr>
        <w:t>和</w:t>
      </w:r>
      <w:r>
        <w:rPr>
          <w:rFonts w:ascii="方正书宋简体" w:hAnsi="方正书宋简体" w:eastAsia="方正书宋简体" w:cs="方正书宋简体"/>
          <w:color w:val="231F20"/>
          <w:spacing w:val="10"/>
          <w:sz w:val="21"/>
          <w:szCs w:val="21"/>
        </w:rPr>
        <w:t xml:space="preserve"> </w:t>
      </w:r>
      <w:r>
        <w:rPr>
          <w:color w:val="231F20"/>
          <w:sz w:val="21"/>
          <w:szCs w:val="21"/>
        </w:rPr>
        <w:t>3.4%</w:t>
      </w:r>
      <w:r>
        <w:rPr>
          <w:rFonts w:ascii="方正书宋简体" w:hAnsi="方正书宋简体" w:eastAsia="方正书宋简体" w:cs="方正书宋简体"/>
          <w:color w:val="231F20"/>
          <w:sz w:val="21"/>
          <w:szCs w:val="21"/>
        </w:rPr>
        <w:t>，人民币对美元贬值</w:t>
      </w:r>
      <w:r>
        <w:rPr>
          <w:rFonts w:ascii="方正书宋简体" w:hAnsi="方正书宋简体" w:eastAsia="方正书宋简体" w:cs="方正书宋简体"/>
          <w:color w:val="231F20"/>
          <w:spacing w:val="9"/>
          <w:sz w:val="21"/>
          <w:szCs w:val="21"/>
        </w:rPr>
        <w:t xml:space="preserve"> </w:t>
      </w:r>
      <w:r>
        <w:rPr>
          <w:color w:val="231F20"/>
          <w:sz w:val="21"/>
          <w:szCs w:val="21"/>
        </w:rPr>
        <w:t>4.6%</w:t>
      </w:r>
      <w:r>
        <w:rPr>
          <w:rFonts w:ascii="方正书宋简体" w:hAnsi="方正书宋简体" w:eastAsia="方正书宋简体" w:cs="方正书宋简体"/>
          <w:color w:val="231F20"/>
          <w:sz w:val="21"/>
          <w:szCs w:val="21"/>
        </w:rPr>
        <w:t>。那么</w:t>
      </w:r>
      <w:r>
        <w:rPr>
          <w:rFonts w:ascii="方正书宋简体" w:hAnsi="方正书宋简体" w:eastAsia="方正书宋简体" w:cs="方正书宋简体"/>
          <w:color w:val="231F20"/>
          <w:spacing w:val="1"/>
          <w:sz w:val="21"/>
          <w:szCs w:val="21"/>
        </w:rPr>
        <w:t>根据前述分解，以现价美元计算的中美经济规</w:t>
      </w:r>
      <w:r>
        <w:rPr>
          <w:rFonts w:ascii="方正书宋简体" w:hAnsi="方正书宋简体" w:eastAsia="方正书宋简体" w:cs="方正书宋简体"/>
          <w:color w:val="231F20"/>
          <w:sz w:val="21"/>
          <w:szCs w:val="21"/>
        </w:rPr>
        <w:t>模之比将在</w:t>
      </w:r>
      <w:r>
        <w:rPr>
          <w:rFonts w:ascii="方正书宋简体" w:hAnsi="方正书宋简体" w:eastAsia="方正书宋简体" w:cs="方正书宋简体"/>
          <w:color w:val="231F20"/>
          <w:spacing w:val="15"/>
          <w:w w:val="101"/>
          <w:sz w:val="21"/>
          <w:szCs w:val="21"/>
        </w:rPr>
        <w:t xml:space="preserve"> </w:t>
      </w:r>
      <w:r>
        <w:rPr>
          <w:color w:val="231F20"/>
          <w:sz w:val="21"/>
          <w:szCs w:val="21"/>
        </w:rPr>
        <w:t xml:space="preserve">2022 </w:t>
      </w:r>
      <w:r>
        <w:rPr>
          <w:rFonts w:ascii="方正书宋简体" w:hAnsi="方正书宋简体" w:eastAsia="方正书宋简体" w:cs="方正书宋简体"/>
          <w:color w:val="231F20"/>
          <w:sz w:val="21"/>
          <w:szCs w:val="21"/>
        </w:rPr>
        <w:t xml:space="preserve">年的基础上再降低 </w:t>
      </w:r>
      <w:r>
        <w:rPr>
          <w:color w:val="231F20"/>
          <w:sz w:val="21"/>
          <w:szCs w:val="21"/>
        </w:rPr>
        <w:t xml:space="preserve">5.1 </w:t>
      </w:r>
      <w:r>
        <w:rPr>
          <w:rFonts w:ascii="方正书宋简体" w:hAnsi="方正书宋简体" w:eastAsia="方正书宋简体" w:cs="方正书宋简体"/>
          <w:color w:val="231F20"/>
          <w:sz w:val="21"/>
          <w:szCs w:val="21"/>
        </w:rPr>
        <w:t>个百分点（从</w:t>
      </w:r>
      <w:r>
        <w:rPr>
          <w:color w:val="231F20"/>
          <w:spacing w:val="2"/>
          <w:sz w:val="21"/>
          <w:szCs w:val="21"/>
        </w:rPr>
        <w:t>70.5%</w:t>
      </w:r>
      <w:r>
        <w:rPr>
          <w:color w:val="231F20"/>
          <w:spacing w:val="17"/>
          <w:w w:val="101"/>
          <w:sz w:val="21"/>
          <w:szCs w:val="21"/>
        </w:rPr>
        <w:t xml:space="preserve"> </w:t>
      </w:r>
      <w:r>
        <w:rPr>
          <w:rFonts w:ascii="方正书宋简体" w:hAnsi="方正书宋简体" w:eastAsia="方正书宋简体" w:cs="方正书宋简体"/>
          <w:color w:val="231F20"/>
          <w:spacing w:val="2"/>
          <w:sz w:val="21"/>
          <w:szCs w:val="21"/>
        </w:rPr>
        <w:t xml:space="preserve">降低至 </w:t>
      </w:r>
      <w:r>
        <w:rPr>
          <w:color w:val="231F20"/>
          <w:spacing w:val="2"/>
          <w:sz w:val="21"/>
          <w:szCs w:val="21"/>
        </w:rPr>
        <w:t>65.4%</w:t>
      </w:r>
      <w:r>
        <w:rPr>
          <w:rFonts w:ascii="方正书宋简体" w:hAnsi="方正书宋简体" w:eastAsia="方正书宋简体" w:cs="方正书宋简体"/>
          <w:color w:val="231F20"/>
          <w:spacing w:val="2"/>
          <w:sz w:val="21"/>
          <w:szCs w:val="21"/>
        </w:rPr>
        <w:t>）</w:t>
      </w:r>
      <w:r>
        <w:rPr>
          <w:rFonts w:ascii="方正书宋简体" w:hAnsi="方正书宋简体" w:eastAsia="方正书宋简体" w:cs="方正书宋简体"/>
          <w:color w:val="231F20"/>
          <w:spacing w:val="-27"/>
          <w:sz w:val="21"/>
          <w:szCs w:val="21"/>
        </w:rPr>
        <w:t xml:space="preserve"> </w:t>
      </w:r>
      <w:r>
        <w:rPr>
          <w:rFonts w:ascii="方正书宋简体" w:hAnsi="方正书宋简体" w:eastAsia="方正书宋简体" w:cs="方正书宋简体"/>
          <w:color w:val="231F20"/>
          <w:spacing w:val="2"/>
          <w:sz w:val="21"/>
          <w:szCs w:val="21"/>
        </w:rPr>
        <w:t>。值得注意的是，从长期来看，美元对人民</w:t>
      </w:r>
      <w:r>
        <w:rPr>
          <w:rFonts w:ascii="方正书宋简体" w:hAnsi="方正书宋简体" w:eastAsia="方正书宋简体" w:cs="方正书宋简体"/>
          <w:color w:val="231F20"/>
          <w:spacing w:val="1"/>
          <w:sz w:val="21"/>
          <w:szCs w:val="21"/>
        </w:rPr>
        <w:t>币汇率高估将逐渐消失。这样，</w:t>
      </w:r>
      <w:r>
        <w:rPr>
          <w:rFonts w:ascii="方正书宋简体" w:hAnsi="方正书宋简体" w:eastAsia="方正书宋简体" w:cs="方正书宋简体"/>
          <w:color w:val="231F20"/>
          <w:spacing w:val="-1"/>
          <w:sz w:val="21"/>
          <w:szCs w:val="21"/>
        </w:rPr>
        <w:t>未来中美以现价美元计算的经济规模之比的上升将从汇率方面获得一定的支持。</w:t>
      </w:r>
    </w:p>
    <w:p w14:paraId="0F2D5751">
      <w:pPr>
        <w:spacing w:before="104" w:line="203" w:lineRule="auto"/>
        <w:ind w:left="1300"/>
        <w:outlineLvl w:val="1"/>
        <w:rPr>
          <w:rFonts w:ascii="微软雅黑" w:hAnsi="微软雅黑" w:eastAsia="微软雅黑" w:cs="微软雅黑"/>
          <w:sz w:val="28"/>
          <w:szCs w:val="28"/>
        </w:rPr>
      </w:pPr>
      <w:bookmarkStart w:id="667" w:name="_Toc718053093"/>
      <w:bookmarkStart w:id="668" w:name="_Toc29791"/>
      <w:bookmarkStart w:id="669" w:name="_Toc1291778944"/>
      <w:bookmarkStart w:id="670" w:name="_Toc544536361"/>
      <w:bookmarkStart w:id="671" w:name="_Toc1068084387"/>
      <w:bookmarkStart w:id="672" w:name="_Toc19971597"/>
      <w:r>
        <w:rPr>
          <w:rFonts w:ascii="微软雅黑" w:hAnsi="微软雅黑" w:eastAsia="微软雅黑" w:cs="微软雅黑"/>
          <w:color w:val="231F20"/>
          <w:spacing w:val="-2"/>
          <w:sz w:val="28"/>
          <w:szCs w:val="28"/>
        </w:rPr>
        <w:t>三、大国经济格局结构性调整</w:t>
      </w:r>
      <w:bookmarkEnd w:id="667"/>
      <w:bookmarkEnd w:id="668"/>
      <w:bookmarkEnd w:id="669"/>
      <w:bookmarkEnd w:id="670"/>
      <w:bookmarkEnd w:id="671"/>
      <w:bookmarkEnd w:id="672"/>
    </w:p>
    <w:p w14:paraId="27A455F4">
      <w:pPr>
        <w:spacing w:before="114" w:line="268" w:lineRule="auto"/>
        <w:ind w:left="880" w:right="94" w:firstLine="416"/>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在大国视野下对增长率进行分类比较可以凸显中国经济地位的变化特点，从而更加准确地</w:t>
      </w:r>
      <w:r>
        <w:rPr>
          <w:rFonts w:ascii="方正书宋简体" w:hAnsi="方正书宋简体" w:eastAsia="方正书宋简体" w:cs="方正书宋简体"/>
          <w:color w:val="231F20"/>
          <w:spacing w:val="1"/>
          <w:sz w:val="21"/>
          <w:szCs w:val="21"/>
        </w:rPr>
        <w:t>理解</w:t>
      </w:r>
      <w:r>
        <w:rPr>
          <w:rFonts w:ascii="方正书宋简体" w:hAnsi="方正书宋简体" w:eastAsia="方正书宋简体" w:cs="方正书宋简体"/>
          <w:color w:val="231F20"/>
          <w:spacing w:val="-2"/>
          <w:sz w:val="21"/>
          <w:szCs w:val="21"/>
        </w:rPr>
        <w:t>大国经济竞争的实质和我国国际经济环境的变化。</w:t>
      </w:r>
    </w:p>
    <w:p w14:paraId="338D2BCD">
      <w:pPr>
        <w:bidi w:val="0"/>
        <w:ind w:left="1000" w:leftChars="0" w:firstLine="500" w:firstLineChars="0"/>
      </w:pPr>
      <w:r>
        <w:t>（ 一 ）基本情况</w:t>
      </w:r>
    </w:p>
    <w:p w14:paraId="236BF9DD">
      <w:pPr>
        <w:pStyle w:val="6"/>
        <w:spacing w:before="50" w:line="273" w:lineRule="auto"/>
        <w:ind w:left="875" w:firstLine="425"/>
        <w:jc w:val="both"/>
        <w:rPr>
          <w:rFonts w:ascii="方正书宋简体" w:hAnsi="方正书宋简体" w:eastAsia="方正书宋简体" w:cs="方正书宋简体"/>
          <w:color w:val="231F20"/>
          <w:spacing w:val="-2"/>
          <w:sz w:val="21"/>
          <w:szCs w:val="21"/>
        </w:rPr>
      </w:pPr>
      <w:r>
        <w:rPr>
          <w:rFonts w:ascii="方正书宋简体" w:hAnsi="方正书宋简体" w:eastAsia="方正书宋简体" w:cs="方正书宋简体"/>
          <w:color w:val="231F20"/>
          <w:spacing w:val="1"/>
          <w:sz w:val="21"/>
          <w:szCs w:val="21"/>
        </w:rPr>
        <w:t>大国比较研究必须重点关注</w:t>
      </w:r>
      <w:r>
        <w:rPr>
          <w:rFonts w:ascii="方正书宋简体" w:hAnsi="方正书宋简体" w:eastAsia="方正书宋简体" w:cs="方正书宋简体"/>
          <w:color w:val="231F20"/>
          <w:spacing w:val="3"/>
          <w:sz w:val="21"/>
          <w:szCs w:val="21"/>
        </w:rPr>
        <w:t>：（</w:t>
      </w:r>
      <w:r>
        <w:rPr>
          <w:rFonts w:ascii="方正书宋简体" w:hAnsi="方正书宋简体" w:eastAsia="方正书宋简体" w:cs="方正书宋简体"/>
          <w:color w:val="231F20"/>
          <w:spacing w:val="-25"/>
          <w:sz w:val="21"/>
          <w:szCs w:val="21"/>
        </w:rPr>
        <w:t xml:space="preserve"> </w:t>
      </w:r>
      <w:r>
        <w:rPr>
          <w:color w:val="231F20"/>
          <w:spacing w:val="1"/>
          <w:sz w:val="21"/>
          <w:szCs w:val="21"/>
        </w:rPr>
        <w:t>1</w:t>
      </w:r>
      <w:r>
        <w:rPr>
          <w:rFonts w:ascii="方正书宋简体" w:hAnsi="方正书宋简体" w:eastAsia="方正书宋简体" w:cs="方正书宋简体"/>
          <w:color w:val="231F20"/>
          <w:spacing w:val="1"/>
          <w:sz w:val="21"/>
          <w:szCs w:val="21"/>
        </w:rPr>
        <w:t>）哪些国家属于主要大国。（</w:t>
      </w:r>
      <w:r>
        <w:rPr>
          <w:color w:val="231F20"/>
          <w:spacing w:val="1"/>
          <w:sz w:val="21"/>
          <w:szCs w:val="21"/>
        </w:rPr>
        <w:t>2</w:t>
      </w:r>
      <w:r>
        <w:rPr>
          <w:rFonts w:ascii="方正书宋简体" w:hAnsi="方正书宋简体" w:eastAsia="方正书宋简体" w:cs="方正书宋简体"/>
          <w:color w:val="231F20"/>
          <w:spacing w:val="1"/>
          <w:sz w:val="21"/>
          <w:szCs w:val="21"/>
        </w:rPr>
        <w:t>）哪些国家属于主要大国中的</w:t>
      </w:r>
      <w:r>
        <w:rPr>
          <w:rFonts w:ascii="方正书宋简体" w:hAnsi="方正书宋简体" w:eastAsia="方正书宋简体" w:cs="方正书宋简体"/>
          <w:color w:val="231F20"/>
          <w:spacing w:val="2"/>
          <w:sz w:val="21"/>
          <w:szCs w:val="21"/>
        </w:rPr>
        <w:t>超大型国家。（</w:t>
      </w:r>
      <w:r>
        <w:rPr>
          <w:color w:val="231F20"/>
          <w:spacing w:val="2"/>
          <w:sz w:val="21"/>
          <w:szCs w:val="21"/>
        </w:rPr>
        <w:t>3</w:t>
      </w:r>
      <w:r>
        <w:rPr>
          <w:rFonts w:ascii="方正书宋简体" w:hAnsi="方正书宋简体" w:eastAsia="方正书宋简体" w:cs="方正书宋简体"/>
          <w:color w:val="231F20"/>
          <w:spacing w:val="2"/>
          <w:sz w:val="21"/>
          <w:szCs w:val="21"/>
        </w:rPr>
        <w:t xml:space="preserve">）哪些国家属于主要大国中的发达大国与发展中大国。以 </w:t>
      </w:r>
      <w:r>
        <w:rPr>
          <w:color w:val="231F20"/>
          <w:spacing w:val="2"/>
          <w:sz w:val="21"/>
          <w:szCs w:val="21"/>
        </w:rPr>
        <w:t xml:space="preserve">2022 </w:t>
      </w:r>
      <w:r>
        <w:rPr>
          <w:rFonts w:ascii="方正书宋简体" w:hAnsi="方正书宋简体" w:eastAsia="方正书宋简体" w:cs="方正书宋简体"/>
          <w:color w:val="231F20"/>
          <w:spacing w:val="2"/>
          <w:sz w:val="21"/>
          <w:szCs w:val="21"/>
        </w:rPr>
        <w:t>年按现价美元计算</w:t>
      </w:r>
      <w:r>
        <w:rPr>
          <w:rFonts w:ascii="方正书宋简体" w:hAnsi="方正书宋简体" w:eastAsia="方正书宋简体" w:cs="方正书宋简体"/>
          <w:color w:val="231F20"/>
          <w:spacing w:val="-3"/>
          <w:sz w:val="21"/>
          <w:szCs w:val="21"/>
        </w:rPr>
        <w:t>的国家经济规模（</w:t>
      </w:r>
      <w:r>
        <w:rPr>
          <w:color w:val="231F20"/>
          <w:spacing w:val="-3"/>
          <w:sz w:val="21"/>
          <w:szCs w:val="21"/>
        </w:rPr>
        <w:t>GDP</w:t>
      </w:r>
      <w:r>
        <w:rPr>
          <w:rFonts w:ascii="方正书宋简体" w:hAnsi="方正书宋简体" w:eastAsia="方正书宋简体" w:cs="方正书宋简体"/>
          <w:color w:val="231F20"/>
          <w:spacing w:val="-3"/>
          <w:sz w:val="21"/>
          <w:szCs w:val="21"/>
        </w:rPr>
        <w:t>）从大到小进行排序，选取前面</w:t>
      </w:r>
      <w:r>
        <w:rPr>
          <w:rFonts w:ascii="方正书宋简体" w:hAnsi="方正书宋简体" w:eastAsia="方正书宋简体" w:cs="方正书宋简体"/>
          <w:color w:val="231F20"/>
          <w:spacing w:val="21"/>
          <w:sz w:val="21"/>
          <w:szCs w:val="21"/>
        </w:rPr>
        <w:t xml:space="preserve"> </w:t>
      </w:r>
      <w:r>
        <w:rPr>
          <w:color w:val="231F20"/>
          <w:spacing w:val="-3"/>
          <w:sz w:val="21"/>
          <w:szCs w:val="21"/>
        </w:rPr>
        <w:t xml:space="preserve">18 </w:t>
      </w:r>
      <w:r>
        <w:rPr>
          <w:rFonts w:ascii="方正书宋简体" w:hAnsi="方正书宋简体" w:eastAsia="方正书宋简体" w:cs="方正书宋简体"/>
          <w:color w:val="231F20"/>
          <w:spacing w:val="-3"/>
          <w:sz w:val="21"/>
          <w:szCs w:val="21"/>
        </w:rPr>
        <w:t>个国</w:t>
      </w:r>
      <w:r>
        <w:rPr>
          <w:rFonts w:ascii="方正书宋简体" w:hAnsi="方正书宋简体" w:eastAsia="方正书宋简体" w:cs="方正书宋简体"/>
          <w:color w:val="231F20"/>
          <w:spacing w:val="-4"/>
          <w:sz w:val="21"/>
          <w:szCs w:val="21"/>
        </w:rPr>
        <w:t>家进行分析。其中美国、日本、德国、英国、法国、意大利、加拿大、韩国、澳大利亚、西班牙、荷兰等</w:t>
      </w:r>
      <w:r>
        <w:rPr>
          <w:rFonts w:ascii="方正书宋简体" w:hAnsi="方正书宋简体" w:eastAsia="方正书宋简体" w:cs="方正书宋简体"/>
          <w:color w:val="231F20"/>
          <w:spacing w:val="22"/>
          <w:w w:val="101"/>
          <w:sz w:val="21"/>
          <w:szCs w:val="21"/>
        </w:rPr>
        <w:t xml:space="preserve"> </w:t>
      </w:r>
      <w:r>
        <w:rPr>
          <w:color w:val="231F20"/>
          <w:spacing w:val="-4"/>
          <w:sz w:val="21"/>
          <w:szCs w:val="21"/>
        </w:rPr>
        <w:t>11</w:t>
      </w:r>
      <w:r>
        <w:rPr>
          <w:color w:val="231F20"/>
          <w:spacing w:val="23"/>
          <w:sz w:val="21"/>
          <w:szCs w:val="21"/>
        </w:rPr>
        <w:t xml:space="preserve"> </w:t>
      </w:r>
      <w:r>
        <w:rPr>
          <w:rFonts w:ascii="方正书宋简体" w:hAnsi="方正书宋简体" w:eastAsia="方正书宋简体" w:cs="方正书宋简体"/>
          <w:color w:val="231F20"/>
          <w:spacing w:val="-4"/>
          <w:sz w:val="21"/>
          <w:szCs w:val="21"/>
        </w:rPr>
        <w:t>国属于发达国家，中国、印</w:t>
      </w:r>
      <w:r>
        <w:rPr>
          <w:rFonts w:ascii="方正书宋简体" w:hAnsi="方正书宋简体" w:eastAsia="方正书宋简体" w:cs="方正书宋简体"/>
          <w:color w:val="231F20"/>
          <w:spacing w:val="-5"/>
          <w:sz w:val="21"/>
          <w:szCs w:val="21"/>
        </w:rPr>
        <w:t>度、</w:t>
      </w:r>
      <w:r>
        <w:rPr>
          <w:rFonts w:ascii="方正书宋简体" w:hAnsi="方正书宋简体" w:eastAsia="方正书宋简体" w:cs="方正书宋简体"/>
          <w:color w:val="231F20"/>
          <w:spacing w:val="-2"/>
          <w:sz w:val="21"/>
          <w:szCs w:val="21"/>
        </w:rPr>
        <w:t xml:space="preserve">巴西、俄罗斯、墨西哥、印度尼西亚、土耳其等 </w:t>
      </w:r>
      <w:r>
        <w:rPr>
          <w:color w:val="231F20"/>
          <w:spacing w:val="-2"/>
          <w:sz w:val="21"/>
          <w:szCs w:val="21"/>
        </w:rPr>
        <w:t>7</w:t>
      </w:r>
      <w:r>
        <w:rPr>
          <w:color w:val="231F20"/>
          <w:spacing w:val="41"/>
          <w:w w:val="101"/>
          <w:sz w:val="21"/>
          <w:szCs w:val="21"/>
        </w:rPr>
        <w:t xml:space="preserve"> </w:t>
      </w:r>
      <w:r>
        <w:rPr>
          <w:rFonts w:ascii="方正书宋简体" w:hAnsi="方正书宋简体" w:eastAsia="方正书宋简体" w:cs="方正书宋简体"/>
          <w:color w:val="231F20"/>
          <w:spacing w:val="-2"/>
          <w:sz w:val="21"/>
          <w:szCs w:val="21"/>
        </w:rPr>
        <w:t>国属于发展中国家。</w:t>
      </w:r>
    </w:p>
    <w:p w14:paraId="22CD33B8">
      <w:pPr>
        <w:bidi w:val="0"/>
        <w:ind w:left="500" w:leftChars="0" w:firstLine="500" w:firstLineChars="0"/>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 xml:space="preserve">图 </w:t>
      </w:r>
      <w:r>
        <w:rPr>
          <w:color w:val="231F20"/>
          <w:spacing w:val="-1"/>
          <w:sz w:val="21"/>
          <w:szCs w:val="21"/>
        </w:rPr>
        <w:t xml:space="preserve">3 </w:t>
      </w:r>
      <w:r>
        <w:rPr>
          <w:rFonts w:ascii="方正书宋简体" w:hAnsi="方正书宋简体" w:eastAsia="方正书宋简体" w:cs="方正书宋简体"/>
          <w:color w:val="231F20"/>
          <w:spacing w:val="-1"/>
          <w:sz w:val="21"/>
          <w:szCs w:val="21"/>
        </w:rPr>
        <w:t>给出了</w:t>
      </w:r>
      <w:r>
        <w:rPr>
          <w:rFonts w:ascii="方正书宋简体" w:hAnsi="方正书宋简体" w:eastAsia="方正书宋简体" w:cs="方正书宋简体"/>
          <w:color w:val="231F20"/>
          <w:spacing w:val="25"/>
          <w:sz w:val="21"/>
          <w:szCs w:val="21"/>
        </w:rPr>
        <w:t xml:space="preserve"> </w:t>
      </w:r>
      <w:r>
        <w:rPr>
          <w:color w:val="231F20"/>
          <w:spacing w:val="-1"/>
          <w:sz w:val="21"/>
          <w:szCs w:val="21"/>
        </w:rPr>
        <w:t>1990</w:t>
      </w:r>
      <w:r>
        <w:rPr>
          <w:rFonts w:ascii="方正书宋简体" w:hAnsi="方正书宋简体" w:eastAsia="方正书宋简体" w:cs="方正书宋简体"/>
          <w:color w:val="231F20"/>
          <w:spacing w:val="-1"/>
          <w:sz w:val="21"/>
          <w:szCs w:val="21"/>
        </w:rPr>
        <w:t>—</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年以现价美元计算的中美经济增长率与其他发达大国、发展</w:t>
      </w:r>
      <w:r>
        <w:rPr>
          <w:rFonts w:ascii="方正书宋简体" w:hAnsi="方正书宋简体" w:eastAsia="方正书宋简体" w:cs="方正书宋简体"/>
          <w:color w:val="231F20"/>
          <w:spacing w:val="-2"/>
          <w:sz w:val="21"/>
          <w:szCs w:val="21"/>
        </w:rPr>
        <w:t>中大国的经</w:t>
      </w:r>
      <w:r>
        <w:rPr>
          <w:rFonts w:ascii="方正书宋简体" w:hAnsi="方正书宋简体" w:eastAsia="方正书宋简体" w:cs="方正书宋简体"/>
          <w:color w:val="231F20"/>
          <w:spacing w:val="-5"/>
          <w:sz w:val="21"/>
          <w:szCs w:val="21"/>
        </w:rPr>
        <w:t>济增长率。</w:t>
      </w:r>
    </w:p>
    <w:p w14:paraId="67E56AE0">
      <w:pPr>
        <w:spacing w:before="80" w:line="2202" w:lineRule="exact"/>
        <w:ind w:firstLine="2514"/>
      </w:pPr>
      <w:r>
        <w:rPr>
          <w:position w:val="-44"/>
        </w:rPr>
        <w:drawing>
          <wp:inline distT="0" distB="0" distL="0" distR="0">
            <wp:extent cx="3707765" cy="1397635"/>
            <wp:effectExtent l="0" t="0" r="635" b="24765"/>
            <wp:docPr id="415" name="IM 40"/>
            <wp:cNvGraphicFramePr/>
            <a:graphic xmlns:a="http://schemas.openxmlformats.org/drawingml/2006/main">
              <a:graphicData uri="http://schemas.openxmlformats.org/drawingml/2006/picture">
                <pic:pic xmlns:pic="http://schemas.openxmlformats.org/drawingml/2006/picture">
                  <pic:nvPicPr>
                    <pic:cNvPr id="415" name="IM 40"/>
                    <pic:cNvPicPr/>
                  </pic:nvPicPr>
                  <pic:blipFill>
                    <a:blip r:embed="rId94"/>
                    <a:stretch>
                      <a:fillRect/>
                    </a:stretch>
                  </pic:blipFill>
                  <pic:spPr>
                    <a:xfrm>
                      <a:off x="0" y="0"/>
                      <a:ext cx="3708044" cy="1397825"/>
                    </a:xfrm>
                    <a:prstGeom prst="rect">
                      <a:avLst/>
                    </a:prstGeom>
                  </pic:spPr>
                </pic:pic>
              </a:graphicData>
            </a:graphic>
          </wp:inline>
        </w:drawing>
      </w:r>
    </w:p>
    <w:p w14:paraId="44589441">
      <w:pPr>
        <w:bidi w:val="0"/>
        <w:ind w:left="1000" w:leftChars="0" w:firstLine="500" w:firstLineChars="0"/>
        <w:jc w:val="center"/>
        <w:rPr>
          <w:rFonts w:ascii="微软雅黑" w:hAnsi="微软雅黑" w:eastAsia="微软雅黑" w:cs="微软雅黑"/>
          <w:sz w:val="21"/>
          <w:szCs w:val="21"/>
        </w:rPr>
      </w:pPr>
      <w:r>
        <w:rPr>
          <w:rFonts w:ascii="微软雅黑" w:hAnsi="微软雅黑" w:eastAsia="微软雅黑" w:cs="微软雅黑"/>
          <w:color w:val="231F20"/>
          <w:spacing w:val="-1"/>
          <w:sz w:val="21"/>
          <w:szCs w:val="21"/>
        </w:rPr>
        <w:t xml:space="preserve">图 </w:t>
      </w:r>
      <w:r>
        <w:rPr>
          <w:color w:val="231F20"/>
          <w:spacing w:val="-1"/>
          <w:sz w:val="21"/>
          <w:szCs w:val="21"/>
        </w:rPr>
        <w:t>3  1990</w:t>
      </w:r>
      <w:r>
        <w:rPr>
          <w:rFonts w:ascii="方正书宋简体" w:hAnsi="方正书宋简体" w:eastAsia="方正书宋简体" w:cs="方正书宋简体"/>
          <w:color w:val="231F20"/>
          <w:spacing w:val="-1"/>
          <w:sz w:val="21"/>
          <w:szCs w:val="21"/>
        </w:rPr>
        <w:t>—</w:t>
      </w:r>
      <w:r>
        <w:rPr>
          <w:color w:val="231F20"/>
          <w:spacing w:val="-1"/>
          <w:sz w:val="21"/>
          <w:szCs w:val="21"/>
        </w:rPr>
        <w:t xml:space="preserve">2022 </w:t>
      </w:r>
      <w:r>
        <w:rPr>
          <w:rFonts w:ascii="微软雅黑" w:hAnsi="微软雅黑" w:eastAsia="微软雅黑" w:cs="微软雅黑"/>
          <w:color w:val="231F20"/>
          <w:spacing w:val="-1"/>
          <w:sz w:val="21"/>
          <w:szCs w:val="21"/>
        </w:rPr>
        <w:t>年大国（以现价美元计算的）经济增长率</w:t>
      </w:r>
    </w:p>
    <w:p w14:paraId="17D94E3B">
      <w:pPr>
        <w:pStyle w:val="6"/>
        <w:spacing w:before="152" w:line="272" w:lineRule="auto"/>
        <w:ind w:left="877" w:firstLine="421"/>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可见</w:t>
      </w:r>
      <w:r>
        <w:rPr>
          <w:rFonts w:ascii="方正书宋简体" w:hAnsi="方正书宋简体" w:eastAsia="方正书宋简体" w:cs="方正书宋简体"/>
          <w:color w:val="231F20"/>
          <w:spacing w:val="1"/>
          <w:sz w:val="21"/>
          <w:szCs w:val="21"/>
        </w:rPr>
        <w:t>：（</w:t>
      </w:r>
      <w:r>
        <w:rPr>
          <w:rFonts w:ascii="方正书宋简体" w:hAnsi="方正书宋简体" w:eastAsia="方正书宋简体" w:cs="方正书宋简体"/>
          <w:color w:val="231F20"/>
          <w:spacing w:val="-26"/>
          <w:sz w:val="21"/>
          <w:szCs w:val="21"/>
        </w:rPr>
        <w:t xml:space="preserve"> </w:t>
      </w:r>
      <w:r>
        <w:rPr>
          <w:color w:val="231F20"/>
          <w:spacing w:val="-2"/>
          <w:sz w:val="21"/>
          <w:szCs w:val="21"/>
        </w:rPr>
        <w:t>1</w:t>
      </w:r>
      <w:r>
        <w:rPr>
          <w:rFonts w:ascii="方正书宋简体" w:hAnsi="方正书宋简体" w:eastAsia="方正书宋简体" w:cs="方正书宋简体"/>
          <w:color w:val="231F20"/>
          <w:spacing w:val="-2"/>
          <w:sz w:val="21"/>
          <w:szCs w:val="21"/>
        </w:rPr>
        <w:t>）</w:t>
      </w:r>
      <w:r>
        <w:rPr>
          <w:rFonts w:ascii="方正书宋简体" w:hAnsi="方正书宋简体" w:eastAsia="方正书宋简体" w:cs="方正书宋简体"/>
          <w:color w:val="231F20"/>
          <w:spacing w:val="-27"/>
          <w:sz w:val="21"/>
          <w:szCs w:val="21"/>
        </w:rPr>
        <w:t xml:space="preserve"> </w:t>
      </w:r>
      <w:r>
        <w:rPr>
          <w:rFonts w:ascii="方正书宋简体" w:hAnsi="方正书宋简体" w:eastAsia="方正书宋简体" w:cs="方正书宋简体"/>
          <w:color w:val="231F20"/>
          <w:spacing w:val="-2"/>
          <w:sz w:val="21"/>
          <w:szCs w:val="21"/>
        </w:rPr>
        <w:t>中国经济增长快。从</w:t>
      </w:r>
      <w:r>
        <w:rPr>
          <w:rFonts w:ascii="方正书宋简体" w:hAnsi="方正书宋简体" w:eastAsia="方正书宋简体" w:cs="方正书宋简体"/>
          <w:color w:val="231F20"/>
          <w:spacing w:val="25"/>
          <w:w w:val="101"/>
          <w:sz w:val="21"/>
          <w:szCs w:val="21"/>
        </w:rPr>
        <w:t xml:space="preserve"> </w:t>
      </w:r>
      <w:r>
        <w:rPr>
          <w:color w:val="231F20"/>
          <w:spacing w:val="-2"/>
          <w:sz w:val="21"/>
          <w:szCs w:val="21"/>
        </w:rPr>
        <w:t xml:space="preserve">1990 </w:t>
      </w:r>
      <w:r>
        <w:rPr>
          <w:rFonts w:ascii="方正书宋简体" w:hAnsi="方正书宋简体" w:eastAsia="方正书宋简体" w:cs="方正书宋简体"/>
          <w:color w:val="231F20"/>
          <w:spacing w:val="-2"/>
          <w:sz w:val="21"/>
          <w:szCs w:val="21"/>
        </w:rPr>
        <w:t xml:space="preserve">年至 </w:t>
      </w:r>
      <w:r>
        <w:rPr>
          <w:color w:val="231F20"/>
          <w:spacing w:val="-2"/>
          <w:sz w:val="21"/>
          <w:szCs w:val="21"/>
        </w:rPr>
        <w:t xml:space="preserve">2022 </w:t>
      </w:r>
      <w:r>
        <w:rPr>
          <w:rFonts w:ascii="方正书宋简体" w:hAnsi="方正书宋简体" w:eastAsia="方正书宋简体" w:cs="方正书宋简体"/>
          <w:color w:val="231F20"/>
          <w:spacing w:val="-2"/>
          <w:sz w:val="21"/>
          <w:szCs w:val="21"/>
        </w:rPr>
        <w:t>年，在大多数年份中国经济增长率高于美国经</w:t>
      </w:r>
      <w:r>
        <w:rPr>
          <w:rFonts w:ascii="方正书宋简体" w:hAnsi="方正书宋简体" w:eastAsia="方正书宋简体" w:cs="方正书宋简体"/>
          <w:color w:val="231F20"/>
          <w:spacing w:val="-6"/>
          <w:sz w:val="21"/>
          <w:szCs w:val="21"/>
        </w:rPr>
        <w:t>济增长率（</w:t>
      </w:r>
      <w:r>
        <w:rPr>
          <w:rFonts w:ascii="方正书宋简体" w:hAnsi="方正书宋简体" w:eastAsia="方正书宋简体" w:cs="方正书宋简体"/>
          <w:color w:val="231F20"/>
          <w:spacing w:val="-27"/>
          <w:sz w:val="21"/>
          <w:szCs w:val="21"/>
        </w:rPr>
        <w:t xml:space="preserve"> </w:t>
      </w:r>
      <w:r>
        <w:rPr>
          <w:color w:val="231F20"/>
          <w:spacing w:val="-6"/>
          <w:sz w:val="21"/>
          <w:szCs w:val="21"/>
        </w:rPr>
        <w:t xml:space="preserve">1990 </w:t>
      </w:r>
      <w:r>
        <w:rPr>
          <w:rFonts w:ascii="方正书宋简体" w:hAnsi="方正书宋简体" w:eastAsia="方正书宋简体" w:cs="方正书宋简体"/>
          <w:color w:val="231F20"/>
          <w:spacing w:val="-6"/>
          <w:sz w:val="21"/>
          <w:szCs w:val="21"/>
        </w:rPr>
        <w:t>年、</w:t>
      </w:r>
      <w:r>
        <w:rPr>
          <w:color w:val="231F20"/>
          <w:spacing w:val="-6"/>
          <w:sz w:val="21"/>
          <w:szCs w:val="21"/>
        </w:rPr>
        <w:t xml:space="preserve">1994 </w:t>
      </w:r>
      <w:r>
        <w:rPr>
          <w:rFonts w:ascii="方正书宋简体" w:hAnsi="方正书宋简体" w:eastAsia="方正书宋简体" w:cs="方正书宋简体"/>
          <w:color w:val="231F20"/>
          <w:spacing w:val="-6"/>
          <w:sz w:val="21"/>
          <w:szCs w:val="21"/>
        </w:rPr>
        <w:t>年、</w:t>
      </w:r>
      <w:r>
        <w:rPr>
          <w:color w:val="231F20"/>
          <w:spacing w:val="-6"/>
          <w:sz w:val="21"/>
          <w:szCs w:val="21"/>
        </w:rPr>
        <w:t xml:space="preserve">2016 </w:t>
      </w:r>
      <w:r>
        <w:rPr>
          <w:rFonts w:ascii="方正书宋简体" w:hAnsi="方正书宋简体" w:eastAsia="方正书宋简体" w:cs="方正书宋简体"/>
          <w:color w:val="231F20"/>
          <w:spacing w:val="-6"/>
          <w:sz w:val="21"/>
          <w:szCs w:val="21"/>
        </w:rPr>
        <w:t>年、</w:t>
      </w:r>
      <w:r>
        <w:rPr>
          <w:color w:val="231F20"/>
          <w:spacing w:val="-6"/>
          <w:sz w:val="21"/>
          <w:szCs w:val="21"/>
        </w:rPr>
        <w:t xml:space="preserve">2019 </w:t>
      </w:r>
      <w:r>
        <w:rPr>
          <w:rFonts w:ascii="方正书宋简体" w:hAnsi="方正书宋简体" w:eastAsia="方正书宋简体" w:cs="方正书宋简体"/>
          <w:color w:val="231F20"/>
          <w:spacing w:val="-6"/>
          <w:sz w:val="21"/>
          <w:szCs w:val="21"/>
        </w:rPr>
        <w:t>年、</w:t>
      </w:r>
      <w:r>
        <w:rPr>
          <w:color w:val="231F20"/>
          <w:spacing w:val="-6"/>
          <w:sz w:val="21"/>
          <w:szCs w:val="21"/>
        </w:rPr>
        <w:t>20</w:t>
      </w:r>
      <w:r>
        <w:rPr>
          <w:color w:val="231F20"/>
          <w:spacing w:val="-7"/>
          <w:sz w:val="21"/>
          <w:szCs w:val="21"/>
        </w:rPr>
        <w:t xml:space="preserve">22 </w:t>
      </w:r>
      <w:r>
        <w:rPr>
          <w:rFonts w:ascii="方正书宋简体" w:hAnsi="方正书宋简体" w:eastAsia="方正书宋简体" w:cs="方正书宋简体"/>
          <w:color w:val="231F20"/>
          <w:spacing w:val="-7"/>
          <w:sz w:val="21"/>
          <w:szCs w:val="21"/>
        </w:rPr>
        <w:t>年除外）和其他发达大国经济增长率（</w:t>
      </w:r>
      <w:r>
        <w:rPr>
          <w:rFonts w:ascii="方正书宋简体" w:hAnsi="方正书宋简体" w:eastAsia="方正书宋简体" w:cs="方正书宋简体"/>
          <w:color w:val="231F20"/>
          <w:spacing w:val="-27"/>
          <w:sz w:val="21"/>
          <w:szCs w:val="21"/>
        </w:rPr>
        <w:t xml:space="preserve"> </w:t>
      </w:r>
      <w:r>
        <w:rPr>
          <w:color w:val="231F20"/>
          <w:spacing w:val="-7"/>
          <w:sz w:val="21"/>
          <w:szCs w:val="21"/>
        </w:rPr>
        <w:t xml:space="preserve">1990 </w:t>
      </w:r>
      <w:r>
        <w:rPr>
          <w:rFonts w:ascii="方正书宋简体" w:hAnsi="方正书宋简体" w:eastAsia="方正书宋简体" w:cs="方正书宋简体"/>
          <w:color w:val="231F20"/>
          <w:spacing w:val="-7"/>
          <w:sz w:val="21"/>
          <w:szCs w:val="21"/>
        </w:rPr>
        <w:t>年、</w:t>
      </w:r>
      <w:r>
        <w:rPr>
          <w:rFonts w:ascii="方正书宋简体" w:hAnsi="方正书宋简体" w:eastAsia="方正书宋简体" w:cs="方正书宋简体"/>
          <w:color w:val="231F20"/>
          <w:sz w:val="21"/>
          <w:szCs w:val="21"/>
        </w:rPr>
        <w:t xml:space="preserve"> </w:t>
      </w:r>
      <w:r>
        <w:rPr>
          <w:color w:val="231F20"/>
          <w:sz w:val="21"/>
          <w:szCs w:val="21"/>
        </w:rPr>
        <w:t xml:space="preserve">1991 </w:t>
      </w:r>
      <w:r>
        <w:rPr>
          <w:rFonts w:ascii="方正书宋简体" w:hAnsi="方正书宋简体" w:eastAsia="方正书宋简体" w:cs="方正书宋简体"/>
          <w:color w:val="231F20"/>
          <w:sz w:val="21"/>
          <w:szCs w:val="21"/>
        </w:rPr>
        <w:t>年、</w:t>
      </w:r>
      <w:r>
        <w:rPr>
          <w:rFonts w:ascii="方正书宋简体" w:hAnsi="方正书宋简体" w:eastAsia="方正书宋简体" w:cs="方正书宋简体"/>
          <w:color w:val="231F20"/>
          <w:spacing w:val="-27"/>
          <w:sz w:val="21"/>
          <w:szCs w:val="21"/>
        </w:rPr>
        <w:t xml:space="preserve"> </w:t>
      </w:r>
      <w:r>
        <w:rPr>
          <w:color w:val="231F20"/>
          <w:sz w:val="21"/>
          <w:szCs w:val="21"/>
        </w:rPr>
        <w:t xml:space="preserve">1994 </w:t>
      </w:r>
      <w:r>
        <w:rPr>
          <w:rFonts w:ascii="方正书宋简体" w:hAnsi="方正书宋简体" w:eastAsia="方正书宋简体" w:cs="方正书宋简体"/>
          <w:color w:val="231F20"/>
          <w:sz w:val="21"/>
          <w:szCs w:val="21"/>
        </w:rPr>
        <w:t>年、</w:t>
      </w:r>
      <w:r>
        <w:rPr>
          <w:color w:val="231F20"/>
          <w:sz w:val="21"/>
          <w:szCs w:val="21"/>
        </w:rPr>
        <w:t xml:space="preserve">2003 </w:t>
      </w:r>
      <w:r>
        <w:rPr>
          <w:rFonts w:ascii="方正书宋简体" w:hAnsi="方正书宋简体" w:eastAsia="方正书宋简体" w:cs="方正书宋简体"/>
          <w:color w:val="231F20"/>
          <w:sz w:val="21"/>
          <w:szCs w:val="21"/>
        </w:rPr>
        <w:t>年、</w:t>
      </w:r>
      <w:r>
        <w:rPr>
          <w:color w:val="231F20"/>
          <w:sz w:val="21"/>
          <w:szCs w:val="21"/>
        </w:rPr>
        <w:t>2016</w:t>
      </w:r>
      <w:r>
        <w:rPr>
          <w:color w:val="231F20"/>
          <w:spacing w:val="-1"/>
          <w:sz w:val="21"/>
          <w:szCs w:val="21"/>
        </w:rPr>
        <w:t xml:space="preserve"> </w:t>
      </w:r>
      <w:r>
        <w:rPr>
          <w:rFonts w:ascii="方正书宋简体" w:hAnsi="方正书宋简体" w:eastAsia="方正书宋简体" w:cs="方正书宋简体"/>
          <w:color w:val="231F20"/>
          <w:spacing w:val="-1"/>
          <w:sz w:val="21"/>
          <w:szCs w:val="21"/>
        </w:rPr>
        <w:t>年、</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年除外）</w:t>
      </w:r>
      <w:r>
        <w:rPr>
          <w:rFonts w:ascii="方正书宋简体" w:hAnsi="方正书宋简体" w:eastAsia="方正书宋简体" w:cs="方正书宋简体"/>
          <w:color w:val="231F20"/>
          <w:spacing w:val="-27"/>
          <w:sz w:val="21"/>
          <w:szCs w:val="21"/>
        </w:rPr>
        <w:t xml:space="preserve"> </w:t>
      </w:r>
      <w:r>
        <w:rPr>
          <w:rFonts w:ascii="方正书宋简体" w:hAnsi="方正书宋简体" w:eastAsia="方正书宋简体" w:cs="方正书宋简体"/>
          <w:color w:val="231F20"/>
          <w:spacing w:val="-1"/>
          <w:sz w:val="21"/>
          <w:szCs w:val="21"/>
        </w:rPr>
        <w:t>。因此，尽管针对美国、欧洲或其他发达大国</w:t>
      </w:r>
      <w:r>
        <w:rPr>
          <w:rFonts w:ascii="方正书宋简体" w:hAnsi="方正书宋简体" w:eastAsia="方正书宋简体" w:cs="方正书宋简体"/>
          <w:color w:val="231F20"/>
          <w:spacing w:val="3"/>
          <w:sz w:val="21"/>
          <w:szCs w:val="21"/>
        </w:rPr>
        <w:t xml:space="preserve">等可以谈经济日本化 </w:t>
      </w:r>
      <w:r>
        <w:rPr>
          <w:color w:val="231F20"/>
          <w:spacing w:val="3"/>
          <w:position w:val="9"/>
          <w:sz w:val="12"/>
          <w:szCs w:val="12"/>
        </w:rPr>
        <w:t xml:space="preserve">[10] </w:t>
      </w:r>
      <w:r>
        <w:rPr>
          <w:rFonts w:ascii="方正书宋简体" w:hAnsi="方正书宋简体" w:eastAsia="方正书宋简体" w:cs="方正书宋简体"/>
          <w:color w:val="231F20"/>
          <w:spacing w:val="3"/>
          <w:sz w:val="21"/>
          <w:szCs w:val="21"/>
        </w:rPr>
        <w:t>，但针对中国却应慎谈经济日</w:t>
      </w:r>
      <w:r>
        <w:rPr>
          <w:rFonts w:ascii="方正书宋简体" w:hAnsi="方正书宋简体" w:eastAsia="方正书宋简体" w:cs="方正书宋简体"/>
          <w:color w:val="231F20"/>
          <w:spacing w:val="2"/>
          <w:sz w:val="21"/>
          <w:szCs w:val="21"/>
        </w:rPr>
        <w:t>本化。（</w:t>
      </w:r>
      <w:r>
        <w:rPr>
          <w:color w:val="231F20"/>
          <w:spacing w:val="2"/>
          <w:sz w:val="21"/>
          <w:szCs w:val="21"/>
        </w:rPr>
        <w:t>2</w:t>
      </w:r>
      <w:r>
        <w:rPr>
          <w:rFonts w:ascii="方正书宋简体" w:hAnsi="方正书宋简体" w:eastAsia="方正书宋简体" w:cs="方正书宋简体"/>
          <w:color w:val="231F20"/>
          <w:spacing w:val="2"/>
          <w:sz w:val="21"/>
          <w:szCs w:val="21"/>
        </w:rPr>
        <w:t>）其他发达大国和其他发展中大国</w:t>
      </w:r>
      <w:r>
        <w:rPr>
          <w:rFonts w:ascii="方正书宋简体" w:hAnsi="方正书宋简体" w:eastAsia="方正书宋简体" w:cs="方正书宋简体"/>
          <w:color w:val="231F20"/>
          <w:spacing w:val="-1"/>
          <w:sz w:val="21"/>
          <w:szCs w:val="21"/>
        </w:rPr>
        <w:t>承受冲击的能力弱，经济韧性差，新世纪以来的</w:t>
      </w:r>
      <w:r>
        <w:rPr>
          <w:rFonts w:ascii="方正书宋简体" w:hAnsi="方正书宋简体" w:eastAsia="方正书宋简体" w:cs="方正书宋简体"/>
          <w:color w:val="231F20"/>
          <w:spacing w:val="-2"/>
          <w:sz w:val="21"/>
          <w:szCs w:val="21"/>
        </w:rPr>
        <w:t xml:space="preserve"> </w:t>
      </w:r>
      <w:r>
        <w:rPr>
          <w:color w:val="231F20"/>
          <w:spacing w:val="-2"/>
          <w:sz w:val="21"/>
          <w:szCs w:val="21"/>
        </w:rPr>
        <w:t xml:space="preserve">2001 </w:t>
      </w:r>
      <w:r>
        <w:rPr>
          <w:rFonts w:ascii="方正书宋简体" w:hAnsi="方正书宋简体" w:eastAsia="方正书宋简体" w:cs="方正书宋简体"/>
          <w:color w:val="231F20"/>
          <w:spacing w:val="-2"/>
          <w:sz w:val="21"/>
          <w:szCs w:val="21"/>
        </w:rPr>
        <w:t>年、</w:t>
      </w:r>
      <w:r>
        <w:rPr>
          <w:color w:val="231F20"/>
          <w:spacing w:val="-2"/>
          <w:sz w:val="21"/>
          <w:szCs w:val="21"/>
        </w:rPr>
        <w:t xml:space="preserve">2009 </w:t>
      </w:r>
      <w:r>
        <w:rPr>
          <w:rFonts w:ascii="方正书宋简体" w:hAnsi="方正书宋简体" w:eastAsia="方正书宋简体" w:cs="方正书宋简体"/>
          <w:color w:val="231F20"/>
          <w:spacing w:val="-2"/>
          <w:sz w:val="21"/>
          <w:szCs w:val="21"/>
        </w:rPr>
        <w:t>年、</w:t>
      </w:r>
      <w:r>
        <w:rPr>
          <w:color w:val="231F20"/>
          <w:spacing w:val="-2"/>
          <w:sz w:val="21"/>
          <w:szCs w:val="21"/>
        </w:rPr>
        <w:t xml:space="preserve">2015 </w:t>
      </w:r>
      <w:r>
        <w:rPr>
          <w:rFonts w:ascii="方正书宋简体" w:hAnsi="方正书宋简体" w:eastAsia="方正书宋简体" w:cs="方正书宋简体"/>
          <w:color w:val="231F20"/>
          <w:spacing w:val="-2"/>
          <w:sz w:val="21"/>
          <w:szCs w:val="21"/>
        </w:rPr>
        <w:t>年、</w:t>
      </w:r>
      <w:r>
        <w:rPr>
          <w:color w:val="231F20"/>
          <w:spacing w:val="-2"/>
          <w:sz w:val="21"/>
          <w:szCs w:val="21"/>
        </w:rPr>
        <w:t xml:space="preserve">2020 </w:t>
      </w:r>
      <w:r>
        <w:rPr>
          <w:rFonts w:ascii="方正书宋简体" w:hAnsi="方正书宋简体" w:eastAsia="方正书宋简体" w:cs="方正书宋简体"/>
          <w:color w:val="231F20"/>
          <w:spacing w:val="-2"/>
          <w:sz w:val="21"/>
          <w:szCs w:val="21"/>
        </w:rPr>
        <w:t>年都是重要例子。</w:t>
      </w:r>
      <w:r>
        <w:rPr>
          <w:rFonts w:ascii="方正书宋简体" w:hAnsi="方正书宋简体" w:eastAsia="方正书宋简体" w:cs="方正书宋简体"/>
          <w:color w:val="231F20"/>
          <w:spacing w:val="-1"/>
          <w:sz w:val="21"/>
          <w:szCs w:val="21"/>
        </w:rPr>
        <w:t>这与中美两国抗冲击能力强和经济韧性好形</w:t>
      </w:r>
      <w:r>
        <w:rPr>
          <w:rFonts w:ascii="方正书宋简体" w:hAnsi="方正书宋简体" w:eastAsia="方正书宋简体" w:cs="方正书宋简体"/>
          <w:color w:val="231F20"/>
          <w:spacing w:val="-2"/>
          <w:sz w:val="21"/>
          <w:szCs w:val="21"/>
        </w:rPr>
        <w:t>成鲜明对比。</w:t>
      </w:r>
    </w:p>
    <w:p w14:paraId="7D4B891F">
      <w:pPr>
        <w:pStyle w:val="6"/>
        <w:spacing w:line="271" w:lineRule="auto"/>
        <w:ind w:left="862" w:right="84" w:firstLine="433"/>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上述事实说明，各国在全球经济中的地位在发生结构性变化。图</w:t>
      </w:r>
      <w:r>
        <w:rPr>
          <w:rFonts w:ascii="方正书宋简体" w:hAnsi="方正书宋简体" w:eastAsia="方正书宋简体" w:cs="方正书宋简体"/>
          <w:color w:val="231F20"/>
          <w:spacing w:val="25"/>
          <w:sz w:val="21"/>
          <w:szCs w:val="21"/>
        </w:rPr>
        <w:t xml:space="preserve"> </w:t>
      </w:r>
      <w:r>
        <w:rPr>
          <w:color w:val="231F20"/>
          <w:spacing w:val="1"/>
          <w:sz w:val="21"/>
          <w:szCs w:val="21"/>
        </w:rPr>
        <w:t xml:space="preserve">4 </w:t>
      </w:r>
      <w:r>
        <w:rPr>
          <w:rFonts w:ascii="方正书宋简体" w:hAnsi="方正书宋简体" w:eastAsia="方正书宋简体" w:cs="方正书宋简体"/>
          <w:color w:val="231F20"/>
          <w:spacing w:val="1"/>
          <w:sz w:val="21"/>
          <w:szCs w:val="21"/>
        </w:rPr>
        <w:t>给出了</w:t>
      </w:r>
      <w:r>
        <w:rPr>
          <w:color w:val="231F20"/>
          <w:spacing w:val="1"/>
          <w:sz w:val="21"/>
          <w:szCs w:val="21"/>
        </w:rPr>
        <w:t xml:space="preserve">2000 </w:t>
      </w:r>
      <w:r>
        <w:rPr>
          <w:rFonts w:ascii="方正书宋简体" w:hAnsi="方正书宋简体" w:eastAsia="方正书宋简体" w:cs="方正书宋简体"/>
          <w:color w:val="231F20"/>
          <w:spacing w:val="1"/>
          <w:sz w:val="21"/>
          <w:szCs w:val="21"/>
        </w:rPr>
        <w:t xml:space="preserve">年和 </w:t>
      </w:r>
      <w:r>
        <w:rPr>
          <w:color w:val="231F20"/>
          <w:spacing w:val="1"/>
          <w:sz w:val="21"/>
          <w:szCs w:val="21"/>
        </w:rPr>
        <w:t>20</w:t>
      </w:r>
      <w:r>
        <w:rPr>
          <w:color w:val="231F20"/>
          <w:sz w:val="21"/>
          <w:szCs w:val="21"/>
        </w:rPr>
        <w:t xml:space="preserve">22 </w:t>
      </w:r>
      <w:r>
        <w:rPr>
          <w:rFonts w:ascii="方正书宋简体" w:hAnsi="方正书宋简体" w:eastAsia="方正书宋简体" w:cs="方正书宋简体"/>
          <w:color w:val="231F20"/>
          <w:sz w:val="21"/>
          <w:szCs w:val="21"/>
        </w:rPr>
        <w:t>年</w:t>
      </w:r>
      <w:r>
        <w:rPr>
          <w:rFonts w:ascii="方正书宋简体" w:hAnsi="方正书宋简体" w:eastAsia="方正书宋简体" w:cs="方正书宋简体"/>
          <w:color w:val="231F20"/>
          <w:spacing w:val="26"/>
          <w:sz w:val="21"/>
          <w:szCs w:val="21"/>
        </w:rPr>
        <w:t xml:space="preserve"> </w:t>
      </w:r>
      <w:r>
        <w:rPr>
          <w:color w:val="231F20"/>
          <w:sz w:val="21"/>
          <w:szCs w:val="21"/>
        </w:rPr>
        <w:t>18</w:t>
      </w:r>
      <w:r>
        <w:rPr>
          <w:rFonts w:ascii="方正书宋简体" w:hAnsi="方正书宋简体" w:eastAsia="方正书宋简体" w:cs="方正书宋简体"/>
          <w:color w:val="231F20"/>
          <w:spacing w:val="5"/>
          <w:sz w:val="21"/>
          <w:szCs w:val="21"/>
        </w:rPr>
        <w:t>个大国、其他发达大国、其他发展中大国经济总量份</w:t>
      </w:r>
      <w:r>
        <w:rPr>
          <w:rFonts w:ascii="方正书宋简体" w:hAnsi="方正书宋简体" w:eastAsia="方正书宋简体" w:cs="方正书宋简体"/>
          <w:color w:val="231F20"/>
          <w:spacing w:val="4"/>
          <w:sz w:val="21"/>
          <w:szCs w:val="21"/>
        </w:rPr>
        <w:t>额的变化。可见</w:t>
      </w:r>
      <w:r>
        <w:rPr>
          <w:rFonts w:ascii="方正书宋简体" w:hAnsi="方正书宋简体" w:eastAsia="方正书宋简体" w:cs="方正书宋简体"/>
          <w:color w:val="231F20"/>
          <w:sz w:val="21"/>
          <w:szCs w:val="21"/>
        </w:rPr>
        <w:t>：（</w:t>
      </w:r>
      <w:r>
        <w:rPr>
          <w:rFonts w:ascii="方正书宋简体" w:hAnsi="方正书宋简体" w:eastAsia="方正书宋简体" w:cs="方正书宋简体"/>
          <w:color w:val="231F20"/>
          <w:spacing w:val="-28"/>
          <w:sz w:val="21"/>
          <w:szCs w:val="21"/>
        </w:rPr>
        <w:t xml:space="preserve"> </w:t>
      </w:r>
      <w:r>
        <w:rPr>
          <w:color w:val="231F20"/>
          <w:spacing w:val="4"/>
          <w:sz w:val="21"/>
          <w:szCs w:val="21"/>
        </w:rPr>
        <w:t>1</w:t>
      </w:r>
      <w:r>
        <w:rPr>
          <w:rFonts w:ascii="方正书宋简体" w:hAnsi="方正书宋简体" w:eastAsia="方正书宋简体" w:cs="方正书宋简体"/>
          <w:color w:val="231F20"/>
          <w:spacing w:val="4"/>
          <w:sz w:val="21"/>
          <w:szCs w:val="21"/>
        </w:rPr>
        <w:t>）美国的份额缓慢下降</w:t>
      </w:r>
      <w:r>
        <w:rPr>
          <w:rFonts w:ascii="方正书宋简体" w:hAnsi="方正书宋简体" w:eastAsia="方正书宋简体" w:cs="方正书宋简体"/>
          <w:color w:val="231F20"/>
          <w:spacing w:val="-4"/>
          <w:sz w:val="21"/>
          <w:szCs w:val="21"/>
        </w:rPr>
        <w:t>（</w:t>
      </w:r>
      <w:r>
        <w:rPr>
          <w:rFonts w:ascii="宋体" w:hAnsi="宋体" w:eastAsia="宋体" w:cs="宋体"/>
          <w:color w:val="231F20"/>
          <w:spacing w:val="-4"/>
          <w:sz w:val="21"/>
          <w:szCs w:val="21"/>
        </w:rPr>
        <w:t>-</w:t>
      </w:r>
      <w:r>
        <w:rPr>
          <w:color w:val="231F20"/>
          <w:spacing w:val="-4"/>
          <w:sz w:val="21"/>
          <w:szCs w:val="21"/>
        </w:rPr>
        <w:t>16.8%</w:t>
      </w:r>
      <w:r>
        <w:rPr>
          <w:rFonts w:ascii="方正书宋简体" w:hAnsi="方正书宋简体" w:eastAsia="方正书宋简体" w:cs="方正书宋简体"/>
          <w:color w:val="231F20"/>
          <w:spacing w:val="-9"/>
          <w:sz w:val="21"/>
          <w:szCs w:val="21"/>
        </w:rPr>
        <w:t>）</w:t>
      </w:r>
      <w:r>
        <w:rPr>
          <w:rFonts w:ascii="方正书宋简体" w:hAnsi="方正书宋简体" w:eastAsia="方正书宋简体" w:cs="方正书宋简体"/>
          <w:color w:val="231F20"/>
          <w:spacing w:val="-22"/>
          <w:sz w:val="21"/>
          <w:szCs w:val="21"/>
        </w:rPr>
        <w:t xml:space="preserve"> </w:t>
      </w:r>
      <w:r>
        <w:rPr>
          <w:rFonts w:ascii="方正书宋简体" w:hAnsi="方正书宋简体" w:eastAsia="方正书宋简体" w:cs="方正书宋简体"/>
          <w:color w:val="231F20"/>
          <w:spacing w:val="-9"/>
          <w:sz w:val="21"/>
          <w:szCs w:val="21"/>
        </w:rPr>
        <w:t>，</w:t>
      </w:r>
      <w:r>
        <w:rPr>
          <w:rFonts w:ascii="方正书宋简体" w:hAnsi="方正书宋简体" w:eastAsia="方正书宋简体" w:cs="方正书宋简体"/>
          <w:color w:val="231F20"/>
          <w:spacing w:val="-4"/>
          <w:sz w:val="21"/>
          <w:szCs w:val="21"/>
        </w:rPr>
        <w:t>中国的份额快速上升（</w:t>
      </w:r>
      <w:r>
        <w:rPr>
          <w:color w:val="231F20"/>
          <w:spacing w:val="-4"/>
          <w:sz w:val="21"/>
          <w:szCs w:val="21"/>
        </w:rPr>
        <w:t>+396.9%</w:t>
      </w:r>
      <w:r>
        <w:rPr>
          <w:rFonts w:ascii="方正书宋简体" w:hAnsi="方正书宋简体" w:eastAsia="方正书宋简体" w:cs="方正书宋简体"/>
          <w:color w:val="231F20"/>
          <w:spacing w:val="-4"/>
          <w:sz w:val="21"/>
          <w:szCs w:val="21"/>
        </w:rPr>
        <w:t>）。这意味着在全球经</w:t>
      </w:r>
      <w:r>
        <w:rPr>
          <w:rFonts w:ascii="方正书宋简体" w:hAnsi="方正书宋简体" w:eastAsia="方正书宋简体" w:cs="方正书宋简体"/>
          <w:color w:val="231F20"/>
          <w:spacing w:val="-5"/>
          <w:sz w:val="21"/>
          <w:szCs w:val="21"/>
        </w:rPr>
        <w:t>济中，</w:t>
      </w:r>
      <w:r>
        <w:rPr>
          <w:rFonts w:ascii="方正书宋简体" w:hAnsi="方正书宋简体" w:eastAsia="方正书宋简体" w:cs="方正书宋简体"/>
          <w:color w:val="231F20"/>
          <w:spacing w:val="12"/>
          <w:sz w:val="21"/>
          <w:szCs w:val="21"/>
        </w:rPr>
        <w:t xml:space="preserve">  </w:t>
      </w:r>
      <w:r>
        <w:rPr>
          <w:rFonts w:ascii="方正书宋简体" w:hAnsi="方正书宋简体" w:eastAsia="方正书宋简体" w:cs="方正书宋简体"/>
          <w:color w:val="231F20"/>
          <w:spacing w:val="-5"/>
          <w:sz w:val="21"/>
          <w:szCs w:val="21"/>
        </w:rPr>
        <w:t>“中升美降”特征明显。</w:t>
      </w:r>
    </w:p>
    <w:p w14:paraId="2E1BDB5A">
      <w:pPr>
        <w:pStyle w:val="6"/>
        <w:spacing w:before="4" w:line="272" w:lineRule="auto"/>
        <w:ind w:left="875" w:right="90" w:hanging="13"/>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z w:val="21"/>
          <w:szCs w:val="21"/>
        </w:rPr>
        <w:t>（</w:t>
      </w:r>
      <w:r>
        <w:rPr>
          <w:color w:val="231F20"/>
          <w:sz w:val="21"/>
          <w:szCs w:val="21"/>
        </w:rPr>
        <w:t>2</w:t>
      </w:r>
      <w:r>
        <w:rPr>
          <w:rFonts w:ascii="方正书宋简体" w:hAnsi="方正书宋简体" w:eastAsia="方正书宋简体" w:cs="方正书宋简体"/>
          <w:color w:val="231F20"/>
          <w:sz w:val="21"/>
          <w:szCs w:val="21"/>
        </w:rPr>
        <w:t>）发达大国的份额大幅度下降（其他发达大国的份额降低</w:t>
      </w:r>
      <w:r>
        <w:rPr>
          <w:rFonts w:ascii="方正书宋简体" w:hAnsi="方正书宋简体" w:eastAsia="方正书宋简体" w:cs="方正书宋简体"/>
          <w:color w:val="231F20"/>
          <w:spacing w:val="30"/>
          <w:w w:val="101"/>
          <w:sz w:val="21"/>
          <w:szCs w:val="21"/>
        </w:rPr>
        <w:t xml:space="preserve"> </w:t>
      </w:r>
      <w:r>
        <w:rPr>
          <w:color w:val="231F20"/>
          <w:sz w:val="21"/>
          <w:szCs w:val="21"/>
        </w:rPr>
        <w:t>41.8%</w:t>
      </w:r>
      <w:r>
        <w:rPr>
          <w:rFonts w:ascii="方正书宋简体" w:hAnsi="方正书宋简体" w:eastAsia="方正书宋简体" w:cs="方正书宋简体"/>
          <w:color w:val="231F20"/>
          <w:sz w:val="21"/>
          <w:szCs w:val="21"/>
        </w:rPr>
        <w:t>，其中只有澳大利亚的份额有所</w:t>
      </w:r>
      <w:r>
        <w:rPr>
          <w:rFonts w:ascii="方正书宋简体" w:hAnsi="方正书宋简体" w:eastAsia="方正书宋简体" w:cs="方正书宋简体"/>
          <w:color w:val="231F20"/>
          <w:spacing w:val="2"/>
          <w:sz w:val="21"/>
          <w:szCs w:val="21"/>
        </w:rPr>
        <w:t>上升</w:t>
      </w:r>
      <w:r>
        <w:rPr>
          <w:rFonts w:ascii="方正书宋简体" w:hAnsi="方正书宋简体" w:eastAsia="方正书宋简体" w:cs="方正书宋简体"/>
          <w:color w:val="231F20"/>
          <w:sz w:val="21"/>
          <w:szCs w:val="21"/>
        </w:rPr>
        <w:t>）</w:t>
      </w:r>
      <w:r>
        <w:rPr>
          <w:rFonts w:ascii="方正书宋简体" w:hAnsi="方正书宋简体" w:eastAsia="方正书宋简体" w:cs="方正书宋简体"/>
          <w:color w:val="231F20"/>
          <w:spacing w:val="-13"/>
          <w:sz w:val="21"/>
          <w:szCs w:val="21"/>
        </w:rPr>
        <w:t xml:space="preserve"> </w:t>
      </w:r>
      <w:r>
        <w:rPr>
          <w:rFonts w:ascii="方正书宋简体" w:hAnsi="方正书宋简体" w:eastAsia="方正书宋简体" w:cs="方正书宋简体"/>
          <w:color w:val="231F20"/>
          <w:sz w:val="21"/>
          <w:szCs w:val="21"/>
        </w:rPr>
        <w:t>，</w:t>
      </w:r>
      <w:r>
        <w:rPr>
          <w:rFonts w:ascii="方正书宋简体" w:hAnsi="方正书宋简体" w:eastAsia="方正书宋简体" w:cs="方正书宋简体"/>
          <w:color w:val="231F20"/>
          <w:spacing w:val="2"/>
          <w:sz w:val="21"/>
          <w:szCs w:val="21"/>
        </w:rPr>
        <w:t xml:space="preserve">发展中大国的份额大幅度上升（其他发展中大国的份额上升 </w:t>
      </w:r>
      <w:r>
        <w:rPr>
          <w:color w:val="231F20"/>
          <w:spacing w:val="2"/>
          <w:sz w:val="21"/>
          <w:szCs w:val="21"/>
        </w:rPr>
        <w:t>48.1%</w:t>
      </w:r>
      <w:r>
        <w:rPr>
          <w:rFonts w:ascii="方正书宋简体" w:hAnsi="方正书宋简体" w:eastAsia="方正书宋简体" w:cs="方正书宋简体"/>
          <w:color w:val="231F20"/>
          <w:spacing w:val="2"/>
          <w:sz w:val="21"/>
          <w:szCs w:val="21"/>
        </w:rPr>
        <w:t>，其中</w:t>
      </w:r>
      <w:r>
        <w:rPr>
          <w:rFonts w:ascii="方正书宋简体" w:hAnsi="方正书宋简体" w:eastAsia="方正书宋简体" w:cs="方正书宋简体"/>
          <w:color w:val="231F20"/>
          <w:spacing w:val="1"/>
          <w:sz w:val="21"/>
          <w:szCs w:val="21"/>
        </w:rPr>
        <w:t>仅巴西和墨西哥的份额有一定下降）</w:t>
      </w:r>
      <w:r>
        <w:rPr>
          <w:rFonts w:ascii="方正书宋简体" w:hAnsi="方正书宋简体" w:eastAsia="方正书宋简体" w:cs="方正书宋简体"/>
          <w:color w:val="231F20"/>
          <w:spacing w:val="-15"/>
          <w:sz w:val="21"/>
          <w:szCs w:val="21"/>
        </w:rPr>
        <w:t xml:space="preserve"> </w:t>
      </w:r>
      <w:r>
        <w:rPr>
          <w:rFonts w:ascii="方正书宋简体" w:hAnsi="方正书宋简体" w:eastAsia="方正书宋简体" w:cs="方正书宋简体"/>
          <w:color w:val="231F20"/>
          <w:spacing w:val="1"/>
          <w:sz w:val="21"/>
          <w:szCs w:val="21"/>
        </w:rPr>
        <w:t>。这意味着在全球经济中“南升北降”特征明显。这“一升一降”，是新世纪</w:t>
      </w:r>
      <w:r>
        <w:rPr>
          <w:rFonts w:ascii="方正书宋简体" w:hAnsi="方正书宋简体" w:eastAsia="方正书宋简体" w:cs="方正书宋简体"/>
          <w:color w:val="231F20"/>
          <w:spacing w:val="-2"/>
          <w:sz w:val="21"/>
          <w:szCs w:val="21"/>
        </w:rPr>
        <w:t>以来全球经济格局结构性变化的基本特征。</w:t>
      </w:r>
    </w:p>
    <w:p w14:paraId="5CE2E975">
      <w:pPr>
        <w:spacing w:line="2173" w:lineRule="exact"/>
        <w:ind w:firstLine="2592"/>
      </w:pPr>
      <w:r>
        <w:rPr>
          <w:position w:val="-43"/>
        </w:rPr>
        <w:drawing>
          <wp:inline distT="0" distB="0" distL="0" distR="0">
            <wp:extent cx="3609975" cy="1379855"/>
            <wp:effectExtent l="0" t="0" r="22225" b="17145"/>
            <wp:docPr id="416" name="IM 42"/>
            <wp:cNvGraphicFramePr/>
            <a:graphic xmlns:a="http://schemas.openxmlformats.org/drawingml/2006/main">
              <a:graphicData uri="http://schemas.openxmlformats.org/drawingml/2006/picture">
                <pic:pic xmlns:pic="http://schemas.openxmlformats.org/drawingml/2006/picture">
                  <pic:nvPicPr>
                    <pic:cNvPr id="416" name="IM 42"/>
                    <pic:cNvPicPr/>
                  </pic:nvPicPr>
                  <pic:blipFill>
                    <a:blip r:embed="rId95"/>
                    <a:stretch>
                      <a:fillRect/>
                    </a:stretch>
                  </pic:blipFill>
                  <pic:spPr>
                    <a:xfrm>
                      <a:off x="0" y="0"/>
                      <a:ext cx="3610043" cy="1379867"/>
                    </a:xfrm>
                    <a:prstGeom prst="rect">
                      <a:avLst/>
                    </a:prstGeom>
                  </pic:spPr>
                </pic:pic>
              </a:graphicData>
            </a:graphic>
          </wp:inline>
        </w:drawing>
      </w:r>
    </w:p>
    <w:p w14:paraId="5A8A1B45">
      <w:pPr>
        <w:bidi w:val="0"/>
        <w:jc w:val="center"/>
        <w:rPr>
          <w:rFonts w:ascii="微软雅黑" w:hAnsi="微软雅黑" w:eastAsia="微软雅黑" w:cs="微软雅黑"/>
          <w:color w:val="231F20"/>
          <w:sz w:val="21"/>
          <w:szCs w:val="21"/>
        </w:rPr>
      </w:pPr>
      <w:r>
        <w:rPr>
          <w:rFonts w:ascii="微软雅黑" w:hAnsi="微软雅黑" w:eastAsia="微软雅黑" w:cs="微软雅黑"/>
          <w:color w:val="231F20"/>
          <w:spacing w:val="-5"/>
          <w:sz w:val="21"/>
          <w:szCs w:val="21"/>
        </w:rPr>
        <w:t xml:space="preserve">图 </w:t>
      </w:r>
      <w:r>
        <w:rPr>
          <w:color w:val="231F20"/>
          <w:spacing w:val="-5"/>
          <w:sz w:val="21"/>
          <w:szCs w:val="21"/>
        </w:rPr>
        <w:t>4  2000</w:t>
      </w:r>
      <w:r>
        <w:rPr>
          <w:color w:val="231F20"/>
          <w:spacing w:val="30"/>
          <w:w w:val="101"/>
          <w:sz w:val="21"/>
          <w:szCs w:val="21"/>
        </w:rPr>
        <w:t xml:space="preserve"> </w:t>
      </w:r>
      <w:r>
        <w:rPr>
          <w:rFonts w:ascii="微软雅黑" w:hAnsi="微软雅黑" w:eastAsia="微软雅黑" w:cs="微软雅黑"/>
          <w:color w:val="231F20"/>
          <w:spacing w:val="-5"/>
          <w:sz w:val="21"/>
          <w:szCs w:val="21"/>
        </w:rPr>
        <w:t xml:space="preserve">年和 </w:t>
      </w:r>
      <w:r>
        <w:rPr>
          <w:color w:val="231F20"/>
          <w:spacing w:val="-5"/>
          <w:sz w:val="21"/>
          <w:szCs w:val="21"/>
        </w:rPr>
        <w:t>2022</w:t>
      </w:r>
      <w:r>
        <w:rPr>
          <w:color w:val="231F20"/>
          <w:spacing w:val="12"/>
          <w:sz w:val="21"/>
          <w:szCs w:val="21"/>
        </w:rPr>
        <w:t xml:space="preserve"> </w:t>
      </w:r>
      <w:r>
        <w:rPr>
          <w:rFonts w:ascii="微软雅黑" w:hAnsi="微软雅黑" w:eastAsia="微软雅黑" w:cs="微软雅黑"/>
          <w:color w:val="231F20"/>
          <w:spacing w:val="-5"/>
          <w:sz w:val="21"/>
          <w:szCs w:val="21"/>
        </w:rPr>
        <w:t>年</w:t>
      </w:r>
      <w:r>
        <w:rPr>
          <w:rFonts w:ascii="微软雅黑" w:hAnsi="微软雅黑" w:eastAsia="微软雅黑" w:cs="微软雅黑"/>
          <w:color w:val="231F20"/>
          <w:spacing w:val="15"/>
          <w:sz w:val="21"/>
          <w:szCs w:val="21"/>
        </w:rPr>
        <w:t xml:space="preserve"> </w:t>
      </w:r>
      <w:r>
        <w:rPr>
          <w:color w:val="231F20"/>
          <w:spacing w:val="-5"/>
          <w:sz w:val="21"/>
          <w:szCs w:val="21"/>
        </w:rPr>
        <w:t xml:space="preserve">18 </w:t>
      </w:r>
      <w:r>
        <w:rPr>
          <w:rFonts w:ascii="微软雅黑" w:hAnsi="微软雅黑" w:eastAsia="微软雅黑" w:cs="微软雅黑"/>
          <w:color w:val="231F20"/>
          <w:spacing w:val="-5"/>
          <w:sz w:val="21"/>
          <w:szCs w:val="21"/>
        </w:rPr>
        <w:t xml:space="preserve">个大国以及两类国家在全球经济中的份额（ </w:t>
      </w:r>
      <w:r>
        <w:rPr>
          <w:color w:val="231F20"/>
          <w:spacing w:val="-5"/>
          <w:sz w:val="21"/>
          <w:szCs w:val="21"/>
        </w:rPr>
        <w:t xml:space="preserve">% </w:t>
      </w:r>
      <w:r>
        <w:rPr>
          <w:rFonts w:ascii="微软雅黑" w:hAnsi="微软雅黑" w:eastAsia="微软雅黑" w:cs="微软雅黑"/>
          <w:color w:val="231F20"/>
          <w:spacing w:val="-5"/>
          <w:sz w:val="21"/>
          <w:szCs w:val="21"/>
        </w:rPr>
        <w:t>）</w:t>
      </w:r>
    </w:p>
    <w:p w14:paraId="6DD8A0E8">
      <w:pPr>
        <w:bidi w:val="0"/>
        <w:ind w:left="1000" w:leftChars="0" w:firstLine="500" w:firstLineChars="0"/>
      </w:pPr>
      <w:r>
        <w:t>（二）几点重要提示</w:t>
      </w:r>
    </w:p>
    <w:p w14:paraId="18B8C3C2">
      <w:pPr>
        <w:pStyle w:val="6"/>
        <w:spacing w:before="73" w:line="247" w:lineRule="auto"/>
        <w:ind w:left="1047" w:right="210" w:firstLine="416"/>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第一，当今世界形成了“</w:t>
      </w:r>
      <w:r>
        <w:rPr>
          <w:color w:val="231F20"/>
          <w:spacing w:val="1"/>
          <w:sz w:val="21"/>
          <w:szCs w:val="21"/>
        </w:rPr>
        <w:t>2+N</w:t>
      </w:r>
      <w:r>
        <w:rPr>
          <w:rFonts w:ascii="方正书宋简体" w:hAnsi="方正书宋简体" w:eastAsia="方正书宋简体" w:cs="方正书宋简体"/>
          <w:color w:val="231F20"/>
          <w:spacing w:val="1"/>
          <w:sz w:val="21"/>
          <w:szCs w:val="21"/>
        </w:rPr>
        <w:t>”大国结构</w:t>
      </w:r>
      <w:r>
        <w:rPr>
          <w:rFonts w:ascii="方正书宋简体" w:hAnsi="方正书宋简体" w:eastAsia="方正书宋简体" w:cs="方正书宋简体"/>
          <w:color w:val="231F20"/>
          <w:sz w:val="21"/>
          <w:szCs w:val="21"/>
        </w:rPr>
        <w:t>。中国改革开放后，经济快速增长，在</w:t>
      </w:r>
      <w:r>
        <w:rPr>
          <w:rFonts w:ascii="方正书宋简体" w:hAnsi="方正书宋简体" w:eastAsia="方正书宋简体" w:cs="方正书宋简体"/>
          <w:color w:val="231F20"/>
          <w:spacing w:val="15"/>
          <w:w w:val="101"/>
          <w:sz w:val="21"/>
          <w:szCs w:val="21"/>
        </w:rPr>
        <w:t xml:space="preserve"> </w:t>
      </w:r>
      <w:r>
        <w:rPr>
          <w:color w:val="231F20"/>
          <w:sz w:val="21"/>
          <w:szCs w:val="21"/>
        </w:rPr>
        <w:t xml:space="preserve">2010 </w:t>
      </w:r>
      <w:r>
        <w:rPr>
          <w:rFonts w:ascii="方正书宋简体" w:hAnsi="方正书宋简体" w:eastAsia="方正书宋简体" w:cs="方正书宋简体"/>
          <w:color w:val="231F20"/>
          <w:sz w:val="21"/>
          <w:szCs w:val="21"/>
        </w:rPr>
        <w:t>年成为世</w:t>
      </w:r>
      <w:r>
        <w:rPr>
          <w:rFonts w:ascii="方正书宋简体" w:hAnsi="方正书宋简体" w:eastAsia="方正书宋简体" w:cs="方正书宋简体"/>
          <w:color w:val="231F20"/>
          <w:spacing w:val="1"/>
          <w:sz w:val="21"/>
          <w:szCs w:val="21"/>
        </w:rPr>
        <w:t>界第二大经济体，对全球增长做出了重大贡献。同时，美国保住了世界最大经济体的地位。因此，</w:t>
      </w:r>
    </w:p>
    <w:p w14:paraId="0CD5533B">
      <w:pPr>
        <w:pStyle w:val="6"/>
        <w:spacing w:before="95" w:line="274" w:lineRule="auto"/>
        <w:ind w:left="1045" w:firstLine="3"/>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2"/>
          <w:sz w:val="21"/>
          <w:szCs w:val="21"/>
        </w:rPr>
        <w:t>现在世界已经形成“</w:t>
      </w:r>
      <w:r>
        <w:rPr>
          <w:color w:val="231F20"/>
          <w:spacing w:val="-12"/>
          <w:sz w:val="21"/>
          <w:szCs w:val="21"/>
        </w:rPr>
        <w:t>2+N</w:t>
      </w:r>
      <w:r>
        <w:rPr>
          <w:rFonts w:ascii="方正书宋简体" w:hAnsi="方正书宋简体" w:eastAsia="方正书宋简体" w:cs="方正书宋简体"/>
          <w:color w:val="231F20"/>
          <w:spacing w:val="-12"/>
          <w:sz w:val="21"/>
          <w:szCs w:val="21"/>
        </w:rPr>
        <w:t>”大国结构：在一系列大国中，存在两个超大型经济体，即美国和中国（“</w:t>
      </w:r>
      <w:r>
        <w:rPr>
          <w:color w:val="231F20"/>
          <w:spacing w:val="-12"/>
          <w:sz w:val="21"/>
          <w:szCs w:val="21"/>
        </w:rPr>
        <w:t>2</w:t>
      </w:r>
      <w:r>
        <w:rPr>
          <w:rFonts w:ascii="方正书宋简体" w:hAnsi="方正书宋简体" w:eastAsia="方正书宋简体" w:cs="方正书宋简体"/>
          <w:color w:val="231F20"/>
          <w:spacing w:val="-12"/>
          <w:sz w:val="21"/>
          <w:szCs w:val="21"/>
        </w:rPr>
        <w:t>”</w:t>
      </w:r>
      <w:r>
        <w:rPr>
          <w:rFonts w:ascii="方正书宋简体" w:hAnsi="方正书宋简体" w:eastAsia="方正书宋简体" w:cs="方正书宋简体"/>
          <w:color w:val="231F20"/>
          <w:spacing w:val="-45"/>
          <w:sz w:val="21"/>
          <w:szCs w:val="21"/>
        </w:rPr>
        <w:t>）；</w:t>
      </w:r>
      <w:r>
        <w:rPr>
          <w:rFonts w:ascii="方正书宋简体" w:hAnsi="方正书宋简体" w:eastAsia="方正书宋简体" w:cs="方正书宋简体"/>
          <w:color w:val="231F20"/>
          <w:spacing w:val="-4"/>
          <w:sz w:val="21"/>
          <w:szCs w:val="21"/>
        </w:rPr>
        <w:t>其他大国是“</w:t>
      </w:r>
      <w:r>
        <w:rPr>
          <w:color w:val="231F20"/>
          <w:spacing w:val="-4"/>
          <w:sz w:val="21"/>
          <w:szCs w:val="21"/>
        </w:rPr>
        <w:t>N</w:t>
      </w:r>
      <w:r>
        <w:rPr>
          <w:rFonts w:ascii="方正书宋简体" w:hAnsi="方正书宋简体" w:eastAsia="方正书宋简体" w:cs="方正书宋简体"/>
          <w:color w:val="231F20"/>
          <w:spacing w:val="-4"/>
          <w:sz w:val="21"/>
          <w:szCs w:val="21"/>
        </w:rPr>
        <w:t>”；“</w:t>
      </w:r>
      <w:r>
        <w:rPr>
          <w:color w:val="231F20"/>
          <w:spacing w:val="-4"/>
          <w:sz w:val="21"/>
          <w:szCs w:val="21"/>
        </w:rPr>
        <w:t>N</w:t>
      </w:r>
      <w:r>
        <w:rPr>
          <w:rFonts w:ascii="方正书宋简体" w:hAnsi="方正书宋简体" w:eastAsia="方正书宋简体" w:cs="方正书宋简体"/>
          <w:color w:val="231F20"/>
          <w:spacing w:val="-4"/>
          <w:sz w:val="21"/>
          <w:szCs w:val="21"/>
        </w:rPr>
        <w:t>”中最大经济体（即日本）的经济规模</w:t>
      </w:r>
      <w:r>
        <w:rPr>
          <w:rFonts w:ascii="方正书宋简体" w:hAnsi="方正书宋简体" w:eastAsia="方正书宋简体" w:cs="方正书宋简体"/>
          <w:color w:val="231F20"/>
          <w:spacing w:val="-5"/>
          <w:sz w:val="21"/>
          <w:szCs w:val="21"/>
        </w:rPr>
        <w:t>，远小于“</w:t>
      </w:r>
      <w:r>
        <w:rPr>
          <w:color w:val="231F20"/>
          <w:spacing w:val="-5"/>
          <w:sz w:val="21"/>
          <w:szCs w:val="21"/>
        </w:rPr>
        <w:t>2</w:t>
      </w:r>
      <w:r>
        <w:rPr>
          <w:rFonts w:ascii="方正书宋简体" w:hAnsi="方正书宋简体" w:eastAsia="方正书宋简体" w:cs="方正书宋简体"/>
          <w:color w:val="231F20"/>
          <w:spacing w:val="-5"/>
          <w:sz w:val="21"/>
          <w:szCs w:val="21"/>
        </w:rPr>
        <w:t>”中较小经济体（即中国）</w:t>
      </w:r>
      <w:r>
        <w:rPr>
          <w:rFonts w:ascii="方正书宋简体" w:hAnsi="方正书宋简体" w:eastAsia="方正书宋简体" w:cs="方正书宋简体"/>
          <w:color w:val="231F20"/>
          <w:spacing w:val="-6"/>
          <w:sz w:val="21"/>
          <w:szCs w:val="21"/>
        </w:rPr>
        <w:t>的经济规模。如果按照国际政治经济学术语，把美国称为守成大国，把中国称为新兴大国，那么“</w:t>
      </w:r>
      <w:r>
        <w:rPr>
          <w:color w:val="231F20"/>
          <w:spacing w:val="-6"/>
          <w:sz w:val="21"/>
          <w:szCs w:val="21"/>
        </w:rPr>
        <w:t>2+N</w:t>
      </w:r>
      <w:r>
        <w:rPr>
          <w:rFonts w:ascii="方正书宋简体" w:hAnsi="方正书宋简体" w:eastAsia="方正书宋简体" w:cs="方正书宋简体"/>
          <w:color w:val="231F20"/>
          <w:spacing w:val="-6"/>
          <w:sz w:val="21"/>
          <w:szCs w:val="21"/>
        </w:rPr>
        <w:t>”</w:t>
      </w:r>
      <w:r>
        <w:rPr>
          <w:rFonts w:ascii="方正书宋简体" w:hAnsi="方正书宋简体" w:eastAsia="方正书宋简体" w:cs="方正书宋简体"/>
          <w:color w:val="231F20"/>
          <w:spacing w:val="2"/>
          <w:sz w:val="21"/>
          <w:szCs w:val="21"/>
        </w:rPr>
        <w:t>大国结构的出现意味着中国国际经济环境迎来了新局面，即必须直面美国发动的战略竞</w:t>
      </w:r>
      <w:r>
        <w:rPr>
          <w:rFonts w:ascii="方正书宋简体" w:hAnsi="方正书宋简体" w:eastAsia="方正书宋简体" w:cs="方正书宋简体"/>
          <w:color w:val="231F20"/>
          <w:spacing w:val="1"/>
          <w:sz w:val="21"/>
          <w:szCs w:val="21"/>
        </w:rPr>
        <w:t>争。重要的</w:t>
      </w:r>
      <w:r>
        <w:rPr>
          <w:rFonts w:ascii="方正书宋简体" w:hAnsi="方正书宋简体" w:eastAsia="方正书宋简体" w:cs="方正书宋简体"/>
          <w:color w:val="231F20"/>
          <w:sz w:val="21"/>
          <w:szCs w:val="21"/>
        </w:rPr>
        <w:t xml:space="preserve"> </w:t>
      </w:r>
      <w:r>
        <w:rPr>
          <w:rFonts w:ascii="方正书宋简体" w:hAnsi="方正书宋简体" w:eastAsia="方正书宋简体" w:cs="方正书宋简体"/>
          <w:color w:val="231F20"/>
          <w:spacing w:val="3"/>
          <w:sz w:val="21"/>
          <w:szCs w:val="21"/>
        </w:rPr>
        <w:t>是，“</w:t>
      </w:r>
      <w:r>
        <w:rPr>
          <w:color w:val="231F20"/>
          <w:spacing w:val="3"/>
          <w:sz w:val="21"/>
          <w:szCs w:val="21"/>
        </w:rPr>
        <w:t>2+N</w:t>
      </w:r>
      <w:r>
        <w:rPr>
          <w:rFonts w:ascii="方正书宋简体" w:hAnsi="方正书宋简体" w:eastAsia="方正书宋简体" w:cs="方正书宋简体"/>
          <w:color w:val="231F20"/>
          <w:spacing w:val="3"/>
          <w:sz w:val="21"/>
          <w:szCs w:val="21"/>
        </w:rPr>
        <w:t>”局面的形成既是我国过去不懈努力取得的伟大发展成果，更是我国在新征程上继续前</w:t>
      </w:r>
      <w:r>
        <w:rPr>
          <w:rFonts w:ascii="方正书宋简体" w:hAnsi="方正书宋简体" w:eastAsia="方正书宋简体" w:cs="方正书宋简体"/>
          <w:color w:val="231F20"/>
          <w:sz w:val="21"/>
          <w:szCs w:val="21"/>
        </w:rPr>
        <w:t xml:space="preserve"> </w:t>
      </w:r>
      <w:r>
        <w:rPr>
          <w:rFonts w:ascii="方正书宋简体" w:hAnsi="方正书宋简体" w:eastAsia="方正书宋简体" w:cs="方正书宋简体"/>
          <w:color w:val="231F20"/>
          <w:spacing w:val="-2"/>
          <w:sz w:val="21"/>
          <w:szCs w:val="21"/>
        </w:rPr>
        <w:t>行必须面对的世界历史方位。</w:t>
      </w:r>
    </w:p>
    <w:p w14:paraId="23821099">
      <w:pPr>
        <w:pStyle w:val="6"/>
        <w:spacing w:before="92" w:line="281" w:lineRule="auto"/>
        <w:ind w:left="1044" w:right="129" w:firstLine="420"/>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6"/>
          <w:sz w:val="21"/>
          <w:szCs w:val="21"/>
        </w:rPr>
        <w:t>第二，当今世界经济格局变化特征日趋明朗。首先，</w:t>
      </w:r>
      <w:r>
        <w:rPr>
          <w:rFonts w:ascii="方正书宋简体" w:hAnsi="方正书宋简体" w:eastAsia="方正书宋简体" w:cs="方正书宋简体"/>
          <w:color w:val="231F20"/>
          <w:spacing w:val="-26"/>
          <w:sz w:val="21"/>
          <w:szCs w:val="21"/>
        </w:rPr>
        <w:t xml:space="preserve"> </w:t>
      </w:r>
      <w:r>
        <w:rPr>
          <w:rFonts w:ascii="方正书宋简体" w:hAnsi="方正书宋简体" w:eastAsia="方正书宋简体" w:cs="方正书宋简体"/>
          <w:color w:val="231F20"/>
          <w:spacing w:val="-6"/>
          <w:sz w:val="21"/>
          <w:szCs w:val="21"/>
        </w:rPr>
        <w:t>一方面，以美</w:t>
      </w:r>
      <w:r>
        <w:rPr>
          <w:rFonts w:ascii="方正书宋简体" w:hAnsi="方正书宋简体" w:eastAsia="方正书宋简体" w:cs="方正书宋简体"/>
          <w:color w:val="231F20"/>
          <w:spacing w:val="-7"/>
          <w:sz w:val="21"/>
          <w:szCs w:val="21"/>
        </w:rPr>
        <w:t>国为首的发达大国板块性下沉。</w:t>
      </w:r>
      <w:r>
        <w:rPr>
          <w:rFonts w:ascii="方正书宋简体" w:hAnsi="方正书宋简体" w:eastAsia="方正书宋简体" w:cs="方正书宋简体"/>
          <w:color w:val="231F20"/>
          <w:spacing w:val="2"/>
          <w:sz w:val="21"/>
          <w:szCs w:val="21"/>
        </w:rPr>
        <w:t>但是，在发达国家内部，也具有结构性差异。美国经济增长较快、较稳，其他发达大国经济增长慢且不稳。针对这种差异，一种可能的解释是，发达大国中只有美国拥有霸权地位，美国挤占了</w:t>
      </w:r>
      <w:r>
        <w:rPr>
          <w:rFonts w:ascii="方正书宋简体" w:hAnsi="方正书宋简体" w:eastAsia="方正书宋简体" w:cs="方正书宋简体"/>
          <w:color w:val="231F20"/>
          <w:spacing w:val="1"/>
          <w:sz w:val="21"/>
          <w:szCs w:val="21"/>
        </w:rPr>
        <w:t xml:space="preserve">其他发达大国的发展机会 </w:t>
      </w:r>
      <w:r>
        <w:rPr>
          <w:color w:val="231F20"/>
          <w:spacing w:val="1"/>
          <w:position w:val="9"/>
          <w:sz w:val="12"/>
          <w:szCs w:val="12"/>
        </w:rPr>
        <w:t>[11]</w:t>
      </w:r>
      <w:r>
        <w:rPr>
          <w:rFonts w:ascii="方正书宋简体" w:hAnsi="方正书宋简体" w:eastAsia="方正书宋简体" w:cs="方正书宋简体"/>
          <w:color w:val="231F20"/>
          <w:spacing w:val="1"/>
          <w:sz w:val="21"/>
          <w:szCs w:val="21"/>
        </w:rPr>
        <w:t>。另一方面，以中国为代表的发展中大国群体性崛起。其中中国</w:t>
      </w:r>
      <w:r>
        <w:rPr>
          <w:rFonts w:ascii="方正书宋简体" w:hAnsi="方正书宋简体" w:eastAsia="方正书宋简体" w:cs="方正书宋简体"/>
          <w:color w:val="231F20"/>
          <w:sz w:val="21"/>
          <w:szCs w:val="21"/>
        </w:rPr>
        <w:t>经济增长既</w:t>
      </w:r>
      <w:r>
        <w:rPr>
          <w:rFonts w:ascii="方正书宋简体" w:hAnsi="方正书宋简体" w:eastAsia="方正书宋简体" w:cs="方正书宋简体"/>
          <w:color w:val="231F20"/>
          <w:spacing w:val="2"/>
          <w:sz w:val="21"/>
          <w:szCs w:val="21"/>
        </w:rPr>
        <w:t>快又稳，对全球增长贡献很大，成为推动全球经济增长的主要力量。其次，全球经济结构性变迁对全球政治和安全结构性变迁将产生深远的影响。从长期</w:t>
      </w:r>
      <w:r>
        <w:rPr>
          <w:rFonts w:ascii="方正书宋简体" w:hAnsi="方正书宋简体" w:eastAsia="方正书宋简体" w:cs="方正书宋简体"/>
          <w:color w:val="231F20"/>
          <w:spacing w:val="1"/>
          <w:sz w:val="21"/>
          <w:szCs w:val="21"/>
        </w:rPr>
        <w:t>来看，其影响是正面的，世界趋于多极化。</w:t>
      </w:r>
      <w:r>
        <w:rPr>
          <w:rFonts w:ascii="方正书宋简体" w:hAnsi="方正书宋简体" w:eastAsia="方正书宋简体" w:cs="方正书宋简体"/>
          <w:color w:val="231F20"/>
          <w:spacing w:val="2"/>
          <w:sz w:val="21"/>
          <w:szCs w:val="21"/>
        </w:rPr>
        <w:t>在多极结构下，发展中国家的话语权加强，原来由美国主导构建的国际组织和制定的国</w:t>
      </w:r>
      <w:r>
        <w:rPr>
          <w:rFonts w:ascii="方正书宋简体" w:hAnsi="方正书宋简体" w:eastAsia="方正书宋简体" w:cs="方正书宋简体"/>
          <w:color w:val="231F20"/>
          <w:spacing w:val="1"/>
          <w:sz w:val="21"/>
          <w:szCs w:val="21"/>
        </w:rPr>
        <w:t>际规则面临</w:t>
      </w:r>
      <w:r>
        <w:rPr>
          <w:rFonts w:ascii="方正书宋简体" w:hAnsi="方正书宋简体" w:eastAsia="方正书宋简体" w:cs="方正书宋简体"/>
          <w:color w:val="231F20"/>
          <w:spacing w:val="2"/>
          <w:sz w:val="21"/>
          <w:szCs w:val="21"/>
        </w:rPr>
        <w:t>日益增多的挑战，发展中国家的利益将更多地得到考虑和加以体现。南北力量</w:t>
      </w:r>
      <w:r>
        <w:rPr>
          <w:rFonts w:ascii="方正书宋简体" w:hAnsi="方正书宋简体" w:eastAsia="方正书宋简体" w:cs="方正书宋简体"/>
          <w:color w:val="231F20"/>
          <w:spacing w:val="1"/>
          <w:sz w:val="21"/>
          <w:szCs w:val="21"/>
        </w:rPr>
        <w:t>趋势性接近和新兴国</w:t>
      </w:r>
      <w:r>
        <w:rPr>
          <w:rFonts w:ascii="方正书宋简体" w:hAnsi="方正书宋简体" w:eastAsia="方正书宋简体" w:cs="方正书宋简体"/>
          <w:color w:val="231F20"/>
          <w:spacing w:val="2"/>
          <w:sz w:val="21"/>
          <w:szCs w:val="21"/>
        </w:rPr>
        <w:t>与守成国力量趋势性接近的结果是，为了维护既有地位，发达大国对发展中大国将在各个层面展开</w:t>
      </w:r>
      <w:r>
        <w:rPr>
          <w:rFonts w:ascii="方正书宋简体" w:hAnsi="方正书宋简体" w:eastAsia="方正书宋简体" w:cs="方正书宋简体"/>
          <w:color w:val="231F20"/>
          <w:spacing w:val="1"/>
          <w:sz w:val="21"/>
          <w:szCs w:val="21"/>
        </w:rPr>
        <w:t xml:space="preserve">激烈争夺 </w:t>
      </w:r>
      <w:r>
        <w:rPr>
          <w:color w:val="231F20"/>
          <w:spacing w:val="1"/>
          <w:position w:val="9"/>
          <w:sz w:val="12"/>
          <w:szCs w:val="12"/>
        </w:rPr>
        <w:t>[12]</w:t>
      </w:r>
      <w:r>
        <w:rPr>
          <w:rFonts w:ascii="方正书宋简体" w:hAnsi="方正书宋简体" w:eastAsia="方正书宋简体" w:cs="方正书宋简体"/>
          <w:color w:val="231F20"/>
          <w:spacing w:val="1"/>
          <w:sz w:val="21"/>
          <w:szCs w:val="21"/>
        </w:rPr>
        <w:t>。在较短时期内，世界会产生大量裂痕、不确定性、不稳定性，竞争手段多样性</w:t>
      </w:r>
      <w:r>
        <w:rPr>
          <w:rFonts w:ascii="方正书宋简体" w:hAnsi="方正书宋简体" w:eastAsia="方正书宋简体" w:cs="方正书宋简体"/>
          <w:color w:val="231F20"/>
          <w:sz w:val="21"/>
          <w:szCs w:val="21"/>
        </w:rPr>
        <w:t>和竞争</w:t>
      </w:r>
      <w:r>
        <w:rPr>
          <w:rFonts w:ascii="方正书宋简体" w:hAnsi="方正书宋简体" w:eastAsia="方正书宋简体" w:cs="方正书宋简体"/>
          <w:color w:val="231F20"/>
          <w:spacing w:val="2"/>
          <w:sz w:val="21"/>
          <w:szCs w:val="21"/>
        </w:rPr>
        <w:t>结果残酷性将达到前所未有的程度。从经济方面看，发达大国与发展中大国将围绕技术和市场将展开激烈争夺。特别是人均收入接近高收入国家门槛后，中国将同时面临发达国家和发展中国家的技</w:t>
      </w:r>
      <w:r>
        <w:rPr>
          <w:rFonts w:ascii="方正书宋简体" w:hAnsi="方正书宋简体" w:eastAsia="方正书宋简体" w:cs="方正书宋简体"/>
          <w:color w:val="231F20"/>
          <w:spacing w:val="-3"/>
          <w:sz w:val="21"/>
          <w:szCs w:val="21"/>
        </w:rPr>
        <w:t>术竞争和市场竞争。</w:t>
      </w:r>
    </w:p>
    <w:p w14:paraId="367A48A5">
      <w:pPr>
        <w:pStyle w:val="6"/>
        <w:spacing w:before="97" w:line="277" w:lineRule="auto"/>
        <w:ind w:left="1046" w:right="105" w:firstLine="418"/>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第三，未来可能形成“</w:t>
      </w:r>
      <w:r>
        <w:rPr>
          <w:color w:val="231F20"/>
          <w:spacing w:val="-1"/>
          <w:sz w:val="21"/>
          <w:szCs w:val="21"/>
        </w:rPr>
        <w:t>3+N</w:t>
      </w:r>
      <w:r>
        <w:rPr>
          <w:rFonts w:ascii="方正书宋简体" w:hAnsi="方正书宋简体" w:eastAsia="方正书宋简体" w:cs="方正书宋简体"/>
          <w:color w:val="231F20"/>
          <w:spacing w:val="-1"/>
          <w:sz w:val="21"/>
          <w:szCs w:val="21"/>
        </w:rPr>
        <w:t xml:space="preserve">”大国结构。图 </w:t>
      </w:r>
      <w:r>
        <w:rPr>
          <w:color w:val="231F20"/>
          <w:spacing w:val="-1"/>
          <w:sz w:val="21"/>
          <w:szCs w:val="21"/>
        </w:rPr>
        <w:t xml:space="preserve">4 </w:t>
      </w:r>
      <w:r>
        <w:rPr>
          <w:rFonts w:ascii="方正书宋简体" w:hAnsi="方正书宋简体" w:eastAsia="方正书宋简体" w:cs="方正书宋简体"/>
          <w:color w:val="231F20"/>
          <w:spacing w:val="-1"/>
          <w:sz w:val="21"/>
          <w:szCs w:val="21"/>
        </w:rPr>
        <w:t>显示</w:t>
      </w:r>
      <w:r>
        <w:rPr>
          <w:rFonts w:ascii="方正书宋简体" w:hAnsi="方正书宋简体" w:eastAsia="方正书宋简体" w:cs="方正书宋简体"/>
          <w:color w:val="231F20"/>
          <w:spacing w:val="-2"/>
          <w:sz w:val="21"/>
          <w:szCs w:val="21"/>
        </w:rPr>
        <w:t>，在发展中大国群体性崛起中印度表现突出，</w:t>
      </w:r>
      <w:r>
        <w:rPr>
          <w:rFonts w:ascii="方正书宋简体" w:hAnsi="方正书宋简体" w:eastAsia="方正书宋简体" w:cs="方正书宋简体"/>
          <w:color w:val="231F20"/>
          <w:sz w:val="21"/>
          <w:szCs w:val="21"/>
        </w:rPr>
        <w:t>它是两个人口超大型国家之一。长期经济增长在大国崛起中具有关键意义</w:t>
      </w:r>
      <w:r>
        <w:rPr>
          <w:rFonts w:ascii="方正书宋简体" w:hAnsi="方正书宋简体" w:eastAsia="方正书宋简体" w:cs="方正书宋简体"/>
          <w:color w:val="231F20"/>
          <w:spacing w:val="21"/>
          <w:sz w:val="21"/>
          <w:szCs w:val="21"/>
        </w:rPr>
        <w:t xml:space="preserve"> </w:t>
      </w:r>
      <w:r>
        <w:rPr>
          <w:color w:val="231F20"/>
          <w:position w:val="9"/>
          <w:sz w:val="12"/>
          <w:szCs w:val="12"/>
        </w:rPr>
        <w:t>[13]</w:t>
      </w:r>
      <w:r>
        <w:rPr>
          <w:color w:val="231F20"/>
          <w:spacing w:val="-7"/>
          <w:position w:val="9"/>
          <w:sz w:val="12"/>
          <w:szCs w:val="12"/>
        </w:rPr>
        <w:t xml:space="preserve"> </w:t>
      </w:r>
      <w:r>
        <w:rPr>
          <w:rFonts w:ascii="方正书宋简体" w:hAnsi="方正书宋简体" w:eastAsia="方正书宋简体" w:cs="方正书宋简体"/>
          <w:color w:val="231F20"/>
          <w:sz w:val="21"/>
          <w:szCs w:val="21"/>
        </w:rPr>
        <w:t>。如果中印经济增长速</w:t>
      </w:r>
      <w:r>
        <w:rPr>
          <w:rFonts w:ascii="方正书宋简体" w:hAnsi="方正书宋简体" w:eastAsia="方正书宋简体" w:cs="方正书宋简体"/>
          <w:color w:val="231F20"/>
          <w:spacing w:val="2"/>
          <w:sz w:val="21"/>
          <w:szCs w:val="21"/>
        </w:rPr>
        <w:t>度保持对其他发达大国的优势，印度的增长率又比中国的高，那么假以时日，全球甚至可能出现世</w:t>
      </w:r>
      <w:r>
        <w:rPr>
          <w:rFonts w:ascii="方正书宋简体" w:hAnsi="方正书宋简体" w:eastAsia="方正书宋简体" w:cs="方正书宋简体"/>
          <w:color w:val="231F20"/>
          <w:spacing w:val="3"/>
          <w:sz w:val="21"/>
          <w:szCs w:val="21"/>
        </w:rPr>
        <w:t>界历史上更加难得一见的“</w:t>
      </w:r>
      <w:r>
        <w:rPr>
          <w:color w:val="231F20"/>
          <w:spacing w:val="3"/>
          <w:sz w:val="21"/>
          <w:szCs w:val="21"/>
        </w:rPr>
        <w:t>3+N</w:t>
      </w:r>
      <w:r>
        <w:rPr>
          <w:rFonts w:ascii="方正书宋简体" w:hAnsi="方正书宋简体" w:eastAsia="方正书宋简体" w:cs="方正书宋简体"/>
          <w:color w:val="231F20"/>
          <w:spacing w:val="3"/>
          <w:sz w:val="21"/>
          <w:szCs w:val="21"/>
        </w:rPr>
        <w:t>”大国结构。那时，全球将出现比当下复杂得多</w:t>
      </w:r>
      <w:r>
        <w:rPr>
          <w:rFonts w:ascii="方正书宋简体" w:hAnsi="方正书宋简体" w:eastAsia="方正书宋简体" w:cs="方正书宋简体"/>
          <w:color w:val="231F20"/>
          <w:spacing w:val="2"/>
          <w:sz w:val="21"/>
          <w:szCs w:val="21"/>
        </w:rPr>
        <w:t>的大国战略竞争局</w:t>
      </w:r>
      <w:r>
        <w:rPr>
          <w:rFonts w:ascii="方正书宋简体" w:hAnsi="方正书宋简体" w:eastAsia="方正书宋简体" w:cs="方正书宋简体"/>
          <w:color w:val="231F20"/>
          <w:spacing w:val="3"/>
          <w:sz w:val="21"/>
          <w:szCs w:val="21"/>
        </w:rPr>
        <w:t xml:space="preserve">面。高盛经济学家认为 </w:t>
      </w:r>
      <w:r>
        <w:rPr>
          <w:color w:val="231F20"/>
          <w:spacing w:val="3"/>
          <w:sz w:val="21"/>
          <w:szCs w:val="21"/>
        </w:rPr>
        <w:t xml:space="preserve">2050 </w:t>
      </w:r>
      <w:r>
        <w:rPr>
          <w:rFonts w:ascii="方正书宋简体" w:hAnsi="方正书宋简体" w:eastAsia="方正书宋简体" w:cs="方正书宋简体"/>
          <w:color w:val="231F20"/>
          <w:spacing w:val="3"/>
          <w:sz w:val="21"/>
          <w:szCs w:val="21"/>
        </w:rPr>
        <w:t>年全球三大经济体排序是中国、美国和印度，</w:t>
      </w:r>
      <w:r>
        <w:rPr>
          <w:color w:val="231F20"/>
          <w:spacing w:val="3"/>
          <w:sz w:val="21"/>
          <w:szCs w:val="21"/>
        </w:rPr>
        <w:t xml:space="preserve">2075 </w:t>
      </w:r>
      <w:r>
        <w:rPr>
          <w:rFonts w:ascii="方正书宋简体" w:hAnsi="方正书宋简体" w:eastAsia="方正书宋简体" w:cs="方正书宋简体"/>
          <w:color w:val="231F20"/>
          <w:spacing w:val="3"/>
          <w:sz w:val="21"/>
          <w:szCs w:val="21"/>
        </w:rPr>
        <w:t>年排序是中国、印</w:t>
      </w:r>
      <w:r>
        <w:rPr>
          <w:rFonts w:ascii="方正书宋简体" w:hAnsi="方正书宋简体" w:eastAsia="方正书宋简体" w:cs="方正书宋简体"/>
          <w:color w:val="231F20"/>
          <w:spacing w:val="2"/>
          <w:sz w:val="21"/>
          <w:szCs w:val="21"/>
        </w:rPr>
        <w:t>度和美国（这三个国家经济规模接近并且与其他大国相差甚大）。在大</w:t>
      </w:r>
      <w:r>
        <w:rPr>
          <w:rFonts w:ascii="方正书宋简体" w:hAnsi="方正书宋简体" w:eastAsia="方正书宋简体" w:cs="方正书宋简体"/>
          <w:color w:val="231F20"/>
          <w:spacing w:val="1"/>
          <w:sz w:val="21"/>
          <w:szCs w:val="21"/>
        </w:rPr>
        <w:t>国结构从“</w:t>
      </w:r>
      <w:r>
        <w:rPr>
          <w:color w:val="231F20"/>
          <w:spacing w:val="1"/>
          <w:sz w:val="21"/>
          <w:szCs w:val="21"/>
        </w:rPr>
        <w:t>2+N</w:t>
      </w:r>
      <w:r>
        <w:rPr>
          <w:rFonts w:ascii="方正书宋简体" w:hAnsi="方正书宋简体" w:eastAsia="方正书宋简体" w:cs="方正书宋简体"/>
          <w:color w:val="231F20"/>
          <w:spacing w:val="1"/>
          <w:sz w:val="21"/>
          <w:szCs w:val="21"/>
        </w:rPr>
        <w:t>”向“</w:t>
      </w:r>
      <w:r>
        <w:rPr>
          <w:color w:val="231F20"/>
          <w:spacing w:val="1"/>
          <w:sz w:val="21"/>
          <w:szCs w:val="21"/>
        </w:rPr>
        <w:t>3+N</w:t>
      </w:r>
      <w:r>
        <w:rPr>
          <w:rFonts w:ascii="方正书宋简体" w:hAnsi="方正书宋简体" w:eastAsia="方正书宋简体" w:cs="方正书宋简体"/>
          <w:color w:val="231F20"/>
          <w:spacing w:val="1"/>
          <w:sz w:val="21"/>
          <w:szCs w:val="21"/>
        </w:rPr>
        <w:t>”</w:t>
      </w:r>
      <w:r>
        <w:rPr>
          <w:rFonts w:ascii="方正书宋简体" w:hAnsi="方正书宋简体" w:eastAsia="方正书宋简体" w:cs="方正书宋简体"/>
          <w:color w:val="231F20"/>
          <w:spacing w:val="2"/>
          <w:sz w:val="21"/>
          <w:szCs w:val="21"/>
        </w:rPr>
        <w:t>演变过程中，中国只有挣脱来自先发国家和后发国家的技术挤压和市场挤压，才能在围追堵截中建</w:t>
      </w:r>
      <w:r>
        <w:rPr>
          <w:rFonts w:ascii="方正书宋简体" w:hAnsi="方正书宋简体" w:eastAsia="方正书宋简体" w:cs="方正书宋简体"/>
          <w:color w:val="231F20"/>
          <w:spacing w:val="-4"/>
          <w:sz w:val="21"/>
          <w:szCs w:val="21"/>
        </w:rPr>
        <w:t>立自己的优势。</w:t>
      </w:r>
    </w:p>
    <w:p w14:paraId="36D29DDD">
      <w:pPr>
        <w:pStyle w:val="6"/>
        <w:spacing w:before="96" w:line="290" w:lineRule="auto"/>
        <w:ind w:left="1045" w:right="142" w:firstLine="421"/>
        <w:rPr>
          <w:rFonts w:ascii="方正书宋简体" w:hAnsi="方正书宋简体" w:eastAsia="方正书宋简体" w:cs="方正书宋简体"/>
          <w:sz w:val="21"/>
          <w:szCs w:val="21"/>
        </w:rPr>
      </w:pPr>
      <w:r>
        <w:rPr>
          <w:rFonts w:ascii="方正书宋简体" w:hAnsi="方正书宋简体" w:eastAsia="方正书宋简体" w:cs="方正书宋简体"/>
          <w:color w:val="030303"/>
          <w:spacing w:val="2"/>
          <w:sz w:val="21"/>
          <w:szCs w:val="21"/>
        </w:rPr>
        <w:t>上面分析提示中国未来推动经济增长将面对严峻的国际经济环境，这就提</w:t>
      </w:r>
      <w:r>
        <w:rPr>
          <w:rFonts w:ascii="方正书宋简体" w:hAnsi="方正书宋简体" w:eastAsia="方正书宋简体" w:cs="方正书宋简体"/>
          <w:color w:val="030303"/>
          <w:spacing w:val="1"/>
          <w:sz w:val="21"/>
          <w:szCs w:val="21"/>
        </w:rPr>
        <w:t>出了本文的第二大问</w:t>
      </w:r>
      <w:r>
        <w:rPr>
          <w:rFonts w:ascii="方正书宋简体" w:hAnsi="方正书宋简体" w:eastAsia="方正书宋简体" w:cs="方正书宋简体"/>
          <w:color w:val="030303"/>
          <w:spacing w:val="2"/>
          <w:sz w:val="21"/>
          <w:szCs w:val="21"/>
        </w:rPr>
        <w:t>题，即中国未来主要应从哪些方面推动经济增长。现有研究</w:t>
      </w:r>
      <w:r>
        <w:rPr>
          <w:rFonts w:ascii="方正书宋简体" w:hAnsi="方正书宋简体" w:eastAsia="方正书宋简体" w:cs="方正书宋简体"/>
          <w:color w:val="030303"/>
          <w:spacing w:val="1"/>
          <w:sz w:val="21"/>
          <w:szCs w:val="21"/>
        </w:rPr>
        <w:t>提示只有走技术创新和市场开拓之路。</w:t>
      </w:r>
      <w:r>
        <w:rPr>
          <w:rFonts w:ascii="方正书宋简体" w:hAnsi="方正书宋简体" w:eastAsia="方正书宋简体" w:cs="方正书宋简体"/>
          <w:color w:val="030303"/>
          <w:spacing w:val="-2"/>
          <w:sz w:val="21"/>
          <w:szCs w:val="21"/>
        </w:rPr>
        <w:t xml:space="preserve">发达大国特别是霸权国家为了维持既有地位，将从先进科技和相关市场对中国经济发展进行堵截 </w:t>
      </w:r>
      <w:r>
        <w:rPr>
          <w:color w:val="030303"/>
          <w:spacing w:val="-2"/>
          <w:position w:val="9"/>
          <w:sz w:val="12"/>
          <w:szCs w:val="12"/>
        </w:rPr>
        <w:t>[14]</w:t>
      </w:r>
      <w:r>
        <w:rPr>
          <w:rFonts w:ascii="方正书宋简体" w:hAnsi="方正书宋简体" w:eastAsia="方正书宋简体" w:cs="方正书宋简体"/>
          <w:color w:val="030303"/>
          <w:spacing w:val="-2"/>
          <w:sz w:val="21"/>
          <w:szCs w:val="21"/>
        </w:rPr>
        <w:t>，</w:t>
      </w:r>
      <w:r>
        <w:rPr>
          <w:rFonts w:ascii="方正书宋简体" w:hAnsi="方正书宋简体" w:eastAsia="方正书宋简体" w:cs="方正书宋简体"/>
          <w:color w:val="030303"/>
          <w:spacing w:val="2"/>
          <w:sz w:val="21"/>
          <w:szCs w:val="21"/>
        </w:rPr>
        <w:t>其他发展中大国为了取得更大发展成就，将在传统市场和外来投资方面与中国展开竞争，形成围追</w:t>
      </w:r>
      <w:r>
        <w:rPr>
          <w:rFonts w:ascii="方正书宋简体" w:hAnsi="方正书宋简体" w:eastAsia="方正书宋简体" w:cs="方正书宋简体"/>
          <w:color w:val="030303"/>
          <w:spacing w:val="-1"/>
          <w:sz w:val="21"/>
          <w:szCs w:val="21"/>
        </w:rPr>
        <w:t xml:space="preserve">态势 </w:t>
      </w:r>
      <w:r>
        <w:rPr>
          <w:color w:val="030303"/>
          <w:spacing w:val="-1"/>
          <w:position w:val="9"/>
          <w:sz w:val="12"/>
          <w:szCs w:val="12"/>
        </w:rPr>
        <w:t>[15]</w:t>
      </w:r>
      <w:r>
        <w:rPr>
          <w:rFonts w:ascii="方正书宋简体" w:hAnsi="方正书宋简体" w:eastAsia="方正书宋简体" w:cs="方正书宋简体"/>
          <w:color w:val="030303"/>
          <w:spacing w:val="-1"/>
          <w:sz w:val="21"/>
          <w:szCs w:val="21"/>
        </w:rPr>
        <w:t>。中国必须经受住双重挤压的考验。</w:t>
      </w:r>
    </w:p>
    <w:p w14:paraId="57BBBC2C">
      <w:pPr>
        <w:spacing w:before="137" w:line="203" w:lineRule="auto"/>
        <w:ind w:left="1482"/>
        <w:outlineLvl w:val="1"/>
        <w:rPr>
          <w:rFonts w:ascii="微软雅黑" w:hAnsi="微软雅黑" w:eastAsia="微软雅黑" w:cs="微软雅黑"/>
          <w:sz w:val="28"/>
          <w:szCs w:val="28"/>
        </w:rPr>
      </w:pPr>
      <w:bookmarkStart w:id="673" w:name="_Toc1607721558"/>
      <w:bookmarkStart w:id="674" w:name="_Toc18877"/>
      <w:bookmarkStart w:id="675" w:name="_Toc2016524285"/>
      <w:bookmarkStart w:id="676" w:name="_Toc478487036"/>
      <w:bookmarkStart w:id="677" w:name="_Toc1594799460"/>
      <w:bookmarkStart w:id="678" w:name="_Toc655181847"/>
      <w:r>
        <w:rPr>
          <w:rFonts w:ascii="微软雅黑" w:hAnsi="微软雅黑" w:eastAsia="微软雅黑" w:cs="微软雅黑"/>
          <w:color w:val="231F20"/>
          <w:spacing w:val="-2"/>
          <w:sz w:val="28"/>
          <w:szCs w:val="28"/>
        </w:rPr>
        <w:t>四、中国依然保持加速追赶发达国家的态势</w:t>
      </w:r>
      <w:bookmarkEnd w:id="673"/>
      <w:bookmarkEnd w:id="674"/>
      <w:bookmarkEnd w:id="675"/>
      <w:bookmarkEnd w:id="676"/>
      <w:bookmarkEnd w:id="677"/>
      <w:bookmarkEnd w:id="678"/>
    </w:p>
    <w:p w14:paraId="607E1E92">
      <w:pPr>
        <w:spacing w:before="137" w:line="207" w:lineRule="auto"/>
        <w:ind w:left="1000" w:leftChars="0" w:firstLine="500" w:firstLineChars="0"/>
        <w:rPr>
          <w:rFonts w:ascii="方正书宋简体" w:hAnsi="方正书宋简体" w:eastAsia="方正书宋简体" w:cs="方正书宋简体"/>
          <w:snapToGrid w:val="0"/>
          <w:color w:val="231F20"/>
          <w:spacing w:val="1"/>
          <w:kern w:val="0"/>
          <w:sz w:val="21"/>
          <w:szCs w:val="21"/>
          <w:lang w:val="en-US" w:eastAsia="en-US" w:bidi="ar-SA"/>
        </w:rPr>
      </w:pPr>
      <w:r>
        <w:rPr>
          <w:rFonts w:ascii="方正书宋简体" w:hAnsi="方正书宋简体" w:eastAsia="方正书宋简体" w:cs="方正书宋简体"/>
          <w:snapToGrid w:val="0"/>
          <w:color w:val="231F20"/>
          <w:spacing w:val="1"/>
          <w:kern w:val="0"/>
          <w:sz w:val="21"/>
          <w:szCs w:val="21"/>
          <w:lang w:val="en-US" w:eastAsia="en-US" w:bidi="ar-SA"/>
        </w:rPr>
        <w:t>国家经济增长的同时，人口规模也在变化。人均收入可以较好反映经济发展水平。本节从这个角度讨论中国对发达国家的追赶。</w:t>
      </w:r>
    </w:p>
    <w:p w14:paraId="7C62A742">
      <w:pPr>
        <w:spacing w:before="86" w:line="198" w:lineRule="auto"/>
        <w:ind w:left="1177"/>
        <w:rPr>
          <w:rFonts w:ascii="微软雅黑" w:hAnsi="微软雅黑" w:eastAsia="微软雅黑" w:cs="微软雅黑"/>
          <w:sz w:val="21"/>
          <w:szCs w:val="21"/>
        </w:rPr>
      </w:pPr>
      <w:r>
        <w:rPr>
          <w:rFonts w:ascii="微软雅黑" w:hAnsi="微软雅黑" w:eastAsia="微软雅黑" w:cs="微软雅黑"/>
          <w:color w:val="231F20"/>
          <w:spacing w:val="-6"/>
          <w:sz w:val="21"/>
          <w:szCs w:val="21"/>
        </w:rPr>
        <w:t>（ 一 ）人均收入超速增长形成加速追赶态势</w:t>
      </w:r>
    </w:p>
    <w:p w14:paraId="4C29B512">
      <w:pPr>
        <w:pStyle w:val="6"/>
        <w:spacing w:before="69" w:line="285" w:lineRule="auto"/>
        <w:ind w:left="875" w:right="89" w:firstLine="422"/>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 xml:space="preserve">表 </w:t>
      </w:r>
      <w:r>
        <w:rPr>
          <w:color w:val="231F20"/>
          <w:spacing w:val="-1"/>
          <w:sz w:val="21"/>
          <w:szCs w:val="21"/>
        </w:rPr>
        <w:t xml:space="preserve">3 </w:t>
      </w:r>
      <w:r>
        <w:rPr>
          <w:rFonts w:ascii="方正书宋简体" w:hAnsi="方正书宋简体" w:eastAsia="方正书宋简体" w:cs="方正书宋简体"/>
          <w:color w:val="231F20"/>
          <w:spacing w:val="-1"/>
          <w:sz w:val="21"/>
          <w:szCs w:val="21"/>
        </w:rPr>
        <w:t>列出了一些年份中国与</w:t>
      </w:r>
      <w:r>
        <w:rPr>
          <w:rFonts w:ascii="方正书宋简体" w:hAnsi="方正书宋简体" w:eastAsia="方正书宋简体" w:cs="方正书宋简体"/>
          <w:color w:val="231F20"/>
          <w:spacing w:val="32"/>
          <w:sz w:val="21"/>
          <w:szCs w:val="21"/>
        </w:rPr>
        <w:t xml:space="preserve"> </w:t>
      </w:r>
      <w:r>
        <w:rPr>
          <w:color w:val="231F20"/>
          <w:spacing w:val="-1"/>
          <w:sz w:val="21"/>
          <w:szCs w:val="21"/>
        </w:rPr>
        <w:t xml:space="preserve">11 </w:t>
      </w:r>
      <w:r>
        <w:rPr>
          <w:rFonts w:ascii="方正书宋简体" w:hAnsi="方正书宋简体" w:eastAsia="方正书宋简体" w:cs="方正书宋简体"/>
          <w:color w:val="231F20"/>
          <w:spacing w:val="-1"/>
          <w:sz w:val="21"/>
          <w:szCs w:val="21"/>
        </w:rPr>
        <w:t>个发达大国人均收入之比。从中可见，改革开放初期，这个比值</w:t>
      </w:r>
      <w:r>
        <w:rPr>
          <w:rFonts w:ascii="方正书宋简体" w:hAnsi="方正书宋简体" w:eastAsia="方正书宋简体" w:cs="方正书宋简体"/>
          <w:color w:val="231F20"/>
          <w:spacing w:val="2"/>
          <w:sz w:val="21"/>
          <w:szCs w:val="21"/>
        </w:rPr>
        <w:t>非常低。上个世纪</w:t>
      </w:r>
      <w:r>
        <w:rPr>
          <w:rFonts w:ascii="方正书宋简体" w:hAnsi="方正书宋简体" w:eastAsia="方正书宋简体" w:cs="方正书宋简体"/>
          <w:color w:val="231F20"/>
          <w:spacing w:val="20"/>
          <w:w w:val="101"/>
          <w:sz w:val="21"/>
          <w:szCs w:val="21"/>
        </w:rPr>
        <w:t xml:space="preserve"> </w:t>
      </w:r>
      <w:r>
        <w:rPr>
          <w:color w:val="231F20"/>
          <w:spacing w:val="2"/>
          <w:sz w:val="21"/>
          <w:szCs w:val="21"/>
        </w:rPr>
        <w:t xml:space="preserve">90 </w:t>
      </w:r>
      <w:r>
        <w:rPr>
          <w:rFonts w:ascii="方正书宋简体" w:hAnsi="方正书宋简体" w:eastAsia="方正书宋简体" w:cs="方正书宋简体"/>
          <w:color w:val="231F20"/>
          <w:spacing w:val="2"/>
          <w:sz w:val="21"/>
          <w:szCs w:val="21"/>
        </w:rPr>
        <w:t>年代以来，我国人均收入对发达国</w:t>
      </w:r>
      <w:r>
        <w:rPr>
          <w:rFonts w:ascii="方正书宋简体" w:hAnsi="方正书宋简体" w:eastAsia="方正书宋简体" w:cs="方正书宋简体"/>
          <w:color w:val="231F20"/>
          <w:spacing w:val="1"/>
          <w:sz w:val="21"/>
          <w:szCs w:val="21"/>
        </w:rPr>
        <w:t xml:space="preserve">家开始形成超速增长态势，至 </w:t>
      </w:r>
      <w:r>
        <w:rPr>
          <w:color w:val="231F20"/>
          <w:spacing w:val="1"/>
          <w:sz w:val="21"/>
          <w:szCs w:val="21"/>
        </w:rPr>
        <w:t xml:space="preserve">2020 </w:t>
      </w:r>
      <w:r>
        <w:rPr>
          <w:rFonts w:ascii="方正书宋简体" w:hAnsi="方正书宋简体" w:eastAsia="方正书宋简体" w:cs="方正书宋简体"/>
          <w:color w:val="231F20"/>
          <w:spacing w:val="1"/>
          <w:sz w:val="21"/>
          <w:szCs w:val="21"/>
        </w:rPr>
        <w:t>年我国人均收入已达到美国的</w:t>
      </w:r>
      <w:r>
        <w:rPr>
          <w:rFonts w:ascii="方正书宋简体" w:hAnsi="方正书宋简体" w:eastAsia="方正书宋简体" w:cs="方正书宋简体"/>
          <w:color w:val="231F20"/>
          <w:spacing w:val="27"/>
          <w:w w:val="101"/>
          <w:sz w:val="21"/>
          <w:szCs w:val="21"/>
        </w:rPr>
        <w:t xml:space="preserve"> </w:t>
      </w:r>
      <w:r>
        <w:rPr>
          <w:color w:val="231F20"/>
          <w:spacing w:val="1"/>
          <w:sz w:val="21"/>
          <w:szCs w:val="21"/>
        </w:rPr>
        <w:t>16.38%</w:t>
      </w:r>
      <w:r>
        <w:rPr>
          <w:rFonts w:ascii="方正书宋简体" w:hAnsi="方正书宋简体" w:eastAsia="方正书宋简体" w:cs="方正书宋简体"/>
          <w:color w:val="231F20"/>
          <w:spacing w:val="1"/>
          <w:sz w:val="21"/>
          <w:szCs w:val="21"/>
        </w:rPr>
        <w:t>、日本的</w:t>
      </w:r>
      <w:r>
        <w:rPr>
          <w:rFonts w:ascii="方正书宋简体" w:hAnsi="方正书宋简体" w:eastAsia="方正书宋简体" w:cs="方正书宋简体"/>
          <w:color w:val="231F20"/>
          <w:spacing w:val="21"/>
          <w:sz w:val="21"/>
          <w:szCs w:val="21"/>
        </w:rPr>
        <w:t xml:space="preserve"> </w:t>
      </w:r>
      <w:r>
        <w:rPr>
          <w:color w:val="231F20"/>
          <w:spacing w:val="1"/>
          <w:sz w:val="21"/>
          <w:szCs w:val="21"/>
        </w:rPr>
        <w:t>26.03%</w:t>
      </w:r>
      <w:r>
        <w:rPr>
          <w:rFonts w:ascii="方正书宋简体" w:hAnsi="方正书宋简体" w:eastAsia="方正书宋简体" w:cs="方正书宋简体"/>
          <w:color w:val="231F20"/>
          <w:sz w:val="21"/>
          <w:szCs w:val="21"/>
        </w:rPr>
        <w:t>、德国的</w:t>
      </w:r>
      <w:r>
        <w:rPr>
          <w:rFonts w:ascii="方正书宋简体" w:hAnsi="方正书宋简体" w:eastAsia="方正书宋简体" w:cs="方正书宋简体"/>
          <w:color w:val="231F20"/>
          <w:spacing w:val="21"/>
          <w:sz w:val="21"/>
          <w:szCs w:val="21"/>
        </w:rPr>
        <w:t xml:space="preserve"> </w:t>
      </w:r>
      <w:r>
        <w:rPr>
          <w:color w:val="231F20"/>
          <w:sz w:val="21"/>
          <w:szCs w:val="21"/>
        </w:rPr>
        <w:t>22.25%</w:t>
      </w:r>
      <w:r>
        <w:rPr>
          <w:rFonts w:ascii="方正书宋简体" w:hAnsi="方正书宋简体" w:eastAsia="方正书宋简体" w:cs="方正书宋简体"/>
          <w:color w:val="231F20"/>
          <w:sz w:val="21"/>
          <w:szCs w:val="21"/>
        </w:rPr>
        <w:t>。在这个过程中，我国一步一步提</w:t>
      </w:r>
      <w:r>
        <w:rPr>
          <w:rFonts w:ascii="方正书宋简体" w:hAnsi="方正书宋简体" w:eastAsia="方正书宋简体" w:cs="方正书宋简体"/>
          <w:color w:val="231F20"/>
          <w:spacing w:val="2"/>
          <w:sz w:val="21"/>
          <w:szCs w:val="21"/>
        </w:rPr>
        <w:t>升位次，在新世纪第一个十年成为上中等收入国家，进入跨越“中等收入”的关键阶段。</w:t>
      </w:r>
      <w:r>
        <w:rPr>
          <w:rFonts w:ascii="方正书宋简体" w:hAnsi="方正书宋简体" w:eastAsia="方正书宋简体" w:cs="方正书宋简体"/>
          <w:color w:val="231F20"/>
          <w:spacing w:val="1"/>
          <w:sz w:val="21"/>
          <w:szCs w:val="21"/>
        </w:rPr>
        <w:t>近年，我</w:t>
      </w:r>
      <w:r>
        <w:rPr>
          <w:rFonts w:ascii="方正书宋简体" w:hAnsi="方正书宋简体" w:eastAsia="方正书宋简体" w:cs="方正书宋简体"/>
          <w:color w:val="231F20"/>
          <w:spacing w:val="-2"/>
          <w:sz w:val="21"/>
          <w:szCs w:val="21"/>
        </w:rPr>
        <w:t>国人均收入已接近高收入国家门槛水平。</w:t>
      </w:r>
    </w:p>
    <w:p w14:paraId="2D14F0D6">
      <w:pPr>
        <w:bidi w:val="0"/>
        <w:jc w:val="center"/>
        <w:rPr>
          <w:rFonts w:ascii="微软雅黑" w:hAnsi="微软雅黑" w:eastAsia="微软雅黑" w:cs="微软雅黑"/>
          <w:sz w:val="21"/>
          <w:szCs w:val="21"/>
        </w:rPr>
      </w:pPr>
      <w:r>
        <w:rPr>
          <w:rFonts w:ascii="微软雅黑" w:hAnsi="微软雅黑" w:eastAsia="微软雅黑" w:cs="微软雅黑"/>
          <w:color w:val="231F20"/>
          <w:spacing w:val="-4"/>
          <w:sz w:val="21"/>
          <w:szCs w:val="21"/>
        </w:rPr>
        <w:t xml:space="preserve">表 </w:t>
      </w:r>
      <w:r>
        <w:rPr>
          <w:color w:val="231F20"/>
          <w:spacing w:val="-4"/>
          <w:sz w:val="21"/>
          <w:szCs w:val="21"/>
        </w:rPr>
        <w:t xml:space="preserve">3    </w:t>
      </w:r>
      <w:r>
        <w:rPr>
          <w:rFonts w:ascii="微软雅黑" w:hAnsi="微软雅黑" w:eastAsia="微软雅黑" w:cs="微软雅黑"/>
          <w:color w:val="231F20"/>
          <w:spacing w:val="-4"/>
          <w:sz w:val="21"/>
          <w:szCs w:val="21"/>
        </w:rPr>
        <w:t>改革开放以来我国与</w:t>
      </w:r>
      <w:r>
        <w:rPr>
          <w:rFonts w:ascii="微软雅黑" w:hAnsi="微软雅黑" w:eastAsia="微软雅黑" w:cs="微软雅黑"/>
          <w:color w:val="231F20"/>
          <w:spacing w:val="15"/>
          <w:w w:val="101"/>
          <w:sz w:val="21"/>
          <w:szCs w:val="21"/>
        </w:rPr>
        <w:t xml:space="preserve"> </w:t>
      </w:r>
      <w:r>
        <w:rPr>
          <w:color w:val="231F20"/>
          <w:spacing w:val="-4"/>
          <w:sz w:val="21"/>
          <w:szCs w:val="21"/>
        </w:rPr>
        <w:t xml:space="preserve">11 </w:t>
      </w:r>
      <w:r>
        <w:rPr>
          <w:rFonts w:ascii="微软雅黑" w:hAnsi="微软雅黑" w:eastAsia="微软雅黑" w:cs="微软雅黑"/>
          <w:color w:val="231F20"/>
          <w:spacing w:val="-4"/>
          <w:sz w:val="21"/>
          <w:szCs w:val="21"/>
        </w:rPr>
        <w:t>个发达大国人均收入之比（</w:t>
      </w:r>
      <w:r>
        <w:rPr>
          <w:rFonts w:ascii="微软雅黑" w:hAnsi="微软雅黑" w:eastAsia="微软雅黑" w:cs="微软雅黑"/>
          <w:color w:val="231F20"/>
          <w:spacing w:val="-5"/>
          <w:sz w:val="21"/>
          <w:szCs w:val="21"/>
        </w:rPr>
        <w:t xml:space="preserve"> </w:t>
      </w:r>
      <w:r>
        <w:rPr>
          <w:color w:val="231F20"/>
          <w:spacing w:val="-5"/>
          <w:sz w:val="21"/>
          <w:szCs w:val="21"/>
        </w:rPr>
        <w:t xml:space="preserve">% </w:t>
      </w:r>
      <w:r>
        <w:rPr>
          <w:rFonts w:ascii="微软雅黑" w:hAnsi="微软雅黑" w:eastAsia="微软雅黑" w:cs="微软雅黑"/>
          <w:color w:val="231F20"/>
          <w:spacing w:val="-5"/>
          <w:sz w:val="21"/>
          <w:szCs w:val="21"/>
        </w:rPr>
        <w:t>）的动态变化</w:t>
      </w:r>
    </w:p>
    <w:p w14:paraId="4B6EFDEB">
      <w:pPr>
        <w:spacing w:line="36" w:lineRule="exact"/>
      </w:pPr>
    </w:p>
    <w:tbl>
      <w:tblPr>
        <w:tblStyle w:val="25"/>
        <w:tblW w:w="9127" w:type="dxa"/>
        <w:tblInd w:w="871"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788"/>
        <w:gridCol w:w="725"/>
        <w:gridCol w:w="763"/>
        <w:gridCol w:w="760"/>
        <w:gridCol w:w="761"/>
        <w:gridCol w:w="720"/>
        <w:gridCol w:w="792"/>
        <w:gridCol w:w="816"/>
        <w:gridCol w:w="717"/>
        <w:gridCol w:w="723"/>
        <w:gridCol w:w="840"/>
        <w:gridCol w:w="722"/>
      </w:tblGrid>
      <w:tr w14:paraId="5C6FA3BF">
        <w:trPr>
          <w:trHeight w:val="440" w:hRule="atLeast"/>
        </w:trPr>
        <w:tc>
          <w:tcPr>
            <w:tcW w:w="788" w:type="dxa"/>
            <w:tcBorders>
              <w:top w:val="single" w:color="231F20" w:sz="8" w:space="0"/>
              <w:bottom w:val="single" w:color="231F20" w:sz="4" w:space="0"/>
            </w:tcBorders>
            <w:vAlign w:val="top"/>
          </w:tcPr>
          <w:p w14:paraId="1BAB596B">
            <w:pPr>
              <w:autoSpaceDE w:val="0"/>
              <w:autoSpaceDN w:val="0"/>
              <w:spacing w:before="124" w:line="235" w:lineRule="auto"/>
              <w:ind w:left="203"/>
              <w:rPr>
                <w:rFonts w:ascii="楷体" w:hAnsi="楷体" w:eastAsia="楷体" w:cs="楷体"/>
                <w:sz w:val="18"/>
                <w:szCs w:val="18"/>
              </w:rPr>
            </w:pPr>
            <w:r>
              <w:rPr>
                <w:rFonts w:ascii="楷体" w:hAnsi="楷体" w:eastAsia="楷体" w:cs="楷体"/>
                <w:color w:val="231F20"/>
                <w:spacing w:val="-2"/>
                <w:sz w:val="18"/>
                <w:szCs w:val="18"/>
              </w:rPr>
              <w:t>年份</w:t>
            </w:r>
          </w:p>
        </w:tc>
        <w:tc>
          <w:tcPr>
            <w:tcW w:w="725" w:type="dxa"/>
            <w:tcBorders>
              <w:top w:val="single" w:color="231F20" w:sz="8" w:space="0"/>
              <w:bottom w:val="single" w:color="231F20" w:sz="4" w:space="0"/>
            </w:tcBorders>
            <w:vAlign w:val="top"/>
          </w:tcPr>
          <w:p w14:paraId="753CC9C9">
            <w:pPr>
              <w:autoSpaceDE w:val="0"/>
              <w:autoSpaceDN w:val="0"/>
              <w:spacing w:before="124" w:line="237" w:lineRule="auto"/>
              <w:ind w:left="182"/>
              <w:rPr>
                <w:rFonts w:ascii="楷体" w:hAnsi="楷体" w:eastAsia="楷体" w:cs="楷体"/>
                <w:sz w:val="18"/>
                <w:szCs w:val="18"/>
              </w:rPr>
            </w:pPr>
            <w:r>
              <w:rPr>
                <w:rFonts w:ascii="楷体" w:hAnsi="楷体" w:eastAsia="楷体" w:cs="楷体"/>
                <w:color w:val="231F20"/>
                <w:spacing w:val="-4"/>
                <w:sz w:val="18"/>
                <w:szCs w:val="18"/>
              </w:rPr>
              <w:t>美国</w:t>
            </w:r>
          </w:p>
        </w:tc>
        <w:tc>
          <w:tcPr>
            <w:tcW w:w="763" w:type="dxa"/>
            <w:tcBorders>
              <w:top w:val="single" w:color="231F20" w:sz="8" w:space="0"/>
              <w:bottom w:val="single" w:color="231F20" w:sz="4" w:space="0"/>
            </w:tcBorders>
            <w:vAlign w:val="top"/>
          </w:tcPr>
          <w:p w14:paraId="780D8132">
            <w:pPr>
              <w:autoSpaceDE w:val="0"/>
              <w:autoSpaceDN w:val="0"/>
              <w:spacing w:before="124" w:line="235" w:lineRule="auto"/>
              <w:ind w:left="240"/>
              <w:rPr>
                <w:rFonts w:ascii="楷体" w:hAnsi="楷体" w:eastAsia="楷体" w:cs="楷体"/>
                <w:sz w:val="18"/>
                <w:szCs w:val="18"/>
              </w:rPr>
            </w:pPr>
            <w:r>
              <w:rPr>
                <w:rFonts w:ascii="楷体" w:hAnsi="楷体" w:eastAsia="楷体" w:cs="楷体"/>
                <w:color w:val="231F20"/>
                <w:spacing w:val="-10"/>
                <w:sz w:val="18"/>
                <w:szCs w:val="18"/>
              </w:rPr>
              <w:t>日本</w:t>
            </w:r>
          </w:p>
        </w:tc>
        <w:tc>
          <w:tcPr>
            <w:tcW w:w="760" w:type="dxa"/>
            <w:tcBorders>
              <w:top w:val="single" w:color="231F20" w:sz="8" w:space="0"/>
              <w:bottom w:val="single" w:color="231F20" w:sz="4" w:space="0"/>
            </w:tcBorders>
            <w:vAlign w:val="top"/>
          </w:tcPr>
          <w:p w14:paraId="30CB2064">
            <w:pPr>
              <w:autoSpaceDE w:val="0"/>
              <w:autoSpaceDN w:val="0"/>
              <w:spacing w:before="124" w:line="237" w:lineRule="auto"/>
              <w:ind w:left="205"/>
              <w:rPr>
                <w:rFonts w:ascii="楷体" w:hAnsi="楷体" w:eastAsia="楷体" w:cs="楷体"/>
                <w:sz w:val="18"/>
                <w:szCs w:val="18"/>
              </w:rPr>
            </w:pPr>
            <w:r>
              <w:rPr>
                <w:rFonts w:ascii="楷体" w:hAnsi="楷体" w:eastAsia="楷体" w:cs="楷体"/>
                <w:color w:val="231F20"/>
                <w:spacing w:val="-1"/>
                <w:sz w:val="18"/>
                <w:szCs w:val="18"/>
              </w:rPr>
              <w:t>德国</w:t>
            </w:r>
          </w:p>
        </w:tc>
        <w:tc>
          <w:tcPr>
            <w:tcW w:w="761" w:type="dxa"/>
            <w:tcBorders>
              <w:top w:val="single" w:color="231F20" w:sz="8" w:space="0"/>
              <w:bottom w:val="single" w:color="231F20" w:sz="4" w:space="0"/>
            </w:tcBorders>
            <w:vAlign w:val="top"/>
          </w:tcPr>
          <w:p w14:paraId="22165DFD">
            <w:pPr>
              <w:autoSpaceDE w:val="0"/>
              <w:autoSpaceDN w:val="0"/>
              <w:spacing w:before="135" w:line="197" w:lineRule="auto"/>
              <w:ind w:left="206"/>
              <w:rPr>
                <w:rFonts w:ascii="楷体" w:hAnsi="楷体" w:eastAsia="楷体" w:cs="楷体"/>
                <w:sz w:val="18"/>
                <w:szCs w:val="18"/>
              </w:rPr>
            </w:pPr>
            <w:r>
              <w:rPr>
                <w:rFonts w:ascii="楷体" w:hAnsi="楷体" w:eastAsia="楷体" w:cs="楷体"/>
                <w:color w:val="231F20"/>
                <w:spacing w:val="-2"/>
                <w:sz w:val="18"/>
                <w:szCs w:val="18"/>
              </w:rPr>
              <w:t>英国</w:t>
            </w:r>
          </w:p>
        </w:tc>
        <w:tc>
          <w:tcPr>
            <w:tcW w:w="720" w:type="dxa"/>
            <w:tcBorders>
              <w:top w:val="single" w:color="231F20" w:sz="8" w:space="0"/>
              <w:bottom w:val="single" w:color="231F20" w:sz="4" w:space="0"/>
            </w:tcBorders>
            <w:vAlign w:val="top"/>
          </w:tcPr>
          <w:p w14:paraId="51B01771">
            <w:pPr>
              <w:autoSpaceDE w:val="0"/>
              <w:autoSpaceDN w:val="0"/>
              <w:spacing w:before="138" w:line="193" w:lineRule="auto"/>
              <w:ind w:left="221"/>
              <w:rPr>
                <w:rFonts w:ascii="楷体" w:hAnsi="楷体" w:eastAsia="楷体" w:cs="楷体"/>
                <w:sz w:val="18"/>
                <w:szCs w:val="18"/>
              </w:rPr>
            </w:pPr>
            <w:r>
              <w:rPr>
                <w:rFonts w:ascii="楷体" w:hAnsi="楷体" w:eastAsia="楷体" w:cs="楷体"/>
                <w:color w:val="231F20"/>
                <w:spacing w:val="-5"/>
                <w:sz w:val="18"/>
                <w:szCs w:val="18"/>
              </w:rPr>
              <w:t>法国</w:t>
            </w:r>
          </w:p>
        </w:tc>
        <w:tc>
          <w:tcPr>
            <w:tcW w:w="792" w:type="dxa"/>
            <w:tcBorders>
              <w:top w:val="single" w:color="231F20" w:sz="8" w:space="0"/>
              <w:bottom w:val="single" w:color="231F20" w:sz="4" w:space="0"/>
            </w:tcBorders>
            <w:vAlign w:val="top"/>
          </w:tcPr>
          <w:p w14:paraId="2A4B7F56">
            <w:pPr>
              <w:autoSpaceDE w:val="0"/>
              <w:autoSpaceDN w:val="0"/>
              <w:spacing w:before="134" w:line="206" w:lineRule="auto"/>
              <w:ind w:left="165"/>
              <w:rPr>
                <w:rFonts w:ascii="楷体" w:hAnsi="楷体" w:eastAsia="楷体" w:cs="楷体"/>
                <w:sz w:val="18"/>
                <w:szCs w:val="18"/>
              </w:rPr>
            </w:pPr>
            <w:r>
              <w:rPr>
                <w:rFonts w:ascii="楷体" w:hAnsi="楷体" w:eastAsia="楷体" w:cs="楷体"/>
                <w:color w:val="231F20"/>
                <w:spacing w:val="-3"/>
                <w:sz w:val="18"/>
                <w:szCs w:val="18"/>
              </w:rPr>
              <w:t>意大利</w:t>
            </w:r>
          </w:p>
        </w:tc>
        <w:tc>
          <w:tcPr>
            <w:tcW w:w="816" w:type="dxa"/>
            <w:tcBorders>
              <w:top w:val="single" w:color="231F20" w:sz="8" w:space="0"/>
              <w:bottom w:val="single" w:color="231F20" w:sz="4" w:space="0"/>
            </w:tcBorders>
            <w:vAlign w:val="top"/>
          </w:tcPr>
          <w:p w14:paraId="4CCBAC76">
            <w:pPr>
              <w:autoSpaceDE w:val="0"/>
              <w:autoSpaceDN w:val="0"/>
              <w:spacing w:before="124" w:line="236" w:lineRule="auto"/>
              <w:ind w:left="126"/>
              <w:rPr>
                <w:rFonts w:ascii="楷体" w:hAnsi="楷体" w:eastAsia="楷体" w:cs="楷体"/>
                <w:sz w:val="18"/>
                <w:szCs w:val="18"/>
              </w:rPr>
            </w:pPr>
            <w:r>
              <w:rPr>
                <w:rFonts w:ascii="楷体" w:hAnsi="楷体" w:eastAsia="楷体" w:cs="楷体"/>
                <w:color w:val="231F20"/>
                <w:spacing w:val="-1"/>
                <w:sz w:val="18"/>
                <w:szCs w:val="18"/>
              </w:rPr>
              <w:t>加拿大</w:t>
            </w:r>
          </w:p>
        </w:tc>
        <w:tc>
          <w:tcPr>
            <w:tcW w:w="717" w:type="dxa"/>
            <w:tcBorders>
              <w:top w:val="single" w:color="231F20" w:sz="8" w:space="0"/>
              <w:bottom w:val="single" w:color="231F20" w:sz="4" w:space="0"/>
            </w:tcBorders>
            <w:vAlign w:val="top"/>
          </w:tcPr>
          <w:p w14:paraId="1DB9638C">
            <w:pPr>
              <w:autoSpaceDE w:val="0"/>
              <w:autoSpaceDN w:val="0"/>
              <w:spacing w:before="124" w:line="233" w:lineRule="auto"/>
              <w:ind w:left="166"/>
              <w:rPr>
                <w:rFonts w:ascii="楷体" w:hAnsi="楷体" w:eastAsia="楷体" w:cs="楷体"/>
                <w:sz w:val="18"/>
                <w:szCs w:val="18"/>
              </w:rPr>
            </w:pPr>
            <w:r>
              <w:rPr>
                <w:rFonts w:ascii="楷体" w:hAnsi="楷体" w:eastAsia="楷体" w:cs="楷体"/>
                <w:color w:val="231F20"/>
                <w:spacing w:val="-3"/>
                <w:sz w:val="18"/>
                <w:szCs w:val="18"/>
              </w:rPr>
              <w:t>韩国</w:t>
            </w:r>
          </w:p>
        </w:tc>
        <w:tc>
          <w:tcPr>
            <w:tcW w:w="723" w:type="dxa"/>
            <w:tcBorders>
              <w:top w:val="single" w:color="231F20" w:sz="8" w:space="0"/>
              <w:bottom w:val="single" w:color="231F20" w:sz="4" w:space="0"/>
            </w:tcBorders>
            <w:vAlign w:val="top"/>
          </w:tcPr>
          <w:p w14:paraId="5005854A">
            <w:pPr>
              <w:autoSpaceDE w:val="0"/>
              <w:autoSpaceDN w:val="0"/>
              <w:spacing w:before="27" w:line="201" w:lineRule="auto"/>
              <w:ind w:left="216"/>
              <w:rPr>
                <w:rFonts w:ascii="楷体" w:hAnsi="楷体" w:eastAsia="楷体" w:cs="楷体"/>
                <w:sz w:val="18"/>
                <w:szCs w:val="18"/>
              </w:rPr>
            </w:pPr>
            <w:r>
              <w:rPr>
                <w:rFonts w:ascii="楷体" w:hAnsi="楷体" w:eastAsia="楷体" w:cs="楷体"/>
                <w:color w:val="231F20"/>
                <w:spacing w:val="-4"/>
                <w:sz w:val="18"/>
                <w:szCs w:val="18"/>
              </w:rPr>
              <w:t>澳大</w:t>
            </w:r>
          </w:p>
          <w:p w14:paraId="3D67756D">
            <w:pPr>
              <w:autoSpaceDE w:val="0"/>
              <w:autoSpaceDN w:val="0"/>
              <w:spacing w:before="21" w:line="190" w:lineRule="auto"/>
              <w:ind w:left="208"/>
              <w:rPr>
                <w:rFonts w:ascii="楷体" w:hAnsi="楷体" w:eastAsia="楷体" w:cs="楷体"/>
                <w:sz w:val="18"/>
                <w:szCs w:val="18"/>
              </w:rPr>
            </w:pPr>
            <w:r>
              <w:rPr>
                <w:rFonts w:ascii="楷体" w:hAnsi="楷体" w:eastAsia="楷体" w:cs="楷体"/>
                <w:color w:val="231F20"/>
                <w:spacing w:val="-2"/>
                <w:sz w:val="18"/>
                <w:szCs w:val="18"/>
              </w:rPr>
              <w:t>利亚</w:t>
            </w:r>
          </w:p>
        </w:tc>
        <w:tc>
          <w:tcPr>
            <w:tcW w:w="840" w:type="dxa"/>
            <w:tcBorders>
              <w:top w:val="single" w:color="231F20" w:sz="8" w:space="0"/>
              <w:bottom w:val="single" w:color="231F20" w:sz="4" w:space="0"/>
            </w:tcBorders>
            <w:vAlign w:val="top"/>
          </w:tcPr>
          <w:p w14:paraId="61454BD2">
            <w:pPr>
              <w:autoSpaceDE w:val="0"/>
              <w:autoSpaceDN w:val="0"/>
              <w:spacing w:before="138" w:line="192" w:lineRule="auto"/>
              <w:ind w:left="167"/>
              <w:rPr>
                <w:rFonts w:ascii="楷体" w:hAnsi="楷体" w:eastAsia="楷体" w:cs="楷体"/>
                <w:sz w:val="18"/>
                <w:szCs w:val="18"/>
              </w:rPr>
            </w:pPr>
            <w:r>
              <w:rPr>
                <w:rFonts w:ascii="楷体" w:hAnsi="楷体" w:eastAsia="楷体" w:cs="楷体"/>
                <w:color w:val="231F20"/>
                <w:spacing w:val="-4"/>
                <w:sz w:val="18"/>
                <w:szCs w:val="18"/>
              </w:rPr>
              <w:t>西班牙</w:t>
            </w:r>
          </w:p>
        </w:tc>
        <w:tc>
          <w:tcPr>
            <w:tcW w:w="722" w:type="dxa"/>
            <w:tcBorders>
              <w:top w:val="single" w:color="231F20" w:sz="8" w:space="0"/>
              <w:bottom w:val="single" w:color="231F20" w:sz="4" w:space="0"/>
            </w:tcBorders>
            <w:vAlign w:val="top"/>
          </w:tcPr>
          <w:p w14:paraId="1119C50F">
            <w:pPr>
              <w:autoSpaceDE w:val="0"/>
              <w:autoSpaceDN w:val="0"/>
              <w:spacing w:before="124" w:line="235" w:lineRule="auto"/>
              <w:ind w:left="165"/>
              <w:rPr>
                <w:rFonts w:ascii="楷体" w:hAnsi="楷体" w:eastAsia="楷体" w:cs="楷体"/>
                <w:sz w:val="18"/>
                <w:szCs w:val="18"/>
              </w:rPr>
            </w:pPr>
            <w:r>
              <w:rPr>
                <w:rFonts w:ascii="楷体" w:hAnsi="楷体" w:eastAsia="楷体" w:cs="楷体"/>
                <w:color w:val="231F20"/>
                <w:spacing w:val="-2"/>
                <w:sz w:val="18"/>
                <w:szCs w:val="18"/>
              </w:rPr>
              <w:t>荷兰</w:t>
            </w:r>
          </w:p>
        </w:tc>
      </w:tr>
      <w:tr w14:paraId="2D5DD056">
        <w:trPr>
          <w:trHeight w:val="275" w:hRule="atLeast"/>
        </w:trPr>
        <w:tc>
          <w:tcPr>
            <w:tcW w:w="788" w:type="dxa"/>
            <w:tcBorders>
              <w:top w:val="single" w:color="231F20" w:sz="4" w:space="0"/>
            </w:tcBorders>
            <w:vAlign w:val="top"/>
          </w:tcPr>
          <w:p w14:paraId="6919B63D">
            <w:pPr>
              <w:pStyle w:val="26"/>
              <w:autoSpaceDE w:val="0"/>
              <w:autoSpaceDN w:val="0"/>
              <w:spacing w:before="82" w:line="186" w:lineRule="auto"/>
              <w:ind w:left="236"/>
              <w:rPr>
                <w:sz w:val="16"/>
                <w:szCs w:val="16"/>
              </w:rPr>
            </w:pPr>
            <w:r>
              <w:rPr>
                <w:color w:val="231F20"/>
                <w:spacing w:val="-4"/>
                <w:sz w:val="16"/>
                <w:szCs w:val="16"/>
              </w:rPr>
              <w:t>1980</w:t>
            </w:r>
          </w:p>
        </w:tc>
        <w:tc>
          <w:tcPr>
            <w:tcW w:w="725" w:type="dxa"/>
            <w:tcBorders>
              <w:top w:val="single" w:color="231F20" w:sz="4" w:space="0"/>
            </w:tcBorders>
            <w:vAlign w:val="top"/>
          </w:tcPr>
          <w:p w14:paraId="0003C23E">
            <w:pPr>
              <w:pStyle w:val="26"/>
              <w:autoSpaceDE w:val="0"/>
              <w:autoSpaceDN w:val="0"/>
              <w:spacing w:before="82" w:line="186" w:lineRule="auto"/>
              <w:ind w:left="226"/>
              <w:rPr>
                <w:sz w:val="16"/>
                <w:szCs w:val="16"/>
              </w:rPr>
            </w:pPr>
            <w:r>
              <w:rPr>
                <w:color w:val="231F20"/>
                <w:spacing w:val="-4"/>
                <w:sz w:val="16"/>
                <w:szCs w:val="16"/>
              </w:rPr>
              <w:t>1.55</w:t>
            </w:r>
          </w:p>
        </w:tc>
        <w:tc>
          <w:tcPr>
            <w:tcW w:w="763" w:type="dxa"/>
            <w:tcBorders>
              <w:top w:val="single" w:color="231F20" w:sz="4" w:space="0"/>
            </w:tcBorders>
            <w:vAlign w:val="top"/>
          </w:tcPr>
          <w:p w14:paraId="7B733972">
            <w:pPr>
              <w:pStyle w:val="26"/>
              <w:autoSpaceDE w:val="0"/>
              <w:autoSpaceDN w:val="0"/>
              <w:spacing w:before="82" w:line="186" w:lineRule="auto"/>
              <w:ind w:left="247"/>
              <w:rPr>
                <w:sz w:val="16"/>
                <w:szCs w:val="16"/>
              </w:rPr>
            </w:pPr>
            <w:r>
              <w:rPr>
                <w:color w:val="231F20"/>
                <w:spacing w:val="-1"/>
                <w:sz w:val="16"/>
                <w:szCs w:val="16"/>
              </w:rPr>
              <w:t>2.06</w:t>
            </w:r>
          </w:p>
        </w:tc>
        <w:tc>
          <w:tcPr>
            <w:tcW w:w="760" w:type="dxa"/>
            <w:tcBorders>
              <w:top w:val="single" w:color="231F20" w:sz="4" w:space="0"/>
            </w:tcBorders>
            <w:vAlign w:val="top"/>
          </w:tcPr>
          <w:p w14:paraId="6370B070">
            <w:pPr>
              <w:pStyle w:val="26"/>
              <w:autoSpaceDE w:val="0"/>
              <w:autoSpaceDN w:val="0"/>
              <w:spacing w:before="82" w:line="186" w:lineRule="auto"/>
              <w:ind w:left="260"/>
              <w:rPr>
                <w:sz w:val="16"/>
                <w:szCs w:val="16"/>
              </w:rPr>
            </w:pPr>
            <w:r>
              <w:rPr>
                <w:color w:val="231F20"/>
                <w:spacing w:val="-4"/>
                <w:sz w:val="16"/>
                <w:szCs w:val="16"/>
              </w:rPr>
              <w:t>1.60</w:t>
            </w:r>
          </w:p>
        </w:tc>
        <w:tc>
          <w:tcPr>
            <w:tcW w:w="761" w:type="dxa"/>
            <w:tcBorders>
              <w:top w:val="single" w:color="231F20" w:sz="4" w:space="0"/>
            </w:tcBorders>
            <w:vAlign w:val="top"/>
          </w:tcPr>
          <w:p w14:paraId="6AEDCD3D">
            <w:pPr>
              <w:pStyle w:val="26"/>
              <w:autoSpaceDE w:val="0"/>
              <w:autoSpaceDN w:val="0"/>
              <w:spacing w:before="82" w:line="186" w:lineRule="auto"/>
              <w:ind w:left="261"/>
              <w:rPr>
                <w:sz w:val="16"/>
                <w:szCs w:val="16"/>
              </w:rPr>
            </w:pPr>
            <w:r>
              <w:rPr>
                <w:color w:val="231F20"/>
                <w:spacing w:val="-4"/>
                <w:sz w:val="16"/>
                <w:szCs w:val="16"/>
              </w:rPr>
              <w:t>1.94</w:t>
            </w:r>
          </w:p>
        </w:tc>
        <w:tc>
          <w:tcPr>
            <w:tcW w:w="720" w:type="dxa"/>
            <w:tcBorders>
              <w:top w:val="single" w:color="231F20" w:sz="4" w:space="0"/>
            </w:tcBorders>
            <w:vAlign w:val="top"/>
          </w:tcPr>
          <w:p w14:paraId="4E9892B9">
            <w:pPr>
              <w:pStyle w:val="26"/>
              <w:autoSpaceDE w:val="0"/>
              <w:autoSpaceDN w:val="0"/>
              <w:spacing w:before="82" w:line="186" w:lineRule="auto"/>
              <w:ind w:left="261"/>
              <w:rPr>
                <w:sz w:val="16"/>
                <w:szCs w:val="16"/>
              </w:rPr>
            </w:pPr>
            <w:r>
              <w:rPr>
                <w:color w:val="231F20"/>
                <w:spacing w:val="-4"/>
                <w:sz w:val="16"/>
                <w:szCs w:val="16"/>
              </w:rPr>
              <w:t>1.53</w:t>
            </w:r>
          </w:p>
        </w:tc>
        <w:tc>
          <w:tcPr>
            <w:tcW w:w="792" w:type="dxa"/>
            <w:tcBorders>
              <w:top w:val="single" w:color="231F20" w:sz="4" w:space="0"/>
            </w:tcBorders>
            <w:vAlign w:val="top"/>
          </w:tcPr>
          <w:p w14:paraId="3C632E80">
            <w:pPr>
              <w:pStyle w:val="26"/>
              <w:autoSpaceDE w:val="0"/>
              <w:autoSpaceDN w:val="0"/>
              <w:spacing w:before="82" w:line="186" w:lineRule="auto"/>
              <w:ind w:left="287"/>
              <w:rPr>
                <w:sz w:val="16"/>
                <w:szCs w:val="16"/>
              </w:rPr>
            </w:pPr>
            <w:r>
              <w:rPr>
                <w:color w:val="231F20"/>
                <w:spacing w:val="-1"/>
                <w:sz w:val="16"/>
                <w:szCs w:val="16"/>
              </w:rPr>
              <w:t>2.30</w:t>
            </w:r>
          </w:p>
        </w:tc>
        <w:tc>
          <w:tcPr>
            <w:tcW w:w="816" w:type="dxa"/>
            <w:tcBorders>
              <w:top w:val="single" w:color="231F20" w:sz="4" w:space="0"/>
            </w:tcBorders>
            <w:vAlign w:val="top"/>
          </w:tcPr>
          <w:p w14:paraId="02DB2993">
            <w:pPr>
              <w:pStyle w:val="26"/>
              <w:autoSpaceDE w:val="0"/>
              <w:autoSpaceDN w:val="0"/>
              <w:spacing w:before="82" w:line="186" w:lineRule="auto"/>
              <w:ind w:left="272"/>
              <w:rPr>
                <w:sz w:val="16"/>
                <w:szCs w:val="16"/>
              </w:rPr>
            </w:pPr>
            <w:r>
              <w:rPr>
                <w:color w:val="231F20"/>
                <w:spacing w:val="-4"/>
                <w:sz w:val="16"/>
                <w:szCs w:val="16"/>
              </w:rPr>
              <w:t>1.74</w:t>
            </w:r>
          </w:p>
        </w:tc>
        <w:tc>
          <w:tcPr>
            <w:tcW w:w="717" w:type="dxa"/>
            <w:tcBorders>
              <w:top w:val="single" w:color="231F20" w:sz="4" w:space="0"/>
            </w:tcBorders>
            <w:vAlign w:val="top"/>
          </w:tcPr>
          <w:p w14:paraId="74FF842B">
            <w:pPr>
              <w:pStyle w:val="26"/>
              <w:autoSpaceDE w:val="0"/>
              <w:autoSpaceDN w:val="0"/>
              <w:spacing w:before="82" w:line="186" w:lineRule="auto"/>
              <w:ind w:left="180"/>
              <w:rPr>
                <w:sz w:val="16"/>
                <w:szCs w:val="16"/>
              </w:rPr>
            </w:pPr>
            <w:r>
              <w:rPr>
                <w:color w:val="231F20"/>
                <w:spacing w:val="-5"/>
                <w:sz w:val="16"/>
                <w:szCs w:val="16"/>
              </w:rPr>
              <w:t>11.36</w:t>
            </w:r>
          </w:p>
        </w:tc>
        <w:tc>
          <w:tcPr>
            <w:tcW w:w="723" w:type="dxa"/>
            <w:tcBorders>
              <w:top w:val="single" w:color="231F20" w:sz="4" w:space="0"/>
            </w:tcBorders>
            <w:vAlign w:val="top"/>
          </w:tcPr>
          <w:p w14:paraId="4772DCC0">
            <w:pPr>
              <w:pStyle w:val="26"/>
              <w:autoSpaceDE w:val="0"/>
              <w:autoSpaceDN w:val="0"/>
              <w:spacing w:before="82" w:line="186" w:lineRule="auto"/>
              <w:ind w:left="261"/>
              <w:rPr>
                <w:sz w:val="16"/>
                <w:szCs w:val="16"/>
              </w:rPr>
            </w:pPr>
            <w:r>
              <w:rPr>
                <w:color w:val="231F20"/>
                <w:spacing w:val="-4"/>
                <w:sz w:val="16"/>
                <w:szCs w:val="16"/>
              </w:rPr>
              <w:t>1.91</w:t>
            </w:r>
          </w:p>
        </w:tc>
        <w:tc>
          <w:tcPr>
            <w:tcW w:w="840" w:type="dxa"/>
            <w:tcBorders>
              <w:top w:val="single" w:color="231F20" w:sz="4" w:space="0"/>
            </w:tcBorders>
            <w:vAlign w:val="top"/>
          </w:tcPr>
          <w:p w14:paraId="47F192DD">
            <w:pPr>
              <w:pStyle w:val="26"/>
              <w:autoSpaceDE w:val="0"/>
              <w:autoSpaceDN w:val="0"/>
              <w:spacing w:before="82" w:line="186" w:lineRule="auto"/>
              <w:ind w:left="287"/>
              <w:rPr>
                <w:sz w:val="16"/>
                <w:szCs w:val="16"/>
              </w:rPr>
            </w:pPr>
            <w:r>
              <w:rPr>
                <w:color w:val="231F20"/>
                <w:spacing w:val="-2"/>
                <w:sz w:val="16"/>
                <w:szCs w:val="16"/>
              </w:rPr>
              <w:t>3.14</w:t>
            </w:r>
          </w:p>
        </w:tc>
        <w:tc>
          <w:tcPr>
            <w:tcW w:w="722" w:type="dxa"/>
            <w:tcBorders>
              <w:top w:val="single" w:color="231F20" w:sz="4" w:space="0"/>
            </w:tcBorders>
            <w:vAlign w:val="top"/>
          </w:tcPr>
          <w:p w14:paraId="1244AF9A">
            <w:pPr>
              <w:pStyle w:val="26"/>
              <w:autoSpaceDE w:val="0"/>
              <w:autoSpaceDN w:val="0"/>
              <w:spacing w:before="82" w:line="186" w:lineRule="auto"/>
              <w:ind w:left="220"/>
              <w:rPr>
                <w:sz w:val="16"/>
                <w:szCs w:val="16"/>
              </w:rPr>
            </w:pPr>
            <w:r>
              <w:rPr>
                <w:color w:val="231F20"/>
                <w:spacing w:val="-4"/>
                <w:sz w:val="16"/>
                <w:szCs w:val="16"/>
              </w:rPr>
              <w:t>1.41</w:t>
            </w:r>
          </w:p>
        </w:tc>
      </w:tr>
      <w:tr w14:paraId="1DA47AC1">
        <w:trPr>
          <w:trHeight w:val="282" w:hRule="atLeast"/>
        </w:trPr>
        <w:tc>
          <w:tcPr>
            <w:tcW w:w="788" w:type="dxa"/>
            <w:vAlign w:val="top"/>
          </w:tcPr>
          <w:p w14:paraId="77F2731A">
            <w:pPr>
              <w:pStyle w:val="26"/>
              <w:autoSpaceDE w:val="0"/>
              <w:autoSpaceDN w:val="0"/>
              <w:spacing w:before="91" w:line="186" w:lineRule="auto"/>
              <w:ind w:left="236"/>
              <w:rPr>
                <w:sz w:val="16"/>
                <w:szCs w:val="16"/>
              </w:rPr>
            </w:pPr>
            <w:r>
              <w:rPr>
                <w:color w:val="231F20"/>
                <w:spacing w:val="-4"/>
                <w:sz w:val="16"/>
                <w:szCs w:val="16"/>
              </w:rPr>
              <w:t>1990</w:t>
            </w:r>
          </w:p>
        </w:tc>
        <w:tc>
          <w:tcPr>
            <w:tcW w:w="725" w:type="dxa"/>
            <w:vAlign w:val="top"/>
          </w:tcPr>
          <w:p w14:paraId="7D7767E7">
            <w:pPr>
              <w:pStyle w:val="26"/>
              <w:autoSpaceDE w:val="0"/>
              <w:autoSpaceDN w:val="0"/>
              <w:spacing w:before="91" w:line="186" w:lineRule="auto"/>
              <w:ind w:left="226"/>
              <w:rPr>
                <w:sz w:val="16"/>
                <w:szCs w:val="16"/>
              </w:rPr>
            </w:pPr>
            <w:r>
              <w:rPr>
                <w:color w:val="231F20"/>
                <w:spacing w:val="-4"/>
                <w:sz w:val="16"/>
                <w:szCs w:val="16"/>
              </w:rPr>
              <w:t>1.33</w:t>
            </w:r>
          </w:p>
        </w:tc>
        <w:tc>
          <w:tcPr>
            <w:tcW w:w="763" w:type="dxa"/>
            <w:vAlign w:val="top"/>
          </w:tcPr>
          <w:p w14:paraId="384CCC88">
            <w:pPr>
              <w:pStyle w:val="26"/>
              <w:autoSpaceDE w:val="0"/>
              <w:autoSpaceDN w:val="0"/>
              <w:spacing w:before="91" w:line="186" w:lineRule="auto"/>
              <w:ind w:left="262"/>
              <w:rPr>
                <w:sz w:val="16"/>
                <w:szCs w:val="16"/>
              </w:rPr>
            </w:pPr>
            <w:r>
              <w:rPr>
                <w:color w:val="231F20"/>
                <w:spacing w:val="-4"/>
                <w:sz w:val="16"/>
                <w:szCs w:val="16"/>
              </w:rPr>
              <w:t>1.25</w:t>
            </w:r>
          </w:p>
        </w:tc>
        <w:tc>
          <w:tcPr>
            <w:tcW w:w="760" w:type="dxa"/>
            <w:vAlign w:val="top"/>
          </w:tcPr>
          <w:p w14:paraId="5D18747F">
            <w:pPr>
              <w:pStyle w:val="26"/>
              <w:autoSpaceDE w:val="0"/>
              <w:autoSpaceDN w:val="0"/>
              <w:spacing w:before="91" w:line="186" w:lineRule="auto"/>
              <w:ind w:left="260"/>
              <w:rPr>
                <w:sz w:val="16"/>
                <w:szCs w:val="16"/>
              </w:rPr>
            </w:pPr>
            <w:r>
              <w:rPr>
                <w:color w:val="231F20"/>
                <w:spacing w:val="-4"/>
                <w:sz w:val="16"/>
                <w:szCs w:val="16"/>
              </w:rPr>
              <w:t>1.43</w:t>
            </w:r>
          </w:p>
        </w:tc>
        <w:tc>
          <w:tcPr>
            <w:tcW w:w="761" w:type="dxa"/>
            <w:vAlign w:val="top"/>
          </w:tcPr>
          <w:p w14:paraId="0EA1D089">
            <w:pPr>
              <w:pStyle w:val="26"/>
              <w:autoSpaceDE w:val="0"/>
              <w:autoSpaceDN w:val="0"/>
              <w:spacing w:before="91" w:line="186" w:lineRule="auto"/>
              <w:ind w:left="261"/>
              <w:rPr>
                <w:sz w:val="16"/>
                <w:szCs w:val="16"/>
              </w:rPr>
            </w:pPr>
            <w:r>
              <w:rPr>
                <w:color w:val="231F20"/>
                <w:spacing w:val="-4"/>
                <w:sz w:val="16"/>
                <w:szCs w:val="16"/>
              </w:rPr>
              <w:t>1.66</w:t>
            </w:r>
          </w:p>
        </w:tc>
        <w:tc>
          <w:tcPr>
            <w:tcW w:w="720" w:type="dxa"/>
            <w:vAlign w:val="top"/>
          </w:tcPr>
          <w:p w14:paraId="6079865C">
            <w:pPr>
              <w:pStyle w:val="26"/>
              <w:autoSpaceDE w:val="0"/>
              <w:autoSpaceDN w:val="0"/>
              <w:spacing w:before="91" w:line="186" w:lineRule="auto"/>
              <w:ind w:left="261"/>
              <w:rPr>
                <w:sz w:val="16"/>
                <w:szCs w:val="16"/>
              </w:rPr>
            </w:pPr>
            <w:r>
              <w:rPr>
                <w:color w:val="231F20"/>
                <w:spacing w:val="-4"/>
                <w:sz w:val="16"/>
                <w:szCs w:val="16"/>
              </w:rPr>
              <w:t>1.45</w:t>
            </w:r>
          </w:p>
        </w:tc>
        <w:tc>
          <w:tcPr>
            <w:tcW w:w="792" w:type="dxa"/>
            <w:vAlign w:val="top"/>
          </w:tcPr>
          <w:p w14:paraId="79BED042">
            <w:pPr>
              <w:pStyle w:val="26"/>
              <w:autoSpaceDE w:val="0"/>
              <w:autoSpaceDN w:val="0"/>
              <w:spacing w:before="91" w:line="186" w:lineRule="auto"/>
              <w:ind w:left="302"/>
              <w:rPr>
                <w:sz w:val="16"/>
                <w:szCs w:val="16"/>
              </w:rPr>
            </w:pPr>
            <w:r>
              <w:rPr>
                <w:color w:val="231F20"/>
                <w:spacing w:val="-4"/>
                <w:sz w:val="16"/>
                <w:szCs w:val="16"/>
              </w:rPr>
              <w:t>1.53</w:t>
            </w:r>
          </w:p>
        </w:tc>
        <w:tc>
          <w:tcPr>
            <w:tcW w:w="816" w:type="dxa"/>
            <w:vAlign w:val="top"/>
          </w:tcPr>
          <w:p w14:paraId="57DBCA7E">
            <w:pPr>
              <w:pStyle w:val="26"/>
              <w:autoSpaceDE w:val="0"/>
              <w:autoSpaceDN w:val="0"/>
              <w:spacing w:before="91" w:line="186" w:lineRule="auto"/>
              <w:ind w:left="271"/>
              <w:rPr>
                <w:sz w:val="16"/>
                <w:szCs w:val="16"/>
              </w:rPr>
            </w:pPr>
            <w:r>
              <w:rPr>
                <w:color w:val="231F20"/>
                <w:spacing w:val="-4"/>
                <w:sz w:val="16"/>
                <w:szCs w:val="16"/>
              </w:rPr>
              <w:t>1.48</w:t>
            </w:r>
          </w:p>
        </w:tc>
        <w:tc>
          <w:tcPr>
            <w:tcW w:w="717" w:type="dxa"/>
            <w:vAlign w:val="top"/>
          </w:tcPr>
          <w:p w14:paraId="15B5387D">
            <w:pPr>
              <w:pStyle w:val="26"/>
              <w:autoSpaceDE w:val="0"/>
              <w:autoSpaceDN w:val="0"/>
              <w:spacing w:before="91" w:line="186" w:lineRule="auto"/>
              <w:ind w:left="200"/>
              <w:rPr>
                <w:sz w:val="16"/>
                <w:szCs w:val="16"/>
              </w:rPr>
            </w:pPr>
            <w:r>
              <w:rPr>
                <w:color w:val="231F20"/>
                <w:spacing w:val="-1"/>
                <w:sz w:val="16"/>
                <w:szCs w:val="16"/>
              </w:rPr>
              <w:t>4.81</w:t>
            </w:r>
          </w:p>
        </w:tc>
        <w:tc>
          <w:tcPr>
            <w:tcW w:w="723" w:type="dxa"/>
            <w:vAlign w:val="top"/>
          </w:tcPr>
          <w:p w14:paraId="6A276A65">
            <w:pPr>
              <w:pStyle w:val="26"/>
              <w:autoSpaceDE w:val="0"/>
              <w:autoSpaceDN w:val="0"/>
              <w:spacing w:before="91" w:line="186" w:lineRule="auto"/>
              <w:ind w:left="261"/>
              <w:rPr>
                <w:sz w:val="16"/>
                <w:szCs w:val="16"/>
              </w:rPr>
            </w:pPr>
            <w:r>
              <w:rPr>
                <w:color w:val="231F20"/>
                <w:spacing w:val="-4"/>
                <w:sz w:val="16"/>
                <w:szCs w:val="16"/>
              </w:rPr>
              <w:t>1.74</w:t>
            </w:r>
          </w:p>
        </w:tc>
        <w:tc>
          <w:tcPr>
            <w:tcW w:w="840" w:type="dxa"/>
            <w:vAlign w:val="top"/>
          </w:tcPr>
          <w:p w14:paraId="72E2A316">
            <w:pPr>
              <w:pStyle w:val="26"/>
              <w:autoSpaceDE w:val="0"/>
              <w:autoSpaceDN w:val="0"/>
              <w:spacing w:before="91" w:line="186" w:lineRule="auto"/>
              <w:ind w:left="283"/>
              <w:rPr>
                <w:sz w:val="16"/>
                <w:szCs w:val="16"/>
              </w:rPr>
            </w:pPr>
            <w:r>
              <w:rPr>
                <w:color w:val="231F20"/>
                <w:spacing w:val="-1"/>
                <w:sz w:val="16"/>
                <w:szCs w:val="16"/>
              </w:rPr>
              <w:t>2.30</w:t>
            </w:r>
          </w:p>
        </w:tc>
        <w:tc>
          <w:tcPr>
            <w:tcW w:w="722" w:type="dxa"/>
            <w:vAlign w:val="top"/>
          </w:tcPr>
          <w:p w14:paraId="77461E7B">
            <w:pPr>
              <w:pStyle w:val="26"/>
              <w:autoSpaceDE w:val="0"/>
              <w:autoSpaceDN w:val="0"/>
              <w:spacing w:before="91" w:line="186" w:lineRule="auto"/>
              <w:ind w:left="220"/>
              <w:rPr>
                <w:sz w:val="16"/>
                <w:szCs w:val="16"/>
              </w:rPr>
            </w:pPr>
            <w:r>
              <w:rPr>
                <w:color w:val="231F20"/>
                <w:spacing w:val="-4"/>
                <w:sz w:val="16"/>
                <w:szCs w:val="16"/>
              </w:rPr>
              <w:t>1.49</w:t>
            </w:r>
          </w:p>
        </w:tc>
      </w:tr>
      <w:tr w14:paraId="3469436F">
        <w:trPr>
          <w:trHeight w:val="282" w:hRule="atLeast"/>
        </w:trPr>
        <w:tc>
          <w:tcPr>
            <w:tcW w:w="788" w:type="dxa"/>
            <w:vAlign w:val="top"/>
          </w:tcPr>
          <w:p w14:paraId="4F6FFB2B">
            <w:pPr>
              <w:pStyle w:val="26"/>
              <w:autoSpaceDE w:val="0"/>
              <w:autoSpaceDN w:val="0"/>
              <w:spacing w:before="92" w:line="186" w:lineRule="auto"/>
              <w:ind w:left="220"/>
              <w:rPr>
                <w:sz w:val="16"/>
                <w:szCs w:val="16"/>
              </w:rPr>
            </w:pPr>
            <w:r>
              <w:rPr>
                <w:color w:val="231F20"/>
                <w:spacing w:val="-1"/>
                <w:sz w:val="16"/>
                <w:szCs w:val="16"/>
              </w:rPr>
              <w:t>2000</w:t>
            </w:r>
          </w:p>
        </w:tc>
        <w:tc>
          <w:tcPr>
            <w:tcW w:w="725" w:type="dxa"/>
            <w:vAlign w:val="top"/>
          </w:tcPr>
          <w:p w14:paraId="643DA73E">
            <w:pPr>
              <w:pStyle w:val="26"/>
              <w:autoSpaceDE w:val="0"/>
              <w:autoSpaceDN w:val="0"/>
              <w:spacing w:before="92" w:line="186" w:lineRule="auto"/>
              <w:ind w:left="210"/>
              <w:rPr>
                <w:sz w:val="16"/>
                <w:szCs w:val="16"/>
              </w:rPr>
            </w:pPr>
            <w:r>
              <w:rPr>
                <w:color w:val="231F20"/>
                <w:spacing w:val="-1"/>
                <w:sz w:val="16"/>
                <w:szCs w:val="16"/>
              </w:rPr>
              <w:t>2.64</w:t>
            </w:r>
          </w:p>
        </w:tc>
        <w:tc>
          <w:tcPr>
            <w:tcW w:w="763" w:type="dxa"/>
            <w:vAlign w:val="top"/>
          </w:tcPr>
          <w:p w14:paraId="28957BB8">
            <w:pPr>
              <w:pStyle w:val="26"/>
              <w:autoSpaceDE w:val="0"/>
              <w:autoSpaceDN w:val="0"/>
              <w:spacing w:before="92" w:line="186" w:lineRule="auto"/>
              <w:ind w:left="246"/>
              <w:rPr>
                <w:sz w:val="16"/>
                <w:szCs w:val="16"/>
              </w:rPr>
            </w:pPr>
            <w:r>
              <w:rPr>
                <w:color w:val="231F20"/>
                <w:spacing w:val="-1"/>
                <w:sz w:val="16"/>
                <w:szCs w:val="16"/>
              </w:rPr>
              <w:t>2.45</w:t>
            </w:r>
          </w:p>
        </w:tc>
        <w:tc>
          <w:tcPr>
            <w:tcW w:w="760" w:type="dxa"/>
            <w:vAlign w:val="top"/>
          </w:tcPr>
          <w:p w14:paraId="545B7013">
            <w:pPr>
              <w:pStyle w:val="26"/>
              <w:autoSpaceDE w:val="0"/>
              <w:autoSpaceDN w:val="0"/>
              <w:spacing w:before="92" w:line="186" w:lineRule="auto"/>
              <w:ind w:left="244"/>
              <w:rPr>
                <w:sz w:val="16"/>
                <w:szCs w:val="16"/>
              </w:rPr>
            </w:pPr>
            <w:r>
              <w:rPr>
                <w:color w:val="231F20"/>
                <w:spacing w:val="-1"/>
                <w:sz w:val="16"/>
                <w:szCs w:val="16"/>
              </w:rPr>
              <w:t>4.05</w:t>
            </w:r>
          </w:p>
        </w:tc>
        <w:tc>
          <w:tcPr>
            <w:tcW w:w="761" w:type="dxa"/>
            <w:vAlign w:val="top"/>
          </w:tcPr>
          <w:p w14:paraId="1920340D">
            <w:pPr>
              <w:pStyle w:val="26"/>
              <w:autoSpaceDE w:val="0"/>
              <w:autoSpaceDN w:val="0"/>
              <w:spacing w:before="92" w:line="186" w:lineRule="auto"/>
              <w:ind w:left="249"/>
              <w:rPr>
                <w:sz w:val="16"/>
                <w:szCs w:val="16"/>
              </w:rPr>
            </w:pPr>
            <w:r>
              <w:rPr>
                <w:color w:val="231F20"/>
                <w:spacing w:val="-2"/>
                <w:sz w:val="16"/>
                <w:szCs w:val="16"/>
              </w:rPr>
              <w:t>3.39</w:t>
            </w:r>
          </w:p>
        </w:tc>
        <w:tc>
          <w:tcPr>
            <w:tcW w:w="720" w:type="dxa"/>
            <w:vAlign w:val="top"/>
          </w:tcPr>
          <w:p w14:paraId="44E99DAD">
            <w:pPr>
              <w:pStyle w:val="26"/>
              <w:autoSpaceDE w:val="0"/>
              <w:autoSpaceDN w:val="0"/>
              <w:spacing w:before="92" w:line="186" w:lineRule="auto"/>
              <w:ind w:left="245"/>
              <w:rPr>
                <w:sz w:val="16"/>
                <w:szCs w:val="16"/>
              </w:rPr>
            </w:pPr>
            <w:r>
              <w:rPr>
                <w:color w:val="231F20"/>
                <w:spacing w:val="-1"/>
                <w:sz w:val="16"/>
                <w:szCs w:val="16"/>
              </w:rPr>
              <w:t>4.28</w:t>
            </w:r>
          </w:p>
        </w:tc>
        <w:tc>
          <w:tcPr>
            <w:tcW w:w="792" w:type="dxa"/>
            <w:vAlign w:val="top"/>
          </w:tcPr>
          <w:p w14:paraId="24495FF1">
            <w:pPr>
              <w:pStyle w:val="26"/>
              <w:autoSpaceDE w:val="0"/>
              <w:autoSpaceDN w:val="0"/>
              <w:spacing w:before="92" w:line="186" w:lineRule="auto"/>
              <w:ind w:left="286"/>
              <w:rPr>
                <w:sz w:val="16"/>
                <w:szCs w:val="16"/>
              </w:rPr>
            </w:pPr>
            <w:r>
              <w:rPr>
                <w:color w:val="231F20"/>
                <w:spacing w:val="-1"/>
                <w:sz w:val="16"/>
                <w:szCs w:val="16"/>
              </w:rPr>
              <w:t>4.76</w:t>
            </w:r>
          </w:p>
        </w:tc>
        <w:tc>
          <w:tcPr>
            <w:tcW w:w="816" w:type="dxa"/>
            <w:vAlign w:val="top"/>
          </w:tcPr>
          <w:p w14:paraId="4996269C">
            <w:pPr>
              <w:pStyle w:val="26"/>
              <w:autoSpaceDE w:val="0"/>
              <w:autoSpaceDN w:val="0"/>
              <w:spacing w:before="92" w:line="186" w:lineRule="auto"/>
              <w:ind w:left="259"/>
              <w:rPr>
                <w:sz w:val="16"/>
                <w:szCs w:val="16"/>
              </w:rPr>
            </w:pPr>
            <w:r>
              <w:rPr>
                <w:color w:val="231F20"/>
                <w:spacing w:val="-2"/>
                <w:sz w:val="16"/>
                <w:szCs w:val="16"/>
              </w:rPr>
              <w:t>3.95</w:t>
            </w:r>
          </w:p>
        </w:tc>
        <w:tc>
          <w:tcPr>
            <w:tcW w:w="717" w:type="dxa"/>
            <w:vAlign w:val="top"/>
          </w:tcPr>
          <w:p w14:paraId="06AF024A">
            <w:pPr>
              <w:pStyle w:val="26"/>
              <w:autoSpaceDE w:val="0"/>
              <w:autoSpaceDN w:val="0"/>
              <w:spacing w:before="92" w:line="186" w:lineRule="auto"/>
              <w:ind w:left="204"/>
              <w:rPr>
                <w:sz w:val="16"/>
                <w:szCs w:val="16"/>
              </w:rPr>
            </w:pPr>
            <w:r>
              <w:rPr>
                <w:color w:val="231F20"/>
                <w:spacing w:val="-2"/>
                <w:sz w:val="16"/>
                <w:szCs w:val="16"/>
              </w:rPr>
              <w:t>7.83</w:t>
            </w:r>
          </w:p>
        </w:tc>
        <w:tc>
          <w:tcPr>
            <w:tcW w:w="723" w:type="dxa"/>
            <w:vAlign w:val="top"/>
          </w:tcPr>
          <w:p w14:paraId="791FA413">
            <w:pPr>
              <w:pStyle w:val="26"/>
              <w:autoSpaceDE w:val="0"/>
              <w:autoSpaceDN w:val="0"/>
              <w:spacing w:before="92" w:line="186" w:lineRule="auto"/>
              <w:ind w:left="244"/>
              <w:rPr>
                <w:sz w:val="16"/>
                <w:szCs w:val="16"/>
              </w:rPr>
            </w:pPr>
            <w:r>
              <w:rPr>
                <w:color w:val="231F20"/>
                <w:spacing w:val="-1"/>
                <w:sz w:val="16"/>
                <w:szCs w:val="16"/>
              </w:rPr>
              <w:t>4.39</w:t>
            </w:r>
          </w:p>
        </w:tc>
        <w:tc>
          <w:tcPr>
            <w:tcW w:w="840" w:type="dxa"/>
            <w:vAlign w:val="top"/>
          </w:tcPr>
          <w:p w14:paraId="5621D7AF">
            <w:pPr>
              <w:pStyle w:val="26"/>
              <w:autoSpaceDE w:val="0"/>
              <w:autoSpaceDN w:val="0"/>
              <w:spacing w:before="92" w:line="186" w:lineRule="auto"/>
              <w:ind w:left="287"/>
              <w:rPr>
                <w:sz w:val="16"/>
                <w:szCs w:val="16"/>
              </w:rPr>
            </w:pPr>
            <w:r>
              <w:rPr>
                <w:color w:val="231F20"/>
                <w:spacing w:val="-2"/>
                <w:sz w:val="16"/>
                <w:szCs w:val="16"/>
              </w:rPr>
              <w:t>6.50</w:t>
            </w:r>
          </w:p>
        </w:tc>
        <w:tc>
          <w:tcPr>
            <w:tcW w:w="722" w:type="dxa"/>
            <w:vAlign w:val="top"/>
          </w:tcPr>
          <w:p w14:paraId="2E86195F">
            <w:pPr>
              <w:pStyle w:val="26"/>
              <w:autoSpaceDE w:val="0"/>
              <w:autoSpaceDN w:val="0"/>
              <w:spacing w:before="92" w:line="186" w:lineRule="auto"/>
              <w:ind w:left="208"/>
              <w:rPr>
                <w:sz w:val="16"/>
                <w:szCs w:val="16"/>
              </w:rPr>
            </w:pPr>
            <w:r>
              <w:rPr>
                <w:color w:val="231F20"/>
                <w:spacing w:val="-2"/>
                <w:sz w:val="16"/>
                <w:szCs w:val="16"/>
              </w:rPr>
              <w:t>3.66</w:t>
            </w:r>
          </w:p>
        </w:tc>
      </w:tr>
      <w:tr w14:paraId="4DEC5F47">
        <w:trPr>
          <w:trHeight w:val="282" w:hRule="atLeast"/>
        </w:trPr>
        <w:tc>
          <w:tcPr>
            <w:tcW w:w="788" w:type="dxa"/>
            <w:vAlign w:val="top"/>
          </w:tcPr>
          <w:p w14:paraId="3BD5D2C6">
            <w:pPr>
              <w:pStyle w:val="26"/>
              <w:autoSpaceDE w:val="0"/>
              <w:autoSpaceDN w:val="0"/>
              <w:spacing w:before="94" w:line="186" w:lineRule="auto"/>
              <w:ind w:left="220"/>
              <w:rPr>
                <w:sz w:val="16"/>
                <w:szCs w:val="16"/>
              </w:rPr>
            </w:pPr>
            <w:r>
              <w:rPr>
                <w:color w:val="231F20"/>
                <w:spacing w:val="-1"/>
                <w:sz w:val="16"/>
                <w:szCs w:val="16"/>
              </w:rPr>
              <w:t>2010</w:t>
            </w:r>
          </w:p>
        </w:tc>
        <w:tc>
          <w:tcPr>
            <w:tcW w:w="725" w:type="dxa"/>
            <w:vAlign w:val="top"/>
          </w:tcPr>
          <w:p w14:paraId="0DC18257">
            <w:pPr>
              <w:pStyle w:val="26"/>
              <w:autoSpaceDE w:val="0"/>
              <w:autoSpaceDN w:val="0"/>
              <w:spacing w:before="94" w:line="186" w:lineRule="auto"/>
              <w:ind w:left="213"/>
              <w:rPr>
                <w:sz w:val="16"/>
                <w:szCs w:val="16"/>
              </w:rPr>
            </w:pPr>
            <w:r>
              <w:rPr>
                <w:color w:val="231F20"/>
                <w:spacing w:val="-2"/>
                <w:sz w:val="16"/>
                <w:szCs w:val="16"/>
              </w:rPr>
              <w:t>9.35</w:t>
            </w:r>
          </w:p>
        </w:tc>
        <w:tc>
          <w:tcPr>
            <w:tcW w:w="763" w:type="dxa"/>
            <w:vAlign w:val="top"/>
          </w:tcPr>
          <w:p w14:paraId="178CF3D9">
            <w:pPr>
              <w:pStyle w:val="26"/>
              <w:autoSpaceDE w:val="0"/>
              <w:autoSpaceDN w:val="0"/>
              <w:spacing w:before="94" w:line="186" w:lineRule="auto"/>
              <w:ind w:left="222"/>
              <w:rPr>
                <w:sz w:val="16"/>
                <w:szCs w:val="16"/>
              </w:rPr>
            </w:pPr>
            <w:r>
              <w:rPr>
                <w:color w:val="231F20"/>
                <w:spacing w:val="-3"/>
                <w:sz w:val="16"/>
                <w:szCs w:val="16"/>
              </w:rPr>
              <w:t>10.12</w:t>
            </w:r>
          </w:p>
        </w:tc>
        <w:tc>
          <w:tcPr>
            <w:tcW w:w="760" w:type="dxa"/>
            <w:vAlign w:val="top"/>
          </w:tcPr>
          <w:p w14:paraId="1C52D8F4">
            <w:pPr>
              <w:pStyle w:val="26"/>
              <w:autoSpaceDE w:val="0"/>
              <w:autoSpaceDN w:val="0"/>
              <w:spacing w:before="94" w:line="186" w:lineRule="auto"/>
              <w:ind w:left="220"/>
              <w:rPr>
                <w:sz w:val="16"/>
                <w:szCs w:val="16"/>
              </w:rPr>
            </w:pPr>
            <w:r>
              <w:rPr>
                <w:color w:val="231F20"/>
                <w:spacing w:val="-3"/>
                <w:sz w:val="16"/>
                <w:szCs w:val="16"/>
              </w:rPr>
              <w:t>10.95</w:t>
            </w:r>
          </w:p>
        </w:tc>
        <w:tc>
          <w:tcPr>
            <w:tcW w:w="761" w:type="dxa"/>
            <w:vAlign w:val="top"/>
          </w:tcPr>
          <w:p w14:paraId="0006939D">
            <w:pPr>
              <w:pStyle w:val="26"/>
              <w:autoSpaceDE w:val="0"/>
              <w:autoSpaceDN w:val="0"/>
              <w:spacing w:before="94" w:line="186" w:lineRule="auto"/>
              <w:ind w:left="224"/>
              <w:rPr>
                <w:sz w:val="16"/>
                <w:szCs w:val="16"/>
              </w:rPr>
            </w:pPr>
            <w:r>
              <w:rPr>
                <w:color w:val="231F20"/>
                <w:spacing w:val="-5"/>
                <w:sz w:val="16"/>
                <w:szCs w:val="16"/>
              </w:rPr>
              <w:t>11.46</w:t>
            </w:r>
          </w:p>
        </w:tc>
        <w:tc>
          <w:tcPr>
            <w:tcW w:w="720" w:type="dxa"/>
            <w:vAlign w:val="top"/>
          </w:tcPr>
          <w:p w14:paraId="633FB638">
            <w:pPr>
              <w:pStyle w:val="26"/>
              <w:autoSpaceDE w:val="0"/>
              <w:autoSpaceDN w:val="0"/>
              <w:spacing w:before="94" w:line="186" w:lineRule="auto"/>
              <w:ind w:left="224"/>
              <w:rPr>
                <w:sz w:val="16"/>
                <w:szCs w:val="16"/>
              </w:rPr>
            </w:pPr>
            <w:r>
              <w:rPr>
                <w:color w:val="231F20"/>
                <w:spacing w:val="-5"/>
                <w:sz w:val="16"/>
                <w:szCs w:val="16"/>
              </w:rPr>
              <w:t>11.19</w:t>
            </w:r>
          </w:p>
        </w:tc>
        <w:tc>
          <w:tcPr>
            <w:tcW w:w="792" w:type="dxa"/>
            <w:vAlign w:val="top"/>
          </w:tcPr>
          <w:p w14:paraId="003EF05D">
            <w:pPr>
              <w:pStyle w:val="26"/>
              <w:autoSpaceDE w:val="0"/>
              <w:autoSpaceDN w:val="0"/>
              <w:spacing w:before="94" w:line="186" w:lineRule="auto"/>
              <w:ind w:left="262"/>
              <w:rPr>
                <w:sz w:val="16"/>
                <w:szCs w:val="16"/>
              </w:rPr>
            </w:pPr>
            <w:r>
              <w:rPr>
                <w:color w:val="231F20"/>
                <w:spacing w:val="-3"/>
                <w:sz w:val="16"/>
                <w:szCs w:val="16"/>
              </w:rPr>
              <w:t>12.63</w:t>
            </w:r>
          </w:p>
        </w:tc>
        <w:tc>
          <w:tcPr>
            <w:tcW w:w="816" w:type="dxa"/>
            <w:vAlign w:val="top"/>
          </w:tcPr>
          <w:p w14:paraId="19E43119">
            <w:pPr>
              <w:pStyle w:val="26"/>
              <w:autoSpaceDE w:val="0"/>
              <w:autoSpaceDN w:val="0"/>
              <w:spacing w:before="94" w:line="186" w:lineRule="auto"/>
              <w:ind w:left="259"/>
              <w:rPr>
                <w:sz w:val="16"/>
                <w:szCs w:val="16"/>
              </w:rPr>
            </w:pPr>
            <w:r>
              <w:rPr>
                <w:color w:val="231F20"/>
                <w:spacing w:val="-2"/>
                <w:sz w:val="16"/>
                <w:szCs w:val="16"/>
              </w:rPr>
              <w:t>9.57</w:t>
            </w:r>
          </w:p>
        </w:tc>
        <w:tc>
          <w:tcPr>
            <w:tcW w:w="717" w:type="dxa"/>
            <w:vAlign w:val="top"/>
          </w:tcPr>
          <w:p w14:paraId="02245460">
            <w:pPr>
              <w:pStyle w:val="26"/>
              <w:autoSpaceDE w:val="0"/>
              <w:autoSpaceDN w:val="0"/>
              <w:spacing w:before="94" w:line="186" w:lineRule="auto"/>
              <w:ind w:left="176"/>
              <w:rPr>
                <w:sz w:val="16"/>
                <w:szCs w:val="16"/>
              </w:rPr>
            </w:pPr>
            <w:r>
              <w:rPr>
                <w:color w:val="231F20"/>
                <w:spacing w:val="-3"/>
                <w:sz w:val="16"/>
                <w:szCs w:val="16"/>
              </w:rPr>
              <w:t>19.71</w:t>
            </w:r>
          </w:p>
        </w:tc>
        <w:tc>
          <w:tcPr>
            <w:tcW w:w="723" w:type="dxa"/>
            <w:vAlign w:val="top"/>
          </w:tcPr>
          <w:p w14:paraId="24F36DE3">
            <w:pPr>
              <w:pStyle w:val="26"/>
              <w:autoSpaceDE w:val="0"/>
              <w:autoSpaceDN w:val="0"/>
              <w:spacing w:before="94" w:line="186" w:lineRule="auto"/>
              <w:ind w:left="251"/>
              <w:rPr>
                <w:sz w:val="16"/>
                <w:szCs w:val="16"/>
              </w:rPr>
            </w:pPr>
            <w:r>
              <w:rPr>
                <w:color w:val="231F20"/>
                <w:spacing w:val="-2"/>
                <w:sz w:val="16"/>
                <w:szCs w:val="16"/>
              </w:rPr>
              <w:t>8.73</w:t>
            </w:r>
          </w:p>
        </w:tc>
        <w:tc>
          <w:tcPr>
            <w:tcW w:w="840" w:type="dxa"/>
            <w:vAlign w:val="top"/>
          </w:tcPr>
          <w:p w14:paraId="3662136F">
            <w:pPr>
              <w:pStyle w:val="26"/>
              <w:autoSpaceDE w:val="0"/>
              <w:autoSpaceDN w:val="0"/>
              <w:spacing w:before="94" w:line="186" w:lineRule="auto"/>
              <w:ind w:left="258"/>
              <w:rPr>
                <w:sz w:val="16"/>
                <w:szCs w:val="16"/>
              </w:rPr>
            </w:pPr>
            <w:r>
              <w:rPr>
                <w:color w:val="231F20"/>
                <w:spacing w:val="-3"/>
                <w:sz w:val="16"/>
                <w:szCs w:val="16"/>
              </w:rPr>
              <w:t>14.90</w:t>
            </w:r>
          </w:p>
        </w:tc>
        <w:tc>
          <w:tcPr>
            <w:tcW w:w="722" w:type="dxa"/>
            <w:vAlign w:val="top"/>
          </w:tcPr>
          <w:p w14:paraId="7682FB9C">
            <w:pPr>
              <w:pStyle w:val="26"/>
              <w:autoSpaceDE w:val="0"/>
              <w:autoSpaceDN w:val="0"/>
              <w:spacing w:before="94" w:line="186" w:lineRule="auto"/>
              <w:ind w:left="211"/>
              <w:rPr>
                <w:sz w:val="16"/>
                <w:szCs w:val="16"/>
              </w:rPr>
            </w:pPr>
            <w:r>
              <w:rPr>
                <w:color w:val="231F20"/>
                <w:spacing w:val="-2"/>
                <w:sz w:val="16"/>
                <w:szCs w:val="16"/>
              </w:rPr>
              <w:t>8.92</w:t>
            </w:r>
          </w:p>
        </w:tc>
      </w:tr>
      <w:tr w14:paraId="7DF85AE6">
        <w:trPr>
          <w:trHeight w:val="282" w:hRule="atLeast"/>
        </w:trPr>
        <w:tc>
          <w:tcPr>
            <w:tcW w:w="788" w:type="dxa"/>
            <w:vAlign w:val="top"/>
          </w:tcPr>
          <w:p w14:paraId="482A91EA">
            <w:pPr>
              <w:pStyle w:val="26"/>
              <w:autoSpaceDE w:val="0"/>
              <w:autoSpaceDN w:val="0"/>
              <w:spacing w:before="95" w:line="186" w:lineRule="auto"/>
              <w:ind w:left="220"/>
              <w:rPr>
                <w:sz w:val="16"/>
                <w:szCs w:val="16"/>
              </w:rPr>
            </w:pPr>
            <w:r>
              <w:rPr>
                <w:color w:val="231F20"/>
                <w:spacing w:val="-1"/>
                <w:sz w:val="16"/>
                <w:szCs w:val="16"/>
              </w:rPr>
              <w:t>2012</w:t>
            </w:r>
          </w:p>
        </w:tc>
        <w:tc>
          <w:tcPr>
            <w:tcW w:w="725" w:type="dxa"/>
            <w:vAlign w:val="top"/>
          </w:tcPr>
          <w:p w14:paraId="0BE9A47B">
            <w:pPr>
              <w:pStyle w:val="26"/>
              <w:autoSpaceDE w:val="0"/>
              <w:autoSpaceDN w:val="0"/>
              <w:spacing w:before="95" w:line="186" w:lineRule="auto"/>
              <w:ind w:left="185"/>
              <w:rPr>
                <w:sz w:val="16"/>
                <w:szCs w:val="16"/>
              </w:rPr>
            </w:pPr>
            <w:r>
              <w:rPr>
                <w:color w:val="231F20"/>
                <w:spacing w:val="-3"/>
                <w:sz w:val="16"/>
                <w:szCs w:val="16"/>
              </w:rPr>
              <w:t>12.17</w:t>
            </w:r>
          </w:p>
        </w:tc>
        <w:tc>
          <w:tcPr>
            <w:tcW w:w="763" w:type="dxa"/>
            <w:vAlign w:val="top"/>
          </w:tcPr>
          <w:p w14:paraId="565C8F00">
            <w:pPr>
              <w:pStyle w:val="26"/>
              <w:autoSpaceDE w:val="0"/>
              <w:autoSpaceDN w:val="0"/>
              <w:spacing w:before="95" w:line="186" w:lineRule="auto"/>
              <w:ind w:left="221"/>
              <w:rPr>
                <w:sz w:val="16"/>
                <w:szCs w:val="16"/>
              </w:rPr>
            </w:pPr>
            <w:r>
              <w:rPr>
                <w:color w:val="231F20"/>
                <w:spacing w:val="-3"/>
                <w:sz w:val="16"/>
                <w:szCs w:val="16"/>
              </w:rPr>
              <w:t>12.82</w:t>
            </w:r>
          </w:p>
        </w:tc>
        <w:tc>
          <w:tcPr>
            <w:tcW w:w="760" w:type="dxa"/>
            <w:vAlign w:val="top"/>
          </w:tcPr>
          <w:p w14:paraId="013232C5">
            <w:pPr>
              <w:pStyle w:val="26"/>
              <w:autoSpaceDE w:val="0"/>
              <w:autoSpaceDN w:val="0"/>
              <w:spacing w:before="95" w:line="186" w:lineRule="auto"/>
              <w:ind w:left="219"/>
              <w:rPr>
                <w:sz w:val="16"/>
                <w:szCs w:val="16"/>
              </w:rPr>
            </w:pPr>
            <w:r>
              <w:rPr>
                <w:color w:val="231F20"/>
                <w:spacing w:val="-3"/>
                <w:sz w:val="16"/>
                <w:szCs w:val="16"/>
              </w:rPr>
              <w:t>14.37</w:t>
            </w:r>
          </w:p>
        </w:tc>
        <w:tc>
          <w:tcPr>
            <w:tcW w:w="761" w:type="dxa"/>
            <w:vAlign w:val="top"/>
          </w:tcPr>
          <w:p w14:paraId="4F008B1B">
            <w:pPr>
              <w:pStyle w:val="26"/>
              <w:autoSpaceDE w:val="0"/>
              <w:autoSpaceDN w:val="0"/>
              <w:spacing w:before="95" w:line="186" w:lineRule="auto"/>
              <w:ind w:left="221"/>
              <w:rPr>
                <w:sz w:val="16"/>
                <w:szCs w:val="16"/>
              </w:rPr>
            </w:pPr>
            <w:r>
              <w:rPr>
                <w:color w:val="231F20"/>
                <w:spacing w:val="-3"/>
                <w:sz w:val="16"/>
                <w:szCs w:val="16"/>
              </w:rPr>
              <w:t>14.83</w:t>
            </w:r>
          </w:p>
        </w:tc>
        <w:tc>
          <w:tcPr>
            <w:tcW w:w="720" w:type="dxa"/>
            <w:vAlign w:val="top"/>
          </w:tcPr>
          <w:p w14:paraId="210B9D4B">
            <w:pPr>
              <w:pStyle w:val="26"/>
              <w:autoSpaceDE w:val="0"/>
              <w:autoSpaceDN w:val="0"/>
              <w:spacing w:before="95" w:line="186" w:lineRule="auto"/>
              <w:ind w:left="221"/>
              <w:rPr>
                <w:sz w:val="16"/>
                <w:szCs w:val="16"/>
              </w:rPr>
            </w:pPr>
            <w:r>
              <w:rPr>
                <w:color w:val="231F20"/>
                <w:spacing w:val="-3"/>
                <w:sz w:val="16"/>
                <w:szCs w:val="16"/>
              </w:rPr>
              <w:t>15.42</w:t>
            </w:r>
          </w:p>
        </w:tc>
        <w:tc>
          <w:tcPr>
            <w:tcW w:w="792" w:type="dxa"/>
            <w:vAlign w:val="top"/>
          </w:tcPr>
          <w:p w14:paraId="7F6D9A65">
            <w:pPr>
              <w:pStyle w:val="26"/>
              <w:autoSpaceDE w:val="0"/>
              <w:autoSpaceDN w:val="0"/>
              <w:spacing w:before="95" w:line="186" w:lineRule="auto"/>
              <w:ind w:left="262"/>
              <w:rPr>
                <w:sz w:val="16"/>
                <w:szCs w:val="16"/>
              </w:rPr>
            </w:pPr>
            <w:r>
              <w:rPr>
                <w:color w:val="231F20"/>
                <w:spacing w:val="-3"/>
                <w:sz w:val="16"/>
                <w:szCs w:val="16"/>
              </w:rPr>
              <w:t>17.98</w:t>
            </w:r>
          </w:p>
        </w:tc>
        <w:tc>
          <w:tcPr>
            <w:tcW w:w="816" w:type="dxa"/>
            <w:vAlign w:val="top"/>
          </w:tcPr>
          <w:p w14:paraId="35EC3176">
            <w:pPr>
              <w:pStyle w:val="26"/>
              <w:autoSpaceDE w:val="0"/>
              <w:autoSpaceDN w:val="0"/>
              <w:spacing w:before="95" w:line="186" w:lineRule="auto"/>
              <w:ind w:left="234"/>
              <w:rPr>
                <w:sz w:val="16"/>
                <w:szCs w:val="16"/>
              </w:rPr>
            </w:pPr>
            <w:r>
              <w:rPr>
                <w:color w:val="231F20"/>
                <w:spacing w:val="-5"/>
                <w:sz w:val="16"/>
                <w:szCs w:val="16"/>
              </w:rPr>
              <w:t>11.96</w:t>
            </w:r>
          </w:p>
        </w:tc>
        <w:tc>
          <w:tcPr>
            <w:tcW w:w="717" w:type="dxa"/>
            <w:vAlign w:val="top"/>
          </w:tcPr>
          <w:p w14:paraId="7C1EC01B">
            <w:pPr>
              <w:pStyle w:val="26"/>
              <w:autoSpaceDE w:val="0"/>
              <w:autoSpaceDN w:val="0"/>
              <w:spacing w:before="95" w:line="186" w:lineRule="auto"/>
              <w:ind w:left="161"/>
              <w:rPr>
                <w:sz w:val="16"/>
                <w:szCs w:val="16"/>
              </w:rPr>
            </w:pPr>
            <w:r>
              <w:rPr>
                <w:color w:val="231F20"/>
                <w:spacing w:val="-1"/>
                <w:sz w:val="16"/>
                <w:szCs w:val="16"/>
              </w:rPr>
              <w:t>24.74</w:t>
            </w:r>
          </w:p>
        </w:tc>
        <w:tc>
          <w:tcPr>
            <w:tcW w:w="723" w:type="dxa"/>
            <w:vAlign w:val="top"/>
          </w:tcPr>
          <w:p w14:paraId="4508B254">
            <w:pPr>
              <w:pStyle w:val="26"/>
              <w:autoSpaceDE w:val="0"/>
              <w:autoSpaceDN w:val="0"/>
              <w:spacing w:before="95" w:line="186" w:lineRule="auto"/>
              <w:ind w:left="248"/>
              <w:rPr>
                <w:sz w:val="16"/>
                <w:szCs w:val="16"/>
              </w:rPr>
            </w:pPr>
            <w:r>
              <w:rPr>
                <w:color w:val="231F20"/>
                <w:spacing w:val="-2"/>
                <w:sz w:val="16"/>
                <w:szCs w:val="16"/>
              </w:rPr>
              <w:t>9.26</w:t>
            </w:r>
          </w:p>
        </w:tc>
        <w:tc>
          <w:tcPr>
            <w:tcW w:w="840" w:type="dxa"/>
            <w:vAlign w:val="top"/>
          </w:tcPr>
          <w:p w14:paraId="140EAED8">
            <w:pPr>
              <w:pStyle w:val="26"/>
              <w:autoSpaceDE w:val="0"/>
              <w:autoSpaceDN w:val="0"/>
              <w:spacing w:before="95" w:line="186" w:lineRule="auto"/>
              <w:ind w:left="243"/>
              <w:rPr>
                <w:sz w:val="16"/>
                <w:szCs w:val="16"/>
              </w:rPr>
            </w:pPr>
            <w:r>
              <w:rPr>
                <w:color w:val="231F20"/>
                <w:spacing w:val="-1"/>
                <w:sz w:val="16"/>
                <w:szCs w:val="16"/>
              </w:rPr>
              <w:t>22.25</w:t>
            </w:r>
          </w:p>
        </w:tc>
        <w:tc>
          <w:tcPr>
            <w:tcW w:w="722" w:type="dxa"/>
            <w:vAlign w:val="top"/>
          </w:tcPr>
          <w:p w14:paraId="0E58EEB4">
            <w:pPr>
              <w:pStyle w:val="26"/>
              <w:autoSpaceDE w:val="0"/>
              <w:autoSpaceDN w:val="0"/>
              <w:spacing w:before="95" w:line="186" w:lineRule="auto"/>
              <w:ind w:left="179"/>
              <w:rPr>
                <w:sz w:val="16"/>
                <w:szCs w:val="16"/>
              </w:rPr>
            </w:pPr>
            <w:r>
              <w:rPr>
                <w:color w:val="231F20"/>
                <w:spacing w:val="-3"/>
                <w:sz w:val="16"/>
                <w:szCs w:val="16"/>
              </w:rPr>
              <w:t>12.58</w:t>
            </w:r>
          </w:p>
        </w:tc>
      </w:tr>
      <w:tr w14:paraId="6D128EEF">
        <w:trPr>
          <w:trHeight w:val="282" w:hRule="atLeast"/>
        </w:trPr>
        <w:tc>
          <w:tcPr>
            <w:tcW w:w="788" w:type="dxa"/>
            <w:vAlign w:val="top"/>
          </w:tcPr>
          <w:p w14:paraId="4162420F">
            <w:pPr>
              <w:pStyle w:val="26"/>
              <w:autoSpaceDE w:val="0"/>
              <w:autoSpaceDN w:val="0"/>
              <w:spacing w:before="97" w:line="186" w:lineRule="auto"/>
              <w:ind w:left="220"/>
              <w:rPr>
                <w:sz w:val="16"/>
                <w:szCs w:val="16"/>
              </w:rPr>
            </w:pPr>
            <w:r>
              <w:rPr>
                <w:color w:val="231F20"/>
                <w:spacing w:val="-1"/>
                <w:sz w:val="16"/>
                <w:szCs w:val="16"/>
              </w:rPr>
              <w:t>2019</w:t>
            </w:r>
          </w:p>
        </w:tc>
        <w:tc>
          <w:tcPr>
            <w:tcW w:w="725" w:type="dxa"/>
            <w:vAlign w:val="top"/>
          </w:tcPr>
          <w:p w14:paraId="37C3069F">
            <w:pPr>
              <w:pStyle w:val="26"/>
              <w:autoSpaceDE w:val="0"/>
              <w:autoSpaceDN w:val="0"/>
              <w:spacing w:before="97" w:line="186" w:lineRule="auto"/>
              <w:ind w:left="185"/>
              <w:rPr>
                <w:sz w:val="16"/>
                <w:szCs w:val="16"/>
              </w:rPr>
            </w:pPr>
            <w:r>
              <w:rPr>
                <w:color w:val="231F20"/>
                <w:spacing w:val="-3"/>
                <w:sz w:val="16"/>
                <w:szCs w:val="16"/>
              </w:rPr>
              <w:t>15.58</w:t>
            </w:r>
          </w:p>
        </w:tc>
        <w:tc>
          <w:tcPr>
            <w:tcW w:w="763" w:type="dxa"/>
            <w:vAlign w:val="top"/>
          </w:tcPr>
          <w:p w14:paraId="45BFC397">
            <w:pPr>
              <w:pStyle w:val="26"/>
              <w:autoSpaceDE w:val="0"/>
              <w:autoSpaceDN w:val="0"/>
              <w:spacing w:before="97" w:line="186" w:lineRule="auto"/>
              <w:ind w:left="206"/>
              <w:rPr>
                <w:sz w:val="16"/>
                <w:szCs w:val="16"/>
              </w:rPr>
            </w:pPr>
            <w:r>
              <w:rPr>
                <w:color w:val="231F20"/>
                <w:spacing w:val="-1"/>
                <w:sz w:val="16"/>
                <w:szCs w:val="16"/>
              </w:rPr>
              <w:t>25.10</w:t>
            </w:r>
          </w:p>
        </w:tc>
        <w:tc>
          <w:tcPr>
            <w:tcW w:w="760" w:type="dxa"/>
            <w:vAlign w:val="top"/>
          </w:tcPr>
          <w:p w14:paraId="3BBF0A6A">
            <w:pPr>
              <w:pStyle w:val="26"/>
              <w:autoSpaceDE w:val="0"/>
              <w:autoSpaceDN w:val="0"/>
              <w:spacing w:before="97" w:line="186" w:lineRule="auto"/>
              <w:ind w:left="204"/>
              <w:rPr>
                <w:sz w:val="16"/>
                <w:szCs w:val="16"/>
              </w:rPr>
            </w:pPr>
            <w:r>
              <w:rPr>
                <w:color w:val="231F20"/>
                <w:spacing w:val="-1"/>
                <w:sz w:val="16"/>
                <w:szCs w:val="16"/>
              </w:rPr>
              <w:t>21.68</w:t>
            </w:r>
          </w:p>
        </w:tc>
        <w:tc>
          <w:tcPr>
            <w:tcW w:w="761" w:type="dxa"/>
            <w:vAlign w:val="top"/>
          </w:tcPr>
          <w:p w14:paraId="50B3A690">
            <w:pPr>
              <w:pStyle w:val="26"/>
              <w:autoSpaceDE w:val="0"/>
              <w:autoSpaceDN w:val="0"/>
              <w:spacing w:before="97" w:line="186" w:lineRule="auto"/>
              <w:ind w:left="205"/>
              <w:rPr>
                <w:sz w:val="16"/>
                <w:szCs w:val="16"/>
              </w:rPr>
            </w:pPr>
            <w:r>
              <w:rPr>
                <w:color w:val="231F20"/>
                <w:spacing w:val="-1"/>
                <w:sz w:val="16"/>
                <w:szCs w:val="16"/>
              </w:rPr>
              <w:t>23.73</w:t>
            </w:r>
          </w:p>
        </w:tc>
        <w:tc>
          <w:tcPr>
            <w:tcW w:w="720" w:type="dxa"/>
            <w:vAlign w:val="top"/>
          </w:tcPr>
          <w:p w14:paraId="68162EE1">
            <w:pPr>
              <w:pStyle w:val="26"/>
              <w:autoSpaceDE w:val="0"/>
              <w:autoSpaceDN w:val="0"/>
              <w:spacing w:before="97" w:line="186" w:lineRule="auto"/>
              <w:ind w:left="205"/>
              <w:rPr>
                <w:sz w:val="16"/>
                <w:szCs w:val="16"/>
              </w:rPr>
            </w:pPr>
            <w:r>
              <w:rPr>
                <w:color w:val="231F20"/>
                <w:spacing w:val="-1"/>
                <w:sz w:val="16"/>
                <w:szCs w:val="16"/>
              </w:rPr>
              <w:t>25.05</w:t>
            </w:r>
          </w:p>
        </w:tc>
        <w:tc>
          <w:tcPr>
            <w:tcW w:w="792" w:type="dxa"/>
            <w:vAlign w:val="top"/>
          </w:tcPr>
          <w:p w14:paraId="54D19B23">
            <w:pPr>
              <w:pStyle w:val="26"/>
              <w:autoSpaceDE w:val="0"/>
              <w:autoSpaceDN w:val="0"/>
              <w:spacing w:before="97" w:line="186" w:lineRule="auto"/>
              <w:ind w:left="250"/>
              <w:rPr>
                <w:sz w:val="16"/>
                <w:szCs w:val="16"/>
              </w:rPr>
            </w:pPr>
            <w:r>
              <w:rPr>
                <w:color w:val="231F20"/>
                <w:spacing w:val="-2"/>
                <w:sz w:val="16"/>
                <w:szCs w:val="16"/>
              </w:rPr>
              <w:t>30.12</w:t>
            </w:r>
          </w:p>
        </w:tc>
        <w:tc>
          <w:tcPr>
            <w:tcW w:w="816" w:type="dxa"/>
            <w:vAlign w:val="top"/>
          </w:tcPr>
          <w:p w14:paraId="1CC02258">
            <w:pPr>
              <w:pStyle w:val="26"/>
              <w:autoSpaceDE w:val="0"/>
              <w:autoSpaceDN w:val="0"/>
              <w:spacing w:before="97" w:line="186" w:lineRule="auto"/>
              <w:ind w:left="215"/>
              <w:rPr>
                <w:sz w:val="16"/>
                <w:szCs w:val="16"/>
              </w:rPr>
            </w:pPr>
            <w:r>
              <w:rPr>
                <w:color w:val="231F20"/>
                <w:spacing w:val="-1"/>
                <w:sz w:val="16"/>
                <w:szCs w:val="16"/>
              </w:rPr>
              <w:t>21.87</w:t>
            </w:r>
          </w:p>
        </w:tc>
        <w:tc>
          <w:tcPr>
            <w:tcW w:w="717" w:type="dxa"/>
            <w:vAlign w:val="top"/>
          </w:tcPr>
          <w:p w14:paraId="2F47D5BF">
            <w:pPr>
              <w:pStyle w:val="26"/>
              <w:autoSpaceDE w:val="0"/>
              <w:autoSpaceDN w:val="0"/>
              <w:spacing w:before="97" w:line="186" w:lineRule="auto"/>
              <w:ind w:left="164"/>
              <w:rPr>
                <w:sz w:val="16"/>
                <w:szCs w:val="16"/>
              </w:rPr>
            </w:pPr>
            <w:r>
              <w:rPr>
                <w:color w:val="231F20"/>
                <w:spacing w:val="-2"/>
                <w:sz w:val="16"/>
                <w:szCs w:val="16"/>
              </w:rPr>
              <w:t>31.80</w:t>
            </w:r>
          </w:p>
        </w:tc>
        <w:tc>
          <w:tcPr>
            <w:tcW w:w="723" w:type="dxa"/>
            <w:vAlign w:val="top"/>
          </w:tcPr>
          <w:p w14:paraId="335C7CE2">
            <w:pPr>
              <w:pStyle w:val="26"/>
              <w:autoSpaceDE w:val="0"/>
              <w:autoSpaceDN w:val="0"/>
              <w:spacing w:before="97" w:line="186" w:lineRule="auto"/>
              <w:ind w:left="220"/>
              <w:rPr>
                <w:sz w:val="16"/>
                <w:szCs w:val="16"/>
              </w:rPr>
            </w:pPr>
            <w:r>
              <w:rPr>
                <w:color w:val="231F20"/>
                <w:spacing w:val="-3"/>
                <w:sz w:val="16"/>
                <w:szCs w:val="16"/>
              </w:rPr>
              <w:t>18.46</w:t>
            </w:r>
          </w:p>
        </w:tc>
        <w:tc>
          <w:tcPr>
            <w:tcW w:w="840" w:type="dxa"/>
            <w:vAlign w:val="top"/>
          </w:tcPr>
          <w:p w14:paraId="5AACC1B1">
            <w:pPr>
              <w:pStyle w:val="26"/>
              <w:autoSpaceDE w:val="0"/>
              <w:autoSpaceDN w:val="0"/>
              <w:spacing w:before="97" w:line="186" w:lineRule="auto"/>
              <w:ind w:left="246"/>
              <w:rPr>
                <w:sz w:val="16"/>
                <w:szCs w:val="16"/>
              </w:rPr>
            </w:pPr>
            <w:r>
              <w:rPr>
                <w:color w:val="231F20"/>
                <w:spacing w:val="-2"/>
                <w:sz w:val="16"/>
                <w:szCs w:val="16"/>
              </w:rPr>
              <w:t>34.29</w:t>
            </w:r>
          </w:p>
        </w:tc>
        <w:tc>
          <w:tcPr>
            <w:tcW w:w="722" w:type="dxa"/>
            <w:vAlign w:val="top"/>
          </w:tcPr>
          <w:p w14:paraId="30425B8C">
            <w:pPr>
              <w:pStyle w:val="26"/>
              <w:autoSpaceDE w:val="0"/>
              <w:autoSpaceDN w:val="0"/>
              <w:spacing w:before="97" w:line="186" w:lineRule="auto"/>
              <w:ind w:left="179"/>
              <w:rPr>
                <w:sz w:val="16"/>
                <w:szCs w:val="16"/>
              </w:rPr>
            </w:pPr>
            <w:r>
              <w:rPr>
                <w:color w:val="231F20"/>
                <w:spacing w:val="-3"/>
                <w:sz w:val="16"/>
                <w:szCs w:val="16"/>
              </w:rPr>
              <w:t>19.33</w:t>
            </w:r>
          </w:p>
        </w:tc>
      </w:tr>
      <w:tr w14:paraId="4F3D1E85">
        <w:trPr>
          <w:trHeight w:val="282" w:hRule="atLeast"/>
        </w:trPr>
        <w:tc>
          <w:tcPr>
            <w:tcW w:w="788" w:type="dxa"/>
            <w:vAlign w:val="top"/>
          </w:tcPr>
          <w:p w14:paraId="4ED81E2B">
            <w:pPr>
              <w:pStyle w:val="26"/>
              <w:autoSpaceDE w:val="0"/>
              <w:autoSpaceDN w:val="0"/>
              <w:spacing w:before="99" w:line="186" w:lineRule="auto"/>
              <w:ind w:left="219"/>
              <w:rPr>
                <w:sz w:val="16"/>
                <w:szCs w:val="16"/>
              </w:rPr>
            </w:pPr>
            <w:r>
              <w:rPr>
                <w:color w:val="231F20"/>
                <w:spacing w:val="-1"/>
                <w:sz w:val="16"/>
                <w:szCs w:val="16"/>
              </w:rPr>
              <w:t>2020</w:t>
            </w:r>
          </w:p>
        </w:tc>
        <w:tc>
          <w:tcPr>
            <w:tcW w:w="725" w:type="dxa"/>
            <w:vAlign w:val="top"/>
          </w:tcPr>
          <w:p w14:paraId="3E3FC19F">
            <w:pPr>
              <w:pStyle w:val="26"/>
              <w:autoSpaceDE w:val="0"/>
              <w:autoSpaceDN w:val="0"/>
              <w:spacing w:before="99" w:line="186" w:lineRule="auto"/>
              <w:ind w:left="185"/>
              <w:rPr>
                <w:sz w:val="16"/>
                <w:szCs w:val="16"/>
              </w:rPr>
            </w:pPr>
            <w:r>
              <w:rPr>
                <w:color w:val="231F20"/>
                <w:spacing w:val="-3"/>
                <w:sz w:val="16"/>
                <w:szCs w:val="16"/>
              </w:rPr>
              <w:t>16.38</w:t>
            </w:r>
          </w:p>
        </w:tc>
        <w:tc>
          <w:tcPr>
            <w:tcW w:w="763" w:type="dxa"/>
            <w:vAlign w:val="top"/>
          </w:tcPr>
          <w:p w14:paraId="2F800A65">
            <w:pPr>
              <w:pStyle w:val="26"/>
              <w:autoSpaceDE w:val="0"/>
              <w:autoSpaceDN w:val="0"/>
              <w:spacing w:before="99" w:line="186" w:lineRule="auto"/>
              <w:ind w:left="206"/>
              <w:rPr>
                <w:sz w:val="16"/>
                <w:szCs w:val="16"/>
              </w:rPr>
            </w:pPr>
            <w:r>
              <w:rPr>
                <w:color w:val="231F20"/>
                <w:spacing w:val="-1"/>
                <w:sz w:val="16"/>
                <w:szCs w:val="16"/>
              </w:rPr>
              <w:t>26.03</w:t>
            </w:r>
          </w:p>
        </w:tc>
        <w:tc>
          <w:tcPr>
            <w:tcW w:w="760" w:type="dxa"/>
            <w:vAlign w:val="top"/>
          </w:tcPr>
          <w:p w14:paraId="25C90FD3">
            <w:pPr>
              <w:pStyle w:val="26"/>
              <w:autoSpaceDE w:val="0"/>
              <w:autoSpaceDN w:val="0"/>
              <w:spacing w:before="99" w:line="186" w:lineRule="auto"/>
              <w:ind w:left="204"/>
              <w:rPr>
                <w:sz w:val="16"/>
                <w:szCs w:val="16"/>
              </w:rPr>
            </w:pPr>
            <w:r>
              <w:rPr>
                <w:color w:val="231F20"/>
                <w:spacing w:val="-1"/>
                <w:sz w:val="16"/>
                <w:szCs w:val="16"/>
              </w:rPr>
              <w:t>22.25</w:t>
            </w:r>
          </w:p>
        </w:tc>
        <w:tc>
          <w:tcPr>
            <w:tcW w:w="761" w:type="dxa"/>
            <w:vAlign w:val="top"/>
          </w:tcPr>
          <w:p w14:paraId="10D54267">
            <w:pPr>
              <w:pStyle w:val="26"/>
              <w:autoSpaceDE w:val="0"/>
              <w:autoSpaceDN w:val="0"/>
              <w:spacing w:before="99" w:line="186" w:lineRule="auto"/>
              <w:ind w:left="205"/>
              <w:rPr>
                <w:sz w:val="16"/>
                <w:szCs w:val="16"/>
              </w:rPr>
            </w:pPr>
            <w:r>
              <w:rPr>
                <w:color w:val="231F20"/>
                <w:spacing w:val="-1"/>
                <w:sz w:val="16"/>
                <w:szCs w:val="16"/>
              </w:rPr>
              <w:t>25.82</w:t>
            </w:r>
          </w:p>
        </w:tc>
        <w:tc>
          <w:tcPr>
            <w:tcW w:w="720" w:type="dxa"/>
            <w:vAlign w:val="top"/>
          </w:tcPr>
          <w:p w14:paraId="278A02AD">
            <w:pPr>
              <w:pStyle w:val="26"/>
              <w:autoSpaceDE w:val="0"/>
              <w:autoSpaceDN w:val="0"/>
              <w:spacing w:before="99" w:line="186" w:lineRule="auto"/>
              <w:ind w:left="205"/>
              <w:rPr>
                <w:sz w:val="16"/>
                <w:szCs w:val="16"/>
              </w:rPr>
            </w:pPr>
            <w:r>
              <w:rPr>
                <w:color w:val="231F20"/>
                <w:spacing w:val="-1"/>
                <w:sz w:val="16"/>
                <w:szCs w:val="16"/>
              </w:rPr>
              <w:t>26.65</w:t>
            </w:r>
          </w:p>
        </w:tc>
        <w:tc>
          <w:tcPr>
            <w:tcW w:w="792" w:type="dxa"/>
            <w:vAlign w:val="top"/>
          </w:tcPr>
          <w:p w14:paraId="0016C349">
            <w:pPr>
              <w:pStyle w:val="26"/>
              <w:autoSpaceDE w:val="0"/>
              <w:autoSpaceDN w:val="0"/>
              <w:spacing w:before="99" w:line="186" w:lineRule="auto"/>
              <w:ind w:left="249"/>
              <w:rPr>
                <w:sz w:val="16"/>
                <w:szCs w:val="16"/>
              </w:rPr>
            </w:pPr>
            <w:r>
              <w:rPr>
                <w:color w:val="231F20"/>
                <w:spacing w:val="-2"/>
                <w:sz w:val="16"/>
                <w:szCs w:val="16"/>
              </w:rPr>
              <w:t>32.61</w:t>
            </w:r>
          </w:p>
        </w:tc>
        <w:tc>
          <w:tcPr>
            <w:tcW w:w="816" w:type="dxa"/>
            <w:vAlign w:val="top"/>
          </w:tcPr>
          <w:p w14:paraId="15524C39">
            <w:pPr>
              <w:pStyle w:val="26"/>
              <w:autoSpaceDE w:val="0"/>
              <w:autoSpaceDN w:val="0"/>
              <w:spacing w:before="99" w:line="186" w:lineRule="auto"/>
              <w:ind w:left="215"/>
              <w:rPr>
                <w:sz w:val="16"/>
                <w:szCs w:val="16"/>
              </w:rPr>
            </w:pPr>
            <w:r>
              <w:rPr>
                <w:color w:val="231F20"/>
                <w:spacing w:val="-1"/>
                <w:sz w:val="16"/>
                <w:szCs w:val="16"/>
              </w:rPr>
              <w:t>24.01</w:t>
            </w:r>
          </w:p>
        </w:tc>
        <w:tc>
          <w:tcPr>
            <w:tcW w:w="717" w:type="dxa"/>
            <w:vAlign w:val="top"/>
          </w:tcPr>
          <w:p w14:paraId="05CEE510">
            <w:pPr>
              <w:pStyle w:val="26"/>
              <w:autoSpaceDE w:val="0"/>
              <w:autoSpaceDN w:val="0"/>
              <w:spacing w:before="99" w:line="186" w:lineRule="auto"/>
              <w:ind w:left="164"/>
              <w:rPr>
                <w:sz w:val="16"/>
                <w:szCs w:val="16"/>
              </w:rPr>
            </w:pPr>
            <w:r>
              <w:rPr>
                <w:color w:val="231F20"/>
                <w:spacing w:val="-2"/>
                <w:sz w:val="16"/>
                <w:szCs w:val="16"/>
              </w:rPr>
              <w:t>32.81</w:t>
            </w:r>
          </w:p>
        </w:tc>
        <w:tc>
          <w:tcPr>
            <w:tcW w:w="723" w:type="dxa"/>
            <w:vAlign w:val="top"/>
          </w:tcPr>
          <w:p w14:paraId="46B66AAE">
            <w:pPr>
              <w:pStyle w:val="26"/>
              <w:autoSpaceDE w:val="0"/>
              <w:autoSpaceDN w:val="0"/>
              <w:spacing w:before="99" w:line="186" w:lineRule="auto"/>
              <w:ind w:left="205"/>
              <w:rPr>
                <w:sz w:val="16"/>
                <w:szCs w:val="16"/>
              </w:rPr>
            </w:pPr>
            <w:r>
              <w:rPr>
                <w:color w:val="231F20"/>
                <w:spacing w:val="-1"/>
                <w:sz w:val="16"/>
                <w:szCs w:val="16"/>
              </w:rPr>
              <w:t>20.12</w:t>
            </w:r>
          </w:p>
        </w:tc>
        <w:tc>
          <w:tcPr>
            <w:tcW w:w="840" w:type="dxa"/>
            <w:vAlign w:val="top"/>
          </w:tcPr>
          <w:p w14:paraId="5BD0642A">
            <w:pPr>
              <w:pStyle w:val="26"/>
              <w:autoSpaceDE w:val="0"/>
              <w:autoSpaceDN w:val="0"/>
              <w:spacing w:before="99" w:line="186" w:lineRule="auto"/>
              <w:ind w:left="246"/>
              <w:rPr>
                <w:sz w:val="16"/>
                <w:szCs w:val="16"/>
              </w:rPr>
            </w:pPr>
            <w:r>
              <w:rPr>
                <w:color w:val="231F20"/>
                <w:spacing w:val="-2"/>
                <w:sz w:val="16"/>
                <w:szCs w:val="16"/>
              </w:rPr>
              <w:t>38.61</w:t>
            </w:r>
          </w:p>
        </w:tc>
        <w:tc>
          <w:tcPr>
            <w:tcW w:w="722" w:type="dxa"/>
            <w:vAlign w:val="top"/>
          </w:tcPr>
          <w:p w14:paraId="346BC3D3">
            <w:pPr>
              <w:pStyle w:val="26"/>
              <w:autoSpaceDE w:val="0"/>
              <w:autoSpaceDN w:val="0"/>
              <w:spacing w:before="99" w:line="186" w:lineRule="auto"/>
              <w:ind w:left="179"/>
              <w:rPr>
                <w:sz w:val="16"/>
                <w:szCs w:val="16"/>
              </w:rPr>
            </w:pPr>
            <w:r>
              <w:rPr>
                <w:color w:val="231F20"/>
                <w:spacing w:val="-3"/>
                <w:sz w:val="16"/>
                <w:szCs w:val="16"/>
              </w:rPr>
              <w:t>19.95</w:t>
            </w:r>
          </w:p>
        </w:tc>
      </w:tr>
      <w:tr w14:paraId="7BA5C5A0">
        <w:trPr>
          <w:trHeight w:val="282" w:hRule="atLeast"/>
        </w:trPr>
        <w:tc>
          <w:tcPr>
            <w:tcW w:w="788" w:type="dxa"/>
            <w:vAlign w:val="top"/>
          </w:tcPr>
          <w:p w14:paraId="45755359">
            <w:pPr>
              <w:pStyle w:val="26"/>
              <w:autoSpaceDE w:val="0"/>
              <w:autoSpaceDN w:val="0"/>
              <w:spacing w:before="100" w:line="186" w:lineRule="auto"/>
              <w:ind w:left="219"/>
              <w:rPr>
                <w:sz w:val="16"/>
                <w:szCs w:val="16"/>
              </w:rPr>
            </w:pPr>
            <w:r>
              <w:rPr>
                <w:color w:val="231F20"/>
                <w:spacing w:val="-1"/>
                <w:sz w:val="16"/>
                <w:szCs w:val="16"/>
              </w:rPr>
              <w:t>2021</w:t>
            </w:r>
          </w:p>
        </w:tc>
        <w:tc>
          <w:tcPr>
            <w:tcW w:w="725" w:type="dxa"/>
            <w:vAlign w:val="top"/>
          </w:tcPr>
          <w:p w14:paraId="1150CBFA">
            <w:pPr>
              <w:pStyle w:val="26"/>
              <w:autoSpaceDE w:val="0"/>
              <w:autoSpaceDN w:val="0"/>
              <w:spacing w:before="100" w:line="186" w:lineRule="auto"/>
              <w:ind w:left="185"/>
              <w:rPr>
                <w:sz w:val="16"/>
                <w:szCs w:val="16"/>
              </w:rPr>
            </w:pPr>
            <w:r>
              <w:rPr>
                <w:color w:val="231F20"/>
                <w:spacing w:val="-3"/>
                <w:sz w:val="16"/>
                <w:szCs w:val="16"/>
              </w:rPr>
              <w:t>17.97</w:t>
            </w:r>
          </w:p>
        </w:tc>
        <w:tc>
          <w:tcPr>
            <w:tcW w:w="763" w:type="dxa"/>
            <w:vAlign w:val="top"/>
          </w:tcPr>
          <w:p w14:paraId="752A773C">
            <w:pPr>
              <w:pStyle w:val="26"/>
              <w:autoSpaceDE w:val="0"/>
              <w:autoSpaceDN w:val="0"/>
              <w:spacing w:before="100" w:line="186" w:lineRule="auto"/>
              <w:ind w:left="209"/>
              <w:rPr>
                <w:sz w:val="16"/>
                <w:szCs w:val="16"/>
              </w:rPr>
            </w:pPr>
            <w:r>
              <w:rPr>
                <w:color w:val="231F20"/>
                <w:spacing w:val="-2"/>
                <w:sz w:val="16"/>
                <w:szCs w:val="16"/>
              </w:rPr>
              <w:t>31.68</w:t>
            </w:r>
          </w:p>
        </w:tc>
        <w:tc>
          <w:tcPr>
            <w:tcW w:w="760" w:type="dxa"/>
            <w:vAlign w:val="top"/>
          </w:tcPr>
          <w:p w14:paraId="0D9FD581">
            <w:pPr>
              <w:pStyle w:val="26"/>
              <w:autoSpaceDE w:val="0"/>
              <w:autoSpaceDN w:val="0"/>
              <w:spacing w:before="100" w:line="186" w:lineRule="auto"/>
              <w:ind w:left="204"/>
              <w:rPr>
                <w:sz w:val="16"/>
                <w:szCs w:val="16"/>
              </w:rPr>
            </w:pPr>
            <w:r>
              <w:rPr>
                <w:color w:val="231F20"/>
                <w:spacing w:val="-1"/>
                <w:sz w:val="16"/>
                <w:szCs w:val="16"/>
              </w:rPr>
              <w:t>24.64</w:t>
            </w:r>
          </w:p>
        </w:tc>
        <w:tc>
          <w:tcPr>
            <w:tcW w:w="761" w:type="dxa"/>
            <w:vAlign w:val="top"/>
          </w:tcPr>
          <w:p w14:paraId="57A5696B">
            <w:pPr>
              <w:pStyle w:val="26"/>
              <w:autoSpaceDE w:val="0"/>
              <w:autoSpaceDN w:val="0"/>
              <w:spacing w:before="100" w:line="186" w:lineRule="auto"/>
              <w:ind w:left="205"/>
              <w:rPr>
                <w:sz w:val="16"/>
                <w:szCs w:val="16"/>
              </w:rPr>
            </w:pPr>
            <w:r>
              <w:rPr>
                <w:color w:val="231F20"/>
                <w:spacing w:val="-1"/>
                <w:sz w:val="16"/>
                <w:szCs w:val="16"/>
              </w:rPr>
              <w:t>27.08</w:t>
            </w:r>
          </w:p>
        </w:tc>
        <w:tc>
          <w:tcPr>
            <w:tcW w:w="720" w:type="dxa"/>
            <w:vAlign w:val="top"/>
          </w:tcPr>
          <w:p w14:paraId="1721BF34">
            <w:pPr>
              <w:pStyle w:val="26"/>
              <w:autoSpaceDE w:val="0"/>
              <w:autoSpaceDN w:val="0"/>
              <w:spacing w:before="100" w:line="186" w:lineRule="auto"/>
              <w:ind w:left="205"/>
              <w:rPr>
                <w:sz w:val="16"/>
                <w:szCs w:val="16"/>
              </w:rPr>
            </w:pPr>
            <w:r>
              <w:rPr>
                <w:color w:val="231F20"/>
                <w:spacing w:val="-1"/>
                <w:sz w:val="16"/>
                <w:szCs w:val="16"/>
              </w:rPr>
              <w:t>28.90</w:t>
            </w:r>
          </w:p>
        </w:tc>
        <w:tc>
          <w:tcPr>
            <w:tcW w:w="792" w:type="dxa"/>
            <w:vAlign w:val="top"/>
          </w:tcPr>
          <w:p w14:paraId="29F9645A">
            <w:pPr>
              <w:pStyle w:val="26"/>
              <w:autoSpaceDE w:val="0"/>
              <w:autoSpaceDN w:val="0"/>
              <w:spacing w:before="100" w:line="186" w:lineRule="auto"/>
              <w:ind w:left="249"/>
              <w:rPr>
                <w:sz w:val="16"/>
                <w:szCs w:val="16"/>
              </w:rPr>
            </w:pPr>
            <w:r>
              <w:rPr>
                <w:color w:val="231F20"/>
                <w:spacing w:val="-2"/>
                <w:sz w:val="16"/>
                <w:szCs w:val="16"/>
              </w:rPr>
              <w:t>35.27</w:t>
            </w:r>
          </w:p>
        </w:tc>
        <w:tc>
          <w:tcPr>
            <w:tcW w:w="816" w:type="dxa"/>
            <w:vAlign w:val="top"/>
          </w:tcPr>
          <w:p w14:paraId="4EACDCCB">
            <w:pPr>
              <w:pStyle w:val="26"/>
              <w:autoSpaceDE w:val="0"/>
              <w:autoSpaceDN w:val="0"/>
              <w:spacing w:before="100" w:line="186" w:lineRule="auto"/>
              <w:ind w:left="215"/>
              <w:rPr>
                <w:sz w:val="16"/>
                <w:szCs w:val="16"/>
              </w:rPr>
            </w:pPr>
            <w:r>
              <w:rPr>
                <w:color w:val="231F20"/>
                <w:spacing w:val="-1"/>
                <w:sz w:val="16"/>
                <w:szCs w:val="16"/>
              </w:rPr>
              <w:t>24.10</w:t>
            </w:r>
          </w:p>
        </w:tc>
        <w:tc>
          <w:tcPr>
            <w:tcW w:w="717" w:type="dxa"/>
            <w:vAlign w:val="top"/>
          </w:tcPr>
          <w:p w14:paraId="02E51D0C">
            <w:pPr>
              <w:pStyle w:val="26"/>
              <w:autoSpaceDE w:val="0"/>
              <w:autoSpaceDN w:val="0"/>
              <w:spacing w:before="100" w:line="186" w:lineRule="auto"/>
              <w:ind w:left="163"/>
              <w:rPr>
                <w:sz w:val="16"/>
                <w:szCs w:val="16"/>
              </w:rPr>
            </w:pPr>
            <w:r>
              <w:rPr>
                <w:color w:val="231F20"/>
                <w:spacing w:val="-2"/>
                <w:sz w:val="16"/>
                <w:szCs w:val="16"/>
              </w:rPr>
              <w:t>36.05</w:t>
            </w:r>
          </w:p>
        </w:tc>
        <w:tc>
          <w:tcPr>
            <w:tcW w:w="723" w:type="dxa"/>
            <w:vAlign w:val="top"/>
          </w:tcPr>
          <w:p w14:paraId="57BBEF43">
            <w:pPr>
              <w:pStyle w:val="26"/>
              <w:autoSpaceDE w:val="0"/>
              <w:autoSpaceDN w:val="0"/>
              <w:spacing w:before="100" w:line="186" w:lineRule="auto"/>
              <w:ind w:left="204"/>
              <w:rPr>
                <w:sz w:val="16"/>
                <w:szCs w:val="16"/>
              </w:rPr>
            </w:pPr>
            <w:r>
              <w:rPr>
                <w:color w:val="231F20"/>
                <w:spacing w:val="-1"/>
                <w:sz w:val="16"/>
                <w:szCs w:val="16"/>
              </w:rPr>
              <w:t>20.87</w:t>
            </w:r>
          </w:p>
        </w:tc>
        <w:tc>
          <w:tcPr>
            <w:tcW w:w="840" w:type="dxa"/>
            <w:vAlign w:val="top"/>
          </w:tcPr>
          <w:p w14:paraId="73AB5E9C">
            <w:pPr>
              <w:pStyle w:val="26"/>
              <w:autoSpaceDE w:val="0"/>
              <w:autoSpaceDN w:val="0"/>
              <w:spacing w:before="100" w:line="186" w:lineRule="auto"/>
              <w:ind w:left="242"/>
              <w:rPr>
                <w:sz w:val="16"/>
                <w:szCs w:val="16"/>
              </w:rPr>
            </w:pPr>
            <w:r>
              <w:rPr>
                <w:color w:val="231F20"/>
                <w:spacing w:val="-1"/>
                <w:sz w:val="16"/>
                <w:szCs w:val="16"/>
              </w:rPr>
              <w:t>41.91</w:t>
            </w:r>
          </w:p>
        </w:tc>
        <w:tc>
          <w:tcPr>
            <w:tcW w:w="722" w:type="dxa"/>
            <w:vAlign w:val="top"/>
          </w:tcPr>
          <w:p w14:paraId="09C0CE86">
            <w:pPr>
              <w:pStyle w:val="26"/>
              <w:autoSpaceDE w:val="0"/>
              <w:autoSpaceDN w:val="0"/>
              <w:spacing w:before="100" w:line="186" w:lineRule="auto"/>
              <w:ind w:left="164"/>
              <w:rPr>
                <w:sz w:val="16"/>
                <w:szCs w:val="16"/>
              </w:rPr>
            </w:pPr>
            <w:r>
              <w:rPr>
                <w:color w:val="231F20"/>
                <w:spacing w:val="-1"/>
                <w:sz w:val="16"/>
                <w:szCs w:val="16"/>
              </w:rPr>
              <w:t>21.86</w:t>
            </w:r>
          </w:p>
        </w:tc>
      </w:tr>
      <w:tr w14:paraId="30DE0E70">
        <w:trPr>
          <w:trHeight w:val="271" w:hRule="atLeast"/>
        </w:trPr>
        <w:tc>
          <w:tcPr>
            <w:tcW w:w="788" w:type="dxa"/>
            <w:vAlign w:val="top"/>
          </w:tcPr>
          <w:p w14:paraId="7CA7D28E">
            <w:pPr>
              <w:pStyle w:val="26"/>
              <w:autoSpaceDE w:val="0"/>
              <w:autoSpaceDN w:val="0"/>
              <w:spacing w:before="102" w:line="186" w:lineRule="auto"/>
              <w:ind w:left="219"/>
              <w:rPr>
                <w:sz w:val="16"/>
                <w:szCs w:val="16"/>
              </w:rPr>
            </w:pPr>
            <w:r>
              <w:rPr>
                <w:color w:val="231F20"/>
                <w:spacing w:val="-1"/>
                <w:sz w:val="16"/>
                <w:szCs w:val="16"/>
              </w:rPr>
              <w:t>2022</w:t>
            </w:r>
          </w:p>
        </w:tc>
        <w:tc>
          <w:tcPr>
            <w:tcW w:w="725" w:type="dxa"/>
            <w:vAlign w:val="top"/>
          </w:tcPr>
          <w:p w14:paraId="013284A0">
            <w:pPr>
              <w:pStyle w:val="26"/>
              <w:autoSpaceDE w:val="0"/>
              <w:autoSpaceDN w:val="0"/>
              <w:spacing w:before="102" w:line="186" w:lineRule="auto"/>
              <w:ind w:left="185"/>
              <w:rPr>
                <w:sz w:val="16"/>
                <w:szCs w:val="16"/>
              </w:rPr>
            </w:pPr>
            <w:r>
              <w:rPr>
                <w:color w:val="231F20"/>
                <w:spacing w:val="-3"/>
                <w:sz w:val="16"/>
                <w:szCs w:val="16"/>
              </w:rPr>
              <w:t>16.65</w:t>
            </w:r>
          </w:p>
        </w:tc>
        <w:tc>
          <w:tcPr>
            <w:tcW w:w="763" w:type="dxa"/>
            <w:vAlign w:val="top"/>
          </w:tcPr>
          <w:p w14:paraId="6ABDF1C6">
            <w:pPr>
              <w:pStyle w:val="26"/>
              <w:autoSpaceDE w:val="0"/>
              <w:autoSpaceDN w:val="0"/>
              <w:spacing w:before="102" w:line="186" w:lineRule="auto"/>
              <w:ind w:left="209"/>
              <w:rPr>
                <w:sz w:val="16"/>
                <w:szCs w:val="16"/>
              </w:rPr>
            </w:pPr>
            <w:r>
              <w:rPr>
                <w:color w:val="231F20"/>
                <w:spacing w:val="-2"/>
                <w:sz w:val="16"/>
                <w:szCs w:val="16"/>
              </w:rPr>
              <w:t>37.62</w:t>
            </w:r>
          </w:p>
        </w:tc>
        <w:tc>
          <w:tcPr>
            <w:tcW w:w="760" w:type="dxa"/>
            <w:vAlign w:val="top"/>
          </w:tcPr>
          <w:p w14:paraId="096B4E36">
            <w:pPr>
              <w:pStyle w:val="26"/>
              <w:autoSpaceDE w:val="0"/>
              <w:autoSpaceDN w:val="0"/>
              <w:spacing w:before="102" w:line="186" w:lineRule="auto"/>
              <w:ind w:left="203"/>
              <w:rPr>
                <w:sz w:val="16"/>
                <w:szCs w:val="16"/>
              </w:rPr>
            </w:pPr>
            <w:r>
              <w:rPr>
                <w:color w:val="231F20"/>
                <w:spacing w:val="-1"/>
                <w:sz w:val="16"/>
                <w:szCs w:val="16"/>
              </w:rPr>
              <w:t>26.26</w:t>
            </w:r>
          </w:p>
        </w:tc>
        <w:tc>
          <w:tcPr>
            <w:tcW w:w="761" w:type="dxa"/>
            <w:vAlign w:val="top"/>
          </w:tcPr>
          <w:p w14:paraId="5036890C">
            <w:pPr>
              <w:pStyle w:val="26"/>
              <w:autoSpaceDE w:val="0"/>
              <w:autoSpaceDN w:val="0"/>
              <w:spacing w:before="102" w:line="186" w:lineRule="auto"/>
              <w:ind w:left="205"/>
              <w:rPr>
                <w:sz w:val="16"/>
                <w:szCs w:val="16"/>
              </w:rPr>
            </w:pPr>
            <w:r>
              <w:rPr>
                <w:color w:val="231F20"/>
                <w:spacing w:val="-1"/>
                <w:sz w:val="16"/>
                <w:szCs w:val="16"/>
              </w:rPr>
              <w:t>27.74</w:t>
            </w:r>
          </w:p>
        </w:tc>
        <w:tc>
          <w:tcPr>
            <w:tcW w:w="720" w:type="dxa"/>
            <w:vAlign w:val="top"/>
          </w:tcPr>
          <w:p w14:paraId="1A2581B1">
            <w:pPr>
              <w:pStyle w:val="26"/>
              <w:autoSpaceDE w:val="0"/>
              <w:autoSpaceDN w:val="0"/>
              <w:spacing w:before="102" w:line="186" w:lineRule="auto"/>
              <w:ind w:left="208"/>
              <w:rPr>
                <w:sz w:val="16"/>
                <w:szCs w:val="16"/>
              </w:rPr>
            </w:pPr>
            <w:r>
              <w:rPr>
                <w:color w:val="231F20"/>
                <w:spacing w:val="-2"/>
                <w:sz w:val="16"/>
                <w:szCs w:val="16"/>
              </w:rPr>
              <w:t>31.05</w:t>
            </w:r>
          </w:p>
        </w:tc>
        <w:tc>
          <w:tcPr>
            <w:tcW w:w="792" w:type="dxa"/>
            <w:vAlign w:val="top"/>
          </w:tcPr>
          <w:p w14:paraId="5EB09B43">
            <w:pPr>
              <w:pStyle w:val="26"/>
              <w:autoSpaceDE w:val="0"/>
              <w:autoSpaceDN w:val="0"/>
              <w:spacing w:before="102" w:line="186" w:lineRule="auto"/>
              <w:ind w:left="249"/>
              <w:rPr>
                <w:sz w:val="16"/>
                <w:szCs w:val="16"/>
              </w:rPr>
            </w:pPr>
            <w:r>
              <w:rPr>
                <w:color w:val="231F20"/>
                <w:spacing w:val="-2"/>
                <w:sz w:val="16"/>
                <w:szCs w:val="16"/>
              </w:rPr>
              <w:t>37.24</w:t>
            </w:r>
          </w:p>
        </w:tc>
        <w:tc>
          <w:tcPr>
            <w:tcW w:w="816" w:type="dxa"/>
            <w:vAlign w:val="top"/>
          </w:tcPr>
          <w:p w14:paraId="44BBC493">
            <w:pPr>
              <w:pStyle w:val="26"/>
              <w:autoSpaceDE w:val="0"/>
              <w:autoSpaceDN w:val="0"/>
              <w:spacing w:before="102" w:line="186" w:lineRule="auto"/>
              <w:ind w:left="215"/>
              <w:rPr>
                <w:sz w:val="16"/>
                <w:szCs w:val="16"/>
              </w:rPr>
            </w:pPr>
            <w:r>
              <w:rPr>
                <w:color w:val="231F20"/>
                <w:spacing w:val="-1"/>
                <w:sz w:val="16"/>
                <w:szCs w:val="16"/>
              </w:rPr>
              <w:t>23.14</w:t>
            </w:r>
          </w:p>
        </w:tc>
        <w:tc>
          <w:tcPr>
            <w:tcW w:w="717" w:type="dxa"/>
            <w:vAlign w:val="top"/>
          </w:tcPr>
          <w:p w14:paraId="2DC159D6">
            <w:pPr>
              <w:pStyle w:val="26"/>
              <w:autoSpaceDE w:val="0"/>
              <w:autoSpaceDN w:val="0"/>
              <w:spacing w:before="102" w:line="186" w:lineRule="auto"/>
              <w:ind w:left="163"/>
              <w:rPr>
                <w:sz w:val="16"/>
                <w:szCs w:val="16"/>
              </w:rPr>
            </w:pPr>
            <w:r>
              <w:rPr>
                <w:color w:val="231F20"/>
                <w:spacing w:val="-2"/>
                <w:sz w:val="16"/>
                <w:szCs w:val="16"/>
              </w:rPr>
              <w:t>39.44</w:t>
            </w:r>
          </w:p>
        </w:tc>
        <w:tc>
          <w:tcPr>
            <w:tcW w:w="723" w:type="dxa"/>
            <w:vAlign w:val="top"/>
          </w:tcPr>
          <w:p w14:paraId="09318564">
            <w:pPr>
              <w:pStyle w:val="26"/>
              <w:autoSpaceDE w:val="0"/>
              <w:autoSpaceDN w:val="0"/>
              <w:spacing w:before="102" w:line="186" w:lineRule="auto"/>
              <w:ind w:left="220"/>
              <w:rPr>
                <w:sz w:val="16"/>
                <w:szCs w:val="16"/>
              </w:rPr>
            </w:pPr>
            <w:r>
              <w:rPr>
                <w:color w:val="231F20"/>
                <w:spacing w:val="-3"/>
                <w:sz w:val="16"/>
                <w:szCs w:val="16"/>
              </w:rPr>
              <w:t>19.72</w:t>
            </w:r>
          </w:p>
        </w:tc>
        <w:tc>
          <w:tcPr>
            <w:tcW w:w="840" w:type="dxa"/>
            <w:vAlign w:val="top"/>
          </w:tcPr>
          <w:p w14:paraId="79B9DE4B">
            <w:pPr>
              <w:pStyle w:val="26"/>
              <w:autoSpaceDE w:val="0"/>
              <w:autoSpaceDN w:val="0"/>
              <w:spacing w:before="102" w:line="186" w:lineRule="auto"/>
              <w:ind w:left="242"/>
              <w:rPr>
                <w:sz w:val="16"/>
                <w:szCs w:val="16"/>
              </w:rPr>
            </w:pPr>
            <w:r>
              <w:rPr>
                <w:color w:val="231F20"/>
                <w:spacing w:val="-1"/>
                <w:sz w:val="16"/>
                <w:szCs w:val="16"/>
              </w:rPr>
              <w:t>43.34</w:t>
            </w:r>
          </w:p>
        </w:tc>
        <w:tc>
          <w:tcPr>
            <w:tcW w:w="722" w:type="dxa"/>
            <w:vAlign w:val="top"/>
          </w:tcPr>
          <w:p w14:paraId="667863FF">
            <w:pPr>
              <w:pStyle w:val="26"/>
              <w:autoSpaceDE w:val="0"/>
              <w:autoSpaceDN w:val="0"/>
              <w:spacing w:before="102" w:line="186" w:lineRule="auto"/>
              <w:ind w:left="163"/>
              <w:rPr>
                <w:sz w:val="16"/>
                <w:szCs w:val="16"/>
              </w:rPr>
            </w:pPr>
            <w:r>
              <w:rPr>
                <w:color w:val="231F20"/>
                <w:spacing w:val="-1"/>
                <w:sz w:val="16"/>
                <w:szCs w:val="16"/>
              </w:rPr>
              <w:t>22.72</w:t>
            </w:r>
          </w:p>
        </w:tc>
      </w:tr>
      <w:tr w14:paraId="21D4906B">
        <w:trPr>
          <w:trHeight w:val="285" w:hRule="atLeast"/>
        </w:trPr>
        <w:tc>
          <w:tcPr>
            <w:tcW w:w="788" w:type="dxa"/>
            <w:vAlign w:val="top"/>
          </w:tcPr>
          <w:p w14:paraId="619370EE">
            <w:pPr>
              <w:autoSpaceDE w:val="0"/>
              <w:autoSpaceDN w:val="0"/>
              <w:spacing w:before="92" w:line="201" w:lineRule="auto"/>
              <w:ind w:left="226"/>
              <w:rPr>
                <w:rFonts w:ascii="楷体" w:hAnsi="楷体" w:eastAsia="楷体" w:cs="楷体"/>
                <w:sz w:val="16"/>
                <w:szCs w:val="16"/>
              </w:rPr>
            </w:pPr>
            <w:r>
              <w:rPr>
                <w:rFonts w:ascii="楷体" w:hAnsi="楷体" w:eastAsia="楷体" w:cs="楷体"/>
                <w:color w:val="231F20"/>
                <w:spacing w:val="-3"/>
                <w:sz w:val="16"/>
                <w:szCs w:val="16"/>
              </w:rPr>
              <w:t>差值</w:t>
            </w:r>
          </w:p>
        </w:tc>
        <w:tc>
          <w:tcPr>
            <w:tcW w:w="725" w:type="dxa"/>
            <w:vAlign w:val="top"/>
          </w:tcPr>
          <w:p w14:paraId="0C9A8129">
            <w:pPr>
              <w:pStyle w:val="26"/>
              <w:autoSpaceDE w:val="0"/>
              <w:autoSpaceDN w:val="0"/>
              <w:spacing w:before="114" w:line="186" w:lineRule="auto"/>
              <w:ind w:left="212"/>
              <w:rPr>
                <w:sz w:val="16"/>
                <w:szCs w:val="16"/>
              </w:rPr>
            </w:pPr>
            <w:r>
              <w:rPr>
                <w:color w:val="231F20"/>
                <w:spacing w:val="-2"/>
                <w:sz w:val="16"/>
                <w:szCs w:val="16"/>
              </w:rPr>
              <w:t>3.98</w:t>
            </w:r>
          </w:p>
        </w:tc>
        <w:tc>
          <w:tcPr>
            <w:tcW w:w="763" w:type="dxa"/>
            <w:vAlign w:val="top"/>
          </w:tcPr>
          <w:p w14:paraId="0A8B8237">
            <w:pPr>
              <w:pStyle w:val="26"/>
              <w:autoSpaceDE w:val="0"/>
              <w:autoSpaceDN w:val="0"/>
              <w:spacing w:before="114" w:line="186" w:lineRule="auto"/>
              <w:ind w:left="205"/>
              <w:rPr>
                <w:sz w:val="16"/>
                <w:szCs w:val="16"/>
              </w:rPr>
            </w:pPr>
            <w:r>
              <w:rPr>
                <w:color w:val="231F20"/>
                <w:spacing w:val="-1"/>
                <w:sz w:val="16"/>
                <w:szCs w:val="16"/>
              </w:rPr>
              <w:t>24.80</w:t>
            </w:r>
          </w:p>
        </w:tc>
        <w:tc>
          <w:tcPr>
            <w:tcW w:w="760" w:type="dxa"/>
            <w:vAlign w:val="top"/>
          </w:tcPr>
          <w:p w14:paraId="3F12C78A">
            <w:pPr>
              <w:pStyle w:val="26"/>
              <w:autoSpaceDE w:val="0"/>
              <w:autoSpaceDN w:val="0"/>
              <w:spacing w:before="114" w:line="186" w:lineRule="auto"/>
              <w:ind w:left="222"/>
              <w:rPr>
                <w:sz w:val="16"/>
                <w:szCs w:val="16"/>
              </w:rPr>
            </w:pPr>
            <w:r>
              <w:rPr>
                <w:color w:val="231F20"/>
                <w:spacing w:val="-5"/>
                <w:sz w:val="16"/>
                <w:szCs w:val="16"/>
              </w:rPr>
              <w:t>11.89</w:t>
            </w:r>
          </w:p>
        </w:tc>
        <w:tc>
          <w:tcPr>
            <w:tcW w:w="761" w:type="dxa"/>
            <w:vAlign w:val="top"/>
          </w:tcPr>
          <w:p w14:paraId="02F571BC">
            <w:pPr>
              <w:pStyle w:val="26"/>
              <w:autoSpaceDE w:val="0"/>
              <w:autoSpaceDN w:val="0"/>
              <w:spacing w:before="114" w:line="186" w:lineRule="auto"/>
              <w:ind w:left="220"/>
              <w:rPr>
                <w:sz w:val="16"/>
                <w:szCs w:val="16"/>
              </w:rPr>
            </w:pPr>
            <w:r>
              <w:rPr>
                <w:color w:val="231F20"/>
                <w:spacing w:val="-3"/>
                <w:sz w:val="16"/>
                <w:szCs w:val="16"/>
              </w:rPr>
              <w:t>12.91</w:t>
            </w:r>
          </w:p>
        </w:tc>
        <w:tc>
          <w:tcPr>
            <w:tcW w:w="720" w:type="dxa"/>
            <w:vAlign w:val="top"/>
          </w:tcPr>
          <w:p w14:paraId="67616534">
            <w:pPr>
              <w:pStyle w:val="26"/>
              <w:autoSpaceDE w:val="0"/>
              <w:autoSpaceDN w:val="0"/>
              <w:spacing w:before="114" w:line="186" w:lineRule="auto"/>
              <w:ind w:left="220"/>
              <w:rPr>
                <w:sz w:val="16"/>
                <w:szCs w:val="16"/>
              </w:rPr>
            </w:pPr>
            <w:r>
              <w:rPr>
                <w:color w:val="231F20"/>
                <w:spacing w:val="-3"/>
                <w:sz w:val="16"/>
                <w:szCs w:val="16"/>
              </w:rPr>
              <w:t>15.63</w:t>
            </w:r>
          </w:p>
        </w:tc>
        <w:tc>
          <w:tcPr>
            <w:tcW w:w="792" w:type="dxa"/>
            <w:vAlign w:val="top"/>
          </w:tcPr>
          <w:p w14:paraId="4B103C74">
            <w:pPr>
              <w:pStyle w:val="26"/>
              <w:autoSpaceDE w:val="0"/>
              <w:autoSpaceDN w:val="0"/>
              <w:spacing w:before="114" w:line="186" w:lineRule="auto"/>
              <w:ind w:left="261"/>
              <w:rPr>
                <w:sz w:val="16"/>
                <w:szCs w:val="16"/>
              </w:rPr>
            </w:pPr>
            <w:r>
              <w:rPr>
                <w:color w:val="231F20"/>
                <w:spacing w:val="-3"/>
                <w:sz w:val="16"/>
                <w:szCs w:val="16"/>
              </w:rPr>
              <w:t>19.26</w:t>
            </w:r>
          </w:p>
        </w:tc>
        <w:tc>
          <w:tcPr>
            <w:tcW w:w="816" w:type="dxa"/>
            <w:vAlign w:val="top"/>
          </w:tcPr>
          <w:p w14:paraId="66ED054A">
            <w:pPr>
              <w:pStyle w:val="26"/>
              <w:autoSpaceDE w:val="0"/>
              <w:autoSpaceDN w:val="0"/>
              <w:spacing w:before="114" w:line="186" w:lineRule="auto"/>
              <w:ind w:left="233"/>
              <w:rPr>
                <w:sz w:val="16"/>
                <w:szCs w:val="16"/>
              </w:rPr>
            </w:pPr>
            <w:r>
              <w:rPr>
                <w:color w:val="231F20"/>
                <w:spacing w:val="-5"/>
                <w:sz w:val="16"/>
                <w:szCs w:val="16"/>
              </w:rPr>
              <w:t>11.18</w:t>
            </w:r>
          </w:p>
        </w:tc>
        <w:tc>
          <w:tcPr>
            <w:tcW w:w="717" w:type="dxa"/>
            <w:vAlign w:val="top"/>
          </w:tcPr>
          <w:p w14:paraId="0AF9F726">
            <w:pPr>
              <w:pStyle w:val="26"/>
              <w:autoSpaceDE w:val="0"/>
              <w:autoSpaceDN w:val="0"/>
              <w:spacing w:before="114" w:line="186" w:lineRule="auto"/>
              <w:ind w:left="175"/>
              <w:rPr>
                <w:sz w:val="16"/>
                <w:szCs w:val="16"/>
              </w:rPr>
            </w:pPr>
            <w:r>
              <w:rPr>
                <w:color w:val="231F20"/>
                <w:spacing w:val="-3"/>
                <w:sz w:val="16"/>
                <w:szCs w:val="16"/>
              </w:rPr>
              <w:t>14.70</w:t>
            </w:r>
          </w:p>
        </w:tc>
        <w:tc>
          <w:tcPr>
            <w:tcW w:w="723" w:type="dxa"/>
            <w:vAlign w:val="top"/>
          </w:tcPr>
          <w:p w14:paraId="0FE873CC">
            <w:pPr>
              <w:pStyle w:val="26"/>
              <w:autoSpaceDE w:val="0"/>
              <w:autoSpaceDN w:val="0"/>
              <w:spacing w:before="114" w:line="186" w:lineRule="auto"/>
              <w:ind w:left="219"/>
              <w:rPr>
                <w:sz w:val="16"/>
                <w:szCs w:val="16"/>
              </w:rPr>
            </w:pPr>
            <w:r>
              <w:rPr>
                <w:color w:val="231F20"/>
                <w:spacing w:val="-3"/>
                <w:sz w:val="16"/>
                <w:szCs w:val="16"/>
              </w:rPr>
              <w:t>10.46</w:t>
            </w:r>
          </w:p>
        </w:tc>
        <w:tc>
          <w:tcPr>
            <w:tcW w:w="840" w:type="dxa"/>
            <w:vAlign w:val="top"/>
          </w:tcPr>
          <w:p w14:paraId="30D321FB">
            <w:pPr>
              <w:pStyle w:val="26"/>
              <w:autoSpaceDE w:val="0"/>
              <w:autoSpaceDN w:val="0"/>
              <w:spacing w:before="114" w:line="186" w:lineRule="auto"/>
              <w:ind w:left="242"/>
              <w:rPr>
                <w:sz w:val="16"/>
                <w:szCs w:val="16"/>
              </w:rPr>
            </w:pPr>
            <w:r>
              <w:rPr>
                <w:color w:val="231F20"/>
                <w:spacing w:val="-1"/>
                <w:sz w:val="16"/>
                <w:szCs w:val="16"/>
              </w:rPr>
              <w:t>21.09</w:t>
            </w:r>
          </w:p>
        </w:tc>
        <w:tc>
          <w:tcPr>
            <w:tcW w:w="722" w:type="dxa"/>
            <w:vAlign w:val="top"/>
          </w:tcPr>
          <w:p w14:paraId="7D10DEB8">
            <w:pPr>
              <w:pStyle w:val="26"/>
              <w:autoSpaceDE w:val="0"/>
              <w:autoSpaceDN w:val="0"/>
              <w:spacing w:before="114" w:line="186" w:lineRule="auto"/>
              <w:ind w:left="179"/>
              <w:rPr>
                <w:sz w:val="16"/>
                <w:szCs w:val="16"/>
              </w:rPr>
            </w:pPr>
            <w:r>
              <w:rPr>
                <w:color w:val="231F20"/>
                <w:spacing w:val="-3"/>
                <w:sz w:val="16"/>
                <w:szCs w:val="16"/>
              </w:rPr>
              <w:t>10.14</w:t>
            </w:r>
          </w:p>
        </w:tc>
      </w:tr>
      <w:tr w14:paraId="03720081">
        <w:trPr>
          <w:trHeight w:val="295" w:hRule="atLeast"/>
        </w:trPr>
        <w:tc>
          <w:tcPr>
            <w:tcW w:w="788" w:type="dxa"/>
            <w:tcBorders>
              <w:bottom w:val="single" w:color="231F20" w:sz="8" w:space="0"/>
            </w:tcBorders>
            <w:vAlign w:val="top"/>
          </w:tcPr>
          <w:p w14:paraId="4293AEA6">
            <w:pPr>
              <w:autoSpaceDE w:val="0"/>
              <w:autoSpaceDN w:val="0"/>
              <w:spacing w:before="83" w:line="233" w:lineRule="auto"/>
              <w:ind w:left="144"/>
              <w:rPr>
                <w:rFonts w:ascii="楷体" w:hAnsi="楷体" w:eastAsia="楷体" w:cs="楷体"/>
                <w:sz w:val="16"/>
                <w:szCs w:val="16"/>
              </w:rPr>
            </w:pPr>
            <w:r>
              <w:rPr>
                <w:rFonts w:ascii="楷体" w:hAnsi="楷体" w:eastAsia="楷体" w:cs="楷体"/>
                <w:color w:val="231F20"/>
                <w:spacing w:val="-2"/>
                <w:sz w:val="16"/>
                <w:szCs w:val="16"/>
              </w:rPr>
              <w:t>增长率</w:t>
            </w:r>
          </w:p>
        </w:tc>
        <w:tc>
          <w:tcPr>
            <w:tcW w:w="725" w:type="dxa"/>
            <w:tcBorders>
              <w:bottom w:val="single" w:color="231F20" w:sz="8" w:space="0"/>
            </w:tcBorders>
            <w:vAlign w:val="top"/>
          </w:tcPr>
          <w:p w14:paraId="3163293F">
            <w:pPr>
              <w:pStyle w:val="26"/>
              <w:autoSpaceDE w:val="0"/>
              <w:autoSpaceDN w:val="0"/>
              <w:spacing w:before="113" w:line="186" w:lineRule="auto"/>
              <w:ind w:left="212"/>
              <w:rPr>
                <w:sz w:val="16"/>
                <w:szCs w:val="16"/>
              </w:rPr>
            </w:pPr>
            <w:r>
              <w:rPr>
                <w:color w:val="231F20"/>
                <w:spacing w:val="-2"/>
                <w:sz w:val="16"/>
                <w:szCs w:val="16"/>
              </w:rPr>
              <w:t>32.7</w:t>
            </w:r>
          </w:p>
        </w:tc>
        <w:tc>
          <w:tcPr>
            <w:tcW w:w="763" w:type="dxa"/>
            <w:tcBorders>
              <w:bottom w:val="single" w:color="231F20" w:sz="8" w:space="0"/>
            </w:tcBorders>
            <w:vAlign w:val="top"/>
          </w:tcPr>
          <w:p w14:paraId="278E59CA">
            <w:pPr>
              <w:pStyle w:val="26"/>
              <w:autoSpaceDE w:val="0"/>
              <w:autoSpaceDN w:val="0"/>
              <w:spacing w:before="113" w:line="186" w:lineRule="auto"/>
              <w:ind w:left="220"/>
              <w:rPr>
                <w:sz w:val="16"/>
                <w:szCs w:val="16"/>
              </w:rPr>
            </w:pPr>
            <w:r>
              <w:rPr>
                <w:color w:val="231F20"/>
                <w:spacing w:val="-3"/>
                <w:sz w:val="16"/>
                <w:szCs w:val="16"/>
              </w:rPr>
              <w:t>193.4</w:t>
            </w:r>
          </w:p>
        </w:tc>
        <w:tc>
          <w:tcPr>
            <w:tcW w:w="760" w:type="dxa"/>
            <w:tcBorders>
              <w:bottom w:val="single" w:color="231F20" w:sz="8" w:space="0"/>
            </w:tcBorders>
            <w:vAlign w:val="top"/>
          </w:tcPr>
          <w:p w14:paraId="2E141A1B">
            <w:pPr>
              <w:pStyle w:val="26"/>
              <w:autoSpaceDE w:val="0"/>
              <w:autoSpaceDN w:val="0"/>
              <w:spacing w:before="113" w:line="186" w:lineRule="auto"/>
              <w:ind w:left="250"/>
              <w:rPr>
                <w:sz w:val="16"/>
                <w:szCs w:val="16"/>
              </w:rPr>
            </w:pPr>
            <w:r>
              <w:rPr>
                <w:color w:val="231F20"/>
                <w:spacing w:val="-2"/>
                <w:sz w:val="16"/>
                <w:szCs w:val="16"/>
              </w:rPr>
              <w:t>82.7</w:t>
            </w:r>
          </w:p>
        </w:tc>
        <w:tc>
          <w:tcPr>
            <w:tcW w:w="761" w:type="dxa"/>
            <w:tcBorders>
              <w:bottom w:val="single" w:color="231F20" w:sz="8" w:space="0"/>
            </w:tcBorders>
            <w:vAlign w:val="top"/>
          </w:tcPr>
          <w:p w14:paraId="3893ADDD">
            <w:pPr>
              <w:pStyle w:val="26"/>
              <w:autoSpaceDE w:val="0"/>
              <w:autoSpaceDN w:val="0"/>
              <w:spacing w:before="113" w:line="186" w:lineRule="auto"/>
              <w:ind w:left="251"/>
              <w:rPr>
                <w:sz w:val="16"/>
                <w:szCs w:val="16"/>
              </w:rPr>
            </w:pPr>
            <w:r>
              <w:rPr>
                <w:color w:val="231F20"/>
                <w:spacing w:val="-2"/>
                <w:sz w:val="16"/>
                <w:szCs w:val="16"/>
              </w:rPr>
              <w:t>87.1</w:t>
            </w:r>
          </w:p>
        </w:tc>
        <w:tc>
          <w:tcPr>
            <w:tcW w:w="720" w:type="dxa"/>
            <w:tcBorders>
              <w:bottom w:val="single" w:color="231F20" w:sz="8" w:space="0"/>
            </w:tcBorders>
            <w:vAlign w:val="top"/>
          </w:tcPr>
          <w:p w14:paraId="5594A7CE">
            <w:pPr>
              <w:pStyle w:val="26"/>
              <w:autoSpaceDE w:val="0"/>
              <w:autoSpaceDN w:val="0"/>
              <w:spacing w:before="113" w:line="186" w:lineRule="auto"/>
              <w:ind w:left="220"/>
              <w:rPr>
                <w:sz w:val="16"/>
                <w:szCs w:val="16"/>
              </w:rPr>
            </w:pPr>
            <w:r>
              <w:rPr>
                <w:color w:val="231F20"/>
                <w:spacing w:val="-3"/>
                <w:sz w:val="16"/>
                <w:szCs w:val="16"/>
              </w:rPr>
              <w:t>101.4</w:t>
            </w:r>
          </w:p>
        </w:tc>
        <w:tc>
          <w:tcPr>
            <w:tcW w:w="792" w:type="dxa"/>
            <w:tcBorders>
              <w:bottom w:val="single" w:color="231F20" w:sz="8" w:space="0"/>
            </w:tcBorders>
            <w:vAlign w:val="top"/>
          </w:tcPr>
          <w:p w14:paraId="4B8EF936">
            <w:pPr>
              <w:pStyle w:val="26"/>
              <w:autoSpaceDE w:val="0"/>
              <w:autoSpaceDN w:val="0"/>
              <w:spacing w:before="113" w:line="186" w:lineRule="auto"/>
              <w:ind w:left="261"/>
              <w:rPr>
                <w:sz w:val="16"/>
                <w:szCs w:val="16"/>
              </w:rPr>
            </w:pPr>
            <w:r>
              <w:rPr>
                <w:color w:val="231F20"/>
                <w:spacing w:val="-3"/>
                <w:sz w:val="16"/>
                <w:szCs w:val="16"/>
              </w:rPr>
              <w:t>107.1</w:t>
            </w:r>
          </w:p>
        </w:tc>
        <w:tc>
          <w:tcPr>
            <w:tcW w:w="816" w:type="dxa"/>
            <w:tcBorders>
              <w:bottom w:val="single" w:color="231F20" w:sz="8" w:space="0"/>
            </w:tcBorders>
            <w:vAlign w:val="top"/>
          </w:tcPr>
          <w:p w14:paraId="3BF7FB6F">
            <w:pPr>
              <w:pStyle w:val="26"/>
              <w:autoSpaceDE w:val="0"/>
              <w:autoSpaceDN w:val="0"/>
              <w:spacing w:before="113" w:line="186" w:lineRule="auto"/>
              <w:ind w:left="258"/>
              <w:rPr>
                <w:sz w:val="16"/>
                <w:szCs w:val="16"/>
              </w:rPr>
            </w:pPr>
            <w:r>
              <w:rPr>
                <w:color w:val="231F20"/>
                <w:spacing w:val="-2"/>
                <w:sz w:val="16"/>
                <w:szCs w:val="16"/>
              </w:rPr>
              <w:t>93.5</w:t>
            </w:r>
          </w:p>
        </w:tc>
        <w:tc>
          <w:tcPr>
            <w:tcW w:w="717" w:type="dxa"/>
            <w:tcBorders>
              <w:bottom w:val="single" w:color="231F20" w:sz="8" w:space="0"/>
            </w:tcBorders>
            <w:vAlign w:val="top"/>
          </w:tcPr>
          <w:p w14:paraId="4592601F">
            <w:pPr>
              <w:pStyle w:val="26"/>
              <w:autoSpaceDE w:val="0"/>
              <w:autoSpaceDN w:val="0"/>
              <w:spacing w:before="113" w:line="186" w:lineRule="auto"/>
              <w:ind w:left="204"/>
              <w:rPr>
                <w:sz w:val="16"/>
                <w:szCs w:val="16"/>
              </w:rPr>
            </w:pPr>
            <w:r>
              <w:rPr>
                <w:color w:val="231F20"/>
                <w:spacing w:val="-2"/>
                <w:sz w:val="16"/>
                <w:szCs w:val="16"/>
              </w:rPr>
              <w:t>59.4</w:t>
            </w:r>
          </w:p>
        </w:tc>
        <w:tc>
          <w:tcPr>
            <w:tcW w:w="723" w:type="dxa"/>
            <w:tcBorders>
              <w:bottom w:val="single" w:color="231F20" w:sz="8" w:space="0"/>
            </w:tcBorders>
            <w:vAlign w:val="top"/>
          </w:tcPr>
          <w:p w14:paraId="16DA53B9">
            <w:pPr>
              <w:pStyle w:val="26"/>
              <w:autoSpaceDE w:val="0"/>
              <w:autoSpaceDN w:val="0"/>
              <w:spacing w:before="113" w:line="186" w:lineRule="auto"/>
              <w:ind w:left="222"/>
              <w:rPr>
                <w:sz w:val="16"/>
                <w:szCs w:val="16"/>
              </w:rPr>
            </w:pPr>
            <w:r>
              <w:rPr>
                <w:color w:val="231F20"/>
                <w:spacing w:val="-5"/>
                <w:sz w:val="16"/>
                <w:szCs w:val="16"/>
              </w:rPr>
              <w:t>113.0</w:t>
            </w:r>
          </w:p>
        </w:tc>
        <w:tc>
          <w:tcPr>
            <w:tcW w:w="840" w:type="dxa"/>
            <w:tcBorders>
              <w:bottom w:val="single" w:color="231F20" w:sz="8" w:space="0"/>
            </w:tcBorders>
            <w:vAlign w:val="top"/>
          </w:tcPr>
          <w:p w14:paraId="6A98A208">
            <w:pPr>
              <w:pStyle w:val="26"/>
              <w:autoSpaceDE w:val="0"/>
              <w:autoSpaceDN w:val="0"/>
              <w:spacing w:before="113" w:line="186" w:lineRule="auto"/>
              <w:ind w:left="285"/>
              <w:rPr>
                <w:sz w:val="16"/>
                <w:szCs w:val="16"/>
              </w:rPr>
            </w:pPr>
            <w:r>
              <w:rPr>
                <w:color w:val="231F20"/>
                <w:spacing w:val="-2"/>
                <w:sz w:val="16"/>
                <w:szCs w:val="16"/>
              </w:rPr>
              <w:t>94.8</w:t>
            </w:r>
          </w:p>
        </w:tc>
        <w:tc>
          <w:tcPr>
            <w:tcW w:w="722" w:type="dxa"/>
            <w:tcBorders>
              <w:bottom w:val="single" w:color="231F20" w:sz="8" w:space="0"/>
            </w:tcBorders>
            <w:vAlign w:val="top"/>
          </w:tcPr>
          <w:p w14:paraId="736EBAF4">
            <w:pPr>
              <w:pStyle w:val="26"/>
              <w:autoSpaceDE w:val="0"/>
              <w:autoSpaceDN w:val="0"/>
              <w:spacing w:before="113" w:line="186" w:lineRule="auto"/>
              <w:ind w:left="210"/>
              <w:rPr>
                <w:sz w:val="16"/>
                <w:szCs w:val="16"/>
              </w:rPr>
            </w:pPr>
            <w:r>
              <w:rPr>
                <w:color w:val="231F20"/>
                <w:spacing w:val="-2"/>
                <w:sz w:val="16"/>
                <w:szCs w:val="16"/>
              </w:rPr>
              <w:t>80.6</w:t>
            </w:r>
          </w:p>
        </w:tc>
      </w:tr>
    </w:tbl>
    <w:p w14:paraId="64A435A4">
      <w:pPr>
        <w:pStyle w:val="6"/>
        <w:spacing w:before="111" w:line="292" w:lineRule="auto"/>
        <w:ind w:left="877" w:firstLine="362"/>
        <w:rPr>
          <w:rFonts w:ascii="方正书宋简体" w:hAnsi="方正书宋简体" w:eastAsia="方正书宋简体" w:cs="方正书宋简体"/>
        </w:rPr>
      </w:pPr>
      <w:r>
        <w:rPr>
          <w:rFonts w:ascii="方正书宋简体" w:hAnsi="方正书宋简体" w:eastAsia="方正书宋简体" w:cs="方正书宋简体"/>
          <w:color w:val="231F20"/>
          <w:spacing w:val="4"/>
        </w:rPr>
        <w:t xml:space="preserve">注：表中人均收入之比是作者计算结果；“差值”指的是是 </w:t>
      </w:r>
      <w:r>
        <w:rPr>
          <w:color w:val="231F20"/>
          <w:spacing w:val="4"/>
        </w:rPr>
        <w:t xml:space="preserve">2022 </w:t>
      </w:r>
      <w:r>
        <w:rPr>
          <w:rFonts w:ascii="方正书宋简体" w:hAnsi="方正书宋简体" w:eastAsia="方正书宋简体" w:cs="方正书宋简体"/>
          <w:color w:val="231F20"/>
          <w:spacing w:val="4"/>
        </w:rPr>
        <w:t xml:space="preserve">年与 </w:t>
      </w:r>
      <w:r>
        <w:rPr>
          <w:color w:val="231F20"/>
          <w:spacing w:val="4"/>
        </w:rPr>
        <w:t xml:space="preserve">2012 </w:t>
      </w:r>
      <w:r>
        <w:rPr>
          <w:rFonts w:ascii="方正书宋简体" w:hAnsi="方正书宋简体" w:eastAsia="方正书宋简体" w:cs="方正书宋简体"/>
          <w:color w:val="231F20"/>
          <w:spacing w:val="4"/>
        </w:rPr>
        <w:t>年人均收</w:t>
      </w:r>
      <w:r>
        <w:rPr>
          <w:rFonts w:ascii="方正书宋简体" w:hAnsi="方正书宋简体" w:eastAsia="方正书宋简体" w:cs="方正书宋简体"/>
          <w:color w:val="231F20"/>
          <w:spacing w:val="3"/>
        </w:rPr>
        <w:t>入之比的差，“增长率”</w:t>
      </w:r>
      <w:r>
        <w:rPr>
          <w:rFonts w:ascii="方正书宋简体" w:hAnsi="方正书宋简体" w:eastAsia="方正书宋简体" w:cs="方正书宋简体"/>
          <w:color w:val="231F20"/>
          <w:spacing w:val="-1"/>
        </w:rPr>
        <w:t xml:space="preserve">指的是 </w:t>
      </w:r>
      <w:r>
        <w:rPr>
          <w:color w:val="231F20"/>
          <w:spacing w:val="-1"/>
        </w:rPr>
        <w:t xml:space="preserve">2022 </w:t>
      </w:r>
      <w:r>
        <w:rPr>
          <w:rFonts w:ascii="方正书宋简体" w:hAnsi="方正书宋简体" w:eastAsia="方正书宋简体" w:cs="方正书宋简体"/>
          <w:color w:val="231F20"/>
          <w:spacing w:val="-1"/>
        </w:rPr>
        <w:t xml:space="preserve">年人均收入之比相对于 </w:t>
      </w:r>
      <w:r>
        <w:rPr>
          <w:color w:val="231F20"/>
          <w:spacing w:val="-1"/>
        </w:rPr>
        <w:t xml:space="preserve">2012 </w:t>
      </w:r>
      <w:r>
        <w:rPr>
          <w:rFonts w:ascii="方正书宋简体" w:hAnsi="方正书宋简体" w:eastAsia="方正书宋简体" w:cs="方正书宋简体"/>
          <w:color w:val="231F20"/>
          <w:spacing w:val="-1"/>
        </w:rPr>
        <w:t>年人均收入之比的增长率。</w:t>
      </w:r>
    </w:p>
    <w:p w14:paraId="1267DC99">
      <w:pPr>
        <w:pStyle w:val="6"/>
        <w:spacing w:before="14" w:line="285" w:lineRule="auto"/>
        <w:ind w:left="876" w:right="21" w:firstLine="437"/>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 xml:space="preserve">图 </w:t>
      </w:r>
      <w:r>
        <w:rPr>
          <w:color w:val="231F20"/>
          <w:spacing w:val="-1"/>
          <w:sz w:val="21"/>
          <w:szCs w:val="21"/>
        </w:rPr>
        <w:t xml:space="preserve">5 </w:t>
      </w:r>
      <w:r>
        <w:rPr>
          <w:rFonts w:ascii="方正书宋简体" w:hAnsi="方正书宋简体" w:eastAsia="方正书宋简体" w:cs="方正书宋简体"/>
          <w:color w:val="231F20"/>
          <w:spacing w:val="-1"/>
          <w:sz w:val="21"/>
          <w:szCs w:val="21"/>
        </w:rPr>
        <w:t>给出了</w:t>
      </w:r>
      <w:r>
        <w:rPr>
          <w:rFonts w:ascii="方正书宋简体" w:hAnsi="方正书宋简体" w:eastAsia="方正书宋简体" w:cs="方正书宋简体"/>
          <w:color w:val="231F20"/>
          <w:spacing w:val="25"/>
          <w:sz w:val="21"/>
          <w:szCs w:val="21"/>
        </w:rPr>
        <w:t xml:space="preserve"> </w:t>
      </w:r>
      <w:r>
        <w:rPr>
          <w:color w:val="231F20"/>
          <w:spacing w:val="-1"/>
          <w:sz w:val="21"/>
          <w:szCs w:val="21"/>
        </w:rPr>
        <w:t xml:space="preserve">1960 </w:t>
      </w:r>
      <w:r>
        <w:rPr>
          <w:rFonts w:ascii="方正书宋简体" w:hAnsi="方正书宋简体" w:eastAsia="方正书宋简体" w:cs="方正书宋简体"/>
          <w:color w:val="231F20"/>
          <w:spacing w:val="-1"/>
          <w:sz w:val="21"/>
          <w:szCs w:val="21"/>
        </w:rPr>
        <w:t xml:space="preserve">年以来中国与 </w:t>
      </w:r>
      <w:r>
        <w:rPr>
          <w:color w:val="231F20"/>
          <w:spacing w:val="-1"/>
          <w:sz w:val="21"/>
          <w:szCs w:val="21"/>
        </w:rPr>
        <w:t xml:space="preserve">4 </w:t>
      </w:r>
      <w:r>
        <w:rPr>
          <w:rFonts w:ascii="方正书宋简体" w:hAnsi="方正书宋简体" w:eastAsia="方正书宋简体" w:cs="方正书宋简体"/>
          <w:color w:val="231F20"/>
          <w:spacing w:val="-1"/>
          <w:sz w:val="21"/>
          <w:szCs w:val="21"/>
        </w:rPr>
        <w:t>个最大发达大国人均收入之比的动态变化，其总体</w:t>
      </w:r>
      <w:r>
        <w:rPr>
          <w:rFonts w:ascii="方正书宋简体" w:hAnsi="方正书宋简体" w:eastAsia="方正书宋简体" w:cs="方正书宋简体"/>
          <w:color w:val="231F20"/>
          <w:spacing w:val="-2"/>
          <w:sz w:val="21"/>
          <w:szCs w:val="21"/>
        </w:rPr>
        <w:t>可分为三个</w:t>
      </w:r>
      <w:r>
        <w:rPr>
          <w:rFonts w:ascii="方正书宋简体" w:hAnsi="方正书宋简体" w:eastAsia="方正书宋简体" w:cs="方正书宋简体"/>
          <w:color w:val="231F20"/>
          <w:spacing w:val="-7"/>
          <w:sz w:val="21"/>
          <w:szCs w:val="21"/>
        </w:rPr>
        <w:t>阶段。改革开放前， 这个比例呈下降趋势；改革开放至新世纪前，这个比例在低位徘徊；新世纪以来，</w:t>
      </w:r>
      <w:r>
        <w:rPr>
          <w:rFonts w:ascii="方正书宋简体" w:hAnsi="方正书宋简体" w:eastAsia="方正书宋简体" w:cs="方正书宋简体"/>
          <w:color w:val="231F20"/>
          <w:spacing w:val="1"/>
          <w:sz w:val="21"/>
          <w:szCs w:val="21"/>
        </w:rPr>
        <w:t>这个比例呈上升趋势。针对新时代进行考察，据表</w:t>
      </w:r>
      <w:r>
        <w:rPr>
          <w:rFonts w:ascii="方正书宋简体" w:hAnsi="方正书宋简体" w:eastAsia="方正书宋简体" w:cs="方正书宋简体"/>
          <w:color w:val="231F20"/>
          <w:spacing w:val="24"/>
          <w:sz w:val="21"/>
          <w:szCs w:val="21"/>
        </w:rPr>
        <w:t xml:space="preserve"> </w:t>
      </w:r>
      <w:r>
        <w:rPr>
          <w:color w:val="231F20"/>
          <w:spacing w:val="1"/>
          <w:sz w:val="21"/>
          <w:szCs w:val="21"/>
        </w:rPr>
        <w:t xml:space="preserve">3 </w:t>
      </w:r>
      <w:r>
        <w:rPr>
          <w:rFonts w:ascii="方正书宋简体" w:hAnsi="方正书宋简体" w:eastAsia="方正书宋简体" w:cs="方正书宋简体"/>
          <w:color w:val="231F20"/>
          <w:spacing w:val="1"/>
          <w:sz w:val="21"/>
          <w:szCs w:val="21"/>
        </w:rPr>
        <w:t>显示，与</w:t>
      </w:r>
      <w:r>
        <w:rPr>
          <w:rFonts w:ascii="方正书宋简体" w:hAnsi="方正书宋简体" w:eastAsia="方正书宋简体" w:cs="方正书宋简体"/>
          <w:color w:val="231F20"/>
          <w:spacing w:val="20"/>
          <w:w w:val="101"/>
          <w:sz w:val="21"/>
          <w:szCs w:val="21"/>
        </w:rPr>
        <w:t xml:space="preserve"> </w:t>
      </w:r>
      <w:r>
        <w:rPr>
          <w:color w:val="231F20"/>
          <w:spacing w:val="1"/>
          <w:sz w:val="21"/>
          <w:szCs w:val="21"/>
        </w:rPr>
        <w:t xml:space="preserve">2012 </w:t>
      </w:r>
      <w:r>
        <w:rPr>
          <w:rFonts w:ascii="方正书宋简体" w:hAnsi="方正书宋简体" w:eastAsia="方正书宋简体" w:cs="方正书宋简体"/>
          <w:color w:val="231F20"/>
          <w:spacing w:val="1"/>
          <w:sz w:val="21"/>
          <w:szCs w:val="21"/>
        </w:rPr>
        <w:t xml:space="preserve">年相比 </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年中国对美国人均</w:t>
      </w:r>
      <w:r>
        <w:rPr>
          <w:rFonts w:ascii="方正书宋简体" w:hAnsi="方正书宋简体" w:eastAsia="方正书宋简体" w:cs="方正书宋简体"/>
          <w:color w:val="231F20"/>
          <w:spacing w:val="2"/>
          <w:sz w:val="21"/>
          <w:szCs w:val="21"/>
        </w:rPr>
        <w:t xml:space="preserve">收入之比增长 </w:t>
      </w:r>
      <w:r>
        <w:rPr>
          <w:color w:val="231F20"/>
          <w:spacing w:val="2"/>
          <w:sz w:val="21"/>
          <w:szCs w:val="21"/>
        </w:rPr>
        <w:t>32.7%</w:t>
      </w:r>
      <w:r>
        <w:rPr>
          <w:rFonts w:ascii="方正书宋简体" w:hAnsi="方正书宋简体" w:eastAsia="方正书宋简体" w:cs="方正书宋简体"/>
          <w:color w:val="231F20"/>
          <w:spacing w:val="2"/>
          <w:sz w:val="21"/>
          <w:szCs w:val="21"/>
        </w:rPr>
        <w:t>，对其他</w:t>
      </w:r>
      <w:r>
        <w:rPr>
          <w:rFonts w:ascii="方正书宋简体" w:hAnsi="方正书宋简体" w:eastAsia="方正书宋简体" w:cs="方正书宋简体"/>
          <w:color w:val="231F20"/>
          <w:spacing w:val="35"/>
          <w:sz w:val="21"/>
          <w:szCs w:val="21"/>
        </w:rPr>
        <w:t xml:space="preserve"> </w:t>
      </w:r>
      <w:r>
        <w:rPr>
          <w:color w:val="231F20"/>
          <w:spacing w:val="2"/>
          <w:sz w:val="21"/>
          <w:szCs w:val="21"/>
        </w:rPr>
        <w:t xml:space="preserve">10 </w:t>
      </w:r>
      <w:r>
        <w:rPr>
          <w:rFonts w:ascii="方正书宋简体" w:hAnsi="方正书宋简体" w:eastAsia="方正书宋简体" w:cs="方正书宋简体"/>
          <w:color w:val="231F20"/>
          <w:spacing w:val="2"/>
          <w:sz w:val="21"/>
          <w:szCs w:val="21"/>
        </w:rPr>
        <w:t>个发达大国人均</w:t>
      </w:r>
      <w:r>
        <w:rPr>
          <w:rFonts w:ascii="方正书宋简体" w:hAnsi="方正书宋简体" w:eastAsia="方正书宋简体" w:cs="方正书宋简体"/>
          <w:color w:val="231F20"/>
          <w:spacing w:val="1"/>
          <w:sz w:val="21"/>
          <w:szCs w:val="21"/>
        </w:rPr>
        <w:t xml:space="preserve">收入之比增长 </w:t>
      </w:r>
      <w:r>
        <w:rPr>
          <w:color w:val="231F20"/>
          <w:spacing w:val="1"/>
          <w:sz w:val="21"/>
          <w:szCs w:val="21"/>
        </w:rPr>
        <w:t>59.4%~193.4%</w:t>
      </w:r>
      <w:r>
        <w:rPr>
          <w:rFonts w:ascii="方正书宋简体" w:hAnsi="方正书宋简体" w:eastAsia="方正书宋简体" w:cs="方正书宋简体"/>
          <w:color w:val="231F20"/>
          <w:spacing w:val="1"/>
          <w:sz w:val="21"/>
          <w:szCs w:val="21"/>
        </w:rPr>
        <w:t>。特别是与亚洲第</w:t>
      </w:r>
      <w:r>
        <w:rPr>
          <w:rFonts w:ascii="方正书宋简体" w:hAnsi="方正书宋简体" w:eastAsia="方正书宋简体" w:cs="方正书宋简体"/>
          <w:color w:val="231F20"/>
          <w:spacing w:val="-29"/>
          <w:sz w:val="21"/>
          <w:szCs w:val="21"/>
        </w:rPr>
        <w:t xml:space="preserve"> </w:t>
      </w:r>
      <w:r>
        <w:rPr>
          <w:rFonts w:ascii="方正书宋简体" w:hAnsi="方正书宋简体" w:eastAsia="方正书宋简体" w:cs="方正书宋简体"/>
          <w:color w:val="231F20"/>
          <w:spacing w:val="1"/>
          <w:sz w:val="21"/>
          <w:szCs w:val="21"/>
        </w:rPr>
        <w:t>一</w:t>
      </w:r>
      <w:r>
        <w:rPr>
          <w:rFonts w:ascii="方正书宋简体" w:hAnsi="方正书宋简体" w:eastAsia="方正书宋简体" w:cs="方正书宋简体"/>
          <w:color w:val="231F20"/>
          <w:sz w:val="21"/>
          <w:szCs w:val="21"/>
        </w:rPr>
        <w:t>大发达经济体日本相比，</w:t>
      </w:r>
      <w:r>
        <w:rPr>
          <w:color w:val="231F20"/>
          <w:sz w:val="21"/>
          <w:szCs w:val="21"/>
        </w:rPr>
        <w:t xml:space="preserve">2012 </w:t>
      </w:r>
      <w:r>
        <w:rPr>
          <w:rFonts w:ascii="方正书宋简体" w:hAnsi="方正书宋简体" w:eastAsia="方正书宋简体" w:cs="方正书宋简体"/>
          <w:color w:val="231F20"/>
          <w:sz w:val="21"/>
          <w:szCs w:val="21"/>
        </w:rPr>
        <w:t>年中国人均收入仅是它的</w:t>
      </w:r>
      <w:r>
        <w:rPr>
          <w:rFonts w:ascii="方正书宋简体" w:hAnsi="方正书宋简体" w:eastAsia="方正书宋简体" w:cs="方正书宋简体"/>
          <w:color w:val="231F20"/>
          <w:spacing w:val="25"/>
          <w:w w:val="101"/>
          <w:sz w:val="21"/>
          <w:szCs w:val="21"/>
        </w:rPr>
        <w:t xml:space="preserve"> </w:t>
      </w:r>
      <w:r>
        <w:rPr>
          <w:color w:val="231F20"/>
          <w:sz w:val="21"/>
          <w:szCs w:val="21"/>
        </w:rPr>
        <w:t>1</w:t>
      </w:r>
      <w:r>
        <w:rPr>
          <w:color w:val="231F20"/>
          <w:spacing w:val="-1"/>
          <w:sz w:val="21"/>
          <w:szCs w:val="21"/>
        </w:rPr>
        <w:t>2.82%</w:t>
      </w:r>
      <w:r>
        <w:rPr>
          <w:rFonts w:ascii="方正书宋简体" w:hAnsi="方正书宋简体" w:eastAsia="方正书宋简体" w:cs="方正书宋简体"/>
          <w:color w:val="231F20"/>
          <w:spacing w:val="-1"/>
          <w:sz w:val="21"/>
          <w:szCs w:val="21"/>
        </w:rPr>
        <w:t xml:space="preserve">，但 </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 xml:space="preserve">年已达到它的 </w:t>
      </w:r>
      <w:r>
        <w:rPr>
          <w:color w:val="231F20"/>
          <w:spacing w:val="-1"/>
          <w:sz w:val="21"/>
          <w:szCs w:val="21"/>
        </w:rPr>
        <w:t>37.62%</w:t>
      </w:r>
      <w:r>
        <w:rPr>
          <w:rFonts w:ascii="方正书宋简体" w:hAnsi="方正书宋简体" w:eastAsia="方正书宋简体" w:cs="方正书宋简体"/>
          <w:color w:val="231F20"/>
          <w:spacing w:val="-1"/>
          <w:sz w:val="21"/>
          <w:szCs w:val="21"/>
        </w:rPr>
        <w:t>，追</w:t>
      </w:r>
      <w:r>
        <w:rPr>
          <w:rFonts w:ascii="方正书宋简体" w:hAnsi="方正书宋简体" w:eastAsia="方正书宋简体" w:cs="方正书宋简体"/>
          <w:color w:val="231F20"/>
          <w:spacing w:val="-5"/>
          <w:sz w:val="21"/>
          <w:szCs w:val="21"/>
        </w:rPr>
        <w:t>赶速度很快。</w:t>
      </w:r>
    </w:p>
    <w:p w14:paraId="45401DD6">
      <w:pPr>
        <w:spacing w:line="133" w:lineRule="exact"/>
        <w:ind w:left="2417"/>
        <w:rPr>
          <w:rFonts w:ascii="宋体" w:hAnsi="宋体" w:eastAsia="宋体" w:cs="宋体"/>
          <w:sz w:val="10"/>
          <w:szCs w:val="10"/>
        </w:rPr>
      </w:pPr>
      <w:r>
        <w:drawing>
          <wp:anchor distT="0" distB="0" distL="0" distR="0" simplePos="0" relativeHeight="251711488" behindDoc="0" locked="0" layoutInCell="1" allowOverlap="1">
            <wp:simplePos x="0" y="0"/>
            <wp:positionH relativeFrom="column">
              <wp:posOffset>1651000</wp:posOffset>
            </wp:positionH>
            <wp:positionV relativeFrom="paragraph">
              <wp:posOffset>28575</wp:posOffset>
            </wp:positionV>
            <wp:extent cx="3688080" cy="1140460"/>
            <wp:effectExtent l="0" t="0" r="20320" b="2540"/>
            <wp:wrapNone/>
            <wp:docPr id="417" name="IM 44"/>
            <wp:cNvGraphicFramePr/>
            <a:graphic xmlns:a="http://schemas.openxmlformats.org/drawingml/2006/main">
              <a:graphicData uri="http://schemas.openxmlformats.org/drawingml/2006/picture">
                <pic:pic xmlns:pic="http://schemas.openxmlformats.org/drawingml/2006/picture">
                  <pic:nvPicPr>
                    <pic:cNvPr id="417" name="IM 44"/>
                    <pic:cNvPicPr/>
                  </pic:nvPicPr>
                  <pic:blipFill>
                    <a:blip r:embed="rId96"/>
                    <a:stretch>
                      <a:fillRect/>
                    </a:stretch>
                  </pic:blipFill>
                  <pic:spPr>
                    <a:xfrm>
                      <a:off x="0" y="0"/>
                      <a:ext cx="3688301" cy="1140521"/>
                    </a:xfrm>
                    <a:prstGeom prst="rect">
                      <a:avLst/>
                    </a:prstGeom>
                  </pic:spPr>
                </pic:pic>
              </a:graphicData>
            </a:graphic>
          </wp:anchor>
        </w:drawing>
      </w:r>
      <w:r>
        <w:rPr>
          <w:rFonts w:ascii="宋体" w:hAnsi="宋体" w:eastAsia="宋体" w:cs="宋体"/>
          <w:color w:val="030303"/>
          <w:spacing w:val="-1"/>
          <w:sz w:val="10"/>
          <w:szCs w:val="10"/>
        </w:rPr>
        <w:t>40</w:t>
      </w:r>
    </w:p>
    <w:p w14:paraId="1B5C6267">
      <w:pPr>
        <w:spacing w:before="90" w:line="133" w:lineRule="exact"/>
        <w:ind w:left="2420"/>
        <w:rPr>
          <w:rFonts w:ascii="宋体" w:hAnsi="宋体" w:eastAsia="宋体" w:cs="宋体"/>
          <w:sz w:val="10"/>
          <w:szCs w:val="10"/>
        </w:rPr>
      </w:pPr>
      <w:r>
        <w:rPr>
          <w:rFonts w:ascii="宋体" w:hAnsi="宋体" w:eastAsia="宋体" w:cs="宋体"/>
          <w:color w:val="030303"/>
          <w:spacing w:val="-1"/>
          <w:sz w:val="10"/>
          <w:szCs w:val="10"/>
        </w:rPr>
        <w:t>35</w:t>
      </w:r>
    </w:p>
    <w:p w14:paraId="3847A337">
      <w:pPr>
        <w:spacing w:before="90" w:line="133" w:lineRule="exact"/>
        <w:ind w:left="2420"/>
        <w:rPr>
          <w:rFonts w:ascii="宋体" w:hAnsi="宋体" w:eastAsia="宋体" w:cs="宋体"/>
          <w:sz w:val="10"/>
          <w:szCs w:val="10"/>
        </w:rPr>
      </w:pPr>
      <w:r>
        <w:rPr>
          <w:rFonts w:ascii="宋体" w:hAnsi="宋体" w:eastAsia="宋体" w:cs="宋体"/>
          <w:color w:val="030303"/>
          <w:spacing w:val="-1"/>
          <w:sz w:val="10"/>
          <w:szCs w:val="10"/>
        </w:rPr>
        <w:t>30</w:t>
      </w:r>
    </w:p>
    <w:p w14:paraId="2AC5C2C7">
      <w:pPr>
        <w:spacing w:before="91" w:line="132" w:lineRule="exact"/>
        <w:ind w:left="2419"/>
        <w:rPr>
          <w:rFonts w:ascii="宋体" w:hAnsi="宋体" w:eastAsia="宋体" w:cs="宋体"/>
          <w:sz w:val="10"/>
          <w:szCs w:val="10"/>
        </w:rPr>
      </w:pPr>
      <w:r>
        <w:rPr>
          <w:rFonts w:ascii="宋体" w:hAnsi="宋体" w:eastAsia="宋体" w:cs="宋体"/>
          <w:color w:val="030303"/>
          <w:spacing w:val="-1"/>
          <w:sz w:val="10"/>
          <w:szCs w:val="10"/>
        </w:rPr>
        <w:t>25</w:t>
      </w:r>
    </w:p>
    <w:p w14:paraId="662FB6F7">
      <w:pPr>
        <w:spacing w:before="96" w:line="133" w:lineRule="exact"/>
        <w:ind w:left="2419"/>
        <w:rPr>
          <w:rFonts w:ascii="宋体" w:hAnsi="宋体" w:eastAsia="宋体" w:cs="宋体"/>
          <w:sz w:val="10"/>
          <w:szCs w:val="10"/>
        </w:rPr>
      </w:pPr>
      <w:r>
        <w:rPr>
          <w:rFonts w:ascii="宋体" w:hAnsi="宋体" w:eastAsia="宋体" w:cs="宋体"/>
          <w:color w:val="030303"/>
          <w:spacing w:val="-1"/>
          <w:sz w:val="10"/>
          <w:szCs w:val="10"/>
        </w:rPr>
        <w:t>20</w:t>
      </w:r>
    </w:p>
    <w:p w14:paraId="468DE18F">
      <w:pPr>
        <w:spacing w:before="90" w:line="133" w:lineRule="exact"/>
        <w:ind w:left="2425"/>
        <w:rPr>
          <w:rFonts w:ascii="宋体" w:hAnsi="宋体" w:eastAsia="宋体" w:cs="宋体"/>
          <w:sz w:val="10"/>
          <w:szCs w:val="10"/>
        </w:rPr>
      </w:pPr>
      <w:r>
        <w:rPr>
          <w:rFonts w:ascii="宋体" w:hAnsi="宋体" w:eastAsia="宋体" w:cs="宋体"/>
          <w:color w:val="030303"/>
          <w:spacing w:val="-3"/>
          <w:sz w:val="10"/>
          <w:szCs w:val="10"/>
        </w:rPr>
        <w:t>15</w:t>
      </w:r>
    </w:p>
    <w:p w14:paraId="53044A45">
      <w:pPr>
        <w:spacing w:before="91" w:line="132" w:lineRule="exact"/>
        <w:ind w:left="2425"/>
        <w:rPr>
          <w:rFonts w:ascii="宋体" w:hAnsi="宋体" w:eastAsia="宋体" w:cs="宋体"/>
          <w:sz w:val="10"/>
          <w:szCs w:val="10"/>
        </w:rPr>
      </w:pPr>
      <w:r>
        <w:rPr>
          <w:rFonts w:ascii="宋体" w:hAnsi="宋体" w:eastAsia="宋体" w:cs="宋体"/>
          <w:color w:val="030303"/>
          <w:spacing w:val="-3"/>
          <w:sz w:val="10"/>
          <w:szCs w:val="10"/>
        </w:rPr>
        <w:t>10</w:t>
      </w:r>
    </w:p>
    <w:p w14:paraId="49314F05">
      <w:pPr>
        <w:spacing w:before="91" w:line="133" w:lineRule="exact"/>
        <w:ind w:left="2471"/>
        <w:rPr>
          <w:rFonts w:ascii="宋体" w:hAnsi="宋体" w:eastAsia="宋体" w:cs="宋体"/>
          <w:sz w:val="10"/>
          <w:szCs w:val="10"/>
        </w:rPr>
      </w:pPr>
      <w:r>
        <w:rPr>
          <w:rFonts w:ascii="宋体" w:hAnsi="宋体" w:eastAsia="宋体" w:cs="宋体"/>
          <w:color w:val="030303"/>
          <w:position w:val="1"/>
          <w:sz w:val="10"/>
          <w:szCs w:val="10"/>
        </w:rPr>
        <w:t>5</w:t>
      </w:r>
    </w:p>
    <w:p w14:paraId="1AA4DB5B">
      <w:pPr>
        <w:spacing w:before="90" w:line="133" w:lineRule="exact"/>
        <w:ind w:left="2470"/>
        <w:rPr>
          <w:rFonts w:ascii="宋体" w:hAnsi="宋体" w:eastAsia="宋体" w:cs="宋体"/>
          <w:sz w:val="10"/>
          <w:szCs w:val="10"/>
        </w:rPr>
      </w:pPr>
      <w:r>
        <w:rPr>
          <w:rFonts w:ascii="宋体" w:hAnsi="宋体" w:eastAsia="宋体" w:cs="宋体"/>
          <w:color w:val="030303"/>
          <w:sz w:val="10"/>
          <w:szCs w:val="10"/>
        </w:rPr>
        <w:t>0</w:t>
      </w:r>
    </w:p>
    <w:p w14:paraId="1162345A">
      <w:pPr>
        <w:spacing w:line="267" w:lineRule="auto"/>
        <w:rPr>
          <w:rFonts w:ascii="Arial"/>
          <w:sz w:val="21"/>
        </w:rPr>
      </w:pPr>
      <w:r>
        <mc:AlternateContent>
          <mc:Choice Requires="wps">
            <w:drawing>
              <wp:anchor distT="0" distB="0" distL="0" distR="0" simplePos="0" relativeHeight="251712512" behindDoc="0" locked="0" layoutInCell="1" allowOverlap="1">
                <wp:simplePos x="0" y="0"/>
                <wp:positionH relativeFrom="column">
                  <wp:posOffset>3409950</wp:posOffset>
                </wp:positionH>
                <wp:positionV relativeFrom="paragraph">
                  <wp:posOffset>-1812925</wp:posOffset>
                </wp:positionV>
                <wp:extent cx="153035" cy="3756025"/>
                <wp:effectExtent l="0" t="1801495" r="0" b="0"/>
                <wp:wrapNone/>
                <wp:docPr id="418" name="TextBox 46"/>
                <wp:cNvGraphicFramePr/>
                <a:graphic xmlns:a="http://schemas.openxmlformats.org/drawingml/2006/main">
                  <a:graphicData uri="http://schemas.microsoft.com/office/word/2010/wordprocessingShape">
                    <wps:wsp>
                      <wps:cNvSpPr txBox="1"/>
                      <wps:spPr>
                        <a:xfrm rot="16200000">
                          <a:off x="3409968" y="-1813024"/>
                          <a:ext cx="153035" cy="3756025"/>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3160CD1F">
                            <w:pPr>
                              <w:spacing w:before="20" w:line="132" w:lineRule="exact"/>
                              <w:ind w:left="26"/>
                              <w:rPr>
                                <w:rFonts w:ascii="宋体" w:hAnsi="宋体" w:eastAsia="宋体" w:cs="宋体"/>
                                <w:sz w:val="10"/>
                                <w:szCs w:val="10"/>
                              </w:rPr>
                            </w:pPr>
                            <w:r>
                              <w:rPr>
                                <w:rFonts w:ascii="宋体" w:hAnsi="宋体" w:eastAsia="宋体" w:cs="宋体"/>
                                <w:color w:val="030303"/>
                                <w:spacing w:val="-2"/>
                                <w:sz w:val="10"/>
                                <w:szCs w:val="10"/>
                              </w:rPr>
                              <w:t>1960</w:t>
                            </w:r>
                          </w:p>
                          <w:p w14:paraId="2DE96119">
                            <w:pPr>
                              <w:spacing w:before="50" w:line="132" w:lineRule="exact"/>
                              <w:ind w:left="26"/>
                              <w:rPr>
                                <w:rFonts w:ascii="宋体" w:hAnsi="宋体" w:eastAsia="宋体" w:cs="宋体"/>
                                <w:sz w:val="10"/>
                                <w:szCs w:val="10"/>
                              </w:rPr>
                            </w:pPr>
                            <w:r>
                              <w:rPr>
                                <w:rFonts w:ascii="宋体" w:hAnsi="宋体" w:eastAsia="宋体" w:cs="宋体"/>
                                <w:color w:val="030303"/>
                                <w:spacing w:val="-2"/>
                                <w:sz w:val="10"/>
                                <w:szCs w:val="10"/>
                              </w:rPr>
                              <w:t>1962</w:t>
                            </w:r>
                          </w:p>
                          <w:p w14:paraId="47C09E5A">
                            <w:pPr>
                              <w:spacing w:before="55" w:line="133" w:lineRule="exact"/>
                              <w:ind w:left="26"/>
                              <w:rPr>
                                <w:rFonts w:ascii="宋体" w:hAnsi="宋体" w:eastAsia="宋体" w:cs="宋体"/>
                                <w:sz w:val="10"/>
                                <w:szCs w:val="10"/>
                              </w:rPr>
                            </w:pPr>
                            <w:r>
                              <w:rPr>
                                <w:rFonts w:ascii="宋体" w:hAnsi="宋体" w:eastAsia="宋体" w:cs="宋体"/>
                                <w:color w:val="030303"/>
                                <w:spacing w:val="-2"/>
                                <w:sz w:val="10"/>
                                <w:szCs w:val="10"/>
                              </w:rPr>
                              <w:t>1964</w:t>
                            </w:r>
                          </w:p>
                          <w:p w14:paraId="2325F689">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1966</w:t>
                            </w:r>
                          </w:p>
                          <w:p w14:paraId="76496969">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1968</w:t>
                            </w:r>
                          </w:p>
                          <w:p w14:paraId="31274151">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1970</w:t>
                            </w:r>
                          </w:p>
                          <w:p w14:paraId="2CE57960">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1972</w:t>
                            </w:r>
                          </w:p>
                          <w:p w14:paraId="55BF498D">
                            <w:pPr>
                              <w:spacing w:before="56" w:line="132" w:lineRule="exact"/>
                              <w:ind w:left="26"/>
                              <w:rPr>
                                <w:rFonts w:ascii="宋体" w:hAnsi="宋体" w:eastAsia="宋体" w:cs="宋体"/>
                                <w:sz w:val="10"/>
                                <w:szCs w:val="10"/>
                              </w:rPr>
                            </w:pPr>
                            <w:r>
                              <w:rPr>
                                <w:rFonts w:ascii="宋体" w:hAnsi="宋体" w:eastAsia="宋体" w:cs="宋体"/>
                                <w:color w:val="030303"/>
                                <w:spacing w:val="-2"/>
                                <w:sz w:val="10"/>
                                <w:szCs w:val="10"/>
                              </w:rPr>
                              <w:t>1974</w:t>
                            </w:r>
                          </w:p>
                          <w:p w14:paraId="33B06206">
                            <w:pPr>
                              <w:spacing w:before="51" w:line="132" w:lineRule="exact"/>
                              <w:ind w:left="26"/>
                              <w:rPr>
                                <w:rFonts w:ascii="宋体" w:hAnsi="宋体" w:eastAsia="宋体" w:cs="宋体"/>
                                <w:sz w:val="10"/>
                                <w:szCs w:val="10"/>
                              </w:rPr>
                            </w:pPr>
                            <w:r>
                              <w:rPr>
                                <w:rFonts w:ascii="宋体" w:hAnsi="宋体" w:eastAsia="宋体" w:cs="宋体"/>
                                <w:color w:val="030303"/>
                                <w:spacing w:val="-2"/>
                                <w:sz w:val="10"/>
                                <w:szCs w:val="10"/>
                              </w:rPr>
                              <w:t>1976</w:t>
                            </w:r>
                          </w:p>
                          <w:p w14:paraId="655C237D">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1978</w:t>
                            </w:r>
                          </w:p>
                          <w:p w14:paraId="60275F76">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1980</w:t>
                            </w:r>
                          </w:p>
                          <w:p w14:paraId="1F38C8CC">
                            <w:pPr>
                              <w:spacing w:before="56" w:line="133" w:lineRule="exact"/>
                              <w:ind w:left="26"/>
                              <w:rPr>
                                <w:rFonts w:ascii="宋体" w:hAnsi="宋体" w:eastAsia="宋体" w:cs="宋体"/>
                                <w:sz w:val="10"/>
                                <w:szCs w:val="10"/>
                              </w:rPr>
                            </w:pPr>
                            <w:r>
                              <w:rPr>
                                <w:rFonts w:ascii="宋体" w:hAnsi="宋体" w:eastAsia="宋体" w:cs="宋体"/>
                                <w:color w:val="030303"/>
                                <w:spacing w:val="-2"/>
                                <w:sz w:val="10"/>
                                <w:szCs w:val="10"/>
                              </w:rPr>
                              <w:t>1982</w:t>
                            </w:r>
                          </w:p>
                          <w:p w14:paraId="6BC9585E">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1984</w:t>
                            </w:r>
                          </w:p>
                          <w:p w14:paraId="59C34284">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1986</w:t>
                            </w:r>
                          </w:p>
                          <w:p w14:paraId="4C641628">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1988</w:t>
                            </w:r>
                          </w:p>
                          <w:p w14:paraId="52B59EEA">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1990</w:t>
                            </w:r>
                          </w:p>
                          <w:p w14:paraId="365B6E51">
                            <w:pPr>
                              <w:spacing w:before="56" w:line="132" w:lineRule="exact"/>
                              <w:ind w:left="26"/>
                              <w:rPr>
                                <w:rFonts w:ascii="宋体" w:hAnsi="宋体" w:eastAsia="宋体" w:cs="宋体"/>
                                <w:sz w:val="10"/>
                                <w:szCs w:val="10"/>
                              </w:rPr>
                            </w:pPr>
                            <w:r>
                              <w:rPr>
                                <w:rFonts w:ascii="宋体" w:hAnsi="宋体" w:eastAsia="宋体" w:cs="宋体"/>
                                <w:color w:val="030303"/>
                                <w:spacing w:val="-2"/>
                                <w:sz w:val="10"/>
                                <w:szCs w:val="10"/>
                              </w:rPr>
                              <w:t>1992</w:t>
                            </w:r>
                          </w:p>
                          <w:p w14:paraId="530354C7">
                            <w:pPr>
                              <w:spacing w:before="51" w:line="132" w:lineRule="exact"/>
                              <w:ind w:left="26"/>
                              <w:rPr>
                                <w:rFonts w:ascii="宋体" w:hAnsi="宋体" w:eastAsia="宋体" w:cs="宋体"/>
                                <w:sz w:val="10"/>
                                <w:szCs w:val="10"/>
                              </w:rPr>
                            </w:pPr>
                            <w:r>
                              <w:rPr>
                                <w:rFonts w:ascii="宋体" w:hAnsi="宋体" w:eastAsia="宋体" w:cs="宋体"/>
                                <w:color w:val="030303"/>
                                <w:spacing w:val="-2"/>
                                <w:sz w:val="10"/>
                                <w:szCs w:val="10"/>
                              </w:rPr>
                              <w:t>1994</w:t>
                            </w:r>
                          </w:p>
                          <w:p w14:paraId="72E32581">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1996</w:t>
                            </w:r>
                          </w:p>
                          <w:p w14:paraId="5525F615">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1998</w:t>
                            </w:r>
                          </w:p>
                          <w:p w14:paraId="45E0F360">
                            <w:pPr>
                              <w:spacing w:before="56" w:line="133" w:lineRule="exact"/>
                              <w:ind w:left="20"/>
                              <w:rPr>
                                <w:rFonts w:ascii="宋体" w:hAnsi="宋体" w:eastAsia="宋体" w:cs="宋体"/>
                                <w:sz w:val="10"/>
                                <w:szCs w:val="10"/>
                              </w:rPr>
                            </w:pPr>
                            <w:r>
                              <w:rPr>
                                <w:rFonts w:ascii="宋体" w:hAnsi="宋体" w:eastAsia="宋体" w:cs="宋体"/>
                                <w:color w:val="030303"/>
                                <w:sz w:val="10"/>
                                <w:szCs w:val="10"/>
                              </w:rPr>
                              <w:t>2000</w:t>
                            </w:r>
                          </w:p>
                          <w:p w14:paraId="65C7C4C3">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2002</w:t>
                            </w:r>
                          </w:p>
                          <w:p w14:paraId="1894B960">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2004</w:t>
                            </w:r>
                          </w:p>
                          <w:p w14:paraId="3CC5041F">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2006</w:t>
                            </w:r>
                          </w:p>
                          <w:p w14:paraId="10E244B1">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2008</w:t>
                            </w:r>
                          </w:p>
                          <w:p w14:paraId="7F1178CA">
                            <w:pPr>
                              <w:spacing w:before="56" w:line="132" w:lineRule="exact"/>
                              <w:ind w:left="20"/>
                              <w:rPr>
                                <w:rFonts w:ascii="宋体" w:hAnsi="宋体" w:eastAsia="宋体" w:cs="宋体"/>
                                <w:sz w:val="10"/>
                                <w:szCs w:val="10"/>
                              </w:rPr>
                            </w:pPr>
                            <w:r>
                              <w:rPr>
                                <w:rFonts w:ascii="宋体" w:hAnsi="宋体" w:eastAsia="宋体" w:cs="宋体"/>
                                <w:color w:val="030303"/>
                                <w:sz w:val="10"/>
                                <w:szCs w:val="10"/>
                              </w:rPr>
                              <w:t>2010</w:t>
                            </w:r>
                          </w:p>
                          <w:p w14:paraId="24348028">
                            <w:pPr>
                              <w:spacing w:before="51" w:line="132" w:lineRule="exact"/>
                              <w:ind w:left="20"/>
                              <w:rPr>
                                <w:rFonts w:ascii="宋体" w:hAnsi="宋体" w:eastAsia="宋体" w:cs="宋体"/>
                                <w:sz w:val="10"/>
                                <w:szCs w:val="10"/>
                              </w:rPr>
                            </w:pPr>
                            <w:r>
                              <w:rPr>
                                <w:rFonts w:ascii="宋体" w:hAnsi="宋体" w:eastAsia="宋体" w:cs="宋体"/>
                                <w:color w:val="030303"/>
                                <w:sz w:val="10"/>
                                <w:szCs w:val="10"/>
                              </w:rPr>
                              <w:t>2012</w:t>
                            </w:r>
                          </w:p>
                          <w:p w14:paraId="1E04E75B">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2014</w:t>
                            </w:r>
                          </w:p>
                          <w:p w14:paraId="22F5FC96">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2016</w:t>
                            </w:r>
                          </w:p>
                          <w:p w14:paraId="26E01A0E">
                            <w:pPr>
                              <w:spacing w:before="56" w:line="133" w:lineRule="exact"/>
                              <w:ind w:left="20"/>
                              <w:rPr>
                                <w:rFonts w:ascii="宋体" w:hAnsi="宋体" w:eastAsia="宋体" w:cs="宋体"/>
                                <w:sz w:val="10"/>
                                <w:szCs w:val="10"/>
                              </w:rPr>
                            </w:pPr>
                            <w:r>
                              <w:rPr>
                                <w:rFonts w:ascii="宋体" w:hAnsi="宋体" w:eastAsia="宋体" w:cs="宋体"/>
                                <w:color w:val="030303"/>
                                <w:sz w:val="10"/>
                                <w:szCs w:val="10"/>
                              </w:rPr>
                              <w:t>2018</w:t>
                            </w:r>
                          </w:p>
                          <w:p w14:paraId="7C0B43A3">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2020</w:t>
                            </w:r>
                          </w:p>
                          <w:p w14:paraId="3EB487A1">
                            <w:pPr>
                              <w:spacing w:before="80" w:line="133" w:lineRule="exact"/>
                              <w:ind w:left="20"/>
                              <w:rPr>
                                <w:rFonts w:ascii="宋体" w:hAnsi="宋体" w:eastAsia="宋体" w:cs="宋体"/>
                                <w:sz w:val="10"/>
                                <w:szCs w:val="10"/>
                              </w:rPr>
                            </w:pPr>
                            <w:r>
                              <w:rPr>
                                <w:rFonts w:ascii="宋体" w:hAnsi="宋体" w:eastAsia="宋体" w:cs="宋体"/>
                                <w:color w:val="030303"/>
                                <w:sz w:val="10"/>
                                <w:szCs w:val="10"/>
                              </w:rPr>
                              <w:t>2022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46" o:spid="_x0000_s1026" o:spt="202" type="#_x0000_t202" style="position:absolute;left:0pt;margin-left:268.5pt;margin-top:-142.75pt;height:295.75pt;width:12.05pt;rotation:-5898240f;z-index:251712512;mso-width-relative:page;mso-height-relative:page;" filled="f" stroked="f" coordsize="21600,21600" o:gfxdata="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kdd8jbAAAA&#10;DAEAAA8AAAAAAAAAAQAgAAAAIgAAAGRycy9kb3ducmV2LnhtbFBLAQIUABQAAAAIAIdO4kBIC9Bi&#10;UwIAAKYEAAAOAAAAAAAAAAEAIAAAACoBAABkcnMvZTJvRG9jLnhtbFBLBQYAAAAABgAGAFkBAADv&#10;BQAAAAA=&#10;">
                <v:fill on="f" focussize="0,0"/>
                <v:stroke on="f" weight="0pt" miterlimit="0" joinstyle="miter"/>
                <v:imagedata o:title=""/>
                <o:lock v:ext="edit" aspectratio="f"/>
                <v:textbox inset="0mm,0mm,0mm,0mm">
                  <w:txbxContent>
                    <w:p w14:paraId="3160CD1F">
                      <w:pPr>
                        <w:spacing w:before="20" w:line="132" w:lineRule="exact"/>
                        <w:ind w:left="26"/>
                        <w:rPr>
                          <w:rFonts w:ascii="宋体" w:hAnsi="宋体" w:eastAsia="宋体" w:cs="宋体"/>
                          <w:sz w:val="10"/>
                          <w:szCs w:val="10"/>
                        </w:rPr>
                      </w:pPr>
                      <w:r>
                        <w:rPr>
                          <w:rFonts w:ascii="宋体" w:hAnsi="宋体" w:eastAsia="宋体" w:cs="宋体"/>
                          <w:color w:val="030303"/>
                          <w:spacing w:val="-2"/>
                          <w:sz w:val="10"/>
                          <w:szCs w:val="10"/>
                        </w:rPr>
                        <w:t>1960</w:t>
                      </w:r>
                    </w:p>
                    <w:p w14:paraId="2DE96119">
                      <w:pPr>
                        <w:spacing w:before="50" w:line="132" w:lineRule="exact"/>
                        <w:ind w:left="26"/>
                        <w:rPr>
                          <w:rFonts w:ascii="宋体" w:hAnsi="宋体" w:eastAsia="宋体" w:cs="宋体"/>
                          <w:sz w:val="10"/>
                          <w:szCs w:val="10"/>
                        </w:rPr>
                      </w:pPr>
                      <w:r>
                        <w:rPr>
                          <w:rFonts w:ascii="宋体" w:hAnsi="宋体" w:eastAsia="宋体" w:cs="宋体"/>
                          <w:color w:val="030303"/>
                          <w:spacing w:val="-2"/>
                          <w:sz w:val="10"/>
                          <w:szCs w:val="10"/>
                        </w:rPr>
                        <w:t>1962</w:t>
                      </w:r>
                    </w:p>
                    <w:p w14:paraId="47C09E5A">
                      <w:pPr>
                        <w:spacing w:before="55" w:line="133" w:lineRule="exact"/>
                        <w:ind w:left="26"/>
                        <w:rPr>
                          <w:rFonts w:ascii="宋体" w:hAnsi="宋体" w:eastAsia="宋体" w:cs="宋体"/>
                          <w:sz w:val="10"/>
                          <w:szCs w:val="10"/>
                        </w:rPr>
                      </w:pPr>
                      <w:r>
                        <w:rPr>
                          <w:rFonts w:ascii="宋体" w:hAnsi="宋体" w:eastAsia="宋体" w:cs="宋体"/>
                          <w:color w:val="030303"/>
                          <w:spacing w:val="-2"/>
                          <w:sz w:val="10"/>
                          <w:szCs w:val="10"/>
                        </w:rPr>
                        <w:t>1964</w:t>
                      </w:r>
                    </w:p>
                    <w:p w14:paraId="2325F689">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1966</w:t>
                      </w:r>
                    </w:p>
                    <w:p w14:paraId="76496969">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1968</w:t>
                      </w:r>
                    </w:p>
                    <w:p w14:paraId="31274151">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1970</w:t>
                      </w:r>
                    </w:p>
                    <w:p w14:paraId="2CE57960">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1972</w:t>
                      </w:r>
                    </w:p>
                    <w:p w14:paraId="55BF498D">
                      <w:pPr>
                        <w:spacing w:before="56" w:line="132" w:lineRule="exact"/>
                        <w:ind w:left="26"/>
                        <w:rPr>
                          <w:rFonts w:ascii="宋体" w:hAnsi="宋体" w:eastAsia="宋体" w:cs="宋体"/>
                          <w:sz w:val="10"/>
                          <w:szCs w:val="10"/>
                        </w:rPr>
                      </w:pPr>
                      <w:r>
                        <w:rPr>
                          <w:rFonts w:ascii="宋体" w:hAnsi="宋体" w:eastAsia="宋体" w:cs="宋体"/>
                          <w:color w:val="030303"/>
                          <w:spacing w:val="-2"/>
                          <w:sz w:val="10"/>
                          <w:szCs w:val="10"/>
                        </w:rPr>
                        <w:t>1974</w:t>
                      </w:r>
                    </w:p>
                    <w:p w14:paraId="33B06206">
                      <w:pPr>
                        <w:spacing w:before="51" w:line="132" w:lineRule="exact"/>
                        <w:ind w:left="26"/>
                        <w:rPr>
                          <w:rFonts w:ascii="宋体" w:hAnsi="宋体" w:eastAsia="宋体" w:cs="宋体"/>
                          <w:sz w:val="10"/>
                          <w:szCs w:val="10"/>
                        </w:rPr>
                      </w:pPr>
                      <w:r>
                        <w:rPr>
                          <w:rFonts w:ascii="宋体" w:hAnsi="宋体" w:eastAsia="宋体" w:cs="宋体"/>
                          <w:color w:val="030303"/>
                          <w:spacing w:val="-2"/>
                          <w:sz w:val="10"/>
                          <w:szCs w:val="10"/>
                        </w:rPr>
                        <w:t>1976</w:t>
                      </w:r>
                    </w:p>
                    <w:p w14:paraId="655C237D">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1978</w:t>
                      </w:r>
                    </w:p>
                    <w:p w14:paraId="60275F76">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1980</w:t>
                      </w:r>
                    </w:p>
                    <w:p w14:paraId="1F38C8CC">
                      <w:pPr>
                        <w:spacing w:before="56" w:line="133" w:lineRule="exact"/>
                        <w:ind w:left="26"/>
                        <w:rPr>
                          <w:rFonts w:ascii="宋体" w:hAnsi="宋体" w:eastAsia="宋体" w:cs="宋体"/>
                          <w:sz w:val="10"/>
                          <w:szCs w:val="10"/>
                        </w:rPr>
                      </w:pPr>
                      <w:r>
                        <w:rPr>
                          <w:rFonts w:ascii="宋体" w:hAnsi="宋体" w:eastAsia="宋体" w:cs="宋体"/>
                          <w:color w:val="030303"/>
                          <w:spacing w:val="-2"/>
                          <w:sz w:val="10"/>
                          <w:szCs w:val="10"/>
                        </w:rPr>
                        <w:t>1982</w:t>
                      </w:r>
                    </w:p>
                    <w:p w14:paraId="6BC9585E">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1984</w:t>
                      </w:r>
                    </w:p>
                    <w:p w14:paraId="59C34284">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1986</w:t>
                      </w:r>
                    </w:p>
                    <w:p w14:paraId="4C641628">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1988</w:t>
                      </w:r>
                    </w:p>
                    <w:p w14:paraId="52B59EEA">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1990</w:t>
                      </w:r>
                    </w:p>
                    <w:p w14:paraId="365B6E51">
                      <w:pPr>
                        <w:spacing w:before="56" w:line="132" w:lineRule="exact"/>
                        <w:ind w:left="26"/>
                        <w:rPr>
                          <w:rFonts w:ascii="宋体" w:hAnsi="宋体" w:eastAsia="宋体" w:cs="宋体"/>
                          <w:sz w:val="10"/>
                          <w:szCs w:val="10"/>
                        </w:rPr>
                      </w:pPr>
                      <w:r>
                        <w:rPr>
                          <w:rFonts w:ascii="宋体" w:hAnsi="宋体" w:eastAsia="宋体" w:cs="宋体"/>
                          <w:color w:val="030303"/>
                          <w:spacing w:val="-2"/>
                          <w:sz w:val="10"/>
                          <w:szCs w:val="10"/>
                        </w:rPr>
                        <w:t>1992</w:t>
                      </w:r>
                    </w:p>
                    <w:p w14:paraId="530354C7">
                      <w:pPr>
                        <w:spacing w:before="51" w:line="132" w:lineRule="exact"/>
                        <w:ind w:left="26"/>
                        <w:rPr>
                          <w:rFonts w:ascii="宋体" w:hAnsi="宋体" w:eastAsia="宋体" w:cs="宋体"/>
                          <w:sz w:val="10"/>
                          <w:szCs w:val="10"/>
                        </w:rPr>
                      </w:pPr>
                      <w:r>
                        <w:rPr>
                          <w:rFonts w:ascii="宋体" w:hAnsi="宋体" w:eastAsia="宋体" w:cs="宋体"/>
                          <w:color w:val="030303"/>
                          <w:spacing w:val="-2"/>
                          <w:sz w:val="10"/>
                          <w:szCs w:val="10"/>
                        </w:rPr>
                        <w:t>1994</w:t>
                      </w:r>
                    </w:p>
                    <w:p w14:paraId="72E32581">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1996</w:t>
                      </w:r>
                    </w:p>
                    <w:p w14:paraId="5525F615">
                      <w:pPr>
                        <w:spacing w:before="50" w:line="133" w:lineRule="exact"/>
                        <w:ind w:left="26"/>
                        <w:rPr>
                          <w:rFonts w:ascii="宋体" w:hAnsi="宋体" w:eastAsia="宋体" w:cs="宋体"/>
                          <w:sz w:val="10"/>
                          <w:szCs w:val="10"/>
                        </w:rPr>
                      </w:pPr>
                      <w:r>
                        <w:rPr>
                          <w:rFonts w:ascii="宋体" w:hAnsi="宋体" w:eastAsia="宋体" w:cs="宋体"/>
                          <w:color w:val="030303"/>
                          <w:spacing w:val="-2"/>
                          <w:sz w:val="10"/>
                          <w:szCs w:val="10"/>
                        </w:rPr>
                        <w:t>1998</w:t>
                      </w:r>
                    </w:p>
                    <w:p w14:paraId="45E0F360">
                      <w:pPr>
                        <w:spacing w:before="56" w:line="133" w:lineRule="exact"/>
                        <w:ind w:left="20"/>
                        <w:rPr>
                          <w:rFonts w:ascii="宋体" w:hAnsi="宋体" w:eastAsia="宋体" w:cs="宋体"/>
                          <w:sz w:val="10"/>
                          <w:szCs w:val="10"/>
                        </w:rPr>
                      </w:pPr>
                      <w:r>
                        <w:rPr>
                          <w:rFonts w:ascii="宋体" w:hAnsi="宋体" w:eastAsia="宋体" w:cs="宋体"/>
                          <w:color w:val="030303"/>
                          <w:sz w:val="10"/>
                          <w:szCs w:val="10"/>
                        </w:rPr>
                        <w:t>2000</w:t>
                      </w:r>
                    </w:p>
                    <w:p w14:paraId="65C7C4C3">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2002</w:t>
                      </w:r>
                    </w:p>
                    <w:p w14:paraId="1894B960">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2004</w:t>
                      </w:r>
                    </w:p>
                    <w:p w14:paraId="3CC5041F">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2006</w:t>
                      </w:r>
                    </w:p>
                    <w:p w14:paraId="10E244B1">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2008</w:t>
                      </w:r>
                    </w:p>
                    <w:p w14:paraId="7F1178CA">
                      <w:pPr>
                        <w:spacing w:before="56" w:line="132" w:lineRule="exact"/>
                        <w:ind w:left="20"/>
                        <w:rPr>
                          <w:rFonts w:ascii="宋体" w:hAnsi="宋体" w:eastAsia="宋体" w:cs="宋体"/>
                          <w:sz w:val="10"/>
                          <w:szCs w:val="10"/>
                        </w:rPr>
                      </w:pPr>
                      <w:r>
                        <w:rPr>
                          <w:rFonts w:ascii="宋体" w:hAnsi="宋体" w:eastAsia="宋体" w:cs="宋体"/>
                          <w:color w:val="030303"/>
                          <w:sz w:val="10"/>
                          <w:szCs w:val="10"/>
                        </w:rPr>
                        <w:t>2010</w:t>
                      </w:r>
                    </w:p>
                    <w:p w14:paraId="24348028">
                      <w:pPr>
                        <w:spacing w:before="51" w:line="132" w:lineRule="exact"/>
                        <w:ind w:left="20"/>
                        <w:rPr>
                          <w:rFonts w:ascii="宋体" w:hAnsi="宋体" w:eastAsia="宋体" w:cs="宋体"/>
                          <w:sz w:val="10"/>
                          <w:szCs w:val="10"/>
                        </w:rPr>
                      </w:pPr>
                      <w:r>
                        <w:rPr>
                          <w:rFonts w:ascii="宋体" w:hAnsi="宋体" w:eastAsia="宋体" w:cs="宋体"/>
                          <w:color w:val="030303"/>
                          <w:sz w:val="10"/>
                          <w:szCs w:val="10"/>
                        </w:rPr>
                        <w:t>2012</w:t>
                      </w:r>
                    </w:p>
                    <w:p w14:paraId="1E04E75B">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2014</w:t>
                      </w:r>
                    </w:p>
                    <w:p w14:paraId="22F5FC96">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2016</w:t>
                      </w:r>
                    </w:p>
                    <w:p w14:paraId="26E01A0E">
                      <w:pPr>
                        <w:spacing w:before="56" w:line="133" w:lineRule="exact"/>
                        <w:ind w:left="20"/>
                        <w:rPr>
                          <w:rFonts w:ascii="宋体" w:hAnsi="宋体" w:eastAsia="宋体" w:cs="宋体"/>
                          <w:sz w:val="10"/>
                          <w:szCs w:val="10"/>
                        </w:rPr>
                      </w:pPr>
                      <w:r>
                        <w:rPr>
                          <w:rFonts w:ascii="宋体" w:hAnsi="宋体" w:eastAsia="宋体" w:cs="宋体"/>
                          <w:color w:val="030303"/>
                          <w:sz w:val="10"/>
                          <w:szCs w:val="10"/>
                        </w:rPr>
                        <w:t>2018</w:t>
                      </w:r>
                    </w:p>
                    <w:p w14:paraId="7C0B43A3">
                      <w:pPr>
                        <w:spacing w:before="50" w:line="133" w:lineRule="exact"/>
                        <w:ind w:left="20"/>
                        <w:rPr>
                          <w:rFonts w:ascii="宋体" w:hAnsi="宋体" w:eastAsia="宋体" w:cs="宋体"/>
                          <w:sz w:val="10"/>
                          <w:szCs w:val="10"/>
                        </w:rPr>
                      </w:pPr>
                      <w:r>
                        <w:rPr>
                          <w:rFonts w:ascii="宋体" w:hAnsi="宋体" w:eastAsia="宋体" w:cs="宋体"/>
                          <w:color w:val="030303"/>
                          <w:sz w:val="10"/>
                          <w:szCs w:val="10"/>
                        </w:rPr>
                        <w:t>2020</w:t>
                      </w:r>
                    </w:p>
                    <w:p w14:paraId="3EB487A1">
                      <w:pPr>
                        <w:spacing w:before="80" w:line="133" w:lineRule="exact"/>
                        <w:ind w:left="20"/>
                        <w:rPr>
                          <w:rFonts w:ascii="宋体" w:hAnsi="宋体" w:eastAsia="宋体" w:cs="宋体"/>
                          <w:sz w:val="10"/>
                          <w:szCs w:val="10"/>
                        </w:rPr>
                      </w:pPr>
                      <w:r>
                        <w:rPr>
                          <w:rFonts w:ascii="宋体" w:hAnsi="宋体" w:eastAsia="宋体" w:cs="宋体"/>
                          <w:color w:val="030303"/>
                          <w:sz w:val="10"/>
                          <w:szCs w:val="10"/>
                        </w:rPr>
                        <w:t>2022</w:t>
                      </w:r>
                    </w:p>
                  </w:txbxContent>
                </v:textbox>
              </v:shape>
            </w:pict>
          </mc:Fallback>
        </mc:AlternateContent>
      </w:r>
    </w:p>
    <w:p w14:paraId="077004F5">
      <w:pPr>
        <w:spacing w:before="33" w:line="224" w:lineRule="auto"/>
        <w:ind w:left="4303"/>
        <w:rPr>
          <w:rFonts w:ascii="宋体" w:hAnsi="宋体" w:eastAsia="宋体" w:cs="宋体"/>
          <w:sz w:val="10"/>
          <w:szCs w:val="10"/>
        </w:rPr>
      </w:pPr>
      <w:r>
        <w:rPr>
          <w:rFonts w:ascii="宋体" w:hAnsi="宋体" w:eastAsia="宋体" w:cs="宋体"/>
          <w:color w:val="030303"/>
          <w:sz w:val="10"/>
          <w:szCs w:val="10"/>
        </w:rPr>
        <w:drawing>
          <wp:inline distT="0" distB="0" distL="0" distR="0">
            <wp:extent cx="140970" cy="32385"/>
            <wp:effectExtent l="0" t="0" r="11430" b="5715"/>
            <wp:docPr id="419" name="IM 48"/>
            <wp:cNvGraphicFramePr/>
            <a:graphic xmlns:a="http://schemas.openxmlformats.org/drawingml/2006/main">
              <a:graphicData uri="http://schemas.openxmlformats.org/drawingml/2006/picture">
                <pic:pic xmlns:pic="http://schemas.openxmlformats.org/drawingml/2006/picture">
                  <pic:nvPicPr>
                    <pic:cNvPr id="419" name="IM 48"/>
                    <pic:cNvPicPr/>
                  </pic:nvPicPr>
                  <pic:blipFill>
                    <a:blip r:embed="rId97"/>
                    <a:stretch>
                      <a:fillRect/>
                    </a:stretch>
                  </pic:blipFill>
                  <pic:spPr>
                    <a:xfrm>
                      <a:off x="0" y="0"/>
                      <a:ext cx="141578" cy="32690"/>
                    </a:xfrm>
                    <a:prstGeom prst="rect">
                      <a:avLst/>
                    </a:prstGeom>
                  </pic:spPr>
                </pic:pic>
              </a:graphicData>
            </a:graphic>
          </wp:inline>
        </w:drawing>
      </w:r>
      <w:r>
        <w:rPr>
          <w:rFonts w:ascii="宋体" w:hAnsi="宋体" w:eastAsia="宋体" w:cs="宋体"/>
          <w:color w:val="030303"/>
          <w:spacing w:val="-17"/>
          <w:sz w:val="10"/>
          <w:szCs w:val="10"/>
        </w:rPr>
        <w:t xml:space="preserve"> </w:t>
      </w:r>
      <w:r>
        <w:rPr>
          <w:rFonts w:ascii="宋体" w:hAnsi="宋体" w:eastAsia="宋体" w:cs="宋体"/>
          <w:color w:val="030303"/>
          <w:spacing w:val="-2"/>
          <w:sz w:val="10"/>
          <w:szCs w:val="10"/>
        </w:rPr>
        <w:t>美国</w:t>
      </w:r>
      <w:r>
        <w:rPr>
          <w:rFonts w:ascii="宋体" w:hAnsi="宋体" w:eastAsia="宋体" w:cs="宋体"/>
          <w:color w:val="030303"/>
          <w:spacing w:val="4"/>
          <w:sz w:val="10"/>
          <w:szCs w:val="10"/>
        </w:rPr>
        <w:t xml:space="preserve">     </w:t>
      </w:r>
      <w:r>
        <w:rPr>
          <w:position w:val="1"/>
          <w:sz w:val="10"/>
          <w:szCs w:val="10"/>
        </w:rPr>
        <w:drawing>
          <wp:inline distT="0" distB="0" distL="0" distR="0">
            <wp:extent cx="140970" cy="28575"/>
            <wp:effectExtent l="0" t="0" r="11430" b="9525"/>
            <wp:docPr id="420" name="IM 50"/>
            <wp:cNvGraphicFramePr/>
            <a:graphic xmlns:a="http://schemas.openxmlformats.org/drawingml/2006/main">
              <a:graphicData uri="http://schemas.openxmlformats.org/drawingml/2006/picture">
                <pic:pic xmlns:pic="http://schemas.openxmlformats.org/drawingml/2006/picture">
                  <pic:nvPicPr>
                    <pic:cNvPr id="420" name="IM 50"/>
                    <pic:cNvPicPr/>
                  </pic:nvPicPr>
                  <pic:blipFill>
                    <a:blip r:embed="rId98"/>
                    <a:stretch>
                      <a:fillRect/>
                    </a:stretch>
                  </pic:blipFill>
                  <pic:spPr>
                    <a:xfrm>
                      <a:off x="0" y="0"/>
                      <a:ext cx="141578" cy="29057"/>
                    </a:xfrm>
                    <a:prstGeom prst="rect">
                      <a:avLst/>
                    </a:prstGeom>
                  </pic:spPr>
                </pic:pic>
              </a:graphicData>
            </a:graphic>
          </wp:inline>
        </w:drawing>
      </w:r>
      <w:r>
        <w:rPr>
          <w:rFonts w:ascii="宋体" w:hAnsi="宋体" w:eastAsia="宋体" w:cs="宋体"/>
          <w:color w:val="030303"/>
          <w:spacing w:val="-1"/>
          <w:sz w:val="10"/>
          <w:szCs w:val="10"/>
        </w:rPr>
        <w:t xml:space="preserve"> </w:t>
      </w:r>
      <w:r>
        <w:rPr>
          <w:rFonts w:ascii="宋体" w:hAnsi="宋体" w:eastAsia="宋体" w:cs="宋体"/>
          <w:color w:val="030303"/>
          <w:spacing w:val="-2"/>
          <w:sz w:val="10"/>
          <w:szCs w:val="10"/>
        </w:rPr>
        <w:t>日本</w:t>
      </w:r>
      <w:r>
        <w:rPr>
          <w:rFonts w:ascii="宋体" w:hAnsi="宋体" w:eastAsia="宋体" w:cs="宋体"/>
          <w:color w:val="030303"/>
          <w:spacing w:val="4"/>
          <w:sz w:val="10"/>
          <w:szCs w:val="10"/>
        </w:rPr>
        <w:t xml:space="preserve">     </w:t>
      </w:r>
      <w:r>
        <w:rPr>
          <w:sz w:val="10"/>
          <w:szCs w:val="10"/>
        </w:rPr>
        <w:drawing>
          <wp:inline distT="0" distB="0" distL="0" distR="0">
            <wp:extent cx="140970" cy="32385"/>
            <wp:effectExtent l="0" t="0" r="11430" b="5715"/>
            <wp:docPr id="421" name="IM 52"/>
            <wp:cNvGraphicFramePr/>
            <a:graphic xmlns:a="http://schemas.openxmlformats.org/drawingml/2006/main">
              <a:graphicData uri="http://schemas.openxmlformats.org/drawingml/2006/picture">
                <pic:pic xmlns:pic="http://schemas.openxmlformats.org/drawingml/2006/picture">
                  <pic:nvPicPr>
                    <pic:cNvPr id="421" name="IM 52"/>
                    <pic:cNvPicPr/>
                  </pic:nvPicPr>
                  <pic:blipFill>
                    <a:blip r:embed="rId99"/>
                    <a:stretch>
                      <a:fillRect/>
                    </a:stretch>
                  </pic:blipFill>
                  <pic:spPr>
                    <a:xfrm>
                      <a:off x="0" y="0"/>
                      <a:ext cx="141578" cy="32690"/>
                    </a:xfrm>
                    <a:prstGeom prst="rect">
                      <a:avLst/>
                    </a:prstGeom>
                  </pic:spPr>
                </pic:pic>
              </a:graphicData>
            </a:graphic>
          </wp:inline>
        </w:drawing>
      </w:r>
      <w:r>
        <w:rPr>
          <w:rFonts w:ascii="宋体" w:hAnsi="宋体" w:eastAsia="宋体" w:cs="宋体"/>
          <w:color w:val="030303"/>
          <w:spacing w:val="-18"/>
          <w:sz w:val="10"/>
          <w:szCs w:val="10"/>
        </w:rPr>
        <w:t xml:space="preserve"> </w:t>
      </w:r>
      <w:r>
        <w:rPr>
          <w:rFonts w:ascii="宋体" w:hAnsi="宋体" w:eastAsia="宋体" w:cs="宋体"/>
          <w:color w:val="030303"/>
          <w:spacing w:val="-2"/>
          <w:sz w:val="10"/>
          <w:szCs w:val="10"/>
        </w:rPr>
        <w:t>德国</w:t>
      </w:r>
      <w:r>
        <w:rPr>
          <w:rFonts w:ascii="宋体" w:hAnsi="宋体" w:eastAsia="宋体" w:cs="宋体"/>
          <w:color w:val="030303"/>
          <w:spacing w:val="4"/>
          <w:sz w:val="10"/>
          <w:szCs w:val="10"/>
        </w:rPr>
        <w:t xml:space="preserve">     </w:t>
      </w:r>
      <w:r>
        <w:rPr>
          <w:position w:val="1"/>
          <w:sz w:val="10"/>
          <w:szCs w:val="10"/>
        </w:rPr>
        <w:drawing>
          <wp:inline distT="0" distB="0" distL="0" distR="0">
            <wp:extent cx="140970" cy="28575"/>
            <wp:effectExtent l="0" t="0" r="11430" b="9525"/>
            <wp:docPr id="422" name="IM 54"/>
            <wp:cNvGraphicFramePr/>
            <a:graphic xmlns:a="http://schemas.openxmlformats.org/drawingml/2006/main">
              <a:graphicData uri="http://schemas.openxmlformats.org/drawingml/2006/picture">
                <pic:pic xmlns:pic="http://schemas.openxmlformats.org/drawingml/2006/picture">
                  <pic:nvPicPr>
                    <pic:cNvPr id="422" name="IM 54"/>
                    <pic:cNvPicPr/>
                  </pic:nvPicPr>
                  <pic:blipFill>
                    <a:blip r:embed="rId100"/>
                    <a:stretch>
                      <a:fillRect/>
                    </a:stretch>
                  </pic:blipFill>
                  <pic:spPr>
                    <a:xfrm>
                      <a:off x="0" y="0"/>
                      <a:ext cx="141578" cy="29057"/>
                    </a:xfrm>
                    <a:prstGeom prst="rect">
                      <a:avLst/>
                    </a:prstGeom>
                  </pic:spPr>
                </pic:pic>
              </a:graphicData>
            </a:graphic>
          </wp:inline>
        </w:drawing>
      </w:r>
      <w:r>
        <w:rPr>
          <w:rFonts w:ascii="宋体" w:hAnsi="宋体" w:eastAsia="宋体" w:cs="宋体"/>
          <w:color w:val="030303"/>
          <w:spacing w:val="-19"/>
          <w:sz w:val="10"/>
          <w:szCs w:val="10"/>
        </w:rPr>
        <w:t xml:space="preserve"> </w:t>
      </w:r>
      <w:r>
        <w:rPr>
          <w:rFonts w:ascii="宋体" w:hAnsi="宋体" w:eastAsia="宋体" w:cs="宋体"/>
          <w:color w:val="030303"/>
          <w:spacing w:val="-2"/>
          <w:sz w:val="10"/>
          <w:szCs w:val="10"/>
        </w:rPr>
        <w:t>英国</w:t>
      </w:r>
    </w:p>
    <w:p w14:paraId="623239FE">
      <w:pPr>
        <w:bidi w:val="0"/>
        <w:jc w:val="center"/>
        <w:rPr>
          <w:rFonts w:ascii="微软雅黑" w:hAnsi="微软雅黑" w:eastAsia="微软雅黑" w:cs="微软雅黑"/>
          <w:sz w:val="21"/>
          <w:szCs w:val="21"/>
        </w:rPr>
      </w:pPr>
      <w:r>
        <w:rPr>
          <w:rFonts w:ascii="微软雅黑" w:hAnsi="微软雅黑" w:eastAsia="微软雅黑" w:cs="微软雅黑"/>
          <w:color w:val="231F20"/>
          <w:spacing w:val="-5"/>
          <w:sz w:val="21"/>
          <w:szCs w:val="21"/>
        </w:rPr>
        <w:t xml:space="preserve">图 </w:t>
      </w:r>
      <w:r>
        <w:rPr>
          <w:color w:val="231F20"/>
          <w:spacing w:val="-5"/>
          <w:sz w:val="21"/>
          <w:szCs w:val="21"/>
        </w:rPr>
        <w:t>5</w:t>
      </w:r>
      <w:r>
        <w:rPr>
          <w:color w:val="231F20"/>
          <w:spacing w:val="12"/>
          <w:sz w:val="21"/>
          <w:szCs w:val="21"/>
        </w:rPr>
        <w:t xml:space="preserve">  </w:t>
      </w:r>
      <w:r>
        <w:rPr>
          <w:color w:val="231F20"/>
          <w:spacing w:val="-5"/>
          <w:sz w:val="21"/>
          <w:szCs w:val="21"/>
        </w:rPr>
        <w:t>1960</w:t>
      </w:r>
      <w:r>
        <w:rPr>
          <w:color w:val="231F20"/>
          <w:spacing w:val="13"/>
          <w:sz w:val="21"/>
          <w:szCs w:val="21"/>
        </w:rPr>
        <w:t xml:space="preserve"> </w:t>
      </w:r>
      <w:r>
        <w:rPr>
          <w:rFonts w:ascii="微软雅黑" w:hAnsi="微软雅黑" w:eastAsia="微软雅黑" w:cs="微软雅黑"/>
          <w:color w:val="231F20"/>
          <w:spacing w:val="-5"/>
          <w:sz w:val="21"/>
          <w:szCs w:val="21"/>
        </w:rPr>
        <w:t xml:space="preserve">年至 </w:t>
      </w:r>
      <w:r>
        <w:rPr>
          <w:color w:val="231F20"/>
          <w:spacing w:val="-5"/>
          <w:sz w:val="21"/>
          <w:szCs w:val="21"/>
        </w:rPr>
        <w:t>2022</w:t>
      </w:r>
      <w:r>
        <w:rPr>
          <w:color w:val="231F20"/>
          <w:spacing w:val="12"/>
          <w:sz w:val="21"/>
          <w:szCs w:val="21"/>
        </w:rPr>
        <w:t xml:space="preserve"> </w:t>
      </w:r>
      <w:r>
        <w:rPr>
          <w:rFonts w:ascii="微软雅黑" w:hAnsi="微软雅黑" w:eastAsia="微软雅黑" w:cs="微软雅黑"/>
          <w:color w:val="231F20"/>
          <w:spacing w:val="-5"/>
          <w:sz w:val="21"/>
          <w:szCs w:val="21"/>
        </w:rPr>
        <w:t xml:space="preserve">年中国与四大发达经济体人均收入之比（ </w:t>
      </w:r>
      <w:r>
        <w:rPr>
          <w:color w:val="231F20"/>
          <w:spacing w:val="-6"/>
          <w:sz w:val="21"/>
          <w:szCs w:val="21"/>
        </w:rPr>
        <w:t xml:space="preserve">% </w:t>
      </w:r>
      <w:r>
        <w:rPr>
          <w:rFonts w:ascii="微软雅黑" w:hAnsi="微软雅黑" w:eastAsia="微软雅黑" w:cs="微软雅黑"/>
          <w:color w:val="231F20"/>
          <w:spacing w:val="-6"/>
          <w:sz w:val="21"/>
          <w:szCs w:val="21"/>
        </w:rPr>
        <w:t>）动态变化</w:t>
      </w:r>
    </w:p>
    <w:p w14:paraId="59021D26">
      <w:pPr>
        <w:pStyle w:val="6"/>
        <w:spacing w:before="151" w:line="282" w:lineRule="auto"/>
        <w:ind w:left="875" w:right="89" w:firstLine="418"/>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 xml:space="preserve">但是，在 </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年，中美人均收入之比（按现价美元计算）的变化</w:t>
      </w:r>
      <w:r>
        <w:rPr>
          <w:rFonts w:ascii="方正书宋简体" w:hAnsi="方正书宋简体" w:eastAsia="方正书宋简体" w:cs="方正书宋简体"/>
          <w:color w:val="231F20"/>
          <w:spacing w:val="-2"/>
          <w:sz w:val="21"/>
          <w:szCs w:val="21"/>
        </w:rPr>
        <w:t>趋势也出现了反转。</w:t>
      </w:r>
      <w:r>
        <w:rPr>
          <w:color w:val="231F20"/>
          <w:spacing w:val="-2"/>
          <w:sz w:val="21"/>
          <w:szCs w:val="21"/>
        </w:rPr>
        <w:t xml:space="preserve">2021 </w:t>
      </w:r>
      <w:r>
        <w:rPr>
          <w:rFonts w:ascii="方正书宋简体" w:hAnsi="方正书宋简体" w:eastAsia="方正书宋简体" w:cs="方正书宋简体"/>
          <w:color w:val="231F20"/>
          <w:spacing w:val="-2"/>
          <w:sz w:val="21"/>
          <w:szCs w:val="21"/>
        </w:rPr>
        <w:t>年，</w:t>
      </w:r>
      <w:r>
        <w:rPr>
          <w:rFonts w:ascii="方正书宋简体" w:hAnsi="方正书宋简体" w:eastAsia="方正书宋简体" w:cs="方正书宋简体"/>
          <w:color w:val="231F20"/>
          <w:spacing w:val="-1"/>
          <w:sz w:val="21"/>
          <w:szCs w:val="21"/>
        </w:rPr>
        <w:t xml:space="preserve">这个比例达到过去 </w:t>
      </w:r>
      <w:r>
        <w:rPr>
          <w:color w:val="231F20"/>
          <w:spacing w:val="-1"/>
          <w:sz w:val="21"/>
          <w:szCs w:val="21"/>
        </w:rPr>
        <w:t>60</w:t>
      </w:r>
      <w:r>
        <w:rPr>
          <w:rFonts w:ascii="方正书宋简体" w:hAnsi="方正书宋简体" w:eastAsia="方正书宋简体" w:cs="方正书宋简体"/>
          <w:color w:val="231F20"/>
          <w:spacing w:val="-1"/>
          <w:sz w:val="21"/>
          <w:szCs w:val="21"/>
        </w:rPr>
        <w:t>多年的高点</w:t>
      </w:r>
      <w:r>
        <w:rPr>
          <w:rFonts w:ascii="方正书宋简体" w:hAnsi="方正书宋简体" w:eastAsia="方正书宋简体" w:cs="方正书宋简体"/>
          <w:color w:val="231F20"/>
          <w:spacing w:val="21"/>
          <w:sz w:val="21"/>
          <w:szCs w:val="21"/>
        </w:rPr>
        <w:t xml:space="preserve"> </w:t>
      </w:r>
      <w:r>
        <w:rPr>
          <w:color w:val="231F20"/>
          <w:spacing w:val="-1"/>
          <w:sz w:val="21"/>
          <w:szCs w:val="21"/>
        </w:rPr>
        <w:t>17.97%</w:t>
      </w:r>
      <w:r>
        <w:rPr>
          <w:rFonts w:ascii="方正书宋简体" w:hAnsi="方正书宋简体" w:eastAsia="方正书宋简体" w:cs="方正书宋简体"/>
          <w:color w:val="231F20"/>
          <w:spacing w:val="-1"/>
          <w:sz w:val="21"/>
          <w:szCs w:val="21"/>
        </w:rPr>
        <w:t>，</w:t>
      </w:r>
      <w:r>
        <w:rPr>
          <w:color w:val="231F20"/>
          <w:spacing w:val="-1"/>
          <w:sz w:val="21"/>
          <w:szCs w:val="21"/>
        </w:rPr>
        <w:t xml:space="preserve">2022 </w:t>
      </w:r>
      <w:r>
        <w:rPr>
          <w:rFonts w:ascii="方正书宋简体" w:hAnsi="方正书宋简体" w:eastAsia="方正书宋简体" w:cs="方正书宋简体"/>
          <w:color w:val="231F20"/>
          <w:spacing w:val="-2"/>
          <w:sz w:val="21"/>
          <w:szCs w:val="21"/>
        </w:rPr>
        <w:t>年，这个比例大幅降至</w:t>
      </w:r>
      <w:r>
        <w:rPr>
          <w:rFonts w:ascii="方正书宋简体" w:hAnsi="方正书宋简体" w:eastAsia="方正书宋简体" w:cs="方正书宋简体"/>
          <w:color w:val="231F20"/>
          <w:spacing w:val="20"/>
          <w:w w:val="101"/>
          <w:sz w:val="21"/>
          <w:szCs w:val="21"/>
        </w:rPr>
        <w:t xml:space="preserve"> </w:t>
      </w:r>
      <w:r>
        <w:rPr>
          <w:color w:val="231F20"/>
          <w:spacing w:val="-2"/>
          <w:sz w:val="21"/>
          <w:szCs w:val="21"/>
        </w:rPr>
        <w:t>16.65%</w:t>
      </w:r>
      <w:r>
        <w:rPr>
          <w:rFonts w:ascii="方正书宋简体" w:hAnsi="方正书宋简体" w:eastAsia="方正书宋简体" w:cs="方正书宋简体"/>
          <w:color w:val="231F20"/>
          <w:spacing w:val="-2"/>
          <w:sz w:val="21"/>
          <w:szCs w:val="21"/>
        </w:rPr>
        <w:t xml:space="preserve">，接近 </w:t>
      </w:r>
      <w:r>
        <w:rPr>
          <w:color w:val="231F20"/>
          <w:spacing w:val="-2"/>
          <w:sz w:val="21"/>
          <w:szCs w:val="21"/>
        </w:rPr>
        <w:t xml:space="preserve">2020 </w:t>
      </w:r>
      <w:r>
        <w:rPr>
          <w:rFonts w:ascii="方正书宋简体" w:hAnsi="方正书宋简体" w:eastAsia="方正书宋简体" w:cs="方正书宋简体"/>
          <w:color w:val="231F20"/>
          <w:spacing w:val="-2"/>
          <w:sz w:val="21"/>
          <w:szCs w:val="21"/>
        </w:rPr>
        <w:t>年水平，</w:t>
      </w:r>
      <w:r>
        <w:rPr>
          <w:rFonts w:ascii="方正书宋简体" w:hAnsi="方正书宋简体" w:eastAsia="方正书宋简体" w:cs="方正书宋简体"/>
          <w:color w:val="231F20"/>
          <w:spacing w:val="1"/>
          <w:sz w:val="21"/>
          <w:szCs w:val="21"/>
        </w:rPr>
        <w:t>略高一些。不过，从购买力平价角度考虑，</w:t>
      </w:r>
      <w:r>
        <w:rPr>
          <w:rFonts w:ascii="方正书宋简体" w:hAnsi="方正书宋简体" w:eastAsia="方正书宋简体" w:cs="方正书宋简体"/>
          <w:color w:val="231F20"/>
          <w:spacing w:val="-23"/>
          <w:sz w:val="21"/>
          <w:szCs w:val="21"/>
        </w:rPr>
        <w:t xml:space="preserve"> </w:t>
      </w:r>
      <w:r>
        <w:rPr>
          <w:rFonts w:ascii="方正书宋简体" w:hAnsi="方正书宋简体" w:eastAsia="方正书宋简体" w:cs="方正书宋简体"/>
          <w:color w:val="231F20"/>
          <w:spacing w:val="1"/>
          <w:sz w:val="21"/>
          <w:szCs w:val="21"/>
        </w:rPr>
        <w:t xml:space="preserve">中美人均收入之比依然在提高。另外，据图 </w:t>
      </w:r>
      <w:r>
        <w:rPr>
          <w:color w:val="231F20"/>
          <w:spacing w:val="1"/>
          <w:sz w:val="21"/>
          <w:szCs w:val="21"/>
        </w:rPr>
        <w:t>5</w:t>
      </w:r>
      <w:r>
        <w:rPr>
          <w:color w:val="231F20"/>
          <w:sz w:val="21"/>
          <w:szCs w:val="21"/>
        </w:rPr>
        <w:t xml:space="preserve"> </w:t>
      </w:r>
      <w:r>
        <w:rPr>
          <w:rFonts w:ascii="方正书宋简体" w:hAnsi="方正书宋简体" w:eastAsia="方正书宋简体" w:cs="方正书宋简体"/>
          <w:color w:val="231F20"/>
          <w:sz w:val="21"/>
          <w:szCs w:val="21"/>
        </w:rPr>
        <w:t>显示，</w:t>
      </w:r>
      <w:r>
        <w:rPr>
          <w:rFonts w:ascii="方正书宋简体" w:hAnsi="方正书宋简体" w:eastAsia="方正书宋简体" w:cs="方正书宋简体"/>
          <w:color w:val="231F20"/>
          <w:spacing w:val="-28"/>
          <w:sz w:val="21"/>
          <w:szCs w:val="21"/>
        </w:rPr>
        <w:t xml:space="preserve"> </w:t>
      </w:r>
      <w:r>
        <w:rPr>
          <w:rFonts w:ascii="方正书宋简体" w:hAnsi="方正书宋简体" w:eastAsia="方正书宋简体" w:cs="方正书宋简体"/>
          <w:color w:val="231F20"/>
          <w:sz w:val="21"/>
          <w:szCs w:val="21"/>
        </w:rPr>
        <w:t>以</w:t>
      </w:r>
      <w:r>
        <w:rPr>
          <w:color w:val="231F20"/>
          <w:spacing w:val="-1"/>
          <w:sz w:val="21"/>
          <w:szCs w:val="21"/>
        </w:rPr>
        <w:t xml:space="preserve">2012 </w:t>
      </w:r>
      <w:r>
        <w:rPr>
          <w:rFonts w:ascii="方正书宋简体" w:hAnsi="方正书宋简体" w:eastAsia="方正书宋简体" w:cs="方正书宋简体"/>
          <w:color w:val="231F20"/>
          <w:spacing w:val="-1"/>
          <w:sz w:val="21"/>
          <w:szCs w:val="21"/>
        </w:rPr>
        <w:t>年为界，我国对日本、德国、英国人均收入之比增长幅度在此前</w:t>
      </w:r>
      <w:r>
        <w:rPr>
          <w:rFonts w:ascii="方正书宋简体" w:hAnsi="方正书宋简体" w:eastAsia="方正书宋简体" w:cs="方正书宋简体"/>
          <w:color w:val="231F20"/>
          <w:spacing w:val="30"/>
          <w:sz w:val="21"/>
          <w:szCs w:val="21"/>
        </w:rPr>
        <w:t xml:space="preserve"> </w:t>
      </w:r>
      <w:r>
        <w:rPr>
          <w:color w:val="231F20"/>
          <w:spacing w:val="-1"/>
          <w:sz w:val="21"/>
          <w:szCs w:val="21"/>
        </w:rPr>
        <w:t xml:space="preserve">10 </w:t>
      </w:r>
      <w:r>
        <w:rPr>
          <w:rFonts w:ascii="方正书宋简体" w:hAnsi="方正书宋简体" w:eastAsia="方正书宋简体" w:cs="方正书宋简体"/>
          <w:color w:val="231F20"/>
          <w:spacing w:val="-1"/>
          <w:sz w:val="21"/>
          <w:szCs w:val="21"/>
        </w:rPr>
        <w:t>年和此后</w:t>
      </w:r>
      <w:r>
        <w:rPr>
          <w:rFonts w:ascii="方正书宋简体" w:hAnsi="方正书宋简体" w:eastAsia="方正书宋简体" w:cs="方正书宋简体"/>
          <w:color w:val="231F20"/>
          <w:spacing w:val="25"/>
          <w:w w:val="101"/>
          <w:sz w:val="21"/>
          <w:szCs w:val="21"/>
        </w:rPr>
        <w:t xml:space="preserve"> </w:t>
      </w:r>
      <w:r>
        <w:rPr>
          <w:color w:val="231F20"/>
          <w:spacing w:val="-1"/>
          <w:sz w:val="21"/>
          <w:szCs w:val="21"/>
        </w:rPr>
        <w:t xml:space="preserve">10 </w:t>
      </w:r>
      <w:r>
        <w:rPr>
          <w:rFonts w:ascii="方正书宋简体" w:hAnsi="方正书宋简体" w:eastAsia="方正书宋简体" w:cs="方正书宋简体"/>
          <w:color w:val="231F20"/>
          <w:spacing w:val="-1"/>
          <w:sz w:val="21"/>
          <w:szCs w:val="21"/>
        </w:rPr>
        <w:t>年比较接</w:t>
      </w:r>
      <w:r>
        <w:rPr>
          <w:rFonts w:ascii="方正书宋简体" w:hAnsi="方正书宋简体" w:eastAsia="方正书宋简体" w:cs="方正书宋简体"/>
          <w:color w:val="231F20"/>
          <w:spacing w:val="-2"/>
          <w:sz w:val="21"/>
          <w:szCs w:val="21"/>
        </w:rPr>
        <w:t>近，</w:t>
      </w:r>
      <w:r>
        <w:rPr>
          <w:rFonts w:ascii="方正书宋简体" w:hAnsi="方正书宋简体" w:eastAsia="方正书宋简体" w:cs="方正书宋简体"/>
          <w:color w:val="231F20"/>
          <w:spacing w:val="-4"/>
          <w:sz w:val="21"/>
          <w:szCs w:val="21"/>
        </w:rPr>
        <w:t>但对美国人均收入之比在后一个</w:t>
      </w:r>
      <w:r>
        <w:rPr>
          <w:rFonts w:ascii="方正书宋简体" w:hAnsi="方正书宋简体" w:eastAsia="方正书宋简体" w:cs="方正书宋简体"/>
          <w:color w:val="231F20"/>
          <w:spacing w:val="28"/>
          <w:sz w:val="21"/>
          <w:szCs w:val="21"/>
        </w:rPr>
        <w:t xml:space="preserve"> </w:t>
      </w:r>
      <w:r>
        <w:rPr>
          <w:color w:val="231F20"/>
          <w:spacing w:val="-4"/>
          <w:sz w:val="21"/>
          <w:szCs w:val="21"/>
        </w:rPr>
        <w:t xml:space="preserve">10 </w:t>
      </w:r>
      <w:r>
        <w:rPr>
          <w:rFonts w:ascii="方正书宋简体" w:hAnsi="方正书宋简体" w:eastAsia="方正书宋简体" w:cs="方正书宋简体"/>
          <w:color w:val="231F20"/>
          <w:spacing w:val="-4"/>
          <w:sz w:val="21"/>
          <w:szCs w:val="21"/>
        </w:rPr>
        <w:t>年增速变慢了。近年，</w:t>
      </w:r>
      <w:r>
        <w:rPr>
          <w:rFonts w:ascii="方正书宋简体" w:hAnsi="方正书宋简体" w:eastAsia="方正书宋简体" w:cs="方正书宋简体"/>
          <w:color w:val="231F20"/>
          <w:spacing w:val="19"/>
          <w:sz w:val="21"/>
          <w:szCs w:val="21"/>
        </w:rPr>
        <w:t xml:space="preserve">  </w:t>
      </w:r>
      <w:r>
        <w:rPr>
          <w:rFonts w:ascii="方正书宋简体" w:hAnsi="方正书宋简体" w:eastAsia="方正书宋简体" w:cs="方正书宋简体"/>
          <w:color w:val="231F20"/>
          <w:spacing w:val="-4"/>
          <w:sz w:val="21"/>
          <w:szCs w:val="21"/>
        </w:rPr>
        <w:t>美国在国内通胀情形下把一部分美元转化</w:t>
      </w:r>
      <w:r>
        <w:rPr>
          <w:rFonts w:ascii="方正书宋简体" w:hAnsi="方正书宋简体" w:eastAsia="方正书宋简体" w:cs="方正书宋简体"/>
          <w:color w:val="231F20"/>
          <w:spacing w:val="-1"/>
          <w:sz w:val="21"/>
          <w:szCs w:val="21"/>
        </w:rPr>
        <w:t>为可与他国货币等值甚至超值交换的财富，我国追赶美国经济发展受到了美元升值的影响。</w:t>
      </w:r>
    </w:p>
    <w:p w14:paraId="55444B6E">
      <w:pPr>
        <w:bidi w:val="0"/>
      </w:pPr>
      <w:r>
        <w:t>（二）中国经济前景光明道路曲折</w:t>
      </w:r>
    </w:p>
    <w:p w14:paraId="24BEF827">
      <w:pPr>
        <w:spacing w:before="66" w:line="284" w:lineRule="auto"/>
        <w:ind w:left="1043" w:right="92" w:firstLine="423"/>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一国达到上中等收入水平后，即进入跨越“中等收入”的关键阶段。要想成为高收入国家甚至发达国家，必须依托经济较快增长以保持较快人均收入增长率。日本、韩国与我</w:t>
      </w:r>
      <w:r>
        <w:rPr>
          <w:rFonts w:ascii="方正书宋简体" w:hAnsi="方正书宋简体" w:eastAsia="方正书宋简体" w:cs="方正书宋简体"/>
          <w:color w:val="231F20"/>
          <w:spacing w:val="1"/>
          <w:sz w:val="21"/>
          <w:szCs w:val="21"/>
        </w:rPr>
        <w:t>国同处东亚，它们</w:t>
      </w:r>
      <w:r>
        <w:rPr>
          <w:rFonts w:ascii="方正书宋简体" w:hAnsi="方正书宋简体" w:eastAsia="方正书宋简体" w:cs="方正书宋简体"/>
          <w:color w:val="231F20"/>
          <w:spacing w:val="-1"/>
          <w:sz w:val="21"/>
          <w:szCs w:val="21"/>
        </w:rPr>
        <w:t>跨越“中等收入”后变成了发达国家。中国与日本和韩国具有三个共同点。</w:t>
      </w:r>
    </w:p>
    <w:p w14:paraId="185FE30D">
      <w:pPr>
        <w:pStyle w:val="6"/>
        <w:spacing w:before="4" w:line="283" w:lineRule="auto"/>
        <w:ind w:left="1045" w:firstLine="419"/>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z w:val="21"/>
          <w:szCs w:val="21"/>
        </w:rPr>
        <w:t>其一，三国人均收入实际增长率都经历了长期高增长（</w:t>
      </w:r>
      <w:r>
        <w:rPr>
          <w:rFonts w:ascii="方正书宋简体" w:hAnsi="方正书宋简体" w:eastAsia="方正书宋简体" w:cs="方正书宋简体"/>
          <w:color w:val="231F20"/>
          <w:spacing w:val="-1"/>
          <w:sz w:val="21"/>
          <w:szCs w:val="21"/>
        </w:rPr>
        <w:t>中国是</w:t>
      </w:r>
      <w:r>
        <w:rPr>
          <w:rFonts w:ascii="方正书宋简体" w:hAnsi="方正书宋简体" w:eastAsia="方正书宋简体" w:cs="方正书宋简体"/>
          <w:color w:val="231F20"/>
          <w:spacing w:val="34"/>
          <w:w w:val="101"/>
          <w:sz w:val="21"/>
          <w:szCs w:val="21"/>
        </w:rPr>
        <w:t xml:space="preserve"> </w:t>
      </w:r>
      <w:r>
        <w:rPr>
          <w:color w:val="231F20"/>
          <w:spacing w:val="-1"/>
          <w:sz w:val="21"/>
          <w:szCs w:val="21"/>
        </w:rPr>
        <w:t xml:space="preserve">1982 </w:t>
      </w:r>
      <w:r>
        <w:rPr>
          <w:rFonts w:ascii="方正书宋简体" w:hAnsi="方正书宋简体" w:eastAsia="方正书宋简体" w:cs="方正书宋简体"/>
          <w:color w:val="231F20"/>
          <w:spacing w:val="-1"/>
          <w:sz w:val="21"/>
          <w:szCs w:val="21"/>
        </w:rPr>
        <w:t xml:space="preserve">年至 </w:t>
      </w:r>
      <w:r>
        <w:rPr>
          <w:color w:val="231F20"/>
          <w:spacing w:val="-1"/>
          <w:sz w:val="21"/>
          <w:szCs w:val="21"/>
        </w:rPr>
        <w:t xml:space="preserve">2013 </w:t>
      </w:r>
      <w:r>
        <w:rPr>
          <w:rFonts w:ascii="方正书宋简体" w:hAnsi="方正书宋简体" w:eastAsia="方正书宋简体" w:cs="方正书宋简体"/>
          <w:color w:val="231F20"/>
          <w:spacing w:val="-1"/>
          <w:sz w:val="21"/>
          <w:szCs w:val="21"/>
        </w:rPr>
        <w:t>年、日本是</w:t>
      </w:r>
      <w:r>
        <w:rPr>
          <w:rFonts w:ascii="方正书宋简体" w:hAnsi="方正书宋简体" w:eastAsia="方正书宋简体" w:cs="方正书宋简体"/>
          <w:color w:val="231F20"/>
          <w:spacing w:val="33"/>
          <w:w w:val="101"/>
          <w:sz w:val="21"/>
          <w:szCs w:val="21"/>
        </w:rPr>
        <w:t xml:space="preserve"> </w:t>
      </w:r>
      <w:r>
        <w:rPr>
          <w:color w:val="231F20"/>
          <w:spacing w:val="-1"/>
          <w:sz w:val="21"/>
          <w:szCs w:val="21"/>
        </w:rPr>
        <w:t>1956</w:t>
      </w:r>
      <w:r>
        <w:rPr>
          <w:rFonts w:ascii="方正书宋简体" w:hAnsi="方正书宋简体" w:eastAsia="方正书宋简体" w:cs="方正书宋简体"/>
          <w:color w:val="231F20"/>
          <w:spacing w:val="-2"/>
          <w:sz w:val="21"/>
          <w:szCs w:val="21"/>
        </w:rPr>
        <w:t>年至</w:t>
      </w:r>
      <w:r>
        <w:rPr>
          <w:rFonts w:ascii="方正书宋简体" w:hAnsi="方正书宋简体" w:eastAsia="方正书宋简体" w:cs="方正书宋简体"/>
          <w:color w:val="231F20"/>
          <w:spacing w:val="27"/>
          <w:sz w:val="21"/>
          <w:szCs w:val="21"/>
        </w:rPr>
        <w:t xml:space="preserve"> </w:t>
      </w:r>
      <w:r>
        <w:rPr>
          <w:color w:val="231F20"/>
          <w:spacing w:val="-2"/>
          <w:sz w:val="21"/>
          <w:szCs w:val="21"/>
        </w:rPr>
        <w:t xml:space="preserve">1973 </w:t>
      </w:r>
      <w:r>
        <w:rPr>
          <w:rFonts w:ascii="方正书宋简体" w:hAnsi="方正书宋简体" w:eastAsia="方正书宋简体" w:cs="方正书宋简体"/>
          <w:color w:val="231F20"/>
          <w:spacing w:val="-2"/>
          <w:sz w:val="21"/>
          <w:szCs w:val="21"/>
        </w:rPr>
        <w:t>年、韩国是</w:t>
      </w:r>
      <w:r>
        <w:rPr>
          <w:rFonts w:ascii="方正书宋简体" w:hAnsi="方正书宋简体" w:eastAsia="方正书宋简体" w:cs="方正书宋简体"/>
          <w:color w:val="231F20"/>
          <w:spacing w:val="25"/>
          <w:sz w:val="21"/>
          <w:szCs w:val="21"/>
        </w:rPr>
        <w:t xml:space="preserve"> </w:t>
      </w:r>
      <w:r>
        <w:rPr>
          <w:color w:val="231F20"/>
          <w:spacing w:val="-2"/>
          <w:sz w:val="21"/>
          <w:szCs w:val="21"/>
        </w:rPr>
        <w:t xml:space="preserve">1966 </w:t>
      </w:r>
      <w:r>
        <w:rPr>
          <w:rFonts w:ascii="方正书宋简体" w:hAnsi="方正书宋简体" w:eastAsia="方正书宋简体" w:cs="方正书宋简体"/>
          <w:color w:val="231F20"/>
          <w:spacing w:val="-2"/>
          <w:sz w:val="21"/>
          <w:szCs w:val="21"/>
        </w:rPr>
        <w:t>年至</w:t>
      </w:r>
      <w:r>
        <w:rPr>
          <w:rFonts w:ascii="方正书宋简体" w:hAnsi="方正书宋简体" w:eastAsia="方正书宋简体" w:cs="方正书宋简体"/>
          <w:color w:val="231F20"/>
          <w:spacing w:val="25"/>
          <w:sz w:val="21"/>
          <w:szCs w:val="21"/>
        </w:rPr>
        <w:t xml:space="preserve"> </w:t>
      </w:r>
      <w:r>
        <w:rPr>
          <w:color w:val="231F20"/>
          <w:spacing w:val="-2"/>
          <w:sz w:val="21"/>
          <w:szCs w:val="21"/>
        </w:rPr>
        <w:t xml:space="preserve">1995 </w:t>
      </w:r>
      <w:r>
        <w:rPr>
          <w:rFonts w:ascii="方正书宋简体" w:hAnsi="方正书宋简体" w:eastAsia="方正书宋简体" w:cs="方正书宋简体"/>
          <w:color w:val="231F20"/>
          <w:spacing w:val="-2"/>
          <w:sz w:val="21"/>
          <w:szCs w:val="21"/>
        </w:rPr>
        <w:t>年</w:t>
      </w:r>
      <w:r>
        <w:rPr>
          <w:rFonts w:ascii="方正书宋简体" w:hAnsi="方正书宋简体" w:eastAsia="方正书宋简体" w:cs="方正书宋简体"/>
          <w:color w:val="231F20"/>
          <w:spacing w:val="-1"/>
          <w:sz w:val="21"/>
          <w:szCs w:val="21"/>
        </w:rPr>
        <w:t>），</w:t>
      </w:r>
      <w:r>
        <w:rPr>
          <w:rFonts w:ascii="方正书宋简体" w:hAnsi="方正书宋简体" w:eastAsia="方正书宋简体" w:cs="方正书宋简体"/>
          <w:color w:val="231F20"/>
          <w:spacing w:val="-2"/>
          <w:sz w:val="21"/>
          <w:szCs w:val="21"/>
        </w:rPr>
        <w:t>此后一段时期亦保持</w:t>
      </w:r>
      <w:r>
        <w:rPr>
          <w:rFonts w:ascii="方正书宋简体" w:hAnsi="方正书宋简体" w:eastAsia="方正书宋简体" w:cs="方正书宋简体"/>
          <w:color w:val="231F20"/>
          <w:spacing w:val="-3"/>
          <w:sz w:val="21"/>
          <w:szCs w:val="21"/>
        </w:rPr>
        <w:t>较高增长率（中国为</w:t>
      </w:r>
      <w:r>
        <w:rPr>
          <w:rFonts w:ascii="方正书宋简体" w:hAnsi="方正书宋简体" w:eastAsia="方正书宋简体" w:cs="方正书宋简体"/>
          <w:color w:val="231F20"/>
          <w:spacing w:val="18"/>
          <w:sz w:val="21"/>
          <w:szCs w:val="21"/>
        </w:rPr>
        <w:t xml:space="preserve"> </w:t>
      </w:r>
      <w:r>
        <w:rPr>
          <w:color w:val="231F20"/>
          <w:spacing w:val="-3"/>
          <w:sz w:val="21"/>
          <w:szCs w:val="21"/>
        </w:rPr>
        <w:t xml:space="preserve">2014 </w:t>
      </w:r>
      <w:r>
        <w:rPr>
          <w:rFonts w:ascii="方正书宋简体" w:hAnsi="方正书宋简体" w:eastAsia="方正书宋简体" w:cs="方正书宋简体"/>
          <w:color w:val="231F20"/>
          <w:spacing w:val="-3"/>
          <w:sz w:val="21"/>
          <w:szCs w:val="21"/>
        </w:rPr>
        <w:t>年以后、</w:t>
      </w:r>
      <w:r>
        <w:rPr>
          <w:rFonts w:ascii="方正书宋简体" w:hAnsi="方正书宋简体" w:eastAsia="方正书宋简体" w:cs="方正书宋简体"/>
          <w:color w:val="231F20"/>
          <w:spacing w:val="-1"/>
          <w:sz w:val="21"/>
          <w:szCs w:val="21"/>
        </w:rPr>
        <w:t>日本为</w:t>
      </w:r>
      <w:r>
        <w:rPr>
          <w:rFonts w:ascii="方正书宋简体" w:hAnsi="方正书宋简体" w:eastAsia="方正书宋简体" w:cs="方正书宋简体"/>
          <w:color w:val="231F20"/>
          <w:spacing w:val="38"/>
          <w:w w:val="101"/>
          <w:sz w:val="21"/>
          <w:szCs w:val="21"/>
        </w:rPr>
        <w:t xml:space="preserve"> </w:t>
      </w:r>
      <w:r>
        <w:rPr>
          <w:color w:val="231F20"/>
          <w:spacing w:val="-1"/>
          <w:sz w:val="21"/>
          <w:szCs w:val="21"/>
        </w:rPr>
        <w:t xml:space="preserve">1974 </w:t>
      </w:r>
      <w:r>
        <w:rPr>
          <w:rFonts w:ascii="方正书宋简体" w:hAnsi="方正书宋简体" w:eastAsia="方正书宋简体" w:cs="方正书宋简体"/>
          <w:color w:val="231F20"/>
          <w:spacing w:val="-1"/>
          <w:sz w:val="21"/>
          <w:szCs w:val="21"/>
        </w:rPr>
        <w:t>年至</w:t>
      </w:r>
      <w:r>
        <w:rPr>
          <w:rFonts w:ascii="方正书宋简体" w:hAnsi="方正书宋简体" w:eastAsia="方正书宋简体" w:cs="方正书宋简体"/>
          <w:color w:val="231F20"/>
          <w:spacing w:val="26"/>
          <w:w w:val="101"/>
          <w:sz w:val="21"/>
          <w:szCs w:val="21"/>
        </w:rPr>
        <w:t xml:space="preserve"> </w:t>
      </w:r>
      <w:r>
        <w:rPr>
          <w:color w:val="231F20"/>
          <w:spacing w:val="-1"/>
          <w:sz w:val="21"/>
          <w:szCs w:val="21"/>
        </w:rPr>
        <w:t xml:space="preserve">1991 </w:t>
      </w:r>
      <w:r>
        <w:rPr>
          <w:rFonts w:ascii="方正书宋简体" w:hAnsi="方正书宋简体" w:eastAsia="方正书宋简体" w:cs="方正书宋简体"/>
          <w:color w:val="231F20"/>
          <w:spacing w:val="-1"/>
          <w:sz w:val="21"/>
          <w:szCs w:val="21"/>
        </w:rPr>
        <w:t xml:space="preserve">年、韩国为  </w:t>
      </w:r>
      <w:r>
        <w:rPr>
          <w:color w:val="231F20"/>
          <w:spacing w:val="-1"/>
          <w:sz w:val="21"/>
          <w:szCs w:val="21"/>
        </w:rPr>
        <w:t xml:space="preserve">1996 </w:t>
      </w:r>
      <w:r>
        <w:rPr>
          <w:rFonts w:ascii="方正书宋简体" w:hAnsi="方正书宋简体" w:eastAsia="方正书宋简体" w:cs="方正书宋简体"/>
          <w:color w:val="231F20"/>
          <w:spacing w:val="-1"/>
          <w:sz w:val="21"/>
          <w:szCs w:val="21"/>
        </w:rPr>
        <w:t xml:space="preserve">年至 </w:t>
      </w:r>
      <w:r>
        <w:rPr>
          <w:color w:val="231F20"/>
          <w:spacing w:val="-1"/>
          <w:sz w:val="21"/>
          <w:szCs w:val="21"/>
        </w:rPr>
        <w:t xml:space="preserve">2007 </w:t>
      </w:r>
      <w:r>
        <w:rPr>
          <w:rFonts w:ascii="方正书宋简体" w:hAnsi="方正书宋简体" w:eastAsia="方正书宋简体" w:cs="方正书宋简体"/>
          <w:color w:val="231F20"/>
          <w:spacing w:val="-1"/>
          <w:sz w:val="21"/>
          <w:szCs w:val="21"/>
        </w:rPr>
        <w:t>年）</w:t>
      </w:r>
      <w:r>
        <w:rPr>
          <w:rFonts w:ascii="方正书宋简体" w:hAnsi="方正书宋简体" w:eastAsia="方正书宋简体" w:cs="方正书宋简体"/>
          <w:color w:val="231F20"/>
          <w:spacing w:val="-26"/>
          <w:sz w:val="21"/>
          <w:szCs w:val="21"/>
        </w:rPr>
        <w:t xml:space="preserve"> </w:t>
      </w:r>
      <w:r>
        <w:rPr>
          <w:rFonts w:ascii="方正书宋简体" w:hAnsi="方正书宋简体" w:eastAsia="方正书宋简体" w:cs="方正书宋简体"/>
          <w:color w:val="231F20"/>
          <w:spacing w:val="-1"/>
          <w:sz w:val="21"/>
          <w:szCs w:val="21"/>
        </w:rPr>
        <w:t>。目前，中美人均收入之比仍然很低，与上</w:t>
      </w:r>
      <w:r>
        <w:rPr>
          <w:rFonts w:ascii="方正书宋简体" w:hAnsi="方正书宋简体" w:eastAsia="方正书宋简体" w:cs="方正书宋简体"/>
          <w:color w:val="231F20"/>
          <w:spacing w:val="2"/>
          <w:sz w:val="21"/>
          <w:szCs w:val="21"/>
        </w:rPr>
        <w:t xml:space="preserve">个世纪 </w:t>
      </w:r>
      <w:r>
        <w:rPr>
          <w:color w:val="231F20"/>
          <w:spacing w:val="2"/>
          <w:sz w:val="21"/>
          <w:szCs w:val="21"/>
        </w:rPr>
        <w:t xml:space="preserve">60 </w:t>
      </w:r>
      <w:r>
        <w:rPr>
          <w:rFonts w:ascii="方正书宋简体" w:hAnsi="方正书宋简体" w:eastAsia="方正书宋简体" w:cs="方正书宋简体"/>
          <w:color w:val="231F20"/>
          <w:spacing w:val="2"/>
          <w:sz w:val="21"/>
          <w:szCs w:val="21"/>
        </w:rPr>
        <w:t>年代初期的日本和上个世纪</w:t>
      </w:r>
      <w:r>
        <w:rPr>
          <w:rFonts w:ascii="方正书宋简体" w:hAnsi="方正书宋简体" w:eastAsia="方正书宋简体" w:cs="方正书宋简体"/>
          <w:color w:val="231F20"/>
          <w:spacing w:val="14"/>
          <w:sz w:val="21"/>
          <w:szCs w:val="21"/>
        </w:rPr>
        <w:t xml:space="preserve"> </w:t>
      </w:r>
      <w:r>
        <w:rPr>
          <w:color w:val="231F20"/>
          <w:spacing w:val="2"/>
          <w:sz w:val="21"/>
          <w:szCs w:val="21"/>
        </w:rPr>
        <w:t xml:space="preserve">80 </w:t>
      </w:r>
      <w:r>
        <w:rPr>
          <w:rFonts w:ascii="方正书宋简体" w:hAnsi="方正书宋简体" w:eastAsia="方正书宋简体" w:cs="方正书宋简体"/>
          <w:color w:val="231F20"/>
          <w:spacing w:val="2"/>
          <w:sz w:val="21"/>
          <w:szCs w:val="21"/>
        </w:rPr>
        <w:t>年代末</w:t>
      </w:r>
      <w:r>
        <w:rPr>
          <w:rFonts w:ascii="方正书宋简体" w:hAnsi="方正书宋简体" w:eastAsia="方正书宋简体" w:cs="方正书宋简体"/>
          <w:color w:val="231F20"/>
          <w:spacing w:val="1"/>
          <w:sz w:val="21"/>
          <w:szCs w:val="21"/>
        </w:rPr>
        <w:t>期的韩国大致相当。重要的是，进入与中国目前类似发展阶段后，日本和韩国仍然维持了</w:t>
      </w:r>
      <w:r>
        <w:rPr>
          <w:rFonts w:ascii="方正书宋简体" w:hAnsi="方正书宋简体" w:eastAsia="方正书宋简体" w:cs="方正书宋简体"/>
          <w:color w:val="231F20"/>
          <w:spacing w:val="30"/>
          <w:sz w:val="21"/>
          <w:szCs w:val="21"/>
        </w:rPr>
        <w:t xml:space="preserve"> </w:t>
      </w:r>
      <w:r>
        <w:rPr>
          <w:color w:val="231F20"/>
          <w:spacing w:val="1"/>
          <w:sz w:val="21"/>
          <w:szCs w:val="21"/>
        </w:rPr>
        <w:t xml:space="preserve">20~30 </w:t>
      </w:r>
      <w:r>
        <w:rPr>
          <w:rFonts w:ascii="方正书宋简体" w:hAnsi="方正书宋简体" w:eastAsia="方正书宋简体" w:cs="方正书宋简体"/>
          <w:color w:val="231F20"/>
          <w:spacing w:val="1"/>
          <w:sz w:val="21"/>
          <w:szCs w:val="21"/>
        </w:rPr>
        <w:t>年高增长和较高增长。在国际比较视野下，中国未来</w:t>
      </w:r>
      <w:r>
        <w:rPr>
          <w:rFonts w:ascii="方正书宋简体" w:hAnsi="方正书宋简体" w:eastAsia="方正书宋简体" w:cs="方正书宋简体"/>
          <w:color w:val="231F20"/>
          <w:spacing w:val="-1"/>
          <w:sz w:val="21"/>
          <w:szCs w:val="21"/>
        </w:rPr>
        <w:t>相当长时期有望维持较高潜在增长率。这是中国经济前景光明的一个理由。</w:t>
      </w:r>
    </w:p>
    <w:p w14:paraId="7122A684">
      <w:pPr>
        <w:pStyle w:val="6"/>
        <w:spacing w:before="4" w:line="283" w:lineRule="auto"/>
        <w:ind w:left="1045" w:right="90" w:firstLine="420"/>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7"/>
          <w:sz w:val="21"/>
          <w:szCs w:val="21"/>
        </w:rPr>
        <w:t>其二，就人均收入增长率而言，现价美元计算结果比本币不变价计算结果的波动性大很多。</w:t>
      </w:r>
      <w:r>
        <w:rPr>
          <w:rFonts w:ascii="方正书宋简体" w:hAnsi="方正书宋简体" w:eastAsia="方正书宋简体" w:cs="方正书宋简体"/>
          <w:color w:val="231F20"/>
          <w:spacing w:val="1"/>
          <w:sz w:val="21"/>
          <w:szCs w:val="21"/>
        </w:rPr>
        <w:t xml:space="preserve"> </w:t>
      </w:r>
      <w:r>
        <w:rPr>
          <w:color w:val="231F20"/>
          <w:spacing w:val="-1"/>
          <w:sz w:val="21"/>
          <w:szCs w:val="21"/>
        </w:rPr>
        <w:t>1962</w:t>
      </w:r>
      <w:r>
        <w:rPr>
          <w:rFonts w:ascii="方正书宋简体" w:hAnsi="方正书宋简体" w:eastAsia="方正书宋简体" w:cs="方正书宋简体"/>
          <w:color w:val="231F20"/>
          <w:spacing w:val="-1"/>
          <w:sz w:val="21"/>
          <w:szCs w:val="21"/>
        </w:rPr>
        <w:t>—</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年，现价美元计算结果的变异系数中国为</w:t>
      </w:r>
      <w:r>
        <w:rPr>
          <w:rFonts w:ascii="方正书宋简体" w:hAnsi="方正书宋简体" w:eastAsia="方正书宋简体" w:cs="方正书宋简体"/>
          <w:color w:val="231F20"/>
          <w:spacing w:val="38"/>
          <w:w w:val="101"/>
          <w:sz w:val="21"/>
          <w:szCs w:val="21"/>
        </w:rPr>
        <w:t xml:space="preserve"> </w:t>
      </w:r>
      <w:r>
        <w:rPr>
          <w:color w:val="231F20"/>
          <w:spacing w:val="-1"/>
          <w:sz w:val="21"/>
          <w:szCs w:val="21"/>
        </w:rPr>
        <w:t>1.</w:t>
      </w:r>
      <w:r>
        <w:rPr>
          <w:color w:val="231F20"/>
          <w:spacing w:val="-2"/>
          <w:sz w:val="21"/>
          <w:szCs w:val="21"/>
        </w:rPr>
        <w:t>09</w:t>
      </w:r>
      <w:r>
        <w:rPr>
          <w:rFonts w:ascii="方正书宋简体" w:hAnsi="方正书宋简体" w:eastAsia="方正书宋简体" w:cs="方正书宋简体"/>
          <w:color w:val="231F20"/>
          <w:spacing w:val="-2"/>
          <w:sz w:val="21"/>
          <w:szCs w:val="21"/>
        </w:rPr>
        <w:t>、日本为</w:t>
      </w:r>
      <w:r>
        <w:rPr>
          <w:rFonts w:ascii="方正书宋简体" w:hAnsi="方正书宋简体" w:eastAsia="方正书宋简体" w:cs="方正书宋简体"/>
          <w:color w:val="231F20"/>
          <w:spacing w:val="38"/>
          <w:w w:val="101"/>
          <w:sz w:val="21"/>
          <w:szCs w:val="21"/>
        </w:rPr>
        <w:t xml:space="preserve"> </w:t>
      </w:r>
      <w:r>
        <w:rPr>
          <w:color w:val="231F20"/>
          <w:spacing w:val="-2"/>
          <w:sz w:val="21"/>
          <w:szCs w:val="21"/>
        </w:rPr>
        <w:t>1.64</w:t>
      </w:r>
      <w:r>
        <w:rPr>
          <w:rFonts w:ascii="方正书宋简体" w:hAnsi="方正书宋简体" w:eastAsia="方正书宋简体" w:cs="方正书宋简体"/>
          <w:color w:val="231F20"/>
          <w:spacing w:val="-2"/>
          <w:sz w:val="21"/>
          <w:szCs w:val="21"/>
        </w:rPr>
        <w:t>、韩国为</w:t>
      </w:r>
      <w:r>
        <w:rPr>
          <w:rFonts w:ascii="方正书宋简体" w:hAnsi="方正书宋简体" w:eastAsia="方正书宋简体" w:cs="方正书宋简体"/>
          <w:color w:val="231F20"/>
          <w:spacing w:val="38"/>
          <w:w w:val="101"/>
          <w:sz w:val="21"/>
          <w:szCs w:val="21"/>
        </w:rPr>
        <w:t xml:space="preserve"> </w:t>
      </w:r>
      <w:r>
        <w:rPr>
          <w:color w:val="231F20"/>
          <w:spacing w:val="-2"/>
          <w:sz w:val="21"/>
          <w:szCs w:val="21"/>
        </w:rPr>
        <w:t>1.27</w:t>
      </w:r>
      <w:r>
        <w:rPr>
          <w:rFonts w:ascii="方正书宋简体" w:hAnsi="方正书宋简体" w:eastAsia="方正书宋简体" w:cs="方正书宋简体"/>
          <w:color w:val="231F20"/>
          <w:spacing w:val="-2"/>
          <w:sz w:val="21"/>
          <w:szCs w:val="21"/>
        </w:rPr>
        <w:t>，本币不变价</w:t>
      </w:r>
      <w:r>
        <w:rPr>
          <w:rFonts w:ascii="方正书宋简体" w:hAnsi="方正书宋简体" w:eastAsia="方正书宋简体" w:cs="方正书宋简体"/>
          <w:color w:val="231F20"/>
          <w:spacing w:val="1"/>
          <w:sz w:val="21"/>
          <w:szCs w:val="21"/>
        </w:rPr>
        <w:t xml:space="preserve">计算结果的变异系数中国为 </w:t>
      </w:r>
      <w:r>
        <w:rPr>
          <w:color w:val="231F20"/>
          <w:spacing w:val="1"/>
          <w:sz w:val="21"/>
          <w:szCs w:val="21"/>
        </w:rPr>
        <w:t>0.68</w:t>
      </w:r>
      <w:r>
        <w:rPr>
          <w:rFonts w:ascii="方正书宋简体" w:hAnsi="方正书宋简体" w:eastAsia="方正书宋简体" w:cs="方正书宋简体"/>
          <w:color w:val="231F20"/>
          <w:spacing w:val="1"/>
          <w:sz w:val="21"/>
          <w:szCs w:val="21"/>
        </w:rPr>
        <w:t>、日本为</w:t>
      </w:r>
      <w:r>
        <w:rPr>
          <w:rFonts w:ascii="方正书宋简体" w:hAnsi="方正书宋简体" w:eastAsia="方正书宋简体" w:cs="方正书宋简体"/>
          <w:color w:val="231F20"/>
          <w:spacing w:val="40"/>
          <w:sz w:val="21"/>
          <w:szCs w:val="21"/>
        </w:rPr>
        <w:t xml:space="preserve"> </w:t>
      </w:r>
      <w:r>
        <w:rPr>
          <w:color w:val="231F20"/>
          <w:spacing w:val="1"/>
          <w:sz w:val="21"/>
          <w:szCs w:val="21"/>
        </w:rPr>
        <w:t>1.</w:t>
      </w:r>
      <w:r>
        <w:rPr>
          <w:color w:val="231F20"/>
          <w:sz w:val="21"/>
          <w:szCs w:val="21"/>
        </w:rPr>
        <w:t>22</w:t>
      </w:r>
      <w:r>
        <w:rPr>
          <w:rFonts w:ascii="方正书宋简体" w:hAnsi="方正书宋简体" w:eastAsia="方正书宋简体" w:cs="方正书宋简体"/>
          <w:color w:val="231F20"/>
          <w:sz w:val="21"/>
          <w:szCs w:val="21"/>
        </w:rPr>
        <w:t>、韩国为</w:t>
      </w:r>
      <w:r>
        <w:rPr>
          <w:rFonts w:ascii="方正书宋简体" w:hAnsi="方正书宋简体" w:eastAsia="方正书宋简体" w:cs="方正书宋简体"/>
          <w:color w:val="231F20"/>
          <w:spacing w:val="22"/>
          <w:sz w:val="21"/>
          <w:szCs w:val="21"/>
        </w:rPr>
        <w:t xml:space="preserve"> </w:t>
      </w:r>
      <w:r>
        <w:rPr>
          <w:color w:val="231F20"/>
          <w:sz w:val="21"/>
          <w:szCs w:val="21"/>
        </w:rPr>
        <w:t>0.64</w:t>
      </w:r>
      <w:r>
        <w:rPr>
          <w:rFonts w:ascii="方正书宋简体" w:hAnsi="方正书宋简体" w:eastAsia="方正书宋简体" w:cs="方正书宋简体"/>
          <w:color w:val="231F20"/>
          <w:sz w:val="21"/>
          <w:szCs w:val="21"/>
        </w:rPr>
        <w:t>。对于各国来讲，两种计算结果的变异</w:t>
      </w:r>
      <w:r>
        <w:rPr>
          <w:rFonts w:ascii="方正书宋简体" w:hAnsi="方正书宋简体" w:eastAsia="方正书宋简体" w:cs="方正书宋简体"/>
          <w:color w:val="231F20"/>
          <w:spacing w:val="2"/>
          <w:sz w:val="21"/>
          <w:szCs w:val="21"/>
        </w:rPr>
        <w:t>系数都是前者高后者低。这主要是中、日、韩与美国通胀率的差异和主权货币对美元汇率的</w:t>
      </w:r>
      <w:r>
        <w:rPr>
          <w:rFonts w:ascii="方正书宋简体" w:hAnsi="方正书宋简体" w:eastAsia="方正书宋简体" w:cs="方正书宋简体"/>
          <w:color w:val="231F20"/>
          <w:spacing w:val="1"/>
          <w:sz w:val="21"/>
          <w:szCs w:val="21"/>
        </w:rPr>
        <w:t>变化导</w:t>
      </w:r>
      <w:r>
        <w:rPr>
          <w:rFonts w:ascii="方正书宋简体" w:hAnsi="方正书宋简体" w:eastAsia="方正书宋简体" w:cs="方正书宋简体"/>
          <w:color w:val="231F20"/>
          <w:spacing w:val="-1"/>
          <w:sz w:val="21"/>
          <w:szCs w:val="21"/>
        </w:rPr>
        <w:t>致的。中、日、韩三国与美国人均收入之比也具有类似的波动特征。</w:t>
      </w:r>
    </w:p>
    <w:p w14:paraId="5510DBEA">
      <w:pPr>
        <w:pStyle w:val="6"/>
        <w:spacing w:before="2" w:line="289" w:lineRule="auto"/>
        <w:ind w:left="1049" w:right="84" w:firstLine="416"/>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其三，中国与日本、韩国一样，在经济发展过程中曾多次出现实际增长率比</w:t>
      </w:r>
      <w:r>
        <w:rPr>
          <w:rFonts w:ascii="方正书宋简体" w:hAnsi="方正书宋简体" w:eastAsia="方正书宋简体" w:cs="方正书宋简体"/>
          <w:color w:val="231F20"/>
          <w:spacing w:val="1"/>
          <w:sz w:val="21"/>
          <w:szCs w:val="21"/>
        </w:rPr>
        <w:t>美国高，但与美国</w:t>
      </w:r>
      <w:r>
        <w:rPr>
          <w:rFonts w:ascii="方正书宋简体" w:hAnsi="方正书宋简体" w:eastAsia="方正书宋简体" w:cs="方正书宋简体"/>
          <w:color w:val="231F20"/>
          <w:spacing w:val="-1"/>
          <w:sz w:val="21"/>
          <w:szCs w:val="21"/>
        </w:rPr>
        <w:t xml:space="preserve">经济规模之比和与美国人均收入之比（按现价美元计算）发生反转的例子。表 </w:t>
      </w:r>
      <w:r>
        <w:rPr>
          <w:color w:val="231F20"/>
          <w:spacing w:val="-1"/>
          <w:sz w:val="21"/>
          <w:szCs w:val="21"/>
        </w:rPr>
        <w:t xml:space="preserve">4 </w:t>
      </w:r>
      <w:r>
        <w:rPr>
          <w:rFonts w:ascii="方正书宋简体" w:hAnsi="方正书宋简体" w:eastAsia="方正书宋简体" w:cs="方正书宋简体"/>
          <w:color w:val="231F20"/>
          <w:spacing w:val="-1"/>
          <w:sz w:val="21"/>
          <w:szCs w:val="21"/>
        </w:rPr>
        <w:t>列出了</w:t>
      </w:r>
      <w:r>
        <w:rPr>
          <w:rFonts w:ascii="方正书宋简体" w:hAnsi="方正书宋简体" w:eastAsia="方正书宋简体" w:cs="方正书宋简体"/>
          <w:color w:val="231F20"/>
          <w:spacing w:val="34"/>
          <w:w w:val="101"/>
          <w:sz w:val="21"/>
          <w:szCs w:val="21"/>
        </w:rPr>
        <w:t xml:space="preserve"> </w:t>
      </w:r>
      <w:r>
        <w:rPr>
          <w:color w:val="231F20"/>
          <w:spacing w:val="-1"/>
          <w:sz w:val="21"/>
          <w:szCs w:val="21"/>
        </w:rPr>
        <w:t xml:space="preserve">1961 </w:t>
      </w:r>
      <w:r>
        <w:rPr>
          <w:rFonts w:ascii="方正书宋简体" w:hAnsi="方正书宋简体" w:eastAsia="方正书宋简体" w:cs="方正书宋简体"/>
          <w:color w:val="231F20"/>
          <w:spacing w:val="-1"/>
          <w:sz w:val="21"/>
          <w:szCs w:val="21"/>
        </w:rPr>
        <w:t>年以来</w:t>
      </w:r>
      <w:r>
        <w:rPr>
          <w:rFonts w:ascii="方正书宋简体" w:hAnsi="方正书宋简体" w:eastAsia="方正书宋简体" w:cs="方正书宋简体"/>
          <w:color w:val="231F20"/>
          <w:spacing w:val="-2"/>
          <w:sz w:val="21"/>
          <w:szCs w:val="21"/>
        </w:rPr>
        <w:t>中国、日本和韩国符合上述特征年份的一些情况。</w:t>
      </w:r>
    </w:p>
    <w:p w14:paraId="31C24B34">
      <w:pPr>
        <w:bidi w:val="0"/>
        <w:jc w:val="center"/>
        <w:rPr>
          <w:rFonts w:ascii="微软雅黑" w:hAnsi="微软雅黑" w:eastAsia="微软雅黑" w:cs="微软雅黑"/>
          <w:sz w:val="21"/>
          <w:szCs w:val="21"/>
        </w:rPr>
      </w:pPr>
      <w:r>
        <w:rPr>
          <w:rFonts w:ascii="微软雅黑" w:hAnsi="微软雅黑" w:eastAsia="微软雅黑" w:cs="微软雅黑"/>
          <w:color w:val="231F20"/>
          <w:spacing w:val="-2"/>
          <w:sz w:val="21"/>
          <w:szCs w:val="21"/>
        </w:rPr>
        <w:t xml:space="preserve">表 </w:t>
      </w:r>
      <w:r>
        <w:rPr>
          <w:color w:val="231F20"/>
          <w:spacing w:val="-2"/>
          <w:sz w:val="21"/>
          <w:szCs w:val="21"/>
        </w:rPr>
        <w:t xml:space="preserve">4    1961 </w:t>
      </w:r>
      <w:r>
        <w:rPr>
          <w:rFonts w:ascii="微软雅黑" w:hAnsi="微软雅黑" w:eastAsia="微软雅黑" w:cs="微软雅黑"/>
          <w:color w:val="231F20"/>
          <w:spacing w:val="-2"/>
          <w:sz w:val="21"/>
          <w:szCs w:val="21"/>
        </w:rPr>
        <w:t xml:space="preserve">年以来中国、日本、韩国与美国实际增长率差异以及两个比例的变化（ </w:t>
      </w:r>
      <w:r>
        <w:rPr>
          <w:color w:val="231F20"/>
          <w:spacing w:val="-2"/>
          <w:sz w:val="21"/>
          <w:szCs w:val="21"/>
        </w:rPr>
        <w:t xml:space="preserve">% </w:t>
      </w:r>
      <w:r>
        <w:rPr>
          <w:rFonts w:ascii="微软雅黑" w:hAnsi="微软雅黑" w:eastAsia="微软雅黑" w:cs="微软雅黑"/>
          <w:color w:val="231F20"/>
          <w:spacing w:val="-2"/>
          <w:sz w:val="21"/>
          <w:szCs w:val="21"/>
        </w:rPr>
        <w:t>）</w:t>
      </w:r>
    </w:p>
    <w:p w14:paraId="7541EB49">
      <w:pPr>
        <w:spacing w:line="35" w:lineRule="exact"/>
      </w:pPr>
    </w:p>
    <w:tbl>
      <w:tblPr>
        <w:tblStyle w:val="25"/>
        <w:tblW w:w="9127" w:type="dxa"/>
        <w:tblInd w:w="1042"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719"/>
        <w:gridCol w:w="795"/>
        <w:gridCol w:w="760"/>
        <w:gridCol w:w="804"/>
        <w:gridCol w:w="674"/>
        <w:gridCol w:w="796"/>
        <w:gridCol w:w="760"/>
        <w:gridCol w:w="804"/>
        <w:gridCol w:w="675"/>
        <w:gridCol w:w="795"/>
        <w:gridCol w:w="767"/>
        <w:gridCol w:w="778"/>
      </w:tblGrid>
      <w:tr w14:paraId="48461D9A">
        <w:trPr>
          <w:trHeight w:val="283" w:hRule="atLeast"/>
        </w:trPr>
        <w:tc>
          <w:tcPr>
            <w:tcW w:w="719" w:type="dxa"/>
            <w:vMerge w:val="restart"/>
            <w:tcBorders>
              <w:top w:val="single" w:color="231F20" w:sz="8" w:space="0"/>
              <w:bottom w:val="nil"/>
            </w:tcBorders>
            <w:vAlign w:val="top"/>
          </w:tcPr>
          <w:p w14:paraId="720AE54A">
            <w:pPr>
              <w:autoSpaceDE w:val="0"/>
              <w:autoSpaceDN w:val="0"/>
              <w:spacing w:line="241" w:lineRule="auto"/>
              <w:rPr>
                <w:rFonts w:ascii="Arial"/>
                <w:sz w:val="21"/>
              </w:rPr>
            </w:pPr>
          </w:p>
          <w:p w14:paraId="0403EBD1">
            <w:pPr>
              <w:autoSpaceDE w:val="0"/>
              <w:autoSpaceDN w:val="0"/>
              <w:spacing w:line="241" w:lineRule="auto"/>
              <w:rPr>
                <w:rFonts w:ascii="Arial"/>
                <w:sz w:val="21"/>
              </w:rPr>
            </w:pPr>
          </w:p>
          <w:p w14:paraId="7EAED1E4">
            <w:pPr>
              <w:autoSpaceDE w:val="0"/>
              <w:autoSpaceDN w:val="0"/>
              <w:spacing w:before="59" w:line="235" w:lineRule="auto"/>
              <w:ind w:left="204"/>
              <w:rPr>
                <w:rFonts w:ascii="楷体" w:hAnsi="楷体" w:eastAsia="楷体" w:cs="楷体"/>
                <w:sz w:val="18"/>
                <w:szCs w:val="18"/>
              </w:rPr>
            </w:pPr>
            <w:r>
              <w:rPr>
                <w:rFonts w:ascii="楷体" w:hAnsi="楷体" w:eastAsia="楷体" w:cs="楷体"/>
                <w:color w:val="231F20"/>
                <w:spacing w:val="-2"/>
                <w:sz w:val="18"/>
                <w:szCs w:val="18"/>
              </w:rPr>
              <w:t>年份</w:t>
            </w:r>
          </w:p>
        </w:tc>
        <w:tc>
          <w:tcPr>
            <w:tcW w:w="1555" w:type="dxa"/>
            <w:gridSpan w:val="2"/>
            <w:tcBorders>
              <w:top w:val="single" w:color="231F20" w:sz="8" w:space="0"/>
            </w:tcBorders>
            <w:vAlign w:val="top"/>
          </w:tcPr>
          <w:p w14:paraId="07898AC5">
            <w:pPr>
              <w:autoSpaceDE w:val="0"/>
              <w:autoSpaceDN w:val="0"/>
              <w:spacing w:before="54" w:line="224" w:lineRule="auto"/>
              <w:ind w:left="648"/>
              <w:rPr>
                <w:rFonts w:ascii="楷体" w:hAnsi="楷体" w:eastAsia="楷体" w:cs="楷体"/>
                <w:sz w:val="18"/>
                <w:szCs w:val="18"/>
              </w:rPr>
            </w:pPr>
            <w:r>
              <w:rPr>
                <w:rFonts w:ascii="楷体" w:hAnsi="楷体" w:eastAsia="楷体" w:cs="楷体"/>
                <w:color w:val="231F20"/>
                <w:spacing w:val="-8"/>
                <w:sz w:val="18"/>
                <w:szCs w:val="18"/>
              </w:rPr>
              <w:t>中国</w:t>
            </w:r>
          </w:p>
        </w:tc>
        <w:tc>
          <w:tcPr>
            <w:tcW w:w="804" w:type="dxa"/>
            <w:vMerge w:val="restart"/>
            <w:tcBorders>
              <w:top w:val="single" w:color="231F20" w:sz="8" w:space="0"/>
              <w:bottom w:val="nil"/>
            </w:tcBorders>
            <w:vAlign w:val="top"/>
          </w:tcPr>
          <w:p w14:paraId="676F3189">
            <w:pPr>
              <w:autoSpaceDE w:val="0"/>
              <w:autoSpaceDN w:val="0"/>
              <w:spacing w:line="267" w:lineRule="auto"/>
              <w:rPr>
                <w:rFonts w:ascii="Arial"/>
                <w:sz w:val="21"/>
              </w:rPr>
            </w:pPr>
          </w:p>
          <w:p w14:paraId="60630D34">
            <w:pPr>
              <w:autoSpaceDE w:val="0"/>
              <w:autoSpaceDN w:val="0"/>
              <w:spacing w:before="59" w:line="215" w:lineRule="auto"/>
              <w:ind w:left="113" w:right="153"/>
              <w:jc w:val="both"/>
              <w:rPr>
                <w:rFonts w:ascii="楷体" w:hAnsi="楷体" w:eastAsia="楷体" w:cs="楷体"/>
                <w:sz w:val="18"/>
                <w:szCs w:val="18"/>
              </w:rPr>
            </w:pPr>
            <w:r>
              <w:rPr>
                <w:rFonts w:ascii="楷体" w:hAnsi="楷体" w:eastAsia="楷体" w:cs="楷体"/>
                <w:color w:val="231F20"/>
                <w:spacing w:val="-1"/>
                <w:sz w:val="18"/>
                <w:szCs w:val="18"/>
              </w:rPr>
              <w:t>人均收入之比的变化</w:t>
            </w:r>
          </w:p>
        </w:tc>
        <w:tc>
          <w:tcPr>
            <w:tcW w:w="674" w:type="dxa"/>
            <w:vMerge w:val="restart"/>
            <w:tcBorders>
              <w:top w:val="single" w:color="231F20" w:sz="8" w:space="0"/>
              <w:bottom w:val="nil"/>
            </w:tcBorders>
            <w:vAlign w:val="top"/>
          </w:tcPr>
          <w:p w14:paraId="59FF0A9A">
            <w:pPr>
              <w:autoSpaceDE w:val="0"/>
              <w:autoSpaceDN w:val="0"/>
              <w:spacing w:line="241" w:lineRule="auto"/>
              <w:rPr>
                <w:rFonts w:ascii="Arial"/>
                <w:sz w:val="21"/>
              </w:rPr>
            </w:pPr>
          </w:p>
          <w:p w14:paraId="7A80F1BC">
            <w:pPr>
              <w:autoSpaceDE w:val="0"/>
              <w:autoSpaceDN w:val="0"/>
              <w:spacing w:line="241" w:lineRule="auto"/>
              <w:rPr>
                <w:rFonts w:ascii="Arial"/>
                <w:sz w:val="21"/>
              </w:rPr>
            </w:pPr>
          </w:p>
          <w:p w14:paraId="0267D821">
            <w:pPr>
              <w:autoSpaceDE w:val="0"/>
              <w:autoSpaceDN w:val="0"/>
              <w:spacing w:before="59" w:line="235" w:lineRule="auto"/>
              <w:ind w:left="160"/>
              <w:rPr>
                <w:rFonts w:ascii="楷体" w:hAnsi="楷体" w:eastAsia="楷体" w:cs="楷体"/>
                <w:sz w:val="18"/>
                <w:szCs w:val="18"/>
              </w:rPr>
            </w:pPr>
            <w:r>
              <w:rPr>
                <w:rFonts w:ascii="楷体" w:hAnsi="楷体" w:eastAsia="楷体" w:cs="楷体"/>
                <w:color w:val="231F20"/>
                <w:spacing w:val="-2"/>
                <w:sz w:val="18"/>
                <w:szCs w:val="18"/>
              </w:rPr>
              <w:t>年份</w:t>
            </w:r>
          </w:p>
        </w:tc>
        <w:tc>
          <w:tcPr>
            <w:tcW w:w="1556" w:type="dxa"/>
            <w:gridSpan w:val="2"/>
            <w:tcBorders>
              <w:top w:val="single" w:color="231F20" w:sz="8" w:space="0"/>
            </w:tcBorders>
            <w:vAlign w:val="top"/>
          </w:tcPr>
          <w:p w14:paraId="36588924">
            <w:pPr>
              <w:autoSpaceDE w:val="0"/>
              <w:autoSpaceDN w:val="0"/>
              <w:spacing w:before="54" w:line="224" w:lineRule="auto"/>
              <w:ind w:left="655"/>
              <w:rPr>
                <w:rFonts w:ascii="楷体" w:hAnsi="楷体" w:eastAsia="楷体" w:cs="楷体"/>
                <w:sz w:val="18"/>
                <w:szCs w:val="18"/>
              </w:rPr>
            </w:pPr>
            <w:r>
              <w:rPr>
                <w:rFonts w:ascii="楷体" w:hAnsi="楷体" w:eastAsia="楷体" w:cs="楷体"/>
                <w:color w:val="231F20"/>
                <w:spacing w:val="-10"/>
                <w:sz w:val="18"/>
                <w:szCs w:val="18"/>
              </w:rPr>
              <w:t>日本</w:t>
            </w:r>
          </w:p>
        </w:tc>
        <w:tc>
          <w:tcPr>
            <w:tcW w:w="804" w:type="dxa"/>
            <w:vMerge w:val="restart"/>
            <w:tcBorders>
              <w:top w:val="single" w:color="231F20" w:sz="8" w:space="0"/>
              <w:bottom w:val="nil"/>
            </w:tcBorders>
            <w:vAlign w:val="top"/>
          </w:tcPr>
          <w:p w14:paraId="208C2AFF">
            <w:pPr>
              <w:autoSpaceDE w:val="0"/>
              <w:autoSpaceDN w:val="0"/>
              <w:spacing w:line="267" w:lineRule="auto"/>
              <w:rPr>
                <w:rFonts w:ascii="Arial"/>
                <w:sz w:val="21"/>
              </w:rPr>
            </w:pPr>
          </w:p>
          <w:p w14:paraId="56FFBFC6">
            <w:pPr>
              <w:autoSpaceDE w:val="0"/>
              <w:autoSpaceDN w:val="0"/>
              <w:spacing w:before="59" w:line="215" w:lineRule="auto"/>
              <w:ind w:left="113" w:right="153"/>
              <w:jc w:val="both"/>
              <w:rPr>
                <w:rFonts w:ascii="楷体" w:hAnsi="楷体" w:eastAsia="楷体" w:cs="楷体"/>
                <w:sz w:val="18"/>
                <w:szCs w:val="18"/>
              </w:rPr>
            </w:pPr>
            <w:r>
              <w:rPr>
                <w:rFonts w:ascii="楷体" w:hAnsi="楷体" w:eastAsia="楷体" w:cs="楷体"/>
                <w:color w:val="231F20"/>
                <w:spacing w:val="-1"/>
                <w:sz w:val="18"/>
                <w:szCs w:val="18"/>
              </w:rPr>
              <w:t>人均收入之比的变化</w:t>
            </w:r>
          </w:p>
        </w:tc>
        <w:tc>
          <w:tcPr>
            <w:tcW w:w="675" w:type="dxa"/>
            <w:vMerge w:val="restart"/>
            <w:tcBorders>
              <w:top w:val="single" w:color="231F20" w:sz="8" w:space="0"/>
              <w:bottom w:val="nil"/>
            </w:tcBorders>
            <w:vAlign w:val="top"/>
          </w:tcPr>
          <w:p w14:paraId="608A9575">
            <w:pPr>
              <w:autoSpaceDE w:val="0"/>
              <w:autoSpaceDN w:val="0"/>
              <w:spacing w:line="241" w:lineRule="auto"/>
              <w:rPr>
                <w:rFonts w:ascii="Arial"/>
                <w:sz w:val="21"/>
              </w:rPr>
            </w:pPr>
          </w:p>
          <w:p w14:paraId="637259BE">
            <w:pPr>
              <w:autoSpaceDE w:val="0"/>
              <w:autoSpaceDN w:val="0"/>
              <w:spacing w:line="241" w:lineRule="auto"/>
              <w:rPr>
                <w:rFonts w:ascii="Arial"/>
                <w:sz w:val="21"/>
              </w:rPr>
            </w:pPr>
          </w:p>
          <w:p w14:paraId="3EFCAB46">
            <w:pPr>
              <w:autoSpaceDE w:val="0"/>
              <w:autoSpaceDN w:val="0"/>
              <w:spacing w:before="59" w:line="235" w:lineRule="auto"/>
              <w:ind w:left="160"/>
              <w:rPr>
                <w:rFonts w:ascii="楷体" w:hAnsi="楷体" w:eastAsia="楷体" w:cs="楷体"/>
                <w:sz w:val="18"/>
                <w:szCs w:val="18"/>
              </w:rPr>
            </w:pPr>
            <w:r>
              <w:rPr>
                <w:rFonts w:ascii="楷体" w:hAnsi="楷体" w:eastAsia="楷体" w:cs="楷体"/>
                <w:color w:val="231F20"/>
                <w:spacing w:val="-2"/>
                <w:sz w:val="18"/>
                <w:szCs w:val="18"/>
              </w:rPr>
              <w:t>年份</w:t>
            </w:r>
          </w:p>
        </w:tc>
        <w:tc>
          <w:tcPr>
            <w:tcW w:w="1562" w:type="dxa"/>
            <w:gridSpan w:val="2"/>
            <w:tcBorders>
              <w:top w:val="single" w:color="231F20" w:sz="8" w:space="0"/>
            </w:tcBorders>
            <w:vAlign w:val="top"/>
          </w:tcPr>
          <w:p w14:paraId="2A790B15">
            <w:pPr>
              <w:autoSpaceDE w:val="0"/>
              <w:autoSpaceDN w:val="0"/>
              <w:spacing w:before="54" w:line="224" w:lineRule="auto"/>
              <w:ind w:left="638"/>
              <w:rPr>
                <w:rFonts w:ascii="楷体" w:hAnsi="楷体" w:eastAsia="楷体" w:cs="楷体"/>
                <w:sz w:val="18"/>
                <w:szCs w:val="18"/>
              </w:rPr>
            </w:pPr>
            <w:r>
              <w:rPr>
                <w:rFonts w:ascii="楷体" w:hAnsi="楷体" w:eastAsia="楷体" w:cs="楷体"/>
                <w:color w:val="231F20"/>
                <w:spacing w:val="-3"/>
                <w:sz w:val="18"/>
                <w:szCs w:val="18"/>
              </w:rPr>
              <w:t>韩国</w:t>
            </w:r>
          </w:p>
        </w:tc>
        <w:tc>
          <w:tcPr>
            <w:tcW w:w="778" w:type="dxa"/>
            <w:vMerge w:val="restart"/>
            <w:tcBorders>
              <w:top w:val="single" w:color="231F20" w:sz="8" w:space="0"/>
              <w:bottom w:val="nil"/>
            </w:tcBorders>
            <w:vAlign w:val="top"/>
          </w:tcPr>
          <w:p w14:paraId="4A81190B">
            <w:pPr>
              <w:autoSpaceDE w:val="0"/>
              <w:autoSpaceDN w:val="0"/>
              <w:spacing w:line="267" w:lineRule="auto"/>
              <w:rPr>
                <w:rFonts w:ascii="Arial"/>
                <w:sz w:val="21"/>
              </w:rPr>
            </w:pPr>
          </w:p>
          <w:p w14:paraId="31E72FDE">
            <w:pPr>
              <w:autoSpaceDE w:val="0"/>
              <w:autoSpaceDN w:val="0"/>
              <w:spacing w:before="59" w:line="215" w:lineRule="auto"/>
              <w:ind w:left="119" w:right="121"/>
              <w:jc w:val="both"/>
              <w:rPr>
                <w:rFonts w:ascii="楷体" w:hAnsi="楷体" w:eastAsia="楷体" w:cs="楷体"/>
                <w:sz w:val="18"/>
                <w:szCs w:val="18"/>
              </w:rPr>
            </w:pPr>
            <w:r>
              <w:rPr>
                <w:rFonts w:ascii="楷体" w:hAnsi="楷体" w:eastAsia="楷体" w:cs="楷体"/>
                <w:color w:val="030303"/>
                <w:spacing w:val="-1"/>
                <w:sz w:val="18"/>
                <w:szCs w:val="18"/>
              </w:rPr>
              <w:t>人均收入之比的变化</w:t>
            </w:r>
          </w:p>
        </w:tc>
      </w:tr>
      <w:tr w14:paraId="5A7394CD">
        <w:trPr>
          <w:trHeight w:val="684" w:hRule="atLeast"/>
        </w:trPr>
        <w:tc>
          <w:tcPr>
            <w:tcW w:w="719" w:type="dxa"/>
            <w:vMerge w:val="continue"/>
            <w:tcBorders>
              <w:top w:val="nil"/>
              <w:bottom w:val="single" w:color="231F20" w:sz="2" w:space="0"/>
            </w:tcBorders>
            <w:vAlign w:val="top"/>
          </w:tcPr>
          <w:p w14:paraId="3B8D5302">
            <w:pPr>
              <w:autoSpaceDE w:val="0"/>
              <w:autoSpaceDN w:val="0"/>
              <w:rPr>
                <w:rFonts w:ascii="Arial"/>
                <w:sz w:val="21"/>
              </w:rPr>
            </w:pPr>
          </w:p>
        </w:tc>
        <w:tc>
          <w:tcPr>
            <w:tcW w:w="795" w:type="dxa"/>
            <w:tcBorders>
              <w:bottom w:val="single" w:color="231F20" w:sz="2" w:space="0"/>
            </w:tcBorders>
            <w:vAlign w:val="top"/>
          </w:tcPr>
          <w:p w14:paraId="048B2295">
            <w:pPr>
              <w:autoSpaceDE w:val="0"/>
              <w:autoSpaceDN w:val="0"/>
              <w:spacing w:before="45" w:line="222" w:lineRule="auto"/>
              <w:ind w:left="164"/>
              <w:rPr>
                <w:rFonts w:ascii="楷体" w:hAnsi="楷体" w:eastAsia="楷体" w:cs="楷体"/>
                <w:sz w:val="18"/>
                <w:szCs w:val="18"/>
              </w:rPr>
            </w:pPr>
            <w:r>
              <w:rPr>
                <w:rFonts w:ascii="楷体" w:hAnsi="楷体" w:eastAsia="楷体" w:cs="楷体"/>
                <w:color w:val="231F20"/>
                <w:spacing w:val="-4"/>
                <w:sz w:val="18"/>
                <w:szCs w:val="18"/>
              </w:rPr>
              <w:t>经济实</w:t>
            </w:r>
          </w:p>
          <w:p w14:paraId="1F44CA50">
            <w:pPr>
              <w:autoSpaceDE w:val="0"/>
              <w:autoSpaceDN w:val="0"/>
              <w:spacing w:line="221" w:lineRule="auto"/>
              <w:ind w:left="171"/>
              <w:rPr>
                <w:rFonts w:ascii="楷体" w:hAnsi="楷体" w:eastAsia="楷体" w:cs="楷体"/>
                <w:sz w:val="18"/>
                <w:szCs w:val="18"/>
              </w:rPr>
            </w:pPr>
            <w:r>
              <w:rPr>
                <w:rFonts w:ascii="楷体" w:hAnsi="楷体" w:eastAsia="楷体" w:cs="楷体"/>
                <w:color w:val="231F20"/>
                <w:spacing w:val="-5"/>
                <w:sz w:val="18"/>
                <w:szCs w:val="18"/>
              </w:rPr>
              <w:t>际增长</w:t>
            </w:r>
          </w:p>
          <w:p w14:paraId="2CFC6953">
            <w:pPr>
              <w:autoSpaceDE w:val="0"/>
              <w:autoSpaceDN w:val="0"/>
              <w:spacing w:line="201" w:lineRule="auto"/>
              <w:ind w:left="159"/>
              <w:rPr>
                <w:rFonts w:ascii="楷体" w:hAnsi="楷体" w:eastAsia="楷体" w:cs="楷体"/>
                <w:sz w:val="18"/>
                <w:szCs w:val="18"/>
              </w:rPr>
            </w:pPr>
            <w:r>
              <w:rPr>
                <w:rFonts w:ascii="楷体" w:hAnsi="楷体" w:eastAsia="楷体" w:cs="楷体"/>
                <w:color w:val="231F20"/>
                <w:spacing w:val="-3"/>
                <w:sz w:val="18"/>
                <w:szCs w:val="18"/>
              </w:rPr>
              <w:t>率差异</w:t>
            </w:r>
          </w:p>
        </w:tc>
        <w:tc>
          <w:tcPr>
            <w:tcW w:w="760" w:type="dxa"/>
            <w:tcBorders>
              <w:bottom w:val="single" w:color="231F20" w:sz="2" w:space="0"/>
            </w:tcBorders>
            <w:vAlign w:val="top"/>
          </w:tcPr>
          <w:p w14:paraId="02971E5D">
            <w:pPr>
              <w:autoSpaceDE w:val="0"/>
              <w:autoSpaceDN w:val="0"/>
              <w:spacing w:before="45" w:line="233" w:lineRule="auto"/>
              <w:ind w:left="128"/>
              <w:rPr>
                <w:rFonts w:ascii="楷体" w:hAnsi="楷体" w:eastAsia="楷体" w:cs="楷体"/>
                <w:sz w:val="18"/>
                <w:szCs w:val="18"/>
              </w:rPr>
            </w:pPr>
            <w:r>
              <w:rPr>
                <w:rFonts w:ascii="楷体" w:hAnsi="楷体" w:eastAsia="楷体" w:cs="楷体"/>
                <w:color w:val="231F20"/>
                <w:spacing w:val="-4"/>
                <w:sz w:val="18"/>
                <w:szCs w:val="18"/>
              </w:rPr>
              <w:t>经济规</w:t>
            </w:r>
          </w:p>
          <w:p w14:paraId="5A9CBF5D">
            <w:pPr>
              <w:autoSpaceDE w:val="0"/>
              <w:autoSpaceDN w:val="0"/>
              <w:spacing w:line="202" w:lineRule="auto"/>
              <w:ind w:left="115"/>
              <w:rPr>
                <w:rFonts w:ascii="楷体" w:hAnsi="楷体" w:eastAsia="楷体" w:cs="楷体"/>
                <w:sz w:val="18"/>
                <w:szCs w:val="18"/>
              </w:rPr>
            </w:pPr>
            <w:r>
              <w:rPr>
                <w:rFonts w:ascii="楷体" w:hAnsi="楷体" w:eastAsia="楷体" w:cs="楷体"/>
                <w:color w:val="231F20"/>
                <w:spacing w:val="-1"/>
                <w:sz w:val="18"/>
                <w:szCs w:val="18"/>
              </w:rPr>
              <w:t>模之比</w:t>
            </w:r>
          </w:p>
          <w:p w14:paraId="3D6C786F">
            <w:pPr>
              <w:autoSpaceDE w:val="0"/>
              <w:autoSpaceDN w:val="0"/>
              <w:spacing w:before="18" w:line="190" w:lineRule="auto"/>
              <w:ind w:left="128"/>
              <w:rPr>
                <w:rFonts w:ascii="楷体" w:hAnsi="楷体" w:eastAsia="楷体" w:cs="楷体"/>
                <w:sz w:val="18"/>
                <w:szCs w:val="18"/>
              </w:rPr>
            </w:pPr>
            <w:r>
              <w:rPr>
                <w:rFonts w:ascii="楷体" w:hAnsi="楷体" w:eastAsia="楷体" w:cs="楷体"/>
                <w:color w:val="231F20"/>
                <w:spacing w:val="-4"/>
                <w:sz w:val="18"/>
                <w:szCs w:val="18"/>
              </w:rPr>
              <w:t>的变化</w:t>
            </w:r>
          </w:p>
        </w:tc>
        <w:tc>
          <w:tcPr>
            <w:tcW w:w="804" w:type="dxa"/>
            <w:vMerge w:val="continue"/>
            <w:tcBorders>
              <w:top w:val="nil"/>
              <w:bottom w:val="single" w:color="231F20" w:sz="2" w:space="0"/>
            </w:tcBorders>
            <w:vAlign w:val="top"/>
          </w:tcPr>
          <w:p w14:paraId="1CD2A17F">
            <w:pPr>
              <w:autoSpaceDE w:val="0"/>
              <w:autoSpaceDN w:val="0"/>
              <w:rPr>
                <w:rFonts w:ascii="Arial"/>
                <w:sz w:val="21"/>
              </w:rPr>
            </w:pPr>
          </w:p>
        </w:tc>
        <w:tc>
          <w:tcPr>
            <w:tcW w:w="674" w:type="dxa"/>
            <w:vMerge w:val="continue"/>
            <w:tcBorders>
              <w:top w:val="nil"/>
              <w:bottom w:val="single" w:color="231F20" w:sz="2" w:space="0"/>
            </w:tcBorders>
            <w:vAlign w:val="top"/>
          </w:tcPr>
          <w:p w14:paraId="53E93035">
            <w:pPr>
              <w:autoSpaceDE w:val="0"/>
              <w:autoSpaceDN w:val="0"/>
              <w:rPr>
                <w:rFonts w:ascii="Arial"/>
                <w:sz w:val="21"/>
              </w:rPr>
            </w:pPr>
          </w:p>
        </w:tc>
        <w:tc>
          <w:tcPr>
            <w:tcW w:w="796" w:type="dxa"/>
            <w:tcBorders>
              <w:bottom w:val="single" w:color="231F20" w:sz="2" w:space="0"/>
            </w:tcBorders>
            <w:vAlign w:val="top"/>
          </w:tcPr>
          <w:p w14:paraId="2D8645ED">
            <w:pPr>
              <w:autoSpaceDE w:val="0"/>
              <w:autoSpaceDN w:val="0"/>
              <w:spacing w:before="45" w:line="222" w:lineRule="auto"/>
              <w:ind w:left="165"/>
              <w:rPr>
                <w:rFonts w:ascii="楷体" w:hAnsi="楷体" w:eastAsia="楷体" w:cs="楷体"/>
                <w:sz w:val="18"/>
                <w:szCs w:val="18"/>
              </w:rPr>
            </w:pPr>
            <w:r>
              <w:rPr>
                <w:rFonts w:ascii="楷体" w:hAnsi="楷体" w:eastAsia="楷体" w:cs="楷体"/>
                <w:color w:val="231F20"/>
                <w:spacing w:val="-4"/>
                <w:sz w:val="18"/>
                <w:szCs w:val="18"/>
              </w:rPr>
              <w:t>经济实</w:t>
            </w:r>
          </w:p>
          <w:p w14:paraId="41292D8D">
            <w:pPr>
              <w:autoSpaceDE w:val="0"/>
              <w:autoSpaceDN w:val="0"/>
              <w:spacing w:line="221" w:lineRule="auto"/>
              <w:ind w:left="172"/>
              <w:rPr>
                <w:rFonts w:ascii="楷体" w:hAnsi="楷体" w:eastAsia="楷体" w:cs="楷体"/>
                <w:sz w:val="18"/>
                <w:szCs w:val="18"/>
              </w:rPr>
            </w:pPr>
            <w:r>
              <w:rPr>
                <w:rFonts w:ascii="楷体" w:hAnsi="楷体" w:eastAsia="楷体" w:cs="楷体"/>
                <w:color w:val="231F20"/>
                <w:spacing w:val="-5"/>
                <w:sz w:val="18"/>
                <w:szCs w:val="18"/>
              </w:rPr>
              <w:t>际增长</w:t>
            </w:r>
          </w:p>
          <w:p w14:paraId="3B465D2C">
            <w:pPr>
              <w:autoSpaceDE w:val="0"/>
              <w:autoSpaceDN w:val="0"/>
              <w:spacing w:line="201" w:lineRule="auto"/>
              <w:ind w:left="161"/>
              <w:rPr>
                <w:rFonts w:ascii="楷体" w:hAnsi="楷体" w:eastAsia="楷体" w:cs="楷体"/>
                <w:sz w:val="18"/>
                <w:szCs w:val="18"/>
              </w:rPr>
            </w:pPr>
            <w:r>
              <w:rPr>
                <w:rFonts w:ascii="楷体" w:hAnsi="楷体" w:eastAsia="楷体" w:cs="楷体"/>
                <w:color w:val="231F20"/>
                <w:spacing w:val="-3"/>
                <w:sz w:val="18"/>
                <w:szCs w:val="18"/>
              </w:rPr>
              <w:t>率差异</w:t>
            </w:r>
          </w:p>
        </w:tc>
        <w:tc>
          <w:tcPr>
            <w:tcW w:w="760" w:type="dxa"/>
            <w:tcBorders>
              <w:bottom w:val="single" w:color="231F20" w:sz="2" w:space="0"/>
            </w:tcBorders>
            <w:vAlign w:val="top"/>
          </w:tcPr>
          <w:p w14:paraId="2D3C7320">
            <w:pPr>
              <w:autoSpaceDE w:val="0"/>
              <w:autoSpaceDN w:val="0"/>
              <w:spacing w:before="45" w:line="233" w:lineRule="auto"/>
              <w:ind w:left="128"/>
              <w:rPr>
                <w:rFonts w:ascii="楷体" w:hAnsi="楷体" w:eastAsia="楷体" w:cs="楷体"/>
                <w:sz w:val="18"/>
                <w:szCs w:val="18"/>
              </w:rPr>
            </w:pPr>
            <w:r>
              <w:rPr>
                <w:rFonts w:ascii="楷体" w:hAnsi="楷体" w:eastAsia="楷体" w:cs="楷体"/>
                <w:color w:val="231F20"/>
                <w:spacing w:val="-4"/>
                <w:sz w:val="18"/>
                <w:szCs w:val="18"/>
              </w:rPr>
              <w:t>经济规</w:t>
            </w:r>
          </w:p>
          <w:p w14:paraId="203BCD9D">
            <w:pPr>
              <w:autoSpaceDE w:val="0"/>
              <w:autoSpaceDN w:val="0"/>
              <w:spacing w:line="202" w:lineRule="auto"/>
              <w:ind w:left="115"/>
              <w:rPr>
                <w:rFonts w:ascii="楷体" w:hAnsi="楷体" w:eastAsia="楷体" w:cs="楷体"/>
                <w:sz w:val="18"/>
                <w:szCs w:val="18"/>
              </w:rPr>
            </w:pPr>
            <w:r>
              <w:rPr>
                <w:rFonts w:ascii="楷体" w:hAnsi="楷体" w:eastAsia="楷体" w:cs="楷体"/>
                <w:color w:val="231F20"/>
                <w:spacing w:val="-1"/>
                <w:sz w:val="18"/>
                <w:szCs w:val="18"/>
              </w:rPr>
              <w:t>模之比</w:t>
            </w:r>
          </w:p>
          <w:p w14:paraId="4263E9B3">
            <w:pPr>
              <w:autoSpaceDE w:val="0"/>
              <w:autoSpaceDN w:val="0"/>
              <w:spacing w:before="18" w:line="190" w:lineRule="auto"/>
              <w:ind w:left="128"/>
              <w:rPr>
                <w:rFonts w:ascii="楷体" w:hAnsi="楷体" w:eastAsia="楷体" w:cs="楷体"/>
                <w:sz w:val="18"/>
                <w:szCs w:val="18"/>
              </w:rPr>
            </w:pPr>
            <w:r>
              <w:rPr>
                <w:rFonts w:ascii="楷体" w:hAnsi="楷体" w:eastAsia="楷体" w:cs="楷体"/>
                <w:color w:val="231F20"/>
                <w:spacing w:val="-4"/>
                <w:sz w:val="18"/>
                <w:szCs w:val="18"/>
              </w:rPr>
              <w:t>的变化</w:t>
            </w:r>
          </w:p>
        </w:tc>
        <w:tc>
          <w:tcPr>
            <w:tcW w:w="804" w:type="dxa"/>
            <w:vMerge w:val="continue"/>
            <w:tcBorders>
              <w:top w:val="nil"/>
              <w:bottom w:val="single" w:color="231F20" w:sz="2" w:space="0"/>
            </w:tcBorders>
            <w:vAlign w:val="top"/>
          </w:tcPr>
          <w:p w14:paraId="69576420">
            <w:pPr>
              <w:autoSpaceDE w:val="0"/>
              <w:autoSpaceDN w:val="0"/>
              <w:rPr>
                <w:rFonts w:ascii="Arial"/>
                <w:sz w:val="21"/>
              </w:rPr>
            </w:pPr>
          </w:p>
        </w:tc>
        <w:tc>
          <w:tcPr>
            <w:tcW w:w="675" w:type="dxa"/>
            <w:vMerge w:val="continue"/>
            <w:tcBorders>
              <w:top w:val="nil"/>
              <w:bottom w:val="single" w:color="231F20" w:sz="2" w:space="0"/>
            </w:tcBorders>
            <w:vAlign w:val="top"/>
          </w:tcPr>
          <w:p w14:paraId="1041D84E">
            <w:pPr>
              <w:autoSpaceDE w:val="0"/>
              <w:autoSpaceDN w:val="0"/>
              <w:rPr>
                <w:rFonts w:ascii="Arial"/>
                <w:sz w:val="21"/>
              </w:rPr>
            </w:pPr>
          </w:p>
        </w:tc>
        <w:tc>
          <w:tcPr>
            <w:tcW w:w="795" w:type="dxa"/>
            <w:tcBorders>
              <w:bottom w:val="single" w:color="231F20" w:sz="2" w:space="0"/>
            </w:tcBorders>
            <w:vAlign w:val="top"/>
          </w:tcPr>
          <w:p w14:paraId="1F0AACB5">
            <w:pPr>
              <w:autoSpaceDE w:val="0"/>
              <w:autoSpaceDN w:val="0"/>
              <w:spacing w:before="45" w:line="222" w:lineRule="auto"/>
              <w:ind w:left="164"/>
              <w:rPr>
                <w:rFonts w:ascii="楷体" w:hAnsi="楷体" w:eastAsia="楷体" w:cs="楷体"/>
                <w:sz w:val="18"/>
                <w:szCs w:val="18"/>
              </w:rPr>
            </w:pPr>
            <w:r>
              <w:rPr>
                <w:rFonts w:ascii="楷体" w:hAnsi="楷体" w:eastAsia="楷体" w:cs="楷体"/>
                <w:color w:val="231F20"/>
                <w:spacing w:val="-4"/>
                <w:sz w:val="18"/>
                <w:szCs w:val="18"/>
              </w:rPr>
              <w:t>经济实</w:t>
            </w:r>
          </w:p>
          <w:p w14:paraId="1678B7C0">
            <w:pPr>
              <w:autoSpaceDE w:val="0"/>
              <w:autoSpaceDN w:val="0"/>
              <w:spacing w:line="221" w:lineRule="auto"/>
              <w:ind w:left="171"/>
              <w:rPr>
                <w:rFonts w:ascii="楷体" w:hAnsi="楷体" w:eastAsia="楷体" w:cs="楷体"/>
                <w:sz w:val="18"/>
                <w:szCs w:val="18"/>
              </w:rPr>
            </w:pPr>
            <w:r>
              <w:rPr>
                <w:rFonts w:ascii="楷体" w:hAnsi="楷体" w:eastAsia="楷体" w:cs="楷体"/>
                <w:color w:val="231F20"/>
                <w:spacing w:val="-5"/>
                <w:sz w:val="18"/>
                <w:szCs w:val="18"/>
              </w:rPr>
              <w:t>际增长</w:t>
            </w:r>
          </w:p>
          <w:p w14:paraId="371EA8E3">
            <w:pPr>
              <w:autoSpaceDE w:val="0"/>
              <w:autoSpaceDN w:val="0"/>
              <w:spacing w:line="201" w:lineRule="auto"/>
              <w:ind w:left="160"/>
              <w:rPr>
                <w:rFonts w:ascii="楷体" w:hAnsi="楷体" w:eastAsia="楷体" w:cs="楷体"/>
                <w:sz w:val="18"/>
                <w:szCs w:val="18"/>
              </w:rPr>
            </w:pPr>
            <w:r>
              <w:rPr>
                <w:rFonts w:ascii="楷体" w:hAnsi="楷体" w:eastAsia="楷体" w:cs="楷体"/>
                <w:color w:val="231F20"/>
                <w:spacing w:val="-3"/>
                <w:sz w:val="18"/>
                <w:szCs w:val="18"/>
              </w:rPr>
              <w:t>率差异</w:t>
            </w:r>
          </w:p>
        </w:tc>
        <w:tc>
          <w:tcPr>
            <w:tcW w:w="767" w:type="dxa"/>
            <w:tcBorders>
              <w:bottom w:val="single" w:color="231F20" w:sz="2" w:space="0"/>
            </w:tcBorders>
            <w:vAlign w:val="top"/>
          </w:tcPr>
          <w:p w14:paraId="1A182473">
            <w:pPr>
              <w:autoSpaceDE w:val="0"/>
              <w:autoSpaceDN w:val="0"/>
              <w:spacing w:before="45" w:line="233" w:lineRule="auto"/>
              <w:ind w:left="128"/>
              <w:rPr>
                <w:rFonts w:ascii="楷体" w:hAnsi="楷体" w:eastAsia="楷体" w:cs="楷体"/>
                <w:sz w:val="18"/>
                <w:szCs w:val="18"/>
              </w:rPr>
            </w:pPr>
            <w:r>
              <w:rPr>
                <w:rFonts w:ascii="楷体" w:hAnsi="楷体" w:eastAsia="楷体" w:cs="楷体"/>
                <w:color w:val="231F20"/>
                <w:spacing w:val="-4"/>
                <w:sz w:val="18"/>
                <w:szCs w:val="18"/>
              </w:rPr>
              <w:t>经济规</w:t>
            </w:r>
          </w:p>
          <w:p w14:paraId="492576B3">
            <w:pPr>
              <w:autoSpaceDE w:val="0"/>
              <w:autoSpaceDN w:val="0"/>
              <w:spacing w:line="202" w:lineRule="auto"/>
              <w:ind w:left="115"/>
              <w:rPr>
                <w:rFonts w:ascii="楷体" w:hAnsi="楷体" w:eastAsia="楷体" w:cs="楷体"/>
                <w:sz w:val="18"/>
                <w:szCs w:val="18"/>
              </w:rPr>
            </w:pPr>
            <w:r>
              <w:rPr>
                <w:rFonts w:ascii="楷体" w:hAnsi="楷体" w:eastAsia="楷体" w:cs="楷体"/>
                <w:color w:val="231F20"/>
                <w:spacing w:val="-1"/>
                <w:sz w:val="18"/>
                <w:szCs w:val="18"/>
              </w:rPr>
              <w:t>模之比</w:t>
            </w:r>
          </w:p>
          <w:p w14:paraId="1F3B9563">
            <w:pPr>
              <w:autoSpaceDE w:val="0"/>
              <w:autoSpaceDN w:val="0"/>
              <w:spacing w:before="18" w:line="190" w:lineRule="auto"/>
              <w:ind w:left="128"/>
              <w:rPr>
                <w:rFonts w:ascii="楷体" w:hAnsi="楷体" w:eastAsia="楷体" w:cs="楷体"/>
                <w:sz w:val="18"/>
                <w:szCs w:val="18"/>
              </w:rPr>
            </w:pPr>
            <w:r>
              <w:rPr>
                <w:rFonts w:ascii="楷体" w:hAnsi="楷体" w:eastAsia="楷体" w:cs="楷体"/>
                <w:color w:val="030303"/>
                <w:spacing w:val="-4"/>
                <w:sz w:val="18"/>
                <w:szCs w:val="18"/>
              </w:rPr>
              <w:t>的变化</w:t>
            </w:r>
          </w:p>
        </w:tc>
        <w:tc>
          <w:tcPr>
            <w:tcW w:w="778" w:type="dxa"/>
            <w:vMerge w:val="continue"/>
            <w:tcBorders>
              <w:top w:val="nil"/>
              <w:bottom w:val="single" w:color="231F20" w:sz="2" w:space="0"/>
            </w:tcBorders>
            <w:vAlign w:val="top"/>
          </w:tcPr>
          <w:p w14:paraId="3C650E9B">
            <w:pPr>
              <w:autoSpaceDE w:val="0"/>
              <w:autoSpaceDN w:val="0"/>
              <w:rPr>
                <w:rFonts w:ascii="Arial"/>
                <w:sz w:val="21"/>
              </w:rPr>
            </w:pPr>
          </w:p>
        </w:tc>
      </w:tr>
      <w:tr w14:paraId="21BA6EF7">
        <w:trPr>
          <w:trHeight w:val="310" w:hRule="atLeast"/>
        </w:trPr>
        <w:tc>
          <w:tcPr>
            <w:tcW w:w="719" w:type="dxa"/>
            <w:tcBorders>
              <w:top w:val="single" w:color="231F20" w:sz="2" w:space="0"/>
            </w:tcBorders>
            <w:vAlign w:val="top"/>
          </w:tcPr>
          <w:p w14:paraId="570B4B42">
            <w:pPr>
              <w:pStyle w:val="26"/>
              <w:autoSpaceDE w:val="0"/>
              <w:autoSpaceDN w:val="0"/>
              <w:spacing w:before="96" w:line="186" w:lineRule="auto"/>
              <w:ind w:left="220"/>
            </w:pPr>
            <w:r>
              <w:rPr>
                <w:color w:val="030303"/>
                <w:spacing w:val="-4"/>
              </w:rPr>
              <w:t>1966</w:t>
            </w:r>
          </w:p>
        </w:tc>
        <w:tc>
          <w:tcPr>
            <w:tcW w:w="795" w:type="dxa"/>
            <w:tcBorders>
              <w:top w:val="single" w:color="231F20" w:sz="2" w:space="0"/>
            </w:tcBorders>
            <w:vAlign w:val="top"/>
          </w:tcPr>
          <w:p w14:paraId="341F81BF">
            <w:pPr>
              <w:pStyle w:val="26"/>
              <w:autoSpaceDE w:val="0"/>
              <w:autoSpaceDN w:val="0"/>
              <w:spacing w:before="96" w:line="186" w:lineRule="auto"/>
              <w:ind w:left="309"/>
            </w:pPr>
            <w:r>
              <w:rPr>
                <w:color w:val="030303"/>
                <w:spacing w:val="-1"/>
              </w:rPr>
              <w:t>4.2</w:t>
            </w:r>
          </w:p>
        </w:tc>
        <w:tc>
          <w:tcPr>
            <w:tcW w:w="760" w:type="dxa"/>
            <w:tcBorders>
              <w:top w:val="single" w:color="231F20" w:sz="2" w:space="0"/>
            </w:tcBorders>
            <w:vAlign w:val="top"/>
          </w:tcPr>
          <w:p w14:paraId="54AA68CA">
            <w:pPr>
              <w:pStyle w:val="26"/>
              <w:autoSpaceDE w:val="0"/>
              <w:autoSpaceDN w:val="0"/>
              <w:spacing w:before="96" w:line="178" w:lineRule="auto"/>
              <w:ind w:left="230"/>
            </w:pPr>
            <w:r>
              <w:rPr>
                <w:rFonts w:ascii="宋体" w:hAnsi="宋体" w:eastAsia="宋体" w:cs="宋体"/>
                <w:color w:val="030303"/>
                <w:spacing w:val="-2"/>
              </w:rPr>
              <w:t>-</w:t>
            </w:r>
            <w:r>
              <w:rPr>
                <w:color w:val="030303"/>
                <w:spacing w:val="-2"/>
              </w:rPr>
              <w:t>0.6</w:t>
            </w:r>
          </w:p>
        </w:tc>
        <w:tc>
          <w:tcPr>
            <w:tcW w:w="804" w:type="dxa"/>
            <w:tcBorders>
              <w:top w:val="single" w:color="231F20" w:sz="2" w:space="0"/>
            </w:tcBorders>
            <w:vAlign w:val="top"/>
          </w:tcPr>
          <w:p w14:paraId="620A11B9">
            <w:pPr>
              <w:pStyle w:val="26"/>
              <w:autoSpaceDE w:val="0"/>
              <w:autoSpaceDN w:val="0"/>
              <w:spacing w:before="96" w:line="178" w:lineRule="auto"/>
              <w:ind w:left="229"/>
            </w:pPr>
            <w:r>
              <w:rPr>
                <w:rFonts w:ascii="宋体" w:hAnsi="宋体" w:eastAsia="宋体" w:cs="宋体"/>
                <w:color w:val="030303"/>
                <w:spacing w:val="-2"/>
              </w:rPr>
              <w:t>-</w:t>
            </w:r>
            <w:r>
              <w:rPr>
                <w:color w:val="030303"/>
                <w:spacing w:val="-2"/>
              </w:rPr>
              <w:t>2.2</w:t>
            </w:r>
          </w:p>
        </w:tc>
        <w:tc>
          <w:tcPr>
            <w:tcW w:w="674" w:type="dxa"/>
            <w:tcBorders>
              <w:top w:val="single" w:color="231F20" w:sz="2" w:space="0"/>
            </w:tcBorders>
            <w:vAlign w:val="top"/>
          </w:tcPr>
          <w:p w14:paraId="7B70AB07">
            <w:pPr>
              <w:pStyle w:val="26"/>
              <w:autoSpaceDE w:val="0"/>
              <w:autoSpaceDN w:val="0"/>
              <w:spacing w:before="96" w:line="186" w:lineRule="auto"/>
              <w:ind w:left="176"/>
            </w:pPr>
            <w:r>
              <w:rPr>
                <w:color w:val="030303"/>
                <w:spacing w:val="-4"/>
              </w:rPr>
              <w:t>1975</w:t>
            </w:r>
          </w:p>
        </w:tc>
        <w:tc>
          <w:tcPr>
            <w:tcW w:w="796" w:type="dxa"/>
            <w:tcBorders>
              <w:top w:val="single" w:color="231F20" w:sz="2" w:space="0"/>
            </w:tcBorders>
            <w:vAlign w:val="top"/>
          </w:tcPr>
          <w:p w14:paraId="6300B03D">
            <w:pPr>
              <w:pStyle w:val="26"/>
              <w:autoSpaceDE w:val="0"/>
              <w:autoSpaceDN w:val="0"/>
              <w:spacing w:before="96" w:line="186" w:lineRule="auto"/>
              <w:ind w:left="315"/>
            </w:pPr>
            <w:r>
              <w:rPr>
                <w:color w:val="030303"/>
                <w:spacing w:val="-2"/>
              </w:rPr>
              <w:t>3.3</w:t>
            </w:r>
          </w:p>
        </w:tc>
        <w:tc>
          <w:tcPr>
            <w:tcW w:w="760" w:type="dxa"/>
            <w:tcBorders>
              <w:top w:val="single" w:color="231F20" w:sz="2" w:space="0"/>
            </w:tcBorders>
            <w:vAlign w:val="top"/>
          </w:tcPr>
          <w:p w14:paraId="75D38E17">
            <w:pPr>
              <w:pStyle w:val="26"/>
              <w:autoSpaceDE w:val="0"/>
              <w:autoSpaceDN w:val="0"/>
              <w:spacing w:before="96" w:line="178" w:lineRule="auto"/>
              <w:ind w:left="231"/>
            </w:pPr>
            <w:r>
              <w:rPr>
                <w:rFonts w:ascii="宋体" w:hAnsi="宋体" w:eastAsia="宋体" w:cs="宋体"/>
                <w:color w:val="030303"/>
                <w:spacing w:val="-2"/>
              </w:rPr>
              <w:t>-</w:t>
            </w:r>
            <w:r>
              <w:rPr>
                <w:color w:val="030303"/>
                <w:spacing w:val="-2"/>
              </w:rPr>
              <w:t>0.3</w:t>
            </w:r>
          </w:p>
        </w:tc>
        <w:tc>
          <w:tcPr>
            <w:tcW w:w="804" w:type="dxa"/>
            <w:tcBorders>
              <w:top w:val="single" w:color="231F20" w:sz="2" w:space="0"/>
            </w:tcBorders>
            <w:vAlign w:val="top"/>
          </w:tcPr>
          <w:p w14:paraId="7F53E5A1">
            <w:pPr>
              <w:pStyle w:val="26"/>
              <w:autoSpaceDE w:val="0"/>
              <w:autoSpaceDN w:val="0"/>
              <w:spacing w:before="96" w:line="178" w:lineRule="auto"/>
              <w:ind w:left="229"/>
            </w:pPr>
            <w:r>
              <w:rPr>
                <w:rFonts w:ascii="宋体" w:hAnsi="宋体" w:eastAsia="宋体" w:cs="宋体"/>
                <w:color w:val="030303"/>
                <w:spacing w:val="-2"/>
              </w:rPr>
              <w:t>-</w:t>
            </w:r>
            <w:r>
              <w:rPr>
                <w:color w:val="030303"/>
                <w:spacing w:val="-2"/>
              </w:rPr>
              <w:t>0.6</w:t>
            </w:r>
          </w:p>
        </w:tc>
        <w:tc>
          <w:tcPr>
            <w:tcW w:w="675" w:type="dxa"/>
            <w:tcBorders>
              <w:top w:val="single" w:color="231F20" w:sz="2" w:space="0"/>
            </w:tcBorders>
            <w:vAlign w:val="top"/>
          </w:tcPr>
          <w:p w14:paraId="6D6B8F41">
            <w:pPr>
              <w:pStyle w:val="26"/>
              <w:autoSpaceDE w:val="0"/>
              <w:autoSpaceDN w:val="0"/>
              <w:spacing w:before="96" w:line="186" w:lineRule="auto"/>
              <w:ind w:left="177"/>
            </w:pPr>
            <w:r>
              <w:rPr>
                <w:color w:val="030303"/>
                <w:spacing w:val="-4"/>
              </w:rPr>
              <w:t>1961</w:t>
            </w:r>
          </w:p>
        </w:tc>
        <w:tc>
          <w:tcPr>
            <w:tcW w:w="795" w:type="dxa"/>
            <w:tcBorders>
              <w:top w:val="single" w:color="231F20" w:sz="2" w:space="0"/>
            </w:tcBorders>
            <w:vAlign w:val="top"/>
          </w:tcPr>
          <w:p w14:paraId="4E04AB02">
            <w:pPr>
              <w:pStyle w:val="26"/>
              <w:autoSpaceDE w:val="0"/>
              <w:autoSpaceDN w:val="0"/>
              <w:spacing w:before="96" w:line="186" w:lineRule="auto"/>
              <w:ind w:left="309"/>
            </w:pPr>
            <w:r>
              <w:rPr>
                <w:color w:val="030303"/>
                <w:spacing w:val="-1"/>
              </w:rPr>
              <w:t>4.6</w:t>
            </w:r>
          </w:p>
        </w:tc>
        <w:tc>
          <w:tcPr>
            <w:tcW w:w="767" w:type="dxa"/>
            <w:tcBorders>
              <w:top w:val="single" w:color="231F20" w:sz="2" w:space="0"/>
            </w:tcBorders>
            <w:vAlign w:val="top"/>
          </w:tcPr>
          <w:p w14:paraId="0FC69F15">
            <w:pPr>
              <w:pStyle w:val="26"/>
              <w:autoSpaceDE w:val="0"/>
              <w:autoSpaceDN w:val="0"/>
              <w:spacing w:before="96" w:line="178" w:lineRule="auto"/>
              <w:ind w:left="186"/>
            </w:pPr>
            <w:r>
              <w:rPr>
                <w:rFonts w:ascii="宋体" w:hAnsi="宋体" w:eastAsia="宋体" w:cs="宋体"/>
                <w:color w:val="030303"/>
                <w:spacing w:val="-2"/>
              </w:rPr>
              <w:t>-</w:t>
            </w:r>
            <w:r>
              <w:rPr>
                <w:color w:val="030303"/>
                <w:spacing w:val="-2"/>
              </w:rPr>
              <w:t>41.1</w:t>
            </w:r>
          </w:p>
        </w:tc>
        <w:tc>
          <w:tcPr>
            <w:tcW w:w="778" w:type="dxa"/>
            <w:tcBorders>
              <w:top w:val="single" w:color="231F20" w:sz="2" w:space="0"/>
            </w:tcBorders>
            <w:vAlign w:val="top"/>
          </w:tcPr>
          <w:p w14:paraId="7C4056B9">
            <w:pPr>
              <w:pStyle w:val="26"/>
              <w:autoSpaceDE w:val="0"/>
              <w:autoSpaceDN w:val="0"/>
              <w:spacing w:before="96" w:line="178" w:lineRule="auto"/>
              <w:ind w:left="190"/>
            </w:pPr>
            <w:r>
              <w:rPr>
                <w:rFonts w:ascii="宋体" w:hAnsi="宋体" w:eastAsia="宋体" w:cs="宋体"/>
                <w:color w:val="030303"/>
                <w:spacing w:val="-2"/>
              </w:rPr>
              <w:t>-</w:t>
            </w:r>
            <w:r>
              <w:rPr>
                <w:color w:val="030303"/>
                <w:spacing w:val="-2"/>
              </w:rPr>
              <w:t>41.9</w:t>
            </w:r>
          </w:p>
        </w:tc>
      </w:tr>
      <w:tr w14:paraId="6707984C">
        <w:trPr>
          <w:trHeight w:val="311" w:hRule="atLeast"/>
        </w:trPr>
        <w:tc>
          <w:tcPr>
            <w:tcW w:w="719" w:type="dxa"/>
            <w:vAlign w:val="top"/>
          </w:tcPr>
          <w:p w14:paraId="50D9C738">
            <w:pPr>
              <w:pStyle w:val="26"/>
              <w:autoSpaceDE w:val="0"/>
              <w:autoSpaceDN w:val="0"/>
              <w:spacing w:before="98" w:line="186" w:lineRule="auto"/>
              <w:ind w:left="221"/>
            </w:pPr>
            <w:r>
              <w:rPr>
                <w:color w:val="030303"/>
                <w:spacing w:val="-4"/>
              </w:rPr>
              <w:t>1971</w:t>
            </w:r>
          </w:p>
        </w:tc>
        <w:tc>
          <w:tcPr>
            <w:tcW w:w="795" w:type="dxa"/>
            <w:vAlign w:val="top"/>
          </w:tcPr>
          <w:p w14:paraId="48E7ADF8">
            <w:pPr>
              <w:pStyle w:val="26"/>
              <w:autoSpaceDE w:val="0"/>
              <w:autoSpaceDN w:val="0"/>
              <w:spacing w:before="98" w:line="186" w:lineRule="auto"/>
              <w:ind w:left="314"/>
            </w:pPr>
            <w:r>
              <w:rPr>
                <w:color w:val="030303"/>
                <w:spacing w:val="-2"/>
              </w:rPr>
              <w:t>3.8</w:t>
            </w:r>
          </w:p>
        </w:tc>
        <w:tc>
          <w:tcPr>
            <w:tcW w:w="760" w:type="dxa"/>
            <w:vAlign w:val="top"/>
          </w:tcPr>
          <w:p w14:paraId="34A637AA">
            <w:pPr>
              <w:pStyle w:val="26"/>
              <w:autoSpaceDE w:val="0"/>
              <w:autoSpaceDN w:val="0"/>
              <w:spacing w:before="98" w:line="178" w:lineRule="auto"/>
              <w:ind w:left="231"/>
            </w:pPr>
            <w:r>
              <w:rPr>
                <w:rFonts w:ascii="宋体" w:hAnsi="宋体" w:eastAsia="宋体" w:cs="宋体"/>
                <w:color w:val="030303"/>
                <w:spacing w:val="-2"/>
              </w:rPr>
              <w:t>-</w:t>
            </w:r>
            <w:r>
              <w:rPr>
                <w:color w:val="030303"/>
                <w:spacing w:val="-2"/>
              </w:rPr>
              <w:t>0.7</w:t>
            </w:r>
          </w:p>
        </w:tc>
        <w:tc>
          <w:tcPr>
            <w:tcW w:w="804" w:type="dxa"/>
            <w:vAlign w:val="top"/>
          </w:tcPr>
          <w:p w14:paraId="2C8AAFFD">
            <w:pPr>
              <w:pStyle w:val="26"/>
              <w:autoSpaceDE w:val="0"/>
              <w:autoSpaceDN w:val="0"/>
              <w:spacing w:before="98" w:line="178" w:lineRule="auto"/>
              <w:ind w:left="230"/>
            </w:pPr>
            <w:r>
              <w:rPr>
                <w:rFonts w:ascii="宋体" w:hAnsi="宋体" w:eastAsia="宋体" w:cs="宋体"/>
                <w:color w:val="030303"/>
                <w:spacing w:val="-2"/>
              </w:rPr>
              <w:t>-</w:t>
            </w:r>
            <w:r>
              <w:rPr>
                <w:color w:val="030303"/>
                <w:spacing w:val="-2"/>
              </w:rPr>
              <w:t>2.2</w:t>
            </w:r>
          </w:p>
        </w:tc>
        <w:tc>
          <w:tcPr>
            <w:tcW w:w="674" w:type="dxa"/>
            <w:vAlign w:val="top"/>
          </w:tcPr>
          <w:p w14:paraId="409D6DD0">
            <w:pPr>
              <w:pStyle w:val="26"/>
              <w:autoSpaceDE w:val="0"/>
              <w:autoSpaceDN w:val="0"/>
              <w:spacing w:before="98" w:line="186" w:lineRule="auto"/>
              <w:ind w:left="177"/>
            </w:pPr>
            <w:r>
              <w:rPr>
                <w:color w:val="231F20"/>
                <w:spacing w:val="-4"/>
              </w:rPr>
              <w:t>1979</w:t>
            </w:r>
          </w:p>
        </w:tc>
        <w:tc>
          <w:tcPr>
            <w:tcW w:w="796" w:type="dxa"/>
            <w:vAlign w:val="top"/>
          </w:tcPr>
          <w:p w14:paraId="5FF6A717">
            <w:pPr>
              <w:pStyle w:val="26"/>
              <w:autoSpaceDE w:val="0"/>
              <w:autoSpaceDN w:val="0"/>
              <w:spacing w:before="98" w:line="186" w:lineRule="auto"/>
              <w:ind w:left="312"/>
            </w:pPr>
            <w:r>
              <w:rPr>
                <w:color w:val="231F20"/>
                <w:spacing w:val="-1"/>
              </w:rPr>
              <w:t>2.3</w:t>
            </w:r>
          </w:p>
        </w:tc>
        <w:tc>
          <w:tcPr>
            <w:tcW w:w="760" w:type="dxa"/>
            <w:vAlign w:val="top"/>
          </w:tcPr>
          <w:p w14:paraId="3302B83F">
            <w:pPr>
              <w:pStyle w:val="26"/>
              <w:autoSpaceDE w:val="0"/>
              <w:autoSpaceDN w:val="0"/>
              <w:spacing w:before="98" w:line="178" w:lineRule="auto"/>
              <w:ind w:left="231"/>
            </w:pPr>
            <w:r>
              <w:rPr>
                <w:rFonts w:ascii="宋体" w:hAnsi="宋体" w:eastAsia="宋体" w:cs="宋体"/>
                <w:color w:val="231F20"/>
                <w:spacing w:val="-2"/>
              </w:rPr>
              <w:t>-</w:t>
            </w:r>
            <w:r>
              <w:rPr>
                <w:color w:val="231F20"/>
                <w:spacing w:val="-2"/>
              </w:rPr>
              <w:t>6.8</w:t>
            </w:r>
          </w:p>
        </w:tc>
        <w:tc>
          <w:tcPr>
            <w:tcW w:w="804" w:type="dxa"/>
            <w:vAlign w:val="top"/>
          </w:tcPr>
          <w:p w14:paraId="2094FEB9">
            <w:pPr>
              <w:pStyle w:val="26"/>
              <w:autoSpaceDE w:val="0"/>
              <w:autoSpaceDN w:val="0"/>
              <w:spacing w:before="98" w:line="178" w:lineRule="auto"/>
              <w:ind w:left="230"/>
            </w:pPr>
            <w:r>
              <w:rPr>
                <w:rFonts w:ascii="宋体" w:hAnsi="宋体" w:eastAsia="宋体" w:cs="宋体"/>
                <w:color w:val="231F20"/>
                <w:spacing w:val="-2"/>
              </w:rPr>
              <w:t>-</w:t>
            </w:r>
            <w:r>
              <w:rPr>
                <w:color w:val="231F20"/>
                <w:spacing w:val="-2"/>
              </w:rPr>
              <w:t>6.6</w:t>
            </w:r>
          </w:p>
        </w:tc>
        <w:tc>
          <w:tcPr>
            <w:tcW w:w="675" w:type="dxa"/>
            <w:vAlign w:val="top"/>
          </w:tcPr>
          <w:p w14:paraId="44842F7F">
            <w:pPr>
              <w:pStyle w:val="26"/>
              <w:autoSpaceDE w:val="0"/>
              <w:autoSpaceDN w:val="0"/>
              <w:spacing w:before="98" w:line="186" w:lineRule="auto"/>
              <w:ind w:left="177"/>
            </w:pPr>
            <w:r>
              <w:rPr>
                <w:color w:val="231F20"/>
                <w:spacing w:val="-4"/>
              </w:rPr>
              <w:t>1964</w:t>
            </w:r>
          </w:p>
        </w:tc>
        <w:tc>
          <w:tcPr>
            <w:tcW w:w="795" w:type="dxa"/>
            <w:vAlign w:val="top"/>
          </w:tcPr>
          <w:p w14:paraId="2ED6ECE4">
            <w:pPr>
              <w:pStyle w:val="26"/>
              <w:autoSpaceDE w:val="0"/>
              <w:autoSpaceDN w:val="0"/>
              <w:spacing w:before="98" w:line="186" w:lineRule="auto"/>
              <w:ind w:left="315"/>
            </w:pPr>
            <w:r>
              <w:rPr>
                <w:color w:val="231F20"/>
                <w:spacing w:val="-2"/>
              </w:rPr>
              <w:t>3.7</w:t>
            </w:r>
          </w:p>
        </w:tc>
        <w:tc>
          <w:tcPr>
            <w:tcW w:w="767" w:type="dxa"/>
            <w:vAlign w:val="top"/>
          </w:tcPr>
          <w:p w14:paraId="7CBAEB35">
            <w:pPr>
              <w:pStyle w:val="26"/>
              <w:autoSpaceDE w:val="0"/>
              <w:autoSpaceDN w:val="0"/>
              <w:spacing w:before="98" w:line="178" w:lineRule="auto"/>
              <w:ind w:left="186"/>
            </w:pPr>
            <w:r>
              <w:rPr>
                <w:rFonts w:ascii="宋体" w:hAnsi="宋体" w:eastAsia="宋体" w:cs="宋体"/>
                <w:color w:val="231F20"/>
                <w:spacing w:val="-2"/>
              </w:rPr>
              <w:t>-</w:t>
            </w:r>
            <w:r>
              <w:rPr>
                <w:color w:val="231F20"/>
                <w:spacing w:val="-2"/>
              </w:rPr>
              <w:t>19.2</w:t>
            </w:r>
          </w:p>
        </w:tc>
        <w:tc>
          <w:tcPr>
            <w:tcW w:w="778" w:type="dxa"/>
            <w:vAlign w:val="top"/>
          </w:tcPr>
          <w:p w14:paraId="788E4345">
            <w:pPr>
              <w:pStyle w:val="26"/>
              <w:autoSpaceDE w:val="0"/>
              <w:autoSpaceDN w:val="0"/>
              <w:spacing w:before="98" w:line="178" w:lineRule="auto"/>
              <w:ind w:left="191"/>
            </w:pPr>
            <w:r>
              <w:rPr>
                <w:rFonts w:ascii="宋体" w:hAnsi="宋体" w:eastAsia="宋体" w:cs="宋体"/>
                <w:color w:val="231F20"/>
                <w:spacing w:val="-2"/>
              </w:rPr>
              <w:t>-</w:t>
            </w:r>
            <w:r>
              <w:rPr>
                <w:color w:val="231F20"/>
                <w:spacing w:val="-2"/>
              </w:rPr>
              <w:t>20.2</w:t>
            </w:r>
          </w:p>
        </w:tc>
      </w:tr>
      <w:tr w14:paraId="77BDA6F9">
        <w:trPr>
          <w:trHeight w:val="310" w:hRule="atLeast"/>
        </w:trPr>
        <w:tc>
          <w:tcPr>
            <w:tcW w:w="719" w:type="dxa"/>
            <w:vAlign w:val="top"/>
          </w:tcPr>
          <w:p w14:paraId="71B51BC3">
            <w:pPr>
              <w:pStyle w:val="26"/>
              <w:autoSpaceDE w:val="0"/>
              <w:autoSpaceDN w:val="0"/>
              <w:spacing w:before="99" w:line="186" w:lineRule="auto"/>
              <w:ind w:left="222"/>
            </w:pPr>
            <w:r>
              <w:rPr>
                <w:color w:val="231F20"/>
                <w:spacing w:val="-4"/>
              </w:rPr>
              <w:t>1974</w:t>
            </w:r>
          </w:p>
        </w:tc>
        <w:tc>
          <w:tcPr>
            <w:tcW w:w="795" w:type="dxa"/>
            <w:vAlign w:val="top"/>
          </w:tcPr>
          <w:p w14:paraId="2EA05FF5">
            <w:pPr>
              <w:pStyle w:val="26"/>
              <w:autoSpaceDE w:val="0"/>
              <w:autoSpaceDN w:val="0"/>
              <w:spacing w:before="99" w:line="186" w:lineRule="auto"/>
              <w:ind w:left="312"/>
            </w:pPr>
            <w:r>
              <w:rPr>
                <w:color w:val="231F20"/>
                <w:spacing w:val="-1"/>
              </w:rPr>
              <w:t>2.9</w:t>
            </w:r>
          </w:p>
        </w:tc>
        <w:tc>
          <w:tcPr>
            <w:tcW w:w="760" w:type="dxa"/>
            <w:vAlign w:val="top"/>
          </w:tcPr>
          <w:p w14:paraId="3FBF5A0A">
            <w:pPr>
              <w:pStyle w:val="26"/>
              <w:autoSpaceDE w:val="0"/>
              <w:autoSpaceDN w:val="0"/>
              <w:spacing w:before="99" w:line="178" w:lineRule="auto"/>
              <w:ind w:left="232"/>
            </w:pPr>
            <w:r>
              <w:rPr>
                <w:rFonts w:ascii="宋体" w:hAnsi="宋体" w:eastAsia="宋体" w:cs="宋体"/>
                <w:color w:val="231F20"/>
                <w:spacing w:val="-2"/>
              </w:rPr>
              <w:t>-</w:t>
            </w:r>
            <w:r>
              <w:rPr>
                <w:color w:val="231F20"/>
                <w:spacing w:val="-2"/>
              </w:rPr>
              <w:t>4.0</w:t>
            </w:r>
          </w:p>
        </w:tc>
        <w:tc>
          <w:tcPr>
            <w:tcW w:w="804" w:type="dxa"/>
            <w:vAlign w:val="top"/>
          </w:tcPr>
          <w:p w14:paraId="2BC6FA47">
            <w:pPr>
              <w:pStyle w:val="26"/>
              <w:autoSpaceDE w:val="0"/>
              <w:autoSpaceDN w:val="0"/>
              <w:spacing w:before="99" w:line="178" w:lineRule="auto"/>
              <w:ind w:left="230"/>
            </w:pPr>
            <w:r>
              <w:rPr>
                <w:rFonts w:ascii="宋体" w:hAnsi="宋体" w:eastAsia="宋体" w:cs="宋体"/>
                <w:color w:val="231F20"/>
                <w:spacing w:val="-2"/>
              </w:rPr>
              <w:t>-</w:t>
            </w:r>
            <w:r>
              <w:rPr>
                <w:color w:val="231F20"/>
                <w:spacing w:val="-2"/>
              </w:rPr>
              <w:t>5.1</w:t>
            </w:r>
          </w:p>
        </w:tc>
        <w:tc>
          <w:tcPr>
            <w:tcW w:w="674" w:type="dxa"/>
            <w:vAlign w:val="top"/>
          </w:tcPr>
          <w:p w14:paraId="21A94077">
            <w:pPr>
              <w:pStyle w:val="26"/>
              <w:autoSpaceDE w:val="0"/>
              <w:autoSpaceDN w:val="0"/>
              <w:spacing w:before="99" w:line="186" w:lineRule="auto"/>
              <w:ind w:left="178"/>
            </w:pPr>
            <w:r>
              <w:rPr>
                <w:color w:val="231F20"/>
                <w:spacing w:val="-4"/>
              </w:rPr>
              <w:t>1980</w:t>
            </w:r>
          </w:p>
        </w:tc>
        <w:tc>
          <w:tcPr>
            <w:tcW w:w="796" w:type="dxa"/>
            <w:vAlign w:val="top"/>
          </w:tcPr>
          <w:p w14:paraId="735B79F9">
            <w:pPr>
              <w:pStyle w:val="26"/>
              <w:autoSpaceDE w:val="0"/>
              <w:autoSpaceDN w:val="0"/>
              <w:spacing w:before="99" w:line="186" w:lineRule="auto"/>
              <w:ind w:left="316"/>
            </w:pPr>
            <w:r>
              <w:rPr>
                <w:color w:val="231F20"/>
                <w:spacing w:val="-2"/>
              </w:rPr>
              <w:t>3.1</w:t>
            </w:r>
          </w:p>
        </w:tc>
        <w:tc>
          <w:tcPr>
            <w:tcW w:w="760" w:type="dxa"/>
            <w:vAlign w:val="top"/>
          </w:tcPr>
          <w:p w14:paraId="2479D062">
            <w:pPr>
              <w:pStyle w:val="26"/>
              <w:autoSpaceDE w:val="0"/>
              <w:autoSpaceDN w:val="0"/>
              <w:spacing w:before="99" w:line="178" w:lineRule="auto"/>
              <w:ind w:left="232"/>
            </w:pPr>
            <w:r>
              <w:rPr>
                <w:rFonts w:ascii="宋体" w:hAnsi="宋体" w:eastAsia="宋体" w:cs="宋体"/>
                <w:color w:val="231F20"/>
                <w:spacing w:val="-2"/>
              </w:rPr>
              <w:t>-</w:t>
            </w:r>
            <w:r>
              <w:rPr>
                <w:color w:val="231F20"/>
                <w:spacing w:val="-2"/>
              </w:rPr>
              <w:t>3.7</w:t>
            </w:r>
          </w:p>
        </w:tc>
        <w:tc>
          <w:tcPr>
            <w:tcW w:w="804" w:type="dxa"/>
            <w:vAlign w:val="top"/>
          </w:tcPr>
          <w:p w14:paraId="6FBA01A0">
            <w:pPr>
              <w:pStyle w:val="26"/>
              <w:autoSpaceDE w:val="0"/>
              <w:autoSpaceDN w:val="0"/>
              <w:spacing w:before="99" w:line="178" w:lineRule="auto"/>
              <w:ind w:left="230"/>
            </w:pPr>
            <w:r>
              <w:rPr>
                <w:rFonts w:ascii="宋体" w:hAnsi="宋体" w:eastAsia="宋体" w:cs="宋体"/>
                <w:color w:val="231F20"/>
                <w:spacing w:val="-2"/>
              </w:rPr>
              <w:t>-</w:t>
            </w:r>
            <w:r>
              <w:rPr>
                <w:color w:val="231F20"/>
                <w:spacing w:val="-2"/>
              </w:rPr>
              <w:t>3.5</w:t>
            </w:r>
          </w:p>
        </w:tc>
        <w:tc>
          <w:tcPr>
            <w:tcW w:w="675" w:type="dxa"/>
            <w:vAlign w:val="top"/>
          </w:tcPr>
          <w:p w14:paraId="31F203A6">
            <w:pPr>
              <w:pStyle w:val="26"/>
              <w:autoSpaceDE w:val="0"/>
              <w:autoSpaceDN w:val="0"/>
              <w:spacing w:before="99" w:line="186" w:lineRule="auto"/>
              <w:ind w:left="178"/>
            </w:pPr>
            <w:r>
              <w:rPr>
                <w:color w:val="231F20"/>
                <w:spacing w:val="-4"/>
              </w:rPr>
              <w:t>1965</w:t>
            </w:r>
          </w:p>
        </w:tc>
        <w:tc>
          <w:tcPr>
            <w:tcW w:w="795" w:type="dxa"/>
            <w:vAlign w:val="top"/>
          </w:tcPr>
          <w:p w14:paraId="117B241E">
            <w:pPr>
              <w:pStyle w:val="26"/>
              <w:autoSpaceDE w:val="0"/>
              <w:autoSpaceDN w:val="0"/>
              <w:spacing w:before="99" w:line="186" w:lineRule="auto"/>
              <w:ind w:left="314"/>
            </w:pPr>
            <w:r>
              <w:rPr>
                <w:color w:val="231F20"/>
                <w:spacing w:val="-2"/>
              </w:rPr>
              <w:t>0.9</w:t>
            </w:r>
          </w:p>
        </w:tc>
        <w:tc>
          <w:tcPr>
            <w:tcW w:w="767" w:type="dxa"/>
            <w:vAlign w:val="top"/>
          </w:tcPr>
          <w:p w14:paraId="15ED54E3">
            <w:pPr>
              <w:pStyle w:val="26"/>
              <w:autoSpaceDE w:val="0"/>
              <w:autoSpaceDN w:val="0"/>
              <w:spacing w:before="99" w:line="178" w:lineRule="auto"/>
              <w:ind w:left="187"/>
            </w:pPr>
            <w:r>
              <w:rPr>
                <w:rFonts w:ascii="宋体" w:hAnsi="宋体" w:eastAsia="宋体" w:cs="宋体"/>
                <w:color w:val="231F20"/>
                <w:spacing w:val="-2"/>
              </w:rPr>
              <w:t>-</w:t>
            </w:r>
            <w:r>
              <w:rPr>
                <w:color w:val="231F20"/>
                <w:spacing w:val="-2"/>
              </w:rPr>
              <w:t>16.8</w:t>
            </w:r>
          </w:p>
        </w:tc>
        <w:tc>
          <w:tcPr>
            <w:tcW w:w="778" w:type="dxa"/>
            <w:vAlign w:val="top"/>
          </w:tcPr>
          <w:p w14:paraId="63F14685">
            <w:pPr>
              <w:pStyle w:val="26"/>
              <w:autoSpaceDE w:val="0"/>
              <w:autoSpaceDN w:val="0"/>
              <w:spacing w:before="99" w:line="178" w:lineRule="auto"/>
              <w:ind w:left="192"/>
            </w:pPr>
            <w:r>
              <w:rPr>
                <w:rFonts w:ascii="宋体" w:hAnsi="宋体" w:eastAsia="宋体" w:cs="宋体"/>
                <w:color w:val="231F20"/>
                <w:spacing w:val="-2"/>
              </w:rPr>
              <w:t>-</w:t>
            </w:r>
            <w:r>
              <w:rPr>
                <w:color w:val="231F20"/>
                <w:spacing w:val="-2"/>
              </w:rPr>
              <w:t>17.9</w:t>
            </w:r>
          </w:p>
        </w:tc>
      </w:tr>
      <w:tr w14:paraId="387BB688">
        <w:trPr>
          <w:trHeight w:val="310" w:hRule="atLeast"/>
        </w:trPr>
        <w:tc>
          <w:tcPr>
            <w:tcW w:w="719" w:type="dxa"/>
            <w:vAlign w:val="top"/>
          </w:tcPr>
          <w:p w14:paraId="0FF53F6E">
            <w:pPr>
              <w:pStyle w:val="26"/>
              <w:autoSpaceDE w:val="0"/>
              <w:autoSpaceDN w:val="0"/>
              <w:spacing w:before="100" w:line="186" w:lineRule="auto"/>
              <w:ind w:left="223"/>
            </w:pPr>
            <w:r>
              <w:rPr>
                <w:color w:val="030303"/>
                <w:spacing w:val="-4"/>
              </w:rPr>
              <w:t>1981</w:t>
            </w:r>
          </w:p>
        </w:tc>
        <w:tc>
          <w:tcPr>
            <w:tcW w:w="795" w:type="dxa"/>
            <w:vAlign w:val="top"/>
          </w:tcPr>
          <w:p w14:paraId="70A223BD">
            <w:pPr>
              <w:pStyle w:val="26"/>
              <w:autoSpaceDE w:val="0"/>
              <w:autoSpaceDN w:val="0"/>
              <w:spacing w:before="100" w:line="186" w:lineRule="auto"/>
              <w:ind w:left="312"/>
            </w:pPr>
            <w:r>
              <w:rPr>
                <w:color w:val="030303"/>
                <w:spacing w:val="-1"/>
              </w:rPr>
              <w:t>2.6</w:t>
            </w:r>
          </w:p>
        </w:tc>
        <w:tc>
          <w:tcPr>
            <w:tcW w:w="760" w:type="dxa"/>
            <w:vAlign w:val="top"/>
          </w:tcPr>
          <w:p w14:paraId="523BB8E5">
            <w:pPr>
              <w:pStyle w:val="26"/>
              <w:autoSpaceDE w:val="0"/>
              <w:autoSpaceDN w:val="0"/>
              <w:spacing w:before="101" w:line="178" w:lineRule="auto"/>
              <w:ind w:left="188"/>
            </w:pPr>
            <w:r>
              <w:rPr>
                <w:rFonts w:ascii="宋体" w:hAnsi="宋体" w:eastAsia="宋体" w:cs="宋体"/>
                <w:color w:val="030303"/>
                <w:spacing w:val="-2"/>
              </w:rPr>
              <w:t>-</w:t>
            </w:r>
            <w:r>
              <w:rPr>
                <w:color w:val="030303"/>
                <w:spacing w:val="-2"/>
              </w:rPr>
              <w:t>15.7</w:t>
            </w:r>
          </w:p>
        </w:tc>
        <w:tc>
          <w:tcPr>
            <w:tcW w:w="804" w:type="dxa"/>
            <w:vAlign w:val="top"/>
          </w:tcPr>
          <w:p w14:paraId="06F0149E">
            <w:pPr>
              <w:pStyle w:val="26"/>
              <w:autoSpaceDE w:val="0"/>
              <w:autoSpaceDN w:val="0"/>
              <w:spacing w:before="101" w:line="178" w:lineRule="auto"/>
              <w:ind w:left="186"/>
            </w:pPr>
            <w:r>
              <w:rPr>
                <w:rFonts w:ascii="宋体" w:hAnsi="宋体" w:eastAsia="宋体" w:cs="宋体"/>
                <w:color w:val="030303"/>
                <w:spacing w:val="-2"/>
              </w:rPr>
              <w:t>-</w:t>
            </w:r>
            <w:r>
              <w:rPr>
                <w:color w:val="030303"/>
                <w:spacing w:val="-2"/>
              </w:rPr>
              <w:t>16.0</w:t>
            </w:r>
          </w:p>
        </w:tc>
        <w:tc>
          <w:tcPr>
            <w:tcW w:w="674" w:type="dxa"/>
            <w:vAlign w:val="top"/>
          </w:tcPr>
          <w:p w14:paraId="19D5D5A3">
            <w:pPr>
              <w:pStyle w:val="26"/>
              <w:autoSpaceDE w:val="0"/>
              <w:autoSpaceDN w:val="0"/>
              <w:spacing w:before="100" w:line="186" w:lineRule="auto"/>
              <w:ind w:left="179"/>
            </w:pPr>
            <w:r>
              <w:rPr>
                <w:color w:val="030303"/>
                <w:spacing w:val="-4"/>
              </w:rPr>
              <w:t>1981</w:t>
            </w:r>
          </w:p>
        </w:tc>
        <w:tc>
          <w:tcPr>
            <w:tcW w:w="796" w:type="dxa"/>
            <w:vAlign w:val="top"/>
          </w:tcPr>
          <w:p w14:paraId="1D626632">
            <w:pPr>
              <w:pStyle w:val="26"/>
              <w:autoSpaceDE w:val="0"/>
              <w:autoSpaceDN w:val="0"/>
              <w:spacing w:before="100" w:line="186" w:lineRule="auto"/>
              <w:ind w:left="331"/>
            </w:pPr>
            <w:r>
              <w:rPr>
                <w:color w:val="030303"/>
                <w:spacing w:val="-5"/>
              </w:rPr>
              <w:t>1.7</w:t>
            </w:r>
          </w:p>
        </w:tc>
        <w:tc>
          <w:tcPr>
            <w:tcW w:w="760" w:type="dxa"/>
            <w:vAlign w:val="top"/>
          </w:tcPr>
          <w:p w14:paraId="09CDFE77">
            <w:pPr>
              <w:pStyle w:val="26"/>
              <w:autoSpaceDE w:val="0"/>
              <w:autoSpaceDN w:val="0"/>
              <w:spacing w:before="101" w:line="178" w:lineRule="auto"/>
              <w:ind w:left="233"/>
            </w:pPr>
            <w:r>
              <w:rPr>
                <w:rFonts w:ascii="宋体" w:hAnsi="宋体" w:eastAsia="宋体" w:cs="宋体"/>
                <w:color w:val="030303"/>
                <w:spacing w:val="-2"/>
              </w:rPr>
              <w:t>-</w:t>
            </w:r>
            <w:r>
              <w:rPr>
                <w:color w:val="030303"/>
                <w:spacing w:val="-2"/>
              </w:rPr>
              <w:t>1.8</w:t>
            </w:r>
          </w:p>
        </w:tc>
        <w:tc>
          <w:tcPr>
            <w:tcW w:w="804" w:type="dxa"/>
            <w:vAlign w:val="top"/>
          </w:tcPr>
          <w:p w14:paraId="56D5B941">
            <w:pPr>
              <w:pStyle w:val="26"/>
              <w:autoSpaceDE w:val="0"/>
              <w:autoSpaceDN w:val="0"/>
              <w:spacing w:before="101" w:line="178" w:lineRule="auto"/>
              <w:ind w:left="231"/>
            </w:pPr>
            <w:r>
              <w:rPr>
                <w:rFonts w:ascii="宋体" w:hAnsi="宋体" w:eastAsia="宋体" w:cs="宋体"/>
                <w:color w:val="030303"/>
                <w:spacing w:val="-2"/>
              </w:rPr>
              <w:t>-</w:t>
            </w:r>
            <w:r>
              <w:rPr>
                <w:color w:val="030303"/>
                <w:spacing w:val="-2"/>
              </w:rPr>
              <w:t>1.5</w:t>
            </w:r>
          </w:p>
        </w:tc>
        <w:tc>
          <w:tcPr>
            <w:tcW w:w="675" w:type="dxa"/>
            <w:vAlign w:val="top"/>
          </w:tcPr>
          <w:p w14:paraId="7D3E34A1">
            <w:pPr>
              <w:pStyle w:val="26"/>
              <w:autoSpaceDE w:val="0"/>
              <w:autoSpaceDN w:val="0"/>
              <w:spacing w:before="100" w:line="186" w:lineRule="auto"/>
              <w:ind w:left="179"/>
            </w:pPr>
            <w:r>
              <w:rPr>
                <w:color w:val="030303"/>
                <w:spacing w:val="-4"/>
              </w:rPr>
              <w:t>1972</w:t>
            </w:r>
          </w:p>
        </w:tc>
        <w:tc>
          <w:tcPr>
            <w:tcW w:w="795" w:type="dxa"/>
            <w:vAlign w:val="top"/>
          </w:tcPr>
          <w:p w14:paraId="480F4C4A">
            <w:pPr>
              <w:pStyle w:val="26"/>
              <w:autoSpaceDE w:val="0"/>
              <w:autoSpaceDN w:val="0"/>
              <w:spacing w:before="100" w:line="186" w:lineRule="auto"/>
              <w:ind w:left="312"/>
            </w:pPr>
            <w:r>
              <w:rPr>
                <w:color w:val="030303"/>
                <w:spacing w:val="-1"/>
              </w:rPr>
              <w:t>2.0</w:t>
            </w:r>
          </w:p>
        </w:tc>
        <w:tc>
          <w:tcPr>
            <w:tcW w:w="767" w:type="dxa"/>
            <w:vAlign w:val="top"/>
          </w:tcPr>
          <w:p w14:paraId="7AC42B1D">
            <w:pPr>
              <w:pStyle w:val="26"/>
              <w:autoSpaceDE w:val="0"/>
              <w:autoSpaceDN w:val="0"/>
              <w:spacing w:before="101" w:line="178" w:lineRule="auto"/>
              <w:ind w:left="233"/>
            </w:pPr>
            <w:r>
              <w:rPr>
                <w:rFonts w:ascii="宋体" w:hAnsi="宋体" w:eastAsia="宋体" w:cs="宋体"/>
                <w:color w:val="030303"/>
                <w:spacing w:val="-2"/>
              </w:rPr>
              <w:t>-</w:t>
            </w:r>
            <w:r>
              <w:rPr>
                <w:color w:val="030303"/>
                <w:spacing w:val="-2"/>
              </w:rPr>
              <w:t>0.1</w:t>
            </w:r>
          </w:p>
        </w:tc>
        <w:tc>
          <w:tcPr>
            <w:tcW w:w="778" w:type="dxa"/>
            <w:vAlign w:val="top"/>
          </w:tcPr>
          <w:p w14:paraId="432A183C">
            <w:pPr>
              <w:pStyle w:val="26"/>
              <w:autoSpaceDE w:val="0"/>
              <w:autoSpaceDN w:val="0"/>
              <w:spacing w:before="101" w:line="178" w:lineRule="auto"/>
              <w:ind w:left="237"/>
            </w:pPr>
            <w:r>
              <w:rPr>
                <w:rFonts w:ascii="宋体" w:hAnsi="宋体" w:eastAsia="宋体" w:cs="宋体"/>
                <w:color w:val="030303"/>
                <w:spacing w:val="-2"/>
              </w:rPr>
              <w:t>-</w:t>
            </w:r>
            <w:r>
              <w:rPr>
                <w:color w:val="030303"/>
                <w:spacing w:val="-2"/>
              </w:rPr>
              <w:t>0.9</w:t>
            </w:r>
          </w:p>
        </w:tc>
      </w:tr>
      <w:tr w14:paraId="59B70F49">
        <w:trPr>
          <w:trHeight w:val="311" w:hRule="atLeast"/>
        </w:trPr>
        <w:tc>
          <w:tcPr>
            <w:tcW w:w="719" w:type="dxa"/>
            <w:vAlign w:val="top"/>
          </w:tcPr>
          <w:p w14:paraId="49CAD77F">
            <w:pPr>
              <w:pStyle w:val="26"/>
              <w:autoSpaceDE w:val="0"/>
              <w:autoSpaceDN w:val="0"/>
              <w:spacing w:before="102" w:line="186" w:lineRule="auto"/>
              <w:ind w:left="223"/>
            </w:pPr>
            <w:r>
              <w:rPr>
                <w:color w:val="030303"/>
                <w:spacing w:val="-4"/>
              </w:rPr>
              <w:t>1982</w:t>
            </w:r>
          </w:p>
        </w:tc>
        <w:tc>
          <w:tcPr>
            <w:tcW w:w="795" w:type="dxa"/>
            <w:vAlign w:val="top"/>
          </w:tcPr>
          <w:p w14:paraId="73785C3C">
            <w:pPr>
              <w:pStyle w:val="26"/>
              <w:autoSpaceDE w:val="0"/>
              <w:autoSpaceDN w:val="0"/>
              <w:spacing w:before="102" w:line="186" w:lineRule="auto"/>
              <w:ind w:left="285"/>
            </w:pPr>
            <w:r>
              <w:rPr>
                <w:color w:val="030303"/>
                <w:spacing w:val="-4"/>
              </w:rPr>
              <w:t>10.8</w:t>
            </w:r>
          </w:p>
        </w:tc>
        <w:tc>
          <w:tcPr>
            <w:tcW w:w="760" w:type="dxa"/>
            <w:vAlign w:val="top"/>
          </w:tcPr>
          <w:p w14:paraId="19411D9C">
            <w:pPr>
              <w:pStyle w:val="26"/>
              <w:autoSpaceDE w:val="0"/>
              <w:autoSpaceDN w:val="0"/>
              <w:spacing w:before="102" w:line="178" w:lineRule="auto"/>
              <w:ind w:left="233"/>
            </w:pPr>
            <w:r>
              <w:rPr>
                <w:rFonts w:ascii="宋体" w:hAnsi="宋体" w:eastAsia="宋体" w:cs="宋体"/>
                <w:color w:val="030303"/>
                <w:spacing w:val="-2"/>
              </w:rPr>
              <w:t>-</w:t>
            </w:r>
            <w:r>
              <w:rPr>
                <w:color w:val="030303"/>
                <w:spacing w:val="-2"/>
              </w:rPr>
              <w:t>6.0</w:t>
            </w:r>
          </w:p>
        </w:tc>
        <w:tc>
          <w:tcPr>
            <w:tcW w:w="804" w:type="dxa"/>
            <w:vAlign w:val="top"/>
          </w:tcPr>
          <w:p w14:paraId="425CC67A">
            <w:pPr>
              <w:pStyle w:val="26"/>
              <w:autoSpaceDE w:val="0"/>
              <w:autoSpaceDN w:val="0"/>
              <w:spacing w:before="102" w:line="178" w:lineRule="auto"/>
              <w:ind w:left="232"/>
            </w:pPr>
            <w:r>
              <w:rPr>
                <w:rFonts w:ascii="宋体" w:hAnsi="宋体" w:eastAsia="宋体" w:cs="宋体"/>
                <w:color w:val="030303"/>
                <w:spacing w:val="-2"/>
              </w:rPr>
              <w:t>-</w:t>
            </w:r>
            <w:r>
              <w:rPr>
                <w:color w:val="030303"/>
                <w:spacing w:val="-2"/>
              </w:rPr>
              <w:t>6.4</w:t>
            </w:r>
          </w:p>
        </w:tc>
        <w:tc>
          <w:tcPr>
            <w:tcW w:w="674" w:type="dxa"/>
            <w:vAlign w:val="top"/>
          </w:tcPr>
          <w:p w14:paraId="6C9DD5F4">
            <w:pPr>
              <w:pStyle w:val="26"/>
              <w:autoSpaceDE w:val="0"/>
              <w:autoSpaceDN w:val="0"/>
              <w:spacing w:before="102" w:line="186" w:lineRule="auto"/>
              <w:ind w:left="179"/>
            </w:pPr>
            <w:r>
              <w:rPr>
                <w:color w:val="030303"/>
                <w:spacing w:val="-4"/>
              </w:rPr>
              <w:t>1982</w:t>
            </w:r>
          </w:p>
        </w:tc>
        <w:tc>
          <w:tcPr>
            <w:tcW w:w="796" w:type="dxa"/>
            <w:vAlign w:val="top"/>
          </w:tcPr>
          <w:p w14:paraId="257B3805">
            <w:pPr>
              <w:pStyle w:val="26"/>
              <w:autoSpaceDE w:val="0"/>
              <w:autoSpaceDN w:val="0"/>
              <w:spacing w:before="102" w:line="186" w:lineRule="auto"/>
              <w:ind w:left="319"/>
            </w:pPr>
            <w:r>
              <w:rPr>
                <w:color w:val="030303"/>
                <w:spacing w:val="-2"/>
              </w:rPr>
              <w:t>5.1</w:t>
            </w:r>
          </w:p>
        </w:tc>
        <w:tc>
          <w:tcPr>
            <w:tcW w:w="760" w:type="dxa"/>
            <w:vAlign w:val="top"/>
          </w:tcPr>
          <w:p w14:paraId="4D938B18">
            <w:pPr>
              <w:pStyle w:val="26"/>
              <w:autoSpaceDE w:val="0"/>
              <w:autoSpaceDN w:val="0"/>
              <w:spacing w:before="102" w:line="178" w:lineRule="auto"/>
              <w:ind w:left="188"/>
            </w:pPr>
            <w:r>
              <w:rPr>
                <w:rFonts w:ascii="宋体" w:hAnsi="宋体" w:eastAsia="宋体" w:cs="宋体"/>
                <w:color w:val="030303"/>
                <w:spacing w:val="-2"/>
              </w:rPr>
              <w:t>-</w:t>
            </w:r>
            <w:r>
              <w:rPr>
                <w:color w:val="030303"/>
                <w:spacing w:val="-2"/>
              </w:rPr>
              <w:t>10.8</w:t>
            </w:r>
          </w:p>
        </w:tc>
        <w:tc>
          <w:tcPr>
            <w:tcW w:w="804" w:type="dxa"/>
            <w:vAlign w:val="top"/>
          </w:tcPr>
          <w:p w14:paraId="1247A4CC">
            <w:pPr>
              <w:pStyle w:val="26"/>
              <w:autoSpaceDE w:val="0"/>
              <w:autoSpaceDN w:val="0"/>
              <w:spacing w:before="102" w:line="178" w:lineRule="auto"/>
              <w:ind w:left="187"/>
            </w:pPr>
            <w:r>
              <w:rPr>
                <w:rFonts w:ascii="宋体" w:hAnsi="宋体" w:eastAsia="宋体" w:cs="宋体"/>
                <w:color w:val="030303"/>
                <w:spacing w:val="-2"/>
              </w:rPr>
              <w:t>-</w:t>
            </w:r>
            <w:r>
              <w:rPr>
                <w:color w:val="030303"/>
                <w:spacing w:val="-2"/>
              </w:rPr>
              <w:t>10.5</w:t>
            </w:r>
          </w:p>
        </w:tc>
        <w:tc>
          <w:tcPr>
            <w:tcW w:w="675" w:type="dxa"/>
            <w:vAlign w:val="top"/>
          </w:tcPr>
          <w:p w14:paraId="48BA1483">
            <w:pPr>
              <w:pStyle w:val="26"/>
              <w:autoSpaceDE w:val="0"/>
              <w:autoSpaceDN w:val="0"/>
              <w:spacing w:before="102" w:line="186" w:lineRule="auto"/>
              <w:ind w:left="179"/>
            </w:pPr>
            <w:r>
              <w:rPr>
                <w:color w:val="030303"/>
                <w:spacing w:val="-4"/>
              </w:rPr>
              <w:t>1981</w:t>
            </w:r>
          </w:p>
        </w:tc>
        <w:tc>
          <w:tcPr>
            <w:tcW w:w="795" w:type="dxa"/>
            <w:vAlign w:val="top"/>
          </w:tcPr>
          <w:p w14:paraId="3FC6437A">
            <w:pPr>
              <w:pStyle w:val="26"/>
              <w:autoSpaceDE w:val="0"/>
              <w:autoSpaceDN w:val="0"/>
              <w:spacing w:before="102" w:line="186" w:lineRule="auto"/>
              <w:ind w:left="312"/>
            </w:pPr>
            <w:r>
              <w:rPr>
                <w:color w:val="030303"/>
                <w:spacing w:val="-1"/>
              </w:rPr>
              <w:t>4.7</w:t>
            </w:r>
          </w:p>
        </w:tc>
        <w:tc>
          <w:tcPr>
            <w:tcW w:w="767" w:type="dxa"/>
            <w:vAlign w:val="top"/>
          </w:tcPr>
          <w:p w14:paraId="67095AC6">
            <w:pPr>
              <w:pStyle w:val="26"/>
              <w:autoSpaceDE w:val="0"/>
              <w:autoSpaceDN w:val="0"/>
              <w:spacing w:before="102" w:line="178" w:lineRule="auto"/>
              <w:ind w:left="233"/>
            </w:pPr>
            <w:r>
              <w:rPr>
                <w:rFonts w:ascii="宋体" w:hAnsi="宋体" w:eastAsia="宋体" w:cs="宋体"/>
                <w:color w:val="030303"/>
                <w:spacing w:val="-2"/>
              </w:rPr>
              <w:t>-</w:t>
            </w:r>
            <w:r>
              <w:rPr>
                <w:color w:val="030303"/>
                <w:spacing w:val="-2"/>
              </w:rPr>
              <w:t>0.6</w:t>
            </w:r>
          </w:p>
        </w:tc>
        <w:tc>
          <w:tcPr>
            <w:tcW w:w="778" w:type="dxa"/>
            <w:vAlign w:val="top"/>
          </w:tcPr>
          <w:p w14:paraId="0FC0910B">
            <w:pPr>
              <w:pStyle w:val="26"/>
              <w:autoSpaceDE w:val="0"/>
              <w:autoSpaceDN w:val="0"/>
              <w:spacing w:before="102" w:line="178" w:lineRule="auto"/>
              <w:ind w:left="238"/>
            </w:pPr>
            <w:r>
              <w:rPr>
                <w:rFonts w:ascii="宋体" w:hAnsi="宋体" w:eastAsia="宋体" w:cs="宋体"/>
                <w:color w:val="030303"/>
                <w:spacing w:val="-2"/>
              </w:rPr>
              <w:t>-</w:t>
            </w:r>
            <w:r>
              <w:rPr>
                <w:color w:val="030303"/>
                <w:spacing w:val="-2"/>
              </w:rPr>
              <w:t>1.2</w:t>
            </w:r>
          </w:p>
        </w:tc>
      </w:tr>
      <w:tr w14:paraId="70212B99">
        <w:trPr>
          <w:trHeight w:val="310" w:hRule="atLeast"/>
        </w:trPr>
        <w:tc>
          <w:tcPr>
            <w:tcW w:w="719" w:type="dxa"/>
            <w:vAlign w:val="top"/>
          </w:tcPr>
          <w:p w14:paraId="0BFBECF4">
            <w:pPr>
              <w:pStyle w:val="26"/>
              <w:autoSpaceDE w:val="0"/>
              <w:autoSpaceDN w:val="0"/>
              <w:spacing w:before="103" w:line="186" w:lineRule="auto"/>
              <w:ind w:left="224"/>
            </w:pPr>
            <w:r>
              <w:rPr>
                <w:color w:val="030303"/>
                <w:spacing w:val="-4"/>
              </w:rPr>
              <w:t>1983</w:t>
            </w:r>
          </w:p>
        </w:tc>
        <w:tc>
          <w:tcPr>
            <w:tcW w:w="795" w:type="dxa"/>
            <w:vAlign w:val="top"/>
          </w:tcPr>
          <w:p w14:paraId="2B074D9D">
            <w:pPr>
              <w:pStyle w:val="26"/>
              <w:autoSpaceDE w:val="0"/>
              <w:autoSpaceDN w:val="0"/>
              <w:spacing w:before="103" w:line="186" w:lineRule="auto"/>
              <w:ind w:left="318"/>
            </w:pPr>
            <w:r>
              <w:rPr>
                <w:color w:val="030303"/>
                <w:spacing w:val="-2"/>
              </w:rPr>
              <w:t>6.2</w:t>
            </w:r>
          </w:p>
        </w:tc>
        <w:tc>
          <w:tcPr>
            <w:tcW w:w="760" w:type="dxa"/>
            <w:vAlign w:val="top"/>
          </w:tcPr>
          <w:p w14:paraId="1F418331">
            <w:pPr>
              <w:pStyle w:val="26"/>
              <w:autoSpaceDE w:val="0"/>
              <w:autoSpaceDN w:val="0"/>
              <w:spacing w:before="103" w:line="178" w:lineRule="auto"/>
              <w:ind w:left="234"/>
            </w:pPr>
            <w:r>
              <w:rPr>
                <w:rFonts w:ascii="宋体" w:hAnsi="宋体" w:eastAsia="宋体" w:cs="宋体"/>
                <w:color w:val="030303"/>
                <w:spacing w:val="-2"/>
              </w:rPr>
              <w:t>-</w:t>
            </w:r>
            <w:r>
              <w:rPr>
                <w:color w:val="030303"/>
                <w:spacing w:val="-2"/>
              </w:rPr>
              <w:t>1.2</w:t>
            </w:r>
          </w:p>
        </w:tc>
        <w:tc>
          <w:tcPr>
            <w:tcW w:w="804" w:type="dxa"/>
            <w:vAlign w:val="top"/>
          </w:tcPr>
          <w:p w14:paraId="2703F811">
            <w:pPr>
              <w:pStyle w:val="26"/>
              <w:autoSpaceDE w:val="0"/>
              <w:autoSpaceDN w:val="0"/>
              <w:spacing w:before="103" w:line="178" w:lineRule="auto"/>
              <w:ind w:left="233"/>
            </w:pPr>
            <w:r>
              <w:rPr>
                <w:rFonts w:ascii="宋体" w:hAnsi="宋体" w:eastAsia="宋体" w:cs="宋体"/>
                <w:color w:val="030303"/>
                <w:spacing w:val="-2"/>
              </w:rPr>
              <w:t>-</w:t>
            </w:r>
            <w:r>
              <w:rPr>
                <w:color w:val="030303"/>
                <w:spacing w:val="-2"/>
              </w:rPr>
              <w:t>1.8</w:t>
            </w:r>
          </w:p>
        </w:tc>
        <w:tc>
          <w:tcPr>
            <w:tcW w:w="674" w:type="dxa"/>
            <w:vAlign w:val="top"/>
          </w:tcPr>
          <w:p w14:paraId="3FAD58E8">
            <w:pPr>
              <w:pStyle w:val="26"/>
              <w:autoSpaceDE w:val="0"/>
              <w:autoSpaceDN w:val="0"/>
              <w:spacing w:before="103" w:line="186" w:lineRule="auto"/>
              <w:ind w:left="180"/>
            </w:pPr>
            <w:r>
              <w:rPr>
                <w:color w:val="030303"/>
                <w:spacing w:val="-4"/>
              </w:rPr>
              <w:t>1985</w:t>
            </w:r>
          </w:p>
        </w:tc>
        <w:tc>
          <w:tcPr>
            <w:tcW w:w="796" w:type="dxa"/>
            <w:vAlign w:val="top"/>
          </w:tcPr>
          <w:p w14:paraId="78CAB23F">
            <w:pPr>
              <w:pStyle w:val="26"/>
              <w:autoSpaceDE w:val="0"/>
              <w:autoSpaceDN w:val="0"/>
              <w:spacing w:before="103" w:line="186" w:lineRule="auto"/>
              <w:ind w:left="332"/>
            </w:pPr>
            <w:r>
              <w:rPr>
                <w:color w:val="030303"/>
                <w:spacing w:val="-5"/>
              </w:rPr>
              <w:t>1.0</w:t>
            </w:r>
          </w:p>
        </w:tc>
        <w:tc>
          <w:tcPr>
            <w:tcW w:w="760" w:type="dxa"/>
            <w:vAlign w:val="top"/>
          </w:tcPr>
          <w:p w14:paraId="36FFCC65">
            <w:pPr>
              <w:pStyle w:val="26"/>
              <w:autoSpaceDE w:val="0"/>
              <w:autoSpaceDN w:val="0"/>
              <w:spacing w:before="103" w:line="178" w:lineRule="auto"/>
              <w:ind w:left="234"/>
            </w:pPr>
            <w:r>
              <w:rPr>
                <w:rFonts w:ascii="宋体" w:hAnsi="宋体" w:eastAsia="宋体" w:cs="宋体"/>
                <w:color w:val="030303"/>
                <w:spacing w:val="-2"/>
              </w:rPr>
              <w:t>-</w:t>
            </w:r>
            <w:r>
              <w:rPr>
                <w:color w:val="030303"/>
                <w:spacing w:val="-2"/>
              </w:rPr>
              <w:t>1.3</w:t>
            </w:r>
          </w:p>
        </w:tc>
        <w:tc>
          <w:tcPr>
            <w:tcW w:w="804" w:type="dxa"/>
            <w:vAlign w:val="top"/>
          </w:tcPr>
          <w:p w14:paraId="6B80E928">
            <w:pPr>
              <w:pStyle w:val="26"/>
              <w:autoSpaceDE w:val="0"/>
              <w:autoSpaceDN w:val="0"/>
              <w:spacing w:before="103" w:line="178" w:lineRule="auto"/>
              <w:ind w:left="233"/>
            </w:pPr>
            <w:r>
              <w:rPr>
                <w:rFonts w:ascii="宋体" w:hAnsi="宋体" w:eastAsia="宋体" w:cs="宋体"/>
                <w:color w:val="030303"/>
                <w:spacing w:val="-2"/>
              </w:rPr>
              <w:t>-</w:t>
            </w:r>
            <w:r>
              <w:rPr>
                <w:color w:val="030303"/>
                <w:spacing w:val="-2"/>
              </w:rPr>
              <w:t>1.1</w:t>
            </w:r>
          </w:p>
        </w:tc>
        <w:tc>
          <w:tcPr>
            <w:tcW w:w="675" w:type="dxa"/>
            <w:vAlign w:val="top"/>
          </w:tcPr>
          <w:p w14:paraId="676D3409">
            <w:pPr>
              <w:pStyle w:val="26"/>
              <w:autoSpaceDE w:val="0"/>
              <w:autoSpaceDN w:val="0"/>
              <w:spacing w:before="103" w:line="186" w:lineRule="auto"/>
              <w:ind w:left="180"/>
            </w:pPr>
            <w:r>
              <w:rPr>
                <w:color w:val="030303"/>
                <w:spacing w:val="-4"/>
              </w:rPr>
              <w:t>1985</w:t>
            </w:r>
          </w:p>
        </w:tc>
        <w:tc>
          <w:tcPr>
            <w:tcW w:w="795" w:type="dxa"/>
            <w:vAlign w:val="top"/>
          </w:tcPr>
          <w:p w14:paraId="3EE3C24C">
            <w:pPr>
              <w:pStyle w:val="26"/>
              <w:autoSpaceDE w:val="0"/>
              <w:autoSpaceDN w:val="0"/>
              <w:spacing w:before="103" w:line="186" w:lineRule="auto"/>
              <w:ind w:left="317"/>
            </w:pPr>
            <w:r>
              <w:rPr>
                <w:color w:val="030303"/>
                <w:spacing w:val="-2"/>
              </w:rPr>
              <w:t>3.7</w:t>
            </w:r>
          </w:p>
        </w:tc>
        <w:tc>
          <w:tcPr>
            <w:tcW w:w="767" w:type="dxa"/>
            <w:vAlign w:val="top"/>
          </w:tcPr>
          <w:p w14:paraId="46F73AC0">
            <w:pPr>
              <w:pStyle w:val="26"/>
              <w:autoSpaceDE w:val="0"/>
              <w:autoSpaceDN w:val="0"/>
              <w:spacing w:before="103" w:line="178" w:lineRule="auto"/>
              <w:ind w:left="234"/>
            </w:pPr>
            <w:r>
              <w:rPr>
                <w:rFonts w:ascii="宋体" w:hAnsi="宋体" w:eastAsia="宋体" w:cs="宋体"/>
                <w:color w:val="030303"/>
                <w:spacing w:val="-2"/>
              </w:rPr>
              <w:t>-</w:t>
            </w:r>
            <w:r>
              <w:rPr>
                <w:color w:val="030303"/>
                <w:spacing w:val="-2"/>
              </w:rPr>
              <w:t>3.3</w:t>
            </w:r>
          </w:p>
        </w:tc>
        <w:tc>
          <w:tcPr>
            <w:tcW w:w="778" w:type="dxa"/>
            <w:vAlign w:val="top"/>
          </w:tcPr>
          <w:p w14:paraId="4A14AE5F">
            <w:pPr>
              <w:pStyle w:val="26"/>
              <w:autoSpaceDE w:val="0"/>
              <w:autoSpaceDN w:val="0"/>
              <w:spacing w:before="103" w:line="178" w:lineRule="auto"/>
              <w:ind w:left="239"/>
            </w:pPr>
            <w:r>
              <w:rPr>
                <w:rFonts w:ascii="宋体" w:hAnsi="宋体" w:eastAsia="宋体" w:cs="宋体"/>
                <w:color w:val="030303"/>
                <w:spacing w:val="-2"/>
              </w:rPr>
              <w:t>-</w:t>
            </w:r>
            <w:r>
              <w:rPr>
                <w:color w:val="030303"/>
                <w:spacing w:val="-2"/>
              </w:rPr>
              <w:t>3.4</w:t>
            </w:r>
          </w:p>
        </w:tc>
      </w:tr>
      <w:tr w14:paraId="5EA1CE95">
        <w:trPr>
          <w:trHeight w:val="311" w:hRule="atLeast"/>
        </w:trPr>
        <w:tc>
          <w:tcPr>
            <w:tcW w:w="719" w:type="dxa"/>
            <w:vAlign w:val="top"/>
          </w:tcPr>
          <w:p w14:paraId="7F076478">
            <w:pPr>
              <w:pStyle w:val="26"/>
              <w:autoSpaceDE w:val="0"/>
              <w:autoSpaceDN w:val="0"/>
              <w:spacing w:before="105" w:line="186" w:lineRule="auto"/>
              <w:ind w:left="225"/>
            </w:pPr>
            <w:r>
              <w:rPr>
                <w:color w:val="030303"/>
                <w:spacing w:val="-4"/>
              </w:rPr>
              <w:t>1984</w:t>
            </w:r>
          </w:p>
        </w:tc>
        <w:tc>
          <w:tcPr>
            <w:tcW w:w="795" w:type="dxa"/>
            <w:vAlign w:val="top"/>
          </w:tcPr>
          <w:p w14:paraId="3E7B5040">
            <w:pPr>
              <w:pStyle w:val="26"/>
              <w:autoSpaceDE w:val="0"/>
              <w:autoSpaceDN w:val="0"/>
              <w:spacing w:before="105" w:line="186" w:lineRule="auto"/>
              <w:ind w:left="322"/>
            </w:pPr>
            <w:r>
              <w:rPr>
                <w:color w:val="030303"/>
                <w:spacing w:val="-3"/>
              </w:rPr>
              <w:t>8.0</w:t>
            </w:r>
          </w:p>
        </w:tc>
        <w:tc>
          <w:tcPr>
            <w:tcW w:w="760" w:type="dxa"/>
            <w:vAlign w:val="top"/>
          </w:tcPr>
          <w:p w14:paraId="58709C3A">
            <w:pPr>
              <w:pStyle w:val="26"/>
              <w:autoSpaceDE w:val="0"/>
              <w:autoSpaceDN w:val="0"/>
              <w:spacing w:before="105" w:line="178" w:lineRule="auto"/>
              <w:ind w:left="235"/>
            </w:pPr>
            <w:r>
              <w:rPr>
                <w:rFonts w:ascii="宋体" w:hAnsi="宋体" w:eastAsia="宋体" w:cs="宋体"/>
                <w:color w:val="030303"/>
                <w:spacing w:val="-2"/>
              </w:rPr>
              <w:t>-</w:t>
            </w:r>
            <w:r>
              <w:rPr>
                <w:color w:val="030303"/>
                <w:spacing w:val="-2"/>
              </w:rPr>
              <w:t>7.3</w:t>
            </w:r>
          </w:p>
        </w:tc>
        <w:tc>
          <w:tcPr>
            <w:tcW w:w="804" w:type="dxa"/>
            <w:vAlign w:val="top"/>
          </w:tcPr>
          <w:p w14:paraId="2DD8C4C3">
            <w:pPr>
              <w:pStyle w:val="26"/>
              <w:autoSpaceDE w:val="0"/>
              <w:autoSpaceDN w:val="0"/>
              <w:spacing w:before="105" w:line="178" w:lineRule="auto"/>
              <w:ind w:left="233"/>
            </w:pPr>
            <w:r>
              <w:rPr>
                <w:rFonts w:ascii="宋体" w:hAnsi="宋体" w:eastAsia="宋体" w:cs="宋体"/>
                <w:color w:val="030303"/>
                <w:spacing w:val="-2"/>
              </w:rPr>
              <w:t>-</w:t>
            </w:r>
            <w:r>
              <w:rPr>
                <w:color w:val="030303"/>
                <w:spacing w:val="-2"/>
              </w:rPr>
              <w:t>7.8</w:t>
            </w:r>
          </w:p>
        </w:tc>
        <w:tc>
          <w:tcPr>
            <w:tcW w:w="674" w:type="dxa"/>
            <w:vAlign w:val="top"/>
          </w:tcPr>
          <w:p w14:paraId="42475AFF">
            <w:pPr>
              <w:pStyle w:val="26"/>
              <w:autoSpaceDE w:val="0"/>
              <w:autoSpaceDN w:val="0"/>
              <w:spacing w:before="105" w:line="186" w:lineRule="auto"/>
              <w:ind w:left="181"/>
            </w:pPr>
            <w:r>
              <w:rPr>
                <w:color w:val="030303"/>
                <w:spacing w:val="-4"/>
              </w:rPr>
              <w:t>1989</w:t>
            </w:r>
          </w:p>
        </w:tc>
        <w:tc>
          <w:tcPr>
            <w:tcW w:w="796" w:type="dxa"/>
            <w:vAlign w:val="top"/>
          </w:tcPr>
          <w:p w14:paraId="6E69EC5B">
            <w:pPr>
              <w:pStyle w:val="26"/>
              <w:autoSpaceDE w:val="0"/>
              <w:autoSpaceDN w:val="0"/>
              <w:spacing w:before="105" w:line="186" w:lineRule="auto"/>
              <w:ind w:left="333"/>
            </w:pPr>
            <w:r>
              <w:rPr>
                <w:color w:val="030303"/>
                <w:spacing w:val="-5"/>
              </w:rPr>
              <w:t>1.3</w:t>
            </w:r>
          </w:p>
        </w:tc>
        <w:tc>
          <w:tcPr>
            <w:tcW w:w="760" w:type="dxa"/>
            <w:vAlign w:val="top"/>
          </w:tcPr>
          <w:p w14:paraId="661DDD9E">
            <w:pPr>
              <w:pStyle w:val="26"/>
              <w:autoSpaceDE w:val="0"/>
              <w:autoSpaceDN w:val="0"/>
              <w:spacing w:before="107" w:line="176" w:lineRule="auto"/>
              <w:ind w:left="235"/>
            </w:pPr>
            <w:r>
              <w:rPr>
                <w:rFonts w:ascii="宋体" w:hAnsi="宋体" w:eastAsia="宋体" w:cs="宋体"/>
                <w:color w:val="030303"/>
                <w:spacing w:val="-2"/>
              </w:rPr>
              <w:t>-</w:t>
            </w:r>
            <w:r>
              <w:rPr>
                <w:color w:val="030303"/>
                <w:spacing w:val="-2"/>
              </w:rPr>
              <w:t>7.7</w:t>
            </w:r>
          </w:p>
        </w:tc>
        <w:tc>
          <w:tcPr>
            <w:tcW w:w="804" w:type="dxa"/>
            <w:vAlign w:val="top"/>
          </w:tcPr>
          <w:p w14:paraId="1E09E045">
            <w:pPr>
              <w:pStyle w:val="26"/>
              <w:autoSpaceDE w:val="0"/>
              <w:autoSpaceDN w:val="0"/>
              <w:spacing w:before="105" w:line="178" w:lineRule="auto"/>
              <w:ind w:left="233"/>
            </w:pPr>
            <w:r>
              <w:rPr>
                <w:rFonts w:ascii="宋体" w:hAnsi="宋体" w:eastAsia="宋体" w:cs="宋体"/>
                <w:color w:val="030303"/>
                <w:spacing w:val="-2"/>
              </w:rPr>
              <w:t>-</w:t>
            </w:r>
            <w:r>
              <w:rPr>
                <w:color w:val="030303"/>
                <w:spacing w:val="-2"/>
              </w:rPr>
              <w:t>7.2</w:t>
            </w:r>
          </w:p>
        </w:tc>
        <w:tc>
          <w:tcPr>
            <w:tcW w:w="675" w:type="dxa"/>
            <w:vAlign w:val="top"/>
          </w:tcPr>
          <w:p w14:paraId="7E75759D">
            <w:pPr>
              <w:pStyle w:val="26"/>
              <w:autoSpaceDE w:val="0"/>
              <w:autoSpaceDN w:val="0"/>
              <w:spacing w:before="105" w:line="186" w:lineRule="auto"/>
              <w:ind w:left="181"/>
            </w:pPr>
            <w:r>
              <w:rPr>
                <w:color w:val="030303"/>
                <w:spacing w:val="-4"/>
              </w:rPr>
              <w:t>1997</w:t>
            </w:r>
          </w:p>
        </w:tc>
        <w:tc>
          <w:tcPr>
            <w:tcW w:w="795" w:type="dxa"/>
            <w:vAlign w:val="top"/>
          </w:tcPr>
          <w:p w14:paraId="5DD0139D">
            <w:pPr>
              <w:pStyle w:val="26"/>
              <w:autoSpaceDE w:val="0"/>
              <w:autoSpaceDN w:val="0"/>
              <w:spacing w:before="105" w:line="186" w:lineRule="auto"/>
              <w:ind w:left="332"/>
            </w:pPr>
            <w:r>
              <w:rPr>
                <w:color w:val="030303"/>
                <w:spacing w:val="-5"/>
              </w:rPr>
              <w:t>1.7</w:t>
            </w:r>
          </w:p>
        </w:tc>
        <w:tc>
          <w:tcPr>
            <w:tcW w:w="767" w:type="dxa"/>
            <w:vAlign w:val="top"/>
          </w:tcPr>
          <w:p w14:paraId="6242D4F2">
            <w:pPr>
              <w:pStyle w:val="26"/>
              <w:autoSpaceDE w:val="0"/>
              <w:autoSpaceDN w:val="0"/>
              <w:spacing w:before="105" w:line="178" w:lineRule="auto"/>
              <w:ind w:left="190"/>
            </w:pPr>
            <w:r>
              <w:rPr>
                <w:rFonts w:ascii="宋体" w:hAnsi="宋体" w:eastAsia="宋体" w:cs="宋体"/>
                <w:color w:val="030303"/>
                <w:spacing w:val="-2"/>
              </w:rPr>
              <w:t>-</w:t>
            </w:r>
            <w:r>
              <w:rPr>
                <w:color w:val="030303"/>
                <w:spacing w:val="-2"/>
              </w:rPr>
              <w:t>12.1</w:t>
            </w:r>
          </w:p>
        </w:tc>
        <w:tc>
          <w:tcPr>
            <w:tcW w:w="778" w:type="dxa"/>
            <w:vAlign w:val="top"/>
          </w:tcPr>
          <w:p w14:paraId="1C044E82">
            <w:pPr>
              <w:pStyle w:val="26"/>
              <w:autoSpaceDE w:val="0"/>
              <w:autoSpaceDN w:val="0"/>
              <w:spacing w:before="105" w:line="178" w:lineRule="auto"/>
              <w:ind w:left="198"/>
            </w:pPr>
            <w:r>
              <w:rPr>
                <w:rFonts w:ascii="宋体" w:hAnsi="宋体" w:eastAsia="宋体" w:cs="宋体"/>
                <w:color w:val="030303"/>
                <w:spacing w:val="-2"/>
              </w:rPr>
              <w:t>-</w:t>
            </w:r>
            <w:r>
              <w:rPr>
                <w:color w:val="030303"/>
                <w:spacing w:val="-2"/>
              </w:rPr>
              <w:t>11.9</w:t>
            </w:r>
          </w:p>
        </w:tc>
      </w:tr>
      <w:tr w14:paraId="72E32358">
        <w:trPr>
          <w:trHeight w:val="310" w:hRule="atLeast"/>
        </w:trPr>
        <w:tc>
          <w:tcPr>
            <w:tcW w:w="719" w:type="dxa"/>
            <w:vAlign w:val="top"/>
          </w:tcPr>
          <w:p w14:paraId="087C238B">
            <w:pPr>
              <w:pStyle w:val="26"/>
              <w:autoSpaceDE w:val="0"/>
              <w:autoSpaceDN w:val="0"/>
              <w:spacing w:before="105" w:line="186" w:lineRule="auto"/>
              <w:ind w:left="225"/>
            </w:pPr>
            <w:r>
              <w:rPr>
                <w:color w:val="030303"/>
                <w:spacing w:val="-4"/>
              </w:rPr>
              <w:t>1985</w:t>
            </w:r>
          </w:p>
        </w:tc>
        <w:tc>
          <w:tcPr>
            <w:tcW w:w="795" w:type="dxa"/>
            <w:vAlign w:val="top"/>
          </w:tcPr>
          <w:p w14:paraId="0A0C40C3">
            <w:pPr>
              <w:pStyle w:val="26"/>
              <w:autoSpaceDE w:val="0"/>
              <w:autoSpaceDN w:val="0"/>
              <w:spacing w:before="105" w:line="186" w:lineRule="auto"/>
              <w:ind w:left="319"/>
            </w:pPr>
            <w:r>
              <w:rPr>
                <w:color w:val="030303"/>
                <w:spacing w:val="-2"/>
              </w:rPr>
              <w:t>9.3</w:t>
            </w:r>
          </w:p>
        </w:tc>
        <w:tc>
          <w:tcPr>
            <w:tcW w:w="760" w:type="dxa"/>
            <w:vAlign w:val="top"/>
          </w:tcPr>
          <w:p w14:paraId="3F798B71">
            <w:pPr>
              <w:pStyle w:val="26"/>
              <w:autoSpaceDE w:val="0"/>
              <w:autoSpaceDN w:val="0"/>
              <w:spacing w:before="106" w:line="178" w:lineRule="auto"/>
              <w:ind w:left="235"/>
            </w:pPr>
            <w:r>
              <w:rPr>
                <w:rFonts w:ascii="宋体" w:hAnsi="宋体" w:eastAsia="宋体" w:cs="宋体"/>
                <w:color w:val="030303"/>
                <w:spacing w:val="-2"/>
              </w:rPr>
              <w:t>-</w:t>
            </w:r>
            <w:r>
              <w:rPr>
                <w:color w:val="030303"/>
                <w:spacing w:val="-2"/>
              </w:rPr>
              <w:t>8.1</w:t>
            </w:r>
          </w:p>
        </w:tc>
        <w:tc>
          <w:tcPr>
            <w:tcW w:w="804" w:type="dxa"/>
            <w:vAlign w:val="top"/>
          </w:tcPr>
          <w:p w14:paraId="02EE5A59">
            <w:pPr>
              <w:pStyle w:val="26"/>
              <w:autoSpaceDE w:val="0"/>
              <w:autoSpaceDN w:val="0"/>
              <w:spacing w:before="106" w:line="178" w:lineRule="auto"/>
              <w:ind w:left="234"/>
            </w:pPr>
            <w:r>
              <w:rPr>
                <w:rFonts w:ascii="宋体" w:hAnsi="宋体" w:eastAsia="宋体" w:cs="宋体"/>
                <w:color w:val="030303"/>
                <w:spacing w:val="-2"/>
              </w:rPr>
              <w:t>-</w:t>
            </w:r>
            <w:r>
              <w:rPr>
                <w:color w:val="030303"/>
                <w:spacing w:val="-2"/>
              </w:rPr>
              <w:t>8.5</w:t>
            </w:r>
          </w:p>
        </w:tc>
        <w:tc>
          <w:tcPr>
            <w:tcW w:w="674" w:type="dxa"/>
            <w:vAlign w:val="top"/>
          </w:tcPr>
          <w:p w14:paraId="77928E29">
            <w:pPr>
              <w:pStyle w:val="26"/>
              <w:autoSpaceDE w:val="0"/>
              <w:autoSpaceDN w:val="0"/>
              <w:spacing w:before="105" w:line="186" w:lineRule="auto"/>
              <w:ind w:left="182"/>
            </w:pPr>
            <w:r>
              <w:rPr>
                <w:color w:val="030303"/>
                <w:spacing w:val="-4"/>
              </w:rPr>
              <w:t>1990</w:t>
            </w:r>
          </w:p>
        </w:tc>
        <w:tc>
          <w:tcPr>
            <w:tcW w:w="796" w:type="dxa"/>
            <w:vAlign w:val="top"/>
          </w:tcPr>
          <w:p w14:paraId="47C119FA">
            <w:pPr>
              <w:pStyle w:val="26"/>
              <w:autoSpaceDE w:val="0"/>
              <w:autoSpaceDN w:val="0"/>
              <w:spacing w:before="105" w:line="186" w:lineRule="auto"/>
              <w:ind w:left="320"/>
            </w:pPr>
            <w:r>
              <w:rPr>
                <w:color w:val="030303"/>
                <w:spacing w:val="-2"/>
              </w:rPr>
              <w:t>3.0</w:t>
            </w:r>
          </w:p>
        </w:tc>
        <w:tc>
          <w:tcPr>
            <w:tcW w:w="760" w:type="dxa"/>
            <w:vAlign w:val="top"/>
          </w:tcPr>
          <w:p w14:paraId="45EC7E32">
            <w:pPr>
              <w:pStyle w:val="26"/>
              <w:autoSpaceDE w:val="0"/>
              <w:autoSpaceDN w:val="0"/>
              <w:spacing w:before="106" w:line="178" w:lineRule="auto"/>
              <w:ind w:left="236"/>
            </w:pPr>
            <w:r>
              <w:rPr>
                <w:rFonts w:ascii="宋体" w:hAnsi="宋体" w:eastAsia="宋体" w:cs="宋体"/>
                <w:color w:val="030303"/>
                <w:spacing w:val="-2"/>
              </w:rPr>
              <w:t>-</w:t>
            </w:r>
            <w:r>
              <w:rPr>
                <w:color w:val="030303"/>
                <w:spacing w:val="-2"/>
              </w:rPr>
              <w:t>3.1</w:t>
            </w:r>
          </w:p>
        </w:tc>
        <w:tc>
          <w:tcPr>
            <w:tcW w:w="804" w:type="dxa"/>
            <w:vAlign w:val="top"/>
          </w:tcPr>
          <w:p w14:paraId="39B03DE4">
            <w:pPr>
              <w:pStyle w:val="26"/>
              <w:autoSpaceDE w:val="0"/>
              <w:autoSpaceDN w:val="0"/>
              <w:spacing w:before="106" w:line="178" w:lineRule="auto"/>
              <w:ind w:left="234"/>
            </w:pPr>
            <w:r>
              <w:rPr>
                <w:rFonts w:ascii="宋体" w:hAnsi="宋体" w:eastAsia="宋体" w:cs="宋体"/>
                <w:color w:val="030303"/>
                <w:spacing w:val="-2"/>
              </w:rPr>
              <w:t>-</w:t>
            </w:r>
            <w:r>
              <w:rPr>
                <w:color w:val="030303"/>
                <w:spacing w:val="-2"/>
              </w:rPr>
              <w:t>2.3</w:t>
            </w:r>
          </w:p>
        </w:tc>
        <w:tc>
          <w:tcPr>
            <w:tcW w:w="675" w:type="dxa"/>
            <w:vAlign w:val="top"/>
          </w:tcPr>
          <w:p w14:paraId="1FEDCC6A">
            <w:pPr>
              <w:pStyle w:val="26"/>
              <w:autoSpaceDE w:val="0"/>
              <w:autoSpaceDN w:val="0"/>
              <w:spacing w:before="105" w:line="186" w:lineRule="auto"/>
              <w:ind w:left="164"/>
            </w:pPr>
            <w:r>
              <w:rPr>
                <w:color w:val="030303"/>
                <w:spacing w:val="-1"/>
              </w:rPr>
              <w:t>2001</w:t>
            </w:r>
          </w:p>
        </w:tc>
        <w:tc>
          <w:tcPr>
            <w:tcW w:w="795" w:type="dxa"/>
            <w:vAlign w:val="top"/>
          </w:tcPr>
          <w:p w14:paraId="39CEAE63">
            <w:pPr>
              <w:pStyle w:val="26"/>
              <w:autoSpaceDE w:val="0"/>
              <w:autoSpaceDN w:val="0"/>
              <w:spacing w:before="105" w:line="186" w:lineRule="auto"/>
              <w:ind w:left="319"/>
            </w:pPr>
            <w:r>
              <w:rPr>
                <w:color w:val="030303"/>
                <w:spacing w:val="-2"/>
              </w:rPr>
              <w:t>3.9</w:t>
            </w:r>
          </w:p>
        </w:tc>
        <w:tc>
          <w:tcPr>
            <w:tcW w:w="767" w:type="dxa"/>
            <w:vAlign w:val="top"/>
          </w:tcPr>
          <w:p w14:paraId="1B364EC4">
            <w:pPr>
              <w:pStyle w:val="26"/>
              <w:autoSpaceDE w:val="0"/>
              <w:autoSpaceDN w:val="0"/>
              <w:spacing w:before="106" w:line="178" w:lineRule="auto"/>
              <w:ind w:left="236"/>
            </w:pPr>
            <w:r>
              <w:rPr>
                <w:rFonts w:ascii="宋体" w:hAnsi="宋体" w:eastAsia="宋体" w:cs="宋体"/>
                <w:color w:val="030303"/>
                <w:spacing w:val="-2"/>
              </w:rPr>
              <w:t>-</w:t>
            </w:r>
            <w:r>
              <w:rPr>
                <w:color w:val="030303"/>
                <w:spacing w:val="-2"/>
              </w:rPr>
              <w:t>7.9</w:t>
            </w:r>
          </w:p>
        </w:tc>
        <w:tc>
          <w:tcPr>
            <w:tcW w:w="778" w:type="dxa"/>
            <w:vAlign w:val="top"/>
          </w:tcPr>
          <w:p w14:paraId="07B5C494">
            <w:pPr>
              <w:pStyle w:val="26"/>
              <w:autoSpaceDE w:val="0"/>
              <w:autoSpaceDN w:val="0"/>
              <w:spacing w:before="108" w:line="176" w:lineRule="auto"/>
              <w:ind w:left="240"/>
            </w:pPr>
            <w:r>
              <w:rPr>
                <w:rFonts w:ascii="宋体" w:hAnsi="宋体" w:eastAsia="宋体" w:cs="宋体"/>
                <w:color w:val="030303"/>
                <w:spacing w:val="-2"/>
              </w:rPr>
              <w:t>-</w:t>
            </w:r>
            <w:r>
              <w:rPr>
                <w:color w:val="030303"/>
                <w:spacing w:val="-2"/>
              </w:rPr>
              <w:t>7.7</w:t>
            </w:r>
          </w:p>
        </w:tc>
      </w:tr>
      <w:tr w14:paraId="5249D72A">
        <w:trPr>
          <w:trHeight w:val="310" w:hRule="atLeast"/>
        </w:trPr>
        <w:tc>
          <w:tcPr>
            <w:tcW w:w="719" w:type="dxa"/>
            <w:vAlign w:val="top"/>
          </w:tcPr>
          <w:p w14:paraId="0D55ED24">
            <w:pPr>
              <w:pStyle w:val="26"/>
              <w:autoSpaceDE w:val="0"/>
              <w:autoSpaceDN w:val="0"/>
              <w:spacing w:before="107" w:line="186" w:lineRule="auto"/>
              <w:ind w:left="226"/>
            </w:pPr>
            <w:r>
              <w:rPr>
                <w:color w:val="030303"/>
                <w:spacing w:val="-4"/>
              </w:rPr>
              <w:t>1986</w:t>
            </w:r>
          </w:p>
        </w:tc>
        <w:tc>
          <w:tcPr>
            <w:tcW w:w="795" w:type="dxa"/>
            <w:vAlign w:val="top"/>
          </w:tcPr>
          <w:p w14:paraId="69C36509">
            <w:pPr>
              <w:pStyle w:val="26"/>
              <w:autoSpaceDE w:val="0"/>
              <w:autoSpaceDN w:val="0"/>
              <w:spacing w:before="110" w:line="183" w:lineRule="auto"/>
              <w:ind w:left="321"/>
            </w:pPr>
            <w:r>
              <w:rPr>
                <w:color w:val="030303"/>
                <w:spacing w:val="-2"/>
              </w:rPr>
              <w:t>5.5</w:t>
            </w:r>
          </w:p>
        </w:tc>
        <w:tc>
          <w:tcPr>
            <w:tcW w:w="760" w:type="dxa"/>
            <w:vAlign w:val="top"/>
          </w:tcPr>
          <w:p w14:paraId="1405EEAC">
            <w:pPr>
              <w:pStyle w:val="26"/>
              <w:autoSpaceDE w:val="0"/>
              <w:autoSpaceDN w:val="0"/>
              <w:spacing w:before="107" w:line="178" w:lineRule="auto"/>
              <w:ind w:left="236"/>
            </w:pPr>
            <w:r>
              <w:rPr>
                <w:rFonts w:ascii="宋体" w:hAnsi="宋体" w:eastAsia="宋体" w:cs="宋体"/>
                <w:color w:val="030303"/>
                <w:spacing w:val="-2"/>
              </w:rPr>
              <w:t>-</w:t>
            </w:r>
            <w:r>
              <w:rPr>
                <w:color w:val="030303"/>
                <w:spacing w:val="-2"/>
              </w:rPr>
              <w:t>8.1</w:t>
            </w:r>
          </w:p>
        </w:tc>
        <w:tc>
          <w:tcPr>
            <w:tcW w:w="804" w:type="dxa"/>
            <w:vAlign w:val="top"/>
          </w:tcPr>
          <w:p w14:paraId="74A3FB4A">
            <w:pPr>
              <w:pStyle w:val="26"/>
              <w:autoSpaceDE w:val="0"/>
              <w:autoSpaceDN w:val="0"/>
              <w:spacing w:before="107" w:line="178" w:lineRule="auto"/>
              <w:ind w:left="235"/>
            </w:pPr>
            <w:r>
              <w:rPr>
                <w:rFonts w:ascii="宋体" w:hAnsi="宋体" w:eastAsia="宋体" w:cs="宋体"/>
                <w:color w:val="030303"/>
                <w:spacing w:val="-2"/>
              </w:rPr>
              <w:t>-</w:t>
            </w:r>
            <w:r>
              <w:rPr>
                <w:color w:val="030303"/>
                <w:spacing w:val="-2"/>
              </w:rPr>
              <w:t>8.6</w:t>
            </w:r>
          </w:p>
        </w:tc>
        <w:tc>
          <w:tcPr>
            <w:tcW w:w="674" w:type="dxa"/>
            <w:vAlign w:val="top"/>
          </w:tcPr>
          <w:p w14:paraId="4BD35B9B">
            <w:pPr>
              <w:pStyle w:val="26"/>
              <w:autoSpaceDE w:val="0"/>
              <w:autoSpaceDN w:val="0"/>
              <w:spacing w:before="107" w:line="186" w:lineRule="auto"/>
              <w:ind w:left="165"/>
            </w:pPr>
            <w:r>
              <w:rPr>
                <w:color w:val="030303"/>
                <w:spacing w:val="-1"/>
              </w:rPr>
              <w:t>2013</w:t>
            </w:r>
          </w:p>
        </w:tc>
        <w:tc>
          <w:tcPr>
            <w:tcW w:w="796" w:type="dxa"/>
            <w:vAlign w:val="top"/>
          </w:tcPr>
          <w:p w14:paraId="0240D16C">
            <w:pPr>
              <w:pStyle w:val="26"/>
              <w:autoSpaceDE w:val="0"/>
              <w:autoSpaceDN w:val="0"/>
              <w:spacing w:before="107" w:line="186" w:lineRule="auto"/>
              <w:ind w:left="320"/>
            </w:pPr>
            <w:r>
              <w:rPr>
                <w:color w:val="030303"/>
                <w:spacing w:val="-2"/>
              </w:rPr>
              <w:t>0.2</w:t>
            </w:r>
          </w:p>
        </w:tc>
        <w:tc>
          <w:tcPr>
            <w:tcW w:w="760" w:type="dxa"/>
            <w:vAlign w:val="top"/>
          </w:tcPr>
          <w:p w14:paraId="688BC74B">
            <w:pPr>
              <w:pStyle w:val="26"/>
              <w:autoSpaceDE w:val="0"/>
              <w:autoSpaceDN w:val="0"/>
              <w:spacing w:before="107" w:line="178" w:lineRule="auto"/>
              <w:ind w:left="191"/>
            </w:pPr>
            <w:r>
              <w:rPr>
                <w:rFonts w:ascii="宋体" w:hAnsi="宋体" w:eastAsia="宋体" w:cs="宋体"/>
                <w:color w:val="030303"/>
                <w:spacing w:val="-2"/>
              </w:rPr>
              <w:t>-</w:t>
            </w:r>
            <w:r>
              <w:rPr>
                <w:color w:val="030303"/>
                <w:spacing w:val="-2"/>
              </w:rPr>
              <w:t>19.8</w:t>
            </w:r>
          </w:p>
        </w:tc>
        <w:tc>
          <w:tcPr>
            <w:tcW w:w="804" w:type="dxa"/>
            <w:vAlign w:val="top"/>
          </w:tcPr>
          <w:p w14:paraId="2D75E27D">
            <w:pPr>
              <w:pStyle w:val="26"/>
              <w:autoSpaceDE w:val="0"/>
              <w:autoSpaceDN w:val="0"/>
              <w:spacing w:before="107" w:line="178" w:lineRule="auto"/>
              <w:ind w:left="190"/>
            </w:pPr>
            <w:r>
              <w:rPr>
                <w:rFonts w:ascii="宋体" w:hAnsi="宋体" w:eastAsia="宋体" w:cs="宋体"/>
                <w:color w:val="030303"/>
                <w:spacing w:val="-2"/>
              </w:rPr>
              <w:t>-</w:t>
            </w:r>
            <w:r>
              <w:rPr>
                <w:color w:val="030303"/>
                <w:spacing w:val="-2"/>
              </w:rPr>
              <w:t>19.1</w:t>
            </w:r>
          </w:p>
        </w:tc>
        <w:tc>
          <w:tcPr>
            <w:tcW w:w="675" w:type="dxa"/>
            <w:vAlign w:val="top"/>
          </w:tcPr>
          <w:p w14:paraId="0DE39D09">
            <w:pPr>
              <w:pStyle w:val="26"/>
              <w:autoSpaceDE w:val="0"/>
              <w:autoSpaceDN w:val="0"/>
              <w:spacing w:before="107" w:line="186" w:lineRule="auto"/>
              <w:ind w:left="165"/>
            </w:pPr>
            <w:r>
              <w:rPr>
                <w:color w:val="030303"/>
                <w:spacing w:val="-1"/>
              </w:rPr>
              <w:t>2008</w:t>
            </w:r>
          </w:p>
        </w:tc>
        <w:tc>
          <w:tcPr>
            <w:tcW w:w="795" w:type="dxa"/>
            <w:vAlign w:val="top"/>
          </w:tcPr>
          <w:p w14:paraId="00932C91">
            <w:pPr>
              <w:pStyle w:val="26"/>
              <w:autoSpaceDE w:val="0"/>
              <w:autoSpaceDN w:val="0"/>
              <w:spacing w:before="107" w:line="186" w:lineRule="auto"/>
              <w:ind w:left="316"/>
            </w:pPr>
            <w:r>
              <w:rPr>
                <w:color w:val="030303"/>
                <w:spacing w:val="-1"/>
              </w:rPr>
              <w:t>2.9</w:t>
            </w:r>
          </w:p>
        </w:tc>
        <w:tc>
          <w:tcPr>
            <w:tcW w:w="767" w:type="dxa"/>
            <w:vAlign w:val="top"/>
          </w:tcPr>
          <w:p w14:paraId="453F92EE">
            <w:pPr>
              <w:pStyle w:val="26"/>
              <w:autoSpaceDE w:val="0"/>
              <w:autoSpaceDN w:val="0"/>
              <w:spacing w:before="107" w:line="178" w:lineRule="auto"/>
              <w:ind w:left="191"/>
            </w:pPr>
            <w:r>
              <w:rPr>
                <w:rFonts w:ascii="宋体" w:hAnsi="宋体" w:eastAsia="宋体" w:cs="宋体"/>
                <w:color w:val="030303"/>
                <w:spacing w:val="-2"/>
              </w:rPr>
              <w:t>-</w:t>
            </w:r>
            <w:r>
              <w:rPr>
                <w:color w:val="030303"/>
                <w:spacing w:val="-2"/>
              </w:rPr>
              <w:t>12.5</w:t>
            </w:r>
          </w:p>
        </w:tc>
        <w:tc>
          <w:tcPr>
            <w:tcW w:w="778" w:type="dxa"/>
            <w:vAlign w:val="top"/>
          </w:tcPr>
          <w:p w14:paraId="0BF5FE4E">
            <w:pPr>
              <w:pStyle w:val="26"/>
              <w:autoSpaceDE w:val="0"/>
              <w:autoSpaceDN w:val="0"/>
              <w:spacing w:before="107" w:line="178" w:lineRule="auto"/>
              <w:ind w:left="196"/>
            </w:pPr>
            <w:r>
              <w:rPr>
                <w:rFonts w:ascii="宋体" w:hAnsi="宋体" w:eastAsia="宋体" w:cs="宋体"/>
                <w:color w:val="030303"/>
                <w:spacing w:val="-2"/>
              </w:rPr>
              <w:t>-</w:t>
            </w:r>
            <w:r>
              <w:rPr>
                <w:color w:val="030303"/>
                <w:spacing w:val="-2"/>
              </w:rPr>
              <w:t>12.3</w:t>
            </w:r>
          </w:p>
        </w:tc>
      </w:tr>
      <w:tr w14:paraId="34606C2D">
        <w:trPr>
          <w:trHeight w:val="311" w:hRule="atLeast"/>
        </w:trPr>
        <w:tc>
          <w:tcPr>
            <w:tcW w:w="719" w:type="dxa"/>
            <w:vAlign w:val="top"/>
          </w:tcPr>
          <w:p w14:paraId="6C42A6AC">
            <w:pPr>
              <w:pStyle w:val="26"/>
              <w:autoSpaceDE w:val="0"/>
              <w:autoSpaceDN w:val="0"/>
              <w:spacing w:before="109" w:line="186" w:lineRule="auto"/>
              <w:ind w:left="227"/>
            </w:pPr>
            <w:r>
              <w:rPr>
                <w:color w:val="030303"/>
                <w:spacing w:val="-4"/>
              </w:rPr>
              <w:t>1990</w:t>
            </w:r>
          </w:p>
        </w:tc>
        <w:tc>
          <w:tcPr>
            <w:tcW w:w="795" w:type="dxa"/>
            <w:vAlign w:val="top"/>
          </w:tcPr>
          <w:p w14:paraId="67032077">
            <w:pPr>
              <w:pStyle w:val="26"/>
              <w:autoSpaceDE w:val="0"/>
              <w:autoSpaceDN w:val="0"/>
              <w:spacing w:before="109" w:line="186" w:lineRule="auto"/>
              <w:ind w:left="317"/>
            </w:pPr>
            <w:r>
              <w:rPr>
                <w:color w:val="030303"/>
                <w:spacing w:val="-1"/>
              </w:rPr>
              <w:t>2.0</w:t>
            </w:r>
          </w:p>
        </w:tc>
        <w:tc>
          <w:tcPr>
            <w:tcW w:w="760" w:type="dxa"/>
            <w:vAlign w:val="top"/>
          </w:tcPr>
          <w:p w14:paraId="2921DED9">
            <w:pPr>
              <w:pStyle w:val="26"/>
              <w:autoSpaceDE w:val="0"/>
              <w:autoSpaceDN w:val="0"/>
              <w:spacing w:before="109" w:line="178" w:lineRule="auto"/>
              <w:ind w:left="192"/>
            </w:pPr>
            <w:r>
              <w:rPr>
                <w:rFonts w:ascii="宋体" w:hAnsi="宋体" w:eastAsia="宋体" w:cs="宋体"/>
                <w:color w:val="030303"/>
                <w:spacing w:val="-2"/>
              </w:rPr>
              <w:t>-</w:t>
            </w:r>
            <w:r>
              <w:rPr>
                <w:color w:val="030303"/>
                <w:spacing w:val="-2"/>
              </w:rPr>
              <w:t>18.2</w:t>
            </w:r>
          </w:p>
        </w:tc>
        <w:tc>
          <w:tcPr>
            <w:tcW w:w="804" w:type="dxa"/>
            <w:vAlign w:val="top"/>
          </w:tcPr>
          <w:p w14:paraId="5767F327">
            <w:pPr>
              <w:pStyle w:val="26"/>
              <w:autoSpaceDE w:val="0"/>
              <w:autoSpaceDN w:val="0"/>
              <w:spacing w:before="109" w:line="178" w:lineRule="auto"/>
              <w:ind w:left="190"/>
            </w:pPr>
            <w:r>
              <w:rPr>
                <w:rFonts w:ascii="宋体" w:hAnsi="宋体" w:eastAsia="宋体" w:cs="宋体"/>
                <w:color w:val="030303"/>
                <w:spacing w:val="-2"/>
              </w:rPr>
              <w:t>-</w:t>
            </w:r>
            <w:r>
              <w:rPr>
                <w:color w:val="030303"/>
                <w:spacing w:val="-2"/>
              </w:rPr>
              <w:t>18.5</w:t>
            </w:r>
          </w:p>
        </w:tc>
        <w:tc>
          <w:tcPr>
            <w:tcW w:w="674" w:type="dxa"/>
            <w:vAlign w:val="top"/>
          </w:tcPr>
          <w:p w14:paraId="158080C4">
            <w:pPr>
              <w:autoSpaceDE w:val="0"/>
              <w:autoSpaceDN w:val="0"/>
              <w:rPr>
                <w:rFonts w:ascii="Arial"/>
                <w:sz w:val="21"/>
              </w:rPr>
            </w:pPr>
          </w:p>
        </w:tc>
        <w:tc>
          <w:tcPr>
            <w:tcW w:w="796" w:type="dxa"/>
            <w:vAlign w:val="top"/>
          </w:tcPr>
          <w:p w14:paraId="55DA9F71">
            <w:pPr>
              <w:autoSpaceDE w:val="0"/>
              <w:autoSpaceDN w:val="0"/>
              <w:rPr>
                <w:rFonts w:ascii="Arial"/>
                <w:sz w:val="21"/>
              </w:rPr>
            </w:pPr>
          </w:p>
        </w:tc>
        <w:tc>
          <w:tcPr>
            <w:tcW w:w="760" w:type="dxa"/>
            <w:vAlign w:val="top"/>
          </w:tcPr>
          <w:p w14:paraId="7B8FA533">
            <w:pPr>
              <w:autoSpaceDE w:val="0"/>
              <w:autoSpaceDN w:val="0"/>
              <w:rPr>
                <w:rFonts w:ascii="Arial"/>
                <w:sz w:val="21"/>
              </w:rPr>
            </w:pPr>
          </w:p>
        </w:tc>
        <w:tc>
          <w:tcPr>
            <w:tcW w:w="804" w:type="dxa"/>
            <w:vAlign w:val="top"/>
          </w:tcPr>
          <w:p w14:paraId="54A05B7F">
            <w:pPr>
              <w:autoSpaceDE w:val="0"/>
              <w:autoSpaceDN w:val="0"/>
              <w:rPr>
                <w:rFonts w:ascii="Arial"/>
                <w:sz w:val="21"/>
              </w:rPr>
            </w:pPr>
          </w:p>
        </w:tc>
        <w:tc>
          <w:tcPr>
            <w:tcW w:w="675" w:type="dxa"/>
            <w:vAlign w:val="top"/>
          </w:tcPr>
          <w:p w14:paraId="30D48D7C">
            <w:pPr>
              <w:pStyle w:val="26"/>
              <w:autoSpaceDE w:val="0"/>
              <w:autoSpaceDN w:val="0"/>
              <w:spacing w:before="109" w:line="186" w:lineRule="auto"/>
              <w:ind w:left="165"/>
            </w:pPr>
            <w:r>
              <w:rPr>
                <w:color w:val="231F20"/>
                <w:spacing w:val="-1"/>
              </w:rPr>
              <w:t>2009</w:t>
            </w:r>
          </w:p>
        </w:tc>
        <w:tc>
          <w:tcPr>
            <w:tcW w:w="795" w:type="dxa"/>
            <w:vAlign w:val="top"/>
          </w:tcPr>
          <w:p w14:paraId="74594CEF">
            <w:pPr>
              <w:pStyle w:val="26"/>
              <w:autoSpaceDE w:val="0"/>
              <w:autoSpaceDN w:val="0"/>
              <w:spacing w:before="109" w:line="186" w:lineRule="auto"/>
              <w:ind w:left="320"/>
            </w:pPr>
            <w:r>
              <w:rPr>
                <w:color w:val="231F20"/>
                <w:spacing w:val="-2"/>
              </w:rPr>
              <w:t>3.4</w:t>
            </w:r>
          </w:p>
        </w:tc>
        <w:tc>
          <w:tcPr>
            <w:tcW w:w="767" w:type="dxa"/>
            <w:vAlign w:val="top"/>
          </w:tcPr>
          <w:p w14:paraId="6B25097C">
            <w:pPr>
              <w:pStyle w:val="26"/>
              <w:autoSpaceDE w:val="0"/>
              <w:autoSpaceDN w:val="0"/>
              <w:spacing w:before="109" w:line="178" w:lineRule="auto"/>
              <w:ind w:left="237"/>
            </w:pPr>
            <w:r>
              <w:rPr>
                <w:rFonts w:ascii="宋体" w:hAnsi="宋体" w:eastAsia="宋体" w:cs="宋体"/>
                <w:color w:val="231F20"/>
                <w:spacing w:val="-2"/>
              </w:rPr>
              <w:t>-</w:t>
            </w:r>
            <w:r>
              <w:rPr>
                <w:color w:val="231F20"/>
                <w:spacing w:val="-2"/>
              </w:rPr>
              <w:t>8.1</w:t>
            </w:r>
          </w:p>
        </w:tc>
        <w:tc>
          <w:tcPr>
            <w:tcW w:w="778" w:type="dxa"/>
            <w:vAlign w:val="top"/>
          </w:tcPr>
          <w:p w14:paraId="3E821575">
            <w:pPr>
              <w:pStyle w:val="26"/>
              <w:autoSpaceDE w:val="0"/>
              <w:autoSpaceDN w:val="0"/>
              <w:spacing w:before="111" w:line="176" w:lineRule="auto"/>
              <w:ind w:left="241"/>
            </w:pPr>
            <w:r>
              <w:rPr>
                <w:rFonts w:ascii="宋体" w:hAnsi="宋体" w:eastAsia="宋体" w:cs="宋体"/>
                <w:color w:val="030303"/>
                <w:spacing w:val="-2"/>
              </w:rPr>
              <w:t>-</w:t>
            </w:r>
            <w:r>
              <w:rPr>
                <w:color w:val="030303"/>
                <w:spacing w:val="-2"/>
              </w:rPr>
              <w:t>7.7</w:t>
            </w:r>
          </w:p>
        </w:tc>
      </w:tr>
      <w:tr w14:paraId="7D18D01F">
        <w:trPr>
          <w:trHeight w:val="310" w:hRule="atLeast"/>
        </w:trPr>
        <w:tc>
          <w:tcPr>
            <w:tcW w:w="719" w:type="dxa"/>
            <w:vAlign w:val="top"/>
          </w:tcPr>
          <w:p w14:paraId="0A35EFB0">
            <w:pPr>
              <w:pStyle w:val="26"/>
              <w:autoSpaceDE w:val="0"/>
              <w:autoSpaceDN w:val="0"/>
              <w:spacing w:before="110" w:line="186" w:lineRule="auto"/>
              <w:ind w:left="227"/>
            </w:pPr>
            <w:r>
              <w:rPr>
                <w:color w:val="030303"/>
                <w:spacing w:val="-4"/>
              </w:rPr>
              <w:t>1994</w:t>
            </w:r>
          </w:p>
        </w:tc>
        <w:tc>
          <w:tcPr>
            <w:tcW w:w="795" w:type="dxa"/>
            <w:vAlign w:val="top"/>
          </w:tcPr>
          <w:p w14:paraId="5EC31973">
            <w:pPr>
              <w:pStyle w:val="26"/>
              <w:autoSpaceDE w:val="0"/>
              <w:autoSpaceDN w:val="0"/>
              <w:spacing w:before="110" w:line="186" w:lineRule="auto"/>
              <w:ind w:left="320"/>
            </w:pPr>
            <w:r>
              <w:rPr>
                <w:color w:val="030303"/>
                <w:spacing w:val="-2"/>
              </w:rPr>
              <w:t>9.0</w:t>
            </w:r>
          </w:p>
        </w:tc>
        <w:tc>
          <w:tcPr>
            <w:tcW w:w="760" w:type="dxa"/>
            <w:vAlign w:val="top"/>
          </w:tcPr>
          <w:p w14:paraId="022E17C1">
            <w:pPr>
              <w:pStyle w:val="26"/>
              <w:autoSpaceDE w:val="0"/>
              <w:autoSpaceDN w:val="0"/>
              <w:spacing w:before="110" w:line="178" w:lineRule="auto"/>
              <w:ind w:left="192"/>
            </w:pPr>
            <w:r>
              <w:rPr>
                <w:rFonts w:ascii="宋体" w:hAnsi="宋体" w:eastAsia="宋体" w:cs="宋体"/>
                <w:color w:val="030303"/>
                <w:spacing w:val="-2"/>
              </w:rPr>
              <w:t>-</w:t>
            </w:r>
            <w:r>
              <w:rPr>
                <w:color w:val="030303"/>
                <w:spacing w:val="-2"/>
              </w:rPr>
              <w:t>14.2</w:t>
            </w:r>
          </w:p>
        </w:tc>
        <w:tc>
          <w:tcPr>
            <w:tcW w:w="804" w:type="dxa"/>
            <w:vAlign w:val="top"/>
          </w:tcPr>
          <w:p w14:paraId="1217444F">
            <w:pPr>
              <w:pStyle w:val="26"/>
              <w:autoSpaceDE w:val="0"/>
              <w:autoSpaceDN w:val="0"/>
              <w:spacing w:before="110" w:line="178" w:lineRule="auto"/>
              <w:ind w:left="191"/>
            </w:pPr>
            <w:r>
              <w:rPr>
                <w:rFonts w:ascii="宋体" w:hAnsi="宋体" w:eastAsia="宋体" w:cs="宋体"/>
                <w:color w:val="030303"/>
                <w:spacing w:val="-2"/>
              </w:rPr>
              <w:t>-</w:t>
            </w:r>
            <w:r>
              <w:rPr>
                <w:color w:val="030303"/>
                <w:spacing w:val="-2"/>
              </w:rPr>
              <w:t>14.1</w:t>
            </w:r>
          </w:p>
        </w:tc>
        <w:tc>
          <w:tcPr>
            <w:tcW w:w="674" w:type="dxa"/>
            <w:vAlign w:val="top"/>
          </w:tcPr>
          <w:p w14:paraId="375BB9E0">
            <w:pPr>
              <w:autoSpaceDE w:val="0"/>
              <w:autoSpaceDN w:val="0"/>
              <w:rPr>
                <w:rFonts w:ascii="Arial"/>
                <w:sz w:val="21"/>
              </w:rPr>
            </w:pPr>
          </w:p>
        </w:tc>
        <w:tc>
          <w:tcPr>
            <w:tcW w:w="796" w:type="dxa"/>
            <w:vAlign w:val="top"/>
          </w:tcPr>
          <w:p w14:paraId="4C54A888">
            <w:pPr>
              <w:autoSpaceDE w:val="0"/>
              <w:autoSpaceDN w:val="0"/>
              <w:rPr>
                <w:rFonts w:ascii="Arial"/>
                <w:sz w:val="21"/>
              </w:rPr>
            </w:pPr>
          </w:p>
        </w:tc>
        <w:tc>
          <w:tcPr>
            <w:tcW w:w="760" w:type="dxa"/>
            <w:vAlign w:val="top"/>
          </w:tcPr>
          <w:p w14:paraId="6E0E9E8E">
            <w:pPr>
              <w:autoSpaceDE w:val="0"/>
              <w:autoSpaceDN w:val="0"/>
              <w:rPr>
                <w:rFonts w:ascii="Arial"/>
                <w:sz w:val="21"/>
              </w:rPr>
            </w:pPr>
          </w:p>
        </w:tc>
        <w:tc>
          <w:tcPr>
            <w:tcW w:w="804" w:type="dxa"/>
            <w:vAlign w:val="top"/>
          </w:tcPr>
          <w:p w14:paraId="436C7EE6">
            <w:pPr>
              <w:autoSpaceDE w:val="0"/>
              <w:autoSpaceDN w:val="0"/>
              <w:rPr>
                <w:rFonts w:ascii="Arial"/>
                <w:sz w:val="21"/>
              </w:rPr>
            </w:pPr>
          </w:p>
        </w:tc>
        <w:tc>
          <w:tcPr>
            <w:tcW w:w="675" w:type="dxa"/>
            <w:vAlign w:val="top"/>
          </w:tcPr>
          <w:p w14:paraId="3D08A015">
            <w:pPr>
              <w:pStyle w:val="26"/>
              <w:autoSpaceDE w:val="0"/>
              <w:autoSpaceDN w:val="0"/>
              <w:spacing w:before="110" w:line="186" w:lineRule="auto"/>
              <w:ind w:left="166"/>
            </w:pPr>
            <w:r>
              <w:rPr>
                <w:color w:val="030303"/>
                <w:spacing w:val="-1"/>
              </w:rPr>
              <w:t>2012</w:t>
            </w:r>
          </w:p>
        </w:tc>
        <w:tc>
          <w:tcPr>
            <w:tcW w:w="795" w:type="dxa"/>
            <w:vAlign w:val="top"/>
          </w:tcPr>
          <w:p w14:paraId="59BF7C3B">
            <w:pPr>
              <w:pStyle w:val="26"/>
              <w:autoSpaceDE w:val="0"/>
              <w:autoSpaceDN w:val="0"/>
              <w:spacing w:before="110" w:line="186" w:lineRule="auto"/>
              <w:ind w:left="319"/>
            </w:pPr>
            <w:r>
              <w:rPr>
                <w:color w:val="030303"/>
                <w:spacing w:val="-2"/>
              </w:rPr>
              <w:t>0.1</w:t>
            </w:r>
          </w:p>
        </w:tc>
        <w:tc>
          <w:tcPr>
            <w:tcW w:w="767" w:type="dxa"/>
            <w:vAlign w:val="top"/>
          </w:tcPr>
          <w:p w14:paraId="1A1EE6F9">
            <w:pPr>
              <w:pStyle w:val="26"/>
              <w:autoSpaceDE w:val="0"/>
              <w:autoSpaceDN w:val="0"/>
              <w:spacing w:before="110" w:line="178" w:lineRule="auto"/>
              <w:ind w:left="237"/>
            </w:pPr>
            <w:r>
              <w:rPr>
                <w:rFonts w:ascii="宋体" w:hAnsi="宋体" w:eastAsia="宋体" w:cs="宋体"/>
                <w:color w:val="030303"/>
                <w:spacing w:val="-2"/>
              </w:rPr>
              <w:t>-</w:t>
            </w:r>
            <w:r>
              <w:rPr>
                <w:color w:val="030303"/>
                <w:spacing w:val="-2"/>
              </w:rPr>
              <w:t>2.1</w:t>
            </w:r>
          </w:p>
        </w:tc>
        <w:tc>
          <w:tcPr>
            <w:tcW w:w="778" w:type="dxa"/>
            <w:vAlign w:val="top"/>
          </w:tcPr>
          <w:p w14:paraId="2A162E06">
            <w:pPr>
              <w:pStyle w:val="26"/>
              <w:autoSpaceDE w:val="0"/>
              <w:autoSpaceDN w:val="0"/>
              <w:spacing w:before="110" w:line="178" w:lineRule="auto"/>
              <w:ind w:left="242"/>
            </w:pPr>
            <w:r>
              <w:rPr>
                <w:rFonts w:ascii="宋体" w:hAnsi="宋体" w:eastAsia="宋体" w:cs="宋体"/>
                <w:color w:val="030303"/>
                <w:spacing w:val="-2"/>
              </w:rPr>
              <w:t>-</w:t>
            </w:r>
            <w:r>
              <w:rPr>
                <w:color w:val="030303"/>
                <w:spacing w:val="-2"/>
              </w:rPr>
              <w:t>1.9</w:t>
            </w:r>
          </w:p>
        </w:tc>
      </w:tr>
      <w:tr w14:paraId="4BAE6A84">
        <w:trPr>
          <w:trHeight w:val="311" w:hRule="atLeast"/>
        </w:trPr>
        <w:tc>
          <w:tcPr>
            <w:tcW w:w="719" w:type="dxa"/>
            <w:vAlign w:val="top"/>
          </w:tcPr>
          <w:p w14:paraId="75793EDB">
            <w:pPr>
              <w:pStyle w:val="26"/>
              <w:autoSpaceDE w:val="0"/>
              <w:autoSpaceDN w:val="0"/>
              <w:spacing w:before="111" w:line="186" w:lineRule="auto"/>
              <w:ind w:left="210"/>
            </w:pPr>
            <w:r>
              <w:rPr>
                <w:color w:val="030303"/>
                <w:spacing w:val="-1"/>
              </w:rPr>
              <w:t>2016</w:t>
            </w:r>
          </w:p>
        </w:tc>
        <w:tc>
          <w:tcPr>
            <w:tcW w:w="795" w:type="dxa"/>
            <w:vAlign w:val="top"/>
          </w:tcPr>
          <w:p w14:paraId="6DBFA2B3">
            <w:pPr>
              <w:pStyle w:val="26"/>
              <w:autoSpaceDE w:val="0"/>
              <w:autoSpaceDN w:val="0"/>
              <w:spacing w:before="111" w:line="186" w:lineRule="auto"/>
              <w:ind w:left="322"/>
            </w:pPr>
            <w:r>
              <w:rPr>
                <w:color w:val="030303"/>
                <w:spacing w:val="-2"/>
              </w:rPr>
              <w:t>5.2</w:t>
            </w:r>
          </w:p>
        </w:tc>
        <w:tc>
          <w:tcPr>
            <w:tcW w:w="760" w:type="dxa"/>
            <w:vAlign w:val="top"/>
          </w:tcPr>
          <w:p w14:paraId="2B2EC54F">
            <w:pPr>
              <w:pStyle w:val="26"/>
              <w:autoSpaceDE w:val="0"/>
              <w:autoSpaceDN w:val="0"/>
              <w:spacing w:before="112" w:line="178" w:lineRule="auto"/>
              <w:ind w:left="238"/>
            </w:pPr>
            <w:r>
              <w:rPr>
                <w:rFonts w:ascii="宋体" w:hAnsi="宋体" w:eastAsia="宋体" w:cs="宋体"/>
                <w:color w:val="030303"/>
                <w:spacing w:val="-2"/>
              </w:rPr>
              <w:t>-</w:t>
            </w:r>
            <w:r>
              <w:rPr>
                <w:color w:val="030303"/>
                <w:spacing w:val="-2"/>
              </w:rPr>
              <w:t>1.1</w:t>
            </w:r>
          </w:p>
        </w:tc>
        <w:tc>
          <w:tcPr>
            <w:tcW w:w="804" w:type="dxa"/>
            <w:vAlign w:val="top"/>
          </w:tcPr>
          <w:p w14:paraId="401B89C6">
            <w:pPr>
              <w:pStyle w:val="26"/>
              <w:autoSpaceDE w:val="0"/>
              <w:autoSpaceDN w:val="0"/>
              <w:spacing w:before="112" w:line="178" w:lineRule="auto"/>
              <w:ind w:left="236"/>
            </w:pPr>
            <w:r>
              <w:rPr>
                <w:rFonts w:ascii="宋体" w:hAnsi="宋体" w:eastAsia="宋体" w:cs="宋体"/>
                <w:color w:val="030303"/>
                <w:spacing w:val="-2"/>
              </w:rPr>
              <w:t>-</w:t>
            </w:r>
            <w:r>
              <w:rPr>
                <w:color w:val="030303"/>
                <w:spacing w:val="-2"/>
              </w:rPr>
              <w:t>1.0</w:t>
            </w:r>
          </w:p>
        </w:tc>
        <w:tc>
          <w:tcPr>
            <w:tcW w:w="674" w:type="dxa"/>
            <w:vAlign w:val="top"/>
          </w:tcPr>
          <w:p w14:paraId="4C915558">
            <w:pPr>
              <w:autoSpaceDE w:val="0"/>
              <w:autoSpaceDN w:val="0"/>
              <w:rPr>
                <w:rFonts w:ascii="Arial"/>
                <w:sz w:val="21"/>
              </w:rPr>
            </w:pPr>
          </w:p>
        </w:tc>
        <w:tc>
          <w:tcPr>
            <w:tcW w:w="796" w:type="dxa"/>
            <w:vAlign w:val="top"/>
          </w:tcPr>
          <w:p w14:paraId="5EB88D79">
            <w:pPr>
              <w:autoSpaceDE w:val="0"/>
              <w:autoSpaceDN w:val="0"/>
              <w:rPr>
                <w:rFonts w:ascii="Arial"/>
                <w:sz w:val="21"/>
              </w:rPr>
            </w:pPr>
          </w:p>
        </w:tc>
        <w:tc>
          <w:tcPr>
            <w:tcW w:w="760" w:type="dxa"/>
            <w:vAlign w:val="top"/>
          </w:tcPr>
          <w:p w14:paraId="4FEDC77F">
            <w:pPr>
              <w:autoSpaceDE w:val="0"/>
              <w:autoSpaceDN w:val="0"/>
              <w:rPr>
                <w:rFonts w:ascii="Arial"/>
                <w:sz w:val="21"/>
              </w:rPr>
            </w:pPr>
          </w:p>
        </w:tc>
        <w:tc>
          <w:tcPr>
            <w:tcW w:w="804" w:type="dxa"/>
            <w:vAlign w:val="top"/>
          </w:tcPr>
          <w:p w14:paraId="57DFC790">
            <w:pPr>
              <w:autoSpaceDE w:val="0"/>
              <w:autoSpaceDN w:val="0"/>
              <w:rPr>
                <w:rFonts w:ascii="Arial"/>
                <w:sz w:val="21"/>
              </w:rPr>
            </w:pPr>
          </w:p>
        </w:tc>
        <w:tc>
          <w:tcPr>
            <w:tcW w:w="675" w:type="dxa"/>
            <w:vAlign w:val="top"/>
          </w:tcPr>
          <w:p w14:paraId="1204542D">
            <w:pPr>
              <w:pStyle w:val="26"/>
              <w:autoSpaceDE w:val="0"/>
              <w:autoSpaceDN w:val="0"/>
              <w:spacing w:before="111" w:line="186" w:lineRule="auto"/>
              <w:ind w:left="166"/>
            </w:pPr>
            <w:r>
              <w:rPr>
                <w:color w:val="030303"/>
                <w:spacing w:val="-1"/>
              </w:rPr>
              <w:t>2015</w:t>
            </w:r>
          </w:p>
        </w:tc>
        <w:tc>
          <w:tcPr>
            <w:tcW w:w="795" w:type="dxa"/>
            <w:vAlign w:val="top"/>
          </w:tcPr>
          <w:p w14:paraId="6F024228">
            <w:pPr>
              <w:pStyle w:val="26"/>
              <w:autoSpaceDE w:val="0"/>
              <w:autoSpaceDN w:val="0"/>
              <w:spacing w:before="111" w:line="186" w:lineRule="auto"/>
              <w:ind w:left="320"/>
            </w:pPr>
            <w:r>
              <w:rPr>
                <w:color w:val="030303"/>
                <w:spacing w:val="-2"/>
              </w:rPr>
              <w:t>0.1</w:t>
            </w:r>
          </w:p>
        </w:tc>
        <w:tc>
          <w:tcPr>
            <w:tcW w:w="767" w:type="dxa"/>
            <w:vAlign w:val="top"/>
          </w:tcPr>
          <w:p w14:paraId="602C3C45">
            <w:pPr>
              <w:pStyle w:val="26"/>
              <w:autoSpaceDE w:val="0"/>
              <w:autoSpaceDN w:val="0"/>
              <w:spacing w:before="112" w:line="178" w:lineRule="auto"/>
              <w:ind w:left="237"/>
            </w:pPr>
            <w:r>
              <w:rPr>
                <w:rFonts w:ascii="宋体" w:hAnsi="宋体" w:eastAsia="宋体" w:cs="宋体"/>
                <w:color w:val="030303"/>
                <w:spacing w:val="-2"/>
              </w:rPr>
              <w:t>-</w:t>
            </w:r>
            <w:r>
              <w:rPr>
                <w:color w:val="030303"/>
                <w:spacing w:val="-2"/>
              </w:rPr>
              <w:t>4.8</w:t>
            </w:r>
          </w:p>
        </w:tc>
        <w:tc>
          <w:tcPr>
            <w:tcW w:w="778" w:type="dxa"/>
            <w:vAlign w:val="top"/>
          </w:tcPr>
          <w:p w14:paraId="2C882396">
            <w:pPr>
              <w:pStyle w:val="26"/>
              <w:autoSpaceDE w:val="0"/>
              <w:autoSpaceDN w:val="0"/>
              <w:spacing w:before="112" w:line="178" w:lineRule="auto"/>
              <w:ind w:left="242"/>
            </w:pPr>
            <w:r>
              <w:rPr>
                <w:rFonts w:ascii="宋体" w:hAnsi="宋体" w:eastAsia="宋体" w:cs="宋体"/>
                <w:color w:val="030303"/>
                <w:spacing w:val="-2"/>
              </w:rPr>
              <w:t>-</w:t>
            </w:r>
            <w:r>
              <w:rPr>
                <w:color w:val="030303"/>
                <w:spacing w:val="-2"/>
              </w:rPr>
              <w:t>4.6</w:t>
            </w:r>
          </w:p>
        </w:tc>
      </w:tr>
      <w:tr w14:paraId="42300FA7">
        <w:trPr>
          <w:trHeight w:val="311" w:hRule="atLeast"/>
        </w:trPr>
        <w:tc>
          <w:tcPr>
            <w:tcW w:w="719" w:type="dxa"/>
            <w:vAlign w:val="top"/>
          </w:tcPr>
          <w:p w14:paraId="79DEC46F">
            <w:pPr>
              <w:pStyle w:val="26"/>
              <w:autoSpaceDE w:val="0"/>
              <w:autoSpaceDN w:val="0"/>
              <w:spacing w:before="112" w:line="186" w:lineRule="auto"/>
              <w:ind w:left="211"/>
            </w:pPr>
            <w:r>
              <w:rPr>
                <w:color w:val="030303"/>
                <w:spacing w:val="-1"/>
              </w:rPr>
              <w:t>2019</w:t>
            </w:r>
          </w:p>
        </w:tc>
        <w:tc>
          <w:tcPr>
            <w:tcW w:w="795" w:type="dxa"/>
            <w:vAlign w:val="top"/>
          </w:tcPr>
          <w:p w14:paraId="2821C16B">
            <w:pPr>
              <w:pStyle w:val="26"/>
              <w:autoSpaceDE w:val="0"/>
              <w:autoSpaceDN w:val="0"/>
              <w:spacing w:before="112" w:line="186" w:lineRule="auto"/>
              <w:ind w:left="321"/>
            </w:pPr>
            <w:r>
              <w:rPr>
                <w:color w:val="030303"/>
                <w:spacing w:val="-2"/>
              </w:rPr>
              <w:t>3.7</w:t>
            </w:r>
          </w:p>
        </w:tc>
        <w:tc>
          <w:tcPr>
            <w:tcW w:w="760" w:type="dxa"/>
            <w:vAlign w:val="top"/>
          </w:tcPr>
          <w:p w14:paraId="0B712F0A">
            <w:pPr>
              <w:pStyle w:val="26"/>
              <w:autoSpaceDE w:val="0"/>
              <w:autoSpaceDN w:val="0"/>
              <w:spacing w:before="112" w:line="178" w:lineRule="auto"/>
              <w:ind w:left="238"/>
            </w:pPr>
            <w:r>
              <w:rPr>
                <w:rFonts w:ascii="宋体" w:hAnsi="宋体" w:eastAsia="宋体" w:cs="宋体"/>
                <w:color w:val="030303"/>
                <w:spacing w:val="-2"/>
              </w:rPr>
              <w:t>-</w:t>
            </w:r>
            <w:r>
              <w:rPr>
                <w:color w:val="030303"/>
                <w:spacing w:val="-2"/>
              </w:rPr>
              <w:t>1.3</w:t>
            </w:r>
          </w:p>
        </w:tc>
        <w:tc>
          <w:tcPr>
            <w:tcW w:w="804" w:type="dxa"/>
            <w:vAlign w:val="top"/>
          </w:tcPr>
          <w:p w14:paraId="2DCB7083">
            <w:pPr>
              <w:pStyle w:val="26"/>
              <w:autoSpaceDE w:val="0"/>
              <w:autoSpaceDN w:val="0"/>
              <w:spacing w:before="112" w:line="178" w:lineRule="auto"/>
              <w:ind w:left="237"/>
            </w:pPr>
            <w:r>
              <w:rPr>
                <w:rFonts w:ascii="宋体" w:hAnsi="宋体" w:eastAsia="宋体" w:cs="宋体"/>
                <w:color w:val="030303"/>
                <w:spacing w:val="-2"/>
              </w:rPr>
              <w:t>-</w:t>
            </w:r>
            <w:r>
              <w:rPr>
                <w:color w:val="030303"/>
                <w:spacing w:val="-2"/>
              </w:rPr>
              <w:t>1.2</w:t>
            </w:r>
          </w:p>
        </w:tc>
        <w:tc>
          <w:tcPr>
            <w:tcW w:w="674" w:type="dxa"/>
            <w:vAlign w:val="top"/>
          </w:tcPr>
          <w:p w14:paraId="4242AD25">
            <w:pPr>
              <w:autoSpaceDE w:val="0"/>
              <w:autoSpaceDN w:val="0"/>
              <w:rPr>
                <w:rFonts w:ascii="Arial"/>
                <w:sz w:val="21"/>
              </w:rPr>
            </w:pPr>
          </w:p>
        </w:tc>
        <w:tc>
          <w:tcPr>
            <w:tcW w:w="796" w:type="dxa"/>
            <w:vAlign w:val="top"/>
          </w:tcPr>
          <w:p w14:paraId="6D7F0DA5">
            <w:pPr>
              <w:autoSpaceDE w:val="0"/>
              <w:autoSpaceDN w:val="0"/>
              <w:rPr>
                <w:rFonts w:ascii="Arial"/>
                <w:sz w:val="21"/>
              </w:rPr>
            </w:pPr>
          </w:p>
        </w:tc>
        <w:tc>
          <w:tcPr>
            <w:tcW w:w="760" w:type="dxa"/>
            <w:vAlign w:val="top"/>
          </w:tcPr>
          <w:p w14:paraId="51055F2D">
            <w:pPr>
              <w:autoSpaceDE w:val="0"/>
              <w:autoSpaceDN w:val="0"/>
              <w:rPr>
                <w:rFonts w:ascii="Arial"/>
                <w:sz w:val="21"/>
              </w:rPr>
            </w:pPr>
          </w:p>
        </w:tc>
        <w:tc>
          <w:tcPr>
            <w:tcW w:w="804" w:type="dxa"/>
            <w:vAlign w:val="top"/>
          </w:tcPr>
          <w:p w14:paraId="01327CA9">
            <w:pPr>
              <w:autoSpaceDE w:val="0"/>
              <w:autoSpaceDN w:val="0"/>
              <w:rPr>
                <w:rFonts w:ascii="Arial"/>
                <w:sz w:val="21"/>
              </w:rPr>
            </w:pPr>
          </w:p>
        </w:tc>
        <w:tc>
          <w:tcPr>
            <w:tcW w:w="675" w:type="dxa"/>
            <w:vAlign w:val="top"/>
          </w:tcPr>
          <w:p w14:paraId="27F0B251">
            <w:pPr>
              <w:pStyle w:val="26"/>
              <w:autoSpaceDE w:val="0"/>
              <w:autoSpaceDN w:val="0"/>
              <w:spacing w:before="112" w:line="186" w:lineRule="auto"/>
              <w:ind w:left="166"/>
            </w:pPr>
            <w:r>
              <w:rPr>
                <w:color w:val="030303"/>
                <w:spacing w:val="-1"/>
              </w:rPr>
              <w:t>2016</w:t>
            </w:r>
          </w:p>
        </w:tc>
        <w:tc>
          <w:tcPr>
            <w:tcW w:w="795" w:type="dxa"/>
            <w:vAlign w:val="top"/>
          </w:tcPr>
          <w:p w14:paraId="28AF26F8">
            <w:pPr>
              <w:pStyle w:val="26"/>
              <w:autoSpaceDE w:val="0"/>
              <w:autoSpaceDN w:val="0"/>
              <w:spacing w:before="112" w:line="186" w:lineRule="auto"/>
              <w:ind w:left="335"/>
            </w:pPr>
            <w:r>
              <w:rPr>
                <w:color w:val="030303"/>
                <w:spacing w:val="-5"/>
              </w:rPr>
              <w:t>1.3</w:t>
            </w:r>
          </w:p>
        </w:tc>
        <w:tc>
          <w:tcPr>
            <w:tcW w:w="767" w:type="dxa"/>
            <w:vAlign w:val="top"/>
          </w:tcPr>
          <w:p w14:paraId="5A8B309F">
            <w:pPr>
              <w:pStyle w:val="26"/>
              <w:autoSpaceDE w:val="0"/>
              <w:autoSpaceDN w:val="0"/>
              <w:spacing w:before="112" w:line="178" w:lineRule="auto"/>
              <w:ind w:left="238"/>
            </w:pPr>
            <w:r>
              <w:rPr>
                <w:rFonts w:ascii="宋体" w:hAnsi="宋体" w:eastAsia="宋体" w:cs="宋体"/>
                <w:color w:val="030303"/>
                <w:spacing w:val="-2"/>
              </w:rPr>
              <w:t>-</w:t>
            </w:r>
            <w:r>
              <w:rPr>
                <w:color w:val="030303"/>
                <w:spacing w:val="-2"/>
              </w:rPr>
              <w:t>0.4</w:t>
            </w:r>
          </w:p>
        </w:tc>
        <w:tc>
          <w:tcPr>
            <w:tcW w:w="778" w:type="dxa"/>
            <w:vAlign w:val="top"/>
          </w:tcPr>
          <w:p w14:paraId="6D74D94F">
            <w:pPr>
              <w:pStyle w:val="26"/>
              <w:autoSpaceDE w:val="0"/>
              <w:autoSpaceDN w:val="0"/>
              <w:spacing w:before="112" w:line="178" w:lineRule="auto"/>
              <w:ind w:left="242"/>
            </w:pPr>
            <w:r>
              <w:rPr>
                <w:rFonts w:ascii="宋体" w:hAnsi="宋体" w:eastAsia="宋体" w:cs="宋体"/>
                <w:color w:val="030303"/>
                <w:spacing w:val="-2"/>
              </w:rPr>
              <w:t>-</w:t>
            </w:r>
            <w:r>
              <w:rPr>
                <w:color w:val="030303"/>
                <w:spacing w:val="-2"/>
              </w:rPr>
              <w:t>0.1</w:t>
            </w:r>
          </w:p>
        </w:tc>
      </w:tr>
      <w:tr w14:paraId="597C0659">
        <w:trPr>
          <w:trHeight w:val="317" w:hRule="atLeast"/>
        </w:trPr>
        <w:tc>
          <w:tcPr>
            <w:tcW w:w="719" w:type="dxa"/>
            <w:tcBorders>
              <w:bottom w:val="single" w:color="231F20" w:sz="8" w:space="0"/>
            </w:tcBorders>
            <w:vAlign w:val="top"/>
          </w:tcPr>
          <w:p w14:paraId="516FFA84">
            <w:pPr>
              <w:pStyle w:val="26"/>
              <w:autoSpaceDE w:val="0"/>
              <w:autoSpaceDN w:val="0"/>
              <w:spacing w:before="113" w:line="186" w:lineRule="auto"/>
              <w:ind w:left="211"/>
            </w:pPr>
            <w:r>
              <w:rPr>
                <w:color w:val="030303"/>
                <w:spacing w:val="-1"/>
              </w:rPr>
              <w:t>2022</w:t>
            </w:r>
          </w:p>
        </w:tc>
        <w:tc>
          <w:tcPr>
            <w:tcW w:w="795" w:type="dxa"/>
            <w:tcBorders>
              <w:bottom w:val="single" w:color="231F20" w:sz="8" w:space="0"/>
            </w:tcBorders>
            <w:vAlign w:val="top"/>
          </w:tcPr>
          <w:p w14:paraId="2FFE8B53">
            <w:pPr>
              <w:pStyle w:val="26"/>
              <w:autoSpaceDE w:val="0"/>
              <w:autoSpaceDN w:val="0"/>
              <w:spacing w:before="113" w:line="186" w:lineRule="auto"/>
              <w:ind w:left="335"/>
            </w:pPr>
            <w:r>
              <w:rPr>
                <w:color w:val="030303"/>
                <w:spacing w:val="-5"/>
              </w:rPr>
              <w:t>1.1</w:t>
            </w:r>
          </w:p>
        </w:tc>
        <w:tc>
          <w:tcPr>
            <w:tcW w:w="760" w:type="dxa"/>
            <w:tcBorders>
              <w:bottom w:val="single" w:color="231F20" w:sz="8" w:space="0"/>
            </w:tcBorders>
            <w:vAlign w:val="top"/>
          </w:tcPr>
          <w:p w14:paraId="448A1CCF">
            <w:pPr>
              <w:pStyle w:val="26"/>
              <w:autoSpaceDE w:val="0"/>
              <w:autoSpaceDN w:val="0"/>
              <w:spacing w:before="113" w:line="178" w:lineRule="auto"/>
              <w:ind w:left="238"/>
            </w:pPr>
            <w:r>
              <w:rPr>
                <w:rFonts w:ascii="宋体" w:hAnsi="宋体" w:eastAsia="宋体" w:cs="宋体"/>
                <w:color w:val="030303"/>
                <w:spacing w:val="-2"/>
              </w:rPr>
              <w:t>-</w:t>
            </w:r>
            <w:r>
              <w:rPr>
                <w:color w:val="030303"/>
                <w:spacing w:val="-2"/>
              </w:rPr>
              <w:t>7.6</w:t>
            </w:r>
          </w:p>
        </w:tc>
        <w:tc>
          <w:tcPr>
            <w:tcW w:w="804" w:type="dxa"/>
            <w:tcBorders>
              <w:bottom w:val="single" w:color="231F20" w:sz="8" w:space="0"/>
            </w:tcBorders>
            <w:vAlign w:val="top"/>
          </w:tcPr>
          <w:p w14:paraId="30BDF3C7">
            <w:pPr>
              <w:pStyle w:val="26"/>
              <w:autoSpaceDE w:val="0"/>
              <w:autoSpaceDN w:val="0"/>
              <w:spacing w:before="113" w:line="178" w:lineRule="auto"/>
              <w:ind w:left="237"/>
            </w:pPr>
            <w:r>
              <w:rPr>
                <w:rFonts w:ascii="宋体" w:hAnsi="宋体" w:eastAsia="宋体" w:cs="宋体"/>
                <w:color w:val="030303"/>
                <w:spacing w:val="-2"/>
              </w:rPr>
              <w:t>-</w:t>
            </w:r>
            <w:r>
              <w:rPr>
                <w:color w:val="030303"/>
                <w:spacing w:val="-2"/>
              </w:rPr>
              <w:t>7.3</w:t>
            </w:r>
          </w:p>
        </w:tc>
        <w:tc>
          <w:tcPr>
            <w:tcW w:w="674" w:type="dxa"/>
            <w:tcBorders>
              <w:bottom w:val="single" w:color="231F20" w:sz="8" w:space="0"/>
            </w:tcBorders>
            <w:vAlign w:val="top"/>
          </w:tcPr>
          <w:p w14:paraId="13E98AB1">
            <w:pPr>
              <w:autoSpaceDE w:val="0"/>
              <w:autoSpaceDN w:val="0"/>
              <w:rPr>
                <w:rFonts w:ascii="Arial"/>
                <w:sz w:val="21"/>
              </w:rPr>
            </w:pPr>
          </w:p>
        </w:tc>
        <w:tc>
          <w:tcPr>
            <w:tcW w:w="796" w:type="dxa"/>
            <w:tcBorders>
              <w:bottom w:val="single" w:color="231F20" w:sz="8" w:space="0"/>
            </w:tcBorders>
            <w:vAlign w:val="top"/>
          </w:tcPr>
          <w:p w14:paraId="4AF04EBF">
            <w:pPr>
              <w:autoSpaceDE w:val="0"/>
              <w:autoSpaceDN w:val="0"/>
              <w:rPr>
                <w:rFonts w:ascii="Arial"/>
                <w:sz w:val="21"/>
              </w:rPr>
            </w:pPr>
          </w:p>
        </w:tc>
        <w:tc>
          <w:tcPr>
            <w:tcW w:w="760" w:type="dxa"/>
            <w:tcBorders>
              <w:bottom w:val="single" w:color="231F20" w:sz="8" w:space="0"/>
            </w:tcBorders>
            <w:vAlign w:val="top"/>
          </w:tcPr>
          <w:p w14:paraId="31DDCC87">
            <w:pPr>
              <w:autoSpaceDE w:val="0"/>
              <w:autoSpaceDN w:val="0"/>
              <w:rPr>
                <w:rFonts w:ascii="Arial"/>
                <w:sz w:val="21"/>
              </w:rPr>
            </w:pPr>
          </w:p>
        </w:tc>
        <w:tc>
          <w:tcPr>
            <w:tcW w:w="804" w:type="dxa"/>
            <w:tcBorders>
              <w:bottom w:val="single" w:color="231F20" w:sz="8" w:space="0"/>
            </w:tcBorders>
            <w:vAlign w:val="top"/>
          </w:tcPr>
          <w:p w14:paraId="10F357E3">
            <w:pPr>
              <w:autoSpaceDE w:val="0"/>
              <w:autoSpaceDN w:val="0"/>
              <w:rPr>
                <w:rFonts w:ascii="Arial"/>
                <w:sz w:val="21"/>
              </w:rPr>
            </w:pPr>
          </w:p>
        </w:tc>
        <w:tc>
          <w:tcPr>
            <w:tcW w:w="675" w:type="dxa"/>
            <w:tcBorders>
              <w:bottom w:val="single" w:color="231F20" w:sz="8" w:space="0"/>
            </w:tcBorders>
            <w:vAlign w:val="top"/>
          </w:tcPr>
          <w:p w14:paraId="6C1264FD">
            <w:pPr>
              <w:pStyle w:val="26"/>
              <w:autoSpaceDE w:val="0"/>
              <w:autoSpaceDN w:val="0"/>
              <w:spacing w:before="113" w:line="186" w:lineRule="auto"/>
              <w:ind w:left="167"/>
            </w:pPr>
            <w:r>
              <w:rPr>
                <w:color w:val="030303"/>
                <w:spacing w:val="-1"/>
              </w:rPr>
              <w:t>2022</w:t>
            </w:r>
          </w:p>
        </w:tc>
        <w:tc>
          <w:tcPr>
            <w:tcW w:w="795" w:type="dxa"/>
            <w:tcBorders>
              <w:bottom w:val="single" w:color="231F20" w:sz="8" w:space="0"/>
            </w:tcBorders>
            <w:vAlign w:val="top"/>
          </w:tcPr>
          <w:p w14:paraId="272DB33A">
            <w:pPr>
              <w:pStyle w:val="26"/>
              <w:autoSpaceDE w:val="0"/>
              <w:autoSpaceDN w:val="0"/>
              <w:spacing w:before="113" w:line="186" w:lineRule="auto"/>
              <w:ind w:left="321"/>
            </w:pPr>
            <w:r>
              <w:rPr>
                <w:color w:val="030303"/>
                <w:spacing w:val="-2"/>
              </w:rPr>
              <w:t>0.7</w:t>
            </w:r>
          </w:p>
        </w:tc>
        <w:tc>
          <w:tcPr>
            <w:tcW w:w="767" w:type="dxa"/>
            <w:tcBorders>
              <w:bottom w:val="single" w:color="231F20" w:sz="8" w:space="0"/>
            </w:tcBorders>
            <w:vAlign w:val="top"/>
          </w:tcPr>
          <w:p w14:paraId="19C122BE">
            <w:pPr>
              <w:pStyle w:val="26"/>
              <w:autoSpaceDE w:val="0"/>
              <w:autoSpaceDN w:val="0"/>
              <w:spacing w:before="113" w:line="178" w:lineRule="auto"/>
              <w:ind w:left="193"/>
            </w:pPr>
            <w:r>
              <w:rPr>
                <w:rFonts w:ascii="宋体" w:hAnsi="宋体" w:eastAsia="宋体" w:cs="宋体"/>
                <w:color w:val="030303"/>
                <w:spacing w:val="-2"/>
              </w:rPr>
              <w:t>-</w:t>
            </w:r>
            <w:r>
              <w:rPr>
                <w:color w:val="030303"/>
                <w:spacing w:val="-2"/>
              </w:rPr>
              <w:t>15.6</w:t>
            </w:r>
          </w:p>
        </w:tc>
        <w:tc>
          <w:tcPr>
            <w:tcW w:w="778" w:type="dxa"/>
            <w:tcBorders>
              <w:bottom w:val="single" w:color="231F20" w:sz="8" w:space="0"/>
            </w:tcBorders>
            <w:vAlign w:val="top"/>
          </w:tcPr>
          <w:p w14:paraId="182DA47B">
            <w:pPr>
              <w:pStyle w:val="26"/>
              <w:autoSpaceDE w:val="0"/>
              <w:autoSpaceDN w:val="0"/>
              <w:spacing w:before="113" w:line="178" w:lineRule="auto"/>
              <w:ind w:left="198"/>
            </w:pPr>
            <w:r>
              <w:rPr>
                <w:rFonts w:ascii="宋体" w:hAnsi="宋体" w:eastAsia="宋体" w:cs="宋体"/>
                <w:color w:val="030303"/>
                <w:spacing w:val="-2"/>
              </w:rPr>
              <w:t>-</w:t>
            </w:r>
            <w:r>
              <w:rPr>
                <w:color w:val="030303"/>
                <w:spacing w:val="-2"/>
              </w:rPr>
              <w:t>15.1</w:t>
            </w:r>
          </w:p>
        </w:tc>
      </w:tr>
    </w:tbl>
    <w:p w14:paraId="2D302957">
      <w:pPr>
        <w:spacing w:before="114" w:line="330" w:lineRule="auto"/>
        <w:ind w:left="1059" w:right="90" w:firstLine="359"/>
        <w:rPr>
          <w:rFonts w:ascii="方正书宋简体" w:hAnsi="方正书宋简体" w:eastAsia="方正书宋简体" w:cs="方正书宋简体"/>
          <w:sz w:val="18"/>
          <w:szCs w:val="18"/>
        </w:rPr>
      </w:pPr>
      <w:r>
        <w:rPr>
          <w:rFonts w:ascii="方正书宋简体" w:hAnsi="方正书宋简体" w:eastAsia="方正书宋简体" w:cs="方正书宋简体"/>
          <w:color w:val="030303"/>
          <w:spacing w:val="2"/>
          <w:sz w:val="18"/>
          <w:szCs w:val="18"/>
        </w:rPr>
        <w:t>注：各国与美国经济实际增长率的差异等于按本币不变价计算的各国实际增长率与美国实际增长率之差，各国</w:t>
      </w:r>
      <w:r>
        <w:rPr>
          <w:rFonts w:ascii="方正书宋简体" w:hAnsi="方正书宋简体" w:eastAsia="方正书宋简体" w:cs="方正书宋简体"/>
          <w:color w:val="030303"/>
          <w:spacing w:val="-1"/>
          <w:sz w:val="18"/>
          <w:szCs w:val="18"/>
        </w:rPr>
        <w:t>与美国经济规模之比和人均收入之比的变化等于当年各国按现价美元计算的值与上年计算值的增长率。</w:t>
      </w:r>
    </w:p>
    <w:p w14:paraId="2CA4DF6C">
      <w:pPr>
        <w:pStyle w:val="6"/>
        <w:spacing w:before="122" w:line="286" w:lineRule="auto"/>
        <w:ind w:left="871" w:firstLine="422"/>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z w:val="21"/>
          <w:szCs w:val="21"/>
        </w:rPr>
        <w:t xml:space="preserve">从表 </w:t>
      </w:r>
      <w:r>
        <w:rPr>
          <w:color w:val="231F20"/>
          <w:sz w:val="21"/>
          <w:szCs w:val="21"/>
        </w:rPr>
        <w:t xml:space="preserve">4 </w:t>
      </w:r>
      <w:r>
        <w:rPr>
          <w:rFonts w:ascii="方正书宋简体" w:hAnsi="方正书宋简体" w:eastAsia="方正书宋简体" w:cs="方正书宋简体"/>
          <w:color w:val="231F20"/>
          <w:sz w:val="21"/>
          <w:szCs w:val="21"/>
        </w:rPr>
        <w:t xml:space="preserve">可见，中国有  </w:t>
      </w:r>
      <w:r>
        <w:rPr>
          <w:color w:val="231F20"/>
          <w:sz w:val="21"/>
          <w:szCs w:val="21"/>
        </w:rPr>
        <w:t xml:space="preserve">14 </w:t>
      </w:r>
      <w:r>
        <w:rPr>
          <w:rFonts w:ascii="方正书宋简体" w:hAnsi="方正书宋简体" w:eastAsia="方正书宋简体" w:cs="方正书宋简体"/>
          <w:color w:val="231F20"/>
          <w:sz w:val="21"/>
          <w:szCs w:val="21"/>
        </w:rPr>
        <w:t>年、日本有</w:t>
      </w:r>
      <w:r>
        <w:rPr>
          <w:rFonts w:ascii="方正书宋简体" w:hAnsi="方正书宋简体" w:eastAsia="方正书宋简体" w:cs="方正书宋简体"/>
          <w:color w:val="231F20"/>
          <w:spacing w:val="22"/>
          <w:w w:val="101"/>
          <w:sz w:val="21"/>
          <w:szCs w:val="21"/>
        </w:rPr>
        <w:t xml:space="preserve"> </w:t>
      </w:r>
      <w:r>
        <w:rPr>
          <w:color w:val="231F20"/>
          <w:sz w:val="21"/>
          <w:szCs w:val="21"/>
        </w:rPr>
        <w:t xml:space="preserve">9 </w:t>
      </w:r>
      <w:r>
        <w:rPr>
          <w:rFonts w:ascii="方正书宋简体" w:hAnsi="方正书宋简体" w:eastAsia="方正书宋简体" w:cs="方正书宋简体"/>
          <w:color w:val="231F20"/>
          <w:sz w:val="21"/>
          <w:szCs w:val="21"/>
        </w:rPr>
        <w:t>年</w:t>
      </w:r>
      <w:r>
        <w:rPr>
          <w:rFonts w:ascii="方正书宋简体" w:hAnsi="方正书宋简体" w:eastAsia="方正书宋简体" w:cs="方正书宋简体"/>
          <w:color w:val="231F20"/>
          <w:spacing w:val="-1"/>
          <w:sz w:val="21"/>
          <w:szCs w:val="21"/>
        </w:rPr>
        <w:t xml:space="preserve">、韩国有  </w:t>
      </w:r>
      <w:r>
        <w:rPr>
          <w:color w:val="231F20"/>
          <w:spacing w:val="-1"/>
          <w:sz w:val="21"/>
          <w:szCs w:val="21"/>
        </w:rPr>
        <w:t xml:space="preserve">14 </w:t>
      </w:r>
      <w:r>
        <w:rPr>
          <w:rFonts w:ascii="方正书宋简体" w:hAnsi="方正书宋简体" w:eastAsia="方正书宋简体" w:cs="方正书宋简体"/>
          <w:color w:val="231F20"/>
          <w:spacing w:val="-1"/>
          <w:sz w:val="21"/>
          <w:szCs w:val="21"/>
        </w:rPr>
        <w:t>年具有上述特征。这些年份，一些发生在</w:t>
      </w:r>
      <w:r>
        <w:rPr>
          <w:rFonts w:ascii="方正书宋简体" w:hAnsi="方正书宋简体" w:eastAsia="方正书宋简体" w:cs="方正书宋简体"/>
          <w:color w:val="231F20"/>
          <w:spacing w:val="2"/>
          <w:sz w:val="21"/>
          <w:szCs w:val="21"/>
        </w:rPr>
        <w:t>跨越“中等收入”过程中，一些发生在进入高收入国家行列再向发达国家进发的过程中，一些是进</w:t>
      </w:r>
      <w:r>
        <w:rPr>
          <w:rFonts w:ascii="方正书宋简体" w:hAnsi="方正书宋简体" w:eastAsia="方正书宋简体" w:cs="方正书宋简体"/>
          <w:color w:val="231F20"/>
          <w:sz w:val="21"/>
          <w:szCs w:val="21"/>
        </w:rPr>
        <w:t>入发达国家行列后出现的，它们各自具有不同的意义。另外，我国曾经连续</w:t>
      </w:r>
      <w:r>
        <w:rPr>
          <w:rFonts w:ascii="方正书宋简体" w:hAnsi="方正书宋简体" w:eastAsia="方正书宋简体" w:cs="方正书宋简体"/>
          <w:color w:val="231F20"/>
          <w:spacing w:val="29"/>
          <w:sz w:val="21"/>
          <w:szCs w:val="21"/>
        </w:rPr>
        <w:t xml:space="preserve"> </w:t>
      </w:r>
      <w:r>
        <w:rPr>
          <w:color w:val="231F20"/>
          <w:sz w:val="21"/>
          <w:szCs w:val="21"/>
        </w:rPr>
        <w:t xml:space="preserve">6 </w:t>
      </w:r>
      <w:r>
        <w:rPr>
          <w:rFonts w:ascii="方正书宋简体" w:hAnsi="方正书宋简体" w:eastAsia="方正书宋简体" w:cs="方正书宋简体"/>
          <w:color w:val="231F20"/>
          <w:sz w:val="21"/>
          <w:szCs w:val="21"/>
        </w:rPr>
        <w:t>年（</w:t>
      </w:r>
      <w:r>
        <w:rPr>
          <w:rFonts w:ascii="方正书宋简体" w:hAnsi="方正书宋简体" w:eastAsia="方正书宋简体" w:cs="方正书宋简体"/>
          <w:color w:val="231F20"/>
          <w:spacing w:val="-27"/>
          <w:sz w:val="21"/>
          <w:szCs w:val="21"/>
        </w:rPr>
        <w:t xml:space="preserve"> </w:t>
      </w:r>
      <w:r>
        <w:rPr>
          <w:color w:val="231F20"/>
          <w:sz w:val="21"/>
          <w:szCs w:val="21"/>
        </w:rPr>
        <w:t>1981</w:t>
      </w:r>
      <w:r>
        <w:rPr>
          <w:rFonts w:ascii="方正书宋简体" w:hAnsi="方正书宋简体" w:eastAsia="方正书宋简体" w:cs="方正书宋简体"/>
          <w:color w:val="231F20"/>
          <w:sz w:val="21"/>
          <w:szCs w:val="21"/>
        </w:rPr>
        <w:t>—</w:t>
      </w:r>
      <w:r>
        <w:rPr>
          <w:color w:val="231F20"/>
          <w:sz w:val="21"/>
          <w:szCs w:val="21"/>
        </w:rPr>
        <w:t xml:space="preserve">1986 </w:t>
      </w:r>
      <w:r>
        <w:rPr>
          <w:rFonts w:ascii="方正书宋简体" w:hAnsi="方正书宋简体" w:eastAsia="方正书宋简体" w:cs="方正书宋简体"/>
          <w:color w:val="231F20"/>
          <w:sz w:val="21"/>
          <w:szCs w:val="21"/>
        </w:rPr>
        <w:t>年）</w:t>
      </w:r>
      <w:r>
        <w:rPr>
          <w:rFonts w:ascii="方正书宋简体" w:hAnsi="方正书宋简体" w:eastAsia="方正书宋简体" w:cs="方正书宋简体"/>
          <w:color w:val="231F20"/>
          <w:spacing w:val="-4"/>
          <w:sz w:val="21"/>
          <w:szCs w:val="21"/>
        </w:rPr>
        <w:t>具有这个特征，</w:t>
      </w:r>
      <w:r>
        <w:rPr>
          <w:rFonts w:ascii="方正书宋简体" w:hAnsi="方正书宋简体" w:eastAsia="方正书宋简体" w:cs="方正书宋简体"/>
          <w:color w:val="231F20"/>
          <w:spacing w:val="-9"/>
          <w:sz w:val="21"/>
          <w:szCs w:val="21"/>
        </w:rPr>
        <w:t xml:space="preserve"> </w:t>
      </w:r>
      <w:r>
        <w:rPr>
          <w:rFonts w:ascii="方正书宋简体" w:hAnsi="方正书宋简体" w:eastAsia="方正书宋简体" w:cs="方正书宋简体"/>
          <w:color w:val="231F20"/>
          <w:spacing w:val="-4"/>
          <w:sz w:val="21"/>
          <w:szCs w:val="21"/>
        </w:rPr>
        <w:t xml:space="preserve">日本曾经连续 </w:t>
      </w:r>
      <w:r>
        <w:rPr>
          <w:color w:val="231F20"/>
          <w:spacing w:val="-4"/>
          <w:sz w:val="21"/>
          <w:szCs w:val="21"/>
        </w:rPr>
        <w:t xml:space="preserve">4 </w:t>
      </w:r>
      <w:r>
        <w:rPr>
          <w:rFonts w:ascii="方正书宋简体" w:hAnsi="方正书宋简体" w:eastAsia="方正书宋简体" w:cs="方正书宋简体"/>
          <w:color w:val="231F20"/>
          <w:spacing w:val="-4"/>
          <w:sz w:val="21"/>
          <w:szCs w:val="21"/>
        </w:rPr>
        <w:t>年（</w:t>
      </w:r>
      <w:r>
        <w:rPr>
          <w:rFonts w:ascii="方正书宋简体" w:hAnsi="方正书宋简体" w:eastAsia="方正书宋简体" w:cs="方正书宋简体"/>
          <w:color w:val="231F20"/>
          <w:spacing w:val="-28"/>
          <w:sz w:val="21"/>
          <w:szCs w:val="21"/>
        </w:rPr>
        <w:t xml:space="preserve"> </w:t>
      </w:r>
      <w:r>
        <w:rPr>
          <w:color w:val="231F20"/>
          <w:spacing w:val="-4"/>
          <w:sz w:val="21"/>
          <w:szCs w:val="21"/>
        </w:rPr>
        <w:t>1979</w:t>
      </w:r>
      <w:r>
        <w:rPr>
          <w:rFonts w:ascii="方正书宋简体" w:hAnsi="方正书宋简体" w:eastAsia="方正书宋简体" w:cs="方正书宋简体"/>
          <w:color w:val="231F20"/>
          <w:spacing w:val="-4"/>
          <w:sz w:val="21"/>
          <w:szCs w:val="21"/>
        </w:rPr>
        <w:t>—</w:t>
      </w:r>
      <w:r>
        <w:rPr>
          <w:color w:val="231F20"/>
          <w:spacing w:val="-4"/>
          <w:sz w:val="21"/>
          <w:szCs w:val="21"/>
        </w:rPr>
        <w:t xml:space="preserve">1982 </w:t>
      </w:r>
      <w:r>
        <w:rPr>
          <w:rFonts w:ascii="方正书宋简体" w:hAnsi="方正书宋简体" w:eastAsia="方正书宋简体" w:cs="方正书宋简体"/>
          <w:color w:val="231F20"/>
          <w:spacing w:val="-4"/>
          <w:sz w:val="21"/>
          <w:szCs w:val="21"/>
        </w:rPr>
        <w:t>年）具有这个特征，韩国曾经三次（</w:t>
      </w:r>
      <w:r>
        <w:rPr>
          <w:rFonts w:ascii="方正书宋简体" w:hAnsi="方正书宋简体" w:eastAsia="方正书宋简体" w:cs="方正书宋简体"/>
          <w:color w:val="231F20"/>
          <w:spacing w:val="-27"/>
          <w:sz w:val="21"/>
          <w:szCs w:val="21"/>
        </w:rPr>
        <w:t xml:space="preserve"> </w:t>
      </w:r>
      <w:r>
        <w:rPr>
          <w:color w:val="231F20"/>
          <w:spacing w:val="-4"/>
          <w:sz w:val="21"/>
          <w:szCs w:val="21"/>
        </w:rPr>
        <w:t>1964</w:t>
      </w:r>
      <w:r>
        <w:rPr>
          <w:rFonts w:ascii="方正书宋简体" w:hAnsi="方正书宋简体" w:eastAsia="方正书宋简体" w:cs="方正书宋简体"/>
          <w:color w:val="231F20"/>
          <w:spacing w:val="-4"/>
          <w:sz w:val="21"/>
          <w:szCs w:val="21"/>
        </w:rPr>
        <w:t>—</w:t>
      </w:r>
      <w:r>
        <w:rPr>
          <w:color w:val="231F20"/>
          <w:spacing w:val="-4"/>
          <w:sz w:val="21"/>
          <w:szCs w:val="21"/>
        </w:rPr>
        <w:t xml:space="preserve">1965 </w:t>
      </w:r>
      <w:r>
        <w:rPr>
          <w:rFonts w:ascii="方正书宋简体" w:hAnsi="方正书宋简体" w:eastAsia="方正书宋简体" w:cs="方正书宋简体"/>
          <w:color w:val="231F20"/>
          <w:spacing w:val="-4"/>
          <w:sz w:val="21"/>
          <w:szCs w:val="21"/>
        </w:rPr>
        <w:t>年、</w:t>
      </w:r>
      <w:r>
        <w:rPr>
          <w:rFonts w:ascii="方正书宋简体" w:hAnsi="方正书宋简体" w:eastAsia="方正书宋简体" w:cs="方正书宋简体"/>
          <w:color w:val="231F20"/>
          <w:sz w:val="21"/>
          <w:szCs w:val="21"/>
        </w:rPr>
        <w:t xml:space="preserve"> </w:t>
      </w:r>
      <w:r>
        <w:rPr>
          <w:color w:val="231F20"/>
          <w:spacing w:val="4"/>
          <w:sz w:val="21"/>
          <w:szCs w:val="21"/>
        </w:rPr>
        <w:t>2008</w:t>
      </w:r>
      <w:r>
        <w:rPr>
          <w:rFonts w:ascii="方正书宋简体" w:hAnsi="方正书宋简体" w:eastAsia="方正书宋简体" w:cs="方正书宋简体"/>
          <w:color w:val="231F20"/>
          <w:spacing w:val="4"/>
          <w:sz w:val="21"/>
          <w:szCs w:val="21"/>
        </w:rPr>
        <w:t>—</w:t>
      </w:r>
      <w:r>
        <w:rPr>
          <w:color w:val="231F20"/>
          <w:spacing w:val="4"/>
          <w:sz w:val="21"/>
          <w:szCs w:val="21"/>
        </w:rPr>
        <w:t xml:space="preserve">2009 </w:t>
      </w:r>
      <w:r>
        <w:rPr>
          <w:rFonts w:ascii="方正书宋简体" w:hAnsi="方正书宋简体" w:eastAsia="方正书宋简体" w:cs="方正书宋简体"/>
          <w:color w:val="231F20"/>
          <w:spacing w:val="4"/>
          <w:sz w:val="21"/>
          <w:szCs w:val="21"/>
        </w:rPr>
        <w:t>年、</w:t>
      </w:r>
      <w:r>
        <w:rPr>
          <w:color w:val="231F20"/>
          <w:spacing w:val="4"/>
          <w:sz w:val="21"/>
          <w:szCs w:val="21"/>
        </w:rPr>
        <w:t>2015</w:t>
      </w:r>
      <w:r>
        <w:rPr>
          <w:rFonts w:ascii="方正书宋简体" w:hAnsi="方正书宋简体" w:eastAsia="方正书宋简体" w:cs="方正书宋简体"/>
          <w:color w:val="231F20"/>
          <w:spacing w:val="4"/>
          <w:sz w:val="21"/>
          <w:szCs w:val="21"/>
        </w:rPr>
        <w:t>—</w:t>
      </w:r>
      <w:r>
        <w:rPr>
          <w:color w:val="231F20"/>
          <w:spacing w:val="4"/>
          <w:sz w:val="21"/>
          <w:szCs w:val="21"/>
        </w:rPr>
        <w:t xml:space="preserve">2016 </w:t>
      </w:r>
      <w:r>
        <w:rPr>
          <w:rFonts w:ascii="方正书宋简体" w:hAnsi="方正书宋简体" w:eastAsia="方正书宋简体" w:cs="方正书宋简体"/>
          <w:color w:val="231F20"/>
          <w:spacing w:val="4"/>
          <w:sz w:val="21"/>
          <w:szCs w:val="21"/>
        </w:rPr>
        <w:t>年）出现连续两年符合上述特征</w:t>
      </w:r>
      <w:r>
        <w:rPr>
          <w:rFonts w:ascii="方正书宋简体" w:hAnsi="方正书宋简体" w:eastAsia="方正书宋简体" w:cs="方正书宋简体"/>
          <w:color w:val="231F20"/>
          <w:spacing w:val="3"/>
          <w:sz w:val="21"/>
          <w:szCs w:val="21"/>
        </w:rPr>
        <w:t>的现象。可见，中国、日本和韩国在</w:t>
      </w:r>
      <w:r>
        <w:rPr>
          <w:rFonts w:ascii="方正书宋简体" w:hAnsi="方正书宋简体" w:eastAsia="方正书宋简体" w:cs="方正书宋简体"/>
          <w:color w:val="231F20"/>
          <w:spacing w:val="2"/>
          <w:sz w:val="21"/>
          <w:szCs w:val="21"/>
        </w:rPr>
        <w:t>经济规模追赶美国和人均收入赶超美国的过程中，深受与美国通胀率的差异和主权货币对美元汇率的变化的影响，</w:t>
      </w:r>
      <w:r>
        <w:rPr>
          <w:rFonts w:ascii="方正书宋简体" w:hAnsi="方正书宋简体" w:eastAsia="方正书宋简体" w:cs="方正书宋简体"/>
          <w:color w:val="231F20"/>
          <w:spacing w:val="-29"/>
          <w:sz w:val="21"/>
          <w:szCs w:val="21"/>
        </w:rPr>
        <w:t xml:space="preserve"> </w:t>
      </w:r>
      <w:r>
        <w:rPr>
          <w:rFonts w:ascii="方正书宋简体" w:hAnsi="方正书宋简体" w:eastAsia="方正书宋简体" w:cs="方正书宋简体"/>
          <w:color w:val="231F20"/>
          <w:spacing w:val="2"/>
          <w:sz w:val="21"/>
          <w:szCs w:val="21"/>
        </w:rPr>
        <w:t>出现了暂时倒退，不过，尽管历经波折，日本和韩国最终都</w:t>
      </w:r>
      <w:r>
        <w:rPr>
          <w:rFonts w:ascii="方正书宋简体" w:hAnsi="方正书宋简体" w:eastAsia="方正书宋简体" w:cs="方正书宋简体"/>
          <w:color w:val="231F20"/>
          <w:spacing w:val="1"/>
          <w:sz w:val="21"/>
          <w:szCs w:val="21"/>
        </w:rPr>
        <w:t>变成了发达国家。中国</w:t>
      </w:r>
      <w:r>
        <w:rPr>
          <w:rFonts w:ascii="方正书宋简体" w:hAnsi="方正书宋简体" w:eastAsia="方正书宋简体" w:cs="方正书宋简体"/>
          <w:color w:val="231F20"/>
          <w:sz w:val="21"/>
          <w:szCs w:val="21"/>
        </w:rPr>
        <w:t xml:space="preserve"> </w:t>
      </w:r>
      <w:r>
        <w:rPr>
          <w:color w:val="231F20"/>
          <w:spacing w:val="3"/>
          <w:sz w:val="21"/>
          <w:szCs w:val="21"/>
        </w:rPr>
        <w:t xml:space="preserve">2022 </w:t>
      </w:r>
      <w:r>
        <w:rPr>
          <w:rFonts w:ascii="方正书宋简体" w:hAnsi="方正书宋简体" w:eastAsia="方正书宋简体" w:cs="方正书宋简体"/>
          <w:color w:val="231F20"/>
          <w:spacing w:val="3"/>
          <w:sz w:val="21"/>
          <w:szCs w:val="21"/>
        </w:rPr>
        <w:t xml:space="preserve">年和 </w:t>
      </w:r>
      <w:r>
        <w:rPr>
          <w:color w:val="231F20"/>
          <w:spacing w:val="3"/>
          <w:sz w:val="21"/>
          <w:szCs w:val="21"/>
        </w:rPr>
        <w:t xml:space="preserve">2023 </w:t>
      </w:r>
      <w:r>
        <w:rPr>
          <w:rFonts w:ascii="方正书宋简体" w:hAnsi="方正书宋简体" w:eastAsia="方正书宋简体" w:cs="方正书宋简体"/>
          <w:color w:val="231F20"/>
          <w:spacing w:val="3"/>
          <w:sz w:val="21"/>
          <w:szCs w:val="21"/>
        </w:rPr>
        <w:t>年与美国经济规模之比和人均收入之比（按现价美元计算）出现</w:t>
      </w:r>
      <w:r>
        <w:rPr>
          <w:rFonts w:ascii="方正书宋简体" w:hAnsi="方正书宋简体" w:eastAsia="方正书宋简体" w:cs="方正书宋简体"/>
          <w:color w:val="231F20"/>
          <w:spacing w:val="2"/>
          <w:sz w:val="21"/>
          <w:szCs w:val="21"/>
        </w:rPr>
        <w:t>反转的现象尽管被一些媒体渲染成了中国经济“悲观论”的“证据”，但其并不令人惊讶，这种反转在日、韩追赶美</w:t>
      </w:r>
      <w:r>
        <w:rPr>
          <w:rFonts w:ascii="方正书宋简体" w:hAnsi="方正书宋简体" w:eastAsia="方正书宋简体" w:cs="方正书宋简体"/>
          <w:color w:val="231F20"/>
          <w:spacing w:val="-2"/>
          <w:sz w:val="21"/>
          <w:szCs w:val="21"/>
        </w:rPr>
        <w:t>国的历史上多次发生。日本对美国经济规模之比和人均收入之比（以现价美元计算） 自从</w:t>
      </w:r>
      <w:r>
        <w:rPr>
          <w:rFonts w:ascii="方正书宋简体" w:hAnsi="方正书宋简体" w:eastAsia="方正书宋简体" w:cs="方正书宋简体"/>
          <w:color w:val="231F20"/>
          <w:spacing w:val="35"/>
          <w:sz w:val="21"/>
          <w:szCs w:val="21"/>
        </w:rPr>
        <w:t xml:space="preserve"> </w:t>
      </w:r>
      <w:r>
        <w:rPr>
          <w:color w:val="231F20"/>
          <w:spacing w:val="-2"/>
          <w:sz w:val="21"/>
          <w:szCs w:val="21"/>
        </w:rPr>
        <w:t xml:space="preserve">1995 </w:t>
      </w:r>
      <w:r>
        <w:rPr>
          <w:rFonts w:ascii="方正书宋简体" w:hAnsi="方正书宋简体" w:eastAsia="方正书宋简体" w:cs="方正书宋简体"/>
          <w:color w:val="231F20"/>
          <w:spacing w:val="-2"/>
          <w:sz w:val="21"/>
          <w:szCs w:val="21"/>
        </w:rPr>
        <w:t>年达</w:t>
      </w:r>
      <w:r>
        <w:rPr>
          <w:rFonts w:ascii="方正书宋简体" w:hAnsi="方正书宋简体" w:eastAsia="方正书宋简体" w:cs="方正书宋简体"/>
          <w:color w:val="231F20"/>
          <w:spacing w:val="2"/>
          <w:sz w:val="21"/>
          <w:szCs w:val="21"/>
        </w:rPr>
        <w:t>到高点之后便开始下跌，现在又回到了上个世</w:t>
      </w:r>
      <w:r>
        <w:rPr>
          <w:rFonts w:ascii="方正书宋简体" w:hAnsi="方正书宋简体" w:eastAsia="方正书宋简体" w:cs="方正书宋简体"/>
          <w:color w:val="231F20"/>
          <w:spacing w:val="1"/>
          <w:sz w:val="21"/>
          <w:szCs w:val="21"/>
        </w:rPr>
        <w:t>纪</w:t>
      </w:r>
      <w:r>
        <w:rPr>
          <w:rFonts w:ascii="方正书宋简体" w:hAnsi="方正书宋简体" w:eastAsia="方正书宋简体" w:cs="方正书宋简体"/>
          <w:color w:val="231F20"/>
          <w:spacing w:val="22"/>
          <w:w w:val="101"/>
          <w:sz w:val="21"/>
          <w:szCs w:val="21"/>
        </w:rPr>
        <w:t xml:space="preserve"> </w:t>
      </w:r>
      <w:r>
        <w:rPr>
          <w:color w:val="231F20"/>
          <w:spacing w:val="1"/>
          <w:sz w:val="21"/>
          <w:szCs w:val="21"/>
        </w:rPr>
        <w:t xml:space="preserve">60 </w:t>
      </w:r>
      <w:r>
        <w:rPr>
          <w:rFonts w:ascii="方正书宋简体" w:hAnsi="方正书宋简体" w:eastAsia="方正书宋简体" w:cs="方正书宋简体"/>
          <w:color w:val="231F20"/>
          <w:spacing w:val="1"/>
          <w:sz w:val="21"/>
          <w:szCs w:val="21"/>
        </w:rPr>
        <w:t xml:space="preserve">年代末至 </w:t>
      </w:r>
      <w:r>
        <w:rPr>
          <w:color w:val="231F20"/>
          <w:spacing w:val="1"/>
          <w:sz w:val="21"/>
          <w:szCs w:val="21"/>
        </w:rPr>
        <w:t xml:space="preserve">70 </w:t>
      </w:r>
      <w:r>
        <w:rPr>
          <w:rFonts w:ascii="方正书宋简体" w:hAnsi="方正书宋简体" w:eastAsia="方正书宋简体" w:cs="方正书宋简体"/>
          <w:color w:val="231F20"/>
          <w:spacing w:val="1"/>
          <w:sz w:val="21"/>
          <w:szCs w:val="21"/>
        </w:rPr>
        <w:t>年代初的水平。类似地，韩国对美</w:t>
      </w:r>
      <w:r>
        <w:rPr>
          <w:rFonts w:ascii="方正书宋简体" w:hAnsi="方正书宋简体" w:eastAsia="方正书宋简体" w:cs="方正书宋简体"/>
          <w:color w:val="231F20"/>
          <w:spacing w:val="-1"/>
          <w:sz w:val="21"/>
          <w:szCs w:val="21"/>
        </w:rPr>
        <w:t xml:space="preserve">国经济规模之比（以现价美元计算）自从 </w:t>
      </w:r>
      <w:r>
        <w:rPr>
          <w:color w:val="231F20"/>
          <w:spacing w:val="-1"/>
          <w:sz w:val="21"/>
          <w:szCs w:val="21"/>
        </w:rPr>
        <w:t>2014</w:t>
      </w:r>
      <w:r>
        <w:rPr>
          <w:rFonts w:ascii="方正书宋简体" w:hAnsi="方正书宋简体" w:eastAsia="方正书宋简体" w:cs="方正书宋简体"/>
          <w:color w:val="231F20"/>
          <w:spacing w:val="-1"/>
          <w:sz w:val="21"/>
          <w:szCs w:val="21"/>
        </w:rPr>
        <w:t>年达到高点、对美国人均收入之比（以现价</w:t>
      </w:r>
      <w:r>
        <w:rPr>
          <w:rFonts w:ascii="方正书宋简体" w:hAnsi="方正书宋简体" w:eastAsia="方正书宋简体" w:cs="方正书宋简体"/>
          <w:color w:val="231F20"/>
          <w:spacing w:val="-2"/>
          <w:sz w:val="21"/>
          <w:szCs w:val="21"/>
        </w:rPr>
        <w:t>美元计算）</w:t>
      </w:r>
      <w:r>
        <w:rPr>
          <w:rFonts w:ascii="方正书宋简体" w:hAnsi="方正书宋简体" w:eastAsia="方正书宋简体" w:cs="方正书宋简体"/>
          <w:color w:val="231F20"/>
          <w:spacing w:val="-3"/>
          <w:sz w:val="21"/>
          <w:szCs w:val="21"/>
        </w:rPr>
        <w:t xml:space="preserve">自从 </w:t>
      </w:r>
      <w:r>
        <w:rPr>
          <w:color w:val="231F20"/>
          <w:spacing w:val="-3"/>
          <w:sz w:val="21"/>
          <w:szCs w:val="21"/>
        </w:rPr>
        <w:t>2019</w:t>
      </w:r>
      <w:r>
        <w:rPr>
          <w:rFonts w:ascii="方正书宋简体" w:hAnsi="方正书宋简体" w:eastAsia="方正书宋简体" w:cs="方正书宋简体"/>
          <w:color w:val="231F20"/>
          <w:spacing w:val="-3"/>
          <w:sz w:val="21"/>
          <w:szCs w:val="21"/>
        </w:rPr>
        <w:t>年达到高点之后， 也出现了一定回跌。从战略上来说，   中国要避免形成趋势下行的局面，</w:t>
      </w:r>
      <w:r>
        <w:rPr>
          <w:rFonts w:ascii="方正书宋简体" w:hAnsi="方正书宋简体" w:eastAsia="方正书宋简体" w:cs="方正书宋简体"/>
          <w:color w:val="231F20"/>
          <w:spacing w:val="2"/>
          <w:sz w:val="21"/>
          <w:szCs w:val="21"/>
        </w:rPr>
        <w:t>要继续保持趋势上升的局面，这要求在出现回跌之后迅速实现回补，并且迎来新的更高的点。这也</w:t>
      </w:r>
      <w:r>
        <w:rPr>
          <w:rFonts w:ascii="方正书宋简体" w:hAnsi="方正书宋简体" w:eastAsia="方正书宋简体" w:cs="方正书宋简体"/>
          <w:color w:val="231F20"/>
          <w:spacing w:val="-1"/>
          <w:sz w:val="21"/>
          <w:szCs w:val="21"/>
        </w:rPr>
        <w:t>说明我国未来以增长促发展的前景是光明的，但道路又是曲折的。</w:t>
      </w:r>
    </w:p>
    <w:p w14:paraId="222DDF1C">
      <w:pPr>
        <w:spacing w:line="197" w:lineRule="auto"/>
        <w:ind w:left="1176"/>
        <w:rPr>
          <w:rFonts w:ascii="微软雅黑" w:hAnsi="微软雅黑" w:eastAsia="微软雅黑" w:cs="微软雅黑"/>
          <w:sz w:val="21"/>
          <w:szCs w:val="21"/>
        </w:rPr>
      </w:pPr>
      <w:r>
        <w:rPr>
          <w:rFonts w:ascii="微软雅黑" w:hAnsi="微软雅黑" w:eastAsia="微软雅黑" w:cs="微软雅黑"/>
          <w:color w:val="231F20"/>
          <w:spacing w:val="-1"/>
          <w:sz w:val="21"/>
          <w:szCs w:val="21"/>
        </w:rPr>
        <w:t>（三）新征程上的困难与前景</w:t>
      </w:r>
    </w:p>
    <w:p w14:paraId="7F216615">
      <w:pPr>
        <w:spacing w:before="70" w:line="287" w:lineRule="auto"/>
        <w:ind w:left="874" w:right="118" w:firstLine="421"/>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1"/>
          <w:sz w:val="21"/>
          <w:szCs w:val="21"/>
        </w:rPr>
        <w:t>上述分析引出了本文的第三个问题，即高质量发展下的经济增长能否支撑我国实现重大战略目</w:t>
      </w:r>
      <w:r>
        <w:rPr>
          <w:rFonts w:ascii="方正书宋简体" w:hAnsi="方正书宋简体" w:eastAsia="方正书宋简体" w:cs="方正书宋简体"/>
          <w:color w:val="231F20"/>
          <w:spacing w:val="2"/>
          <w:sz w:val="21"/>
          <w:szCs w:val="21"/>
        </w:rPr>
        <w:t>标。党的二十大报告把全面建成社会主义现代化强国作为至本世纪中叶必须</w:t>
      </w:r>
      <w:r>
        <w:rPr>
          <w:rFonts w:ascii="方正书宋简体" w:hAnsi="方正书宋简体" w:eastAsia="方正书宋简体" w:cs="方正书宋简体"/>
          <w:color w:val="231F20"/>
          <w:spacing w:val="1"/>
          <w:sz w:val="21"/>
          <w:szCs w:val="21"/>
        </w:rPr>
        <w:t>实现的目标，这对我国</w:t>
      </w:r>
      <w:r>
        <w:rPr>
          <w:rFonts w:ascii="方正书宋简体" w:hAnsi="方正书宋简体" w:eastAsia="方正书宋简体" w:cs="方正书宋简体"/>
          <w:color w:val="231F20"/>
          <w:spacing w:val="2"/>
          <w:sz w:val="21"/>
          <w:szCs w:val="21"/>
        </w:rPr>
        <w:t>经济发展质的提升和经济增长量的提升提出了新的、更高的要求。回望过去，新时代以来我国以较快的速度缩小了与美国经济发展水平的差距。远观未来，考虑到美元指数只得以周期性</w:t>
      </w:r>
      <w:r>
        <w:rPr>
          <w:rFonts w:ascii="方正书宋简体" w:hAnsi="方正书宋简体" w:eastAsia="方正书宋简体" w:cs="方正书宋简体"/>
          <w:color w:val="231F20"/>
          <w:spacing w:val="1"/>
          <w:sz w:val="21"/>
          <w:szCs w:val="21"/>
        </w:rPr>
        <w:t>波动（牙买</w:t>
      </w:r>
      <w:r>
        <w:rPr>
          <w:rFonts w:ascii="方正书宋简体" w:hAnsi="方正书宋简体" w:eastAsia="方正书宋简体" w:cs="方正书宋简体"/>
          <w:color w:val="231F20"/>
          <w:spacing w:val="2"/>
          <w:sz w:val="21"/>
          <w:szCs w:val="21"/>
        </w:rPr>
        <w:t>加体系形成以来，美元指数现在正处于第三波上升周期）的方式消化各种因素的影响，美元指数步入下降通道后我国追赶美国经济发展水平的速度将加快，这将使我国告别以经济增长率论</w:t>
      </w:r>
      <w:r>
        <w:rPr>
          <w:rFonts w:ascii="方正书宋简体" w:hAnsi="方正书宋简体" w:eastAsia="方正书宋简体" w:cs="方正书宋简体"/>
          <w:color w:val="231F20"/>
          <w:spacing w:val="1"/>
          <w:sz w:val="21"/>
          <w:szCs w:val="21"/>
        </w:rPr>
        <w:t>英雄的时</w:t>
      </w:r>
      <w:r>
        <w:rPr>
          <w:rFonts w:ascii="方正书宋简体" w:hAnsi="方正书宋简体" w:eastAsia="方正书宋简体" w:cs="方正书宋简体"/>
          <w:color w:val="231F20"/>
          <w:spacing w:val="-1"/>
          <w:sz w:val="21"/>
          <w:szCs w:val="21"/>
        </w:rPr>
        <w:t>代，坚定地采用以新发展理念为根本遵循的高质量发展模式。</w:t>
      </w:r>
    </w:p>
    <w:p w14:paraId="02714970">
      <w:pPr>
        <w:pStyle w:val="6"/>
        <w:spacing w:before="2" w:line="286" w:lineRule="auto"/>
        <w:ind w:left="875" w:right="32" w:firstLine="425"/>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与日本和韩国相比，我国拥有超大规模市场和经济层次丰富等重大优</w:t>
      </w:r>
      <w:r>
        <w:rPr>
          <w:rFonts w:ascii="方正书宋简体" w:hAnsi="方正书宋简体" w:eastAsia="方正书宋简体" w:cs="方正书宋简体"/>
          <w:color w:val="231F20"/>
          <w:spacing w:val="1"/>
          <w:sz w:val="21"/>
          <w:szCs w:val="21"/>
        </w:rPr>
        <w:t>势，其带来的规模效应和</w:t>
      </w:r>
      <w:r>
        <w:rPr>
          <w:rFonts w:ascii="方正书宋简体" w:hAnsi="方正书宋简体" w:eastAsia="方正书宋简体" w:cs="方正书宋简体"/>
          <w:color w:val="231F20"/>
          <w:spacing w:val="2"/>
          <w:sz w:val="21"/>
          <w:szCs w:val="21"/>
        </w:rPr>
        <w:t>范围效应等可以帮助我国构筑促进经济增长的长期战略。在以增长促发展的过程中，借鉴日本</w:t>
      </w:r>
      <w:r>
        <w:rPr>
          <w:rFonts w:ascii="方正书宋简体" w:hAnsi="方正书宋简体" w:eastAsia="方正书宋简体" w:cs="方正书宋简体"/>
          <w:color w:val="231F20"/>
          <w:spacing w:val="1"/>
          <w:sz w:val="21"/>
          <w:szCs w:val="21"/>
        </w:rPr>
        <w:t>和韩</w:t>
      </w:r>
      <w:r>
        <w:rPr>
          <w:rFonts w:ascii="方正书宋简体" w:hAnsi="方正书宋简体" w:eastAsia="方正书宋简体" w:cs="方正书宋简体"/>
          <w:color w:val="231F20"/>
          <w:spacing w:val="-1"/>
          <w:sz w:val="21"/>
          <w:szCs w:val="21"/>
        </w:rPr>
        <w:t>国的经验教训，我国应该从以下几方面发力</w:t>
      </w:r>
      <w:r>
        <w:rPr>
          <w:rFonts w:ascii="方正书宋简体" w:hAnsi="方正书宋简体" w:eastAsia="方正书宋简体" w:cs="方正书宋简体"/>
          <w:color w:val="231F20"/>
          <w:spacing w:val="-10"/>
          <w:sz w:val="21"/>
          <w:szCs w:val="21"/>
        </w:rPr>
        <w:t>：（</w:t>
      </w:r>
      <w:r>
        <w:rPr>
          <w:rFonts w:ascii="方正书宋简体" w:hAnsi="方正书宋简体" w:eastAsia="方正书宋简体" w:cs="方正书宋简体"/>
          <w:color w:val="231F20"/>
          <w:spacing w:val="-27"/>
          <w:sz w:val="21"/>
          <w:szCs w:val="21"/>
        </w:rPr>
        <w:t xml:space="preserve"> </w:t>
      </w:r>
      <w:r>
        <w:rPr>
          <w:color w:val="231F20"/>
          <w:spacing w:val="-1"/>
          <w:sz w:val="21"/>
          <w:szCs w:val="21"/>
        </w:rPr>
        <w:t>1</w:t>
      </w:r>
      <w:r>
        <w:rPr>
          <w:rFonts w:ascii="方正书宋简体" w:hAnsi="方正书宋简体" w:eastAsia="方正书宋简体" w:cs="方正书宋简体"/>
          <w:color w:val="231F20"/>
          <w:spacing w:val="-1"/>
          <w:sz w:val="21"/>
          <w:szCs w:val="21"/>
        </w:rPr>
        <w:t xml:space="preserve">）转变经济发展方式。日本和韩国的经验提示 </w:t>
      </w:r>
      <w:r>
        <w:rPr>
          <w:color w:val="231F20"/>
          <w:spacing w:val="-1"/>
          <w:position w:val="9"/>
          <w:sz w:val="12"/>
          <w:szCs w:val="12"/>
        </w:rPr>
        <w:t>[</w:t>
      </w:r>
      <w:r>
        <w:rPr>
          <w:color w:val="231F20"/>
          <w:spacing w:val="-2"/>
          <w:position w:val="9"/>
          <w:sz w:val="12"/>
          <w:szCs w:val="12"/>
        </w:rPr>
        <w:t xml:space="preserve">16] </w:t>
      </w:r>
      <w:r>
        <w:rPr>
          <w:rFonts w:ascii="方正书宋简体" w:hAnsi="方正书宋简体" w:eastAsia="方正书宋简体" w:cs="方正书宋简体"/>
          <w:color w:val="231F20"/>
          <w:spacing w:val="-2"/>
          <w:sz w:val="21"/>
          <w:szCs w:val="21"/>
        </w:rPr>
        <w:t>，</w:t>
      </w:r>
      <w:r>
        <w:rPr>
          <w:rFonts w:ascii="方正书宋简体" w:hAnsi="方正书宋简体" w:eastAsia="方正书宋简体" w:cs="方正书宋简体"/>
          <w:color w:val="231F20"/>
          <w:spacing w:val="7"/>
          <w:sz w:val="21"/>
          <w:szCs w:val="21"/>
        </w:rPr>
        <w:t>我国未来必须以包括技术创新在内的全方位创新为抓手加快</w:t>
      </w:r>
      <w:r>
        <w:rPr>
          <w:rFonts w:ascii="方正书宋简体" w:hAnsi="方正书宋简体" w:eastAsia="方正书宋简体" w:cs="方正书宋简体"/>
          <w:color w:val="231F20"/>
          <w:spacing w:val="6"/>
          <w:sz w:val="21"/>
          <w:szCs w:val="21"/>
        </w:rPr>
        <w:t>发展新质生产力，并且以新质生产力</w:t>
      </w:r>
      <w:r>
        <w:rPr>
          <w:rFonts w:ascii="方正书宋简体" w:hAnsi="方正书宋简体" w:eastAsia="方正书宋简体" w:cs="方正书宋简体"/>
          <w:color w:val="231F20"/>
          <w:spacing w:val="-3"/>
          <w:sz w:val="21"/>
          <w:szCs w:val="21"/>
        </w:rPr>
        <w:t xml:space="preserve">赋能包括制造业在内的各个产业，为经济持续快速增长注入强大新动力 </w:t>
      </w:r>
      <w:r>
        <w:rPr>
          <w:color w:val="231F20"/>
          <w:spacing w:val="-3"/>
          <w:position w:val="9"/>
          <w:sz w:val="12"/>
          <w:szCs w:val="12"/>
        </w:rPr>
        <w:t>[</w:t>
      </w:r>
      <w:r>
        <w:rPr>
          <w:color w:val="231F20"/>
          <w:spacing w:val="-4"/>
          <w:position w:val="9"/>
          <w:sz w:val="12"/>
          <w:szCs w:val="12"/>
        </w:rPr>
        <w:t>17]</w:t>
      </w:r>
      <w:r>
        <w:rPr>
          <w:rFonts w:ascii="方正书宋简体" w:hAnsi="方正书宋简体" w:eastAsia="方正书宋简体" w:cs="方正书宋简体"/>
          <w:color w:val="231F20"/>
          <w:spacing w:val="-4"/>
          <w:sz w:val="21"/>
          <w:szCs w:val="21"/>
        </w:rPr>
        <w:t>。习近平总书记指出，“通</w:t>
      </w:r>
      <w:r>
        <w:rPr>
          <w:rFonts w:ascii="方正书宋简体" w:hAnsi="方正书宋简体" w:eastAsia="方正书宋简体" w:cs="方正书宋简体"/>
          <w:color w:val="231F20"/>
          <w:spacing w:val="2"/>
          <w:sz w:val="21"/>
          <w:szCs w:val="21"/>
        </w:rPr>
        <w:t>过转变经济发展方式实现持续发展、更高水平发展，是中等收入国家跨越‘中等收入陷阱’必经的阶段”</w:t>
      </w:r>
      <w:r>
        <w:rPr>
          <w:color w:val="231F20"/>
          <w:spacing w:val="2"/>
          <w:position w:val="9"/>
          <w:sz w:val="12"/>
          <w:szCs w:val="12"/>
        </w:rPr>
        <w:t>[18]</w:t>
      </w:r>
      <w:r>
        <w:rPr>
          <w:color w:val="231F20"/>
          <w:spacing w:val="-6"/>
          <w:position w:val="9"/>
          <w:sz w:val="12"/>
          <w:szCs w:val="12"/>
        </w:rPr>
        <w:t xml:space="preserve"> </w:t>
      </w:r>
      <w:r>
        <w:rPr>
          <w:rFonts w:ascii="方正书宋简体" w:hAnsi="方正书宋简体" w:eastAsia="方正书宋简体" w:cs="方正书宋简体"/>
          <w:color w:val="231F20"/>
          <w:spacing w:val="2"/>
          <w:sz w:val="21"/>
          <w:szCs w:val="21"/>
        </w:rPr>
        <w:t>。在转变发展方式过程中，我国既要避免</w:t>
      </w:r>
      <w:r>
        <w:rPr>
          <w:rFonts w:ascii="方正书宋简体" w:hAnsi="方正书宋简体" w:eastAsia="方正书宋简体" w:cs="方正书宋简体"/>
          <w:color w:val="231F20"/>
          <w:spacing w:val="1"/>
          <w:sz w:val="21"/>
          <w:szCs w:val="21"/>
        </w:rPr>
        <w:t>“过早去工业化”，为国民经济持续稳定发展奠</w:t>
      </w:r>
      <w:r>
        <w:rPr>
          <w:rFonts w:ascii="方正书宋简体" w:hAnsi="方正书宋简体" w:eastAsia="方正书宋简体" w:cs="方正书宋简体"/>
          <w:color w:val="231F20"/>
          <w:spacing w:val="-2"/>
          <w:sz w:val="21"/>
          <w:szCs w:val="21"/>
        </w:rPr>
        <w:t xml:space="preserve">定稳固基础 </w:t>
      </w:r>
      <w:r>
        <w:rPr>
          <w:color w:val="231F20"/>
          <w:spacing w:val="-2"/>
          <w:position w:val="9"/>
          <w:sz w:val="12"/>
          <w:szCs w:val="12"/>
        </w:rPr>
        <w:t>[19]</w:t>
      </w:r>
      <w:r>
        <w:rPr>
          <w:rFonts w:ascii="方正书宋简体" w:hAnsi="方正书宋简体" w:eastAsia="方正书宋简体" w:cs="方正书宋简体"/>
          <w:color w:val="231F20"/>
          <w:spacing w:val="-2"/>
          <w:sz w:val="21"/>
          <w:szCs w:val="21"/>
        </w:rPr>
        <w:t>，也要优化生产性服务业和消费性服务业供给侧结构，积极</w:t>
      </w:r>
      <w:r>
        <w:rPr>
          <w:rFonts w:ascii="方正书宋简体" w:hAnsi="方正书宋简体" w:eastAsia="方正书宋简体" w:cs="方正书宋简体"/>
          <w:color w:val="231F20"/>
          <w:spacing w:val="-3"/>
          <w:sz w:val="21"/>
          <w:szCs w:val="21"/>
        </w:rPr>
        <w:t xml:space="preserve">推动经济结构转型升级 </w:t>
      </w:r>
      <w:r>
        <w:rPr>
          <w:color w:val="231F20"/>
          <w:spacing w:val="-3"/>
          <w:position w:val="9"/>
          <w:sz w:val="12"/>
          <w:szCs w:val="12"/>
        </w:rPr>
        <w:t>[20]</w:t>
      </w:r>
      <w:r>
        <w:rPr>
          <w:rFonts w:ascii="方正书宋简体" w:hAnsi="方正书宋简体" w:eastAsia="方正书宋简体" w:cs="方正书宋简体"/>
          <w:color w:val="231F20"/>
          <w:spacing w:val="-3"/>
          <w:sz w:val="21"/>
          <w:szCs w:val="21"/>
        </w:rPr>
        <w:t>。</w:t>
      </w:r>
    </w:p>
    <w:p w14:paraId="4C723BC6">
      <w:pPr>
        <w:pStyle w:val="6"/>
        <w:spacing w:before="8" w:line="287" w:lineRule="auto"/>
        <w:ind w:left="873" w:right="32" w:hanging="11"/>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3"/>
          <w:sz w:val="21"/>
          <w:szCs w:val="21"/>
        </w:rPr>
        <w:t>（</w:t>
      </w:r>
      <w:r>
        <w:rPr>
          <w:color w:val="231F20"/>
          <w:spacing w:val="-3"/>
          <w:sz w:val="21"/>
          <w:szCs w:val="21"/>
        </w:rPr>
        <w:t>2</w:t>
      </w:r>
      <w:r>
        <w:rPr>
          <w:rFonts w:ascii="方正书宋简体" w:hAnsi="方正书宋简体" w:eastAsia="方正书宋简体" w:cs="方正书宋简体"/>
          <w:color w:val="231F20"/>
          <w:spacing w:val="-3"/>
          <w:sz w:val="21"/>
          <w:szCs w:val="21"/>
        </w:rPr>
        <w:t>）提质增效保增长。要从人均收入增长率角度进行考虑，   以发达</w:t>
      </w:r>
      <w:r>
        <w:rPr>
          <w:rFonts w:ascii="方正书宋简体" w:hAnsi="方正书宋简体" w:eastAsia="方正书宋简体" w:cs="方正书宋简体"/>
          <w:color w:val="231F20"/>
          <w:spacing w:val="-4"/>
          <w:sz w:val="21"/>
          <w:szCs w:val="21"/>
        </w:rPr>
        <w:t>大国特别是最大发达国家人均收</w:t>
      </w:r>
      <w:r>
        <w:rPr>
          <w:rFonts w:ascii="方正书宋简体" w:hAnsi="方正书宋简体" w:eastAsia="方正书宋简体" w:cs="方正书宋简体"/>
          <w:color w:val="231F20"/>
          <w:spacing w:val="1"/>
          <w:sz w:val="21"/>
          <w:szCs w:val="21"/>
        </w:rPr>
        <w:t>入增长速度为参照，实现超越。中国人口经历高增长时期和低增长时期后已出现负增长，美国人口</w:t>
      </w:r>
      <w:r>
        <w:rPr>
          <w:rFonts w:ascii="方正书宋简体" w:hAnsi="方正书宋简体" w:eastAsia="方正书宋简体" w:cs="方正书宋简体"/>
          <w:color w:val="231F20"/>
          <w:spacing w:val="2"/>
          <w:sz w:val="21"/>
          <w:szCs w:val="21"/>
        </w:rPr>
        <w:t>仍维持增长状态。因此，我国增长率即使放低一点，人均收入也能保持对美国经济发展水平的加速</w:t>
      </w:r>
      <w:r>
        <w:rPr>
          <w:rFonts w:ascii="方正书宋简体" w:hAnsi="方正书宋简体" w:eastAsia="方正书宋简体" w:cs="方正书宋简体"/>
          <w:color w:val="231F20"/>
          <w:spacing w:val="-8"/>
          <w:sz w:val="21"/>
          <w:szCs w:val="21"/>
        </w:rPr>
        <w:t>追赶态势。（</w:t>
      </w:r>
      <w:r>
        <w:rPr>
          <w:color w:val="231F20"/>
          <w:spacing w:val="-8"/>
          <w:sz w:val="21"/>
          <w:szCs w:val="21"/>
        </w:rPr>
        <w:t>3</w:t>
      </w:r>
      <w:r>
        <w:rPr>
          <w:rFonts w:ascii="方正书宋简体" w:hAnsi="方正书宋简体" w:eastAsia="方正书宋简体" w:cs="方正书宋简体"/>
          <w:color w:val="231F20"/>
          <w:spacing w:val="-8"/>
          <w:sz w:val="21"/>
          <w:szCs w:val="21"/>
        </w:rPr>
        <w:t xml:space="preserve">）以新发展理念为遵循。进入新时代后，我国劳动力流动对经济增长的贡献趋于衰竭 </w:t>
      </w:r>
      <w:r>
        <w:rPr>
          <w:color w:val="231F20"/>
          <w:spacing w:val="-8"/>
          <w:position w:val="9"/>
          <w:sz w:val="12"/>
          <w:szCs w:val="12"/>
        </w:rPr>
        <w:t>[21]</w:t>
      </w:r>
      <w:r>
        <w:rPr>
          <w:rFonts w:ascii="方正书宋简体" w:hAnsi="方正书宋简体" w:eastAsia="方正书宋简体" w:cs="方正书宋简体"/>
          <w:color w:val="231F20"/>
          <w:spacing w:val="-8"/>
          <w:sz w:val="21"/>
          <w:szCs w:val="21"/>
        </w:rPr>
        <w:t>。</w:t>
      </w:r>
      <w:r>
        <w:rPr>
          <w:rFonts w:ascii="方正书宋简体" w:hAnsi="方正书宋简体" w:eastAsia="方正书宋简体" w:cs="方正书宋简体"/>
          <w:color w:val="231F20"/>
          <w:spacing w:val="2"/>
          <w:sz w:val="21"/>
          <w:szCs w:val="21"/>
        </w:rPr>
        <w:t xml:space="preserve">人口抚养比低 </w:t>
      </w:r>
      <w:r>
        <w:rPr>
          <w:color w:val="231F20"/>
          <w:spacing w:val="2"/>
          <w:position w:val="9"/>
          <w:sz w:val="12"/>
          <w:szCs w:val="12"/>
        </w:rPr>
        <w:t xml:space="preserve">[22]  </w:t>
      </w:r>
      <w:r>
        <w:rPr>
          <w:rFonts w:ascii="方正书宋简体" w:hAnsi="方正书宋简体" w:eastAsia="方正书宋简体" w:cs="方正书宋简体"/>
          <w:color w:val="231F20"/>
          <w:spacing w:val="2"/>
          <w:sz w:val="21"/>
          <w:szCs w:val="21"/>
        </w:rPr>
        <w:t xml:space="preserve">和户籍制度放松 </w:t>
      </w:r>
      <w:r>
        <w:rPr>
          <w:color w:val="231F20"/>
          <w:spacing w:val="2"/>
          <w:position w:val="9"/>
          <w:sz w:val="12"/>
          <w:szCs w:val="12"/>
        </w:rPr>
        <w:t xml:space="preserve">[23]  </w:t>
      </w:r>
      <w:r>
        <w:rPr>
          <w:rFonts w:ascii="方正书宋简体" w:hAnsi="方正书宋简体" w:eastAsia="方正书宋简体" w:cs="方正书宋简体"/>
          <w:color w:val="231F20"/>
          <w:spacing w:val="2"/>
          <w:sz w:val="21"/>
          <w:szCs w:val="21"/>
        </w:rPr>
        <w:t>等产生的传统“人口红利”趋于消失，一些体制</w:t>
      </w:r>
      <w:r>
        <w:rPr>
          <w:rFonts w:ascii="方正书宋简体" w:hAnsi="方正书宋简体" w:eastAsia="方正书宋简体" w:cs="方正书宋简体"/>
          <w:color w:val="231F20"/>
          <w:spacing w:val="1"/>
          <w:sz w:val="21"/>
          <w:szCs w:val="21"/>
        </w:rPr>
        <w:t>机制改革空间</w:t>
      </w:r>
      <w:r>
        <w:rPr>
          <w:rFonts w:ascii="方正书宋简体" w:hAnsi="方正书宋简体" w:eastAsia="方正书宋简体" w:cs="方正书宋简体"/>
          <w:color w:val="231F20"/>
          <w:spacing w:val="2"/>
          <w:sz w:val="21"/>
          <w:szCs w:val="21"/>
        </w:rPr>
        <w:t>变小了。在这种背景下，习近平总书记提出创新、协调、绿色、开放、共享的新发展理念。创新发展要求我国经济增长动力更多更快地向包括技术创新在内的全方位创新转移，实现这种转移非一朝一夕能成功的；协调发展要求我国把经济发展中不协调、不充分部分变得更协调、更充分</w:t>
      </w:r>
      <w:r>
        <w:rPr>
          <w:rFonts w:ascii="方正书宋简体" w:hAnsi="方正书宋简体" w:eastAsia="方正书宋简体" w:cs="方正书宋简体"/>
          <w:color w:val="231F20"/>
          <w:spacing w:val="1"/>
          <w:sz w:val="21"/>
          <w:szCs w:val="21"/>
        </w:rPr>
        <w:t>，这也是</w:t>
      </w:r>
      <w:r>
        <w:rPr>
          <w:rFonts w:ascii="方正书宋简体" w:hAnsi="方正书宋简体" w:eastAsia="方正书宋简体" w:cs="方正书宋简体"/>
          <w:color w:val="231F20"/>
          <w:spacing w:val="2"/>
          <w:sz w:val="21"/>
          <w:szCs w:val="21"/>
        </w:rPr>
        <w:t>一个长期过程；绿色发展要求我国改变以破坏生态环境为代价的发展方式，这对成本控制和机会把握提出了更高的要求；开放发展和共享发展理念有利于打开发展空间。但是，</w:t>
      </w:r>
      <w:r>
        <w:rPr>
          <w:rFonts w:ascii="方正书宋简体" w:hAnsi="方正书宋简体" w:eastAsia="方正书宋简体" w:cs="方正书宋简体"/>
          <w:color w:val="030303"/>
          <w:spacing w:val="2"/>
          <w:sz w:val="21"/>
          <w:szCs w:val="21"/>
        </w:rPr>
        <w:t>我国国际经济环境进入了复杂多变期。我国以新发展理念引领经济发展，一方面在一段时期里不得不承受经济增速有所降低这个“转型成本”，另一方面转型成功将为我国未来发展奠定坚实基础和使我国发展步入良性</w:t>
      </w:r>
      <w:r>
        <w:rPr>
          <w:rFonts w:ascii="方正书宋简体" w:hAnsi="方正书宋简体" w:eastAsia="方正书宋简体" w:cs="方正书宋简体"/>
          <w:color w:val="030303"/>
          <w:sz w:val="21"/>
          <w:szCs w:val="21"/>
        </w:rPr>
        <w:t>循环轨道，最终达到“众望所归的理想状态”</w:t>
      </w:r>
      <w:r>
        <w:rPr>
          <w:color w:val="030303"/>
          <w:position w:val="9"/>
          <w:sz w:val="12"/>
          <w:szCs w:val="12"/>
        </w:rPr>
        <w:t>[24]</w:t>
      </w:r>
      <w:r>
        <w:rPr>
          <w:rFonts w:ascii="方正书宋简体" w:hAnsi="方正书宋简体" w:eastAsia="方正书宋简体" w:cs="方正书宋简体"/>
          <w:color w:val="030303"/>
          <w:sz w:val="21"/>
          <w:szCs w:val="21"/>
        </w:rPr>
        <w:t>。</w:t>
      </w:r>
    </w:p>
    <w:p w14:paraId="2B31BD3F">
      <w:pPr>
        <w:spacing w:before="160" w:line="202" w:lineRule="auto"/>
        <w:ind w:left="1464"/>
        <w:outlineLvl w:val="1"/>
        <w:rPr>
          <w:rFonts w:ascii="微软雅黑" w:hAnsi="微软雅黑" w:eastAsia="微软雅黑" w:cs="微软雅黑"/>
          <w:sz w:val="28"/>
          <w:szCs w:val="28"/>
        </w:rPr>
      </w:pPr>
      <w:bookmarkStart w:id="679" w:name="_Toc30629"/>
      <w:bookmarkStart w:id="680" w:name="_Toc1336978752"/>
      <w:bookmarkStart w:id="681" w:name="_Toc1752839684"/>
      <w:bookmarkStart w:id="682" w:name="_Toc1051126013"/>
      <w:bookmarkStart w:id="683" w:name="_Toc136741041"/>
      <w:bookmarkStart w:id="684" w:name="_Toc1492644360"/>
      <w:r>
        <w:rPr>
          <w:rFonts w:ascii="微软雅黑" w:hAnsi="微软雅黑" w:eastAsia="微软雅黑" w:cs="微软雅黑"/>
          <w:color w:val="231F20"/>
          <w:spacing w:val="-2"/>
          <w:sz w:val="28"/>
          <w:szCs w:val="28"/>
        </w:rPr>
        <w:t>五、一个简单预测</w:t>
      </w:r>
      <w:bookmarkEnd w:id="679"/>
      <w:bookmarkEnd w:id="680"/>
      <w:bookmarkEnd w:id="681"/>
      <w:bookmarkEnd w:id="682"/>
      <w:bookmarkEnd w:id="683"/>
      <w:bookmarkEnd w:id="684"/>
    </w:p>
    <w:p w14:paraId="308D8B3F">
      <w:pPr>
        <w:pStyle w:val="6"/>
        <w:spacing w:before="141" w:line="318" w:lineRule="auto"/>
        <w:ind w:left="1049" w:right="3" w:firstLine="422"/>
        <w:jc w:val="both"/>
        <w:rPr>
          <w:rFonts w:ascii="宋体" w:hAnsi="宋体" w:eastAsia="宋体" w:cs="宋体"/>
          <w:sz w:val="21"/>
          <w:szCs w:val="21"/>
        </w:rPr>
      </w:pPr>
      <w:r>
        <w:rPr>
          <w:rFonts w:ascii="宋体" w:hAnsi="宋体" w:eastAsia="宋体" w:cs="宋体"/>
          <w:color w:val="231F20"/>
          <w:spacing w:val="2"/>
          <w:sz w:val="21"/>
          <w:szCs w:val="21"/>
        </w:rPr>
        <w:t>无论以现价国际元计算，还是以</w:t>
      </w:r>
      <w:r>
        <w:rPr>
          <w:rFonts w:ascii="宋体" w:hAnsi="宋体" w:eastAsia="宋体" w:cs="宋体"/>
          <w:color w:val="231F20"/>
          <w:spacing w:val="-47"/>
          <w:sz w:val="21"/>
          <w:szCs w:val="21"/>
        </w:rPr>
        <w:t xml:space="preserve"> </w:t>
      </w:r>
      <w:r>
        <w:rPr>
          <w:color w:val="231F20"/>
          <w:spacing w:val="2"/>
          <w:sz w:val="21"/>
          <w:szCs w:val="21"/>
        </w:rPr>
        <w:t xml:space="preserve">2017 </w:t>
      </w:r>
      <w:r>
        <w:rPr>
          <w:rFonts w:ascii="宋体" w:hAnsi="宋体" w:eastAsia="宋体" w:cs="宋体"/>
          <w:color w:val="231F20"/>
          <w:spacing w:val="2"/>
          <w:sz w:val="21"/>
          <w:szCs w:val="21"/>
        </w:rPr>
        <w:t>年不变价国际元计算，中国</w:t>
      </w:r>
      <w:r>
        <w:rPr>
          <w:rFonts w:ascii="宋体" w:hAnsi="宋体" w:eastAsia="宋体" w:cs="宋体"/>
          <w:color w:val="231F20"/>
          <w:spacing w:val="1"/>
          <w:sz w:val="21"/>
          <w:szCs w:val="21"/>
        </w:rPr>
        <w:t>购买力平价</w:t>
      </w:r>
      <w:r>
        <w:rPr>
          <w:rFonts w:ascii="宋体" w:hAnsi="宋体" w:eastAsia="宋体" w:cs="宋体"/>
          <w:color w:val="231F20"/>
          <w:spacing w:val="-45"/>
          <w:sz w:val="21"/>
          <w:szCs w:val="21"/>
        </w:rPr>
        <w:t xml:space="preserve"> </w:t>
      </w:r>
      <w:r>
        <w:rPr>
          <w:color w:val="231F20"/>
          <w:sz w:val="21"/>
          <w:szCs w:val="21"/>
        </w:rPr>
        <w:t>GDP</w:t>
      </w:r>
      <w:r>
        <w:rPr>
          <w:color w:val="231F20"/>
          <w:spacing w:val="1"/>
          <w:sz w:val="21"/>
          <w:szCs w:val="21"/>
        </w:rPr>
        <w:t xml:space="preserve"> </w:t>
      </w:r>
      <w:r>
        <w:rPr>
          <w:rFonts w:ascii="宋体" w:hAnsi="宋体" w:eastAsia="宋体" w:cs="宋体"/>
          <w:color w:val="231F20"/>
          <w:spacing w:val="1"/>
          <w:sz w:val="21"/>
          <w:szCs w:val="21"/>
        </w:rPr>
        <w:t>都已较大幅</w:t>
      </w:r>
      <w:r>
        <w:rPr>
          <w:rFonts w:ascii="宋体" w:hAnsi="宋体" w:eastAsia="宋体" w:cs="宋体"/>
          <w:color w:val="231F20"/>
          <w:sz w:val="21"/>
          <w:szCs w:val="21"/>
        </w:rPr>
        <w:t>度超过美国。现在留下的悬念是按现价美元计算中国的</w:t>
      </w:r>
      <w:r>
        <w:rPr>
          <w:rFonts w:ascii="宋体" w:hAnsi="宋体" w:eastAsia="宋体" w:cs="宋体"/>
          <w:color w:val="231F20"/>
          <w:spacing w:val="-25"/>
          <w:sz w:val="21"/>
          <w:szCs w:val="21"/>
        </w:rPr>
        <w:t xml:space="preserve"> </w:t>
      </w:r>
      <w:r>
        <w:rPr>
          <w:color w:val="231F20"/>
          <w:sz w:val="21"/>
          <w:szCs w:val="21"/>
        </w:rPr>
        <w:t>GDP</w:t>
      </w:r>
      <w:r>
        <w:rPr>
          <w:rFonts w:ascii="宋体" w:hAnsi="宋体" w:eastAsia="宋体" w:cs="宋体"/>
          <w:color w:val="231F20"/>
          <w:sz w:val="21"/>
          <w:szCs w:val="21"/>
        </w:rPr>
        <w:t>（经济规模）何时超过美国以及两国人均</w:t>
      </w:r>
      <w:r>
        <w:rPr>
          <w:rFonts w:ascii="宋体" w:hAnsi="宋体" w:eastAsia="宋体" w:cs="宋体"/>
          <w:color w:val="231F20"/>
          <w:spacing w:val="-29"/>
          <w:sz w:val="21"/>
          <w:szCs w:val="21"/>
        </w:rPr>
        <w:t xml:space="preserve"> </w:t>
      </w:r>
      <w:r>
        <w:rPr>
          <w:color w:val="231F20"/>
          <w:sz w:val="21"/>
          <w:szCs w:val="21"/>
        </w:rPr>
        <w:t>GDP</w:t>
      </w:r>
      <w:r>
        <w:rPr>
          <w:rFonts w:ascii="宋体" w:hAnsi="宋体" w:eastAsia="宋体" w:cs="宋体"/>
          <w:color w:val="231F20"/>
          <w:sz w:val="21"/>
          <w:szCs w:val="21"/>
        </w:rPr>
        <w:t>（经济发展水平）差距能否进一步缩小。为了回答上面两个与经济增长率有关的问题，接下</w:t>
      </w:r>
      <w:r>
        <w:rPr>
          <w:rFonts w:ascii="宋体" w:hAnsi="宋体" w:eastAsia="宋体" w:cs="宋体"/>
          <w:color w:val="231F20"/>
          <w:spacing w:val="-3"/>
          <w:sz w:val="21"/>
          <w:szCs w:val="21"/>
        </w:rPr>
        <w:t>来采用假设方法和发展惯性</w:t>
      </w:r>
      <w:r>
        <w:rPr>
          <w:rFonts w:ascii="宋体" w:hAnsi="宋体" w:eastAsia="宋体" w:cs="宋体"/>
          <w:color w:val="231F20"/>
          <w:spacing w:val="-24"/>
          <w:sz w:val="21"/>
          <w:szCs w:val="21"/>
        </w:rPr>
        <w:t xml:space="preserve"> </w:t>
      </w:r>
      <w:r>
        <w:rPr>
          <w:color w:val="231F20"/>
          <w:spacing w:val="-3"/>
          <w:position w:val="9"/>
          <w:sz w:val="12"/>
          <w:szCs w:val="12"/>
        </w:rPr>
        <w:t>[25]</w:t>
      </w:r>
      <w:r>
        <w:rPr>
          <w:color w:val="231F20"/>
          <w:spacing w:val="29"/>
          <w:w w:val="102"/>
          <w:position w:val="9"/>
          <w:sz w:val="12"/>
          <w:szCs w:val="12"/>
        </w:rPr>
        <w:t xml:space="preserve"> </w:t>
      </w:r>
      <w:r>
        <w:rPr>
          <w:rFonts w:ascii="宋体" w:hAnsi="宋体" w:eastAsia="宋体" w:cs="宋体"/>
          <w:color w:val="231F20"/>
          <w:spacing w:val="-3"/>
          <w:sz w:val="21"/>
          <w:szCs w:val="21"/>
        </w:rPr>
        <w:t>进行研究。</w:t>
      </w:r>
    </w:p>
    <w:p w14:paraId="3B63450D">
      <w:pPr>
        <w:bidi w:val="0"/>
        <w:ind w:left="500" w:leftChars="0" w:firstLine="500" w:firstLineChars="0"/>
      </w:pPr>
      <w:r>
        <w:t>（ 一 ）基础性预测</w:t>
      </w:r>
    </w:p>
    <w:p w14:paraId="56C4EAFB">
      <w:pPr>
        <w:pStyle w:val="6"/>
        <w:spacing w:before="75" w:line="319" w:lineRule="auto"/>
        <w:ind w:left="1048" w:right="2" w:firstLine="424"/>
        <w:jc w:val="both"/>
        <w:rPr>
          <w:rFonts w:ascii="宋体" w:hAnsi="宋体" w:eastAsia="宋体" w:cs="宋体"/>
          <w:sz w:val="21"/>
          <w:szCs w:val="21"/>
        </w:rPr>
      </w:pPr>
      <w:r>
        <w:rPr>
          <w:rFonts w:ascii="宋体" w:hAnsi="宋体" w:eastAsia="宋体" w:cs="宋体"/>
          <w:color w:val="030303"/>
          <w:spacing w:val="3"/>
          <w:sz w:val="21"/>
          <w:szCs w:val="21"/>
        </w:rPr>
        <w:t>首先预测中美实际经济规模之比。暂且抛开其他因素的影响，根据前文分解在</w:t>
      </w:r>
      <w:r>
        <w:rPr>
          <w:rFonts w:ascii="宋体" w:hAnsi="宋体" w:eastAsia="宋体" w:cs="宋体"/>
          <w:color w:val="030303"/>
          <w:spacing w:val="-42"/>
          <w:sz w:val="21"/>
          <w:szCs w:val="21"/>
        </w:rPr>
        <w:t xml:space="preserve"> </w:t>
      </w:r>
      <w:r>
        <w:rPr>
          <w:i/>
          <w:iCs/>
          <w:color w:val="030303"/>
          <w:spacing w:val="3"/>
          <w:sz w:val="21"/>
          <w:szCs w:val="21"/>
        </w:rPr>
        <w:t>B=C=0</w:t>
      </w:r>
      <w:r>
        <w:rPr>
          <w:i/>
          <w:iCs/>
          <w:color w:val="030303"/>
          <w:spacing w:val="26"/>
          <w:w w:val="101"/>
          <w:sz w:val="21"/>
          <w:szCs w:val="21"/>
        </w:rPr>
        <w:t xml:space="preserve"> </w:t>
      </w:r>
      <w:r>
        <w:rPr>
          <w:rFonts w:ascii="宋体" w:hAnsi="宋体" w:eastAsia="宋体" w:cs="宋体"/>
          <w:color w:val="030303"/>
          <w:spacing w:val="3"/>
          <w:sz w:val="21"/>
          <w:szCs w:val="21"/>
        </w:rPr>
        <w:t>的情形下通过</w:t>
      </w:r>
      <w:r>
        <w:rPr>
          <w:rFonts w:ascii="宋体" w:hAnsi="宋体" w:eastAsia="宋体" w:cs="宋体"/>
          <w:color w:val="030303"/>
          <w:spacing w:val="-61"/>
          <w:sz w:val="21"/>
          <w:szCs w:val="21"/>
        </w:rPr>
        <w:t xml:space="preserve"> </w:t>
      </w:r>
      <w:r>
        <w:rPr>
          <w:i/>
          <w:iCs/>
          <w:color w:val="030303"/>
          <w:spacing w:val="3"/>
          <w:sz w:val="21"/>
          <w:szCs w:val="21"/>
        </w:rPr>
        <w:t xml:space="preserve">A </w:t>
      </w:r>
      <w:r>
        <w:rPr>
          <w:rFonts w:ascii="宋体" w:hAnsi="宋体" w:eastAsia="宋体" w:cs="宋体"/>
          <w:color w:val="030303"/>
          <w:spacing w:val="3"/>
          <w:sz w:val="21"/>
          <w:szCs w:val="21"/>
        </w:rPr>
        <w:t>进行预测。将新冠疫情暴发之前的</w:t>
      </w:r>
      <w:r>
        <w:rPr>
          <w:rFonts w:ascii="宋体" w:hAnsi="宋体" w:eastAsia="宋体" w:cs="宋体"/>
          <w:color w:val="030303"/>
          <w:spacing w:val="-29"/>
          <w:sz w:val="21"/>
          <w:szCs w:val="21"/>
        </w:rPr>
        <w:t xml:space="preserve"> </w:t>
      </w:r>
      <w:r>
        <w:rPr>
          <w:color w:val="030303"/>
          <w:spacing w:val="3"/>
          <w:sz w:val="21"/>
          <w:szCs w:val="21"/>
        </w:rPr>
        <w:t xml:space="preserve">2019 </w:t>
      </w:r>
      <w:r>
        <w:rPr>
          <w:rFonts w:ascii="宋体" w:hAnsi="宋体" w:eastAsia="宋体" w:cs="宋体"/>
          <w:color w:val="030303"/>
          <w:spacing w:val="3"/>
          <w:sz w:val="21"/>
          <w:szCs w:val="21"/>
        </w:rPr>
        <w:t>年作为基年，参考《中国经济报告</w:t>
      </w:r>
      <w:r>
        <w:rPr>
          <w:rFonts w:ascii="宋体" w:hAnsi="宋体" w:eastAsia="宋体" w:cs="宋体"/>
          <w:color w:val="030303"/>
          <w:spacing w:val="2"/>
          <w:sz w:val="21"/>
          <w:szCs w:val="21"/>
        </w:rPr>
        <w:t>（2022）》以</w:t>
      </w:r>
      <w:r>
        <w:rPr>
          <w:rFonts w:ascii="宋体" w:hAnsi="宋体" w:eastAsia="宋体" w:cs="宋体"/>
          <w:color w:val="030303"/>
          <w:spacing w:val="1"/>
          <w:sz w:val="21"/>
          <w:szCs w:val="21"/>
        </w:rPr>
        <w:t>及张晓晶、汪勇的研究成果，对相关数据取平均值进行计算</w:t>
      </w:r>
      <w:r>
        <w:rPr>
          <w:rFonts w:ascii="宋体" w:hAnsi="宋体" w:eastAsia="宋体" w:cs="宋体"/>
          <w:color w:val="030303"/>
          <w:spacing w:val="-23"/>
          <w:sz w:val="21"/>
          <w:szCs w:val="21"/>
        </w:rPr>
        <w:t xml:space="preserve"> </w:t>
      </w:r>
      <w:r>
        <w:rPr>
          <w:color w:val="231F20"/>
          <w:spacing w:val="1"/>
          <w:position w:val="10"/>
          <w:sz w:val="12"/>
          <w:szCs w:val="12"/>
        </w:rPr>
        <w:t>[26</w:t>
      </w:r>
      <w:r>
        <w:rPr>
          <w:rFonts w:ascii="宋体" w:hAnsi="宋体" w:eastAsia="宋体" w:cs="宋体"/>
          <w:color w:val="231F20"/>
          <w:spacing w:val="1"/>
          <w:position w:val="10"/>
          <w:sz w:val="12"/>
          <w:szCs w:val="12"/>
        </w:rPr>
        <w:t>-</w:t>
      </w:r>
      <w:r>
        <w:rPr>
          <w:color w:val="231F20"/>
          <w:spacing w:val="1"/>
          <w:position w:val="10"/>
          <w:sz w:val="12"/>
          <w:szCs w:val="12"/>
        </w:rPr>
        <w:t>27]</w:t>
      </w:r>
      <w:r>
        <w:rPr>
          <w:rFonts w:ascii="宋体" w:hAnsi="宋体" w:eastAsia="宋体" w:cs="宋体"/>
          <w:color w:val="030303"/>
          <w:spacing w:val="1"/>
          <w:sz w:val="21"/>
          <w:szCs w:val="21"/>
        </w:rPr>
        <w:t>。这两份预测的一个明显特点是没</w:t>
      </w:r>
      <w:r>
        <w:rPr>
          <w:rFonts w:ascii="宋体" w:hAnsi="宋体" w:eastAsia="宋体" w:cs="宋体"/>
          <w:color w:val="030303"/>
          <w:sz w:val="21"/>
          <w:szCs w:val="21"/>
        </w:rPr>
        <w:t>有考虑后文将要论及的我国两大独特优势的影响。同时，假设美国经济实际增长率为</w:t>
      </w:r>
      <w:r>
        <w:rPr>
          <w:rFonts w:ascii="宋体" w:hAnsi="宋体" w:eastAsia="宋体" w:cs="宋体"/>
          <w:color w:val="030303"/>
          <w:spacing w:val="-33"/>
          <w:sz w:val="21"/>
          <w:szCs w:val="21"/>
        </w:rPr>
        <w:t xml:space="preserve"> </w:t>
      </w:r>
      <w:r>
        <w:rPr>
          <w:color w:val="030303"/>
          <w:sz w:val="21"/>
          <w:szCs w:val="21"/>
        </w:rPr>
        <w:t>2.2%</w:t>
      </w:r>
      <w:r>
        <w:rPr>
          <w:rFonts w:ascii="宋体" w:hAnsi="宋体" w:eastAsia="宋体" w:cs="宋体"/>
          <w:color w:val="030303"/>
          <w:sz w:val="21"/>
          <w:szCs w:val="21"/>
        </w:rPr>
        <w:t>（它等于上个世纪末以来美国的平均增长率）。图</w:t>
      </w:r>
      <w:r>
        <w:rPr>
          <w:rFonts w:ascii="宋体" w:hAnsi="宋体" w:eastAsia="宋体" w:cs="宋体"/>
          <w:color w:val="030303"/>
          <w:spacing w:val="-10"/>
          <w:sz w:val="21"/>
          <w:szCs w:val="21"/>
        </w:rPr>
        <w:t xml:space="preserve"> </w:t>
      </w:r>
      <w:r>
        <w:rPr>
          <w:color w:val="030303"/>
          <w:sz w:val="21"/>
          <w:szCs w:val="21"/>
        </w:rPr>
        <w:t>6</w:t>
      </w:r>
      <w:r>
        <w:rPr>
          <w:color w:val="030303"/>
          <w:spacing w:val="14"/>
          <w:w w:val="101"/>
          <w:sz w:val="21"/>
          <w:szCs w:val="21"/>
        </w:rPr>
        <w:t xml:space="preserve"> </w:t>
      </w:r>
      <w:r>
        <w:rPr>
          <w:rFonts w:ascii="宋体" w:hAnsi="宋体" w:eastAsia="宋体" w:cs="宋体"/>
          <w:color w:val="030303"/>
          <w:sz w:val="21"/>
          <w:szCs w:val="21"/>
        </w:rPr>
        <w:t>显示，中国将在</w:t>
      </w:r>
      <w:r>
        <w:rPr>
          <w:rFonts w:ascii="宋体" w:hAnsi="宋体" w:eastAsia="宋体" w:cs="宋体"/>
          <w:color w:val="030303"/>
          <w:spacing w:val="-36"/>
          <w:sz w:val="21"/>
          <w:szCs w:val="21"/>
        </w:rPr>
        <w:t xml:space="preserve"> </w:t>
      </w:r>
      <w:r>
        <w:rPr>
          <w:color w:val="030303"/>
          <w:sz w:val="21"/>
          <w:szCs w:val="21"/>
        </w:rPr>
        <w:t xml:space="preserve">2034 </w:t>
      </w:r>
      <w:r>
        <w:rPr>
          <w:rFonts w:ascii="宋体" w:hAnsi="宋体" w:eastAsia="宋体" w:cs="宋体"/>
          <w:color w:val="030303"/>
          <w:sz w:val="21"/>
          <w:szCs w:val="21"/>
        </w:rPr>
        <w:t>年超过美国经济规模，至</w:t>
      </w:r>
      <w:r>
        <w:rPr>
          <w:rFonts w:ascii="宋体" w:hAnsi="宋体" w:eastAsia="宋体" w:cs="宋体"/>
          <w:color w:val="030303"/>
          <w:spacing w:val="-36"/>
          <w:sz w:val="21"/>
          <w:szCs w:val="21"/>
        </w:rPr>
        <w:t xml:space="preserve"> </w:t>
      </w:r>
      <w:r>
        <w:rPr>
          <w:color w:val="030303"/>
          <w:sz w:val="21"/>
          <w:szCs w:val="21"/>
        </w:rPr>
        <w:t xml:space="preserve">2049 </w:t>
      </w:r>
      <w:r>
        <w:rPr>
          <w:rFonts w:ascii="宋体" w:hAnsi="宋体" w:eastAsia="宋体" w:cs="宋体"/>
          <w:color w:val="030303"/>
          <w:sz w:val="21"/>
          <w:szCs w:val="21"/>
        </w:rPr>
        <w:t>年</w:t>
      </w:r>
      <w:r>
        <w:rPr>
          <w:rFonts w:ascii="宋体" w:hAnsi="宋体" w:eastAsia="宋体" w:cs="宋体"/>
          <w:color w:val="030303"/>
          <w:spacing w:val="-2"/>
          <w:sz w:val="21"/>
          <w:szCs w:val="21"/>
        </w:rPr>
        <w:t>将达到美国经济规模的</w:t>
      </w:r>
      <w:r>
        <w:rPr>
          <w:rFonts w:ascii="宋体" w:hAnsi="宋体" w:eastAsia="宋体" w:cs="宋体"/>
          <w:color w:val="030303"/>
          <w:spacing w:val="-27"/>
          <w:sz w:val="21"/>
          <w:szCs w:val="21"/>
        </w:rPr>
        <w:t xml:space="preserve"> </w:t>
      </w:r>
      <w:r>
        <w:rPr>
          <w:color w:val="030303"/>
          <w:spacing w:val="-2"/>
          <w:sz w:val="21"/>
          <w:szCs w:val="21"/>
        </w:rPr>
        <w:t>121.2%</w:t>
      </w:r>
      <w:r>
        <w:rPr>
          <w:rFonts w:ascii="宋体" w:hAnsi="宋体" w:eastAsia="宋体" w:cs="宋体"/>
          <w:color w:val="030303"/>
          <w:spacing w:val="-2"/>
          <w:sz w:val="21"/>
          <w:szCs w:val="21"/>
        </w:rPr>
        <w:t>。</w:t>
      </w:r>
    </w:p>
    <w:p w14:paraId="0CB0EA8E">
      <w:pPr>
        <w:spacing w:line="2438" w:lineRule="exact"/>
        <w:ind w:firstLine="2763"/>
      </w:pPr>
      <w:r>
        <w:rPr>
          <w:position w:val="-48"/>
        </w:rPr>
        <w:drawing>
          <wp:inline distT="0" distB="0" distL="0" distR="0">
            <wp:extent cx="3568700" cy="1548130"/>
            <wp:effectExtent l="0" t="0" r="12700" b="1270"/>
            <wp:docPr id="423" name="IM 56"/>
            <wp:cNvGraphicFramePr/>
            <a:graphic xmlns:a="http://schemas.openxmlformats.org/drawingml/2006/main">
              <a:graphicData uri="http://schemas.openxmlformats.org/drawingml/2006/picture">
                <pic:pic xmlns:pic="http://schemas.openxmlformats.org/drawingml/2006/picture">
                  <pic:nvPicPr>
                    <pic:cNvPr id="423" name="IM 56"/>
                    <pic:cNvPicPr/>
                  </pic:nvPicPr>
                  <pic:blipFill>
                    <a:blip r:embed="rId101"/>
                    <a:stretch>
                      <a:fillRect/>
                    </a:stretch>
                  </pic:blipFill>
                  <pic:spPr>
                    <a:xfrm>
                      <a:off x="0" y="0"/>
                      <a:ext cx="3569288" cy="1548494"/>
                    </a:xfrm>
                    <a:prstGeom prst="rect">
                      <a:avLst/>
                    </a:prstGeom>
                  </pic:spPr>
                </pic:pic>
              </a:graphicData>
            </a:graphic>
          </wp:inline>
        </w:drawing>
      </w:r>
    </w:p>
    <w:p w14:paraId="6E2CC486">
      <w:pPr>
        <w:spacing w:line="252" w:lineRule="auto"/>
        <w:rPr>
          <w:rFonts w:ascii="Arial"/>
          <w:sz w:val="21"/>
        </w:rPr>
      </w:pPr>
    </w:p>
    <w:p w14:paraId="7530D3F2">
      <w:pPr>
        <w:bidi w:val="0"/>
        <w:jc w:val="center"/>
        <w:rPr>
          <w:rFonts w:ascii="黑体" w:hAnsi="黑体" w:eastAsia="黑体" w:cs="黑体"/>
          <w:sz w:val="20"/>
          <w:szCs w:val="20"/>
        </w:rPr>
      </w:pPr>
      <w:r>
        <w:rPr>
          <w:rFonts w:ascii="黑体" w:hAnsi="黑体" w:eastAsia="黑体" w:cs="黑体"/>
          <w:color w:val="231F20"/>
          <w:spacing w:val="-2"/>
          <w:sz w:val="20"/>
          <w:szCs w:val="20"/>
        </w:rPr>
        <w:t>图</w:t>
      </w:r>
      <w:r>
        <w:rPr>
          <w:rFonts w:ascii="黑体" w:hAnsi="黑体" w:eastAsia="黑体" w:cs="黑体"/>
          <w:color w:val="231F20"/>
          <w:spacing w:val="-30"/>
          <w:sz w:val="20"/>
          <w:szCs w:val="20"/>
        </w:rPr>
        <w:t xml:space="preserve"> </w:t>
      </w:r>
      <w:r>
        <w:rPr>
          <w:rFonts w:ascii="黑体" w:hAnsi="黑体" w:eastAsia="黑体" w:cs="黑体"/>
          <w:color w:val="231F20"/>
          <w:spacing w:val="-2"/>
          <w:sz w:val="20"/>
          <w:szCs w:val="20"/>
        </w:rPr>
        <w:t>6  2019</w:t>
      </w:r>
      <w:r>
        <w:rPr>
          <w:rFonts w:ascii="黑体" w:hAnsi="黑体" w:eastAsia="黑体" w:cs="黑体"/>
          <w:color w:val="231F20"/>
          <w:spacing w:val="-41"/>
          <w:sz w:val="20"/>
          <w:szCs w:val="20"/>
        </w:rPr>
        <w:t xml:space="preserve"> </w:t>
      </w:r>
      <w:r>
        <w:rPr>
          <w:rFonts w:ascii="黑体" w:hAnsi="黑体" w:eastAsia="黑体" w:cs="黑体"/>
          <w:color w:val="231F20"/>
          <w:spacing w:val="-2"/>
          <w:sz w:val="20"/>
          <w:szCs w:val="20"/>
        </w:rPr>
        <w:t>年至</w:t>
      </w:r>
      <w:r>
        <w:rPr>
          <w:rFonts w:ascii="黑体" w:hAnsi="黑体" w:eastAsia="黑体" w:cs="黑体"/>
          <w:color w:val="231F20"/>
          <w:spacing w:val="-44"/>
          <w:sz w:val="20"/>
          <w:szCs w:val="20"/>
        </w:rPr>
        <w:t xml:space="preserve"> </w:t>
      </w:r>
      <w:r>
        <w:rPr>
          <w:rFonts w:ascii="黑体" w:hAnsi="黑体" w:eastAsia="黑体" w:cs="黑体"/>
          <w:color w:val="231F20"/>
          <w:spacing w:val="-2"/>
          <w:sz w:val="20"/>
          <w:szCs w:val="20"/>
        </w:rPr>
        <w:t>2049</w:t>
      </w:r>
      <w:r>
        <w:rPr>
          <w:rFonts w:ascii="黑体" w:hAnsi="黑体" w:eastAsia="黑体" w:cs="黑体"/>
          <w:color w:val="231F20"/>
          <w:spacing w:val="-42"/>
          <w:sz w:val="20"/>
          <w:szCs w:val="20"/>
        </w:rPr>
        <w:t xml:space="preserve"> </w:t>
      </w:r>
      <w:r>
        <w:rPr>
          <w:rFonts w:ascii="黑体" w:hAnsi="黑体" w:eastAsia="黑体" w:cs="黑体"/>
          <w:color w:val="231F20"/>
          <w:spacing w:val="-2"/>
          <w:sz w:val="20"/>
          <w:szCs w:val="20"/>
        </w:rPr>
        <w:t>年中美经济规模之比与人均收入之比预测</w:t>
      </w:r>
    </w:p>
    <w:p w14:paraId="17AB652C">
      <w:pPr>
        <w:pStyle w:val="6"/>
        <w:spacing w:before="58" w:line="290" w:lineRule="auto"/>
        <w:ind w:left="1044" w:right="2" w:firstLine="420"/>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 xml:space="preserve">再预测中美经济发展水平之比。假设 </w:t>
      </w:r>
      <w:r>
        <w:rPr>
          <w:color w:val="231F20"/>
          <w:spacing w:val="2"/>
          <w:sz w:val="21"/>
          <w:szCs w:val="21"/>
        </w:rPr>
        <w:t xml:space="preserve">2020 </w:t>
      </w:r>
      <w:r>
        <w:rPr>
          <w:rFonts w:ascii="方正书宋简体" w:hAnsi="方正书宋简体" w:eastAsia="方正书宋简体" w:cs="方正书宋简体"/>
          <w:color w:val="231F20"/>
          <w:spacing w:val="2"/>
          <w:sz w:val="21"/>
          <w:szCs w:val="21"/>
        </w:rPr>
        <w:t xml:space="preserve">年至 </w:t>
      </w:r>
      <w:r>
        <w:rPr>
          <w:color w:val="231F20"/>
          <w:spacing w:val="2"/>
          <w:sz w:val="21"/>
          <w:szCs w:val="21"/>
        </w:rPr>
        <w:t xml:space="preserve">2049 </w:t>
      </w:r>
      <w:r>
        <w:rPr>
          <w:rFonts w:ascii="方正书宋简体" w:hAnsi="方正书宋简体" w:eastAsia="方正书宋简体" w:cs="方正书宋简体"/>
          <w:color w:val="231F20"/>
          <w:spacing w:val="2"/>
          <w:sz w:val="21"/>
          <w:szCs w:val="21"/>
        </w:rPr>
        <w:t>年中美两国人口规模以线性方式变化至联</w:t>
      </w:r>
      <w:r>
        <w:rPr>
          <w:rFonts w:ascii="方正书宋简体" w:hAnsi="方正书宋简体" w:eastAsia="方正书宋简体" w:cs="方正书宋简体"/>
          <w:color w:val="231F20"/>
          <w:spacing w:val="-7"/>
          <w:sz w:val="21"/>
          <w:szCs w:val="21"/>
        </w:rPr>
        <w:t xml:space="preserve">合国报告《世界人口展望 </w:t>
      </w:r>
      <w:r>
        <w:rPr>
          <w:color w:val="231F20"/>
          <w:spacing w:val="-7"/>
          <w:sz w:val="21"/>
          <w:szCs w:val="21"/>
        </w:rPr>
        <w:t>2022</w:t>
      </w:r>
      <w:r>
        <w:rPr>
          <w:rFonts w:ascii="方正书宋简体" w:hAnsi="方正书宋简体" w:eastAsia="方正书宋简体" w:cs="方正书宋简体"/>
          <w:color w:val="231F20"/>
          <w:spacing w:val="-7"/>
          <w:sz w:val="21"/>
          <w:szCs w:val="21"/>
        </w:rPr>
        <w:t>》给出的值。至</w:t>
      </w:r>
      <w:r>
        <w:rPr>
          <w:rFonts w:ascii="方正书宋简体" w:hAnsi="方正书宋简体" w:eastAsia="方正书宋简体" w:cs="方正书宋简体"/>
          <w:color w:val="231F20"/>
          <w:spacing w:val="-12"/>
          <w:sz w:val="21"/>
          <w:szCs w:val="21"/>
        </w:rPr>
        <w:t xml:space="preserve"> </w:t>
      </w:r>
      <w:r>
        <w:rPr>
          <w:color w:val="231F20"/>
          <w:spacing w:val="-7"/>
          <w:sz w:val="21"/>
          <w:szCs w:val="21"/>
        </w:rPr>
        <w:t xml:space="preserve">2050 </w:t>
      </w:r>
      <w:r>
        <w:rPr>
          <w:rFonts w:ascii="方正书宋简体" w:hAnsi="方正书宋简体" w:eastAsia="方正书宋简体" w:cs="方正书宋简体"/>
          <w:color w:val="231F20"/>
          <w:spacing w:val="-7"/>
          <w:sz w:val="21"/>
          <w:szCs w:val="21"/>
        </w:rPr>
        <w:t xml:space="preserve">年，中国人口降低至 </w:t>
      </w:r>
      <w:r>
        <w:rPr>
          <w:color w:val="231F20"/>
          <w:spacing w:val="-7"/>
          <w:sz w:val="21"/>
          <w:szCs w:val="21"/>
        </w:rPr>
        <w:t>13.13</w:t>
      </w:r>
      <w:r>
        <w:rPr>
          <w:color w:val="231F20"/>
          <w:spacing w:val="-14"/>
          <w:sz w:val="21"/>
          <w:szCs w:val="21"/>
        </w:rPr>
        <w:t xml:space="preserve"> </w:t>
      </w:r>
      <w:r>
        <w:rPr>
          <w:rFonts w:ascii="方正书宋简体" w:hAnsi="方正书宋简体" w:eastAsia="方正书宋简体" w:cs="方正书宋简体"/>
          <w:color w:val="231F20"/>
          <w:spacing w:val="-7"/>
          <w:sz w:val="21"/>
          <w:szCs w:val="21"/>
        </w:rPr>
        <w:t xml:space="preserve">亿，美国人口增加至 </w:t>
      </w:r>
      <w:r>
        <w:rPr>
          <w:color w:val="231F20"/>
          <w:spacing w:val="-7"/>
          <w:sz w:val="21"/>
          <w:szCs w:val="21"/>
        </w:rPr>
        <w:t>3.</w:t>
      </w:r>
      <w:r>
        <w:rPr>
          <w:color w:val="231F20"/>
          <w:spacing w:val="-8"/>
          <w:sz w:val="21"/>
          <w:szCs w:val="21"/>
        </w:rPr>
        <w:t>75</w:t>
      </w:r>
      <w:r>
        <w:rPr>
          <w:rFonts w:ascii="方正书宋简体" w:hAnsi="方正书宋简体" w:eastAsia="方正书宋简体" w:cs="方正书宋简体"/>
          <w:color w:val="231F20"/>
          <w:spacing w:val="-2"/>
          <w:sz w:val="21"/>
          <w:szCs w:val="21"/>
        </w:rPr>
        <w:t xml:space="preserve">亿。中美经济发展水平之比预测结果列在图 </w:t>
      </w:r>
      <w:r>
        <w:rPr>
          <w:color w:val="231F20"/>
          <w:spacing w:val="-2"/>
          <w:sz w:val="21"/>
          <w:szCs w:val="21"/>
        </w:rPr>
        <w:t>6</w:t>
      </w:r>
      <w:r>
        <w:rPr>
          <w:rFonts w:ascii="方正书宋简体" w:hAnsi="方正书宋简体" w:eastAsia="方正书宋简体" w:cs="方正书宋简体"/>
          <w:color w:val="231F20"/>
          <w:spacing w:val="-2"/>
          <w:sz w:val="21"/>
          <w:szCs w:val="21"/>
        </w:rPr>
        <w:t>。其中以人均收入作为经济发展水</w:t>
      </w:r>
      <w:r>
        <w:rPr>
          <w:rFonts w:ascii="方正书宋简体" w:hAnsi="方正书宋简体" w:eastAsia="方正书宋简体" w:cs="方正书宋简体"/>
          <w:color w:val="231F20"/>
          <w:spacing w:val="-3"/>
          <w:sz w:val="21"/>
          <w:szCs w:val="21"/>
        </w:rPr>
        <w:t>平替代变量。可见，</w:t>
      </w:r>
      <w:r>
        <w:rPr>
          <w:rFonts w:ascii="方正书宋简体" w:hAnsi="方正书宋简体" w:eastAsia="方正书宋简体" w:cs="方正书宋简体"/>
          <w:color w:val="231F20"/>
          <w:spacing w:val="-1"/>
          <w:sz w:val="21"/>
          <w:szCs w:val="21"/>
        </w:rPr>
        <w:t xml:space="preserve">在 </w:t>
      </w:r>
      <w:r>
        <w:rPr>
          <w:color w:val="231F20"/>
          <w:spacing w:val="-1"/>
          <w:sz w:val="21"/>
          <w:szCs w:val="21"/>
        </w:rPr>
        <w:t xml:space="preserve">2035 </w:t>
      </w:r>
      <w:r>
        <w:rPr>
          <w:rFonts w:ascii="方正书宋简体" w:hAnsi="方正书宋简体" w:eastAsia="方正书宋简体" w:cs="方正书宋简体"/>
          <w:color w:val="231F20"/>
          <w:spacing w:val="-1"/>
          <w:sz w:val="21"/>
          <w:szCs w:val="21"/>
        </w:rPr>
        <w:t xml:space="preserve">年和 </w:t>
      </w:r>
      <w:r>
        <w:rPr>
          <w:color w:val="231F20"/>
          <w:spacing w:val="-1"/>
          <w:sz w:val="21"/>
          <w:szCs w:val="21"/>
        </w:rPr>
        <w:t xml:space="preserve">2049 </w:t>
      </w:r>
      <w:r>
        <w:rPr>
          <w:rFonts w:ascii="方正书宋简体" w:hAnsi="方正书宋简体" w:eastAsia="方正书宋简体" w:cs="方正书宋简体"/>
          <w:color w:val="231F20"/>
          <w:spacing w:val="-1"/>
          <w:sz w:val="21"/>
          <w:szCs w:val="21"/>
        </w:rPr>
        <w:t>年，</w:t>
      </w:r>
      <w:r>
        <w:rPr>
          <w:rFonts w:ascii="方正书宋简体" w:hAnsi="方正书宋简体" w:eastAsia="方正书宋简体" w:cs="方正书宋简体"/>
          <w:color w:val="231F20"/>
          <w:spacing w:val="-28"/>
          <w:sz w:val="21"/>
          <w:szCs w:val="21"/>
        </w:rPr>
        <w:t xml:space="preserve"> </w:t>
      </w:r>
      <w:r>
        <w:rPr>
          <w:rFonts w:ascii="方正书宋简体" w:hAnsi="方正书宋简体" w:eastAsia="方正书宋简体" w:cs="方正书宋简体"/>
          <w:color w:val="231F20"/>
          <w:spacing w:val="-1"/>
          <w:sz w:val="21"/>
          <w:szCs w:val="21"/>
        </w:rPr>
        <w:t xml:space="preserve">中美经济发展水平之比分别为 </w:t>
      </w:r>
      <w:r>
        <w:rPr>
          <w:color w:val="231F20"/>
          <w:spacing w:val="-1"/>
          <w:sz w:val="21"/>
          <w:szCs w:val="21"/>
        </w:rPr>
        <w:t xml:space="preserve">26.4% </w:t>
      </w:r>
      <w:r>
        <w:rPr>
          <w:rFonts w:ascii="方正书宋简体" w:hAnsi="方正书宋简体" w:eastAsia="方正书宋简体" w:cs="方正书宋简体"/>
          <w:color w:val="231F20"/>
          <w:spacing w:val="-1"/>
          <w:sz w:val="21"/>
          <w:szCs w:val="21"/>
        </w:rPr>
        <w:t>和</w:t>
      </w:r>
      <w:r>
        <w:rPr>
          <w:rFonts w:ascii="方正书宋简体" w:hAnsi="方正书宋简体" w:eastAsia="方正书宋简体" w:cs="方正书宋简体"/>
          <w:color w:val="231F20"/>
          <w:spacing w:val="9"/>
          <w:sz w:val="21"/>
          <w:szCs w:val="21"/>
        </w:rPr>
        <w:t xml:space="preserve"> </w:t>
      </w:r>
      <w:r>
        <w:rPr>
          <w:color w:val="231F20"/>
          <w:spacing w:val="-1"/>
          <w:sz w:val="21"/>
          <w:szCs w:val="21"/>
        </w:rPr>
        <w:t>34.4%</w:t>
      </w:r>
      <w:r>
        <w:rPr>
          <w:rFonts w:ascii="方正书宋简体" w:hAnsi="方正书宋简体" w:eastAsia="方正书宋简体" w:cs="方正书宋简体"/>
          <w:color w:val="231F20"/>
          <w:spacing w:val="-1"/>
          <w:sz w:val="21"/>
          <w:szCs w:val="21"/>
        </w:rPr>
        <w:t xml:space="preserve">，分别比 </w:t>
      </w:r>
      <w:r>
        <w:rPr>
          <w:color w:val="231F20"/>
          <w:spacing w:val="-1"/>
          <w:sz w:val="21"/>
          <w:szCs w:val="21"/>
        </w:rPr>
        <w:t>2019</w:t>
      </w:r>
      <w:r>
        <w:rPr>
          <w:color w:val="231F20"/>
          <w:spacing w:val="7"/>
          <w:sz w:val="21"/>
          <w:szCs w:val="21"/>
        </w:rPr>
        <w:t xml:space="preserve"> </w:t>
      </w:r>
      <w:r>
        <w:rPr>
          <w:rFonts w:ascii="方正书宋简体" w:hAnsi="方正书宋简体" w:eastAsia="方正书宋简体" w:cs="方正书宋简体"/>
          <w:color w:val="231F20"/>
          <w:spacing w:val="-1"/>
          <w:sz w:val="21"/>
          <w:szCs w:val="21"/>
        </w:rPr>
        <w:t>年的</w:t>
      </w:r>
      <w:r>
        <w:rPr>
          <w:rFonts w:ascii="方正书宋简体" w:hAnsi="方正书宋简体" w:eastAsia="方正书宋简体" w:cs="方正书宋简体"/>
          <w:color w:val="231F20"/>
          <w:spacing w:val="24"/>
          <w:w w:val="101"/>
          <w:sz w:val="21"/>
          <w:szCs w:val="21"/>
        </w:rPr>
        <w:t xml:space="preserve"> </w:t>
      </w:r>
      <w:r>
        <w:rPr>
          <w:color w:val="231F20"/>
          <w:spacing w:val="-2"/>
          <w:sz w:val="21"/>
          <w:szCs w:val="21"/>
        </w:rPr>
        <w:t xml:space="preserve">15.6% </w:t>
      </w:r>
      <w:r>
        <w:rPr>
          <w:rFonts w:ascii="方正书宋简体" w:hAnsi="方正书宋简体" w:eastAsia="方正书宋简体" w:cs="方正书宋简体"/>
          <w:color w:val="231F20"/>
          <w:spacing w:val="-2"/>
          <w:sz w:val="21"/>
          <w:szCs w:val="21"/>
        </w:rPr>
        <w:t>增长</w:t>
      </w:r>
      <w:r>
        <w:rPr>
          <w:color w:val="231F20"/>
          <w:spacing w:val="-3"/>
          <w:sz w:val="21"/>
          <w:szCs w:val="21"/>
        </w:rPr>
        <w:t xml:space="preserve">10.8 </w:t>
      </w:r>
      <w:r>
        <w:rPr>
          <w:rFonts w:ascii="方正书宋简体" w:hAnsi="方正书宋简体" w:eastAsia="方正书宋简体" w:cs="方正书宋简体"/>
          <w:color w:val="231F20"/>
          <w:spacing w:val="-3"/>
          <w:sz w:val="21"/>
          <w:szCs w:val="21"/>
        </w:rPr>
        <w:t>个百分点和</w:t>
      </w:r>
      <w:r>
        <w:rPr>
          <w:rFonts w:ascii="方正书宋简体" w:hAnsi="方正书宋简体" w:eastAsia="方正书宋简体" w:cs="方正书宋简体"/>
          <w:color w:val="231F20"/>
          <w:spacing w:val="38"/>
          <w:w w:val="101"/>
          <w:sz w:val="21"/>
          <w:szCs w:val="21"/>
        </w:rPr>
        <w:t xml:space="preserve"> </w:t>
      </w:r>
      <w:r>
        <w:rPr>
          <w:color w:val="231F20"/>
          <w:spacing w:val="-3"/>
          <w:sz w:val="21"/>
          <w:szCs w:val="21"/>
        </w:rPr>
        <w:t xml:space="preserve">18.8 </w:t>
      </w:r>
      <w:r>
        <w:rPr>
          <w:rFonts w:ascii="方正书宋简体" w:hAnsi="方正书宋简体" w:eastAsia="方正书宋简体" w:cs="方正书宋简体"/>
          <w:color w:val="231F20"/>
          <w:spacing w:val="-3"/>
          <w:sz w:val="21"/>
          <w:szCs w:val="21"/>
        </w:rPr>
        <w:t>个百分点。</w:t>
      </w:r>
    </w:p>
    <w:p w14:paraId="51BC1F5F">
      <w:pPr>
        <w:bidi w:val="0"/>
        <w:ind w:left="500" w:leftChars="0" w:firstLine="500" w:firstLineChars="0"/>
      </w:pPr>
      <w:r>
        <w:t>（二）经独特优势调整后的预测</w:t>
      </w:r>
    </w:p>
    <w:p w14:paraId="0445BFB0">
      <w:pPr>
        <w:pStyle w:val="6"/>
        <w:spacing w:before="78" w:line="319" w:lineRule="auto"/>
        <w:ind w:left="1049" w:right="6" w:firstLine="421"/>
        <w:jc w:val="both"/>
        <w:rPr>
          <w:rFonts w:ascii="宋体" w:hAnsi="宋体" w:eastAsia="宋体" w:cs="宋体"/>
          <w:sz w:val="21"/>
          <w:szCs w:val="21"/>
        </w:rPr>
      </w:pPr>
      <w:r>
        <w:rPr>
          <w:rFonts w:ascii="宋体" w:hAnsi="宋体" w:eastAsia="宋体" w:cs="宋体"/>
          <w:color w:val="231F20"/>
          <w:spacing w:val="2"/>
          <w:sz w:val="21"/>
          <w:szCs w:val="21"/>
        </w:rPr>
        <w:t>此前对增长潜力的选择是保守的，没有考虑我国两大独特优势，即基本经济制度</w:t>
      </w:r>
      <w:r>
        <w:rPr>
          <w:rFonts w:ascii="宋体" w:hAnsi="宋体" w:eastAsia="宋体" w:cs="宋体"/>
          <w:color w:val="231F20"/>
          <w:spacing w:val="1"/>
          <w:sz w:val="21"/>
          <w:szCs w:val="21"/>
        </w:rPr>
        <w:t>优势和经济规</w:t>
      </w:r>
      <w:r>
        <w:rPr>
          <w:rFonts w:ascii="宋体" w:hAnsi="宋体" w:eastAsia="宋体" w:cs="宋体"/>
          <w:color w:val="231F20"/>
          <w:sz w:val="21"/>
          <w:szCs w:val="21"/>
        </w:rPr>
        <w:t>模结构优势。独特的基本经济制度使我国经济增长具有更加优良的特性</w:t>
      </w:r>
      <w:r>
        <w:rPr>
          <w:rFonts w:ascii="宋体" w:hAnsi="宋体" w:eastAsia="宋体" w:cs="宋体"/>
          <w:color w:val="231F20"/>
          <w:spacing w:val="-16"/>
          <w:sz w:val="21"/>
          <w:szCs w:val="21"/>
        </w:rPr>
        <w:t xml:space="preserve"> </w:t>
      </w:r>
      <w:r>
        <w:rPr>
          <w:color w:val="231F20"/>
          <w:position w:val="10"/>
          <w:sz w:val="12"/>
          <w:szCs w:val="12"/>
        </w:rPr>
        <w:t>[28]</w:t>
      </w:r>
      <w:r>
        <w:rPr>
          <w:rFonts w:ascii="宋体" w:hAnsi="宋体" w:eastAsia="宋体" w:cs="宋体"/>
          <w:color w:val="231F20"/>
          <w:sz w:val="21"/>
          <w:szCs w:val="21"/>
        </w:rPr>
        <w:t>。比如说，国有企业以其</w:t>
      </w:r>
      <w:r>
        <w:rPr>
          <w:rFonts w:ascii="宋体" w:hAnsi="宋体" w:eastAsia="宋体" w:cs="宋体"/>
          <w:color w:val="231F20"/>
          <w:spacing w:val="2"/>
          <w:sz w:val="21"/>
          <w:szCs w:val="21"/>
        </w:rPr>
        <w:t>超微观目标</w:t>
      </w:r>
      <w:r>
        <w:rPr>
          <w:rFonts w:ascii="宋体" w:hAnsi="宋体" w:eastAsia="宋体" w:cs="宋体"/>
          <w:color w:val="231F20"/>
          <w:spacing w:val="-41"/>
          <w:sz w:val="21"/>
          <w:szCs w:val="21"/>
        </w:rPr>
        <w:t xml:space="preserve"> </w:t>
      </w:r>
      <w:r>
        <w:rPr>
          <w:color w:val="231F20"/>
          <w:spacing w:val="2"/>
          <w:position w:val="9"/>
          <w:sz w:val="12"/>
          <w:szCs w:val="12"/>
        </w:rPr>
        <w:t xml:space="preserve">[29]  </w:t>
      </w:r>
      <w:r>
        <w:rPr>
          <w:rFonts w:ascii="宋体" w:hAnsi="宋体" w:eastAsia="宋体" w:cs="宋体"/>
          <w:color w:val="231F20"/>
          <w:spacing w:val="2"/>
          <w:sz w:val="21"/>
          <w:szCs w:val="21"/>
        </w:rPr>
        <w:t>通过逆周期投资提高我国经济增长的稳健性和宏观经济效率</w:t>
      </w:r>
      <w:r>
        <w:rPr>
          <w:rFonts w:ascii="宋体" w:hAnsi="宋体" w:eastAsia="宋体" w:cs="宋体"/>
          <w:color w:val="231F20"/>
          <w:spacing w:val="-39"/>
          <w:sz w:val="21"/>
          <w:szCs w:val="21"/>
        </w:rPr>
        <w:t xml:space="preserve"> </w:t>
      </w:r>
      <w:r>
        <w:rPr>
          <w:color w:val="231F20"/>
          <w:spacing w:val="2"/>
          <w:position w:val="9"/>
          <w:sz w:val="12"/>
          <w:szCs w:val="12"/>
        </w:rPr>
        <w:t>[</w:t>
      </w:r>
      <w:r>
        <w:rPr>
          <w:color w:val="231F20"/>
          <w:spacing w:val="1"/>
          <w:position w:val="9"/>
          <w:sz w:val="12"/>
          <w:szCs w:val="12"/>
        </w:rPr>
        <w:t xml:space="preserve">30] </w:t>
      </w:r>
      <w:r>
        <w:rPr>
          <w:rFonts w:ascii="宋体" w:hAnsi="宋体" w:eastAsia="宋体" w:cs="宋体"/>
          <w:color w:val="231F20"/>
          <w:spacing w:val="1"/>
          <w:sz w:val="21"/>
          <w:szCs w:val="21"/>
        </w:rPr>
        <w:t>，中长期经济社会发</w:t>
      </w:r>
      <w:r>
        <w:rPr>
          <w:rFonts w:ascii="宋体" w:hAnsi="宋体" w:eastAsia="宋体" w:cs="宋体"/>
          <w:color w:val="231F20"/>
          <w:spacing w:val="2"/>
          <w:sz w:val="21"/>
          <w:szCs w:val="21"/>
        </w:rPr>
        <w:t>展规划为我国经济持续稳定增长提供了战略指引。经济规模庞大和结构层次丰富优势使我国经济增长具有更大的规模效应和范围效应的支撑，技术、产业在国内大范围、长</w:t>
      </w:r>
      <w:r>
        <w:rPr>
          <w:rFonts w:ascii="宋体" w:hAnsi="宋体" w:eastAsia="宋体" w:cs="宋体"/>
          <w:color w:val="231F20"/>
          <w:spacing w:val="1"/>
          <w:sz w:val="21"/>
          <w:szCs w:val="21"/>
        </w:rPr>
        <w:t>时间、接力赛式的转移为我国经济持续增长提供了更大的可能</w:t>
      </w:r>
      <w:r>
        <w:rPr>
          <w:rFonts w:ascii="宋体" w:hAnsi="宋体" w:eastAsia="宋体" w:cs="宋体"/>
          <w:color w:val="231F20"/>
          <w:spacing w:val="-42"/>
          <w:sz w:val="21"/>
          <w:szCs w:val="21"/>
        </w:rPr>
        <w:t xml:space="preserve"> </w:t>
      </w:r>
      <w:r>
        <w:rPr>
          <w:color w:val="231F20"/>
          <w:spacing w:val="1"/>
          <w:position w:val="10"/>
          <w:sz w:val="12"/>
          <w:szCs w:val="12"/>
        </w:rPr>
        <w:t>[31]</w:t>
      </w:r>
      <w:r>
        <w:rPr>
          <w:rFonts w:ascii="宋体" w:hAnsi="宋体" w:eastAsia="宋体" w:cs="宋体"/>
          <w:color w:val="231F20"/>
          <w:spacing w:val="1"/>
          <w:sz w:val="21"/>
          <w:szCs w:val="21"/>
        </w:rPr>
        <w:t>。因此，假</w:t>
      </w:r>
      <w:r>
        <w:rPr>
          <w:rFonts w:ascii="宋体" w:hAnsi="宋体" w:eastAsia="宋体" w:cs="宋体"/>
          <w:color w:val="231F20"/>
          <w:sz w:val="21"/>
          <w:szCs w:val="21"/>
        </w:rPr>
        <w:t>设充分利用这两大独特优势可使我国潜在增长率每年提高</w:t>
      </w:r>
      <w:r>
        <w:rPr>
          <w:rFonts w:ascii="宋体" w:hAnsi="宋体" w:eastAsia="宋体" w:cs="宋体"/>
          <w:color w:val="231F20"/>
          <w:spacing w:val="-43"/>
          <w:sz w:val="21"/>
          <w:szCs w:val="21"/>
        </w:rPr>
        <w:t xml:space="preserve"> </w:t>
      </w:r>
      <w:r>
        <w:rPr>
          <w:color w:val="231F20"/>
          <w:sz w:val="21"/>
          <w:szCs w:val="21"/>
        </w:rPr>
        <w:t>0.5%</w:t>
      </w:r>
      <w:r>
        <w:rPr>
          <w:rFonts w:ascii="宋体" w:hAnsi="宋体" w:eastAsia="宋体" w:cs="宋体"/>
          <w:color w:val="231F20"/>
          <w:sz w:val="21"/>
          <w:szCs w:val="21"/>
        </w:rPr>
        <w:t>。根据前述步骤进行预测的结果（</w:t>
      </w:r>
      <w:r>
        <w:rPr>
          <w:rFonts w:ascii="宋体" w:hAnsi="宋体" w:eastAsia="宋体" w:cs="宋体"/>
          <w:color w:val="231F20"/>
          <w:spacing w:val="-73"/>
          <w:sz w:val="21"/>
          <w:szCs w:val="21"/>
        </w:rPr>
        <w:t xml:space="preserve"> </w:t>
      </w:r>
      <w:r>
        <w:rPr>
          <w:color w:val="231F20"/>
          <w:sz w:val="21"/>
          <w:szCs w:val="21"/>
        </w:rPr>
        <w:t xml:space="preserve">“ </w:t>
      </w:r>
      <w:r>
        <w:rPr>
          <w:rFonts w:ascii="宋体" w:hAnsi="宋体" w:eastAsia="宋体" w:cs="宋体"/>
          <w:color w:val="231F20"/>
          <w:sz w:val="21"/>
          <w:szCs w:val="21"/>
        </w:rPr>
        <w:t>经优势调</w:t>
      </w:r>
      <w:r>
        <w:rPr>
          <w:rFonts w:ascii="宋体" w:hAnsi="宋体" w:eastAsia="宋体" w:cs="宋体"/>
          <w:color w:val="231F20"/>
          <w:spacing w:val="-1"/>
          <w:sz w:val="21"/>
          <w:szCs w:val="21"/>
        </w:rPr>
        <w:t>整</w:t>
      </w:r>
      <w:r>
        <w:rPr>
          <w:rFonts w:ascii="宋体" w:hAnsi="宋体" w:eastAsia="宋体" w:cs="宋体"/>
          <w:color w:val="231F20"/>
          <w:spacing w:val="-45"/>
          <w:sz w:val="21"/>
          <w:szCs w:val="21"/>
        </w:rPr>
        <w:t xml:space="preserve"> </w:t>
      </w:r>
      <w:r>
        <w:rPr>
          <w:color w:val="231F20"/>
          <w:spacing w:val="-1"/>
          <w:sz w:val="21"/>
          <w:szCs w:val="21"/>
        </w:rPr>
        <w:t>”</w:t>
      </w:r>
      <w:r>
        <w:rPr>
          <w:rFonts w:ascii="宋体" w:hAnsi="宋体" w:eastAsia="宋体" w:cs="宋体"/>
          <w:color w:val="231F20"/>
          <w:spacing w:val="-1"/>
          <w:sz w:val="21"/>
          <w:szCs w:val="21"/>
        </w:rPr>
        <w:t>）显示（图</w:t>
      </w:r>
      <w:r>
        <w:rPr>
          <w:rFonts w:ascii="宋体" w:hAnsi="宋体" w:eastAsia="宋体" w:cs="宋体"/>
          <w:color w:val="231F20"/>
          <w:spacing w:val="-24"/>
          <w:sz w:val="21"/>
          <w:szCs w:val="21"/>
        </w:rPr>
        <w:t xml:space="preserve"> </w:t>
      </w:r>
      <w:r>
        <w:rPr>
          <w:color w:val="231F20"/>
          <w:spacing w:val="-1"/>
          <w:sz w:val="21"/>
          <w:szCs w:val="21"/>
        </w:rPr>
        <w:t>6</w:t>
      </w:r>
      <w:r>
        <w:rPr>
          <w:rFonts w:ascii="宋体" w:hAnsi="宋体" w:eastAsia="宋体" w:cs="宋体"/>
          <w:color w:val="231F20"/>
          <w:spacing w:val="15"/>
          <w:sz w:val="21"/>
          <w:szCs w:val="21"/>
        </w:rPr>
        <w:t>），</w:t>
      </w:r>
      <w:r>
        <w:rPr>
          <w:rFonts w:ascii="宋体" w:hAnsi="宋体" w:eastAsia="宋体" w:cs="宋体"/>
          <w:color w:val="030303"/>
          <w:spacing w:val="-1"/>
          <w:sz w:val="21"/>
          <w:szCs w:val="21"/>
        </w:rPr>
        <w:t>中国将在</w:t>
      </w:r>
      <w:r>
        <w:rPr>
          <w:rFonts w:ascii="宋体" w:hAnsi="宋体" w:eastAsia="宋体" w:cs="宋体"/>
          <w:color w:val="030303"/>
          <w:spacing w:val="-47"/>
          <w:sz w:val="21"/>
          <w:szCs w:val="21"/>
        </w:rPr>
        <w:t xml:space="preserve"> </w:t>
      </w:r>
      <w:r>
        <w:rPr>
          <w:color w:val="030303"/>
          <w:spacing w:val="-1"/>
          <w:sz w:val="21"/>
          <w:szCs w:val="21"/>
        </w:rPr>
        <w:t xml:space="preserve">2032 </w:t>
      </w:r>
      <w:r>
        <w:rPr>
          <w:rFonts w:ascii="宋体" w:hAnsi="宋体" w:eastAsia="宋体" w:cs="宋体"/>
          <w:color w:val="030303"/>
          <w:spacing w:val="-1"/>
          <w:sz w:val="21"/>
          <w:szCs w:val="21"/>
        </w:rPr>
        <w:t>年</w:t>
      </w:r>
      <w:r>
        <w:rPr>
          <w:rFonts w:ascii="宋体" w:hAnsi="宋体" w:eastAsia="宋体" w:cs="宋体"/>
          <w:color w:val="030303"/>
          <w:spacing w:val="2"/>
          <w:sz w:val="21"/>
          <w:szCs w:val="21"/>
        </w:rPr>
        <w:t>超过美国经济规模，在</w:t>
      </w:r>
      <w:r>
        <w:rPr>
          <w:rFonts w:ascii="宋体" w:hAnsi="宋体" w:eastAsia="宋体" w:cs="宋体"/>
          <w:color w:val="030303"/>
          <w:spacing w:val="-34"/>
          <w:sz w:val="21"/>
          <w:szCs w:val="21"/>
        </w:rPr>
        <w:t xml:space="preserve"> </w:t>
      </w:r>
      <w:r>
        <w:rPr>
          <w:color w:val="030303"/>
          <w:spacing w:val="2"/>
          <w:sz w:val="21"/>
          <w:szCs w:val="21"/>
        </w:rPr>
        <w:t xml:space="preserve">2049 </w:t>
      </w:r>
      <w:r>
        <w:rPr>
          <w:rFonts w:ascii="宋体" w:hAnsi="宋体" w:eastAsia="宋体" w:cs="宋体"/>
          <w:color w:val="030303"/>
          <w:spacing w:val="2"/>
          <w:sz w:val="21"/>
          <w:szCs w:val="21"/>
        </w:rPr>
        <w:t>年将达到美国经济规模的</w:t>
      </w:r>
      <w:r>
        <w:rPr>
          <w:rFonts w:ascii="宋体" w:hAnsi="宋体" w:eastAsia="宋体" w:cs="宋体"/>
          <w:color w:val="030303"/>
          <w:spacing w:val="-26"/>
          <w:sz w:val="21"/>
          <w:szCs w:val="21"/>
        </w:rPr>
        <w:t xml:space="preserve"> </w:t>
      </w:r>
      <w:r>
        <w:rPr>
          <w:color w:val="030303"/>
          <w:spacing w:val="2"/>
          <w:sz w:val="21"/>
          <w:szCs w:val="21"/>
        </w:rPr>
        <w:t>139.9%</w:t>
      </w:r>
      <w:r>
        <w:rPr>
          <w:rFonts w:ascii="宋体" w:hAnsi="宋体" w:eastAsia="宋体" w:cs="宋体"/>
          <w:color w:val="030303"/>
          <w:spacing w:val="2"/>
          <w:sz w:val="21"/>
          <w:szCs w:val="21"/>
        </w:rPr>
        <w:t>，</w:t>
      </w:r>
      <w:r>
        <w:rPr>
          <w:rFonts w:ascii="宋体" w:hAnsi="宋体" w:eastAsia="宋体" w:cs="宋体"/>
          <w:color w:val="030303"/>
          <w:spacing w:val="1"/>
          <w:sz w:val="21"/>
          <w:szCs w:val="21"/>
        </w:rPr>
        <w:t xml:space="preserve">比未做调整时的 </w:t>
      </w:r>
      <w:r>
        <w:rPr>
          <w:color w:val="030303"/>
          <w:spacing w:val="1"/>
          <w:sz w:val="21"/>
          <w:szCs w:val="21"/>
        </w:rPr>
        <w:t xml:space="preserve">121.2% </w:t>
      </w:r>
      <w:r>
        <w:rPr>
          <w:rFonts w:ascii="宋体" w:hAnsi="宋体" w:eastAsia="宋体" w:cs="宋体"/>
          <w:color w:val="030303"/>
          <w:spacing w:val="1"/>
          <w:sz w:val="21"/>
          <w:szCs w:val="21"/>
        </w:rPr>
        <w:t>增加</w:t>
      </w:r>
      <w:r>
        <w:rPr>
          <w:rFonts w:ascii="宋体" w:hAnsi="宋体" w:eastAsia="宋体" w:cs="宋体"/>
          <w:color w:val="030303"/>
          <w:spacing w:val="-25"/>
          <w:sz w:val="21"/>
          <w:szCs w:val="21"/>
        </w:rPr>
        <w:t xml:space="preserve"> </w:t>
      </w:r>
      <w:r>
        <w:rPr>
          <w:color w:val="030303"/>
          <w:spacing w:val="1"/>
          <w:sz w:val="21"/>
          <w:szCs w:val="21"/>
        </w:rPr>
        <w:t>18.7</w:t>
      </w:r>
      <w:r>
        <w:rPr>
          <w:rFonts w:ascii="宋体" w:hAnsi="宋体" w:eastAsia="宋体" w:cs="宋体"/>
          <w:color w:val="030303"/>
          <w:spacing w:val="1"/>
          <w:sz w:val="21"/>
          <w:szCs w:val="21"/>
        </w:rPr>
        <w:t>个百分点；</w:t>
      </w:r>
      <w:r>
        <w:rPr>
          <w:color w:val="030303"/>
          <w:spacing w:val="1"/>
          <w:sz w:val="21"/>
          <w:szCs w:val="21"/>
        </w:rPr>
        <w:t xml:space="preserve">2035 </w:t>
      </w:r>
      <w:r>
        <w:rPr>
          <w:rFonts w:ascii="宋体" w:hAnsi="宋体" w:eastAsia="宋体" w:cs="宋体"/>
          <w:color w:val="030303"/>
          <w:spacing w:val="1"/>
          <w:sz w:val="21"/>
          <w:szCs w:val="21"/>
        </w:rPr>
        <w:t>年和</w:t>
      </w:r>
      <w:r>
        <w:rPr>
          <w:rFonts w:ascii="宋体" w:hAnsi="宋体" w:eastAsia="宋体" w:cs="宋体"/>
          <w:color w:val="030303"/>
          <w:spacing w:val="-49"/>
          <w:sz w:val="21"/>
          <w:szCs w:val="21"/>
        </w:rPr>
        <w:t xml:space="preserve"> </w:t>
      </w:r>
      <w:r>
        <w:rPr>
          <w:color w:val="030303"/>
          <w:spacing w:val="1"/>
          <w:sz w:val="21"/>
          <w:szCs w:val="21"/>
        </w:rPr>
        <w:t xml:space="preserve">2049 </w:t>
      </w:r>
      <w:r>
        <w:rPr>
          <w:rFonts w:ascii="宋体" w:hAnsi="宋体" w:eastAsia="宋体" w:cs="宋体"/>
          <w:color w:val="030303"/>
          <w:spacing w:val="1"/>
          <w:sz w:val="21"/>
          <w:szCs w:val="21"/>
        </w:rPr>
        <w:t>年中美经济发展水</w:t>
      </w:r>
      <w:r>
        <w:rPr>
          <w:rFonts w:ascii="宋体" w:hAnsi="宋体" w:eastAsia="宋体" w:cs="宋体"/>
          <w:color w:val="030303"/>
          <w:sz w:val="21"/>
          <w:szCs w:val="21"/>
        </w:rPr>
        <w:t>平之比分别为</w:t>
      </w:r>
      <w:r>
        <w:rPr>
          <w:rFonts w:ascii="宋体" w:hAnsi="宋体" w:eastAsia="宋体" w:cs="宋体"/>
          <w:color w:val="030303"/>
          <w:spacing w:val="-48"/>
          <w:sz w:val="21"/>
          <w:szCs w:val="21"/>
        </w:rPr>
        <w:t xml:space="preserve"> </w:t>
      </w:r>
      <w:r>
        <w:rPr>
          <w:color w:val="030303"/>
          <w:sz w:val="21"/>
          <w:szCs w:val="21"/>
        </w:rPr>
        <w:t xml:space="preserve">28.5% </w:t>
      </w:r>
      <w:r>
        <w:rPr>
          <w:rFonts w:ascii="宋体" w:hAnsi="宋体" w:eastAsia="宋体" w:cs="宋体"/>
          <w:color w:val="030303"/>
          <w:sz w:val="21"/>
          <w:szCs w:val="21"/>
        </w:rPr>
        <w:t>和</w:t>
      </w:r>
      <w:r>
        <w:rPr>
          <w:color w:val="030303"/>
          <w:sz w:val="21"/>
          <w:szCs w:val="21"/>
        </w:rPr>
        <w:t>39.7%</w:t>
      </w:r>
      <w:r>
        <w:rPr>
          <w:rFonts w:ascii="宋体" w:hAnsi="宋体" w:eastAsia="宋体" w:cs="宋体"/>
          <w:color w:val="030303"/>
          <w:sz w:val="21"/>
          <w:szCs w:val="21"/>
        </w:rPr>
        <w:t>，比未作调整时的</w:t>
      </w:r>
      <w:r>
        <w:rPr>
          <w:rFonts w:ascii="宋体" w:hAnsi="宋体" w:eastAsia="宋体" w:cs="宋体"/>
          <w:color w:val="030303"/>
          <w:spacing w:val="-49"/>
          <w:sz w:val="21"/>
          <w:szCs w:val="21"/>
        </w:rPr>
        <w:t xml:space="preserve"> </w:t>
      </w:r>
      <w:r>
        <w:rPr>
          <w:color w:val="030303"/>
          <w:sz w:val="21"/>
          <w:szCs w:val="21"/>
        </w:rPr>
        <w:t>26.4%</w:t>
      </w:r>
      <w:r>
        <w:rPr>
          <w:rFonts w:ascii="宋体" w:hAnsi="宋体" w:eastAsia="宋体" w:cs="宋体"/>
          <w:color w:val="030303"/>
          <w:spacing w:val="-1"/>
          <w:sz w:val="21"/>
          <w:szCs w:val="21"/>
        </w:rPr>
        <w:t>和</w:t>
      </w:r>
      <w:r>
        <w:rPr>
          <w:rFonts w:ascii="宋体" w:hAnsi="宋体" w:eastAsia="宋体" w:cs="宋体"/>
          <w:color w:val="030303"/>
          <w:spacing w:val="-44"/>
          <w:sz w:val="21"/>
          <w:szCs w:val="21"/>
        </w:rPr>
        <w:t xml:space="preserve"> </w:t>
      </w:r>
      <w:r>
        <w:rPr>
          <w:color w:val="030303"/>
          <w:spacing w:val="-1"/>
          <w:sz w:val="21"/>
          <w:szCs w:val="21"/>
        </w:rPr>
        <w:t xml:space="preserve">34.4% </w:t>
      </w:r>
      <w:r>
        <w:rPr>
          <w:rFonts w:ascii="宋体" w:hAnsi="宋体" w:eastAsia="宋体" w:cs="宋体"/>
          <w:color w:val="030303"/>
          <w:spacing w:val="-1"/>
          <w:sz w:val="21"/>
          <w:szCs w:val="21"/>
        </w:rPr>
        <w:t>分别增加</w:t>
      </w:r>
      <w:r>
        <w:rPr>
          <w:rFonts w:ascii="宋体" w:hAnsi="宋体" w:eastAsia="宋体" w:cs="宋体"/>
          <w:color w:val="030303"/>
          <w:spacing w:val="-48"/>
          <w:sz w:val="21"/>
          <w:szCs w:val="21"/>
        </w:rPr>
        <w:t xml:space="preserve"> </w:t>
      </w:r>
      <w:r>
        <w:rPr>
          <w:color w:val="030303"/>
          <w:spacing w:val="-1"/>
          <w:sz w:val="21"/>
          <w:szCs w:val="21"/>
        </w:rPr>
        <w:t xml:space="preserve">2.3 </w:t>
      </w:r>
      <w:r>
        <w:rPr>
          <w:rFonts w:ascii="宋体" w:hAnsi="宋体" w:eastAsia="宋体" w:cs="宋体"/>
          <w:color w:val="030303"/>
          <w:spacing w:val="-1"/>
          <w:sz w:val="21"/>
          <w:szCs w:val="21"/>
        </w:rPr>
        <w:t>个百分点和</w:t>
      </w:r>
      <w:r>
        <w:rPr>
          <w:rFonts w:ascii="宋体" w:hAnsi="宋体" w:eastAsia="宋体" w:cs="宋体"/>
          <w:color w:val="030303"/>
          <w:spacing w:val="-43"/>
          <w:sz w:val="21"/>
          <w:szCs w:val="21"/>
        </w:rPr>
        <w:t xml:space="preserve"> </w:t>
      </w:r>
      <w:r>
        <w:rPr>
          <w:color w:val="030303"/>
          <w:spacing w:val="-1"/>
          <w:sz w:val="21"/>
          <w:szCs w:val="21"/>
        </w:rPr>
        <w:t xml:space="preserve">5.3 </w:t>
      </w:r>
      <w:r>
        <w:rPr>
          <w:rFonts w:ascii="宋体" w:hAnsi="宋体" w:eastAsia="宋体" w:cs="宋体"/>
          <w:color w:val="030303"/>
          <w:spacing w:val="-1"/>
          <w:sz w:val="21"/>
          <w:szCs w:val="21"/>
        </w:rPr>
        <w:t>个百分点。因此，充分利用</w:t>
      </w:r>
      <w:r>
        <w:rPr>
          <w:rFonts w:ascii="宋体" w:hAnsi="宋体" w:eastAsia="宋体" w:cs="宋体"/>
          <w:color w:val="030303"/>
          <w:spacing w:val="-2"/>
          <w:sz w:val="21"/>
          <w:szCs w:val="21"/>
        </w:rPr>
        <w:t>这两大独特优势意义重大。</w:t>
      </w:r>
    </w:p>
    <w:p w14:paraId="4F642A54">
      <w:pPr>
        <w:bidi w:val="0"/>
        <w:ind w:left="1000" w:leftChars="0" w:firstLine="500" w:firstLineChars="0"/>
      </w:pPr>
      <w:r>
        <w:t>（三）人民币对美元汇率的调整</w:t>
      </w:r>
    </w:p>
    <w:p w14:paraId="43660611">
      <w:pPr>
        <w:pStyle w:val="6"/>
        <w:spacing w:before="76" w:line="295" w:lineRule="auto"/>
        <w:ind w:left="862" w:right="64" w:firstLine="456"/>
        <w:jc w:val="both"/>
        <w:rPr>
          <w:rFonts w:ascii="方正书宋简体" w:hAnsi="方正书宋简体" w:eastAsia="方正书宋简体" w:cs="方正书宋简体"/>
          <w:sz w:val="21"/>
          <w:szCs w:val="21"/>
        </w:rPr>
      </w:pPr>
      <w:r>
        <w:rPr>
          <w:rFonts w:ascii="宋体" w:hAnsi="宋体" w:eastAsia="宋体" w:cs="宋体"/>
          <w:color w:val="231F20"/>
          <w:spacing w:val="1"/>
          <w:sz w:val="21"/>
          <w:szCs w:val="21"/>
        </w:rPr>
        <w:t>中</w:t>
      </w:r>
      <w:r>
        <w:rPr>
          <w:rFonts w:ascii="方正书宋简体" w:hAnsi="方正书宋简体" w:eastAsia="方正书宋简体" w:cs="方正书宋简体"/>
          <w:color w:val="231F20"/>
          <w:spacing w:val="1"/>
          <w:sz w:val="21"/>
          <w:szCs w:val="21"/>
        </w:rPr>
        <w:t>美人均实际收入水平之比（或经济发展水平）不断提高是人民币对美元不断升值的主要经济基础，人民币升值又会产生“倒逼式研发”效应进而提高全要素生产率</w:t>
      </w:r>
      <w:r>
        <w:rPr>
          <w:rFonts w:ascii="方正书宋简体" w:hAnsi="方正书宋简体" w:eastAsia="方正书宋简体" w:cs="方正书宋简体"/>
          <w:color w:val="231F20"/>
          <w:spacing w:val="14"/>
          <w:sz w:val="21"/>
          <w:szCs w:val="21"/>
        </w:rPr>
        <w:t xml:space="preserve"> </w:t>
      </w:r>
      <w:r>
        <w:rPr>
          <w:color w:val="231F20"/>
          <w:spacing w:val="1"/>
          <w:position w:val="9"/>
          <w:sz w:val="12"/>
          <w:szCs w:val="12"/>
        </w:rPr>
        <w:t>[32]</w:t>
      </w:r>
      <w:r>
        <w:rPr>
          <w:rFonts w:ascii="方正书宋简体" w:hAnsi="方正书宋简体" w:eastAsia="方正书宋简体" w:cs="方正书宋简体"/>
          <w:color w:val="231F20"/>
          <w:spacing w:val="1"/>
          <w:sz w:val="21"/>
          <w:szCs w:val="21"/>
        </w:rPr>
        <w:t>，全要素</w:t>
      </w:r>
      <w:r>
        <w:rPr>
          <w:rFonts w:ascii="方正书宋简体" w:hAnsi="方正书宋简体" w:eastAsia="方正书宋简体" w:cs="方正书宋简体"/>
          <w:color w:val="231F20"/>
          <w:sz w:val="21"/>
          <w:szCs w:val="21"/>
        </w:rPr>
        <w:t>生产率的提高通</w:t>
      </w:r>
      <w:r>
        <w:rPr>
          <w:rFonts w:ascii="方正书宋简体" w:hAnsi="方正书宋简体" w:eastAsia="方正书宋简体" w:cs="方正书宋简体"/>
          <w:color w:val="231F20"/>
          <w:spacing w:val="2"/>
          <w:sz w:val="21"/>
          <w:szCs w:val="21"/>
        </w:rPr>
        <w:t>过加快增长速度进一步推动人民币升值，由此生成一个增长率提高与人民币升值相互推动的动态机</w:t>
      </w:r>
      <w:r>
        <w:rPr>
          <w:rFonts w:ascii="方正书宋简体" w:hAnsi="方正书宋简体" w:eastAsia="方正书宋简体" w:cs="方正书宋简体"/>
          <w:color w:val="231F20"/>
          <w:spacing w:val="3"/>
          <w:sz w:val="21"/>
          <w:szCs w:val="21"/>
        </w:rPr>
        <w:t>制。尽管预测汇率的短期变化是非常困难的，但是</w:t>
      </w:r>
      <w:r>
        <w:rPr>
          <w:rFonts w:ascii="方正书宋简体" w:hAnsi="方正书宋简体" w:eastAsia="方正书宋简体" w:cs="方正书宋简体"/>
          <w:color w:val="231F20"/>
          <w:spacing w:val="2"/>
          <w:sz w:val="21"/>
          <w:szCs w:val="21"/>
        </w:rPr>
        <w:t>在一定条件下针对汇率的长期变化依然可以做出</w:t>
      </w:r>
      <w:r>
        <w:rPr>
          <w:rFonts w:ascii="方正书宋简体" w:hAnsi="方正书宋简体" w:eastAsia="方正书宋简体" w:cs="方正书宋简体"/>
          <w:color w:val="231F20"/>
          <w:spacing w:val="4"/>
          <w:sz w:val="21"/>
          <w:szCs w:val="21"/>
        </w:rPr>
        <w:t>一些判断。先来看过去</w:t>
      </w:r>
      <w:r>
        <w:rPr>
          <w:rFonts w:ascii="方正书宋简体" w:hAnsi="方正书宋简体" w:eastAsia="方正书宋简体" w:cs="方正书宋简体"/>
          <w:color w:val="231F20"/>
          <w:spacing w:val="20"/>
          <w:w w:val="101"/>
          <w:sz w:val="21"/>
          <w:szCs w:val="21"/>
        </w:rPr>
        <w:t xml:space="preserve"> </w:t>
      </w:r>
      <w:r>
        <w:rPr>
          <w:color w:val="231F20"/>
          <w:spacing w:val="4"/>
          <w:sz w:val="21"/>
          <w:szCs w:val="21"/>
        </w:rPr>
        <w:t xml:space="preserve">30 </w:t>
      </w:r>
      <w:r>
        <w:rPr>
          <w:rFonts w:ascii="方正书宋简体" w:hAnsi="方正书宋简体" w:eastAsia="方正书宋简体" w:cs="方正书宋简体"/>
          <w:color w:val="231F20"/>
          <w:spacing w:val="4"/>
          <w:sz w:val="21"/>
          <w:szCs w:val="21"/>
        </w:rPr>
        <w:t>年（</w:t>
      </w:r>
      <w:r>
        <w:rPr>
          <w:rFonts w:ascii="方正书宋简体" w:hAnsi="方正书宋简体" w:eastAsia="方正书宋简体" w:cs="方正书宋简体"/>
          <w:color w:val="231F20"/>
          <w:spacing w:val="-28"/>
          <w:sz w:val="21"/>
          <w:szCs w:val="21"/>
        </w:rPr>
        <w:t xml:space="preserve"> </w:t>
      </w:r>
      <w:r>
        <w:rPr>
          <w:color w:val="231F20"/>
          <w:spacing w:val="4"/>
          <w:sz w:val="21"/>
          <w:szCs w:val="21"/>
        </w:rPr>
        <w:t>1990</w:t>
      </w:r>
      <w:r>
        <w:rPr>
          <w:rFonts w:ascii="方正书宋简体" w:hAnsi="方正书宋简体" w:eastAsia="方正书宋简体" w:cs="方正书宋简体"/>
          <w:color w:val="231F20"/>
          <w:spacing w:val="4"/>
          <w:sz w:val="21"/>
          <w:szCs w:val="21"/>
        </w:rPr>
        <w:t>—</w:t>
      </w:r>
      <w:r>
        <w:rPr>
          <w:color w:val="231F20"/>
          <w:spacing w:val="3"/>
          <w:sz w:val="21"/>
          <w:szCs w:val="21"/>
        </w:rPr>
        <w:t>2019</w:t>
      </w:r>
      <w:r>
        <w:rPr>
          <w:rFonts w:ascii="方正书宋简体" w:hAnsi="方正书宋简体" w:eastAsia="方正书宋简体" w:cs="方正书宋简体"/>
          <w:color w:val="231F20"/>
          <w:spacing w:val="3"/>
          <w:sz w:val="21"/>
          <w:szCs w:val="21"/>
        </w:rPr>
        <w:t>）人民币对美元汇率折算值与中美经济相对发展水平之间的关系。在图</w:t>
      </w:r>
      <w:r>
        <w:rPr>
          <w:rFonts w:ascii="方正书宋简体" w:hAnsi="方正书宋简体" w:eastAsia="方正书宋简体" w:cs="方正书宋简体"/>
          <w:color w:val="231F20"/>
          <w:spacing w:val="36"/>
          <w:sz w:val="21"/>
          <w:szCs w:val="21"/>
        </w:rPr>
        <w:t xml:space="preserve"> </w:t>
      </w:r>
      <w:r>
        <w:rPr>
          <w:color w:val="231F20"/>
          <w:spacing w:val="3"/>
          <w:sz w:val="21"/>
          <w:szCs w:val="21"/>
        </w:rPr>
        <w:t>7</w:t>
      </w:r>
      <w:r>
        <w:rPr>
          <w:color w:val="231F20"/>
          <w:spacing w:val="26"/>
          <w:w w:val="101"/>
          <w:sz w:val="21"/>
          <w:szCs w:val="21"/>
        </w:rPr>
        <w:t xml:space="preserve"> </w:t>
      </w:r>
      <w:r>
        <w:rPr>
          <w:rFonts w:ascii="方正书宋简体" w:hAnsi="方正书宋简体" w:eastAsia="方正书宋简体" w:cs="方正书宋简体"/>
          <w:color w:val="231F20"/>
          <w:spacing w:val="3"/>
          <w:sz w:val="21"/>
          <w:szCs w:val="21"/>
        </w:rPr>
        <w:t>中，纵坐标是人民币对美元汇率折算值，它等于每年按现价美元计算的</w:t>
      </w:r>
      <w:r>
        <w:rPr>
          <w:rFonts w:ascii="方正书宋简体" w:hAnsi="方正书宋简体" w:eastAsia="方正书宋简体" w:cs="方正书宋简体"/>
          <w:color w:val="231F20"/>
          <w:spacing w:val="26"/>
          <w:w w:val="101"/>
          <w:sz w:val="21"/>
          <w:szCs w:val="21"/>
        </w:rPr>
        <w:t xml:space="preserve"> </w:t>
      </w:r>
      <w:r>
        <w:rPr>
          <w:color w:val="231F20"/>
          <w:sz w:val="21"/>
          <w:szCs w:val="21"/>
        </w:rPr>
        <w:t>GDP</w:t>
      </w:r>
      <w:r>
        <w:rPr>
          <w:color w:val="231F20"/>
          <w:spacing w:val="3"/>
          <w:sz w:val="21"/>
          <w:szCs w:val="21"/>
        </w:rPr>
        <w:t xml:space="preserve"> </w:t>
      </w:r>
      <w:r>
        <w:rPr>
          <w:rFonts w:ascii="方正书宋简体" w:hAnsi="方正书宋简体" w:eastAsia="方正书宋简体" w:cs="方正书宋简体"/>
          <w:color w:val="231F20"/>
          <w:spacing w:val="3"/>
          <w:sz w:val="21"/>
          <w:szCs w:val="21"/>
        </w:rPr>
        <w:t>与</w:t>
      </w:r>
      <w:r>
        <w:rPr>
          <w:rFonts w:ascii="方正书宋简体" w:hAnsi="方正书宋简体" w:eastAsia="方正书宋简体" w:cs="方正书宋简体"/>
          <w:color w:val="231F20"/>
          <w:spacing w:val="1"/>
          <w:sz w:val="21"/>
          <w:szCs w:val="21"/>
        </w:rPr>
        <w:t>按购买力平价（现价国际元）计算的</w:t>
      </w:r>
      <w:r>
        <w:rPr>
          <w:rFonts w:ascii="方正书宋简体" w:hAnsi="方正书宋简体" w:eastAsia="方正书宋简体" w:cs="方正书宋简体"/>
          <w:color w:val="231F20"/>
          <w:spacing w:val="24"/>
          <w:sz w:val="21"/>
          <w:szCs w:val="21"/>
        </w:rPr>
        <w:t xml:space="preserve"> </w:t>
      </w:r>
      <w:r>
        <w:rPr>
          <w:color w:val="231F20"/>
          <w:sz w:val="21"/>
          <w:szCs w:val="21"/>
        </w:rPr>
        <w:t>GDP</w:t>
      </w:r>
      <w:r>
        <w:rPr>
          <w:color w:val="231F20"/>
          <w:spacing w:val="1"/>
          <w:sz w:val="21"/>
          <w:szCs w:val="21"/>
        </w:rPr>
        <w:t xml:space="preserve"> </w:t>
      </w:r>
      <w:r>
        <w:rPr>
          <w:rFonts w:ascii="方正书宋简体" w:hAnsi="方正书宋简体" w:eastAsia="方正书宋简体" w:cs="方正书宋简体"/>
          <w:color w:val="231F20"/>
          <w:spacing w:val="1"/>
          <w:sz w:val="21"/>
          <w:szCs w:val="21"/>
        </w:rPr>
        <w:t>之比（</w:t>
      </w:r>
      <w:r>
        <w:rPr>
          <w:i/>
          <w:iCs/>
          <w:color w:val="231F20"/>
          <w:spacing w:val="1"/>
          <w:sz w:val="21"/>
          <w:szCs w:val="21"/>
        </w:rPr>
        <w:t>y</w:t>
      </w:r>
      <w:r>
        <w:rPr>
          <w:rFonts w:ascii="方正书宋简体" w:hAnsi="方正书宋简体" w:eastAsia="方正书宋简体" w:cs="方正书宋简体"/>
          <w:color w:val="231F20"/>
          <w:spacing w:val="3"/>
          <w:sz w:val="21"/>
          <w:szCs w:val="21"/>
        </w:rPr>
        <w:t>），</w:t>
      </w:r>
      <w:r>
        <w:rPr>
          <w:rFonts w:ascii="方正书宋简体" w:hAnsi="方正书宋简体" w:eastAsia="方正书宋简体" w:cs="方正书宋简体"/>
          <w:color w:val="231F20"/>
          <w:spacing w:val="1"/>
          <w:sz w:val="21"/>
          <w:szCs w:val="21"/>
        </w:rPr>
        <w:t>它也等于</w:t>
      </w:r>
      <w:r>
        <w:rPr>
          <w:rFonts w:ascii="方正书宋简体" w:hAnsi="方正书宋简体" w:eastAsia="方正书宋简体" w:cs="方正书宋简体"/>
          <w:color w:val="231F20"/>
          <w:spacing w:val="14"/>
          <w:sz w:val="21"/>
          <w:szCs w:val="21"/>
        </w:rPr>
        <w:t xml:space="preserve"> </w:t>
      </w:r>
      <w:r>
        <w:rPr>
          <w:color w:val="231F20"/>
          <w:sz w:val="21"/>
          <w:szCs w:val="21"/>
        </w:rPr>
        <w:t>PPP</w:t>
      </w:r>
      <w:r>
        <w:rPr>
          <w:color w:val="231F20"/>
          <w:spacing w:val="1"/>
          <w:sz w:val="21"/>
          <w:szCs w:val="21"/>
        </w:rPr>
        <w:t xml:space="preserve"> </w:t>
      </w:r>
      <w:r>
        <w:rPr>
          <w:rFonts w:ascii="方正书宋简体" w:hAnsi="方正书宋简体" w:eastAsia="方正书宋简体" w:cs="方正书宋简体"/>
          <w:color w:val="231F20"/>
          <w:spacing w:val="1"/>
          <w:sz w:val="21"/>
          <w:szCs w:val="21"/>
        </w:rPr>
        <w:t>转换因子与人民币对美元汇率</w:t>
      </w:r>
      <w:r>
        <w:rPr>
          <w:rFonts w:ascii="方正书宋简体" w:hAnsi="方正书宋简体" w:eastAsia="方正书宋简体" w:cs="方正书宋简体"/>
          <w:color w:val="231F20"/>
          <w:spacing w:val="2"/>
          <w:sz w:val="21"/>
          <w:szCs w:val="21"/>
        </w:rPr>
        <w:t xml:space="preserve">（名义汇率）之比，即 </w:t>
      </w:r>
      <w:r>
        <w:rPr>
          <w:i/>
          <w:iCs/>
          <w:color w:val="231F20"/>
          <w:spacing w:val="2"/>
          <w:sz w:val="21"/>
          <w:szCs w:val="21"/>
        </w:rPr>
        <w:t>y</w:t>
      </w:r>
      <w:r>
        <w:rPr>
          <w:color w:val="231F20"/>
          <w:spacing w:val="2"/>
          <w:sz w:val="21"/>
          <w:szCs w:val="21"/>
        </w:rPr>
        <w:t>=</w:t>
      </w:r>
      <w:r>
        <w:rPr>
          <w:color w:val="231F20"/>
          <w:sz w:val="21"/>
          <w:szCs w:val="21"/>
        </w:rPr>
        <w:t>PPP</w:t>
      </w:r>
      <w:r>
        <w:rPr>
          <w:color w:val="231F20"/>
          <w:spacing w:val="2"/>
          <w:sz w:val="21"/>
          <w:szCs w:val="21"/>
        </w:rPr>
        <w:t xml:space="preserve"> </w:t>
      </w:r>
      <w:r>
        <w:rPr>
          <w:rFonts w:ascii="方正书宋简体" w:hAnsi="方正书宋简体" w:eastAsia="方正书宋简体" w:cs="方正书宋简体"/>
          <w:color w:val="231F20"/>
          <w:spacing w:val="2"/>
          <w:sz w:val="21"/>
          <w:szCs w:val="21"/>
        </w:rPr>
        <w:t xml:space="preserve">转换因子 </w:t>
      </w:r>
      <w:r>
        <w:rPr>
          <w:color w:val="231F20"/>
          <w:spacing w:val="2"/>
          <w:sz w:val="21"/>
          <w:szCs w:val="21"/>
        </w:rPr>
        <w:t xml:space="preserve">/ </w:t>
      </w:r>
      <w:r>
        <w:rPr>
          <w:rFonts w:ascii="方正书宋简体" w:hAnsi="方正书宋简体" w:eastAsia="方正书宋简体" w:cs="方正书宋简体"/>
          <w:color w:val="231F20"/>
          <w:spacing w:val="2"/>
          <w:sz w:val="21"/>
          <w:szCs w:val="21"/>
        </w:rPr>
        <w:t>人民币对美元名义汇率。</w:t>
      </w:r>
      <w:r>
        <w:rPr>
          <w:rFonts w:ascii="方正书宋简体" w:hAnsi="方正书宋简体" w:eastAsia="方正书宋简体" w:cs="方正书宋简体"/>
          <w:color w:val="231F20"/>
          <w:spacing w:val="1"/>
          <w:sz w:val="21"/>
          <w:szCs w:val="21"/>
        </w:rPr>
        <w:t>转换因子具有实际汇率的含义，</w:t>
      </w:r>
      <w:r>
        <w:rPr>
          <w:rFonts w:ascii="方正书宋简体" w:hAnsi="方正书宋简体" w:eastAsia="方正书宋简体" w:cs="方正书宋简体"/>
          <w:color w:val="231F20"/>
          <w:spacing w:val="2"/>
          <w:sz w:val="21"/>
          <w:szCs w:val="21"/>
        </w:rPr>
        <w:t>它与名义汇率相除之后</w:t>
      </w:r>
      <w:r>
        <w:rPr>
          <w:rFonts w:ascii="方正书宋简体" w:hAnsi="方正书宋简体" w:eastAsia="方正书宋简体" w:cs="方正书宋简体"/>
          <w:color w:val="231F20"/>
          <w:spacing w:val="-29"/>
          <w:sz w:val="21"/>
          <w:szCs w:val="21"/>
        </w:rPr>
        <w:t>，（</w:t>
      </w:r>
      <w:r>
        <w:rPr>
          <w:rFonts w:ascii="方正书宋简体" w:hAnsi="方正书宋简体" w:eastAsia="方正书宋简体" w:cs="方正书宋简体"/>
          <w:color w:val="231F20"/>
          <w:spacing w:val="2"/>
          <w:sz w:val="21"/>
          <w:szCs w:val="21"/>
        </w:rPr>
        <w:t>与</w:t>
      </w:r>
      <w:r>
        <w:rPr>
          <w:rFonts w:ascii="方正书宋简体" w:hAnsi="方正书宋简体" w:eastAsia="方正书宋简体" w:cs="方正书宋简体"/>
          <w:color w:val="231F20"/>
          <w:spacing w:val="26"/>
          <w:sz w:val="21"/>
          <w:szCs w:val="21"/>
        </w:rPr>
        <w:t xml:space="preserve"> </w:t>
      </w:r>
      <w:r>
        <w:rPr>
          <w:color w:val="231F20"/>
          <w:spacing w:val="2"/>
          <w:sz w:val="21"/>
          <w:szCs w:val="21"/>
        </w:rPr>
        <w:t>1</w:t>
      </w:r>
      <w:r>
        <w:rPr>
          <w:color w:val="231F20"/>
          <w:spacing w:val="29"/>
          <w:sz w:val="21"/>
          <w:szCs w:val="21"/>
        </w:rPr>
        <w:t xml:space="preserve"> </w:t>
      </w:r>
      <w:r>
        <w:rPr>
          <w:rFonts w:ascii="方正书宋简体" w:hAnsi="方正书宋简体" w:eastAsia="方正书宋简体" w:cs="方正书宋简体"/>
          <w:color w:val="231F20"/>
          <w:spacing w:val="2"/>
          <w:sz w:val="21"/>
          <w:szCs w:val="21"/>
        </w:rPr>
        <w:t xml:space="preserve">比较）表示名义汇率对实际汇率的偏离程度。在图 </w:t>
      </w:r>
      <w:r>
        <w:rPr>
          <w:color w:val="231F20"/>
          <w:spacing w:val="2"/>
          <w:sz w:val="21"/>
          <w:szCs w:val="21"/>
        </w:rPr>
        <w:t>7</w:t>
      </w:r>
      <w:r>
        <w:rPr>
          <w:color w:val="231F20"/>
          <w:spacing w:val="26"/>
          <w:sz w:val="21"/>
          <w:szCs w:val="21"/>
        </w:rPr>
        <w:t xml:space="preserve"> </w:t>
      </w:r>
      <w:r>
        <w:rPr>
          <w:rFonts w:ascii="方正书宋简体" w:hAnsi="方正书宋简体" w:eastAsia="方正书宋简体" w:cs="方正书宋简体"/>
          <w:color w:val="231F20"/>
          <w:spacing w:val="2"/>
          <w:sz w:val="21"/>
          <w:szCs w:val="21"/>
        </w:rPr>
        <w:t>中，横坐标是</w:t>
      </w:r>
      <w:r>
        <w:rPr>
          <w:rFonts w:ascii="方正书宋简体" w:hAnsi="方正书宋简体" w:eastAsia="方正书宋简体" w:cs="方正书宋简体"/>
          <w:color w:val="231F20"/>
          <w:sz w:val="21"/>
          <w:szCs w:val="21"/>
        </w:rPr>
        <w:t xml:space="preserve">对应年份按 </w:t>
      </w:r>
      <w:r>
        <w:rPr>
          <w:color w:val="231F20"/>
          <w:sz w:val="21"/>
          <w:szCs w:val="21"/>
        </w:rPr>
        <w:t xml:space="preserve">2017 </w:t>
      </w:r>
      <w:r>
        <w:rPr>
          <w:rFonts w:ascii="方正书宋简体" w:hAnsi="方正书宋简体" w:eastAsia="方正书宋简体" w:cs="方正书宋简体"/>
          <w:color w:val="231F20"/>
          <w:sz w:val="21"/>
          <w:szCs w:val="21"/>
        </w:rPr>
        <w:t xml:space="preserve">年国际元计算的中国与美国人均 </w:t>
      </w:r>
      <w:r>
        <w:rPr>
          <w:color w:val="231F20"/>
          <w:sz w:val="21"/>
          <w:szCs w:val="21"/>
        </w:rPr>
        <w:t>GDP</w:t>
      </w:r>
      <w:r>
        <w:rPr>
          <w:color w:val="231F20"/>
          <w:spacing w:val="23"/>
          <w:w w:val="101"/>
          <w:sz w:val="21"/>
          <w:szCs w:val="21"/>
        </w:rPr>
        <w:t xml:space="preserve"> </w:t>
      </w:r>
      <w:r>
        <w:rPr>
          <w:rFonts w:ascii="方正书宋简体" w:hAnsi="方正书宋简体" w:eastAsia="方正书宋简体" w:cs="方正书宋简体"/>
          <w:color w:val="231F20"/>
          <w:sz w:val="21"/>
          <w:szCs w:val="21"/>
        </w:rPr>
        <w:t>的比值（</w:t>
      </w:r>
      <w:r>
        <w:rPr>
          <w:i/>
          <w:iCs/>
          <w:color w:val="231F20"/>
          <w:sz w:val="21"/>
          <w:szCs w:val="21"/>
        </w:rPr>
        <w:t>x</w:t>
      </w:r>
      <w:r>
        <w:rPr>
          <w:rFonts w:ascii="方正书宋简体" w:hAnsi="方正书宋简体" w:eastAsia="方正书宋简体" w:cs="方正书宋简体"/>
          <w:color w:val="231F20"/>
          <w:spacing w:val="-1"/>
          <w:sz w:val="21"/>
          <w:szCs w:val="21"/>
        </w:rPr>
        <w:t>），代表中国对美国的相对经济发</w:t>
      </w:r>
      <w:r>
        <w:rPr>
          <w:rFonts w:ascii="方正书宋简体" w:hAnsi="方正书宋简体" w:eastAsia="方正书宋简体" w:cs="方正书宋简体"/>
          <w:color w:val="231F20"/>
          <w:spacing w:val="-6"/>
          <w:sz w:val="21"/>
          <w:szCs w:val="21"/>
        </w:rPr>
        <w:t xml:space="preserve">展水平。图 </w:t>
      </w:r>
      <w:r>
        <w:rPr>
          <w:color w:val="231F20"/>
          <w:spacing w:val="-6"/>
          <w:sz w:val="21"/>
          <w:szCs w:val="21"/>
        </w:rPr>
        <w:t xml:space="preserve">7 </w:t>
      </w:r>
      <w:r>
        <w:rPr>
          <w:rFonts w:ascii="方正书宋简体" w:hAnsi="方正书宋简体" w:eastAsia="方正书宋简体" w:cs="方正书宋简体"/>
          <w:color w:val="231F20"/>
          <w:spacing w:val="-6"/>
          <w:sz w:val="21"/>
          <w:szCs w:val="21"/>
        </w:rPr>
        <w:t>数据是基于“宾大效应”（</w:t>
      </w:r>
      <w:r>
        <w:rPr>
          <w:color w:val="231F20"/>
          <w:spacing w:val="-6"/>
          <w:sz w:val="21"/>
          <w:szCs w:val="21"/>
        </w:rPr>
        <w:t>Penn Eﬀect</w:t>
      </w:r>
      <w:r>
        <w:rPr>
          <w:rFonts w:ascii="方正书宋简体" w:hAnsi="方正书宋简体" w:eastAsia="方正书宋简体" w:cs="方正书宋简体"/>
          <w:color w:val="231F20"/>
          <w:spacing w:val="-6"/>
          <w:sz w:val="21"/>
          <w:szCs w:val="21"/>
        </w:rPr>
        <w:t>）或“巴拉</w:t>
      </w:r>
      <w:r>
        <w:rPr>
          <w:rFonts w:ascii="方正书宋简体" w:hAnsi="方正书宋简体" w:eastAsia="方正书宋简体" w:cs="方正书宋简体"/>
          <w:color w:val="231F20"/>
          <w:spacing w:val="-7"/>
          <w:sz w:val="21"/>
          <w:szCs w:val="21"/>
        </w:rPr>
        <w:t>萨—萨缪尔森效应”（</w:t>
      </w:r>
      <w:r>
        <w:rPr>
          <w:color w:val="231F20"/>
          <w:spacing w:val="-7"/>
          <w:sz w:val="21"/>
          <w:szCs w:val="21"/>
        </w:rPr>
        <w:t>Balassa</w:t>
      </w:r>
      <w:r>
        <w:rPr>
          <w:color w:val="231F20"/>
          <w:spacing w:val="-7"/>
          <w:position w:val="-1"/>
          <w:sz w:val="21"/>
          <w:szCs w:val="21"/>
        </w:rPr>
        <w:t>-</w:t>
      </w:r>
      <w:r>
        <w:rPr>
          <w:color w:val="231F20"/>
          <w:spacing w:val="-7"/>
          <w:sz w:val="21"/>
          <w:szCs w:val="21"/>
        </w:rPr>
        <w:t>Samuelson</w:t>
      </w:r>
      <w:r>
        <w:rPr>
          <w:color w:val="231F20"/>
          <w:sz w:val="21"/>
          <w:szCs w:val="21"/>
        </w:rPr>
        <w:t xml:space="preserve"> Eﬀect</w:t>
      </w:r>
      <w:r>
        <w:rPr>
          <w:rFonts w:ascii="方正书宋简体" w:hAnsi="方正书宋简体" w:eastAsia="方正书宋简体" w:cs="方正书宋简体"/>
          <w:color w:val="231F20"/>
          <w:sz w:val="21"/>
          <w:szCs w:val="21"/>
        </w:rPr>
        <w:t>）得到的，两个比值高度正相关，这种关系意味着，随着中美实际人均收入比值的提高，人民</w:t>
      </w:r>
      <w:r>
        <w:rPr>
          <w:rFonts w:ascii="方正书宋简体" w:hAnsi="方正书宋简体" w:eastAsia="方正书宋简体" w:cs="方正书宋简体"/>
          <w:color w:val="231F20"/>
          <w:spacing w:val="-1"/>
          <w:sz w:val="21"/>
          <w:szCs w:val="21"/>
        </w:rPr>
        <w:t xml:space="preserve">币对美元的名义汇率将向 </w:t>
      </w:r>
      <w:r>
        <w:rPr>
          <w:color w:val="231F20"/>
          <w:spacing w:val="-1"/>
          <w:sz w:val="21"/>
          <w:szCs w:val="21"/>
        </w:rPr>
        <w:t xml:space="preserve">PPP </w:t>
      </w:r>
      <w:r>
        <w:rPr>
          <w:rFonts w:ascii="方正书宋简体" w:hAnsi="方正书宋简体" w:eastAsia="方正书宋简体" w:cs="方正书宋简体"/>
          <w:color w:val="231F20"/>
          <w:spacing w:val="-1"/>
          <w:sz w:val="21"/>
          <w:szCs w:val="21"/>
        </w:rPr>
        <w:t>折算因子或者说实际汇率收敛。</w:t>
      </w:r>
    </w:p>
    <w:p w14:paraId="2A916268">
      <w:pPr>
        <w:spacing w:line="2419" w:lineRule="exact"/>
        <w:ind w:firstLine="2697"/>
      </w:pPr>
      <w:r>
        <w:rPr>
          <w:position w:val="-48"/>
        </w:rPr>
        <w:drawing>
          <wp:inline distT="0" distB="0" distL="0" distR="0">
            <wp:extent cx="3477260" cy="1536065"/>
            <wp:effectExtent l="0" t="0" r="2540" b="13335"/>
            <wp:docPr id="424" name="IM 58"/>
            <wp:cNvGraphicFramePr/>
            <a:graphic xmlns:a="http://schemas.openxmlformats.org/drawingml/2006/main">
              <a:graphicData uri="http://schemas.openxmlformats.org/drawingml/2006/picture">
                <pic:pic xmlns:pic="http://schemas.openxmlformats.org/drawingml/2006/picture">
                  <pic:nvPicPr>
                    <pic:cNvPr id="424" name="IM 58"/>
                    <pic:cNvPicPr/>
                  </pic:nvPicPr>
                  <pic:blipFill>
                    <a:blip r:embed="rId102"/>
                    <a:stretch>
                      <a:fillRect/>
                    </a:stretch>
                  </pic:blipFill>
                  <pic:spPr>
                    <a:xfrm>
                      <a:off x="0" y="0"/>
                      <a:ext cx="3477666" cy="1536390"/>
                    </a:xfrm>
                    <a:prstGeom prst="rect">
                      <a:avLst/>
                    </a:prstGeom>
                  </pic:spPr>
                </pic:pic>
              </a:graphicData>
            </a:graphic>
          </wp:inline>
        </w:drawing>
      </w:r>
    </w:p>
    <w:p w14:paraId="16889A6A">
      <w:pPr>
        <w:bidi w:val="0"/>
        <w:jc w:val="center"/>
        <w:rPr>
          <w:rFonts w:ascii="黑体" w:hAnsi="黑体" w:eastAsia="黑体" w:cs="黑体"/>
          <w:sz w:val="20"/>
          <w:szCs w:val="20"/>
        </w:rPr>
      </w:pPr>
      <w:r>
        <w:rPr>
          <w:rFonts w:ascii="黑体" w:hAnsi="黑体" w:eastAsia="黑体" w:cs="黑体"/>
          <w:color w:val="030303"/>
          <w:spacing w:val="-1"/>
          <w:sz w:val="20"/>
          <w:szCs w:val="20"/>
        </w:rPr>
        <w:t>图</w:t>
      </w:r>
      <w:r>
        <w:rPr>
          <w:rFonts w:ascii="黑体" w:hAnsi="黑体" w:eastAsia="黑体" w:cs="黑体"/>
          <w:color w:val="030303"/>
          <w:spacing w:val="-42"/>
          <w:sz w:val="20"/>
          <w:szCs w:val="20"/>
        </w:rPr>
        <w:t xml:space="preserve"> </w:t>
      </w:r>
      <w:r>
        <w:rPr>
          <w:rFonts w:ascii="黑体" w:hAnsi="黑体" w:eastAsia="黑体" w:cs="黑体"/>
          <w:color w:val="030303"/>
          <w:spacing w:val="-1"/>
          <w:sz w:val="20"/>
          <w:szCs w:val="20"/>
        </w:rPr>
        <w:t>7  人民币对美元汇率折算值与中美相对经济发展水平的关系</w:t>
      </w:r>
    </w:p>
    <w:p w14:paraId="3570E0E5">
      <w:pPr>
        <w:pStyle w:val="6"/>
        <w:spacing w:before="111" w:line="296" w:lineRule="auto"/>
        <w:ind w:left="874" w:firstLine="422"/>
        <w:jc w:val="both"/>
        <w:rPr>
          <w:rFonts w:ascii="方正书宋简体" w:hAnsi="方正书宋简体" w:eastAsia="方正书宋简体" w:cs="方正书宋简体"/>
          <w:color w:val="231F20"/>
          <w:spacing w:val="-2"/>
          <w:sz w:val="21"/>
          <w:szCs w:val="21"/>
        </w:rPr>
      </w:pPr>
      <w:r>
        <w:rPr>
          <w:rFonts w:ascii="方正书宋简体" w:hAnsi="方正书宋简体" w:eastAsia="方正书宋简体" w:cs="方正书宋简体"/>
          <w:color w:val="231F20"/>
          <w:spacing w:val="3"/>
          <w:sz w:val="21"/>
          <w:szCs w:val="21"/>
        </w:rPr>
        <w:t>上面给出的人民币名义汇率不断向实际汇率（</w:t>
      </w:r>
      <w:r>
        <w:rPr>
          <w:color w:val="231F20"/>
          <w:sz w:val="21"/>
          <w:szCs w:val="21"/>
        </w:rPr>
        <w:t>PPP</w:t>
      </w:r>
      <w:r>
        <w:rPr>
          <w:color w:val="231F20"/>
          <w:spacing w:val="3"/>
          <w:sz w:val="21"/>
          <w:szCs w:val="21"/>
        </w:rPr>
        <w:t xml:space="preserve"> </w:t>
      </w:r>
      <w:r>
        <w:rPr>
          <w:rFonts w:ascii="方正书宋简体" w:hAnsi="方正书宋简体" w:eastAsia="方正书宋简体" w:cs="方正书宋简体"/>
          <w:color w:val="231F20"/>
          <w:spacing w:val="2"/>
          <w:sz w:val="21"/>
          <w:szCs w:val="21"/>
        </w:rPr>
        <w:t>转换因子）收敛的判断，既有大量国际经济</w:t>
      </w:r>
      <w:r>
        <w:rPr>
          <w:rFonts w:ascii="方正书宋简体" w:hAnsi="方正书宋简体" w:eastAsia="方正书宋简体" w:cs="方正书宋简体"/>
          <w:color w:val="231F20"/>
          <w:sz w:val="21"/>
          <w:szCs w:val="21"/>
        </w:rPr>
        <w:t xml:space="preserve">学文献的支持 </w:t>
      </w:r>
      <w:r>
        <w:rPr>
          <w:color w:val="231F20"/>
          <w:position w:val="9"/>
          <w:sz w:val="12"/>
          <w:szCs w:val="12"/>
        </w:rPr>
        <w:t xml:space="preserve">[33] </w:t>
      </w:r>
      <w:r>
        <w:rPr>
          <w:rFonts w:ascii="方正书宋简体" w:hAnsi="方正书宋简体" w:eastAsia="方正书宋简体" w:cs="方正书宋简体"/>
          <w:color w:val="231F20"/>
          <w:sz w:val="21"/>
          <w:szCs w:val="21"/>
        </w:rPr>
        <w:t>，也有中国等实际数据的支持。但不能据此断然说，随着中国对美国相对经济发展</w:t>
      </w:r>
      <w:r>
        <w:rPr>
          <w:rFonts w:ascii="方正书宋简体" w:hAnsi="方正书宋简体" w:eastAsia="方正书宋简体" w:cs="方正书宋简体"/>
          <w:color w:val="231F20"/>
          <w:spacing w:val="2"/>
          <w:sz w:val="21"/>
          <w:szCs w:val="21"/>
        </w:rPr>
        <w:t>水平的提高，人民币对美元必然趋势性升值。另外，即使是趋势性升值，也不</w:t>
      </w:r>
      <w:r>
        <w:rPr>
          <w:rFonts w:ascii="方正书宋简体" w:hAnsi="方正书宋简体" w:eastAsia="方正书宋简体" w:cs="方正书宋简体"/>
          <w:color w:val="231F20"/>
          <w:spacing w:val="1"/>
          <w:sz w:val="21"/>
          <w:szCs w:val="21"/>
        </w:rPr>
        <w:t xml:space="preserve">排除出现短期贬值的现象。要引出这样的判断，需要严格的前提条件，比如说 </w:t>
      </w:r>
      <w:r>
        <w:rPr>
          <w:color w:val="231F20"/>
          <w:sz w:val="21"/>
          <w:szCs w:val="21"/>
        </w:rPr>
        <w:t>PPP</w:t>
      </w:r>
      <w:r>
        <w:rPr>
          <w:color w:val="231F20"/>
          <w:spacing w:val="1"/>
          <w:sz w:val="21"/>
          <w:szCs w:val="21"/>
        </w:rPr>
        <w:t xml:space="preserve"> </w:t>
      </w:r>
      <w:r>
        <w:rPr>
          <w:rFonts w:ascii="方正书宋简体" w:hAnsi="方正书宋简体" w:eastAsia="方正书宋简体" w:cs="方正书宋简体"/>
          <w:color w:val="231F20"/>
          <w:spacing w:val="1"/>
          <w:sz w:val="21"/>
          <w:szCs w:val="21"/>
        </w:rPr>
        <w:t>转换因子不变。在中美物价同比变化</w:t>
      </w:r>
      <w:r>
        <w:rPr>
          <w:rFonts w:ascii="方正书宋简体" w:hAnsi="方正书宋简体" w:eastAsia="方正书宋简体" w:cs="方正书宋简体"/>
          <w:color w:val="231F20"/>
          <w:spacing w:val="2"/>
          <w:sz w:val="21"/>
          <w:szCs w:val="21"/>
        </w:rPr>
        <w:t>的情形下，理论上</w:t>
      </w:r>
      <w:r>
        <w:rPr>
          <w:rFonts w:ascii="方正书宋简体" w:hAnsi="方正书宋简体" w:eastAsia="方正书宋简体" w:cs="方正书宋简体"/>
          <w:color w:val="231F20"/>
          <w:spacing w:val="21"/>
          <w:sz w:val="21"/>
          <w:szCs w:val="21"/>
        </w:rPr>
        <w:t xml:space="preserve"> </w:t>
      </w:r>
      <w:r>
        <w:rPr>
          <w:color w:val="231F20"/>
          <w:sz w:val="21"/>
          <w:szCs w:val="21"/>
        </w:rPr>
        <w:t>PPP</w:t>
      </w:r>
      <w:r>
        <w:rPr>
          <w:rFonts w:ascii="方正书宋简体" w:hAnsi="方正书宋简体" w:eastAsia="方正书宋简体" w:cs="方正书宋简体"/>
          <w:color w:val="231F20"/>
          <w:spacing w:val="2"/>
          <w:sz w:val="21"/>
          <w:szCs w:val="21"/>
        </w:rPr>
        <w:t>转换因子是不变的。因此，如果中美两国物价变化同步，那么随着中美实际人均收入之比上升，美元对人民币的汇率高估将逐渐消失。在这样的情形</w:t>
      </w:r>
      <w:r>
        <w:rPr>
          <w:rFonts w:ascii="方正书宋简体" w:hAnsi="方正书宋简体" w:eastAsia="方正书宋简体" w:cs="方正书宋简体"/>
          <w:color w:val="231F20"/>
          <w:spacing w:val="1"/>
          <w:sz w:val="21"/>
          <w:szCs w:val="21"/>
        </w:rPr>
        <w:t>下，按现价美元计算的中</w:t>
      </w:r>
      <w:r>
        <w:rPr>
          <w:rFonts w:ascii="方正书宋简体" w:hAnsi="方正书宋简体" w:eastAsia="方正书宋简体" w:cs="方正书宋简体"/>
          <w:color w:val="231F20"/>
          <w:spacing w:val="-5"/>
          <w:sz w:val="21"/>
          <w:szCs w:val="21"/>
        </w:rPr>
        <w:t xml:space="preserve">美经济规模之比和人均收入之比将在图 </w:t>
      </w:r>
      <w:r>
        <w:rPr>
          <w:color w:val="231F20"/>
          <w:spacing w:val="-5"/>
          <w:sz w:val="21"/>
          <w:szCs w:val="21"/>
        </w:rPr>
        <w:t>6</w:t>
      </w:r>
      <w:r>
        <w:rPr>
          <w:color w:val="231F20"/>
          <w:spacing w:val="-6"/>
          <w:sz w:val="21"/>
          <w:szCs w:val="21"/>
        </w:rPr>
        <w:t xml:space="preserve"> </w:t>
      </w:r>
      <w:r>
        <w:rPr>
          <w:rFonts w:ascii="方正书宋简体" w:hAnsi="方正书宋简体" w:eastAsia="方正书宋简体" w:cs="方正书宋简体"/>
          <w:color w:val="231F20"/>
          <w:spacing w:val="-5"/>
          <w:sz w:val="21"/>
          <w:szCs w:val="21"/>
        </w:rPr>
        <w:t xml:space="preserve">预测结果基础上进一步提高。按图 </w:t>
      </w:r>
      <w:r>
        <w:rPr>
          <w:color w:val="231F20"/>
          <w:spacing w:val="-5"/>
          <w:sz w:val="21"/>
          <w:szCs w:val="21"/>
        </w:rPr>
        <w:t>7</w:t>
      </w:r>
      <w:r>
        <w:rPr>
          <w:color w:val="231F20"/>
          <w:spacing w:val="-15"/>
          <w:sz w:val="21"/>
          <w:szCs w:val="21"/>
        </w:rPr>
        <w:t xml:space="preserve"> </w:t>
      </w:r>
      <w:r>
        <w:rPr>
          <w:rFonts w:ascii="方正书宋简体" w:hAnsi="方正书宋简体" w:eastAsia="方正书宋简体" w:cs="方正书宋简体"/>
          <w:color w:val="231F20"/>
          <w:spacing w:val="-5"/>
          <w:sz w:val="21"/>
          <w:szCs w:val="21"/>
        </w:rPr>
        <w:t>计算，考虑独特优势后，</w:t>
      </w:r>
      <w:r>
        <w:rPr>
          <w:rFonts w:ascii="方正书宋简体" w:hAnsi="方正书宋简体" w:eastAsia="方正书宋简体" w:cs="方正书宋简体"/>
          <w:color w:val="231F20"/>
          <w:sz w:val="21"/>
          <w:szCs w:val="21"/>
        </w:rPr>
        <w:t xml:space="preserve"> </w:t>
      </w:r>
      <w:r>
        <w:rPr>
          <w:color w:val="231F20"/>
          <w:spacing w:val="2"/>
          <w:sz w:val="21"/>
          <w:szCs w:val="21"/>
        </w:rPr>
        <w:t xml:space="preserve">2049 </w:t>
      </w:r>
      <w:r>
        <w:rPr>
          <w:rFonts w:ascii="方正书宋简体" w:hAnsi="方正书宋简体" w:eastAsia="方正书宋简体" w:cs="方正书宋简体"/>
          <w:color w:val="231F20"/>
          <w:spacing w:val="2"/>
          <w:sz w:val="21"/>
          <w:szCs w:val="21"/>
        </w:rPr>
        <w:t xml:space="preserve">年人民币对美元汇率将比 </w:t>
      </w:r>
      <w:r>
        <w:rPr>
          <w:color w:val="231F20"/>
          <w:spacing w:val="2"/>
          <w:sz w:val="21"/>
          <w:szCs w:val="21"/>
        </w:rPr>
        <w:t xml:space="preserve">2019 </w:t>
      </w:r>
      <w:r>
        <w:rPr>
          <w:rFonts w:ascii="方正书宋简体" w:hAnsi="方正书宋简体" w:eastAsia="方正书宋简体" w:cs="方正书宋简体"/>
          <w:color w:val="231F20"/>
          <w:spacing w:val="2"/>
          <w:sz w:val="21"/>
          <w:szCs w:val="21"/>
        </w:rPr>
        <w:t xml:space="preserve">年升值 </w:t>
      </w:r>
      <w:r>
        <w:rPr>
          <w:color w:val="231F20"/>
          <w:spacing w:val="2"/>
          <w:sz w:val="21"/>
          <w:szCs w:val="21"/>
        </w:rPr>
        <w:t>44.8%</w:t>
      </w:r>
      <w:r>
        <w:rPr>
          <w:color w:val="231F20"/>
          <w:spacing w:val="-28"/>
          <w:sz w:val="21"/>
          <w:szCs w:val="21"/>
        </w:rPr>
        <w:t xml:space="preserve"> </w:t>
      </w:r>
      <w:r>
        <w:rPr>
          <w:rFonts w:ascii="方正书宋简体" w:hAnsi="方正书宋简体" w:eastAsia="方正书宋简体" w:cs="方正书宋简体"/>
          <w:color w:val="231F20"/>
          <w:spacing w:val="2"/>
          <w:sz w:val="21"/>
          <w:szCs w:val="21"/>
        </w:rPr>
        <w:t>。此时，按现价美元计算，</w:t>
      </w:r>
      <w:r>
        <w:rPr>
          <w:color w:val="231F20"/>
          <w:spacing w:val="2"/>
          <w:sz w:val="21"/>
          <w:szCs w:val="21"/>
        </w:rPr>
        <w:t xml:space="preserve">2049 </w:t>
      </w:r>
      <w:r>
        <w:rPr>
          <w:rFonts w:ascii="方正书宋简体" w:hAnsi="方正书宋简体" w:eastAsia="方正书宋简体" w:cs="方正书宋简体"/>
          <w:color w:val="231F20"/>
          <w:spacing w:val="2"/>
          <w:sz w:val="21"/>
          <w:szCs w:val="21"/>
        </w:rPr>
        <w:t>年中美</w:t>
      </w:r>
      <w:r>
        <w:rPr>
          <w:rFonts w:ascii="方正书宋简体" w:hAnsi="方正书宋简体" w:eastAsia="方正书宋简体" w:cs="方正书宋简体"/>
          <w:color w:val="231F20"/>
          <w:spacing w:val="1"/>
          <w:sz w:val="21"/>
          <w:szCs w:val="21"/>
        </w:rPr>
        <w:t>两国经济</w:t>
      </w:r>
      <w:r>
        <w:rPr>
          <w:rFonts w:ascii="方正书宋简体" w:hAnsi="方正书宋简体" w:eastAsia="方正书宋简体" w:cs="方正书宋简体"/>
          <w:color w:val="231F20"/>
          <w:spacing w:val="-1"/>
          <w:sz w:val="21"/>
          <w:szCs w:val="21"/>
        </w:rPr>
        <w:t xml:space="preserve">规模之比为 </w:t>
      </w:r>
      <w:r>
        <w:rPr>
          <w:color w:val="231F20"/>
          <w:spacing w:val="-1"/>
          <w:sz w:val="21"/>
          <w:szCs w:val="21"/>
        </w:rPr>
        <w:t>2.03</w:t>
      </w:r>
      <w:r>
        <w:rPr>
          <w:rFonts w:ascii="方正书宋简体" w:hAnsi="方正书宋简体" w:eastAsia="方正书宋简体" w:cs="方正书宋简体"/>
          <w:color w:val="231F20"/>
          <w:spacing w:val="-1"/>
          <w:sz w:val="21"/>
          <w:szCs w:val="21"/>
        </w:rPr>
        <w:t>，人均收入之比为</w:t>
      </w:r>
      <w:r>
        <w:rPr>
          <w:rFonts w:ascii="方正书宋简体" w:hAnsi="方正书宋简体" w:eastAsia="方正书宋简体" w:cs="方正书宋简体"/>
          <w:color w:val="231F20"/>
          <w:spacing w:val="24"/>
          <w:w w:val="101"/>
          <w:sz w:val="21"/>
          <w:szCs w:val="21"/>
        </w:rPr>
        <w:t xml:space="preserve"> </w:t>
      </w:r>
      <w:r>
        <w:rPr>
          <w:color w:val="231F20"/>
          <w:spacing w:val="-1"/>
          <w:sz w:val="21"/>
          <w:szCs w:val="21"/>
        </w:rPr>
        <w:t>57.5</w:t>
      </w:r>
      <w:r>
        <w:rPr>
          <w:color w:val="231F20"/>
          <w:spacing w:val="-2"/>
          <w:sz w:val="21"/>
          <w:szCs w:val="21"/>
        </w:rPr>
        <w:t>%</w:t>
      </w:r>
      <w:r>
        <w:rPr>
          <w:rFonts w:ascii="方正书宋简体" w:hAnsi="方正书宋简体" w:eastAsia="方正书宋简体" w:cs="方正书宋简体"/>
          <w:color w:val="231F20"/>
          <w:spacing w:val="-2"/>
          <w:sz w:val="21"/>
          <w:szCs w:val="21"/>
        </w:rPr>
        <w:t>。</w:t>
      </w:r>
    </w:p>
    <w:p w14:paraId="27274CC5">
      <w:pPr>
        <w:pStyle w:val="6"/>
        <w:spacing w:before="111" w:line="296" w:lineRule="auto"/>
        <w:ind w:left="874" w:firstLine="422"/>
        <w:jc w:val="both"/>
        <w:rPr>
          <w:rFonts w:ascii="微软雅黑" w:hAnsi="微软雅黑" w:eastAsia="微软雅黑" w:cs="微软雅黑"/>
          <w:sz w:val="21"/>
          <w:szCs w:val="21"/>
        </w:rPr>
      </w:pPr>
      <w:r>
        <w:rPr>
          <w:rFonts w:ascii="微软雅黑" w:hAnsi="微软雅黑" w:eastAsia="微软雅黑" w:cs="微软雅黑"/>
          <w:color w:val="231F20"/>
          <w:spacing w:val="1"/>
          <w:sz w:val="21"/>
          <w:szCs w:val="21"/>
        </w:rPr>
        <w:t>（四）一点评论</w:t>
      </w:r>
    </w:p>
    <w:p w14:paraId="36722E27">
      <w:pPr>
        <w:pStyle w:val="6"/>
        <w:spacing w:before="79" w:line="288" w:lineRule="auto"/>
        <w:ind w:left="1043" w:right="67" w:firstLine="425"/>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实际增长率与人民币对美元汇率是决定我国经济规模（按现价美元计算）何时超越美国以及发展水平以何种速度追赶美国的两个关键因素，其中提高实际增长率是根本所在。不考虑人民币对美元汇率变化，仅仅基于实际增长率对以现价美元计算的中美经济规模之</w:t>
      </w:r>
      <w:r>
        <w:rPr>
          <w:rFonts w:ascii="方正书宋简体" w:hAnsi="方正书宋简体" w:eastAsia="方正书宋简体" w:cs="方正书宋简体"/>
          <w:color w:val="231F20"/>
          <w:spacing w:val="1"/>
          <w:sz w:val="21"/>
          <w:szCs w:val="21"/>
        </w:rPr>
        <w:t>比和人均收入之比进行预测</w:t>
      </w:r>
      <w:r>
        <w:rPr>
          <w:rFonts w:ascii="方正书宋简体" w:hAnsi="方正书宋简体" w:eastAsia="方正书宋简体" w:cs="方正书宋简体"/>
          <w:color w:val="231F20"/>
          <w:spacing w:val="2"/>
          <w:sz w:val="21"/>
          <w:szCs w:val="21"/>
        </w:rPr>
        <w:t>会出现偏差。人民币对美元趋势性升值，可以使中国经济规模更早地超过美国，人均收入更快地追赶美国，另则反之。为了提高经济规模超越美国的速度和人均收入追赶美国的速度，我国必须把做大增长潜力作为工作重点。一是要改善人力资本。人口规模步入下降</w:t>
      </w:r>
      <w:r>
        <w:rPr>
          <w:rFonts w:ascii="方正书宋简体" w:hAnsi="方正书宋简体" w:eastAsia="方正书宋简体" w:cs="方正书宋简体"/>
          <w:color w:val="231F20"/>
          <w:spacing w:val="1"/>
          <w:sz w:val="21"/>
          <w:szCs w:val="21"/>
        </w:rPr>
        <w:t>通道后，我国应该从提高人力</w:t>
      </w:r>
      <w:r>
        <w:rPr>
          <w:rFonts w:ascii="方正书宋简体" w:hAnsi="方正书宋简体" w:eastAsia="方正书宋简体" w:cs="方正书宋简体"/>
          <w:color w:val="231F20"/>
          <w:spacing w:val="2"/>
          <w:sz w:val="21"/>
          <w:szCs w:val="21"/>
        </w:rPr>
        <w:t>资本这条渠道获得人口质量红利。二是要优化资本形成。在新发展理念指引下，应该将资本优先配置于对我国经济增长起更大作用的区域和产业。三是要推动系统创新。应该推进技术</w:t>
      </w:r>
      <w:r>
        <w:rPr>
          <w:rFonts w:ascii="方正书宋简体" w:hAnsi="方正书宋简体" w:eastAsia="方正书宋简体" w:cs="方正书宋简体"/>
          <w:color w:val="231F20"/>
          <w:spacing w:val="1"/>
          <w:sz w:val="21"/>
          <w:szCs w:val="21"/>
        </w:rPr>
        <w:t>、管理、组织</w:t>
      </w:r>
      <w:r>
        <w:rPr>
          <w:rFonts w:ascii="方正书宋简体" w:hAnsi="方正书宋简体" w:eastAsia="方正书宋简体" w:cs="方正书宋简体"/>
          <w:color w:val="231F20"/>
          <w:spacing w:val="2"/>
          <w:sz w:val="21"/>
          <w:szCs w:val="21"/>
        </w:rPr>
        <w:t>等创新和改善制度环境，通过提高效率做大经济增长潜力。四是要形成国内统一大市场。应该消除阻碍生产要素跨空间流动和消费需求跨空间实现的制度障碍和成本制</w:t>
      </w:r>
      <w:r>
        <w:rPr>
          <w:rFonts w:ascii="方正书宋简体" w:hAnsi="方正书宋简体" w:eastAsia="方正书宋简体" w:cs="方正书宋简体"/>
          <w:color w:val="231F20"/>
          <w:spacing w:val="1"/>
          <w:sz w:val="21"/>
          <w:szCs w:val="21"/>
        </w:rPr>
        <w:t>约。五是要形成互促双循环。</w:t>
      </w:r>
      <w:r>
        <w:rPr>
          <w:rFonts w:ascii="方正书宋简体" w:hAnsi="方正书宋简体" w:eastAsia="方正书宋简体" w:cs="方正书宋简体"/>
          <w:color w:val="231F20"/>
          <w:spacing w:val="2"/>
          <w:sz w:val="21"/>
          <w:szCs w:val="21"/>
        </w:rPr>
        <w:t>要积极应对外循环中不确定和不稳定因素，扩大经济发展空间，提升增长潜力。六是要充分挖掘两</w:t>
      </w:r>
      <w:r>
        <w:rPr>
          <w:rFonts w:ascii="方正书宋简体" w:hAnsi="方正书宋简体" w:eastAsia="方正书宋简体" w:cs="方正书宋简体"/>
          <w:color w:val="231F20"/>
          <w:spacing w:val="3"/>
          <w:sz w:val="21"/>
          <w:szCs w:val="21"/>
        </w:rPr>
        <w:t>大独特优势。应该把市场与政府“两只手”更好地结合起来。</w:t>
      </w:r>
      <w:r>
        <w:rPr>
          <w:color w:val="231F20"/>
          <w:spacing w:val="3"/>
          <w:sz w:val="21"/>
          <w:szCs w:val="21"/>
        </w:rPr>
        <w:t xml:space="preserve">2022 </w:t>
      </w:r>
      <w:r>
        <w:rPr>
          <w:rFonts w:ascii="方正书宋简体" w:hAnsi="方正书宋简体" w:eastAsia="方正书宋简体" w:cs="方正书宋简体"/>
          <w:color w:val="231F20"/>
          <w:spacing w:val="3"/>
          <w:sz w:val="21"/>
          <w:szCs w:val="21"/>
        </w:rPr>
        <w:t xml:space="preserve">年和 </w:t>
      </w:r>
      <w:r>
        <w:rPr>
          <w:color w:val="231F20"/>
          <w:spacing w:val="3"/>
          <w:sz w:val="21"/>
          <w:szCs w:val="21"/>
        </w:rPr>
        <w:t xml:space="preserve">2023 </w:t>
      </w:r>
      <w:r>
        <w:rPr>
          <w:rFonts w:ascii="方正书宋简体" w:hAnsi="方正书宋简体" w:eastAsia="方正书宋简体" w:cs="方正书宋简体"/>
          <w:color w:val="231F20"/>
          <w:spacing w:val="3"/>
          <w:sz w:val="21"/>
          <w:szCs w:val="21"/>
        </w:rPr>
        <w:t>年我国以现价美元计</w:t>
      </w:r>
      <w:r>
        <w:rPr>
          <w:rFonts w:ascii="方正书宋简体" w:hAnsi="方正书宋简体" w:eastAsia="方正书宋简体" w:cs="方正书宋简体"/>
          <w:color w:val="231F20"/>
          <w:spacing w:val="2"/>
          <w:sz w:val="21"/>
          <w:szCs w:val="21"/>
        </w:rPr>
        <w:t>算的经济规模相对萎缩、发展水平相对滞后虽然只是短期现象，但引发了中国经济“悲观论”。从</w:t>
      </w:r>
      <w:r>
        <w:rPr>
          <w:rFonts w:ascii="方正书宋简体" w:hAnsi="方正书宋简体" w:eastAsia="方正书宋简体" w:cs="方正书宋简体"/>
          <w:color w:val="231F20"/>
          <w:spacing w:val="-1"/>
          <w:sz w:val="21"/>
          <w:szCs w:val="21"/>
        </w:rPr>
        <w:t>长期看，我国经济的实际增长率将向潜在增长率回归，应对中国经济持“光明论”观点。</w:t>
      </w:r>
    </w:p>
    <w:p w14:paraId="058CA47A">
      <w:pPr>
        <w:spacing w:line="294" w:lineRule="auto"/>
        <w:ind w:left="1045" w:right="73" w:firstLine="429"/>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总之，尽管人民币对美元汇率受短期因素影响而具有波动性，但长期变化趋势由</w:t>
      </w:r>
      <w:r>
        <w:rPr>
          <w:rFonts w:ascii="方正书宋简体" w:hAnsi="方正书宋简体" w:eastAsia="方正书宋简体" w:cs="方正书宋简体"/>
          <w:color w:val="231F20"/>
          <w:spacing w:val="1"/>
          <w:sz w:val="21"/>
          <w:szCs w:val="21"/>
        </w:rPr>
        <w:t>中美经济相对</w:t>
      </w:r>
      <w:r>
        <w:rPr>
          <w:rFonts w:ascii="方正书宋简体" w:hAnsi="方正书宋简体" w:eastAsia="方正书宋简体" w:cs="方正书宋简体"/>
          <w:color w:val="231F20"/>
          <w:spacing w:val="2"/>
          <w:sz w:val="21"/>
          <w:szCs w:val="21"/>
        </w:rPr>
        <w:t>发展水平决定。因此，对以现价美元计算的中美经济规模之比和人均收入之比的短暂回落不必过于</w:t>
      </w:r>
      <w:r>
        <w:rPr>
          <w:rFonts w:ascii="方正书宋简体" w:hAnsi="方正书宋简体" w:eastAsia="方正书宋简体" w:cs="方正书宋简体"/>
          <w:color w:val="231F20"/>
          <w:spacing w:val="-1"/>
          <w:sz w:val="21"/>
          <w:szCs w:val="21"/>
        </w:rPr>
        <w:t>介怀，这两个比值将向由两国增长潜力决定的趋势</w:t>
      </w:r>
      <w:r>
        <w:rPr>
          <w:rFonts w:ascii="方正书宋简体" w:hAnsi="方正书宋简体" w:eastAsia="方正书宋简体" w:cs="方正书宋简体"/>
          <w:color w:val="231F20"/>
          <w:spacing w:val="-2"/>
          <w:sz w:val="21"/>
          <w:szCs w:val="21"/>
        </w:rPr>
        <w:t>回归。</w:t>
      </w:r>
    </w:p>
    <w:p w14:paraId="0852F5F7">
      <w:pPr>
        <w:spacing w:before="134" w:line="204" w:lineRule="auto"/>
        <w:ind w:left="1466"/>
        <w:outlineLvl w:val="1"/>
        <w:rPr>
          <w:rFonts w:ascii="微软雅黑" w:hAnsi="微软雅黑" w:eastAsia="微软雅黑" w:cs="微软雅黑"/>
          <w:sz w:val="28"/>
          <w:szCs w:val="28"/>
        </w:rPr>
      </w:pPr>
      <w:bookmarkStart w:id="685" w:name="_Toc1480486303"/>
      <w:bookmarkStart w:id="686" w:name="_Toc6531"/>
      <w:bookmarkStart w:id="687" w:name="_Toc1074420269"/>
      <w:bookmarkStart w:id="688" w:name="_Toc399173797"/>
      <w:bookmarkStart w:id="689" w:name="_Toc795899442"/>
      <w:bookmarkStart w:id="690" w:name="_Toc2117277913"/>
      <w:r>
        <w:rPr>
          <w:rFonts w:ascii="微软雅黑" w:hAnsi="微软雅黑" w:eastAsia="微软雅黑" w:cs="微软雅黑"/>
          <w:color w:val="231F20"/>
          <w:spacing w:val="-4"/>
          <w:sz w:val="28"/>
          <w:szCs w:val="28"/>
        </w:rPr>
        <w:t>六、结论</w:t>
      </w:r>
      <w:bookmarkEnd w:id="685"/>
      <w:bookmarkEnd w:id="686"/>
      <w:bookmarkEnd w:id="687"/>
      <w:bookmarkEnd w:id="688"/>
      <w:bookmarkEnd w:id="689"/>
      <w:bookmarkEnd w:id="690"/>
    </w:p>
    <w:p w14:paraId="3619F385">
      <w:pPr>
        <w:spacing w:before="138" w:line="288" w:lineRule="auto"/>
        <w:ind w:left="1044" w:right="64" w:firstLine="420"/>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人民币对美元贬值和美国通货膨胀导致中美两国经济规模之比和人均收入之比近年出现拐头向下的异动，但这只是对长期上升趋势的一种短暂偏离，中国未来能否实现对经济规模的超越和发展水平的追赶，从根本上说取决于能否做大我国增长潜力。中国经济“悲观论”没有充分</w:t>
      </w:r>
      <w:r>
        <w:rPr>
          <w:rFonts w:ascii="方正书宋简体" w:hAnsi="方正书宋简体" w:eastAsia="方正书宋简体" w:cs="方正书宋简体"/>
          <w:color w:val="231F20"/>
          <w:spacing w:val="1"/>
          <w:sz w:val="21"/>
          <w:szCs w:val="21"/>
        </w:rPr>
        <w:t>依据，从长</w:t>
      </w:r>
      <w:r>
        <w:rPr>
          <w:rFonts w:ascii="方正书宋简体" w:hAnsi="方正书宋简体" w:eastAsia="方正书宋简体" w:cs="方正书宋简体"/>
          <w:color w:val="231F20"/>
          <w:spacing w:val="2"/>
          <w:sz w:val="21"/>
          <w:szCs w:val="21"/>
        </w:rPr>
        <w:t>期来看对中国经济应持“光明论”观点。但是，这种偏离以及与之相关的“悲观论”令美国政治人物颇感欣喜，美国甚至利用通货膨胀和美元升值等手段通过压低这两个比例，打压中国对自身发展</w:t>
      </w:r>
      <w:r>
        <w:rPr>
          <w:rFonts w:ascii="方正书宋简体" w:hAnsi="方正书宋简体" w:eastAsia="方正书宋简体" w:cs="方正书宋简体"/>
          <w:color w:val="231F20"/>
          <w:spacing w:val="-1"/>
          <w:sz w:val="21"/>
          <w:szCs w:val="21"/>
        </w:rPr>
        <w:t>的信心和世界对中国发展的信心。针对前文引出的问题，评论如下。</w:t>
      </w:r>
    </w:p>
    <w:p w14:paraId="164F1362">
      <w:pPr>
        <w:pStyle w:val="6"/>
        <w:spacing w:before="9" w:line="289" w:lineRule="auto"/>
        <w:ind w:left="1043" w:firstLine="437"/>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问题一：美国在国内通货膨胀情形下能否长期维持美元升值的格局？</w:t>
      </w:r>
      <w:r>
        <w:rPr>
          <w:rFonts w:ascii="方正书宋简体" w:hAnsi="方正书宋简体" w:eastAsia="方正书宋简体" w:cs="方正书宋简体"/>
          <w:color w:val="231F20"/>
          <w:spacing w:val="1"/>
          <w:sz w:val="21"/>
          <w:szCs w:val="21"/>
        </w:rPr>
        <w:t xml:space="preserve"> </w:t>
      </w:r>
      <w:r>
        <w:rPr>
          <w:color w:val="231F20"/>
          <w:spacing w:val="1"/>
          <w:sz w:val="21"/>
          <w:szCs w:val="21"/>
        </w:rPr>
        <w:t xml:space="preserve">2022 </w:t>
      </w:r>
      <w:r>
        <w:rPr>
          <w:rFonts w:ascii="方正书宋简体" w:hAnsi="方正书宋简体" w:eastAsia="方正书宋简体" w:cs="方正书宋简体"/>
          <w:color w:val="231F20"/>
          <w:spacing w:val="1"/>
          <w:sz w:val="21"/>
          <w:szCs w:val="21"/>
        </w:rPr>
        <w:t xml:space="preserve">年和 </w:t>
      </w:r>
      <w:r>
        <w:rPr>
          <w:color w:val="231F20"/>
          <w:spacing w:val="1"/>
          <w:sz w:val="21"/>
          <w:szCs w:val="21"/>
        </w:rPr>
        <w:t xml:space="preserve">2023 </w:t>
      </w:r>
      <w:r>
        <w:rPr>
          <w:rFonts w:ascii="方正书宋简体" w:hAnsi="方正书宋简体" w:eastAsia="方正书宋简体" w:cs="方正书宋简体"/>
          <w:color w:val="231F20"/>
          <w:spacing w:val="1"/>
          <w:sz w:val="21"/>
          <w:szCs w:val="21"/>
        </w:rPr>
        <w:t>年在美国</w:t>
      </w:r>
      <w:r>
        <w:rPr>
          <w:rFonts w:ascii="方正书宋简体" w:hAnsi="方正书宋简体" w:eastAsia="方正书宋简体" w:cs="方正书宋简体"/>
          <w:color w:val="231F20"/>
          <w:spacing w:val="2"/>
          <w:sz w:val="21"/>
          <w:szCs w:val="21"/>
        </w:rPr>
        <w:t>存在严重通胀的情形下人民币对美元出现较大幅度的贬值，导致以现价美元计算的中美经济规模之比和人均收入之比在上升途中出现了“反转”现象。据此，一些人</w:t>
      </w:r>
      <w:r>
        <w:rPr>
          <w:rFonts w:ascii="方正书宋简体" w:hAnsi="方正书宋简体" w:eastAsia="方正书宋简体" w:cs="方正书宋简体"/>
          <w:color w:val="231F20"/>
          <w:spacing w:val="1"/>
          <w:sz w:val="21"/>
          <w:szCs w:val="21"/>
        </w:rPr>
        <w:t>看衰中国经济发展前景。在中国</w:t>
      </w:r>
      <w:r>
        <w:rPr>
          <w:rFonts w:ascii="方正书宋简体" w:hAnsi="方正书宋简体" w:eastAsia="方正书宋简体" w:cs="方正书宋简体"/>
          <w:color w:val="231F20"/>
          <w:spacing w:val="2"/>
          <w:sz w:val="21"/>
          <w:szCs w:val="21"/>
        </w:rPr>
        <w:t>深度融入国际经济体系之后，人民币对美元的汇率与美元指数存在强关联</w:t>
      </w:r>
      <w:r>
        <w:rPr>
          <w:rFonts w:ascii="方正书宋简体" w:hAnsi="方正书宋简体" w:eastAsia="方正书宋简体" w:cs="方正书宋简体"/>
          <w:color w:val="231F20"/>
          <w:spacing w:val="1"/>
          <w:sz w:val="21"/>
          <w:szCs w:val="21"/>
        </w:rPr>
        <w:t>性。在这种情形下，美国</w:t>
      </w:r>
      <w:r>
        <w:rPr>
          <w:rFonts w:ascii="方正书宋简体" w:hAnsi="方正书宋简体" w:eastAsia="方正书宋简体" w:cs="方正书宋简体"/>
          <w:color w:val="231F20"/>
          <w:spacing w:val="2"/>
          <w:sz w:val="21"/>
          <w:szCs w:val="21"/>
        </w:rPr>
        <w:t>利用美元国际货币地位针对中美经济规模之比等指标在短期里固然可以产生比较“好看”的数据，</w:t>
      </w:r>
      <w:r>
        <w:rPr>
          <w:rFonts w:ascii="方正书宋简体" w:hAnsi="方正书宋简体" w:eastAsia="方正书宋简体" w:cs="方正书宋简体"/>
          <w:color w:val="231F20"/>
          <w:spacing w:val="1"/>
          <w:sz w:val="21"/>
          <w:szCs w:val="21"/>
        </w:rPr>
        <w:t xml:space="preserve">但是注定无法持久。在一般意义上，美元垄断是新帝国主义的一个主要特征 </w:t>
      </w:r>
      <w:r>
        <w:rPr>
          <w:color w:val="231F20"/>
          <w:spacing w:val="1"/>
          <w:position w:val="9"/>
          <w:sz w:val="12"/>
          <w:szCs w:val="12"/>
        </w:rPr>
        <w:t>[34]</w:t>
      </w:r>
      <w:r>
        <w:rPr>
          <w:rFonts w:ascii="方正书宋简体" w:hAnsi="方正书宋简体" w:eastAsia="方正书宋简体" w:cs="方正书宋简体"/>
          <w:color w:val="231F20"/>
          <w:spacing w:val="1"/>
          <w:sz w:val="21"/>
          <w:szCs w:val="21"/>
        </w:rPr>
        <w:t>，但是，美元指数既</w:t>
      </w:r>
      <w:r>
        <w:rPr>
          <w:rFonts w:ascii="方正书宋简体" w:hAnsi="方正书宋简体" w:eastAsia="方正书宋简体" w:cs="方正书宋简体"/>
          <w:color w:val="231F20"/>
          <w:spacing w:val="-1"/>
          <w:sz w:val="21"/>
          <w:szCs w:val="21"/>
        </w:rPr>
        <w:t>不可能永远上升，也不可能永远下降，更不可能永远不变，而是具有周期性（牙买加体系建</w:t>
      </w:r>
      <w:r>
        <w:rPr>
          <w:rFonts w:ascii="方正书宋简体" w:hAnsi="方正书宋简体" w:eastAsia="方正书宋简体" w:cs="方正书宋简体"/>
          <w:color w:val="231F20"/>
          <w:spacing w:val="-2"/>
          <w:sz w:val="21"/>
          <w:szCs w:val="21"/>
        </w:rPr>
        <w:t>立以来，</w:t>
      </w:r>
      <w:r>
        <w:rPr>
          <w:rFonts w:ascii="方正书宋简体" w:hAnsi="方正书宋简体" w:eastAsia="方正书宋简体" w:cs="方正书宋简体"/>
          <w:color w:val="231F20"/>
          <w:spacing w:val="2"/>
          <w:sz w:val="21"/>
          <w:szCs w:val="21"/>
        </w:rPr>
        <w:t>美元指数现在处于第三波上升周期）波动特征。美国利用这种特征并且一定程度上制造美元指数周期性波动，在国际货币市场上大规模吐纳美元以便搜括其他国家和人民的财富，或者针对主要战略竞争对手制造并扩散至全球对美国有利的信号。重要的是，美国利用美元国际地</w:t>
      </w:r>
      <w:r>
        <w:rPr>
          <w:rFonts w:ascii="方正书宋简体" w:hAnsi="方正书宋简体" w:eastAsia="方正书宋简体" w:cs="方正书宋简体"/>
          <w:color w:val="231F20"/>
          <w:spacing w:val="1"/>
          <w:sz w:val="21"/>
          <w:szCs w:val="21"/>
        </w:rPr>
        <w:t>位进行操作的空间</w:t>
      </w:r>
      <w:r>
        <w:rPr>
          <w:rFonts w:ascii="方正书宋简体" w:hAnsi="方正书宋简体" w:eastAsia="方正书宋简体" w:cs="方正书宋简体"/>
          <w:color w:val="231F20"/>
          <w:spacing w:val="2"/>
          <w:sz w:val="21"/>
          <w:szCs w:val="21"/>
        </w:rPr>
        <w:t>和效果与其他竞争性货币力量的大小成反比。美元取得垄断性国际货币地位后，美国总是采用一切办法打压其他竞争性货币的生存空间，这是欧元走衰的原因之一。欧盟没有统一的财政和统一的军</w:t>
      </w:r>
      <w:r>
        <w:rPr>
          <w:rFonts w:ascii="方正书宋简体" w:hAnsi="方正书宋简体" w:eastAsia="方正书宋简体" w:cs="方正书宋简体"/>
          <w:color w:val="231F20"/>
          <w:spacing w:val="1"/>
          <w:sz w:val="21"/>
          <w:szCs w:val="21"/>
        </w:rPr>
        <w:t>队，在综合实力上对美国很难形成实质性挑战。美国在把中国当作最大战略竞争对手后，对人民币</w:t>
      </w:r>
      <w:r>
        <w:rPr>
          <w:rFonts w:ascii="方正书宋简体" w:hAnsi="方正书宋简体" w:eastAsia="方正书宋简体" w:cs="方正书宋简体"/>
          <w:color w:val="231F20"/>
          <w:spacing w:val="2"/>
          <w:sz w:val="21"/>
          <w:szCs w:val="21"/>
        </w:rPr>
        <w:t>国际地位的战略性打压在它力不从心之前是不可能放松的。在</w:t>
      </w:r>
      <w:r>
        <w:rPr>
          <w:rFonts w:ascii="方正书宋简体" w:hAnsi="方正书宋简体" w:eastAsia="方正书宋简体" w:cs="方正书宋简体"/>
          <w:color w:val="231F20"/>
          <w:spacing w:val="1"/>
          <w:sz w:val="21"/>
          <w:szCs w:val="21"/>
        </w:rPr>
        <w:t>这种背景下，人民币在国际储备货币</w:t>
      </w:r>
      <w:r>
        <w:rPr>
          <w:rFonts w:ascii="方正书宋简体" w:hAnsi="方正书宋简体" w:eastAsia="方正书宋简体" w:cs="方正书宋简体"/>
          <w:color w:val="231F20"/>
          <w:spacing w:val="2"/>
          <w:sz w:val="21"/>
          <w:szCs w:val="21"/>
        </w:rPr>
        <w:t>和国际交易货币中增加自己的份额，总是必然面对来自美国和美元的阻力。美国的做法与世界历史上霸权国维持主权货币国际地位的做法本质上并无二致。历史地看，与实现综合实力超</w:t>
      </w:r>
      <w:r>
        <w:rPr>
          <w:rFonts w:ascii="方正书宋简体" w:hAnsi="方正书宋简体" w:eastAsia="方正书宋简体" w:cs="方正书宋简体"/>
          <w:color w:val="231F20"/>
          <w:spacing w:val="1"/>
          <w:sz w:val="21"/>
          <w:szCs w:val="21"/>
        </w:rPr>
        <w:t>越相比，崛</w:t>
      </w:r>
      <w:r>
        <w:rPr>
          <w:rFonts w:ascii="方正书宋简体" w:hAnsi="方正书宋简体" w:eastAsia="方正书宋简体" w:cs="方正书宋简体"/>
          <w:color w:val="231F20"/>
          <w:spacing w:val="2"/>
          <w:sz w:val="21"/>
          <w:szCs w:val="21"/>
        </w:rPr>
        <w:t>起国在国际货币地位上实现超越往往需要更长的时间。因此，提升人民币国际地位和增强人民币作为国际货币的实力，既要不断夯实我国包括经济实力和非经济实力在内的综合实力基础，又</w:t>
      </w:r>
      <w:r>
        <w:rPr>
          <w:rFonts w:ascii="方正书宋简体" w:hAnsi="方正书宋简体" w:eastAsia="方正书宋简体" w:cs="方正书宋简体"/>
          <w:color w:val="231F20"/>
          <w:spacing w:val="1"/>
          <w:sz w:val="21"/>
          <w:szCs w:val="21"/>
        </w:rPr>
        <w:t>要不失</w:t>
      </w:r>
      <w:r>
        <w:rPr>
          <w:rFonts w:ascii="方正书宋简体" w:hAnsi="方正书宋简体" w:eastAsia="方正书宋简体" w:cs="方正书宋简体"/>
          <w:color w:val="231F20"/>
          <w:sz w:val="21"/>
          <w:szCs w:val="21"/>
        </w:rPr>
        <w:t xml:space="preserve">时机顺应国际呼声，在去美元化方面做出积极稳慎的努力 </w:t>
      </w:r>
      <w:r>
        <w:rPr>
          <w:color w:val="231F20"/>
          <w:position w:val="9"/>
          <w:sz w:val="12"/>
          <w:szCs w:val="12"/>
        </w:rPr>
        <w:t>[35]</w:t>
      </w:r>
      <w:r>
        <w:rPr>
          <w:rFonts w:ascii="方正书宋简体" w:hAnsi="方正书宋简体" w:eastAsia="方正书宋简体" w:cs="方正书宋简体"/>
          <w:color w:val="231F20"/>
          <w:sz w:val="21"/>
          <w:szCs w:val="21"/>
        </w:rPr>
        <w:t>。</w:t>
      </w:r>
    </w:p>
    <w:p w14:paraId="0DE28816">
      <w:pPr>
        <w:pStyle w:val="6"/>
        <w:spacing w:before="16" w:line="286" w:lineRule="auto"/>
        <w:ind w:left="872" w:right="3" w:firstLine="438"/>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030303"/>
          <w:spacing w:val="2"/>
          <w:sz w:val="21"/>
          <w:szCs w:val="21"/>
        </w:rPr>
        <w:t>问题二：我国在新征程上主要应该从哪些方面入手推动经济增长？我国已经进入跨越</w:t>
      </w:r>
      <w:r>
        <w:rPr>
          <w:rFonts w:ascii="方正书宋简体" w:hAnsi="方正书宋简体" w:eastAsia="方正书宋简体" w:cs="方正书宋简体"/>
          <w:color w:val="030303"/>
          <w:spacing w:val="1"/>
          <w:sz w:val="21"/>
          <w:szCs w:val="21"/>
        </w:rPr>
        <w:t>“中等收</w:t>
      </w:r>
      <w:r>
        <w:rPr>
          <w:rFonts w:ascii="方正书宋简体" w:hAnsi="方正书宋简体" w:eastAsia="方正书宋简体" w:cs="方正书宋简体"/>
          <w:color w:val="030303"/>
          <w:spacing w:val="2"/>
          <w:sz w:val="21"/>
          <w:szCs w:val="21"/>
        </w:rPr>
        <w:t>入”的关键阶段，人均国民收入已经接近高收入国家门槛水平，相应地，我国经济发展进程已经从</w:t>
      </w:r>
      <w:r>
        <w:rPr>
          <w:rFonts w:ascii="方正书宋简体" w:hAnsi="方正书宋简体" w:eastAsia="方正书宋简体" w:cs="方正书宋简体"/>
          <w:color w:val="030303"/>
          <w:spacing w:val="-5"/>
          <w:sz w:val="21"/>
          <w:szCs w:val="21"/>
        </w:rPr>
        <w:t>原来的追赶型阶段转变为竞争型阶段。因此，必须切准国情</w:t>
      </w:r>
      <w:r>
        <w:rPr>
          <w:rFonts w:ascii="方正书宋简体" w:hAnsi="方正书宋简体" w:eastAsia="方正书宋简体" w:cs="方正书宋简体"/>
          <w:color w:val="030303"/>
          <w:spacing w:val="-6"/>
          <w:sz w:val="21"/>
          <w:szCs w:val="21"/>
        </w:rPr>
        <w:t>世情，对这个问题做出清晰和准确的回答。</w:t>
      </w:r>
      <w:r>
        <w:rPr>
          <w:rFonts w:ascii="方正书宋简体" w:hAnsi="方正书宋简体" w:eastAsia="方正书宋简体" w:cs="方正书宋简体"/>
          <w:color w:val="030303"/>
          <w:spacing w:val="2"/>
          <w:sz w:val="21"/>
          <w:szCs w:val="21"/>
        </w:rPr>
        <w:t>现在，我国经济增长面临前所未有的考验，霸权国家动用一切手段以先进技术为主战场阻遏我国发展，其基于先进技术的“再工业化”对我国的深度“工业化”形成高端打压；人口多、人均收</w:t>
      </w:r>
      <w:r>
        <w:rPr>
          <w:rFonts w:ascii="方正书宋简体" w:hAnsi="方正书宋简体" w:eastAsia="方正书宋简体" w:cs="方正书宋简体"/>
          <w:color w:val="030303"/>
          <w:spacing w:val="1"/>
          <w:sz w:val="21"/>
          <w:szCs w:val="21"/>
        </w:rPr>
        <w:t>入低</w:t>
      </w:r>
      <w:r>
        <w:rPr>
          <w:rFonts w:ascii="方正书宋简体" w:hAnsi="方正书宋简体" w:eastAsia="方正书宋简体" w:cs="方正书宋简体"/>
          <w:color w:val="030303"/>
          <w:sz w:val="21"/>
          <w:szCs w:val="21"/>
        </w:rPr>
        <w:t>的发展中大国采用一切办法吸引外资，利用产业转移机会等获得更好的发展</w:t>
      </w:r>
      <w:r>
        <w:rPr>
          <w:rFonts w:ascii="方正书宋简体" w:hAnsi="方正书宋简体" w:eastAsia="方正书宋简体" w:cs="方正书宋简体"/>
          <w:color w:val="030303"/>
          <w:spacing w:val="21"/>
          <w:w w:val="101"/>
          <w:sz w:val="21"/>
          <w:szCs w:val="21"/>
        </w:rPr>
        <w:t xml:space="preserve"> </w:t>
      </w:r>
      <w:r>
        <w:rPr>
          <w:color w:val="231F20"/>
          <w:position w:val="9"/>
          <w:sz w:val="12"/>
          <w:szCs w:val="12"/>
        </w:rPr>
        <w:t>[36]</w:t>
      </w:r>
      <w:r>
        <w:rPr>
          <w:color w:val="231F20"/>
          <w:spacing w:val="-6"/>
          <w:position w:val="9"/>
          <w:sz w:val="12"/>
          <w:szCs w:val="12"/>
        </w:rPr>
        <w:t xml:space="preserve"> </w:t>
      </w:r>
      <w:r>
        <w:rPr>
          <w:rFonts w:ascii="方正书宋简体" w:hAnsi="方正书宋简体" w:eastAsia="方正书宋简体" w:cs="方正书宋简体"/>
          <w:color w:val="030303"/>
          <w:sz w:val="21"/>
          <w:szCs w:val="21"/>
        </w:rPr>
        <w:t>。在这种</w:t>
      </w:r>
      <w:r>
        <w:rPr>
          <w:rFonts w:ascii="方正书宋简体" w:hAnsi="方正书宋简体" w:eastAsia="方正书宋简体" w:cs="方正书宋简体"/>
          <w:color w:val="030303"/>
          <w:spacing w:val="-1"/>
          <w:sz w:val="21"/>
          <w:szCs w:val="21"/>
        </w:rPr>
        <w:t>局面下，我</w:t>
      </w:r>
      <w:r>
        <w:rPr>
          <w:rFonts w:ascii="方正书宋简体" w:hAnsi="方正书宋简体" w:eastAsia="方正书宋简体" w:cs="方正书宋简体"/>
          <w:color w:val="030303"/>
          <w:spacing w:val="2"/>
          <w:sz w:val="21"/>
          <w:szCs w:val="21"/>
        </w:rPr>
        <w:t>国经济要想通过快速增长迈上新的大台阶，必须尽快打破技术和市场双重挤压。第一重挤压来自发达国家。发达国家以众多先进技术垄断地位支撑高收入。这里，垄断包含两层意思：一是独占先进技术，二是独占相关市场。独占相关市场的前提是独占先进技术，因此怎样在先进技术上打破发达国家的垄断是我国进一步发展的关键。突破发达国家先进技术挤压是一个很大挑战，必须采用新型举国体制，加快前沿技术和颠覆性技术突破，为加快发展新质生产力做活源头。第二重挤压来自发展中国家。由于存在发展阶段的差异，在生产受劳动成本制约的产品方面我国作为收入水平比较高的发展中国家正在丧失优势，国内一些产业因劳动成本较高而转移到了收入较低的国家。为了缓冲挤压，应该推出支持技术和产业国内区域转移的政策。另外，通过改善营商环境可以抵消一部分劳动成本上升的压力。由于这种挤压随我国与其他发展中国家收入差距变大而变大，突破第一重挤压</w:t>
      </w:r>
      <w:r>
        <w:rPr>
          <w:rFonts w:ascii="方正书宋简体" w:hAnsi="方正书宋简体" w:eastAsia="方正书宋简体" w:cs="方正书宋简体"/>
          <w:color w:val="030303"/>
          <w:spacing w:val="-1"/>
          <w:sz w:val="21"/>
          <w:szCs w:val="21"/>
        </w:rPr>
        <w:t>变得尤其重要，这是我国经济发展实现质的跃升和量的突破的必由之路。</w:t>
      </w:r>
    </w:p>
    <w:p w14:paraId="15B92592">
      <w:pPr>
        <w:pStyle w:val="6"/>
        <w:spacing w:before="12" w:line="287" w:lineRule="auto"/>
        <w:ind w:left="874" w:firstLine="437"/>
        <w:jc w:val="both"/>
        <w:rPr>
          <w:rFonts w:ascii="方正书宋简体" w:hAnsi="方正书宋简体" w:eastAsia="方正书宋简体" w:cs="方正书宋简体"/>
          <w:sz w:val="21"/>
          <w:szCs w:val="21"/>
        </w:rPr>
      </w:pPr>
      <w:r>
        <w:rPr>
          <w:rFonts w:ascii="方正书宋简体" w:hAnsi="方正书宋简体" w:eastAsia="方正书宋简体" w:cs="方正书宋简体"/>
          <w:color w:val="231F20"/>
          <w:spacing w:val="2"/>
          <w:sz w:val="21"/>
          <w:szCs w:val="21"/>
        </w:rPr>
        <w:t>问题三：高质量发展下经济增长能否支撑我国实现重大</w:t>
      </w:r>
      <w:r>
        <w:rPr>
          <w:rFonts w:ascii="方正书宋简体" w:hAnsi="方正书宋简体" w:eastAsia="方正书宋简体" w:cs="方正书宋简体"/>
          <w:color w:val="231F20"/>
          <w:spacing w:val="1"/>
          <w:sz w:val="21"/>
          <w:szCs w:val="21"/>
        </w:rPr>
        <w:t>战略目标？我国主动转变经济发展方式后，经济增长速度与以前相比确出现了一定幅度的下降。但是，在新冠疫情全球暴发之前的几年，</w:t>
      </w:r>
      <w:r>
        <w:rPr>
          <w:rFonts w:ascii="方正书宋简体" w:hAnsi="方正书宋简体" w:eastAsia="方正书宋简体" w:cs="方正书宋简体"/>
          <w:color w:val="231F20"/>
          <w:spacing w:val="-1"/>
          <w:sz w:val="21"/>
          <w:szCs w:val="21"/>
        </w:rPr>
        <w:t>我国依然实现了中高速增长，人均收入加速追赶发达大国的态势没有改变。新冠疫情全球暴</w:t>
      </w:r>
      <w:r>
        <w:rPr>
          <w:rFonts w:ascii="方正书宋简体" w:hAnsi="方正书宋简体" w:eastAsia="方正书宋简体" w:cs="方正书宋简体"/>
          <w:color w:val="231F20"/>
          <w:spacing w:val="-2"/>
          <w:sz w:val="21"/>
          <w:szCs w:val="21"/>
        </w:rPr>
        <w:t>发以来，</w:t>
      </w:r>
      <w:r>
        <w:rPr>
          <w:rFonts w:ascii="方正书宋简体" w:hAnsi="方正书宋简体" w:eastAsia="方正书宋简体" w:cs="方正书宋简体"/>
          <w:color w:val="231F20"/>
          <w:spacing w:val="2"/>
          <w:sz w:val="21"/>
          <w:szCs w:val="21"/>
        </w:rPr>
        <w:t>世界局势愈发动荡不安，基于以人民为中心的理念，我国采用了与其他国家不同的疫情治理方略，</w:t>
      </w:r>
      <w:r>
        <w:rPr>
          <w:rFonts w:ascii="方正书宋简体" w:hAnsi="方正书宋简体" w:eastAsia="方正书宋简体" w:cs="方正书宋简体"/>
          <w:color w:val="231F20"/>
          <w:sz w:val="21"/>
          <w:szCs w:val="21"/>
        </w:rPr>
        <w:t xml:space="preserve">但这也使我国的经济增长承压 </w:t>
      </w:r>
      <w:r>
        <w:rPr>
          <w:color w:val="231F20"/>
          <w:position w:val="9"/>
          <w:sz w:val="12"/>
          <w:szCs w:val="12"/>
        </w:rPr>
        <w:t>[37]</w:t>
      </w:r>
      <w:r>
        <w:rPr>
          <w:color w:val="231F20"/>
          <w:spacing w:val="7"/>
          <w:w w:val="101"/>
          <w:position w:val="9"/>
          <w:sz w:val="12"/>
          <w:szCs w:val="12"/>
        </w:rPr>
        <w:t xml:space="preserve"> </w:t>
      </w:r>
      <w:r>
        <w:rPr>
          <w:rFonts w:ascii="方正书宋简体" w:hAnsi="方正书宋简体" w:eastAsia="方正书宋简体" w:cs="方正书宋简体"/>
          <w:color w:val="231F20"/>
          <w:sz w:val="21"/>
          <w:szCs w:val="21"/>
        </w:rPr>
        <w:t>。不过，这种冲击的影响是递减的。在美国对华发动贸易战金融战</w:t>
      </w:r>
      <w:r>
        <w:rPr>
          <w:rFonts w:ascii="方正书宋简体" w:hAnsi="方正书宋简体" w:eastAsia="方正书宋简体" w:cs="方正书宋简体"/>
          <w:color w:val="231F20"/>
          <w:spacing w:val="2"/>
          <w:sz w:val="21"/>
          <w:szCs w:val="21"/>
        </w:rPr>
        <w:t>科技战的背景下，中国尽力维持和主动改善外循环，在内循环中积极主动推动自主创新，</w:t>
      </w:r>
      <w:r>
        <w:rPr>
          <w:rFonts w:ascii="方正书宋简体" w:hAnsi="方正书宋简体" w:eastAsia="方正书宋简体" w:cs="方正书宋简体"/>
          <w:color w:val="231F20"/>
          <w:spacing w:val="1"/>
          <w:sz w:val="21"/>
          <w:szCs w:val="21"/>
        </w:rPr>
        <w:t>在创新型</w:t>
      </w:r>
      <w:r>
        <w:rPr>
          <w:rFonts w:ascii="方正书宋简体" w:hAnsi="方正书宋简体" w:eastAsia="方正书宋简体" w:cs="方正书宋简体"/>
          <w:color w:val="231F20"/>
          <w:spacing w:val="2"/>
          <w:sz w:val="21"/>
          <w:szCs w:val="21"/>
        </w:rPr>
        <w:t>国家建设中持续发力，许多技术短板得到补齐，不少重要技术领域已走在全球前沿，成为新一轮技术革命的引领者之一。这些努力为中国未来经济稳健增长夯实了新的市场基础和动力基础。用长远眼光来看，至本世纪中叶中国不仅在经济规模上将稳居全球第一，而且在人均收入水平上将变成发</w:t>
      </w:r>
      <w:r>
        <w:rPr>
          <w:rFonts w:ascii="方正书宋简体" w:hAnsi="方正书宋简体" w:eastAsia="方正书宋简体" w:cs="方正书宋简体"/>
          <w:color w:val="231F20"/>
          <w:sz w:val="21"/>
          <w:szCs w:val="21"/>
        </w:rPr>
        <w:t>达国家，朝着既富又公的状态迈进</w:t>
      </w:r>
      <w:r>
        <w:rPr>
          <w:rFonts w:ascii="方正书宋简体" w:hAnsi="方正书宋简体" w:eastAsia="方正书宋简体" w:cs="方正书宋简体"/>
          <w:color w:val="231F20"/>
          <w:spacing w:val="22"/>
          <w:sz w:val="21"/>
          <w:szCs w:val="21"/>
        </w:rPr>
        <w:t xml:space="preserve"> </w:t>
      </w:r>
      <w:r>
        <w:rPr>
          <w:color w:val="231F20"/>
          <w:position w:val="9"/>
          <w:sz w:val="12"/>
          <w:szCs w:val="12"/>
        </w:rPr>
        <w:t>[38]</w:t>
      </w:r>
      <w:r>
        <w:rPr>
          <w:color w:val="231F20"/>
          <w:spacing w:val="-7"/>
          <w:position w:val="9"/>
          <w:sz w:val="12"/>
          <w:szCs w:val="12"/>
        </w:rPr>
        <w:t xml:space="preserve"> </w:t>
      </w:r>
      <w:r>
        <w:rPr>
          <w:rFonts w:ascii="方正书宋简体" w:hAnsi="方正书宋简体" w:eastAsia="方正书宋简体" w:cs="方正书宋简体"/>
          <w:color w:val="231F20"/>
          <w:sz w:val="21"/>
          <w:szCs w:val="21"/>
        </w:rPr>
        <w:t>。中国在转变</w:t>
      </w:r>
      <w:r>
        <w:rPr>
          <w:rFonts w:ascii="方正书宋简体" w:hAnsi="方正书宋简体" w:eastAsia="方正书宋简体" w:cs="方正书宋简体"/>
          <w:color w:val="231F20"/>
          <w:spacing w:val="-1"/>
          <w:sz w:val="21"/>
          <w:szCs w:val="21"/>
        </w:rPr>
        <w:t>发展模式过程中，</w:t>
      </w:r>
      <w:r>
        <w:rPr>
          <w:rFonts w:ascii="方正书宋简体" w:hAnsi="方正书宋简体" w:eastAsia="方正书宋简体" w:cs="方正书宋简体"/>
          <w:color w:val="231F20"/>
          <w:spacing w:val="-26"/>
          <w:sz w:val="21"/>
          <w:szCs w:val="21"/>
        </w:rPr>
        <w:t xml:space="preserve"> </w:t>
      </w:r>
      <w:r>
        <w:rPr>
          <w:rFonts w:ascii="方正书宋简体" w:hAnsi="方正书宋简体" w:eastAsia="方正书宋简体" w:cs="方正书宋简体"/>
          <w:color w:val="231F20"/>
          <w:spacing w:val="-1"/>
          <w:sz w:val="21"/>
          <w:szCs w:val="21"/>
        </w:rPr>
        <w:t>一段时期里必须承受经济增速</w:t>
      </w:r>
      <w:r>
        <w:rPr>
          <w:rFonts w:ascii="方正书宋简体" w:hAnsi="方正书宋简体" w:eastAsia="方正书宋简体" w:cs="方正书宋简体"/>
          <w:color w:val="231F20"/>
          <w:spacing w:val="-6"/>
          <w:sz w:val="21"/>
          <w:szCs w:val="21"/>
        </w:rPr>
        <w:t>放慢的代价。但是， 越过这个时期之后，我国将有更好的条件</w:t>
      </w:r>
      <w:r>
        <w:rPr>
          <w:rFonts w:ascii="方正书宋简体" w:hAnsi="方正书宋简体" w:eastAsia="方正书宋简体" w:cs="方正书宋简体"/>
          <w:color w:val="231F20"/>
          <w:spacing w:val="-7"/>
          <w:sz w:val="21"/>
          <w:szCs w:val="21"/>
        </w:rPr>
        <w:t>实现“更高质量、更有效率、更加公平、</w:t>
      </w:r>
      <w:r>
        <w:rPr>
          <w:rFonts w:ascii="方正书宋简体" w:hAnsi="方正书宋简体" w:eastAsia="方正书宋简体" w:cs="方正书宋简体"/>
          <w:color w:val="231F20"/>
          <w:spacing w:val="2"/>
          <w:sz w:val="21"/>
          <w:szCs w:val="21"/>
        </w:rPr>
        <w:t>更可持续、更为安全”的“五更式”发展。放弃新发展理念，短期内固然可以实现更快增长，但从</w:t>
      </w:r>
      <w:r>
        <w:rPr>
          <w:rFonts w:ascii="方正书宋简体" w:hAnsi="方正书宋简体" w:eastAsia="方正书宋简体" w:cs="方正书宋简体"/>
          <w:color w:val="231F20"/>
          <w:spacing w:val="-4"/>
          <w:sz w:val="21"/>
          <w:szCs w:val="21"/>
        </w:rPr>
        <w:t>长期看得不偿失。首先，</w:t>
      </w:r>
      <w:r>
        <w:rPr>
          <w:rFonts w:ascii="方正书宋简体" w:hAnsi="方正书宋简体" w:eastAsia="方正书宋简体" w:cs="方正书宋简体"/>
          <w:color w:val="231F20"/>
          <w:spacing w:val="23"/>
          <w:sz w:val="21"/>
          <w:szCs w:val="21"/>
        </w:rPr>
        <w:t xml:space="preserve">  </w:t>
      </w:r>
      <w:r>
        <w:rPr>
          <w:rFonts w:ascii="方正书宋简体" w:hAnsi="方正书宋简体" w:eastAsia="方正书宋简体" w:cs="方正书宋简体"/>
          <w:color w:val="231F20"/>
          <w:spacing w:val="-4"/>
          <w:sz w:val="21"/>
          <w:szCs w:val="21"/>
        </w:rPr>
        <w:t>与我国发展目标相违背。</w:t>
      </w:r>
      <w:r>
        <w:rPr>
          <w:rFonts w:ascii="方正书宋简体" w:hAnsi="方正书宋简体" w:eastAsia="方正书宋简体" w:cs="方正书宋简体"/>
          <w:color w:val="231F20"/>
          <w:spacing w:val="-5"/>
          <w:sz w:val="21"/>
          <w:szCs w:val="21"/>
        </w:rPr>
        <w:t>如果还像过去那样主要依靠要素投入支撑高增长，</w:t>
      </w:r>
      <w:r>
        <w:rPr>
          <w:rFonts w:ascii="方正书宋简体" w:hAnsi="方正书宋简体" w:eastAsia="方正书宋简体" w:cs="方正书宋简体"/>
          <w:color w:val="231F20"/>
          <w:spacing w:val="2"/>
          <w:sz w:val="21"/>
          <w:szCs w:val="21"/>
        </w:rPr>
        <w:t>必然由于难以为继而不能实现人民福利持续提高，一些与人民福利息息相关的进步将付诸阙如。其次，与我国所处发展阶段不相适应。在这个阶段，只有加强创新以提供不歇的增长动力</w:t>
      </w:r>
      <w:r>
        <w:rPr>
          <w:rFonts w:ascii="方正书宋简体" w:hAnsi="方正书宋简体" w:eastAsia="方正书宋简体" w:cs="方正书宋简体"/>
          <w:color w:val="231F20"/>
          <w:spacing w:val="1"/>
          <w:sz w:val="21"/>
          <w:szCs w:val="21"/>
        </w:rPr>
        <w:t>，才能持续</w:t>
      </w:r>
      <w:r>
        <w:rPr>
          <w:rFonts w:ascii="方正书宋简体" w:hAnsi="方正书宋简体" w:eastAsia="方正书宋简体" w:cs="方正书宋简体"/>
          <w:color w:val="231F20"/>
          <w:spacing w:val="2"/>
          <w:sz w:val="21"/>
          <w:szCs w:val="21"/>
        </w:rPr>
        <w:t>不断地发展。由于要素和投资的增加有限，创新主要来自可</w:t>
      </w:r>
      <w:r>
        <w:rPr>
          <w:rFonts w:ascii="方正书宋简体" w:hAnsi="方正书宋简体" w:eastAsia="方正书宋简体" w:cs="方正书宋简体"/>
          <w:color w:val="231F20"/>
          <w:spacing w:val="1"/>
          <w:sz w:val="21"/>
          <w:szCs w:val="21"/>
        </w:rPr>
        <w:t>以不断挖掘的人的能动性。最后，是回</w:t>
      </w:r>
      <w:r>
        <w:rPr>
          <w:rFonts w:ascii="方正书宋简体" w:hAnsi="方正书宋简体" w:eastAsia="方正书宋简体" w:cs="方正书宋简体"/>
          <w:color w:val="231F20"/>
          <w:spacing w:val="2"/>
          <w:sz w:val="21"/>
          <w:szCs w:val="21"/>
        </w:rPr>
        <w:t>答强起来时代之问的必然选择。新发展理念为夯实强起来的经济基础提供了根本遵循。</w:t>
      </w:r>
      <w:r>
        <w:rPr>
          <w:rFonts w:ascii="方正书宋简体" w:hAnsi="方正书宋简体" w:eastAsia="方正书宋简体" w:cs="方正书宋简体"/>
          <w:color w:val="231F20"/>
          <w:spacing w:val="1"/>
          <w:sz w:val="21"/>
          <w:szCs w:val="21"/>
        </w:rPr>
        <w:t>除上面提到</w:t>
      </w:r>
      <w:r>
        <w:rPr>
          <w:rFonts w:ascii="方正书宋简体" w:hAnsi="方正书宋简体" w:eastAsia="方正书宋简体" w:cs="方正书宋简体"/>
          <w:color w:val="231F20"/>
          <w:spacing w:val="2"/>
          <w:sz w:val="21"/>
          <w:szCs w:val="21"/>
        </w:rPr>
        <w:t>的外，还要通过协调发展去除经济发展不平衡不充分之处，通过绿色发展改善生产生活环境以获得永续发展条件，以开放和共享理念推动构建双循环互促新发展格局。告别以增长率论英雄的时代和</w:t>
      </w:r>
      <w:r>
        <w:rPr>
          <w:rFonts w:ascii="方正书宋简体" w:hAnsi="方正书宋简体" w:eastAsia="方正书宋简体" w:cs="方正书宋简体"/>
          <w:color w:val="231F20"/>
          <w:spacing w:val="-5"/>
          <w:sz w:val="21"/>
          <w:szCs w:val="21"/>
        </w:rPr>
        <w:t>转变发展模式，不是否定经济增长的重要性，而是为了更</w:t>
      </w:r>
      <w:r>
        <w:rPr>
          <w:rFonts w:ascii="方正书宋简体" w:hAnsi="方正书宋简体" w:eastAsia="方正书宋简体" w:cs="方正书宋简体"/>
          <w:color w:val="231F20"/>
          <w:spacing w:val="-6"/>
          <w:sz w:val="21"/>
          <w:szCs w:val="21"/>
        </w:rPr>
        <w:t>好地培育、开发、利用中国的长期增长潜力。</w:t>
      </w:r>
      <w:r>
        <w:rPr>
          <w:rFonts w:ascii="方正书宋简体" w:hAnsi="方正书宋简体" w:eastAsia="方正书宋简体" w:cs="方正书宋简体"/>
          <w:color w:val="231F20"/>
          <w:spacing w:val="2"/>
          <w:sz w:val="21"/>
          <w:szCs w:val="21"/>
        </w:rPr>
        <w:t>有了这种认识，基于短期片面考虑的中国经济“悲观论”也就干扰不了正确的判断，基于长期全面</w:t>
      </w:r>
      <w:r>
        <w:rPr>
          <w:rFonts w:ascii="方正书宋简体" w:hAnsi="方正书宋简体" w:eastAsia="方正书宋简体" w:cs="方正书宋简体"/>
          <w:color w:val="231F20"/>
          <w:spacing w:val="-1"/>
          <w:sz w:val="21"/>
          <w:szCs w:val="21"/>
        </w:rPr>
        <w:t>考虑的中国经济“光明论”可以为走高质量发展之路提供更加坚定的信心。</w:t>
      </w:r>
    </w:p>
    <w:p w14:paraId="0BAE51D3">
      <w:pPr>
        <w:spacing w:before="325" w:line="202" w:lineRule="auto"/>
        <w:ind w:left="1049"/>
        <w:rPr>
          <w:rFonts w:ascii="微软雅黑" w:hAnsi="微软雅黑" w:eastAsia="微软雅黑" w:cs="微软雅黑"/>
          <w:sz w:val="20"/>
          <w:szCs w:val="20"/>
        </w:rPr>
      </w:pPr>
      <w:r>
        <w:rPr>
          <w:rFonts w:ascii="微软雅黑" w:hAnsi="微软雅黑" w:eastAsia="微软雅黑" w:cs="微软雅黑"/>
          <w:color w:val="231F20"/>
          <w:spacing w:val="-2"/>
          <w:sz w:val="20"/>
          <w:szCs w:val="20"/>
        </w:rPr>
        <w:t>参考文献</w:t>
      </w:r>
    </w:p>
    <w:p w14:paraId="4BA77E1E">
      <w:pPr>
        <w:pStyle w:val="6"/>
        <w:spacing w:before="68" w:line="255" w:lineRule="auto"/>
        <w:ind w:left="1448" w:right="102" w:hanging="396"/>
      </w:pPr>
      <w:r>
        <w:rPr>
          <w:color w:val="231F20"/>
          <w:spacing w:val="-1"/>
        </w:rPr>
        <w:t>[ 1</w:t>
      </w:r>
      <w:r>
        <w:rPr>
          <w:color w:val="231F20"/>
          <w:spacing w:val="-18"/>
        </w:rPr>
        <w:t xml:space="preserve"> </w:t>
      </w:r>
      <w:r>
        <w:rPr>
          <w:color w:val="231F20"/>
          <w:spacing w:val="-1"/>
        </w:rPr>
        <w:t>]   TOMIYAMA</w:t>
      </w:r>
      <w:r>
        <w:rPr>
          <w:color w:val="231F20"/>
          <w:spacing w:val="-9"/>
        </w:rPr>
        <w:t xml:space="preserve"> </w:t>
      </w:r>
      <w:r>
        <w:rPr>
          <w:color w:val="231F20"/>
          <w:spacing w:val="-1"/>
        </w:rPr>
        <w:t>A, TANAKA</w:t>
      </w:r>
      <w:r>
        <w:rPr>
          <w:color w:val="231F20"/>
          <w:spacing w:val="-8"/>
        </w:rPr>
        <w:t xml:space="preserve"> </w:t>
      </w:r>
      <w:r>
        <w:rPr>
          <w:color w:val="231F20"/>
          <w:spacing w:val="-1"/>
        </w:rPr>
        <w:t xml:space="preserve">A, </w:t>
      </w:r>
      <w:r>
        <w:rPr>
          <w:color w:val="231F20"/>
          <w:spacing w:val="-2"/>
        </w:rPr>
        <w:t>SAKURA T, et</w:t>
      </w:r>
      <w:r>
        <w:rPr>
          <w:color w:val="231F20"/>
          <w:spacing w:val="15"/>
          <w:w w:val="101"/>
        </w:rPr>
        <w:t xml:space="preserve"> </w:t>
      </w:r>
      <w:r>
        <w:rPr>
          <w:color w:val="231F20"/>
          <w:spacing w:val="-2"/>
        </w:rPr>
        <w:t>al.</w:t>
      </w:r>
      <w:r>
        <w:rPr>
          <w:color w:val="231F20"/>
          <w:spacing w:val="16"/>
        </w:rPr>
        <w:t xml:space="preserve"> </w:t>
      </w:r>
      <w:r>
        <w:rPr>
          <w:color w:val="231F20"/>
          <w:spacing w:val="-2"/>
        </w:rPr>
        <w:t>China’s</w:t>
      </w:r>
      <w:r>
        <w:rPr>
          <w:color w:val="231F20"/>
          <w:spacing w:val="16"/>
        </w:rPr>
        <w:t xml:space="preserve"> </w:t>
      </w:r>
      <w:r>
        <w:rPr>
          <w:color w:val="231F20"/>
          <w:spacing w:val="-2"/>
        </w:rPr>
        <w:t>GDP will</w:t>
      </w:r>
      <w:r>
        <w:rPr>
          <w:color w:val="231F20"/>
          <w:spacing w:val="10"/>
        </w:rPr>
        <w:t xml:space="preserve"> </w:t>
      </w:r>
      <w:r>
        <w:rPr>
          <w:color w:val="231F20"/>
          <w:spacing w:val="-2"/>
        </w:rPr>
        <w:t>not</w:t>
      </w:r>
      <w:r>
        <w:rPr>
          <w:color w:val="231F20"/>
          <w:spacing w:val="18"/>
          <w:w w:val="102"/>
        </w:rPr>
        <w:t xml:space="preserve"> </w:t>
      </w:r>
      <w:r>
        <w:rPr>
          <w:color w:val="231F20"/>
          <w:spacing w:val="-2"/>
        </w:rPr>
        <w:t>surpass</w:t>
      </w:r>
      <w:r>
        <w:rPr>
          <w:color w:val="231F20"/>
          <w:spacing w:val="11"/>
        </w:rPr>
        <w:t xml:space="preserve"> </w:t>
      </w:r>
      <w:r>
        <w:rPr>
          <w:color w:val="231F20"/>
          <w:spacing w:val="-2"/>
        </w:rPr>
        <w:t>that</w:t>
      </w:r>
      <w:r>
        <w:rPr>
          <w:color w:val="231F20"/>
          <w:spacing w:val="15"/>
          <w:w w:val="101"/>
        </w:rPr>
        <w:t xml:space="preserve"> </w:t>
      </w:r>
      <w:r>
        <w:rPr>
          <w:color w:val="231F20"/>
          <w:spacing w:val="-2"/>
        </w:rPr>
        <w:t>of the</w:t>
      </w:r>
      <w:r>
        <w:rPr>
          <w:color w:val="231F20"/>
          <w:spacing w:val="10"/>
        </w:rPr>
        <w:t xml:space="preserve"> </w:t>
      </w:r>
      <w:r>
        <w:rPr>
          <w:color w:val="231F20"/>
          <w:spacing w:val="-2"/>
        </w:rPr>
        <w:t>U.S[</w:t>
      </w:r>
      <w:r>
        <w:rPr>
          <w:color w:val="231F20"/>
          <w:spacing w:val="-20"/>
        </w:rPr>
        <w:t xml:space="preserve"> </w:t>
      </w:r>
      <w:r>
        <w:rPr>
          <w:color w:val="231F20"/>
          <w:spacing w:val="-2"/>
        </w:rPr>
        <w:t>EB/OL</w:t>
      </w:r>
      <w:r>
        <w:rPr>
          <w:color w:val="231F20"/>
          <w:spacing w:val="-18"/>
        </w:rPr>
        <w:t xml:space="preserve"> </w:t>
      </w:r>
      <w:r>
        <w:rPr>
          <w:color w:val="231F20"/>
          <w:spacing w:val="-2"/>
        </w:rPr>
        <w:t>].</w:t>
      </w:r>
      <w:r>
        <w:rPr>
          <w:color w:val="231F20"/>
          <w:spacing w:val="-15"/>
        </w:rPr>
        <w:t xml:space="preserve"> </w:t>
      </w:r>
      <w:r>
        <w:rPr>
          <w:color w:val="231F20"/>
          <w:spacing w:val="-2"/>
        </w:rPr>
        <w:t>(</w:t>
      </w:r>
      <w:r>
        <w:rPr>
          <w:color w:val="231F20"/>
          <w:spacing w:val="-19"/>
        </w:rPr>
        <w:t xml:space="preserve"> </w:t>
      </w:r>
      <w:r>
        <w:rPr>
          <w:color w:val="231F20"/>
          <w:spacing w:val="-2"/>
        </w:rPr>
        <w:t>2022</w:t>
      </w:r>
      <w:r>
        <w:rPr>
          <w:rFonts w:ascii="宋体" w:hAnsi="宋体" w:eastAsia="宋体" w:cs="宋体"/>
          <w:color w:val="231F20"/>
          <w:spacing w:val="-2"/>
        </w:rPr>
        <w:t>-</w:t>
      </w:r>
      <w:r>
        <w:rPr>
          <w:color w:val="231F20"/>
          <w:spacing w:val="-2"/>
        </w:rPr>
        <w:t>12</w:t>
      </w:r>
      <w:r>
        <w:rPr>
          <w:rFonts w:ascii="宋体" w:hAnsi="宋体" w:eastAsia="宋体" w:cs="宋体"/>
          <w:color w:val="231F20"/>
          <w:spacing w:val="-2"/>
        </w:rPr>
        <w:t>-</w:t>
      </w:r>
      <w:r>
        <w:rPr>
          <w:color w:val="231F20"/>
          <w:spacing w:val="-2"/>
        </w:rPr>
        <w:t>25</w:t>
      </w:r>
      <w:r>
        <w:rPr>
          <w:color w:val="231F20"/>
          <w:spacing w:val="-19"/>
        </w:rPr>
        <w:t xml:space="preserve"> </w:t>
      </w:r>
      <w:r>
        <w:rPr>
          <w:color w:val="231F20"/>
          <w:spacing w:val="-2"/>
        </w:rPr>
        <w:t>)</w:t>
      </w:r>
      <w:r>
        <w:rPr>
          <w:color w:val="231F20"/>
        </w:rPr>
        <w:t xml:space="preserve"> [</w:t>
      </w:r>
      <w:r>
        <w:rPr>
          <w:color w:val="231F20"/>
          <w:spacing w:val="-21"/>
        </w:rPr>
        <w:t xml:space="preserve"> </w:t>
      </w:r>
      <w:r>
        <w:rPr>
          <w:color w:val="231F20"/>
        </w:rPr>
        <w:t>2024</w:t>
      </w:r>
      <w:r>
        <w:rPr>
          <w:rFonts w:ascii="宋体" w:hAnsi="宋体" w:eastAsia="宋体" w:cs="宋体"/>
          <w:color w:val="231F20"/>
        </w:rPr>
        <w:t>-</w:t>
      </w:r>
      <w:r>
        <w:rPr>
          <w:color w:val="231F20"/>
        </w:rPr>
        <w:t>06</w:t>
      </w:r>
      <w:r>
        <w:rPr>
          <w:rFonts w:ascii="宋体" w:hAnsi="宋体" w:eastAsia="宋体" w:cs="宋体"/>
          <w:color w:val="231F20"/>
        </w:rPr>
        <w:t>-</w:t>
      </w:r>
      <w:r>
        <w:rPr>
          <w:color w:val="231F20"/>
        </w:rPr>
        <w:t>25</w:t>
      </w:r>
      <w:r>
        <w:rPr>
          <w:color w:val="231F20"/>
          <w:spacing w:val="-18"/>
        </w:rPr>
        <w:t xml:space="preserve"> </w:t>
      </w:r>
      <w:r>
        <w:rPr>
          <w:color w:val="231F20"/>
        </w:rPr>
        <w:t xml:space="preserve">]. </w:t>
      </w:r>
      <w:r>
        <w:fldChar w:fldCharType="begin"/>
      </w:r>
      <w:r>
        <w:instrText xml:space="preserve"> HYPERLINK "https://www.jcer.or.jp/english/chinas-gdp-will-not-surpass-that-of-the-u-s" </w:instrText>
      </w:r>
      <w:r>
        <w:fldChar w:fldCharType="separate"/>
      </w:r>
      <w:r>
        <w:rPr>
          <w:color w:val="231F20"/>
        </w:rPr>
        <w:t>https://www.jcer.or.</w:t>
      </w:r>
      <w:r>
        <w:rPr>
          <w:color w:val="231F20"/>
          <w:spacing w:val="-1"/>
        </w:rPr>
        <w:t>jp/english/chinas</w:t>
      </w:r>
      <w:r>
        <w:rPr>
          <w:rFonts w:ascii="宋体" w:hAnsi="宋体" w:eastAsia="宋体" w:cs="宋体"/>
          <w:color w:val="231F20"/>
          <w:spacing w:val="-1"/>
        </w:rPr>
        <w:t>-</w:t>
      </w:r>
      <w:r>
        <w:rPr>
          <w:color w:val="231F20"/>
          <w:spacing w:val="-1"/>
        </w:rPr>
        <w:t>gdp</w:t>
      </w:r>
      <w:r>
        <w:rPr>
          <w:rFonts w:ascii="宋体" w:hAnsi="宋体" w:eastAsia="宋体" w:cs="宋体"/>
          <w:color w:val="231F20"/>
          <w:spacing w:val="-1"/>
        </w:rPr>
        <w:t>-</w:t>
      </w:r>
      <w:r>
        <w:rPr>
          <w:color w:val="231F20"/>
          <w:spacing w:val="-1"/>
        </w:rPr>
        <w:t>will</w:t>
      </w:r>
      <w:r>
        <w:rPr>
          <w:rFonts w:ascii="宋体" w:hAnsi="宋体" w:eastAsia="宋体" w:cs="宋体"/>
          <w:color w:val="231F20"/>
          <w:spacing w:val="-1"/>
        </w:rPr>
        <w:t>-</w:t>
      </w:r>
      <w:r>
        <w:rPr>
          <w:color w:val="231F20"/>
          <w:spacing w:val="-1"/>
        </w:rPr>
        <w:t>not</w:t>
      </w:r>
      <w:r>
        <w:rPr>
          <w:rFonts w:ascii="宋体" w:hAnsi="宋体" w:eastAsia="宋体" w:cs="宋体"/>
          <w:color w:val="231F20"/>
          <w:spacing w:val="-1"/>
        </w:rPr>
        <w:t>-</w:t>
      </w:r>
      <w:r>
        <w:rPr>
          <w:color w:val="231F20"/>
          <w:spacing w:val="-1"/>
        </w:rPr>
        <w:t>surpass</w:t>
      </w:r>
      <w:r>
        <w:rPr>
          <w:rFonts w:ascii="宋体" w:hAnsi="宋体" w:eastAsia="宋体" w:cs="宋体"/>
          <w:color w:val="231F20"/>
          <w:spacing w:val="-1"/>
        </w:rPr>
        <w:t>-</w:t>
      </w:r>
      <w:r>
        <w:rPr>
          <w:color w:val="231F20"/>
          <w:spacing w:val="-1"/>
        </w:rPr>
        <w:t>that</w:t>
      </w:r>
      <w:r>
        <w:rPr>
          <w:rFonts w:ascii="宋体" w:hAnsi="宋体" w:eastAsia="宋体" w:cs="宋体"/>
          <w:color w:val="231F20"/>
          <w:spacing w:val="-1"/>
        </w:rPr>
        <w:t>-</w:t>
      </w:r>
      <w:r>
        <w:rPr>
          <w:color w:val="231F20"/>
          <w:spacing w:val="-1"/>
        </w:rPr>
        <w:t>of</w:t>
      </w:r>
      <w:r>
        <w:rPr>
          <w:rFonts w:ascii="宋体" w:hAnsi="宋体" w:eastAsia="宋体" w:cs="宋体"/>
          <w:color w:val="231F20"/>
          <w:spacing w:val="-1"/>
        </w:rPr>
        <w:t>-</w:t>
      </w:r>
      <w:r>
        <w:rPr>
          <w:color w:val="231F20"/>
          <w:spacing w:val="-1"/>
        </w:rPr>
        <w:t>the</w:t>
      </w:r>
      <w:r>
        <w:rPr>
          <w:rFonts w:ascii="宋体" w:hAnsi="宋体" w:eastAsia="宋体" w:cs="宋体"/>
          <w:color w:val="231F20"/>
          <w:spacing w:val="-1"/>
        </w:rPr>
        <w:t>-</w:t>
      </w:r>
      <w:r>
        <w:rPr>
          <w:color w:val="231F20"/>
          <w:spacing w:val="-1"/>
        </w:rPr>
        <w:t>u</w:t>
      </w:r>
      <w:r>
        <w:rPr>
          <w:rFonts w:ascii="宋体" w:hAnsi="宋体" w:eastAsia="宋体" w:cs="宋体"/>
          <w:color w:val="231F20"/>
          <w:spacing w:val="-1"/>
        </w:rPr>
        <w:t>-</w:t>
      </w:r>
      <w:r>
        <w:rPr>
          <w:color w:val="231F20"/>
          <w:spacing w:val="-1"/>
        </w:rPr>
        <w:t>s</w:t>
      </w:r>
      <w:r>
        <w:rPr>
          <w:color w:val="231F20"/>
          <w:spacing w:val="-1"/>
        </w:rPr>
        <w:fldChar w:fldCharType="end"/>
      </w:r>
      <w:r>
        <w:rPr>
          <w:color w:val="231F20"/>
          <w:spacing w:val="-1"/>
        </w:rPr>
        <w:t>.</w:t>
      </w:r>
    </w:p>
    <w:p w14:paraId="123B0B1B">
      <w:pPr>
        <w:pStyle w:val="6"/>
        <w:spacing w:before="112" w:line="280" w:lineRule="auto"/>
        <w:ind w:left="1439" w:right="80" w:hanging="387"/>
      </w:pPr>
      <w:r>
        <w:rPr>
          <w:color w:val="231F20"/>
          <w:spacing w:val="-1"/>
        </w:rPr>
        <w:t xml:space="preserve">[2]    </w:t>
      </w:r>
      <w:r>
        <w:rPr>
          <w:rFonts w:ascii="楷体" w:hAnsi="楷体" w:eastAsia="楷体" w:cs="楷体"/>
          <w:color w:val="231F20"/>
          <w:spacing w:val="-1"/>
        </w:rPr>
        <w:t>中国人民大学重阳金融研究院</w:t>
      </w:r>
      <w:r>
        <w:rPr>
          <w:rFonts w:ascii="楷体" w:hAnsi="楷体" w:eastAsia="楷体" w:cs="楷体"/>
          <w:color w:val="231F20"/>
          <w:spacing w:val="-32"/>
        </w:rPr>
        <w:t xml:space="preserve"> </w:t>
      </w:r>
      <w:r>
        <w:rPr>
          <w:color w:val="231F20"/>
          <w:spacing w:val="-1"/>
        </w:rPr>
        <w:t xml:space="preserve">. </w:t>
      </w:r>
      <w:r>
        <w:rPr>
          <w:rFonts w:ascii="楷体" w:hAnsi="楷体" w:eastAsia="楷体" w:cs="楷体"/>
          <w:color w:val="231F20"/>
          <w:spacing w:val="-1"/>
        </w:rPr>
        <w:t>过于离谱</w:t>
      </w:r>
      <w:r>
        <w:rPr>
          <w:rFonts w:ascii="楷体" w:hAnsi="楷体" w:eastAsia="楷体" w:cs="楷体"/>
          <w:color w:val="231F20"/>
          <w:spacing w:val="-37"/>
        </w:rPr>
        <w:t xml:space="preserve"> </w:t>
      </w:r>
      <w:r>
        <w:rPr>
          <w:color w:val="231F20"/>
          <w:spacing w:val="-1"/>
        </w:rPr>
        <w:t>:</w:t>
      </w:r>
      <w:r>
        <w:rPr>
          <w:rFonts w:ascii="楷体" w:hAnsi="楷体" w:eastAsia="楷体" w:cs="楷体"/>
          <w:color w:val="231F20"/>
          <w:spacing w:val="-1"/>
        </w:rPr>
        <w:t>“中国崛起顶峰论”批判</w:t>
      </w:r>
      <w:r>
        <w:rPr>
          <w:rFonts w:ascii="楷体" w:hAnsi="楷体" w:eastAsia="楷体" w:cs="楷体"/>
          <w:color w:val="231F20"/>
          <w:spacing w:val="-35"/>
        </w:rPr>
        <w:t xml:space="preserve"> </w:t>
      </w:r>
      <w:r>
        <w:rPr>
          <w:color w:val="231F20"/>
          <w:spacing w:val="-1"/>
        </w:rPr>
        <w:t>[</w:t>
      </w:r>
      <w:r>
        <w:rPr>
          <w:color w:val="231F20"/>
          <w:spacing w:val="-21"/>
        </w:rPr>
        <w:t xml:space="preserve"> </w:t>
      </w:r>
      <w:r>
        <w:rPr>
          <w:color w:val="231F20"/>
          <w:spacing w:val="-1"/>
        </w:rPr>
        <w:t>EB/OL</w:t>
      </w:r>
      <w:r>
        <w:rPr>
          <w:color w:val="231F20"/>
          <w:spacing w:val="-18"/>
        </w:rPr>
        <w:t xml:space="preserve"> </w:t>
      </w:r>
      <w:r>
        <w:rPr>
          <w:color w:val="231F20"/>
          <w:spacing w:val="-1"/>
        </w:rPr>
        <w:t>].</w:t>
      </w:r>
      <w:r>
        <w:rPr>
          <w:color w:val="231F20"/>
          <w:spacing w:val="-15"/>
        </w:rPr>
        <w:t xml:space="preserve"> </w:t>
      </w:r>
      <w:r>
        <w:rPr>
          <w:color w:val="231F20"/>
          <w:spacing w:val="-1"/>
        </w:rPr>
        <w:t>(</w:t>
      </w:r>
      <w:r>
        <w:rPr>
          <w:color w:val="231F20"/>
          <w:spacing w:val="-19"/>
        </w:rPr>
        <w:t xml:space="preserve"> </w:t>
      </w:r>
      <w:r>
        <w:rPr>
          <w:color w:val="231F20"/>
          <w:spacing w:val="-1"/>
        </w:rPr>
        <w:t>2023</w:t>
      </w:r>
      <w:r>
        <w:rPr>
          <w:rFonts w:ascii="宋体" w:hAnsi="宋体" w:eastAsia="宋体" w:cs="宋体"/>
          <w:color w:val="231F20"/>
          <w:spacing w:val="-1"/>
        </w:rPr>
        <w:t>-</w:t>
      </w:r>
      <w:r>
        <w:rPr>
          <w:color w:val="231F20"/>
          <w:spacing w:val="-1"/>
        </w:rPr>
        <w:t>05</w:t>
      </w:r>
      <w:r>
        <w:rPr>
          <w:rFonts w:ascii="宋体" w:hAnsi="宋体" w:eastAsia="宋体" w:cs="宋体"/>
          <w:color w:val="231F20"/>
          <w:spacing w:val="-1"/>
        </w:rPr>
        <w:t>-</w:t>
      </w:r>
      <w:r>
        <w:rPr>
          <w:color w:val="231F20"/>
          <w:spacing w:val="-1"/>
        </w:rPr>
        <w:t>19</w:t>
      </w:r>
      <w:r>
        <w:rPr>
          <w:color w:val="231F20"/>
          <w:spacing w:val="-18"/>
        </w:rPr>
        <w:t xml:space="preserve"> </w:t>
      </w:r>
      <w:r>
        <w:rPr>
          <w:color w:val="231F20"/>
          <w:spacing w:val="-1"/>
        </w:rPr>
        <w:t>)</w:t>
      </w:r>
      <w:r>
        <w:rPr>
          <w:color w:val="231F20"/>
          <w:spacing w:val="-12"/>
        </w:rPr>
        <w:t xml:space="preserve"> </w:t>
      </w:r>
      <w:r>
        <w:rPr>
          <w:color w:val="231F20"/>
          <w:spacing w:val="-1"/>
        </w:rPr>
        <w:t>[</w:t>
      </w:r>
      <w:r>
        <w:rPr>
          <w:color w:val="231F20"/>
          <w:spacing w:val="-21"/>
        </w:rPr>
        <w:t xml:space="preserve"> </w:t>
      </w:r>
      <w:r>
        <w:rPr>
          <w:color w:val="231F20"/>
          <w:spacing w:val="-1"/>
        </w:rPr>
        <w:t>2024</w:t>
      </w:r>
      <w:r>
        <w:rPr>
          <w:rFonts w:ascii="宋体" w:hAnsi="宋体" w:eastAsia="宋体" w:cs="宋体"/>
          <w:color w:val="231F20"/>
          <w:spacing w:val="-1"/>
        </w:rPr>
        <w:t>-</w:t>
      </w:r>
      <w:r>
        <w:rPr>
          <w:color w:val="231F20"/>
          <w:spacing w:val="-1"/>
        </w:rPr>
        <w:t>06</w:t>
      </w:r>
      <w:r>
        <w:rPr>
          <w:rFonts w:ascii="宋体" w:hAnsi="宋体" w:eastAsia="宋体" w:cs="宋体"/>
          <w:color w:val="231F20"/>
          <w:spacing w:val="-1"/>
        </w:rPr>
        <w:t>-</w:t>
      </w:r>
      <w:r>
        <w:rPr>
          <w:color w:val="231F20"/>
          <w:spacing w:val="-1"/>
        </w:rPr>
        <w:t>28</w:t>
      </w:r>
      <w:r>
        <w:rPr>
          <w:color w:val="231F20"/>
          <w:spacing w:val="-18"/>
        </w:rPr>
        <w:t xml:space="preserve"> </w:t>
      </w:r>
      <w:r>
        <w:rPr>
          <w:color w:val="231F20"/>
          <w:spacing w:val="-1"/>
        </w:rPr>
        <w:t xml:space="preserve">]. </w:t>
      </w:r>
      <w:r>
        <w:fldChar w:fldCharType="begin"/>
      </w:r>
      <w:r>
        <w:instrText xml:space="preserve"> HYPERLINK "http://" </w:instrText>
      </w:r>
      <w:r>
        <w:fldChar w:fldCharType="separate"/>
      </w:r>
      <w:r>
        <w:rPr>
          <w:color w:val="231F20"/>
          <w:spacing w:val="-1"/>
        </w:rPr>
        <w:t>htt</w:t>
      </w:r>
      <w:r>
        <w:rPr>
          <w:color w:val="231F20"/>
          <w:spacing w:val="-2"/>
        </w:rPr>
        <w:t>p://</w:t>
      </w:r>
      <w:r>
        <w:rPr>
          <w:color w:val="231F20"/>
          <w:spacing w:val="-2"/>
        </w:rPr>
        <w:fldChar w:fldCharType="end"/>
      </w:r>
      <w:r>
        <w:rPr>
          <w:color w:val="231F20"/>
        </w:rPr>
        <w:t xml:space="preserve"> rdcy.ruc.edu.cn/zw/jszy/rdcy/grzl_rdcy/42fd594840fd4513a0ef03c</w:t>
      </w:r>
      <w:r>
        <w:rPr>
          <w:color w:val="231F20"/>
          <w:spacing w:val="-1"/>
        </w:rPr>
        <w:t>b03d88fb7.htm.</w:t>
      </w:r>
    </w:p>
    <w:p w14:paraId="091C68E6">
      <w:pPr>
        <w:pStyle w:val="6"/>
        <w:spacing w:before="125" w:line="216" w:lineRule="auto"/>
        <w:ind w:left="1052"/>
      </w:pPr>
      <w:r>
        <w:rPr>
          <w:color w:val="231F20"/>
        </w:rPr>
        <w:t xml:space="preserve">[3]   </w:t>
      </w:r>
      <w:r>
        <w:rPr>
          <w:rFonts w:ascii="楷体" w:hAnsi="楷体" w:eastAsia="楷体" w:cs="楷体"/>
          <w:color w:val="231F20"/>
        </w:rPr>
        <w:t>袁志刚</w:t>
      </w:r>
      <w:r>
        <w:rPr>
          <w:rFonts w:ascii="楷体" w:hAnsi="楷体" w:eastAsia="楷体" w:cs="楷体"/>
          <w:color w:val="231F20"/>
          <w:spacing w:val="-35"/>
        </w:rPr>
        <w:t xml:space="preserve"> </w:t>
      </w:r>
      <w:r>
        <w:rPr>
          <w:color w:val="231F20"/>
        </w:rPr>
        <w:t>,</w:t>
      </w:r>
      <w:r>
        <w:rPr>
          <w:color w:val="231F20"/>
          <w:spacing w:val="11"/>
          <w:w w:val="102"/>
        </w:rPr>
        <w:t xml:space="preserve"> </w:t>
      </w:r>
      <w:r>
        <w:rPr>
          <w:rFonts w:ascii="楷体" w:hAnsi="楷体" w:eastAsia="楷体" w:cs="楷体"/>
          <w:color w:val="231F20"/>
        </w:rPr>
        <w:t>郑志伟</w:t>
      </w:r>
      <w:r>
        <w:rPr>
          <w:rFonts w:ascii="楷体" w:hAnsi="楷体" w:eastAsia="楷体" w:cs="楷体"/>
          <w:color w:val="231F20"/>
          <w:spacing w:val="-36"/>
        </w:rPr>
        <w:t xml:space="preserve"> </w:t>
      </w:r>
      <w:r>
        <w:rPr>
          <w:color w:val="231F20"/>
        </w:rPr>
        <w:t>,</w:t>
      </w:r>
      <w:r>
        <w:rPr>
          <w:color w:val="231F20"/>
          <w:spacing w:val="20"/>
        </w:rPr>
        <w:t xml:space="preserve"> </w:t>
      </w:r>
      <w:r>
        <w:rPr>
          <w:rFonts w:ascii="楷体" w:hAnsi="楷体" w:eastAsia="楷体" w:cs="楷体"/>
          <w:color w:val="231F20"/>
        </w:rPr>
        <w:t>葛劲峰</w:t>
      </w:r>
      <w:r>
        <w:rPr>
          <w:rFonts w:ascii="楷体" w:hAnsi="楷体" w:eastAsia="楷体" w:cs="楷体"/>
          <w:color w:val="231F20"/>
          <w:spacing w:val="-36"/>
        </w:rPr>
        <w:t xml:space="preserve"> </w:t>
      </w:r>
      <w:r>
        <w:rPr>
          <w:color w:val="231F20"/>
        </w:rPr>
        <w:t xml:space="preserve">. </w:t>
      </w:r>
      <w:r>
        <w:rPr>
          <w:rFonts w:ascii="楷体" w:hAnsi="楷体" w:eastAsia="楷体" w:cs="楷体"/>
          <w:color w:val="231F20"/>
        </w:rPr>
        <w:t>全球经济增长面临的</w:t>
      </w:r>
      <w:r>
        <w:rPr>
          <w:rFonts w:ascii="楷体" w:hAnsi="楷体" w:eastAsia="楷体" w:cs="楷体"/>
          <w:color w:val="231F20"/>
          <w:spacing w:val="-1"/>
        </w:rPr>
        <w:t>困境与出路</w:t>
      </w:r>
      <w:r>
        <w:rPr>
          <w:rFonts w:ascii="楷体" w:hAnsi="楷体" w:eastAsia="楷体" w:cs="楷体"/>
          <w:color w:val="231F20"/>
          <w:spacing w:val="-35"/>
        </w:rPr>
        <w:t xml:space="preserve"> </w:t>
      </w:r>
      <w:r>
        <w:rPr>
          <w:color w:val="231F20"/>
          <w:spacing w:val="-1"/>
        </w:rPr>
        <w:t>[J].</w:t>
      </w:r>
      <w:r>
        <w:rPr>
          <w:color w:val="231F20"/>
          <w:spacing w:val="21"/>
        </w:rPr>
        <w:t xml:space="preserve"> </w:t>
      </w:r>
      <w:r>
        <w:rPr>
          <w:rFonts w:ascii="楷体" w:hAnsi="楷体" w:eastAsia="楷体" w:cs="楷体"/>
          <w:color w:val="231F20"/>
          <w:spacing w:val="-1"/>
        </w:rPr>
        <w:t>学术月刊</w:t>
      </w:r>
      <w:r>
        <w:rPr>
          <w:rFonts w:ascii="楷体" w:hAnsi="楷体" w:eastAsia="楷体" w:cs="楷体"/>
          <w:color w:val="231F20"/>
          <w:spacing w:val="-35"/>
        </w:rPr>
        <w:t xml:space="preserve"> </w:t>
      </w:r>
      <w:r>
        <w:rPr>
          <w:color w:val="231F20"/>
          <w:spacing w:val="-1"/>
        </w:rPr>
        <w:t>, 2020</w:t>
      </w:r>
      <w:r>
        <w:rPr>
          <w:color w:val="231F20"/>
          <w:spacing w:val="-15"/>
        </w:rPr>
        <w:t xml:space="preserve"> </w:t>
      </w:r>
      <w:r>
        <w:rPr>
          <w:color w:val="231F20"/>
          <w:spacing w:val="-1"/>
        </w:rPr>
        <w:t>(</w:t>
      </w:r>
      <w:r>
        <w:rPr>
          <w:color w:val="231F20"/>
          <w:spacing w:val="-12"/>
        </w:rPr>
        <w:t xml:space="preserve"> </w:t>
      </w:r>
      <w:r>
        <w:rPr>
          <w:color w:val="231F20"/>
          <w:spacing w:val="-1"/>
        </w:rPr>
        <w:t>8</w:t>
      </w:r>
      <w:r>
        <w:rPr>
          <w:color w:val="231F20"/>
          <w:spacing w:val="-19"/>
        </w:rPr>
        <w:t xml:space="preserve"> </w:t>
      </w:r>
      <w:r>
        <w:rPr>
          <w:color w:val="231F20"/>
          <w:spacing w:val="-1"/>
        </w:rPr>
        <w:t>):67</w:t>
      </w:r>
      <w:r>
        <w:rPr>
          <w:rFonts w:ascii="宋体" w:hAnsi="宋体" w:eastAsia="宋体" w:cs="宋体"/>
          <w:color w:val="231F20"/>
          <w:spacing w:val="-1"/>
        </w:rPr>
        <w:t>-</w:t>
      </w:r>
      <w:r>
        <w:rPr>
          <w:color w:val="231F20"/>
          <w:spacing w:val="-1"/>
        </w:rPr>
        <w:t>82.</w:t>
      </w:r>
    </w:p>
    <w:p w14:paraId="1136B4ED">
      <w:pPr>
        <w:pStyle w:val="6"/>
        <w:spacing w:before="122" w:line="264" w:lineRule="auto"/>
        <w:ind w:left="1448" w:right="103" w:hanging="396"/>
      </w:pPr>
      <w:r>
        <w:rPr>
          <w:color w:val="231F20"/>
          <w:spacing w:val="-1"/>
        </w:rPr>
        <w:t>[</w:t>
      </w:r>
      <w:r>
        <w:rPr>
          <w:color w:val="231F20"/>
          <w:spacing w:val="-3"/>
        </w:rPr>
        <w:t xml:space="preserve"> </w:t>
      </w:r>
      <w:r>
        <w:rPr>
          <w:color w:val="231F20"/>
          <w:spacing w:val="-1"/>
        </w:rPr>
        <w:t>4</w:t>
      </w:r>
      <w:r>
        <w:rPr>
          <w:color w:val="231F20"/>
          <w:spacing w:val="-18"/>
        </w:rPr>
        <w:t xml:space="preserve"> </w:t>
      </w:r>
      <w:r>
        <w:rPr>
          <w:color w:val="231F20"/>
          <w:spacing w:val="-1"/>
        </w:rPr>
        <w:t>]   NOGIMORI</w:t>
      </w:r>
      <w:r>
        <w:rPr>
          <w:color w:val="231F20"/>
          <w:spacing w:val="15"/>
          <w:w w:val="101"/>
        </w:rPr>
        <w:t xml:space="preserve"> </w:t>
      </w:r>
      <w:r>
        <w:rPr>
          <w:color w:val="231F20"/>
          <w:spacing w:val="-1"/>
        </w:rPr>
        <w:t>M.</w:t>
      </w:r>
      <w:r>
        <w:rPr>
          <w:color w:val="231F20"/>
          <w:spacing w:val="14"/>
          <w:w w:val="101"/>
        </w:rPr>
        <w:t xml:space="preserve"> </w:t>
      </w:r>
      <w:r>
        <w:rPr>
          <w:color w:val="231F20"/>
          <w:spacing w:val="-1"/>
        </w:rPr>
        <w:t>The</w:t>
      </w:r>
      <w:r>
        <w:rPr>
          <w:color w:val="231F20"/>
          <w:spacing w:val="18"/>
          <w:w w:val="102"/>
        </w:rPr>
        <w:t xml:space="preserve"> </w:t>
      </w:r>
      <w:r>
        <w:rPr>
          <w:rFonts w:ascii="楷体" w:hAnsi="楷体" w:eastAsia="楷体" w:cs="楷体"/>
          <w:color w:val="231F20"/>
          <w:spacing w:val="-1"/>
        </w:rPr>
        <w:t>“</w:t>
      </w:r>
      <w:r>
        <w:rPr>
          <w:color w:val="231F20"/>
          <w:spacing w:val="-1"/>
        </w:rPr>
        <w:t>Japanization</w:t>
      </w:r>
      <w:r>
        <w:rPr>
          <w:rFonts w:ascii="楷体" w:hAnsi="楷体" w:eastAsia="楷体" w:cs="楷体"/>
          <w:color w:val="231F20"/>
          <w:spacing w:val="-1"/>
        </w:rPr>
        <w:t>”</w:t>
      </w:r>
      <w:r>
        <w:rPr>
          <w:rFonts w:ascii="楷体" w:hAnsi="楷体" w:eastAsia="楷体" w:cs="楷体"/>
          <w:color w:val="231F20"/>
          <w:spacing w:val="-27"/>
        </w:rPr>
        <w:t xml:space="preserve"> </w:t>
      </w:r>
      <w:r>
        <w:rPr>
          <w:color w:val="231F20"/>
          <w:spacing w:val="-1"/>
        </w:rPr>
        <w:t>of Chinese</w:t>
      </w:r>
      <w:r>
        <w:rPr>
          <w:color w:val="231F20"/>
          <w:spacing w:val="19"/>
        </w:rPr>
        <w:t xml:space="preserve"> </w:t>
      </w:r>
      <w:r>
        <w:rPr>
          <w:color w:val="231F20"/>
          <w:spacing w:val="-1"/>
        </w:rPr>
        <w:t>economy</w:t>
      </w:r>
      <w:r>
        <w:rPr>
          <w:color w:val="231F20"/>
          <w:spacing w:val="18"/>
          <w:w w:val="101"/>
        </w:rPr>
        <w:t xml:space="preserve"> </w:t>
      </w:r>
      <w:r>
        <w:rPr>
          <w:color w:val="231F20"/>
          <w:spacing w:val="-1"/>
        </w:rPr>
        <w:t>and</w:t>
      </w:r>
      <w:r>
        <w:rPr>
          <w:color w:val="231F20"/>
          <w:spacing w:val="19"/>
        </w:rPr>
        <w:t xml:space="preserve"> </w:t>
      </w:r>
      <w:r>
        <w:rPr>
          <w:color w:val="231F20"/>
          <w:spacing w:val="-1"/>
        </w:rPr>
        <w:t>fears</w:t>
      </w:r>
      <w:r>
        <w:rPr>
          <w:color w:val="231F20"/>
          <w:spacing w:val="18"/>
          <w:w w:val="101"/>
        </w:rPr>
        <w:t xml:space="preserve"> </w:t>
      </w:r>
      <w:r>
        <w:rPr>
          <w:color w:val="231F20"/>
          <w:spacing w:val="-1"/>
        </w:rPr>
        <w:t>of prolonged</w:t>
      </w:r>
      <w:r>
        <w:rPr>
          <w:color w:val="231F20"/>
          <w:spacing w:val="20"/>
          <w:w w:val="102"/>
        </w:rPr>
        <w:t xml:space="preserve"> </w:t>
      </w:r>
      <w:r>
        <w:rPr>
          <w:color w:val="231F20"/>
          <w:spacing w:val="-1"/>
        </w:rPr>
        <w:t>stagnation[</w:t>
      </w:r>
      <w:r>
        <w:rPr>
          <w:color w:val="231F20"/>
          <w:spacing w:val="-21"/>
        </w:rPr>
        <w:t xml:space="preserve"> </w:t>
      </w:r>
      <w:r>
        <w:rPr>
          <w:color w:val="231F20"/>
          <w:spacing w:val="-1"/>
        </w:rPr>
        <w:t>EB/OL</w:t>
      </w:r>
      <w:r>
        <w:rPr>
          <w:color w:val="231F20"/>
          <w:spacing w:val="-18"/>
        </w:rPr>
        <w:t xml:space="preserve"> </w:t>
      </w:r>
      <w:r>
        <w:rPr>
          <w:color w:val="231F20"/>
          <w:spacing w:val="-1"/>
        </w:rPr>
        <w:t>].</w:t>
      </w:r>
      <w:r>
        <w:rPr>
          <w:color w:val="231F20"/>
          <w:spacing w:val="-15"/>
        </w:rPr>
        <w:t xml:space="preserve"> </w:t>
      </w:r>
      <w:r>
        <w:rPr>
          <w:color w:val="231F20"/>
          <w:spacing w:val="-1"/>
        </w:rPr>
        <w:t>(</w:t>
      </w:r>
      <w:r>
        <w:rPr>
          <w:color w:val="231F20"/>
          <w:spacing w:val="-19"/>
        </w:rPr>
        <w:t xml:space="preserve"> </w:t>
      </w:r>
      <w:r>
        <w:rPr>
          <w:color w:val="231F20"/>
          <w:spacing w:val="-1"/>
        </w:rPr>
        <w:t>2023</w:t>
      </w:r>
      <w:r>
        <w:rPr>
          <w:rFonts w:ascii="宋体" w:hAnsi="宋体" w:eastAsia="宋体" w:cs="宋体"/>
          <w:color w:val="231F20"/>
          <w:spacing w:val="-1"/>
        </w:rPr>
        <w:t>-</w:t>
      </w:r>
      <w:r>
        <w:rPr>
          <w:color w:val="231F20"/>
          <w:spacing w:val="-1"/>
        </w:rPr>
        <w:t>09</w:t>
      </w:r>
      <w:r>
        <w:rPr>
          <w:rFonts w:ascii="宋体" w:hAnsi="宋体" w:eastAsia="宋体" w:cs="宋体"/>
          <w:color w:val="231F20"/>
          <w:spacing w:val="-1"/>
        </w:rPr>
        <w:t>-</w:t>
      </w:r>
      <w:r>
        <w:rPr>
          <w:color w:val="231F20"/>
          <w:spacing w:val="-1"/>
        </w:rPr>
        <w:t>11</w:t>
      </w:r>
      <w:r>
        <w:rPr>
          <w:color w:val="231F20"/>
          <w:spacing w:val="-18"/>
        </w:rPr>
        <w:t xml:space="preserve"> </w:t>
      </w:r>
      <w:r>
        <w:rPr>
          <w:color w:val="231F20"/>
          <w:spacing w:val="-1"/>
        </w:rPr>
        <w:t>)</w:t>
      </w:r>
      <w:r>
        <w:rPr>
          <w:color w:val="231F20"/>
        </w:rPr>
        <w:t xml:space="preserve"> [</w:t>
      </w:r>
      <w:r>
        <w:rPr>
          <w:color w:val="231F20"/>
          <w:spacing w:val="-21"/>
        </w:rPr>
        <w:t xml:space="preserve"> </w:t>
      </w:r>
      <w:r>
        <w:rPr>
          <w:color w:val="231F20"/>
        </w:rPr>
        <w:t>2024</w:t>
      </w:r>
      <w:r>
        <w:rPr>
          <w:rFonts w:ascii="宋体" w:hAnsi="宋体" w:eastAsia="宋体" w:cs="宋体"/>
          <w:color w:val="231F20"/>
        </w:rPr>
        <w:t>-</w:t>
      </w:r>
      <w:r>
        <w:rPr>
          <w:color w:val="231F20"/>
        </w:rPr>
        <w:t>07</w:t>
      </w:r>
      <w:r>
        <w:rPr>
          <w:rFonts w:ascii="宋体" w:hAnsi="宋体" w:eastAsia="宋体" w:cs="宋体"/>
          <w:color w:val="231F20"/>
        </w:rPr>
        <w:t>-</w:t>
      </w:r>
      <w:r>
        <w:rPr>
          <w:color w:val="231F20"/>
        </w:rPr>
        <w:t>12</w:t>
      </w:r>
      <w:r>
        <w:rPr>
          <w:color w:val="231F20"/>
          <w:spacing w:val="-17"/>
        </w:rPr>
        <w:t xml:space="preserve"> </w:t>
      </w:r>
      <w:r>
        <w:rPr>
          <w:color w:val="231F20"/>
        </w:rPr>
        <w:t xml:space="preserve">]. </w:t>
      </w:r>
      <w:r>
        <w:fldChar w:fldCharType="begin"/>
      </w:r>
      <w:r>
        <w:instrText xml:space="preserve"> HYPERLINK "https://www.jri.co.jp/en/MediaLibrary/" </w:instrText>
      </w:r>
      <w:r>
        <w:fldChar w:fldCharType="separate"/>
      </w:r>
      <w:r>
        <w:rPr>
          <w:color w:val="231F20"/>
        </w:rPr>
        <w:t>https://www.jri.co.jp/en/MediaLibrary/</w:t>
      </w:r>
      <w:r>
        <w:rPr>
          <w:color w:val="231F20"/>
        </w:rPr>
        <w:fldChar w:fldCharType="end"/>
      </w:r>
      <w:r>
        <w:rPr>
          <w:color w:val="231F20"/>
        </w:rPr>
        <w:t>ﬁle/english/periodical/jrirj/2023</w:t>
      </w:r>
      <w:r>
        <w:rPr>
          <w:color w:val="231F20"/>
          <w:spacing w:val="-1"/>
        </w:rPr>
        <w:t>/09/nogimori.pdf.</w:t>
      </w:r>
    </w:p>
    <w:p w14:paraId="357DEA0F">
      <w:pPr>
        <w:pStyle w:val="6"/>
        <w:spacing w:before="144" w:line="272" w:lineRule="auto"/>
        <w:ind w:left="1443" w:right="80" w:hanging="392"/>
      </w:pPr>
      <w:r>
        <w:rPr>
          <w:color w:val="231F20"/>
          <w:spacing w:val="-1"/>
        </w:rPr>
        <w:t>[ 5</w:t>
      </w:r>
      <w:r>
        <w:rPr>
          <w:color w:val="231F20"/>
          <w:spacing w:val="-18"/>
        </w:rPr>
        <w:t xml:space="preserve"> </w:t>
      </w:r>
      <w:r>
        <w:rPr>
          <w:color w:val="231F20"/>
          <w:spacing w:val="-1"/>
        </w:rPr>
        <w:t>]   DALE K, GEDMINAS T. The path to</w:t>
      </w:r>
      <w:r>
        <w:rPr>
          <w:color w:val="231F20"/>
          <w:spacing w:val="5"/>
        </w:rPr>
        <w:t xml:space="preserve"> </w:t>
      </w:r>
      <w:r>
        <w:rPr>
          <w:color w:val="231F20"/>
          <w:spacing w:val="-1"/>
        </w:rPr>
        <w:t>2075</w:t>
      </w:r>
      <w:r>
        <w:rPr>
          <w:rFonts w:ascii="楷体" w:hAnsi="楷体" w:eastAsia="楷体" w:cs="楷体"/>
          <w:color w:val="231F20"/>
          <w:spacing w:val="-1"/>
        </w:rPr>
        <w:t>—</w:t>
      </w:r>
      <w:r>
        <w:rPr>
          <w:color w:val="231F20"/>
          <w:spacing w:val="-1"/>
        </w:rPr>
        <w:t>slower</w:t>
      </w:r>
      <w:r>
        <w:rPr>
          <w:color w:val="231F20"/>
          <w:spacing w:val="7"/>
        </w:rPr>
        <w:t xml:space="preserve"> </w:t>
      </w:r>
      <w:r>
        <w:rPr>
          <w:color w:val="231F20"/>
          <w:spacing w:val="-1"/>
        </w:rPr>
        <w:t>global</w:t>
      </w:r>
      <w:r>
        <w:rPr>
          <w:color w:val="231F20"/>
          <w:spacing w:val="7"/>
        </w:rPr>
        <w:t xml:space="preserve"> </w:t>
      </w:r>
      <w:r>
        <w:rPr>
          <w:color w:val="231F20"/>
          <w:spacing w:val="-1"/>
        </w:rPr>
        <w:t>growth,</w:t>
      </w:r>
      <w:r>
        <w:rPr>
          <w:color w:val="231F20"/>
          <w:spacing w:val="-9"/>
        </w:rPr>
        <w:t xml:space="preserve"> </w:t>
      </w:r>
      <w:r>
        <w:rPr>
          <w:color w:val="231F20"/>
          <w:spacing w:val="-1"/>
        </w:rPr>
        <w:t>but</w:t>
      </w:r>
      <w:r>
        <w:rPr>
          <w:color w:val="231F20"/>
          <w:spacing w:val="8"/>
        </w:rPr>
        <w:t xml:space="preserve"> </w:t>
      </w:r>
      <w:r>
        <w:rPr>
          <w:color w:val="231F20"/>
          <w:spacing w:val="-1"/>
        </w:rPr>
        <w:t>convergence remains</w:t>
      </w:r>
      <w:r>
        <w:rPr>
          <w:color w:val="231F20"/>
          <w:spacing w:val="7"/>
        </w:rPr>
        <w:t xml:space="preserve"> </w:t>
      </w:r>
      <w:r>
        <w:rPr>
          <w:color w:val="231F20"/>
          <w:spacing w:val="-1"/>
        </w:rPr>
        <w:t>intact[</w:t>
      </w:r>
      <w:r>
        <w:rPr>
          <w:color w:val="231F20"/>
          <w:spacing w:val="-21"/>
        </w:rPr>
        <w:t xml:space="preserve"> </w:t>
      </w:r>
      <w:r>
        <w:rPr>
          <w:color w:val="231F20"/>
          <w:spacing w:val="-1"/>
        </w:rPr>
        <w:t>EB/OL</w:t>
      </w:r>
      <w:r>
        <w:rPr>
          <w:color w:val="231F20"/>
          <w:spacing w:val="-17"/>
        </w:rPr>
        <w:t xml:space="preserve"> </w:t>
      </w:r>
      <w:r>
        <w:rPr>
          <w:color w:val="231F20"/>
          <w:spacing w:val="-1"/>
        </w:rPr>
        <w:t>].</w:t>
      </w:r>
      <w:r>
        <w:rPr>
          <w:color w:val="231F20"/>
          <w:spacing w:val="-16"/>
        </w:rPr>
        <w:t xml:space="preserve"> </w:t>
      </w:r>
      <w:r>
        <w:rPr>
          <w:color w:val="231F20"/>
          <w:spacing w:val="-1"/>
        </w:rPr>
        <w:t>(</w:t>
      </w:r>
      <w:r>
        <w:rPr>
          <w:color w:val="231F20"/>
          <w:spacing w:val="-18"/>
        </w:rPr>
        <w:t xml:space="preserve"> </w:t>
      </w:r>
      <w:r>
        <w:rPr>
          <w:color w:val="231F20"/>
          <w:spacing w:val="-1"/>
        </w:rPr>
        <w:t>2022</w:t>
      </w:r>
      <w:r>
        <w:rPr>
          <w:rFonts w:ascii="宋体" w:hAnsi="宋体" w:eastAsia="宋体" w:cs="宋体"/>
          <w:color w:val="231F20"/>
          <w:spacing w:val="-1"/>
        </w:rPr>
        <w:t>-</w:t>
      </w:r>
      <w:r>
        <w:rPr>
          <w:color w:val="231F20"/>
          <w:spacing w:val="-1"/>
        </w:rPr>
        <w:t>12</w:t>
      </w:r>
      <w:r>
        <w:rPr>
          <w:rFonts w:ascii="宋体" w:hAnsi="宋体" w:eastAsia="宋体" w:cs="宋体"/>
          <w:color w:val="231F20"/>
          <w:spacing w:val="-1"/>
          <w:position w:val="-1"/>
        </w:rPr>
        <w:t>-</w:t>
      </w:r>
      <w:r>
        <w:rPr>
          <w:rFonts w:ascii="宋体" w:hAnsi="宋体" w:eastAsia="宋体" w:cs="宋体"/>
          <w:color w:val="231F20"/>
          <w:position w:val="-1"/>
        </w:rPr>
        <w:t xml:space="preserve"> </w:t>
      </w:r>
      <w:r>
        <w:rPr>
          <w:color w:val="231F20"/>
          <w:spacing w:val="1"/>
        </w:rPr>
        <w:t>06</w:t>
      </w:r>
      <w:r>
        <w:rPr>
          <w:color w:val="231F20"/>
        </w:rPr>
        <w:t xml:space="preserve"> </w:t>
      </w:r>
      <w:r>
        <w:rPr>
          <w:color w:val="231F20"/>
          <w:spacing w:val="1"/>
        </w:rPr>
        <w:t>)</w:t>
      </w:r>
      <w:r>
        <w:rPr>
          <w:color w:val="231F20"/>
          <w:spacing w:val="-12"/>
        </w:rPr>
        <w:t xml:space="preserve"> </w:t>
      </w:r>
      <w:r>
        <w:rPr>
          <w:color w:val="231F20"/>
          <w:spacing w:val="1"/>
        </w:rPr>
        <w:t>[</w:t>
      </w:r>
      <w:r>
        <w:rPr>
          <w:color w:val="231F20"/>
          <w:spacing w:val="-21"/>
        </w:rPr>
        <w:t xml:space="preserve"> </w:t>
      </w:r>
      <w:r>
        <w:rPr>
          <w:color w:val="231F20"/>
          <w:spacing w:val="1"/>
        </w:rPr>
        <w:t>2024</w:t>
      </w:r>
      <w:r>
        <w:rPr>
          <w:rFonts w:ascii="宋体" w:hAnsi="宋体" w:eastAsia="宋体" w:cs="宋体"/>
          <w:color w:val="231F20"/>
          <w:spacing w:val="1"/>
        </w:rPr>
        <w:t>-</w:t>
      </w:r>
      <w:r>
        <w:rPr>
          <w:color w:val="231F20"/>
          <w:spacing w:val="1"/>
        </w:rPr>
        <w:t>07</w:t>
      </w:r>
      <w:r>
        <w:rPr>
          <w:rFonts w:ascii="宋体" w:hAnsi="宋体" w:eastAsia="宋体" w:cs="宋体"/>
          <w:color w:val="231F20"/>
          <w:spacing w:val="1"/>
        </w:rPr>
        <w:t>-</w:t>
      </w:r>
      <w:r>
        <w:rPr>
          <w:color w:val="231F20"/>
          <w:spacing w:val="1"/>
        </w:rPr>
        <w:t>15</w:t>
      </w:r>
      <w:r>
        <w:rPr>
          <w:color w:val="231F20"/>
          <w:spacing w:val="-17"/>
        </w:rPr>
        <w:t xml:space="preserve"> </w:t>
      </w:r>
      <w:r>
        <w:rPr>
          <w:color w:val="231F20"/>
          <w:spacing w:val="1"/>
        </w:rPr>
        <w:t>].</w:t>
      </w:r>
      <w:r>
        <w:rPr>
          <w:color w:val="231F20"/>
          <w:spacing w:val="18"/>
          <w:w w:val="101"/>
        </w:rPr>
        <w:t xml:space="preserve"> </w:t>
      </w:r>
      <w:r>
        <w:fldChar w:fldCharType="begin"/>
      </w:r>
      <w:r>
        <w:instrText xml:space="preserve"> HYPERLINK "https://www.goldmansachs.com/pdfs/insights/pages/gs-research/the-path-to-2075-slower-global" </w:instrText>
      </w:r>
      <w:r>
        <w:fldChar w:fldCharType="separate"/>
      </w:r>
      <w:r>
        <w:rPr>
          <w:color w:val="231F20"/>
        </w:rPr>
        <w:t>https</w:t>
      </w:r>
      <w:r>
        <w:rPr>
          <w:color w:val="231F20"/>
          <w:spacing w:val="1"/>
        </w:rPr>
        <w:t>://</w:t>
      </w:r>
      <w:r>
        <w:rPr>
          <w:color w:val="231F20"/>
        </w:rPr>
        <w:t>www</w:t>
      </w:r>
      <w:r>
        <w:rPr>
          <w:color w:val="231F20"/>
          <w:spacing w:val="1"/>
        </w:rPr>
        <w:t>.</w:t>
      </w:r>
      <w:r>
        <w:rPr>
          <w:color w:val="231F20"/>
        </w:rPr>
        <w:t>goldmansachs</w:t>
      </w:r>
      <w:r>
        <w:rPr>
          <w:color w:val="231F20"/>
          <w:spacing w:val="1"/>
        </w:rPr>
        <w:t>.</w:t>
      </w:r>
      <w:r>
        <w:rPr>
          <w:color w:val="231F20"/>
        </w:rPr>
        <w:t>com</w:t>
      </w:r>
      <w:r>
        <w:rPr>
          <w:color w:val="231F20"/>
          <w:spacing w:val="1"/>
        </w:rPr>
        <w:t>/</w:t>
      </w:r>
      <w:r>
        <w:rPr>
          <w:color w:val="231F20"/>
        </w:rPr>
        <w:t>pdfs</w:t>
      </w:r>
      <w:r>
        <w:rPr>
          <w:color w:val="231F20"/>
          <w:spacing w:val="1"/>
        </w:rPr>
        <w:t>/</w:t>
      </w:r>
      <w:r>
        <w:rPr>
          <w:color w:val="231F20"/>
        </w:rPr>
        <w:t>insights</w:t>
      </w:r>
      <w:r>
        <w:rPr>
          <w:color w:val="231F20"/>
          <w:spacing w:val="1"/>
        </w:rPr>
        <w:t>/</w:t>
      </w:r>
      <w:r>
        <w:rPr>
          <w:color w:val="231F20"/>
        </w:rPr>
        <w:t>pages</w:t>
      </w:r>
      <w:r>
        <w:rPr>
          <w:color w:val="231F20"/>
          <w:spacing w:val="1"/>
        </w:rPr>
        <w:t>/</w:t>
      </w:r>
      <w:r>
        <w:rPr>
          <w:color w:val="231F20"/>
        </w:rPr>
        <w:t>gs</w:t>
      </w:r>
      <w:r>
        <w:rPr>
          <w:rFonts w:ascii="宋体" w:hAnsi="宋体" w:eastAsia="宋体" w:cs="宋体"/>
          <w:color w:val="231F20"/>
          <w:spacing w:val="1"/>
        </w:rPr>
        <w:t>-</w:t>
      </w:r>
      <w:r>
        <w:rPr>
          <w:color w:val="231F20"/>
        </w:rPr>
        <w:t>research</w:t>
      </w:r>
      <w:r>
        <w:rPr>
          <w:color w:val="231F20"/>
          <w:spacing w:val="1"/>
        </w:rPr>
        <w:t>/</w:t>
      </w:r>
      <w:r>
        <w:rPr>
          <w:color w:val="231F20"/>
        </w:rPr>
        <w:t>the</w:t>
      </w:r>
      <w:r>
        <w:rPr>
          <w:rFonts w:ascii="宋体" w:hAnsi="宋体" w:eastAsia="宋体" w:cs="宋体"/>
          <w:color w:val="231F20"/>
          <w:spacing w:val="1"/>
        </w:rPr>
        <w:t>-</w:t>
      </w:r>
      <w:r>
        <w:rPr>
          <w:color w:val="231F20"/>
        </w:rPr>
        <w:t>path</w:t>
      </w:r>
      <w:r>
        <w:rPr>
          <w:rFonts w:ascii="宋体" w:hAnsi="宋体" w:eastAsia="宋体" w:cs="宋体"/>
          <w:color w:val="231F20"/>
          <w:spacing w:val="1"/>
        </w:rPr>
        <w:t>-</w:t>
      </w:r>
      <w:r>
        <w:rPr>
          <w:color w:val="231F20"/>
        </w:rPr>
        <w:t>to</w:t>
      </w:r>
      <w:r>
        <w:rPr>
          <w:rFonts w:ascii="宋体" w:hAnsi="宋体" w:eastAsia="宋体" w:cs="宋体"/>
          <w:color w:val="231F20"/>
          <w:spacing w:val="1"/>
        </w:rPr>
        <w:t>-</w:t>
      </w:r>
      <w:r>
        <w:rPr>
          <w:color w:val="231F20"/>
          <w:spacing w:val="1"/>
        </w:rPr>
        <w:t>2075</w:t>
      </w:r>
      <w:r>
        <w:rPr>
          <w:rFonts w:ascii="宋体" w:hAnsi="宋体" w:eastAsia="宋体" w:cs="宋体"/>
          <w:color w:val="231F20"/>
          <w:spacing w:val="1"/>
        </w:rPr>
        <w:t>-</w:t>
      </w:r>
      <w:r>
        <w:rPr>
          <w:color w:val="231F20"/>
        </w:rPr>
        <w:t>slower</w:t>
      </w:r>
      <w:r>
        <w:rPr>
          <w:rFonts w:ascii="宋体" w:hAnsi="宋体" w:eastAsia="宋体" w:cs="宋体"/>
          <w:color w:val="231F20"/>
          <w:spacing w:val="1"/>
        </w:rPr>
        <w:t>-</w:t>
      </w:r>
      <w:r>
        <w:rPr>
          <w:color w:val="231F20"/>
        </w:rPr>
        <w:t>global</w:t>
      </w:r>
      <w:r>
        <w:rPr>
          <w:color w:val="231F20"/>
        </w:rPr>
        <w:fldChar w:fldCharType="end"/>
      </w:r>
      <w:r>
        <w:rPr>
          <w:rFonts w:ascii="宋体" w:hAnsi="宋体" w:eastAsia="宋体" w:cs="宋体"/>
          <w:color w:val="231F20"/>
          <w:spacing w:val="1"/>
          <w:position w:val="-1"/>
        </w:rPr>
        <w:t>-</w:t>
      </w:r>
      <w:r>
        <w:rPr>
          <w:rFonts w:ascii="宋体" w:hAnsi="宋体" w:eastAsia="宋体" w:cs="宋体"/>
          <w:color w:val="231F20"/>
          <w:position w:val="-1"/>
        </w:rPr>
        <w:t xml:space="preserve"> </w:t>
      </w:r>
      <w:r>
        <w:rPr>
          <w:color w:val="231F20"/>
        </w:rPr>
        <w:t>growth</w:t>
      </w:r>
      <w:r>
        <w:rPr>
          <w:rFonts w:ascii="宋体" w:hAnsi="宋体" w:eastAsia="宋体" w:cs="宋体"/>
          <w:color w:val="231F20"/>
          <w:spacing w:val="1"/>
        </w:rPr>
        <w:t>-</w:t>
      </w:r>
      <w:r>
        <w:rPr>
          <w:color w:val="231F20"/>
        </w:rPr>
        <w:t>but</w:t>
      </w:r>
      <w:r>
        <w:rPr>
          <w:rFonts w:ascii="宋体" w:hAnsi="宋体" w:eastAsia="宋体" w:cs="宋体"/>
          <w:color w:val="231F20"/>
          <w:spacing w:val="1"/>
        </w:rPr>
        <w:t>-</w:t>
      </w:r>
      <w:r>
        <w:rPr>
          <w:color w:val="231F20"/>
        </w:rPr>
        <w:t>convergence</w:t>
      </w:r>
      <w:r>
        <w:rPr>
          <w:rFonts w:ascii="宋体" w:hAnsi="宋体" w:eastAsia="宋体" w:cs="宋体"/>
          <w:color w:val="231F20"/>
          <w:spacing w:val="1"/>
        </w:rPr>
        <w:t>-</w:t>
      </w:r>
      <w:r>
        <w:rPr>
          <w:color w:val="231F20"/>
        </w:rPr>
        <w:t>remains</w:t>
      </w:r>
      <w:r>
        <w:rPr>
          <w:rFonts w:ascii="宋体" w:hAnsi="宋体" w:eastAsia="宋体" w:cs="宋体"/>
          <w:color w:val="231F20"/>
          <w:spacing w:val="1"/>
        </w:rPr>
        <w:t>-</w:t>
      </w:r>
      <w:r>
        <w:rPr>
          <w:color w:val="231F20"/>
        </w:rPr>
        <w:t>intact</w:t>
      </w:r>
      <w:r>
        <w:rPr>
          <w:color w:val="231F20"/>
          <w:spacing w:val="1"/>
        </w:rPr>
        <w:t>/</w:t>
      </w:r>
      <w:r>
        <w:rPr>
          <w:color w:val="231F20"/>
        </w:rPr>
        <w:t>report</w:t>
      </w:r>
      <w:r>
        <w:rPr>
          <w:color w:val="231F20"/>
          <w:spacing w:val="1"/>
        </w:rPr>
        <w:t>.</w:t>
      </w:r>
      <w:r>
        <w:rPr>
          <w:color w:val="231F20"/>
        </w:rPr>
        <w:t>pdf</w:t>
      </w:r>
      <w:r>
        <w:rPr>
          <w:color w:val="231F20"/>
          <w:spacing w:val="1"/>
        </w:rPr>
        <w:t>.</w:t>
      </w:r>
    </w:p>
    <w:p w14:paraId="01B3265B">
      <w:pPr>
        <w:pStyle w:val="6"/>
        <w:spacing w:before="141" w:line="256" w:lineRule="auto"/>
        <w:ind w:left="1444" w:right="79" w:hanging="392"/>
      </w:pPr>
      <w:r>
        <w:rPr>
          <w:color w:val="231F20"/>
        </w:rPr>
        <w:t>[</w:t>
      </w:r>
      <w:r>
        <w:rPr>
          <w:color w:val="231F20"/>
          <w:spacing w:val="-16"/>
        </w:rPr>
        <w:t xml:space="preserve"> </w:t>
      </w:r>
      <w:r>
        <w:rPr>
          <w:color w:val="231F20"/>
        </w:rPr>
        <w:t>6</w:t>
      </w:r>
      <w:r>
        <w:rPr>
          <w:color w:val="231F20"/>
          <w:spacing w:val="-18"/>
        </w:rPr>
        <w:t xml:space="preserve"> </w:t>
      </w:r>
      <w:r>
        <w:rPr>
          <w:color w:val="231F20"/>
        </w:rPr>
        <w:t>]   LARDY N</w:t>
      </w:r>
      <w:r>
        <w:rPr>
          <w:color w:val="231F20"/>
          <w:spacing w:val="11"/>
          <w:w w:val="101"/>
        </w:rPr>
        <w:t xml:space="preserve"> </w:t>
      </w:r>
      <w:r>
        <w:rPr>
          <w:color w:val="231F20"/>
        </w:rPr>
        <w:t>R.</w:t>
      </w:r>
      <w:r>
        <w:rPr>
          <w:color w:val="231F20"/>
          <w:spacing w:val="15"/>
        </w:rPr>
        <w:t xml:space="preserve"> </w:t>
      </w:r>
      <w:r>
        <w:rPr>
          <w:color w:val="231F20"/>
        </w:rPr>
        <w:t>China</w:t>
      </w:r>
      <w:r>
        <w:rPr>
          <w:color w:val="231F20"/>
          <w:spacing w:val="13"/>
          <w:w w:val="101"/>
        </w:rPr>
        <w:t xml:space="preserve"> </w:t>
      </w:r>
      <w:r>
        <w:rPr>
          <w:color w:val="231F20"/>
        </w:rPr>
        <w:t>is</w:t>
      </w:r>
      <w:r>
        <w:rPr>
          <w:color w:val="231F20"/>
          <w:spacing w:val="17"/>
          <w:w w:val="101"/>
        </w:rPr>
        <w:t xml:space="preserve"> </w:t>
      </w:r>
      <w:r>
        <w:rPr>
          <w:color w:val="231F20"/>
        </w:rPr>
        <w:t>st</w:t>
      </w:r>
      <w:r>
        <w:rPr>
          <w:color w:val="231F20"/>
          <w:spacing w:val="-1"/>
        </w:rPr>
        <w:t>ill rising[</w:t>
      </w:r>
      <w:r>
        <w:rPr>
          <w:color w:val="231F20"/>
          <w:spacing w:val="-21"/>
        </w:rPr>
        <w:t xml:space="preserve"> </w:t>
      </w:r>
      <w:r>
        <w:rPr>
          <w:color w:val="231F20"/>
          <w:spacing w:val="-1"/>
        </w:rPr>
        <w:t>EB/OL</w:t>
      </w:r>
      <w:r>
        <w:rPr>
          <w:color w:val="231F20"/>
          <w:spacing w:val="-18"/>
        </w:rPr>
        <w:t xml:space="preserve"> </w:t>
      </w:r>
      <w:r>
        <w:rPr>
          <w:color w:val="231F20"/>
          <w:spacing w:val="-1"/>
        </w:rPr>
        <w:t>].</w:t>
      </w:r>
      <w:r>
        <w:rPr>
          <w:color w:val="231F20"/>
          <w:spacing w:val="-15"/>
        </w:rPr>
        <w:t xml:space="preserve"> </w:t>
      </w:r>
      <w:r>
        <w:rPr>
          <w:color w:val="231F20"/>
          <w:spacing w:val="-1"/>
        </w:rPr>
        <w:t>(</w:t>
      </w:r>
      <w:r>
        <w:rPr>
          <w:color w:val="231F20"/>
          <w:spacing w:val="-19"/>
        </w:rPr>
        <w:t xml:space="preserve"> </w:t>
      </w:r>
      <w:r>
        <w:rPr>
          <w:color w:val="231F20"/>
          <w:spacing w:val="-1"/>
        </w:rPr>
        <w:t>2024</w:t>
      </w:r>
      <w:r>
        <w:rPr>
          <w:rFonts w:ascii="宋体" w:hAnsi="宋体" w:eastAsia="宋体" w:cs="宋体"/>
          <w:color w:val="231F20"/>
          <w:spacing w:val="-1"/>
        </w:rPr>
        <w:t>-</w:t>
      </w:r>
      <w:r>
        <w:rPr>
          <w:color w:val="231F20"/>
          <w:spacing w:val="-1"/>
        </w:rPr>
        <w:t>04</w:t>
      </w:r>
      <w:r>
        <w:rPr>
          <w:rFonts w:ascii="宋体" w:hAnsi="宋体" w:eastAsia="宋体" w:cs="宋体"/>
          <w:color w:val="231F20"/>
          <w:spacing w:val="-1"/>
        </w:rPr>
        <w:t>-</w:t>
      </w:r>
      <w:r>
        <w:rPr>
          <w:color w:val="231F20"/>
          <w:spacing w:val="-1"/>
        </w:rPr>
        <w:t>02</w:t>
      </w:r>
      <w:r>
        <w:rPr>
          <w:color w:val="231F20"/>
          <w:spacing w:val="-18"/>
        </w:rPr>
        <w:t xml:space="preserve"> </w:t>
      </w:r>
      <w:r>
        <w:rPr>
          <w:color w:val="231F20"/>
          <w:spacing w:val="-1"/>
        </w:rPr>
        <w:t>)</w:t>
      </w:r>
      <w:r>
        <w:rPr>
          <w:color w:val="231F20"/>
          <w:spacing w:val="-12"/>
        </w:rPr>
        <w:t xml:space="preserve"> </w:t>
      </w:r>
      <w:r>
        <w:rPr>
          <w:color w:val="231F20"/>
          <w:spacing w:val="-1"/>
        </w:rPr>
        <w:t>[</w:t>
      </w:r>
      <w:r>
        <w:rPr>
          <w:color w:val="231F20"/>
          <w:spacing w:val="-21"/>
        </w:rPr>
        <w:t xml:space="preserve"> </w:t>
      </w:r>
      <w:r>
        <w:rPr>
          <w:color w:val="231F20"/>
          <w:spacing w:val="-1"/>
        </w:rPr>
        <w:t>2024</w:t>
      </w:r>
      <w:r>
        <w:rPr>
          <w:rFonts w:ascii="宋体" w:hAnsi="宋体" w:eastAsia="宋体" w:cs="宋体"/>
          <w:color w:val="231F20"/>
          <w:spacing w:val="-1"/>
        </w:rPr>
        <w:t>-</w:t>
      </w:r>
      <w:r>
        <w:rPr>
          <w:color w:val="231F20"/>
          <w:spacing w:val="-1"/>
        </w:rPr>
        <w:t>07</w:t>
      </w:r>
      <w:r>
        <w:rPr>
          <w:rFonts w:ascii="宋体" w:hAnsi="宋体" w:eastAsia="宋体" w:cs="宋体"/>
          <w:color w:val="231F20"/>
          <w:spacing w:val="-1"/>
        </w:rPr>
        <w:t>-</w:t>
      </w:r>
      <w:r>
        <w:rPr>
          <w:color w:val="231F20"/>
          <w:spacing w:val="-1"/>
        </w:rPr>
        <w:t>15</w:t>
      </w:r>
      <w:r>
        <w:rPr>
          <w:color w:val="231F20"/>
          <w:spacing w:val="-18"/>
        </w:rPr>
        <w:t xml:space="preserve"> </w:t>
      </w:r>
      <w:r>
        <w:rPr>
          <w:color w:val="231F20"/>
          <w:spacing w:val="-1"/>
        </w:rPr>
        <w:t xml:space="preserve">]. </w:t>
      </w:r>
      <w:r>
        <w:fldChar w:fldCharType="begin"/>
      </w:r>
      <w:r>
        <w:instrText xml:space="preserve"> HYPERLINK "https://www.foreigna" </w:instrText>
      </w:r>
      <w:r>
        <w:fldChar w:fldCharType="separate"/>
      </w:r>
      <w:r>
        <w:rPr>
          <w:color w:val="231F20"/>
          <w:spacing w:val="-1"/>
        </w:rPr>
        <w:t>https://www.foreigna</w:t>
      </w:r>
      <w:r>
        <w:rPr>
          <w:color w:val="231F20"/>
          <w:spacing w:val="-1"/>
        </w:rPr>
        <w:fldChar w:fldCharType="end"/>
      </w:r>
      <w:r>
        <w:rPr>
          <w:color w:val="231F20"/>
          <w:spacing w:val="-1"/>
        </w:rPr>
        <w:t>ﬀairs.com/united</w:t>
      </w:r>
      <w:r>
        <w:rPr>
          <w:rFonts w:ascii="宋体" w:hAnsi="宋体" w:eastAsia="宋体" w:cs="宋体"/>
          <w:color w:val="231F20"/>
          <w:spacing w:val="-1"/>
        </w:rPr>
        <w:t>-</w:t>
      </w:r>
      <w:r>
        <w:rPr>
          <w:color w:val="231F20"/>
          <w:spacing w:val="-1"/>
        </w:rPr>
        <w:t>states/</w:t>
      </w:r>
      <w:r>
        <w:rPr>
          <w:color w:val="231F20"/>
        </w:rPr>
        <w:t xml:space="preserve"> </w:t>
      </w:r>
      <w:r>
        <w:rPr>
          <w:color w:val="231F20"/>
          <w:spacing w:val="-1"/>
        </w:rPr>
        <w:t>china</w:t>
      </w:r>
      <w:r>
        <w:rPr>
          <w:rFonts w:ascii="宋体" w:hAnsi="宋体" w:eastAsia="宋体" w:cs="宋体"/>
          <w:color w:val="231F20"/>
          <w:spacing w:val="-1"/>
        </w:rPr>
        <w:t>-</w:t>
      </w:r>
      <w:r>
        <w:rPr>
          <w:color w:val="231F20"/>
          <w:spacing w:val="-1"/>
        </w:rPr>
        <w:t>still</w:t>
      </w:r>
      <w:r>
        <w:rPr>
          <w:rFonts w:ascii="宋体" w:hAnsi="宋体" w:eastAsia="宋体" w:cs="宋体"/>
          <w:color w:val="231F20"/>
          <w:spacing w:val="-1"/>
        </w:rPr>
        <w:t>-</w:t>
      </w:r>
      <w:r>
        <w:rPr>
          <w:color w:val="231F20"/>
          <w:spacing w:val="-1"/>
        </w:rPr>
        <w:t>rising.</w:t>
      </w:r>
    </w:p>
    <w:p w14:paraId="352094EA">
      <w:pPr>
        <w:pStyle w:val="6"/>
        <w:spacing w:before="113" w:line="216" w:lineRule="auto"/>
        <w:ind w:left="1052"/>
      </w:pPr>
      <w:r>
        <w:rPr>
          <w:color w:val="231F20"/>
          <w:spacing w:val="3"/>
        </w:rPr>
        <w:t>[7]</w:t>
      </w:r>
      <w:r>
        <w:rPr>
          <w:color w:val="231F20"/>
          <w:spacing w:val="14"/>
        </w:rPr>
        <w:t xml:space="preserve">   </w:t>
      </w:r>
      <w:r>
        <w:rPr>
          <w:rFonts w:ascii="楷体" w:hAnsi="楷体" w:eastAsia="楷体" w:cs="楷体"/>
          <w:color w:val="231F20"/>
          <w:spacing w:val="3"/>
        </w:rPr>
        <w:t>习近平会见美国工商界和战略学术界代表</w:t>
      </w:r>
      <w:r>
        <w:rPr>
          <w:rFonts w:ascii="楷体" w:hAnsi="楷体" w:eastAsia="楷体" w:cs="楷体"/>
          <w:color w:val="231F20"/>
          <w:spacing w:val="-35"/>
        </w:rPr>
        <w:t xml:space="preserve"> </w:t>
      </w:r>
      <w:r>
        <w:rPr>
          <w:color w:val="231F20"/>
          <w:spacing w:val="3"/>
        </w:rPr>
        <w:t>[N</w:t>
      </w:r>
      <w:r>
        <w:rPr>
          <w:color w:val="231F20"/>
          <w:spacing w:val="2"/>
        </w:rPr>
        <w:t>].</w:t>
      </w:r>
      <w:r>
        <w:rPr>
          <w:rFonts w:ascii="楷体" w:hAnsi="楷体" w:eastAsia="楷体" w:cs="楷体"/>
          <w:color w:val="231F20"/>
          <w:spacing w:val="2"/>
        </w:rPr>
        <w:t>人民日报</w:t>
      </w:r>
      <w:r>
        <w:rPr>
          <w:rFonts w:ascii="楷体" w:hAnsi="楷体" w:eastAsia="楷体" w:cs="楷体"/>
          <w:color w:val="231F20"/>
          <w:spacing w:val="-35"/>
        </w:rPr>
        <w:t xml:space="preserve"> </w:t>
      </w:r>
      <w:r>
        <w:rPr>
          <w:color w:val="231F20"/>
          <w:spacing w:val="2"/>
        </w:rPr>
        <w:t>, 2024</w:t>
      </w:r>
      <w:r>
        <w:rPr>
          <w:rFonts w:ascii="宋体" w:hAnsi="宋体" w:eastAsia="宋体" w:cs="宋体"/>
          <w:color w:val="231F20"/>
          <w:spacing w:val="2"/>
        </w:rPr>
        <w:t>-</w:t>
      </w:r>
      <w:r>
        <w:rPr>
          <w:color w:val="231F20"/>
          <w:spacing w:val="2"/>
        </w:rPr>
        <w:t>03</w:t>
      </w:r>
      <w:r>
        <w:rPr>
          <w:rFonts w:ascii="宋体" w:hAnsi="宋体" w:eastAsia="宋体" w:cs="宋体"/>
          <w:color w:val="231F20"/>
          <w:spacing w:val="2"/>
        </w:rPr>
        <w:t>-</w:t>
      </w:r>
      <w:r>
        <w:rPr>
          <w:color w:val="231F20"/>
          <w:spacing w:val="2"/>
        </w:rPr>
        <w:t>28(01)</w:t>
      </w:r>
      <w:r>
        <w:rPr>
          <w:color w:val="231F20"/>
          <w:spacing w:val="-10"/>
        </w:rPr>
        <w:t xml:space="preserve"> </w:t>
      </w:r>
      <w:r>
        <w:rPr>
          <w:color w:val="231F20"/>
          <w:spacing w:val="2"/>
        </w:rPr>
        <w:t>.</w:t>
      </w:r>
    </w:p>
    <w:p w14:paraId="5EC11A8E">
      <w:pPr>
        <w:pStyle w:val="6"/>
        <w:spacing w:before="109" w:line="216" w:lineRule="auto"/>
        <w:ind w:left="1052"/>
      </w:pPr>
      <w:r>
        <w:rPr>
          <w:color w:val="231F20"/>
          <w:spacing w:val="1"/>
        </w:rPr>
        <w:t xml:space="preserve">[8]   </w:t>
      </w:r>
      <w:r>
        <w:rPr>
          <w:rFonts w:ascii="楷体" w:hAnsi="楷体" w:eastAsia="楷体" w:cs="楷体"/>
          <w:color w:val="231F20"/>
          <w:spacing w:val="1"/>
        </w:rPr>
        <w:t>刘元春</w:t>
      </w:r>
      <w:r>
        <w:rPr>
          <w:rFonts w:ascii="楷体" w:hAnsi="楷体" w:eastAsia="楷体" w:cs="楷体"/>
          <w:color w:val="231F20"/>
          <w:spacing w:val="-27"/>
        </w:rPr>
        <w:t xml:space="preserve"> </w:t>
      </w:r>
      <w:r>
        <w:rPr>
          <w:color w:val="231F20"/>
          <w:spacing w:val="1"/>
        </w:rPr>
        <w:t>.</w:t>
      </w:r>
      <w:r>
        <w:rPr>
          <w:rFonts w:ascii="楷体" w:hAnsi="楷体" w:eastAsia="楷体" w:cs="楷体"/>
          <w:color w:val="231F20"/>
          <w:spacing w:val="1"/>
        </w:rPr>
        <w:t>“中国崩溃论”为何总是崩溃</w:t>
      </w:r>
      <w:r>
        <w:rPr>
          <w:rFonts w:ascii="楷体" w:hAnsi="楷体" w:eastAsia="楷体" w:cs="楷体"/>
          <w:color w:val="231F20"/>
          <w:spacing w:val="-35"/>
        </w:rPr>
        <w:t xml:space="preserve"> </w:t>
      </w:r>
      <w:r>
        <w:rPr>
          <w:color w:val="231F20"/>
          <w:spacing w:val="1"/>
        </w:rPr>
        <w:t xml:space="preserve">[J]. </w:t>
      </w:r>
      <w:r>
        <w:rPr>
          <w:rFonts w:ascii="楷体" w:hAnsi="楷体" w:eastAsia="楷体" w:cs="楷体"/>
          <w:color w:val="231F20"/>
          <w:spacing w:val="1"/>
        </w:rPr>
        <w:t>世界社会主义研究</w:t>
      </w:r>
      <w:r>
        <w:rPr>
          <w:rFonts w:ascii="楷体" w:hAnsi="楷体" w:eastAsia="楷体" w:cs="楷体"/>
          <w:color w:val="231F20"/>
          <w:spacing w:val="-35"/>
        </w:rPr>
        <w:t xml:space="preserve"> </w:t>
      </w:r>
      <w:r>
        <w:rPr>
          <w:color w:val="231F20"/>
          <w:spacing w:val="1"/>
        </w:rPr>
        <w:t>, 2017</w:t>
      </w:r>
      <w:r>
        <w:rPr>
          <w:color w:val="231F20"/>
          <w:spacing w:val="-15"/>
        </w:rPr>
        <w:t xml:space="preserve"> </w:t>
      </w:r>
      <w:r>
        <w:rPr>
          <w:color w:val="231F20"/>
          <w:spacing w:val="1"/>
        </w:rPr>
        <w:t>(</w:t>
      </w:r>
      <w:r>
        <w:rPr>
          <w:color w:val="231F20"/>
          <w:spacing w:val="-14"/>
        </w:rPr>
        <w:t xml:space="preserve"> </w:t>
      </w:r>
      <w:r>
        <w:rPr>
          <w:color w:val="231F20"/>
          <w:spacing w:val="1"/>
        </w:rPr>
        <w:t>5</w:t>
      </w:r>
      <w:r>
        <w:rPr>
          <w:color w:val="231F20"/>
          <w:spacing w:val="-19"/>
        </w:rPr>
        <w:t xml:space="preserve"> </w:t>
      </w:r>
      <w:r>
        <w:rPr>
          <w:color w:val="231F20"/>
          <w:spacing w:val="1"/>
        </w:rPr>
        <w:t>):92.</w:t>
      </w:r>
    </w:p>
    <w:p w14:paraId="1C7FB147">
      <w:pPr>
        <w:pStyle w:val="6"/>
        <w:spacing w:before="110" w:line="216" w:lineRule="auto"/>
        <w:ind w:left="1052"/>
      </w:pPr>
      <w:r>
        <w:rPr>
          <w:color w:val="231F20"/>
          <w:spacing w:val="-1"/>
        </w:rPr>
        <w:t>[9]</w:t>
      </w:r>
      <w:r>
        <w:rPr>
          <w:color w:val="231F20"/>
          <w:spacing w:val="14"/>
          <w:w w:val="101"/>
        </w:rPr>
        <w:t xml:space="preserve">   </w:t>
      </w:r>
      <w:r>
        <w:rPr>
          <w:rFonts w:ascii="楷体" w:hAnsi="楷体" w:eastAsia="楷体" w:cs="楷体"/>
          <w:color w:val="231F20"/>
          <w:spacing w:val="-1"/>
        </w:rPr>
        <w:t>简新华</w:t>
      </w:r>
      <w:r>
        <w:rPr>
          <w:rFonts w:ascii="楷体" w:hAnsi="楷体" w:eastAsia="楷体" w:cs="楷体"/>
          <w:color w:val="231F20"/>
          <w:spacing w:val="-35"/>
        </w:rPr>
        <w:t xml:space="preserve"> </w:t>
      </w:r>
      <w:r>
        <w:rPr>
          <w:color w:val="231F20"/>
          <w:spacing w:val="-1"/>
        </w:rPr>
        <w:t>,</w:t>
      </w:r>
      <w:r>
        <w:rPr>
          <w:color w:val="231F20"/>
          <w:spacing w:val="13"/>
          <w:w w:val="101"/>
        </w:rPr>
        <w:t xml:space="preserve"> </w:t>
      </w:r>
      <w:r>
        <w:rPr>
          <w:rFonts w:ascii="楷体" w:hAnsi="楷体" w:eastAsia="楷体" w:cs="楷体"/>
          <w:color w:val="231F20"/>
          <w:spacing w:val="-1"/>
        </w:rPr>
        <w:t>聂长飞</w:t>
      </w:r>
      <w:r>
        <w:rPr>
          <w:rFonts w:ascii="楷体" w:hAnsi="楷体" w:eastAsia="楷体" w:cs="楷体"/>
          <w:color w:val="231F20"/>
          <w:spacing w:val="-33"/>
        </w:rPr>
        <w:t xml:space="preserve"> </w:t>
      </w:r>
      <w:r>
        <w:rPr>
          <w:color w:val="231F20"/>
          <w:spacing w:val="-1"/>
        </w:rPr>
        <w:t>.</w:t>
      </w:r>
      <w:r>
        <w:rPr>
          <w:color w:val="231F20"/>
          <w:spacing w:val="17"/>
          <w:w w:val="101"/>
        </w:rPr>
        <w:t xml:space="preserve"> </w:t>
      </w:r>
      <w:r>
        <w:rPr>
          <w:rFonts w:ascii="楷体" w:hAnsi="楷体" w:eastAsia="楷体" w:cs="楷体"/>
          <w:color w:val="231F20"/>
          <w:spacing w:val="-1"/>
        </w:rPr>
        <w:t>必须澄清对中国经济走势的几种误判</w:t>
      </w:r>
      <w:r>
        <w:rPr>
          <w:rFonts w:ascii="楷体" w:hAnsi="楷体" w:eastAsia="楷体" w:cs="楷体"/>
          <w:color w:val="231F20"/>
          <w:spacing w:val="-35"/>
        </w:rPr>
        <w:t xml:space="preserve"> </w:t>
      </w:r>
      <w:r>
        <w:rPr>
          <w:color w:val="231F20"/>
          <w:spacing w:val="-1"/>
        </w:rPr>
        <w:t xml:space="preserve">[J]. </w:t>
      </w:r>
      <w:r>
        <w:rPr>
          <w:rFonts w:ascii="楷体" w:hAnsi="楷体" w:eastAsia="楷体" w:cs="楷体"/>
          <w:color w:val="231F20"/>
          <w:spacing w:val="-1"/>
        </w:rPr>
        <w:t>政治经济学研究</w:t>
      </w:r>
      <w:r>
        <w:rPr>
          <w:rFonts w:ascii="楷体" w:hAnsi="楷体" w:eastAsia="楷体" w:cs="楷体"/>
          <w:color w:val="231F20"/>
          <w:spacing w:val="-35"/>
        </w:rPr>
        <w:t xml:space="preserve"> </w:t>
      </w:r>
      <w:r>
        <w:rPr>
          <w:color w:val="231F20"/>
          <w:spacing w:val="-1"/>
        </w:rPr>
        <w:t>, 2024</w:t>
      </w:r>
      <w:r>
        <w:rPr>
          <w:color w:val="231F20"/>
          <w:spacing w:val="-15"/>
        </w:rPr>
        <w:t xml:space="preserve"> </w:t>
      </w:r>
      <w:r>
        <w:rPr>
          <w:color w:val="231F20"/>
          <w:spacing w:val="-1"/>
        </w:rPr>
        <w:t>( 1</w:t>
      </w:r>
      <w:r>
        <w:rPr>
          <w:color w:val="231F20"/>
          <w:spacing w:val="-19"/>
        </w:rPr>
        <w:t xml:space="preserve"> </w:t>
      </w:r>
      <w:r>
        <w:rPr>
          <w:color w:val="231F20"/>
          <w:spacing w:val="-1"/>
        </w:rPr>
        <w:t>):65</w:t>
      </w:r>
      <w:r>
        <w:rPr>
          <w:rFonts w:ascii="宋体" w:hAnsi="宋体" w:eastAsia="宋体" w:cs="宋体"/>
          <w:color w:val="231F20"/>
          <w:spacing w:val="-1"/>
        </w:rPr>
        <w:t>-</w:t>
      </w:r>
      <w:r>
        <w:rPr>
          <w:color w:val="231F20"/>
          <w:spacing w:val="-1"/>
        </w:rPr>
        <w:t>75.</w:t>
      </w:r>
    </w:p>
    <w:p w14:paraId="29DD0E17">
      <w:pPr>
        <w:pStyle w:val="6"/>
        <w:spacing w:before="109" w:line="216" w:lineRule="auto"/>
        <w:ind w:left="1052"/>
      </w:pPr>
      <w:r>
        <w:rPr>
          <w:color w:val="231F20"/>
        </w:rPr>
        <w:t>[10]</w:t>
      </w:r>
      <w:r>
        <w:rPr>
          <w:color w:val="231F20"/>
          <w:spacing w:val="20"/>
          <w:w w:val="101"/>
        </w:rPr>
        <w:t xml:space="preserve"> </w:t>
      </w:r>
      <w:r>
        <w:rPr>
          <w:rFonts w:ascii="楷体" w:hAnsi="楷体" w:eastAsia="楷体" w:cs="楷体"/>
          <w:color w:val="231F20"/>
        </w:rPr>
        <w:t>蔡防</w:t>
      </w:r>
      <w:r>
        <w:rPr>
          <w:rFonts w:ascii="楷体" w:hAnsi="楷体" w:eastAsia="楷体" w:cs="楷体"/>
          <w:color w:val="231F20"/>
          <w:spacing w:val="-32"/>
        </w:rPr>
        <w:t xml:space="preserve"> </w:t>
      </w:r>
      <w:r>
        <w:rPr>
          <w:color w:val="231F20"/>
        </w:rPr>
        <w:t xml:space="preserve">. </w:t>
      </w:r>
      <w:r>
        <w:rPr>
          <w:rFonts w:ascii="楷体" w:hAnsi="楷体" w:eastAsia="楷体" w:cs="楷体"/>
          <w:color w:val="231F20"/>
        </w:rPr>
        <w:t>从日本经济表现看“长期停滞”的典型特征</w:t>
      </w:r>
      <w:r>
        <w:rPr>
          <w:rFonts w:ascii="楷体" w:hAnsi="楷体" w:eastAsia="楷体" w:cs="楷体"/>
          <w:color w:val="231F20"/>
          <w:spacing w:val="-35"/>
        </w:rPr>
        <w:t xml:space="preserve"> </w:t>
      </w:r>
      <w:r>
        <w:rPr>
          <w:color w:val="231F20"/>
        </w:rPr>
        <w:t>[J].</w:t>
      </w:r>
      <w:r>
        <w:rPr>
          <w:color w:val="231F20"/>
          <w:spacing w:val="36"/>
          <w:w w:val="102"/>
        </w:rPr>
        <w:t xml:space="preserve"> </w:t>
      </w:r>
      <w:r>
        <w:rPr>
          <w:rFonts w:ascii="楷体" w:hAnsi="楷体" w:eastAsia="楷体" w:cs="楷体"/>
          <w:color w:val="231F20"/>
        </w:rPr>
        <w:t>日本学刊</w:t>
      </w:r>
      <w:r>
        <w:rPr>
          <w:rFonts w:ascii="楷体" w:hAnsi="楷体" w:eastAsia="楷体" w:cs="楷体"/>
          <w:color w:val="231F20"/>
          <w:spacing w:val="-36"/>
        </w:rPr>
        <w:t xml:space="preserve"> </w:t>
      </w:r>
      <w:r>
        <w:rPr>
          <w:color w:val="231F20"/>
        </w:rPr>
        <w:t>, 202</w:t>
      </w:r>
      <w:r>
        <w:rPr>
          <w:color w:val="231F20"/>
          <w:spacing w:val="-1"/>
        </w:rPr>
        <w:t>1</w:t>
      </w:r>
      <w:r>
        <w:rPr>
          <w:color w:val="231F20"/>
          <w:spacing w:val="-15"/>
        </w:rPr>
        <w:t xml:space="preserve"> </w:t>
      </w:r>
      <w:r>
        <w:rPr>
          <w:color w:val="231F20"/>
          <w:spacing w:val="-1"/>
        </w:rPr>
        <w:t>(</w:t>
      </w:r>
      <w:r>
        <w:rPr>
          <w:color w:val="231F20"/>
          <w:spacing w:val="-19"/>
        </w:rPr>
        <w:t xml:space="preserve"> </w:t>
      </w:r>
      <w:r>
        <w:rPr>
          <w:color w:val="231F20"/>
          <w:spacing w:val="-1"/>
        </w:rPr>
        <w:t>4</w:t>
      </w:r>
      <w:r>
        <w:rPr>
          <w:color w:val="231F20"/>
          <w:spacing w:val="-19"/>
        </w:rPr>
        <w:t xml:space="preserve"> </w:t>
      </w:r>
      <w:r>
        <w:rPr>
          <w:color w:val="231F20"/>
          <w:spacing w:val="-1"/>
        </w:rPr>
        <w:t>):1</w:t>
      </w:r>
      <w:r>
        <w:rPr>
          <w:rFonts w:ascii="宋体" w:hAnsi="宋体" w:eastAsia="宋体" w:cs="宋体"/>
          <w:color w:val="231F20"/>
          <w:spacing w:val="-1"/>
        </w:rPr>
        <w:t>-</w:t>
      </w:r>
      <w:r>
        <w:rPr>
          <w:color w:val="231F20"/>
          <w:spacing w:val="-1"/>
        </w:rPr>
        <w:t>14.</w:t>
      </w:r>
    </w:p>
    <w:p w14:paraId="5D5FF051">
      <w:pPr>
        <w:pStyle w:val="6"/>
        <w:spacing w:before="109" w:line="216" w:lineRule="auto"/>
        <w:ind w:left="1051"/>
      </w:pPr>
      <w:r>
        <w:rPr>
          <w:color w:val="231F20"/>
        </w:rPr>
        <w:t>[11]</w:t>
      </w:r>
      <w:r>
        <w:rPr>
          <w:color w:val="231F20"/>
          <w:spacing w:val="39"/>
          <w:w w:val="101"/>
        </w:rPr>
        <w:t xml:space="preserve"> </w:t>
      </w:r>
      <w:r>
        <w:rPr>
          <w:rFonts w:ascii="楷体" w:hAnsi="楷体" w:eastAsia="楷体" w:cs="楷体"/>
          <w:color w:val="231F20"/>
        </w:rPr>
        <w:t>张一飞</w:t>
      </w:r>
      <w:r>
        <w:rPr>
          <w:rFonts w:ascii="楷体" w:hAnsi="楷体" w:eastAsia="楷体" w:cs="楷体"/>
          <w:color w:val="231F20"/>
          <w:spacing w:val="-32"/>
        </w:rPr>
        <w:t xml:space="preserve"> </w:t>
      </w:r>
      <w:r>
        <w:rPr>
          <w:color w:val="231F20"/>
        </w:rPr>
        <w:t>.</w:t>
      </w:r>
      <w:r>
        <w:rPr>
          <w:color w:val="231F20"/>
          <w:spacing w:val="14"/>
          <w:w w:val="101"/>
        </w:rPr>
        <w:t xml:space="preserve"> </w:t>
      </w:r>
      <w:r>
        <w:rPr>
          <w:rFonts w:ascii="楷体" w:hAnsi="楷体" w:eastAsia="楷体" w:cs="楷体"/>
          <w:color w:val="231F20"/>
        </w:rPr>
        <w:t>美国对欧战略定位的调整</w:t>
      </w:r>
      <w:r>
        <w:rPr>
          <w:rFonts w:ascii="楷体" w:hAnsi="楷体" w:eastAsia="楷体" w:cs="楷体"/>
          <w:color w:val="231F20"/>
          <w:spacing w:val="-1"/>
        </w:rPr>
        <w:t>及其政策评估</w:t>
      </w:r>
      <w:r>
        <w:rPr>
          <w:rFonts w:ascii="楷体" w:hAnsi="楷体" w:eastAsia="楷体" w:cs="楷体"/>
          <w:color w:val="231F20"/>
          <w:spacing w:val="-35"/>
        </w:rPr>
        <w:t xml:space="preserve"> </w:t>
      </w:r>
      <w:r>
        <w:rPr>
          <w:color w:val="231F20"/>
          <w:spacing w:val="-1"/>
        </w:rPr>
        <w:t>[J].</w:t>
      </w:r>
      <w:r>
        <w:rPr>
          <w:color w:val="231F20"/>
          <w:spacing w:val="18"/>
          <w:w w:val="102"/>
        </w:rPr>
        <w:t xml:space="preserve"> </w:t>
      </w:r>
      <w:r>
        <w:rPr>
          <w:rFonts w:ascii="楷体" w:hAnsi="楷体" w:eastAsia="楷体" w:cs="楷体"/>
          <w:color w:val="231F20"/>
          <w:spacing w:val="-1"/>
        </w:rPr>
        <w:t>欧洲研究</w:t>
      </w:r>
      <w:r>
        <w:rPr>
          <w:rFonts w:ascii="楷体" w:hAnsi="楷体" w:eastAsia="楷体" w:cs="楷体"/>
          <w:color w:val="231F20"/>
          <w:spacing w:val="-36"/>
        </w:rPr>
        <w:t xml:space="preserve"> </w:t>
      </w:r>
      <w:r>
        <w:rPr>
          <w:color w:val="231F20"/>
          <w:spacing w:val="-1"/>
        </w:rPr>
        <w:t>, 2023</w:t>
      </w:r>
      <w:r>
        <w:rPr>
          <w:color w:val="231F20"/>
          <w:spacing w:val="-15"/>
        </w:rPr>
        <w:t xml:space="preserve"> </w:t>
      </w:r>
      <w:r>
        <w:rPr>
          <w:color w:val="231F20"/>
          <w:spacing w:val="-1"/>
        </w:rPr>
        <w:t>(</w:t>
      </w:r>
      <w:r>
        <w:rPr>
          <w:color w:val="231F20"/>
          <w:spacing w:val="-15"/>
        </w:rPr>
        <w:t xml:space="preserve"> </w:t>
      </w:r>
      <w:r>
        <w:rPr>
          <w:color w:val="231F20"/>
          <w:spacing w:val="-1"/>
        </w:rPr>
        <w:t>3</w:t>
      </w:r>
      <w:r>
        <w:rPr>
          <w:color w:val="231F20"/>
          <w:spacing w:val="-18"/>
        </w:rPr>
        <w:t xml:space="preserve"> </w:t>
      </w:r>
      <w:r>
        <w:rPr>
          <w:color w:val="231F20"/>
          <w:spacing w:val="-1"/>
        </w:rPr>
        <w:t>):38</w:t>
      </w:r>
      <w:r>
        <w:rPr>
          <w:rFonts w:ascii="宋体" w:hAnsi="宋体" w:eastAsia="宋体" w:cs="宋体"/>
          <w:color w:val="231F20"/>
          <w:spacing w:val="-1"/>
        </w:rPr>
        <w:t>-</w:t>
      </w:r>
      <w:r>
        <w:rPr>
          <w:color w:val="231F20"/>
          <w:spacing w:val="-1"/>
        </w:rPr>
        <w:t>64.</w:t>
      </w:r>
    </w:p>
    <w:p w14:paraId="0835BF7E">
      <w:pPr>
        <w:pStyle w:val="6"/>
        <w:spacing w:before="110" w:line="216" w:lineRule="auto"/>
        <w:ind w:left="1051"/>
      </w:pPr>
      <w:r>
        <w:rPr>
          <w:color w:val="231F20"/>
          <w:spacing w:val="-1"/>
        </w:rPr>
        <w:t>[12]</w:t>
      </w:r>
      <w:r>
        <w:rPr>
          <w:color w:val="231F20"/>
          <w:spacing w:val="30"/>
          <w:w w:val="102"/>
        </w:rPr>
        <w:t xml:space="preserve"> </w:t>
      </w:r>
      <w:r>
        <w:rPr>
          <w:rFonts w:ascii="楷体" w:hAnsi="楷体" w:eastAsia="楷体" w:cs="楷体"/>
          <w:color w:val="231F20"/>
          <w:spacing w:val="-1"/>
        </w:rPr>
        <w:t>吴柳洁</w:t>
      </w:r>
      <w:r>
        <w:rPr>
          <w:rFonts w:ascii="楷体" w:hAnsi="楷体" w:eastAsia="楷体" w:cs="楷体"/>
          <w:color w:val="231F20"/>
          <w:spacing w:val="-36"/>
        </w:rPr>
        <w:t xml:space="preserve"> </w:t>
      </w:r>
      <w:r>
        <w:rPr>
          <w:color w:val="231F20"/>
          <w:spacing w:val="-1"/>
        </w:rPr>
        <w:t>,</w:t>
      </w:r>
      <w:r>
        <w:rPr>
          <w:color w:val="231F20"/>
          <w:spacing w:val="12"/>
          <w:w w:val="101"/>
        </w:rPr>
        <w:t xml:space="preserve"> </w:t>
      </w:r>
      <w:r>
        <w:rPr>
          <w:rFonts w:ascii="楷体" w:hAnsi="楷体" w:eastAsia="楷体" w:cs="楷体"/>
          <w:color w:val="231F20"/>
          <w:spacing w:val="-1"/>
        </w:rPr>
        <w:t>郭京京</w:t>
      </w:r>
      <w:r>
        <w:rPr>
          <w:rFonts w:ascii="楷体" w:hAnsi="楷体" w:eastAsia="楷体" w:cs="楷体"/>
          <w:color w:val="231F20"/>
          <w:spacing w:val="-32"/>
        </w:rPr>
        <w:t xml:space="preserve"> </w:t>
      </w:r>
      <w:r>
        <w:rPr>
          <w:color w:val="231F20"/>
          <w:spacing w:val="-1"/>
        </w:rPr>
        <w:t>.</w:t>
      </w:r>
      <w:r>
        <w:rPr>
          <w:color w:val="231F20"/>
          <w:spacing w:val="30"/>
        </w:rPr>
        <w:t xml:space="preserve"> </w:t>
      </w:r>
      <w:r>
        <w:rPr>
          <w:rFonts w:ascii="楷体" w:hAnsi="楷体" w:eastAsia="楷体" w:cs="楷体"/>
          <w:color w:val="231F20"/>
          <w:spacing w:val="-1"/>
        </w:rPr>
        <w:t>中国战略性新兴产业政策演变态势分析</w:t>
      </w:r>
      <w:r>
        <w:rPr>
          <w:rFonts w:ascii="楷体" w:hAnsi="楷体" w:eastAsia="楷体" w:cs="楷体"/>
          <w:color w:val="231F20"/>
          <w:spacing w:val="-38"/>
        </w:rPr>
        <w:t xml:space="preserve"> </w:t>
      </w:r>
      <w:r>
        <w:rPr>
          <w:color w:val="231F20"/>
          <w:spacing w:val="-1"/>
        </w:rPr>
        <w:t>:</w:t>
      </w:r>
      <w:r>
        <w:rPr>
          <w:color w:val="231F20"/>
          <w:spacing w:val="21"/>
          <w:w w:val="101"/>
        </w:rPr>
        <w:t xml:space="preserve"> </w:t>
      </w:r>
      <w:r>
        <w:rPr>
          <w:rFonts w:ascii="楷体" w:hAnsi="楷体" w:eastAsia="楷体" w:cs="楷体"/>
          <w:color w:val="231F20"/>
          <w:spacing w:val="-1"/>
        </w:rPr>
        <w:t>政策组合视角</w:t>
      </w:r>
      <w:r>
        <w:rPr>
          <w:rFonts w:ascii="楷体" w:hAnsi="楷体" w:eastAsia="楷体" w:cs="楷体"/>
          <w:color w:val="231F20"/>
          <w:spacing w:val="-35"/>
        </w:rPr>
        <w:t xml:space="preserve"> </w:t>
      </w:r>
      <w:r>
        <w:rPr>
          <w:color w:val="231F20"/>
          <w:spacing w:val="-1"/>
        </w:rPr>
        <w:t xml:space="preserve">[J]. </w:t>
      </w:r>
      <w:r>
        <w:rPr>
          <w:rFonts w:ascii="楷体" w:hAnsi="楷体" w:eastAsia="楷体" w:cs="楷体"/>
          <w:color w:val="231F20"/>
          <w:spacing w:val="-1"/>
        </w:rPr>
        <w:t>创新科技</w:t>
      </w:r>
      <w:r>
        <w:rPr>
          <w:rFonts w:ascii="楷体" w:hAnsi="楷体" w:eastAsia="楷体" w:cs="楷体"/>
          <w:color w:val="231F20"/>
          <w:spacing w:val="-35"/>
        </w:rPr>
        <w:t xml:space="preserve"> </w:t>
      </w:r>
      <w:r>
        <w:rPr>
          <w:color w:val="231F20"/>
          <w:spacing w:val="-1"/>
        </w:rPr>
        <w:t>, 2024</w:t>
      </w:r>
      <w:r>
        <w:rPr>
          <w:color w:val="231F20"/>
          <w:spacing w:val="-16"/>
        </w:rPr>
        <w:t xml:space="preserve"> </w:t>
      </w:r>
      <w:r>
        <w:rPr>
          <w:color w:val="231F20"/>
          <w:spacing w:val="-1"/>
        </w:rPr>
        <w:t>(</w:t>
      </w:r>
      <w:r>
        <w:rPr>
          <w:color w:val="231F20"/>
          <w:spacing w:val="-15"/>
        </w:rPr>
        <w:t xml:space="preserve"> </w:t>
      </w:r>
      <w:r>
        <w:rPr>
          <w:color w:val="231F20"/>
          <w:spacing w:val="-1"/>
        </w:rPr>
        <w:t>3</w:t>
      </w:r>
      <w:r>
        <w:rPr>
          <w:color w:val="231F20"/>
          <w:spacing w:val="-18"/>
        </w:rPr>
        <w:t xml:space="preserve"> </w:t>
      </w:r>
      <w:r>
        <w:rPr>
          <w:color w:val="231F20"/>
          <w:spacing w:val="-1"/>
        </w:rPr>
        <w:t>):12</w:t>
      </w:r>
      <w:r>
        <w:rPr>
          <w:rFonts w:ascii="宋体" w:hAnsi="宋体" w:eastAsia="宋体" w:cs="宋体"/>
          <w:color w:val="231F20"/>
          <w:spacing w:val="-1"/>
        </w:rPr>
        <w:t>-</w:t>
      </w:r>
      <w:r>
        <w:rPr>
          <w:color w:val="231F20"/>
          <w:spacing w:val="-1"/>
        </w:rPr>
        <w:t>26.</w:t>
      </w:r>
    </w:p>
    <w:p w14:paraId="1237DA55">
      <w:pPr>
        <w:pStyle w:val="6"/>
        <w:spacing w:before="109" w:line="216" w:lineRule="auto"/>
        <w:ind w:left="1051"/>
      </w:pPr>
      <w:r>
        <w:rPr>
          <w:color w:val="231F20"/>
          <w:spacing w:val="-2"/>
        </w:rPr>
        <w:t>[13]</w:t>
      </w:r>
      <w:r>
        <w:rPr>
          <w:color w:val="231F20"/>
          <w:spacing w:val="33"/>
          <w:w w:val="101"/>
        </w:rPr>
        <w:t xml:space="preserve"> </w:t>
      </w:r>
      <w:r>
        <w:rPr>
          <w:rFonts w:ascii="楷体" w:hAnsi="楷体" w:eastAsia="楷体" w:cs="楷体"/>
          <w:color w:val="231F20"/>
          <w:spacing w:val="-2"/>
        </w:rPr>
        <w:t>张卫国</w:t>
      </w:r>
      <w:r>
        <w:rPr>
          <w:rFonts w:ascii="楷体" w:hAnsi="楷体" w:eastAsia="楷体" w:cs="楷体"/>
          <w:color w:val="231F20"/>
          <w:spacing w:val="-36"/>
        </w:rPr>
        <w:t xml:space="preserve"> </w:t>
      </w:r>
      <w:r>
        <w:rPr>
          <w:color w:val="231F20"/>
          <w:spacing w:val="-2"/>
        </w:rPr>
        <w:t>,</w:t>
      </w:r>
      <w:r>
        <w:rPr>
          <w:color w:val="231F20"/>
          <w:spacing w:val="11"/>
        </w:rPr>
        <w:t xml:space="preserve"> </w:t>
      </w:r>
      <w:r>
        <w:rPr>
          <w:rFonts w:ascii="楷体" w:hAnsi="楷体" w:eastAsia="楷体" w:cs="楷体"/>
          <w:color w:val="231F20"/>
          <w:spacing w:val="-2"/>
        </w:rPr>
        <w:t>王双</w:t>
      </w:r>
      <w:r>
        <w:rPr>
          <w:rFonts w:ascii="楷体" w:hAnsi="楷体" w:eastAsia="楷体" w:cs="楷体"/>
          <w:color w:val="231F20"/>
          <w:spacing w:val="-32"/>
        </w:rPr>
        <w:t xml:space="preserve"> </w:t>
      </w:r>
      <w:r>
        <w:rPr>
          <w:color w:val="231F20"/>
          <w:spacing w:val="-2"/>
        </w:rPr>
        <w:t>.</w:t>
      </w:r>
      <w:r>
        <w:rPr>
          <w:color w:val="231F20"/>
          <w:spacing w:val="18"/>
          <w:w w:val="101"/>
        </w:rPr>
        <w:t xml:space="preserve"> </w:t>
      </w:r>
      <w:r>
        <w:rPr>
          <w:rFonts w:ascii="楷体" w:hAnsi="楷体" w:eastAsia="楷体" w:cs="楷体"/>
          <w:color w:val="231F20"/>
          <w:spacing w:val="-2"/>
        </w:rPr>
        <w:t>大国崛起</w:t>
      </w:r>
      <w:r>
        <w:rPr>
          <w:rFonts w:ascii="楷体" w:hAnsi="楷体" w:eastAsia="楷体" w:cs="楷体"/>
          <w:color w:val="231F20"/>
          <w:spacing w:val="-38"/>
        </w:rPr>
        <w:t xml:space="preserve"> </w:t>
      </w:r>
      <w:r>
        <w:rPr>
          <w:color w:val="231F20"/>
          <w:spacing w:val="-2"/>
        </w:rPr>
        <w:t xml:space="preserve">:  </w:t>
      </w:r>
      <w:r>
        <w:rPr>
          <w:rFonts w:ascii="楷体" w:hAnsi="楷体" w:eastAsia="楷体" w:cs="楷体"/>
          <w:color w:val="231F20"/>
          <w:spacing w:val="-2"/>
        </w:rPr>
        <w:t>东亚模式与中国道路</w:t>
      </w:r>
      <w:r>
        <w:rPr>
          <w:rFonts w:ascii="楷体" w:hAnsi="楷体" w:eastAsia="楷体" w:cs="楷体"/>
          <w:color w:val="231F20"/>
          <w:spacing w:val="-34"/>
        </w:rPr>
        <w:t xml:space="preserve"> </w:t>
      </w:r>
      <w:r>
        <w:rPr>
          <w:color w:val="231F20"/>
          <w:spacing w:val="-2"/>
        </w:rPr>
        <w:t>[J].</w:t>
      </w:r>
      <w:r>
        <w:rPr>
          <w:color w:val="231F20"/>
          <w:spacing w:val="21"/>
        </w:rPr>
        <w:t xml:space="preserve"> </w:t>
      </w:r>
      <w:r>
        <w:rPr>
          <w:rFonts w:ascii="楷体" w:hAnsi="楷体" w:eastAsia="楷体" w:cs="楷体"/>
          <w:color w:val="231F20"/>
          <w:spacing w:val="-2"/>
        </w:rPr>
        <w:t>学术月刊</w:t>
      </w:r>
      <w:r>
        <w:rPr>
          <w:rFonts w:ascii="楷体" w:hAnsi="楷体" w:eastAsia="楷体" w:cs="楷体"/>
          <w:color w:val="231F20"/>
          <w:spacing w:val="-36"/>
        </w:rPr>
        <w:t xml:space="preserve"> </w:t>
      </w:r>
      <w:r>
        <w:rPr>
          <w:color w:val="231F20"/>
          <w:spacing w:val="-2"/>
        </w:rPr>
        <w:t>, 2019</w:t>
      </w:r>
      <w:r>
        <w:rPr>
          <w:color w:val="231F20"/>
          <w:spacing w:val="-15"/>
        </w:rPr>
        <w:t xml:space="preserve"> </w:t>
      </w:r>
      <w:r>
        <w:rPr>
          <w:color w:val="231F20"/>
          <w:spacing w:val="-2"/>
        </w:rPr>
        <w:t>( 10</w:t>
      </w:r>
      <w:r>
        <w:rPr>
          <w:color w:val="231F20"/>
          <w:spacing w:val="-18"/>
        </w:rPr>
        <w:t xml:space="preserve"> </w:t>
      </w:r>
      <w:r>
        <w:rPr>
          <w:color w:val="231F20"/>
          <w:spacing w:val="-2"/>
        </w:rPr>
        <w:t>):6</w:t>
      </w:r>
      <w:r>
        <w:rPr>
          <w:color w:val="231F20"/>
          <w:spacing w:val="-3"/>
        </w:rPr>
        <w:t>7</w:t>
      </w:r>
      <w:r>
        <w:rPr>
          <w:rFonts w:ascii="宋体" w:hAnsi="宋体" w:eastAsia="宋体" w:cs="宋体"/>
          <w:color w:val="231F20"/>
          <w:spacing w:val="-3"/>
        </w:rPr>
        <w:t>-</w:t>
      </w:r>
      <w:r>
        <w:rPr>
          <w:color w:val="231F20"/>
          <w:spacing w:val="-3"/>
        </w:rPr>
        <w:t>81.</w:t>
      </w:r>
    </w:p>
    <w:p w14:paraId="08619C65">
      <w:pPr>
        <w:pStyle w:val="6"/>
        <w:spacing w:before="110" w:line="216" w:lineRule="auto"/>
        <w:ind w:left="1051"/>
      </w:pPr>
      <w:r>
        <w:rPr>
          <w:color w:val="231F20"/>
        </w:rPr>
        <w:t>[14]</w:t>
      </w:r>
      <w:r>
        <w:rPr>
          <w:color w:val="231F20"/>
          <w:spacing w:val="25"/>
          <w:w w:val="101"/>
        </w:rPr>
        <w:t xml:space="preserve"> </w:t>
      </w:r>
      <w:r>
        <w:rPr>
          <w:rFonts w:ascii="楷体" w:hAnsi="楷体" w:eastAsia="楷体" w:cs="楷体"/>
          <w:color w:val="231F20"/>
        </w:rPr>
        <w:t>周琪</w:t>
      </w:r>
      <w:r>
        <w:rPr>
          <w:rFonts w:ascii="楷体" w:hAnsi="楷体" w:eastAsia="楷体" w:cs="楷体"/>
          <w:color w:val="231F20"/>
          <w:spacing w:val="-33"/>
        </w:rPr>
        <w:t xml:space="preserve"> </w:t>
      </w:r>
      <w:r>
        <w:rPr>
          <w:color w:val="231F20"/>
        </w:rPr>
        <w:t>.</w:t>
      </w:r>
      <w:r>
        <w:rPr>
          <w:color w:val="231F20"/>
          <w:spacing w:val="15"/>
          <w:w w:val="101"/>
        </w:rPr>
        <w:t xml:space="preserve"> </w:t>
      </w:r>
      <w:r>
        <w:rPr>
          <w:rFonts w:ascii="楷体" w:hAnsi="楷体" w:eastAsia="楷体" w:cs="楷体"/>
          <w:color w:val="231F20"/>
        </w:rPr>
        <w:t>美国对中国科技“脱钩”的战略动机及政策措施</w:t>
      </w:r>
      <w:r>
        <w:rPr>
          <w:rFonts w:ascii="楷体" w:hAnsi="楷体" w:eastAsia="楷体" w:cs="楷体"/>
          <w:color w:val="231F20"/>
          <w:spacing w:val="-35"/>
        </w:rPr>
        <w:t xml:space="preserve"> </w:t>
      </w:r>
      <w:r>
        <w:rPr>
          <w:color w:val="231F20"/>
        </w:rPr>
        <w:t>[J].</w:t>
      </w:r>
      <w:r>
        <w:rPr>
          <w:color w:val="231F20"/>
          <w:spacing w:val="17"/>
        </w:rPr>
        <w:t xml:space="preserve"> </w:t>
      </w:r>
      <w:r>
        <w:rPr>
          <w:rFonts w:ascii="楷体" w:hAnsi="楷体" w:eastAsia="楷体" w:cs="楷体"/>
          <w:color w:val="231F20"/>
        </w:rPr>
        <w:t>太平</w:t>
      </w:r>
      <w:r>
        <w:rPr>
          <w:rFonts w:ascii="楷体" w:hAnsi="楷体" w:eastAsia="楷体" w:cs="楷体"/>
          <w:color w:val="231F20"/>
          <w:spacing w:val="-1"/>
        </w:rPr>
        <w:t>洋学报</w:t>
      </w:r>
      <w:r>
        <w:rPr>
          <w:rFonts w:ascii="楷体" w:hAnsi="楷体" w:eastAsia="楷体" w:cs="楷体"/>
          <w:color w:val="231F20"/>
          <w:spacing w:val="-35"/>
        </w:rPr>
        <w:t xml:space="preserve"> </w:t>
      </w:r>
      <w:r>
        <w:rPr>
          <w:color w:val="231F20"/>
          <w:spacing w:val="-1"/>
        </w:rPr>
        <w:t>, 2022</w:t>
      </w:r>
      <w:r>
        <w:rPr>
          <w:color w:val="231F20"/>
          <w:spacing w:val="-15"/>
        </w:rPr>
        <w:t xml:space="preserve"> </w:t>
      </w:r>
      <w:r>
        <w:rPr>
          <w:color w:val="231F20"/>
          <w:spacing w:val="-1"/>
        </w:rPr>
        <w:t>(</w:t>
      </w:r>
      <w:r>
        <w:rPr>
          <w:color w:val="231F20"/>
          <w:spacing w:val="-12"/>
        </w:rPr>
        <w:t xml:space="preserve"> </w:t>
      </w:r>
      <w:r>
        <w:rPr>
          <w:color w:val="231F20"/>
          <w:spacing w:val="-1"/>
        </w:rPr>
        <w:t>8</w:t>
      </w:r>
      <w:r>
        <w:rPr>
          <w:color w:val="231F20"/>
          <w:spacing w:val="-19"/>
        </w:rPr>
        <w:t xml:space="preserve"> </w:t>
      </w:r>
      <w:r>
        <w:rPr>
          <w:color w:val="231F20"/>
          <w:spacing w:val="-1"/>
        </w:rPr>
        <w:t>):1</w:t>
      </w:r>
      <w:r>
        <w:rPr>
          <w:rFonts w:ascii="宋体" w:hAnsi="宋体" w:eastAsia="宋体" w:cs="宋体"/>
          <w:color w:val="231F20"/>
          <w:spacing w:val="-1"/>
        </w:rPr>
        <w:t>-</w:t>
      </w:r>
      <w:r>
        <w:rPr>
          <w:color w:val="231F20"/>
          <w:spacing w:val="-1"/>
        </w:rPr>
        <w:t>25.</w:t>
      </w:r>
    </w:p>
    <w:p w14:paraId="6720D853">
      <w:pPr>
        <w:pStyle w:val="6"/>
        <w:spacing w:before="109" w:line="216" w:lineRule="auto"/>
        <w:ind w:left="1050"/>
      </w:pPr>
      <w:r>
        <w:rPr>
          <w:color w:val="231F20"/>
          <w:spacing w:val="-1"/>
        </w:rPr>
        <w:t>[15]</w:t>
      </w:r>
      <w:r>
        <w:rPr>
          <w:color w:val="231F20"/>
          <w:spacing w:val="24"/>
          <w:w w:val="102"/>
        </w:rPr>
        <w:t xml:space="preserve"> </w:t>
      </w:r>
      <w:r>
        <w:rPr>
          <w:rFonts w:ascii="楷体" w:hAnsi="楷体" w:eastAsia="楷体" w:cs="楷体"/>
          <w:color w:val="231F20"/>
          <w:spacing w:val="-1"/>
        </w:rPr>
        <w:t>岳圣淞</w:t>
      </w:r>
      <w:r>
        <w:rPr>
          <w:rFonts w:ascii="楷体" w:hAnsi="楷体" w:eastAsia="楷体" w:cs="楷体"/>
          <w:color w:val="231F20"/>
          <w:spacing w:val="-33"/>
        </w:rPr>
        <w:t xml:space="preserve"> </w:t>
      </w:r>
      <w:r>
        <w:rPr>
          <w:color w:val="231F20"/>
          <w:spacing w:val="-1"/>
        </w:rPr>
        <w:t>.</w:t>
      </w:r>
      <w:r>
        <w:rPr>
          <w:color w:val="231F20"/>
          <w:spacing w:val="17"/>
          <w:w w:val="101"/>
        </w:rPr>
        <w:t xml:space="preserve"> </w:t>
      </w:r>
      <w:r>
        <w:rPr>
          <w:rFonts w:ascii="楷体" w:hAnsi="楷体" w:eastAsia="楷体" w:cs="楷体"/>
          <w:color w:val="231F20"/>
          <w:spacing w:val="-1"/>
        </w:rPr>
        <w:t>第五次国际产业转移中的中国与东南亚</w:t>
      </w:r>
      <w:r>
        <w:rPr>
          <w:rFonts w:ascii="楷体" w:hAnsi="楷体" w:eastAsia="楷体" w:cs="楷体"/>
          <w:color w:val="231F20"/>
          <w:spacing w:val="-37"/>
        </w:rPr>
        <w:t xml:space="preserve"> </w:t>
      </w:r>
      <w:r>
        <w:rPr>
          <w:color w:val="231F20"/>
          <w:spacing w:val="-1"/>
        </w:rPr>
        <w:t>:</w:t>
      </w:r>
      <w:r>
        <w:rPr>
          <w:color w:val="231F20"/>
          <w:spacing w:val="37"/>
          <w:w w:val="101"/>
        </w:rPr>
        <w:t xml:space="preserve"> </w:t>
      </w:r>
      <w:r>
        <w:rPr>
          <w:rFonts w:ascii="楷体" w:hAnsi="楷体" w:eastAsia="楷体" w:cs="楷体"/>
          <w:color w:val="231F20"/>
          <w:spacing w:val="-1"/>
        </w:rPr>
        <w:t>比较优势与政策选择</w:t>
      </w:r>
      <w:r>
        <w:rPr>
          <w:rFonts w:ascii="楷体" w:hAnsi="楷体" w:eastAsia="楷体" w:cs="楷体"/>
          <w:color w:val="231F20"/>
          <w:spacing w:val="-35"/>
        </w:rPr>
        <w:t xml:space="preserve"> </w:t>
      </w:r>
      <w:r>
        <w:rPr>
          <w:color w:val="231F20"/>
          <w:spacing w:val="-1"/>
        </w:rPr>
        <w:t>[J].</w:t>
      </w:r>
      <w:r>
        <w:rPr>
          <w:color w:val="231F20"/>
          <w:spacing w:val="29"/>
          <w:w w:val="101"/>
        </w:rPr>
        <w:t xml:space="preserve"> </w:t>
      </w:r>
      <w:r>
        <w:rPr>
          <w:rFonts w:ascii="楷体" w:hAnsi="楷体" w:eastAsia="楷体" w:cs="楷体"/>
          <w:color w:val="231F20"/>
          <w:spacing w:val="-1"/>
        </w:rPr>
        <w:t>东南亚研究</w:t>
      </w:r>
      <w:r>
        <w:rPr>
          <w:rFonts w:ascii="楷体" w:hAnsi="楷体" w:eastAsia="楷体" w:cs="楷体"/>
          <w:color w:val="231F20"/>
          <w:spacing w:val="-35"/>
        </w:rPr>
        <w:t xml:space="preserve"> </w:t>
      </w:r>
      <w:r>
        <w:rPr>
          <w:color w:val="231F20"/>
          <w:spacing w:val="-1"/>
        </w:rPr>
        <w:t>, 2021</w:t>
      </w:r>
      <w:r>
        <w:rPr>
          <w:color w:val="231F20"/>
          <w:spacing w:val="-15"/>
        </w:rPr>
        <w:t xml:space="preserve"> </w:t>
      </w:r>
      <w:r>
        <w:rPr>
          <w:color w:val="231F20"/>
          <w:spacing w:val="-1"/>
        </w:rPr>
        <w:t>(</w:t>
      </w:r>
      <w:r>
        <w:rPr>
          <w:color w:val="231F20"/>
          <w:spacing w:val="-20"/>
        </w:rPr>
        <w:t xml:space="preserve"> </w:t>
      </w:r>
      <w:r>
        <w:rPr>
          <w:color w:val="231F20"/>
          <w:spacing w:val="-1"/>
        </w:rPr>
        <w:t>4</w:t>
      </w:r>
      <w:r>
        <w:rPr>
          <w:color w:val="231F20"/>
          <w:spacing w:val="-19"/>
        </w:rPr>
        <w:t xml:space="preserve"> </w:t>
      </w:r>
      <w:r>
        <w:rPr>
          <w:color w:val="231F20"/>
          <w:spacing w:val="-1"/>
        </w:rPr>
        <w:t>):124</w:t>
      </w:r>
      <w:r>
        <w:rPr>
          <w:rFonts w:ascii="宋体" w:hAnsi="宋体" w:eastAsia="宋体" w:cs="宋体"/>
          <w:color w:val="231F20"/>
          <w:spacing w:val="-1"/>
        </w:rPr>
        <w:t>-</w:t>
      </w:r>
      <w:r>
        <w:rPr>
          <w:color w:val="231F20"/>
          <w:spacing w:val="-1"/>
        </w:rPr>
        <w:t>149.</w:t>
      </w:r>
    </w:p>
    <w:p w14:paraId="1DFCDE52">
      <w:pPr>
        <w:pStyle w:val="6"/>
        <w:spacing w:before="110" w:line="216" w:lineRule="auto"/>
        <w:ind w:left="1050"/>
      </w:pPr>
      <w:r>
        <w:rPr>
          <w:color w:val="231F20"/>
          <w:spacing w:val="-1"/>
        </w:rPr>
        <w:t>[16]</w:t>
      </w:r>
      <w:r>
        <w:rPr>
          <w:color w:val="231F20"/>
          <w:spacing w:val="20"/>
          <w:w w:val="101"/>
        </w:rPr>
        <w:t xml:space="preserve"> </w:t>
      </w:r>
      <w:r>
        <w:rPr>
          <w:rFonts w:ascii="楷体" w:hAnsi="楷体" w:eastAsia="楷体" w:cs="楷体"/>
          <w:color w:val="231F20"/>
          <w:spacing w:val="-1"/>
        </w:rPr>
        <w:t>权衡</w:t>
      </w:r>
      <w:r>
        <w:rPr>
          <w:rFonts w:ascii="楷体" w:hAnsi="楷体" w:eastAsia="楷体" w:cs="楷体"/>
          <w:color w:val="231F20"/>
          <w:spacing w:val="-37"/>
        </w:rPr>
        <w:t xml:space="preserve"> </w:t>
      </w:r>
      <w:r>
        <w:rPr>
          <w:color w:val="231F20"/>
          <w:spacing w:val="-1"/>
        </w:rPr>
        <w:t>,</w:t>
      </w:r>
      <w:r>
        <w:rPr>
          <w:color w:val="231F20"/>
          <w:spacing w:val="26"/>
          <w:w w:val="101"/>
        </w:rPr>
        <w:t xml:space="preserve"> </w:t>
      </w:r>
      <w:r>
        <w:rPr>
          <w:rFonts w:ascii="楷体" w:hAnsi="楷体" w:eastAsia="楷体" w:cs="楷体"/>
          <w:color w:val="231F20"/>
          <w:spacing w:val="-1"/>
        </w:rPr>
        <w:t>罗海蓉</w:t>
      </w:r>
      <w:r>
        <w:rPr>
          <w:rFonts w:ascii="楷体" w:hAnsi="楷体" w:eastAsia="楷体" w:cs="楷体"/>
          <w:color w:val="231F20"/>
          <w:spacing w:val="-33"/>
        </w:rPr>
        <w:t xml:space="preserve"> </w:t>
      </w:r>
      <w:r>
        <w:rPr>
          <w:color w:val="231F20"/>
          <w:spacing w:val="-1"/>
        </w:rPr>
        <w:t>.</w:t>
      </w:r>
      <w:r>
        <w:rPr>
          <w:rFonts w:ascii="楷体" w:hAnsi="楷体" w:eastAsia="楷体" w:cs="楷体"/>
          <w:color w:val="231F20"/>
          <w:spacing w:val="-1"/>
        </w:rPr>
        <w:t>“中等收入陷阱”命题与争论</w:t>
      </w:r>
      <w:r>
        <w:rPr>
          <w:rFonts w:ascii="楷体" w:hAnsi="楷体" w:eastAsia="楷体" w:cs="楷体"/>
          <w:color w:val="231F20"/>
          <w:spacing w:val="-37"/>
        </w:rPr>
        <w:t xml:space="preserve"> </w:t>
      </w:r>
      <w:r>
        <w:rPr>
          <w:color w:val="231F20"/>
          <w:spacing w:val="-1"/>
        </w:rPr>
        <w:t>:</w:t>
      </w:r>
      <w:r>
        <w:rPr>
          <w:color w:val="231F20"/>
          <w:spacing w:val="24"/>
        </w:rPr>
        <w:t xml:space="preserve"> </w:t>
      </w:r>
      <w:r>
        <w:rPr>
          <w:rFonts w:ascii="楷体" w:hAnsi="楷体" w:eastAsia="楷体" w:cs="楷体"/>
          <w:color w:val="231F20"/>
          <w:spacing w:val="-1"/>
        </w:rPr>
        <w:t>一个文献研究的视角</w:t>
      </w:r>
      <w:r>
        <w:rPr>
          <w:rFonts w:ascii="楷体" w:hAnsi="楷体" w:eastAsia="楷体" w:cs="楷体"/>
          <w:color w:val="231F20"/>
          <w:spacing w:val="-35"/>
        </w:rPr>
        <w:t xml:space="preserve"> </w:t>
      </w:r>
      <w:r>
        <w:rPr>
          <w:color w:val="231F20"/>
          <w:spacing w:val="-1"/>
        </w:rPr>
        <w:t>[J].</w:t>
      </w:r>
      <w:r>
        <w:rPr>
          <w:color w:val="231F20"/>
          <w:spacing w:val="21"/>
          <w:w w:val="101"/>
        </w:rPr>
        <w:t xml:space="preserve"> </w:t>
      </w:r>
      <w:r>
        <w:rPr>
          <w:rFonts w:ascii="楷体" w:hAnsi="楷体" w:eastAsia="楷体" w:cs="楷体"/>
          <w:color w:val="231F20"/>
          <w:spacing w:val="-1"/>
        </w:rPr>
        <w:t>学术月</w:t>
      </w:r>
      <w:r>
        <w:rPr>
          <w:rFonts w:ascii="楷体" w:hAnsi="楷体" w:eastAsia="楷体" w:cs="楷体"/>
          <w:color w:val="231F20"/>
          <w:spacing w:val="-2"/>
        </w:rPr>
        <w:t>刊</w:t>
      </w:r>
      <w:r>
        <w:rPr>
          <w:rFonts w:ascii="楷体" w:hAnsi="楷体" w:eastAsia="楷体" w:cs="楷体"/>
          <w:color w:val="231F20"/>
          <w:spacing w:val="-36"/>
        </w:rPr>
        <w:t xml:space="preserve"> </w:t>
      </w:r>
      <w:r>
        <w:rPr>
          <w:color w:val="231F20"/>
          <w:spacing w:val="-2"/>
        </w:rPr>
        <w:t>, 2013</w:t>
      </w:r>
      <w:r>
        <w:rPr>
          <w:color w:val="231F20"/>
          <w:spacing w:val="-15"/>
        </w:rPr>
        <w:t xml:space="preserve"> </w:t>
      </w:r>
      <w:r>
        <w:rPr>
          <w:color w:val="231F20"/>
          <w:spacing w:val="-2"/>
        </w:rPr>
        <w:t>( 11</w:t>
      </w:r>
      <w:r>
        <w:rPr>
          <w:color w:val="231F20"/>
          <w:spacing w:val="-18"/>
        </w:rPr>
        <w:t xml:space="preserve"> </w:t>
      </w:r>
      <w:r>
        <w:rPr>
          <w:color w:val="231F20"/>
          <w:spacing w:val="-2"/>
        </w:rPr>
        <w:t>):86</w:t>
      </w:r>
      <w:r>
        <w:rPr>
          <w:rFonts w:ascii="宋体" w:hAnsi="宋体" w:eastAsia="宋体" w:cs="宋体"/>
          <w:color w:val="231F20"/>
          <w:spacing w:val="-2"/>
        </w:rPr>
        <w:t>-</w:t>
      </w:r>
      <w:r>
        <w:rPr>
          <w:color w:val="231F20"/>
          <w:spacing w:val="-2"/>
        </w:rPr>
        <w:t>96.</w:t>
      </w:r>
    </w:p>
    <w:p w14:paraId="6AEC8181">
      <w:pPr>
        <w:pStyle w:val="6"/>
        <w:spacing w:before="109" w:line="216" w:lineRule="auto"/>
        <w:ind w:left="1050"/>
      </w:pPr>
      <w:r>
        <w:rPr>
          <w:color w:val="231F20"/>
          <w:spacing w:val="-1"/>
        </w:rPr>
        <w:t>[17]</w:t>
      </w:r>
      <w:r>
        <w:rPr>
          <w:color w:val="231F20"/>
          <w:spacing w:val="29"/>
        </w:rPr>
        <w:t xml:space="preserve"> </w:t>
      </w:r>
      <w:r>
        <w:rPr>
          <w:rFonts w:ascii="楷体" w:hAnsi="楷体" w:eastAsia="楷体" w:cs="楷体"/>
          <w:color w:val="231F20"/>
          <w:spacing w:val="-1"/>
        </w:rPr>
        <w:t>徐政</w:t>
      </w:r>
      <w:r>
        <w:rPr>
          <w:rFonts w:ascii="楷体" w:hAnsi="楷体" w:eastAsia="楷体" w:cs="楷体"/>
          <w:color w:val="231F20"/>
          <w:spacing w:val="-36"/>
        </w:rPr>
        <w:t xml:space="preserve"> </w:t>
      </w:r>
      <w:r>
        <w:rPr>
          <w:color w:val="231F20"/>
          <w:spacing w:val="-1"/>
        </w:rPr>
        <w:t>,</w:t>
      </w:r>
      <w:r>
        <w:rPr>
          <w:color w:val="231F20"/>
          <w:spacing w:val="12"/>
        </w:rPr>
        <w:t xml:space="preserve"> </w:t>
      </w:r>
      <w:r>
        <w:rPr>
          <w:rFonts w:ascii="楷体" w:hAnsi="楷体" w:eastAsia="楷体" w:cs="楷体"/>
          <w:color w:val="231F20"/>
          <w:spacing w:val="-1"/>
        </w:rPr>
        <w:t>郑霖豪</w:t>
      </w:r>
      <w:r>
        <w:rPr>
          <w:rFonts w:ascii="楷体" w:hAnsi="楷体" w:eastAsia="楷体" w:cs="楷体"/>
          <w:color w:val="231F20"/>
          <w:spacing w:val="-35"/>
        </w:rPr>
        <w:t xml:space="preserve"> </w:t>
      </w:r>
      <w:r>
        <w:rPr>
          <w:color w:val="231F20"/>
          <w:spacing w:val="-1"/>
        </w:rPr>
        <w:t xml:space="preserve">, </w:t>
      </w:r>
      <w:r>
        <w:rPr>
          <w:rFonts w:ascii="楷体" w:hAnsi="楷体" w:eastAsia="楷体" w:cs="楷体"/>
          <w:color w:val="231F20"/>
          <w:spacing w:val="-1"/>
        </w:rPr>
        <w:t>程梦瑶</w:t>
      </w:r>
      <w:r>
        <w:rPr>
          <w:rFonts w:ascii="楷体" w:hAnsi="楷体" w:eastAsia="楷体" w:cs="楷体"/>
          <w:color w:val="231F20"/>
          <w:spacing w:val="-33"/>
        </w:rPr>
        <w:t xml:space="preserve"> </w:t>
      </w:r>
      <w:r>
        <w:rPr>
          <w:color w:val="231F20"/>
          <w:spacing w:val="-1"/>
        </w:rPr>
        <w:t xml:space="preserve">. </w:t>
      </w:r>
      <w:r>
        <w:rPr>
          <w:rFonts w:ascii="楷体" w:hAnsi="楷体" w:eastAsia="楷体" w:cs="楷体"/>
          <w:color w:val="231F20"/>
          <w:spacing w:val="-1"/>
        </w:rPr>
        <w:t>新质生产力赋能高质量发展的内在逻辑与实践构想</w:t>
      </w:r>
      <w:r>
        <w:rPr>
          <w:rFonts w:ascii="楷体" w:hAnsi="楷体" w:eastAsia="楷体" w:cs="楷体"/>
          <w:color w:val="231F20"/>
          <w:spacing w:val="-34"/>
        </w:rPr>
        <w:t xml:space="preserve"> </w:t>
      </w:r>
      <w:r>
        <w:rPr>
          <w:color w:val="231F20"/>
          <w:spacing w:val="-1"/>
        </w:rPr>
        <w:t>[J].</w:t>
      </w:r>
      <w:r>
        <w:rPr>
          <w:color w:val="231F20"/>
          <w:spacing w:val="28"/>
        </w:rPr>
        <w:t xml:space="preserve"> </w:t>
      </w:r>
      <w:r>
        <w:rPr>
          <w:rFonts w:ascii="楷体" w:hAnsi="楷体" w:eastAsia="楷体" w:cs="楷体"/>
          <w:color w:val="231F20"/>
          <w:spacing w:val="-1"/>
        </w:rPr>
        <w:t>当代经济研究</w:t>
      </w:r>
      <w:r>
        <w:rPr>
          <w:rFonts w:ascii="楷体" w:hAnsi="楷体" w:eastAsia="楷体" w:cs="楷体"/>
          <w:color w:val="231F20"/>
          <w:spacing w:val="-36"/>
        </w:rPr>
        <w:t xml:space="preserve"> </w:t>
      </w:r>
      <w:r>
        <w:rPr>
          <w:color w:val="231F20"/>
          <w:spacing w:val="-1"/>
        </w:rPr>
        <w:t>, 2023</w:t>
      </w:r>
      <w:r>
        <w:rPr>
          <w:color w:val="231F20"/>
          <w:spacing w:val="-15"/>
        </w:rPr>
        <w:t xml:space="preserve"> </w:t>
      </w:r>
      <w:r>
        <w:rPr>
          <w:color w:val="231F20"/>
          <w:spacing w:val="-1"/>
        </w:rPr>
        <w:t>( 11</w:t>
      </w:r>
      <w:r>
        <w:rPr>
          <w:color w:val="231F20"/>
          <w:spacing w:val="-18"/>
        </w:rPr>
        <w:t xml:space="preserve"> </w:t>
      </w:r>
      <w:r>
        <w:rPr>
          <w:color w:val="231F20"/>
          <w:spacing w:val="-1"/>
        </w:rPr>
        <w:t>):51</w:t>
      </w:r>
      <w:r>
        <w:rPr>
          <w:rFonts w:ascii="宋体" w:hAnsi="宋体" w:eastAsia="宋体" w:cs="宋体"/>
          <w:color w:val="231F20"/>
          <w:spacing w:val="-1"/>
        </w:rPr>
        <w:t>-</w:t>
      </w:r>
      <w:r>
        <w:rPr>
          <w:color w:val="231F20"/>
          <w:spacing w:val="-1"/>
        </w:rPr>
        <w:t>58.</w:t>
      </w:r>
    </w:p>
    <w:p w14:paraId="47264C8C">
      <w:pPr>
        <w:pStyle w:val="6"/>
        <w:spacing w:before="109" w:line="219" w:lineRule="auto"/>
        <w:ind w:left="1050"/>
      </w:pPr>
      <w:r>
        <w:rPr>
          <w:color w:val="231F20"/>
          <w:spacing w:val="-2"/>
        </w:rPr>
        <w:t>[18]</w:t>
      </w:r>
      <w:r>
        <w:rPr>
          <w:color w:val="231F20"/>
          <w:spacing w:val="42"/>
          <w:w w:val="101"/>
        </w:rPr>
        <w:t xml:space="preserve"> </w:t>
      </w:r>
      <w:r>
        <w:rPr>
          <w:rFonts w:ascii="楷体" w:hAnsi="楷体" w:eastAsia="楷体" w:cs="楷体"/>
          <w:color w:val="231F20"/>
          <w:spacing w:val="-2"/>
        </w:rPr>
        <w:t>习近平</w:t>
      </w:r>
      <w:r>
        <w:rPr>
          <w:rFonts w:ascii="楷体" w:hAnsi="楷体" w:eastAsia="楷体" w:cs="楷体"/>
          <w:color w:val="231F20"/>
          <w:spacing w:val="-33"/>
        </w:rPr>
        <w:t xml:space="preserve"> </w:t>
      </w:r>
      <w:r>
        <w:rPr>
          <w:color w:val="231F20"/>
          <w:spacing w:val="-2"/>
        </w:rPr>
        <w:t>.</w:t>
      </w:r>
      <w:r>
        <w:rPr>
          <w:color w:val="231F20"/>
          <w:spacing w:val="27"/>
          <w:w w:val="101"/>
        </w:rPr>
        <w:t xml:space="preserve"> </w:t>
      </w:r>
      <w:r>
        <w:rPr>
          <w:rFonts w:ascii="楷体" w:hAnsi="楷体" w:eastAsia="楷体" w:cs="楷体"/>
          <w:color w:val="231F20"/>
          <w:spacing w:val="-2"/>
        </w:rPr>
        <w:t>习近平谈治国理政</w:t>
      </w:r>
      <w:r>
        <w:rPr>
          <w:rFonts w:ascii="楷体" w:hAnsi="楷体" w:eastAsia="楷体" w:cs="楷体"/>
          <w:color w:val="231F20"/>
          <w:spacing w:val="-38"/>
        </w:rPr>
        <w:t xml:space="preserve"> </w:t>
      </w:r>
      <w:r>
        <w:rPr>
          <w:color w:val="231F20"/>
          <w:spacing w:val="-2"/>
        </w:rPr>
        <w:t>:</w:t>
      </w:r>
      <w:r>
        <w:rPr>
          <w:color w:val="231F20"/>
          <w:spacing w:val="32"/>
          <w:w w:val="101"/>
        </w:rPr>
        <w:t xml:space="preserve"> </w:t>
      </w:r>
      <w:r>
        <w:rPr>
          <w:rFonts w:ascii="楷体" w:hAnsi="楷体" w:eastAsia="楷体" w:cs="楷体"/>
          <w:color w:val="231F20"/>
          <w:spacing w:val="-2"/>
        </w:rPr>
        <w:t>第</w:t>
      </w:r>
      <w:r>
        <w:rPr>
          <w:rFonts w:ascii="楷体" w:hAnsi="楷体" w:eastAsia="楷体" w:cs="楷体"/>
          <w:color w:val="231F20"/>
          <w:spacing w:val="-41"/>
        </w:rPr>
        <w:t xml:space="preserve"> </w:t>
      </w:r>
      <w:r>
        <w:rPr>
          <w:color w:val="231F20"/>
          <w:spacing w:val="-2"/>
        </w:rPr>
        <w:t xml:space="preserve">2 </w:t>
      </w:r>
      <w:r>
        <w:rPr>
          <w:rFonts w:ascii="楷体" w:hAnsi="楷体" w:eastAsia="楷体" w:cs="楷体"/>
          <w:color w:val="231F20"/>
          <w:spacing w:val="-2"/>
        </w:rPr>
        <w:t>卷</w:t>
      </w:r>
      <w:r>
        <w:rPr>
          <w:rFonts w:ascii="楷体" w:hAnsi="楷体" w:eastAsia="楷体" w:cs="楷体"/>
          <w:color w:val="231F20"/>
          <w:spacing w:val="-35"/>
        </w:rPr>
        <w:t xml:space="preserve"> </w:t>
      </w:r>
      <w:r>
        <w:rPr>
          <w:color w:val="231F20"/>
          <w:spacing w:val="-2"/>
        </w:rPr>
        <w:t>[M].</w:t>
      </w:r>
      <w:r>
        <w:rPr>
          <w:color w:val="231F20"/>
          <w:spacing w:val="15"/>
        </w:rPr>
        <w:t xml:space="preserve"> </w:t>
      </w:r>
      <w:r>
        <w:rPr>
          <w:rFonts w:ascii="楷体" w:hAnsi="楷体" w:eastAsia="楷体" w:cs="楷体"/>
          <w:color w:val="231F20"/>
          <w:spacing w:val="-2"/>
        </w:rPr>
        <w:t>北京</w:t>
      </w:r>
      <w:r>
        <w:rPr>
          <w:rFonts w:ascii="楷体" w:hAnsi="楷体" w:eastAsia="楷体" w:cs="楷体"/>
          <w:color w:val="231F20"/>
          <w:spacing w:val="-38"/>
        </w:rPr>
        <w:t xml:space="preserve"> </w:t>
      </w:r>
      <w:r>
        <w:rPr>
          <w:color w:val="231F20"/>
          <w:spacing w:val="-2"/>
        </w:rPr>
        <w:t>:</w:t>
      </w:r>
      <w:r>
        <w:rPr>
          <w:color w:val="231F20"/>
          <w:spacing w:val="29"/>
        </w:rPr>
        <w:t xml:space="preserve"> </w:t>
      </w:r>
      <w:r>
        <w:rPr>
          <w:rFonts w:ascii="楷体" w:hAnsi="楷体" w:eastAsia="楷体" w:cs="楷体"/>
          <w:color w:val="231F20"/>
          <w:spacing w:val="-2"/>
        </w:rPr>
        <w:t>外文出版社</w:t>
      </w:r>
      <w:r>
        <w:rPr>
          <w:rFonts w:ascii="楷体" w:hAnsi="楷体" w:eastAsia="楷体" w:cs="楷体"/>
          <w:color w:val="231F20"/>
          <w:spacing w:val="-36"/>
        </w:rPr>
        <w:t xml:space="preserve"> </w:t>
      </w:r>
      <w:r>
        <w:rPr>
          <w:color w:val="231F20"/>
          <w:spacing w:val="-2"/>
        </w:rPr>
        <w:t xml:space="preserve">, </w:t>
      </w:r>
      <w:r>
        <w:rPr>
          <w:color w:val="231F20"/>
          <w:spacing w:val="-3"/>
        </w:rPr>
        <w:t>2017:240.</w:t>
      </w:r>
    </w:p>
    <w:p w14:paraId="195D55C7">
      <w:pPr>
        <w:pStyle w:val="6"/>
        <w:spacing w:before="107" w:line="216" w:lineRule="auto"/>
        <w:ind w:left="1049"/>
      </w:pPr>
      <w:r>
        <w:rPr>
          <w:color w:val="231F20"/>
          <w:spacing w:val="-1"/>
        </w:rPr>
        <w:t>[19]</w:t>
      </w:r>
      <w:r>
        <w:rPr>
          <w:color w:val="231F20"/>
          <w:spacing w:val="22"/>
        </w:rPr>
        <w:t xml:space="preserve"> </w:t>
      </w:r>
      <w:r>
        <w:rPr>
          <w:rFonts w:ascii="楷体" w:hAnsi="楷体" w:eastAsia="楷体" w:cs="楷体"/>
          <w:color w:val="231F20"/>
          <w:spacing w:val="-1"/>
        </w:rPr>
        <w:t>黄群慧</w:t>
      </w:r>
      <w:r>
        <w:rPr>
          <w:rFonts w:ascii="楷体" w:hAnsi="楷体" w:eastAsia="楷体" w:cs="楷体"/>
          <w:color w:val="231F20"/>
          <w:spacing w:val="-35"/>
        </w:rPr>
        <w:t xml:space="preserve"> </w:t>
      </w:r>
      <w:r>
        <w:rPr>
          <w:color w:val="231F20"/>
          <w:spacing w:val="-1"/>
        </w:rPr>
        <w:t xml:space="preserve">, </w:t>
      </w:r>
      <w:r>
        <w:rPr>
          <w:rFonts w:ascii="楷体" w:hAnsi="楷体" w:eastAsia="楷体" w:cs="楷体"/>
          <w:color w:val="231F20"/>
          <w:spacing w:val="-1"/>
        </w:rPr>
        <w:t>黄阳华</w:t>
      </w:r>
      <w:r>
        <w:rPr>
          <w:rFonts w:ascii="楷体" w:hAnsi="楷体" w:eastAsia="楷体" w:cs="楷体"/>
          <w:color w:val="231F20"/>
          <w:spacing w:val="-36"/>
        </w:rPr>
        <w:t xml:space="preserve"> </w:t>
      </w:r>
      <w:r>
        <w:rPr>
          <w:color w:val="231F20"/>
          <w:spacing w:val="-1"/>
        </w:rPr>
        <w:t>,</w:t>
      </w:r>
      <w:r>
        <w:rPr>
          <w:color w:val="231F20"/>
          <w:spacing w:val="12"/>
          <w:w w:val="101"/>
        </w:rPr>
        <w:t xml:space="preserve"> </w:t>
      </w:r>
      <w:r>
        <w:rPr>
          <w:rFonts w:ascii="楷体" w:hAnsi="楷体" w:eastAsia="楷体" w:cs="楷体"/>
          <w:color w:val="231F20"/>
          <w:spacing w:val="-1"/>
        </w:rPr>
        <w:t>贺俊</w:t>
      </w:r>
      <w:r>
        <w:rPr>
          <w:rFonts w:ascii="楷体" w:hAnsi="楷体" w:eastAsia="楷体" w:cs="楷体"/>
          <w:color w:val="231F20"/>
          <w:spacing w:val="-35"/>
        </w:rPr>
        <w:t xml:space="preserve"> </w:t>
      </w:r>
      <w:r>
        <w:rPr>
          <w:color w:val="231F20"/>
          <w:spacing w:val="-1"/>
        </w:rPr>
        <w:t xml:space="preserve">, </w:t>
      </w:r>
      <w:r>
        <w:rPr>
          <w:rFonts w:ascii="楷体" w:hAnsi="楷体" w:eastAsia="楷体" w:cs="楷体"/>
          <w:color w:val="231F20"/>
          <w:spacing w:val="-1"/>
        </w:rPr>
        <w:t>等</w:t>
      </w:r>
      <w:r>
        <w:rPr>
          <w:rFonts w:ascii="楷体" w:hAnsi="楷体" w:eastAsia="楷体" w:cs="楷体"/>
          <w:color w:val="231F20"/>
          <w:spacing w:val="-33"/>
        </w:rPr>
        <w:t xml:space="preserve"> </w:t>
      </w:r>
      <w:r>
        <w:rPr>
          <w:color w:val="231F20"/>
          <w:spacing w:val="-1"/>
        </w:rPr>
        <w:t>.</w:t>
      </w:r>
      <w:r>
        <w:rPr>
          <w:color w:val="231F20"/>
          <w:spacing w:val="20"/>
        </w:rPr>
        <w:t xml:space="preserve"> </w:t>
      </w:r>
      <w:r>
        <w:rPr>
          <w:rFonts w:ascii="楷体" w:hAnsi="楷体" w:eastAsia="楷体" w:cs="楷体"/>
          <w:color w:val="231F20"/>
          <w:spacing w:val="-1"/>
        </w:rPr>
        <w:t>面向中等收入阶段</w:t>
      </w:r>
      <w:r>
        <w:rPr>
          <w:rFonts w:ascii="楷体" w:hAnsi="楷体" w:eastAsia="楷体" w:cs="楷体"/>
          <w:color w:val="231F20"/>
          <w:spacing w:val="-2"/>
        </w:rPr>
        <w:t>的中国工业化战略研究</w:t>
      </w:r>
      <w:r>
        <w:rPr>
          <w:rFonts w:ascii="楷体" w:hAnsi="楷体" w:eastAsia="楷体" w:cs="楷体"/>
          <w:color w:val="231F20"/>
          <w:spacing w:val="-35"/>
        </w:rPr>
        <w:t xml:space="preserve"> </w:t>
      </w:r>
      <w:r>
        <w:rPr>
          <w:color w:val="231F20"/>
          <w:spacing w:val="-2"/>
        </w:rPr>
        <w:t xml:space="preserve">[J].  </w:t>
      </w:r>
      <w:r>
        <w:rPr>
          <w:rFonts w:ascii="楷体" w:hAnsi="楷体" w:eastAsia="楷体" w:cs="楷体"/>
          <w:color w:val="231F20"/>
          <w:spacing w:val="-2"/>
        </w:rPr>
        <w:t>中国社会科学</w:t>
      </w:r>
      <w:r>
        <w:rPr>
          <w:rFonts w:ascii="楷体" w:hAnsi="楷体" w:eastAsia="楷体" w:cs="楷体"/>
          <w:color w:val="231F20"/>
          <w:spacing w:val="-35"/>
        </w:rPr>
        <w:t xml:space="preserve"> </w:t>
      </w:r>
      <w:r>
        <w:rPr>
          <w:color w:val="231F20"/>
          <w:spacing w:val="-2"/>
        </w:rPr>
        <w:t>, 2017</w:t>
      </w:r>
      <w:r>
        <w:rPr>
          <w:color w:val="231F20"/>
          <w:spacing w:val="-15"/>
        </w:rPr>
        <w:t xml:space="preserve"> </w:t>
      </w:r>
      <w:r>
        <w:rPr>
          <w:color w:val="231F20"/>
          <w:spacing w:val="-2"/>
        </w:rPr>
        <w:t>( 12</w:t>
      </w:r>
      <w:r>
        <w:rPr>
          <w:color w:val="231F20"/>
          <w:spacing w:val="-19"/>
        </w:rPr>
        <w:t xml:space="preserve"> </w:t>
      </w:r>
      <w:r>
        <w:rPr>
          <w:color w:val="231F20"/>
          <w:spacing w:val="-2"/>
        </w:rPr>
        <w:t>):94</w:t>
      </w:r>
      <w:r>
        <w:rPr>
          <w:rFonts w:ascii="宋体" w:hAnsi="宋体" w:eastAsia="宋体" w:cs="宋体"/>
          <w:color w:val="231F20"/>
          <w:spacing w:val="-2"/>
        </w:rPr>
        <w:t>-</w:t>
      </w:r>
      <w:r>
        <w:rPr>
          <w:color w:val="231F20"/>
          <w:spacing w:val="-2"/>
        </w:rPr>
        <w:t>116</w:t>
      </w:r>
    </w:p>
    <w:p w14:paraId="7489D1DE">
      <w:pPr>
        <w:pStyle w:val="6"/>
        <w:spacing w:before="109" w:line="216" w:lineRule="auto"/>
        <w:ind w:left="1049"/>
      </w:pPr>
      <w:r>
        <w:rPr>
          <w:color w:val="231F20"/>
        </w:rPr>
        <w:t>[20]</w:t>
      </w:r>
      <w:r>
        <w:rPr>
          <w:color w:val="231F20"/>
          <w:spacing w:val="33"/>
          <w:w w:val="101"/>
        </w:rPr>
        <w:t xml:space="preserve"> </w:t>
      </w:r>
      <w:r>
        <w:rPr>
          <w:rFonts w:ascii="楷体" w:hAnsi="楷体" w:eastAsia="楷体" w:cs="楷体"/>
          <w:color w:val="231F20"/>
        </w:rPr>
        <w:t>张建华</w:t>
      </w:r>
      <w:r>
        <w:rPr>
          <w:rFonts w:ascii="楷体" w:hAnsi="楷体" w:eastAsia="楷体" w:cs="楷体"/>
          <w:color w:val="231F20"/>
          <w:spacing w:val="-35"/>
        </w:rPr>
        <w:t xml:space="preserve"> </w:t>
      </w:r>
      <w:r>
        <w:rPr>
          <w:color w:val="231F20"/>
        </w:rPr>
        <w:t xml:space="preserve">, </w:t>
      </w:r>
      <w:r>
        <w:rPr>
          <w:rFonts w:ascii="楷体" w:hAnsi="楷体" w:eastAsia="楷体" w:cs="楷体"/>
          <w:color w:val="231F20"/>
        </w:rPr>
        <w:t>程文</w:t>
      </w:r>
      <w:r>
        <w:rPr>
          <w:rFonts w:ascii="楷体" w:hAnsi="楷体" w:eastAsia="楷体" w:cs="楷体"/>
          <w:color w:val="231F20"/>
          <w:spacing w:val="-33"/>
        </w:rPr>
        <w:t xml:space="preserve"> </w:t>
      </w:r>
      <w:r>
        <w:rPr>
          <w:color w:val="231F20"/>
        </w:rPr>
        <w:t xml:space="preserve">. </w:t>
      </w:r>
      <w:r>
        <w:rPr>
          <w:rFonts w:ascii="楷体" w:hAnsi="楷体" w:eastAsia="楷体" w:cs="楷体"/>
          <w:color w:val="231F20"/>
        </w:rPr>
        <w:t>服务业供给侧结构性改革与跨越中</w:t>
      </w:r>
      <w:r>
        <w:rPr>
          <w:rFonts w:ascii="楷体" w:hAnsi="楷体" w:eastAsia="楷体" w:cs="楷体"/>
          <w:color w:val="231F20"/>
          <w:spacing w:val="-1"/>
        </w:rPr>
        <w:t>等收入陷阱</w:t>
      </w:r>
      <w:r>
        <w:rPr>
          <w:rFonts w:ascii="楷体" w:hAnsi="楷体" w:eastAsia="楷体" w:cs="楷体"/>
          <w:color w:val="231F20"/>
          <w:spacing w:val="-34"/>
        </w:rPr>
        <w:t xml:space="preserve"> </w:t>
      </w:r>
      <w:r>
        <w:rPr>
          <w:color w:val="231F20"/>
          <w:spacing w:val="-1"/>
        </w:rPr>
        <w:t>[J].</w:t>
      </w:r>
      <w:r>
        <w:rPr>
          <w:color w:val="231F20"/>
          <w:spacing w:val="30"/>
        </w:rPr>
        <w:t xml:space="preserve"> </w:t>
      </w:r>
      <w:r>
        <w:rPr>
          <w:rFonts w:ascii="楷体" w:hAnsi="楷体" w:eastAsia="楷体" w:cs="楷体"/>
          <w:color w:val="231F20"/>
          <w:spacing w:val="-1"/>
        </w:rPr>
        <w:t>中国社会科学</w:t>
      </w:r>
      <w:r>
        <w:rPr>
          <w:rFonts w:ascii="楷体" w:hAnsi="楷体" w:eastAsia="楷体" w:cs="楷体"/>
          <w:color w:val="231F20"/>
          <w:spacing w:val="-35"/>
        </w:rPr>
        <w:t xml:space="preserve"> </w:t>
      </w:r>
      <w:r>
        <w:rPr>
          <w:color w:val="231F20"/>
          <w:spacing w:val="-1"/>
        </w:rPr>
        <w:t>, 2019</w:t>
      </w:r>
      <w:r>
        <w:rPr>
          <w:color w:val="231F20"/>
          <w:spacing w:val="-15"/>
        </w:rPr>
        <w:t xml:space="preserve"> </w:t>
      </w:r>
      <w:r>
        <w:rPr>
          <w:color w:val="231F20"/>
          <w:spacing w:val="-1"/>
        </w:rPr>
        <w:t>(</w:t>
      </w:r>
      <w:r>
        <w:rPr>
          <w:color w:val="231F20"/>
          <w:spacing w:val="-16"/>
        </w:rPr>
        <w:t xml:space="preserve"> </w:t>
      </w:r>
      <w:r>
        <w:rPr>
          <w:color w:val="231F20"/>
          <w:spacing w:val="-1"/>
        </w:rPr>
        <w:t>3</w:t>
      </w:r>
      <w:r>
        <w:rPr>
          <w:color w:val="231F20"/>
          <w:spacing w:val="-18"/>
        </w:rPr>
        <w:t xml:space="preserve"> </w:t>
      </w:r>
      <w:r>
        <w:rPr>
          <w:color w:val="231F20"/>
          <w:spacing w:val="-1"/>
        </w:rPr>
        <w:t>):39</w:t>
      </w:r>
      <w:r>
        <w:rPr>
          <w:rFonts w:ascii="宋体" w:hAnsi="宋体" w:eastAsia="宋体" w:cs="宋体"/>
          <w:color w:val="231F20"/>
          <w:spacing w:val="-1"/>
        </w:rPr>
        <w:t>-</w:t>
      </w:r>
      <w:r>
        <w:rPr>
          <w:color w:val="231F20"/>
          <w:spacing w:val="-1"/>
        </w:rPr>
        <w:t>61.</w:t>
      </w:r>
    </w:p>
    <w:p w14:paraId="15987D77">
      <w:pPr>
        <w:pStyle w:val="6"/>
        <w:spacing w:before="110" w:line="216" w:lineRule="auto"/>
        <w:ind w:left="1049"/>
      </w:pPr>
      <w:r>
        <w:rPr>
          <w:color w:val="231F20"/>
        </w:rPr>
        <w:t>[21]</w:t>
      </w:r>
      <w:r>
        <w:rPr>
          <w:color w:val="231F20"/>
          <w:spacing w:val="24"/>
          <w:w w:val="102"/>
        </w:rPr>
        <w:t xml:space="preserve"> </w:t>
      </w:r>
      <w:r>
        <w:rPr>
          <w:rFonts w:ascii="楷体" w:hAnsi="楷体" w:eastAsia="楷体" w:cs="楷体"/>
          <w:color w:val="231F20"/>
        </w:rPr>
        <w:t>伍山林</w:t>
      </w:r>
      <w:r>
        <w:rPr>
          <w:rFonts w:ascii="楷体" w:hAnsi="楷体" w:eastAsia="楷体" w:cs="楷体"/>
          <w:color w:val="231F20"/>
          <w:spacing w:val="-33"/>
        </w:rPr>
        <w:t xml:space="preserve"> </w:t>
      </w:r>
      <w:r>
        <w:rPr>
          <w:color w:val="231F20"/>
        </w:rPr>
        <w:t xml:space="preserve">. </w:t>
      </w:r>
      <w:r>
        <w:rPr>
          <w:rFonts w:ascii="楷体" w:hAnsi="楷体" w:eastAsia="楷体" w:cs="楷体"/>
          <w:color w:val="231F20"/>
        </w:rPr>
        <w:t>农业劳动力流动对中国经济增长的贡献</w:t>
      </w:r>
      <w:r>
        <w:rPr>
          <w:rFonts w:ascii="楷体" w:hAnsi="楷体" w:eastAsia="楷体" w:cs="楷体"/>
          <w:color w:val="231F20"/>
          <w:spacing w:val="-34"/>
        </w:rPr>
        <w:t xml:space="preserve"> </w:t>
      </w:r>
      <w:r>
        <w:rPr>
          <w:color w:val="231F20"/>
        </w:rPr>
        <w:t>[J].</w:t>
      </w:r>
      <w:r>
        <w:rPr>
          <w:color w:val="231F20"/>
          <w:spacing w:val="16"/>
        </w:rPr>
        <w:t xml:space="preserve"> </w:t>
      </w:r>
      <w:r>
        <w:rPr>
          <w:rFonts w:ascii="楷体" w:hAnsi="楷体" w:eastAsia="楷体" w:cs="楷体"/>
          <w:color w:val="231F20"/>
        </w:rPr>
        <w:t>经济研究</w:t>
      </w:r>
      <w:r>
        <w:rPr>
          <w:rFonts w:ascii="楷体" w:hAnsi="楷体" w:eastAsia="楷体" w:cs="楷体"/>
          <w:color w:val="231F20"/>
          <w:spacing w:val="-35"/>
        </w:rPr>
        <w:t xml:space="preserve"> </w:t>
      </w:r>
      <w:r>
        <w:rPr>
          <w:color w:val="231F20"/>
        </w:rPr>
        <w:t>, 2016</w:t>
      </w:r>
      <w:r>
        <w:rPr>
          <w:color w:val="231F20"/>
          <w:spacing w:val="-16"/>
        </w:rPr>
        <w:t xml:space="preserve"> </w:t>
      </w:r>
      <w:r>
        <w:rPr>
          <w:color w:val="231F20"/>
        </w:rPr>
        <w:t>(</w:t>
      </w:r>
      <w:r>
        <w:rPr>
          <w:color w:val="231F20"/>
          <w:spacing w:val="-18"/>
        </w:rPr>
        <w:t xml:space="preserve"> </w:t>
      </w:r>
      <w:r>
        <w:rPr>
          <w:color w:val="231F20"/>
        </w:rPr>
        <w:t>2</w:t>
      </w:r>
      <w:r>
        <w:rPr>
          <w:color w:val="231F20"/>
          <w:spacing w:val="-19"/>
        </w:rPr>
        <w:t xml:space="preserve"> </w:t>
      </w:r>
      <w:r>
        <w:rPr>
          <w:color w:val="231F20"/>
        </w:rPr>
        <w:t>):97</w:t>
      </w:r>
      <w:r>
        <w:rPr>
          <w:rFonts w:ascii="宋体" w:hAnsi="宋体" w:eastAsia="宋体" w:cs="宋体"/>
          <w:color w:val="231F20"/>
        </w:rPr>
        <w:t>-</w:t>
      </w:r>
      <w:r>
        <w:rPr>
          <w:color w:val="231F20"/>
        </w:rPr>
        <w:t>110.</w:t>
      </w:r>
    </w:p>
    <w:p w14:paraId="514D3293">
      <w:pPr>
        <w:pStyle w:val="6"/>
        <w:spacing w:before="109" w:line="216" w:lineRule="auto"/>
        <w:ind w:left="1049"/>
      </w:pPr>
      <w:r>
        <w:rPr>
          <w:color w:val="231F20"/>
        </w:rPr>
        <w:t>[22]</w:t>
      </w:r>
      <w:r>
        <w:rPr>
          <w:color w:val="231F20"/>
          <w:spacing w:val="20"/>
          <w:w w:val="101"/>
        </w:rPr>
        <w:t xml:space="preserve"> </w:t>
      </w:r>
      <w:r>
        <w:rPr>
          <w:rFonts w:ascii="楷体" w:hAnsi="楷体" w:eastAsia="楷体" w:cs="楷体"/>
          <w:color w:val="231F20"/>
        </w:rPr>
        <w:t>蔡防</w:t>
      </w:r>
      <w:r>
        <w:rPr>
          <w:rFonts w:ascii="楷体" w:hAnsi="楷体" w:eastAsia="楷体" w:cs="楷体"/>
          <w:color w:val="231F20"/>
          <w:spacing w:val="-33"/>
        </w:rPr>
        <w:t xml:space="preserve"> </w:t>
      </w:r>
      <w:r>
        <w:rPr>
          <w:color w:val="231F20"/>
        </w:rPr>
        <w:t xml:space="preserve">. </w:t>
      </w:r>
      <w:r>
        <w:rPr>
          <w:rFonts w:ascii="楷体" w:hAnsi="楷体" w:eastAsia="楷体" w:cs="楷体"/>
          <w:color w:val="231F20"/>
        </w:rPr>
        <w:t>人口红利</w:t>
      </w:r>
      <w:r>
        <w:rPr>
          <w:rFonts w:ascii="楷体" w:hAnsi="楷体" w:eastAsia="楷体" w:cs="楷体"/>
          <w:color w:val="231F20"/>
          <w:spacing w:val="-37"/>
        </w:rPr>
        <w:t xml:space="preserve"> </w:t>
      </w:r>
      <w:r>
        <w:rPr>
          <w:color w:val="231F20"/>
        </w:rPr>
        <w:t>:</w:t>
      </w:r>
      <w:r>
        <w:rPr>
          <w:color w:val="231F20"/>
          <w:spacing w:val="19"/>
        </w:rPr>
        <w:t xml:space="preserve"> </w:t>
      </w:r>
      <w:r>
        <w:rPr>
          <w:rFonts w:ascii="楷体" w:hAnsi="楷体" w:eastAsia="楷体" w:cs="楷体"/>
          <w:color w:val="231F20"/>
        </w:rPr>
        <w:t>认识中国经济增长的</w:t>
      </w:r>
      <w:r>
        <w:rPr>
          <w:rFonts w:ascii="楷体" w:hAnsi="楷体" w:eastAsia="楷体" w:cs="楷体"/>
          <w:color w:val="231F20"/>
          <w:spacing w:val="-1"/>
        </w:rPr>
        <w:t>有益框架</w:t>
      </w:r>
      <w:r>
        <w:rPr>
          <w:rFonts w:ascii="楷体" w:hAnsi="楷体" w:eastAsia="楷体" w:cs="楷体"/>
          <w:color w:val="231F20"/>
          <w:spacing w:val="-35"/>
        </w:rPr>
        <w:t xml:space="preserve"> </w:t>
      </w:r>
      <w:r>
        <w:rPr>
          <w:color w:val="231F20"/>
          <w:spacing w:val="-1"/>
        </w:rPr>
        <w:t>[J].</w:t>
      </w:r>
      <w:r>
        <w:rPr>
          <w:color w:val="231F20"/>
          <w:spacing w:val="16"/>
          <w:w w:val="101"/>
        </w:rPr>
        <w:t xml:space="preserve"> </w:t>
      </w:r>
      <w:r>
        <w:rPr>
          <w:rFonts w:ascii="楷体" w:hAnsi="楷体" w:eastAsia="楷体" w:cs="楷体"/>
          <w:color w:val="231F20"/>
          <w:spacing w:val="-1"/>
        </w:rPr>
        <w:t>经济研究</w:t>
      </w:r>
      <w:r>
        <w:rPr>
          <w:rFonts w:ascii="楷体" w:hAnsi="楷体" w:eastAsia="楷体" w:cs="楷体"/>
          <w:color w:val="231F20"/>
          <w:spacing w:val="-36"/>
        </w:rPr>
        <w:t xml:space="preserve"> </w:t>
      </w:r>
      <w:r>
        <w:rPr>
          <w:color w:val="231F20"/>
          <w:spacing w:val="-1"/>
        </w:rPr>
        <w:t>, 2022</w:t>
      </w:r>
      <w:r>
        <w:rPr>
          <w:color w:val="231F20"/>
          <w:spacing w:val="-15"/>
        </w:rPr>
        <w:t xml:space="preserve"> </w:t>
      </w:r>
      <w:r>
        <w:rPr>
          <w:color w:val="231F20"/>
          <w:spacing w:val="-1"/>
        </w:rPr>
        <w:t>( 10</w:t>
      </w:r>
      <w:r>
        <w:rPr>
          <w:color w:val="231F20"/>
          <w:spacing w:val="-18"/>
        </w:rPr>
        <w:t xml:space="preserve"> </w:t>
      </w:r>
      <w:r>
        <w:rPr>
          <w:color w:val="231F20"/>
          <w:spacing w:val="-1"/>
        </w:rPr>
        <w:t>):4</w:t>
      </w:r>
      <w:r>
        <w:rPr>
          <w:rFonts w:ascii="宋体" w:hAnsi="宋体" w:eastAsia="宋体" w:cs="宋体"/>
          <w:color w:val="231F20"/>
          <w:spacing w:val="-1"/>
        </w:rPr>
        <w:t>-</w:t>
      </w:r>
      <w:r>
        <w:rPr>
          <w:color w:val="231F20"/>
          <w:spacing w:val="-1"/>
        </w:rPr>
        <w:t>9.</w:t>
      </w:r>
    </w:p>
    <w:p w14:paraId="2C9C73E6">
      <w:pPr>
        <w:pStyle w:val="6"/>
        <w:spacing w:before="110" w:line="216" w:lineRule="auto"/>
        <w:ind w:left="1048"/>
      </w:pPr>
      <w:r>
        <w:rPr>
          <w:color w:val="231F20"/>
        </w:rPr>
        <w:t>[23]</w:t>
      </w:r>
      <w:r>
        <w:rPr>
          <w:color w:val="231F20"/>
          <w:spacing w:val="30"/>
        </w:rPr>
        <w:t xml:space="preserve"> </w:t>
      </w:r>
      <w:r>
        <w:rPr>
          <w:rFonts w:ascii="楷体" w:hAnsi="楷体" w:eastAsia="楷体" w:cs="楷体"/>
          <w:color w:val="231F20"/>
        </w:rPr>
        <w:t>吴雪</w:t>
      </w:r>
      <w:r>
        <w:rPr>
          <w:rFonts w:ascii="楷体" w:hAnsi="楷体" w:eastAsia="楷体" w:cs="楷体"/>
          <w:color w:val="231F20"/>
          <w:spacing w:val="-36"/>
        </w:rPr>
        <w:t xml:space="preserve"> </w:t>
      </w:r>
      <w:r>
        <w:rPr>
          <w:color w:val="231F20"/>
        </w:rPr>
        <w:t xml:space="preserve">, </w:t>
      </w:r>
      <w:r>
        <w:rPr>
          <w:rFonts w:ascii="楷体" w:hAnsi="楷体" w:eastAsia="楷体" w:cs="楷体"/>
          <w:color w:val="231F20"/>
        </w:rPr>
        <w:t>周晓唯</w:t>
      </w:r>
      <w:r>
        <w:rPr>
          <w:rFonts w:ascii="楷体" w:hAnsi="楷体" w:eastAsia="楷体" w:cs="楷体"/>
          <w:color w:val="231F20"/>
          <w:spacing w:val="-32"/>
        </w:rPr>
        <w:t xml:space="preserve"> </w:t>
      </w:r>
      <w:r>
        <w:rPr>
          <w:color w:val="231F20"/>
        </w:rPr>
        <w:t xml:space="preserve">. </w:t>
      </w:r>
      <w:r>
        <w:rPr>
          <w:rFonts w:ascii="楷体" w:hAnsi="楷体" w:eastAsia="楷体" w:cs="楷体"/>
          <w:color w:val="231F20"/>
        </w:rPr>
        <w:t>人口红利、制度红利与中国经济增长</w:t>
      </w:r>
      <w:r>
        <w:rPr>
          <w:rFonts w:ascii="楷体" w:hAnsi="楷体" w:eastAsia="楷体" w:cs="楷体"/>
          <w:color w:val="231F20"/>
          <w:spacing w:val="-34"/>
        </w:rPr>
        <w:t xml:space="preserve"> </w:t>
      </w:r>
      <w:r>
        <w:rPr>
          <w:color w:val="231F20"/>
        </w:rPr>
        <w:t>[J].</w:t>
      </w:r>
      <w:r>
        <w:rPr>
          <w:color w:val="231F20"/>
          <w:spacing w:val="16"/>
        </w:rPr>
        <w:t xml:space="preserve"> </w:t>
      </w:r>
      <w:r>
        <w:rPr>
          <w:rFonts w:ascii="楷体" w:hAnsi="楷体" w:eastAsia="楷体" w:cs="楷体"/>
          <w:color w:val="231F20"/>
        </w:rPr>
        <w:t>经济</w:t>
      </w:r>
      <w:r>
        <w:rPr>
          <w:rFonts w:ascii="楷体" w:hAnsi="楷体" w:eastAsia="楷体" w:cs="楷体"/>
          <w:color w:val="231F20"/>
          <w:spacing w:val="-1"/>
        </w:rPr>
        <w:t>体制改革</w:t>
      </w:r>
      <w:r>
        <w:rPr>
          <w:rFonts w:ascii="楷体" w:hAnsi="楷体" w:eastAsia="楷体" w:cs="楷体"/>
          <w:color w:val="231F20"/>
          <w:spacing w:val="-35"/>
        </w:rPr>
        <w:t xml:space="preserve"> </w:t>
      </w:r>
      <w:r>
        <w:rPr>
          <w:color w:val="231F20"/>
          <w:spacing w:val="-1"/>
        </w:rPr>
        <w:t>, 2017</w:t>
      </w:r>
      <w:r>
        <w:rPr>
          <w:color w:val="231F20"/>
          <w:spacing w:val="-16"/>
        </w:rPr>
        <w:t xml:space="preserve"> </w:t>
      </w:r>
      <w:r>
        <w:rPr>
          <w:color w:val="231F20"/>
          <w:spacing w:val="-1"/>
        </w:rPr>
        <w:t>(</w:t>
      </w:r>
      <w:r>
        <w:rPr>
          <w:color w:val="231F20"/>
          <w:spacing w:val="-15"/>
        </w:rPr>
        <w:t xml:space="preserve"> </w:t>
      </w:r>
      <w:r>
        <w:rPr>
          <w:color w:val="231F20"/>
          <w:spacing w:val="-1"/>
        </w:rPr>
        <w:t>3</w:t>
      </w:r>
      <w:r>
        <w:rPr>
          <w:color w:val="231F20"/>
          <w:spacing w:val="-18"/>
        </w:rPr>
        <w:t xml:space="preserve"> </w:t>
      </w:r>
      <w:r>
        <w:rPr>
          <w:color w:val="231F20"/>
          <w:spacing w:val="-1"/>
        </w:rPr>
        <w:t>):11</w:t>
      </w:r>
      <w:r>
        <w:rPr>
          <w:rFonts w:ascii="宋体" w:hAnsi="宋体" w:eastAsia="宋体" w:cs="宋体"/>
          <w:color w:val="231F20"/>
          <w:spacing w:val="-1"/>
        </w:rPr>
        <w:t>-</w:t>
      </w:r>
      <w:r>
        <w:rPr>
          <w:color w:val="231F20"/>
          <w:spacing w:val="-1"/>
        </w:rPr>
        <w:t>16.</w:t>
      </w:r>
    </w:p>
    <w:p w14:paraId="2E1EA0E3">
      <w:pPr>
        <w:pStyle w:val="6"/>
        <w:spacing w:before="109" w:line="216" w:lineRule="auto"/>
        <w:ind w:left="1048"/>
      </w:pPr>
      <w:r>
        <w:rPr>
          <w:color w:val="231F20"/>
        </w:rPr>
        <w:t>[24]</w:t>
      </w:r>
      <w:r>
        <w:rPr>
          <w:color w:val="231F20"/>
          <w:spacing w:val="23"/>
        </w:rPr>
        <w:t xml:space="preserve"> </w:t>
      </w:r>
      <w:r>
        <w:rPr>
          <w:rFonts w:ascii="楷体" w:hAnsi="楷体" w:eastAsia="楷体" w:cs="楷体"/>
          <w:color w:val="231F20"/>
        </w:rPr>
        <w:t>黄群慧</w:t>
      </w:r>
      <w:r>
        <w:rPr>
          <w:rFonts w:ascii="楷体" w:hAnsi="楷体" w:eastAsia="楷体" w:cs="楷体"/>
          <w:color w:val="231F20"/>
          <w:spacing w:val="-33"/>
        </w:rPr>
        <w:t xml:space="preserve"> </w:t>
      </w:r>
      <w:r>
        <w:rPr>
          <w:color w:val="231F20"/>
        </w:rPr>
        <w:t xml:space="preserve">. </w:t>
      </w:r>
      <w:r>
        <w:rPr>
          <w:rFonts w:ascii="楷体" w:hAnsi="楷体" w:eastAsia="楷体" w:cs="楷体"/>
          <w:color w:val="231F20"/>
        </w:rPr>
        <w:t>新发展理念</w:t>
      </w:r>
      <w:r>
        <w:rPr>
          <w:rFonts w:ascii="楷体" w:hAnsi="楷体" w:eastAsia="楷体" w:cs="楷体"/>
          <w:color w:val="231F20"/>
          <w:spacing w:val="-37"/>
        </w:rPr>
        <w:t xml:space="preserve"> </w:t>
      </w:r>
      <w:r>
        <w:rPr>
          <w:color w:val="231F20"/>
        </w:rPr>
        <w:t>:</w:t>
      </w:r>
      <w:r>
        <w:rPr>
          <w:color w:val="231F20"/>
          <w:spacing w:val="24"/>
        </w:rPr>
        <w:t xml:space="preserve"> </w:t>
      </w:r>
      <w:r>
        <w:rPr>
          <w:rFonts w:ascii="楷体" w:hAnsi="楷体" w:eastAsia="楷体" w:cs="楷体"/>
          <w:color w:val="231F20"/>
        </w:rPr>
        <w:t>一个关于发展的系统的理论体系</w:t>
      </w:r>
      <w:r>
        <w:rPr>
          <w:rFonts w:ascii="楷体" w:hAnsi="楷体" w:eastAsia="楷体" w:cs="楷体"/>
          <w:color w:val="231F20"/>
          <w:spacing w:val="-35"/>
        </w:rPr>
        <w:t xml:space="preserve"> </w:t>
      </w:r>
      <w:r>
        <w:rPr>
          <w:color w:val="231F20"/>
        </w:rPr>
        <w:t>[</w:t>
      </w:r>
      <w:r>
        <w:rPr>
          <w:color w:val="231F20"/>
          <w:spacing w:val="-1"/>
        </w:rPr>
        <w:t>J].</w:t>
      </w:r>
      <w:r>
        <w:rPr>
          <w:color w:val="231F20"/>
          <w:spacing w:val="16"/>
          <w:w w:val="101"/>
        </w:rPr>
        <w:t xml:space="preserve"> </w:t>
      </w:r>
      <w:r>
        <w:rPr>
          <w:rFonts w:ascii="楷体" w:hAnsi="楷体" w:eastAsia="楷体" w:cs="楷体"/>
          <w:color w:val="231F20"/>
          <w:spacing w:val="-1"/>
        </w:rPr>
        <w:t>经济学动态</w:t>
      </w:r>
      <w:r>
        <w:rPr>
          <w:rFonts w:ascii="楷体" w:hAnsi="楷体" w:eastAsia="楷体" w:cs="楷体"/>
          <w:color w:val="231F20"/>
          <w:spacing w:val="-36"/>
        </w:rPr>
        <w:t xml:space="preserve"> </w:t>
      </w:r>
      <w:r>
        <w:rPr>
          <w:color w:val="231F20"/>
          <w:spacing w:val="-1"/>
        </w:rPr>
        <w:t>, 2022</w:t>
      </w:r>
      <w:r>
        <w:rPr>
          <w:color w:val="231F20"/>
          <w:spacing w:val="-15"/>
        </w:rPr>
        <w:t xml:space="preserve"> </w:t>
      </w:r>
      <w:r>
        <w:rPr>
          <w:color w:val="231F20"/>
          <w:spacing w:val="-1"/>
        </w:rPr>
        <w:t>(</w:t>
      </w:r>
      <w:r>
        <w:rPr>
          <w:color w:val="231F20"/>
          <w:spacing w:val="-11"/>
        </w:rPr>
        <w:t xml:space="preserve"> </w:t>
      </w:r>
      <w:r>
        <w:rPr>
          <w:color w:val="231F20"/>
          <w:spacing w:val="-1"/>
        </w:rPr>
        <w:t>8</w:t>
      </w:r>
      <w:r>
        <w:rPr>
          <w:color w:val="231F20"/>
          <w:spacing w:val="-19"/>
        </w:rPr>
        <w:t xml:space="preserve"> </w:t>
      </w:r>
      <w:r>
        <w:rPr>
          <w:color w:val="231F20"/>
          <w:spacing w:val="-1"/>
        </w:rPr>
        <w:t>):13</w:t>
      </w:r>
      <w:r>
        <w:rPr>
          <w:rFonts w:ascii="宋体" w:hAnsi="宋体" w:eastAsia="宋体" w:cs="宋体"/>
          <w:color w:val="231F20"/>
          <w:spacing w:val="-1"/>
        </w:rPr>
        <w:t>-</w:t>
      </w:r>
      <w:r>
        <w:rPr>
          <w:color w:val="231F20"/>
          <w:spacing w:val="-1"/>
        </w:rPr>
        <w:t>24.</w:t>
      </w:r>
    </w:p>
    <w:p w14:paraId="560FC430">
      <w:pPr>
        <w:pStyle w:val="6"/>
        <w:spacing w:before="110" w:line="272" w:lineRule="auto"/>
        <w:ind w:left="1461" w:right="84" w:hanging="413"/>
      </w:pPr>
      <w:r>
        <w:rPr>
          <w:color w:val="231F20"/>
          <w:spacing w:val="-2"/>
        </w:rPr>
        <w:t>[25]</w:t>
      </w:r>
      <w:r>
        <w:rPr>
          <w:color w:val="231F20"/>
          <w:spacing w:val="20"/>
        </w:rPr>
        <w:t xml:space="preserve"> </w:t>
      </w:r>
      <w:r>
        <w:rPr>
          <w:rFonts w:ascii="楷体" w:hAnsi="楷体" w:eastAsia="楷体" w:cs="楷体"/>
          <w:color w:val="231F20"/>
          <w:spacing w:val="-2"/>
        </w:rPr>
        <w:t>程恩富</w:t>
      </w:r>
      <w:r>
        <w:rPr>
          <w:rFonts w:ascii="楷体" w:hAnsi="楷体" w:eastAsia="楷体" w:cs="楷体"/>
          <w:color w:val="231F20"/>
          <w:spacing w:val="-35"/>
        </w:rPr>
        <w:t xml:space="preserve"> </w:t>
      </w:r>
      <w:r>
        <w:rPr>
          <w:color w:val="231F20"/>
          <w:spacing w:val="-2"/>
        </w:rPr>
        <w:t>,</w:t>
      </w:r>
      <w:r>
        <w:rPr>
          <w:color w:val="231F20"/>
          <w:spacing w:val="13"/>
        </w:rPr>
        <w:t xml:space="preserve"> </w:t>
      </w:r>
      <w:r>
        <w:rPr>
          <w:rFonts w:ascii="楷体" w:hAnsi="楷体" w:eastAsia="楷体" w:cs="楷体"/>
          <w:color w:val="231F20"/>
          <w:spacing w:val="-2"/>
        </w:rPr>
        <w:t>刘长明</w:t>
      </w:r>
      <w:r>
        <w:rPr>
          <w:rFonts w:ascii="楷体" w:hAnsi="楷体" w:eastAsia="楷体" w:cs="楷体"/>
          <w:color w:val="231F20"/>
          <w:spacing w:val="-35"/>
        </w:rPr>
        <w:t xml:space="preserve"> </w:t>
      </w:r>
      <w:r>
        <w:rPr>
          <w:color w:val="231F20"/>
          <w:spacing w:val="-2"/>
        </w:rPr>
        <w:t>,</w:t>
      </w:r>
      <w:r>
        <w:rPr>
          <w:color w:val="231F20"/>
          <w:spacing w:val="12"/>
        </w:rPr>
        <w:t xml:space="preserve"> </w:t>
      </w:r>
      <w:r>
        <w:rPr>
          <w:rFonts w:ascii="楷体" w:hAnsi="楷体" w:eastAsia="楷体" w:cs="楷体"/>
          <w:color w:val="231F20"/>
          <w:spacing w:val="-2"/>
        </w:rPr>
        <w:t>李卓儒</w:t>
      </w:r>
      <w:r>
        <w:rPr>
          <w:rFonts w:ascii="楷体" w:hAnsi="楷体" w:eastAsia="楷体" w:cs="楷体"/>
          <w:color w:val="231F20"/>
          <w:spacing w:val="-36"/>
        </w:rPr>
        <w:t xml:space="preserve"> </w:t>
      </w:r>
      <w:r>
        <w:rPr>
          <w:color w:val="231F20"/>
          <w:spacing w:val="-2"/>
        </w:rPr>
        <w:t xml:space="preserve">, </w:t>
      </w:r>
      <w:r>
        <w:rPr>
          <w:rFonts w:ascii="楷体" w:hAnsi="楷体" w:eastAsia="楷体" w:cs="楷体"/>
          <w:color w:val="231F20"/>
          <w:spacing w:val="-2"/>
        </w:rPr>
        <w:t>等</w:t>
      </w:r>
      <w:r>
        <w:rPr>
          <w:rFonts w:ascii="楷体" w:hAnsi="楷体" w:eastAsia="楷体" w:cs="楷体"/>
          <w:color w:val="231F20"/>
          <w:spacing w:val="-32"/>
        </w:rPr>
        <w:t xml:space="preserve"> </w:t>
      </w:r>
      <w:r>
        <w:rPr>
          <w:color w:val="231F20"/>
          <w:spacing w:val="-2"/>
        </w:rPr>
        <w:t xml:space="preserve">.  </w:t>
      </w:r>
      <w:r>
        <w:rPr>
          <w:rFonts w:ascii="楷体" w:hAnsi="楷体" w:eastAsia="楷体" w:cs="楷体"/>
          <w:color w:val="231F20"/>
          <w:spacing w:val="-2"/>
        </w:rPr>
        <w:t>苏联与美国综合国力发展比较</w:t>
      </w:r>
      <w:r>
        <w:rPr>
          <w:rFonts w:ascii="楷体" w:hAnsi="楷体" w:eastAsia="楷体" w:cs="楷体"/>
          <w:color w:val="231F20"/>
          <w:spacing w:val="-37"/>
        </w:rPr>
        <w:t xml:space="preserve"> </w:t>
      </w:r>
      <w:r>
        <w:rPr>
          <w:color w:val="231F20"/>
          <w:spacing w:val="-2"/>
        </w:rPr>
        <w:t>:</w:t>
      </w:r>
      <w:r>
        <w:rPr>
          <w:color w:val="231F20"/>
          <w:spacing w:val="-24"/>
        </w:rPr>
        <w:t xml:space="preserve"> </w:t>
      </w:r>
      <w:r>
        <w:rPr>
          <w:rFonts w:ascii="楷体" w:hAnsi="楷体" w:eastAsia="楷体" w:cs="楷体"/>
          <w:color w:val="231F20"/>
          <w:spacing w:val="-2"/>
        </w:rPr>
        <w:t>“两个如果”的历史假设分析</w:t>
      </w:r>
      <w:r>
        <w:rPr>
          <w:rFonts w:ascii="楷体" w:hAnsi="楷体" w:eastAsia="楷体" w:cs="楷体"/>
          <w:color w:val="231F20"/>
          <w:spacing w:val="-38"/>
        </w:rPr>
        <w:t xml:space="preserve"> </w:t>
      </w:r>
      <w:r>
        <w:rPr>
          <w:color w:val="231F20"/>
          <w:spacing w:val="-2"/>
        </w:rPr>
        <w:t>:</w:t>
      </w:r>
      <w:r>
        <w:rPr>
          <w:color w:val="231F20"/>
          <w:spacing w:val="27"/>
        </w:rPr>
        <w:t xml:space="preserve"> </w:t>
      </w:r>
      <w:r>
        <w:rPr>
          <w:rFonts w:ascii="楷体" w:hAnsi="楷体" w:eastAsia="楷体" w:cs="楷体"/>
          <w:color w:val="231F20"/>
          <w:spacing w:val="-2"/>
        </w:rPr>
        <w:t>兼论苏</w:t>
      </w:r>
      <w:r>
        <w:rPr>
          <w:rFonts w:ascii="楷体" w:hAnsi="楷体" w:eastAsia="楷体" w:cs="楷体"/>
          <w:color w:val="231F20"/>
          <w:spacing w:val="-3"/>
        </w:rPr>
        <w:t>联被摧毁的</w:t>
      </w:r>
      <w:r>
        <w:rPr>
          <w:rFonts w:ascii="楷体" w:hAnsi="楷体" w:eastAsia="楷体" w:cs="楷体"/>
          <w:color w:val="231F20"/>
        </w:rPr>
        <w:t>国内外主因</w:t>
      </w:r>
      <w:r>
        <w:rPr>
          <w:rFonts w:ascii="楷体" w:hAnsi="楷体" w:eastAsia="楷体" w:cs="楷体"/>
          <w:color w:val="231F20"/>
          <w:spacing w:val="-35"/>
        </w:rPr>
        <w:t xml:space="preserve"> </w:t>
      </w:r>
      <w:r>
        <w:rPr>
          <w:color w:val="231F20"/>
        </w:rPr>
        <w:t xml:space="preserve">[J]. </w:t>
      </w:r>
      <w:r>
        <w:rPr>
          <w:rFonts w:ascii="楷体" w:hAnsi="楷体" w:eastAsia="楷体" w:cs="楷体"/>
          <w:color w:val="231F20"/>
        </w:rPr>
        <w:t>政治经济学研究</w:t>
      </w:r>
      <w:r>
        <w:rPr>
          <w:rFonts w:ascii="楷体" w:hAnsi="楷体" w:eastAsia="楷体" w:cs="楷体"/>
          <w:color w:val="231F20"/>
          <w:spacing w:val="-35"/>
        </w:rPr>
        <w:t xml:space="preserve"> </w:t>
      </w:r>
      <w:r>
        <w:rPr>
          <w:color w:val="231F20"/>
        </w:rPr>
        <w:t>, 2022</w:t>
      </w:r>
      <w:r>
        <w:rPr>
          <w:color w:val="231F20"/>
          <w:spacing w:val="-15"/>
        </w:rPr>
        <w:t xml:space="preserve"> </w:t>
      </w:r>
      <w:r>
        <w:rPr>
          <w:color w:val="231F20"/>
        </w:rPr>
        <w:t>(</w:t>
      </w:r>
      <w:r>
        <w:rPr>
          <w:color w:val="231F20"/>
          <w:spacing w:val="-20"/>
        </w:rPr>
        <w:t xml:space="preserve"> </w:t>
      </w:r>
      <w:r>
        <w:rPr>
          <w:color w:val="231F20"/>
        </w:rPr>
        <w:t>4</w:t>
      </w:r>
      <w:r>
        <w:rPr>
          <w:color w:val="231F20"/>
          <w:spacing w:val="-19"/>
        </w:rPr>
        <w:t xml:space="preserve"> </w:t>
      </w:r>
      <w:r>
        <w:rPr>
          <w:color w:val="231F20"/>
          <w:spacing w:val="-1"/>
        </w:rPr>
        <w:t>):82</w:t>
      </w:r>
      <w:r>
        <w:rPr>
          <w:rFonts w:ascii="宋体" w:hAnsi="宋体" w:eastAsia="宋体" w:cs="宋体"/>
          <w:color w:val="231F20"/>
          <w:spacing w:val="-1"/>
        </w:rPr>
        <w:t>-</w:t>
      </w:r>
      <w:r>
        <w:rPr>
          <w:color w:val="231F20"/>
          <w:spacing w:val="-1"/>
        </w:rPr>
        <w:t>101.</w:t>
      </w:r>
    </w:p>
    <w:p w14:paraId="76CDB41D">
      <w:pPr>
        <w:spacing w:line="359" w:lineRule="auto"/>
        <w:rPr>
          <w:rFonts w:ascii="Arial"/>
          <w:sz w:val="21"/>
        </w:rPr>
      </w:pPr>
    </w:p>
    <w:p w14:paraId="4D7DB2BB">
      <w:pPr>
        <w:pStyle w:val="6"/>
        <w:spacing w:before="115" w:line="272" w:lineRule="auto"/>
        <w:ind w:left="1276" w:right="21" w:hanging="394"/>
      </w:pPr>
      <w:r>
        <w:rPr>
          <w:color w:val="231F20"/>
          <w:spacing w:val="-1"/>
        </w:rPr>
        <w:t xml:space="preserve">[26]  </w:t>
      </w:r>
      <w:r>
        <w:rPr>
          <w:rFonts w:ascii="楷体" w:hAnsi="楷体" w:eastAsia="楷体" w:cs="楷体"/>
          <w:color w:val="231F20"/>
          <w:spacing w:val="-1"/>
        </w:rPr>
        <w:t xml:space="preserve">中国社会科学院经济研究所《中国经济报告 </w:t>
      </w:r>
      <w:r>
        <w:rPr>
          <w:color w:val="231F20"/>
          <w:spacing w:val="-1"/>
        </w:rPr>
        <w:t>(</w:t>
      </w:r>
      <w:r>
        <w:rPr>
          <w:color w:val="231F20"/>
          <w:spacing w:val="-15"/>
        </w:rPr>
        <w:t xml:space="preserve"> </w:t>
      </w:r>
      <w:r>
        <w:rPr>
          <w:color w:val="231F20"/>
          <w:spacing w:val="-1"/>
        </w:rPr>
        <w:t>2020</w:t>
      </w:r>
      <w:r>
        <w:rPr>
          <w:color w:val="231F20"/>
          <w:spacing w:val="-18"/>
        </w:rPr>
        <w:t xml:space="preserve"> </w:t>
      </w:r>
      <w:r>
        <w:rPr>
          <w:color w:val="231F20"/>
          <w:spacing w:val="-1"/>
        </w:rPr>
        <w:t xml:space="preserve">) </w:t>
      </w:r>
      <w:r>
        <w:rPr>
          <w:rFonts w:ascii="楷体" w:hAnsi="楷体" w:eastAsia="楷体" w:cs="楷体"/>
          <w:color w:val="231F20"/>
          <w:spacing w:val="-1"/>
        </w:rPr>
        <w:t>》总报告组</w:t>
      </w:r>
      <w:r>
        <w:rPr>
          <w:rFonts w:ascii="楷体" w:hAnsi="楷体" w:eastAsia="楷体" w:cs="楷体"/>
          <w:color w:val="231F20"/>
          <w:spacing w:val="-25"/>
        </w:rPr>
        <w:t xml:space="preserve"> </w:t>
      </w:r>
      <w:r>
        <w:rPr>
          <w:color w:val="231F20"/>
          <w:spacing w:val="-1"/>
        </w:rPr>
        <w:t>.</w:t>
      </w:r>
      <w:r>
        <w:rPr>
          <w:color w:val="231F20"/>
          <w:spacing w:val="25"/>
          <w:w w:val="101"/>
        </w:rPr>
        <w:t xml:space="preserve"> </w:t>
      </w:r>
      <w:r>
        <w:rPr>
          <w:rFonts w:ascii="楷体" w:hAnsi="楷体" w:eastAsia="楷体" w:cs="楷体"/>
          <w:color w:val="231F20"/>
          <w:spacing w:val="-1"/>
        </w:rPr>
        <w:t>全球经济大变局、中国潜在增长率与后疫情时期高质量发展</w:t>
      </w:r>
      <w:r>
        <w:rPr>
          <w:rFonts w:ascii="楷体" w:hAnsi="楷体" w:eastAsia="楷体" w:cs="楷体"/>
          <w:color w:val="231F20"/>
          <w:spacing w:val="-20"/>
        </w:rPr>
        <w:t xml:space="preserve"> </w:t>
      </w:r>
      <w:r>
        <w:rPr>
          <w:color w:val="231F20"/>
          <w:spacing w:val="-1"/>
        </w:rPr>
        <w:t>[J].</w:t>
      </w:r>
      <w:r>
        <w:rPr>
          <w:color w:val="231F20"/>
          <w:spacing w:val="16"/>
          <w:w w:val="102"/>
        </w:rPr>
        <w:t xml:space="preserve"> </w:t>
      </w:r>
      <w:r>
        <w:rPr>
          <w:rFonts w:ascii="楷体" w:hAnsi="楷体" w:eastAsia="楷体" w:cs="楷体"/>
          <w:color w:val="231F20"/>
          <w:spacing w:val="-1"/>
        </w:rPr>
        <w:t>经济研究</w:t>
      </w:r>
      <w:r>
        <w:rPr>
          <w:rFonts w:ascii="楷体" w:hAnsi="楷体" w:eastAsia="楷体" w:cs="楷体"/>
          <w:color w:val="231F20"/>
          <w:spacing w:val="-36"/>
        </w:rPr>
        <w:t xml:space="preserve"> </w:t>
      </w:r>
      <w:r>
        <w:rPr>
          <w:color w:val="231F20"/>
          <w:spacing w:val="-1"/>
        </w:rPr>
        <w:t>, 2020</w:t>
      </w:r>
      <w:r>
        <w:rPr>
          <w:color w:val="231F20"/>
          <w:spacing w:val="-15"/>
        </w:rPr>
        <w:t xml:space="preserve"> </w:t>
      </w:r>
      <w:r>
        <w:rPr>
          <w:color w:val="231F20"/>
          <w:spacing w:val="-1"/>
        </w:rPr>
        <w:t>(</w:t>
      </w:r>
      <w:r>
        <w:rPr>
          <w:color w:val="231F20"/>
          <w:spacing w:val="-11"/>
        </w:rPr>
        <w:t xml:space="preserve"> </w:t>
      </w:r>
      <w:r>
        <w:rPr>
          <w:color w:val="231F20"/>
          <w:spacing w:val="-1"/>
        </w:rPr>
        <w:t>8</w:t>
      </w:r>
      <w:r>
        <w:rPr>
          <w:color w:val="231F20"/>
          <w:spacing w:val="-19"/>
        </w:rPr>
        <w:t xml:space="preserve"> </w:t>
      </w:r>
      <w:r>
        <w:rPr>
          <w:color w:val="231F20"/>
          <w:spacing w:val="-1"/>
        </w:rPr>
        <w:t>):4</w:t>
      </w:r>
      <w:r>
        <w:rPr>
          <w:rFonts w:ascii="宋体" w:hAnsi="宋体" w:eastAsia="宋体" w:cs="宋体"/>
          <w:color w:val="231F20"/>
          <w:spacing w:val="-1"/>
        </w:rPr>
        <w:t>-</w:t>
      </w:r>
      <w:r>
        <w:rPr>
          <w:color w:val="231F20"/>
          <w:spacing w:val="-1"/>
        </w:rPr>
        <w:t>23.</w:t>
      </w:r>
    </w:p>
    <w:p w14:paraId="385A8C28">
      <w:pPr>
        <w:pStyle w:val="6"/>
        <w:spacing w:before="109" w:line="272" w:lineRule="auto"/>
        <w:ind w:left="1289" w:right="8" w:hanging="407"/>
      </w:pPr>
      <w:r>
        <w:rPr>
          <w:color w:val="231F20"/>
          <w:spacing w:val="9"/>
        </w:rPr>
        <w:t>[27]</w:t>
      </w:r>
      <w:r>
        <w:rPr>
          <w:color w:val="231F20"/>
          <w:spacing w:val="33"/>
        </w:rPr>
        <w:t xml:space="preserve"> </w:t>
      </w:r>
      <w:r>
        <w:rPr>
          <w:rFonts w:ascii="楷体" w:hAnsi="楷体" w:eastAsia="楷体" w:cs="楷体"/>
          <w:color w:val="231F20"/>
          <w:spacing w:val="9"/>
        </w:rPr>
        <w:t>张晓晶</w:t>
      </w:r>
      <w:r>
        <w:rPr>
          <w:rFonts w:ascii="楷体" w:hAnsi="楷体" w:eastAsia="楷体" w:cs="楷体"/>
          <w:color w:val="231F20"/>
          <w:spacing w:val="-32"/>
        </w:rPr>
        <w:t xml:space="preserve"> </w:t>
      </w:r>
      <w:r>
        <w:rPr>
          <w:color w:val="231F20"/>
          <w:spacing w:val="9"/>
        </w:rPr>
        <w:t>,</w:t>
      </w:r>
      <w:r>
        <w:rPr>
          <w:color w:val="231F20"/>
          <w:spacing w:val="21"/>
        </w:rPr>
        <w:t xml:space="preserve"> </w:t>
      </w:r>
      <w:r>
        <w:rPr>
          <w:rFonts w:ascii="楷体" w:hAnsi="楷体" w:eastAsia="楷体" w:cs="楷体"/>
          <w:color w:val="231F20"/>
          <w:spacing w:val="9"/>
        </w:rPr>
        <w:t>汪勇</w:t>
      </w:r>
      <w:r>
        <w:rPr>
          <w:rFonts w:ascii="楷体" w:hAnsi="楷体" w:eastAsia="楷体" w:cs="楷体"/>
          <w:color w:val="231F20"/>
          <w:spacing w:val="-29"/>
        </w:rPr>
        <w:t xml:space="preserve"> </w:t>
      </w:r>
      <w:r>
        <w:rPr>
          <w:color w:val="231F20"/>
          <w:spacing w:val="9"/>
        </w:rPr>
        <w:t>.</w:t>
      </w:r>
      <w:r>
        <w:rPr>
          <w:color w:val="231F20"/>
          <w:spacing w:val="33"/>
        </w:rPr>
        <w:t xml:space="preserve"> </w:t>
      </w:r>
      <w:r>
        <w:rPr>
          <w:rFonts w:ascii="楷体" w:hAnsi="楷体" w:eastAsia="楷体" w:cs="楷体"/>
          <w:color w:val="231F20"/>
          <w:spacing w:val="9"/>
        </w:rPr>
        <w:t>社会主义现代化远景目标下的经济增长展望</w:t>
      </w:r>
      <w:r>
        <w:rPr>
          <w:rFonts w:ascii="楷体" w:hAnsi="楷体" w:eastAsia="楷体" w:cs="楷体"/>
          <w:color w:val="231F20"/>
          <w:spacing w:val="-34"/>
        </w:rPr>
        <w:t xml:space="preserve"> </w:t>
      </w:r>
      <w:r>
        <w:rPr>
          <w:color w:val="231F20"/>
          <w:spacing w:val="9"/>
        </w:rPr>
        <w:t>:</w:t>
      </w:r>
      <w:r>
        <w:rPr>
          <w:color w:val="231F20"/>
          <w:spacing w:val="23"/>
          <w:w w:val="101"/>
        </w:rPr>
        <w:t xml:space="preserve"> </w:t>
      </w:r>
      <w:r>
        <w:rPr>
          <w:rFonts w:ascii="楷体" w:hAnsi="楷体" w:eastAsia="楷体" w:cs="楷体"/>
          <w:color w:val="231F20"/>
          <w:spacing w:val="9"/>
        </w:rPr>
        <w:t>基于潜在经济增长率的测</w:t>
      </w:r>
      <w:r>
        <w:rPr>
          <w:rFonts w:ascii="楷体" w:hAnsi="楷体" w:eastAsia="楷体" w:cs="楷体"/>
          <w:color w:val="231F20"/>
          <w:spacing w:val="8"/>
        </w:rPr>
        <w:t>算</w:t>
      </w:r>
      <w:r>
        <w:rPr>
          <w:rFonts w:ascii="楷体" w:hAnsi="楷体" w:eastAsia="楷体" w:cs="楷体"/>
          <w:color w:val="231F20"/>
          <w:spacing w:val="-31"/>
        </w:rPr>
        <w:t xml:space="preserve"> </w:t>
      </w:r>
      <w:r>
        <w:rPr>
          <w:color w:val="231F20"/>
          <w:spacing w:val="8"/>
        </w:rPr>
        <w:t>[J].</w:t>
      </w:r>
      <w:r>
        <w:rPr>
          <w:color w:val="231F20"/>
          <w:spacing w:val="34"/>
        </w:rPr>
        <w:t xml:space="preserve"> </w:t>
      </w:r>
      <w:r>
        <w:rPr>
          <w:rFonts w:ascii="楷体" w:hAnsi="楷体" w:eastAsia="楷体" w:cs="楷体"/>
          <w:color w:val="231F20"/>
          <w:spacing w:val="8"/>
        </w:rPr>
        <w:t>中国社会科</w:t>
      </w:r>
      <w:r>
        <w:rPr>
          <w:rFonts w:ascii="楷体" w:hAnsi="楷体" w:eastAsia="楷体" w:cs="楷体"/>
          <w:color w:val="231F20"/>
          <w:spacing w:val="-2"/>
        </w:rPr>
        <w:t>学</w:t>
      </w:r>
      <w:r>
        <w:rPr>
          <w:rFonts w:ascii="楷体" w:hAnsi="楷体" w:eastAsia="楷体" w:cs="楷体"/>
          <w:color w:val="231F20"/>
          <w:spacing w:val="-28"/>
        </w:rPr>
        <w:t xml:space="preserve"> </w:t>
      </w:r>
      <w:r>
        <w:rPr>
          <w:color w:val="231F20"/>
          <w:spacing w:val="-2"/>
        </w:rPr>
        <w:t>, 2023</w:t>
      </w:r>
      <w:r>
        <w:rPr>
          <w:color w:val="231F20"/>
          <w:spacing w:val="-15"/>
        </w:rPr>
        <w:t xml:space="preserve"> </w:t>
      </w:r>
      <w:r>
        <w:rPr>
          <w:color w:val="231F20"/>
          <w:spacing w:val="-2"/>
        </w:rPr>
        <w:t>(</w:t>
      </w:r>
      <w:r>
        <w:rPr>
          <w:color w:val="231F20"/>
          <w:spacing w:val="-20"/>
        </w:rPr>
        <w:t xml:space="preserve"> </w:t>
      </w:r>
      <w:r>
        <w:rPr>
          <w:color w:val="231F20"/>
          <w:spacing w:val="-2"/>
        </w:rPr>
        <w:t>4</w:t>
      </w:r>
      <w:r>
        <w:rPr>
          <w:color w:val="231F20"/>
          <w:spacing w:val="-18"/>
        </w:rPr>
        <w:t xml:space="preserve"> </w:t>
      </w:r>
      <w:r>
        <w:rPr>
          <w:color w:val="231F20"/>
          <w:spacing w:val="-2"/>
        </w:rPr>
        <w:t>):4</w:t>
      </w:r>
      <w:r>
        <w:rPr>
          <w:rFonts w:ascii="宋体" w:hAnsi="宋体" w:eastAsia="宋体" w:cs="宋体"/>
          <w:color w:val="231F20"/>
          <w:spacing w:val="-2"/>
        </w:rPr>
        <w:t>-</w:t>
      </w:r>
      <w:r>
        <w:rPr>
          <w:color w:val="231F20"/>
          <w:spacing w:val="-2"/>
        </w:rPr>
        <w:t>25.</w:t>
      </w:r>
    </w:p>
    <w:p w14:paraId="21D3E302">
      <w:pPr>
        <w:pStyle w:val="6"/>
        <w:spacing w:before="109" w:line="216" w:lineRule="auto"/>
        <w:ind w:left="882"/>
      </w:pPr>
      <w:r>
        <w:rPr>
          <w:color w:val="231F20"/>
        </w:rPr>
        <w:t>[28]</w:t>
      </w:r>
      <w:r>
        <w:rPr>
          <w:color w:val="231F20"/>
          <w:spacing w:val="32"/>
          <w:w w:val="101"/>
        </w:rPr>
        <w:t xml:space="preserve"> </w:t>
      </w:r>
      <w:r>
        <w:rPr>
          <w:rFonts w:ascii="楷体" w:hAnsi="楷体" w:eastAsia="楷体" w:cs="楷体"/>
          <w:color w:val="231F20"/>
        </w:rPr>
        <w:t>江宇</w:t>
      </w:r>
      <w:r>
        <w:rPr>
          <w:rFonts w:ascii="楷体" w:hAnsi="楷体" w:eastAsia="楷体" w:cs="楷体"/>
          <w:color w:val="231F20"/>
          <w:spacing w:val="-33"/>
        </w:rPr>
        <w:t xml:space="preserve"> </w:t>
      </w:r>
      <w:r>
        <w:rPr>
          <w:color w:val="231F20"/>
        </w:rPr>
        <w:t xml:space="preserve">. </w:t>
      </w:r>
      <w:r>
        <w:rPr>
          <w:rFonts w:ascii="楷体" w:hAnsi="楷体" w:eastAsia="楷体" w:cs="楷体"/>
          <w:color w:val="231F20"/>
        </w:rPr>
        <w:t>稳住经济的关键是发挥社会主义制度优势</w:t>
      </w:r>
      <w:r>
        <w:rPr>
          <w:rFonts w:ascii="楷体" w:hAnsi="楷体" w:eastAsia="楷体" w:cs="楷体"/>
          <w:color w:val="231F20"/>
          <w:spacing w:val="-34"/>
        </w:rPr>
        <w:t xml:space="preserve"> </w:t>
      </w:r>
      <w:r>
        <w:rPr>
          <w:color w:val="231F20"/>
        </w:rPr>
        <w:t>[J].</w:t>
      </w:r>
      <w:r>
        <w:rPr>
          <w:color w:val="231F20"/>
          <w:spacing w:val="16"/>
        </w:rPr>
        <w:t xml:space="preserve"> </w:t>
      </w:r>
      <w:r>
        <w:rPr>
          <w:rFonts w:ascii="楷体" w:hAnsi="楷体" w:eastAsia="楷体" w:cs="楷体"/>
          <w:color w:val="231F20"/>
        </w:rPr>
        <w:t>海派经</w:t>
      </w:r>
      <w:r>
        <w:rPr>
          <w:rFonts w:ascii="楷体" w:hAnsi="楷体" w:eastAsia="楷体" w:cs="楷体"/>
          <w:color w:val="231F20"/>
          <w:spacing w:val="-1"/>
        </w:rPr>
        <w:t>济学</w:t>
      </w:r>
      <w:r>
        <w:rPr>
          <w:rFonts w:ascii="楷体" w:hAnsi="楷体" w:eastAsia="楷体" w:cs="楷体"/>
          <w:color w:val="231F20"/>
          <w:spacing w:val="-35"/>
        </w:rPr>
        <w:t xml:space="preserve"> </w:t>
      </w:r>
      <w:r>
        <w:rPr>
          <w:color w:val="231F20"/>
          <w:spacing w:val="-1"/>
        </w:rPr>
        <w:t>, 2023</w:t>
      </w:r>
      <w:r>
        <w:rPr>
          <w:color w:val="231F20"/>
          <w:spacing w:val="-16"/>
        </w:rPr>
        <w:t xml:space="preserve"> </w:t>
      </w:r>
      <w:r>
        <w:rPr>
          <w:color w:val="231F20"/>
          <w:spacing w:val="-1"/>
        </w:rPr>
        <w:t>( 1</w:t>
      </w:r>
      <w:r>
        <w:rPr>
          <w:color w:val="231F20"/>
          <w:spacing w:val="-18"/>
        </w:rPr>
        <w:t xml:space="preserve"> </w:t>
      </w:r>
      <w:r>
        <w:rPr>
          <w:color w:val="231F20"/>
          <w:spacing w:val="-1"/>
        </w:rPr>
        <w:t>):227</w:t>
      </w:r>
      <w:r>
        <w:rPr>
          <w:rFonts w:ascii="宋体" w:hAnsi="宋体" w:eastAsia="宋体" w:cs="宋体"/>
          <w:color w:val="231F20"/>
          <w:spacing w:val="-1"/>
        </w:rPr>
        <w:t>-</w:t>
      </w:r>
      <w:r>
        <w:rPr>
          <w:color w:val="231F20"/>
          <w:spacing w:val="-1"/>
        </w:rPr>
        <w:t>228.</w:t>
      </w:r>
    </w:p>
    <w:p w14:paraId="1D6DC34E">
      <w:pPr>
        <w:pStyle w:val="6"/>
        <w:spacing w:before="109" w:line="216" w:lineRule="auto"/>
        <w:ind w:left="882"/>
      </w:pPr>
      <w:r>
        <w:rPr>
          <w:color w:val="231F20"/>
          <w:spacing w:val="-1"/>
        </w:rPr>
        <w:t>[29]</w:t>
      </w:r>
      <w:r>
        <w:rPr>
          <w:color w:val="231F20"/>
          <w:spacing w:val="36"/>
        </w:rPr>
        <w:t xml:space="preserve"> </w:t>
      </w:r>
      <w:r>
        <w:rPr>
          <w:rFonts w:ascii="楷体" w:hAnsi="楷体" w:eastAsia="楷体" w:cs="楷体"/>
          <w:color w:val="231F20"/>
          <w:spacing w:val="-1"/>
        </w:rPr>
        <w:t>伍山林</w:t>
      </w:r>
      <w:r>
        <w:rPr>
          <w:rFonts w:ascii="楷体" w:hAnsi="楷体" w:eastAsia="楷体" w:cs="楷体"/>
          <w:color w:val="231F20"/>
          <w:spacing w:val="-33"/>
        </w:rPr>
        <w:t xml:space="preserve"> </w:t>
      </w:r>
      <w:r>
        <w:rPr>
          <w:color w:val="231F20"/>
          <w:spacing w:val="-1"/>
        </w:rPr>
        <w:t>.</w:t>
      </w:r>
      <w:r>
        <w:rPr>
          <w:color w:val="231F20"/>
          <w:spacing w:val="28"/>
        </w:rPr>
        <w:t xml:space="preserve"> </w:t>
      </w:r>
      <w:r>
        <w:rPr>
          <w:rFonts w:ascii="楷体" w:hAnsi="楷体" w:eastAsia="楷体" w:cs="楷体"/>
          <w:color w:val="231F20"/>
          <w:spacing w:val="-1"/>
        </w:rPr>
        <w:t>国有企业效率评价理论检视</w:t>
      </w:r>
      <w:r>
        <w:rPr>
          <w:rFonts w:ascii="楷体" w:hAnsi="楷体" w:eastAsia="楷体" w:cs="楷体"/>
          <w:color w:val="231F20"/>
          <w:spacing w:val="-37"/>
        </w:rPr>
        <w:t xml:space="preserve"> </w:t>
      </w:r>
      <w:r>
        <w:rPr>
          <w:color w:val="231F20"/>
          <w:spacing w:val="-1"/>
        </w:rPr>
        <w:t>:</w:t>
      </w:r>
      <w:r>
        <w:rPr>
          <w:color w:val="231F20"/>
          <w:spacing w:val="21"/>
        </w:rPr>
        <w:t xml:space="preserve"> </w:t>
      </w:r>
      <w:r>
        <w:rPr>
          <w:rFonts w:ascii="楷体" w:hAnsi="楷体" w:eastAsia="楷体" w:cs="楷体"/>
          <w:color w:val="231F20"/>
          <w:spacing w:val="-1"/>
        </w:rPr>
        <w:t>新自由主义观点批判</w:t>
      </w:r>
      <w:r>
        <w:rPr>
          <w:rFonts w:ascii="楷体" w:hAnsi="楷体" w:eastAsia="楷体" w:cs="楷体"/>
          <w:color w:val="231F20"/>
          <w:spacing w:val="-35"/>
        </w:rPr>
        <w:t xml:space="preserve"> </w:t>
      </w:r>
      <w:r>
        <w:rPr>
          <w:color w:val="231F20"/>
          <w:spacing w:val="-1"/>
        </w:rPr>
        <w:t>[J].</w:t>
      </w:r>
      <w:r>
        <w:rPr>
          <w:color w:val="231F20"/>
          <w:spacing w:val="16"/>
          <w:w w:val="101"/>
        </w:rPr>
        <w:t xml:space="preserve"> </w:t>
      </w:r>
      <w:r>
        <w:rPr>
          <w:rFonts w:ascii="楷体" w:hAnsi="楷体" w:eastAsia="楷体" w:cs="楷体"/>
          <w:color w:val="231F20"/>
          <w:spacing w:val="-1"/>
        </w:rPr>
        <w:t>海派经济学</w:t>
      </w:r>
      <w:r>
        <w:rPr>
          <w:rFonts w:ascii="楷体" w:hAnsi="楷体" w:eastAsia="楷体" w:cs="楷体"/>
          <w:color w:val="231F20"/>
          <w:spacing w:val="-35"/>
        </w:rPr>
        <w:t xml:space="preserve"> </w:t>
      </w:r>
      <w:r>
        <w:rPr>
          <w:color w:val="231F20"/>
          <w:spacing w:val="-1"/>
        </w:rPr>
        <w:t>, 2017</w:t>
      </w:r>
      <w:r>
        <w:rPr>
          <w:color w:val="231F20"/>
          <w:spacing w:val="-16"/>
        </w:rPr>
        <w:t xml:space="preserve"> </w:t>
      </w:r>
      <w:r>
        <w:rPr>
          <w:color w:val="231F20"/>
          <w:spacing w:val="-1"/>
        </w:rPr>
        <w:t>(</w:t>
      </w:r>
      <w:r>
        <w:rPr>
          <w:color w:val="231F20"/>
          <w:spacing w:val="-18"/>
        </w:rPr>
        <w:t xml:space="preserve"> </w:t>
      </w:r>
      <w:r>
        <w:rPr>
          <w:color w:val="231F20"/>
          <w:spacing w:val="-1"/>
        </w:rPr>
        <w:t>2</w:t>
      </w:r>
      <w:r>
        <w:rPr>
          <w:color w:val="231F20"/>
          <w:spacing w:val="-19"/>
        </w:rPr>
        <w:t xml:space="preserve"> </w:t>
      </w:r>
      <w:r>
        <w:rPr>
          <w:color w:val="231F20"/>
          <w:spacing w:val="-1"/>
        </w:rPr>
        <w:t>):63</w:t>
      </w:r>
      <w:r>
        <w:rPr>
          <w:rFonts w:ascii="宋体" w:hAnsi="宋体" w:eastAsia="宋体" w:cs="宋体"/>
          <w:color w:val="231F20"/>
          <w:spacing w:val="-1"/>
        </w:rPr>
        <w:t>-</w:t>
      </w:r>
      <w:r>
        <w:rPr>
          <w:color w:val="231F20"/>
          <w:spacing w:val="-1"/>
        </w:rPr>
        <w:t>75.</w:t>
      </w:r>
    </w:p>
    <w:p w14:paraId="6E2ED46F">
      <w:pPr>
        <w:pStyle w:val="6"/>
        <w:spacing w:before="109" w:line="216" w:lineRule="auto"/>
        <w:ind w:left="881"/>
      </w:pPr>
      <w:r>
        <w:rPr>
          <w:color w:val="231F20"/>
          <w:spacing w:val="-1"/>
        </w:rPr>
        <w:t>[30]</w:t>
      </w:r>
      <w:r>
        <w:rPr>
          <w:color w:val="231F20"/>
          <w:spacing w:val="28"/>
          <w:w w:val="102"/>
        </w:rPr>
        <w:t xml:space="preserve"> </w:t>
      </w:r>
      <w:r>
        <w:rPr>
          <w:rFonts w:ascii="楷体" w:hAnsi="楷体" w:eastAsia="楷体" w:cs="楷体"/>
          <w:color w:val="231F20"/>
          <w:spacing w:val="-1"/>
        </w:rPr>
        <w:t>刘元春</w:t>
      </w:r>
      <w:r>
        <w:rPr>
          <w:rFonts w:ascii="楷体" w:hAnsi="楷体" w:eastAsia="楷体" w:cs="楷体"/>
          <w:color w:val="231F20"/>
          <w:spacing w:val="-33"/>
        </w:rPr>
        <w:t xml:space="preserve"> </w:t>
      </w:r>
      <w:r>
        <w:rPr>
          <w:color w:val="231F20"/>
          <w:spacing w:val="-1"/>
        </w:rPr>
        <w:t>.</w:t>
      </w:r>
      <w:r>
        <w:rPr>
          <w:color w:val="231F20"/>
          <w:spacing w:val="28"/>
        </w:rPr>
        <w:t xml:space="preserve"> </w:t>
      </w:r>
      <w:r>
        <w:rPr>
          <w:rFonts w:ascii="楷体" w:hAnsi="楷体" w:eastAsia="楷体" w:cs="楷体"/>
          <w:color w:val="231F20"/>
          <w:spacing w:val="-1"/>
        </w:rPr>
        <w:t>国有企业宏观效率论</w:t>
      </w:r>
      <w:r>
        <w:rPr>
          <w:rFonts w:ascii="楷体" w:hAnsi="楷体" w:eastAsia="楷体" w:cs="楷体"/>
          <w:color w:val="231F20"/>
          <w:spacing w:val="-35"/>
        </w:rPr>
        <w:t xml:space="preserve"> </w:t>
      </w:r>
      <w:r>
        <w:rPr>
          <w:color w:val="231F20"/>
          <w:spacing w:val="-1"/>
        </w:rPr>
        <w:t>[J].</w:t>
      </w:r>
      <w:r>
        <w:rPr>
          <w:color w:val="231F20"/>
          <w:spacing w:val="30"/>
          <w:w w:val="101"/>
        </w:rPr>
        <w:t xml:space="preserve"> </w:t>
      </w:r>
      <w:r>
        <w:rPr>
          <w:rFonts w:ascii="楷体" w:hAnsi="楷体" w:eastAsia="楷体" w:cs="楷体"/>
          <w:color w:val="231F20"/>
          <w:spacing w:val="-1"/>
        </w:rPr>
        <w:t>中国社会科学</w:t>
      </w:r>
      <w:r>
        <w:rPr>
          <w:rFonts w:ascii="楷体" w:hAnsi="楷体" w:eastAsia="楷体" w:cs="楷体"/>
          <w:color w:val="231F20"/>
          <w:spacing w:val="-35"/>
        </w:rPr>
        <w:t xml:space="preserve"> </w:t>
      </w:r>
      <w:r>
        <w:rPr>
          <w:color w:val="231F20"/>
          <w:spacing w:val="-1"/>
        </w:rPr>
        <w:t>, 2001</w:t>
      </w:r>
      <w:r>
        <w:rPr>
          <w:color w:val="231F20"/>
          <w:spacing w:val="-16"/>
        </w:rPr>
        <w:t xml:space="preserve"> </w:t>
      </w:r>
      <w:r>
        <w:rPr>
          <w:color w:val="231F20"/>
          <w:spacing w:val="-1"/>
        </w:rPr>
        <w:t>(</w:t>
      </w:r>
      <w:r>
        <w:rPr>
          <w:color w:val="231F20"/>
          <w:spacing w:val="-13"/>
        </w:rPr>
        <w:t xml:space="preserve"> </w:t>
      </w:r>
      <w:r>
        <w:rPr>
          <w:color w:val="231F20"/>
          <w:spacing w:val="-1"/>
        </w:rPr>
        <w:t>5</w:t>
      </w:r>
      <w:r>
        <w:rPr>
          <w:color w:val="231F20"/>
          <w:spacing w:val="-19"/>
        </w:rPr>
        <w:t xml:space="preserve"> </w:t>
      </w:r>
      <w:r>
        <w:rPr>
          <w:color w:val="231F20"/>
          <w:spacing w:val="-1"/>
        </w:rPr>
        <w:t>):69</w:t>
      </w:r>
      <w:r>
        <w:rPr>
          <w:rFonts w:ascii="宋体" w:hAnsi="宋体" w:eastAsia="宋体" w:cs="宋体"/>
          <w:color w:val="231F20"/>
          <w:spacing w:val="-1"/>
        </w:rPr>
        <w:t>-</w:t>
      </w:r>
      <w:r>
        <w:rPr>
          <w:color w:val="231F20"/>
          <w:spacing w:val="-1"/>
        </w:rPr>
        <w:t>8</w:t>
      </w:r>
      <w:r>
        <w:rPr>
          <w:color w:val="231F20"/>
          <w:spacing w:val="-2"/>
        </w:rPr>
        <w:t>1.</w:t>
      </w:r>
    </w:p>
    <w:p w14:paraId="576855D5">
      <w:pPr>
        <w:pStyle w:val="6"/>
        <w:spacing w:before="110" w:line="219" w:lineRule="auto"/>
        <w:ind w:left="881"/>
      </w:pPr>
      <w:r>
        <w:rPr>
          <w:color w:val="231F20"/>
          <w:spacing w:val="-1"/>
        </w:rPr>
        <w:t>[31]</w:t>
      </w:r>
      <w:r>
        <w:rPr>
          <w:color w:val="231F20"/>
          <w:spacing w:val="20"/>
        </w:rPr>
        <w:t xml:space="preserve"> </w:t>
      </w:r>
      <w:r>
        <w:rPr>
          <w:rFonts w:ascii="楷体" w:hAnsi="楷体" w:eastAsia="楷体" w:cs="楷体"/>
          <w:color w:val="231F20"/>
          <w:spacing w:val="-1"/>
        </w:rPr>
        <w:t>蔡来兴</w:t>
      </w:r>
      <w:r>
        <w:rPr>
          <w:rFonts w:ascii="楷体" w:hAnsi="楷体" w:eastAsia="楷体" w:cs="楷体"/>
          <w:color w:val="231F20"/>
          <w:spacing w:val="-32"/>
        </w:rPr>
        <w:t xml:space="preserve"> </w:t>
      </w:r>
      <w:r>
        <w:rPr>
          <w:color w:val="231F20"/>
          <w:spacing w:val="-1"/>
        </w:rPr>
        <w:t>.</w:t>
      </w:r>
      <w:r>
        <w:rPr>
          <w:color w:val="231F20"/>
          <w:spacing w:val="27"/>
          <w:w w:val="101"/>
        </w:rPr>
        <w:t xml:space="preserve"> </w:t>
      </w:r>
      <w:r>
        <w:rPr>
          <w:rFonts w:ascii="楷体" w:hAnsi="楷体" w:eastAsia="楷体" w:cs="楷体"/>
          <w:color w:val="231F20"/>
          <w:spacing w:val="-1"/>
        </w:rPr>
        <w:t>国家战略探索</w:t>
      </w:r>
      <w:r>
        <w:rPr>
          <w:rFonts w:ascii="楷体" w:hAnsi="楷体" w:eastAsia="楷体" w:cs="楷体"/>
          <w:color w:val="231F20"/>
          <w:spacing w:val="-38"/>
        </w:rPr>
        <w:t xml:space="preserve"> </w:t>
      </w:r>
      <w:r>
        <w:rPr>
          <w:color w:val="231F20"/>
          <w:spacing w:val="-1"/>
        </w:rPr>
        <w:t>:</w:t>
      </w:r>
      <w:r>
        <w:rPr>
          <w:color w:val="231F20"/>
          <w:spacing w:val="20"/>
          <w:w w:val="101"/>
        </w:rPr>
        <w:t xml:space="preserve"> </w:t>
      </w:r>
      <w:r>
        <w:rPr>
          <w:rFonts w:ascii="楷体" w:hAnsi="楷体" w:eastAsia="楷体" w:cs="楷体"/>
          <w:color w:val="231F20"/>
          <w:spacing w:val="-1"/>
        </w:rPr>
        <w:t>蔡来兴研究员建言献策</w:t>
      </w:r>
      <w:r>
        <w:rPr>
          <w:rFonts w:ascii="楷体" w:hAnsi="楷体" w:eastAsia="楷体" w:cs="楷体"/>
          <w:color w:val="231F20"/>
          <w:spacing w:val="-2"/>
        </w:rPr>
        <w:t>文集</w:t>
      </w:r>
      <w:r>
        <w:rPr>
          <w:rFonts w:ascii="楷体" w:hAnsi="楷体" w:eastAsia="楷体" w:cs="楷体"/>
          <w:color w:val="231F20"/>
          <w:spacing w:val="-35"/>
        </w:rPr>
        <w:t xml:space="preserve"> </w:t>
      </w:r>
      <w:r>
        <w:rPr>
          <w:color w:val="231F20"/>
          <w:spacing w:val="-2"/>
        </w:rPr>
        <w:t>[M].</w:t>
      </w:r>
      <w:r>
        <w:rPr>
          <w:color w:val="231F20"/>
          <w:spacing w:val="15"/>
        </w:rPr>
        <w:t xml:space="preserve"> </w:t>
      </w:r>
      <w:r>
        <w:rPr>
          <w:rFonts w:ascii="楷体" w:hAnsi="楷体" w:eastAsia="楷体" w:cs="楷体"/>
          <w:color w:val="231F20"/>
          <w:spacing w:val="-2"/>
        </w:rPr>
        <w:t>北京</w:t>
      </w:r>
      <w:r>
        <w:rPr>
          <w:rFonts w:ascii="楷体" w:hAnsi="楷体" w:eastAsia="楷体" w:cs="楷体"/>
          <w:color w:val="231F20"/>
          <w:spacing w:val="-38"/>
        </w:rPr>
        <w:t xml:space="preserve"> </w:t>
      </w:r>
      <w:r>
        <w:rPr>
          <w:color w:val="231F20"/>
          <w:spacing w:val="-2"/>
        </w:rPr>
        <w:t xml:space="preserve">:  </w:t>
      </w:r>
      <w:r>
        <w:rPr>
          <w:rFonts w:ascii="楷体" w:hAnsi="楷体" w:eastAsia="楷体" w:cs="楷体"/>
          <w:color w:val="231F20"/>
          <w:spacing w:val="-2"/>
        </w:rPr>
        <w:t>中国青年出版社</w:t>
      </w:r>
      <w:r>
        <w:rPr>
          <w:rFonts w:ascii="楷体" w:hAnsi="楷体" w:eastAsia="楷体" w:cs="楷体"/>
          <w:color w:val="231F20"/>
          <w:spacing w:val="-35"/>
        </w:rPr>
        <w:t xml:space="preserve"> </w:t>
      </w:r>
      <w:r>
        <w:rPr>
          <w:color w:val="231F20"/>
          <w:spacing w:val="-2"/>
        </w:rPr>
        <w:t>, 2017:114.</w:t>
      </w:r>
    </w:p>
    <w:p w14:paraId="267D0069">
      <w:pPr>
        <w:pStyle w:val="6"/>
        <w:spacing w:before="106" w:line="216" w:lineRule="auto"/>
        <w:ind w:left="881"/>
      </w:pPr>
      <w:r>
        <w:rPr>
          <w:color w:val="231F20"/>
          <w:spacing w:val="-1"/>
        </w:rPr>
        <w:t>[32]</w:t>
      </w:r>
      <w:r>
        <w:rPr>
          <w:color w:val="231F20"/>
          <w:spacing w:val="48"/>
          <w:w w:val="101"/>
        </w:rPr>
        <w:t xml:space="preserve"> </w:t>
      </w:r>
      <w:r>
        <w:rPr>
          <w:rFonts w:ascii="楷体" w:hAnsi="楷体" w:eastAsia="楷体" w:cs="楷体"/>
          <w:color w:val="231F20"/>
          <w:spacing w:val="-1"/>
        </w:rPr>
        <w:t>曹伟</w:t>
      </w:r>
      <w:r>
        <w:rPr>
          <w:rFonts w:ascii="楷体" w:hAnsi="楷体" w:eastAsia="楷体" w:cs="楷体"/>
          <w:color w:val="231F20"/>
          <w:spacing w:val="-36"/>
        </w:rPr>
        <w:t xml:space="preserve"> </w:t>
      </w:r>
      <w:r>
        <w:rPr>
          <w:color w:val="231F20"/>
          <w:spacing w:val="-1"/>
        </w:rPr>
        <w:t>,</w:t>
      </w:r>
      <w:r>
        <w:rPr>
          <w:color w:val="231F20"/>
          <w:spacing w:val="14"/>
          <w:w w:val="101"/>
        </w:rPr>
        <w:t xml:space="preserve"> </w:t>
      </w:r>
      <w:r>
        <w:rPr>
          <w:rFonts w:ascii="楷体" w:hAnsi="楷体" w:eastAsia="楷体" w:cs="楷体"/>
          <w:color w:val="231F20"/>
          <w:spacing w:val="-1"/>
        </w:rPr>
        <w:t>冯颖姣</w:t>
      </w:r>
      <w:r>
        <w:rPr>
          <w:rFonts w:ascii="楷体" w:hAnsi="楷体" w:eastAsia="楷体" w:cs="楷体"/>
          <w:color w:val="231F20"/>
          <w:spacing w:val="-35"/>
        </w:rPr>
        <w:t xml:space="preserve"> </w:t>
      </w:r>
      <w:r>
        <w:rPr>
          <w:color w:val="231F20"/>
          <w:spacing w:val="-1"/>
        </w:rPr>
        <w:t xml:space="preserve">, </w:t>
      </w:r>
      <w:r>
        <w:rPr>
          <w:rFonts w:ascii="楷体" w:hAnsi="楷体" w:eastAsia="楷体" w:cs="楷体"/>
          <w:color w:val="231F20"/>
          <w:spacing w:val="-1"/>
        </w:rPr>
        <w:t>余晨阳</w:t>
      </w:r>
      <w:r>
        <w:rPr>
          <w:rFonts w:ascii="楷体" w:hAnsi="楷体" w:eastAsia="楷体" w:cs="楷体"/>
          <w:color w:val="231F20"/>
          <w:spacing w:val="-36"/>
        </w:rPr>
        <w:t xml:space="preserve"> </w:t>
      </w:r>
      <w:r>
        <w:rPr>
          <w:color w:val="231F20"/>
          <w:spacing w:val="-1"/>
        </w:rPr>
        <w:t xml:space="preserve">, </w:t>
      </w:r>
      <w:r>
        <w:rPr>
          <w:rFonts w:ascii="楷体" w:hAnsi="楷体" w:eastAsia="楷体" w:cs="楷体"/>
          <w:color w:val="231F20"/>
          <w:spacing w:val="-1"/>
        </w:rPr>
        <w:t>等</w:t>
      </w:r>
      <w:r>
        <w:rPr>
          <w:rFonts w:ascii="楷体" w:hAnsi="楷体" w:eastAsia="楷体" w:cs="楷体"/>
          <w:color w:val="231F20"/>
          <w:spacing w:val="-32"/>
        </w:rPr>
        <w:t xml:space="preserve"> </w:t>
      </w:r>
      <w:r>
        <w:rPr>
          <w:color w:val="231F20"/>
          <w:spacing w:val="-1"/>
        </w:rPr>
        <w:t xml:space="preserve">. </w:t>
      </w:r>
      <w:r>
        <w:rPr>
          <w:rFonts w:ascii="楷体" w:hAnsi="楷体" w:eastAsia="楷体" w:cs="楷体"/>
          <w:color w:val="231F20"/>
          <w:spacing w:val="-1"/>
        </w:rPr>
        <w:t>人民币汇率变动、企业创新与制造业全要素生产率</w:t>
      </w:r>
      <w:r>
        <w:rPr>
          <w:rFonts w:ascii="楷体" w:hAnsi="楷体" w:eastAsia="楷体" w:cs="楷体"/>
          <w:color w:val="231F20"/>
          <w:spacing w:val="-35"/>
        </w:rPr>
        <w:t xml:space="preserve"> </w:t>
      </w:r>
      <w:r>
        <w:rPr>
          <w:color w:val="231F20"/>
          <w:spacing w:val="-1"/>
        </w:rPr>
        <w:t>[J].</w:t>
      </w:r>
      <w:r>
        <w:rPr>
          <w:color w:val="231F20"/>
          <w:spacing w:val="17"/>
        </w:rPr>
        <w:t xml:space="preserve"> </w:t>
      </w:r>
      <w:r>
        <w:rPr>
          <w:rFonts w:ascii="楷体" w:hAnsi="楷体" w:eastAsia="楷体" w:cs="楷体"/>
          <w:color w:val="231F20"/>
          <w:spacing w:val="-1"/>
        </w:rPr>
        <w:t>经济研究</w:t>
      </w:r>
      <w:r>
        <w:rPr>
          <w:rFonts w:ascii="楷体" w:hAnsi="楷体" w:eastAsia="楷体" w:cs="楷体"/>
          <w:color w:val="231F20"/>
          <w:spacing w:val="-36"/>
        </w:rPr>
        <w:t xml:space="preserve"> </w:t>
      </w:r>
      <w:r>
        <w:rPr>
          <w:color w:val="231F20"/>
          <w:spacing w:val="-1"/>
        </w:rPr>
        <w:t>, 2022</w:t>
      </w:r>
      <w:r>
        <w:rPr>
          <w:color w:val="231F20"/>
          <w:spacing w:val="-15"/>
        </w:rPr>
        <w:t xml:space="preserve"> </w:t>
      </w:r>
      <w:r>
        <w:rPr>
          <w:color w:val="231F20"/>
          <w:spacing w:val="-1"/>
        </w:rPr>
        <w:t>(</w:t>
      </w:r>
      <w:r>
        <w:rPr>
          <w:color w:val="231F20"/>
          <w:spacing w:val="-15"/>
        </w:rPr>
        <w:t xml:space="preserve"> </w:t>
      </w:r>
      <w:r>
        <w:rPr>
          <w:color w:val="231F20"/>
          <w:spacing w:val="-1"/>
        </w:rPr>
        <w:t>3</w:t>
      </w:r>
      <w:r>
        <w:rPr>
          <w:color w:val="231F20"/>
          <w:spacing w:val="-19"/>
        </w:rPr>
        <w:t xml:space="preserve"> </w:t>
      </w:r>
      <w:r>
        <w:rPr>
          <w:color w:val="231F20"/>
          <w:spacing w:val="-1"/>
        </w:rPr>
        <w:t>):65</w:t>
      </w:r>
      <w:r>
        <w:rPr>
          <w:rFonts w:ascii="宋体" w:hAnsi="宋体" w:eastAsia="宋体" w:cs="宋体"/>
          <w:color w:val="231F20"/>
          <w:spacing w:val="-1"/>
        </w:rPr>
        <w:t>-</w:t>
      </w:r>
      <w:r>
        <w:rPr>
          <w:color w:val="231F20"/>
          <w:spacing w:val="-1"/>
        </w:rPr>
        <w:t>82</w:t>
      </w:r>
    </w:p>
    <w:p w14:paraId="128BFB42">
      <w:pPr>
        <w:pStyle w:val="6"/>
        <w:spacing w:before="110" w:line="216" w:lineRule="auto"/>
        <w:ind w:left="881"/>
      </w:pPr>
      <w:r>
        <w:rPr>
          <w:color w:val="231F20"/>
        </w:rPr>
        <w:t>[33]</w:t>
      </w:r>
      <w:r>
        <w:rPr>
          <w:color w:val="231F20"/>
          <w:spacing w:val="29"/>
        </w:rPr>
        <w:t xml:space="preserve"> </w:t>
      </w:r>
      <w:r>
        <w:rPr>
          <w:rFonts w:ascii="楷体" w:hAnsi="楷体" w:eastAsia="楷体" w:cs="楷体"/>
          <w:color w:val="231F20"/>
        </w:rPr>
        <w:t>卢锋</w:t>
      </w:r>
      <w:r>
        <w:rPr>
          <w:rFonts w:ascii="楷体" w:hAnsi="楷体" w:eastAsia="楷体" w:cs="楷体"/>
          <w:color w:val="231F20"/>
          <w:spacing w:val="-36"/>
        </w:rPr>
        <w:t xml:space="preserve"> </w:t>
      </w:r>
      <w:r>
        <w:rPr>
          <w:color w:val="231F20"/>
        </w:rPr>
        <w:t xml:space="preserve">, </w:t>
      </w:r>
      <w:r>
        <w:rPr>
          <w:rFonts w:ascii="楷体" w:hAnsi="楷体" w:eastAsia="楷体" w:cs="楷体"/>
          <w:color w:val="231F20"/>
        </w:rPr>
        <w:t>韩晓亚</w:t>
      </w:r>
      <w:r>
        <w:rPr>
          <w:rFonts w:ascii="楷体" w:hAnsi="楷体" w:eastAsia="楷体" w:cs="楷体"/>
          <w:color w:val="231F20"/>
          <w:spacing w:val="-32"/>
        </w:rPr>
        <w:t xml:space="preserve"> </w:t>
      </w:r>
      <w:r>
        <w:rPr>
          <w:color w:val="231F20"/>
        </w:rPr>
        <w:t>.</w:t>
      </w:r>
      <w:r>
        <w:rPr>
          <w:color w:val="231F20"/>
          <w:spacing w:val="16"/>
        </w:rPr>
        <w:t xml:space="preserve"> </w:t>
      </w:r>
      <w:r>
        <w:rPr>
          <w:rFonts w:ascii="楷体" w:hAnsi="楷体" w:eastAsia="楷体" w:cs="楷体"/>
          <w:color w:val="231F20"/>
        </w:rPr>
        <w:t>长期经济成长与实际</w:t>
      </w:r>
      <w:r>
        <w:rPr>
          <w:rFonts w:ascii="楷体" w:hAnsi="楷体" w:eastAsia="楷体" w:cs="楷体"/>
          <w:color w:val="231F20"/>
          <w:spacing w:val="-1"/>
        </w:rPr>
        <w:t>汇率演变</w:t>
      </w:r>
      <w:r>
        <w:rPr>
          <w:rFonts w:ascii="楷体" w:hAnsi="楷体" w:eastAsia="楷体" w:cs="楷体"/>
          <w:color w:val="231F20"/>
          <w:spacing w:val="-35"/>
        </w:rPr>
        <w:t xml:space="preserve"> </w:t>
      </w:r>
      <w:r>
        <w:rPr>
          <w:color w:val="231F20"/>
          <w:spacing w:val="-1"/>
        </w:rPr>
        <w:t>[J].</w:t>
      </w:r>
      <w:r>
        <w:rPr>
          <w:color w:val="231F20"/>
          <w:spacing w:val="16"/>
          <w:w w:val="101"/>
        </w:rPr>
        <w:t xml:space="preserve"> </w:t>
      </w:r>
      <w:r>
        <w:rPr>
          <w:rFonts w:ascii="楷体" w:hAnsi="楷体" w:eastAsia="楷体" w:cs="楷体"/>
          <w:color w:val="231F20"/>
          <w:spacing w:val="-1"/>
        </w:rPr>
        <w:t>经济研究</w:t>
      </w:r>
      <w:r>
        <w:rPr>
          <w:rFonts w:ascii="楷体" w:hAnsi="楷体" w:eastAsia="楷体" w:cs="楷体"/>
          <w:color w:val="231F20"/>
          <w:spacing w:val="-36"/>
        </w:rPr>
        <w:t xml:space="preserve"> </w:t>
      </w:r>
      <w:r>
        <w:rPr>
          <w:color w:val="231F20"/>
          <w:spacing w:val="-1"/>
        </w:rPr>
        <w:t>, 2006</w:t>
      </w:r>
      <w:r>
        <w:rPr>
          <w:color w:val="231F20"/>
          <w:spacing w:val="-15"/>
        </w:rPr>
        <w:t xml:space="preserve"> </w:t>
      </w:r>
      <w:r>
        <w:rPr>
          <w:color w:val="231F20"/>
          <w:spacing w:val="-1"/>
        </w:rPr>
        <w:t>(</w:t>
      </w:r>
      <w:r>
        <w:rPr>
          <w:color w:val="231F20"/>
          <w:spacing w:val="-16"/>
        </w:rPr>
        <w:t xml:space="preserve"> </w:t>
      </w:r>
      <w:r>
        <w:rPr>
          <w:color w:val="231F20"/>
          <w:spacing w:val="-1"/>
        </w:rPr>
        <w:t>7</w:t>
      </w:r>
      <w:r>
        <w:rPr>
          <w:color w:val="231F20"/>
          <w:spacing w:val="-18"/>
        </w:rPr>
        <w:t xml:space="preserve"> </w:t>
      </w:r>
      <w:r>
        <w:rPr>
          <w:color w:val="231F20"/>
          <w:spacing w:val="-1"/>
        </w:rPr>
        <w:t>):4</w:t>
      </w:r>
      <w:r>
        <w:rPr>
          <w:rFonts w:ascii="宋体" w:hAnsi="宋体" w:eastAsia="宋体" w:cs="宋体"/>
          <w:color w:val="231F20"/>
          <w:spacing w:val="-1"/>
        </w:rPr>
        <w:t>-</w:t>
      </w:r>
      <w:r>
        <w:rPr>
          <w:color w:val="231F20"/>
          <w:spacing w:val="-1"/>
        </w:rPr>
        <w:t>14.</w:t>
      </w:r>
    </w:p>
    <w:p w14:paraId="0A2FBE2F">
      <w:pPr>
        <w:pStyle w:val="6"/>
        <w:spacing w:before="108" w:line="271" w:lineRule="auto"/>
        <w:ind w:left="1282" w:right="9" w:hanging="402"/>
      </w:pPr>
      <w:r>
        <w:rPr>
          <w:color w:val="231F20"/>
          <w:spacing w:val="3"/>
        </w:rPr>
        <w:t>[34]</w:t>
      </w:r>
      <w:r>
        <w:rPr>
          <w:color w:val="231F20"/>
          <w:spacing w:val="24"/>
          <w:w w:val="101"/>
        </w:rPr>
        <w:t xml:space="preserve"> </w:t>
      </w:r>
      <w:r>
        <w:rPr>
          <w:rFonts w:ascii="楷体" w:hAnsi="楷体" w:eastAsia="楷体" w:cs="楷体"/>
          <w:color w:val="231F20"/>
          <w:spacing w:val="3"/>
        </w:rPr>
        <w:t>程恩富</w:t>
      </w:r>
      <w:r>
        <w:rPr>
          <w:rFonts w:ascii="楷体" w:hAnsi="楷体" w:eastAsia="楷体" w:cs="楷体"/>
          <w:color w:val="231F20"/>
          <w:spacing w:val="-34"/>
        </w:rPr>
        <w:t xml:space="preserve"> </w:t>
      </w:r>
      <w:r>
        <w:rPr>
          <w:color w:val="231F20"/>
          <w:spacing w:val="3"/>
        </w:rPr>
        <w:t xml:space="preserve">, </w:t>
      </w:r>
      <w:r>
        <w:rPr>
          <w:rFonts w:ascii="楷体" w:hAnsi="楷体" w:eastAsia="楷体" w:cs="楷体"/>
          <w:color w:val="231F20"/>
          <w:spacing w:val="3"/>
        </w:rPr>
        <w:t>鲁保林</w:t>
      </w:r>
      <w:r>
        <w:rPr>
          <w:rFonts w:ascii="楷体" w:hAnsi="楷体" w:eastAsia="楷体" w:cs="楷体"/>
          <w:color w:val="231F20"/>
          <w:spacing w:val="-34"/>
        </w:rPr>
        <w:t xml:space="preserve"> </w:t>
      </w:r>
      <w:r>
        <w:rPr>
          <w:color w:val="231F20"/>
          <w:spacing w:val="3"/>
        </w:rPr>
        <w:t xml:space="preserve">, </w:t>
      </w:r>
      <w:r>
        <w:rPr>
          <w:rFonts w:ascii="楷体" w:hAnsi="楷体" w:eastAsia="楷体" w:cs="楷体"/>
          <w:color w:val="231F20"/>
          <w:spacing w:val="3"/>
        </w:rPr>
        <w:t>俞使超</w:t>
      </w:r>
      <w:r>
        <w:rPr>
          <w:rFonts w:ascii="楷体" w:hAnsi="楷体" w:eastAsia="楷体" w:cs="楷体"/>
          <w:color w:val="231F20"/>
          <w:spacing w:val="-31"/>
        </w:rPr>
        <w:t xml:space="preserve"> </w:t>
      </w:r>
      <w:r>
        <w:rPr>
          <w:color w:val="231F20"/>
          <w:spacing w:val="3"/>
        </w:rPr>
        <w:t>.</w:t>
      </w:r>
      <w:r>
        <w:rPr>
          <w:color w:val="231F20"/>
          <w:spacing w:val="28"/>
          <w:w w:val="102"/>
        </w:rPr>
        <w:t xml:space="preserve"> </w:t>
      </w:r>
      <w:r>
        <w:rPr>
          <w:rFonts w:ascii="楷体" w:hAnsi="楷体" w:eastAsia="楷体" w:cs="楷体"/>
          <w:color w:val="231F20"/>
          <w:spacing w:val="3"/>
        </w:rPr>
        <w:t>论新帝国主义的五大特征和特性</w:t>
      </w:r>
      <w:r>
        <w:rPr>
          <w:rFonts w:ascii="楷体" w:hAnsi="楷体" w:eastAsia="楷体" w:cs="楷体"/>
          <w:color w:val="231F20"/>
          <w:spacing w:val="-36"/>
        </w:rPr>
        <w:t xml:space="preserve"> </w:t>
      </w:r>
      <w:r>
        <w:rPr>
          <w:color w:val="231F20"/>
          <w:spacing w:val="3"/>
        </w:rPr>
        <w:t xml:space="preserve">:  </w:t>
      </w:r>
      <w:r>
        <w:rPr>
          <w:rFonts w:ascii="楷体" w:hAnsi="楷体" w:eastAsia="楷体" w:cs="楷体"/>
          <w:color w:val="231F20"/>
          <w:spacing w:val="3"/>
        </w:rPr>
        <w:t>以列宁的帝国主义理论为基础</w:t>
      </w:r>
      <w:r>
        <w:rPr>
          <w:rFonts w:ascii="楷体" w:hAnsi="楷体" w:eastAsia="楷体" w:cs="楷体"/>
          <w:color w:val="231F20"/>
          <w:spacing w:val="-34"/>
        </w:rPr>
        <w:t xml:space="preserve"> </w:t>
      </w:r>
      <w:r>
        <w:rPr>
          <w:color w:val="231F20"/>
          <w:spacing w:val="3"/>
        </w:rPr>
        <w:t>[J].</w:t>
      </w:r>
      <w:r>
        <w:rPr>
          <w:color w:val="231F20"/>
          <w:spacing w:val="13"/>
          <w:w w:val="101"/>
        </w:rPr>
        <w:t xml:space="preserve"> </w:t>
      </w:r>
      <w:r>
        <w:rPr>
          <w:rFonts w:ascii="楷体" w:hAnsi="楷体" w:eastAsia="楷体" w:cs="楷体"/>
          <w:color w:val="231F20"/>
          <w:spacing w:val="3"/>
        </w:rPr>
        <w:t>马克思主义研</w:t>
      </w:r>
      <w:r>
        <w:rPr>
          <w:rFonts w:ascii="楷体" w:hAnsi="楷体" w:eastAsia="楷体" w:cs="楷体"/>
          <w:color w:val="231F20"/>
          <w:spacing w:val="-2"/>
        </w:rPr>
        <w:t>究</w:t>
      </w:r>
      <w:r>
        <w:rPr>
          <w:rFonts w:ascii="楷体" w:hAnsi="楷体" w:eastAsia="楷体" w:cs="楷体"/>
          <w:color w:val="231F20"/>
          <w:spacing w:val="-27"/>
        </w:rPr>
        <w:t xml:space="preserve"> </w:t>
      </w:r>
      <w:r>
        <w:rPr>
          <w:color w:val="231F20"/>
          <w:spacing w:val="-2"/>
        </w:rPr>
        <w:t>, 2019</w:t>
      </w:r>
      <w:r>
        <w:rPr>
          <w:color w:val="231F20"/>
          <w:spacing w:val="-15"/>
        </w:rPr>
        <w:t xml:space="preserve"> </w:t>
      </w:r>
      <w:r>
        <w:rPr>
          <w:color w:val="231F20"/>
          <w:spacing w:val="-2"/>
        </w:rPr>
        <w:t>(</w:t>
      </w:r>
      <w:r>
        <w:rPr>
          <w:color w:val="231F20"/>
          <w:spacing w:val="-14"/>
        </w:rPr>
        <w:t xml:space="preserve"> </w:t>
      </w:r>
      <w:r>
        <w:rPr>
          <w:color w:val="231F20"/>
          <w:spacing w:val="-2"/>
        </w:rPr>
        <w:t>5</w:t>
      </w:r>
      <w:r>
        <w:rPr>
          <w:color w:val="231F20"/>
          <w:spacing w:val="-19"/>
        </w:rPr>
        <w:t xml:space="preserve"> </w:t>
      </w:r>
      <w:r>
        <w:rPr>
          <w:color w:val="231F20"/>
          <w:spacing w:val="-2"/>
        </w:rPr>
        <w:t>):49</w:t>
      </w:r>
      <w:r>
        <w:rPr>
          <w:rFonts w:ascii="宋体" w:hAnsi="宋体" w:eastAsia="宋体" w:cs="宋体"/>
          <w:color w:val="231F20"/>
          <w:spacing w:val="-2"/>
        </w:rPr>
        <w:t>-</w:t>
      </w:r>
      <w:r>
        <w:rPr>
          <w:color w:val="231F20"/>
          <w:spacing w:val="-2"/>
        </w:rPr>
        <w:t>65.</w:t>
      </w:r>
    </w:p>
    <w:p w14:paraId="4AFD56E5">
      <w:pPr>
        <w:pStyle w:val="6"/>
        <w:spacing w:before="113" w:line="216" w:lineRule="auto"/>
        <w:ind w:left="880"/>
      </w:pPr>
      <w:r>
        <w:rPr>
          <w:color w:val="231F20"/>
        </w:rPr>
        <w:t>[35]</w:t>
      </w:r>
      <w:r>
        <w:rPr>
          <w:color w:val="231F20"/>
          <w:spacing w:val="24"/>
        </w:rPr>
        <w:t xml:space="preserve"> </w:t>
      </w:r>
      <w:r>
        <w:rPr>
          <w:rFonts w:ascii="楷体" w:hAnsi="楷体" w:eastAsia="楷体" w:cs="楷体"/>
          <w:color w:val="231F20"/>
        </w:rPr>
        <w:t>鲁春义</w:t>
      </w:r>
      <w:r>
        <w:rPr>
          <w:rFonts w:ascii="楷体" w:hAnsi="楷体" w:eastAsia="楷体" w:cs="楷体"/>
          <w:color w:val="231F20"/>
          <w:spacing w:val="-35"/>
        </w:rPr>
        <w:t xml:space="preserve"> </w:t>
      </w:r>
      <w:r>
        <w:rPr>
          <w:color w:val="231F20"/>
        </w:rPr>
        <w:t xml:space="preserve">, </w:t>
      </w:r>
      <w:r>
        <w:rPr>
          <w:rFonts w:ascii="楷体" w:hAnsi="楷体" w:eastAsia="楷体" w:cs="楷体"/>
          <w:color w:val="231F20"/>
        </w:rPr>
        <w:t>程恩富</w:t>
      </w:r>
      <w:r>
        <w:rPr>
          <w:rFonts w:ascii="楷体" w:hAnsi="楷体" w:eastAsia="楷体" w:cs="楷体"/>
          <w:color w:val="231F20"/>
          <w:spacing w:val="-33"/>
        </w:rPr>
        <w:t xml:space="preserve"> </w:t>
      </w:r>
      <w:r>
        <w:rPr>
          <w:color w:val="231F20"/>
        </w:rPr>
        <w:t>.</w:t>
      </w:r>
      <w:r>
        <w:rPr>
          <w:color w:val="231F20"/>
          <w:spacing w:val="15"/>
          <w:w w:val="101"/>
        </w:rPr>
        <w:t xml:space="preserve"> </w:t>
      </w:r>
      <w:r>
        <w:rPr>
          <w:rFonts w:ascii="楷体" w:hAnsi="楷体" w:eastAsia="楷体" w:cs="楷体"/>
          <w:color w:val="231F20"/>
        </w:rPr>
        <w:t>美元化形成机制与去美元化对策研究</w:t>
      </w:r>
      <w:r>
        <w:rPr>
          <w:rFonts w:ascii="楷体" w:hAnsi="楷体" w:eastAsia="楷体" w:cs="楷体"/>
          <w:color w:val="231F20"/>
          <w:spacing w:val="-35"/>
        </w:rPr>
        <w:t xml:space="preserve"> </w:t>
      </w:r>
      <w:r>
        <w:rPr>
          <w:color w:val="231F20"/>
        </w:rPr>
        <w:t xml:space="preserve">[J]. </w:t>
      </w:r>
      <w:r>
        <w:rPr>
          <w:rFonts w:ascii="楷体" w:hAnsi="楷体" w:eastAsia="楷体" w:cs="楷体"/>
          <w:color w:val="231F20"/>
        </w:rPr>
        <w:t>上海经济研究</w:t>
      </w:r>
      <w:r>
        <w:rPr>
          <w:rFonts w:ascii="楷体" w:hAnsi="楷体" w:eastAsia="楷体" w:cs="楷体"/>
          <w:color w:val="231F20"/>
          <w:spacing w:val="-35"/>
        </w:rPr>
        <w:t xml:space="preserve"> </w:t>
      </w:r>
      <w:r>
        <w:rPr>
          <w:color w:val="231F20"/>
        </w:rPr>
        <w:t>, 2023</w:t>
      </w:r>
      <w:r>
        <w:rPr>
          <w:color w:val="231F20"/>
          <w:spacing w:val="-15"/>
        </w:rPr>
        <w:t xml:space="preserve"> </w:t>
      </w:r>
      <w:r>
        <w:rPr>
          <w:color w:val="231F20"/>
        </w:rPr>
        <w:t>(</w:t>
      </w:r>
      <w:r>
        <w:rPr>
          <w:color w:val="231F20"/>
          <w:spacing w:val="-19"/>
        </w:rPr>
        <w:t xml:space="preserve"> </w:t>
      </w:r>
      <w:r>
        <w:rPr>
          <w:color w:val="231F20"/>
        </w:rPr>
        <w:t>2</w:t>
      </w:r>
      <w:r>
        <w:rPr>
          <w:color w:val="231F20"/>
          <w:spacing w:val="-19"/>
        </w:rPr>
        <w:t xml:space="preserve"> </w:t>
      </w:r>
      <w:r>
        <w:rPr>
          <w:color w:val="231F20"/>
        </w:rPr>
        <w:t>)</w:t>
      </w:r>
      <w:r>
        <w:rPr>
          <w:color w:val="231F20"/>
          <w:spacing w:val="-1"/>
        </w:rPr>
        <w:t>:115</w:t>
      </w:r>
      <w:r>
        <w:rPr>
          <w:rFonts w:ascii="宋体" w:hAnsi="宋体" w:eastAsia="宋体" w:cs="宋体"/>
          <w:color w:val="231F20"/>
          <w:spacing w:val="-1"/>
        </w:rPr>
        <w:t>-</w:t>
      </w:r>
      <w:r>
        <w:rPr>
          <w:color w:val="231F20"/>
          <w:spacing w:val="-1"/>
        </w:rPr>
        <w:t>128.</w:t>
      </w:r>
    </w:p>
    <w:p w14:paraId="52BE2FB5">
      <w:pPr>
        <w:pStyle w:val="6"/>
        <w:spacing w:before="109" w:line="216" w:lineRule="auto"/>
        <w:ind w:left="880"/>
      </w:pPr>
      <w:r>
        <w:rPr>
          <w:color w:val="231F20"/>
          <w:spacing w:val="1"/>
        </w:rPr>
        <w:t>[36]</w:t>
      </w:r>
      <w:r>
        <w:rPr>
          <w:color w:val="231F20"/>
          <w:spacing w:val="25"/>
          <w:w w:val="101"/>
        </w:rPr>
        <w:t xml:space="preserve"> </w:t>
      </w:r>
      <w:r>
        <w:rPr>
          <w:rFonts w:ascii="楷体" w:hAnsi="楷体" w:eastAsia="楷体" w:cs="楷体"/>
          <w:color w:val="231F20"/>
          <w:spacing w:val="1"/>
        </w:rPr>
        <w:t>周晓明</w:t>
      </w:r>
      <w:r>
        <w:rPr>
          <w:rFonts w:ascii="楷体" w:hAnsi="楷体" w:eastAsia="楷体" w:cs="楷体"/>
          <w:color w:val="231F20"/>
          <w:spacing w:val="-36"/>
        </w:rPr>
        <w:t xml:space="preserve"> </w:t>
      </w:r>
      <w:r>
        <w:rPr>
          <w:color w:val="231F20"/>
          <w:spacing w:val="1"/>
        </w:rPr>
        <w:t xml:space="preserve">, </w:t>
      </w:r>
      <w:r>
        <w:rPr>
          <w:rFonts w:ascii="楷体" w:hAnsi="楷体" w:eastAsia="楷体" w:cs="楷体"/>
          <w:color w:val="231F20"/>
          <w:spacing w:val="1"/>
        </w:rPr>
        <w:t>林敏敏</w:t>
      </w:r>
      <w:r>
        <w:rPr>
          <w:rFonts w:ascii="楷体" w:hAnsi="楷体" w:eastAsia="楷体" w:cs="楷体"/>
          <w:color w:val="231F20"/>
          <w:spacing w:val="-32"/>
        </w:rPr>
        <w:t xml:space="preserve"> </w:t>
      </w:r>
      <w:r>
        <w:rPr>
          <w:color w:val="231F20"/>
          <w:spacing w:val="1"/>
        </w:rPr>
        <w:t xml:space="preserve">. </w:t>
      </w:r>
      <w:r>
        <w:rPr>
          <w:rFonts w:ascii="楷体" w:hAnsi="楷体" w:eastAsia="楷体" w:cs="楷体"/>
          <w:color w:val="231F20"/>
          <w:spacing w:val="1"/>
        </w:rPr>
        <w:t>基于价值链、供应链的美国芯片技术联盟组合及中国应对之策</w:t>
      </w:r>
      <w:r>
        <w:rPr>
          <w:rFonts w:ascii="楷体" w:hAnsi="楷体" w:eastAsia="楷体" w:cs="楷体"/>
          <w:color w:val="231F20"/>
          <w:spacing w:val="-34"/>
        </w:rPr>
        <w:t xml:space="preserve"> </w:t>
      </w:r>
      <w:r>
        <w:rPr>
          <w:color w:val="231F20"/>
          <w:spacing w:val="1"/>
        </w:rPr>
        <w:t>[J].</w:t>
      </w:r>
      <w:r>
        <w:rPr>
          <w:rFonts w:ascii="楷体" w:hAnsi="楷体" w:eastAsia="楷体" w:cs="楷体"/>
          <w:color w:val="231F20"/>
          <w:spacing w:val="1"/>
        </w:rPr>
        <w:t>创新科技</w:t>
      </w:r>
      <w:r>
        <w:rPr>
          <w:rFonts w:ascii="楷体" w:hAnsi="楷体" w:eastAsia="楷体" w:cs="楷体"/>
          <w:color w:val="231F20"/>
          <w:spacing w:val="-36"/>
        </w:rPr>
        <w:t xml:space="preserve"> </w:t>
      </w:r>
      <w:r>
        <w:rPr>
          <w:color w:val="231F20"/>
          <w:spacing w:val="1"/>
        </w:rPr>
        <w:t>, 2023</w:t>
      </w:r>
      <w:r>
        <w:rPr>
          <w:color w:val="231F20"/>
          <w:spacing w:val="-15"/>
        </w:rPr>
        <w:t xml:space="preserve"> </w:t>
      </w:r>
      <w:r>
        <w:rPr>
          <w:color w:val="231F20"/>
          <w:spacing w:val="1"/>
        </w:rPr>
        <w:t>(</w:t>
      </w:r>
      <w:r>
        <w:rPr>
          <w:color w:val="231F20"/>
          <w:spacing w:val="-20"/>
        </w:rPr>
        <w:t xml:space="preserve"> </w:t>
      </w:r>
      <w:r>
        <w:rPr>
          <w:color w:val="231F20"/>
          <w:spacing w:val="1"/>
        </w:rPr>
        <w:t>4</w:t>
      </w:r>
      <w:r>
        <w:rPr>
          <w:color w:val="231F20"/>
          <w:spacing w:val="-18"/>
        </w:rPr>
        <w:t xml:space="preserve"> </w:t>
      </w:r>
      <w:r>
        <w:rPr>
          <w:color w:val="231F20"/>
        </w:rPr>
        <w:t>):81</w:t>
      </w:r>
      <w:r>
        <w:rPr>
          <w:rFonts w:ascii="宋体" w:hAnsi="宋体" w:eastAsia="宋体" w:cs="宋体"/>
          <w:color w:val="231F20"/>
        </w:rPr>
        <w:t>-</w:t>
      </w:r>
      <w:r>
        <w:rPr>
          <w:color w:val="231F20"/>
        </w:rPr>
        <w:t>92.</w:t>
      </w:r>
    </w:p>
    <w:p w14:paraId="36EF8D77">
      <w:pPr>
        <w:pStyle w:val="6"/>
        <w:spacing w:before="110" w:line="216" w:lineRule="auto"/>
        <w:ind w:left="880"/>
      </w:pPr>
      <w:r>
        <w:rPr>
          <w:color w:val="231F20"/>
          <w:spacing w:val="1"/>
        </w:rPr>
        <w:t>[37]</w:t>
      </w:r>
      <w:r>
        <w:rPr>
          <w:color w:val="231F20"/>
          <w:spacing w:val="26"/>
        </w:rPr>
        <w:t xml:space="preserve"> </w:t>
      </w:r>
      <w:r>
        <w:rPr>
          <w:rFonts w:ascii="楷体" w:hAnsi="楷体" w:eastAsia="楷体" w:cs="楷体"/>
          <w:color w:val="231F20"/>
          <w:spacing w:val="1"/>
        </w:rPr>
        <w:t>程恩富</w:t>
      </w:r>
      <w:r>
        <w:rPr>
          <w:rFonts w:ascii="楷体" w:hAnsi="楷体" w:eastAsia="楷体" w:cs="楷体"/>
          <w:color w:val="231F20"/>
          <w:spacing w:val="-36"/>
        </w:rPr>
        <w:t xml:space="preserve"> </w:t>
      </w:r>
      <w:r>
        <w:rPr>
          <w:color w:val="231F20"/>
          <w:spacing w:val="1"/>
        </w:rPr>
        <w:t xml:space="preserve">, </w:t>
      </w:r>
      <w:r>
        <w:rPr>
          <w:rFonts w:ascii="楷体" w:hAnsi="楷体" w:eastAsia="楷体" w:cs="楷体"/>
          <w:color w:val="231F20"/>
          <w:spacing w:val="1"/>
        </w:rPr>
        <w:t>徐文斌</w:t>
      </w:r>
      <w:r>
        <w:rPr>
          <w:rFonts w:ascii="楷体" w:hAnsi="楷体" w:eastAsia="楷体" w:cs="楷体"/>
          <w:color w:val="231F20"/>
          <w:spacing w:val="-32"/>
        </w:rPr>
        <w:t xml:space="preserve"> </w:t>
      </w:r>
      <w:r>
        <w:rPr>
          <w:color w:val="231F20"/>
          <w:spacing w:val="1"/>
        </w:rPr>
        <w:t xml:space="preserve">. </w:t>
      </w:r>
      <w:r>
        <w:rPr>
          <w:rFonts w:ascii="楷体" w:hAnsi="楷体" w:eastAsia="楷体" w:cs="楷体"/>
          <w:color w:val="231F20"/>
          <w:spacing w:val="1"/>
        </w:rPr>
        <w:t>抗击疫情彰显中国特色社会主义制度优势</w:t>
      </w:r>
      <w:r>
        <w:rPr>
          <w:rFonts w:ascii="楷体" w:hAnsi="楷体" w:eastAsia="楷体" w:cs="楷体"/>
          <w:color w:val="231F20"/>
          <w:spacing w:val="-35"/>
        </w:rPr>
        <w:t xml:space="preserve"> </w:t>
      </w:r>
      <w:r>
        <w:rPr>
          <w:color w:val="231F20"/>
          <w:spacing w:val="1"/>
        </w:rPr>
        <w:t>[J].</w:t>
      </w:r>
      <w:r>
        <w:rPr>
          <w:rFonts w:ascii="楷体" w:hAnsi="楷体" w:eastAsia="楷体" w:cs="楷体"/>
          <w:color w:val="231F20"/>
          <w:spacing w:val="1"/>
        </w:rPr>
        <w:t>唯实</w:t>
      </w:r>
      <w:r>
        <w:rPr>
          <w:rFonts w:ascii="楷体" w:hAnsi="楷体" w:eastAsia="楷体" w:cs="楷体"/>
          <w:color w:val="231F20"/>
          <w:spacing w:val="-35"/>
        </w:rPr>
        <w:t xml:space="preserve"> </w:t>
      </w:r>
      <w:r>
        <w:rPr>
          <w:color w:val="231F20"/>
          <w:spacing w:val="1"/>
        </w:rPr>
        <w:t>, 2020</w:t>
      </w:r>
      <w:r>
        <w:rPr>
          <w:color w:val="231F20"/>
          <w:spacing w:val="-15"/>
        </w:rPr>
        <w:t xml:space="preserve"> </w:t>
      </w:r>
      <w:r>
        <w:rPr>
          <w:color w:val="231F20"/>
          <w:spacing w:val="1"/>
        </w:rPr>
        <w:t>(</w:t>
      </w:r>
      <w:r>
        <w:rPr>
          <w:color w:val="231F20"/>
          <w:spacing w:val="-15"/>
        </w:rPr>
        <w:t xml:space="preserve"> </w:t>
      </w:r>
      <w:r>
        <w:rPr>
          <w:color w:val="231F20"/>
          <w:spacing w:val="1"/>
        </w:rPr>
        <w:t>3</w:t>
      </w:r>
      <w:r>
        <w:rPr>
          <w:color w:val="231F20"/>
          <w:spacing w:val="-19"/>
        </w:rPr>
        <w:t xml:space="preserve"> </w:t>
      </w:r>
      <w:r>
        <w:rPr>
          <w:color w:val="231F20"/>
          <w:spacing w:val="1"/>
        </w:rPr>
        <w:t>):4</w:t>
      </w:r>
      <w:r>
        <w:rPr>
          <w:rFonts w:ascii="宋体" w:hAnsi="宋体" w:eastAsia="宋体" w:cs="宋体"/>
          <w:color w:val="231F20"/>
          <w:spacing w:val="1"/>
        </w:rPr>
        <w:t>-</w:t>
      </w:r>
      <w:r>
        <w:rPr>
          <w:color w:val="231F20"/>
          <w:spacing w:val="1"/>
        </w:rPr>
        <w:t>7.</w:t>
      </w:r>
    </w:p>
    <w:p w14:paraId="671476B7">
      <w:pPr>
        <w:pStyle w:val="6"/>
        <w:spacing w:before="110" w:line="274" w:lineRule="auto"/>
        <w:ind w:left="1286" w:right="11" w:hanging="407"/>
        <w:rPr>
          <w:color w:val="231F20"/>
          <w:spacing w:val="-5"/>
        </w:rPr>
      </w:pPr>
      <w:r>
        <w:rPr>
          <w:color w:val="231F20"/>
          <w:spacing w:val="1"/>
        </w:rPr>
        <w:t>[38]</w:t>
      </w:r>
      <w:r>
        <w:rPr>
          <w:color w:val="231F20"/>
          <w:spacing w:val="20"/>
        </w:rPr>
        <w:t xml:space="preserve"> </w:t>
      </w:r>
      <w:r>
        <w:rPr>
          <w:rFonts w:ascii="楷体" w:hAnsi="楷体" w:eastAsia="楷体" w:cs="楷体"/>
          <w:color w:val="231F20"/>
          <w:spacing w:val="1"/>
        </w:rPr>
        <w:t>伍抱一</w:t>
      </w:r>
      <w:r>
        <w:rPr>
          <w:rFonts w:ascii="楷体" w:hAnsi="楷体" w:eastAsia="楷体" w:cs="楷体"/>
          <w:color w:val="231F20"/>
          <w:spacing w:val="-35"/>
        </w:rPr>
        <w:t xml:space="preserve"> </w:t>
      </w:r>
      <w:r>
        <w:rPr>
          <w:color w:val="231F20"/>
          <w:spacing w:val="1"/>
        </w:rPr>
        <w:t xml:space="preserve">, </w:t>
      </w:r>
      <w:r>
        <w:rPr>
          <w:rFonts w:ascii="楷体" w:hAnsi="楷体" w:eastAsia="楷体" w:cs="楷体"/>
          <w:color w:val="231F20"/>
          <w:spacing w:val="1"/>
        </w:rPr>
        <w:t>伍山林</w:t>
      </w:r>
      <w:r>
        <w:rPr>
          <w:rFonts w:ascii="楷体" w:hAnsi="楷体" w:eastAsia="楷体" w:cs="楷体"/>
          <w:color w:val="231F20"/>
          <w:spacing w:val="-31"/>
        </w:rPr>
        <w:t xml:space="preserve"> </w:t>
      </w:r>
      <w:r>
        <w:rPr>
          <w:color w:val="231F20"/>
          <w:spacing w:val="1"/>
        </w:rPr>
        <w:t>.</w:t>
      </w:r>
      <w:r>
        <w:rPr>
          <w:color w:val="231F20"/>
          <w:spacing w:val="32"/>
        </w:rPr>
        <w:t xml:space="preserve"> </w:t>
      </w:r>
      <w:r>
        <w:rPr>
          <w:rFonts w:ascii="楷体" w:hAnsi="楷体" w:eastAsia="楷体" w:cs="楷体"/>
          <w:color w:val="231F20"/>
          <w:spacing w:val="1"/>
        </w:rPr>
        <w:t>贫富状态演进与经济制度变迁</w:t>
      </w:r>
      <w:r>
        <w:rPr>
          <w:rFonts w:ascii="楷体" w:hAnsi="楷体" w:eastAsia="楷体" w:cs="楷体"/>
          <w:color w:val="231F20"/>
          <w:spacing w:val="-36"/>
        </w:rPr>
        <w:t xml:space="preserve"> </w:t>
      </w:r>
      <w:r>
        <w:rPr>
          <w:color w:val="231F20"/>
          <w:spacing w:val="1"/>
        </w:rPr>
        <w:t>:</w:t>
      </w:r>
      <w:r>
        <w:rPr>
          <w:color w:val="231F20"/>
          <w:spacing w:val="37"/>
          <w:w w:val="101"/>
        </w:rPr>
        <w:t xml:space="preserve"> </w:t>
      </w:r>
      <w:r>
        <w:rPr>
          <w:rFonts w:ascii="楷体" w:hAnsi="楷体" w:eastAsia="楷体" w:cs="楷体"/>
          <w:color w:val="231F20"/>
          <w:spacing w:val="1"/>
        </w:rPr>
        <w:t>以中国共</w:t>
      </w:r>
      <w:r>
        <w:rPr>
          <w:rFonts w:ascii="楷体" w:hAnsi="楷体" w:eastAsia="楷体" w:cs="楷体"/>
          <w:color w:val="231F20"/>
        </w:rPr>
        <w:t>产党百年实践为例</w:t>
      </w:r>
      <w:r>
        <w:rPr>
          <w:rFonts w:ascii="楷体" w:hAnsi="楷体" w:eastAsia="楷体" w:cs="楷体"/>
          <w:color w:val="231F20"/>
          <w:spacing w:val="-34"/>
        </w:rPr>
        <w:t xml:space="preserve"> </w:t>
      </w:r>
      <w:r>
        <w:rPr>
          <w:color w:val="231F20"/>
        </w:rPr>
        <w:t xml:space="preserve">[J]. </w:t>
      </w:r>
      <w:r>
        <w:rPr>
          <w:rFonts w:ascii="楷体" w:hAnsi="楷体" w:eastAsia="楷体" w:cs="楷体"/>
          <w:color w:val="231F20"/>
        </w:rPr>
        <w:t>上海经济研究</w:t>
      </w:r>
      <w:r>
        <w:rPr>
          <w:rFonts w:ascii="楷体" w:hAnsi="楷体" w:eastAsia="楷体" w:cs="楷体"/>
          <w:color w:val="231F20"/>
          <w:spacing w:val="-34"/>
        </w:rPr>
        <w:t xml:space="preserve"> </w:t>
      </w:r>
      <w:r>
        <w:rPr>
          <w:color w:val="231F20"/>
        </w:rPr>
        <w:t>, 2023</w:t>
      </w:r>
      <w:r>
        <w:rPr>
          <w:color w:val="231F20"/>
          <w:spacing w:val="-15"/>
        </w:rPr>
        <w:t xml:space="preserve"> </w:t>
      </w:r>
      <w:r>
        <w:rPr>
          <w:color w:val="231F20"/>
        </w:rPr>
        <w:t>(</w:t>
      </w:r>
      <w:r>
        <w:rPr>
          <w:color w:val="231F20"/>
          <w:spacing w:val="-16"/>
        </w:rPr>
        <w:t xml:space="preserve"> </w:t>
      </w:r>
      <w:r>
        <w:rPr>
          <w:color w:val="231F20"/>
        </w:rPr>
        <w:t>7</w:t>
      </w:r>
      <w:r>
        <w:rPr>
          <w:color w:val="231F20"/>
          <w:spacing w:val="-19"/>
        </w:rPr>
        <w:t xml:space="preserve"> </w:t>
      </w:r>
      <w:r>
        <w:rPr>
          <w:color w:val="231F20"/>
        </w:rPr>
        <w:t>):118</w:t>
      </w:r>
      <w:r>
        <w:rPr>
          <w:rFonts w:ascii="宋体" w:hAnsi="宋体" w:eastAsia="宋体" w:cs="宋体"/>
          <w:color w:val="231F20"/>
          <w:position w:val="-1"/>
        </w:rPr>
        <w:t xml:space="preserve">- </w:t>
      </w:r>
      <w:r>
        <w:rPr>
          <w:color w:val="231F20"/>
          <w:spacing w:val="-5"/>
        </w:rPr>
        <w:t>128.</w:t>
      </w:r>
    </w:p>
    <w:p w14:paraId="7C1A5BB6">
      <w:pPr>
        <w:pStyle w:val="6"/>
        <w:spacing w:before="110" w:line="274" w:lineRule="auto"/>
        <w:ind w:left="1286" w:right="11" w:hanging="407"/>
        <w:rPr>
          <w:color w:val="231F20"/>
          <w:spacing w:val="-5"/>
        </w:rPr>
      </w:pPr>
    </w:p>
    <w:p w14:paraId="33CB928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65070C5C">
      <w:pPr>
        <w:keepNext w:val="0"/>
        <w:keepLines w:val="0"/>
        <w:pageBreakBefore w:val="0"/>
        <w:widowControl/>
        <w:kinsoku w:val="0"/>
        <w:wordWrap/>
        <w:overflowPunct/>
        <w:topLinePunct w:val="0"/>
        <w:autoSpaceDE w:val="0"/>
        <w:autoSpaceDN w:val="0"/>
        <w:bidi w:val="0"/>
        <w:adjustRightInd w:val="0"/>
        <w:snapToGrid w:val="0"/>
        <w:spacing w:line="360" w:lineRule="auto"/>
        <w:ind w:left="420" w:leftChars="0" w:right="0" w:firstLine="420" w:firstLineChars="200"/>
        <w:jc w:val="both"/>
        <w:textAlignment w:val="baseline"/>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原载</w:t>
      </w:r>
      <w:r>
        <w:rPr>
          <w:rFonts w:hint="eastAsia" w:ascii="Times New Roman" w:hAnsi="Times New Roman" w:eastAsia="宋体" w:cs="Times New Roman"/>
          <w:sz w:val="21"/>
          <w:szCs w:val="21"/>
          <w:lang w:val="en-US" w:eastAsia="zh-CN"/>
        </w:rPr>
        <w:t>《管理学刊》，2025年第1期,第一作者为伍抱一</w:t>
      </w:r>
      <w:r>
        <w:rPr>
          <w:rFonts w:hint="eastAsia" w:ascii="宋体" w:hAnsi="宋体" w:eastAsia="宋体" w:cs="宋体"/>
          <w:sz w:val="21"/>
          <w:szCs w:val="21"/>
          <w:lang w:eastAsia="zh-CN"/>
        </w:rPr>
        <w:t>）</w:t>
      </w:r>
    </w:p>
    <w:p w14:paraId="5D116507">
      <w:pPr>
        <w:keepNext w:val="0"/>
        <w:keepLines w:val="0"/>
        <w:pageBreakBefore w:val="0"/>
        <w:widowControl/>
        <w:kinsoku w:val="0"/>
        <w:wordWrap/>
        <w:overflowPunct/>
        <w:topLinePunct w:val="0"/>
        <w:autoSpaceDE w:val="0"/>
        <w:autoSpaceDN w:val="0"/>
        <w:bidi w:val="0"/>
        <w:adjustRightInd w:val="0"/>
        <w:snapToGrid w:val="0"/>
        <w:spacing w:line="360" w:lineRule="auto"/>
        <w:ind w:left="420" w:leftChars="0" w:right="0" w:firstLine="420" w:firstLineChars="200"/>
        <w:jc w:val="both"/>
        <w:textAlignment w:val="baseline"/>
        <w:rPr>
          <w:rFonts w:hint="eastAsia" w:ascii="宋体" w:hAnsi="宋体" w:eastAsia="宋体" w:cs="宋体"/>
          <w:sz w:val="21"/>
          <w:szCs w:val="21"/>
          <w:lang w:eastAsia="zh-CN"/>
        </w:rPr>
      </w:pPr>
    </w:p>
    <w:p w14:paraId="4074FBDD">
      <w:pPr>
        <w:keepNext w:val="0"/>
        <w:keepLines w:val="0"/>
        <w:pageBreakBefore w:val="0"/>
        <w:widowControl/>
        <w:kinsoku w:val="0"/>
        <w:wordWrap/>
        <w:overflowPunct/>
        <w:topLinePunct w:val="0"/>
        <w:autoSpaceDE w:val="0"/>
        <w:autoSpaceDN w:val="0"/>
        <w:bidi w:val="0"/>
        <w:adjustRightInd w:val="0"/>
        <w:snapToGrid w:val="0"/>
        <w:spacing w:line="360" w:lineRule="auto"/>
        <w:ind w:left="420" w:leftChars="0" w:right="0" w:firstLine="420" w:firstLineChars="200"/>
        <w:jc w:val="both"/>
        <w:textAlignment w:val="baseline"/>
        <w:rPr>
          <w:rFonts w:hint="eastAsia" w:ascii="宋体" w:hAnsi="宋体" w:eastAsia="宋体" w:cs="宋体"/>
          <w:sz w:val="21"/>
          <w:szCs w:val="21"/>
          <w:lang w:eastAsia="zh-CN"/>
        </w:rPr>
      </w:pPr>
    </w:p>
    <w:p w14:paraId="3755C708">
      <w:pPr>
        <w:pStyle w:val="2"/>
        <w:bidi w:val="0"/>
        <w:rPr>
          <w:rFonts w:hint="eastAsia"/>
          <w:lang w:val="en-US" w:eastAsia="zh-CN"/>
        </w:rPr>
      </w:pPr>
      <w:bookmarkStart w:id="691" w:name="_Toc175092951"/>
      <w:bookmarkStart w:id="692" w:name="_Toc1787760379"/>
      <w:bookmarkStart w:id="693" w:name="_Toc7001"/>
      <w:bookmarkStart w:id="694" w:name="_Toc1738957107"/>
      <w:bookmarkStart w:id="695" w:name="_Toc6284531"/>
      <w:bookmarkStart w:id="696" w:name="_Toc1285853001"/>
      <w:r>
        <w:rPr>
          <w:rFonts w:hint="eastAsia"/>
          <w:lang w:val="en-US" w:eastAsia="zh-CN"/>
        </w:rPr>
        <w:t>4数据资本视域下的消费异化：现实表现、生成逻辑及解蔽之径</w:t>
      </w:r>
      <w:bookmarkEnd w:id="691"/>
      <w:bookmarkEnd w:id="692"/>
      <w:bookmarkEnd w:id="693"/>
      <w:bookmarkEnd w:id="694"/>
      <w:bookmarkEnd w:id="695"/>
      <w:bookmarkEnd w:id="696"/>
    </w:p>
    <w:p w14:paraId="558FFB9E">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仿宋_GB2312" w:hAnsi="宋体" w:eastAsia="仿宋_GB2312"/>
          <w:sz w:val="18"/>
          <w:szCs w:val="18"/>
          <w:lang w:val="en-US" w:eastAsia="zh-CN"/>
        </w:rPr>
      </w:pPr>
      <w:r>
        <w:rPr>
          <w:rFonts w:hint="eastAsia" w:ascii="黑体" w:hAnsi="黑体" w:eastAsia="黑体"/>
          <w:b/>
          <w:bCs/>
          <w:szCs w:val="21"/>
        </w:rPr>
        <w:t>[</w:t>
      </w:r>
      <w:r>
        <w:rPr>
          <w:rFonts w:hint="eastAsia" w:ascii="黑体" w:hAnsi="黑体" w:eastAsia="黑体"/>
          <w:szCs w:val="21"/>
        </w:rPr>
        <w:t>摘 要</w:t>
      </w:r>
      <w:r>
        <w:rPr>
          <w:rFonts w:ascii="黑体" w:hAnsi="黑体" w:eastAsia="黑体"/>
          <w:szCs w:val="21"/>
        </w:rPr>
        <w:t>]</w:t>
      </w:r>
      <w:r>
        <w:rPr>
          <w:rFonts w:hint="eastAsia" w:ascii="仿宋_GB2312" w:hAnsi="宋体" w:eastAsia="仿宋_GB2312"/>
          <w:sz w:val="18"/>
          <w:szCs w:val="18"/>
          <w:lang w:val="en-US" w:eastAsia="zh-CN"/>
        </w:rPr>
        <w:t>数字技术的发展催生了新的资本形态—数据资本，在数据资本逻辑的作用下消费异化有了新的特征，主要表现在数字技术驱动下消费方式的虚拟化与过度超前消费、数字传播下的消费诱导与消费目的的符号化、数据操控下的信息茧房与消费行为的非自主化三个方面。数字时代消费异化的生成逻辑仍在于资本增殖作为根本驱动力，在竞争的驱动下放大了消费异化问题，消费异化与劳动异化的相互作用下使得消费异化的正反馈作用加强，数字传播下的消费主义文化的侵蚀使得消费异化更为严重。要解决消费异化问题，需要从引导数据资本健康有序发展，监管规范消费信贷，发挥制度优势，推动数字技术合理运用，构建健康消费文化，抵御消费主义渗透，让消费回归本质，推动绿色消费，对于促进人的自由全面发展具有重要意义。</w:t>
      </w:r>
    </w:p>
    <w:p w14:paraId="42DC5596">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18"/>
          <w:szCs w:val="18"/>
          <w:lang w:val="en-US" w:eastAsia="zh-CN"/>
        </w:rPr>
      </w:pPr>
      <w:r>
        <w:rPr>
          <w:rFonts w:hint="eastAsia" w:ascii="黑体" w:hAnsi="黑体" w:eastAsia="黑体"/>
          <w:b/>
          <w:bCs/>
          <w:szCs w:val="21"/>
        </w:rPr>
        <w:t>[</w:t>
      </w:r>
      <w:r>
        <w:rPr>
          <w:rFonts w:hint="eastAsia" w:ascii="黑体" w:hAnsi="黑体" w:eastAsia="黑体" w:cs="黑体"/>
          <w:szCs w:val="21"/>
        </w:rPr>
        <w:t>关键词</w:t>
      </w:r>
      <w:r>
        <w:rPr>
          <w:rFonts w:ascii="黑体" w:hAnsi="黑体" w:eastAsia="黑体"/>
          <w:szCs w:val="21"/>
        </w:rPr>
        <w:t>]</w:t>
      </w:r>
      <w:r>
        <w:rPr>
          <w:rFonts w:hint="eastAsia" w:ascii="宋体" w:hAnsi="宋体" w:eastAsia="宋体" w:cs="宋体"/>
          <w:sz w:val="18"/>
          <w:szCs w:val="18"/>
          <w:lang w:val="en-US" w:eastAsia="zh-CN"/>
        </w:rPr>
        <w:t>数据资本，消费异化，劳动异化，数字平台</w:t>
      </w:r>
    </w:p>
    <w:p w14:paraId="14BC2967">
      <w:pPr>
        <w:keepNext w:val="0"/>
        <w:keepLines w:val="0"/>
        <w:pageBreakBefore w:val="0"/>
        <w:widowControl w:val="0"/>
        <w:kinsoku/>
        <w:wordWrap/>
        <w:overflowPunct/>
        <w:topLinePunct w:val="0"/>
        <w:autoSpaceDE/>
        <w:autoSpaceDN/>
        <w:bidi w:val="0"/>
        <w:adjustRightInd/>
        <w:snapToGrid/>
        <w:spacing w:line="400" w:lineRule="exact"/>
        <w:ind w:left="0" w:firstLine="480" w:firstLineChars="200"/>
        <w:textAlignment w:val="auto"/>
        <w:rPr>
          <w:rFonts w:hint="eastAsia" w:ascii="宋体" w:hAnsi="宋体" w:eastAsia="宋体" w:cs="宋体"/>
          <w:sz w:val="24"/>
          <w:szCs w:val="24"/>
          <w:lang w:val="en-US" w:eastAsia="zh-CN"/>
        </w:rPr>
      </w:pPr>
    </w:p>
    <w:p w14:paraId="665E189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引言</w:t>
      </w:r>
    </w:p>
    <w:p w14:paraId="5B8EBE52">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随着新一代数字信息技术的膨胀性发展，全球迈入全面数字化的大潮，数字经济逐渐发展成为经济发展的主引擎。数据显示，英、美、德的数字经济的 GDP占比已超过65%。</w:t>
      </w:r>
      <w:r>
        <w:rPr>
          <w:rStyle w:val="20"/>
          <w:rFonts w:hint="eastAsia" w:ascii="宋体" w:hAnsi="宋体" w:eastAsia="宋体" w:cs="宋体"/>
          <w:sz w:val="21"/>
          <w:szCs w:val="21"/>
          <w:lang w:val="en-US" w:eastAsia="zh-CN"/>
        </w:rPr>
        <w:footnoteReference w:id="1003"/>
      </w:r>
      <w:r>
        <w:rPr>
          <w:rFonts w:hint="eastAsia" w:ascii="宋体" w:hAnsi="宋体" w:eastAsia="宋体" w:cs="宋体"/>
          <w:sz w:val="21"/>
          <w:szCs w:val="21"/>
          <w:lang w:val="en-US" w:eastAsia="zh-CN"/>
        </w:rPr>
        <w:t>数字化浪潮之下，数据成为经济发展中的重要生产要素，并逐渐演变为数据资本，催生了数字消费，成为经济发展中的重要支配力量，对社会再生产的各个环节产生了重要的影响。消费是社会生产的目的和前提，因此在“十四五规划”中提出了要“发展信息消费、数字消费”，“增强消费对经济发展的基础性作用”</w:t>
      </w:r>
      <w:r>
        <w:rPr>
          <w:rStyle w:val="20"/>
          <w:rFonts w:hint="eastAsia" w:ascii="宋体" w:hAnsi="宋体" w:eastAsia="宋体" w:cs="宋体"/>
          <w:sz w:val="21"/>
          <w:szCs w:val="21"/>
          <w:lang w:val="en-US" w:eastAsia="zh-CN"/>
        </w:rPr>
        <w:footnoteReference w:id="1004"/>
      </w:r>
      <w:r>
        <w:rPr>
          <w:rFonts w:hint="eastAsia" w:ascii="宋体" w:hAnsi="宋体" w:eastAsia="宋体" w:cs="宋体"/>
          <w:sz w:val="21"/>
          <w:szCs w:val="21"/>
          <w:lang w:val="en-US" w:eastAsia="zh-CN"/>
        </w:rPr>
        <w:t>。但在资本逻辑运作下的信息技术的发展，使得消费异化现象向更深更广发展，对经济的健康发展和人的精神自由也带来了远甚过去的消极影响。本文立足于马克思主义政治经济学，对数据资本下的消费异化现象进行追问，结合原理分析数据资本下消费异化产生的内在逻辑，在此基础上寻找解蔽之径，让消费回归本质，推动绿色消费，对于新质生产力和数字经济健康发展具有重要的指向作用，对于促进人的自由全面发展具有重要意义。</w:t>
      </w:r>
    </w:p>
    <w:p w14:paraId="08D7DE6C">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无论处于什么样的社会形态中，人们都是通过物质变换来满足自身需求，这是最原始和最基本的消费，因此消费是人们“满足生存的正常需要和不断丰富人物质精神生活的主体性活动”。</w:t>
      </w:r>
      <w:r>
        <w:rPr>
          <w:rFonts w:hint="eastAsia" w:ascii="宋体" w:hAnsi="宋体" w:eastAsia="宋体" w:cs="宋体"/>
          <w:sz w:val="21"/>
          <w:szCs w:val="21"/>
          <w:vertAlign w:val="superscript"/>
          <w:lang w:val="en-US" w:eastAsia="zh-CN"/>
        </w:rPr>
        <w:footnoteReference w:id="1005"/>
      </w:r>
      <w:r>
        <w:rPr>
          <w:rFonts w:hint="eastAsia" w:ascii="宋体" w:hAnsi="宋体" w:eastAsia="宋体" w:cs="宋体"/>
          <w:sz w:val="21"/>
          <w:szCs w:val="21"/>
          <w:lang w:val="en-US" w:eastAsia="zh-CN"/>
        </w:rPr>
        <w:t>在自然经济的社会形态中，生产与消费的矛盾运动中，消费处于次要矛盾地位，在进入社会化生产后，在两者的矛盾运动中，消费成为矛盾的主要方面。</w:t>
      </w:r>
    </w:p>
    <w:p w14:paraId="59B5B6F3">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原本人们消费是为了满足自己真实的物质需要和精神需要，但在资本统治的生产方式下，生产的动机不是使用价值和享受，而是“交换价值和交换价值的增殖”，“迫使人类去为生产而生产”，由此导致的结果是“为消费而消费”，造成严重的消费异化现象，即消费向人的对立面转化，消费活动转变为异己的或敌对的力量，不仅不受人的支配和控制，反而依照商品的性质控制和奴役人。</w:t>
      </w:r>
      <w:r>
        <w:rPr>
          <w:rFonts w:hint="eastAsia" w:ascii="宋体" w:hAnsi="宋体" w:eastAsia="宋体" w:cs="宋体"/>
          <w:sz w:val="21"/>
          <w:szCs w:val="21"/>
          <w:vertAlign w:val="superscript"/>
          <w:lang w:val="en-US" w:eastAsia="zh-CN"/>
        </w:rPr>
        <w:footnoteReference w:id="1006"/>
      </w:r>
      <w:r>
        <w:rPr>
          <w:rFonts w:hint="eastAsia" w:ascii="宋体" w:hAnsi="宋体" w:eastAsia="宋体" w:cs="宋体"/>
          <w:sz w:val="21"/>
          <w:szCs w:val="21"/>
          <w:lang w:val="en-US" w:eastAsia="zh-CN"/>
        </w:rPr>
        <w:t>在传统的资本主义社会中，消费异化现象就已开始凸显，马克思就指出当时存在的“商品拜物教”等现象。随着生产力向前发展，学界对消费异化的研究也不断推进。从凡勃伦的“炫耀性消费”开始，弗洛姆的逃避自由、马尔库塞的“虚假消费”，列斐伏尔的日常生活批判、阿格尔的生态学马克思主义、鲍德里亚的消费社会等，学者们对消费异化做了深刻的阐述和批判。</w:t>
      </w:r>
    </w:p>
    <w:p w14:paraId="70F2ACAF">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人类迈入数字时代，大数据、人工智能等数字技术极大地提升了生产力，在资本无休止追求价值增殖动机的推动下，商品生产前所未有的丰富，“商品无限堆积”现象频繁出现，同时，过去的消费的中介场所通过数字平台得到全面连通，消费手段和方式也全面地实现了数字化。资本家通过垄断数字技术和数据加强了对消费环节的控制，数字时代的消费异化现象超过工业时代无法比拟的深度和广度，是资本逻辑与技术逻辑相互渗透、相互强化和相互勾结的产物。</w:t>
      </w:r>
    </w:p>
    <w:p w14:paraId="3BC496E6">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新信息技术催生的数据资本是“以占有数据从而实现其当前利润或未来收益索取权为目的，通过剥削数据产业劳动者，投入数据生产、流通和交换过程中的资本”。</w:t>
      </w:r>
      <w:r>
        <w:rPr>
          <w:rFonts w:hint="eastAsia" w:ascii="宋体" w:hAnsi="宋体" w:eastAsia="宋体" w:cs="宋体"/>
          <w:sz w:val="21"/>
          <w:szCs w:val="21"/>
          <w:vertAlign w:val="superscript"/>
          <w:lang w:val="en-US" w:eastAsia="zh-CN"/>
        </w:rPr>
        <w:footnoteReference w:id="1007"/>
      </w:r>
      <w:r>
        <w:rPr>
          <w:rFonts w:hint="eastAsia" w:ascii="宋体" w:hAnsi="宋体" w:eastAsia="宋体" w:cs="宋体"/>
          <w:sz w:val="21"/>
          <w:szCs w:val="21"/>
          <w:lang w:val="en-US" w:eastAsia="zh-CN"/>
        </w:rPr>
        <w:t>数据资本仍然是为了谋取价值增殖的一种资本形态，它与平台资本、算法等结合创造了数字形式的消费结构和消费方式，并不断改造传统消费模式。传统消费模式和消费内容在数字技术的发展下得到全面重塑，过去的时空限制被打破重构。在消费方式上，传统的线下现金交易转为线下线上数字支付为主。在消费维度上，拓展了传统的消费维度和内容。数据商品、数字服务等非物质实体占据人们消费总量的较大比例，数字化消费成为人们主要的生活方式和交往方式。</w:t>
      </w:r>
      <w:r>
        <w:rPr>
          <w:rFonts w:hint="eastAsia" w:ascii="宋体" w:hAnsi="宋体" w:eastAsia="宋体" w:cs="宋体"/>
          <w:sz w:val="21"/>
          <w:szCs w:val="21"/>
          <w:vertAlign w:val="superscript"/>
          <w:lang w:val="en-US" w:eastAsia="zh-CN"/>
        </w:rPr>
        <w:footnoteReference w:id="1008"/>
      </w:r>
    </w:p>
    <w:p w14:paraId="4115A99C">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以平台经济为主的商业模式中，数据资本在其中发挥着重要的作用，在拓展消费者消费内容和加快消费速度发挥着重要作用。数据资本通过形成相应的数据商品（如各类数字化的广告），在数字平台上广泛传播，竭力向消费者鼓吹商品的符号价值，在社交网络和数字媒体中以各种各样的方式让消费者点击到，不断地出现在消费者的数字化设备界面，以这样的方式拓展消费者的消费内容，激发消费者的购买意图，加快了消费者的消费速度。因此商品之后被消费了，才能实现商品的“惊险一跃”，才能实现价值增殖。但因其自身的逐利性、极强的流动性和拜物教性质致使消费过程产生异化，并且比传统的消费异化更深更广，有了新的表现。</w:t>
      </w:r>
    </w:p>
    <w:p w14:paraId="21F75A89">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firstLine="480" w:firstLineChars="200"/>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一、数据资本视域下的消费异化的现实表现</w:t>
      </w:r>
    </w:p>
    <w:p w14:paraId="6911488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进入移动互联网时代以来，无处不在的传感器、智能设备，无法回避的数字平台能够把我们生活过程中的行为痕迹全方位地收集起来，我们的消费行为成为资本十分重视的数据之一，对这些数据的掌握和分析，十分有利于资本把控整个消费环节。在数据资本逻辑主导下，消费异化呈现出新的表现。</w:t>
      </w:r>
    </w:p>
    <w:p w14:paraId="4B6ACC25">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（一）数字技术驱动下消费方式的虚拟化与过度超前消费</w:t>
      </w:r>
    </w:p>
    <w:p w14:paraId="39CC9F26">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早在20世纪20年代，为了应对当时美国所发生的严重的经济危机，凯恩斯就千方百计的鼓励人们超前消费，从那时起超前消费思想就在美国的生活方式里扎根生长，2023年美国人均负债9.4万美元。所谓超前消费是指消费者在当前收入水平下无法完全支撑的情况下，通过借贷、分期付款等方式提前满足自身消费需求的行为。虚拟经济正是资本主义制度下金融深化的产物，信息革命所带来的数字技术为虚拟经济的发展和扩张提供强大的技术支持。在数字技术的支持下，虚拟经济构建了便捷的支付系统和完善的信用体系，金融产品不断推成出新，支付方式突破了时空限制。借助各种数字平台和金融工具，消费者可以轻松获得信贷支持，如以支付宝、微信支付等为代表的第三方支付平台，不仅实现了交易的即时性和安全性，他们通过大数据分析和人工智能技术为消费者提供个性化的信用评估服务，提供先买后付、分期付款等方式极大地降低了消费的门槛和成本，使得人们轻易就能实现即时满足的消费需求。</w:t>
      </w:r>
    </w:p>
    <w:p w14:paraId="11309AF4">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虚拟经济的支持下，把此刻人们“无货币支付能力的需要”变为“有货币支付能力的需要”，但这种“有货币支付能力”是在不断透支消费者未来信用的基础上进行的，本身就带来不确定性和虚幻性，很有可能过度信贷和无力偿还。货币的数字化使得消费者对于支出货币无太多实质的感觉，只需在屏幕点击几下消费行为就已完成。</w:t>
      </w:r>
    </w:p>
    <w:p w14:paraId="0EAF7D72">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超前消费是缩小当前无效需求的有效手段，但如若对这些消费方式放任，可能会造成个人的过度消费和过度负债，造成经济的不稳定，也可能给社会未来制造定时炸弹。每年商家为了促进消费，加快资本循环，绞尽脑汁设置各种购物节、构造让人眼花缭乱的限时消费活动，为消费者设置情绪高涨的“不买你就亏”购物环境，刺激消费者提前为未来可能的消费买单，诱导消费者快速消费。但这种“未来的消费”是以牺牲消费者未来生命劳动作为前提，很容易受其捆绑，拉入让人迷幻的漩涡。适度的超前消费可以有效缓解社会有效需求不足问题，刺激经济发展，但如果过度超前消费，给个人和社会带来的后果是不可想象的，2008年美国的次贷危机已经给我们警示。</w:t>
      </w:r>
    </w:p>
    <w:p w14:paraId="6BEF3ACD">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（二）数字传播下的消费诱导与消费目的的符号化</w:t>
      </w:r>
    </w:p>
    <w:p w14:paraId="45576D02">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进入数字时代后，传统的传播方式几乎被数字化的传播方式所替代，人们获取信息和交往交流的方式发生了翻天覆地的变化。我们的日常交往几乎都通过数据这一中介实现。在科学技术和政策的推动下，数据在数字世界获得了如同货币一样的一般等价物的地位，使我们在数字世界的交换和社会关系都被它所中介、所赋值和所架构</w:t>
      </w:r>
      <w:r>
        <w:rPr>
          <w:rFonts w:hint="eastAsia" w:ascii="宋体" w:hAnsi="宋体" w:eastAsia="宋体" w:cs="宋体"/>
          <w:sz w:val="21"/>
          <w:szCs w:val="21"/>
          <w:vertAlign w:val="superscript"/>
          <w:lang w:val="en-US" w:eastAsia="zh-CN"/>
        </w:rPr>
        <w:footnoteReference w:id="1009"/>
      </w:r>
      <w:r>
        <w:rPr>
          <w:rFonts w:hint="eastAsia" w:ascii="宋体" w:hAnsi="宋体" w:eastAsia="宋体" w:cs="宋体"/>
          <w:sz w:val="21"/>
          <w:szCs w:val="21"/>
          <w:lang w:val="en-US" w:eastAsia="zh-CN"/>
        </w:rPr>
        <w:t>。数据将物质世界、人和数字世界连接在一起，人们把自我意识转成化数字世界可理解的数据，在数字世界获得了一种“数字身份”</w:t>
      </w:r>
      <w:r>
        <w:rPr>
          <w:rFonts w:hint="eastAsia" w:ascii="宋体" w:hAnsi="宋体" w:eastAsia="宋体" w:cs="宋体"/>
          <w:sz w:val="21"/>
          <w:szCs w:val="21"/>
          <w:vertAlign w:val="superscript"/>
          <w:lang w:val="en-US" w:eastAsia="zh-CN"/>
        </w:rPr>
        <w:footnoteReference w:id="1010"/>
      </w:r>
      <w:r>
        <w:rPr>
          <w:rFonts w:hint="eastAsia" w:ascii="宋体" w:hAnsi="宋体" w:eastAsia="宋体" w:cs="宋体"/>
          <w:sz w:val="21"/>
          <w:szCs w:val="21"/>
          <w:lang w:val="en-US" w:eastAsia="zh-CN"/>
        </w:rPr>
        <w:t>。这种“数字身份”本身就只能代表真实的人的一方面，是片面的身份，在数据资本所操控的数字世界中，必然性的会产生异化。</w:t>
      </w:r>
    </w:p>
    <w:p w14:paraId="21CD86D6">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现在人们获取信息和实现消费大多通过数字平台这一中介实现，获取产品相关信息也大多在平台上获得。几乎所有的商品和服务通过数字平台展示、销售，数字媒介成为传播符号价值最得力的助手。一方面，物质产品必须符号化才能进入数字平台，资本通过把“个性”、“尊严”、“成功”、“幸福”、“地位”、“美好”等价值范畴进行符号化，与所销售的物质产品进行捆绑，并通过数字广告进行景观呈现，刺激消费者的视觉、听觉，进而影响消费者的价值判断，诱导消费者消费商品来实现自我确证和社会认同。广告的核心就是在商品本身的使用价值之外构造“符号价值”，把商品与社会地位、美好生活、幸福场景等勾连在一起形成“概念商品”，让消费者认为购买了商品就能带来它所描绘的内容，从而实现了商品的售出。如一些购买苹果手机的人是想通过“苹果”的标识来标榜自己的消费品味和经济实力。符号价值的构建造成产品本身不再作为核心的虚幻假象，在当前不会营销的产品难以脱颖而出，也开启了资本疯狂制造虚假需求和构建符号价值的浪潮。</w:t>
      </w:r>
    </w:p>
    <w:p w14:paraId="6E55652C">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这个过程中资本可以投机地制造更多的虚假需求，只要其能完成消费者的价值认同，不管有多虚假，总能诱使消费者进行消费。因为在数字化的驱动下，尤其是在移动数字设备的普遍使用下每个人都能感受到广告的狂轰乱炸，而且资本通过对消费者数据的掌握，利用算法进行精准匹配，让人很难不受到广告的影响，很容易就实现了价值认同。另一方面，资本通过一系列的符号价值的构建已经编织了一个自洽的符号体系，完成了整个社会身份在商品世界的重演，构造了全新的消费价值体系。商品链条对应着不同的社会地位，诱使消费者进入“你追我赶”的消费漩涡之中，不断地规训和消解人的主体性，最后导致的结果是人的真实需求在这种景观遮蔽下难以得到满足，使得人们消费发生扭曲和颠倒。在数字时代下，劳动者面临着</w:t>
      </w:r>
      <w:r>
        <w:rPr>
          <w:rFonts w:ascii="方正楷体_GBK" w:hAnsi="方正楷体_GBK" w:eastAsia="方正楷体_GBK" w:cs="方正楷体_GBK"/>
          <w:color w:val="000000"/>
          <w:kern w:val="0"/>
          <w:sz w:val="20"/>
          <w:szCs w:val="20"/>
          <w:lang w:val="en-US" w:eastAsia="zh-CN" w:bidi="ar"/>
        </w:rPr>
        <w:t>着</w:t>
      </w:r>
      <w:r>
        <w:rPr>
          <w:rFonts w:hint="eastAsia" w:ascii="宋体" w:hAnsi="宋体" w:eastAsia="宋体" w:cs="宋体"/>
          <w:sz w:val="21"/>
          <w:szCs w:val="21"/>
          <w:lang w:val="en-US" w:eastAsia="zh-CN"/>
        </w:rPr>
        <w:t>“他者剥削</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自我剥削</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和</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反抗无力</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的三重困境</w:t>
      </w:r>
      <w:r>
        <w:rPr>
          <w:rStyle w:val="20"/>
          <w:rFonts w:hint="eastAsia" w:ascii="宋体" w:hAnsi="宋体" w:eastAsia="宋体" w:cs="宋体"/>
          <w:sz w:val="21"/>
          <w:szCs w:val="21"/>
          <w:lang w:val="en-US" w:eastAsia="zh-CN"/>
        </w:rPr>
        <w:footnoteReference w:id="1011"/>
      </w:r>
      <w:r>
        <w:rPr>
          <w:rFonts w:hint="eastAsia" w:ascii="宋体" w:hAnsi="宋体" w:eastAsia="宋体" w:cs="宋体"/>
          <w:sz w:val="21"/>
          <w:szCs w:val="21"/>
          <w:lang w:val="en-US" w:eastAsia="zh-CN"/>
        </w:rPr>
        <w:t>。</w:t>
      </w:r>
    </w:p>
    <w:p w14:paraId="58CD79F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（三）数据操控下的信息茧房与消费行为的非自主化</w:t>
      </w:r>
    </w:p>
    <w:p w14:paraId="47DE8169">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凭借数字化技术的支持，网络空间的各种各样的数据不断被收集、存储、传递和处理，经算法处理后供由不同的主体所使用。一方面数字平台通过收集用户的浏览记录、购买历史、搜索习惯和互动行为等数据，精准把握用户兴趣和消费倾向，实现他们在消费领域的数据霸权。数字平台利用对消费者海量数据信息的占有，针对性的对消费者的消费行为进行引导和干预，致使消费行为变成一种受控的技术关系。更为严重的是，在数字时代，数字平台的存在对大众的生活而言是垄断性的，人们依赖数字平台进行交流，也表现为不得不使用社交平台来进行交流。</w:t>
      </w:r>
      <w:r>
        <w:rPr>
          <w:rStyle w:val="20"/>
          <w:rFonts w:hint="eastAsia" w:ascii="宋体" w:hAnsi="宋体" w:eastAsia="宋体" w:cs="宋体"/>
          <w:sz w:val="21"/>
          <w:szCs w:val="21"/>
          <w:lang w:val="en-US" w:eastAsia="zh-CN"/>
        </w:rPr>
        <w:footnoteReference w:id="1012"/>
      </w:r>
    </w:p>
    <w:p w14:paraId="6836A17B">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另一方面，在资本逐利目标的驱使和数据操控下，当消费者在平台上搜集某一商品信息时，平台都会对消费者所搜索内容进行精准、全面、及时的反应，提供大量推荐的商品信息，虽然这种相关性推荐能在一定程度上给用于带来便利，但长期来看，用户逐渐局限于平台提供的狭窄信息范围，使消费者难以接触到多样化的观点和信息，这种信息渠道的窄化会造成形成的“信息茧房”会造成消费者需求的错配，尤其在算法的作用下，很容易让消费者被锁定在算法所编制的信息茧房中，人们在这种信息的包裹下很容易导致自己真实的需求被其扭曲。最后，这种数据操控会削弱用户的自主性和选择权，使得消费者信息甄别能力逐渐下降，消费者的消费决策逐渐被平台操控，导致社会消费文化趋同化和单一化。数字平台通过用户评论、评分系统和社交媒体影响，构建了一个高度互联的消费环境。用户在决策时常参考他人评价和推荐，忽视了自身真实需求。这种外部化的决策过程使得用户对消费行为的控制权逐渐丧失，消费变得更为异化和被动。消费者的选择越来越受算法推荐和数据分析影响，不再完全由自身需求和意愿主导，而是被数据资本的利益逻辑操控。</w:t>
      </w:r>
    </w:p>
    <w:p w14:paraId="55AB5738">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80" w:firstLineChars="200"/>
        <w:jc w:val="both"/>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二、数据资本视域下的消费异化的生成逻辑</w:t>
      </w:r>
    </w:p>
    <w:p w14:paraId="2EE989B5">
      <w:pPr>
        <w:keepNext w:val="0"/>
        <w:keepLines w:val="0"/>
        <w:pageBreakBefore w:val="0"/>
        <w:widowControl w:val="0"/>
        <w:numPr>
          <w:ilvl w:val="0"/>
          <w:numId w:val="19"/>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资本增殖本性作为根本动力</w:t>
      </w:r>
    </w:p>
    <w:p w14:paraId="66A23FC7">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随着社会的发展，不断涌现出各种形态的资本，但都不能改变资本的本性，资本始终是</w:t>
      </w:r>
      <w:r>
        <w:rPr>
          <w:rFonts w:hint="eastAsia" w:ascii="宋体" w:hAnsi="宋体" w:eastAsia="宋体" w:cs="宋体"/>
          <w:sz w:val="21"/>
          <w:szCs w:val="21"/>
          <w:highlight w:val="none"/>
          <w:lang w:val="en-US" w:eastAsia="zh-CN"/>
        </w:rPr>
        <w:t>资本阶级社会支</w:t>
      </w:r>
      <w:r>
        <w:rPr>
          <w:rFonts w:hint="eastAsia" w:ascii="宋体" w:hAnsi="宋体" w:eastAsia="宋体" w:cs="宋体"/>
          <w:sz w:val="21"/>
          <w:szCs w:val="21"/>
          <w:lang w:val="en-US" w:eastAsia="zh-CN"/>
        </w:rPr>
        <w:t>配一切的经济权力，始终以追求价值增殖为根本动机。数据资本与算法等技术“合谋”以前所未有的规模渗透到经济、社会和文化等领域，成为当前社会发展的核心推动力，把过去地理空间和物质世界的扩张拓展到数字世界，重塑传统生产方式、消费方式、劳动方式，衍生出新的资本增殖方式，所体现的仍是死劳动对活劳动的单向度和不平等的权力-支配关系</w:t>
      </w:r>
      <w:r>
        <w:rPr>
          <w:rStyle w:val="20"/>
          <w:rFonts w:hint="eastAsia" w:ascii="宋体" w:hAnsi="宋体" w:eastAsia="宋体" w:cs="宋体"/>
          <w:sz w:val="21"/>
          <w:szCs w:val="21"/>
          <w:lang w:val="en-US" w:eastAsia="zh-CN"/>
        </w:rPr>
        <w:footnoteReference w:id="1013"/>
      </w:r>
      <w:r>
        <w:rPr>
          <w:rFonts w:hint="eastAsia" w:ascii="宋体" w:hAnsi="宋体" w:eastAsia="宋体" w:cs="宋体"/>
          <w:sz w:val="21"/>
          <w:szCs w:val="21"/>
          <w:lang w:val="en-US" w:eastAsia="zh-CN"/>
        </w:rPr>
        <w:t>。</w:t>
      </w:r>
    </w:p>
    <w:p w14:paraId="42780133">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资本意味资本积累在传统商品市场趋于饱和的背景下遭遇瓶颈时寻找到了新的增殖空间，为了保证价值增殖将触角全面延伸到消费领域，在资本逻辑的规训下，消费更加脱离其本质，发生更大程度的扭曲与颠倒。</w:t>
      </w:r>
    </w:p>
    <w:p w14:paraId="5E544FC4">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一方面，数字空间的资本化。在资本逻辑运作下的数字技术开拓的数字世界资本化，数字世界成为资本“自行增殖”的虚拟空间，成为资本主宰的全新场域。数据中介着人们的交往，也以润物细无声的方式无时无刻不连接着消费的通道，在数字世界，人们可以随时到达消费平台。另一方面是时间的资本化。过去人们的自由时间和工作时间有着比较明确的界限，但在数字化的社会中，人们的花在数字平台上的自由时间紧密的和消费联系在一起，我们的数字痕迹成为商家对我们精准画像的重要依据。技术与资本的熔接将消费者大部分的生命时间和生活空间纳入资本逻辑的控制范畴，服务于资本增殖的根本目的。</w:t>
      </w:r>
    </w:p>
    <w:p w14:paraId="5D82EB65">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资本主义增殖多少不仅决定于消费的进行与停滞，还决定于消费的速度。在数据资本的作用下，这一增殖逻辑进一步放大强化。数据的快速流通与精准分析，使得商家能够实时掌握消费者的偏好与需求，从而加速产品的推陈出新，刺激消费者的购买欲望。这种基于数据驱动的消费模式，不仅缩短了产品从生产到消费的时间周期，更在无形中提升了消费者的消费频率，使得资本在更短的时间内实现多次循环，进一步强化了资本增殖的本性。在这个过程中，消费者的需求被无限放大和细化，原本可能并不迫切的消费需求，在数据算法的精心策划下变得唾手可及。在这种消费加速的过程中，很容易让人深入其中难以自拔，沦为“受抬举的奴隶”。</w:t>
      </w:r>
    </w:p>
    <w:p w14:paraId="1541F37F">
      <w:pPr>
        <w:keepNext w:val="0"/>
        <w:keepLines w:val="0"/>
        <w:pageBreakBefore w:val="0"/>
        <w:widowControl w:val="0"/>
        <w:numPr>
          <w:ilvl w:val="0"/>
          <w:numId w:val="19"/>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竞争造成的“创造性破坏”</w:t>
      </w:r>
    </w:p>
    <w:p w14:paraId="43CDC773">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在资本主义主导的世界经济体系中，“竞争使资本主义生产方式的内在规律作为外在的强制规律支配着每一个资本家”。</w:t>
      </w:r>
      <w:r>
        <w:rPr>
          <w:rStyle w:val="20"/>
          <w:rFonts w:hint="default" w:ascii="Times New Roman" w:hAnsi="Times New Roman" w:cs="Times New Roman"/>
          <w:sz w:val="21"/>
          <w:szCs w:val="21"/>
        </w:rPr>
        <w:footnoteReference w:id="1014"/>
      </w:r>
      <w:r>
        <w:rPr>
          <w:rFonts w:hint="eastAsia" w:ascii="宋体" w:hAnsi="宋体" w:eastAsia="宋体" w:cs="宋体"/>
          <w:sz w:val="21"/>
          <w:szCs w:val="21"/>
          <w:lang w:val="en-US" w:eastAsia="zh-CN"/>
        </w:rPr>
        <w:t>在资本主义基本矛盾的运动过程中，竞争始终贯穿其发展的每个阶段，每一个想在市场上存活下来的资本家，必须想方设法保持自身优势，不断创新，否则将很快被市场淘汰。这种竞争机制推动下技术创新与经济增长的过程被熊彼特描述为“创造性破坏”。这种“创造性破坏”在云计算、大数据、人工智能等数字技术的背景下更为深刻。这种“创造性破坏”主要表现在以下两个方面。</w:t>
      </w:r>
    </w:p>
    <w:p w14:paraId="10979EA6">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firstLineChars="0"/>
        <w:jc w:val="both"/>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一是竞争推动的商品过快及不必要的更新换代。从上世纪70年代至今，</w:t>
      </w:r>
      <w:r>
        <w:rPr>
          <w:rFonts w:hint="eastAsia" w:ascii="宋体" w:hAnsi="宋体" w:eastAsia="宋体" w:cs="宋体"/>
          <w:b w:val="0"/>
          <w:bCs w:val="0"/>
          <w:i w:val="0"/>
          <w:color w:val="000000"/>
          <w:sz w:val="21"/>
          <w:szCs w:val="21"/>
          <w:u w:val="none" w:color="000000"/>
          <w:lang w:val="en-US" w:eastAsia="zh-CN"/>
        </w:rPr>
        <w:t>数字化技术的快速发展被计算机、电信和消费品电子公司不断地用于产品更新。</w:t>
      </w:r>
      <w:r>
        <w:rPr>
          <w:rStyle w:val="20"/>
          <w:rFonts w:hint="eastAsia" w:ascii="宋体" w:hAnsi="宋体" w:eastAsia="宋体" w:cs="宋体"/>
          <w:b w:val="0"/>
          <w:bCs w:val="0"/>
          <w:i w:val="0"/>
          <w:color w:val="000000"/>
          <w:sz w:val="21"/>
          <w:szCs w:val="21"/>
          <w:u w:val="none" w:color="000000"/>
          <w:lang w:val="en-US" w:eastAsia="zh-CN"/>
        </w:rPr>
        <w:footnoteReference w:id="1015"/>
      </w:r>
      <w:r>
        <w:rPr>
          <w:rFonts w:hint="eastAsia" w:ascii="宋体" w:hAnsi="宋体" w:eastAsia="宋体" w:cs="宋体"/>
          <w:b w:val="0"/>
          <w:bCs w:val="0"/>
          <w:i w:val="0"/>
          <w:color w:val="000000"/>
          <w:sz w:val="21"/>
          <w:szCs w:val="21"/>
          <w:u w:val="none" w:color="000000"/>
          <w:lang w:val="en-US" w:eastAsia="zh-CN"/>
        </w:rPr>
        <w:t>资本主义为了保持资本增殖速度，专门制定了</w:t>
      </w:r>
      <w:r>
        <w:rPr>
          <w:rFonts w:hint="eastAsia" w:ascii="宋体" w:hAnsi="宋体" w:eastAsia="宋体" w:cs="宋体"/>
          <w:sz w:val="21"/>
          <w:szCs w:val="21"/>
          <w:lang w:val="en-US" w:eastAsia="zh-CN"/>
        </w:rPr>
        <w:t>“按计划报废制度”，即企业为了缩短消费者重复购买的时间间隔、增加消费次数，而故意缩短产品生命周期、加快产品更新换代的一种生产行为。</w:t>
      </w:r>
      <w:r>
        <w:rPr>
          <w:rStyle w:val="20"/>
          <w:rFonts w:hint="eastAsia" w:ascii="宋体" w:hAnsi="宋体" w:eastAsia="宋体" w:cs="宋体"/>
          <w:sz w:val="21"/>
          <w:szCs w:val="21"/>
          <w:lang w:val="en-US" w:eastAsia="zh-CN"/>
        </w:rPr>
        <w:footnoteReference w:id="1016"/>
      </w:r>
      <w:r>
        <w:rPr>
          <w:rFonts w:hint="eastAsia" w:ascii="宋体" w:hAnsi="宋体" w:eastAsia="宋体" w:cs="宋体"/>
          <w:sz w:val="21"/>
          <w:szCs w:val="21"/>
          <w:lang w:val="en-US" w:eastAsia="zh-CN"/>
        </w:rPr>
        <w:t>诺维格定律</w:t>
      </w:r>
      <w:r>
        <w:rPr>
          <w:rStyle w:val="20"/>
          <w:rFonts w:hint="eastAsia" w:ascii="宋体" w:hAnsi="宋体" w:eastAsia="宋体" w:cs="宋体"/>
          <w:sz w:val="21"/>
          <w:szCs w:val="21"/>
          <w:lang w:val="en-US" w:eastAsia="zh-CN"/>
        </w:rPr>
        <w:footnoteReference w:id="1017"/>
      </w:r>
      <w:r>
        <w:rPr>
          <w:rFonts w:hint="eastAsia" w:ascii="宋体" w:hAnsi="宋体" w:eastAsia="宋体" w:cs="宋体"/>
          <w:sz w:val="21"/>
          <w:szCs w:val="21"/>
          <w:lang w:val="en-US" w:eastAsia="zh-CN"/>
        </w:rPr>
        <w:t>和达维多定律</w:t>
      </w:r>
      <w:r>
        <w:rPr>
          <w:rStyle w:val="20"/>
          <w:rFonts w:hint="eastAsia" w:ascii="宋体" w:hAnsi="宋体" w:eastAsia="宋体" w:cs="宋体"/>
          <w:sz w:val="21"/>
          <w:szCs w:val="21"/>
          <w:lang w:val="en-US" w:eastAsia="zh-CN"/>
        </w:rPr>
        <w:footnoteReference w:id="1018"/>
      </w:r>
      <w:r>
        <w:rPr>
          <w:rFonts w:hint="eastAsia" w:ascii="宋体" w:hAnsi="宋体" w:eastAsia="宋体" w:cs="宋体"/>
          <w:sz w:val="21"/>
          <w:szCs w:val="21"/>
          <w:lang w:val="en-US" w:eastAsia="zh-CN"/>
        </w:rPr>
        <w:t>就是信息时代竞争驱使下的现象。最典型的就是手机的更新换代，市场上的主要的手机厂商每年至少要推出一款新产品来保持自己的市场占有量。苹果公司从2007年推出第一代iPhone，到2024年8月18年的时间里共推出了42款iPhone型号，每半年就要推出一个新型号，更新速度飞快，令人眼花缭乱，正如马克思在《共产党宣言》里所言“等不到固定下来就陈旧了”</w:t>
      </w:r>
      <w:r>
        <w:rPr>
          <w:rStyle w:val="20"/>
          <w:rFonts w:hint="eastAsia" w:ascii="宋体" w:hAnsi="宋体" w:eastAsia="宋体" w:cs="宋体"/>
          <w:sz w:val="21"/>
          <w:szCs w:val="21"/>
          <w:lang w:val="en-US" w:eastAsia="zh-CN"/>
        </w:rPr>
        <w:footnoteReference w:id="1019"/>
      </w:r>
      <w:r>
        <w:rPr>
          <w:rFonts w:hint="eastAsia" w:ascii="宋体" w:hAnsi="宋体" w:eastAsia="宋体" w:cs="宋体"/>
          <w:sz w:val="21"/>
          <w:szCs w:val="21"/>
          <w:lang w:val="en-US" w:eastAsia="zh-CN"/>
        </w:rPr>
        <w:t>。这种过快的更新换代带来的是对资源的浪费，对自然环境的损失，对大多数使用者来说是没有这个必要的，但商家将其和社会价值捆绑，致使消费者参与到追赶当中，使得消费异化问题更为严重。</w:t>
      </w:r>
    </w:p>
    <w:p w14:paraId="0581C17E">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二是竞争驱动下资本全面侵入生活领域、情感领域，使得劳动异化扩展到社会关系的全面异化。在数据资本的驱动下，竞争不断地细分市场，找寻新的利润增长点，过去未受资本侵蚀的领域也被全面入侵，人的情感领域也广泛地被资本入侵，以致于人们开始用金钱衡量一切，一切向钱看。尤其是在数据资本的网络效应的作用下，对问题的放大效应就越大，家庭问题可能放大为地区问题，地区问题转变为国家问题，国家问题升级为国际问题。人们之间的家庭关系、朋友关系、师生关系等都受其影响，偏离其本来面目。在资本增殖动机的影响下，资本家必然操纵文化为其开辟道路，进而影响人们的精神生活，造成普遍的“精神痛苦”</w:t>
      </w:r>
      <w:r>
        <w:rPr>
          <w:rStyle w:val="20"/>
          <w:rFonts w:hint="eastAsia" w:ascii="宋体" w:hAnsi="宋体" w:eastAsia="宋体" w:cs="宋体"/>
          <w:sz w:val="21"/>
          <w:szCs w:val="21"/>
          <w:lang w:val="en-US" w:eastAsia="zh-CN"/>
        </w:rPr>
        <w:footnoteReference w:id="1020"/>
      </w:r>
      <w:r>
        <w:rPr>
          <w:rFonts w:hint="eastAsia" w:ascii="宋体" w:hAnsi="宋体" w:eastAsia="宋体" w:cs="宋体"/>
          <w:sz w:val="21"/>
          <w:szCs w:val="21"/>
          <w:lang w:val="en-US" w:eastAsia="zh-CN"/>
        </w:rPr>
        <w:t>。</w:t>
      </w:r>
    </w:p>
    <w:p w14:paraId="6FC65EC8">
      <w:pPr>
        <w:keepNext w:val="0"/>
        <w:keepLines w:val="0"/>
        <w:pageBreakBefore w:val="0"/>
        <w:widowControl w:val="0"/>
        <w:numPr>
          <w:ilvl w:val="0"/>
          <w:numId w:val="19"/>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消费异化和劳动异化的相互作用</w:t>
      </w:r>
    </w:p>
    <w:p w14:paraId="3F3B018F">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firstLineChars="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人类社会在未能进入共产主义社会之前，劳动对于每一个人来说都表现为一定程度的异己的力量。马克思在《1844年经济学哲学手稿》中概括了他的劳动异化思想的基本内容，即人与劳动活动相异化、人同自己的类本质相异化、人同自己的劳动产品相异化、人同人相异化。在资本主义生产方式下，人们在劳动过程中感受到的</w:t>
      </w:r>
      <w:r>
        <w:rPr>
          <w:rFonts w:hint="eastAsia"/>
          <w:sz w:val="21"/>
          <w:szCs w:val="21"/>
          <w:lang w:val="en-US" w:eastAsia="zh-CN"/>
        </w:rPr>
        <w:t>大多</w:t>
      </w:r>
      <w:r>
        <w:rPr>
          <w:rFonts w:hint="eastAsia" w:ascii="宋体" w:hAnsi="宋体" w:eastAsia="宋体" w:cs="宋体"/>
          <w:sz w:val="21"/>
          <w:szCs w:val="21"/>
          <w:lang w:val="en-US" w:eastAsia="zh-CN"/>
        </w:rPr>
        <w:t>是强制、痛苦，“工人只有在劳动之外才感到自在”，</w:t>
      </w:r>
      <w:r>
        <w:rPr>
          <w:rStyle w:val="20"/>
          <w:rFonts w:hint="eastAsia" w:ascii="宋体" w:hAnsi="宋体" w:eastAsia="宋体" w:cs="宋体"/>
          <w:sz w:val="21"/>
          <w:szCs w:val="21"/>
          <w:lang w:val="en-US" w:eastAsia="zh-CN"/>
        </w:rPr>
        <w:footnoteReference w:id="1021"/>
      </w:r>
      <w:r>
        <w:rPr>
          <w:rFonts w:hint="eastAsia" w:ascii="宋体" w:hAnsi="宋体" w:eastAsia="宋体" w:cs="宋体"/>
          <w:sz w:val="21"/>
          <w:szCs w:val="21"/>
          <w:lang w:val="en-US" w:eastAsia="zh-CN"/>
        </w:rPr>
        <w:t>这种“不自在”、“非人感”在数字技术的资本主义应用下得到了放大和加深，资本主义利用数字技术全面监控劳动者的劳动过程，利用数据霸权支配着劳动者的劳动。在私有制下劳动者工作的目的是为了换取用于购买自己再生产所需的消费资料，是为了获得消费的凭证。人们在劳动里感受的潜抑状态的释放要在劳动之外去找寻，而消费就是其中一个重要组成部分。也正因为如此，资本主义抓住这一环节，通过意识形态的宣传塑造劳动者的消费观来进一步实现资本增殖。</w:t>
      </w:r>
    </w:p>
    <w:p w14:paraId="20B7225E">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20" w:firstLineChars="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正因为异化劳动使人们在劳动过程中被奴役，因此异化消费才能打着“给人幸福”的旗号大行其道。异化消费成了无产阶级实现“幸福”的寄托，即成为异化劳动的“意义”。</w:t>
      </w:r>
      <w:r>
        <w:rPr>
          <w:rStyle w:val="20"/>
          <w:rFonts w:hint="eastAsia" w:ascii="宋体" w:hAnsi="宋体" w:eastAsia="宋体" w:cs="宋体"/>
          <w:sz w:val="21"/>
          <w:szCs w:val="21"/>
        </w:rPr>
        <w:footnoteReference w:id="1022"/>
      </w:r>
      <w:r>
        <w:rPr>
          <w:rFonts w:hint="eastAsia" w:ascii="宋体" w:hAnsi="宋体" w:eastAsia="宋体" w:cs="宋体"/>
          <w:sz w:val="21"/>
          <w:szCs w:val="21"/>
          <w:lang w:val="en-US" w:eastAsia="zh-CN"/>
        </w:rPr>
        <w:t>两者相互作用使得资本主义的当代异化空前加深，日渐荒唐和扭曲。消费把需要再生产出来，然而消费被扭曲，就造成再生产出来的需要也带有了虚假性，造成在生产和劳动偏离人们的真实需要，在这种循环中资本主义朝向埋葬自己的方向狂奔。</w:t>
      </w:r>
    </w:p>
    <w:p w14:paraId="7CA267AB">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（四）观念布控的全面侵入</w:t>
      </w:r>
    </w:p>
    <w:p w14:paraId="0BD03284">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资本主义生产条件下，生产者只关心如何实现价值，关心如何获得更多的交换价值。然而市场的扩张永远赶不上生产的扩大，开拓市场促进消费成为首要的问题。那么对于资本家来说促进消费的进行和加速成为追求价值增殖过程中的关键环节，人成为资本运行过程中的一个环节，资本会按照自己的期望来对人进行塑造，把人降格为资本增殖的牟利手段，宣扬享乐主义和拜金主义，传播他们所期望的消费观。科学-技术的合理性和操作以其被熔接成一种新型的社会控制形式。</w:t>
      </w:r>
      <w:r>
        <w:rPr>
          <w:rStyle w:val="20"/>
          <w:rFonts w:hint="eastAsia" w:ascii="宋体" w:hAnsi="宋体" w:eastAsia="宋体" w:cs="宋体"/>
          <w:sz w:val="21"/>
          <w:szCs w:val="21"/>
          <w:lang w:val="en-US" w:eastAsia="zh-CN"/>
        </w:rPr>
        <w:footnoteReference w:id="1023"/>
      </w:r>
    </w:p>
    <w:p w14:paraId="5297B4DD">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字技术在资本控制下，与消费主义紧密结合，构建并传播数字消费文化，加剧了消费异化现象。广告、媒体和文化产品的持续塑造将消费主义深植社会心理，使消费成为追求幸福和成功的主要途径。数字资本主义特别通过社交媒体和网红经济等新兴现象，进一步推动了消费主义的传播和渗透。</w:t>
      </w:r>
    </w:p>
    <w:p w14:paraId="53FDEE2D">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数字消费文化的影响下，人们对理想生活的追求往往被数字资本隐蔽构建的生活范式所主导，而非真实反映个体需求的生活追求。数字消费文化利用消费者对美好生活的向往，塑造和推广符号化商品，通过消费想象力改变消费者的认知、审美和消费观念，消费者沉浸于追求理想生活的幻想中，忽视了自己消费行为的被指派和强制现实，表现出顺从主义，失去了消费中的主体理性，成为资本增值的被动贡献者</w:t>
      </w:r>
      <w:r>
        <w:rPr>
          <w:rStyle w:val="20"/>
          <w:rFonts w:hint="eastAsia" w:ascii="宋体" w:hAnsi="宋体" w:eastAsia="宋体" w:cs="宋体"/>
          <w:sz w:val="21"/>
          <w:szCs w:val="21"/>
          <w:highlight w:val="none"/>
          <w:lang w:val="en-US" w:eastAsia="zh-CN"/>
        </w:rPr>
        <w:footnoteReference w:id="1024"/>
      </w:r>
      <w:r>
        <w:rPr>
          <w:rFonts w:hint="eastAsia" w:ascii="宋体" w:hAnsi="宋体" w:eastAsia="宋体" w:cs="宋体"/>
          <w:sz w:val="21"/>
          <w:szCs w:val="21"/>
          <w:lang w:val="en-US" w:eastAsia="zh-CN"/>
        </w:rPr>
        <w:t>。这一过程隐藏了社会文化意识中无法抗拒的力量，使消费者在不知不觉中被数字消费文化的理想化和合理化所主导。</w:t>
      </w:r>
    </w:p>
    <w:p w14:paraId="7CE7F030">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字消费文化不仅将消费视为生活的重要组成部分，还将高端商品和奢华品牌视为成功和生命意义的象征，不断创造新的消费需求，使消费者陷入永不满足的状态。这种消费主义意识形态背离了正常生活需求，将消费行为异化为消费者自我确认的符号表达。资本主导的消费文化不仅为数字资本提供了社会文化和意识形态上的支持，还刺激和促进了经济效益的实现。</w:t>
      </w:r>
    </w:p>
    <w:p w14:paraId="5377F69C">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因此，数字消费文化不仅是典型的意识形态，也是资本文化的显著表现。通过数字技术和媒体渗透，它操控和引导消费者的消费行为和生活方式，从而推动资本积累和社会经济发展，同时深刻改变了消费者的行为模式和心理状态。</w:t>
      </w:r>
    </w:p>
    <w:p w14:paraId="4FD3F619">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80" w:firstLineChars="200"/>
        <w:jc w:val="both"/>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三、数字资本下消费异化的解蔽之径</w:t>
      </w:r>
    </w:p>
    <w:p w14:paraId="52B41616">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（一）引导数据资本健康有序发展，监管规范消费信贷</w:t>
      </w:r>
    </w:p>
    <w:p w14:paraId="78843D3F">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b w:val="0"/>
          <w:bCs/>
          <w:i w:val="0"/>
          <w:color w:val="000000"/>
          <w:sz w:val="21"/>
          <w:szCs w:val="21"/>
          <w:u w:val="none" w:color="000000"/>
          <w:lang w:val="en-US" w:eastAsia="zh-CN"/>
        </w:rPr>
      </w:pPr>
      <w:r>
        <w:rPr>
          <w:rFonts w:hint="eastAsia" w:ascii="宋体" w:hAnsi="宋体" w:eastAsia="宋体" w:cs="宋体"/>
          <w:sz w:val="21"/>
          <w:szCs w:val="21"/>
          <w:lang w:val="en-US" w:eastAsia="zh-CN"/>
        </w:rPr>
        <w:t>在数字资本主义时代，</w:t>
      </w:r>
      <w:r>
        <w:rPr>
          <w:rFonts w:hint="eastAsia" w:ascii="宋体" w:hAnsi="宋体" w:eastAsia="宋体" w:cs="宋体"/>
          <w:b w:val="0"/>
          <w:bCs/>
          <w:i w:val="0"/>
          <w:color w:val="000000"/>
          <w:sz w:val="21"/>
          <w:szCs w:val="21"/>
          <w:u w:val="none" w:color="000000"/>
          <w:lang w:val="en-US" w:eastAsia="zh-CN"/>
        </w:rPr>
        <w:t>随着制造业盈利能力的长期下滑，面对生产领域的低迷状况，资本主义已经转向数据，并将它作为维持经济增长和活力的一种方式。</w:t>
      </w:r>
      <w:r>
        <w:rPr>
          <w:rStyle w:val="20"/>
          <w:rFonts w:hint="eastAsia" w:ascii="宋体" w:hAnsi="宋体" w:eastAsia="宋体" w:cs="宋体"/>
          <w:b w:val="0"/>
          <w:bCs/>
          <w:i w:val="0"/>
          <w:color w:val="000000"/>
          <w:sz w:val="21"/>
          <w:szCs w:val="21"/>
          <w:u w:val="none" w:color="000000"/>
          <w:lang w:val="en-US" w:eastAsia="zh-CN"/>
        </w:rPr>
        <w:footnoteReference w:id="1025"/>
      </w:r>
      <w:r>
        <w:rPr>
          <w:rFonts w:hint="eastAsia" w:ascii="宋体" w:hAnsi="宋体" w:eastAsia="宋体" w:cs="宋体"/>
          <w:b w:val="0"/>
          <w:bCs/>
          <w:i w:val="0"/>
          <w:color w:val="000000"/>
          <w:sz w:val="21"/>
          <w:szCs w:val="21"/>
          <w:u w:val="none" w:color="000000"/>
          <w:lang w:val="en-US" w:eastAsia="zh-CN"/>
        </w:rPr>
        <w:t>随着数字化、网络化的推进，数据已逐步完成商品化、资本化的过程，与传统资本相比，数据资本具有很强的流动性、虚拟性，具有天然垄断倾向，数据资本的无序扩张会加深当前“脱实向虚”的态势。</w:t>
      </w:r>
    </w:p>
    <w:p w14:paraId="119B3E16">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color w:val="000000"/>
          <w:kern w:val="0"/>
          <w:sz w:val="21"/>
          <w:szCs w:val="21"/>
          <w:lang w:val="en-US" w:eastAsia="zh-CN" w:bidi="ar"/>
        </w:rPr>
      </w:pPr>
      <w:r>
        <w:rPr>
          <w:rFonts w:hint="eastAsia" w:ascii="宋体" w:hAnsi="宋体" w:eastAsia="宋体" w:cs="宋体"/>
          <w:b w:val="0"/>
          <w:bCs/>
          <w:i w:val="0"/>
          <w:color w:val="000000"/>
          <w:sz w:val="21"/>
          <w:szCs w:val="21"/>
          <w:u w:val="none" w:color="000000"/>
          <w:lang w:val="en-US" w:eastAsia="zh-CN"/>
        </w:rPr>
        <w:t>首先，我国应引导数据资本健康有序发展，优化数据资本运行机制。要坚持和完善社会主义基本经济制度，构建数字时代公平合理的分配制度，打破数字平台对消费数据的私人垄断和强制占有，发挥国有企业的主导作用，让我国公共数据资源参与分配，</w:t>
      </w:r>
      <w:r>
        <w:rPr>
          <w:rFonts w:hint="eastAsia" w:ascii="宋体" w:hAnsi="宋体" w:eastAsia="宋体" w:cs="宋体"/>
          <w:color w:val="000000"/>
          <w:kern w:val="0"/>
          <w:sz w:val="21"/>
          <w:szCs w:val="21"/>
          <w:lang w:val="en-US" w:eastAsia="zh-CN" w:bidi="ar"/>
        </w:rPr>
        <w:t>引导数据资本切实为中国特色社会主义实体经济的高质量发展服务。</w:t>
      </w:r>
    </w:p>
    <w:p w14:paraId="688219CC">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其次，要完善相关法律法规，加强对数字消费信贷的监管，规避消费过度负债。在信息不对称的市场环境下，为了促进和加快消费，消费平台往往会放松对消费者信用的审查，造成消费者承受度过的信用供给，加之消费主义文化侵蚀，消费者所产生的超前消费将会给个人和社会带来不良后果。政府应该加强对信贷供应者的监管和治理，各种校园贷、裸贷扰乱市场环境，也给很多没有健康消费观的带来了不幸，要加强信贷市场主体的责任意识。</w:t>
      </w:r>
    </w:p>
    <w:p w14:paraId="57B6507B">
      <w:pPr>
        <w:bidi w:val="0"/>
        <w:ind w:firstLine="420" w:firstLineChars="0"/>
        <w:rPr>
          <w:rFonts w:hint="eastAsia"/>
          <w:lang w:val="en-US" w:eastAsia="zh-CN"/>
        </w:rPr>
      </w:pPr>
      <w:r>
        <w:rPr>
          <w:rFonts w:hint="eastAsia"/>
          <w:lang w:val="en-US" w:eastAsia="zh-CN"/>
        </w:rPr>
        <w:t>（二）发挥制度优势避免数据垄断，推动数字技术合理运用</w:t>
      </w:r>
    </w:p>
    <w:p w14:paraId="7A43E857">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数字资本主义时代，中国面临着如何应对和规避消费者数据被算法深度分析并框定的挑战。这一现象导致信息的单一化和封闭化，使用户陷入信息茧房，限制了信息的多样性和自由选择。这种情况虽带有资本驱动下的霸权性质，但数据算法本身是中性的，关键在于如何在公正透明的制度下加以规范和利用。</w:t>
      </w:r>
    </w:p>
    <w:p w14:paraId="5F598A35">
      <w:pPr>
        <w:pageBreakBefore w:val="0"/>
        <w:kinsoku/>
        <w:wordWrap/>
        <w:overflowPunct/>
        <w:topLinePunct w:val="0"/>
        <w:autoSpaceDE/>
        <w:autoSpaceDN/>
        <w:bidi w:val="0"/>
        <w:spacing w:line="440" w:lineRule="exact"/>
        <w:ind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首先，我国应利用制度优势来规避大型平台企业的数据垄断。大型平台通常通过攫取大量用户数据，形成强大的信息壁垒，这使得中小型企业难以竞争，从而滋生了垄断现象。为了解决这个问题应该在资本市场积极发展国有资本控股的平台企业，有利于平台数据反垄断，既可以有效维护国家大数据安全，又可以有效防止大数据滥用，保障人民的合法权益。</w:t>
      </w:r>
    </w:p>
    <w:p w14:paraId="653EBB05">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其次，我国需要在技术和伦理层面进行系统性的改进，以防止技术的逻辑主导社会发展。应遵循“以人为本”和“技术向善”的原则，确保技术发展符合社会伦理和价值观。对于算法的研发和应用，需建立伦理审查机制，确保算法不仅具有高效性，更具备道德责任。同时，消费者自身也应提升数字素养，在“全民学习”和“终身学习”的潮流中不断增强对数字技术的理解和把握。通过这种方式，可以减少技术滥用带来的负面影响，促进技术的正向发展。</w:t>
      </w:r>
    </w:p>
    <w:p w14:paraId="0F079046">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因此，数据资本带来的挑战需要中国通过制度和技术两方面的措施加以应对，通过完善相关法律法规、推动算法透明化，并提升社会整体的数字素养，可以有效规避信息茧房和数据垄断带来的负面效应。同时，需警惕资本逻辑对数字技术的影响，以避免技术的异化和社会的不公平现象。</w:t>
      </w:r>
    </w:p>
    <w:p w14:paraId="20C25FB6">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firstLine="420"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（三）构建健康消费文化，抵御消费主义渗透</w:t>
      </w:r>
    </w:p>
    <w:p w14:paraId="6B7DE79C">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消费异化所折射是人的主体性沦落、文化精神危机、欲望的制造与诱惑、传媒与意识形态控制的荒诞。我们在发展中国式现代化过程中，要避免如上影响，大力培育健康、理性、绿色的消费文化，加强教育引导，抵御消费主义泛滥。</w:t>
      </w:r>
    </w:p>
    <w:p w14:paraId="5F1DA705">
      <w:pPr>
        <w:pageBreakBefore w:val="0"/>
        <w:kinsoku/>
        <w:wordWrap/>
        <w:overflowPunct/>
        <w:topLinePunct w:val="0"/>
        <w:autoSpaceDE/>
        <w:autoSpaceDN/>
        <w:bidi w:val="0"/>
        <w:spacing w:line="44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首先，防范数字空间中消费主义文化的渗透。数字平台以其开放性、共享性和交互性为特征，使得西方各种消费主义意识形态急速扩散，从而导致消费者消费观念的扭曲。因此，要抵御流行于西方社会的符号操控和文化渗透，对数字空间的各类倾向进行监管和干预，牢牢掌握建构我国数字空间健康发展的主动权。</w:t>
      </w:r>
    </w:p>
    <w:p w14:paraId="53FA1447">
      <w:pPr>
        <w:pageBreakBefore w:val="0"/>
        <w:kinsoku/>
        <w:wordWrap/>
        <w:overflowPunct/>
        <w:topLinePunct w:val="0"/>
        <w:autoSpaceDE/>
        <w:autoSpaceDN/>
        <w:bidi w:val="0"/>
        <w:spacing w:line="440" w:lineRule="exact"/>
        <w:ind w:firstLine="420" w:firstLineChars="2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其次，培育消费理性，引导人们形成正确的消费观。现代西方消费文化过度夸大商品的符号价值，极力渲染个人主义和享乐主义，倡导超前消费，导致消费理性的缺失。因此要引导消费者把消费作为满足自己真实需求的手段，用于实现个人的全面发展，避免把消费作为目的。另外，充分挖掘中国传统文化对于形成健康绿色的消费观念的重要价值，利用数字平台大力宣扬中国传统文化中理性消费文化，能够有效规避虚假需求和符号消费的心理异化，避免攀比，推动消费者形成更健康、更理性的消费文化。</w:t>
      </w:r>
    </w:p>
    <w:p w14:paraId="35CFDE69">
      <w:pPr>
        <w:keepNext w:val="0"/>
        <w:keepLines w:val="0"/>
        <w:pageBreakBefore w:val="0"/>
        <w:widowControl/>
        <w:kinsoku w:val="0"/>
        <w:wordWrap/>
        <w:overflowPunct/>
        <w:topLinePunct w:val="0"/>
        <w:autoSpaceDE w:val="0"/>
        <w:autoSpaceDN w:val="0"/>
        <w:bidi w:val="0"/>
        <w:adjustRightInd w:val="0"/>
        <w:snapToGrid w:val="0"/>
        <w:spacing w:line="360" w:lineRule="auto"/>
        <w:ind w:left="420" w:leftChars="0" w:right="0" w:firstLine="420" w:firstLineChars="200"/>
        <w:jc w:val="both"/>
        <w:textAlignment w:val="baseline"/>
        <w:rPr>
          <w:rFonts w:hint="eastAsia" w:ascii="宋体" w:hAnsi="宋体" w:eastAsia="宋体" w:cs="宋体"/>
          <w:sz w:val="21"/>
          <w:szCs w:val="21"/>
          <w:lang w:eastAsia="zh-CN"/>
        </w:rPr>
      </w:pPr>
    </w:p>
    <w:p w14:paraId="5D5D6D0A">
      <w:pPr>
        <w:keepNext w:val="0"/>
        <w:keepLines w:val="0"/>
        <w:pageBreakBefore w:val="0"/>
        <w:widowControl/>
        <w:kinsoku w:val="0"/>
        <w:wordWrap/>
        <w:overflowPunct/>
        <w:topLinePunct w:val="0"/>
        <w:autoSpaceDE w:val="0"/>
        <w:autoSpaceDN w:val="0"/>
        <w:bidi w:val="0"/>
        <w:adjustRightInd w:val="0"/>
        <w:snapToGrid w:val="0"/>
        <w:spacing w:line="360" w:lineRule="auto"/>
        <w:ind w:left="420" w:leftChars="0" w:right="0" w:firstLine="420" w:firstLineChars="200"/>
        <w:jc w:val="both"/>
        <w:textAlignment w:val="baseline"/>
        <w:rPr>
          <w:rFonts w:hint="eastAsia" w:ascii="宋体" w:hAnsi="宋体" w:eastAsia="宋体" w:cs="宋体"/>
          <w:sz w:val="21"/>
          <w:szCs w:val="21"/>
          <w:lang w:eastAsia="zh-CN"/>
        </w:rPr>
      </w:pPr>
    </w:p>
    <w:p w14:paraId="2329871E">
      <w:pPr>
        <w:keepNext w:val="0"/>
        <w:keepLines w:val="0"/>
        <w:pageBreakBefore w:val="0"/>
        <w:widowControl/>
        <w:kinsoku w:val="0"/>
        <w:wordWrap/>
        <w:overflowPunct/>
        <w:topLinePunct w:val="0"/>
        <w:autoSpaceDE w:val="0"/>
        <w:autoSpaceDN w:val="0"/>
        <w:bidi w:val="0"/>
        <w:adjustRightInd w:val="0"/>
        <w:snapToGrid w:val="0"/>
        <w:spacing w:line="360" w:lineRule="auto"/>
        <w:ind w:left="420" w:leftChars="0" w:right="0" w:firstLine="420" w:firstLineChars="200"/>
        <w:jc w:val="both"/>
        <w:textAlignment w:val="baseline"/>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原载《理论月刊》2025年第3期，第二作者为余晓爽</w:t>
      </w:r>
      <w:r>
        <w:rPr>
          <w:rFonts w:hint="eastAsia" w:ascii="宋体" w:hAnsi="宋体" w:eastAsia="宋体" w:cs="宋体"/>
          <w:sz w:val="21"/>
          <w:szCs w:val="21"/>
          <w:lang w:eastAsia="zh-CN"/>
        </w:rPr>
        <w:t>）</w:t>
      </w:r>
    </w:p>
    <w:p w14:paraId="5F0DE681">
      <w:pPr>
        <w:pStyle w:val="2"/>
        <w:bidi w:val="0"/>
        <w:rPr>
          <w:rFonts w:hint="eastAsia"/>
        </w:rPr>
      </w:pPr>
      <w:bookmarkStart w:id="697" w:name="_Toc1444984676"/>
      <w:bookmarkStart w:id="698" w:name="_Toc397413814"/>
      <w:bookmarkStart w:id="699" w:name="_Toc734631067"/>
      <w:bookmarkStart w:id="700" w:name="_Toc24819"/>
      <w:bookmarkStart w:id="701" w:name="_Toc1547145326"/>
      <w:bookmarkStart w:id="702" w:name="_Toc1203448046"/>
      <w:r>
        <w:rPr>
          <w:rFonts w:hint="eastAsia"/>
          <w:lang w:val="en-US" w:eastAsia="zh-CN"/>
        </w:rPr>
        <w:t>5</w:t>
      </w:r>
      <w:r>
        <w:rPr>
          <w:rFonts w:hint="eastAsia"/>
        </w:rPr>
        <w:t>数智时代智慧城市治理的 “ 技治主义"分析及反思 :以英国为案例</w:t>
      </w:r>
      <w:bookmarkEnd w:id="697"/>
      <w:bookmarkEnd w:id="698"/>
      <w:bookmarkEnd w:id="699"/>
      <w:bookmarkEnd w:id="700"/>
      <w:bookmarkEnd w:id="701"/>
      <w:bookmarkEnd w:id="702"/>
    </w:p>
    <w:p w14:paraId="6E2154C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摘    要:智慧城市作为流行的城市数智化模型,正日益成为不同城市技术实验和发展 转 型 的 重 要 场 域。英国智慧城市是新自由主义财政紧缩政策的应激反应案例 ,运行模式突出强调技术性 、盈利性与多元主体共同参与 ,体现了鲜明的技术治理特色,是典型的“技治主义”,治理特征主要表现为市场化的治理导向 、自上而下的治理架构 、数字化平台的治理驱动以及公民权利被忽视的治理效能 。英国智慧城市的案例 表 明 ,智 慧 城市概念与公共政策转化的实践之间 存 在 脱 节 。 为 此 需 要 深 刻 反 思 单 纯“技 治 主 义”思 维 惯 性 带 来 的 种 种 隐患,建构“人本主义”的智慧城市治理范式,实现维护公共利益的治理导向 、自下而上与自上而下 相 结 合 的 治理架构 、人文价值与数字化平台有机耦合的治理驱动以及人的自由全面发展的治理效能 。</w:t>
      </w:r>
    </w:p>
    <w:p w14:paraId="11BB336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关键词 :  数智时代;智慧城市治理;“技治主义”;“人本主义 ”</w:t>
      </w:r>
    </w:p>
    <w:p w14:paraId="2D58583A">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一 、引言</w:t>
      </w:r>
    </w:p>
    <w:p w14:paraId="7908AF3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随着人工智能、物联网(IOT)、大数据和云计算等新一代智能技术的快速发展和应用,公共部门不断加快向数智化转型,智慧城市作为流行的城市数智化模型得到了迅速发展。由于智慧城市是数字信息通信技术(ICT)和相应基础设施的集成、城市系统的数智化转型、海量大数据涌现以及多方利益相关者参与的集合体,智慧城市被视为当前提升城市竞争力的一种方式和提高效率的一种手段,在各个城市大受青睐,智慧城市正日益成为不同城市技术实验和发展转型的重要场域。有数据预测,全球智慧城市市场将从2023年的5491亿美元发展到2028年的11144亿美元,2023年至2028年的复合年增长率为15.2%[1];到2030年,全球智慧城市市场规模价值有望达到14721亿美元[2],智慧城市俨然成为当今的一个全球现象。</w:t>
      </w:r>
    </w:p>
    <w:p w14:paraId="5BBB8FDA">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尽管无处不在的数智技术正在成为城市空间复制和城市权力再分配的核心,然而,任何技术的创新能力都源于政府行为、社会规则、人的能动性与嵌入景观的一致性。那么,在世界各地智慧城市如火如荼地发展中,具体实施效果如何?是否最大程度地实现了公民权利,是否得到了公民的普遍认同?发达国家的智慧城市运行模式和治理特征具体是怎样的?是否能够为发展中国家提供有效借鉴?尤其是中国正在迎来以新基建、城市数字化转型为驱动的新一轮智慧城市建设高潮,2024年11月底,国家出台《中共中央办公厅国务院办公厅关于推进新型城市基础设施建设打造韧性城市的意见》,明确提出到2030年,使城市运行更安全、更有序、更智慧、更高效。站在新一轮智慧城市发展的关键起点和明年“十五五”开局之年的重要节点上,亟需结合发达国家智慧城市治理案例,深刻反思治理模式,厘清智慧治理的确切意涵,为中国高效利用数字化与智能化手段提升城市管理和服务水平提供借鉴。英国是智慧城市概念和实践的早期采用国之一,拥有较多的世界顶级智慧城市项目,在发达国家具有典型的代表性和示范性。因此本文以英国智慧城市为例,进行智慧城市的治理效果解析与反思。</w:t>
      </w:r>
    </w:p>
    <w:p w14:paraId="7E47C5E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p>
    <w:p w14:paraId="0C4E7E04">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sectPr>
          <w:headerReference r:id="rId15" w:type="default"/>
          <w:footerReference r:id="rId16" w:type="default"/>
          <w:footnotePr>
            <w:numFmt w:val="decimalEnclosedCircleChinese"/>
            <w:numRestart w:val="eachPage"/>
          </w:footnotePr>
          <w:type w:val="continuous"/>
          <w:pgSz w:w="10035" w:h="15063"/>
          <w:pgMar w:top="743" w:right="1701" w:bottom="1134" w:left="1701" w:header="513" w:footer="0" w:gutter="0"/>
          <w:pgNumType w:fmt="decimal"/>
          <w:cols w:equalWidth="0" w:num="1">
            <w:col w:w="9712"/>
          </w:cols>
        </w:sectPr>
      </w:pPr>
    </w:p>
    <w:p w14:paraId="58E61B25">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二、新自由主义财政紧缩政策框架下的英国智慧城市</w:t>
      </w:r>
    </w:p>
    <w:p w14:paraId="1E2AFCF2">
      <w:pPr>
        <w:pageBreakBefore w:val="0"/>
        <w:widowControl/>
        <w:tabs>
          <w:tab w:val="left" w:pos="4678"/>
        </w:tabs>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后金融危机阶段,新自由主义在发达国家广泛应用,发达国家的智慧城市项目是新自由主义的最新版本,是发达国家实施新自由主义财政紧缩政策的直接后果[3]。从英国智慧城市的运行实践来看,英国智慧城市普遍将经济衰退、财政状况恶化与需要通过智慧城市举措做出应激反应联系起来,伦敦、布里斯托、曼彻斯特、格拉斯哥、伯明翰、谢菲尔德、考文垂、诺丁汉等很多城市的智慧城市改革初衷也都是源自经济衰退。基于新自由主义财政紧缩框架,各个城市希望通过智慧城市改革,利用数智技术的潜力来推动经济增长、刺激创新和提高劳动生产率。</w:t>
      </w:r>
    </w:p>
    <w:p w14:paraId="7330127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(一)英国新自由主义财政紧缩政策的嵌入</w:t>
      </w:r>
    </w:p>
    <w:p w14:paraId="6ED4682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面对危机的多米诺骨牌效应,各国政府纷纷采取行动通过对陷入困境的金融机构进行资本重组来稳定其银行系统,通常是通过提供债务担保和承担破产银行的部分或全部资产。这些举措导致公共债务大幅上升,公司债务转化为国家债务,私人债务转化为公共债务[4]。债务风险的加剧使采取财政紧缩政策成为必然,即政府开支大范围削减,福利预算大幅度削减,以此作为恢复预算完整性的一种手段[5]。英国财政紧缩政策作为金融危机的治理思路,是以财政约束和赤字削减为前提的,它不见得是一味良药,但是在经济上简单直接,是应对经济停滞和恢复增长的直接诊断和最佳方法;事实上,也是唯一的方法。通过实施紧缩措施来减少某些类型的政府支出,已经成为金融危机后英国新自由主义治理模式的决定性特征,因为新自由主义的特点就是市场化、私有化、放松管制以及国家从社会供应的公共领域退出。因此,尽管紧缩模式从一开始就是新自由主义剧本的核心组成部分,但在金融危机后,紧缩政策已成为制度安排进一步新自由化的主要手段[6]。</w:t>
      </w:r>
    </w:p>
    <w:p w14:paraId="4E34F2A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这样,在金融危机之后的几年里,英国政府通过强调恢复经济竞争力和推动市场自由化的政策改革议程,凸显了危机治理的新自由主义形象。同时通过新自由主义改革的路径依赖性、累积性分层,还重组了危机后的政府机构,进一步减少了可能的福利,形成了一套符合市场规则的解决方案,强化了新自由主义理性,并将其更加深入地嵌入到许多经济决策过程中。英国政府的紧缩政策几乎对所有部门实施全面预算削减,各种非强制性服务都遭受了最大程度的削减,例如规划、住房、公路和交通等。尤其是普遍性公共福利支出,例如图书馆和公园等集体公共设施,支出削减非常严重。事实上,强制性支出和可自由支配支出之间的界限并不总是很明确,强制性支出和可自由支配支出通常共存预算和支持类似目标。例如,为英国各地的低收入青年提供酌情支持服务的青年中心已被严重削减,并且不被视为“高危”儿童强制性一揽子计划的一部分,尽管青年中心针对的是许多“高危”儿童[7]。在英国的财政支出削减大潮中,英格兰地区政府的削减比例最高,英格兰的平均值和中位数是苏格兰和威尔士的两倍,如表1所示。英国新自由主义财政紧缩政策的嵌入,加深了社会空间的不平等,尤其是贫困地区更容易受到紧缩政策导致的预算压力向下调整的影响。</w:t>
      </w:r>
    </w:p>
    <w:p w14:paraId="758A797A">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center"/>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表1英国地方政府公共支出的削减情况(2009一2010年度至2016一2017年度)</w:t>
      </w:r>
    </w:p>
    <w:tbl>
      <w:tblPr>
        <w:tblStyle w:val="25"/>
        <w:tblW w:w="4611" w:type="dxa"/>
        <w:jc w:val="center"/>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481"/>
        <w:gridCol w:w="1594"/>
        <w:gridCol w:w="1536"/>
      </w:tblGrid>
      <w:tr w14:paraId="438911B3">
        <w:trPr>
          <w:trHeight w:val="428" w:hRule="atLeast"/>
          <w:jc w:val="center"/>
        </w:trPr>
        <w:tc>
          <w:tcPr>
            <w:tcW w:w="1481" w:type="dxa"/>
            <w:tcBorders>
              <w:top w:val="single" w:color="000000" w:sz="6" w:space="0"/>
            </w:tcBorders>
            <w:vAlign w:val="top"/>
          </w:tcPr>
          <w:p w14:paraId="2809C37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地区</w:t>
            </w:r>
          </w:p>
        </w:tc>
        <w:tc>
          <w:tcPr>
            <w:tcW w:w="1594" w:type="dxa"/>
            <w:tcBorders>
              <w:top w:val="single" w:color="000000" w:sz="6" w:space="0"/>
            </w:tcBorders>
            <w:vAlign w:val="top"/>
          </w:tcPr>
          <w:p w14:paraId="6C299460">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平均数/%</w:t>
            </w:r>
          </w:p>
        </w:tc>
        <w:tc>
          <w:tcPr>
            <w:tcW w:w="1536" w:type="dxa"/>
            <w:tcBorders>
              <w:top w:val="single" w:color="000000" w:sz="6" w:space="0"/>
            </w:tcBorders>
            <w:vAlign w:val="top"/>
          </w:tcPr>
          <w:p w14:paraId="3B4BB6C0">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中位数/%</w:t>
            </w:r>
          </w:p>
        </w:tc>
      </w:tr>
      <w:tr w14:paraId="4D433ED3">
        <w:trPr>
          <w:trHeight w:val="355" w:hRule="atLeast"/>
          <w:jc w:val="center"/>
        </w:trPr>
        <w:tc>
          <w:tcPr>
            <w:tcW w:w="1481" w:type="dxa"/>
            <w:vAlign w:val="top"/>
          </w:tcPr>
          <w:p w14:paraId="480E3FA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威尔士</w:t>
            </w:r>
          </w:p>
        </w:tc>
        <w:tc>
          <w:tcPr>
            <w:tcW w:w="1594" w:type="dxa"/>
            <w:vAlign w:val="top"/>
          </w:tcPr>
          <w:p w14:paraId="4FE34E7D">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12.1</w:t>
            </w:r>
          </w:p>
        </w:tc>
        <w:tc>
          <w:tcPr>
            <w:tcW w:w="1536" w:type="dxa"/>
            <w:vAlign w:val="top"/>
          </w:tcPr>
          <w:p w14:paraId="4151FBB8">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10.9</w:t>
            </w:r>
          </w:p>
        </w:tc>
      </w:tr>
      <w:tr w14:paraId="649B2497">
        <w:trPr>
          <w:trHeight w:val="314" w:hRule="atLeast"/>
          <w:jc w:val="center"/>
        </w:trPr>
        <w:tc>
          <w:tcPr>
            <w:tcW w:w="1481" w:type="dxa"/>
            <w:vAlign w:val="top"/>
          </w:tcPr>
          <w:p w14:paraId="7F3A58C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苏格兰</w:t>
            </w:r>
          </w:p>
        </w:tc>
        <w:tc>
          <w:tcPr>
            <w:tcW w:w="1594" w:type="dxa"/>
            <w:vAlign w:val="top"/>
          </w:tcPr>
          <w:p w14:paraId="614FF3CD">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11.5</w:t>
            </w:r>
          </w:p>
        </w:tc>
        <w:tc>
          <w:tcPr>
            <w:tcW w:w="1536" w:type="dxa"/>
            <w:vAlign w:val="top"/>
          </w:tcPr>
          <w:p w14:paraId="70E88C5B">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10.5</w:t>
            </w:r>
          </w:p>
        </w:tc>
      </w:tr>
      <w:tr w14:paraId="1F9E16A1">
        <w:trPr>
          <w:trHeight w:val="320" w:hRule="atLeast"/>
          <w:jc w:val="center"/>
        </w:trPr>
        <w:tc>
          <w:tcPr>
            <w:tcW w:w="1481" w:type="dxa"/>
            <w:tcBorders>
              <w:bottom w:val="single" w:color="000000" w:sz="6" w:space="0"/>
            </w:tcBorders>
            <w:vAlign w:val="top"/>
          </w:tcPr>
          <w:p w14:paraId="298C334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英格兰</w:t>
            </w:r>
          </w:p>
        </w:tc>
        <w:tc>
          <w:tcPr>
            <w:tcW w:w="1594" w:type="dxa"/>
            <w:tcBorders>
              <w:bottom w:val="single" w:color="000000" w:sz="6" w:space="0"/>
            </w:tcBorders>
            <w:vAlign w:val="top"/>
          </w:tcPr>
          <w:p w14:paraId="35DF7238">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23.7</w:t>
            </w:r>
          </w:p>
        </w:tc>
        <w:tc>
          <w:tcPr>
            <w:tcW w:w="1536" w:type="dxa"/>
            <w:tcBorders>
              <w:bottom w:val="single" w:color="000000" w:sz="6" w:space="0"/>
            </w:tcBorders>
            <w:vAlign w:val="top"/>
          </w:tcPr>
          <w:p w14:paraId="491895E0">
            <w:pPr>
              <w:pStyle w:val="2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23.4</w:t>
            </w:r>
          </w:p>
        </w:tc>
      </w:tr>
    </w:tbl>
    <w:p w14:paraId="257904B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数据来源:英国财政研究所(InstituteofFiscal5tudiesintheUk),ht-</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"tps://www.ifs.org.uk/publications/8781"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tps://www.ifs.org.uk/publications/8781</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w:t>
      </w:r>
    </w:p>
    <w:p w14:paraId="6DFC383A">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(二)新自由主义紧缩政策框架下英国智慧城市的运行模式</w:t>
      </w:r>
    </w:p>
    <w:p w14:paraId="535B6D0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由于拥有庞大的公共服务和就业人口,城市不可避免地成为了新自由主义财政紧缩的试验田,英国智慧城市的故事似乎更多的是基于对危机的“应激反应”。英国地方政府总收入的60%左右来自中央政府,其余40%来自当地,在经济衰退、预算紧张和未来风险加剧的情况下,中央政府强加给地方政府的紧缩计划,使地方政府试图通过参与新形式的城市治理来维持地方经济发展,将智慧城市议程引导到允许获得外部资金并克服技能和劳动力短缺的方向[8]。因此,如何以更好、更快、更具成本收益的方式提供利用新技术优势的服务,彰显城市管理角色,解决各种城市问题,成为当务之急。“英国智慧城市”远不是一个虚幻的愿景,而是一个流动的话语集合、分散的机构代理和多元的物质实践[9]。英国智慧城市的出场与推广,不断引领和形塑数字社会的全面建构,运行模式体现了鲜明的技术治理特色。</w:t>
      </w:r>
    </w:p>
    <w:p w14:paraId="41E867A2">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一是强调数智技术引领,突出技术增强型的城市管理框架。随着快速城市化、气候变化以及交通、卫生和能源等服务业方面的压力越来越大,智能技术和数据的应用成为解决城市前所未有的挑战的一种手段,智慧城市主义的技术愿景已被提升为解决城市问题的“灵丹妙药”和重大市场机遇。智慧城市项目主要包括智能计量、智能电网、电动车、开放数据等试点项目,旨在展示智能技术和服务在医疗保健、运输能源、环境以及文化和社区等关键领域的应用。这些智慧项目特别强调信息通信技术</w:t>
      </w:r>
      <w:r>
        <w:rPr>
          <w:rFonts w:hint="eastAsia" w:ascii="宋体" w:hAnsi="宋体" w:eastAsia="宋体" w:cs="宋体"/>
          <w:b/>
          <w:bCs/>
          <w:spacing w:val="0"/>
          <w:w w:val="100"/>
          <w:position w:val="0"/>
          <w:sz w:val="21"/>
          <w:szCs w:val="21"/>
        </w:rPr>
        <w:t>—</w:t>
      </w:r>
      <w:r>
        <w:rPr>
          <w:rFonts w:hint="eastAsia" w:ascii="宋体" w:hAnsi="宋体" w:eastAsia="宋体" w:cs="宋体"/>
          <w:spacing w:val="0"/>
          <w:w w:val="100"/>
          <w:position w:val="0"/>
          <w:sz w:val="21"/>
          <w:szCs w:val="21"/>
        </w:rPr>
        <w:t>无线宽带、分析软件、实时传感和反馈以及“物联网”在实现城市更广泛连接方面的作用,建设了覆盖整个城市的“数字穹顶”,致力于让城市成为可程序控制的区域。</w:t>
      </w:r>
    </w:p>
    <w:p w14:paraId="0FD0A86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二是聚焦经济收益,主要围绕盈利项目展开。在新自由主义财政紧缩框架下,地方政府对当地经济增长、交通运输、能源使用、环境低碳的关注度非常高,这些项目市场化程度高,见效快、周转快、收益高。相对而言,关系普遍公共服务的教育、福利住房、水和安全问题由于不能盈利,却关注较少,如表2所示,地方经济排在第一位,对公民而言最重要的社区和住房问题,则排在最后[10]。需要说明的是,排在第二位的运输不包括铁路系统。事实上,英国铁路系统对公民的出行非常重要,尤其是服务于伦敦、伯明翰和曼彻斯特的铁路线承受着巨大的压力,过度拥挤且铁路系统老化问题很严重,亟需更新。然而这个行业建设周期长、投资大、回报慢,并且已经私有化,因此并不在各地方政府的考虑范围之内。</w:t>
      </w:r>
    </w:p>
    <w:p w14:paraId="3F384AF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center"/>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表2</w:t>
      </w:r>
      <w:r>
        <w:rPr>
          <w:rFonts w:hint="eastAsia" w:ascii="宋体" w:hAnsi="宋体" w:eastAsia="宋体" w:cs="宋体"/>
          <w:spacing w:val="0"/>
          <w:w w:val="100"/>
          <w:position w:val="0"/>
          <w:sz w:val="21"/>
          <w:szCs w:val="21"/>
          <w:lang w:val="en-US" w:eastAsia="zh-CN"/>
        </w:rPr>
        <w:t xml:space="preserve"> </w:t>
      </w:r>
      <w:r>
        <w:rPr>
          <w:rFonts w:hint="eastAsia" w:ascii="宋体" w:hAnsi="宋体" w:eastAsia="宋体" w:cs="宋体"/>
          <w:spacing w:val="0"/>
          <w:w w:val="100"/>
          <w:position w:val="0"/>
          <w:sz w:val="21"/>
          <w:szCs w:val="21"/>
        </w:rPr>
        <w:t>英国未来城市示范竞赛投标文件中的关键战略主题</w:t>
      </w:r>
    </w:p>
    <w:p w14:paraId="74D59FF2">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center"/>
        <w:textAlignment w:val="baseline"/>
        <w:rPr>
          <w:rFonts w:hint="eastAsia" w:ascii="宋体" w:hAnsi="宋体" w:eastAsia="宋体" w:cs="宋体"/>
          <w:spacing w:val="0"/>
          <w:w w:val="100"/>
          <w:position w:val="0"/>
          <w:sz w:val="21"/>
          <w:szCs w:val="21"/>
          <w:lang w:val="en-US" w:eastAsia="zh-CN"/>
        </w:rPr>
      </w:pPr>
      <w:r>
        <w:rPr>
          <w:rFonts w:hint="eastAsia" w:ascii="宋体" w:hAnsi="宋体" w:eastAsia="宋体" w:cs="宋体"/>
          <w:spacing w:val="0"/>
          <w:w w:val="100"/>
          <w:position w:val="0"/>
          <w:sz w:val="21"/>
          <w:szCs w:val="21"/>
          <w:lang w:val="en-US" w:eastAsia="zh-CN"/>
        </w:rPr>
        <w:drawing>
          <wp:inline distT="0" distB="0" distL="114300" distR="114300">
            <wp:extent cx="2372995" cy="1724025"/>
            <wp:effectExtent l="0" t="0" r="14605" b="3175"/>
            <wp:docPr id="425" name="图片 425" descr="651251ea-4090-4f5c-8197-40a9cd8c6d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425" descr="651251ea-4090-4f5c-8197-40a9cd8c6d3e"/>
                    <pic:cNvPicPr>
                      <a:picLocks noChangeAspect="1"/>
                    </pic:cNvPicPr>
                  </pic:nvPicPr>
                  <pic:blipFill>
                    <a:blip r:embed="rId103"/>
                    <a:stretch>
                      <a:fillRect/>
                    </a:stretch>
                  </pic:blipFill>
                  <pic:spPr>
                    <a:xfrm>
                      <a:off x="0" y="0"/>
                      <a:ext cx="2372995" cy="1724025"/>
                    </a:xfrm>
                    <a:prstGeom prst="rect">
                      <a:avLst/>
                    </a:prstGeom>
                  </pic:spPr>
                </pic:pic>
              </a:graphicData>
            </a:graphic>
          </wp:inline>
        </w:drawing>
      </w:r>
    </w:p>
    <w:p w14:paraId="2CD534E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center"/>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lang w:val="en-US" w:eastAsia="zh-CN"/>
        </w:rPr>
        <w:t>数据来源</w:t>
      </w:r>
      <w:r>
        <w:rPr>
          <w:rFonts w:hint="eastAsia" w:ascii="宋体" w:hAnsi="宋体" w:eastAsia="宋体" w:cs="宋体"/>
          <w:spacing w:val="0"/>
          <w:w w:val="100"/>
          <w:position w:val="0"/>
          <w:sz w:val="21"/>
          <w:szCs w:val="21"/>
        </w:rPr>
        <w:t>:NicKTaylorBucKandAidanwhile(2017)。</w:t>
      </w:r>
    </w:p>
    <w:p w14:paraId="13218B7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三是扩大政府职能,技术权力主体共同参与。英国智慧城市的推广以政府为主导,将企业、研究机构和学术界联系起来,对于智慧城市相关领域创新技术的研发应用起到了积极的助推作用。例如布里斯托市,智慧项目由市议会牵头,联合布里斯托大学、巴斯大学、西英格兰大学、IBM、东芝、惠普等共同实施。在曼彻斯特,智慧项目也是如此展开,由市议会的城市政策团队领导,同时辅以曼彻斯特的两所主要大学以及世界性的企业和机构共同参与。经由“技术”这一中介机制,权力结构呈现出多维化、非定向互动的方式,并且各种权力主体不断趋于理性化,使工具理性缠结于技术自身特性及其与组织结构的重塑调试过程中。</w:t>
      </w:r>
    </w:p>
    <w:p w14:paraId="5E48D18D">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三、英国智慧城市的“技治主义”治理特征</w:t>
      </w:r>
    </w:p>
    <w:p w14:paraId="65C3A9F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由于英国中央和地方政府面临着越来越紧张的预算,越来越多的城市治理共识是,更多和更广泛地使用数智技术可以通过以更低的资源投入提供更多的产出来提高城市的效率。因此,在新自由主义财政紧缩框架下,英国智慧城市的“技治主义”治理倾向明显。“技治主义”秉持“技术至上”或者“技术万能”的工具理性观念,主张将复杂的经济问题、社会问题化约为技术问题,是促进城市快速增长的“时空压缩”,本质上是一种资本与权力导向的“增长”。在这种治理中,算法被投射到现实世界中,按照技术公司预设的程序来组织和加固市场的修复,对公共事务做出“编程式协调”,普通人的边缘化日益凸显,公民沦为被数据、算法、代码、程序所操纵的客体,界面自动校准人与人之间的关系,公民权和正义问题被直接忽略,取而代之的是生产力、激励、风险、投资回报等问题。英国智慧城市在治理导向、治理架构、治理驱动和治理效能上都表现出“技治主义”的治理特征。</w:t>
      </w:r>
    </w:p>
    <w:p w14:paraId="66DA6501">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(一)市场化的治理导向</w:t>
      </w:r>
    </w:p>
    <w:p w14:paraId="3D50460E">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基于新自由主义财政紧缩框架,英国政府一般认为,政府在管理城市的最新理念和系统方面落后于技术曲线,而这种技术治理的解决方案只能由市场提供,因为公共部门没有足够的知识和技能,政府在城市管理方面的能力远远落后于市场。政府通过和大型全球咨询公司及软硬件解决方案的生产商合作,采用完全私有化、公私合作、租赁、放松管制和市场竞争的方式,认为只有这样才能提供更好的城市服务[11]。由此,各个城市旨在吸引外国直接投资,提供城市地区作为试验新技术的试验场,培育孵化本土初创部门或数字中心,并吸引移动创意精英。这些“解决方案”被包装成“一刀切”,技术官僚化倾向明显,参与城市智能化的政府仅限于计算修补和调整,根据经济和技术合理性来寻求效率,从而削弱了当地决策者的能动性和创造力[12]。</w:t>
      </w:r>
    </w:p>
    <w:p w14:paraId="1FF2B949">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市场化的治理导向,使市场解决方案很容易扩展和复制。当“最佳”解决方案被提出以后,通过案例测试、城市试验进行扩展,将成功的试点转化为可交付成果,城市治理的数据系统被设计为适用于多个城市的模板,从而完成市场解决方案的复制。正是通过这一过程,可转让技术、模型或“最佳实践”及其市场流通得以推广,跨国企业的目标就是生产通用的解决方案,可以在全球范围内应用,以实现利润最大化。智慧城市解决方案的供应商已将智慧城市转型概念化为新自由主义城市发展干预,他们的“一刀切”技术被视为解决各种城市问题的唯一解决方案。鉴于英国智慧城市治理主要是与私营企业合作实施的,不可避免地会有这样一种暗示,即市场逻辑可以克服国家治理的所谓“低效率”。因此,植根于新自由主义理念的这一举措,将减少公共服务的公共支出,同时促进市场逻辑渗透到城市空间的监管中,认为市场主导的城市问题解决方案才是一种理性的选择,这种“市场规则的代表”呈现了一个理想化的新自由主义“乌托邦”。</w:t>
      </w:r>
    </w:p>
    <w:p w14:paraId="2068D66B">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(二)自上而下的治理架构</w:t>
      </w:r>
    </w:p>
    <w:p w14:paraId="6DC0CFB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由于财政紧缩,英国政府不得不热衷于城市服务数字化的转变,充分利用现有资源招商引资,开发以“智能方式”运作的工作程序,拓展自上而下的实现方式。一般来说,政府主要以创业和竞争性城市化为倡议主题,在智慧城市方案的排名和竞争选择中扮演着计算和筹划的角色,通过选择和资助智慧城市项目的竞争,全面推动智慧城市治理。政府运作的关键在于对未来发展做出明智的选择,而并不需要详细了解智慧城市的机制。因此,强调政府自上而下地推动与市场化并不矛盾,政府的这种推动仅仅就是组织和号召的作用,它并不直接参与到城市运行中,对可能出现的情况不负任何责任,仅仅就是推动作用,城市治理完全由市政服务的私有化和竞争性承包来实现。这种新自由主义公共部门重组的治理架构的关键思想是,政府必须“掌舵”,也就是说,解决城市问题不仅仅是制定良好适配的政策,更是组织政府和其他投资者之间的强有力合作和管理。</w:t>
      </w:r>
    </w:p>
    <w:p w14:paraId="1D2DC991">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这样,城市权力越来越集中到少数政治和商业精英手中,强加给城市的财政紧缩措施迫使它们越来越依赖私人和地方收入来源。因此,这种政府主导的参与引发了若干相关问题。首先,这导致对技术解决方案的需求不断增加,即使地方存在很大的差异性和复杂性,也需要快速的解决之道,而先进技术可以较好地满足,技术导向而不是公共利益导向成为政府的首选。其次,这种以商业为主导的智慧城市发展导致了“智能企业愿景”,并导致经济逻辑高于社会问题。城市发展本身面临着被利润驱动的风险,与企业一样,城市也必须具有弹性并能够产生收入[13]。基于这种短期投资收益和风险规避的考虑,英国地方当局排除了对城市空间重大改造做出长期资金承诺的可能性[14]。</w:t>
      </w:r>
    </w:p>
    <w:p w14:paraId="4396E31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(三)数字化平台的治理驱动</w:t>
      </w:r>
    </w:p>
    <w:p w14:paraId="3CFC7AB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智慧城市一般是借助数字化平台来实现对城市的治理,数字化平台可以更直接地连接到消费者并与用户互动,以更强的连接性、中介性、可编程性和数据提取能力,在城市的各个领域发挥着基础性的组织和统筹作用,更容易通过网络效应和风险资本快速扩大规模[15]。数字化平台成为关键机制和治理驱动,数字化平台产生的各种数据构成经济及其组织的核心,城市既是平台应用开发的灵感源泉,也是平台进一步拓展的测试场。数字化平台的核心价值及其扩张潜力并非独立存在,而是依靠用户群体之间需求的正相关性以及用户和数据规模的累积。通过空间扩展和重组,数字化城市平台往往在全国和国际范围内不断扩大,从而放大智慧城市的技术官僚主导、以利润为导向的城市治理模式[16]。各类软硬件厂商、数据公司和平台企业共同构成一个庞大的“社会量化部门(social</w:t>
      </w:r>
      <w:r>
        <w:rPr>
          <w:rFonts w:hint="eastAsia" w:ascii="宋体" w:hAnsi="宋体" w:eastAsia="宋体" w:cs="宋体"/>
          <w:spacing w:val="0"/>
          <w:w w:val="100"/>
          <w:position w:val="0"/>
          <w:sz w:val="21"/>
          <w:szCs w:val="21"/>
          <w:lang w:val="en-US" w:eastAsia="zh-CN"/>
        </w:rPr>
        <w:t xml:space="preserve"> </w:t>
      </w:r>
      <w:r>
        <w:rPr>
          <w:rFonts w:hint="eastAsia" w:ascii="宋体" w:hAnsi="宋体" w:eastAsia="宋体" w:cs="宋体"/>
          <w:spacing w:val="0"/>
          <w:w w:val="100"/>
          <w:position w:val="0"/>
          <w:sz w:val="21"/>
          <w:szCs w:val="21"/>
        </w:rPr>
        <w:t>quantification</w:t>
      </w:r>
      <w:r>
        <w:rPr>
          <w:rFonts w:hint="eastAsia" w:ascii="宋体" w:hAnsi="宋体" w:eastAsia="宋体" w:cs="宋体"/>
          <w:spacing w:val="0"/>
          <w:w w:val="100"/>
          <w:position w:val="0"/>
          <w:sz w:val="21"/>
          <w:szCs w:val="21"/>
          <w:lang w:val="en-US" w:eastAsia="zh-CN"/>
        </w:rPr>
        <w:t xml:space="preserve"> </w:t>
      </w:r>
      <w:r>
        <w:rPr>
          <w:rFonts w:hint="eastAsia" w:ascii="宋体" w:hAnsi="宋体" w:eastAsia="宋体" w:cs="宋体"/>
          <w:spacing w:val="0"/>
          <w:w w:val="100"/>
          <w:position w:val="0"/>
          <w:sz w:val="21"/>
          <w:szCs w:val="21"/>
        </w:rPr>
        <w:t>sector)”和“云帝国(cloud</w:t>
      </w:r>
      <w:r>
        <w:rPr>
          <w:rFonts w:hint="eastAsia" w:ascii="宋体" w:hAnsi="宋体" w:eastAsia="宋体" w:cs="宋体"/>
          <w:spacing w:val="0"/>
          <w:w w:val="100"/>
          <w:position w:val="0"/>
          <w:sz w:val="21"/>
          <w:szCs w:val="21"/>
          <w:lang w:val="en-US" w:eastAsia="zh-CN"/>
        </w:rPr>
        <w:t xml:space="preserve"> </w:t>
      </w:r>
      <w:r>
        <w:rPr>
          <w:rFonts w:hint="eastAsia" w:ascii="宋体" w:hAnsi="宋体" w:eastAsia="宋体" w:cs="宋体"/>
          <w:spacing w:val="0"/>
          <w:w w:val="100"/>
          <w:position w:val="0"/>
          <w:sz w:val="21"/>
          <w:szCs w:val="21"/>
        </w:rPr>
        <w:t>empire)”。</w:t>
      </w:r>
    </w:p>
    <w:p w14:paraId="55518D0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强调花哨的数智解决方案有可能转移人们对城市化的广泛影响等问题的注意。例如,在英国的智慧城市中,一种针对拥堵的技术解决方案,普遍的做法是生成一个高效的交通管理系统,寻求优化流量,或生成一个应用程序,实时指导驾驶员在当前交通条件下最快的路线。然而,这种技术方案并没有真正解决造成拥堵的深层次的结构性问题,即基础设施容量不足和过度需求,其中最佳和可持续的解决方案是将私人汽车使用转向公共交通、步行或是骑自行车等绿色出行方式,而不是产生其他非预期影响的短期优化。因此,尽管智慧城市技术被宣传为解决城市问题的“灵丹妙药”,但它们在很大程度上是掩盖了裂缝而不是修复了裂缝。</w:t>
      </w:r>
    </w:p>
    <w:p w14:paraId="6A3BF244">
      <w:pPr>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pacing w:val="0"/>
          <w:w w:val="100"/>
          <w:position w:val="0"/>
          <w:sz w:val="21"/>
          <w:szCs w:val="21"/>
        </w:rPr>
        <w:sectPr>
          <w:headerReference r:id="rId17" w:type="default"/>
          <w:footnotePr>
            <w:numFmt w:val="decimalEnclosedCircleChinese"/>
            <w:numRestart w:val="eachPage"/>
          </w:footnotePr>
          <w:pgSz w:w="10035" w:h="15063"/>
          <w:pgMar w:top="743" w:right="126" w:bottom="188" w:left="116" w:header="513" w:footer="0" w:gutter="0"/>
          <w:pgNumType w:fmt="decimal"/>
          <w:cols w:equalWidth="0" w:num="1">
            <w:col w:w="9792"/>
          </w:cols>
        </w:sectPr>
      </w:pPr>
    </w:p>
    <w:p w14:paraId="33E059CD">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(四)公民权利被忽视的治理效能</w:t>
      </w:r>
    </w:p>
    <w:p w14:paraId="10B64DB4">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在智慧城市的治理中,最有发言权的应该是普通民众,普通民众是智慧城市的建设初衷也是服务目标,然而,英国智慧城市治理实践往往通过将公民权利和公民参与纳入到更具有经济效益的技术指标计算中来实现,公民在很大程度上扮演着被动角色,市场中的私人企业和城市管理部门表现出各种形式的“家长”式作风(决定什么对公民最有利)和越位管理(代表公民提供服务)。公民参与通常是“选择”,即“市场”的同义词,公民的主要角色是“消费者”或“用户”,选择从供应商市场获得哪些服务,选择哪款应用程序,或者选择哪些数据产品等等。这种“理性选择”完全是新自由主义的反映,这种思路是在限定的约束条件下(由资本积累、竞争力、生产率、安全、保障等相关的一系列特定理性因素决定)来促进个人自主和自由,从而再现市场主导的服务提供,而不是通过国家提供的权利和责任来界定公民身份。基于公民的所谓“选择”,公司可以将公民纳入产品并从中提取价值,计算设备的设计和功能将个人计算机的“用户”转变为互联网上基于位置、实时、云和平台的“消费者”,从而使“公民”演化为“智能公民”,公民的私人时间和地点数据被商品化和私有化,成为资本投资和价值交易的新支柱。</w:t>
      </w:r>
    </w:p>
    <w:p w14:paraId="11511F62">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因此,尽管很多城市在计划书中都强调“以公民为中心”,例如布里斯托的“开放”愿景、“可编程城市”涉及“赋予市民更多与城市互动、工作和玩耍的能力”;曼彻斯特的智慧城市计划倡议旨在实现为城市及其公民带来更好的结果;格拉斯哥主张“把人放在未来的中心”和“让社区参与并赋予社区权力”;智慧伦敦计划将“伦敦人置于核心”等等,然而植根于理性、功能性和可复制的经济效应而不是社会权利、政治公民和公共利益的智慧城市治理,使“以公民为中心”通常只是一个城市宣传的流行词而已。公民权利被忽视的综合效应就是产生高度孤立和无保护的个人,持续处于阶层分化和基本生活保障被剥夺的风险之中,很容易受到资本变迁的影响[17]。例如布里斯托尽管在智慧城市的建设中卓有成效,但社会不平等问题还是很严重。据估计,布里斯托有69000人是英国最贫穷的10%居民;超过13%的人生活在燃料贫困中,而全国平均水平为10.6%;四分之一的儿童生活在贫困中,新兴的“智慧城市”项目对弱势群体的保护并不理想,布里斯托面临的一些主要社会挑战问题(从住房紧张到无家可归)并没有得到解决[18]。</w:t>
      </w:r>
    </w:p>
    <w:p w14:paraId="214C934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总之,英国智慧城市治理的新地理图景已经大量涌现,不再被简单地归入单一的、整齐的城市治理框架中。随着英国智慧城市的建设,放松管制、自由化、私有化和紧缩的国家项目激增,推广旨在吸引企业资本流入各个地区的营销活动和优惠政策此起彼伏,地区政府越来越重视经济增长、房地产投资的大型旗舰项目、城市更新和中产阶级化,出现了一种高度多样化、两极分化、多层次和相对不协调的领土和网络治理格局,巩固了新自由主义和面向市场的跨国规则制度,关于获得住房、水、食品、教育、医疗和安全等社会再生产基本资源的争取权利的罢工运动不断爆发,城市化进程正在发生重塑和修正[19]。</w:t>
      </w:r>
    </w:p>
    <w:p w14:paraId="53AE4DAD">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四、智慧城市治理的“技治主义”反思及其超越</w:t>
      </w:r>
    </w:p>
    <w:p w14:paraId="61BB8E4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智慧城市作为国家治理体系的关键环节和重要节点,是具有深刻内涵和丰富意蕴的多维立体社会关系空间,是社会实践关系的动态空间演化载体。智慧城市治理是人类社会进入数智文明的显著标志,也是中国式现代化背景下转变城市发展驱动力的必由之路。不可否认,智慧城市治理涉及大数据、人工智能、云计算和区块链等一系列技术手段的应用,但任何城市都是功能完整的社会关系实在的行动系统,数智技术的不断强化并不能自动解决诸多城市问题,反而容易陷入技术障目的漩涡。因此,需要深刻反思单纯“技治主义”思维惯性带来的种种隐患和问题,并根据本国实际情况,建构“以人为本”的智慧城市治理价值依归。</w:t>
      </w:r>
    </w:p>
    <w:p w14:paraId="13F02629">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(一)智慧城市治理的“技治主义”反思</w:t>
      </w:r>
    </w:p>
    <w:p w14:paraId="37C1550D">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英国智慧城市的治理实践展示了发达国家的城市发展轨迹和路径,强调了是市场而不是国家能够更有效地分配公共资源的一般意义,智慧创新似乎更多地是通过短期和规避风险的融资以及经过良好规划的“计算模型”和“最佳实践”来复制并扩大。这种简单地链接高可用性和高质量的信息通信技术基础设施的城市治理模式,并不能充分或完全地定义智慧城市,规划者关注的技术进步与公民生活质量提高之间存在脱节,技术解决方案的重要性控制了实施,消除了对数字城市转型的任何非技术性理解。公民的参与形式通常是工具性的,而不是真正的赋权,公民的参与过程并不是体现在智慧项目实施的整个生命周期中,一旦倡议达到市场产品阶段,就不太可能征求他们的意见。因此,正如欧洲的一些智慧城市一样,英国智慧城市仍然植根于务实、工具和“家长”式的话语和实践,而不是社会权利、政治公民和共同利益的话语和实践。英国智慧城市的案例表明,智慧城市概念与公共政策转化的实践之间存在脱节,英国智慧城市项目仍处于早期发展阶段[20],即智慧型城市尚未表现出令人信服的“公共城市”的全面意义。</w:t>
      </w:r>
    </w:p>
    <w:p w14:paraId="08CC32C1">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因此,“技治主义”阻碍了英国智慧城市化的进步愿景,尽管智慧城市发展的机会主义性质导致了独特的地方形式,但同时也使这些形式受制于更广泛的社会和经济影响,带来了更多的不可持续性问题。智慧化城市主义非但没有推动包容性城市,反而按照资本积累和隔离的新自由主义逻辑将城市“分裂”了,英国智慧城市转型是一种投机行为而非可持续城市未来的代表。因此,正如有学者指出的,“我们不认为当代英国的城市智慧计划已经构成了对公众的全新重塑。”[21]英国智慧城市这种将信息处理和数据可视化作为政府提供解决棘手治理问题的技术“解决方案”,并没有解决“城市问题”,看似中立的大型科技公司似乎唤起了参与、连通性和民主理想,但是公共产品和社会保障反而越来越稀缺,社会分化与不平等反而越来越严重,各个城市的异质性构成属性和社会影响因素如何在定性方面发生本质变化的探索,实际上仍然是“黑匣子”。所以,智慧城市的发展不应只留给市场和技术公司,企图通过技术整合、预测建模和行为洞察来进行城市决策的方式,只是一种理性主义和原子化理解,而不是社会实践的历史性、辩证性和动态性认识,技术解决方案并不独立于更广泛的生产关系和更复杂的政治经济地理,它需要对技术部署背后的多元角色进行充分综合考虑[22]。</w:t>
      </w:r>
    </w:p>
    <w:p w14:paraId="39BBEF1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(二)智慧城市治理的“人本主义”超越</w:t>
      </w:r>
    </w:p>
    <w:p w14:paraId="4DFFAEEA">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对英国智慧城市治理的批判性反思有助于重新理解智慧城市的治理理念和发展图景,中国新型智慧城市的治理理论逻辑和场景应用实践,植根于中国式现代化的具体现实,完全区别于新自由主义财政紧缩框架下英国智慧城市的运行模式和治理偏好,完全不同于“技治主义”的标准化治理工具,是对“技治主义”的超越,真正实现了寓“公平性民生治理”于“包容性城市治理”之中。中国在智慧城市治理的“人本主义”建构中,不仅广泛探究将数智技术这个“关键变量”转化为智慧城市全方位发展的“内在增量”,而且充分考虑广大公众层面的需求,深入考量智慧城市发展的人本化思想,重点关注城市的民生问题[23],不断改善智慧城市中公众的生产、生活和创新体验,激发公众拥有在智慧城市环境中做出有关生产、治理和实施数字技术决策的权利和能力,真正有利于弱势群体的更多福利,确保大多数人的利益得到满足。按照“人本主义”建构,我国智慧城市治理在速度、广度和深度等方面持续优化,充分体现了人民对美好生活的追求。</w:t>
      </w:r>
    </w:p>
    <w:p w14:paraId="22611DBC">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第一,维护公共利益的治理导向。与英国智慧城市的市场化治理导向、意在维护企业的私人利益明显不同,人本主义的治理理念着意构建维护公共利益的治理导向。我国智慧城市治理一方面瞄准科技发展的最新前沿,通过数智化的产业转型、业态升级、生态塑造为城市发展构筑强劲的内生性动力,使城市焕发时代光彩,为精准识别公共服务需求提供有力保障;另一方面,城市化不是“常住人口”的代名词,要真正使所有市民通过数智化发展享受到各项福利,需要不断推进线上虚拟平台与线下治理体系的高度融合,打造与新型智慧城市相匹配的“共享”社会治理面向。通过共建、共治、共生、共担机制,将存在于城市社会空间、物理空间和信息空间中的“人”“机”“物”在城市智能生态系统中深度融合,进而促成整个城市智能生态系统的快速迭代进化,实现全领域的居民幸福美好生活。</w:t>
      </w:r>
    </w:p>
    <w:p w14:paraId="11FB2D72">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第二,自下而上与自上而下相结合的治理架构。满足民生服务的治理导向不能替代公民参与治理实践,在智慧城市的治理中,需要自下而上与自上而下相结合的治理架构,公民作为城市生活的积极参与者和智慧设施的使用者,可以使数智技术真正释放出能量,同时也会激发数智技术的不断更新迭代。我国将原来的科层官僚体系逐步消解为扁平状网络化国家治理体系与运行机制,增强数智技术在不同单元、不同层级、不同主体之间的内在关联,推动政府部门、市场主体、社会组织等共同参与公共事务,降低参与门槛,汇聚治理资源,强调通过对人的偏好和行为的感知凸显人在城市治理中的主体性和目的性,倡导供给端与需求端两者有效协调的智慧城市治理架构,为各类问题的解决提供更加丰富的治理方案。</w:t>
      </w:r>
    </w:p>
    <w:p w14:paraId="3FDDE45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第三,人文价值与数字化平台有机耦合的治理驱动。作为智慧城市治理的深度参与者,数字平台企业尽管掌握着技术话语权,是形塑城市“智慧”形态的重要叙事者,然而对数智技术的盲目追从则会叠加新的治理复杂性。寻求智慧城市治理风险问题的有效解决,必须同时强调人文价值的智慧城市治理赋能,加强和提振人文精神,重视智慧空间的人文涵养与功能完善,发挥人文建设的格局接续与文化引领作用,追求智慧城市经济功能文化秩序的有机协同和整体创造[24]。因此,在满足智慧城市空间数智化增长需求的同时,必须培护、整治、凸显城市人文秩序和精神境界,价值驱动与平台驱动有机耦合,通过对数智技术的有效嵌入和融合,以及对社会环境的深度综合改革,构建融合统一的现代城市人居格局,实现智慧城市价值的最大释放。</w:t>
      </w:r>
    </w:p>
    <w:p w14:paraId="74F4BB82">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第四,人的自由全面发展的治理效能。智慧城市治理作为内嵌于城市发展全生命周期的一种空间优化机制,是建立在满足人民美好需要基础上的数智化改造,其终极价值指向是人的自由全面发展。旨在实现人的自由全面发展的智慧城市治理,是我国实现高质量发展与美好城市生活目标的题中应有之义。在促进数智化造就社会生活的日益丰富并为城市进阶提供美好承诺的同时,需要更加关注制度政策安排对于人存在的意义及其人“栖居”在城市空间中的可持续发展问题,重塑公民个体的价值与力量,激活“全面个体”崛起成为智慧城市治理的基本节点,精准地识别民意、感知民需,关注公共服务的可达性以及城市生活的安全性,使智慧城市空间生产活动充满着对人类的终极关怀。</w:t>
      </w:r>
    </w:p>
    <w:p w14:paraId="2462D151">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五、结语</w:t>
      </w:r>
    </w:p>
    <w:p w14:paraId="0D66DAE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在全球智慧城市建设高潮中,必须重新反思智慧城市治理的“技治主义”及其困境,“技治主义”绝不代表未来智慧城市治理的方向,智慧城市的社会系统性构建决定了智慧城市治理的重点,不是依托反映新自由主义财政紧缩框架的“技治主义”的直接实施,而是关注嵌入公共愿景的城市不同维度的整合创新,切实促进技术社会的再社会化。智慧城市的建设,需要回到满足人的需求、促进人的发展上来。中国智慧城市发展的驱动力是人民,基于“人本主义”的以人民为中心才是衡量智慧城市治理是否成功的唯一标准。基于这种逻辑更新,通过观念重塑、政策因应、关系重构和清单分类来推动我国智慧城市的顺利转型,确保智慧城市过渡的政策导向与本地环境条件和技术景观的变化保持协调与同步,勘正人机错位的角色偏差[25],调适参与主体的权责边界,使基准原则与具体策略相互映衬,切实保障人民在智慧城市治理中的获得感。因此,在今后的智慧城市治理中,必须依据中国具体特色实践,结合智慧城市的结构性条件及其所面临的张力,在多元主体之间进一步构筑一种新的优化平衡机制,创设一个具有公开、公平、公正的智慧城市可持续发展共同体,人人共享智慧城市发展文明成果,为全球智慧城市治理贡献中国智慧。</w:t>
      </w:r>
    </w:p>
    <w:p w14:paraId="456124F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p>
    <w:p w14:paraId="286C1FC4">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mc:AlternateContent>
          <mc:Choice Requires="wps">
            <w:drawing>
              <wp:anchor distT="0" distB="0" distL="114300" distR="114300" simplePos="0" relativeHeight="251713536" behindDoc="1" locked="0" layoutInCell="1" allowOverlap="1">
                <wp:simplePos x="0" y="0"/>
                <wp:positionH relativeFrom="column">
                  <wp:posOffset>1905</wp:posOffset>
                </wp:positionH>
                <wp:positionV relativeFrom="paragraph">
                  <wp:posOffset>81280</wp:posOffset>
                </wp:positionV>
                <wp:extent cx="1986915" cy="4445"/>
                <wp:effectExtent l="0" t="0" r="0" b="0"/>
                <wp:wrapNone/>
                <wp:docPr id="426" name="任意多边形 426"/>
                <wp:cNvGraphicFramePr/>
                <a:graphic xmlns:a="http://schemas.openxmlformats.org/drawingml/2006/main">
                  <a:graphicData uri="http://schemas.microsoft.com/office/word/2010/wordprocessingShape">
                    <wps:wsp>
                      <wps:cNvSpPr/>
                      <wps:spPr>
                        <a:xfrm>
                          <a:off x="0" y="0"/>
                          <a:ext cx="1986915" cy="4445"/>
                        </a:xfrm>
                        <a:custGeom>
                          <a:avLst/>
                          <a:gdLst/>
                          <a:ahLst/>
                          <a:cxnLst/>
                          <a:pathLst>
                            <a:path w="3128" h="6">
                              <a:moveTo>
                                <a:pt x="0" y="3"/>
                              </a:moveTo>
                              <a:lnTo>
                                <a:pt x="3128" y="3"/>
                              </a:lnTo>
                            </a:path>
                          </a:pathLst>
                        </a:custGeom>
                        <a:noFill/>
                        <a:ln w="4191" cap="flat" cmpd="sng">
                          <a:solidFill>
                            <a:srgbClr val="000000"/>
                          </a:solidFill>
                          <a:prstDash val="solid"/>
                          <a:miter lim="1000000"/>
                          <a:headEnd type="none" w="med" len="med"/>
                          <a:tailEnd type="none" w="med" len="med"/>
                        </a:ln>
                      </wps:spPr>
                      <wps:bodyPr upright="1"/>
                    </wps:wsp>
                  </a:graphicData>
                </a:graphic>
              </wp:anchor>
            </w:drawing>
          </mc:Choice>
          <mc:Fallback>
            <w:pict>
              <v:shape id="_x0000_s1026" o:spid="_x0000_s1026" o:spt="100" style="position:absolute;left:0pt;margin-left:0.15pt;margin-top:6.4pt;height:0.35pt;width:156.45pt;z-index:-251602944;mso-width-relative:page;mso-height-relative:page;" filled="f" stroked="t" coordsize="3128,6" o:gfxdata="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&#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JR6h/TAAAABgEAAA8AAAAAAAAAAQAgAAAAIgAAAGRy&#10;cy9kb3ducmV2LnhtbFBLAQIUABQAAAAIAIdO4kBfPZ0uQwIAAKcEAAAOAAAAAAAAAAEAIAAAACIB&#10;AABkcnMvZTJvRG9jLnhtbFBLBQYAAAAABgAGAFkBAADXBQAAAAA=&#10;" path="m0,3l3128,3e">
                <v:fill on="f" focussize="0,0"/>
                <v:stroke weight="0.33pt" color="#000000" miterlimit="10" joinstyle="miter"/>
                <v:imagedata o:title=""/>
                <o:lock v:ext="edit" aspectratio="f"/>
              </v:shape>
            </w:pict>
          </mc:Fallback>
        </mc:AlternateContent>
      </w:r>
    </w:p>
    <w:p w14:paraId="46632B64">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参考文献 :</w:t>
      </w:r>
    </w:p>
    <w:p w14:paraId="297A499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 xml:space="preserve">[1]    Markets  and  Markets.   5mart cities market  [EB/OL] . (2024- 02-01)[2024-12-17].    </w:t>
      </w:r>
      <w:r>
        <w:rPr>
          <w:rFonts w:hint="default" w:ascii="Times New Roman" w:hAnsi="Times New Roman" w:eastAsia="宋体" w:cs="Times New Roman"/>
          <w:spacing w:val="0"/>
          <w:w w:val="100"/>
          <w:position w:val="0"/>
          <w:sz w:val="21"/>
          <w:szCs w:val="21"/>
        </w:rPr>
        <w:fldChar w:fldCharType="begin"/>
      </w:r>
      <w:r>
        <w:rPr>
          <w:rFonts w:hint="default" w:ascii="Times New Roman" w:hAnsi="Times New Roman" w:eastAsia="宋体" w:cs="Times New Roman"/>
          <w:spacing w:val="0"/>
          <w:w w:val="100"/>
          <w:position w:val="0"/>
          <w:sz w:val="21"/>
          <w:szCs w:val="21"/>
        </w:rPr>
        <w:instrText xml:space="preserve"> HYPERLINK "https://www.marketsandmarkets" </w:instrText>
      </w:r>
      <w:r>
        <w:rPr>
          <w:rFonts w:hint="default" w:ascii="Times New Roman" w:hAnsi="Times New Roman" w:eastAsia="宋体" w:cs="Times New Roman"/>
          <w:spacing w:val="0"/>
          <w:w w:val="100"/>
          <w:position w:val="0"/>
          <w:sz w:val="21"/>
          <w:szCs w:val="21"/>
        </w:rPr>
        <w:fldChar w:fldCharType="separate"/>
      </w:r>
      <w:r>
        <w:rPr>
          <w:rFonts w:hint="default" w:ascii="Times New Roman" w:hAnsi="Times New Roman" w:eastAsia="宋体" w:cs="Times New Roman"/>
          <w:spacing w:val="0"/>
          <w:w w:val="100"/>
          <w:position w:val="0"/>
          <w:sz w:val="21"/>
          <w:szCs w:val="21"/>
        </w:rPr>
        <w:t>https://www.   marketsandmarkets</w:t>
      </w:r>
      <w:r>
        <w:rPr>
          <w:rFonts w:hint="default" w:ascii="Times New Roman" w:hAnsi="Times New Roman" w:eastAsia="宋体" w:cs="Times New Roman"/>
          <w:spacing w:val="0"/>
          <w:w w:val="100"/>
          <w:position w:val="0"/>
          <w:sz w:val="21"/>
          <w:szCs w:val="21"/>
        </w:rPr>
        <w:fldChar w:fldCharType="end"/>
      </w:r>
      <w:r>
        <w:rPr>
          <w:rFonts w:hint="default" w:ascii="Times New Roman" w:hAnsi="Times New Roman" w:eastAsia="宋体" w:cs="Times New Roman"/>
          <w:spacing w:val="0"/>
          <w:w w:val="100"/>
          <w:position w:val="0"/>
          <w:sz w:val="21"/>
          <w:szCs w:val="21"/>
        </w:rPr>
        <w:t>. com/PressReleases/smart-cities. asp.</w:t>
      </w:r>
    </w:p>
    <w:p w14:paraId="6399754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[2]    Investment weekly News.  5mart cities market size worth u5D 1472 . 10 billion , globally , by 2030 at 14. 01% cAGR: verified</w:t>
      </w:r>
    </w:p>
    <w:p w14:paraId="42C8934D">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mc:AlternateContent>
          <mc:Choice Requires="wps">
            <w:drawing>
              <wp:anchor distT="0" distB="0" distL="114300" distR="114300" simplePos="0" relativeHeight="251714560" behindDoc="0" locked="0" layoutInCell="1" allowOverlap="1">
                <wp:simplePos x="0" y="0"/>
                <wp:positionH relativeFrom="column">
                  <wp:posOffset>932180</wp:posOffset>
                </wp:positionH>
                <wp:positionV relativeFrom="paragraph">
                  <wp:posOffset>43180</wp:posOffset>
                </wp:positionV>
                <wp:extent cx="116205" cy="133985"/>
                <wp:effectExtent l="0" t="0" r="0" b="0"/>
                <wp:wrapNone/>
                <wp:docPr id="427" name="文本框 427"/>
                <wp:cNvGraphicFramePr/>
                <a:graphic xmlns:a="http://schemas.openxmlformats.org/drawingml/2006/main">
                  <a:graphicData uri="http://schemas.microsoft.com/office/word/2010/wordprocessingShape">
                    <wps:wsp>
                      <wps:cNvSpPr txBox="1"/>
                      <wps:spPr>
                        <a:xfrm>
                          <a:off x="0" y="0"/>
                          <a:ext cx="116205" cy="133985"/>
                        </a:xfrm>
                        <a:prstGeom prst="rect">
                          <a:avLst/>
                        </a:prstGeom>
                        <a:noFill/>
                        <a:ln>
                          <a:noFill/>
                        </a:ln>
                      </wps:spPr>
                      <wps:txbx>
                        <w:txbxContent>
                          <w:p w14:paraId="479DEEC9">
                            <w:pPr>
                              <w:spacing w:before="20" w:line="170" w:lineRule="exact"/>
                              <w:ind w:left="20"/>
                              <w:rPr>
                                <w:rFonts w:ascii="Arial" w:hAnsi="Arial" w:eastAsia="Arial" w:cs="Arial"/>
                                <w:sz w:val="14"/>
                                <w:szCs w:val="14"/>
                              </w:rPr>
                            </w:pPr>
                            <w:r>
                              <w:rPr>
                                <w:rFonts w:ascii="Arial" w:hAnsi="Arial" w:eastAsia="Arial" w:cs="Arial"/>
                                <w:spacing w:val="25"/>
                                <w:w w:val="113"/>
                                <w:sz w:val="14"/>
                                <w:szCs w:val="14"/>
                              </w:rPr>
                              <w:t>®</w:t>
                            </w:r>
                          </w:p>
                        </w:txbxContent>
                      </wps:txbx>
                      <wps:bodyPr lIns="0" tIns="0" rIns="0" bIns="0" upright="1"/>
                    </wps:wsp>
                  </a:graphicData>
                </a:graphic>
              </wp:anchor>
            </w:drawing>
          </mc:Choice>
          <mc:Fallback>
            <w:pict>
              <v:shape id="_x0000_s1026" o:spid="_x0000_s1026" o:spt="202" type="#_x0000_t202" style="position:absolute;left:0pt;margin-left:73.4pt;margin-top:3.4pt;height:10.55pt;width:9.15pt;z-index:251714560;mso-width-relative:page;mso-height-relative:page;" filled="f" stroked="f" coordsize="21600,21600" o:gfxdata="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QKMK81wAAAAgBAAAPAAAAAAAAAAEAIAAAACIAAABkcnMvZG93bnJldi54bWxQSwEC&#10;FAAUAAAACACHTuJAG4yH07wBAAB1AwAADgAAAAAAAAABACAAAAAmAQAAZHJzL2Uyb0RvYy54bWxQ&#10;SwUGAAAAAAYABgBZAQAAVAUAAAAA&#10;">
                <v:fill on="f" focussize="0,0"/>
                <v:stroke on="f"/>
                <v:imagedata o:title=""/>
                <o:lock v:ext="edit" aspectratio="f"/>
                <v:textbox inset="0mm,0mm,0mm,0mm">
                  <w:txbxContent>
                    <w:p w14:paraId="479DEEC9">
                      <w:pPr>
                        <w:spacing w:before="20" w:line="170" w:lineRule="exact"/>
                        <w:ind w:left="20"/>
                        <w:rPr>
                          <w:rFonts w:ascii="Arial" w:hAnsi="Arial" w:eastAsia="Arial" w:cs="Arial"/>
                          <w:sz w:val="14"/>
                          <w:szCs w:val="14"/>
                        </w:rPr>
                      </w:pPr>
                      <w:r>
                        <w:rPr>
                          <w:rFonts w:ascii="Arial" w:hAnsi="Arial" w:eastAsia="Arial" w:cs="Arial"/>
                          <w:spacing w:val="25"/>
                          <w:w w:val="113"/>
                          <w:sz w:val="14"/>
                          <w:szCs w:val="14"/>
                        </w:rPr>
                        <w:t>®</w:t>
                      </w:r>
                    </w:p>
                  </w:txbxContent>
                </v:textbox>
              </v:shape>
            </w:pict>
          </mc:Fallback>
        </mc:AlternateContent>
      </w:r>
      <w:r>
        <w:rPr>
          <w:rFonts w:hint="default" w:ascii="Times New Roman" w:hAnsi="Times New Roman" w:eastAsia="宋体" w:cs="Times New Roman"/>
          <w:spacing w:val="0"/>
          <w:w w:val="100"/>
          <w:position w:val="0"/>
          <w:sz w:val="21"/>
          <w:szCs w:val="21"/>
        </w:rPr>
        <w:t>market research    [EB/OL] .   (2023-11-11)[2024-10-18] .   ht-</w:t>
      </w:r>
    </w:p>
    <w:p w14:paraId="16864F3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fldChar w:fldCharType="begin"/>
      </w:r>
      <w:r>
        <w:rPr>
          <w:rFonts w:hint="default" w:ascii="Times New Roman" w:hAnsi="Times New Roman" w:eastAsia="宋体" w:cs="Times New Roman"/>
          <w:spacing w:val="0"/>
          <w:w w:val="100"/>
          <w:position w:val="0"/>
          <w:sz w:val="21"/>
          <w:szCs w:val="21"/>
        </w:rPr>
        <w:instrText xml:space="preserve"> HYPERLINK "tps://www.prnewswire.com/news-releases/smart-cities-mar" </w:instrText>
      </w:r>
      <w:r>
        <w:rPr>
          <w:rFonts w:hint="default" w:ascii="Times New Roman" w:hAnsi="Times New Roman" w:eastAsia="宋体" w:cs="Times New Roman"/>
          <w:spacing w:val="0"/>
          <w:w w:val="100"/>
          <w:position w:val="0"/>
          <w:sz w:val="21"/>
          <w:szCs w:val="21"/>
        </w:rPr>
        <w:fldChar w:fldCharType="separate"/>
      </w:r>
      <w:r>
        <w:rPr>
          <w:rFonts w:hint="default" w:ascii="Times New Roman" w:hAnsi="Times New Roman" w:eastAsia="宋体" w:cs="Times New Roman"/>
          <w:spacing w:val="0"/>
          <w:w w:val="100"/>
          <w:position w:val="0"/>
          <w:sz w:val="21"/>
          <w:szCs w:val="21"/>
        </w:rPr>
        <w:t>tps://www. prnewswire. com/news-releases/smart-cities-mar</w:t>
      </w:r>
      <w:r>
        <w:rPr>
          <w:rFonts w:hint="default" w:ascii="Times New Roman" w:hAnsi="Times New Roman" w:eastAsia="宋体" w:cs="Times New Roman"/>
          <w:spacing w:val="0"/>
          <w:w w:val="100"/>
          <w:position w:val="0"/>
          <w:sz w:val="21"/>
          <w:szCs w:val="21"/>
        </w:rPr>
        <w:fldChar w:fldCharType="end"/>
      </w:r>
      <w:r>
        <w:rPr>
          <w:rFonts w:hint="default" w:ascii="Times New Roman" w:hAnsi="Times New Roman" w:eastAsia="宋体" w:cs="Times New Roman"/>
          <w:spacing w:val="0"/>
          <w:w w:val="100"/>
          <w:position w:val="0"/>
          <w:sz w:val="21"/>
          <w:szCs w:val="21"/>
        </w:rPr>
        <w:t>- ket-size-worth-usd-1472-10-billion-globally-by-2030-at-14-01 - cagr-verified-market-research-301964420 . html.</w:t>
      </w:r>
    </w:p>
    <w:p w14:paraId="53139A7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[3]    Filion P,  Moos M , 5ands G.  urban neoliberalism ,  smart city , and big  tech :  the  aborted  sidewalk  labs  Toronto  experiment [J] . Journal of urban Affairs ,  2023 ,  45(9) : 1625—1643 .</w:t>
      </w:r>
    </w:p>
    <w:p w14:paraId="057A11D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 xml:space="preserve">[4]    周建锋,徐信 琼 .   贫 富 差 距 、高 福 利 陷 阱 与 债 务 危 机 </w:t>
      </w:r>
      <w:r>
        <w:rPr>
          <w:rFonts w:hint="default" w:ascii="Times New Roman" w:hAnsi="Times New Roman" w:eastAsia="宋体" w:cs="Times New Roman"/>
          <w:b/>
          <w:bCs/>
          <w:spacing w:val="0"/>
          <w:w w:val="100"/>
          <w:position w:val="0"/>
          <w:sz w:val="21"/>
          <w:szCs w:val="21"/>
        </w:rPr>
        <w:t xml:space="preserve">— </w:t>
      </w:r>
      <w:r>
        <w:rPr>
          <w:rFonts w:hint="default" w:ascii="Times New Roman" w:hAnsi="Times New Roman" w:eastAsia="宋体" w:cs="Times New Roman"/>
          <w:spacing w:val="0"/>
          <w:w w:val="100"/>
          <w:position w:val="0"/>
          <w:sz w:val="21"/>
          <w:szCs w:val="21"/>
        </w:rPr>
        <w:t>一 种对资本主义经济危机新变化 的 阐 释  [J] .   海 派 经 济 学 ,  2024 , 22  (4) :  152—168 .</w:t>
      </w:r>
    </w:p>
    <w:p w14:paraId="790745B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[5]    Hermann c.   5tructural adjustment and neoliberal convergence in labour  markets  and  welfare :   the  impact  of  the  crisis  and austerity measures  on  European  economic  and  social  models [J] . competition &amp; change ,  2014 , 18(2) : 111—130.</w:t>
      </w:r>
    </w:p>
    <w:p w14:paraId="7DDAEC2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[6]    Theodore  N.   Governing through austerity :  (II)  logics  of  ne- oliberal urbanism after the global financial crisis[J] . Journal of urban Affairs ,  2020 , 42(1) : 1—17 .</w:t>
      </w:r>
    </w:p>
    <w:p w14:paraId="7A1DA3B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[7]    Gray M ,  Barford A.  The depths of the cuts :  the uneven geog- raphy of local government austerity[J] . cambridge Journal of Regions ,  Economy and 5ociety ,  2018 , 11(3) : 541—563 .</w:t>
      </w:r>
    </w:p>
    <w:p w14:paraId="540FC72D">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[8]    Juvenile  Ehwi R,  Holmes  H ,  Burgess  G.   5haping  smart  cit- ies :  problem framing ,  vertical selection and governance in uk smart cities[J] . urban Geography ,  2024 ,  45(5) : 755—775 .</w:t>
      </w:r>
    </w:p>
    <w:p w14:paraId="3B4B33E2">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[9]    caprotti F, cowley R.  varieties of smart urbanism in the uk: discursive  logics ,   the   state   and  local   urban   context [J] . Transactions of the Institute of British Geographers ,  2019 , 44 (3) : 587—601 .</w:t>
      </w:r>
    </w:p>
    <w:p w14:paraId="04529B6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[10]  Taylor Buck N,  while A.  competitive urbanism and the limits to smart city  innovation :  the  uk  future  cities  initiative[J] . urban 5tudies ,  2017 ,  54  (2) : 501—519 .</w:t>
      </w:r>
    </w:p>
    <w:p w14:paraId="71245CC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杨云 霞 .   新 自 由 主 义 经 济 政 策 对 全 球 劳 动 关 系的 消 极 影[J] .  政治经济学研究 ,  2022(3) : 144—155 .</w:t>
      </w:r>
    </w:p>
    <w:p w14:paraId="4C6C1AB4">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[12]  Ho E.  5mart subjects for a smart nation? Governing  (smart) mentalities in  5ingapore[J] .  Urban  5tudies ,  2017 , 54 ( 13) : 1—17 .</w:t>
      </w:r>
    </w:p>
    <w:p w14:paraId="376E42E9">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[13]  Grossi G,  pianezzi D.  5mart cities :  utopia or neoliberal ideolo- gy? [J] . cities ,  2017 ,  69 : 79—85 .</w:t>
      </w:r>
    </w:p>
    <w:p w14:paraId="02B340B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[14]  cowley R,  caprotti  F.  5mart city as anti-planning in the Uk [J] . Environment and planning D: 5ociety and 5pace , 2019 , 37 (3) :428—448 .</w:t>
      </w:r>
    </w:p>
    <w:p w14:paraId="150619F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 xml:space="preserve">[15]  Rose G,  Raghuram  p, Watson  5 ,  et  al.   platform  urbanism , smartphone applications and valuing data in  a  smart  city[J] . </w:t>
      </w:r>
      <w:r>
        <w:rPr>
          <w:rFonts w:hint="default" w:ascii="Times New Roman" w:hAnsi="Times New Roman" w:eastAsia="宋体" w:cs="Times New Roman"/>
          <w:spacing w:val="0"/>
          <w:w w:val="100"/>
          <w:position w:val="0"/>
          <w:sz w:val="21"/>
          <w:szCs w:val="21"/>
          <w:lang w:val="en-US" w:eastAsia="zh-CN"/>
        </w:rPr>
        <w:t>[</w:t>
      </w:r>
      <w:r>
        <w:rPr>
          <w:rFonts w:hint="default" w:ascii="Times New Roman" w:hAnsi="Times New Roman" w:eastAsia="宋体" w:cs="Times New Roman"/>
          <w:spacing w:val="0"/>
          <w:w w:val="100"/>
          <w:position w:val="0"/>
          <w:sz w:val="21"/>
          <w:szCs w:val="21"/>
        </w:rPr>
        <w:t>Transactions of the Institute of British Geographers ,  2021 , 46 (1) :  59—72 .</w:t>
      </w:r>
    </w:p>
    <w:p w14:paraId="2048D48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[16]  carraro  V.   of fixes and glitches :  mixing metaphors  for plat- form urbanism[J] . Digital  Geography  and  5ociety ,  2023 ,  4 : 100056 .</w:t>
      </w:r>
    </w:p>
    <w:p w14:paraId="1D8FEFA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[17]   Brown  W.   5acrificial  citizenship :  neoliberalism ,  human  cap- ital ,  and  austerity  politics[J] . constellations ,  2016 ,  23 (1) : 3—14.</w:t>
      </w:r>
    </w:p>
    <w:p w14:paraId="68572F79">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rPr>
        <w:t>[18]  (ola)Michalec A,  Hayes E,  Longhurst J.  Building smart cit- ies , the just way.  A critical review of“smart”and“just”initi- atives in Bristol , Uk[J] . 5ustainable cities and 5ociety , 2019 ,</w:t>
      </w:r>
      <w:r>
        <w:rPr>
          <w:rFonts w:hint="default" w:ascii="Times New Roman" w:hAnsi="Times New Roman" w:eastAsia="宋体" w:cs="Times New Roman"/>
          <w:spacing w:val="0"/>
          <w:w w:val="100"/>
          <w:position w:val="0"/>
          <w:sz w:val="21"/>
          <w:szCs w:val="21"/>
          <w:lang w:val="en-US" w:eastAsia="zh-CN"/>
        </w:rPr>
        <w:t>47:101510.</w:t>
      </w:r>
    </w:p>
    <w:p w14:paraId="35743205">
      <w:pPr>
        <w:pageBreakBefore w:val="0"/>
        <w:widowControl/>
        <w:numPr>
          <w:ilvl w:val="0"/>
          <w:numId w:val="20"/>
        </w:numPr>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lang w:val="en-US" w:eastAsia="zh-CN"/>
        </w:rPr>
        <w:t>Brenner N, Schmid C, Towards a new epistemology of the urban?[].City,2015,19(2-3):151-182.</w:t>
      </w:r>
    </w:p>
    <w:p w14:paraId="0C89752E">
      <w:pPr>
        <w:pageBreakBefore w:val="0"/>
        <w:widowControl/>
        <w:numPr>
          <w:ilvl w:val="0"/>
          <w:numId w:val="20"/>
        </w:numPr>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lang w:val="en-US" w:eastAsia="zh-CN"/>
        </w:rPr>
        <w:t>Ersoy A. The impact of smart city technologies on the urbanprocess:lessons learned from three UK cities]. Urban Design and Planning,2019,172(5):1-15.</w:t>
      </w:r>
    </w:p>
    <w:p w14:paraId="7C0EA09D">
      <w:pPr>
        <w:pageBreakBefore w:val="0"/>
        <w:widowControl/>
        <w:numPr>
          <w:ilvl w:val="0"/>
          <w:numId w:val="20"/>
        </w:numPr>
        <w:kinsoku w:val="0"/>
        <w:wordWrap/>
        <w:overflowPunct/>
        <w:topLinePunct w:val="0"/>
        <w:autoSpaceDE w:val="0"/>
        <w:autoSpaceDN w:val="0"/>
        <w:bidi w:val="0"/>
        <w:adjustRightInd w:val="0"/>
        <w:snapToGrid w:val="0"/>
        <w:spacing w:line="360" w:lineRule="auto"/>
        <w:ind w:left="0" w:leftChars="0" w:right="0" w:rightChars="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lang w:val="en-US" w:eastAsia="zh-CN"/>
        </w:rPr>
        <w:t>Cowley R, Joss S, Dayot Y. The smart city and its publics:insights from across six UK cities[」. Urban Research &amp;Practice,2018,11(1):53-77.</w:t>
      </w:r>
    </w:p>
    <w:p w14:paraId="67224A9A">
      <w:pPr>
        <w:pageBreakBefore w:val="0"/>
        <w:widowControl/>
        <w:numPr>
          <w:ilvl w:val="0"/>
          <w:numId w:val="20"/>
        </w:numPr>
        <w:kinsoku w:val="0"/>
        <w:wordWrap/>
        <w:overflowPunct/>
        <w:topLinePunct w:val="0"/>
        <w:autoSpaceDE w:val="0"/>
        <w:autoSpaceDN w:val="0"/>
        <w:bidi w:val="0"/>
        <w:adjustRightInd w:val="0"/>
        <w:snapToGrid w:val="0"/>
        <w:spacing w:line="360" w:lineRule="auto"/>
        <w:ind w:left="0" w:leftChars="0" w:right="0" w:rightChars="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lang w:val="en-US" w:eastAsia="zh-CN"/>
        </w:rPr>
        <w:t>杨永春,营煜婷.人工智能时代城市地理学发展的变革与挑战[J].地理学报，2024，79(10):2425-2441.</w:t>
      </w:r>
    </w:p>
    <w:p w14:paraId="0C05BB50">
      <w:pPr>
        <w:pageBreakBefore w:val="0"/>
        <w:widowControl/>
        <w:numPr>
          <w:ilvl w:val="0"/>
          <w:numId w:val="20"/>
        </w:numPr>
        <w:kinsoku w:val="0"/>
        <w:wordWrap/>
        <w:overflowPunct/>
        <w:topLinePunct w:val="0"/>
        <w:autoSpaceDE w:val="0"/>
        <w:autoSpaceDN w:val="0"/>
        <w:bidi w:val="0"/>
        <w:adjustRightInd w:val="0"/>
        <w:snapToGrid w:val="0"/>
        <w:spacing w:line="360" w:lineRule="auto"/>
        <w:ind w:left="0" w:leftChars="0" w:right="0" w:rightChars="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lang w:val="en-US" w:eastAsia="zh-CN"/>
        </w:rPr>
        <w:t>湛泳,李国锋,陈思杰。智慧城市发展会提升居民幸福感吗?--基于中国健康与养老追踪调查数据的实证分析[J]财经理论与实践，2024，45(3):117-124.</w:t>
      </w:r>
    </w:p>
    <w:p w14:paraId="45395969">
      <w:pPr>
        <w:pageBreakBefore w:val="0"/>
        <w:widowControl/>
        <w:numPr>
          <w:ilvl w:val="0"/>
          <w:numId w:val="20"/>
        </w:numPr>
        <w:kinsoku w:val="0"/>
        <w:wordWrap/>
        <w:overflowPunct/>
        <w:topLinePunct w:val="0"/>
        <w:autoSpaceDE w:val="0"/>
        <w:autoSpaceDN w:val="0"/>
        <w:bidi w:val="0"/>
        <w:adjustRightInd w:val="0"/>
        <w:snapToGrid w:val="0"/>
        <w:spacing w:line="360" w:lineRule="auto"/>
        <w:ind w:left="0" w:leftChars="0" w:right="0" w:rightChars="0" w:firstLine="420" w:firstLineChars="200"/>
        <w:textAlignment w:val="baseline"/>
        <w:rPr>
          <w:rFonts w:hint="default" w:ascii="Times New Roman" w:hAnsi="Times New Roman" w:eastAsia="宋体" w:cs="Times New Roman"/>
          <w:spacing w:val="0"/>
          <w:w w:val="100"/>
          <w:position w:val="0"/>
          <w:sz w:val="21"/>
          <w:szCs w:val="21"/>
          <w:lang w:val="en-US" w:eastAsia="zh-CN"/>
        </w:rPr>
      </w:pPr>
      <w:r>
        <w:rPr>
          <w:rFonts w:hint="default" w:ascii="Times New Roman" w:hAnsi="Times New Roman" w:eastAsia="宋体" w:cs="Times New Roman"/>
          <w:spacing w:val="0"/>
          <w:w w:val="100"/>
          <w:position w:val="0"/>
          <w:sz w:val="21"/>
          <w:szCs w:val="21"/>
          <w:lang w:val="en-US" w:eastAsia="zh-CN"/>
        </w:rPr>
        <w:t>郭志伟.中国人文经济学:内涵、出场逻辑、研究主线与构建路径--基于中国式现代化视角 [J].管理学刊，2024,37(6)33-41.</w:t>
      </w:r>
    </w:p>
    <w:p w14:paraId="2327558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r>
        <w:rPr>
          <w:rFonts w:hint="default" w:ascii="Times New Roman" w:hAnsi="Times New Roman" w:eastAsia="宋体" w:cs="Times New Roman"/>
          <w:spacing w:val="0"/>
          <w:w w:val="100"/>
          <w:position w:val="0"/>
          <w:sz w:val="21"/>
          <w:szCs w:val="21"/>
          <w:lang w:val="en-US" w:eastAsia="zh-CN"/>
        </w:rPr>
        <w:t>[25]喻国明,苏芳.范式重构、人机共融与技术伴随:智能传播时代理解人机关系的路径J.湖南师范大学社会科学学报，2023.</w:t>
      </w:r>
    </w:p>
    <w:p w14:paraId="26134691">
      <w:pPr>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pacing w:val="0"/>
          <w:w w:val="100"/>
          <w:position w:val="0"/>
          <w:sz w:val="21"/>
          <w:szCs w:val="21"/>
        </w:rPr>
      </w:pPr>
    </w:p>
    <w:p w14:paraId="77C6481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p>
    <w:p w14:paraId="7AA4CE7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lang w:eastAsia="zh-CN"/>
        </w:rPr>
      </w:pPr>
      <w:r>
        <w:rPr>
          <w:rFonts w:hint="eastAsia" w:ascii="宋体" w:hAnsi="宋体" w:eastAsia="宋体" w:cs="宋体"/>
          <w:spacing w:val="0"/>
          <w:w w:val="100"/>
          <w:position w:val="0"/>
          <w:sz w:val="21"/>
          <w:szCs w:val="21"/>
          <w:lang w:eastAsia="zh-CN"/>
        </w:rPr>
        <w:t>（</w:t>
      </w:r>
      <w:r>
        <w:rPr>
          <w:rFonts w:hint="eastAsia" w:ascii="宋体" w:hAnsi="宋体" w:eastAsia="宋体" w:cs="宋体"/>
          <w:spacing w:val="0"/>
          <w:w w:val="100"/>
          <w:position w:val="0"/>
          <w:sz w:val="21"/>
          <w:szCs w:val="21"/>
          <w:lang w:val="en-US" w:eastAsia="zh-CN"/>
        </w:rPr>
        <w:t>原载</w:t>
      </w:r>
      <w:r>
        <w:rPr>
          <w:rFonts w:hint="eastAsia" w:ascii="Times New Roman" w:hAnsi="Times New Roman" w:eastAsia="宋体" w:cs="Times New Roman"/>
          <w:sz w:val="24"/>
          <w:szCs w:val="24"/>
          <w:lang w:val="en-US" w:eastAsia="zh-CN"/>
        </w:rPr>
        <w:t>《财经理论与实践》2025年网络首发（4月10日）</w:t>
      </w:r>
      <w:r>
        <w:rPr>
          <w:rFonts w:hint="eastAsia" w:ascii="宋体" w:hAnsi="宋体" w:eastAsia="宋体" w:cs="宋体"/>
          <w:spacing w:val="0"/>
          <w:w w:val="100"/>
          <w:position w:val="0"/>
          <w:sz w:val="21"/>
          <w:szCs w:val="21"/>
          <w:lang w:val="en-US" w:eastAsia="zh-CN"/>
        </w:rPr>
        <w:t>》，第二作者为</w:t>
      </w:r>
      <w:r>
        <w:rPr>
          <w:rFonts w:hint="eastAsia" w:ascii="Times New Roman" w:hAnsi="Times New Roman" w:eastAsia="宋体" w:cs="Times New Roman"/>
          <w:sz w:val="24"/>
          <w:szCs w:val="24"/>
          <w:lang w:val="en-US" w:eastAsia="zh-CN"/>
        </w:rPr>
        <w:t>范昕若。</w:t>
      </w:r>
      <w:r>
        <w:rPr>
          <w:rFonts w:hint="eastAsia" w:ascii="宋体" w:hAnsi="宋体" w:eastAsia="宋体" w:cs="宋体"/>
          <w:spacing w:val="0"/>
          <w:w w:val="100"/>
          <w:position w:val="0"/>
          <w:sz w:val="21"/>
          <w:szCs w:val="21"/>
          <w:lang w:eastAsia="zh-CN"/>
        </w:rPr>
        <w:t>）</w:t>
      </w:r>
    </w:p>
    <w:p w14:paraId="3A50B7E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p>
    <w:p w14:paraId="4E68592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p>
    <w:p w14:paraId="2D0A3907">
      <w:pPr>
        <w:pStyle w:val="2"/>
        <w:bidi w:val="0"/>
        <w:rPr>
          <w:rFonts w:hint="eastAsia"/>
        </w:rPr>
      </w:pPr>
      <w:bookmarkStart w:id="703" w:name="_Toc1060856466"/>
      <w:bookmarkStart w:id="704" w:name="_Toc659829728"/>
      <w:bookmarkStart w:id="705" w:name="_Toc2112369256"/>
      <w:bookmarkStart w:id="706" w:name="_Toc27268"/>
      <w:bookmarkStart w:id="707" w:name="_Toc1139496206"/>
      <w:bookmarkStart w:id="708" w:name="_Toc1350321676"/>
      <w:r>
        <w:rPr>
          <w:rFonts w:hint="eastAsia"/>
          <w:lang w:val="en-US" w:eastAsia="zh-CN"/>
        </w:rPr>
        <w:t>6</w:t>
      </w:r>
      <w:r>
        <w:rPr>
          <w:rFonts w:hint="eastAsia"/>
        </w:rPr>
        <w:t>现代政治经济学的自主知识体系与马克思主义政治经济学的创新和发展——程恩富教授访谈</w:t>
      </w:r>
      <w:bookmarkEnd w:id="703"/>
      <w:bookmarkEnd w:id="704"/>
      <w:bookmarkEnd w:id="705"/>
      <w:bookmarkEnd w:id="706"/>
      <w:bookmarkEnd w:id="707"/>
      <w:bookmarkEnd w:id="708"/>
    </w:p>
    <w:p w14:paraId="74982BA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6C42EA6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6C3AD4A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8"/>
          <w:sz w:val="21"/>
          <w:szCs w:val="21"/>
        </w:rPr>
        <w:t>○谭泓（以下简称“谭”</w:t>
      </w:r>
      <w:r>
        <w:rPr>
          <w:rFonts w:hint="eastAsia" w:ascii="宋体" w:hAnsi="宋体" w:eastAsia="宋体" w:cs="宋体"/>
          <w:color w:val="231F20"/>
          <w:spacing w:val="-49"/>
          <w:sz w:val="21"/>
          <w:szCs w:val="21"/>
        </w:rPr>
        <w:t>）：</w:t>
      </w:r>
      <w:r>
        <w:rPr>
          <w:rFonts w:hint="eastAsia" w:ascii="宋体" w:hAnsi="宋体" w:eastAsia="宋体" w:cs="宋体"/>
          <w:color w:val="231F20"/>
          <w:spacing w:val="8"/>
          <w:sz w:val="21"/>
          <w:szCs w:val="21"/>
        </w:rPr>
        <w:t>2024年由您和段学慧教授主编的研究生教材《现代政</w:t>
      </w:r>
      <w:r>
        <w:rPr>
          <w:rFonts w:hint="eastAsia" w:ascii="宋体" w:hAnsi="宋体" w:eastAsia="宋体" w:cs="宋体"/>
          <w:color w:val="231F20"/>
          <w:spacing w:val="3"/>
          <w:sz w:val="21"/>
          <w:szCs w:val="21"/>
        </w:rPr>
        <w:t>治经济学研究》（高等教育出版社2024年版）一书已经出版了。您能简单介绍</w:t>
      </w:r>
      <w:r>
        <w:rPr>
          <w:rFonts w:hint="eastAsia" w:ascii="宋体" w:hAnsi="宋体" w:eastAsia="宋体" w:cs="宋体"/>
          <w:color w:val="231F20"/>
          <w:spacing w:val="2"/>
          <w:sz w:val="21"/>
          <w:szCs w:val="21"/>
        </w:rPr>
        <w:t>一下这本</w:t>
      </w:r>
      <w:r>
        <w:rPr>
          <w:rFonts w:hint="eastAsia" w:ascii="宋体" w:hAnsi="宋体" w:eastAsia="宋体" w:cs="宋体"/>
          <w:color w:val="231F20"/>
          <w:spacing w:val="6"/>
          <w:sz w:val="21"/>
          <w:szCs w:val="21"/>
        </w:rPr>
        <w:t>书的编写动因和背景吗？</w:t>
      </w:r>
    </w:p>
    <w:p w14:paraId="4C35C83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2E2148D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8"/>
          <w:sz w:val="21"/>
          <w:szCs w:val="21"/>
        </w:rPr>
        <w:t>●程恩富（以下简称“程”</w:t>
      </w:r>
      <w:r>
        <w:rPr>
          <w:rFonts w:hint="eastAsia" w:ascii="宋体" w:hAnsi="宋体" w:eastAsia="宋体" w:cs="宋体"/>
          <w:color w:val="231F20"/>
          <w:spacing w:val="-53"/>
          <w:sz w:val="21"/>
          <w:szCs w:val="21"/>
        </w:rPr>
        <w:t>）：</w:t>
      </w:r>
      <w:r>
        <w:rPr>
          <w:rFonts w:hint="eastAsia" w:ascii="宋体" w:hAnsi="宋体" w:eastAsia="宋体" w:cs="宋体"/>
          <w:color w:val="231F20"/>
          <w:spacing w:val="8"/>
          <w:sz w:val="21"/>
          <w:szCs w:val="21"/>
        </w:rPr>
        <w:t>党的十八大以来，以</w:t>
      </w:r>
      <w:r>
        <w:rPr>
          <w:rFonts w:hint="eastAsia" w:ascii="宋体" w:hAnsi="宋体" w:eastAsia="宋体" w:cs="宋体"/>
          <w:color w:val="231F20"/>
          <w:spacing w:val="19"/>
          <w:sz w:val="21"/>
          <w:szCs w:val="21"/>
        </w:rPr>
        <w:t>习近平同志为核心的党中央高度重视马克思主义政治经</w:t>
      </w:r>
      <w:r>
        <w:rPr>
          <w:rFonts w:hint="eastAsia" w:ascii="宋体" w:hAnsi="宋体" w:eastAsia="宋体" w:cs="宋体"/>
          <w:color w:val="231F20"/>
          <w:spacing w:val="16"/>
          <w:sz w:val="21"/>
          <w:szCs w:val="21"/>
        </w:rPr>
        <w:t>济学。习近平总书记就坚持和发展马克思主义政治经济</w:t>
      </w:r>
      <w:r>
        <w:rPr>
          <w:rFonts w:hint="eastAsia" w:ascii="宋体" w:hAnsi="宋体" w:eastAsia="宋体" w:cs="宋体"/>
          <w:color w:val="231F20"/>
          <w:spacing w:val="17"/>
          <w:sz w:val="21"/>
          <w:szCs w:val="21"/>
        </w:rPr>
        <w:t>学、构建中国特色社会主义政治经济学提出了一系列新</w:t>
      </w:r>
      <w:r>
        <w:rPr>
          <w:rFonts w:hint="eastAsia" w:ascii="宋体" w:hAnsi="宋体" w:eastAsia="宋体" w:cs="宋体"/>
          <w:color w:val="231F20"/>
          <w:spacing w:val="13"/>
          <w:sz w:val="21"/>
          <w:szCs w:val="21"/>
        </w:rPr>
        <w:t>思想、新论断，反复强调要学好用好政治经济学。</w:t>
      </w:r>
      <w:r>
        <w:rPr>
          <w:rFonts w:hint="eastAsia" w:ascii="宋体" w:hAnsi="宋体" w:eastAsia="宋体" w:cs="宋体"/>
          <w:color w:val="231F20"/>
          <w:spacing w:val="12"/>
          <w:sz w:val="21"/>
          <w:szCs w:val="21"/>
        </w:rPr>
        <w:t>2015</w:t>
      </w:r>
      <w:r>
        <w:rPr>
          <w:rFonts w:hint="eastAsia" w:ascii="宋体" w:hAnsi="宋体" w:eastAsia="宋体" w:cs="宋体"/>
          <w:color w:val="231F20"/>
          <w:spacing w:val="20"/>
          <w:sz w:val="21"/>
          <w:szCs w:val="21"/>
        </w:rPr>
        <w:t>年12月，习近平总书记在中央经济工作会议上指出，</w:t>
      </w:r>
      <w:r>
        <w:rPr>
          <w:rFonts w:hint="eastAsia" w:ascii="宋体" w:hAnsi="宋体" w:eastAsia="宋体" w:cs="宋体"/>
          <w:color w:val="231F20"/>
          <w:spacing w:val="6"/>
          <w:sz w:val="21"/>
          <w:szCs w:val="21"/>
        </w:rPr>
        <w:t>“要坚持中国特色社会主义政治经济学的重大原则”。</w:t>
      </w:r>
      <w:r>
        <w:rPr>
          <w:rStyle w:val="20"/>
          <w:rFonts w:hint="eastAsia" w:ascii="宋体" w:hAnsi="宋体" w:eastAsia="宋体" w:cs="宋体"/>
          <w:color w:val="231F20"/>
          <w:spacing w:val="6"/>
          <w:sz w:val="21"/>
          <w:szCs w:val="21"/>
        </w:rPr>
        <w:footnoteReference w:id="1026"/>
      </w:r>
      <w:r>
        <w:rPr>
          <w:rFonts w:hint="eastAsia" w:ascii="宋体" w:hAnsi="宋体" w:eastAsia="宋体" w:cs="宋体"/>
          <w:color w:val="231F20"/>
          <w:spacing w:val="6"/>
          <w:sz w:val="21"/>
          <w:szCs w:val="21"/>
        </w:rPr>
        <w:t>这</w:t>
      </w:r>
      <w:r>
        <w:rPr>
          <w:rFonts w:hint="eastAsia" w:ascii="宋体" w:hAnsi="宋体" w:eastAsia="宋体" w:cs="宋体"/>
          <w:color w:val="231F20"/>
          <w:spacing w:val="16"/>
          <w:sz w:val="21"/>
          <w:szCs w:val="21"/>
        </w:rPr>
        <w:t>是“中国特色社会主义政治经济学”这个概念首次出现</w:t>
      </w:r>
      <w:r>
        <w:rPr>
          <w:rFonts w:hint="eastAsia" w:ascii="宋体" w:hAnsi="宋体" w:eastAsia="宋体" w:cs="宋体"/>
          <w:color w:val="231F20"/>
          <w:spacing w:val="6"/>
          <w:sz w:val="21"/>
          <w:szCs w:val="21"/>
        </w:rPr>
        <w:t>在中央工作会议上。习近平总书记强调，“要加强研究和</w:t>
      </w:r>
      <w:r>
        <w:rPr>
          <w:rFonts w:hint="eastAsia" w:ascii="宋体" w:hAnsi="宋体" w:eastAsia="宋体" w:cs="宋体"/>
          <w:color w:val="231F20"/>
          <w:spacing w:val="14"/>
          <w:sz w:val="21"/>
          <w:szCs w:val="21"/>
        </w:rPr>
        <w:t>探索，加强对规律性认识的总结，不断</w:t>
      </w:r>
      <w:r>
        <w:rPr>
          <w:rFonts w:hint="eastAsia" w:ascii="宋体" w:hAnsi="宋体" w:eastAsia="宋体" w:cs="宋体"/>
          <w:color w:val="231F20"/>
          <w:spacing w:val="13"/>
          <w:sz w:val="21"/>
          <w:szCs w:val="21"/>
        </w:rPr>
        <w:t>完善中国特色社</w:t>
      </w:r>
    </w:p>
    <w:p w14:paraId="65D9886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会主义政治经济学理论体系”，</w:t>
      </w:r>
      <w:r>
        <w:rPr>
          <w:rStyle w:val="20"/>
          <w:rFonts w:hint="eastAsia" w:ascii="宋体" w:hAnsi="宋体" w:eastAsia="宋体" w:cs="宋体"/>
          <w:color w:val="231F20"/>
          <w:spacing w:val="10"/>
          <w:sz w:val="21"/>
          <w:szCs w:val="21"/>
        </w:rPr>
        <w:footnoteReference w:id="1027"/>
      </w:r>
      <w:r>
        <w:rPr>
          <w:rFonts w:hint="eastAsia" w:ascii="宋体" w:hAnsi="宋体" w:eastAsia="宋体" w:cs="宋体"/>
          <w:color w:val="231F20"/>
          <w:spacing w:val="10"/>
          <w:sz w:val="21"/>
          <w:szCs w:val="21"/>
        </w:rPr>
        <w:t>“要立足我国国情和我国发展实</w:t>
      </w:r>
      <w:r>
        <w:rPr>
          <w:rFonts w:hint="eastAsia" w:ascii="宋体" w:hAnsi="宋体" w:eastAsia="宋体" w:cs="宋体"/>
          <w:color w:val="231F20"/>
          <w:spacing w:val="9"/>
          <w:sz w:val="21"/>
          <w:szCs w:val="21"/>
        </w:rPr>
        <w:t>践，揭示新特点新规</w:t>
      </w:r>
      <w:r>
        <w:rPr>
          <w:rFonts w:hint="eastAsia" w:ascii="宋体" w:hAnsi="宋体" w:eastAsia="宋体" w:cs="宋体"/>
          <w:color w:val="231F20"/>
          <w:spacing w:val="12"/>
          <w:sz w:val="21"/>
          <w:szCs w:val="21"/>
        </w:rPr>
        <w:t>律，提炼和总结我国经济发展实践的规律性成果，把实践经验上升为系统化的经济学</w:t>
      </w:r>
      <w:r>
        <w:rPr>
          <w:rFonts w:hint="eastAsia" w:ascii="宋体" w:hAnsi="宋体" w:eastAsia="宋体" w:cs="宋体"/>
          <w:color w:val="231F20"/>
          <w:spacing w:val="6"/>
          <w:sz w:val="21"/>
          <w:szCs w:val="21"/>
        </w:rPr>
        <w:t>说，不断开拓当代中国马克思主义政治经济学新境界”。</w:t>
      </w:r>
      <w:r>
        <w:rPr>
          <w:rStyle w:val="20"/>
          <w:rFonts w:hint="eastAsia" w:ascii="宋体" w:hAnsi="宋体" w:eastAsia="宋体" w:cs="宋体"/>
          <w:color w:val="231F20"/>
          <w:spacing w:val="6"/>
          <w:sz w:val="21"/>
          <w:szCs w:val="21"/>
        </w:rPr>
        <w:footnoteReference w:id="1028"/>
      </w:r>
      <w:r>
        <w:rPr>
          <w:rFonts w:hint="eastAsia" w:ascii="宋体" w:hAnsi="宋体" w:eastAsia="宋体" w:cs="宋体"/>
          <w:color w:val="231F20"/>
          <w:spacing w:val="6"/>
          <w:sz w:val="21"/>
          <w:szCs w:val="21"/>
        </w:rPr>
        <w:t>2022年4月25日，习近平总</w:t>
      </w:r>
      <w:r>
        <w:rPr>
          <w:rFonts w:hint="eastAsia" w:ascii="宋体" w:hAnsi="宋体" w:eastAsia="宋体" w:cs="宋体"/>
          <w:color w:val="231F20"/>
          <w:spacing w:val="8"/>
          <w:sz w:val="21"/>
          <w:szCs w:val="21"/>
        </w:rPr>
        <w:t>书记在中国人民大学考察时进一步强调：“加快构建中</w:t>
      </w:r>
      <w:r>
        <w:rPr>
          <w:rFonts w:hint="eastAsia" w:ascii="宋体" w:hAnsi="宋体" w:eastAsia="宋体" w:cs="宋体"/>
          <w:color w:val="231F20"/>
          <w:spacing w:val="7"/>
          <w:sz w:val="21"/>
          <w:szCs w:val="21"/>
        </w:rPr>
        <w:t>国特色哲学社会科学，归根结底</w:t>
      </w:r>
      <w:r>
        <w:rPr>
          <w:rFonts w:hint="eastAsia" w:ascii="宋体" w:hAnsi="宋体" w:eastAsia="宋体" w:cs="宋体"/>
          <w:color w:val="231F20"/>
          <w:spacing w:val="9"/>
          <w:sz w:val="21"/>
          <w:szCs w:val="21"/>
        </w:rPr>
        <w:t>是构建中国自主的知识体系。……自觉以回答中国之问、世界之问、人民之问、时代</w:t>
      </w:r>
      <w:r>
        <w:rPr>
          <w:rFonts w:hint="eastAsia" w:ascii="宋体" w:hAnsi="宋体" w:eastAsia="宋体" w:cs="宋体"/>
          <w:color w:val="231F20"/>
          <w:spacing w:val="2"/>
          <w:sz w:val="21"/>
          <w:szCs w:val="21"/>
        </w:rPr>
        <w:t>之问为学术己任，以彰显中国之路、中国之治、中国之理为思想追求。”</w:t>
      </w:r>
      <w:r>
        <w:rPr>
          <w:rStyle w:val="20"/>
          <w:rFonts w:hint="eastAsia" w:ascii="宋体" w:hAnsi="宋体" w:eastAsia="宋体" w:cs="宋体"/>
          <w:color w:val="231F20"/>
          <w:spacing w:val="2"/>
          <w:sz w:val="21"/>
          <w:szCs w:val="21"/>
        </w:rPr>
        <w:footnoteReference w:id="1029"/>
      </w:r>
    </w:p>
    <w:p w14:paraId="48CF34F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6"/>
          <w:sz w:val="21"/>
          <w:szCs w:val="21"/>
        </w:rPr>
        <w:t>为了贯彻习近平总书记关于构建中国特色社会主义政治经济学的重要讲话精神，</w:t>
      </w:r>
      <w:r>
        <w:rPr>
          <w:rFonts w:hint="eastAsia" w:ascii="宋体" w:hAnsi="宋体" w:eastAsia="宋体" w:cs="宋体"/>
          <w:color w:val="231F20"/>
          <w:spacing w:val="7"/>
          <w:sz w:val="21"/>
          <w:szCs w:val="21"/>
        </w:rPr>
        <w:t>贯彻2022年5月17日中共中央宣传部和教育部联合印发的《面向2035高校哲学社会科</w:t>
      </w:r>
      <w:r>
        <w:rPr>
          <w:rFonts w:hint="eastAsia" w:ascii="宋体" w:hAnsi="宋体" w:eastAsia="宋体" w:cs="宋体"/>
          <w:color w:val="231F20"/>
          <w:spacing w:val="3"/>
          <w:sz w:val="21"/>
          <w:szCs w:val="21"/>
        </w:rPr>
        <w:t>学高质量发展行动计划》，把体现“中国特色、中国风格、中国气派”的自主知识体系</w:t>
      </w:r>
      <w:r>
        <w:rPr>
          <w:rFonts w:hint="eastAsia" w:ascii="宋体" w:hAnsi="宋体" w:eastAsia="宋体" w:cs="宋体"/>
          <w:color w:val="231F20"/>
          <w:spacing w:val="11"/>
          <w:sz w:val="21"/>
          <w:szCs w:val="21"/>
        </w:rPr>
        <w:t>和学术研究成果展示给大家，我们把30多年来</w:t>
      </w:r>
      <w:r>
        <w:rPr>
          <w:rFonts w:hint="eastAsia" w:ascii="宋体" w:hAnsi="宋体" w:eastAsia="宋体" w:cs="宋体"/>
          <w:color w:val="231F20"/>
          <w:spacing w:val="10"/>
          <w:sz w:val="21"/>
          <w:szCs w:val="21"/>
        </w:rPr>
        <w:t>坚持和发展马克思主义政治经济学过程</w:t>
      </w:r>
      <w:r>
        <w:rPr>
          <w:rFonts w:hint="eastAsia" w:ascii="宋体" w:hAnsi="宋体" w:eastAsia="宋体" w:cs="宋体"/>
          <w:color w:val="231F20"/>
          <w:spacing w:val="9"/>
          <w:sz w:val="21"/>
          <w:szCs w:val="21"/>
        </w:rPr>
        <w:t>中的主要创新性研究成果概括和凝练为17个专题，并组织学术团队编写了《现代政治</w:t>
      </w:r>
      <w:r>
        <w:rPr>
          <w:rFonts w:hint="eastAsia" w:ascii="宋体" w:hAnsi="宋体" w:eastAsia="宋体" w:cs="宋体"/>
          <w:color w:val="231F20"/>
          <w:spacing w:val="8"/>
          <w:sz w:val="21"/>
          <w:szCs w:val="21"/>
        </w:rPr>
        <w:t>经济学研究》。这本教材可以说是一本呈现中国特色自主知识体系的</w:t>
      </w:r>
      <w:r>
        <w:rPr>
          <w:rFonts w:hint="eastAsia" w:ascii="宋体" w:hAnsi="宋体" w:eastAsia="宋体" w:cs="宋体"/>
          <w:color w:val="231F20"/>
          <w:spacing w:val="7"/>
          <w:sz w:val="21"/>
          <w:szCs w:val="21"/>
        </w:rPr>
        <w:t>现代马克思主义政治经济学著作。</w:t>
      </w:r>
    </w:p>
    <w:p w14:paraId="29B9141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68B4757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○谭：1994年初，您就在《21世纪：重建中国经</w:t>
      </w:r>
      <w:r>
        <w:rPr>
          <w:rFonts w:hint="eastAsia" w:ascii="宋体" w:hAnsi="宋体" w:eastAsia="宋体" w:cs="宋体"/>
          <w:color w:val="231F20"/>
          <w:spacing w:val="5"/>
          <w:sz w:val="21"/>
          <w:szCs w:val="21"/>
        </w:rPr>
        <w:t>济学》一文中对中国经济学的发</w:t>
      </w:r>
      <w:r>
        <w:rPr>
          <w:rFonts w:hint="eastAsia" w:ascii="宋体" w:hAnsi="宋体" w:eastAsia="宋体" w:cs="宋体"/>
          <w:color w:val="231F20"/>
          <w:spacing w:val="14"/>
          <w:sz w:val="21"/>
          <w:szCs w:val="21"/>
        </w:rPr>
        <w:t>展阶段和前景作了总体判断。</w:t>
      </w:r>
      <w:r>
        <w:rPr>
          <w:rStyle w:val="20"/>
          <w:rFonts w:hint="eastAsia" w:ascii="宋体" w:hAnsi="宋体" w:eastAsia="宋体" w:cs="宋体"/>
          <w:color w:val="231F20"/>
          <w:spacing w:val="14"/>
          <w:sz w:val="21"/>
          <w:szCs w:val="21"/>
        </w:rPr>
        <w:footnoteReference w:id="1030"/>
      </w:r>
      <w:r>
        <w:rPr>
          <w:rFonts w:hint="eastAsia" w:ascii="宋体" w:hAnsi="宋体" w:eastAsia="宋体" w:cs="宋体"/>
          <w:color w:val="231F20"/>
          <w:spacing w:val="14"/>
          <w:sz w:val="21"/>
          <w:szCs w:val="21"/>
        </w:rPr>
        <w:t>“中国经济学向何处去”一直是经济理论界的热门话</w:t>
      </w:r>
      <w:r>
        <w:rPr>
          <w:rFonts w:hint="eastAsia" w:ascii="宋体" w:hAnsi="宋体" w:eastAsia="宋体" w:cs="宋体"/>
          <w:color w:val="231F20"/>
          <w:spacing w:val="7"/>
          <w:sz w:val="21"/>
          <w:szCs w:val="21"/>
        </w:rPr>
        <w:t>题，这个话题延伸出如何推进中国经济学的“国际化”、如何推进“现代</w:t>
      </w:r>
      <w:r>
        <w:rPr>
          <w:rFonts w:hint="eastAsia" w:ascii="宋体" w:hAnsi="宋体" w:eastAsia="宋体" w:cs="宋体"/>
          <w:color w:val="231F20"/>
          <w:spacing w:val="6"/>
          <w:sz w:val="21"/>
          <w:szCs w:val="21"/>
        </w:rPr>
        <w:t>经济学的本土</w:t>
      </w:r>
      <w:r>
        <w:rPr>
          <w:rFonts w:hint="eastAsia" w:ascii="宋体" w:hAnsi="宋体" w:eastAsia="宋体" w:cs="宋体"/>
          <w:color w:val="231F20"/>
          <w:spacing w:val="5"/>
          <w:sz w:val="21"/>
          <w:szCs w:val="21"/>
        </w:rPr>
        <w:t>化”等新的问题。</w:t>
      </w:r>
    </w:p>
    <w:p w14:paraId="276EC8B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246A14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color w:val="231F20"/>
          <w:spacing w:val="13"/>
          <w:sz w:val="21"/>
          <w:szCs w:val="21"/>
        </w:rPr>
        <w:t>●程：改革开放以来，社会主义市场经济体制改革实践给中国经济学提出了新的</w:t>
      </w:r>
      <w:r>
        <w:rPr>
          <w:rFonts w:hint="eastAsia" w:ascii="宋体" w:hAnsi="宋体" w:eastAsia="宋体" w:cs="宋体"/>
          <w:color w:val="231F20"/>
          <w:spacing w:val="11"/>
          <w:sz w:val="21"/>
          <w:szCs w:val="21"/>
        </w:rPr>
        <w:t>挑战，原有的社会主义经济理论跟不上经济体制改革的需要，创新和发展马克思主义</w:t>
      </w:r>
      <w:r>
        <w:rPr>
          <w:rFonts w:hint="eastAsia" w:ascii="宋体" w:hAnsi="宋体" w:eastAsia="宋体" w:cs="宋体"/>
          <w:color w:val="231F20"/>
          <w:spacing w:val="10"/>
          <w:sz w:val="21"/>
          <w:szCs w:val="21"/>
        </w:rPr>
        <w:t>经济学显得尤为迫切。同时，随着西方经济学的引入及其地位的逐渐提升，也出现了</w:t>
      </w:r>
      <w:r>
        <w:rPr>
          <w:rFonts w:hint="eastAsia" w:ascii="宋体" w:hAnsi="宋体" w:eastAsia="宋体" w:cs="宋体"/>
          <w:color w:val="231F20"/>
          <w:spacing w:val="12"/>
          <w:sz w:val="21"/>
          <w:szCs w:val="21"/>
        </w:rPr>
        <w:t>各种各样的所谓创新。中国特色社会主义的性质决定了中国经济学的发展趋势绝不是如何与现代西方经济学接轨、使现代西方经济学“本土化”的问题，而应当是如何在</w:t>
      </w:r>
      <w:r>
        <w:rPr>
          <w:rFonts w:hint="eastAsia" w:ascii="宋体" w:hAnsi="宋体" w:eastAsia="宋体" w:cs="宋体"/>
          <w:color w:val="231F20"/>
          <w:spacing w:val="10"/>
          <w:sz w:val="21"/>
          <w:szCs w:val="21"/>
        </w:rPr>
        <w:t>唯物史观的指导下，推进中国经济学在科学轨道上实现现代化的问题。进一步说，也</w:t>
      </w:r>
      <w:r>
        <w:rPr>
          <w:rFonts w:hint="eastAsia" w:ascii="宋体" w:hAnsi="宋体" w:eastAsia="宋体" w:cs="宋体"/>
          <w:color w:val="231F20"/>
          <w:spacing w:val="14"/>
          <w:sz w:val="21"/>
          <w:szCs w:val="21"/>
        </w:rPr>
        <w:t>就是我国的经济学教学和研究如何适应现代社会主义市场经</w:t>
      </w:r>
      <w:r>
        <w:rPr>
          <w:rFonts w:hint="eastAsia" w:ascii="宋体" w:hAnsi="宋体" w:eastAsia="宋体" w:cs="宋体"/>
          <w:color w:val="231F20"/>
          <w:spacing w:val="13"/>
          <w:sz w:val="21"/>
          <w:szCs w:val="21"/>
        </w:rPr>
        <w:t>济的需要，实现马克思主</w:t>
      </w:r>
      <w:r>
        <w:rPr>
          <w:rFonts w:hint="eastAsia" w:ascii="宋体" w:hAnsi="宋体" w:eastAsia="宋体" w:cs="宋体"/>
          <w:color w:val="231F20"/>
          <w:spacing w:val="12"/>
          <w:sz w:val="21"/>
          <w:szCs w:val="21"/>
        </w:rPr>
        <w:t>义经济学在中国的现代化和具体化的问题。正是在这一背景下，由我领衔的“新马克</w:t>
      </w:r>
      <w:r>
        <w:rPr>
          <w:rFonts w:hint="eastAsia" w:ascii="宋体" w:hAnsi="宋体" w:eastAsia="宋体" w:cs="宋体"/>
          <w:color w:val="231F20"/>
          <w:spacing w:val="7"/>
          <w:sz w:val="21"/>
          <w:szCs w:val="21"/>
        </w:rPr>
        <w:t>思经济学综合学派”应运而生。</w:t>
      </w:r>
    </w:p>
    <w:p w14:paraId="2102A64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color w:val="231F20"/>
          <w:spacing w:val="11"/>
          <w:position w:val="2"/>
          <w:sz w:val="21"/>
          <w:szCs w:val="21"/>
        </w:rPr>
        <w:t>“新马克思经济学综合学派”即“创新马克思主义政治经济学”，</w:t>
      </w:r>
      <w:r>
        <w:rPr>
          <w:rFonts w:hint="eastAsia" w:ascii="宋体" w:hAnsi="宋体" w:eastAsia="宋体" w:cs="宋体"/>
          <w:color w:val="231F20"/>
          <w:spacing w:val="10"/>
          <w:position w:val="2"/>
          <w:sz w:val="21"/>
          <w:szCs w:val="21"/>
        </w:rPr>
        <w:t>是“新马克思主</w:t>
      </w:r>
      <w:r>
        <w:rPr>
          <w:rFonts w:hint="eastAsia" w:ascii="宋体" w:hAnsi="宋体" w:eastAsia="宋体" w:cs="宋体"/>
          <w:color w:val="231F20"/>
          <w:spacing w:val="7"/>
          <w:sz w:val="21"/>
          <w:szCs w:val="21"/>
        </w:rPr>
        <w:t>义综合学派”（简称“新马派”）学术体系中的经济学部分。它</w:t>
      </w:r>
      <w:r>
        <w:rPr>
          <w:rFonts w:hint="eastAsia" w:ascii="宋体" w:hAnsi="宋体" w:eastAsia="宋体" w:cs="宋体"/>
          <w:color w:val="231F20"/>
          <w:spacing w:val="6"/>
          <w:sz w:val="21"/>
          <w:szCs w:val="21"/>
        </w:rPr>
        <w:t>于20世纪90年代上半</w:t>
      </w:r>
      <w:r>
        <w:rPr>
          <w:rFonts w:hint="eastAsia" w:ascii="宋体" w:hAnsi="宋体" w:eastAsia="宋体" w:cs="宋体"/>
          <w:color w:val="231F20"/>
          <w:spacing w:val="13"/>
          <w:sz w:val="21"/>
          <w:szCs w:val="21"/>
        </w:rPr>
        <w:t>期发起于上海，由我牵头，经过与复旦大学张薰华、洪远朋以及同济大学顾钰民等学</w:t>
      </w:r>
      <w:r>
        <w:rPr>
          <w:rFonts w:hint="eastAsia" w:ascii="宋体" w:hAnsi="宋体" w:eastAsia="宋体" w:cs="宋体"/>
          <w:color w:val="231F20"/>
          <w:spacing w:val="9"/>
          <w:sz w:val="21"/>
          <w:szCs w:val="21"/>
        </w:rPr>
        <w:t>者的共同商讨，我们决定创建一个符合国际规范的经济学学派，并于1995年11月创立</w:t>
      </w:r>
      <w:r>
        <w:rPr>
          <w:rFonts w:hint="eastAsia" w:ascii="宋体" w:hAnsi="宋体" w:eastAsia="宋体" w:cs="宋体"/>
          <w:color w:val="231F20"/>
          <w:spacing w:val="6"/>
          <w:sz w:val="21"/>
          <w:szCs w:val="21"/>
        </w:rPr>
        <w:t>“中国海派经济论坛”。2001年，上海财经大学海派经济学研究中心（现为海派经济学</w:t>
      </w:r>
      <w:r>
        <w:rPr>
          <w:rFonts w:hint="eastAsia" w:ascii="宋体" w:hAnsi="宋体" w:eastAsia="宋体" w:cs="宋体"/>
          <w:color w:val="231F20"/>
          <w:spacing w:val="10"/>
          <w:sz w:val="21"/>
          <w:szCs w:val="21"/>
        </w:rPr>
        <w:t>研究院）作为校级重点研究基地正式成立。2003年，知名经济</w:t>
      </w:r>
      <w:r>
        <w:rPr>
          <w:rFonts w:hint="eastAsia" w:ascii="宋体" w:hAnsi="宋体" w:eastAsia="宋体" w:cs="宋体"/>
          <w:color w:val="231F20"/>
          <w:spacing w:val="9"/>
          <w:sz w:val="21"/>
          <w:szCs w:val="21"/>
        </w:rPr>
        <w:t>学家、中共江苏省委党</w:t>
      </w:r>
      <w:r>
        <w:rPr>
          <w:rFonts w:hint="eastAsia" w:ascii="宋体" w:hAnsi="宋体" w:eastAsia="宋体" w:cs="宋体"/>
          <w:color w:val="231F20"/>
          <w:spacing w:val="17"/>
          <w:sz w:val="21"/>
          <w:szCs w:val="21"/>
        </w:rPr>
        <w:t>校李炳炎教授和南京财经大学何干强教授成立了“海派经</w:t>
      </w:r>
      <w:r>
        <w:rPr>
          <w:rFonts w:hint="eastAsia" w:ascii="宋体" w:hAnsi="宋体" w:eastAsia="宋体" w:cs="宋体"/>
          <w:color w:val="231F20"/>
          <w:spacing w:val="16"/>
          <w:sz w:val="21"/>
          <w:szCs w:val="21"/>
        </w:rPr>
        <w:t>济学南京研究所”。近几年</w:t>
      </w:r>
      <w:r>
        <w:rPr>
          <w:rFonts w:hint="eastAsia" w:ascii="宋体" w:hAnsi="宋体" w:eastAsia="宋体" w:cs="宋体"/>
          <w:color w:val="231F20"/>
          <w:spacing w:val="10"/>
          <w:sz w:val="21"/>
          <w:szCs w:val="21"/>
        </w:rPr>
        <w:t>来，我们先后在广西民族大学成立了“新马克思经济学综合学派研究中心”，在上海外</w:t>
      </w:r>
      <w:r>
        <w:rPr>
          <w:rFonts w:hint="eastAsia" w:ascii="宋体" w:hAnsi="宋体" w:eastAsia="宋体" w:cs="宋体"/>
          <w:color w:val="231F20"/>
          <w:spacing w:val="16"/>
          <w:sz w:val="21"/>
          <w:szCs w:val="21"/>
        </w:rPr>
        <w:t>国语大学、上海海事大学、西北工业大学、延安大学、东莞理工学院等高校成立了</w:t>
      </w:r>
      <w:r>
        <w:rPr>
          <w:rFonts w:hint="eastAsia" w:ascii="宋体" w:hAnsi="宋体" w:eastAsia="宋体" w:cs="宋体"/>
          <w:color w:val="231F20"/>
          <w:spacing w:val="8"/>
          <w:sz w:val="21"/>
          <w:szCs w:val="21"/>
        </w:rPr>
        <w:t>“创新马克思主义研究中心”。</w:t>
      </w:r>
    </w:p>
    <w:p w14:paraId="70B5137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这些年来，“新马派”的研究基地和研究媒体不</w:t>
      </w:r>
      <w:r>
        <w:rPr>
          <w:rFonts w:hint="eastAsia" w:ascii="宋体" w:hAnsi="宋体" w:eastAsia="宋体" w:cs="宋体"/>
          <w:color w:val="231F20"/>
          <w:spacing w:val="5"/>
          <w:sz w:val="21"/>
          <w:szCs w:val="21"/>
        </w:rPr>
        <w:t>断扩大，研究队伍不断壮大，在学</w:t>
      </w:r>
      <w:r>
        <w:rPr>
          <w:rFonts w:hint="eastAsia" w:ascii="宋体" w:hAnsi="宋体" w:eastAsia="宋体" w:cs="宋体"/>
          <w:color w:val="231F20"/>
          <w:spacing w:val="9"/>
          <w:sz w:val="21"/>
          <w:szCs w:val="21"/>
        </w:rPr>
        <w:t>术研究、理论宣传和政策建议上守正创新，在经济学理论和方法上形成了自己独特的、</w:t>
      </w:r>
      <w:r>
        <w:rPr>
          <w:rFonts w:hint="eastAsia" w:ascii="宋体" w:hAnsi="宋体" w:eastAsia="宋体" w:cs="宋体"/>
          <w:color w:val="231F20"/>
          <w:spacing w:val="14"/>
          <w:sz w:val="21"/>
          <w:szCs w:val="21"/>
        </w:rPr>
        <w:t>成熟的、理论化和系统化的学说体系，提出了一系列原创性的学术观点和政策主张，</w:t>
      </w:r>
      <w:r>
        <w:rPr>
          <w:rFonts w:hint="eastAsia" w:ascii="宋体" w:hAnsi="宋体" w:eastAsia="宋体" w:cs="宋体"/>
          <w:color w:val="231F20"/>
          <w:spacing w:val="8"/>
          <w:sz w:val="21"/>
          <w:szCs w:val="21"/>
        </w:rPr>
        <w:t>成为中外经济学研究领域中一个具有较大影响力的学术派别。“新马派”坚持马克思主</w:t>
      </w:r>
      <w:r>
        <w:rPr>
          <w:rFonts w:hint="eastAsia" w:ascii="宋体" w:hAnsi="宋体" w:eastAsia="宋体" w:cs="宋体"/>
          <w:color w:val="231F20"/>
          <w:spacing w:val="7"/>
          <w:sz w:val="21"/>
          <w:szCs w:val="21"/>
        </w:rPr>
        <w:t>义政治经济学的基本立场、观点和方法，综合古今中外的优秀思想，包括综合、借鉴、</w:t>
      </w:r>
      <w:r>
        <w:rPr>
          <w:rFonts w:hint="eastAsia" w:ascii="宋体" w:hAnsi="宋体" w:eastAsia="宋体" w:cs="宋体"/>
          <w:color w:val="231F20"/>
          <w:spacing w:val="11"/>
          <w:sz w:val="21"/>
          <w:szCs w:val="21"/>
        </w:rPr>
        <w:t>运用各种社会科学和自然科学的方法，在此基础上综合创新，构建既坚持和发展马克思主义经济学，又超越西方经济学，体现</w:t>
      </w:r>
      <w:r>
        <w:rPr>
          <w:rFonts w:hint="eastAsia" w:ascii="宋体" w:hAnsi="宋体" w:eastAsia="宋体" w:cs="宋体"/>
          <w:color w:val="231F20"/>
          <w:spacing w:val="10"/>
          <w:sz w:val="21"/>
          <w:szCs w:val="21"/>
        </w:rPr>
        <w:t>中国特色政治经济学的新范式，学术风格是</w:t>
      </w:r>
      <w:r>
        <w:rPr>
          <w:rFonts w:hint="eastAsia" w:ascii="宋体" w:hAnsi="宋体" w:eastAsia="宋体" w:cs="宋体"/>
          <w:color w:val="231F20"/>
          <w:spacing w:val="7"/>
          <w:sz w:val="21"/>
          <w:szCs w:val="21"/>
        </w:rPr>
        <w:t>海纳百川、推陈出新、探求真理，基本宗旨是“马学为体、西学为用、国学为根、世</w:t>
      </w:r>
      <w:r>
        <w:rPr>
          <w:rFonts w:hint="eastAsia" w:ascii="宋体" w:hAnsi="宋体" w:eastAsia="宋体" w:cs="宋体"/>
          <w:color w:val="231F20"/>
          <w:spacing w:val="3"/>
          <w:sz w:val="21"/>
          <w:szCs w:val="21"/>
        </w:rPr>
        <w:t>情为鉴、国情为据、党情为要、综合创新”的方针。</w:t>
      </w:r>
    </w:p>
    <w:p w14:paraId="5E010B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088F10B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rPr>
          <w:rFonts w:hint="eastAsia" w:ascii="宋体" w:hAnsi="宋体" w:eastAsia="宋体" w:cs="宋体"/>
          <w:sz w:val="21"/>
          <w:szCs w:val="21"/>
        </w:rPr>
      </w:pPr>
      <w:r>
        <w:rPr>
          <w:rFonts w:hint="eastAsia" w:ascii="宋体" w:hAnsi="宋体" w:eastAsia="宋体" w:cs="宋体"/>
          <w:color w:val="231F20"/>
          <w:spacing w:val="9"/>
          <w:sz w:val="21"/>
          <w:szCs w:val="21"/>
        </w:rPr>
        <w:t>○谭：能否请您概括一下《现代政治经济学研究》一书的主要内容和特色？</w:t>
      </w:r>
    </w:p>
    <w:p w14:paraId="4EA6A47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57176F9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color w:val="231F20"/>
          <w:spacing w:val="13"/>
          <w:sz w:val="21"/>
          <w:szCs w:val="21"/>
        </w:rPr>
        <w:t>●程：这本教材的17个专题，主要由五个部分组成。第一部分（第一讲至第四</w:t>
      </w:r>
      <w:r>
        <w:rPr>
          <w:rFonts w:hint="eastAsia" w:ascii="宋体" w:hAnsi="宋体" w:eastAsia="宋体" w:cs="宋体"/>
          <w:color w:val="231F20"/>
          <w:spacing w:val="11"/>
          <w:sz w:val="21"/>
          <w:szCs w:val="21"/>
        </w:rPr>
        <w:t>讲</w:t>
      </w:r>
      <w:r>
        <w:rPr>
          <w:rFonts w:hint="eastAsia" w:ascii="宋体" w:hAnsi="宋体" w:eastAsia="宋体" w:cs="宋体"/>
          <w:color w:val="231F20"/>
          <w:spacing w:val="-58"/>
          <w:sz w:val="21"/>
          <w:szCs w:val="21"/>
        </w:rPr>
        <w:t>），</w:t>
      </w:r>
      <w:r>
        <w:rPr>
          <w:rFonts w:hint="eastAsia" w:ascii="宋体" w:hAnsi="宋体" w:eastAsia="宋体" w:cs="宋体"/>
          <w:color w:val="231F20"/>
          <w:spacing w:val="11"/>
          <w:sz w:val="21"/>
          <w:szCs w:val="21"/>
        </w:rPr>
        <w:t>是“新马派”的理论基础，分别阐述“新马派”的四大理论假设，即</w:t>
      </w:r>
      <w:r>
        <w:rPr>
          <w:rFonts w:hint="eastAsia" w:ascii="宋体" w:hAnsi="宋体" w:eastAsia="宋体" w:cs="宋体"/>
          <w:color w:val="231F20"/>
          <w:spacing w:val="10"/>
          <w:sz w:val="21"/>
          <w:szCs w:val="21"/>
        </w:rPr>
        <w:t>“新的活劳</w:t>
      </w:r>
      <w:r>
        <w:rPr>
          <w:rFonts w:hint="eastAsia" w:ascii="宋体" w:hAnsi="宋体" w:eastAsia="宋体" w:cs="宋体"/>
          <w:color w:val="231F20"/>
          <w:spacing w:val="14"/>
          <w:sz w:val="21"/>
          <w:szCs w:val="21"/>
        </w:rPr>
        <w:t>动价值一元论”“资源需要双约束论”“利己利他经</w:t>
      </w:r>
      <w:r>
        <w:rPr>
          <w:rFonts w:hint="eastAsia" w:ascii="宋体" w:hAnsi="宋体" w:eastAsia="宋体" w:cs="宋体"/>
          <w:color w:val="231F20"/>
          <w:spacing w:val="13"/>
          <w:sz w:val="21"/>
          <w:szCs w:val="21"/>
        </w:rPr>
        <w:t>济人论”和“公平效率同向变动</w:t>
      </w:r>
      <w:r>
        <w:rPr>
          <w:rFonts w:hint="eastAsia" w:ascii="宋体" w:hAnsi="宋体" w:eastAsia="宋体" w:cs="宋体"/>
          <w:color w:val="231F20"/>
          <w:spacing w:val="11"/>
          <w:sz w:val="21"/>
          <w:szCs w:val="21"/>
        </w:rPr>
        <w:t>论”；第二部分（第五讲至第八讲</w:t>
      </w:r>
      <w:r>
        <w:rPr>
          <w:rFonts w:hint="eastAsia" w:ascii="宋体" w:hAnsi="宋体" w:eastAsia="宋体" w:cs="宋体"/>
          <w:color w:val="231F20"/>
          <w:spacing w:val="-57"/>
          <w:sz w:val="21"/>
          <w:szCs w:val="21"/>
        </w:rPr>
        <w:t>），</w:t>
      </w:r>
      <w:r>
        <w:rPr>
          <w:rFonts w:hint="eastAsia" w:ascii="宋体" w:hAnsi="宋体" w:eastAsia="宋体" w:cs="宋体"/>
          <w:color w:val="231F20"/>
          <w:spacing w:val="11"/>
          <w:sz w:val="21"/>
          <w:szCs w:val="21"/>
        </w:rPr>
        <w:t>阐述“新马派”对中国特色社会主义基本</w:t>
      </w:r>
      <w:r>
        <w:rPr>
          <w:rFonts w:hint="eastAsia" w:ascii="宋体" w:hAnsi="宋体" w:eastAsia="宋体" w:cs="宋体"/>
          <w:color w:val="231F20"/>
          <w:spacing w:val="10"/>
          <w:sz w:val="21"/>
          <w:szCs w:val="21"/>
        </w:rPr>
        <w:t>经济制</w:t>
      </w:r>
      <w:r>
        <w:rPr>
          <w:rFonts w:hint="eastAsia" w:ascii="宋体" w:hAnsi="宋体" w:eastAsia="宋体" w:cs="宋体"/>
          <w:color w:val="231F20"/>
          <w:spacing w:val="9"/>
          <w:sz w:val="21"/>
          <w:szCs w:val="21"/>
        </w:rPr>
        <w:t>度的学术升华，包括“公有制高绩效论”“</w:t>
      </w:r>
      <w:r>
        <w:rPr>
          <w:rFonts w:hint="eastAsia" w:ascii="宋体" w:hAnsi="宋体" w:eastAsia="宋体" w:cs="宋体"/>
          <w:color w:val="231F20"/>
          <w:spacing w:val="8"/>
          <w:sz w:val="21"/>
          <w:szCs w:val="21"/>
        </w:rPr>
        <w:t>五种分配方式论”“市场国家功能性结合论”</w:t>
      </w:r>
      <w:r>
        <w:rPr>
          <w:rFonts w:hint="eastAsia" w:ascii="宋体" w:hAnsi="宋体" w:eastAsia="宋体" w:cs="宋体"/>
          <w:color w:val="231F20"/>
          <w:spacing w:val="5"/>
          <w:sz w:val="21"/>
          <w:szCs w:val="21"/>
        </w:rPr>
        <w:t>“自力主导型对等开放论”；第三部分（第九讲至第十三讲</w:t>
      </w:r>
      <w:r>
        <w:rPr>
          <w:rFonts w:hint="eastAsia" w:ascii="宋体" w:hAnsi="宋体" w:eastAsia="宋体" w:cs="宋体"/>
          <w:color w:val="231F20"/>
          <w:spacing w:val="-56"/>
          <w:sz w:val="21"/>
          <w:szCs w:val="21"/>
        </w:rPr>
        <w:t>），</w:t>
      </w:r>
      <w:r>
        <w:rPr>
          <w:rFonts w:hint="eastAsia" w:ascii="宋体" w:hAnsi="宋体" w:eastAsia="宋体" w:cs="宋体"/>
          <w:color w:val="231F20"/>
          <w:spacing w:val="5"/>
          <w:sz w:val="21"/>
          <w:szCs w:val="21"/>
        </w:rPr>
        <w:t>是“新马派”对于经济发</w:t>
      </w:r>
      <w:r>
        <w:rPr>
          <w:rFonts w:hint="eastAsia" w:ascii="宋体" w:hAnsi="宋体" w:eastAsia="宋体" w:cs="宋体"/>
          <w:color w:val="231F20"/>
          <w:spacing w:val="15"/>
          <w:sz w:val="21"/>
          <w:szCs w:val="21"/>
        </w:rPr>
        <w:t>展问题的思考，围绕中国特色社会主义经济发展中的经济发展指标体系、现代化建设</w:t>
      </w:r>
      <w:r>
        <w:rPr>
          <w:rFonts w:hint="eastAsia" w:ascii="宋体" w:hAnsi="宋体" w:eastAsia="宋体" w:cs="宋体"/>
          <w:color w:val="231F20"/>
          <w:spacing w:val="13"/>
          <w:sz w:val="21"/>
          <w:szCs w:val="21"/>
        </w:rPr>
        <w:t>的核心、分工的深化、文化与经济的关系和持续富强等问题，包括“国</w:t>
      </w:r>
      <w:r>
        <w:rPr>
          <w:rFonts w:hint="eastAsia" w:ascii="宋体" w:hAnsi="宋体" w:eastAsia="宋体" w:cs="宋体"/>
          <w:color w:val="231F20"/>
          <w:spacing w:val="12"/>
          <w:sz w:val="21"/>
          <w:szCs w:val="21"/>
        </w:rPr>
        <w:t>民生产福利总</w:t>
      </w:r>
      <w:r>
        <w:rPr>
          <w:rFonts w:hint="eastAsia" w:ascii="宋体" w:hAnsi="宋体" w:eastAsia="宋体" w:cs="宋体"/>
          <w:color w:val="231F20"/>
          <w:spacing w:val="3"/>
          <w:sz w:val="21"/>
          <w:szCs w:val="21"/>
        </w:rPr>
        <w:t>值论与幸福指数论”“自主知识产权优势论</w:t>
      </w:r>
      <w:r>
        <w:rPr>
          <w:rFonts w:hint="eastAsia" w:ascii="宋体" w:hAnsi="宋体" w:eastAsia="宋体" w:cs="宋体"/>
          <w:color w:val="231F20"/>
          <w:spacing w:val="2"/>
          <w:sz w:val="21"/>
          <w:szCs w:val="21"/>
        </w:rPr>
        <w:t>”“分工深化论”“大文化经济论”“持续富</w:t>
      </w:r>
      <w:r>
        <w:rPr>
          <w:rFonts w:hint="eastAsia" w:ascii="宋体" w:hAnsi="宋体" w:eastAsia="宋体" w:cs="宋体"/>
          <w:color w:val="231F20"/>
          <w:spacing w:val="12"/>
          <w:sz w:val="21"/>
          <w:szCs w:val="21"/>
        </w:rPr>
        <w:t>强论”；第四部分（第十四讲和第十五讲</w:t>
      </w:r>
      <w:r>
        <w:rPr>
          <w:rFonts w:hint="eastAsia" w:ascii="宋体" w:hAnsi="宋体" w:eastAsia="宋体" w:cs="宋体"/>
          <w:color w:val="231F20"/>
          <w:spacing w:val="-54"/>
          <w:sz w:val="21"/>
          <w:szCs w:val="21"/>
        </w:rPr>
        <w:t>），</w:t>
      </w:r>
      <w:r>
        <w:rPr>
          <w:rFonts w:hint="eastAsia" w:ascii="宋体" w:hAnsi="宋体" w:eastAsia="宋体" w:cs="宋体"/>
          <w:color w:val="231F20"/>
          <w:spacing w:val="12"/>
          <w:sz w:val="21"/>
          <w:szCs w:val="21"/>
        </w:rPr>
        <w:t>以全球视野发展了马克思主义国际经济理</w:t>
      </w:r>
      <w:r>
        <w:rPr>
          <w:rFonts w:hint="eastAsia" w:ascii="宋体" w:hAnsi="宋体" w:eastAsia="宋体" w:cs="宋体"/>
          <w:color w:val="231F20"/>
          <w:spacing w:val="16"/>
          <w:sz w:val="21"/>
          <w:szCs w:val="21"/>
        </w:rPr>
        <w:t>论，分别阐述了“中国经济‘准中心’论”和经济全球化新阶段帝国主义的新特征，</w:t>
      </w:r>
      <w:r>
        <w:rPr>
          <w:rFonts w:hint="eastAsia" w:ascii="宋体" w:hAnsi="宋体" w:eastAsia="宋体" w:cs="宋体"/>
          <w:color w:val="231F20"/>
          <w:spacing w:val="11"/>
          <w:sz w:val="21"/>
          <w:szCs w:val="21"/>
        </w:rPr>
        <w:t>即“新帝国主义论”；第五部分（第十六讲和第十七讲</w:t>
      </w:r>
      <w:r>
        <w:rPr>
          <w:rFonts w:hint="eastAsia" w:ascii="宋体" w:hAnsi="宋体" w:eastAsia="宋体" w:cs="宋体"/>
          <w:color w:val="231F20"/>
          <w:spacing w:val="-57"/>
          <w:sz w:val="21"/>
          <w:szCs w:val="21"/>
        </w:rPr>
        <w:t>），</w:t>
      </w:r>
      <w:r>
        <w:rPr>
          <w:rFonts w:hint="eastAsia" w:ascii="宋体" w:hAnsi="宋体" w:eastAsia="宋体" w:cs="宋体"/>
          <w:color w:val="231F20"/>
          <w:spacing w:val="11"/>
          <w:sz w:val="21"/>
          <w:szCs w:val="21"/>
        </w:rPr>
        <w:t>阐述“新马派”的方</w:t>
      </w:r>
      <w:r>
        <w:rPr>
          <w:rFonts w:hint="eastAsia" w:ascii="宋体" w:hAnsi="宋体" w:eastAsia="宋体" w:cs="宋体"/>
          <w:color w:val="231F20"/>
          <w:spacing w:val="10"/>
          <w:sz w:val="21"/>
          <w:szCs w:val="21"/>
        </w:rPr>
        <w:t>法和体</w:t>
      </w:r>
      <w:r>
        <w:rPr>
          <w:rFonts w:hint="eastAsia" w:ascii="宋体" w:hAnsi="宋体" w:eastAsia="宋体" w:cs="宋体"/>
          <w:color w:val="231F20"/>
          <w:spacing w:val="11"/>
          <w:sz w:val="21"/>
          <w:szCs w:val="21"/>
        </w:rPr>
        <w:t>系，包括“综合创新论”和“五过程法与五观论”。</w:t>
      </w:r>
    </w:p>
    <w:p w14:paraId="79FF265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传统政治经济学教材相比，这本教材凸显三大特征，即创新</w:t>
      </w:r>
      <w:r>
        <w:rPr>
          <w:rFonts w:hint="eastAsia" w:ascii="宋体" w:hAnsi="宋体" w:eastAsia="宋体" w:cs="宋体"/>
          <w:color w:val="231F20"/>
          <w:spacing w:val="10"/>
          <w:sz w:val="21"/>
          <w:szCs w:val="21"/>
        </w:rPr>
        <w:t>性、学术性和系统性。首先，在编写这本教材的过程中，为了体现“新马派”的学术创新方针，我们对</w:t>
      </w:r>
      <w:r>
        <w:rPr>
          <w:rFonts w:hint="eastAsia" w:ascii="宋体" w:hAnsi="宋体" w:eastAsia="宋体" w:cs="宋体"/>
          <w:color w:val="231F20"/>
          <w:spacing w:val="11"/>
          <w:sz w:val="21"/>
          <w:szCs w:val="21"/>
        </w:rPr>
        <w:t>每一章内容都做了统一安排：先阐述马克思主义经典作家和领袖的思想，然后梳理中</w:t>
      </w:r>
      <w:r>
        <w:rPr>
          <w:rFonts w:hint="eastAsia" w:ascii="宋体" w:hAnsi="宋体" w:eastAsia="宋体" w:cs="宋体"/>
          <w:color w:val="231F20"/>
          <w:spacing w:val="10"/>
          <w:sz w:val="21"/>
          <w:szCs w:val="21"/>
        </w:rPr>
        <w:t>外学界的观点，最后阐述“新马派”的反思与</w:t>
      </w:r>
      <w:r>
        <w:rPr>
          <w:rFonts w:hint="eastAsia" w:ascii="宋体" w:hAnsi="宋体" w:eastAsia="宋体" w:cs="宋体"/>
          <w:color w:val="231F20"/>
          <w:spacing w:val="9"/>
          <w:sz w:val="21"/>
          <w:szCs w:val="21"/>
        </w:rPr>
        <w:t>创新。这样安排内容，充分体现了其观</w:t>
      </w:r>
      <w:r>
        <w:rPr>
          <w:rFonts w:hint="eastAsia" w:ascii="宋体" w:hAnsi="宋体" w:eastAsia="宋体" w:cs="宋体"/>
          <w:color w:val="231F20"/>
          <w:spacing w:val="11"/>
          <w:sz w:val="21"/>
          <w:szCs w:val="21"/>
        </w:rPr>
        <w:t>点既是在坚持马克思主义基本立场、观点、方法基础上的创新，又是在对中外学界观</w:t>
      </w:r>
      <w:r>
        <w:rPr>
          <w:rFonts w:hint="eastAsia" w:ascii="宋体" w:hAnsi="宋体" w:eastAsia="宋体" w:cs="宋体"/>
          <w:color w:val="231F20"/>
          <w:spacing w:val="12"/>
          <w:sz w:val="21"/>
          <w:szCs w:val="21"/>
        </w:rPr>
        <w:t>点进行吸收和反思基础上的创新；既有对马克思政治经济学理论的发展和创新，也有对西方经济学理论和当前错误观点的批判。其次，传统的政治经</w:t>
      </w:r>
      <w:r>
        <w:rPr>
          <w:rFonts w:hint="eastAsia" w:ascii="宋体" w:hAnsi="宋体" w:eastAsia="宋体" w:cs="宋体"/>
          <w:color w:val="231F20"/>
          <w:spacing w:val="11"/>
          <w:sz w:val="21"/>
          <w:szCs w:val="21"/>
        </w:rPr>
        <w:t>济学教材以基础知识</w:t>
      </w:r>
      <w:r>
        <w:rPr>
          <w:rFonts w:hint="eastAsia" w:ascii="宋体" w:hAnsi="宋体" w:eastAsia="宋体" w:cs="宋体"/>
          <w:color w:val="231F20"/>
          <w:spacing w:val="13"/>
          <w:sz w:val="21"/>
          <w:szCs w:val="21"/>
        </w:rPr>
        <w:t>为主，而这本教材则是在基础知识上的提升。无论是马克思主义经典</w:t>
      </w:r>
      <w:r>
        <w:rPr>
          <w:rFonts w:hint="eastAsia" w:ascii="宋体" w:hAnsi="宋体" w:eastAsia="宋体" w:cs="宋体"/>
          <w:color w:val="231F20"/>
          <w:spacing w:val="12"/>
          <w:sz w:val="21"/>
          <w:szCs w:val="21"/>
        </w:rPr>
        <w:t>作家和领袖的思</w:t>
      </w:r>
      <w:r>
        <w:rPr>
          <w:rFonts w:hint="eastAsia" w:ascii="宋体" w:hAnsi="宋体" w:eastAsia="宋体" w:cs="宋体"/>
          <w:color w:val="231F20"/>
          <w:spacing w:val="10"/>
          <w:sz w:val="21"/>
          <w:szCs w:val="21"/>
        </w:rPr>
        <w:t>想，还是中外学界的观点，都是对已有学术观点的</w:t>
      </w:r>
      <w:r>
        <w:rPr>
          <w:rFonts w:hint="eastAsia" w:ascii="宋体" w:hAnsi="宋体" w:eastAsia="宋体" w:cs="宋体"/>
          <w:color w:val="231F20"/>
          <w:spacing w:val="9"/>
          <w:sz w:val="21"/>
          <w:szCs w:val="21"/>
        </w:rPr>
        <w:t>梳理。而最后一部分“新马派的反</w:t>
      </w:r>
      <w:r>
        <w:rPr>
          <w:rFonts w:hint="eastAsia" w:ascii="宋体" w:hAnsi="宋体" w:eastAsia="宋体" w:cs="宋体"/>
          <w:color w:val="231F20"/>
          <w:spacing w:val="7"/>
          <w:sz w:val="21"/>
          <w:szCs w:val="21"/>
        </w:rPr>
        <w:t>思与创新”，内容总体上体现为学术观点的推陈出新。再次，本教材</w:t>
      </w:r>
      <w:r>
        <w:rPr>
          <w:rFonts w:hint="eastAsia" w:ascii="宋体" w:hAnsi="宋体" w:eastAsia="宋体" w:cs="宋体"/>
          <w:color w:val="231F20"/>
          <w:spacing w:val="6"/>
          <w:sz w:val="21"/>
          <w:szCs w:val="21"/>
        </w:rPr>
        <w:t>对每一个问题的学</w:t>
      </w:r>
      <w:r>
        <w:rPr>
          <w:rFonts w:hint="eastAsia" w:ascii="宋体" w:hAnsi="宋体" w:eastAsia="宋体" w:cs="宋体"/>
          <w:color w:val="231F20"/>
          <w:spacing w:val="13"/>
          <w:sz w:val="21"/>
          <w:szCs w:val="21"/>
        </w:rPr>
        <w:t>术观点的阐述都力争做到系统化，即系统地梳理马克思主义经典作家和领袖以及中外</w:t>
      </w:r>
      <w:r>
        <w:rPr>
          <w:rFonts w:hint="eastAsia" w:ascii="宋体" w:hAnsi="宋体" w:eastAsia="宋体" w:cs="宋体"/>
          <w:color w:val="231F20"/>
          <w:spacing w:val="10"/>
          <w:sz w:val="21"/>
          <w:szCs w:val="21"/>
        </w:rPr>
        <w:t>学界的观点，在此基础上阐述“新马派”的创新观点，使每一个问题所涉及的学术观</w:t>
      </w:r>
      <w:r>
        <w:rPr>
          <w:rFonts w:hint="eastAsia" w:ascii="宋体" w:hAnsi="宋体" w:eastAsia="宋体" w:cs="宋体"/>
          <w:color w:val="231F20"/>
          <w:spacing w:val="14"/>
          <w:sz w:val="21"/>
          <w:szCs w:val="21"/>
        </w:rPr>
        <w:t>点尽可能全面地展示给读者，为广大青年学子和从事政</w:t>
      </w:r>
      <w:r>
        <w:rPr>
          <w:rFonts w:hint="eastAsia" w:ascii="宋体" w:hAnsi="宋体" w:eastAsia="宋体" w:cs="宋体"/>
          <w:color w:val="231F20"/>
          <w:spacing w:val="13"/>
          <w:sz w:val="21"/>
          <w:szCs w:val="21"/>
        </w:rPr>
        <w:t>治经济学研究的同行开展和进</w:t>
      </w:r>
      <w:r>
        <w:rPr>
          <w:rFonts w:hint="eastAsia" w:ascii="宋体" w:hAnsi="宋体" w:eastAsia="宋体" w:cs="宋体"/>
          <w:color w:val="231F20"/>
          <w:spacing w:val="8"/>
          <w:sz w:val="21"/>
          <w:szCs w:val="21"/>
        </w:rPr>
        <w:t>一步研究筑好坚实基础。</w:t>
      </w:r>
    </w:p>
    <w:p w14:paraId="0B50166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17F9BA9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color w:val="231F20"/>
          <w:spacing w:val="12"/>
          <w:sz w:val="21"/>
          <w:szCs w:val="21"/>
        </w:rPr>
        <w:t>○谭：要坚持和发扬学术民主，不同学者、不同风格学派要如何相互对话</w:t>
      </w:r>
      <w:r>
        <w:rPr>
          <w:rFonts w:hint="eastAsia" w:ascii="宋体" w:hAnsi="宋体" w:eastAsia="宋体" w:cs="宋体"/>
          <w:color w:val="231F20"/>
          <w:spacing w:val="11"/>
          <w:sz w:val="21"/>
          <w:szCs w:val="21"/>
        </w:rPr>
        <w:t>、展开</w:t>
      </w:r>
      <w:r>
        <w:rPr>
          <w:rFonts w:hint="eastAsia" w:ascii="宋体" w:hAnsi="宋体" w:eastAsia="宋体" w:cs="宋体"/>
          <w:color w:val="231F20"/>
          <w:spacing w:val="4"/>
          <w:sz w:val="21"/>
          <w:szCs w:val="21"/>
        </w:rPr>
        <w:t>平等讨论？</w:t>
      </w:r>
    </w:p>
    <w:p w14:paraId="490EDF0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598FFFC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color w:val="231F20"/>
          <w:spacing w:val="12"/>
          <w:sz w:val="21"/>
          <w:szCs w:val="21"/>
        </w:rPr>
        <w:t>●程：学术流派是学科成熟与学术繁荣的象征，在构建中国自主知识体系、加快构建中国特色哲学社会科学，尤其在构建学科体系、学术体系、话语体系的过程中，具有最为突出的原创学术理论推动力。不同风格学派相互切磋，</w:t>
      </w:r>
      <w:r>
        <w:rPr>
          <w:rFonts w:hint="eastAsia" w:ascii="宋体" w:hAnsi="宋体" w:eastAsia="宋体" w:cs="宋体"/>
          <w:color w:val="231F20"/>
          <w:spacing w:val="11"/>
          <w:sz w:val="21"/>
          <w:szCs w:val="21"/>
        </w:rPr>
        <w:t>有益于构建不同学派</w:t>
      </w:r>
      <w:r>
        <w:rPr>
          <w:rFonts w:hint="eastAsia" w:ascii="宋体" w:hAnsi="宋体" w:eastAsia="宋体" w:cs="宋体"/>
          <w:color w:val="231F20"/>
          <w:spacing w:val="7"/>
          <w:sz w:val="21"/>
          <w:szCs w:val="21"/>
        </w:rPr>
        <w:t>的中国自主知识体系，这是多元创新和学术繁荣的象征。</w:t>
      </w:r>
    </w:p>
    <w:p w14:paraId="64F6194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在中外学术思想发展史上，学派是一种常见的学术现象，分为师承性学派、地域</w:t>
      </w:r>
      <w:r>
        <w:rPr>
          <w:rFonts w:hint="eastAsia" w:ascii="宋体" w:hAnsi="宋体" w:eastAsia="宋体" w:cs="宋体"/>
          <w:color w:val="231F20"/>
          <w:spacing w:val="4"/>
          <w:sz w:val="21"/>
          <w:szCs w:val="21"/>
        </w:rPr>
        <w:t>性学派（包括院校性学派）和问题性学派。春秋战国时期，儒家、墨家、法家、道家、</w:t>
      </w:r>
      <w:r>
        <w:rPr>
          <w:rFonts w:hint="eastAsia" w:ascii="宋体" w:hAnsi="宋体" w:eastAsia="宋体" w:cs="宋体"/>
          <w:color w:val="231F20"/>
          <w:spacing w:val="11"/>
          <w:sz w:val="21"/>
          <w:szCs w:val="21"/>
        </w:rPr>
        <w:t>名家、兵家等师承性学派和问题性学派先后成为重要的学术流派。明朝中晚期，王阳</w:t>
      </w:r>
      <w:r>
        <w:rPr>
          <w:rFonts w:hint="eastAsia" w:ascii="宋体" w:hAnsi="宋体" w:eastAsia="宋体" w:cs="宋体"/>
          <w:color w:val="231F20"/>
          <w:spacing w:val="7"/>
          <w:sz w:val="21"/>
          <w:szCs w:val="21"/>
        </w:rPr>
        <w:t>明师承性学派成为当时的主流，且衍生出浙中学派、江右学派、南中学派、楚中学派、</w:t>
      </w:r>
      <w:r>
        <w:rPr>
          <w:rFonts w:hint="eastAsia" w:ascii="宋体" w:hAnsi="宋体" w:eastAsia="宋体" w:cs="宋体"/>
          <w:color w:val="231F20"/>
          <w:spacing w:val="10"/>
          <w:sz w:val="21"/>
          <w:szCs w:val="21"/>
        </w:rPr>
        <w:t>北方学派、粤闽学派、泰州学派及日本阳明学派</w:t>
      </w:r>
      <w:r>
        <w:rPr>
          <w:rFonts w:hint="eastAsia" w:ascii="宋体" w:hAnsi="宋体" w:eastAsia="宋体" w:cs="宋体"/>
          <w:color w:val="231F20"/>
          <w:spacing w:val="9"/>
          <w:sz w:val="21"/>
          <w:szCs w:val="21"/>
        </w:rPr>
        <w:t>，其良知与致良知、知行合一的心学思想体系对东方文明产生了深远影响。清代，皖南学派、常州学派、浙东学派</w:t>
      </w:r>
      <w:r>
        <w:rPr>
          <w:rFonts w:hint="eastAsia" w:ascii="宋体" w:hAnsi="宋体" w:eastAsia="宋体" w:cs="宋体"/>
          <w:color w:val="231F20"/>
          <w:spacing w:val="8"/>
          <w:sz w:val="21"/>
          <w:szCs w:val="21"/>
        </w:rPr>
        <w:t>、桐城</w:t>
      </w:r>
      <w:r>
        <w:rPr>
          <w:rFonts w:hint="eastAsia" w:ascii="宋体" w:hAnsi="宋体" w:eastAsia="宋体" w:cs="宋体"/>
          <w:color w:val="231F20"/>
          <w:spacing w:val="7"/>
          <w:sz w:val="21"/>
          <w:szCs w:val="21"/>
        </w:rPr>
        <w:t>学派等地域性学派兴盛，尤其桐城派历经200年发展，有千余学人，其</w:t>
      </w:r>
      <w:r>
        <w:rPr>
          <w:rFonts w:hint="eastAsia" w:ascii="宋体" w:hAnsi="宋体" w:eastAsia="宋体" w:cs="宋体"/>
          <w:color w:val="231F20"/>
          <w:spacing w:val="6"/>
          <w:sz w:val="21"/>
          <w:szCs w:val="21"/>
        </w:rPr>
        <w:t>著作汗牛充栋。</w:t>
      </w:r>
      <w:r>
        <w:rPr>
          <w:rFonts w:hint="eastAsia" w:ascii="宋体" w:hAnsi="宋体" w:eastAsia="宋体" w:cs="宋体"/>
          <w:color w:val="231F20"/>
          <w:spacing w:val="10"/>
          <w:sz w:val="21"/>
          <w:szCs w:val="21"/>
        </w:rPr>
        <w:t>民国时期，以章太炎、黄侃为代表的章黄学派，以吴文藻、费孝通为代表的中国学派</w:t>
      </w:r>
      <w:r>
        <w:rPr>
          <w:rFonts w:hint="eastAsia" w:ascii="宋体" w:hAnsi="宋体" w:eastAsia="宋体" w:cs="宋体"/>
          <w:color w:val="231F20"/>
          <w:spacing w:val="8"/>
          <w:sz w:val="21"/>
          <w:szCs w:val="21"/>
        </w:rPr>
        <w:t>等师承性学派，体现了中国社会现代转型时期保护本来与吸收外来的两种趋势。</w:t>
      </w:r>
    </w:p>
    <w:p w14:paraId="29812D9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8"/>
          <w:sz w:val="21"/>
          <w:szCs w:val="21"/>
        </w:rPr>
        <w:t>古希腊时期，爱利亚、米利都等地域性学派，毕达哥拉斯、苏格拉底、柏拉图等</w:t>
      </w:r>
      <w:r>
        <w:rPr>
          <w:rFonts w:hint="eastAsia" w:ascii="宋体" w:hAnsi="宋体" w:eastAsia="宋体" w:cs="宋体"/>
          <w:color w:val="231F20"/>
          <w:spacing w:val="11"/>
          <w:sz w:val="21"/>
          <w:szCs w:val="21"/>
        </w:rPr>
        <w:t>师承性学派，共同孕育了西方文明的摇篮，晚期的犬儒学派、新柏拉图主义学派和伊</w:t>
      </w:r>
      <w:r>
        <w:rPr>
          <w:rFonts w:hint="eastAsia" w:ascii="宋体" w:hAnsi="宋体" w:eastAsia="宋体" w:cs="宋体"/>
          <w:color w:val="231F20"/>
          <w:spacing w:val="13"/>
          <w:sz w:val="21"/>
          <w:szCs w:val="21"/>
        </w:rPr>
        <w:t>壁鸠鲁学派等师承性学派分别成为中世纪基督教的神学支撑与反神学</w:t>
      </w:r>
      <w:r>
        <w:rPr>
          <w:rFonts w:hint="eastAsia" w:ascii="宋体" w:hAnsi="宋体" w:eastAsia="宋体" w:cs="宋体"/>
          <w:color w:val="231F20"/>
          <w:spacing w:val="12"/>
          <w:sz w:val="21"/>
          <w:szCs w:val="21"/>
        </w:rPr>
        <w:t>劲敌。现代西方</w:t>
      </w:r>
      <w:r>
        <w:rPr>
          <w:rFonts w:hint="eastAsia" w:ascii="宋体" w:hAnsi="宋体" w:eastAsia="宋体" w:cs="宋体"/>
          <w:color w:val="231F20"/>
          <w:spacing w:val="9"/>
          <w:sz w:val="21"/>
          <w:szCs w:val="21"/>
        </w:rPr>
        <w:t>经济学流派，如芝加哥学派、奥地利学派、瑞典学派、剑</w:t>
      </w:r>
      <w:r>
        <w:rPr>
          <w:rFonts w:hint="eastAsia" w:ascii="宋体" w:hAnsi="宋体" w:eastAsia="宋体" w:cs="宋体"/>
          <w:color w:val="231F20"/>
          <w:spacing w:val="8"/>
          <w:sz w:val="21"/>
          <w:szCs w:val="21"/>
        </w:rPr>
        <w:t>桥学派、洛桑学派等院校性</w:t>
      </w:r>
      <w:r>
        <w:rPr>
          <w:rFonts w:hint="eastAsia" w:ascii="宋体" w:hAnsi="宋体" w:eastAsia="宋体" w:cs="宋体"/>
          <w:color w:val="231F20"/>
          <w:spacing w:val="9"/>
          <w:sz w:val="21"/>
          <w:szCs w:val="21"/>
        </w:rPr>
        <w:t>学派，标志着社会学、心理学、宏观经济学、新古典经济学、数量经济学等学科和理</w:t>
      </w:r>
      <w:r>
        <w:rPr>
          <w:rFonts w:hint="eastAsia" w:ascii="宋体" w:hAnsi="宋体" w:eastAsia="宋体" w:cs="宋体"/>
          <w:color w:val="231F20"/>
          <w:spacing w:val="10"/>
          <w:sz w:val="21"/>
          <w:szCs w:val="21"/>
        </w:rPr>
        <w:t>论的发展。重农学派、现代货币主义学派、供应学派等问题性学派，有的架起中国古</w:t>
      </w:r>
      <w:r>
        <w:rPr>
          <w:rFonts w:hint="eastAsia" w:ascii="宋体" w:hAnsi="宋体" w:eastAsia="宋体" w:cs="宋体"/>
          <w:color w:val="231F20"/>
          <w:spacing w:val="13"/>
          <w:sz w:val="21"/>
          <w:szCs w:val="21"/>
        </w:rPr>
        <w:t>代文化与现代西方经济学交流对话的桥梁，有的试图</w:t>
      </w:r>
      <w:r>
        <w:rPr>
          <w:rFonts w:hint="eastAsia" w:ascii="宋体" w:hAnsi="宋体" w:eastAsia="宋体" w:cs="宋体"/>
          <w:color w:val="231F20"/>
          <w:spacing w:val="12"/>
          <w:sz w:val="21"/>
          <w:szCs w:val="21"/>
        </w:rPr>
        <w:t>破解经济停滞与通货膨胀并存的滞胀痼疾。当代国外马克思主义研究学派，除美国激进政治经济学学</w:t>
      </w:r>
      <w:r>
        <w:rPr>
          <w:rFonts w:hint="eastAsia" w:ascii="宋体" w:hAnsi="宋体" w:eastAsia="宋体" w:cs="宋体"/>
          <w:color w:val="231F20"/>
          <w:spacing w:val="11"/>
          <w:sz w:val="21"/>
          <w:szCs w:val="21"/>
        </w:rPr>
        <w:t>派和生态马克思</w:t>
      </w:r>
      <w:r>
        <w:rPr>
          <w:rFonts w:hint="eastAsia" w:ascii="宋体" w:hAnsi="宋体" w:eastAsia="宋体" w:cs="宋体"/>
          <w:color w:val="231F20"/>
          <w:spacing w:val="8"/>
          <w:sz w:val="21"/>
          <w:szCs w:val="21"/>
        </w:rPr>
        <w:t>主义学派、日本宇野学派、法国调节学派等之外，世界体系学派、法</w:t>
      </w:r>
      <w:r>
        <w:rPr>
          <w:rFonts w:hint="eastAsia" w:ascii="宋体" w:hAnsi="宋体" w:eastAsia="宋体" w:cs="宋体"/>
          <w:color w:val="231F20"/>
          <w:spacing w:val="7"/>
          <w:sz w:val="21"/>
          <w:szCs w:val="21"/>
        </w:rPr>
        <w:t>兰克福学派、分</w:t>
      </w:r>
      <w:r>
        <w:rPr>
          <w:rFonts w:hint="eastAsia" w:ascii="宋体" w:hAnsi="宋体" w:eastAsia="宋体" w:cs="宋体"/>
          <w:color w:val="231F20"/>
          <w:spacing w:val="9"/>
          <w:sz w:val="21"/>
          <w:szCs w:val="21"/>
        </w:rPr>
        <w:t>析学派、解构学派、文化学派、社会运动学派、女权主义、解放神学、乌托邦学派、</w:t>
      </w:r>
      <w:r>
        <w:rPr>
          <w:rFonts w:hint="eastAsia" w:ascii="宋体" w:hAnsi="宋体" w:eastAsia="宋体" w:cs="宋体"/>
          <w:color w:val="231F20"/>
          <w:spacing w:val="11"/>
          <w:sz w:val="21"/>
          <w:szCs w:val="21"/>
        </w:rPr>
        <w:t>管理学派等，也对资本主义制度和现实问题作了不同程度的研究，但因学派体系化不</w:t>
      </w:r>
      <w:r>
        <w:rPr>
          <w:rFonts w:hint="eastAsia" w:ascii="宋体" w:hAnsi="宋体" w:eastAsia="宋体" w:cs="宋体"/>
          <w:color w:val="231F20"/>
          <w:spacing w:val="4"/>
          <w:sz w:val="21"/>
          <w:szCs w:val="21"/>
        </w:rPr>
        <w:t>足，其继承人才匮乏。</w:t>
      </w:r>
    </w:p>
    <w:p w14:paraId="4398A0B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8"/>
          <w:sz w:val="21"/>
          <w:szCs w:val="21"/>
        </w:rPr>
        <w:t>纵观古今中外的学术发展史，学术繁荣、思想自由和理论质量的标志有以下特征：</w:t>
      </w:r>
      <w:r>
        <w:rPr>
          <w:rFonts w:hint="eastAsia" w:ascii="宋体" w:hAnsi="宋体" w:eastAsia="宋体" w:cs="宋体"/>
          <w:color w:val="231F20"/>
          <w:spacing w:val="10"/>
          <w:sz w:val="21"/>
          <w:szCs w:val="21"/>
        </w:rPr>
        <w:t>一是学派化，其益处是可以集中研究主题</w:t>
      </w:r>
      <w:r>
        <w:rPr>
          <w:rFonts w:hint="eastAsia" w:ascii="宋体" w:hAnsi="宋体" w:eastAsia="宋体" w:cs="宋体"/>
          <w:color w:val="231F20"/>
          <w:spacing w:val="9"/>
          <w:sz w:val="21"/>
          <w:szCs w:val="21"/>
        </w:rPr>
        <w:t>，避免泛泛而谈和不够深入的缺点，体现研</w:t>
      </w:r>
      <w:r>
        <w:rPr>
          <w:rFonts w:hint="eastAsia" w:ascii="宋体" w:hAnsi="宋体" w:eastAsia="宋体" w:cs="宋体"/>
          <w:color w:val="231F20"/>
          <w:spacing w:val="10"/>
          <w:sz w:val="21"/>
          <w:szCs w:val="21"/>
        </w:rPr>
        <w:t>究成果的特色，增进具有深度的学术积累</w:t>
      </w:r>
      <w:r>
        <w:rPr>
          <w:rFonts w:hint="eastAsia" w:ascii="宋体" w:hAnsi="宋体" w:eastAsia="宋体" w:cs="宋体"/>
          <w:color w:val="231F20"/>
          <w:spacing w:val="9"/>
          <w:sz w:val="21"/>
          <w:szCs w:val="21"/>
        </w:rPr>
        <w:t>；二是可以在不同学派中引发争鸣，增强学</w:t>
      </w:r>
      <w:r>
        <w:rPr>
          <w:rFonts w:hint="eastAsia" w:ascii="宋体" w:hAnsi="宋体" w:eastAsia="宋体" w:cs="宋体"/>
          <w:color w:val="231F20"/>
          <w:spacing w:val="12"/>
          <w:sz w:val="21"/>
          <w:szCs w:val="21"/>
        </w:rPr>
        <w:t>理的辨别力和旺盛力，形成有学术渊源的思想发展史；三是可以通过学派的传承和壮</w:t>
      </w:r>
      <w:r>
        <w:rPr>
          <w:rFonts w:hint="eastAsia" w:ascii="宋体" w:hAnsi="宋体" w:eastAsia="宋体" w:cs="宋体"/>
          <w:color w:val="231F20"/>
          <w:spacing w:val="9"/>
          <w:sz w:val="21"/>
          <w:szCs w:val="21"/>
        </w:rPr>
        <w:t>大，凝聚有特色的研究群体，形成研究合力。这与党中央倡导的“双百方针”是完全</w:t>
      </w:r>
      <w:r>
        <w:rPr>
          <w:rFonts w:hint="eastAsia" w:ascii="宋体" w:hAnsi="宋体" w:eastAsia="宋体" w:cs="宋体"/>
          <w:color w:val="231F20"/>
          <w:spacing w:val="5"/>
          <w:sz w:val="21"/>
          <w:szCs w:val="21"/>
        </w:rPr>
        <w:t>一致的。</w:t>
      </w:r>
    </w:p>
    <w:p w14:paraId="4856032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722FD11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hint="eastAsia" w:ascii="宋体" w:hAnsi="宋体" w:eastAsia="宋体" w:cs="宋体"/>
          <w:sz w:val="21"/>
          <w:szCs w:val="21"/>
        </w:rPr>
      </w:pPr>
      <w:r>
        <w:rPr>
          <w:rFonts w:hint="eastAsia" w:ascii="宋体" w:hAnsi="宋体" w:eastAsia="宋体" w:cs="宋体"/>
          <w:color w:val="231F20"/>
          <w:spacing w:val="15"/>
          <w:sz w:val="21"/>
          <w:szCs w:val="21"/>
        </w:rPr>
        <w:t>○谭：加快构建中国特色哲学社会科学，归根结底是构建中国自主的知识体系。</w:t>
      </w:r>
      <w:r>
        <w:rPr>
          <w:rFonts w:hint="eastAsia" w:ascii="宋体" w:hAnsi="宋体" w:eastAsia="宋体" w:cs="宋体"/>
          <w:color w:val="231F20"/>
          <w:spacing w:val="12"/>
          <w:sz w:val="21"/>
          <w:szCs w:val="21"/>
        </w:rPr>
        <w:t>自主知识体系包含原理自主性、范式自主性和体系自主性，体系自主性主要体现为标</w:t>
      </w:r>
      <w:r>
        <w:rPr>
          <w:rFonts w:hint="eastAsia" w:ascii="宋体" w:hAnsi="宋体" w:eastAsia="宋体" w:cs="宋体"/>
          <w:color w:val="231F20"/>
          <w:spacing w:val="7"/>
          <w:sz w:val="21"/>
          <w:szCs w:val="21"/>
        </w:rPr>
        <w:t>准体系、价值体系、话语体系的自主。我们应当如何构建中国自主的知识体系</w:t>
      </w:r>
      <w:r>
        <w:rPr>
          <w:rFonts w:hint="eastAsia" w:ascii="宋体" w:hAnsi="宋体" w:eastAsia="宋体" w:cs="宋体"/>
          <w:color w:val="231F20"/>
          <w:spacing w:val="6"/>
          <w:sz w:val="21"/>
          <w:szCs w:val="21"/>
        </w:rPr>
        <w:t>呢？</w:t>
      </w:r>
    </w:p>
    <w:p w14:paraId="6F7EEA2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068195D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●程：构建中国自主性标准体系，需要扎根中国大地，适应党和国家对时代新人</w:t>
      </w:r>
      <w:r>
        <w:rPr>
          <w:rFonts w:hint="eastAsia" w:ascii="宋体" w:hAnsi="宋体" w:eastAsia="宋体" w:cs="宋体"/>
          <w:color w:val="231F20"/>
          <w:spacing w:val="10"/>
          <w:sz w:val="21"/>
          <w:szCs w:val="21"/>
        </w:rPr>
        <w:t>的标准要求，瞄准国际竞争的关键核心，优化中国特色的课程体系、教学体系、教材体系。其中，文科的教育和科研有助于提升国民的文化素质、逻辑思维能力，培养社</w:t>
      </w:r>
      <w:r>
        <w:rPr>
          <w:rFonts w:hint="eastAsia" w:ascii="宋体" w:hAnsi="宋体" w:eastAsia="宋体" w:cs="宋体"/>
          <w:color w:val="231F20"/>
          <w:spacing w:val="8"/>
          <w:sz w:val="21"/>
          <w:szCs w:val="21"/>
        </w:rPr>
        <w:t>会主义核心价值观。</w:t>
      </w:r>
    </w:p>
    <w:p w14:paraId="1CFC02E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“为谁培养人、培养什么人、怎样培养人”的价值体系构建，需要发挥师承性学派</w:t>
      </w:r>
      <w:r>
        <w:rPr>
          <w:rFonts w:hint="eastAsia" w:ascii="宋体" w:hAnsi="宋体" w:eastAsia="宋体" w:cs="宋体"/>
          <w:color w:val="231F20"/>
          <w:spacing w:val="6"/>
          <w:sz w:val="21"/>
          <w:szCs w:val="21"/>
        </w:rPr>
        <w:t>“经师人师统一、弟子传承同治一学”、地域性（院校性）学派“促进原理、范式及学</w:t>
      </w:r>
      <w:r>
        <w:rPr>
          <w:rFonts w:hint="eastAsia" w:ascii="宋体" w:hAnsi="宋体" w:eastAsia="宋体" w:cs="宋体"/>
          <w:color w:val="231F20"/>
          <w:spacing w:val="9"/>
          <w:sz w:val="21"/>
          <w:szCs w:val="21"/>
        </w:rPr>
        <w:t>科快速成熟”、问题性学派“究天人之际、通古今之</w:t>
      </w:r>
      <w:r>
        <w:rPr>
          <w:rFonts w:hint="eastAsia" w:ascii="宋体" w:hAnsi="宋体" w:eastAsia="宋体" w:cs="宋体"/>
          <w:color w:val="231F20"/>
          <w:spacing w:val="8"/>
          <w:sz w:val="21"/>
          <w:szCs w:val="21"/>
        </w:rPr>
        <w:t>变”等不同优势，牢固确立“为人</w:t>
      </w:r>
      <w:r>
        <w:rPr>
          <w:rFonts w:hint="eastAsia" w:ascii="宋体" w:hAnsi="宋体" w:eastAsia="宋体" w:cs="宋体"/>
          <w:color w:val="231F20"/>
          <w:spacing w:val="14"/>
          <w:sz w:val="21"/>
          <w:szCs w:val="21"/>
        </w:rPr>
        <w:t>民做学问”的立场，把保障劳动人民的根本利益、满足劳动人民的根本需求</w:t>
      </w:r>
      <w:r>
        <w:rPr>
          <w:rFonts w:hint="eastAsia" w:ascii="宋体" w:hAnsi="宋体" w:eastAsia="宋体" w:cs="宋体"/>
          <w:color w:val="231F20"/>
          <w:spacing w:val="13"/>
          <w:sz w:val="21"/>
          <w:szCs w:val="21"/>
        </w:rPr>
        <w:t>作为价值</w:t>
      </w:r>
      <w:r>
        <w:rPr>
          <w:rFonts w:hint="eastAsia" w:ascii="宋体" w:hAnsi="宋体" w:eastAsia="宋体" w:cs="宋体"/>
          <w:color w:val="231F20"/>
          <w:spacing w:val="9"/>
          <w:sz w:val="21"/>
          <w:szCs w:val="21"/>
        </w:rPr>
        <w:t>体系的根本内涵，把劳动、资本、交换、分配、消费、国际交往等问题作为价值体系</w:t>
      </w:r>
      <w:r>
        <w:rPr>
          <w:rFonts w:hint="eastAsia" w:ascii="宋体" w:hAnsi="宋体" w:eastAsia="宋体" w:cs="宋体"/>
          <w:color w:val="231F20"/>
          <w:spacing w:val="13"/>
          <w:sz w:val="21"/>
          <w:szCs w:val="21"/>
        </w:rPr>
        <w:t>的核心内容，把社会主义核心价值观的精髓要旨——“为人民服务”“以人民为中心”</w:t>
      </w:r>
      <w:r>
        <w:rPr>
          <w:rFonts w:hint="eastAsia" w:ascii="宋体" w:hAnsi="宋体" w:eastAsia="宋体" w:cs="宋体"/>
          <w:color w:val="231F20"/>
          <w:spacing w:val="14"/>
          <w:sz w:val="21"/>
          <w:szCs w:val="21"/>
        </w:rPr>
        <w:t>作为价值体系的最高定律，坚持真理标准与价值标准、学说探</w:t>
      </w:r>
      <w:r>
        <w:rPr>
          <w:rFonts w:hint="eastAsia" w:ascii="宋体" w:hAnsi="宋体" w:eastAsia="宋体" w:cs="宋体"/>
          <w:color w:val="231F20"/>
          <w:spacing w:val="13"/>
          <w:sz w:val="21"/>
          <w:szCs w:val="21"/>
        </w:rPr>
        <w:t>究与学科规范、学术自</w:t>
      </w:r>
      <w:r>
        <w:rPr>
          <w:rFonts w:hint="eastAsia" w:ascii="宋体" w:hAnsi="宋体" w:eastAsia="宋体" w:cs="宋体"/>
          <w:color w:val="231F20"/>
          <w:spacing w:val="15"/>
          <w:sz w:val="21"/>
          <w:szCs w:val="21"/>
        </w:rPr>
        <w:t>由与政治纪律相协调的价值体系标准。</w:t>
      </w:r>
    </w:p>
    <w:p w14:paraId="1CF0E8D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构建中国学术话语体系，彰显中国道路、理论、制度和文化的显著优势，成为完</w:t>
      </w:r>
      <w:r>
        <w:rPr>
          <w:rFonts w:hint="eastAsia" w:ascii="宋体" w:hAnsi="宋体" w:eastAsia="宋体" w:cs="宋体"/>
          <w:color w:val="231F20"/>
          <w:spacing w:val="13"/>
          <w:sz w:val="21"/>
          <w:szCs w:val="21"/>
        </w:rPr>
        <w:t>善国家治理体系和推进全球治理进程的重要路径。改革开放以来，我</w:t>
      </w:r>
      <w:r>
        <w:rPr>
          <w:rFonts w:hint="eastAsia" w:ascii="宋体" w:hAnsi="宋体" w:eastAsia="宋体" w:cs="宋体"/>
          <w:color w:val="231F20"/>
          <w:spacing w:val="12"/>
          <w:sz w:val="21"/>
          <w:szCs w:val="21"/>
        </w:rPr>
        <w:t>国加快对西方学</w:t>
      </w:r>
      <w:r>
        <w:rPr>
          <w:rFonts w:hint="eastAsia" w:ascii="宋体" w:hAnsi="宋体" w:eastAsia="宋体" w:cs="宋体"/>
          <w:color w:val="231F20"/>
          <w:spacing w:val="8"/>
          <w:sz w:val="21"/>
          <w:szCs w:val="21"/>
        </w:rPr>
        <w:t>习、引进、消化和吸收的进程，学术话语领域也出现一些盲目与国际接轨的倾向，经</w:t>
      </w:r>
      <w:r>
        <w:rPr>
          <w:rFonts w:hint="eastAsia" w:ascii="宋体" w:hAnsi="宋体" w:eastAsia="宋体" w:cs="宋体"/>
          <w:color w:val="231F20"/>
          <w:spacing w:val="9"/>
          <w:sz w:val="21"/>
          <w:szCs w:val="21"/>
        </w:rPr>
        <w:t>济学、管理学、社会学、法学、传播学、国际关系学等学科的一些领域的话语权成为</w:t>
      </w:r>
      <w:r>
        <w:rPr>
          <w:rFonts w:hint="eastAsia" w:ascii="宋体" w:hAnsi="宋体" w:eastAsia="宋体" w:cs="宋体"/>
          <w:color w:val="231F20"/>
          <w:spacing w:val="13"/>
          <w:sz w:val="21"/>
          <w:szCs w:val="21"/>
        </w:rPr>
        <w:t>美式理论的翻版，甚至以是否使用西方学术话语和在</w:t>
      </w:r>
      <w:r>
        <w:rPr>
          <w:rFonts w:hint="eastAsia" w:ascii="宋体" w:hAnsi="宋体" w:eastAsia="宋体" w:cs="宋体"/>
          <w:color w:val="231F20"/>
          <w:spacing w:val="12"/>
          <w:sz w:val="21"/>
          <w:szCs w:val="21"/>
        </w:rPr>
        <w:t>西方文科核心期刊刊发论文来认</w:t>
      </w:r>
      <w:r>
        <w:rPr>
          <w:rFonts w:hint="eastAsia" w:ascii="宋体" w:hAnsi="宋体" w:eastAsia="宋体" w:cs="宋体"/>
          <w:color w:val="231F20"/>
          <w:spacing w:val="9"/>
          <w:sz w:val="21"/>
          <w:szCs w:val="21"/>
        </w:rPr>
        <w:t>定学术水平，衡量观点的权威性，严重影响、抑制中国学术话语体系的生产、创新与</w:t>
      </w:r>
      <w:r>
        <w:rPr>
          <w:rFonts w:hint="eastAsia" w:ascii="宋体" w:hAnsi="宋体" w:eastAsia="宋体" w:cs="宋体"/>
          <w:color w:val="231F20"/>
          <w:spacing w:val="11"/>
          <w:sz w:val="21"/>
          <w:szCs w:val="21"/>
        </w:rPr>
        <w:t>发展。话语自信是道路自信、理论自信、制度自信、文化自信在哲学社会</w:t>
      </w:r>
      <w:r>
        <w:rPr>
          <w:rFonts w:hint="eastAsia" w:ascii="宋体" w:hAnsi="宋体" w:eastAsia="宋体" w:cs="宋体"/>
          <w:color w:val="231F20"/>
          <w:spacing w:val="10"/>
          <w:sz w:val="21"/>
          <w:szCs w:val="21"/>
        </w:rPr>
        <w:t>科学领域的</w:t>
      </w:r>
      <w:r>
        <w:rPr>
          <w:rFonts w:hint="eastAsia" w:ascii="宋体" w:hAnsi="宋体" w:eastAsia="宋体" w:cs="宋体"/>
          <w:color w:val="231F20"/>
          <w:spacing w:val="9"/>
          <w:sz w:val="21"/>
          <w:szCs w:val="21"/>
        </w:rPr>
        <w:t>反映和延伸，必须努力摒弃简单的“拿来主义”，自信构建“自为”发展的“中国学</w:t>
      </w:r>
      <w:r>
        <w:rPr>
          <w:rFonts w:hint="eastAsia" w:ascii="宋体" w:hAnsi="宋体" w:eastAsia="宋体" w:cs="宋体"/>
          <w:color w:val="231F20"/>
          <w:spacing w:val="10"/>
          <w:sz w:val="21"/>
          <w:szCs w:val="21"/>
        </w:rPr>
        <w:t>派”，自信构建具有中国特色的学科体系、学术体系、话语体系，为全球文科创新发</w:t>
      </w:r>
      <w:r>
        <w:rPr>
          <w:rFonts w:hint="eastAsia" w:ascii="宋体" w:hAnsi="宋体" w:eastAsia="宋体" w:cs="宋体"/>
          <w:color w:val="231F20"/>
          <w:spacing w:val="5"/>
          <w:sz w:val="21"/>
          <w:szCs w:val="21"/>
        </w:rPr>
        <w:t>展，为人类文明新形态，为构建人类命运共同体贡献中国理念、中国力量和中国方案。</w:t>
      </w:r>
    </w:p>
    <w:p w14:paraId="20C48EE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2139AD0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hint="eastAsia" w:ascii="宋体" w:hAnsi="宋体" w:eastAsia="宋体" w:cs="宋体"/>
          <w:sz w:val="21"/>
          <w:szCs w:val="21"/>
        </w:rPr>
      </w:pPr>
      <w:r>
        <w:rPr>
          <w:rFonts w:hint="eastAsia" w:ascii="宋体" w:hAnsi="宋体" w:eastAsia="宋体" w:cs="宋体"/>
          <w:color w:val="231F20"/>
          <w:spacing w:val="15"/>
          <w:sz w:val="21"/>
          <w:szCs w:val="21"/>
        </w:rPr>
        <w:t>○谭：新马克思经济学综合学派在构建中国学术话语体系中具体有何探索性的重</w:t>
      </w:r>
      <w:r>
        <w:rPr>
          <w:rFonts w:hint="eastAsia" w:ascii="宋体" w:hAnsi="宋体" w:eastAsia="宋体" w:cs="宋体"/>
          <w:color w:val="231F20"/>
          <w:spacing w:val="5"/>
          <w:sz w:val="21"/>
          <w:szCs w:val="21"/>
        </w:rPr>
        <w:t>要作为？</w:t>
      </w:r>
    </w:p>
    <w:p w14:paraId="38E4251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3952B96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●程：我们“以中国为观照、以时代为观照”，先后提出社会主义三阶段论、</w:t>
      </w:r>
      <w:r>
        <w:rPr>
          <w:rFonts w:hint="eastAsia" w:ascii="宋体" w:hAnsi="宋体" w:eastAsia="宋体" w:cs="宋体"/>
          <w:color w:val="231F20"/>
          <w:spacing w:val="5"/>
          <w:sz w:val="21"/>
          <w:szCs w:val="21"/>
        </w:rPr>
        <w:t>社会</w:t>
      </w:r>
      <w:r>
        <w:rPr>
          <w:rFonts w:hint="eastAsia" w:ascii="宋体" w:hAnsi="宋体" w:eastAsia="宋体" w:cs="宋体"/>
          <w:color w:val="231F20"/>
          <w:spacing w:val="11"/>
          <w:sz w:val="21"/>
          <w:szCs w:val="21"/>
        </w:rPr>
        <w:t>主义市场经济论、新的活劳动创造价值一元论、利己利他双性经济人论、资源需要双</w:t>
      </w:r>
      <w:r>
        <w:rPr>
          <w:rFonts w:hint="eastAsia" w:ascii="宋体" w:hAnsi="宋体" w:eastAsia="宋体" w:cs="宋体"/>
          <w:color w:val="231F20"/>
          <w:spacing w:val="13"/>
          <w:sz w:val="21"/>
          <w:szCs w:val="21"/>
        </w:rPr>
        <w:t>约束论、公平效率互促同向变动论、公有制高绩效论、市场国家功能性双重调节论、</w:t>
      </w:r>
      <w:r>
        <w:rPr>
          <w:rFonts w:hint="eastAsia" w:ascii="宋体" w:hAnsi="宋体" w:eastAsia="宋体" w:cs="宋体"/>
          <w:color w:val="231F20"/>
          <w:spacing w:val="12"/>
          <w:sz w:val="21"/>
          <w:szCs w:val="21"/>
        </w:rPr>
        <w:t>大文化经济论、知识产权优势论等不少学术创新理论，立足中华民</w:t>
      </w:r>
      <w:r>
        <w:rPr>
          <w:rFonts w:hint="eastAsia" w:ascii="宋体" w:hAnsi="宋体" w:eastAsia="宋体" w:cs="宋体"/>
          <w:color w:val="231F20"/>
          <w:spacing w:val="11"/>
          <w:sz w:val="21"/>
          <w:szCs w:val="21"/>
        </w:rPr>
        <w:t>族伟大复兴目标和</w:t>
      </w:r>
      <w:r>
        <w:rPr>
          <w:rFonts w:hint="eastAsia" w:ascii="宋体" w:hAnsi="宋体" w:eastAsia="宋体" w:cs="宋体"/>
          <w:color w:val="231F20"/>
          <w:spacing w:val="9"/>
          <w:sz w:val="21"/>
          <w:szCs w:val="21"/>
        </w:rPr>
        <w:t>世界百年未有之大变局，积极探索“世界怎么了”“人类向何处去”的时代之题。同</w:t>
      </w:r>
      <w:r>
        <w:rPr>
          <w:rFonts w:hint="eastAsia" w:ascii="宋体" w:hAnsi="宋体" w:eastAsia="宋体" w:cs="宋体"/>
          <w:color w:val="231F20"/>
          <w:spacing w:val="11"/>
          <w:sz w:val="21"/>
          <w:szCs w:val="21"/>
        </w:rPr>
        <w:t>时，高度重视学者建言献策的智库作用，提出幸福指数政策、立新核算政策</w:t>
      </w:r>
      <w:r>
        <w:rPr>
          <w:rFonts w:hint="eastAsia" w:ascii="宋体" w:hAnsi="宋体" w:eastAsia="宋体" w:cs="宋体"/>
          <w:color w:val="231F20"/>
          <w:spacing w:val="10"/>
          <w:sz w:val="21"/>
          <w:szCs w:val="21"/>
        </w:rPr>
        <w:t>、为民财税政策、金融实化政策、知识产权政策、公主私辅政策、改善分配政策、提高福利、</w:t>
      </w:r>
      <w:r>
        <w:rPr>
          <w:rFonts w:hint="eastAsia" w:ascii="宋体" w:hAnsi="宋体" w:eastAsia="宋体" w:cs="宋体"/>
          <w:color w:val="231F20"/>
          <w:spacing w:val="11"/>
          <w:sz w:val="21"/>
          <w:szCs w:val="21"/>
        </w:rPr>
        <w:t>抑制通胀政策、对等开放政策等不少政策创新，运用中外马克思主义理论，为事关党</w:t>
      </w:r>
      <w:r>
        <w:rPr>
          <w:rFonts w:hint="eastAsia" w:ascii="宋体" w:hAnsi="宋体" w:eastAsia="宋体" w:cs="宋体"/>
          <w:color w:val="231F20"/>
          <w:spacing w:val="7"/>
          <w:sz w:val="21"/>
          <w:szCs w:val="21"/>
        </w:rPr>
        <w:t>和国家全局性、根本性、关键性的重大问题献智献策。</w:t>
      </w:r>
    </w:p>
    <w:p w14:paraId="281BCD9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3"/>
          <w:sz w:val="21"/>
          <w:szCs w:val="21"/>
        </w:rPr>
        <w:t>新马克思经济学综合学派确立28字方针的学术方向，确立</w:t>
      </w:r>
      <w:r>
        <w:rPr>
          <w:rFonts w:hint="eastAsia" w:ascii="宋体" w:hAnsi="宋体" w:eastAsia="宋体" w:cs="宋体"/>
          <w:color w:val="231F20"/>
          <w:spacing w:val="12"/>
          <w:sz w:val="21"/>
          <w:szCs w:val="21"/>
        </w:rPr>
        <w:t>“思想解放而不僵化，学风严谨而不‘风化’”的治学风气，提出中国特色社会主义政治经济学“十大研究</w:t>
      </w:r>
      <w:r>
        <w:rPr>
          <w:rFonts w:hint="eastAsia" w:ascii="宋体" w:hAnsi="宋体" w:eastAsia="宋体" w:cs="宋体"/>
          <w:color w:val="231F20"/>
          <w:spacing w:val="8"/>
          <w:sz w:val="21"/>
          <w:szCs w:val="21"/>
        </w:rPr>
        <w:t>要义”：以马列主义及其中国化经济理论为指导，以初级社会主义物质和文</w:t>
      </w:r>
      <w:r>
        <w:rPr>
          <w:rFonts w:hint="eastAsia" w:ascii="宋体" w:hAnsi="宋体" w:eastAsia="宋体" w:cs="宋体"/>
          <w:color w:val="231F20"/>
          <w:spacing w:val="7"/>
          <w:sz w:val="21"/>
          <w:szCs w:val="21"/>
        </w:rPr>
        <w:t>化领域的经</w:t>
      </w:r>
      <w:r>
        <w:rPr>
          <w:rFonts w:hint="eastAsia" w:ascii="宋体" w:hAnsi="宋体" w:eastAsia="宋体" w:cs="宋体"/>
          <w:color w:val="231F20"/>
          <w:spacing w:val="12"/>
          <w:sz w:val="21"/>
          <w:szCs w:val="21"/>
        </w:rPr>
        <w:t>济关系或经济制度为对象，以唯物史观和唯物辩证法为要法，以揭示初级社会主义社会不同的经济规律为任务，以公私商品及其内部矛盾运动为起点，以劳动为研究元概</w:t>
      </w:r>
      <w:r>
        <w:rPr>
          <w:rFonts w:hint="eastAsia" w:ascii="宋体" w:hAnsi="宋体" w:eastAsia="宋体" w:cs="宋体"/>
          <w:color w:val="231F20"/>
          <w:spacing w:val="14"/>
          <w:sz w:val="21"/>
          <w:szCs w:val="21"/>
        </w:rPr>
        <w:t>念，以公有剩余价值理论为主线，以主体性公有资本与自由联合劳动的关系为轴心，</w:t>
      </w:r>
      <w:r>
        <w:rPr>
          <w:rFonts w:hint="eastAsia" w:ascii="宋体" w:hAnsi="宋体" w:eastAsia="宋体" w:cs="宋体"/>
          <w:color w:val="231F20"/>
          <w:spacing w:val="13"/>
          <w:sz w:val="21"/>
          <w:szCs w:val="21"/>
        </w:rPr>
        <w:t>以维护工人阶级和劳动人民利益为立场，以不断满足全体人民日益增长的美好生活需</w:t>
      </w:r>
      <w:r>
        <w:rPr>
          <w:rFonts w:hint="eastAsia" w:ascii="宋体" w:hAnsi="宋体" w:eastAsia="宋体" w:cs="宋体"/>
          <w:color w:val="231F20"/>
          <w:spacing w:val="9"/>
          <w:sz w:val="21"/>
          <w:szCs w:val="21"/>
        </w:rPr>
        <w:t>要为目的，以完善初级社会主义经济关系促进生产力和上层建</w:t>
      </w:r>
      <w:r>
        <w:rPr>
          <w:rFonts w:hint="eastAsia" w:ascii="宋体" w:hAnsi="宋体" w:eastAsia="宋体" w:cs="宋体"/>
          <w:color w:val="231F20"/>
          <w:spacing w:val="8"/>
          <w:sz w:val="21"/>
          <w:szCs w:val="21"/>
        </w:rPr>
        <w:t>筑现代化发展为方针。</w:t>
      </w:r>
    </w:p>
    <w:p w14:paraId="30E4A4C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我们长期着力推动政治经济学、哲学、政治学、国际关系学等跨学科研究，提出马克思主义研究的“十观”——定义观、整体观、中国</w:t>
      </w:r>
      <w:r>
        <w:rPr>
          <w:rFonts w:hint="eastAsia" w:ascii="宋体" w:hAnsi="宋体" w:eastAsia="宋体" w:cs="宋体"/>
          <w:color w:val="231F20"/>
          <w:spacing w:val="9"/>
          <w:sz w:val="21"/>
          <w:szCs w:val="21"/>
        </w:rPr>
        <w:t>化观、政策观、国际化观、制</w:t>
      </w:r>
      <w:r>
        <w:rPr>
          <w:rFonts w:hint="eastAsia" w:ascii="宋体" w:hAnsi="宋体" w:eastAsia="宋体" w:cs="宋体"/>
          <w:color w:val="231F20"/>
          <w:spacing w:val="10"/>
          <w:sz w:val="21"/>
          <w:szCs w:val="21"/>
        </w:rPr>
        <w:t>度观、分清观、创新观、学派观、学问观，着力强化</w:t>
      </w:r>
      <w:r>
        <w:rPr>
          <w:rFonts w:hint="eastAsia" w:ascii="宋体" w:hAnsi="宋体" w:eastAsia="宋体" w:cs="宋体"/>
          <w:color w:val="231F20"/>
          <w:spacing w:val="9"/>
          <w:sz w:val="21"/>
          <w:szCs w:val="21"/>
        </w:rPr>
        <w:t>“科学性、世界观、方法论、发</w:t>
      </w:r>
      <w:r>
        <w:rPr>
          <w:rFonts w:hint="eastAsia" w:ascii="宋体" w:hAnsi="宋体" w:eastAsia="宋体" w:cs="宋体"/>
          <w:color w:val="231F20"/>
          <w:spacing w:val="15"/>
          <w:sz w:val="21"/>
          <w:szCs w:val="21"/>
        </w:rPr>
        <w:t>展史”等综合视角的马克思主义全方位认识，提出整体性</w:t>
      </w:r>
      <w:r>
        <w:rPr>
          <w:rFonts w:hint="eastAsia" w:ascii="宋体" w:hAnsi="宋体" w:eastAsia="宋体" w:cs="宋体"/>
          <w:color w:val="231F20"/>
          <w:spacing w:val="14"/>
          <w:sz w:val="21"/>
          <w:szCs w:val="21"/>
        </w:rPr>
        <w:t>研究的“十二视角”——定</w:t>
      </w:r>
      <w:r>
        <w:rPr>
          <w:rFonts w:hint="eastAsia" w:ascii="宋体" w:hAnsi="宋体" w:eastAsia="宋体" w:cs="宋体"/>
          <w:color w:val="231F20"/>
          <w:spacing w:val="9"/>
          <w:sz w:val="21"/>
          <w:szCs w:val="21"/>
        </w:rPr>
        <w:t>义性、综括性、统一性、层次性、发展性、三化性、分类性、学科性、分科性、破立</w:t>
      </w:r>
      <w:r>
        <w:rPr>
          <w:rFonts w:hint="eastAsia" w:ascii="宋体" w:hAnsi="宋体" w:eastAsia="宋体" w:cs="宋体"/>
          <w:color w:val="231F20"/>
          <w:spacing w:val="13"/>
          <w:sz w:val="21"/>
          <w:szCs w:val="21"/>
        </w:rPr>
        <w:t>性、致用性、互动性。尤其是我们将学术研究、应用探讨及理论宣传有机结合，提出</w:t>
      </w:r>
      <w:r>
        <w:rPr>
          <w:rFonts w:hint="eastAsia" w:ascii="宋体" w:hAnsi="宋体" w:eastAsia="宋体" w:cs="宋体"/>
          <w:color w:val="231F20"/>
          <w:spacing w:val="11"/>
          <w:sz w:val="21"/>
          <w:szCs w:val="21"/>
        </w:rPr>
        <w:t>“五士观”——在马克思主义坚强阵地上，马克思主义学者应是“捍卫真理”的卫士、</w:t>
      </w:r>
      <w:r>
        <w:rPr>
          <w:rFonts w:hint="eastAsia" w:ascii="宋体" w:hAnsi="宋体" w:eastAsia="宋体" w:cs="宋体"/>
          <w:color w:val="231F20"/>
          <w:spacing w:val="1"/>
          <w:sz w:val="21"/>
          <w:szCs w:val="21"/>
        </w:rPr>
        <w:t>“勇于创新”的勇士、“谋策国家”的谋士、“敢于斗争</w:t>
      </w:r>
      <w:r>
        <w:rPr>
          <w:rFonts w:hint="eastAsia" w:ascii="宋体" w:hAnsi="宋体" w:eastAsia="宋体" w:cs="宋体"/>
          <w:color w:val="231F20"/>
          <w:sz w:val="21"/>
          <w:szCs w:val="21"/>
        </w:rPr>
        <w:t>”的斗士、“善于引导”的导士。</w:t>
      </w:r>
      <w:r>
        <w:rPr>
          <w:rFonts w:hint="eastAsia" w:ascii="宋体" w:hAnsi="宋体" w:eastAsia="宋体" w:cs="宋体"/>
          <w:color w:val="231F20"/>
          <w:spacing w:val="7"/>
          <w:sz w:val="21"/>
          <w:szCs w:val="21"/>
        </w:rPr>
        <w:t>中国哲学社会科学曾借鉴“苏联范式”“美国范</w:t>
      </w:r>
      <w:r>
        <w:rPr>
          <w:rFonts w:hint="eastAsia" w:ascii="宋体" w:hAnsi="宋体" w:eastAsia="宋体" w:cs="宋体"/>
          <w:color w:val="231F20"/>
          <w:spacing w:val="6"/>
          <w:sz w:val="21"/>
          <w:szCs w:val="21"/>
        </w:rPr>
        <w:t>式”，尤其是在面对西方经济学“范式</w:t>
      </w:r>
      <w:r>
        <w:rPr>
          <w:rFonts w:hint="eastAsia" w:ascii="宋体" w:hAnsi="宋体" w:eastAsia="宋体" w:cs="宋体"/>
          <w:color w:val="231F20"/>
          <w:spacing w:val="11"/>
          <w:sz w:val="21"/>
          <w:szCs w:val="21"/>
        </w:rPr>
        <w:t>危机”时，一度难以摆脱其影响。然而，现在</w:t>
      </w:r>
      <w:r>
        <w:rPr>
          <w:rFonts w:hint="eastAsia" w:ascii="宋体" w:hAnsi="宋体" w:eastAsia="宋体" w:cs="宋体"/>
          <w:color w:val="231F20"/>
          <w:spacing w:val="10"/>
          <w:sz w:val="21"/>
          <w:szCs w:val="21"/>
        </w:rPr>
        <w:t>包括新马克思经济学综合学派在内的经</w:t>
      </w:r>
      <w:r>
        <w:rPr>
          <w:rFonts w:hint="eastAsia" w:ascii="宋体" w:hAnsi="宋体" w:eastAsia="宋体" w:cs="宋体"/>
          <w:color w:val="231F20"/>
          <w:spacing w:val="15"/>
          <w:sz w:val="21"/>
          <w:szCs w:val="21"/>
        </w:rPr>
        <w:t>济学界继承和超越马列经典经济学，在科学范式意义上批判和超越当代西方经济学，</w:t>
      </w:r>
      <w:r>
        <w:rPr>
          <w:rFonts w:hint="eastAsia" w:ascii="宋体" w:hAnsi="宋体" w:eastAsia="宋体" w:cs="宋体"/>
          <w:color w:val="231F20"/>
          <w:spacing w:val="11"/>
          <w:sz w:val="21"/>
          <w:szCs w:val="21"/>
        </w:rPr>
        <w:t>在学派治学意义上借鉴和超越德国法兰克福学派，将21世纪马克思主义</w:t>
      </w:r>
      <w:r>
        <w:rPr>
          <w:rFonts w:hint="eastAsia" w:ascii="宋体" w:hAnsi="宋体" w:eastAsia="宋体" w:cs="宋体"/>
          <w:color w:val="231F20"/>
          <w:spacing w:val="10"/>
          <w:sz w:val="21"/>
          <w:szCs w:val="21"/>
        </w:rPr>
        <w:t>和当代中国马</w:t>
      </w:r>
      <w:r>
        <w:rPr>
          <w:rFonts w:hint="eastAsia" w:ascii="宋体" w:hAnsi="宋体" w:eastAsia="宋体" w:cs="宋体"/>
          <w:color w:val="231F20"/>
          <w:spacing w:val="11"/>
          <w:sz w:val="21"/>
          <w:szCs w:val="21"/>
        </w:rPr>
        <w:t>克思主义经济学学科体系、学术体系、话语体系推向新境界，使中国特色经济</w:t>
      </w:r>
      <w:r>
        <w:rPr>
          <w:rFonts w:hint="eastAsia" w:ascii="宋体" w:hAnsi="宋体" w:eastAsia="宋体" w:cs="宋体"/>
          <w:color w:val="231F20"/>
          <w:spacing w:val="10"/>
          <w:sz w:val="21"/>
          <w:szCs w:val="21"/>
        </w:rPr>
        <w:t>学真正屹立于世界学术之林。由我担任会长的世界政治经济学</w:t>
      </w:r>
      <w:r>
        <w:rPr>
          <w:rFonts w:hint="eastAsia" w:ascii="宋体" w:hAnsi="宋体" w:eastAsia="宋体" w:cs="宋体"/>
          <w:color w:val="231F20"/>
          <w:spacing w:val="9"/>
          <w:sz w:val="21"/>
          <w:szCs w:val="21"/>
        </w:rPr>
        <w:t>学会，创办和主编了《世界政</w:t>
      </w:r>
      <w:r>
        <w:rPr>
          <w:rFonts w:hint="eastAsia" w:ascii="宋体" w:hAnsi="宋体" w:eastAsia="宋体" w:cs="宋体"/>
          <w:color w:val="231F20"/>
          <w:spacing w:val="7"/>
          <w:sz w:val="21"/>
          <w:szCs w:val="21"/>
        </w:rPr>
        <w:t>治经济学评论》《国际批判思想》《世界马克思主义评论》这三种在国外出版的英文国</w:t>
      </w:r>
      <w:r>
        <w:rPr>
          <w:rFonts w:hint="eastAsia" w:ascii="宋体" w:hAnsi="宋体" w:eastAsia="宋体" w:cs="宋体"/>
          <w:color w:val="231F20"/>
          <w:spacing w:val="9"/>
          <w:sz w:val="21"/>
          <w:szCs w:val="21"/>
        </w:rPr>
        <w:t>际期刊，美国的福斯特、法国的托尼、日本的大西广等知名教授和俄罗斯共产党主席</w:t>
      </w:r>
      <w:r>
        <w:rPr>
          <w:rFonts w:hint="eastAsia" w:ascii="宋体" w:hAnsi="宋体" w:eastAsia="宋体" w:cs="宋体"/>
          <w:color w:val="231F20"/>
          <w:spacing w:val="6"/>
          <w:sz w:val="21"/>
          <w:szCs w:val="21"/>
        </w:rPr>
        <w:t>久加诺夫等撰写、出版了《中国创新马克思主义学派</w:t>
      </w:r>
      <w:r>
        <w:rPr>
          <w:rFonts w:hint="eastAsia" w:ascii="宋体" w:hAnsi="宋体" w:eastAsia="宋体" w:cs="宋体"/>
          <w:color w:val="231F20"/>
          <w:spacing w:val="5"/>
          <w:sz w:val="21"/>
          <w:szCs w:val="21"/>
        </w:rPr>
        <w:t>：程恩富学术思想评论》（卡努特</w:t>
      </w:r>
      <w:r>
        <w:rPr>
          <w:rFonts w:hint="eastAsia" w:ascii="宋体" w:hAnsi="宋体" w:eastAsia="宋体" w:cs="宋体"/>
          <w:color w:val="231F20"/>
          <w:spacing w:val="8"/>
          <w:sz w:val="21"/>
          <w:szCs w:val="21"/>
        </w:rPr>
        <w:t>国际出版社2022年版）等著作，这些均在不同程度上体现了“新马派”的国际学术影</w:t>
      </w:r>
      <w:r>
        <w:rPr>
          <w:rFonts w:hint="eastAsia" w:ascii="宋体" w:hAnsi="宋体" w:eastAsia="宋体" w:cs="宋体"/>
          <w:color w:val="231F20"/>
          <w:spacing w:val="3"/>
          <w:sz w:val="21"/>
          <w:szCs w:val="21"/>
        </w:rPr>
        <w:t>响力。</w:t>
      </w:r>
    </w:p>
    <w:p w14:paraId="1FAF6AD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1A3F67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textAlignment w:val="baseline"/>
        <w:rPr>
          <w:rFonts w:hint="eastAsia" w:ascii="宋体" w:hAnsi="宋体" w:eastAsia="宋体" w:cs="宋体"/>
          <w:sz w:val="21"/>
          <w:szCs w:val="21"/>
        </w:rPr>
      </w:pPr>
      <w:r>
        <w:rPr>
          <w:rFonts w:hint="eastAsia" w:ascii="宋体" w:hAnsi="宋体" w:eastAsia="宋体" w:cs="宋体"/>
          <w:color w:val="231F20"/>
          <w:spacing w:val="8"/>
          <w:sz w:val="21"/>
          <w:szCs w:val="21"/>
        </w:rPr>
        <w:t>○谭：中共中央宣传部和教育部联合印发了《面向2035高校哲学社会科学高</w:t>
      </w:r>
      <w:r>
        <w:rPr>
          <w:rFonts w:hint="eastAsia" w:ascii="宋体" w:hAnsi="宋体" w:eastAsia="宋体" w:cs="宋体"/>
          <w:color w:val="231F20"/>
          <w:spacing w:val="7"/>
          <w:sz w:val="21"/>
          <w:szCs w:val="21"/>
        </w:rPr>
        <w:t>质量</w:t>
      </w:r>
      <w:r>
        <w:rPr>
          <w:rFonts w:hint="eastAsia" w:ascii="宋体" w:hAnsi="宋体" w:eastAsia="宋体" w:cs="宋体"/>
          <w:color w:val="231F20"/>
          <w:spacing w:val="2"/>
          <w:sz w:val="21"/>
          <w:szCs w:val="21"/>
        </w:rPr>
        <w:t>发展行动计划》。对此，我们应该怎样认识和贯彻落实呢？</w:t>
      </w:r>
    </w:p>
    <w:p w14:paraId="40628F8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24BA6EC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color w:val="231F20"/>
          <w:spacing w:val="12"/>
          <w:sz w:val="21"/>
          <w:szCs w:val="21"/>
        </w:rPr>
        <w:t>●程：面对“世界百年未有之大变局”和“中华民族伟大复兴战略全局”的国际国内形势，我们要提高政治判断力、政治领悟力、政治执行力，自觉将学术研究、育</w:t>
      </w:r>
      <w:r>
        <w:rPr>
          <w:rFonts w:hint="eastAsia" w:ascii="宋体" w:hAnsi="宋体" w:eastAsia="宋体" w:cs="宋体"/>
          <w:color w:val="231F20"/>
          <w:spacing w:val="16"/>
          <w:sz w:val="21"/>
          <w:szCs w:val="21"/>
        </w:rPr>
        <w:t>人育才、构建中国自主知识体系放到胸怀“国之大者”的大局之中。行动计划提出</w:t>
      </w:r>
      <w:r>
        <w:rPr>
          <w:rFonts w:hint="eastAsia" w:ascii="宋体" w:hAnsi="宋体" w:eastAsia="宋体" w:cs="宋体"/>
          <w:color w:val="231F20"/>
          <w:spacing w:val="5"/>
          <w:sz w:val="21"/>
          <w:szCs w:val="21"/>
        </w:rPr>
        <w:t>“全面落实‘立足中国、借鉴国外，挖掘历史、把握当代，关怀人类、面向未来’的总</w:t>
      </w:r>
      <w:r>
        <w:rPr>
          <w:rFonts w:hint="eastAsia" w:ascii="宋体" w:hAnsi="宋体" w:eastAsia="宋体" w:cs="宋体"/>
          <w:color w:val="231F20"/>
          <w:spacing w:val="8"/>
          <w:sz w:val="21"/>
          <w:szCs w:val="21"/>
        </w:rPr>
        <w:t>体思路，充分体现继承性、民族性、原创性</w:t>
      </w:r>
      <w:r>
        <w:rPr>
          <w:rFonts w:hint="eastAsia" w:ascii="宋体" w:hAnsi="宋体" w:eastAsia="宋体" w:cs="宋体"/>
          <w:color w:val="231F20"/>
          <w:spacing w:val="7"/>
          <w:sz w:val="21"/>
          <w:szCs w:val="21"/>
        </w:rPr>
        <w:t>、时代性、系统性、专业性，推动新发展</w:t>
      </w:r>
      <w:r>
        <w:rPr>
          <w:rFonts w:hint="eastAsia" w:ascii="宋体" w:hAnsi="宋体" w:eastAsia="宋体" w:cs="宋体"/>
          <w:color w:val="231F20"/>
          <w:spacing w:val="8"/>
          <w:sz w:val="21"/>
          <w:szCs w:val="21"/>
        </w:rPr>
        <w:t>阶段高校哲学社会科学高质量发展”，</w:t>
      </w:r>
      <w:r>
        <w:rPr>
          <w:rStyle w:val="20"/>
          <w:rFonts w:hint="eastAsia" w:ascii="宋体" w:hAnsi="宋体" w:eastAsia="宋体" w:cs="宋体"/>
          <w:color w:val="231F20"/>
          <w:spacing w:val="8"/>
          <w:sz w:val="21"/>
          <w:szCs w:val="21"/>
        </w:rPr>
        <w:footnoteReference w:id="1031"/>
      </w:r>
      <w:r>
        <w:rPr>
          <w:rFonts w:hint="eastAsia" w:ascii="宋体" w:hAnsi="宋体" w:eastAsia="宋体" w:cs="宋体"/>
          <w:color w:val="231F20"/>
          <w:spacing w:val="8"/>
          <w:sz w:val="21"/>
          <w:szCs w:val="21"/>
        </w:rPr>
        <w:t>这就需要牢固确立“四个</w:t>
      </w:r>
      <w:r>
        <w:rPr>
          <w:rFonts w:hint="eastAsia" w:ascii="宋体" w:hAnsi="宋体" w:eastAsia="宋体" w:cs="宋体"/>
          <w:color w:val="231F20"/>
          <w:spacing w:val="7"/>
          <w:sz w:val="21"/>
          <w:szCs w:val="21"/>
        </w:rPr>
        <w:t>自信”，坚持马克思主</w:t>
      </w:r>
      <w:r>
        <w:rPr>
          <w:rFonts w:hint="eastAsia" w:ascii="宋体" w:hAnsi="宋体" w:eastAsia="宋体" w:cs="宋体"/>
          <w:color w:val="231F20"/>
          <w:spacing w:val="11"/>
          <w:sz w:val="21"/>
          <w:szCs w:val="21"/>
        </w:rPr>
        <w:t>义基本原理，并赋予鲜明中国特色，推进道路自信、理论自信、制度自信、文化自信</w:t>
      </w:r>
      <w:r>
        <w:rPr>
          <w:rFonts w:hint="eastAsia" w:ascii="宋体" w:hAnsi="宋体" w:eastAsia="宋体" w:cs="宋体"/>
          <w:color w:val="231F20"/>
          <w:spacing w:val="10"/>
          <w:sz w:val="21"/>
          <w:szCs w:val="21"/>
        </w:rPr>
        <w:t>的统一，积极传播“中国声音、中国理论、</w:t>
      </w:r>
      <w:r>
        <w:rPr>
          <w:rFonts w:hint="eastAsia" w:ascii="宋体" w:hAnsi="宋体" w:eastAsia="宋体" w:cs="宋体"/>
          <w:color w:val="231F20"/>
          <w:spacing w:val="9"/>
          <w:sz w:val="21"/>
          <w:szCs w:val="21"/>
        </w:rPr>
        <w:t>中国思想”，让世界更好地读懂中国。同时，更加“坚定历史自信”，在中国自主知识体系构建中，科学诠释中国共产党人的历</w:t>
      </w:r>
      <w:r>
        <w:rPr>
          <w:rFonts w:hint="eastAsia" w:ascii="宋体" w:hAnsi="宋体" w:eastAsia="宋体" w:cs="宋体"/>
          <w:color w:val="231F20"/>
          <w:spacing w:val="10"/>
          <w:sz w:val="21"/>
          <w:szCs w:val="21"/>
        </w:rPr>
        <w:t>史自信，既是对奋斗成就的自信，也是对奋斗精神的自信。</w:t>
      </w:r>
    </w:p>
    <w:p w14:paraId="3BEE0DE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“新马派”以28字方针为学术创新方法论，以当代中外市场经济实践为源泉</w:t>
      </w:r>
      <w:r>
        <w:rPr>
          <w:rFonts w:hint="eastAsia" w:ascii="宋体" w:hAnsi="宋体" w:eastAsia="宋体" w:cs="宋体"/>
          <w:color w:val="231F20"/>
          <w:spacing w:val="6"/>
          <w:sz w:val="21"/>
          <w:szCs w:val="21"/>
        </w:rPr>
        <w:t>，积极</w:t>
      </w:r>
      <w:r>
        <w:rPr>
          <w:rFonts w:hint="eastAsia" w:ascii="宋体" w:hAnsi="宋体" w:eastAsia="宋体" w:cs="宋体"/>
          <w:color w:val="231F20"/>
          <w:spacing w:val="15"/>
          <w:sz w:val="21"/>
          <w:szCs w:val="21"/>
        </w:rPr>
        <w:t>吸纳古今中外各种经济思想的合理成分，广泛借鉴中外社会科学和自然科学的方法，</w:t>
      </w:r>
      <w:r>
        <w:rPr>
          <w:rFonts w:hint="eastAsia" w:ascii="宋体" w:hAnsi="宋体" w:eastAsia="宋体" w:cs="宋体"/>
          <w:color w:val="231F20"/>
          <w:spacing w:val="13"/>
          <w:sz w:val="21"/>
          <w:szCs w:val="21"/>
        </w:rPr>
        <w:t>构建超越苏联经济学范式和西方经济学范式的新范式</w:t>
      </w:r>
      <w:r>
        <w:rPr>
          <w:rFonts w:hint="eastAsia" w:ascii="宋体" w:hAnsi="宋体" w:eastAsia="宋体" w:cs="宋体"/>
          <w:color w:val="231F20"/>
          <w:spacing w:val="12"/>
          <w:sz w:val="21"/>
          <w:szCs w:val="21"/>
        </w:rPr>
        <w:t>，是构建中国自主的现代政治经济学知识体系的重要尝试。当然，我们还要继续坚持守正创新与批判超越并重的学术</w:t>
      </w:r>
      <w:r>
        <w:rPr>
          <w:rFonts w:hint="eastAsia" w:ascii="宋体" w:hAnsi="宋体" w:eastAsia="宋体" w:cs="宋体"/>
          <w:color w:val="231F20"/>
          <w:spacing w:val="10"/>
          <w:sz w:val="21"/>
          <w:szCs w:val="21"/>
        </w:rPr>
        <w:t>原则，与国内外同行一起，不断发展现代马克思主义政治经济学，不断完善中国特色</w:t>
      </w:r>
      <w:r>
        <w:rPr>
          <w:rFonts w:hint="eastAsia" w:ascii="宋体" w:hAnsi="宋体" w:eastAsia="宋体" w:cs="宋体"/>
          <w:color w:val="231F20"/>
          <w:spacing w:val="7"/>
          <w:sz w:val="21"/>
          <w:szCs w:val="21"/>
        </w:rPr>
        <w:t>社会主义政治经济学理论体系、范畴体系、方法体系和话语体系。</w:t>
      </w:r>
    </w:p>
    <w:p w14:paraId="4191E1BE">
      <w:pPr>
        <w:keepNext w:val="0"/>
        <w:keepLines w:val="0"/>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z w:val="21"/>
          <w:szCs w:val="21"/>
          <w:lang w:eastAsia="zh-CN"/>
        </w:rPr>
      </w:pPr>
    </w:p>
    <w:p w14:paraId="6C5F080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5D01694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lang w:eastAsia="zh-CN"/>
        </w:rPr>
        <w:sectPr>
          <w:headerReference r:id="rId18" w:type="default"/>
          <w:footerReference r:id="rId19" w:type="default"/>
          <w:footnotePr>
            <w:numFmt w:val="decimalEnclosedCircleChinese"/>
            <w:numRestart w:val="eachPage"/>
          </w:footnotePr>
          <w:type w:val="continuous"/>
          <w:pgSz w:w="11906" w:h="16158"/>
          <w:pgMar w:top="1327" w:right="1493" w:bottom="1294" w:left="1327" w:header="932" w:footer="1071" w:gutter="0"/>
          <w:pgNumType w:fmt="decimal"/>
          <w:cols w:space="720" w:num="1"/>
        </w:sect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原载</w:t>
      </w:r>
      <w:r>
        <w:rPr>
          <w:rFonts w:hint="eastAsia" w:ascii="Times New Roman" w:hAnsi="Times New Roman" w:eastAsia="宋体" w:cs="Times New Roman"/>
          <w:sz w:val="24"/>
          <w:szCs w:val="24"/>
          <w:lang w:val="en-US" w:eastAsia="zh-CN"/>
        </w:rPr>
        <w:t>《学术评论》2025年第2期，第二作者为谭泓。</w:t>
      </w:r>
      <w:r>
        <w:rPr>
          <w:rFonts w:hint="eastAsia" w:ascii="宋体" w:hAnsi="宋体" w:eastAsia="宋体" w:cs="宋体"/>
          <w:sz w:val="21"/>
          <w:szCs w:val="21"/>
          <w:lang w:eastAsia="zh-CN"/>
        </w:rPr>
        <w:t>）</w:t>
      </w:r>
    </w:p>
    <w:p w14:paraId="017F3FB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795A4B5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4EB67611">
      <w:pPr>
        <w:pStyle w:val="2"/>
        <w:bidi w:val="0"/>
        <w:rPr>
          <w:rFonts w:hint="eastAsia"/>
        </w:rPr>
      </w:pPr>
      <w:bookmarkStart w:id="709" w:name="_Toc152685388"/>
      <w:bookmarkStart w:id="710" w:name="_Toc390433388"/>
      <w:bookmarkStart w:id="711" w:name="_Toc253570296"/>
      <w:bookmarkStart w:id="712" w:name="_Toc19364"/>
      <w:bookmarkStart w:id="713" w:name="_Toc1405386668"/>
      <w:bookmarkStart w:id="714" w:name="_Toc249227036"/>
      <w:r>
        <w:rPr>
          <w:rFonts w:hint="eastAsia"/>
          <w:lang w:val="en-US" w:eastAsia="zh-CN"/>
        </w:rPr>
        <w:t>7</w:t>
      </w:r>
      <w:r>
        <w:rPr>
          <w:rFonts w:hint="eastAsia"/>
        </w:rPr>
        <w:t>数字资本双重属性赋能共同富裕—理论逻辑与实践路径</w:t>
      </w:r>
      <w:bookmarkEnd w:id="709"/>
      <w:bookmarkEnd w:id="710"/>
      <w:bookmarkEnd w:id="711"/>
      <w:bookmarkEnd w:id="712"/>
      <w:bookmarkEnd w:id="713"/>
      <w:bookmarkEnd w:id="714"/>
    </w:p>
    <w:p w14:paraId="7C99310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rPr>
          <w:rFonts w:hint="eastAsia" w:ascii="宋体" w:hAnsi="宋体" w:eastAsia="宋体" w:cs="宋体"/>
          <w:sz w:val="21"/>
          <w:szCs w:val="21"/>
        </w:rPr>
      </w:pPr>
      <w:r>
        <w:rPr>
          <w:rFonts w:hint="eastAsia" w:ascii="宋体" w:hAnsi="宋体" w:eastAsia="宋体" w:cs="宋体"/>
          <w:spacing w:val="9"/>
          <w:sz w:val="21"/>
          <w:szCs w:val="21"/>
        </w:rPr>
        <w:t>内容摘要:推动数字经济健康发展,在</w:t>
      </w:r>
      <w:r>
        <w:rPr>
          <w:rFonts w:hint="eastAsia" w:ascii="宋体" w:hAnsi="宋体" w:eastAsia="宋体" w:cs="宋体"/>
          <w:spacing w:val="8"/>
          <w:sz w:val="21"/>
          <w:szCs w:val="21"/>
        </w:rPr>
        <w:t>高质量发展中促进共同富裕,是新时代新阶段的两大中心课题。数字资本</w:t>
      </w:r>
      <w:r>
        <w:rPr>
          <w:rFonts w:hint="eastAsia" w:ascii="宋体" w:hAnsi="宋体" w:eastAsia="宋体" w:cs="宋体"/>
          <w:spacing w:val="9"/>
          <w:sz w:val="21"/>
          <w:szCs w:val="21"/>
        </w:rPr>
        <w:t>是继产业资本、金融资本后新的资本样态,在社会化大生产中日益占</w:t>
      </w:r>
      <w:r>
        <w:rPr>
          <w:rFonts w:hint="eastAsia" w:ascii="宋体" w:hAnsi="宋体" w:eastAsia="宋体" w:cs="宋体"/>
          <w:spacing w:val="8"/>
          <w:sz w:val="21"/>
          <w:szCs w:val="21"/>
        </w:rPr>
        <w:t>据统治地位。数字资本兼具资本的生产关系</w:t>
      </w:r>
      <w:r>
        <w:rPr>
          <w:rFonts w:hint="eastAsia" w:ascii="宋体" w:hAnsi="宋体" w:eastAsia="宋体" w:cs="宋体"/>
          <w:spacing w:val="18"/>
          <w:sz w:val="21"/>
          <w:szCs w:val="21"/>
        </w:rPr>
        <w:t>属性和生产功能属性,数字资本生产功能属性凸显优化资源配置、提高劳动生产率和形成新质生产力的赋能效应,为实现共同富裕奠定物质基础。数字资本生产关系属</w:t>
      </w:r>
      <w:r>
        <w:rPr>
          <w:rFonts w:hint="eastAsia" w:ascii="宋体" w:hAnsi="宋体" w:eastAsia="宋体" w:cs="宋体"/>
          <w:spacing w:val="17"/>
          <w:sz w:val="21"/>
          <w:szCs w:val="21"/>
        </w:rPr>
        <w:t>性体现为数字资本所有者对剩余劳动和剩余价值的占有,具</w:t>
      </w:r>
      <w:r>
        <w:rPr>
          <w:rFonts w:hint="eastAsia" w:ascii="宋体" w:hAnsi="宋体" w:eastAsia="宋体" w:cs="宋体"/>
          <w:spacing w:val="18"/>
          <w:sz w:val="21"/>
          <w:szCs w:val="21"/>
        </w:rPr>
        <w:t>有加剧社会财富分化和分配异化的负面效应。数字资本双重属性赋能共同富裕具有不同的制度绩</w:t>
      </w:r>
      <w:r>
        <w:rPr>
          <w:rFonts w:hint="eastAsia" w:ascii="宋体" w:hAnsi="宋体" w:eastAsia="宋体" w:cs="宋体"/>
          <w:spacing w:val="17"/>
          <w:sz w:val="21"/>
          <w:szCs w:val="21"/>
        </w:rPr>
        <w:t>效,公有制为数</w:t>
      </w:r>
      <w:r>
        <w:rPr>
          <w:rFonts w:hint="eastAsia" w:ascii="宋体" w:hAnsi="宋体" w:eastAsia="宋体" w:cs="宋体"/>
          <w:spacing w:val="18"/>
          <w:sz w:val="21"/>
          <w:szCs w:val="21"/>
        </w:rPr>
        <w:t>字资本赋能共同富裕提供制度基础,按劳分配保障数字财富全民共享。为此,</w:t>
      </w:r>
      <w:r>
        <w:rPr>
          <w:rFonts w:hint="eastAsia" w:ascii="宋体" w:hAnsi="宋体" w:eastAsia="宋体" w:cs="宋体"/>
          <w:spacing w:val="17"/>
          <w:sz w:val="21"/>
          <w:szCs w:val="21"/>
        </w:rPr>
        <w:t>立足马克思主义政治经济学视角,为</w:t>
      </w:r>
      <w:r>
        <w:rPr>
          <w:rFonts w:hint="eastAsia" w:ascii="宋体" w:hAnsi="宋体" w:eastAsia="宋体" w:cs="宋体"/>
          <w:spacing w:val="20"/>
          <w:sz w:val="21"/>
          <w:szCs w:val="21"/>
        </w:rPr>
        <w:t>规范和引导数字资本赋能共同富裕提供理论支持</w:t>
      </w:r>
      <w:r>
        <w:rPr>
          <w:rFonts w:hint="eastAsia" w:ascii="宋体" w:hAnsi="宋体" w:eastAsia="宋体" w:cs="宋体"/>
          <w:spacing w:val="19"/>
          <w:sz w:val="21"/>
          <w:szCs w:val="21"/>
        </w:rPr>
        <w:t>和政策建议。</w:t>
      </w:r>
    </w:p>
    <w:p w14:paraId="7238A80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sz w:val="21"/>
          <w:szCs w:val="21"/>
        </w:rPr>
        <w:t>关键词:数字资本;新质生产力;收入分配;贫富差距;制度绩效</w:t>
      </w:r>
    </w:p>
    <w:p w14:paraId="01263B6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03D9CEB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textAlignment w:val="baseline"/>
        <w:outlineLvl w:val="1"/>
        <w:rPr>
          <w:rFonts w:hint="eastAsia" w:ascii="宋体" w:hAnsi="宋体" w:eastAsia="宋体" w:cs="宋体"/>
          <w:sz w:val="21"/>
          <w:szCs w:val="21"/>
        </w:rPr>
      </w:pPr>
      <w:bookmarkStart w:id="715" w:name="_Toc2087841598"/>
      <w:bookmarkStart w:id="716" w:name="_Toc1148409224"/>
      <w:bookmarkStart w:id="717" w:name="_Toc18422"/>
      <w:bookmarkStart w:id="718" w:name="_Toc1451410531"/>
      <w:bookmarkStart w:id="719" w:name="_Toc161095723"/>
      <w:bookmarkStart w:id="720" w:name="_Toc1165682402"/>
      <w:r>
        <w:rPr>
          <w:rFonts w:hint="eastAsia" w:ascii="宋体" w:hAnsi="宋体" w:eastAsia="宋体" w:cs="宋体"/>
          <w:spacing w:val="1"/>
          <w:sz w:val="21"/>
          <w:szCs w:val="21"/>
        </w:rPr>
        <w:t>一、引言和文献综述</w:t>
      </w:r>
      <w:bookmarkEnd w:id="715"/>
      <w:bookmarkEnd w:id="716"/>
      <w:bookmarkEnd w:id="717"/>
      <w:bookmarkEnd w:id="718"/>
      <w:bookmarkEnd w:id="719"/>
      <w:bookmarkEnd w:id="720"/>
    </w:p>
    <w:p w14:paraId="4222C04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rPr>
          <w:rFonts w:hint="eastAsia" w:ascii="宋体" w:hAnsi="宋体" w:eastAsia="宋体" w:cs="宋体"/>
          <w:sz w:val="21"/>
          <w:szCs w:val="21"/>
        </w:rPr>
      </w:pPr>
      <w:r>
        <w:rPr>
          <w:rFonts w:hint="eastAsia" w:ascii="宋体" w:hAnsi="宋体" w:eastAsia="宋体" w:cs="宋体"/>
          <w:spacing w:val="3"/>
          <w:sz w:val="21"/>
          <w:szCs w:val="21"/>
        </w:rPr>
        <w:t>社会主义市场经济条件下规范和引导资本健康发展,发挥资本作为重要生产要素的积极作</w:t>
      </w:r>
      <w:r>
        <w:rPr>
          <w:rFonts w:hint="eastAsia" w:ascii="宋体" w:hAnsi="宋体" w:eastAsia="宋体" w:cs="宋体"/>
          <w:spacing w:val="20"/>
          <w:sz w:val="21"/>
          <w:szCs w:val="21"/>
        </w:rPr>
        <w:t>用,对于加快形成新质生产力和促进共同富裕具有</w:t>
      </w:r>
      <w:r>
        <w:rPr>
          <w:rFonts w:hint="eastAsia" w:ascii="宋体" w:hAnsi="宋体" w:eastAsia="宋体" w:cs="宋体"/>
          <w:spacing w:val="19"/>
          <w:sz w:val="21"/>
          <w:szCs w:val="21"/>
        </w:rPr>
        <w:t>重要理论意蕴和现实指向。数字资本依托数字</w:t>
      </w:r>
      <w:r>
        <w:rPr>
          <w:rFonts w:hint="eastAsia" w:ascii="宋体" w:hAnsi="宋体" w:eastAsia="宋体" w:cs="宋体"/>
          <w:spacing w:val="17"/>
          <w:sz w:val="21"/>
          <w:szCs w:val="21"/>
        </w:rPr>
        <w:t>技术,由数字劳动生产并为资本持续创造剩余价值,是继产业资本、金融资本后的新型资本形态。党的二十大和中央经济工作会议提出,正确认识和把握资本的特性和行为规律,为资本设置“红绿灯”。数字资本一方面具有生产功能属性,作为生产要</w:t>
      </w:r>
      <w:r>
        <w:rPr>
          <w:rFonts w:hint="eastAsia" w:ascii="宋体" w:hAnsi="宋体" w:eastAsia="宋体" w:cs="宋体"/>
          <w:spacing w:val="16"/>
          <w:sz w:val="21"/>
          <w:szCs w:val="21"/>
        </w:rPr>
        <w:t>素促进生产力的发展和增加社会财富,另一</w:t>
      </w:r>
      <w:r>
        <w:rPr>
          <w:rFonts w:hint="eastAsia" w:ascii="宋体" w:hAnsi="宋体" w:eastAsia="宋体" w:cs="宋体"/>
          <w:spacing w:val="21"/>
          <w:sz w:val="21"/>
          <w:szCs w:val="21"/>
        </w:rPr>
        <w:t>方面数字资本具有生产关系属性,数字资本异化</w:t>
      </w:r>
      <w:r>
        <w:rPr>
          <w:rFonts w:hint="eastAsia" w:ascii="宋体" w:hAnsi="宋体" w:eastAsia="宋体" w:cs="宋体"/>
          <w:spacing w:val="20"/>
          <w:sz w:val="21"/>
          <w:szCs w:val="21"/>
        </w:rPr>
        <w:t>对物质财富公平分配和精神财富效用产生负面影</w:t>
      </w:r>
      <w:r>
        <w:rPr>
          <w:rFonts w:hint="eastAsia" w:ascii="宋体" w:hAnsi="宋体" w:eastAsia="宋体" w:cs="宋体"/>
          <w:spacing w:val="21"/>
          <w:sz w:val="21"/>
          <w:szCs w:val="21"/>
        </w:rPr>
        <w:t>响,不利于共同富裕目标实现和人的全面发展。基于不同的经济制度条件,数字资本双重属性对</w:t>
      </w:r>
      <w:r>
        <w:rPr>
          <w:rFonts w:hint="eastAsia" w:ascii="宋体" w:hAnsi="宋体" w:eastAsia="宋体" w:cs="宋体"/>
          <w:spacing w:val="20"/>
          <w:sz w:val="21"/>
          <w:szCs w:val="21"/>
        </w:rPr>
        <w:t>社会财富生产和分配产生不同影响效应。党的二十届三</w:t>
      </w:r>
      <w:r>
        <w:rPr>
          <w:rFonts w:hint="eastAsia" w:ascii="宋体" w:hAnsi="宋体" w:eastAsia="宋体" w:cs="宋体"/>
          <w:spacing w:val="19"/>
          <w:sz w:val="21"/>
          <w:szCs w:val="21"/>
        </w:rPr>
        <w:t>中全会聚焦提高人民生活品质,推动人的</w:t>
      </w:r>
      <w:r>
        <w:rPr>
          <w:rFonts w:hint="eastAsia" w:ascii="宋体" w:hAnsi="宋体" w:eastAsia="宋体" w:cs="宋体"/>
          <w:spacing w:val="15"/>
          <w:sz w:val="21"/>
          <w:szCs w:val="21"/>
        </w:rPr>
        <w:t>全面发展、全体人民共同富裕取得更为明显的实质性进展</w:t>
      </w:r>
      <w:r>
        <w:rPr>
          <w:rStyle w:val="20"/>
          <w:rFonts w:hint="eastAsia" w:ascii="宋体" w:hAnsi="宋体" w:eastAsia="宋体" w:cs="宋体"/>
          <w:spacing w:val="15"/>
          <w:sz w:val="21"/>
          <w:szCs w:val="21"/>
        </w:rPr>
        <w:footnoteReference w:id="1032"/>
      </w:r>
      <w:r>
        <w:rPr>
          <w:rFonts w:hint="eastAsia" w:ascii="宋体" w:hAnsi="宋体" w:eastAsia="宋体" w:cs="宋体"/>
          <w:spacing w:val="15"/>
          <w:sz w:val="21"/>
          <w:szCs w:val="21"/>
        </w:rPr>
        <w:t>。因此,对如何在数字经</w:t>
      </w:r>
      <w:r>
        <w:rPr>
          <w:rFonts w:hint="eastAsia" w:ascii="宋体" w:hAnsi="宋体" w:eastAsia="宋体" w:cs="宋体"/>
          <w:spacing w:val="14"/>
          <w:sz w:val="21"/>
          <w:szCs w:val="21"/>
        </w:rPr>
        <w:t>济时代最大限</w:t>
      </w:r>
      <w:r>
        <w:rPr>
          <w:rFonts w:hint="eastAsia" w:ascii="宋体" w:hAnsi="宋体" w:eastAsia="宋体" w:cs="宋体"/>
          <w:spacing w:val="21"/>
          <w:sz w:val="21"/>
          <w:szCs w:val="21"/>
        </w:rPr>
        <w:t>度发挥数字资本生产功能属性创造社会财富,如</w:t>
      </w:r>
      <w:r>
        <w:rPr>
          <w:rFonts w:hint="eastAsia" w:ascii="宋体" w:hAnsi="宋体" w:eastAsia="宋体" w:cs="宋体"/>
          <w:spacing w:val="20"/>
          <w:sz w:val="21"/>
          <w:szCs w:val="21"/>
        </w:rPr>
        <w:t>何在公有制基础上协调数字资本生产关系属性促</w:t>
      </w:r>
      <w:r>
        <w:rPr>
          <w:rFonts w:hint="eastAsia" w:ascii="宋体" w:hAnsi="宋体" w:eastAsia="宋体" w:cs="宋体"/>
          <w:spacing w:val="18"/>
          <w:sz w:val="21"/>
          <w:szCs w:val="21"/>
        </w:rPr>
        <w:t>进共同富裕问题的研究具有重要理论意义和应用价</w:t>
      </w:r>
      <w:r>
        <w:rPr>
          <w:rFonts w:hint="eastAsia" w:ascii="宋体" w:hAnsi="宋体" w:eastAsia="宋体" w:cs="宋体"/>
          <w:spacing w:val="17"/>
          <w:sz w:val="21"/>
          <w:szCs w:val="21"/>
        </w:rPr>
        <w:t>值。</w:t>
      </w:r>
    </w:p>
    <w:p w14:paraId="5CB0A36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数字经济赋能共同富裕的研究成为当前学术界关注的焦点,已有研究</w:t>
      </w:r>
      <w:r>
        <w:rPr>
          <w:rFonts w:hint="eastAsia" w:ascii="宋体" w:hAnsi="宋体" w:eastAsia="宋体" w:cs="宋体"/>
          <w:spacing w:val="19"/>
          <w:sz w:val="21"/>
          <w:szCs w:val="21"/>
        </w:rPr>
        <w:t>主要集中在剖析数字经</w:t>
      </w:r>
      <w:r>
        <w:rPr>
          <w:rFonts w:hint="eastAsia" w:ascii="宋体" w:hAnsi="宋体" w:eastAsia="宋体" w:cs="宋体"/>
          <w:spacing w:val="15"/>
          <w:sz w:val="21"/>
          <w:szCs w:val="21"/>
        </w:rPr>
        <w:t>济赋能高质量发展、加快形成新质生产力和推进共同富裕的机理和路径。周</w:t>
      </w:r>
      <w:r>
        <w:rPr>
          <w:rFonts w:hint="eastAsia" w:ascii="宋体" w:hAnsi="宋体" w:eastAsia="宋体" w:cs="宋体"/>
          <w:spacing w:val="14"/>
          <w:sz w:val="21"/>
          <w:szCs w:val="21"/>
        </w:rPr>
        <w:t>文和韩文龙(2023)认</w:t>
      </w:r>
      <w:r>
        <w:rPr>
          <w:rFonts w:hint="eastAsia" w:ascii="宋体" w:hAnsi="宋体" w:eastAsia="宋体" w:cs="宋体"/>
          <w:spacing w:val="2"/>
          <w:sz w:val="21"/>
          <w:szCs w:val="21"/>
        </w:rPr>
        <w:t>为数字财富正在成为推进共同富裕的重要力量,数字劳动和数据要素是创造数字财富的重要源</w:t>
      </w:r>
      <w:r>
        <w:rPr>
          <w:rFonts w:hint="eastAsia" w:ascii="宋体" w:hAnsi="宋体" w:eastAsia="宋体" w:cs="宋体"/>
          <w:spacing w:val="21"/>
          <w:sz w:val="21"/>
          <w:szCs w:val="21"/>
        </w:rPr>
        <w:t>泉,提出社会主义市场经济中数字财富创造和数</w:t>
      </w:r>
      <w:r>
        <w:rPr>
          <w:rFonts w:hint="eastAsia" w:ascii="宋体" w:hAnsi="宋体" w:eastAsia="宋体" w:cs="宋体"/>
          <w:spacing w:val="20"/>
          <w:sz w:val="21"/>
          <w:szCs w:val="21"/>
        </w:rPr>
        <w:t>字财富分配的原则和推进全体人民共同富裕的路</w:t>
      </w:r>
      <w:r>
        <w:rPr>
          <w:rFonts w:hint="eastAsia" w:ascii="宋体" w:hAnsi="宋体" w:eastAsia="宋体" w:cs="宋体"/>
          <w:spacing w:val="16"/>
          <w:sz w:val="21"/>
          <w:szCs w:val="21"/>
        </w:rPr>
        <w:t>径</w:t>
      </w:r>
      <w:r>
        <w:rPr>
          <w:rStyle w:val="20"/>
          <w:rFonts w:hint="eastAsia" w:ascii="宋体" w:hAnsi="宋体" w:eastAsia="宋体" w:cs="宋体"/>
          <w:spacing w:val="-20"/>
          <w:sz w:val="21"/>
          <w:szCs w:val="21"/>
        </w:rPr>
        <w:footnoteReference w:id="1033"/>
      </w:r>
      <w:r>
        <w:rPr>
          <w:rFonts w:hint="eastAsia" w:ascii="宋体" w:hAnsi="宋体" w:eastAsia="宋体" w:cs="宋体"/>
          <w:spacing w:val="16"/>
          <w:sz w:val="21"/>
          <w:szCs w:val="21"/>
        </w:rPr>
        <w:t>。相关研究从劳动过程和价值增殖过程角度分析数字经</w:t>
      </w:r>
      <w:r>
        <w:rPr>
          <w:rFonts w:hint="eastAsia" w:ascii="宋体" w:hAnsi="宋体" w:eastAsia="宋体" w:cs="宋体"/>
          <w:spacing w:val="15"/>
          <w:sz w:val="21"/>
          <w:szCs w:val="21"/>
        </w:rPr>
        <w:t>济对共同富裕的影响(王赞新,</w:t>
      </w:r>
      <w:r>
        <w:rPr>
          <w:rFonts w:hint="eastAsia" w:ascii="宋体" w:hAnsi="宋体" w:eastAsia="宋体" w:cs="宋体"/>
          <w:spacing w:val="15"/>
          <w:position w:val="-1"/>
          <w:sz w:val="21"/>
          <w:szCs w:val="21"/>
        </w:rPr>
        <w:t>2023)</w:t>
      </w:r>
      <w:r>
        <w:rPr>
          <w:rFonts w:hint="eastAsia" w:ascii="宋体" w:hAnsi="宋体" w:eastAsia="宋体" w:cs="宋体"/>
          <w:spacing w:val="15"/>
          <w:sz w:val="21"/>
          <w:szCs w:val="21"/>
        </w:rPr>
        <w:t>。也有学者从实证层面探究中国式现代化视阈下数字经济的共同富裕效应</w:t>
      </w:r>
      <w:r>
        <w:rPr>
          <w:rFonts w:hint="eastAsia" w:ascii="宋体" w:hAnsi="宋体" w:eastAsia="宋体" w:cs="宋体"/>
          <w:spacing w:val="14"/>
          <w:sz w:val="21"/>
          <w:szCs w:val="21"/>
        </w:rPr>
        <w:t>。万广华、宋婕(2024)基</w:t>
      </w:r>
      <w:r>
        <w:rPr>
          <w:rFonts w:hint="eastAsia" w:ascii="宋体" w:hAnsi="宋体" w:eastAsia="宋体" w:cs="宋体"/>
          <w:spacing w:val="22"/>
          <w:sz w:val="21"/>
          <w:szCs w:val="21"/>
        </w:rPr>
        <w:t>于中国家庭收入调查和城市层面数据,估算数字经济对共同富裕的影响,研究表明数字经济具有</w:t>
      </w:r>
      <w:r>
        <w:rPr>
          <w:rFonts w:hint="eastAsia" w:ascii="宋体" w:hAnsi="宋体" w:eastAsia="宋体" w:cs="宋体"/>
          <w:spacing w:val="19"/>
          <w:sz w:val="21"/>
          <w:szCs w:val="21"/>
        </w:rPr>
        <w:t>显著增长效应,静态上数字经济是收入不均等的重要来源,扩大不同收入群体间的收入差距,动态</w:t>
      </w:r>
      <w:r>
        <w:rPr>
          <w:rFonts w:hint="eastAsia" w:ascii="宋体" w:hAnsi="宋体" w:eastAsia="宋体" w:cs="宋体"/>
          <w:spacing w:val="17"/>
          <w:sz w:val="21"/>
          <w:szCs w:val="21"/>
        </w:rPr>
        <w:t>上数字经济分配效应逐渐增强,增长效应持续显著</w:t>
      </w:r>
      <w:r>
        <w:rPr>
          <w:rStyle w:val="20"/>
          <w:rFonts w:hint="eastAsia" w:ascii="宋体" w:hAnsi="宋体" w:eastAsia="宋体" w:cs="宋体"/>
          <w:spacing w:val="17"/>
          <w:sz w:val="21"/>
          <w:szCs w:val="21"/>
        </w:rPr>
        <w:footnoteReference w:id="1034"/>
      </w:r>
      <w:r>
        <w:rPr>
          <w:rFonts w:hint="eastAsia" w:ascii="宋体" w:hAnsi="宋体" w:eastAsia="宋体" w:cs="宋体"/>
          <w:spacing w:val="17"/>
          <w:sz w:val="21"/>
          <w:szCs w:val="21"/>
        </w:rPr>
        <w:t>。</w:t>
      </w:r>
    </w:p>
    <w:p w14:paraId="32F335A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关于对数字资本和数字资本主义批判性研究,重点</w:t>
      </w:r>
      <w:r>
        <w:rPr>
          <w:rFonts w:hint="eastAsia" w:ascii="宋体" w:hAnsi="宋体" w:eastAsia="宋体" w:cs="宋体"/>
          <w:spacing w:val="19"/>
          <w:sz w:val="21"/>
          <w:szCs w:val="21"/>
        </w:rPr>
        <w:t>剖析数字资本的运行规律和作用机制。基</w:t>
      </w:r>
      <w:r>
        <w:rPr>
          <w:rFonts w:hint="eastAsia" w:ascii="宋体" w:hAnsi="宋体" w:eastAsia="宋体" w:cs="宋体"/>
          <w:spacing w:val="18"/>
          <w:sz w:val="21"/>
          <w:szCs w:val="21"/>
        </w:rPr>
        <w:t>于马克思主义资本理论,盖凯程和李孟杰(2024)从主导、扩张和权力三</w:t>
      </w:r>
      <w:r>
        <w:rPr>
          <w:rFonts w:hint="eastAsia" w:ascii="宋体" w:hAnsi="宋体" w:eastAsia="宋体" w:cs="宋体"/>
          <w:spacing w:val="17"/>
          <w:sz w:val="21"/>
          <w:szCs w:val="21"/>
        </w:rPr>
        <w:t>重逻辑分析数字资本特性</w:t>
      </w:r>
      <w:r>
        <w:rPr>
          <w:rFonts w:hint="eastAsia" w:ascii="宋体" w:hAnsi="宋体" w:eastAsia="宋体" w:cs="宋体"/>
          <w:spacing w:val="22"/>
          <w:sz w:val="21"/>
          <w:szCs w:val="21"/>
        </w:rPr>
        <w:t>与行为规律,指出既要引导数字资本发展新质生产力,又要引</w:t>
      </w:r>
      <w:r>
        <w:rPr>
          <w:rFonts w:hint="eastAsia" w:ascii="宋体" w:hAnsi="宋体" w:eastAsia="宋体" w:cs="宋体"/>
          <w:spacing w:val="21"/>
          <w:sz w:val="21"/>
          <w:szCs w:val="21"/>
        </w:rPr>
        <w:t>导数字资本符合社会主义原则和方</w:t>
      </w:r>
      <w:r>
        <w:rPr>
          <w:rFonts w:hint="eastAsia" w:ascii="宋体" w:hAnsi="宋体" w:eastAsia="宋体" w:cs="宋体"/>
          <w:spacing w:val="13"/>
          <w:sz w:val="21"/>
          <w:szCs w:val="21"/>
        </w:rPr>
        <w:t>向。数字资本主义的发展呈现出数字资本增殖逻辑下的“竞争-垄断”特征、数字资本扩</w:t>
      </w:r>
      <w:r>
        <w:rPr>
          <w:rFonts w:hint="eastAsia" w:ascii="宋体" w:hAnsi="宋体" w:eastAsia="宋体" w:cs="宋体"/>
          <w:spacing w:val="12"/>
          <w:sz w:val="21"/>
          <w:szCs w:val="21"/>
        </w:rPr>
        <w:t>张逻辑下</w:t>
      </w:r>
      <w:r>
        <w:rPr>
          <w:rFonts w:hint="eastAsia" w:ascii="宋体" w:hAnsi="宋体" w:eastAsia="宋体" w:cs="宋体"/>
          <w:spacing w:val="13"/>
          <w:sz w:val="21"/>
          <w:szCs w:val="21"/>
        </w:rPr>
        <w:t>的“中心-边缘”控制以及数字资本物化逻辑下的“多维-单向”压制的趋势,扬弃和超越数字资本</w:t>
      </w:r>
      <w:r>
        <w:rPr>
          <w:rFonts w:hint="eastAsia" w:ascii="宋体" w:hAnsi="宋体" w:eastAsia="宋体" w:cs="宋体"/>
          <w:spacing w:val="-7"/>
          <w:sz w:val="21"/>
          <w:szCs w:val="21"/>
        </w:rPr>
        <w:t>逻辑,提出实现从“资本”向“人本”回归的实践路径(叶龙祥、钟锦宸,</w:t>
      </w:r>
      <w:r>
        <w:rPr>
          <w:rFonts w:hint="eastAsia" w:ascii="宋体" w:hAnsi="宋体" w:eastAsia="宋体" w:cs="宋体"/>
          <w:spacing w:val="-7"/>
          <w:position w:val="-1"/>
          <w:sz w:val="21"/>
          <w:szCs w:val="21"/>
        </w:rPr>
        <w:t>2024)</w:t>
      </w:r>
      <w:r>
        <w:rPr>
          <w:rFonts w:hint="eastAsia" w:ascii="宋体" w:hAnsi="宋体" w:eastAsia="宋体" w:cs="宋体"/>
          <w:spacing w:val="-7"/>
          <w:sz w:val="21"/>
          <w:szCs w:val="21"/>
        </w:rPr>
        <w:t>。何自力、彭李政</w:t>
      </w:r>
      <w:r>
        <w:rPr>
          <w:rFonts w:hint="eastAsia" w:ascii="宋体" w:hAnsi="宋体" w:eastAsia="宋体" w:cs="宋体"/>
          <w:spacing w:val="20"/>
          <w:sz w:val="21"/>
          <w:szCs w:val="21"/>
        </w:rPr>
        <w:t>(2024)分析了数字资本主义劳资关系的新变化,认为数字资本主义</w:t>
      </w:r>
      <w:r>
        <w:rPr>
          <w:rFonts w:hint="eastAsia" w:ascii="宋体" w:hAnsi="宋体" w:eastAsia="宋体" w:cs="宋体"/>
          <w:spacing w:val="19"/>
          <w:sz w:val="21"/>
          <w:szCs w:val="21"/>
        </w:rPr>
        <w:t>以资本为核心,加深了劳动对资本的实际从属,提出在坚持社会主义基本经济制度基础上,规范和引导资本健康发展,满足人民</w:t>
      </w:r>
      <w:r>
        <w:rPr>
          <w:rFonts w:hint="eastAsia" w:ascii="宋体" w:hAnsi="宋体" w:eastAsia="宋体" w:cs="宋体"/>
          <w:spacing w:val="18"/>
          <w:sz w:val="21"/>
          <w:szCs w:val="21"/>
        </w:rPr>
        <w:t>日益增长的美好生活需要和实现共同富裕</w:t>
      </w:r>
      <w:r>
        <w:rPr>
          <w:rStyle w:val="20"/>
          <w:rFonts w:hint="eastAsia" w:ascii="宋体" w:hAnsi="宋体" w:eastAsia="宋体" w:cs="宋体"/>
          <w:spacing w:val="18"/>
          <w:sz w:val="21"/>
          <w:szCs w:val="21"/>
        </w:rPr>
        <w:footnoteReference w:id="1035"/>
      </w:r>
      <w:r>
        <w:rPr>
          <w:rFonts w:hint="eastAsia" w:ascii="宋体" w:hAnsi="宋体" w:eastAsia="宋体" w:cs="宋体"/>
          <w:spacing w:val="18"/>
          <w:sz w:val="21"/>
          <w:szCs w:val="21"/>
        </w:rPr>
        <w:t>。</w:t>
      </w:r>
    </w:p>
    <w:p w14:paraId="09B4370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rPr>
          <w:rFonts w:hint="eastAsia" w:ascii="宋体" w:hAnsi="宋体" w:eastAsia="宋体" w:cs="宋体"/>
          <w:sz w:val="21"/>
          <w:szCs w:val="21"/>
        </w:rPr>
      </w:pPr>
      <w:r>
        <w:rPr>
          <w:rFonts w:hint="eastAsia" w:ascii="宋体" w:hAnsi="宋体" w:eastAsia="宋体" w:cs="宋体"/>
          <w:spacing w:val="18"/>
          <w:sz w:val="21"/>
          <w:szCs w:val="21"/>
        </w:rPr>
        <w:t>已有文献关于数字资本属性特征、数字资本异化和</w:t>
      </w:r>
      <w:r>
        <w:rPr>
          <w:rFonts w:hint="eastAsia" w:ascii="宋体" w:hAnsi="宋体" w:eastAsia="宋体" w:cs="宋体"/>
          <w:spacing w:val="17"/>
          <w:sz w:val="21"/>
          <w:szCs w:val="21"/>
        </w:rPr>
        <w:t>数字财富分配机制等研究为分析数字资本</w:t>
      </w:r>
      <w:r>
        <w:rPr>
          <w:rFonts w:hint="eastAsia" w:ascii="宋体" w:hAnsi="宋体" w:eastAsia="宋体" w:cs="宋体"/>
          <w:spacing w:val="20"/>
          <w:sz w:val="21"/>
          <w:szCs w:val="21"/>
        </w:rPr>
        <w:t>赋能共同富裕提供理论支撑和实践路径。首先,本文基于马克思主义劳动价值论和财富论,以数</w:t>
      </w:r>
      <w:r>
        <w:rPr>
          <w:rFonts w:hint="eastAsia" w:ascii="宋体" w:hAnsi="宋体" w:eastAsia="宋体" w:cs="宋体"/>
          <w:spacing w:val="22"/>
          <w:sz w:val="21"/>
          <w:szCs w:val="21"/>
        </w:rPr>
        <w:t>字资本如何促进共同富裕为研究对象,拓展现有理论研究框架,全面动态考</w:t>
      </w:r>
      <w:r>
        <w:rPr>
          <w:rFonts w:hint="eastAsia" w:ascii="宋体" w:hAnsi="宋体" w:eastAsia="宋体" w:cs="宋体"/>
          <w:spacing w:val="21"/>
          <w:sz w:val="21"/>
          <w:szCs w:val="21"/>
        </w:rPr>
        <w:t>察数字资本属性影响</w:t>
      </w:r>
      <w:r>
        <w:rPr>
          <w:rFonts w:hint="eastAsia" w:ascii="宋体" w:hAnsi="宋体" w:eastAsia="宋体" w:cs="宋体"/>
          <w:spacing w:val="2"/>
          <w:sz w:val="21"/>
          <w:szCs w:val="21"/>
        </w:rPr>
        <w:t>共同富裕实现的原因和作用机制,弥补现有研究较少聚焦制度层面和理论前沿问题的不足。其</w:t>
      </w:r>
      <w:r>
        <w:rPr>
          <w:rFonts w:hint="eastAsia" w:ascii="宋体" w:hAnsi="宋体" w:eastAsia="宋体" w:cs="宋体"/>
          <w:spacing w:val="22"/>
          <w:sz w:val="21"/>
          <w:szCs w:val="21"/>
        </w:rPr>
        <w:t>次,本文从制度和产权层面剖析了数字资本的生产功能属性和生产关</w:t>
      </w:r>
      <w:r>
        <w:rPr>
          <w:rFonts w:hint="eastAsia" w:ascii="宋体" w:hAnsi="宋体" w:eastAsia="宋体" w:cs="宋体"/>
          <w:spacing w:val="21"/>
          <w:sz w:val="21"/>
          <w:szCs w:val="21"/>
        </w:rPr>
        <w:t>系属性,弥补已有研究较少</w:t>
      </w:r>
      <w:r>
        <w:rPr>
          <w:rFonts w:hint="eastAsia" w:ascii="宋体" w:hAnsi="宋体" w:eastAsia="宋体" w:cs="宋体"/>
          <w:spacing w:val="13"/>
          <w:sz w:val="21"/>
          <w:szCs w:val="21"/>
        </w:rPr>
        <w:t>从所有制和制度视角进行深入论证的欠缺。最后,本文从坚持公有主体、完善分配制度、促进公平</w:t>
      </w:r>
      <w:r>
        <w:rPr>
          <w:rFonts w:hint="eastAsia" w:ascii="宋体" w:hAnsi="宋体" w:eastAsia="宋体" w:cs="宋体"/>
          <w:spacing w:val="18"/>
          <w:sz w:val="21"/>
          <w:szCs w:val="21"/>
        </w:rPr>
        <w:t>竞争和健全保障体系等方面提出数字资本促进共同富裕的政策路径。</w:t>
      </w:r>
    </w:p>
    <w:p w14:paraId="16905A1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outlineLvl w:val="1"/>
        <w:rPr>
          <w:rFonts w:hint="eastAsia" w:ascii="宋体" w:hAnsi="宋体" w:eastAsia="宋体" w:cs="宋体"/>
          <w:sz w:val="21"/>
          <w:szCs w:val="21"/>
        </w:rPr>
      </w:pPr>
      <w:bookmarkStart w:id="721" w:name="_Toc26714"/>
      <w:bookmarkStart w:id="722" w:name="_Toc1878292179"/>
      <w:bookmarkStart w:id="723" w:name="_Toc1706421241"/>
      <w:bookmarkStart w:id="724" w:name="_Toc590048244"/>
      <w:bookmarkStart w:id="725" w:name="_Toc470945606"/>
      <w:bookmarkStart w:id="726" w:name="_Toc130818833"/>
      <w:r>
        <w:rPr>
          <w:rFonts w:hint="eastAsia" w:ascii="宋体" w:hAnsi="宋体" w:eastAsia="宋体" w:cs="宋体"/>
          <w:spacing w:val="9"/>
          <w:sz w:val="21"/>
          <w:szCs w:val="21"/>
        </w:rPr>
        <w:t>二、资本一般性和数字资本双重属性</w:t>
      </w:r>
      <w:bookmarkEnd w:id="721"/>
      <w:bookmarkEnd w:id="722"/>
      <w:bookmarkEnd w:id="723"/>
      <w:bookmarkEnd w:id="724"/>
      <w:bookmarkEnd w:id="725"/>
      <w:bookmarkEnd w:id="726"/>
    </w:p>
    <w:p w14:paraId="0AED8E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数字资本作为数字经济核心生产要素,是以数据资本为基础,能够被积累、转</w:t>
      </w:r>
      <w:r>
        <w:rPr>
          <w:rFonts w:hint="eastAsia" w:ascii="宋体" w:hAnsi="宋体" w:eastAsia="宋体" w:cs="宋体"/>
          <w:spacing w:val="16"/>
          <w:sz w:val="21"/>
          <w:szCs w:val="21"/>
        </w:rPr>
        <w:t>化的内部数字能</w:t>
      </w:r>
      <w:r>
        <w:rPr>
          <w:rFonts w:hint="eastAsia" w:ascii="宋体" w:hAnsi="宋体" w:eastAsia="宋体" w:cs="宋体"/>
          <w:spacing w:val="17"/>
          <w:sz w:val="21"/>
          <w:szCs w:val="21"/>
        </w:rPr>
        <w:t>力和获取的外部数字技术资源,是继产业资本、金融资本后产生的新的资本形态,为新质生产</w:t>
      </w:r>
      <w:r>
        <w:rPr>
          <w:rFonts w:hint="eastAsia" w:ascii="宋体" w:hAnsi="宋体" w:eastAsia="宋体" w:cs="宋体"/>
          <w:spacing w:val="16"/>
          <w:sz w:val="21"/>
          <w:szCs w:val="21"/>
        </w:rPr>
        <w:t>力形成和共同富裕实现提供内生动能。数字资本具有增殖性、扩张性、逐利性和垄断性等资本</w:t>
      </w:r>
      <w:r>
        <w:rPr>
          <w:rFonts w:hint="eastAsia" w:ascii="宋体" w:hAnsi="宋体" w:eastAsia="宋体" w:cs="宋体"/>
          <w:spacing w:val="15"/>
          <w:sz w:val="21"/>
          <w:szCs w:val="21"/>
        </w:rPr>
        <w:t>一般性</w:t>
      </w:r>
      <w:r>
        <w:rPr>
          <w:rFonts w:hint="eastAsia" w:ascii="宋体" w:hAnsi="宋体" w:eastAsia="宋体" w:cs="宋体"/>
          <w:spacing w:val="16"/>
          <w:sz w:val="21"/>
          <w:szCs w:val="21"/>
        </w:rPr>
        <w:t>特征,同时也体现数字经济背景下生产功能和生产关系双重属性特征。</w:t>
      </w:r>
    </w:p>
    <w:p w14:paraId="5C5C7B6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z w:val="21"/>
          <w:szCs w:val="21"/>
        </w:rPr>
      </w:pPr>
      <w:r>
        <w:rPr>
          <w:rFonts w:hint="eastAsia" w:ascii="宋体" w:hAnsi="宋体" w:eastAsia="宋体" w:cs="宋体"/>
          <w:spacing w:val="19"/>
          <w:sz w:val="21"/>
          <w:szCs w:val="21"/>
        </w:rPr>
        <w:t>(一)资本一般性</w:t>
      </w:r>
    </w:p>
    <w:p w14:paraId="2134494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6" w:firstLineChars="200"/>
        <w:textAlignment w:val="baseline"/>
        <w:rPr>
          <w:rFonts w:hint="eastAsia" w:ascii="宋体" w:hAnsi="宋体" w:eastAsia="宋体" w:cs="宋体"/>
          <w:sz w:val="21"/>
          <w:szCs w:val="21"/>
        </w:rPr>
      </w:pPr>
      <w:r>
        <w:rPr>
          <w:rFonts w:hint="eastAsia" w:ascii="宋体" w:hAnsi="宋体" w:eastAsia="宋体" w:cs="宋体"/>
          <w:spacing w:val="24"/>
          <w:sz w:val="21"/>
          <w:szCs w:val="21"/>
        </w:rPr>
        <w:t>马克思主义政治经济学认为资本的一般性特征表现为兼具生产关系和生产</w:t>
      </w:r>
      <w:r>
        <w:rPr>
          <w:rFonts w:hint="eastAsia" w:ascii="宋体" w:hAnsi="宋体" w:eastAsia="宋体" w:cs="宋体"/>
          <w:spacing w:val="23"/>
          <w:sz w:val="21"/>
          <w:szCs w:val="21"/>
        </w:rPr>
        <w:t>力功能的二重属</w:t>
      </w:r>
      <w:r>
        <w:rPr>
          <w:rFonts w:hint="eastAsia" w:ascii="宋体" w:hAnsi="宋体" w:eastAsia="宋体" w:cs="宋体"/>
          <w:spacing w:val="15"/>
          <w:sz w:val="21"/>
          <w:szCs w:val="21"/>
        </w:rPr>
        <w:t>性。一方面,资本的生产功能属性体现在资本具有运动性、增殖性和积累性。作为</w:t>
      </w:r>
      <w:r>
        <w:rPr>
          <w:rFonts w:hint="eastAsia" w:ascii="宋体" w:hAnsi="宋体" w:eastAsia="宋体" w:cs="宋体"/>
          <w:spacing w:val="14"/>
          <w:sz w:val="21"/>
          <w:szCs w:val="21"/>
        </w:rPr>
        <w:t>重要生产要素,</w:t>
      </w:r>
      <w:r>
        <w:rPr>
          <w:rFonts w:hint="eastAsia" w:ascii="宋体" w:hAnsi="宋体" w:eastAsia="宋体" w:cs="宋体"/>
          <w:spacing w:val="1"/>
          <w:sz w:val="21"/>
          <w:szCs w:val="21"/>
        </w:rPr>
        <w:t>有利于促进社会生产力的发展并创造社会财富。马克思认为,作为一种生产关系,“资本是生产</w:t>
      </w:r>
      <w:r>
        <w:rPr>
          <w:rFonts w:hint="eastAsia" w:ascii="宋体" w:hAnsi="宋体" w:eastAsia="宋体" w:cs="宋体"/>
          <w:spacing w:val="11"/>
          <w:sz w:val="21"/>
          <w:szCs w:val="21"/>
        </w:rPr>
        <w:t>的,是发展生产力的重要关系”</w:t>
      </w:r>
      <w:r>
        <w:rPr>
          <w:rStyle w:val="20"/>
          <w:rFonts w:hint="eastAsia" w:ascii="宋体" w:hAnsi="宋体" w:eastAsia="宋体" w:cs="宋体"/>
          <w:spacing w:val="11"/>
          <w:sz w:val="21"/>
          <w:szCs w:val="21"/>
        </w:rPr>
        <w:footnoteReference w:id="1036"/>
      </w:r>
      <w:r>
        <w:rPr>
          <w:rFonts w:hint="eastAsia" w:ascii="宋体" w:hAnsi="宋体" w:eastAsia="宋体" w:cs="宋体"/>
          <w:spacing w:val="11"/>
          <w:sz w:val="21"/>
          <w:szCs w:val="21"/>
        </w:rPr>
        <w:t>。“</w:t>
      </w:r>
      <w:r>
        <w:rPr>
          <w:rFonts w:hint="eastAsia" w:ascii="宋体" w:hAnsi="宋体" w:eastAsia="宋体" w:cs="宋体"/>
          <w:spacing w:val="10"/>
          <w:sz w:val="21"/>
          <w:szCs w:val="21"/>
        </w:rPr>
        <w:t>社会生产力的快速发展又将以所有人的富裕为目的,因为真正</w:t>
      </w:r>
      <w:r>
        <w:rPr>
          <w:rFonts w:hint="eastAsia" w:ascii="宋体" w:hAnsi="宋体" w:eastAsia="宋体" w:cs="宋体"/>
          <w:spacing w:val="16"/>
          <w:sz w:val="21"/>
          <w:szCs w:val="21"/>
        </w:rPr>
        <w:t>的财富就是所有个人的发达的生产力。”</w:t>
      </w:r>
      <w:r>
        <w:rPr>
          <w:rStyle w:val="20"/>
          <w:rFonts w:hint="eastAsia" w:ascii="宋体" w:hAnsi="宋体" w:eastAsia="宋体" w:cs="宋体"/>
          <w:spacing w:val="16"/>
          <w:sz w:val="21"/>
          <w:szCs w:val="21"/>
        </w:rPr>
        <w:footnoteReference w:id="1037"/>
      </w:r>
      <w:r>
        <w:rPr>
          <w:rFonts w:hint="eastAsia" w:ascii="宋体" w:hAnsi="宋体" w:eastAsia="宋体" w:cs="宋体"/>
          <w:spacing w:val="16"/>
          <w:sz w:val="21"/>
          <w:szCs w:val="21"/>
        </w:rPr>
        <w:t>另一方面,资本的生产关系属</w:t>
      </w:r>
      <w:r>
        <w:rPr>
          <w:rFonts w:hint="eastAsia" w:ascii="宋体" w:hAnsi="宋体" w:eastAsia="宋体" w:cs="宋体"/>
          <w:spacing w:val="15"/>
          <w:sz w:val="21"/>
          <w:szCs w:val="21"/>
        </w:rPr>
        <w:t>性表现为资本所有者对剩</w:t>
      </w:r>
      <w:r>
        <w:rPr>
          <w:rFonts w:hint="eastAsia" w:ascii="宋体" w:hAnsi="宋体" w:eastAsia="宋体" w:cs="宋体"/>
          <w:spacing w:val="12"/>
          <w:sz w:val="21"/>
          <w:szCs w:val="21"/>
        </w:rPr>
        <w:t>余劳动或剩余价值的占有,即逐利性、扩张性和垄断性。马克思指出,“资本</w:t>
      </w:r>
      <w:r>
        <w:rPr>
          <w:rFonts w:hint="eastAsia" w:ascii="宋体" w:hAnsi="宋体" w:eastAsia="宋体" w:cs="宋体"/>
          <w:spacing w:val="11"/>
          <w:sz w:val="21"/>
          <w:szCs w:val="21"/>
        </w:rPr>
        <w:t>的合乎目的的活动只</w:t>
      </w:r>
      <w:r>
        <w:rPr>
          <w:rFonts w:hint="eastAsia" w:ascii="宋体" w:hAnsi="宋体" w:eastAsia="宋体" w:cs="宋体"/>
          <w:spacing w:val="4"/>
          <w:sz w:val="21"/>
          <w:szCs w:val="21"/>
        </w:rPr>
        <w:t>能是发财致富,也就是使自身增大或增殖”</w:t>
      </w:r>
      <w:r>
        <w:rPr>
          <w:rStyle w:val="20"/>
          <w:rFonts w:hint="eastAsia" w:ascii="宋体" w:hAnsi="宋体" w:eastAsia="宋体" w:cs="宋体"/>
          <w:spacing w:val="4"/>
          <w:sz w:val="21"/>
          <w:szCs w:val="21"/>
        </w:rPr>
        <w:footnoteReference w:id="1038"/>
      </w:r>
      <w:r>
        <w:rPr>
          <w:rFonts w:hint="eastAsia" w:ascii="宋体" w:hAnsi="宋体" w:eastAsia="宋体" w:cs="宋体"/>
          <w:spacing w:val="4"/>
          <w:sz w:val="21"/>
          <w:szCs w:val="21"/>
        </w:rPr>
        <w:t>。资本</w:t>
      </w:r>
      <w:r>
        <w:rPr>
          <w:rFonts w:hint="eastAsia" w:ascii="宋体" w:hAnsi="宋体" w:eastAsia="宋体" w:cs="宋体"/>
          <w:spacing w:val="3"/>
          <w:sz w:val="21"/>
          <w:szCs w:val="21"/>
        </w:rPr>
        <w:t>积累的结果,一极是财富的积累,另一极是贫</w:t>
      </w:r>
      <w:r>
        <w:rPr>
          <w:rFonts w:hint="eastAsia" w:ascii="宋体" w:hAnsi="宋体" w:eastAsia="宋体" w:cs="宋体"/>
          <w:spacing w:val="13"/>
          <w:sz w:val="21"/>
          <w:szCs w:val="21"/>
        </w:rPr>
        <w:t>困、劳动折磨、受奴役和道德堕落的积累。基于资本一般性特征的分析,运用科学抽象法可以揭示</w:t>
      </w:r>
      <w:r>
        <w:rPr>
          <w:rFonts w:hint="eastAsia" w:ascii="宋体" w:hAnsi="宋体" w:eastAsia="宋体" w:cs="宋体"/>
          <w:spacing w:val="16"/>
          <w:sz w:val="21"/>
          <w:szCs w:val="21"/>
        </w:rPr>
        <w:t>数字资本的普遍性和特殊性。</w:t>
      </w:r>
    </w:p>
    <w:p w14:paraId="0B16CAD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(二)数字资本双重属性及其辩证关系</w:t>
      </w:r>
    </w:p>
    <w:p w14:paraId="59731FD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数字资本生产功能属性。从资本的生产功能属性看,数字资本作为资本一般,仍然是带来价</w:t>
      </w:r>
      <w:r>
        <w:rPr>
          <w:rFonts w:hint="eastAsia" w:ascii="宋体" w:hAnsi="宋体" w:eastAsia="宋体" w:cs="宋体"/>
          <w:spacing w:val="22"/>
          <w:sz w:val="21"/>
          <w:szCs w:val="21"/>
        </w:rPr>
        <w:t>值增殖的价值,数字技术和资本的结合极大促进社会生产力发展和社会财</w:t>
      </w:r>
      <w:r>
        <w:rPr>
          <w:rFonts w:hint="eastAsia" w:ascii="宋体" w:hAnsi="宋体" w:eastAsia="宋体" w:cs="宋体"/>
          <w:spacing w:val="21"/>
          <w:sz w:val="21"/>
          <w:szCs w:val="21"/>
        </w:rPr>
        <w:t>富的积累,生产要素的</w:t>
      </w:r>
      <w:r>
        <w:rPr>
          <w:rFonts w:hint="eastAsia" w:ascii="宋体" w:hAnsi="宋体" w:eastAsia="宋体" w:cs="宋体"/>
          <w:spacing w:val="17"/>
          <w:sz w:val="21"/>
          <w:szCs w:val="21"/>
        </w:rPr>
        <w:t>数据化与生产过程的数字化是数字资本生产功能的集中体现。数字资本运动性、增殖性和积累性</w:t>
      </w:r>
      <w:r>
        <w:rPr>
          <w:rFonts w:hint="eastAsia" w:ascii="宋体" w:hAnsi="宋体" w:eastAsia="宋体" w:cs="宋体"/>
          <w:spacing w:val="21"/>
          <w:sz w:val="21"/>
          <w:szCs w:val="21"/>
        </w:rPr>
        <w:t>一方面表现在推动经济社会生产方式和生活方式巨大变</w:t>
      </w:r>
      <w:r>
        <w:rPr>
          <w:rFonts w:hint="eastAsia" w:ascii="宋体" w:hAnsi="宋体" w:eastAsia="宋体" w:cs="宋体"/>
          <w:spacing w:val="20"/>
          <w:sz w:val="21"/>
          <w:szCs w:val="21"/>
        </w:rPr>
        <w:t>革,产业数字化和数字产业化为经济高质</w:t>
      </w:r>
      <w:r>
        <w:rPr>
          <w:rFonts w:hint="eastAsia" w:ascii="宋体" w:hAnsi="宋体" w:eastAsia="宋体" w:cs="宋体"/>
          <w:spacing w:val="16"/>
          <w:sz w:val="21"/>
          <w:szCs w:val="21"/>
        </w:rPr>
        <w:t>量发展赋予新质动能。另一方面,依据马克思主义财富论,数字资本、数字劳动和数字技术等生产</w:t>
      </w:r>
      <w:r>
        <w:rPr>
          <w:rFonts w:hint="eastAsia" w:ascii="宋体" w:hAnsi="宋体" w:eastAsia="宋体" w:cs="宋体"/>
          <w:spacing w:val="17"/>
          <w:sz w:val="21"/>
          <w:szCs w:val="21"/>
        </w:rPr>
        <w:t>要素有效结合有利于增加社会财富总量,做大数字财富“蛋糕”,为实现共同富裕奠定坚实的社会</w:t>
      </w:r>
      <w:r>
        <w:rPr>
          <w:rFonts w:hint="eastAsia" w:ascii="宋体" w:hAnsi="宋体" w:eastAsia="宋体" w:cs="宋体"/>
          <w:spacing w:val="15"/>
          <w:sz w:val="21"/>
          <w:szCs w:val="21"/>
        </w:rPr>
        <w:t>财富基础,助力实现人的全面发展。</w:t>
      </w:r>
    </w:p>
    <w:p w14:paraId="5A84CEA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数字资本生产关系属性。从资本的生产关系属性看</w:t>
      </w:r>
      <w:r>
        <w:rPr>
          <w:rFonts w:hint="eastAsia" w:ascii="宋体" w:hAnsi="宋体" w:eastAsia="宋体" w:cs="宋体"/>
          <w:spacing w:val="19"/>
          <w:sz w:val="21"/>
          <w:szCs w:val="21"/>
        </w:rPr>
        <w:t>,数字资本同样体现出数字资本所有者对</w:t>
      </w:r>
      <w:r>
        <w:rPr>
          <w:rFonts w:hint="eastAsia" w:ascii="宋体" w:hAnsi="宋体" w:eastAsia="宋体" w:cs="宋体"/>
          <w:spacing w:val="22"/>
          <w:sz w:val="21"/>
          <w:szCs w:val="21"/>
        </w:rPr>
        <w:t>数字劳动剩余价值的索取,数字资本雇佣剥削数字劳动的关系,不同的生产</w:t>
      </w:r>
      <w:r>
        <w:rPr>
          <w:rFonts w:hint="eastAsia" w:ascii="宋体" w:hAnsi="宋体" w:eastAsia="宋体" w:cs="宋体"/>
          <w:spacing w:val="21"/>
          <w:sz w:val="21"/>
          <w:szCs w:val="21"/>
        </w:rPr>
        <w:t>资料所有制基础和数</w:t>
      </w:r>
      <w:r>
        <w:rPr>
          <w:rFonts w:hint="eastAsia" w:ascii="宋体" w:hAnsi="宋体" w:eastAsia="宋体" w:cs="宋体"/>
          <w:spacing w:val="20"/>
          <w:sz w:val="21"/>
          <w:szCs w:val="21"/>
        </w:rPr>
        <w:t>字资本占有者将会呈现不同的剩余价值分配特点。数字资本主义加剧了</w:t>
      </w:r>
      <w:r>
        <w:rPr>
          <w:rFonts w:hint="eastAsia" w:ascii="宋体" w:hAnsi="宋体" w:eastAsia="宋体" w:cs="宋体"/>
          <w:spacing w:val="19"/>
          <w:sz w:val="21"/>
          <w:szCs w:val="21"/>
        </w:rPr>
        <w:t>现有劳资关系的不平衡,</w:t>
      </w:r>
      <w:r>
        <w:rPr>
          <w:rFonts w:hint="eastAsia" w:ascii="宋体" w:hAnsi="宋体" w:eastAsia="宋体" w:cs="宋体"/>
          <w:spacing w:val="20"/>
          <w:sz w:val="21"/>
          <w:szCs w:val="21"/>
        </w:rPr>
        <w:t>数字资本生产关系属性仍然体现逐利性、扩张性和垄断性特征,数字资本无序扩张源于资</w:t>
      </w:r>
      <w:r>
        <w:rPr>
          <w:rFonts w:hint="eastAsia" w:ascii="宋体" w:hAnsi="宋体" w:eastAsia="宋体" w:cs="宋体"/>
          <w:spacing w:val="19"/>
          <w:sz w:val="21"/>
          <w:szCs w:val="21"/>
        </w:rPr>
        <w:t>本逐利本性,通过对数据和技术要素的垄断从而获得行业超额利润,影响社会财富公平分配,导致数字财</w:t>
      </w:r>
      <w:r>
        <w:rPr>
          <w:rFonts w:hint="eastAsia" w:ascii="宋体" w:hAnsi="宋体" w:eastAsia="宋体" w:cs="宋体"/>
          <w:spacing w:val="17"/>
          <w:sz w:val="21"/>
          <w:szCs w:val="21"/>
        </w:rPr>
        <w:t>富分配两极分化</w:t>
      </w:r>
      <w:r>
        <w:rPr>
          <w:rStyle w:val="20"/>
          <w:rFonts w:hint="eastAsia" w:ascii="宋体" w:hAnsi="宋体" w:eastAsia="宋体" w:cs="宋体"/>
          <w:spacing w:val="17"/>
          <w:sz w:val="21"/>
          <w:szCs w:val="21"/>
        </w:rPr>
        <w:footnoteReference w:id="1039"/>
      </w:r>
      <w:r>
        <w:rPr>
          <w:rFonts w:hint="eastAsia" w:ascii="宋体" w:hAnsi="宋体" w:eastAsia="宋体" w:cs="宋体"/>
          <w:spacing w:val="17"/>
          <w:sz w:val="21"/>
          <w:szCs w:val="21"/>
        </w:rPr>
        <w:t>。此外,数字资本扩张造成数字经济呈现区域和行业集中化、垄断化倾向,形成并扩大数字鸿沟,造成数字红利和数字财富分配异化。</w:t>
      </w:r>
    </w:p>
    <w:p w14:paraId="4C5F266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48" w:firstLineChars="200"/>
        <w:jc w:val="both"/>
        <w:textAlignment w:val="baseline"/>
        <w:rPr>
          <w:rFonts w:hint="eastAsia" w:ascii="宋体" w:hAnsi="宋体" w:eastAsia="宋体" w:cs="宋体"/>
          <w:sz w:val="21"/>
          <w:szCs w:val="21"/>
        </w:rPr>
      </w:pPr>
      <w:r>
        <w:rPr>
          <w:rFonts w:hint="eastAsia" w:ascii="宋体" w:hAnsi="宋体" w:eastAsia="宋体" w:cs="宋体"/>
          <w:spacing w:val="32"/>
          <w:sz w:val="21"/>
          <w:szCs w:val="21"/>
        </w:rPr>
        <w:t>数字资本生产功能属性和生产关系属性辩证关系。马克思主义生产力和生产关系辩证</w:t>
      </w:r>
      <w:r>
        <w:rPr>
          <w:rFonts w:hint="eastAsia" w:ascii="宋体" w:hAnsi="宋体" w:eastAsia="宋体" w:cs="宋体"/>
          <w:spacing w:val="-1"/>
          <w:sz w:val="21"/>
          <w:szCs w:val="21"/>
        </w:rPr>
        <w:t>关系理论为探究数字资本双重属性辩证关系提供理论支撑。首先,生产</w:t>
      </w:r>
      <w:r>
        <w:rPr>
          <w:rFonts w:hint="eastAsia" w:ascii="宋体" w:hAnsi="宋体" w:eastAsia="宋体" w:cs="宋体"/>
          <w:spacing w:val="-2"/>
          <w:sz w:val="21"/>
          <w:szCs w:val="21"/>
        </w:rPr>
        <w:t>功能属性和生产关系</w:t>
      </w:r>
      <w:r>
        <w:rPr>
          <w:rFonts w:hint="eastAsia" w:ascii="宋体" w:hAnsi="宋体" w:eastAsia="宋体" w:cs="宋体"/>
          <w:spacing w:val="-1"/>
          <w:sz w:val="21"/>
          <w:szCs w:val="21"/>
        </w:rPr>
        <w:t>属性具有辩证统一性。生产功能属性决定了数字资本如何转化为新质生产力,生产关系属性</w:t>
      </w:r>
      <w:r>
        <w:rPr>
          <w:rFonts w:hint="eastAsia" w:ascii="宋体" w:hAnsi="宋体" w:eastAsia="宋体" w:cs="宋体"/>
          <w:spacing w:val="-3"/>
          <w:sz w:val="21"/>
          <w:szCs w:val="21"/>
        </w:rPr>
        <w:t>反映了数字资本所有者、使用者和劳动</w:t>
      </w:r>
      <w:r>
        <w:rPr>
          <w:rFonts w:hint="eastAsia" w:ascii="宋体" w:hAnsi="宋体" w:eastAsia="宋体" w:cs="宋体"/>
          <w:spacing w:val="-4"/>
          <w:sz w:val="21"/>
          <w:szCs w:val="21"/>
        </w:rPr>
        <w:t>者之间的利益分配和权力关系,两者相互依存,共同构</w:t>
      </w:r>
      <w:r>
        <w:rPr>
          <w:rFonts w:hint="eastAsia" w:ascii="宋体" w:hAnsi="宋体" w:eastAsia="宋体" w:cs="宋体"/>
          <w:spacing w:val="-1"/>
          <w:sz w:val="21"/>
          <w:szCs w:val="21"/>
        </w:rPr>
        <w:t>成数字资本的整体属性。其次,数字资本双重属性相互作用基础上保持动态平衡。数字资本</w:t>
      </w:r>
      <w:r>
        <w:rPr>
          <w:rFonts w:hint="eastAsia" w:ascii="宋体" w:hAnsi="宋体" w:eastAsia="宋体" w:cs="宋体"/>
          <w:spacing w:val="-2"/>
          <w:sz w:val="21"/>
          <w:szCs w:val="21"/>
        </w:rPr>
        <w:t>生产功能属性的发展推动生产关系属性的变革,生产关系</w:t>
      </w:r>
      <w:r>
        <w:rPr>
          <w:rFonts w:hint="eastAsia" w:ascii="宋体" w:hAnsi="宋体" w:eastAsia="宋体" w:cs="宋体"/>
          <w:spacing w:val="-3"/>
          <w:sz w:val="21"/>
          <w:szCs w:val="21"/>
        </w:rPr>
        <w:t>属性的调整反过来影响生产功能属</w:t>
      </w:r>
      <w:r>
        <w:rPr>
          <w:rFonts w:hint="eastAsia" w:ascii="宋体" w:hAnsi="宋体" w:eastAsia="宋体" w:cs="宋体"/>
          <w:spacing w:val="-1"/>
          <w:sz w:val="21"/>
          <w:szCs w:val="21"/>
        </w:rPr>
        <w:t>性的发挥。在数字资本生产过程中,生产功能属性和生</w:t>
      </w:r>
      <w:r>
        <w:rPr>
          <w:rFonts w:hint="eastAsia" w:ascii="宋体" w:hAnsi="宋体" w:eastAsia="宋体" w:cs="宋体"/>
          <w:spacing w:val="-2"/>
          <w:sz w:val="21"/>
          <w:szCs w:val="21"/>
        </w:rPr>
        <w:t>产关系属性需要保持动态平衡,既要保证数字资本生产功能的充分发挥,又要规范和引导生产关系的稳定合理;既提高数字资本</w:t>
      </w:r>
      <w:r>
        <w:rPr>
          <w:rFonts w:hint="eastAsia" w:ascii="宋体" w:hAnsi="宋体" w:eastAsia="宋体" w:cs="宋体"/>
          <w:sz w:val="21"/>
          <w:szCs w:val="21"/>
        </w:rPr>
        <w:t>利用效率,促进数字经济快速发展,又注重社会公平和财富分配正义,在高质量发展中促进共</w:t>
      </w:r>
      <w:r>
        <w:rPr>
          <w:rFonts w:hint="eastAsia" w:ascii="宋体" w:hAnsi="宋体" w:eastAsia="宋体" w:cs="宋体"/>
          <w:spacing w:val="16"/>
          <w:sz w:val="21"/>
          <w:szCs w:val="21"/>
        </w:rPr>
        <w:t>同富裕。</w:t>
      </w:r>
    </w:p>
    <w:p w14:paraId="6A43AB5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outlineLvl w:val="1"/>
        <w:rPr>
          <w:rFonts w:hint="eastAsia" w:ascii="宋体" w:hAnsi="宋体" w:eastAsia="宋体" w:cs="宋体"/>
          <w:sz w:val="21"/>
          <w:szCs w:val="21"/>
        </w:rPr>
      </w:pPr>
      <w:bookmarkStart w:id="727" w:name="_Toc2008838709"/>
      <w:bookmarkStart w:id="728" w:name="_Toc177691802"/>
      <w:bookmarkStart w:id="729" w:name="_Toc1705560847"/>
      <w:bookmarkStart w:id="730" w:name="_Toc447041553"/>
      <w:bookmarkStart w:id="731" w:name="_Toc10708"/>
      <w:bookmarkStart w:id="732" w:name="_Toc1796355350"/>
      <w:r>
        <w:rPr>
          <w:rFonts w:hint="eastAsia" w:ascii="宋体" w:hAnsi="宋体" w:eastAsia="宋体" w:cs="宋体"/>
          <w:spacing w:val="11"/>
          <w:sz w:val="21"/>
          <w:szCs w:val="21"/>
        </w:rPr>
        <w:t>三、数字资本生产功能属性对共同富裕影响机制</w:t>
      </w:r>
      <w:bookmarkEnd w:id="727"/>
      <w:bookmarkEnd w:id="728"/>
      <w:bookmarkEnd w:id="729"/>
      <w:bookmarkEnd w:id="730"/>
      <w:bookmarkEnd w:id="731"/>
      <w:bookmarkEnd w:id="732"/>
    </w:p>
    <w:p w14:paraId="5571B85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textAlignment w:val="baseline"/>
        <w:rPr>
          <w:rFonts w:hint="eastAsia" w:ascii="宋体" w:hAnsi="宋体" w:eastAsia="宋体" w:cs="宋体"/>
          <w:sz w:val="21"/>
          <w:szCs w:val="21"/>
        </w:rPr>
      </w:pPr>
      <w:r>
        <w:rPr>
          <w:rFonts w:hint="eastAsia" w:ascii="宋体" w:hAnsi="宋体" w:eastAsia="宋体" w:cs="宋体"/>
          <w:spacing w:val="20"/>
          <w:sz w:val="21"/>
          <w:szCs w:val="21"/>
        </w:rPr>
        <w:t>数字资本作为资本一般,仍然是带来价值增殖的</w:t>
      </w:r>
      <w:r>
        <w:rPr>
          <w:rFonts w:hint="eastAsia" w:ascii="宋体" w:hAnsi="宋体" w:eastAsia="宋体" w:cs="宋体"/>
          <w:spacing w:val="19"/>
          <w:sz w:val="21"/>
          <w:szCs w:val="21"/>
        </w:rPr>
        <w:t>价值。生产要素的数据化与生产过程的数字</w:t>
      </w:r>
      <w:r>
        <w:rPr>
          <w:rFonts w:hint="eastAsia" w:ascii="宋体" w:hAnsi="宋体" w:eastAsia="宋体" w:cs="宋体"/>
          <w:spacing w:val="20"/>
          <w:sz w:val="21"/>
          <w:szCs w:val="21"/>
        </w:rPr>
        <w:t>化代表着新质生产力的发展方向,集中体现数字</w:t>
      </w:r>
      <w:r>
        <w:rPr>
          <w:rFonts w:hint="eastAsia" w:ascii="宋体" w:hAnsi="宋体" w:eastAsia="宋体" w:cs="宋体"/>
          <w:spacing w:val="19"/>
          <w:sz w:val="21"/>
          <w:szCs w:val="21"/>
        </w:rPr>
        <w:t>资本的生产功能。数字资本与数字智能化应用相</w:t>
      </w:r>
      <w:r>
        <w:rPr>
          <w:rFonts w:hint="eastAsia" w:ascii="宋体" w:hAnsi="宋体" w:eastAsia="宋体" w:cs="宋体"/>
          <w:spacing w:val="18"/>
          <w:sz w:val="21"/>
          <w:szCs w:val="21"/>
        </w:rPr>
        <w:t>结合增加数字财富的同时,数字资本集中也会造成</w:t>
      </w:r>
      <w:r>
        <w:rPr>
          <w:rFonts w:hint="eastAsia" w:ascii="宋体" w:hAnsi="宋体" w:eastAsia="宋体" w:cs="宋体"/>
          <w:spacing w:val="17"/>
          <w:sz w:val="21"/>
          <w:szCs w:val="21"/>
        </w:rPr>
        <w:t>数字平台垄断和数字鸿沟。</w:t>
      </w:r>
    </w:p>
    <w:p w14:paraId="099B75E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(一)数字资本促进新质生产力发展和数字财富积累</w:t>
      </w:r>
    </w:p>
    <w:p w14:paraId="55FBFA2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textAlignment w:val="baseline"/>
        <w:rPr>
          <w:rFonts w:hint="eastAsia" w:ascii="宋体" w:hAnsi="宋体" w:eastAsia="宋体" w:cs="宋体"/>
          <w:sz w:val="21"/>
          <w:szCs w:val="21"/>
        </w:rPr>
      </w:pPr>
      <w:r>
        <w:rPr>
          <w:rFonts w:hint="eastAsia" w:ascii="宋体" w:hAnsi="宋体" w:eastAsia="宋体" w:cs="宋体"/>
          <w:spacing w:val="21"/>
          <w:sz w:val="21"/>
          <w:szCs w:val="21"/>
        </w:rPr>
        <w:t>数字资本和实体经济深度融合助力产业数字化,数</w:t>
      </w:r>
      <w:r>
        <w:rPr>
          <w:rFonts w:hint="eastAsia" w:ascii="宋体" w:hAnsi="宋体" w:eastAsia="宋体" w:cs="宋体"/>
          <w:spacing w:val="20"/>
          <w:sz w:val="21"/>
          <w:szCs w:val="21"/>
        </w:rPr>
        <w:t>字资本的创新效应和协同效应加速财富创</w:t>
      </w:r>
      <w:r>
        <w:rPr>
          <w:rFonts w:hint="eastAsia" w:ascii="宋体" w:hAnsi="宋体" w:eastAsia="宋体" w:cs="宋体"/>
          <w:spacing w:val="17"/>
          <w:sz w:val="21"/>
          <w:szCs w:val="21"/>
        </w:rPr>
        <w:t>造,数字资本的溢出效应和普惠效应促进均衡性增长和共享发展。</w:t>
      </w:r>
    </w:p>
    <w:p w14:paraId="6AA6227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数字资本创新效应形成新质生产力和创造社会财富</w:t>
      </w:r>
      <w:r>
        <w:rPr>
          <w:rFonts w:hint="eastAsia" w:ascii="宋体" w:hAnsi="宋体" w:eastAsia="宋体" w:cs="宋体"/>
          <w:spacing w:val="19"/>
          <w:sz w:val="21"/>
          <w:szCs w:val="21"/>
        </w:rPr>
        <w:t>。首先,数字资本创新效应体现在数据和</w:t>
      </w:r>
      <w:r>
        <w:rPr>
          <w:rFonts w:hint="eastAsia" w:ascii="宋体" w:hAnsi="宋体" w:eastAsia="宋体" w:cs="宋体"/>
          <w:spacing w:val="22"/>
          <w:sz w:val="21"/>
          <w:szCs w:val="21"/>
        </w:rPr>
        <w:t>资本要素成为核心生产资料投入数字财富的生产,极大提升数字劳动的智能化水平,形成具有使</w:t>
      </w:r>
      <w:r>
        <w:rPr>
          <w:rFonts w:hint="eastAsia" w:ascii="宋体" w:hAnsi="宋体" w:eastAsia="宋体" w:cs="宋体"/>
          <w:spacing w:val="21"/>
          <w:sz w:val="21"/>
          <w:szCs w:val="21"/>
        </w:rPr>
        <w:t>用价值的数字产品和数字服务。其次,数字</w:t>
      </w:r>
      <w:r>
        <w:rPr>
          <w:rFonts w:hint="eastAsia" w:ascii="宋体" w:hAnsi="宋体" w:eastAsia="宋体" w:cs="宋体"/>
          <w:spacing w:val="20"/>
          <w:sz w:val="21"/>
          <w:szCs w:val="21"/>
        </w:rPr>
        <w:t>资本不断培育新产品新产业并催生新业态新模式,已成为当前经济增长的新动能,有利于形成新质生产力</w:t>
      </w:r>
      <w:r>
        <w:rPr>
          <w:rFonts w:hint="eastAsia" w:ascii="宋体" w:hAnsi="宋体" w:eastAsia="宋体" w:cs="宋体"/>
          <w:spacing w:val="19"/>
          <w:sz w:val="21"/>
          <w:szCs w:val="21"/>
        </w:rPr>
        <w:t>和创造社会财富。数据资本存量估算结果显</w:t>
      </w:r>
      <w:r>
        <w:rPr>
          <w:rFonts w:hint="eastAsia" w:ascii="宋体" w:hAnsi="宋体" w:eastAsia="宋体" w:cs="宋体"/>
          <w:spacing w:val="4"/>
          <w:sz w:val="21"/>
          <w:szCs w:val="21"/>
        </w:rPr>
        <w:t>示</w:t>
      </w:r>
      <w:r>
        <w:rPr>
          <w:rFonts w:hint="eastAsia" w:ascii="宋体" w:hAnsi="宋体" w:eastAsia="宋体" w:cs="宋体"/>
          <w:spacing w:val="4"/>
          <w:position w:val="1"/>
          <w:sz w:val="21"/>
          <w:szCs w:val="21"/>
        </w:rPr>
        <w:t>,</w:t>
      </w:r>
      <w:r>
        <w:rPr>
          <w:rFonts w:hint="eastAsia" w:ascii="宋体" w:hAnsi="宋体" w:eastAsia="宋体" w:cs="宋体"/>
          <w:spacing w:val="4"/>
          <w:position w:val="-1"/>
          <w:sz w:val="21"/>
          <w:szCs w:val="21"/>
        </w:rPr>
        <w:t>2003-2020</w:t>
      </w:r>
      <w:r>
        <w:rPr>
          <w:rFonts w:hint="eastAsia" w:ascii="宋体" w:hAnsi="宋体" w:eastAsia="宋体" w:cs="宋体"/>
          <w:spacing w:val="4"/>
          <w:sz w:val="21"/>
          <w:szCs w:val="21"/>
        </w:rPr>
        <w:t>年</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我国人均数字资本和人均</w:t>
      </w:r>
      <w:r>
        <w:rPr>
          <w:rFonts w:hint="eastAsia" w:ascii="宋体" w:hAnsi="宋体" w:eastAsia="宋体" w:cs="宋体"/>
          <w:position w:val="-1"/>
          <w:sz w:val="21"/>
          <w:szCs w:val="21"/>
        </w:rPr>
        <w:t>GDP</w:t>
      </w:r>
      <w:r>
        <w:rPr>
          <w:rFonts w:hint="eastAsia" w:ascii="宋体" w:hAnsi="宋体" w:eastAsia="宋体" w:cs="宋体"/>
          <w:spacing w:val="4"/>
          <w:sz w:val="21"/>
          <w:szCs w:val="21"/>
        </w:rPr>
        <w:t>的比例从</w:t>
      </w:r>
      <w:r>
        <w:rPr>
          <w:rFonts w:hint="eastAsia" w:ascii="宋体" w:hAnsi="宋体" w:eastAsia="宋体" w:cs="宋体"/>
          <w:spacing w:val="4"/>
          <w:position w:val="-1"/>
          <w:sz w:val="21"/>
          <w:szCs w:val="21"/>
        </w:rPr>
        <w:t>2003</w:t>
      </w:r>
      <w:r>
        <w:rPr>
          <w:rFonts w:hint="eastAsia" w:ascii="宋体" w:hAnsi="宋体" w:eastAsia="宋体" w:cs="宋体"/>
          <w:spacing w:val="4"/>
          <w:sz w:val="21"/>
          <w:szCs w:val="21"/>
        </w:rPr>
        <w:t>年的11%增长到</w:t>
      </w:r>
      <w:r>
        <w:rPr>
          <w:rFonts w:hint="eastAsia" w:ascii="宋体" w:hAnsi="宋体" w:eastAsia="宋体" w:cs="宋体"/>
          <w:spacing w:val="3"/>
          <w:position w:val="-1"/>
          <w:sz w:val="21"/>
          <w:szCs w:val="21"/>
        </w:rPr>
        <w:t>2020</w:t>
      </w:r>
      <w:r>
        <w:rPr>
          <w:rFonts w:hint="eastAsia" w:ascii="宋体" w:hAnsi="宋体" w:eastAsia="宋体" w:cs="宋体"/>
          <w:spacing w:val="3"/>
          <w:sz w:val="21"/>
          <w:szCs w:val="21"/>
        </w:rPr>
        <w:t>年的</w:t>
      </w:r>
      <w:r>
        <w:rPr>
          <w:rFonts w:hint="eastAsia" w:ascii="宋体" w:hAnsi="宋体" w:eastAsia="宋体" w:cs="宋体"/>
          <w:spacing w:val="17"/>
          <w:position w:val="-2"/>
          <w:sz w:val="21"/>
          <w:szCs w:val="21"/>
        </w:rPr>
        <w:t>32%</w:t>
      </w:r>
      <w:r>
        <w:rPr>
          <w:rFonts w:hint="eastAsia" w:ascii="宋体" w:hAnsi="宋体" w:eastAsia="宋体" w:cs="宋体"/>
          <w:spacing w:val="17"/>
          <w:position w:val="1"/>
          <w:sz w:val="21"/>
          <w:szCs w:val="21"/>
        </w:rPr>
        <w:t>,</w:t>
      </w:r>
      <w:r>
        <w:rPr>
          <w:rFonts w:hint="eastAsia" w:ascii="宋体" w:hAnsi="宋体" w:eastAsia="宋体" w:cs="宋体"/>
          <w:spacing w:val="17"/>
          <w:sz w:val="21"/>
          <w:szCs w:val="21"/>
        </w:rPr>
        <w:t>增长近</w:t>
      </w:r>
      <w:r>
        <w:rPr>
          <w:rFonts w:hint="eastAsia" w:ascii="宋体" w:hAnsi="宋体" w:eastAsia="宋体" w:cs="宋体"/>
          <w:spacing w:val="17"/>
          <w:position w:val="-2"/>
          <w:sz w:val="21"/>
          <w:szCs w:val="21"/>
        </w:rPr>
        <w:t>3</w:t>
      </w:r>
      <w:r>
        <w:rPr>
          <w:rFonts w:hint="eastAsia" w:ascii="宋体" w:hAnsi="宋体" w:eastAsia="宋体" w:cs="宋体"/>
          <w:spacing w:val="17"/>
          <w:sz w:val="21"/>
          <w:szCs w:val="21"/>
        </w:rPr>
        <w:t>倍</w:t>
      </w:r>
      <w:r>
        <w:rPr>
          <w:rFonts w:hint="eastAsia" w:ascii="宋体" w:hAnsi="宋体" w:eastAsia="宋体" w:cs="宋体"/>
          <w:spacing w:val="17"/>
          <w:position w:val="-1"/>
          <w:sz w:val="21"/>
          <w:szCs w:val="21"/>
        </w:rPr>
        <w:t>;2011-2020</w:t>
      </w:r>
      <w:r>
        <w:rPr>
          <w:rFonts w:hint="eastAsia" w:ascii="宋体" w:hAnsi="宋体" w:eastAsia="宋体" w:cs="宋体"/>
          <w:spacing w:val="17"/>
          <w:sz w:val="21"/>
          <w:szCs w:val="21"/>
        </w:rPr>
        <w:t>年数字资本对经济增长贡献度显著提升</w:t>
      </w:r>
      <w:r>
        <w:rPr>
          <w:rFonts w:hint="eastAsia" w:ascii="宋体" w:hAnsi="宋体" w:eastAsia="宋体" w:cs="宋体"/>
          <w:spacing w:val="17"/>
          <w:position w:val="1"/>
          <w:sz w:val="21"/>
          <w:szCs w:val="21"/>
        </w:rPr>
        <w:t>,</w:t>
      </w:r>
      <w:r>
        <w:rPr>
          <w:rFonts w:hint="eastAsia" w:ascii="宋体" w:hAnsi="宋体" w:eastAsia="宋体" w:cs="宋体"/>
          <w:spacing w:val="17"/>
          <w:sz w:val="21"/>
          <w:szCs w:val="21"/>
        </w:rPr>
        <w:t>数字资本的产出弹性达到</w:t>
      </w:r>
      <w:r>
        <w:rPr>
          <w:rFonts w:hint="eastAsia" w:ascii="宋体" w:hAnsi="宋体" w:eastAsia="宋体" w:cs="宋体"/>
          <w:spacing w:val="12"/>
          <w:position w:val="-2"/>
          <w:sz w:val="21"/>
          <w:szCs w:val="21"/>
        </w:rPr>
        <w:t>0.19</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数字资本对经济增长的平均贡献率达到</w:t>
      </w:r>
      <w:r>
        <w:rPr>
          <w:rFonts w:hint="eastAsia" w:ascii="宋体" w:hAnsi="宋体" w:eastAsia="宋体" w:cs="宋体"/>
          <w:spacing w:val="12"/>
          <w:position w:val="-2"/>
          <w:sz w:val="21"/>
          <w:szCs w:val="21"/>
        </w:rPr>
        <w:t>34</w:t>
      </w:r>
      <w:r>
        <w:rPr>
          <w:rFonts w:hint="eastAsia" w:ascii="宋体" w:hAnsi="宋体" w:eastAsia="宋体" w:cs="宋体"/>
          <w:spacing w:val="11"/>
          <w:position w:val="-2"/>
          <w:sz w:val="21"/>
          <w:szCs w:val="21"/>
        </w:rPr>
        <w:t>.46%</w:t>
      </w:r>
      <w:r>
        <w:rPr>
          <w:rStyle w:val="20"/>
          <w:rFonts w:hint="eastAsia" w:ascii="宋体" w:hAnsi="宋体" w:eastAsia="宋体" w:cs="宋体"/>
          <w:spacing w:val="11"/>
          <w:position w:val="-2"/>
          <w:sz w:val="21"/>
          <w:szCs w:val="21"/>
        </w:rPr>
        <w:footnoteReference w:id="1040"/>
      </w:r>
      <w:r>
        <w:rPr>
          <w:rFonts w:hint="eastAsia" w:ascii="宋体" w:hAnsi="宋体" w:eastAsia="宋体" w:cs="宋体"/>
          <w:spacing w:val="11"/>
          <w:position w:val="1"/>
          <w:sz w:val="21"/>
          <w:szCs w:val="21"/>
        </w:rPr>
        <w:t>。</w:t>
      </w:r>
    </w:p>
    <w:p w14:paraId="1EE5FEB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数字资本协同效应拓宽生产的边界和财富分配范围。资本价值增殖过程中提升新质生产力</w:t>
      </w:r>
      <w:r>
        <w:rPr>
          <w:rFonts w:hint="eastAsia" w:ascii="宋体" w:hAnsi="宋体" w:eastAsia="宋体" w:cs="宋体"/>
          <w:spacing w:val="19"/>
          <w:sz w:val="21"/>
          <w:szCs w:val="21"/>
        </w:rPr>
        <w:t>的同时,闲置的资本和劳动重新组合有利于创造新的生产部门。依据资本有机构成</w:t>
      </w:r>
      <w:r>
        <w:rPr>
          <w:rFonts w:hint="eastAsia" w:ascii="宋体" w:hAnsi="宋体" w:eastAsia="宋体" w:cs="宋体"/>
          <w:spacing w:val="18"/>
          <w:sz w:val="21"/>
          <w:szCs w:val="21"/>
        </w:rPr>
        <w:t>的提高导致平</w:t>
      </w:r>
      <w:r>
        <w:rPr>
          <w:rFonts w:hint="eastAsia" w:ascii="宋体" w:hAnsi="宋体" w:eastAsia="宋体" w:cs="宋体"/>
          <w:spacing w:val="20"/>
          <w:sz w:val="21"/>
          <w:szCs w:val="21"/>
        </w:rPr>
        <w:t>均利润率下降趋势规律,劳动占比更高、资本有机构成较低的数字平台服务业和数字消</w:t>
      </w:r>
      <w:r>
        <w:rPr>
          <w:rFonts w:hint="eastAsia" w:ascii="宋体" w:hAnsi="宋体" w:eastAsia="宋体" w:cs="宋体"/>
          <w:spacing w:val="19"/>
          <w:sz w:val="21"/>
          <w:szCs w:val="21"/>
        </w:rPr>
        <w:t>费新场景</w:t>
      </w:r>
      <w:r>
        <w:rPr>
          <w:rFonts w:hint="eastAsia" w:ascii="宋体" w:hAnsi="宋体" w:eastAsia="宋体" w:cs="宋体"/>
          <w:spacing w:val="22"/>
          <w:sz w:val="21"/>
          <w:szCs w:val="21"/>
        </w:rPr>
        <w:t>等生产部门得到快速发展。提高劳动者的创</w:t>
      </w:r>
      <w:r>
        <w:rPr>
          <w:rFonts w:hint="eastAsia" w:ascii="宋体" w:hAnsi="宋体" w:eastAsia="宋体" w:cs="宋体"/>
          <w:spacing w:val="21"/>
          <w:sz w:val="21"/>
          <w:szCs w:val="21"/>
        </w:rPr>
        <w:t>新素质是新质生产力发展的核心动力</w:t>
      </w:r>
      <w:r>
        <w:rPr>
          <w:rStyle w:val="20"/>
          <w:rFonts w:hint="eastAsia" w:ascii="宋体" w:hAnsi="宋体" w:eastAsia="宋体" w:cs="宋体"/>
          <w:spacing w:val="21"/>
          <w:sz w:val="21"/>
          <w:szCs w:val="21"/>
        </w:rPr>
        <w:footnoteReference w:id="1041"/>
      </w:r>
      <w:r>
        <w:rPr>
          <w:rFonts w:hint="eastAsia" w:ascii="宋体" w:hAnsi="宋体" w:eastAsia="宋体" w:cs="宋体"/>
          <w:spacing w:val="21"/>
          <w:sz w:val="21"/>
          <w:szCs w:val="21"/>
        </w:rPr>
        <w:t>,数字资本的协同效应在于数字技术和资本的有效融合创造了新的</w:t>
      </w:r>
      <w:r>
        <w:rPr>
          <w:rFonts w:hint="eastAsia" w:ascii="宋体" w:hAnsi="宋体" w:eastAsia="宋体" w:cs="宋体"/>
          <w:spacing w:val="20"/>
          <w:sz w:val="21"/>
          <w:szCs w:val="21"/>
        </w:rPr>
        <w:t>业态和就业机会,依托第三方平台获取海量</w:t>
      </w:r>
      <w:r>
        <w:rPr>
          <w:rFonts w:hint="eastAsia" w:ascii="宋体" w:hAnsi="宋体" w:eastAsia="宋体" w:cs="宋体"/>
          <w:spacing w:val="13"/>
          <w:sz w:val="21"/>
          <w:szCs w:val="21"/>
        </w:rPr>
        <w:t>数据流量,并渗透到生产、分配、流通、消费各领域,为创新</w:t>
      </w:r>
      <w:r>
        <w:rPr>
          <w:rFonts w:hint="eastAsia" w:ascii="宋体" w:hAnsi="宋体" w:eastAsia="宋体" w:cs="宋体"/>
          <w:spacing w:val="12"/>
          <w:sz w:val="21"/>
          <w:szCs w:val="21"/>
        </w:rPr>
        <w:t>和创业提供了更多场景和资源,有效提</w:t>
      </w:r>
      <w:r>
        <w:rPr>
          <w:rFonts w:hint="eastAsia" w:ascii="宋体" w:hAnsi="宋体" w:eastAsia="宋体" w:cs="宋体"/>
          <w:spacing w:val="22"/>
          <w:sz w:val="21"/>
          <w:szCs w:val="21"/>
        </w:rPr>
        <w:t>高产业结构多元化和高级化水平,拓展社会财富创造和分配的路径和范围,便于推动形成共建共</w:t>
      </w:r>
      <w:r>
        <w:rPr>
          <w:rFonts w:hint="eastAsia" w:ascii="宋体" w:hAnsi="宋体" w:eastAsia="宋体" w:cs="宋体"/>
          <w:spacing w:val="14"/>
          <w:sz w:val="21"/>
          <w:szCs w:val="21"/>
        </w:rPr>
        <w:t>享共富新机制。</w:t>
      </w:r>
    </w:p>
    <w:p w14:paraId="5770B16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数字资本溢出效应赋能扩大再生产和区域均衡发展。马克思在《资本论》中深入分析</w:t>
      </w:r>
      <w:r>
        <w:rPr>
          <w:rFonts w:hint="eastAsia" w:ascii="宋体" w:hAnsi="宋体" w:eastAsia="宋体" w:cs="宋体"/>
          <w:spacing w:val="16"/>
          <w:sz w:val="21"/>
          <w:szCs w:val="21"/>
        </w:rPr>
        <w:t>资本的</w:t>
      </w:r>
      <w:r>
        <w:rPr>
          <w:rFonts w:hint="eastAsia" w:ascii="宋体" w:hAnsi="宋体" w:eastAsia="宋体" w:cs="宋体"/>
          <w:spacing w:val="22"/>
          <w:sz w:val="21"/>
          <w:szCs w:val="21"/>
        </w:rPr>
        <w:t>两种特性:一是资本作为自行增殖的价值创造社会财富,二是资本能够合并</w:t>
      </w:r>
      <w:r>
        <w:rPr>
          <w:rFonts w:hint="eastAsia" w:ascii="宋体" w:hAnsi="宋体" w:eastAsia="宋体" w:cs="宋体"/>
          <w:spacing w:val="21"/>
          <w:sz w:val="21"/>
          <w:szCs w:val="21"/>
        </w:rPr>
        <w:t>劳动力和土地等生产</w:t>
      </w:r>
      <w:r>
        <w:rPr>
          <w:rFonts w:hint="eastAsia" w:ascii="宋体" w:hAnsi="宋体" w:eastAsia="宋体" w:cs="宋体"/>
          <w:spacing w:val="20"/>
          <w:sz w:val="21"/>
          <w:szCs w:val="21"/>
        </w:rPr>
        <w:t>要素进行扩大再生产。数字资本溢出效应将数据要素合</w:t>
      </w:r>
      <w:r>
        <w:rPr>
          <w:rFonts w:hint="eastAsia" w:ascii="宋体" w:hAnsi="宋体" w:eastAsia="宋体" w:cs="宋体"/>
          <w:spacing w:val="19"/>
          <w:sz w:val="21"/>
          <w:szCs w:val="21"/>
        </w:rPr>
        <w:t>并到其价值增殖过程中,有利于提高全要</w:t>
      </w:r>
      <w:r>
        <w:rPr>
          <w:rFonts w:hint="eastAsia" w:ascii="宋体" w:hAnsi="宋体" w:eastAsia="宋体" w:cs="宋体"/>
          <w:spacing w:val="22"/>
          <w:sz w:val="21"/>
          <w:szCs w:val="21"/>
        </w:rPr>
        <w:t>素生产率,促进产业数字化和数字产业化深度融合,实现更高效的资</w:t>
      </w:r>
      <w:r>
        <w:rPr>
          <w:rFonts w:hint="eastAsia" w:ascii="宋体" w:hAnsi="宋体" w:eastAsia="宋体" w:cs="宋体"/>
          <w:spacing w:val="21"/>
          <w:sz w:val="21"/>
          <w:szCs w:val="21"/>
        </w:rPr>
        <w:t>本扩大再生产和社会财富增</w:t>
      </w:r>
      <w:r>
        <w:rPr>
          <w:rFonts w:hint="eastAsia" w:ascii="宋体" w:hAnsi="宋体" w:eastAsia="宋体" w:cs="宋体"/>
          <w:spacing w:val="18"/>
          <w:sz w:val="21"/>
          <w:szCs w:val="21"/>
        </w:rPr>
        <w:t>长。此外,数字资本溢出效应有利于突破地域限制,促进数字资源的空间优化配置,有助于缩小区</w:t>
      </w:r>
      <w:r>
        <w:rPr>
          <w:rFonts w:hint="eastAsia" w:ascii="宋体" w:hAnsi="宋体" w:eastAsia="宋体" w:cs="宋体"/>
          <w:spacing w:val="17"/>
          <w:sz w:val="21"/>
          <w:szCs w:val="21"/>
        </w:rPr>
        <w:t>域和城乡收入差距,实现区域均衡发展和促进共同富裕。</w:t>
      </w:r>
    </w:p>
    <w:p w14:paraId="3D93837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(二)数字资本集中导致数字平台垄断和数字鸿沟</w:t>
      </w:r>
    </w:p>
    <w:p w14:paraId="01C631A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sz w:val="21"/>
          <w:szCs w:val="21"/>
        </w:rPr>
      </w:pPr>
      <w:r>
        <w:rPr>
          <w:rFonts w:hint="eastAsia" w:ascii="宋体" w:hAnsi="宋体" w:eastAsia="宋体" w:cs="宋体"/>
          <w:spacing w:val="23"/>
          <w:sz w:val="21"/>
          <w:szCs w:val="21"/>
        </w:rPr>
        <w:t>数字资本生产功能拉大劳资收入差距。数字化转型过程中劳动资料的数字化导致</w:t>
      </w:r>
      <w:r>
        <w:rPr>
          <w:rFonts w:hint="eastAsia" w:ascii="宋体" w:hAnsi="宋体" w:eastAsia="宋体" w:cs="宋体"/>
          <w:spacing w:val="22"/>
          <w:sz w:val="21"/>
          <w:szCs w:val="21"/>
        </w:rPr>
        <w:t>劳动力相</w:t>
      </w:r>
      <w:r>
        <w:rPr>
          <w:rFonts w:hint="eastAsia" w:ascii="宋体" w:hAnsi="宋体" w:eastAsia="宋体" w:cs="宋体"/>
          <w:spacing w:val="19"/>
          <w:sz w:val="21"/>
          <w:szCs w:val="21"/>
        </w:rPr>
        <w:t>对过剩和资本有机构成提高的趋势进一步加强。在数字劳动力供大于求的情况下,资本势必会压</w:t>
      </w:r>
      <w:r>
        <w:rPr>
          <w:rFonts w:hint="eastAsia" w:ascii="宋体" w:hAnsi="宋体" w:eastAsia="宋体" w:cs="宋体"/>
          <w:spacing w:val="21"/>
          <w:sz w:val="21"/>
          <w:szCs w:val="21"/>
        </w:rPr>
        <w:t>低劳动报酬(如网约车资本提成高达25%左右的每单出租车费)。数字资本在社会生产中的</w:t>
      </w:r>
      <w:r>
        <w:rPr>
          <w:rFonts w:hint="eastAsia" w:ascii="宋体" w:hAnsi="宋体" w:eastAsia="宋体" w:cs="宋体"/>
          <w:spacing w:val="20"/>
          <w:sz w:val="21"/>
          <w:szCs w:val="21"/>
        </w:rPr>
        <w:t>影响</w:t>
      </w:r>
      <w:r>
        <w:rPr>
          <w:rFonts w:hint="eastAsia" w:ascii="宋体" w:hAnsi="宋体" w:eastAsia="宋体" w:cs="宋体"/>
          <w:spacing w:val="22"/>
          <w:sz w:val="21"/>
          <w:szCs w:val="21"/>
        </w:rPr>
        <w:t>力与控制力逐渐增强,数字劳动和数字资本结合的形式更为复杂,数字劳动力为大资本数字平台</w:t>
      </w:r>
      <w:r>
        <w:rPr>
          <w:rFonts w:hint="eastAsia" w:ascii="宋体" w:hAnsi="宋体" w:eastAsia="宋体" w:cs="宋体"/>
          <w:spacing w:val="21"/>
          <w:sz w:val="21"/>
          <w:szCs w:val="21"/>
        </w:rPr>
        <w:t>创造剩余价值的本质和剥削关系更为隐蔽,导致数字</w:t>
      </w:r>
      <w:r>
        <w:rPr>
          <w:rFonts w:hint="eastAsia" w:ascii="宋体" w:hAnsi="宋体" w:eastAsia="宋体" w:cs="宋体"/>
          <w:spacing w:val="20"/>
          <w:sz w:val="21"/>
          <w:szCs w:val="21"/>
        </w:rPr>
        <w:t>财富分配不均和劳动力与资本之间的收入差距扩大。因此,数字资本强大的生产功能并不否定劳动价值论,强调数字资本生产力功能而忽视</w:t>
      </w:r>
      <w:r>
        <w:rPr>
          <w:rFonts w:hint="eastAsia" w:ascii="宋体" w:hAnsi="宋体" w:eastAsia="宋体" w:cs="宋体"/>
          <w:spacing w:val="17"/>
          <w:sz w:val="21"/>
          <w:szCs w:val="21"/>
        </w:rPr>
        <w:t>劳动力能力的提高,将会拉大劳动与资本收入差距,从而不利于共同富裕的实现。</w:t>
      </w:r>
    </w:p>
    <w:p w14:paraId="26C52DD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rPr>
          <w:rFonts w:hint="eastAsia" w:ascii="宋体" w:hAnsi="宋体" w:eastAsia="宋体" w:cs="宋体"/>
          <w:sz w:val="21"/>
          <w:szCs w:val="21"/>
        </w:rPr>
      </w:pPr>
      <w:r>
        <w:rPr>
          <w:rFonts w:hint="eastAsia" w:ascii="宋体" w:hAnsi="宋体" w:eastAsia="宋体" w:cs="宋体"/>
          <w:spacing w:val="18"/>
          <w:sz w:val="21"/>
          <w:szCs w:val="21"/>
        </w:rPr>
        <w:t>数字资本生产力功能具有天然垄断倾向。随着平台企</w:t>
      </w:r>
      <w:r>
        <w:rPr>
          <w:rFonts w:hint="eastAsia" w:ascii="宋体" w:hAnsi="宋体" w:eastAsia="宋体" w:cs="宋体"/>
          <w:spacing w:val="17"/>
          <w:sz w:val="21"/>
          <w:szCs w:val="21"/>
        </w:rPr>
        <w:t>业资本循环加速和生产流通失衡矛盾加</w:t>
      </w:r>
      <w:r>
        <w:rPr>
          <w:rFonts w:hint="eastAsia" w:ascii="宋体" w:hAnsi="宋体" w:eastAsia="宋体" w:cs="宋体"/>
          <w:spacing w:val="22"/>
          <w:sz w:val="21"/>
          <w:szCs w:val="21"/>
        </w:rPr>
        <w:t>深,平台企业资本积累的增长导致生产的社会化和私人资本占有之间矛盾进一步加剧,数字资本越来越集中于少数互联网平台企业。大资本数字平台企业凭借数字技术和数字资本维持对大数</w:t>
      </w:r>
      <w:r>
        <w:rPr>
          <w:rFonts w:hint="eastAsia" w:ascii="宋体" w:hAnsi="宋体" w:eastAsia="宋体" w:cs="宋体"/>
          <w:spacing w:val="16"/>
          <w:sz w:val="21"/>
          <w:szCs w:val="21"/>
        </w:rPr>
        <w:t>据、信息技术、数字人才的占有权,控制社会再生产的各个环节与各个方面,形成数字资本的天然</w:t>
      </w:r>
      <w:r>
        <w:rPr>
          <w:rFonts w:hint="eastAsia" w:ascii="宋体" w:hAnsi="宋体" w:eastAsia="宋体" w:cs="宋体"/>
          <w:spacing w:val="21"/>
          <w:sz w:val="21"/>
          <w:szCs w:val="21"/>
        </w:rPr>
        <w:t>垄断倾向。此外,数字资本所具有的规模效应和技术依赖性,使大资本数字平台具有天然竞争优</w:t>
      </w:r>
      <w:r>
        <w:rPr>
          <w:rFonts w:hint="eastAsia" w:ascii="宋体" w:hAnsi="宋体" w:eastAsia="宋体" w:cs="宋体"/>
          <w:spacing w:val="17"/>
          <w:sz w:val="21"/>
          <w:szCs w:val="21"/>
        </w:rPr>
        <w:t>势,进一步加剧了其垄断地位,对良性市场竞争和消费</w:t>
      </w:r>
      <w:r>
        <w:rPr>
          <w:rFonts w:hint="eastAsia" w:ascii="宋体" w:hAnsi="宋体" w:eastAsia="宋体" w:cs="宋体"/>
          <w:spacing w:val="16"/>
          <w:sz w:val="21"/>
          <w:szCs w:val="21"/>
        </w:rPr>
        <w:t>者福利造成损害。</w:t>
      </w:r>
    </w:p>
    <w:p w14:paraId="6D159A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数字资本生产功能加速数字鸿沟形成。数字资本全</w:t>
      </w:r>
      <w:r>
        <w:rPr>
          <w:rFonts w:hint="eastAsia" w:ascii="宋体" w:hAnsi="宋体" w:eastAsia="宋体" w:cs="宋体"/>
          <w:spacing w:val="19"/>
          <w:sz w:val="21"/>
          <w:szCs w:val="21"/>
        </w:rPr>
        <w:t>球化扩张和数字技术发展,一系列数字不</w:t>
      </w:r>
      <w:r>
        <w:rPr>
          <w:rFonts w:hint="eastAsia" w:ascii="宋体" w:hAnsi="宋体" w:eastAsia="宋体" w:cs="宋体"/>
          <w:spacing w:val="20"/>
          <w:sz w:val="21"/>
          <w:szCs w:val="21"/>
        </w:rPr>
        <w:t>平等社会现象被催生,包括传统数字鸿沟以及由数字鸿沟引致的机会不平等和结果不平等</w:t>
      </w:r>
      <w:r>
        <w:rPr>
          <w:rStyle w:val="20"/>
          <w:rFonts w:hint="eastAsia" w:ascii="宋体" w:hAnsi="宋体" w:eastAsia="宋体" w:cs="宋体"/>
          <w:spacing w:val="20"/>
          <w:sz w:val="21"/>
          <w:szCs w:val="21"/>
        </w:rPr>
        <w:footnoteReference w:id="1042"/>
      </w:r>
      <w:r>
        <w:rPr>
          <w:rFonts w:hint="eastAsia" w:ascii="宋体" w:hAnsi="宋体" w:eastAsia="宋体" w:cs="宋体"/>
          <w:spacing w:val="20"/>
          <w:sz w:val="21"/>
          <w:szCs w:val="21"/>
        </w:rPr>
        <w:t>。城</w:t>
      </w:r>
      <w:r>
        <w:rPr>
          <w:rFonts w:hint="eastAsia" w:ascii="宋体" w:hAnsi="宋体" w:eastAsia="宋体" w:cs="宋体"/>
          <w:spacing w:val="17"/>
          <w:sz w:val="21"/>
          <w:szCs w:val="21"/>
        </w:rPr>
        <w:t>乡、代际、数字技术掌握程度不同的群体之间面临数字</w:t>
      </w:r>
      <w:r>
        <w:rPr>
          <w:rFonts w:hint="eastAsia" w:ascii="宋体" w:hAnsi="宋体" w:eastAsia="宋体" w:cs="宋体"/>
          <w:spacing w:val="16"/>
          <w:sz w:val="21"/>
          <w:szCs w:val="21"/>
        </w:rPr>
        <w:t>鸿沟困境,无法平等享受数字化发展红利,</w:t>
      </w:r>
      <w:r>
        <w:rPr>
          <w:rFonts w:hint="eastAsia" w:ascii="宋体" w:hAnsi="宋体" w:eastAsia="宋体" w:cs="宋体"/>
          <w:spacing w:val="12"/>
          <w:sz w:val="21"/>
          <w:szCs w:val="21"/>
        </w:rPr>
        <w:t>导致“穷者愈穷、富者愈富”的马太效应,不同群体间初次收入分配和财产性收入差距进一步扩大,</w:t>
      </w:r>
      <w:r>
        <w:rPr>
          <w:rFonts w:hint="eastAsia" w:ascii="宋体" w:hAnsi="宋体" w:eastAsia="宋体" w:cs="宋体"/>
          <w:spacing w:val="17"/>
          <w:sz w:val="21"/>
          <w:szCs w:val="21"/>
        </w:rPr>
        <w:t>加剧社会绝对不平等和资源不平等分配,引发新的数字不平等。</w:t>
      </w:r>
    </w:p>
    <w:p w14:paraId="2E1055D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outlineLvl w:val="1"/>
        <w:rPr>
          <w:rFonts w:hint="eastAsia" w:ascii="宋体" w:hAnsi="宋体" w:eastAsia="宋体" w:cs="宋体"/>
          <w:sz w:val="21"/>
          <w:szCs w:val="21"/>
        </w:rPr>
      </w:pPr>
      <w:bookmarkStart w:id="733" w:name="_Toc5477"/>
      <w:bookmarkStart w:id="734" w:name="_Toc1961767676"/>
      <w:bookmarkStart w:id="735" w:name="_Toc1529584065"/>
      <w:bookmarkStart w:id="736" w:name="_Toc1463846884"/>
      <w:bookmarkStart w:id="737" w:name="_Toc749435373"/>
      <w:bookmarkStart w:id="738" w:name="_Toc2019257924"/>
      <w:r>
        <w:rPr>
          <w:rFonts w:hint="eastAsia" w:ascii="宋体" w:hAnsi="宋体" w:eastAsia="宋体" w:cs="宋体"/>
          <w:spacing w:val="11"/>
          <w:sz w:val="21"/>
          <w:szCs w:val="21"/>
        </w:rPr>
        <w:t>四、数字资本生产关系属性对共同富裕冲击效应</w:t>
      </w:r>
      <w:bookmarkEnd w:id="733"/>
      <w:bookmarkEnd w:id="734"/>
      <w:bookmarkEnd w:id="735"/>
      <w:bookmarkEnd w:id="736"/>
      <w:bookmarkEnd w:id="737"/>
      <w:bookmarkEnd w:id="738"/>
    </w:p>
    <w:p w14:paraId="680284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spacing w:val="11"/>
          <w:sz w:val="21"/>
          <w:szCs w:val="21"/>
        </w:rPr>
        <w:t>数字资本主义私有制条件下,“资本逻辑”和“技术逻辑”相互渗透与强化,数字资本在推动形</w:t>
      </w:r>
      <w:r>
        <w:rPr>
          <w:rFonts w:hint="eastAsia" w:ascii="宋体" w:hAnsi="宋体" w:eastAsia="宋体" w:cs="宋体"/>
          <w:spacing w:val="18"/>
          <w:sz w:val="21"/>
          <w:szCs w:val="21"/>
        </w:rPr>
        <w:t>成新质生产力的同时,数字资本异化对物质财富和精神财富分配带来</w:t>
      </w:r>
      <w:r>
        <w:rPr>
          <w:rFonts w:hint="eastAsia" w:ascii="宋体" w:hAnsi="宋体" w:eastAsia="宋体" w:cs="宋体"/>
          <w:spacing w:val="17"/>
          <w:sz w:val="21"/>
          <w:szCs w:val="21"/>
        </w:rPr>
        <w:t>深刻重构效应。</w:t>
      </w:r>
    </w:p>
    <w:p w14:paraId="5E5335E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(一)数字资本异化对物质财富公平分配冲击效应</w:t>
      </w:r>
    </w:p>
    <w:p w14:paraId="0238387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sz w:val="21"/>
          <w:szCs w:val="21"/>
        </w:rPr>
      </w:pPr>
      <w:r>
        <w:rPr>
          <w:rFonts w:hint="eastAsia" w:ascii="宋体" w:hAnsi="宋体" w:eastAsia="宋体" w:cs="宋体"/>
          <w:spacing w:val="23"/>
          <w:sz w:val="21"/>
          <w:szCs w:val="21"/>
        </w:rPr>
        <w:t>以追求数字财富为动机的资本雇佣劳动关系</w:t>
      </w:r>
      <w:r>
        <w:rPr>
          <w:rFonts w:hint="eastAsia" w:ascii="宋体" w:hAnsi="宋体" w:eastAsia="宋体" w:cs="宋体"/>
          <w:spacing w:val="22"/>
          <w:sz w:val="21"/>
          <w:szCs w:val="21"/>
        </w:rPr>
        <w:t>。数字资本的无序扩张必然引起数据资源高度</w:t>
      </w:r>
      <w:r>
        <w:rPr>
          <w:rFonts w:hint="eastAsia" w:ascii="宋体" w:hAnsi="宋体" w:eastAsia="宋体" w:cs="宋体"/>
          <w:spacing w:val="20"/>
          <w:sz w:val="21"/>
          <w:szCs w:val="21"/>
        </w:rPr>
        <w:t>集中和数字红利分配不均。首先,数字资本的技术偏</w:t>
      </w:r>
      <w:r>
        <w:rPr>
          <w:rFonts w:hint="eastAsia" w:ascii="宋体" w:hAnsi="宋体" w:eastAsia="宋体" w:cs="宋体"/>
          <w:spacing w:val="19"/>
          <w:sz w:val="21"/>
          <w:szCs w:val="21"/>
        </w:rPr>
        <w:t>向性特征使得少数人占有全部劳动及其创造</w:t>
      </w:r>
      <w:r>
        <w:rPr>
          <w:rFonts w:hint="eastAsia" w:ascii="宋体" w:hAnsi="宋体" w:eastAsia="宋体" w:cs="宋体"/>
          <w:spacing w:val="18"/>
          <w:sz w:val="21"/>
          <w:szCs w:val="21"/>
        </w:rPr>
        <w:t>的所有收益,而大量中低技能的工作岗位流失,</w:t>
      </w:r>
      <w:r>
        <w:rPr>
          <w:rFonts w:hint="eastAsia" w:ascii="宋体" w:hAnsi="宋体" w:eastAsia="宋体" w:cs="宋体"/>
          <w:spacing w:val="17"/>
          <w:sz w:val="21"/>
          <w:szCs w:val="21"/>
        </w:rPr>
        <w:t>从而造成人的异化和社会的分化。其次,由于资本</w:t>
      </w:r>
      <w:r>
        <w:rPr>
          <w:rFonts w:hint="eastAsia" w:ascii="宋体" w:hAnsi="宋体" w:eastAsia="宋体" w:cs="宋体"/>
          <w:spacing w:val="18"/>
          <w:sz w:val="21"/>
          <w:szCs w:val="21"/>
        </w:rPr>
        <w:t>有机构成的提高,必要劳动时间较少,剩</w:t>
      </w:r>
      <w:r>
        <w:rPr>
          <w:rFonts w:hint="eastAsia" w:ascii="宋体" w:hAnsi="宋体" w:eastAsia="宋体" w:cs="宋体"/>
          <w:spacing w:val="17"/>
          <w:sz w:val="21"/>
          <w:szCs w:val="21"/>
        </w:rPr>
        <w:t>余劳动时间相对延长。为获得相对剩余价值率,资本所有</w:t>
      </w:r>
      <w:r>
        <w:rPr>
          <w:rFonts w:hint="eastAsia" w:ascii="宋体" w:hAnsi="宋体" w:eastAsia="宋体" w:cs="宋体"/>
          <w:spacing w:val="20"/>
          <w:sz w:val="21"/>
          <w:szCs w:val="21"/>
        </w:rPr>
        <w:t>者采用更高的薪酬鼓励员工从事更长工时制,剥削方式和剥削关系更具隐蔽性。因此,数字资本</w:t>
      </w:r>
      <w:r>
        <w:rPr>
          <w:rFonts w:hint="eastAsia" w:ascii="宋体" w:hAnsi="宋体" w:eastAsia="宋体" w:cs="宋体"/>
          <w:spacing w:val="18"/>
          <w:sz w:val="21"/>
          <w:szCs w:val="21"/>
        </w:rPr>
        <w:t>的崛起带来了新的劳动形式和生产关系,剥削主体涵盖了更广泛的参与</w:t>
      </w:r>
      <w:r>
        <w:rPr>
          <w:rFonts w:hint="eastAsia" w:ascii="宋体" w:hAnsi="宋体" w:eastAsia="宋体" w:cs="宋体"/>
          <w:spacing w:val="17"/>
          <w:sz w:val="21"/>
          <w:szCs w:val="21"/>
        </w:rPr>
        <w:t>者</w:t>
      </w:r>
      <w:r>
        <w:rPr>
          <w:rStyle w:val="20"/>
          <w:rFonts w:hint="eastAsia" w:ascii="宋体" w:hAnsi="宋体" w:eastAsia="宋体" w:cs="宋体"/>
          <w:spacing w:val="17"/>
          <w:sz w:val="21"/>
          <w:szCs w:val="21"/>
        </w:rPr>
        <w:footnoteReference w:id="1043"/>
      </w:r>
      <w:r>
        <w:rPr>
          <w:rFonts w:hint="eastAsia" w:ascii="宋体" w:hAnsi="宋体" w:eastAsia="宋体" w:cs="宋体"/>
          <w:spacing w:val="17"/>
          <w:sz w:val="21"/>
          <w:szCs w:val="21"/>
        </w:rPr>
        <w:t>。</w:t>
      </w:r>
    </w:p>
    <w:p w14:paraId="78FDDC3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大资本数字平台对中小企业剩余价值的攫取。剩余价值总是趋于流向竞争实力更强的垄断资本,大资本数字平台利用数字壁垒和算法垄断攫取数字财富和无酬数</w:t>
      </w:r>
      <w:r>
        <w:rPr>
          <w:rFonts w:hint="eastAsia" w:ascii="宋体" w:hAnsi="宋体" w:eastAsia="宋体" w:cs="宋体"/>
          <w:spacing w:val="21"/>
          <w:sz w:val="21"/>
          <w:szCs w:val="21"/>
        </w:rPr>
        <w:t>字劳动,实现对中小平台</w:t>
      </w:r>
      <w:r>
        <w:rPr>
          <w:rFonts w:hint="eastAsia" w:ascii="宋体" w:hAnsi="宋体" w:eastAsia="宋体" w:cs="宋体"/>
          <w:spacing w:val="20"/>
          <w:sz w:val="21"/>
          <w:szCs w:val="21"/>
        </w:rPr>
        <w:t>企业超额剩余价值的占有。数字资本异化导致剩余价值</w:t>
      </w:r>
      <w:r>
        <w:rPr>
          <w:rFonts w:hint="eastAsia" w:ascii="宋体" w:hAnsi="宋体" w:eastAsia="宋体" w:cs="宋体"/>
          <w:spacing w:val="19"/>
          <w:sz w:val="21"/>
          <w:szCs w:val="21"/>
        </w:rPr>
        <w:t>和数字财富分配的两极分化,一极是数字</w:t>
      </w:r>
      <w:r>
        <w:rPr>
          <w:rFonts w:hint="eastAsia" w:ascii="宋体" w:hAnsi="宋体" w:eastAsia="宋体" w:cs="宋体"/>
          <w:spacing w:val="22"/>
          <w:sz w:val="21"/>
          <w:szCs w:val="21"/>
        </w:rPr>
        <w:t>大资本依托数字平台进行资本积累,通过扩大再生产形成行业壁垒,极大增强了数字资本对社会</w:t>
      </w:r>
      <w:r>
        <w:rPr>
          <w:rFonts w:hint="eastAsia" w:ascii="宋体" w:hAnsi="宋体" w:eastAsia="宋体" w:cs="宋体"/>
          <w:spacing w:val="18"/>
          <w:sz w:val="21"/>
          <w:szCs w:val="21"/>
        </w:rPr>
        <w:t>生产的控制力度。一极是中小资本企业与数</w:t>
      </w:r>
      <w:r>
        <w:rPr>
          <w:rFonts w:hint="eastAsia" w:ascii="宋体" w:hAnsi="宋体" w:eastAsia="宋体" w:cs="宋体"/>
          <w:spacing w:val="17"/>
          <w:sz w:val="21"/>
          <w:szCs w:val="21"/>
        </w:rPr>
        <w:t>字劳动力受到大资本数字平台的控制,面临日益增强</w:t>
      </w:r>
      <w:r>
        <w:rPr>
          <w:rFonts w:hint="eastAsia" w:ascii="宋体" w:hAnsi="宋体" w:eastAsia="宋体" w:cs="宋体"/>
          <w:spacing w:val="21"/>
          <w:sz w:val="21"/>
          <w:szCs w:val="21"/>
        </w:rPr>
        <w:t>的行业竞争力和就业压力,进一步激化数字资本</w:t>
      </w:r>
      <w:r>
        <w:rPr>
          <w:rFonts w:hint="eastAsia" w:ascii="宋体" w:hAnsi="宋体" w:eastAsia="宋体" w:cs="宋体"/>
          <w:spacing w:val="20"/>
          <w:sz w:val="21"/>
          <w:szCs w:val="21"/>
        </w:rPr>
        <w:t>和数字劳动之间的矛盾。因此,数字资本异化和</w:t>
      </w:r>
      <w:r>
        <w:rPr>
          <w:rFonts w:hint="eastAsia" w:ascii="宋体" w:hAnsi="宋体" w:eastAsia="宋体" w:cs="宋体"/>
          <w:spacing w:val="17"/>
          <w:sz w:val="21"/>
          <w:szCs w:val="21"/>
        </w:rPr>
        <w:t>无序扩张造成的数字平台垄断,不利于市场公平竞争和行业技术创新。</w:t>
      </w:r>
    </w:p>
    <w:p w14:paraId="392A07D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数据要素产权属性与数字平台财富垄断效应。从产</w:t>
      </w:r>
      <w:r>
        <w:rPr>
          <w:rFonts w:hint="eastAsia" w:ascii="宋体" w:hAnsi="宋体" w:eastAsia="宋体" w:cs="宋体"/>
          <w:spacing w:val="19"/>
          <w:sz w:val="21"/>
          <w:szCs w:val="21"/>
        </w:rPr>
        <w:t>权层面看,公共属性是数据要素最根本的</w:t>
      </w:r>
      <w:r>
        <w:rPr>
          <w:rFonts w:hint="eastAsia" w:ascii="宋体" w:hAnsi="宋体" w:eastAsia="宋体" w:cs="宋体"/>
          <w:spacing w:val="20"/>
          <w:sz w:val="21"/>
          <w:szCs w:val="21"/>
        </w:rPr>
        <w:t>属性,数字平台垄断产生的根源在于数据要素和平台</w:t>
      </w:r>
      <w:r>
        <w:rPr>
          <w:rFonts w:hint="eastAsia" w:ascii="宋体" w:hAnsi="宋体" w:eastAsia="宋体" w:cs="宋体"/>
          <w:spacing w:val="19"/>
          <w:sz w:val="21"/>
          <w:szCs w:val="21"/>
        </w:rPr>
        <w:t>企业财富私人占有。数据要素产权在没有清</w:t>
      </w:r>
      <w:r>
        <w:rPr>
          <w:rFonts w:hint="eastAsia" w:ascii="宋体" w:hAnsi="宋体" w:eastAsia="宋体" w:cs="宋体"/>
          <w:spacing w:val="20"/>
          <w:sz w:val="21"/>
          <w:szCs w:val="21"/>
        </w:rPr>
        <w:t>晰界定状态下,数据平台垄断商滥用数据所有权和使用权,利用自身垄断地位实现数字资本自我</w:t>
      </w:r>
      <w:r>
        <w:rPr>
          <w:rFonts w:hint="eastAsia" w:ascii="宋体" w:hAnsi="宋体" w:eastAsia="宋体" w:cs="宋体"/>
          <w:spacing w:val="13"/>
          <w:sz w:val="21"/>
          <w:szCs w:val="21"/>
        </w:rPr>
        <w:t>增殖、限制竞争,通过数字平台化运作无偿占有用户的数字劳动和“数据租金”</w:t>
      </w:r>
      <w:r>
        <w:rPr>
          <w:rStyle w:val="20"/>
          <w:rFonts w:hint="eastAsia" w:ascii="宋体" w:hAnsi="宋体" w:eastAsia="宋体" w:cs="宋体"/>
          <w:spacing w:val="13"/>
          <w:sz w:val="21"/>
          <w:szCs w:val="21"/>
        </w:rPr>
        <w:footnoteReference w:id="1044"/>
      </w:r>
      <w:r>
        <w:rPr>
          <w:rFonts w:hint="eastAsia" w:ascii="宋体" w:hAnsi="宋体" w:eastAsia="宋体" w:cs="宋体"/>
          <w:spacing w:val="13"/>
          <w:sz w:val="21"/>
          <w:szCs w:val="21"/>
        </w:rPr>
        <w:t>,获得超额垄断利</w:t>
      </w:r>
      <w:r>
        <w:rPr>
          <w:rFonts w:hint="eastAsia" w:ascii="宋体" w:hAnsi="宋体" w:eastAsia="宋体" w:cs="宋体"/>
          <w:spacing w:val="17"/>
          <w:sz w:val="21"/>
          <w:szCs w:val="21"/>
        </w:rPr>
        <w:t>润和社会数字财富。总体而言,数据垄断扩大了数字资本增殖空间,增强了数字资本统治力度,限制并挤压传统行业发展空间,导致实体经济和虚拟经济失衡风险。</w:t>
      </w:r>
    </w:p>
    <w:p w14:paraId="069FC65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(二)数字资本异化对精神财富分配的冲击和影响</w:t>
      </w:r>
    </w:p>
    <w:p w14:paraId="422C63D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数字资本异化与数字安全风险。从微观层面</w:t>
      </w:r>
      <w:r>
        <w:rPr>
          <w:rFonts w:hint="eastAsia" w:ascii="宋体" w:hAnsi="宋体" w:eastAsia="宋体" w:cs="宋体"/>
          <w:spacing w:val="16"/>
          <w:sz w:val="21"/>
          <w:szCs w:val="21"/>
        </w:rPr>
        <w:t>看,数据资本要素的自由流通和共享是促进创新</w:t>
      </w:r>
      <w:r>
        <w:rPr>
          <w:rFonts w:hint="eastAsia" w:ascii="宋体" w:hAnsi="宋体" w:eastAsia="宋体" w:cs="宋体"/>
          <w:spacing w:val="20"/>
          <w:sz w:val="21"/>
          <w:szCs w:val="21"/>
        </w:rPr>
        <w:t>和形成数字新质生产力的基础。数字资本逐利性和垄断</w:t>
      </w:r>
      <w:r>
        <w:rPr>
          <w:rFonts w:hint="eastAsia" w:ascii="宋体" w:hAnsi="宋体" w:eastAsia="宋体" w:cs="宋体"/>
          <w:spacing w:val="19"/>
          <w:sz w:val="21"/>
          <w:szCs w:val="21"/>
        </w:rPr>
        <w:t>性限制数据要素有序流通和公平竞争,导</w:t>
      </w:r>
      <w:r>
        <w:rPr>
          <w:rFonts w:hint="eastAsia" w:ascii="宋体" w:hAnsi="宋体" w:eastAsia="宋体" w:cs="宋体"/>
          <w:spacing w:val="8"/>
          <w:sz w:val="21"/>
          <w:szCs w:val="21"/>
        </w:rPr>
        <w:t>致“数据孤岛”现象。此外,数字平台经济领域面临算法滥用、侵犯知识产权、个人信息泄露和误导</w:t>
      </w:r>
      <w:r>
        <w:rPr>
          <w:rFonts w:hint="eastAsia" w:ascii="宋体" w:hAnsi="宋体" w:eastAsia="宋体" w:cs="宋体"/>
          <w:spacing w:val="20"/>
          <w:sz w:val="21"/>
          <w:szCs w:val="21"/>
        </w:rPr>
        <w:t>消费信息等数字安全风险。从宏观层面看,一方面,针对重要行业和关键领域核心数据系统的恶</w:t>
      </w:r>
      <w:r>
        <w:rPr>
          <w:rFonts w:hint="eastAsia" w:ascii="宋体" w:hAnsi="宋体" w:eastAsia="宋体" w:cs="宋体"/>
          <w:spacing w:val="19"/>
          <w:sz w:val="21"/>
          <w:szCs w:val="21"/>
        </w:rPr>
        <w:t>意攻击将威胁数字基础设施安全。另一方面,数字资本异化引发经济风险、技术风险和社</w:t>
      </w:r>
      <w:r>
        <w:rPr>
          <w:rFonts w:hint="eastAsia" w:ascii="宋体" w:hAnsi="宋体" w:eastAsia="宋体" w:cs="宋体"/>
          <w:spacing w:val="18"/>
          <w:sz w:val="21"/>
          <w:szCs w:val="21"/>
        </w:rPr>
        <w:t>会稳定</w:t>
      </w:r>
      <w:r>
        <w:rPr>
          <w:rFonts w:hint="eastAsia" w:ascii="宋体" w:hAnsi="宋体" w:eastAsia="宋体" w:cs="宋体"/>
          <w:spacing w:val="17"/>
          <w:sz w:val="21"/>
          <w:szCs w:val="21"/>
        </w:rPr>
        <w:t>等问题,不利于国家数字安全和社会主义主流意识形态话语权建设。数字资本异化与数字资本主义。从国内看,随着数字经济资本化进程的加深,数字生产资料、</w:t>
      </w:r>
      <w:r>
        <w:rPr>
          <w:rFonts w:hint="eastAsia" w:ascii="宋体" w:hAnsi="宋体" w:eastAsia="宋体" w:cs="宋体"/>
          <w:spacing w:val="21"/>
          <w:sz w:val="21"/>
          <w:szCs w:val="21"/>
        </w:rPr>
        <w:t>劳动力和技术日益被数字资本控制和占有,数字资</w:t>
      </w:r>
      <w:r>
        <w:rPr>
          <w:rFonts w:hint="eastAsia" w:ascii="宋体" w:hAnsi="宋体" w:eastAsia="宋体" w:cs="宋体"/>
          <w:spacing w:val="20"/>
          <w:sz w:val="21"/>
          <w:szCs w:val="21"/>
        </w:rPr>
        <w:t>本主义的资本积累同样面临着利润率下降的问</w:t>
      </w:r>
      <w:r>
        <w:rPr>
          <w:rFonts w:hint="eastAsia" w:ascii="宋体" w:hAnsi="宋体" w:eastAsia="宋体" w:cs="宋体"/>
          <w:spacing w:val="19"/>
          <w:sz w:val="21"/>
          <w:szCs w:val="21"/>
        </w:rPr>
        <w:t>题,资本积累的新方式并没有消除资本主义基本矛盾,反而进一步加剧了资本积累的矛盾,造成贫</w:t>
      </w:r>
      <w:r>
        <w:rPr>
          <w:rFonts w:hint="eastAsia" w:ascii="宋体" w:hAnsi="宋体" w:eastAsia="宋体" w:cs="宋体"/>
          <w:spacing w:val="18"/>
          <w:sz w:val="21"/>
          <w:szCs w:val="21"/>
        </w:rPr>
        <w:t>富两极分化和数字劳资对立等社会危机</w:t>
      </w:r>
      <w:r>
        <w:rPr>
          <w:rStyle w:val="20"/>
          <w:rFonts w:hint="eastAsia" w:ascii="宋体" w:hAnsi="宋体" w:eastAsia="宋体" w:cs="宋体"/>
          <w:spacing w:val="18"/>
          <w:sz w:val="21"/>
          <w:szCs w:val="21"/>
        </w:rPr>
        <w:footnoteReference w:id="1045"/>
      </w:r>
      <w:r>
        <w:rPr>
          <w:rFonts w:hint="eastAsia" w:ascii="宋体" w:hAnsi="宋体" w:eastAsia="宋体" w:cs="宋体"/>
          <w:spacing w:val="18"/>
          <w:sz w:val="21"/>
          <w:szCs w:val="21"/>
        </w:rPr>
        <w:t>。从国际看,数字资本异化衍生出数字资本霸权,</w:t>
      </w:r>
      <w:r>
        <w:rPr>
          <w:rFonts w:hint="eastAsia" w:ascii="宋体" w:hAnsi="宋体" w:eastAsia="宋体" w:cs="宋体"/>
          <w:spacing w:val="17"/>
          <w:sz w:val="21"/>
          <w:szCs w:val="21"/>
        </w:rPr>
        <w:t>形成并</w:t>
      </w:r>
      <w:r>
        <w:rPr>
          <w:rFonts w:hint="eastAsia" w:ascii="宋体" w:hAnsi="宋体" w:eastAsia="宋体" w:cs="宋体"/>
          <w:spacing w:val="22"/>
          <w:sz w:val="21"/>
          <w:szCs w:val="21"/>
        </w:rPr>
        <w:t>强化数字资本垄断地位,推动数字资本从中心国家向外围国家渗透,加剧</w:t>
      </w:r>
      <w:r>
        <w:rPr>
          <w:rFonts w:hint="eastAsia" w:ascii="宋体" w:hAnsi="宋体" w:eastAsia="宋体" w:cs="宋体"/>
          <w:spacing w:val="21"/>
          <w:sz w:val="21"/>
          <w:szCs w:val="21"/>
        </w:rPr>
        <w:t>国家之间和国家内部财</w:t>
      </w:r>
      <w:r>
        <w:rPr>
          <w:rFonts w:hint="eastAsia" w:ascii="宋体" w:hAnsi="宋体" w:eastAsia="宋体" w:cs="宋体"/>
          <w:spacing w:val="17"/>
          <w:sz w:val="21"/>
          <w:szCs w:val="21"/>
        </w:rPr>
        <w:t>富分配不平等,基于数字资本掠夺的国际不平等交换关系加速演进。</w:t>
      </w:r>
    </w:p>
    <w:p w14:paraId="20FA02C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sz w:val="21"/>
          <w:szCs w:val="21"/>
        </w:rPr>
      </w:pPr>
      <w:r>
        <w:rPr>
          <w:rFonts w:hint="eastAsia" w:ascii="宋体" w:hAnsi="宋体" w:eastAsia="宋体" w:cs="宋体"/>
          <w:spacing w:val="23"/>
          <w:sz w:val="21"/>
          <w:szCs w:val="21"/>
        </w:rPr>
        <w:t>数字资本异化影响人的自由全面发展。人的数字化发展为数字资本的价值形成和</w:t>
      </w:r>
      <w:r>
        <w:rPr>
          <w:rFonts w:hint="eastAsia" w:ascii="宋体" w:hAnsi="宋体" w:eastAsia="宋体" w:cs="宋体"/>
          <w:spacing w:val="22"/>
          <w:sz w:val="21"/>
          <w:szCs w:val="21"/>
        </w:rPr>
        <w:t>增殖提供数字劳动力,数字技术的创新应用加剧了数字资本对数字劳动力的剥</w:t>
      </w:r>
      <w:r>
        <w:rPr>
          <w:rFonts w:hint="eastAsia" w:ascii="宋体" w:hAnsi="宋体" w:eastAsia="宋体" w:cs="宋体"/>
          <w:spacing w:val="21"/>
          <w:sz w:val="21"/>
          <w:szCs w:val="21"/>
        </w:rPr>
        <w:t>削程度,而算法的失控在为</w:t>
      </w:r>
      <w:r>
        <w:rPr>
          <w:rFonts w:hint="eastAsia" w:ascii="宋体" w:hAnsi="宋体" w:eastAsia="宋体" w:cs="宋体"/>
          <w:spacing w:val="19"/>
          <w:sz w:val="21"/>
          <w:szCs w:val="21"/>
        </w:rPr>
        <w:t>数字资本创造更多剩余价值的同时,产生影响公平公正的</w:t>
      </w:r>
      <w:r>
        <w:rPr>
          <w:rFonts w:hint="eastAsia" w:ascii="宋体" w:hAnsi="宋体" w:eastAsia="宋体" w:cs="宋体"/>
          <w:spacing w:val="18"/>
          <w:sz w:val="21"/>
          <w:szCs w:val="21"/>
        </w:rPr>
        <w:t>负面效应和消费异化,损害消费者福利。</w:t>
      </w:r>
      <w:r>
        <w:rPr>
          <w:rFonts w:hint="eastAsia" w:ascii="宋体" w:hAnsi="宋体" w:eastAsia="宋体" w:cs="宋体"/>
          <w:spacing w:val="9"/>
          <w:sz w:val="21"/>
          <w:szCs w:val="21"/>
        </w:rPr>
        <w:t>此外,数字资本运动将资本主义对人的物质异化深化为精神异化,“数字拜物</w:t>
      </w:r>
      <w:r>
        <w:rPr>
          <w:rFonts w:hint="eastAsia" w:ascii="宋体" w:hAnsi="宋体" w:eastAsia="宋体" w:cs="宋体"/>
          <w:spacing w:val="8"/>
          <w:sz w:val="21"/>
          <w:szCs w:val="21"/>
        </w:rPr>
        <w:t>教”“信息茧房”“群体</w:t>
      </w:r>
      <w:r>
        <w:rPr>
          <w:rFonts w:hint="eastAsia" w:ascii="宋体" w:hAnsi="宋体" w:eastAsia="宋体" w:cs="宋体"/>
          <w:spacing w:val="19"/>
          <w:sz w:val="21"/>
          <w:szCs w:val="21"/>
        </w:rPr>
        <w:t>极化”等现象体现出数字资本对人的个性控制和规定。从表面看,数字资本主义是以数字资本逻</w:t>
      </w:r>
      <w:r>
        <w:rPr>
          <w:rFonts w:hint="eastAsia" w:ascii="宋体" w:hAnsi="宋体" w:eastAsia="宋体" w:cs="宋体"/>
          <w:spacing w:val="17"/>
          <w:sz w:val="21"/>
          <w:szCs w:val="21"/>
        </w:rPr>
        <w:t>辑构建的新自由主义体系,实质上这种自由只是有限自由</w:t>
      </w:r>
      <w:r>
        <w:rPr>
          <w:rStyle w:val="20"/>
          <w:rFonts w:hint="eastAsia" w:ascii="宋体" w:hAnsi="宋体" w:eastAsia="宋体" w:cs="宋体"/>
          <w:spacing w:val="-20"/>
          <w:sz w:val="21"/>
          <w:szCs w:val="21"/>
        </w:rPr>
        <w:footnoteReference w:id="1046"/>
      </w:r>
      <w:r>
        <w:rPr>
          <w:rFonts w:hint="eastAsia" w:ascii="宋体" w:hAnsi="宋体" w:eastAsia="宋体" w:cs="宋体"/>
          <w:spacing w:val="17"/>
          <w:sz w:val="21"/>
          <w:szCs w:val="21"/>
        </w:rPr>
        <w:t>。因此,</w:t>
      </w:r>
      <w:r>
        <w:rPr>
          <w:rFonts w:hint="eastAsia" w:ascii="宋体" w:hAnsi="宋体" w:eastAsia="宋体" w:cs="宋体"/>
          <w:spacing w:val="16"/>
          <w:sz w:val="21"/>
          <w:szCs w:val="21"/>
        </w:rPr>
        <w:t>数据不断资本化导致的数字资</w:t>
      </w:r>
      <w:r>
        <w:rPr>
          <w:rFonts w:hint="eastAsia" w:ascii="宋体" w:hAnsi="宋体" w:eastAsia="宋体" w:cs="宋体"/>
          <w:spacing w:val="17"/>
          <w:sz w:val="21"/>
          <w:szCs w:val="21"/>
        </w:rPr>
        <w:t>本异化将对人的全面自由发展产生消极影响。</w:t>
      </w:r>
    </w:p>
    <w:p w14:paraId="7B5BA1A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outlineLvl w:val="1"/>
        <w:rPr>
          <w:rFonts w:hint="eastAsia" w:ascii="宋体" w:hAnsi="宋体" w:eastAsia="宋体" w:cs="宋体"/>
          <w:sz w:val="21"/>
          <w:szCs w:val="21"/>
        </w:rPr>
      </w:pPr>
      <w:bookmarkStart w:id="739" w:name="_Toc1301919356"/>
      <w:bookmarkStart w:id="740" w:name="_Toc192642218"/>
      <w:bookmarkStart w:id="741" w:name="_Toc1112898141"/>
      <w:bookmarkStart w:id="742" w:name="_Toc26957"/>
      <w:bookmarkStart w:id="743" w:name="_Toc768724356"/>
      <w:bookmarkStart w:id="744" w:name="_Toc983855127"/>
      <w:r>
        <w:rPr>
          <w:rFonts w:hint="eastAsia" w:ascii="宋体" w:hAnsi="宋体" w:eastAsia="宋体" w:cs="宋体"/>
          <w:spacing w:val="12"/>
          <w:sz w:val="21"/>
          <w:szCs w:val="21"/>
        </w:rPr>
        <w:t>五、数字资本双重属性促进共同富裕的制度绩效比较</w:t>
      </w:r>
      <w:bookmarkEnd w:id="739"/>
      <w:bookmarkEnd w:id="740"/>
      <w:bookmarkEnd w:id="741"/>
      <w:bookmarkEnd w:id="742"/>
      <w:bookmarkEnd w:id="743"/>
      <w:bookmarkEnd w:id="744"/>
    </w:p>
    <w:p w14:paraId="14EE754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textAlignment w:val="baseline"/>
        <w:rPr>
          <w:rFonts w:hint="eastAsia" w:ascii="宋体" w:hAnsi="宋体" w:eastAsia="宋体" w:cs="宋体"/>
          <w:sz w:val="21"/>
          <w:szCs w:val="21"/>
        </w:rPr>
      </w:pPr>
      <w:r>
        <w:rPr>
          <w:rFonts w:hint="eastAsia" w:ascii="宋体" w:hAnsi="宋体" w:eastAsia="宋体" w:cs="宋体"/>
          <w:spacing w:val="22"/>
          <w:sz w:val="21"/>
          <w:szCs w:val="21"/>
        </w:rPr>
        <w:t>马克思对资本的批判是资本占主导地位的社会经济制度。不同的所有制和分配制度决定并</w:t>
      </w:r>
      <w:r>
        <w:rPr>
          <w:rFonts w:hint="eastAsia" w:ascii="宋体" w:hAnsi="宋体" w:eastAsia="宋体" w:cs="宋体"/>
          <w:spacing w:val="16"/>
          <w:sz w:val="21"/>
          <w:szCs w:val="21"/>
        </w:rPr>
        <w:t>影响资本双重属性的性质和功能。</w:t>
      </w:r>
    </w:p>
    <w:p w14:paraId="18287FE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(一)私有制条件下数字资本双重属性对财富分配影响</w:t>
      </w:r>
    </w:p>
    <w:p w14:paraId="7DAAFEC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数字资本生产功能属性的财富分配效应。资本主义</w:t>
      </w:r>
      <w:r>
        <w:rPr>
          <w:rFonts w:hint="eastAsia" w:ascii="宋体" w:hAnsi="宋体" w:eastAsia="宋体" w:cs="宋体"/>
          <w:spacing w:val="19"/>
          <w:sz w:val="21"/>
          <w:szCs w:val="21"/>
        </w:rPr>
        <w:t>生产方式下,数字资本凭借大数据要素和数字技术创造大量社会财富。由于生产社会化和私人占有之间的矛盾</w:t>
      </w:r>
      <w:r>
        <w:rPr>
          <w:rFonts w:hint="eastAsia" w:ascii="宋体" w:hAnsi="宋体" w:eastAsia="宋体" w:cs="宋体"/>
          <w:spacing w:val="18"/>
          <w:sz w:val="21"/>
          <w:szCs w:val="21"/>
        </w:rPr>
        <w:t>,数字资本的天然垄断倾向</w:t>
      </w:r>
      <w:r>
        <w:rPr>
          <w:rFonts w:hint="eastAsia" w:ascii="宋体" w:hAnsi="宋体" w:eastAsia="宋体" w:cs="宋体"/>
          <w:spacing w:val="21"/>
          <w:sz w:val="21"/>
          <w:szCs w:val="21"/>
        </w:rPr>
        <w:t>导致财富日益集中到大资本数字平台,造成贫富差距扩大。首先,数字资本最大限</w:t>
      </w:r>
      <w:r>
        <w:rPr>
          <w:rFonts w:hint="eastAsia" w:ascii="宋体" w:hAnsi="宋体" w:eastAsia="宋体" w:cs="宋体"/>
          <w:spacing w:val="20"/>
          <w:sz w:val="21"/>
          <w:szCs w:val="21"/>
        </w:rPr>
        <w:t>度攫取剩余价</w:t>
      </w:r>
      <w:r>
        <w:rPr>
          <w:rFonts w:hint="eastAsia" w:ascii="宋体" w:hAnsi="宋体" w:eastAsia="宋体" w:cs="宋体"/>
          <w:spacing w:val="17"/>
          <w:sz w:val="21"/>
          <w:szCs w:val="21"/>
        </w:rPr>
        <w:t>值和数字财富。高度信息化、智能化和平台化数字技术变革为数字资本以空前高效率的方式配置</w:t>
      </w:r>
      <w:r>
        <w:rPr>
          <w:rFonts w:hint="eastAsia" w:ascii="宋体" w:hAnsi="宋体" w:eastAsia="宋体" w:cs="宋体"/>
          <w:spacing w:val="20"/>
          <w:sz w:val="21"/>
          <w:szCs w:val="21"/>
        </w:rPr>
        <w:t>和组合数字劳动、数据信息和数字技术等生产要素进行再生产创造了条件,催生出基于网</w:t>
      </w:r>
      <w:r>
        <w:rPr>
          <w:rFonts w:hint="eastAsia" w:ascii="宋体" w:hAnsi="宋体" w:eastAsia="宋体" w:cs="宋体"/>
          <w:spacing w:val="19"/>
          <w:sz w:val="21"/>
          <w:szCs w:val="21"/>
        </w:rPr>
        <w:t>络化大</w:t>
      </w:r>
      <w:r>
        <w:rPr>
          <w:rFonts w:hint="eastAsia" w:ascii="宋体" w:hAnsi="宋体" w:eastAsia="宋体" w:cs="宋体"/>
          <w:spacing w:val="16"/>
          <w:sz w:val="21"/>
          <w:szCs w:val="21"/>
        </w:rPr>
        <w:t>协作、智能化大匹配、平台化大集成的新型数字化社会大生产形式,极大提升了</w:t>
      </w:r>
      <w:r>
        <w:rPr>
          <w:rFonts w:hint="eastAsia" w:ascii="宋体" w:hAnsi="宋体" w:eastAsia="宋体" w:cs="宋体"/>
          <w:spacing w:val="15"/>
          <w:sz w:val="21"/>
          <w:szCs w:val="21"/>
        </w:rPr>
        <w:t>数字生产力,为数</w:t>
      </w:r>
      <w:r>
        <w:rPr>
          <w:rFonts w:hint="eastAsia" w:ascii="宋体" w:hAnsi="宋体" w:eastAsia="宋体" w:cs="宋体"/>
          <w:spacing w:val="16"/>
          <w:sz w:val="21"/>
          <w:szCs w:val="21"/>
        </w:rPr>
        <w:t>字资本以更大规模、更高效率攫取剩余价值和社会财富提供了</w:t>
      </w:r>
      <w:r>
        <w:rPr>
          <w:rFonts w:hint="eastAsia" w:ascii="宋体" w:hAnsi="宋体" w:eastAsia="宋体" w:cs="宋体"/>
          <w:spacing w:val="15"/>
          <w:sz w:val="21"/>
          <w:szCs w:val="21"/>
        </w:rPr>
        <w:t>更发达的生产力手段</w:t>
      </w:r>
      <w:r>
        <w:rPr>
          <w:rStyle w:val="20"/>
          <w:rFonts w:hint="eastAsia" w:ascii="宋体" w:hAnsi="宋体" w:eastAsia="宋体" w:cs="宋体"/>
          <w:spacing w:val="15"/>
          <w:sz w:val="21"/>
          <w:szCs w:val="21"/>
        </w:rPr>
        <w:footnoteReference w:id="1047"/>
      </w:r>
      <w:r>
        <w:rPr>
          <w:rFonts w:hint="eastAsia" w:ascii="宋体" w:hAnsi="宋体" w:eastAsia="宋体" w:cs="宋体"/>
          <w:spacing w:val="15"/>
          <w:sz w:val="21"/>
          <w:szCs w:val="21"/>
        </w:rPr>
        <w:t>。其次,数字</w:t>
      </w:r>
      <w:r>
        <w:rPr>
          <w:rFonts w:hint="eastAsia" w:ascii="宋体" w:hAnsi="宋体" w:eastAsia="宋体" w:cs="宋体"/>
          <w:spacing w:val="17"/>
          <w:sz w:val="21"/>
          <w:szCs w:val="21"/>
        </w:rPr>
        <w:t>资本基于数字平台获取超额垄断利润。数字资本通过数字平台、平台寡头以及数字技术垄断等手</w:t>
      </w:r>
      <w:r>
        <w:rPr>
          <w:rFonts w:hint="eastAsia" w:ascii="宋体" w:hAnsi="宋体" w:eastAsia="宋体" w:cs="宋体"/>
          <w:spacing w:val="21"/>
          <w:sz w:val="21"/>
          <w:szCs w:val="21"/>
        </w:rPr>
        <w:t>段形成数字平台进入壁垒,收割中小平台企业垄断利润。从全球视角审视,数字资本不断扩张其</w:t>
      </w:r>
      <w:r>
        <w:rPr>
          <w:rFonts w:hint="eastAsia" w:ascii="宋体" w:hAnsi="宋体" w:eastAsia="宋体" w:cs="宋体"/>
          <w:spacing w:val="17"/>
          <w:sz w:val="21"/>
          <w:szCs w:val="21"/>
        </w:rPr>
        <w:t>数字生态,通过数字化手段对全产业链进行渗透扩张。</w:t>
      </w:r>
    </w:p>
    <w:p w14:paraId="412BAE3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pacing w:val="17"/>
          <w:sz w:val="21"/>
          <w:szCs w:val="21"/>
        </w:rPr>
      </w:pPr>
      <w:r>
        <w:rPr>
          <w:rFonts w:hint="eastAsia" w:ascii="宋体" w:hAnsi="宋体" w:eastAsia="宋体" w:cs="宋体"/>
          <w:spacing w:val="20"/>
          <w:sz w:val="21"/>
          <w:szCs w:val="21"/>
        </w:rPr>
        <w:t>数字资本生产关系属性的财富分配效应。私有制条</w:t>
      </w:r>
      <w:r>
        <w:rPr>
          <w:rFonts w:hint="eastAsia" w:ascii="宋体" w:hAnsi="宋体" w:eastAsia="宋体" w:cs="宋体"/>
          <w:spacing w:val="19"/>
          <w:sz w:val="21"/>
          <w:szCs w:val="21"/>
        </w:rPr>
        <w:t>件下按照资本原则进行分配,必然造成贫</w:t>
      </w:r>
      <w:r>
        <w:rPr>
          <w:rFonts w:hint="eastAsia" w:ascii="宋体" w:hAnsi="宋体" w:eastAsia="宋体" w:cs="宋体"/>
          <w:spacing w:val="20"/>
          <w:sz w:val="21"/>
          <w:szCs w:val="21"/>
        </w:rPr>
        <w:t>富两极分化。数字资本作为数字资本主义生产关系的组</w:t>
      </w:r>
      <w:r>
        <w:rPr>
          <w:rFonts w:hint="eastAsia" w:ascii="宋体" w:hAnsi="宋体" w:eastAsia="宋体" w:cs="宋体"/>
          <w:spacing w:val="19"/>
          <w:sz w:val="21"/>
          <w:szCs w:val="21"/>
        </w:rPr>
        <w:t>成部分,在加速数字财富向数字资本寡头</w:t>
      </w:r>
      <w:r>
        <w:rPr>
          <w:rFonts w:hint="eastAsia" w:ascii="宋体" w:hAnsi="宋体" w:eastAsia="宋体" w:cs="宋体"/>
          <w:spacing w:val="18"/>
          <w:sz w:val="21"/>
          <w:szCs w:val="21"/>
        </w:rPr>
        <w:t>积累的同时,也加剧了社会贫富两极分化和阶级矛盾。其一,从数字劳资关系看,数字资本对数字</w:t>
      </w:r>
      <w:r>
        <w:rPr>
          <w:rFonts w:hint="eastAsia" w:ascii="宋体" w:hAnsi="宋体" w:eastAsia="宋体" w:cs="宋体"/>
          <w:spacing w:val="20"/>
          <w:sz w:val="21"/>
          <w:szCs w:val="21"/>
        </w:rPr>
        <w:t>劳动剩余价值的占有成为数字资本生产关系的主要特征</w:t>
      </w:r>
      <w:r>
        <w:rPr>
          <w:rFonts w:hint="eastAsia" w:ascii="宋体" w:hAnsi="宋体" w:eastAsia="宋体" w:cs="宋体"/>
          <w:spacing w:val="19"/>
          <w:sz w:val="21"/>
          <w:szCs w:val="21"/>
        </w:rPr>
        <w:t>。数字财富由少数人所有,数字平台资本</w:t>
      </w:r>
      <w:r>
        <w:rPr>
          <w:rFonts w:hint="eastAsia" w:ascii="宋体" w:hAnsi="宋体" w:eastAsia="宋体" w:cs="宋体"/>
          <w:spacing w:val="21"/>
          <w:sz w:val="21"/>
          <w:szCs w:val="21"/>
        </w:rPr>
        <w:t>家凭借数据占有权通过加大劳动强度和提高劳动生产</w:t>
      </w:r>
      <w:r>
        <w:rPr>
          <w:rFonts w:hint="eastAsia" w:ascii="宋体" w:hAnsi="宋体" w:eastAsia="宋体" w:cs="宋体"/>
          <w:spacing w:val="20"/>
          <w:sz w:val="21"/>
          <w:szCs w:val="21"/>
        </w:rPr>
        <w:t>率方式,达到榨取数字劳动者更多剩余劳动的目的。其二,从数字资本对数字财富的支配和占有情况看,数字资本生产</w:t>
      </w:r>
      <w:r>
        <w:rPr>
          <w:rFonts w:hint="eastAsia" w:ascii="宋体" w:hAnsi="宋体" w:eastAsia="宋体" w:cs="宋体"/>
          <w:spacing w:val="19"/>
          <w:sz w:val="21"/>
          <w:szCs w:val="21"/>
        </w:rPr>
        <w:t>关系具有金融寡头垄</w:t>
      </w:r>
      <w:r>
        <w:rPr>
          <w:rFonts w:hint="eastAsia" w:ascii="宋体" w:hAnsi="宋体" w:eastAsia="宋体" w:cs="宋体"/>
          <w:spacing w:val="16"/>
          <w:sz w:val="21"/>
          <w:szCs w:val="21"/>
        </w:rPr>
        <w:t>断特征,如亚马逊、微软、苹果等知名数字企业背后都有华尔街金融资本力量支持,数字资本通过</w:t>
      </w:r>
      <w:r>
        <w:rPr>
          <w:rFonts w:hint="eastAsia" w:ascii="宋体" w:hAnsi="宋体" w:eastAsia="宋体" w:cs="宋体"/>
          <w:spacing w:val="17"/>
          <w:sz w:val="21"/>
          <w:szCs w:val="21"/>
        </w:rPr>
        <w:t>对数字资本生产过程的掌控,攫取数字超额剩余价值和数字财富。</w:t>
      </w:r>
    </w:p>
    <w:p w14:paraId="4E9F4DA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rPr>
          <w:rFonts w:hint="eastAsia" w:ascii="宋体" w:hAnsi="宋体" w:eastAsia="宋体" w:cs="宋体"/>
          <w:spacing w:val="19"/>
          <w:sz w:val="21"/>
          <w:szCs w:val="21"/>
        </w:rPr>
      </w:pPr>
      <w:r>
        <w:rPr>
          <w:rFonts w:hint="eastAsia" w:ascii="宋体" w:hAnsi="宋体" w:eastAsia="宋体" w:cs="宋体"/>
          <w:spacing w:val="19"/>
          <w:sz w:val="21"/>
          <w:szCs w:val="21"/>
        </w:rPr>
        <w:t>(二)公有制为数字资本赋能共同富裕提供制度基础</w:t>
      </w:r>
    </w:p>
    <w:p w14:paraId="41A5485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公有制有利于数字资本生产功能的发挥。社会主义公</w:t>
      </w:r>
      <w:r>
        <w:rPr>
          <w:rFonts w:hint="eastAsia" w:ascii="宋体" w:hAnsi="宋体" w:eastAsia="宋体" w:cs="宋体"/>
          <w:spacing w:val="19"/>
          <w:sz w:val="21"/>
          <w:szCs w:val="21"/>
        </w:rPr>
        <w:t>有制条件下,数字资本与数字劳动的结</w:t>
      </w:r>
      <w:r>
        <w:rPr>
          <w:rFonts w:hint="eastAsia" w:ascii="宋体" w:hAnsi="宋体" w:eastAsia="宋体" w:cs="宋体"/>
          <w:spacing w:val="20"/>
          <w:sz w:val="21"/>
          <w:szCs w:val="21"/>
        </w:rPr>
        <w:t>合主要功能目标在于创造社会财富和实现共同富裕。在</w:t>
      </w:r>
      <w:r>
        <w:rPr>
          <w:rFonts w:hint="eastAsia" w:ascii="宋体" w:hAnsi="宋体" w:eastAsia="宋体" w:cs="宋体"/>
          <w:spacing w:val="19"/>
          <w:sz w:val="21"/>
          <w:szCs w:val="21"/>
        </w:rPr>
        <w:t>社会主义公有制条件下,数字资本不再以</w:t>
      </w:r>
      <w:r>
        <w:rPr>
          <w:rFonts w:hint="eastAsia" w:ascii="宋体" w:hAnsi="宋体" w:eastAsia="宋体" w:cs="宋体"/>
          <w:spacing w:val="20"/>
          <w:sz w:val="21"/>
          <w:szCs w:val="21"/>
        </w:rPr>
        <w:t>个别资本利润最大化为唯一动机,而是更加注重整体社会财富平衡增长。一方面,数字技术赋能</w:t>
      </w:r>
      <w:r>
        <w:rPr>
          <w:rFonts w:hint="eastAsia" w:ascii="宋体" w:hAnsi="宋体" w:eastAsia="宋体" w:cs="宋体"/>
          <w:spacing w:val="21"/>
          <w:sz w:val="21"/>
          <w:szCs w:val="21"/>
        </w:rPr>
        <w:t>数字资本和数字劳动,通过释放数字资本生产功能提升数字财富创造效率。另一方</w:t>
      </w:r>
      <w:r>
        <w:rPr>
          <w:rFonts w:hint="eastAsia" w:ascii="宋体" w:hAnsi="宋体" w:eastAsia="宋体" w:cs="宋体"/>
          <w:spacing w:val="20"/>
          <w:sz w:val="21"/>
          <w:szCs w:val="21"/>
        </w:rPr>
        <w:t>面,社会主义</w:t>
      </w:r>
      <w:r>
        <w:rPr>
          <w:rFonts w:hint="eastAsia" w:ascii="宋体" w:hAnsi="宋体" w:eastAsia="宋体" w:cs="宋体"/>
          <w:spacing w:val="22"/>
          <w:sz w:val="21"/>
          <w:szCs w:val="21"/>
        </w:rPr>
        <w:t>公有制有助于缓和数字劳资矛盾,提高数字劳动者的积极性和创造</w:t>
      </w:r>
      <w:r>
        <w:rPr>
          <w:rFonts w:hint="eastAsia" w:ascii="宋体" w:hAnsi="宋体" w:eastAsia="宋体" w:cs="宋体"/>
          <w:spacing w:val="21"/>
          <w:sz w:val="21"/>
          <w:szCs w:val="21"/>
        </w:rPr>
        <w:t>性,为相对过剩人口提供更多</w:t>
      </w:r>
      <w:r>
        <w:rPr>
          <w:rFonts w:hint="eastAsia" w:ascii="宋体" w:hAnsi="宋体" w:eastAsia="宋体" w:cs="宋体"/>
          <w:spacing w:val="17"/>
          <w:sz w:val="21"/>
          <w:szCs w:val="21"/>
        </w:rPr>
        <w:t>就业机会,分享数字发展红利,有利于缩小收入差距和</w:t>
      </w:r>
      <w:r>
        <w:rPr>
          <w:rFonts w:hint="eastAsia" w:ascii="宋体" w:hAnsi="宋体" w:eastAsia="宋体" w:cs="宋体"/>
          <w:spacing w:val="16"/>
          <w:sz w:val="21"/>
          <w:szCs w:val="21"/>
        </w:rPr>
        <w:t>实现共同富裕。</w:t>
      </w:r>
    </w:p>
    <w:p w14:paraId="0DC0CCB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公有制保障数字资本生产关系公共属性。社会主义公</w:t>
      </w:r>
      <w:r>
        <w:rPr>
          <w:rFonts w:hint="eastAsia" w:ascii="宋体" w:hAnsi="宋体" w:eastAsia="宋体" w:cs="宋体"/>
          <w:spacing w:val="19"/>
          <w:sz w:val="21"/>
          <w:szCs w:val="21"/>
        </w:rPr>
        <w:t>有制基础上,公有主体型产权制度最大</w:t>
      </w:r>
      <w:r>
        <w:rPr>
          <w:rFonts w:hint="eastAsia" w:ascii="宋体" w:hAnsi="宋体" w:eastAsia="宋体" w:cs="宋体"/>
          <w:spacing w:val="20"/>
          <w:sz w:val="21"/>
          <w:szCs w:val="21"/>
        </w:rPr>
        <w:t>限度约束数字资本生产关系消极影响。首先,公有主</w:t>
      </w:r>
      <w:r>
        <w:rPr>
          <w:rFonts w:hint="eastAsia" w:ascii="宋体" w:hAnsi="宋体" w:eastAsia="宋体" w:cs="宋体"/>
          <w:spacing w:val="19"/>
          <w:sz w:val="21"/>
          <w:szCs w:val="21"/>
        </w:rPr>
        <w:t>体型多种类产权制度可以保障国家数据安全</w:t>
      </w:r>
      <w:r>
        <w:rPr>
          <w:rFonts w:hint="eastAsia" w:ascii="宋体" w:hAnsi="宋体" w:eastAsia="宋体" w:cs="宋体"/>
          <w:spacing w:val="21"/>
          <w:sz w:val="21"/>
          <w:szCs w:val="21"/>
        </w:rPr>
        <w:t>和市场产权,有利于反垄断和防止资本无序扩张。其次,公有主体型产权制度有利于缓解数字资本对数字劳动的剥削程度,构建和谐数字劳资关系。最后,公有主体型产权制度有</w:t>
      </w:r>
      <w:r>
        <w:rPr>
          <w:rFonts w:hint="eastAsia" w:ascii="宋体" w:hAnsi="宋体" w:eastAsia="宋体" w:cs="宋体"/>
          <w:spacing w:val="20"/>
          <w:sz w:val="21"/>
          <w:szCs w:val="21"/>
        </w:rPr>
        <w:t>利于保护消费</w:t>
      </w:r>
      <w:r>
        <w:rPr>
          <w:rFonts w:hint="eastAsia" w:ascii="宋体" w:hAnsi="宋体" w:eastAsia="宋体" w:cs="宋体"/>
          <w:spacing w:val="16"/>
          <w:sz w:val="21"/>
          <w:szCs w:val="21"/>
        </w:rPr>
        <w:t>者权益,降低全社会交易成本,营造公平竞争秩序,保</w:t>
      </w:r>
      <w:r>
        <w:rPr>
          <w:rFonts w:hint="eastAsia" w:ascii="宋体" w:hAnsi="宋体" w:eastAsia="宋体" w:cs="宋体"/>
          <w:spacing w:val="15"/>
          <w:sz w:val="21"/>
          <w:szCs w:val="21"/>
        </w:rPr>
        <w:t>障平台财富全民共享。</w:t>
      </w:r>
    </w:p>
    <w:p w14:paraId="7A38D05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(三)按劳分配为数字资本促进共同富裕提供制度保障</w:t>
      </w:r>
    </w:p>
    <w:p w14:paraId="57993A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按劳分配制度体现数字资本分配正义。坚持劳动人民生产资料公有制、不断扩大按劳</w:t>
      </w:r>
      <w:r>
        <w:rPr>
          <w:rFonts w:hint="eastAsia" w:ascii="宋体" w:hAnsi="宋体" w:eastAsia="宋体" w:cs="宋体"/>
          <w:spacing w:val="16"/>
          <w:sz w:val="21"/>
          <w:szCs w:val="21"/>
        </w:rPr>
        <w:t>分配制</w:t>
      </w:r>
      <w:r>
        <w:rPr>
          <w:rFonts w:hint="eastAsia" w:ascii="宋体" w:hAnsi="宋体" w:eastAsia="宋体" w:cs="宋体"/>
          <w:spacing w:val="20"/>
          <w:sz w:val="21"/>
          <w:szCs w:val="21"/>
        </w:rPr>
        <w:t>度对劳动者的受益覆盖面,这是实现共同富裕的根本</w:t>
      </w:r>
      <w:r>
        <w:rPr>
          <w:rFonts w:hint="eastAsia" w:ascii="宋体" w:hAnsi="宋体" w:eastAsia="宋体" w:cs="宋体"/>
          <w:spacing w:val="19"/>
          <w:sz w:val="21"/>
          <w:szCs w:val="21"/>
        </w:rPr>
        <w:t>路径。按劳分配和按生产要素产权贡献分配</w:t>
      </w:r>
      <w:r>
        <w:rPr>
          <w:rFonts w:hint="eastAsia" w:ascii="宋体" w:hAnsi="宋体" w:eastAsia="宋体" w:cs="宋体"/>
          <w:spacing w:val="22"/>
          <w:sz w:val="21"/>
          <w:szCs w:val="21"/>
        </w:rPr>
        <w:t>相结合,丰富和发展了马克思劳动价值论,劳动主体型的多要素产权</w:t>
      </w:r>
      <w:r>
        <w:rPr>
          <w:rFonts w:hint="eastAsia" w:ascii="宋体" w:hAnsi="宋体" w:eastAsia="宋体" w:cs="宋体"/>
          <w:spacing w:val="21"/>
          <w:sz w:val="21"/>
          <w:szCs w:val="21"/>
        </w:rPr>
        <w:t>分配制度以满足人的全面发</w:t>
      </w:r>
      <w:r>
        <w:rPr>
          <w:rFonts w:hint="eastAsia" w:ascii="宋体" w:hAnsi="宋体" w:eastAsia="宋体" w:cs="宋体"/>
          <w:spacing w:val="18"/>
          <w:sz w:val="21"/>
          <w:szCs w:val="21"/>
        </w:rPr>
        <w:t>展需要为目标,资本及其增值只是手段。因此,构建数据共享的按劳分</w:t>
      </w:r>
      <w:r>
        <w:rPr>
          <w:rFonts w:hint="eastAsia" w:ascii="宋体" w:hAnsi="宋体" w:eastAsia="宋体" w:cs="宋体"/>
          <w:spacing w:val="17"/>
          <w:sz w:val="21"/>
          <w:szCs w:val="21"/>
        </w:rPr>
        <w:t>配实践机制,培育数字利益</w:t>
      </w:r>
      <w:r>
        <w:rPr>
          <w:rFonts w:hint="eastAsia" w:ascii="宋体" w:hAnsi="宋体" w:eastAsia="宋体" w:cs="宋体"/>
          <w:spacing w:val="13"/>
          <w:sz w:val="21"/>
          <w:szCs w:val="21"/>
        </w:rPr>
        <w:t>共享的产业链、价值链,推动数字资源共建共享和数字资本分配正义。</w:t>
      </w:r>
    </w:p>
    <w:p w14:paraId="386495E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按劳分配制度保障数字财富全民共享。实行以公有制为主体、多种所有制经济共同发</w:t>
      </w:r>
      <w:r>
        <w:rPr>
          <w:rFonts w:hint="eastAsia" w:ascii="宋体" w:hAnsi="宋体" w:eastAsia="宋体" w:cs="宋体"/>
          <w:spacing w:val="16"/>
          <w:sz w:val="21"/>
          <w:szCs w:val="21"/>
        </w:rPr>
        <w:t>展的基</w:t>
      </w:r>
      <w:r>
        <w:rPr>
          <w:rFonts w:hint="eastAsia" w:ascii="宋体" w:hAnsi="宋体" w:eastAsia="宋体" w:cs="宋体"/>
          <w:spacing w:val="20"/>
          <w:sz w:val="21"/>
          <w:szCs w:val="21"/>
        </w:rPr>
        <w:t>本经济制度,决定必然实行劳动主体型的多要素分配</w:t>
      </w:r>
      <w:r>
        <w:rPr>
          <w:rFonts w:hint="eastAsia" w:ascii="宋体" w:hAnsi="宋体" w:eastAsia="宋体" w:cs="宋体"/>
          <w:spacing w:val="19"/>
          <w:sz w:val="21"/>
          <w:szCs w:val="21"/>
        </w:rPr>
        <w:t>制度。坚持按劳分配为主体和按要素产权贡</w:t>
      </w:r>
      <w:r>
        <w:rPr>
          <w:rFonts w:hint="eastAsia" w:ascii="宋体" w:hAnsi="宋体" w:eastAsia="宋体" w:cs="宋体"/>
          <w:spacing w:val="22"/>
          <w:sz w:val="21"/>
          <w:szCs w:val="21"/>
        </w:rPr>
        <w:t>献分配有机结合,有利于发挥数字资本要素赋能共同富裕的积极作用,完</w:t>
      </w:r>
      <w:r>
        <w:rPr>
          <w:rFonts w:hint="eastAsia" w:ascii="宋体" w:hAnsi="宋体" w:eastAsia="宋体" w:cs="宋体"/>
          <w:spacing w:val="21"/>
          <w:sz w:val="21"/>
          <w:szCs w:val="21"/>
        </w:rPr>
        <w:t>善数据要素由市场评价</w:t>
      </w:r>
      <w:r>
        <w:rPr>
          <w:rFonts w:hint="eastAsia" w:ascii="宋体" w:hAnsi="宋体" w:eastAsia="宋体" w:cs="宋体"/>
          <w:spacing w:val="18"/>
          <w:sz w:val="21"/>
          <w:szCs w:val="21"/>
        </w:rPr>
        <w:t>贡献、按产权贡献决定报酬的机制;有利于推动公共数据的价值补偿,不断消弭数字鸿沟,增强数</w:t>
      </w:r>
      <w:r>
        <w:rPr>
          <w:rFonts w:hint="eastAsia" w:ascii="宋体" w:hAnsi="宋体" w:eastAsia="宋体" w:cs="宋体"/>
          <w:spacing w:val="22"/>
          <w:sz w:val="21"/>
          <w:szCs w:val="21"/>
        </w:rPr>
        <w:t>字经济包容性和数字红利可及性,让处于不同发展阶段的成员共享数字劳</w:t>
      </w:r>
      <w:r>
        <w:rPr>
          <w:rFonts w:hint="eastAsia" w:ascii="宋体" w:hAnsi="宋体" w:eastAsia="宋体" w:cs="宋体"/>
          <w:spacing w:val="21"/>
          <w:sz w:val="21"/>
          <w:szCs w:val="21"/>
        </w:rPr>
        <w:t>动成果;有利于数字平</w:t>
      </w:r>
      <w:r>
        <w:rPr>
          <w:rFonts w:hint="eastAsia" w:ascii="宋体" w:hAnsi="宋体" w:eastAsia="宋体" w:cs="宋体"/>
          <w:spacing w:val="10"/>
          <w:sz w:val="21"/>
          <w:szCs w:val="21"/>
        </w:rPr>
        <w:t>台企业兼顾国家、企业、消费者和员工等主体利益,实现数字财富全民共享。</w:t>
      </w:r>
    </w:p>
    <w:p w14:paraId="3A85B5D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outlineLvl w:val="1"/>
        <w:rPr>
          <w:rFonts w:hint="eastAsia" w:ascii="宋体" w:hAnsi="宋体" w:eastAsia="宋体" w:cs="宋体"/>
          <w:sz w:val="21"/>
          <w:szCs w:val="21"/>
        </w:rPr>
      </w:pPr>
      <w:bookmarkStart w:id="745" w:name="_Toc688630940"/>
      <w:bookmarkStart w:id="746" w:name="_Toc2043974064"/>
      <w:bookmarkStart w:id="747" w:name="_Toc15124"/>
      <w:bookmarkStart w:id="748" w:name="_Toc1479901897"/>
      <w:bookmarkStart w:id="749" w:name="_Toc647737009"/>
      <w:bookmarkStart w:id="750" w:name="_Toc29037589"/>
      <w:r>
        <w:rPr>
          <w:rFonts w:hint="eastAsia" w:ascii="宋体" w:hAnsi="宋体" w:eastAsia="宋体" w:cs="宋体"/>
          <w:spacing w:val="12"/>
          <w:sz w:val="21"/>
          <w:szCs w:val="21"/>
        </w:rPr>
        <w:t>六、数字资本双重属性赋能共同富裕的政策优化路径</w:t>
      </w:r>
      <w:bookmarkEnd w:id="745"/>
      <w:bookmarkEnd w:id="746"/>
      <w:bookmarkEnd w:id="747"/>
      <w:bookmarkEnd w:id="748"/>
      <w:bookmarkEnd w:id="749"/>
      <w:bookmarkEnd w:id="750"/>
    </w:p>
    <w:p w14:paraId="04E0C62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数字资本生产功能属性和生产关系属性存在着辩证关</w:t>
      </w:r>
      <w:r>
        <w:rPr>
          <w:rFonts w:hint="eastAsia" w:ascii="宋体" w:hAnsi="宋体" w:eastAsia="宋体" w:cs="宋体"/>
          <w:spacing w:val="20"/>
          <w:sz w:val="21"/>
          <w:szCs w:val="21"/>
        </w:rPr>
        <w:t>系和相互作用效应,对共同富裕的实现产生直接和间接影响。基于数字资本双重属性对共同</w:t>
      </w:r>
      <w:r>
        <w:rPr>
          <w:rFonts w:hint="eastAsia" w:ascii="宋体" w:hAnsi="宋体" w:eastAsia="宋体" w:cs="宋体"/>
          <w:spacing w:val="19"/>
          <w:sz w:val="21"/>
          <w:szCs w:val="21"/>
        </w:rPr>
        <w:t>富裕的影响机制分析和制度绩效比较,提出</w:t>
      </w:r>
      <w:r>
        <w:rPr>
          <w:rFonts w:hint="eastAsia" w:ascii="宋体" w:hAnsi="宋体" w:eastAsia="宋体" w:cs="宋体"/>
          <w:spacing w:val="17"/>
          <w:sz w:val="21"/>
          <w:szCs w:val="21"/>
        </w:rPr>
        <w:t>数字资本双重属性赋能共同富裕的政策优化路径。</w:t>
      </w:r>
    </w:p>
    <w:p w14:paraId="1BE570F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(一)构建公有制条件下数字资本促进共同富裕的新型产权制度</w:t>
      </w:r>
    </w:p>
    <w:p w14:paraId="2E7052C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所有制和所有权关系在马克思的历史唯物主义视域中具</w:t>
      </w:r>
      <w:r>
        <w:rPr>
          <w:rFonts w:hint="eastAsia" w:ascii="宋体" w:hAnsi="宋体" w:eastAsia="宋体" w:cs="宋体"/>
          <w:spacing w:val="20"/>
          <w:sz w:val="21"/>
          <w:szCs w:val="21"/>
        </w:rPr>
        <w:t>有内在统一性,所有制是所有权的经</w:t>
      </w:r>
      <w:r>
        <w:rPr>
          <w:rFonts w:hint="eastAsia" w:ascii="宋体" w:hAnsi="宋体" w:eastAsia="宋体" w:cs="宋体"/>
          <w:spacing w:val="2"/>
          <w:sz w:val="21"/>
          <w:szCs w:val="21"/>
        </w:rPr>
        <w:t>济基础,所有权是所有制的法律表现。坚持社会主义生产资</w:t>
      </w:r>
      <w:r>
        <w:rPr>
          <w:rFonts w:hint="eastAsia" w:ascii="宋体" w:hAnsi="宋体" w:eastAsia="宋体" w:cs="宋体"/>
          <w:spacing w:val="1"/>
          <w:sz w:val="21"/>
          <w:szCs w:val="21"/>
        </w:rPr>
        <w:t>料公有制是实现共同富裕的制度前</w:t>
      </w:r>
      <w:r>
        <w:rPr>
          <w:rFonts w:hint="eastAsia" w:ascii="宋体" w:hAnsi="宋体" w:eastAsia="宋体" w:cs="宋体"/>
          <w:spacing w:val="20"/>
          <w:sz w:val="21"/>
          <w:szCs w:val="21"/>
        </w:rPr>
        <w:t>提。在充分发挥数字资本生产功能属性的同时,需要</w:t>
      </w:r>
      <w:r>
        <w:rPr>
          <w:rFonts w:hint="eastAsia" w:ascii="宋体" w:hAnsi="宋体" w:eastAsia="宋体" w:cs="宋体"/>
          <w:spacing w:val="19"/>
          <w:sz w:val="21"/>
          <w:szCs w:val="21"/>
        </w:rPr>
        <w:t>构建公有制条件下数字资本促进共同富裕的新型产权基础,重点推进数字资本国有化和数字资本社会化改革方向。明晰数字</w:t>
      </w:r>
      <w:r>
        <w:rPr>
          <w:rFonts w:hint="eastAsia" w:ascii="宋体" w:hAnsi="宋体" w:eastAsia="宋体" w:cs="宋体"/>
          <w:spacing w:val="18"/>
          <w:sz w:val="21"/>
          <w:szCs w:val="21"/>
        </w:rPr>
        <w:t>资本所有权和收</w:t>
      </w:r>
      <w:r>
        <w:rPr>
          <w:rFonts w:hint="eastAsia" w:ascii="宋体" w:hAnsi="宋体" w:eastAsia="宋体" w:cs="宋体"/>
          <w:spacing w:val="20"/>
          <w:sz w:val="21"/>
          <w:szCs w:val="21"/>
        </w:rPr>
        <w:t>益分配权归属国家和社会所有,组建国有企业并由政</w:t>
      </w:r>
      <w:r>
        <w:rPr>
          <w:rFonts w:hint="eastAsia" w:ascii="宋体" w:hAnsi="宋体" w:eastAsia="宋体" w:cs="宋体"/>
          <w:spacing w:val="19"/>
          <w:sz w:val="21"/>
          <w:szCs w:val="21"/>
        </w:rPr>
        <w:t>府直接监管。创新数字资本货币化和股份化</w:t>
      </w:r>
      <w:r>
        <w:rPr>
          <w:rFonts w:hint="eastAsia" w:ascii="宋体" w:hAnsi="宋体" w:eastAsia="宋体" w:cs="宋体"/>
          <w:spacing w:val="17"/>
          <w:sz w:val="21"/>
          <w:szCs w:val="21"/>
        </w:rPr>
        <w:t>形式,鼓励国有企业对平台企业、民营企业等非公有制经济领域的参股控股,消解数字劳动和数字资本二元对立的产权结构,实现数字财富全民共享共富。</w:t>
      </w:r>
    </w:p>
    <w:p w14:paraId="4ED410A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(二)推动公有资本控股的混合所有制改革,加强国有资本对数字资本的控制力度</w:t>
      </w:r>
    </w:p>
    <w:p w14:paraId="443745F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坚持两个毫不动摇和数字财富公有制,坚持以</w:t>
      </w:r>
      <w:r>
        <w:rPr>
          <w:rFonts w:hint="eastAsia" w:ascii="宋体" w:hAnsi="宋体" w:eastAsia="宋体" w:cs="宋体"/>
          <w:spacing w:val="19"/>
          <w:sz w:val="21"/>
          <w:szCs w:val="21"/>
        </w:rPr>
        <w:t>公有制为主体参与数字财富分配。探索作为根</w:t>
      </w:r>
      <w:r>
        <w:rPr>
          <w:rFonts w:hint="eastAsia" w:ascii="宋体" w:hAnsi="宋体" w:eastAsia="宋体" w:cs="宋体"/>
          <w:spacing w:val="22"/>
          <w:sz w:val="21"/>
          <w:szCs w:val="21"/>
        </w:rPr>
        <w:t>本经济制度的公有制多种财富实现形式,完善多种所有制形式参与数字财富创造和分配机制,形</w:t>
      </w:r>
      <w:r>
        <w:rPr>
          <w:rFonts w:hint="eastAsia" w:ascii="宋体" w:hAnsi="宋体" w:eastAsia="宋体" w:cs="宋体"/>
          <w:spacing w:val="4"/>
          <w:sz w:val="21"/>
          <w:szCs w:val="21"/>
        </w:rPr>
        <w:t>成数字财富所有者与资本所有者的利益共同体。重点发展公有资本控股的混合所有制经济,鼓</w:t>
      </w:r>
      <w:r>
        <w:rPr>
          <w:rFonts w:hint="eastAsia" w:ascii="宋体" w:hAnsi="宋体" w:eastAsia="宋体" w:cs="宋体"/>
          <w:spacing w:val="20"/>
          <w:sz w:val="21"/>
          <w:szCs w:val="21"/>
        </w:rPr>
        <w:t>励、支持国有资本参股数字平台企业,必要时实行相对或绝对控</w:t>
      </w:r>
      <w:r>
        <w:rPr>
          <w:rFonts w:hint="eastAsia" w:ascii="宋体" w:hAnsi="宋体" w:eastAsia="宋体" w:cs="宋体"/>
          <w:spacing w:val="19"/>
          <w:sz w:val="21"/>
          <w:szCs w:val="21"/>
        </w:rPr>
        <w:t>股,积极倡导全员职工持股,实行</w:t>
      </w:r>
      <w:r>
        <w:rPr>
          <w:rFonts w:hint="eastAsia" w:ascii="宋体" w:hAnsi="宋体" w:eastAsia="宋体" w:cs="宋体"/>
          <w:spacing w:val="15"/>
          <w:sz w:val="21"/>
          <w:szCs w:val="21"/>
        </w:rPr>
        <w:t>“劳资两利”的利润分享机制。加强国有资本对数字资本与数字产业的控制力度,防止国内数字平</w:t>
      </w:r>
      <w:r>
        <w:rPr>
          <w:rFonts w:hint="eastAsia" w:ascii="宋体" w:hAnsi="宋体" w:eastAsia="宋体" w:cs="宋体"/>
          <w:spacing w:val="24"/>
          <w:sz w:val="21"/>
          <w:szCs w:val="21"/>
        </w:rPr>
        <w:t>台企业和数字资本被中外私有资本垄断,维护国家经济安全和社会福利,促使数字资本发展红利</w:t>
      </w:r>
      <w:r>
        <w:rPr>
          <w:rFonts w:hint="eastAsia" w:ascii="宋体" w:hAnsi="宋体" w:eastAsia="宋体" w:cs="宋体"/>
          <w:spacing w:val="20"/>
          <w:sz w:val="21"/>
          <w:szCs w:val="21"/>
        </w:rPr>
        <w:t>惠及社会民众,实现社会主义数字财富全民共享。</w:t>
      </w:r>
    </w:p>
    <w:p w14:paraId="4A34CC4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(三)明晰数据产权基础上推进数字平台反垄断和防止资本无序扩张</w:t>
      </w:r>
    </w:p>
    <w:p w14:paraId="76C4C3C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明晰数据要素产权是数字财富创造和分配的基础,创造依据马克思主义产权理论,对数据要</w:t>
      </w:r>
      <w:r>
        <w:rPr>
          <w:rFonts w:hint="eastAsia" w:ascii="宋体" w:hAnsi="宋体" w:eastAsia="宋体" w:cs="宋体"/>
          <w:spacing w:val="14"/>
          <w:sz w:val="21"/>
          <w:szCs w:val="21"/>
        </w:rPr>
        <w:t>素所有权及其派生的占有权、使用权、收益权等权能进行界定,明确数据所有</w:t>
      </w:r>
      <w:r>
        <w:rPr>
          <w:rFonts w:hint="eastAsia" w:ascii="宋体" w:hAnsi="宋体" w:eastAsia="宋体" w:cs="宋体"/>
          <w:spacing w:val="13"/>
          <w:sz w:val="21"/>
          <w:szCs w:val="21"/>
        </w:rPr>
        <w:t>权应由国家代表全民</w:t>
      </w:r>
      <w:r>
        <w:rPr>
          <w:rFonts w:hint="eastAsia" w:ascii="宋体" w:hAnsi="宋体" w:eastAsia="宋体" w:cs="宋体"/>
          <w:spacing w:val="19"/>
          <w:sz w:val="21"/>
          <w:szCs w:val="21"/>
        </w:rPr>
        <w:t>所有,平台企业依法有偿使用,政府职能部门具有数据管理权,数据产生的数字财富收益归全民共</w:t>
      </w:r>
      <w:r>
        <w:rPr>
          <w:rFonts w:hint="eastAsia" w:ascii="宋体" w:hAnsi="宋体" w:eastAsia="宋体" w:cs="宋体"/>
          <w:spacing w:val="20"/>
          <w:sz w:val="21"/>
          <w:szCs w:val="21"/>
        </w:rPr>
        <w:t>享。数字资本主义基本矛盾以数字资本为核心展开,</w:t>
      </w:r>
      <w:r>
        <w:rPr>
          <w:rFonts w:hint="eastAsia" w:ascii="宋体" w:hAnsi="宋体" w:eastAsia="宋体" w:cs="宋体"/>
          <w:spacing w:val="19"/>
          <w:sz w:val="21"/>
          <w:szCs w:val="21"/>
        </w:rPr>
        <w:t>加强对数字资本主义生产关系所导致的平台</w:t>
      </w:r>
      <w:r>
        <w:rPr>
          <w:rFonts w:hint="eastAsia" w:ascii="宋体" w:hAnsi="宋体" w:eastAsia="宋体" w:cs="宋体"/>
          <w:spacing w:val="20"/>
          <w:sz w:val="21"/>
          <w:szCs w:val="21"/>
        </w:rPr>
        <w:t>经济垄断和资本无序扩张风险监管,形成多元主体包</w:t>
      </w:r>
      <w:r>
        <w:rPr>
          <w:rFonts w:hint="eastAsia" w:ascii="宋体" w:hAnsi="宋体" w:eastAsia="宋体" w:cs="宋体"/>
          <w:spacing w:val="19"/>
          <w:sz w:val="21"/>
          <w:szCs w:val="21"/>
        </w:rPr>
        <w:t>容共治的数字资本治理格局。在加快形成新</w:t>
      </w:r>
      <w:r>
        <w:rPr>
          <w:rFonts w:hint="eastAsia" w:ascii="宋体" w:hAnsi="宋体" w:eastAsia="宋体" w:cs="宋体"/>
          <w:spacing w:val="21"/>
          <w:sz w:val="21"/>
          <w:szCs w:val="21"/>
        </w:rPr>
        <w:t>质生产力和高质量发展中构建财富的正常增长机制与</w:t>
      </w:r>
      <w:r>
        <w:rPr>
          <w:rFonts w:hint="eastAsia" w:ascii="宋体" w:hAnsi="宋体" w:eastAsia="宋体" w:cs="宋体"/>
          <w:spacing w:val="20"/>
          <w:sz w:val="21"/>
          <w:szCs w:val="21"/>
        </w:rPr>
        <w:t>劳动报酬的数据要素分配增长机制,确立数</w:t>
      </w:r>
      <w:r>
        <w:rPr>
          <w:rFonts w:hint="eastAsia" w:ascii="宋体" w:hAnsi="宋体" w:eastAsia="宋体" w:cs="宋体"/>
          <w:spacing w:val="17"/>
          <w:sz w:val="21"/>
          <w:szCs w:val="21"/>
        </w:rPr>
        <w:t>据产权分配的制度原则,推进全体人民共同富裕的中国式现代化。</w:t>
      </w:r>
    </w:p>
    <w:p w14:paraId="6207EE8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(四)完善劳动主体型的数字资本要素收益公平分配机制</w:t>
      </w:r>
    </w:p>
    <w:p w14:paraId="112411A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数字资本财富创造功能并不否定马克思的劳动价值论</w:t>
      </w:r>
      <w:r>
        <w:rPr>
          <w:rFonts w:hint="eastAsia" w:ascii="宋体" w:hAnsi="宋体" w:eastAsia="宋体" w:cs="宋体"/>
          <w:spacing w:val="20"/>
          <w:sz w:val="21"/>
          <w:szCs w:val="21"/>
        </w:rPr>
        <w:t>,数字资本放大了数字劳动的非物质性</w:t>
      </w:r>
      <w:r>
        <w:rPr>
          <w:rFonts w:hint="eastAsia" w:ascii="宋体" w:hAnsi="宋体" w:eastAsia="宋体" w:cs="宋体"/>
          <w:spacing w:val="15"/>
          <w:sz w:val="21"/>
          <w:szCs w:val="21"/>
        </w:rPr>
        <w:t>特征,但数字劳动仍然属于生产性劳动</w:t>
      </w:r>
      <w:r>
        <w:rPr>
          <w:rStyle w:val="20"/>
          <w:rFonts w:hint="eastAsia" w:ascii="宋体" w:hAnsi="宋体" w:eastAsia="宋体" w:cs="宋体"/>
          <w:spacing w:val="15"/>
          <w:sz w:val="21"/>
          <w:szCs w:val="21"/>
        </w:rPr>
        <w:footnoteReference w:id="1048"/>
      </w:r>
      <w:r>
        <w:rPr>
          <w:rFonts w:hint="eastAsia" w:ascii="宋体" w:hAnsi="宋体" w:eastAsia="宋体" w:cs="宋体"/>
          <w:spacing w:val="15"/>
          <w:sz w:val="21"/>
          <w:szCs w:val="21"/>
        </w:rPr>
        <w:t>。以公有制为主体、多种所有制经济共同发展</w:t>
      </w:r>
      <w:r>
        <w:rPr>
          <w:rFonts w:hint="eastAsia" w:ascii="宋体" w:hAnsi="宋体" w:eastAsia="宋体" w:cs="宋体"/>
          <w:spacing w:val="14"/>
          <w:sz w:val="21"/>
          <w:szCs w:val="21"/>
        </w:rPr>
        <w:t>的根本经济</w:t>
      </w:r>
      <w:r>
        <w:rPr>
          <w:rFonts w:hint="eastAsia" w:ascii="宋体" w:hAnsi="宋体" w:eastAsia="宋体" w:cs="宋体"/>
          <w:spacing w:val="20"/>
          <w:sz w:val="21"/>
          <w:szCs w:val="21"/>
        </w:rPr>
        <w:t>制度,决定了必然实行劳动主体型的多要素产权</w:t>
      </w:r>
      <w:r>
        <w:rPr>
          <w:rFonts w:hint="eastAsia" w:ascii="宋体" w:hAnsi="宋体" w:eastAsia="宋体" w:cs="宋体"/>
          <w:spacing w:val="19"/>
          <w:sz w:val="21"/>
          <w:szCs w:val="21"/>
        </w:rPr>
        <w:t>分配制度。在数字型以及智能型生产资料所有制</w:t>
      </w:r>
      <w:r>
        <w:rPr>
          <w:rFonts w:hint="eastAsia" w:ascii="宋体" w:hAnsi="宋体" w:eastAsia="宋体" w:cs="宋体"/>
          <w:spacing w:val="20"/>
          <w:sz w:val="21"/>
          <w:szCs w:val="21"/>
        </w:rPr>
        <w:t>下,建立公平公正的数字劳动体系和数字财富分</w:t>
      </w:r>
      <w:r>
        <w:rPr>
          <w:rFonts w:hint="eastAsia" w:ascii="宋体" w:hAnsi="宋体" w:eastAsia="宋体" w:cs="宋体"/>
          <w:spacing w:val="19"/>
          <w:sz w:val="21"/>
          <w:szCs w:val="21"/>
        </w:rPr>
        <w:t>配体系是中国式现代化分配制度的必然要求。数</w:t>
      </w:r>
      <w:r>
        <w:rPr>
          <w:rFonts w:hint="eastAsia" w:ascii="宋体" w:hAnsi="宋体" w:eastAsia="宋体" w:cs="宋体"/>
          <w:spacing w:val="22"/>
          <w:sz w:val="21"/>
          <w:szCs w:val="21"/>
        </w:rPr>
        <w:t>字劳资关系的立法规范与数字资本收益的公平分配是实现共同富裕的政策前提。在收入分配领域扬弃数字劳动异化,变革以数字资本逻辑导向的数字财富分配政策</w:t>
      </w:r>
      <w:r>
        <w:rPr>
          <w:rFonts w:hint="eastAsia" w:ascii="宋体" w:hAnsi="宋体" w:eastAsia="宋体" w:cs="宋体"/>
          <w:spacing w:val="21"/>
          <w:sz w:val="21"/>
          <w:szCs w:val="21"/>
        </w:rPr>
        <w:t>,重塑数据所有权的生成与</w:t>
      </w:r>
      <w:r>
        <w:rPr>
          <w:rFonts w:hint="eastAsia" w:ascii="宋体" w:hAnsi="宋体" w:eastAsia="宋体" w:cs="宋体"/>
          <w:spacing w:val="17"/>
          <w:sz w:val="21"/>
          <w:szCs w:val="21"/>
        </w:rPr>
        <w:t>确认机制,优化数字财富创造和分配回归数字劳动本位的制度政策环境。</w:t>
      </w:r>
    </w:p>
    <w:p w14:paraId="29A7B83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textAlignment w:val="baseline"/>
        <w:outlineLvl w:val="9"/>
        <w:rPr>
          <w:rFonts w:hint="eastAsia" w:ascii="宋体" w:hAnsi="宋体" w:eastAsia="宋体" w:cs="宋体"/>
          <w:spacing w:val="19"/>
          <w:sz w:val="21"/>
          <w:szCs w:val="21"/>
        </w:rPr>
      </w:pPr>
      <w:r>
        <w:rPr>
          <w:rFonts w:hint="eastAsia" w:ascii="宋体" w:hAnsi="宋体" w:eastAsia="宋体" w:cs="宋体"/>
          <w:spacing w:val="19"/>
          <w:sz w:val="21"/>
          <w:szCs w:val="21"/>
        </w:rPr>
        <w:t>(五)创新国资收益全民分红等方式的共同富裕政策保障体系</w:t>
      </w:r>
    </w:p>
    <w:p w14:paraId="39D7B0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创新分配制度顶层设计,以实施国有资本经营收益向全民分红的财富共享实现方式为</w:t>
      </w:r>
      <w:r>
        <w:rPr>
          <w:rFonts w:hint="eastAsia" w:ascii="宋体" w:hAnsi="宋体" w:eastAsia="宋体" w:cs="宋体"/>
          <w:spacing w:val="21"/>
          <w:sz w:val="21"/>
          <w:szCs w:val="21"/>
        </w:rPr>
        <w:t>路径,</w:t>
      </w:r>
      <w:r>
        <w:rPr>
          <w:rFonts w:hint="eastAsia" w:ascii="宋体" w:hAnsi="宋体" w:eastAsia="宋体" w:cs="宋体"/>
          <w:spacing w:val="19"/>
          <w:sz w:val="21"/>
          <w:szCs w:val="21"/>
        </w:rPr>
        <w:t>保障国有资本全民所有的社会主义公有属性,实现坚持人民主体地位、完善社会主义分配制度和全体人民共享共富的政策目标</w:t>
      </w:r>
      <w:r>
        <w:rPr>
          <w:rStyle w:val="20"/>
          <w:rFonts w:hint="eastAsia" w:ascii="宋体" w:hAnsi="宋体" w:eastAsia="宋体" w:cs="宋体"/>
          <w:spacing w:val="19"/>
          <w:sz w:val="21"/>
          <w:szCs w:val="21"/>
        </w:rPr>
        <w:footnoteReference w:id="1049"/>
      </w:r>
      <w:r>
        <w:rPr>
          <w:rFonts w:hint="eastAsia" w:ascii="宋体" w:hAnsi="宋体" w:eastAsia="宋体" w:cs="宋体"/>
          <w:spacing w:val="19"/>
          <w:sz w:val="21"/>
          <w:szCs w:val="21"/>
        </w:rPr>
        <w:t>。公有主体型多种类产权制度为平台企业国有化和数字资本社会</w:t>
      </w:r>
      <w:r>
        <w:rPr>
          <w:rFonts w:hint="eastAsia" w:ascii="宋体" w:hAnsi="宋体" w:eastAsia="宋体" w:cs="宋体"/>
          <w:spacing w:val="20"/>
          <w:sz w:val="21"/>
          <w:szCs w:val="21"/>
        </w:rPr>
        <w:t>化提供制度基础,劳动主体型的多要素分配制度保障</w:t>
      </w:r>
      <w:r>
        <w:rPr>
          <w:rFonts w:hint="eastAsia" w:ascii="宋体" w:hAnsi="宋体" w:eastAsia="宋体" w:cs="宋体"/>
          <w:spacing w:val="19"/>
          <w:sz w:val="21"/>
          <w:szCs w:val="21"/>
        </w:rPr>
        <w:t>数字财富全民共享。推进数字平台企业国有</w:t>
      </w:r>
      <w:r>
        <w:rPr>
          <w:rFonts w:hint="eastAsia" w:ascii="宋体" w:hAnsi="宋体" w:eastAsia="宋体" w:cs="宋体"/>
          <w:spacing w:val="22"/>
          <w:sz w:val="21"/>
          <w:szCs w:val="21"/>
        </w:rPr>
        <w:t>化和数字资本社会化改革方向基础上,探索国有资本收益全民分红制度,按照数据要素由产权和</w:t>
      </w:r>
      <w:r>
        <w:rPr>
          <w:rFonts w:hint="eastAsia" w:ascii="宋体" w:hAnsi="宋体" w:eastAsia="宋体" w:cs="宋体"/>
          <w:spacing w:val="16"/>
          <w:sz w:val="21"/>
          <w:szCs w:val="21"/>
        </w:rPr>
        <w:t>市场决定报酬的机制,以国有数字资本要素使用权、收益权为依据,将国有数字资本经营收益划分</w:t>
      </w:r>
      <w:r>
        <w:rPr>
          <w:rFonts w:hint="eastAsia" w:ascii="宋体" w:hAnsi="宋体" w:eastAsia="宋体" w:cs="宋体"/>
          <w:spacing w:val="21"/>
          <w:sz w:val="21"/>
          <w:szCs w:val="21"/>
        </w:rPr>
        <w:t>为要素收入和财产性收入,向国有数字产权的实际所有人即全民分红,充分体现国有数字资本和</w:t>
      </w:r>
      <w:r>
        <w:rPr>
          <w:rFonts w:hint="eastAsia" w:ascii="宋体" w:hAnsi="宋体" w:eastAsia="宋体" w:cs="宋体"/>
          <w:spacing w:val="22"/>
          <w:sz w:val="21"/>
          <w:szCs w:val="21"/>
        </w:rPr>
        <w:t>数字平台企业的全民所有制性质,显著提升国有企业竞争力,缩小城乡数字</w:t>
      </w:r>
      <w:r>
        <w:rPr>
          <w:rFonts w:hint="eastAsia" w:ascii="宋体" w:hAnsi="宋体" w:eastAsia="宋体" w:cs="宋体"/>
          <w:spacing w:val="21"/>
          <w:sz w:val="21"/>
          <w:szCs w:val="21"/>
        </w:rPr>
        <w:t>财富分配差距和促进</w:t>
      </w:r>
      <w:r>
        <w:rPr>
          <w:rFonts w:hint="eastAsia" w:ascii="宋体" w:hAnsi="宋体" w:eastAsia="宋体" w:cs="宋体"/>
          <w:spacing w:val="17"/>
          <w:sz w:val="21"/>
          <w:szCs w:val="21"/>
        </w:rPr>
        <w:t>社会公平正义,推动全体人民共同富裕取得更为明显的实质性进展。</w:t>
      </w:r>
    </w:p>
    <w:p w14:paraId="658DC55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34" w:firstLineChars="200"/>
        <w:textAlignment w:val="baseline"/>
        <w:outlineLvl w:val="1"/>
        <w:rPr>
          <w:rFonts w:hint="eastAsia" w:ascii="宋体" w:hAnsi="宋体" w:eastAsia="宋体" w:cs="宋体"/>
          <w:sz w:val="21"/>
          <w:szCs w:val="21"/>
        </w:rPr>
      </w:pPr>
      <w:bookmarkStart w:id="751" w:name="_Toc921303620"/>
      <w:bookmarkStart w:id="752" w:name="_Toc1030834897"/>
      <w:bookmarkStart w:id="753" w:name="_Toc16793"/>
      <w:bookmarkStart w:id="754" w:name="_Toc1923676236"/>
      <w:bookmarkStart w:id="755" w:name="_Toc555583325"/>
      <w:bookmarkStart w:id="756" w:name="_Toc555970454"/>
      <w:r>
        <w:rPr>
          <w:rFonts w:hint="eastAsia" w:ascii="宋体" w:hAnsi="宋体" w:eastAsia="宋体" w:cs="宋体"/>
          <w:spacing w:val="-13"/>
          <w:w w:val="92"/>
          <w:sz w:val="21"/>
          <w:szCs w:val="21"/>
        </w:rPr>
        <w:t>七、结语</w:t>
      </w:r>
      <w:bookmarkEnd w:id="751"/>
      <w:bookmarkEnd w:id="752"/>
      <w:bookmarkEnd w:id="753"/>
      <w:bookmarkEnd w:id="754"/>
      <w:bookmarkEnd w:id="755"/>
      <w:bookmarkEnd w:id="756"/>
    </w:p>
    <w:p w14:paraId="3C05A19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textAlignment w:val="baseline"/>
        <w:rPr>
          <w:rFonts w:hint="eastAsia" w:ascii="宋体" w:hAnsi="宋体" w:eastAsia="宋体" w:cs="宋体"/>
          <w:sz w:val="21"/>
          <w:szCs w:val="21"/>
          <w:lang w:eastAsia="zh-CN"/>
        </w:rPr>
      </w:pPr>
      <w:r>
        <w:rPr>
          <w:rFonts w:hint="eastAsia" w:ascii="宋体" w:hAnsi="宋体" w:eastAsia="宋体" w:cs="宋体"/>
          <w:spacing w:val="21"/>
          <w:sz w:val="21"/>
          <w:szCs w:val="21"/>
        </w:rPr>
        <w:t>基于推动数字经济健康发展和在高质量发展中促进共同</w:t>
      </w:r>
      <w:r>
        <w:rPr>
          <w:rFonts w:hint="eastAsia" w:ascii="宋体" w:hAnsi="宋体" w:eastAsia="宋体" w:cs="宋体"/>
          <w:spacing w:val="20"/>
          <w:sz w:val="21"/>
          <w:szCs w:val="21"/>
        </w:rPr>
        <w:t>富裕的时代结合点,依据马克思劳动</w:t>
      </w:r>
      <w:r>
        <w:rPr>
          <w:rFonts w:hint="eastAsia" w:ascii="宋体" w:hAnsi="宋体" w:eastAsia="宋体" w:cs="宋体"/>
          <w:spacing w:val="22"/>
          <w:sz w:val="21"/>
          <w:szCs w:val="21"/>
        </w:rPr>
        <w:t>价值论和财富理论,以资本一般性分析数字资本双重属性</w:t>
      </w:r>
      <w:r>
        <w:rPr>
          <w:rFonts w:hint="eastAsia" w:ascii="宋体" w:hAnsi="宋体" w:eastAsia="宋体" w:cs="宋体"/>
          <w:spacing w:val="21"/>
          <w:sz w:val="21"/>
          <w:szCs w:val="21"/>
        </w:rPr>
        <w:t>特征为切入点,论证数字资本助推共同</w:t>
      </w:r>
      <w:r>
        <w:rPr>
          <w:rFonts w:hint="eastAsia" w:ascii="宋体" w:hAnsi="宋体" w:eastAsia="宋体" w:cs="宋体"/>
          <w:spacing w:val="22"/>
          <w:sz w:val="21"/>
          <w:szCs w:val="21"/>
        </w:rPr>
        <w:t>富裕实现的机理与路径。以数字资本的生产功能属性和生产关系属性对共</w:t>
      </w:r>
      <w:r>
        <w:rPr>
          <w:rFonts w:hint="eastAsia" w:ascii="宋体" w:hAnsi="宋体" w:eastAsia="宋体" w:cs="宋体"/>
          <w:spacing w:val="21"/>
          <w:sz w:val="21"/>
          <w:szCs w:val="21"/>
        </w:rPr>
        <w:t>同富裕实现的影响为</w:t>
      </w:r>
      <w:r>
        <w:rPr>
          <w:rFonts w:hint="eastAsia" w:ascii="宋体" w:hAnsi="宋体" w:eastAsia="宋体" w:cs="宋体"/>
          <w:spacing w:val="11"/>
          <w:sz w:val="21"/>
          <w:szCs w:val="21"/>
        </w:rPr>
        <w:t>研究对象,深入分析数字资本双重属性的“数字红</w:t>
      </w:r>
      <w:r>
        <w:rPr>
          <w:rFonts w:hint="eastAsia" w:ascii="宋体" w:hAnsi="宋体" w:eastAsia="宋体" w:cs="宋体"/>
          <w:spacing w:val="10"/>
          <w:sz w:val="21"/>
          <w:szCs w:val="21"/>
        </w:rPr>
        <w:t>利”和“数字鸿沟”效应,在剖析数字资本对共同</w:t>
      </w:r>
      <w:r>
        <w:rPr>
          <w:rFonts w:hint="eastAsia" w:ascii="宋体" w:hAnsi="宋体" w:eastAsia="宋体" w:cs="宋体"/>
          <w:spacing w:val="22"/>
          <w:sz w:val="21"/>
          <w:szCs w:val="21"/>
        </w:rPr>
        <w:t>富裕影响机理基础上,提出引导数字资本健康有序发展,促进财富分配公平正义和实现共同富裕</w:t>
      </w:r>
      <w:r>
        <w:rPr>
          <w:rFonts w:hint="eastAsia" w:ascii="宋体" w:hAnsi="宋体" w:eastAsia="宋体" w:cs="宋体"/>
          <w:spacing w:val="20"/>
          <w:sz w:val="21"/>
          <w:szCs w:val="21"/>
        </w:rPr>
        <w:t>的可行性政策路径。从资本的一般性中把握数字资本的</w:t>
      </w:r>
      <w:r>
        <w:rPr>
          <w:rFonts w:hint="eastAsia" w:ascii="宋体" w:hAnsi="宋体" w:eastAsia="宋体" w:cs="宋体"/>
          <w:spacing w:val="19"/>
          <w:sz w:val="21"/>
          <w:szCs w:val="21"/>
        </w:rPr>
        <w:t>特殊性,是协调社会主义市场经济运行过</w:t>
      </w:r>
      <w:r>
        <w:rPr>
          <w:rFonts w:hint="eastAsia" w:ascii="宋体" w:hAnsi="宋体" w:eastAsia="宋体" w:cs="宋体"/>
          <w:spacing w:val="18"/>
          <w:sz w:val="21"/>
          <w:szCs w:val="21"/>
        </w:rPr>
        <w:t>程中数字资本的雇佣劳动关系、发挥数字资本的生产功能、推动数字经济健</w:t>
      </w:r>
      <w:r>
        <w:rPr>
          <w:rFonts w:hint="eastAsia" w:ascii="宋体" w:hAnsi="宋体" w:eastAsia="宋体" w:cs="宋体"/>
          <w:spacing w:val="17"/>
          <w:sz w:val="21"/>
          <w:szCs w:val="21"/>
        </w:rPr>
        <w:t>康发展的重要环节。</w:t>
      </w:r>
      <w:r>
        <w:rPr>
          <w:rFonts w:hint="eastAsia" w:ascii="宋体" w:hAnsi="宋体" w:eastAsia="宋体" w:cs="宋体"/>
          <w:spacing w:val="15"/>
          <w:sz w:val="21"/>
          <w:szCs w:val="21"/>
        </w:rPr>
        <w:t>数字经济通过创新效应、溢出效应、协同效应和普惠效</w:t>
      </w:r>
      <w:r>
        <w:rPr>
          <w:rFonts w:hint="eastAsia" w:ascii="宋体" w:hAnsi="宋体" w:eastAsia="宋体" w:cs="宋体"/>
          <w:spacing w:val="14"/>
          <w:sz w:val="21"/>
          <w:szCs w:val="21"/>
        </w:rPr>
        <w:t>应,可以推动宏观经济一般性增长和均衡发</w:t>
      </w:r>
      <w:r>
        <w:rPr>
          <w:rFonts w:hint="eastAsia" w:ascii="宋体" w:hAnsi="宋体" w:eastAsia="宋体" w:cs="宋体"/>
          <w:spacing w:val="11"/>
          <w:sz w:val="21"/>
          <w:szCs w:val="21"/>
        </w:rPr>
        <w:t>展,在“做大蛋糕”的同时推动了全社会共享数字经济红利;同时数字经济也导致数字安全风险、资</w:t>
      </w:r>
      <w:r>
        <w:rPr>
          <w:rFonts w:hint="eastAsia" w:ascii="宋体" w:hAnsi="宋体" w:eastAsia="宋体" w:cs="宋体"/>
          <w:spacing w:val="6"/>
          <w:sz w:val="21"/>
          <w:szCs w:val="21"/>
        </w:rPr>
        <w:t>本无序扩张、数字平台垄断、贫富差距扩大和“数字鸿沟”等问题。在坚持</w:t>
      </w:r>
      <w:r>
        <w:rPr>
          <w:rFonts w:hint="eastAsia" w:ascii="宋体" w:hAnsi="宋体" w:eastAsia="宋体" w:cs="宋体"/>
          <w:spacing w:val="5"/>
          <w:sz w:val="21"/>
          <w:szCs w:val="21"/>
        </w:rPr>
        <w:t>公有制主体地位、完善按</w:t>
      </w:r>
      <w:r>
        <w:rPr>
          <w:rFonts w:hint="eastAsia" w:ascii="宋体" w:hAnsi="宋体" w:eastAsia="宋体" w:cs="宋体"/>
          <w:spacing w:val="21"/>
          <w:sz w:val="21"/>
          <w:szCs w:val="21"/>
        </w:rPr>
        <w:t>劳分配制度基础上引导数字资本助推社会财富分配正义</w:t>
      </w:r>
      <w:r>
        <w:rPr>
          <w:rFonts w:hint="eastAsia" w:ascii="宋体" w:hAnsi="宋体" w:eastAsia="宋体" w:cs="宋体"/>
          <w:spacing w:val="20"/>
          <w:sz w:val="21"/>
          <w:szCs w:val="21"/>
        </w:rPr>
        <w:t>,推动数字经济在高质量发展中助力中国</w:t>
      </w:r>
      <w:r>
        <w:rPr>
          <w:rFonts w:hint="eastAsia" w:ascii="宋体" w:hAnsi="宋体" w:eastAsia="宋体" w:cs="宋体"/>
          <w:spacing w:val="18"/>
          <w:sz w:val="21"/>
          <w:szCs w:val="21"/>
        </w:rPr>
        <w:t>式现代化共同富裕的实现。</w:t>
      </w:r>
    </w:p>
    <w:p w14:paraId="278B739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sz w:val="21"/>
          <w:szCs w:val="21"/>
        </w:rPr>
        <w:t>参考文献:</w:t>
      </w:r>
    </w:p>
    <w:p w14:paraId="4EF5361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spacing w:val="12"/>
          <w:position w:val="-1"/>
          <w:sz w:val="21"/>
          <w:szCs w:val="21"/>
        </w:rPr>
        <w:t>1.</w:t>
      </w:r>
      <w:r>
        <w:rPr>
          <w:rFonts w:hint="eastAsia" w:ascii="宋体" w:hAnsi="宋体" w:eastAsia="宋体" w:cs="宋体"/>
          <w:spacing w:val="12"/>
          <w:sz w:val="21"/>
          <w:szCs w:val="21"/>
        </w:rPr>
        <w:t>中共中央关于进一步全面深化改革、推进中国式现代化的决定[M]</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北京:人民出版社,</w:t>
      </w:r>
      <w:r>
        <w:rPr>
          <w:rFonts w:hint="eastAsia" w:ascii="宋体" w:hAnsi="宋体" w:eastAsia="宋体" w:cs="宋体"/>
          <w:spacing w:val="12"/>
          <w:position w:val="-1"/>
          <w:sz w:val="21"/>
          <w:szCs w:val="21"/>
        </w:rPr>
        <w:t>2024.</w:t>
      </w:r>
    </w:p>
    <w:p w14:paraId="02D6920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spacing w:val="11"/>
          <w:position w:val="-1"/>
          <w:sz w:val="21"/>
          <w:szCs w:val="21"/>
        </w:rPr>
        <w:t>2.</w:t>
      </w:r>
      <w:r>
        <w:rPr>
          <w:rFonts w:hint="eastAsia" w:ascii="宋体" w:hAnsi="宋体" w:eastAsia="宋体" w:cs="宋体"/>
          <w:spacing w:val="11"/>
          <w:sz w:val="21"/>
          <w:szCs w:val="21"/>
        </w:rPr>
        <w:t>周文,韩文龙</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数字财富的创造、分配与共同富裕[J]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中</w:t>
      </w:r>
      <w:r>
        <w:rPr>
          <w:rFonts w:hint="eastAsia" w:ascii="宋体" w:hAnsi="宋体" w:eastAsia="宋体" w:cs="宋体"/>
          <w:spacing w:val="10"/>
          <w:sz w:val="21"/>
          <w:szCs w:val="21"/>
        </w:rPr>
        <w:t>国社会科学,2023(10):</w:t>
      </w:r>
      <w:r>
        <w:rPr>
          <w:rFonts w:hint="eastAsia" w:ascii="宋体" w:hAnsi="宋体" w:eastAsia="宋体" w:cs="宋体"/>
          <w:spacing w:val="10"/>
          <w:position w:val="-1"/>
          <w:sz w:val="21"/>
          <w:szCs w:val="21"/>
        </w:rPr>
        <w:t>4-23.</w:t>
      </w:r>
    </w:p>
    <w:p w14:paraId="7F0BA2C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rPr>
          <w:rFonts w:hint="eastAsia" w:ascii="宋体" w:hAnsi="宋体" w:eastAsia="宋体" w:cs="宋体"/>
          <w:sz w:val="21"/>
          <w:szCs w:val="21"/>
        </w:rPr>
      </w:pPr>
      <w:r>
        <w:rPr>
          <w:rFonts w:hint="eastAsia" w:ascii="宋体" w:hAnsi="宋体" w:eastAsia="宋体" w:cs="宋体"/>
          <w:spacing w:val="14"/>
          <w:position w:val="-1"/>
          <w:sz w:val="21"/>
          <w:szCs w:val="21"/>
        </w:rPr>
        <w:t>3.</w:t>
      </w:r>
      <w:r>
        <w:rPr>
          <w:rFonts w:hint="eastAsia" w:ascii="宋体" w:hAnsi="宋体" w:eastAsia="宋体" w:cs="宋体"/>
          <w:spacing w:val="14"/>
          <w:sz w:val="21"/>
          <w:szCs w:val="21"/>
        </w:rPr>
        <w:t>钟成林,胡雪萍</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数字经济对共同富裕非对称影响[J]</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郑州大学学报(哲学社会科学版),2024(2):</w:t>
      </w:r>
      <w:r>
        <w:rPr>
          <w:rFonts w:hint="eastAsia" w:ascii="宋体" w:hAnsi="宋体" w:eastAsia="宋体" w:cs="宋体"/>
          <w:spacing w:val="13"/>
          <w:position w:val="-1"/>
          <w:sz w:val="21"/>
          <w:szCs w:val="21"/>
        </w:rPr>
        <w:t>72-79.</w:t>
      </w:r>
    </w:p>
    <w:p w14:paraId="5A4895E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spacing w:val="11"/>
          <w:position w:val="-1"/>
          <w:sz w:val="21"/>
          <w:szCs w:val="21"/>
        </w:rPr>
        <w:t>4.</w:t>
      </w:r>
      <w:r>
        <w:rPr>
          <w:rFonts w:hint="eastAsia" w:ascii="宋体" w:hAnsi="宋体" w:eastAsia="宋体" w:cs="宋体"/>
          <w:spacing w:val="11"/>
          <w:sz w:val="21"/>
          <w:szCs w:val="21"/>
        </w:rPr>
        <w:t>彭鸽,崔平</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共同富裕:数字劳动与数字资本剥削的中国应对[J]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重庆社会科学,2024(3):</w:t>
      </w:r>
      <w:r>
        <w:rPr>
          <w:rFonts w:hint="eastAsia" w:ascii="宋体" w:hAnsi="宋体" w:eastAsia="宋体" w:cs="宋体"/>
          <w:spacing w:val="11"/>
          <w:position w:val="-1"/>
          <w:sz w:val="21"/>
          <w:szCs w:val="21"/>
        </w:rPr>
        <w:t>45</w:t>
      </w:r>
      <w:r>
        <w:rPr>
          <w:rFonts w:hint="eastAsia" w:ascii="宋体" w:hAnsi="宋体" w:eastAsia="宋体" w:cs="宋体"/>
          <w:spacing w:val="10"/>
          <w:position w:val="-1"/>
          <w:sz w:val="21"/>
          <w:szCs w:val="21"/>
        </w:rPr>
        <w:t>-55.</w:t>
      </w:r>
    </w:p>
    <w:p w14:paraId="064D11B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spacing w:val="12"/>
          <w:position w:val="-1"/>
          <w:sz w:val="21"/>
          <w:szCs w:val="21"/>
        </w:rPr>
        <w:t>5.</w:t>
      </w:r>
      <w:r>
        <w:rPr>
          <w:rFonts w:hint="eastAsia" w:ascii="宋体" w:hAnsi="宋体" w:eastAsia="宋体" w:cs="宋体"/>
          <w:spacing w:val="12"/>
          <w:sz w:val="21"/>
          <w:szCs w:val="21"/>
        </w:rPr>
        <w:t>葛林羽,安同良</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数字经济赋能共同富裕的政治经济学分析[J]</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经济学家,2024(4):</w:t>
      </w:r>
      <w:r>
        <w:rPr>
          <w:rFonts w:hint="eastAsia" w:ascii="宋体" w:hAnsi="宋体" w:eastAsia="宋体" w:cs="宋体"/>
          <w:spacing w:val="12"/>
          <w:position w:val="-1"/>
          <w:sz w:val="21"/>
          <w:szCs w:val="21"/>
        </w:rPr>
        <w:t>15-24.</w:t>
      </w:r>
    </w:p>
    <w:p w14:paraId="20EAAE1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textAlignment w:val="baseline"/>
        <w:rPr>
          <w:rFonts w:hint="eastAsia" w:ascii="宋体" w:hAnsi="宋体" w:eastAsia="宋体" w:cs="宋体"/>
          <w:sz w:val="21"/>
          <w:szCs w:val="21"/>
        </w:rPr>
      </w:pPr>
      <w:r>
        <w:rPr>
          <w:rFonts w:hint="eastAsia" w:ascii="宋体" w:hAnsi="宋体" w:eastAsia="宋体" w:cs="宋体"/>
          <w:spacing w:val="17"/>
          <w:position w:val="-2"/>
          <w:sz w:val="21"/>
          <w:szCs w:val="21"/>
        </w:rPr>
        <w:t>6.</w:t>
      </w:r>
      <w:r>
        <w:rPr>
          <w:rFonts w:hint="eastAsia" w:ascii="宋体" w:hAnsi="宋体" w:eastAsia="宋体" w:cs="宋体"/>
          <w:spacing w:val="17"/>
          <w:sz w:val="21"/>
          <w:szCs w:val="21"/>
        </w:rPr>
        <w:t>王赞新</w:t>
      </w:r>
      <w:r>
        <w:rPr>
          <w:rFonts w:hint="eastAsia" w:ascii="宋体" w:hAnsi="宋体" w:eastAsia="宋体" w:cs="宋体"/>
          <w:spacing w:val="17"/>
          <w:position w:val="-2"/>
          <w:sz w:val="21"/>
          <w:szCs w:val="21"/>
        </w:rPr>
        <w:t>.</w:t>
      </w:r>
      <w:r>
        <w:rPr>
          <w:rFonts w:hint="eastAsia" w:ascii="宋体" w:hAnsi="宋体" w:eastAsia="宋体" w:cs="宋体"/>
          <w:spacing w:val="17"/>
          <w:sz w:val="21"/>
          <w:szCs w:val="21"/>
        </w:rPr>
        <w:t>数字经济对共同富裕的影响:理论机制与实践演化</w:t>
      </w:r>
      <w:r>
        <w:rPr>
          <w:rFonts w:hint="eastAsia" w:ascii="宋体" w:hAnsi="宋体" w:eastAsia="宋体" w:cs="宋体"/>
          <w:b/>
          <w:bCs/>
          <w:spacing w:val="17"/>
          <w:sz w:val="21"/>
          <w:szCs w:val="21"/>
        </w:rPr>
        <w:t>—</w:t>
      </w:r>
      <w:r>
        <w:rPr>
          <w:rFonts w:hint="eastAsia" w:ascii="宋体" w:hAnsi="宋体" w:eastAsia="宋体" w:cs="宋体"/>
          <w:spacing w:val="17"/>
          <w:sz w:val="21"/>
          <w:szCs w:val="21"/>
        </w:rPr>
        <w:t>基于劳动过程与价值增殖过程的分析[J]</w:t>
      </w:r>
      <w:r>
        <w:rPr>
          <w:rFonts w:hint="eastAsia" w:ascii="宋体" w:hAnsi="宋体" w:eastAsia="宋体" w:cs="宋体"/>
          <w:spacing w:val="17"/>
          <w:position w:val="-2"/>
          <w:sz w:val="21"/>
          <w:szCs w:val="21"/>
        </w:rPr>
        <w:t>.</w:t>
      </w:r>
      <w:r>
        <w:rPr>
          <w:rFonts w:hint="eastAsia" w:ascii="宋体" w:hAnsi="宋体" w:eastAsia="宋体" w:cs="宋体"/>
          <w:spacing w:val="17"/>
          <w:sz w:val="21"/>
          <w:szCs w:val="21"/>
        </w:rPr>
        <w:t>中</w:t>
      </w:r>
      <w:r>
        <w:rPr>
          <w:rFonts w:hint="eastAsia" w:ascii="宋体" w:hAnsi="宋体" w:eastAsia="宋体" w:cs="宋体"/>
          <w:spacing w:val="9"/>
          <w:sz w:val="21"/>
          <w:szCs w:val="21"/>
        </w:rPr>
        <w:t>州学刊</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2023(3)</w:t>
      </w:r>
      <w:r>
        <w:rPr>
          <w:rFonts w:hint="eastAsia" w:ascii="宋体" w:hAnsi="宋体" w:eastAsia="宋体" w:cs="宋体"/>
          <w:spacing w:val="9"/>
          <w:position w:val="1"/>
          <w:sz w:val="21"/>
          <w:szCs w:val="21"/>
        </w:rPr>
        <w:t>:</w:t>
      </w:r>
      <w:r>
        <w:rPr>
          <w:rFonts w:hint="eastAsia" w:ascii="宋体" w:hAnsi="宋体" w:eastAsia="宋体" w:cs="宋体"/>
          <w:spacing w:val="9"/>
          <w:position w:val="-1"/>
          <w:sz w:val="21"/>
          <w:szCs w:val="21"/>
        </w:rPr>
        <w:t>27-35.</w:t>
      </w:r>
    </w:p>
    <w:p w14:paraId="54FB6B6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7.</w:t>
      </w:r>
      <w:r>
        <w:rPr>
          <w:rFonts w:hint="eastAsia" w:ascii="宋体" w:hAnsi="宋体" w:eastAsia="宋体" w:cs="宋体"/>
          <w:spacing w:val="13"/>
          <w:sz w:val="21"/>
          <w:szCs w:val="21"/>
        </w:rPr>
        <w:t>万广华,宋婕</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中国式现代化视域下数字经济的共同富裕效应:方法与证据[J]</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经济研究,2024(6):</w:t>
      </w:r>
      <w:r>
        <w:rPr>
          <w:rFonts w:hint="eastAsia" w:ascii="宋体" w:hAnsi="宋体" w:eastAsia="宋体" w:cs="宋体"/>
          <w:spacing w:val="13"/>
          <w:position w:val="-1"/>
          <w:sz w:val="21"/>
          <w:szCs w:val="21"/>
        </w:rPr>
        <w:t>29-</w:t>
      </w:r>
      <w:r>
        <w:rPr>
          <w:rFonts w:hint="eastAsia" w:ascii="宋体" w:hAnsi="宋体" w:eastAsia="宋体" w:cs="宋体"/>
          <w:spacing w:val="12"/>
          <w:position w:val="-1"/>
          <w:sz w:val="21"/>
          <w:szCs w:val="21"/>
        </w:rPr>
        <w:t>48.</w:t>
      </w:r>
    </w:p>
    <w:p w14:paraId="2C9BB69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8.</w:t>
      </w:r>
      <w:r>
        <w:rPr>
          <w:rFonts w:hint="eastAsia" w:ascii="宋体" w:hAnsi="宋体" w:eastAsia="宋体" w:cs="宋体"/>
          <w:spacing w:val="13"/>
          <w:sz w:val="21"/>
          <w:szCs w:val="21"/>
        </w:rPr>
        <w:t>盖凯程,李孟杰</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数字资本特性与行为规律的三重逻辑[J]</w:t>
      </w:r>
      <w:r>
        <w:rPr>
          <w:rFonts w:hint="eastAsia" w:ascii="宋体" w:hAnsi="宋体" w:eastAsia="宋体" w:cs="宋体"/>
          <w:spacing w:val="13"/>
          <w:position w:val="-1"/>
          <w:sz w:val="21"/>
          <w:szCs w:val="21"/>
        </w:rPr>
        <w:t>.</w:t>
      </w:r>
      <w:r>
        <w:rPr>
          <w:rFonts w:hint="eastAsia" w:ascii="宋体" w:hAnsi="宋体" w:eastAsia="宋体" w:cs="宋体"/>
          <w:spacing w:val="12"/>
          <w:sz w:val="21"/>
          <w:szCs w:val="21"/>
        </w:rPr>
        <w:t>政治经济学评论,2024(3):</w:t>
      </w:r>
      <w:r>
        <w:rPr>
          <w:rFonts w:hint="eastAsia" w:ascii="宋体" w:hAnsi="宋体" w:eastAsia="宋体" w:cs="宋体"/>
          <w:spacing w:val="12"/>
          <w:position w:val="-1"/>
          <w:sz w:val="21"/>
          <w:szCs w:val="21"/>
        </w:rPr>
        <w:t>209-224.</w:t>
      </w:r>
    </w:p>
    <w:p w14:paraId="69B483A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spacing w:val="12"/>
          <w:position w:val="-1"/>
          <w:sz w:val="21"/>
          <w:szCs w:val="21"/>
        </w:rPr>
        <w:t>9.</w:t>
      </w:r>
      <w:r>
        <w:rPr>
          <w:rFonts w:hint="eastAsia" w:ascii="宋体" w:hAnsi="宋体" w:eastAsia="宋体" w:cs="宋体"/>
          <w:spacing w:val="12"/>
          <w:sz w:val="21"/>
          <w:szCs w:val="21"/>
        </w:rPr>
        <w:t>叶龙祥,钟锦宸</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当代数字资本逻辑的批判起点</w:t>
      </w:r>
      <w:r>
        <w:rPr>
          <w:rFonts w:hint="eastAsia" w:ascii="宋体" w:hAnsi="宋体" w:eastAsia="宋体" w:cs="宋体"/>
          <w:spacing w:val="11"/>
          <w:sz w:val="21"/>
          <w:szCs w:val="21"/>
        </w:rPr>
        <w:t>、嬗变趋向与实践超越[J]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当代经济研究,2024(1):</w:t>
      </w:r>
      <w:r>
        <w:rPr>
          <w:rFonts w:hint="eastAsia" w:ascii="宋体" w:hAnsi="宋体" w:eastAsia="宋体" w:cs="宋体"/>
          <w:spacing w:val="11"/>
          <w:position w:val="-1"/>
          <w:sz w:val="21"/>
          <w:szCs w:val="21"/>
        </w:rPr>
        <w:t>66-73.</w:t>
      </w:r>
    </w:p>
    <w:p w14:paraId="57C2D0B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spacing w:val="11"/>
          <w:position w:val="-1"/>
          <w:sz w:val="21"/>
          <w:szCs w:val="21"/>
        </w:rPr>
        <w:t>10.</w:t>
      </w:r>
      <w:r>
        <w:rPr>
          <w:rFonts w:hint="eastAsia" w:ascii="宋体" w:hAnsi="宋体" w:eastAsia="宋体" w:cs="宋体"/>
          <w:spacing w:val="11"/>
          <w:sz w:val="21"/>
          <w:szCs w:val="21"/>
        </w:rPr>
        <w:t>何自力,彭李政</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试析数字资本主义劳资关系的新变化[J]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当代经济研究,2024(3):</w:t>
      </w:r>
      <w:r>
        <w:rPr>
          <w:rFonts w:hint="eastAsia" w:ascii="宋体" w:hAnsi="宋体" w:eastAsia="宋体" w:cs="宋体"/>
          <w:spacing w:val="11"/>
          <w:position w:val="-1"/>
          <w:sz w:val="21"/>
          <w:szCs w:val="21"/>
        </w:rPr>
        <w:t>5-1</w:t>
      </w:r>
      <w:r>
        <w:rPr>
          <w:rFonts w:hint="eastAsia" w:ascii="宋体" w:hAnsi="宋体" w:eastAsia="宋体" w:cs="宋体"/>
          <w:spacing w:val="10"/>
          <w:position w:val="-1"/>
          <w:sz w:val="21"/>
          <w:szCs w:val="21"/>
        </w:rPr>
        <w:t>7.</w:t>
      </w:r>
    </w:p>
    <w:p w14:paraId="30BA980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rPr>
          <w:rFonts w:hint="eastAsia" w:ascii="宋体" w:hAnsi="宋体" w:eastAsia="宋体" w:cs="宋体"/>
          <w:sz w:val="21"/>
          <w:szCs w:val="21"/>
        </w:rPr>
      </w:pPr>
      <w:r>
        <w:rPr>
          <w:rFonts w:hint="eastAsia" w:ascii="宋体" w:hAnsi="宋体" w:eastAsia="宋体" w:cs="宋体"/>
          <w:spacing w:val="14"/>
          <w:position w:val="-1"/>
          <w:sz w:val="21"/>
          <w:szCs w:val="21"/>
        </w:rPr>
        <w:t>11.</w:t>
      </w:r>
      <w:r>
        <w:rPr>
          <w:rFonts w:hint="eastAsia" w:ascii="宋体" w:hAnsi="宋体" w:eastAsia="宋体" w:cs="宋体"/>
          <w:spacing w:val="14"/>
          <w:sz w:val="21"/>
          <w:szCs w:val="21"/>
        </w:rPr>
        <w:t>马克思恩格斯全集(第</w:t>
      </w:r>
      <w:r>
        <w:rPr>
          <w:rFonts w:hint="eastAsia" w:ascii="宋体" w:hAnsi="宋体" w:eastAsia="宋体" w:cs="宋体"/>
          <w:spacing w:val="14"/>
          <w:position w:val="-1"/>
          <w:sz w:val="21"/>
          <w:szCs w:val="21"/>
        </w:rPr>
        <w:t>46</w:t>
      </w:r>
      <w:r>
        <w:rPr>
          <w:rFonts w:hint="eastAsia" w:ascii="宋体" w:hAnsi="宋体" w:eastAsia="宋体" w:cs="宋体"/>
          <w:spacing w:val="14"/>
          <w:sz w:val="21"/>
          <w:szCs w:val="21"/>
        </w:rPr>
        <w:t>卷上册)[M]</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北京:人民出版社,</w:t>
      </w:r>
      <w:r>
        <w:rPr>
          <w:rFonts w:hint="eastAsia" w:ascii="宋体" w:hAnsi="宋体" w:eastAsia="宋体" w:cs="宋体"/>
          <w:spacing w:val="14"/>
          <w:position w:val="-1"/>
          <w:sz w:val="21"/>
          <w:szCs w:val="21"/>
        </w:rPr>
        <w:t>2</w:t>
      </w:r>
      <w:r>
        <w:rPr>
          <w:rFonts w:hint="eastAsia" w:ascii="宋体" w:hAnsi="宋体" w:eastAsia="宋体" w:cs="宋体"/>
          <w:spacing w:val="13"/>
          <w:position w:val="-1"/>
          <w:sz w:val="21"/>
          <w:szCs w:val="21"/>
        </w:rPr>
        <w:t>016.</w:t>
      </w:r>
    </w:p>
    <w:p w14:paraId="4F5E5D9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rPr>
          <w:rFonts w:hint="eastAsia" w:ascii="宋体" w:hAnsi="宋体" w:eastAsia="宋体" w:cs="宋体"/>
          <w:sz w:val="21"/>
          <w:szCs w:val="21"/>
        </w:rPr>
      </w:pPr>
      <w:r>
        <w:rPr>
          <w:rFonts w:hint="eastAsia" w:ascii="宋体" w:hAnsi="宋体" w:eastAsia="宋体" w:cs="宋体"/>
          <w:spacing w:val="14"/>
          <w:position w:val="-1"/>
          <w:sz w:val="21"/>
          <w:szCs w:val="21"/>
        </w:rPr>
        <w:t>12.</w:t>
      </w:r>
      <w:r>
        <w:rPr>
          <w:rFonts w:hint="eastAsia" w:ascii="宋体" w:hAnsi="宋体" w:eastAsia="宋体" w:cs="宋体"/>
          <w:spacing w:val="14"/>
          <w:sz w:val="21"/>
          <w:szCs w:val="21"/>
        </w:rPr>
        <w:t>马克思恩格斯全集(第</w:t>
      </w:r>
      <w:r>
        <w:rPr>
          <w:rFonts w:hint="eastAsia" w:ascii="宋体" w:hAnsi="宋体" w:eastAsia="宋体" w:cs="宋体"/>
          <w:spacing w:val="14"/>
          <w:position w:val="-1"/>
          <w:sz w:val="21"/>
          <w:szCs w:val="21"/>
        </w:rPr>
        <w:t>46</w:t>
      </w:r>
      <w:r>
        <w:rPr>
          <w:rFonts w:hint="eastAsia" w:ascii="宋体" w:hAnsi="宋体" w:eastAsia="宋体" w:cs="宋体"/>
          <w:spacing w:val="14"/>
          <w:sz w:val="21"/>
          <w:szCs w:val="21"/>
        </w:rPr>
        <w:t>卷下册)[M]</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北京:人民出版社,</w:t>
      </w:r>
      <w:r>
        <w:rPr>
          <w:rFonts w:hint="eastAsia" w:ascii="宋体" w:hAnsi="宋体" w:eastAsia="宋体" w:cs="宋体"/>
          <w:spacing w:val="14"/>
          <w:position w:val="-1"/>
          <w:sz w:val="21"/>
          <w:szCs w:val="21"/>
        </w:rPr>
        <w:t>2</w:t>
      </w:r>
      <w:r>
        <w:rPr>
          <w:rFonts w:hint="eastAsia" w:ascii="宋体" w:hAnsi="宋体" w:eastAsia="宋体" w:cs="宋体"/>
          <w:spacing w:val="13"/>
          <w:position w:val="-1"/>
          <w:sz w:val="21"/>
          <w:szCs w:val="21"/>
        </w:rPr>
        <w:t>016.</w:t>
      </w:r>
    </w:p>
    <w:p w14:paraId="19BD7C6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spacing w:val="11"/>
          <w:position w:val="-1"/>
          <w:sz w:val="21"/>
          <w:szCs w:val="21"/>
        </w:rPr>
        <w:t>13.</w:t>
      </w:r>
      <w:r>
        <w:rPr>
          <w:rFonts w:hint="eastAsia" w:ascii="宋体" w:hAnsi="宋体" w:eastAsia="宋体" w:cs="宋体"/>
          <w:spacing w:val="11"/>
          <w:sz w:val="21"/>
          <w:szCs w:val="21"/>
        </w:rPr>
        <w:t>朱巧玲,杨剑刚</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数字资本演化路径、无序扩张和应对策略[J]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政治经济学报,2022(1):</w:t>
      </w:r>
      <w:r>
        <w:rPr>
          <w:rFonts w:hint="eastAsia" w:ascii="宋体" w:hAnsi="宋体" w:eastAsia="宋体" w:cs="宋体"/>
          <w:spacing w:val="11"/>
          <w:position w:val="-1"/>
          <w:sz w:val="21"/>
          <w:szCs w:val="21"/>
        </w:rPr>
        <w:t>53-77.</w:t>
      </w:r>
    </w:p>
    <w:p w14:paraId="6536856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14.</w:t>
      </w:r>
      <w:r>
        <w:rPr>
          <w:rFonts w:hint="eastAsia" w:ascii="宋体" w:hAnsi="宋体" w:eastAsia="宋体" w:cs="宋体"/>
          <w:spacing w:val="13"/>
          <w:sz w:val="21"/>
          <w:szCs w:val="21"/>
        </w:rPr>
        <w:t>吴文新,程恩富</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新时代的共</w:t>
      </w:r>
      <w:r>
        <w:rPr>
          <w:rFonts w:hint="eastAsia" w:ascii="宋体" w:hAnsi="宋体" w:eastAsia="宋体" w:cs="宋体"/>
          <w:spacing w:val="12"/>
          <w:sz w:val="21"/>
          <w:szCs w:val="21"/>
        </w:rPr>
        <w:t>同富裕:实现的前提与四维逻辑[J]</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上海经济研究,2021(11):</w:t>
      </w:r>
      <w:r>
        <w:rPr>
          <w:rFonts w:hint="eastAsia" w:ascii="宋体" w:hAnsi="宋体" w:eastAsia="宋体" w:cs="宋体"/>
          <w:spacing w:val="12"/>
          <w:position w:val="-1"/>
          <w:sz w:val="21"/>
          <w:szCs w:val="21"/>
        </w:rPr>
        <w:t>5-19.</w:t>
      </w:r>
    </w:p>
    <w:p w14:paraId="687E3CE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textAlignment w:val="baseline"/>
        <w:rPr>
          <w:rFonts w:hint="eastAsia" w:ascii="宋体" w:hAnsi="宋体" w:eastAsia="宋体" w:cs="宋体"/>
          <w:sz w:val="21"/>
          <w:szCs w:val="21"/>
        </w:rPr>
      </w:pPr>
      <w:r>
        <w:rPr>
          <w:rFonts w:hint="eastAsia" w:ascii="宋体" w:hAnsi="宋体" w:eastAsia="宋体" w:cs="宋体"/>
          <w:spacing w:val="16"/>
          <w:position w:val="-2"/>
          <w:sz w:val="21"/>
          <w:szCs w:val="21"/>
        </w:rPr>
        <w:t>15.</w:t>
      </w:r>
      <w:r>
        <w:rPr>
          <w:rFonts w:hint="eastAsia" w:ascii="宋体" w:hAnsi="宋体" w:eastAsia="宋体" w:cs="宋体"/>
          <w:spacing w:val="16"/>
          <w:sz w:val="21"/>
          <w:szCs w:val="21"/>
        </w:rPr>
        <w:t>刘涛雄,戎珂,张亚迪</w:t>
      </w:r>
      <w:r>
        <w:rPr>
          <w:rFonts w:hint="eastAsia" w:ascii="宋体" w:hAnsi="宋体" w:eastAsia="宋体" w:cs="宋体"/>
          <w:spacing w:val="16"/>
          <w:position w:val="-2"/>
          <w:sz w:val="21"/>
          <w:szCs w:val="21"/>
        </w:rPr>
        <w:t>.</w:t>
      </w:r>
      <w:r>
        <w:rPr>
          <w:rFonts w:hint="eastAsia" w:ascii="宋体" w:hAnsi="宋体" w:eastAsia="宋体" w:cs="宋体"/>
          <w:spacing w:val="16"/>
          <w:sz w:val="21"/>
          <w:szCs w:val="21"/>
        </w:rPr>
        <w:t>数据资本估算及对中国</w:t>
      </w:r>
      <w:r>
        <w:rPr>
          <w:rFonts w:hint="eastAsia" w:ascii="宋体" w:hAnsi="宋体" w:eastAsia="宋体" w:cs="宋体"/>
          <w:spacing w:val="15"/>
          <w:sz w:val="21"/>
          <w:szCs w:val="21"/>
        </w:rPr>
        <w:t>经济增长的贡献</w:t>
      </w:r>
      <w:r>
        <w:rPr>
          <w:rFonts w:hint="eastAsia" w:ascii="宋体" w:hAnsi="宋体" w:eastAsia="宋体" w:cs="宋体"/>
          <w:b/>
          <w:bCs/>
          <w:spacing w:val="15"/>
          <w:sz w:val="21"/>
          <w:szCs w:val="21"/>
        </w:rPr>
        <w:t>—</w:t>
      </w:r>
      <w:r>
        <w:rPr>
          <w:rFonts w:hint="eastAsia" w:ascii="宋体" w:hAnsi="宋体" w:eastAsia="宋体" w:cs="宋体"/>
          <w:spacing w:val="15"/>
          <w:sz w:val="21"/>
          <w:szCs w:val="21"/>
        </w:rPr>
        <w:t>基于数据价值链的视角[J]</w:t>
      </w:r>
      <w:r>
        <w:rPr>
          <w:rFonts w:hint="eastAsia" w:ascii="宋体" w:hAnsi="宋体" w:eastAsia="宋体" w:cs="宋体"/>
          <w:spacing w:val="15"/>
          <w:position w:val="-2"/>
          <w:sz w:val="21"/>
          <w:szCs w:val="21"/>
        </w:rPr>
        <w:t>.</w:t>
      </w:r>
      <w:r>
        <w:rPr>
          <w:rFonts w:hint="eastAsia" w:ascii="宋体" w:hAnsi="宋体" w:eastAsia="宋体" w:cs="宋体"/>
          <w:spacing w:val="15"/>
          <w:sz w:val="21"/>
          <w:szCs w:val="21"/>
        </w:rPr>
        <w:t>中国社会科</w:t>
      </w:r>
      <w:r>
        <w:rPr>
          <w:rFonts w:hint="eastAsia" w:ascii="宋体" w:hAnsi="宋体" w:eastAsia="宋体" w:cs="宋体"/>
          <w:spacing w:val="9"/>
          <w:position w:val="1"/>
          <w:sz w:val="21"/>
          <w:szCs w:val="21"/>
        </w:rPr>
        <w:t>学,</w:t>
      </w:r>
      <w:r>
        <w:rPr>
          <w:rFonts w:hint="eastAsia" w:ascii="宋体" w:hAnsi="宋体" w:eastAsia="宋体" w:cs="宋体"/>
          <w:spacing w:val="9"/>
          <w:sz w:val="21"/>
          <w:szCs w:val="21"/>
        </w:rPr>
        <w:t>2023(10)</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44-64.</w:t>
      </w:r>
    </w:p>
    <w:p w14:paraId="30A417F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spacing w:val="12"/>
          <w:position w:val="-1"/>
          <w:sz w:val="21"/>
          <w:szCs w:val="21"/>
        </w:rPr>
        <w:t>16.</w:t>
      </w:r>
      <w:r>
        <w:rPr>
          <w:rFonts w:hint="eastAsia" w:ascii="宋体" w:hAnsi="宋体" w:eastAsia="宋体" w:cs="宋体"/>
          <w:spacing w:val="12"/>
          <w:sz w:val="21"/>
          <w:szCs w:val="21"/>
        </w:rPr>
        <w:t>李楠,徐卓仕</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提高劳动者素质促进新质生产力发展研究[J]</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海派经济学,2024(2):</w:t>
      </w:r>
      <w:r>
        <w:rPr>
          <w:rFonts w:hint="eastAsia" w:ascii="宋体" w:hAnsi="宋体" w:eastAsia="宋体" w:cs="宋体"/>
          <w:spacing w:val="12"/>
          <w:position w:val="-1"/>
          <w:sz w:val="21"/>
          <w:szCs w:val="21"/>
        </w:rPr>
        <w:t>141-149.</w:t>
      </w:r>
    </w:p>
    <w:p w14:paraId="3D9EA57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rPr>
          <w:rFonts w:hint="eastAsia" w:ascii="宋体" w:hAnsi="宋体" w:eastAsia="宋体" w:cs="宋体"/>
          <w:sz w:val="21"/>
          <w:szCs w:val="21"/>
        </w:rPr>
      </w:pPr>
      <w:r>
        <w:rPr>
          <w:rFonts w:hint="eastAsia" w:ascii="宋体" w:hAnsi="宋体" w:eastAsia="宋体" w:cs="宋体"/>
          <w:spacing w:val="11"/>
          <w:position w:val="-1"/>
          <w:sz w:val="21"/>
          <w:szCs w:val="21"/>
        </w:rPr>
        <w:t>17.</w:t>
      </w:r>
      <w:r>
        <w:rPr>
          <w:rFonts w:hint="eastAsia" w:ascii="宋体" w:hAnsi="宋体" w:eastAsia="宋体" w:cs="宋体"/>
          <w:spacing w:val="11"/>
          <w:sz w:val="21"/>
          <w:szCs w:val="21"/>
        </w:rPr>
        <w:t>陈梦根</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周元任</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数字不平等研究新进展[J]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经济学动态</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2022(4)</w:t>
      </w:r>
      <w:r>
        <w:rPr>
          <w:rFonts w:hint="eastAsia" w:ascii="宋体" w:hAnsi="宋体" w:eastAsia="宋体" w:cs="宋体"/>
          <w:spacing w:val="11"/>
          <w:position w:val="1"/>
          <w:sz w:val="21"/>
          <w:szCs w:val="21"/>
        </w:rPr>
        <w:t>:</w:t>
      </w:r>
      <w:r>
        <w:rPr>
          <w:rFonts w:hint="eastAsia" w:ascii="宋体" w:hAnsi="宋体" w:eastAsia="宋体" w:cs="宋体"/>
          <w:spacing w:val="11"/>
          <w:position w:val="-1"/>
          <w:sz w:val="21"/>
          <w:szCs w:val="21"/>
        </w:rPr>
        <w:t>123-139.</w:t>
      </w:r>
    </w:p>
    <w:p w14:paraId="6CA24C5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rPr>
          <w:rFonts w:hint="eastAsia" w:ascii="宋体" w:hAnsi="宋体" w:eastAsia="宋体" w:cs="宋体"/>
          <w:sz w:val="21"/>
          <w:szCs w:val="21"/>
        </w:rPr>
      </w:pPr>
      <w:r>
        <w:rPr>
          <w:rFonts w:hint="eastAsia" w:ascii="宋体" w:hAnsi="宋体" w:eastAsia="宋体" w:cs="宋体"/>
          <w:spacing w:val="9"/>
          <w:position w:val="-1"/>
          <w:sz w:val="21"/>
          <w:szCs w:val="21"/>
        </w:rPr>
        <w:t>18.</w:t>
      </w:r>
      <w:r>
        <w:rPr>
          <w:rFonts w:hint="eastAsia" w:ascii="宋体" w:hAnsi="宋体" w:eastAsia="宋体" w:cs="宋体"/>
          <w:spacing w:val="9"/>
          <w:sz w:val="21"/>
          <w:szCs w:val="21"/>
        </w:rPr>
        <w:t>马立国,宋翼飞</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“数字世界”中的劳动剥削问题及其对策探究[J]</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政治经济学研究,</w:t>
      </w:r>
      <w:r>
        <w:rPr>
          <w:rFonts w:hint="eastAsia" w:ascii="宋体" w:hAnsi="宋体" w:eastAsia="宋体" w:cs="宋体"/>
          <w:spacing w:val="8"/>
          <w:sz w:val="21"/>
          <w:szCs w:val="21"/>
        </w:rPr>
        <w:t>2024(2):</w:t>
      </w:r>
      <w:r>
        <w:rPr>
          <w:rFonts w:hint="eastAsia" w:ascii="宋体" w:hAnsi="宋体" w:eastAsia="宋体" w:cs="宋体"/>
          <w:spacing w:val="8"/>
          <w:position w:val="-1"/>
          <w:sz w:val="21"/>
          <w:szCs w:val="21"/>
        </w:rPr>
        <w:t>33-40.</w:t>
      </w:r>
    </w:p>
    <w:p w14:paraId="1F20A04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19.</w:t>
      </w:r>
      <w:r>
        <w:rPr>
          <w:rFonts w:hint="eastAsia" w:ascii="宋体" w:hAnsi="宋体" w:eastAsia="宋体" w:cs="宋体"/>
          <w:spacing w:val="13"/>
          <w:sz w:val="21"/>
          <w:szCs w:val="21"/>
        </w:rPr>
        <w:t>孙业霞,王怡然</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数字资本主义经济的新变化及我国的应对战略选择[J]</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海派经济学,202</w:t>
      </w:r>
      <w:r>
        <w:rPr>
          <w:rFonts w:hint="eastAsia" w:ascii="宋体" w:hAnsi="宋体" w:eastAsia="宋体" w:cs="宋体"/>
          <w:spacing w:val="12"/>
          <w:sz w:val="21"/>
          <w:szCs w:val="21"/>
        </w:rPr>
        <w:t>3(4):</w:t>
      </w:r>
      <w:r>
        <w:rPr>
          <w:rFonts w:hint="eastAsia" w:ascii="宋体" w:hAnsi="宋体" w:eastAsia="宋体" w:cs="宋体"/>
          <w:spacing w:val="12"/>
          <w:position w:val="-1"/>
          <w:sz w:val="21"/>
          <w:szCs w:val="21"/>
        </w:rPr>
        <w:t>156-169.</w:t>
      </w:r>
    </w:p>
    <w:p w14:paraId="61DE7E2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20.</w:t>
      </w:r>
      <w:r>
        <w:rPr>
          <w:rFonts w:hint="eastAsia" w:ascii="宋体" w:hAnsi="宋体" w:eastAsia="宋体" w:cs="宋体"/>
          <w:spacing w:val="13"/>
          <w:sz w:val="21"/>
          <w:szCs w:val="21"/>
        </w:rPr>
        <w:t>刘凤义,曲佳宝</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数字资本主义时代资本积累新动向及其矛盾</w:t>
      </w:r>
      <w:r>
        <w:rPr>
          <w:rFonts w:hint="eastAsia" w:ascii="宋体" w:hAnsi="宋体" w:eastAsia="宋体" w:cs="宋体"/>
          <w:spacing w:val="12"/>
          <w:sz w:val="21"/>
          <w:szCs w:val="21"/>
        </w:rPr>
        <w:t>[J]</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马克思主义与现实,2022(3):</w:t>
      </w:r>
      <w:r>
        <w:rPr>
          <w:rFonts w:hint="eastAsia" w:ascii="宋体" w:hAnsi="宋体" w:eastAsia="宋体" w:cs="宋体"/>
          <w:spacing w:val="12"/>
          <w:position w:val="-1"/>
          <w:sz w:val="21"/>
          <w:szCs w:val="21"/>
        </w:rPr>
        <w:t>170-177.</w:t>
      </w:r>
    </w:p>
    <w:p w14:paraId="1147DA0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21.</w:t>
      </w:r>
      <w:r>
        <w:rPr>
          <w:rFonts w:hint="eastAsia" w:ascii="宋体" w:hAnsi="宋体" w:eastAsia="宋体" w:cs="宋体"/>
          <w:spacing w:val="13"/>
          <w:sz w:val="21"/>
          <w:szCs w:val="21"/>
        </w:rPr>
        <w:t>邓伯军</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数字资本主义的意识形态逻辑批判[</w:t>
      </w:r>
      <w:r>
        <w:rPr>
          <w:rFonts w:hint="eastAsia" w:ascii="宋体" w:hAnsi="宋体" w:eastAsia="宋体" w:cs="宋体"/>
          <w:spacing w:val="12"/>
          <w:sz w:val="21"/>
          <w:szCs w:val="21"/>
        </w:rPr>
        <w:t>J]</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社会科学,2020(8):</w:t>
      </w:r>
      <w:r>
        <w:rPr>
          <w:rFonts w:hint="eastAsia" w:ascii="宋体" w:hAnsi="宋体" w:eastAsia="宋体" w:cs="宋体"/>
          <w:spacing w:val="12"/>
          <w:position w:val="-1"/>
          <w:sz w:val="21"/>
          <w:szCs w:val="21"/>
        </w:rPr>
        <w:t>23-31.</w:t>
      </w:r>
    </w:p>
    <w:p w14:paraId="032B203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eastAsia" w:ascii="宋体" w:hAnsi="宋体" w:eastAsia="宋体" w:cs="宋体"/>
          <w:sz w:val="21"/>
          <w:szCs w:val="21"/>
        </w:rPr>
      </w:pPr>
      <w:r>
        <w:rPr>
          <w:rFonts w:hint="eastAsia" w:ascii="宋体" w:hAnsi="宋体" w:eastAsia="宋体" w:cs="宋体"/>
          <w:spacing w:val="13"/>
          <w:position w:val="-1"/>
          <w:sz w:val="21"/>
          <w:szCs w:val="21"/>
        </w:rPr>
        <w:t>22.</w:t>
      </w:r>
      <w:r>
        <w:rPr>
          <w:rFonts w:hint="eastAsia" w:ascii="宋体" w:hAnsi="宋体" w:eastAsia="宋体" w:cs="宋体"/>
          <w:spacing w:val="13"/>
          <w:sz w:val="21"/>
          <w:szCs w:val="21"/>
        </w:rPr>
        <w:t>侯晓东,程恩富</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基于产权视角的平台经济反垄断治理研究[J]</w:t>
      </w:r>
      <w:r>
        <w:rPr>
          <w:rFonts w:hint="eastAsia" w:ascii="宋体" w:hAnsi="宋体" w:eastAsia="宋体" w:cs="宋体"/>
          <w:spacing w:val="13"/>
          <w:position w:val="-1"/>
          <w:sz w:val="21"/>
          <w:szCs w:val="21"/>
        </w:rPr>
        <w:t>.</w:t>
      </w:r>
      <w:r>
        <w:rPr>
          <w:rFonts w:hint="eastAsia" w:ascii="宋体" w:hAnsi="宋体" w:eastAsia="宋体" w:cs="宋体"/>
          <w:spacing w:val="13"/>
          <w:sz w:val="21"/>
          <w:szCs w:val="21"/>
        </w:rPr>
        <w:t>管理学刊,2021(2):</w:t>
      </w:r>
      <w:r>
        <w:rPr>
          <w:rFonts w:hint="eastAsia" w:ascii="宋体" w:hAnsi="宋体" w:eastAsia="宋体" w:cs="宋体"/>
          <w:spacing w:val="12"/>
          <w:position w:val="-1"/>
          <w:sz w:val="21"/>
          <w:szCs w:val="21"/>
        </w:rPr>
        <w:t>10-20.</w:t>
      </w:r>
    </w:p>
    <w:p w14:paraId="1CAEE8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eastAsia" w:ascii="宋体" w:hAnsi="宋体" w:eastAsia="宋体" w:cs="宋体"/>
          <w:sz w:val="21"/>
          <w:szCs w:val="21"/>
        </w:rPr>
      </w:pPr>
      <w:r>
        <w:rPr>
          <w:rFonts w:hint="eastAsia" w:ascii="宋体" w:hAnsi="宋体" w:eastAsia="宋体" w:cs="宋体"/>
          <w:spacing w:val="12"/>
          <w:position w:val="-1"/>
          <w:sz w:val="21"/>
          <w:szCs w:val="21"/>
        </w:rPr>
        <w:t>23.</w:t>
      </w:r>
      <w:r>
        <w:rPr>
          <w:rFonts w:hint="eastAsia" w:ascii="宋体" w:hAnsi="宋体" w:eastAsia="宋体" w:cs="宋体"/>
          <w:spacing w:val="12"/>
          <w:sz w:val="21"/>
          <w:szCs w:val="21"/>
        </w:rPr>
        <w:t>邵彦敏,赵文瑄</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论数字资本主义下的数字劳动、数字资本及其劳资关</w:t>
      </w:r>
      <w:r>
        <w:rPr>
          <w:rFonts w:hint="eastAsia" w:ascii="宋体" w:hAnsi="宋体" w:eastAsia="宋体" w:cs="宋体"/>
          <w:spacing w:val="11"/>
          <w:sz w:val="21"/>
          <w:szCs w:val="21"/>
        </w:rPr>
        <w:t>系[J]</w:t>
      </w:r>
      <w:r>
        <w:rPr>
          <w:rFonts w:hint="eastAsia" w:ascii="宋体" w:hAnsi="宋体" w:eastAsia="宋体" w:cs="宋体"/>
          <w:spacing w:val="11"/>
          <w:position w:val="-1"/>
          <w:sz w:val="21"/>
          <w:szCs w:val="21"/>
        </w:rPr>
        <w:t>.</w:t>
      </w:r>
      <w:r>
        <w:rPr>
          <w:rFonts w:hint="eastAsia" w:ascii="宋体" w:hAnsi="宋体" w:eastAsia="宋体" w:cs="宋体"/>
          <w:spacing w:val="11"/>
          <w:sz w:val="21"/>
          <w:szCs w:val="21"/>
        </w:rPr>
        <w:t>经济纵横,2024(3):</w:t>
      </w:r>
      <w:r>
        <w:rPr>
          <w:rFonts w:hint="eastAsia" w:ascii="宋体" w:hAnsi="宋体" w:eastAsia="宋体" w:cs="宋体"/>
          <w:spacing w:val="11"/>
          <w:position w:val="-1"/>
          <w:sz w:val="21"/>
          <w:szCs w:val="21"/>
        </w:rPr>
        <w:t>15-22.</w:t>
      </w:r>
    </w:p>
    <w:p w14:paraId="30A12D5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rPr>
          <w:rFonts w:hint="eastAsia" w:ascii="宋体" w:hAnsi="宋体" w:eastAsia="宋体" w:cs="宋体"/>
          <w:sz w:val="21"/>
          <w:szCs w:val="21"/>
        </w:rPr>
      </w:pPr>
      <w:r>
        <w:rPr>
          <w:rFonts w:hint="eastAsia" w:ascii="宋体" w:hAnsi="宋体" w:eastAsia="宋体" w:cs="宋体"/>
          <w:spacing w:val="14"/>
          <w:position w:val="-1"/>
          <w:sz w:val="21"/>
          <w:szCs w:val="21"/>
        </w:rPr>
        <w:t>24.</w:t>
      </w:r>
      <w:r>
        <w:rPr>
          <w:rFonts w:hint="eastAsia" w:ascii="宋体" w:hAnsi="宋体" w:eastAsia="宋体" w:cs="宋体"/>
          <w:spacing w:val="14"/>
          <w:sz w:val="21"/>
          <w:szCs w:val="21"/>
        </w:rPr>
        <w:t>程恩富,伍山林</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促进社会各阶层共同富裕的若干政策思路[J]</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政</w:t>
      </w:r>
      <w:r>
        <w:rPr>
          <w:rFonts w:hint="eastAsia" w:ascii="宋体" w:hAnsi="宋体" w:eastAsia="宋体" w:cs="宋体"/>
          <w:spacing w:val="13"/>
          <w:sz w:val="21"/>
          <w:szCs w:val="21"/>
        </w:rPr>
        <w:t>治经济学研究,2021(2):</w:t>
      </w:r>
      <w:r>
        <w:rPr>
          <w:rFonts w:hint="eastAsia" w:ascii="宋体" w:hAnsi="宋体" w:eastAsia="宋体" w:cs="宋体"/>
          <w:spacing w:val="13"/>
          <w:position w:val="-1"/>
          <w:sz w:val="21"/>
          <w:szCs w:val="21"/>
        </w:rPr>
        <w:t>5-11.</w:t>
      </w:r>
    </w:p>
    <w:p w14:paraId="336543A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textAlignment w:val="baseline"/>
        <w:rPr>
          <w:rFonts w:hint="eastAsia" w:ascii="宋体" w:hAnsi="宋体" w:eastAsia="宋体" w:cs="宋体"/>
          <w:sz w:val="21"/>
          <w:szCs w:val="21"/>
        </w:rPr>
      </w:pPr>
      <w:r>
        <w:rPr>
          <w:rFonts w:hint="eastAsia" w:ascii="宋体" w:hAnsi="宋体" w:eastAsia="宋体" w:cs="宋体"/>
          <w:spacing w:val="6"/>
          <w:position w:val="2"/>
          <w:sz w:val="21"/>
          <w:szCs w:val="21"/>
        </w:rPr>
        <w:t>25.</w:t>
      </w:r>
      <w:r>
        <w:rPr>
          <w:rFonts w:hint="eastAsia" w:ascii="宋体" w:hAnsi="宋体" w:eastAsia="宋体" w:cs="宋体"/>
          <w:position w:val="2"/>
          <w:sz w:val="21"/>
          <w:szCs w:val="21"/>
        </w:rPr>
        <w:t>Massimo</w:t>
      </w:r>
      <w:r>
        <w:rPr>
          <w:rFonts w:hint="eastAsia" w:ascii="宋体" w:hAnsi="宋体" w:eastAsia="宋体" w:cs="宋体"/>
          <w:position w:val="2"/>
          <w:sz w:val="21"/>
          <w:szCs w:val="21"/>
          <w:lang w:val="en-US" w:eastAsia="zh-CN"/>
        </w:rPr>
        <w:t xml:space="preserve"> </w:t>
      </w:r>
      <w:r>
        <w:rPr>
          <w:rFonts w:hint="eastAsia" w:ascii="宋体" w:hAnsi="宋体" w:eastAsia="宋体" w:cs="宋体"/>
          <w:position w:val="2"/>
          <w:sz w:val="21"/>
          <w:szCs w:val="21"/>
        </w:rPr>
        <w:t>Ragnedda</w:t>
      </w:r>
      <w:r>
        <w:rPr>
          <w:rFonts w:hint="eastAsia" w:ascii="宋体" w:hAnsi="宋体" w:eastAsia="宋体" w:cs="宋体"/>
          <w:spacing w:val="6"/>
          <w:position w:val="2"/>
          <w:sz w:val="21"/>
          <w:szCs w:val="21"/>
        </w:rPr>
        <w:t>.</w:t>
      </w:r>
      <w:r>
        <w:rPr>
          <w:rFonts w:hint="eastAsia" w:ascii="宋体" w:hAnsi="宋体" w:eastAsia="宋体" w:cs="宋体"/>
          <w:position w:val="2"/>
          <w:sz w:val="21"/>
          <w:szCs w:val="21"/>
        </w:rPr>
        <w:t>Conceptualizing</w:t>
      </w:r>
      <w:r>
        <w:rPr>
          <w:rFonts w:hint="eastAsia" w:ascii="宋体" w:hAnsi="宋体" w:eastAsia="宋体" w:cs="宋体"/>
          <w:position w:val="2"/>
          <w:sz w:val="21"/>
          <w:szCs w:val="21"/>
          <w:lang w:val="en-US" w:eastAsia="zh-CN"/>
        </w:rPr>
        <w:t xml:space="preserve"> </w:t>
      </w:r>
      <w:r>
        <w:rPr>
          <w:rFonts w:hint="eastAsia" w:ascii="宋体" w:hAnsi="宋体" w:eastAsia="宋体" w:cs="宋体"/>
          <w:position w:val="2"/>
          <w:sz w:val="21"/>
          <w:szCs w:val="21"/>
        </w:rPr>
        <w:t>Digital</w:t>
      </w:r>
      <w:r>
        <w:rPr>
          <w:rFonts w:hint="eastAsia" w:ascii="宋体" w:hAnsi="宋体" w:eastAsia="宋体" w:cs="宋体"/>
          <w:position w:val="2"/>
          <w:sz w:val="21"/>
          <w:szCs w:val="21"/>
          <w:lang w:val="en-US" w:eastAsia="zh-CN"/>
        </w:rPr>
        <w:t xml:space="preserve"> </w:t>
      </w:r>
      <w:r>
        <w:rPr>
          <w:rFonts w:hint="eastAsia" w:ascii="宋体" w:hAnsi="宋体" w:eastAsia="宋体" w:cs="宋体"/>
          <w:position w:val="2"/>
          <w:sz w:val="21"/>
          <w:szCs w:val="21"/>
        </w:rPr>
        <w:t>Capita</w:t>
      </w:r>
      <w:r>
        <w:rPr>
          <w:rFonts w:hint="eastAsia" w:ascii="宋体" w:hAnsi="宋体" w:eastAsia="宋体" w:cs="宋体"/>
          <w:position w:val="3"/>
          <w:sz w:val="21"/>
          <w:szCs w:val="21"/>
        </w:rPr>
        <w:t>l</w:t>
      </w:r>
      <w:r>
        <w:rPr>
          <w:rFonts w:hint="eastAsia" w:ascii="宋体" w:hAnsi="宋体" w:eastAsia="宋体" w:cs="宋体"/>
          <w:spacing w:val="6"/>
          <w:position w:val="3"/>
          <w:sz w:val="21"/>
          <w:szCs w:val="21"/>
        </w:rPr>
        <w:t>[J]</w:t>
      </w:r>
      <w:r>
        <w:rPr>
          <w:rFonts w:hint="eastAsia" w:ascii="宋体" w:hAnsi="宋体" w:eastAsia="宋体" w:cs="宋体"/>
          <w:spacing w:val="6"/>
          <w:position w:val="2"/>
          <w:sz w:val="21"/>
          <w:szCs w:val="21"/>
        </w:rPr>
        <w:t>.</w:t>
      </w:r>
      <w:r>
        <w:rPr>
          <w:rFonts w:hint="eastAsia" w:ascii="宋体" w:hAnsi="宋体" w:eastAsia="宋体" w:cs="宋体"/>
          <w:position w:val="2"/>
          <w:sz w:val="21"/>
          <w:szCs w:val="21"/>
        </w:rPr>
        <w:t>Telematics</w:t>
      </w:r>
      <w:r>
        <w:rPr>
          <w:rFonts w:hint="eastAsia" w:ascii="宋体" w:hAnsi="宋体" w:eastAsia="宋体" w:cs="宋体"/>
          <w:position w:val="2"/>
          <w:sz w:val="21"/>
          <w:szCs w:val="21"/>
          <w:lang w:val="en-US" w:eastAsia="zh-CN"/>
        </w:rPr>
        <w:t xml:space="preserve"> </w:t>
      </w:r>
      <w:r>
        <w:rPr>
          <w:rFonts w:hint="eastAsia" w:ascii="宋体" w:hAnsi="宋体" w:eastAsia="宋体" w:cs="宋体"/>
          <w:position w:val="2"/>
          <w:sz w:val="21"/>
          <w:szCs w:val="21"/>
        </w:rPr>
        <w:t>and</w:t>
      </w:r>
      <w:r>
        <w:rPr>
          <w:rFonts w:hint="eastAsia" w:ascii="宋体" w:hAnsi="宋体" w:eastAsia="宋体" w:cs="宋体"/>
          <w:position w:val="2"/>
          <w:sz w:val="21"/>
          <w:szCs w:val="21"/>
          <w:lang w:val="en-US" w:eastAsia="zh-CN"/>
        </w:rPr>
        <w:t xml:space="preserve"> </w:t>
      </w:r>
      <w:r>
        <w:rPr>
          <w:rFonts w:hint="eastAsia" w:ascii="宋体" w:hAnsi="宋体" w:eastAsia="宋体" w:cs="宋体"/>
          <w:position w:val="2"/>
          <w:sz w:val="21"/>
          <w:szCs w:val="21"/>
        </w:rPr>
        <w:t>Informatics</w:t>
      </w:r>
      <w:r>
        <w:rPr>
          <w:rFonts w:hint="eastAsia" w:ascii="宋体" w:hAnsi="宋体" w:eastAsia="宋体" w:cs="宋体"/>
          <w:spacing w:val="6"/>
          <w:position w:val="4"/>
          <w:sz w:val="21"/>
          <w:szCs w:val="21"/>
        </w:rPr>
        <w:t>,</w:t>
      </w:r>
      <w:r>
        <w:rPr>
          <w:rFonts w:hint="eastAsia" w:ascii="宋体" w:hAnsi="宋体" w:eastAsia="宋体" w:cs="宋体"/>
          <w:spacing w:val="6"/>
          <w:position w:val="2"/>
          <w:sz w:val="21"/>
          <w:szCs w:val="21"/>
        </w:rPr>
        <w:t>2018(35)</w:t>
      </w:r>
      <w:r>
        <w:rPr>
          <w:rFonts w:hint="eastAsia" w:ascii="宋体" w:hAnsi="宋体" w:eastAsia="宋体" w:cs="宋体"/>
          <w:spacing w:val="6"/>
          <w:position w:val="4"/>
          <w:sz w:val="21"/>
          <w:szCs w:val="21"/>
        </w:rPr>
        <w:t>:</w:t>
      </w:r>
      <w:r>
        <w:rPr>
          <w:rFonts w:hint="eastAsia" w:ascii="宋体" w:hAnsi="宋体" w:eastAsia="宋体" w:cs="宋体"/>
          <w:spacing w:val="6"/>
          <w:position w:val="2"/>
          <w:sz w:val="21"/>
          <w:szCs w:val="21"/>
        </w:rPr>
        <w:t>2366-2375.</w:t>
      </w:r>
    </w:p>
    <w:p w14:paraId="6F067A6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561530A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hint="default" w:ascii="宋体" w:hAnsi="宋体" w:eastAsia="宋体" w:cs="宋体"/>
          <w:sz w:val="21"/>
          <w:szCs w:val="21"/>
          <w:lang w:val="en-US"/>
        </w:rPr>
      </w:pPr>
      <w:r>
        <w:rPr>
          <w:rFonts w:hint="eastAsia" w:ascii="Times New Roman" w:hAnsi="Times New Roman" w:eastAsia="宋体" w:cs="Times New Roman"/>
          <w:sz w:val="24"/>
          <w:szCs w:val="24"/>
          <w:lang w:val="en-US" w:eastAsia="zh-CN"/>
        </w:rPr>
        <w:t>（原载《上海经济研究》2025年第4期，第一作者为侯晓东）</w:t>
      </w:r>
    </w:p>
    <w:p w14:paraId="64BD97C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31ED6EC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723FCE7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5BC3221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5DD47FBA">
      <w:pPr>
        <w:keepNext w:val="0"/>
        <w:keepLines w:val="0"/>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z w:val="21"/>
          <w:szCs w:val="21"/>
        </w:rPr>
      </w:pPr>
    </w:p>
    <w:p w14:paraId="15BE51D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6807E215">
      <w:pPr>
        <w:pStyle w:val="2"/>
        <w:bidi w:val="0"/>
        <w:rPr>
          <w:rFonts w:hint="eastAsia"/>
        </w:rPr>
      </w:pPr>
      <w:bookmarkStart w:id="757" w:name="_Toc1491533530"/>
      <w:bookmarkStart w:id="758" w:name="_Toc430046119"/>
      <w:bookmarkStart w:id="759" w:name="_Toc992846470"/>
      <w:bookmarkStart w:id="760" w:name="_Toc860192867"/>
      <w:bookmarkStart w:id="761" w:name="_Toc16816"/>
      <w:bookmarkStart w:id="762" w:name="_Toc494072281"/>
      <w:r>
        <w:rPr>
          <w:rFonts w:hint="eastAsia"/>
          <w:lang w:val="en-US" w:eastAsia="zh-CN"/>
        </w:rPr>
        <w:t>8</w:t>
      </w:r>
      <w:r>
        <w:rPr>
          <w:rFonts w:hint="eastAsia"/>
        </w:rPr>
        <w:t>“技术封建主义”的政治经济学分析</w:t>
      </w:r>
      <w:bookmarkEnd w:id="757"/>
      <w:bookmarkEnd w:id="758"/>
      <w:bookmarkEnd w:id="759"/>
      <w:bookmarkEnd w:id="760"/>
      <w:bookmarkEnd w:id="761"/>
      <w:bookmarkEnd w:id="762"/>
    </w:p>
    <w:p w14:paraId="2107F41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01D0482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3435FFF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摘要：近年来，伴随平台经济的迅速发展，“技术封建主义 ”理论逐渐兴起 。该理论认为，租金已经击败利润并在经济中占据主导地位，取代资本主义的是“技术封建主义 ”而非社会主义。“云租金”（平台租金）是基于技术垄断的数字平台所有权的经济实现形式，归根结底来自雇佣工人有偿劳动创造的价值 。 以电商平台为例分析可知，平台租金主要包括依赖数字平台外部流量和内部排名的级差台租 Ⅰ、基于平台使用者或所有者的追加资本所产生的级差台租Ⅱ , 以及只要使用平台就必须缴纳的绝对台租和以垄断利润为基础的垄断台租。“技术封建主义 ”的本质是资本主义生产关系的技术化延伸，进一步印证了资本主义通过技术重构实现剥削升级的寄生性 。但其历史隐喻遮蔽了资本主义剥削的本质，也是对无产阶级革命主体性的消解 。唯有将剩余价值理论作为技术批判的理论基石，才能正确认识资本主义的当代发展及其加速衰落和必然灭亡的历史趋势。</w:t>
      </w:r>
    </w:p>
    <w:p w14:paraId="39C7CE6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关键词：技术封建主义；数字平台；地租；平台租金；政治经济学</w:t>
      </w:r>
    </w:p>
    <w:p w14:paraId="0FC6065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7835B0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近年来，世界范围内平台经济发展迅速 。互联网和数字平台的兴起深刻改变了生产和生活方式，推动共享经济的发展 。但同时值得关注的是，随之滋生的数据垄断、算法霸权等在内的一系列问题，对经济社会的有序发展也形成了一定阻碍 。 随着信息技术革命的进一步深化发展，以塞德里克·杜朗（Cédric Durand）、雅尼斯·瓦鲁法基斯（Yanis Varoufakis）、约迪·迪恩（Jodi Dean）等为代表的左翼学者在学界掀起了一股新理论思潮，即“技术封建主义”。其中，瓦鲁法基斯[1]甚至断言，作为资本主义支柱的利润已经被租金击败，终结资产阶级统治的是“云主义者 ”而非无产阶级，代替资本主义的是“技术封建主义 ”而非社会主义 。那么，基于数字平台的“技术封建主义 ”真的超越了资本主义吗？ 要研究这一问题，需要回归马克思主义的立场和方法，深入探究平台经济中“云租金 ”的来源与形式。</w:t>
      </w:r>
    </w:p>
    <w:p w14:paraId="395A5CBE">
      <w:pPr>
        <w:pStyle w:val="3"/>
        <w:bidi w:val="0"/>
        <w:rPr>
          <w:rFonts w:hint="eastAsia" w:ascii="宋体" w:hAnsi="宋体" w:eastAsia="宋体" w:cs="宋体"/>
          <w:spacing w:val="0"/>
          <w:w w:val="100"/>
          <w:position w:val="0"/>
          <w:sz w:val="21"/>
          <w:szCs w:val="21"/>
        </w:rPr>
      </w:pPr>
      <w:bookmarkStart w:id="763" w:name="_Toc822684100"/>
      <w:bookmarkStart w:id="764" w:name="_Toc401604065"/>
      <w:bookmarkStart w:id="765" w:name="_Toc1502649878"/>
      <w:bookmarkStart w:id="766" w:name="_Toc627427279"/>
      <w:bookmarkStart w:id="767" w:name="_Toc12516"/>
      <w:bookmarkStart w:id="768" w:name="_Toc1701047465"/>
      <w:r>
        <w:rPr>
          <w:rFonts w:hint="eastAsia" w:ascii="宋体" w:hAnsi="宋体" w:eastAsia="宋体" w:cs="宋体"/>
          <w:color w:val="231F20"/>
          <w:spacing w:val="0"/>
          <w:w w:val="100"/>
          <w:position w:val="0"/>
          <w:sz w:val="21"/>
          <w:szCs w:val="21"/>
        </w:rPr>
        <w:t>一、“技术封建主义 ”的运行机制与核心特征</w:t>
      </w:r>
      <w:bookmarkEnd w:id="763"/>
      <w:bookmarkEnd w:id="764"/>
      <w:bookmarkEnd w:id="765"/>
      <w:bookmarkEnd w:id="766"/>
      <w:bookmarkEnd w:id="767"/>
      <w:bookmarkEnd w:id="768"/>
    </w:p>
    <w:p w14:paraId="1242858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”理论一般认为，互联网加速了资本主义的灭亡，但取代它的并不是社会主义，而是“技术封建主义”。在这里，“技术封建主义 ”将其理论体系建构在“云资本 ”“云主义者 ”“云封地 ”“云租金 ”“云农奴 ”等一系列核心概念基础之上。</w:t>
      </w:r>
    </w:p>
    <w:p w14:paraId="437D46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（一）以“云封地 ”为基础的“云资本 ”增殖机制</w:t>
      </w:r>
    </w:p>
    <w:p w14:paraId="6282015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 云资本 ”作为“技术封建主义 ”的核心概念，涵盖了数字基础设施和内容生产两个关键领域 。具体而言，它不仅涉及通过数字平台和云计算技术构建的基础设施，例如智能算法、服务器群等软硬件设施；还控制和管理着全球的信息流、数据与内容，例如各类平台中用户上传发布的评论、视频、照片等数据信息 。在资产阶级中，设法积累大量“云资本 ”的资本家可称为“云主义者”。在数字信息时代，“云主义者 ”通过技术手段集中资源与权力，从而形成一种类似于封建主义的经济和社会结构 。但与封建地主不同的是，“云主义者 ”并不是天然就拥有获取租金的权力，而是需要从源头开始创造租金，而这一创造过程实质上就是数字平台取代市场的过程 。 由于数字平台与市场有着本质不同，更类似于封建制度下的封地，因而可以称之为“云封地”。“云主义者 ”凭借其对“云封地 ”的垄断，向访问数字平台和使用云计算服务的用户收取租金，从而产生“云租金”。基于上述机制，“云资本 ”将几乎所有网络用户纳入其增殖过程之中，并把雇佣工人变成云计算下的工人，导致他们在算法的控制下生活越来越不稳定、压力越来越大，同时使所有网络用户变成“云农奴”，自愿为“云主义者 ”生产“云资本”。</w:t>
      </w:r>
    </w:p>
    <w:p w14:paraId="57F9BE0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（二）“技术封建主义 ”的核心特征体现为利润让位于“云租金 ”</w:t>
      </w:r>
    </w:p>
    <w:p w14:paraId="7F56040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”理论认为，“技术封建主义 ”是超越并将会埋葬资本主义的新的生产形式，资本增殖方式的不同是“技术封建主义 ”与资本主义的核心区别，并主要表现在两个方面：市场被“云封地 ”取代和利润让位于“云租金”。从“封建主义—资本主义—技术封建主义 ”的动态发展过程视角，可以更好地理解利润让位于“云租金 ”这一“技术封建主义 ”的核心特征。</w:t>
      </w:r>
    </w:p>
    <w:p w14:paraId="253DD35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从封建主义到资本主义的过渡是权力从土地所有者向资本所有者的转移过程。“圈地运动 ”强制将劳动者与土地分离，资本的原始积累为资本主义生产方式的确立奠定了基础 。在反对封建制度的历史进程中，资产阶级发挥了至关重要的作用 。在经济层面，从封建主义到资本主义的根本转变是建立在以利润篡夺租金作为社会经济体系的驱动力之上的 。对剩余价值的追逐是资本主义的发展引擎，它促使资本家不断改进生产技术，以获得超额剩余价值 。生产力的发展极大地促进了商品交换，商品经济因而不断完善并进入市场经济阶段，价值转变为生产价格，剩余价值表现为利润进而转化为平均利润。由此，农奴和地主转变为雇佣工人和产业资本家，曾经占据主体地位的地租让位于利润。</w:t>
      </w:r>
    </w:p>
    <w:p w14:paraId="0AE9329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在数字经济条件下，资本演变成“云资本”，“技术封建主义 ”逐渐摧毁了资本主义的两大支柱——市场和利润。“技术封建主义 ”理论认为，市场是一种分散的价格形成机制，其中的交换价值以货币价格、工资等形式实现 。而“云主义者 ”的算法不仅具有集中匹配买家和卖家的能力，并且能将每一个买家与其他买家、每一个卖方与其他卖家隔离开来，而这与市场的含义完全相反 。 因此，市场已经被数字平台所取代，“云封地 ”占据了主导地位 。相应地，租金也重新战胜了利润 。在由“新圈地 ”塑造的互联网世界中，所有人被迫将自己交给那些将买家之间和卖家之间隔离开来的数字平台。“云资本 ”展现出前所未有的掌控力，它将管理者和市场营销人员的角色内化到算法之中，当用户在“云封地 ”活动时， “算法警察 ”就开始收集“云租金”。随着越来越多的活动在数字平台完成，最终使租金再次击败利润，成为社会经济的主导。</w:t>
      </w:r>
    </w:p>
    <w:p w14:paraId="3621558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”超越了资本主义吗？对此，“技术封建主义 ”理论给出了肯定的答案。“技术封建主义 ”中“云资本 ”的增殖依靠的是全人类的无偿劳动，而资本主义中的资本增殖是依靠工人阶级的有偿劳动，因此，“云主义者 ”的统治与资本主义的统治存在根本不同 。资本主义的发展使资本有机构成在积累过程中不断提升，导致利润率呈现下降趋势，而这反过来压缩了资本主义的生存空间 。 随着“云封地 ”取代资本主义市场，“云租金 ”也逐渐取代利润 。 因此，“技术封建主义 ”理论认为，由于资本主义活动的迅速发展，资本主义正在消亡，只是埋葬资本主义的不是无产阶级而是“云主义者”，取得胜利的不是社会主义而是“技术封建主义”。</w:t>
      </w:r>
    </w:p>
    <w:p w14:paraId="084E000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然而，事实真的如此吗？“技术封建主义 ”理论认为，“技术封建主义 ”超越资本主义的核心在于前者依赖于租金，而后者关注的是利润 。 因此，要正确认识“技术封建主义 ”与资本主义的关系，就需要对“云封地 ”“云租金 ”作进一步分析。</w:t>
      </w:r>
    </w:p>
    <w:p w14:paraId="6AE11133">
      <w:pPr>
        <w:pStyle w:val="3"/>
        <w:bidi w:val="0"/>
        <w:rPr>
          <w:rFonts w:hint="eastAsia" w:ascii="宋体" w:hAnsi="宋体" w:eastAsia="宋体" w:cs="宋体"/>
          <w:spacing w:val="0"/>
          <w:w w:val="100"/>
          <w:position w:val="0"/>
          <w:sz w:val="21"/>
          <w:szCs w:val="21"/>
        </w:rPr>
      </w:pPr>
      <w:bookmarkStart w:id="769" w:name="_Toc1351949314"/>
      <w:bookmarkStart w:id="770" w:name="_Toc218417934"/>
      <w:bookmarkStart w:id="771" w:name="_Toc1025571383"/>
      <w:bookmarkStart w:id="772" w:name="_Toc628810826"/>
      <w:bookmarkStart w:id="773" w:name="_Toc21903"/>
      <w:bookmarkStart w:id="774" w:name="_Toc54951744"/>
      <w:r>
        <w:rPr>
          <w:rFonts w:hint="eastAsia" w:ascii="宋体" w:hAnsi="宋体" w:eastAsia="宋体" w:cs="宋体"/>
          <w:color w:val="231F20"/>
          <w:spacing w:val="0"/>
          <w:w w:val="100"/>
          <w:position w:val="0"/>
          <w:sz w:val="21"/>
          <w:szCs w:val="21"/>
        </w:rPr>
        <w:t>二、“云封地 ”以数字平台为表现形式</w:t>
      </w:r>
      <w:bookmarkEnd w:id="769"/>
      <w:bookmarkEnd w:id="770"/>
      <w:bookmarkEnd w:id="771"/>
      <w:bookmarkEnd w:id="772"/>
      <w:bookmarkEnd w:id="773"/>
      <w:bookmarkEnd w:id="774"/>
    </w:p>
    <w:p w14:paraId="660AD83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”的核心支柱是“云租金”，而“云租金 ”的实现离不开“云封地”。“技术封建主义或云资本主义，它使真正的资本家及其剥削的工人从属于由我们的新封建主控制的垄断数字公地。”[2]这里的“垄断数字公地 ”即“云封地”，本质上属于数字空间 。但数字空间不能直接作为人的活动场所，因此， “ 云封地 ”的实现需要借助数字平台 。数字平台是以信息设备和软件算法为基础的数字空间中人的活动场所，也是“云封地 ”的最主要形式。</w:t>
      </w:r>
    </w:p>
    <w:p w14:paraId="07BC489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（一）数字空间是数字信息运动的存在形式</w:t>
      </w:r>
    </w:p>
    <w:p w14:paraId="080DD1D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数字空间实质上是一种以信息设备和软件算法为基础的数字化信息空间，是数字信息运动的存在形式 。信息空间形式多样，而数字空间的特殊性在于其数字化形式，即数字空间内的信息以数字化编码的形式运动 。 马艳等[3]认为，互联网空间可以分为互联网基础层、网络连接层、在线空间层 。这种分法更侧重于展现互联网空间的结构和硬件基础 。数字空间是信息运动的存在形式，可以从信息的运动角度认识数字空间 。信息的运动形式主要分为信息处理、信息存储和信息传输，相应地，数字空间也可划分为数字信息处理空间、数字信息存储空间和数字信息传输空间 。根据信息运动的具体形式，还可以继续细化，其中信息处理又可细分为信息创造、信息呈现和信息加工，信息存储可分为本地存储和云存储，信息传输也可划分为有线传输和无线传输。</w:t>
      </w:r>
    </w:p>
    <w:p w14:paraId="15A7AAC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数字空间与现实物理空间既有联系又存在区别 。米加宁等[4]提出，数字空间是以数据的形态内嵌于物理空间和社会空间的第三空间，不仅是对现实空间的映射，更是对现实空间的重塑 。首先，数字空间与现实空间联系密切 。数字空间的存在离不开服务器、网线、硬盘、CPU 等硬件设备，以及数据算法等软件设施，信息的运动必须以信息设备和软件算法等为基础 。 因此可以说，虚拟空间是对地理空间的逻辑映射，建立在信息技术对现实世界高度仿真的基础之上 。[5]其次，数字空间并不是单纯地映射和仿真现实空间，而是在一定程度上超越了现实空间 。例如，在游戏中重新定义物理规则，从而创造反重力等违背现实空间规则的场景；根据人的想象构造出现实中并不存在的事物 。 因此，数字空间在一定程度上也充当了现实空间与精神空间的媒介，一方面通过对现实世界的仿真，将现实空间以数字化的形式加以呈现；另一方面，将精神世界具现在数字空间中，创造超越现实空间的虚拟空间。</w:t>
      </w:r>
    </w:p>
    <w:p w14:paraId="2493C8E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（二）数字平台是数字空间中人的活动场所</w:t>
      </w:r>
    </w:p>
    <w:p w14:paraId="6AF4A08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数字空间的数字化特征意味着其不能直接作为人的活动场所，人在数字空间中的活动也必须借助数字平台 。在“数字平台 ”一词中，数字作为定语表征其形式，平台才是其核心内容 。人的活动离不开一定的空间，例如农业劳作主要发生在“ 田间”、工场手工业和机器大工业则主要发生在“工作间”。同时，人的需要的多样性决定了人的活动的多样性，也必然要求各种各样的活动空间 。在社会发展过程中，这些活动空间逐渐有了约定俗成的名称，例如进行艺术表演的舞台、用于运动的操场、小团队的工作室等 。而随着信息技术的发展，越来越多的活动发生在数字空间中，形成了丰富多彩的活动场所，并有了不同的名称，例如社交平台、电商平台、搜索平台等 。尽管因功能不同而名称各异，但毫无疑问，这些平台都是人的活动场所，并且都具有数字化的特征，因而都属于数字平台 。 由此，可以把数字平台定义为以信息设备和软件算法为基础的数字空间中人的活动场所。形象地说，数字平台是在数字空间中开辟的一块又一块的“土地”，为人的生产生活提供场所 。数字空间多种多样，人的活动也丰富多彩，因而需要不同类型的数字平台 。不同的划分标准会对应不同的数字平台类型，因而国内学者对数字平台的分类也不尽相同 。如，谢富胜等[6]根据收费模式和交易商品类别，把数字平台分为广告平台、线上商品交易平台和线下服务交易平台三大类 。王璐等[7]将数字平台划分为广告平台、产品平台、精益平台、云平台和工业互联网五种类型 。李允尧等[8]认为，平台是双边市场的核心，而双边市场有交易中介、媒体、支付工具和软件平台四种形式 。不难看出，现有分类主要针对的是数字信息处理空间。</w:t>
      </w:r>
    </w:p>
    <w:p w14:paraId="14A83CA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数字平台既是数字空间中人的活动场所，本质上又是一种信息空间，因此，可以从信息运动的不同形式对其进行分类 。根据数字空间的分类，数字平台首先可以分为数字信息处理平台、数字信息存储平台和数字信息传输平台 。进一步来看，数字信息存储平台又可分为本地存储平台和云存储平台，数字信息传输平台也可分为有线传输平台和无线传输平台 。数字信息处理空间中信息的运动形式最为丰富，包括信息的呈现、检索、加工等，这也导致数字信息处理平台的种类繁多 。 同时，这类平台与人的需求和活动的关联又最为紧密，因此，对其分类既可依据信息的运动形式分为信息呈现平台、信息检索平台以及信息加工平台等，又可根据人的活动类型将之划分为生产型平台、交换型平台、消费型平台等 。其中，生产型平台以服务生产为主，例如工业互联网、工业设计软件便是能够为生产活动提供数字空间的数字平台 。交换型平台则以交换为主要内容，例如货币流通平台 。 随着电商平台销售额的不断攀升，消费平台发展十分迅速，非物质产品消费平台也逐渐风靡 。对于不同类型的平台，其收入形式也有明显差异，例如软件购买付费、年金缴纳、广告收入、直播带货抽成等 。虽然这些平台的收入形式多样，但是除了投入数字平台的资本的利息外，本质都是数字平台所有权的经济实现形式，是依靠基于数字平台空间垄断的“云封地 ”所收取的“云租金”。为进一步深入研究“云租金 ”的来源与表现，本文主要以规模较大的、与人们生活较密切的电商平台为例展开分析。</w:t>
      </w:r>
    </w:p>
    <w:p w14:paraId="27DB57EE">
      <w:pPr>
        <w:pStyle w:val="3"/>
        <w:bidi w:val="0"/>
        <w:rPr>
          <w:rFonts w:hint="eastAsia" w:ascii="宋体" w:hAnsi="宋体" w:eastAsia="宋体" w:cs="宋体"/>
          <w:spacing w:val="0"/>
          <w:w w:val="100"/>
          <w:position w:val="0"/>
          <w:sz w:val="21"/>
          <w:szCs w:val="21"/>
        </w:rPr>
      </w:pPr>
      <w:bookmarkStart w:id="775" w:name="_Toc3755"/>
      <w:bookmarkStart w:id="776" w:name="_Toc1835135138"/>
      <w:bookmarkStart w:id="777" w:name="_Toc900664015"/>
      <w:bookmarkStart w:id="778" w:name="_Toc1074483259"/>
      <w:bookmarkStart w:id="779" w:name="_Toc656525695"/>
      <w:bookmarkStart w:id="780" w:name="_Toc155993198"/>
      <w:r>
        <w:rPr>
          <w:rFonts w:hint="eastAsia" w:ascii="宋体" w:hAnsi="宋体" w:eastAsia="宋体" w:cs="宋体"/>
          <w:color w:val="231F20"/>
          <w:spacing w:val="0"/>
          <w:w w:val="100"/>
          <w:position w:val="0"/>
          <w:sz w:val="21"/>
          <w:szCs w:val="21"/>
        </w:rPr>
        <w:t>三、数字平台垄断与“云租金 ”的产生</w:t>
      </w:r>
      <w:bookmarkEnd w:id="775"/>
      <w:bookmarkEnd w:id="776"/>
      <w:bookmarkEnd w:id="777"/>
      <w:bookmarkEnd w:id="778"/>
      <w:bookmarkEnd w:id="779"/>
      <w:bookmarkEnd w:id="780"/>
    </w:p>
    <w:p w14:paraId="0815563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为使用数字平台而缴纳的租金或者说“云租金”，本质上是数字平台所有权的经济实现形式 。然而，需要指出的是，这种经济实现绝非在无条件的情况下发生的，它有着与之对应的约束条件 。 马克思[9]指出：“各种经济时代的区别，不在于生产什么，而在于怎样生产，用什么劳动资料生产。”自农业革命以来，劳动工具逐渐由简单工具发展到机器体系，且后者不断向信息化、智能化发展，土地作为劳动对象的属性逐渐让位于作为劳动场所的空间属性，而劳动场所空间属性的不断强化最终演变为劳动场所的数字化和虚拟化 。[10]在这一过程中，劳动场所的数字化和数字平台的垄断成为“云租金 ”产生的现实基础。</w:t>
      </w:r>
    </w:p>
    <w:p w14:paraId="5A717DA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（一）信息革命推动了劳动场所向数字平台转移</w:t>
      </w:r>
    </w:p>
    <w:p w14:paraId="7EEB472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“一方面，土地为了再生产或采掘的目的而被利用；另一方面，空间是一切生产和一切人类活动的要素 。从这两个方面，土地所有权都要求得到它的贡赋。”[11]875农业革命后，人类开始定居生活，劳动场所和劳动工具转变为农业社会中经过人工改造的耕地和简单工具 。耕地既承担着劳动对象的角色，又作为劳动场所而存在 。工业革命后，机器成为主要劳动工具，工厂成为主要劳动场所。“就工厂来说，土地只是作为地基，作为场地，作为操作的空间基地发生作用。”[11]883 因此，在工业社会，随着农业占整个经济比重的下降，土地作为劳动对象的属性已经开始弱化，作为劳动场所的空间属性则不断发展，而这也导致劳动场所的“脱实向虚 ”成为可能。</w:t>
      </w:r>
    </w:p>
    <w:p w14:paraId="1FDAB8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从 20 世纪后半叶开始，计算机技术逐步发展，至今手机等移动客户端已成为生活必需品 。尤其随着 5G 等通信技术的发展，信息高速公路、智慧城市等一系列新事物不断涌现，整个社会正逐步迈向万物互联时代 。信息技术深刻地改变了人类的生产和生活方式，电子商务规模也随之不断扩大 。2023年，电子商务销售额占全球零售额的 19% 以上，预计到 2027 年在线市场将占全球零售总额的近四分之一 。[12]同时，传统制造业与互联网逐步融合，智能制造将工人从工业社会的主要劳动场所即工厂中解放出来，机器体系逐渐向信息化、智能化发展，越来越多的劳动者脱离了实体劳动场所，转而在虚拟的数字空间中劳动，而这必须借助于数字平台才能实现。</w:t>
      </w:r>
    </w:p>
    <w:p w14:paraId="26886FB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（二）数字平台垄断是“云租金 ”产生的前提</w:t>
      </w:r>
    </w:p>
    <w:p w14:paraId="23DE529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 土地所有权的前提是，一些人垄断一定量的土地，把它当做排斥其他一切人的、只服从自己私人意志的领域。”[11]695数字平台所有权的前提则是数字平台的垄断 。平台经济的快速发展导致平台企业规模急剧扩大，从而不可避免地带来数字平台垄断问题 。而且随着平台经济规模的不断扩大，数字平台垄断问题也愈发严峻 。关于平台企业的垄断及其形成机制，国内研究成果颇丰 。如，谢富胜等[13]认为，平台企业垄断存在三个层次：特定相关市场上的横向垄断平台，纵向一体化和跨行业扩张的大型垄断性平台复合体，以特定基础平台为核心的层级嵌套式平台生态系统 。李勇坚等[14]分析了轴心型市场的初始垄断与辐射型市场的二轮垄断，认为在初始垄断层面，垄断主要依靠数字平台控制和渠道、数据管制等手段；在二轮垄断层面，流量、数据、资金优势等推动垄断向其他市场扩散 。黄尹旭等[15]提出，平台垄断的基础在于平台、数据、算法三者的联动，即数字平台通过收集数据、建构算法，从而强化其市场垄断能力 。李灏等[16]认为，数字企业会通过以资本操纵科学、渗透政治权力，以及塑造特定的社会文化，从而达到垄断的目的。</w:t>
      </w:r>
    </w:p>
    <w:p w14:paraId="2A33C2C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由此可见，数字平台的垄断既依赖于技术要素，又离不开社会文化要素 。首先，数字平台本身就有技术壁垒和资本壁垒倾向 。数字资本对关键生产要素的垄断在于，构建平台不仅需要大量的数字信息设备，还需要大量的专业技术人才 。[17]同时，为保证平台的正常运行，还需要相应的网络防护技术 。这些设备、人才和技术投入为后进入者设置了重重障碍 。其次，平台一旦构建完成，数据就源源不断地产生，而不断积累起来的数据连同算法一起，为平台的潜在竞争者设置了进入壁垒 。最后，是不能忽视的平台用户数量 。大规模的用户能够为平台提供海量数据，同时也意味着更大的市场份额，能够不断强化平台的垄断地位 。 为了保证用户数量，一方面，数字平台通过信息设备更新、数据算法优化等手段，提升平台的硬实力；另一方面，通过管理制度改进、社会文化塑造、用户习惯养成等社会文化手段，增强平台的软实力。</w:t>
      </w:r>
    </w:p>
    <w:p w14:paraId="7BC8BCF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一种观点认为，对数据的垄断是平台盈利的基础，平台收入是数据租金 。数据成为新的生产要素，其重要作用毋庸置疑 。一些数字平台的收入确实与数据密切相关，但数字平台收取数据租金只是表面现象 。首先，数据的所有权并不属于平台 。平台占有数据的前提是其对数字空间的垄断，平台获得所谓的数据租金实质上是依靠对虚拟劳动空间的垄断 。其次，不依靠数据的数字平台也可以盈利 。数字平台可以分为生产型、交换型、消费型等多种类型，很多生产型平台并不依赖于数据，如工业仿真设计软件等 。在这些平台中，劳动者生产出的数据并不属于平台企业，平台的租金收入实质上是依靠对虚拟劳动空间的垄断 。 总之，数据是数字平台垄断的重要推动因素，也可能给平台带来收入 。但从本质上看，数字平台所有权不仅是电子设备等有形资产的所有权及知识、技术、品牌、信誉、数据等无形资产的所有权，更是虚拟劳动空间的所有权 。正因如此，数字平台的收入也由两种不同性质的收益组成，既包括投入数字平台的资本的利息，也包括数字平台所有权的真正经济实现形式，即“云租金”。</w:t>
      </w:r>
    </w:p>
    <w:p w14:paraId="14DBFAA8">
      <w:pPr>
        <w:pStyle w:val="3"/>
        <w:bidi w:val="0"/>
        <w:rPr>
          <w:rFonts w:hint="eastAsia" w:ascii="宋体" w:hAnsi="宋体" w:eastAsia="宋体" w:cs="宋体"/>
          <w:spacing w:val="0"/>
          <w:w w:val="100"/>
          <w:position w:val="0"/>
          <w:sz w:val="21"/>
          <w:szCs w:val="21"/>
        </w:rPr>
      </w:pPr>
      <w:bookmarkStart w:id="781" w:name="_Toc1995356049"/>
      <w:bookmarkStart w:id="782" w:name="_Toc13363"/>
      <w:bookmarkStart w:id="783" w:name="_Toc956126152"/>
      <w:bookmarkStart w:id="784" w:name="_Toc456377579"/>
      <w:bookmarkStart w:id="785" w:name="_Toc650146390"/>
      <w:bookmarkStart w:id="786" w:name="_Toc1847629446"/>
      <w:r>
        <w:rPr>
          <w:rFonts w:hint="eastAsia" w:ascii="宋体" w:hAnsi="宋体" w:eastAsia="宋体" w:cs="宋体"/>
          <w:color w:val="231F20"/>
          <w:spacing w:val="0"/>
          <w:w w:val="100"/>
          <w:position w:val="0"/>
          <w:sz w:val="21"/>
          <w:szCs w:val="21"/>
        </w:rPr>
        <w:t>四、“云租金 ”的实现形式与价值源泉</w:t>
      </w:r>
      <w:bookmarkEnd w:id="781"/>
      <w:bookmarkEnd w:id="782"/>
      <w:bookmarkEnd w:id="783"/>
      <w:bookmarkEnd w:id="784"/>
      <w:bookmarkEnd w:id="785"/>
      <w:bookmarkEnd w:id="786"/>
    </w:p>
    <w:p w14:paraId="4678729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数字平台从经济属性上可被看作虚拟的土地，即“云封地”，因此，对“云租金 ”的分析可以类比土地租金 。迪朗也正是从地租角度思考当代资本主义问题，并指出“一旦我们认真对待地租问题，数字技术的政治经济学就变成了一种技术封建主义逻辑 ”[18] 。平台收入由两部分组成，即平台资本的利息和以数字平台所有权垄断为基础的平台租金即“云租金”。投入平台的资本包括信息设备采购、软件算法构建等平台建设费用，这部分资本要求的收益包含在平台收入之中 。但正如土地资本的收益不构成真正的地租一样，这部分平台收入也不是真正的“云租金”。“地租是土地所有权在经济上借以实现即增殖价值的形式。”[11]698 同样的，“云租金 ”是数字平台所有权在经济上的实现形式，是通过数字平台获取的类似于地租性质的收入 。 电子商务平台是平台经济的重要组成部分，从其运行逻辑中可以更好地理解“云租金 ”的形式和来源 。 因此，这里以电商平台为例，分析其“云租金”（以下简称“台租”）的实现形式与价值源泉。</w:t>
      </w:r>
    </w:p>
    <w:p w14:paraId="4151BB8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（一）数字空间信息流量的异质性产生了级差台租</w:t>
      </w:r>
    </w:p>
    <w:p w14:paraId="7C59866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马克思在阐释级差地租的一般概念时，是以自然瀑布为例的。“这种自然力是一种可以垄断的自然力，就像瀑布那样，只有那些支配着特殊地段及其附属物的人才能够支配它 。 ……这样的自然力，既不是相关生产部门的一般条件，也不是该生产部门一般都能创造的条件。”[11]726-727数字空间是信息运动的存在形式，因而数字平台垄断的自然力在电商平台中就表现为更高的信息流量 。 电商平台所提供的虚拟空间本质上是信息处理空间，而该空间并不是同质的，不同平台所蕴含的或能展示的信息存在差异。因此，信息含量大、展示能力强的平台就如同拥有瀑布的土地一样，而由此带来的超额利润也是级差台租的基础。</w:t>
      </w:r>
    </w:p>
    <w:p w14:paraId="565658C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级差地租 Ⅰ 以土地肥力和土地位置为基础，级差台租 Ⅰ也以二者为基础，只是在平台空间中，“肥力 ”与“位置 ”密切相关，好的“位置 ”往往意味着高的“肥力”，而这种高的“肥力 ”所带来的超额利润正是级差台租 Ⅰ 的基础 。在电商平台中，级差台租 Ⅰ依赖于外部流量和内部排名 。所谓外部流量是指流入该电商平台的信息量，是电商平台“肥力 ”的表现之一 。外部流量越高，电商平台的“肥力 ”越高，其商品成交概率就越高，成交额也越大 。外部流量主要与平台的技术水平、管理完善程度、知名度等相关 。 同时，外部流量并不会均等地提高平台空间的“肥力”，而会因平台内部排名不同而有所区别 。互联网竞价排名屡见不鲜，平台内部竞价排名也很常见，靠前的展示位置往往能够获得较多的流量，进而实现更高的利润。</w:t>
      </w:r>
    </w:p>
    <w:p w14:paraId="7C89951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级差地租Ⅱ与追加资本有关，级差台租Ⅱ同样如此 。 电商对自身的口碑、信誉的投资，以及平台完善自身技术、提高知名度所带来的超额利润是级差台租Ⅱ的基础 。首先，电商通过建立售前、售中、售后客户服务体系，严格把控商品质量，完善商品物流配送流程，进而提高品牌信誉、认知度，最终达到提升商品销售额的目的 。其次，基于大型电商平台之间的垄断竞争状态，各电商平台不断完善自身技术、改进管理模式、提升平台知名度，以便吸引更多外部流量、扩大交易规模，进而为商业资本吮吸更多的剩余价值提供了可能。</w:t>
      </w:r>
    </w:p>
    <w:p w14:paraId="2BF3703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级差台租 Ⅰ 和级差台租Ⅱ既有联系又有区别 。首先，级差台租Ⅱ以级差台租 Ⅰ 为基础 。级差台租Ⅱ尽管是由追加资本产生的，但其本质依然是依靠数字空间的“肥力 ”差别而获得的超额利润 。平台自身的追加投资会提高平台的整体流量，即提高平台的“肥力”。电商对自身口碑、信誉等的投资既会提高平台的“肥力”，又会提高自身商铺的流量 。其次，级差台租Ⅱ与级差台租 Ⅰ存在区别，即二者的占有方式不同 。级差台租 Ⅰ 的基础主要来自电商平台本身，平台的外部流量虽然与入驻商家的数量有关，但主要以平台的硬件设施、软件服务、管理制度及信誉口碑等为基础 。 同时，电商平台的内部排名也主要由平台所有者控制 。 因此，级差台租 Ⅰ被电商平台所有者直接占有 。级差台租Ⅱ的基础是平台所有者和入驻商家通过追加投资对自身的改良 。平台所有者的追加投资有益于整个平台，由此产生的级差台租Ⅱ由平台所有者和入驻商家共同占有 。 随着平台继续追加投资及投资效应的释放，不断有新的商家入驻，而平台流量增加会导致竞争趋于激烈，商家要保持自身在平台的内部排名，就要加大投资，加之平台往往存在按成交额收费的条款，从而最终导致由商家占有的由平台投资带来的级差台租Ⅱ逐渐转移到平台所有者手中 。而入驻商家对自家店铺的追加投资，在改良店铺的同时也促进了整个平台的流量增加，因而由此带来的级差台租Ⅱ同样由平台所有者和入驻商家共同占有，只是前者占据了更大份额 。并且，当商家退出平台时，由商家占有的这部分级差台租Ⅱ并不会完全转移到平台所有者手中，因为商家的追加投资主要是针对自家店铺的质量、口碑等，而非是对平台的改良。</w:t>
      </w:r>
    </w:p>
    <w:p w14:paraId="35D3DEB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（二）对产业资本剩余价值的分割形成绝对台租</w:t>
      </w:r>
    </w:p>
    <w:p w14:paraId="4E36DD2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与土地资源一样，只要使用数字平台，就要缴纳租金，这种区别于级差台租 Ⅰ 和级差台租Ⅱ的台租形式即绝对台租 。 电商平台的台租来源于由产业资本分割的剩余价值 。在传统商业模式中，存在着各级代理商、大量中间商和众多零售商 。 电商模式则大幅缩短了流通环节，甚至可以实现生产商与消费者的直接交易 。 流通环节的缩短也大大减少了商业资本的总量，提高了商业资本的周转速度 。一方面，电商平台的出现减少了各级经销商、零售商的商品仓储、保管等费用 。另一方面，电商不需要像实体商店那样支付房租、水电及销售人员工资等费用 。这里以电商平台减少商业资本总量的情况为例：</w:t>
      </w:r>
    </w:p>
    <w:p w14:paraId="266C990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假设某一商品 A 的电商价格和实体店价格是相同的</w:t>
      </w:r>
      <w:r>
        <w:rPr>
          <w:rStyle w:val="20"/>
          <w:rFonts w:hint="eastAsia" w:ascii="宋体" w:hAnsi="宋体" w:eastAsia="宋体" w:cs="宋体"/>
          <w:color w:val="231F20"/>
          <w:spacing w:val="0"/>
          <w:w w:val="100"/>
          <w:position w:val="0"/>
          <w:sz w:val="21"/>
          <w:szCs w:val="21"/>
        </w:rPr>
        <w:footnoteReference w:id="1050"/>
      </w:r>
      <w:r>
        <w:rPr>
          <w:rFonts w:hint="eastAsia" w:ascii="宋体" w:hAnsi="宋体" w:eastAsia="宋体" w:cs="宋体"/>
          <w:color w:val="231F20"/>
          <w:spacing w:val="0"/>
          <w:w w:val="100"/>
          <w:position w:val="0"/>
          <w:sz w:val="21"/>
          <w:szCs w:val="21"/>
        </w:rPr>
        <w:t xml:space="preserve"> , 且不考虑资本周转的影响，产业资本的出厂价格为：</w:t>
      </w:r>
    </w:p>
    <w:p w14:paraId="520F5240">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m:oMath>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p</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0</m:t>
            </m:r>
            <m:ctrlPr>
              <w:rPr>
                <w:rFonts w:hint="eastAsia" w:ascii="Cambria Math" w:hAnsi="Cambria Math" w:eastAsia="宋体" w:cs="宋体"/>
                <w:i/>
                <w:sz w:val="21"/>
                <w:szCs w:val="21"/>
              </w:rPr>
            </m:ctrlPr>
          </m:sub>
        </m:sSub>
        <m:r>
          <m:rPr/>
          <w:rPr>
            <w:rFonts w:hint="eastAsia" w:ascii="Cambria Math" w:hAnsi="Cambria Math" w:eastAsia="宋体" w:cs="宋体"/>
            <w:sz w:val="21"/>
            <w:szCs w:val="21"/>
          </w:rPr>
          <m:t>=</m:t>
        </m:r>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0</m:t>
            </m:r>
            <m:ctrlPr>
              <w:rPr>
                <w:rFonts w:hint="eastAsia" w:ascii="Cambria Math" w:hAnsi="Cambria Math" w:eastAsia="宋体" w:cs="宋体"/>
                <w:i/>
                <w:sz w:val="21"/>
                <w:szCs w:val="21"/>
              </w:rPr>
            </m:ctrlPr>
          </m:sub>
        </m:sSub>
        <m:r>
          <m:rPr/>
          <w:rPr>
            <w:rFonts w:hint="eastAsia" w:ascii="Cambria Math" w:hAnsi="Cambria Math" w:eastAsia="宋体" w:cs="宋体"/>
            <w:sz w:val="21"/>
            <w:szCs w:val="21"/>
            <w:lang w:val="en-US" w:eastAsia="zh-CN"/>
          </w:rPr>
          <m:t>·</m:t>
        </m:r>
        <m:r>
          <m:rPr/>
          <w:rPr>
            <w:rFonts w:hint="eastAsia" w:ascii="Cambria Math" w:hAnsi="Cambria Math" w:eastAsia="宋体" w:cs="宋体"/>
            <w:sz w:val="21"/>
            <w:szCs w:val="21"/>
          </w:rPr>
          <m:t>r</m:t>
        </m:r>
      </m:oMath>
      <w:r>
        <w:rPr>
          <w:rFonts w:hint="eastAsia" w:ascii="宋体" w:hAnsi="宋体" w:eastAsia="宋体" w:cs="宋体"/>
          <w:sz w:val="21"/>
          <w:szCs w:val="21"/>
        </w:rPr>
        <w:t xml:space="preserve">                                                   （1）</w:t>
      </w:r>
    </w:p>
    <w:p w14:paraId="49495D47">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i w:val="0"/>
          <w:iCs w:val="0"/>
          <w:sz w:val="21"/>
          <w:szCs w:val="21"/>
          <w:lang w:val="en-US"/>
        </w:rPr>
        <w:t>其中，</w:t>
      </w:r>
      <m:oMath>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0</m:t>
            </m:r>
            <m:ctrlPr>
              <w:rPr>
                <w:rFonts w:hint="eastAsia" w:ascii="Cambria Math" w:hAnsi="Cambria Math" w:eastAsia="宋体" w:cs="宋体"/>
                <w:i/>
                <w:sz w:val="21"/>
                <w:szCs w:val="21"/>
              </w:rPr>
            </m:ctrlPr>
          </m:sub>
        </m:sSub>
      </m:oMath>
      <w:r>
        <w:rPr>
          <w:rFonts w:hint="eastAsia" w:ascii="宋体" w:hAnsi="宋体" w:eastAsia="宋体" w:cs="宋体"/>
          <w:sz w:val="21"/>
          <w:szCs w:val="21"/>
        </w:rPr>
        <w:t>表示商品A生产过程所耗费的总资本，r表示平均利润率（已和商业资本平均之后的利润率）。</w:t>
      </w:r>
    </w:p>
    <w:p w14:paraId="3FFFBCC9">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商品A由生产领域进入消费领域有两种途径，一是经过传统的各级中间商以及实体零售商，二是经过电商平台。那么，在前一种情况下，商品到达消费者手中的价格是：</w:t>
      </w:r>
    </w:p>
    <w:p w14:paraId="1CCE3DE8">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m:oMath>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p</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1</m:t>
            </m:r>
            <m:ctrlPr>
              <w:rPr>
                <w:rFonts w:hint="eastAsia" w:ascii="Cambria Math" w:hAnsi="Cambria Math" w:eastAsia="宋体" w:cs="宋体"/>
                <w:sz w:val="21"/>
                <w:szCs w:val="21"/>
              </w:rPr>
            </m:ctrlPr>
          </m:sub>
        </m:sSub>
        <m:r>
          <m:rPr/>
          <w:rPr>
            <w:rFonts w:hint="eastAsia" w:ascii="Cambria Math" w:hAnsi="Cambria Math" w:eastAsia="宋体" w:cs="宋体"/>
            <w:sz w:val="21"/>
            <w:szCs w:val="21"/>
          </w:rPr>
          <m:t>=</m:t>
        </m:r>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p</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0</m:t>
            </m:r>
            <m:ctrlPr>
              <w:rPr>
                <w:rFonts w:hint="eastAsia" w:ascii="Cambria Math" w:hAnsi="Cambria Math" w:eastAsia="宋体" w:cs="宋体"/>
                <w:sz w:val="21"/>
                <w:szCs w:val="21"/>
              </w:rPr>
            </m:ctrlPr>
          </m:sub>
        </m:sSub>
        <m:r>
          <m:rPr/>
          <w:rPr>
            <w:rFonts w:hint="eastAsia" w:ascii="Cambria Math" w:hAnsi="Cambria Math" w:eastAsia="宋体" w:cs="宋体"/>
            <w:sz w:val="21"/>
            <w:szCs w:val="21"/>
          </w:rPr>
          <m:t>+</m:t>
        </m:r>
        <m:nary>
          <m:naryPr>
            <m:chr m:val="∑"/>
            <m:limLoc m:val="undOvr"/>
            <m:subHide m:val="1"/>
            <m:supHide m:val="1"/>
            <m:ctrlPr>
              <w:rPr>
                <w:rFonts w:hint="eastAsia" w:ascii="Cambria Math" w:hAnsi="Cambria Math" w:eastAsia="宋体" w:cs="宋体"/>
                <w:i/>
                <w:sz w:val="21"/>
                <w:szCs w:val="21"/>
              </w:rPr>
            </m:ctrlPr>
          </m:naryPr>
          <m:sub>
            <m:ctrlPr>
              <w:rPr>
                <w:rFonts w:hint="eastAsia" w:ascii="Cambria Math" w:hAnsi="Cambria Math" w:eastAsia="宋体" w:cs="宋体"/>
                <w:i/>
                <w:sz w:val="21"/>
                <w:szCs w:val="21"/>
              </w:rPr>
            </m:ctrlPr>
          </m:sub>
          <m:sup>
            <m:ctrlPr>
              <w:rPr>
                <w:rFonts w:hint="eastAsia" w:ascii="Cambria Math" w:hAnsi="Cambria Math" w:eastAsia="宋体" w:cs="宋体"/>
                <w:i/>
                <w:sz w:val="21"/>
                <w:szCs w:val="21"/>
              </w:rPr>
            </m:ctrlPr>
          </m:sup>
          <m:e>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1i</m:t>
                </m:r>
                <m:ctrlPr>
                  <w:rPr>
                    <w:rFonts w:hint="eastAsia" w:ascii="Cambria Math" w:hAnsi="Cambria Math" w:eastAsia="宋体" w:cs="宋体"/>
                    <w:i/>
                    <w:sz w:val="21"/>
                    <w:szCs w:val="21"/>
                  </w:rPr>
                </m:ctrlPr>
              </m:sub>
            </m:sSub>
            <m:r>
              <m:rPr/>
              <w:rPr>
                <w:rFonts w:hint="eastAsia" w:ascii="Cambria Math" w:hAnsi="Cambria Math" w:eastAsia="宋体" w:cs="宋体"/>
                <w:sz w:val="21"/>
                <w:szCs w:val="21"/>
              </w:rPr>
              <m:t>·r+</m:t>
            </m:r>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2</m:t>
                </m:r>
                <m:ctrlPr>
                  <w:rPr>
                    <w:rFonts w:hint="eastAsia" w:ascii="Cambria Math" w:hAnsi="Cambria Math" w:eastAsia="宋体" w:cs="宋体"/>
                    <w:i/>
                    <w:sz w:val="21"/>
                    <w:szCs w:val="21"/>
                  </w:rPr>
                </m:ctrlPr>
              </m:sub>
            </m:sSub>
            <m:r>
              <m:rPr/>
              <w:rPr>
                <w:rFonts w:hint="eastAsia" w:ascii="Cambria Math" w:hAnsi="Cambria Math" w:eastAsia="宋体" w:cs="宋体"/>
                <w:sz w:val="21"/>
                <w:szCs w:val="21"/>
              </w:rPr>
              <m:t>·r</m:t>
            </m:r>
            <m:ctrlPr>
              <w:rPr>
                <w:rFonts w:hint="eastAsia" w:ascii="Cambria Math" w:hAnsi="Cambria Math" w:eastAsia="宋体" w:cs="宋体"/>
                <w:i/>
                <w:sz w:val="21"/>
                <w:szCs w:val="21"/>
              </w:rPr>
            </m:ctrlPr>
          </m:e>
        </m:nary>
      </m:oMath>
      <w:r>
        <w:rPr>
          <w:rFonts w:hint="eastAsia" w:ascii="宋体" w:hAnsi="宋体" w:eastAsia="宋体" w:cs="宋体"/>
          <w:sz w:val="21"/>
          <w:szCs w:val="21"/>
        </w:rPr>
        <w:t xml:space="preserve">                                       （2）</w:t>
      </w:r>
    </w:p>
    <w:p w14:paraId="737D33B1">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i w:val="0"/>
          <w:iCs w:val="0"/>
          <w:sz w:val="21"/>
          <w:szCs w:val="21"/>
          <w:lang w:val="en-US"/>
        </w:rPr>
        <w:t>其中，</w:t>
      </w:r>
      <m:oMath>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1i</m:t>
            </m:r>
            <m:ctrlPr>
              <w:rPr>
                <w:rFonts w:hint="eastAsia" w:ascii="Cambria Math" w:hAnsi="Cambria Math" w:eastAsia="宋体" w:cs="宋体"/>
                <w:i/>
                <w:sz w:val="21"/>
                <w:szCs w:val="21"/>
              </w:rPr>
            </m:ctrlPr>
          </m:sub>
        </m:sSub>
      </m:oMath>
      <w:r>
        <w:rPr>
          <w:rFonts w:hint="eastAsia" w:ascii="宋体" w:hAnsi="宋体" w:eastAsia="宋体" w:cs="宋体"/>
          <w:sz w:val="21"/>
          <w:szCs w:val="21"/>
        </w:rPr>
        <w:t>表示各级代理商和中间商的商业资本，</w:t>
      </w:r>
      <m:oMath>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2</m:t>
            </m:r>
            <m:ctrlPr>
              <w:rPr>
                <w:rFonts w:hint="eastAsia" w:ascii="Cambria Math" w:hAnsi="Cambria Math" w:eastAsia="宋体" w:cs="宋体"/>
                <w:i/>
                <w:sz w:val="21"/>
                <w:szCs w:val="21"/>
              </w:rPr>
            </m:ctrlPr>
          </m:sub>
        </m:sSub>
      </m:oMath>
      <w:r>
        <w:rPr>
          <w:rFonts w:hint="eastAsia" w:ascii="宋体" w:hAnsi="宋体" w:eastAsia="宋体" w:cs="宋体"/>
          <w:sz w:val="21"/>
          <w:szCs w:val="21"/>
        </w:rPr>
        <w:t>表示零售商的商业资本。</w:t>
      </w:r>
      <m:oMath>
        <m:nary>
          <m:naryPr>
            <m:chr m:val="∑"/>
            <m:limLoc m:val="undOvr"/>
            <m:subHide m:val="1"/>
            <m:supHide m:val="1"/>
            <m:ctrlPr>
              <w:rPr>
                <w:rFonts w:hint="eastAsia" w:ascii="Cambria Math" w:hAnsi="Cambria Math" w:eastAsia="宋体" w:cs="宋体"/>
                <w:i/>
                <w:sz w:val="21"/>
                <w:szCs w:val="21"/>
              </w:rPr>
            </m:ctrlPr>
          </m:naryPr>
          <m:sub>
            <m:ctrlPr>
              <w:rPr>
                <w:rFonts w:hint="eastAsia" w:ascii="Cambria Math" w:hAnsi="Cambria Math" w:eastAsia="宋体" w:cs="宋体"/>
                <w:i/>
                <w:sz w:val="21"/>
                <w:szCs w:val="21"/>
              </w:rPr>
            </m:ctrlPr>
          </m:sub>
          <m:sup>
            <m:ctrlPr>
              <w:rPr>
                <w:rFonts w:hint="eastAsia" w:ascii="Cambria Math" w:hAnsi="Cambria Math" w:eastAsia="宋体" w:cs="宋体"/>
                <w:i/>
                <w:sz w:val="21"/>
                <w:szCs w:val="21"/>
              </w:rPr>
            </m:ctrlPr>
          </m:sup>
          <m:e>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1i</m:t>
                </m:r>
                <m:ctrlPr>
                  <w:rPr>
                    <w:rFonts w:hint="eastAsia" w:ascii="Cambria Math" w:hAnsi="Cambria Math" w:eastAsia="宋体" w:cs="宋体"/>
                    <w:i/>
                    <w:sz w:val="21"/>
                    <w:szCs w:val="21"/>
                  </w:rPr>
                </m:ctrlPr>
              </m:sub>
            </m:sSub>
            <m:r>
              <m:rPr/>
              <w:rPr>
                <w:rFonts w:hint="eastAsia" w:ascii="Cambria Math" w:hAnsi="Cambria Math" w:eastAsia="宋体" w:cs="宋体"/>
                <w:sz w:val="21"/>
                <w:szCs w:val="21"/>
                <w:lang w:val="en-US" w:eastAsia="zh-CN"/>
              </w:rPr>
              <m:t>·</m:t>
            </m:r>
            <m:r>
              <m:rPr/>
              <w:rPr>
                <w:rFonts w:hint="eastAsia" w:ascii="Cambria Math" w:hAnsi="Cambria Math" w:eastAsia="宋体" w:cs="宋体"/>
                <w:sz w:val="21"/>
                <w:szCs w:val="21"/>
              </w:rPr>
              <m:t>r+</m:t>
            </m:r>
            <m:sSub>
              <m:sSubPr>
                <m:ctrlPr>
                  <w:rPr>
                    <w:rFonts w:hint="eastAsia" w:ascii="Cambria Math" w:hAnsi="Cambria Math" w:eastAsia="宋体" w:cs="宋体"/>
                    <w:i/>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i/>
                    <w:sz w:val="21"/>
                    <w:szCs w:val="21"/>
                  </w:rPr>
                </m:ctrlPr>
              </m:e>
              <m:sub>
                <m:r>
                  <m:rPr/>
                  <w:rPr>
                    <w:rFonts w:hint="eastAsia" w:ascii="Cambria Math" w:hAnsi="Cambria Math" w:eastAsia="宋体" w:cs="宋体"/>
                    <w:sz w:val="21"/>
                    <w:szCs w:val="21"/>
                  </w:rPr>
                  <m:t>2</m:t>
                </m:r>
                <m:ctrlPr>
                  <w:rPr>
                    <w:rFonts w:hint="eastAsia" w:ascii="Cambria Math" w:hAnsi="Cambria Math" w:eastAsia="宋体" w:cs="宋体"/>
                    <w:i/>
                    <w:sz w:val="21"/>
                    <w:szCs w:val="21"/>
                  </w:rPr>
                </m:ctrlPr>
              </m:sub>
            </m:sSub>
            <m:r>
              <m:rPr/>
              <w:rPr>
                <w:rFonts w:hint="eastAsia" w:ascii="Cambria Math" w:hAnsi="Cambria Math" w:eastAsia="宋体" w:cs="宋体"/>
                <w:sz w:val="21"/>
                <w:szCs w:val="21"/>
                <w:lang w:val="en-US" w:eastAsia="zh-CN"/>
              </w:rPr>
              <m:t>·</m:t>
            </m:r>
            <m:r>
              <m:rPr/>
              <w:rPr>
                <w:rFonts w:hint="eastAsia" w:ascii="Cambria Math" w:hAnsi="Cambria Math" w:eastAsia="宋体" w:cs="宋体"/>
                <w:sz w:val="21"/>
                <w:szCs w:val="21"/>
              </w:rPr>
              <m:t>r</m:t>
            </m:r>
            <m:ctrlPr>
              <w:rPr>
                <w:rFonts w:hint="eastAsia" w:ascii="Cambria Math" w:hAnsi="Cambria Math" w:eastAsia="宋体" w:cs="宋体"/>
                <w:i/>
                <w:sz w:val="21"/>
                <w:szCs w:val="21"/>
              </w:rPr>
            </m:ctrlPr>
          </m:e>
        </m:nary>
      </m:oMath>
      <w:r>
        <w:rPr>
          <w:rFonts w:hint="eastAsia" w:ascii="宋体" w:hAnsi="宋体" w:eastAsia="宋体" w:cs="宋体"/>
          <w:i w:val="0"/>
          <w:iCs w:val="0"/>
          <w:sz w:val="21"/>
          <w:szCs w:val="21"/>
          <w:lang w:val="en-US"/>
        </w:rPr>
        <w:t>则</w:t>
      </w:r>
      <w:r>
        <w:rPr>
          <w:rFonts w:hint="eastAsia" w:ascii="宋体" w:hAnsi="宋体" w:eastAsia="宋体" w:cs="宋体"/>
          <w:sz w:val="21"/>
          <w:szCs w:val="21"/>
        </w:rPr>
        <w:t>表示各级代理商、中间商以及零售商的总资本量及所获利润量。</w:t>
      </w:r>
    </w:p>
    <w:p w14:paraId="06D945D3">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在后一种情况下，商品到达消费者手中的价格是：</w:t>
      </w:r>
    </w:p>
    <w:p w14:paraId="1A6659F5">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m:oMath>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p</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2</m:t>
            </m:r>
            <m:ctrlPr>
              <w:rPr>
                <w:rFonts w:hint="eastAsia" w:ascii="Cambria Math" w:hAnsi="Cambria Math" w:eastAsia="宋体" w:cs="宋体"/>
                <w:sz w:val="21"/>
                <w:szCs w:val="21"/>
              </w:rPr>
            </m:ctrlPr>
          </m:sub>
        </m:sSub>
        <m:r>
          <m:rPr>
            <m:sty m:val="p"/>
          </m:rPr>
          <w:rPr>
            <w:rFonts w:hint="eastAsia" w:ascii="Cambria Math" w:hAnsi="Cambria Math" w:eastAsia="宋体" w:cs="宋体"/>
            <w:sz w:val="21"/>
            <w:szCs w:val="21"/>
          </w:rPr>
          <m:t>=</m:t>
        </m:r>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p</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0</m:t>
            </m:r>
            <m:ctrlPr>
              <w:rPr>
                <w:rFonts w:hint="eastAsia" w:ascii="Cambria Math" w:hAnsi="Cambria Math" w:eastAsia="宋体" w:cs="宋体"/>
                <w:sz w:val="21"/>
                <w:szCs w:val="21"/>
              </w:rPr>
            </m:ctrlPr>
          </m:sub>
        </m:sSub>
        <m:r>
          <m:rPr/>
          <w:rPr>
            <w:rFonts w:hint="eastAsia" w:ascii="Cambria Math" w:hAnsi="Cambria Math" w:eastAsia="宋体" w:cs="宋体"/>
            <w:sz w:val="21"/>
            <w:szCs w:val="21"/>
          </w:rPr>
          <m:t>+</m:t>
        </m:r>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3</m:t>
            </m:r>
            <m:ctrlPr>
              <w:rPr>
                <w:rFonts w:hint="eastAsia" w:ascii="Cambria Math" w:hAnsi="Cambria Math" w:eastAsia="宋体" w:cs="宋体"/>
                <w:sz w:val="21"/>
                <w:szCs w:val="21"/>
              </w:rPr>
            </m:ctrlPr>
          </m:sub>
        </m:sSub>
        <m:r>
          <m:rPr>
            <m:sty m:val="p"/>
          </m:rPr>
          <w:rPr>
            <w:rFonts w:hint="eastAsia" w:ascii="Cambria Math" w:hAnsi="Cambria Math" w:eastAsia="宋体" w:cs="宋体"/>
            <w:sz w:val="21"/>
            <w:szCs w:val="21"/>
            <w:lang w:val="en-US" w:eastAsia="zh-CN"/>
          </w:rPr>
          <m:t>·</m:t>
        </m:r>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r</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1</m:t>
            </m:r>
            <m:ctrlPr>
              <w:rPr>
                <w:rFonts w:hint="eastAsia" w:ascii="Cambria Math" w:hAnsi="Cambria Math" w:eastAsia="宋体" w:cs="宋体"/>
                <w:sz w:val="21"/>
                <w:szCs w:val="21"/>
              </w:rPr>
            </m:ctrlPr>
          </m:sub>
        </m:sSub>
      </m:oMath>
      <w:r>
        <w:rPr>
          <w:rFonts w:hint="eastAsia" w:ascii="宋体" w:hAnsi="宋体" w:eastAsia="宋体" w:cs="宋体"/>
          <w:sz w:val="21"/>
          <w:szCs w:val="21"/>
        </w:rPr>
        <w:t xml:space="preserve">                                              （3）</w:t>
      </w:r>
    </w:p>
    <w:p w14:paraId="5B154BAF">
      <w:pPr>
        <w:keepNext w:val="0"/>
        <w:keepLines w:val="0"/>
        <w:pageBreakBefore w:val="0"/>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m:oMath>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3</m:t>
            </m:r>
            <m:ctrlPr>
              <w:rPr>
                <w:rFonts w:hint="eastAsia" w:ascii="Cambria Math" w:hAnsi="Cambria Math" w:eastAsia="宋体" w:cs="宋体"/>
                <w:sz w:val="21"/>
                <w:szCs w:val="21"/>
              </w:rPr>
            </m:ctrlPr>
          </m:sub>
        </m:sSub>
      </m:oMath>
      <w:r>
        <w:rPr>
          <w:rFonts w:hint="eastAsia" w:ascii="宋体" w:hAnsi="宋体" w:eastAsia="宋体" w:cs="宋体"/>
          <w:sz w:val="21"/>
          <w:szCs w:val="21"/>
        </w:rPr>
        <w:t>、</w:t>
      </w:r>
      <m:oMath>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r</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1</m:t>
            </m:r>
            <m:ctrlPr>
              <w:rPr>
                <w:rFonts w:hint="eastAsia" w:ascii="Cambria Math" w:hAnsi="Cambria Math" w:eastAsia="宋体" w:cs="宋体"/>
                <w:sz w:val="21"/>
                <w:szCs w:val="21"/>
              </w:rPr>
            </m:ctrlPr>
          </m:sub>
        </m:sSub>
      </m:oMath>
      <w:r>
        <w:rPr>
          <w:rFonts w:hint="eastAsia" w:ascii="宋体" w:hAnsi="宋体" w:eastAsia="宋体" w:cs="宋体"/>
          <w:sz w:val="21"/>
          <w:szCs w:val="21"/>
          <w:lang w:val="en-US"/>
        </w:rPr>
        <w:t>分别</w:t>
      </w:r>
      <w:r>
        <w:rPr>
          <w:rFonts w:hint="eastAsia" w:ascii="宋体" w:hAnsi="宋体" w:eastAsia="宋体" w:cs="宋体"/>
          <w:sz w:val="21"/>
          <w:szCs w:val="21"/>
        </w:rPr>
        <w:t>表示电商平台商家的资本量及其利润率。在电商价格等于实体店价格的条件下，电商平台商家的利润率为：</w:t>
      </w:r>
    </w:p>
    <w:p w14:paraId="031FE73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m:oMath>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r</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1</m:t>
            </m:r>
            <m:ctrlPr>
              <w:rPr>
                <w:rFonts w:hint="eastAsia" w:ascii="Cambria Math" w:hAnsi="Cambria Math" w:eastAsia="宋体" w:cs="宋体"/>
                <w:sz w:val="21"/>
                <w:szCs w:val="21"/>
              </w:rPr>
            </m:ctrlPr>
          </m:sub>
        </m:sSub>
        <m:r>
          <m:rPr/>
          <w:rPr>
            <w:rFonts w:hint="eastAsia" w:ascii="Cambria Math" w:hAnsi="Cambria Math" w:eastAsia="宋体" w:cs="宋体"/>
            <w:sz w:val="21"/>
            <w:szCs w:val="21"/>
          </w:rPr>
          <m:t>=</m:t>
        </m:r>
        <m:f>
          <m:fPr>
            <m:ctrlPr>
              <w:rPr>
                <w:rFonts w:hint="eastAsia" w:ascii="Cambria Math" w:hAnsi="Cambria Math" w:eastAsia="宋体" w:cs="宋体"/>
                <w:sz w:val="21"/>
                <w:szCs w:val="21"/>
              </w:rPr>
            </m:ctrlPr>
          </m:fPr>
          <m:num>
            <m:r>
              <m:rPr/>
              <w:rPr>
                <w:rFonts w:hint="eastAsia" w:ascii="Cambria Math" w:hAnsi="Cambria Math" w:eastAsia="宋体" w:cs="宋体"/>
                <w:sz w:val="21"/>
                <w:szCs w:val="21"/>
              </w:rPr>
              <m:t>∑</m:t>
            </m:r>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1i</m:t>
                </m:r>
                <m:ctrlPr>
                  <w:rPr>
                    <w:rFonts w:hint="eastAsia" w:ascii="Cambria Math" w:hAnsi="Cambria Math" w:eastAsia="宋体" w:cs="宋体"/>
                    <w:sz w:val="21"/>
                    <w:szCs w:val="21"/>
                  </w:rPr>
                </m:ctrlPr>
              </m:sub>
            </m:sSub>
            <m:r>
              <m:rPr/>
              <w:rPr>
                <w:rFonts w:hint="eastAsia" w:ascii="Cambria Math" w:hAnsi="Cambria Math" w:eastAsia="宋体" w:cs="宋体"/>
                <w:sz w:val="21"/>
                <w:szCs w:val="21"/>
              </w:rPr>
              <m:t>+</m:t>
            </m:r>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2</m:t>
                </m:r>
                <m:ctrlPr>
                  <w:rPr>
                    <w:rFonts w:hint="eastAsia" w:ascii="Cambria Math" w:hAnsi="Cambria Math" w:eastAsia="宋体" w:cs="宋体"/>
                    <w:sz w:val="21"/>
                    <w:szCs w:val="21"/>
                  </w:rPr>
                </m:ctrlPr>
              </m:sub>
            </m:sSub>
            <m:ctrlPr>
              <w:rPr>
                <w:rFonts w:hint="eastAsia" w:ascii="Cambria Math" w:hAnsi="Cambria Math" w:eastAsia="宋体" w:cs="宋体"/>
                <w:sz w:val="21"/>
                <w:szCs w:val="21"/>
              </w:rPr>
            </m:ctrlPr>
          </m:num>
          <m:den>
            <m:sSub>
              <m:sSubPr>
                <m:ctrlPr>
                  <w:rPr>
                    <w:rFonts w:hint="eastAsia" w:ascii="Cambria Math" w:hAnsi="Cambria Math" w:eastAsia="宋体" w:cs="宋体"/>
                    <w:sz w:val="21"/>
                    <w:szCs w:val="21"/>
                  </w:rPr>
                </m:ctrlPr>
              </m:sSubPr>
              <m:e>
                <m:r>
                  <m:rPr/>
                  <w:rPr>
                    <w:rFonts w:hint="eastAsia" w:ascii="Cambria Math" w:hAnsi="Cambria Math" w:eastAsia="宋体" w:cs="宋体"/>
                    <w:sz w:val="21"/>
                    <w:szCs w:val="21"/>
                  </w:rPr>
                  <m:t>C</m:t>
                </m:r>
                <m:ctrlPr>
                  <w:rPr>
                    <w:rFonts w:hint="eastAsia" w:ascii="Cambria Math" w:hAnsi="Cambria Math" w:eastAsia="宋体" w:cs="宋体"/>
                    <w:sz w:val="21"/>
                    <w:szCs w:val="21"/>
                  </w:rPr>
                </m:ctrlPr>
              </m:e>
              <m:sub>
                <m:r>
                  <m:rPr/>
                  <w:rPr>
                    <w:rFonts w:hint="eastAsia" w:ascii="Cambria Math" w:hAnsi="Cambria Math" w:eastAsia="宋体" w:cs="宋体"/>
                    <w:sz w:val="21"/>
                    <w:szCs w:val="21"/>
                  </w:rPr>
                  <m:t>3</m:t>
                </m:r>
                <m:ctrlPr>
                  <w:rPr>
                    <w:rFonts w:hint="eastAsia" w:ascii="Cambria Math" w:hAnsi="Cambria Math" w:eastAsia="宋体" w:cs="宋体"/>
                    <w:sz w:val="21"/>
                    <w:szCs w:val="21"/>
                  </w:rPr>
                </m:ctrlPr>
              </m:sub>
            </m:sSub>
            <m:ctrlPr>
              <w:rPr>
                <w:rFonts w:hint="eastAsia" w:ascii="Cambria Math" w:hAnsi="Cambria Math" w:eastAsia="宋体" w:cs="宋体"/>
                <w:sz w:val="21"/>
                <w:szCs w:val="21"/>
              </w:rPr>
            </m:ctrlPr>
          </m:den>
        </m:f>
        <m:r>
          <m:rPr/>
          <w:rPr>
            <w:rFonts w:hint="eastAsia" w:ascii="Cambria Math" w:hAnsi="Cambria Math" w:eastAsia="宋体" w:cs="宋体"/>
            <w:sz w:val="21"/>
            <w:szCs w:val="21"/>
          </w:rPr>
          <m:t>r</m:t>
        </m:r>
      </m:oMath>
      <w:r>
        <w:rPr>
          <w:rFonts w:hint="eastAsia" w:ascii="宋体" w:hAnsi="宋体" w:eastAsia="宋体" w:cs="宋体"/>
          <w:sz w:val="21"/>
          <w:szCs w:val="21"/>
        </w:rPr>
        <w:t xml:space="preserve">                                                  （4）</w:t>
      </w:r>
    </w:p>
    <w:p w14:paraId="35A2932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由此可见，在不考虑资本周转因素时，完成等量的商品销售，若电商的商业资本量小于传统销售模式的商业资本量，那么电商可以获得更高的利润率 。如果考虑电商加速资本周转的情况，因电商的存货积压、商品仓储等成本要小于实体代理商、零售商，所以其资本周转速度要更快，从而年利润也将更高，而这部分超出平均利润的超额利润正是绝对台租的来源 。 总而言之，平台所有权的垄断是绝对台租产生的原因，产业资本家转移的剩余价值则是绝对台租的来源。</w:t>
      </w:r>
    </w:p>
    <w:p w14:paraId="45C3D86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（三）基于垄断价格的垄断利润构成垄断台租</w:t>
      </w:r>
    </w:p>
    <w:p w14:paraId="406FD32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绝对地租和级差地租是地租的两种基本形式，“除此以外，地租只能以真正的垄断价格为基础，这 种垄断价格既不是由商品的生产价格决定，也不是由商品的价值决定，而是由购买者的需要和支付能力决定 ”[11]864，学界一般把这种地租形式称为垄断地租 。在数字平台中，也存在着以垄断利润为基础的垄断台租 。农业垄断地租的基础是某些特殊土地所产出的名贵而稀少的产品及其形成的垄断价格，垄断台租的基础同样是垄断价格。</w:t>
      </w:r>
    </w:p>
    <w:p w14:paraId="2E803BC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数字空间是有限且不同质的，这是部分商家形成垄断价格的基础 。首先，数字平台本身是有限的，其所能提供的虚拟空间的无限性也是相对的，如技术壁垒、资本壁垒及品牌效应等会限制平台的数量。数字平台所提供的虚拟空间远远多于现实中土地的绝对空间，并且能通过优化软硬件设施等方式，以相对较小的成本获得相对较多的虚拟空间，因而数字平台的虚拟空间在理论上具有近似的无限性 。然而，数字空间虽然理论上可以无限扩展，但受到劳动力数量、智能终端的性能、市场规模等因素的限制，因而具有事实上的有限性 。如，智能手机屏幕所能显示的信息是有限的，消费者网上购物时通常只会浏览少数几页的搜索结果，所以电商平台的空间不会无限扩大 。其次，数字平台提供的数字空间也不是同质的 。这就造成数字空间中某些位置的信息含量和信息流动速度优于其他位置，从而为垄断利润的产生奠定了基础 。这里的垄断利润是指平台的使用者由于对某些空间位置的垄断而获得的利润，而非平台的所有者对平台的垄断所带来的收入 。数字空间中某些特殊位置被部分商家占有，这些位置能够提供更好的信息呈现、吸引更多的流量，从而可以实现更快和更大规模的商品交易，但是这种利润依然会转化成级差台租 。 只有商家凭借这种有利位置以超过商品价值的垄断价格出售商品，进而获得垄断利润，才能构成垄断台租的基础 。前文提到的电商平台的寡头垄断、线上线下商品异质化等，同样也为部分电商垄断价格的形成提供了条件。</w:t>
      </w:r>
    </w:p>
    <w:p w14:paraId="349F0306">
      <w:pPr>
        <w:pStyle w:val="3"/>
        <w:bidi w:val="0"/>
        <w:rPr>
          <w:rFonts w:hint="eastAsia" w:ascii="宋体" w:hAnsi="宋体" w:eastAsia="宋体" w:cs="宋体"/>
          <w:spacing w:val="0"/>
          <w:w w:val="100"/>
          <w:position w:val="0"/>
          <w:sz w:val="21"/>
          <w:szCs w:val="21"/>
        </w:rPr>
      </w:pPr>
      <w:bookmarkStart w:id="787" w:name="_Toc2139589810"/>
      <w:bookmarkStart w:id="788" w:name="_Toc15987"/>
      <w:bookmarkStart w:id="789" w:name="_Toc844483991"/>
      <w:bookmarkStart w:id="790" w:name="_Toc613580794"/>
      <w:bookmarkStart w:id="791" w:name="_Toc1673866816"/>
      <w:bookmarkStart w:id="792" w:name="_Toc494563302"/>
      <w:r>
        <w:rPr>
          <w:rFonts w:hint="eastAsia" w:ascii="宋体" w:hAnsi="宋体" w:eastAsia="宋体" w:cs="宋体"/>
          <w:color w:val="231F20"/>
          <w:spacing w:val="0"/>
          <w:w w:val="100"/>
          <w:position w:val="0"/>
          <w:sz w:val="21"/>
          <w:szCs w:val="21"/>
        </w:rPr>
        <w:t>五、“技术封建主义 ”的本质与资本主义衰亡的必然历史趋势</w:t>
      </w:r>
      <w:bookmarkEnd w:id="787"/>
      <w:bookmarkEnd w:id="788"/>
      <w:bookmarkEnd w:id="789"/>
      <w:bookmarkEnd w:id="790"/>
      <w:bookmarkEnd w:id="791"/>
      <w:bookmarkEnd w:id="792"/>
    </w:p>
    <w:p w14:paraId="305A425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台租或“云租金 ”归根结底来自雇佣工人的有偿劳动创造的剩余价值。“技术封建主义 ”的本质是资本主义生产关系的技术化延伸，进一步彰显了资本主义通过技术重构实现剥削升级的寄生性本质 。但马克思主义者需警惕其隐喻陷阱，坚持从剩余价值理论出发，正视资本主义发展的当代特征及其加速衰落的历史趋势。</w:t>
      </w:r>
    </w:p>
    <w:p w14:paraId="4AA69B1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（一）“技术封建主义 ”是数字信息时代资本主义发展的新形式</w:t>
      </w:r>
    </w:p>
    <w:p w14:paraId="73AD4E3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 云封地 ”是数字信息时代“圈地运动 ”的结果 。相较于资本主义发展初期，数字信息时代的“圈地运动 ”在内容和形式上都呈现了不同特征 。在内容方面，数字空间是数字信息时代“圈地 ”的对象 。历史上，资产阶级强制剥夺农民的耕地，破坏了劳动者与劳动条件之间的联系，为资本主义生产方式的建立与发展奠定了基础 。 随着资本主义生产关系占据了主导地位，绝大部分劳动者失去了生产资料并沦为雇佣工人，对土地或生产资料的剥夺让位于以绝对或相对剩余价值的获取为主要表现形式的剥削。然而，随着数字信息技术的不断发展和数字基础设施的普及，劳动者再次与生产资料产生直接联系成为可能 。数字空间充当了“土地 ”的角色，用户可在数字平台上完成生产和生活活动 。资本主义生产不允许劳动者拥有并自由使用生产资料，对数字空间的“圈地运动 ”因此而产生 。 随着数字平台垄断地位的形成及不断巩固，“云封地 ”便出现了 。并且由于数字空间的特性，数字平台可以渗透到生产和生活的各个领域，使得“圈地运动 ”的范围更加广泛 。在形式方面，数字信息时代的“圈地运动 ”采用的是更加隐蔽的技术暴力 。用户在使用数字平台前必须同意一系列条款，并将个人账户等各类信息交付给平台企业，否则将不能使用平台的相关功能 。基于技术垄断的平台对用户数字资产的剥夺更便捷和隐蔽，而“云资本 ”对“云农奴 ”数字成果的剥夺则是数字信息时代的资本原始积累形式。</w:t>
      </w:r>
    </w:p>
    <w:p w14:paraId="0FBC2F4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”理论认为，数字平台瓦解了市场，因为前者失去了市场的根本特征：分散 。然而，首先，分散与否并不是判断市场是否存在的充分条件，因为市场的本质是交换 。尽管交换类的数字平台将卖家与卖家之间、买家与买家之间隔离开来，但并没有消除商品交换本身 。其次，所谓的分散更接近于自由资本主义阶段的市场特征，但随着资本主义进入垄断阶段，资本集中和垄断早已成为市场的主要特征 。 同时，由于私人资本规模的有限性，任何资本都无法完全垄断市场，同一细分市场中可能存在寡头竞争，不同市场也常由不同的资本集团所控制 。 因此，即使是在数字平台日益发展的背景下，市场的分散和竞争特征依然存在。</w:t>
      </w:r>
    </w:p>
    <w:p w14:paraId="54B3648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台租或“云租金 ”是数字平台所有权的经济实现形式，归根结底来自工人阶级活劳动创造的价值。 “ 云租金 ”的形式多样，分类标准也纷繁复杂 。从价值层面来看“云租金”，可以缴纳租金的用户类别作为划分标准 。使用数字平台的用户可以划分为生产类、交换类和消费类，“云租金 ”也可据此分为三类。具体来看，随着工业互联网等生产端数字平台的日益普及，生产领域越来越离不开各类工业软件，其相关用户所交纳的生产类“云租金”，就是自身劳动生产的商品经过社会交换而实现的最终价值的部分扣除 。交换类“云租金 ”的代表是入驻电商平台的众多商家所缴纳的租金 。 由于销售领域并不创造价值，其利润来自产业资本所获得的剩余价值，因此，其缴纳的租金直接来自本身的利润，归根结底仍是产业工人创造的价值 。消费类“云租金 ”的代表是使用数字平台的用户群体，此类主体交纳的“云租金 ”来自其收入，对于绝大部分用户而言是来自其工资，即其通过劳动创造的价值的一部分。</w:t>
      </w:r>
    </w:p>
    <w:p w14:paraId="1A1588B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总而言之，市场和利润没有消亡，“云资本 ”以一种全新的形式强化了对无产阶级的控制和剥削，无形中将资本主义的垄断程度推向新的高峰，也加速了资本主义的衰落。</w:t>
      </w:r>
    </w:p>
    <w:p w14:paraId="282767A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（二）数字技术的发展没有改变资本主义必然灭亡的历史趋势</w:t>
      </w:r>
    </w:p>
    <w:p w14:paraId="3D0A804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”理论作为当代西方左翼学者对数字资本主义的核心批判范式，其理论价值在于敏锐地捕捉到了数字时代资本积累手段的新变化和资本主义垄断性与压迫性的强化 。但其将历史辩证运动简化为“倒退 ”叙事，将数字垄断类比为封建土地兼并，这种隐喻遮蔽了资本主义剥削的本质。“技术封建主义 ”提出的“云租金 ”本质上是资本通过垄断数字生产资料对剩余价值的再分配，而非全新的剥削机制 。 同时，“技术封建主义 ”过度强调技术的自主性，将平台垄断视为历史必然，忽视了无产阶级的历史作用，错误地将“云主义者 ”视作资产阶级的掘墓人 。 马克思主义者需要警惕其隐喻陷阱，坚持从剩余价值理论出发，正确认识数字时代资本主义的最新发展 。[19]</w:t>
      </w:r>
    </w:p>
    <w:p w14:paraId="2810330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“技术封建主义 ”的本质是资本主义生产关系的技术化延伸，进一步印证了资本主义通过技术重构实现剥削升级的寄生性本质 。科技巨头通过垄断数据资产与算法权力，将传统的剩余价值剥削机制转化为以租金为核心的新型榨取机制 。金融资本与科技巨头的融合则使数字技术进一步沦为资本扩张的工具 。资本积累的重心已从物质生产转向对用户行为、社交关系等数字公地的圈占，传统资产阶级逐渐成为技术寡头的附庸 。这揭露了资本主义内在矛盾的激化——生产资料的私有化与数字技术的社会化属性之间的冲突已不可调和，资本主义制度正通过技术垄断加速其自我否定的历史进程。</w:t>
      </w:r>
    </w:p>
    <w:p w14:paraId="55D364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总之，对“技术封建主义 ”的分析要以马克思主义唯物辩证法为方法论指南，既要正视数字技术被资本异化为统治工具的现实，也不能忽视数字信息时代资本积累仍是剥削剩余价值的本质[20]；既要肯定其揭露资本主义制度衰亡的批判价值，也要警惕历史隐喻对革命主体性的消解 。 唯有将剩余价值理论作为技术批判的理论基石，才能正确认识资本主义的当代发展及其加速衰落和必然灭亡的历史趋势。</w:t>
      </w:r>
    </w:p>
    <w:p w14:paraId="1900B8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参考文献：</w:t>
      </w:r>
    </w:p>
    <w:p w14:paraId="4D7BBA2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[1]Yanis Varoufakis.Technofeudalism-What Killed Capitalism[M].London：Penguin Random House UK，2023.</w:t>
      </w:r>
    </w:p>
    <w:p w14:paraId="3C9A793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lang w:val="en-US" w:eastAsia="zh-CN"/>
        </w:rPr>
      </w:pPr>
      <w:r>
        <w:rPr>
          <w:rFonts w:hint="eastAsia" w:ascii="宋体" w:hAnsi="宋体" w:eastAsia="宋体" w:cs="宋体"/>
          <w:color w:val="231F20"/>
          <w:spacing w:val="0"/>
          <w:w w:val="100"/>
          <w:position w:val="0"/>
          <w:sz w:val="21"/>
          <w:szCs w:val="21"/>
        </w:rPr>
        <w:t>[2]Slavoj Žižek.Christian Atheism：How to be a Real Materialist?[M].London：Bloombury Academic，2024：202</w:t>
      </w:r>
      <w:r>
        <w:rPr>
          <w:rFonts w:hint="eastAsia" w:ascii="宋体" w:hAnsi="宋体" w:eastAsia="宋体" w:cs="宋体"/>
          <w:color w:val="231F20"/>
          <w:spacing w:val="0"/>
          <w:w w:val="100"/>
          <w:position w:val="0"/>
          <w:sz w:val="21"/>
          <w:szCs w:val="21"/>
          <w:lang w:val="en-US" w:eastAsia="zh-CN"/>
        </w:rPr>
        <w:t>.</w:t>
      </w:r>
    </w:p>
    <w:p w14:paraId="7A37415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[3]马艳，李韵，蔡民强 .“互联网空间 ”的政治经济学解释[J].学术月刊，2016（11）：70-83.</w:t>
      </w:r>
    </w:p>
    <w:p w14:paraId="7ADB2A8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[4]米加宁，章昌平，李大宇，等 .“数字空间 ”政府及其研究纲领——第四次工业革命引致的政府形态变革[J].公共管理学报，2020 （1）：1-17.</w:t>
      </w:r>
    </w:p>
    <w:p w14:paraId="3D8AF92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[5]陈小勇 . 关于虚拟空间的经济学思考[J].社会科学战线，2020（4）：76-83.</w:t>
      </w:r>
    </w:p>
    <w:p w14:paraId="142A7AC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[6]谢富胜，江楠，吴越 . 数字平台收入的来源与获取机制——基于马克思主义流通理论的分析[J].经济学家，2022（1）：16-25.</w:t>
      </w:r>
    </w:p>
    <w:p w14:paraId="3508C0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[7]王璐，李晨阳 . 平台经济生产过程的政治经济学分析[J].经济学家，2021（6）：53-61.</w:t>
      </w:r>
    </w:p>
    <w:p w14:paraId="12F4474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[8]李允尧，刘海运，黄少坚 . 平台经济理论研究动态[J].经济学动态，2013（7）：123-129.</w:t>
      </w:r>
    </w:p>
    <w:p w14:paraId="54B0719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[9]马克思恩格斯文集：第 5 卷[M]. 北京：人民出版社，2009：210.</w:t>
      </w:r>
    </w:p>
    <w:p w14:paraId="4A15FE9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[10]邬嘉晟，鲁保林 . 平台资本的积累机制及多重失衡[J].海派经济学，2023（1）：173-183.</w:t>
      </w:r>
    </w:p>
    <w:p w14:paraId="79C9601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[11]马克思恩格斯文集：第 7 卷[M]. 北京：人民出版社，2009.</w:t>
      </w:r>
    </w:p>
    <w:p w14:paraId="32A6900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[12]eMarketer.E-commerce as Percentage of Total Retail Sales Worldwide from 2021 to 2027 [EB/OL].[2024-02-27].Statista，</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"https：//www"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color w:val="231F20"/>
          <w:spacing w:val="0"/>
          <w:w w:val="100"/>
          <w:position w:val="0"/>
          <w:sz w:val="21"/>
          <w:szCs w:val="21"/>
        </w:rPr>
        <w:t>https：//www</w:t>
      </w:r>
      <w:r>
        <w:rPr>
          <w:rFonts w:hint="eastAsia" w:ascii="宋体" w:hAnsi="宋体" w:eastAsia="宋体" w:cs="宋体"/>
          <w:color w:val="231F20"/>
          <w:spacing w:val="0"/>
          <w:w w:val="100"/>
          <w:position w:val="0"/>
          <w:sz w:val="21"/>
          <w:szCs w:val="21"/>
        </w:rPr>
        <w:fldChar w:fldCharType="end"/>
      </w:r>
      <w:r>
        <w:rPr>
          <w:rFonts w:hint="eastAsia" w:ascii="宋体" w:hAnsi="宋体" w:eastAsia="宋体" w:cs="宋体"/>
          <w:color w:val="231F20"/>
          <w:spacing w:val="0"/>
          <w:w w:val="100"/>
          <w:position w:val="0"/>
          <w:sz w:val="21"/>
          <w:szCs w:val="21"/>
        </w:rPr>
        <w:t>. statista.com/statistics/534123/e-commerce-share-of-retail-sales-worldwide/.</w:t>
      </w:r>
    </w:p>
    <w:p w14:paraId="352C12A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[13]谢富胜，吴越 . 平台竞争、三重垄断与金融融合[J].经济学动态，2021（10）：34-47.</w:t>
      </w:r>
    </w:p>
    <w:p w14:paraId="659C65F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[14]李勇坚，夏杰长 . 数字经济背景下超级平台双轮垄断的潜在风险与防范策略[J].改革，2020（8）：58-67.</w:t>
      </w:r>
    </w:p>
    <w:p w14:paraId="3FEFF7E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[15]黄尹旭，杨东 . 超越传统市场力量：超级平台何以垄断?——社交平台的垄断源泉[J].社会科学，2021（9）：100-108.</w:t>
      </w:r>
    </w:p>
    <w:p w14:paraId="705E32C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[16]李灏，柯文 . 美国数字垄断的社会建构——以亚马逊、谷歌和苹果为例[J].科学学研究，2022（11）：1921-1928.</w:t>
      </w:r>
    </w:p>
    <w:p w14:paraId="43862BE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[17]孙业霞，牛昭阳 . 数字帝国主义时代数字劳动力的三重困境[J].政治经济学研究，2024（3）：113-124.</w:t>
      </w:r>
    </w:p>
    <w:p w14:paraId="4A6BE9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[18]塞德里克·迪朗 . 技术封建主义[M]. 陈荣钢，译 . 北京：中国人民大学出版社，2024：177.</w:t>
      </w:r>
    </w:p>
    <w:p w14:paraId="46B3F8B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[19]雷禹 . 当代西方左翼技术封建主义思潮的幻象与谬误[J].马克思主义研究，2024（12）：116-127.</w:t>
      </w:r>
    </w:p>
    <w:p w14:paraId="338A18B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[20]蓝江 . 被夺舍的资本主义或封建主义的回归?——瓦鲁法基斯的《技术封建主义：什么杀死了资本主义?》的逻辑及其悖谬[J].山东社会科学，2024（6）：74-82.</w:t>
      </w:r>
    </w:p>
    <w:p w14:paraId="132D30A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285911C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4696347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r>
        <w:rPr>
          <w:rFonts w:hint="eastAsia" w:ascii="宋体" w:hAnsi="宋体" w:eastAsia="宋体" w:cs="宋体"/>
          <w:spacing w:val="0"/>
          <w:w w:val="100"/>
          <w:position w:val="0"/>
          <w:sz w:val="21"/>
          <w:szCs w:val="21"/>
          <w:lang w:eastAsia="zh-CN"/>
        </w:rPr>
        <w:t>（</w:t>
      </w:r>
      <w:r>
        <w:rPr>
          <w:rFonts w:hint="eastAsia" w:ascii="宋体" w:hAnsi="宋体" w:eastAsia="宋体" w:cs="宋体"/>
          <w:spacing w:val="0"/>
          <w:w w:val="100"/>
          <w:position w:val="0"/>
          <w:sz w:val="21"/>
          <w:szCs w:val="21"/>
          <w:lang w:val="en-US" w:eastAsia="zh-CN"/>
        </w:rPr>
        <w:t>原载</w:t>
      </w:r>
      <w:r>
        <w:rPr>
          <w:rFonts w:hint="eastAsia" w:ascii="Times New Roman" w:hAnsi="Times New Roman" w:eastAsia="宋体" w:cs="Times New Roman"/>
          <w:sz w:val="24"/>
          <w:szCs w:val="24"/>
          <w:lang w:val="en-US" w:eastAsia="zh-CN"/>
        </w:rPr>
        <w:t>《经济纵横》2025年第4期，第一作者为潘越。</w:t>
      </w:r>
      <w:r>
        <w:rPr>
          <w:rFonts w:hint="eastAsia" w:ascii="宋体" w:hAnsi="宋体" w:eastAsia="宋体" w:cs="宋体"/>
          <w:spacing w:val="0"/>
          <w:w w:val="100"/>
          <w:position w:val="0"/>
          <w:sz w:val="21"/>
          <w:szCs w:val="21"/>
          <w:lang w:eastAsia="zh-CN"/>
        </w:rPr>
        <w:t>）</w:t>
      </w:r>
    </w:p>
    <w:p w14:paraId="1931FB8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0BD5AE7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0E9B2AC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Arial" w:eastAsia="宋体"/>
          <w:spacing w:val="0"/>
          <w:w w:val="100"/>
          <w:position w:val="0"/>
          <w:sz w:val="21"/>
          <w:szCs w:val="21"/>
        </w:rPr>
      </w:pPr>
    </w:p>
    <w:p w14:paraId="4ACA505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Arial" w:eastAsia="宋体"/>
          <w:spacing w:val="0"/>
          <w:w w:val="100"/>
          <w:position w:val="0"/>
          <w:sz w:val="21"/>
          <w:szCs w:val="21"/>
        </w:rPr>
      </w:pPr>
    </w:p>
    <w:p w14:paraId="3F2FF841">
      <w:pPr>
        <w:pStyle w:val="2"/>
        <w:bidi w:val="0"/>
        <w:rPr>
          <w:rFonts w:hint="eastAsia"/>
        </w:rPr>
      </w:pPr>
      <w:bookmarkStart w:id="793" w:name="_Toc235931864"/>
      <w:bookmarkStart w:id="794" w:name="_Toc472267655"/>
      <w:bookmarkStart w:id="795" w:name="_Toc643800812"/>
      <w:bookmarkStart w:id="796" w:name="_Toc9941"/>
      <w:bookmarkStart w:id="797" w:name="_Toc523013714"/>
      <w:bookmarkStart w:id="798" w:name="_Toc1363702824"/>
      <w:r>
        <w:rPr>
          <w:rFonts w:hint="eastAsia"/>
          <w:lang w:val="en-US" w:eastAsia="zh-CN"/>
        </w:rPr>
        <w:t>9</w:t>
      </w:r>
      <w:r>
        <w:rPr>
          <w:rFonts w:hint="eastAsia"/>
        </w:rPr>
        <w:t>论新质生产力赋能新型农村集体经济高质量发展的机理与路径</w:t>
      </w:r>
      <w:bookmarkEnd w:id="793"/>
      <w:bookmarkEnd w:id="794"/>
      <w:bookmarkEnd w:id="795"/>
      <w:bookmarkEnd w:id="796"/>
      <w:bookmarkEnd w:id="797"/>
      <w:bookmarkEnd w:id="798"/>
    </w:p>
    <w:p w14:paraId="7A6F761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367D1B2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摘  要:新时代促进新型农村集体经济高质量发展是实现农民共同富裕的根本保障,是推动农业农村现代化的关键举措,也是增强党在农村执政基础的重要支撑。新质生产力的形成和发展, 为新型农村集体经济高质量发展提供了新的时代机遇。从新发展理念视角出发, 新质生产力可以赋能新型农村集体经济实现创新、协调、绿色、开放、共享发展,从而实现新型农村集体经济高质量发展。 当前, 新型农村集体经济仍然面临发展规模较小、发展能力较弱、发展方式粗放和发展动力不足等问题。为此, 应大力发展新质生产力,通过发展集体经济联合体、推动产业创新与融合、加强科技应用与推广、培养和引进新质人才,做大做强做优做活新型农村集体经济, 以期实现高质量发展。</w:t>
      </w:r>
    </w:p>
    <w:p w14:paraId="3525532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关键词:新质生产力;新型农村集体经济;高质量发展;新发展理念</w:t>
      </w:r>
    </w:p>
    <w:p w14:paraId="475B33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中国特色社会主义进入新时代以来 , 以习近平同志为核心的党中央始终高度关注新型农村集体经济的发展 , 明确指出 :“要把好乡村振兴战略的政治方向 ,坚持农村土地集体所有制性质 ,发展新型集体经济 ,走共同富裕道路。”[1] 党的二十大报告再次指出要“巩固和完善农村基本经营制度 ,发展新型农村集体经济”[2]31 。从 2021 年开始 ,连续几年中央一号文件都明确提出要探索新型农村集体经济的多样化发展途径 。2024 年 6 月通过了《 中华人民共和国农村集体经济组织法》① ,在第一条立法宗旨中就明确提出要“促进新型农村集体经济高质量发展”, 同时 ,也明确了国家对于发展新型农村集体经济的财政、税收、金融、土地、人才和产业等各项扶持措施 。这些战略部署、理论指导、政策支持和法律保障 ,为新时代发展壮大新型农村集体经济提供了有力支撑 。从现实实践来看 ,党的十八大以来新型农村集体经济得以激活和创新 ,呈现出发展壮大的新趋势 。2012 年农村集 体 经 济 总 资 产 为  2.  18  万 亿 元 , 总 收 入 为3 576 亿元[3] ,经过 10 年发展 ,截至 2022 年 ,农村集体经济资产达到 9. 14 万亿元 , 总收入增长到6 711 亿元[4]23 ,36 。虽然新型农村集体经济在总体上取得了较大的发展 ,但发展质量需要进一步提高 ,仍然存在发展规模较小、发展能力较弱、发展方式粗放和发展动力不足等问题 。这些问题制约了新型农村集体经济的高质量发展 ,不利于推进乡村全面振兴和农业强国建设。</w:t>
      </w:r>
    </w:p>
    <w:p w14:paraId="1FBB9B2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党的十九大报告提出“ 我国经济已由高速增长阶段转向高质量发展阶段”[5] ,党的二十大报告进一步强调“ 高质量发展是全面建设社会主义现代化国家的首要任务”[2]28 。习近平总书记也明确指出 :“发展新质生产力是推动高质量发展的内在要求和重要着力点”[6] 。在经济增长模式由“ 粗放式”向“ 集约式”转变的时代背景下 ,发展新质生产力是为了解决中国社会主要矛盾而提出的重大战略举措 。新型农村集体经济作为社会主义公有制经济在农村的重要实现形式 ,也是我国经济高质量发展的重要组成部分 。当前新型农村集体经济发展已处于数量大幅增长、而质量亟须提升的重要转型期 , 以新质生产力赋能新型农村集体经济高质量发展实为关键 。针对这一问题 ,学界也进行了一定的分析和探讨 ,如新质生产力能助力农村集体产业转型升级[7] 、推动要素流动自由化和机制建设开放性[8] 、更好地促进共同富裕[9]等 。在具体实践中 ,新质生产力确实为新型农村集体经济发展提供了新动能、新优势和新环境。但学界对于新质生产力赋能新型农村集体经济高质量发展的机理和路径的研究还相对较少 。 因此 ,本文在明晰新质生产力与新型农村集体经济高质量发展内在联系的基础上 ,尝试以新发展理念为引领 ,探究新质生产力赋能新型农村集体经济高质量发展的内在机理 , 系统梳理阻碍新型农村集体经济高质量发展的现实困境 ,进一步地 ,在新质生产力赋能的背景下有针对性地提出做大做强做优做活新型农村集体经济的实践路向。</w:t>
      </w:r>
    </w:p>
    <w:p w14:paraId="4E2EEEAA">
      <w:pPr>
        <w:pStyle w:val="4"/>
        <w:bidi w:val="0"/>
        <w:rPr>
          <w:rFonts w:hint="eastAsia"/>
        </w:rPr>
      </w:pPr>
      <w:r>
        <w:rPr>
          <w:rFonts w:hint="eastAsia"/>
        </w:rPr>
        <w:t>一、新质生产力与新型农村集体经济高质量发展的内在联系</w:t>
      </w:r>
    </w:p>
    <w:p w14:paraId="4B2FF2E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改革 40 多年来 , 中国农村经济发展取得了显著成就 ,有力地支撑了整个国民经济的发展 ,但与此同时也存在不少问题和挑战 ,最为突出的就是农村集体经济的弱化与边缘化问题 ,这制约了农村经济的进一步发展 。2013 年在全国两会上 , 习近平总书记在参加江苏代表团讨论时指出“ 改革开放从农村破题 ,大包干是改革开放的先声 。当时中央文件提出要建立统分结合的家庭承包责任制 ,但实践结果是 ,‘分 ’的积极性充分体现了 ,但‘统 ’怎么适应市场经济、规模经济 ,始终没有得到很好的解决。”[10] 党的十八大以来 , 以习近平同志为核心的党中央高度重视“ 三农”问题 ,尤其重视发展壮大新型农村集体经济 ,有力地扭转了农村集体经济边缘化、空壳化的趋势 。相较于传统农村集体经济 ,新型农村集体经济是顺应了社会主义市场经济发展要求 , 由一定范围的劳动者共同占有生产资料并联合开展生产经营和分配的公有制经济 。发展新型农村集体经济是党中央提出的一项重要战略任务 ,是推动实施乡村振兴战略、推进农业农村现代化、促进资产保值增值和农民实现共同富裕目标的重要途径 。但由于我国地域广阔 ,各地经济发展水平、资源禀赋和产业结构等方面存在显著差异 ,加之传统生产力无法适应现代农业“ 高质效、高协同、高创新”的要求 ,导致新型农村集体经济面临发展不平衡不充分、高素质人才短缺、传统农村产业转型升级面临困难、新兴产业和新兴业态发展动力不足等问题 ,新型农村集体经济应有作用和巨大潜力未能得到充分发挥。因此 ,亟须通过以技术革命性突破、生产要素创新性配置和产业深度转型升级而催生的新质生产力赋能 ,全面贯彻新发展理念 ,推动新型农村集体经济高质量发展。</w:t>
      </w:r>
    </w:p>
    <w:p w14:paraId="6F346F0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邓小平早就提出中国农村改革与发展“ 两个飞跃”的思想 ,“第一个飞跃”是在社会主义制度下对生产关系的调整 ,而并未触及社会主义在农村的经济基础 ,其目的是进一步解放和发展生产力 。随着生产力的发展 ,对生产关系产生了更高的要求 ,才能为更高水平的集体化创造必要条件 ,进而实现“第二个飞跃”。1980 年 ,邓小平同志指出 :“关键是发展生产力 ,要在这方面为集体化的进一步发展创造条件。”[11]315  针对生产力的发展为农村集体经济所创造的条件 ,邓小平同志具体指出了四个方面 :第一 ,机械化水平提高了( 这是说广义的机械化 ,不限于耕种收割的机械化) ,在一定程度上实现了适合当地自然条件和经济情况的、受到人民欢迎的机械化 。第二 ,管理水平提高了 ,积累了经验 ,有了一批具备相当管理能力的干部 。第三 ,多种经营发展了 ,并随之而来成立了各种专业组或专业队 ,从而使农村的商品经济大大发展起来 。第四 ,集体收入增加而且在整个收入中的比重提高了。[11]315- 316  基于中国 40 多年的农业发展成就以及对于“ 十四五”时期的展望 ,综合我国农业新质生产力的发展、农业供给侧结构性改革、社会主义新农村建设、共享发展理念等时代新特征 ,邓小平同志提出的四个方面的条件已经总体 具 备 , 新 形 势 下 推 动“ 第 二 个 飞 跃 ”正 当其时。[12]</w:t>
      </w:r>
    </w:p>
    <w:p w14:paraId="70F2AE7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生产力决定生产关系 ,生产关系对生产力具有能动的反作用 ,是历史唯物主义的基本观点 。因此 ,新质生产力与新型农村集体经济可以相互促进 。一方面 ,新质生产力作为符合新发展理念的先进生产力质态 ,能够推动新型农村集体经济向更高水平发展 。新质生产力不仅优化了生产资料和劳动力的组合方式 ,还促进了社会分工的细化和协作的广泛化 ,使生产从个人行动转变为社会行动 ,产品也从个人产品变为社会产品 ,生产社会化程度不断深化 。当前小规模分散的家庭经营难以适应生产社会化与农业现代化、机械化的发展需要 ,诚如马克思所指出的“小块土地所有制按其性质来说排斥社会劳动生产力的发展、劳动的社会形式、资本的社会积累、大规模的畜牧和对科学的累进的应用”[13] ,而作为契合生产劳动的社会性和整体性要求的新型农村集体经济则与新质生产力发展的要求具有高度的一致性 。另一方面 ,新型农村集体经济高质量发展也有助于新质生产力在农业上更好地应用与推广 。新型农村集体经济可以将农村中以土地为代表的各种生产要素与以家庭为单位的农户都组织起来 ,在规模化的基础上引进、推广和普及先进的农业生产技术 ,从而提高农业生产效率 。邓小平同志指出 :“要提高机械化程度 ,利用科学技术发展成果 ,一家一户是做不到的 。特别是高科技成果的应用 ,有的要超过村的界限 ,甚至超过区的界限 。……不向集体化集约化经济发展 ,农业现代化的实现是不可能的。”[14] 而且作为社会主义公有制经济的重要组成部分 ,以新型农村集体经济为主体发展农业新质生产力 ,其目的是实现全体人民共同富裕 ,而不是追求资本增殖 ,从而能够促进社会主义新质生产力以超过资本主义生产力的增长速度呈现高质量发展。</w:t>
      </w:r>
    </w:p>
    <w:p w14:paraId="2854425C">
      <w:pPr>
        <w:pStyle w:val="4"/>
        <w:bidi w:val="0"/>
        <w:rPr>
          <w:rFonts w:hint="eastAsia"/>
        </w:rPr>
      </w:pPr>
      <w:r>
        <w:rPr>
          <w:rFonts w:hint="eastAsia"/>
        </w:rPr>
        <w:t>二、新质生产力赋能新型农村集体经济高质量发展的内在机理</w:t>
      </w:r>
    </w:p>
    <w:p w14:paraId="58B6D69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从本质上看 ,新质生产力是符合新发展理念的先进生产力质态 ,高质量发展“是体现新发展理念的发展”,二者理念共通 ,在根本宗旨与基本特性方面具有内在一致性。[15] 新发展理念的实践逻辑在于突破传统发展模式的路径依赖 ,通过新质生产力发展带来的技术创新、要素优化和产业升级 ,可以推动新型农村集体经济向更高质量、更有效益、更加公平、更可持续且符合市场经济要求的集体化、集约化方向转型 。 同时 , 其所包含的创新、协调、绿色、开放、共享五大核心要义 ,也为新质生产力赋能新型农村集体经济高质量发展提供了系统性理论框架。</w:t>
      </w:r>
    </w:p>
    <w:p w14:paraId="442A764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一) 新质生产力赋能新型农村集体经济创新发展</w:t>
      </w:r>
    </w:p>
    <w:p w14:paraId="4B74FEB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根据马克思主义政治经济学基本原理 ,生产力是最革命、最活跃的要素 ,而科技创新具有引领生产力发展的决定性功效 。新质生产力的核心特点也是创新 ,包括了新技术、新要素和新产业等。大力发展新质生产力 ,以科技创新、农业生产要素优化配置和产业转型升级赋能新型农村集体经济发展 。首先 ,新质生产力可以促进新型农村集体经济运用新技术 。新质生产力的核心技术是以数字化、网络化、智能化为代表的现代信息技术 ,如人工智能技术、云计算、物联网等 ,这些技术赋能新型农村集体经济实现生产方式的转变 ,提高生产效率和资源利用率 。其次 ,有助于农业生产要素的优化升级和高效配置 。新型农村集体经济高质量发展离不开土地、资本、劳动力和技术等生产要素的优化配置 。新质生产力是实体性要素( 劳动者、劳动资料和劳动对象) 提质增效和渗透性要素( 科技、管理和教育)中科技起主导作用的先进生产力。[16] 因此 ,其能够对新型农村集体经济所需要的传统的生产经营要素进行智能化、精准化、网络化和数据化的优化升级和高效配置 。 比如 ,利用传感器和数据分析技术 ,实现作物生长、肥料使用、灌溉等方面的精准控制 ,使土地资源和劳动力得到更高效的利用 。最后 ,新质生产力推动新型农村集体经济实现产业升级与跨界融合 ,并催生多种新业态 。在新质生产力发展过程中 ,新型农村集体经济通过引入数字技术和智慧化农业装备 ,引领传统农业产业向数字化智能化转型升级 ,构建数字农业生产力 ,推动智慧农业和精准农业发展 。同时 ,新型农村集体经济可以借助大数据、 AI、VR 等技术充分统筹和挖掘乡村生态、文化等特色资源 ,探索农文旅融合的新业态新产业 ,进一步推动农村一二三产业融合 ,促进乡村产业振兴。</w:t>
      </w:r>
    </w:p>
    <w:p w14:paraId="5D32599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二 ) 新质生产力赋能新型农村集体经济协调发展</w:t>
      </w:r>
    </w:p>
    <w:p w14:paraId="5EE91CF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新质生产力与协调发展内在统一、相辅相成 ,推动区域资源共享和优势互补是新质生产力扩散和渗透的应有之义 。协调发展也是新型农村集体经济高质量发展的内在要求 。借助新质生产力发展的契机 ,推动要素流动和资源优化配置 ,缩小区域差异 ,促进新型农村集体经济协调发展 。首先 ,随着高新技术的应用 ,可以推动新型农村集体经济进一步拓展农业的多种功能 ,延伸农业产业链条 ,形成产业链上下游的协调配套、优势互补和资源的循环高效利用 ,[17] 进而形成完整的产业生态系统 。其次 ,新质生产力可以加强不同区域之间的新型农村集体经济合作与交流 ,实现资源共享和优势互补 。新质生产力可以利用数字技术搭建区域资源共享平台 ,对不同区域的各种生产要素进行数字化管理 ,促进城市与乡村、发达地区与欠发达地区的新型农村集体经济加强沟通交流与互动协同 。最后 ,新质生产力能够推进新型农村集体经济与多元主体协调发展 ,共同推进农业现代化 。农业现代化需要新型农村集体经济与科研机构、新型经营主体等多元力量共同协作 ,而新质生产力能够有效整合和转化农业科技创新资源 ,统筹推进技术变革、要素聚合与产业升级 ,实现新型农村集体经济与多元主体协同发展。</w:t>
      </w:r>
    </w:p>
    <w:p w14:paraId="5D64AF5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三) 新质生产力赋能新型农村集体经济绿色发展</w:t>
      </w:r>
    </w:p>
    <w:p w14:paraId="6B31DB9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绿色发展是实现永续发展的必要条件 ,也是人民对美好生活追求的重要体现 。习近平总书记强调 ,绿色发展是高质量发展的底色 ,新质生产力本身就是绿色生产力。[6] 新质生产力使新型农村集体经济具有绿色动能 ,通过推动绿色农业技术创新、应用清洁能源、落实绿色生产理念等方式加快建设资源节约型、环境友好型经济 ,形成资源利用高效、生态系统稳定、产地环境良好、产品质量安全的现代集体经济。[18] 首先 , 推动绿色农业技术创新 。新质生产力为新型农村集体经济引入现代信息技术( 如物联网、大数据、人工智能等) 和生物技术( 如生物肥料、生物农药等) ,推动新型农村集体经济发展智慧农业、精准农业、有机农业、循环农业等新型生产模式 。这些新技术和新模式可以有效提升农业生产能效并显著节约资源消耗 ,同步削减化肥农药施用量 ,从源头控制农业面源污染 ,推动绿色生产方式的实现 。其次 ,促进清洁能源应用 。新质生产力强调新能源技术的应用 ,尤其是在农村地区 ,清洁能源( 如太阳能、风能、生物质能等) 能够为农业生产、农村能源供应和生活提供绿色动力 ,减少对化石能源的依赖 ,降低温室气体排放 。最后 ,优化绿色优质农产品供给 。新质生产力赋能新型农村集体经济绿色发展不仅局限于生产端 ,还可以延伸到供应链和消费环节 ,将新型农村集体经济的生态优势转化为高质量发展的产业优势和产品优势[19] 。通过运用区块链、大数据等技术构建农产品的全程追溯系统 ,确保产品的绿色、无污染 , 同时以电子商务直播平台拓展绿色农产品市场 ,变传统意义上的数量安全为品质意义上的农业安全 ,让“ 田间到餐桌”的直观流程体验成为绿色发展的品质基底。[20]</w:t>
      </w:r>
    </w:p>
    <w:p w14:paraId="0C6E0BF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四) 新质生产力赋能新型农村集体经济开放发展</w:t>
      </w:r>
    </w:p>
    <w:p w14:paraId="3842B6C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开放发展是新型农村集体经济发展壮大的必然要求 。新型农村集体经济开放发展要求在生产社会化水平不断提高的背景下 ,妥善处理好集体产权的封闭性与农村社区的开放性之间的矛盾 ,稳步扩大农村产权结构的开放性 ,[21] 更好地引入资本、技术、管理等现代要素 ,激活本土资源 ,提升市场竞争力 。基于新质生产力赋能 ,新型农村集体经济可以在城市与乡村、国际与国内的市场间形成先进技术、先进经验和优势资源的高效联动 ,以高水平“ 引进来”和“走出去”全方位提升新型农村集体经济开放发展能力 。首先 ,从高水平“ 引进来”的视角看 ,新质生产力融合了现代科技、绿色生态和数字经济等多重元素 ,为新型农村集体经济注入了全新的发展动力 。新质生产力的形成和发展有助于新型农村集体经济与科技企业、科研机构之间开展技术共享、技术转移等活动 ,也带动了各类生产要素在城乡之间、区域之间和国际之间自由流动 ,有助于新型农村集体经济学习借鉴国内外先进的技术、管理模式和理念 。其次 ,从高水平“走出去”的视角看 ,新质生产力可以通过科技创新、产业链外延和品牌化建设推动新型农村集体经济提升其在全球市场中的竞争力 。经济全球化时代 ,我国农业面临着国外资本主义大农场的激烈竞争 ,“ 大国小农”的基本国情制约着我国农业竞争力的提高 。 因此 ,我国新型农业集体经济发展可以参考西班牙蒙德拉贡合作社全球化发展的成功经验 ,以发展新质生产力为契机 ,提倡和发展集体经济联合体[22] , 整合上游和下游资源 ,形成完整的产业链条 ,提高科技含量和生产经营效率 ,增强我国农业的整体竞争力 。依托特色资源打造具有国际竞争力的品牌 ,借助互联网平台积极走出去。</w:t>
      </w:r>
    </w:p>
    <w:p w14:paraId="7E8FC4B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sectPr>
          <w:headerReference r:id="rId20" w:type="default"/>
          <w:footerReference r:id="rId21" w:type="default"/>
          <w:footnotePr>
            <w:numFmt w:val="decimalEnclosedCircleChinese"/>
            <w:numRestart w:val="eachPage"/>
          </w:footnotePr>
          <w:type w:val="continuous"/>
          <w:pgSz w:w="12246" w:h="17179"/>
          <w:pgMar w:top="1821" w:right="1228" w:bottom="1052" w:left="424" w:header="1466" w:footer="815" w:gutter="0"/>
          <w:pgNumType w:fmt="decimal"/>
          <w:cols w:equalWidth="0" w:num="1">
            <w:col w:w="10593"/>
          </w:cols>
        </w:sectPr>
      </w:pPr>
    </w:p>
    <w:p w14:paraId="37D61DE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五) 新质生产力赋能新型农村集体经济共享发展</w:t>
      </w:r>
    </w:p>
    <w:p w14:paraId="1375B1A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共享发展是新型农村集体经济的发展目标。习近平总书记明确指出 :“ 发展新型集体经济 ,走共同富裕道路”[1]261 。 中国发展新质生产力的 目的不是出于资本增殖 ,而是凭借新质生产力所创造的物质财富和精神财富来实现共同富裕 ,满足人民群众对美好生活的需要。[23]  因此 ,新质生产力不仅赋能新型农村集体经济“做大蛋糕”,为实现共享发展提供强大物质保障 ,还有助于为村集体成员“分好蛋糕”,推进集体成员共享发展成果。首先 ,新质生产力带来的新要素、新技术、新产业为新型农村集体经济发展开辟了新空间 , 为不同层次的农村居民提供更多的就业机会和收入来源 。其次 ,新质生产力赋能新型农村集体经济构建更为合理公平的收益分配制度和利益共享机制 。新一代信息技术具有很强的共享性和开放性特征 ,对于知识、技术、数据等创新要素参与收益分配提出了新的要求 , 由此 ,需要创新集体经济成员参与分配的方式方法 ,使全体人民共享新质生产力发展成果 。同时 ,建立健全利益联结机制 ,激发广大村集体成员参与集体经济发展的积极性和创造力 。最后 ,新质生产力可以促进公共资源均衡配置 。新型农村集体经济借助新质生产力可以不断扩大共享覆盖面 ,不是单纯局限于经济层面 ,还应该包括农村道路交通等基础设施建设和农村教育、医疗、文化等公共服务 ,着力补齐农村公益事业的短板 ,扩充共享内容 ,拓宽共享途径。[24] 同时 ,发展新质生产力 ,可以加快城乡融合步伐 ,促进城乡要素平等交换和公共资源均衡配置。</w:t>
      </w:r>
    </w:p>
    <w:p w14:paraId="3848460E">
      <w:pPr>
        <w:pStyle w:val="4"/>
        <w:bidi w:val="0"/>
        <w:rPr>
          <w:rFonts w:hint="eastAsia"/>
        </w:rPr>
      </w:pPr>
      <w:r>
        <w:rPr>
          <w:rFonts w:hint="eastAsia"/>
        </w:rPr>
        <w:t>三、新型农村集体经济高质量发展的现实困境</w:t>
      </w:r>
    </w:p>
    <w:p w14:paraId="5DDF6E3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基于以上分析 ,新质生产力可以赋能新型农村集体经济创新、协调、绿色、开放、共享发展 ,使新型农村集体经济实现高质量发展具备强劲动力 。但在现实中 ,新型农村集体经济高质量发展仍然面临诸多现实困境 ,需要进一步认识现实堵点 ,才能在发展新质生产力的时代背景下 ,精准推动新型农村集体经济发展。</w:t>
      </w:r>
    </w:p>
    <w:p w14:paraId="1F021C5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一) 发展规模较小</w:t>
      </w:r>
    </w:p>
    <w:p w14:paraId="59E3DD8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新型农村集体经济发展面临的首要问题是发展规模小 ,发展基础比较薄弱 。其一 ,农地细碎化导致生产规模小 。家庭联产承包责任制实施后 ,大部分村集体将土地和生产性固定资产基本均分到户 ,集体资产所剩无几 ,只有少量村集体留有部分机动地 ,以及价值相对较低的荒山、滩涂和坑塘等 。整体来看 ,我国农户承包地细碎化形势仍十分严峻 ,现在全国有 2. 3 亿户农户 ,户均经营规模0. 52 公顷 ,经营耕地 0. 67 公顷以下的农户有 2. 1亿户 , 可 谓“ 人 均 一 亩 三 分 地 , 户 均 不 过 十 亩田”。②“三权”分置改革实施以来 ,虽然土地经营权得以自由流转 ,但据 2020 年的统计数据来看 ,在流转的土地中 ,70. 6%是流转给大户、家庭农场和企业 ,只有很小一部分是通过反租倒包、折股量化的方式流入农村集体经济组织。[25]  因此 ,农地的细碎化使农村集体经济生产规模较小 ,难以形成规模效应 。其二 ,发展要素短缺 。我国幅员辽阔 ,各地资源禀赋各不相同 ,导致新型农村集体经济发展呈现明显的不平衡状态 , 即东部地区的农村明显强于中西部地区 ,靠近城市的农村优于远离城市的农村 。各类资源要素在区域之间、城乡之间和乡村之间流动不畅 ,导致很多农村尤其是西部和远离城市的农村发展新型农村集体经济缺乏所需的资金、技术、信息、人才等生产要素 。其三 ,收益规模小 。我国农村集体经济整体收益不高 ,而且其中集体经济“ 空壳村”( 一般是指集体经济组织经营收益在 5 万元以下的村) 占比较高。截至 2022 年底 , 全国共有村集体经济组织 54. 6万个 ,其中有经营收益的村集体组织 42. 4 万个 ,所占比例达到 77. 8% 。[4]24 。虽然相较于 2016 年的 49%[26] 有了明显提升 ,但是 ,年收益超过 50 万元的村集体占比仅为 10. 8%[4]24 。许多农村集体经济仍处于低收入或者“ 空壳村 ”的状态 , 截至2022 年 底 , 全 国 集 体 经 济“ 空 壳 村 ”占 比 高 达39. 6% 。[4]24  这表明当前新型农村集体经济发展基础仍然十分薄弱 ,亟须进一步加强。</w:t>
      </w:r>
    </w:p>
    <w:p w14:paraId="130537D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二 ) 发展能力较弱</w:t>
      </w:r>
    </w:p>
    <w:p w14:paraId="428E041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当前我国新型农村集体经济运行管理机制不健全 ,收入渠道单一 ,积累缓慢 , 而且由于长期存在重“分”轻“统”的倾向 ,大部分农村已经没有统一经营的产业 ,收入主要依赖财政补助 。2022 年 ,在农村集体经济总收入中 ,财政补助收入为 0. 15万亿元 , 占总收入的 23% ,[4]26  持续盈利能力和投资能力十分欠缺 , 主要表现在以下几个方面 。其一 ,产业发展能力较弱 。首先 ,新型农村集体经济发展路径较为单一 。大多数依赖于传统的农业种植和畜牧养殖业 ,或者选择风险较小、收益稳定和易于操作的发包和出租集体资源的方式 , 收益普遍不高 。其次 ,产业链条短 ,且大都处于产业链价值链底端 , 附加值低 。很多新型农村集体经济产业处于产业链的上游或初级阶段 ,缺乏完善的上下游产业配套 ,不具备对产品进行深加工的能力 ,往往只能进行初级农产品生产 ,产业竞争力较弱且受环境影响较大 。最后 , 技术创新能力较弱。很多新型农村集体经济产业依赖传统的农业生产方式 ,缺乏现代化的生产技术和信息技术支持。其二 ,市场开拓能力较弱 。大部分新型农村集体经济缺乏品牌意识 ,在市场营销、产品推广等方面都存在不足 ,很难打造出具有市场竞争力的农产品品牌 。其三 ,风险管控能力较弱 。在市场经济条件下 ,新型农村集体经济要面临市场波动所带来的巨大风险 ,许多新型农村集体经济组织缺乏完善的风险评估和预警机制 ,无法在项目启动前全面评估潜在的市场、财务、技术和管理等方面的风险 ,缺乏对外部环境变化的敏感性 ,使得集体经济在面对突发事件或市场波动时反应迟缓 ,容易陷入亏损甚至破产的困境。</w:t>
      </w:r>
    </w:p>
    <w:p w14:paraId="122B620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三) 发展方式粗放</w:t>
      </w:r>
    </w:p>
    <w:p w14:paraId="6F9A299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当前新型农村集体经济绝大部分还属于粗放经营 ,在生产方式上较为传统 ,仍然依赖小规模、低技术水平的农业生产 ,对资源的利用效率不高 ,产品的科技含量低 , 经营管理水平也相对落后。其一 ,农业生产方式粗放 。 由于技术水平和设备落后 ,导致新型农村集体经济生产的农产品加工水平低 ,附加值不高 ,加之在生产过程中缺乏先进的农业技术和管理经验 , 生产和管理效率较低。其二 ,资源利用方式粗放 。农村集体资源性资产主要包括未承包到户的土地和山水田湖草等 ,这些资源性资产未能得到充分的开发和利用 , 大多被闲置或者利用方式粗放 ,缺乏保护意识和长远规划 。其三 ,经营管理方式粗放 。随着国家财政对新型农村集体经济扶持力度的不断加大 ,农村集体“三资”的管理问题也变得日益复杂 。而农村集体经济组织还存在管理制度不健全、专业财务人员缺乏、监管机制不完善等问题 , 导致账目不清、收支不明等问题 ,容易滋生腐败和浪费 。 比如2023 年湖南省纪委监委对 8 起农村集体“ 三资 ”管理突出问题典型案例进行公开通报 ,其中有的挪用村级资金 ,有的违规处置集体资产资源 ,有的利用项目套取资金 ,少数干部法纪意识淡薄、责任意识淡化 ,这些都反映出农村集体“ 三资”管理问题易发多发 ,监督管理相关制度落实不力。③ 另外 ,有的村级组织在利用村集体资产时缺乏科学规划和民主决策机制 , 这容易导致 决 策 失 误 和 资 源浪费。</w:t>
      </w:r>
    </w:p>
    <w:p w14:paraId="2C143CC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四) 发展动力不足</w:t>
      </w:r>
    </w:p>
    <w:p w14:paraId="7F9BA3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我国新型农村集体经济整体薄弱 ,持续发展仍然十分受限 ,核心原因在于发展的内生动力不足 ,可持续发展的长效机制缺乏 。其一 ,思想认识不足 。当前部分基层干部和农民对于发展新型农村集体经济仍然存在诸多疑虑和困惑 ,对其重要性和必要性认识不足 ,观念上存在偏差 。一方面 ,基层干部对于发展集体经济缺乏信心 ,加之市场波动变化较大 ,发展新型农村集体经济需要承担一定的政治和经济风险 ,使基层对于推动新型农村集体经济发展仍然缺乏主动性 ;另一方面 ,广大农民也容易将新型农村集体经济与计划经济时期的高度集体化模式混淆 ,害怕重走老路 。其二 ,人才短缺 。人才是发展最为关键的要素 。新型农村集体经济发展多样化经营需要大量农业科技人才和经营管理人才 ,但农村人才外流严重 。根据国家统 计 局 相 关 资 料 , 2023 年 全 国 农 民 工 总 量29 753 万人 ,外出农民工  17 658 万人 , 占比达到59% 。④ 当前 , 留在农村的大部分是妇女、儿童、老人等 ,难以满足经济发展需要 。新型农村集体经济的振兴和发展亟需“ 领头雁”和“带头羊”,亟需懂市场、会经营、素质高的管理型人才。</w:t>
      </w:r>
    </w:p>
    <w:p w14:paraId="31B8A4A7">
      <w:pPr>
        <w:pStyle w:val="4"/>
        <w:bidi w:val="0"/>
        <w:rPr>
          <w:rFonts w:hint="eastAsia"/>
        </w:rPr>
      </w:pPr>
      <w:r>
        <w:rPr>
          <w:rFonts w:hint="eastAsia"/>
        </w:rPr>
        <w:t>四、新质生产力赋能新型农村集体经济高质量发展的实践路向</w:t>
      </w:r>
    </w:p>
    <w:p w14:paraId="05A051F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习近平总书记强调“ 坚持和完善公有制为主体、多种所有制经济共同发展的基本经济制度 ,关系巩固和发展中国特色社会主义制度的重要支柱”[27] 。在公有制经济中 , 国有经济居于主体地位 ,集体经济是重要组成部分 。要发挥好公有制经济的主体作用 ,不仅要不断壮大国有经济 ,还必须振兴集体经济 。 因此 ,针对新型农村集体经济高质量发展所面临的诸多现实困境 ,要抓住发展新质生产力的时代机遇 ,做大做强做优做活新型农村集体经济。</w:t>
      </w:r>
    </w:p>
    <w:p w14:paraId="66299E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一) 发展集体经济联合体 ,做大新型农村集体经济</w:t>
      </w:r>
    </w:p>
    <w:p w14:paraId="21772AE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鉴于我国新型农村集体经济实力薄弱的现状 ,为进一步增强新型农村集体经济的综合竞争力 ,应该大力提倡各个集体经济组织之间的联合 ,组建集体经济联合体 , 以便较快实现集体资本集中和人才集聚等多重效应 ,克服单个村庄发展的要素短缺、空间受限等困境 ,将新型农村集体经济的政治优势和组织优势转化为发展新质生产力的强大力量 。一是引导农户将土地自愿有偿流转给农村集体经济组织 ,扩大生产规模 , 以便于更好地发挥新质生产力的作用 。当前中国农村土地细碎化问题严重 ,小农经营规模较小 ,很难在农业生产和经营中运用发展新质生产力所带来的新技术。因此 ,只有在坚持农村集体土地所有制的基础上 ,将土地流转至农村集体经济组织 ,才能充分发挥社会主义集体经济的优越性 ,才能在尊重农民主体地位、实现农民共同富裕的总体目标下 ,提高农村土地制度的效率。[28]  同时 ,更好地运用卫星遥感、GIS、物联网等技术实现对农村土地资源的优化配置 。 比如贵州省塘约村运用 GPS、航拍等技术对全村土地进行精准测量 ,并运用大数据手段建立“七权”同确数据库 。在此基础上 ,将分散的土地集中流转到集体合作社 ,进行统一的土地规划管理和产业布局 ,使得新型农村集体经济实现了规模化经营 。二是鼓励农村集体经济组织进行多种形式的合作和联合 ,依托新质生产力赋能 ,推动资源整合与生产要素优化配置 ,驱动新型农村集体经济高质量发展 。依托集体产权制度优势 ,构建多层次联动发展格局 。通过创新“跨村联营 ” “ 区域共营”“ 飞地抱团”等协作机制 ,突破行政区划壁垒 ,推动村域协同、镇域统筹、县域整合的三级发展体系 ,实现跨行政层级的资源整合与优势互补。[29] 新质生产力强调生产要素的创新性配置 ,通过数字化手段对集体经济联合体中的资源要素进行优化配置 ,使各村的资金、技术、土地、人才等资源集中投放到发展潜力更大、投资效益更好的区域 , 推动村级集体经济统筹发展、均衡发展 。 比如浙江省嘉善县在整个县域内实现“ 飞地抱团”发展模式、四川省达州市赵固镇推行全镇统筹发展新型农村集体经济的“镇域统筹”模式 ,均实现了在科学的规划之下将农村分散的资源“ 整合起来、统筹起来”一体化发展、集群式发展的 目标 。三是鼓励新型农村集体经济与县域国有企业联合发展 。在我国经济发展尚存在不平衡不充分问题的背景下 ,为改变多数经济落后地区农村集体经济力量弱小的现状 ,推动新型农村集体经济与县域 国 有 企 业 联 合 是 一 个 可 行 和 有 益 的 做法。[30] 国有企业作为国民经济和国家创新活动的支柱 ,是新质生产力发展的主力军 ,能够将其在人工智能、大数据、物联网、新能源、新材料等战略性新兴产业领域的技术优势引入农村集体经济 ,提升农村集体经济的发展效率 ,共同促进乡村全面振兴与农民共同富裕 。 比如陕西省汉阴县推行“ 国企带村镇”的新型农村集体经济发展模式 ,探索以政府注资、国企控股、镇村集体参与等集体资本参股控股的混合所有制经济模式 ,实现了县域内国企、国资、集体经济、农民等多元主体“共赢 ”的局面。</w:t>
      </w:r>
    </w:p>
    <w:p w14:paraId="09538D6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二 ) 推动产业创新与融合 ,做强新型农村集体经济</w:t>
      </w:r>
    </w:p>
    <w:p w14:paraId="2F9CA18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新型农村集体经济高质量发展不能仅仅依靠土地流转、资源出租等模式 ,提高自身产业能力才是可持续发展的长久之道 。以新质生产力赋能新型农村集体经济的产业创新与产业融合 ,不断增强其产业竞争力、市场开拓能力与抗风险能力 ,推动新型农村集体经济做大做强 。一是以科技创新驱动传统产业转型升级 。新质生产力借助关键核心技术和颠覆性技术加速农村传统产业向高附加值、品牌化、标准化的现代农业、高端农业和智慧农业转型升级 ,加快实现农村集体经济发展模式和业态创新 ,为新型农村集体经济带来新的增长点 。二是推动产业融合 。产业融合是新质生产力赋能农村集体经济的重要抓手 。新型农村集体经济不能局限于传统的农业生产 ,而应该通过新质生产力促进农业与二、三产业的深度融合 ,形成复合型、跨界型的新型产业模式 。另外 ,从产业链优化来看 ,新质生产力可以延长农业产业链 ,提高农产品附加值 ,整合多方力量 ,有助于探索集约型、技术密集型农业产业发展新模式。[31] 如山东代村⑤ 是新质生产力赋能新型农村集体经济实现产业创新和产业融合的典型代表 ,村集体在将土地统一流转、集中连片经营的基础上 ,广泛应用立体栽培、智能温控、农业物联网、水肥一体化、农业机器人等新技术 ,为传统农业赋能 , 同时推行农文旅商融合、一二三产业全面发展 。截至 2023 年 ,代村的村集体各业总产值达到 38 亿元 ,村集体纯收入 1. 6 亿元 ,村民人均年收入 7. 2 万元。⑥ 三是运用数字化营销和电商平台拓展市场渠道 。新质生产力催生了“互联网 +农业”等新模式 ,借助电商平台和数字化营销手段 ,新型农村集体经济能够突破地域限制 ,将农产品推向更广阔的市场 。 四是运用新技术提高新型农村集体经济的市场适应性 。利用大数据、智能算法等技术 ,能够对市场变化进行精准预测 ,及时调整生产策略 。通过对消费者需求的深入分析 ,实现按需生产 , 以避免市场供需错配 ,提高资源利用效率 ,降低市场风险 。 比如延安因地制宜发展新质生产力赋能传统产业转型升级 ,通过运用气象大数据、全自动防雹网、水肥一体化滴灌等技术实现苹果的高质量生产 ,并且依托智能化分选 , 电商平台分级分价销售 ,质量安全全程可追溯 ,实现产业链、创新链、品牌链、价值链、要素链“五链协同”,将苹果产业打造成现代化大产业。[32]</w:t>
      </w:r>
    </w:p>
    <w:p w14:paraId="76E78F5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三) 加强科技应用与推广 ,做优新型农村集体经济</w:t>
      </w:r>
    </w:p>
    <w:p w14:paraId="08CABE5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新质生产力赋能新型农村集体经济发展方式转变 ,以科技应用和推广为抓手 ,推动农业生产方式、资源利用方式和经营管理方式变革 ,使新型农村集体经济发展不断优化 。一是农业生产方式转变 。新质生产力通过引入新一代信息技术、生物技术、能源技术等前沿科技 ,推动农业生产方式从传统农业向智慧农业、绿色农业和生物农业转型。这些技术的应用不仅优化了农业生产过程 ,还提升了生产效率和资源利用率 ,使得农业生产更加智能化、精准化和高效化 。另外 ,加强农业废弃物的资源化利用 ,如将农作物秸秆转化为有机肥料和生物质能源 ,实现农业生产的可持续发展 。二是资源利用方式变革 。通过对数字技术、卫星遥感技术、物联网技术和新能源技术等新技术的应用 ,可以有效整合土地、劳动力、资本等资源 ,不断提升资源利用效率 , 推动农业资源的高效配置。三是经营管理方式的变革 。新质生产力推动新型农村集体经济建立信息化管理系统 ,实现对农业生产、销售、财务等各个环节的实时监控和数据分析 , 由此可以进行更精细化的生产调度、库存管理、财务管理等 ,为集体成员参与集体资产的监督和管理创造便捷而有效的途径 ,也能够有效防止内部少数人控制和外部资本侵占集体资产等现象出现 ,进而确保集体成员权益不受侵害。[33]</w:t>
      </w:r>
    </w:p>
    <w:p w14:paraId="6B8E4CC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四) 培养和引进新质人才 ,做活新型农村集体经济</w:t>
      </w:r>
    </w:p>
    <w:p w14:paraId="397EBBC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新质人才是指具备创新思维、掌握先进技术、熟悉市场运作 ,能够引领和推动新质生产力发展的高素质人才 ,这些人才包括但不限于农业技术人才、乡村管理人才、市场营销人才、数字技术应用人才等 ,是助力新型农村集体经济高质量发展的重要力量 。一是更新观念 ,加强培训 ,增进思想共识和技能提升 。首先 ,应该加强农村集体经济的理论和政策研究 ,科学回应贬损农村集体经济的种种错误思想 ,如“ 过时论”“ 办不好论”“ 低效率论”“土地私有化论”等 。 同时 ,及时树立典范 ,积极宣传农村集体经济榜样名村 ,使广大农村干部和农民树立信心 ,认识到在当前生产力水平下 ,完全有条件发展高水平的集体经济 。其次 ,运用新技术建立新质人才培训平台 ,开展多种形式的培训、宣传和动员工作 。运用新质生产力带来的新技术 ,依托各种新媒体平台 ,通过虚拟实训、直播教学和开放课程等方式向广大农民普及新技术和发展集体经济的各项方针政策 。一方面 ,着力提高乡村干部队伍的现代化生产经营技能 ,增强主动担当的责任意识 。另一方面 ,要发展好新型农村集体经济 ,需要动员好最广大人民群众的力量 ,增强大家的集体主义思想 。二是选好带头人。从我国现实存在的集体经济榜样名村的经验来看 ,信念坚定和德高望重的带头人非常重要 。如已经闻名全国的吴仁宝、郭凤莲、常德盛等凭借坚定的科学社会主义信念和要带领群众共同富裕的理想 ,通过艰苦奋斗 ,建立起大型企业集团公司。俗话说“火车跑得快 ,全靠车头带”,新时代发展新型农村集体经济同样需要一批懂经营、善管理、有公心、有技术的复合型人才 。这部分“ 能人”一般主要来源于两个方面 ,一是在本村一直从事农业经营 ,逐步成长起来的经营能手 。二是在外经商或者务工 ,积累了丰富市场经验的人 。 比如塘约村的党总支书记左文学就属于第一类 ,他是在农业经营中成长起来的能手 ,走上领导岗位后带领塘约村发展新型农村集体经济 。山东代村书记王传喜就属于第二类 ,他在做村支书之前在建筑公司担任项目经理 ,积累了丰富的市场经验 ,担任村支书后 ,带领全村发展新型农村集体经济 ,走现代化大农业之路 。三是坚持内培外引 ,构筑新型农村集体经济高质量发展的人才引擎 。一方面 ,针对新型农村集体经济高质量发展需求 ,开展数字化、智能化、绿色农业、精准农业等方面的技能培训 ,提升农民的技术应用能力和现代化经营水平 ,对内培养一批既懂农业又掌握新技术的新质农业人才 。另一方面 ,优化人才引进政策 ,大力引进外部新质人才 。制定优惠政策 ,如提供税收优惠、创业补贴、土地使用便利等 , 吸引城市人才、科技人才将技术和资金带回农村 , 参与集体经济发展。针对新型农村集体经济发展的关键领域 ,如数字农业、绿色生态产业等 ,靶向引进战略科学家、创新团队和青年才俊 ,为农村集体经济注入高端智力支持 。另外 ,建立科学的人才评价与激励机制 ,以创新能力、实效和贡献为导向 ,建立分级分类的人才评价体系 ,完善收入分配机制 ,激发人才的积极性 。同时 ,营造宽容失败的创新氛围 ,鼓励人才大胆尝试。</w:t>
      </w:r>
    </w:p>
    <w:p w14:paraId="0678D60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注释 :</w:t>
      </w:r>
    </w:p>
    <w:p w14:paraId="51DF3F5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①《 中华人民共和国农村集体经济组织法》,</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"https://"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https://</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xml:space="preserve"> </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"https://www.gov.cn/yaowen/liebiao/202406/content_6960131.htm"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www. gov. cn/yaowen/liebiao/202406/content_6960131. htm</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xml:space="preserve"> , 2024 年 6 月 29  日。</w:t>
      </w:r>
    </w:p>
    <w:p w14:paraId="27DA9A0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xml:space="preserve">②《全国 98%以上的农业经营主体仍是小农户》,ht- </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"tps://www.gov.cn/xinwen/2019-03/01/content_5369755"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tps://www. gov. cn/xinwen/2019- 03/01/content _ 5369755</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htm ,2019 年 3 月 1  日。</w:t>
      </w:r>
    </w:p>
    <w:p w14:paraId="6E12B94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xml:space="preserve">③《湖南通报 8 起农村集体“ 三资”管理突出问题典型 案 例 》, </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"http://mzt.hunan.gov.cn/mzt/altb/202403/t20240315_33248108.html"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http://mzt.  hunan.  gov.  cn/mzt/altb/202403/</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xml:space="preserve"> </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"http://mzt.hunan.gov.cn/mzt/altb/202403/t20240315_33248108.html"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t20240315_33248108. html</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xml:space="preserve"> ,2023 年 7 月  11  日。</w:t>
      </w:r>
    </w:p>
    <w:p w14:paraId="1128C7C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④《2023 年农民工监测调查报告》,</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"https://www.gov"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https://www. gov</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cn/lianbo/bumen/202405/content _ 6948813. htm , 2024 年 5月 1 日。</w:t>
      </w:r>
    </w:p>
    <w:p w14:paraId="0F5AB92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⑤2018 年 3 月 ,习近平总书记在参加十三届全国人大一次会议山东代表团审议时 ,提到《 人民日报》在 2018 年1 月 22 日和 1 月 23  日连续报道山东省代村的党支部书记王传喜 ,高度评价代村模式是新时代农村发展集体经济的好典型 。见刘家义:《 王传喜先进事迹的时代价值及示范作用》,《求是》2018 年第 15 期。</w:t>
      </w:r>
    </w:p>
    <w:p w14:paraId="200E01E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⑥《两会访谈 | 坚持党建引领 推进乡村全面振兴</w:t>
      </w:r>
      <w:r>
        <w:rPr>
          <w:rFonts w:hint="eastAsia" w:ascii="宋体" w:hAnsi="宋体" w:eastAsia="宋体" w:cs="宋体"/>
          <w:b/>
          <w:bCs/>
          <w:spacing w:val="0"/>
          <w:w w:val="100"/>
          <w:position w:val="0"/>
          <w:sz w:val="21"/>
          <w:szCs w:val="21"/>
        </w:rPr>
        <w:t>—</w:t>
      </w:r>
      <w:r>
        <w:rPr>
          <w:rFonts w:hint="eastAsia" w:ascii="宋体" w:hAnsi="宋体" w:eastAsia="宋体" w:cs="宋体"/>
          <w:spacing w:val="0"/>
          <w:w w:val="100"/>
          <w:position w:val="0"/>
          <w:sz w:val="21"/>
          <w:szCs w:val="21"/>
        </w:rPr>
        <w:t xml:space="preserve">访全国政协委员、农业和农村委员会委员 , 山东省兰陵县代村党 委 书 记 王 传 喜》, </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"http://mzt.hunan.gov.cn/mzt/altb/202403/t20240315_33248108.html"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http://www. qstheory. cn/laigao/</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xml:space="preserve"> </w:t>
      </w:r>
      <w:r>
        <w:rPr>
          <w:rFonts w:hint="eastAsia" w:ascii="宋体" w:hAnsi="宋体" w:eastAsia="宋体" w:cs="宋体"/>
          <w:spacing w:val="0"/>
          <w:w w:val="100"/>
          <w:position w:val="0"/>
          <w:sz w:val="21"/>
          <w:szCs w:val="21"/>
        </w:rPr>
        <w:fldChar w:fldCharType="begin"/>
      </w:r>
      <w:r>
        <w:rPr>
          <w:rFonts w:hint="eastAsia" w:ascii="宋体" w:hAnsi="宋体" w:eastAsia="宋体" w:cs="宋体"/>
          <w:spacing w:val="0"/>
          <w:w w:val="100"/>
          <w:position w:val="0"/>
          <w:sz w:val="21"/>
          <w:szCs w:val="21"/>
        </w:rPr>
        <w:instrText xml:space="preserve"> HYPERLINK "http://mzt.hunan.gov.cn/mzt/altb/202403/t20240315_33248108.html" </w:instrText>
      </w:r>
      <w:r>
        <w:rPr>
          <w:rFonts w:hint="eastAsia" w:ascii="宋体" w:hAnsi="宋体" w:eastAsia="宋体" w:cs="宋体"/>
          <w:spacing w:val="0"/>
          <w:w w:val="100"/>
          <w:position w:val="0"/>
          <w:sz w:val="21"/>
          <w:szCs w:val="21"/>
        </w:rPr>
        <w:fldChar w:fldCharType="separate"/>
      </w:r>
      <w:r>
        <w:rPr>
          <w:rFonts w:hint="eastAsia" w:ascii="宋体" w:hAnsi="宋体" w:eastAsia="宋体" w:cs="宋体"/>
          <w:spacing w:val="0"/>
          <w:w w:val="100"/>
          <w:position w:val="0"/>
          <w:sz w:val="21"/>
          <w:szCs w:val="21"/>
        </w:rPr>
        <w:t>ycjx/2024-03/04/c_1130085436. htm</w:t>
      </w:r>
      <w:r>
        <w:rPr>
          <w:rFonts w:hint="eastAsia" w:ascii="宋体" w:hAnsi="宋体" w:eastAsia="宋体" w:cs="宋体"/>
          <w:spacing w:val="0"/>
          <w:w w:val="100"/>
          <w:position w:val="0"/>
          <w:sz w:val="21"/>
          <w:szCs w:val="21"/>
        </w:rPr>
        <w:fldChar w:fldCharType="end"/>
      </w:r>
      <w:r>
        <w:rPr>
          <w:rFonts w:hint="eastAsia" w:ascii="宋体" w:hAnsi="宋体" w:eastAsia="宋体" w:cs="宋体"/>
          <w:spacing w:val="0"/>
          <w:w w:val="100"/>
          <w:position w:val="0"/>
          <w:sz w:val="21"/>
          <w:szCs w:val="21"/>
        </w:rPr>
        <w:t xml:space="preserve"> ,2024 年 3 月 4  日。</w:t>
      </w:r>
    </w:p>
    <w:p w14:paraId="2AE9AF7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参考文献 :</w:t>
      </w:r>
    </w:p>
    <w:p w14:paraId="079E06A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 习近平. 习近平谈治国理政 : 第三卷[ M] . 北京 : 外文出版社 , 2020 : 261.</w:t>
      </w:r>
    </w:p>
    <w:p w14:paraId="2E37D6F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 习近平. 高举中国特色社会主义伟大旗帜 为全面建设社会主义现代化国家而团结奋斗</w:t>
      </w:r>
      <w:r>
        <w:rPr>
          <w:rFonts w:hint="eastAsia" w:ascii="宋体" w:hAnsi="宋体" w:eastAsia="宋体" w:cs="宋体"/>
          <w:b/>
          <w:bCs/>
          <w:spacing w:val="0"/>
          <w:w w:val="100"/>
          <w:position w:val="0"/>
          <w:sz w:val="21"/>
          <w:szCs w:val="21"/>
        </w:rPr>
        <w:t>—</w:t>
      </w:r>
      <w:r>
        <w:rPr>
          <w:rFonts w:hint="eastAsia" w:ascii="宋体" w:hAnsi="宋体" w:eastAsia="宋体" w:cs="宋体"/>
          <w:spacing w:val="0"/>
          <w:w w:val="100"/>
          <w:position w:val="0"/>
          <w:sz w:val="21"/>
          <w:szCs w:val="21"/>
        </w:rPr>
        <w:t>在中国共产党第二十次全国代表大会上的报告[ M] . 北京 : 人民出版社 , 2022.</w:t>
      </w:r>
    </w:p>
    <w:p w14:paraId="456B6E4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[3] 中华人民共和国农业农村部. 中国农业统计资料 :2012 [ M] . 北京 : 中国农业出版社 ,2013 : 183- 184.</w:t>
      </w:r>
    </w:p>
    <w:p w14:paraId="0107A6B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[4]农业农村部政策与改革司. 中国农村政策与改革统计年报 : 2022 年[ M] . 北京 : 中国农业出版社 , 2023.</w:t>
      </w:r>
    </w:p>
    <w:p w14:paraId="31E54B2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[5] 习近平. 决胜全面建成小康社会 夺取新时代中国特色社会主义伟大胜利</w:t>
      </w:r>
      <w:r>
        <w:rPr>
          <w:rFonts w:hint="eastAsia" w:ascii="宋体" w:hAnsi="宋体" w:eastAsia="宋体" w:cs="宋体"/>
          <w:b/>
          <w:bCs/>
          <w:spacing w:val="0"/>
          <w:w w:val="100"/>
          <w:position w:val="0"/>
          <w:sz w:val="21"/>
          <w:szCs w:val="21"/>
        </w:rPr>
        <w:t>—</w:t>
      </w:r>
      <w:r>
        <w:rPr>
          <w:rFonts w:hint="eastAsia" w:ascii="宋体" w:hAnsi="宋体" w:eastAsia="宋体" w:cs="宋体"/>
          <w:spacing w:val="0"/>
          <w:w w:val="100"/>
          <w:position w:val="0"/>
          <w:sz w:val="21"/>
          <w:szCs w:val="21"/>
        </w:rPr>
        <w:t>在中国共产党第十九次全国代表大会上的报告[ M] . 北京 : 人民出版社 , 2017 : 30.</w:t>
      </w:r>
    </w:p>
    <w:p w14:paraId="78A4751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[6] 习近平. 发展新质生产力是推动高质量发展的内在要求和重要着力点[J] . 求是 , 2024(11) :4- 8.</w:t>
      </w:r>
    </w:p>
    <w:p w14:paraId="66A2720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[7] 崔霞. 新型农村集体经济促进农村共同富裕的内在机理分析</w:t>
      </w:r>
      <w:r>
        <w:rPr>
          <w:rFonts w:hint="eastAsia" w:ascii="宋体" w:hAnsi="宋体" w:eastAsia="宋体" w:cs="宋体"/>
          <w:b/>
          <w:bCs/>
          <w:spacing w:val="0"/>
          <w:w w:val="100"/>
          <w:position w:val="0"/>
          <w:sz w:val="21"/>
          <w:szCs w:val="21"/>
        </w:rPr>
        <w:t xml:space="preserve">— </w:t>
      </w:r>
      <w:r>
        <w:rPr>
          <w:rFonts w:hint="eastAsia" w:ascii="宋体" w:hAnsi="宋体" w:eastAsia="宋体" w:cs="宋体"/>
          <w:spacing w:val="0"/>
          <w:w w:val="100"/>
          <w:position w:val="0"/>
          <w:sz w:val="21"/>
          <w:szCs w:val="21"/>
        </w:rPr>
        <w:t>以湖北省 S 村和浙江省 Q 村为例[ J] . 社会保障研究 ,2024(4) :31-38.</w:t>
      </w:r>
    </w:p>
    <w:p w14:paraId="76526D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[8] 陈健. 新质生产力赋能新型农村集体经济的内在逻辑与路径优化[J] . 社会科学辑刊 ,2024(5) :61-69.</w:t>
      </w:r>
    </w:p>
    <w:p w14:paraId="0C5D4DD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[9] 陈健. 新质生产力助推农业农村现代化的核心要义与实践策略[J] . 江苏社会科学 ,2024(4) :112- 120.</w:t>
      </w:r>
    </w:p>
    <w:p w14:paraId="3EA12C2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[10] 田应奎. 新时代经济思想研究[ M] . 北京 : 人民出版社 , 2019 : 153.</w:t>
      </w:r>
    </w:p>
    <w:p w14:paraId="2E62418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[11] 邓小平文选 : 第二卷[ M] . 北京 : 人民出版社 , 1994.</w:t>
      </w:r>
    </w:p>
    <w:p w14:paraId="4504C48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[12] 程恩富 ,张杨. 新形势下土地流转促进“第二次飞跃 ”的有效路径研究[ J] . 当代经济研究 ,2017( 10) :55 - 61+97.</w:t>
      </w:r>
    </w:p>
    <w:p w14:paraId="16E6807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[ 13] 资本论 : 第三卷[ M] . 北京 : 人民出版社 , 2018 : 912.</w:t>
      </w:r>
    </w:p>
    <w:p w14:paraId="1977F89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[14] 中共中央文献研究室. 邓小平思想年编 : 1975 ~ 1997 [ M] . 北京 : 中央文献出版社 ,2011 : 711.</w:t>
      </w:r>
    </w:p>
    <w:p w14:paraId="1E35200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[15] 周文 ,张奕涵. 新质生产力与高质量发展 : 内在关联与重点突破[J] . 学术研究 ,2024(6) :73- 82.</w:t>
      </w:r>
    </w:p>
    <w:p w14:paraId="1930CB9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[16] 程恩富 ,王君玺. 论国有企业应引领和主导新质生产力发展[J] . 海派经济学 ,2024(4) :78-95.</w:t>
      </w:r>
    </w:p>
    <w:p w14:paraId="66705FB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[17] 简新华. 发展农村集体经济是实现农民共同富裕的根本途径[J] . 社会科学战线 ,2024(10) :72-79.</w:t>
      </w:r>
    </w:p>
    <w:p w14:paraId="3D6B6F0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[18]林光彬. 农村集体经济 :发展历程与未来思路[ J] . 国家治理 ,2019(31) :41-48.</w:t>
      </w:r>
    </w:p>
    <w:p w14:paraId="5F6063C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[19] 崔超 ,郜亮亮 ,来晓东. 新型农村集体经济赋能乡村特色产业绿色转型 :逻辑、模式与进路[ J] . 中国人口资源与环境 ,2024(9) :162- 170.</w:t>
      </w:r>
    </w:p>
    <w:p w14:paraId="4CF250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[20] 王世泰 ,谈育明. 农村集体经济发展与农民共同富裕 :关键要义、逻辑分析及现实进路[ J] . 现代经济探讨 , 2023(3) :21-28.</w:t>
      </w:r>
    </w:p>
    <w:p w14:paraId="06B4115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[21] 高强 ,程长明. 农业新质生产力与新型生产关系 :逻辑思路与改革路径[ J] . 中国农业大学学报( 社会科学版) ,2024(4) :41-54.</w:t>
      </w:r>
    </w:p>
    <w:p w14:paraId="3E2D621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[22] 程恩富 ,陆夏 ,徐惠平. 建设社会主义新农村要倡导集体经济和合作经济模式多样化[ J] . 经济纵横 ,2006 (12) :2-6+ 17.</w:t>
      </w:r>
    </w:p>
    <w:p w14:paraId="7356E02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[23] 余斌. 新质生产力与经 济 高 质 量 发 展 的 辩 证 关 系[J] . 世界社会主义研究 ,2024(8) :33-40+ 126.</w:t>
      </w:r>
    </w:p>
    <w:p w14:paraId="53D0073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[24] 高鸣. 推动新型农村集体经济高质量发展[ J] . 农村工作通讯 ,2023(1) :23-24.</w:t>
      </w:r>
    </w:p>
    <w:p w14:paraId="36B6B5B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[25] 张新文 ,杜永康. 共同富裕目标下新型农村集体经济发展 :现状、困境及进路[ J] . 华中农业大学学报( 社会科学版) ,2023(2) :23-33.</w:t>
      </w:r>
    </w:p>
    <w:p w14:paraId="79F4939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[26]农业部农村经济体制与经营管理司 , 农业部农村合作经济经营管理总站. 中国农村经营管理统计年报 :2016 年[ M] . 北京 : 中国农业出版社 ,2017 : 62.</w:t>
      </w:r>
    </w:p>
    <w:p w14:paraId="30C934E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[27] 习近平著作选读 : 第一卷 [ M] . 北京 : 人民出版社 , 2023 : 165.</w:t>
      </w:r>
    </w:p>
    <w:p w14:paraId="2848968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[28] 程恩富 ,张杨. 坚持社会主义农村土地集体所有的大方向</w:t>
      </w:r>
      <w:r>
        <w:rPr>
          <w:rFonts w:hint="eastAsia" w:ascii="宋体" w:hAnsi="宋体" w:eastAsia="宋体" w:cs="宋体"/>
          <w:b/>
          <w:bCs/>
          <w:spacing w:val="0"/>
          <w:w w:val="100"/>
          <w:position w:val="0"/>
          <w:sz w:val="21"/>
          <w:szCs w:val="21"/>
        </w:rPr>
        <w:t>—</w:t>
      </w:r>
      <w:r>
        <w:rPr>
          <w:rFonts w:hint="eastAsia" w:ascii="宋体" w:hAnsi="宋体" w:eastAsia="宋体" w:cs="宋体"/>
          <w:spacing w:val="0"/>
          <w:w w:val="100"/>
          <w:position w:val="0"/>
          <w:sz w:val="21"/>
          <w:szCs w:val="21"/>
        </w:rPr>
        <w:t>评析土地私有化的四个错误观点[ J] . 中国农村经济 ,2020(2) :134- 144.</w:t>
      </w:r>
    </w:p>
    <w:p w14:paraId="120D852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[29] 高强 ,崔文超. 从封闭到开放 :城乡融合发展进程中的新型农村集体经济[ J] . 南京农业大学学报( 社会科学版) ,2023(5) :2- 12.</w:t>
      </w:r>
    </w:p>
    <w:p w14:paraId="73BEAF0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[30] 赵意焕. 合作经济、集体经济、新型集体经济 : 比较与优化[J] . 经济纵横 ,2021(8) :20-28.</w:t>
      </w:r>
    </w:p>
    <w:p w14:paraId="3BBE3F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[31] 张佳睿 ,孟维福. 新质生产力赋能农业经济韧性提升 :理论逻 辑、现 实 挑 战 与 实 践 路 径 [ J ] . 改 革 , 2024 (12) :51-60.</w:t>
      </w:r>
    </w:p>
    <w:p w14:paraId="1792AA2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[32] 延 安 苹 果 产 业 里 的 新 质 生 产 力 [ N ] . 人 民 日 报 , 2025-01-24.</w:t>
      </w:r>
    </w:p>
    <w:p w14:paraId="3E9A2FF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spacing w:val="0"/>
          <w:w w:val="100"/>
          <w:position w:val="0"/>
          <w:sz w:val="21"/>
          <w:szCs w:val="21"/>
        </w:rPr>
        <w:t>[33] 崔超. 发展新型集体经济 :全面推进乡村振兴的路径选择[J] . 马克思主义研究 ,2021(2) :89-98.</w:t>
      </w:r>
    </w:p>
    <w:p w14:paraId="2DCC080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right"/>
        <w:textAlignment w:val="baseline"/>
        <w:rPr>
          <w:rFonts w:hint="eastAsia" w:ascii="宋体" w:hAnsi="宋体" w:eastAsia="宋体" w:cs="宋体"/>
          <w:spacing w:val="0"/>
          <w:w w:val="100"/>
          <w:position w:val="0"/>
          <w:sz w:val="21"/>
          <w:szCs w:val="21"/>
        </w:rPr>
      </w:pPr>
    </w:p>
    <w:p w14:paraId="5F2A133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r>
        <w:rPr>
          <w:rFonts w:hint="eastAsia" w:ascii="宋体" w:hAnsi="宋体" w:eastAsia="宋体" w:cs="宋体"/>
          <w:spacing w:val="0"/>
          <w:w w:val="100"/>
          <w:position w:val="0"/>
          <w:sz w:val="21"/>
          <w:szCs w:val="21"/>
          <w:lang w:eastAsia="zh-CN"/>
        </w:rPr>
        <w:t>（</w:t>
      </w:r>
      <w:r>
        <w:rPr>
          <w:rFonts w:hint="eastAsia" w:ascii="宋体" w:hAnsi="宋体" w:eastAsia="宋体" w:cs="宋体"/>
          <w:spacing w:val="0"/>
          <w:w w:val="100"/>
          <w:position w:val="0"/>
          <w:sz w:val="21"/>
          <w:szCs w:val="21"/>
          <w:lang w:val="en-US" w:eastAsia="zh-CN"/>
        </w:rPr>
        <w:t>原载</w:t>
      </w:r>
      <w:r>
        <w:rPr>
          <w:rFonts w:hint="eastAsia" w:ascii="Times New Roman" w:hAnsi="Times New Roman" w:eastAsia="宋体" w:cs="Times New Roman"/>
          <w:sz w:val="21"/>
          <w:szCs w:val="21"/>
          <w:lang w:val="en-US" w:eastAsia="zh-CN"/>
        </w:rPr>
        <w:t>《河北经贸大学学报》2025年第3期</w:t>
      </w:r>
      <w:r>
        <w:rPr>
          <w:rFonts w:hint="eastAsia" w:ascii="宋体" w:hAnsi="宋体" w:eastAsia="宋体" w:cs="宋体"/>
          <w:spacing w:val="0"/>
          <w:w w:val="100"/>
          <w:position w:val="0"/>
          <w:sz w:val="21"/>
          <w:szCs w:val="21"/>
          <w:lang w:val="en-US" w:eastAsia="zh-CN"/>
        </w:rPr>
        <w:t>，第二作者为王君玺。</w:t>
      </w:r>
      <w:r>
        <w:rPr>
          <w:rFonts w:hint="eastAsia" w:ascii="宋体" w:hAnsi="宋体" w:eastAsia="宋体" w:cs="宋体"/>
          <w:spacing w:val="0"/>
          <w:w w:val="100"/>
          <w:position w:val="0"/>
          <w:sz w:val="21"/>
          <w:szCs w:val="21"/>
          <w:lang w:eastAsia="zh-CN"/>
        </w:rPr>
        <w:t>）</w:t>
      </w:r>
    </w:p>
    <w:p w14:paraId="6DF6F5C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49749B3A">
      <w:pPr>
        <w:pStyle w:val="2"/>
        <w:bidi w:val="0"/>
        <w:rPr>
          <w:rFonts w:hint="eastAsia"/>
        </w:rPr>
      </w:pPr>
      <w:bookmarkStart w:id="799" w:name="_Toc1337633698"/>
      <w:bookmarkStart w:id="800" w:name="_Toc640924027"/>
      <w:bookmarkStart w:id="801" w:name="_Toc12604"/>
      <w:bookmarkStart w:id="802" w:name="_Toc1052025886"/>
      <w:bookmarkStart w:id="803" w:name="_Toc302918273"/>
      <w:bookmarkStart w:id="804" w:name="_Toc1807882184"/>
      <w:r>
        <w:rPr>
          <w:rFonts w:hint="eastAsia"/>
          <w:lang w:val="en-US" w:eastAsia="zh-CN"/>
        </w:rPr>
        <w:t>10</w:t>
      </w:r>
      <w:r>
        <w:rPr>
          <w:rFonts w:hint="eastAsia"/>
        </w:rPr>
        <w:t>与新质生产力相适应的新型生产关系探讨——基于社会基本矛盾运动的角度</w:t>
      </w:r>
      <w:bookmarkEnd w:id="799"/>
      <w:bookmarkEnd w:id="800"/>
      <w:bookmarkEnd w:id="801"/>
      <w:bookmarkEnd w:id="802"/>
      <w:bookmarkEnd w:id="803"/>
      <w:bookmarkEnd w:id="804"/>
    </w:p>
    <w:p w14:paraId="60CEFBE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1A915BD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39B95B8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〔摘要〕根据马克思主义基本原理，生产关系必须与生产力发展要求相适应，发展新质生产力，必须进一步全面深化改革，形成与之相适应的新型生产关系 。为此，依据辩证唯物主义和历史唯物主义的基本观点，可以把社会生产力的发展归结为生产力与生产关系长期作用的结果。《中共中央关于进一步全面深化改革 推进中国式现代化的决定》明确提出，“健全因地制宜发展新质生产力体制机制”，“健全相关规则和政策，加快形成同新质生产力更相适应的生产关系”。新型生产关系的本质是社会主义生产关系，从广义上来讲，其是在“四主型 ”生产关系下所形成的生产、交换、分配和消费的新型社会再生产关系 。在此过程中，还应及时改革不适应新质生产力发展的现代化产业体系、收入分配格局、对外开放格局和完整内需体系等具体的体制机制，以使具体体现新型生产关系的整个体制机制不断科学化、体系化、完善化。</w:t>
      </w:r>
    </w:p>
    <w:p w14:paraId="472CE54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pPr>
      <w:r>
        <w:rPr>
          <w:rFonts w:hint="eastAsia" w:ascii="宋体" w:hAnsi="宋体" w:eastAsia="宋体" w:cs="宋体"/>
          <w:color w:val="231F20"/>
          <w:spacing w:val="0"/>
          <w:w w:val="100"/>
          <w:position w:val="0"/>
          <w:sz w:val="21"/>
          <w:szCs w:val="21"/>
        </w:rPr>
        <w:t>〔关键词〕新质生产力，“四主型 ”生产关系，经济体制机制，政治经济学理论</w:t>
      </w:r>
    </w:p>
    <w:p w14:paraId="1057CBB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当今时代，新一轮科技革命、信息革命、产业革命方兴未艾，以人工智能、大数据、物联网、新能源、新材料为代表的前沿科技呈现出前所未有的加速发展态势，为人类社会生产力的大解放、大发展和社会物质财富的加速积累提供了技术支撑 。 2024年 1 月，习近平在中共中央政治局第十一次集体学习时明确指出，“新质生产力是创新起主导作用，摆脱传统经济增长方式、生产力发展路径，具有高科技、高效能、高质量特征，符合新发展理念的先进生产力质态”，“科技创新能够催生新产业、新模式、新动能，是发展新质生产力的核心要素”。〔1〕新质生产力在本质上是先进生产力，其在具体的、有用的劳动创造层面的核心是生产与科技的创新，通过科技创新催生新产业、新模式、新动能，符合生产力发展的规律 。 当然，加快形成新质生产力所承载的经济使命并不限于技术创新本身，而是与中国经济社会发展直接联系 。 目前，从经济角度看，中国经济形稳势升、长期向好的基本趋势没有改变，但是同时推动经济回升向好仍需要克服一些困难和挑战，如部分行业产能过剩、有效需求不足、社会预期偏弱、风险隐患仍然较多、国内大循环存在堵点、外部环境复杂性严峻性不确定性上升等 。 而且在新质生产力面对资本全球过剩的环境下，亟待完善资本治理机制，畅通社会再生产各环节，形成符合广大劳动者根本利益的新型生产关系 。 由此，加快形成新质生产力的题中之义就具有为了推动高质量发展、满足人民日益增长的美好生活向往、提升国际竞争和合作能力、构建人类命运共同体等生产关系层面的内涵 。 因此，《中共中央关于进一步全面深化改革 推进中国式现代化的决定》明确提出，“健全因地制宜发展新质生产力体制机制”，“健全相关规则和政策 ，加快形成同新质生产力更相适应的生产关系”。〔2〕当大数据、人工智能、物联网等新生产要素赋能传统生产要素时，新的劳动者、新的劳动资料、新的劳动对象应运而生，其不仅会使传统生产力质态发生根本性变化，而且也必然要求形成与之相适应的新型生产关系 。 生产力与生产关系之间是作用与反作用的关系，生产力决定生产关系，生产关系反作用于生产力 。 如果把加快形成新质生产力单纯归因于技术变革，那就容易陷入唯技术决定论的误区 。 由此，亟需依据辩证唯物主义和历史唯物主义的基本观点，把社会生产力的发展归结为生产力与生产关系形成的统一体的长期相互作用的结果。</w:t>
      </w:r>
    </w:p>
    <w:p w14:paraId="37CC72D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一、新质生产力与新型生产关系构成矛盾运动的统一体</w:t>
      </w:r>
    </w:p>
    <w:p w14:paraId="55CD0DB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1846 年 12 月28 日，马克思在致帕维尔·瓦西里耶维奇·安年科夫的信中，指明人类的历史“随着人们的生产力以及人们的社会关系的愈益发展而愈益成为人类的历史 ”〔3〕43 。人类历史是生产力和生产关系的系统性作用的结果 。 这一历史性的形式又离不开人们借以进行生产、分配、交换和消费的经济形式 。 马克思在《雇佣劳动与资本》中指明，“社会生产关系，是随着物质生产资料、生产力的变化和发展而变化和改变的”，同时“每一个生产关系的总和同时又标志着人类历史发展中的一个特殊阶段 ”〔4〕724 。 可见，生产关系总和构成的经济制度、经济体制是社会发展的基础 。 也只有改革和完善不完全适应新质生产力发展需求的经济制度和体制机制障碍，才能够为新质生产力的形成和发展注入活力和体制机制保障。</w:t>
      </w:r>
    </w:p>
    <w:p w14:paraId="174800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（一）明确新质生产力的标志性变革作用</w:t>
      </w:r>
    </w:p>
    <w:p w14:paraId="1D89B86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从唯物史观出发，生产力的发展水平决定了社会总体的发展阶段 。 马克思在《资本论》中指明： “ 现代工业的技术基础是革命的，而所有以往的生 产方式的技术基础本质上是保守的。”〔5〕560 他认为 ， “ 物质生产方式的改变 ”和“生产者的社会关系的相应的改变 ”是一个相互结合的矛盾统一体〔5〕345 。 生产力的发展水平不同，社会生产关系以及支配这种生产关系的规律也必然不同 。 根据唯物史观的基本观点，在生产力发展到一定状况下，就会有相应的交换和消费形式，有相应的社会制度形式、家庭 、等级或阶级组织，从而会有相对应的政治国家 。 马克思进一步指明：“人们不能自由选择自己的生产力——这是他们的全部历史的基础，因为任何生产 力都是一种既得的力量，是以往的活动的产物。”〔3〕43 可见，新质生产力的“质 ”的飞跃并不是一蹴而就乃至经济社会发展选择的结果，而是新中国社会主义建设、改革开放以及新时代伟大实践的持续性“量 ”的积累的结果 。在新时代新征程上，新质生产力的发展是衡量社会发展的重要标志，同样以新技术引领的科技革命为标志，为分析经济社会的发展提供了可靠依据 。 正如马克思在《资本论》中所指明的“ 劳动资料不仅是人类劳动力发展的测量器，而且 是劳动借以进行的社会关系的指示器 ”〔5〕210 。 纵观人类社会的技术变革史 ，不同时代有不同时代的 “ 新生产力”，如第一次产业革命的蒸汽动力技术 、第二次工业革命的电力技术、第三次工业革命的电子计算机、航天技术、生物科技等 。 随着信息科技革命与数智生产手段为标志的新质生产力的诞生 ，市场经济条件下传统生产力的构成要素发生了根本性变化，形成了新兴产业和传统产业、实体生产要素与虚拟生产要素并行互促发展的新局面 。 可见，新质生产力是爆发式技术创新与跳跃式产业革命的结果，完全符合生产力发展的客观规律。</w:t>
      </w:r>
    </w:p>
    <w:p w14:paraId="369E78E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 二 ）重 视“ 四 主 型 ”生 产 关 系 的 重 要 导 向 性作用</w:t>
      </w:r>
    </w:p>
    <w:p w14:paraId="4850488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在每一个具体的社会发展阶段，生产关系对于生产力起着重要的反作用 。 纵观资本主义的发展阶段，生产资料私有制条件下的生产关系的主导作用体现的极为明显 。 在小商品生产为主要特征的前资本主义生产方式和以对外贸易为主要特征的重商资本主义阶段 ，手工工场作坊里的领主与帮工、师傅与徒弟的人身半依附生产关系仍然是主导的生产关系 。 而随着以蒸汽机为标志的现代机器的发明，手工工厂主认识到通过机器的应用可以变换原有的依附与半依附的生产关系为雇佣劳动关系，来攫取利润最大化的利益 。 因为，雇佣劳动关系是以劳动合同的法律形式得以确立，通过生产规模的不断扩大来雇佣更多的劳动者，并以此占有更多剩余价值 。在追逐超额利润的过程中，自由竞争资本通过资本的积聚与集中必然走向垄断，又必然进一步促使垄断资本的膨胀 。 这一膨胀伴随着电气化与信息化的发展促使金融资本与产业资本的紧密结合，甚至“生产过程只是为了赚钱而不可缺少的中间环节 ，只是为了赚钱而必须干的倒霉事 ”〔6〕67 。对此，马克思指出：“以实在货币为起点和终点的流通形式 G—G'，最明白地表示出资本主义生产的动机就是赚钱。”〔6〕67 马克思深刻地揭示出“资本也是一种社会生产关系 ”〔4〕724，是以物为中介的人和人之间的社会关系 。基于此，考察资本社会不能持有唯技术论的偏见，只能运用系统论来辩证研究生产力和生产关系的矛盾统一体 。 因为，在一定生产力发展阶段，生产关系是不断变化的，而不是永恒不变的，劳动资料变革本身不是经济学的核心范畴 ，而只有劳动资料在不同生产关系下的应用方式，才能决定人类历史发展的面貌和进程 。 马克思曾深刻地批判蒲鲁东把生产力作为独自发展的机器而把生产关系看作是永恒不变的庸俗认识 。 马克思认为，“把机器说成一种同分工、竞争、信贷等等并列的经济范畴，这根本就是极其荒谬的”，“机器不是经济范畴 ，正像拉犁的牛不是经济范畴 一样 。 现代运用机器一事是我们的现代经济制度的关系之一，但是利用机器的方式和机器本身完全是两回事 。火药无论是用来伤害一个人，或者是用来给这个人医治创伤，它终究还是火药 ”〔3〕46 。也就是说，在一定生产力条件下，新的生产关系的形式和经济关系的范畴必然决定着社会生产的发展方向和目标。</w:t>
      </w:r>
    </w:p>
    <w:p w14:paraId="6C1AD20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分析以生产关系为导向的资本主义发展阶段，可以清楚得出，在我国社会主义初级阶段，亟待构建和完善“四主型 ”生产关系。“四主型 ”生产关系包括：构建公有主体型的多种类产权制度，即在公有制为主体的前提下发展多种所有制经济；构建劳动主体型的多要素分配制度，即按劳分配为主体，多要素所有者可凭产权参与分配，经济公平与经济效率呈现同向互促关系；构建国家主导型的多结构市场制度，即多结构地发展市场体系，发挥以国家调控为主导与以市场调节为基础的社会主义市场经济制度作用；构建自立主导型的多方位对等开放制度，即处理好引进国外技术和资本同发展自主知识产权和引导本国资本健康发展的关系，构建以自立自强与内循环为主体的“双循环 ”开放格局，实现从追求资源要素的开放模式向以高水平对外开放促进高质量发展、引领新质生产力发展的转变。“四主型 ”生产关系虽然在新时代持续促进着新质生产力的发展，但仍需不断调整和完善 。 可见，中国特色社会主义政治经济学对生产关系与经济制度的研究并不限于马克思提出的社会再生产四环节和斯大林提出的生产关系的三分法 ，还需要在社会再生产的各环节中加强对基本经济制度、经济体制、经济运行与发展等带有经济社会发展导向的研究 ，从而构成新质生产力与新型生产关系的创新性统一体。</w:t>
      </w:r>
    </w:p>
    <w:p w14:paraId="1EA237F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 三）揭示社会主义经济运动规律离不开对社会主义生产力和生产关系的综合考察</w:t>
      </w:r>
    </w:p>
    <w:p w14:paraId="7FFD4BE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资本主义生产方式的历史价值是执行人格化职能的社会总资本运动 。 这一历史的暂时必然性在于大量必需的生产资料的创造以及社会生产力的跃升 。但是，资本主义生产方式的主观动机决不是追求使用价值的丰富和享受的多元，而是追逐交换价值和价值增殖 。 马克思指明：“作为价值增殖的狂热追求者，他肆无忌惮地迫使人类去为生产而生产，从而去发展社会生产力，去创造生产的物质条件；而只有这样的条件，才能为一个更高级的、以每一个个人的全面而自由的发展为基本原则的社会形式建立现实基础。”〔5〕683 一方面，社会生产的形态与阶段是通过劳动手段、劳动工具等具体的物质技术手段所表现的，其是生产力发展运动的结果。社会生产中的物质技术因素是社会生产的物质质料，标志着社会发展的时代阶段 。 另一方面，认识现实经济活动的外貌现象与本质特征都离不开在一定生产力发展阶段所形成的生产关系 。 一个社会的经济基础是由社会生产关系的总和所构成的，人们在社会生产生活中所接触的各种经济客体，如价值、货币、工资、资本、利润、利息、地租等，都是社会生产关系运动的物化形式 。 也只有对一定生产力发展阶段下的社会生产关系的认识，才能够使得社会发展的系统有方向、有动力、有目标，才能够系统揭示社会生产的性质、规律、面貌 。 这不是单纯追逐物质技术，也不是片面追逐物质利益，而是以人的全面发展、社会的和谐文明、人与自然的和谐共生作为基准，科学认识和处理好社会主义生产关系与新质生产力的辨证关系 。也就是说，新质生产力需要社会主义生产关系的促进和优化 。 只有完善新型生产关系，才能促进新质生产力以超越资本主义的增长质量呈现出按比例、可协调、高质量的发展。</w:t>
      </w:r>
    </w:p>
    <w:p w14:paraId="2F1EA07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基本经济制度的完善同样离不开对社会生产力和生产关系的综合考察 。改革开放以来，我国经济体制从传统的计划经济向新型的市场经济转变，其属于社会主义性质的生产关系及其制度的自我调整与完善，以便在更大的程度上适应生产力大发展的需要 。我国所实行的以公有制为主体、多种所有制经济共同发展的基本经济制度又必然决定了实行劳动主体型的多要素分配制度以及社会主义市场经济体制〔7〕。 由此，在构建高水平社会主义市场经济体制过程中，“需要认识和把握资本主义市场经济弊端的产生根源和表现形式，从而积极扬弃资本主义市场经济 ”〔8〕。要言之，在完善基本经济制度的基础上，市场国家功能性双重调节体制有利于新质生产力的创新应用和数字平台企业创新发展，更有利于兼顾公平和效率，有利于数字平台经济在有序竞争前提下提升国际竞争力，有利于新型平台企业坚持社会主义的方向发展。</w:t>
      </w:r>
    </w:p>
    <w:p w14:paraId="165F16A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1"/>
        <w:rPr>
          <w:rFonts w:hint="eastAsia" w:ascii="宋体" w:hAnsi="宋体" w:eastAsia="宋体" w:cs="宋体"/>
          <w:spacing w:val="0"/>
          <w:w w:val="100"/>
          <w:position w:val="0"/>
          <w:sz w:val="21"/>
          <w:szCs w:val="21"/>
        </w:rPr>
      </w:pPr>
      <w:bookmarkStart w:id="805" w:name="_Toc1166200251"/>
      <w:bookmarkStart w:id="806" w:name="_Toc1611170921"/>
      <w:bookmarkStart w:id="807" w:name="_Toc31892"/>
      <w:bookmarkStart w:id="808" w:name="_Toc232148437"/>
      <w:bookmarkStart w:id="809" w:name="_Toc1750745490"/>
      <w:bookmarkStart w:id="810" w:name="_Toc329745085"/>
      <w:r>
        <w:rPr>
          <w:rFonts w:hint="eastAsia" w:ascii="宋体" w:hAnsi="宋体" w:eastAsia="宋体" w:cs="宋体"/>
          <w:color w:val="231F20"/>
          <w:spacing w:val="0"/>
          <w:w w:val="100"/>
          <w:position w:val="0"/>
          <w:sz w:val="21"/>
          <w:szCs w:val="21"/>
        </w:rPr>
        <w:t>二、在矛盾统一体中确立广义生产关系的作用</w:t>
      </w:r>
      <w:bookmarkEnd w:id="805"/>
      <w:bookmarkEnd w:id="806"/>
      <w:bookmarkEnd w:id="807"/>
      <w:bookmarkEnd w:id="808"/>
      <w:bookmarkEnd w:id="809"/>
      <w:bookmarkEnd w:id="810"/>
    </w:p>
    <w:p w14:paraId="6A89024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恩格斯在《反杜林论》中提出了广义政治经济学的范畴与设想 。 他指出：“政治经济学作为一门研究人类各种社会进行生产和交换并相应地进行产品分配的条件和形式的科学——这样广义的政治经济学尚待创造。”〔9〕156 诚然资本主义生产关系是政治经济学批判的核心范畴，但是这一批判同样也是对未来社会生产关系的重建 。 马克思把黑格尔的正反合逻辑和辩证法思维运用到对资本主义生产、交换和分配形式的研究中，必然得出“肯定的理解 ”“否定的理解 ”“综合的理解 ”的三方面递进逻辑 。 具体而言，“肯定的理解 ”是，从小商品经济形式开始，论证价值形式从商品到货币的资本主义萌芽形式发展的必然规律性，进而从促进社会生产的逐利性层面来研究资本主义生产方式和相应的交换形式的规律；“否定的理解 ”是研究“商品-价值 -货币-剩余价值-资本 ”逻辑以及其中必然含有的资本主义经济危机的必然性，也即“资本主义的生产形式和交换形式日益成为生产本身所无法忍受的桎梏”，进而导致分配方式愈发造成严重的两极分化和阶级对立；“综合的理解 ”即“在资本主义生产方式内部所造成的、它自己不再能驾驭的大量的生产力，正在等待着为有计划地合作而组织起来的社会去占有，以便保证，并且在越来越大的程度上保证社会全体成员都拥有生存和自由发展其才能的手段 ”〔9〕157 。 由此，广义地理解政治经济学的研究对象需要在厘清生产资料所有制、分配关系和交换关系的基础上，“从正在瓦解的经济运动形式内部发现未来的、能够消除这些弊病的、新的生产组织和交换组织的因素 ”〔9〕156，也即确立由社会再生产各环节所构成的广义社会生产关系的重要作用。</w:t>
      </w:r>
    </w:p>
    <w:p w14:paraId="444BB8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（一）确立社会生产关系的物质基础</w:t>
      </w:r>
    </w:p>
    <w:p w14:paraId="0890EBB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马克思在《政治经济学批判》序言中指出：“物质生活的生产方式制约着整个社会生活、政治生活和精神生活的过程。”〔10〕591在前资本主义社会生产发展的低端阶段，人与人以及人与自然之间所反映的生产关系是简单且狭隘的 。 而且，随着资本主义大工业时代生产力的发展，人与人之间社会关系愈发被物与物之间的社会关系所替代 。 这种商品生产的拜物教性质与抽象劳动所特有的等同性质和社会性质密不可分 。 商品拜物教的性质在资本主义社会又必然会向货币拜物教和资本拜物教发展，并暴露出资本社会所无法避免的经济社会矛盾 。 在马克思看来，对抗这一经济社会矛盾首先“需要有一定的社会物质基础或一系列物质生存条件 ”〔5〕97，在此基础上形成生产资料由社会所有、生活资料由联合体成员个人消费的新生产关系，因为“资本主义创造的高度发达的生产力和社会化大生产 ，是社会主义生产关系的物质基础 ”〔11 〕。 由此 ，分析经济社会的发展问题需要在具体的生产力发展阶段 ，考察具体劳动和抽象劳动、使用价值和价值、商品和货币、价值形成和价值增殖过程、重建个人所有制等生产力和生产关系的矛盾运动问题 。从中可以看出，生产力与生产关系是衡量社会发展阶段以及解决经济社会发展问题的有机统一整体 。在未来社会由价值形式所产生的商品拜物教性质的神秘面纱被揭露出来后，在简单明了的劳动产品的社会关系中，劳动时间依然起到衡量社会生产劳动的双重作用，其不仅体现在生产上，也体现在分配上。</w:t>
      </w:r>
    </w:p>
    <w:p w14:paraId="219A97F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（二）确立社会生产关系的客观属性</w:t>
      </w:r>
    </w:p>
    <w:p w14:paraId="0A9E1B2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马克思指明：“对于这个历史上一定的社会生产方式即商品生产的生产关系来说，这些范畴是有社会效力的，因而是客观的思维形式。”〔5〕93 商品社会的生产关系是一定发展阶段上的客观关系，其符合从“商品-货币-资本 ”的发展逻辑 。 这一逻辑同样是客观的，需要认识劳动创造的原概念性质，认识价值形式与价值增殖的过程，认识价值规律的作用与问题，认识价值占有到价值所有的规律问题等。可以说，价值是资本逻辑的核心主线和研究对象，它不仅是一个劳动凝结物的实体形式，同时也是在交换关系中相对价值形式和等价形式所构成的生产关系 。 在以追逐价值增殖为主要目的的商品世界里，不断地生产与交换为社会发展提供了不竭动力，但同时也带有商品生产循环断裂与生产过剩危机的可能性 。 面对这一商品经济经常发生的危机，需要充分汲取西方现代化的经验教训，规范和引导资本的行为规律，区分各类资本的定位，关注各类资本的比重变动，实现超越西方私人资本逻辑，尊重劳动价值，实现以实体经济为支撑、动态供求平衡、各阶层共同富裕的生产关系 。可以说，“中国式现代化在驾驭资本的伟大实践中，充分发挥了社会主义制度的优越性，尤其是发挥社会主义的生产关系对资本生产要素及生产关系的支配和利用，使之真正推动社会生产力的发展，服务于人与社会的全面发展 ”〔12〕。</w:t>
      </w:r>
    </w:p>
    <w:p w14:paraId="2FE809C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（三）确立社会生产关系的经济结构</w:t>
      </w:r>
    </w:p>
    <w:p w14:paraId="321B4B3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马克思在从黑格尔法哲学批判向政治经济学批判转向的过程中，逐渐从关注工人和劳动产品之间的异化关系，转向重点研究历史性产生的资本主义生产关系，即揭示现代社会的经济运动规律和资本主义经济结构的历史性变化规律 。 在马克思看来，社会的经济结构是由一定的生产方式以及与它相适应的生产关系所构成的系统 。 物质生产方式和社会生产关系的变革、大工业的发展也会随之使人的头脑与社会意识发生变革 。 在《共产党宣言》中，马克思恩格斯说：“资产阶级除非对生产工具，从而对生产关系，从而对全部社会关系不断地进行革命，否则就不能生存下去。”〔10〕34 资本主义生产技术的变革和生产效率的提高是相对剩余价值生产的必要条件 。 随着使用价值量的倍增，单位时间内生活资料的价值进而工资不断降低，必要劳动时间会不断缩短，相对延长剩余劳动时间即剩余价值率不断被提升 。可以看出“生产力-生产关系-社会关系 ”形成了一系列经济社会发展的综合系统 。新时代解放和发展生产力也需要在这一综合系统中完善新型生产关系，其不仅需要确立以生产资料所有制为基础的整个经济制度的性质，还需要根据社会主义经济形态进一步完善经济社会发展的具体体制机制、厘清社会再生产各环节的创新性作用。</w:t>
      </w:r>
    </w:p>
    <w:p w14:paraId="0240B57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1"/>
        <w:rPr>
          <w:rFonts w:hint="eastAsia" w:ascii="宋体" w:hAnsi="宋体" w:eastAsia="宋体" w:cs="宋体"/>
          <w:spacing w:val="0"/>
          <w:w w:val="100"/>
          <w:position w:val="0"/>
          <w:sz w:val="21"/>
          <w:szCs w:val="21"/>
        </w:rPr>
      </w:pPr>
      <w:bookmarkStart w:id="811" w:name="_Toc31572"/>
      <w:bookmarkStart w:id="812" w:name="_Toc1328364224"/>
      <w:bookmarkStart w:id="813" w:name="_Toc2106002883"/>
      <w:bookmarkStart w:id="814" w:name="_Toc1888477707"/>
      <w:bookmarkStart w:id="815" w:name="_Toc244372388"/>
      <w:bookmarkStart w:id="816" w:name="_Toc1517834335"/>
      <w:r>
        <w:rPr>
          <w:rFonts w:hint="eastAsia" w:ascii="宋体" w:hAnsi="宋体" w:eastAsia="宋体" w:cs="宋体"/>
          <w:color w:val="231F20"/>
          <w:spacing w:val="0"/>
          <w:w w:val="100"/>
          <w:position w:val="0"/>
          <w:sz w:val="21"/>
          <w:szCs w:val="21"/>
        </w:rPr>
        <w:t>三、在社会再生产中对于新型生产关系的理论探索</w:t>
      </w:r>
      <w:bookmarkEnd w:id="811"/>
      <w:bookmarkEnd w:id="812"/>
      <w:bookmarkEnd w:id="813"/>
      <w:bookmarkEnd w:id="814"/>
      <w:bookmarkEnd w:id="815"/>
      <w:bookmarkEnd w:id="816"/>
    </w:p>
    <w:p w14:paraId="7CD5344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经过上述研究可以看出，政治经济学把在一定生产力发展阶段上的社会生产关系作为研究对象，精准把握了决定社会再生产的根本因素 。 这就使政治经济学可以通过对广义社会生产关系的分析来掌握整个经济社会运动发展的规律 。 与西方经济学关注从供求关系来追求价格均衡问题不同 ，政治经济学是从生产、分配、交换和消费的社会再生产四环节相互关系的视角来考察以物为中介的生产关系问题 。 正如列宁所指明的“凡是资产阶级经济学家看到物与物之间的关系（商品交换商品）的 地 方 ，马 克 思 都 揭 示 了 人 与 人 之 间 的 关系 ”〔13〕69 。 因为，社会生产关系决定了社会再生产活动的基本结构，社会生产力在这一结构下能够更好地促进再生产各环节的相互联系，发挥整体性的社会职能 。 这也恰恰是资本主义生产关系和社会主义生产关系的本质区别，前者仅仅是通过技术的变革来使价值增殖、使资本逐利，而后者是需要以“四主型 ”生产关系、以人的全面发展为导向来协调社会再生产 。在此过程中，还应及时改革不适应新质生产力发展的现代化产业体系、收入分配格局、对外开放格局和完整内需体系等具体的体制机制，以便使具体体现新型生产关系的整个体制机制不断体系化、科学化、完善化。</w:t>
      </w:r>
    </w:p>
    <w:p w14:paraId="5AD681F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（一）加速形成新质生产力，完善社会主义基本经济制度</w:t>
      </w:r>
    </w:p>
    <w:p w14:paraId="06C23C4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从生产入手，在提出加速形成新质生产力、构建现代化产业体系的同时，需要进一步完善社会主义基本经济制度 。 生产在社会再生产中占据统领性地位，坚持生产第一性原则是马克思主义经济学与其他经济学说相比最鲜明的特征 。 物质生产活动创造了人类赖以生存和发展的大量物质财富 。马克思深刻地指出：“随着资本主义生产方式（它比一切以前的生产方式更加发展了劳动的社会生产力）的发展，那种以劳动资料形式一下子全部并入过程，并在一个或长或短的时期内在过程中不断反复执行职能的生产资料（建筑物、机器等等）的量，不断增大，并且这种生产资料的增大，既是劳动的社会生产力发展的前提，又是它的结果。”〔6〕159可见，生产资料的变革在劳动的社会生产力发展中起着重要的桥梁作用 。 同时，伴随商品经济的发展，商品的所有权规律不断转化为资本主义占有规律 。作为不变资本的物质存在形式的生产资料会不断吸纳活劳动，“由于劳动资料转化为自动机，它就在劳动过程本身中作为资本，作为支配和吮吸活劳动力的死劳动而同工人相对立 ”〔6〕487 。 在以机器为基础的大工业中 ，生产过程的智力同体力劳动相分离，智力转化为资本支配劳动的权力 。 由此，作为劳动过程和资本增殖过程的一切资本主义生产有一个共同点，即不再是人使用与创造劳动条件，而是相反劳动条件使用与创造人 。 随着机器的采用、科学的应用，这种颠倒在技术层面上会进一步取得更加明显的现实性 。 生产的问题也成为劳动价值的创造、剩余价值的占有、资本的积累、生产的过剩之间的矛盾与危机问题 。 资本主义生产关系使得这种人与物之间的颠倒日益达到极点。</w:t>
      </w:r>
    </w:p>
    <w:p w14:paraId="342F00C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与之相对照，社会主义生产关系需要把这种人与物的颠倒形式再纠正回来，需要以社会主义生产关系的完善、人的全面而自由地发展为最终的目标来发展社会生产力、增进社会财富 。 以大数据、互联网、云计算、区块链及人工智能等工具体系为代表的新质生产力，以科技创新为主，摆脱了传统增长路径、符合高质量发展要求，是数字时代更具融合性、更体现新内涵的生产力 。新质生产力主要体现在其与现代化产业体系的直接联系，进而需要构建与之相适应的新型生产关系 。2023 年 9 月，习近平在主持召开新时代推动东北全面振兴座谈会上指出：“积极培育新能源、新材料、先进制造、电子信息等战略性新兴产业，积极培育未来产业，加快形成新质生产力，增强发展新动能。”〔14〕基于马克思的产业理论，发展新质生产力、建设现代化产业体系，是完善由新质生产力与新型生产关系所构成的经济结构的核心范畴和代表〔15〕。</w:t>
      </w:r>
    </w:p>
    <w:p w14:paraId="5D0C0C6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（二）实现“两个同步”，统筹效率和公平</w:t>
      </w:r>
    </w:p>
    <w:p w14:paraId="718231E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在分配领域，把分配提升为基础性制度，实现“ 两个同步”，统筹效率和公平，使得新质生产力的发展不断满足人民日益增长的美好生活的需要 。党的二十大报告把分配制度作为促进共同富裕的基础性制度，提出完善“构建初次分配、再分配、第三次分配协调配套的制度体系”，特别是，在初次分配中，“努力提高居民收入在国民收入分配中的比重，提高劳动报酬在初次分配中的比重 ”〔16〕。 把分配制度提升到基础性制度的层面是对分配作用的再认识，是对科学社会主义理论的再认识 。党的十八大在提高“两个比重 ”的基础上，提出了“两个同步”。习近平在党的十九大再次强调：“坚持在经济增长的同时实现居民收入同步增长、在劳动生产率提高的同时实现劳动报酬同步提高。”〔17〕在分配理论中，马克思主义经典作家不仅看到了分配是生产和交换的消极产物，同样认识到分配对生产和交换的积极影响。“两个同步 ”的进一步明确，实际上是致力于打破在资本主义相对剩余价值生产机制下，劳动生产率的提高反而社会财富的积累与劳动者的积蓄的反比例关系愈发加大的问题 。 形成与新质生产力相适应的新型生产关系的方向和目的，就是要使得劳动者的收入与经济发展程度成正比 。这就需要坚持以公有制为主体的基本经济制度、坚持以人民为中心、不断满足人民对美好生活的向往 。 因为发展新质生产力需要依靠人民 ，为了人民，完善经济制度、改革经济体制机制的目的同样是为了扎实推进全体人民共同富裕 。 在新质生产力和新型生产关系的统一体内部的最终目标是一致的。</w:t>
      </w:r>
    </w:p>
    <w:p w14:paraId="067EAED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当然，提升分配的作用并不是把分配提升到同生产一样的高度来确立法与道德的决定性作用 。恩格斯在《反杜林论》中指明，“新的生产方式和交换形式必须经过长期的斗争才能取得和自己相适应的分配”，“某种生产方式和交换方式越是活跃，越是具有成长和发展的能力，分配也就越快地达到超过它的母体的阶段”。〔9〕155 可见，公平正义的分配关系需要生产和交换方式的变革，需要新质生产力为这一分配关系的实现提供巨大的社会财富 。 因此，生产资料所有制结构和分配关系、分配制度都要适应新质生产力的发展，并使其转化为按照新发展理念推动经济社会发展的决定力量。</w:t>
      </w:r>
    </w:p>
    <w:p w14:paraId="3DFFB3D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sectPr>
          <w:headerReference r:id="rId22" w:type="default"/>
          <w:footerReference r:id="rId23" w:type="default"/>
          <w:footnotePr>
            <w:numFmt w:val="decimalEnclosedCircleChinese"/>
            <w:numRestart w:val="eachPage"/>
          </w:footnotePr>
          <w:type w:val="continuous"/>
          <w:pgSz w:w="12246" w:h="17178"/>
          <w:pgMar w:top="1732" w:right="1224" w:bottom="1235" w:left="424" w:header="1365" w:footer="922" w:gutter="0"/>
          <w:pgNumType w:fmt="decimal"/>
          <w:cols w:equalWidth="0" w:num="1">
            <w:col w:w="10598"/>
          </w:cols>
        </w:sectPr>
      </w:pPr>
    </w:p>
    <w:p w14:paraId="5DF06EC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（三）巩固新发展格局，构建全国统一大市场</w:t>
      </w:r>
    </w:p>
    <w:p w14:paraId="23610E1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流通领域，巩固国内循环为主体、国内国际双循环的新发展格局，构建全国统一大市场，并积极运用新质生产力提升资本循环与周转的效率，推动新一轮大规模设备更新和消费品以旧换新，有效降低全社会物流成本 。 党的二十届三中全会明确指出：“完善流通体制，加快发展物联网，健全一体衔接的流通规则和标准，降低全社会物流成本。”〔2〕</w:t>
      </w:r>
    </w:p>
    <w:p w14:paraId="3D0D637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一方面，改革开放以后，中国经济快速增长，但是也出现了核心技术对外依赖度高以及产业链、供应链、品牌等受制于西方的问题，甚至陷入了“两头在外、来料加工、贴牌生产 ”的“微笑曲线 ”陷阱 。实践证明，企业生产如果长期依赖国际市场，没有国内大市场的主营渠道，没有按照中国制造的标准进行生产与流通，也就不会加速自主创新战略的实施以 及 具 有 自 主 知 识 产 权 的 新 质 生 产 力 的 推 进 。 2018 年 4 月，习近平在湖北考察企业创新发展时指出：“新发展理念，创新是第一位的 。我国已经成为世界第二大经济体，过去那种主要依靠资源要素投入推动经济增长的方式行不通了，必须依靠创新。具有自主知识产权的核心技术，是企业的‘命门’所在 。企业必须在核心技术上不断实现突破，掌握更多具有自主知识产权的关键技术，掌控产业发展主导权。”〔18〕针对数字技术“卡脖子 ”问题，传统的竞争优势和比较优势理论已经无法在生产力和生产关系的统一体层面来治理这一经济难题 。 因为，“卡脖子 ”问题并不是单纯的技术研发、迭代与升级的问题，其与国际资本的无序扩张、脱实向虚、操控全球产业链和价值链、占有全球性剩余价值以及美西方的贸易保护、技术垄断、知识产权操控等特性有着直接的密切关系 。基于此，确立自主知识产权优势理论，即以自主核心技术、名牌、产业链、产权为主要内容的自主优势理论至关重要，其直接关系到统筹经济高质量发展和国家高水平安全 。 在流通端，它又能助力产业链上中下游数字化融合发展，保障国内市场的韧性和后劲，促进供给侧和需求侧的综合平衡 。 国内大循环的畅通正是需要以自主的物联网、大数据、人工智能作为主要抓手，构建生产、流通、分配、消费等各环节运行畅通的国内统一大市场的循环体系 。数字技术创新的重要目的，是加快流通速度，减少空间距离，去除大量过剩耐用品所造成的流通障碍。</w:t>
      </w:r>
    </w:p>
    <w:p w14:paraId="074CC52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另一方面，有效降低全社会物流成本问题 。 除了国际市场的依存度会对流通产生影响之外，国内流通费用与成本也会成为影响流通效率的重要因素 。 近年来，我国高速公路、铁路、航运、空运等基础设施，物流、快递以及从事各类商业活动的平台经济都获得了高速发展，但是运输成本、仓储成本、管理成本等物流成本仍然较高 。各类生产设备、服务设备更新和技术亟待改造，汽车、家电等传统消费品以及耐用消费品有待更新 。 这些都成为限制商品流通的重要因素 。基于此，解决大规模设备更新和消费品以旧换新问题以及有效降低全社会物流成本问题，还是要依靠新数字技术的应用 。2024年 2 月，习近平在主持召开的中央财经委员会第四次会议上强调，加快产品更新换代是推动高质量发展的重要举措，要鼓励引导新一轮大规模设备更新和消费品以旧换新 。物流是实体经济的“筋络”，联接生产和消费、内贸和外贸，必须有效降低全社会物流成本，增强产业核心竞争力，提高经济运行效率〔19〕。此外，从资本治理的视角出发，持续流通是资本循环和周转顺畅的首要条件，因为“资本永久面临这样的危险：因为需要越来越多的固定资本，假以时日，资本将会僵化 ”〔20〕。 现有固定资本的大量堆积，在空间层面上会出现大量传统材料百年后难于生物降解，或者回收成本极高的风险，如美国底特律汽车城一样，出现厂房、机器、设备的陈旧、老化甚至被废弃的情况 。 基于此 ，亟需科学运用人工智能、大数据、物联网等新兴技术 ，积极开发新能源、新材料等新型可替代资源，为生态环境保护、空间资源重塑、经济循环顺畅提供技术保障。</w:t>
      </w:r>
    </w:p>
    <w:p w14:paraId="445C2EA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 四）大力实施扩大内需战略，实现供给和需求的综合动态平衡</w:t>
      </w:r>
    </w:p>
    <w:p w14:paraId="5EE2520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在消费领域，增强消费对经济发展的基础性作用，大力实施扩大内需战略，实现新质生产力与新型消费的有机结合 。 党的十九大报告提出，“完善促进消费的体制机制，增强消费对经济发展的基础性作用 ”〔17〕。《中共中央关于进一步全面深化改革推进中国式现代化的决定》进一步强调，“完善扩大消费长效机制，减少限制性措施，合理增加公共消费，积极推进首发经济 ”〔2〕。增强消费对经济发展的基础性作用，实际上就是把消费上升为消费力的高度，确立消费力与生产力、交换力、分配力的相互作用 。 消费之所以能够上升为消费力，是因为消费力在本质上也是一种生产力，并最终转化为生产力。马克思曾指明：“消费的能力是消费的条件，因而是消费的首要手段，而这种能力是一种个人才能的发展，生产力的发展。”〔21〕203 马克思曾提出绝对消费力和社会消费力的两个不同概念，其中前者是指在现有生产力水平下社会生产满足个人需要的能力，后者指有支付能力的消费力，其并不是直接由生产力所决定 。 社会消费力是由生产资料所有制以及建立在其上的分配关系来决定的。“在资本主义社会里，工人阶级和资产阶级的社会消费力直接取决于国民收入的分配，这受到工资规律和剩余价值分配规律的制约 。在社会主义社会里，全体劳动者的社会消费力也直接由国民收入的分配和再分配状况决定。”〔22〕在 2022 年中央经济工作会议上，习近平强调：“需求不足是当前经济运行面临的突出矛盾。必须大力实施扩大内需战略 ，采取更加有力的措施，使社会再生产实现良性循环。”〔23〕面对严重的国际金融危机、世界经济下行压力、对华贸易摩擦和美国关税战等外部危机冲击，我国发展格局加速转变，特别是基于消费在内需中的占比越来越高，我国把扩大内需作为保持经济平稳较快发展的基本立足点，使生产的发展、价值的实现更多依靠内需尤其是消费需求来拉动 。在新发展格局的驱动下，新质生产力与新型消费的有机结合成为打造内需体系新优势、注入新动力的新引擎 。 与传统消费形式相比，新型消费具有数字化、智能化、场景体验化等特点，应基于此，更加注重社会再生产各环节的衔接、注重生产者与消费者的良性互动 。这一结合有利于数字消费、绿色消费、健康消费政策的加速实施，实现以消费升级引领产业升级，进一步持续激发和增强社会经济活力，使得中国经济高质量发展取得新的更大成效。</w:t>
      </w:r>
    </w:p>
    <w:p w14:paraId="2DADF86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参考文献：</w:t>
      </w:r>
    </w:p>
    <w:p w14:paraId="0C76DC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〔1〕习近平在中共中央政治局第十一次集体学习时强调：加快发展新质生产力 扎实推进高质量发展〔N〕. 人民日报，2024-02-02（01）.</w:t>
      </w:r>
    </w:p>
    <w:p w14:paraId="5084849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〔2〕中共中央关于进一步全面深化改革 推进中国式现代化的决定〔N〕. 人民日报，2024-07-22（01）.</w:t>
      </w:r>
    </w:p>
    <w:p w14:paraId="770C620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sectPr>
          <w:headerReference r:id="rId24" w:type="default"/>
          <w:footerReference r:id="rId25" w:type="default"/>
          <w:footnotePr>
            <w:numFmt w:val="decimalEnclosedCircleChinese"/>
            <w:numRestart w:val="eachPage"/>
          </w:footnotePr>
          <w:type w:val="continuous"/>
          <w:pgSz w:w="12246" w:h="17178"/>
          <w:pgMar w:top="1732" w:right="1145" w:bottom="1198" w:left="424" w:header="1365" w:footer="965" w:gutter="0"/>
          <w:pgNumType w:fmt="decimal"/>
          <w:cols w:space="425" w:num="1"/>
        </w:sectPr>
      </w:pPr>
    </w:p>
    <w:p w14:paraId="6492FA3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〔3〕马克思恩格斯文集：第10 卷〔M〕. 北京：人民出版社，2009.</w:t>
      </w:r>
    </w:p>
    <w:p w14:paraId="66AC59B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〔4〕马克思恩格斯文集：第1 卷〔M〕. 北京：人民出版社，2009.</w:t>
      </w:r>
    </w:p>
    <w:p w14:paraId="137C3E6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〔5〕马克思 . 资本论：第 1 卷〔M〕. 北京：人民出版社版，2004.</w:t>
      </w:r>
    </w:p>
    <w:p w14:paraId="724BD70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〔6〕马 克 思 . 资 本 论 ：第 2 卷〔M〕. 北 京 ：人 民 出 版 社 ，2004.</w:t>
      </w:r>
    </w:p>
    <w:p w14:paraId="2424507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pPr>
    </w:p>
    <w:p w14:paraId="15A8D16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pPr>
    </w:p>
    <w:p w14:paraId="69BF574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lang w:eastAsia="zh-CN"/>
        </w:rPr>
        <w:sectPr>
          <w:footnotePr>
            <w:numFmt w:val="decimalEnclosedCircleChinese"/>
            <w:numRestart w:val="eachPage"/>
          </w:footnotePr>
          <w:type w:val="continuous"/>
          <w:pgSz w:w="12246" w:h="17178"/>
          <w:pgMar w:top="1732" w:right="1145" w:bottom="1198" w:left="424" w:header="1365" w:footer="965" w:gutter="0"/>
          <w:pgNumType w:fmt="decimal"/>
          <w:cols w:space="425" w:num="1"/>
        </w:sectPr>
      </w:pPr>
      <w:r>
        <w:rPr>
          <w:rFonts w:hint="eastAsia" w:ascii="宋体" w:hAnsi="宋体" w:eastAsia="宋体" w:cs="宋体"/>
          <w:color w:val="231F20"/>
          <w:spacing w:val="0"/>
          <w:w w:val="100"/>
          <w:position w:val="0"/>
          <w:sz w:val="21"/>
          <w:szCs w:val="21"/>
          <w:lang w:eastAsia="zh-CN"/>
        </w:rPr>
        <w:t>（</w:t>
      </w:r>
      <w:r>
        <w:rPr>
          <w:rFonts w:hint="eastAsia" w:ascii="宋体" w:hAnsi="宋体" w:eastAsia="宋体" w:cs="宋体"/>
          <w:color w:val="231F20"/>
          <w:spacing w:val="0"/>
          <w:w w:val="100"/>
          <w:position w:val="0"/>
          <w:sz w:val="21"/>
          <w:szCs w:val="21"/>
          <w:lang w:val="en-US" w:eastAsia="zh-CN"/>
        </w:rPr>
        <w:t>原载</w:t>
      </w:r>
      <w:r>
        <w:rPr>
          <w:rFonts w:hint="eastAsia" w:ascii="Times New Roman" w:hAnsi="Times New Roman" w:eastAsia="宋体" w:cs="Times New Roman"/>
          <w:sz w:val="24"/>
          <w:szCs w:val="24"/>
          <w:lang w:val="en-US" w:eastAsia="zh-CN"/>
        </w:rPr>
        <w:t>《理论探索》2025年第2期,第一作者为张杨。</w:t>
      </w:r>
      <w:r>
        <w:rPr>
          <w:rFonts w:hint="eastAsia" w:ascii="宋体" w:hAnsi="宋体" w:eastAsia="宋体" w:cs="宋体"/>
          <w:color w:val="231F20"/>
          <w:spacing w:val="0"/>
          <w:w w:val="100"/>
          <w:position w:val="0"/>
          <w:sz w:val="21"/>
          <w:szCs w:val="21"/>
          <w:lang w:eastAsia="zh-CN"/>
        </w:rPr>
        <w:t>）</w:t>
      </w:r>
    </w:p>
    <w:p w14:paraId="2604D5A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〔7〕程恩富，王朝科 . 我国基本经济制度的新概括〔J〕. 前线，2020（05）：25-29.</w:t>
      </w:r>
    </w:p>
    <w:p w14:paraId="4DB4880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〔8〕高建昆 . 构建高水平社会主义市场经济体制〔J〕. 政治经济学研究，2023（01）：52-61.</w:t>
      </w:r>
    </w:p>
    <w:p w14:paraId="5A87168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〔9〕马克思恩格斯文集：第 9 卷〔M〕. 北京：人民出版社，2009.</w:t>
      </w:r>
    </w:p>
    <w:p w14:paraId="02ABD3A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〔10〕马克思恩格斯文集：第 2 卷〔M〕. 北京：人民出版社，2009.</w:t>
      </w:r>
    </w:p>
    <w:p w14:paraId="789E9EB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〔11〕周   淼，刘婷婷 . 国际经济政治格局大变动中的世界社会主义〔J〕. 海派经济学，2024（01）：113-124.</w:t>
      </w:r>
    </w:p>
    <w:p w14:paraId="47808C0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〔12〕郗    戈 .“驾驭资本 ”与中国式现代化的理论思考〔J〕. 中国社会科学，2023（12）：4-18+199.</w:t>
      </w:r>
    </w:p>
    <w:p w14:paraId="0013B56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〔13〕列宁专题文集（论马克思主义）〔M〕. 北京：人民出版社，2009.</w:t>
      </w:r>
    </w:p>
    <w:p w14:paraId="5A85327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〔14〕习近平主持召开新时代推动东北全面振兴座谈会强调：牢牢把握东北的重要使命 奋力谱写东北全面振兴新篇章〔N〕. 人民日报，2023-09-10（01）.</w:t>
      </w:r>
    </w:p>
    <w:p w14:paraId="197802C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〔15〕张   杨 . 论建设现代化产业体系须坚持的基本原则——基于马克思产业理论体系的阐释〔J〕. 上海经济研究， 2023（09）：26-40.</w:t>
      </w:r>
    </w:p>
    <w:p w14:paraId="30B13A5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〔16〕习近平 . 高举中国特色社会主义伟大旗帜 为全面建设社会主义现代化国家而团结奋斗——在中国共产党第二十次全国代表大会上的报告〔M〕. 北京：人民出版社，2022.</w:t>
      </w:r>
    </w:p>
    <w:p w14:paraId="12E590C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〔17〕习近平 . 决胜全面建成小康社会 夺取新时代中国特色社会主义伟大胜利——在中国共产党第十九次全国代表大会上的报告〔N〕. 人民日报，2017-10-28（01）.</w:t>
      </w:r>
    </w:p>
    <w:p w14:paraId="022C031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〔18〕习近平在湖北考察时强调 坚持新发展理念打好“ 三大攻坚战 ”奋力谱写新时代湖北发展新篇章〔N〕. 人民日报，2018-04-29（01）.</w:t>
      </w:r>
    </w:p>
    <w:p w14:paraId="6ADEF77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〔19〕习近平主持召开中央财经委员会第四次会议强调推动新一轮大规模设备更新和消费品以旧换新 有效降低全社会物流成本〔N〕. 人民日报，2024-02-24（01）.</w:t>
      </w:r>
    </w:p>
    <w:p w14:paraId="034671F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〔20〕大卫·哈维 . 资本社会的 17 个矛盾〔M〕. 北京：中信出版社，2016.</w:t>
      </w:r>
    </w:p>
    <w:p w14:paraId="4E734FC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〔21〕马克思恩格斯文集：第 8 卷〔M〕. 北京：人民出版社，2009.</w:t>
      </w:r>
    </w:p>
    <w:p w14:paraId="457E421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〔22〕程恩富 . 论经济力中的消费力及与消费关系的辩证运动〔J〕. 消费经济，1997（06）：16-19.</w:t>
      </w:r>
    </w:p>
    <w:p w14:paraId="7914C6E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〔23〕为全面建设社会主义现代化国家开好局起好步〔N〕. 人民日报，2022-12-18（01）.</w:t>
      </w:r>
    </w:p>
    <w:p w14:paraId="49782C0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0BD8FA1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79EBE9B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4BDE4FD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39831845">
      <w:pPr>
        <w:spacing w:line="251" w:lineRule="auto"/>
        <w:rPr>
          <w:rFonts w:ascii="Arial"/>
          <w:sz w:val="21"/>
        </w:rPr>
      </w:pPr>
    </w:p>
    <w:p w14:paraId="7850FEAB">
      <w:pPr>
        <w:pStyle w:val="6"/>
        <w:spacing w:before="75" w:line="187" w:lineRule="auto"/>
        <w:rPr>
          <w:rFonts w:ascii="Times New Roman" w:hAnsi="Times New Roman" w:eastAsia="Times New Roman" w:cs="Times New Roman"/>
          <w:sz w:val="26"/>
          <w:szCs w:val="26"/>
        </w:rPr>
      </w:pPr>
    </w:p>
    <w:p w14:paraId="7E4DEF2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52899B74">
      <w:pPr>
        <w:spacing w:line="276" w:lineRule="auto"/>
        <w:rPr>
          <w:rFonts w:ascii="Arial"/>
          <w:sz w:val="21"/>
        </w:rPr>
      </w:pPr>
    </w:p>
    <w:p w14:paraId="62F348E1"/>
    <w:p w14:paraId="45AAB7F6">
      <w:pPr>
        <w:pStyle w:val="2"/>
        <w:bidi w:val="0"/>
      </w:pPr>
      <w:bookmarkStart w:id="817" w:name="_Toc577518556"/>
      <w:bookmarkStart w:id="818" w:name="_Toc1177992052"/>
      <w:bookmarkStart w:id="819" w:name="_Toc1984002536"/>
      <w:bookmarkStart w:id="820" w:name="_Toc15211"/>
      <w:bookmarkStart w:id="821" w:name="_Toc764984727"/>
      <w:bookmarkStart w:id="822" w:name="_Toc283425632"/>
      <w:r>
        <w:rPr>
          <w:rFonts w:hint="eastAsia"/>
          <w:lang w:val="en-US" w:eastAsia="zh-CN"/>
        </w:rPr>
        <w:t>11</w:t>
      </w:r>
      <w:r>
        <w:t>超越数字资本逻辑：财富积累机制异化与规范</w:t>
      </w:r>
      <w:bookmarkEnd w:id="817"/>
      <w:bookmarkEnd w:id="818"/>
      <w:bookmarkEnd w:id="819"/>
      <w:bookmarkEnd w:id="820"/>
      <w:bookmarkEnd w:id="821"/>
      <w:bookmarkEnd w:id="822"/>
    </w:p>
    <w:p w14:paraId="4291C0DE">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ascii="微软雅黑" w:hAnsi="微软雅黑" w:eastAsia="宋体" w:cs="微软雅黑"/>
          <w:color w:val="231F20"/>
          <w:spacing w:val="0"/>
          <w:w w:val="100"/>
          <w:position w:val="0"/>
          <w:sz w:val="21"/>
          <w:szCs w:val="21"/>
        </w:rPr>
        <w:t>摘   要：</w:t>
      </w:r>
      <w:r>
        <w:rPr>
          <w:rFonts w:eastAsia="宋体"/>
          <w:color w:val="231F20"/>
          <w:spacing w:val="0"/>
          <w:w w:val="100"/>
          <w:position w:val="0"/>
          <w:sz w:val="21"/>
          <w:szCs w:val="21"/>
        </w:rPr>
        <w:t>数字技术发展催生了新型数字资本形态并重构了财富积累机制的价值取向 。数字资本运动与积累始终遵循增值性、扩张性与权力性逻辑特征 。基于马克思主义政治经济学理论框架，运用劳动价值论的分析工具，系统解构数字资本逻辑下财富积累机制的异化本质，着重剖析数字资本在现实层面诱发的财富积累虚拟化、劳资关系异化、公共资源私有化和财富分配集中化等问题 。辩证分析数字资本在财富积累过程中所体现的生产力与生产关系双重属性，深入探析数字资本逻辑下物质与精神财富积累机制异化的内在机理，立足马克思主义政治经济学，提出超越数字资本逻辑的规范财富积累机制现实路径及对策。</w:t>
      </w:r>
    </w:p>
    <w:p w14:paraId="0EB60A1C">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color w:val="231F20"/>
          <w:spacing w:val="0"/>
          <w:w w:val="100"/>
          <w:position w:val="0"/>
          <w:sz w:val="21"/>
          <w:szCs w:val="21"/>
        </w:rPr>
      </w:pPr>
      <w:r>
        <w:rPr>
          <w:rFonts w:ascii="微软雅黑" w:hAnsi="微软雅黑" w:eastAsia="宋体" w:cs="微软雅黑"/>
          <w:color w:val="231F20"/>
          <w:spacing w:val="0"/>
          <w:w w:val="100"/>
          <w:position w:val="0"/>
          <w:sz w:val="21"/>
          <w:szCs w:val="21"/>
        </w:rPr>
        <w:t>关键词：</w:t>
      </w:r>
      <w:r>
        <w:rPr>
          <w:rFonts w:ascii="楷体" w:hAnsi="楷体" w:eastAsia="宋体" w:cs="楷体"/>
          <w:color w:val="231F20"/>
          <w:spacing w:val="0"/>
          <w:w w:val="100"/>
          <w:position w:val="0"/>
          <w:sz w:val="21"/>
          <w:szCs w:val="21"/>
        </w:rPr>
        <w:t>数字资本；财富积累；分配异化；劳动价值论；共同富裕</w:t>
      </w:r>
    </w:p>
    <w:p w14:paraId="18C91DC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eastAsia="宋体"/>
          <w:spacing w:val="0"/>
          <w:w w:val="100"/>
          <w:position w:val="0"/>
          <w:sz w:val="21"/>
          <w:szCs w:val="21"/>
        </w:rPr>
      </w:pPr>
      <w:r>
        <w:rPr>
          <w:rFonts w:eastAsia="宋体"/>
          <w:color w:val="231F20"/>
          <w:spacing w:val="0"/>
          <w:w w:val="100"/>
          <w:position w:val="0"/>
          <w:sz w:val="21"/>
          <w:szCs w:val="21"/>
        </w:rPr>
        <w:t>党的二十届三中全会关注提高人民生活品质，规范收入分配秩序，规范财富积累机制，推动人的全面发展、全体人民共同富裕取得更为明显的实质性进展</w:t>
      </w:r>
      <w:r>
        <w:rPr>
          <w:rFonts w:ascii="新宋体" w:hAnsi="新宋体" w:eastAsia="宋体" w:cs="新宋体"/>
          <w:color w:val="231F20"/>
          <w:spacing w:val="0"/>
          <w:w w:val="100"/>
          <w:position w:val="0"/>
          <w:sz w:val="21"/>
          <w:szCs w:val="21"/>
        </w:rPr>
        <w:t xml:space="preserve">[1] </w:t>
      </w:r>
      <w:r>
        <w:rPr>
          <w:rFonts w:eastAsia="宋体"/>
          <w:color w:val="231F20"/>
          <w:spacing w:val="0"/>
          <w:w w:val="100"/>
          <w:position w:val="0"/>
          <w:sz w:val="21"/>
          <w:szCs w:val="21"/>
        </w:rPr>
        <w:t>。 随着信息技术、人工智能与大数据产业的飞速发展，全球经济正迅速迈入数字资本主义阶段 。数字资本是继产业资本、金融资本后的新型资本形态，依托数字技术和数字劳动，通过持续创造剩余价值实现自我增值 。数字资本生产功能属性有助于加快形成新质生产力和做大财富“蛋糕”，数字资本的生产关系属性表现为增值性、扩张性和权力性，通过数字平台垄断攫取非正常财富积累，对不同阶层群体的就业和收入产生影响，加剧社会财富分配异化和贫富分化。</w:t>
      </w:r>
    </w:p>
    <w:p w14:paraId="1608BDB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以数据为核心生产要素，通过算法、平台与网络效应实现价值的获取与财富的积累。在数字资本所体现的增值性、扩张性与权力性这一新型积累逻辑下，平台企业不再依赖对物质生产资料的控制，而是通过对用户数据、注意力与行为的算法化管理，构建起一种高度集中、高度控制的利润系统 。数字资本这种看似“创新 ”的财富积累机制也带来了深刻的社会异化现象 。 劳动者在平台经济中被数据化、流程化，沦为算法驱动的“任务执行者”；用户身份也逐渐被重构为“数据资源”，在无意识中参与着自身被剥削的过程 。 财富的创造与占有之间的矛盾日益激化，极少数科技资本掌控着巨大的数据红利，而广大普通劳动者和用户则成为被算法规训的对象 。 这种财富积累逻辑进一步突破了传统资本主义的制度边界与伦理约束，劳动关系日趋非标准化，社会公平正被算法决策所侵蚀。基于此，本文立足于马克思主义政治经济学视角，探讨超越数字资本逻辑的财富积累机制及其规范路径 。对该问题的深入研究，对于引导数字资本健康发展、加快培育新质生产力和实现共同富裕具有重要的理论价值与现实意义。</w:t>
      </w:r>
    </w:p>
    <w:p w14:paraId="16B0BE3E">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eastAsia="宋体"/>
          <w:spacing w:val="0"/>
          <w:w w:val="100"/>
          <w:position w:val="0"/>
          <w:sz w:val="21"/>
          <w:szCs w:val="21"/>
        </w:rPr>
      </w:pPr>
      <w:r>
        <w:rPr>
          <w:rFonts w:eastAsia="宋体"/>
          <w:spacing w:val="0"/>
          <w:w w:val="100"/>
          <w:position w:val="0"/>
          <w:sz w:val="21"/>
          <w:szCs w:val="21"/>
        </w:rPr>
        <w:t>一、相关研究概况</w:t>
      </w:r>
    </w:p>
    <w:p w14:paraId="621BC383">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财富积累和分配机制是马克思主义政治经济学领域中的核心问题之一，已有研究基于财富积累和规范收入分配秩序机制视角，从微观家庭和宏观制度层面考察财富积累和财富分配的现状及其影响因素，提出了规范财富积累机制的现实可行性路径 。 现有关于数字经济对财富积累与分配影响的研究，主要集中于对数字资本及数字资本主义的批判性分析。</w:t>
      </w:r>
    </w:p>
    <w:p w14:paraId="0124B024">
      <w:pPr>
        <w:pStyle w:val="6"/>
        <w:pageBreakBefore w:val="0"/>
        <w:widowControl/>
        <w:kinsoku w:val="0"/>
        <w:wordWrap/>
        <w:overflowPunct/>
        <w:topLinePunct w:val="0"/>
        <w:autoSpaceDE w:val="0"/>
        <w:autoSpaceDN w:val="0"/>
        <w:bidi w:val="0"/>
        <w:adjustRightInd w:val="0"/>
        <w:snapToGrid w:val="0"/>
        <w:spacing w:line="360" w:lineRule="auto"/>
        <w:ind w:right="0"/>
        <w:textAlignment w:val="baseline"/>
        <w:rPr>
          <w:rFonts w:eastAsia="宋体"/>
          <w:color w:val="231F20"/>
          <w:spacing w:val="0"/>
          <w:w w:val="100"/>
          <w:position w:val="0"/>
          <w:sz w:val="21"/>
          <w:szCs w:val="21"/>
        </w:rPr>
      </w:pPr>
    </w:p>
    <w:p w14:paraId="50A85527">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eastAsia="宋体"/>
          <w:spacing w:val="0"/>
          <w:w w:val="100"/>
          <w:position w:val="0"/>
          <w:sz w:val="21"/>
          <w:szCs w:val="21"/>
        </w:rPr>
      </w:pPr>
      <w:r>
        <w:rPr>
          <w:rFonts w:eastAsia="宋体"/>
          <w:color w:val="231F20"/>
          <w:spacing w:val="0"/>
          <w:w w:val="100"/>
          <w:position w:val="0"/>
          <w:sz w:val="21"/>
          <w:szCs w:val="21"/>
        </w:rPr>
        <w:t>财富积累和分配机制的相关研究聚焦财富积累和分配正义、规范财富积累机制的现实难题以及突破路径 。贾康和张晶晶基于共同富裕总体目标提出，规范财富积累机制须紧密结合三层次收入分配体系做综合考量，形成整体导向“共同富裕 ”的系统化安排</w:t>
      </w:r>
      <w:r>
        <w:rPr>
          <w:rFonts w:ascii="新宋体" w:hAnsi="新宋体" w:eastAsia="宋体" w:cs="新宋体"/>
          <w:color w:val="231F20"/>
          <w:spacing w:val="0"/>
          <w:w w:val="100"/>
          <w:position w:val="0"/>
          <w:sz w:val="21"/>
          <w:szCs w:val="21"/>
        </w:rPr>
        <w:t xml:space="preserve">[2] </w:t>
      </w:r>
      <w:r>
        <w:rPr>
          <w:rFonts w:eastAsia="宋体"/>
          <w:color w:val="231F20"/>
          <w:spacing w:val="0"/>
          <w:w w:val="100"/>
          <w:position w:val="0"/>
          <w:sz w:val="21"/>
          <w:szCs w:val="21"/>
        </w:rPr>
        <w:t>。李实基于中国居民的财富积累现状和问题，提出有效遏制收入差距扩大的关键在于建立收入分配与财富积累相互协调的多维制度体系</w:t>
      </w:r>
      <w:r>
        <w:rPr>
          <w:rFonts w:ascii="新宋体" w:hAnsi="新宋体" w:eastAsia="宋体" w:cs="新宋体"/>
          <w:color w:val="231F20"/>
          <w:spacing w:val="0"/>
          <w:w w:val="100"/>
          <w:position w:val="0"/>
          <w:sz w:val="21"/>
          <w:szCs w:val="21"/>
        </w:rPr>
        <w:t>[3]</w:t>
      </w:r>
      <w:r>
        <w:rPr>
          <w:rFonts w:eastAsia="宋体"/>
          <w:color w:val="231F20"/>
          <w:spacing w:val="0"/>
          <w:w w:val="100"/>
          <w:position w:val="0"/>
          <w:sz w:val="21"/>
          <w:szCs w:val="21"/>
        </w:rPr>
        <w:t>。此外，也有学者从财富积累和分配正义视角提出了规范收入分配秩序和财富积累机制的现实路径。陈宗胜从制度基础层面提出了坚持社会主义基本经济制度包括收入分配制度不动摇、坚持多种所有制并存、全面落实三次分配制度等规范劳动积累和资本积累机制的关键举措</w:t>
      </w:r>
      <w:r>
        <w:rPr>
          <w:rFonts w:ascii="新宋体" w:hAnsi="新宋体" w:eastAsia="宋体" w:cs="新宋体"/>
          <w:color w:val="231F20"/>
          <w:spacing w:val="0"/>
          <w:w w:val="100"/>
          <w:position w:val="0"/>
          <w:sz w:val="21"/>
          <w:szCs w:val="21"/>
        </w:rPr>
        <w:t xml:space="preserve">[4] </w:t>
      </w:r>
      <w:r>
        <w:rPr>
          <w:rFonts w:eastAsia="宋体"/>
          <w:color w:val="231F20"/>
          <w:spacing w:val="0"/>
          <w:w w:val="100"/>
          <w:position w:val="0"/>
          <w:sz w:val="21"/>
          <w:szCs w:val="21"/>
        </w:rPr>
        <w:t>。 中国式现代化财富积累的价值目标是实现社会各阶层共同富裕和促进人的全面发展 。 丁晓钦和崔泽鹏通过比较中国式现代化和西方资本主义财富积累机制，认为中国式现代化财富积累机制的特征是内源性、本质是共享性，并在财富积累路径、发展理念、世界历史意义层面超越了西方资本主义的财富积累模式</w:t>
      </w:r>
      <w:r>
        <w:rPr>
          <w:rFonts w:ascii="新宋体" w:hAnsi="新宋体" w:eastAsia="宋体" w:cs="新宋体"/>
          <w:color w:val="231F20"/>
          <w:spacing w:val="0"/>
          <w:w w:val="100"/>
          <w:position w:val="0"/>
          <w:sz w:val="21"/>
          <w:szCs w:val="21"/>
        </w:rPr>
        <w:t xml:space="preserve">[5] </w:t>
      </w:r>
      <w:r>
        <w:rPr>
          <w:rFonts w:eastAsia="宋体"/>
          <w:color w:val="231F20"/>
          <w:spacing w:val="0"/>
          <w:w w:val="100"/>
          <w:position w:val="0"/>
          <w:sz w:val="21"/>
          <w:szCs w:val="21"/>
        </w:rPr>
        <w:t>。潘越和程恩富提出了促进社会各阶层共同富裕的五种分配方式，着重阐释了运用资本市场财富分配方式促进共同富裕的作用机制和政策路径</w:t>
      </w:r>
      <w:r>
        <w:rPr>
          <w:rFonts w:ascii="新宋体" w:hAnsi="新宋体" w:eastAsia="宋体" w:cs="新宋体"/>
          <w:color w:val="231F20"/>
          <w:spacing w:val="0"/>
          <w:w w:val="100"/>
          <w:position w:val="0"/>
          <w:sz w:val="21"/>
          <w:szCs w:val="21"/>
        </w:rPr>
        <w:t xml:space="preserve">[6] </w:t>
      </w:r>
      <w:r>
        <w:rPr>
          <w:rFonts w:eastAsia="宋体"/>
          <w:color w:val="231F20"/>
          <w:spacing w:val="0"/>
          <w:w w:val="100"/>
          <w:position w:val="0"/>
          <w:sz w:val="21"/>
          <w:szCs w:val="21"/>
        </w:rPr>
        <w:t>。洪银兴基于马克思的财富理论，认为马克思的经济学理论中既有价值论分析又有财富论分析，财富创造是劳动、土地、资本、技术、管理等要素集合的过程，着重强调资本对财富积累的辩证作用，从而为规范财富积累提供了理论依据</w:t>
      </w:r>
      <w:r>
        <w:rPr>
          <w:rFonts w:ascii="新宋体" w:hAnsi="新宋体" w:eastAsia="宋体" w:cs="新宋体"/>
          <w:color w:val="231F20"/>
          <w:spacing w:val="0"/>
          <w:w w:val="100"/>
          <w:position w:val="0"/>
          <w:sz w:val="21"/>
          <w:szCs w:val="21"/>
        </w:rPr>
        <w:t>[7]</w:t>
      </w:r>
      <w:r>
        <w:rPr>
          <w:rFonts w:eastAsia="宋体"/>
          <w:color w:val="231F20"/>
          <w:spacing w:val="0"/>
          <w:w w:val="100"/>
          <w:position w:val="0"/>
          <w:sz w:val="21"/>
          <w:szCs w:val="21"/>
        </w:rPr>
        <w:t>。</w:t>
      </w:r>
    </w:p>
    <w:p w14:paraId="1451407A">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 xml:space="preserve">微观视角研究居民家庭财富结构和财富分配差距问题为规范财富积累机制提供了现实参照。 </w:t>
      </w:r>
      <w:r>
        <w:rPr>
          <w:rFonts w:ascii="新宋体" w:hAnsi="新宋体" w:eastAsia="宋体" w:cs="新宋体"/>
          <w:color w:val="231F20"/>
          <w:spacing w:val="0"/>
          <w:w w:val="100"/>
          <w:position w:val="0"/>
          <w:sz w:val="21"/>
          <w:szCs w:val="21"/>
        </w:rPr>
        <w:t>Sicular</w:t>
      </w:r>
      <w:r>
        <w:rPr>
          <w:rFonts w:eastAsia="宋体"/>
          <w:color w:val="231F20"/>
          <w:spacing w:val="0"/>
          <w:w w:val="100"/>
          <w:position w:val="0"/>
          <w:sz w:val="21"/>
          <w:szCs w:val="21"/>
        </w:rPr>
        <w:t>利用家庭调查数据，分析了城乡收入及财富差距对中国总体不平等的贡献度以及财富差距影响因素</w:t>
      </w:r>
      <w:r>
        <w:rPr>
          <w:rFonts w:ascii="新宋体" w:hAnsi="新宋体" w:eastAsia="宋体" w:cs="新宋体"/>
          <w:color w:val="231F20"/>
          <w:spacing w:val="0"/>
          <w:w w:val="100"/>
          <w:position w:val="0"/>
          <w:sz w:val="21"/>
          <w:szCs w:val="21"/>
        </w:rPr>
        <w:t xml:space="preserve">[8] </w:t>
      </w:r>
      <w:r>
        <w:rPr>
          <w:rFonts w:eastAsia="宋体"/>
          <w:color w:val="231F20"/>
          <w:spacing w:val="0"/>
          <w:w w:val="100"/>
          <w:position w:val="0"/>
          <w:sz w:val="21"/>
          <w:szCs w:val="21"/>
        </w:rPr>
        <w:t>。李实利用中国家庭收入调查数据对居民人均净资产构成结构进行分解，得出房价和居民储蓄与居民家庭财富显著相关，提出了推进收入分配制度改革、完善房地产价格调控政策与消除资本市场垄断等对策</w:t>
      </w:r>
      <w:r>
        <w:rPr>
          <w:rFonts w:ascii="新宋体" w:hAnsi="新宋体" w:eastAsia="宋体" w:cs="新宋体"/>
          <w:color w:val="231F20"/>
          <w:spacing w:val="0"/>
          <w:w w:val="100"/>
          <w:position w:val="0"/>
          <w:sz w:val="21"/>
          <w:szCs w:val="21"/>
        </w:rPr>
        <w:t xml:space="preserve">[9] </w:t>
      </w:r>
      <w:r>
        <w:rPr>
          <w:rFonts w:eastAsia="宋体"/>
          <w:color w:val="231F20"/>
          <w:spacing w:val="0"/>
          <w:w w:val="100"/>
          <w:position w:val="0"/>
          <w:sz w:val="21"/>
          <w:szCs w:val="21"/>
        </w:rPr>
        <w:t>。基于共同富裕的战略目标，杨灿明通过对中国居民收入与财富状况的调查与分析，提出在规范财富积累机制的过程中，应重点协调和处理好七大关系</w:t>
      </w:r>
      <w:r>
        <w:rPr>
          <w:rFonts w:ascii="新宋体" w:hAnsi="新宋体" w:eastAsia="宋体" w:cs="新宋体"/>
          <w:color w:val="231F20"/>
          <w:spacing w:val="0"/>
          <w:w w:val="100"/>
          <w:position w:val="0"/>
          <w:sz w:val="21"/>
          <w:szCs w:val="21"/>
        </w:rPr>
        <w:t xml:space="preserve">[10] </w:t>
      </w:r>
      <w:r>
        <w:rPr>
          <w:rFonts w:eastAsia="宋体"/>
          <w:color w:val="231F20"/>
          <w:spacing w:val="0"/>
          <w:w w:val="100"/>
          <w:position w:val="0"/>
          <w:sz w:val="21"/>
          <w:szCs w:val="21"/>
        </w:rPr>
        <w:t>。 财富代际传递对居民家庭财富积累有重要影响，薛宝贵对中国财富代际传递问题的研究表明，影响财富代际传递的主要因素有财富分布情况、遗产税政策以及房产的代际传递，并针对财富传递效应提出了政策建议</w:t>
      </w:r>
      <w:r>
        <w:rPr>
          <w:rFonts w:ascii="新宋体" w:hAnsi="新宋体" w:eastAsia="宋体" w:cs="新宋体"/>
          <w:color w:val="231F20"/>
          <w:spacing w:val="0"/>
          <w:w w:val="100"/>
          <w:position w:val="0"/>
          <w:sz w:val="21"/>
          <w:szCs w:val="21"/>
        </w:rPr>
        <w:t xml:space="preserve">[11] </w:t>
      </w:r>
      <w:r>
        <w:rPr>
          <w:rFonts w:eastAsia="宋体"/>
          <w:color w:val="231F20"/>
          <w:spacing w:val="0"/>
          <w:w w:val="100"/>
          <w:position w:val="0"/>
          <w:sz w:val="21"/>
          <w:szCs w:val="21"/>
        </w:rPr>
        <w:t>。 规范财富积累机制以强监管、防风险、促共富为主线，王丰和田茂敏通过对居民、企业、政府、国外四部门财富积累活动及其互动关系的分析，总结厘清了财富积累的动力机制、作用机制、长效机制和平衡机制</w:t>
      </w:r>
      <w:r>
        <w:rPr>
          <w:rFonts w:ascii="新宋体" w:hAnsi="新宋体" w:eastAsia="宋体" w:cs="新宋体"/>
          <w:color w:val="231F20"/>
          <w:spacing w:val="0"/>
          <w:w w:val="100"/>
          <w:position w:val="0"/>
          <w:sz w:val="21"/>
          <w:szCs w:val="21"/>
        </w:rPr>
        <w:t>[12]</w:t>
      </w:r>
      <w:r>
        <w:rPr>
          <w:rFonts w:eastAsia="宋体"/>
          <w:color w:val="231F20"/>
          <w:spacing w:val="0"/>
          <w:w w:val="100"/>
          <w:position w:val="0"/>
          <w:sz w:val="21"/>
          <w:szCs w:val="21"/>
        </w:rPr>
        <w:t>。</w:t>
      </w:r>
    </w:p>
    <w:p w14:paraId="7E12A827">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数字资本和数字资本主义批判的研究主要聚焦数字资本的运行规律和作用机制 。侯晓东和程恩富从马克思主义政治经济学视角论证了数字资本双重属性对共同富裕的影响，针对性地提出了规范和引导数字资本赋能共同富裕的对策</w:t>
      </w:r>
      <w:r>
        <w:rPr>
          <w:rFonts w:ascii="新宋体" w:hAnsi="新宋体" w:eastAsia="宋体" w:cs="新宋体"/>
          <w:color w:val="231F20"/>
          <w:spacing w:val="0"/>
          <w:w w:val="100"/>
          <w:position w:val="0"/>
          <w:sz w:val="21"/>
          <w:szCs w:val="21"/>
        </w:rPr>
        <w:t xml:space="preserve">[13] </w:t>
      </w:r>
      <w:r>
        <w:rPr>
          <w:rFonts w:eastAsia="宋体"/>
          <w:color w:val="231F20"/>
          <w:spacing w:val="0"/>
          <w:w w:val="100"/>
          <w:position w:val="0"/>
          <w:sz w:val="21"/>
          <w:szCs w:val="21"/>
        </w:rPr>
        <w:t>。 盖凯程和李孟杰从主导、扩张和权力三重逻辑分析了数字资本特性与行为规律，指出既要引导数字资本发展新质生产力，又要引导数字资本符合社会主义原则和方向</w:t>
      </w:r>
      <w:r>
        <w:rPr>
          <w:rFonts w:ascii="新宋体" w:hAnsi="新宋体" w:eastAsia="宋体" w:cs="新宋体"/>
          <w:color w:val="231F20"/>
          <w:spacing w:val="0"/>
          <w:w w:val="100"/>
          <w:position w:val="0"/>
          <w:sz w:val="21"/>
          <w:szCs w:val="21"/>
        </w:rPr>
        <w:t xml:space="preserve">[14] </w:t>
      </w:r>
      <w:r>
        <w:rPr>
          <w:rFonts w:eastAsia="宋体"/>
          <w:color w:val="231F20"/>
          <w:spacing w:val="0"/>
          <w:w w:val="100"/>
          <w:position w:val="0"/>
          <w:sz w:val="21"/>
          <w:szCs w:val="21"/>
        </w:rPr>
        <w:t>。 数字资本主义发展呈现出数字资本增值逻辑下的“竞争—垄断 ”特征、数字资本扩张逻辑下的“ 中心—边缘 ”控制以及数字资本物化逻辑下的“多维—单向 ”压制趋势，扬弃和超越数字资本逻辑，叶龙祥和钟锦宸提出了实现从“资本 ”向“人本 ”回归的实践路径</w:t>
      </w:r>
      <w:r>
        <w:rPr>
          <w:rFonts w:ascii="新宋体" w:hAnsi="新宋体" w:eastAsia="宋体" w:cs="新宋体"/>
          <w:color w:val="231F20"/>
          <w:spacing w:val="0"/>
          <w:w w:val="100"/>
          <w:position w:val="0"/>
          <w:sz w:val="21"/>
          <w:szCs w:val="21"/>
        </w:rPr>
        <w:t xml:space="preserve">[15] </w:t>
      </w:r>
      <w:r>
        <w:rPr>
          <w:rFonts w:eastAsia="宋体"/>
          <w:color w:val="231F20"/>
          <w:spacing w:val="0"/>
          <w:w w:val="100"/>
          <w:position w:val="0"/>
          <w:sz w:val="21"/>
          <w:szCs w:val="21"/>
        </w:rPr>
        <w:t>。数字资本具有生产要素属性和生产关系属性的二重性，在生产运动中呈现出劳动过程和价值增值过程的二重性，朱成全提出，要辩证对待数字资本，发挥数字资本财富积累的积极效应</w:t>
      </w:r>
      <w:r>
        <w:rPr>
          <w:rFonts w:ascii="新宋体" w:hAnsi="新宋体" w:eastAsia="宋体" w:cs="新宋体"/>
          <w:color w:val="231F20"/>
          <w:spacing w:val="0"/>
          <w:w w:val="100"/>
          <w:position w:val="0"/>
          <w:sz w:val="21"/>
          <w:szCs w:val="21"/>
        </w:rPr>
        <w:t xml:space="preserve">[16] </w:t>
      </w:r>
      <w:r>
        <w:rPr>
          <w:rFonts w:eastAsia="宋体"/>
          <w:color w:val="231F20"/>
          <w:spacing w:val="0"/>
          <w:w w:val="100"/>
          <w:position w:val="0"/>
          <w:sz w:val="21"/>
          <w:szCs w:val="21"/>
        </w:rPr>
        <w:t>。 何自力和彭李政分析了数字资本主义劳资关系的新变化，认为数字资本主义以资本为核心，加深了劳动对资本的实际从属，提出要在坚持社会主义基本经济制度的基础上，规范和引导资本健康发展，满足人民日益增长的美好生活需要和实现共同富裕</w:t>
      </w:r>
      <w:r>
        <w:rPr>
          <w:rFonts w:ascii="新宋体" w:hAnsi="新宋体" w:eastAsia="宋体" w:cs="新宋体"/>
          <w:color w:val="231F20"/>
          <w:spacing w:val="0"/>
          <w:w w:val="100"/>
          <w:position w:val="0"/>
          <w:sz w:val="21"/>
          <w:szCs w:val="21"/>
        </w:rPr>
        <w:t>[17]</w:t>
      </w:r>
      <w:r>
        <w:rPr>
          <w:rFonts w:eastAsia="宋体"/>
          <w:color w:val="231F20"/>
          <w:spacing w:val="0"/>
          <w:w w:val="100"/>
          <w:position w:val="0"/>
          <w:sz w:val="21"/>
          <w:szCs w:val="21"/>
        </w:rPr>
        <w:t>。</w:t>
      </w:r>
    </w:p>
    <w:p w14:paraId="75C077B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color w:val="231F20"/>
          <w:spacing w:val="0"/>
          <w:w w:val="100"/>
          <w:position w:val="0"/>
          <w:sz w:val="21"/>
          <w:szCs w:val="21"/>
        </w:rPr>
      </w:pPr>
      <w:r>
        <w:rPr>
          <w:rFonts w:eastAsia="宋体"/>
          <w:color w:val="231F20"/>
          <w:spacing w:val="0"/>
          <w:w w:val="100"/>
          <w:position w:val="0"/>
          <w:sz w:val="21"/>
          <w:szCs w:val="21"/>
        </w:rPr>
        <w:t>聚焦在共同富裕目标下规范居民财富积累机制，现有研究重点分析财富创造和分配的理论内涵和政策指向，从微观视角实证分析了居民家庭财富结构现状和分配差距的影响因素 。基于对数字经济背景下数字资本运行规律和作用机制的分析，阐释了数字资本对财富积累机制的影响机理 。 相关研究为本文进一步分析提供了理论基础和政策借鉴，本文尝试在研究视角、研究内容和研究结论层面进行拓展创新 。研究视角从收入分配转向对财富积累的考察，以更加精准地衡量共同富裕的实现程度 。研究内容重点阐释数字资本属性特征、无序扩张三重逻辑和财富积累机制的异化表现 。基于马克思主义政治经济学相关理论，从物质财富和精神财富层面提出超越数字资本逻辑的中国式现代化共同富裕实现路径。</w:t>
      </w:r>
    </w:p>
    <w:p w14:paraId="2F8E455F">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ascii="微软雅黑" w:hAnsi="微软雅黑" w:eastAsia="宋体" w:cs="微软雅黑"/>
          <w:spacing w:val="0"/>
          <w:w w:val="100"/>
          <w:position w:val="0"/>
          <w:sz w:val="21"/>
          <w:szCs w:val="21"/>
        </w:rPr>
      </w:pPr>
      <w:r>
        <w:rPr>
          <w:rFonts w:ascii="微软雅黑" w:hAnsi="微软雅黑" w:eastAsia="宋体" w:cs="微软雅黑"/>
          <w:color w:val="231F20"/>
          <w:spacing w:val="0"/>
          <w:w w:val="100"/>
          <w:position w:val="0"/>
          <w:sz w:val="21"/>
          <w:szCs w:val="21"/>
        </w:rPr>
        <w:t>二、数字资本逻辑下财富积累机制的异化表现及问题分析</w:t>
      </w:r>
    </w:p>
    <w:p w14:paraId="78546146">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技术的革命性突破重塑了全球的生产与交换关系，催生出以数据为核心生产要素的“数字资本逻辑”。在这一逻辑的支配下，资本积累机制依托算法、平台与数据垄断，构建起新的价值攫取体系，财富积累和分配机制的异化趋势愈发明显，劳动者在算法支配下丧失主体地位，公共数据资源被私有化垄断，全球财富分配的马太效应加剧 。数字资本不仅重构了经济关系，也对权力结构、社会公正与个人自由产生了深远影响。</w:t>
      </w:r>
    </w:p>
    <w:p w14:paraId="2C730E7A">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（一）数字资本逻辑的三重特征：增值性、扩张性与权力性</w:t>
      </w:r>
    </w:p>
    <w:p w14:paraId="469D2AE7">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数字资本逻辑展现出独特的增值性、扩张性与权力性特征 。这三大特征在实践中相互交织，共同加剧了财富和权力的集聚与重新分配，增值性使得资本在信息流和数据流中不断自我增值；扩张性则体现为平台对市场空间和社会关系的广泛渗透；权力性则通过对数据、用户行为以及社会机制的控制，进一步巩固了数字资本的统治地位。</w:t>
      </w:r>
    </w:p>
    <w:p w14:paraId="26D25A53">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增值性：价值增值机制与剩余价值的攫取逻辑 。 马克思在《资本论》中指出，资本的本质在于对剩余价值的持续追逐，而剩余价值来源于劳动者的无偿劳动</w:t>
      </w:r>
      <w:r>
        <w:rPr>
          <w:rFonts w:ascii="新宋体" w:hAnsi="新宋体" w:eastAsia="宋体" w:cs="新宋体"/>
          <w:color w:val="231F20"/>
          <w:spacing w:val="0"/>
          <w:w w:val="100"/>
          <w:position w:val="0"/>
          <w:sz w:val="21"/>
          <w:szCs w:val="21"/>
        </w:rPr>
        <w:t xml:space="preserve">[18] </w:t>
      </w:r>
      <w:r>
        <w:rPr>
          <w:rFonts w:eastAsia="宋体"/>
          <w:color w:val="231F20"/>
          <w:spacing w:val="0"/>
          <w:w w:val="100"/>
          <w:position w:val="0"/>
          <w:sz w:val="21"/>
          <w:szCs w:val="21"/>
        </w:rPr>
        <w:t>。在数字资本逻辑下，这一机制被延伸为“数据劳动 ”的资本化，即平台通过免费服务吸引用户，使用户在浏览、搜索、消费等过程中贡献可量化的数据，再由平台将这些数据通过算法转化为商业价值，实现资本的“隐性增值”。 以谷歌为例，通过追踪用户行为并精准投放广告，谷歌将“用户数据 ”转化为利润，最终实现资本的持续增值，从中获取的价值却不作为劳动报酬反馈给用户 。 正是这种看似“免费使用”，实则深度收割数字财富的机制，体现了数字资本在没有生产性劳动投入下的持续增值能力，深度重塑了劳动价值与财富积累的内在关系。</w:t>
      </w:r>
    </w:p>
    <w:p w14:paraId="7616AF8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扩张性：平台垄断扩张与资本积累驱动机制。在数字资本逻辑的主导下，平台企业的扩张性不仅表现为业务边界的不断延伸，而且更深层地体现为对市场资源与用户数据的系统性垄断与整合，其背后隐含着典型的资本积累驱动机制 。 马克思主义政治经济学理论揭示了资本积累的核心在于对剩余价值的持续攫取与扩大再生产，平台经济正通过技术垄断、规模效应与算法操控，构建出新的剩余价值生成机制 。 以谷歌为例，其依托搜索引擎和广告系统，通过对用户行为的全流程追踪与数据挖掘，实现了精准广告投放，从而将用户行为数据转化为资本增值的工具 。谷歌的扩张性体现了数字资本在生产力发展逻辑下对市场空间、价值分配乃至社会意识形态的深度介入，揭示了当代数字资本演化的制度本质与风险趋向。</w:t>
      </w:r>
    </w:p>
    <w:p w14:paraId="28F55F68">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权力性：技术规训与资本统治的新形态 。 马克思主义政治经济学认为资本不仅是一种生产关系的经济形态，更在制度与意识形态层面展现出深刻的统治功能 。数字资本通过平台算法、推荐机制和数据调控，构建起一种“去中心化 ”表象下的“ 中心化控制”，即所谓“看不见的权力结构”。 以谷歌为例，其搜索排序、内容过滤和广告投放机制不仅基于商业逻辑进行优化，而且潜移默化地影响了用户的认知框架与价值判断 。 用户的注意力在无感知的条件下被导向预设的信息路径，公众舆论与意识形态的形成也逐渐被平台算法所塑造 。 这种技术规训机制本质上是资本对意识形态控制的新形态，谷歌以“中立工具 ”的姿态参与信息生产与传播，映射出数字资本对社会结构与意识形态的深层统治能力。</w:t>
      </w:r>
    </w:p>
    <w:p w14:paraId="12640CA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（二）数字资本逻辑下财富积累机制的异化表现及问题分析</w:t>
      </w:r>
    </w:p>
    <w:p w14:paraId="3BCEA9E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在资本主义发展过程中，财富积累机制异化表现为财富的积累方式逐渐脱离了以劳动创造价值为基础的路径，转而依赖金融投机、资本增值等手段，从而导致劳动者与其劳动成果的分离，社会财富分配的不平等，以及人与人之间关系的物化</w:t>
      </w:r>
      <w:r>
        <w:rPr>
          <w:rFonts w:ascii="新宋体" w:hAnsi="新宋体" w:eastAsia="宋体" w:cs="新宋体"/>
          <w:color w:val="231F20"/>
          <w:spacing w:val="0"/>
          <w:w w:val="100"/>
          <w:position w:val="0"/>
          <w:sz w:val="21"/>
          <w:szCs w:val="21"/>
        </w:rPr>
        <w:t>[19]</w:t>
      </w:r>
      <w:r>
        <w:rPr>
          <w:rFonts w:eastAsia="宋体"/>
          <w:color w:val="231F20"/>
          <w:spacing w:val="0"/>
          <w:w w:val="100"/>
          <w:position w:val="0"/>
          <w:sz w:val="21"/>
          <w:szCs w:val="21"/>
        </w:rPr>
        <w:t>。</w:t>
      </w:r>
    </w:p>
    <w:p w14:paraId="7FEBAEC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首先，财富积累手段的虚拟化与投机化 。 随着数字资本逻辑的深入演化，传统依赖实体生产和商品交换的财富积累方式发生了深刻变异，呈现出明显的虚拟化与投机化趋势 。 马克思在《资本论》中所揭示的资本对自我增值逻辑的依赖，在数字时代被极大地加速与放大 。 资本不再主要通过扩大生产规模或提高劳动生产率实现增值，而是越来越多地通过对数据、信息、金融衍生品及虚拟资产的操控进行价值再生产，呈现出与传统劳动过程相脱离的财富再生产机制 。数字技术的普及与金融创新的融合，催生出一系列典型的财富虚拟化现象 。 比特币、以太坊等加密资产依托区块链技术生成，表面上构建了去中心化的金融体系，实质上却成为资本力量进行高风险套利与价格操纵的新兴平台。加密货币价格走势与实体经济基本面严重脱节，增加了全球金融系统的脆弱性，反映了财富积累从实体劳动脱嵌、转向纯粹投机操作的本质特征</w:t>
      </w:r>
      <w:r>
        <w:rPr>
          <w:rFonts w:ascii="新宋体" w:hAnsi="新宋体" w:eastAsia="宋体" w:cs="新宋体"/>
          <w:color w:val="231F20"/>
          <w:spacing w:val="0"/>
          <w:w w:val="100"/>
          <w:position w:val="0"/>
          <w:sz w:val="21"/>
          <w:szCs w:val="21"/>
        </w:rPr>
        <w:t xml:space="preserve">[20] </w:t>
      </w:r>
      <w:r>
        <w:rPr>
          <w:rFonts w:eastAsia="宋体"/>
          <w:color w:val="231F20"/>
          <w:spacing w:val="0"/>
          <w:w w:val="100"/>
          <w:position w:val="0"/>
          <w:sz w:val="21"/>
          <w:szCs w:val="21"/>
        </w:rPr>
        <w:t>。 总之，财富积累手段的虚拟化与投机化，不仅重塑了资本扩张的运行机制，还加剧了全球经济的不稳定性，增加了系统性金融风险的隐蔽性和扩散性。</w:t>
      </w:r>
    </w:p>
    <w:p w14:paraId="52F4B16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其次，资本与劳动关系的进一步异化 。在数字资本逻辑主导下，资本与劳动之间发生了新的结构性变异，马克思在《资本论》中所揭示的劳动异化现象被进一步加剧并复杂化 。 劳动者不仅失去对生产资料的掌控，而且其劳动成果本身在数字环境中被无形剥夺与资本化，形成了更深层次的异化关系 。平台以技术中介掩盖了资本对劳动过程的主导权，强化了劳动时间的碎片化、收入的不确定性与劳动过程的不可见化，形成了一种“去契约化 ”的新型雇佣关系 。此外，劳动者在数字资本体系中的主体性进一步被削弱 。 劳动成果不再由劳动者直接拥有或控制，而是被资本通过技术手段快速整合、转化、剥夺，劳动者仅作为算法数据的一部分被动参与，丧失了对劳动意义与价值实现路径的认知 。 总体而言，数字资本逻辑下的资本与劳动关系异化，体现为劳动过程的隐形化、劳动成果的资本化、劳动主体性的消解以及劳动保障体系的全面弱化 。 这种异化不仅加深了资本对劳动的控制与压迫，还在全球范围内重塑了劳动力市场结构，成为数字时代贫富差距扩大的重要制度性根源。</w:t>
      </w:r>
    </w:p>
    <w:p w14:paraId="7101103D">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再次，公共资源私有化与“数字公域危机”。数字资本主义的扩张使公共资源私有化趋势日益加剧，尤其在数据、信息、算法等领域表现尤为突出。传统意义上的公共资源，如自然资源与社会基础设施，逐步被少数科技巨头所垄断，演化为新的私有化形态 。 这一进程不仅加剧了资源配置的极端集中，而且引发了所谓的“数字公域危机”，即有限的数字公共资源被过度占用、剥夺与商业化利用，最终对社会整体福祉与公平秩序造成了深远的负面影响 。依循马克思对资本积累机制的分析，这一过程体现了资本通过圈占公共资源实现扩张与再生产的持续逻辑 。数字资本逻辑下大数据的采集与利用往往依赖于对用户信息的控制与私有化 。 此外，随着数字平台化趋势的加强，公共空间逐渐被私营企业所垄断，平台公司通过独占网络效应与规模经济，将市场权力与资源配置进一步集中，压缩了创新的空间，削弱了竞争机制，并加剧了社会阶层的固化 。这种新的资源私有化，不仅影响了消费者和劳动者的利益，而且还通过平台的算法与政策调控 ，进一步加剧了信息不对称和财富分配不平等</w:t>
      </w:r>
      <w:r>
        <w:rPr>
          <w:rFonts w:ascii="新宋体" w:hAnsi="新宋体" w:eastAsia="宋体" w:cs="新宋体"/>
          <w:color w:val="231F20"/>
          <w:spacing w:val="0"/>
          <w:w w:val="100"/>
          <w:position w:val="0"/>
          <w:sz w:val="21"/>
          <w:szCs w:val="21"/>
        </w:rPr>
        <w:t>[21]</w:t>
      </w:r>
      <w:r>
        <w:rPr>
          <w:rFonts w:eastAsia="宋体"/>
          <w:color w:val="231F20"/>
          <w:spacing w:val="0"/>
          <w:w w:val="100"/>
          <w:position w:val="0"/>
          <w:sz w:val="21"/>
          <w:szCs w:val="21"/>
        </w:rPr>
        <w:t>。</w:t>
      </w:r>
    </w:p>
    <w:p w14:paraId="6EBB723D">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最后，财富分配结构的极端集中化 。数字资本通过技术垄断、金融杠杆与数据权力的三重控制，将社会财富加速向少数资本寡头集中，而劳动者、中小经营者与消费者则沦为“数字佃农”，既承担生产性风险，又被排斥于价值分配之外 。这种失衡的财富分配格局进一步验证了马克思关于资本主义积累逻辑的批判，即技术进步不仅未能缓和阶级矛盾，反而以更隐蔽的机制强化了普遍性剥削 。在数字资本逻辑主导下，财富与资源加速向少数大型平台企业集中，形成了高度寡头化的市场结构 。平台型资本依托规模经济、网络效应与数据垄断，在短时间内确立了对用户入口、交易通道与算法分配规则的绝对控制权，极大提升了资本积累速度与垄断收益 。据统计，国内前十大互联网平台企业交易额占全行业七成以上，体现出明显的资本集中趋势</w:t>
      </w:r>
      <w:r>
        <w:rPr>
          <w:rStyle w:val="20"/>
          <w:rFonts w:eastAsia="宋体"/>
          <w:color w:val="231F20"/>
          <w:spacing w:val="0"/>
          <w:w w:val="100"/>
          <w:position w:val="0"/>
          <w:sz w:val="21"/>
          <w:szCs w:val="21"/>
        </w:rPr>
        <w:footnoteReference w:id="1051"/>
      </w:r>
      <w:r>
        <w:rPr>
          <w:rFonts w:eastAsia="宋体"/>
          <w:color w:val="231F20"/>
          <w:spacing w:val="0"/>
          <w:w w:val="100"/>
          <w:position w:val="0"/>
          <w:sz w:val="21"/>
          <w:szCs w:val="21"/>
        </w:rPr>
        <w:t>。与此同时，中小型企业与平台边缘劳动者则被系统性挤压至产业链末端，议价能力与发展机会持续被削弱，贫富差距和阶层固化现象进一步加剧。</w:t>
      </w:r>
    </w:p>
    <w:p w14:paraId="7BF6D324">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ascii="微软雅黑" w:hAnsi="微软雅黑" w:eastAsia="宋体" w:cs="微软雅黑"/>
          <w:spacing w:val="0"/>
          <w:w w:val="100"/>
          <w:position w:val="0"/>
          <w:sz w:val="21"/>
          <w:szCs w:val="21"/>
        </w:rPr>
      </w:pPr>
      <w:r>
        <w:rPr>
          <w:rFonts w:ascii="微软雅黑" w:hAnsi="微软雅黑" w:eastAsia="宋体" w:cs="微软雅黑"/>
          <w:color w:val="231F20"/>
          <w:spacing w:val="0"/>
          <w:w w:val="100"/>
          <w:position w:val="0"/>
          <w:sz w:val="21"/>
          <w:szCs w:val="21"/>
        </w:rPr>
        <w:t>三、数字资本逻辑下财富积累和分配机制的异化机理</w:t>
      </w:r>
    </w:p>
    <w:p w14:paraId="024A7483">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数字平台驱动的数据资本逻辑，极大提升了生产效率与社会联通性，然而，技术进步的“解放叙事 ”背后，隐藏着更为隐蔽的剥削结构与财富积累异化危机，这一矛盾本质上并未超越马克思对资本主义内在规律的揭示——资本通过控制生产资料（数据）与劳动过程（算法）实现剩余价值的最大化占有，但其技术形态的迭代使得剥削机制更具迷惑性与复杂性。</w:t>
      </w:r>
    </w:p>
    <w:p w14:paraId="2382E95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马克思劳动价值论在数字经济时代并没有过时，数字劳动者的活劳动依然是价值创造的唯一源泉 。数字资本并不直接创造价值，但却是财富创造的主要形式，在财富积累中具有双重属性效应，既能通过资本积累增加社会财富积累量，又因逐利本性造成贫富差距扩大。</w:t>
      </w:r>
    </w:p>
    <w:p w14:paraId="11DE7A9B">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spacing w:val="0"/>
          <w:w w:val="100"/>
          <w:position w:val="0"/>
          <w:sz w:val="21"/>
          <w:szCs w:val="21"/>
        </w:rPr>
        <mc:AlternateContent>
          <mc:Choice Requires="wps">
            <w:drawing>
              <wp:anchor distT="0" distB="0" distL="114300" distR="114300" simplePos="0" relativeHeight="251715584" behindDoc="0" locked="0" layoutInCell="1" allowOverlap="1">
                <wp:simplePos x="0" y="0"/>
                <wp:positionH relativeFrom="column">
                  <wp:posOffset>-1284605</wp:posOffset>
                </wp:positionH>
                <wp:positionV relativeFrom="paragraph">
                  <wp:posOffset>711835</wp:posOffset>
                </wp:positionV>
                <wp:extent cx="4236720" cy="292735"/>
                <wp:effectExtent l="0" t="0" r="0" b="0"/>
                <wp:wrapNone/>
                <wp:docPr id="429" name="文本框 429"/>
                <wp:cNvGraphicFramePr/>
                <a:graphic xmlns:a="http://schemas.openxmlformats.org/drawingml/2006/main">
                  <a:graphicData uri="http://schemas.microsoft.com/office/word/2010/wordprocessingShape">
                    <wps:wsp>
                      <wps:cNvSpPr txBox="1"/>
                      <wps:spPr>
                        <a:xfrm>
                          <a:off x="0" y="0"/>
                          <a:ext cx="4236720" cy="292735"/>
                        </a:xfrm>
                        <a:prstGeom prst="rect">
                          <a:avLst/>
                        </a:prstGeom>
                        <a:noFill/>
                        <a:ln>
                          <a:noFill/>
                        </a:ln>
                      </wps:spPr>
                      <wps:txbx>
                        <w:txbxContent>
                          <w:p w14:paraId="6B610E36">
                            <w:pPr>
                              <w:spacing w:before="20" w:line="259" w:lineRule="auto"/>
                              <w:ind w:left="181" w:right="20" w:hanging="161"/>
                              <w:rPr>
                                <w:rFonts w:ascii="楷体" w:hAnsi="楷体" w:eastAsia="楷体" w:cs="楷体"/>
                                <w:sz w:val="15"/>
                                <w:szCs w:val="15"/>
                              </w:rPr>
                            </w:pPr>
                            <w:r>
                              <w:rPr>
                                <w:rFonts w:ascii="新宋体" w:hAnsi="新宋体" w:eastAsia="新宋体" w:cs="新宋体"/>
                                <w:color w:val="231F20"/>
                                <w:spacing w:val="6"/>
                                <w:sz w:val="15"/>
                                <w:szCs w:val="15"/>
                              </w:rPr>
                              <w:t>①</w:t>
                            </w:r>
                            <w:r>
                              <w:rPr>
                                <w:rFonts w:ascii="楷体" w:hAnsi="楷体" w:eastAsia="楷体" w:cs="楷体"/>
                                <w:color w:val="231F20"/>
                                <w:spacing w:val="6"/>
                                <w:sz w:val="15"/>
                                <w:szCs w:val="15"/>
                              </w:rPr>
                              <w:t>数据</w:t>
                            </w:r>
                          </w:p>
                        </w:txbxContent>
                      </wps:txbx>
                      <wps:bodyPr lIns="0" tIns="0" rIns="0" bIns="0" upright="1"/>
                    </wps:wsp>
                  </a:graphicData>
                </a:graphic>
              </wp:anchor>
            </w:drawing>
          </mc:Choice>
          <mc:Fallback>
            <w:pict>
              <v:shape id="_x0000_s1026" o:spid="_x0000_s1026" o:spt="202" type="#_x0000_t202" style="position:absolute;left:0pt;margin-left:-101.15pt;margin-top:56.05pt;height:23.05pt;width:333.6pt;z-index:251715584;mso-width-relative:page;mso-height-relative:page;" filled="f" stroked="f" coordsize="21600,21600" o:gfxdata="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X4z+vaAAAADAEAAA8AAAAAAAAAAQAgAAAAIgAAAGRycy9kb3ducmV2Lnht&#10;bFBLAQIUABQAAAAIAIdO4kDHDlyMvgEAAHYDAAAOAAAAAAAAAAEAIAAAACkBAABkcnMvZTJvRG9j&#10;LnhtbFBLBQYAAAAABgAGAFkBAABZBQAAAAA=&#10;">
                <v:fill on="f" focussize="0,0"/>
                <v:stroke on="f"/>
                <v:imagedata o:title=""/>
                <o:lock v:ext="edit" aspectratio="f"/>
                <v:textbox inset="0mm,0mm,0mm,0mm">
                  <w:txbxContent>
                    <w:p w14:paraId="6B610E36">
                      <w:pPr>
                        <w:spacing w:before="20" w:line="259" w:lineRule="auto"/>
                        <w:ind w:left="181" w:right="20" w:hanging="161"/>
                        <w:rPr>
                          <w:rFonts w:ascii="楷体" w:hAnsi="楷体" w:eastAsia="楷体" w:cs="楷体"/>
                          <w:sz w:val="15"/>
                          <w:szCs w:val="15"/>
                        </w:rPr>
                      </w:pPr>
                      <w:r>
                        <w:rPr>
                          <w:rFonts w:ascii="新宋体" w:hAnsi="新宋体" w:eastAsia="新宋体" w:cs="新宋体"/>
                          <w:color w:val="231F20"/>
                          <w:spacing w:val="6"/>
                          <w:sz w:val="15"/>
                          <w:szCs w:val="15"/>
                        </w:rPr>
                        <w:t>①</w:t>
                      </w:r>
                      <w:r>
                        <w:rPr>
                          <w:rFonts w:ascii="楷体" w:hAnsi="楷体" w:eastAsia="楷体" w:cs="楷体"/>
                          <w:color w:val="231F20"/>
                          <w:spacing w:val="6"/>
                          <w:sz w:val="15"/>
                          <w:szCs w:val="15"/>
                        </w:rPr>
                        <w:t>数据</w:t>
                      </w:r>
                    </w:p>
                  </w:txbxContent>
                </v:textbox>
              </v:shape>
            </w:pict>
          </mc:Fallback>
        </mc:AlternateContent>
      </w:r>
      <w:r>
        <w:rPr>
          <w:rFonts w:eastAsia="宋体"/>
          <w:color w:val="231F20"/>
          <w:spacing w:val="0"/>
          <w:w w:val="100"/>
          <w:position w:val="0"/>
          <w:sz w:val="21"/>
          <w:szCs w:val="21"/>
        </w:rPr>
        <w:t>马克思认为，资本主义生产方式在带来巨大物质财富的同时也产生贫穷，这一切源于资本主义社会私有制</w:t>
      </w:r>
      <w:r>
        <w:rPr>
          <w:rFonts w:ascii="新宋体" w:hAnsi="新宋体" w:eastAsia="宋体" w:cs="新宋体"/>
          <w:color w:val="231F20"/>
          <w:spacing w:val="0"/>
          <w:w w:val="100"/>
          <w:position w:val="0"/>
          <w:sz w:val="21"/>
          <w:szCs w:val="21"/>
        </w:rPr>
        <w:t xml:space="preserve">[22] </w:t>
      </w:r>
      <w:r>
        <w:rPr>
          <w:rFonts w:eastAsia="宋体"/>
          <w:color w:val="231F20"/>
          <w:spacing w:val="0"/>
          <w:w w:val="100"/>
          <w:position w:val="0"/>
          <w:sz w:val="21"/>
          <w:szCs w:val="21"/>
        </w:rPr>
        <w:t>。 资本和劳动对立在分配结果上必然表现为一方面巨大社会财富集聚在少数人手中，另一方面无产者变得更贫穷 。 异化劳动导致财富的异化，劳动不是自觉自愿的活动，却成为工人维持自己作为肉体的主体生存的手段 。 马克思在对未来社会的美好憧憬中提出，随着社会生产力的迅速发展，“生产将以所有人的富裕为目的 ”</w:t>
      </w:r>
      <w:r>
        <w:rPr>
          <w:rFonts w:ascii="新宋体" w:hAnsi="新宋体" w:eastAsia="宋体" w:cs="新宋体"/>
          <w:color w:val="231F20"/>
          <w:spacing w:val="0"/>
          <w:w w:val="100"/>
          <w:position w:val="0"/>
          <w:sz w:val="21"/>
          <w:szCs w:val="21"/>
        </w:rPr>
        <w:t>[23]</w:t>
      </w:r>
      <w:r>
        <w:rPr>
          <w:rFonts w:eastAsia="宋体"/>
          <w:color w:val="231F20"/>
          <w:spacing w:val="0"/>
          <w:w w:val="100"/>
          <w:position w:val="0"/>
          <w:sz w:val="21"/>
          <w:szCs w:val="21"/>
        </w:rPr>
        <w:t>。</w:t>
      </w:r>
    </w:p>
    <w:p w14:paraId="23302B5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（一）数字资本财富积累的双重属性及其内在逻辑</w:t>
      </w:r>
    </w:p>
    <w:p w14:paraId="502A7885">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数字资本具有增值性、扩张性和权力性等资本一般属性，同时也具有数字技术背景下的特殊性，表现为兼具生产功能和生产关系双重属性 。数字资本在对物质财富积累和分配产生影响的同时，数字资本异化也会对精神财富产生冲击效应。</w:t>
      </w:r>
    </w:p>
    <w:p w14:paraId="42519E39">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数字资本的生产功能属性 。从资本的生产功能属性看，数字资本作为资本一般，仍然是带来价值增值的价值，数字技术和资本的结合极大促进了社会生产力的发展和社会财富的积累，生产要素的数据化与生产过程的数字化是数字资本生产功能的集中体现 。数字资本的运动性、增值性和积累性一方面表现为推动经济社会生产方式和生活方式产生巨大变革，产业数字化和数字产业化为经济高质量发展赋予新质动能；另一方面依据马克思主义财富论，数字资本、数字劳动和数字技术等生产要素的有效结合有利于增加财富总量，做大数字财富“ 蛋糕”，为实现共同富裕提供物质财富基础，助力实现人的自由全面发展。</w:t>
      </w:r>
    </w:p>
    <w:p w14:paraId="66752F7F">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数字资本的生产关系属性 。从资本的生产关系属性看，数字资本同样体现出资本所有者对数字劳动剩余价值的索取，数字资本雇佣并剥削数字劳动的关系，不同的生产资料所有制基础和数字资本占有者将会呈现不同的剩余价值分配特点 。数字资本主义加剧了现有劳资关系的不平衡，数字资本生产关系属性仍然体现逐利性、扩张性和垄断性特征，数字资本的无序扩张源于其逐利本性，通过对数据与技术要素的垄断攫取超额剩余价值，破坏了财富分配的公平与正义 ，进一步加剧了两极分化</w:t>
      </w:r>
      <w:r>
        <w:rPr>
          <w:rFonts w:ascii="新宋体" w:hAnsi="新宋体" w:eastAsia="宋体" w:cs="新宋体"/>
          <w:color w:val="231F20"/>
          <w:spacing w:val="0"/>
          <w:w w:val="100"/>
          <w:position w:val="0"/>
          <w:sz w:val="21"/>
          <w:szCs w:val="21"/>
        </w:rPr>
        <w:t xml:space="preserve">[24] </w:t>
      </w:r>
      <w:r>
        <w:rPr>
          <w:rFonts w:eastAsia="宋体"/>
          <w:color w:val="231F20"/>
          <w:spacing w:val="0"/>
          <w:w w:val="100"/>
          <w:position w:val="0"/>
          <w:sz w:val="21"/>
          <w:szCs w:val="21"/>
        </w:rPr>
        <w:t>。此外，数字资本扩张引发数字经济区域与行业垄断趋势，进而导致数字鸿沟扩大，加剧财富积累和分配的结构性异化。</w:t>
      </w:r>
    </w:p>
    <w:p w14:paraId="6DFB402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ascii="Arial" w:eastAsia="宋体"/>
          <w:spacing w:val="0"/>
          <w:w w:val="100"/>
          <w:position w:val="0"/>
          <w:sz w:val="21"/>
          <w:szCs w:val="21"/>
        </w:rPr>
      </w:pPr>
      <w:r>
        <w:rPr>
          <w:rFonts w:eastAsia="宋体"/>
          <w:color w:val="231F20"/>
          <w:spacing w:val="0"/>
          <w:w w:val="100"/>
          <w:position w:val="0"/>
          <w:sz w:val="21"/>
          <w:szCs w:val="21"/>
        </w:rPr>
        <w:t>数字资本所呈现的生产功能与生产关系的矛盾统一性，共同作用于财富的积累与分配机制 。数字资本生产功能属性推动生产关系属性的变革，生产关系属性的调整反过来影响生产功能属性的发</w:t>
      </w:r>
    </w:p>
    <w:p w14:paraId="3658C54C">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挥 。规范财富积累机制，既要保证数字资本生产功能的充分发挥，加快形成新质生产力，做大做强家庭财富“蛋糕”，又要引导和超越数字资本主义生产关系，在财富积累与分配机制中统筹效率和公平，在高质量发展中促进共同富裕。</w:t>
      </w:r>
    </w:p>
    <w:p w14:paraId="33C4A1E5">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（二）数字资本逻辑对物质财富积累和分配机制的结构性冲击</w:t>
      </w:r>
    </w:p>
    <w:p w14:paraId="61FCE9B6">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数字资本生产功能和生产关系的双重属性特征对居民家庭财富积累和分配产生影响，主要体现在数字资本的扩张和分配不均导致的家庭财富差距扩大 。数字资本运动和积累始终遵循增值、扩张和权力三重基本逻辑</w:t>
      </w:r>
      <w:r>
        <w:rPr>
          <w:rFonts w:ascii="新宋体" w:hAnsi="新宋体" w:eastAsia="宋体" w:cs="新宋体"/>
          <w:color w:val="231F20"/>
          <w:spacing w:val="0"/>
          <w:w w:val="100"/>
          <w:position w:val="0"/>
          <w:sz w:val="21"/>
          <w:szCs w:val="21"/>
        </w:rPr>
        <w:t>[25]</w:t>
      </w:r>
      <w:r>
        <w:rPr>
          <w:rFonts w:eastAsia="宋体"/>
          <w:color w:val="231F20"/>
          <w:spacing w:val="0"/>
          <w:w w:val="100"/>
          <w:position w:val="0"/>
          <w:sz w:val="21"/>
          <w:szCs w:val="21"/>
        </w:rPr>
        <w:t>，数字资本规模扩张逻辑凭借掌握大量用户数据信息形成信息和市场优势，加剧了家庭财富积累和分配的差距 。数字资本空间扩张逻辑根源于数字资本空间非均衡分布，不同地区和国家的居民存在财富分配差异 。数字资本权力扩张逻辑表现为少数头部企业凭借平台垄断地位控制大量市场资源 ，导致数字财富向少数人集中。</w:t>
      </w:r>
    </w:p>
    <w:p w14:paraId="4CF2238F">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数字资本规模扩张逻辑加剧了家庭财富两极分化 。数字资本通过对数字生产资料的占有和数字商品的生产流通，实现资本规模扩张与财富积累 。 首先，数字资本集聚伴随着信息、技术和资本要素的集中，数字资源要素占有不平等将造成“数字鸿沟”，低收入和贫困地区家庭不能充分享受数字红利 。其次，数字资本创造的数字财富主要集中在少数富裕家庭，底层家庭由于数字金融资本有限，难以从数字资本规模扩张中受益 。 最后，数字资本的技术偏向性特征对传统劳动力就业的替代效应形成技术性失业，导致资本性收入与劳动性收入、高技能劳动者收入与低技能劳动者收入差距扩大，进一步加剧了家庭贫富分化风险。</w:t>
      </w:r>
    </w:p>
    <w:p w14:paraId="684E748E">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数字资本空间扩张逻辑导致了家庭财富区域差距 。数字资本作为形成新质生产力的关键生产要素，其分布状态将影响空间财富分配正义的实现程度 。首先，数字资本的逐利本性引致数字财富的结构性分配失衡和空间集聚效应，最终导致区域、城乡发展失衡和家庭财富区域性差距扩大 。从区域分布来看，数字资本主要流向东部发达地区，中、西部地区数字资本规模较小，数据要素市场化水平较低，数字经济市场活力不足 。其次，数字资本的空间非均衡分布造成数字经济欠发达地区对资本的吸引力减弱和发展动力不足，不利于区域新质生产力发展和财富总量创造 。 总之，数字资本空间扩张伴随着数字财富的集聚和集中，这种财富集中不仅体现在居民个人的财富增长层面，也表现为进一步加剧了居民家庭财富分配的区域差距。</w:t>
      </w:r>
    </w:p>
    <w:p w14:paraId="28C636C8">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数字资本权力扩张逻辑形成家庭财富平台垄断 。数字资本在积累和增值过程中逐渐渗透到社会生产、消费、流通和分配的各环节，形成数字资本新的权力逻辑 。 为提高劳动生产率并获取更多的超额剩余价值，个别数字资本家依托数字平台，通过算法管理对数字劳动者进行劳动监管和隐形剥削 。在数字平台网络化生产形式中，数字资本凭借算法技术，通过垄断技术分工和生产组织的权力，在延长剩余劳动时间的同时缩短必要劳动时间，从而无偿占有绝对剩余价值和相对剩余价值</w:t>
      </w:r>
      <w:r>
        <w:rPr>
          <w:rFonts w:ascii="新宋体" w:hAnsi="新宋体" w:eastAsia="宋体" w:cs="新宋体"/>
          <w:color w:val="231F20"/>
          <w:spacing w:val="0"/>
          <w:w w:val="100"/>
          <w:position w:val="0"/>
          <w:sz w:val="21"/>
          <w:szCs w:val="21"/>
        </w:rPr>
        <w:t xml:space="preserve">[26] </w:t>
      </w:r>
      <w:r>
        <w:rPr>
          <w:rFonts w:eastAsia="宋体"/>
          <w:color w:val="231F20"/>
          <w:spacing w:val="0"/>
          <w:w w:val="100"/>
          <w:position w:val="0"/>
          <w:sz w:val="21"/>
          <w:szCs w:val="21"/>
        </w:rPr>
        <w:t>。 数字平台资本决定价值创造和价值分配链条的底层逻辑，数字平台产生的巨额利润流向数字资本家，数字用户和数字劳动者一无所获，最终导致数字资本财富急剧增加和劳动者贫困持续加重 。 总之，数字资本权利逻辑强化了数字资本对数字劳动的剥削，在生产、流通和分配各环节影响家庭财富分配，拉大了居民家庭的财富差距。</w:t>
      </w:r>
    </w:p>
    <w:p w14:paraId="1AE91F7D">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（三）数字资本逻辑对精神财富积累机制的影响与价值稀释</w:t>
      </w:r>
    </w:p>
    <w:p w14:paraId="2C2513E6">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中国式现代化共同富裕是物质富裕和精神富裕的统一，物质富裕和精神富裕共同构成共同富裕本质的双重内涵 。数字资本异化正在促使基于劳动与使用价值的合意财富观发生偏转，盲目追求货币价值标准的畸形财富观对居民家庭和个人的精神财富产生负面效应。</w:t>
      </w:r>
    </w:p>
    <w:p w14:paraId="41F41037">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eastAsia="宋体"/>
          <w:spacing w:val="0"/>
          <w:w w:val="100"/>
          <w:position w:val="0"/>
          <w:sz w:val="21"/>
          <w:szCs w:val="21"/>
        </w:rPr>
      </w:pPr>
      <w:r>
        <w:rPr>
          <w:rFonts w:eastAsia="宋体"/>
          <w:color w:val="231F20"/>
          <w:spacing w:val="0"/>
          <w:w w:val="100"/>
          <w:position w:val="0"/>
          <w:sz w:val="21"/>
          <w:szCs w:val="21"/>
        </w:rPr>
        <w:t>数字资本主义不利于居民个人的自由全面发展 。首先，数字资本与数字技术合谋创设的数字资本主义并没有改变资本追求剩余价值和利润最大 化的本性，只是资本所有者借助数字技术手段，以更加隐蔽和间接的方式进行着数字财富积累和对 劳动主体的规训 。其次，数字资本运动将资本主义对人的物质异化深化为精神异化，“数字拜物教 ” “信息茧房 ”“群体极化 ”等现象体现出数字资本对人个性的控制和规定 。 总之，从表面看，数字资本主义是以数字资本逻辑构建的新自由主义体系，实 质上这种自由只是有限自由，数字资本通过对个人 精神世界的全方位控制，重构人的意识结构，以实现资本增值的最终目的。</w:t>
      </w:r>
    </w:p>
    <w:p w14:paraId="715ECEEC">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eastAsia="宋体"/>
          <w:spacing w:val="0"/>
          <w:w w:val="100"/>
          <w:position w:val="0"/>
          <w:sz w:val="21"/>
          <w:szCs w:val="21"/>
        </w:rPr>
      </w:pPr>
      <w:r>
        <w:rPr>
          <w:rFonts w:eastAsia="宋体"/>
          <w:color w:val="231F20"/>
          <w:spacing w:val="0"/>
          <w:w w:val="100"/>
          <w:position w:val="0"/>
          <w:sz w:val="21"/>
          <w:szCs w:val="21"/>
        </w:rPr>
        <w:t>数字资本异化对居民家庭精神财富造成冲击和影响 。人的数字化为数字资本的价值形成和增值提供数字劳动力，数字技术的创新应用加剧了数字资本对数字劳动力的剥削异化程度 。首先，社会属性是人的本质属性，数字资本逻辑价值观渗透到人们日常生活的各方面，不利于情感沟通，造成了人的社会关系的片面化 。其次，数字资本异化引发人的需要片面化 。数字资本的发展加剧贫富差距，进而对家庭教育支出产生影响，特别是对低收入家庭的教育投入造成压力，不利于人发展需求的满足和家庭精神财富的积累 。最后，数字资本异化导致人的个性片面化 。数字资本异化推动形成数字消费主义价值观，过度追求物质享受和数字娱乐导致家庭成员忽视精神追求和内心成长，影响家庭成员价值观和健康生活方式的选择。</w:t>
      </w:r>
    </w:p>
    <w:p w14:paraId="768F95CD">
      <w:pPr>
        <w:pStyle w:val="4"/>
        <w:pageBreakBefore w:val="0"/>
        <w:widowControl/>
        <w:kinsoku w:val="0"/>
        <w:wordWrap/>
        <w:overflowPunct/>
        <w:topLinePunct w:val="0"/>
        <w:autoSpaceDE w:val="0"/>
        <w:autoSpaceDN w:val="0"/>
        <w:bidi w:val="0"/>
        <w:adjustRightInd w:val="0"/>
        <w:snapToGrid w:val="0"/>
        <w:spacing w:before="0" w:beforeLines="0" w:after="0" w:afterLines="0" w:line="360" w:lineRule="auto"/>
        <w:ind w:left="0" w:leftChars="0" w:right="0" w:firstLine="420" w:firstLineChars="200"/>
        <w:textAlignment w:val="baseline"/>
        <w:rPr>
          <w:rFonts w:ascii="微软雅黑" w:hAnsi="微软雅黑" w:eastAsia="宋体" w:cs="微软雅黑"/>
          <w:spacing w:val="0"/>
          <w:w w:val="100"/>
          <w:position w:val="0"/>
          <w:sz w:val="21"/>
          <w:szCs w:val="21"/>
        </w:rPr>
      </w:pPr>
      <w:r>
        <w:rPr>
          <w:rFonts w:ascii="微软雅黑" w:hAnsi="微软雅黑" w:eastAsia="宋体" w:cs="微软雅黑"/>
          <w:color w:val="231F20"/>
          <w:spacing w:val="0"/>
          <w:w w:val="100"/>
          <w:position w:val="0"/>
          <w:sz w:val="21"/>
          <w:szCs w:val="21"/>
        </w:rPr>
        <w:t>四、超越数字资本逻辑的财富积累机制规范路径</w:t>
      </w:r>
    </w:p>
    <w:p w14:paraId="6A7B9EF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数字资本在创造社会财富的同时也对家庭物质财富和精神财富产生了负面影响，导致居民家庭物质财富积累分化和精神财富异化，不利于社会主义共同富裕目标的实现 。 马克思在批判资本主义分配异化的基础上，提出了分配正义的内涵与原则，即实现生产资料公有制、按劳分配和按需分配相结合及实现人的自由全面发展 。 马克思主义分配正义思想为数字经济背景下超越数字资本，规范家庭财富积累和分配机制，扎实推动共同富裕提供了理论和实践指导。</w:t>
      </w:r>
    </w:p>
    <w:p w14:paraId="6CC04FD8">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（一）引导多元数字资本主体形成以人民为中心的财富观</w:t>
      </w:r>
    </w:p>
    <w:p w14:paraId="4610E827">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实现人的自由全面发展是马克思财富内涵的价值目标 。 马克思反对单纯以“物的积累 ”为目标的财富观，社会生产力得到增长的同时，集体财富的一切源泉也将充分涌流，社会财富的分配除了实现人在物质方面的生存需求，也能够使人的个性和能力得到全方面发展与提升，每个人可以根据自己的需要来分配社会财富 。 随着物质生活水平的不断提升，人们对物质财富的关注转向对人自身财富的关注，“以人民为中心 ”成为数字经济时代社会财富发展的基本价值取向 。 党的二十届三中全会提出了坚持以人民为中心、改革成果由人民共享的全面深化改革原则 。一方面，引导数字劳动者树立正确的财富观，明确生产性劳动是创造财富的根本途径，坚持多劳多得，鼓励勤劳致富 。另一方面，引导民营企业家正确处理数字资本和数字劳动的关系，构建新型数字劳资生产关系，保障数字财富分配正义并履行社会责任 。 总之，数字资本是一种属人的技术性资本，在发挥其生产功能创造社会财富以满足人民日益增长的美好生活需要的同时，规范引导其生产关系属性，确保推进个人的自由全面发展和扎实推动共同富裕。</w:t>
      </w:r>
    </w:p>
    <w:p w14:paraId="08AC80E7">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（二）坚持和完善以公有制为主体的新型数据产权制度</w:t>
      </w:r>
    </w:p>
    <w:p w14:paraId="0FE0C5A6">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根据马克思主义政治经济学中生产资料所有制和分配关系的相关论述，收入分配结构归根到底是由社会所有制结构决定的 。首先，坚持和完善公有制为主体、多种所有制经济共同发展，必须毫不动摇巩固和发展公有制经济，探索作为根本经济制度的公有制多种实现形式，重点发展公有资本控股的混合所有制经济，增强国有经济对平台经济和数字资本的控制力和影响力 。其次，社会主义公有制为数字财富分配正义提供了制度基础和保障，明晰数据要素产权是数字财富创造和分配的基础，依据马克思主义产权理论，对数据要素所有权及其派生的占有权、使用权、收益权等权能进行界定，明确数据所有权应由国家代表全民所有，平台企业依法有偿使用，政府职能部门具有数据管理权，数据使用产生的数字财富收益归全民共享 。 通过明晰数据所有权、共享资本所有权和强化劳动者教育培训等政策，缩小国民财富的初次分配差距。</w:t>
      </w:r>
    </w:p>
    <w:p w14:paraId="4E323A64">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（三）完善劳动主体型的数字资本要素财富公平分配机制</w:t>
      </w:r>
    </w:p>
    <w:p w14:paraId="6DA267EB">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ascii="Arial" w:eastAsia="宋体"/>
          <w:spacing w:val="0"/>
          <w:w w:val="100"/>
          <w:position w:val="0"/>
          <w:sz w:val="21"/>
          <w:szCs w:val="21"/>
        </w:rPr>
      </w:pPr>
      <w:r>
        <w:rPr>
          <w:rFonts w:eastAsia="宋体"/>
          <w:color w:val="231F20"/>
          <w:spacing w:val="0"/>
          <w:w w:val="100"/>
          <w:position w:val="0"/>
          <w:sz w:val="21"/>
          <w:szCs w:val="21"/>
        </w:rPr>
        <w:t>公有制为主体、多种所有制经济共同发展的基本经济制度决定了必然实行劳动主体型的多要素分配制度 。数字资本的财富创造功能并不否定马克思的劳动价值论，数字资本放大了数字劳动的非物质性特征，但数字劳动仍然属于生产性劳动</w:t>
      </w:r>
      <w:r>
        <w:rPr>
          <w:rFonts w:ascii="新宋体" w:hAnsi="新宋体" w:eastAsia="宋体" w:cs="新宋体"/>
          <w:color w:val="231F20"/>
          <w:spacing w:val="0"/>
          <w:w w:val="100"/>
          <w:position w:val="0"/>
          <w:sz w:val="21"/>
          <w:szCs w:val="21"/>
        </w:rPr>
        <w:t>[27]</w:t>
      </w:r>
      <w:r>
        <w:rPr>
          <w:rFonts w:eastAsia="宋体"/>
          <w:color w:val="231F20"/>
          <w:spacing w:val="0"/>
          <w:w w:val="100"/>
          <w:position w:val="0"/>
          <w:sz w:val="21"/>
          <w:szCs w:val="21"/>
        </w:rPr>
        <w:t>。首先，数字劳资关系的立法规范与数字资本收益的公平分配是实现共同富裕的政策前提 。 在收入分配领域扬弃数字劳动异化，变革以数字资本逻辑导向的数字财富分配政策，重塑数据所有权的生成与确认机制，建立健全数字财富创造和数字财富分配回归数字劳动本位的激励机制 。其次，坚持和完善按劳分配和按要素分配相结合的共享共富体制机制 。数字财富分配需要紧紧围绕体现效率、促进公平的分配政策体系，着重处理好按劳分配主体与按资分配辅体的政策关系，为实现全体人民共同富裕提供坚实的公平分配制度环境。</w:t>
      </w:r>
    </w:p>
    <w:p w14:paraId="78553269">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（四）在超越资本逻辑中规范和引导数字资本健康发展</w:t>
      </w:r>
    </w:p>
    <w:p w14:paraId="0E67B925">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在数字型以及智能型生产资料所有制下，建立公平公正的数字劳动体系和数字财富分配体系是中国式现代化分配制度的必然要求 。数字资本主义的基本矛盾以数字资本为核心展开，加强对数字资本主义生产关系所导致的平台经济垄断和资本无序扩张风险的监管，形成多元主体包容共治的数字资本治理格局 。 首先，明确数字资本的特性，充分发挥数字资本生产力和生产关系属性对共同富裕的赋能作用 。其次，为数字资本设置“红绿灯”，为数字资本制定明确的规则边界 。通过法律法规、政策引导等手段，确保数字资本在合法合规的轨道上运行，防止其无序扩张和野蛮生长 。 最后，政府应加强对数字资本的监管，强化公共权力对数字资本的约束，强化风险防范意识，应对数字资本风险挑战 。 总之，在超越资本逻辑中规范和引导数字资本健康发展，最大化数字资本要素对新质生产力和共同富裕的赋能效应。</w:t>
      </w:r>
    </w:p>
    <w:p w14:paraId="5391CE9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楷体" w:hAnsi="楷体" w:eastAsia="宋体" w:cs="楷体"/>
          <w:spacing w:val="0"/>
          <w:w w:val="100"/>
          <w:position w:val="0"/>
          <w:sz w:val="21"/>
          <w:szCs w:val="21"/>
        </w:rPr>
      </w:pPr>
      <w:r>
        <w:rPr>
          <w:rFonts w:ascii="楷体" w:hAnsi="楷体" w:eastAsia="宋体" w:cs="楷体"/>
          <w:color w:val="231F20"/>
          <w:spacing w:val="0"/>
          <w:w w:val="100"/>
          <w:position w:val="0"/>
          <w:sz w:val="21"/>
          <w:szCs w:val="21"/>
        </w:rPr>
        <w:t>（五）完善数字经济促进社会各阶层共同富裕的收入分配政策</w:t>
      </w:r>
    </w:p>
    <w:p w14:paraId="5840DC2D">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jc w:val="both"/>
        <w:textAlignment w:val="baseline"/>
        <w:rPr>
          <w:rFonts w:eastAsia="宋体"/>
          <w:spacing w:val="0"/>
          <w:w w:val="100"/>
          <w:position w:val="0"/>
          <w:sz w:val="21"/>
          <w:szCs w:val="21"/>
        </w:rPr>
      </w:pPr>
      <w:r>
        <w:rPr>
          <w:rFonts w:eastAsia="宋体"/>
          <w:color w:val="231F20"/>
          <w:spacing w:val="0"/>
          <w:w w:val="100"/>
          <w:position w:val="0"/>
          <w:sz w:val="21"/>
          <w:szCs w:val="21"/>
        </w:rPr>
        <w:t>数字经济的技术偏向性将加剧要素之间和劳动个体之间的财富分配差距，为缓解数字资本异化对家庭财富分配的影响，要坚持和完善政府对财富和收入的再分配调节政策，构建初次分配、再分配、三次分配协调配套的制度体系，加大税收、社保、转移支付等的调节力度并提高精准性 。首先，政府要不断完善为经济发展托底的社会公平保障体系，推行有利于共同富裕的高中义务教育、免费医疗和住房政策 。其次，政府要完善税收等制度性安排调节收入（流量）和财富（存量）的分配差距，通过完善社会保障制度和转移支付制度提高低收入群体的收入，并通过完善法律制度和政策取缔非法收入，实施有利于促进社会各基层共同富裕的财税政策，逐步建立以按劳分配为主体和按各种生产要素分配相结合的中国特色社会主义财富分配制度，实现数字平台财富共享和分配正义，在高质量发展中推动共同富裕。</w:t>
      </w:r>
    </w:p>
    <w:p w14:paraId="17DF9F19">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微软雅黑" w:hAnsi="微软雅黑" w:eastAsia="宋体" w:cs="微软雅黑"/>
          <w:spacing w:val="0"/>
          <w:w w:val="100"/>
          <w:position w:val="0"/>
          <w:sz w:val="21"/>
          <w:szCs w:val="21"/>
        </w:rPr>
      </w:pPr>
      <w:r>
        <w:rPr>
          <w:rFonts w:ascii="微软雅黑" w:hAnsi="微软雅黑" w:eastAsia="宋体" w:cs="微软雅黑"/>
          <w:color w:val="231F20"/>
          <w:spacing w:val="0"/>
          <w:w w:val="100"/>
          <w:position w:val="0"/>
          <w:sz w:val="21"/>
          <w:szCs w:val="21"/>
        </w:rPr>
        <w:t>参考文献：</w:t>
      </w:r>
    </w:p>
    <w:p w14:paraId="4295A2B9">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中共中央关于进一步全面深化改革 推进中国式现代化的决定</w:t>
      </w:r>
      <w:r>
        <w:rPr>
          <w:rFonts w:ascii="新宋体" w:hAnsi="新宋体" w:eastAsia="宋体" w:cs="新宋体"/>
          <w:color w:val="231F20"/>
          <w:spacing w:val="0"/>
          <w:w w:val="100"/>
          <w:position w:val="0"/>
          <w:sz w:val="21"/>
          <w:szCs w:val="21"/>
        </w:rPr>
        <w:t>[N].</w:t>
      </w:r>
      <w:r>
        <w:rPr>
          <w:rFonts w:eastAsia="宋体"/>
          <w:color w:val="231F20"/>
          <w:spacing w:val="0"/>
          <w:w w:val="100"/>
          <w:position w:val="0"/>
          <w:sz w:val="21"/>
          <w:szCs w:val="21"/>
        </w:rPr>
        <w:t>人民日报，</w:t>
      </w:r>
      <w:r>
        <w:rPr>
          <w:rFonts w:ascii="新宋体" w:hAnsi="新宋体" w:eastAsia="宋体" w:cs="新宋体"/>
          <w:color w:val="231F20"/>
          <w:spacing w:val="0"/>
          <w:w w:val="100"/>
          <w:position w:val="0"/>
          <w:sz w:val="21"/>
          <w:szCs w:val="21"/>
        </w:rPr>
        <w:t>2024-07-22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01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w:t>
      </w:r>
    </w:p>
    <w:p w14:paraId="471DC5EC">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w:t>
      </w:r>
      <w:r>
        <w:rPr>
          <w:rFonts w:eastAsia="宋体"/>
          <w:color w:val="231F20"/>
          <w:spacing w:val="0"/>
          <w:w w:val="100"/>
          <w:position w:val="0"/>
          <w:sz w:val="21"/>
          <w:szCs w:val="21"/>
        </w:rPr>
        <w:t xml:space="preserve">贾康，张晶晶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试论促进共同富裕相关的规范财富积累机制</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北京社会科学，</w:t>
      </w:r>
      <w:r>
        <w:rPr>
          <w:rFonts w:ascii="新宋体" w:hAnsi="新宋体" w:eastAsia="宋体" w:cs="新宋体"/>
          <w:color w:val="231F20"/>
          <w:spacing w:val="0"/>
          <w:w w:val="100"/>
          <w:position w:val="0"/>
          <w:sz w:val="21"/>
          <w:szCs w:val="21"/>
        </w:rPr>
        <w:t>2025</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:81-92.</w:t>
      </w:r>
    </w:p>
    <w:p w14:paraId="41C35879">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eastAsia="宋体"/>
          <w:spacing w:val="0"/>
          <w:w w:val="100"/>
          <w:position w:val="0"/>
          <w:sz w:val="21"/>
          <w:szCs w:val="21"/>
        </w:rPr>
      </w:pPr>
      <w:r>
        <w:rPr>
          <w:rFonts w:ascii="新宋体" w:hAnsi="新宋体" w:eastAsia="宋体" w:cs="新宋体"/>
          <w:color w:val="231F20"/>
          <w:spacing w:val="0"/>
          <w:w w:val="100"/>
          <w:position w:val="0"/>
          <w:sz w:val="21"/>
          <w:szCs w:val="21"/>
        </w:rPr>
        <w:t>[3]</w:t>
      </w:r>
      <w:r>
        <w:rPr>
          <w:rFonts w:eastAsia="宋体"/>
          <w:color w:val="231F20"/>
          <w:spacing w:val="0"/>
          <w:w w:val="100"/>
          <w:position w:val="0"/>
          <w:sz w:val="21"/>
          <w:szCs w:val="21"/>
        </w:rPr>
        <w:t xml:space="preserve">李实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规范收入分配秩序和财富积累机制</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劳动经济研</w:t>
      </w:r>
    </w:p>
    <w:p w14:paraId="4850E33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eastAsia="宋体"/>
          <w:spacing w:val="0"/>
          <w:w w:val="100"/>
          <w:position w:val="0"/>
          <w:sz w:val="21"/>
          <w:szCs w:val="21"/>
        </w:rPr>
        <w:sectPr>
          <w:headerReference r:id="rId26" w:type="default"/>
          <w:footerReference r:id="rId27" w:type="default"/>
          <w:footnotePr>
            <w:numFmt w:val="decimalEnclosedCircleChinese"/>
            <w:numRestart w:val="eachPage"/>
          </w:footnotePr>
          <w:type w:val="continuous"/>
          <w:pgSz w:w="11906" w:h="16725"/>
          <w:pgMar w:top="1375" w:right="1126" w:bottom="1242" w:left="424" w:header="1104" w:footer="962" w:gutter="0"/>
          <w:pgNumType w:fmt="decimal"/>
          <w:cols w:equalWidth="0" w:num="1">
            <w:col w:w="10355"/>
          </w:cols>
        </w:sectPr>
      </w:pPr>
    </w:p>
    <w:p w14:paraId="2F6CD9C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eastAsia="宋体"/>
          <w:color w:val="231F20"/>
          <w:spacing w:val="0"/>
          <w:w w:val="100"/>
          <w:position w:val="0"/>
          <w:sz w:val="21"/>
          <w:szCs w:val="21"/>
        </w:rPr>
        <w:t>究，</w:t>
      </w:r>
      <w:r>
        <w:rPr>
          <w:rFonts w:ascii="新宋体" w:hAnsi="新宋体" w:eastAsia="宋体" w:cs="新宋体"/>
          <w:color w:val="231F20"/>
          <w:spacing w:val="0"/>
          <w:w w:val="100"/>
          <w:position w:val="0"/>
          <w:sz w:val="21"/>
          <w:szCs w:val="21"/>
        </w:rPr>
        <w:t>2024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9-12.</w:t>
      </w:r>
    </w:p>
    <w:p w14:paraId="0E66B92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[4]</w:t>
      </w:r>
      <w:r>
        <w:rPr>
          <w:rFonts w:eastAsia="宋体"/>
          <w:color w:val="231F20"/>
          <w:spacing w:val="0"/>
          <w:w w:val="100"/>
          <w:position w:val="0"/>
          <w:sz w:val="21"/>
          <w:szCs w:val="21"/>
        </w:rPr>
        <w:t xml:space="preserve">陈宗胜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论规范收入分配秩序与规范财富积累机制</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世界社会科学，</w:t>
      </w:r>
      <w:r>
        <w:rPr>
          <w:rFonts w:ascii="新宋体" w:hAnsi="新宋体" w:eastAsia="宋体" w:cs="新宋体"/>
          <w:color w:val="231F20"/>
          <w:spacing w:val="0"/>
          <w:w w:val="100"/>
          <w:position w:val="0"/>
          <w:sz w:val="21"/>
          <w:szCs w:val="21"/>
        </w:rPr>
        <w:t>2023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5</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5-20.</w:t>
      </w:r>
    </w:p>
    <w:p w14:paraId="4FAC65E3">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[5]</w:t>
      </w:r>
      <w:r>
        <w:rPr>
          <w:rFonts w:eastAsia="宋体"/>
          <w:color w:val="231F20"/>
          <w:spacing w:val="0"/>
          <w:w w:val="100"/>
          <w:position w:val="0"/>
          <w:sz w:val="21"/>
          <w:szCs w:val="21"/>
        </w:rPr>
        <w:t xml:space="preserve">丁晓钦，崔泽鹏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中国式现代化的财富积累机制及其对西方资本主义模式的超越</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毛泽东邓小平理论研究，</w:t>
      </w:r>
      <w:r>
        <w:rPr>
          <w:rFonts w:ascii="新宋体" w:hAnsi="新宋体" w:eastAsia="宋体" w:cs="新宋体"/>
          <w:color w:val="231F20"/>
          <w:spacing w:val="0"/>
          <w:w w:val="100"/>
          <w:position w:val="0"/>
          <w:sz w:val="21"/>
          <w:szCs w:val="21"/>
        </w:rPr>
        <w:t xml:space="preserve">2024 </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6</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15-24.</w:t>
      </w:r>
    </w:p>
    <w:p w14:paraId="70B236C3">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[6]</w:t>
      </w:r>
      <w:r>
        <w:rPr>
          <w:rFonts w:eastAsia="宋体"/>
          <w:color w:val="231F20"/>
          <w:spacing w:val="0"/>
          <w:w w:val="100"/>
          <w:position w:val="0"/>
          <w:sz w:val="21"/>
          <w:szCs w:val="21"/>
        </w:rPr>
        <w:t xml:space="preserve">潘越，程恩富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运用“资本市场 ”分配方式促进共同富裕</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管理学刊，</w:t>
      </w:r>
      <w:r>
        <w:rPr>
          <w:rFonts w:ascii="新宋体" w:hAnsi="新宋体" w:eastAsia="宋体" w:cs="新宋体"/>
          <w:color w:val="231F20"/>
          <w:spacing w:val="0"/>
          <w:w w:val="100"/>
          <w:position w:val="0"/>
          <w:sz w:val="21"/>
          <w:szCs w:val="21"/>
        </w:rPr>
        <w:t>2022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23-29.</w:t>
      </w:r>
    </w:p>
    <w:p w14:paraId="083AA585">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[7]</w:t>
      </w:r>
      <w:r>
        <w:rPr>
          <w:rFonts w:eastAsia="宋体"/>
          <w:color w:val="231F20"/>
          <w:spacing w:val="0"/>
          <w:w w:val="100"/>
          <w:position w:val="0"/>
          <w:sz w:val="21"/>
          <w:szCs w:val="21"/>
        </w:rPr>
        <w:t xml:space="preserve">洪银兴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中国特色社会主义政治经济学财富理论的探讨</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经济研究，</w:t>
      </w:r>
      <w:r>
        <w:rPr>
          <w:rFonts w:ascii="新宋体" w:hAnsi="新宋体" w:eastAsia="宋体" w:cs="新宋体"/>
          <w:color w:val="231F20"/>
          <w:spacing w:val="0"/>
          <w:w w:val="100"/>
          <w:position w:val="0"/>
          <w:sz w:val="21"/>
          <w:szCs w:val="21"/>
        </w:rPr>
        <w:t>2020</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5</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21-30.</w:t>
      </w:r>
    </w:p>
    <w:p w14:paraId="4423748B">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[8]SICULAR T.The urban-rural income gap and inequality in China[J].Review of Income &amp; Wealth</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2007</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53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:93-126.</w:t>
      </w:r>
    </w:p>
    <w:p w14:paraId="4E7ECE3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[9]</w:t>
      </w:r>
      <w:r>
        <w:rPr>
          <w:rFonts w:eastAsia="宋体"/>
          <w:color w:val="231F20"/>
          <w:spacing w:val="0"/>
          <w:w w:val="100"/>
          <w:position w:val="0"/>
          <w:sz w:val="21"/>
          <w:szCs w:val="21"/>
        </w:rPr>
        <w:t xml:space="preserve">李 实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 xml:space="preserve">财 富 积 累 与 共 同 富 裕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中 国 居 民 财 产 积 累 机 制（</w:t>
      </w:r>
      <w:r>
        <w:rPr>
          <w:rFonts w:ascii="新宋体" w:hAnsi="新宋体" w:eastAsia="宋体" w:cs="新宋体"/>
          <w:color w:val="231F20"/>
          <w:spacing w:val="0"/>
          <w:w w:val="100"/>
          <w:position w:val="0"/>
          <w:sz w:val="21"/>
          <w:szCs w:val="21"/>
        </w:rPr>
        <w:t>2002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2018</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社会学研究，</w:t>
      </w:r>
      <w:r>
        <w:rPr>
          <w:rFonts w:ascii="新宋体" w:hAnsi="新宋体" w:eastAsia="宋体" w:cs="新宋体"/>
          <w:color w:val="231F20"/>
          <w:spacing w:val="0"/>
          <w:w w:val="100"/>
          <w:position w:val="0"/>
          <w:sz w:val="21"/>
          <w:szCs w:val="21"/>
        </w:rPr>
        <w:t>2023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1-26.</w:t>
      </w:r>
    </w:p>
    <w:p w14:paraId="670BB1C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[10]</w:t>
      </w:r>
      <w:r>
        <w:rPr>
          <w:rFonts w:eastAsia="宋体"/>
          <w:color w:val="231F20"/>
          <w:spacing w:val="0"/>
          <w:w w:val="100"/>
          <w:position w:val="0"/>
          <w:sz w:val="21"/>
          <w:szCs w:val="21"/>
        </w:rPr>
        <w:t xml:space="preserve">杨灿明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规范财富积累机制应重点把握七大关系</w:t>
      </w:r>
      <w:r>
        <w:rPr>
          <w:rFonts w:ascii="新宋体" w:hAnsi="新宋体" w:eastAsia="宋体" w:cs="新宋体"/>
          <w:color w:val="231F20"/>
          <w:spacing w:val="0"/>
          <w:w w:val="100"/>
          <w:position w:val="0"/>
          <w:sz w:val="21"/>
          <w:szCs w:val="21"/>
        </w:rPr>
        <w:t xml:space="preserve">[J]. </w:t>
      </w:r>
      <w:r>
        <w:rPr>
          <w:rFonts w:eastAsia="宋体"/>
          <w:color w:val="231F20"/>
          <w:spacing w:val="0"/>
          <w:w w:val="100"/>
          <w:position w:val="0"/>
          <w:sz w:val="21"/>
          <w:szCs w:val="21"/>
        </w:rPr>
        <w:t>中南财经政法大学学报，</w:t>
      </w:r>
      <w:r>
        <w:rPr>
          <w:rFonts w:ascii="新宋体" w:hAnsi="新宋体" w:eastAsia="宋体" w:cs="新宋体"/>
          <w:color w:val="231F20"/>
          <w:spacing w:val="0"/>
          <w:w w:val="100"/>
          <w:position w:val="0"/>
          <w:sz w:val="21"/>
          <w:szCs w:val="21"/>
        </w:rPr>
        <w:t>2023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3-9.</w:t>
      </w:r>
    </w:p>
    <w:p w14:paraId="6F1F318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[11]</w:t>
      </w:r>
      <w:r>
        <w:rPr>
          <w:rFonts w:eastAsia="宋体"/>
          <w:color w:val="231F20"/>
          <w:spacing w:val="0"/>
          <w:w w:val="100"/>
          <w:position w:val="0"/>
          <w:sz w:val="21"/>
          <w:szCs w:val="21"/>
        </w:rPr>
        <w:t xml:space="preserve">薛宝贵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中国财富代际传递研究</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海派经济学，</w:t>
      </w:r>
      <w:r>
        <w:rPr>
          <w:rFonts w:ascii="新宋体" w:hAnsi="新宋体" w:eastAsia="宋体" w:cs="新宋体"/>
          <w:color w:val="231F20"/>
          <w:spacing w:val="0"/>
          <w:w w:val="100"/>
          <w:position w:val="0"/>
          <w:sz w:val="21"/>
          <w:szCs w:val="21"/>
        </w:rPr>
        <w:t xml:space="preserve">2025 </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161-181.</w:t>
      </w:r>
    </w:p>
    <w:p w14:paraId="7AE85962">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[12]</w:t>
      </w:r>
      <w:r>
        <w:rPr>
          <w:rFonts w:eastAsia="宋体"/>
          <w:color w:val="231F20"/>
          <w:spacing w:val="0"/>
          <w:w w:val="100"/>
          <w:position w:val="0"/>
          <w:sz w:val="21"/>
          <w:szCs w:val="21"/>
        </w:rPr>
        <w:t xml:space="preserve">王丰，田茂敏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规范财富积累机制的现实难题及其破解路径</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改革，</w:t>
      </w:r>
      <w:r>
        <w:rPr>
          <w:rFonts w:ascii="新宋体" w:hAnsi="新宋体" w:eastAsia="宋体" w:cs="新宋体"/>
          <w:color w:val="231F20"/>
          <w:spacing w:val="0"/>
          <w:w w:val="100"/>
          <w:position w:val="0"/>
          <w:sz w:val="21"/>
          <w:szCs w:val="21"/>
        </w:rPr>
        <w:t>2024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100-113.</w:t>
      </w:r>
    </w:p>
    <w:p w14:paraId="3905882F">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[13]</w:t>
      </w:r>
      <w:r>
        <w:rPr>
          <w:rFonts w:eastAsia="宋体"/>
          <w:color w:val="231F20"/>
          <w:spacing w:val="0"/>
          <w:w w:val="100"/>
          <w:position w:val="0"/>
          <w:sz w:val="21"/>
          <w:szCs w:val="21"/>
        </w:rPr>
        <w:t xml:space="preserve">侯晓东，程恩富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数字资本双重属性赋能共同富裕——理论逻辑与实践路径</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上海经济研究，</w:t>
      </w:r>
      <w:r>
        <w:rPr>
          <w:rFonts w:ascii="新宋体" w:hAnsi="新宋体" w:eastAsia="宋体" w:cs="新宋体"/>
          <w:color w:val="231F20"/>
          <w:spacing w:val="0"/>
          <w:w w:val="100"/>
          <w:position w:val="0"/>
          <w:sz w:val="21"/>
          <w:szCs w:val="21"/>
        </w:rPr>
        <w:t>2025</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24-33.</w:t>
      </w:r>
    </w:p>
    <w:p w14:paraId="685F7FE9">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[14]</w:t>
      </w:r>
      <w:r>
        <w:rPr>
          <w:rFonts w:eastAsia="宋体"/>
          <w:color w:val="231F20"/>
          <w:spacing w:val="0"/>
          <w:w w:val="100"/>
          <w:position w:val="0"/>
          <w:sz w:val="21"/>
          <w:szCs w:val="21"/>
        </w:rPr>
        <w:t xml:space="preserve">盖凯程，李孟杰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数字资本特性与行为规律的三重逻辑</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政治经济学评论，</w:t>
      </w:r>
      <w:r>
        <w:rPr>
          <w:rFonts w:ascii="新宋体" w:hAnsi="新宋体" w:eastAsia="宋体" w:cs="新宋体"/>
          <w:color w:val="231F20"/>
          <w:spacing w:val="0"/>
          <w:w w:val="100"/>
          <w:position w:val="0"/>
          <w:sz w:val="21"/>
          <w:szCs w:val="21"/>
        </w:rPr>
        <w:t>2024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:209-224.</w:t>
      </w:r>
    </w:p>
    <w:p w14:paraId="17059D2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[15]</w:t>
      </w:r>
      <w:r>
        <w:rPr>
          <w:rFonts w:eastAsia="宋体"/>
          <w:color w:val="231F20"/>
          <w:spacing w:val="0"/>
          <w:w w:val="100"/>
          <w:position w:val="0"/>
          <w:sz w:val="21"/>
          <w:szCs w:val="21"/>
        </w:rPr>
        <w:t xml:space="preserve">叶龙祥，钟锦宸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当代数字资本逻辑批判起点、嬗变趋向与实践超越</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当代经济研究，</w:t>
      </w:r>
      <w:r>
        <w:rPr>
          <w:rFonts w:ascii="新宋体" w:hAnsi="新宋体" w:eastAsia="宋体" w:cs="新宋体"/>
          <w:color w:val="231F20"/>
          <w:spacing w:val="0"/>
          <w:w w:val="100"/>
          <w:position w:val="0"/>
          <w:sz w:val="21"/>
          <w:szCs w:val="21"/>
        </w:rPr>
        <w:t>2024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:66-73.</w:t>
      </w:r>
    </w:p>
    <w:p w14:paraId="100090B6">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[16]</w:t>
      </w:r>
      <w:r>
        <w:rPr>
          <w:rFonts w:eastAsia="宋体"/>
          <w:color w:val="231F20"/>
          <w:spacing w:val="0"/>
          <w:w w:val="100"/>
          <w:position w:val="0"/>
          <w:sz w:val="21"/>
          <w:szCs w:val="21"/>
        </w:rPr>
        <w:t xml:space="preserve">朱成全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数字资本对共同富裕的双重作用——基于数字资本二重性视角</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人文杂志，</w:t>
      </w:r>
      <w:r>
        <w:rPr>
          <w:rFonts w:ascii="新宋体" w:hAnsi="新宋体" w:eastAsia="宋体" w:cs="新宋体"/>
          <w:color w:val="231F20"/>
          <w:spacing w:val="0"/>
          <w:w w:val="100"/>
          <w:position w:val="0"/>
          <w:sz w:val="21"/>
          <w:szCs w:val="21"/>
        </w:rPr>
        <w:t>2025</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:49-57.</w:t>
      </w:r>
    </w:p>
    <w:p w14:paraId="6F14CA1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[17]</w:t>
      </w:r>
      <w:r>
        <w:rPr>
          <w:rFonts w:eastAsia="宋体"/>
          <w:color w:val="231F20"/>
          <w:spacing w:val="0"/>
          <w:w w:val="100"/>
          <w:position w:val="0"/>
          <w:sz w:val="21"/>
          <w:szCs w:val="21"/>
        </w:rPr>
        <w:t xml:space="preserve">何自力，彭李政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试析数字资本主义劳资关系的新变化</w:t>
      </w:r>
      <w:r>
        <w:rPr>
          <w:rFonts w:ascii="新宋体" w:hAnsi="新宋体" w:eastAsia="宋体" w:cs="新宋体"/>
          <w:color w:val="231F20"/>
          <w:spacing w:val="0"/>
          <w:w w:val="100"/>
          <w:position w:val="0"/>
          <w:sz w:val="21"/>
          <w:szCs w:val="21"/>
        </w:rPr>
        <w:t xml:space="preserve">[J]. </w:t>
      </w:r>
      <w:r>
        <w:rPr>
          <w:rFonts w:eastAsia="宋体"/>
          <w:color w:val="231F20"/>
          <w:spacing w:val="0"/>
          <w:w w:val="100"/>
          <w:position w:val="0"/>
          <w:sz w:val="21"/>
          <w:szCs w:val="21"/>
        </w:rPr>
        <w:t>当代经济研究，</w:t>
      </w:r>
      <w:r>
        <w:rPr>
          <w:rFonts w:ascii="新宋体" w:hAnsi="新宋体" w:eastAsia="宋体" w:cs="新宋体"/>
          <w:color w:val="231F20"/>
          <w:spacing w:val="0"/>
          <w:w w:val="100"/>
          <w:position w:val="0"/>
          <w:sz w:val="21"/>
          <w:szCs w:val="21"/>
        </w:rPr>
        <w:t>2024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:5-17.</w:t>
      </w:r>
    </w:p>
    <w:p w14:paraId="03CC2DC7">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[18]</w:t>
      </w:r>
      <w:r>
        <w:rPr>
          <w:rFonts w:eastAsia="宋体"/>
          <w:color w:val="231F20"/>
          <w:spacing w:val="0"/>
          <w:w w:val="100"/>
          <w:position w:val="0"/>
          <w:sz w:val="21"/>
          <w:szCs w:val="21"/>
        </w:rPr>
        <w:t xml:space="preserve">马克思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资本论</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第一卷</w:t>
      </w:r>
      <w:r>
        <w:rPr>
          <w:rFonts w:ascii="新宋体" w:hAnsi="新宋体" w:eastAsia="宋体" w:cs="新宋体"/>
          <w:color w:val="231F20"/>
          <w:spacing w:val="0"/>
          <w:w w:val="100"/>
          <w:position w:val="0"/>
          <w:sz w:val="21"/>
          <w:szCs w:val="21"/>
        </w:rPr>
        <w:t>[M].</w:t>
      </w:r>
      <w:r>
        <w:rPr>
          <w:rFonts w:eastAsia="宋体"/>
          <w:color w:val="231F20"/>
          <w:spacing w:val="0"/>
          <w:w w:val="100"/>
          <w:position w:val="0"/>
          <w:sz w:val="21"/>
          <w:szCs w:val="21"/>
        </w:rPr>
        <w:t>北京</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人民出版社，</w:t>
      </w:r>
      <w:r>
        <w:rPr>
          <w:rFonts w:ascii="新宋体" w:hAnsi="新宋体" w:eastAsia="宋体" w:cs="新宋体"/>
          <w:color w:val="231F20"/>
          <w:spacing w:val="0"/>
          <w:w w:val="100"/>
          <w:position w:val="0"/>
          <w:sz w:val="21"/>
          <w:szCs w:val="21"/>
        </w:rPr>
        <w:t>2018:269.</w:t>
      </w:r>
    </w:p>
    <w:p w14:paraId="533E1D7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[19]</w:t>
      </w:r>
      <w:r>
        <w:rPr>
          <w:rFonts w:eastAsia="宋体"/>
          <w:color w:val="231F20"/>
          <w:spacing w:val="0"/>
          <w:w w:val="100"/>
          <w:position w:val="0"/>
          <w:sz w:val="21"/>
          <w:szCs w:val="21"/>
        </w:rPr>
        <w:t xml:space="preserve">谷丁，王岩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共同富裕视域下规范我国财富积累的机制与路径</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江苏社会科学，</w:t>
      </w:r>
      <w:r>
        <w:rPr>
          <w:rFonts w:ascii="新宋体" w:hAnsi="新宋体" w:eastAsia="宋体" w:cs="新宋体"/>
          <w:color w:val="231F20"/>
          <w:spacing w:val="0"/>
          <w:w w:val="100"/>
          <w:position w:val="0"/>
          <w:sz w:val="21"/>
          <w:szCs w:val="21"/>
        </w:rPr>
        <w:t>2023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6</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:82-91.</w:t>
      </w:r>
    </w:p>
    <w:p w14:paraId="2BCCFDB0">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[20]</w:t>
      </w:r>
      <w:r>
        <w:rPr>
          <w:rFonts w:eastAsia="宋体"/>
          <w:color w:val="231F20"/>
          <w:spacing w:val="0"/>
          <w:w w:val="100"/>
          <w:position w:val="0"/>
          <w:sz w:val="21"/>
          <w:szCs w:val="21"/>
        </w:rPr>
        <w:t xml:space="preserve">张明，包宏，王瑶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加密货币对全球金融治理的挑战与应对</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金融监管研究，</w:t>
      </w:r>
      <w:r>
        <w:rPr>
          <w:rFonts w:ascii="新宋体" w:hAnsi="新宋体" w:eastAsia="宋体" w:cs="新宋体"/>
          <w:color w:val="231F20"/>
          <w:spacing w:val="0"/>
          <w:w w:val="100"/>
          <w:position w:val="0"/>
          <w:sz w:val="21"/>
          <w:szCs w:val="21"/>
        </w:rPr>
        <w:t>2025</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:73-90.</w:t>
      </w:r>
    </w:p>
    <w:p w14:paraId="2365E553">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[21]</w:t>
      </w:r>
      <w:r>
        <w:rPr>
          <w:rFonts w:eastAsia="宋体"/>
          <w:color w:val="231F20"/>
          <w:spacing w:val="0"/>
          <w:w w:val="100"/>
          <w:position w:val="0"/>
          <w:sz w:val="21"/>
          <w:szCs w:val="21"/>
        </w:rPr>
        <w:t xml:space="preserve">侯晓东，程恩富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基于产权视角的平台经济反垄断治理研究</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管理学刊，</w:t>
      </w:r>
      <w:r>
        <w:rPr>
          <w:rFonts w:ascii="新宋体" w:hAnsi="新宋体" w:eastAsia="宋体" w:cs="新宋体"/>
          <w:color w:val="231F20"/>
          <w:spacing w:val="0"/>
          <w:w w:val="100"/>
          <w:position w:val="0"/>
          <w:sz w:val="21"/>
          <w:szCs w:val="21"/>
        </w:rPr>
        <w:t>2021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:10-20.</w:t>
      </w:r>
    </w:p>
    <w:p w14:paraId="0A49DE86">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[22]</w:t>
      </w:r>
      <w:r>
        <w:rPr>
          <w:rFonts w:eastAsia="宋体"/>
          <w:color w:val="231F20"/>
          <w:spacing w:val="0"/>
          <w:w w:val="100"/>
          <w:position w:val="0"/>
          <w:sz w:val="21"/>
          <w:szCs w:val="21"/>
        </w:rPr>
        <w:t xml:space="preserve">马克思，恩格斯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马克思恩格斯文集</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第五卷</w:t>
      </w:r>
      <w:r>
        <w:rPr>
          <w:rFonts w:ascii="新宋体" w:hAnsi="新宋体" w:eastAsia="宋体" w:cs="新宋体"/>
          <w:color w:val="231F20"/>
          <w:spacing w:val="0"/>
          <w:w w:val="100"/>
          <w:position w:val="0"/>
          <w:sz w:val="21"/>
          <w:szCs w:val="21"/>
        </w:rPr>
        <w:t>[M].</w:t>
      </w:r>
      <w:r>
        <w:rPr>
          <w:rFonts w:eastAsia="宋体"/>
          <w:color w:val="231F20"/>
          <w:spacing w:val="0"/>
          <w:w w:val="100"/>
          <w:position w:val="0"/>
          <w:sz w:val="21"/>
          <w:szCs w:val="21"/>
        </w:rPr>
        <w:t>北京</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人民出版社，</w:t>
      </w:r>
      <w:r>
        <w:rPr>
          <w:rFonts w:ascii="新宋体" w:hAnsi="新宋体" w:eastAsia="宋体" w:cs="新宋体"/>
          <w:color w:val="231F20"/>
          <w:spacing w:val="0"/>
          <w:w w:val="100"/>
          <w:position w:val="0"/>
          <w:sz w:val="21"/>
          <w:szCs w:val="21"/>
        </w:rPr>
        <w:t>2009:742-744.</w:t>
      </w:r>
    </w:p>
    <w:p w14:paraId="3D09CB34">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[23]</w:t>
      </w:r>
      <w:r>
        <w:rPr>
          <w:rFonts w:eastAsia="宋体"/>
          <w:color w:val="231F20"/>
          <w:spacing w:val="0"/>
          <w:w w:val="100"/>
          <w:position w:val="0"/>
          <w:sz w:val="21"/>
          <w:szCs w:val="21"/>
        </w:rPr>
        <w:t xml:space="preserve">马克思，恩格斯 </w:t>
      </w:r>
      <w:r>
        <w:rPr>
          <w:rFonts w:ascii="新宋体" w:hAnsi="新宋体" w:eastAsia="宋体" w:cs="新宋体"/>
          <w:color w:val="231F20"/>
          <w:spacing w:val="0"/>
          <w:w w:val="100"/>
          <w:position w:val="0"/>
          <w:sz w:val="21"/>
          <w:szCs w:val="21"/>
        </w:rPr>
        <w:t xml:space="preserve">. </w:t>
      </w:r>
      <w:r>
        <w:rPr>
          <w:rFonts w:eastAsia="宋体"/>
          <w:color w:val="231F20"/>
          <w:spacing w:val="0"/>
          <w:w w:val="100"/>
          <w:position w:val="0"/>
          <w:sz w:val="21"/>
          <w:szCs w:val="21"/>
        </w:rPr>
        <w:t>马克思恩格斯文集</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第八卷</w:t>
      </w:r>
      <w:r>
        <w:rPr>
          <w:rFonts w:ascii="新宋体" w:hAnsi="新宋体" w:eastAsia="宋体" w:cs="新宋体"/>
          <w:color w:val="231F20"/>
          <w:spacing w:val="0"/>
          <w:w w:val="100"/>
          <w:position w:val="0"/>
          <w:sz w:val="21"/>
          <w:szCs w:val="21"/>
        </w:rPr>
        <w:t>[M].</w:t>
      </w:r>
      <w:r>
        <w:rPr>
          <w:rFonts w:eastAsia="宋体"/>
          <w:color w:val="231F20"/>
          <w:spacing w:val="0"/>
          <w:w w:val="100"/>
          <w:position w:val="0"/>
          <w:sz w:val="21"/>
          <w:szCs w:val="21"/>
        </w:rPr>
        <w:t>北京</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人民出版社，</w:t>
      </w:r>
      <w:r>
        <w:rPr>
          <w:rFonts w:ascii="新宋体" w:hAnsi="新宋体" w:eastAsia="宋体" w:cs="新宋体"/>
          <w:color w:val="231F20"/>
          <w:spacing w:val="0"/>
          <w:w w:val="100"/>
          <w:position w:val="0"/>
          <w:sz w:val="21"/>
          <w:szCs w:val="21"/>
        </w:rPr>
        <w:t>2009:200.</w:t>
      </w:r>
    </w:p>
    <w:p w14:paraId="39DF7D2F">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[24]</w:t>
      </w:r>
      <w:r>
        <w:rPr>
          <w:rFonts w:eastAsia="宋体"/>
          <w:color w:val="231F20"/>
          <w:spacing w:val="0"/>
          <w:w w:val="100"/>
          <w:position w:val="0"/>
          <w:sz w:val="21"/>
          <w:szCs w:val="21"/>
        </w:rPr>
        <w:t xml:space="preserve">朱巧玲，杨剑刚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数字资本演化路径、无序扩张和应对策略</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政治经济学报，</w:t>
      </w:r>
      <w:r>
        <w:rPr>
          <w:rFonts w:ascii="新宋体" w:hAnsi="新宋体" w:eastAsia="宋体" w:cs="新宋体"/>
          <w:color w:val="231F20"/>
          <w:spacing w:val="0"/>
          <w:w w:val="100"/>
          <w:position w:val="0"/>
          <w:sz w:val="21"/>
          <w:szCs w:val="21"/>
        </w:rPr>
        <w:t>2022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:53-77.</w:t>
      </w:r>
    </w:p>
    <w:p w14:paraId="11F1E531">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[25]</w:t>
      </w:r>
      <w:r>
        <w:rPr>
          <w:rFonts w:eastAsia="宋体"/>
          <w:color w:val="231F20"/>
          <w:spacing w:val="0"/>
          <w:w w:val="100"/>
          <w:position w:val="0"/>
          <w:sz w:val="21"/>
          <w:szCs w:val="21"/>
        </w:rPr>
        <w:t xml:space="preserve">靳文辉，苏雪琴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数字资本无序扩张的风险与规制改革</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改革，</w:t>
      </w:r>
      <w:r>
        <w:rPr>
          <w:rFonts w:ascii="新宋体" w:hAnsi="新宋体" w:eastAsia="宋体" w:cs="新宋体"/>
          <w:color w:val="231F20"/>
          <w:spacing w:val="0"/>
          <w:w w:val="100"/>
          <w:position w:val="0"/>
          <w:sz w:val="21"/>
          <w:szCs w:val="21"/>
        </w:rPr>
        <w:t>2024</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:82-93.</w:t>
      </w:r>
    </w:p>
    <w:p w14:paraId="252C22E9">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[26]</w:t>
      </w:r>
      <w:r>
        <w:rPr>
          <w:rFonts w:eastAsia="宋体"/>
          <w:color w:val="231F20"/>
          <w:spacing w:val="0"/>
          <w:w w:val="100"/>
          <w:position w:val="0"/>
          <w:sz w:val="21"/>
          <w:szCs w:val="21"/>
        </w:rPr>
        <w:t xml:space="preserve">徐景一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马克思资本积累理论视角下西方数字资本主义批判</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马克思主义研究，</w:t>
      </w:r>
      <w:r>
        <w:rPr>
          <w:rFonts w:ascii="新宋体" w:hAnsi="新宋体" w:eastAsia="宋体" w:cs="新宋体"/>
          <w:color w:val="231F20"/>
          <w:spacing w:val="0"/>
          <w:w w:val="100"/>
          <w:position w:val="0"/>
          <w:sz w:val="21"/>
          <w:szCs w:val="21"/>
        </w:rPr>
        <w:t>2022</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11</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:133-142.</w:t>
      </w:r>
    </w:p>
    <w:p w14:paraId="74CCD6FD">
      <w:pPr>
        <w:pStyle w:val="6"/>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r>
        <w:rPr>
          <w:rFonts w:ascii="新宋体" w:hAnsi="新宋体" w:eastAsia="宋体" w:cs="新宋体"/>
          <w:color w:val="231F20"/>
          <w:spacing w:val="0"/>
          <w:w w:val="100"/>
          <w:position w:val="0"/>
          <w:sz w:val="21"/>
          <w:szCs w:val="21"/>
        </w:rPr>
        <w:t>[27]</w:t>
      </w:r>
      <w:r>
        <w:rPr>
          <w:rFonts w:eastAsia="宋体"/>
          <w:color w:val="231F20"/>
          <w:spacing w:val="0"/>
          <w:w w:val="100"/>
          <w:position w:val="0"/>
          <w:sz w:val="21"/>
          <w:szCs w:val="21"/>
        </w:rPr>
        <w:t>邵彦敏，赵文</w:t>
      </w:r>
      <w:r>
        <w:rPr>
          <w:rFonts w:ascii="方正书宋_GBK" w:hAnsi="方正书宋_GBK" w:eastAsia="宋体" w:cs="方正书宋_GBK"/>
          <w:color w:val="231F20"/>
          <w:spacing w:val="0"/>
          <w:w w:val="100"/>
          <w:position w:val="0"/>
          <w:sz w:val="21"/>
          <w:szCs w:val="21"/>
        </w:rPr>
        <w:t xml:space="preserve">瑄 </w:t>
      </w:r>
      <w:r>
        <w:rPr>
          <w:rFonts w:ascii="新宋体" w:hAnsi="新宋体" w:eastAsia="宋体" w:cs="新宋体"/>
          <w:color w:val="231F20"/>
          <w:spacing w:val="0"/>
          <w:w w:val="100"/>
          <w:position w:val="0"/>
          <w:sz w:val="21"/>
          <w:szCs w:val="21"/>
        </w:rPr>
        <w:t>.</w:t>
      </w:r>
      <w:r>
        <w:rPr>
          <w:rFonts w:eastAsia="宋体"/>
          <w:color w:val="231F20"/>
          <w:spacing w:val="0"/>
          <w:w w:val="100"/>
          <w:position w:val="0"/>
          <w:sz w:val="21"/>
          <w:szCs w:val="21"/>
        </w:rPr>
        <w:t>论数字资本主义下数字劳动、数字资本及其劳资关系</w:t>
      </w:r>
      <w:r>
        <w:rPr>
          <w:rFonts w:ascii="新宋体" w:hAnsi="新宋体" w:eastAsia="宋体" w:cs="新宋体"/>
          <w:color w:val="231F20"/>
          <w:spacing w:val="0"/>
          <w:w w:val="100"/>
          <w:position w:val="0"/>
          <w:sz w:val="21"/>
          <w:szCs w:val="21"/>
        </w:rPr>
        <w:t>[J].</w:t>
      </w:r>
      <w:r>
        <w:rPr>
          <w:rFonts w:eastAsia="宋体"/>
          <w:color w:val="231F20"/>
          <w:spacing w:val="0"/>
          <w:w w:val="100"/>
          <w:position w:val="0"/>
          <w:sz w:val="21"/>
          <w:szCs w:val="21"/>
        </w:rPr>
        <w:t>经济纵横，</w:t>
      </w:r>
      <w:r>
        <w:rPr>
          <w:rFonts w:ascii="新宋体" w:hAnsi="新宋体" w:eastAsia="宋体" w:cs="新宋体"/>
          <w:color w:val="231F20"/>
          <w:spacing w:val="0"/>
          <w:w w:val="100"/>
          <w:position w:val="0"/>
          <w:sz w:val="21"/>
          <w:szCs w:val="21"/>
        </w:rPr>
        <w:t>2023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3</w:t>
      </w:r>
      <w:r>
        <w:rPr>
          <w:rFonts w:eastAsia="宋体"/>
          <w:color w:val="231F20"/>
          <w:spacing w:val="0"/>
          <w:w w:val="100"/>
          <w:position w:val="0"/>
          <w:sz w:val="21"/>
          <w:szCs w:val="21"/>
        </w:rPr>
        <w:t>）</w:t>
      </w:r>
      <w:r>
        <w:rPr>
          <w:rFonts w:ascii="新宋体" w:hAnsi="新宋体" w:eastAsia="宋体" w:cs="新宋体"/>
          <w:color w:val="231F20"/>
          <w:spacing w:val="0"/>
          <w:w w:val="100"/>
          <w:position w:val="0"/>
          <w:sz w:val="21"/>
          <w:szCs w:val="21"/>
        </w:rPr>
        <w:t>:15-22.</w:t>
      </w:r>
    </w:p>
    <w:p w14:paraId="37882FED">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p>
    <w:p w14:paraId="5980D21A">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p>
    <w:p w14:paraId="7CC705C0">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新宋体" w:hAnsi="新宋体" w:eastAsia="宋体" w:cs="新宋体"/>
          <w:spacing w:val="0"/>
          <w:w w:val="100"/>
          <w:position w:val="0"/>
          <w:sz w:val="21"/>
          <w:szCs w:val="21"/>
        </w:rPr>
      </w:pPr>
    </w:p>
    <w:p w14:paraId="277128A6">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新宋体" w:hAnsi="新宋体" w:eastAsia="宋体" w:cs="新宋体"/>
          <w:spacing w:val="0"/>
          <w:w w:val="100"/>
          <w:position w:val="0"/>
          <w:sz w:val="21"/>
          <w:szCs w:val="21"/>
          <w:lang w:eastAsia="zh-CN"/>
        </w:rPr>
      </w:pPr>
      <w:r>
        <w:rPr>
          <w:rFonts w:hint="eastAsia" w:ascii="新宋体" w:hAnsi="新宋体" w:eastAsia="宋体" w:cs="新宋体"/>
          <w:spacing w:val="0"/>
          <w:w w:val="100"/>
          <w:position w:val="0"/>
          <w:sz w:val="21"/>
          <w:szCs w:val="21"/>
          <w:lang w:eastAsia="zh-CN"/>
        </w:rPr>
        <w:t>（</w:t>
      </w:r>
      <w:r>
        <w:rPr>
          <w:rFonts w:hint="eastAsia" w:ascii="新宋体" w:hAnsi="新宋体" w:eastAsia="宋体" w:cs="新宋体"/>
          <w:spacing w:val="0"/>
          <w:w w:val="100"/>
          <w:position w:val="0"/>
          <w:sz w:val="21"/>
          <w:szCs w:val="21"/>
          <w:lang w:val="en-US" w:eastAsia="zh-CN"/>
        </w:rPr>
        <w:t>原载</w:t>
      </w:r>
      <w:r>
        <w:rPr>
          <w:rFonts w:hint="eastAsia" w:ascii="Times New Roman" w:hAnsi="Times New Roman" w:eastAsia="宋体" w:cs="Times New Roman"/>
          <w:sz w:val="24"/>
          <w:szCs w:val="24"/>
          <w:lang w:val="en-US" w:eastAsia="zh-CN"/>
        </w:rPr>
        <w:t>《经济问题》2025年第8期，第二作者为侯晓东。</w:t>
      </w:r>
      <w:r>
        <w:rPr>
          <w:rFonts w:hint="eastAsia" w:ascii="新宋体" w:hAnsi="新宋体" w:eastAsia="宋体" w:cs="新宋体"/>
          <w:spacing w:val="0"/>
          <w:w w:val="100"/>
          <w:position w:val="0"/>
          <w:sz w:val="21"/>
          <w:szCs w:val="21"/>
          <w:lang w:eastAsia="zh-CN"/>
        </w:rPr>
        <w:t>）</w:t>
      </w:r>
    </w:p>
    <w:p w14:paraId="689CE29A">
      <w:pPr>
        <w:pStyle w:val="2"/>
        <w:bidi w:val="0"/>
        <w:rPr>
          <w:rFonts w:hint="eastAsia"/>
          <w:lang w:eastAsia="zh-CN"/>
        </w:rPr>
      </w:pPr>
      <w:bookmarkStart w:id="823" w:name="_Toc113712100"/>
      <w:bookmarkStart w:id="824" w:name="_Toc860676271"/>
      <w:bookmarkStart w:id="825" w:name="_Toc27149"/>
      <w:bookmarkStart w:id="826" w:name="_Toc1875769899"/>
      <w:bookmarkStart w:id="827" w:name="_Toc1152035583"/>
      <w:bookmarkStart w:id="828" w:name="_Toc415867978"/>
      <w:r>
        <w:rPr>
          <w:rFonts w:hint="eastAsia"/>
          <w:lang w:val="en-US" w:eastAsia="zh-CN"/>
        </w:rPr>
        <w:t>12“国富而鄙贫，莫尽如市”——管仲经营市场、脉动天下的市场学说</w:t>
      </w:r>
      <w:bookmarkEnd w:id="823"/>
      <w:bookmarkEnd w:id="824"/>
      <w:bookmarkEnd w:id="825"/>
      <w:bookmarkEnd w:id="826"/>
      <w:bookmarkEnd w:id="827"/>
      <w:bookmarkEnd w:id="828"/>
    </w:p>
    <w:p w14:paraId="4593AE7F">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新宋体" w:hAnsi="新宋体" w:eastAsia="宋体" w:cs="新宋体"/>
          <w:spacing w:val="0"/>
          <w:w w:val="100"/>
          <w:position w:val="0"/>
          <w:sz w:val="21"/>
          <w:szCs w:val="21"/>
          <w:lang w:eastAsia="zh-CN"/>
        </w:rPr>
      </w:pPr>
    </w:p>
    <w:p w14:paraId="108CFA93">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百家之祖”管子和“百科全书”《管子》，在中国思想史乃至世界思想史上占有开天下先的重要地位。作为相师合一的圣人之师、“华夏第一相”“学术思想界一巨子”，管仲既有博大精深的经世济民理论，又有相齐（在齐国担任宰相的职位）、平天下的成功实践。管仲经济学，形塑了一种经世济民的经济学范式，发微出经济学大道，是当之无愧的人类古典政治经济学奠基者。在管仲经世济民的经济学建构中，跨越时空隧道的惊若天人之语俯拾皆是，其首倡的“以人为本”、先富民后治国、与民同利、“人与天调”等经济主张历久弥新，至今仍闪耀着智慧的光芒。</w:t>
      </w:r>
    </w:p>
    <w:p w14:paraId="508E0793">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“聚者有市，无市则民乏”</w:t>
      </w:r>
    </w:p>
    <w:p w14:paraId="6490C2F7">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自传说时代神农教民“日中为市，致天下之民，聚天下之货，交易而退，各得其所”（《周易·系辞下》）起，到春秋时期，市场得到进一步发育。在经济学说史上，管仲首次对市场进行了准确定位：“市者，货之准也。是故百货贱，则百利不得。百利不得，则百事治。百事治，则百用节矣……故曰：市者可以知治乱，可以知多寡，而不能为多寡，为之有道。”（《乘马》）市场是商品价格形成的场所，能够平衡供求关系，使物价在合理区间上下波动，从而使各项需求得到适度满足。市场是观察供求均衡、社会兴衰的场所，关乎社会稳定。对市场之于百姓生活的重要意义，管仲的认识可谓深刻：“国富而鄙贫，莫尽如市。市也者，劝也。劝者，所以起。本善而末事起。”（《侈靡》）“劝”有鼓励、促进之意，也就是说市场能够促进工商业发展。在市场这个财货集散地，万民均可以通过市场自由交换而相互得利，是解决国计民生的正道。因此，管仲建议在民之聚居处都要有市，所谓“聚者有市，无市则民乏”（《乘马》）。如果没有市场则无法交易，致使物资匮乏，百姓的生产生活难以得到保障。在管仲看来，市场本身虽然不能使产品增量，但市场的地位和作用丝毫不逊于农工的物质生产。</w:t>
      </w:r>
    </w:p>
    <w:p w14:paraId="3655AF1B">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管仲早就发现的自利利他现象，2400多年后被亚当·斯密再次提及</w:t>
      </w:r>
    </w:p>
    <w:p w14:paraId="113E10E6">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管仲深知，趋利避害乃人之常情。管仲曰：“民，利之则来，害之则去。民之从利也，如水之走下，于四方无择也。故欲来民者，先起其利，虽不召而民自至。设其所恶，虽召之而民不来也。”（《形势解》）意思是说，有利民自来，有害民自去。民众趋利，就像水流趋下，不分东西南北。所以欲要民众归附，必先利民，有利民众会不招自来。如果民众厌恶，虽招而不来。“百姓无宝，以利为首”。商人也不例外，他们“不择乡而处，不择君而使，出则从利，入则不守”（《侈靡》）。尽管为的是谋利，却在客观上增加了国家税收，使财货流通而不私藏，在自利中利他。在自利利他的交互作用中，可以趋向“民自美安”“民自富”的境界：“商人通贾，倍道兼行，夜以续日，千里而不远者，利在前也。渔人之入海，海深万仞，就波逆流乘危百里，宿夜不出者，利在水也。故利之所在，虽千仞之山无所不上，深源之下，无所不入焉。故善者势利之在，而民自美安，不推而往，不引而来，不烦不扰，而民自富。”（《禁藏》）人人都合规合理求利，百姓自然富裕，社会自然安定。在管仲经济学视野内，自利与利人不仅可以调和，甚至自利本身就会外溢善行，既有自利之举，又行利人之德。管仲早就发现的自利利他现象，2400多年后被亚当·斯密再次提及。</w:t>
      </w:r>
    </w:p>
    <w:p w14:paraId="790C6BCB">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管仲对人性有深刻的洞见，他非常清楚，逐利的资本并非总是自利利他，也常常损人利己。商贾可以富国，但也可以乱国。资本没有祖国，无良商人缺乏道德底线，国家有难大发国难财，百姓有难就趁火打劫。商贾一旦做大，必然会导致“人君不能治，故使蓄贾游市，乘民之不给，百倍其本”（《国蓄》）的严重后果，最终危及社会均衡。君主治国无方，就会使富商在市场敛财无度，甚至乘人之危，牟取百倍的利润。管仲认为：“万乘之国必有万金之贾，千乘之国必有千金之贾，百乘之国必有百金之贾，非君之所赖也，君之所与。”（《轻重甲》）管仲提醒齐桓公：此等富可敌国者，绝非君主赖以治国的基础，而是需要控制的对象。国家的发展、社会的和谐不仅不能依赖商贾，反而必须以对商贾的必要管控为实现条件。如果让富商巨贾执掌权柄，“商贾在朝，则货财上流。……货财上流，赏罚不信，民无廉耻，而求百姓之安难，兵士之死节，不可得也”（《权修》）。商贾入朝掌权，财货集中到富商巨贾手中，则君王号令不行。</w:t>
      </w:r>
    </w:p>
    <w:p w14:paraId="0C3B5756">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“天下之商贾归齐若流水”，管仲的宏观调控观点具有高超水平</w:t>
      </w:r>
    </w:p>
    <w:p w14:paraId="4143CB67">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相比之下，管仲对市场的认识比西方经济学主要把市场看成资源配置方式和价格形成机制的认识要全面深刻得多（现代西方经济学没有抨击和消除美国犹太大垄断资本控制金融经济、媒体舆论和党政权力的痼疾），他不仅发现了资本具有的自利利他倾向，也洞见了资本损人利己的必然。既然商贾具有两面性，那么，必须对其既利用又限制——利用自利利他的一面，限制损人利己的一面。尤其是对商人从政，必须严加管控。管仲对市场的利用与规制可以概括为十六字：微观放活，利用其利；宏观调控，规制其弊。</w:t>
      </w:r>
    </w:p>
    <w:p w14:paraId="2D23AED9">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在微观放活、利用其利方面，管仲借助王权，以其独创的经世济民之学成功驾驭资本，利用资本自利利他的正向作用，促进社会生产力发展，使资本成为实现富民强国总目标的手段与工具。为了发展经济，管仲让商人居中而居，观察年景丰歉，便于实时了解国内物价行情。为吸引各诸侯国商人来齐国经商，管仲致力于营造良好的市场环境，“为诸侯之商贾立客舍，一乘者有食，三乘者有刍菽，五乘者有伍养”（《轻重乙》）；“弛关市之征，五十而取一”（《大匡》）。齐国所建的市场，算得上世界最早的自由贸易区，堪称人类历史上的伟大创举。结果，“四邻宾客，入者悦，出者誉，光名满天下”（《中匡》），“天下之商贾归齐若流水”（《轻重乙》）。</w:t>
      </w:r>
    </w:p>
    <w:p w14:paraId="33937BB0">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shd w:val="clear" w:fill="FFFFFF"/>
        </w:rPr>
        <w:t>　　在宏观调控、规制其弊方面，管仲以货币、粮食等杠杆手段对经济进行干预，并设立专门机构有效管理市场。管仲明白，市场机制不会自动实现均衡与和谐，国家有责任为市场均衡注入强大平准动力。如果不负责任地将百姓的命运沉浮交给市场，众多百姓就会被交替出现的“过剩”“短缺”的巨浪所淹没，从而任凭资本收割。管仲当相齐时，迅速扭转此前齐国无力控制市场、“轻重失准”的乱局，除了出台旨在强化国家调控能力的“官山海”政策外，在“轻重论”中详尽描述了商品与货币的供求关系及价格波动规律，为界定货币总量供给提供了理论依据。为了调适市场物价，稳定国家经济形势，管仲首创均输法和平准法，用粮食与货币双向调控国内国际市场，实现市场平准稳定。所谓均输法，指集中与分散天下物资的手段。所谓平准法，指在集中与分散天下物资时，按市场需求供给和公平价格削峰填谷，在敛散之间保持平衡。凡轻重以时，价格在合理区间波动，谓之准平。“守之以准平”，则“大贾蓄家不得豪夺吾民矣”（《国蓄》）。</w:t>
      </w:r>
    </w:p>
    <w:p w14:paraId="321C62F8">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shd w:val="clear" w:fill="FFFFFF"/>
        </w:rPr>
      </w:pPr>
      <w:r>
        <w:rPr>
          <w:rFonts w:hint="eastAsia" w:ascii="宋体" w:hAnsi="宋体" w:eastAsia="宋体" w:cs="宋体"/>
          <w:i w:val="0"/>
          <w:iCs w:val="0"/>
          <w:caps w:val="0"/>
          <w:color w:val="000000"/>
          <w:spacing w:val="0"/>
          <w:sz w:val="21"/>
          <w:szCs w:val="21"/>
          <w:shd w:val="clear" w:fill="FFFFFF"/>
        </w:rPr>
        <w:t>　　管仲将既用商又抑商的高超艺术发挥到极致，恰到好处地取其利而损其弊，轻重之间彰显损益之道。经过管仲益其利而损其弊的改革，齐国的工商业迅速发展，百姓富裕殷实，首都临淄成为当时世界上规模最大、最繁华的“国际化”大都市，盛况空前。</w:t>
      </w:r>
    </w:p>
    <w:p w14:paraId="051EC613">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shd w:val="clear" w:fill="FFFFFF"/>
        </w:rPr>
      </w:pPr>
    </w:p>
    <w:p w14:paraId="22FC93A5">
      <w:pPr>
        <w:pStyle w:val="13"/>
        <w:keepNext w:val="0"/>
        <w:keepLines w:val="0"/>
        <w:pageBreakBefore w:val="0"/>
        <w:widowControl/>
        <w:suppressLineNumbers w:val="0"/>
        <w:shd w:val="clear" w:fill="FFFFFF"/>
        <w:kinsoku w:val="0"/>
        <w:wordWrap/>
        <w:overflowPunct/>
        <w:topLinePunct w:val="0"/>
        <w:autoSpaceDE w:val="0"/>
        <w:autoSpaceDN w:val="0"/>
        <w:bidi w:val="0"/>
        <w:adjustRightInd w:val="0"/>
        <w:snapToGrid w:val="0"/>
        <w:spacing w:beforeAutospacing="0" w:afterAutospacing="0" w:line="360" w:lineRule="auto"/>
        <w:ind w:left="0" w:firstLine="420" w:firstLineChars="200"/>
        <w:jc w:val="both"/>
        <w:textAlignment w:val="baseline"/>
        <w:rPr>
          <w:rFonts w:hint="eastAsia" w:ascii="宋体" w:hAnsi="宋体" w:eastAsia="宋体" w:cs="宋体"/>
          <w:i w:val="0"/>
          <w:iCs w:val="0"/>
          <w:caps w:val="0"/>
          <w:color w:val="000000"/>
          <w:spacing w:val="0"/>
          <w:sz w:val="21"/>
          <w:szCs w:val="21"/>
          <w:shd w:val="clear" w:fill="FFFFFF"/>
        </w:rPr>
      </w:pPr>
    </w:p>
    <w:p w14:paraId="1E5F6F2F">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lang w:val="en-US" w:eastAsia="zh-CN"/>
        </w:rPr>
      </w:pPr>
      <w:r>
        <w:rPr>
          <w:rFonts w:hint="eastAsia" w:ascii="Times New Roman" w:hAnsi="Times New Roman" w:eastAsia="宋体" w:cs="Times New Roman"/>
          <w:sz w:val="24"/>
          <w:szCs w:val="24"/>
          <w:lang w:val="en-US" w:eastAsia="zh-CN"/>
        </w:rPr>
        <w:t>（原载《北京日报》2025年1月20日，第一作者为刘长明。）</w:t>
      </w:r>
    </w:p>
    <w:p w14:paraId="3F1C4A89">
      <w:pPr>
        <w:pStyle w:val="2"/>
        <w:bidi w:val="0"/>
        <w:rPr>
          <w:rFonts w:hint="eastAsia"/>
          <w:lang w:val="en-US" w:eastAsia="zh-CN"/>
        </w:rPr>
      </w:pPr>
      <w:bookmarkStart w:id="829" w:name="_Toc1004754533"/>
      <w:bookmarkStart w:id="830" w:name="_Toc2046302517"/>
      <w:bookmarkStart w:id="831" w:name="_Toc549482129"/>
      <w:bookmarkStart w:id="832" w:name="_Toc2083724152"/>
      <w:bookmarkStart w:id="833" w:name="_Toc26017"/>
      <w:bookmarkStart w:id="834" w:name="_Toc1581318908"/>
      <w:r>
        <w:rPr>
          <w:rFonts w:hint="eastAsia"/>
          <w:lang w:val="en-US" w:eastAsia="zh-CN"/>
        </w:rPr>
        <w:t>13有效发挥社会主义市场经济杜宇提振消费的体制优势</w:t>
      </w:r>
      <w:bookmarkEnd w:id="829"/>
      <w:bookmarkEnd w:id="830"/>
      <w:bookmarkEnd w:id="831"/>
      <w:bookmarkEnd w:id="832"/>
      <w:bookmarkEnd w:id="833"/>
      <w:bookmarkEnd w:id="834"/>
    </w:p>
    <w:p w14:paraId="72FE79E6">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p>
    <w:p w14:paraId="53347B9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去年底召开的中央经济工作会议对2025年经济工作进行了部署，将“大力提振消费、提高投资效益，全方位扩大国内需求”确立为首要任务，并强调“要紧抓关键环节完成好明年经济工作重点任务，针对需求不足的突出症结，着力提振内需特别是居民消费需求”。</w:t>
      </w:r>
    </w:p>
    <w:p w14:paraId="413066D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提振消费是扩大内需、做大做强国内大循环的重中之重。2月10日，国务院常务会议研究提振消费有关工作，指出要切实转变观念，把提振消费摆到更加突出位置。</w:t>
      </w:r>
    </w:p>
    <w:p w14:paraId="19D10D5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我们要以党中央对形势的科学判断为指引，认真理解提振消费的理念与实践意蕴，坚持以人民为中心的发展思想，充分吸取历史经验，有效发挥社会主义市场经济对于提振消费的体制优势，努力写好提振消费这篇大文章。</w:t>
      </w:r>
    </w:p>
    <w:p w14:paraId="6471620B">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center"/>
        <w:textAlignment w:val="baseline"/>
        <w:rPr>
          <w:rFonts w:hint="eastAsia" w:ascii="宋体" w:hAnsi="宋体" w:eastAsia="宋体" w:cs="宋体"/>
          <w:sz w:val="21"/>
          <w:szCs w:val="21"/>
        </w:rPr>
      </w:pPr>
      <w:r>
        <w:rPr>
          <w:rStyle w:val="17"/>
          <w:rFonts w:hint="eastAsia" w:ascii="宋体" w:hAnsi="宋体" w:eastAsia="宋体" w:cs="宋体"/>
          <w:sz w:val="21"/>
          <w:szCs w:val="21"/>
        </w:rPr>
        <w:t>系统理解提振消费的理论与实践意蕴</w:t>
      </w:r>
    </w:p>
    <w:p w14:paraId="7339979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习近平经济思想为提振消费提供根本遵循。从“实施扩大内需战略”到“实施提振消费专项行动”，政策演进体现着对生产与消费辩证关系的深刻把握。2025年实施的消费促进政策，既包含短期稳增长举措，又着眼长效机制建设。我们必须在立足新发展阶段，贯彻新发展理念，构建新发展格局的基础上，系统性地全面理解提振消费的理论与实践意蕴。</w:t>
      </w:r>
    </w:p>
    <w:p w14:paraId="4AEE66F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提振消费是构建新发展格局的战略支点。构建国内大循环是新发展格局的重点，而消费是价值循环的目的性环节和人力资本积累提升的阶段性中介。因此，国内大循环的顺畅离不开消费的高质量高水平发展，构建新发展格局离不开国内消费市场的繁荣。将“提振消费”作为经济工作的重点任务，准确抓住了经济发展问题的症结。内需对经济增长的贡献率从2012年的105.8%提高到2023年的111.4%，对中国经济增长的贡献率居首位，充分说明消费与投资共同构成的内需作为经济增长重要引擎的核心作用。当前，经济运行面临的突出矛盾是国内总需求不足，这一矛盾既体现在传统消费增长乏力，也反映在新型消费动能尚未完全释放上，因此，2月10日召开的国务院常务会议强调“提振消费是扩大内需、做大做强国内大循环的重中之重”。居民消费水平和层次的相对滞后，不仅制约着投资效率提升，更影响着新发展格局的构建。以汽车产业为例，新能源汽车既关联居民消费的积极变化，也涉及产业投资方向的调整优化，关乎中国汽车产业的国际竞争力。2024年政府工作报告明确提出要提振智能网联新能源汽车消费，通过以旧换新政策推动传统产业升级与绿色消费扩容，这正是投资与消费协同发力的生动实践。我们必须充分发挥消费的基础作用和投资的关键作用，使社会再生产实现更高水平的良性循环。</w:t>
      </w:r>
    </w:p>
    <w:p w14:paraId="6973036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绿色发展理念重塑消费振兴路径。提振消费与绿色发展理念的深度融合，标志着我国需求侧管理实现质的跃升。习近平总书记早在省部级主要领导干部学习贯彻党的十九届五中全会精神专题研讨班开班式上就警示要防范“过度刺激消费”，这为新时期消费政策划定了红线。传统需求管理中的简单刺激手段，容易诱发资源浪费与环境压力，而在新发展理念引领下的提振消费，强调通过绿色技术创新和制度供给，增强全民节约意识，推行绿色低碳生活方式。这种转变在政策实践中体现为三个维度：一是消费场景绿色化。刚过去的2024年被定为“消费促进年”，将数字消费、绿色消费纳入重点培育领域，推动智能家居、文旅康养等新兴业态发展。二是产品生命周期管理绿色化。通过健全废旧家电回收处理体系、完善机动车强制报废制度，形成“生产—消费—回收”的闭环。三是消费行为引导科学化。北京、上海等试点城市推行的碳普惠制度，将个人绿色消费行为转化为可量化的环境收益，实现生态价值与经济价值的统一。</w:t>
      </w:r>
    </w:p>
    <w:p w14:paraId="4C9BEA3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辩证认知最终消费率的深层逻辑。对于国际比较中我国最终消费率偏低的现象，需要立足新发展阶段进行结构性解读。数据显示，我国最终消费率从21世纪初的60%以上降至50%左右，这与同期经济总量跃升世界第二的发展轨迹形成鲜明对照。对此，我们在积极提升最终消费率的同时，也要对最终消费率的认知有新的维度：正如当前的中国经济，更加注重实现质的有效提升和量的合理增长，而不是简单以GDP论英雄，对中国经济中的消费变量的解读也不能只是参照最终消费率指标，而应考虑更深层的结构性因素。我们应强调消费质量而非单纯数量，促进高效用满足度的消费，将消费评价标准从规模扩张转向品质提升。</w:t>
      </w:r>
    </w:p>
    <w:p w14:paraId="713C15D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构建消费振兴的系统工程。实现消费的可持续提振，需要多维度制度创新：首先，收入分配改革筑牢消费基础。建立向普通劳动者倾斜的分配机制，提高科研人员成果转化收益比例，提升城市工薪阶层社保参保率。通过三次分配制度协调联动缩小城乡收入差距，为消费扩容创造条件。其次，供给创新激活消费潜能。数字经济与实体经济深度融合催生新消费场景，2024年全国网上零售额突破15万亿元，直播电商带动超千万级就业人数。供给侧结构性改革推动供需更高水平动态平衡，2025年计划创建100个全国质量品牌提升示范区。再次，制度保障优化消费环境。《中华人民共和国消费者权益保护法实施条例》于去年7月1日起施行，12315热线平均接通率提升至85%。进一步提高带薪休假制度落实率，有效释放文旅消费潜力。最后，国际循环拓展消费空间。通过共建“一带一路”推动消费标准互认，2024年，共建“一带一路”国家占我国进出口比重首次超过50%，我国跨境电商进出口同比增长10.8%。这种内外联动的消费升级，既满足人民美好生活需要，又为全球市场注入新动能。</w:t>
      </w:r>
    </w:p>
    <w:p w14:paraId="5CE817C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center"/>
        <w:textAlignment w:val="baseline"/>
        <w:rPr>
          <w:rFonts w:hint="eastAsia" w:ascii="宋体" w:hAnsi="宋体" w:eastAsia="宋体" w:cs="宋体"/>
          <w:sz w:val="21"/>
          <w:szCs w:val="21"/>
        </w:rPr>
      </w:pPr>
      <w:r>
        <w:rPr>
          <w:rStyle w:val="17"/>
          <w:rFonts w:hint="eastAsia" w:ascii="宋体" w:hAnsi="宋体" w:eastAsia="宋体" w:cs="宋体"/>
          <w:sz w:val="21"/>
          <w:szCs w:val="21"/>
        </w:rPr>
        <w:t>坚持以人民为中心提振消费</w:t>
      </w:r>
    </w:p>
    <w:p w14:paraId="2D78CF28">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高质量发展是全面建设社会主义现代化国家的首要任务，而扩大内需则是我国积极应对国内外环境变化、增强发展主动性的战略基点。消费是一切生产的最终目的，是经济循环的终点，同时也是新的起点，这决定其是释放内需潜力的主要着力点。坚持“以人民为中心”的提振消费，不仅是经济规律的内在要求，更是中国式现代化本质属性的集中体现。</w:t>
      </w:r>
    </w:p>
    <w:p w14:paraId="683B520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马克思主义政治经济学的当代诠释。马克思主义基本原理深刻揭示了生产与消费的辩证关系。中国共产党继承并发展了这一理论，在公有制为主体的基础上，将坚持以人民为中心作为破解发展难题的钥匙。通过“提高居民收入在国民收入分配中的比重”“提高劳动报酬在初次分配中的比重”，构建起“有收入支撑的消费需求”长效机制。我们应继续“强化消费者权益保护”，在住房、教育、医疗、养老等重点民生领域推进高质量供给，使消费提质与民生改善形成闭环，积极回应群众对美好生活的向往，为经济持续增长注入内生动力。</w:t>
      </w:r>
    </w:p>
    <w:p w14:paraId="0A358E4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应对风险挑战的历史经验。从1998年亚洲金融危机到2008年国际金融危机，中国始终坚持以民生保障筑牢经济韧性。党的十八大以来，新型城镇化建设加速推进，社会保障网全方位织密织牢，消费动力从“政策刺激”转向“内生释放”，我们创造性提出“把扩大消费同改善人民生活品质结合起来”，推动消费从规模扩张向质量升级转型，使国内消费成为抵御外部冲击的“压舱石”。对比西方国家应对危机的教训，这一历史经验更具启示意义。美国次贷危机暴露出“负债消费”模式的脆弱性，而中国通过推动中低收入群体增收减负，提升消费能力、意愿和层级：2024年中央经济工作会议部署“适当提高退休人员基本养老金”“提高城乡居民医保财政补助标准”等举措，直接提升中低收入群体获得感。这种“促消费”与“惠民生”的协同，避免了资本主义发达经济体“刺激—过剩—危机”的恶性循环，彰显社会主义制度优势。</w:t>
      </w:r>
    </w:p>
    <w:p w14:paraId="26A67C3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构建消费驱动的长效机制。实现消费扩容提质，需从供需两端协同发力。在供给侧，数字技术驱动消费场景创新，智慧零售、共享经济等新业态蓬勃发展。在需求侧，重点围绕“能消费、敢消费、愿消费”三个方面发力：建立劳动者工资正常增长机制，2025年计划实现城乡居民人均可支配收入增速与GDP增速同步，针对近3亿农民工群体，深化户籍制度改革带动消费升级；扩大普惠性民生支出，提高中央财政安排社会保障和就业支出的经费规模，完善全生命周期公共服务，降低居民预防性储蓄率；培育绿色消费、文化消费等新增长点，推动消费结构向发展型、体验型跃迁。</w:t>
      </w:r>
    </w:p>
    <w:p w14:paraId="3A04908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彰显“人的全面发展”的价值旨归。提振消费的深层意义，在于推动“物的丰富”向“人的发展”升华。消费不仅是经济行为，更是人力资源积累的重要途径。通过教育、健康等发展型消费投入，劳动者技能素质持续提升，形成“消费升级—能力增强—收入提高”的良性循环。这种发展逻辑，也通过避免“过度消费—生态危机”陷阱，在“双碳”目标下探索绿色消费新模式，实现人与自然的和谐共生，物质文明和精神文明协调发展。这既是对马克思主义“人的解放”理论的当代践行，也为人类文明探索现代化道路提供了中国智慧。面对百年变局，提振消费既是经济命题，也是政治命题。在新征程上，唯有坚持“发展为了人民、发展依靠人民、发展成果由人民共享”，才能激活14亿多人的消费潜能，为高质量发展提供动力。</w:t>
      </w:r>
    </w:p>
    <w:p w14:paraId="595361D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center"/>
        <w:textAlignment w:val="baseline"/>
        <w:rPr>
          <w:rFonts w:hint="eastAsia" w:ascii="宋体" w:hAnsi="宋体" w:eastAsia="宋体" w:cs="宋体"/>
          <w:sz w:val="21"/>
          <w:szCs w:val="21"/>
        </w:rPr>
      </w:pPr>
      <w:r>
        <w:rPr>
          <w:rStyle w:val="17"/>
          <w:rFonts w:hint="eastAsia" w:ascii="宋体" w:hAnsi="宋体" w:eastAsia="宋体" w:cs="宋体"/>
          <w:sz w:val="21"/>
          <w:szCs w:val="21"/>
        </w:rPr>
        <w:t>社会主义市场经济提振消费的三重优势</w:t>
      </w:r>
    </w:p>
    <w:p w14:paraId="2CF1D4D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发展社会主义市场经济是我们党的一个伟大创造。习近平总书记深刻指出：“在社会主义条件下发展市场经济，是我们党的一个伟大创举。我国经济发展获得巨大成功的一个关键因素，就是我们既发挥了市场经济的长处，又发挥了社会主义制度的优越性。”这一论断深刻揭示了社会主义市场经济体制的本质特征。社会主义市场经济的体制优势正是要实现两种优长的有机结合，统筹发挥有效市场和有为政府的积极作用。作为经济循环的起点和终点，消费提质扩容不仅需要市场机制灵敏捕捉需求变化，而且离不开社会主义制度保障民生福祉的根本导向。</w:t>
      </w:r>
    </w:p>
    <w:p w14:paraId="40E9F5B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从马克思主义政治经济学视角考察，“生产、分配、交换、消费”构成完整的经济循环体系，各环节的有机嵌套决定着价值实现的顺畅程度。马克思在《〈政治经济学批判〉导言》中精辟写道：“消费，作为必需，作为需要，本身就是生产活动的一个内在要素。”然而资本主义市场经济由于生产社会化与资本主义生产资料私有制之间的矛盾，始终无法突破“惊险一跃”的困境。而在社会主义市场经济中，我们坚持党对经济工作的集中统一领导，可以构建起“全国一盘棋”的治理格局。</w:t>
      </w:r>
    </w:p>
    <w:p w14:paraId="0315E53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在提振消费的实践上，社会主义市场经济展现出三重独特优势：</w:t>
      </w:r>
    </w:p>
    <w:p w14:paraId="24B748F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需求侧管理的制度效能。我国实行按劳分配为主体、多种分配方式并存的分配制度，既保障了劳动者共享发展成果，又激发了要素所有者参与分配的积极性。一些代表性民营企业积极参与推动共同富裕，例如，华为实施“获取分享制”实现员工持股比例最高，胖东来将大部分利润用于提高员工福利，这些生动实践表明民营经济应有的发展方向。与此同时，知识、技术、管理等要素参与分配催生出新消费群体，目前我国中等收入群体的规模超过4亿多人，成为消费升级的核心驱动力。</w:t>
      </w:r>
    </w:p>
    <w:p w14:paraId="505BE22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供给侧改革的协同机制。社会主义市场经济通过市场调节和国家调节的双重作用，既发挥市场信号灵敏优势引导创新供给，又依靠制度优势突破“卡脖子”制约。以绿色智能家电、新能源汽车等为代表的绿色商品成为消费新热点，这既得益于市场机制下大量“专精特新”企业的创新活力，更离不开国家产业政策和产业投资基金的战略引导。特别是在关键核心技术领域，新型举国体制展现出强大动能，例如，工信部牵头组建的第三代半导体产业技术创新战略联盟，推动存储芯片自给率大幅提升，为消费电子产业升级奠定基础。</w:t>
      </w:r>
    </w:p>
    <w:p w14:paraId="65225DD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扎根于“双循环”的系统构建。我国加快构建以国内大循环为主体、国内国际双循环相互促进的新发展格局，本质上是对社会主义市场经济体制优势的深化运用。通过加快建设全国统一大市场，大幅降低各类交易成本；依托自贸试验区制度创新，跨境电商零售进口商品清单进一步扩围。这种“以内促外、以外强内”的良性互动，使中国不仅是“世界工厂”更成为“世界市场”。例如，特斯拉上海超级工厂零部件本土化率超过95%的同时，其30%多的产能反哺国际市场的案例，正是“双循环”优势的生动注脚。</w:t>
      </w:r>
    </w:p>
    <w:p w14:paraId="1A4B019B">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overflowPunct/>
        <w:topLinePunct w:val="0"/>
        <w:autoSpaceDE w:val="0"/>
        <w:autoSpaceDN w:val="0"/>
        <w:bidi w:val="0"/>
        <w:adjustRightInd w:val="0"/>
        <w:snapToGrid w:val="0"/>
        <w:spacing w:before="0" w:beforeAutospacing="0" w:after="0" w:afterAutospacing="0" w:line="360" w:lineRule="auto"/>
        <w:ind w:left="0" w:right="0" w:firstLine="420" w:firstLineChars="200"/>
        <w:jc w:val="both"/>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目前，消费已成为经济增长第一动力，反映了社会主义市场经济体制的优势。未来，面对全球经济增长乏力的复杂形势，我们更要坚持深化改革开放，在建设高标准市场体系、完善收入分配制度、强化消费者权益保护等方面持续发力，让社会主义市场经济焕发更大生机，以中国经济的澎湃动能助推全球经济复苏前行。</w:t>
      </w:r>
    </w:p>
    <w:p w14:paraId="62DF9C43">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default" w:ascii="Times New Roman" w:hAnsi="Times New Roman" w:eastAsia="宋体" w:cs="Times New Roman"/>
          <w:sz w:val="24"/>
          <w:szCs w:val="24"/>
          <w:lang w:val="en-US" w:eastAsia="zh-CN"/>
        </w:rPr>
      </w:pPr>
    </w:p>
    <w:p w14:paraId="4D025092">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default" w:ascii="Times New Roman" w:hAnsi="Times New Roman" w:eastAsia="宋体" w:cs="Times New Roman"/>
          <w:sz w:val="24"/>
          <w:szCs w:val="24"/>
          <w:lang w:val="en-US" w:eastAsia="zh-CN"/>
        </w:rPr>
      </w:pPr>
    </w:p>
    <w:p w14:paraId="55305EFA">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（原载《四川日报》2025年2月17日。）</w:t>
      </w:r>
    </w:p>
    <w:p w14:paraId="6EBD1C9A">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p>
    <w:p w14:paraId="2B098F8E">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p>
    <w:p w14:paraId="493ED702">
      <w:pPr>
        <w:pStyle w:val="2"/>
        <w:bidi w:val="0"/>
        <w:jc w:val="center"/>
        <w:rPr>
          <w:rFonts w:hint="eastAsia"/>
          <w:lang w:val="en-US" w:eastAsia="zh-CN"/>
        </w:rPr>
      </w:pPr>
      <w:bookmarkStart w:id="835" w:name="_Toc966460003"/>
      <w:bookmarkStart w:id="836" w:name="_Toc2135991035"/>
      <w:bookmarkStart w:id="837" w:name="_Toc8167"/>
      <w:bookmarkStart w:id="838" w:name="_Toc1245519770"/>
      <w:bookmarkStart w:id="839" w:name="_Toc255796514"/>
      <w:bookmarkStart w:id="840" w:name="_Toc2116755131"/>
      <w:r>
        <w:rPr>
          <w:rFonts w:hint="eastAsia"/>
          <w:lang w:val="en-US" w:eastAsia="zh-CN"/>
        </w:rPr>
        <w:t>14因地制宜发展新型集体经济</w:t>
      </w:r>
      <w:bookmarkEnd w:id="835"/>
      <w:bookmarkEnd w:id="836"/>
      <w:bookmarkEnd w:id="837"/>
      <w:bookmarkEnd w:id="838"/>
      <w:bookmarkEnd w:id="839"/>
      <w:bookmarkEnd w:id="840"/>
    </w:p>
    <w:p w14:paraId="3E08B503">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p>
    <w:p w14:paraId="15E8705A">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2025年中央一号文件要求，因地制宜发展新型农村集体经济。站上进一步全面深化改革的重要历史阶段，“要把好乡村振兴战略的政治方向，坚持农村土地集体所有制性质，发展新型集体经济，走共同富裕道路”。</w:t>
      </w:r>
    </w:p>
    <w:p w14:paraId="6FE044D7">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促进农村集体经济组织规范化——</w:t>
      </w:r>
    </w:p>
    <w:p w14:paraId="1204A771">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新型农村集体经济组织是发展壮大新型农村集体经济、促进共同富裕的重要主体，是健全乡村治理体系的重要力量，是提升农村基层组织凝聚力、巩固党在农村执政根基的重要保障。农村集体经济组织应推进规范化建设，明确自身角色和功能定位，处理好农民和土地的利益关系，贯彻落实以家庭承包经营为基础、统分结合的双层经营体制，不能“统得过死”，也不能“分得太散”，因地制宜、因时制宜，宜统则统、宜分则分。</w:t>
      </w:r>
    </w:p>
    <w:p w14:paraId="157134F0">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目前，乡、村、组级登记赋码的农村集体经济组织约有96.6万个，确认成员约9.2亿人，清查核实集体土地65.5亿亩，集体账面资产8.22万亿元。《中华人民共和国农村集体经济组织法》将于2025年5月1日起施行，明确了农村集体经济组织的定位、功能、意义、组织架构、成员权利义务、经营管理以及扶持措施等，为农村集体经济组织规范化建设提供了法治保障。</w:t>
      </w:r>
    </w:p>
    <w:p w14:paraId="44A10E9D">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下一步，农村集体经济组织规范化建设的关键是，厘清农村基层党组织、村民委员会和村集体经济组织之间的内在关系，在加强农村基层党组织建设、提升党建引领基层治理效能的基础上，村集体经济组织同村民委员会依法进行合理分工，明确功能优势和责任担当，完善新型集体经济发展和壮大的运行机制，落实集体资产保值增值任务，为成员提供更多的利益、更好的服务。</w:t>
      </w:r>
    </w:p>
    <w:p w14:paraId="3677F845">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确保土地经营形式多样化——</w:t>
      </w:r>
    </w:p>
    <w:p w14:paraId="33F1F8A5">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人均一亩三分地，户均不过十亩田”，是中国许多地方农业的真实写照。这样的资源禀赋决定了我们不可能各地都像欧美那样搞大规模农业、大机械作业，多数地区要通过健全农业社会化服务体系，实现小规模农户和现代农业发展有机衔接。</w:t>
      </w:r>
    </w:p>
    <w:p w14:paraId="4F3256FD">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农村集体经济组织具有特别法人资格，依法代表成员集体对农用地、宅基地、集体建设用地和集体财产等行使所有权，并履行相应的职能。在对农用地进行发包、监督和管理上，农村集体经济组织应以农民为中心、尊重农民的意愿，确保土地承包关系稳定和土地经营形式的多样化。发展现代农业必然要求土地经营的适度规模化、集约化、标准化。土地经营权可以依法流转，形成农民合作社、种粮大户、家庭农场、农业产业化龙头企业和新型集体经济等多样化经营主体。</w:t>
      </w:r>
    </w:p>
    <w:p w14:paraId="748BC432">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对农民来说，土地不只是一种生产资料，更是一种生活保障。土地经营不仅是经济问题，还是政治问题和社会问题。农村集体经济组织不宜违背农民家庭经营的意愿，一哄而上开展土地规模化、集约化经营。在党支部领办合作社的同时，农村集体经济组织要积极有为，为家庭经营和小农经济提供各类专业化社会化服务，着力发展农业服务规模化，不断促进农村合作社、小农经济与现代农业有机有效衔接。在维护农民土地利益基础上，积极推动新型农业经营主体扶持政策同带动农户增收挂钩，多举措提高农户收入，缩小收入差距。</w:t>
      </w:r>
    </w:p>
    <w:p w14:paraId="5B54E0E8">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提升农业产业链创新链价值链——</w:t>
      </w:r>
    </w:p>
    <w:p w14:paraId="4D9E0322">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壮大农村集体经济，是引领农民实现共同富裕的重要途径。在尊重农民意愿的基础上，对承包到户的土地进行集中统一整治、有序流转，发展适度规模经营，可以采取集体经营、农民合作经营、以集体名义流转给农业产业化龙头企业经营、依法设立土地股份投资公司进行经营以及“公司+N”等多种形式进行规模化、集约化、标准化经营，促进农户和集体双增收。</w:t>
      </w:r>
    </w:p>
    <w:p w14:paraId="7ADF2C97">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对农民闲置宅基地和闲置农房，可以积极妥善开展盘活利用工作，依据当地的农文旅等特色，创新盘活利用方式，提高资源利用效率，增加农民和集体财产性收入；对集体经营性建设用地，可以采取集体经营或出让、出租、入股等形式给其他主体经营，增加集体财产性收入。</w:t>
      </w:r>
    </w:p>
    <w:p w14:paraId="48CC1D01">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0" w:firstLineChars="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在此基础上，农村集体经济组织应进一步发挥集体优势，借助各种强农惠农富农支持制度和扶持措施，通过“资源变资产、资金变股金、农民变股东”，盘活集体资源，激活集体资产，激发农民积极性、主动性和创造性，提升农业产业链创新链价值链，实现农业的“接二连三”。</w:t>
      </w:r>
    </w:p>
    <w:p w14:paraId="5E3DD9E0">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p>
    <w:p w14:paraId="0253AE61">
      <w:pPr>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（原载《解放日报》2025年3月4日第10版，第二作者为刘煜。）</w:t>
      </w:r>
    </w:p>
    <w:p w14:paraId="6B1BA295">
      <w:pPr>
        <w:pStyle w:val="2"/>
        <w:bidi w:val="0"/>
        <w:jc w:val="center"/>
        <w:rPr>
          <w:rFonts w:hint="eastAsia"/>
          <w:lang w:val="en-US" w:eastAsia="zh-CN"/>
        </w:rPr>
      </w:pPr>
      <w:bookmarkStart w:id="841" w:name="_Toc24514"/>
      <w:bookmarkStart w:id="842" w:name="_Toc1874448160"/>
      <w:bookmarkStart w:id="843" w:name="_Toc1927667081"/>
      <w:bookmarkStart w:id="844" w:name="_Toc2057233151"/>
      <w:bookmarkStart w:id="845" w:name="_Toc117198346"/>
      <w:bookmarkStart w:id="846" w:name="_Toc1089390515"/>
      <w:r>
        <w:rPr>
          <w:rFonts w:hint="eastAsia"/>
          <w:lang w:val="en-US" w:eastAsia="zh-CN"/>
        </w:rPr>
        <w:t>15</w:t>
      </w:r>
      <w:r>
        <w:t>积极贯彻高质量发展新方略新举措</w:t>
      </w:r>
      <w:bookmarkEnd w:id="841"/>
      <w:bookmarkEnd w:id="842"/>
      <w:bookmarkEnd w:id="843"/>
      <w:bookmarkEnd w:id="844"/>
      <w:bookmarkEnd w:id="845"/>
      <w:bookmarkEnd w:id="846"/>
    </w:p>
    <w:p w14:paraId="183415D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i w:val="0"/>
          <w:iCs w:val="0"/>
          <w:caps w:val="0"/>
          <w:spacing w:val="4"/>
          <w:sz w:val="21"/>
          <w:szCs w:val="21"/>
        </w:rPr>
        <w:t>要以国家战略需求和社会经济发展为导向，实行自主知识产权优势理论和战略，锚定前沿领域，充分发挥新型举国体制优势，攻克关键核心技术难题，为发展新质生产力增添持久新动能</w:t>
      </w:r>
    </w:p>
    <w:p w14:paraId="328103C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高质量发展是全面建设社会主义现代化国家的首要任务，是新时代的硬道理。习近平总书记指出：“当前，推动高质量发展面临的突出问题依然是发展不平衡不充分。”目前，我国发展面临新的战略机遇期、新的战略要求、新的战略环境，需要针对推动高质量发展面临的突出问题，按照党的二十大和二十届三中全会作出的一系列重大部署进一步全面深化改革，推动经济高质量发展。</w:t>
      </w:r>
    </w:p>
    <w:p w14:paraId="00B0E7B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i w:val="0"/>
          <w:iCs w:val="0"/>
          <w:caps w:val="0"/>
          <w:spacing w:val="4"/>
          <w:sz w:val="21"/>
          <w:szCs w:val="21"/>
        </w:rPr>
        <w:t>发展高科技为标志的新质生产力</w:t>
      </w:r>
    </w:p>
    <w:p w14:paraId="08544F0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新质生产力是推动经济高质量发展的物质基础和关键路径。习近平总书记在参加十四届全国人大三次会议江苏代表团审议时指出，科技创新和产业创新，是发展新质生产力的基本路径；在4月1日出版的第7期《求是》发表重要文章《朝着建成科技强国的宏伟目标奋勇前进》强调：“以科技创新引领高质量发展、保障高水平安全。”这些重要论述表明，要把握好推动高质量发展的内在要求和重要着力点，大力发展以高科技为标志的新质生产力。</w:t>
      </w:r>
    </w:p>
    <w:p w14:paraId="36F659F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近年来，我国创新活力持续激发，新旧动能转换加快，在全球创新链产业链中的地位不断提升。但我国新质生产力发展仍任重道远。比如，“从0到1”的重大原创性、颠覆性创新高质量科技供给有待增加，科技成果转化率与发达国家相比仍有一定距离，束缚创新的思想观念和体制机制障碍需进一步破除等。</w:t>
      </w:r>
    </w:p>
    <w:p w14:paraId="56AA434F">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大力推进自主创新、原始创新。要以国家战略需求和社会经济发展为导向，避免陷入西方比较优势的理论陷阱，实行自主知识产权优势理论和战略，锚定前沿领域，针对“卡脖子”技术问题，充分发挥新型举国体制优势，攻克关键核心技术难题，为发展新质生产力增添持久新动能。</w:t>
      </w:r>
    </w:p>
    <w:p w14:paraId="4F49BDB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以科技创新引领产业创新。加快传统产业高端化、智能化、绿色化转型升级，加速优势新兴产业规模扩容和技术迭代，培育新一代信息技术、新材料、低空经济等先进制造业集群，重点推进未来制造、未来信息、未来材料、未来能源、未来空间和未来健康六大方向产业发展，形成以先进高端制造业为支撑的现代化产业体系。</w:t>
      </w:r>
    </w:p>
    <w:p w14:paraId="78291E0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推动科技创新和产业创新深度融合。深化人才发展体制机制、科技成果转化机制和科技金融体制改革，强化企业科技创新主体地位，引导企业与高校、科研机构密切合作，构建科技成果高效转化服务体系，让创新链与产业链无缝对接，解决阻碍城乡新质生产力发展的关键瓶颈，加快形成同新质生产力更相适应的生产关系，为高质量发展蓄势赋能。</w:t>
      </w:r>
    </w:p>
    <w:p w14:paraId="3705673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　</w:t>
      </w:r>
      <w:r>
        <w:rPr>
          <w:rStyle w:val="17"/>
          <w:rFonts w:hint="eastAsia" w:ascii="宋体" w:hAnsi="宋体" w:eastAsia="宋体" w:cs="宋体"/>
          <w:i w:val="0"/>
          <w:iCs w:val="0"/>
          <w:caps w:val="0"/>
          <w:spacing w:val="4"/>
          <w:sz w:val="21"/>
          <w:szCs w:val="21"/>
        </w:rPr>
        <w:t>加快高畅通的国内大循环为主体的双循环</w:t>
      </w:r>
    </w:p>
    <w:p w14:paraId="0E12E5FB">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我国现阶段高质量发展所面临的内外部环境都发生了深刻变化，14亿多人口整体迈进现代化，复杂性和艰巨性前所未有，必须把发展的主导权牢牢掌握在自己手中。习近平总书记强调：“加快构建新发展格局，是立足实现第二个百年奋斗目标、统筹发展和安全作出的战略决策，是把握未来发展主动权的战略部署。”这一重要论述表明，只有加快构建高畅通的、以国内大循环为主体的国内国际双循环新发展格局，才能增强发展的安全性稳定性，夯实高质量发展根基。我国是世界第二大经济体，有全球第二大消费市场，是唯一拥有联合国产业分类中全部工业门类的国家，产业链供应链韧性良好，形成高畅通的、以国内大循环为主体的双循环发展格局具备坚实基础。面对国内外环境变化带来的新矛盾新挑战，必须进一步把发展立足点放在国内，以国内大循环为主体，形成国内国际双循环相互促进的局面。</w:t>
      </w:r>
    </w:p>
    <w:p w14:paraId="2912401B">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深化体制机制改革，畅通国内大循环。突出抓好全国统一大市场建设，破除地方保护和行政性垄断，完善产权保护、市场准入、公平竞争、社会信用等市场经济基础制度，促进商品、要素自由流动和市场化配置，激发市场主体活力，打通制约我国超大规模市场优势发挥的卡点堵点。</w:t>
      </w:r>
    </w:p>
    <w:p w14:paraId="53355BE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在更高水平供需动态平衡中增强国内循环内生动力和稳定性。要坚持全方位扩大国内需求，大力提振消费，使内需成为拉动经济增长的主动力和稳定锚。同时，持续深化供给侧结构性改革，以更优质的产品和服务满足人民群众日益增长且不断细分的消费需求。</w:t>
      </w:r>
    </w:p>
    <w:p w14:paraId="0E87B0E8">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在增强国际话语权中提升国际循环质量和水平。强化我国超大规模市场形成的强大生产和消费能力，进一步增强对全球商品和要素资源的强大吸引力。同时，破除美国科技、关税等霸权霸凌霸道的经贸壁垒，加大技术密集型产品和高新技术产品的多样化出口力度，推动我国产业向全球价值链中高端攀升，在不断提升贸易投资合作质量和水平的同时，着力重塑全球经济大循环，增强我国参与国际循环的自主可控能力，确保国民经济循环畅通。</w:t>
      </w:r>
    </w:p>
    <w:p w14:paraId="03BDECF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i w:val="0"/>
          <w:iCs w:val="0"/>
          <w:caps w:val="0"/>
          <w:spacing w:val="4"/>
          <w:sz w:val="21"/>
          <w:szCs w:val="21"/>
        </w:rPr>
        <w:t>建设高水平社会主义市场经济体制</w:t>
      </w:r>
    </w:p>
    <w:p w14:paraId="2EA7BBC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党的二十届三中全会通过的《中共中央关于进一步全面深化改革、推进中国式现代化的决定》（以下简称《决定》）指出：“高水平社会主义市场经济体制是中国式现代化的重要保障。”构建高水平社会主义市场经济体制，就是要处理好政府与市场关系，创造更加公平、更有活力的市场环境，既“放得活”又“管得住”，为推动经济实现质的有效提升和量的合理增长提供动力来源，不断夯实强国建设的物质基础。</w:t>
      </w:r>
    </w:p>
    <w:p w14:paraId="28A9808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坚持和落实社会主义基本经济制度，塑造各类高水平经营主体。做强做优做大公有资本和公有企业，充分发挥公有制主体的自身优势和引领带动作用，突出培育发展新质生产力，不断强化战略安全、产业引领、国计民生、公共服务等功能，高水平实现经济属性、政治属性与社会属性的有机统一。同时，创造更加公平、更有活力的市场环境，依法加强对资本的有效监管，防止资本野蛮生长，重点支持和引导中小微民营经济健康发展、高质量发展。</w:t>
      </w:r>
    </w:p>
    <w:p w14:paraId="3FE873C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深化要素市场化改革，加快建设高标准市场体系。完善要素市场制度和规则，打破劳动力、资本等传统要素跨区域流动政策障碍，促进数据、知识产权等新型优质生产要素畅通流动，实现各类资源高效配置、市场潜力充分释放。同时，在充分发挥市场在一般经济资源配置中的决定性作用的基础上，国家要发挥好监管和规范作用，破除不合理垄断和不规范不公平竞争带来的体制机制障碍，促进市场经济的良性、健康和可持续发展。</w:t>
      </w:r>
    </w:p>
    <w:p w14:paraId="0CFA16D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发挥社会主义市场经济体制的独特优势，健全高协同的国家宏观中观微观经济治理体系。加强党对经济工作的全面领导，完善国家经济社会发展规划体系和政策统筹协调机制，统筹推进财税、金融、财富占有和收入分配等重点领域改革，健全就业、产业、投资、分配、消费、环保、区域等政策协同发力机制，构建高效宏观经济政策供给体系，共同推动实现国计民生全局的经济治理系统目标。</w:t>
      </w:r>
    </w:p>
    <w:p w14:paraId="699BB46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i w:val="0"/>
          <w:iCs w:val="0"/>
          <w:caps w:val="0"/>
          <w:spacing w:val="4"/>
          <w:sz w:val="21"/>
          <w:szCs w:val="21"/>
        </w:rPr>
        <w:t>推进高水平对外开放</w:t>
      </w:r>
    </w:p>
    <w:p w14:paraId="657461A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开放是中国式现代化的鲜明标识。《决定》指出，“坚持以开放促改革”，“建设更高水平开放型经济新体制”。中央经济工作会议将“扩大高水平对外开放，稳外贸、稳外资”作为今年重点任务之一。面对世界之变、时代之变、历史之变，要通过高水平对外开放推动高质量发展，在激烈的国际竞争中赢得主动、优势和未来。</w:t>
      </w:r>
    </w:p>
    <w:p w14:paraId="3AC0393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有序扩大自主开放。以我为主，立足我国现代化建设需要、兼顾与世界各国的经济联系和合作需要，结合不同行业和领域特点，自主选择开放领域、范围、节奏、层次和规则，实行单边开放、对等开放与优惠开放相结合。对最不发达国家实施贸易零关税待遇、单方面免签入境等优惠政策，帮助发展中国家提升经贸合作水平，更好融入多边贸易体制。</w:t>
      </w:r>
    </w:p>
    <w:p w14:paraId="21EB6A6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right="0" w:firstLine="420" w:firstLineChars="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稳步扩大制度型开放。在我国具有明显比较优势的领域，充分发挥自由贸易试验区、海南自由贸易港、各类开发区和保税区等开放平台的先行先试作用，主动对接国际高标准经贸规则，开展经贸规则创新试验，推进规则、规制、管理、标准等制度型开放，建设更高水平开放型经济新体制。</w:t>
      </w:r>
    </w:p>
    <w:p w14:paraId="34649A0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深化外商投资，促进体制机制改革。根据我国经济高质量发展需要，扩大鼓励外商投资产业目录，合理缩减外资准入负面清单，持续引导外资投向，加大外商投资知识产权保护力度，依法保护外商投资权益，营造市场化、法治化、国际化营商环境。</w:t>
      </w:r>
    </w:p>
    <w:p w14:paraId="1F9E783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优化区域开放布局。进一步巩固东部沿海地区开放先导地位，持续释放中西部和东北地区对外开放潜力，形成陆海内外联动、东西双向互济、功能形态多样的全面开放新格局。同时，有序推进人民币国际化，推动共建“一带一路”高质量发展，不断提高在全球治理体系中的规则话语权和影响力。</w:t>
      </w:r>
    </w:p>
    <w:p w14:paraId="0A34FF8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4"/>
          <w:sz w:val="21"/>
          <w:szCs w:val="21"/>
        </w:rPr>
        <w:t>在高水平对外开放和对等反制中更好地维护国家经济安全。增强对外开放的风险监管能力和防控能力，坚决反对利用经济胁迫、霸道霸凌侵犯损害他国正当权益的行为。加大对外商投资安全、反垄断等审查力度，对等反制外国对华不合理的制裁和加税，确保主粮、种业、资源、能源等安全。</w:t>
      </w:r>
    </w:p>
    <w:p w14:paraId="4942E9F2">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z w:val="21"/>
          <w:szCs w:val="21"/>
          <w:lang w:val="en-US" w:eastAsia="zh-CN"/>
        </w:rPr>
      </w:pPr>
    </w:p>
    <w:p w14:paraId="4EA16ED6">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z w:val="21"/>
          <w:szCs w:val="21"/>
          <w:lang w:val="en-US" w:eastAsia="zh-CN"/>
        </w:rPr>
      </w:pPr>
    </w:p>
    <w:p w14:paraId="2EF0113D">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r>
        <w:rPr>
          <w:rFonts w:hint="eastAsia" w:ascii="Times New Roman" w:hAnsi="Times New Roman" w:eastAsia="宋体" w:cs="Times New Roman"/>
          <w:sz w:val="24"/>
          <w:szCs w:val="24"/>
          <w:lang w:val="en-US" w:eastAsia="zh-CN"/>
        </w:rPr>
        <w:t>原载《中国教育报》2025年4月10日，第二作者为纪建强。</w:t>
      </w:r>
      <w:r>
        <w:rPr>
          <w:rFonts w:hint="eastAsia" w:ascii="宋体" w:hAnsi="宋体" w:eastAsia="宋体" w:cs="宋体"/>
          <w:sz w:val="21"/>
          <w:szCs w:val="21"/>
          <w:lang w:val="en-US" w:eastAsia="zh-CN"/>
        </w:rPr>
        <w:t>）</w:t>
      </w:r>
    </w:p>
    <w:p w14:paraId="18C05C69">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z w:val="21"/>
          <w:szCs w:val="21"/>
          <w:lang w:val="en-US" w:eastAsia="zh-CN"/>
        </w:rPr>
      </w:pPr>
    </w:p>
    <w:p w14:paraId="2CCD5ED4">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z w:val="21"/>
          <w:szCs w:val="21"/>
          <w:lang w:val="en-US" w:eastAsia="zh-CN"/>
        </w:rPr>
      </w:pPr>
    </w:p>
    <w:p w14:paraId="21A62677">
      <w:pPr>
        <w:pStyle w:val="2"/>
        <w:bidi w:val="0"/>
      </w:pPr>
      <w:bookmarkStart w:id="847" w:name="_Toc13088"/>
      <w:bookmarkStart w:id="848" w:name="_Toc1430852157"/>
      <w:bookmarkStart w:id="849" w:name="_Toc265123630"/>
      <w:bookmarkStart w:id="850" w:name="_Toc510096923"/>
      <w:bookmarkStart w:id="851" w:name="_Toc1362331725"/>
      <w:bookmarkStart w:id="852" w:name="_Toc2088294930"/>
      <w:r>
        <w:rPr>
          <w:rFonts w:hint="eastAsia"/>
          <w:lang w:val="en-US" w:eastAsia="zh-CN"/>
        </w:rPr>
        <w:t>16</w:t>
      </w:r>
      <w:r>
        <w:rPr>
          <w:rFonts w:hint="default"/>
        </w:rPr>
        <w:t>深入贯彻中央八项规定精神学习教育，要在“化风成俗”上下功夫</w:t>
      </w:r>
      <w:bookmarkEnd w:id="847"/>
      <w:bookmarkEnd w:id="848"/>
      <w:bookmarkEnd w:id="849"/>
      <w:bookmarkEnd w:id="850"/>
      <w:bookmarkEnd w:id="851"/>
      <w:bookmarkEnd w:id="852"/>
    </w:p>
    <w:p w14:paraId="5B9EB9BF">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default" w:ascii="宋体" w:hAnsi="宋体" w:eastAsia="宋体" w:cs="宋体"/>
          <w:sz w:val="21"/>
          <w:szCs w:val="21"/>
          <w:lang w:val="en-US" w:eastAsia="zh-CN"/>
        </w:rPr>
      </w:pPr>
    </w:p>
    <w:p w14:paraId="755C156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42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5月16日出版的第10期《求是》杂志发表习近平总书记的重要文章《锲而不舍落实中央八项规定精神，以优良党风引领社风民风》。文章强调，制定实施中央八项规定，是我们党在新时代的徙木立信之举，必须常抓不懈、久久为功，十年不够就二十年，二十年不够就三十年，直至真正化风成俗，以优良党风引领社风民风。</w:t>
      </w:r>
    </w:p>
    <w:p w14:paraId="06EEE35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习近平总书记对落实中央八项规定精神高度重视，亲自谋划确定学习教育主题、发表重要讲话、作出重要指示，为开展学习教育指明方向，为新时代新征程深化作风建设提供遵循。贯彻落实中央八项规定精神，既要树立科学思想，注重理论武装，也要抓好“关键少数”，示范带动、上率下行；既要做好建章立制，发挥正向激励，也要涵养廉洁文化，实现化风成俗。</w:t>
      </w:r>
    </w:p>
    <w:p w14:paraId="187AC3D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w:t>
      </w:r>
      <w:r>
        <w:rPr>
          <w:rStyle w:val="17"/>
          <w:rFonts w:hint="eastAsia" w:ascii="宋体" w:hAnsi="宋体" w:eastAsia="宋体" w:cs="宋体"/>
          <w:i w:val="0"/>
          <w:iCs w:val="0"/>
          <w:caps w:val="0"/>
          <w:color w:val="333333"/>
          <w:spacing w:val="0"/>
          <w:sz w:val="21"/>
          <w:szCs w:val="21"/>
          <w:shd w:val="clear" w:fill="FFFFFF"/>
        </w:rPr>
        <w:t>强化理论武装，使中央八项规定精神入脑入心化行</w:t>
      </w:r>
    </w:p>
    <w:p w14:paraId="365B88B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理论是塑造作风的思想根基。贯彻落实中央八项规定精神，要抓住科学理论武装这个核心，使中央八项规定精神入脑入心。</w:t>
      </w:r>
    </w:p>
    <w:p w14:paraId="732418DF">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首先，要教育和引导党员干部潜心读原著、用心悟原理。认真学习贯彻习近平新时代中国特色社会主义思想，深刻领会其历史地位、科学内涵、精神实质、重要意义。</w:t>
      </w:r>
    </w:p>
    <w:p w14:paraId="1988FEA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其次，要不断提升对中央八项规定精神的思想认识。把握中央八项规定及相关细则的出台背景、科学内涵、目标指向、制度设计和协同机制等，保持思想清醒、行动自觉，经受住各种考验。</w:t>
      </w:r>
    </w:p>
    <w:p w14:paraId="4C3BF558">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再次，要牢固树立“四个意识”，深刻领悟“两个确立”的决定性意义，坚决做到“两个维护”。讲政治、讲正气、讲大局，在政治上、行动上同党中央保持高度一致。</w:t>
      </w:r>
    </w:p>
    <w:p w14:paraId="5815081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最后，要大力加强党性修养。习近平总书记指出，作风反映的是形象和素质，体现的是党性。中央八项规定精神既是理论指导也是行动规范，要从中汲取党性滋养，不断筑牢信仰之基、补足精神之钙、把稳思想之舵。</w:t>
      </w:r>
    </w:p>
    <w:p w14:paraId="09302BA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w:t>
      </w:r>
      <w:r>
        <w:rPr>
          <w:rStyle w:val="17"/>
          <w:rFonts w:hint="eastAsia" w:ascii="宋体" w:hAnsi="宋体" w:eastAsia="宋体" w:cs="宋体"/>
          <w:i w:val="0"/>
          <w:iCs w:val="0"/>
          <w:caps w:val="0"/>
          <w:color w:val="333333"/>
          <w:spacing w:val="0"/>
          <w:sz w:val="21"/>
          <w:szCs w:val="21"/>
          <w:shd w:val="clear" w:fill="FFFFFF"/>
        </w:rPr>
        <w:t>抓好“关键少数”，用中央八项规定精神净化党风政风</w:t>
      </w:r>
    </w:p>
    <w:p w14:paraId="3F61E60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风成于上，俗化于下。以上率下是中国共产党在长期发展中坚持的工作准则。贯彻落实中央八项规定精神，要抓好“关键少数”。领导干部是党和国家事业发展的“关键少数”，对贯彻落实中央八项规定精神具有风向标作用。</w:t>
      </w:r>
    </w:p>
    <w:p w14:paraId="6D97C5A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贯彻落实中央八项规定精神，领导干部要率先垂范。通过以上率下的示范和引导，扩展到每一名党员和每一个党组织，使中央八项规定精神蔚然成风。</w:t>
      </w:r>
    </w:p>
    <w:p w14:paraId="1364A14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贯彻落实中央八项规定精神，领导干部要敢于亮剑。要坚守正道、弘扬正气，坚持以信念、人格、实干立身。要坚持原则、恪守规矩，严格按党纪国法办事。要严肃纲纪、嫉恶如仇，对一切不正之风敢于亮剑。</w:t>
      </w:r>
    </w:p>
    <w:p w14:paraId="7B47B89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贯彻落实中央八项规定精神，关键要做到“两个维护”。“两个维护”是中国共产党的最高政治原则和根本政治规矩，也是中国共产党的最根本政治要求和最重要政治纪律。领导干部要做坚持“五个必须”和杜绝“七个有之”的典范，以形成以上率下贯彻落实中央八项规定精神的政治局面。</w:t>
      </w:r>
    </w:p>
    <w:p w14:paraId="00693AA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领导干部要把贯彻落实中央八项规定精神作为终身课题，活到老、学到老、修养到老，保持高尚道德情操和健康生活情趣。要带头遵守中央八项规定精神，努力当好良好政治生态和社会风气的引领者、营造者、维护者。通过“关键少数”以上率下、润物无声、成风化人，最终实现政治生态和社会风气向上向善、生机盎然。</w:t>
      </w:r>
    </w:p>
    <w:p w14:paraId="43102ADB">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w:t>
      </w:r>
      <w:r>
        <w:rPr>
          <w:rStyle w:val="17"/>
          <w:rFonts w:hint="eastAsia" w:ascii="宋体" w:hAnsi="宋体" w:eastAsia="宋体" w:cs="宋体"/>
          <w:i w:val="0"/>
          <w:iCs w:val="0"/>
          <w:caps w:val="0"/>
          <w:color w:val="333333"/>
          <w:spacing w:val="0"/>
          <w:sz w:val="21"/>
          <w:szCs w:val="21"/>
          <w:shd w:val="clear" w:fill="FFFFFF"/>
        </w:rPr>
        <w:t>做好建章立制，用中央八项规定精神引领社风民风</w:t>
      </w:r>
    </w:p>
    <w:p w14:paraId="566EF05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通过制度建设来培育和弘扬党员干部的良好作风，是我们党加强自身建设的一条重要经验，也是贯彻落实中央八项规定精神的根本之策。党中央制定了一系列改进作风的制度，不断细化和拓展中央八项规定精神，巩固作风建设成果，为贯彻落实中央八项规定精神提供了有力抓手。</w:t>
      </w:r>
    </w:p>
    <w:p w14:paraId="008F641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一是健全理想信念教育制度。理想信念是世界观、人生观、价值观的“压舱石”，常态化制度化是理想信念教育功能得以实现的重要保障。坚定理想信念是终身课题，需要常修常炼。理想信念教育荡涤了看得见的歪风，纠正着看不见的是非观，形塑社会价值观，凝聚党心与民心。</w:t>
      </w:r>
    </w:p>
    <w:p w14:paraId="06D6B69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二是健全组织领导制度。组织领导制度建设要坚持目标导向、问题导向、结果导向相统一。通过组织领导，一级带动一级，一人带动多人，自上而下推动工作落实，让铁规发力、让禁令生威。要进一步完善领导干部作风建设的领导机制和工作机制，进一步健全坚持群众路线的制度规范，用制度和机制促进中央八项规定精神落地落实。</w:t>
      </w:r>
    </w:p>
    <w:p w14:paraId="41F7466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三是健全群众参与制度。公众参与的制度化，是国家治理体系和治理能力现代化的要求。要让群众成为参与的主体、监督的眼睛、整改的镜子、评价的尺子，从而形成良好的社会氛围。要完善法规制度，拓宽群众参与渠道，促进网络参与。</w:t>
      </w:r>
    </w:p>
    <w:p w14:paraId="4A815E7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四是健全问题查处追责制度。通过责任追究制度，对“四风”问题突出的地方和部门，坚决查处，严肃处理，以儆效尤。要完善监督检查机制和惩处问责机制，做到言出纪随、寸步不让，实现解决问题向“连根拔”方式转变。</w:t>
      </w:r>
    </w:p>
    <w:p w14:paraId="45A2AC4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w:t>
      </w:r>
      <w:r>
        <w:rPr>
          <w:rStyle w:val="17"/>
          <w:rFonts w:hint="eastAsia" w:ascii="宋体" w:hAnsi="宋体" w:eastAsia="宋体" w:cs="宋体"/>
          <w:i w:val="0"/>
          <w:iCs w:val="0"/>
          <w:caps w:val="0"/>
          <w:color w:val="333333"/>
          <w:spacing w:val="0"/>
          <w:sz w:val="21"/>
          <w:szCs w:val="21"/>
          <w:shd w:val="clear" w:fill="FFFFFF"/>
        </w:rPr>
        <w:t>涵育政治文化，用中央八项规定精神形塑时代新风</w:t>
      </w:r>
    </w:p>
    <w:p w14:paraId="146E8C5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政治文化是党的性质、宗旨、目标和凝聚力、影响力的集中体现。贯彻落实中央八项规定精神，就要以坚定的信念、昂扬的斗志、务实的作风，共同涵育廉洁文化，使中央八项规定精神化风成俗，形塑时代新风。</w:t>
      </w:r>
    </w:p>
    <w:p w14:paraId="271A6F6F">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一要不断涵育廉洁文化，端正党员干部的政治思想。习近平总书记指出，我们的党内政治文化，是以马克思主义为指导、以中华优秀传统文化为基础、以革命文化为源头、以社会主义先进文化为主体、充分体现中国共产党党性的文化。中央八项规定精神化风成俗，要弘扬中华优秀廉洁文化，锻造“两袖清风”品格，增强文化自信，更好地抵制不良社会思潮的侵蚀。</w:t>
      </w:r>
    </w:p>
    <w:p w14:paraId="54FB17E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二要着力纠正“四风”问题，不断净化社会土壤。既要遏制“舌尖上的浪费”，也要治理“会所中的歪风”，既要反对“车轮上的铺张”，也要破解“指尖上的形式主义”。要坚持“破”“立”并举，既要立明规矩，又要破潜规则。</w:t>
      </w:r>
    </w:p>
    <w:p w14:paraId="72ED09F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三是培育崇尚廉洁、痛恨贪腐的社会风气。通过贯彻落实中央八项规定精神，筑牢党员干部拒腐防变的思想防线，涵养廉洁正直的社会风气。</w:t>
      </w:r>
    </w:p>
    <w:p w14:paraId="08B60FA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val="0"/>
        <w:wordWrap w:val="0"/>
        <w:overflowPunct/>
        <w:topLinePunct w:val="0"/>
        <w:autoSpaceDE w:val="0"/>
        <w:autoSpaceDN w:val="0"/>
        <w:bidi w:val="0"/>
        <w:adjustRightInd w:val="0"/>
        <w:snapToGrid w:val="0"/>
        <w:spacing w:before="0" w:beforeAutospacing="0" w:after="0" w:afterAutospacing="0" w:line="360" w:lineRule="auto"/>
        <w:ind w:left="0" w:right="0" w:firstLine="0" w:firstLineChars="0"/>
        <w:textAlignment w:val="baseline"/>
        <w:rPr>
          <w:rFonts w:hint="eastAsia" w:ascii="宋体" w:hAnsi="宋体" w:eastAsia="宋体" w:cs="宋体"/>
          <w:i w:val="0"/>
          <w:iCs w:val="0"/>
          <w:caps w:val="0"/>
          <w:color w:val="333333"/>
          <w:spacing w:val="0"/>
          <w:sz w:val="21"/>
          <w:szCs w:val="21"/>
        </w:rPr>
      </w:pPr>
      <w:r>
        <w:rPr>
          <w:rFonts w:hint="eastAsia" w:ascii="宋体" w:hAnsi="宋体" w:eastAsia="宋体" w:cs="宋体"/>
          <w:i w:val="0"/>
          <w:iCs w:val="0"/>
          <w:caps w:val="0"/>
          <w:color w:val="333333"/>
          <w:spacing w:val="0"/>
          <w:sz w:val="21"/>
          <w:szCs w:val="21"/>
          <w:shd w:val="clear" w:fill="FFFFFF"/>
        </w:rPr>
        <w:t>　　四是大力弘扬社会主义核心价值观，共建清清爽爽的同志关系、规规矩矩的上下级关系、亲清统一的新型政商关系。引导党员干部传承勤俭为民的红色家风，培育良好向上的时代家风，引领崇德向善、文明和谐的社会风气，推动崇廉尚俭、见贤思齐的党风政风，以风清气正的政治生态引领形成正气充盈的社会生态，努力塑造去奢返简、健康质朴的时代风尚。</w:t>
      </w:r>
    </w:p>
    <w:p w14:paraId="7619FD6B">
      <w:pPr>
        <w:keepNext w:val="0"/>
        <w:keepLines w:val="0"/>
        <w:pageBreakBefore w:val="0"/>
        <w:widowControl/>
        <w:kinsoku w:val="0"/>
        <w:overflowPunct/>
        <w:topLinePunct w:val="0"/>
        <w:autoSpaceDE w:val="0"/>
        <w:autoSpaceDN w:val="0"/>
        <w:bidi w:val="0"/>
        <w:adjustRightInd w:val="0"/>
        <w:snapToGrid w:val="0"/>
        <w:spacing w:line="360" w:lineRule="auto"/>
        <w:ind w:firstLine="0" w:firstLineChars="0"/>
        <w:textAlignment w:val="baseline"/>
        <w:rPr>
          <w:rFonts w:hint="eastAsia" w:ascii="宋体" w:hAnsi="宋体" w:eastAsia="宋体" w:cs="宋体"/>
          <w:sz w:val="21"/>
          <w:szCs w:val="21"/>
          <w:lang w:val="en-US" w:eastAsia="zh-CN"/>
        </w:rPr>
      </w:pPr>
    </w:p>
    <w:p w14:paraId="2AD1CC7C">
      <w:pPr>
        <w:keepNext w:val="0"/>
        <w:keepLines w:val="0"/>
        <w:pageBreakBefore w:val="0"/>
        <w:widowControl/>
        <w:kinsoku w:val="0"/>
        <w:overflowPunct/>
        <w:topLinePunct w:val="0"/>
        <w:autoSpaceDE w:val="0"/>
        <w:autoSpaceDN w:val="0"/>
        <w:bidi w:val="0"/>
        <w:adjustRightInd w:val="0"/>
        <w:snapToGrid w:val="0"/>
        <w:spacing w:line="360" w:lineRule="auto"/>
        <w:ind w:firstLine="0" w:firstLineChars="0"/>
        <w:textAlignment w:val="baseline"/>
        <w:rPr>
          <w:rFonts w:hint="eastAsia" w:ascii="宋体" w:hAnsi="宋体" w:eastAsia="宋体" w:cs="宋体"/>
          <w:sz w:val="21"/>
          <w:szCs w:val="21"/>
          <w:lang w:val="en-US" w:eastAsia="zh-CN"/>
        </w:rPr>
      </w:pPr>
    </w:p>
    <w:p w14:paraId="75F829DB">
      <w:pPr>
        <w:keepNext w:val="0"/>
        <w:keepLines w:val="0"/>
        <w:pageBreakBefore w:val="0"/>
        <w:widowControl/>
        <w:kinsoku w:val="0"/>
        <w:overflowPunct/>
        <w:topLinePunct w:val="0"/>
        <w:autoSpaceDE w:val="0"/>
        <w:autoSpaceDN w:val="0"/>
        <w:bidi w:val="0"/>
        <w:adjustRightInd w:val="0"/>
        <w:snapToGrid w:val="0"/>
        <w:spacing w:line="360" w:lineRule="auto"/>
        <w:ind w:firstLine="0" w:firstLineChars="0"/>
        <w:textAlignment w:val="baseline"/>
        <w:rPr>
          <w:rFonts w:hint="eastAsia" w:ascii="宋体" w:hAnsi="宋体" w:eastAsia="宋体" w:cs="宋体"/>
          <w:sz w:val="21"/>
          <w:szCs w:val="21"/>
          <w:lang w:val="en-US" w:eastAsia="zh-CN"/>
        </w:rPr>
      </w:pPr>
    </w:p>
    <w:p w14:paraId="0E2DDBBE">
      <w:pPr>
        <w:keepNext w:val="0"/>
        <w:keepLines w:val="0"/>
        <w:pageBreakBefore w:val="0"/>
        <w:widowControl/>
        <w:kinsoku w:val="0"/>
        <w:overflowPunct/>
        <w:topLinePunct w:val="0"/>
        <w:autoSpaceDE w:val="0"/>
        <w:autoSpaceDN w:val="0"/>
        <w:bidi w:val="0"/>
        <w:adjustRightInd w:val="0"/>
        <w:snapToGrid w:val="0"/>
        <w:spacing w:line="360" w:lineRule="auto"/>
        <w:ind w:firstLine="0" w:firstLineChars="0"/>
        <w:textAlignment w:val="baseline"/>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（原载</w:t>
      </w:r>
      <w:r>
        <w:rPr>
          <w:rFonts w:hint="eastAsia" w:ascii="Times New Roman" w:hAnsi="Times New Roman" w:eastAsia="宋体" w:cs="Times New Roman"/>
          <w:sz w:val="24"/>
          <w:szCs w:val="24"/>
          <w:lang w:val="en-US" w:eastAsia="zh-CN"/>
        </w:rPr>
        <w:t>《解放日报》2025年5月29日，第一作者为李燕。</w:t>
      </w:r>
      <w:r>
        <w:rPr>
          <w:rFonts w:hint="eastAsia" w:ascii="宋体" w:hAnsi="宋体" w:eastAsia="宋体" w:cs="宋体"/>
          <w:sz w:val="21"/>
          <w:szCs w:val="21"/>
          <w:lang w:val="en-US" w:eastAsia="zh-CN"/>
        </w:rPr>
        <w:t>）</w:t>
      </w:r>
    </w:p>
    <w:p w14:paraId="5D2F847B">
      <w:pPr>
        <w:keepNext w:val="0"/>
        <w:keepLines w:val="0"/>
        <w:pageBreakBefore w:val="0"/>
        <w:widowControl/>
        <w:kinsoku w:val="0"/>
        <w:overflowPunct/>
        <w:topLinePunct w:val="0"/>
        <w:autoSpaceDE w:val="0"/>
        <w:autoSpaceDN w:val="0"/>
        <w:bidi w:val="0"/>
        <w:adjustRightInd w:val="0"/>
        <w:snapToGrid w:val="0"/>
        <w:spacing w:line="360" w:lineRule="auto"/>
        <w:ind w:firstLine="0" w:firstLineChars="0"/>
        <w:textAlignment w:val="baseline"/>
        <w:rPr>
          <w:rFonts w:hint="eastAsia" w:ascii="宋体" w:hAnsi="宋体" w:eastAsia="宋体" w:cs="宋体"/>
          <w:sz w:val="21"/>
          <w:szCs w:val="21"/>
          <w:lang w:val="en-US" w:eastAsia="zh-CN"/>
        </w:rPr>
      </w:pPr>
    </w:p>
    <w:p w14:paraId="78844B83">
      <w:pPr>
        <w:pStyle w:val="2"/>
        <w:bidi w:val="0"/>
        <w:jc w:val="center"/>
        <w:rPr>
          <w:rFonts w:hint="eastAsia"/>
          <w:lang w:val="en-US" w:eastAsia="zh-CN"/>
        </w:rPr>
      </w:pPr>
      <w:bookmarkStart w:id="853" w:name="_Toc9064"/>
      <w:bookmarkStart w:id="854" w:name="_Toc238657761"/>
      <w:bookmarkStart w:id="855" w:name="_Toc444266037"/>
      <w:bookmarkStart w:id="856" w:name="_Toc2051765532"/>
      <w:bookmarkStart w:id="857" w:name="_Toc810323593"/>
      <w:bookmarkStart w:id="858" w:name="_Toc1647645589"/>
      <w:r>
        <w:rPr>
          <w:rFonts w:hint="eastAsia"/>
          <w:lang w:val="en-US" w:eastAsia="zh-CN"/>
        </w:rPr>
        <w:t>17开拓马克思主义政治经济学新境界</w:t>
      </w:r>
      <w:bookmarkEnd w:id="853"/>
      <w:bookmarkEnd w:id="854"/>
      <w:bookmarkEnd w:id="855"/>
      <w:bookmarkEnd w:id="856"/>
      <w:bookmarkEnd w:id="857"/>
      <w:bookmarkEnd w:id="858"/>
    </w:p>
    <w:p w14:paraId="24A72A9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从《习近平经济文选》（第一卷）可以看出，习近平经济思想创造性地运用马克思主义基本原理，科学地、系统地回答了当代中国经济社会发展的基本遵循、基本纲领、制度基础、政治保证等重大理论和实践问题，揭示了中国式现代化经济建设基本规律，是新时代推进中国式现代化经济建设的科学指导思想和行动指南。</w:t>
      </w:r>
    </w:p>
    <w:p w14:paraId="785B21D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理论创新产生于对时代课题的深刻把握和科学解答。《习近平经济文选》（第一卷）收入了习近平总书记2012年11月至2024年12月期间关于经济建设最重要、最基本的著作74篇，为深入系统学习习近平经济思想提供了权威文献依据。从《文选》可以看出，习近平经济思想创造性地运用马克思主义基本原理，科学地、系统地回答了当代中国经济社会发展的基本遵循、基本纲领、制度基础、政治保证等重大理论和实践问题，揭示了中国式现代化经济建设基本规律，是新时代推进中国式现代化经济建设的科学指导思想和行动指南。</w:t>
      </w:r>
    </w:p>
    <w:p w14:paraId="21134EC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2A22163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Fonts w:hint="eastAsia" w:ascii="宋体" w:hAnsi="宋体" w:eastAsia="宋体" w:cs="宋体"/>
          <w:b/>
          <w:bCs/>
          <w:i w:val="0"/>
          <w:iCs w:val="0"/>
          <w:caps w:val="0"/>
          <w:color w:val="D92142"/>
          <w:spacing w:val="7"/>
          <w:sz w:val="21"/>
          <w:szCs w:val="21"/>
        </w:rPr>
        <w:t>理论基础、根本立场</w:t>
      </w:r>
    </w:p>
    <w:p w14:paraId="54E5BB4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4A8AD8F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习近平经济思想科学指明了中国式现代化经济建设的理论基础是马克思主义政治经济学，根本立场是坚持以人民为中心，为现阶段中国式现代化经济建设的推进提供了根本遵循。</w:t>
      </w:r>
    </w:p>
    <w:p w14:paraId="0D56938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马克思主义政治经济学是中国式现代化经济建设的理论基础。习近平总书记明确指出，“现在，各种经济理论五花八门，但我们政治经济学的根本只能是马克思主义政治经济学，而不能是别的什么经济理论”。马克思主义政治经济学是马克思主义理论“最深刻、最全面、最详尽的证明和运用”，唯物辩证法是马克思主义政治经济学的根本方法。要坚持运用其基本原理和方法论研究新问题，作出新结论，形成新成果。习近平经济思想将马克思主义政治经济学基本原理与我国社会主义现代化建设的具体实践相结合，深刻揭示新时代中国式现代化经济建设的基本规律，开拓了马克思主义政治经济学新境界。</w:t>
      </w:r>
    </w:p>
    <w:p w14:paraId="3A36F37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坚持以人民为中心，是中国式现代化经济建设的根本立场。习近平经济思想坚持人民立场，把实现以人民为中心的发展作为一切经济工作的根本指针。中国式现代化从本质上说就是沿着社会主义根本道路和方向，不断增进人民福祉，促进人的自由和全面发展，而经济建设则是实现这一目标的基本途径和主要内容。</w:t>
      </w:r>
    </w:p>
    <w:p w14:paraId="7432934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我国社会主要矛盾已经转化为人民日益增长的美好生活需要和不平衡不充分的发展之间的矛盾。坚持一切从实际出发，实事求是，是马克思主义活的灵魂，也是中国共产党人认识世界和改造世界的根本要求。以习近平同志为核心的党中央坚持从对我国经济发展的具体实际出发，准确把握历史新发展和时代新要求，适时作出我国社会主要矛盾发生变化的重大判断。</w:t>
      </w:r>
    </w:p>
    <w:p w14:paraId="1C6822A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Fonts w:hint="eastAsia" w:ascii="宋体" w:hAnsi="宋体" w:eastAsia="宋体" w:cs="宋体"/>
          <w:b/>
          <w:bCs/>
          <w:i w:val="0"/>
          <w:iCs w:val="0"/>
          <w:caps w:val="0"/>
          <w:color w:val="FF0000"/>
          <w:spacing w:val="7"/>
          <w:sz w:val="21"/>
          <w:szCs w:val="21"/>
        </w:rPr>
        <w:t>新特征、新理念、新布局</w:t>
      </w:r>
    </w:p>
    <w:p w14:paraId="7A552EB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唯物辩证法要求从客观的经济事实出发，深入分析各种经济现象背后的本质联系，揭示社会经济运动过程的规律与矛盾，并寻求解决矛盾的方法和途径。习近平经济思想科学研判现阶段我国现代化建设的内外因素和条件的新变化和新特点，深刻把握经济发展的速度、规模、结构、质量之间的内在联系，提出新时代中国式现代化经济建设要把握的大政方针和基本纲领。</w:t>
      </w:r>
    </w:p>
    <w:p w14:paraId="6FB8BE1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把握新发展阶段，深化供给侧结构性改革。马克思主义政治经济学认为，建立在社会化大生产基础上的国民经济是按一定的物质技术关系建立起来的有机的整体，各部门各领域之间存在着密切联系和相互制约关系，随着科技的进步及生产与需求关系的变化，要对原有的生产体系进行动态调整。以习近平同志为核心的党中央在综合分析世界经济形势及科技发展趋势和我国经济发展的阶段性特征及其相互作用的基础上，提出我国经济发展已经进入“新常态”，即已进入由过去几十年的数量型高速增长转向高质量发展的新阶段，正处于转变经济发展方式、优化经济结构、转换经济增长动能的关键期。</w:t>
      </w:r>
    </w:p>
    <w:p w14:paraId="33098DC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贯彻新发展理念，推动高质量发展。习近平经济思想深刻把握新一轮科技革命和产业变革的方向，深入分析我国经济社会发展的主要问题和矛盾，提出新发展阶段要贯彻“创新、协调、绿色、开放、共享”的新发展理念。新发展理念是一个有机统一的整体。其中，创新引领在中国式现代化全局中处于核心地位。面对“大科学、高技术”的时代潮流和日趋激烈的国际科技竞争，要通过充分发挥新型举国体制等制度优势，加快建设创新型国家，大力推动颠覆性、原创性科技突破，推进新质生产力发展，实现弯道超车。而协调、绿色、开放、共享则是注重解决发展中的不平衡不充分、人与自然的和谐共生、内引外联、社会公平正义等重大问题。新发展理念是我们党对中国式现代化经济建设规律认识的深化，是指导当前我国经济社会发展的根本原则和理念。</w:t>
      </w:r>
    </w:p>
    <w:p w14:paraId="2062494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构建新发展格局，推动国内循环和国际循环的相互促进和良性互动。习近平经济思想创造性地运用马克思主义政治经济学社会再生产理论，在对国际经济政治格局的演变和我国经济发展内在要求及特征深入观察和分析的基础上，提出要畅通国民经济循环，构建以国内大循环为主体、国内国际双循环相互促进的新发展格局。为此，需要着力推动深化内需扩大战略和供给侧结构性改革，进一步推动实体经济发展，加快实现科技自立自强，推动产业链供应链的优化升级，完善城乡融合发展体制机制；同时，要依托我国超大规模市场优势，在高质量对外开放中扩大国际合作、推进高质量共建“一带一路”。构建新发展格局是我们把握发展主动权的战略布局，也是我国推动高质量发展的战略基点。</w:t>
      </w:r>
    </w:p>
    <w:p w14:paraId="5AA6B3D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Fonts w:hint="eastAsia" w:ascii="宋体" w:hAnsi="宋体" w:eastAsia="宋体" w:cs="宋体"/>
          <w:b/>
          <w:bCs/>
          <w:i w:val="0"/>
          <w:iCs w:val="0"/>
          <w:caps w:val="0"/>
          <w:color w:val="D92142"/>
          <w:spacing w:val="7"/>
          <w:sz w:val="21"/>
          <w:szCs w:val="21"/>
        </w:rPr>
        <w:t>制度支撑和发展动力</w:t>
      </w:r>
    </w:p>
    <w:p w14:paraId="531F03F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4D338DFB">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习近平经济思想科学指出要在生产力和生产关系的辩证统一中把握我国经济高质量发展的根本性质和制度要求，深化对社会主义基本经济制度的认识，突出全面深化改革对中国式现代化建设的重要推动作用，从而揭示了中国式现代化经济建设的制度支撑和发展动力。</w:t>
      </w:r>
    </w:p>
    <w:p w14:paraId="6BB2ADF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习近平经济思想将以公有制为主体、多种所有制经济共同发展，按劳分配为主体、多种分配方式并存，社会主义市场经济体制共同作为我国社会主义基本经济制度。这一包括所有制、分配制度和资源配置体制机制等在内的制度体系是一个相互联系、相互支持、相互促进的有机整体，是我国经济制度体系中具有长期性和稳定性的部分，是推动新时代经济高质量发展和现代化建设的制度支撑。</w:t>
      </w:r>
    </w:p>
    <w:p w14:paraId="762B1FA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改革是中国特色社会主义发展的根本动力。社会主义基本制度建立后，在社会主义发展中，生产力与生产关系、经济基础和上层建筑的矛盾，主要通过体制机制的改革加以解决。习近平经济思想将全面深化改革放在突出地位，提出要实现改革由局部突破、破冰突围到系统集成、全面深化的转变，强调全面深化改革、推进制度创新是推进中国式现代化的根本动力和基本途径。</w:t>
      </w:r>
    </w:p>
    <w:p w14:paraId="6094272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6854AD0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Fonts w:hint="eastAsia" w:ascii="宋体" w:hAnsi="宋体" w:eastAsia="宋体" w:cs="宋体"/>
          <w:b/>
          <w:bCs/>
          <w:i w:val="0"/>
          <w:iCs w:val="0"/>
          <w:caps w:val="0"/>
          <w:color w:val="D92142"/>
          <w:spacing w:val="7"/>
          <w:sz w:val="21"/>
          <w:szCs w:val="21"/>
        </w:rPr>
        <w:t>领导力量和工作总基调</w:t>
      </w:r>
    </w:p>
    <w:p w14:paraId="469D6B3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2B6BDB3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历史唯物主义认为，经济基础和上层建筑的辩证关系，集中体现为经济与政治的关系。习近平经济思想深刻把握我国社会主义条件下经济与政治关系的本质及特点，创新性提出党的领导是中国特色社会主义的最本质特征和最大制度优势，要坚持党对经济工作的集中统一领导，坚持稳中求进的工作总基调和方法论。</w:t>
      </w:r>
    </w:p>
    <w:p w14:paraId="3E73148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坚持党对经济工作的集中统一领导，能够使中国式现代化经济建设始终沿着正确发展道路，充分发挥中国特色社会主义的制度优势，实现以人民为中心的发展。党的十八大以来，以习近平同志为核心的党中央深刻把握中国式现代化建设的发展趋势和基本特征，作出一系列重大战略部署，为中国式现代化经济建设的宏伟进程提供方向指引。在经济建设中，党中央总揽全局、协调各方，有利于充分发挥中国特色社会主义制度集中力量办大事的优势;各级党委通过加强对本地区、本部门、本单位经济工作的领导，结合自身实际，把中央决策部署落到实处，确保全国“一盘棋”。</w:t>
      </w:r>
    </w:p>
    <w:p w14:paraId="139C684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坚持党对经济工作的集中统一领导，要坚持稳中求进的工作总基调和方法论。稳中求进，就是要在保证大局稳定的前提下积极进取。其中，“稳”就是要确保经济发展、就业、物价等不出现大的波动；“进”就是重点放在调整经济结构和深化改革上。做好经济工作，要审时度势、深思熟虑，既反对消极应对、不思进取，又反对盲目冲动、急于求成。要善于用政治眼光观察和分析经济问题，尊重规律，科学谋划，积极作为，不断开创经济工作的新局面。</w:t>
      </w:r>
    </w:p>
    <w:p w14:paraId="3587D9F2">
      <w:pPr>
        <w:keepNext w:val="0"/>
        <w:keepLines w:val="0"/>
        <w:pageBreakBefore w:val="0"/>
        <w:widowControl/>
        <w:kinsoku w:val="0"/>
        <w:overflowPunct/>
        <w:topLinePunct w:val="0"/>
        <w:autoSpaceDE w:val="0"/>
        <w:autoSpaceDN w:val="0"/>
        <w:bidi w:val="0"/>
        <w:adjustRightInd w:val="0"/>
        <w:snapToGrid w:val="0"/>
        <w:spacing w:line="360" w:lineRule="auto"/>
        <w:ind w:firstLine="0" w:firstLineChars="0"/>
        <w:textAlignment w:val="baseline"/>
        <w:rPr>
          <w:rFonts w:hint="eastAsia" w:ascii="宋体" w:hAnsi="宋体" w:eastAsia="宋体" w:cs="宋体"/>
          <w:sz w:val="21"/>
          <w:szCs w:val="21"/>
          <w:lang w:val="en-US" w:eastAsia="zh-CN"/>
        </w:rPr>
        <w:sectPr>
          <w:footnotePr>
            <w:numFmt w:val="decimalEnclosedCircleChinese"/>
            <w:numRestart w:val="eachPage"/>
          </w:footnotePr>
          <w:type w:val="continuous"/>
          <w:pgSz w:w="11906" w:h="16725"/>
          <w:pgMar w:top="1375" w:right="1126" w:bottom="1242" w:left="424" w:header="1104" w:footer="962" w:gutter="0"/>
          <w:pgNumType w:fmt="decimal"/>
          <w:cols w:space="425" w:num="1"/>
        </w:sectPr>
      </w:pPr>
      <w:r>
        <w:rPr>
          <w:rFonts w:hint="eastAsia" w:ascii="Times New Roman" w:hAnsi="Times New Roman" w:eastAsia="宋体" w:cs="Times New Roman"/>
          <w:sz w:val="24"/>
          <w:szCs w:val="24"/>
          <w:lang w:val="en-US" w:eastAsia="zh-CN"/>
        </w:rPr>
        <w:t>（原载《文汇报》 理论版，2025年6月8日，第二作者为董金明。）</w:t>
      </w:r>
    </w:p>
    <w:p w14:paraId="296459D1">
      <w:pPr>
        <w:spacing w:line="260" w:lineRule="auto"/>
        <w:rPr>
          <w:rFonts w:ascii="Arial"/>
          <w:sz w:val="21"/>
        </w:rPr>
      </w:pPr>
    </w:p>
    <w:p w14:paraId="1CF5D0D0">
      <w:pPr>
        <w:pStyle w:val="2"/>
        <w:bidi w:val="0"/>
        <w:jc w:val="center"/>
        <w:rPr>
          <w:rFonts w:hint="eastAsia" w:ascii="宋体" w:hAnsi="宋体" w:eastAsia="宋体" w:cs="宋体"/>
          <w:spacing w:val="0"/>
          <w:w w:val="100"/>
          <w:position w:val="0"/>
          <w:sz w:val="21"/>
          <w:szCs w:val="21"/>
        </w:rPr>
      </w:pPr>
      <w:bookmarkStart w:id="859" w:name="_Toc2126126887"/>
      <w:bookmarkStart w:id="860" w:name="_Toc1878376445"/>
      <w:bookmarkStart w:id="861" w:name="_Toc1914821924"/>
      <w:bookmarkStart w:id="862" w:name="_Toc27094"/>
      <w:bookmarkStart w:id="863" w:name="_Toc1769020178"/>
      <w:bookmarkStart w:id="864" w:name="_Toc177786258"/>
      <w:r>
        <w:rPr>
          <w:rFonts w:hint="eastAsia"/>
          <w:lang w:val="en-US" w:eastAsia="zh-CN"/>
        </w:rPr>
        <w:t>18</w:t>
      </w:r>
      <w:r>
        <w:rPr>
          <w:rFonts w:hint="eastAsia"/>
        </w:rPr>
        <w:t>论“让人民过上幸福生活”的中国式现代化</w:t>
      </w:r>
      <w:bookmarkEnd w:id="859"/>
      <w:bookmarkEnd w:id="860"/>
      <w:bookmarkEnd w:id="861"/>
      <w:bookmarkEnd w:id="862"/>
      <w:bookmarkEnd w:id="863"/>
      <w:bookmarkEnd w:id="864"/>
    </w:p>
    <w:p w14:paraId="3EEB036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摘要]“家事国事天下事，让人民过上幸福生活是头等大事”“衣食住行医教养、柴米油盐酱醋茶”，凝结着人民群众对幸福生活的美好向往。人民至上，是中国式现代化的出发点；中国式现代化，民生为大，要让所有人过上有尊严、有意义的生活。中国式现代化，有着深厚的理论渊源与文化根基，“让人民过上幸福生活”这一理念贯穿始终。中国式现代化不断发展、取得成功的一个重要经验，就是不断让人民过上幸福生活。在强国建设、民族复兴的新征程上，要始终坚持以习近平新时代中国特色社会主义思想为指导，久久为功，发扬水滴石穿精神，不断谱写以中国式现代化实现人民幸福的新篇章。</w:t>
      </w:r>
    </w:p>
    <w:p w14:paraId="2EE4C8A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pPr>
      <w:r>
        <w:rPr>
          <w:rFonts w:hint="eastAsia" w:ascii="宋体" w:hAnsi="宋体" w:eastAsia="宋体" w:cs="宋体"/>
          <w:color w:val="231F20"/>
          <w:spacing w:val="0"/>
          <w:w w:val="100"/>
          <w:position w:val="0"/>
          <w:sz w:val="21"/>
          <w:szCs w:val="21"/>
        </w:rPr>
        <w:t>[关键词]中国式现代化；让人民过上幸福生活；以人民为中心</w:t>
      </w:r>
    </w:p>
    <w:p w14:paraId="6D5EE56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中国式现代化，是中国共产党领导的社会主义现代化，是促进人的自由全面发展的现代化。在2025年新年贺词中，习近平提出：“家事国事天下事，让人民过上幸福生活是头等大事。”[1]坚持以人民为中心，贯穿我们党治国理政各方面、全过程，“我们党没有自己特殊的利</w:t>
      </w:r>
    </w:p>
    <w:p w14:paraId="0A7E1B2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益，党在任何时候都把群众利益放在第一位”。“让人民过上幸福生活”，尤其指向人民的具体利益，“家家户户都盼着孩子能有好的教育，老人能有好的养老服务，年轻人能有更多发展机会。这些朴实的愿望，就是对美好生活的向往”。[1]“衣食住行医教养、柴米油盐酱醋茶”，这些家长里短琐碎事，凝结着人民群众对幸福生活的美好向往。中国式现代化，民生为大，要让所有人过上有尊严、有意义的生活。在推进现代化进程中，必须“不断提高人民生活水平”“不断满足人民群众对良好生态环境新期待”“不断增强人民群众获得感幸福感安全感”“保障人民群众安居乐业、社会安定有序”，始终坚持以人民为中心的发展思想，坚持发展为了人民、发展依靠人民、发展成果由人民共享。习近平明确指出：“为人民谋幸福、为民族谋复兴，这既是我们党领导现代化建设的出发点和落脚点，也是新发展理念的‘根’和‘魂’。”[2]可见，坚持以人民为中心的现代化，就要“让人民过上幸福生活”，根本体现“为民造福是立党为公、执政为民的本质要求”。[3](p.38)由此，从“让人民过上幸福生活”的角度探讨中国式现代化，具有重要意义。</w:t>
      </w:r>
    </w:p>
    <w:p w14:paraId="11678FA3">
      <w:pPr>
        <w:pStyle w:val="4"/>
        <w:keepNext/>
        <w:keepLines/>
        <w:pageBreakBefore w:val="0"/>
        <w:widowControl/>
        <w:kinsoku w:val="0"/>
        <w:wordWrap/>
        <w:overflowPunct/>
        <w:topLinePunct w:val="0"/>
        <w:autoSpaceDE w:val="0"/>
        <w:autoSpaceDN w:val="0"/>
        <w:bidi w:val="0"/>
        <w:adjustRightInd w:val="0"/>
        <w:snapToGrid w:val="0"/>
        <w:textAlignment w:val="baseline"/>
        <w:rPr>
          <w:rFonts w:hint="eastAsia" w:ascii="宋体" w:hAnsi="宋体" w:eastAsia="宋体" w:cs="宋体"/>
          <w:sz w:val="21"/>
          <w:szCs w:val="16"/>
        </w:rPr>
      </w:pPr>
      <w:r>
        <w:rPr>
          <w:rFonts w:hint="eastAsia" w:ascii="宋体" w:hAnsi="宋体" w:eastAsia="宋体" w:cs="宋体"/>
          <w:sz w:val="21"/>
          <w:szCs w:val="16"/>
        </w:rPr>
        <w:t>一、人民幸福生活：“第二个结合”塑造现代化进程内核</w:t>
      </w:r>
    </w:p>
    <w:p w14:paraId="752AA7D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中国式现代化，有着深厚的理论渊源与文化根基，“让人民过上幸福生活”这一理念贯穿始终。我们党将马克思主义关于坚守人民立场的思想与中华优秀传统文化的民本思想相结合，将人的自由全面发展置于现代化进程，呈现了马克思主义基本原理与中华优秀传统文化在“幸福生活”中的有机结合。</w:t>
      </w:r>
    </w:p>
    <w:p w14:paraId="3318A896">
      <w:pPr>
        <w:pStyle w:val="6"/>
        <w:bidi w:val="0"/>
        <w:ind w:firstLine="500" w:firstLineChars="0"/>
        <w:rPr>
          <w:rFonts w:hint="eastAsia" w:ascii="宋体" w:hAnsi="宋体" w:eastAsia="宋体" w:cs="宋体"/>
          <w:snapToGrid w:val="0"/>
          <w:color w:val="231F20"/>
          <w:spacing w:val="0"/>
          <w:w w:val="100"/>
          <w:kern w:val="0"/>
          <w:position w:val="0"/>
          <w:sz w:val="21"/>
          <w:szCs w:val="21"/>
          <w:lang w:val="en-US" w:eastAsia="en-US" w:bidi="ar-SA"/>
        </w:rPr>
      </w:pPr>
      <w:r>
        <w:rPr>
          <w:rFonts w:hint="eastAsia" w:ascii="宋体" w:hAnsi="宋体" w:eastAsia="宋体" w:cs="宋体"/>
          <w:snapToGrid w:val="0"/>
          <w:color w:val="231F20"/>
          <w:spacing w:val="0"/>
          <w:w w:val="100"/>
          <w:kern w:val="0"/>
          <w:position w:val="0"/>
          <w:sz w:val="21"/>
          <w:szCs w:val="21"/>
          <w:lang w:val="en-US" w:eastAsia="en-US" w:bidi="ar-SA"/>
        </w:rPr>
        <w:t>（一）马克思主义指向实现真正的幸福生活</w:t>
      </w:r>
    </w:p>
    <w:p w14:paraId="673A73F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共产党就是给人民办事的，就是要让人民的生活一天天好起来，一年比一年过得好。”[4](p.66)人民性是马克思主义政党的根本立场。马克思主义关于坚守人民立场的思想，是“让人民过上幸福生活”理念的“魂”，从批判资本主义制度与资本主义生产方式出发，揭示了现代资本主义社会无法实现幸福生活的根源，彰显实现人民幸福生活的可能现实路径。</w:t>
      </w:r>
    </w:p>
    <w:p w14:paraId="78EC031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一，现代资本主义社会生活的物化。“工业较发达的国家向工业较不发达的国家所显示的，只是后者未来的景象”，[5](p.8)这是“马克思提供了有关资本主义现代化最早的最完整的描述之一”。[6](p.133)马克思揭示了资本主义经济运行法则和规律，看到经济现代化对财富增长的积极作用，即“资产阶级在它的不到一百年的阶级统治中所创造的生产力，比过去一切世代创造的全部生产力还要多，还要大”。[7](p.36)然而，这种增长，带来的是暴力、剥削的现代化，对劳动者造成普遍贫困和不幸。在马克思看来，现代资本主义的主要目的，不是满足人的生存需要，而是超越人类自然必然性的限制和规定，进行资本积累。外在于个人本身的普遍关系形式是物化联系，依托于外在的物的关系具有所谓的个人独立与自由，都是表象，囿于物的牢笼难以实现。正是建立在“物的依赖性”之上，导致人无法在现实生活中独立自主，被迫成为资本奴隶，进而使生产方式神秘化、社会关系物化。因此，现代资本主义社会生活是以“物的依赖性”为牵引的，实质是物质利益统治人的社会生活，物作为价值尺度和支配标准，决定人与人的关系，这种关系作为人的外在物质必然性，必然使人的幸福感、获得感不断降低。“个人相互间的社会联系作为凌驾于个人之上的独立权力，不论被想象为自然的权力，偶然现象，还是其他任何形式的东西，都是下述状况的必然结果，这就是：这里的出发点不是自由的社会的个人。”[8](p.148)马克思深刻指出：“在资产阶级经济以及与之相适应的生产时代中，人的内在本质的这种充分发挥，表现为完全的空虚化；这种普遍的对象化过程，表现为全面的异化，而一切既定的片面目的的废弃，则表现为为了某种纯粹外在的目的而牺牲自己的目的本身。”[9](pp.739-740)因此，现代资本主义社会生活就是围绕资本逻辑形成的物化生活。</w:t>
      </w:r>
    </w:p>
    <w:p w14:paraId="3018FE3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二，现代资本主义社会的发展不会带来人的幸福生活。现代资本主义社会以“自然秩序”粉饰资本主义制度，论证这种最“符合人性”的社会制度尤其是自由市场秩序，最有利于全人类幸福。但实际上，现代资本主义社会标榜的所谓“全人类”“全民”“一切人的幸福”等，无非是用超阶级口号掩盖资产阶级幸福、无产阶级受苦的事实。现代资本主义社会把劳动人民当作“劳动的动物”，当作“仅仅有最必要的肉体需要的牲畜”。在马克思看来，现代资本主义社会一极是财富和文明的积累，另一极则是贫困和道德堕落的积累。现代资本主义社会的直接目的，是使工人阶级的幸福生活处于从属地位。因此，现代资本主义社会建立在阶级剥削基础上，不能使多数人过上幸福生活。恩格斯揭露道，“资产阶级经济学关于资本和劳动的利益一致、关于自由竞争必将带来普遍协调和全民幸福的学说完全是撒谎”，[10](p.29)只不过是“一个成熟的允许欺诈的体系、一门完整的发财致富的科学”。[11](p.56)那么，资产阶级经济学宣称的幸福生活，将资产阶级幸福与整个社会幸福等同的实质就一目了然，实际上，它只能带来资产阶级的所谓“幸福生活”。历史和现实也告诉人们，资本主义现代化没有给多数国家和多数人带来幸福生活。</w:t>
      </w:r>
    </w:p>
    <w:p w14:paraId="2E75171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三，马克思和恩格斯立足人民立场，深刻指出实现人的幸福生活的可能现实路径。马克思主义关于坚守人民立场的思想，是在批判现代资本主义社会的基础上发展起来的。通过《论犹太人问题》对“个人市民与公民身份的对立”展开批判，《黑格尔法哲学批判》对“政治与社会的对立”展开批判，《1844年经济学哲学手稿》对“劳动异化”展开批判，《德意志意识形态》对“资本主义社会的交往方式和生产关系”展开批判，《资本论》对“资本”展开批判等可见，在现代资本主义社会，人们的生活往往走向虚假、空洞、不平等，以少数资产阶级利益为中心，将幸福等同于财富积累、消费享受，忽视了劳动人民的基本需求、整体福祉。由此，马克思批判现存生活世界，目的在于改变“旧世界”、瓦解物和资本的统治，建立“新世界”，实现人的自由全面发展，这一过程的根本目的和价值尺度，就是实现“人民的现实幸福”。[12](p.2)“马克思的整个思想生涯显现出一条明显的从哲学经政治学到政治经济学的道路”，以“宣告人类自由和幸福”。[13](pp.142-181)马克思主义力求找到一条现实途径，帮助人类建设一个没有压迫和剥削的世界，真正实现人的幸福生活。马克思通过辩证唯物主义和历史唯物主义批判与反思现代资本主义社会，为以中国式现代化实现人的幸福生活，提供了坚实理论基础。</w:t>
      </w:r>
    </w:p>
    <w:p w14:paraId="1585DAA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（二）中华优秀传统文化蕴含丰富民本思想</w:t>
      </w:r>
    </w:p>
    <w:p w14:paraId="50159E1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中国共产党既是马克思主义的坚定信仰者和践行者，又是中华优秀传统文化的忠实继承者和弘扬者。”[14](p.458)中华优秀传统文化蕴含“五福”“内求诸己”“君舟民水”“社会大同”等丰富民本思想，为以中国式现代化实现人的幸福生活提供了文化传统。</w:t>
      </w:r>
    </w:p>
    <w:p w14:paraId="20BA8D2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一，中国式现代化必然承续中华优秀传统文化中民本思想的合理内核。习近平指出：“中国人民的理想和奋斗，中国人民的价值观和精神世界，是始终深深植根于中国优秀传统文化沃土之中的。”[3](p.282)“中国式现代化赋予中华文明以现代力量，中华文明赋予中国式现代化以深厚底蕴”，“中国式现代化是从中华大地上长出来的现代化”，是“文明更新的结果”。[14](p.459)中华优秀传统文化中的民本思想，为中国式现代化实现人民幸福生活提供了丰富资源。《尚书》提出“德惟善政，政在养民”“民惟邦本，本固邦宁”“敛时五福，用敷锡厥庶民”等，开启春秋战国时期民本思想的先河。儒家讲“入世有为”，倡导“修己安人”“内求诸己”等，提倡“民贵君轻”“君舟民水”等，主张施政者要将人民的地位置于君主和社稷之上，倾听民众、信任民众、使民众富，如此民众才能在君民和谐共处中获得幸福。道家讲“与世无争”“自然无为”等。老子推崇世间万物回归本真，认为顺应事物本来状态或遵循事物发展规律就是幸福。道家认为能否实现人的幸福生活，关键在于能否以辩证思维、从容豁达心态看待福祸变化、实现福祸转化，达到人的和谐及自我超越状态。各家民本思想或带有民本倾向的观点虽各有侧重，但体现的人民情怀、家国情怀，提升品格修养等思辨性阐述，已成为中华文明的精神基因，是中国式现代化强有力的文化支撑。</w:t>
      </w:r>
    </w:p>
    <w:p w14:paraId="360A379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二，中华优秀传统文化中民本思想为现代社会幸福生活提供了理想蓝本。中国古代传统民本思想对理想社会的描述，集中体现于“社会大同”。孔子在《礼记·礼运》中描绘了“大道之行也，天下为公”的画面。太平天国运动以“社会大同”为蓝本确立了社会纲领。康有为《大同书》描绘破除“九界”，消除社会的不平等和苦难，实现大同社会的愿景。孙中山提出“平均地权”“节制资本”“以谋社会种种之幸福”，[15](p.523)最终目标就是“要替人民除去忧愁，替人民谋幸福。要四万万人都可以享福，把中国变成一个安乐国家和一个快活世界”。[16](p.25)毛泽东精辟指出：“我们是马克思主义的历史主义者，我们不应当割断历史。从孔夫子到孙中山，我们应当给以总结，承继这一份珍贵的遗产。”[17](p.534)习近平强调：“中国共产党人不是历史虚无主义者，也不是文化虚无主义者”，始终是“中国优秀传统文化的忠实继承者和弘扬者，从孔夫子到孙中山，我们都注意汲取其中积极的养分。”[18]从孔夫子到孙中山，中华文明蕴含的理想社会蓝图，为以中国式现代化实现人的幸福生活，奠定了文化根基。</w:t>
      </w:r>
    </w:p>
    <w:p w14:paraId="3CF9387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（三）通过中国式现代化实现人民幸福生活新图景</w:t>
      </w:r>
    </w:p>
    <w:p w14:paraId="59ABDF8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习近平指出：“马克思主义和中华优秀传统文化来源不同，但彼此存在高度的契合性。”[14](p.458)这种契合的内在基因在于实现人的自由全面发展，而达到这一根本目标，就必然需要推进实现多数人的幸福生活。我们可以把“多数人的幸福生活”这一目标，视为马克思主义和中华优秀传统文化契合的共同品质和关键要素。马克思主义的人民立场与中华优秀传统文化蕴含的民本思想，在人民幸福生活层面具有高度契合性，必然推动马克思主义思想精髓同中华优秀传统文化精华贯通起来、同人民群众日用而不觉的共同价值观融通起来。</w:t>
      </w:r>
    </w:p>
    <w:p w14:paraId="36A83B7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恩格斯指出，“每个人都追求幸福”“是颠扑不破的原则，是整个历史发展的结果，是无须加以论证的”。[19](pp.373-374)关键在于怎样实现幸福生活。“启蒙运动的思想家们已经把人类幸福设定为自己的目标”，而“问题在于要找到实际的环境和经济资源去实现这样的目标”。[6](pp.351-352)在此问题上，中国式现代化展现了不同于西方现代化的新图景，打破了西方资产阶级及其政党宣称的资本主义制度是上帝为人类幸福而安排的“自然秩序”理论，展现了现代化新图景，既承袭马克思主义对人民立场的深刻科学阐释，又赓续中华优秀传统文化蕴含的民本内核与理想社会蓝图。马克思、恩格斯设想的共产主义社会是让所有人“共同享受大家创造出来的福利”，使“社会全体成员的才能得到全面发展”。[12](pp.308-309)为此，马克思、恩格斯描绘了理想幸福生活的图景：“在共产主义社会里，任何人都没有特殊的活动范围，而是都可以在任何部门内发展，社会调节着整个生产，因而使我有可能随自己的兴趣今天干这事，明天干那事。”[12](p.165)马克思、恩格斯设想的自由人联合体，能真正实现人民幸福生活。中华优秀传统文化以“大道之行，天下为公”的理想作为最高政治追求，以“民惟邦本，本固邦宁”作为基本政治理念，以“修身、齐家、治国、平天下”为实践逻辑，贯通“普天之下，四海一家”的“家国同构”政治伦理。两者都期盼建立没有压迫剥削、人人平等自由的幸福社会。正是作为“魂脉”的马克思主义和作为“根脉”的中华优秀传统文化的结合，形塑了中国式现代化的文化形态，更注解了它是为实现人民美好生活的人类文明新形态——“是一个围绕人民发展需求构建的体系，而不是依赖资源掠夺、置人民福祉于不顾的发展路径”。</w:t>
      </w:r>
      <w:r>
        <w:rPr>
          <w:rStyle w:val="20"/>
          <w:rFonts w:hint="eastAsia" w:ascii="宋体" w:hAnsi="宋体" w:eastAsia="宋体" w:cs="宋体"/>
          <w:color w:val="231F20"/>
          <w:spacing w:val="0"/>
          <w:w w:val="100"/>
          <w:position w:val="0"/>
          <w:sz w:val="21"/>
          <w:szCs w:val="21"/>
        </w:rPr>
        <w:footnoteReference w:id="1052"/>
      </w:r>
    </w:p>
    <w:p w14:paraId="36C566A7">
      <w:pPr>
        <w:pStyle w:val="4"/>
        <w:keepNext/>
        <w:keepLines/>
        <w:pageBreakBefore w:val="0"/>
        <w:widowControl/>
        <w:kinsoku w:val="0"/>
        <w:wordWrap/>
        <w:overflowPunct/>
        <w:topLinePunct w:val="0"/>
        <w:autoSpaceDE w:val="0"/>
        <w:autoSpaceDN w:val="0"/>
        <w:bidi w:val="0"/>
        <w:adjustRightInd w:val="0"/>
        <w:snapToGrid w:val="0"/>
        <w:textAlignment w:val="baseline"/>
        <w:rPr>
          <w:rFonts w:hint="eastAsia" w:ascii="宋体" w:hAnsi="宋体" w:eastAsia="宋体" w:cs="宋体"/>
          <w:sz w:val="21"/>
          <w:szCs w:val="16"/>
        </w:rPr>
      </w:pPr>
      <w:r>
        <w:rPr>
          <w:rFonts w:hint="eastAsia" w:ascii="宋体" w:hAnsi="宋体" w:eastAsia="宋体" w:cs="宋体"/>
          <w:sz w:val="21"/>
          <w:szCs w:val="16"/>
        </w:rPr>
        <w:t>二、实现幸福生活：中国式现代化不断发展的重要经验</w:t>
      </w:r>
    </w:p>
    <w:p w14:paraId="657348B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百余年来，“党领导人民进行伟大奋斗，在进取中突破，于挫折中奋起，从总结中提高，积累了宝贵的历史经验”。[20](p.65)自诞生以来，我们党就把为人民谋幸福、为民族谋复兴作为初心使命，“让人民过上幸福生活”的伟大实践，贯穿革命、建设、改革，更贯穿中国式现代化进程。可以说，中国式现代化不断取得成功的一个重要经验，就是始终贯彻以人民为中心的发展思想。</w:t>
      </w:r>
    </w:p>
    <w:p w14:paraId="1FF63DF1">
      <w:pPr>
        <w:pStyle w:val="6"/>
        <w:bidi w:val="0"/>
        <w:ind w:firstLine="500" w:firstLineChars="0"/>
        <w:rPr>
          <w:rFonts w:hint="eastAsia" w:ascii="宋体" w:hAnsi="宋体" w:eastAsia="宋体" w:cs="宋体"/>
          <w:snapToGrid w:val="0"/>
          <w:color w:val="231F20"/>
          <w:spacing w:val="0"/>
          <w:w w:val="100"/>
          <w:kern w:val="0"/>
          <w:position w:val="0"/>
          <w:sz w:val="21"/>
          <w:szCs w:val="21"/>
          <w:lang w:val="en-US" w:eastAsia="en-US" w:bidi="ar-SA"/>
        </w:rPr>
      </w:pPr>
      <w:r>
        <w:rPr>
          <w:rFonts w:hint="eastAsia" w:ascii="宋体" w:hAnsi="宋体" w:eastAsia="宋体" w:cs="宋体"/>
          <w:snapToGrid w:val="0"/>
          <w:color w:val="231F20"/>
          <w:spacing w:val="0"/>
          <w:w w:val="100"/>
          <w:kern w:val="0"/>
          <w:position w:val="0"/>
          <w:sz w:val="21"/>
          <w:szCs w:val="21"/>
          <w:lang w:val="en-US" w:eastAsia="en-US" w:bidi="ar-SA"/>
        </w:rPr>
        <w:t>（一）民族解放：实现幸福生活的根本前提</w:t>
      </w:r>
    </w:p>
    <w:p w14:paraId="52F434F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新民主主义革命时期，中国社会的主要矛盾表现为帝国主义、封建主义、官僚资本主义对广大人民的压迫与剥削，要实现人民幸福生活、推动中国开展工业化、现代化建设，就必然需要推翻“三座大山”，实现民族独立与人民解放。这一时期，我们党围绕这一核心任务，开展了艰苦卓绝的斗争。以毛泽东同志为主要代表的中国共产党人，将马克思列宁主义与中国革命具体实际相结合，团结带领广大人民，开辟新民主主义革命道路，为实现人民幸福生活的现代化创造了根本条件。毛泽东在解释孙中山的民生主义时谈道：“革命的民生主义叫我们反抗大商买办阶级，尤其是那封建宗法性一切反动势力根本源泉之地主阶级，使中国大多数穷苦人民得享有经济幸福。”[21](p.16)对于如何实现人民幸福生活，毛泽东在“《政治周报》发刊理由”一文开篇论道：“为什么出版《政治周报》？为了革命。为什么要革命？为了使中华民族得到解放，为了实现人民的统治，为了使人民得到经济的幸福。”[21](p.21)在新民主主义革命时期，可以说“幸福生活”是革命的目标，而新民主主义革命又是实现“幸福生活”根本条件的唯一选择，明确了人民最迫切的愿望，为取得新民主主义革命最终胜利奠定了坚实群众基础。</w:t>
      </w:r>
    </w:p>
    <w:p w14:paraId="6150F42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从确立“使中国大多数穷苦人民得享有经济幸福”的信念，进而将革命斗争付诸实践，反映了以毛泽东同志为主要代表的中国共产党人，为广大劳动人民过上幸福生活而不懈奋斗的伟大历史进程。革命的目的是让人民过上幸福生活，成为我们党团结带领广大人民开展革命斗争的重要前提，更为中国式现代化实践探索指明方向。以毛泽东同志为主要代表的中国共产党人深入城市农村最基层，与广大人民群众相结合，了解人民群众最迫切需求和愿望，不断探索制定符合中国具体实际的战略策略、方案措施，解决广大劳动人民的基本生存问题，获得人民群众的信任和拥护，为革命胜利奠定了深厚群众基础，为推进中国式现代化、实现人民幸福生活，奠定了根本前提。</w:t>
      </w:r>
    </w:p>
    <w:p w14:paraId="05AA38D9">
      <w:pPr>
        <w:pStyle w:val="6"/>
        <w:bidi w:val="0"/>
        <w:ind w:firstLine="500" w:firstLineChars="0"/>
        <w:rPr>
          <w:rFonts w:hint="eastAsia" w:ascii="宋体" w:hAnsi="宋体" w:eastAsia="宋体" w:cs="宋体"/>
          <w:snapToGrid w:val="0"/>
          <w:color w:val="231F20"/>
          <w:spacing w:val="0"/>
          <w:w w:val="100"/>
          <w:kern w:val="0"/>
          <w:position w:val="0"/>
          <w:sz w:val="21"/>
          <w:szCs w:val="21"/>
          <w:lang w:val="en-US" w:eastAsia="en-US" w:bidi="ar-SA"/>
        </w:rPr>
      </w:pPr>
      <w:r>
        <w:rPr>
          <w:rFonts w:hint="eastAsia" w:ascii="宋体" w:hAnsi="宋体" w:eastAsia="宋体" w:cs="宋体"/>
          <w:snapToGrid w:val="0"/>
          <w:color w:val="231F20"/>
          <w:spacing w:val="0"/>
          <w:w w:val="100"/>
          <w:kern w:val="0"/>
          <w:position w:val="0"/>
          <w:sz w:val="21"/>
          <w:szCs w:val="21"/>
          <w:lang w:val="en-US" w:eastAsia="en-US" w:bidi="ar-SA"/>
        </w:rPr>
        <w:t>（二）“四个现代化”：“进到真正幸福的时代”</w:t>
      </w:r>
    </w:p>
    <w:p w14:paraId="0A6E7AF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社会主义革命和建设时期，经国民经济恢复、抗美援朝胜利和社会主义改造，中国社会主要矛盾逐渐转变为人民对于建立先进的工业国的要求同落后的农业国的现实之间的矛盾，以及人民对于经济文化迅速发展的需要同当前经济文化不能满足人民需要的状况之间的矛盾。在这一时期，我们党团结带领广大人民确立社会主义基本制度，开展社会主义建设，提出集中力量发展生产力，逐步建立起独立的比较完整的工业体系和国民经济体系，不断实现“四个现代化”，为建成“繁荣幸福的社会主义社会”[22](p.520)奠定了根本政治前提和制度基础，为开展社会主义现代化建设，实现人民幸福生活，积累了理论准备和历史经验。</w:t>
      </w:r>
    </w:p>
    <w:p w14:paraId="56A1D22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新中国成立前夕，毛泽东就认识到中国革命必须分两步走，即新民主主义革命胜利后，首先要进行社会主义革命，才能进入社会主义社会，开展社会主义工业化建设，因为中国“只有进到社会主义时代才是真正幸福的时代”。[17](p.683)刘少奇根据中国具体实际分析了新中国成立前后的民生现状：“直到现在，中国劳动人民的生活水平和世界许多先进国家比较起来，还是很低的。他们还很穷困，他们迫切地需要提高生活水平，过富裕的和有文化的生活。这是全国最大多数人民最大的要求和希望，也是中国共产党和人民政府力求实现的最基本的任务。”[23](p.1)刘少奇在1953年中国工会第七次全国代表大会上提出：“必须经常地、密切地关心工人群众的生活状况，在增加生产的基础上，按照必要与可能逐步改善工人的物质与文化生活和工人的工作条件。提高工人阶级以及全体劳动人民的物质和文化福利。”[24](p.137)在《国家的工业化和人民生活水平的提高》中，他提出要使中国劳动人民从穷困、痛苦和被侮辱的生活中解放出来，并不断地提高他们的生活水平，使他们能够过富裕的和有文化的生活，一个重要条件就是实现工业化和电气化，而且必须采取社会主义的或人民民主主义的国家工业化的道路。[25](pp.3-4)</w:t>
      </w:r>
    </w:p>
    <w:p w14:paraId="144CBE2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正是以“让人民过上幸福生活”为重要目标，以毛泽东同志为主要代表的中国共产党人，团结带领广大人民开展工业化建设，开展大规模经济建设。从此，中国人民真正意义上实现了由“国家蒙辱、人民蒙难、文明蒙尘”到开创幸福生活质的飞跃，这不仅意味着民族命运的根本改变，而且为实现中华民族伟大复兴、让人民过上幸福生活奠定了坚实基础。</w:t>
      </w:r>
    </w:p>
    <w:p w14:paraId="69CA83CB">
      <w:pPr>
        <w:pStyle w:val="6"/>
        <w:bidi w:val="0"/>
        <w:ind w:firstLine="500" w:firstLineChars="0"/>
        <w:rPr>
          <w:rFonts w:hint="eastAsia" w:ascii="宋体" w:hAnsi="宋体" w:eastAsia="宋体" w:cs="宋体"/>
          <w:snapToGrid w:val="0"/>
          <w:color w:val="231F20"/>
          <w:spacing w:val="0"/>
          <w:w w:val="100"/>
          <w:kern w:val="0"/>
          <w:position w:val="0"/>
          <w:sz w:val="21"/>
          <w:szCs w:val="21"/>
          <w:lang w:val="en-US" w:eastAsia="en-US" w:bidi="ar-SA"/>
        </w:rPr>
      </w:pPr>
      <w:r>
        <w:rPr>
          <w:rFonts w:hint="eastAsia" w:ascii="宋体" w:hAnsi="宋体" w:eastAsia="宋体" w:cs="宋体"/>
          <w:snapToGrid w:val="0"/>
          <w:color w:val="231F20"/>
          <w:spacing w:val="0"/>
          <w:w w:val="100"/>
          <w:kern w:val="0"/>
          <w:position w:val="0"/>
          <w:sz w:val="21"/>
          <w:szCs w:val="21"/>
          <w:lang w:val="en-US" w:eastAsia="en-US" w:bidi="ar-SA"/>
        </w:rPr>
        <w:t>（三）推进现代化：共同创造幸福生活</w:t>
      </w:r>
    </w:p>
    <w:p w14:paraId="0085B83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改革开放和社会主义现代化建设新时期，我们党作出实行改革开放的重大决策，推动经济体制改革和对外开放，极大解放和发展了社会生产力，中国社会主要矛盾转变为人民日益增长的物质文化需要同落后的社会生产之间的矛盾。邓小平从社会主义建设实践和人民现实生活出发，指出社会主义不是极少数人富、大多数人穷，贫穷不是社会主义。因此，这一时期，中国共产党团结带领全国人民的主要任务和根本目标是大力发展生产力，改变国家贫穷落后的面貌，打牢人民幸福生活的物质基础。社会主义现代化建设的“各项工作都要有助于建设有中国特色的社会主义，都要以是否有助于人民的富裕幸福”“作为衡量做得对或不对的标准”。[26](p.23)党的十二大确立“建设有中国特色的社会主义”重大命题、审议通过新党章、制定社会主义现代化建设总纲领，提出使人民的物质文化生活达到小康水平。党的十三大提出“三步走”战略目标，为实现人民幸福生活提供了方向和遵循。邓小平在南方谈话中深刻概括社会主义本质，党的十四大确立了建设社会主义市场经济体制，提出要不断改善人民生活，加快改革开放和经济发展，目的都是满足人民日益增长的物质文化需要。</w:t>
      </w:r>
    </w:p>
    <w:p w14:paraId="093C42E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党的十六大上，江泽民号召全党同志和全国各族人民，要紧密团结在党中央周围，万众一心，奋发图强，把中国特色社会主义事业不断推向前进，共同创造我们的幸福生活和美好未来。[27](p.44)《在纪念辛亥革命九十周年大会上的讲话》中，江泽民指出，我们的宏图伟业，就是“振兴中华，创造十几亿中国人民的幸福生活”。[28]胡锦涛强调，群众利益无小事，坚持立党为公，执政为民，必须落实到关心群众生产生活的工作中去，[29](p.20)要始终坚持把保障和改善民生作为根本出发点和落脚点。[30]党的十七大和十八大报告中，“让人民幸福”成为关键词，“继续改善人民生活，增进人民福祉，完成时代赋予的光荣而艰巨的任务”“共同创造中国人民和中华民族更加幸福美好的未来”。幸福生活就是要实现“四心”，即“让人们生活得舒心、安心、放心，对未来有信心”。现代化发展不能走向“伊斯特林悖论”，在经济增长的同时，更要不断增强人民的幸福感，“努力实现经济发展和人民幸福同步提升”。</w:t>
      </w:r>
      <w:r>
        <w:rPr>
          <w:rStyle w:val="20"/>
          <w:rFonts w:hint="eastAsia" w:ascii="宋体" w:hAnsi="宋体" w:eastAsia="宋体" w:cs="宋体"/>
          <w:color w:val="231F20"/>
          <w:spacing w:val="0"/>
          <w:w w:val="100"/>
          <w:position w:val="0"/>
          <w:sz w:val="21"/>
          <w:szCs w:val="21"/>
        </w:rPr>
        <w:footnoteReference w:id="1053"/>
      </w:r>
    </w:p>
    <w:p w14:paraId="3DFEE71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（四）中国式现代化：过上更加幸福的生活</w:t>
      </w:r>
    </w:p>
    <w:p w14:paraId="23E0C2D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中国特色社会主义新时代，以习近平同志为核心的党中央秉持为中国人民谋幸福、为中华民族谋复兴的初心和使命，提出坚持以人民为中心的重要思想。2012年11月15日，习近平在十八届中共中央政治局常委同中外记者见面时强调，人民对美好生活的向往，就是我们的奋斗目标。[31]在党的群众路线教育实践活动中，习近平提出要让人民群众有更多“获得感”，指出要把是否促进经济社会发展、是否给人民群众带来实实在在的获得感，作为改革成效的评价标准。[32]党的十九大报告又指出，“全国各族人民团结奋斗、不断创造美好生活、逐步实现全体人民共同富裕的时代”，[33]是中国特色社会主义新时代的重要内涵之一。党的二十大科学擘画了全面建成社会主义现代化强国的宏伟蓝图，指出：“必须坚持在发展中保障和改善民生，鼓励共同奋斗创造美好生活，不断实现人民对美好生活的向往。”[34]党的二十届三中全会审议通过《中共中央关于进一步全面深化改革、推进中国式现代化的决定》，吹响了进一步全面深化改革的号角，为人民过上幸福生活开辟了更广阔前景。2024年，习近平在重庆考察时强调：“中国式现代化，民生为大。党和政府的一切工作，都是为了老百姓过上更加幸福的生活。”[35]党的十八大以来，以习近平同志为核心的</w:t>
      </w:r>
    </w:p>
    <w:p w14:paraId="0BFDA37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党中央，提出一系列治国理政新理念新思想新战略，团结带领全体人民完成全面建成小康社会的第一个百年目标，开启了强国建设、民族复兴的新征程。面对人民对美好生活的向往，新时代中国共产党人以习近平新时代中国特色社会主义思想为指导，坚持运用辩证唯物主义和历史唯物主义，不断探究“让人民过上幸福生活”的现实道路，突出问题导向，深刻提出中国式现代化，习近平指出：“带领人民创造美好生活，是我们党始终不渝的奋斗目标。”[33]“让人民过上幸福生活”，既要立足当前，也要着眼未来，习近平指出：“我们既要立足当前、直面问题，在解决人民群众最不满意的问题上下功夫；又要着眼未来、登高望远，在加强统筹谋划、强化顶层设计上着力。”[36](p.189)党的二十大报告把实现全体人民共同富裕作为中国式现代化的本质要求，提出到2035年发展总体目标要实现人的全面发展、全体人民共同富裕取得更为明显的实质性进展，同时确立了阶段性目标。</w:t>
      </w:r>
    </w:p>
    <w:p w14:paraId="0DBEEDF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党的十八大尤其是二十大以来，高质量发展扎实推进，中国式现代化迈出新的坚实步伐，人民生活质量不断改善，落实惠民举措不断推出，居民人均可支配收入与经济增长同步，教育、医疗、养老、育幼等民生事业取得新进步。2025年，政府工作报告提出，要加大保障和改善民生力度，“不断增强人民群众获得感幸福感安全感”。[37]我们坚信，一张张“民生清单”必将变成“幸福账单”。</w:t>
      </w:r>
    </w:p>
    <w:p w14:paraId="206ED43C">
      <w:pPr>
        <w:pStyle w:val="4"/>
        <w:keepNext/>
        <w:keepLines/>
        <w:pageBreakBefore w:val="0"/>
        <w:widowControl/>
        <w:kinsoku w:val="0"/>
        <w:wordWrap/>
        <w:overflowPunct/>
        <w:topLinePunct w:val="0"/>
        <w:autoSpaceDE w:val="0"/>
        <w:autoSpaceDN w:val="0"/>
        <w:bidi w:val="0"/>
        <w:adjustRightInd w:val="0"/>
        <w:snapToGrid w:val="0"/>
        <w:textAlignment w:val="baseline"/>
        <w:rPr>
          <w:rFonts w:hint="eastAsia" w:ascii="宋体" w:hAnsi="宋体" w:eastAsia="宋体" w:cs="宋体"/>
          <w:sz w:val="21"/>
          <w:szCs w:val="16"/>
        </w:rPr>
      </w:pPr>
      <w:r>
        <w:rPr>
          <w:rFonts w:hint="eastAsia" w:ascii="宋体" w:hAnsi="宋体" w:eastAsia="宋体" w:cs="宋体"/>
          <w:sz w:val="21"/>
          <w:szCs w:val="16"/>
        </w:rPr>
        <w:t>三、久久为功：以中国式现代化不断实现人民幸福生活</w:t>
      </w:r>
    </w:p>
    <w:p w14:paraId="5DE1F90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立足科学原理、遵循历史经验的实践，才是科学的。中国共产党人脚踏实地、承前启后，在推进中国式现代化的伟大实践中始终致力于让人民过上幸福生活。在强国建设、民族复兴的新征程上，要始终坚持以习近平新时代中国特色社会主义思想为指导，久久为功，不断谱写以中国式现代化实现人民幸福的新篇章。</w:t>
      </w:r>
    </w:p>
    <w:p w14:paraId="31E451D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pPr>
      <w:r>
        <w:rPr>
          <w:rFonts w:hint="eastAsia" w:ascii="宋体" w:hAnsi="宋体" w:eastAsia="宋体" w:cs="宋体"/>
          <w:color w:val="231F20"/>
          <w:spacing w:val="0"/>
          <w:w w:val="100"/>
          <w:position w:val="0"/>
          <w:sz w:val="21"/>
          <w:szCs w:val="21"/>
        </w:rPr>
        <w:t>（一）始终坚持人民至上的价值立场</w:t>
      </w:r>
    </w:p>
    <w:p w14:paraId="290BB8A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人民至上立场，就是马克思主义、科学社会主义的立场，就是全心全意为人民服务的立场。人民至上既是共产党人的世界观，也是共产党人的方法论和根本观点，是指引人民创造更加美好生活的科学遵循。自成立之日起，中国共产党就将为人民谋幸福、为民族谋复兴作为初心使命，在探索、推进社会主义现代化进程中，人民至上成为现代化建设的根本价值宗旨。马克思主义关于坚守人民立场的思想，指向的正是实现“人民幸福生活”。这一主张贯穿中国现代化建设实践，体现了中国共产党始终把“增进人民福祉、让人民过上幸福生活”作为国家发展目标，这正是无产阶级政党区别于其他政党的重要标志。</w:t>
      </w:r>
    </w:p>
    <w:p w14:paraId="08D49159">
      <w:pPr>
        <w:pStyle w:val="6"/>
        <w:keepNext w:val="0"/>
        <w:keepLines w:val="0"/>
        <w:pageBreakBefore w:val="0"/>
        <w:widowControl/>
        <w:tabs>
          <w:tab w:val="left" w:pos="4467"/>
        </w:tabs>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在革命、建设、改革进程中，我们党不断强调要为人民幸福生活而奋斗。在新民主主义革命时期，我们党提出“全心全意为人民服务”的宗旨，毛泽东号召全国各族人民“为独立自由幸福的新中国而斗争”。[17](p.357)他“为实现中华民族独立和振兴、中国人民解</w:t>
      </w:r>
      <w:r>
        <w:rPr>
          <w:rFonts w:hint="eastAsia" w:ascii="宋体" w:hAnsi="宋体" w:eastAsia="宋体" w:cs="宋体"/>
          <w:spacing w:val="0"/>
          <w:w w:val="100"/>
          <w:position w:val="0"/>
          <w:sz w:val="21"/>
          <w:szCs w:val="21"/>
        </w:rPr>
        <w:tab/>
      </w:r>
      <w:r>
        <w:rPr>
          <w:rFonts w:hint="eastAsia" w:ascii="宋体" w:hAnsi="宋体" w:eastAsia="宋体" w:cs="宋体"/>
          <w:color w:val="231F20"/>
          <w:spacing w:val="0"/>
          <w:w w:val="100"/>
          <w:position w:val="0"/>
          <w:sz w:val="21"/>
          <w:szCs w:val="21"/>
        </w:rPr>
        <w:t>放和幸福，作出了彪炳史册的贡献”。[38](p.691)邓小平指出，民主革命完成后，就要“建设共产主义的幸福生活。这就是中国共产党员的含意和任务”。[39](p.257)邓小平始终把为人民谋幸福作为检验我们一切工作的标准和制定路</w:t>
      </w:r>
      <w:r>
        <w:rPr>
          <w:rFonts w:hint="eastAsia" w:ascii="宋体" w:hAnsi="宋体" w:eastAsia="宋体" w:cs="宋体"/>
          <w:spacing w:val="0"/>
          <w:w w:val="100"/>
          <w:position w:val="0"/>
          <w:sz w:val="21"/>
          <w:szCs w:val="21"/>
        </w:rPr>
        <w:tab/>
      </w:r>
      <w:r>
        <w:rPr>
          <w:rFonts w:hint="eastAsia" w:ascii="宋体" w:hAnsi="宋体" w:eastAsia="宋体" w:cs="宋体"/>
          <w:color w:val="231F20"/>
          <w:spacing w:val="0"/>
          <w:w w:val="100"/>
          <w:position w:val="0"/>
          <w:sz w:val="21"/>
          <w:szCs w:val="21"/>
        </w:rPr>
        <w:t>线、方针、政策的出发点。他为中国人民创造幸福生活注入改革动能，“热爱人民、心系人民，始终对人民群众怀着无比深厚的感情，把为中国人民谋幸福作为毕生奋斗的目标”。[40](p.132)“如果没有邓小平同志，中国人民就不可能有今天的新生活，中国就不可能有今天改革开放的新局面和社会主义现代化的光明前景。”[41](p.628)江泽民尊重群众、关心群众，总是高度关注人民群众安危冷暖，依据最广大人民根本利益来检验和推动工作。[42]胡锦涛深刻指出，“牢记全心全意为人民服务的宗旨，始终不渝为最广大人民谋利益”“做到权为民所用、情为民所系、利为民所谋”“带领群众创造自己的幸福生活”。[40](pp.8-9)</w:t>
      </w:r>
    </w:p>
    <w:p w14:paraId="6AC413F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党的十八大以来，习近平鲜明提出“以人民为中心”发展思想，将中国共产党人的价值宗旨集中表述为，“中国共产党人的初心和使命，就是为中国人民谋幸福，为中华民族谋复兴”。[43](p.1)这成为习近平新时代中国特色社会主义思想的核心价值主线。习近平在河北正定工作时为《正定县大事记（1949—1983）》作序指出，我们应“从历史中吸取正反两方面的经验，探索建设有中国特色的社会主义的客观规律，自觉地为国家繁荣昌盛、人民富裕幸福而奋斗。我们应该严肃认真地完成这一项历史责任”。[44](p.184)他在浙江工作期间指出：“让百姓过上富裕安康幸福的生活，不断提高人民群众的生活水平和质量，是我们发展的根本目的。”[45](p.169)党的十九大报告指出：“增进民生福祉是发展的根本目的。”[33](p.18)关于持续增进民生幸福，提出到2029年要实现“推动人的全面发展、全体人民共同富裕取得更为明显的实质性进展”的目标；[46](p.5)到21世纪中叶“我国人民将享有更加幸福安康的生活”。[43](p.23)习近平为推进中国式现代化、让人民过上幸福生活擘画了未来图景，充分体现了推进中国式现代化的根本立场。</w:t>
      </w:r>
    </w:p>
    <w:p w14:paraId="3E6B004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color w:val="231F20"/>
          <w:spacing w:val="0"/>
          <w:w w:val="100"/>
          <w:position w:val="0"/>
          <w:sz w:val="21"/>
          <w:szCs w:val="21"/>
        </w:rPr>
      </w:pPr>
      <w:r>
        <w:rPr>
          <w:rFonts w:hint="eastAsia" w:ascii="宋体" w:hAnsi="宋体" w:eastAsia="宋体" w:cs="宋体"/>
          <w:color w:val="231F20"/>
          <w:spacing w:val="0"/>
          <w:w w:val="100"/>
          <w:position w:val="0"/>
          <w:sz w:val="21"/>
          <w:szCs w:val="21"/>
        </w:rPr>
        <w:t>（二）始终牢记“改造世界”的最终目的</w:t>
      </w:r>
    </w:p>
    <w:p w14:paraId="06AD30E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一，要坚持解放和发展生产力，推动新质生产力发展，以创新引领改造世界，为幸福生活奠定物质基础。习近平指出：“历史唯物主义作为马克思主义哲学的重要组成部分，是关于人类社会发展一般规律的科学。在革命、建设、改革各个历史时期，我们党运用历史唯物主义，系统、具体、历史地分析中国社会运动及其发展规律，在认识世界和改造世界过程中不断把握规律、积极运用规律，推动党和人民事业取得了一个又一个胜利。”[47]在社会主义历史实践中，历史唯物主义对中国现代化建设起到了引领和规范作用，使之具有马克思主义哲学底蕴和特质。恩格斯总结道：“唯物主义历史观从下述原理出发：生产以及随生产而来的产品交换是一切社会制度的基础；在每个历史地出现的社会中，产品分配以及和它相伴随的社会之划分为阶级或等级，是由生产什么、怎样生产以及怎样交换产品来决定的。”[48](p.547)可见，物质生产力是全部社会生活的物质前提，“让人民过上幸福生活”，要求我们按照历史唯物主义的基本观点，在新征程伟大实践中不断推动经济建设，实现高质量发展，展现“让人民过上幸福生活”的现实性。</w:t>
      </w:r>
    </w:p>
    <w:p w14:paraId="0DFFC5F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第二，要不断塑造与生产力发展相适应、实现人的自由全面发展的生产关系。改造世界的最终目的在于克服“至今一直统治着历史的客观的异己的力量”，使之“完全自觉地自己创造自己的历史”。[49](p.300)习近平指出：“把增进人民福祉、促进人的全面发展、朝着共同富裕方向稳步前进作为经济发展的出发点和落脚点。这一点，我们任何时候都不能忘记，部署经济工作、制定经济政策、推动经济发展都要牢牢坚持这个根本立场。”[50](p.4)中国式现代化是“让人民过上幸福生活”的社会主义道路，与西方资本主义现代化有着本质区别。在现代资本主义社会，剩余价值规律决定生产的唯一目的就是实现资本增殖。“生产剩余价值或赚钱，是这个生产方式的绝对规律。”[5](p.714)资本无限增殖的本性成为推动资本主义现代化的强劲动力，但资本主义始终无法解决资本与劳动的对立。资本对劳动的剥削，导致工人“在自己的劳动中不是肯定自己，而是否定自己，不是感到幸福，而是感到不幸”[12](p.159)的生存状态。资本至上的现代化，尽管创造了丰裕的物质基础，并通过社会福利制度在一定程度上缓和了阶级矛盾，但“资产阶级提供的社会福利是虚假的，它只是对工人阶级实行的一种控制和补偿的手段”，[51]不改变资本与劳动的对立，只能导向奴役性社会关系。</w:t>
      </w:r>
    </w:p>
    <w:p w14:paraId="6151FE6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马克思揭示了资本主义经济运行规律，指出工人贫困的根源在于资本主义生产关系，无产阶级要获得解放、过上幸福的生活，必须改变资本主义生产关系和社会关系。因此，在马克思看来，唯有对现代资本主义社会的生产关系进行彻底革命，才能从根本上解放生产力、实现人的本质的复归，达到增进人民幸福的目标，实现人的自由全面发展。毛泽东创造性提出新民主主义经济纲领，在社会主义建设探索中提出社会主义社会的生产目的论，提出以农业为基础、工业为主导、农轻重协调发展等重要观点；邓小平提出“发展才是硬道理”的著名论断，提出社会主义本质论和社会主义初级阶段论；江泽民提出“三个代表”重要思想，强调中国共产党要始终代表中国最广大人民的根本利益，在社会不断发展进步基础上，使人民群众不断获得切实的经济、政治、文化利益；胡锦涛提出科学发展观，强调把发展的目的真正落实于满足人民需要、提高人民生活水平，加快解决民生领域的突出问题；习近平提出新发展理念、新质生产力和新质生产关系，推动新型工业化、信息化、城镇化、农业现代化同步发展和区域协调发展等，这些理论有力指导了我国经济发展实践，成功推进了中国式现代化。</w:t>
      </w:r>
    </w:p>
    <w:p w14:paraId="021D34E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（三）始终立足实际提炼总结新理论</w:t>
      </w:r>
    </w:p>
    <w:p w14:paraId="10CE036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习近平指出：“我们要立足我国国情和我们的发展实践，深入研究世界经济和我国经济面临的新情况新问题，揭示新特点新规律，提炼和总结我国经济发展实践的规律性成果，把实践经验上升为系统化的经济学说。”[50](p.7)在革命、建设、改革的伟大实践中，中华民族迎来从站起来、富起来到强起来的历史性飞跃，“摒弃了西方以资本为中心的现代化、两极分化的现代化、物质主义膨胀的现代化、对外扩张掠夺的现代化老路”，[52](p.553)跨越了资本主义制度的“卡夫丁峡谷”，瓦解了“历史终结论”，揭示了超越资本逻辑的未来路径，开启了新的发展。在西方现代化发展过程中，资本是一切社会活动的支配力量，其他的一切包括个人都只能是追求资本利益最大化的手段。那么西方现代化所带来的所谓社会和文明的进步，只能是“使物质力量成为有智慧的生命，而人的生命则化为愚钝的物质力量”。[7](p.580)而由中国共产党领导的中国式现代化则坚持以马克思主义为指导，秉承“民贵君轻、政在养民”的民本思想。资本主义社会中人与人之间的关系被异化为商品交换关系，人们之间的交往主要被利益所支配，这导致西方现代化的发展背离了现代化宗旨和目标，而中国共产党人将“为人民谋幸福、为民族谋复兴”作为初心使命，“推翻使人成为被侮辱、被奴役、被遗弃和被蔑视的东西的一切关系”，[12](p.10)并通过以社会主义基本经济制度和社会主义市场经济为基本标识的现代化，将资本主义的功利性、竞争性和异化性关系转变为以共同富裕和共享幸福为导向的关系。这种转变使人与人之间不再是简单对立或利益博弈，而是一种互相尊重、支持的关系，不断朝向人的本质复归。</w:t>
      </w:r>
    </w:p>
    <w:p w14:paraId="05B5297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马克思指出：“人即使不像亚里士多德所说的那样，天生是政治动物，无论如何也天生是社会动物。”[5](p.379)唯有真正依托于社会关系之中的人，把全体人民力量凝聚在社会整体意义上，才能真正让人民过上幸福生活。因此，“人民幸福生活”并不被视为一种抽象目标，更是作为人民的现实生活和社会实践的具体追求。这一过程是通过“实践—意识”辩证循环不断展开和深化，旨在超越资本主义现代化带来的挑战，特别是抵御资本主义社会的价值虚无和意义丧失，为现代化建设构建了一幅反思、扬弃与超越“现代性”的社会图景，更构建了一幅深度切中马克思追求的实现“人民幸福生活”的社会图景。</w:t>
      </w:r>
    </w:p>
    <w:p w14:paraId="43A8AD4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31203A3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[参考文献]</w:t>
      </w:r>
    </w:p>
    <w:p w14:paraId="2B9657F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[1]国家主席习近平发表二〇二五年新年贺词[N].人民日报，2025-01-01.</w:t>
      </w:r>
    </w:p>
    <w:p w14:paraId="61657D7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[2]习近平.把握新发展阶段，贯彻新发展理念，构建新发展格局[J].求是，2021，(9).</w:t>
      </w:r>
    </w:p>
    <w:p w14:paraId="6F35F71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[3]中共中央文献编辑委员会编.习近平著作选读(第1卷)[M].北京：人民出版社，2023.</w:t>
      </w:r>
    </w:p>
    <w:p w14:paraId="3D5AF7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[4]习近平谈治国理政(第4卷)[M].北京：外文出版社，2022.</w:t>
      </w:r>
    </w:p>
    <w:p w14:paraId="1B0DAA7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[5]马克思恩格斯文集(第5卷)[M].北京：人民出版社，2009.</w:t>
      </w:r>
    </w:p>
    <w:p w14:paraId="438C200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[6][美]戴维·哈维.后现代的状况：对文化变迁之缘起的探究[M].阎嘉译，北京：商务印书馆，2003.</w:t>
      </w:r>
    </w:p>
    <w:p w14:paraId="63C267C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[7]马克思恩格斯文集(第2卷)[M].北京：人民出版社，2009.</w:t>
      </w:r>
    </w:p>
    <w:p w14:paraId="61F3730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[8]马克思恩格斯全集(第30卷)[M].北京：人民出版社，1995.</w:t>
      </w:r>
    </w:p>
    <w:p w14:paraId="40EB0C4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[9]马克思恩格斯选集(第2卷)[M].北京：人民出版社，2012.</w:t>
      </w:r>
    </w:p>
    <w:p w14:paraId="4A5B93E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[10]马克思恩格斯全集(第20卷)[M].北京：人民出版社，2002.</w:t>
      </w:r>
    </w:p>
    <w:p w14:paraId="6AA7940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[11]马克思恩格斯文集(第1卷)[M].北京：人民出版社，2009.</w:t>
      </w:r>
    </w:p>
    <w:p w14:paraId="219A18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[12]马克思恩格斯选集(第1卷)[M].北京：人民出版社，2012.</w:t>
      </w:r>
    </w:p>
    <w:p w14:paraId="6C942D4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[13][英]伯尔基.马克思主义的起源[M].伍庆译，上海：华东师范大学出版社，2007.</w:t>
      </w:r>
    </w:p>
    <w:p w14:paraId="3B9CC6E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[14]中共中央党史和文献研究院编.二十大以来重要文献选编(上卷)[M].北京：中央文献出版社，2024.</w:t>
      </w:r>
    </w:p>
    <w:p w14:paraId="33D90CF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[15]孙中山全集(第2卷)[M].北京：中华书局，1982.</w:t>
      </w:r>
    </w:p>
    <w:p w14:paraId="3EE6F3B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[16]孙中山全集(第10卷)[M].北京：中华书局，1986.</w:t>
      </w:r>
    </w:p>
    <w:p w14:paraId="2707BA4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[17]毛泽东选集(第2卷)[M].北京：人民出版社，1991.</w:t>
      </w:r>
    </w:p>
    <w:p w14:paraId="5AB21D4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[18]习近平.在纪念孔子诞辰2565周年国际学术研讨会暨国际儒学联合会第五届会员大会开幕会上的讲话[N].人民日报，2014-09-25.</w:t>
      </w:r>
    </w:p>
    <w:p w14:paraId="4D30687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[19]马克思恩格斯全集(第42卷)[M].北京：人民出版社，1979.</w:t>
      </w:r>
    </w:p>
    <w:p w14:paraId="149900F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[20]中共中央关于党的百年奋斗重大成就和历史经验的决议[M].北京：人民出版社，2021.</w:t>
      </w:r>
    </w:p>
    <w:p w14:paraId="0A2B43C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[21]毛泽东文集(第1卷)[M].北京：人民出版社，1996.</w:t>
      </w:r>
    </w:p>
    <w:p w14:paraId="08F0E2E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[22]中共中央文献研究室编.建国以来重要文献选编(第5册)[M].北京：中央文献出版社，1993.</w:t>
      </w:r>
    </w:p>
    <w:p w14:paraId="52C7CF0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[23]中共中央文献研究室编.建国以来刘少奇文稿(第2册)[M].北京：中央文献出版社，2005.</w:t>
      </w:r>
    </w:p>
    <w:p w14:paraId="20F04AF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[24]中共中央文献研究室编.建国以来刘少奇文稿(第5册)[M].北京：中央文献出版社，2008．</w:t>
      </w:r>
    </w:p>
    <w:p w14:paraId="2BE7A44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[25]刘少奇选集(下卷)[M].北京：人民出版社，1985.</w:t>
      </w:r>
    </w:p>
    <w:p w14:paraId="0294D72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[26]邓小平文选(第3卷)[M].北京：人民出版社，1993.</w:t>
      </w:r>
    </w:p>
    <w:p w14:paraId="3ECFD5F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[27]中共中央文献研究室编.十六大以来重要文献选编(上)[M].北京：中央文献出版社，2005.</w:t>
      </w:r>
    </w:p>
    <w:p w14:paraId="4D7BFB0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[28]江泽民.在纪念辛亥革命九十周年大会上的讲话[N].人民日报，2001-10-10.</w:t>
      </w:r>
    </w:p>
    <w:p w14:paraId="134A49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[29]胡锦涛.在“三个代表”重要思想理论研讨会上的讲话[M].北京：中央文献出版社，2003.</w:t>
      </w:r>
    </w:p>
    <w:p w14:paraId="1B18D3C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[30]胡锦涛.深入贯彻落实党的十七届五中全会精神不断开创中国特色社会主义事业新局面[J].求是，2011，(1).</w:t>
      </w:r>
    </w:p>
    <w:p w14:paraId="0CE92DC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[31]习近平在十八届中共中央政治局常委同中外记者见面时强调人民对美好生活的向往就是我们的奋斗目标[N].人民日报，2012-11-16.</w:t>
      </w:r>
    </w:p>
    <w:p w14:paraId="2574B02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[32]习近平主持召开中央全面深化改革领导小组第二十一次会议强调深入扎实抓好改革落实工作盯着抓反复抓直到抓出成效[N].人民日报，2016-02-24.</w:t>
      </w:r>
    </w:p>
    <w:p w14:paraId="7D8A028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[33]习近平.决胜全面建成小康社会夺取新时代中国特色社会主义伟大胜利——在中国共产党第十九次全国代表大会上的报告[N].人民日报，2017-10-28.</w:t>
      </w:r>
    </w:p>
    <w:p w14:paraId="25BAC2C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[34]习近平.高举中国特色社会主义伟大旗帜为全面建设社会主义现代化国家而团结奋斗——在中国共产党第二十次全国代表大会上的报告[N].人民日报，2022-10-26.</w:t>
      </w:r>
    </w:p>
    <w:p w14:paraId="5A45F94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[35]习近平在重庆考察时强调进一步全面深化改革开放不断谱写中国式现代化重庆篇章[N].人民日报，2024-04-25.</w:t>
      </w:r>
    </w:p>
    <w:p w14:paraId="74EFCA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[36]中共中央党史和文献研究院编.十九大以来重要文献选编(上)[M].北京：中央文献出版社，2019.</w:t>
      </w:r>
    </w:p>
    <w:p w14:paraId="35E0AA3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[37]李强作的政府工作报告(摘登)[N].人民日报，2025-03-06.</w:t>
      </w:r>
    </w:p>
    <w:p w14:paraId="29230BB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[38]中共中央文献研究室编.十八大以来重要文献选编(上)[M].北京：中央文献出版社，2014.</w:t>
      </w:r>
    </w:p>
    <w:p w14:paraId="0CDCB98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[39]邓小平文选(第1卷)[M].北京：人民出版社，1994.</w:t>
      </w:r>
    </w:p>
    <w:p w14:paraId="361F7BF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[40]胡锦涛文选(第2卷)[M].北京：人民出版社，2016.</w:t>
      </w:r>
    </w:p>
    <w:p w14:paraId="30D73D3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[41]江泽民文选(第l卷)[M].北京：人民出版社，2006.</w:t>
      </w:r>
    </w:p>
    <w:p w14:paraId="2FAD74A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[42]习近平.在江泽民同志追悼大会上的悼词[N].人民日报，2022-12-07.</w:t>
      </w:r>
    </w:p>
    <w:p w14:paraId="27A1E2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[43]习近平谈治国理政(第3卷)[M].北京：外文出版社，2020.</w:t>
      </w:r>
    </w:p>
    <w:p w14:paraId="5969CDD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[44]习近平.知之深爱之切[M].石家庄：河北人民出版社，2015.</w:t>
      </w:r>
    </w:p>
    <w:p w14:paraId="09386D6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[45]习近平.干在实处走在前列：推进浙江新发展的思考与实践[M].北京：中共中央党校出版社，2006.</w:t>
      </w:r>
    </w:p>
    <w:p w14:paraId="5E745E9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[46]中共中央关于进一步全面深化改革推进中国式现代化的决定[M].北京：人民出版社，2024.</w:t>
      </w:r>
    </w:p>
    <w:p w14:paraId="2D12900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[47]习近平.坚持历史唯物主义不断开辟当代中国马克思主义发展新境界[J].求是，2020，(2).</w:t>
      </w:r>
    </w:p>
    <w:p w14:paraId="6BBBBBD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[48]马克思恩格斯文集(第3卷)[M].北京：人民出版社，2009.</w:t>
      </w:r>
    </w:p>
    <w:p w14:paraId="116BCF5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[49]马克思恩格斯文集(第9卷)[M].北京：人民出版社，2009.</w:t>
      </w:r>
    </w:p>
    <w:p w14:paraId="156E349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[50]中共中央党史和文献研究院编.十八大以来重要文献选编(下)[M].北京：中央文献出版社，2018.</w:t>
      </w:r>
    </w:p>
    <w:p w14:paraId="4184A56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[51]张清议，侯为民.马克思恩格斯社会福利思想及其当代启示[J].政治经济学研究，2024，(1).</w:t>
      </w:r>
    </w:p>
    <w:p w14:paraId="57D921F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r>
        <w:rPr>
          <w:rFonts w:hint="eastAsia" w:ascii="宋体" w:hAnsi="宋体" w:eastAsia="宋体" w:cs="宋体"/>
          <w:color w:val="231F20"/>
          <w:spacing w:val="0"/>
          <w:w w:val="100"/>
          <w:position w:val="0"/>
          <w:sz w:val="21"/>
          <w:szCs w:val="21"/>
        </w:rPr>
        <w:t>[52]中共中央文献编辑委员会编.习近平著作选读(第2卷)[M].北京：人民出版社，2023.</w:t>
      </w:r>
    </w:p>
    <w:p w14:paraId="05FB7FD3">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ascii="微软雅黑" w:hAnsi="微软雅黑" w:eastAsia="宋体" w:cs="微软雅黑"/>
          <w:spacing w:val="0"/>
          <w:w w:val="100"/>
          <w:position w:val="0"/>
          <w:sz w:val="21"/>
          <w:szCs w:val="21"/>
        </w:rPr>
      </w:pPr>
    </w:p>
    <w:p w14:paraId="5E80090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11CE39B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28D5912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lang w:eastAsia="zh-CN"/>
        </w:rPr>
      </w:pPr>
    </w:p>
    <w:p w14:paraId="7DF9C39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sz w:val="21"/>
          <w:szCs w:val="21"/>
        </w:rPr>
      </w:pPr>
    </w:p>
    <w:p w14:paraId="7E239FA7">
      <w:pPr>
        <w:pStyle w:val="2"/>
        <w:bidi w:val="0"/>
        <w:jc w:val="center"/>
        <w:rPr>
          <w:rFonts w:hint="default"/>
        </w:rPr>
      </w:pPr>
      <w:bookmarkStart w:id="865" w:name="_Toc1863300215"/>
      <w:bookmarkStart w:id="866" w:name="_Toc11038931"/>
      <w:bookmarkStart w:id="867" w:name="_Toc3430"/>
      <w:bookmarkStart w:id="868" w:name="_Toc222142726"/>
      <w:bookmarkStart w:id="869" w:name="_Toc1834187376"/>
      <w:bookmarkStart w:id="870" w:name="_Toc903885229"/>
      <w:r>
        <w:rPr>
          <w:rFonts w:hint="eastAsia"/>
          <w:lang w:val="en-US" w:eastAsia="zh-CN"/>
        </w:rPr>
        <w:t>19</w:t>
      </w:r>
      <w:r>
        <w:rPr>
          <w:rFonts w:hint="default"/>
        </w:rPr>
        <w:t>纠治形式主义、官僚主义的根本遵循</w:t>
      </w:r>
      <w:bookmarkEnd w:id="865"/>
      <w:bookmarkEnd w:id="866"/>
      <w:bookmarkEnd w:id="867"/>
      <w:bookmarkEnd w:id="868"/>
      <w:bookmarkEnd w:id="869"/>
      <w:bookmarkEnd w:id="870"/>
    </w:p>
    <w:p w14:paraId="00EAE47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pPr>
    </w:p>
    <w:p w14:paraId="05A5A2D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sectPr>
          <w:headerReference r:id="rId28" w:type="default"/>
          <w:footnotePr>
            <w:numFmt w:val="decimalEnclosedCircleChinese"/>
            <w:numRestart w:val="eachPage"/>
          </w:footnotePr>
          <w:type w:val="continuous"/>
          <w:pgSz w:w="12246" w:h="16498"/>
          <w:pgMar w:top="400" w:right="1517" w:bottom="0" w:left="432" w:header="0" w:footer="0" w:gutter="0"/>
          <w:pgNumType w:fmt="decimal"/>
          <w:cols w:equalWidth="0" w:num="1">
            <w:col w:w="10297"/>
          </w:cols>
        </w:sectPr>
      </w:pPr>
    </w:p>
    <w:p w14:paraId="4BE58CD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0"/>
        </w:rPr>
        <w:t>形式主义、官僚主义是党风建设的顽疾，严</w:t>
      </w:r>
      <w:r>
        <w:rPr>
          <w:rFonts w:hint="default" w:ascii="Times New Roman" w:hAnsi="Times New Roman" w:eastAsia="宋体" w:cs="Times New Roman"/>
          <w:color w:val="231F20"/>
          <w:spacing w:val="9"/>
        </w:rPr>
        <w:t>重损害党的形象和公信力。党的十八大以来，以习近平同志为核心的党中央以中央八项规定为破题之举，开启了作风建设新篇章。然而，形式主义、官僚主义具有顽固性和变异性，不断以新形态出现，必须深刻认识二者的区别与联系，精准施策、靶向治疗，以中央八项规定精神为根本遵循，为全面建设社会主义现代化国家提供坚强作</w:t>
      </w:r>
      <w:r>
        <w:rPr>
          <w:rFonts w:hint="default" w:ascii="Times New Roman" w:hAnsi="Times New Roman" w:eastAsia="宋体" w:cs="Times New Roman"/>
          <w:color w:val="231F20"/>
          <w:spacing w:val="-5"/>
        </w:rPr>
        <w:t>风保障。</w:t>
      </w:r>
    </w:p>
    <w:p w14:paraId="49E8A7D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center"/>
        <w:textAlignment w:val="baseline"/>
        <w:rPr>
          <w:rFonts w:hint="default" w:ascii="Times New Roman" w:hAnsi="Times New Roman" w:eastAsia="宋体" w:cs="Times New Roman"/>
          <w:sz w:val="22"/>
          <w:szCs w:val="22"/>
        </w:rPr>
      </w:pPr>
      <w:r>
        <w:rPr>
          <w:rFonts w:hint="default" w:ascii="Times New Roman" w:hAnsi="Times New Roman" w:eastAsia="宋体" w:cs="Times New Roman"/>
          <w:color w:val="D7171F"/>
          <w:sz w:val="22"/>
          <w:szCs w:val="22"/>
        </w:rPr>
        <w:t>直面挑战，认清新型样态</w:t>
      </w:r>
    </w:p>
    <w:p w14:paraId="1C0684E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1B9A23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rPr>
        <w:t>从传统上，官僚主义与形式主义被视为两种不</w:t>
      </w:r>
      <w:r>
        <w:rPr>
          <w:rFonts w:hint="default" w:ascii="Times New Roman" w:hAnsi="Times New Roman" w:eastAsia="宋体" w:cs="Times New Roman"/>
          <w:color w:val="231F20"/>
          <w:spacing w:val="-1"/>
        </w:rPr>
        <w:t>同的作风问题，但在实践中，二者已经相互</w:t>
      </w:r>
      <w:r>
        <w:rPr>
          <w:rFonts w:hint="default" w:ascii="Times New Roman" w:hAnsi="Times New Roman" w:eastAsia="宋体" w:cs="Times New Roman"/>
          <w:color w:val="231F20"/>
          <w:spacing w:val="-2"/>
        </w:rPr>
        <w:t>交织、</w:t>
      </w:r>
      <w:r>
        <w:rPr>
          <w:rFonts w:hint="default" w:ascii="Times New Roman" w:hAnsi="Times New Roman" w:eastAsia="宋体" w:cs="Times New Roman"/>
          <w:color w:val="231F20"/>
          <w:spacing w:val="-1"/>
        </w:rPr>
        <w:t>彼此强化，正如邓小平同志指出：“形式主义也是</w:t>
      </w:r>
      <w:r>
        <w:rPr>
          <w:rFonts w:hint="default" w:ascii="Times New Roman" w:hAnsi="Times New Roman" w:eastAsia="宋体" w:cs="Times New Roman"/>
          <w:color w:val="231F20"/>
          <w:spacing w:val="3"/>
        </w:rPr>
        <w:t>官僚主义。”</w:t>
      </w:r>
      <w:r>
        <w:rPr>
          <w:rFonts w:hint="default" w:ascii="Times New Roman" w:hAnsi="Times New Roman" w:eastAsia="宋体" w:cs="Times New Roman"/>
          <w:color w:val="231F20"/>
          <w:spacing w:val="3"/>
          <w:position w:val="8"/>
          <w:sz w:val="11"/>
          <w:szCs w:val="11"/>
        </w:rPr>
        <w:t>[1]</w:t>
      </w:r>
      <w:r>
        <w:rPr>
          <w:rFonts w:hint="default" w:ascii="Times New Roman" w:hAnsi="Times New Roman" w:eastAsia="宋体" w:cs="Times New Roman"/>
          <w:color w:val="231F20"/>
          <w:spacing w:val="3"/>
        </w:rPr>
        <w:t>官僚主义是形式主义的根源，形式</w:t>
      </w:r>
      <w:r>
        <w:rPr>
          <w:rFonts w:hint="default" w:ascii="Times New Roman" w:hAnsi="Times New Roman" w:eastAsia="宋体" w:cs="Times New Roman"/>
          <w:color w:val="231F20"/>
          <w:spacing w:val="-1"/>
        </w:rPr>
        <w:t>主义则是官僚主义的必然产物。官僚主义的实质是</w:t>
      </w:r>
      <w:r>
        <w:rPr>
          <w:rFonts w:hint="default" w:ascii="Times New Roman" w:hAnsi="Times New Roman" w:eastAsia="宋体" w:cs="Times New Roman"/>
          <w:color w:val="231F20"/>
          <w:spacing w:val="9"/>
        </w:rPr>
        <w:t>只关心职位不关心工作，有权不担责；形式主义</w:t>
      </w:r>
      <w:r>
        <w:rPr>
          <w:rFonts w:hint="default" w:ascii="Times New Roman" w:hAnsi="Times New Roman" w:eastAsia="宋体" w:cs="Times New Roman"/>
          <w:color w:val="231F20"/>
          <w:spacing w:val="-1"/>
        </w:rPr>
        <w:t>的核心则是注重表面不重视实效，讲究形式忽视内容。这种恶性循环使形式主义成为官僚主义者保住位子的最佳工具，而官僚主义者又成了形式主义滋长的坚强后盾。两者相互依存，共同损害政府工作的实际效能和公信力，已成为党的作风建设中亟须</w:t>
      </w:r>
      <w:r>
        <w:rPr>
          <w:rFonts w:hint="default" w:ascii="Times New Roman" w:hAnsi="Times New Roman" w:eastAsia="宋体" w:cs="Times New Roman"/>
          <w:color w:val="231F20"/>
          <w:spacing w:val="-4"/>
        </w:rPr>
        <w:t>破解的难题。</w:t>
      </w:r>
    </w:p>
    <w:p w14:paraId="699745F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
        </w:rPr>
        <w:t>官僚主义的新型样态。“笑面官僚主义”成为最具欺骗性的新形态，与传统“门难进、脸</w:t>
      </w:r>
      <w:r>
        <w:rPr>
          <w:rFonts w:hint="default" w:ascii="Times New Roman" w:hAnsi="Times New Roman" w:eastAsia="宋体" w:cs="Times New Roman"/>
          <w:color w:val="231F20"/>
          <w:spacing w:val="-2"/>
        </w:rPr>
        <w:t>难看、</w:t>
      </w:r>
      <w:r>
        <w:rPr>
          <w:rFonts w:hint="default" w:ascii="Times New Roman" w:hAnsi="Times New Roman" w:eastAsia="宋体" w:cs="Times New Roman"/>
          <w:color w:val="231F20"/>
          <w:spacing w:val="-1"/>
        </w:rPr>
        <w:t>事难办”不同，这种新型官僚主义披着服务外衣，表面笑容可掬、彬彬有礼，实则推诿扯皮、敷衍塞责。这类干部善于设置“温柔陷阱”，通过繁复流程让群众疲于奔命。其危害性主要体现在：一是信息不透明，故意模糊处理标准和时限；二是糊弄应付，以“正在研究”“努力解决”等托词搪塞；三是推诿避责，在部门间“踢皮球”。这种“笑里藏</w:t>
      </w:r>
      <w:r>
        <w:rPr>
          <w:rFonts w:hint="default" w:ascii="Times New Roman" w:hAnsi="Times New Roman" w:eastAsia="宋体" w:cs="Times New Roman"/>
          <w:color w:val="231F20"/>
          <w:spacing w:val="9"/>
        </w:rPr>
        <w:t>刀”式官僚主义比传统形式更具欺骗性，群</w:t>
      </w:r>
      <w:r>
        <w:rPr>
          <w:rFonts w:hint="default" w:ascii="Times New Roman" w:hAnsi="Times New Roman" w:eastAsia="宋体" w:cs="Times New Roman"/>
          <w:color w:val="231F20"/>
          <w:spacing w:val="8"/>
        </w:rPr>
        <w:t>众往</w:t>
      </w:r>
      <w:r>
        <w:rPr>
          <w:rFonts w:hint="default" w:ascii="Times New Roman" w:hAnsi="Times New Roman" w:eastAsia="宋体" w:cs="Times New Roman"/>
          <w:color w:val="231F20"/>
          <w:spacing w:val="-2"/>
        </w:rPr>
        <w:t>往被表面的亲和力迷惑，难以察觉其本质。</w:t>
      </w:r>
    </w:p>
    <w:p w14:paraId="2AB3517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
        </w:rPr>
        <w:t>权力寻租呈现隐蔽化特征。一些干部将公权力</w:t>
      </w:r>
      <w:r>
        <w:rPr>
          <w:rFonts w:hint="default" w:ascii="Times New Roman" w:hAnsi="Times New Roman" w:eastAsia="宋体" w:cs="Times New Roman"/>
          <w:color w:val="231F20"/>
          <w:spacing w:val="9"/>
        </w:rPr>
        <w:t>视为谋取私利的工具，但手段更加隐蔽。他们不再明目张胆“吃拿卡要”，而是通过设置不合理门槛、人为制造困难等方式，迫使群众寻求“特</w:t>
      </w:r>
      <w:r>
        <w:rPr>
          <w:rFonts w:hint="default" w:ascii="Times New Roman" w:hAnsi="Times New Roman" w:eastAsia="宋体" w:cs="Times New Roman"/>
          <w:color w:val="231F20"/>
          <w:spacing w:val="8"/>
        </w:rPr>
        <w:t>殊通道”。这种隐性权力寻租更难发现和查处。</w:t>
      </w:r>
      <w:r>
        <w:rPr>
          <w:rFonts w:hint="default" w:ascii="Times New Roman" w:hAnsi="Times New Roman" w:eastAsia="宋体" w:cs="Times New Roman"/>
          <w:color w:val="231F20"/>
          <w:spacing w:val="9"/>
        </w:rPr>
        <w:t>选择性作为成为新的避责方式。部分干部对上级交办、媒体关注的事项高度重视，对普通群众诉求则消极应对。这种“看人下菜碟”的做法，本</w:t>
      </w:r>
      <w:r>
        <w:rPr>
          <w:rFonts w:hint="default" w:ascii="Times New Roman" w:hAnsi="Times New Roman" w:eastAsia="宋体" w:cs="Times New Roman"/>
          <w:color w:val="231F20"/>
          <w:spacing w:val="8"/>
        </w:rPr>
        <w:t>质上是官本位思想作祟，严重损害政府公信力。</w:t>
      </w:r>
      <w:r>
        <w:rPr>
          <w:rFonts w:hint="default" w:ascii="Times New Roman" w:hAnsi="Times New Roman" w:eastAsia="宋体" w:cs="Times New Roman"/>
          <w:color w:val="231F20"/>
          <w:spacing w:val="9"/>
        </w:rPr>
        <w:t>形式主义的多样化表现。“口号式形式主义”依</w:t>
      </w:r>
      <w:r>
        <w:rPr>
          <w:rFonts w:hint="default" w:ascii="Times New Roman" w:hAnsi="Times New Roman" w:eastAsia="宋体" w:cs="Times New Roman"/>
          <w:color w:val="231F20"/>
          <w:spacing w:val="7"/>
        </w:rPr>
        <w:t>然突出。</w:t>
      </w:r>
      <w:r>
        <w:rPr>
          <w:rFonts w:hint="default" w:ascii="Times New Roman" w:hAnsi="Times New Roman" w:eastAsia="宋体" w:cs="Times New Roman"/>
          <w:color w:val="231F20"/>
          <w:spacing w:val="-4"/>
        </w:rPr>
        <w:t xml:space="preserve"> </w:t>
      </w:r>
      <w:r>
        <w:rPr>
          <w:rFonts w:hint="default" w:ascii="Times New Roman" w:hAnsi="Times New Roman" w:eastAsia="宋体" w:cs="Times New Roman"/>
          <w:color w:val="231F20"/>
          <w:spacing w:val="7"/>
        </w:rPr>
        <w:t>一些干部陷入“只重传达不研究、只会表态不行动”的怪圈，把讲政治异化为喊口号，</w:t>
      </w:r>
      <w:r>
        <w:rPr>
          <w:rFonts w:hint="default" w:ascii="Times New Roman" w:hAnsi="Times New Roman" w:eastAsia="宋体" w:cs="Times New Roman"/>
          <w:color w:val="231F20"/>
          <w:spacing w:val="9"/>
        </w:rPr>
        <w:t>如秦岭违建问题中，相关责任人表态坚决，实际却阳奉阴违，导致“整而未治、禁而不绝”。这种言行不一的做法，让党的决策部署悬空，严重影响政策落实效果。“指尖上的形式主义”愈演</w:t>
      </w:r>
      <w:r>
        <w:rPr>
          <w:rFonts w:hint="default" w:ascii="Times New Roman" w:hAnsi="Times New Roman" w:eastAsia="宋体" w:cs="Times New Roman"/>
          <w:color w:val="231F20"/>
          <w:spacing w:val="7"/>
        </w:rPr>
        <w:t>愈烈。过度留痕、机械打卡、强制点赞等做法，</w:t>
      </w:r>
      <w:r>
        <w:rPr>
          <w:rFonts w:hint="default" w:ascii="Times New Roman" w:hAnsi="Times New Roman" w:eastAsia="宋体" w:cs="Times New Roman"/>
          <w:color w:val="231F20"/>
          <w:spacing w:val="2"/>
        </w:rPr>
        <w:t>让电子政务异化为新负担。</w:t>
      </w:r>
      <w:r>
        <w:rPr>
          <w:rFonts w:hint="default" w:ascii="Times New Roman" w:hAnsi="Times New Roman" w:eastAsia="宋体" w:cs="Times New Roman"/>
          <w:color w:val="231F20"/>
          <w:spacing w:val="26"/>
        </w:rPr>
        <w:t xml:space="preserve">  </w:t>
      </w:r>
      <w:r>
        <w:rPr>
          <w:rFonts w:hint="default" w:ascii="Times New Roman" w:hAnsi="Times New Roman" w:eastAsia="宋体" w:cs="Times New Roman"/>
          <w:color w:val="231F20"/>
          <w:spacing w:val="2"/>
        </w:rPr>
        <w:t>一些部门要求基层干</w:t>
      </w:r>
      <w:r>
        <w:rPr>
          <w:rFonts w:hint="default" w:ascii="Times New Roman" w:hAnsi="Times New Roman" w:eastAsia="宋体" w:cs="Times New Roman"/>
          <w:color w:val="231F20"/>
          <w:spacing w:val="9"/>
        </w:rPr>
        <w:t>部每天填报各类表格、上传工作照片等。这不仅占用大量工作时间，更让“指尖便民”变成“指</w:t>
      </w:r>
      <w:r>
        <w:rPr>
          <w:rFonts w:hint="default" w:ascii="Times New Roman" w:hAnsi="Times New Roman" w:eastAsia="宋体" w:cs="Times New Roman"/>
          <w:color w:val="231F20"/>
          <w:spacing w:val="-5"/>
        </w:rPr>
        <w:t>尖负担”。</w:t>
      </w:r>
    </w:p>
    <w:p w14:paraId="4C2380D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0"/>
        </w:rPr>
        <w:t>“政绩工程”屡禁不止。近年来各地出现的</w:t>
      </w:r>
      <w:r>
        <w:rPr>
          <w:rFonts w:hint="default" w:ascii="Times New Roman" w:hAnsi="Times New Roman" w:eastAsia="宋体" w:cs="Times New Roman"/>
          <w:color w:val="231F20"/>
          <w:spacing w:val="9"/>
        </w:rPr>
        <w:t>“一刀切”清理路边植被、花巨资安装电子屏制</w:t>
      </w:r>
      <w:r>
        <w:rPr>
          <w:rFonts w:hint="default" w:ascii="Times New Roman" w:hAnsi="Times New Roman" w:eastAsia="宋体" w:cs="Times New Roman"/>
          <w:color w:val="231F20"/>
          <w:spacing w:val="19"/>
        </w:rPr>
        <w:t>造繁荣假象、“堆盆景”等案例表明，好大喜</w:t>
      </w:r>
      <w:r>
        <w:rPr>
          <w:rFonts w:hint="default" w:ascii="Times New Roman" w:hAnsi="Times New Roman" w:eastAsia="宋体" w:cs="Times New Roman"/>
          <w:color w:val="231F20"/>
          <w:spacing w:val="9"/>
        </w:rPr>
        <w:t>功、急功近利的形式主义仍大量存在。这些违背规律、劳民伤财的做法，反映出部分干部存在严</w:t>
      </w:r>
      <w:r>
        <w:rPr>
          <w:rFonts w:hint="default" w:ascii="Times New Roman" w:hAnsi="Times New Roman" w:eastAsia="宋体" w:cs="Times New Roman"/>
          <w:color w:val="231F20"/>
          <w:spacing w:val="2"/>
        </w:rPr>
        <w:t>重的政绩焦虑。“材料政绩”成为懒政新招。</w:t>
      </w:r>
      <w:r>
        <w:rPr>
          <w:rFonts w:hint="default" w:ascii="Times New Roman" w:hAnsi="Times New Roman" w:eastAsia="宋体" w:cs="Times New Roman"/>
          <w:color w:val="231F20"/>
          <w:spacing w:val="27"/>
          <w:w w:val="101"/>
        </w:rPr>
        <w:t xml:space="preserve">  </w:t>
      </w:r>
      <w:r>
        <w:rPr>
          <w:rFonts w:hint="default" w:ascii="Times New Roman" w:hAnsi="Times New Roman" w:eastAsia="宋体" w:cs="Times New Roman"/>
          <w:color w:val="231F20"/>
          <w:spacing w:val="2"/>
        </w:rPr>
        <w:t>一</w:t>
      </w:r>
      <w:r>
        <w:rPr>
          <w:rFonts w:hint="default" w:ascii="Times New Roman" w:hAnsi="Times New Roman" w:eastAsia="宋体" w:cs="Times New Roman"/>
          <w:color w:val="231F20"/>
          <w:spacing w:val="19"/>
        </w:rPr>
        <w:t>些地方和部门热衷于编造数据、美化报表，用</w:t>
      </w:r>
      <w:r>
        <w:rPr>
          <w:rFonts w:hint="default" w:ascii="Times New Roman" w:hAnsi="Times New Roman" w:eastAsia="宋体" w:cs="Times New Roman"/>
          <w:color w:val="231F20"/>
          <w:spacing w:val="9"/>
        </w:rPr>
        <w:t>“材料政绩”代替实际工作。年终总结报喜不报忧，工作汇报注水造假，让上级难以了解真实情</w:t>
      </w:r>
      <w:r>
        <w:rPr>
          <w:rFonts w:hint="default" w:ascii="Times New Roman" w:hAnsi="Times New Roman" w:eastAsia="宋体" w:cs="Times New Roman"/>
          <w:color w:val="231F20"/>
          <w:spacing w:val="-3"/>
        </w:rPr>
        <w:t>况，影响科学决策。</w:t>
      </w:r>
    </w:p>
    <w:p w14:paraId="2FEB1D6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sectPr>
          <w:footnotePr>
            <w:numFmt w:val="decimalEnclosedCircleChinese"/>
            <w:numRestart w:val="eachPage"/>
          </w:footnotePr>
          <w:type w:val="continuous"/>
          <w:pgSz w:w="12246" w:h="16498"/>
          <w:pgMar w:top="400" w:right="1517" w:bottom="0" w:left="432" w:header="0" w:footer="0" w:gutter="0"/>
          <w:pgNumType w:fmt="decimal"/>
          <w:cols w:space="425" w:num="1"/>
        </w:sectPr>
      </w:pPr>
    </w:p>
    <w:p w14:paraId="68F4E29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rPr>
          <w:rFonts w:hint="default" w:ascii="Times New Roman" w:hAnsi="Times New Roman" w:eastAsia="宋体" w:cs="Times New Roman"/>
          <w:sz w:val="22"/>
          <w:szCs w:val="22"/>
        </w:rPr>
        <w:sectPr>
          <w:footnotePr>
            <w:numFmt w:val="decimalEnclosedCircleChinese"/>
            <w:numRestart w:val="eachPage"/>
          </w:footnotePr>
          <w:type w:val="continuous"/>
          <w:pgSz w:w="12246" w:h="16498"/>
          <w:pgMar w:top="400" w:right="1517" w:bottom="0" w:left="432" w:header="0" w:footer="0" w:gutter="0"/>
          <w:pgNumType w:fmt="decimal"/>
          <w:cols w:equalWidth="0" w:num="1">
            <w:col w:w="10297"/>
          </w:cols>
        </w:sectPr>
      </w:pPr>
    </w:p>
    <w:p w14:paraId="54E97ED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15E849A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7ACE78B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pPr>
    </w:p>
    <w:p w14:paraId="4EF32C6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pPr>
    </w:p>
    <w:p w14:paraId="71CF74F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rPr>
        <w:sectPr>
          <w:headerReference r:id="rId29" w:type="default"/>
          <w:footerReference r:id="rId30" w:type="default"/>
          <w:footnotePr>
            <w:numFmt w:val="decimalEnclosedCircleChinese"/>
            <w:numRestart w:val="eachPage"/>
          </w:footnotePr>
          <w:pgSz w:w="12246" w:h="16498"/>
          <w:pgMar w:top="400" w:right="1303" w:bottom="1223" w:left="432" w:header="0" w:footer="360" w:gutter="0"/>
          <w:pgNumType w:fmt="decimal"/>
          <w:cols w:equalWidth="0" w:num="1">
            <w:col w:w="10510"/>
          </w:cols>
        </w:sectPr>
      </w:pPr>
    </w:p>
    <w:p w14:paraId="46D6845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center"/>
        <w:textAlignment w:val="baseline"/>
        <w:rPr>
          <w:rFonts w:hint="default" w:ascii="Times New Roman" w:hAnsi="Times New Roman" w:eastAsia="宋体" w:cs="Times New Roman"/>
          <w:sz w:val="22"/>
          <w:szCs w:val="22"/>
        </w:rPr>
      </w:pPr>
      <w:r>
        <w:rPr>
          <w:rFonts w:hint="default" w:ascii="Times New Roman" w:hAnsi="Times New Roman" w:eastAsia="宋体" w:cs="Times New Roman"/>
          <w:color w:val="D7171F"/>
          <w:sz w:val="22"/>
          <w:szCs w:val="22"/>
        </w:rPr>
        <w:t>溯本求源，深挖顽固根源</w:t>
      </w:r>
    </w:p>
    <w:p w14:paraId="61564A5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6D6169F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9"/>
        </w:rPr>
        <w:t>习近平总书记指出：“不良作风像割韭菜一</w:t>
      </w:r>
      <w:r>
        <w:rPr>
          <w:rFonts w:hint="default" w:ascii="Times New Roman" w:hAnsi="Times New Roman" w:eastAsia="宋体" w:cs="Times New Roman"/>
          <w:color w:val="231F20"/>
          <w:spacing w:val="-1"/>
        </w:rPr>
        <w:t>样，割了一茬长一茬。症结就在于对作风问题的顽固性和反复性估计不足，缺乏常抓的韧劲、严抓的</w:t>
      </w:r>
      <w:r>
        <w:rPr>
          <w:rFonts w:hint="default" w:ascii="Times New Roman" w:hAnsi="Times New Roman" w:eastAsia="宋体" w:cs="Times New Roman"/>
          <w:color w:val="231F20"/>
          <w:spacing w:val="-5"/>
        </w:rPr>
        <w:t>耐心，缺乏管长远、固根本的制度。”</w:t>
      </w:r>
      <w:r>
        <w:rPr>
          <w:rFonts w:hint="default" w:ascii="Times New Roman" w:hAnsi="Times New Roman" w:eastAsia="宋体" w:cs="Times New Roman"/>
          <w:color w:val="231F20"/>
          <w:spacing w:val="-5"/>
          <w:position w:val="9"/>
          <w:sz w:val="11"/>
          <w:szCs w:val="11"/>
        </w:rPr>
        <w:t>[2]</w:t>
      </w:r>
      <w:r>
        <w:rPr>
          <w:rFonts w:hint="default" w:ascii="Times New Roman" w:hAnsi="Times New Roman" w:eastAsia="宋体" w:cs="Times New Roman"/>
          <w:color w:val="231F20"/>
          <w:spacing w:val="-5"/>
        </w:rPr>
        <w:t>形式主义、</w:t>
      </w:r>
      <w:r>
        <w:rPr>
          <w:rFonts w:hint="default" w:ascii="Times New Roman" w:hAnsi="Times New Roman" w:eastAsia="宋体" w:cs="Times New Roman"/>
          <w:color w:val="231F20"/>
          <w:spacing w:val="-7"/>
        </w:rPr>
        <w:t>官僚主义的顽固性有着深刻的历史和现实原因。</w:t>
      </w:r>
    </w:p>
    <w:p w14:paraId="1BEC69E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0"/>
        </w:rPr>
        <w:t>官僚主义作为一种治理异化现象，早已存在于人</w:t>
      </w:r>
      <w:r>
        <w:rPr>
          <w:rFonts w:hint="default" w:ascii="Times New Roman" w:hAnsi="Times New Roman" w:eastAsia="宋体" w:cs="Times New Roman"/>
          <w:color w:val="231F20"/>
          <w:spacing w:val="-9"/>
        </w:rPr>
        <w:t>类政治文明发展过程中。黑格尔曾在分析国家机构运作时揭示：“以所有个体的特有利益为客体的司法，从前由于把法律知识淹没在渊博的学识和生疏的语言中，法律程序被蒙蔽在错综复杂的形式主义中，而变</w:t>
      </w:r>
      <w:r>
        <w:rPr>
          <w:rFonts w:hint="default" w:ascii="Times New Roman" w:hAnsi="Times New Roman" w:eastAsia="宋体" w:cs="Times New Roman"/>
          <w:color w:val="231F20"/>
          <w:spacing w:val="-5"/>
        </w:rPr>
        <w:t>成了一种盈利和统治的工具。”</w:t>
      </w:r>
      <w:r>
        <w:rPr>
          <w:rFonts w:hint="default" w:ascii="Times New Roman" w:hAnsi="Times New Roman" w:eastAsia="宋体" w:cs="Times New Roman"/>
          <w:color w:val="231F20"/>
          <w:spacing w:val="-5"/>
          <w:position w:val="8"/>
          <w:sz w:val="11"/>
          <w:szCs w:val="11"/>
        </w:rPr>
        <w:t>[3]</w:t>
      </w:r>
      <w:r>
        <w:rPr>
          <w:rFonts w:hint="default" w:ascii="Times New Roman" w:hAnsi="Times New Roman" w:eastAsia="宋体" w:cs="Times New Roman"/>
          <w:color w:val="231F20"/>
          <w:spacing w:val="-5"/>
        </w:rPr>
        <w:t>马克思也曾一针见</w:t>
      </w:r>
      <w:r>
        <w:rPr>
          <w:rFonts w:hint="default" w:ascii="Times New Roman" w:hAnsi="Times New Roman" w:eastAsia="宋体" w:cs="Times New Roman"/>
          <w:color w:val="231F20"/>
          <w:spacing w:val="-9"/>
        </w:rPr>
        <w:t>血地指出：“就单个的官僚来说，国家的目的变成了</w:t>
      </w:r>
      <w:r>
        <w:rPr>
          <w:rFonts w:hint="default" w:ascii="Times New Roman" w:hAnsi="Times New Roman" w:eastAsia="宋体" w:cs="Times New Roman"/>
          <w:color w:val="231F20"/>
        </w:rPr>
        <w:t>他的个人目的，变成了他升官发财、飞黄腾</w:t>
      </w:r>
      <w:r>
        <w:rPr>
          <w:rFonts w:hint="default" w:ascii="Times New Roman" w:hAnsi="Times New Roman" w:eastAsia="宋体" w:cs="Times New Roman"/>
          <w:color w:val="231F20"/>
          <w:spacing w:val="-1"/>
        </w:rPr>
        <w:t>达的手</w:t>
      </w:r>
      <w:r>
        <w:rPr>
          <w:rFonts w:hint="default" w:ascii="Times New Roman" w:hAnsi="Times New Roman" w:eastAsia="宋体" w:cs="Times New Roman"/>
          <w:color w:val="231F20"/>
          <w:spacing w:val="-6"/>
        </w:rPr>
        <w:t>段。”</w:t>
      </w:r>
      <w:r>
        <w:rPr>
          <w:rFonts w:hint="default" w:ascii="Times New Roman" w:hAnsi="Times New Roman" w:eastAsia="宋体" w:cs="Times New Roman"/>
          <w:color w:val="231F20"/>
          <w:spacing w:val="-6"/>
          <w:position w:val="9"/>
          <w:sz w:val="11"/>
          <w:szCs w:val="11"/>
        </w:rPr>
        <w:t>[4]</w:t>
      </w:r>
      <w:r>
        <w:rPr>
          <w:rFonts w:hint="default" w:ascii="Times New Roman" w:hAnsi="Times New Roman" w:eastAsia="宋体" w:cs="Times New Roman"/>
          <w:color w:val="231F20"/>
          <w:spacing w:val="6"/>
          <w:position w:val="9"/>
          <w:sz w:val="11"/>
          <w:szCs w:val="11"/>
        </w:rPr>
        <w:t xml:space="preserve"> </w:t>
      </w:r>
      <w:r>
        <w:rPr>
          <w:rFonts w:hint="default" w:ascii="Times New Roman" w:hAnsi="Times New Roman" w:eastAsia="宋体" w:cs="Times New Roman"/>
          <w:color w:val="231F20"/>
          <w:spacing w:val="-6"/>
        </w:rPr>
        <w:t>当公共权力被视为个人谋取私利的工具时，</w:t>
      </w:r>
      <w:r>
        <w:rPr>
          <w:rFonts w:hint="default" w:ascii="Times New Roman" w:hAnsi="Times New Roman" w:eastAsia="宋体" w:cs="Times New Roman"/>
          <w:color w:val="231F20"/>
          <w:spacing w:val="-11"/>
        </w:rPr>
        <w:t>官僚主义便不可避免地产生了。</w:t>
      </w:r>
    </w:p>
    <w:p w14:paraId="2DEE18B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
        </w:rPr>
        <w:t>官僚主义在中国有着悠久且深厚的社会历史土壤，“官本位”思想、等级观念等封建残余至今影响着一些干部的思想观念。毛泽东同志曾深入挖掘中华民族历史沃土，揭开了官僚主义这一顽疾产生</w:t>
      </w:r>
      <w:r>
        <w:rPr>
          <w:rFonts w:hint="default" w:ascii="Times New Roman" w:hAnsi="Times New Roman" w:eastAsia="宋体" w:cs="Times New Roman"/>
          <w:color w:val="231F20"/>
          <w:spacing w:val="4"/>
        </w:rPr>
        <w:t>的历史根源：“(一)由于中国半封建社会</w:t>
      </w:r>
      <w:r>
        <w:rPr>
          <w:rFonts w:hint="default" w:ascii="Times New Roman" w:hAnsi="Times New Roman" w:eastAsia="宋体" w:cs="Times New Roman"/>
          <w:color w:val="231F20"/>
          <w:spacing w:val="3"/>
        </w:rPr>
        <w:t>和国民党</w:t>
      </w:r>
      <w:r>
        <w:rPr>
          <w:rFonts w:hint="default" w:ascii="Times New Roman" w:hAnsi="Times New Roman" w:eastAsia="宋体" w:cs="Times New Roman"/>
          <w:color w:val="231F20"/>
          <w:spacing w:val="2"/>
        </w:rPr>
        <w:t>的官僚主义之传染。(二)由于农民散漫性的笼罩，</w:t>
      </w:r>
      <w:r>
        <w:rPr>
          <w:rFonts w:hint="default" w:ascii="Times New Roman" w:hAnsi="Times New Roman" w:eastAsia="宋体" w:cs="Times New Roman"/>
          <w:color w:val="231F20"/>
          <w:spacing w:val="4"/>
        </w:rPr>
        <w:t>缺乏无产阶级的组织性、纪律性。(三)缺</w:t>
      </w:r>
      <w:r>
        <w:rPr>
          <w:rFonts w:hint="default" w:ascii="Times New Roman" w:hAnsi="Times New Roman" w:eastAsia="宋体" w:cs="Times New Roman"/>
          <w:color w:val="231F20"/>
          <w:spacing w:val="3"/>
        </w:rPr>
        <w:t>乏艰苦奋斗的精神，只图一时便宜。”</w:t>
      </w:r>
      <w:r>
        <w:rPr>
          <w:rFonts w:hint="default" w:ascii="Times New Roman" w:hAnsi="Times New Roman" w:eastAsia="宋体" w:cs="Times New Roman"/>
          <w:color w:val="231F20"/>
          <w:spacing w:val="3"/>
          <w:position w:val="8"/>
          <w:sz w:val="11"/>
          <w:szCs w:val="11"/>
        </w:rPr>
        <w:t>[5]</w:t>
      </w:r>
      <w:r>
        <w:rPr>
          <w:rFonts w:hint="default" w:ascii="Times New Roman" w:hAnsi="Times New Roman" w:eastAsia="宋体" w:cs="Times New Roman"/>
          <w:color w:val="231F20"/>
          <w:spacing w:val="3"/>
        </w:rPr>
        <w:t>究其本质，官僚主</w:t>
      </w:r>
      <w:r>
        <w:rPr>
          <w:rFonts w:hint="default" w:ascii="Times New Roman" w:hAnsi="Times New Roman" w:eastAsia="宋体" w:cs="Times New Roman"/>
          <w:color w:val="231F20"/>
          <w:spacing w:val="9"/>
        </w:rPr>
        <w:t>义的实质是封建残余思想作祟，根源是官本位严</w:t>
      </w:r>
      <w:r>
        <w:rPr>
          <w:rFonts w:hint="default" w:ascii="Times New Roman" w:hAnsi="Times New Roman" w:eastAsia="宋体" w:cs="Times New Roman"/>
          <w:color w:val="231F20"/>
          <w:spacing w:val="-1"/>
        </w:rPr>
        <w:t>重、权力观扭曲，做官当老爷，高高在上，脱离群</w:t>
      </w:r>
      <w:r>
        <w:rPr>
          <w:rFonts w:hint="default" w:ascii="Times New Roman" w:hAnsi="Times New Roman" w:eastAsia="宋体" w:cs="Times New Roman"/>
          <w:color w:val="231F20"/>
          <w:spacing w:val="9"/>
        </w:rPr>
        <w:t>众，脱离实际。这种思想让一些干部自认高人一</w:t>
      </w:r>
      <w:r>
        <w:rPr>
          <w:rFonts w:hint="default" w:ascii="Times New Roman" w:hAnsi="Times New Roman" w:eastAsia="宋体" w:cs="Times New Roman"/>
          <w:color w:val="231F20"/>
          <w:spacing w:val="-2"/>
        </w:rPr>
        <w:t>等，脱离群众，把服务群众变成施舍恩惠。</w:t>
      </w:r>
    </w:p>
    <w:p w14:paraId="12B4DC1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sz w:val="2"/>
        </w:rPr>
      </w:pPr>
      <w:r>
        <w:rPr>
          <w:rFonts w:hint="default" w:ascii="Times New Roman" w:hAnsi="Times New Roman" w:eastAsia="宋体" w:cs="Times New Roman"/>
          <w:color w:val="231F20"/>
          <w:spacing w:val="-1"/>
        </w:rPr>
        <w:t>在当代中国，世情、国情、党情、社情都已经发生深刻变化，但形式主义、官僚主义的滋生土壤依旧长存。一是权力运行机制中的制度性惯性是其</w:t>
      </w:r>
      <w:r>
        <w:rPr>
          <w:rFonts w:hint="default" w:ascii="Times New Roman" w:hAnsi="Times New Roman" w:eastAsia="宋体" w:cs="Times New Roman"/>
          <w:color w:val="231F20"/>
          <w:spacing w:val="9"/>
        </w:rPr>
        <w:t>产生的源头所在。从历史维度看，官僚体制作为</w:t>
      </w:r>
      <w:r>
        <w:rPr>
          <w:rFonts w:hint="default" w:ascii="Times New Roman" w:hAnsi="Times New Roman" w:eastAsia="宋体" w:cs="Times New Roman"/>
          <w:color w:val="231F20"/>
          <w:spacing w:val="-1"/>
        </w:rPr>
        <w:t>一种组织形式和管理模式，具有其内在的运行逻辑和自我强化机制。作为构成官僚体制意志的执政个</w:t>
      </w:r>
      <w:r>
        <w:rPr>
          <w:rFonts w:hint="default" w:ascii="Times New Roman" w:hAnsi="Times New Roman" w:eastAsia="宋体" w:cs="Times New Roman"/>
          <w:color w:val="231F20"/>
          <w:spacing w:val="9"/>
        </w:rPr>
        <w:t>体，无法以一己之力对抗这一体制给予的巨大惯</w:t>
      </w:r>
      <w:r>
        <w:rPr>
          <w:rFonts w:hint="default" w:ascii="Times New Roman" w:hAnsi="Times New Roman" w:eastAsia="宋体" w:cs="Times New Roman"/>
          <w:color w:val="231F20"/>
          <w:spacing w:val="-1"/>
        </w:rPr>
        <w:t>性。在现代国家治理体系中，尽管不断推进制度创新和流程再造，但权力运行的某些固有特性，譬如层级传导、责任分割、程序刚性等，仍然为形式主</w:t>
      </w:r>
    </w:p>
    <w:p w14:paraId="1C7DFF7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
        </w:rPr>
        <w:t>义、官僚主义提供了生存空间。二是官员的私利驱</w:t>
      </w:r>
      <w:r>
        <w:rPr>
          <w:rFonts w:hint="default" w:ascii="Times New Roman" w:hAnsi="Times New Roman" w:eastAsia="宋体" w:cs="Times New Roman"/>
          <w:color w:val="231F20"/>
        </w:rPr>
        <w:t>动是其得以滋长的直接原因。从本质上来说</w:t>
      </w:r>
      <w:r>
        <w:rPr>
          <w:rFonts w:hint="default" w:ascii="Times New Roman" w:hAnsi="Times New Roman" w:eastAsia="宋体" w:cs="Times New Roman"/>
          <w:color w:val="231F20"/>
          <w:spacing w:val="-1"/>
        </w:rPr>
        <w:t>，形式</w:t>
      </w:r>
      <w:r>
        <w:rPr>
          <w:rFonts w:hint="default" w:ascii="Times New Roman" w:hAnsi="Times New Roman" w:eastAsia="宋体" w:cs="Times New Roman"/>
          <w:color w:val="231F20"/>
        </w:rPr>
        <w:t>主义实质是主观主义、功利主义，根源是政</w:t>
      </w:r>
      <w:r>
        <w:rPr>
          <w:rFonts w:hint="default" w:ascii="Times New Roman" w:hAnsi="Times New Roman" w:eastAsia="宋体" w:cs="Times New Roman"/>
          <w:color w:val="231F20"/>
          <w:spacing w:val="-1"/>
        </w:rPr>
        <w:t>绩观错</w:t>
      </w:r>
      <w:r>
        <w:rPr>
          <w:rFonts w:hint="default" w:ascii="Times New Roman" w:hAnsi="Times New Roman" w:eastAsia="宋体" w:cs="Times New Roman"/>
          <w:color w:val="231F20"/>
        </w:rPr>
        <w:t>位、责任心缺失，用轰轰烈烈的形式代替了</w:t>
      </w:r>
      <w:r>
        <w:rPr>
          <w:rFonts w:hint="default" w:ascii="Times New Roman" w:hAnsi="Times New Roman" w:eastAsia="宋体" w:cs="Times New Roman"/>
          <w:color w:val="231F20"/>
          <w:spacing w:val="-1"/>
        </w:rPr>
        <w:t>扎扎实</w:t>
      </w:r>
      <w:r>
        <w:rPr>
          <w:rFonts w:hint="default" w:ascii="Times New Roman" w:hAnsi="Times New Roman" w:eastAsia="宋体" w:cs="Times New Roman"/>
          <w:color w:val="231F20"/>
          <w:spacing w:val="-2"/>
        </w:rPr>
        <w:t>实的落实，用光鲜亮丽的外表掩盖了矛盾和问题。</w:t>
      </w:r>
      <w:r>
        <w:rPr>
          <w:rFonts w:hint="default" w:ascii="Times New Roman" w:hAnsi="Times New Roman" w:eastAsia="宋体" w:cs="Times New Roman"/>
          <w:color w:val="231F20"/>
        </w:rPr>
        <w:t>在现实工作中，一些干部之所以热衷于“材</w:t>
      </w:r>
      <w:r>
        <w:rPr>
          <w:rFonts w:hint="default" w:ascii="Times New Roman" w:hAnsi="Times New Roman" w:eastAsia="宋体" w:cs="Times New Roman"/>
          <w:color w:val="231F20"/>
          <w:spacing w:val="-1"/>
        </w:rPr>
        <w:t>料出政</w:t>
      </w:r>
      <w:r>
        <w:rPr>
          <w:rFonts w:hint="default" w:ascii="Times New Roman" w:hAnsi="Times New Roman" w:eastAsia="宋体" w:cs="Times New Roman"/>
          <w:color w:val="231F20"/>
        </w:rPr>
        <w:t>绩”“数字出政绩”，根本原因在于这种做</w:t>
      </w:r>
      <w:r>
        <w:rPr>
          <w:rFonts w:hint="default" w:ascii="Times New Roman" w:hAnsi="Times New Roman" w:eastAsia="宋体" w:cs="Times New Roman"/>
          <w:color w:val="231F20"/>
          <w:spacing w:val="-1"/>
        </w:rPr>
        <w:t>法能够</w:t>
      </w:r>
      <w:r>
        <w:rPr>
          <w:rFonts w:hint="default" w:ascii="Times New Roman" w:hAnsi="Times New Roman" w:eastAsia="宋体" w:cs="Times New Roman"/>
          <w:color w:val="231F20"/>
        </w:rPr>
        <w:t>在短期内展示“政绩”，为个人升迁提供了</w:t>
      </w:r>
      <w:r>
        <w:rPr>
          <w:rFonts w:hint="default" w:ascii="Times New Roman" w:hAnsi="Times New Roman" w:eastAsia="宋体" w:cs="Times New Roman"/>
          <w:color w:val="231F20"/>
          <w:spacing w:val="-1"/>
        </w:rPr>
        <w:t>依据背</w:t>
      </w:r>
      <w:r>
        <w:rPr>
          <w:rFonts w:hint="default" w:ascii="Times New Roman" w:hAnsi="Times New Roman" w:eastAsia="宋体" w:cs="Times New Roman"/>
          <w:color w:val="231F20"/>
        </w:rPr>
        <w:t>书。这种个人的短期利益导向与国家的长期</w:t>
      </w:r>
      <w:r>
        <w:rPr>
          <w:rFonts w:hint="default" w:ascii="Times New Roman" w:hAnsi="Times New Roman" w:eastAsia="宋体" w:cs="Times New Roman"/>
          <w:color w:val="231F20"/>
          <w:spacing w:val="-1"/>
        </w:rPr>
        <w:t>治理效</w:t>
      </w:r>
      <w:r>
        <w:rPr>
          <w:rFonts w:hint="default" w:ascii="Times New Roman" w:hAnsi="Times New Roman" w:eastAsia="宋体" w:cs="Times New Roman"/>
          <w:color w:val="231F20"/>
        </w:rPr>
        <w:t>能之间的矛盾，构成了形式主义、官僚主义</w:t>
      </w:r>
      <w:r>
        <w:rPr>
          <w:rFonts w:hint="default" w:ascii="Times New Roman" w:hAnsi="Times New Roman" w:eastAsia="宋体" w:cs="Times New Roman"/>
          <w:color w:val="231F20"/>
          <w:spacing w:val="-1"/>
        </w:rPr>
        <w:t>的内在</w:t>
      </w:r>
      <w:r>
        <w:rPr>
          <w:rFonts w:hint="default" w:ascii="Times New Roman" w:hAnsi="Times New Roman" w:eastAsia="宋体" w:cs="Times New Roman"/>
          <w:color w:val="231F20"/>
        </w:rPr>
        <w:t>动力机制。三是官员的认识偏差和能力不足</w:t>
      </w:r>
      <w:r>
        <w:rPr>
          <w:rFonts w:hint="default" w:ascii="Times New Roman" w:hAnsi="Times New Roman" w:eastAsia="宋体" w:cs="Times New Roman"/>
          <w:color w:val="231F20"/>
          <w:spacing w:val="-1"/>
        </w:rPr>
        <w:t>是其产</w:t>
      </w:r>
      <w:r>
        <w:rPr>
          <w:rFonts w:hint="default" w:ascii="Times New Roman" w:hAnsi="Times New Roman" w:eastAsia="宋体" w:cs="Times New Roman"/>
          <w:color w:val="231F20"/>
        </w:rPr>
        <w:t>生的主观要素。一方面，一些干部对马克思</w:t>
      </w:r>
      <w:r>
        <w:rPr>
          <w:rFonts w:hint="default" w:ascii="Times New Roman" w:hAnsi="Times New Roman" w:eastAsia="宋体" w:cs="Times New Roman"/>
          <w:color w:val="231F20"/>
          <w:spacing w:val="-1"/>
        </w:rPr>
        <w:t>主义群</w:t>
      </w:r>
      <w:r>
        <w:rPr>
          <w:rFonts w:hint="default" w:ascii="Times New Roman" w:hAnsi="Times New Roman" w:eastAsia="宋体" w:cs="Times New Roman"/>
          <w:color w:val="231F20"/>
          <w:spacing w:val="9"/>
        </w:rPr>
        <w:t>众观点理解不深、践行不够，存在“官本位”思想，缺乏为人民特别是为劳动人民服务的宗旨意识，甚至不信仰马克思主义和共产主义；另一方</w:t>
      </w:r>
      <w:r>
        <w:rPr>
          <w:rFonts w:hint="default" w:ascii="Times New Roman" w:hAnsi="Times New Roman" w:eastAsia="宋体" w:cs="Times New Roman"/>
          <w:color w:val="231F20"/>
        </w:rPr>
        <w:t>面，面对复杂多变的治理环境和日益提高的</w:t>
      </w:r>
      <w:r>
        <w:rPr>
          <w:rFonts w:hint="default" w:ascii="Times New Roman" w:hAnsi="Times New Roman" w:eastAsia="宋体" w:cs="Times New Roman"/>
          <w:color w:val="231F20"/>
          <w:spacing w:val="-1"/>
        </w:rPr>
        <w:t>治理要</w:t>
      </w:r>
      <w:r>
        <w:rPr>
          <w:rFonts w:hint="default" w:ascii="Times New Roman" w:hAnsi="Times New Roman" w:eastAsia="宋体" w:cs="Times New Roman"/>
          <w:color w:val="231F20"/>
        </w:rPr>
        <w:t>求，一些干部能力不足、本领恐慌，不得不</w:t>
      </w:r>
      <w:r>
        <w:rPr>
          <w:rFonts w:hint="default" w:ascii="Times New Roman" w:hAnsi="Times New Roman" w:eastAsia="宋体" w:cs="Times New Roman"/>
          <w:color w:val="231F20"/>
          <w:spacing w:val="-1"/>
        </w:rPr>
        <w:t>依靠形</w:t>
      </w:r>
      <w:r>
        <w:rPr>
          <w:rFonts w:hint="default" w:ascii="Times New Roman" w:hAnsi="Times New Roman" w:eastAsia="宋体" w:cs="Times New Roman"/>
          <w:color w:val="231F20"/>
        </w:rPr>
        <w:t>式主义来掩盖自身能力短板。四是监督机制</w:t>
      </w:r>
      <w:r>
        <w:rPr>
          <w:rFonts w:hint="default" w:ascii="Times New Roman" w:hAnsi="Times New Roman" w:eastAsia="宋体" w:cs="Times New Roman"/>
          <w:color w:val="231F20"/>
          <w:spacing w:val="-1"/>
        </w:rPr>
        <w:t>不健全</w:t>
      </w:r>
      <w:r>
        <w:rPr>
          <w:rFonts w:hint="default" w:ascii="Times New Roman" w:hAnsi="Times New Roman" w:eastAsia="宋体" w:cs="Times New Roman"/>
          <w:color w:val="231F20"/>
        </w:rPr>
        <w:t>是其顽固长存的滋润环境。形式主义、官僚</w:t>
      </w:r>
      <w:r>
        <w:rPr>
          <w:rFonts w:hint="default" w:ascii="Times New Roman" w:hAnsi="Times New Roman" w:eastAsia="宋体" w:cs="Times New Roman"/>
          <w:color w:val="231F20"/>
          <w:spacing w:val="-1"/>
        </w:rPr>
        <w:t>主义具</w:t>
      </w:r>
      <w:r>
        <w:rPr>
          <w:rFonts w:hint="default" w:ascii="Times New Roman" w:hAnsi="Times New Roman" w:eastAsia="宋体" w:cs="Times New Roman"/>
          <w:color w:val="231F20"/>
        </w:rPr>
        <w:t>有很强的隐蔽性和变异性，传统的监督手段</w:t>
      </w:r>
      <w:r>
        <w:rPr>
          <w:rFonts w:hint="default" w:ascii="Times New Roman" w:hAnsi="Times New Roman" w:eastAsia="宋体" w:cs="Times New Roman"/>
          <w:color w:val="231F20"/>
          <w:spacing w:val="-1"/>
        </w:rPr>
        <w:t>往往难</w:t>
      </w:r>
      <w:r>
        <w:rPr>
          <w:rFonts w:hint="default" w:ascii="Times New Roman" w:hAnsi="Times New Roman" w:eastAsia="宋体" w:cs="Times New Roman"/>
          <w:color w:val="231F20"/>
          <w:spacing w:val="9"/>
        </w:rPr>
        <w:t>以有效识别和纠正。特别是在信息不对称的情况</w:t>
      </w:r>
      <w:r>
        <w:rPr>
          <w:rFonts w:hint="default" w:ascii="Times New Roman" w:hAnsi="Times New Roman" w:eastAsia="宋体" w:cs="Times New Roman"/>
          <w:color w:val="231F20"/>
          <w:spacing w:val="-1"/>
        </w:rPr>
        <w:t>下，基层的真实情况和群众的真实感受难以及时、</w:t>
      </w:r>
      <w:r>
        <w:rPr>
          <w:rFonts w:hint="default" w:ascii="Times New Roman" w:hAnsi="Times New Roman" w:eastAsia="宋体" w:cs="Times New Roman"/>
          <w:color w:val="231F20"/>
        </w:rPr>
        <w:t>准确地传递到决策层面，使得形式主义、官</w:t>
      </w:r>
      <w:r>
        <w:rPr>
          <w:rFonts w:hint="default" w:ascii="Times New Roman" w:hAnsi="Times New Roman" w:eastAsia="宋体" w:cs="Times New Roman"/>
          <w:color w:val="231F20"/>
          <w:spacing w:val="-1"/>
        </w:rPr>
        <w:t>僚主义</w:t>
      </w:r>
      <w:r>
        <w:rPr>
          <w:rFonts w:hint="default" w:ascii="Times New Roman" w:hAnsi="Times New Roman" w:eastAsia="宋体" w:cs="Times New Roman"/>
          <w:color w:val="231F20"/>
          <w:spacing w:val="-4"/>
        </w:rPr>
        <w:t>有了可乘之机。</w:t>
      </w:r>
    </w:p>
    <w:p w14:paraId="0A816DF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center"/>
        <w:textAlignment w:val="baseline"/>
        <w:rPr>
          <w:rFonts w:hint="default" w:ascii="Times New Roman" w:hAnsi="Times New Roman" w:eastAsia="宋体" w:cs="Times New Roman"/>
          <w:sz w:val="22"/>
          <w:szCs w:val="22"/>
        </w:rPr>
      </w:pPr>
      <w:r>
        <w:rPr>
          <w:rFonts w:hint="default" w:ascii="Times New Roman" w:hAnsi="Times New Roman" w:eastAsia="宋体" w:cs="Times New Roman"/>
          <w:color w:val="D7171F"/>
          <w:sz w:val="22"/>
          <w:szCs w:val="22"/>
        </w:rPr>
        <w:t>破立并举，推进作风建设</w:t>
      </w:r>
    </w:p>
    <w:p w14:paraId="5D083EE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738A1C2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
        </w:rPr>
        <w:t>办好中国的事情，关键在党，关键在坚持党要管党、全面从严治党。在全面从严治党的伟大实践中，中央八项规定精神如同一面旗帜，引领着党风政风的深刻变革。面对形式主义、官僚主义的顽固性和变异性，必须破立并举，以中央八项规定精神为根本遵循，坚决铲除作风顽疾滋生的土壤，推动</w:t>
      </w:r>
      <w:r>
        <w:rPr>
          <w:rFonts w:hint="default" w:ascii="Times New Roman" w:hAnsi="Times New Roman" w:eastAsia="宋体" w:cs="Times New Roman"/>
          <w:color w:val="231F20"/>
          <w:spacing w:val="-2"/>
        </w:rPr>
        <w:t>党风政风持续向好、社风民风不断向善。</w:t>
      </w:r>
    </w:p>
    <w:p w14:paraId="607E700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0"/>
        </w:rPr>
        <w:t>针对官僚主义的专项治理。一是建立权责清单，</w:t>
      </w:r>
      <w:r>
        <w:rPr>
          <w:rFonts w:hint="default" w:ascii="Times New Roman" w:hAnsi="Times New Roman" w:eastAsia="宋体" w:cs="Times New Roman"/>
          <w:color w:val="231F20"/>
          <w:spacing w:val="-9"/>
        </w:rPr>
        <w:t>压实服务责任。明确各部门、各岗位的权力边界和责任清单，实行“首问负责制”和“限时办结制</w:t>
      </w:r>
      <w:r>
        <w:rPr>
          <w:rFonts w:hint="default" w:ascii="Times New Roman" w:hAnsi="Times New Roman" w:eastAsia="宋体" w:cs="Times New Roman"/>
          <w:color w:val="231F20"/>
          <w:spacing w:val="-10"/>
        </w:rPr>
        <w:t>”。对</w:t>
      </w:r>
      <w:r>
        <w:rPr>
          <w:rFonts w:hint="default" w:ascii="Times New Roman" w:hAnsi="Times New Roman" w:eastAsia="宋体" w:cs="Times New Roman"/>
          <w:color w:val="231F20"/>
          <w:spacing w:val="-9"/>
        </w:rPr>
        <w:t>推诿扯皮、敷衍塞责的行为严肃追责问责，特别要打破“笑面”掩护，不能因为态度好就放松要求。二是完善群众评价机制，倒逼作风转变。建立以群众满意度为核心的体系，定期开展政风行风评议。将群众投诉举报、满意度测评结果与干部考核任用挂钩，让群众成为作风建设的评判者和推动者。三是强化监督问责，形成震慑效应。综合运用巡视巡察、审计监督、社会监督等手段，及时发现和纠正官僚主义问题。对典型案例公开曝光，形成警示效应。建立容错纠错机制，鼓励干部担当作为，但对懒政怠政行为要“零容忍”。四是推进简政放权，减少权力寻租空间。深化“放管服”改革，该下放的权力坚决下放，该取消的事项坚决取消。推行“一网通办”“最多跑一次”，用制度和技术手段压缩自由裁量权，让权力在阳光下</w:t>
      </w:r>
      <w:r>
        <w:rPr>
          <w:rFonts w:hint="default" w:ascii="Times New Roman" w:hAnsi="Times New Roman" w:eastAsia="宋体" w:cs="Times New Roman"/>
          <w:color w:val="231F20"/>
          <w:spacing w:val="-10"/>
        </w:rPr>
        <w:t>运行。</w:t>
      </w:r>
    </w:p>
    <w:p w14:paraId="4D0E54E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3"/>
        </w:rPr>
        <w:t>针对形式主义的靶向整治。</w:t>
      </w:r>
      <w:r>
        <w:rPr>
          <w:rFonts w:hint="default" w:ascii="Times New Roman" w:hAnsi="Times New Roman" w:eastAsia="宋体" w:cs="Times New Roman"/>
          <w:color w:val="231F20"/>
          <w:spacing w:val="20"/>
        </w:rPr>
        <w:t xml:space="preserve">  </w:t>
      </w:r>
      <w:r>
        <w:rPr>
          <w:rFonts w:hint="default" w:ascii="Times New Roman" w:hAnsi="Times New Roman" w:eastAsia="宋体" w:cs="Times New Roman"/>
          <w:color w:val="231F20"/>
          <w:spacing w:val="3"/>
        </w:rPr>
        <w:t>一是精简会议文</w:t>
      </w:r>
      <w:r>
        <w:rPr>
          <w:rFonts w:hint="default" w:ascii="Times New Roman" w:hAnsi="Times New Roman" w:eastAsia="宋体" w:cs="Times New Roman"/>
          <w:color w:val="231F20"/>
        </w:rPr>
        <w:t>件，切实减负增效。严控会议数量、规模和时长，能合并的坚决合并，能开视频会的不集中开会。精简文件篇幅，改进文风，力戒“穿靴戴帽”、冗长空洞。建立会议文件实效评估机制，对无实质内容</w:t>
      </w:r>
      <w:r>
        <w:rPr>
          <w:rFonts w:hint="default" w:ascii="Times New Roman" w:hAnsi="Times New Roman" w:eastAsia="宋体" w:cs="Times New Roman"/>
          <w:color w:val="231F20"/>
          <w:spacing w:val="-1"/>
        </w:rPr>
        <w:t>的坚决取消。二是改革考核方式，树立实干导</w:t>
      </w:r>
      <w:r>
        <w:rPr>
          <w:rFonts w:hint="default" w:ascii="Times New Roman" w:hAnsi="Times New Roman" w:eastAsia="宋体" w:cs="Times New Roman"/>
          <w:color w:val="231F20"/>
          <w:spacing w:val="-2"/>
        </w:rPr>
        <w:t>向。</w:t>
      </w:r>
      <w:r>
        <w:rPr>
          <w:rFonts w:hint="default" w:ascii="Times New Roman" w:hAnsi="Times New Roman" w:eastAsia="宋体" w:cs="Times New Roman"/>
          <w:color w:val="231F20"/>
        </w:rPr>
        <w:t>摒弃“唯数字论英雄”的考核方式，注重工作实效和群众获得感。减少不必要的“留痕”要求，让基层干部把更多精力用在干事创业上。建立差异化考</w:t>
      </w:r>
      <w:r>
        <w:rPr>
          <w:rFonts w:hint="default" w:ascii="Times New Roman" w:hAnsi="Times New Roman" w:eastAsia="宋体" w:cs="Times New Roman"/>
          <w:color w:val="231F20"/>
          <w:spacing w:val="9"/>
        </w:rPr>
        <w:t>核体系，避免“一刀切”和层层加码。三是整治</w:t>
      </w:r>
      <w:r>
        <w:rPr>
          <w:rFonts w:hint="default" w:ascii="Times New Roman" w:hAnsi="Times New Roman" w:eastAsia="宋体" w:cs="Times New Roman"/>
          <w:color w:val="231F20"/>
        </w:rPr>
        <w:t>“指尖形式主义”，还干部群众清净。全面清理各</w:t>
      </w:r>
      <w:r>
        <w:rPr>
          <w:rFonts w:hint="default" w:ascii="Times New Roman" w:hAnsi="Times New Roman" w:eastAsia="宋体" w:cs="Times New Roman"/>
          <w:color w:val="231F20"/>
          <w:spacing w:val="3"/>
        </w:rPr>
        <w:t>类政务</w:t>
      </w:r>
      <w:r>
        <w:rPr>
          <w:rFonts w:hint="default" w:ascii="Times New Roman" w:hAnsi="Times New Roman" w:eastAsia="宋体" w:cs="Times New Roman"/>
          <w:color w:val="231F20"/>
        </w:rPr>
        <w:t>App</w:t>
      </w:r>
      <w:r>
        <w:rPr>
          <w:rFonts w:hint="default" w:ascii="Times New Roman" w:hAnsi="Times New Roman" w:eastAsia="宋体" w:cs="Times New Roman"/>
          <w:color w:val="231F20"/>
          <w:spacing w:val="3"/>
        </w:rPr>
        <w:t>和工作群，该合并的合并，该关停的关停。严禁强制要求群众下载使用，严禁通过</w:t>
      </w:r>
      <w:r>
        <w:rPr>
          <w:rFonts w:hint="default" w:ascii="Times New Roman" w:hAnsi="Times New Roman" w:eastAsia="宋体" w:cs="Times New Roman"/>
          <w:color w:val="231F20"/>
        </w:rPr>
        <w:t>App</w:t>
      </w:r>
      <w:r>
        <w:rPr>
          <w:rFonts w:hint="default" w:ascii="Times New Roman" w:hAnsi="Times New Roman" w:eastAsia="宋体" w:cs="Times New Roman"/>
          <w:color w:val="231F20"/>
          <w:spacing w:val="3"/>
        </w:rPr>
        <w:t>进</w:t>
      </w:r>
      <w:r>
        <w:rPr>
          <w:rFonts w:hint="default" w:ascii="Times New Roman" w:hAnsi="Times New Roman" w:eastAsia="宋体" w:cs="Times New Roman"/>
          <w:color w:val="231F20"/>
        </w:rPr>
        <w:t>行与工作无关的打卡、点赞。让信息技术真正成为提高效率的工具，而非增加负担的枷锁。四是建立负面清单，明确行为边界。列出形式主义的具体表现形式，明确“不能这么干”的底线。如禁止临时造景应付检查、禁止编造数据虚报成绩、禁止以会议落实会议等。通过负面清单管理，让干部知道哪</w:t>
      </w:r>
      <w:r>
        <w:rPr>
          <w:rFonts w:hint="default" w:ascii="Times New Roman" w:hAnsi="Times New Roman" w:eastAsia="宋体" w:cs="Times New Roman"/>
          <w:color w:val="231F20"/>
          <w:spacing w:val="-3"/>
        </w:rPr>
        <w:t>些“红线”不能碰。</w:t>
      </w:r>
    </w:p>
    <w:p w14:paraId="6D1DF72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default" w:ascii="Times New Roman" w:hAnsi="Times New Roman" w:eastAsia="宋体" w:cs="Times New Roman"/>
          <w:color w:val="231F20"/>
          <w:spacing w:val="-2"/>
        </w:rPr>
      </w:pPr>
      <w:r>
        <w:rPr>
          <w:rFonts w:hint="default" w:ascii="Times New Roman" w:hAnsi="Times New Roman" w:eastAsia="宋体" w:cs="Times New Roman"/>
          <w:color w:val="231F20"/>
          <w:spacing w:val="-1"/>
        </w:rPr>
        <w:t>强化源头治理的长效机制。一是加强理想信念教育，正本清源。深入开展党性教育和宗旨教育，</w:t>
      </w:r>
      <w:r>
        <w:rPr>
          <w:rFonts w:hint="default" w:ascii="Times New Roman" w:hAnsi="Times New Roman" w:eastAsia="宋体" w:cs="Times New Roman"/>
          <w:color w:val="231F20"/>
          <w:spacing w:val="9"/>
        </w:rPr>
        <w:t>引导党员干部树立正确的权力观、政绩观、群众</w:t>
      </w:r>
      <w:r>
        <w:rPr>
          <w:rFonts w:hint="default" w:ascii="Times New Roman" w:hAnsi="Times New Roman" w:eastAsia="宋体" w:cs="Times New Roman"/>
          <w:color w:val="231F20"/>
          <w:spacing w:val="-1"/>
        </w:rPr>
        <w:t>观。通过学习党史、重温入党誓词等方式，让党员干部不忘初心、牢记使命。二是领导干部要带头示范，以上率下。各级领导干部特别是“一把手”要当好表率，坚决不搞形式主义、不搞官僚主义。建立领导干部作风建设责任制，对班子成员出现作风</w:t>
      </w:r>
      <w:r>
        <w:rPr>
          <w:rFonts w:hint="default" w:ascii="Times New Roman" w:hAnsi="Times New Roman" w:eastAsia="宋体" w:cs="Times New Roman"/>
          <w:color w:val="231F20"/>
          <w:spacing w:val="9"/>
        </w:rPr>
        <w:t>问题的，要追究主要领导责任。三是完善制度体</w:t>
      </w:r>
      <w:r>
        <w:rPr>
          <w:rFonts w:hint="default" w:ascii="Times New Roman" w:hAnsi="Times New Roman" w:eastAsia="宋体" w:cs="Times New Roman"/>
          <w:color w:val="231F20"/>
          <w:spacing w:val="-1"/>
        </w:rPr>
        <w:t>系，扎紧笼子。建立健全作风建设长效机制，完善权力运行监督制约机制。特别要堵塞制度漏洞，防止“钻空子”行为。同时要增强制度执行力，防止制度成为“稻草人”。四是营造良好氛围，凝聚整治合力。充分发挥舆论监督作用，对形式主义、官僚主义问题及时曝光。同时要大力宣传务实担当的</w:t>
      </w:r>
      <w:r>
        <w:rPr>
          <w:rFonts w:hint="default" w:ascii="Times New Roman" w:hAnsi="Times New Roman" w:eastAsia="宋体" w:cs="Times New Roman"/>
          <w:color w:val="231F20"/>
          <w:spacing w:val="-2"/>
        </w:rPr>
        <w:t>先进典型，营造崇尚实干、反对空谈的浓厚氛围。</w:t>
      </w:r>
    </w:p>
    <w:p w14:paraId="122D311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rPr>
          <w:rFonts w:hint="default" w:ascii="Times New Roman" w:hAnsi="Times New Roman" w:eastAsia="宋体" w:cs="Times New Roman"/>
        </w:rPr>
      </w:pPr>
      <w:r>
        <w:rPr>
          <w:rFonts w:hint="default" w:ascii="Times New Roman" w:hAnsi="Times New Roman" w:eastAsia="宋体" w:cs="Times New Roman"/>
          <w:color w:val="231F20"/>
          <w:spacing w:val="10"/>
        </w:rPr>
        <w:t>形式主义、官僚主义是党的大敌、人民的大</w:t>
      </w:r>
      <w:r>
        <w:rPr>
          <w:rFonts w:hint="default" w:ascii="Times New Roman" w:hAnsi="Times New Roman" w:eastAsia="宋体" w:cs="Times New Roman"/>
          <w:color w:val="231F20"/>
          <w:spacing w:val="-1"/>
        </w:rPr>
        <w:t>敌。虽然二者表现形式不同，但都严重影响党的形象和事业发展。必须保持“永远在路上”的清醒和</w:t>
      </w:r>
      <w:r>
        <w:rPr>
          <w:rFonts w:hint="default" w:ascii="Times New Roman" w:hAnsi="Times New Roman" w:eastAsia="宋体" w:cs="Times New Roman"/>
          <w:color w:val="231F20"/>
          <w:spacing w:val="9"/>
        </w:rPr>
        <w:t>坚定，以中央八项规定精神为根本遵循，区分情况、精准施策，以钉钉子精神打好作风建设持久战。只有彻底铲除形式主义、官僚主义的生存土</w:t>
      </w:r>
      <w:r>
        <w:rPr>
          <w:rFonts w:hint="default" w:ascii="Times New Roman" w:hAnsi="Times New Roman" w:eastAsia="宋体" w:cs="Times New Roman"/>
          <w:color w:val="231F20"/>
          <w:spacing w:val="-1"/>
        </w:rPr>
        <w:t>壤，才能以优良作风凝聚起全面建设社会主义现代</w:t>
      </w:r>
      <w:r>
        <w:rPr>
          <w:rFonts w:hint="default" w:ascii="Times New Roman" w:hAnsi="Times New Roman" w:eastAsia="宋体" w:cs="Times New Roman"/>
          <w:color w:val="231F20"/>
          <w:spacing w:val="-3"/>
        </w:rPr>
        <w:t>化国家的磅礴力量。</w:t>
      </w:r>
    </w:p>
    <w:p w14:paraId="0F9A6AC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5D9A96D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732C4FF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1"/>
        </w:rPr>
      </w:pPr>
    </w:p>
    <w:p w14:paraId="5F5A845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color w:val="231F20"/>
          <w:spacing w:val="7"/>
          <w:sz w:val="20"/>
          <w:szCs w:val="20"/>
        </w:rPr>
        <w:t>■参考文献</w:t>
      </w:r>
    </w:p>
    <w:p w14:paraId="0F6567F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color w:val="231F20"/>
          <w:spacing w:val="14"/>
          <w:sz w:val="20"/>
          <w:szCs w:val="20"/>
        </w:rPr>
        <w:t>［1］ 《邓小平文选》第3卷，人民出版社</w:t>
      </w:r>
      <w:r>
        <w:rPr>
          <w:rFonts w:hint="default" w:ascii="Times New Roman" w:hAnsi="Times New Roman" w:eastAsia="宋体" w:cs="Times New Roman"/>
          <w:color w:val="231F20"/>
          <w:sz w:val="20"/>
          <w:szCs w:val="20"/>
        </w:rPr>
        <w:t>1993年版，第381页。</w:t>
      </w:r>
    </w:p>
    <w:p w14:paraId="481A36A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0" w:firstLineChars="20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color w:val="231F20"/>
          <w:sz w:val="20"/>
          <w:szCs w:val="20"/>
        </w:rPr>
        <w:t>［2］</w:t>
      </w:r>
      <w:r>
        <w:rPr>
          <w:rFonts w:hint="default" w:ascii="Times New Roman" w:hAnsi="Times New Roman" w:eastAsia="宋体" w:cs="Times New Roman"/>
          <w:color w:val="231F20"/>
          <w:spacing w:val="-19"/>
          <w:sz w:val="20"/>
          <w:szCs w:val="20"/>
        </w:rPr>
        <w:t xml:space="preserve"> </w:t>
      </w:r>
      <w:r>
        <w:rPr>
          <w:rFonts w:hint="default" w:ascii="Times New Roman" w:hAnsi="Times New Roman" w:eastAsia="宋体" w:cs="Times New Roman"/>
          <w:color w:val="231F20"/>
          <w:sz w:val="20"/>
          <w:szCs w:val="20"/>
        </w:rPr>
        <w:t>《习近平关于党风廉政建设和反腐败斗</w:t>
      </w:r>
      <w:r>
        <w:rPr>
          <w:rFonts w:hint="default" w:ascii="Times New Roman" w:hAnsi="Times New Roman" w:eastAsia="宋体" w:cs="Times New Roman"/>
          <w:color w:val="231F20"/>
          <w:spacing w:val="-1"/>
          <w:sz w:val="20"/>
          <w:szCs w:val="20"/>
        </w:rPr>
        <w:t>争论述摘编》，中国方正出版社、中央文献出版社</w:t>
      </w:r>
      <w:r>
        <w:rPr>
          <w:rFonts w:hint="default" w:ascii="Times New Roman" w:hAnsi="Times New Roman" w:eastAsia="宋体" w:cs="Times New Roman"/>
          <w:color w:val="231F20"/>
          <w:spacing w:val="-2"/>
          <w:sz w:val="20"/>
          <w:szCs w:val="20"/>
        </w:rPr>
        <w:t>2015年版，第22页。</w:t>
      </w:r>
    </w:p>
    <w:p w14:paraId="66F2D3E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color w:val="231F20"/>
          <w:spacing w:val="5"/>
          <w:sz w:val="20"/>
          <w:szCs w:val="20"/>
        </w:rPr>
        <w:t>［3］《黑格尔著作集 ·</w:t>
      </w:r>
      <w:r>
        <w:rPr>
          <w:rFonts w:hint="default" w:ascii="Times New Roman" w:hAnsi="Times New Roman" w:eastAsia="宋体" w:cs="Times New Roman"/>
          <w:color w:val="231F20"/>
          <w:spacing w:val="-44"/>
          <w:sz w:val="20"/>
          <w:szCs w:val="20"/>
        </w:rPr>
        <w:t xml:space="preserve"> </w:t>
      </w:r>
      <w:r>
        <w:rPr>
          <w:rFonts w:hint="default" w:ascii="Times New Roman" w:hAnsi="Times New Roman" w:eastAsia="宋体" w:cs="Times New Roman"/>
          <w:color w:val="231F20"/>
          <w:spacing w:val="5"/>
          <w:sz w:val="20"/>
          <w:szCs w:val="20"/>
        </w:rPr>
        <w:t>第7卷 ·</w:t>
      </w:r>
      <w:r>
        <w:rPr>
          <w:rFonts w:hint="default" w:ascii="Times New Roman" w:hAnsi="Times New Roman" w:eastAsia="宋体" w:cs="Times New Roman"/>
          <w:color w:val="231F20"/>
          <w:spacing w:val="-57"/>
          <w:sz w:val="20"/>
          <w:szCs w:val="20"/>
        </w:rPr>
        <w:t xml:space="preserve"> </w:t>
      </w:r>
      <w:r>
        <w:rPr>
          <w:rFonts w:hint="default" w:ascii="Times New Roman" w:hAnsi="Times New Roman" w:eastAsia="宋体" w:cs="Times New Roman"/>
          <w:color w:val="231F20"/>
          <w:spacing w:val="5"/>
          <w:sz w:val="20"/>
          <w:szCs w:val="20"/>
        </w:rPr>
        <w:t>法哲学原</w:t>
      </w:r>
      <w:r>
        <w:rPr>
          <w:rFonts w:hint="default" w:ascii="Times New Roman" w:hAnsi="Times New Roman" w:eastAsia="宋体" w:cs="Times New Roman"/>
          <w:color w:val="231F20"/>
          <w:spacing w:val="-6"/>
          <w:sz w:val="20"/>
          <w:szCs w:val="20"/>
        </w:rPr>
        <w:t>理》，邓安庆译，人民出版社2016年版，第439页。</w:t>
      </w:r>
    </w:p>
    <w:p w14:paraId="07532A3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color w:val="231F20"/>
          <w:spacing w:val="3"/>
          <w:sz w:val="20"/>
          <w:szCs w:val="20"/>
        </w:rPr>
        <w:t>［4］ 《马克思恩格斯全集》第1卷，中共中</w:t>
      </w:r>
      <w:r>
        <w:rPr>
          <w:rFonts w:hint="default" w:ascii="Times New Roman" w:hAnsi="Times New Roman" w:eastAsia="宋体" w:cs="Times New Roman"/>
          <w:color w:val="231F20"/>
          <w:spacing w:val="-1"/>
          <w:sz w:val="20"/>
          <w:szCs w:val="20"/>
        </w:rPr>
        <w:t>央编译局译，人民出版社1956年版，第302页。</w:t>
      </w:r>
    </w:p>
    <w:p w14:paraId="70D3C09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color w:val="231F20"/>
          <w:spacing w:val="13"/>
          <w:sz w:val="20"/>
          <w:szCs w:val="20"/>
        </w:rPr>
        <w:t>［5</w:t>
      </w:r>
      <w:r>
        <w:rPr>
          <w:rFonts w:hint="default" w:ascii="Times New Roman" w:hAnsi="Times New Roman" w:eastAsia="宋体" w:cs="Times New Roman"/>
          <w:color w:val="231F20"/>
          <w:spacing w:val="-41"/>
          <w:sz w:val="20"/>
          <w:szCs w:val="20"/>
        </w:rPr>
        <w:t xml:space="preserve"> </w:t>
      </w:r>
      <w:r>
        <w:rPr>
          <w:rFonts w:hint="default" w:ascii="Times New Roman" w:hAnsi="Times New Roman" w:eastAsia="宋体" w:cs="Times New Roman"/>
          <w:color w:val="231F20"/>
          <w:spacing w:val="13"/>
          <w:sz w:val="20"/>
          <w:szCs w:val="20"/>
        </w:rPr>
        <w:t>］</w:t>
      </w:r>
      <w:r>
        <w:rPr>
          <w:rFonts w:hint="default" w:ascii="Times New Roman" w:hAnsi="Times New Roman" w:eastAsia="宋体" w:cs="Times New Roman"/>
          <w:color w:val="231F20"/>
          <w:spacing w:val="-12"/>
          <w:sz w:val="20"/>
          <w:szCs w:val="20"/>
        </w:rPr>
        <w:t xml:space="preserve"> </w:t>
      </w:r>
      <w:r>
        <w:rPr>
          <w:rFonts w:hint="default" w:ascii="Times New Roman" w:hAnsi="Times New Roman" w:eastAsia="宋体" w:cs="Times New Roman"/>
          <w:color w:val="231F20"/>
          <w:spacing w:val="13"/>
          <w:sz w:val="20"/>
          <w:szCs w:val="20"/>
        </w:rPr>
        <w:t>《建党以来重要文献选编：1</w:t>
      </w:r>
      <w:r>
        <w:rPr>
          <w:rFonts w:hint="default" w:ascii="Times New Roman" w:hAnsi="Times New Roman" w:eastAsia="宋体" w:cs="Times New Roman"/>
          <w:color w:val="231F20"/>
          <w:spacing w:val="-27"/>
          <w:sz w:val="20"/>
          <w:szCs w:val="20"/>
        </w:rPr>
        <w:t xml:space="preserve"> </w:t>
      </w:r>
      <w:r>
        <w:rPr>
          <w:rFonts w:hint="default" w:ascii="Times New Roman" w:hAnsi="Times New Roman" w:eastAsia="宋体" w:cs="Times New Roman"/>
          <w:color w:val="231F20"/>
          <w:spacing w:val="13"/>
          <w:sz w:val="20"/>
          <w:szCs w:val="20"/>
        </w:rPr>
        <w:t>921</w:t>
      </w:r>
      <w:r>
        <w:rPr>
          <w:rFonts w:hint="default" w:ascii="Times New Roman" w:hAnsi="Times New Roman" w:eastAsia="宋体" w:cs="Times New Roman"/>
          <w:color w:val="231F20"/>
          <w:spacing w:val="-75"/>
          <w:sz w:val="20"/>
          <w:szCs w:val="20"/>
        </w:rPr>
        <w:t xml:space="preserve"> </w:t>
      </w:r>
      <w:r>
        <w:rPr>
          <w:rFonts w:hint="default" w:ascii="Times New Roman" w:hAnsi="Times New Roman" w:eastAsia="宋体" w:cs="Times New Roman"/>
          <w:color w:val="231F20"/>
          <w:spacing w:val="13"/>
          <w:sz w:val="20"/>
          <w:szCs w:val="20"/>
        </w:rPr>
        <w:t>—</w:t>
      </w:r>
      <w:r>
        <w:rPr>
          <w:rFonts w:hint="default" w:ascii="Times New Roman" w:hAnsi="Times New Roman" w:eastAsia="宋体" w:cs="Times New Roman"/>
          <w:color w:val="231F20"/>
          <w:sz w:val="20"/>
          <w:szCs w:val="20"/>
        </w:rPr>
        <w:t xml:space="preserve"> </w:t>
      </w:r>
      <w:r>
        <w:rPr>
          <w:rFonts w:hint="default" w:ascii="Times New Roman" w:hAnsi="Times New Roman" w:eastAsia="宋体" w:cs="Times New Roman"/>
          <w:color w:val="231F20"/>
          <w:spacing w:val="1"/>
          <w:sz w:val="20"/>
          <w:szCs w:val="20"/>
        </w:rPr>
        <w:t>1949》，中央文献出版社2011年版，第59</w:t>
      </w:r>
      <w:r>
        <w:rPr>
          <w:rFonts w:hint="default" w:ascii="Times New Roman" w:hAnsi="Times New Roman" w:eastAsia="宋体" w:cs="Times New Roman"/>
          <w:color w:val="231F20"/>
          <w:sz w:val="20"/>
          <w:szCs w:val="20"/>
        </w:rPr>
        <w:t>7页。</w:t>
      </w:r>
    </w:p>
    <w:p w14:paraId="6960125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4" w:firstLineChars="200"/>
        <w:jc w:val="both"/>
        <w:textAlignment w:val="baseline"/>
        <w:rPr>
          <w:rFonts w:hint="default" w:ascii="Times New Roman" w:hAnsi="Times New Roman" w:eastAsia="宋体" w:cs="Times New Roman"/>
          <w:color w:val="231F20"/>
          <w:spacing w:val="-4"/>
          <w:sz w:val="20"/>
          <w:szCs w:val="20"/>
        </w:rPr>
      </w:pPr>
    </w:p>
    <w:p w14:paraId="10F2B5D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4" w:firstLineChars="200"/>
        <w:jc w:val="both"/>
        <w:textAlignment w:val="baseline"/>
        <w:rPr>
          <w:rFonts w:hint="default" w:ascii="Times New Roman" w:hAnsi="Times New Roman" w:eastAsia="宋体" w:cs="Times New Roman"/>
          <w:color w:val="231F20"/>
          <w:spacing w:val="-4"/>
          <w:sz w:val="20"/>
          <w:szCs w:val="20"/>
        </w:rPr>
      </w:pPr>
    </w:p>
    <w:p w14:paraId="4CD8E6B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hint="default" w:ascii="Times New Roman" w:hAnsi="Times New Roman" w:eastAsia="宋体" w:cs="Times New Roman"/>
          <w:color w:val="231F20"/>
          <w:spacing w:val="-4"/>
          <w:sz w:val="20"/>
          <w:szCs w:val="20"/>
          <w:lang w:val="en-US"/>
        </w:rPr>
      </w:pPr>
      <w:r>
        <w:rPr>
          <w:rFonts w:hint="eastAsia" w:ascii="Times New Roman" w:hAnsi="Times New Roman" w:eastAsia="宋体" w:cs="Times New Roman"/>
          <w:sz w:val="24"/>
          <w:szCs w:val="24"/>
          <w:lang w:val="en-US" w:eastAsia="zh-CN"/>
        </w:rPr>
        <w:t>（《思想政治工作研究》2025年第8期，第二作者为方海峰）</w:t>
      </w:r>
    </w:p>
    <w:p w14:paraId="12D4FD0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0" w:firstLineChars="200"/>
        <w:jc w:val="both"/>
        <w:textAlignment w:val="baseline"/>
        <w:rPr>
          <w:rFonts w:hint="default" w:ascii="Times New Roman" w:hAnsi="Times New Roman" w:eastAsia="宋体" w:cs="Times New Roman"/>
          <w:sz w:val="20"/>
          <w:szCs w:val="20"/>
        </w:rPr>
      </w:pPr>
    </w:p>
    <w:p w14:paraId="0F584188"/>
    <w:p w14:paraId="479EB759">
      <w:pPr>
        <w:pStyle w:val="2"/>
        <w:bidi w:val="0"/>
      </w:pPr>
      <w:bookmarkStart w:id="871" w:name="_Toc1226217396"/>
      <w:bookmarkStart w:id="872" w:name="_Toc847719675"/>
      <w:bookmarkStart w:id="873" w:name="_Toc59475747"/>
      <w:bookmarkStart w:id="874" w:name="_Toc18458"/>
      <w:bookmarkStart w:id="875" w:name="_Toc1880172951"/>
      <w:bookmarkStart w:id="876" w:name="_Toc299724925"/>
      <w:r>
        <w:rPr>
          <w:rFonts w:hint="eastAsia"/>
          <w:lang w:val="en-US" w:eastAsia="zh-CN"/>
        </w:rPr>
        <w:t>20</w:t>
      </w:r>
      <w:r>
        <w:t>马克思主义经济美学视域下的高质量发展——兼谈“中国之治”与“西方之乱”的深层根源</w:t>
      </w:r>
      <w:bookmarkEnd w:id="871"/>
      <w:bookmarkEnd w:id="872"/>
      <w:bookmarkEnd w:id="873"/>
      <w:bookmarkEnd w:id="874"/>
      <w:bookmarkEnd w:id="875"/>
      <w:bookmarkEnd w:id="876"/>
    </w:p>
    <w:p w14:paraId="0F9C826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0C49A84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rPr>
      </w:pPr>
      <w:r>
        <w:rPr>
          <w:rFonts w:hint="eastAsia" w:ascii="宋体" w:hAnsi="宋体" w:eastAsia="宋体" w:cs="宋体"/>
          <w:color w:val="231F20"/>
          <w:spacing w:val="0"/>
          <w:w w:val="100"/>
          <w:position w:val="0"/>
        </w:rPr>
        <w:t>摘要：中国特色社会主义进入新时代，我国经济建设实现高质量发展，从马克思主义经济美学的角度来看，这是因为我国经济具有“创新美”“秩序美”“生态美”“和平美”“正义美”“和谐美”的特征，并体现在现代化经济体系、中国式现代化与新发展理念等方面。马克思主义经济美学通过社会主义制度重构，建立以制度公正、运行有序和发展和谐为核心的经济活动的美学评判标准；“西方之乱”则是资本主义内在矛盾即资本主义社会化大生产与生产资料私有制的必然结果。二者的对比，不仅验证了马克思主义的当代解释力，也为人类探索更合理的文明新形态和建设具有马克思主义经济美学意义的高水平社会主义市场经济体制提供了实践证明。</w:t>
      </w:r>
    </w:p>
    <w:p w14:paraId="56E5F3E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pacing w:val="0"/>
          <w:w w:val="100"/>
          <w:position w:val="0"/>
        </w:rPr>
      </w:pPr>
      <w:r>
        <w:rPr>
          <w:rFonts w:hint="eastAsia" w:ascii="宋体" w:hAnsi="宋体" w:eastAsia="宋体" w:cs="宋体"/>
          <w:color w:val="231F20"/>
          <w:spacing w:val="0"/>
          <w:w w:val="100"/>
          <w:position w:val="0"/>
        </w:rPr>
        <w:t>关键词：马克思主义；经济美学；高质量发展；新发展理念；中国之治</w:t>
      </w:r>
    </w:p>
    <w:p w14:paraId="7F12193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1BD9833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高质量发展是近年来我国经济发展的核心特征，是中国式现代化的本质要求。习近平总书记强调，“必须把发展质量问题摆在更为突出的位置，着力提升发展质量和效益”。</w:t>
      </w:r>
      <w:r>
        <w:rPr>
          <w:rStyle w:val="20"/>
          <w:rFonts w:ascii="方正书宋简体" w:hAnsi="方正书宋简体" w:eastAsia="方正书宋简体" w:cs="方正书宋简体"/>
          <w:color w:val="231F20"/>
          <w:spacing w:val="0"/>
          <w:w w:val="100"/>
          <w:position w:val="0"/>
          <w:sz w:val="21"/>
          <w:szCs w:val="21"/>
        </w:rPr>
        <w:footnoteReference w:id="1054"/>
      </w:r>
      <w:r>
        <w:rPr>
          <w:color w:val="231F20"/>
          <w:spacing w:val="0"/>
          <w:w w:val="100"/>
          <w:position w:val="0"/>
          <w:sz w:val="11"/>
          <w:szCs w:val="11"/>
        </w:rPr>
        <w:t>①</w:t>
      </w:r>
      <w:r>
        <w:rPr>
          <w:rFonts w:ascii="方正书宋简体" w:hAnsi="方正书宋简体" w:eastAsia="方正书宋简体" w:cs="方正书宋简体"/>
          <w:color w:val="231F20"/>
          <w:spacing w:val="0"/>
          <w:w w:val="100"/>
          <w:position w:val="0"/>
          <w:sz w:val="21"/>
          <w:szCs w:val="21"/>
        </w:rPr>
        <w:t>目前，学界已从马克思主义政治经济学、马克思主义哲学和科学社会主义等多维度对高质量发展展开比较充分的研究，笔者认为，与单纯追求GDP增速、相对忽视社会公平正义的“高速发展”相比，追求经济发展质量和效益并重的“高质量发展”更能体现“经济美”，具有马克思主义经济美学的重要意义。从马克思主义经济美学的角度出发审视我国经济高质量发展，有利于加深学界对于经济行为、经济机制和经济规律的科学认识，为构建中国自主知识体系做出贡献。为此，笔者提出要构建马克思主义经济美学知识体系，倡导将马克思主义政治经济学与美学有机融合，从“经济美”的角度对社会主义市场经济进行理论探讨，揭示高质量发展具有的马克思主义经济美学意蕴，进而分析“中国之治”与“西方之乱”的深层次根源。</w:t>
      </w:r>
    </w:p>
    <w:p w14:paraId="3D51D15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0239439F">
      <w:pPr>
        <w:pStyle w:val="4"/>
        <w:bidi w:val="0"/>
      </w:pPr>
      <w:r>
        <w:t>一、构建马克思主义经济美学：基本内涵、核心范畴与重要意义</w:t>
      </w:r>
    </w:p>
    <w:p w14:paraId="7CD0594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66B3F89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（一）何为“马克思主义经济美学”</w:t>
      </w:r>
    </w:p>
    <w:p w14:paraId="4DE7F16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spacing w:val="0"/>
          <w:w w:val="100"/>
          <w:position w:val="0"/>
          <w:sz w:val="11"/>
          <w:szCs w:val="11"/>
        </w:rPr>
      </w:pPr>
      <w:r>
        <w:rPr>
          <w:rFonts w:ascii="方正书宋简体" w:hAnsi="方正书宋简体" w:eastAsia="方正书宋简体" w:cs="方正书宋简体"/>
          <w:color w:val="231F20"/>
          <w:spacing w:val="0"/>
          <w:w w:val="100"/>
          <w:position w:val="0"/>
          <w:sz w:val="21"/>
          <w:szCs w:val="21"/>
        </w:rPr>
        <w:t>经济美学作为新兴的跨学科研究领域，主要探讨经济活动与审美价值的互动关系，主要包括“经济活动的审美化”和“审美活动的经济化”。相较而言，“经济活动的审美化”侧重于探讨美与经济实践（特别是生产活动）之间的关系。比如，李泽厚提出“实践美学”，认为人类经济活动（物质生产）是审美活动的基础，劳动过程中产生的“形式感”是美感的起源。</w:t>
      </w:r>
      <w:r>
        <w:rPr>
          <w:rStyle w:val="20"/>
          <w:rFonts w:ascii="方正书宋简体" w:hAnsi="方正书宋简体" w:eastAsia="方正书宋简体" w:cs="方正书宋简体"/>
          <w:color w:val="231F20"/>
          <w:spacing w:val="0"/>
          <w:w w:val="100"/>
          <w:position w:val="0"/>
          <w:sz w:val="21"/>
          <w:szCs w:val="21"/>
        </w:rPr>
        <w:footnoteReference w:id="1055"/>
      </w:r>
      <w:r>
        <w:rPr>
          <w:rFonts w:ascii="方正书宋简体" w:hAnsi="方正书宋简体" w:eastAsia="方正书宋简体" w:cs="方正书宋简体"/>
          <w:color w:val="231F20"/>
          <w:spacing w:val="0"/>
          <w:w w:val="100"/>
          <w:position w:val="0"/>
          <w:sz w:val="21"/>
          <w:szCs w:val="21"/>
        </w:rPr>
        <w:t>范正美强调，实用美和艺术美之间没有不可逾越的鸿沟，“随着科学技术的巨大进步，生产的发展，人们物质生活和精神生活需要的改善，人们在实用品的生产和使用上，越来越重视实用美的作用和意义”。</w:t>
      </w:r>
      <w:r>
        <w:rPr>
          <w:rStyle w:val="20"/>
          <w:rFonts w:ascii="方正书宋简体" w:hAnsi="方正书宋简体" w:eastAsia="方正书宋简体" w:cs="方正书宋简体"/>
          <w:color w:val="231F20"/>
          <w:spacing w:val="0"/>
          <w:w w:val="100"/>
          <w:position w:val="0"/>
          <w:sz w:val="21"/>
          <w:szCs w:val="21"/>
        </w:rPr>
        <w:footnoteReference w:id="1056"/>
      </w:r>
      <w:r>
        <w:rPr>
          <w:rFonts w:ascii="方正书宋简体" w:hAnsi="方正书宋简体" w:eastAsia="方正书宋简体" w:cs="方正书宋简体"/>
          <w:color w:val="231F20"/>
          <w:spacing w:val="0"/>
          <w:w w:val="100"/>
          <w:position w:val="0"/>
          <w:sz w:val="21"/>
          <w:szCs w:val="21"/>
        </w:rPr>
        <w:t>凌继尧和张晓刚强调：“经济审美化能够产生巨大的经济效益，有助于推动我国的经济转型。”</w:t>
      </w:r>
      <w:r>
        <w:rPr>
          <w:rStyle w:val="20"/>
          <w:rFonts w:ascii="方正书宋简体" w:hAnsi="方正书宋简体" w:eastAsia="方正书宋简体" w:cs="方正书宋简体"/>
          <w:color w:val="231F20"/>
          <w:spacing w:val="0"/>
          <w:w w:val="100"/>
          <w:position w:val="0"/>
          <w:sz w:val="21"/>
          <w:szCs w:val="21"/>
        </w:rPr>
        <w:footnoteReference w:id="1057"/>
      </w:r>
    </w:p>
    <w:p w14:paraId="04A4C5C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spacing w:val="0"/>
          <w:w w:val="100"/>
          <w:position w:val="0"/>
          <w:sz w:val="11"/>
          <w:szCs w:val="11"/>
        </w:rPr>
      </w:pPr>
      <w:r>
        <w:rPr>
          <w:rFonts w:ascii="方正书宋简体" w:hAnsi="方正书宋简体" w:eastAsia="方正书宋简体" w:cs="方正书宋简体"/>
          <w:color w:val="231F20"/>
          <w:spacing w:val="0"/>
          <w:w w:val="100"/>
          <w:position w:val="0"/>
          <w:sz w:val="21"/>
          <w:szCs w:val="21"/>
        </w:rPr>
        <w:t>“审美活动的经济化”则侧重探讨美所具有的社会经济价值及其在资本主义生产关系下的异化。如诺贝尔经济学奖得主丹尼尔·卡尼曼等人提出行为经济学研究中著名的“峰终定律”，证明消费者的审美体验（如购物的愉悦感）影响经济决策。</w:t>
      </w:r>
      <w:r>
        <w:rPr>
          <w:rStyle w:val="20"/>
          <w:rFonts w:ascii="方正书宋简体" w:hAnsi="方正书宋简体" w:eastAsia="方正书宋简体" w:cs="方正书宋简体"/>
          <w:color w:val="231F20"/>
          <w:spacing w:val="0"/>
          <w:w w:val="100"/>
          <w:position w:val="0"/>
          <w:sz w:val="21"/>
          <w:szCs w:val="21"/>
        </w:rPr>
        <w:footnoteReference w:id="1058"/>
      </w:r>
      <w:r>
        <w:rPr>
          <w:rFonts w:ascii="方正书宋简体" w:hAnsi="方正书宋简体" w:eastAsia="方正书宋简体" w:cs="方正书宋简体"/>
          <w:color w:val="231F20"/>
          <w:spacing w:val="0"/>
          <w:w w:val="100"/>
          <w:position w:val="0"/>
          <w:sz w:val="21"/>
          <w:szCs w:val="21"/>
        </w:rPr>
        <w:t>法兰克福学派代表人物本雅明提出“机械复制时代的艺术”，认为技术在让审美体验民主化的同时，消解了传统艺术所具有的光韵。</w:t>
      </w:r>
      <w:r>
        <w:rPr>
          <w:rStyle w:val="20"/>
          <w:rFonts w:ascii="方正书宋简体" w:hAnsi="方正书宋简体" w:eastAsia="方正书宋简体" w:cs="方正书宋简体"/>
          <w:color w:val="231F20"/>
          <w:spacing w:val="0"/>
          <w:w w:val="100"/>
          <w:position w:val="0"/>
          <w:sz w:val="21"/>
          <w:szCs w:val="21"/>
        </w:rPr>
        <w:footnoteReference w:id="1059"/>
      </w:r>
      <w:r>
        <w:rPr>
          <w:rFonts w:ascii="方正书宋简体" w:hAnsi="方正书宋简体" w:eastAsia="方正书宋简体" w:cs="方正书宋简体"/>
          <w:color w:val="231F20"/>
          <w:spacing w:val="0"/>
          <w:w w:val="100"/>
          <w:position w:val="0"/>
          <w:sz w:val="21"/>
          <w:szCs w:val="21"/>
        </w:rPr>
        <w:t>法国哲学家皮埃尔·布尔迪厄指出：“趣味进行分类，为实行分类的人分类：社会主体通过他们对美与丑、优雅与粗俗所做的区分而区分开来，他们在客观分类中的位置便表达或体现在这些区分之中。”</w:t>
      </w:r>
      <w:r>
        <w:rPr>
          <w:rStyle w:val="20"/>
          <w:rFonts w:ascii="方正书宋简体" w:hAnsi="方正书宋简体" w:eastAsia="方正书宋简体" w:cs="方正书宋简体"/>
          <w:color w:val="231F20"/>
          <w:spacing w:val="0"/>
          <w:w w:val="100"/>
          <w:position w:val="0"/>
          <w:sz w:val="21"/>
          <w:szCs w:val="21"/>
        </w:rPr>
        <w:footnoteReference w:id="1060"/>
      </w:r>
    </w:p>
    <w:p w14:paraId="146B8A8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那么，什么是“马克思主义经济美学”呢？根据马克思主义基本原理，劳动是创造财富的源泉，既是物质财富和精神财富的创造源泉，也是审美财富的创造源泉。从价值论的角度来看，美包含着主体的价值判断与价值选择。在人类社会出现之前，“自在自然”无所谓美与丑之分。只有当人类社会出现以后，随着人的实践活动发展，劳动成为美的对象，“人化自然”才有了美丑之分。人在劳动实践中，不仅可以把产品作为美的对象，而且人的生命活动本身，即劳动活动和生活本身也可以成为美的对象，从而美的领域在自由创造的实践中便逐渐展现和扩大起来。</w:t>
      </w:r>
      <w:r>
        <w:rPr>
          <w:rStyle w:val="20"/>
          <w:rFonts w:ascii="方正书宋简体" w:hAnsi="方正书宋简体" w:eastAsia="方正书宋简体" w:cs="方正书宋简体"/>
          <w:color w:val="231F20"/>
          <w:spacing w:val="0"/>
          <w:w w:val="100"/>
          <w:position w:val="0"/>
          <w:sz w:val="21"/>
          <w:szCs w:val="21"/>
        </w:rPr>
        <w:footnoteReference w:id="1061"/>
      </w:r>
      <w:r>
        <w:rPr>
          <w:color w:val="231F20"/>
          <w:spacing w:val="0"/>
          <w:w w:val="100"/>
          <w:position w:val="0"/>
          <w:sz w:val="11"/>
          <w:szCs w:val="11"/>
        </w:rPr>
        <w:t>①</w:t>
      </w:r>
      <w:r>
        <w:rPr>
          <w:rFonts w:ascii="方正书宋简体" w:hAnsi="方正书宋简体" w:eastAsia="方正书宋简体" w:cs="方正书宋简体"/>
          <w:color w:val="231F20"/>
          <w:spacing w:val="0"/>
          <w:w w:val="100"/>
          <w:position w:val="0"/>
          <w:sz w:val="21"/>
          <w:szCs w:val="21"/>
        </w:rPr>
        <w:t>“马克思主义经济学深刻批判各种私有制所带来的‘经济丑’，揭示了人类‘经济美’和经济制度美的内在规律，具有一种与（自然）科学美相似的经济科学美或经济学美的要素和特征。”</w:t>
      </w:r>
      <w:r>
        <w:rPr>
          <w:rStyle w:val="20"/>
          <w:rFonts w:ascii="方正书宋简体" w:hAnsi="方正书宋简体" w:eastAsia="方正书宋简体" w:cs="方正书宋简体"/>
          <w:color w:val="231F20"/>
          <w:spacing w:val="0"/>
          <w:w w:val="100"/>
          <w:position w:val="0"/>
          <w:sz w:val="21"/>
          <w:szCs w:val="21"/>
        </w:rPr>
        <w:footnoteReference w:id="1062"/>
      </w:r>
      <w:r>
        <w:rPr>
          <w:color w:val="231F20"/>
          <w:spacing w:val="0"/>
          <w:w w:val="100"/>
          <w:position w:val="0"/>
          <w:sz w:val="11"/>
          <w:szCs w:val="11"/>
        </w:rPr>
        <w:t>②</w:t>
      </w:r>
      <w:r>
        <w:rPr>
          <w:rFonts w:ascii="方正书宋简体" w:hAnsi="方正书宋简体" w:eastAsia="方正书宋简体" w:cs="方正书宋简体"/>
          <w:color w:val="231F20"/>
          <w:spacing w:val="0"/>
          <w:w w:val="100"/>
          <w:position w:val="0"/>
          <w:sz w:val="21"/>
          <w:szCs w:val="21"/>
        </w:rPr>
        <w:t>正是从这个意义上，马克思主义强调“劳动生产了美”。</w:t>
      </w:r>
      <w:r>
        <w:rPr>
          <w:rStyle w:val="20"/>
          <w:rFonts w:ascii="方正书宋简体" w:hAnsi="方正书宋简体" w:eastAsia="方正书宋简体" w:cs="方正书宋简体"/>
          <w:color w:val="231F20"/>
          <w:spacing w:val="0"/>
          <w:w w:val="100"/>
          <w:position w:val="0"/>
          <w:sz w:val="21"/>
          <w:szCs w:val="21"/>
        </w:rPr>
        <w:footnoteReference w:id="1063"/>
      </w:r>
      <w:r>
        <w:rPr>
          <w:color w:val="231F20"/>
          <w:spacing w:val="0"/>
          <w:w w:val="100"/>
          <w:position w:val="0"/>
          <w:sz w:val="11"/>
          <w:szCs w:val="11"/>
        </w:rPr>
        <w:t>③</w:t>
      </w:r>
      <w:r>
        <w:rPr>
          <w:rFonts w:ascii="方正书宋简体" w:hAnsi="方正书宋简体" w:eastAsia="方正书宋简体" w:cs="方正书宋简体"/>
          <w:color w:val="231F20"/>
          <w:spacing w:val="0"/>
          <w:w w:val="100"/>
          <w:position w:val="0"/>
          <w:sz w:val="21"/>
          <w:szCs w:val="21"/>
        </w:rPr>
        <w:t>美与生产劳动是须臾不可分的，是主体对生产劳动的价值判断和价值选择。因而，本文强调的“构建马克思主义经济美学”主要是从“经济活动的审美化”这一角度来说的。</w:t>
      </w:r>
    </w:p>
    <w:p w14:paraId="2603D62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（二）构建马克思主义经济美学的意义与价值何在</w:t>
      </w:r>
    </w:p>
    <w:p w14:paraId="4C1FBA8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spacing w:val="0"/>
          <w:w w:val="100"/>
          <w:position w:val="0"/>
          <w:sz w:val="11"/>
          <w:szCs w:val="11"/>
        </w:rPr>
      </w:pPr>
      <w:r>
        <w:rPr>
          <w:rFonts w:ascii="方正书宋简体" w:hAnsi="方正书宋简体" w:eastAsia="方正书宋简体" w:cs="方正书宋简体"/>
          <w:color w:val="231F20"/>
          <w:spacing w:val="0"/>
          <w:w w:val="100"/>
          <w:position w:val="0"/>
          <w:sz w:val="21"/>
          <w:szCs w:val="21"/>
        </w:rPr>
        <w:t>经济行为作为知识、情感与意志的统一，其中必然包含审美因素这一主体的价值判断、价值选择。早在古代农业社会，勤劳勇敢的中国人民就意识到了这一点。东汉经学家、文字学家许慎编著的《说文解字》形容汉字的“美”曰：“美，甘也。从羊，从大。羊在六畜主给膳也。美与善同意。”</w:t>
      </w:r>
      <w:r>
        <w:rPr>
          <w:rStyle w:val="20"/>
          <w:rFonts w:ascii="方正书宋简体" w:hAnsi="方正书宋简体" w:eastAsia="方正书宋简体" w:cs="方正书宋简体"/>
          <w:color w:val="231F20"/>
          <w:spacing w:val="0"/>
          <w:w w:val="100"/>
          <w:position w:val="0"/>
          <w:sz w:val="21"/>
          <w:szCs w:val="21"/>
        </w:rPr>
        <w:footnoteReference w:id="1064"/>
      </w:r>
      <w:r>
        <w:rPr>
          <w:rFonts w:ascii="方正书宋简体" w:hAnsi="方正书宋简体" w:eastAsia="方正书宋简体" w:cs="方正书宋简体"/>
          <w:color w:val="231F20"/>
          <w:spacing w:val="0"/>
          <w:w w:val="100"/>
          <w:position w:val="0"/>
          <w:sz w:val="21"/>
          <w:szCs w:val="21"/>
        </w:rPr>
        <w:t>“羊成为美的对象和社会生活中畜牧业的出现是分不开的。羊作为驯养的动物是当时人们生活资料的重要来源，对人类来说是可亲的对象。对处于人类低生理需要动机阶段的原始人类来说，还有什么东西比又肥又大的羊能使其感到美呢？从‘美’字可以看出，美是与经济实践密不可分的。”</w:t>
      </w:r>
      <w:r>
        <w:rPr>
          <w:rStyle w:val="20"/>
          <w:rFonts w:ascii="方正书宋简体" w:hAnsi="方正书宋简体" w:eastAsia="方正书宋简体" w:cs="方正书宋简体"/>
          <w:color w:val="231F20"/>
          <w:spacing w:val="0"/>
          <w:w w:val="100"/>
          <w:position w:val="0"/>
          <w:sz w:val="21"/>
          <w:szCs w:val="21"/>
        </w:rPr>
        <w:footnoteReference w:id="1065"/>
      </w:r>
    </w:p>
    <w:p w14:paraId="7E7EADA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西方世界亦形成了关于生产劳动与美的关系的类似认知。如古希腊哲学家柏拉图认为，城邦的和谐基于分工协作，不同职业（如农夫、工匠、守卫者）通过劳动各司其职，共同实现“正义之美”。</w:t>
      </w:r>
      <w:r>
        <w:rPr>
          <w:rStyle w:val="20"/>
          <w:rFonts w:ascii="方正书宋简体" w:hAnsi="方正书宋简体" w:eastAsia="方正书宋简体" w:cs="方正书宋简体"/>
          <w:color w:val="231F20"/>
          <w:spacing w:val="0"/>
          <w:w w:val="100"/>
          <w:position w:val="0"/>
          <w:sz w:val="21"/>
          <w:szCs w:val="21"/>
        </w:rPr>
        <w:footnoteReference w:id="1066"/>
      </w:r>
      <w:r>
        <w:rPr>
          <w:rFonts w:ascii="方正书宋简体" w:hAnsi="方正书宋简体" w:eastAsia="方正书宋简体" w:cs="方正书宋简体"/>
          <w:color w:val="231F20"/>
          <w:spacing w:val="0"/>
          <w:w w:val="100"/>
          <w:position w:val="0"/>
          <w:sz w:val="21"/>
          <w:szCs w:val="21"/>
        </w:rPr>
        <w:t>但他贬低纯粹体力劳动，认为其服务于物质需求，而哲学家的“灵魂劳动”（即追求真理的活动）才是最高级的审美活动。古希腊哲学家亚里士多德提出，技艺（如建筑、雕塑）是通过劳动将潜在形式赋予质料的过程，美的产生依赖工匠对“适度”（如雕塑的比例协调）的把握。</w:t>
      </w:r>
      <w:r>
        <w:rPr>
          <w:rStyle w:val="20"/>
          <w:rFonts w:ascii="方正书宋简体" w:hAnsi="方正书宋简体" w:eastAsia="方正书宋简体" w:cs="方正书宋简体"/>
          <w:color w:val="231F20"/>
          <w:spacing w:val="0"/>
          <w:w w:val="100"/>
          <w:position w:val="0"/>
          <w:sz w:val="21"/>
          <w:szCs w:val="21"/>
        </w:rPr>
        <w:footnoteReference w:id="1067"/>
      </w:r>
      <w:r>
        <w:rPr>
          <w:rFonts w:ascii="方正书宋简体" w:hAnsi="方正书宋简体" w:eastAsia="方正书宋简体" w:cs="方正书宋简体"/>
          <w:color w:val="231F20"/>
          <w:spacing w:val="0"/>
          <w:w w:val="100"/>
          <w:position w:val="0"/>
          <w:sz w:val="21"/>
          <w:szCs w:val="21"/>
        </w:rPr>
        <w:t>撇开上述认知的阶级局限性不谈，柏拉图、亚里士多德等人对生产劳动与美的关系的揭示具有重要价值。</w:t>
      </w:r>
    </w:p>
    <w:p w14:paraId="13FB27F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经济涉及的是物质生产、分配、交换、消费等问题，而美则涉及艺术创作规律以及艺术作品的欣赏与评价等问题，美是事物具有的某种形式、结构、属性和法则，是一种能产生某种美感的客观性质，因而经济学和美学似乎是两门毫不相干的学科。西方实证主义、实用主义经济学宣扬纯粹的“客观性”“科学性”，更是将主体的价值判断、价值选择视为“不科学”“非理性”的因素抛掷在理论模型建构之外。但实际上，经济与美有着客观的联系，把二者结合起来，进而将经济学研究引进美学的知识和方法之中，这是十分必要的。</w:t>
      </w:r>
    </w:p>
    <w:p w14:paraId="4035453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因为经济活动是一个整体的协调过程，大到整个国民经济的宏观调控，小到企业和个人的生产与消费，都是多种因素相互协调和统一的关系，理应尽力使经济运行和谐、有序、完美。习近平总书记指出：“我们要坚定信心、凝聚共识、统筹谋划、协同推进，坚持社会主义市场经济的改革方向不动摇，增强改革的系统性、整体性、协同性，以更大的政治勇气和智慧推动下一步改革。”</w:t>
      </w:r>
      <w:r>
        <w:rPr>
          <w:rStyle w:val="20"/>
          <w:rFonts w:ascii="方正书宋简体" w:hAnsi="方正书宋简体" w:eastAsia="方正书宋简体" w:cs="方正书宋简体"/>
          <w:color w:val="231F20"/>
          <w:spacing w:val="0"/>
          <w:w w:val="100"/>
          <w:position w:val="0"/>
          <w:sz w:val="21"/>
          <w:szCs w:val="21"/>
        </w:rPr>
        <w:footnoteReference w:id="1068"/>
      </w:r>
      <w:r>
        <w:rPr>
          <w:rFonts w:ascii="方正书宋简体" w:hAnsi="方正书宋简体" w:eastAsia="方正书宋简体" w:cs="方正书宋简体"/>
          <w:color w:val="231F20"/>
          <w:spacing w:val="0"/>
          <w:w w:val="100"/>
          <w:position w:val="0"/>
          <w:sz w:val="21"/>
          <w:szCs w:val="21"/>
        </w:rPr>
        <w:t>做到这一点，其本身就能引起人的美感，符合美的发展规律；否则，各种丑恶现象便会滋生。中国应当按照“经济美”的规律，健全市场经济的社会信用体系，讲求经济运行的和谐一致，使整个经济领域充满美，进而使人们从生产中、市场上增加美感体验，怡情悦性，振奋精神，更好地为新时代中国特色社会主义建设服务。</w:t>
      </w:r>
    </w:p>
    <w:p w14:paraId="0831348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（三）“经济美”和“经济丑”：马克思主义经济美学的一对核心范畴</w:t>
      </w:r>
    </w:p>
    <w:p w14:paraId="1EAECDF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通过经济学和美学的有机融合，我们可以更深入、更广泛地探讨经济行为、经济机制和经济规律。例如，美和丑是美学中最为基本、最为核心的一对范畴，与之相对，“经济美”和“经济丑”则为经济美学的一对核心范畴。“经济美”是在生产劳动实践中产生的，是指人类经济活动中具有制度公正、运行有序和发展和谐等属性。它可以在财富分配公平、市场竞争有序、供求总量均衡、产业结构合理、经济规模适度、个人权责对称、管理系统协调、生产主体活跃、劳动环境舒适、生活消费科学等一系列经济事物中显现出来。</w:t>
      </w:r>
    </w:p>
    <w:p w14:paraId="203804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马克思、恩格斯在谈到现实中丑的事物时，把‘丑’看作是客观事物的一种社会属性，并从历史的发展说明丑的根源，指出生活中的丑与卑鄙、虚伪、腐朽的事物之间的联系。丑是在内容上包含着一种对生活、对人的本质具有否定意义的东西，丑在形式上则是与均衡、对称、完整、和谐等相对应的概念。”</w:t>
      </w:r>
      <w:r>
        <w:rPr>
          <w:rStyle w:val="20"/>
          <w:rFonts w:ascii="方正书宋简体" w:hAnsi="方正书宋简体" w:eastAsia="方正书宋简体" w:cs="方正书宋简体"/>
          <w:color w:val="231F20"/>
          <w:spacing w:val="0"/>
          <w:w w:val="100"/>
          <w:position w:val="0"/>
          <w:sz w:val="21"/>
          <w:szCs w:val="21"/>
        </w:rPr>
        <w:footnoteReference w:id="1069"/>
      </w:r>
      <w:r>
        <w:rPr>
          <w:rFonts w:ascii="方正书宋简体" w:hAnsi="方正书宋简体" w:eastAsia="方正书宋简体" w:cs="方正书宋简体"/>
          <w:color w:val="231F20"/>
          <w:spacing w:val="0"/>
          <w:w w:val="100"/>
          <w:position w:val="0"/>
          <w:sz w:val="21"/>
          <w:szCs w:val="21"/>
        </w:rPr>
        <w:t>如同德国思想家阿多诺所说：“在美与丑之间若有任何因果关系的话，丑对美来讲则为因，美对丑来说则为果，这不会颠倒过来。”</w:t>
      </w:r>
      <w:r>
        <w:rPr>
          <w:rStyle w:val="20"/>
          <w:rFonts w:ascii="方正书宋简体" w:hAnsi="方正书宋简体" w:eastAsia="方正书宋简体" w:cs="方正书宋简体"/>
          <w:color w:val="231F20"/>
          <w:spacing w:val="0"/>
          <w:w w:val="100"/>
          <w:position w:val="0"/>
          <w:sz w:val="21"/>
          <w:szCs w:val="21"/>
        </w:rPr>
        <w:footnoteReference w:id="1070"/>
      </w:r>
      <w:r>
        <w:rPr>
          <w:rFonts w:ascii="方正书宋简体" w:hAnsi="方正书宋简体" w:eastAsia="方正书宋简体" w:cs="方正书宋简体"/>
          <w:color w:val="231F20"/>
          <w:spacing w:val="0"/>
          <w:w w:val="100"/>
          <w:position w:val="0"/>
          <w:sz w:val="21"/>
          <w:szCs w:val="21"/>
        </w:rPr>
        <w:t>换言之，丑是人本质对象化的未实现或残缺状态，是现实对人本质的否定，是对合规律性与合目的性的背离，是对完满、和谐的否定与破坏。这就是说，“经济美”和“经济丑”作为对客观实在的反映，具有客观性。</w:t>
      </w:r>
    </w:p>
    <w:p w14:paraId="5FB4FF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作为一对范畴，“经济美”和“经济丑”又具有相对性。如同马克思所说：“劳动生产了美，但是使工人变成畸形。……劳动生产了智慧，但是给工人生产了愚钝和痴呆。”</w:t>
      </w:r>
      <w:r>
        <w:rPr>
          <w:rStyle w:val="20"/>
          <w:rFonts w:ascii="方正书宋简体" w:hAnsi="方正书宋简体" w:eastAsia="方正书宋简体" w:cs="方正书宋简体"/>
          <w:color w:val="231F20"/>
          <w:spacing w:val="0"/>
          <w:w w:val="100"/>
          <w:position w:val="0"/>
          <w:sz w:val="21"/>
          <w:szCs w:val="21"/>
        </w:rPr>
        <w:footnoteReference w:id="1071"/>
      </w:r>
      <w:r>
        <w:rPr>
          <w:rFonts w:ascii="方正书宋简体" w:hAnsi="方正书宋简体" w:eastAsia="方正书宋简体" w:cs="方正书宋简体"/>
          <w:color w:val="231F20"/>
          <w:spacing w:val="0"/>
          <w:w w:val="100"/>
          <w:position w:val="0"/>
          <w:sz w:val="21"/>
          <w:szCs w:val="21"/>
        </w:rPr>
        <w:t>特别是在阶级社会中，“经济美”和“经济丑”具有阶级属性。从不同的立场</w:t>
      </w:r>
      <w:r>
        <w:rPr>
          <w:rFonts w:hint="eastAsia" w:ascii="方正书宋简体" w:hAnsi="方正书宋简体" w:eastAsia="方正书宋简体" w:cs="方正书宋简体"/>
          <w:color w:val="231F20"/>
          <w:spacing w:val="0"/>
          <w:w w:val="100"/>
          <w:position w:val="0"/>
          <w:sz w:val="21"/>
          <w:szCs w:val="21"/>
          <w:lang w:eastAsia="zh-CN"/>
        </w:rPr>
        <w:t>、</w:t>
      </w:r>
      <w:r>
        <w:rPr>
          <w:rFonts w:ascii="方正书宋简体" w:hAnsi="方正书宋简体" w:eastAsia="方正书宋简体" w:cs="方正书宋简体"/>
          <w:color w:val="231F20"/>
          <w:spacing w:val="0"/>
          <w:w w:val="100"/>
          <w:position w:val="0"/>
          <w:sz w:val="21"/>
          <w:szCs w:val="21"/>
        </w:rPr>
        <w:t>观点和方法出发，主体对二者的价值判断与价值选择会出现差异。如果过分夸大二者的相对性，就会陷入虚无主义的陷阱当中。那么，如何在运动变化中找到相对确定性的尺度呢？恩格斯指出，“科学越是毫无顾忌和大公无私，它就越符合工人的利益和愿望”。</w:t>
      </w:r>
      <w:r>
        <w:rPr>
          <w:rStyle w:val="20"/>
          <w:rFonts w:ascii="方正书宋简体" w:hAnsi="方正书宋简体" w:eastAsia="方正书宋简体" w:cs="方正书宋简体"/>
          <w:color w:val="231F20"/>
          <w:spacing w:val="0"/>
          <w:w w:val="100"/>
          <w:position w:val="0"/>
          <w:sz w:val="21"/>
          <w:szCs w:val="21"/>
        </w:rPr>
        <w:footnoteReference w:id="1072"/>
      </w:r>
      <w:r>
        <w:rPr>
          <w:rFonts w:ascii="方正书宋简体" w:hAnsi="方正书宋简体" w:eastAsia="方正书宋简体" w:cs="方正书宋简体"/>
          <w:color w:val="231F20"/>
          <w:spacing w:val="0"/>
          <w:w w:val="100"/>
          <w:position w:val="0"/>
          <w:sz w:val="21"/>
          <w:szCs w:val="21"/>
        </w:rPr>
        <w:t>马克思主义认为，劳动创造了美，只有站在无产阶级和劳动人民的立场上，才能符合马克思主义对“经济美”“经济丑”的基本判断，才能构建出合乎时代要求和人民利益的马克思主义经济美学，才能实现为人民谋幸福、为民族谋复兴的目标。</w:t>
      </w:r>
    </w:p>
    <w:p w14:paraId="4B66731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经济美”和“经济丑”的阶级属性出发，稍加推导便会得出这个结论：“经济美”和“经济丑”并不是抽象的审美范畴，而是特定生产关系下的产物。如同马克思所说：“资本主义生产方式的最高峰，破坏一切财富的源泉：土地和工人。”</w:t>
      </w:r>
      <w:r>
        <w:rPr>
          <w:rStyle w:val="20"/>
          <w:rFonts w:ascii="方正书宋简体" w:hAnsi="方正书宋简体" w:eastAsia="方正书宋简体" w:cs="方正书宋简体"/>
          <w:color w:val="231F20"/>
          <w:spacing w:val="0"/>
          <w:w w:val="100"/>
          <w:position w:val="0"/>
          <w:sz w:val="21"/>
          <w:szCs w:val="21"/>
        </w:rPr>
        <w:footnoteReference w:id="1073"/>
      </w:r>
      <w:r>
        <w:rPr>
          <w:rFonts w:ascii="方正书宋简体" w:hAnsi="方正书宋简体" w:eastAsia="方正书宋简体" w:cs="方正书宋简体"/>
          <w:color w:val="231F20"/>
          <w:spacing w:val="0"/>
          <w:w w:val="100"/>
          <w:position w:val="0"/>
          <w:sz w:val="21"/>
          <w:szCs w:val="21"/>
        </w:rPr>
        <w:t>“经济丑”与阶级压迫、异化劳动密不可分，是资本主义生产方式矛盾的具象化。异化劳动导致人性的畸形与丑，资本主义制度制造精神贫困、两极分化、环境破坏与道德虚伪的丑，商品拜物教扭曲真正的审美价值，生成异化的丑。“经济美”则是社会主义市场经济的核心美学特征与价值追求，只有建立生产资料劳动所有制，消灭剥削、两极分化与异化劳动，实现全体人民共同富裕与人的全面发展，才能真正超越产生“经济丑”的社会根源，彰显马克思主义经济美学的意义与价值。</w:t>
      </w:r>
    </w:p>
    <w:p w14:paraId="1F28B90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65792F88">
      <w:pPr>
        <w:pStyle w:val="4"/>
        <w:bidi w:val="0"/>
      </w:pPr>
      <w:r>
        <w:t>二、马克思主义经济美学与新时代中国经济高质量发展</w:t>
      </w:r>
    </w:p>
    <w:p w14:paraId="60C5A76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38EB9A9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经济美”是在生产劳动实践中产生的，是指人类经济活动中具有制度公正、运行有序和发展和谐的一种属性。改革开放以来，伴随社会主义市场经济体制的确立与完善，中国取得了举世瞩目的“两大奇迹”，既保持了经济的持续发展，又实现了社会的长期稳定。党的十八大以来，中国特色社会主义进入新时代，我国经济已由高速增长阶段转向高质量发展阶段，进一步彰显社会主义市场经济的优越性。党的二十届三中全会将高质量发展作为全面建设社会主义现代化国家的首要任务。所谓“高质量发展”，是指能够很好满足人民日益增长的美好生活需要的发展，其中蕴含的马克思主义经济美学意蕴，值得我们深入挖掘。</w:t>
      </w:r>
    </w:p>
    <w:p w14:paraId="17419CF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（一）新发展理念是马克思主义经济美学的典型样态</w:t>
      </w:r>
    </w:p>
    <w:p w14:paraId="54FBCCD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要想推动高质量发展，就要转变经济发展方式，用新发展理念统领发展全局，建设现代化经济体系。习近平总书记在党的十八届五中全会上提出新发展理念，即创新、协调、绿色、开放、共享这五大发展理念。新发展理念围绕经济社会核心问题，致力于解决经济发展面临的不平衡、不充分、不可持续问题，引导中国走上健康、安全、可持续的发展道路，充分体现出高水平社会主义市场经济独具魅力的“经济美”。</w:t>
      </w:r>
    </w:p>
    <w:p w14:paraId="461E9EB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马克思主义经济美学意义上讲，创新就是解决“审美疲劳”问题。西方发达资本主义国家之所以在世界现代化进程中“快人一步”，主要是因为它们在前三次工业革命中率先实现了科学技术创新与国家制度创新。但自从2008年全球经济危机以来，西方发达资本主义国家科学技术创新动能不足、国家制度创新滞后的短板逐渐暴露出来，西方社会步入审美疲劳的倦怠、停滞状态之中。创新依据类型不同可以分为原始创新、集成创新和吸收转化再创新。中国以往在集成创新和吸收转化再创新方面表现较好，但在原始创新领域略显不足。对此，习近平总书记指出：“只有把关键核心技术掌握在自己手中，才能从根本上保障国家经济安全、国防安全和其他安全。”</w:t>
      </w:r>
      <w:r>
        <w:rPr>
          <w:rStyle w:val="20"/>
          <w:rFonts w:ascii="方正书宋简体" w:hAnsi="方正书宋简体" w:eastAsia="方正书宋简体" w:cs="方正书宋简体"/>
          <w:color w:val="231F20"/>
          <w:spacing w:val="0"/>
          <w:w w:val="100"/>
          <w:position w:val="0"/>
          <w:sz w:val="21"/>
          <w:szCs w:val="21"/>
        </w:rPr>
        <w:footnoteReference w:id="1074"/>
      </w:r>
      <w:r>
        <w:rPr>
          <w:rFonts w:ascii="方正书宋简体" w:hAnsi="方正书宋简体" w:eastAsia="方正书宋简体" w:cs="方正书宋简体"/>
          <w:color w:val="231F20"/>
          <w:spacing w:val="0"/>
          <w:w w:val="100"/>
          <w:position w:val="0"/>
          <w:sz w:val="21"/>
          <w:szCs w:val="21"/>
        </w:rPr>
        <w:t>实现经济高质量发展，就要增强自身原始创新能力，占据第四次工业革命的制高点，不断推进国家治理体系和治理能力现代化，将中国特色社会主义的制度优势转化为治理效能，在关键核心技术领域取得实质性突破。唯有大力推动科学技术和国家制度的原始创新，才能有效避免审美疲劳，打造出体现“创新美”的马克思主义经济美学创新高地。</w:t>
      </w:r>
    </w:p>
    <w:p w14:paraId="19C1D60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马克思主义经济美学意义上讲，协调就是解决经济活动的有序运行问题，确保各种经济活动同向发力、形成合力，避免不同经济行为之间的相互冲突、相互抵消。资本主义经济发展存在着不协调的倾向，突出表现为资产阶级财富的积累与无产阶级贫困的积累，个别企业的有组织生产与整个社会的无政府状态，以及物质财富的物欲横流与精神财富的极度匮乏等内部矛盾。中国自古以来重视协调，正如《中庸》中所说，“喜怒哀乐之未发，谓之中；发而皆中节，谓之和”。</w:t>
      </w:r>
      <w:r>
        <w:rPr>
          <w:rStyle w:val="20"/>
          <w:rFonts w:ascii="方正书宋简体" w:hAnsi="方正书宋简体" w:eastAsia="方正书宋简体" w:cs="方正书宋简体"/>
          <w:color w:val="231F20"/>
          <w:spacing w:val="0"/>
          <w:w w:val="100"/>
          <w:position w:val="0"/>
          <w:sz w:val="21"/>
          <w:szCs w:val="21"/>
        </w:rPr>
        <w:footnoteReference w:id="1075"/>
      </w:r>
      <w:r>
        <w:rPr>
          <w:rFonts w:ascii="方正书宋简体" w:hAnsi="方正书宋简体" w:eastAsia="方正书宋简体" w:cs="方正书宋简体"/>
          <w:color w:val="231F20"/>
          <w:spacing w:val="0"/>
          <w:w w:val="100"/>
          <w:position w:val="0"/>
          <w:sz w:val="21"/>
          <w:szCs w:val="21"/>
        </w:rPr>
        <w:t>在中国人看来，过和不及都不是理想的社会状态，唯有“中和”的协调状态才能使万物安所遂生。中国共产党是中国特色社会主义事业的领导核心，具有统领全局、协调各方的作用。正是因为中国共产党的领导，中国才能避免经济政策与非经济政策的相互冲突、相互抵消，才能确保各项政策同向发力、形成合力。中国共产党高度重视民生工作，实施精准扶贫，历史性地解决了绝对贫困的问题，如期全面建成小康社会。绝对贫困、物质贫困的问题已经得到解决，下一步就是要解决相对贫困和精神贫困的问题，实现物质文明与精神文明的协调发展。由此可见，在中国共产党的领导下，不仅经济活动实现有序运行，包括经济系统在内的整个社会有机体也实现有序运行，体现了一种“秩序美”。</w:t>
      </w:r>
    </w:p>
    <w:p w14:paraId="354D7D8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马克思主义经济美学意义上讲，绿色就是解决经济发展的生态底色问题。从审美的角度来说，每当人们看到锦绣山河，心中的审美体验就会被激活，就会感到心情愉悦、精神舒畅。而看到被污染的山川河流、高耸入云的排气管道，就会感到心情烦躁、精神紧张。资本主义经济发展不仅带来了严重的周期性经济危机，还带来了严重的生态危机。与之相对，中华文明从源头上讲就是原创型文明、文明型国家和生态型文明的三位一体，高度重视生态环境保护。中国特色社会主义进入新时代，中国共产党将生态文明建设纳入“五位一体”总体布局，践行“绿水青山就是金山银山”的重要理念，在生态文明领域取得长足进展，实现了象征经济财富的“金山银山”与象征环境保护的“绿水青山”之间的辩证转化，体现了一种“生态美”。</w:t>
      </w:r>
    </w:p>
    <w:p w14:paraId="3B8DB7B8">
      <w:pPr>
        <w:keepNext w:val="0"/>
        <w:keepLines w:val="0"/>
        <w:pageBreakBefore w:val="0"/>
        <w:widowControl/>
        <w:tabs>
          <w:tab w:val="left" w:pos="9879"/>
        </w:tabs>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马克思主义经济美学意义上讲，开放就是解决经济发展的边界问题。从审美的角度来说，对外开放具有包容性，容易让人形成一种心情愉悦、精神放松的审美体验。与之相对，封闭孤立具有排他性，容易使人感到精神紧张、过度亢奋，不具备“经济美”的特征。此外，对于带有暴力色彩的战争到底象征“经济美”还是“经济丑”，需要具体分析。例如，非正义的战争，如对外侵略、殖民掠夺，是“经济丑”的体现；正义的战争，如世界人民反法西斯战争、解放战争，致力于将人民从侵略压迫、殖民掠夺中解放出来，则是“经济美”的体现。新中国成立后，特别是改革开放以来，中国循序渐进、稳健可控地走向全面自主开放。党的十八大以来，中国迎来对外开放新阶段。2014年“一带一路”倡议提出，中国逐渐成为经济全球化的重要引擎和发展龙头。与西方发达资本主义国家近年来兴起的逆全球化思潮、贸易保护主义思潮、新保守主义思潮不同，中国提出共商共建共享的全球治理观，体现出一种各美其美、美美与共的“和平美”。</w:t>
      </w:r>
    </w:p>
    <w:p w14:paraId="542DFE4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马克思主义经济美学意义上讲，共享就是解决经济发展的公平正义问题。共享理念在本质上就是坚持以人民为中心的发展思想，体现的是逐步实现共同富裕的要求。西方发达资本主义国家通过对外殖民掠夺他国财富、对内剥削压迫本国劳动人民，从而实现少部分人的富裕，从根本上忽视了社会公平正义，因而体现出一种典型的“经济丑”。习近平总书记指出：“共同富裕是中国特色社会主义的根本原则，所以必须使发展成果更多更公平惠及全体人民，朝着共同富裕方向稳步前进。”</w:t>
      </w:r>
      <w:r>
        <w:rPr>
          <w:rStyle w:val="20"/>
          <w:rFonts w:ascii="方正书宋简体" w:hAnsi="方正书宋简体" w:eastAsia="方正书宋简体" w:cs="方正书宋简体"/>
          <w:color w:val="231F20"/>
          <w:spacing w:val="0"/>
          <w:w w:val="100"/>
          <w:position w:val="0"/>
          <w:sz w:val="21"/>
          <w:szCs w:val="21"/>
        </w:rPr>
        <w:footnoteReference w:id="1076"/>
      </w:r>
      <w:r>
        <w:rPr>
          <w:rFonts w:ascii="方正书宋简体" w:hAnsi="方正书宋简体" w:eastAsia="方正书宋简体" w:cs="方正书宋简体"/>
          <w:color w:val="231F20"/>
          <w:spacing w:val="0"/>
          <w:w w:val="100"/>
          <w:position w:val="0"/>
          <w:sz w:val="21"/>
          <w:szCs w:val="21"/>
        </w:rPr>
        <w:t>只有实现全体人民共同富裕与人的全面发展，切实保障社会公平正义，社会主义市场经济才能朝着正确的方向前进，才能实现经济社会的高质量发展。中国人民崇尚劳动、自力更生、艰苦奋斗，中国坚持以按劳分配为主体、多种分配方式并存的分配制度，在历史上从未试图殖民侵略他国、掠夺他国财富，这显然是一种得道多助的“正义美”的体现。</w:t>
      </w:r>
    </w:p>
    <w:p w14:paraId="33AC9CB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（二）现代化经济体系、中国式现代化与新发展理念的关联体现“和谐美”</w:t>
      </w:r>
    </w:p>
    <w:p w14:paraId="145CF64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习近平总书记指出：“建设现代化经济体系是一篇大文章，既是一个重大理论命题，更是一个重大实践课题，需要从理论和实践的结合上进行深入探讨。”</w:t>
      </w:r>
      <w:r>
        <w:rPr>
          <w:rStyle w:val="20"/>
          <w:rFonts w:ascii="方正书宋简体" w:hAnsi="方正书宋简体" w:eastAsia="方正书宋简体" w:cs="方正书宋简体"/>
          <w:color w:val="231F20"/>
          <w:spacing w:val="0"/>
          <w:w w:val="100"/>
          <w:position w:val="0"/>
          <w:sz w:val="21"/>
          <w:szCs w:val="21"/>
        </w:rPr>
        <w:footnoteReference w:id="1077"/>
      </w:r>
      <w:r>
        <w:rPr>
          <w:rFonts w:ascii="方正书宋简体" w:hAnsi="方正书宋简体" w:eastAsia="方正书宋简体" w:cs="方正书宋简体"/>
          <w:color w:val="231F20"/>
          <w:spacing w:val="0"/>
          <w:w w:val="100"/>
          <w:position w:val="0"/>
          <w:sz w:val="21"/>
          <w:szCs w:val="21"/>
        </w:rPr>
        <w:t>要想对现代化经济体系进行科学地把握，就必须将其放置在与新发展理念、中国式现代化的“互文式理解”的关系中，这种一一对应关系体现出一种以“和谐美”为基本特征的马克思主义经济美学意蕴，具有重要的理论与实践价值。</w:t>
      </w:r>
    </w:p>
    <w:p w14:paraId="6A46F4B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color w:val="231F20"/>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其一，创新引领、协同发展的产业体系与创新发展理念相对应。中国式现代化是人口规模巨大的现代化，在中国这样超大规模人口的国家实现现代化不可能重复现有国家走过的道路，而是要开拓创新、找到新途，因此必须坚持创新的发展理念。</w:t>
      </w:r>
    </w:p>
    <w:p w14:paraId="19B3966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其二，彰显优势、协调联动的城乡区域发展体系与协调发展理念相对应。中国式现代化是物质文明和精神文明相协调的现代化，一些后发国家在现代化进程中深陷两极分化、政治动荡的一个重要原因，就是在工业化、技术化、资本化以及文化变迁的现代化诸场景中，经济社会有机体的诸环节、诸方面出现不平衡、不协调问题。当然，这种协调不仅局限在物质文明和精神文明相协调，也体现在缩小甚至消灭工农差别、城乡差别、脑力劳动与体力劳动差别上，因此必须坚持协调的发展理念。</w:t>
      </w:r>
    </w:p>
    <w:p w14:paraId="2111768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其三，资源节约、环境友好的绿色发展体系与绿色发展理念相对应。中国式现代化是人与自然和谐共生的现代化，人口众多、资源相对不足、环境承载力较弱的基本国情，决定了中国式现代化必须摒弃西方国家大量消耗资源能源、肆意破坏生态环境的现代化老路，努力走人与自然和谐共生的现代化新路，否则我国的资源环境压力将难以承受，因此必须坚持绿色发展理念。</w:t>
      </w:r>
    </w:p>
    <w:p w14:paraId="6CC5761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其四，多元平衡、安全高效的全面开放体系与开放发展理念相对应。中国式现代化是走和平发展道路的现代化。中国式现代化是在充分借鉴国际经验、参与国际合作的基础上，以独立自主为特点推进的现代化，因此必须坚持开放的发展理念。</w:t>
      </w:r>
    </w:p>
    <w:p w14:paraId="36B1803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其五，体现效率、促进公平的收入分配体系与共享发展理念相对应。中国式现代化是全体人民共同富裕的现代化。中国式现代化致力于满足人民日益增长的美好生活需要，坚持民生为本、民利为先、民富为要、民享为重，因此必须坚持共享的发展理念。</w:t>
      </w:r>
    </w:p>
    <w:p w14:paraId="3F5F01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由此可见，现代化经济体系的五个层次、中国式现代化的五大核心特征与新发展理念的五个方面呈现出一一对应的关系。“‘总体性’是无产阶级区别于资产阶级的重要标准。”</w:t>
      </w:r>
      <w:r>
        <w:rPr>
          <w:rStyle w:val="20"/>
          <w:color w:val="231F20"/>
          <w:spacing w:val="0"/>
          <w:w w:val="100"/>
          <w:position w:val="0"/>
          <w:sz w:val="11"/>
          <w:szCs w:val="11"/>
        </w:rPr>
        <w:footnoteReference w:id="1078"/>
      </w:r>
      <w:r>
        <w:rPr>
          <w:rFonts w:ascii="方正书宋简体" w:hAnsi="方正书宋简体" w:eastAsia="方正书宋简体" w:cs="方正书宋简体"/>
          <w:color w:val="231F20"/>
          <w:spacing w:val="0"/>
          <w:w w:val="100"/>
          <w:position w:val="0"/>
          <w:sz w:val="21"/>
          <w:szCs w:val="21"/>
        </w:rPr>
        <w:t>这种一一对应关系正是“总体性”的鲜明表现，既保障了中国以正在做的事情为中心，确保各项政策同向发力、形成合力，为“中国之治”打下坚实基础，又体现出马克思主义经济美学独特的“和谐美”，确保社会有机体和谐一致，确保各项政策之间的一致性、连续性，为制度公正、运行有序和发展和谐提供重要保障。</w:t>
      </w:r>
    </w:p>
    <w:p w14:paraId="44EE7CB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（三）以高质量发展为牵引，构建中国自主的马克思主义经济美学知识体系</w:t>
      </w:r>
    </w:p>
    <w:p w14:paraId="187835F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2022年4月，习近平总书记在中国人民大学考察时强调：“加快构建中国特色哲学社会科学，归根结底是建构中国自主的知识体系。”</w:t>
      </w:r>
      <w:r>
        <w:rPr>
          <w:rStyle w:val="20"/>
          <w:rFonts w:ascii="方正书宋简体" w:hAnsi="方正书宋简体" w:eastAsia="方正书宋简体" w:cs="方正书宋简体"/>
          <w:color w:val="231F20"/>
          <w:spacing w:val="0"/>
          <w:w w:val="100"/>
          <w:position w:val="0"/>
          <w:sz w:val="21"/>
          <w:szCs w:val="21"/>
        </w:rPr>
        <w:footnoteReference w:id="1079"/>
      </w:r>
      <w:r>
        <w:rPr>
          <w:rFonts w:ascii="方正书宋简体" w:hAnsi="方正书宋简体" w:eastAsia="方正书宋简体" w:cs="方正书宋简体"/>
          <w:color w:val="231F20"/>
          <w:spacing w:val="0"/>
          <w:w w:val="100"/>
          <w:position w:val="0"/>
          <w:sz w:val="21"/>
          <w:szCs w:val="21"/>
        </w:rPr>
        <w:t>构建以高质量发展为牵引的中国自主的马克思主义经济美学知识体系，需要立足中国式现代化实践创新与理论创新，融合马克思主义政治经济学批判、中华优秀传统美学智慧，重点分析现代化经济体系、中国式现代化与新发展理念在马克思主义经济美学意义上的关联性，将中国经验总结并上升为中国理论，形成具有解释力、批判力和建构力的理论范式。</w:t>
      </w:r>
    </w:p>
    <w:p w14:paraId="4123361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一，构建中国自主的马克思主义经济美学知识体系，要以马克思主义经典作家的经典表述、经典理论为基础，批判性借鉴当代资本主义发展的新情况、国外哲学社会科学出现的新理论，并以“两个结合”为世界观与方法论支撑，创造性转化、创新性发展中华优秀传统文化，将马克思主义经济美学的核心范畴（特别是“经济美”和“经济丑”这一对重要范畴）体系化，搭建经济基础与审美上层建筑的互动模型，对劳动过程的审美化与审美活动的商品化进行矛盾分析，推动马克思主义经济美学与非西方审美传统的对话，实现马克思主义价值论的美学转化。这一过程既需要做到方法论层面的创新，又需要跨学科研究的视野，还需要历史维度的展开，唯有做到“马学为体、西学为用、国学为根、世情为鉴、国情为据、党情为要、综合创新”，</w:t>
      </w:r>
      <w:r>
        <w:rPr>
          <w:rStyle w:val="20"/>
          <w:rFonts w:ascii="方正书宋简体" w:hAnsi="方正书宋简体" w:eastAsia="方正书宋简体" w:cs="方正书宋简体"/>
          <w:color w:val="231F20"/>
          <w:spacing w:val="0"/>
          <w:w w:val="100"/>
          <w:position w:val="0"/>
          <w:sz w:val="21"/>
          <w:szCs w:val="21"/>
        </w:rPr>
        <w:footnoteReference w:id="1080"/>
      </w:r>
      <w:r>
        <w:rPr>
          <w:rFonts w:ascii="方正书宋简体" w:hAnsi="方正书宋简体" w:eastAsia="方正书宋简体" w:cs="方正书宋简体"/>
          <w:color w:val="231F20"/>
          <w:spacing w:val="0"/>
          <w:w w:val="100"/>
          <w:position w:val="0"/>
          <w:sz w:val="21"/>
          <w:szCs w:val="21"/>
        </w:rPr>
        <w:t>坚持马克思主义物质实践基础，警惕文化决定论陷阱，在经济研究中保持价值立场自觉，不断提升从现象考察上升到本质分析的能力，才能实现上述目标。</w:t>
      </w:r>
    </w:p>
    <w:p w14:paraId="5F3914D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二，构建中国自主的马克思主义经济美学知识体系，要以新时代中国经济高质量发展为牵引，重点分析现代化经济体系、中国式现代化与新发展理念在马克思主义经济美学意义上的关联性，强化马克思主义经济美学基本原理与第四次工业革命信息化、智能化时代新机遇的有机融合，不断加强纵向与横向比较研究，对比古今中外世界不同经济体的发展状况，从中归纳出“经济美”和“经济丑”的一般特征，平衡审美自主性与主流价值引导的关系，从而建立学术研究与现实世界经济运动的有机联系。这种建构本质上是通过审美维度重新解码中国式现代化的深层文化逻辑、美学逻辑，其核心在于发展“和谐美学”“人民美学”，最终形成物质文明和精神文明相协调的社会主义现代化美学表述。</w:t>
      </w:r>
    </w:p>
    <w:p w14:paraId="211AE6C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三，构建中国自主的马克思主义经济美学知识体系，必须突破传统学科的知识壁垒，通过学科交叉平台建设、跨学科智库整合和国际话语体系重构，形成兼具理论深度与传播广度的新型学术生态系统。传统美学研究易陷入抽象的“纯形式分析”，而经济学则多忽略资本逻辑遮蔽下的价值理性。马克思主义经济美学需要建立“审美—劳动—价值”的三元结构分析框架，实现对传统美学与经济学的“取其精华，去其糟粕”。只有通过制度化的交叉平台打破传统学科壁垒，依托跨学科智库实现审美—劳动—价值转化，并在国际场域内掌握规则主导权，才能最终形成兼具解释力与道义优势的中国自主知识体系。这既是应对全球文化软实力竞争的必然选择，也是马克思主义“改造世界”哲学在审美维度的当代实践。</w:t>
      </w:r>
    </w:p>
    <w:p w14:paraId="1669EF7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193E9DED">
      <w:pPr>
        <w:pStyle w:val="4"/>
        <w:bidi w:val="0"/>
      </w:pPr>
      <w:r>
        <w:t>三、马克思主义经济美学对“中国之治”和“西方之乱”的解释</w:t>
      </w:r>
    </w:p>
    <w:p w14:paraId="6960CAF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pacing w:val="0"/>
          <w:w w:val="100"/>
          <w:position w:val="0"/>
          <w:sz w:val="21"/>
        </w:rPr>
      </w:pPr>
    </w:p>
    <w:p w14:paraId="4257988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从马克思主义经济美学的角度来看，我国经济具有“创新美”“秩序美”“生态美”“和平美”“正义美”“和谐美”的经济美学特征，并在现代化经济体系、中国式现代化与新发展理念等方面体现出来。这区别于西方先发资本主义国家在制度、运行和发展层面表现出的“经济丑”，以此为依据，可以对“中国之治”和“西方之乱”的深层次根源进行有效、合理解释。</w:t>
      </w:r>
    </w:p>
    <w:p w14:paraId="73CC99B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（一）“中国之治”的马克思主义经济美学解释</w:t>
      </w:r>
    </w:p>
    <w:p w14:paraId="7EBF679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一，中国特色社会主义具有社会主义市场经济的制度内核，是“中国之治”的重要基础。中国坚持以公有制为主体、多种所有制经济共同发展的社会主义基本经济制度，通过脱贫攻坚、乡村振兴战略等政策缩小贫富差距，抑制资本野蛮生长与无序扩张，体现了马克思主义“社会财富由全体劳动者共享”的人民美学理念。党的十八大以来，中国脱贫攻坚战使近1亿农村贫困人口脱贫，全面建成小康社会，是“正义美”的核心体现。另外，新时代中国特色社会主义通过“有效市场”与“有为政府”的有机结合，在激活市场主体活力的同时，减少市场盲目性导致的资源浪费和社会失衡，体现了“秩序美”。</w:t>
      </w:r>
    </w:p>
    <w:p w14:paraId="409B933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二，劳动价值的复归是“经济美”的创造源泉，是“中国之治”的不竭动力。新时代中国特色社会主义通过《中华人民共和国劳动法》的实施、工会制度改革等强化劳动者地位，大力弘扬劳模精神、工匠精神，坚持劳动创造价值的劳动价值论，实施以按劳分配为主体、多种分配方式并存的分配政策，强调劳动者的主体地位，并通过创新驱动发展战略的实施进一步促进人的全面发展。鼓励科技自主创新，推动劳动从“重复性生存活动”向“创造性实践”，从“中国制造”向“中国智造”升级，契合了马克思主义“自由、有意识的劳动复归”的劳动解放的崇高理想，体现出“创新美”和“正义美”。</w:t>
      </w:r>
    </w:p>
    <w:p w14:paraId="76454A8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三，注重人与自然和谐共生，强化人与自然关系的修复，是“中国之治”的自然历史前提。进入新时代，中国特色社会主义坚持“绿水青山就是金山银山”的重要理念，将生态文明建设纳入“五位一体”总体布局的国家战略高度，大力建设新型农业和无污染工业，契合了马克思主义“自然界是人的无机身体”的环境保护理念。近年来中国可再生能源投资居全球第一，“《中国能源生态报告》显示，2024年，我国清洁能源投资规模达到6,250亿美元，占全球比重的1/3。光伏、风电装机容量连续10年位居全球首位，十年间，中国对全球非化石能源消费增量贡献率超过45%”，</w:t>
      </w:r>
      <w:r>
        <w:rPr>
          <w:rStyle w:val="20"/>
          <w:rFonts w:ascii="方正书宋简体" w:hAnsi="方正书宋简体" w:eastAsia="方正书宋简体" w:cs="方正书宋简体"/>
          <w:color w:val="231F20"/>
          <w:spacing w:val="0"/>
          <w:w w:val="100"/>
          <w:position w:val="0"/>
          <w:sz w:val="21"/>
          <w:szCs w:val="21"/>
        </w:rPr>
        <w:footnoteReference w:id="1081"/>
      </w:r>
      <w:r>
        <w:rPr>
          <w:rFonts w:ascii="方正书宋简体" w:hAnsi="方正书宋简体" w:eastAsia="方正书宋简体" w:cs="方正书宋简体"/>
          <w:color w:val="231F20"/>
          <w:spacing w:val="0"/>
          <w:w w:val="100"/>
          <w:position w:val="0"/>
          <w:sz w:val="21"/>
          <w:szCs w:val="21"/>
        </w:rPr>
        <w:t>鲜明体现出“中国之治”的“生态美”。</w:t>
      </w:r>
    </w:p>
    <w:p w14:paraId="1812301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color w:val="231F20"/>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正是因为我国经济具有“创新美”“秩序美”“生态美”“和平美”“正义美”的经济美学特征，才使我国社会主义市场经济的制度优势转化为新时代中国特色社会主义的治理效能，进而体现出一种全要素文明的“和谐美”。“中国之治”的理论与实践为全球发展中国家打破“西方中心论”的经济美学霸权、探索非资本主义现代化道路提供了重要借鉴。不过，中国仍需警惕市场经济中的资本逻辑倾向（如平台垄断、“996”工作制等），需进一步强化中国共产党“以人民为中心”的初心与使命。</w:t>
      </w:r>
    </w:p>
    <w:p w14:paraId="3C79610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（二）“西方之乱”的马克思主义经济美学批判</w:t>
      </w:r>
    </w:p>
    <w:p w14:paraId="198322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第一，“西方之乱”揭示了资本主义制度的“系统性丑陋”。相关报告显示，2020年全球最富1%人口的财富超过社会底层90%人口掌握的财富总和，“占领华尔街”运动直指“1%vs99%”的阶级矛盾，</w:t>
      </w:r>
      <w:r>
        <w:rPr>
          <w:rStyle w:val="20"/>
          <w:rFonts w:ascii="方正书宋简体" w:hAnsi="方正书宋简体" w:eastAsia="方正书宋简体" w:cs="方正书宋简体"/>
          <w:color w:val="231F20"/>
          <w:spacing w:val="0"/>
          <w:w w:val="100"/>
          <w:position w:val="0"/>
          <w:sz w:val="21"/>
          <w:szCs w:val="21"/>
        </w:rPr>
        <w:footnoteReference w:id="1082"/>
      </w:r>
      <w:r>
        <w:rPr>
          <w:rFonts w:ascii="方正书宋简体" w:hAnsi="方正书宋简体" w:eastAsia="方正书宋简体" w:cs="方正书宋简体"/>
          <w:color w:val="231F20"/>
          <w:spacing w:val="0"/>
          <w:w w:val="100"/>
          <w:position w:val="0"/>
          <w:sz w:val="21"/>
          <w:szCs w:val="21"/>
        </w:rPr>
        <w:t>工人阶级的劳动异化加深，零工经济剥削加剧，印证了马克思的《资本论》中关于资本主义社会“在一极是财富的积累，同时在另一极，即在把自己的产品作为资本来生产的阶级方面，是贫困、劳动折磨、受奴役、无知、粗野和道德堕落的积累”的论断。</w:t>
      </w:r>
      <w:r>
        <w:rPr>
          <w:rStyle w:val="20"/>
          <w:rFonts w:ascii="方正书宋简体" w:hAnsi="方正书宋简体" w:eastAsia="方正书宋简体" w:cs="方正书宋简体"/>
          <w:color w:val="231F20"/>
          <w:spacing w:val="0"/>
          <w:w w:val="100"/>
          <w:position w:val="0"/>
          <w:sz w:val="21"/>
          <w:szCs w:val="21"/>
        </w:rPr>
        <w:footnoteReference w:id="1083"/>
      </w:r>
      <w:r>
        <w:rPr>
          <w:rFonts w:ascii="方正书宋简体" w:hAnsi="方正书宋简体" w:eastAsia="方正书宋简体" w:cs="方正书宋简体"/>
          <w:color w:val="231F20"/>
          <w:spacing w:val="0"/>
          <w:w w:val="100"/>
          <w:position w:val="0"/>
          <w:sz w:val="21"/>
          <w:szCs w:val="21"/>
        </w:rPr>
        <w:t>2008年全球经济危机和2020年新冠疫情中的供应链崩溃暴露了资本主义生产的社会化与生产资料私有制之间的根本矛盾，深刻揭示了资本主义私有制导致资源错配和大众福祉牺牲的真相，是“经济丑”的典型体现。</w:t>
      </w:r>
    </w:p>
    <w:p w14:paraId="416F281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二，商品拜物教下的精神异化是“西方之乱”的精神文化根源。随着后工业社会的来临，西方社会陷入“为消费而消费”的消费异化状态，个体被横流的物欲绑架，形成马尔库塞笔下的“单向度的人”。一方面，资本操控下的西方媒体和娱乐产业通过制造虚假需求，消解人的主体性与批判性思维，加剧社会价值观的混乱，“娱乐至死”的个人主义和享乐主义的病态、丑态如同病毒一般在西方社会流行。另一方面，资本主义对生态环境进行无休止的开发，以此满足其享乐的需要，使得全球环境问题进一步加剧。全球地表温度的上升使几乎所有的陆地地区都正在经历更多炎热的天气和热浪，引发了更多的高温病，让户外工作变得更加困难，是“生态丑”的典型表现。</w:t>
      </w:r>
    </w:p>
    <w:p w14:paraId="35DB45F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方正书宋简体" w:hAnsi="方正书宋简体" w:eastAsia="方正书宋简体" w:cs="方正书宋简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第三，民主制度的虚伪性撕开了西方发达资本主义国家制度的“遮羞布”，使其经济丑态显露无遗。一方面，西方多党制实质是资产阶级内部不同集团的统治工具，政策偏向资本利益（如美国税收优惠向大企业倾斜），普通民众被排除在决策过程之外，西方社会呈现出“民主政治”向“钱主政治”的异化逻辑。另一方面，西方发达资本主义国家试图通过种族、性别等议题分化工人阶级，通过制造“工人贵族”的方式回避生产资料所有制和阶级关系等核心问题，导致社会共识破裂。</w:t>
      </w:r>
    </w:p>
    <w:p w14:paraId="3D7313F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黑体" w:hAnsi="黑体" w:eastAsia="黑体" w:cs="黑体"/>
          <w:spacing w:val="0"/>
          <w:w w:val="100"/>
          <w:position w:val="0"/>
          <w:sz w:val="21"/>
          <w:szCs w:val="21"/>
        </w:rPr>
      </w:pPr>
      <w:r>
        <w:rPr>
          <w:rFonts w:ascii="方正书宋简体" w:hAnsi="方正书宋简体" w:eastAsia="方正书宋简体" w:cs="方正书宋简体"/>
          <w:color w:val="231F20"/>
          <w:spacing w:val="0"/>
          <w:w w:val="100"/>
          <w:position w:val="0"/>
          <w:sz w:val="21"/>
          <w:szCs w:val="21"/>
        </w:rPr>
        <w:t>总之，在马克思主义经济美学视角下，“中国之治”的实质是通过社会主义制度重构以制度公正、运行有序和发展和谐为核心的经济活动的美学评判标准。而“西方之乱”则是资本主义内在矛盾，即资本主义社会化大生产与生产资料私有制之间矛盾的必然结果，是资本主义私有制系统性丑陋的典型样态。二者的对比不仅验证了马克思主义的当代解释力，也为人类探索更合理的文明新形态，为中国建设具有马克思主义经济美学意义的高水平社会主义市场经济体制提供了实践证明。</w:t>
      </w:r>
    </w:p>
    <w:p w14:paraId="7D9C8268">
      <w:pPr>
        <w:pStyle w:val="2"/>
        <w:bidi w:val="0"/>
        <w:jc w:val="center"/>
        <w:rPr>
          <w:rFonts w:hint="default"/>
          <w:lang w:val="en-US" w:eastAsia="zh-CN"/>
        </w:rPr>
      </w:pPr>
      <w:bookmarkStart w:id="877" w:name="_Toc1028983974"/>
      <w:bookmarkStart w:id="878" w:name="_Toc1782697960"/>
      <w:bookmarkStart w:id="879" w:name="_Toc1218063527"/>
      <w:bookmarkStart w:id="880" w:name="_Toc1992405499"/>
      <w:bookmarkStart w:id="881" w:name="_Toc18949"/>
      <w:bookmarkStart w:id="882" w:name="_Toc1627662260"/>
      <w:r>
        <w:rPr>
          <w:rFonts w:hint="eastAsia"/>
          <w:lang w:val="en-US" w:eastAsia="zh-CN"/>
        </w:rPr>
        <w:t>21加强改进新形势下思想政治工作</w:t>
      </w:r>
      <w:bookmarkEnd w:id="877"/>
      <w:bookmarkEnd w:id="878"/>
      <w:bookmarkEnd w:id="879"/>
      <w:bookmarkEnd w:id="880"/>
      <w:bookmarkEnd w:id="881"/>
      <w:bookmarkEnd w:id="882"/>
    </w:p>
    <w:p w14:paraId="5219A3F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b w:val="0"/>
          <w:bCs w:val="0"/>
          <w:i w:val="0"/>
          <w:iCs w:val="0"/>
          <w:caps w:val="0"/>
          <w:spacing w:val="7"/>
          <w:sz w:val="21"/>
          <w:szCs w:val="21"/>
        </w:rPr>
        <w:t>站在新的起点上，我们要始终牢记“国之大者”，自觉承担起举旗帜、聚民心、育新人、兴文化、展形象的职责使命，推动思想政治工作迈上新台阶。</w:t>
      </w:r>
    </w:p>
    <w:p w14:paraId="2D2B878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思想政治工作是党的优良传统、鲜明特色和突出政治优势，是一切工作的生命线。党的十八大以来，以习近平同志为核心的党中央高度重视思想政治工作，采取一系列重大举措切实推进，取得了显著成效。8月29日，中共中央政治局召开会议审议的《中国共产党思想政治工作条例》，为做好新时代思想政治工作提供了根本遵循。站在新的起点上，我们要始终牢记“国之大者”，自觉承担起举旗帜、聚民心、育新人、兴文化、展形象的职责使命，推动思想政治工作迈上新台阶。</w:t>
      </w:r>
    </w:p>
    <w:p w14:paraId="04BD1CDF">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67086D48">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b/>
          <w:bCs/>
          <w:i w:val="0"/>
          <w:iCs w:val="0"/>
          <w:caps w:val="0"/>
          <w:color w:val="D92142"/>
          <w:spacing w:val="7"/>
          <w:sz w:val="21"/>
          <w:szCs w:val="21"/>
        </w:rPr>
        <w:t>提升政治高度，争当举旗帜的坚定捍卫者</w:t>
      </w:r>
    </w:p>
    <w:p w14:paraId="2711733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592861A9">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习近平总书记强调：“举旗帜，就是要高举马克思主义、中国特色社会主义的旗帜，坚持不懈用新时代中国特色社会主义思想武装全党、教育人民、推动工作，在学懂弄通做实上下功夫，推动当代中国马克思主义、21世纪马克思主义深入人心、落地生根。”</w:t>
      </w:r>
    </w:p>
    <w:p w14:paraId="56B4B72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把牢政治方向。带头系统学习掌握马克思主义基本理论和中国特色社会主义理论体系，特别是把学习贯彻习近平新时代中国特色社会主义思想作为重中之重，坚决捍卫“两个确立”、不断增强“四个意识”、坚定“四个自信”、做到“两个维护”，确保思想政治工作始终沿着正确方向前进。</w:t>
      </w:r>
    </w:p>
    <w:p w14:paraId="2C8CB04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站稳政治立场。在高举旗帜中不断提高政治判断力、政治领悟力和政治执行力。在大是大非问题上，要坚定立场、表明态度。面对各种“糖衣炮弹”，要把党性作为防弹衣，始终坚定马克思主义、共产主义的理想信念不动摇；面对歪风邪气甚至丑化恶化党的形象的“低级红”、“高级黑”等，要勇于挺身而出、敢于直面斗争。</w:t>
      </w:r>
    </w:p>
    <w:p w14:paraId="5E56D34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强化政治担当。始终率先垂范，做到在党言党、在党忧党、在党为党，自觉把共产主义的远大理想与建设中国特色社会主义的具体任务结合起来。引导广大党员干部加强思想淬炼、政治历练、实践锻炼、专业训练，立足岗位，真抓实干，为实现中华民族伟大复兴的中国梦不懈奋斗。</w:t>
      </w:r>
    </w:p>
    <w:p w14:paraId="57ED86D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1B9DB7F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b/>
          <w:bCs/>
          <w:i w:val="0"/>
          <w:iCs w:val="0"/>
          <w:caps w:val="0"/>
          <w:color w:val="D92142"/>
          <w:spacing w:val="7"/>
          <w:sz w:val="21"/>
          <w:szCs w:val="21"/>
        </w:rPr>
        <w:t>增强服务温度，争当聚民心的忠实践行者</w:t>
      </w:r>
    </w:p>
    <w:p w14:paraId="0CDD80E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0454189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民心是最大的政治，是党执政兴国的最大底气。我们党是全心全意为人民服务的党，坚持立党为公、执政为民，把人民对美好生活的向往作为矢志不渝的奋斗目标，同时要适应社会群体发展变化，增强工作针对性和实效性。</w:t>
      </w:r>
    </w:p>
    <w:p w14:paraId="38E0137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厚植为民情怀。坚持思想上尊重群众，感情上贴近群众，行动上深入群众，掌握群众的所思所想所盼。从群众的呼声中听出责任和义务，听出方向和动力，听出警戒和鞭策。引导广大党员干部充分认识到民生是一切工作的出发点和归宿，始终把人民群众的安居乐业、安危冷暖放在心上，多听群众心里话、多看百姓身边事，及时反映群众最关切的愿望诉求。</w:t>
      </w:r>
    </w:p>
    <w:p w14:paraId="0116AAE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善谋为民之策。善于拜人民群众为师，深入基层一线开展民情调查，做好政策宣讲、释疑解惑、化解矛盾和凝聚人心等工作，问需于民知冷暖、问计于民知虚实、问效于民知得失。把基层反映和群众呼声带上来，把惠民政策和利民举措传下去，当好“减震器”、“稳定器”，推动形成齐心协力谋发展的良好局面。</w:t>
      </w:r>
    </w:p>
    <w:p w14:paraId="0E1FC51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多办利民之事。协助解决好人民群众最关心、最直接、最现实的利益问题，在幼有善育、学有优教、劳有厚得、病有良医、老有颐养、住有宜居、弱有众扶上取得新进步，为把“好事办好、实事做实”积极贡献力量。通过解决人民群众急难愁盼，赢得人民群众信任和支持。</w:t>
      </w:r>
    </w:p>
    <w:p w14:paraId="6C56656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36" w:firstLineChars="200"/>
        <w:jc w:val="both"/>
        <w:textAlignment w:val="baseline"/>
        <w:rPr>
          <w:rFonts w:hint="eastAsia" w:ascii="宋体" w:hAnsi="宋体" w:eastAsia="宋体" w:cs="宋体"/>
          <w:i w:val="0"/>
          <w:iCs w:val="0"/>
          <w:caps w:val="0"/>
          <w:spacing w:val="4"/>
          <w:sz w:val="21"/>
          <w:szCs w:val="21"/>
        </w:rPr>
      </w:pPr>
    </w:p>
    <w:p w14:paraId="585F57C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b/>
          <w:bCs/>
          <w:i w:val="0"/>
          <w:iCs w:val="0"/>
          <w:caps w:val="0"/>
          <w:color w:val="D92142"/>
          <w:spacing w:val="7"/>
          <w:sz w:val="21"/>
          <w:szCs w:val="21"/>
        </w:rPr>
        <w:t>拓展理论深度，争当育新人的最美引导者</w:t>
      </w:r>
    </w:p>
    <w:p w14:paraId="251B040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新时代思政工作者，对于培养什么人、怎样培养人、为谁培养人这个教育根本问题要了然于心，坚持把用习近平新时代中国特色社会主义思想凝心铸魂放在首位。</w:t>
      </w:r>
    </w:p>
    <w:p w14:paraId="21010FB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立德树人浸润价值。以社会主义核心价值观为引领，坚持用习近平新时代中国特色社会主义思想铸魂育人，为党和国家培养能够担负起中华民族伟大复兴大任的时代新人，使之在思想水平、政治觉悟、道德品质、文化素养和精神状态等方面同新时代要求相符合。</w:t>
      </w:r>
    </w:p>
    <w:p w14:paraId="0CB02C5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深入浅出阐释理论。坚持读原著、学原文、悟原理，准确把握习近平新时代中国特色社会主义思想的精髓要义，做到学思用贯通、知信行统一。以科学的态度对待科学、以真理的精神追求真理，用生动活泼的语言和喜闻乐见的方式，让党的创新理论“飞入寻常百姓家”。</w:t>
      </w:r>
    </w:p>
    <w:p w14:paraId="2219250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知行合一指导实践。致广大而尽精微，既要广泛涉猎经济学、政治学、教育学和心理学等理论知识，更要深入研究马克思主义经典著作，主动当好为广大党员干部群众答疑解惑的“辅导员”，善于用马克思主义的立场观点方法武装头脑、指导实践、推动工作。</w:t>
      </w:r>
    </w:p>
    <w:p w14:paraId="307B471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b/>
          <w:bCs/>
          <w:i w:val="0"/>
          <w:iCs w:val="0"/>
          <w:caps w:val="0"/>
          <w:color w:val="D92142"/>
          <w:spacing w:val="7"/>
          <w:sz w:val="21"/>
          <w:szCs w:val="21"/>
        </w:rPr>
        <w:t>夯实底蕴厚度，争当兴文化的传承弘扬者</w:t>
      </w:r>
    </w:p>
    <w:p w14:paraId="009F9452">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文化是一个国家、一个民族的灵魂。习近平总书记要求我们：“激发全民族文化创新创造活力，建设社会主义文化强国。”文化自信是一个国家、一个民族发展的恒久力量，要更好凝聚共识、坚定信心、鼓舞斗志。</w:t>
      </w:r>
    </w:p>
    <w:p w14:paraId="4987AFE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坚持守正创新。结合时代需要，守正创新，传承中华优秀传统文化，深入挖掘其中蕴含的思想观念、人文精神和道德规范；弘扬革命文化，从中感悟中国革命伟大历程和感人事迹并运用于实践；发展社会主义先进文化，加强理想信念教育。同时，推进国际传播能力建设，讲好中国故事，向世界展现真实、立体、全面的中国，提高国家文化软实力。</w:t>
      </w:r>
    </w:p>
    <w:p w14:paraId="3F56BB6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构筑强大精神支撑。赓续红色血脉，巩固党史学习教育成果，深入学习党史、新中国史、改革开放史、社会主义发展史、中华民族发展史，深刻认识红色政权来之不易、新中国来之不易、中国特色社会主义来之不易，做到知史爱党、知史爱国。弘扬以伟大建党精神为源头的中国共产党人精神谱系，增强全党全国各族人民的志气、骨气和底气。</w:t>
      </w:r>
    </w:p>
    <w:p w14:paraId="197D0F3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增强文化自觉自信。首先要站在全球视角，全面正确认识中华优秀传统文化、革命文化、社会主义先进文化，客观对比中西方文化，既克服文化自卑，又避免文化自负，清醒地增强文化自豪感。党领导人民在进行革命、建设和改革中创造的革命文化和社会主义先进文化，既是对中华优秀传统文化的凝结升华，也是中国共产党人和中国人民伟大创造精神的生动体现，更是激励全党全国各族人民奋勇前进的强大精神力量。</w:t>
      </w:r>
    </w:p>
    <w:p w14:paraId="2EBB6861">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center"/>
        <w:textAlignment w:val="baseline"/>
        <w:rPr>
          <w:rFonts w:hint="eastAsia" w:ascii="宋体" w:hAnsi="宋体" w:eastAsia="宋体" w:cs="宋体"/>
          <w:i w:val="0"/>
          <w:iCs w:val="0"/>
          <w:caps w:val="0"/>
          <w:spacing w:val="4"/>
          <w:sz w:val="21"/>
          <w:szCs w:val="21"/>
        </w:rPr>
      </w:pPr>
      <w:r>
        <w:rPr>
          <w:rStyle w:val="17"/>
          <w:rFonts w:hint="eastAsia" w:ascii="宋体" w:hAnsi="宋体" w:eastAsia="宋体" w:cs="宋体"/>
          <w:b/>
          <w:bCs/>
          <w:i w:val="0"/>
          <w:iCs w:val="0"/>
          <w:caps w:val="0"/>
          <w:color w:val="D92142"/>
          <w:spacing w:val="7"/>
          <w:sz w:val="21"/>
          <w:szCs w:val="21"/>
        </w:rPr>
        <w:t>彰显品牌亮度，争当展形象的标杆示范者</w:t>
      </w:r>
    </w:p>
    <w:p w14:paraId="54DD5E5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全体党员特别是领导干部要加强党性锻炼，以更高标准严格要求自己，注重自身修养，时时处处展示良好形象，推动思想政治工作不断开创新局面。</w:t>
      </w:r>
    </w:p>
    <w:p w14:paraId="335AAC4E">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在爱岗敬业上作示范。自觉把岗位变成展示才华的舞台，始终满怀热情，全身心地投入心思、精力和智慧。坚持久久为功、绵绵用力，在工作中体现价值、展现风采、感受快乐。</w:t>
      </w:r>
    </w:p>
    <w:p w14:paraId="204C46D0">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4"/>
          <w:sz w:val="21"/>
          <w:szCs w:val="21"/>
        </w:rPr>
      </w:pPr>
      <w:r>
        <w:rPr>
          <w:rFonts w:hint="eastAsia" w:ascii="宋体" w:hAnsi="宋体" w:eastAsia="宋体" w:cs="宋体"/>
          <w:i w:val="0"/>
          <w:iCs w:val="0"/>
          <w:caps w:val="0"/>
          <w:spacing w:val="7"/>
          <w:sz w:val="21"/>
          <w:szCs w:val="21"/>
        </w:rPr>
        <w:t>在修身律己上作示范。自觉遵守党章、维护党章，严守党的各项纪律，始终言行一致、表里如一。始终自警自省自励、慎独慎初慎微，在任何情况下都稳住心神、管住行为、守住清白。对个人名誉、地位和利益等问题要看得淡、想得开、悟得透，不为名所累、不为利所诱、不为情所困。</w:t>
      </w:r>
    </w:p>
    <w:p w14:paraId="55C6460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7"/>
          <w:sz w:val="21"/>
          <w:szCs w:val="21"/>
        </w:rPr>
      </w:pPr>
      <w:r>
        <w:rPr>
          <w:rFonts w:hint="eastAsia" w:ascii="宋体" w:hAnsi="宋体" w:eastAsia="宋体" w:cs="宋体"/>
          <w:i w:val="0"/>
          <w:iCs w:val="0"/>
          <w:caps w:val="0"/>
          <w:spacing w:val="7"/>
          <w:sz w:val="21"/>
          <w:szCs w:val="21"/>
        </w:rPr>
        <w:t>在担当负责上作示范。牢固树立正确的政绩观，沉下心、静下气、安下身，学会从大局出发思考、分析和解决问题。甘当老百姓“幸福树”上的绿叶和“幸福路”上的砖石，在新征程中，以“功成不必在我、功成必定有我”的境界担当，一棒接着一棒地跑好强国建设、民族复兴伟业接力赛。</w:t>
      </w:r>
    </w:p>
    <w:p w14:paraId="15A0E6C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7"/>
          <w:sz w:val="21"/>
          <w:szCs w:val="21"/>
        </w:rPr>
      </w:pPr>
    </w:p>
    <w:p w14:paraId="5392763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val="0"/>
        <w:wordWrap/>
        <w:overflowPunct/>
        <w:topLinePunct w:val="0"/>
        <w:autoSpaceDE w:val="0"/>
        <w:autoSpaceDN w:val="0"/>
        <w:bidi w:val="0"/>
        <w:adjustRightInd w:val="0"/>
        <w:snapToGrid w:val="0"/>
        <w:spacing w:before="0" w:beforeAutospacing="0" w:after="0" w:afterAutospacing="0" w:line="360" w:lineRule="auto"/>
        <w:ind w:left="0" w:right="0" w:firstLine="448" w:firstLineChars="200"/>
        <w:jc w:val="both"/>
        <w:textAlignment w:val="baseline"/>
        <w:rPr>
          <w:rFonts w:hint="eastAsia" w:ascii="宋体" w:hAnsi="宋体" w:eastAsia="宋体" w:cs="宋体"/>
          <w:i w:val="0"/>
          <w:iCs w:val="0"/>
          <w:caps w:val="0"/>
          <w:spacing w:val="7"/>
          <w:sz w:val="21"/>
          <w:szCs w:val="21"/>
          <w:lang w:eastAsia="zh-CN"/>
        </w:rPr>
      </w:pPr>
      <w:r>
        <w:rPr>
          <w:rFonts w:hint="eastAsia" w:ascii="宋体" w:hAnsi="宋体" w:eastAsia="宋体" w:cs="宋体"/>
          <w:i w:val="0"/>
          <w:iCs w:val="0"/>
          <w:caps w:val="0"/>
          <w:spacing w:val="7"/>
          <w:sz w:val="21"/>
          <w:szCs w:val="21"/>
          <w:lang w:eastAsia="zh-CN"/>
        </w:rPr>
        <w:t>（</w:t>
      </w:r>
      <w:r>
        <w:rPr>
          <w:rFonts w:hint="eastAsia" w:ascii="宋体" w:hAnsi="宋体" w:eastAsia="宋体" w:cs="宋体"/>
          <w:i w:val="0"/>
          <w:iCs w:val="0"/>
          <w:caps w:val="0"/>
          <w:spacing w:val="7"/>
          <w:sz w:val="21"/>
          <w:szCs w:val="21"/>
          <w:lang w:val="en-US" w:eastAsia="zh-CN"/>
        </w:rPr>
        <w:t>原载</w:t>
      </w:r>
      <w:r>
        <w:rPr>
          <w:rFonts w:hint="eastAsia" w:ascii="Times New Roman" w:hAnsi="Times New Roman" w:eastAsia="宋体" w:cs="Times New Roman"/>
          <w:sz w:val="24"/>
          <w:szCs w:val="24"/>
          <w:lang w:val="en-US" w:eastAsia="zh-CN"/>
        </w:rPr>
        <w:t>《中国教育报》2025年9月18日第6版，第二作者为邹家峰。</w:t>
      </w:r>
      <w:r>
        <w:rPr>
          <w:rFonts w:hint="eastAsia" w:ascii="宋体" w:hAnsi="宋体" w:eastAsia="宋体" w:cs="宋体"/>
          <w:i w:val="0"/>
          <w:iCs w:val="0"/>
          <w:caps w:val="0"/>
          <w:spacing w:val="7"/>
          <w:sz w:val="21"/>
          <w:szCs w:val="21"/>
          <w:lang w:eastAsia="zh-CN"/>
        </w:rPr>
        <w:t>）</w:t>
      </w:r>
    </w:p>
    <w:p w14:paraId="61E03B4E">
      <w:pPr>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200"/>
        <w:textAlignment w:val="baseline"/>
        <w:rPr>
          <w:rFonts w:hint="eastAsia" w:ascii="宋体" w:hAnsi="宋体" w:eastAsia="宋体" w:cs="宋体"/>
          <w:spacing w:val="0"/>
          <w:w w:val="100"/>
          <w:position w:val="0"/>
          <w:sz w:val="21"/>
          <w:szCs w:val="21"/>
        </w:rPr>
      </w:pPr>
    </w:p>
    <w:p w14:paraId="6D3D5D11">
      <w:pPr>
        <w:pStyle w:val="2"/>
        <w:bidi w:val="0"/>
      </w:pPr>
      <w:bookmarkStart w:id="883" w:name="_Toc32091438"/>
      <w:bookmarkStart w:id="884" w:name="_Toc112770776"/>
      <w:bookmarkStart w:id="885" w:name="_Toc447841727"/>
      <w:bookmarkStart w:id="886" w:name="_Toc1950"/>
      <w:bookmarkStart w:id="887" w:name="_Toc646714022"/>
      <w:bookmarkStart w:id="888" w:name="_Toc1472908334"/>
      <w:r>
        <w:rPr>
          <w:rFonts w:hint="eastAsia"/>
          <w:lang w:val="en-US" w:eastAsia="zh-CN"/>
        </w:rPr>
        <w:t>22</w:t>
      </w:r>
      <w:r>
        <w:t>深入践行习近平文化思想自觉担负起新的文化使命——评《新时代推进文化强国建设战略研究》</w:t>
      </w:r>
      <w:bookmarkEnd w:id="883"/>
      <w:bookmarkEnd w:id="884"/>
      <w:bookmarkEnd w:id="885"/>
      <w:bookmarkEnd w:id="886"/>
      <w:bookmarkEnd w:id="887"/>
      <w:bookmarkEnd w:id="888"/>
    </w:p>
    <w:p w14:paraId="5CD1C1A8">
      <w:pPr>
        <w:pStyle w:val="6"/>
        <w:spacing w:before="122" w:line="277" w:lineRule="auto"/>
        <w:ind w:left="760" w:right="210" w:firstLine="419"/>
        <w:jc w:val="both"/>
        <w:rPr>
          <w:rFonts w:hint="eastAsia" w:ascii="宋体" w:hAnsi="宋体" w:eastAsia="宋体" w:cs="宋体"/>
          <w:spacing w:val="6"/>
          <w:sz w:val="21"/>
          <w:szCs w:val="21"/>
        </w:rPr>
      </w:pPr>
      <w:r>
        <w:rPr>
          <w:rFonts w:hint="eastAsia" w:ascii="宋体" w:hAnsi="宋体" w:eastAsia="宋体" w:cs="宋体"/>
          <w:spacing w:val="6"/>
          <w:sz w:val="21"/>
          <w:szCs w:val="21"/>
        </w:rPr>
        <w:t>文化是一个国家、一个民族的灵魂。坚定文化自信、增强文化自觉、实现文化自强，事关国家前途命运、民族兴旺发达和人民利益福祉。当前，人民群众的精神文化需求不断呈现个性化、多样化、品质化等趋势，而城乡、区域之间文化发展的不平衡，公共文化服务体系的不健全，尤其是一些偏远地区公共文化设施配套相对滞后，使得要实现到2035年建成文化强国的战略目标，任重道远。如何深入践行习近平文化思想，加快推进文化强国建设，是一项重大的现实课题。孙绍勇教授新著《新时代推进文化强国建设战略研究》(中国社会科学出版社2024年版)对此作出了有益探索和系统思考，该书也是其主持的研究阐释党的二十大精神国家社科基金重大项目“推进文化自信自强的时代背景与现实途径研究”的研究成果，不仅学理性、学术性较强，而且前沿性突出，主要体现在以下几个方面。</w:t>
      </w:r>
    </w:p>
    <w:p w14:paraId="22284BC0">
      <w:pPr>
        <w:pStyle w:val="6"/>
        <w:spacing w:before="122" w:line="277" w:lineRule="auto"/>
        <w:ind w:left="760" w:right="210" w:firstLine="419"/>
        <w:jc w:val="both"/>
        <w:rPr>
          <w:rFonts w:hint="eastAsia" w:ascii="宋体" w:hAnsi="宋体" w:eastAsia="宋体" w:cs="宋体"/>
          <w:sz w:val="21"/>
          <w:szCs w:val="21"/>
        </w:rPr>
      </w:pPr>
      <w:r>
        <w:rPr>
          <w:rFonts w:hint="eastAsia" w:ascii="宋体" w:hAnsi="宋体" w:eastAsia="宋体" w:cs="宋体"/>
          <w:spacing w:val="6"/>
          <w:sz w:val="21"/>
          <w:szCs w:val="21"/>
        </w:rPr>
        <w:t>一是，该书深刻阐释习近平文化思想是新时代</w:t>
      </w:r>
      <w:r>
        <w:rPr>
          <w:rFonts w:hint="eastAsia" w:ascii="宋体" w:hAnsi="宋体" w:eastAsia="宋体" w:cs="宋体"/>
          <w:spacing w:val="10"/>
          <w:sz w:val="21"/>
          <w:szCs w:val="21"/>
        </w:rPr>
        <w:t>推进文化强国建设的科学指引。党的十八大以来，</w:t>
      </w:r>
      <w:r>
        <w:rPr>
          <w:rFonts w:hint="eastAsia" w:ascii="宋体" w:hAnsi="宋体" w:eastAsia="宋体" w:cs="宋体"/>
          <w:spacing w:val="6"/>
          <w:sz w:val="21"/>
          <w:szCs w:val="21"/>
        </w:rPr>
        <w:t>文化强国建设历史性成就的取得，主要得益于习近平文化思想的贯彻落实。该书以习近平文化思想为</w:t>
      </w:r>
      <w:r>
        <w:rPr>
          <w:rFonts w:hint="eastAsia" w:ascii="宋体" w:hAnsi="宋体" w:eastAsia="宋体" w:cs="宋体"/>
          <w:spacing w:val="-3"/>
          <w:sz w:val="21"/>
          <w:szCs w:val="21"/>
        </w:rPr>
        <w:t>指导，深入把握内蕴其中的世界观和方法论，对新时</w:t>
      </w:r>
      <w:r>
        <w:rPr>
          <w:rFonts w:hint="eastAsia" w:ascii="宋体" w:hAnsi="宋体" w:eastAsia="宋体" w:cs="宋体"/>
          <w:spacing w:val="7"/>
          <w:sz w:val="21"/>
          <w:szCs w:val="21"/>
        </w:rPr>
        <w:t>代以来文化强国建设的实践进展全方位系统梳理总</w:t>
      </w:r>
      <w:r>
        <w:rPr>
          <w:rFonts w:hint="eastAsia" w:ascii="宋体" w:hAnsi="宋体" w:eastAsia="宋体" w:cs="宋体"/>
          <w:spacing w:val="6"/>
          <w:sz w:val="21"/>
          <w:szCs w:val="21"/>
        </w:rPr>
        <w:t>结，把习近平文化思想的形成发展与文化强国建设</w:t>
      </w:r>
      <w:r>
        <w:rPr>
          <w:rFonts w:hint="eastAsia" w:ascii="宋体" w:hAnsi="宋体" w:eastAsia="宋体" w:cs="宋体"/>
          <w:spacing w:val="7"/>
          <w:sz w:val="21"/>
          <w:szCs w:val="21"/>
        </w:rPr>
        <w:t>的实践成就有机统一起来。作者强调习近平文</w:t>
      </w:r>
      <w:r>
        <w:rPr>
          <w:rFonts w:hint="eastAsia" w:ascii="宋体" w:hAnsi="宋体" w:eastAsia="宋体" w:cs="宋体"/>
          <w:spacing w:val="6"/>
          <w:sz w:val="21"/>
          <w:szCs w:val="21"/>
        </w:rPr>
        <w:t>化思</w:t>
      </w:r>
      <w:r>
        <w:rPr>
          <w:rFonts w:hint="eastAsia" w:ascii="宋体" w:hAnsi="宋体" w:eastAsia="宋体" w:cs="宋体"/>
          <w:spacing w:val="7"/>
          <w:sz w:val="21"/>
          <w:szCs w:val="21"/>
        </w:rPr>
        <w:t>想始终根植于我们党领导推进文化建设发展的生动实践，蕴涵和凝结着新时代推进文化强国建设的智</w:t>
      </w:r>
      <w:r>
        <w:rPr>
          <w:rFonts w:hint="eastAsia" w:ascii="宋体" w:hAnsi="宋体" w:eastAsia="宋体" w:cs="宋体"/>
          <w:spacing w:val="6"/>
          <w:sz w:val="21"/>
          <w:szCs w:val="21"/>
        </w:rPr>
        <w:t>慧结晶和理论总结，深刻回答了新时代文化强国建</w:t>
      </w:r>
      <w:r>
        <w:rPr>
          <w:rFonts w:hint="eastAsia" w:ascii="宋体" w:hAnsi="宋体" w:eastAsia="宋体" w:cs="宋体"/>
          <w:spacing w:val="-3"/>
          <w:sz w:val="21"/>
          <w:szCs w:val="21"/>
        </w:rPr>
        <w:t>设的价值取向、目标任务、原则要求、实践路径等重</w:t>
      </w:r>
      <w:r>
        <w:rPr>
          <w:rFonts w:hint="eastAsia" w:ascii="宋体" w:hAnsi="宋体" w:eastAsia="宋体" w:cs="宋体"/>
          <w:spacing w:val="4"/>
          <w:sz w:val="21"/>
          <w:szCs w:val="21"/>
        </w:rPr>
        <w:t>大问题。</w:t>
      </w:r>
    </w:p>
    <w:p w14:paraId="1558CF58">
      <w:pPr>
        <w:pStyle w:val="6"/>
        <w:spacing w:before="72" w:line="279" w:lineRule="auto"/>
        <w:ind w:left="660" w:right="230" w:firstLine="519"/>
        <w:jc w:val="both"/>
        <w:rPr>
          <w:rFonts w:hint="eastAsia" w:ascii="宋体" w:hAnsi="宋体" w:eastAsia="宋体" w:cs="宋体"/>
          <w:spacing w:val="6"/>
          <w:sz w:val="21"/>
          <w:szCs w:val="21"/>
        </w:rPr>
      </w:pPr>
      <w:r>
        <w:rPr>
          <w:rFonts w:hint="eastAsia" w:ascii="宋体" w:hAnsi="宋体" w:eastAsia="宋体" w:cs="宋体"/>
          <w:spacing w:val="6"/>
          <w:sz w:val="21"/>
          <w:szCs w:val="21"/>
        </w:rPr>
        <w:t>二是，该书系统阐明坚定文化自信是新时代推</w:t>
      </w:r>
      <w:r>
        <w:rPr>
          <w:rFonts w:hint="eastAsia" w:ascii="宋体" w:hAnsi="宋体" w:eastAsia="宋体" w:cs="宋体"/>
          <w:spacing w:val="14"/>
          <w:sz w:val="21"/>
          <w:szCs w:val="21"/>
        </w:rPr>
        <w:t>进文化强国建设的基础前提。习近平总书记强调：</w:t>
      </w:r>
      <w:r>
        <w:rPr>
          <w:rFonts w:hint="eastAsia" w:ascii="宋体" w:hAnsi="宋体" w:eastAsia="宋体" w:cs="宋体"/>
          <w:spacing w:val="-6"/>
          <w:sz w:val="21"/>
          <w:szCs w:val="21"/>
        </w:rPr>
        <w:t>“文化自信，是更基础、更广泛、更深厚的自信。”坚</w:t>
      </w:r>
      <w:r>
        <w:rPr>
          <w:rFonts w:hint="eastAsia" w:ascii="宋体" w:hAnsi="宋体" w:eastAsia="宋体" w:cs="宋体"/>
          <w:spacing w:val="7"/>
          <w:sz w:val="21"/>
          <w:szCs w:val="21"/>
        </w:rPr>
        <w:t>定文化自信是新时代不断推进文化强国建设的精神动力，也是巩固文化主体性，实现精神上的独</w:t>
      </w:r>
      <w:r>
        <w:rPr>
          <w:rFonts w:hint="eastAsia" w:ascii="宋体" w:hAnsi="宋体" w:eastAsia="宋体" w:cs="宋体"/>
          <w:spacing w:val="6"/>
          <w:sz w:val="21"/>
          <w:szCs w:val="21"/>
        </w:rPr>
        <w:t>立自</w:t>
      </w:r>
      <w:r>
        <w:rPr>
          <w:rFonts w:hint="eastAsia" w:ascii="宋体" w:hAnsi="宋体" w:eastAsia="宋体" w:cs="宋体"/>
          <w:spacing w:val="5"/>
          <w:sz w:val="21"/>
          <w:szCs w:val="21"/>
        </w:rPr>
        <w:t>主，创造中国式现代化文化形态的关键旨要。作者</w:t>
      </w:r>
      <w:r>
        <w:rPr>
          <w:rFonts w:hint="eastAsia" w:ascii="宋体" w:hAnsi="宋体" w:eastAsia="宋体" w:cs="宋体"/>
          <w:spacing w:val="6"/>
          <w:sz w:val="21"/>
          <w:szCs w:val="21"/>
        </w:rPr>
        <w:t>围绕发挥中国特色社会主义文化的资源优势，对中</w:t>
      </w:r>
      <w:r>
        <w:rPr>
          <w:rFonts w:hint="eastAsia" w:ascii="宋体" w:hAnsi="宋体" w:eastAsia="宋体" w:cs="宋体"/>
          <w:spacing w:val="7"/>
          <w:sz w:val="21"/>
          <w:szCs w:val="21"/>
        </w:rPr>
        <w:t>华优秀传统文化、革命文化及社会主义先进文化的</w:t>
      </w:r>
      <w:r>
        <w:rPr>
          <w:rFonts w:hint="eastAsia" w:ascii="宋体" w:hAnsi="宋体" w:eastAsia="宋体" w:cs="宋体"/>
          <w:spacing w:val="6"/>
          <w:sz w:val="21"/>
          <w:szCs w:val="21"/>
        </w:rPr>
        <w:t>传承发展进行分析，从本体层面解答了坚定什么样的文化自信的问题。同时，作者对党的十八大以来物质文化、精神文化建设的历史性成就进行了概括梳理，有助于进一步加深对文化自信支撑基础的理</w:t>
      </w:r>
      <w:r>
        <w:rPr>
          <w:rFonts w:hint="eastAsia" w:ascii="宋体" w:hAnsi="宋体" w:eastAsia="宋体" w:cs="宋体"/>
          <w:spacing w:val="1"/>
          <w:sz w:val="21"/>
          <w:szCs w:val="21"/>
        </w:rPr>
        <w:t>解把握。此外，作者通过对社会主义意识形态建设、</w:t>
      </w:r>
      <w:r>
        <w:rPr>
          <w:rFonts w:hint="eastAsia" w:ascii="宋体" w:hAnsi="宋体" w:eastAsia="宋体" w:cs="宋体"/>
          <w:spacing w:val="6"/>
          <w:sz w:val="21"/>
          <w:szCs w:val="21"/>
        </w:rPr>
        <w:t>社会主义核心价值观培育和践行、文化事业和文化</w:t>
      </w:r>
      <w:r>
        <w:rPr>
          <w:rFonts w:hint="eastAsia" w:ascii="宋体" w:hAnsi="宋体" w:eastAsia="宋体" w:cs="宋体"/>
          <w:spacing w:val="7"/>
          <w:sz w:val="21"/>
          <w:szCs w:val="21"/>
        </w:rPr>
        <w:t>产业繁荣发展等文化强国建设多个面向具体实践的研究阐释，突出了坚定文化自信与建设文化强国的</w:t>
      </w:r>
      <w:r>
        <w:rPr>
          <w:rFonts w:hint="eastAsia" w:ascii="宋体" w:hAnsi="宋体" w:eastAsia="宋体" w:cs="宋体"/>
          <w:spacing w:val="6"/>
          <w:sz w:val="21"/>
          <w:szCs w:val="21"/>
        </w:rPr>
        <w:t>辩证统一性。</w:t>
      </w:r>
    </w:p>
    <w:p w14:paraId="24EA4F61">
      <w:pPr>
        <w:pStyle w:val="6"/>
        <w:spacing w:before="72" w:line="279" w:lineRule="auto"/>
        <w:ind w:left="660" w:right="230" w:firstLine="519"/>
        <w:jc w:val="both"/>
        <w:rPr>
          <w:rFonts w:hint="eastAsia" w:ascii="宋体" w:hAnsi="宋体" w:eastAsia="宋体" w:cs="宋体"/>
          <w:spacing w:val="1"/>
          <w:sz w:val="21"/>
          <w:szCs w:val="21"/>
        </w:rPr>
      </w:pPr>
      <w:r>
        <w:rPr>
          <w:rFonts w:hint="eastAsia" w:ascii="宋体" w:hAnsi="宋体" w:eastAsia="宋体" w:cs="宋体"/>
          <w:spacing w:val="-4"/>
          <w:sz w:val="21"/>
          <w:szCs w:val="21"/>
        </w:rPr>
        <w:t>三是，该书重点突出“两个结合”是新时代推进</w:t>
      </w:r>
      <w:r>
        <w:rPr>
          <w:rFonts w:hint="eastAsia" w:ascii="宋体" w:hAnsi="宋体" w:eastAsia="宋体" w:cs="宋体"/>
          <w:spacing w:val="6"/>
          <w:sz w:val="21"/>
          <w:szCs w:val="21"/>
        </w:rPr>
        <w:t>文化强国建设的必由之路。习近平总书记在文化传承发展座谈会上的讲话中指出："'两个结合’是我</w:t>
      </w:r>
      <w:r>
        <w:rPr>
          <w:rFonts w:hint="eastAsia" w:ascii="宋体" w:hAnsi="宋体" w:eastAsia="宋体" w:cs="宋体"/>
          <w:spacing w:val="-3"/>
          <w:sz w:val="21"/>
          <w:szCs w:val="21"/>
        </w:rPr>
        <w:t>们取得成功的最大法宝。”“第二个结合”是习近平</w:t>
      </w:r>
      <w:r>
        <w:rPr>
          <w:rFonts w:hint="eastAsia" w:ascii="宋体" w:hAnsi="宋体" w:eastAsia="宋体" w:cs="宋体"/>
          <w:spacing w:val="6"/>
          <w:sz w:val="21"/>
          <w:szCs w:val="21"/>
        </w:rPr>
        <w:t>文化思想具有突破性、原创性的理论贡献，在认识</w:t>
      </w:r>
      <w:r>
        <w:rPr>
          <w:rFonts w:hint="eastAsia" w:ascii="宋体" w:hAnsi="宋体" w:eastAsia="宋体" w:cs="宋体"/>
          <w:spacing w:val="7"/>
          <w:sz w:val="21"/>
          <w:szCs w:val="21"/>
        </w:rPr>
        <w:t>论、方法论及实践论等层面打开了文化建设发展的创新空间。该书对“两个结合”与推进文化自</w:t>
      </w:r>
      <w:r>
        <w:rPr>
          <w:rFonts w:hint="eastAsia" w:ascii="宋体" w:hAnsi="宋体" w:eastAsia="宋体" w:cs="宋体"/>
          <w:spacing w:val="6"/>
          <w:sz w:val="21"/>
          <w:szCs w:val="21"/>
        </w:rPr>
        <w:t>信自</w:t>
      </w:r>
      <w:r>
        <w:rPr>
          <w:rFonts w:hint="eastAsia" w:ascii="宋体" w:hAnsi="宋体" w:eastAsia="宋体" w:cs="宋体"/>
          <w:sz w:val="21"/>
          <w:szCs w:val="21"/>
        </w:rPr>
        <w:t>强逻辑关系、内在机理和使命担当进行了深入分析，</w:t>
      </w:r>
      <w:r>
        <w:rPr>
          <w:rFonts w:hint="eastAsia" w:ascii="宋体" w:hAnsi="宋体" w:eastAsia="宋体" w:cs="宋体"/>
          <w:spacing w:val="6"/>
          <w:sz w:val="21"/>
          <w:szCs w:val="21"/>
        </w:rPr>
        <w:t>为新时代更好肩负推进文化自信自强的使命，促进中华优秀传统文化传承发展、大力弘扬赓续革命文</w:t>
      </w:r>
      <w:r>
        <w:rPr>
          <w:rFonts w:hint="eastAsia" w:ascii="宋体" w:hAnsi="宋体" w:eastAsia="宋体" w:cs="宋体"/>
          <w:spacing w:val="1"/>
          <w:sz w:val="21"/>
          <w:szCs w:val="21"/>
        </w:rPr>
        <w:t>化、推动社会主义文化繁荣兴盛指明了方向。</w:t>
      </w:r>
    </w:p>
    <w:p w14:paraId="2E7C4616">
      <w:pPr>
        <w:pStyle w:val="6"/>
        <w:spacing w:before="72" w:line="279" w:lineRule="auto"/>
        <w:ind w:left="660" w:right="230" w:firstLine="519"/>
        <w:jc w:val="both"/>
        <w:rPr>
          <w:rFonts w:hint="eastAsia" w:ascii="宋体" w:hAnsi="宋体" w:eastAsia="宋体" w:cs="宋体"/>
          <w:spacing w:val="5"/>
          <w:sz w:val="21"/>
          <w:szCs w:val="21"/>
        </w:rPr>
      </w:pPr>
      <w:r>
        <w:rPr>
          <w:rFonts w:hint="eastAsia" w:ascii="宋体" w:hAnsi="宋体" w:eastAsia="宋体" w:cs="宋体"/>
          <w:spacing w:val="7"/>
          <w:sz w:val="21"/>
          <w:szCs w:val="21"/>
        </w:rPr>
        <w:t>理论源于实践又服务于实践。新时代推进文化</w:t>
      </w:r>
      <w:r>
        <w:rPr>
          <w:rFonts w:hint="eastAsia" w:ascii="宋体" w:hAnsi="宋体" w:eastAsia="宋体" w:cs="宋体"/>
          <w:spacing w:val="1"/>
          <w:sz w:val="21"/>
          <w:szCs w:val="21"/>
        </w:rPr>
        <w:t>强国建设，呼唤哲学社会科学工作者立时代之潮头、</w:t>
      </w:r>
      <w:r>
        <w:rPr>
          <w:rFonts w:hint="eastAsia" w:ascii="宋体" w:hAnsi="宋体" w:eastAsia="宋体" w:cs="宋体"/>
          <w:spacing w:val="-3"/>
          <w:sz w:val="21"/>
          <w:szCs w:val="21"/>
        </w:rPr>
        <w:t>通古今之变化、发思想之先声，推出更多创新性、高质量的研究成果，更好担负以文化人、以文培元的职责使命，为构建中国特色哲学社会科学话语体系、提</w:t>
      </w:r>
      <w:r>
        <w:rPr>
          <w:rFonts w:hint="eastAsia" w:ascii="宋体" w:hAnsi="宋体" w:eastAsia="宋体" w:cs="宋体"/>
          <w:spacing w:val="5"/>
          <w:sz w:val="21"/>
          <w:szCs w:val="21"/>
        </w:rPr>
        <w:t>升中国文化软实力贡献力量。</w:t>
      </w:r>
    </w:p>
    <w:p w14:paraId="377B9373">
      <w:pPr>
        <w:pStyle w:val="6"/>
        <w:spacing w:before="72" w:line="279" w:lineRule="auto"/>
        <w:ind w:left="660" w:right="230" w:firstLine="519"/>
        <w:jc w:val="both"/>
        <w:rPr>
          <w:rFonts w:hint="eastAsia" w:ascii="宋体" w:hAnsi="宋体" w:eastAsia="宋体" w:cs="宋体"/>
          <w:spacing w:val="5"/>
          <w:sz w:val="21"/>
          <w:szCs w:val="21"/>
          <w:lang w:eastAsia="zh-CN"/>
        </w:rPr>
      </w:pPr>
      <w:r>
        <w:rPr>
          <w:rFonts w:hint="eastAsia" w:ascii="宋体" w:hAnsi="宋体" w:eastAsia="宋体" w:cs="宋体"/>
          <w:spacing w:val="5"/>
          <w:sz w:val="21"/>
          <w:szCs w:val="21"/>
          <w:lang w:eastAsia="zh-CN"/>
        </w:rPr>
        <w:t>（</w:t>
      </w:r>
      <w:r>
        <w:rPr>
          <w:rFonts w:hint="eastAsia" w:ascii="宋体" w:hAnsi="宋体" w:eastAsia="宋体" w:cs="宋体"/>
          <w:spacing w:val="5"/>
          <w:sz w:val="21"/>
          <w:szCs w:val="21"/>
          <w:lang w:val="en-US" w:eastAsia="zh-CN"/>
        </w:rPr>
        <w:t>原载</w:t>
      </w:r>
      <w:r>
        <w:rPr>
          <w:rFonts w:hint="eastAsia" w:ascii="宋体" w:hAnsi="宋体" w:eastAsia="宋体" w:cs="宋体"/>
          <w:sz w:val="21"/>
          <w:szCs w:val="21"/>
          <w:lang w:val="en-US" w:eastAsia="zh-CN"/>
        </w:rPr>
        <w:t>《中南民族大学学报(人文社会科学版)》，2025年第4期</w:t>
      </w:r>
      <w:r>
        <w:rPr>
          <w:rFonts w:hint="eastAsia" w:ascii="宋体" w:hAnsi="宋体" w:eastAsia="宋体" w:cs="宋体"/>
          <w:spacing w:val="5"/>
          <w:sz w:val="21"/>
          <w:szCs w:val="21"/>
          <w:lang w:val="en-US" w:eastAsia="zh-CN"/>
        </w:rPr>
        <w:t>》</w:t>
      </w:r>
      <w:r>
        <w:rPr>
          <w:rFonts w:hint="eastAsia" w:ascii="宋体" w:hAnsi="宋体" w:eastAsia="宋体" w:cs="宋体"/>
          <w:spacing w:val="5"/>
          <w:sz w:val="21"/>
          <w:szCs w:val="21"/>
          <w:lang w:eastAsia="zh-CN"/>
        </w:rPr>
        <w:t>）</w:t>
      </w:r>
    </w:p>
    <w:p w14:paraId="3F3C211B">
      <w:pPr>
        <w:pStyle w:val="6"/>
        <w:spacing w:before="98" w:line="362" w:lineRule="auto"/>
        <w:ind w:left="695" w:right="1011" w:firstLine="544"/>
        <w:jc w:val="both"/>
        <w:rPr>
          <w:spacing w:val="15"/>
        </w:rPr>
      </w:pPr>
    </w:p>
    <w:p w14:paraId="3194E4EB">
      <w:pPr>
        <w:pStyle w:val="2"/>
        <w:bidi w:val="0"/>
      </w:pPr>
      <w:bookmarkStart w:id="889" w:name="_Toc342403069"/>
      <w:bookmarkStart w:id="890" w:name="_Toc14456"/>
      <w:bookmarkStart w:id="891" w:name="_Toc2093206601"/>
      <w:bookmarkStart w:id="892" w:name="_Toc907830287"/>
      <w:bookmarkStart w:id="893" w:name="_Toc1257855578"/>
      <w:bookmarkStart w:id="894" w:name="_Toc1126370569"/>
      <w:r>
        <w:rPr>
          <w:rFonts w:hint="eastAsia"/>
          <w:lang w:val="en-US" w:eastAsia="zh-CN"/>
        </w:rPr>
        <w:t>23简评</w:t>
      </w:r>
      <w:r>
        <w:t>《马克思增进人民幸福的财富伦理思想研究》</w:t>
      </w:r>
      <w:bookmarkEnd w:id="889"/>
      <w:bookmarkEnd w:id="890"/>
      <w:bookmarkEnd w:id="891"/>
      <w:bookmarkEnd w:id="892"/>
      <w:bookmarkEnd w:id="893"/>
      <w:bookmarkEnd w:id="894"/>
    </w:p>
    <w:p w14:paraId="6461D98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eastAsia="宋体"/>
          <w:spacing w:val="0"/>
          <w:sz w:val="21"/>
          <w:szCs w:val="21"/>
          <w:lang w:val="en-US" w:eastAsia="zh-CN"/>
        </w:rPr>
      </w:pPr>
    </w:p>
    <w:p w14:paraId="441B261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spacing w:val="0"/>
          <w:sz w:val="21"/>
          <w:szCs w:val="21"/>
        </w:rPr>
      </w:pPr>
      <w:r>
        <w:rPr>
          <w:spacing w:val="0"/>
          <w:sz w:val="21"/>
          <w:szCs w:val="21"/>
        </w:rPr>
        <w:t>贺汉魂教授新著《马克思增进人民幸福的财富伦理思想研究》(人民出版社，2023年)贯通 “回到马克思”“发现马克思”“应用马克思”的根本逻辑遵循，深入研究了马克思财富伦理思 想，深刻批判了财富异化的伦理之殇，科学揭示了“国”“民”均富的伦理之道，全面展示了幸 福人生的伦理之美，是启示幸福中国建设的伦理之光。该著内容丰富、论证深刻，兹介绍如下。</w:t>
      </w:r>
    </w:p>
    <w:p w14:paraId="2296C2C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宋体" w:hAnsi="宋体" w:eastAsia="宋体" w:cs="宋体"/>
          <w:spacing w:val="0"/>
          <w:sz w:val="21"/>
          <w:szCs w:val="21"/>
        </w:rPr>
      </w:pPr>
      <w:r>
        <w:rPr>
          <w:spacing w:val="0"/>
          <w:sz w:val="21"/>
          <w:szCs w:val="21"/>
        </w:rPr>
        <w:t>其一，论证增进人民幸福是马克思财富伦理思想的根本旨趣，背离增进人民幸福这一根本要  求的财富及其活动是财富异化，财富异化的根本表现是财富幻象，生产资料私有制是财富异化的  根本基础；保障人民共享(享用)生活资料、共享(享受)生产劳动、共享(享有)生产资料是  增进人民幸福的根本途径。其二，论证实现人的自由全面发展是马克思财富伦理思想的根本价值  目标，创造性提出体验律、实现律是增进人民幸福的根本主体定律。着力批判了资本扩张逻辑及  其伦理之殇，分析建立人民主导资本的劳资伦理关系是扬弃资本逻辑的现实选择。其三，论证增  进人民幸福是马克思财富生产伦理思想的根本精神，着力分析了劳动的有用性和有害性上劳动二  重性的真义，指出从劳动二重性的真义看促进劳动解放是财富生产增进人民幸福的根本伦理矛盾， 实行体面劳动是劳动者重要的美好生活需要，是解决财富生产内在伦理矛盾的现实途径。其四， 论证增进人民幸福是马克思财富分配伦理思想的根本标准，充分揭示了增进人民幸福的财富分配  之道是马克思财富分配伦理思想的根本精神要义。其五，论证增进人民幸福是马克思财富交换伦  理思想的根本遵循，批判西方资产阶级经济学家，如亚当 ·斯密的“看不见的手”与哈耶克的“自 发扩展秩序”的伦理缺陷。其六，论证增进人民幸福是马克思财富消费伦理思想的根本意义，分  析了市场经济下消费异化的实质是交换价值过度偏离使用价值，主要表现是超前、奢侈和符号化  消费，应用马克思生产与消费同一思想的伦理意蕴揭示了增进人民幸福要求理性消费的基本要素、 理念。其七，论证马克思财富伦理思想的伟大历史地位与当代价值，深入研究了马克思财富伦理思想为我们深入分析金融危机、食品安全、土地私有化、</w:t>
      </w:r>
      <w:r>
        <w:rPr>
          <w:rFonts w:ascii="宋体" w:hAnsi="宋体" w:eastAsia="宋体" w:cs="宋体"/>
          <w:spacing w:val="0"/>
          <w:sz w:val="21"/>
          <w:szCs w:val="21"/>
        </w:rPr>
        <w:t>增加人民财产性收入、充分实现体面劳动提供了重要的理论启示和实践指导。</w:t>
      </w:r>
    </w:p>
    <w:p w14:paraId="0C7EA86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宋体" w:hAnsi="宋体" w:eastAsia="宋体" w:cs="宋体"/>
          <w:spacing w:val="0"/>
          <w:sz w:val="21"/>
          <w:szCs w:val="21"/>
        </w:rPr>
      </w:pPr>
      <w:r>
        <w:rPr>
          <w:rFonts w:ascii="宋体" w:hAnsi="宋体" w:eastAsia="宋体" w:cs="宋体"/>
          <w:spacing w:val="0"/>
          <w:sz w:val="21"/>
          <w:szCs w:val="21"/>
        </w:rPr>
        <w:t>该著学术观点个性鲜明，读后让人颇有启发，不少观点创新性强， 给我留下了深刻印象。例如，认为公有制经济才是真正的共享经济。 共产主义的通俗理解是关于“共产”的主义，  “共产”的主体应是人 民，人民的主体是劳动人民，共产主义是全体劳动人民“共产”的主  义。共享的一般含义是“共同拥有”和“共同分担”,人民共同享受  生产劳动、共同享有生产资料、共同享用生活资料(当然部分生活资  料可以由个人所有，即马克思所说的在生产资料公有制基础上“重建 个人所有制”),才是真正全面的共享经济。</w:t>
      </w:r>
    </w:p>
    <w:p w14:paraId="0AF155FA">
      <w:pPr>
        <w:pStyle w:val="6"/>
        <w:spacing w:before="145" w:line="217" w:lineRule="auto"/>
        <w:ind w:left="389"/>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原载《政治经济学研究》2025年第1期。</w:t>
      </w:r>
      <w:r>
        <w:rPr>
          <w:rFonts w:hint="eastAsia" w:ascii="宋体" w:hAnsi="宋体" w:eastAsia="宋体" w:cs="宋体"/>
          <w:sz w:val="21"/>
          <w:szCs w:val="21"/>
          <w:lang w:eastAsia="zh-CN"/>
        </w:rPr>
        <w:t>）</w:t>
      </w:r>
    </w:p>
    <w:p w14:paraId="45DDC667">
      <w:pPr>
        <w:pStyle w:val="6"/>
        <w:spacing w:before="145" w:line="217" w:lineRule="auto"/>
        <w:ind w:left="389"/>
        <w:rPr>
          <w:rFonts w:hint="eastAsia" w:ascii="宋体" w:hAnsi="宋体" w:eastAsia="宋体" w:cs="宋体"/>
          <w:sz w:val="21"/>
          <w:szCs w:val="21"/>
          <w:lang w:eastAsia="zh-CN"/>
        </w:rPr>
      </w:pPr>
    </w:p>
    <w:p w14:paraId="6EC18325">
      <w:pPr>
        <w:pStyle w:val="6"/>
        <w:spacing w:before="145" w:line="217" w:lineRule="auto"/>
        <w:ind w:left="389"/>
        <w:rPr>
          <w:rFonts w:hint="eastAsia" w:ascii="宋体" w:hAnsi="宋体" w:eastAsia="宋体" w:cs="宋体"/>
          <w:sz w:val="21"/>
          <w:szCs w:val="21"/>
          <w:lang w:eastAsia="zh-CN"/>
        </w:rPr>
      </w:pPr>
    </w:p>
    <w:p w14:paraId="1921B60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748" w:firstLineChars="200"/>
        <w:jc w:val="center"/>
        <w:textAlignment w:val="baseline"/>
        <w:outlineLvl w:val="0"/>
        <w:rPr>
          <w:rFonts w:hint="eastAsia" w:ascii="黑体" w:hAnsi="黑体" w:eastAsia="黑体" w:cs="黑体"/>
          <w:sz w:val="32"/>
          <w:szCs w:val="32"/>
          <w:lang w:eastAsia="zh-CN"/>
        </w:rPr>
      </w:pPr>
      <w:bookmarkStart w:id="895" w:name="_Toc446237853"/>
      <w:bookmarkStart w:id="896" w:name="_Toc949678378"/>
      <w:bookmarkStart w:id="897" w:name="_Toc1659690370"/>
      <w:bookmarkStart w:id="898" w:name="_Toc32321674"/>
      <w:bookmarkStart w:id="899" w:name="_Toc3564"/>
      <w:bookmarkStart w:id="900" w:name="_Toc841804878"/>
      <w:r>
        <w:rPr>
          <w:rFonts w:hint="eastAsia" w:ascii="黑体" w:hAnsi="黑体" w:eastAsia="黑体" w:cs="黑体"/>
          <w:spacing w:val="27"/>
          <w:sz w:val="32"/>
          <w:szCs w:val="32"/>
          <w:lang w:val="en-US" w:eastAsia="zh-CN"/>
        </w:rPr>
        <w:t>24</w:t>
      </w:r>
      <w:r>
        <w:rPr>
          <w:rFonts w:hint="eastAsia" w:ascii="黑体" w:hAnsi="黑体" w:eastAsia="黑体" w:cs="黑体"/>
          <w:spacing w:val="27"/>
          <w:sz w:val="32"/>
          <w:szCs w:val="32"/>
        </w:rPr>
        <w:t>列宁土地国有化理论探究及其当代启示</w:t>
      </w:r>
      <w:r>
        <w:rPr>
          <w:rStyle w:val="20"/>
          <w:rFonts w:hint="eastAsia" w:ascii="黑体" w:hAnsi="黑体" w:eastAsia="黑体" w:cs="黑体"/>
          <w:spacing w:val="27"/>
          <w:sz w:val="32"/>
          <w:szCs w:val="32"/>
        </w:rPr>
        <w:footnoteReference w:id="1084"/>
      </w:r>
      <w:bookmarkEnd w:id="895"/>
      <w:bookmarkEnd w:id="896"/>
      <w:bookmarkEnd w:id="897"/>
      <w:bookmarkEnd w:id="898"/>
      <w:bookmarkEnd w:id="899"/>
      <w:bookmarkEnd w:id="900"/>
    </w:p>
    <w:p w14:paraId="25DFDE4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64CA37A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149165A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7C59DE3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b/>
          <w:bCs/>
          <w:spacing w:val="10"/>
          <w:sz w:val="21"/>
          <w:szCs w:val="21"/>
        </w:rPr>
        <w:t>摘要</w:t>
      </w:r>
      <w:r>
        <w:rPr>
          <w:rFonts w:hint="eastAsia" w:ascii="宋体" w:hAnsi="宋体" w:eastAsia="宋体" w:cs="宋体"/>
          <w:spacing w:val="10"/>
          <w:sz w:val="21"/>
          <w:szCs w:val="21"/>
        </w:rPr>
        <w:t>列宁立足俄国无产阶级革命的实践,以马克思土地国有化理论为指导,以土地与自由为逻辑起点,以实现无产阶级专政为最终目</w:t>
      </w:r>
      <w:r>
        <w:rPr>
          <w:rFonts w:hint="eastAsia" w:ascii="宋体" w:hAnsi="宋体" w:eastAsia="宋体" w:cs="宋体"/>
          <w:spacing w:val="9"/>
          <w:sz w:val="21"/>
          <w:szCs w:val="21"/>
        </w:rPr>
        <w:t>的,紧密围绕生产关系与生产力、工人与农民、民主革命与</w:t>
      </w:r>
      <w:r>
        <w:rPr>
          <w:rFonts w:hint="eastAsia" w:ascii="宋体" w:hAnsi="宋体" w:eastAsia="宋体" w:cs="宋体"/>
          <w:spacing w:val="8"/>
          <w:sz w:val="21"/>
          <w:szCs w:val="21"/>
        </w:rPr>
        <w:t>社会主义革</w:t>
      </w:r>
      <w:r>
        <w:rPr>
          <w:rFonts w:hint="eastAsia" w:ascii="宋体" w:hAnsi="宋体" w:eastAsia="宋体" w:cs="宋体"/>
          <w:spacing w:val="12"/>
          <w:sz w:val="21"/>
          <w:szCs w:val="21"/>
        </w:rPr>
        <w:t>命等重大关系,进行了深入的理论与实践探索,构建了一套系统</w:t>
      </w:r>
      <w:r>
        <w:rPr>
          <w:rFonts w:hint="eastAsia" w:ascii="宋体" w:hAnsi="宋体" w:eastAsia="宋体" w:cs="宋体"/>
          <w:spacing w:val="11"/>
          <w:sz w:val="21"/>
          <w:szCs w:val="21"/>
        </w:rPr>
        <w:t>完备的</w:t>
      </w:r>
      <w:r>
        <w:rPr>
          <w:rFonts w:hint="eastAsia" w:ascii="宋体" w:hAnsi="宋体" w:eastAsia="宋体" w:cs="宋体"/>
          <w:spacing w:val="19"/>
          <w:sz w:val="21"/>
          <w:szCs w:val="21"/>
        </w:rPr>
        <w:t>土地国有化理论,有力地推动了俄国的土地国有化运动与无产阶级革</w:t>
      </w:r>
      <w:r>
        <w:rPr>
          <w:rFonts w:hint="eastAsia" w:ascii="宋体" w:hAnsi="宋体" w:eastAsia="宋体" w:cs="宋体"/>
          <w:spacing w:val="17"/>
          <w:sz w:val="21"/>
          <w:szCs w:val="21"/>
        </w:rPr>
        <w:t>命。列宁土地国有化理论的建构,以无产阶级政党领导农民为组织原</w:t>
      </w:r>
      <w:r>
        <w:rPr>
          <w:rFonts w:hint="eastAsia" w:ascii="宋体" w:hAnsi="宋体" w:eastAsia="宋体" w:cs="宋体"/>
          <w:spacing w:val="9"/>
          <w:sz w:val="21"/>
          <w:szCs w:val="21"/>
        </w:rPr>
        <w:t>则、以阶级斗争为指导原则、以因时制宜为实施原</w:t>
      </w:r>
      <w:r>
        <w:rPr>
          <w:rFonts w:hint="eastAsia" w:ascii="宋体" w:hAnsi="宋体" w:eastAsia="宋体" w:cs="宋体"/>
          <w:spacing w:val="8"/>
          <w:sz w:val="21"/>
          <w:szCs w:val="21"/>
        </w:rPr>
        <w:t>则。这一理论体系及</w:t>
      </w:r>
      <w:r>
        <w:rPr>
          <w:rFonts w:hint="eastAsia" w:ascii="宋体" w:hAnsi="宋体" w:eastAsia="宋体" w:cs="宋体"/>
          <w:spacing w:val="11"/>
          <w:sz w:val="21"/>
          <w:szCs w:val="21"/>
        </w:rPr>
        <w:t>其建构原则的新时代启示有:应坚持社会主义土地公有制,完善土地制</w:t>
      </w:r>
      <w:r>
        <w:rPr>
          <w:rFonts w:hint="eastAsia" w:ascii="宋体" w:hAnsi="宋体" w:eastAsia="宋体" w:cs="宋体"/>
          <w:spacing w:val="15"/>
          <w:sz w:val="21"/>
          <w:szCs w:val="21"/>
        </w:rPr>
        <w:t>度顶层设计;维护农民利益,提高农民参与农业和农村发展的积极性;</w:t>
      </w:r>
      <w:r>
        <w:rPr>
          <w:rFonts w:hint="eastAsia" w:ascii="宋体" w:hAnsi="宋体" w:eastAsia="宋体" w:cs="宋体"/>
          <w:spacing w:val="12"/>
          <w:sz w:val="21"/>
          <w:szCs w:val="21"/>
        </w:rPr>
        <w:t>发挥好土地制度对农业生产的推动作用,做强做优做大集体经济;创新</w:t>
      </w:r>
      <w:r>
        <w:rPr>
          <w:rFonts w:hint="eastAsia" w:ascii="宋体" w:hAnsi="宋体" w:eastAsia="宋体" w:cs="宋体"/>
          <w:spacing w:val="8"/>
          <w:sz w:val="21"/>
          <w:szCs w:val="21"/>
        </w:rPr>
        <w:t>土地制度改革,提高土地的经营效益。</w:t>
      </w:r>
    </w:p>
    <w:p w14:paraId="17C2903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b/>
          <w:bCs/>
          <w:spacing w:val="6"/>
          <w:sz w:val="21"/>
          <w:szCs w:val="21"/>
        </w:rPr>
        <w:t>关键词</w:t>
      </w:r>
      <w:r>
        <w:rPr>
          <w:rFonts w:hint="eastAsia" w:ascii="宋体" w:hAnsi="宋体" w:eastAsia="宋体" w:cs="宋体"/>
          <w:spacing w:val="6"/>
          <w:sz w:val="21"/>
          <w:szCs w:val="21"/>
        </w:rPr>
        <w:t>列宁思想;土地国有化;新时代集体经济</w:t>
      </w:r>
    </w:p>
    <w:p w14:paraId="20AF35A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210053F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土地,被誉为“一切生产和一切存在的源泉</w:t>
      </w:r>
      <w:r>
        <w:rPr>
          <w:rFonts w:hint="eastAsia" w:ascii="宋体" w:hAnsi="宋体" w:eastAsia="宋体" w:cs="宋体"/>
          <w:spacing w:val="6"/>
          <w:position w:val="5"/>
          <w:sz w:val="21"/>
          <w:szCs w:val="21"/>
        </w:rPr>
        <w:t>”</w:t>
      </w:r>
      <w:r>
        <w:rPr>
          <w:rStyle w:val="20"/>
          <w:rFonts w:hint="eastAsia" w:ascii="宋体" w:hAnsi="宋体" w:eastAsia="宋体" w:cs="宋体"/>
          <w:spacing w:val="6"/>
          <w:position w:val="5"/>
          <w:sz w:val="21"/>
          <w:szCs w:val="21"/>
        </w:rPr>
        <w:footnoteReference w:id="1085"/>
      </w:r>
      <w:r>
        <w:rPr>
          <w:rFonts w:hint="eastAsia" w:ascii="宋体" w:hAnsi="宋体" w:eastAsia="宋体" w:cs="宋体"/>
          <w:spacing w:val="6"/>
          <w:sz w:val="21"/>
          <w:szCs w:val="21"/>
        </w:rPr>
        <w:t>,在任何国家、任何经济社会</w:t>
      </w:r>
      <w:r>
        <w:rPr>
          <w:rFonts w:hint="eastAsia" w:ascii="宋体" w:hAnsi="宋体" w:eastAsia="宋体" w:cs="宋体"/>
          <w:spacing w:val="11"/>
          <w:sz w:val="21"/>
          <w:szCs w:val="21"/>
        </w:rPr>
        <w:t>发展中都占据着举足轻重的地位。作为生产资料所有制的</w:t>
      </w:r>
      <w:r>
        <w:rPr>
          <w:rFonts w:hint="eastAsia" w:ascii="宋体" w:hAnsi="宋体" w:eastAsia="宋体" w:cs="宋体"/>
          <w:spacing w:val="10"/>
          <w:sz w:val="21"/>
          <w:szCs w:val="21"/>
        </w:rPr>
        <w:t>核心组成部分,土地所</w:t>
      </w:r>
      <w:r>
        <w:rPr>
          <w:rFonts w:hint="eastAsia" w:ascii="宋体" w:hAnsi="宋体" w:eastAsia="宋体" w:cs="宋体"/>
          <w:spacing w:val="11"/>
          <w:sz w:val="21"/>
          <w:szCs w:val="21"/>
        </w:rPr>
        <w:t>有制既决定着地租和地价的存在与否、价格水平的高低,还与土地资源</w:t>
      </w:r>
      <w:r>
        <w:rPr>
          <w:rFonts w:hint="eastAsia" w:ascii="宋体" w:hAnsi="宋体" w:eastAsia="宋体" w:cs="宋体"/>
          <w:spacing w:val="10"/>
          <w:sz w:val="21"/>
          <w:szCs w:val="21"/>
        </w:rPr>
        <w:t>的使用成</w:t>
      </w:r>
      <w:r>
        <w:rPr>
          <w:rFonts w:hint="eastAsia" w:ascii="宋体" w:hAnsi="宋体" w:eastAsia="宋体" w:cs="宋体"/>
          <w:spacing w:val="11"/>
          <w:sz w:val="21"/>
          <w:szCs w:val="21"/>
        </w:rPr>
        <w:t>本和配置价格紧密相连。更为重要的是,土地关系和土地制</w:t>
      </w:r>
      <w:r>
        <w:rPr>
          <w:rFonts w:hint="eastAsia" w:ascii="宋体" w:hAnsi="宋体" w:eastAsia="宋体" w:cs="宋体"/>
          <w:spacing w:val="10"/>
          <w:sz w:val="21"/>
          <w:szCs w:val="21"/>
        </w:rPr>
        <w:t>度从根本上决定着社</w:t>
      </w:r>
      <w:r>
        <w:rPr>
          <w:rFonts w:hint="eastAsia" w:ascii="宋体" w:hAnsi="宋体" w:eastAsia="宋体" w:cs="宋体"/>
          <w:spacing w:val="11"/>
          <w:sz w:val="21"/>
          <w:szCs w:val="21"/>
        </w:rPr>
        <w:t>会阶级利益分配的均衡性以及统治阶级政权的稳定性。作为俄国革命的伟大领航</w:t>
      </w:r>
      <w:r>
        <w:rPr>
          <w:rFonts w:hint="eastAsia" w:ascii="宋体" w:hAnsi="宋体" w:eastAsia="宋体" w:cs="宋体"/>
          <w:spacing w:val="9"/>
          <w:sz w:val="21"/>
          <w:szCs w:val="21"/>
        </w:rPr>
        <w:t>者,列宁从马克思主义视角深入研究俄国革命的性质和特点,明确指出:“土地问</w:t>
      </w:r>
      <w:r>
        <w:rPr>
          <w:rFonts w:hint="eastAsia" w:ascii="宋体" w:hAnsi="宋体" w:eastAsia="宋体" w:cs="宋体"/>
          <w:spacing w:val="4"/>
          <w:sz w:val="21"/>
          <w:szCs w:val="21"/>
        </w:rPr>
        <w:t>题是俄国资产阶级革命的根本问题,它决定了这场革命的民族特点。”</w:t>
      </w:r>
      <w:r>
        <w:rPr>
          <w:rStyle w:val="20"/>
          <w:rFonts w:hint="eastAsia" w:ascii="宋体" w:hAnsi="宋体" w:eastAsia="宋体" w:cs="宋体"/>
          <w:spacing w:val="4"/>
          <w:sz w:val="21"/>
          <w:szCs w:val="21"/>
        </w:rPr>
        <w:footnoteReference w:id="1086"/>
      </w:r>
      <w:r>
        <w:rPr>
          <w:rFonts w:hint="eastAsia" w:ascii="宋体" w:hAnsi="宋体" w:eastAsia="宋体" w:cs="宋体"/>
          <w:spacing w:val="4"/>
          <w:sz w:val="21"/>
          <w:szCs w:val="21"/>
        </w:rPr>
        <w:t>在俄国土</w:t>
      </w:r>
      <w:r>
        <w:rPr>
          <w:rFonts w:hint="eastAsia" w:ascii="宋体" w:hAnsi="宋体" w:eastAsia="宋体" w:cs="宋体"/>
          <w:spacing w:val="12"/>
          <w:sz w:val="21"/>
          <w:szCs w:val="21"/>
        </w:rPr>
        <w:t>地革命中,作为主要措施的土地国有化政策承担着彻底解决俄国土地问</w:t>
      </w:r>
      <w:r>
        <w:rPr>
          <w:rFonts w:hint="eastAsia" w:ascii="宋体" w:hAnsi="宋体" w:eastAsia="宋体" w:cs="宋体"/>
          <w:spacing w:val="11"/>
          <w:sz w:val="21"/>
          <w:szCs w:val="21"/>
        </w:rPr>
        <w:t>题的历史</w:t>
      </w:r>
      <w:r>
        <w:rPr>
          <w:rFonts w:hint="eastAsia" w:ascii="宋体" w:hAnsi="宋体" w:eastAsia="宋体" w:cs="宋体"/>
          <w:spacing w:val="15"/>
          <w:sz w:val="21"/>
          <w:szCs w:val="21"/>
        </w:rPr>
        <w:t>重任。列宁坚信:“俄国革命第一个时期的经验已</w:t>
      </w:r>
      <w:r>
        <w:rPr>
          <w:rFonts w:hint="eastAsia" w:ascii="宋体" w:hAnsi="宋体" w:eastAsia="宋体" w:cs="宋体"/>
          <w:spacing w:val="14"/>
          <w:sz w:val="21"/>
          <w:szCs w:val="21"/>
        </w:rPr>
        <w:t>经彻底证明:俄国革命只有作</w:t>
      </w:r>
      <w:r>
        <w:rPr>
          <w:rFonts w:hint="eastAsia" w:ascii="宋体" w:hAnsi="宋体" w:eastAsia="宋体" w:cs="宋体"/>
          <w:spacing w:val="12"/>
          <w:sz w:val="21"/>
          <w:szCs w:val="21"/>
        </w:rPr>
        <w:t>为农民土地革命才能获得胜利,而土地革命不实行土地国</w:t>
      </w:r>
      <w:r>
        <w:rPr>
          <w:rFonts w:hint="eastAsia" w:ascii="宋体" w:hAnsi="宋体" w:eastAsia="宋体" w:cs="宋体"/>
          <w:spacing w:val="11"/>
          <w:sz w:val="21"/>
          <w:szCs w:val="21"/>
        </w:rPr>
        <w:t>有化是不能全部完成其</w:t>
      </w:r>
      <w:r>
        <w:rPr>
          <w:rFonts w:hint="eastAsia" w:ascii="宋体" w:hAnsi="宋体" w:eastAsia="宋体" w:cs="宋体"/>
          <w:spacing w:val="-14"/>
          <w:w w:val="97"/>
          <w:sz w:val="21"/>
          <w:szCs w:val="21"/>
        </w:rPr>
        <w:t>历史使命的。”</w:t>
      </w:r>
      <w:r>
        <w:rPr>
          <w:rStyle w:val="20"/>
          <w:rFonts w:hint="eastAsia" w:ascii="宋体" w:hAnsi="宋体" w:eastAsia="宋体" w:cs="宋体"/>
          <w:spacing w:val="8"/>
          <w:position w:val="6"/>
          <w:sz w:val="21"/>
          <w:szCs w:val="21"/>
        </w:rPr>
        <w:footnoteReference w:id="1087"/>
      </w:r>
      <w:r>
        <w:rPr>
          <w:rFonts w:hint="eastAsia" w:ascii="宋体" w:hAnsi="宋体" w:eastAsia="宋体" w:cs="宋体"/>
          <w:spacing w:val="8"/>
          <w:sz w:val="21"/>
          <w:szCs w:val="21"/>
        </w:rPr>
        <w:t>显然,在列宁看来,土地国有化不仅是破解俄国土地困局的关键,更是推动俄国革命走向胜利的重要路径。</w:t>
      </w:r>
    </w:p>
    <w:p w14:paraId="034BCEA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6B61F8B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outlineLvl w:val="9"/>
        <w:rPr>
          <w:rFonts w:hint="eastAsia" w:ascii="宋体" w:hAnsi="宋体" w:eastAsia="宋体" w:cs="宋体"/>
          <w:b/>
          <w:bCs/>
          <w:spacing w:val="7"/>
          <w:sz w:val="24"/>
          <w:szCs w:val="24"/>
        </w:rPr>
      </w:pPr>
      <w:r>
        <w:rPr>
          <w:rFonts w:hint="eastAsia" w:ascii="宋体" w:hAnsi="宋体" w:eastAsia="宋体" w:cs="宋体"/>
          <w:b/>
          <w:bCs/>
          <w:spacing w:val="7"/>
          <w:sz w:val="24"/>
          <w:szCs w:val="24"/>
        </w:rPr>
        <w:t>一列宁土地国有化理论的源流</w:t>
      </w:r>
    </w:p>
    <w:p w14:paraId="547EEAB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outlineLvl w:val="9"/>
        <w:rPr>
          <w:rFonts w:hint="eastAsia" w:ascii="宋体" w:hAnsi="宋体" w:eastAsia="宋体" w:cs="宋体"/>
          <w:b/>
          <w:bCs/>
          <w:spacing w:val="7"/>
          <w:sz w:val="24"/>
          <w:szCs w:val="24"/>
          <w:lang w:eastAsia="zh-CN"/>
        </w:rPr>
      </w:pPr>
    </w:p>
    <w:p w14:paraId="39B6780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列宁高度重视土地革命问题,将其视为俄国革命的首要任务之一。列宁指</w:t>
      </w:r>
      <w:r>
        <w:rPr>
          <w:rFonts w:hint="eastAsia" w:ascii="宋体" w:hAnsi="宋体" w:eastAsia="宋体" w:cs="宋体"/>
          <w:spacing w:val="1"/>
          <w:sz w:val="21"/>
          <w:szCs w:val="21"/>
        </w:rPr>
        <w:t>出:“俄国革命的两个基本问题———自由问题和土地问题。”</w:t>
      </w:r>
      <w:r>
        <w:rPr>
          <w:rStyle w:val="20"/>
          <w:rFonts w:hint="eastAsia" w:ascii="宋体" w:hAnsi="宋体" w:eastAsia="宋体" w:cs="宋体"/>
          <w:spacing w:val="1"/>
          <w:sz w:val="21"/>
          <w:szCs w:val="21"/>
        </w:rPr>
        <w:footnoteReference w:id="1088"/>
      </w:r>
      <w:r>
        <w:rPr>
          <w:rFonts w:hint="eastAsia" w:ascii="宋体" w:hAnsi="宋体" w:eastAsia="宋体" w:cs="宋体"/>
          <w:spacing w:val="1"/>
          <w:sz w:val="21"/>
          <w:szCs w:val="21"/>
        </w:rPr>
        <w:t>列宁土地国</w:t>
      </w:r>
      <w:r>
        <w:rPr>
          <w:rFonts w:hint="eastAsia" w:ascii="宋体" w:hAnsi="宋体" w:eastAsia="宋体" w:cs="宋体"/>
          <w:sz w:val="21"/>
          <w:szCs w:val="21"/>
        </w:rPr>
        <w:t>有化理</w:t>
      </w:r>
      <w:r>
        <w:rPr>
          <w:rFonts w:hint="eastAsia" w:ascii="宋体" w:hAnsi="宋体" w:eastAsia="宋体" w:cs="宋体"/>
          <w:spacing w:val="18"/>
          <w:sz w:val="21"/>
          <w:szCs w:val="21"/>
        </w:rPr>
        <w:t>论以农民的需要—</w:t>
      </w:r>
      <w:r>
        <w:rPr>
          <w:rFonts w:hint="eastAsia" w:ascii="宋体" w:hAnsi="宋体" w:eastAsia="宋体" w:cs="宋体"/>
          <w:spacing w:val="-35"/>
          <w:w w:val="63"/>
          <w:sz w:val="21"/>
          <w:szCs w:val="21"/>
        </w:rPr>
        <w:t>——</w:t>
      </w:r>
      <w:r>
        <w:rPr>
          <w:rFonts w:hint="eastAsia" w:ascii="宋体" w:hAnsi="宋体" w:eastAsia="宋体" w:cs="宋体"/>
          <w:spacing w:val="18"/>
          <w:sz w:val="21"/>
          <w:szCs w:val="21"/>
        </w:rPr>
        <w:t>土地与自由问题为起点,通过革命斗争与理论实践</w:t>
      </w:r>
      <w:r>
        <w:rPr>
          <w:rFonts w:hint="eastAsia" w:ascii="宋体" w:hAnsi="宋体" w:eastAsia="宋体" w:cs="宋体"/>
          <w:spacing w:val="17"/>
          <w:sz w:val="21"/>
          <w:szCs w:val="21"/>
        </w:rPr>
        <w:t>两条主</w:t>
      </w:r>
      <w:r>
        <w:rPr>
          <w:rFonts w:hint="eastAsia" w:ascii="宋体" w:hAnsi="宋体" w:eastAsia="宋体" w:cs="宋体"/>
          <w:spacing w:val="11"/>
          <w:sz w:val="21"/>
          <w:szCs w:val="21"/>
        </w:rPr>
        <w:t>线,共同完成了土地国有化制度的完整建构。根据革命不同阶段的实际需求,他</w:t>
      </w:r>
      <w:r>
        <w:rPr>
          <w:rFonts w:hint="eastAsia" w:ascii="宋体" w:hAnsi="宋体" w:eastAsia="宋体" w:cs="宋体"/>
          <w:spacing w:val="12"/>
          <w:sz w:val="21"/>
          <w:szCs w:val="21"/>
        </w:rPr>
        <w:t>将原本属于资产阶级民主革命时期的土地国有化任务逐</w:t>
      </w:r>
      <w:r>
        <w:rPr>
          <w:rFonts w:hint="eastAsia" w:ascii="宋体" w:hAnsi="宋体" w:eastAsia="宋体" w:cs="宋体"/>
          <w:spacing w:val="11"/>
          <w:sz w:val="21"/>
          <w:szCs w:val="21"/>
        </w:rPr>
        <w:t>步转移到社会主义革命中来完成。在苏维埃政权获得革命胜利后,为巩固工农联盟</w:t>
      </w:r>
      <w:r>
        <w:rPr>
          <w:rFonts w:hint="eastAsia" w:ascii="宋体" w:hAnsi="宋体" w:eastAsia="宋体" w:cs="宋体"/>
          <w:spacing w:val="10"/>
          <w:sz w:val="21"/>
          <w:szCs w:val="21"/>
        </w:rPr>
        <w:t>,列宁采取了一些过渡</w:t>
      </w:r>
      <w:r>
        <w:rPr>
          <w:rFonts w:hint="eastAsia" w:ascii="宋体" w:hAnsi="宋体" w:eastAsia="宋体" w:cs="宋体"/>
          <w:spacing w:val="11"/>
          <w:sz w:val="21"/>
          <w:szCs w:val="21"/>
        </w:rPr>
        <w:t>性质的土地社会化措施,将土地平均分配给农民使用。后续颁布的战时共产主义</w:t>
      </w:r>
      <w:r>
        <w:rPr>
          <w:rFonts w:hint="eastAsia" w:ascii="宋体" w:hAnsi="宋体" w:eastAsia="宋体" w:cs="宋体"/>
          <w:spacing w:val="12"/>
          <w:sz w:val="21"/>
          <w:szCs w:val="21"/>
        </w:rPr>
        <w:t>政策才在真正意义上正式施行完整的土地国有化政策,深</w:t>
      </w:r>
      <w:r>
        <w:rPr>
          <w:rFonts w:hint="eastAsia" w:ascii="宋体" w:hAnsi="宋体" w:eastAsia="宋体" w:cs="宋体"/>
          <w:spacing w:val="11"/>
          <w:sz w:val="21"/>
          <w:szCs w:val="21"/>
        </w:rPr>
        <w:t>化和发展了马克思土地</w:t>
      </w:r>
      <w:r>
        <w:rPr>
          <w:rFonts w:hint="eastAsia" w:ascii="宋体" w:hAnsi="宋体" w:eastAsia="宋体" w:cs="宋体"/>
          <w:spacing w:val="7"/>
          <w:sz w:val="21"/>
          <w:szCs w:val="21"/>
        </w:rPr>
        <w:t>国有化理论与革命实践。</w:t>
      </w:r>
    </w:p>
    <w:p w14:paraId="1047D5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b/>
          <w:bCs/>
          <w:spacing w:val="8"/>
          <w:sz w:val="21"/>
          <w:szCs w:val="21"/>
        </w:rPr>
        <w:t>(一)列宁土地国有化理论的逻辑起点:土地与自由</w:t>
      </w:r>
    </w:p>
    <w:p w14:paraId="671B51B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土地与自由是相辅相成的,二者共同为革命成功奠定了坚实基础。土</w:t>
      </w:r>
      <w:r>
        <w:rPr>
          <w:rFonts w:hint="eastAsia" w:ascii="宋体" w:hAnsi="宋体" w:eastAsia="宋体" w:cs="宋体"/>
          <w:spacing w:val="10"/>
          <w:sz w:val="21"/>
          <w:szCs w:val="21"/>
        </w:rPr>
        <w:t>地国有</w:t>
      </w:r>
      <w:r>
        <w:rPr>
          <w:rFonts w:hint="eastAsia" w:ascii="宋体" w:hAnsi="宋体" w:eastAsia="宋体" w:cs="宋体"/>
          <w:spacing w:val="11"/>
          <w:sz w:val="21"/>
          <w:szCs w:val="21"/>
        </w:rPr>
        <w:t>化与绝对地租具有不可分割的必然联系。在生产资料私有</w:t>
      </w:r>
      <w:r>
        <w:rPr>
          <w:rFonts w:hint="eastAsia" w:ascii="宋体" w:hAnsi="宋体" w:eastAsia="宋体" w:cs="宋体"/>
          <w:spacing w:val="10"/>
          <w:sz w:val="21"/>
          <w:szCs w:val="21"/>
        </w:rPr>
        <w:t>制条件下,土地经营者</w:t>
      </w:r>
      <w:r>
        <w:rPr>
          <w:rFonts w:hint="eastAsia" w:ascii="宋体" w:hAnsi="宋体" w:eastAsia="宋体" w:cs="宋体"/>
          <w:spacing w:val="11"/>
          <w:sz w:val="21"/>
          <w:szCs w:val="21"/>
        </w:rPr>
        <w:t>占据着经营权的垄断地位,轻易攫取绝对地租和级差地租。因此</w:t>
      </w:r>
      <w:r>
        <w:rPr>
          <w:rFonts w:hint="eastAsia" w:ascii="宋体" w:hAnsi="宋体" w:eastAsia="宋体" w:cs="宋体"/>
          <w:spacing w:val="10"/>
          <w:sz w:val="21"/>
          <w:szCs w:val="21"/>
        </w:rPr>
        <w:t>,资本主义生产</w:t>
      </w:r>
      <w:r>
        <w:rPr>
          <w:rFonts w:hint="eastAsia" w:ascii="宋体" w:hAnsi="宋体" w:eastAsia="宋体" w:cs="宋体"/>
          <w:spacing w:val="11"/>
          <w:sz w:val="21"/>
          <w:szCs w:val="21"/>
        </w:rPr>
        <w:t>方式与地租共生共存。土地私有制决定的绝对地租以其垄断定价</w:t>
      </w:r>
      <w:r>
        <w:rPr>
          <w:rFonts w:hint="eastAsia" w:ascii="宋体" w:hAnsi="宋体" w:eastAsia="宋体" w:cs="宋体"/>
          <w:spacing w:val="10"/>
          <w:sz w:val="21"/>
          <w:szCs w:val="21"/>
        </w:rPr>
        <w:t>促使利润总是高</w:t>
      </w:r>
      <w:r>
        <w:rPr>
          <w:rFonts w:hint="eastAsia" w:ascii="宋体" w:hAnsi="宋体" w:eastAsia="宋体" w:cs="宋体"/>
          <w:spacing w:val="12"/>
          <w:sz w:val="21"/>
          <w:szCs w:val="21"/>
        </w:rPr>
        <w:t>于平均利润,妨碍了利润的平均化与市场的自由竞争,在一定程度</w:t>
      </w:r>
      <w:r>
        <w:rPr>
          <w:rFonts w:hint="eastAsia" w:ascii="宋体" w:hAnsi="宋体" w:eastAsia="宋体" w:cs="宋体"/>
          <w:spacing w:val="11"/>
          <w:sz w:val="21"/>
          <w:szCs w:val="21"/>
        </w:rPr>
        <w:t>上阻碍了社会发展。若将土地从资本主义私有制转变为社会主义国有化,绝对地租</w:t>
      </w:r>
      <w:r>
        <w:rPr>
          <w:rFonts w:hint="eastAsia" w:ascii="宋体" w:hAnsi="宋体" w:eastAsia="宋体" w:cs="宋体"/>
          <w:spacing w:val="10"/>
          <w:sz w:val="21"/>
          <w:szCs w:val="21"/>
        </w:rPr>
        <w:t>和级差地租</w:t>
      </w:r>
      <w:r>
        <w:rPr>
          <w:rFonts w:hint="eastAsia" w:ascii="宋体" w:hAnsi="宋体" w:eastAsia="宋体" w:cs="宋体"/>
          <w:spacing w:val="11"/>
          <w:sz w:val="21"/>
          <w:szCs w:val="21"/>
        </w:rPr>
        <w:t>都将归代表人民利益的国家所有,国家能够将这份收益反馈到促进人</w:t>
      </w:r>
      <w:r>
        <w:rPr>
          <w:rFonts w:hint="eastAsia" w:ascii="宋体" w:hAnsi="宋体" w:eastAsia="宋体" w:cs="宋体"/>
          <w:spacing w:val="10"/>
          <w:sz w:val="21"/>
          <w:szCs w:val="21"/>
        </w:rPr>
        <w:t>民自由而全</w:t>
      </w:r>
      <w:r>
        <w:rPr>
          <w:rFonts w:hint="eastAsia" w:ascii="宋体" w:hAnsi="宋体" w:eastAsia="宋体" w:cs="宋体"/>
          <w:spacing w:val="11"/>
          <w:sz w:val="21"/>
          <w:szCs w:val="21"/>
        </w:rPr>
        <w:t>面发展的社会建设中。故而,列宁认为,从地租的本质出发,将土地制度从私有转向国有是消灭绝对地租的有效方式,也是“彻底摆脱中世纪土地占有制</w:t>
      </w:r>
      <w:r>
        <w:rPr>
          <w:rFonts w:hint="eastAsia" w:ascii="宋体" w:hAnsi="宋体" w:eastAsia="宋体" w:cs="宋体"/>
          <w:spacing w:val="10"/>
          <w:sz w:val="21"/>
          <w:szCs w:val="21"/>
        </w:rPr>
        <w:t>和废除</w:t>
      </w:r>
      <w:r>
        <w:rPr>
          <w:rFonts w:hint="eastAsia" w:ascii="宋体" w:hAnsi="宋体" w:eastAsia="宋体" w:cs="宋体"/>
          <w:spacing w:val="3"/>
          <w:sz w:val="21"/>
          <w:szCs w:val="21"/>
        </w:rPr>
        <w:t>土地私有制有利于全体人民</w:t>
      </w:r>
      <w:r>
        <w:rPr>
          <w:rFonts w:hint="eastAsia" w:ascii="宋体" w:hAnsi="宋体" w:eastAsia="宋体" w:cs="宋体"/>
          <w:spacing w:val="3"/>
          <w:position w:val="5"/>
          <w:sz w:val="21"/>
          <w:szCs w:val="21"/>
        </w:rPr>
        <w:t>”</w:t>
      </w:r>
      <w:r>
        <w:rPr>
          <w:rStyle w:val="20"/>
          <w:rFonts w:hint="eastAsia" w:ascii="宋体" w:hAnsi="宋体" w:eastAsia="宋体" w:cs="宋体"/>
          <w:spacing w:val="3"/>
          <w:position w:val="5"/>
          <w:sz w:val="21"/>
          <w:szCs w:val="21"/>
        </w:rPr>
        <w:footnoteReference w:id="1089"/>
      </w:r>
      <w:r>
        <w:rPr>
          <w:rFonts w:hint="eastAsia" w:ascii="宋体" w:hAnsi="宋体" w:eastAsia="宋体" w:cs="宋体"/>
          <w:spacing w:val="3"/>
          <w:sz w:val="21"/>
          <w:szCs w:val="21"/>
        </w:rPr>
        <w:t>的最佳途径。</w:t>
      </w:r>
    </w:p>
    <w:p w14:paraId="326FA71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在土地革命中,农民由于对土地具有天然的、朴素的渴望,往往认为只要夺</w:t>
      </w:r>
      <w:r>
        <w:rPr>
          <w:rFonts w:hint="eastAsia" w:ascii="宋体" w:hAnsi="宋体" w:eastAsia="宋体" w:cs="宋体"/>
          <w:spacing w:val="12"/>
          <w:sz w:val="21"/>
          <w:szCs w:val="21"/>
        </w:rPr>
        <w:t>得地主的全部土地就完全解决了自身发展问题,却没有认识</w:t>
      </w:r>
      <w:r>
        <w:rPr>
          <w:rFonts w:hint="eastAsia" w:ascii="宋体" w:hAnsi="宋体" w:eastAsia="宋体" w:cs="宋体"/>
          <w:spacing w:val="11"/>
          <w:sz w:val="21"/>
          <w:szCs w:val="21"/>
        </w:rPr>
        <w:t>到土地所有制的转变</w:t>
      </w:r>
      <w:r>
        <w:rPr>
          <w:rFonts w:hint="eastAsia" w:ascii="宋体" w:hAnsi="宋体" w:eastAsia="宋体" w:cs="宋体"/>
          <w:spacing w:val="10"/>
          <w:sz w:val="21"/>
          <w:szCs w:val="21"/>
        </w:rPr>
        <w:t>只是实现自身自由发展的前提条件,没有认识到经济方面的“改善”需要相配套</w:t>
      </w:r>
      <w:r>
        <w:rPr>
          <w:rFonts w:hint="eastAsia" w:ascii="宋体" w:hAnsi="宋体" w:eastAsia="宋体" w:cs="宋体"/>
          <w:spacing w:val="14"/>
          <w:sz w:val="21"/>
          <w:szCs w:val="21"/>
        </w:rPr>
        <w:t>的政治制度来巩固落实,更没有认识到这种“配套的政治制度”正是本阶级强</w:t>
      </w:r>
      <w:r>
        <w:rPr>
          <w:rFonts w:hint="eastAsia" w:ascii="宋体" w:hAnsi="宋体" w:eastAsia="宋体" w:cs="宋体"/>
          <w:spacing w:val="17"/>
          <w:sz w:val="21"/>
          <w:szCs w:val="21"/>
        </w:rPr>
        <w:t>烈阶级意识的反映。即使农民阶级通过土地革命成功获得</w:t>
      </w:r>
      <w:r>
        <w:rPr>
          <w:rFonts w:hint="eastAsia" w:ascii="宋体" w:hAnsi="宋体" w:eastAsia="宋体" w:cs="宋体"/>
          <w:spacing w:val="16"/>
          <w:sz w:val="21"/>
          <w:szCs w:val="21"/>
        </w:rPr>
        <w:t>了土地所有权,但如</w:t>
      </w:r>
      <w:r>
        <w:rPr>
          <w:rFonts w:hint="eastAsia" w:ascii="宋体" w:hAnsi="宋体" w:eastAsia="宋体" w:cs="宋体"/>
          <w:spacing w:val="17"/>
          <w:sz w:val="21"/>
          <w:szCs w:val="21"/>
        </w:rPr>
        <w:t>果没有彻底改变整个社会的私有制、没有建立能够体现农民阶级意志和维护本阶级利益的政权,便不可能有与之相匹配的政治权利和真正意义上的自由,土地革命的成果就很容易得而复失,不平等的阶级关系将依然存在,并不断酝酿出新的社会矛盾。缺少科学理论指导的农民运动只是通过反对地主土地私有制</w:t>
      </w:r>
      <w:r>
        <w:rPr>
          <w:rFonts w:hint="eastAsia" w:ascii="宋体" w:hAnsi="宋体" w:eastAsia="宋体" w:cs="宋体"/>
          <w:spacing w:val="18"/>
          <w:sz w:val="21"/>
          <w:szCs w:val="21"/>
        </w:rPr>
        <w:t>获得土地所有权,并不能动摇资本主义生产资料</w:t>
      </w:r>
      <w:r>
        <w:rPr>
          <w:rFonts w:hint="eastAsia" w:ascii="宋体" w:hAnsi="宋体" w:eastAsia="宋体" w:cs="宋体"/>
          <w:spacing w:val="17"/>
          <w:sz w:val="21"/>
          <w:szCs w:val="21"/>
        </w:rPr>
        <w:t>私有制的根本地位,甚至农民</w:t>
      </w:r>
      <w:r>
        <w:rPr>
          <w:rFonts w:hint="eastAsia" w:ascii="宋体" w:hAnsi="宋体" w:eastAsia="宋体" w:cs="宋体"/>
          <w:spacing w:val="16"/>
          <w:sz w:val="21"/>
          <w:szCs w:val="21"/>
        </w:rPr>
        <w:t>运动的成功可能促进资本主义更广泛的发展。因此,有觉悟的工人和社会主义</w:t>
      </w:r>
      <w:r>
        <w:rPr>
          <w:rFonts w:hint="eastAsia" w:ascii="宋体" w:hAnsi="宋体" w:eastAsia="宋体" w:cs="宋体"/>
          <w:spacing w:val="17"/>
          <w:sz w:val="21"/>
          <w:szCs w:val="21"/>
        </w:rPr>
        <w:t>者应当促使农民深刻认识到:只有社会主义才能消灭社会阶级分化</w:t>
      </w:r>
      <w:r>
        <w:rPr>
          <w:rFonts w:hint="eastAsia" w:ascii="宋体" w:hAnsi="宋体" w:eastAsia="宋体" w:cs="宋体"/>
          <w:spacing w:val="16"/>
          <w:sz w:val="21"/>
          <w:szCs w:val="21"/>
        </w:rPr>
        <w:t>和不平等的</w:t>
      </w:r>
      <w:r>
        <w:rPr>
          <w:rFonts w:hint="eastAsia" w:ascii="宋体" w:hAnsi="宋体" w:eastAsia="宋体" w:cs="宋体"/>
          <w:spacing w:val="18"/>
          <w:sz w:val="21"/>
          <w:szCs w:val="21"/>
        </w:rPr>
        <w:t>剥削现象,保障农民的土地权益不受侵犯,保障农</w:t>
      </w:r>
      <w:r>
        <w:rPr>
          <w:rFonts w:hint="eastAsia" w:ascii="宋体" w:hAnsi="宋体" w:eastAsia="宋体" w:cs="宋体"/>
          <w:spacing w:val="17"/>
          <w:sz w:val="21"/>
          <w:szCs w:val="21"/>
        </w:rPr>
        <w:t>民拥有充足的自由与平等的</w:t>
      </w:r>
      <w:r>
        <w:rPr>
          <w:rFonts w:hint="eastAsia" w:ascii="宋体" w:hAnsi="宋体" w:eastAsia="宋体" w:cs="宋体"/>
          <w:spacing w:val="16"/>
          <w:sz w:val="21"/>
          <w:szCs w:val="21"/>
        </w:rPr>
        <w:t>发展权利。可见,在土地与自由之间存在辩证统一的关系</w:t>
      </w:r>
      <w:r>
        <w:rPr>
          <w:rFonts w:hint="eastAsia" w:ascii="宋体" w:hAnsi="宋体" w:eastAsia="宋体" w:cs="宋体"/>
          <w:spacing w:val="15"/>
          <w:sz w:val="21"/>
          <w:szCs w:val="21"/>
        </w:rPr>
        <w:t>。只有当农民真正享</w:t>
      </w:r>
      <w:r>
        <w:rPr>
          <w:rFonts w:hint="eastAsia" w:ascii="宋体" w:hAnsi="宋体" w:eastAsia="宋体" w:cs="宋体"/>
          <w:spacing w:val="14"/>
          <w:sz w:val="21"/>
          <w:szCs w:val="21"/>
        </w:rPr>
        <w:t>有社会主义的“充分自由”时,土地国有化才能有效实施,土地问题才能得到</w:t>
      </w:r>
      <w:r>
        <w:rPr>
          <w:rFonts w:hint="eastAsia" w:ascii="宋体" w:hAnsi="宋体" w:eastAsia="宋体" w:cs="宋体"/>
          <w:spacing w:val="9"/>
          <w:sz w:val="21"/>
          <w:szCs w:val="21"/>
        </w:rPr>
        <w:t>彻底解决。</w:t>
      </w:r>
    </w:p>
    <w:p w14:paraId="2E7D2D6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(二)列宁土地国有化理论的逻辑展开:</w:t>
      </w:r>
      <w:r>
        <w:rPr>
          <w:rFonts w:hint="eastAsia" w:ascii="宋体" w:hAnsi="宋体" w:eastAsia="宋体" w:cs="宋体"/>
          <w:b/>
          <w:bCs/>
          <w:spacing w:val="7"/>
          <w:sz w:val="21"/>
          <w:szCs w:val="21"/>
        </w:rPr>
        <w:t>三大关系</w:t>
      </w:r>
    </w:p>
    <w:p w14:paraId="44C7E76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列宁遵循生产关系要适应生产力发展的规律,在与民粹</w:t>
      </w:r>
      <w:r>
        <w:rPr>
          <w:rFonts w:hint="eastAsia" w:ascii="宋体" w:hAnsi="宋体" w:eastAsia="宋体" w:cs="宋体"/>
          <w:spacing w:val="11"/>
          <w:sz w:val="21"/>
          <w:szCs w:val="21"/>
        </w:rPr>
        <w:t>派论战中,结合苏俄</w:t>
      </w:r>
      <w:r>
        <w:rPr>
          <w:rFonts w:hint="eastAsia" w:ascii="宋体" w:hAnsi="宋体" w:eastAsia="宋体" w:cs="宋体"/>
          <w:spacing w:val="7"/>
          <w:sz w:val="21"/>
          <w:szCs w:val="21"/>
        </w:rPr>
        <w:t>的革命实践,对以土地问题为基础的“生产关系与生产力”“工人与农民”“民</w:t>
      </w:r>
      <w:r>
        <w:rPr>
          <w:rFonts w:hint="eastAsia" w:ascii="宋体" w:hAnsi="宋体" w:eastAsia="宋体" w:cs="宋体"/>
          <w:spacing w:val="10"/>
          <w:sz w:val="21"/>
          <w:szCs w:val="21"/>
        </w:rPr>
        <w:t>主革命与社会主义革命”这三对关系(范畴)进行了以土地国有化</w:t>
      </w:r>
      <w:r>
        <w:rPr>
          <w:rFonts w:hint="eastAsia" w:ascii="宋体" w:hAnsi="宋体" w:eastAsia="宋体" w:cs="宋体"/>
          <w:spacing w:val="9"/>
          <w:sz w:val="21"/>
          <w:szCs w:val="21"/>
        </w:rPr>
        <w:t>理论为取向的</w:t>
      </w:r>
      <w:r>
        <w:rPr>
          <w:rFonts w:hint="eastAsia" w:ascii="宋体" w:hAnsi="宋体" w:eastAsia="宋体" w:cs="宋体"/>
          <w:spacing w:val="5"/>
          <w:sz w:val="21"/>
          <w:szCs w:val="21"/>
        </w:rPr>
        <w:t>深入研究。</w:t>
      </w:r>
    </w:p>
    <w:p w14:paraId="415F784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1"/>
          <w:sz w:val="21"/>
          <w:szCs w:val="21"/>
        </w:rPr>
        <w:t>关于生产关系与生产力的关系。根据生产关系要适应生产力发展的规律,</w:t>
      </w:r>
      <w:r>
        <w:rPr>
          <w:rFonts w:hint="eastAsia" w:ascii="宋体" w:hAnsi="宋体" w:eastAsia="宋体" w:cs="宋体"/>
          <w:spacing w:val="17"/>
          <w:sz w:val="21"/>
          <w:szCs w:val="21"/>
        </w:rPr>
        <w:t>在以农业为主的近代俄国,消灭农奴制残余</w:t>
      </w:r>
      <w:r>
        <w:rPr>
          <w:rFonts w:hint="eastAsia" w:ascii="宋体" w:hAnsi="宋体" w:eastAsia="宋体" w:cs="宋体"/>
          <w:spacing w:val="16"/>
          <w:sz w:val="21"/>
          <w:szCs w:val="21"/>
        </w:rPr>
        <w:t>是解放生产力、推进社会进步的首</w:t>
      </w:r>
      <w:r>
        <w:rPr>
          <w:rFonts w:hint="eastAsia" w:ascii="宋体" w:hAnsi="宋体" w:eastAsia="宋体" w:cs="宋体"/>
          <w:spacing w:val="13"/>
          <w:sz w:val="21"/>
          <w:szCs w:val="21"/>
        </w:rPr>
        <w:t>要措施。在革命早期,列宁就已经深深认识到</w:t>
      </w:r>
      <w:r>
        <w:rPr>
          <w:rFonts w:hint="eastAsia" w:ascii="宋体" w:hAnsi="宋体" w:eastAsia="宋体" w:cs="宋体"/>
          <w:spacing w:val="12"/>
          <w:sz w:val="21"/>
          <w:szCs w:val="21"/>
        </w:rPr>
        <w:t>农奴制残余所带来的危害。1899</w:t>
      </w:r>
      <w:r>
        <w:rPr>
          <w:rFonts w:hint="eastAsia" w:ascii="宋体" w:hAnsi="宋体" w:eastAsia="宋体" w:cs="宋体"/>
          <w:spacing w:val="17"/>
          <w:sz w:val="21"/>
          <w:szCs w:val="21"/>
        </w:rPr>
        <w:t>年,列宁在《我们党的纲领草案》中明确指出:“消灭农民对地</w:t>
      </w:r>
      <w:r>
        <w:rPr>
          <w:rFonts w:hint="eastAsia" w:ascii="宋体" w:hAnsi="宋体" w:eastAsia="宋体" w:cs="宋体"/>
          <w:spacing w:val="16"/>
          <w:sz w:val="21"/>
          <w:szCs w:val="21"/>
        </w:rPr>
        <w:t>主的农奴制依</w:t>
      </w:r>
      <w:r>
        <w:rPr>
          <w:rFonts w:hint="eastAsia" w:ascii="宋体" w:hAnsi="宋体" w:eastAsia="宋体" w:cs="宋体"/>
          <w:spacing w:val="20"/>
          <w:sz w:val="21"/>
          <w:szCs w:val="21"/>
        </w:rPr>
        <w:t>赖关系的一切残余,不管这些残余的产生是由于特殊的法律和制度……还是由</w:t>
      </w:r>
      <w:r>
        <w:rPr>
          <w:rFonts w:hint="eastAsia" w:ascii="宋体" w:hAnsi="宋体" w:eastAsia="宋体" w:cs="宋体"/>
          <w:spacing w:val="13"/>
          <w:sz w:val="21"/>
          <w:szCs w:val="21"/>
        </w:rPr>
        <w:t>于地主割去了农民的土地,使农民实际上陷</w:t>
      </w:r>
      <w:r>
        <w:rPr>
          <w:rFonts w:hint="eastAsia" w:ascii="宋体" w:hAnsi="宋体" w:eastAsia="宋体" w:cs="宋体"/>
          <w:spacing w:val="12"/>
          <w:sz w:val="21"/>
          <w:szCs w:val="21"/>
        </w:rPr>
        <w:t>于以前徭役农民的绝境。”</w:t>
      </w:r>
      <w:r>
        <w:rPr>
          <w:rStyle w:val="20"/>
          <w:rFonts w:hint="eastAsia" w:ascii="宋体" w:hAnsi="宋体" w:eastAsia="宋体" w:cs="宋体"/>
          <w:spacing w:val="12"/>
          <w:sz w:val="21"/>
          <w:szCs w:val="21"/>
        </w:rPr>
        <w:footnoteReference w:id="1090"/>
      </w:r>
      <w:r>
        <w:rPr>
          <w:rFonts w:hint="eastAsia" w:ascii="宋体" w:hAnsi="宋体" w:eastAsia="宋体" w:cs="宋体"/>
          <w:spacing w:val="12"/>
          <w:sz w:val="21"/>
          <w:szCs w:val="21"/>
        </w:rPr>
        <w:t>同时,</w:t>
      </w:r>
      <w:r>
        <w:rPr>
          <w:rFonts w:hint="eastAsia" w:ascii="宋体" w:hAnsi="宋体" w:eastAsia="宋体" w:cs="宋体"/>
          <w:spacing w:val="18"/>
          <w:sz w:val="21"/>
          <w:szCs w:val="21"/>
        </w:rPr>
        <w:t>正是农奴制残余的存在,让列宁清晰地认识到,农民</w:t>
      </w:r>
      <w:r>
        <w:rPr>
          <w:rFonts w:hint="eastAsia" w:ascii="宋体" w:hAnsi="宋体" w:eastAsia="宋体" w:cs="宋体"/>
          <w:spacing w:val="17"/>
          <w:sz w:val="21"/>
          <w:szCs w:val="21"/>
        </w:rPr>
        <w:t>是进行反专制斗争的重要</w:t>
      </w:r>
      <w:r>
        <w:rPr>
          <w:rFonts w:hint="eastAsia" w:ascii="宋体" w:hAnsi="宋体" w:eastAsia="宋体" w:cs="宋体"/>
          <w:spacing w:val="5"/>
          <w:sz w:val="21"/>
          <w:szCs w:val="21"/>
        </w:rPr>
        <w:t>力量。</w:t>
      </w:r>
    </w:p>
    <w:p w14:paraId="530FF5B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关于工人与农民的关系。马克思曾深刻指出:“土地所有权———一切财富的</w:t>
      </w:r>
      <w:r>
        <w:rPr>
          <w:rFonts w:hint="eastAsia" w:ascii="宋体" w:hAnsi="宋体" w:eastAsia="宋体" w:cs="宋体"/>
          <w:spacing w:val="4"/>
          <w:sz w:val="21"/>
          <w:szCs w:val="21"/>
        </w:rPr>
        <w:t>源泉,现在成了一个大问题,工人阶级的未来将取决于这个问题如何解决。”</w:t>
      </w:r>
      <w:r>
        <w:rPr>
          <w:rStyle w:val="20"/>
          <w:rFonts w:hint="eastAsia" w:ascii="宋体" w:hAnsi="宋体" w:eastAsia="宋体" w:cs="宋体"/>
          <w:spacing w:val="4"/>
          <w:sz w:val="21"/>
          <w:szCs w:val="21"/>
        </w:rPr>
        <w:footnoteReference w:id="1091"/>
      </w:r>
      <w:r>
        <w:rPr>
          <w:rFonts w:hint="eastAsia" w:ascii="宋体" w:hAnsi="宋体" w:eastAsia="宋体" w:cs="宋体"/>
          <w:spacing w:val="4"/>
          <w:sz w:val="21"/>
          <w:szCs w:val="21"/>
        </w:rPr>
        <w:t>土</w:t>
      </w:r>
      <w:r>
        <w:rPr>
          <w:rFonts w:hint="eastAsia" w:ascii="宋体" w:hAnsi="宋体" w:eastAsia="宋体" w:cs="宋体"/>
          <w:spacing w:val="12"/>
          <w:sz w:val="21"/>
          <w:szCs w:val="21"/>
        </w:rPr>
        <w:t>地是农民的立身之本,土地纲领是党的主要纲领,如何建立</w:t>
      </w:r>
      <w:r>
        <w:rPr>
          <w:rFonts w:hint="eastAsia" w:ascii="宋体" w:hAnsi="宋体" w:eastAsia="宋体" w:cs="宋体"/>
          <w:spacing w:val="11"/>
          <w:sz w:val="21"/>
          <w:szCs w:val="21"/>
        </w:rPr>
        <w:t>一个以土地为纽带的工人与农民的关系,是无产阶级政党必须解决的重大问题。列宁以马克思主义的上述论述为指导,通过深入分析土地革命在俄国革命中的核心地位,以农民最关</w:t>
      </w:r>
      <w:r>
        <w:rPr>
          <w:rFonts w:hint="eastAsia" w:ascii="宋体" w:hAnsi="宋体" w:eastAsia="宋体" w:cs="宋体"/>
          <w:spacing w:val="12"/>
          <w:sz w:val="21"/>
          <w:szCs w:val="21"/>
        </w:rPr>
        <w:t>心的土地问题为切入点,采取工农联盟的形式,逐渐建立起工人与农民之间</w:t>
      </w:r>
      <w:r>
        <w:rPr>
          <w:rFonts w:hint="eastAsia" w:ascii="宋体" w:hAnsi="宋体" w:eastAsia="宋体" w:cs="宋体"/>
          <w:spacing w:val="11"/>
          <w:sz w:val="21"/>
          <w:szCs w:val="21"/>
        </w:rPr>
        <w:t>的密</w:t>
      </w:r>
      <w:r>
        <w:rPr>
          <w:rFonts w:hint="eastAsia" w:ascii="宋体" w:hAnsi="宋体" w:eastAsia="宋体" w:cs="宋体"/>
          <w:spacing w:val="9"/>
          <w:sz w:val="21"/>
          <w:szCs w:val="21"/>
        </w:rPr>
        <w:t>切联系。在理论层面,经过取消工役制、收回割地、</w:t>
      </w:r>
      <w:r>
        <w:rPr>
          <w:rFonts w:hint="eastAsia" w:ascii="宋体" w:hAnsi="宋体" w:eastAsia="宋体" w:cs="宋体"/>
          <w:spacing w:val="8"/>
          <w:sz w:val="21"/>
          <w:szCs w:val="21"/>
        </w:rPr>
        <w:t>没收地主全部土地、提出土</w:t>
      </w:r>
      <w:r>
        <w:rPr>
          <w:rFonts w:hint="eastAsia" w:ascii="宋体" w:hAnsi="宋体" w:eastAsia="宋体" w:cs="宋体"/>
          <w:spacing w:val="12"/>
          <w:sz w:val="21"/>
          <w:szCs w:val="21"/>
        </w:rPr>
        <w:t>地国有化并正式实施四个阶段,列宁的土地国有化理论得到逐步发展;在</w:t>
      </w:r>
      <w:r>
        <w:rPr>
          <w:rFonts w:hint="eastAsia" w:ascii="宋体" w:hAnsi="宋体" w:eastAsia="宋体" w:cs="宋体"/>
          <w:spacing w:val="11"/>
          <w:sz w:val="21"/>
          <w:szCs w:val="21"/>
        </w:rPr>
        <w:t>实践层</w:t>
      </w:r>
      <w:r>
        <w:rPr>
          <w:rFonts w:hint="eastAsia" w:ascii="宋体" w:hAnsi="宋体" w:eastAsia="宋体" w:cs="宋体"/>
          <w:spacing w:val="12"/>
          <w:sz w:val="21"/>
          <w:szCs w:val="21"/>
        </w:rPr>
        <w:t>面,无产阶级在农村建立起农民委员会,领导农民进行阶级斗争,并逐渐掌握革</w:t>
      </w:r>
      <w:r>
        <w:rPr>
          <w:rFonts w:hint="eastAsia" w:ascii="宋体" w:hAnsi="宋体" w:eastAsia="宋体" w:cs="宋体"/>
          <w:spacing w:val="4"/>
          <w:sz w:val="21"/>
          <w:szCs w:val="21"/>
        </w:rPr>
        <w:t>命的领导权。如此,工人与农民便能够结成最</w:t>
      </w:r>
      <w:r>
        <w:rPr>
          <w:rFonts w:hint="eastAsia" w:ascii="宋体" w:hAnsi="宋体" w:eastAsia="宋体" w:cs="宋体"/>
          <w:spacing w:val="3"/>
          <w:sz w:val="21"/>
          <w:szCs w:val="21"/>
        </w:rPr>
        <w:t>巩固的联盟———工农联盟,并为土</w:t>
      </w:r>
      <w:r>
        <w:rPr>
          <w:rFonts w:hint="eastAsia" w:ascii="宋体" w:hAnsi="宋体" w:eastAsia="宋体" w:cs="宋体"/>
          <w:spacing w:val="8"/>
          <w:sz w:val="21"/>
          <w:szCs w:val="21"/>
        </w:rPr>
        <w:t>地国有化的实施奠定坚实的阶级基础。</w:t>
      </w:r>
    </w:p>
    <w:p w14:paraId="7181BBD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pacing w:val="8"/>
          <w:sz w:val="21"/>
          <w:szCs w:val="21"/>
        </w:rPr>
      </w:pPr>
      <w:r>
        <w:rPr>
          <w:rFonts w:hint="eastAsia" w:ascii="宋体" w:hAnsi="宋体" w:eastAsia="宋体" w:cs="宋体"/>
          <w:spacing w:val="11"/>
          <w:sz w:val="21"/>
          <w:szCs w:val="21"/>
        </w:rPr>
        <w:t>关于民主革命与社会主义革命的关系。要准确理解列宁对民主革命与社</w:t>
      </w:r>
      <w:r>
        <w:rPr>
          <w:rFonts w:hint="eastAsia" w:ascii="宋体" w:hAnsi="宋体" w:eastAsia="宋体" w:cs="宋体"/>
          <w:spacing w:val="10"/>
          <w:sz w:val="21"/>
          <w:szCs w:val="21"/>
        </w:rPr>
        <w:t>会主</w:t>
      </w:r>
      <w:r>
        <w:rPr>
          <w:rFonts w:hint="eastAsia" w:ascii="宋体" w:hAnsi="宋体" w:eastAsia="宋体" w:cs="宋体"/>
          <w:spacing w:val="14"/>
          <w:sz w:val="21"/>
          <w:szCs w:val="21"/>
        </w:rPr>
        <w:t>义革命的关系的阐释,必须首先明确“土地革命”这一</w:t>
      </w:r>
      <w:r>
        <w:rPr>
          <w:rFonts w:hint="eastAsia" w:ascii="宋体" w:hAnsi="宋体" w:eastAsia="宋体" w:cs="宋体"/>
          <w:spacing w:val="13"/>
          <w:sz w:val="21"/>
          <w:szCs w:val="21"/>
        </w:rPr>
        <w:t>研究场域。在土地革命</w:t>
      </w:r>
      <w:r>
        <w:rPr>
          <w:rFonts w:hint="eastAsia" w:ascii="宋体" w:hAnsi="宋体" w:eastAsia="宋体" w:cs="宋体"/>
          <w:spacing w:val="9"/>
          <w:sz w:val="21"/>
          <w:szCs w:val="21"/>
        </w:rPr>
        <w:t>中,作为“最高成就”的土地国有化推动了资产阶级民主革</w:t>
      </w:r>
      <w:r>
        <w:rPr>
          <w:rFonts w:hint="eastAsia" w:ascii="宋体" w:hAnsi="宋体" w:eastAsia="宋体" w:cs="宋体"/>
          <w:spacing w:val="8"/>
          <w:sz w:val="21"/>
          <w:szCs w:val="21"/>
        </w:rPr>
        <w:t>命的完成。然而,这</w:t>
      </w:r>
      <w:r>
        <w:rPr>
          <w:rFonts w:hint="eastAsia" w:ascii="宋体" w:hAnsi="宋体" w:eastAsia="宋体" w:cs="宋体"/>
          <w:spacing w:val="12"/>
          <w:sz w:val="21"/>
          <w:szCs w:val="21"/>
        </w:rPr>
        <w:t>种革命因其不能触动资本主义的根基,仅仅有利于农民重新分配</w:t>
      </w:r>
      <w:r>
        <w:rPr>
          <w:rFonts w:hint="eastAsia" w:ascii="宋体" w:hAnsi="宋体" w:eastAsia="宋体" w:cs="宋体"/>
          <w:spacing w:val="11"/>
          <w:sz w:val="21"/>
          <w:szCs w:val="21"/>
        </w:rPr>
        <w:t>土地和改善工人</w:t>
      </w:r>
      <w:r>
        <w:rPr>
          <w:rFonts w:hint="eastAsia" w:ascii="宋体" w:hAnsi="宋体" w:eastAsia="宋体" w:cs="宋体"/>
          <w:spacing w:val="10"/>
          <w:sz w:val="21"/>
          <w:szCs w:val="21"/>
        </w:rPr>
        <w:t>的生活状况,尚不能称为社会主义革命。于是在这一阶段,掌握革命领导权的无</w:t>
      </w:r>
      <w:r>
        <w:rPr>
          <w:rFonts w:hint="eastAsia" w:ascii="宋体" w:hAnsi="宋体" w:eastAsia="宋体" w:cs="宋体"/>
          <w:spacing w:val="11"/>
          <w:sz w:val="21"/>
          <w:szCs w:val="21"/>
        </w:rPr>
        <w:t>产阶级应该向农民灌输农民阶级与资产阶级之间的利益对立观念,以</w:t>
      </w:r>
      <w:r>
        <w:rPr>
          <w:rFonts w:hint="eastAsia" w:ascii="宋体" w:hAnsi="宋体" w:eastAsia="宋体" w:cs="宋体"/>
          <w:spacing w:val="10"/>
          <w:sz w:val="21"/>
          <w:szCs w:val="21"/>
        </w:rPr>
        <w:t>推动革命进</w:t>
      </w:r>
      <w:r>
        <w:rPr>
          <w:rFonts w:hint="eastAsia" w:ascii="宋体" w:hAnsi="宋体" w:eastAsia="宋体" w:cs="宋体"/>
          <w:spacing w:val="8"/>
          <w:sz w:val="21"/>
          <w:szCs w:val="21"/>
        </w:rPr>
        <w:t>入社会主义阶段,继而实现无产阶级的最终目标。</w:t>
      </w:r>
    </w:p>
    <w:p w14:paraId="3FFADD7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pacing w:val="8"/>
          <w:sz w:val="21"/>
          <w:szCs w:val="21"/>
        </w:rPr>
      </w:pPr>
    </w:p>
    <w:p w14:paraId="3886C5A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outlineLvl w:val="9"/>
        <w:rPr>
          <w:rFonts w:hint="eastAsia" w:ascii="宋体" w:hAnsi="宋体" w:eastAsia="宋体" w:cs="宋体"/>
          <w:b/>
          <w:bCs/>
          <w:sz w:val="24"/>
          <w:szCs w:val="24"/>
        </w:rPr>
      </w:pPr>
      <w:r>
        <w:rPr>
          <w:rFonts w:hint="eastAsia" w:ascii="宋体" w:hAnsi="宋体" w:eastAsia="宋体" w:cs="宋体"/>
          <w:b/>
          <w:bCs/>
          <w:spacing w:val="7"/>
          <w:sz w:val="24"/>
          <w:szCs w:val="24"/>
        </w:rPr>
        <w:t>二列宁土地国有化理论的基本特征</w:t>
      </w:r>
    </w:p>
    <w:p w14:paraId="1D08A9B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列宁的土地国有化理论以俄国历史和革命实践为基础,将土地国有</w:t>
      </w:r>
      <w:r>
        <w:rPr>
          <w:rFonts w:hint="eastAsia" w:ascii="宋体" w:hAnsi="宋体" w:eastAsia="宋体" w:cs="宋体"/>
          <w:spacing w:val="11"/>
          <w:sz w:val="21"/>
          <w:szCs w:val="21"/>
        </w:rPr>
        <w:t>化运动与</w:t>
      </w:r>
      <w:r>
        <w:rPr>
          <w:rFonts w:hint="eastAsia" w:ascii="宋体" w:hAnsi="宋体" w:eastAsia="宋体" w:cs="宋体"/>
          <w:spacing w:val="15"/>
          <w:sz w:val="21"/>
          <w:szCs w:val="21"/>
        </w:rPr>
        <w:t>无产阶级革命实践相结合,把国有化视为民主革命向无产阶级革命转变的节点,</w:t>
      </w:r>
      <w:r>
        <w:rPr>
          <w:rFonts w:hint="eastAsia" w:ascii="宋体" w:hAnsi="宋体" w:eastAsia="宋体" w:cs="宋体"/>
          <w:spacing w:val="11"/>
          <w:sz w:val="21"/>
          <w:szCs w:val="21"/>
        </w:rPr>
        <w:t>凸显出土地国有化理论的重要地位。列宁的土地国有化理论随着革命</w:t>
      </w:r>
      <w:r>
        <w:rPr>
          <w:rFonts w:hint="eastAsia" w:ascii="宋体" w:hAnsi="宋体" w:eastAsia="宋体" w:cs="宋体"/>
          <w:spacing w:val="10"/>
          <w:sz w:val="21"/>
          <w:szCs w:val="21"/>
        </w:rPr>
        <w:t>实践的深入</w:t>
      </w:r>
      <w:r>
        <w:rPr>
          <w:rFonts w:hint="eastAsia" w:ascii="宋体" w:hAnsi="宋体" w:eastAsia="宋体" w:cs="宋体"/>
          <w:spacing w:val="7"/>
          <w:sz w:val="21"/>
          <w:szCs w:val="21"/>
        </w:rPr>
        <w:t>而不断丰富和完善,体现出发展性、革命性、斗争性等</w:t>
      </w:r>
      <w:r>
        <w:rPr>
          <w:rFonts w:hint="eastAsia" w:ascii="宋体" w:hAnsi="宋体" w:eastAsia="宋体" w:cs="宋体"/>
          <w:spacing w:val="6"/>
          <w:sz w:val="21"/>
          <w:szCs w:val="21"/>
        </w:rPr>
        <w:t>基本特征。</w:t>
      </w:r>
    </w:p>
    <w:p w14:paraId="4F44834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0"/>
          <w:sz w:val="21"/>
          <w:szCs w:val="21"/>
        </w:rPr>
        <w:t>(一)发展性</w:t>
      </w:r>
    </w:p>
    <w:p w14:paraId="4E6C17E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列宁的土地国有化理论并不是一蹴而就的,而是随着革命实践的深入发展,</w:t>
      </w:r>
      <w:r>
        <w:rPr>
          <w:rFonts w:hint="eastAsia" w:ascii="宋体" w:hAnsi="宋体" w:eastAsia="宋体" w:cs="宋体"/>
          <w:spacing w:val="6"/>
          <w:sz w:val="21"/>
          <w:szCs w:val="21"/>
        </w:rPr>
        <w:t>经历了否定、有条件的肯定、逐渐深化和完善的历程。</w:t>
      </w:r>
    </w:p>
    <w:p w14:paraId="322C66E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1905年之前,土地运动并非俄国的主流运</w:t>
      </w:r>
      <w:r>
        <w:rPr>
          <w:rFonts w:hint="eastAsia" w:ascii="宋体" w:hAnsi="宋体" w:eastAsia="宋体" w:cs="宋体"/>
          <w:spacing w:val="5"/>
          <w:sz w:val="21"/>
          <w:szCs w:val="21"/>
        </w:rPr>
        <w:t>动。在此背景下,列宁认为,国有</w:t>
      </w:r>
      <w:r>
        <w:rPr>
          <w:rFonts w:hint="eastAsia" w:ascii="宋体" w:hAnsi="宋体" w:eastAsia="宋体" w:cs="宋体"/>
          <w:spacing w:val="11"/>
          <w:sz w:val="21"/>
          <w:szCs w:val="21"/>
        </w:rPr>
        <w:t>化土地纲领应作为推动土地运动的手段,而“土地国有化的</w:t>
      </w:r>
      <w:r>
        <w:rPr>
          <w:rFonts w:hint="eastAsia" w:ascii="宋体" w:hAnsi="宋体" w:eastAsia="宋体" w:cs="宋体"/>
          <w:spacing w:val="10"/>
          <w:sz w:val="21"/>
          <w:szCs w:val="21"/>
        </w:rPr>
        <w:t>要求在某种程度上却</w:t>
      </w:r>
      <w:r>
        <w:rPr>
          <w:rFonts w:hint="eastAsia" w:ascii="宋体" w:hAnsi="宋体" w:eastAsia="宋体" w:cs="宋体"/>
          <w:spacing w:val="8"/>
          <w:sz w:val="21"/>
          <w:szCs w:val="21"/>
        </w:rPr>
        <w:t>会使人忽视农奴制的最突出的表现和最厉害的残余</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092"/>
      </w:r>
      <w:r>
        <w:rPr>
          <w:rFonts w:hint="eastAsia" w:ascii="宋体" w:hAnsi="宋体" w:eastAsia="宋体" w:cs="宋体"/>
          <w:spacing w:val="8"/>
          <w:position w:val="5"/>
          <w:sz w:val="21"/>
          <w:szCs w:val="21"/>
        </w:rPr>
        <w:t>①</w:t>
      </w:r>
      <w:r>
        <w:rPr>
          <w:rFonts w:hint="eastAsia" w:ascii="宋体" w:hAnsi="宋体" w:eastAsia="宋体" w:cs="宋体"/>
          <w:spacing w:val="7"/>
          <w:sz w:val="21"/>
          <w:szCs w:val="21"/>
        </w:rPr>
        <w:t>,尽管土地国有化的方向是</w:t>
      </w:r>
      <w:r>
        <w:rPr>
          <w:rFonts w:hint="eastAsia" w:ascii="宋体" w:hAnsi="宋体" w:eastAsia="宋体" w:cs="宋体"/>
          <w:spacing w:val="18"/>
          <w:sz w:val="21"/>
          <w:szCs w:val="21"/>
        </w:rPr>
        <w:t>正确的,但在农奴制残余影响较深的社会条件下</w:t>
      </w:r>
      <w:r>
        <w:rPr>
          <w:rFonts w:hint="eastAsia" w:ascii="宋体" w:hAnsi="宋体" w:eastAsia="宋体" w:cs="宋体"/>
          <w:spacing w:val="17"/>
          <w:sz w:val="21"/>
          <w:szCs w:val="21"/>
        </w:rPr>
        <w:t>是缺少实践条件的。在这段时</w:t>
      </w:r>
      <w:r>
        <w:rPr>
          <w:rFonts w:hint="eastAsia" w:ascii="宋体" w:hAnsi="宋体" w:eastAsia="宋体" w:cs="宋体"/>
          <w:spacing w:val="12"/>
          <w:sz w:val="21"/>
          <w:szCs w:val="21"/>
        </w:rPr>
        <w:t>期,列宁把土地国有化作为一种长期目标,依照俄国的实际条件先探索具有可行</w:t>
      </w:r>
      <w:r>
        <w:rPr>
          <w:rFonts w:hint="eastAsia" w:ascii="宋体" w:hAnsi="宋体" w:eastAsia="宋体" w:cs="宋体"/>
          <w:spacing w:val="10"/>
          <w:sz w:val="21"/>
          <w:szCs w:val="21"/>
        </w:rPr>
        <w:t>性的“收回割地”措施。随着革命实践的发展,农</w:t>
      </w:r>
      <w:r>
        <w:rPr>
          <w:rFonts w:hint="eastAsia" w:ascii="宋体" w:hAnsi="宋体" w:eastAsia="宋体" w:cs="宋体"/>
          <w:spacing w:val="9"/>
          <w:sz w:val="21"/>
          <w:szCs w:val="21"/>
        </w:rPr>
        <w:t>民运动展现出巨大的能量,列</w:t>
      </w:r>
      <w:r>
        <w:rPr>
          <w:rFonts w:hint="eastAsia" w:ascii="宋体" w:hAnsi="宋体" w:eastAsia="宋体" w:cs="宋体"/>
          <w:spacing w:val="8"/>
          <w:sz w:val="21"/>
          <w:szCs w:val="21"/>
        </w:rPr>
        <w:t>宁逐渐认识到自己在1902年提出的“收回割地”主</w:t>
      </w:r>
      <w:r>
        <w:rPr>
          <w:rFonts w:hint="eastAsia" w:ascii="宋体" w:hAnsi="宋体" w:eastAsia="宋体" w:cs="宋体"/>
          <w:spacing w:val="7"/>
          <w:sz w:val="21"/>
          <w:szCs w:val="21"/>
        </w:rPr>
        <w:t>张具有一定的片面性。在革</w:t>
      </w:r>
      <w:r>
        <w:rPr>
          <w:rFonts w:hint="eastAsia" w:ascii="宋体" w:hAnsi="宋体" w:eastAsia="宋体" w:cs="宋体"/>
          <w:spacing w:val="14"/>
          <w:sz w:val="21"/>
          <w:szCs w:val="21"/>
        </w:rPr>
        <w:t>命达到一定规模的情况下,可以提出没收全部地主土地,进而推行土地国有</w:t>
      </w:r>
      <w:r>
        <w:rPr>
          <w:rFonts w:hint="eastAsia" w:ascii="宋体" w:hAnsi="宋体" w:eastAsia="宋体" w:cs="宋体"/>
          <w:spacing w:val="13"/>
          <w:sz w:val="21"/>
          <w:szCs w:val="21"/>
        </w:rPr>
        <w:t>化。</w:t>
      </w:r>
      <w:r>
        <w:rPr>
          <w:rFonts w:hint="eastAsia" w:ascii="宋体" w:hAnsi="宋体" w:eastAsia="宋体" w:cs="宋体"/>
          <w:spacing w:val="6"/>
          <w:sz w:val="21"/>
          <w:szCs w:val="21"/>
        </w:rPr>
        <w:t>1906年,随着农民代表自发地提出土地</w:t>
      </w:r>
      <w:r>
        <w:rPr>
          <w:rFonts w:hint="eastAsia" w:ascii="宋体" w:hAnsi="宋体" w:eastAsia="宋体" w:cs="宋体"/>
          <w:spacing w:val="5"/>
          <w:sz w:val="21"/>
          <w:szCs w:val="21"/>
        </w:rPr>
        <w:t>国有化主张,列宁在《修改工人政党的土</w:t>
      </w:r>
      <w:r>
        <w:rPr>
          <w:rFonts w:hint="eastAsia" w:ascii="宋体" w:hAnsi="宋体" w:eastAsia="宋体" w:cs="宋体"/>
          <w:spacing w:val="11"/>
          <w:sz w:val="21"/>
          <w:szCs w:val="21"/>
        </w:rPr>
        <w:t>地纲领》一文中阐述了社会民主党的土地国</w:t>
      </w:r>
      <w:r>
        <w:rPr>
          <w:rFonts w:hint="eastAsia" w:ascii="宋体" w:hAnsi="宋体" w:eastAsia="宋体" w:cs="宋体"/>
          <w:spacing w:val="10"/>
          <w:sz w:val="21"/>
          <w:szCs w:val="21"/>
        </w:rPr>
        <w:t>有化理论,深刻阐明农民要求废除土</w:t>
      </w:r>
      <w:r>
        <w:rPr>
          <w:rFonts w:hint="eastAsia" w:ascii="宋体" w:hAnsi="宋体" w:eastAsia="宋体" w:cs="宋体"/>
          <w:spacing w:val="11"/>
          <w:sz w:val="21"/>
          <w:szCs w:val="21"/>
        </w:rPr>
        <w:t>地私有制需要政治上的民主专政来保障。于是,社会民主党的土地纲领,应</w:t>
      </w:r>
      <w:r>
        <w:rPr>
          <w:rFonts w:hint="eastAsia" w:ascii="宋体" w:hAnsi="宋体" w:eastAsia="宋体" w:cs="宋体"/>
          <w:spacing w:val="10"/>
          <w:sz w:val="21"/>
          <w:szCs w:val="21"/>
        </w:rPr>
        <w:t>该是</w:t>
      </w:r>
      <w:r>
        <w:rPr>
          <w:rFonts w:hint="eastAsia" w:ascii="宋体" w:hAnsi="宋体" w:eastAsia="宋体" w:cs="宋体"/>
          <w:spacing w:val="11"/>
          <w:sz w:val="21"/>
          <w:szCs w:val="21"/>
        </w:rPr>
        <w:t>在民主专政的条件下支持农民反对土地私有制,拥护土地国有化。否则,农民运</w:t>
      </w:r>
      <w:r>
        <w:rPr>
          <w:rFonts w:hint="eastAsia" w:ascii="宋体" w:hAnsi="宋体" w:eastAsia="宋体" w:cs="宋体"/>
          <w:spacing w:val="6"/>
          <w:sz w:val="21"/>
          <w:szCs w:val="21"/>
        </w:rPr>
        <w:t>动的胜利果实有可能会被在革命中壮大的资产阶级夺去。1905年革命的失败,使</w:t>
      </w:r>
      <w:r>
        <w:rPr>
          <w:rFonts w:hint="eastAsia" w:ascii="宋体" w:hAnsi="宋体" w:eastAsia="宋体" w:cs="宋体"/>
          <w:spacing w:val="12"/>
          <w:sz w:val="21"/>
          <w:szCs w:val="21"/>
        </w:rPr>
        <w:t>列宁的土地国有化理论出现了“停滞”,直到十月革命前夕,列宁才再次提</w:t>
      </w:r>
      <w:r>
        <w:rPr>
          <w:rFonts w:hint="eastAsia" w:ascii="宋体" w:hAnsi="宋体" w:eastAsia="宋体" w:cs="宋体"/>
          <w:spacing w:val="11"/>
          <w:sz w:val="21"/>
          <w:szCs w:val="21"/>
        </w:rPr>
        <w:t>及土地国有化理论,并依据形势变化赋予其新的内容。列宁认为,土地国有化不仅是</w:t>
      </w:r>
      <w:r>
        <w:rPr>
          <w:rFonts w:hint="eastAsia" w:ascii="宋体" w:hAnsi="宋体" w:eastAsia="宋体" w:cs="宋体"/>
          <w:spacing w:val="18"/>
          <w:sz w:val="21"/>
          <w:szCs w:val="21"/>
        </w:rPr>
        <w:t>资产阶级的最先进措施和最高成就,更是向社会主义革命转变的历史节点,是</w:t>
      </w:r>
      <w:r>
        <w:rPr>
          <w:rFonts w:hint="eastAsia" w:ascii="宋体" w:hAnsi="宋体" w:eastAsia="宋体" w:cs="宋体"/>
          <w:spacing w:val="9"/>
          <w:sz w:val="21"/>
          <w:szCs w:val="21"/>
        </w:rPr>
        <w:t>“走向社会主义的一个步骤</w:t>
      </w:r>
      <w:r>
        <w:rPr>
          <w:rFonts w:hint="eastAsia" w:ascii="宋体" w:hAnsi="宋体" w:eastAsia="宋体" w:cs="宋体"/>
          <w:spacing w:val="9"/>
          <w:position w:val="5"/>
          <w:sz w:val="21"/>
          <w:szCs w:val="21"/>
        </w:rPr>
        <w:t>”</w:t>
      </w:r>
      <w:r>
        <w:rPr>
          <w:rStyle w:val="20"/>
          <w:rFonts w:hint="eastAsia" w:ascii="宋体" w:hAnsi="宋体" w:eastAsia="宋体" w:cs="宋体"/>
          <w:spacing w:val="9"/>
          <w:position w:val="5"/>
          <w:sz w:val="21"/>
          <w:szCs w:val="21"/>
        </w:rPr>
        <w:footnoteReference w:id="1093"/>
      </w:r>
      <w:r>
        <w:rPr>
          <w:rFonts w:hint="eastAsia" w:ascii="宋体" w:hAnsi="宋体" w:eastAsia="宋体" w:cs="宋体"/>
          <w:spacing w:val="9"/>
          <w:sz w:val="21"/>
          <w:szCs w:val="21"/>
        </w:rPr>
        <w:t>,并为俄国资产阶级革命取得胜利并转变为社会主</w:t>
      </w:r>
      <w:r>
        <w:rPr>
          <w:rFonts w:hint="eastAsia" w:ascii="宋体" w:hAnsi="宋体" w:eastAsia="宋体" w:cs="宋体"/>
          <w:spacing w:val="11"/>
          <w:sz w:val="21"/>
          <w:szCs w:val="21"/>
        </w:rPr>
        <w:t>义革命准备了条件。可见,随着革命形势的变</w:t>
      </w:r>
      <w:r>
        <w:rPr>
          <w:rFonts w:hint="eastAsia" w:ascii="宋体" w:hAnsi="宋体" w:eastAsia="宋体" w:cs="宋体"/>
          <w:spacing w:val="10"/>
          <w:sz w:val="21"/>
          <w:szCs w:val="21"/>
        </w:rPr>
        <w:t>化,列宁的土地国有化理论被不断</w:t>
      </w:r>
      <w:r>
        <w:rPr>
          <w:rFonts w:hint="eastAsia" w:ascii="宋体" w:hAnsi="宋体" w:eastAsia="宋体" w:cs="宋体"/>
          <w:spacing w:val="8"/>
          <w:sz w:val="21"/>
          <w:szCs w:val="21"/>
        </w:rPr>
        <w:t>赋予新的内容,成为一种随着实践发展而不断发展的理论。</w:t>
      </w:r>
    </w:p>
    <w:p w14:paraId="2B58468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(二)革命性</w:t>
      </w:r>
    </w:p>
    <w:p w14:paraId="5C8082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列宁的土地国有化理论,形成于俄国革命的具体实践中,具有天然的革命属</w:t>
      </w:r>
      <w:r>
        <w:rPr>
          <w:rFonts w:hint="eastAsia" w:ascii="宋体" w:hAnsi="宋体" w:eastAsia="宋体" w:cs="宋体"/>
          <w:spacing w:val="10"/>
          <w:sz w:val="21"/>
          <w:szCs w:val="21"/>
        </w:rPr>
        <w:t>性。其一,土地国有化在革命实践中占据核心地位。历史的发展为俄国革命指明</w:t>
      </w:r>
      <w:r>
        <w:rPr>
          <w:rFonts w:hint="eastAsia" w:ascii="宋体" w:hAnsi="宋体" w:eastAsia="宋体" w:cs="宋体"/>
          <w:spacing w:val="16"/>
          <w:sz w:val="21"/>
          <w:szCs w:val="21"/>
        </w:rPr>
        <w:t>了资产阶级民主变革的方向。实现资产阶级民主变革有改良主义道路(普鲁士</w:t>
      </w:r>
      <w:r>
        <w:rPr>
          <w:rFonts w:hint="eastAsia" w:ascii="宋体" w:hAnsi="宋体" w:eastAsia="宋体" w:cs="宋体"/>
          <w:spacing w:val="9"/>
          <w:sz w:val="21"/>
          <w:szCs w:val="21"/>
        </w:rPr>
        <w:t>式)和革命道路(美国式)两种形式。无论选择哪种方式,资本主义在铺就其前</w:t>
      </w:r>
      <w:r>
        <w:rPr>
          <w:rFonts w:hint="eastAsia" w:ascii="宋体" w:hAnsi="宋体" w:eastAsia="宋体" w:cs="宋体"/>
          <w:spacing w:val="18"/>
          <w:sz w:val="21"/>
          <w:szCs w:val="21"/>
        </w:rPr>
        <w:t>行之路时,都必须彻底清除阻碍其发展的各</w:t>
      </w:r>
      <w:r>
        <w:rPr>
          <w:rFonts w:hint="eastAsia" w:ascii="宋体" w:hAnsi="宋体" w:eastAsia="宋体" w:cs="宋体"/>
          <w:spacing w:val="17"/>
          <w:sz w:val="21"/>
          <w:szCs w:val="21"/>
        </w:rPr>
        <w:t>种障碍。而在清除各种障碍的过程</w:t>
      </w:r>
      <w:r>
        <w:rPr>
          <w:rFonts w:hint="eastAsia" w:ascii="宋体" w:hAnsi="宋体" w:eastAsia="宋体" w:cs="宋体"/>
          <w:spacing w:val="14"/>
          <w:sz w:val="21"/>
          <w:szCs w:val="21"/>
        </w:rPr>
        <w:t>中,土地的国有化问题显得尤为关键。列宁强调,“土地革命不实行土地国有化</w:t>
      </w:r>
      <w:r>
        <w:rPr>
          <w:rFonts w:hint="eastAsia" w:ascii="宋体" w:hAnsi="宋体" w:eastAsia="宋体" w:cs="宋体"/>
          <w:spacing w:val="8"/>
          <w:sz w:val="21"/>
          <w:szCs w:val="21"/>
        </w:rPr>
        <w:t>是不能全部完成其历史使命的</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094"/>
      </w:r>
      <w:r>
        <w:rPr>
          <w:rFonts w:hint="eastAsia" w:ascii="宋体" w:hAnsi="宋体" w:eastAsia="宋体" w:cs="宋体"/>
          <w:spacing w:val="8"/>
          <w:sz w:val="21"/>
          <w:szCs w:val="21"/>
        </w:rPr>
        <w:t>,这意味着土地国有化与</w:t>
      </w:r>
      <w:r>
        <w:rPr>
          <w:rFonts w:hint="eastAsia" w:ascii="宋体" w:hAnsi="宋体" w:eastAsia="宋体" w:cs="宋体"/>
          <w:spacing w:val="7"/>
          <w:sz w:val="21"/>
          <w:szCs w:val="21"/>
        </w:rPr>
        <w:t>民主革命变革成功紧密</w:t>
      </w:r>
      <w:r>
        <w:rPr>
          <w:rFonts w:hint="eastAsia" w:ascii="宋体" w:hAnsi="宋体" w:eastAsia="宋体" w:cs="宋体"/>
          <w:spacing w:val="10"/>
          <w:sz w:val="21"/>
          <w:szCs w:val="21"/>
        </w:rPr>
        <w:t>相连。其二,土地国有化具有历史意义的革命性。马克思主义认为,在资产阶级</w:t>
      </w:r>
      <w:r>
        <w:rPr>
          <w:rFonts w:hint="eastAsia" w:ascii="宋体" w:hAnsi="宋体" w:eastAsia="宋体" w:cs="宋体"/>
          <w:spacing w:val="11"/>
          <w:sz w:val="21"/>
          <w:szCs w:val="21"/>
        </w:rPr>
        <w:t>社会的条件下,土地国有化是最彻底的资产阶级措施。在此基础上,列宁认</w:t>
      </w:r>
      <w:r>
        <w:rPr>
          <w:rFonts w:hint="eastAsia" w:ascii="宋体" w:hAnsi="宋体" w:eastAsia="宋体" w:cs="宋体"/>
          <w:spacing w:val="10"/>
          <w:sz w:val="21"/>
          <w:szCs w:val="21"/>
        </w:rPr>
        <w:t>为土</w:t>
      </w:r>
      <w:r>
        <w:rPr>
          <w:rFonts w:hint="eastAsia" w:ascii="宋体" w:hAnsi="宋体" w:eastAsia="宋体" w:cs="宋体"/>
          <w:spacing w:val="18"/>
          <w:sz w:val="21"/>
          <w:szCs w:val="21"/>
        </w:rPr>
        <w:t>地国有化的真正历史意义在于其反对中世纪的地主土地所有制和农民土地所有</w:t>
      </w:r>
      <w:r>
        <w:rPr>
          <w:rFonts w:hint="eastAsia" w:ascii="宋体" w:hAnsi="宋体" w:eastAsia="宋体" w:cs="宋体"/>
          <w:spacing w:val="12"/>
          <w:sz w:val="21"/>
          <w:szCs w:val="21"/>
        </w:rPr>
        <w:t>制,即旨在加速农奴制的灭亡,从而彻底扫</w:t>
      </w:r>
      <w:r>
        <w:rPr>
          <w:rFonts w:hint="eastAsia" w:ascii="宋体" w:hAnsi="宋体" w:eastAsia="宋体" w:cs="宋体"/>
          <w:spacing w:val="11"/>
          <w:sz w:val="21"/>
          <w:szCs w:val="21"/>
        </w:rPr>
        <w:t>清中世纪遗留的农奴制残余,为资产</w:t>
      </w:r>
      <w:r>
        <w:rPr>
          <w:rFonts w:hint="eastAsia" w:ascii="宋体" w:hAnsi="宋体" w:eastAsia="宋体" w:cs="宋体"/>
          <w:spacing w:val="6"/>
          <w:sz w:val="21"/>
          <w:szCs w:val="21"/>
        </w:rPr>
        <w:t>阶级革命清除路障,使之成为“资产阶级民主改革的最高限度</w:t>
      </w:r>
      <w:r>
        <w:rPr>
          <w:rFonts w:hint="eastAsia" w:ascii="宋体" w:hAnsi="宋体" w:eastAsia="宋体" w:cs="宋体"/>
          <w:spacing w:val="6"/>
          <w:position w:val="5"/>
          <w:sz w:val="21"/>
          <w:szCs w:val="21"/>
        </w:rPr>
        <w:t>”</w:t>
      </w:r>
      <w:r>
        <w:rPr>
          <w:rStyle w:val="20"/>
          <w:rFonts w:hint="eastAsia" w:ascii="宋体" w:hAnsi="宋体" w:eastAsia="宋体" w:cs="宋体"/>
          <w:spacing w:val="6"/>
          <w:position w:val="5"/>
          <w:sz w:val="21"/>
          <w:szCs w:val="21"/>
        </w:rPr>
        <w:footnoteReference w:id="1095"/>
      </w:r>
      <w:r>
        <w:rPr>
          <w:rFonts w:hint="eastAsia" w:ascii="宋体" w:hAnsi="宋体" w:eastAsia="宋体" w:cs="宋体"/>
          <w:spacing w:val="6"/>
          <w:sz w:val="21"/>
          <w:szCs w:val="21"/>
        </w:rPr>
        <w:t>。其三,土地国</w:t>
      </w:r>
      <w:r>
        <w:rPr>
          <w:rFonts w:hint="eastAsia" w:ascii="宋体" w:hAnsi="宋体" w:eastAsia="宋体" w:cs="宋体"/>
          <w:spacing w:val="11"/>
          <w:sz w:val="21"/>
          <w:szCs w:val="21"/>
        </w:rPr>
        <w:t>有化是俄国进入社会主义革命阶段的关键节点。民主革命和社会主义革命</w:t>
      </w:r>
      <w:r>
        <w:rPr>
          <w:rFonts w:hint="eastAsia" w:ascii="宋体" w:hAnsi="宋体" w:eastAsia="宋体" w:cs="宋体"/>
          <w:spacing w:val="10"/>
          <w:sz w:val="21"/>
          <w:szCs w:val="21"/>
        </w:rPr>
        <w:t>的理论</w:t>
      </w:r>
      <w:r>
        <w:rPr>
          <w:rFonts w:hint="eastAsia" w:ascii="宋体" w:hAnsi="宋体" w:eastAsia="宋体" w:cs="宋体"/>
          <w:spacing w:val="12"/>
          <w:sz w:val="21"/>
          <w:szCs w:val="21"/>
        </w:rPr>
        <w:t>前提是土地革命,作为资产阶级的最高措施,土地国有化是促进民</w:t>
      </w:r>
      <w:r>
        <w:rPr>
          <w:rFonts w:hint="eastAsia" w:ascii="宋体" w:hAnsi="宋体" w:eastAsia="宋体" w:cs="宋体"/>
          <w:spacing w:val="11"/>
          <w:sz w:val="21"/>
          <w:szCs w:val="21"/>
        </w:rPr>
        <w:t>主革命完成的</w:t>
      </w:r>
      <w:r>
        <w:rPr>
          <w:rFonts w:hint="eastAsia" w:ascii="宋体" w:hAnsi="宋体" w:eastAsia="宋体" w:cs="宋体"/>
          <w:spacing w:val="9"/>
          <w:sz w:val="21"/>
          <w:szCs w:val="21"/>
        </w:rPr>
        <w:t>最强有力的推手。但是,民主革命无法彻底改变民众贫困的社会面貌。在这个阶</w:t>
      </w:r>
      <w:r>
        <w:rPr>
          <w:rFonts w:hint="eastAsia" w:ascii="宋体" w:hAnsi="宋体" w:eastAsia="宋体" w:cs="宋体"/>
          <w:spacing w:val="12"/>
          <w:sz w:val="21"/>
          <w:szCs w:val="21"/>
        </w:rPr>
        <w:t>段,掌握革命领导权的无产阶级应教育农民,唯有社</w:t>
      </w:r>
      <w:r>
        <w:rPr>
          <w:rFonts w:hint="eastAsia" w:ascii="宋体" w:hAnsi="宋体" w:eastAsia="宋体" w:cs="宋体"/>
          <w:spacing w:val="11"/>
          <w:sz w:val="21"/>
          <w:szCs w:val="21"/>
        </w:rPr>
        <w:t>会主义才能消灭不平等和人</w:t>
      </w:r>
      <w:r>
        <w:rPr>
          <w:rFonts w:hint="eastAsia" w:ascii="宋体" w:hAnsi="宋体" w:eastAsia="宋体" w:cs="宋体"/>
          <w:spacing w:val="10"/>
          <w:sz w:val="21"/>
          <w:szCs w:val="21"/>
        </w:rPr>
        <w:t>剥削人的现象,从而进入社会主义革命的阶段。由此观之,土地国有化在俄国资</w:t>
      </w:r>
      <w:r>
        <w:rPr>
          <w:rFonts w:hint="eastAsia" w:ascii="宋体" w:hAnsi="宋体" w:eastAsia="宋体" w:cs="宋体"/>
          <w:spacing w:val="12"/>
          <w:sz w:val="21"/>
          <w:szCs w:val="21"/>
        </w:rPr>
        <w:t>产阶级民主革命中发挥着至关重要的作用,为革命取</w:t>
      </w:r>
      <w:r>
        <w:rPr>
          <w:rFonts w:hint="eastAsia" w:ascii="宋体" w:hAnsi="宋体" w:eastAsia="宋体" w:cs="宋体"/>
          <w:spacing w:val="11"/>
          <w:sz w:val="21"/>
          <w:szCs w:val="21"/>
        </w:rPr>
        <w:t>得完全胜利并成功转向社会主义革命奠定了坚实基础。在列宁的理论框架下,土地国有化被视</w:t>
      </w:r>
      <w:r>
        <w:rPr>
          <w:rFonts w:hint="eastAsia" w:ascii="宋体" w:hAnsi="宋体" w:eastAsia="宋体" w:cs="宋体"/>
          <w:spacing w:val="10"/>
          <w:sz w:val="21"/>
          <w:szCs w:val="21"/>
        </w:rPr>
        <w:t>为资产阶级革</w:t>
      </w:r>
      <w:r>
        <w:rPr>
          <w:rFonts w:hint="eastAsia" w:ascii="宋体" w:hAnsi="宋体" w:eastAsia="宋体" w:cs="宋体"/>
          <w:spacing w:val="14"/>
          <w:sz w:val="21"/>
          <w:szCs w:val="21"/>
        </w:rPr>
        <w:t>命的最高成就,而这一成就的取得,又为进一步迈向社会主义革命奠定了基础。</w:t>
      </w:r>
      <w:r>
        <w:rPr>
          <w:rFonts w:hint="eastAsia" w:ascii="宋体" w:hAnsi="宋体" w:eastAsia="宋体" w:cs="宋体"/>
          <w:spacing w:val="12"/>
          <w:sz w:val="21"/>
          <w:szCs w:val="21"/>
        </w:rPr>
        <w:t>土地国有化不仅构成了迈向社会主义的关键环节,更通过将土地改</w:t>
      </w:r>
      <w:r>
        <w:rPr>
          <w:rFonts w:hint="eastAsia" w:ascii="宋体" w:hAnsi="宋体" w:eastAsia="宋体" w:cs="宋体"/>
          <w:spacing w:val="11"/>
          <w:sz w:val="21"/>
          <w:szCs w:val="21"/>
        </w:rPr>
        <w:t>革实践与无产</w:t>
      </w:r>
      <w:r>
        <w:rPr>
          <w:rFonts w:hint="eastAsia" w:ascii="宋体" w:hAnsi="宋体" w:eastAsia="宋体" w:cs="宋体"/>
          <w:spacing w:val="10"/>
          <w:sz w:val="21"/>
          <w:szCs w:val="21"/>
        </w:rPr>
        <w:t>阶级革命目标有机统一,展现出理论与实践相互促进、辩证统一的特征,</w:t>
      </w:r>
      <w:r>
        <w:rPr>
          <w:rFonts w:hint="eastAsia" w:ascii="宋体" w:hAnsi="宋体" w:eastAsia="宋体" w:cs="宋体"/>
          <w:spacing w:val="9"/>
          <w:sz w:val="21"/>
          <w:szCs w:val="21"/>
        </w:rPr>
        <w:t>由此深</w:t>
      </w:r>
      <w:r>
        <w:rPr>
          <w:rFonts w:hint="eastAsia" w:ascii="宋体" w:hAnsi="宋体" w:eastAsia="宋体" w:cs="宋体"/>
          <w:spacing w:val="8"/>
          <w:sz w:val="21"/>
          <w:szCs w:val="21"/>
        </w:rPr>
        <w:t>化和发展了马克思的土地国有化理论。</w:t>
      </w:r>
    </w:p>
    <w:p w14:paraId="7C1E626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(三)斗争性</w:t>
      </w:r>
    </w:p>
    <w:p w14:paraId="5E5F33F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列宁的土地国有化理论是在与党内外错误思想进行不懈斗</w:t>
      </w:r>
      <w:r>
        <w:rPr>
          <w:rFonts w:hint="eastAsia" w:ascii="宋体" w:hAnsi="宋体" w:eastAsia="宋体" w:cs="宋体"/>
          <w:spacing w:val="11"/>
          <w:sz w:val="21"/>
          <w:szCs w:val="21"/>
        </w:rPr>
        <w:t>争中逐渐丰富和完</w:t>
      </w:r>
      <w:r>
        <w:rPr>
          <w:rFonts w:hint="eastAsia" w:ascii="宋体" w:hAnsi="宋体" w:eastAsia="宋体" w:cs="宋体"/>
          <w:spacing w:val="9"/>
          <w:sz w:val="21"/>
          <w:szCs w:val="21"/>
        </w:rPr>
        <w:t>善的。其一,与“收回割地”反对者作斗争</w:t>
      </w:r>
      <w:r>
        <w:rPr>
          <w:rFonts w:hint="eastAsia" w:ascii="宋体" w:hAnsi="宋体" w:eastAsia="宋体" w:cs="宋体"/>
          <w:spacing w:val="8"/>
          <w:sz w:val="21"/>
          <w:szCs w:val="21"/>
        </w:rPr>
        <w:t>。革命初期,俄国社会民主党内围绕</w:t>
      </w:r>
      <w:r>
        <w:rPr>
          <w:rFonts w:hint="eastAsia" w:ascii="宋体" w:hAnsi="宋体" w:eastAsia="宋体" w:cs="宋体"/>
          <w:spacing w:val="9"/>
          <w:sz w:val="21"/>
          <w:szCs w:val="21"/>
        </w:rPr>
        <w:t>土地纲领中“收回割地”条款的争论异常激烈。列宁深刻分析了归还割地的要求</w:t>
      </w:r>
      <w:r>
        <w:rPr>
          <w:rFonts w:hint="eastAsia" w:ascii="宋体" w:hAnsi="宋体" w:eastAsia="宋体" w:cs="宋体"/>
          <w:spacing w:val="5"/>
          <w:sz w:val="21"/>
          <w:szCs w:val="21"/>
        </w:rPr>
        <w:t>和土地国有化的要求,批判了马尔丁诺夫等人的反对意见</w:t>
      </w:r>
      <w:r>
        <w:rPr>
          <w:rFonts w:hint="eastAsia" w:ascii="宋体" w:hAnsi="宋体" w:eastAsia="宋体" w:cs="宋体"/>
          <w:spacing w:val="4"/>
          <w:sz w:val="21"/>
          <w:szCs w:val="21"/>
        </w:rPr>
        <w:t>。割地是1861年土地改</w:t>
      </w:r>
      <w:r>
        <w:rPr>
          <w:rFonts w:hint="eastAsia" w:ascii="宋体" w:hAnsi="宋体" w:eastAsia="宋体" w:cs="宋体"/>
          <w:spacing w:val="11"/>
          <w:sz w:val="21"/>
          <w:szCs w:val="21"/>
        </w:rPr>
        <w:t>革不彻底遗留的农奴制残余,直接阻碍了资本主义发展。若要解</w:t>
      </w:r>
      <w:r>
        <w:rPr>
          <w:rFonts w:hint="eastAsia" w:ascii="宋体" w:hAnsi="宋体" w:eastAsia="宋体" w:cs="宋体"/>
          <w:spacing w:val="10"/>
          <w:sz w:val="21"/>
          <w:szCs w:val="21"/>
        </w:rPr>
        <w:t>决土地问题,为</w:t>
      </w:r>
      <w:r>
        <w:rPr>
          <w:rFonts w:hint="eastAsia" w:ascii="宋体" w:hAnsi="宋体" w:eastAsia="宋体" w:cs="宋体"/>
          <w:spacing w:val="13"/>
          <w:sz w:val="21"/>
          <w:szCs w:val="21"/>
        </w:rPr>
        <w:t>资本主义发展扫清道路,那么,“收回割地”便成为解决土地问题的第一步。依</w:t>
      </w:r>
      <w:r>
        <w:rPr>
          <w:rFonts w:hint="eastAsia" w:ascii="宋体" w:hAnsi="宋体" w:eastAsia="宋体" w:cs="宋体"/>
          <w:spacing w:val="10"/>
          <w:sz w:val="21"/>
          <w:szCs w:val="21"/>
        </w:rPr>
        <w:t>据革命形势的发展,列宁认为,提出“收回割地”是一种在民主革命范围内的合</w:t>
      </w:r>
      <w:r>
        <w:rPr>
          <w:rFonts w:hint="eastAsia" w:ascii="宋体" w:hAnsi="宋体" w:eastAsia="宋体" w:cs="宋体"/>
          <w:spacing w:val="12"/>
          <w:sz w:val="21"/>
          <w:szCs w:val="21"/>
        </w:rPr>
        <w:t>理要求,土地国有化原则上是正确的,在革</w:t>
      </w:r>
      <w:r>
        <w:rPr>
          <w:rFonts w:hint="eastAsia" w:ascii="宋体" w:hAnsi="宋体" w:eastAsia="宋体" w:cs="宋体"/>
          <w:spacing w:val="11"/>
          <w:sz w:val="21"/>
          <w:szCs w:val="21"/>
        </w:rPr>
        <w:t>命达到一定规模的情况下,可以提出</w:t>
      </w:r>
      <w:r>
        <w:rPr>
          <w:rFonts w:hint="eastAsia" w:ascii="宋体" w:hAnsi="宋体" w:eastAsia="宋体" w:cs="宋体"/>
          <w:spacing w:val="7"/>
          <w:sz w:val="21"/>
          <w:szCs w:val="21"/>
        </w:rPr>
        <w:t>没收地主的全部土地。其二,与农民的“土</w:t>
      </w:r>
      <w:r>
        <w:rPr>
          <w:rFonts w:hint="eastAsia" w:ascii="宋体" w:hAnsi="宋体" w:eastAsia="宋体" w:cs="宋体"/>
          <w:spacing w:val="6"/>
          <w:sz w:val="21"/>
          <w:szCs w:val="21"/>
        </w:rPr>
        <w:t>地平分”口号争论。农民与土地密不</w:t>
      </w:r>
      <w:r>
        <w:rPr>
          <w:rFonts w:hint="eastAsia" w:ascii="宋体" w:hAnsi="宋体" w:eastAsia="宋体" w:cs="宋体"/>
          <w:spacing w:val="13"/>
          <w:sz w:val="21"/>
          <w:szCs w:val="21"/>
        </w:rPr>
        <w:t>可分,“土地平分”的口号反映了农民消灭农奴制的土地占有制的愿望。</w:t>
      </w:r>
      <w:r>
        <w:rPr>
          <w:rFonts w:hint="eastAsia" w:ascii="宋体" w:hAnsi="宋体" w:eastAsia="宋体" w:cs="宋体"/>
          <w:spacing w:val="12"/>
          <w:sz w:val="21"/>
          <w:szCs w:val="21"/>
        </w:rPr>
        <w:t>列宁认</w:t>
      </w:r>
      <w:r>
        <w:rPr>
          <w:rFonts w:hint="eastAsia" w:ascii="宋体" w:hAnsi="宋体" w:eastAsia="宋体" w:cs="宋体"/>
          <w:spacing w:val="16"/>
          <w:sz w:val="21"/>
          <w:szCs w:val="21"/>
        </w:rPr>
        <w:t>为,“农民的平均制思想,从社会主义的角度来看是反</w:t>
      </w:r>
      <w:r>
        <w:rPr>
          <w:rFonts w:hint="eastAsia" w:ascii="宋体" w:hAnsi="宋体" w:eastAsia="宋体" w:cs="宋体"/>
          <w:spacing w:val="15"/>
          <w:sz w:val="21"/>
          <w:szCs w:val="21"/>
        </w:rPr>
        <w:t>动的和空想的,从资产阶</w:t>
      </w:r>
      <w:r>
        <w:rPr>
          <w:rFonts w:hint="eastAsia" w:ascii="宋体" w:hAnsi="宋体" w:eastAsia="宋体" w:cs="宋体"/>
          <w:spacing w:val="6"/>
          <w:sz w:val="21"/>
          <w:szCs w:val="21"/>
        </w:rPr>
        <w:t>级民主主义的角度来看则是革命的</w:t>
      </w:r>
      <w:r>
        <w:rPr>
          <w:rFonts w:hint="eastAsia" w:ascii="宋体" w:hAnsi="宋体" w:eastAsia="宋体" w:cs="宋体"/>
          <w:spacing w:val="6"/>
          <w:position w:val="5"/>
          <w:sz w:val="21"/>
          <w:szCs w:val="21"/>
        </w:rPr>
        <w:t>”</w:t>
      </w:r>
      <w:r>
        <w:rPr>
          <w:rStyle w:val="20"/>
          <w:rFonts w:hint="eastAsia" w:ascii="宋体" w:hAnsi="宋体" w:eastAsia="宋体" w:cs="宋体"/>
          <w:spacing w:val="6"/>
          <w:position w:val="5"/>
          <w:sz w:val="21"/>
          <w:szCs w:val="21"/>
        </w:rPr>
        <w:footnoteReference w:id="1096"/>
      </w:r>
      <w:r>
        <w:rPr>
          <w:rFonts w:hint="eastAsia" w:ascii="宋体" w:hAnsi="宋体" w:eastAsia="宋体" w:cs="宋体"/>
          <w:spacing w:val="6"/>
          <w:sz w:val="21"/>
          <w:szCs w:val="21"/>
        </w:rPr>
        <w:t>。“土地平分”是作为小资产者的农民世世</w:t>
      </w:r>
      <w:r>
        <w:rPr>
          <w:rFonts w:hint="eastAsia" w:ascii="宋体" w:hAnsi="宋体" w:eastAsia="宋体" w:cs="宋体"/>
          <w:spacing w:val="10"/>
          <w:sz w:val="21"/>
          <w:szCs w:val="21"/>
        </w:rPr>
        <w:t>代代对土地最直接的幻想,也反映了农民在土地革命中的革命性,即农民“土地</w:t>
      </w:r>
      <w:r>
        <w:rPr>
          <w:rFonts w:hint="eastAsia" w:ascii="宋体" w:hAnsi="宋体" w:eastAsia="宋体" w:cs="宋体"/>
          <w:spacing w:val="9"/>
          <w:sz w:val="21"/>
          <w:szCs w:val="21"/>
        </w:rPr>
        <w:t>平分”的渴望孕育着资产阶级民主革命中消灭整个旧制度的强大力量。不过,这</w:t>
      </w:r>
      <w:r>
        <w:rPr>
          <w:rFonts w:hint="eastAsia" w:ascii="宋体" w:hAnsi="宋体" w:eastAsia="宋体" w:cs="宋体"/>
          <w:spacing w:val="6"/>
          <w:sz w:val="21"/>
          <w:szCs w:val="21"/>
        </w:rPr>
        <w:t>仅仅是“向社会主义迈进了一大步,但是还远远不是社会主义</w:t>
      </w:r>
      <w:r>
        <w:rPr>
          <w:rFonts w:hint="eastAsia" w:ascii="宋体" w:hAnsi="宋体" w:eastAsia="宋体" w:cs="宋体"/>
          <w:spacing w:val="6"/>
          <w:position w:val="5"/>
          <w:sz w:val="21"/>
          <w:szCs w:val="21"/>
        </w:rPr>
        <w:t>”</w:t>
      </w:r>
      <w:r>
        <w:rPr>
          <w:rStyle w:val="20"/>
          <w:rFonts w:hint="eastAsia" w:ascii="宋体" w:hAnsi="宋体" w:eastAsia="宋体" w:cs="宋体"/>
          <w:spacing w:val="6"/>
          <w:position w:val="5"/>
          <w:sz w:val="21"/>
          <w:szCs w:val="21"/>
        </w:rPr>
        <w:footnoteReference w:id="1097"/>
      </w:r>
      <w:r>
        <w:rPr>
          <w:rFonts w:hint="eastAsia" w:ascii="宋体" w:hAnsi="宋体" w:eastAsia="宋体" w:cs="宋体"/>
          <w:spacing w:val="6"/>
          <w:sz w:val="21"/>
          <w:szCs w:val="21"/>
        </w:rPr>
        <w:t>。</w:t>
      </w:r>
      <w:r>
        <w:rPr>
          <w:rFonts w:hint="eastAsia" w:ascii="宋体" w:hAnsi="宋体" w:eastAsia="宋体" w:cs="宋体"/>
          <w:spacing w:val="5"/>
          <w:sz w:val="21"/>
          <w:szCs w:val="21"/>
        </w:rPr>
        <w:t>列宁结合农民</w:t>
      </w:r>
      <w:r>
        <w:rPr>
          <w:rFonts w:hint="eastAsia" w:ascii="宋体" w:hAnsi="宋体" w:eastAsia="宋体" w:cs="宋体"/>
          <w:spacing w:val="12"/>
          <w:sz w:val="21"/>
          <w:szCs w:val="21"/>
        </w:rPr>
        <w:t>的特性作出了更深入的理论探讨,认为“土地平分”只会促进资本主义的发展,</w:t>
      </w:r>
      <w:r>
        <w:rPr>
          <w:rFonts w:hint="eastAsia" w:ascii="宋体" w:hAnsi="宋体" w:eastAsia="宋体" w:cs="宋体"/>
          <w:spacing w:val="17"/>
          <w:sz w:val="21"/>
          <w:szCs w:val="21"/>
        </w:rPr>
        <w:t>改善农民经济条件,但并不能消灭资本。商品经济依然会产生不平等和剥削现</w:t>
      </w:r>
      <w:r>
        <w:rPr>
          <w:rFonts w:hint="eastAsia" w:ascii="宋体" w:hAnsi="宋体" w:eastAsia="宋体" w:cs="宋体"/>
          <w:spacing w:val="11"/>
          <w:sz w:val="21"/>
          <w:szCs w:val="21"/>
        </w:rPr>
        <w:t>象,农民“看不到进一步的更伟大更艰苦的反对整个资本主义社会和争取彻底实</w:t>
      </w:r>
      <w:r>
        <w:rPr>
          <w:rFonts w:hint="eastAsia" w:ascii="宋体" w:hAnsi="宋体" w:eastAsia="宋体" w:cs="宋体"/>
          <w:spacing w:val="4"/>
          <w:sz w:val="21"/>
          <w:szCs w:val="21"/>
        </w:rPr>
        <w:t>现社会主义的斗争</w:t>
      </w:r>
      <w:r>
        <w:rPr>
          <w:rFonts w:hint="eastAsia" w:ascii="宋体" w:hAnsi="宋体" w:eastAsia="宋体" w:cs="宋体"/>
          <w:spacing w:val="4"/>
          <w:position w:val="5"/>
          <w:sz w:val="21"/>
          <w:szCs w:val="21"/>
        </w:rPr>
        <w:t>”</w:t>
      </w:r>
      <w:r>
        <w:rPr>
          <w:rStyle w:val="20"/>
          <w:rFonts w:hint="eastAsia" w:ascii="宋体" w:hAnsi="宋体" w:eastAsia="宋体" w:cs="宋体"/>
          <w:spacing w:val="4"/>
          <w:position w:val="5"/>
          <w:sz w:val="21"/>
          <w:szCs w:val="21"/>
        </w:rPr>
        <w:footnoteReference w:id="1098"/>
      </w:r>
      <w:r>
        <w:rPr>
          <w:rFonts w:hint="eastAsia" w:ascii="宋体" w:hAnsi="宋体" w:eastAsia="宋体" w:cs="宋体"/>
          <w:spacing w:val="4"/>
          <w:sz w:val="21"/>
          <w:szCs w:val="21"/>
        </w:rPr>
        <w:t>。同时,列宁还强调,农民的“土地平分”口号与社会主义</w:t>
      </w:r>
      <w:r>
        <w:rPr>
          <w:rFonts w:hint="eastAsia" w:ascii="宋体" w:hAnsi="宋体" w:eastAsia="宋体" w:cs="宋体"/>
          <w:spacing w:val="12"/>
          <w:sz w:val="21"/>
          <w:szCs w:val="21"/>
        </w:rPr>
        <w:t>纲领并不冲突。社会主义不怕重分土地,因为</w:t>
      </w:r>
      <w:r>
        <w:rPr>
          <w:rFonts w:hint="eastAsia" w:ascii="宋体" w:hAnsi="宋体" w:eastAsia="宋体" w:cs="宋体"/>
          <w:spacing w:val="11"/>
          <w:sz w:val="21"/>
          <w:szCs w:val="21"/>
        </w:rPr>
        <w:t>社会主义“要求消灭货币的权力、资本的权力,消灭一切生产资料私有制,消灭商品</w:t>
      </w:r>
      <w:r>
        <w:rPr>
          <w:rFonts w:hint="eastAsia" w:ascii="宋体" w:hAnsi="宋体" w:eastAsia="宋体" w:cs="宋体"/>
          <w:spacing w:val="10"/>
          <w:sz w:val="21"/>
          <w:szCs w:val="21"/>
        </w:rPr>
        <w:t>经济。社会主义要求把土地和</w:t>
      </w:r>
      <w:r>
        <w:rPr>
          <w:rFonts w:hint="eastAsia" w:ascii="宋体" w:hAnsi="宋体" w:eastAsia="宋体" w:cs="宋体"/>
          <w:spacing w:val="12"/>
          <w:sz w:val="21"/>
          <w:szCs w:val="21"/>
        </w:rPr>
        <w:t>工厂交给按照总计划组织大生产(而不是分散的小生产</w:t>
      </w:r>
      <w:r>
        <w:rPr>
          <w:rFonts w:hint="eastAsia" w:ascii="宋体" w:hAnsi="宋体" w:eastAsia="宋体" w:cs="宋体"/>
          <w:spacing w:val="11"/>
          <w:sz w:val="21"/>
          <w:szCs w:val="21"/>
        </w:rPr>
        <w:t>)的全体劳动者</w:t>
      </w:r>
      <w:r>
        <w:rPr>
          <w:rFonts w:hint="eastAsia" w:ascii="宋体" w:hAnsi="宋体" w:eastAsia="宋体" w:cs="宋体"/>
          <w:spacing w:val="11"/>
          <w:position w:val="5"/>
          <w:sz w:val="21"/>
          <w:szCs w:val="21"/>
        </w:rPr>
        <w:t>”</w:t>
      </w:r>
      <w:r>
        <w:rPr>
          <w:rStyle w:val="20"/>
          <w:rFonts w:hint="eastAsia" w:ascii="宋体" w:hAnsi="宋体" w:eastAsia="宋体" w:cs="宋体"/>
          <w:spacing w:val="11"/>
          <w:position w:val="5"/>
          <w:sz w:val="21"/>
          <w:szCs w:val="21"/>
        </w:rPr>
        <w:footnoteReference w:id="1099"/>
      </w:r>
      <w:r>
        <w:rPr>
          <w:rFonts w:hint="eastAsia" w:ascii="宋体" w:hAnsi="宋体" w:eastAsia="宋体" w:cs="宋体"/>
          <w:spacing w:val="11"/>
          <w:sz w:val="21"/>
          <w:szCs w:val="21"/>
        </w:rPr>
        <w:t>。其三,批判分配土地纲领。革命爆发后,党内出现了多种土地纲领</w:t>
      </w:r>
      <w:r>
        <w:rPr>
          <w:rFonts w:hint="eastAsia" w:ascii="宋体" w:hAnsi="宋体" w:eastAsia="宋体" w:cs="宋体"/>
          <w:spacing w:val="10"/>
          <w:sz w:val="21"/>
          <w:szCs w:val="21"/>
        </w:rPr>
        <w:t>或方案,如土地</w:t>
      </w:r>
      <w:r>
        <w:rPr>
          <w:rFonts w:hint="eastAsia" w:ascii="宋体" w:hAnsi="宋体" w:eastAsia="宋体" w:cs="宋体"/>
          <w:spacing w:val="2"/>
          <w:sz w:val="21"/>
          <w:szCs w:val="21"/>
        </w:rPr>
        <w:t>国有化方案、分配土地方案、“土地公有”方案等。在190</w:t>
      </w:r>
      <w:r>
        <w:rPr>
          <w:rFonts w:hint="eastAsia" w:ascii="宋体" w:hAnsi="宋体" w:eastAsia="宋体" w:cs="宋体"/>
          <w:spacing w:val="1"/>
          <w:sz w:val="21"/>
          <w:szCs w:val="21"/>
        </w:rPr>
        <w:t>6年4月的斯德哥尔摩</w:t>
      </w:r>
      <w:r>
        <w:rPr>
          <w:rFonts w:hint="eastAsia" w:ascii="宋体" w:hAnsi="宋体" w:eastAsia="宋体" w:cs="宋体"/>
          <w:spacing w:val="12"/>
          <w:sz w:val="21"/>
          <w:szCs w:val="21"/>
        </w:rPr>
        <w:t>代表大会上,列宁的土地国有化方案受到了以普列汉诺夫为代表的孟</w:t>
      </w:r>
      <w:r>
        <w:rPr>
          <w:rFonts w:hint="eastAsia" w:ascii="宋体" w:hAnsi="宋体" w:eastAsia="宋体" w:cs="宋体"/>
          <w:spacing w:val="11"/>
          <w:sz w:val="21"/>
          <w:szCs w:val="21"/>
        </w:rPr>
        <w:t>什维克派打</w:t>
      </w:r>
      <w:r>
        <w:rPr>
          <w:rFonts w:hint="eastAsia" w:ascii="宋体" w:hAnsi="宋体" w:eastAsia="宋体" w:cs="宋体"/>
          <w:spacing w:val="9"/>
          <w:sz w:val="21"/>
          <w:szCs w:val="21"/>
        </w:rPr>
        <w:t>压。列宁对孟什维克的“土地公有”方案和分配土地方案进行了揭露和批判,坚</w:t>
      </w:r>
      <w:r>
        <w:rPr>
          <w:rFonts w:hint="eastAsia" w:ascii="宋体" w:hAnsi="宋体" w:eastAsia="宋体" w:cs="宋体"/>
          <w:spacing w:val="10"/>
          <w:sz w:val="21"/>
          <w:szCs w:val="21"/>
        </w:rPr>
        <w:t>定捍卫了土地国有化方案。列宁站在农民的立场上,认为“分配作为一种纲领是</w:t>
      </w:r>
      <w:r>
        <w:rPr>
          <w:rFonts w:hint="eastAsia" w:ascii="宋体" w:hAnsi="宋体" w:eastAsia="宋体" w:cs="宋体"/>
          <w:spacing w:val="8"/>
          <w:sz w:val="21"/>
          <w:szCs w:val="21"/>
        </w:rPr>
        <w:t>错误的,但并不是有害的</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100"/>
      </w:r>
      <w:r>
        <w:rPr>
          <w:rFonts w:hint="eastAsia" w:ascii="宋体" w:hAnsi="宋体" w:eastAsia="宋体" w:cs="宋体"/>
          <w:spacing w:val="8"/>
          <w:sz w:val="21"/>
          <w:szCs w:val="21"/>
        </w:rPr>
        <w:t>,然而,分配方式的着眼点过于关注过去和现在,缺</w:t>
      </w:r>
      <w:r>
        <w:rPr>
          <w:rFonts w:hint="eastAsia" w:ascii="宋体" w:hAnsi="宋体" w:eastAsia="宋体" w:cs="宋体"/>
          <w:spacing w:val="12"/>
          <w:sz w:val="21"/>
          <w:szCs w:val="21"/>
        </w:rPr>
        <w:t>少对将来的打算。换言之,列宁认为,“分配派”只向农民解释了世界,却</w:t>
      </w:r>
      <w:r>
        <w:rPr>
          <w:rFonts w:hint="eastAsia" w:ascii="宋体" w:hAnsi="宋体" w:eastAsia="宋体" w:cs="宋体"/>
          <w:spacing w:val="11"/>
          <w:sz w:val="21"/>
          <w:szCs w:val="21"/>
        </w:rPr>
        <w:t>“不</w:t>
      </w:r>
      <w:r>
        <w:rPr>
          <w:rFonts w:hint="eastAsia" w:ascii="宋体" w:hAnsi="宋体" w:eastAsia="宋体" w:cs="宋体"/>
          <w:spacing w:val="7"/>
          <w:sz w:val="21"/>
          <w:szCs w:val="21"/>
        </w:rPr>
        <w:t>善于把这种正确的解释变成改变世界的杠杆</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01"/>
      </w:r>
      <w:r>
        <w:rPr>
          <w:rFonts w:hint="eastAsia" w:ascii="宋体" w:hAnsi="宋体" w:eastAsia="宋体" w:cs="宋体"/>
          <w:spacing w:val="7"/>
          <w:sz w:val="21"/>
          <w:szCs w:val="21"/>
        </w:rPr>
        <w:t>,没有关注到问题的实质。</w:t>
      </w:r>
      <w:r>
        <w:rPr>
          <w:rFonts w:hint="eastAsia" w:ascii="宋体" w:hAnsi="宋体" w:eastAsia="宋体" w:cs="宋体"/>
          <w:spacing w:val="6"/>
          <w:sz w:val="21"/>
          <w:szCs w:val="21"/>
        </w:rPr>
        <w:t>农民不</w:t>
      </w:r>
      <w:r>
        <w:rPr>
          <w:rFonts w:hint="eastAsia" w:ascii="宋体" w:hAnsi="宋体" w:eastAsia="宋体" w:cs="宋体"/>
          <w:spacing w:val="13"/>
          <w:sz w:val="21"/>
          <w:szCs w:val="21"/>
        </w:rPr>
        <w:t>会愿意把他们从地主手中夺来的土地交给特权者掌握。只有在实现充足的自由、</w:t>
      </w:r>
      <w:r>
        <w:rPr>
          <w:rFonts w:hint="eastAsia" w:ascii="宋体" w:hAnsi="宋体" w:eastAsia="宋体" w:cs="宋体"/>
          <w:spacing w:val="12"/>
          <w:sz w:val="21"/>
          <w:szCs w:val="21"/>
        </w:rPr>
        <w:t>实现民主共和制和专政保障的基础上,把土地变为国家财产</w:t>
      </w:r>
      <w:r>
        <w:rPr>
          <w:rFonts w:hint="eastAsia" w:ascii="宋体" w:hAnsi="宋体" w:eastAsia="宋体" w:cs="宋体"/>
          <w:spacing w:val="11"/>
          <w:sz w:val="21"/>
          <w:szCs w:val="21"/>
        </w:rPr>
        <w:t>并由人民来掌管,才</w:t>
      </w:r>
      <w:r>
        <w:rPr>
          <w:rFonts w:hint="eastAsia" w:ascii="宋体" w:hAnsi="宋体" w:eastAsia="宋体" w:cs="宋体"/>
          <w:spacing w:val="10"/>
          <w:sz w:val="21"/>
          <w:szCs w:val="21"/>
        </w:rPr>
        <w:t>是有益无害的。此时,社会民主党“要做的只是向农民说明国有化这一有益的措</w:t>
      </w:r>
      <w:r>
        <w:rPr>
          <w:rFonts w:hint="eastAsia" w:ascii="宋体" w:hAnsi="宋体" w:eastAsia="宋体" w:cs="宋体"/>
          <w:spacing w:val="7"/>
          <w:sz w:val="21"/>
          <w:szCs w:val="21"/>
        </w:rPr>
        <w:t>施所必须具备的政治前提,然后还应该指出国有化的资产阶级性质</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02"/>
      </w:r>
      <w:r>
        <w:rPr>
          <w:rFonts w:hint="eastAsia" w:ascii="宋体" w:hAnsi="宋体" w:eastAsia="宋体" w:cs="宋体"/>
          <w:spacing w:val="7"/>
          <w:sz w:val="21"/>
          <w:szCs w:val="21"/>
        </w:rPr>
        <w:t>。其四,反</w:t>
      </w:r>
      <w:r>
        <w:rPr>
          <w:rFonts w:hint="eastAsia" w:ascii="宋体" w:hAnsi="宋体" w:eastAsia="宋体" w:cs="宋体"/>
          <w:spacing w:val="11"/>
          <w:sz w:val="21"/>
          <w:szCs w:val="21"/>
        </w:rPr>
        <w:t>对孟什维克派的“土地地方公有”。列宁批评普列汉诺夫土地公</w:t>
      </w:r>
      <w:r>
        <w:rPr>
          <w:rFonts w:hint="eastAsia" w:ascii="宋体" w:hAnsi="宋体" w:eastAsia="宋体" w:cs="宋体"/>
          <w:spacing w:val="10"/>
          <w:sz w:val="21"/>
          <w:szCs w:val="21"/>
        </w:rPr>
        <w:t>有纲领的不彻底性,认为其未始终贯彻经济基础与上层建筑辩证统一的关系。比如,只关注到土</w:t>
      </w:r>
      <w:r>
        <w:rPr>
          <w:rFonts w:hint="eastAsia" w:ascii="宋体" w:hAnsi="宋体" w:eastAsia="宋体" w:cs="宋体"/>
          <w:spacing w:val="12"/>
          <w:sz w:val="21"/>
          <w:szCs w:val="21"/>
        </w:rPr>
        <w:t>地要求与地方管理机关的民主制相联系,却未与中央管理机关和国</w:t>
      </w:r>
      <w:r>
        <w:rPr>
          <w:rFonts w:hint="eastAsia" w:ascii="宋体" w:hAnsi="宋体" w:eastAsia="宋体" w:cs="宋体"/>
          <w:spacing w:val="11"/>
          <w:sz w:val="21"/>
          <w:szCs w:val="21"/>
        </w:rPr>
        <w:t>家制度的彻底民主制相联系,形成逻辑上的断裂,必将“把人弄糊涂”,从而使“我们党的纲</w:t>
      </w:r>
      <w:r>
        <w:rPr>
          <w:rFonts w:hint="eastAsia" w:ascii="宋体" w:hAnsi="宋体" w:eastAsia="宋体" w:cs="宋体"/>
          <w:spacing w:val="8"/>
          <w:sz w:val="21"/>
          <w:szCs w:val="21"/>
        </w:rPr>
        <w:t>领成了同反动派搞交易的纲领</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103"/>
      </w:r>
      <w:r>
        <w:rPr>
          <w:rFonts w:hint="eastAsia" w:ascii="宋体" w:hAnsi="宋体" w:eastAsia="宋体" w:cs="宋体"/>
          <w:spacing w:val="8"/>
          <w:sz w:val="21"/>
          <w:szCs w:val="21"/>
        </w:rPr>
        <w:t>,如此便与立宪民主党的纲</w:t>
      </w:r>
      <w:r>
        <w:rPr>
          <w:rFonts w:hint="eastAsia" w:ascii="宋体" w:hAnsi="宋体" w:eastAsia="宋体" w:cs="宋体"/>
          <w:spacing w:val="7"/>
          <w:sz w:val="21"/>
          <w:szCs w:val="21"/>
        </w:rPr>
        <w:t>领如出一辙,蜕变为</w:t>
      </w:r>
      <w:r>
        <w:rPr>
          <w:rFonts w:hint="eastAsia" w:ascii="宋体" w:hAnsi="宋体" w:eastAsia="宋体" w:cs="宋体"/>
          <w:spacing w:val="10"/>
          <w:sz w:val="21"/>
          <w:szCs w:val="21"/>
        </w:rPr>
        <w:t>一种反动的、反革命的措施。这一切的根源在于,孟什维克派并不是站在劳苦大</w:t>
      </w:r>
      <w:r>
        <w:rPr>
          <w:rFonts w:hint="eastAsia" w:ascii="宋体" w:hAnsi="宋体" w:eastAsia="宋体" w:cs="宋体"/>
          <w:spacing w:val="12"/>
          <w:sz w:val="21"/>
          <w:szCs w:val="21"/>
        </w:rPr>
        <w:t>众的立场上,而是站在小资产阶级的立场上。既然立场站</w:t>
      </w:r>
      <w:r>
        <w:rPr>
          <w:rFonts w:hint="eastAsia" w:ascii="宋体" w:hAnsi="宋体" w:eastAsia="宋体" w:cs="宋体"/>
          <w:spacing w:val="11"/>
          <w:sz w:val="21"/>
          <w:szCs w:val="21"/>
        </w:rPr>
        <w:t>错了,那么“搞交易”</w:t>
      </w:r>
      <w:r>
        <w:rPr>
          <w:rFonts w:hint="eastAsia" w:ascii="宋体" w:hAnsi="宋体" w:eastAsia="宋体" w:cs="宋体"/>
          <w:spacing w:val="7"/>
          <w:sz w:val="21"/>
          <w:szCs w:val="21"/>
        </w:rPr>
        <w:t>也就是必然的了。</w:t>
      </w:r>
    </w:p>
    <w:p w14:paraId="0475322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4F4E43D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outlineLvl w:val="9"/>
        <w:rPr>
          <w:rFonts w:hint="eastAsia" w:ascii="宋体" w:hAnsi="宋体" w:eastAsia="宋体" w:cs="宋体"/>
          <w:b/>
          <w:bCs/>
          <w:sz w:val="24"/>
          <w:szCs w:val="24"/>
        </w:rPr>
      </w:pPr>
      <w:r>
        <w:rPr>
          <w:rFonts w:hint="eastAsia" w:ascii="宋体" w:hAnsi="宋体" w:eastAsia="宋体" w:cs="宋体"/>
          <w:b/>
          <w:bCs/>
          <w:spacing w:val="7"/>
          <w:sz w:val="24"/>
          <w:szCs w:val="24"/>
        </w:rPr>
        <w:t>三列宁土地国有化理论的建构原则</w:t>
      </w:r>
    </w:p>
    <w:p w14:paraId="50B54DE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4079B35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列宁土地国有化理论是社会主义国家尤其是后发社会主义</w:t>
      </w:r>
      <w:r>
        <w:rPr>
          <w:rFonts w:hint="eastAsia" w:ascii="宋体" w:hAnsi="宋体" w:eastAsia="宋体" w:cs="宋体"/>
          <w:spacing w:val="11"/>
          <w:sz w:val="21"/>
          <w:szCs w:val="21"/>
        </w:rPr>
        <w:t>国家进行建设的重</w:t>
      </w:r>
      <w:r>
        <w:rPr>
          <w:rFonts w:hint="eastAsia" w:ascii="宋体" w:hAnsi="宋体" w:eastAsia="宋体" w:cs="宋体"/>
          <w:spacing w:val="10"/>
          <w:sz w:val="21"/>
          <w:szCs w:val="21"/>
        </w:rPr>
        <w:t>要理论指导。“土地国有化”措施是扫清农奴</w:t>
      </w:r>
      <w:r>
        <w:rPr>
          <w:rFonts w:hint="eastAsia" w:ascii="宋体" w:hAnsi="宋体" w:eastAsia="宋体" w:cs="宋体"/>
          <w:spacing w:val="9"/>
          <w:sz w:val="21"/>
          <w:szCs w:val="21"/>
        </w:rPr>
        <w:t>制残余、彻底摆脱前资产阶级的痕</w:t>
      </w:r>
      <w:r>
        <w:rPr>
          <w:rFonts w:hint="eastAsia" w:ascii="宋体" w:hAnsi="宋体" w:eastAsia="宋体" w:cs="宋体"/>
          <w:spacing w:val="12"/>
          <w:sz w:val="21"/>
          <w:szCs w:val="21"/>
        </w:rPr>
        <w:t>迹以实现革新发展的道路选择,是促进资产阶级革命升级为社会</w:t>
      </w:r>
      <w:r>
        <w:rPr>
          <w:rFonts w:hint="eastAsia" w:ascii="宋体" w:hAnsi="宋体" w:eastAsia="宋体" w:cs="宋体"/>
          <w:spacing w:val="11"/>
          <w:sz w:val="21"/>
          <w:szCs w:val="21"/>
        </w:rPr>
        <w:t>主义革命的推动</w:t>
      </w:r>
      <w:r>
        <w:rPr>
          <w:rFonts w:hint="eastAsia" w:ascii="宋体" w:hAnsi="宋体" w:eastAsia="宋体" w:cs="宋体"/>
          <w:spacing w:val="3"/>
          <w:sz w:val="21"/>
          <w:szCs w:val="21"/>
        </w:rPr>
        <w:t>力,为实现人民的“充分的自由”———社会主义奠定了坚实</w:t>
      </w:r>
      <w:r>
        <w:rPr>
          <w:rFonts w:hint="eastAsia" w:ascii="宋体" w:hAnsi="宋体" w:eastAsia="宋体" w:cs="宋体"/>
          <w:spacing w:val="2"/>
          <w:sz w:val="21"/>
          <w:szCs w:val="21"/>
        </w:rPr>
        <w:t>的理论和相应的实践</w:t>
      </w:r>
      <w:r>
        <w:rPr>
          <w:rFonts w:hint="eastAsia" w:ascii="宋体" w:hAnsi="宋体" w:eastAsia="宋体" w:cs="宋体"/>
          <w:spacing w:val="10"/>
          <w:sz w:val="21"/>
          <w:szCs w:val="21"/>
        </w:rPr>
        <w:t>基础。土地国有化理论从根本上规定了新生社会主义国家的物质基础、革命同盟</w:t>
      </w:r>
      <w:r>
        <w:rPr>
          <w:rFonts w:hint="eastAsia" w:ascii="宋体" w:hAnsi="宋体" w:eastAsia="宋体" w:cs="宋体"/>
          <w:spacing w:val="9"/>
          <w:sz w:val="21"/>
          <w:szCs w:val="21"/>
        </w:rPr>
        <w:t>和政治价值,其多方面的建构原则也具有重要</w:t>
      </w:r>
      <w:r>
        <w:rPr>
          <w:rFonts w:hint="eastAsia" w:ascii="宋体" w:hAnsi="宋体" w:eastAsia="宋体" w:cs="宋体"/>
          <w:spacing w:val="8"/>
          <w:sz w:val="21"/>
          <w:szCs w:val="21"/>
        </w:rPr>
        <w:t>的启示意义。</w:t>
      </w:r>
    </w:p>
    <w:p w14:paraId="4FE8B78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(一)组织原则:坚持无产阶级政党的领导</w:t>
      </w:r>
    </w:p>
    <w:p w14:paraId="46AD23F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俄国革命战胜沙皇制度的关键在于实现无产阶级和农民的民主专政。</w:t>
      </w:r>
      <w:r>
        <w:rPr>
          <w:rFonts w:hint="eastAsia" w:ascii="宋体" w:hAnsi="宋体" w:eastAsia="宋体" w:cs="宋体"/>
          <w:spacing w:val="10"/>
          <w:sz w:val="21"/>
          <w:szCs w:val="21"/>
        </w:rPr>
        <w:t>这种专</w:t>
      </w:r>
      <w:r>
        <w:rPr>
          <w:rFonts w:hint="eastAsia" w:ascii="宋体" w:hAnsi="宋体" w:eastAsia="宋体" w:cs="宋体"/>
          <w:spacing w:val="12"/>
          <w:sz w:val="21"/>
          <w:szCs w:val="21"/>
        </w:rPr>
        <w:t>政以土地再分配和改善工人生活状况为主要目标,其性质属</w:t>
      </w:r>
      <w:r>
        <w:rPr>
          <w:rFonts w:hint="eastAsia" w:ascii="宋体" w:hAnsi="宋体" w:eastAsia="宋体" w:cs="宋体"/>
          <w:spacing w:val="11"/>
          <w:sz w:val="21"/>
          <w:szCs w:val="21"/>
        </w:rPr>
        <w:t>于民主主义专政而非</w:t>
      </w:r>
      <w:r>
        <w:rPr>
          <w:rFonts w:hint="eastAsia" w:ascii="宋体" w:hAnsi="宋体" w:eastAsia="宋体" w:cs="宋体"/>
          <w:spacing w:val="10"/>
          <w:sz w:val="21"/>
          <w:szCs w:val="21"/>
        </w:rPr>
        <w:t>社会主义专政,因为它尚未触及资本主义的根本制度。然而,推进这一民主专政</w:t>
      </w:r>
      <w:r>
        <w:rPr>
          <w:rFonts w:hint="eastAsia" w:ascii="宋体" w:hAnsi="宋体" w:eastAsia="宋体" w:cs="宋体"/>
          <w:spacing w:val="11"/>
          <w:sz w:val="21"/>
          <w:szCs w:val="21"/>
        </w:rPr>
        <w:t>必然激起封建农奴主与资产阶级的顽强对抗,因此必须以军事力量为主导</w:t>
      </w:r>
      <w:r>
        <w:rPr>
          <w:rFonts w:hint="eastAsia" w:ascii="宋体" w:hAnsi="宋体" w:eastAsia="宋体" w:cs="宋体"/>
          <w:spacing w:val="10"/>
          <w:sz w:val="21"/>
          <w:szCs w:val="21"/>
        </w:rPr>
        <w:t>,才能</w:t>
      </w:r>
      <w:r>
        <w:rPr>
          <w:rFonts w:hint="eastAsia" w:ascii="宋体" w:hAnsi="宋体" w:eastAsia="宋体" w:cs="宋体"/>
          <w:spacing w:val="13"/>
          <w:sz w:val="21"/>
          <w:szCs w:val="21"/>
        </w:rPr>
        <w:t>有效瓦解反革命势力的抵抗。这一过程构成了向社会主义专政过渡的必经阶段。</w:t>
      </w:r>
      <w:r>
        <w:rPr>
          <w:rFonts w:hint="eastAsia" w:ascii="宋体" w:hAnsi="宋体" w:eastAsia="宋体" w:cs="宋体"/>
          <w:spacing w:val="12"/>
          <w:sz w:val="21"/>
          <w:szCs w:val="21"/>
        </w:rPr>
        <w:t>因此,无产阶级政党掌握革命领导权具有决定性意义,其关键在于对农民这</w:t>
      </w:r>
      <w:r>
        <w:rPr>
          <w:rFonts w:hint="eastAsia" w:ascii="宋体" w:hAnsi="宋体" w:eastAsia="宋体" w:cs="宋体"/>
          <w:spacing w:val="11"/>
          <w:sz w:val="21"/>
          <w:szCs w:val="21"/>
        </w:rPr>
        <w:t>一同</w:t>
      </w:r>
      <w:r>
        <w:rPr>
          <w:rFonts w:hint="eastAsia" w:ascii="宋体" w:hAnsi="宋体" w:eastAsia="宋体" w:cs="宋体"/>
          <w:spacing w:val="10"/>
          <w:sz w:val="21"/>
          <w:szCs w:val="21"/>
        </w:rPr>
        <w:t>盟军的有效领导。一旦无产阶级丧失领导权,革命将面临性质蜕变的危险。“如</w:t>
      </w:r>
      <w:r>
        <w:rPr>
          <w:rFonts w:hint="eastAsia" w:ascii="宋体" w:hAnsi="宋体" w:eastAsia="宋体" w:cs="宋体"/>
          <w:spacing w:val="12"/>
          <w:sz w:val="21"/>
          <w:szCs w:val="21"/>
        </w:rPr>
        <w:t>果无产阶级力量不够,做不到这一点,资产阶级就会成为民主革命</w:t>
      </w:r>
      <w:r>
        <w:rPr>
          <w:rFonts w:hint="eastAsia" w:ascii="宋体" w:hAnsi="宋体" w:eastAsia="宋体" w:cs="宋体"/>
          <w:spacing w:val="11"/>
          <w:sz w:val="21"/>
          <w:szCs w:val="21"/>
        </w:rPr>
        <w:t>的首领并且使这个革命成为不彻底的和自私自利的革命。要</w:t>
      </w:r>
      <w:r>
        <w:rPr>
          <w:rFonts w:hint="eastAsia" w:ascii="宋体" w:hAnsi="宋体" w:eastAsia="宋体" w:cs="宋体"/>
          <w:spacing w:val="10"/>
          <w:sz w:val="21"/>
          <w:szCs w:val="21"/>
        </w:rPr>
        <w:t>防止这种危险,除了实行无产阶级</w:t>
      </w:r>
      <w:r>
        <w:rPr>
          <w:rFonts w:hint="eastAsia" w:ascii="宋体" w:hAnsi="宋体" w:eastAsia="宋体" w:cs="宋体"/>
          <w:spacing w:val="11"/>
          <w:sz w:val="21"/>
          <w:szCs w:val="21"/>
        </w:rPr>
        <w:t>和农民的革命民主专政以外是没有别的办法</w:t>
      </w:r>
      <w:r>
        <w:rPr>
          <w:rFonts w:hint="eastAsia" w:ascii="宋体" w:hAnsi="宋体" w:eastAsia="宋体" w:cs="宋体"/>
          <w:spacing w:val="10"/>
          <w:sz w:val="21"/>
          <w:szCs w:val="21"/>
        </w:rPr>
        <w:t>的。”</w:t>
      </w:r>
      <w:r>
        <w:rPr>
          <w:rStyle w:val="20"/>
          <w:rFonts w:hint="eastAsia" w:ascii="宋体" w:hAnsi="宋体" w:eastAsia="宋体" w:cs="宋体"/>
          <w:spacing w:val="10"/>
          <w:sz w:val="21"/>
          <w:szCs w:val="21"/>
        </w:rPr>
        <w:footnoteReference w:id="1104"/>
      </w:r>
      <w:r>
        <w:rPr>
          <w:rFonts w:hint="eastAsia" w:ascii="宋体" w:hAnsi="宋体" w:eastAsia="宋体" w:cs="宋体"/>
          <w:spacing w:val="10"/>
          <w:sz w:val="21"/>
          <w:szCs w:val="21"/>
        </w:rPr>
        <w:t>无产阶级只有与农民结成同</w:t>
      </w:r>
      <w:r>
        <w:rPr>
          <w:rFonts w:hint="eastAsia" w:ascii="宋体" w:hAnsi="宋体" w:eastAsia="宋体" w:cs="宋体"/>
          <w:spacing w:val="9"/>
          <w:sz w:val="21"/>
          <w:szCs w:val="21"/>
        </w:rPr>
        <w:t>盟,形成牢固有力的统一战线,才能真正实现无产阶级的领导</w:t>
      </w:r>
      <w:r>
        <w:rPr>
          <w:rFonts w:hint="eastAsia" w:ascii="宋体" w:hAnsi="宋体" w:eastAsia="宋体" w:cs="宋体"/>
          <w:spacing w:val="8"/>
          <w:sz w:val="21"/>
          <w:szCs w:val="21"/>
        </w:rPr>
        <w:t>权。</w:t>
      </w:r>
    </w:p>
    <w:p w14:paraId="769CDB3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7"/>
          <w:sz w:val="21"/>
          <w:szCs w:val="21"/>
        </w:rPr>
        <w:t>(二)指导原则:坚持阶级斗争的路径</w:t>
      </w:r>
    </w:p>
    <w:p w14:paraId="526A09C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阶级斗争不仅是解决一切土地问题的关键,而且是实施土地国有化措施的核</w:t>
      </w:r>
      <w:r>
        <w:rPr>
          <w:rFonts w:hint="eastAsia" w:ascii="宋体" w:hAnsi="宋体" w:eastAsia="宋体" w:cs="宋体"/>
          <w:spacing w:val="10"/>
          <w:sz w:val="21"/>
          <w:szCs w:val="21"/>
        </w:rPr>
        <w:t>心主线。在农民运动中,存在两种交织的阶级斗争形</w:t>
      </w:r>
      <w:r>
        <w:rPr>
          <w:rFonts w:hint="eastAsia" w:ascii="宋体" w:hAnsi="宋体" w:eastAsia="宋体" w:cs="宋体"/>
          <w:spacing w:val="9"/>
          <w:sz w:val="21"/>
          <w:szCs w:val="21"/>
        </w:rPr>
        <w:t>势,即“农民反对享有特权</w:t>
      </w:r>
      <w:r>
        <w:rPr>
          <w:rFonts w:hint="eastAsia" w:ascii="宋体" w:hAnsi="宋体" w:eastAsia="宋体" w:cs="宋体"/>
          <w:spacing w:val="8"/>
          <w:sz w:val="21"/>
          <w:szCs w:val="21"/>
        </w:rPr>
        <w:t>的土地占有者和反对农奴制残余的斗争</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105"/>
      </w:r>
      <w:r>
        <w:rPr>
          <w:rFonts w:hint="eastAsia" w:ascii="宋体" w:hAnsi="宋体" w:eastAsia="宋体" w:cs="宋体"/>
          <w:spacing w:val="8"/>
          <w:sz w:val="21"/>
          <w:szCs w:val="21"/>
        </w:rPr>
        <w:t>和“日益成长的农村无产阶级同</w:t>
      </w:r>
      <w:r>
        <w:rPr>
          <w:rFonts w:hint="eastAsia" w:ascii="宋体" w:hAnsi="宋体" w:eastAsia="宋体" w:cs="宋体"/>
          <w:spacing w:val="7"/>
          <w:sz w:val="21"/>
          <w:szCs w:val="21"/>
        </w:rPr>
        <w:t>农村资产阶级的斗争</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06"/>
      </w:r>
      <w:r>
        <w:rPr>
          <w:rFonts w:hint="eastAsia" w:ascii="宋体" w:hAnsi="宋体" w:eastAsia="宋体" w:cs="宋体"/>
          <w:spacing w:val="7"/>
          <w:sz w:val="21"/>
          <w:szCs w:val="21"/>
        </w:rPr>
        <w:t>。第一种阶级斗争为第二种阶级斗争的开展扫清道路,第二种</w:t>
      </w:r>
      <w:r>
        <w:rPr>
          <w:rFonts w:hint="eastAsia" w:ascii="宋体" w:hAnsi="宋体" w:eastAsia="宋体" w:cs="宋体"/>
          <w:spacing w:val="14"/>
          <w:sz w:val="21"/>
          <w:szCs w:val="21"/>
        </w:rPr>
        <w:t>阶级斗争的目标是帮助无产阶级夺取政权,为土地国有化提供坚实的政治</w:t>
      </w:r>
      <w:r>
        <w:rPr>
          <w:rFonts w:hint="eastAsia" w:ascii="宋体" w:hAnsi="宋体" w:eastAsia="宋体" w:cs="宋体"/>
          <w:spacing w:val="13"/>
          <w:sz w:val="21"/>
          <w:szCs w:val="21"/>
        </w:rPr>
        <w:t>保障。</w:t>
      </w:r>
      <w:r>
        <w:rPr>
          <w:rFonts w:hint="eastAsia" w:ascii="宋体" w:hAnsi="宋体" w:eastAsia="宋体" w:cs="宋体"/>
          <w:spacing w:val="11"/>
          <w:sz w:val="21"/>
          <w:szCs w:val="21"/>
        </w:rPr>
        <w:t>换言之,土地国有化政策的实施归根结底是为无产阶级的最终目的而</w:t>
      </w:r>
      <w:r>
        <w:rPr>
          <w:rFonts w:hint="eastAsia" w:ascii="宋体" w:hAnsi="宋体" w:eastAsia="宋体" w:cs="宋体"/>
          <w:spacing w:val="10"/>
          <w:sz w:val="21"/>
          <w:szCs w:val="21"/>
        </w:rPr>
        <w:t>服务的。但</w:t>
      </w:r>
      <w:r>
        <w:rPr>
          <w:rFonts w:hint="eastAsia" w:ascii="宋体" w:hAnsi="宋体" w:eastAsia="宋体" w:cs="宋体"/>
          <w:spacing w:val="13"/>
          <w:sz w:val="21"/>
          <w:szCs w:val="21"/>
        </w:rPr>
        <w:t>是,随着农民起义取得一定成效,农民“一旦达到了目的,他们就贪得无厌地、</w:t>
      </w:r>
    </w:p>
    <w:p w14:paraId="1CA520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7"/>
          <w:sz w:val="21"/>
          <w:szCs w:val="21"/>
        </w:rPr>
        <w:t>疯狂暴戾地回过头来反对他们所不了解的大城市的运动</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07"/>
      </w:r>
      <w:r>
        <w:rPr>
          <w:rFonts w:hint="eastAsia" w:ascii="宋体" w:hAnsi="宋体" w:eastAsia="宋体" w:cs="宋体"/>
          <w:spacing w:val="7"/>
          <w:sz w:val="21"/>
          <w:szCs w:val="21"/>
        </w:rPr>
        <w:t>。即农民在分到土地后</w:t>
      </w:r>
      <w:r>
        <w:rPr>
          <w:rFonts w:hint="eastAsia" w:ascii="宋体" w:hAnsi="宋体" w:eastAsia="宋体" w:cs="宋体"/>
          <w:spacing w:val="10"/>
          <w:sz w:val="21"/>
          <w:szCs w:val="21"/>
        </w:rPr>
        <w:t>由于其自身的特性,他们反对无产阶级的时刻也就愈近。此时,已经建立无产阶</w:t>
      </w:r>
      <w:r>
        <w:rPr>
          <w:rFonts w:hint="eastAsia" w:ascii="宋体" w:hAnsi="宋体" w:eastAsia="宋体" w:cs="宋体"/>
          <w:spacing w:val="12"/>
          <w:sz w:val="21"/>
          <w:szCs w:val="21"/>
        </w:rPr>
        <w:t>级独立组织的社会主义政党更应坚定不移地以阶级斗争为主</w:t>
      </w:r>
      <w:r>
        <w:rPr>
          <w:rFonts w:hint="eastAsia" w:ascii="宋体" w:hAnsi="宋体" w:eastAsia="宋体" w:cs="宋体"/>
          <w:spacing w:val="11"/>
          <w:sz w:val="21"/>
          <w:szCs w:val="21"/>
        </w:rPr>
        <w:t>线,将土地国有化确</w:t>
      </w:r>
      <w:r>
        <w:rPr>
          <w:rFonts w:hint="eastAsia" w:ascii="宋体" w:hAnsi="宋体" w:eastAsia="宋体" w:cs="宋体"/>
          <w:spacing w:val="9"/>
          <w:sz w:val="21"/>
          <w:szCs w:val="21"/>
        </w:rPr>
        <w:t>立为推动资产阶级民主革命向社会主义革命</w:t>
      </w:r>
      <w:r>
        <w:rPr>
          <w:rFonts w:hint="eastAsia" w:ascii="宋体" w:hAnsi="宋体" w:eastAsia="宋体" w:cs="宋体"/>
          <w:spacing w:val="8"/>
          <w:sz w:val="21"/>
          <w:szCs w:val="21"/>
        </w:rPr>
        <w:t>转变的最彻底的措施。</w:t>
      </w:r>
    </w:p>
    <w:p w14:paraId="58BC53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7"/>
          <w:sz w:val="21"/>
          <w:szCs w:val="21"/>
        </w:rPr>
        <w:t>(三)实施原则:坚持因时制宜的方法</w:t>
      </w:r>
    </w:p>
    <w:p w14:paraId="5B6309C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列宁土地国有化理论根据革命实际需要,既坚持原则性又兼顾灵活性。例</w:t>
      </w:r>
      <w:r>
        <w:rPr>
          <w:rFonts w:hint="eastAsia" w:ascii="宋体" w:hAnsi="宋体" w:eastAsia="宋体" w:cs="宋体"/>
          <w:spacing w:val="9"/>
          <w:sz w:val="21"/>
          <w:szCs w:val="21"/>
        </w:rPr>
        <w:t>如,在处理土地与农民的关系这一问题时,马克思恩格斯在《中央委员会告共产</w:t>
      </w:r>
      <w:r>
        <w:rPr>
          <w:rFonts w:hint="eastAsia" w:ascii="宋体" w:hAnsi="宋体" w:eastAsia="宋体" w:cs="宋体"/>
          <w:spacing w:val="12"/>
          <w:sz w:val="21"/>
          <w:szCs w:val="21"/>
        </w:rPr>
        <w:t>主义者同盟书》中主张“把没收下来的封建地产变为国家财产,变成工人农场,</w:t>
      </w:r>
      <w:r>
        <w:rPr>
          <w:rFonts w:hint="eastAsia" w:ascii="宋体" w:hAnsi="宋体" w:eastAsia="宋体" w:cs="宋体"/>
          <w:spacing w:val="13"/>
          <w:sz w:val="21"/>
          <w:szCs w:val="21"/>
        </w:rPr>
        <w:t>由联合起来的农村无产阶级利用大规模农业的一切优点来进行耕种</w:t>
      </w:r>
      <w:r>
        <w:rPr>
          <w:rFonts w:hint="eastAsia" w:ascii="宋体" w:hAnsi="宋体" w:eastAsia="宋体" w:cs="宋体"/>
          <w:spacing w:val="13"/>
          <w:position w:val="5"/>
          <w:sz w:val="21"/>
          <w:szCs w:val="21"/>
        </w:rPr>
        <w:t>”</w:t>
      </w:r>
      <w:r>
        <w:rPr>
          <w:rStyle w:val="20"/>
          <w:rFonts w:hint="eastAsia" w:ascii="宋体" w:hAnsi="宋体" w:eastAsia="宋体" w:cs="宋体"/>
          <w:spacing w:val="13"/>
          <w:position w:val="5"/>
          <w:sz w:val="21"/>
          <w:szCs w:val="21"/>
        </w:rPr>
        <w:footnoteReference w:id="1108"/>
      </w:r>
      <w:r>
        <w:rPr>
          <w:rFonts w:hint="eastAsia" w:ascii="宋体" w:hAnsi="宋体" w:eastAsia="宋体" w:cs="宋体"/>
          <w:spacing w:val="13"/>
          <w:sz w:val="21"/>
          <w:szCs w:val="21"/>
        </w:rPr>
        <w:t>。相比之</w:t>
      </w:r>
      <w:r>
        <w:rPr>
          <w:rFonts w:hint="eastAsia" w:ascii="宋体" w:hAnsi="宋体" w:eastAsia="宋体" w:cs="宋体"/>
          <w:spacing w:val="11"/>
          <w:sz w:val="21"/>
          <w:szCs w:val="21"/>
        </w:rPr>
        <w:t>下,列宁领导的苏维埃政权在革命胜利后的第二天就通过了《土地法令》</w:t>
      </w:r>
      <w:r>
        <w:rPr>
          <w:rFonts w:hint="eastAsia" w:ascii="宋体" w:hAnsi="宋体" w:eastAsia="宋体" w:cs="宋体"/>
          <w:spacing w:val="10"/>
          <w:sz w:val="21"/>
          <w:szCs w:val="21"/>
        </w:rPr>
        <w:t>,废除</w:t>
      </w:r>
      <w:r>
        <w:rPr>
          <w:rFonts w:hint="eastAsia" w:ascii="宋体" w:hAnsi="宋体" w:eastAsia="宋体" w:cs="宋体"/>
          <w:spacing w:val="17"/>
          <w:sz w:val="21"/>
          <w:szCs w:val="21"/>
        </w:rPr>
        <w:t>了土地私有制,同时吸收了社会革命党的合理成分,将土地平均分配给农民使</w:t>
      </w:r>
      <w:r>
        <w:rPr>
          <w:rFonts w:hint="eastAsia" w:ascii="宋体" w:hAnsi="宋体" w:eastAsia="宋体" w:cs="宋体"/>
          <w:spacing w:val="10"/>
          <w:sz w:val="21"/>
          <w:szCs w:val="21"/>
        </w:rPr>
        <w:t>用,即实现土地社会化。这是苏维埃政权为了巩固工农联盟、满足</w:t>
      </w:r>
      <w:r>
        <w:rPr>
          <w:rFonts w:hint="eastAsia" w:ascii="宋体" w:hAnsi="宋体" w:eastAsia="宋体" w:cs="宋体"/>
          <w:spacing w:val="9"/>
          <w:sz w:val="21"/>
          <w:szCs w:val="21"/>
        </w:rPr>
        <w:t>农民的最大需</w:t>
      </w:r>
      <w:r>
        <w:rPr>
          <w:rFonts w:hint="eastAsia" w:ascii="宋体" w:hAnsi="宋体" w:eastAsia="宋体" w:cs="宋体"/>
          <w:spacing w:val="6"/>
          <w:sz w:val="21"/>
          <w:szCs w:val="21"/>
        </w:rPr>
        <w:t>要而作出的“让步”,也是符合当时历史实践的正确选择。</w:t>
      </w:r>
    </w:p>
    <w:p w14:paraId="2FF18FC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159830F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outlineLvl w:val="9"/>
        <w:rPr>
          <w:rFonts w:hint="eastAsia" w:ascii="宋体" w:hAnsi="宋体" w:eastAsia="宋体" w:cs="宋体"/>
          <w:b/>
          <w:bCs/>
          <w:sz w:val="24"/>
          <w:szCs w:val="24"/>
        </w:rPr>
      </w:pPr>
      <w:r>
        <w:rPr>
          <w:rFonts w:hint="eastAsia" w:ascii="宋体" w:hAnsi="宋体" w:eastAsia="宋体" w:cs="宋体"/>
          <w:b/>
          <w:bCs/>
          <w:spacing w:val="8"/>
          <w:sz w:val="24"/>
          <w:szCs w:val="24"/>
        </w:rPr>
        <w:t>四列宁土地国有化理论在俄国的社会主义实践</w:t>
      </w:r>
    </w:p>
    <w:p w14:paraId="326005A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1676CF3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7C65258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马克思十分重视土地国有化问题,提出了一系列富有创意的主</w:t>
      </w:r>
      <w:r>
        <w:rPr>
          <w:rFonts w:hint="eastAsia" w:ascii="宋体" w:hAnsi="宋体" w:eastAsia="宋体" w:cs="宋体"/>
          <w:spacing w:val="10"/>
          <w:sz w:val="21"/>
          <w:szCs w:val="21"/>
        </w:rPr>
        <w:t>张,旨在将部</w:t>
      </w:r>
      <w:r>
        <w:rPr>
          <w:rFonts w:hint="eastAsia" w:ascii="宋体" w:hAnsi="宋体" w:eastAsia="宋体" w:cs="宋体"/>
          <w:spacing w:val="17"/>
          <w:sz w:val="21"/>
          <w:szCs w:val="21"/>
        </w:rPr>
        <w:t>分资本主义国家的土地纳入国有化进程。列宁在马克思土地国有化理论的基础</w:t>
      </w:r>
      <w:r>
        <w:rPr>
          <w:rFonts w:hint="eastAsia" w:ascii="宋体" w:hAnsi="宋体" w:eastAsia="宋体" w:cs="宋体"/>
          <w:spacing w:val="11"/>
          <w:sz w:val="21"/>
          <w:szCs w:val="21"/>
        </w:rPr>
        <w:t>上,紧密结合俄国的历史背景和革命实践,开创性</w:t>
      </w:r>
      <w:r>
        <w:rPr>
          <w:rFonts w:hint="eastAsia" w:ascii="宋体" w:hAnsi="宋体" w:eastAsia="宋体" w:cs="宋体"/>
          <w:spacing w:val="10"/>
          <w:sz w:val="21"/>
          <w:szCs w:val="21"/>
        </w:rPr>
        <w:t>地设计出农民委员会制度。他</w:t>
      </w:r>
      <w:r>
        <w:rPr>
          <w:rFonts w:hint="eastAsia" w:ascii="宋体" w:hAnsi="宋体" w:eastAsia="宋体" w:cs="宋体"/>
          <w:spacing w:val="11"/>
          <w:sz w:val="21"/>
          <w:szCs w:val="21"/>
        </w:rPr>
        <w:t>巧妙地将理论与实践融为一体,并辅以适当的政治条件,同步推进土地国有化运动和无产阶级革命。通过这种方式,探索出了一套特色鲜明的指导土地国有化实</w:t>
      </w:r>
      <w:r>
        <w:rPr>
          <w:rFonts w:hint="eastAsia" w:ascii="宋体" w:hAnsi="宋体" w:eastAsia="宋体" w:cs="宋体"/>
          <w:spacing w:val="8"/>
          <w:sz w:val="21"/>
          <w:szCs w:val="21"/>
        </w:rPr>
        <w:t>践的理论,丰富和发展了马克思的土地国有化理论。</w:t>
      </w:r>
    </w:p>
    <w:p w14:paraId="40CBD09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9"/>
          <w:sz w:val="21"/>
          <w:szCs w:val="21"/>
        </w:rPr>
        <w:t>(一)搭建农民与革命建设的有机联系,充分尊重农民主体地位</w:t>
      </w:r>
    </w:p>
    <w:p w14:paraId="3BF3426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列宁对马克思土地国有化理论的发展之一,在于他十分重视</w:t>
      </w:r>
      <w:r>
        <w:rPr>
          <w:rFonts w:hint="eastAsia" w:ascii="宋体" w:hAnsi="宋体" w:eastAsia="宋体" w:cs="宋体"/>
          <w:spacing w:val="11"/>
          <w:sz w:val="21"/>
          <w:szCs w:val="21"/>
        </w:rPr>
        <w:t>农民在革命中的</w:t>
      </w:r>
      <w:r>
        <w:rPr>
          <w:rFonts w:hint="eastAsia" w:ascii="宋体" w:hAnsi="宋体" w:eastAsia="宋体" w:cs="宋体"/>
          <w:spacing w:val="15"/>
          <w:sz w:val="21"/>
          <w:szCs w:val="21"/>
        </w:rPr>
        <w:t>主体地位,积极调动和发挥农民的积极性,通过农民委员会和农村合作社计划,</w:t>
      </w:r>
      <w:r>
        <w:rPr>
          <w:rFonts w:hint="eastAsia" w:ascii="宋体" w:hAnsi="宋体" w:eastAsia="宋体" w:cs="宋体"/>
          <w:spacing w:val="14"/>
          <w:sz w:val="21"/>
          <w:szCs w:val="21"/>
        </w:rPr>
        <w:t>将俄国土地国有化运动与无产阶级革命紧密结</w:t>
      </w:r>
      <w:r>
        <w:rPr>
          <w:rFonts w:hint="eastAsia" w:ascii="宋体" w:hAnsi="宋体" w:eastAsia="宋体" w:cs="宋体"/>
          <w:spacing w:val="13"/>
          <w:sz w:val="21"/>
          <w:szCs w:val="21"/>
        </w:rPr>
        <w:t>合,使土地革命有了制度基础。在</w:t>
      </w:r>
      <w:r>
        <w:rPr>
          <w:rFonts w:hint="eastAsia" w:ascii="宋体" w:hAnsi="宋体" w:eastAsia="宋体" w:cs="宋体"/>
          <w:spacing w:val="11"/>
          <w:sz w:val="21"/>
          <w:szCs w:val="21"/>
        </w:rPr>
        <w:t>资产阶级民主革命时期,列宁主张在农村中设立名为“农民委员会”的机构,旨</w:t>
      </w:r>
      <w:r>
        <w:rPr>
          <w:rFonts w:hint="eastAsia" w:ascii="宋体" w:hAnsi="宋体" w:eastAsia="宋体" w:cs="宋体"/>
          <w:spacing w:val="7"/>
          <w:sz w:val="21"/>
          <w:szCs w:val="21"/>
        </w:rPr>
        <w:t>在通过解决农村生活中的迫切问题来推进革命。他吸取了1861年土地改革的经验</w:t>
      </w:r>
      <w:r>
        <w:rPr>
          <w:rFonts w:hint="eastAsia" w:ascii="宋体" w:hAnsi="宋体" w:eastAsia="宋体" w:cs="宋体"/>
          <w:spacing w:val="17"/>
          <w:sz w:val="21"/>
          <w:szCs w:val="21"/>
        </w:rPr>
        <w:t>教训,确保农民在委员会中占据主导地位,而非由贵族或地主操控。列宁坚</w:t>
      </w:r>
      <w:r>
        <w:rPr>
          <w:rFonts w:hint="eastAsia" w:ascii="宋体" w:hAnsi="宋体" w:eastAsia="宋体" w:cs="宋体"/>
          <w:spacing w:val="16"/>
          <w:sz w:val="21"/>
          <w:szCs w:val="21"/>
        </w:rPr>
        <w:t>信,</w:t>
      </w:r>
      <w:r>
        <w:rPr>
          <w:rFonts w:hint="eastAsia" w:ascii="宋体" w:hAnsi="宋体" w:eastAsia="宋体" w:cs="宋体"/>
          <w:spacing w:val="7"/>
          <w:sz w:val="21"/>
          <w:szCs w:val="21"/>
        </w:rPr>
        <w:t>“‘农民革命委员会’是农民起义所能走的唯一的道路</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09"/>
      </w:r>
      <w:r>
        <w:rPr>
          <w:rFonts w:hint="eastAsia" w:ascii="宋体" w:hAnsi="宋体" w:eastAsia="宋体" w:cs="宋体"/>
          <w:spacing w:val="7"/>
          <w:sz w:val="21"/>
          <w:szCs w:val="21"/>
        </w:rPr>
        <w:t>。首先,列宁赋予农民</w:t>
      </w:r>
      <w:r>
        <w:rPr>
          <w:rFonts w:hint="eastAsia" w:ascii="宋体" w:hAnsi="宋体" w:eastAsia="宋体" w:cs="宋体"/>
          <w:spacing w:val="19"/>
          <w:sz w:val="21"/>
          <w:szCs w:val="21"/>
        </w:rPr>
        <w:t>委员会以最理想的农民革命运动形式,使其成为“直接推动农民革命运动的杠</w:t>
      </w:r>
      <w:r>
        <w:rPr>
          <w:rFonts w:hint="eastAsia" w:ascii="宋体" w:hAnsi="宋体" w:eastAsia="宋体" w:cs="宋体"/>
          <w:spacing w:val="10"/>
          <w:sz w:val="21"/>
          <w:szCs w:val="21"/>
        </w:rPr>
        <w:t>杆</w:t>
      </w:r>
      <w:r>
        <w:rPr>
          <w:rFonts w:hint="eastAsia" w:ascii="宋体" w:hAnsi="宋体" w:eastAsia="宋体" w:cs="宋体"/>
          <w:spacing w:val="10"/>
          <w:position w:val="5"/>
          <w:sz w:val="21"/>
          <w:szCs w:val="21"/>
        </w:rPr>
        <w:t>”</w:t>
      </w:r>
      <w:r>
        <w:rPr>
          <w:rStyle w:val="20"/>
          <w:rFonts w:hint="eastAsia" w:ascii="宋体" w:hAnsi="宋体" w:eastAsia="宋体" w:cs="宋体"/>
          <w:spacing w:val="10"/>
          <w:position w:val="5"/>
          <w:sz w:val="21"/>
          <w:szCs w:val="21"/>
        </w:rPr>
        <w:footnoteReference w:id="1110"/>
      </w:r>
      <w:r>
        <w:rPr>
          <w:rFonts w:hint="eastAsia" w:ascii="宋体" w:hAnsi="宋体" w:eastAsia="宋体" w:cs="宋体"/>
          <w:spacing w:val="10"/>
          <w:sz w:val="21"/>
          <w:szCs w:val="21"/>
        </w:rPr>
        <w:t>。农民委员会不仅对地主通过土地过度盘剥</w:t>
      </w:r>
      <w:r>
        <w:rPr>
          <w:rFonts w:hint="eastAsia" w:ascii="宋体" w:hAnsi="宋体" w:eastAsia="宋体" w:cs="宋体"/>
          <w:spacing w:val="9"/>
          <w:sz w:val="21"/>
          <w:szCs w:val="21"/>
        </w:rPr>
        <w:t>农民的行为形成了制约,还成功</w:t>
      </w:r>
      <w:r>
        <w:rPr>
          <w:rFonts w:hint="eastAsia" w:ascii="宋体" w:hAnsi="宋体" w:eastAsia="宋体" w:cs="宋体"/>
          <w:spacing w:val="14"/>
          <w:sz w:val="21"/>
          <w:szCs w:val="21"/>
        </w:rPr>
        <w:t>收回了割地,从而破除了农奴制遗留下的残余。农民运动通</w:t>
      </w:r>
      <w:r>
        <w:rPr>
          <w:rFonts w:hint="eastAsia" w:ascii="宋体" w:hAnsi="宋体" w:eastAsia="宋体" w:cs="宋体"/>
          <w:spacing w:val="13"/>
          <w:sz w:val="21"/>
          <w:szCs w:val="21"/>
        </w:rPr>
        <w:t>过农民委员会改造生</w:t>
      </w:r>
      <w:r>
        <w:rPr>
          <w:rFonts w:hint="eastAsia" w:ascii="宋体" w:hAnsi="宋体" w:eastAsia="宋体" w:cs="宋体"/>
          <w:spacing w:val="10"/>
          <w:sz w:val="21"/>
          <w:szCs w:val="21"/>
        </w:rPr>
        <w:t>产关系的动能打开“一堵墙”“一道门”,只有“走出这道门,才能继续往前走,顺着宽广的大道走到头,直到彻底解放俄国全体劳动人民</w:t>
      </w:r>
      <w:r>
        <w:rPr>
          <w:rFonts w:hint="eastAsia" w:ascii="宋体" w:hAnsi="宋体" w:eastAsia="宋体" w:cs="宋体"/>
          <w:spacing w:val="10"/>
          <w:position w:val="5"/>
          <w:sz w:val="21"/>
          <w:szCs w:val="21"/>
        </w:rPr>
        <w:t>”</w:t>
      </w:r>
      <w:r>
        <w:rPr>
          <w:rStyle w:val="20"/>
          <w:rFonts w:hint="eastAsia" w:ascii="宋体" w:hAnsi="宋体" w:eastAsia="宋体" w:cs="宋体"/>
          <w:spacing w:val="10"/>
          <w:position w:val="5"/>
          <w:sz w:val="21"/>
          <w:szCs w:val="21"/>
        </w:rPr>
        <w:footnoteReference w:id="1111"/>
      </w:r>
      <w:r>
        <w:rPr>
          <w:rFonts w:hint="eastAsia" w:ascii="宋体" w:hAnsi="宋体" w:eastAsia="宋体" w:cs="宋体"/>
          <w:spacing w:val="10"/>
          <w:sz w:val="21"/>
          <w:szCs w:val="21"/>
        </w:rPr>
        <w:t>。其次</w:t>
      </w:r>
      <w:r>
        <w:rPr>
          <w:rFonts w:hint="eastAsia" w:ascii="宋体" w:hAnsi="宋体" w:eastAsia="宋体" w:cs="宋体"/>
          <w:spacing w:val="9"/>
          <w:sz w:val="21"/>
          <w:szCs w:val="21"/>
        </w:rPr>
        <w:t>,农民委员会</w:t>
      </w:r>
      <w:r>
        <w:rPr>
          <w:rFonts w:hint="eastAsia" w:ascii="宋体" w:hAnsi="宋体" w:eastAsia="宋体" w:cs="宋体"/>
          <w:spacing w:val="6"/>
          <w:sz w:val="21"/>
          <w:szCs w:val="21"/>
        </w:rPr>
        <w:t>弥补了农民运动中的短板———将农民运动的需求与政治制度联结起来。</w:t>
      </w:r>
      <w:r>
        <w:rPr>
          <w:rFonts w:hint="eastAsia" w:ascii="宋体" w:hAnsi="宋体" w:eastAsia="宋体" w:cs="宋体"/>
          <w:spacing w:val="5"/>
          <w:sz w:val="21"/>
          <w:szCs w:val="21"/>
        </w:rPr>
        <w:t>农民因其</w:t>
      </w:r>
      <w:r>
        <w:rPr>
          <w:rFonts w:hint="eastAsia" w:ascii="宋体" w:hAnsi="宋体" w:eastAsia="宋体" w:cs="宋体"/>
          <w:spacing w:val="14"/>
          <w:sz w:val="21"/>
          <w:szCs w:val="21"/>
        </w:rPr>
        <w:t>阶级局限性而不善于将自身需求与政治制度相</w:t>
      </w:r>
      <w:r>
        <w:rPr>
          <w:rFonts w:hint="eastAsia" w:ascii="宋体" w:hAnsi="宋体" w:eastAsia="宋体" w:cs="宋体"/>
          <w:spacing w:val="13"/>
          <w:sz w:val="21"/>
          <w:szCs w:val="21"/>
        </w:rPr>
        <w:t>关联,往往受政治骗子欺骗。农民</w:t>
      </w:r>
      <w:r>
        <w:rPr>
          <w:rFonts w:hint="eastAsia" w:ascii="宋体" w:hAnsi="宋体" w:eastAsia="宋体" w:cs="宋体"/>
          <w:spacing w:val="14"/>
          <w:sz w:val="21"/>
          <w:szCs w:val="21"/>
        </w:rPr>
        <w:t>委员会的出现,为农民提供了联结政治制度的桥梁,确保其需求能够得到合理的表达和满足。最后,农民委员会自诞生之日起,便明确了自己作为</w:t>
      </w:r>
      <w:r>
        <w:rPr>
          <w:rFonts w:hint="eastAsia" w:ascii="宋体" w:hAnsi="宋体" w:eastAsia="宋体" w:cs="宋体"/>
          <w:spacing w:val="13"/>
          <w:sz w:val="21"/>
          <w:szCs w:val="21"/>
        </w:rPr>
        <w:t>没收土地的执</w:t>
      </w:r>
      <w:r>
        <w:rPr>
          <w:rFonts w:hint="eastAsia" w:ascii="宋体" w:hAnsi="宋体" w:eastAsia="宋体" w:cs="宋体"/>
          <w:spacing w:val="14"/>
          <w:sz w:val="21"/>
          <w:szCs w:val="21"/>
        </w:rPr>
        <w:t>行者的职责,社会民主党也对农民委员会在农民运动中的角</w:t>
      </w:r>
      <w:r>
        <w:rPr>
          <w:rFonts w:hint="eastAsia" w:ascii="宋体" w:hAnsi="宋体" w:eastAsia="宋体" w:cs="宋体"/>
          <w:spacing w:val="13"/>
          <w:sz w:val="21"/>
          <w:szCs w:val="21"/>
        </w:rPr>
        <w:t>色、职责和阶段性目</w:t>
      </w:r>
      <w:r>
        <w:rPr>
          <w:rFonts w:hint="eastAsia" w:ascii="宋体" w:hAnsi="宋体" w:eastAsia="宋体" w:cs="宋体"/>
          <w:spacing w:val="14"/>
          <w:sz w:val="21"/>
          <w:szCs w:val="21"/>
        </w:rPr>
        <w:t>标做出了明确的规范和指导。这些举措无疑激发</w:t>
      </w:r>
      <w:r>
        <w:rPr>
          <w:rFonts w:hint="eastAsia" w:ascii="宋体" w:hAnsi="宋体" w:eastAsia="宋体" w:cs="宋体"/>
          <w:spacing w:val="13"/>
          <w:sz w:val="21"/>
          <w:szCs w:val="21"/>
        </w:rPr>
        <w:t>了农村中激烈的阶级斗争,但这</w:t>
      </w:r>
      <w:r>
        <w:rPr>
          <w:rFonts w:hint="eastAsia" w:ascii="宋体" w:hAnsi="宋体" w:eastAsia="宋体" w:cs="宋体"/>
          <w:spacing w:val="18"/>
          <w:sz w:val="21"/>
          <w:szCs w:val="21"/>
        </w:rPr>
        <w:t>恰是符合当时革命形势的必然选择,即“它将推动反对地主的阶级斗争向前发</w:t>
      </w:r>
      <w:r>
        <w:rPr>
          <w:rFonts w:hint="eastAsia" w:ascii="宋体" w:hAnsi="宋体" w:eastAsia="宋体" w:cs="宋体"/>
          <w:spacing w:val="10"/>
          <w:sz w:val="21"/>
          <w:szCs w:val="21"/>
        </w:rPr>
        <w:t>展,把这种斗争同用革命办法粉碎地主国家紧密地联系起来</w:t>
      </w:r>
      <w:r>
        <w:rPr>
          <w:rFonts w:hint="eastAsia" w:ascii="宋体" w:hAnsi="宋体" w:eastAsia="宋体" w:cs="宋体"/>
          <w:spacing w:val="10"/>
          <w:position w:val="5"/>
          <w:sz w:val="21"/>
          <w:szCs w:val="21"/>
        </w:rPr>
        <w:t>”</w:t>
      </w:r>
      <w:r>
        <w:rPr>
          <w:rStyle w:val="20"/>
          <w:rFonts w:hint="eastAsia" w:ascii="宋体" w:hAnsi="宋体" w:eastAsia="宋体" w:cs="宋体"/>
          <w:spacing w:val="10"/>
          <w:position w:val="5"/>
          <w:sz w:val="21"/>
          <w:szCs w:val="21"/>
        </w:rPr>
        <w:footnoteReference w:id="1112"/>
      </w:r>
      <w:r>
        <w:rPr>
          <w:rFonts w:hint="eastAsia" w:ascii="宋体" w:hAnsi="宋体" w:eastAsia="宋体" w:cs="宋体"/>
          <w:spacing w:val="9"/>
          <w:sz w:val="21"/>
          <w:szCs w:val="21"/>
        </w:rPr>
        <w:t>。在工人阶级政党</w:t>
      </w:r>
      <w:r>
        <w:rPr>
          <w:rFonts w:hint="eastAsia" w:ascii="宋体" w:hAnsi="宋体" w:eastAsia="宋体" w:cs="宋体"/>
          <w:spacing w:val="14"/>
          <w:sz w:val="21"/>
          <w:szCs w:val="21"/>
        </w:rPr>
        <w:t>掌握国家政权后,列宁紧密结合俄国的实际情况,在实践中不断丰富和发展马克思主义土地国有化理论,并积极引导农民走合作化道</w:t>
      </w:r>
      <w:r>
        <w:rPr>
          <w:rFonts w:hint="eastAsia" w:ascii="宋体" w:hAnsi="宋体" w:eastAsia="宋体" w:cs="宋体"/>
          <w:spacing w:val="13"/>
          <w:sz w:val="21"/>
          <w:szCs w:val="21"/>
        </w:rPr>
        <w:t>路,以提高农业生产效率和</w:t>
      </w:r>
      <w:r>
        <w:rPr>
          <w:rFonts w:hint="eastAsia" w:ascii="宋体" w:hAnsi="宋体" w:eastAsia="宋体" w:cs="宋体"/>
          <w:spacing w:val="14"/>
          <w:sz w:val="21"/>
          <w:szCs w:val="21"/>
        </w:rPr>
        <w:t>改善农民的生活条件,还提出“合作社作为资本主义社</w:t>
      </w:r>
      <w:r>
        <w:rPr>
          <w:rFonts w:hint="eastAsia" w:ascii="宋体" w:hAnsi="宋体" w:eastAsia="宋体" w:cs="宋体"/>
          <w:spacing w:val="13"/>
          <w:sz w:val="21"/>
          <w:szCs w:val="21"/>
        </w:rPr>
        <w:t>会中的一个小岛,它不过是一个小商店。如果合作社把土地实行了社会化、工厂实</w:t>
      </w:r>
      <w:r>
        <w:rPr>
          <w:rFonts w:hint="eastAsia" w:ascii="宋体" w:hAnsi="宋体" w:eastAsia="宋体" w:cs="宋体"/>
          <w:spacing w:val="12"/>
          <w:sz w:val="21"/>
          <w:szCs w:val="21"/>
        </w:rPr>
        <w:t>行了国有化的整个社会</w:t>
      </w:r>
      <w:r>
        <w:rPr>
          <w:rFonts w:hint="eastAsia" w:ascii="宋体" w:hAnsi="宋体" w:eastAsia="宋体" w:cs="宋体"/>
          <w:spacing w:val="6"/>
          <w:sz w:val="21"/>
          <w:szCs w:val="21"/>
        </w:rPr>
        <w:t>包括在内,那它就是社会主义</w:t>
      </w:r>
      <w:r>
        <w:rPr>
          <w:rFonts w:hint="eastAsia" w:ascii="宋体" w:hAnsi="宋体" w:eastAsia="宋体" w:cs="宋体"/>
          <w:spacing w:val="6"/>
          <w:position w:val="5"/>
          <w:sz w:val="21"/>
          <w:szCs w:val="21"/>
        </w:rPr>
        <w:t>”</w:t>
      </w:r>
      <w:r>
        <w:rPr>
          <w:rStyle w:val="20"/>
          <w:rFonts w:hint="eastAsia" w:ascii="宋体" w:hAnsi="宋体" w:eastAsia="宋体" w:cs="宋体"/>
          <w:spacing w:val="6"/>
          <w:position w:val="5"/>
          <w:sz w:val="21"/>
          <w:szCs w:val="21"/>
        </w:rPr>
        <w:footnoteReference w:id="1113"/>
      </w:r>
      <w:r>
        <w:rPr>
          <w:rFonts w:hint="eastAsia" w:ascii="宋体" w:hAnsi="宋体" w:eastAsia="宋体" w:cs="宋体"/>
          <w:spacing w:val="6"/>
          <w:sz w:val="21"/>
          <w:szCs w:val="21"/>
        </w:rPr>
        <w:t>。遵循列宁提出的合作制发展方针,1937年苏联</w:t>
      </w:r>
      <w:r>
        <w:rPr>
          <w:rFonts w:hint="eastAsia" w:ascii="宋体" w:hAnsi="宋体" w:eastAsia="宋体" w:cs="宋体"/>
          <w:spacing w:val="12"/>
          <w:sz w:val="21"/>
          <w:szCs w:val="21"/>
        </w:rPr>
        <w:t>完成了农业集体化改造,斯大林据此宣告列宁的合作社计划</w:t>
      </w:r>
      <w:r>
        <w:rPr>
          <w:rFonts w:hint="eastAsia" w:ascii="宋体" w:hAnsi="宋体" w:eastAsia="宋体" w:cs="宋体"/>
          <w:spacing w:val="11"/>
          <w:sz w:val="21"/>
          <w:szCs w:val="21"/>
        </w:rPr>
        <w:t>已圆满完成。</w:t>
      </w:r>
    </w:p>
    <w:p w14:paraId="3BDB2D3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6310119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9"/>
          <w:sz w:val="21"/>
          <w:szCs w:val="21"/>
        </w:rPr>
        <w:t>(二)在革命实践中探索土地国有化的</w:t>
      </w:r>
      <w:r>
        <w:rPr>
          <w:rFonts w:hint="eastAsia" w:ascii="宋体" w:hAnsi="宋体" w:eastAsia="宋体" w:cs="宋体"/>
          <w:b/>
          <w:bCs/>
          <w:spacing w:val="8"/>
          <w:sz w:val="21"/>
          <w:szCs w:val="21"/>
        </w:rPr>
        <w:t>实质及其目标</w:t>
      </w:r>
    </w:p>
    <w:p w14:paraId="7A46D2D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列宁对马克思土地国有化理论的发展之二,在于他在革命实</w:t>
      </w:r>
      <w:r>
        <w:rPr>
          <w:rFonts w:hint="eastAsia" w:ascii="宋体" w:hAnsi="宋体" w:eastAsia="宋体" w:cs="宋体"/>
          <w:spacing w:val="11"/>
          <w:sz w:val="21"/>
          <w:szCs w:val="21"/>
        </w:rPr>
        <w:t>践中逐步探索出</w:t>
      </w:r>
      <w:r>
        <w:rPr>
          <w:rFonts w:hint="eastAsia" w:ascii="宋体" w:hAnsi="宋体" w:eastAsia="宋体" w:cs="宋体"/>
          <w:spacing w:val="14"/>
          <w:sz w:val="21"/>
          <w:szCs w:val="21"/>
        </w:rPr>
        <w:t>了土地国有化的实质及其目标。首先,土地</w:t>
      </w:r>
      <w:r>
        <w:rPr>
          <w:rFonts w:hint="eastAsia" w:ascii="宋体" w:hAnsi="宋体" w:eastAsia="宋体" w:cs="宋体"/>
          <w:spacing w:val="13"/>
          <w:sz w:val="21"/>
          <w:szCs w:val="21"/>
        </w:rPr>
        <w:t>国有化与资本主义之间存在密不可分的联系。在资本主义社会中,土地国有化不仅能够推动资本流入农业领域,还能</w:t>
      </w:r>
      <w:r>
        <w:rPr>
          <w:rFonts w:hint="eastAsia" w:ascii="宋体" w:hAnsi="宋体" w:eastAsia="宋体" w:cs="宋体"/>
          <w:spacing w:val="18"/>
          <w:sz w:val="21"/>
          <w:szCs w:val="21"/>
        </w:rPr>
        <w:t>促进竞争、降低农产品价格,从而助力经济蓬</w:t>
      </w:r>
      <w:r>
        <w:rPr>
          <w:rFonts w:hint="eastAsia" w:ascii="宋体" w:hAnsi="宋体" w:eastAsia="宋体" w:cs="宋体"/>
          <w:spacing w:val="17"/>
          <w:sz w:val="21"/>
          <w:szCs w:val="21"/>
        </w:rPr>
        <w:t>勃发展。这不仅是资本主义“理</w:t>
      </w:r>
      <w:r>
        <w:rPr>
          <w:rFonts w:hint="eastAsia" w:ascii="宋体" w:hAnsi="宋体" w:eastAsia="宋体" w:cs="宋体"/>
          <w:spacing w:val="13"/>
          <w:sz w:val="21"/>
          <w:szCs w:val="21"/>
        </w:rPr>
        <w:t>想”状态的体现,更是“资本主义迅速发展的结果,而且也是资本主义迅速发展</w:t>
      </w:r>
      <w:r>
        <w:rPr>
          <w:rFonts w:hint="eastAsia" w:ascii="宋体" w:hAnsi="宋体" w:eastAsia="宋体" w:cs="宋体"/>
          <w:spacing w:val="15"/>
          <w:sz w:val="21"/>
          <w:szCs w:val="21"/>
        </w:rPr>
        <w:t>的条件</w:t>
      </w:r>
      <w:r>
        <w:rPr>
          <w:rFonts w:hint="eastAsia" w:ascii="宋体" w:hAnsi="宋体" w:eastAsia="宋体" w:cs="宋体"/>
          <w:spacing w:val="15"/>
          <w:position w:val="5"/>
          <w:sz w:val="21"/>
          <w:szCs w:val="21"/>
        </w:rPr>
        <w:t>”</w:t>
      </w:r>
      <w:r>
        <w:rPr>
          <w:rStyle w:val="20"/>
          <w:rFonts w:hint="eastAsia" w:ascii="宋体" w:hAnsi="宋体" w:eastAsia="宋体" w:cs="宋体"/>
          <w:spacing w:val="15"/>
          <w:position w:val="5"/>
          <w:sz w:val="21"/>
          <w:szCs w:val="21"/>
        </w:rPr>
        <w:footnoteReference w:id="1114"/>
      </w:r>
      <w:r>
        <w:rPr>
          <w:rFonts w:hint="eastAsia" w:ascii="宋体" w:hAnsi="宋体" w:eastAsia="宋体" w:cs="宋体"/>
          <w:spacing w:val="15"/>
          <w:sz w:val="21"/>
          <w:szCs w:val="21"/>
        </w:rPr>
        <w:t>。按照这一理论逻辑进行推演,不难发现作为资本主义“最</w:t>
      </w:r>
      <w:r>
        <w:rPr>
          <w:rFonts w:hint="eastAsia" w:ascii="宋体" w:hAnsi="宋体" w:eastAsia="宋体" w:cs="宋体"/>
          <w:spacing w:val="14"/>
          <w:sz w:val="21"/>
          <w:szCs w:val="21"/>
        </w:rPr>
        <w:t>进步的措</w:t>
      </w:r>
      <w:r>
        <w:rPr>
          <w:rFonts w:hint="eastAsia" w:ascii="宋体" w:hAnsi="宋体" w:eastAsia="宋体" w:cs="宋体"/>
          <w:spacing w:val="19"/>
          <w:sz w:val="21"/>
          <w:szCs w:val="21"/>
        </w:rPr>
        <w:t>施”的土地国有化,在资本主义高度发展的阶段出现的可能性并不大,反而在</w:t>
      </w:r>
      <w:r>
        <w:rPr>
          <w:rFonts w:hint="eastAsia" w:ascii="宋体" w:hAnsi="宋体" w:eastAsia="宋体" w:cs="宋体"/>
          <w:spacing w:val="11"/>
          <w:sz w:val="21"/>
          <w:szCs w:val="21"/>
        </w:rPr>
        <w:t>“年轻的”资本主义社会里更有可能实现。因为资本主义初期其内部矛盾与阶级</w:t>
      </w:r>
      <w:r>
        <w:rPr>
          <w:rFonts w:hint="eastAsia" w:ascii="宋体" w:hAnsi="宋体" w:eastAsia="宋体" w:cs="宋体"/>
          <w:spacing w:val="9"/>
          <w:sz w:val="21"/>
          <w:szCs w:val="21"/>
        </w:rPr>
        <w:t>对立尚未达到尖锐的程度,资产阶级也尚未培养出一定数量的自己的“掘墓人”。在这样的背景下,土地国有化更有可能成为资本主义的“最进步的措施”。</w:t>
      </w:r>
    </w:p>
    <w:p w14:paraId="4E61678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其次,列宁敏锐地洞察到,俄国土地占有制中残留着</w:t>
      </w:r>
      <w:r>
        <w:rPr>
          <w:rFonts w:hint="eastAsia" w:ascii="宋体" w:hAnsi="宋体" w:eastAsia="宋体" w:cs="宋体"/>
          <w:spacing w:val="15"/>
          <w:sz w:val="21"/>
          <w:szCs w:val="21"/>
        </w:rPr>
        <w:t>大量的封建农奴制度,</w:t>
      </w:r>
      <w:r>
        <w:rPr>
          <w:rFonts w:hint="eastAsia" w:ascii="宋体" w:hAnsi="宋体" w:eastAsia="宋体" w:cs="宋体"/>
          <w:spacing w:val="12"/>
          <w:sz w:val="21"/>
          <w:szCs w:val="21"/>
        </w:rPr>
        <w:t>而工业资本主义的发展与农村的落后状态之间形成了鲜明</w:t>
      </w:r>
      <w:r>
        <w:rPr>
          <w:rFonts w:hint="eastAsia" w:ascii="宋体" w:hAnsi="宋体" w:eastAsia="宋体" w:cs="宋体"/>
          <w:spacing w:val="11"/>
          <w:sz w:val="21"/>
          <w:szCs w:val="21"/>
        </w:rPr>
        <w:t>对立,不仅加剧了社会矛盾,还激发了人民进行资产阶级革命的决心与热情。</w:t>
      </w:r>
      <w:r>
        <w:rPr>
          <w:rFonts w:hint="eastAsia" w:ascii="宋体" w:hAnsi="宋体" w:eastAsia="宋体" w:cs="宋体"/>
          <w:spacing w:val="10"/>
          <w:sz w:val="21"/>
          <w:szCs w:val="21"/>
        </w:rPr>
        <w:t>在革命的洪流中,除了工人阶级这一最彻底的革命力量外,还涌现出两类重要的革命群体。一类是“激进的资产者”即俄国农民,他们手中无地,深受封建农奴制度</w:t>
      </w:r>
      <w:r>
        <w:rPr>
          <w:rFonts w:hint="eastAsia" w:ascii="宋体" w:hAnsi="宋体" w:eastAsia="宋体" w:cs="宋体"/>
          <w:spacing w:val="9"/>
          <w:sz w:val="21"/>
          <w:szCs w:val="21"/>
        </w:rPr>
        <w:t>的压迫,因此并不惧</w:t>
      </w:r>
      <w:r>
        <w:rPr>
          <w:rFonts w:hint="eastAsia" w:ascii="宋体" w:hAnsi="宋体" w:eastAsia="宋体" w:cs="宋体"/>
          <w:spacing w:val="11"/>
          <w:sz w:val="21"/>
          <w:szCs w:val="21"/>
        </w:rPr>
        <w:t>怕无产阶级对私有制的挑战。沉重的压迫使得农民与工人阶级并肩作战,共</w:t>
      </w:r>
      <w:r>
        <w:rPr>
          <w:rFonts w:hint="eastAsia" w:ascii="宋体" w:hAnsi="宋体" w:eastAsia="宋体" w:cs="宋体"/>
          <w:spacing w:val="10"/>
          <w:sz w:val="21"/>
          <w:szCs w:val="21"/>
        </w:rPr>
        <w:t>同反</w:t>
      </w:r>
      <w:r>
        <w:rPr>
          <w:rFonts w:hint="eastAsia" w:ascii="宋体" w:hAnsi="宋体" w:eastAsia="宋体" w:cs="宋体"/>
          <w:spacing w:val="17"/>
          <w:sz w:val="21"/>
          <w:szCs w:val="21"/>
        </w:rPr>
        <w:t>抗封建农奴土地所有制。另一类是尚未获得土地的资产阶级,他们同样渴望变</w:t>
      </w:r>
      <w:r>
        <w:rPr>
          <w:rFonts w:hint="eastAsia" w:ascii="宋体" w:hAnsi="宋体" w:eastAsia="宋体" w:cs="宋体"/>
          <w:spacing w:val="3"/>
          <w:sz w:val="21"/>
          <w:szCs w:val="21"/>
        </w:rPr>
        <w:t>革,愿意为实现“彻底的‘土地解放’,即国有化</w:t>
      </w:r>
      <w:r>
        <w:rPr>
          <w:rFonts w:hint="eastAsia" w:ascii="宋体" w:hAnsi="宋体" w:eastAsia="宋体" w:cs="宋体"/>
          <w:spacing w:val="3"/>
          <w:position w:val="5"/>
          <w:sz w:val="21"/>
          <w:szCs w:val="21"/>
        </w:rPr>
        <w:t>”</w:t>
      </w:r>
      <w:r>
        <w:rPr>
          <w:rStyle w:val="20"/>
          <w:rFonts w:hint="eastAsia" w:ascii="宋体" w:hAnsi="宋体" w:eastAsia="宋体" w:cs="宋体"/>
          <w:spacing w:val="3"/>
          <w:position w:val="5"/>
          <w:sz w:val="21"/>
          <w:szCs w:val="21"/>
        </w:rPr>
        <w:footnoteReference w:id="1115"/>
      </w:r>
      <w:r>
        <w:rPr>
          <w:rFonts w:hint="eastAsia" w:ascii="宋体" w:hAnsi="宋体" w:eastAsia="宋体" w:cs="宋体"/>
          <w:spacing w:val="2"/>
          <w:sz w:val="21"/>
          <w:szCs w:val="21"/>
        </w:rPr>
        <w:t>而努力斗争。</w:t>
      </w:r>
    </w:p>
    <w:p w14:paraId="1CECCF5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最后,在农民资产阶级革命及其动力问题上,列宁强调,革命的成</w:t>
      </w:r>
      <w:r>
        <w:rPr>
          <w:rFonts w:hint="eastAsia" w:ascii="宋体" w:hAnsi="宋体" w:eastAsia="宋体" w:cs="宋体"/>
          <w:spacing w:val="11"/>
          <w:sz w:val="21"/>
          <w:szCs w:val="21"/>
        </w:rPr>
        <w:t>功经验充</w:t>
      </w:r>
      <w:r>
        <w:rPr>
          <w:rFonts w:hint="eastAsia" w:ascii="宋体" w:hAnsi="宋体" w:eastAsia="宋体" w:cs="宋体"/>
          <w:spacing w:val="15"/>
          <w:sz w:val="21"/>
          <w:szCs w:val="21"/>
        </w:rPr>
        <w:t>分表明,“俄国革命只有作为农民土地革命才能获得胜利,而土地革命不实行土</w:t>
      </w:r>
      <w:r>
        <w:rPr>
          <w:rFonts w:hint="eastAsia" w:ascii="宋体" w:hAnsi="宋体" w:eastAsia="宋体" w:cs="宋体"/>
          <w:spacing w:val="6"/>
          <w:sz w:val="21"/>
          <w:szCs w:val="21"/>
        </w:rPr>
        <w:t>地国有化是不能全部完成其历史使命的</w:t>
      </w:r>
      <w:r>
        <w:rPr>
          <w:rFonts w:hint="eastAsia" w:ascii="宋体" w:hAnsi="宋体" w:eastAsia="宋体" w:cs="宋体"/>
          <w:spacing w:val="6"/>
          <w:position w:val="5"/>
          <w:sz w:val="21"/>
          <w:szCs w:val="21"/>
        </w:rPr>
        <w:t>”</w:t>
      </w:r>
      <w:r>
        <w:rPr>
          <w:rStyle w:val="20"/>
          <w:rFonts w:hint="eastAsia" w:ascii="宋体" w:hAnsi="宋体" w:eastAsia="宋体" w:cs="宋体"/>
          <w:spacing w:val="6"/>
          <w:position w:val="5"/>
          <w:sz w:val="21"/>
          <w:szCs w:val="21"/>
        </w:rPr>
        <w:footnoteReference w:id="1116"/>
      </w:r>
      <w:r>
        <w:rPr>
          <w:rFonts w:hint="eastAsia" w:ascii="宋体" w:hAnsi="宋体" w:eastAsia="宋体" w:cs="宋体"/>
          <w:spacing w:val="6"/>
          <w:sz w:val="21"/>
          <w:szCs w:val="21"/>
        </w:rPr>
        <w:t>,针对党内一些人关于“国有化只有在</w:t>
      </w:r>
      <w:r>
        <w:rPr>
          <w:rFonts w:hint="eastAsia" w:ascii="宋体" w:hAnsi="宋体" w:eastAsia="宋体" w:cs="宋体"/>
          <w:spacing w:val="10"/>
          <w:sz w:val="21"/>
          <w:szCs w:val="21"/>
        </w:rPr>
        <w:t>资本主义高度发展的阶段,只有在资本主义已经为‘土地占有者脱离农业’(通</w:t>
      </w:r>
      <w:r>
        <w:rPr>
          <w:rFonts w:hint="eastAsia" w:ascii="宋体" w:hAnsi="宋体" w:eastAsia="宋体" w:cs="宋体"/>
          <w:spacing w:val="9"/>
          <w:sz w:val="21"/>
          <w:szCs w:val="21"/>
        </w:rPr>
        <w:t>过出租和抵押)完全创造好条件的时候,才可能实现</w:t>
      </w:r>
      <w:r>
        <w:rPr>
          <w:rFonts w:hint="eastAsia" w:ascii="宋体" w:hAnsi="宋体" w:eastAsia="宋体" w:cs="宋体"/>
          <w:spacing w:val="9"/>
          <w:position w:val="5"/>
          <w:sz w:val="21"/>
          <w:szCs w:val="21"/>
        </w:rPr>
        <w:t>”</w:t>
      </w:r>
      <w:r>
        <w:rPr>
          <w:rStyle w:val="20"/>
          <w:rFonts w:hint="eastAsia" w:ascii="宋体" w:hAnsi="宋体" w:eastAsia="宋体" w:cs="宋体"/>
          <w:spacing w:val="9"/>
          <w:position w:val="5"/>
          <w:sz w:val="21"/>
          <w:szCs w:val="21"/>
        </w:rPr>
        <w:footnoteReference w:id="1117"/>
      </w:r>
      <w:r>
        <w:rPr>
          <w:rFonts w:hint="eastAsia" w:ascii="宋体" w:hAnsi="宋体" w:eastAsia="宋体" w:cs="宋体"/>
          <w:spacing w:val="9"/>
          <w:sz w:val="21"/>
          <w:szCs w:val="21"/>
        </w:rPr>
        <w:t>的观点,列宁进行了有</w:t>
      </w:r>
      <w:r>
        <w:rPr>
          <w:rFonts w:hint="eastAsia" w:ascii="宋体" w:hAnsi="宋体" w:eastAsia="宋体" w:cs="宋体"/>
          <w:spacing w:val="8"/>
          <w:sz w:val="21"/>
          <w:szCs w:val="21"/>
        </w:rPr>
        <w:t>力的反驳。他坚信,在资本主义尚处于“年轻”阶段时,土地国有化的实现可能</w:t>
      </w:r>
      <w:r>
        <w:rPr>
          <w:rFonts w:hint="eastAsia" w:ascii="宋体" w:hAnsi="宋体" w:eastAsia="宋体" w:cs="宋体"/>
          <w:spacing w:val="11"/>
          <w:sz w:val="21"/>
          <w:szCs w:val="21"/>
        </w:rPr>
        <w:t>性更大。这一观点不仅为俄国的土地改革提供了理论支撑,也为其他国</w:t>
      </w:r>
      <w:r>
        <w:rPr>
          <w:rFonts w:hint="eastAsia" w:ascii="宋体" w:hAnsi="宋体" w:eastAsia="宋体" w:cs="宋体"/>
          <w:spacing w:val="10"/>
          <w:sz w:val="21"/>
          <w:szCs w:val="21"/>
        </w:rPr>
        <w:t>家的社会</w:t>
      </w:r>
      <w:r>
        <w:rPr>
          <w:rFonts w:hint="eastAsia" w:ascii="宋体" w:hAnsi="宋体" w:eastAsia="宋体" w:cs="宋体"/>
          <w:spacing w:val="7"/>
          <w:sz w:val="21"/>
          <w:szCs w:val="21"/>
        </w:rPr>
        <w:t>主义革命和建设提供了十分有益的启示。</w:t>
      </w:r>
    </w:p>
    <w:p w14:paraId="5F37010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(三)深入探索土地国有化实现的政治条件</w:t>
      </w:r>
    </w:p>
    <w:p w14:paraId="16F4AC7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列宁对马克思土地国有化理论的发展之三,在于他深入探索</w:t>
      </w:r>
      <w:r>
        <w:rPr>
          <w:rFonts w:hint="eastAsia" w:ascii="宋体" w:hAnsi="宋体" w:eastAsia="宋体" w:cs="宋体"/>
          <w:spacing w:val="11"/>
          <w:sz w:val="21"/>
          <w:szCs w:val="21"/>
        </w:rPr>
        <w:t>了土地国有化实现的政治条件。在革命初期,列宁曾认为土地国有化与民主政治制度之间存在绝对的对立关系。他担心在不具备民主政治制度基础上实行土地国有化</w:t>
      </w:r>
      <w:r>
        <w:rPr>
          <w:rFonts w:hint="eastAsia" w:ascii="宋体" w:hAnsi="宋体" w:eastAsia="宋体" w:cs="宋体"/>
          <w:spacing w:val="10"/>
          <w:sz w:val="21"/>
          <w:szCs w:val="21"/>
        </w:rPr>
        <w:t>,可能会出</w:t>
      </w:r>
      <w:r>
        <w:rPr>
          <w:rFonts w:hint="eastAsia" w:ascii="宋体" w:hAnsi="宋体" w:eastAsia="宋体" w:cs="宋体"/>
          <w:spacing w:val="8"/>
          <w:sz w:val="21"/>
          <w:szCs w:val="21"/>
        </w:rPr>
        <w:t>现“使人忽视农奴制的最突出的表现和最厉害的残余</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118"/>
      </w:r>
      <w:r>
        <w:rPr>
          <w:rFonts w:hint="eastAsia" w:ascii="宋体" w:hAnsi="宋体" w:eastAsia="宋体" w:cs="宋体"/>
          <w:spacing w:val="8"/>
          <w:sz w:val="21"/>
          <w:szCs w:val="21"/>
        </w:rPr>
        <w:t>的问题。随着革命的发</w:t>
      </w:r>
      <w:r>
        <w:rPr>
          <w:rFonts w:hint="eastAsia" w:ascii="宋体" w:hAnsi="宋体" w:eastAsia="宋体" w:cs="宋体"/>
          <w:spacing w:val="11"/>
          <w:sz w:val="21"/>
          <w:szCs w:val="21"/>
        </w:rPr>
        <w:t>展,列宁逐渐改变了这一观点。他提出土地国有化需要有特定的政治条件作为前</w:t>
      </w:r>
      <w:r>
        <w:rPr>
          <w:rFonts w:hint="eastAsia" w:ascii="宋体" w:hAnsi="宋体" w:eastAsia="宋体" w:cs="宋体"/>
          <w:spacing w:val="6"/>
          <w:sz w:val="21"/>
          <w:szCs w:val="21"/>
        </w:rPr>
        <w:t>提。在1906年撰写的《修改工人政党的土地</w:t>
      </w:r>
      <w:r>
        <w:rPr>
          <w:rFonts w:hint="eastAsia" w:ascii="宋体" w:hAnsi="宋体" w:eastAsia="宋体" w:cs="宋体"/>
          <w:spacing w:val="5"/>
          <w:sz w:val="21"/>
          <w:szCs w:val="21"/>
        </w:rPr>
        <w:t>纲领》中,他明确提出“没收地主</w:t>
      </w:r>
      <w:r>
        <w:rPr>
          <w:rFonts w:hint="eastAsia" w:ascii="宋体" w:hAnsi="宋体" w:eastAsia="宋体" w:cs="宋体"/>
          <w:spacing w:val="7"/>
          <w:sz w:val="21"/>
          <w:szCs w:val="21"/>
        </w:rPr>
        <w:t>土地,并在一定政治条件下实行土地国有</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19"/>
      </w:r>
      <w:r>
        <w:rPr>
          <w:rFonts w:hint="eastAsia" w:ascii="宋体" w:hAnsi="宋体" w:eastAsia="宋体" w:cs="宋体"/>
          <w:spacing w:val="7"/>
          <w:sz w:val="21"/>
          <w:szCs w:val="21"/>
        </w:rPr>
        <w:t>,并强调“只有在一定的政治条件下才是有益的</w:t>
      </w:r>
      <w:r>
        <w:rPr>
          <w:rFonts w:hint="eastAsia" w:ascii="宋体" w:hAnsi="宋体" w:eastAsia="宋体" w:cs="宋体"/>
          <w:spacing w:val="7"/>
          <w:position w:val="5"/>
          <w:sz w:val="21"/>
          <w:szCs w:val="21"/>
        </w:rPr>
        <w:t>”</w:t>
      </w:r>
      <w:r>
        <w:rPr>
          <w:rStyle w:val="20"/>
          <w:rFonts w:hint="eastAsia" w:ascii="宋体" w:hAnsi="宋体" w:eastAsia="宋体" w:cs="宋体"/>
          <w:spacing w:val="7"/>
          <w:position w:val="5"/>
          <w:sz w:val="21"/>
          <w:szCs w:val="21"/>
        </w:rPr>
        <w:footnoteReference w:id="1120"/>
      </w:r>
      <w:r>
        <w:rPr>
          <w:rFonts w:hint="eastAsia" w:ascii="宋体" w:hAnsi="宋体" w:eastAsia="宋体" w:cs="宋体"/>
          <w:spacing w:val="7"/>
          <w:sz w:val="21"/>
          <w:szCs w:val="21"/>
        </w:rPr>
        <w:t>。随着时间的推移,列宁对土地国有化与政治条件的关系有了更深</w:t>
      </w:r>
      <w:r>
        <w:rPr>
          <w:rFonts w:hint="eastAsia" w:ascii="宋体" w:hAnsi="宋体" w:eastAsia="宋体" w:cs="宋体"/>
          <w:spacing w:val="8"/>
          <w:sz w:val="21"/>
          <w:szCs w:val="21"/>
        </w:rPr>
        <w:t>一层的认知。在杜马答词中,他公开表达了“既不给土地,也不给自由</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121"/>
      </w:r>
      <w:r>
        <w:rPr>
          <w:rFonts w:hint="eastAsia" w:ascii="宋体" w:hAnsi="宋体" w:eastAsia="宋体" w:cs="宋体"/>
          <w:spacing w:val="8"/>
          <w:sz w:val="21"/>
          <w:szCs w:val="21"/>
        </w:rPr>
        <w:t>的态</w:t>
      </w:r>
      <w:r>
        <w:rPr>
          <w:rFonts w:hint="eastAsia" w:ascii="宋体" w:hAnsi="宋体" w:eastAsia="宋体" w:cs="宋体"/>
          <w:spacing w:val="18"/>
          <w:sz w:val="21"/>
          <w:szCs w:val="21"/>
        </w:rPr>
        <w:t>度,号召农民为了土地和自由而斗争,将土地革命与政治革命的重要性同等视</w:t>
      </w:r>
      <w:r>
        <w:rPr>
          <w:rFonts w:hint="eastAsia" w:ascii="宋体" w:hAnsi="宋体" w:eastAsia="宋体" w:cs="宋体"/>
          <w:spacing w:val="11"/>
          <w:sz w:val="21"/>
          <w:szCs w:val="21"/>
        </w:rPr>
        <w:t>之,并提出“如果你们想把土地革命进行到底,你们就必须把政治革命也进行到</w:t>
      </w:r>
      <w:r>
        <w:rPr>
          <w:rFonts w:hint="eastAsia" w:ascii="宋体" w:hAnsi="宋体" w:eastAsia="宋体" w:cs="宋体"/>
          <w:spacing w:val="12"/>
          <w:sz w:val="21"/>
          <w:szCs w:val="21"/>
        </w:rPr>
        <w:t>底;没有彻底的政治革命,就根本不会有土地革命或者不会有比较巩固的土</w:t>
      </w:r>
      <w:r>
        <w:rPr>
          <w:rFonts w:hint="eastAsia" w:ascii="宋体" w:hAnsi="宋体" w:eastAsia="宋体" w:cs="宋体"/>
          <w:spacing w:val="11"/>
          <w:sz w:val="21"/>
          <w:szCs w:val="21"/>
        </w:rPr>
        <w:t>地革</w:t>
      </w:r>
      <w:r>
        <w:rPr>
          <w:rFonts w:hint="eastAsia" w:ascii="宋体" w:hAnsi="宋体" w:eastAsia="宋体" w:cs="宋体"/>
          <w:spacing w:val="-10"/>
          <w:w w:val="82"/>
          <w:sz w:val="21"/>
          <w:szCs w:val="21"/>
        </w:rPr>
        <w:t>命</w:t>
      </w:r>
      <w:r>
        <w:rPr>
          <w:rFonts w:hint="eastAsia" w:ascii="宋体" w:hAnsi="宋体" w:eastAsia="宋体" w:cs="宋体"/>
          <w:spacing w:val="-10"/>
          <w:w w:val="82"/>
          <w:position w:val="5"/>
          <w:sz w:val="21"/>
          <w:szCs w:val="21"/>
        </w:rPr>
        <w:t>”</w:t>
      </w:r>
      <w:r>
        <w:rPr>
          <w:rStyle w:val="20"/>
          <w:rFonts w:hint="eastAsia" w:ascii="宋体" w:hAnsi="宋体" w:eastAsia="宋体" w:cs="宋体"/>
          <w:spacing w:val="-10"/>
          <w:w w:val="82"/>
          <w:position w:val="5"/>
          <w:sz w:val="21"/>
          <w:szCs w:val="21"/>
        </w:rPr>
        <w:footnoteReference w:id="1122"/>
      </w:r>
      <w:r>
        <w:rPr>
          <w:rFonts w:hint="eastAsia" w:ascii="宋体" w:hAnsi="宋体" w:eastAsia="宋体" w:cs="宋体"/>
          <w:spacing w:val="10"/>
          <w:sz w:val="21"/>
          <w:szCs w:val="21"/>
        </w:rPr>
        <w:t>。由此可见,列宁在深入探索土地国有化的重要性与复杂性的同时,将土地</w:t>
      </w:r>
      <w:r>
        <w:rPr>
          <w:rFonts w:hint="eastAsia" w:ascii="宋体" w:hAnsi="宋体" w:eastAsia="宋体" w:cs="宋体"/>
          <w:spacing w:val="9"/>
          <w:sz w:val="21"/>
          <w:szCs w:val="21"/>
        </w:rPr>
        <w:t>国有化运动与无产阶级革命目的相结合,展现出强烈的现</w:t>
      </w:r>
      <w:r>
        <w:rPr>
          <w:rFonts w:hint="eastAsia" w:ascii="宋体" w:hAnsi="宋体" w:eastAsia="宋体" w:cs="宋体"/>
          <w:spacing w:val="8"/>
          <w:sz w:val="21"/>
          <w:szCs w:val="21"/>
        </w:rPr>
        <w:t>实性。</w:t>
      </w:r>
    </w:p>
    <w:p w14:paraId="7963154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45BEC46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outlineLvl w:val="9"/>
        <w:rPr>
          <w:rFonts w:hint="eastAsia" w:ascii="宋体" w:hAnsi="宋体" w:eastAsia="宋体" w:cs="宋体"/>
          <w:b/>
          <w:bCs/>
          <w:sz w:val="24"/>
          <w:szCs w:val="24"/>
        </w:rPr>
      </w:pPr>
      <w:r>
        <w:rPr>
          <w:rFonts w:hint="eastAsia" w:ascii="宋体" w:hAnsi="宋体" w:eastAsia="宋体" w:cs="宋体"/>
          <w:b/>
          <w:bCs/>
          <w:spacing w:val="7"/>
          <w:sz w:val="24"/>
          <w:szCs w:val="24"/>
        </w:rPr>
        <w:t>五列宁土地国有化理论的当代启示</w:t>
      </w:r>
    </w:p>
    <w:p w14:paraId="11889DB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10DFB32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31652EB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列宁的土地国有化理论为中国土地制度的建立提供了理论指导,启</w:t>
      </w:r>
      <w:r>
        <w:rPr>
          <w:rFonts w:hint="eastAsia" w:ascii="宋体" w:hAnsi="宋体" w:eastAsia="宋体" w:cs="宋体"/>
          <w:spacing w:val="11"/>
          <w:sz w:val="21"/>
          <w:szCs w:val="21"/>
        </w:rPr>
        <w:t>发中国共</w:t>
      </w:r>
      <w:r>
        <w:rPr>
          <w:rFonts w:hint="eastAsia" w:ascii="宋体" w:hAnsi="宋体" w:eastAsia="宋体" w:cs="宋体"/>
          <w:spacing w:val="18"/>
          <w:sz w:val="21"/>
          <w:szCs w:val="21"/>
        </w:rPr>
        <w:t>产党确立土地归国家所有的基本原则,为之后的土地改革提供了重要的</w:t>
      </w:r>
      <w:r>
        <w:rPr>
          <w:rFonts w:hint="eastAsia" w:ascii="宋体" w:hAnsi="宋体" w:eastAsia="宋体" w:cs="宋体"/>
          <w:spacing w:val="17"/>
          <w:sz w:val="21"/>
          <w:szCs w:val="21"/>
        </w:rPr>
        <w:t>理论支</w:t>
      </w:r>
      <w:r>
        <w:rPr>
          <w:rFonts w:hint="eastAsia" w:ascii="宋体" w:hAnsi="宋体" w:eastAsia="宋体" w:cs="宋体"/>
          <w:spacing w:val="11"/>
          <w:sz w:val="21"/>
          <w:szCs w:val="21"/>
        </w:rPr>
        <w:t>撑。新中国成立以后,我国积极学习借鉴苏联模式,推动了具有</w:t>
      </w:r>
      <w:r>
        <w:rPr>
          <w:rFonts w:hint="eastAsia" w:ascii="宋体" w:hAnsi="宋体" w:eastAsia="宋体" w:cs="宋体"/>
          <w:spacing w:val="10"/>
          <w:sz w:val="21"/>
          <w:szCs w:val="21"/>
        </w:rPr>
        <w:t>中国特色的农村</w:t>
      </w:r>
      <w:r>
        <w:rPr>
          <w:rFonts w:hint="eastAsia" w:ascii="宋体" w:hAnsi="宋体" w:eastAsia="宋体" w:cs="宋体"/>
          <w:spacing w:val="12"/>
          <w:sz w:val="21"/>
          <w:szCs w:val="21"/>
        </w:rPr>
        <w:t>土地集体所有发展模式的形成,为农业生产</w:t>
      </w:r>
      <w:r>
        <w:rPr>
          <w:rFonts w:hint="eastAsia" w:ascii="宋体" w:hAnsi="宋体" w:eastAsia="宋体" w:cs="宋体"/>
          <w:spacing w:val="11"/>
          <w:sz w:val="21"/>
          <w:szCs w:val="21"/>
        </w:rPr>
        <w:t>的恢复和发展奠定了坚实的基础,逐步形成了符合中国实际的土地政策和制度。进入新时代,列宁的土地国</w:t>
      </w:r>
      <w:r>
        <w:rPr>
          <w:rFonts w:hint="eastAsia" w:ascii="宋体" w:hAnsi="宋体" w:eastAsia="宋体" w:cs="宋体"/>
          <w:spacing w:val="10"/>
          <w:sz w:val="21"/>
          <w:szCs w:val="21"/>
        </w:rPr>
        <w:t>有化理论</w:t>
      </w:r>
      <w:r>
        <w:rPr>
          <w:rFonts w:hint="eastAsia" w:ascii="宋体" w:hAnsi="宋体" w:eastAsia="宋体" w:cs="宋体"/>
          <w:spacing w:val="8"/>
          <w:sz w:val="21"/>
          <w:szCs w:val="21"/>
        </w:rPr>
        <w:t>依然闪耀着智慧的光芒,具有重要的启示意义。</w:t>
      </w:r>
    </w:p>
    <w:p w14:paraId="19A8C71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(一)制度方向:坚持社会主义土地公有制,完善土地制度顶层设计</w:t>
      </w:r>
    </w:p>
    <w:p w14:paraId="31B0BD1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俄国的农奴制改革虽有一定成效,但并未从根源上改变贫困农民受剥削的悲</w:t>
      </w:r>
      <w:r>
        <w:rPr>
          <w:rFonts w:hint="eastAsia" w:ascii="宋体" w:hAnsi="宋体" w:eastAsia="宋体" w:cs="宋体"/>
          <w:spacing w:val="11"/>
          <w:sz w:val="21"/>
          <w:szCs w:val="21"/>
        </w:rPr>
        <w:t>惨命运。为了实现土地真正的公有制和解放农村生产力</w:t>
      </w:r>
      <w:r>
        <w:rPr>
          <w:rFonts w:hint="eastAsia" w:ascii="宋体" w:hAnsi="宋体" w:eastAsia="宋体" w:cs="宋体"/>
          <w:spacing w:val="10"/>
          <w:sz w:val="21"/>
          <w:szCs w:val="21"/>
        </w:rPr>
        <w:t>,唯有通过革命的方式彻</w:t>
      </w:r>
      <w:r>
        <w:rPr>
          <w:rFonts w:hint="eastAsia" w:ascii="宋体" w:hAnsi="宋体" w:eastAsia="宋体" w:cs="宋体"/>
          <w:spacing w:val="11"/>
          <w:sz w:val="21"/>
          <w:szCs w:val="21"/>
        </w:rPr>
        <w:t>底摧毁封建土地私有制的根基。在资产阶级民主革命的浪潮中,列宁巧妙地借助</w:t>
      </w:r>
      <w:r>
        <w:rPr>
          <w:rFonts w:hint="eastAsia" w:ascii="宋体" w:hAnsi="宋体" w:eastAsia="宋体" w:cs="宋体"/>
          <w:spacing w:val="12"/>
          <w:sz w:val="21"/>
          <w:szCs w:val="21"/>
        </w:rPr>
        <w:t>农民委员会的力量,推动农民运动蓬勃发展,深化</w:t>
      </w:r>
      <w:r>
        <w:rPr>
          <w:rFonts w:hint="eastAsia" w:ascii="宋体" w:hAnsi="宋体" w:eastAsia="宋体" w:cs="宋体"/>
          <w:spacing w:val="11"/>
          <w:sz w:val="21"/>
          <w:szCs w:val="21"/>
        </w:rPr>
        <w:t>农村土地关系的改革,为土地国有化的实现创造了有利的过渡条件。进入社会主义革命时期,列宁主张农村合</w:t>
      </w:r>
      <w:r>
        <w:rPr>
          <w:rFonts w:hint="eastAsia" w:ascii="宋体" w:hAnsi="宋体" w:eastAsia="宋体" w:cs="宋体"/>
          <w:spacing w:val="18"/>
          <w:sz w:val="21"/>
          <w:szCs w:val="21"/>
        </w:rPr>
        <w:t>作社计划,积极实行集体主义原则,坚持社</w:t>
      </w:r>
      <w:r>
        <w:rPr>
          <w:rFonts w:hint="eastAsia" w:ascii="宋体" w:hAnsi="宋体" w:eastAsia="宋体" w:cs="宋体"/>
          <w:spacing w:val="17"/>
          <w:sz w:val="21"/>
          <w:szCs w:val="21"/>
        </w:rPr>
        <w:t>会主义土地公有制,极大地激发了</w:t>
      </w:r>
      <w:r>
        <w:rPr>
          <w:rFonts w:hint="eastAsia" w:ascii="宋体" w:hAnsi="宋体" w:eastAsia="宋体" w:cs="宋体"/>
          <w:spacing w:val="18"/>
          <w:sz w:val="21"/>
          <w:szCs w:val="21"/>
        </w:rPr>
        <w:t>农民参与社会主义建设的热情,为俄国经济的恢</w:t>
      </w:r>
      <w:r>
        <w:rPr>
          <w:rFonts w:hint="eastAsia" w:ascii="宋体" w:hAnsi="宋体" w:eastAsia="宋体" w:cs="宋体"/>
          <w:spacing w:val="17"/>
          <w:sz w:val="21"/>
          <w:szCs w:val="21"/>
        </w:rPr>
        <w:t>复与社会主义建设奠定了坚实的基础。土地公有制在我国生产资料公有制中占据核心地位,对于维护</w:t>
      </w:r>
      <w:r>
        <w:rPr>
          <w:rFonts w:hint="eastAsia" w:ascii="宋体" w:hAnsi="宋体" w:eastAsia="宋体" w:cs="宋体"/>
          <w:spacing w:val="16"/>
          <w:sz w:val="21"/>
          <w:szCs w:val="21"/>
        </w:rPr>
        <w:t>社会主</w:t>
      </w:r>
      <w:r>
        <w:rPr>
          <w:rFonts w:hint="eastAsia" w:ascii="宋体" w:hAnsi="宋体" w:eastAsia="宋体" w:cs="宋体"/>
          <w:spacing w:val="10"/>
          <w:sz w:val="21"/>
          <w:szCs w:val="21"/>
        </w:rPr>
        <w:t>义的本质属性和正确方向具有不可替代的作用。改革开放以来,我们实施了</w:t>
      </w:r>
      <w:r>
        <w:rPr>
          <w:rFonts w:hint="eastAsia" w:ascii="宋体" w:hAnsi="宋体" w:eastAsia="宋体" w:cs="宋体"/>
          <w:spacing w:val="9"/>
          <w:sz w:val="21"/>
          <w:szCs w:val="21"/>
        </w:rPr>
        <w:t>“两</w:t>
      </w:r>
      <w:r>
        <w:rPr>
          <w:rFonts w:hint="eastAsia" w:ascii="宋体" w:hAnsi="宋体" w:eastAsia="宋体" w:cs="宋体"/>
          <w:spacing w:val="15"/>
          <w:sz w:val="21"/>
          <w:szCs w:val="21"/>
        </w:rPr>
        <w:t>权”分离政策,如今又逐步推进“三权”分置改革,这些措施都应在保持土地</w:t>
      </w:r>
      <w:r>
        <w:rPr>
          <w:rFonts w:hint="eastAsia" w:ascii="宋体" w:hAnsi="宋体" w:eastAsia="宋体" w:cs="宋体"/>
          <w:spacing w:val="18"/>
          <w:sz w:val="21"/>
          <w:szCs w:val="21"/>
        </w:rPr>
        <w:t>公有制稳定的前提下进行。当然,制度的发展和完善是一个与</w:t>
      </w:r>
      <w:r>
        <w:rPr>
          <w:rFonts w:hint="eastAsia" w:ascii="宋体" w:hAnsi="宋体" w:eastAsia="宋体" w:cs="宋体"/>
          <w:spacing w:val="17"/>
          <w:sz w:val="21"/>
          <w:szCs w:val="21"/>
        </w:rPr>
        <w:t>时俱进的过程。</w:t>
      </w:r>
      <w:r>
        <w:rPr>
          <w:rFonts w:hint="eastAsia" w:ascii="宋体" w:hAnsi="宋体" w:eastAsia="宋体" w:cs="宋体"/>
          <w:spacing w:val="16"/>
          <w:sz w:val="21"/>
          <w:szCs w:val="21"/>
        </w:rPr>
        <w:t>当前,中国土地要素的经济效能亟待进一步挖掘提升,进一步推进土地使用权相关制度的创新是深化改革的必由之路。因此,新时代必须继续坚定不移地坚</w:t>
      </w:r>
      <w:r>
        <w:rPr>
          <w:rFonts w:hint="eastAsia" w:ascii="宋体" w:hAnsi="宋体" w:eastAsia="宋体" w:cs="宋体"/>
          <w:spacing w:val="17"/>
          <w:sz w:val="21"/>
          <w:szCs w:val="21"/>
        </w:rPr>
        <w:t>持土地公有制原则,不断探索和优化土地使用权和</w:t>
      </w:r>
      <w:r>
        <w:rPr>
          <w:rFonts w:hint="eastAsia" w:ascii="宋体" w:hAnsi="宋体" w:eastAsia="宋体" w:cs="宋体"/>
          <w:spacing w:val="16"/>
          <w:sz w:val="21"/>
          <w:szCs w:val="21"/>
        </w:rPr>
        <w:t>经营权的制度创新,以适应</w:t>
      </w:r>
      <w:r>
        <w:rPr>
          <w:rFonts w:hint="eastAsia" w:ascii="宋体" w:hAnsi="宋体" w:eastAsia="宋体" w:cs="宋体"/>
          <w:spacing w:val="18"/>
          <w:sz w:val="21"/>
          <w:szCs w:val="21"/>
        </w:rPr>
        <w:t>中国特色社会主义经济发展的新需求和新挑战,</w:t>
      </w:r>
      <w:r>
        <w:rPr>
          <w:rFonts w:hint="eastAsia" w:ascii="宋体" w:hAnsi="宋体" w:eastAsia="宋体" w:cs="宋体"/>
          <w:spacing w:val="17"/>
          <w:sz w:val="21"/>
          <w:szCs w:val="21"/>
        </w:rPr>
        <w:t>为中国的持续发展奠定更加坚</w:t>
      </w:r>
      <w:r>
        <w:rPr>
          <w:rFonts w:hint="eastAsia" w:ascii="宋体" w:hAnsi="宋体" w:eastAsia="宋体" w:cs="宋体"/>
          <w:spacing w:val="9"/>
          <w:sz w:val="21"/>
          <w:szCs w:val="21"/>
        </w:rPr>
        <w:t>实的基础。</w:t>
      </w:r>
    </w:p>
    <w:p w14:paraId="24FB13F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
          <w:sz w:val="21"/>
          <w:szCs w:val="21"/>
        </w:rPr>
        <w:t>(二)农民主体:维护农民利益,提高农民参与农业和</w:t>
      </w:r>
      <w:r>
        <w:rPr>
          <w:rFonts w:hint="eastAsia" w:ascii="宋体" w:hAnsi="宋体" w:eastAsia="宋体" w:cs="宋体"/>
          <w:b/>
          <w:bCs/>
          <w:sz w:val="21"/>
          <w:szCs w:val="21"/>
        </w:rPr>
        <w:t>农村发展的积极性</w:t>
      </w:r>
    </w:p>
    <w:p w14:paraId="05290E6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对于农民而言,土地是赖以生存和发展的基本保障</w:t>
      </w:r>
      <w:r>
        <w:rPr>
          <w:rFonts w:hint="eastAsia" w:ascii="宋体" w:hAnsi="宋体" w:eastAsia="宋体" w:cs="宋体"/>
          <w:spacing w:val="16"/>
          <w:sz w:val="21"/>
          <w:szCs w:val="21"/>
        </w:rPr>
        <w:t>。列宁深谙此理,强调</w:t>
      </w:r>
      <w:r>
        <w:rPr>
          <w:rFonts w:hint="eastAsia" w:ascii="宋体" w:hAnsi="宋体" w:eastAsia="宋体" w:cs="宋体"/>
          <w:spacing w:val="17"/>
          <w:sz w:val="21"/>
          <w:szCs w:val="21"/>
        </w:rPr>
        <w:t>农民的利益不容忽视,土地理论必须紧密贴合本国农民的</w:t>
      </w:r>
      <w:r>
        <w:rPr>
          <w:rFonts w:hint="eastAsia" w:ascii="宋体" w:hAnsi="宋体" w:eastAsia="宋体" w:cs="宋体"/>
          <w:spacing w:val="16"/>
          <w:sz w:val="21"/>
          <w:szCs w:val="21"/>
        </w:rPr>
        <w:t>实际状况和需求。在</w:t>
      </w:r>
      <w:r>
        <w:rPr>
          <w:rFonts w:hint="eastAsia" w:ascii="宋体" w:hAnsi="宋体" w:eastAsia="宋体" w:cs="宋体"/>
          <w:spacing w:val="18"/>
          <w:sz w:val="21"/>
          <w:szCs w:val="21"/>
        </w:rPr>
        <w:t>制定和推行土地政策时,必须充分尊重农民的主体</w:t>
      </w:r>
      <w:r>
        <w:rPr>
          <w:rFonts w:hint="eastAsia" w:ascii="宋体" w:hAnsi="宋体" w:eastAsia="宋体" w:cs="宋体"/>
          <w:spacing w:val="17"/>
          <w:sz w:val="21"/>
          <w:szCs w:val="21"/>
        </w:rPr>
        <w:t>地位,将他们的福祉置于首</w:t>
      </w:r>
      <w:r>
        <w:rPr>
          <w:rFonts w:hint="eastAsia" w:ascii="宋体" w:hAnsi="宋体" w:eastAsia="宋体" w:cs="宋体"/>
          <w:spacing w:val="16"/>
          <w:sz w:val="21"/>
          <w:szCs w:val="21"/>
        </w:rPr>
        <w:t>位。随着生活质量的不断提升,农民对制度的认可度和信任感也日渐增强,这</w:t>
      </w:r>
      <w:r>
        <w:rPr>
          <w:rFonts w:hint="eastAsia" w:ascii="宋体" w:hAnsi="宋体" w:eastAsia="宋体" w:cs="宋体"/>
          <w:spacing w:val="21"/>
          <w:sz w:val="21"/>
          <w:szCs w:val="21"/>
        </w:rPr>
        <w:t>自然为社会主义建设筑牢了坚实的群众基础。习近平总</w:t>
      </w:r>
      <w:r>
        <w:rPr>
          <w:rFonts w:hint="eastAsia" w:ascii="宋体" w:hAnsi="宋体" w:eastAsia="宋体" w:cs="宋体"/>
          <w:spacing w:val="20"/>
          <w:sz w:val="21"/>
          <w:szCs w:val="21"/>
        </w:rPr>
        <w:t>书记强调:“农村要发</w:t>
      </w:r>
      <w:r>
        <w:rPr>
          <w:rFonts w:hint="eastAsia" w:ascii="宋体" w:hAnsi="宋体" w:eastAsia="宋体" w:cs="宋体"/>
          <w:spacing w:val="16"/>
          <w:sz w:val="21"/>
          <w:szCs w:val="21"/>
        </w:rPr>
        <w:t>展,根本要依靠亿万农民。要坚持不懈推进农村改革和制度创新,充分发挥亿</w:t>
      </w:r>
      <w:r>
        <w:rPr>
          <w:rFonts w:hint="eastAsia" w:ascii="宋体" w:hAnsi="宋体" w:eastAsia="宋体" w:cs="宋体"/>
          <w:spacing w:val="18"/>
          <w:sz w:val="21"/>
          <w:szCs w:val="21"/>
        </w:rPr>
        <w:t>万农民主体作用和首创精神,不断解放和发展</w:t>
      </w:r>
      <w:r>
        <w:rPr>
          <w:rFonts w:hint="eastAsia" w:ascii="宋体" w:hAnsi="宋体" w:eastAsia="宋体" w:cs="宋体"/>
          <w:spacing w:val="17"/>
          <w:sz w:val="21"/>
          <w:szCs w:val="21"/>
        </w:rPr>
        <w:t>农村社会生产力,激发农村发展</w:t>
      </w:r>
      <w:r>
        <w:rPr>
          <w:rFonts w:hint="eastAsia" w:ascii="宋体" w:hAnsi="宋体" w:eastAsia="宋体" w:cs="宋体"/>
          <w:spacing w:val="-16"/>
          <w:w w:val="87"/>
          <w:sz w:val="21"/>
          <w:szCs w:val="21"/>
        </w:rPr>
        <w:t>活力。”</w:t>
      </w:r>
      <w:r>
        <w:rPr>
          <w:rStyle w:val="20"/>
          <w:rFonts w:hint="eastAsia" w:ascii="宋体" w:hAnsi="宋体" w:eastAsia="宋体" w:cs="宋体"/>
          <w:spacing w:val="-16"/>
          <w:w w:val="87"/>
          <w:sz w:val="21"/>
          <w:szCs w:val="21"/>
        </w:rPr>
        <w:footnoteReference w:id="1123"/>
      </w:r>
      <w:r>
        <w:rPr>
          <w:rFonts w:hint="eastAsia" w:ascii="宋体" w:hAnsi="宋体" w:eastAsia="宋体" w:cs="宋体"/>
          <w:spacing w:val="10"/>
          <w:sz w:val="21"/>
          <w:szCs w:val="21"/>
        </w:rPr>
        <w:t>考虑到中国拥有世界上最为庞大的农村人</w:t>
      </w:r>
      <w:r>
        <w:rPr>
          <w:rFonts w:hint="eastAsia" w:ascii="宋体" w:hAnsi="宋体" w:eastAsia="宋体" w:cs="宋体"/>
          <w:spacing w:val="9"/>
          <w:sz w:val="21"/>
          <w:szCs w:val="21"/>
        </w:rPr>
        <w:t>口,农民在革命、建设和改革</w:t>
      </w:r>
      <w:r>
        <w:rPr>
          <w:rFonts w:hint="eastAsia" w:ascii="宋体" w:hAnsi="宋体" w:eastAsia="宋体" w:cs="宋体"/>
          <w:spacing w:val="13"/>
          <w:sz w:val="21"/>
          <w:szCs w:val="21"/>
        </w:rPr>
        <w:t>进程中始终扮演着举足轻重的角色,只有真正关心农民、理解农民、支持农民,</w:t>
      </w:r>
      <w:r>
        <w:rPr>
          <w:rFonts w:hint="eastAsia" w:ascii="宋体" w:hAnsi="宋体" w:eastAsia="宋体" w:cs="宋体"/>
          <w:spacing w:val="12"/>
          <w:sz w:val="21"/>
          <w:szCs w:val="21"/>
        </w:rPr>
        <w:t>才能充分调动其积极性,激发其创造力,推动农业生产和农村经</w:t>
      </w:r>
      <w:r>
        <w:rPr>
          <w:rFonts w:hint="eastAsia" w:ascii="宋体" w:hAnsi="宋体" w:eastAsia="宋体" w:cs="宋体"/>
          <w:spacing w:val="11"/>
          <w:sz w:val="21"/>
          <w:szCs w:val="21"/>
        </w:rPr>
        <w:t>济的持续健康发</w:t>
      </w:r>
      <w:r>
        <w:rPr>
          <w:rFonts w:hint="eastAsia" w:ascii="宋体" w:hAnsi="宋体" w:eastAsia="宋体" w:cs="宋体"/>
          <w:spacing w:val="10"/>
          <w:sz w:val="21"/>
          <w:szCs w:val="21"/>
        </w:rPr>
        <w:t>展。必须始终把实现好、维护好农民权益作为出发点和落脚点,要坚持和完善农</w:t>
      </w:r>
      <w:r>
        <w:rPr>
          <w:rFonts w:hint="eastAsia" w:ascii="宋体" w:hAnsi="宋体" w:eastAsia="宋体" w:cs="宋体"/>
          <w:spacing w:val="12"/>
          <w:sz w:val="21"/>
          <w:szCs w:val="21"/>
        </w:rPr>
        <w:t>村基本经营制度,确保农村土地的集体所有性质不动摇,坚守家</w:t>
      </w:r>
      <w:r>
        <w:rPr>
          <w:rFonts w:hint="eastAsia" w:ascii="宋体" w:hAnsi="宋体" w:eastAsia="宋体" w:cs="宋体"/>
          <w:spacing w:val="11"/>
          <w:sz w:val="21"/>
          <w:szCs w:val="21"/>
        </w:rPr>
        <w:t>庭经营的基础性地位,科学而有效地稳定土地承包关系。要从制度层面切实尊重并主动维护农民</w:t>
      </w:r>
      <w:r>
        <w:rPr>
          <w:rFonts w:hint="eastAsia" w:ascii="宋体" w:hAnsi="宋体" w:eastAsia="宋体" w:cs="宋体"/>
          <w:spacing w:val="9"/>
          <w:sz w:val="21"/>
          <w:szCs w:val="21"/>
        </w:rPr>
        <w:t>的主体地位,不断增强其安全感、参与感和获得感。对于“第二轮土地承包到期</w:t>
      </w:r>
      <w:r>
        <w:rPr>
          <w:rFonts w:hint="eastAsia" w:ascii="宋体" w:hAnsi="宋体" w:eastAsia="宋体" w:cs="宋体"/>
          <w:spacing w:val="5"/>
          <w:sz w:val="21"/>
          <w:szCs w:val="21"/>
        </w:rPr>
        <w:t>后再延长30年”的政策,绝对不能简单地再搞“一刀切”。</w:t>
      </w:r>
      <w:r>
        <w:rPr>
          <w:rFonts w:hint="eastAsia" w:ascii="宋体" w:hAnsi="宋体" w:eastAsia="宋体" w:cs="宋体"/>
          <w:spacing w:val="4"/>
          <w:sz w:val="21"/>
          <w:szCs w:val="21"/>
        </w:rPr>
        <w:t>各地区务必深入开展</w:t>
      </w:r>
      <w:r>
        <w:rPr>
          <w:rFonts w:hint="eastAsia" w:ascii="宋体" w:hAnsi="宋体" w:eastAsia="宋体" w:cs="宋体"/>
          <w:spacing w:val="11"/>
          <w:sz w:val="21"/>
          <w:szCs w:val="21"/>
        </w:rPr>
        <w:t>细致的调研工作,切实把握本地的实际情况,要详细了解农民群众的意愿,明确有多少农民希望“按原承包合同不变”,又有多少农民期望“按照集体人口数量重新分地”。要通过广泛征求农民意见,充分了解他们的需求</w:t>
      </w:r>
      <w:r>
        <w:rPr>
          <w:rFonts w:hint="eastAsia" w:ascii="宋体" w:hAnsi="宋体" w:eastAsia="宋体" w:cs="宋体"/>
          <w:spacing w:val="10"/>
          <w:sz w:val="21"/>
          <w:szCs w:val="21"/>
        </w:rPr>
        <w:t>和关切,使“再延</w:t>
      </w:r>
      <w:r>
        <w:rPr>
          <w:rFonts w:hint="eastAsia" w:ascii="宋体" w:hAnsi="宋体" w:eastAsia="宋体" w:cs="宋体"/>
          <w:spacing w:val="4"/>
          <w:sz w:val="21"/>
          <w:szCs w:val="21"/>
        </w:rPr>
        <w:t>长30年”等相关政策更加贴近实际、符合民意。</w:t>
      </w:r>
    </w:p>
    <w:p w14:paraId="0093B89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1"/>
          <w:szCs w:val="21"/>
        </w:rPr>
      </w:pPr>
      <w:r>
        <w:rPr>
          <w:rFonts w:hint="eastAsia" w:ascii="宋体" w:hAnsi="宋体" w:eastAsia="宋体" w:cs="宋体"/>
          <w:b/>
          <w:bCs/>
          <w:spacing w:val="9"/>
          <w:sz w:val="21"/>
          <w:szCs w:val="21"/>
        </w:rPr>
        <w:t>(三)集体生产:发挥土地制度对农业生产的推动作用,做强做优做大</w:t>
      </w:r>
      <w:r>
        <w:rPr>
          <w:rFonts w:hint="eastAsia" w:ascii="宋体" w:hAnsi="宋体" w:eastAsia="宋体" w:cs="宋体"/>
          <w:b/>
          <w:bCs/>
          <w:spacing w:val="6"/>
          <w:sz w:val="21"/>
          <w:szCs w:val="21"/>
        </w:rPr>
        <w:t>集体经济</w:t>
      </w:r>
    </w:p>
    <w:p w14:paraId="15A5E23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2"/>
          <w:sz w:val="21"/>
          <w:szCs w:val="21"/>
        </w:rPr>
        <w:t>土地作为人类生存的物质基础和社会发展不可缺少的</w:t>
      </w:r>
      <w:r>
        <w:rPr>
          <w:rFonts w:hint="eastAsia" w:ascii="宋体" w:hAnsi="宋体" w:eastAsia="宋体" w:cs="宋体"/>
          <w:spacing w:val="11"/>
          <w:sz w:val="21"/>
          <w:szCs w:val="21"/>
        </w:rPr>
        <w:t>劳动资料,对国民经济增长具有重要影响。列宁针对不同时期的主要社会矛盾和目标,制定了适应</w:t>
      </w:r>
      <w:r>
        <w:rPr>
          <w:rFonts w:hint="eastAsia" w:ascii="宋体" w:hAnsi="宋体" w:eastAsia="宋体" w:cs="宋体"/>
          <w:spacing w:val="10"/>
          <w:sz w:val="21"/>
          <w:szCs w:val="21"/>
        </w:rPr>
        <w:t>时代</w:t>
      </w:r>
      <w:r>
        <w:rPr>
          <w:rFonts w:hint="eastAsia" w:ascii="宋体" w:hAnsi="宋体" w:eastAsia="宋体" w:cs="宋体"/>
          <w:spacing w:val="11"/>
          <w:sz w:val="21"/>
          <w:szCs w:val="21"/>
        </w:rPr>
        <w:t>需求的土地政策和制度。通过实施土地国有化,他成功地将农民从土地的枷锁和封建剥削中解放出来,赋予其前所未有的自由和权利。从革命初期铲除农奴制残</w:t>
      </w:r>
      <w:r>
        <w:rPr>
          <w:rFonts w:hint="eastAsia" w:ascii="宋体" w:hAnsi="宋体" w:eastAsia="宋体" w:cs="宋体"/>
          <w:spacing w:val="12"/>
          <w:sz w:val="21"/>
          <w:szCs w:val="21"/>
        </w:rPr>
        <w:t>余的果断行动,到建立农民委员会制度,再到新经济政策时期利用</w:t>
      </w:r>
      <w:r>
        <w:rPr>
          <w:rFonts w:hint="eastAsia" w:ascii="宋体" w:hAnsi="宋体" w:eastAsia="宋体" w:cs="宋体"/>
          <w:spacing w:val="11"/>
          <w:sz w:val="21"/>
          <w:szCs w:val="21"/>
        </w:rPr>
        <w:t>合作社模式巩</w:t>
      </w:r>
      <w:r>
        <w:rPr>
          <w:rFonts w:hint="eastAsia" w:ascii="宋体" w:hAnsi="宋体" w:eastAsia="宋体" w:cs="宋体"/>
          <w:spacing w:val="18"/>
          <w:sz w:val="21"/>
          <w:szCs w:val="21"/>
        </w:rPr>
        <w:t>固经济基础,列宁提出的一系列举措,确保了国有经济在国民经济中的领导地</w:t>
      </w:r>
      <w:r>
        <w:rPr>
          <w:rFonts w:hint="eastAsia" w:ascii="宋体" w:hAnsi="宋体" w:eastAsia="宋体" w:cs="宋体"/>
          <w:spacing w:val="14"/>
          <w:sz w:val="21"/>
          <w:szCs w:val="21"/>
        </w:rPr>
        <w:t>位,为社会主义经济体制的建立打下了坚实的基石。习近平总书记指出:“要把</w:t>
      </w:r>
      <w:r>
        <w:rPr>
          <w:rFonts w:hint="eastAsia" w:ascii="宋体" w:hAnsi="宋体" w:eastAsia="宋体" w:cs="宋体"/>
          <w:spacing w:val="18"/>
          <w:sz w:val="21"/>
          <w:szCs w:val="21"/>
        </w:rPr>
        <w:t>好乡村振兴战略的政治方向,坚持农村土地集体所有制性质,发展新型集体经</w:t>
      </w:r>
      <w:r>
        <w:rPr>
          <w:rFonts w:hint="eastAsia" w:ascii="宋体" w:hAnsi="宋体" w:eastAsia="宋体" w:cs="宋体"/>
          <w:spacing w:val="4"/>
          <w:sz w:val="21"/>
          <w:szCs w:val="21"/>
        </w:rPr>
        <w:t>济,走共同富裕道路。”</w:t>
      </w:r>
      <w:r>
        <w:rPr>
          <w:rStyle w:val="20"/>
          <w:rFonts w:hint="eastAsia" w:ascii="宋体" w:hAnsi="宋体" w:eastAsia="宋体" w:cs="宋体"/>
          <w:spacing w:val="4"/>
          <w:sz w:val="21"/>
          <w:szCs w:val="21"/>
        </w:rPr>
        <w:footnoteReference w:id="1124"/>
      </w:r>
      <w:r>
        <w:rPr>
          <w:rFonts w:hint="eastAsia" w:ascii="宋体" w:hAnsi="宋体" w:eastAsia="宋体" w:cs="宋体"/>
          <w:spacing w:val="4"/>
          <w:sz w:val="21"/>
          <w:szCs w:val="21"/>
        </w:rPr>
        <w:t>农村集体经济组织不仅是完善乡村治理机制、推动基层</w:t>
      </w:r>
      <w:r>
        <w:rPr>
          <w:rFonts w:hint="eastAsia" w:ascii="宋体" w:hAnsi="宋体" w:eastAsia="宋体" w:cs="宋体"/>
          <w:spacing w:val="11"/>
          <w:sz w:val="21"/>
          <w:szCs w:val="21"/>
        </w:rPr>
        <w:t>治理现代化的重要基石,更是强化农村基层党组织向心力、夯实中国共产党在农</w:t>
      </w:r>
      <w:r>
        <w:rPr>
          <w:rFonts w:hint="eastAsia" w:ascii="宋体" w:hAnsi="宋体" w:eastAsia="宋体" w:cs="宋体"/>
          <w:spacing w:val="8"/>
          <w:sz w:val="21"/>
          <w:szCs w:val="21"/>
        </w:rPr>
        <w:t>村执政根基的关键支撑。目前,我国已经完成乡、村、组级登记赋码的农村集体</w:t>
      </w:r>
      <w:r>
        <w:rPr>
          <w:rFonts w:hint="eastAsia" w:ascii="宋体" w:hAnsi="宋体" w:eastAsia="宋体" w:cs="宋体"/>
          <w:spacing w:val="4"/>
          <w:sz w:val="21"/>
          <w:szCs w:val="21"/>
        </w:rPr>
        <w:t>经济组织约96.6万个,确认成员约9.2亿人,清查核实集体土地6</w:t>
      </w:r>
      <w:r>
        <w:rPr>
          <w:rFonts w:hint="eastAsia" w:ascii="宋体" w:hAnsi="宋体" w:eastAsia="宋体" w:cs="宋体"/>
          <w:spacing w:val="3"/>
          <w:sz w:val="21"/>
          <w:szCs w:val="21"/>
        </w:rPr>
        <w:t>5.5亿亩,集</w:t>
      </w:r>
    </w:p>
    <w:p w14:paraId="66F49FE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0"/>
          <w:sz w:val="21"/>
          <w:szCs w:val="21"/>
        </w:rPr>
        <w:t>体账面资产8.22万亿元</w:t>
      </w:r>
      <w:r>
        <w:rPr>
          <w:rStyle w:val="20"/>
          <w:rFonts w:hint="eastAsia" w:ascii="宋体" w:hAnsi="宋体" w:eastAsia="宋体" w:cs="宋体"/>
          <w:spacing w:val="10"/>
          <w:sz w:val="21"/>
          <w:szCs w:val="21"/>
        </w:rPr>
        <w:footnoteReference w:id="1125"/>
      </w:r>
      <w:r>
        <w:rPr>
          <w:rFonts w:hint="eastAsia" w:ascii="宋体" w:hAnsi="宋体" w:eastAsia="宋体" w:cs="宋体"/>
          <w:spacing w:val="10"/>
          <w:sz w:val="21"/>
          <w:szCs w:val="21"/>
        </w:rPr>
        <w:t>,这为我国农村集</w:t>
      </w:r>
      <w:r>
        <w:rPr>
          <w:rFonts w:hint="eastAsia" w:ascii="宋体" w:hAnsi="宋体" w:eastAsia="宋体" w:cs="宋体"/>
          <w:spacing w:val="9"/>
          <w:sz w:val="21"/>
          <w:szCs w:val="21"/>
        </w:rPr>
        <w:t>体经济组织规范化建设奠定了基础。</w:t>
      </w:r>
      <w:r>
        <w:rPr>
          <w:rFonts w:hint="eastAsia" w:ascii="宋体" w:hAnsi="宋体" w:eastAsia="宋体" w:cs="宋体"/>
          <w:spacing w:val="18"/>
          <w:sz w:val="21"/>
          <w:szCs w:val="21"/>
        </w:rPr>
        <w:t>依托不断做强做优做大的集体经济,便能将农民群众组织起来走共同富裕的道</w:t>
      </w:r>
      <w:r>
        <w:rPr>
          <w:rFonts w:hint="eastAsia" w:ascii="宋体" w:hAnsi="宋体" w:eastAsia="宋体" w:cs="宋体"/>
          <w:spacing w:val="6"/>
          <w:sz w:val="21"/>
          <w:szCs w:val="21"/>
        </w:rPr>
        <w:t>路,避免农村“阶层分化”,实现农村社会的长期稳定与繁荣发展。</w:t>
      </w:r>
    </w:p>
    <w:p w14:paraId="3A5A92D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8"/>
          <w:sz w:val="21"/>
          <w:szCs w:val="21"/>
        </w:rPr>
        <w:t>(四)集约经营:创新土地制度改革,提高土地的经营效益</w:t>
      </w:r>
    </w:p>
    <w:p w14:paraId="0B05AB1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pacing w:val="12"/>
          <w:sz w:val="21"/>
          <w:szCs w:val="21"/>
        </w:rPr>
      </w:pPr>
      <w:r>
        <w:rPr>
          <w:rFonts w:hint="eastAsia" w:ascii="宋体" w:hAnsi="宋体" w:eastAsia="宋体" w:cs="宋体"/>
          <w:spacing w:val="15"/>
          <w:sz w:val="21"/>
          <w:szCs w:val="21"/>
        </w:rPr>
        <w:t>习近平总书记强调:“巩固和完善农村基本经营制度,深化农村土地制度改</w:t>
      </w:r>
      <w:r>
        <w:rPr>
          <w:rFonts w:hint="eastAsia" w:ascii="宋体" w:hAnsi="宋体" w:eastAsia="宋体" w:cs="宋体"/>
          <w:spacing w:val="12"/>
          <w:sz w:val="21"/>
          <w:szCs w:val="21"/>
        </w:rPr>
        <w:t>革,完善承包地‘三权’分置制度。保持土地承包关系稳定</w:t>
      </w:r>
      <w:r>
        <w:rPr>
          <w:rFonts w:hint="eastAsia" w:ascii="宋体" w:hAnsi="宋体" w:eastAsia="宋体" w:cs="宋体"/>
          <w:spacing w:val="11"/>
          <w:sz w:val="21"/>
          <w:szCs w:val="21"/>
        </w:rPr>
        <w:t>并长久不变,第二轮</w:t>
      </w:r>
      <w:r>
        <w:rPr>
          <w:rFonts w:hint="eastAsia" w:ascii="宋体" w:hAnsi="宋体" w:eastAsia="宋体" w:cs="宋体"/>
          <w:spacing w:val="20"/>
          <w:sz w:val="21"/>
          <w:szCs w:val="21"/>
        </w:rPr>
        <w:t>土地承包到期后再延长三十年。深化农村集体产权制度改革,保障农民财产权</w:t>
      </w:r>
      <w:r>
        <w:rPr>
          <w:rFonts w:hint="eastAsia" w:ascii="宋体" w:hAnsi="宋体" w:eastAsia="宋体" w:cs="宋体"/>
          <w:spacing w:val="12"/>
          <w:sz w:val="21"/>
          <w:szCs w:val="21"/>
        </w:rPr>
        <w:t>益,壮大集体经济。”</w:t>
      </w:r>
      <w:r>
        <w:rPr>
          <w:rStyle w:val="20"/>
          <w:rFonts w:hint="eastAsia" w:ascii="宋体" w:hAnsi="宋体" w:eastAsia="宋体" w:cs="宋体"/>
          <w:spacing w:val="12"/>
          <w:sz w:val="21"/>
          <w:szCs w:val="21"/>
        </w:rPr>
        <w:footnoteReference w:id="1126"/>
      </w:r>
      <w:r>
        <w:rPr>
          <w:rFonts w:hint="eastAsia" w:ascii="宋体" w:hAnsi="宋体" w:eastAsia="宋体" w:cs="宋体"/>
          <w:spacing w:val="12"/>
          <w:sz w:val="21"/>
          <w:szCs w:val="21"/>
        </w:rPr>
        <w:t>这既是以习近平同志为核心的党中央对党的十八大以来“三农”工作发展规律的认识,又是指导继续深化农村土地制度改革的</w:t>
      </w:r>
      <w:r>
        <w:rPr>
          <w:rFonts w:hint="eastAsia" w:ascii="宋体" w:hAnsi="宋体" w:eastAsia="宋体" w:cs="宋体"/>
          <w:spacing w:val="11"/>
          <w:sz w:val="21"/>
          <w:szCs w:val="21"/>
        </w:rPr>
        <w:t>方针。其中,实行农村土地“三权”分置制度,即集体所</w:t>
      </w:r>
      <w:r>
        <w:rPr>
          <w:rFonts w:hint="eastAsia" w:ascii="宋体" w:hAnsi="宋体" w:eastAsia="宋体" w:cs="宋体"/>
          <w:spacing w:val="10"/>
          <w:sz w:val="21"/>
          <w:szCs w:val="21"/>
        </w:rPr>
        <w:t>有权、农户承包权、土地经营权</w:t>
      </w:r>
      <w:r>
        <w:rPr>
          <w:rFonts w:hint="eastAsia" w:ascii="宋体" w:hAnsi="宋体" w:eastAsia="宋体" w:cs="宋体"/>
          <w:spacing w:val="14"/>
          <w:sz w:val="21"/>
          <w:szCs w:val="21"/>
        </w:rPr>
        <w:t>并行的新型农村土地产权制度,是深化改革的重要一</w:t>
      </w:r>
      <w:r>
        <w:rPr>
          <w:rFonts w:hint="eastAsia" w:ascii="宋体" w:hAnsi="宋体" w:eastAsia="宋体" w:cs="宋体"/>
          <w:spacing w:val="13"/>
          <w:sz w:val="21"/>
          <w:szCs w:val="21"/>
        </w:rPr>
        <w:t>环。在此基础上,还应积极</w:t>
      </w:r>
      <w:r>
        <w:rPr>
          <w:rFonts w:hint="eastAsia" w:ascii="宋体" w:hAnsi="宋体" w:eastAsia="宋体" w:cs="宋体"/>
          <w:spacing w:val="16"/>
          <w:sz w:val="21"/>
          <w:szCs w:val="21"/>
        </w:rPr>
        <w:t>探索宅基地所有权、资格权、使用权的“三</w:t>
      </w:r>
      <w:r>
        <w:rPr>
          <w:rFonts w:hint="eastAsia" w:ascii="宋体" w:hAnsi="宋体" w:eastAsia="宋体" w:cs="宋体"/>
          <w:spacing w:val="15"/>
          <w:sz w:val="21"/>
          <w:szCs w:val="21"/>
        </w:rPr>
        <w:t>权”分置,为农村发展注入崭新活</w:t>
      </w:r>
      <w:r>
        <w:rPr>
          <w:rFonts w:hint="eastAsia" w:ascii="宋体" w:hAnsi="宋体" w:eastAsia="宋体" w:cs="宋体"/>
          <w:spacing w:val="14"/>
          <w:sz w:val="21"/>
          <w:szCs w:val="21"/>
        </w:rPr>
        <w:t>力。在推进这一进程时,我们既要积极发挥土</w:t>
      </w:r>
      <w:r>
        <w:rPr>
          <w:rFonts w:hint="eastAsia" w:ascii="宋体" w:hAnsi="宋体" w:eastAsia="宋体" w:cs="宋体"/>
          <w:spacing w:val="13"/>
          <w:sz w:val="21"/>
          <w:szCs w:val="21"/>
        </w:rPr>
        <w:t>地经营的规模效应,也要高度警惕土地过度集中到各类私人农场而可能带来的风险。适度的规模经营能够最大化地</w:t>
      </w:r>
      <w:r>
        <w:rPr>
          <w:rFonts w:hint="eastAsia" w:ascii="宋体" w:hAnsi="宋体" w:eastAsia="宋体" w:cs="宋体"/>
          <w:spacing w:val="14"/>
          <w:sz w:val="21"/>
          <w:szCs w:val="21"/>
        </w:rPr>
        <w:t>释放土地资源的潜力,显著提升农业生产效率。在推进</w:t>
      </w:r>
      <w:r>
        <w:rPr>
          <w:rFonts w:hint="eastAsia" w:ascii="宋体" w:hAnsi="宋体" w:eastAsia="宋体" w:cs="宋体"/>
          <w:spacing w:val="13"/>
          <w:sz w:val="21"/>
          <w:szCs w:val="21"/>
        </w:rPr>
        <w:t>农业现代化的道路上,需</w:t>
      </w:r>
      <w:r>
        <w:rPr>
          <w:rFonts w:hint="eastAsia" w:ascii="宋体" w:hAnsi="宋体" w:eastAsia="宋体" w:cs="宋体"/>
          <w:spacing w:val="18"/>
          <w:sz w:val="21"/>
          <w:szCs w:val="21"/>
        </w:rPr>
        <w:t>要审慎寻找平衡点,确保土地流转和规模经营既能为经济带来实实在在的增</w:t>
      </w:r>
      <w:r>
        <w:rPr>
          <w:rFonts w:hint="eastAsia" w:ascii="宋体" w:hAnsi="宋体" w:eastAsia="宋体" w:cs="宋体"/>
          <w:spacing w:val="17"/>
          <w:sz w:val="21"/>
          <w:szCs w:val="21"/>
        </w:rPr>
        <w:t>长,</w:t>
      </w:r>
      <w:r>
        <w:rPr>
          <w:rFonts w:hint="eastAsia" w:ascii="宋体" w:hAnsi="宋体" w:eastAsia="宋体" w:cs="宋体"/>
          <w:spacing w:val="14"/>
          <w:sz w:val="21"/>
          <w:szCs w:val="21"/>
        </w:rPr>
        <w:t>又能维护农业生态的平衡,保障农民的根本利益。只有</w:t>
      </w:r>
      <w:r>
        <w:rPr>
          <w:rFonts w:hint="eastAsia" w:ascii="宋体" w:hAnsi="宋体" w:eastAsia="宋体" w:cs="宋体"/>
          <w:spacing w:val="13"/>
          <w:sz w:val="21"/>
          <w:szCs w:val="21"/>
        </w:rPr>
        <w:t>这样,才能真正实现农业</w:t>
      </w:r>
      <w:r>
        <w:rPr>
          <w:rFonts w:hint="eastAsia" w:ascii="宋体" w:hAnsi="宋体" w:eastAsia="宋体" w:cs="宋体"/>
          <w:spacing w:val="12"/>
          <w:sz w:val="21"/>
          <w:szCs w:val="21"/>
        </w:rPr>
        <w:t>的可持续发展,稳固国家粮食安全基石,促进社会的和谐稳定。</w:t>
      </w:r>
    </w:p>
    <w:p w14:paraId="00CE446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pacing w:val="12"/>
          <w:sz w:val="21"/>
          <w:szCs w:val="21"/>
        </w:rPr>
      </w:pPr>
    </w:p>
    <w:p w14:paraId="5486D99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pacing w:val="12"/>
          <w:sz w:val="21"/>
          <w:szCs w:val="21"/>
          <w:lang w:eastAsia="zh-CN"/>
        </w:rPr>
      </w:pPr>
      <w:r>
        <w:rPr>
          <w:rFonts w:hint="eastAsia" w:ascii="宋体" w:hAnsi="宋体" w:eastAsia="宋体" w:cs="宋体"/>
          <w:spacing w:val="12"/>
          <w:sz w:val="21"/>
          <w:szCs w:val="21"/>
          <w:lang w:eastAsia="zh-CN"/>
        </w:rPr>
        <w:t>（</w:t>
      </w:r>
      <w:r>
        <w:rPr>
          <w:rFonts w:hint="eastAsia" w:ascii="宋体" w:hAnsi="宋体" w:eastAsia="宋体" w:cs="宋体"/>
          <w:spacing w:val="12"/>
          <w:sz w:val="21"/>
          <w:szCs w:val="21"/>
          <w:lang w:val="en-US" w:eastAsia="zh-CN"/>
        </w:rPr>
        <w:t>原载</w:t>
      </w:r>
      <w:r>
        <w:rPr>
          <w:rFonts w:hint="eastAsia" w:ascii="宋体" w:hAnsi="宋体" w:eastAsia="宋体" w:cs="宋体"/>
          <w:spacing w:val="12"/>
          <w:sz w:val="21"/>
          <w:szCs w:val="21"/>
          <w:lang w:eastAsia="zh-CN"/>
        </w:rPr>
        <w:t>《政治经济学动态》2025年第1期，</w:t>
      </w:r>
      <w:r>
        <w:rPr>
          <w:rFonts w:hint="eastAsia" w:ascii="宋体" w:hAnsi="宋体" w:eastAsia="宋体" w:cs="宋体"/>
          <w:spacing w:val="12"/>
          <w:sz w:val="21"/>
          <w:szCs w:val="21"/>
          <w:lang w:val="en-US" w:eastAsia="zh-CN"/>
        </w:rPr>
        <w:t>第二作者为罗玉辉</w:t>
      </w:r>
      <w:r>
        <w:rPr>
          <w:rFonts w:hint="eastAsia" w:ascii="宋体" w:hAnsi="宋体" w:eastAsia="宋体" w:cs="宋体"/>
          <w:spacing w:val="12"/>
          <w:sz w:val="21"/>
          <w:szCs w:val="21"/>
          <w:lang w:eastAsia="zh-CN"/>
        </w:rPr>
        <w:t>。）</w:t>
      </w:r>
    </w:p>
    <w:p w14:paraId="0FC25CC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pacing w:val="12"/>
          <w:sz w:val="21"/>
          <w:szCs w:val="21"/>
          <w:lang w:eastAsia="zh-CN"/>
        </w:rPr>
      </w:pPr>
    </w:p>
    <w:p w14:paraId="2B19D74E">
      <w:pPr>
        <w:keepNext w:val="0"/>
        <w:keepLines w:val="0"/>
        <w:pageBreakBefore w:val="0"/>
        <w:widowControl w:val="0"/>
        <w:kinsoku/>
        <w:wordWrap/>
        <w:overflowPunct/>
        <w:topLinePunct w:val="0"/>
        <w:autoSpaceDE/>
        <w:autoSpaceDN/>
        <w:bidi w:val="0"/>
        <w:adjustRightInd/>
        <w:snapToGrid/>
        <w:spacing w:before="240" w:after="160" w:line="360" w:lineRule="auto"/>
        <w:jc w:val="center"/>
        <w:textAlignment w:val="auto"/>
        <w:outlineLvl w:val="0"/>
      </w:pPr>
      <w:bookmarkStart w:id="901" w:name="_Toc9912"/>
      <w:bookmarkStart w:id="902" w:name="_Toc750957707"/>
      <w:bookmarkStart w:id="903" w:name="_Toc1146034542"/>
      <w:bookmarkStart w:id="904" w:name="_Toc906700047"/>
      <w:bookmarkStart w:id="905" w:name="_Toc2064495874"/>
      <w:bookmarkStart w:id="906" w:name="_Toc592318110"/>
      <w:r>
        <w:rPr>
          <w:rFonts w:hint="eastAsia" w:ascii="黑体" w:hAnsi="黑体" w:eastAsia="黑体"/>
          <w:b/>
          <w:sz w:val="36"/>
          <w:lang w:val="en-US" w:eastAsia="zh-CN"/>
        </w:rPr>
        <w:t>25</w:t>
      </w:r>
      <w:r>
        <w:rPr>
          <w:rFonts w:ascii="黑体" w:hAnsi="黑体" w:eastAsia="黑体"/>
          <w:b/>
          <w:sz w:val="36"/>
        </w:rPr>
        <w:t>二程义利观的辩证意涵及创造性转化</w:t>
      </w:r>
      <w:bookmarkEnd w:id="901"/>
      <w:bookmarkEnd w:id="902"/>
      <w:bookmarkEnd w:id="903"/>
      <w:bookmarkEnd w:id="904"/>
      <w:bookmarkEnd w:id="905"/>
      <w:bookmarkEnd w:id="906"/>
    </w:p>
    <w:p w14:paraId="4B200992">
      <w:pPr>
        <w:spacing w:after="80" w:line="300" w:lineRule="auto"/>
        <w:ind w:firstLine="420"/>
        <w:jc w:val="both"/>
      </w:pPr>
      <w:r>
        <w:rPr>
          <w:rFonts w:ascii="黑体" w:hAnsi="黑体" w:eastAsia="黑体"/>
          <w:b/>
          <w:sz w:val="21"/>
        </w:rPr>
        <w:t>摘  要：</w:t>
      </w:r>
      <w:r>
        <w:rPr>
          <w:rFonts w:ascii="宋体" w:hAnsi="宋体" w:eastAsia="宋体"/>
          <w:sz w:val="21"/>
        </w:rPr>
        <w:t>二程义利观作为中华传统文化的重要组成部分，是对孔孟义利观的继承与发展。二程创造性地将义利之辨与理欲之辨、公私之辨等议题相融合，在道德理性与感性欲望的矛盾中强调“存理灭欲”，在个人私利与公共利益的矛盾中提倡“克私为公”，在道义原则与利益追求的矛盾中主张“利不妨义”，形成了极具辩证意蕴的理学义利观。客观而言，二程义利观既蕴含超越时代的文化基因和文化价值，也具有时代和历史的局限性。着眼新时代，对二程义利观进行创造性转化，既是顺应推进“第二个结合”的时代需要，也是破解现代社会“惟利是图”价值困境、揭示西方“完全利己经济人假设”理论谬误的重要举措。从实践来看，推动二程义利观创造性转化，要坚持“取其精华、去其糟粕”的基本原则，以“存理灭欲”解构消费主义异化，促进人的物质生活与精神生活协调发展；以“克私为公”消解利己与利他的二元对立，实现个人利益与集体利益有机融合；以“利不妨义”对治见利忘义，在国际交往中推动世界各国共同繁荣发展。</w:t>
      </w:r>
    </w:p>
    <w:p w14:paraId="6345C6D2">
      <w:pPr>
        <w:spacing w:after="80" w:line="300" w:lineRule="auto"/>
        <w:ind w:firstLine="420"/>
        <w:jc w:val="both"/>
      </w:pPr>
      <w:r>
        <w:rPr>
          <w:rFonts w:ascii="黑体" w:hAnsi="黑体" w:eastAsia="黑体"/>
          <w:b/>
          <w:sz w:val="21"/>
        </w:rPr>
        <w:t>关键词：</w:t>
      </w:r>
      <w:r>
        <w:rPr>
          <w:rFonts w:ascii="宋体" w:hAnsi="宋体" w:eastAsia="宋体"/>
          <w:sz w:val="21"/>
        </w:rPr>
        <w:t>二程理学；义利观；中华优秀传统文化；马克思主义；“第二个结合”</w:t>
      </w:r>
    </w:p>
    <w:p w14:paraId="30159AC7">
      <w:pPr>
        <w:spacing w:after="160" w:line="300" w:lineRule="auto"/>
        <w:ind w:firstLine="420"/>
        <w:jc w:val="left"/>
      </w:pPr>
      <w:r>
        <w:rPr>
          <w:rFonts w:ascii="宋体" w:hAnsi="宋体" w:eastAsia="宋体"/>
          <w:sz w:val="18"/>
        </w:rPr>
        <w:t>中图分类号：B244.6    文献标识码：A    文章编号：1003-0751（2025）10-0118-08</w:t>
      </w:r>
    </w:p>
    <w:p w14:paraId="02F3B50E">
      <w:pPr>
        <w:pBdr>
          <w:bottom w:val="single" w:color="000000" w:sz="6" w:space="1"/>
        </w:pBdr>
        <w:spacing w:before="120" w:after="120"/>
      </w:pPr>
    </w:p>
    <w:p w14:paraId="6FEB5F02">
      <w:pPr>
        <w:spacing w:after="40" w:line="300" w:lineRule="auto"/>
        <w:ind w:firstLine="420"/>
        <w:jc w:val="both"/>
      </w:pPr>
      <w:r>
        <w:rPr>
          <w:rFonts w:ascii="宋体" w:hAnsi="宋体" w:eastAsia="宋体"/>
          <w:sz w:val="21"/>
        </w:rPr>
        <w:t>义利之辨是中国传统哲学所探讨的核心议题之一，也是儒家学说中最重要和最基本的哲学命题之一，正如朱熹所言“义利之说乃儒者第一义”[1]。党的十八大以来，习近平总书记高度重视义利关系问题，在不同场合反复强调要坚持“正确义利观”[2]，彰显了新时代中国共产党人对义利关系问题的深刻理解。二程（即程颢、程颐）义利观是中华传统文化的重要组成部分，在儒家伦理思想发展史上占据重要地位，富有鲜明特色。当前学界关于二程义利观的研究主要分为两个方面：一是集中于相关文献的梳理、考订与释读；二是集中于探究二程义利观的生成、内涵及价值。与之相应，着眼如何把二程义利观的辩证意涵进行现代转化的研究成果则相对较少。因而，深入探究二程义利观的辩证意涵及创造性转化，对推进二程义利观与马克思主义基本原理相结合、与习近平新时代中国特色社会主义思想相结合，对进一步深化“正确义利观”、促进二程理学思想与时俱进，具有重要意义。</w:t>
      </w:r>
    </w:p>
    <w:p w14:paraId="16A170A4">
      <w:pPr>
        <w:spacing w:before="240" w:after="120" w:line="300" w:lineRule="auto"/>
        <w:jc w:val="left"/>
      </w:pPr>
      <w:r>
        <w:rPr>
          <w:rFonts w:ascii="黑体" w:hAnsi="黑体" w:eastAsia="黑体"/>
          <w:b/>
          <w:sz w:val="24"/>
        </w:rPr>
        <w:t>一、二程义利观的思想源流及辩证意涵</w:t>
      </w:r>
    </w:p>
    <w:p w14:paraId="5A7B472A">
      <w:pPr>
        <w:spacing w:after="40" w:line="300" w:lineRule="auto"/>
        <w:ind w:firstLine="420"/>
        <w:jc w:val="both"/>
      </w:pPr>
      <w:r>
        <w:rPr>
          <w:rFonts w:ascii="宋体" w:hAnsi="宋体" w:eastAsia="宋体"/>
          <w:sz w:val="21"/>
        </w:rPr>
        <w:t>义利关系主要属于“人生价值范畴”[3]532，是如何正确看待和处理道义与利益之间矛盾关系的问题。整体而言，“义”是道统、义理，指人应该具备的道德修养和价值准则；“利”是利益、功利，指人用以满足欲望的物质条件。从义利观的发展历程来看，自《周易》率先提出“‘利’者，义之和也”[4]的观点后，我国古代的义利之辨有过两个高潮时期：一是以孔子、孟子等为代表的先秦时期；二是以二程、朱熹、王阳明等为代表的宋明时期[3]532-545。</w:t>
      </w:r>
    </w:p>
    <w:p w14:paraId="04A7533D">
      <w:pPr>
        <w:spacing w:after="40" w:line="300" w:lineRule="auto"/>
        <w:ind w:firstLine="420"/>
        <w:jc w:val="both"/>
      </w:pPr>
      <w:r>
        <w:rPr>
          <w:rFonts w:ascii="宋体" w:hAnsi="宋体" w:eastAsia="宋体"/>
          <w:sz w:val="21"/>
        </w:rPr>
        <w:t>宋明时期形成的理学义利观是对先秦儒学义利观的继承和发展。春秋战国时期，儒墨道法等流派就义利关系问题进行了深入探讨，提出了诸多创见。其中，对后世影响最大的便是儒家。孔子提出“重义轻利”的思想主张，他认为“君子喻于义，小人喻于利”[5]。孔子十分看重义，将明白义、追求义作为君子的内在道德要求，对小人只了解利、只追求利的行为进行了批判。孟子基于对战国时期社会形势的深刻认识，进一步阐述和发展了孔子的义利观。孟子在回答梁惠王何以“利吾国”之问时指出：“王何必曰利，亦有仁义而已矣”[6]。孟子认为，义利是相对的，如果一味地追求物质利益，必然会引起人们之间的冲突，甚至招来亡国之祸。由此，在先秦时期，儒家形成了以孔孟义利观为核心的“别义利为二”[3]538的观点。汉代董仲舒提出“罢黜百家，独尊儒术”的主张，使儒学成为社会的主流思想，孔孟“重义轻利”的理念得以延续。董仲舒认为：“天之生人也，使人生义与利。利以养其体，义以养其心……体莫贵于心，故养莫重于义”[7]。在董仲舒看来，人天生就具有物质与精神两方面需求，“利”属于物质需求，“义”属于精神追求，但是精神需求更为重要，因此义重利轻。隋唐时期，随着佛道思想的盛行，传统儒学受到冲击和挑战，社会思想领域呈现出儒、佛、道三家鼎立之态势。宋代以后，二程以继承孔孟儒家道统为己任，“以儒为统”、兼采佛、道[8]，构建了以“天理”为哲学本体的新儒学体系，推动传统儒学发展至新阶段。在义利观方面，二程继承并发展了孔孟的义利思想，将“义利之辨”与“天理人欲之辨”结合起来，对义利的实质、先义后利、重义轻利等问题作了论述，并批评了那种只讲个人私利、不顾他人和整个国家利益的不义行为[9]255，奠定了理学义利观的思想基础。</w:t>
      </w:r>
    </w:p>
    <w:p w14:paraId="5E30E072">
      <w:pPr>
        <w:spacing w:after="40" w:line="300" w:lineRule="auto"/>
        <w:ind w:firstLine="420"/>
        <w:jc w:val="both"/>
      </w:pPr>
      <w:r>
        <w:rPr>
          <w:rFonts w:ascii="宋体" w:hAnsi="宋体" w:eastAsia="宋体"/>
          <w:sz w:val="21"/>
        </w:rPr>
        <w:t>程朱理学不仅主导了中国封建社会后期的主流意识形态，还深刻影响了东亚文化圈的伦理思想、教育理念及社会秩序，对当今社会发展仍具有重要启示意义。二程作为宋明理学的重要代表人物，其义利观承载着中华传统文化独特的伦理智慧。二程义利观并非仅仅囿于探讨义利关系问题本身，而是在更高思维水平上将义利之辨与理欲之辨、公私之辨等议题相融合[10]，具有鲜明的辩证意蕴。</w:t>
      </w:r>
    </w:p>
    <w:p w14:paraId="65FAC6FE">
      <w:pPr>
        <w:spacing w:after="40" w:line="300" w:lineRule="auto"/>
        <w:ind w:firstLine="420"/>
        <w:jc w:val="both"/>
      </w:pPr>
      <w:r>
        <w:rPr>
          <w:rFonts w:ascii="宋体" w:hAnsi="宋体" w:eastAsia="宋体"/>
          <w:sz w:val="21"/>
        </w:rPr>
        <w:t>一是从理欲之辨谈义利关系，在道德理性与感性欲望的矛盾中强调“存理灭欲”。“义者，天理之所宜；利者，人情之所欲”[11]。天理与人欲的对立是二程义利观的基本观点。其中，“天理”是二程哲学思想体系的最高范畴，具有本体论和道德论的双重意蕴[12]。二程指出：“天下之理一也，涂虽殊而其归则同，虑虽百而其致则一，虽物有万殊，事有万变，统之以一，则无能违也”[13]。“人之所以为人者，以有‘天理’也。‘天理’之不存，则与禽兽何异矣？”[14]1272。在二程看来，天理是世间万事万物的总理据，是自然界事物的普遍运行规律和人类社会伦理道德的最高准则。认识和遵循天理，是人与动物的根本区别。“人欲”是指人的各种私欲，包括物质欲望和精神欲望两个方面。二程承认一定限度内的“饮食男女”之欲是合理的[9]265，但是当人欲超过合理限度，就会带来极大危害。二程指出：“甚矣欲之害人也。人之为不善，欲诱之也。诱之而弗知，则至于天理灭而不知反。故目则欲色，耳则欲声，以至鼻则欲香，口则欲味，体则欲安，此皆有以使之也”[15]。二程对人欲总体持批判态度，他们认为人之所以会做坏事，都是因为欲望的引诱，比如眼睛贪图美色、耳朵贪图美声、鼻子贪图香气、嘴巴贪图美食、身体贪图安逸，这些都是欲望在驱使。对于天理与人欲的关系，二程认为“不是天理，便是私欲”。“人虽有意于为善，亦是非礼。无人欲即皆天理”[16]。“人心私欲，故危殆；道心天理，故精微。灭私欲则天理明矣”[17]。在二程看来，天理与人欲是相互对立、相互排斥的。人的行为不合于理或是人心被私欲占据，就会陷入危险和不安之中，只有消除人的私欲才能彰显天理。</w:t>
      </w:r>
    </w:p>
    <w:p w14:paraId="19897B0C">
      <w:pPr>
        <w:spacing w:after="40" w:line="300" w:lineRule="auto"/>
        <w:ind w:firstLine="420"/>
        <w:jc w:val="both"/>
      </w:pPr>
      <w:r>
        <w:rPr>
          <w:rFonts w:ascii="宋体" w:hAnsi="宋体" w:eastAsia="宋体"/>
          <w:sz w:val="21"/>
        </w:rPr>
        <w:t>二是从公私之辨谈义利关系，在个人私利与公共利益的矛盾中提倡“克私为公”。二程在对天理与人欲关系的思辨中，进一步强调了公与私的对立。在二程看来，“公”与“天理”“仁”“义”等范畴具有密切关联。二程提出“理者天下之公，不可私有也”[18]1193、“仁者，天下之公，善之本也”[19]、“义与利，只是个公与私也”[20]176。由此可见，二程将“公”置于崇高地位，认为它是世上具有普遍性和客观性的道理，是仁爱和道义的重要体现。“私”则是“公”的对立面，具有私心、私欲、私利等含义。二程认为：“有己则喜自私，私则万殊，宜其难一也”[14]1254。“心存乎利，取怨之道也。盖欲利于己，必损于人”[21]。“小人则唯用其私意，所比者虽非亦同，所恶者虽是亦异，故其所同者为阿党，盖其心不正也”[22]763-764。在二程看来，人有了自我意识，就容易产生各种各样的私心、私欲，这是不可避免的。但如果任由其发展，就会使人心术不正，从而产生歪曲客观事实、结党营私、危害他人利益的错误行为。在如何处理公私关系上，二程强调“克己则私心去，自然能复礼，虽不学文，而礼意已得”[23]18。这就是说，人只要战胜自己的私心、私欲，就能够做到遵循礼的要求，即便没有专门学习礼仪规范，但礼的精髓已经掌握了。其中“礼”即是“理”，也就是二程所说的“公”[9]264，“克己复礼”也就是要“克私为公”。</w:t>
      </w:r>
    </w:p>
    <w:p w14:paraId="4A298C36">
      <w:pPr>
        <w:spacing w:after="40" w:line="300" w:lineRule="auto"/>
        <w:ind w:firstLine="420"/>
        <w:jc w:val="both"/>
      </w:pPr>
      <w:r>
        <w:rPr>
          <w:rFonts w:ascii="宋体" w:hAnsi="宋体" w:eastAsia="宋体"/>
          <w:sz w:val="21"/>
        </w:rPr>
        <w:t>三是从儒学义利之辨本身谈义利关系，在道义原则与利益追求的矛盾中主张“利不妨义”。义利之辨贯穿于二程的哲学思想体系之中，涉及经济、政治、伦理等众多领域。二程认为，义利关系是万事万物中的一个根本性问题，如何看待和处理义利关系，决定了人们待人接物的行为方式，也事关人们能否遵循道德伦理准则这一根本问题。因此，程颢明确指出：“大凡出义则入利，出利则入义。天下之事，唯义利而已”[24]。在二程看来，“义”是社会公认的道德准则，是衡量事物轻重的标准。二程提出“义者宜也，权量轻重之极”[25]。“义当往则往，义当来则来耳”[14]1244。这就是说，人们应当遵循社会的道德规范，在行事时要以是否合乎道义作为根本依据，凡是道义所要求的，应当毫不犹豫地前往。“利”则指利益。世上存在各种不同的“利”，但其本质是统一的。正如二程所言：“所谓利者一而已。财利之利与利害之利，实无二义。以其可利，故谓之利”[26]396。“天下只是一个利，孟子与《周易》所言一般”[27]。二程认为，不论是财物方面的利，还是利害关系方面的利，其本质都是一致的。天下之事都在于一个“利”字，孟子与《周易》所阐述的道理在这方面是相同的。关于义与利的关系，二程首先强调“以义为本”[28]101。在面对利益与道义的矛盾时，应优先考虑道义，遵循道德原则。其次，二程指出要“以义为利，义安处便为利”[29]，不过多追求世俗的物质利益，而是将道义视为最高利益。最后，二程提出“圣人于利，不能全不较论，但不至妨义耳”[26]396。这就是说，义与利并非绝对对立，在追求利时不能违背义的原则，即“利不妨义”。</w:t>
      </w:r>
    </w:p>
    <w:p w14:paraId="49B19AB7">
      <w:pPr>
        <w:spacing w:before="240" w:after="120" w:line="300" w:lineRule="auto"/>
        <w:jc w:val="left"/>
      </w:pPr>
      <w:r>
        <w:rPr>
          <w:rFonts w:ascii="黑体" w:hAnsi="黑体" w:eastAsia="黑体"/>
          <w:b/>
          <w:sz w:val="24"/>
        </w:rPr>
        <w:t>二、二程义利观的新时代审思</w:t>
      </w:r>
    </w:p>
    <w:p w14:paraId="2E6CB55C">
      <w:pPr>
        <w:spacing w:after="40" w:line="300" w:lineRule="auto"/>
        <w:ind w:firstLine="420"/>
        <w:jc w:val="both"/>
      </w:pPr>
      <w:r>
        <w:rPr>
          <w:rFonts w:ascii="宋体" w:hAnsi="宋体" w:eastAsia="宋体"/>
          <w:sz w:val="21"/>
        </w:rPr>
        <w:t>二程以理欲之辨、公私之辨、义利之辨为核心内容的义利观，作为在封建社会经济基础上产生的思想理论，在一定程度上反映了封建主义的生产方式，具有时代和历史的局限性。但其中蕴含的“超越时代的文化基因和文化价值”[30]126，是我们研究、继承和发扬的。辩证而言，在理欲关系上，二程强调道德理性对人的感性欲望的引导作用，揭示了人性中的超越性向度。正如马克思所指出的，人不仅是自然存在物，也是精神存在物，“有意识的生命活动把人同动物的生命活动直接区别开来”[31]162。但是，二程对天理的认识具有一定的阶级局限性，他们认为“君臣父子间皆是理”[32]，实则是将“天理”实体化为封建伦理的形而上学本体，用道德说教来遮蔽阶级剥削的经济事实。在公私关系上，二程突破了个体本位的思维局限，提倡“天下大同之道”和“圣贤大公之心”[22]763，塑造了“士以天下为己任”的担当精神和集体主义精神，在伦理建构上具有进步意义。同时，二程进一步指出“利者，众人所同欲也，专欲利己，其害大矣”[18]1187，倡导谋求公利而不是私利。这与马克思所说的“无产阶级的运动是绝大多数人的、为绝大多数人谋利益的独立的运动”[33]42，具有一定的理念契合性。然而，二程提倡的“大公无私”具有道德绝对主义倾向，在一定程度上遮蔽了个体的权利与价值，试图靠心性修养来实现“天下为公”，却没有深刻认识到道德实践的重要作用。在义利关系上，二程承认物质利益的普遍性存在和基础性作用，并进一步提出“人皆知趋利而避害，圣人则更不论利害，惟看义当为与不当为”[20]176，尝试构建动机与效果相统一的伦理体系，对提升道德实践的合理性具有重要价值。此外，二程强调“利不妨义”，虽然在一定程度上缓和了义与利、理想与现实之间的矛盾，但是他们将“利”严格限定在作为封建纲常伦理的“义”的框架之内，实际上是用封建伦理规范消解人们对物质利益的合理追求，试图将封建等级制度下不合理的分配关系永恒化。</w:t>
      </w:r>
    </w:p>
    <w:p w14:paraId="243FD633">
      <w:pPr>
        <w:spacing w:after="40" w:line="300" w:lineRule="auto"/>
        <w:ind w:firstLine="420"/>
        <w:jc w:val="both"/>
      </w:pPr>
      <w:r>
        <w:rPr>
          <w:rFonts w:ascii="宋体" w:hAnsi="宋体" w:eastAsia="宋体"/>
          <w:sz w:val="21"/>
        </w:rPr>
        <w:t>当今世界正处于百年未有之大变局，全球化与现代性深度交织，资本逻辑导致的伦理失序、生态危机与人性异化问题日益凸显。马克思曾明确指出：“‘思想’一旦离开‘利益’，就一定会使自己出丑”[31]286。归根结底，当前世界各国所面临的种种困境，都离不开利益二字，是增长和分配、资本和劳动、效率和公平等矛盾激化的外在表现。在此背景下，推动二程义利观创造性转化，不仅是激活中华优秀传统文化当代生命力的必然选择，更是顺应时代发展需要、破解现代社会发展困境、促进社会和谐发展的重要举措。</w:t>
      </w:r>
    </w:p>
    <w:p w14:paraId="33F4451B">
      <w:pPr>
        <w:spacing w:after="40" w:line="300" w:lineRule="auto"/>
        <w:ind w:firstLine="420"/>
        <w:jc w:val="both"/>
      </w:pPr>
      <w:r>
        <w:rPr>
          <w:rFonts w:ascii="宋体" w:hAnsi="宋体" w:eastAsia="宋体"/>
          <w:sz w:val="21"/>
        </w:rPr>
        <w:t>其一，顺应推进“第二个结合”的时代需要。习近平总书记指出：“文化兴国运兴，文化强民族强。没有高度的文化自信，没有文化的繁荣兴盛，就没有中华民族伟大复兴”[34]。一方面，当今世界文化与经济、政治相互交融，文化软实力愈发成为评判一个国家综合国力的显著标志。因此，加强文化建设，是我国推进社会主义现代化建设、提升国际综合竞争力的应然之举。另一方面，“社会的变动，必然导致文化的变动”[30]125。党的十八大以来，中国特色社会主义进入新时代，这要求我们创造与新时代中国特色社会主义经济制度和政治制度相适应的文化形态。基于此，习近平总书记充分把握和顺应时代大势，提出“第二个结合”的文化发展要求，并深刻指明：“‘第二个结合’让马克思主义成为中国的，中华优秀传统文化成为现代的，让经由‘结合’而形成的新文化成为中国式现代化的文化形态”[35]。近年来，学界围绕“第二个结合”展开了丰富研究。但整体而言，已有研究成果多聚焦于探讨“第二个结合”本身的形成、内涵、原则、意义等问题，或是从宏观层面研究如何推进“第二个结合”的方法论问题。而从微观层面对马克思主义基本原理与哪些中华优秀传统文化相结合、具体要怎样结合等问题的研究，仍存在进一步挖掘的空间。推动二程义利观创造性转化，将二程义利观与马克思主义基本原理相结合、与现代社会发展相结合，正是顺应推进“第二个结合”的时代需要，实现让“中华优秀传统文化成为现代的”这一发展目标的具体实践。需要指明的是，推动二程义利观创造性转化，不是要坚持文化复古主义，无条件地、不分青红皂白地照搬传统，而是要剔除其封建性的糟粕，吸收其体现中国优良传统的、科学性的精华[36]，使其中蕴含的优秀文化基因与新时代中国特色社会主义发展相适应。</w:t>
      </w:r>
    </w:p>
    <w:p w14:paraId="4FD146FD">
      <w:pPr>
        <w:spacing w:after="40" w:line="300" w:lineRule="auto"/>
        <w:ind w:firstLine="420"/>
        <w:jc w:val="both"/>
      </w:pPr>
      <w:r>
        <w:rPr>
          <w:rFonts w:ascii="宋体" w:hAnsi="宋体" w:eastAsia="宋体"/>
          <w:sz w:val="21"/>
        </w:rPr>
        <w:t>其二，破解现代社会“惟利是图”的价值困境。现代社会肇始于西方资本主义的兴起与发展，以工业革命为标志的生产力变革不断推动人类社会从传统跨越至现代。然而，“技术的胜利，似乎是以道德的败坏为代价换来的”[33]580。“惟利是图”的价值困境在现代社会中日益凸显。一方面，资本“无休止的逐利性”，决定了西方资本主义国家必然将“利益最大化”异化为终极价值尺度。从资本主义的发展历程来看，自新航路开辟之后，欧洲各国拉开了贸易扩张和殖民侵略的序幕，开始进行血腥罪恶的资本原始积累。对此，马克思指出：“资本来到世间，从头到脚，每个毛孔都滴着血和肮脏的东西”[37]871，对资本主义为追求利益而不择手段进行了深刻批判。在追求资本增殖的过程中，资本家往往会以牺牲公共利益为代价来谋求私利，从而导致环境污染、资源枯竭、公平缺失等一系列社会问题。这种疯狂的逐利行为严重背离现代社会发展所追求的公平、正义、民主、自由等共同价值，最终会使社会陷入“专家们失却了灵魂，纵情声色者丢掉了心肝”[38]的麻木状态。另一方面，在中国特色社会主义市场经济发展过程中，同样面临着“惟利是图”的挑战。改革开放以来，中国特色社会主义经济建设取得了举世瞩目的伟大成就，但也出现了一定程度的贫富差距、道德滑坡、不讲诚信、官僚主义等问题。这些问题产生的重要原因之一，是身处现代社会中的人们没有正确认识义与利之间的辩证关系。早在中国古代，思想家们就倡导“义”“利”结合，鼓励统治者和社会精英在追求个人或国家利益的同时兼顾道德责任和社会公正[39]。而二程提出“以义为本”[28]101，对义利关系问题进行了深刻阐发，强调在追求利益时不能违背“义”这一最高道德准则。因而，推动二程义利观创造性转化，能够在道德文化层面为破解现代社会“惟利是图”的价值困境、促进现代社会的健康发展提供有益启示。</w:t>
      </w:r>
    </w:p>
    <w:p w14:paraId="7F697190">
      <w:pPr>
        <w:spacing w:after="40" w:line="300" w:lineRule="auto"/>
        <w:ind w:firstLine="420"/>
        <w:jc w:val="both"/>
      </w:pPr>
      <w:r>
        <w:rPr>
          <w:rFonts w:ascii="宋体" w:hAnsi="宋体" w:eastAsia="宋体"/>
          <w:sz w:val="21"/>
        </w:rPr>
        <w:t>其三，揭示西方“完全利己经济人假设”的理论谬误。利己与利他是人类行为中最古老的辩证关系之一。西方经济学认为，人是完全利己的，经济行为主体在追求经济利益的过程中，只会将实现自身利益最大化作为根本行为准则，而不会考虑他人或社会的利益，因而提出了“完全利己经济人假设”。国内外不少经济学者将这一假设作为研究和分析人类经济行为和市场经济的重要理论基础。实际上，这一假设不过是“工具理性、功利主义、个人主义、实证主义哲学思想的经济学用语”[40]，存在明显的理论缺陷。一方面，“完全利己经济人假设”认为人的利己心是与生俱来和一成不变的，完全忽视社会环境对人的经济行为与经济心理的作用，严重脱离社会实际，这就陷入了形而上学和唯心主义的窠臼。另一方面，“完全利己经济人假设”认为人在经济活动中始终保持一种极端化的工具理性，“计算最经济地将手段应用于目的”[41]，完全忽视经济行为主体本身的价值、信仰、道德和情感，将人极端片面化和功利化。二程义利观强调加强个人的道德修养，注重社会公共利益、整体利益和长远利益，对重建价值理性、消解工具理性、功利主义和个人主义对人性的遮蔽具有重要价值。当今世界正处在“一球两制”[42]阶段，总体仍处于“物的依赖性”的社会时期，因而利己主义不可避免地会存在。在这一时代背景下，推动二程义利观创造性转化，对构建中国特色“经济哲学”[40]、揭示以利己主义为核心的西方“完全利己经济人假设”的理论谬误、促进个人与经济社会和谐发展具有重要意义。</w:t>
      </w:r>
    </w:p>
    <w:p w14:paraId="47EC8707">
      <w:pPr>
        <w:spacing w:before="240" w:after="120" w:line="300" w:lineRule="auto"/>
        <w:jc w:val="left"/>
      </w:pPr>
      <w:r>
        <w:rPr>
          <w:rFonts w:ascii="黑体" w:hAnsi="黑体" w:eastAsia="黑体"/>
          <w:b/>
          <w:sz w:val="24"/>
        </w:rPr>
        <w:t>三、二程义利观创造性转化的实践路向</w:t>
      </w:r>
    </w:p>
    <w:p w14:paraId="0FDD71CA">
      <w:pPr>
        <w:spacing w:after="40" w:line="300" w:lineRule="auto"/>
        <w:ind w:firstLine="420"/>
        <w:jc w:val="both"/>
      </w:pPr>
      <w:r>
        <w:rPr>
          <w:rFonts w:ascii="宋体" w:hAnsi="宋体" w:eastAsia="宋体"/>
          <w:sz w:val="21"/>
        </w:rPr>
        <w:t>在新时代推动二程义利观创造性转化，应坚持“取其精华、去其糟粕”的基本原则，摒弃二程义利观内含的陈旧观念。在历史唯物主义和辩证唯物主义的指导下，结合新的时代特点，批判性继承其合理内核，实现精神追求与物质欲望、个人利益与集体利益、道义原则与利益诉求的有机统一，以此推动社会的全面进步与人的自由全面发展。</w:t>
      </w:r>
    </w:p>
    <w:p w14:paraId="47D08196">
      <w:pPr>
        <w:spacing w:after="40" w:line="300" w:lineRule="auto"/>
        <w:ind w:firstLine="420"/>
        <w:jc w:val="both"/>
      </w:pPr>
      <w:r>
        <w:rPr>
          <w:rFonts w:ascii="宋体" w:hAnsi="宋体" w:eastAsia="宋体"/>
          <w:sz w:val="21"/>
        </w:rPr>
        <w:t>其一，对理欲之辨的创造性转化。二程在理欲之辨中深刻阐发了人欲之害，从而得出“存理灭欲”的人生态度。当今社会，一部分人在资本逻辑影响下形成了对物质的过度追求，从而陷入消费主义的陷阱。而二程“存理灭欲”的主张，在某种意义上有利于解构资本逻辑下的消费主义异化，促使人们的消费生活回归正轨。</w:t>
      </w:r>
    </w:p>
    <w:p w14:paraId="07A0924E">
      <w:pPr>
        <w:spacing w:after="40" w:line="300" w:lineRule="auto"/>
        <w:ind w:firstLine="420"/>
        <w:jc w:val="both"/>
      </w:pPr>
      <w:r>
        <w:rPr>
          <w:rFonts w:ascii="宋体" w:hAnsi="宋体" w:eastAsia="宋体"/>
          <w:sz w:val="21"/>
        </w:rPr>
        <w:t>所谓资本逻辑，即资本追求剩余价值最大化的内在规律。马克思在《资本论》中指出：“资本只有一种生活本能，这就是增殖自身，创造剩余价值，用自己的不变部分即生产资料吮吸尽可能多的剩余劳动”[37]269。在这一逻辑主导下，资本主义生产方式将“人的关系”转化为“物的关系”，导致人们的消费观念和行为模式被笼罩在商品拜物教的阴影之下，从而形成以崇尚过度占有和物质享受为表征的消费主义。当代社会实际上已经成为一种“消费社会”，琳琅满目的商品似乎给人们的生活带来无限可能。但消费社会将生活的全部内容都纳入了消费主义之中。消费主义通过广告诱导、媒体渲染、符号价值生产等诸多手段，不断制造“虚假的需要”[43]，使人的合理需求逐渐异化为资本增殖的欲望工具。在资本逻辑中，人们“处在‘消费’控制着整个生活的境地”[44]，消费呈现出明显的异化特性。一方面，消费行为本身产生异化。消费不再是人们满足自身生存和发展需要的手段，而成为一种目的本身。在消费社会中，人们不再关注商品的使用价值，而是追求其符号价值，将消费视为一种生活方式和身份象征。另一方面，人与商品之间的关系产生异化。在消费社会中，人与商品之间的主客体地位发生颠倒，商品似乎被蒙上了一层神秘面纱，成为人们追捧的对象，反过来控制和奴役人本身。对消费者而言，消费主义是“欲望—消费—再欲望”的恶性循环，其伦理本质是“理欲关系”问题。</w:t>
      </w:r>
    </w:p>
    <w:p w14:paraId="2127532E">
      <w:pPr>
        <w:spacing w:after="40" w:line="300" w:lineRule="auto"/>
        <w:ind w:firstLine="420"/>
        <w:jc w:val="both"/>
      </w:pPr>
      <w:r>
        <w:rPr>
          <w:rFonts w:ascii="宋体" w:hAnsi="宋体" w:eastAsia="宋体"/>
          <w:sz w:val="21"/>
        </w:rPr>
        <w:t>二程提出“存理灭欲”，是要以“天理”约束“人欲”，这对批判消费社会中物欲横流的现象、消解资本逻辑下的消费主义异化具有重要意义。但是，二程所说的“天理”是指封建社会的道德伦理，“灭欲”也具有一定的绝对化倾向，忽视了个体的部分合理需求。因而，对“存理灭欲”进行创造性转化，应当以人的自由全面发展取代封建社会的道德伦理，以承认和保障个人合理的物质需求取代片面否定人的各种欲望。一方面，人的物质需要对人自身的生存发展具有首要性。马克思认为，人“为了生活，首先就需要吃喝住穿以及其他一些东西”[31]531，人的基本物质生活需要得到满足是人类历史演进的首要前提。因而，“灭欲”不能简单认为是消除人的一切欲望，而应是承认人的基本物质需要，消除人的不合理的、超出实际的物欲追求，使消费回归生活本质。另一方面，人的精神需要是人的类本质的重要体现。马克思指出，“人以其需要的无限性和广泛性区别于其他一切动物”[45]，“他们的需要即他们的本性”[46]。人不仅具有自然属性，更具有社会属性；人在本质上是“文化”的人，而不是“物化”的人。因而，“存理”不能是固守封建社会的道德伦理，而应是顺应时代发展大势，以实现人的自由全面发展为追求，坚持“必要消费—适度享受—精神超越”的消费逻辑，推动人的物质生活与精神生活协调发展。</w:t>
      </w:r>
    </w:p>
    <w:p w14:paraId="30913AAC">
      <w:pPr>
        <w:spacing w:after="40" w:line="300" w:lineRule="auto"/>
        <w:ind w:firstLine="420"/>
        <w:jc w:val="both"/>
      </w:pPr>
      <w:r>
        <w:rPr>
          <w:rFonts w:ascii="宋体" w:hAnsi="宋体" w:eastAsia="宋体"/>
          <w:sz w:val="21"/>
        </w:rPr>
        <w:t>其二，对公私之辨的创造性转化。公私之辨实质上是在探讨利己还是利他的问题。二程在对公私之辨的深刻分析中，提出了“克私为公”的精神追求。他们认为利己是人之常情，提出“有己则喜自私”[14]1254，但一味追求利己就会带来很大害处，因而又指出“克己则私心去”[23]18，提倡人应具有“至公之心”[9]265，即崇尚利他。在利己主义盛行的现代社会，二程的“克私为公”有助于促使人们将个人利益与集体利益相融合，在社会发展中坚持利己与利他相统一。</w:t>
      </w:r>
    </w:p>
    <w:p w14:paraId="3DCD3D01">
      <w:pPr>
        <w:spacing w:after="40" w:line="300" w:lineRule="auto"/>
        <w:ind w:firstLine="420"/>
        <w:jc w:val="both"/>
      </w:pPr>
      <w:r>
        <w:rPr>
          <w:rFonts w:ascii="宋体" w:hAnsi="宋体" w:eastAsia="宋体"/>
          <w:sz w:val="21"/>
        </w:rPr>
        <w:t>利己与利他是人性的两种不同倾向，属于人学理论中的一对范畴。古今中外许多学者都对其进行了探讨。在西方道德哲学的语境中，长期存在将利己与利他看作互不兼容、相互排斥的二元对立的理论观点[47]。前文所述的西方“完全利己经济人假设”，就是利己主义在经济学领域的具体展现。英国学者亚当·斯密更是在利己与利他的二元对立中陷入了自我矛盾：他在《国富论》中主张人是完全利己的，在《道德情操论》中却又认为人具有同情心和利他行为。笔者认为，“实际上，人的利己与利他是一种社会网络中的互动行为，具有互促性的内在机理”[48]。现实生活中的人同时具有利己和利他两种倾向，至于利己和利他哪种行为占主导地位，主要取决于社会制度和各种环境。由此，提出符合人的认知与行为的“利己和利他经济人假设”[48]，认为人有利己性与利他性，在私有经济范围内，个人追求利益最大化的利己主义会驱散利他心态；只有在社会公有经济范围内，利己与利他才能真正实现统一，个人利益会在集体利益和社会利益最大化的过程中实现合理的最大化。</w:t>
      </w:r>
    </w:p>
    <w:p w14:paraId="64C57788">
      <w:pPr>
        <w:spacing w:after="40" w:line="300" w:lineRule="auto"/>
        <w:ind w:firstLine="420"/>
        <w:jc w:val="both"/>
      </w:pPr>
      <w:r>
        <w:rPr>
          <w:rFonts w:ascii="宋体" w:hAnsi="宋体" w:eastAsia="宋体"/>
          <w:sz w:val="21"/>
        </w:rPr>
        <w:t>二程的“克私为公”为批判将利己与利他进行二元对立的错误观点提供了理论支撑，为处理私利与公利的矛盾指引了方向。但需要指明的是，二程所说的“克私”具有摒弃人的一切私利的绝对化倾向，“为公”实际上也是以维护封建地主阶级的利益作为出发点和落脚点的。因此，推动“克私为公”创造性转化，应当重新审视“公”与“私”的关系，将“克私”由否定人的一切私利转化为摒弃人的不合理的私利，将“为公”由维护封建地主阶级的利益转化为保障广大人民的根本利益；同时把握好个人利益与集体利益的辩证统一关系，承认合理的个人利益，并且将个人利益融入集体利益之中。正如马克思所言，“必须使人们的私人利益符合于人类的利益”[31]335。新时代新征程，推动“克私为公”创造性转化对我国社会主义现代化建设具有重要实践价值。一是在经济领域，“克私为公”揭示了人的利己与利他两种倾向的内在逻辑，这一认识有利于完善和深化“利己和利他经济人假设”，从而为我国社会主义市场经济的健康发展提供科学理论基础；二是在政治领域，“克私为公”强调克服不合理的利己主义倾向，有助于强化公职人员的职业道德和廉洁自律意识，从源头上减少腐败行为和官僚主义、形式主义的发生；三是在社会领域，“克私为公”崇尚利他、提倡利己与利他的统一、个人利益与集体利益的融合，能够为社会和谐提供导向性的价值引领，有利于推进社会有序治理和共享共富共福取得更为明显的实质性进展。</w:t>
      </w:r>
    </w:p>
    <w:p w14:paraId="4E60B1D1">
      <w:pPr>
        <w:spacing w:after="40" w:line="300" w:lineRule="auto"/>
        <w:ind w:firstLine="420"/>
        <w:jc w:val="both"/>
      </w:pPr>
      <w:r>
        <w:rPr>
          <w:rFonts w:ascii="宋体" w:hAnsi="宋体" w:eastAsia="宋体"/>
          <w:sz w:val="21"/>
        </w:rPr>
        <w:t>其三，对义利之辨的创造性转化。二程在义利之辨中深刻洞见“天下之事皆是义利”，并且提出了“以义为本”“以义为利”“利不妨义”等处事原则。在追求“利益至上”的现代社会中，二程的义利之辨既对个人成长具有重要作用，也对世界各国在国际交往中树立和坚持正确义利观提供了价值引领。</w:t>
      </w:r>
    </w:p>
    <w:p w14:paraId="30B0501B">
      <w:pPr>
        <w:spacing w:after="40" w:line="300" w:lineRule="auto"/>
        <w:ind w:firstLine="420"/>
        <w:jc w:val="both"/>
      </w:pPr>
      <w:r>
        <w:rPr>
          <w:rFonts w:ascii="宋体" w:hAnsi="宋体" w:eastAsia="宋体"/>
          <w:sz w:val="21"/>
        </w:rPr>
        <w:t>正确处理义利关系，是国际交往的重要原则。当前在国际交往中，以美国为典型代表的部分西方国家长期坚持“修昔底德陷阱”与零和博弈思维等错误观点。它们认为，新兴大国与守成大国之间的矛盾不可避免，二者之间必然会发生战争冲突；在竞争或对抗中，一方的收益必然意味着另一方的损失，双方收益与损失之和为零。实际上，这些观点具有片面性。它们只看到了矛盾的对立性，却忽视了矛盾的统一性，从而遮蔽了国家间通过合作实现共赢的可能。正是在此类错误观点的影响下，美国等部分西方国家陷入了国强必霸的狭隘逻辑，在国际交往中只顾本国利益，全然不顾他国和国际社会共同利益，随意“毁约”“退群”，为维护自身国际霸权地位，动辄对他国进行经济制裁、关税大战，甚至进行直接或间接的武力打击。显然，这是只讲“利”而不讲“义”的表现。党的十八大以来，正确处理各种义利关系，成为以习近平同志为核心的党中央深入思考的重大课题[49]。习近平总书记多次强调，在国际交往中，要坚持正确义利观，以义为先、义利兼顾[50]。“把中国发展与世界发展联系起来，把中国人民利益同各国人民共同利益结合起来，不断扩大同各国的互利合作”[51]，促进合作共赢。二程提出的“利不妨义”等处事之道，强调个人在追求“利”时不能违背“义”的原则，为我们处理当前国际交往中的义利矛盾提供了重要启示。但是在二程那里，“利”是指个人私利，“义”是指封建纲常伦理，因而“利不妨义”的本意并不能直接适用于当前国际社会的发展需要。推动“利不妨义”创造性转化，必须将“义”从封建阶级伦理的牢笼中解放出来，以人类社会共同进步为“大义”，以维护和发展世界各国人民共同利益为追求，实现“义”“利”内涵的新时代升华。正如习近平总书记指出的：“‘义’反映的是我们的一个理念，共产党人、社会主义国家的理念。这个世界上一部分人过得很好，一部分人过得很不好，不是个好现象。真正的快乐幸福是大家共同快乐、共同幸福。我们希望全世界共同发展，特别是希望广大发展中国家加快发展。‘利’就是要恪守互利共赢原则，不搞我赢你输，要实现双赢”[52]137-138。一方面，要坚持以义为先，对治见利忘义。作为负责任的大国，我们要讲信义、重情义、扬正义、树道义，对贫穷的国家给予力所能及的帮助，有时甚至要重义轻利、舍利取义，绝不能惟利是图、斤斤计较[52]138。另一方面，要坚持义利兼顾，奉行双赢、多赢、共赢的新理念[53]。各国在国际交往中要扔掉我赢你输、赢者通吃的陈旧思维，不断深化务实合作，努力寻求各方利益的汇合点，塑造人类利益共同体和命运共同体，促进世界各国共同繁荣发展。</w:t>
      </w:r>
    </w:p>
    <w:p w14:paraId="2EBDC86B">
      <w:pPr>
        <w:spacing w:before="240" w:after="120" w:line="300" w:lineRule="auto"/>
        <w:jc w:val="left"/>
      </w:pPr>
      <w:r>
        <w:rPr>
          <w:rFonts w:ascii="黑体" w:hAnsi="黑体" w:eastAsia="黑体"/>
          <w:b/>
          <w:sz w:val="24"/>
        </w:rPr>
        <w:t>结  语</w:t>
      </w:r>
    </w:p>
    <w:p w14:paraId="3BF2150A">
      <w:pPr>
        <w:spacing w:after="40" w:line="300" w:lineRule="auto"/>
        <w:ind w:firstLine="420"/>
        <w:jc w:val="both"/>
      </w:pPr>
      <w:r>
        <w:rPr>
          <w:rFonts w:ascii="宋体" w:hAnsi="宋体" w:eastAsia="宋体"/>
          <w:sz w:val="21"/>
        </w:rPr>
        <w:t>马克思和恩格斯指出：“意识一开始就是社会的产物，而且只要人们存在着，它就仍然是这种产物”[31]533。二程义利观作为北宋时期出现的一种思想理论，其生成与样态皆植根于当时的社会发展实际。因此，要全面把握二程义利观的深刻内涵，还应从二程所处的北宋时期社会经济转型、阶级矛盾激化以及文化理念冲突等现实去考察。限于篇幅，笔者以二程理学的相关文本为基础，从理性与感性、群体与个体、物质追求与精神追求等关系中去探究和理解其义利观本质。总体而言，二程义利观思想深邃、内涵丰富。在本体论方面，二程认为“理”是一种客观本体，而“义”则是体现“理”的要求，故称之为“义理”，“明理灭欲”即强调人应遵循社会规律和道德准则；在人生论方面，二程将“义”视为一种包含道德意识和道德行为的理性自觉，是一种追求“大公”的人生理想境界，故称之为“公义”“仁义”，“克私为公”即是对人生理想境界的追求；在修养论方面，二程重视“义”的道德地位和精神价值，强调要以“义”为准，加强个人道德修养、丰富个人精神生活，“利不妨义”即是对过度追求物质利益的限制和批判。二程义利观强调依靠道德来调节利益关系、稳定社会秩序，这一主张对当前改善社会风尚、提升人民道德水平具有重要价值。</w:t>
      </w:r>
    </w:p>
    <w:p w14:paraId="1CF0CA56">
      <w:pPr>
        <w:spacing w:after="40" w:line="300" w:lineRule="auto"/>
        <w:ind w:firstLine="420"/>
        <w:jc w:val="both"/>
      </w:pPr>
      <w:r>
        <w:rPr>
          <w:rFonts w:ascii="宋体" w:hAnsi="宋体" w:eastAsia="宋体"/>
          <w:sz w:val="21"/>
        </w:rPr>
        <w:t>在“两个大局”相互交织的时代背景下，对二程义利观进行创造性转化是推进“第二个结合”的题中应有之义，对批判“惟利是图”的资本主义价值观、构建中国特色经济哲学话语体系具有重要意义。具体而言，推动二程义利观创造性转化需在习近平文化思想的指引下，将“存理灭欲”“克私为公”“利不妨义”等观点与马克思主义基本原理相结合、与新时代中国发展的具体实际相结合，使其能够运用到个人成长、社会发展以及国际交往等各领域之中。但需要指明的是，推动二程义利观创造性转化，并非要搞“道德决定论”，而是要充分发挥意识对物质的反作用，用其中的思想精华进一步深化新时代“正确义利观”，使其更好地服务于新时代中国特色社会主义伟大实践。</w:t>
      </w:r>
    </w:p>
    <w:p w14:paraId="70CB1FF6">
      <w:pPr>
        <w:spacing w:before="240" w:after="120" w:line="300" w:lineRule="auto"/>
        <w:jc w:val="left"/>
      </w:pPr>
      <w:r>
        <w:rPr>
          <w:rFonts w:ascii="黑体" w:hAnsi="黑体" w:eastAsia="黑体"/>
          <w:b/>
          <w:sz w:val="24"/>
        </w:rPr>
        <w:t>参考文献</w:t>
      </w:r>
    </w:p>
    <w:p w14:paraId="3C0846C8">
      <w:pPr>
        <w:spacing w:after="20" w:line="276" w:lineRule="auto"/>
        <w:ind w:left="420" w:hanging="420"/>
        <w:jc w:val="both"/>
      </w:pPr>
      <w:r>
        <w:rPr>
          <w:rFonts w:ascii="宋体" w:hAnsi="宋体" w:eastAsia="宋体"/>
          <w:sz w:val="18"/>
        </w:rPr>
        <w:t>[1] 晦庵先生朱文公文集：卷二十四·与延平李先生书[M]//朱熹.朱子全书：第21册.朱杰人，严佐之，刘永翔，主编.刘永翔，朱幼文，校点.上海：上海古籍出版社，2002：1082.</w:t>
      </w:r>
    </w:p>
    <w:p w14:paraId="6F7A38EA">
      <w:pPr>
        <w:spacing w:after="20" w:line="276" w:lineRule="auto"/>
        <w:ind w:left="420" w:hanging="420"/>
        <w:jc w:val="both"/>
      </w:pPr>
      <w:r>
        <w:rPr>
          <w:rFonts w:ascii="宋体" w:hAnsi="宋体" w:eastAsia="宋体"/>
          <w:sz w:val="18"/>
        </w:rPr>
        <w:t>[2] 习近平谈治国理政：第4卷[M].北京：外文出版社，2022：445.</w:t>
      </w:r>
    </w:p>
    <w:p w14:paraId="71CDF0E3">
      <w:pPr>
        <w:spacing w:after="20" w:line="276" w:lineRule="auto"/>
        <w:ind w:left="420" w:hanging="420"/>
        <w:jc w:val="both"/>
      </w:pPr>
      <w:r>
        <w:rPr>
          <w:rFonts w:ascii="宋体" w:hAnsi="宋体" w:eastAsia="宋体"/>
          <w:sz w:val="18"/>
        </w:rPr>
        <w:t>[3] 葛荣晋.中国哲学范畴通论[M].北京：首都师范大学出版社，2001.</w:t>
      </w:r>
    </w:p>
    <w:p w14:paraId="11F32448">
      <w:pPr>
        <w:spacing w:after="20" w:line="276" w:lineRule="auto"/>
        <w:ind w:left="420" w:hanging="420"/>
        <w:jc w:val="both"/>
      </w:pPr>
      <w:r>
        <w:rPr>
          <w:rFonts w:ascii="宋体" w:hAnsi="宋体" w:eastAsia="宋体"/>
          <w:sz w:val="18"/>
        </w:rPr>
        <w:t>[4] 乾[M]//周易.杨天才，张善文，译注.北京：中华书局，2011：10.</w:t>
      </w:r>
    </w:p>
    <w:p w14:paraId="15F7E499">
      <w:pPr>
        <w:spacing w:after="20" w:line="276" w:lineRule="auto"/>
        <w:ind w:left="420" w:hanging="420"/>
        <w:jc w:val="both"/>
      </w:pPr>
      <w:r>
        <w:rPr>
          <w:rFonts w:ascii="宋体" w:hAnsi="宋体" w:eastAsia="宋体"/>
          <w:sz w:val="18"/>
        </w:rPr>
        <w:t>[5] 论语·里仁[M]//论语·大学·中庸.陈晓芬，徐儒宗，译注.北京：中华书局，2015：44.</w:t>
      </w:r>
    </w:p>
    <w:p w14:paraId="69849406">
      <w:pPr>
        <w:spacing w:after="20" w:line="276" w:lineRule="auto"/>
        <w:ind w:left="420" w:hanging="420"/>
        <w:jc w:val="both"/>
      </w:pPr>
      <w:r>
        <w:rPr>
          <w:rFonts w:ascii="宋体" w:hAnsi="宋体" w:eastAsia="宋体"/>
          <w:sz w:val="18"/>
        </w:rPr>
        <w:t>[6] 梁惠王上[M]//孟子.方勇，译注.北京：中华书局，2010：2.</w:t>
      </w:r>
    </w:p>
    <w:p w14:paraId="2DFB239F">
      <w:pPr>
        <w:spacing w:after="20" w:line="276" w:lineRule="auto"/>
        <w:ind w:left="420" w:hanging="420"/>
        <w:jc w:val="both"/>
      </w:pPr>
      <w:r>
        <w:rPr>
          <w:rFonts w:ascii="宋体" w:hAnsi="宋体" w:eastAsia="宋体"/>
          <w:sz w:val="18"/>
        </w:rPr>
        <w:t>[7] 身之养重于义[M]//春秋繁露.张世亮，钟肇鹏，周桂钿，译注.北京：中华书局，2012：330.</w:t>
      </w:r>
    </w:p>
    <w:p w14:paraId="0A5BA571">
      <w:pPr>
        <w:spacing w:after="20" w:line="276" w:lineRule="auto"/>
        <w:ind w:left="420" w:hanging="420"/>
        <w:jc w:val="both"/>
      </w:pPr>
      <w:r>
        <w:rPr>
          <w:rFonts w:ascii="宋体" w:hAnsi="宋体" w:eastAsia="宋体"/>
          <w:sz w:val="18"/>
        </w:rPr>
        <w:t>[8] 潘富恩，徐余庆.程颢程颐理学思想研究[M].上海：复旦大学出版社，1988：42.</w:t>
      </w:r>
    </w:p>
    <w:p w14:paraId="071DE07B">
      <w:pPr>
        <w:spacing w:after="20" w:line="276" w:lineRule="auto"/>
        <w:ind w:left="420" w:hanging="420"/>
        <w:jc w:val="both"/>
      </w:pPr>
      <w:r>
        <w:rPr>
          <w:rFonts w:ascii="宋体" w:hAnsi="宋体" w:eastAsia="宋体"/>
          <w:sz w:val="18"/>
        </w:rPr>
        <w:t>[9] 卢连章.程颢程颐评传[M].南京：南京大学出版社，2001.</w:t>
      </w:r>
    </w:p>
    <w:p w14:paraId="63C71DF0">
      <w:pPr>
        <w:spacing w:after="20" w:line="276" w:lineRule="auto"/>
        <w:ind w:left="420" w:hanging="420"/>
        <w:jc w:val="both"/>
      </w:pPr>
      <w:r>
        <w:rPr>
          <w:rFonts w:ascii="宋体" w:hAnsi="宋体" w:eastAsia="宋体"/>
          <w:sz w:val="18"/>
        </w:rPr>
        <w:t>[10] 王黎明.程颢和程颐义利观及其影响分析[J].理论月刊，2013（5）：67-70.</w:t>
      </w:r>
    </w:p>
    <w:p w14:paraId="7DDCAAB8">
      <w:pPr>
        <w:spacing w:after="20" w:line="276" w:lineRule="auto"/>
        <w:ind w:left="420" w:hanging="420"/>
        <w:jc w:val="both"/>
      </w:pPr>
      <w:r>
        <w:rPr>
          <w:rFonts w:ascii="宋体" w:hAnsi="宋体" w:eastAsia="宋体"/>
          <w:sz w:val="18"/>
        </w:rPr>
        <w:t>[11] 里仁[M]//朱熹.论语集注.郭万金，编校.北京：商务印书馆，2015：116.</w:t>
      </w:r>
    </w:p>
    <w:p w14:paraId="219AFA4A">
      <w:pPr>
        <w:spacing w:after="20" w:line="276" w:lineRule="auto"/>
        <w:ind w:left="420" w:hanging="420"/>
        <w:jc w:val="both"/>
      </w:pPr>
      <w:r>
        <w:rPr>
          <w:rFonts w:ascii="宋体" w:hAnsi="宋体" w:eastAsia="宋体"/>
          <w:sz w:val="18"/>
        </w:rPr>
        <w:t>[12] 徐远和.略论二程的理欲观[J].中州学刊，1982（3）：49-53.</w:t>
      </w:r>
    </w:p>
    <w:p w14:paraId="58E8D9BC">
      <w:pPr>
        <w:spacing w:after="20" w:line="276" w:lineRule="auto"/>
        <w:ind w:left="420" w:hanging="420"/>
        <w:jc w:val="both"/>
      </w:pPr>
      <w:r>
        <w:rPr>
          <w:rFonts w:ascii="宋体" w:hAnsi="宋体" w:eastAsia="宋体"/>
          <w:sz w:val="18"/>
        </w:rPr>
        <w:t>[13] 周易程氏传：卷第三[M]//程颢，程颐.二程集.王孝鱼，点校.北京：中华书局，1981：858.</w:t>
      </w:r>
    </w:p>
    <w:p w14:paraId="5C0CE6EC">
      <w:pPr>
        <w:spacing w:after="20" w:line="276" w:lineRule="auto"/>
        <w:ind w:left="420" w:hanging="420"/>
        <w:jc w:val="both"/>
      </w:pPr>
      <w:r>
        <w:rPr>
          <w:rFonts w:ascii="宋体" w:hAnsi="宋体" w:eastAsia="宋体"/>
          <w:sz w:val="18"/>
        </w:rPr>
        <w:t>[14] 河南程氏粹言：卷第二[M]//程颢，程颐.二程集.王孝鱼，点校.北京：中华书局，1981.</w:t>
      </w:r>
    </w:p>
    <w:p w14:paraId="2859E1E8">
      <w:pPr>
        <w:spacing w:after="20" w:line="276" w:lineRule="auto"/>
        <w:ind w:left="420" w:hanging="420"/>
        <w:jc w:val="both"/>
      </w:pPr>
      <w:r>
        <w:rPr>
          <w:rFonts w:ascii="宋体" w:hAnsi="宋体" w:eastAsia="宋体"/>
          <w:sz w:val="18"/>
        </w:rPr>
        <w:t>[15] 河南程氏遗书：卷第二十五[M]//程颢，程颐.二程集.王孝鱼，点校.北京：中华书局，1981：319.</w:t>
      </w:r>
    </w:p>
    <w:p w14:paraId="369943D2">
      <w:pPr>
        <w:spacing w:after="20" w:line="276" w:lineRule="auto"/>
        <w:ind w:left="420" w:hanging="420"/>
        <w:jc w:val="both"/>
      </w:pPr>
      <w:r>
        <w:rPr>
          <w:rFonts w:ascii="宋体" w:hAnsi="宋体" w:eastAsia="宋体"/>
          <w:sz w:val="18"/>
        </w:rPr>
        <w:t>[16] 河南程氏遗书：卷第十五[M]//程颢，程颐.二程集.王孝鱼，点校.北京：中华书局，1981：144.</w:t>
      </w:r>
    </w:p>
    <w:p w14:paraId="27D073EF">
      <w:pPr>
        <w:spacing w:after="20" w:line="276" w:lineRule="auto"/>
        <w:ind w:left="420" w:hanging="420"/>
        <w:jc w:val="both"/>
      </w:pPr>
      <w:r>
        <w:rPr>
          <w:rFonts w:ascii="宋体" w:hAnsi="宋体" w:eastAsia="宋体"/>
          <w:sz w:val="18"/>
        </w:rPr>
        <w:t>[17] 河南程氏遗书：卷第二十四[M]//程颢，程颐.二程集.王孝鱼，点校.北京：中华书局，1981：312.</w:t>
      </w:r>
    </w:p>
    <w:p w14:paraId="5FFB8AD4">
      <w:pPr>
        <w:spacing w:after="20" w:line="276" w:lineRule="auto"/>
        <w:ind w:left="420" w:hanging="420"/>
        <w:jc w:val="both"/>
      </w:pPr>
      <w:r>
        <w:rPr>
          <w:rFonts w:ascii="宋体" w:hAnsi="宋体" w:eastAsia="宋体"/>
          <w:sz w:val="18"/>
        </w:rPr>
        <w:t>[18] 河南程氏粹言：卷第一[M]//程颢，程颐.二程集.王孝鱼，点校.北京：中华书局，1981.</w:t>
      </w:r>
    </w:p>
    <w:p w14:paraId="52A484E4">
      <w:pPr>
        <w:spacing w:after="20" w:line="276" w:lineRule="auto"/>
        <w:ind w:left="420" w:hanging="420"/>
        <w:jc w:val="both"/>
      </w:pPr>
      <w:r>
        <w:rPr>
          <w:rFonts w:ascii="宋体" w:hAnsi="宋体" w:eastAsia="宋体"/>
          <w:sz w:val="18"/>
        </w:rPr>
        <w:t>[19] 周易程氏传：卷第二[M]//程颢，程颐.二程集.王孝鱼，点校.北京：中华书局，1981：820.</w:t>
      </w:r>
    </w:p>
    <w:p w14:paraId="573A1D7F">
      <w:pPr>
        <w:spacing w:after="20" w:line="276" w:lineRule="auto"/>
        <w:ind w:left="420" w:hanging="420"/>
        <w:jc w:val="both"/>
      </w:pPr>
      <w:r>
        <w:rPr>
          <w:rFonts w:ascii="宋体" w:hAnsi="宋体" w:eastAsia="宋体"/>
          <w:sz w:val="18"/>
        </w:rPr>
        <w:t>[20] 河南程氏遗书：卷第十七[M]//程颢，程颐.二程集.王孝鱼，点校.北京：中华书局，1981.</w:t>
      </w:r>
    </w:p>
    <w:p w14:paraId="1B2AE41B">
      <w:pPr>
        <w:spacing w:after="20" w:line="276" w:lineRule="auto"/>
        <w:ind w:left="420" w:hanging="420"/>
        <w:jc w:val="both"/>
      </w:pPr>
      <w:r>
        <w:rPr>
          <w:rFonts w:ascii="宋体" w:hAnsi="宋体" w:eastAsia="宋体"/>
          <w:sz w:val="18"/>
        </w:rPr>
        <w:t>[21] 河南程氏经说：卷第六[M]//程颢，程颐.二程集.王孝鱼，点校.北京：中华书局，1981：1138.</w:t>
      </w:r>
    </w:p>
    <w:p w14:paraId="2BF96456">
      <w:pPr>
        <w:spacing w:after="20" w:line="276" w:lineRule="auto"/>
        <w:ind w:left="420" w:hanging="420"/>
        <w:jc w:val="both"/>
      </w:pPr>
      <w:r>
        <w:rPr>
          <w:rFonts w:ascii="宋体" w:hAnsi="宋体" w:eastAsia="宋体"/>
          <w:sz w:val="18"/>
        </w:rPr>
        <w:t>[22] 周易程氏传：卷第一[M]//程颢，程颐.二程集.王孝鱼，点校.北京：中华书局，1981.</w:t>
      </w:r>
    </w:p>
    <w:p w14:paraId="11921803">
      <w:pPr>
        <w:spacing w:after="20" w:line="276" w:lineRule="auto"/>
        <w:ind w:left="420" w:hanging="420"/>
        <w:jc w:val="both"/>
      </w:pPr>
      <w:r>
        <w:rPr>
          <w:rFonts w:ascii="宋体" w:hAnsi="宋体" w:eastAsia="宋体"/>
          <w:sz w:val="18"/>
        </w:rPr>
        <w:t>[23] 河南程氏遗书：卷第二上[M]//程颢，程颐.二程集.王孝鱼，点校.北京：中华书局，1981.</w:t>
      </w:r>
    </w:p>
    <w:p w14:paraId="572C8022">
      <w:pPr>
        <w:spacing w:after="20" w:line="276" w:lineRule="auto"/>
        <w:ind w:left="420" w:hanging="420"/>
        <w:jc w:val="both"/>
      </w:pPr>
      <w:r>
        <w:rPr>
          <w:rFonts w:ascii="宋体" w:hAnsi="宋体" w:eastAsia="宋体"/>
          <w:sz w:val="18"/>
        </w:rPr>
        <w:t>[24] 河南程氏遗书：卷第十一[M]//程颢，程颐.二程集.王孝鱼，点校.北京：中华书局，1981：124.</w:t>
      </w:r>
    </w:p>
    <w:p w14:paraId="222ECE9A">
      <w:pPr>
        <w:spacing w:after="20" w:line="276" w:lineRule="auto"/>
        <w:ind w:left="420" w:hanging="420"/>
        <w:jc w:val="both"/>
      </w:pPr>
      <w:r>
        <w:rPr>
          <w:rFonts w:ascii="宋体" w:hAnsi="宋体" w:eastAsia="宋体"/>
          <w:sz w:val="18"/>
        </w:rPr>
        <w:t>[25] 河南程氏遗书：卷第九[M]//程颢，程颐.二程集.王孝鱼，点校.北京：中华书局，1981：105.</w:t>
      </w:r>
    </w:p>
    <w:p w14:paraId="71992835">
      <w:pPr>
        <w:spacing w:after="20" w:line="276" w:lineRule="auto"/>
        <w:ind w:left="420" w:hanging="420"/>
        <w:jc w:val="both"/>
      </w:pPr>
      <w:r>
        <w:rPr>
          <w:rFonts w:ascii="宋体" w:hAnsi="宋体" w:eastAsia="宋体"/>
          <w:sz w:val="18"/>
        </w:rPr>
        <w:t>[26] 河南程氏外书：卷第七[M]//程颢，程颐.二程集.王孝鱼，点校.北京：中华书局，1981.</w:t>
      </w:r>
    </w:p>
    <w:p w14:paraId="5B933DA2">
      <w:pPr>
        <w:spacing w:after="20" w:line="276" w:lineRule="auto"/>
        <w:ind w:left="420" w:hanging="420"/>
        <w:jc w:val="both"/>
      </w:pPr>
      <w:r>
        <w:rPr>
          <w:rFonts w:ascii="宋体" w:hAnsi="宋体" w:eastAsia="宋体"/>
          <w:sz w:val="18"/>
        </w:rPr>
        <w:t>[27] 河南程氏遗书：卷第十八[M]//程颢，程颐.二程集.王孝鱼，点校.北京：中华书局，1981：215.</w:t>
      </w:r>
    </w:p>
    <w:p w14:paraId="4C1B21DF">
      <w:pPr>
        <w:spacing w:after="20" w:line="276" w:lineRule="auto"/>
        <w:ind w:left="420" w:hanging="420"/>
        <w:jc w:val="both"/>
      </w:pPr>
      <w:r>
        <w:rPr>
          <w:rFonts w:ascii="宋体" w:hAnsi="宋体" w:eastAsia="宋体"/>
          <w:sz w:val="18"/>
        </w:rPr>
        <w:t>[28] 河南程氏遗书：卷第八[M]//程颢，程颐.二程集.王孝鱼，点校.北京：中华书局，1981.</w:t>
      </w:r>
    </w:p>
    <w:p w14:paraId="29D1523A">
      <w:pPr>
        <w:spacing w:after="20" w:line="276" w:lineRule="auto"/>
        <w:ind w:left="420" w:hanging="420"/>
        <w:jc w:val="both"/>
      </w:pPr>
      <w:r>
        <w:rPr>
          <w:rFonts w:ascii="宋体" w:hAnsi="宋体" w:eastAsia="宋体"/>
          <w:sz w:val="18"/>
        </w:rPr>
        <w:t>[29] 河南程氏遗书：卷第十六[M]//程颢，程颐.二程集.王孝鱼，点校.北京：中华书局，1981：173.</w:t>
      </w:r>
    </w:p>
    <w:p w14:paraId="479B6953">
      <w:pPr>
        <w:spacing w:after="20" w:line="276" w:lineRule="auto"/>
        <w:ind w:left="420" w:hanging="420"/>
        <w:jc w:val="both"/>
      </w:pPr>
      <w:r>
        <w:rPr>
          <w:rFonts w:ascii="宋体" w:hAnsi="宋体" w:eastAsia="宋体"/>
          <w:sz w:val="18"/>
        </w:rPr>
        <w:t>[30] 陈先达.马克思主义和中国传统文化十二讲[M].北京：人民出版社，2023.</w:t>
      </w:r>
    </w:p>
    <w:p w14:paraId="2F7B7FEF">
      <w:pPr>
        <w:spacing w:after="20" w:line="276" w:lineRule="auto"/>
        <w:ind w:left="420" w:hanging="420"/>
        <w:jc w:val="both"/>
      </w:pPr>
      <w:r>
        <w:rPr>
          <w:rFonts w:ascii="宋体" w:hAnsi="宋体" w:eastAsia="宋体"/>
          <w:sz w:val="18"/>
        </w:rPr>
        <w:t>[31] 马克思恩格斯文集：第1卷[M].北京：人民出版社，2009.</w:t>
      </w:r>
    </w:p>
    <w:p w14:paraId="77063028">
      <w:pPr>
        <w:spacing w:after="20" w:line="276" w:lineRule="auto"/>
        <w:ind w:left="420" w:hanging="420"/>
        <w:jc w:val="both"/>
      </w:pPr>
      <w:r>
        <w:rPr>
          <w:rFonts w:ascii="宋体" w:hAnsi="宋体" w:eastAsia="宋体"/>
          <w:sz w:val="18"/>
        </w:rPr>
        <w:t>[32] 河南程氏遗书：卷第十九[M]//程颢，程颐.二程集.王孝鱼，点校.北京：中华书局，1981：247.</w:t>
      </w:r>
    </w:p>
    <w:p w14:paraId="7E2F905A">
      <w:pPr>
        <w:spacing w:after="20" w:line="276" w:lineRule="auto"/>
        <w:ind w:left="420" w:hanging="420"/>
        <w:jc w:val="both"/>
      </w:pPr>
      <w:r>
        <w:rPr>
          <w:rFonts w:ascii="宋体" w:hAnsi="宋体" w:eastAsia="宋体"/>
          <w:sz w:val="18"/>
        </w:rPr>
        <w:t>[33] 马克思恩格斯文集：第2卷[M].北京：人民出版社，2009.</w:t>
      </w:r>
    </w:p>
    <w:p w14:paraId="5465BDA7">
      <w:pPr>
        <w:spacing w:after="20" w:line="276" w:lineRule="auto"/>
        <w:ind w:left="420" w:hanging="420"/>
        <w:jc w:val="both"/>
      </w:pPr>
      <w:r>
        <w:rPr>
          <w:rFonts w:ascii="宋体" w:hAnsi="宋体" w:eastAsia="宋体"/>
          <w:sz w:val="18"/>
        </w:rPr>
        <w:t>[34] 习近平谈治国理政：第3卷[M].北京：外文出版社，2020：32.</w:t>
      </w:r>
    </w:p>
    <w:p w14:paraId="6ACB9678">
      <w:pPr>
        <w:spacing w:after="20" w:line="276" w:lineRule="auto"/>
        <w:ind w:left="420" w:hanging="420"/>
        <w:jc w:val="both"/>
      </w:pPr>
      <w:r>
        <w:rPr>
          <w:rFonts w:ascii="宋体" w:hAnsi="宋体" w:eastAsia="宋体"/>
          <w:sz w:val="18"/>
        </w:rPr>
        <w:t>[35] 习近平谈治国理政：第5卷[M].北京：外文出版社，2025：289.</w:t>
      </w:r>
    </w:p>
    <w:p w14:paraId="161B88B5">
      <w:pPr>
        <w:spacing w:after="20" w:line="276" w:lineRule="auto"/>
        <w:ind w:left="420" w:hanging="420"/>
        <w:jc w:val="both"/>
      </w:pPr>
      <w:r>
        <w:rPr>
          <w:rFonts w:ascii="宋体" w:hAnsi="宋体" w:eastAsia="宋体"/>
          <w:sz w:val="18"/>
        </w:rPr>
        <w:t>[36] 程恩富，何干强.论推进中国经济学现代化的学术原则——主析“马学”“西学”与“国学”之关系[J].马克思主义研究，2009（4）：5-16.</w:t>
      </w:r>
    </w:p>
    <w:p w14:paraId="6E38B403">
      <w:pPr>
        <w:spacing w:after="20" w:line="276" w:lineRule="auto"/>
        <w:ind w:left="420" w:hanging="420"/>
        <w:jc w:val="both"/>
      </w:pPr>
      <w:r>
        <w:rPr>
          <w:rFonts w:ascii="宋体" w:hAnsi="宋体" w:eastAsia="宋体"/>
          <w:sz w:val="18"/>
        </w:rPr>
        <w:t>[37] 马克思恩格斯文集：第5卷[M].北京：人民出版社，2009.</w:t>
      </w:r>
    </w:p>
    <w:p w14:paraId="36C8A939">
      <w:pPr>
        <w:spacing w:after="20" w:line="276" w:lineRule="auto"/>
        <w:ind w:left="420" w:hanging="420"/>
        <w:jc w:val="both"/>
      </w:pPr>
      <w:r>
        <w:rPr>
          <w:rFonts w:ascii="宋体" w:hAnsi="宋体" w:eastAsia="宋体"/>
          <w:sz w:val="18"/>
        </w:rPr>
        <w:t>[38] 韦伯.新教伦理与资本主义精神[M].马奇炎，陈婧，译.北京：北京大学出版社，2012：184.</w:t>
      </w:r>
    </w:p>
    <w:p w14:paraId="21D6973A">
      <w:pPr>
        <w:spacing w:after="20" w:line="276" w:lineRule="auto"/>
        <w:ind w:left="420" w:hanging="420"/>
        <w:jc w:val="both"/>
      </w:pPr>
      <w:r>
        <w:rPr>
          <w:rFonts w:ascii="宋体" w:hAnsi="宋体" w:eastAsia="宋体"/>
          <w:sz w:val="18"/>
        </w:rPr>
        <w:t>[39] 吴雨薇，曹泳鑫.中国古代以“小康”为目标的共同富裕社会探索及历史经验[J].政治经济学研究，2025（2）：141-150.</w:t>
      </w:r>
    </w:p>
    <w:p w14:paraId="653703B3">
      <w:pPr>
        <w:spacing w:after="20" w:line="276" w:lineRule="auto"/>
        <w:ind w:left="420" w:hanging="420"/>
        <w:jc w:val="both"/>
      </w:pPr>
      <w:r>
        <w:rPr>
          <w:rFonts w:ascii="宋体" w:hAnsi="宋体" w:eastAsia="宋体"/>
          <w:sz w:val="18"/>
        </w:rPr>
        <w:t>[40] 程恩富.充分认识哲学对经济行为分析的积极效应[J].中国社会科学，1999（2）：93-96.</w:t>
      </w:r>
    </w:p>
    <w:p w14:paraId="43EAEE23">
      <w:pPr>
        <w:spacing w:after="20" w:line="276" w:lineRule="auto"/>
        <w:ind w:left="420" w:hanging="420"/>
        <w:jc w:val="both"/>
      </w:pPr>
      <w:r>
        <w:rPr>
          <w:rFonts w:ascii="宋体" w:hAnsi="宋体" w:eastAsia="宋体"/>
          <w:sz w:val="18"/>
        </w:rPr>
        <w:t>[41] 泰勒.现代性的隐忧：需要被挽救的本真理想[M].程炼，译.南京：南京大学出版社，2020：25.</w:t>
      </w:r>
    </w:p>
    <w:p w14:paraId="60F5E1B6">
      <w:pPr>
        <w:spacing w:after="20" w:line="276" w:lineRule="auto"/>
        <w:ind w:left="420" w:hanging="420"/>
        <w:jc w:val="both"/>
      </w:pPr>
      <w:r>
        <w:rPr>
          <w:rFonts w:ascii="宋体" w:hAnsi="宋体" w:eastAsia="宋体"/>
          <w:sz w:val="18"/>
        </w:rPr>
        <w:t>[42] 王少光，张永红.对马克思世界历史理论和人类命运共同体理念的再思考[J].理论导刊，2020（1）：51-55.</w:t>
      </w:r>
    </w:p>
    <w:p w14:paraId="626EFF84">
      <w:pPr>
        <w:spacing w:after="20" w:line="276" w:lineRule="auto"/>
        <w:ind w:left="420" w:hanging="420"/>
        <w:jc w:val="both"/>
      </w:pPr>
      <w:r>
        <w:rPr>
          <w:rFonts w:ascii="宋体" w:hAnsi="宋体" w:eastAsia="宋体"/>
          <w:sz w:val="18"/>
        </w:rPr>
        <w:t>[43] 马尔库塞.单向度的人[M].刘继，译.上海：上海译文出版社，2006：6.</w:t>
      </w:r>
    </w:p>
    <w:p w14:paraId="76291600">
      <w:pPr>
        <w:spacing w:after="20" w:line="276" w:lineRule="auto"/>
        <w:ind w:left="420" w:hanging="420"/>
        <w:jc w:val="both"/>
      </w:pPr>
      <w:r>
        <w:rPr>
          <w:rFonts w:ascii="宋体" w:hAnsi="宋体" w:eastAsia="宋体"/>
          <w:sz w:val="18"/>
        </w:rPr>
        <w:t>[44] 波德里亚.消费社会[M].刘成富，全志钢，译.南京：南京大学出版社，2000：5.</w:t>
      </w:r>
    </w:p>
    <w:p w14:paraId="2DD210AE">
      <w:pPr>
        <w:spacing w:after="20" w:line="276" w:lineRule="auto"/>
        <w:ind w:left="420" w:hanging="420"/>
        <w:jc w:val="both"/>
      </w:pPr>
      <w:r>
        <w:rPr>
          <w:rFonts w:ascii="宋体" w:hAnsi="宋体" w:eastAsia="宋体"/>
          <w:sz w:val="18"/>
        </w:rPr>
        <w:t>[45] 马克思恩格斯全集：第38卷[M].北京：人民出版社，2019：11.</w:t>
      </w:r>
    </w:p>
    <w:p w14:paraId="1FB59690">
      <w:pPr>
        <w:spacing w:after="20" w:line="276" w:lineRule="auto"/>
        <w:ind w:left="420" w:hanging="420"/>
        <w:jc w:val="both"/>
      </w:pPr>
      <w:r>
        <w:rPr>
          <w:rFonts w:ascii="宋体" w:hAnsi="宋体" w:eastAsia="宋体"/>
          <w:sz w:val="18"/>
        </w:rPr>
        <w:t>[46] 马克思恩格斯全集：第3卷[M].北京：人民出版社，1960：514.</w:t>
      </w:r>
    </w:p>
    <w:p w14:paraId="1665FABD">
      <w:pPr>
        <w:spacing w:after="20" w:line="276" w:lineRule="auto"/>
        <w:ind w:left="420" w:hanging="420"/>
        <w:jc w:val="both"/>
      </w:pPr>
      <w:r>
        <w:rPr>
          <w:rFonts w:ascii="宋体" w:hAnsi="宋体" w:eastAsia="宋体"/>
          <w:sz w:val="18"/>
        </w:rPr>
        <w:t>[47] 刘清平.人性与德性的两难：利己与利他的悖论解析[J].伦理学研究，2019（4）：34-41.</w:t>
      </w:r>
    </w:p>
    <w:p w14:paraId="234596D7">
      <w:pPr>
        <w:spacing w:after="20" w:line="276" w:lineRule="auto"/>
        <w:ind w:left="420" w:hanging="420"/>
        <w:jc w:val="both"/>
      </w:pPr>
      <w:r>
        <w:rPr>
          <w:rFonts w:ascii="宋体" w:hAnsi="宋体" w:eastAsia="宋体"/>
          <w:sz w:val="18"/>
        </w:rPr>
        <w:t>[48] 程恩富.现代马克思主义政治经济学的四大理论假设[J].中国社会科学，2007（1）：16-29.</w:t>
      </w:r>
    </w:p>
    <w:p w14:paraId="4824DEC4">
      <w:pPr>
        <w:spacing w:after="20" w:line="276" w:lineRule="auto"/>
        <w:ind w:left="420" w:hanging="420"/>
        <w:jc w:val="both"/>
      </w:pPr>
      <w:r>
        <w:rPr>
          <w:rFonts w:ascii="宋体" w:hAnsi="宋体" w:eastAsia="宋体"/>
          <w:sz w:val="18"/>
        </w:rPr>
        <w:t>[49] 武茂昌.讲信义、重情义、扬正义、树道义——学习习近平关于坚持正确义利观的论述[J].党的文献，2018（1）：33-38.</w:t>
      </w:r>
    </w:p>
    <w:p w14:paraId="12E3B34F">
      <w:pPr>
        <w:spacing w:after="20" w:line="276" w:lineRule="auto"/>
        <w:ind w:left="420" w:hanging="420"/>
        <w:jc w:val="both"/>
      </w:pPr>
      <w:r>
        <w:rPr>
          <w:rFonts w:ascii="宋体" w:hAnsi="宋体" w:eastAsia="宋体"/>
          <w:sz w:val="18"/>
        </w:rPr>
        <w:t>[50] 习近平著作选读：第2卷[M].北京：人民出版社，2023：252.</w:t>
      </w:r>
    </w:p>
    <w:p w14:paraId="53B5005E">
      <w:pPr>
        <w:spacing w:after="20" w:line="276" w:lineRule="auto"/>
        <w:ind w:left="420" w:hanging="420"/>
        <w:jc w:val="both"/>
      </w:pPr>
      <w:r>
        <w:rPr>
          <w:rFonts w:ascii="宋体" w:hAnsi="宋体" w:eastAsia="宋体"/>
          <w:sz w:val="18"/>
        </w:rPr>
        <w:t>[51] 习近平谈治国理政：第1卷[M].北京：外文出版社，2018：248.</w:t>
      </w:r>
    </w:p>
    <w:p w14:paraId="12C3984D">
      <w:pPr>
        <w:spacing w:after="20" w:line="276" w:lineRule="auto"/>
        <w:ind w:left="420" w:hanging="420"/>
        <w:jc w:val="both"/>
      </w:pPr>
      <w:r>
        <w:rPr>
          <w:rFonts w:ascii="宋体" w:hAnsi="宋体" w:eastAsia="宋体"/>
          <w:sz w:val="18"/>
        </w:rPr>
        <w:t>[52] 习近平外交思想学习纲要[M].北京：人民出版社、学习出版社，2021.</w:t>
      </w:r>
    </w:p>
    <w:p w14:paraId="23CB116A">
      <w:pPr>
        <w:spacing w:after="20" w:line="276" w:lineRule="auto"/>
        <w:ind w:left="420" w:hanging="420"/>
        <w:jc w:val="both"/>
        <w:rPr>
          <w:rFonts w:ascii="宋体" w:hAnsi="宋体" w:eastAsia="宋体"/>
          <w:sz w:val="18"/>
        </w:rPr>
      </w:pPr>
      <w:r>
        <w:rPr>
          <w:rFonts w:ascii="宋体" w:hAnsi="宋体" w:eastAsia="宋体"/>
          <w:sz w:val="18"/>
        </w:rPr>
        <w:t>[53] 习近平谈治国理政：第2卷[M].北京：外文出版社，2017：523.</w:t>
      </w:r>
    </w:p>
    <w:p w14:paraId="50A9D4C9">
      <w:pPr>
        <w:spacing w:after="20" w:line="276" w:lineRule="auto"/>
        <w:ind w:left="420" w:hanging="420"/>
        <w:jc w:val="both"/>
        <w:rPr>
          <w:rFonts w:ascii="宋体" w:hAnsi="宋体" w:eastAsia="宋体"/>
          <w:sz w:val="18"/>
        </w:rPr>
      </w:pPr>
    </w:p>
    <w:p w14:paraId="57388C7D">
      <w:pPr>
        <w:spacing w:after="20" w:line="276" w:lineRule="auto"/>
        <w:ind w:left="420" w:hanging="420"/>
        <w:jc w:val="both"/>
        <w:rPr>
          <w:rFonts w:hint="eastAsia" w:ascii="宋体" w:hAnsi="宋体" w:eastAsia="宋体"/>
          <w:sz w:val="18"/>
          <w:lang w:eastAsia="zh-CN"/>
        </w:rPr>
      </w:pPr>
      <w:r>
        <w:rPr>
          <w:rFonts w:hint="eastAsia" w:ascii="宋体" w:hAnsi="宋体"/>
          <w:sz w:val="18"/>
          <w:lang w:eastAsia="zh-CN"/>
        </w:rPr>
        <w:t>（</w:t>
      </w:r>
      <w:r>
        <w:rPr>
          <w:rFonts w:hint="eastAsia" w:ascii="宋体" w:hAnsi="宋体"/>
          <w:sz w:val="18"/>
          <w:lang w:val="en-US" w:eastAsia="zh-CN"/>
        </w:rPr>
        <w:t>原载《中州学刊》2025年第10期，第二作者为王少光。</w:t>
      </w:r>
      <w:r>
        <w:rPr>
          <w:rFonts w:hint="eastAsia" w:ascii="宋体" w:hAnsi="宋体"/>
          <w:sz w:val="18"/>
          <w:lang w:eastAsia="zh-CN"/>
        </w:rPr>
        <w:t>）</w:t>
      </w:r>
    </w:p>
    <w:p w14:paraId="298BF0A2">
      <w:pPr>
        <w:spacing w:after="20" w:line="276" w:lineRule="auto"/>
        <w:ind w:left="420" w:hanging="420"/>
        <w:jc w:val="both"/>
        <w:rPr>
          <w:rFonts w:ascii="宋体" w:hAnsi="宋体" w:eastAsia="宋体"/>
          <w:sz w:val="18"/>
        </w:rPr>
      </w:pPr>
    </w:p>
    <w:p w14:paraId="4B13CE71">
      <w:pPr>
        <w:spacing w:after="20" w:line="276" w:lineRule="auto"/>
        <w:ind w:left="420" w:hanging="420"/>
        <w:jc w:val="both"/>
        <w:rPr>
          <w:rFonts w:ascii="宋体" w:hAnsi="宋体" w:eastAsia="宋体"/>
          <w:sz w:val="18"/>
        </w:rPr>
      </w:pPr>
    </w:p>
    <w:p w14:paraId="1EA1032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50" w:beforeAutospacing="0" w:after="113" w:afterAutospacing="0" w:line="240" w:lineRule="atLeast"/>
        <w:ind w:left="0" w:right="0" w:firstLine="0"/>
        <w:jc w:val="center"/>
        <w:textAlignment w:val="auto"/>
        <w:rPr>
          <w:rFonts w:hint="eastAsia" w:ascii="宋体" w:hAnsi="宋体" w:eastAsia="宋体" w:cs="宋体"/>
          <w:b/>
          <w:bCs/>
          <w:i w:val="0"/>
          <w:iCs w:val="0"/>
          <w:caps w:val="0"/>
          <w:color w:val="000000"/>
          <w:spacing w:val="0"/>
          <w:sz w:val="28"/>
          <w:szCs w:val="28"/>
        </w:rPr>
      </w:pPr>
      <w:bookmarkStart w:id="907" w:name="_Toc621717451"/>
      <w:bookmarkStart w:id="908" w:name="_Toc584788130"/>
      <w:bookmarkStart w:id="909" w:name="_Toc363730817"/>
      <w:bookmarkStart w:id="910" w:name="_Toc1088869739"/>
      <w:bookmarkStart w:id="911" w:name="_Toc23883"/>
      <w:bookmarkStart w:id="912" w:name="_Toc1503770925"/>
      <w:r>
        <w:rPr>
          <w:rFonts w:hint="eastAsia" w:ascii="宋体" w:hAnsi="宋体" w:eastAsia="宋体" w:cs="宋体"/>
          <w:sz w:val="28"/>
          <w:szCs w:val="28"/>
          <w:lang w:val="en-US" w:eastAsia="zh-CN"/>
        </w:rPr>
        <w:t>26</w:t>
      </w:r>
      <w:r>
        <w:rPr>
          <w:rFonts w:hint="eastAsia" w:ascii="宋体" w:hAnsi="宋体" w:eastAsia="宋体" w:cs="宋体"/>
          <w:b/>
          <w:bCs/>
          <w:i w:val="0"/>
          <w:iCs w:val="0"/>
          <w:caps w:val="0"/>
          <w:color w:val="000000"/>
          <w:spacing w:val="0"/>
          <w:sz w:val="28"/>
          <w:szCs w:val="28"/>
          <w:shd w:val="clear" w:fill="FFFFFF"/>
        </w:rPr>
        <w:t>推动数字经济健康发展：指导思想及实践指向</w:t>
      </w:r>
      <w:bookmarkEnd w:id="907"/>
      <w:bookmarkEnd w:id="908"/>
      <w:bookmarkEnd w:id="909"/>
      <w:bookmarkEnd w:id="910"/>
      <w:bookmarkEnd w:id="911"/>
      <w:bookmarkEnd w:id="912"/>
    </w:p>
    <w:p w14:paraId="6D57C977">
      <w:pPr>
        <w:spacing w:after="20" w:line="276" w:lineRule="auto"/>
        <w:ind w:left="420" w:hanging="420"/>
        <w:jc w:val="both"/>
        <w:rPr>
          <w:rFonts w:hint="eastAsia" w:ascii="宋体" w:hAnsi="宋体" w:eastAsia="宋体" w:cs="宋体"/>
          <w:sz w:val="21"/>
          <w:szCs w:val="21"/>
          <w:lang w:val="en-US" w:eastAsia="zh-CN"/>
        </w:rPr>
      </w:pPr>
    </w:p>
    <w:p w14:paraId="0A779578">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党的十八大以来，习近平总书记深刻把握全球新一轮科技革命趋势，立足我国经济迈向高质量发展的阶段性特征，围绕发展数字经济提出一系列重要论述，深刻揭示了数字经济的战略地位和时代价值，为发展数字经济指明了方向和路径。面向未来，我国不仅要加快推动数字经济与现代化建设深度融合，不断开辟经济发展新的空间，还要以更加积极的姿态参与全球数字治理，推动构建开放、包容、普惠的全球数字经济格局，在引领世界共享数字化成果中展现更大作为。</w:t>
      </w:r>
    </w:p>
    <w:p w14:paraId="52D6A779">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一</w:t>
      </w:r>
    </w:p>
    <w:p w14:paraId="5DF3B4F5">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习近平总书记深刻洞察经济实践的最新发展，提出关于发展数字经济的一系列重要论断，为推动我国数字经济健康发展提供了根本的指导思想。</w:t>
      </w:r>
    </w:p>
    <w:p w14:paraId="0D98AC68">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释放实体经济和数字经济融合效能，加快培育新质生产力。习近平总书记提出，“全面释放实体经济和数字经济融合效能，因地制宜发展新质生产力”。促进实体经济与数字经济深度融合，是在深刻把握我国经济发展阶段特征、顺应全球数字经济演进趋势并立足未来战略目标的基础上作出的重大战略抉择。促进数实深度融合发展，强化科技创新、优化要素配置和加速产业转型，能够持续为新质生产力发展注入动力；新质生产力的发展，又进一步拓展了数字经济的应用场景和发展空间。这种良性循环对于引领经济转型升级、培育长期竞争优势具有深远意义。</w:t>
      </w:r>
    </w:p>
    <w:p w14:paraId="5D752C4D">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一体推进教育科技人才事业发展，夯实数字经济发展基础。数字经济的发展离不开持续的科技创新。科技创新靠人才，人才培养靠教育，教育、科技、人才内在一致、相互支撑。当前，中国正处于技术驱动教育系统性变革的关键阶段，教育数字化是我国开辟教育发展新赛道和塑造教育发展新优势的重要突破口。数字化赋能推动了教育提升、文化创新、人才培养与科技进步的协同发展，为数字经济发展奠定坚实基础。</w:t>
      </w:r>
    </w:p>
    <w:p w14:paraId="2E8919A7">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推进国家治理体系和治理能力现代化，构筑数字经济发展的制度支撑。治理体系和治理能力现代化是中国式现代化的应有之义。推动数字经济健康发展，必须顺应经济社会的发展，不断完善国家治理体系和治理能力，以推动制度优势不断转化为治理效能。当今时代，数字技术正全面融入经济社会发展的诸多环节，对治理能力提出了更高要求。国家治理体系的数字化转型促进治理能力和水平不断提升，不仅有助于打破制约创新要素流动的壁垒，深化数字经济领域改革，也能够提升常态化监管水平，为数字经济的高质量发展提供制度保障。</w:t>
      </w:r>
    </w:p>
    <w:p w14:paraId="473A33E8">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加强国际数字经济合作，推动普惠包容的经济全球化。统筹国内国际两个大局，是在全球经济联系日益紧密、依存不断加深的背景下，确保发展主动权、探索最优发展路径的必然要求，关键在于秉持开放包容的发展理念，实现与世界各国的优势互补和互利共赢。中国坚定不移推进高水平对外开放，强调发展数字贸易，以数字化绿色化为方向，进一步提升国际分工地位。在谋求自身发展的同时，中国也积极承担大国责任，致力于营造开放、包容、非歧视的国际经济合作环境，推动普惠包容的经济全球化。加强国际数字经济合作，不仅有利于提升中国经济的国际竞争力，也为促进全球经济共同繁荣创造了更多可能。</w:t>
      </w:r>
    </w:p>
    <w:p w14:paraId="5D9A8779">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二</w:t>
      </w:r>
    </w:p>
    <w:p w14:paraId="44B57630">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推动数字经济更高质量发展，已成为新时代经济转型升级的关键任务。“十五五”时期加快数字经济发展，应重点围绕以下内容展开。</w:t>
      </w:r>
    </w:p>
    <w:p w14:paraId="4AEB9F9F">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以加快培育新质生产力为根本动力。在实体经济层面，推动数字技术与重点行业的深度融合，促进产业链上下游协同升级，加快培育战略性新兴产业，进而构建具有全球竞争力的数字产业集群。在金融体系层面，健全多层次支持机制，做好科技金融、绿色金融、普惠金融、养老金融、数字金融五篇大文章，加快金融数字化、智能化转型。金融创新与实体经济深度耦合，不仅能够提升资源配置效率，也为新质生产力的发展提供了保障，从而推动数字经济迈向更高水平。</w:t>
      </w:r>
    </w:p>
    <w:p w14:paraId="7400EF02">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以推进教育科技文化发展为核心支撑。科技创新在我国现代化建设全局中居于核心地位，也是发展数字经济的重要引擎。深入实施国家教育数字化和文化数字化战略，是为科技发展提供持续动力的重要途径。推进国家教育数字化战略，要求强化数字基础设施建设，不断提升国家智慧教育公共服务平台的服务能力；依托大数据精准分析学习需求，构建灵活化教学模式；发挥智能技术在教育管理中的作用，提升教育智能化水平。搭建开放、共享的文化数字化公共服务平台，鼓励文化企业利用新兴技术创新文化产品形态与传播方式。</w:t>
      </w:r>
    </w:p>
    <w:p w14:paraId="78713DB4">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以提升数字治理效能为基石。发展数字经济不仅需要技术突破和产业支撑，更需要高效有序的治理体系作为制度保障。提升数字治理效能应着力于三个方面：建设高效的数据基础设施，推动数字技术在公共治理中的深度应用；完善数据权属、算法透明与隐私保护制度，确保数字经济在法治轨道上运行；强化跨部门协同和数字政府建设，提高治理体系的整体性和精准性。</w:t>
      </w:r>
    </w:p>
    <w:p w14:paraId="3B74C1EF">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以加强全球数字经济合作为重要抓手。在全球数字化浪潮加速演进的背景下，跨境数据流动和数字贸易快速增长，同时也伴随技术封锁、数据壁垒和数字保护主义等挑战。加强国际合作已成为推动数字经济可持续发展的必然选择。中国不仅要成为推进全球数字经济合作的积极参与者，更要成为重要的引领者。通过多边机制推动制定开放透明的数字规则，贡献公平包容的“中国方案”；通过“一带一路”倡议等推动数字基础设施互联互通，展现务实合作的“中国智慧”；通过前沿领域创新的国际合作推动新技术、新模式的广泛应用，彰显互利共赢的“中国经验”。</w:t>
      </w:r>
    </w:p>
    <w:p w14:paraId="76ED5519">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eastAsia="宋体" w:cs="Times New Roman"/>
          <w:kern w:val="2"/>
          <w:sz w:val="24"/>
          <w:szCs w:val="24"/>
          <w:lang w:val="en-US" w:eastAsia="zh-CN" w:bidi="ar-SA"/>
        </w:rPr>
      </w:pPr>
    </w:p>
    <w:p w14:paraId="7FE660E4">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cs="Times New Roman"/>
          <w:kern w:val="2"/>
          <w:sz w:val="24"/>
          <w:szCs w:val="24"/>
          <w:lang w:val="en-US" w:eastAsia="zh-CN" w:bidi="ar-SA"/>
        </w:rPr>
      </w:pPr>
      <w:r>
        <w:rPr>
          <w:rFonts w:hint="eastAsia" w:ascii="Times New Roman" w:hAnsi="Times New Roman" w:cs="Times New Roman"/>
          <w:kern w:val="2"/>
          <w:sz w:val="24"/>
          <w:szCs w:val="24"/>
          <w:lang w:val="en-US" w:eastAsia="zh-CN" w:bidi="ar-SA"/>
        </w:rPr>
        <w:t>（原载</w:t>
      </w:r>
      <w:r>
        <w:rPr>
          <w:rFonts w:hint="eastAsia" w:ascii="Times New Roman" w:hAnsi="Times New Roman" w:eastAsia="宋体" w:cs="Times New Roman"/>
          <w:sz w:val="24"/>
          <w:szCs w:val="24"/>
        </w:rPr>
        <w:t>《光明日报》2025年12月09日 11版</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第一作者为潘越。</w:t>
      </w:r>
      <w:r>
        <w:rPr>
          <w:rFonts w:hint="eastAsia" w:ascii="Times New Roman" w:hAnsi="Times New Roman" w:cs="Times New Roman"/>
          <w:kern w:val="2"/>
          <w:sz w:val="24"/>
          <w:szCs w:val="24"/>
          <w:lang w:val="en-US" w:eastAsia="zh-CN" w:bidi="ar-SA"/>
        </w:rPr>
        <w:t>）</w:t>
      </w:r>
    </w:p>
    <w:p w14:paraId="76E6278C">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75" w:beforeAutospacing="0" w:after="75" w:afterAutospacing="0" w:line="270" w:lineRule="atLeast"/>
        <w:ind w:left="0" w:right="0" w:firstLine="420"/>
        <w:jc w:val="left"/>
        <w:rPr>
          <w:rFonts w:hint="eastAsia" w:ascii="Times New Roman" w:hAnsi="Times New Roman" w:cs="Times New Roman"/>
          <w:kern w:val="2"/>
          <w:sz w:val="24"/>
          <w:szCs w:val="24"/>
          <w:lang w:val="en-US" w:eastAsia="zh-CN" w:bidi="ar-SA"/>
        </w:rPr>
      </w:pPr>
    </w:p>
    <w:p w14:paraId="4A0034D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75" w:beforeAutospacing="0" w:after="75" w:afterAutospacing="0" w:line="270" w:lineRule="atLeast"/>
        <w:ind w:left="0" w:right="0" w:firstLine="420"/>
        <w:jc w:val="left"/>
        <w:textAlignment w:val="auto"/>
        <w:outlineLvl w:val="0"/>
        <w:rPr>
          <w:rFonts w:hint="eastAsia" w:ascii="Times New Roman" w:hAnsi="Times New Roman" w:eastAsia="宋体" w:cs="Times New Roman"/>
          <w:sz w:val="24"/>
          <w:szCs w:val="24"/>
        </w:rPr>
      </w:pPr>
      <w:bookmarkStart w:id="913" w:name="_Toc1925547286"/>
      <w:bookmarkStart w:id="914" w:name="_Toc1697256302"/>
      <w:bookmarkStart w:id="915" w:name="_Toc1485381957"/>
      <w:bookmarkStart w:id="916" w:name="_Toc1648932238"/>
      <w:bookmarkStart w:id="917" w:name="_Toc4446"/>
      <w:bookmarkStart w:id="918" w:name="_Toc142894932"/>
      <w:r>
        <w:rPr>
          <w:rFonts w:hint="eastAsia" w:ascii="Times New Roman" w:hAnsi="Times New Roman" w:cs="Times New Roman"/>
          <w:kern w:val="2"/>
          <w:sz w:val="24"/>
          <w:szCs w:val="24"/>
          <w:lang w:val="en-US" w:eastAsia="zh-CN" w:bidi="ar-SA"/>
        </w:rPr>
        <w:t xml:space="preserve">27 </w:t>
      </w:r>
      <w:r>
        <w:rPr>
          <w:rFonts w:hint="eastAsia" w:ascii="Times New Roman" w:hAnsi="Times New Roman" w:eastAsia="宋体" w:cs="Times New Roman"/>
          <w:sz w:val="24"/>
          <w:szCs w:val="24"/>
        </w:rPr>
        <w:t>程恩富：大力发展数字人民币，走出一条具有中国特色的人民币发展道路</w:t>
      </w:r>
      <w:bookmarkEnd w:id="913"/>
      <w:bookmarkEnd w:id="914"/>
      <w:bookmarkEnd w:id="915"/>
      <w:bookmarkEnd w:id="916"/>
      <w:bookmarkEnd w:id="917"/>
      <w:bookmarkEnd w:id="918"/>
    </w:p>
    <w:p w14:paraId="29B3A366">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5" w:afterAutospacing="0"/>
        <w:ind w:left="0" w:right="0" w:firstLine="0"/>
        <w:rPr>
          <w:rFonts w:hint="eastAsia" w:ascii="微软雅黑" w:hAnsi="微软雅黑" w:eastAsia="微软雅黑" w:cs="微软雅黑"/>
          <w:i w:val="0"/>
          <w:iCs w:val="0"/>
          <w:caps w:val="0"/>
          <w:color w:val="000000"/>
          <w:spacing w:val="8"/>
          <w:sz w:val="13"/>
          <w:szCs w:val="13"/>
        </w:rPr>
      </w:pPr>
    </w:p>
    <w:p w14:paraId="0F3E20EC">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12月14日上午，由人民日报社《国际金融报》与上海财经大学习近平经济思想研究院联合主办、中国建设银行上海市分行支持的“习近平经济思想年度论坛及科技—产业—金融协调发展论坛”在上海金茂大厦举行。</w:t>
      </w:r>
    </w:p>
    <w:p w14:paraId="02B70363">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中国社会科学院学部委员、世界政治经济学会会长程恩富出席论坛并发表主旨演讲，他基于马克思货币理论分析了美国发行稳定币的基本逻辑，并阐述了为何稳定币很难从根本上解决美债问题。</w:t>
      </w:r>
    </w:p>
    <w:p w14:paraId="4D44815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2025年7月18日，美国总统特朗普正式签署了《指导与建立美国稳定币国家创新法案》，这是美国联邦层面首部针对稳定币的系统性立法。该法案最核心的一个内容是：要求稳定币发行机构确保稳定币与美元1:1挂钩，并将发行稳定币获取的资金，储备或投资于具有高流动性的美元资产，包括现金、银行活期和美国国债等。</w:t>
      </w:r>
    </w:p>
    <w:p w14:paraId="3504979F">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美国政府推出稳定币立法，主要源于内外双重压力。程恩富表示：“当美国经济实力比较强大的时候，世界各国需要美元储备，纷纷购买美债，推动着美国债券市场的繁荣。但是，随着美国经济实力的衰退，长期赤字财政、政府负债居高不下，美国政府债务已到了难以维系的地步。”</w:t>
      </w:r>
    </w:p>
    <w:p w14:paraId="75172EB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与此同时，全球‘去美元化’的时代浪潮已然兴起，中国、俄罗斯、印度、巴西、东盟等国家和地区积极推动在国际贸易中采用本币结算或寻求替代货币。”在程恩富看来，美元霸权的国际货币体系受到了严重的冲击。</w:t>
      </w:r>
    </w:p>
    <w:p w14:paraId="1C86C7B5">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美元稳定币的发行可能只是造成“存量转移”，而不是“新增流动性”。据程恩富分析，购买稳定币的机构和个人，必须使用美元去购买。这些美元，不管是从银行提取的、从货币基金购买的，甚至是抛售原来持有的美国国债所得的，都可能导致一些美债被抛售。一方面是通过购买稳定币来增加美债需求，另一方面是为了购买稳定币出售美元，减少对美债的需求。这样，只会导致美债结构发生改变，总量并没有发生变化。</w:t>
      </w:r>
    </w:p>
    <w:p w14:paraId="19DD3044">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程恩富强调：“更深层次的问题还在于，稳定币的锚定物主要是短期美债，这根本无法解决美债市场中长期国债流动性问题。众所周知，当前中长期美债在美国国债市场上占比约为80%，是美国财政部压力的主要来源。这就决定了美元稳定币战略很难从根本上解决美债问题。”</w:t>
      </w:r>
    </w:p>
    <w:p w14:paraId="52B54A76">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需要注意的是，在短期内，美元稳定币可能引发资本外流，威胁我国经济安全的问题必然要加以警惕。程恩富提出，面对稳定币这一数字经济时代的货币新形态，我们应该立足我国的基本国情，遵循党中央“统筹发展与安全”的金融方针和金融服务实体经济的基本原则，走出一条有中国特色的金融服务实体经济的发展道路。</w:t>
      </w:r>
    </w:p>
    <w:p w14:paraId="119CB3B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对此，程恩富提出四点建议，第一，加强金融监管，防止资本外逃，确保金融安全。他表示，美元稳定币的去中心化和“无国界性”使得我国的资本极有可能绕开金融监管，进而威胁我国金融安全乃至经济安全。因此，必须要加强金融监管，禁止我国企业和个人开展稳定币业务，以防止因为稳定币造成的资本外逃。</w:t>
      </w:r>
    </w:p>
    <w:p w14:paraId="32F4A9CD">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第二，借助区块链技术，大力发展央行的数字人民币。程恩富认为，央行的数字人民币就是美元稳定币很好的替代，在技术层面上，数字人民币吸收了稳定币的便捷性，通过分布式记账、智能合约等技术优化支付效率（如数字人民币的点对点交易可降低跨境结算成本），另外在国家治理方面，数字人民币强化了国家掌控，通过可控匿名、实时监控等设计防范资本外逃，数字人民币在交易上是可追溯的，这样也可以避免成为洗钱工具。</w:t>
      </w:r>
    </w:p>
    <w:p w14:paraId="0F01CA37">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第三，利用数字人民币的优势，助推人民币国际化。程恩富表示，通过大力发展数字人民币，借助数字人民币点对点交易，以及分布式记账和智能合约等技术优势，可以大大降低跨境结算成本，提高支付效率，从而提升世界各国利用人民币进行计价和结算的吸引力，进而提高人民币国际计价和结算的占比，从而进一步助推人民币国际化。</w:t>
      </w:r>
    </w:p>
    <w:p w14:paraId="118619FA">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第四，在金融实化论的基础上，加强产业创新，进一步提升国家综合国力。程恩富强调，我国应该在金融实化论的指导下，强调金融必须服务实体经济，并通过金融活动助力科技发展和产业创新，力争成为当前第四次工业革命的重要参与者甚至是引领者，推动我国经济持续、快速、稳定的发展。</w:t>
      </w:r>
    </w:p>
    <w:p w14:paraId="0E841AEF">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textAlignment w:val="auto"/>
        <w:rPr>
          <w:rFonts w:hint="eastAsia" w:ascii="宋体" w:hAnsi="宋体" w:eastAsia="宋体" w:cs="宋体"/>
          <w:i w:val="0"/>
          <w:iCs w:val="0"/>
          <w:caps w:val="0"/>
          <w:color w:val="000000"/>
          <w:spacing w:val="8"/>
          <w:sz w:val="21"/>
          <w:szCs w:val="21"/>
        </w:rPr>
      </w:pPr>
      <w:r>
        <w:rPr>
          <w:rFonts w:hint="eastAsia" w:ascii="宋体" w:hAnsi="宋体" w:eastAsia="宋体" w:cs="宋体"/>
          <w:i w:val="0"/>
          <w:iCs w:val="0"/>
          <w:caps w:val="0"/>
          <w:color w:val="000000"/>
          <w:spacing w:val="8"/>
          <w:sz w:val="21"/>
          <w:szCs w:val="21"/>
        </w:rPr>
        <w:t>程恩富总结称，我国需秉持“加强监管、技术创新、服务实体”理念，以实体为基、以技术为器，凭借科技进步和产业创新，大力发展数字人民币，走出一条具有中国特色的人民币发展道路，为数字时代的全球货币治理提供中国方案。</w:t>
      </w:r>
    </w:p>
    <w:p w14:paraId="5D032E87">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5" w:afterAutospacing="0"/>
        <w:ind w:left="0" w:right="0" w:firstLine="0"/>
        <w:rPr>
          <w:rFonts w:hint="eastAsia" w:ascii="微软雅黑" w:hAnsi="微软雅黑" w:eastAsia="微软雅黑" w:cs="微软雅黑"/>
          <w:i w:val="0"/>
          <w:iCs w:val="0"/>
          <w:caps w:val="0"/>
          <w:color w:val="000000"/>
          <w:spacing w:val="8"/>
          <w:sz w:val="13"/>
          <w:szCs w:val="13"/>
        </w:rPr>
      </w:pPr>
    </w:p>
    <w:p w14:paraId="5F4CE975">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5" w:afterAutospacing="0"/>
        <w:ind w:left="0" w:right="0" w:firstLine="0"/>
        <w:rPr>
          <w:rFonts w:hint="eastAsia" w:ascii="微软雅黑" w:hAnsi="微软雅黑" w:eastAsia="微软雅黑" w:cs="微软雅黑"/>
          <w:i w:val="0"/>
          <w:iCs w:val="0"/>
          <w:caps w:val="0"/>
          <w:color w:val="000000"/>
          <w:spacing w:val="8"/>
          <w:sz w:val="13"/>
          <w:szCs w:val="13"/>
        </w:rPr>
      </w:pPr>
    </w:p>
    <w:p w14:paraId="28A04B04">
      <w:pPr>
        <w:keepNext w:val="0"/>
        <w:keepLines w:val="0"/>
        <w:pageBreakBefore w:val="0"/>
        <w:widowControl w:val="0"/>
        <w:kinsoku/>
        <w:wordWrap/>
        <w:overflowPunct/>
        <w:topLinePunct w:val="0"/>
        <w:autoSpaceDE/>
        <w:autoSpaceDN/>
        <w:bidi w:val="0"/>
        <w:adjustRightInd/>
        <w:snapToGrid/>
        <w:textAlignment w:val="auto"/>
        <w:outlineLvl w:val="0"/>
        <w:rPr>
          <w:rFonts w:hint="eastAsia"/>
          <w:b/>
          <w:bCs/>
          <w:sz w:val="28"/>
          <w:szCs w:val="32"/>
        </w:rPr>
      </w:pPr>
      <w:bookmarkStart w:id="919" w:name="_Toc761384613"/>
      <w:bookmarkStart w:id="920" w:name="_Toc7602"/>
      <w:bookmarkStart w:id="921" w:name="_Toc94675512"/>
      <w:bookmarkStart w:id="922" w:name="_Toc317154924"/>
      <w:bookmarkStart w:id="923" w:name="_Toc327659531"/>
      <w:bookmarkStart w:id="924" w:name="_Toc748404778"/>
      <w:r>
        <w:rPr>
          <w:rFonts w:hint="eastAsia"/>
          <w:b/>
          <w:bCs/>
          <w:sz w:val="28"/>
          <w:szCs w:val="32"/>
          <w:lang w:val="en-US" w:eastAsia="zh-CN"/>
        </w:rPr>
        <w:t>28</w:t>
      </w:r>
      <w:r>
        <w:rPr>
          <w:rFonts w:hint="eastAsia"/>
          <w:b/>
          <w:bCs/>
          <w:sz w:val="28"/>
          <w:szCs w:val="32"/>
        </w:rPr>
        <w:t>种族主义历史形态的演变及其当代新表现、新特点</w:t>
      </w:r>
      <w:bookmarkEnd w:id="919"/>
      <w:bookmarkEnd w:id="920"/>
      <w:bookmarkEnd w:id="921"/>
      <w:bookmarkEnd w:id="922"/>
      <w:bookmarkEnd w:id="923"/>
      <w:bookmarkEnd w:id="924"/>
    </w:p>
    <w:p w14:paraId="4F4007F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default" w:ascii="Times New Roman" w:hAnsi="Times New Roman" w:eastAsia="宋体" w:cs="Times New Roman"/>
          <w:sz w:val="21"/>
          <w:szCs w:val="21"/>
        </w:rPr>
      </w:pPr>
    </w:p>
    <w:p w14:paraId="2FE2ADF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default" w:ascii="Times New Roman" w:hAnsi="Times New Roman" w:eastAsia="宋体" w:cs="Times New Roman"/>
          <w:sz w:val="21"/>
          <w:szCs w:val="21"/>
        </w:rPr>
      </w:pPr>
    </w:p>
    <w:p w14:paraId="3ABA25C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14:textOutline w14:w="2540" w14:cap="rnd" w14:cmpd="sng">
            <w14:solidFill>
              <w14:srgbClr w14:val="231F20"/>
            </w14:solidFill>
            <w14:prstDash w14:val="solid"/>
            <w14:bevel/>
          </w14:textOutline>
        </w:rPr>
        <w:t>内容提要</w:t>
      </w:r>
      <w:r>
        <w:rPr>
          <w:rFonts w:hint="default" w:ascii="Times New Roman" w:hAnsi="Times New Roman" w:eastAsia="宋体" w:cs="Times New Roman"/>
          <w:spacing w:val="11"/>
          <w:sz w:val="21"/>
          <w:szCs w:val="21"/>
        </w:rPr>
        <w:t>种族主义的历史形态经历了从宗教种族主义、科学种族主义到文化种族主义的演变。当代西方种族主义的新表现,包括仇外民族主义、色</w:t>
      </w:r>
      <w:r>
        <w:rPr>
          <w:rFonts w:hint="default" w:ascii="Times New Roman" w:hAnsi="Times New Roman" w:eastAsia="宋体" w:cs="Times New Roman"/>
          <w:spacing w:val="3"/>
          <w:sz w:val="21"/>
          <w:szCs w:val="21"/>
        </w:rPr>
        <w:t>盲种族主义、“伊斯兰恐惧症”、反多元文化主义和数字种族主义等。这些新形</w:t>
      </w:r>
      <w:r>
        <w:rPr>
          <w:rFonts w:hint="default" w:ascii="Times New Roman" w:hAnsi="Times New Roman" w:eastAsia="宋体" w:cs="Times New Roman"/>
          <w:spacing w:val="12"/>
          <w:sz w:val="21"/>
          <w:szCs w:val="21"/>
        </w:rPr>
        <w:t>式不仅延续了传统种族主义的压迫逻辑,还借助全球化与数字化技术扩大其影</w:t>
      </w:r>
      <w:r>
        <w:rPr>
          <w:rFonts w:hint="default" w:ascii="Times New Roman" w:hAnsi="Times New Roman" w:eastAsia="宋体" w:cs="Times New Roman"/>
          <w:spacing w:val="11"/>
          <w:sz w:val="21"/>
          <w:szCs w:val="21"/>
        </w:rPr>
        <w:t>响力。西方当前的种族主义回潮与经济分化、政治极化密切相关,并带有强烈</w:t>
      </w:r>
      <w:r>
        <w:rPr>
          <w:rFonts w:hint="default" w:ascii="Times New Roman" w:hAnsi="Times New Roman" w:eastAsia="宋体" w:cs="Times New Roman"/>
          <w:spacing w:val="12"/>
          <w:sz w:val="21"/>
          <w:szCs w:val="21"/>
        </w:rPr>
        <w:t>的保守主义和民粹主义色彩。只有以建设人类命运共同体为核心理念,通过推</w:t>
      </w:r>
      <w:r>
        <w:rPr>
          <w:rFonts w:hint="default" w:ascii="Times New Roman" w:hAnsi="Times New Roman" w:eastAsia="宋体" w:cs="Times New Roman"/>
          <w:spacing w:val="7"/>
          <w:sz w:val="21"/>
          <w:szCs w:val="21"/>
        </w:rPr>
        <w:t>动全球合作、促进文化对话、消除经济不平等,才能从根本上</w:t>
      </w:r>
      <w:r>
        <w:rPr>
          <w:rFonts w:hint="default" w:ascii="Times New Roman" w:hAnsi="Times New Roman" w:eastAsia="宋体" w:cs="Times New Roman"/>
          <w:spacing w:val="6"/>
          <w:sz w:val="21"/>
          <w:szCs w:val="21"/>
        </w:rPr>
        <w:t>遏制当代种族主义</w:t>
      </w:r>
      <w:r>
        <w:rPr>
          <w:rFonts w:hint="default" w:ascii="Times New Roman" w:hAnsi="Times New Roman" w:eastAsia="宋体" w:cs="Times New Roman"/>
          <w:spacing w:val="10"/>
          <w:sz w:val="21"/>
          <w:szCs w:val="21"/>
        </w:rPr>
        <w:t>的回潮和蔓延,实现人类社会的共同繁荣与</w:t>
      </w:r>
      <w:r>
        <w:rPr>
          <w:rFonts w:hint="default" w:ascii="Times New Roman" w:hAnsi="Times New Roman" w:eastAsia="宋体" w:cs="Times New Roman"/>
          <w:spacing w:val="9"/>
          <w:sz w:val="21"/>
          <w:szCs w:val="21"/>
        </w:rPr>
        <w:t>和谐。</w:t>
      </w:r>
    </w:p>
    <w:p w14:paraId="5DE1837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14:textOutline w14:w="2540" w14:cap="rnd" w14:cmpd="sng">
            <w14:solidFill>
              <w14:srgbClr w14:val="231F20"/>
            </w14:solidFill>
            <w14:prstDash w14:val="solid"/>
            <w14:bevel/>
          </w14:textOutline>
        </w:rPr>
        <w:t>关键词</w:t>
      </w:r>
      <w:r>
        <w:rPr>
          <w:rFonts w:hint="default" w:ascii="Times New Roman" w:hAnsi="Times New Roman" w:eastAsia="宋体" w:cs="Times New Roman"/>
          <w:spacing w:val="12"/>
          <w:sz w:val="21"/>
          <w:szCs w:val="21"/>
        </w:rPr>
        <w:t>种族主义;殖民主义;人类命运共同体</w:t>
      </w:r>
    </w:p>
    <w:p w14:paraId="4C6F8B2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种族主义的形成与殖民扩张的历史进程密不可分。如果说坚船利炮是资</w:t>
      </w:r>
      <w:r>
        <w:rPr>
          <w:rFonts w:hint="default" w:ascii="Times New Roman" w:hAnsi="Times New Roman" w:eastAsia="宋体" w:cs="Times New Roman"/>
          <w:sz w:val="21"/>
          <w:szCs w:val="21"/>
        </w:rPr>
        <w:t>本主义殖民扩张中“硬实力”的象征,那么种族主义则充当了其“锐实力”的角</w:t>
      </w:r>
      <w:r>
        <w:rPr>
          <w:rFonts w:hint="default" w:ascii="Times New Roman" w:hAnsi="Times New Roman" w:eastAsia="宋体" w:cs="Times New Roman"/>
          <w:spacing w:val="8"/>
          <w:sz w:val="21"/>
          <w:szCs w:val="21"/>
        </w:rPr>
        <w:t>色:它通过遮蔽原住民的历史,瓦解其社会意志、摧毁其文化认同,为殖民者在</w:t>
      </w:r>
      <w:r>
        <w:rPr>
          <w:rFonts w:hint="default" w:ascii="Times New Roman" w:hAnsi="Times New Roman" w:eastAsia="宋体" w:cs="Times New Roman"/>
          <w:spacing w:val="9"/>
          <w:sz w:val="21"/>
          <w:szCs w:val="21"/>
        </w:rPr>
        <w:t>第三世界及本国对黑人、土著居民和其他有色人种的统治与奴役提供了意识</w:t>
      </w:r>
      <w:r>
        <w:rPr>
          <w:rFonts w:hint="default" w:ascii="Times New Roman" w:hAnsi="Times New Roman" w:eastAsia="宋体" w:cs="Times New Roman"/>
          <w:spacing w:val="10"/>
          <w:sz w:val="21"/>
          <w:szCs w:val="21"/>
        </w:rPr>
        <w:t>形态合法性。种族主义的发展经历了复杂的演变过程。进入</w:t>
      </w:r>
      <w:r>
        <w:rPr>
          <w:rFonts w:hint="default" w:ascii="Times New Roman" w:hAnsi="Times New Roman" w:eastAsia="宋体" w:cs="Times New Roman"/>
          <w:spacing w:val="10"/>
          <w:position w:val="-2"/>
          <w:sz w:val="21"/>
          <w:szCs w:val="21"/>
        </w:rPr>
        <w:t>21</w:t>
      </w:r>
      <w:r>
        <w:rPr>
          <w:rFonts w:hint="default" w:ascii="Times New Roman" w:hAnsi="Times New Roman" w:eastAsia="宋体" w:cs="Times New Roman"/>
          <w:spacing w:val="10"/>
          <w:sz w:val="21"/>
          <w:szCs w:val="21"/>
        </w:rPr>
        <w:t>世纪,尤其是</w:t>
      </w:r>
      <w:r>
        <w:rPr>
          <w:rFonts w:hint="default" w:ascii="Times New Roman" w:hAnsi="Times New Roman" w:eastAsia="宋体" w:cs="Times New Roman"/>
          <w:spacing w:val="9"/>
          <w:sz w:val="21"/>
          <w:szCs w:val="21"/>
        </w:rPr>
        <w:t>2008年全球金融危机之后,以英国脱欧、特朗普当选美国总统等事件为标志,</w:t>
      </w:r>
      <w:r>
        <w:rPr>
          <w:rFonts w:hint="default" w:ascii="Times New Roman" w:hAnsi="Times New Roman" w:eastAsia="宋体" w:cs="Times New Roman"/>
          <w:spacing w:val="12"/>
          <w:sz w:val="21"/>
          <w:szCs w:val="21"/>
        </w:rPr>
        <w:t>种族主义与民粹主义、保守主义合流,形成了独特的政治文化现象。这表</w:t>
      </w:r>
      <w:r>
        <w:rPr>
          <w:rFonts w:hint="default" w:ascii="Times New Roman" w:hAnsi="Times New Roman" w:eastAsia="宋体" w:cs="Times New Roman"/>
          <w:spacing w:val="11"/>
          <w:sz w:val="21"/>
          <w:szCs w:val="21"/>
        </w:rPr>
        <w:t>明,</w:t>
      </w:r>
      <w:r>
        <w:rPr>
          <w:rFonts w:hint="default" w:ascii="Times New Roman" w:hAnsi="Times New Roman" w:eastAsia="宋体" w:cs="Times New Roman"/>
          <w:spacing w:val="14"/>
          <w:sz w:val="21"/>
          <w:szCs w:val="21"/>
        </w:rPr>
        <w:t>尽管种族主义的面貌随着历史环境的变化而不断调整,但只要其根源</w:t>
      </w:r>
      <w:r>
        <w:rPr>
          <w:rFonts w:hint="default" w:ascii="Times New Roman" w:hAnsi="Times New Roman" w:eastAsia="宋体" w:cs="Times New Roman"/>
          <w:b/>
          <w:bCs/>
          <w:spacing w:val="42"/>
          <w:w w:val="131"/>
          <w:sz w:val="21"/>
          <w:szCs w:val="21"/>
        </w:rPr>
        <w:t>—</w:t>
      </w:r>
      <w:r>
        <w:rPr>
          <w:rFonts w:hint="default" w:ascii="Times New Roman" w:hAnsi="Times New Roman" w:eastAsia="宋体" w:cs="Times New Roman"/>
          <w:spacing w:val="42"/>
          <w:w w:val="131"/>
          <w:sz w:val="21"/>
          <w:szCs w:val="21"/>
        </w:rPr>
        <w:t>资</w:t>
      </w:r>
      <w:r>
        <w:rPr>
          <w:rFonts w:hint="default" w:ascii="Times New Roman" w:hAnsi="Times New Roman" w:eastAsia="宋体" w:cs="Times New Roman"/>
          <w:spacing w:val="18"/>
          <w:sz w:val="21"/>
          <w:szCs w:val="21"/>
        </w:rPr>
        <w:t>本主义的不平等权力结构</w:t>
      </w:r>
      <w:r>
        <w:rPr>
          <w:rFonts w:hint="default" w:ascii="Times New Roman" w:hAnsi="Times New Roman" w:eastAsia="宋体" w:cs="Times New Roman"/>
          <w:b/>
          <w:bCs/>
          <w:spacing w:val="18"/>
          <w:sz w:val="21"/>
          <w:szCs w:val="21"/>
        </w:rPr>
        <w:t>—</w:t>
      </w:r>
      <w:r>
        <w:rPr>
          <w:rFonts w:hint="default" w:ascii="Times New Roman" w:hAnsi="Times New Roman" w:eastAsia="宋体" w:cs="Times New Roman"/>
          <w:spacing w:val="18"/>
          <w:sz w:val="21"/>
          <w:szCs w:val="21"/>
        </w:rPr>
        <w:t>依然存在,种族主义就不会消失,它</w:t>
      </w:r>
      <w:r>
        <w:rPr>
          <w:rFonts w:hint="default" w:ascii="Times New Roman" w:hAnsi="Times New Roman" w:eastAsia="宋体" w:cs="Times New Roman"/>
          <w:spacing w:val="17"/>
          <w:sz w:val="21"/>
          <w:szCs w:val="21"/>
        </w:rPr>
        <w:t>对世界的影</w:t>
      </w:r>
      <w:r>
        <w:rPr>
          <w:rFonts w:hint="default" w:ascii="Times New Roman" w:hAnsi="Times New Roman" w:eastAsia="宋体" w:cs="Times New Roman"/>
          <w:spacing w:val="5"/>
          <w:sz w:val="21"/>
          <w:szCs w:val="21"/>
        </w:rPr>
        <w:t>响依然深远。</w:t>
      </w:r>
    </w:p>
    <w:p w14:paraId="0AD6563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b/>
          <w:bCs/>
          <w:sz w:val="24"/>
          <w:szCs w:val="24"/>
        </w:rPr>
      </w:pPr>
      <w:r>
        <w:rPr>
          <w:rFonts w:hint="default" w:ascii="Times New Roman" w:hAnsi="Times New Roman" w:eastAsia="宋体" w:cs="Times New Roman"/>
          <w:b/>
          <w:bCs/>
          <w:spacing w:val="-3"/>
          <w:sz w:val="24"/>
          <w:szCs w:val="24"/>
        </w:rPr>
        <w:t>一、种族主义历史形态的演变</w:t>
      </w:r>
    </w:p>
    <w:p w14:paraId="0900F64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理论与实践之间往往并不存在一一对应关系,一种实践形式可以由不同</w:t>
      </w:r>
      <w:r>
        <w:rPr>
          <w:rFonts w:hint="default" w:ascii="Times New Roman" w:hAnsi="Times New Roman" w:eastAsia="宋体" w:cs="Times New Roman"/>
          <w:spacing w:val="8"/>
          <w:sz w:val="21"/>
          <w:szCs w:val="21"/>
        </w:rPr>
        <w:t>的理论进行阐释。种族主义作为一种歧视性的实践在不同历史时期得到不同</w:t>
      </w:r>
      <w:r>
        <w:rPr>
          <w:rFonts w:hint="default" w:ascii="Times New Roman" w:hAnsi="Times New Roman" w:eastAsia="宋体" w:cs="Times New Roman"/>
          <w:spacing w:val="15"/>
          <w:sz w:val="21"/>
          <w:szCs w:val="21"/>
        </w:rPr>
        <w:t>理论(甚至是相互对立的理论)的支持,每种理论都是特定时代条件的产物。</w:t>
      </w:r>
      <w:r>
        <w:rPr>
          <w:rFonts w:hint="default" w:ascii="Times New Roman" w:hAnsi="Times New Roman" w:eastAsia="宋体" w:cs="Times New Roman"/>
          <w:spacing w:val="12"/>
          <w:sz w:val="21"/>
          <w:szCs w:val="21"/>
        </w:rPr>
        <w:t>根据研究,种族主义理论有三大历史形态</w:t>
      </w:r>
      <w:r>
        <w:rPr>
          <w:rStyle w:val="20"/>
          <w:rFonts w:hint="default" w:ascii="Times New Roman" w:hAnsi="Times New Roman" w:eastAsia="宋体" w:cs="Times New Roman"/>
          <w:spacing w:val="12"/>
          <w:sz w:val="21"/>
          <w:szCs w:val="21"/>
        </w:rPr>
        <w:footnoteReference w:id="1127"/>
      </w:r>
      <w:r>
        <w:rPr>
          <w:rFonts w:hint="default" w:ascii="Times New Roman" w:hAnsi="Times New Roman" w:eastAsia="宋体" w:cs="Times New Roman"/>
          <w:spacing w:val="12"/>
          <w:sz w:val="21"/>
          <w:szCs w:val="21"/>
        </w:rPr>
        <w:t>:</w:t>
      </w:r>
      <w:r>
        <w:rPr>
          <w:rFonts w:hint="default" w:ascii="Times New Roman" w:hAnsi="Times New Roman" w:eastAsia="宋体" w:cs="Times New Roman"/>
          <w:spacing w:val="12"/>
          <w:position w:val="-2"/>
          <w:sz w:val="21"/>
          <w:szCs w:val="21"/>
        </w:rPr>
        <w:t>19</w:t>
      </w:r>
      <w:r>
        <w:rPr>
          <w:rFonts w:hint="default" w:ascii="Times New Roman" w:hAnsi="Times New Roman" w:eastAsia="宋体" w:cs="Times New Roman"/>
          <w:spacing w:val="11"/>
          <w:sz w:val="21"/>
          <w:szCs w:val="21"/>
        </w:rPr>
        <w:t>世纪之前的主流种族主义理论</w:t>
      </w:r>
      <w:r>
        <w:rPr>
          <w:rFonts w:hint="default" w:ascii="Times New Roman" w:hAnsi="Times New Roman" w:eastAsia="宋体" w:cs="Times New Roman"/>
          <w:spacing w:val="6"/>
          <w:sz w:val="21"/>
          <w:szCs w:val="21"/>
        </w:rPr>
        <w:t>基于《圣经》的论点而阐发,可称之为宗教种族主义</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从</w:t>
      </w:r>
      <w:r>
        <w:rPr>
          <w:rFonts w:hint="default" w:ascii="Times New Roman" w:hAnsi="Times New Roman" w:eastAsia="宋体" w:cs="Times New Roman"/>
          <w:spacing w:val="6"/>
          <w:position w:val="-2"/>
          <w:sz w:val="21"/>
          <w:szCs w:val="21"/>
        </w:rPr>
        <w:t>1850</w:t>
      </w:r>
      <w:r>
        <w:rPr>
          <w:rFonts w:hint="default" w:ascii="Times New Roman" w:hAnsi="Times New Roman" w:eastAsia="宋体" w:cs="Times New Roman"/>
          <w:spacing w:val="6"/>
          <w:sz w:val="21"/>
          <w:szCs w:val="21"/>
        </w:rPr>
        <w:t>年到</w:t>
      </w:r>
      <w:r>
        <w:rPr>
          <w:rFonts w:hint="default" w:ascii="Times New Roman" w:hAnsi="Times New Roman" w:eastAsia="宋体" w:cs="Times New Roman"/>
          <w:spacing w:val="6"/>
          <w:position w:val="-2"/>
          <w:sz w:val="21"/>
          <w:szCs w:val="21"/>
        </w:rPr>
        <w:t>1950</w:t>
      </w:r>
      <w:r>
        <w:rPr>
          <w:rFonts w:hint="default" w:ascii="Times New Roman" w:hAnsi="Times New Roman" w:eastAsia="宋体" w:cs="Times New Roman"/>
          <w:spacing w:val="6"/>
          <w:sz w:val="21"/>
          <w:szCs w:val="21"/>
        </w:rPr>
        <w:t>年,基</w:t>
      </w:r>
      <w:r>
        <w:rPr>
          <w:rFonts w:hint="default" w:ascii="Times New Roman" w:hAnsi="Times New Roman" w:eastAsia="宋体" w:cs="Times New Roman"/>
          <w:spacing w:val="11"/>
          <w:sz w:val="21"/>
          <w:szCs w:val="21"/>
        </w:rPr>
        <w:t>于自然科学的科学种族主义成为主流的种族主义理论;今天的种族主义,主要</w:t>
      </w:r>
      <w:r>
        <w:rPr>
          <w:rFonts w:hint="default" w:ascii="Times New Roman" w:hAnsi="Times New Roman" w:eastAsia="宋体" w:cs="Times New Roman"/>
          <w:spacing w:val="-2"/>
          <w:sz w:val="21"/>
          <w:szCs w:val="21"/>
        </w:rPr>
        <w:t>是基于“文化或文化的历史理论”</w:t>
      </w:r>
      <w:r>
        <w:rPr>
          <w:rStyle w:val="20"/>
          <w:rFonts w:hint="default" w:ascii="Times New Roman" w:hAnsi="Times New Roman" w:eastAsia="宋体" w:cs="Times New Roman"/>
          <w:spacing w:val="-2"/>
          <w:sz w:val="21"/>
          <w:szCs w:val="21"/>
        </w:rPr>
        <w:footnoteReference w:id="1128"/>
      </w:r>
      <w:r>
        <w:rPr>
          <w:rFonts w:hint="default" w:ascii="Times New Roman" w:hAnsi="Times New Roman" w:eastAsia="宋体" w:cs="Times New Roman"/>
          <w:spacing w:val="-2"/>
          <w:sz w:val="21"/>
          <w:szCs w:val="21"/>
        </w:rPr>
        <w:t>的文化种族主义。</w:t>
      </w:r>
    </w:p>
    <w:p w14:paraId="750AB06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8"/>
          <w:sz w:val="21"/>
          <w:szCs w:val="21"/>
        </w:rPr>
        <w:t>(一)宗教种族主义:对被殖民者的“非人化”</w:t>
      </w:r>
    </w:p>
    <w:p w14:paraId="73B25C8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6"/>
          <w:sz w:val="21"/>
          <w:szCs w:val="21"/>
        </w:rPr>
        <w:t>在欧洲殖民扩张的第一波历史时期(即资本</w:t>
      </w:r>
      <w:r>
        <w:rPr>
          <w:rFonts w:hint="default" w:ascii="Times New Roman" w:hAnsi="Times New Roman" w:eastAsia="宋体" w:cs="Times New Roman"/>
          <w:spacing w:val="15"/>
          <w:sz w:val="21"/>
          <w:szCs w:val="21"/>
        </w:rPr>
        <w:t>主义原始积累时期),统治西</w:t>
      </w:r>
      <w:r>
        <w:rPr>
          <w:rFonts w:hint="default" w:ascii="Times New Roman" w:hAnsi="Times New Roman" w:eastAsia="宋体" w:cs="Times New Roman"/>
          <w:spacing w:val="1"/>
          <w:sz w:val="21"/>
          <w:szCs w:val="21"/>
        </w:rPr>
        <w:t>方精神世界的基督教基于《圣经》首先对被殖民者进</w:t>
      </w:r>
      <w:r>
        <w:rPr>
          <w:rFonts w:hint="default" w:ascii="Times New Roman" w:hAnsi="Times New Roman" w:eastAsia="宋体" w:cs="Times New Roman"/>
          <w:sz w:val="21"/>
          <w:szCs w:val="21"/>
        </w:rPr>
        <w:t>行了“非人化”,继而得出</w:t>
      </w:r>
      <w:r>
        <w:rPr>
          <w:rFonts w:hint="default" w:ascii="Times New Roman" w:hAnsi="Times New Roman" w:eastAsia="宋体" w:cs="Times New Roman"/>
          <w:spacing w:val="14"/>
          <w:sz w:val="21"/>
          <w:szCs w:val="21"/>
        </w:rPr>
        <w:t>白种人是最优秀的种族并有资格统治和奴役非白</w:t>
      </w:r>
      <w:r>
        <w:rPr>
          <w:rFonts w:hint="default" w:ascii="Times New Roman" w:hAnsi="Times New Roman" w:eastAsia="宋体" w:cs="Times New Roman"/>
          <w:spacing w:val="13"/>
          <w:sz w:val="21"/>
          <w:szCs w:val="21"/>
        </w:rPr>
        <w:t>种人的结论,使欧洲人对所</w:t>
      </w:r>
      <w:r>
        <w:rPr>
          <w:rFonts w:hint="default" w:ascii="Times New Roman" w:hAnsi="Times New Roman" w:eastAsia="宋体" w:cs="Times New Roman"/>
          <w:spacing w:val="-2"/>
          <w:sz w:val="21"/>
          <w:szCs w:val="21"/>
        </w:rPr>
        <w:t>谓“新大陆”的巧取豪夺合法化、合理化,由</w:t>
      </w:r>
      <w:r>
        <w:rPr>
          <w:rFonts w:hint="default" w:ascii="Times New Roman" w:hAnsi="Times New Roman" w:eastAsia="宋体" w:cs="Times New Roman"/>
          <w:spacing w:val="-3"/>
          <w:sz w:val="21"/>
          <w:szCs w:val="21"/>
        </w:rPr>
        <w:t>此形成了宗教种族主义。</w:t>
      </w:r>
      <w:r>
        <w:rPr>
          <w:rStyle w:val="20"/>
          <w:rFonts w:hint="default" w:ascii="Times New Roman" w:hAnsi="Times New Roman" w:eastAsia="宋体" w:cs="Times New Roman"/>
          <w:spacing w:val="-3"/>
          <w:sz w:val="21"/>
          <w:szCs w:val="21"/>
        </w:rPr>
        <w:footnoteReference w:id="1129"/>
      </w:r>
    </w:p>
    <w:p w14:paraId="7096679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pacing w:val="-25"/>
          <w:sz w:val="21"/>
          <w:szCs w:val="21"/>
        </w:rPr>
      </w:pPr>
      <w:r>
        <w:rPr>
          <w:rFonts w:hint="default" w:ascii="Times New Roman" w:hAnsi="Times New Roman" w:eastAsia="宋体" w:cs="Times New Roman"/>
          <w:spacing w:val="14"/>
          <w:sz w:val="21"/>
          <w:szCs w:val="21"/>
        </w:rPr>
        <w:t>殖民主义初期的宗教种族主义实践,本质上是基督教神学与欧洲资</w:t>
      </w:r>
      <w:r>
        <w:rPr>
          <w:rFonts w:hint="default" w:ascii="Times New Roman" w:hAnsi="Times New Roman" w:eastAsia="宋体" w:cs="Times New Roman"/>
          <w:spacing w:val="13"/>
          <w:sz w:val="21"/>
          <w:szCs w:val="21"/>
        </w:rPr>
        <w:t>本原</w:t>
      </w:r>
      <w:r>
        <w:rPr>
          <w:rFonts w:hint="default" w:ascii="Times New Roman" w:hAnsi="Times New Roman" w:eastAsia="宋体" w:cs="Times New Roman"/>
          <w:spacing w:val="16"/>
          <w:sz w:val="21"/>
          <w:szCs w:val="21"/>
        </w:rPr>
        <w:t>始积累需求相结合的意识形态产物。</w:t>
      </w:r>
      <w:r>
        <w:rPr>
          <w:rFonts w:hint="default" w:ascii="Times New Roman" w:hAnsi="Times New Roman" w:eastAsia="宋体" w:cs="Times New Roman"/>
          <w:spacing w:val="16"/>
          <w:position w:val="-2"/>
          <w:sz w:val="21"/>
          <w:szCs w:val="21"/>
        </w:rPr>
        <w:t>15</w:t>
      </w:r>
      <w:r>
        <w:rPr>
          <w:rFonts w:hint="default" w:ascii="Times New Roman" w:hAnsi="Times New Roman" w:eastAsia="宋体" w:cs="Times New Roman"/>
          <w:spacing w:val="16"/>
          <w:sz w:val="21"/>
          <w:szCs w:val="21"/>
        </w:rPr>
        <w:t>世纪晚期,尽管神权在逐渐衰落,但</w:t>
      </w:r>
      <w:r>
        <w:rPr>
          <w:rFonts w:hint="default" w:ascii="Times New Roman" w:hAnsi="Times New Roman" w:eastAsia="宋体" w:cs="Times New Roman"/>
          <w:spacing w:val="12"/>
          <w:sz w:val="21"/>
          <w:szCs w:val="21"/>
        </w:rPr>
        <w:t>在名义上仍享有统治基督教世界的权威。因此,罗马教廷在确立欧洲殖民行</w:t>
      </w:r>
      <w:r>
        <w:rPr>
          <w:rFonts w:hint="default" w:ascii="Times New Roman" w:hAnsi="Times New Roman" w:eastAsia="宋体" w:cs="Times New Roman"/>
          <w:spacing w:val="7"/>
          <w:sz w:val="21"/>
          <w:szCs w:val="21"/>
        </w:rPr>
        <w:t>径的合法性上发挥着重大作用。罗马教廷通过重新诠释《圣</w:t>
      </w:r>
      <w:r>
        <w:rPr>
          <w:rFonts w:hint="default" w:ascii="Times New Roman" w:hAnsi="Times New Roman" w:eastAsia="宋体" w:cs="Times New Roman"/>
          <w:spacing w:val="6"/>
          <w:sz w:val="21"/>
          <w:szCs w:val="21"/>
        </w:rPr>
        <w:t>经》,构建了一套</w:t>
      </w:r>
      <w:r>
        <w:rPr>
          <w:rFonts w:hint="default" w:ascii="Times New Roman" w:hAnsi="Times New Roman" w:eastAsia="宋体" w:cs="Times New Roman"/>
          <w:spacing w:val="2"/>
          <w:sz w:val="21"/>
          <w:szCs w:val="21"/>
        </w:rPr>
        <w:t>以“文明—野蛮”二元论为核心的殖民认识论。这种认识论将原住民和黑人群</w:t>
      </w:r>
      <w:r>
        <w:rPr>
          <w:rFonts w:hint="default" w:ascii="Times New Roman" w:hAnsi="Times New Roman" w:eastAsia="宋体" w:cs="Times New Roman"/>
          <w:spacing w:val="14"/>
          <w:sz w:val="21"/>
          <w:szCs w:val="21"/>
        </w:rPr>
        <w:t>体置于基督教宇宙观的人类家庭之外,从而为系统性掠</w:t>
      </w:r>
      <w:r>
        <w:rPr>
          <w:rFonts w:hint="default" w:ascii="Times New Roman" w:hAnsi="Times New Roman" w:eastAsia="宋体" w:cs="Times New Roman"/>
          <w:spacing w:val="13"/>
          <w:sz w:val="21"/>
          <w:szCs w:val="21"/>
        </w:rPr>
        <w:t>夺殖民地确立神学合</w:t>
      </w:r>
      <w:r>
        <w:rPr>
          <w:rFonts w:hint="default" w:ascii="Times New Roman" w:hAnsi="Times New Roman" w:eastAsia="宋体" w:cs="Times New Roman"/>
          <w:spacing w:val="-25"/>
          <w:sz w:val="21"/>
          <w:szCs w:val="21"/>
        </w:rPr>
        <w:t>法性。</w:t>
      </w:r>
      <w:r>
        <w:rPr>
          <w:rStyle w:val="20"/>
          <w:rFonts w:hint="default" w:ascii="Times New Roman" w:hAnsi="Times New Roman" w:eastAsia="宋体" w:cs="Times New Roman"/>
          <w:spacing w:val="-25"/>
          <w:sz w:val="21"/>
          <w:szCs w:val="21"/>
        </w:rPr>
        <w:footnoteReference w:id="1130"/>
      </w:r>
    </w:p>
    <w:p w14:paraId="6247ADE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首先,将原住民和黑人低劣化、非人化,通过援引《创世记》的“含的诅咒”</w:t>
      </w:r>
      <w:r>
        <w:rPr>
          <w:rFonts w:hint="default" w:ascii="Times New Roman" w:hAnsi="Times New Roman" w:eastAsia="宋体" w:cs="Times New Roman"/>
          <w:sz w:val="21"/>
          <w:szCs w:val="21"/>
        </w:rPr>
        <w:tab/>
      </w:r>
      <w:r>
        <w:rPr>
          <w:rFonts w:hint="default" w:ascii="Times New Roman" w:hAnsi="Times New Roman" w:eastAsia="宋体" w:cs="Times New Roman"/>
          <w:spacing w:val="7"/>
          <w:sz w:val="21"/>
          <w:szCs w:val="21"/>
        </w:rPr>
        <w:t>(</w:t>
      </w:r>
      <w:r>
        <w:rPr>
          <w:rFonts w:hint="default" w:ascii="Times New Roman" w:hAnsi="Times New Roman" w:eastAsia="宋体" w:cs="Times New Roman"/>
          <w:sz w:val="21"/>
          <w:szCs w:val="21"/>
        </w:rPr>
        <w:t>C</w:t>
      </w:r>
      <w:r>
        <w:rPr>
          <w:rFonts w:hint="default" w:ascii="Times New Roman" w:hAnsi="Times New Roman" w:eastAsia="宋体" w:cs="Times New Roman"/>
          <w:position w:val="-2"/>
          <w:sz w:val="21"/>
          <w:szCs w:val="21"/>
        </w:rPr>
        <w:t>urse</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of</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Ham</w:t>
      </w:r>
      <w:r>
        <w:rPr>
          <w:rFonts w:hint="default" w:ascii="Times New Roman" w:hAnsi="Times New Roman" w:eastAsia="宋体" w:cs="Times New Roman"/>
          <w:spacing w:val="7"/>
          <w:sz w:val="21"/>
          <w:szCs w:val="21"/>
        </w:rPr>
        <w:t>),将非洲黑人建构为诺亚次子“含”的堕落后裔</w:t>
      </w:r>
      <w:r>
        <w:rPr>
          <w:rFonts w:hint="default" w:ascii="Times New Roman" w:hAnsi="Times New Roman" w:eastAsia="宋体" w:cs="Times New Roman"/>
          <w:spacing w:val="6"/>
          <w:sz w:val="21"/>
          <w:szCs w:val="21"/>
        </w:rPr>
        <w:t>,否定其完全人</w:t>
      </w:r>
      <w:r>
        <w:rPr>
          <w:rFonts w:hint="default" w:ascii="Times New Roman" w:hAnsi="Times New Roman" w:eastAsia="宋体" w:cs="Times New Roman"/>
          <w:spacing w:val="11"/>
          <w:sz w:val="21"/>
          <w:szCs w:val="21"/>
        </w:rPr>
        <w:t>性地位</w:t>
      </w:r>
      <w:r>
        <w:rPr>
          <w:rStyle w:val="20"/>
          <w:rFonts w:hint="default" w:ascii="Times New Roman" w:hAnsi="Times New Roman" w:eastAsia="宋体" w:cs="Times New Roman"/>
          <w:spacing w:val="11"/>
          <w:sz w:val="21"/>
          <w:szCs w:val="21"/>
        </w:rPr>
        <w:footnoteReference w:id="1131"/>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sz w:val="21"/>
          <w:szCs w:val="21"/>
        </w:rPr>
        <w:t>其次,重构空间秩序</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position w:val="-2"/>
          <w:sz w:val="21"/>
          <w:szCs w:val="21"/>
        </w:rPr>
        <w:t>1452</w:t>
      </w:r>
      <w:r>
        <w:rPr>
          <w:rFonts w:hint="default" w:ascii="Times New Roman" w:hAnsi="Times New Roman" w:eastAsia="宋体" w:cs="Times New Roman"/>
          <w:spacing w:val="11"/>
          <w:sz w:val="21"/>
          <w:szCs w:val="21"/>
        </w:rPr>
        <w:t>年</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position w:val="-2"/>
          <w:sz w:val="21"/>
          <w:szCs w:val="21"/>
        </w:rPr>
        <w:t>1455</w:t>
      </w:r>
      <w:r>
        <w:rPr>
          <w:rFonts w:hint="default" w:ascii="Times New Roman" w:hAnsi="Times New Roman" w:eastAsia="宋体" w:cs="Times New Roman"/>
          <w:spacing w:val="11"/>
          <w:sz w:val="21"/>
          <w:szCs w:val="21"/>
        </w:rPr>
        <w:t>年的</w:t>
      </w:r>
      <w:r>
        <w:rPr>
          <w:rFonts w:hint="default" w:ascii="Times New Roman" w:hAnsi="Times New Roman" w:eastAsia="宋体" w:cs="Times New Roman"/>
          <w:spacing w:val="10"/>
          <w:sz w:val="21"/>
          <w:szCs w:val="21"/>
        </w:rPr>
        <w:t>教皇诏令赋予殖民者拥有</w:t>
      </w:r>
      <w:r>
        <w:rPr>
          <w:rFonts w:hint="default" w:ascii="Times New Roman" w:hAnsi="Times New Roman" w:eastAsia="宋体" w:cs="Times New Roman"/>
          <w:sz w:val="21"/>
          <w:szCs w:val="21"/>
        </w:rPr>
        <w:tab/>
      </w:r>
      <w:r>
        <w:rPr>
          <w:rFonts w:hint="default" w:ascii="Times New Roman" w:hAnsi="Times New Roman" w:eastAsia="宋体" w:cs="Times New Roman"/>
          <w:spacing w:val="-3"/>
          <w:sz w:val="21"/>
          <w:szCs w:val="21"/>
        </w:rPr>
        <w:t>置“非信徒”的原住民于“永久奴役”的权力</w:t>
      </w:r>
      <w:r>
        <w:rPr>
          <w:rStyle w:val="20"/>
          <w:rFonts w:hint="default" w:ascii="Times New Roman" w:hAnsi="Times New Roman" w:eastAsia="宋体" w:cs="Times New Roman"/>
          <w:spacing w:val="-3"/>
          <w:sz w:val="21"/>
          <w:szCs w:val="21"/>
        </w:rPr>
        <w:footnoteReference w:id="1132"/>
      </w:r>
      <w:r>
        <w:rPr>
          <w:rFonts w:hint="default" w:ascii="Times New Roman" w:hAnsi="Times New Roman" w:eastAsia="宋体" w:cs="Times New Roman"/>
          <w:spacing w:val="-3"/>
          <w:position w:val="-2"/>
          <w:sz w:val="21"/>
          <w:szCs w:val="21"/>
        </w:rPr>
        <w:t>;1492</w:t>
      </w:r>
      <w:r>
        <w:rPr>
          <w:rFonts w:hint="default" w:ascii="Times New Roman" w:hAnsi="Times New Roman" w:eastAsia="宋体" w:cs="Times New Roman"/>
          <w:spacing w:val="-3"/>
          <w:sz w:val="21"/>
          <w:szCs w:val="21"/>
        </w:rPr>
        <w:t>年哥伦布发现</w:t>
      </w:r>
      <w:r>
        <w:rPr>
          <w:rFonts w:hint="default" w:ascii="Times New Roman" w:hAnsi="Times New Roman" w:eastAsia="宋体" w:cs="Times New Roman"/>
          <w:spacing w:val="-4"/>
          <w:sz w:val="21"/>
          <w:szCs w:val="21"/>
        </w:rPr>
        <w:t>“新大陆”,次</w:t>
      </w:r>
      <w:r>
        <w:rPr>
          <w:rFonts w:hint="default" w:ascii="Times New Roman" w:hAnsi="Times New Roman" w:eastAsia="宋体" w:cs="Times New Roman"/>
          <w:spacing w:val="8"/>
          <w:sz w:val="21"/>
          <w:szCs w:val="21"/>
        </w:rPr>
        <w:t>年教皇便颁发诏令规定“任何非基督徒居住的土地都是自</w:t>
      </w:r>
      <w:r>
        <w:rPr>
          <w:rFonts w:hint="default" w:ascii="Times New Roman" w:hAnsi="Times New Roman" w:eastAsia="宋体" w:cs="Times New Roman"/>
          <w:spacing w:val="7"/>
          <w:sz w:val="21"/>
          <w:szCs w:val="21"/>
        </w:rPr>
        <w:t>由的无主之地”,即“发现即占有”的殖民法权原则</w:t>
      </w:r>
      <w:r>
        <w:rPr>
          <w:rStyle w:val="20"/>
          <w:rFonts w:hint="default" w:ascii="Times New Roman" w:hAnsi="Times New Roman" w:eastAsia="宋体" w:cs="Times New Roman"/>
          <w:spacing w:val="7"/>
          <w:sz w:val="21"/>
          <w:szCs w:val="21"/>
        </w:rPr>
        <w:footnoteReference w:id="1133"/>
      </w:r>
      <w:r>
        <w:rPr>
          <w:rFonts w:hint="default" w:ascii="Times New Roman" w:hAnsi="Times New Roman" w:eastAsia="宋体" w:cs="Times New Roman"/>
          <w:spacing w:val="7"/>
          <w:sz w:val="21"/>
          <w:szCs w:val="21"/>
        </w:rPr>
        <w:t>。这种神学—法律复合体被</w:t>
      </w:r>
      <w:r>
        <w:rPr>
          <w:rFonts w:hint="default" w:ascii="Times New Roman" w:hAnsi="Times New Roman" w:eastAsia="宋体" w:cs="Times New Roman"/>
          <w:spacing w:val="6"/>
          <w:sz w:val="21"/>
          <w:szCs w:val="21"/>
        </w:rPr>
        <w:t>学界称为“发现</w:t>
      </w:r>
      <w:r>
        <w:rPr>
          <w:rFonts w:hint="default" w:ascii="Times New Roman" w:hAnsi="Times New Roman" w:eastAsia="宋体" w:cs="Times New Roman"/>
          <w:spacing w:val="19"/>
          <w:sz w:val="21"/>
          <w:szCs w:val="21"/>
        </w:rPr>
        <w:t>教旨</w:t>
      </w:r>
      <w:r>
        <w:rPr>
          <w:rFonts w:hint="default" w:ascii="Times New Roman" w:hAnsi="Times New Roman" w:eastAsia="宋体" w:cs="Times New Roman"/>
          <w:spacing w:val="19"/>
          <w:position w:val="1"/>
          <w:sz w:val="21"/>
          <w:szCs w:val="21"/>
        </w:rPr>
        <w:t>”</w:t>
      </w:r>
      <w:r>
        <w:rPr>
          <w:rFonts w:hint="default" w:ascii="Times New Roman" w:hAnsi="Times New Roman" w:eastAsia="宋体" w:cs="Times New Roman"/>
          <w:spacing w:val="19"/>
          <w:position w:val="-1"/>
          <w:sz w:val="21"/>
          <w:szCs w:val="21"/>
        </w:rPr>
        <w:t>(</w:t>
      </w:r>
      <w:r>
        <w:rPr>
          <w:rFonts w:hint="default" w:ascii="Times New Roman" w:hAnsi="Times New Roman" w:eastAsia="宋体" w:cs="Times New Roman"/>
          <w:position w:val="-1"/>
          <w:sz w:val="21"/>
          <w:szCs w:val="21"/>
        </w:rPr>
        <w:t>Doctrine</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2"/>
          <w:sz w:val="21"/>
          <w:szCs w:val="21"/>
        </w:rPr>
        <w:t>of</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1"/>
          <w:sz w:val="21"/>
          <w:szCs w:val="21"/>
        </w:rPr>
        <w:t>Discovery</w:t>
      </w:r>
      <w:r>
        <w:rPr>
          <w:rFonts w:hint="default" w:ascii="Times New Roman" w:hAnsi="Times New Roman" w:eastAsia="宋体" w:cs="Times New Roman"/>
          <w:spacing w:val="19"/>
          <w:position w:val="-1"/>
          <w:sz w:val="21"/>
          <w:szCs w:val="21"/>
        </w:rPr>
        <w:t>)</w:t>
      </w:r>
      <w:r>
        <w:rPr>
          <w:rFonts w:hint="default" w:ascii="Times New Roman" w:hAnsi="Times New Roman" w:eastAsia="宋体" w:cs="Times New Roman"/>
          <w:spacing w:val="19"/>
          <w:sz w:val="21"/>
          <w:szCs w:val="21"/>
        </w:rPr>
        <w:t>,其核心逻辑体现为三重异化:一是信仰异化</w:t>
      </w:r>
      <w:r>
        <w:rPr>
          <w:rFonts w:hint="default" w:ascii="Times New Roman" w:hAnsi="Times New Roman" w:eastAsia="宋体" w:cs="Times New Roman"/>
          <w:spacing w:val="19"/>
          <w:position w:val="1"/>
          <w:sz w:val="21"/>
          <w:szCs w:val="21"/>
        </w:rPr>
        <w:t>,</w:t>
      </w:r>
      <w:r>
        <w:rPr>
          <w:rFonts w:hint="default" w:ascii="Times New Roman" w:hAnsi="Times New Roman" w:eastAsia="宋体" w:cs="Times New Roman"/>
          <w:spacing w:val="7"/>
          <w:sz w:val="21"/>
          <w:szCs w:val="21"/>
        </w:rPr>
        <w:t>将未受洗者贬斥为“道德残缺体”,剥夺其自然法赋予的土地权利</w:t>
      </w:r>
      <w:r>
        <w:rPr>
          <w:rStyle w:val="20"/>
          <w:rFonts w:hint="default" w:ascii="Times New Roman" w:hAnsi="Times New Roman" w:eastAsia="宋体" w:cs="Times New Roman"/>
          <w:spacing w:val="7"/>
          <w:sz w:val="21"/>
          <w:szCs w:val="21"/>
        </w:rPr>
        <w:footnoteReference w:id="1134"/>
      </w:r>
      <w:r>
        <w:rPr>
          <w:rFonts w:hint="default" w:ascii="Times New Roman" w:hAnsi="Times New Roman" w:eastAsia="宋体" w:cs="Times New Roman"/>
          <w:spacing w:val="7"/>
          <w:sz w:val="21"/>
          <w:szCs w:val="21"/>
        </w:rPr>
        <w:t>;二是文化</w:t>
      </w:r>
      <w:r>
        <w:rPr>
          <w:rFonts w:hint="default" w:ascii="Times New Roman" w:hAnsi="Times New Roman" w:eastAsia="宋体" w:cs="Times New Roman"/>
          <w:spacing w:val="9"/>
          <w:sz w:val="21"/>
          <w:szCs w:val="21"/>
        </w:rPr>
        <w:t>异化,将原住民游牧/轮耕的生产方式曲解为“无固定居所”</w:t>
      </w:r>
      <w:r>
        <w:rPr>
          <w:rStyle w:val="20"/>
          <w:rFonts w:hint="default" w:ascii="Times New Roman" w:hAnsi="Times New Roman" w:eastAsia="宋体" w:cs="Times New Roman"/>
          <w:spacing w:val="9"/>
          <w:sz w:val="21"/>
          <w:szCs w:val="21"/>
        </w:rPr>
        <w:footnoteReference w:id="1135"/>
      </w:r>
      <w:r>
        <w:rPr>
          <w:rFonts w:hint="default" w:ascii="Times New Roman" w:hAnsi="Times New Roman" w:eastAsia="宋体" w:cs="Times New Roman"/>
          <w:spacing w:val="9"/>
          <w:sz w:val="21"/>
          <w:szCs w:val="21"/>
        </w:rPr>
        <w:t>,否定其文明属</w:t>
      </w:r>
      <w:r>
        <w:rPr>
          <w:rFonts w:hint="default" w:ascii="Times New Roman" w:hAnsi="Times New Roman" w:eastAsia="宋体" w:cs="Times New Roman"/>
          <w:spacing w:val="5"/>
          <w:sz w:val="21"/>
          <w:szCs w:val="21"/>
        </w:rPr>
        <w:t>性;三是非人化,援引亚里士多德《政治学》的“自然奴隶论”</w:t>
      </w:r>
      <w:r>
        <w:rPr>
          <w:rStyle w:val="20"/>
          <w:rFonts w:hint="default" w:ascii="Times New Roman" w:hAnsi="Times New Roman" w:eastAsia="宋体" w:cs="Times New Roman"/>
          <w:spacing w:val="5"/>
          <w:sz w:val="21"/>
          <w:szCs w:val="21"/>
        </w:rPr>
        <w:footnoteReference w:id="1136"/>
      </w:r>
      <w:r>
        <w:rPr>
          <w:rFonts w:hint="default" w:ascii="Times New Roman" w:hAnsi="Times New Roman" w:eastAsia="宋体" w:cs="Times New Roman"/>
          <w:spacing w:val="5"/>
          <w:sz w:val="21"/>
          <w:szCs w:val="21"/>
        </w:rPr>
        <w:t>,将原住民类比</w:t>
      </w:r>
      <w:r>
        <w:rPr>
          <w:rFonts w:hint="default" w:ascii="Times New Roman" w:hAnsi="Times New Roman" w:eastAsia="宋体" w:cs="Times New Roman"/>
          <w:spacing w:val="-6"/>
          <w:sz w:val="21"/>
          <w:szCs w:val="21"/>
        </w:rPr>
        <w:t>为“天生就是奴隶”的野蛮人</w:t>
      </w:r>
      <w:r>
        <w:rPr>
          <w:rStyle w:val="20"/>
          <w:rFonts w:hint="default" w:ascii="Times New Roman" w:hAnsi="Times New Roman" w:eastAsia="宋体" w:cs="Times New Roman"/>
          <w:spacing w:val="-6"/>
          <w:sz w:val="21"/>
          <w:szCs w:val="21"/>
        </w:rPr>
        <w:footnoteReference w:id="1137"/>
      </w:r>
      <w:r>
        <w:rPr>
          <w:rFonts w:hint="default" w:ascii="Times New Roman" w:hAnsi="Times New Roman" w:eastAsia="宋体" w:cs="Times New Roman"/>
          <w:spacing w:val="-6"/>
          <w:sz w:val="21"/>
          <w:szCs w:val="21"/>
        </w:rPr>
        <w:t>。</w:t>
      </w:r>
    </w:p>
    <w:p w14:paraId="0B31D48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北美殖民者在“发现教旨”基础上衍生了“发现规则”,其逻辑同样是“异教</w:t>
      </w:r>
      <w:r>
        <w:rPr>
          <w:rFonts w:hint="default" w:ascii="Times New Roman" w:hAnsi="Times New Roman" w:eastAsia="宋体" w:cs="Times New Roman"/>
          <w:spacing w:val="1"/>
          <w:sz w:val="21"/>
          <w:szCs w:val="21"/>
        </w:rPr>
        <w:t>徒为无物[不存在]”,这一逻辑是“‘发现权’之源,是瓜分新世界的各国在领土</w:t>
      </w:r>
      <w:r>
        <w:rPr>
          <w:rFonts w:hint="default" w:ascii="Times New Roman" w:hAnsi="Times New Roman" w:eastAsia="宋体" w:cs="Times New Roman"/>
          <w:spacing w:val="6"/>
          <w:sz w:val="21"/>
          <w:szCs w:val="21"/>
        </w:rPr>
        <w:t>争端中求助的标准,是全美国所有权的最终依据”</w:t>
      </w:r>
      <w:r>
        <w:rPr>
          <w:rStyle w:val="20"/>
          <w:rFonts w:hint="default" w:ascii="Times New Roman" w:hAnsi="Times New Roman" w:eastAsia="宋体" w:cs="Times New Roman"/>
          <w:spacing w:val="6"/>
          <w:sz w:val="21"/>
          <w:szCs w:val="21"/>
        </w:rPr>
        <w:footnoteReference w:id="1138"/>
      </w:r>
      <w:r>
        <w:rPr>
          <w:rFonts w:hint="default" w:ascii="Times New Roman" w:hAnsi="Times New Roman" w:eastAsia="宋体" w:cs="Times New Roman"/>
          <w:spacing w:val="6"/>
          <w:sz w:val="21"/>
          <w:szCs w:val="21"/>
        </w:rPr>
        <w:t>。</w:t>
      </w:r>
      <w:r>
        <w:rPr>
          <w:rFonts w:hint="default" w:ascii="Times New Roman" w:hAnsi="Times New Roman" w:eastAsia="宋体" w:cs="Times New Roman"/>
          <w:spacing w:val="6"/>
          <w:position w:val="-2"/>
          <w:sz w:val="21"/>
          <w:szCs w:val="21"/>
        </w:rPr>
        <w:t>1776</w:t>
      </w:r>
      <w:r>
        <w:rPr>
          <w:rFonts w:hint="default" w:ascii="Times New Roman" w:hAnsi="Times New Roman" w:eastAsia="宋体" w:cs="Times New Roman"/>
          <w:spacing w:val="6"/>
          <w:sz w:val="21"/>
          <w:szCs w:val="21"/>
        </w:rPr>
        <w:t>年的美国《独立宣</w:t>
      </w:r>
      <w:r>
        <w:rPr>
          <w:rFonts w:hint="default" w:ascii="Times New Roman" w:hAnsi="Times New Roman" w:eastAsia="宋体" w:cs="Times New Roman"/>
          <w:sz w:val="21"/>
          <w:szCs w:val="21"/>
        </w:rPr>
        <w:t>言》是人类历史上第一个国家文件</w:t>
      </w:r>
      <w:r>
        <w:rPr>
          <w:rStyle w:val="20"/>
          <w:rFonts w:hint="default" w:ascii="Times New Roman" w:hAnsi="Times New Roman" w:eastAsia="宋体" w:cs="Times New Roman"/>
          <w:sz w:val="21"/>
          <w:szCs w:val="21"/>
        </w:rPr>
        <w:footnoteReference w:id="1139"/>
      </w:r>
      <w:r>
        <w:rPr>
          <w:rFonts w:hint="default" w:ascii="Times New Roman" w:hAnsi="Times New Roman" w:eastAsia="宋体" w:cs="Times New Roman"/>
          <w:sz w:val="21"/>
          <w:szCs w:val="21"/>
        </w:rPr>
        <w:t>,它首次宣称“人人生而平等”,但其“生而</w:t>
      </w:r>
      <w:r>
        <w:rPr>
          <w:rFonts w:hint="default" w:ascii="Times New Roman" w:hAnsi="Times New Roman" w:eastAsia="宋体" w:cs="Times New Roman"/>
          <w:spacing w:val="6"/>
          <w:sz w:val="21"/>
          <w:szCs w:val="21"/>
        </w:rPr>
        <w:t>平等”的人指的是拥有一定财产的白人男性,只有他们才有投票权,黑</w:t>
      </w:r>
      <w:r>
        <w:rPr>
          <w:rFonts w:hint="default" w:ascii="Times New Roman" w:hAnsi="Times New Roman" w:eastAsia="宋体" w:cs="Times New Roman"/>
          <w:spacing w:val="5"/>
          <w:sz w:val="21"/>
          <w:szCs w:val="21"/>
        </w:rPr>
        <w:t>人、妇女</w:t>
      </w:r>
      <w:r>
        <w:rPr>
          <w:rFonts w:hint="default" w:ascii="Times New Roman" w:hAnsi="Times New Roman" w:eastAsia="宋体" w:cs="Times New Roman"/>
          <w:spacing w:val="3"/>
          <w:sz w:val="21"/>
          <w:szCs w:val="21"/>
        </w:rPr>
        <w:t>和穷人则没有,北美原住民印第安人更是被视为“</w:t>
      </w:r>
      <w:r>
        <w:rPr>
          <w:rFonts w:hint="default" w:ascii="Times New Roman" w:hAnsi="Times New Roman" w:eastAsia="宋体" w:cs="Times New Roman"/>
          <w:spacing w:val="2"/>
          <w:sz w:val="21"/>
          <w:szCs w:val="21"/>
        </w:rPr>
        <w:t>残酷无情、没有开化的”</w:t>
      </w:r>
      <w:r>
        <w:rPr>
          <w:rStyle w:val="20"/>
          <w:rFonts w:hint="default" w:ascii="Times New Roman" w:hAnsi="Times New Roman" w:eastAsia="宋体" w:cs="Times New Roman"/>
          <w:spacing w:val="2"/>
          <w:sz w:val="21"/>
          <w:szCs w:val="21"/>
        </w:rPr>
        <w:footnoteReference w:id="1140"/>
      </w:r>
      <w:r>
        <w:rPr>
          <w:rFonts w:hint="default" w:ascii="Times New Roman" w:hAnsi="Times New Roman" w:eastAsia="宋体" w:cs="Times New Roman"/>
          <w:spacing w:val="2"/>
          <w:sz w:val="21"/>
          <w:szCs w:val="21"/>
        </w:rPr>
        <w:t>的</w:t>
      </w:r>
      <w:r>
        <w:rPr>
          <w:rFonts w:hint="default" w:ascii="Times New Roman" w:hAnsi="Times New Roman" w:eastAsia="宋体" w:cs="Times New Roman"/>
          <w:spacing w:val="5"/>
          <w:sz w:val="21"/>
          <w:szCs w:val="21"/>
        </w:rPr>
        <w:t>无国之野蛮人。因此,《独立宣言》是一部把种族主义写进国家宣</w:t>
      </w:r>
      <w:r>
        <w:rPr>
          <w:rFonts w:hint="default" w:ascii="Times New Roman" w:hAnsi="Times New Roman" w:eastAsia="宋体" w:cs="Times New Roman"/>
          <w:spacing w:val="4"/>
          <w:sz w:val="21"/>
          <w:szCs w:val="21"/>
        </w:rPr>
        <w:t>言的文件,其</w:t>
      </w:r>
      <w:r>
        <w:rPr>
          <w:rFonts w:hint="default" w:ascii="Times New Roman" w:hAnsi="Times New Roman" w:eastAsia="宋体" w:cs="Times New Roman"/>
          <w:spacing w:val="12"/>
          <w:sz w:val="21"/>
          <w:szCs w:val="21"/>
        </w:rPr>
        <w:t>中贯穿了对白人实行共和,对印第安人、黑人等有色人种实行压迫的思想</w:t>
      </w:r>
      <w:r>
        <w:rPr>
          <w:rFonts w:hint="default" w:ascii="Times New Roman" w:hAnsi="Times New Roman" w:eastAsia="宋体" w:cs="Times New Roman"/>
          <w:spacing w:val="11"/>
          <w:sz w:val="21"/>
          <w:szCs w:val="21"/>
        </w:rPr>
        <w:t>,成</w:t>
      </w:r>
      <w:r>
        <w:rPr>
          <w:rFonts w:hint="default" w:ascii="Times New Roman" w:hAnsi="Times New Roman" w:eastAsia="宋体" w:cs="Times New Roman"/>
          <w:spacing w:val="3"/>
          <w:sz w:val="21"/>
          <w:szCs w:val="21"/>
        </w:rPr>
        <w:t>为西方系统性、制度性种族主义的思想源头之一。《独立宣言》所展示的认知分裂揭示了启蒙理性深处的殖民性(</w:t>
      </w:r>
      <w:r>
        <w:rPr>
          <w:rFonts w:hint="default" w:ascii="Times New Roman" w:hAnsi="Times New Roman" w:eastAsia="宋体" w:cs="Times New Roman"/>
          <w:position w:val="-2"/>
          <w:sz w:val="21"/>
          <w:szCs w:val="21"/>
        </w:rPr>
        <w:t>colonia</w:t>
      </w:r>
      <w:r>
        <w:rPr>
          <w:rFonts w:hint="default" w:ascii="Times New Roman" w:hAnsi="Times New Roman" w:eastAsia="宋体" w:cs="Times New Roman"/>
          <w:position w:val="-1"/>
          <w:sz w:val="21"/>
          <w:szCs w:val="21"/>
        </w:rPr>
        <w:t>lity</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譬如,洛克在《政府论》中论</w:t>
      </w:r>
      <w:r>
        <w:rPr>
          <w:rFonts w:hint="default" w:ascii="Times New Roman" w:hAnsi="Times New Roman" w:eastAsia="宋体" w:cs="Times New Roman"/>
          <w:spacing w:val="15"/>
          <w:sz w:val="21"/>
          <w:szCs w:val="21"/>
        </w:rPr>
        <w:t>证财产权源于劳动,土地所有权的获得是由于耕作,因此,尽管北美印第安人</w:t>
      </w:r>
      <w:r>
        <w:rPr>
          <w:rFonts w:hint="default" w:ascii="Times New Roman" w:hAnsi="Times New Roman" w:eastAsia="宋体" w:cs="Times New Roman"/>
          <w:spacing w:val="12"/>
          <w:sz w:val="21"/>
          <w:szCs w:val="21"/>
        </w:rPr>
        <w:t>长期在同一块土地上狩猎,但他们却被判定为无权拥有该土地,其实质是</w:t>
      </w:r>
      <w:r>
        <w:rPr>
          <w:rFonts w:hint="default" w:ascii="Times New Roman" w:hAnsi="Times New Roman" w:eastAsia="宋体" w:cs="Times New Roman"/>
          <w:spacing w:val="11"/>
          <w:sz w:val="21"/>
          <w:szCs w:val="21"/>
        </w:rPr>
        <w:t>殖民</w:t>
      </w:r>
      <w:r>
        <w:rPr>
          <w:rFonts w:hint="default" w:ascii="Times New Roman" w:hAnsi="Times New Roman" w:eastAsia="宋体" w:cs="Times New Roman"/>
          <w:spacing w:val="7"/>
          <w:sz w:val="21"/>
          <w:szCs w:val="21"/>
        </w:rPr>
        <w:t>者有意将欧洲农业模式设定为衡量“文明”的唯一标准,从而否定原住民与土</w:t>
      </w:r>
      <w:r>
        <w:rPr>
          <w:rFonts w:hint="default" w:ascii="Times New Roman" w:hAnsi="Times New Roman" w:eastAsia="宋体" w:cs="Times New Roman"/>
          <w:spacing w:val="9"/>
          <w:sz w:val="21"/>
          <w:szCs w:val="21"/>
        </w:rPr>
        <w:t>地的共生关系</w:t>
      </w:r>
      <w:r>
        <w:rPr>
          <w:rStyle w:val="20"/>
          <w:rFonts w:hint="default" w:ascii="Times New Roman" w:hAnsi="Times New Roman" w:eastAsia="宋体" w:cs="Times New Roman"/>
          <w:spacing w:val="9"/>
          <w:sz w:val="21"/>
          <w:szCs w:val="21"/>
        </w:rPr>
        <w:footnoteReference w:id="1141"/>
      </w:r>
      <w:r>
        <w:rPr>
          <w:rFonts w:hint="default" w:ascii="Times New Roman" w:hAnsi="Times New Roman" w:eastAsia="宋体" w:cs="Times New Roman"/>
          <w:spacing w:val="9"/>
          <w:sz w:val="21"/>
          <w:szCs w:val="21"/>
        </w:rPr>
        <w:t>,由此确定殖民侵略的合法性。</w:t>
      </w:r>
    </w:p>
    <w:p w14:paraId="21BA2CA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通过宗教及其衍生的规则,殖民者构建起宗教种族主义的认识</w:t>
      </w:r>
      <w:r>
        <w:rPr>
          <w:rFonts w:hint="default" w:ascii="Times New Roman" w:hAnsi="Times New Roman" w:eastAsia="宋体" w:cs="Times New Roman"/>
          <w:spacing w:val="9"/>
          <w:sz w:val="21"/>
          <w:szCs w:val="21"/>
        </w:rPr>
        <w:t>论框架:一</w:t>
      </w:r>
      <w:r>
        <w:rPr>
          <w:rFonts w:hint="default" w:ascii="Times New Roman" w:hAnsi="Times New Roman" w:eastAsia="宋体" w:cs="Times New Roman"/>
          <w:spacing w:val="12"/>
          <w:sz w:val="21"/>
          <w:szCs w:val="21"/>
        </w:rPr>
        <w:t>是本质主义的分类,将不同肤色人群的差别绝对化,即人们在起源</w:t>
      </w:r>
      <w:r>
        <w:rPr>
          <w:rFonts w:hint="default" w:ascii="Times New Roman" w:hAnsi="Times New Roman" w:eastAsia="宋体" w:cs="Times New Roman"/>
          <w:spacing w:val="11"/>
          <w:sz w:val="21"/>
          <w:szCs w:val="21"/>
        </w:rPr>
        <w:t>和归属上的</w:t>
      </w:r>
      <w:r>
        <w:rPr>
          <w:rFonts w:hint="default" w:ascii="Times New Roman" w:hAnsi="Times New Roman" w:eastAsia="宋体" w:cs="Times New Roman"/>
          <w:spacing w:val="8"/>
          <w:sz w:val="21"/>
          <w:szCs w:val="21"/>
        </w:rPr>
        <w:t>差别的绝对化;二是将异己的人群妖魔化、野兽化或亚人化,自己却高踞人类</w:t>
      </w:r>
      <w:r>
        <w:rPr>
          <w:rFonts w:hint="default" w:ascii="Times New Roman" w:hAnsi="Times New Roman" w:eastAsia="宋体" w:cs="Times New Roman"/>
          <w:spacing w:val="6"/>
          <w:sz w:val="21"/>
          <w:szCs w:val="21"/>
        </w:rPr>
        <w:t>等级的顶端</w:t>
      </w:r>
      <w:r>
        <w:rPr>
          <w:rStyle w:val="20"/>
          <w:rFonts w:hint="default" w:ascii="Times New Roman" w:hAnsi="Times New Roman" w:eastAsia="宋体" w:cs="Times New Roman"/>
          <w:spacing w:val="6"/>
          <w:sz w:val="21"/>
          <w:szCs w:val="21"/>
        </w:rPr>
        <w:footnoteReference w:id="1142"/>
      </w:r>
      <w:r>
        <w:rPr>
          <w:rFonts w:hint="default" w:ascii="Times New Roman" w:hAnsi="Times New Roman" w:eastAsia="宋体" w:cs="Times New Roman"/>
          <w:spacing w:val="6"/>
          <w:sz w:val="21"/>
          <w:szCs w:val="21"/>
        </w:rPr>
        <w:t>;三是将殖民暴力神圣化为“传播福</w:t>
      </w:r>
      <w:r>
        <w:rPr>
          <w:rFonts w:hint="default" w:ascii="Times New Roman" w:hAnsi="Times New Roman" w:eastAsia="宋体" w:cs="Times New Roman"/>
          <w:spacing w:val="5"/>
          <w:sz w:val="21"/>
          <w:szCs w:val="21"/>
        </w:rPr>
        <w:t>音的必然代价”。</w:t>
      </w:r>
    </w:p>
    <w:p w14:paraId="539BFCE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这种认识论框架在西方世界树立了以下实践逻辑:白人/基督徒优越于非</w:t>
      </w:r>
      <w:r>
        <w:rPr>
          <w:rFonts w:hint="default" w:ascii="Times New Roman" w:hAnsi="Times New Roman" w:eastAsia="宋体" w:cs="Times New Roman"/>
          <w:spacing w:val="1"/>
          <w:sz w:val="21"/>
          <w:szCs w:val="21"/>
        </w:rPr>
        <w:t>白人/非基督徒,后者是野蛮、落后、无知的甚至是“非人的”,因此注</w:t>
      </w:r>
      <w:r>
        <w:rPr>
          <w:rFonts w:hint="default" w:ascii="Times New Roman" w:hAnsi="Times New Roman" w:eastAsia="宋体" w:cs="Times New Roman"/>
          <w:sz w:val="21"/>
          <w:szCs w:val="21"/>
        </w:rPr>
        <w:t>定是要被</w:t>
      </w:r>
      <w:r>
        <w:rPr>
          <w:rFonts w:hint="default" w:ascii="Times New Roman" w:hAnsi="Times New Roman" w:eastAsia="宋体" w:cs="Times New Roman"/>
          <w:spacing w:val="8"/>
          <w:sz w:val="21"/>
          <w:szCs w:val="21"/>
        </w:rPr>
        <w:t>前者统治、奴役甚至消灭的,这是上帝赋予</w:t>
      </w:r>
      <w:r>
        <w:rPr>
          <w:rFonts w:hint="default" w:ascii="Times New Roman" w:hAnsi="Times New Roman" w:eastAsia="宋体" w:cs="Times New Roman"/>
          <w:spacing w:val="7"/>
          <w:sz w:val="21"/>
          <w:szCs w:val="21"/>
        </w:rPr>
        <w:t>白人/基督徒的使命。如</w:t>
      </w:r>
      <w:r>
        <w:rPr>
          <w:rFonts w:hint="default" w:ascii="Times New Roman" w:hAnsi="Times New Roman" w:eastAsia="宋体" w:cs="Times New Roman"/>
          <w:spacing w:val="7"/>
          <w:position w:val="-2"/>
          <w:sz w:val="21"/>
          <w:szCs w:val="21"/>
        </w:rPr>
        <w:t>16</w:t>
      </w:r>
      <w:r>
        <w:rPr>
          <w:rFonts w:hint="default" w:ascii="Times New Roman" w:hAnsi="Times New Roman" w:eastAsia="宋体" w:cs="Times New Roman"/>
          <w:spacing w:val="7"/>
          <w:sz w:val="21"/>
          <w:szCs w:val="21"/>
        </w:rPr>
        <w:t>世纪西</w:t>
      </w:r>
      <w:r>
        <w:rPr>
          <w:rFonts w:hint="default" w:ascii="Times New Roman" w:hAnsi="Times New Roman" w:eastAsia="宋体" w:cs="Times New Roman"/>
          <w:spacing w:val="12"/>
          <w:sz w:val="21"/>
          <w:szCs w:val="21"/>
        </w:rPr>
        <w:t>班牙神学家塞普尔维达(</w:t>
      </w:r>
      <w:r>
        <w:rPr>
          <w:rFonts w:hint="default" w:ascii="Times New Roman" w:hAnsi="Times New Roman" w:eastAsia="宋体" w:cs="Times New Roman"/>
          <w:sz w:val="21"/>
          <w:szCs w:val="21"/>
        </w:rPr>
        <w:t>J</w:t>
      </w:r>
      <w:r>
        <w:rPr>
          <w:rFonts w:hint="default" w:ascii="Times New Roman" w:hAnsi="Times New Roman" w:eastAsia="宋体" w:cs="Times New Roman"/>
          <w:position w:val="-2"/>
          <w:sz w:val="21"/>
          <w:szCs w:val="21"/>
        </w:rPr>
        <w:t>uan</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Gin</w:t>
      </w:r>
      <w:r>
        <w:rPr>
          <w:rFonts w:hint="default" w:ascii="Times New Roman" w:hAnsi="Times New Roman" w:eastAsia="宋体" w:cs="Times New Roman"/>
          <w:spacing w:val="12"/>
          <w:position w:val="-2"/>
          <w:sz w:val="21"/>
          <w:szCs w:val="21"/>
        </w:rPr>
        <w:t>é</w:t>
      </w:r>
      <w:r>
        <w:rPr>
          <w:rFonts w:hint="default" w:ascii="Times New Roman" w:hAnsi="Times New Roman" w:eastAsia="宋体" w:cs="Times New Roman"/>
          <w:position w:val="-2"/>
          <w:sz w:val="21"/>
          <w:szCs w:val="21"/>
        </w:rPr>
        <w:t>sde</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Sep</w:t>
      </w:r>
      <w:r>
        <w:rPr>
          <w:rFonts w:hint="default" w:ascii="Times New Roman" w:hAnsi="Times New Roman" w:eastAsia="宋体" w:cs="Times New Roman"/>
          <w:spacing w:val="12"/>
          <w:position w:val="-2"/>
          <w:sz w:val="21"/>
          <w:szCs w:val="21"/>
        </w:rPr>
        <w:t>ú</w:t>
      </w:r>
      <w:r>
        <w:rPr>
          <w:rFonts w:hint="default" w:ascii="Times New Roman" w:hAnsi="Times New Roman" w:eastAsia="宋体" w:cs="Times New Roman"/>
          <w:position w:val="-2"/>
          <w:sz w:val="21"/>
          <w:szCs w:val="21"/>
        </w:rPr>
        <w:t>lveda</w:t>
      </w:r>
      <w:r>
        <w:rPr>
          <w:rFonts w:hint="default" w:ascii="Times New Roman" w:hAnsi="Times New Roman" w:eastAsia="宋体" w:cs="Times New Roman"/>
          <w:spacing w:val="12"/>
          <w:sz w:val="21"/>
          <w:szCs w:val="21"/>
        </w:rPr>
        <w:t>)为西班牙的殖民制度辩护</w:t>
      </w:r>
      <w:r>
        <w:rPr>
          <w:rFonts w:hint="default" w:ascii="Times New Roman" w:hAnsi="Times New Roman" w:eastAsia="宋体" w:cs="Times New Roman"/>
          <w:spacing w:val="12"/>
          <w:position w:val="1"/>
          <w:sz w:val="21"/>
          <w:szCs w:val="21"/>
        </w:rPr>
        <w:t>,</w:t>
      </w:r>
      <w:r>
        <w:rPr>
          <w:rFonts w:hint="default" w:ascii="Times New Roman" w:hAnsi="Times New Roman" w:eastAsia="宋体" w:cs="Times New Roman"/>
          <w:spacing w:val="14"/>
          <w:sz w:val="21"/>
          <w:szCs w:val="21"/>
        </w:rPr>
        <w:t>称任何以自然权利或法律的名义所做的事情,也可以凭借</w:t>
      </w:r>
      <w:r>
        <w:rPr>
          <w:rFonts w:hint="default" w:ascii="Times New Roman" w:hAnsi="Times New Roman" w:eastAsia="宋体" w:cs="Times New Roman"/>
          <w:spacing w:val="13"/>
          <w:sz w:val="21"/>
          <w:szCs w:val="21"/>
        </w:rPr>
        <w:t>神的权利或福音来做。生来就是奴隶的土著人如果拒绝基督徒的统治,那么就可以用武力把统</w:t>
      </w:r>
      <w:r>
        <w:rPr>
          <w:rFonts w:hint="default" w:ascii="Times New Roman" w:hAnsi="Times New Roman" w:eastAsia="宋体" w:cs="Times New Roman"/>
          <w:spacing w:val="12"/>
          <w:sz w:val="21"/>
          <w:szCs w:val="21"/>
        </w:rPr>
        <w:t>治强加给他们,这样的战争根据自然法则将是正义的。</w:t>
      </w:r>
      <w:r>
        <w:rPr>
          <w:rStyle w:val="20"/>
          <w:rFonts w:hint="default" w:ascii="Times New Roman" w:hAnsi="Times New Roman" w:eastAsia="宋体" w:cs="Times New Roman"/>
          <w:spacing w:val="12"/>
          <w:sz w:val="21"/>
          <w:szCs w:val="21"/>
        </w:rPr>
        <w:footnoteReference w:id="1143"/>
      </w:r>
      <w:r>
        <w:rPr>
          <w:rFonts w:hint="default" w:ascii="Times New Roman" w:hAnsi="Times New Roman" w:eastAsia="宋体" w:cs="Times New Roman"/>
          <w:spacing w:val="12"/>
          <w:sz w:val="21"/>
          <w:szCs w:val="21"/>
        </w:rPr>
        <w:t>这一实践逻辑深刻</w:t>
      </w:r>
      <w:r>
        <w:rPr>
          <w:rFonts w:hint="default" w:ascii="Times New Roman" w:hAnsi="Times New Roman" w:eastAsia="宋体" w:cs="Times New Roman"/>
          <w:spacing w:val="7"/>
          <w:sz w:val="21"/>
          <w:szCs w:val="21"/>
        </w:rPr>
        <w:t>地烙印在西方资产阶级的认知基因里,使其针对殖民地进行了“长达数世纪的</w:t>
      </w:r>
      <w:r>
        <w:rPr>
          <w:rFonts w:hint="default" w:ascii="Times New Roman" w:hAnsi="Times New Roman" w:eastAsia="宋体" w:cs="Times New Roman"/>
          <w:spacing w:val="1"/>
          <w:sz w:val="21"/>
          <w:szCs w:val="21"/>
        </w:rPr>
        <w:t>破坏摧毁和种族文化灭绝”</w:t>
      </w:r>
      <w:r>
        <w:rPr>
          <w:rStyle w:val="20"/>
          <w:rFonts w:hint="default" w:ascii="Times New Roman" w:hAnsi="Times New Roman" w:eastAsia="宋体" w:cs="Times New Roman"/>
          <w:spacing w:val="1"/>
          <w:sz w:val="21"/>
          <w:szCs w:val="21"/>
        </w:rPr>
        <w:footnoteReference w:id="1144"/>
      </w:r>
      <w:r>
        <w:rPr>
          <w:rFonts w:hint="default" w:ascii="Times New Roman" w:hAnsi="Times New Roman" w:eastAsia="宋体" w:cs="Times New Roman"/>
          <w:spacing w:val="1"/>
          <w:sz w:val="21"/>
          <w:szCs w:val="21"/>
        </w:rPr>
        <w:t>。</w:t>
      </w:r>
    </w:p>
    <w:p w14:paraId="1D90682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马克思认为,原始积累的基督教性质是“无可否认”的。</w:t>
      </w:r>
      <w:r>
        <w:rPr>
          <w:rStyle w:val="20"/>
          <w:rFonts w:hint="default" w:ascii="Times New Roman" w:hAnsi="Times New Roman" w:eastAsia="宋体" w:cs="Times New Roman"/>
          <w:spacing w:val="4"/>
          <w:sz w:val="21"/>
          <w:szCs w:val="21"/>
        </w:rPr>
        <w:footnoteReference w:id="1145"/>
      </w:r>
      <w:r>
        <w:rPr>
          <w:rFonts w:hint="default" w:ascii="Times New Roman" w:hAnsi="Times New Roman" w:eastAsia="宋体" w:cs="Times New Roman"/>
          <w:spacing w:val="4"/>
          <w:sz w:val="21"/>
          <w:szCs w:val="21"/>
        </w:rPr>
        <w:t>他指出,资本原</w:t>
      </w:r>
      <w:r>
        <w:rPr>
          <w:rFonts w:hint="default" w:ascii="Times New Roman" w:hAnsi="Times New Roman" w:eastAsia="宋体" w:cs="Times New Roman"/>
          <w:spacing w:val="12"/>
          <w:sz w:val="21"/>
          <w:szCs w:val="21"/>
        </w:rPr>
        <w:t>始积累的殖民制度即基督教殖民制度,是以最残酷的暴力为基础的,“</w:t>
      </w:r>
      <w:r>
        <w:rPr>
          <w:rFonts w:hint="default" w:ascii="Times New Roman" w:hAnsi="Times New Roman" w:eastAsia="宋体" w:cs="Times New Roman"/>
          <w:spacing w:val="11"/>
          <w:sz w:val="21"/>
          <w:szCs w:val="21"/>
        </w:rPr>
        <w:t>所谓基</w:t>
      </w:r>
      <w:r>
        <w:rPr>
          <w:rFonts w:hint="default" w:ascii="Times New Roman" w:hAnsi="Times New Roman" w:eastAsia="宋体" w:cs="Times New Roman"/>
          <w:spacing w:val="16"/>
          <w:sz w:val="21"/>
          <w:szCs w:val="21"/>
        </w:rPr>
        <w:t>督教人种在世界各地对他们所能奴役的一切民族所</w:t>
      </w:r>
      <w:r>
        <w:rPr>
          <w:rFonts w:hint="default" w:ascii="Times New Roman" w:hAnsi="Times New Roman" w:eastAsia="宋体" w:cs="Times New Roman"/>
          <w:spacing w:val="15"/>
          <w:sz w:val="21"/>
          <w:szCs w:val="21"/>
        </w:rPr>
        <w:t>采取的野蛮和残酷的暴行,是世界历史上任何时期,任何野蛮愚昧和残暴的人种都无法比拟的”</w:t>
      </w:r>
      <w:r>
        <w:rPr>
          <w:rStyle w:val="20"/>
          <w:rFonts w:hint="default" w:ascii="Times New Roman" w:hAnsi="Times New Roman" w:eastAsia="宋体" w:cs="Times New Roman"/>
          <w:spacing w:val="15"/>
          <w:sz w:val="21"/>
          <w:szCs w:val="21"/>
        </w:rPr>
        <w:footnoteReference w:id="1146"/>
      </w:r>
      <w:r>
        <w:rPr>
          <w:rFonts w:hint="default" w:ascii="Times New Roman" w:hAnsi="Times New Roman" w:eastAsia="宋体" w:cs="Times New Roman"/>
          <w:spacing w:val="15"/>
          <w:sz w:val="21"/>
          <w:szCs w:val="21"/>
        </w:rPr>
        <w:t>。</w:t>
      </w:r>
      <w:r>
        <w:rPr>
          <w:rFonts w:hint="default" w:ascii="Times New Roman" w:hAnsi="Times New Roman" w:eastAsia="宋体" w:cs="Times New Roman"/>
          <w:spacing w:val="7"/>
          <w:sz w:val="21"/>
          <w:szCs w:val="21"/>
        </w:rPr>
        <w:t>马克思的这一说法不是夸大之辞。据估算,自</w:t>
      </w:r>
      <w:r>
        <w:rPr>
          <w:rFonts w:hint="default" w:ascii="Times New Roman" w:hAnsi="Times New Roman" w:eastAsia="宋体" w:cs="Times New Roman"/>
          <w:spacing w:val="7"/>
          <w:position w:val="-2"/>
          <w:sz w:val="21"/>
          <w:szCs w:val="21"/>
        </w:rPr>
        <w:t>1492</w:t>
      </w:r>
      <w:r>
        <w:rPr>
          <w:rFonts w:hint="default" w:ascii="Times New Roman" w:hAnsi="Times New Roman" w:eastAsia="宋体" w:cs="Times New Roman"/>
          <w:spacing w:val="7"/>
          <w:sz w:val="21"/>
          <w:szCs w:val="21"/>
        </w:rPr>
        <w:t>年欧洲殖民者发现美洲后</w:t>
      </w:r>
      <w:r>
        <w:rPr>
          <w:rFonts w:hint="default" w:ascii="Times New Roman" w:hAnsi="Times New Roman" w:eastAsia="宋体" w:cs="Times New Roman"/>
          <w:spacing w:val="10"/>
          <w:sz w:val="21"/>
          <w:szCs w:val="21"/>
        </w:rPr>
        <w:t>的两个世纪内,原住民人口锐减</w:t>
      </w:r>
      <w:r>
        <w:rPr>
          <w:rFonts w:hint="default" w:ascii="Times New Roman" w:hAnsi="Times New Roman" w:eastAsia="宋体" w:cs="Times New Roman"/>
          <w:spacing w:val="10"/>
          <w:position w:val="-2"/>
          <w:sz w:val="21"/>
          <w:szCs w:val="21"/>
        </w:rPr>
        <w:t>90%</w:t>
      </w:r>
      <w:r>
        <w:rPr>
          <w:rStyle w:val="20"/>
          <w:rFonts w:hint="default" w:ascii="Times New Roman" w:hAnsi="Times New Roman" w:eastAsia="宋体" w:cs="Times New Roman"/>
          <w:spacing w:val="10"/>
          <w:position w:val="-2"/>
          <w:sz w:val="21"/>
          <w:szCs w:val="21"/>
        </w:rPr>
        <w:footnoteReference w:id="1147"/>
      </w:r>
      <w:r>
        <w:rPr>
          <w:rFonts w:hint="default" w:ascii="Times New Roman" w:hAnsi="Times New Roman" w:eastAsia="宋体" w:cs="Times New Roman"/>
          <w:spacing w:val="10"/>
          <w:sz w:val="21"/>
          <w:szCs w:val="21"/>
        </w:rPr>
        <w:t>,其物质、文化等财富均遭到系统性摧</w:t>
      </w:r>
      <w:r>
        <w:rPr>
          <w:rFonts w:hint="default" w:ascii="Times New Roman" w:hAnsi="Times New Roman" w:eastAsia="宋体" w:cs="Times New Roman"/>
          <w:spacing w:val="13"/>
          <w:sz w:val="21"/>
          <w:szCs w:val="21"/>
        </w:rPr>
        <w:t>毁。宗教种族主义因而构成资本主义的底层逻辑之一,其影响持续渗透于当</w:t>
      </w:r>
      <w:r>
        <w:rPr>
          <w:rFonts w:hint="default" w:ascii="Times New Roman" w:hAnsi="Times New Roman" w:eastAsia="宋体" w:cs="Times New Roman"/>
          <w:spacing w:val="-3"/>
          <w:sz w:val="21"/>
          <w:szCs w:val="21"/>
        </w:rPr>
        <w:t>代社会的移民政策、文化认同等领域。</w:t>
      </w:r>
      <w:r>
        <w:rPr>
          <w:rStyle w:val="20"/>
          <w:rFonts w:hint="default" w:ascii="Times New Roman" w:hAnsi="Times New Roman" w:eastAsia="宋体" w:cs="Times New Roman"/>
          <w:spacing w:val="-3"/>
          <w:sz w:val="21"/>
          <w:szCs w:val="21"/>
        </w:rPr>
        <w:footnoteReference w:id="1148"/>
      </w:r>
    </w:p>
    <w:p w14:paraId="60CE45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尽管在</w:t>
      </w:r>
      <w:r>
        <w:rPr>
          <w:rFonts w:hint="default" w:ascii="Times New Roman" w:hAnsi="Times New Roman" w:eastAsia="宋体" w:cs="Times New Roman"/>
          <w:spacing w:val="8"/>
          <w:position w:val="-2"/>
          <w:sz w:val="21"/>
          <w:szCs w:val="21"/>
        </w:rPr>
        <w:t>19</w:t>
      </w:r>
      <w:r>
        <w:rPr>
          <w:rFonts w:hint="default" w:ascii="Times New Roman" w:hAnsi="Times New Roman" w:eastAsia="宋体" w:cs="Times New Roman"/>
          <w:spacing w:val="8"/>
          <w:sz w:val="21"/>
          <w:szCs w:val="21"/>
        </w:rPr>
        <w:t>世纪中期,“科学”重构了种族主义中的圣经和神学的论点,但</w:t>
      </w:r>
      <w:r>
        <w:rPr>
          <w:rFonts w:hint="default" w:ascii="Times New Roman" w:hAnsi="Times New Roman" w:eastAsia="宋体" w:cs="Times New Roman"/>
          <w:spacing w:val="14"/>
          <w:sz w:val="21"/>
          <w:szCs w:val="21"/>
        </w:rPr>
        <w:t>宗教种族主义并未完全消失。今天,宗教仍可悲地</w:t>
      </w:r>
      <w:r>
        <w:rPr>
          <w:rFonts w:hint="default" w:ascii="Times New Roman" w:hAnsi="Times New Roman" w:eastAsia="宋体" w:cs="Times New Roman"/>
          <w:spacing w:val="13"/>
          <w:sz w:val="21"/>
          <w:szCs w:val="21"/>
        </w:rPr>
        <w:t>被用来为种族主义行为辩</w:t>
      </w:r>
      <w:r>
        <w:rPr>
          <w:rFonts w:hint="default" w:ascii="Times New Roman" w:hAnsi="Times New Roman" w:eastAsia="宋体" w:cs="Times New Roman"/>
          <w:spacing w:val="7"/>
          <w:sz w:val="21"/>
          <w:szCs w:val="21"/>
        </w:rPr>
        <w:t>护,例如以色列的扩张主义。基于《圣经·旧约》中上帝赐予犹太人巴勒斯坦</w:t>
      </w:r>
      <w:r>
        <w:rPr>
          <w:rFonts w:hint="default" w:ascii="Times New Roman" w:hAnsi="Times New Roman" w:eastAsia="宋体" w:cs="Times New Roman"/>
          <w:spacing w:val="12"/>
          <w:sz w:val="21"/>
          <w:szCs w:val="21"/>
        </w:rPr>
        <w:t>土地的信念,以色列认为其有权将其他人从这片土地上驱逐出去,</w:t>
      </w:r>
      <w:r>
        <w:rPr>
          <w:rFonts w:hint="default" w:ascii="Times New Roman" w:hAnsi="Times New Roman" w:eastAsia="宋体" w:cs="Times New Roman"/>
          <w:spacing w:val="11"/>
          <w:sz w:val="21"/>
          <w:szCs w:val="21"/>
        </w:rPr>
        <w:t>由此发动了</w:t>
      </w:r>
      <w:r>
        <w:rPr>
          <w:rFonts w:hint="default" w:ascii="Times New Roman" w:hAnsi="Times New Roman" w:eastAsia="宋体" w:cs="Times New Roman"/>
          <w:spacing w:val="14"/>
          <w:sz w:val="21"/>
          <w:szCs w:val="21"/>
        </w:rPr>
        <w:t>多场战争。尽管犹太人不是一个种族,但这种侵略</w:t>
      </w:r>
      <w:r>
        <w:rPr>
          <w:rFonts w:hint="default" w:ascii="Times New Roman" w:hAnsi="Times New Roman" w:eastAsia="宋体" w:cs="Times New Roman"/>
          <w:spacing w:val="13"/>
          <w:sz w:val="21"/>
          <w:szCs w:val="21"/>
        </w:rPr>
        <w:t>行径仍然是宗教种族主义</w:t>
      </w:r>
      <w:r>
        <w:rPr>
          <w:rFonts w:hint="default" w:ascii="Times New Roman" w:hAnsi="Times New Roman" w:eastAsia="宋体" w:cs="Times New Roman"/>
          <w:spacing w:val="11"/>
          <w:sz w:val="21"/>
          <w:szCs w:val="21"/>
        </w:rPr>
        <w:t>的体现</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position w:val="-2"/>
          <w:sz w:val="21"/>
          <w:szCs w:val="21"/>
        </w:rPr>
        <w:t>2025</w:t>
      </w:r>
      <w:r>
        <w:rPr>
          <w:rFonts w:hint="default" w:ascii="Times New Roman" w:hAnsi="Times New Roman" w:eastAsia="宋体" w:cs="Times New Roman"/>
          <w:spacing w:val="11"/>
          <w:sz w:val="21"/>
          <w:szCs w:val="21"/>
        </w:rPr>
        <w:t>年</w:t>
      </w:r>
      <w:r>
        <w:rPr>
          <w:rFonts w:hint="default" w:ascii="Times New Roman" w:hAnsi="Times New Roman" w:eastAsia="宋体" w:cs="Times New Roman"/>
          <w:spacing w:val="11"/>
          <w:position w:val="-2"/>
          <w:sz w:val="21"/>
          <w:szCs w:val="21"/>
        </w:rPr>
        <w:t>9</w:t>
      </w:r>
      <w:r>
        <w:rPr>
          <w:rFonts w:hint="default" w:ascii="Times New Roman" w:hAnsi="Times New Roman" w:eastAsia="宋体" w:cs="Times New Roman"/>
          <w:spacing w:val="11"/>
          <w:sz w:val="21"/>
          <w:szCs w:val="21"/>
        </w:rPr>
        <w:t>月</w:t>
      </w:r>
      <w:r>
        <w:rPr>
          <w:rFonts w:hint="default" w:ascii="Times New Roman" w:hAnsi="Times New Roman" w:eastAsia="宋体" w:cs="Times New Roman"/>
          <w:spacing w:val="11"/>
          <w:position w:val="-2"/>
          <w:sz w:val="21"/>
          <w:szCs w:val="21"/>
        </w:rPr>
        <w:t>16</w:t>
      </w:r>
      <w:r>
        <w:rPr>
          <w:rFonts w:hint="default" w:ascii="Times New Roman" w:hAnsi="Times New Roman" w:eastAsia="宋体" w:cs="Times New Roman"/>
          <w:spacing w:val="11"/>
          <w:sz w:val="21"/>
          <w:szCs w:val="21"/>
        </w:rPr>
        <w:t>日,联合国相关报告认定以色列在加沙地带对巴勒</w:t>
      </w:r>
      <w:r>
        <w:rPr>
          <w:rFonts w:hint="default" w:ascii="Times New Roman" w:hAnsi="Times New Roman" w:eastAsia="宋体" w:cs="Times New Roman"/>
          <w:spacing w:val="7"/>
          <w:sz w:val="21"/>
          <w:szCs w:val="21"/>
        </w:rPr>
        <w:t>斯坦人犯下种族灭绝罪行。</w:t>
      </w:r>
    </w:p>
    <w:p w14:paraId="032C519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13"/>
          <w:sz w:val="21"/>
          <w:szCs w:val="21"/>
        </w:rPr>
        <w:t>(二)科学种族主义:以科学之名行压迫之实</w:t>
      </w:r>
    </w:p>
    <w:p w14:paraId="08507D3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宗教种族主义在解释为什么“欧洲人”是最优越的人类时,只</w:t>
      </w:r>
      <w:r>
        <w:rPr>
          <w:rFonts w:hint="default" w:ascii="Times New Roman" w:hAnsi="Times New Roman" w:eastAsia="宋体" w:cs="Times New Roman"/>
          <w:spacing w:val="6"/>
          <w:sz w:val="21"/>
          <w:szCs w:val="21"/>
        </w:rPr>
        <w:t>能借助于上</w:t>
      </w:r>
      <w:r>
        <w:rPr>
          <w:rFonts w:hint="default" w:ascii="Times New Roman" w:hAnsi="Times New Roman" w:eastAsia="宋体" w:cs="Times New Roman"/>
          <w:spacing w:val="9"/>
          <w:sz w:val="21"/>
          <w:szCs w:val="21"/>
        </w:rPr>
        <w:t>帝和圣经的指示。</w:t>
      </w:r>
      <w:r>
        <w:rPr>
          <w:rFonts w:hint="default" w:ascii="Times New Roman" w:hAnsi="Times New Roman" w:eastAsia="宋体" w:cs="Times New Roman"/>
          <w:spacing w:val="9"/>
          <w:position w:val="-2"/>
          <w:sz w:val="21"/>
          <w:szCs w:val="21"/>
        </w:rPr>
        <w:t>18</w:t>
      </w:r>
      <w:r>
        <w:rPr>
          <w:rFonts w:hint="default" w:ascii="Times New Roman" w:hAnsi="Times New Roman" w:eastAsia="宋体" w:cs="Times New Roman"/>
          <w:spacing w:val="9"/>
          <w:sz w:val="21"/>
          <w:szCs w:val="21"/>
        </w:rPr>
        <w:t>世纪至</w:t>
      </w:r>
      <w:r>
        <w:rPr>
          <w:rFonts w:hint="default" w:ascii="Times New Roman" w:hAnsi="Times New Roman" w:eastAsia="宋体" w:cs="Times New Roman"/>
          <w:spacing w:val="9"/>
          <w:position w:val="-2"/>
          <w:sz w:val="21"/>
          <w:szCs w:val="21"/>
        </w:rPr>
        <w:t>19</w:t>
      </w:r>
      <w:r>
        <w:rPr>
          <w:rFonts w:hint="default" w:ascii="Times New Roman" w:hAnsi="Times New Roman" w:eastAsia="宋体" w:cs="Times New Roman"/>
          <w:spacing w:val="9"/>
          <w:sz w:val="21"/>
          <w:szCs w:val="21"/>
        </w:rPr>
        <w:t>世纪发生的工业革命,标志着技术、经</w:t>
      </w:r>
      <w:r>
        <w:rPr>
          <w:rFonts w:hint="default" w:ascii="Times New Roman" w:hAnsi="Times New Roman" w:eastAsia="宋体" w:cs="Times New Roman"/>
          <w:spacing w:val="8"/>
          <w:sz w:val="21"/>
          <w:szCs w:val="21"/>
        </w:rPr>
        <w:t>济和社</w:t>
      </w:r>
      <w:r>
        <w:rPr>
          <w:rFonts w:hint="default" w:ascii="Times New Roman" w:hAnsi="Times New Roman" w:eastAsia="宋体" w:cs="Times New Roman"/>
          <w:spacing w:val="13"/>
          <w:sz w:val="21"/>
          <w:szCs w:val="21"/>
        </w:rPr>
        <w:t>会结构的深刻变革,也促成了现代工业社会的</w:t>
      </w:r>
      <w:r>
        <w:rPr>
          <w:rFonts w:hint="default" w:ascii="Times New Roman" w:hAnsi="Times New Roman" w:eastAsia="宋体" w:cs="Times New Roman"/>
          <w:spacing w:val="12"/>
          <w:sz w:val="21"/>
          <w:szCs w:val="21"/>
        </w:rPr>
        <w:t>形成。时代条件的改变使得宗</w:t>
      </w:r>
      <w:r>
        <w:rPr>
          <w:rFonts w:hint="default" w:ascii="Times New Roman" w:hAnsi="Times New Roman" w:eastAsia="宋体" w:cs="Times New Roman"/>
          <w:spacing w:val="9"/>
          <w:sz w:val="21"/>
          <w:szCs w:val="21"/>
        </w:rPr>
        <w:t>教种族主义所宣扬的观点很难自圆其说</w:t>
      </w:r>
      <w:r>
        <w:rPr>
          <w:rFonts w:hint="default" w:ascii="Times New Roman" w:hAnsi="Times New Roman" w:eastAsia="宋体" w:cs="Times New Roman"/>
          <w:b/>
          <w:bCs/>
          <w:spacing w:val="8"/>
          <w:sz w:val="21"/>
          <w:szCs w:val="21"/>
        </w:rPr>
        <w:t>—</w:t>
      </w:r>
      <w:r>
        <w:rPr>
          <w:rFonts w:hint="default" w:ascii="Times New Roman" w:hAnsi="Times New Roman" w:eastAsia="宋体" w:cs="Times New Roman"/>
          <w:spacing w:val="8"/>
          <w:sz w:val="21"/>
          <w:szCs w:val="21"/>
        </w:rPr>
        <w:t>种族主义“缺乏一个宏大的、全球</w:t>
      </w:r>
      <w:r>
        <w:rPr>
          <w:rFonts w:hint="default" w:ascii="Times New Roman" w:hAnsi="Times New Roman" w:eastAsia="宋体" w:cs="Times New Roman"/>
          <w:spacing w:val="6"/>
          <w:sz w:val="21"/>
          <w:szCs w:val="21"/>
        </w:rPr>
        <w:t>性的哲学和政治框架,在这个框架内,它可以逻辑地运作”</w:t>
      </w:r>
      <w:r>
        <w:rPr>
          <w:rStyle w:val="20"/>
          <w:rFonts w:hint="default" w:ascii="Times New Roman" w:hAnsi="Times New Roman" w:eastAsia="宋体" w:cs="Times New Roman"/>
          <w:spacing w:val="6"/>
          <w:sz w:val="21"/>
          <w:szCs w:val="21"/>
        </w:rPr>
        <w:footnoteReference w:id="1149"/>
      </w:r>
      <w:r>
        <w:rPr>
          <w:rFonts w:hint="default" w:ascii="Times New Roman" w:hAnsi="Times New Roman" w:eastAsia="宋体" w:cs="Times New Roman"/>
          <w:spacing w:val="6"/>
          <w:sz w:val="21"/>
          <w:szCs w:val="21"/>
        </w:rPr>
        <w:t>。文化人类学、种</w:t>
      </w:r>
      <w:r>
        <w:rPr>
          <w:rFonts w:hint="default" w:ascii="Times New Roman" w:hAnsi="Times New Roman" w:eastAsia="宋体" w:cs="Times New Roman"/>
          <w:spacing w:val="9"/>
          <w:sz w:val="21"/>
          <w:szCs w:val="21"/>
        </w:rPr>
        <w:t>族人类学、进化论和遗传学等新学科为这样一个框架的出现提供了可能。在</w:t>
      </w:r>
      <w:r>
        <w:rPr>
          <w:rFonts w:hint="default" w:ascii="Times New Roman" w:hAnsi="Times New Roman" w:eastAsia="宋体" w:cs="Times New Roman"/>
          <w:spacing w:val="14"/>
          <w:sz w:val="21"/>
          <w:szCs w:val="21"/>
        </w:rPr>
        <w:t>这个框架内,上帝赋予基督徒更优越特性的结论可以被</w:t>
      </w:r>
      <w:r>
        <w:rPr>
          <w:rFonts w:hint="default" w:ascii="Times New Roman" w:hAnsi="Times New Roman" w:eastAsia="宋体" w:cs="Times New Roman"/>
          <w:spacing w:val="13"/>
          <w:sz w:val="21"/>
          <w:szCs w:val="21"/>
        </w:rPr>
        <w:t>改编为所谓白人种族</w:t>
      </w:r>
      <w:r>
        <w:rPr>
          <w:rFonts w:hint="default" w:ascii="Times New Roman" w:hAnsi="Times New Roman" w:eastAsia="宋体" w:cs="Times New Roman"/>
          <w:spacing w:val="8"/>
          <w:sz w:val="21"/>
          <w:szCs w:val="21"/>
        </w:rPr>
        <w:t>的遗传优越性,在</w:t>
      </w:r>
      <w:r>
        <w:rPr>
          <w:rFonts w:hint="default" w:ascii="Times New Roman" w:hAnsi="Times New Roman" w:eastAsia="宋体" w:cs="Times New Roman"/>
          <w:spacing w:val="8"/>
          <w:position w:val="-2"/>
          <w:sz w:val="21"/>
          <w:szCs w:val="21"/>
        </w:rPr>
        <w:t>19</w:t>
      </w:r>
      <w:r>
        <w:rPr>
          <w:rFonts w:hint="default" w:ascii="Times New Roman" w:hAnsi="Times New Roman" w:eastAsia="宋体" w:cs="Times New Roman"/>
          <w:spacing w:val="8"/>
          <w:sz w:val="21"/>
          <w:szCs w:val="21"/>
        </w:rPr>
        <w:t>世纪下半叶形成的“科学种族主义”(也可称为生物种族</w:t>
      </w:r>
      <w:r>
        <w:rPr>
          <w:rFonts w:hint="default" w:ascii="Times New Roman" w:hAnsi="Times New Roman" w:eastAsia="宋体" w:cs="Times New Roman"/>
          <w:spacing w:val="-2"/>
          <w:sz w:val="21"/>
          <w:szCs w:val="21"/>
        </w:rPr>
        <w:t>主义)使种族主义得以完成从“上帝选民论”到“生物决</w:t>
      </w:r>
      <w:r>
        <w:rPr>
          <w:rFonts w:hint="default" w:ascii="Times New Roman" w:hAnsi="Times New Roman" w:eastAsia="宋体" w:cs="Times New Roman"/>
          <w:spacing w:val="-3"/>
          <w:sz w:val="21"/>
          <w:szCs w:val="21"/>
        </w:rPr>
        <w:t>定论”的认识论转型。</w:t>
      </w:r>
    </w:p>
    <w:p w14:paraId="2EA31BE1">
      <w:pPr>
        <w:pStyle w:val="6"/>
        <w:keepNext w:val="0"/>
        <w:keepLines w:val="0"/>
        <w:pageBreakBefore w:val="0"/>
        <w:widowControl/>
        <w:tabs>
          <w:tab w:val="left" w:pos="1176"/>
        </w:tabs>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这一转型包含三个方面:一是分类学的等级化。所有证明欧</w:t>
      </w:r>
      <w:r>
        <w:rPr>
          <w:rFonts w:hint="default" w:ascii="Times New Roman" w:hAnsi="Times New Roman" w:eastAsia="宋体" w:cs="Times New Roman"/>
          <w:spacing w:val="11"/>
          <w:sz w:val="21"/>
          <w:szCs w:val="21"/>
        </w:rPr>
        <w:t>洲人种族优</w:t>
      </w:r>
      <w:r>
        <w:rPr>
          <w:rFonts w:hint="default" w:ascii="Times New Roman" w:hAnsi="Times New Roman" w:eastAsia="宋体" w:cs="Times New Roman"/>
          <w:spacing w:val="12"/>
          <w:sz w:val="21"/>
          <w:szCs w:val="21"/>
        </w:rPr>
        <w:t>越性的尝试都是从先验假设其种族优越性开始,然后才宣称找到相关的证据。</w:t>
      </w:r>
      <w:r>
        <w:rPr>
          <w:rFonts w:hint="default" w:ascii="Times New Roman" w:hAnsi="Times New Roman" w:eastAsia="宋体" w:cs="Times New Roman"/>
          <w:spacing w:val="16"/>
          <w:position w:val="-2"/>
          <w:sz w:val="21"/>
          <w:szCs w:val="21"/>
        </w:rPr>
        <w:t>1735</w:t>
      </w:r>
      <w:r>
        <w:rPr>
          <w:rFonts w:hint="default" w:ascii="Times New Roman" w:hAnsi="Times New Roman" w:eastAsia="宋体" w:cs="Times New Roman"/>
          <w:spacing w:val="16"/>
          <w:sz w:val="21"/>
          <w:szCs w:val="21"/>
        </w:rPr>
        <w:t>年瑞典生物学家林奈(</w:t>
      </w:r>
      <w:r>
        <w:rPr>
          <w:rFonts w:hint="default" w:ascii="Times New Roman" w:hAnsi="Times New Roman" w:eastAsia="宋体" w:cs="Times New Roman"/>
          <w:sz w:val="21"/>
          <w:szCs w:val="21"/>
        </w:rPr>
        <w:t>Linnaeus</w:t>
      </w:r>
      <w:r>
        <w:rPr>
          <w:rFonts w:hint="default" w:ascii="Times New Roman" w:hAnsi="Times New Roman" w:eastAsia="宋体" w:cs="Times New Roman"/>
          <w:spacing w:val="16"/>
          <w:sz w:val="21"/>
          <w:szCs w:val="21"/>
        </w:rPr>
        <w:t>)首次将人类进行生物学分类并对之进</w:t>
      </w:r>
      <w:r>
        <w:rPr>
          <w:rFonts w:hint="default" w:ascii="Times New Roman" w:hAnsi="Times New Roman" w:eastAsia="宋体" w:cs="Times New Roman"/>
          <w:spacing w:val="11"/>
          <w:sz w:val="21"/>
          <w:szCs w:val="21"/>
        </w:rPr>
        <w:t>行等级划分,“欧洲白人</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position w:val="-1"/>
          <w:sz w:val="21"/>
          <w:szCs w:val="21"/>
        </w:rPr>
        <w:t>Homo</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2"/>
          <w:sz w:val="21"/>
          <w:szCs w:val="21"/>
        </w:rPr>
        <w:t>Europaeus</w:t>
      </w:r>
      <w:r>
        <w:rPr>
          <w:rFonts w:hint="default" w:ascii="Times New Roman" w:hAnsi="Times New Roman" w:eastAsia="宋体" w:cs="Times New Roman"/>
          <w:spacing w:val="11"/>
          <w:sz w:val="21"/>
          <w:szCs w:val="21"/>
        </w:rPr>
        <w:t>)被列为最高</w:t>
      </w:r>
      <w:r>
        <w:rPr>
          <w:rFonts w:hint="default" w:ascii="Times New Roman" w:hAnsi="Times New Roman" w:eastAsia="宋体" w:cs="Times New Roman"/>
          <w:spacing w:val="10"/>
          <w:sz w:val="21"/>
          <w:szCs w:val="21"/>
        </w:rPr>
        <w:t>级,这为人类学的出</w:t>
      </w:r>
      <w:r>
        <w:rPr>
          <w:rFonts w:hint="default" w:ascii="Times New Roman" w:hAnsi="Times New Roman" w:eastAsia="宋体" w:cs="Times New Roman"/>
          <w:spacing w:val="17"/>
          <w:sz w:val="21"/>
          <w:szCs w:val="21"/>
        </w:rPr>
        <w:t>现打下了基础。林奈的四元人种分类体系,其分类标准实</w:t>
      </w:r>
      <w:r>
        <w:rPr>
          <w:rFonts w:hint="default" w:ascii="Times New Roman" w:hAnsi="Times New Roman" w:eastAsia="宋体" w:cs="Times New Roman"/>
          <w:spacing w:val="16"/>
          <w:sz w:val="21"/>
          <w:szCs w:val="21"/>
        </w:rPr>
        <w:t>质是欧洲中心主义</w:t>
      </w:r>
      <w:r>
        <w:rPr>
          <w:rFonts w:hint="default" w:ascii="Times New Roman" w:hAnsi="Times New Roman" w:eastAsia="宋体" w:cs="Times New Roman"/>
          <w:spacing w:val="12"/>
          <w:sz w:val="21"/>
          <w:szCs w:val="21"/>
        </w:rPr>
        <w:t>的地理想象</w:t>
      </w:r>
      <w:r>
        <w:rPr>
          <w:rFonts w:hint="default" w:ascii="Times New Roman" w:hAnsi="Times New Roman" w:eastAsia="宋体" w:cs="Times New Roman"/>
          <w:b/>
          <w:bCs/>
          <w:spacing w:val="12"/>
          <w:sz w:val="21"/>
          <w:szCs w:val="21"/>
        </w:rPr>
        <w:t>—</w:t>
      </w:r>
      <w:r>
        <w:rPr>
          <w:rFonts w:hint="default" w:ascii="Times New Roman" w:hAnsi="Times New Roman" w:eastAsia="宋体" w:cs="Times New Roman"/>
          <w:spacing w:val="12"/>
          <w:sz w:val="21"/>
          <w:szCs w:val="21"/>
        </w:rPr>
        <w:t>所谓欧洲白人被赋予“智慧、敏</w:t>
      </w:r>
      <w:r>
        <w:rPr>
          <w:rFonts w:hint="default" w:ascii="Times New Roman" w:hAnsi="Times New Roman" w:eastAsia="宋体" w:cs="Times New Roman"/>
          <w:spacing w:val="11"/>
          <w:sz w:val="21"/>
          <w:szCs w:val="21"/>
        </w:rPr>
        <w:t>锐、充满创造力”的生物学特</w:t>
      </w:r>
      <w:r>
        <w:rPr>
          <w:rFonts w:hint="default" w:ascii="Times New Roman" w:hAnsi="Times New Roman" w:eastAsia="宋体" w:cs="Times New Roman"/>
          <w:spacing w:val="2"/>
          <w:sz w:val="21"/>
          <w:szCs w:val="21"/>
        </w:rPr>
        <w:t>质,而非洲黑人(</w:t>
      </w:r>
      <w:r>
        <w:rPr>
          <w:rFonts w:hint="default" w:ascii="Times New Roman" w:hAnsi="Times New Roman" w:eastAsia="宋体" w:cs="Times New Roman"/>
          <w:sz w:val="21"/>
          <w:szCs w:val="21"/>
        </w:rPr>
        <w:t>Homo</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position w:val="-2"/>
          <w:sz w:val="21"/>
          <w:szCs w:val="21"/>
        </w:rPr>
        <w:t>Afer</w:t>
      </w:r>
      <w:r>
        <w:rPr>
          <w:rFonts w:hint="default" w:ascii="Times New Roman" w:hAnsi="Times New Roman" w:eastAsia="宋体" w:cs="Times New Roman"/>
          <w:spacing w:val="2"/>
          <w:sz w:val="21"/>
          <w:szCs w:val="21"/>
        </w:rPr>
        <w:t>)等“有色人种”则被标记为“狡诈、懒惰、缺乏自</w:t>
      </w:r>
      <w:r>
        <w:rPr>
          <w:rFonts w:hint="default" w:ascii="Times New Roman" w:hAnsi="Times New Roman" w:eastAsia="宋体" w:cs="Times New Roman"/>
          <w:spacing w:val="12"/>
          <w:sz w:val="21"/>
          <w:szCs w:val="21"/>
        </w:rPr>
        <w:t>律”</w:t>
      </w:r>
      <w:r>
        <w:rPr>
          <w:rStyle w:val="20"/>
          <w:rFonts w:hint="default" w:ascii="Times New Roman" w:hAnsi="Times New Roman" w:eastAsia="宋体" w:cs="Times New Roman"/>
          <w:spacing w:val="12"/>
          <w:sz w:val="21"/>
          <w:szCs w:val="21"/>
        </w:rPr>
        <w:footnoteReference w:id="1150"/>
      </w:r>
      <w:r>
        <w:rPr>
          <w:rFonts w:hint="default" w:ascii="Times New Roman" w:hAnsi="Times New Roman" w:eastAsia="宋体" w:cs="Times New Roman"/>
          <w:spacing w:val="12"/>
          <w:sz w:val="21"/>
          <w:szCs w:val="21"/>
        </w:rPr>
        <w:t>。这种知识生产并非价值中立的科学活动,而是殖</w:t>
      </w:r>
      <w:r>
        <w:rPr>
          <w:rFonts w:hint="default" w:ascii="Times New Roman" w:hAnsi="Times New Roman" w:eastAsia="宋体" w:cs="Times New Roman"/>
          <w:spacing w:val="11"/>
          <w:sz w:val="21"/>
          <w:szCs w:val="21"/>
        </w:rPr>
        <w:t>民帝国主义在意识形</w:t>
      </w:r>
      <w:r>
        <w:rPr>
          <w:rFonts w:hint="default" w:ascii="Times New Roman" w:hAnsi="Times New Roman" w:eastAsia="宋体" w:cs="Times New Roman"/>
          <w:spacing w:val="17"/>
          <w:sz w:val="21"/>
          <w:szCs w:val="21"/>
        </w:rPr>
        <w:t>态上的具象化。二是测量术的意识形态。</w:t>
      </w:r>
      <w:r>
        <w:rPr>
          <w:rFonts w:hint="default" w:ascii="Times New Roman" w:hAnsi="Times New Roman" w:eastAsia="宋体" w:cs="Times New Roman"/>
          <w:spacing w:val="17"/>
          <w:position w:val="-2"/>
          <w:sz w:val="21"/>
          <w:szCs w:val="21"/>
        </w:rPr>
        <w:t>19</w:t>
      </w:r>
      <w:r>
        <w:rPr>
          <w:rFonts w:hint="default" w:ascii="Times New Roman" w:hAnsi="Times New Roman" w:eastAsia="宋体" w:cs="Times New Roman"/>
          <w:spacing w:val="17"/>
          <w:sz w:val="21"/>
          <w:szCs w:val="21"/>
        </w:rPr>
        <w:t>世纪体质人类学家通过颅容量</w:t>
      </w:r>
      <w:r>
        <w:rPr>
          <w:rFonts w:hint="default" w:ascii="Times New Roman" w:hAnsi="Times New Roman" w:eastAsia="宋体" w:cs="Times New Roman"/>
          <w:spacing w:val="14"/>
          <w:sz w:val="21"/>
          <w:szCs w:val="21"/>
        </w:rPr>
        <w:t>测量、面角分析等伪科学手段,构建种族智力等</w:t>
      </w:r>
      <w:r>
        <w:rPr>
          <w:rFonts w:hint="default" w:ascii="Times New Roman" w:hAnsi="Times New Roman" w:eastAsia="宋体" w:cs="Times New Roman"/>
          <w:spacing w:val="13"/>
          <w:sz w:val="21"/>
          <w:szCs w:val="21"/>
        </w:rPr>
        <w:t>级图谱。美国学者莫顿(</w:t>
      </w:r>
      <w:r>
        <w:rPr>
          <w:rFonts w:hint="default" w:ascii="Times New Roman" w:hAnsi="Times New Roman" w:eastAsia="宋体" w:cs="Times New Roman"/>
          <w:sz w:val="21"/>
          <w:szCs w:val="21"/>
        </w:rPr>
        <w:t>S</w:t>
      </w:r>
      <w:r>
        <w:rPr>
          <w:rFonts w:hint="default" w:ascii="Times New Roman" w:hAnsi="Times New Roman" w:eastAsia="宋体" w:cs="Times New Roman"/>
          <w:position w:val="-2"/>
          <w:sz w:val="21"/>
          <w:szCs w:val="21"/>
        </w:rPr>
        <w:t>amuel</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Morton</w:t>
      </w:r>
      <w:r>
        <w:rPr>
          <w:rFonts w:hint="default" w:ascii="Times New Roman" w:hAnsi="Times New Roman" w:eastAsia="宋体" w:cs="Times New Roman"/>
          <w:spacing w:val="16"/>
          <w:sz w:val="21"/>
          <w:szCs w:val="21"/>
        </w:rPr>
        <w:t>)宣称白种人平均颅容量远超印第安人和黑</w:t>
      </w:r>
      <w:r>
        <w:rPr>
          <w:rFonts w:hint="default" w:ascii="Times New Roman" w:hAnsi="Times New Roman" w:eastAsia="宋体" w:cs="Times New Roman"/>
          <w:spacing w:val="15"/>
          <w:sz w:val="21"/>
          <w:szCs w:val="21"/>
        </w:rPr>
        <w:t>人(该结论后被证实源</w:t>
      </w:r>
      <w:r>
        <w:rPr>
          <w:rFonts w:hint="default" w:ascii="Times New Roman" w:hAnsi="Times New Roman" w:eastAsia="宋体" w:cs="Times New Roman"/>
          <w:spacing w:val="14"/>
          <w:sz w:val="21"/>
          <w:szCs w:val="21"/>
        </w:rPr>
        <w:t>于选择性数据篡改)</w:t>
      </w:r>
      <w:r>
        <w:rPr>
          <w:rStyle w:val="20"/>
          <w:rFonts w:hint="default" w:ascii="Times New Roman" w:hAnsi="Times New Roman" w:eastAsia="宋体" w:cs="Times New Roman"/>
          <w:spacing w:val="14"/>
          <w:sz w:val="21"/>
          <w:szCs w:val="21"/>
        </w:rPr>
        <w:footnoteReference w:id="1151"/>
      </w:r>
      <w:r>
        <w:rPr>
          <w:rFonts w:hint="default" w:ascii="Times New Roman" w:hAnsi="Times New Roman" w:eastAsia="宋体" w:cs="Times New Roman"/>
          <w:spacing w:val="14"/>
          <w:sz w:val="21"/>
          <w:szCs w:val="21"/>
        </w:rPr>
        <w:t>,其实质是假借“科学”强化</w:t>
      </w:r>
      <w:r>
        <w:rPr>
          <w:rFonts w:hint="default" w:ascii="Times New Roman" w:hAnsi="Times New Roman" w:eastAsia="宋体" w:cs="Times New Roman"/>
          <w:spacing w:val="13"/>
          <w:sz w:val="21"/>
          <w:szCs w:val="21"/>
        </w:rPr>
        <w:t>殖民者的认知霸权,将暴力</w:t>
      </w:r>
      <w:r>
        <w:rPr>
          <w:rFonts w:hint="default" w:ascii="Times New Roman" w:hAnsi="Times New Roman" w:eastAsia="宋体" w:cs="Times New Roman"/>
          <w:spacing w:val="6"/>
          <w:sz w:val="21"/>
          <w:szCs w:val="21"/>
        </w:rPr>
        <w:t>统治转化为“自然法则”。三是进化论的工具化。社会达尔文主义者将</w:t>
      </w:r>
      <w:r>
        <w:rPr>
          <w:rFonts w:hint="default" w:ascii="Times New Roman" w:hAnsi="Times New Roman" w:eastAsia="宋体" w:cs="Times New Roman"/>
          <w:spacing w:val="5"/>
          <w:sz w:val="21"/>
          <w:szCs w:val="21"/>
        </w:rPr>
        <w:t>马尔萨</w:t>
      </w:r>
      <w:r>
        <w:rPr>
          <w:rFonts w:hint="default" w:ascii="Times New Roman" w:hAnsi="Times New Roman" w:eastAsia="宋体" w:cs="Times New Roman"/>
          <w:spacing w:val="17"/>
          <w:sz w:val="21"/>
          <w:szCs w:val="21"/>
        </w:rPr>
        <w:t>斯人口论同达尔文自然选择学说嫁接,宣称殖民征服是高</w:t>
      </w:r>
      <w:r>
        <w:rPr>
          <w:rFonts w:hint="default" w:ascii="Times New Roman" w:hAnsi="Times New Roman" w:eastAsia="宋体" w:cs="Times New Roman"/>
          <w:spacing w:val="16"/>
          <w:sz w:val="21"/>
          <w:szCs w:val="21"/>
        </w:rPr>
        <w:t>等种族淘汰劣等种</w:t>
      </w:r>
      <w:r>
        <w:rPr>
          <w:rFonts w:hint="default" w:ascii="Times New Roman" w:hAnsi="Times New Roman" w:eastAsia="宋体" w:cs="Times New Roman"/>
          <w:spacing w:val="21"/>
          <w:sz w:val="21"/>
          <w:szCs w:val="21"/>
        </w:rPr>
        <w:t>族的进化必然</w:t>
      </w:r>
      <w:r>
        <w:rPr>
          <w:rFonts w:hint="default" w:ascii="Times New Roman" w:hAnsi="Times New Roman" w:eastAsia="宋体" w:cs="Times New Roman"/>
          <w:spacing w:val="21"/>
          <w:position w:val="1"/>
          <w:sz w:val="21"/>
          <w:szCs w:val="21"/>
        </w:rPr>
        <w:t>。</w:t>
      </w:r>
      <w:r>
        <w:rPr>
          <w:rFonts w:hint="default" w:ascii="Times New Roman" w:hAnsi="Times New Roman" w:eastAsia="宋体" w:cs="Times New Roman"/>
          <w:spacing w:val="21"/>
          <w:sz w:val="21"/>
          <w:szCs w:val="21"/>
        </w:rPr>
        <w:t>英国人赫伯特</w:t>
      </w:r>
      <w:r>
        <w:rPr>
          <w:rFonts w:hint="default" w:ascii="Times New Roman" w:hAnsi="Times New Roman" w:eastAsia="宋体" w:cs="Times New Roman"/>
          <w:spacing w:val="21"/>
          <w:position w:val="1"/>
          <w:sz w:val="21"/>
          <w:szCs w:val="21"/>
        </w:rPr>
        <w:t>·</w:t>
      </w:r>
      <w:r>
        <w:rPr>
          <w:rFonts w:hint="default" w:ascii="Times New Roman" w:hAnsi="Times New Roman" w:eastAsia="宋体" w:cs="Times New Roman"/>
          <w:spacing w:val="21"/>
          <w:sz w:val="21"/>
          <w:szCs w:val="21"/>
        </w:rPr>
        <w:t>斯宾塞(</w:t>
      </w:r>
      <w:r>
        <w:rPr>
          <w:rFonts w:hint="default" w:ascii="Times New Roman" w:hAnsi="Times New Roman" w:eastAsia="宋体" w:cs="Times New Roman"/>
          <w:sz w:val="21"/>
          <w:szCs w:val="21"/>
        </w:rPr>
        <w:t>Her</w:t>
      </w:r>
      <w:r>
        <w:rPr>
          <w:rFonts w:hint="default" w:ascii="Times New Roman" w:hAnsi="Times New Roman" w:eastAsia="宋体" w:cs="Times New Roman"/>
          <w:position w:val="-2"/>
          <w:sz w:val="21"/>
          <w:szCs w:val="21"/>
        </w:rPr>
        <w:t>bert</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Spencer</w:t>
      </w:r>
      <w:r>
        <w:rPr>
          <w:rFonts w:hint="default" w:ascii="Times New Roman" w:hAnsi="Times New Roman" w:eastAsia="宋体" w:cs="Times New Roman"/>
          <w:spacing w:val="21"/>
          <w:sz w:val="21"/>
          <w:szCs w:val="21"/>
        </w:rPr>
        <w:t>)认为</w:t>
      </w:r>
      <w:r>
        <w:rPr>
          <w:rFonts w:hint="default" w:ascii="Times New Roman" w:hAnsi="Times New Roman" w:eastAsia="宋体" w:cs="Times New Roman"/>
          <w:spacing w:val="21"/>
          <w:position w:val="1"/>
          <w:sz w:val="21"/>
          <w:szCs w:val="21"/>
        </w:rPr>
        <w:t>,</w:t>
      </w:r>
      <w:r>
        <w:rPr>
          <w:rFonts w:hint="default" w:ascii="Times New Roman" w:hAnsi="Times New Roman" w:eastAsia="宋体" w:cs="Times New Roman"/>
          <w:spacing w:val="21"/>
          <w:sz w:val="21"/>
          <w:szCs w:val="21"/>
        </w:rPr>
        <w:t>白人盎格</w:t>
      </w:r>
      <w:r>
        <w:rPr>
          <w:rFonts w:hint="default" w:ascii="Times New Roman" w:hAnsi="Times New Roman" w:eastAsia="宋体" w:cs="Times New Roman"/>
          <w:spacing w:val="5"/>
          <w:sz w:val="21"/>
          <w:szCs w:val="21"/>
        </w:rPr>
        <w:t>鲁—撒克逊人的经济、技术和政治优势是“自然和不可避免的”</w:t>
      </w:r>
      <w:r>
        <w:rPr>
          <w:rStyle w:val="20"/>
          <w:rFonts w:hint="default" w:ascii="Times New Roman" w:hAnsi="Times New Roman" w:eastAsia="宋体" w:cs="Times New Roman"/>
          <w:spacing w:val="5"/>
          <w:sz w:val="21"/>
          <w:szCs w:val="21"/>
        </w:rPr>
        <w:footnoteReference w:id="1152"/>
      </w:r>
      <w:r>
        <w:rPr>
          <w:rFonts w:hint="default" w:ascii="Times New Roman" w:hAnsi="Times New Roman" w:eastAsia="宋体" w:cs="Times New Roman"/>
          <w:spacing w:val="5"/>
          <w:sz w:val="21"/>
          <w:szCs w:val="21"/>
        </w:rPr>
        <w:t>,这种话语直</w:t>
      </w:r>
      <w:r>
        <w:rPr>
          <w:rFonts w:hint="default" w:ascii="Times New Roman" w:hAnsi="Times New Roman" w:eastAsia="宋体" w:cs="Times New Roman"/>
          <w:spacing w:val="24"/>
          <w:sz w:val="21"/>
          <w:szCs w:val="21"/>
        </w:rPr>
        <w:t>接服务于欧洲对非洲的瓜分</w:t>
      </w:r>
      <w:r>
        <w:rPr>
          <w:rFonts w:hint="default" w:ascii="Times New Roman" w:hAnsi="Times New Roman" w:eastAsia="宋体" w:cs="Times New Roman"/>
          <w:spacing w:val="24"/>
          <w:position w:val="1"/>
          <w:sz w:val="21"/>
          <w:szCs w:val="21"/>
        </w:rPr>
        <w:t>。</w:t>
      </w:r>
      <w:r>
        <w:rPr>
          <w:rFonts w:hint="default" w:ascii="Times New Roman" w:hAnsi="Times New Roman" w:eastAsia="宋体" w:cs="Times New Roman"/>
          <w:spacing w:val="24"/>
          <w:sz w:val="21"/>
          <w:szCs w:val="21"/>
        </w:rPr>
        <w:t>英国科学家弗朗西斯</w:t>
      </w:r>
      <w:r>
        <w:rPr>
          <w:rFonts w:hint="default" w:ascii="Times New Roman" w:hAnsi="Times New Roman" w:eastAsia="宋体" w:cs="Times New Roman"/>
          <w:spacing w:val="24"/>
          <w:position w:val="1"/>
          <w:sz w:val="21"/>
          <w:szCs w:val="21"/>
        </w:rPr>
        <w:t>·</w:t>
      </w:r>
      <w:r>
        <w:rPr>
          <w:rFonts w:hint="default" w:ascii="Times New Roman" w:hAnsi="Times New Roman" w:eastAsia="宋体" w:cs="Times New Roman"/>
          <w:spacing w:val="24"/>
          <w:sz w:val="21"/>
          <w:szCs w:val="21"/>
        </w:rPr>
        <w:t>高尔顿(</w:t>
      </w:r>
      <w:r>
        <w:rPr>
          <w:rFonts w:hint="default" w:ascii="Times New Roman" w:hAnsi="Times New Roman" w:eastAsia="宋体" w:cs="Times New Roman"/>
          <w:sz w:val="21"/>
          <w:szCs w:val="21"/>
        </w:rPr>
        <w:t>Francis</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position w:val="-2"/>
          <w:sz w:val="21"/>
          <w:szCs w:val="21"/>
        </w:rPr>
        <w:t>Galton</w:t>
      </w:r>
      <w:r>
        <w:rPr>
          <w:rFonts w:hint="default" w:ascii="Times New Roman" w:hAnsi="Times New Roman" w:eastAsia="宋体" w:cs="Times New Roman"/>
          <w:spacing w:val="2"/>
          <w:sz w:val="21"/>
          <w:szCs w:val="21"/>
        </w:rPr>
        <w:t>)于</w:t>
      </w:r>
      <w:r>
        <w:rPr>
          <w:rFonts w:hint="default" w:ascii="Times New Roman" w:hAnsi="Times New Roman" w:eastAsia="宋体" w:cs="Times New Roman"/>
          <w:spacing w:val="2"/>
          <w:position w:val="-2"/>
          <w:sz w:val="21"/>
          <w:szCs w:val="21"/>
        </w:rPr>
        <w:t>1883</w:t>
      </w:r>
      <w:r>
        <w:rPr>
          <w:rFonts w:hint="default" w:ascii="Times New Roman" w:hAnsi="Times New Roman" w:eastAsia="宋体" w:cs="Times New Roman"/>
          <w:spacing w:val="2"/>
          <w:sz w:val="21"/>
          <w:szCs w:val="21"/>
        </w:rPr>
        <w:t>年在欧洲发起了一场名为</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spacing w:val="2"/>
          <w:sz w:val="21"/>
          <w:szCs w:val="21"/>
        </w:rPr>
        <w:t>优生学</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position w:val="-1"/>
          <w:sz w:val="21"/>
          <w:szCs w:val="21"/>
        </w:rPr>
        <w:t>Eugenics</w:t>
      </w:r>
      <w:r>
        <w:rPr>
          <w:rFonts w:hint="default" w:ascii="Times New Roman" w:hAnsi="Times New Roman" w:eastAsia="宋体" w:cs="Times New Roman"/>
          <w:spacing w:val="2"/>
          <w:sz w:val="21"/>
          <w:szCs w:val="21"/>
        </w:rPr>
        <w:t>)的运动,即要选择</w:t>
      </w:r>
      <w:r>
        <w:rPr>
          <w:rFonts w:hint="default" w:ascii="Times New Roman" w:hAnsi="Times New Roman" w:eastAsia="宋体" w:cs="Times New Roman"/>
          <w:spacing w:val="10"/>
          <w:sz w:val="21"/>
          <w:szCs w:val="21"/>
        </w:rPr>
        <w:t>性地繁衍具有优良特征的人并阻止那些有劣质特征的人生育后代,从而使“种</w:t>
      </w:r>
      <w:r>
        <w:rPr>
          <w:rFonts w:hint="default" w:ascii="Times New Roman" w:hAnsi="Times New Roman" w:eastAsia="宋体" w:cs="Times New Roman"/>
          <w:spacing w:val="-13"/>
          <w:sz w:val="21"/>
          <w:szCs w:val="21"/>
        </w:rPr>
        <w:t>族”优化。</w:t>
      </w:r>
      <w:r>
        <w:rPr>
          <w:rStyle w:val="20"/>
          <w:rFonts w:hint="default" w:ascii="Times New Roman" w:hAnsi="Times New Roman" w:eastAsia="宋体" w:cs="Times New Roman"/>
          <w:spacing w:val="-13"/>
          <w:sz w:val="21"/>
          <w:szCs w:val="21"/>
        </w:rPr>
        <w:footnoteReference w:id="1153"/>
      </w:r>
      <w:r>
        <w:rPr>
          <w:rFonts w:hint="default" w:ascii="Times New Roman" w:hAnsi="Times New Roman" w:eastAsia="宋体" w:cs="Times New Roman"/>
          <w:spacing w:val="-2"/>
          <w:sz w:val="21"/>
          <w:szCs w:val="21"/>
        </w:rPr>
        <w:t>与“</w:t>
      </w:r>
      <w:r>
        <w:rPr>
          <w:rFonts w:hint="default" w:ascii="Times New Roman" w:hAnsi="Times New Roman" w:eastAsia="宋体" w:cs="Times New Roman"/>
          <w:spacing w:val="-25"/>
          <w:sz w:val="21"/>
          <w:szCs w:val="21"/>
        </w:rPr>
        <w:t>优生学”相似</w:t>
      </w:r>
      <w:r>
        <w:rPr>
          <w:rFonts w:hint="default" w:ascii="Times New Roman" w:hAnsi="Times New Roman" w:eastAsia="宋体" w:cs="Times New Roman"/>
          <w:spacing w:val="12"/>
          <w:sz w:val="21"/>
          <w:szCs w:val="21"/>
        </w:rPr>
        <w:t>,美国早在奴隶制时期就产生了白人不能与其他</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种族</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通婚否则便不是纯种白人的观念</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position w:val="-2"/>
          <w:sz w:val="21"/>
          <w:szCs w:val="21"/>
        </w:rPr>
        <w:t>1920</w:t>
      </w:r>
      <w:r>
        <w:rPr>
          <w:rFonts w:hint="default" w:ascii="Times New Roman" w:hAnsi="Times New Roman" w:eastAsia="宋体" w:cs="Times New Roman"/>
          <w:spacing w:val="6"/>
          <w:sz w:val="21"/>
          <w:szCs w:val="21"/>
        </w:rPr>
        <w:t>年在美国第</w:t>
      </w:r>
      <w:r>
        <w:rPr>
          <w:rFonts w:hint="default" w:ascii="Times New Roman" w:hAnsi="Times New Roman" w:eastAsia="宋体" w:cs="Times New Roman"/>
          <w:spacing w:val="6"/>
          <w:position w:val="-2"/>
          <w:sz w:val="21"/>
          <w:szCs w:val="21"/>
        </w:rPr>
        <w:t>14</w:t>
      </w:r>
      <w:r>
        <w:rPr>
          <w:rFonts w:hint="default" w:ascii="Times New Roman" w:hAnsi="Times New Roman" w:eastAsia="宋体" w:cs="Times New Roman"/>
          <w:spacing w:val="6"/>
          <w:sz w:val="21"/>
          <w:szCs w:val="21"/>
        </w:rPr>
        <w:t>次人口普查中</w:t>
      </w:r>
    </w:p>
    <w:p w14:paraId="76A0EC1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首次使用</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24"/>
          <w:w w:val="73"/>
          <w:sz w:val="21"/>
          <w:szCs w:val="21"/>
        </w:rPr>
        <w:t>一</w:t>
      </w:r>
      <w:r>
        <w:rPr>
          <w:rFonts w:hint="default" w:ascii="Times New Roman" w:hAnsi="Times New Roman" w:eastAsia="宋体" w:cs="Times New Roman"/>
          <w:spacing w:val="-3"/>
          <w:sz w:val="21"/>
          <w:szCs w:val="21"/>
        </w:rPr>
        <w:t>滴血原则</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(O</w:t>
      </w:r>
      <w:r>
        <w:rPr>
          <w:rFonts w:hint="default" w:ascii="Times New Roman" w:hAnsi="Times New Roman" w:eastAsia="宋体" w:cs="Times New Roman"/>
          <w:spacing w:val="-3"/>
          <w:position w:val="-2"/>
          <w:sz w:val="21"/>
          <w:szCs w:val="21"/>
        </w:rPr>
        <w:t>ne</w:t>
      </w:r>
      <w:r>
        <w:rPr>
          <w:rFonts w:hint="eastAsia" w:ascii="Times New Roman" w:hAnsi="Times New Roman" w:eastAsia="宋体" w:cs="Times New Roman"/>
          <w:spacing w:val="-3"/>
          <w:position w:val="-2"/>
          <w:sz w:val="21"/>
          <w:szCs w:val="21"/>
          <w:lang w:val="en-US" w:eastAsia="zh-CN"/>
        </w:rPr>
        <w:t xml:space="preserve"> </w:t>
      </w:r>
      <w:r>
        <w:rPr>
          <w:rFonts w:hint="default" w:ascii="Times New Roman" w:hAnsi="Times New Roman" w:eastAsia="宋体" w:cs="Times New Roman"/>
          <w:spacing w:val="-3"/>
          <w:position w:val="-2"/>
          <w:sz w:val="21"/>
          <w:szCs w:val="21"/>
        </w:rPr>
        <w:t>DropRule</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也被称为</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低血统</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position w:val="-2"/>
          <w:sz w:val="21"/>
          <w:szCs w:val="21"/>
        </w:rPr>
        <w:t>Hypodes-</w:t>
      </w:r>
      <w:r>
        <w:rPr>
          <w:rFonts w:hint="default" w:ascii="Times New Roman" w:hAnsi="Times New Roman" w:eastAsia="宋体" w:cs="Times New Roman"/>
          <w:position w:val="-1"/>
          <w:sz w:val="21"/>
          <w:szCs w:val="21"/>
        </w:rPr>
        <w:t>cent</w:t>
      </w:r>
      <w:r>
        <w:rPr>
          <w:rFonts w:hint="default" w:ascii="Times New Roman" w:hAnsi="Times New Roman" w:eastAsia="宋体" w:cs="Times New Roman"/>
          <w:spacing w:val="11"/>
          <w:position w:val="-1"/>
          <w:sz w:val="21"/>
          <w:szCs w:val="21"/>
        </w:rPr>
        <w:t>)</w:t>
      </w:r>
      <w:r>
        <w:rPr>
          <w:rStyle w:val="20"/>
          <w:rFonts w:hint="default" w:ascii="Times New Roman" w:hAnsi="Times New Roman" w:eastAsia="宋体" w:cs="Times New Roman"/>
          <w:spacing w:val="11"/>
          <w:position w:val="-1"/>
          <w:sz w:val="21"/>
          <w:szCs w:val="21"/>
        </w:rPr>
        <w:footnoteReference w:id="1154"/>
      </w:r>
      <w:r>
        <w:rPr>
          <w:rFonts w:hint="default" w:ascii="Times New Roman" w:hAnsi="Times New Roman" w:eastAsia="宋体" w:cs="Times New Roman"/>
          <w:spacing w:val="11"/>
          <w:sz w:val="21"/>
          <w:szCs w:val="21"/>
        </w:rPr>
        <w:t>,该原则认为,只要一个人祖上有一位来自其他种族的先辈就不是“纯</w:t>
      </w:r>
      <w:r>
        <w:rPr>
          <w:rFonts w:hint="default" w:ascii="Times New Roman" w:hAnsi="Times New Roman" w:eastAsia="宋体" w:cs="Times New Roman"/>
          <w:spacing w:val="5"/>
          <w:sz w:val="21"/>
          <w:szCs w:val="21"/>
        </w:rPr>
        <w:t>种</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spacing w:val="5"/>
          <w:sz w:val="21"/>
          <w:szCs w:val="21"/>
        </w:rPr>
        <w:t>白人</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spacing w:val="5"/>
          <w:position w:val="-2"/>
          <w:sz w:val="21"/>
          <w:szCs w:val="21"/>
        </w:rPr>
        <w:t>1924</w:t>
      </w:r>
      <w:r>
        <w:rPr>
          <w:rFonts w:hint="default" w:ascii="Times New Roman" w:hAnsi="Times New Roman" w:eastAsia="宋体" w:cs="Times New Roman"/>
          <w:spacing w:val="5"/>
          <w:sz w:val="21"/>
          <w:szCs w:val="21"/>
        </w:rPr>
        <w:t>年美国颁布的《种族完整性法案》(</w:t>
      </w:r>
      <w:r>
        <w:rPr>
          <w:rFonts w:hint="default" w:ascii="Times New Roman" w:hAnsi="Times New Roman" w:eastAsia="宋体" w:cs="Times New Roman"/>
          <w:sz w:val="21"/>
          <w:szCs w:val="21"/>
        </w:rPr>
        <w:t>R</w:t>
      </w:r>
      <w:r>
        <w:rPr>
          <w:rFonts w:hint="default" w:ascii="Times New Roman" w:hAnsi="Times New Roman" w:eastAsia="宋体" w:cs="Times New Roman"/>
          <w:position w:val="-2"/>
          <w:sz w:val="21"/>
          <w:szCs w:val="21"/>
        </w:rPr>
        <w:t>acial</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Integrity</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A</w:t>
      </w:r>
      <w:r>
        <w:rPr>
          <w:rFonts w:hint="default" w:ascii="Times New Roman" w:hAnsi="Times New Roman" w:eastAsia="宋体" w:cs="Times New Roman"/>
          <w:sz w:val="21"/>
          <w:szCs w:val="21"/>
        </w:rPr>
        <w:t>ct</w:t>
      </w:r>
      <w:r>
        <w:rPr>
          <w:rFonts w:hint="default" w:ascii="Times New Roman" w:hAnsi="Times New Roman" w:eastAsia="宋体" w:cs="Times New Roman"/>
          <w:spacing w:val="5"/>
          <w:sz w:val="21"/>
          <w:szCs w:val="21"/>
        </w:rPr>
        <w:t>)禁止</w:t>
      </w:r>
      <w:r>
        <w:rPr>
          <w:rFonts w:hint="default" w:ascii="Times New Roman" w:hAnsi="Times New Roman" w:eastAsia="宋体" w:cs="Times New Roman"/>
          <w:spacing w:val="6"/>
          <w:sz w:val="21"/>
          <w:szCs w:val="21"/>
        </w:rPr>
        <w:t>跨种族通婚。</w:t>
      </w:r>
      <w:r>
        <w:rPr>
          <w:rStyle w:val="20"/>
          <w:rFonts w:hint="default" w:ascii="Times New Roman" w:hAnsi="Times New Roman" w:eastAsia="宋体" w:cs="Times New Roman"/>
          <w:spacing w:val="6"/>
          <w:sz w:val="21"/>
          <w:szCs w:val="21"/>
        </w:rPr>
        <w:footnoteReference w:id="1155"/>
      </w:r>
      <w:r>
        <w:rPr>
          <w:rFonts w:hint="default" w:ascii="Times New Roman" w:hAnsi="Times New Roman" w:eastAsia="宋体" w:cs="Times New Roman"/>
          <w:spacing w:val="6"/>
          <w:sz w:val="21"/>
          <w:szCs w:val="21"/>
        </w:rPr>
        <w:t>以上的观点、理论形成</w:t>
      </w:r>
      <w:r>
        <w:rPr>
          <w:rFonts w:hint="default" w:ascii="Times New Roman" w:hAnsi="Times New Roman" w:eastAsia="宋体" w:cs="Times New Roman"/>
          <w:spacing w:val="5"/>
          <w:sz w:val="21"/>
          <w:szCs w:val="21"/>
        </w:rPr>
        <w:t>了科学种族主义的理论基础,即以科学</w:t>
      </w:r>
      <w:r>
        <w:rPr>
          <w:rFonts w:hint="default" w:ascii="Times New Roman" w:hAnsi="Times New Roman" w:eastAsia="宋体" w:cs="Times New Roman"/>
          <w:spacing w:val="6"/>
          <w:sz w:val="21"/>
          <w:szCs w:val="21"/>
        </w:rPr>
        <w:t>的名义对不同的“种族”进行等级分类,其中欧洲血统的人处</w:t>
      </w:r>
      <w:r>
        <w:rPr>
          <w:rFonts w:hint="default" w:ascii="Times New Roman" w:hAnsi="Times New Roman" w:eastAsia="宋体" w:cs="Times New Roman"/>
          <w:spacing w:val="5"/>
          <w:sz w:val="21"/>
          <w:szCs w:val="21"/>
        </w:rPr>
        <w:t>于顶层,用以解释</w:t>
      </w:r>
      <w:r>
        <w:rPr>
          <w:rFonts w:hint="default" w:ascii="Times New Roman" w:hAnsi="Times New Roman" w:eastAsia="宋体" w:cs="Times New Roman"/>
          <w:spacing w:val="6"/>
          <w:sz w:val="21"/>
          <w:szCs w:val="21"/>
        </w:rPr>
        <w:t>和证明欧洲殖民扩张的合法性。</w:t>
      </w:r>
      <w:r>
        <w:rPr>
          <w:rStyle w:val="20"/>
          <w:rFonts w:hint="default" w:ascii="Times New Roman" w:hAnsi="Times New Roman" w:eastAsia="宋体" w:cs="Times New Roman"/>
          <w:spacing w:val="6"/>
          <w:sz w:val="21"/>
          <w:szCs w:val="21"/>
        </w:rPr>
        <w:footnoteReference w:id="1156"/>
      </w:r>
      <w:r>
        <w:rPr>
          <w:rFonts w:hint="default" w:ascii="Times New Roman" w:hAnsi="Times New Roman" w:eastAsia="宋体" w:cs="Times New Roman"/>
          <w:spacing w:val="6"/>
          <w:sz w:val="21"/>
          <w:szCs w:val="21"/>
        </w:rPr>
        <w:t>科学种族主义在欧洲和北美形成了白</w:t>
      </w:r>
      <w:r>
        <w:rPr>
          <w:rFonts w:hint="default" w:ascii="Times New Roman" w:hAnsi="Times New Roman" w:eastAsia="宋体" w:cs="Times New Roman"/>
          <w:spacing w:val="5"/>
          <w:sz w:val="21"/>
          <w:szCs w:val="21"/>
        </w:rPr>
        <w:t>人优</w:t>
      </w:r>
      <w:r>
        <w:rPr>
          <w:rFonts w:hint="default" w:ascii="Times New Roman" w:hAnsi="Times New Roman" w:eastAsia="宋体" w:cs="Times New Roman"/>
          <w:spacing w:val="4"/>
          <w:sz w:val="21"/>
          <w:szCs w:val="21"/>
        </w:rPr>
        <w:t>于其他种族,并且奴役其他种族是正当的所谓“共</w:t>
      </w:r>
      <w:r>
        <w:rPr>
          <w:rFonts w:hint="default" w:ascii="Times New Roman" w:hAnsi="Times New Roman" w:eastAsia="宋体" w:cs="Times New Roman"/>
          <w:spacing w:val="3"/>
          <w:sz w:val="21"/>
          <w:szCs w:val="21"/>
        </w:rPr>
        <w:t>同的社会信仰”</w:t>
      </w:r>
      <w:r>
        <w:rPr>
          <w:rStyle w:val="20"/>
          <w:rFonts w:hint="default" w:ascii="Times New Roman" w:hAnsi="Times New Roman" w:eastAsia="宋体" w:cs="Times New Roman"/>
          <w:spacing w:val="3"/>
          <w:sz w:val="21"/>
          <w:szCs w:val="21"/>
        </w:rPr>
        <w:footnoteReference w:id="1157"/>
      </w:r>
      <w:r>
        <w:rPr>
          <w:rFonts w:hint="default" w:ascii="Times New Roman" w:hAnsi="Times New Roman" w:eastAsia="宋体" w:cs="Times New Roman"/>
          <w:spacing w:val="3"/>
          <w:sz w:val="21"/>
          <w:szCs w:val="21"/>
        </w:rPr>
        <w:t>。</w:t>
      </w:r>
    </w:p>
    <w:p w14:paraId="674AEC60">
      <w:pPr>
        <w:pStyle w:val="6"/>
        <w:keepNext w:val="0"/>
        <w:keepLines w:val="0"/>
        <w:pageBreakBefore w:val="0"/>
        <w:widowControl/>
        <w:tabs>
          <w:tab w:val="left" w:pos="8275"/>
        </w:tabs>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科学种族主义建立在两个假设的所谓“事实”之上,一是人类是由生理特</w:t>
      </w:r>
      <w:r>
        <w:rPr>
          <w:rFonts w:hint="default" w:ascii="Times New Roman" w:hAnsi="Times New Roman" w:eastAsia="宋体" w:cs="Times New Roman"/>
          <w:spacing w:val="9"/>
          <w:sz w:val="21"/>
          <w:szCs w:val="21"/>
        </w:rPr>
        <w:t>征迥异的不同群体组成的,不同种族在生理特征(如肤色、颅骨形态)和遗传基</w:t>
      </w:r>
      <w:r>
        <w:rPr>
          <w:rFonts w:hint="default" w:ascii="Times New Roman" w:hAnsi="Times New Roman" w:eastAsia="宋体" w:cs="Times New Roman"/>
          <w:spacing w:val="-5"/>
          <w:sz w:val="21"/>
          <w:szCs w:val="21"/>
        </w:rPr>
        <w:t>因上存在本质差异,并以此划分“优等”与“劣等”种族,而“白人种族</w:t>
      </w:r>
      <w:r>
        <w:rPr>
          <w:rFonts w:hint="default" w:ascii="Times New Roman" w:hAnsi="Times New Roman" w:eastAsia="宋体" w:cs="Times New Roman"/>
          <w:spacing w:val="-6"/>
          <w:sz w:val="21"/>
          <w:szCs w:val="21"/>
        </w:rPr>
        <w:t>”是“优等”</w:t>
      </w:r>
      <w:r>
        <w:rPr>
          <w:rFonts w:hint="default" w:ascii="Times New Roman" w:hAnsi="Times New Roman" w:eastAsia="宋体" w:cs="Times New Roman"/>
          <w:sz w:val="21"/>
          <w:szCs w:val="21"/>
        </w:rPr>
        <w:t>种族;二是这些“种族”可根据“价值观”的尺度分为不同的等级,而“白种人是</w:t>
      </w:r>
      <w:r>
        <w:rPr>
          <w:rFonts w:hint="default" w:ascii="Times New Roman" w:hAnsi="Times New Roman" w:eastAsia="宋体" w:cs="Times New Roman"/>
          <w:spacing w:val="13"/>
          <w:sz w:val="21"/>
          <w:szCs w:val="21"/>
        </w:rPr>
        <w:t>最完美无缺的”</w:t>
      </w:r>
      <w:r>
        <w:rPr>
          <w:rStyle w:val="20"/>
          <w:rFonts w:hint="default" w:ascii="Times New Roman" w:hAnsi="Times New Roman" w:eastAsia="宋体" w:cs="Times New Roman"/>
          <w:spacing w:val="13"/>
          <w:sz w:val="21"/>
          <w:szCs w:val="21"/>
        </w:rPr>
        <w:footnoteReference w:id="1158"/>
      </w:r>
      <w:r>
        <w:rPr>
          <w:rFonts w:hint="default" w:ascii="Times New Roman" w:hAnsi="Times New Roman" w:eastAsia="宋体" w:cs="Times New Roman"/>
          <w:spacing w:val="13"/>
          <w:sz w:val="21"/>
          <w:szCs w:val="21"/>
        </w:rPr>
        <w:t>。简单地说,科学种族主义认为种族具有生物学基础,种族</w:t>
      </w:r>
      <w:r>
        <w:rPr>
          <w:rFonts w:hint="default" w:ascii="Times New Roman" w:hAnsi="Times New Roman" w:eastAsia="宋体" w:cs="Times New Roman"/>
          <w:spacing w:val="7"/>
          <w:sz w:val="21"/>
          <w:szCs w:val="21"/>
        </w:rPr>
        <w:t>之间的生物学差距是不可改变的。</w:t>
      </w:r>
    </w:p>
    <w:p w14:paraId="001BF23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与科学种族主义相伴生的观点是“欧洲人”(一个与白人种族相关的模糊</w:t>
      </w:r>
      <w:r>
        <w:rPr>
          <w:rFonts w:hint="default" w:ascii="Times New Roman" w:hAnsi="Times New Roman" w:eastAsia="宋体" w:cs="Times New Roman"/>
          <w:spacing w:val="12"/>
          <w:sz w:val="21"/>
          <w:szCs w:val="21"/>
        </w:rPr>
        <w:t>类别)的文化优越性也被认为是公理性的。文化优越性主要被认为是种族优</w:t>
      </w:r>
      <w:r>
        <w:rPr>
          <w:rFonts w:hint="default" w:ascii="Times New Roman" w:hAnsi="Times New Roman" w:eastAsia="宋体" w:cs="Times New Roman"/>
          <w:spacing w:val="9"/>
          <w:sz w:val="21"/>
          <w:szCs w:val="21"/>
        </w:rPr>
        <w:t>越性的结果</w:t>
      </w:r>
      <w:r>
        <w:rPr>
          <w:rStyle w:val="20"/>
          <w:rFonts w:hint="default" w:ascii="Times New Roman" w:hAnsi="Times New Roman" w:eastAsia="宋体" w:cs="Times New Roman"/>
          <w:spacing w:val="9"/>
          <w:sz w:val="21"/>
          <w:szCs w:val="21"/>
        </w:rPr>
        <w:footnoteReference w:id="1159"/>
      </w:r>
      <w:r>
        <w:rPr>
          <w:rFonts w:hint="default" w:ascii="Times New Roman" w:hAnsi="Times New Roman" w:eastAsia="宋体" w:cs="Times New Roman"/>
          <w:spacing w:val="9"/>
          <w:sz w:val="21"/>
          <w:szCs w:val="21"/>
        </w:rPr>
        <w:t>,这种认识为后来文化种族主义的出现奠定了基础。</w:t>
      </w:r>
    </w:p>
    <w:p w14:paraId="7B3CBBF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科学种族主义虽源于欧洲,却兴盛于美国。第一次世界大战后,“科学种</w:t>
      </w:r>
      <w:r>
        <w:rPr>
          <w:rFonts w:hint="default" w:ascii="Times New Roman" w:hAnsi="Times New Roman" w:eastAsia="宋体" w:cs="Times New Roman"/>
          <w:spacing w:val="3"/>
          <w:sz w:val="21"/>
          <w:szCs w:val="21"/>
        </w:rPr>
        <w:t>族主义”及其衍生理论“优生学”在美国获得巨大发展。</w:t>
      </w:r>
      <w:r>
        <w:rPr>
          <w:rFonts w:hint="default" w:ascii="Times New Roman" w:hAnsi="Times New Roman" w:eastAsia="宋体" w:cs="Times New Roman"/>
          <w:spacing w:val="3"/>
          <w:position w:val="-2"/>
          <w:sz w:val="21"/>
          <w:szCs w:val="21"/>
        </w:rPr>
        <w:t>20</w:t>
      </w:r>
      <w:r>
        <w:rPr>
          <w:rFonts w:hint="default" w:ascii="Times New Roman" w:hAnsi="Times New Roman" w:eastAsia="宋体" w:cs="Times New Roman"/>
          <w:spacing w:val="3"/>
          <w:sz w:val="21"/>
          <w:szCs w:val="21"/>
        </w:rPr>
        <w:t>世纪初,美国的“优</w:t>
      </w:r>
      <w:r>
        <w:rPr>
          <w:rFonts w:hint="default" w:ascii="Times New Roman" w:hAnsi="Times New Roman" w:eastAsia="宋体" w:cs="Times New Roman"/>
          <w:spacing w:val="10"/>
          <w:sz w:val="21"/>
          <w:szCs w:val="21"/>
        </w:rPr>
        <w:t>生学”对欧洲尤其是德国产生了重大影响。美国机构、学者</w:t>
      </w:r>
      <w:r>
        <w:rPr>
          <w:rFonts w:hint="default" w:ascii="Times New Roman" w:hAnsi="Times New Roman" w:eastAsia="宋体" w:cs="Times New Roman"/>
          <w:spacing w:val="9"/>
          <w:sz w:val="21"/>
          <w:szCs w:val="21"/>
        </w:rPr>
        <w:t>不仅为德国提供</w:t>
      </w:r>
      <w:r>
        <w:rPr>
          <w:rFonts w:hint="default" w:ascii="Times New Roman" w:hAnsi="Times New Roman" w:eastAsia="宋体" w:cs="Times New Roman"/>
          <w:spacing w:val="3"/>
          <w:sz w:val="21"/>
          <w:szCs w:val="21"/>
        </w:rPr>
        <w:t>“优生学”科学路线图,还帮助德国建设“优生”机构。从</w:t>
      </w:r>
      <w:r>
        <w:rPr>
          <w:rFonts w:hint="default" w:ascii="Times New Roman" w:hAnsi="Times New Roman" w:eastAsia="宋体" w:cs="Times New Roman"/>
          <w:spacing w:val="3"/>
          <w:position w:val="-2"/>
          <w:sz w:val="21"/>
          <w:szCs w:val="21"/>
        </w:rPr>
        <w:t>20</w:t>
      </w:r>
      <w:r>
        <w:rPr>
          <w:rFonts w:hint="default" w:ascii="Times New Roman" w:hAnsi="Times New Roman" w:eastAsia="宋体" w:cs="Times New Roman"/>
          <w:spacing w:val="3"/>
          <w:sz w:val="21"/>
          <w:szCs w:val="21"/>
        </w:rPr>
        <w:t>世纪</w:t>
      </w:r>
      <w:r>
        <w:rPr>
          <w:rFonts w:hint="default" w:ascii="Times New Roman" w:hAnsi="Times New Roman" w:eastAsia="宋体" w:cs="Times New Roman"/>
          <w:spacing w:val="3"/>
          <w:position w:val="-2"/>
          <w:sz w:val="21"/>
          <w:szCs w:val="21"/>
        </w:rPr>
        <w:t>2</w:t>
      </w:r>
      <w:r>
        <w:rPr>
          <w:rFonts w:hint="default" w:ascii="Times New Roman" w:hAnsi="Times New Roman" w:eastAsia="宋体" w:cs="Times New Roman"/>
          <w:spacing w:val="2"/>
          <w:position w:val="-2"/>
          <w:sz w:val="21"/>
          <w:szCs w:val="21"/>
        </w:rPr>
        <w:t>0</w:t>
      </w:r>
      <w:r>
        <w:rPr>
          <w:rFonts w:hint="default" w:ascii="Times New Roman" w:hAnsi="Times New Roman" w:eastAsia="宋体" w:cs="Times New Roman"/>
          <w:spacing w:val="2"/>
          <w:sz w:val="21"/>
          <w:szCs w:val="21"/>
        </w:rPr>
        <w:t>年代开始,</w:t>
      </w:r>
      <w:r>
        <w:rPr>
          <w:rFonts w:hint="default" w:ascii="Times New Roman" w:hAnsi="Times New Roman" w:eastAsia="宋体" w:cs="Times New Roman"/>
          <w:spacing w:val="12"/>
          <w:sz w:val="21"/>
          <w:szCs w:val="21"/>
        </w:rPr>
        <w:t>美国的卡内基研究所等资金雄厚的财团、研究机构和企业都资助了德国优生</w:t>
      </w:r>
      <w:r>
        <w:rPr>
          <w:rFonts w:hint="default" w:ascii="Times New Roman" w:hAnsi="Times New Roman" w:eastAsia="宋体" w:cs="Times New Roman"/>
          <w:spacing w:val="8"/>
          <w:sz w:val="21"/>
          <w:szCs w:val="21"/>
        </w:rPr>
        <w:t>学项目和优生学家</w:t>
      </w:r>
      <w:r>
        <w:rPr>
          <w:rFonts w:hint="default" w:ascii="Times New Roman" w:hAnsi="Times New Roman" w:eastAsia="宋体" w:cs="Times New Roman"/>
          <w:spacing w:val="8"/>
          <w:position w:val="1"/>
          <w:sz w:val="21"/>
          <w:szCs w:val="21"/>
        </w:rPr>
        <w:t>。</w:t>
      </w:r>
      <w:r>
        <w:rPr>
          <w:rStyle w:val="20"/>
          <w:rFonts w:hint="default" w:ascii="Times New Roman" w:hAnsi="Times New Roman" w:eastAsia="宋体" w:cs="Times New Roman"/>
          <w:spacing w:val="8"/>
          <w:position w:val="1"/>
          <w:sz w:val="21"/>
          <w:szCs w:val="21"/>
        </w:rPr>
        <w:footnoteReference w:id="1160"/>
      </w:r>
      <w:r>
        <w:rPr>
          <w:rFonts w:hint="default" w:ascii="Times New Roman" w:hAnsi="Times New Roman" w:eastAsia="宋体" w:cs="Times New Roman"/>
          <w:spacing w:val="8"/>
          <w:sz w:val="21"/>
          <w:szCs w:val="21"/>
        </w:rPr>
        <w:t>如洛克菲勒基金会</w:t>
      </w:r>
      <w:r>
        <w:rPr>
          <w:rFonts w:hint="default" w:ascii="Times New Roman" w:hAnsi="Times New Roman" w:eastAsia="宋体" w:cs="Times New Roman"/>
          <w:spacing w:val="8"/>
          <w:position w:val="-2"/>
          <w:sz w:val="21"/>
          <w:szCs w:val="21"/>
        </w:rPr>
        <w:t>1920—1939</w:t>
      </w:r>
      <w:r>
        <w:rPr>
          <w:rFonts w:hint="default" w:ascii="Times New Roman" w:hAnsi="Times New Roman" w:eastAsia="宋体" w:cs="Times New Roman"/>
          <w:spacing w:val="8"/>
          <w:sz w:val="21"/>
          <w:szCs w:val="21"/>
        </w:rPr>
        <w:t>年间向德国优生学家</w:t>
      </w:r>
      <w:r>
        <w:rPr>
          <w:rFonts w:hint="default" w:ascii="Times New Roman" w:hAnsi="Times New Roman" w:eastAsia="宋体" w:cs="Times New Roman"/>
          <w:spacing w:val="20"/>
          <w:sz w:val="21"/>
          <w:szCs w:val="21"/>
        </w:rPr>
        <w:t>提供</w:t>
      </w:r>
      <w:r>
        <w:rPr>
          <w:rFonts w:hint="default" w:ascii="Times New Roman" w:hAnsi="Times New Roman" w:eastAsia="宋体" w:cs="Times New Roman"/>
          <w:spacing w:val="20"/>
          <w:position w:val="-2"/>
          <w:sz w:val="21"/>
          <w:szCs w:val="21"/>
        </w:rPr>
        <w:t>40</w:t>
      </w:r>
      <w:r>
        <w:rPr>
          <w:rFonts w:hint="default" w:ascii="Times New Roman" w:hAnsi="Times New Roman" w:eastAsia="宋体" w:cs="Times New Roman"/>
          <w:spacing w:val="20"/>
          <w:sz w:val="21"/>
          <w:szCs w:val="21"/>
        </w:rPr>
        <w:t>万美元资助(按现值计算约</w:t>
      </w:r>
      <w:r>
        <w:rPr>
          <w:rFonts w:hint="default" w:ascii="Times New Roman" w:hAnsi="Times New Roman" w:eastAsia="宋体" w:cs="Times New Roman"/>
          <w:spacing w:val="20"/>
          <w:position w:val="-2"/>
          <w:sz w:val="21"/>
          <w:szCs w:val="21"/>
        </w:rPr>
        <w:t>600</w:t>
      </w:r>
      <w:r>
        <w:rPr>
          <w:rFonts w:hint="default" w:ascii="Times New Roman" w:hAnsi="Times New Roman" w:eastAsia="宋体" w:cs="Times New Roman"/>
          <w:spacing w:val="20"/>
          <w:sz w:val="21"/>
          <w:szCs w:val="21"/>
        </w:rPr>
        <w:t>万美元)</w:t>
      </w:r>
      <w:r>
        <w:rPr>
          <w:rFonts w:hint="default" w:ascii="Times New Roman" w:hAnsi="Times New Roman" w:eastAsia="宋体" w:cs="Times New Roman"/>
          <w:spacing w:val="19"/>
          <w:sz w:val="21"/>
          <w:szCs w:val="21"/>
        </w:rPr>
        <w:t>,用于建立种族净化研究网</w:t>
      </w:r>
      <w:r>
        <w:rPr>
          <w:rFonts w:hint="default" w:ascii="Times New Roman" w:hAnsi="Times New Roman" w:eastAsia="宋体" w:cs="Times New Roman"/>
          <w:spacing w:val="20"/>
          <w:sz w:val="21"/>
          <w:szCs w:val="21"/>
        </w:rPr>
        <w:t>络</w:t>
      </w:r>
      <w:r>
        <w:rPr>
          <w:rStyle w:val="20"/>
          <w:rFonts w:hint="default" w:ascii="Times New Roman" w:hAnsi="Times New Roman" w:eastAsia="宋体" w:cs="Times New Roman"/>
          <w:spacing w:val="20"/>
          <w:sz w:val="21"/>
          <w:szCs w:val="21"/>
        </w:rPr>
        <w:footnoteReference w:id="1161"/>
      </w:r>
      <w:r>
        <w:rPr>
          <w:rFonts w:hint="default" w:ascii="Times New Roman" w:hAnsi="Times New Roman" w:eastAsia="宋体" w:cs="Times New Roman"/>
          <w:spacing w:val="20"/>
          <w:position w:val="1"/>
          <w:sz w:val="21"/>
          <w:szCs w:val="21"/>
        </w:rPr>
        <w:t>;</w:t>
      </w:r>
      <w:r>
        <w:rPr>
          <w:rFonts w:hint="default" w:ascii="Times New Roman" w:hAnsi="Times New Roman" w:eastAsia="宋体" w:cs="Times New Roman"/>
          <w:spacing w:val="20"/>
          <w:sz w:val="21"/>
          <w:szCs w:val="21"/>
        </w:rPr>
        <w:t>美国</w:t>
      </w:r>
      <w:r>
        <w:rPr>
          <w:rFonts w:hint="default" w:ascii="Times New Roman" w:hAnsi="Times New Roman" w:eastAsia="宋体" w:cs="Times New Roman"/>
          <w:sz w:val="21"/>
          <w:szCs w:val="21"/>
        </w:rPr>
        <w:t>IBM</w:t>
      </w:r>
      <w:r>
        <w:rPr>
          <w:rFonts w:hint="default" w:ascii="Times New Roman" w:hAnsi="Times New Roman" w:eastAsia="宋体" w:cs="Times New Roman"/>
          <w:spacing w:val="20"/>
          <w:sz w:val="21"/>
          <w:szCs w:val="21"/>
        </w:rPr>
        <w:t>公司则通过霍尔瑞斯制表机(</w:t>
      </w:r>
      <w:r>
        <w:rPr>
          <w:rFonts w:hint="default" w:ascii="Times New Roman" w:hAnsi="Times New Roman" w:eastAsia="宋体" w:cs="Times New Roman"/>
          <w:sz w:val="21"/>
          <w:szCs w:val="21"/>
        </w:rPr>
        <w:t>Ho</w:t>
      </w:r>
      <w:r>
        <w:rPr>
          <w:rFonts w:hint="default" w:ascii="Times New Roman" w:hAnsi="Times New Roman" w:eastAsia="宋体" w:cs="Times New Roman"/>
          <w:position w:val="-2"/>
          <w:sz w:val="21"/>
          <w:szCs w:val="21"/>
        </w:rPr>
        <w:t>llerith</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Machine</w:t>
      </w:r>
      <w:r>
        <w:rPr>
          <w:rFonts w:hint="default" w:ascii="Times New Roman" w:hAnsi="Times New Roman" w:eastAsia="宋体" w:cs="Times New Roman"/>
          <w:spacing w:val="20"/>
          <w:sz w:val="21"/>
          <w:szCs w:val="21"/>
        </w:rPr>
        <w:t>)为纳粹的人</w:t>
      </w:r>
      <w:r>
        <w:rPr>
          <w:rFonts w:hint="default" w:ascii="Times New Roman" w:hAnsi="Times New Roman" w:eastAsia="宋体" w:cs="Times New Roman"/>
          <w:spacing w:val="3"/>
          <w:sz w:val="21"/>
          <w:szCs w:val="21"/>
        </w:rPr>
        <w:t>口登记与种族分类提供技术支持</w:t>
      </w:r>
      <w:r>
        <w:rPr>
          <w:rStyle w:val="20"/>
          <w:rFonts w:hint="default" w:ascii="Times New Roman" w:hAnsi="Times New Roman" w:eastAsia="宋体" w:cs="Times New Roman"/>
          <w:spacing w:val="3"/>
          <w:sz w:val="21"/>
          <w:szCs w:val="21"/>
        </w:rPr>
        <w:footnoteReference w:id="1162"/>
      </w:r>
      <w:r>
        <w:rPr>
          <w:rFonts w:hint="default" w:ascii="Times New Roman" w:hAnsi="Times New Roman" w:eastAsia="宋体" w:cs="Times New Roman"/>
          <w:spacing w:val="3"/>
          <w:sz w:val="21"/>
          <w:szCs w:val="21"/>
        </w:rPr>
        <w:t>。希特勒借重美国的“优生学”为反犹太主</w:t>
      </w:r>
      <w:r>
        <w:rPr>
          <w:rFonts w:hint="default" w:ascii="Times New Roman" w:hAnsi="Times New Roman" w:eastAsia="宋体" w:cs="Times New Roman"/>
          <w:spacing w:val="7"/>
          <w:sz w:val="21"/>
          <w:szCs w:val="21"/>
        </w:rPr>
        <w:t>义提供了伪科学证明。第二次世界大战后,人们终于认识到“优生学”在本质</w:t>
      </w:r>
      <w:r>
        <w:rPr>
          <w:rFonts w:hint="default" w:ascii="Times New Roman" w:hAnsi="Times New Roman" w:eastAsia="宋体" w:cs="Times New Roman"/>
          <w:spacing w:val="2"/>
          <w:sz w:val="21"/>
          <w:szCs w:val="21"/>
        </w:rPr>
        <w:t>上是一种种族灭绝理论</w:t>
      </w:r>
      <w:r>
        <w:rPr>
          <w:rStyle w:val="20"/>
          <w:rFonts w:hint="default" w:ascii="Times New Roman" w:hAnsi="Times New Roman" w:eastAsia="宋体" w:cs="Times New Roman"/>
          <w:spacing w:val="2"/>
          <w:sz w:val="21"/>
          <w:szCs w:val="21"/>
        </w:rPr>
        <w:footnoteReference w:id="1163"/>
      </w:r>
      <w:r>
        <w:rPr>
          <w:rFonts w:hint="default" w:ascii="Times New Roman" w:hAnsi="Times New Roman" w:eastAsia="宋体" w:cs="Times New Roman"/>
          <w:spacing w:val="2"/>
          <w:sz w:val="21"/>
          <w:szCs w:val="21"/>
        </w:rPr>
        <w:t>,“科学种族主义”也好似走到了它的尽头。</w:t>
      </w:r>
    </w:p>
    <w:p w14:paraId="7E59BC6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尽管第二次世界大战后,科学种族主义的丑恶本质被揭露无遗,最终</w:t>
      </w:r>
      <w:r>
        <w:rPr>
          <w:rFonts w:hint="default" w:ascii="Times New Roman" w:hAnsi="Times New Roman" w:eastAsia="宋体" w:cs="Times New Roman"/>
          <w:spacing w:val="11"/>
          <w:sz w:val="21"/>
          <w:szCs w:val="21"/>
        </w:rPr>
        <w:t>导致</w:t>
      </w:r>
      <w:r>
        <w:rPr>
          <w:rFonts w:hint="default" w:ascii="Times New Roman" w:hAnsi="Times New Roman" w:eastAsia="宋体" w:cs="Times New Roman"/>
          <w:spacing w:val="8"/>
          <w:sz w:val="21"/>
          <w:szCs w:val="21"/>
        </w:rPr>
        <w:t>1948年联合国《防止及惩治灭绝种族罪公约》的诞生,但正如</w:t>
      </w:r>
      <w:r>
        <w:rPr>
          <w:rFonts w:hint="default" w:ascii="Times New Roman" w:hAnsi="Times New Roman" w:eastAsia="宋体" w:cs="Times New Roman"/>
          <w:spacing w:val="7"/>
          <w:sz w:val="21"/>
          <w:szCs w:val="21"/>
        </w:rPr>
        <w:t>阿甘本(</w:t>
      </w:r>
      <w:r>
        <w:rPr>
          <w:rFonts w:hint="default" w:ascii="Times New Roman" w:hAnsi="Times New Roman" w:eastAsia="宋体" w:cs="Times New Roman"/>
          <w:sz w:val="21"/>
          <w:szCs w:val="21"/>
        </w:rPr>
        <w:t>Giorgio</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position w:val="-2"/>
          <w:sz w:val="21"/>
          <w:szCs w:val="21"/>
        </w:rPr>
        <w:t>Agamben</w:t>
      </w:r>
      <w:r>
        <w:rPr>
          <w:rFonts w:hint="default" w:ascii="Times New Roman" w:hAnsi="Times New Roman" w:eastAsia="宋体" w:cs="Times New Roman"/>
          <w:spacing w:val="14"/>
          <w:sz w:val="21"/>
          <w:szCs w:val="21"/>
        </w:rPr>
        <w:t>)所警示的,西方知识界将纳粹罪行特殊化的过</w:t>
      </w:r>
      <w:r>
        <w:rPr>
          <w:rFonts w:hint="default" w:ascii="Times New Roman" w:hAnsi="Times New Roman" w:eastAsia="宋体" w:cs="Times New Roman"/>
          <w:spacing w:val="13"/>
          <w:sz w:val="21"/>
          <w:szCs w:val="21"/>
        </w:rPr>
        <w:t>程,其实质是其对西</w:t>
      </w:r>
      <w:r>
        <w:rPr>
          <w:rFonts w:hint="default" w:ascii="Times New Roman" w:hAnsi="Times New Roman" w:eastAsia="宋体" w:cs="Times New Roman"/>
          <w:spacing w:val="2"/>
          <w:sz w:val="21"/>
          <w:szCs w:val="21"/>
        </w:rPr>
        <w:t>方殖民现代性原罪的系统性遮蔽。</w:t>
      </w:r>
      <w:r>
        <w:rPr>
          <w:rStyle w:val="20"/>
          <w:rFonts w:hint="default" w:ascii="Times New Roman" w:hAnsi="Times New Roman" w:eastAsia="宋体" w:cs="Times New Roman"/>
          <w:spacing w:val="2"/>
          <w:sz w:val="21"/>
          <w:szCs w:val="21"/>
        </w:rPr>
        <w:footnoteReference w:id="1164"/>
      </w:r>
      <w:r>
        <w:rPr>
          <w:rFonts w:hint="default" w:ascii="Times New Roman" w:hAnsi="Times New Roman" w:eastAsia="宋体" w:cs="Times New Roman"/>
          <w:spacing w:val="2"/>
          <w:sz w:val="21"/>
          <w:szCs w:val="21"/>
        </w:rPr>
        <w:t>因为纳粹</w:t>
      </w:r>
      <w:r>
        <w:rPr>
          <w:rFonts w:hint="default" w:ascii="Times New Roman" w:hAnsi="Times New Roman" w:eastAsia="宋体" w:cs="Times New Roman"/>
          <w:spacing w:val="1"/>
          <w:sz w:val="21"/>
          <w:szCs w:val="21"/>
        </w:rPr>
        <w:t>的种族主义、优生学、生存空间</w:t>
      </w:r>
      <w:r>
        <w:rPr>
          <w:rFonts w:hint="default" w:ascii="Times New Roman" w:hAnsi="Times New Roman" w:eastAsia="宋体" w:cs="Times New Roman"/>
          <w:spacing w:val="8"/>
          <w:sz w:val="21"/>
          <w:szCs w:val="21"/>
        </w:rPr>
        <w:t>理论、集中营制度,都可以在西方殖民历史</w:t>
      </w:r>
      <w:r>
        <w:rPr>
          <w:rFonts w:hint="default" w:ascii="Times New Roman" w:hAnsi="Times New Roman" w:eastAsia="宋体" w:cs="Times New Roman"/>
          <w:spacing w:val="7"/>
          <w:sz w:val="21"/>
          <w:szCs w:val="21"/>
        </w:rPr>
        <w:t>和帝国主义实践中找到清晰的原型</w:t>
      </w:r>
      <w:r>
        <w:rPr>
          <w:rFonts w:hint="default" w:ascii="Times New Roman" w:hAnsi="Times New Roman" w:eastAsia="宋体" w:cs="Times New Roman"/>
          <w:spacing w:val="6"/>
          <w:sz w:val="21"/>
          <w:szCs w:val="21"/>
        </w:rPr>
        <w:t>和思想根源。通过将纳粹树立为“终极恶魔”,并与之进行彻底的切割和斗争,</w:t>
      </w:r>
      <w:r>
        <w:rPr>
          <w:rFonts w:hint="default" w:ascii="Times New Roman" w:hAnsi="Times New Roman" w:eastAsia="宋体" w:cs="Times New Roman"/>
          <w:spacing w:val="9"/>
          <w:sz w:val="21"/>
          <w:szCs w:val="21"/>
        </w:rPr>
        <w:t>西方主流叙事成功地回避了对西方殖民罪恶</w:t>
      </w:r>
      <w:r>
        <w:rPr>
          <w:rFonts w:hint="default" w:ascii="Times New Roman" w:hAnsi="Times New Roman" w:eastAsia="宋体" w:cs="Times New Roman"/>
          <w:spacing w:val="8"/>
          <w:sz w:val="21"/>
          <w:szCs w:val="21"/>
        </w:rPr>
        <w:t>的全面清算。</w:t>
      </w:r>
    </w:p>
    <w:p w14:paraId="3712794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至今科学种族主义的阴霾依然存在。《钟形曲线:美国生活中的智</w:t>
      </w:r>
      <w:r>
        <w:rPr>
          <w:rFonts w:hint="default" w:ascii="Times New Roman" w:hAnsi="Times New Roman" w:eastAsia="宋体" w:cs="Times New Roman"/>
          <w:spacing w:val="6"/>
          <w:sz w:val="21"/>
          <w:szCs w:val="21"/>
        </w:rPr>
        <w:t>力和阶</w:t>
      </w:r>
      <w:r>
        <w:rPr>
          <w:rFonts w:hint="default" w:ascii="Times New Roman" w:hAnsi="Times New Roman" w:eastAsia="宋体" w:cs="Times New Roman"/>
          <w:spacing w:val="-1"/>
          <w:sz w:val="21"/>
          <w:szCs w:val="21"/>
        </w:rPr>
        <w:t>级结构》(1994年)、《天生的烦恼:基因、种族和人类历史》(2014年)等著作不</w:t>
      </w:r>
      <w:r>
        <w:rPr>
          <w:rFonts w:hint="default" w:ascii="Times New Roman" w:hAnsi="Times New Roman" w:eastAsia="宋体" w:cs="Times New Roman"/>
          <w:spacing w:val="13"/>
          <w:sz w:val="21"/>
          <w:szCs w:val="21"/>
        </w:rPr>
        <w:t>时地用基因等最新科学成就为种族主义辩护;西方尤其</w:t>
      </w:r>
      <w:r>
        <w:rPr>
          <w:rFonts w:hint="default" w:ascii="Times New Roman" w:hAnsi="Times New Roman" w:eastAsia="宋体" w:cs="Times New Roman"/>
          <w:spacing w:val="12"/>
          <w:sz w:val="21"/>
          <w:szCs w:val="21"/>
        </w:rPr>
        <w:t>是美国政坛最近这几</w:t>
      </w:r>
      <w:r>
        <w:rPr>
          <w:rFonts w:hint="default" w:ascii="Times New Roman" w:hAnsi="Times New Roman" w:eastAsia="宋体" w:cs="Times New Roman"/>
          <w:spacing w:val="8"/>
          <w:sz w:val="21"/>
          <w:szCs w:val="21"/>
        </w:rPr>
        <w:t>年不时出现关于“犯罪基因”</w:t>
      </w:r>
      <w:r>
        <w:rPr>
          <w:rStyle w:val="20"/>
          <w:rFonts w:hint="default" w:ascii="Times New Roman" w:hAnsi="Times New Roman" w:eastAsia="宋体" w:cs="Times New Roman"/>
          <w:spacing w:val="8"/>
          <w:sz w:val="21"/>
          <w:szCs w:val="21"/>
        </w:rPr>
        <w:footnoteReference w:id="1165"/>
      </w:r>
      <w:r>
        <w:rPr>
          <w:rFonts w:hint="default" w:ascii="Times New Roman" w:hAnsi="Times New Roman" w:eastAsia="宋体" w:cs="Times New Roman"/>
          <w:spacing w:val="8"/>
          <w:sz w:val="21"/>
          <w:szCs w:val="21"/>
        </w:rPr>
        <w:t>的公开讨论表明,科学种族主义作为一种意识</w:t>
      </w:r>
      <w:r>
        <w:rPr>
          <w:rFonts w:hint="default" w:ascii="Times New Roman" w:hAnsi="Times New Roman" w:eastAsia="宋体" w:cs="Times New Roman"/>
          <w:spacing w:val="14"/>
          <w:sz w:val="21"/>
          <w:szCs w:val="21"/>
        </w:rPr>
        <w:t>形态是不会轻易退出历史舞台的。这使人们认识到,</w:t>
      </w:r>
      <w:r>
        <w:rPr>
          <w:rFonts w:hint="default" w:ascii="Times New Roman" w:hAnsi="Times New Roman" w:eastAsia="宋体" w:cs="Times New Roman"/>
          <w:spacing w:val="13"/>
          <w:sz w:val="21"/>
          <w:szCs w:val="21"/>
        </w:rPr>
        <w:t>反对这类种族主义不仅</w:t>
      </w:r>
      <w:r>
        <w:rPr>
          <w:rFonts w:hint="default" w:ascii="Times New Roman" w:hAnsi="Times New Roman" w:eastAsia="宋体" w:cs="Times New Roman"/>
          <w:spacing w:val="8"/>
          <w:sz w:val="21"/>
          <w:szCs w:val="21"/>
        </w:rPr>
        <w:t>需要在科学上更需要在科学之外进行不懈的斗争。</w:t>
      </w:r>
    </w:p>
    <w:p w14:paraId="751A08C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b/>
          <w:bCs/>
          <w:spacing w:val="12"/>
          <w:sz w:val="21"/>
          <w:szCs w:val="21"/>
        </w:rPr>
        <w:t>(三)文化种族主义:后殖民时代种族等级制的再生产</w:t>
      </w:r>
    </w:p>
    <w:p w14:paraId="5C6289E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现在的西方国家尤其是美国之所以被视为带有“超级多样性”的“多种族</w:t>
      </w:r>
      <w:r>
        <w:rPr>
          <w:rFonts w:hint="default" w:ascii="Times New Roman" w:hAnsi="Times New Roman" w:eastAsia="宋体" w:cs="Times New Roman"/>
          <w:spacing w:val="13"/>
          <w:sz w:val="21"/>
          <w:szCs w:val="21"/>
        </w:rPr>
        <w:t>社会”,在某种程度上是第二次世界大战的产物</w:t>
      </w:r>
      <w:r>
        <w:rPr>
          <w:rStyle w:val="20"/>
          <w:rFonts w:hint="default" w:ascii="Times New Roman" w:hAnsi="Times New Roman" w:eastAsia="宋体" w:cs="Times New Roman"/>
          <w:spacing w:val="13"/>
          <w:sz w:val="21"/>
          <w:szCs w:val="21"/>
        </w:rPr>
        <w:footnoteReference w:id="1166"/>
      </w:r>
      <w:r>
        <w:rPr>
          <w:rFonts w:hint="default" w:ascii="Times New Roman" w:hAnsi="Times New Roman" w:eastAsia="宋体" w:cs="Times New Roman"/>
          <w:spacing w:val="13"/>
          <w:sz w:val="21"/>
          <w:szCs w:val="21"/>
        </w:rPr>
        <w:t>:战争在后期演变为反法西</w:t>
      </w:r>
      <w:r>
        <w:rPr>
          <w:rFonts w:hint="default" w:ascii="Times New Roman" w:hAnsi="Times New Roman" w:eastAsia="宋体" w:cs="Times New Roman"/>
          <w:spacing w:val="12"/>
          <w:sz w:val="21"/>
          <w:szCs w:val="21"/>
        </w:rPr>
        <w:t>斯战争,不同种族、不同民族的人并肩作战,加之战后有大量移民涌向</w:t>
      </w:r>
      <w:r>
        <w:rPr>
          <w:rFonts w:hint="default" w:ascii="Times New Roman" w:hAnsi="Times New Roman" w:eastAsia="宋体" w:cs="Times New Roman"/>
          <w:spacing w:val="11"/>
          <w:sz w:val="21"/>
          <w:szCs w:val="21"/>
        </w:rPr>
        <w:t>西方国</w:t>
      </w:r>
      <w:r>
        <w:rPr>
          <w:rFonts w:hint="default" w:ascii="Times New Roman" w:hAnsi="Times New Roman" w:eastAsia="宋体" w:cs="Times New Roman"/>
          <w:spacing w:val="12"/>
          <w:sz w:val="21"/>
          <w:szCs w:val="21"/>
        </w:rPr>
        <w:t>家,种族隔阂得以缩小。此外,旧殖民体系的崩溃、社会主义阵营的强</w:t>
      </w:r>
      <w:r>
        <w:rPr>
          <w:rFonts w:hint="default" w:ascii="Times New Roman" w:hAnsi="Times New Roman" w:eastAsia="宋体" w:cs="Times New Roman"/>
          <w:spacing w:val="11"/>
          <w:sz w:val="21"/>
          <w:szCs w:val="21"/>
        </w:rPr>
        <w:t>大及民</w:t>
      </w:r>
      <w:r>
        <w:rPr>
          <w:rFonts w:hint="default" w:ascii="Times New Roman" w:hAnsi="Times New Roman" w:eastAsia="宋体" w:cs="Times New Roman"/>
          <w:spacing w:val="14"/>
          <w:sz w:val="21"/>
          <w:szCs w:val="21"/>
        </w:rPr>
        <w:t>权运动等因素共同推动了种族隔离制度的废除,从而使</w:t>
      </w:r>
      <w:r>
        <w:rPr>
          <w:rFonts w:hint="default" w:ascii="Times New Roman" w:hAnsi="Times New Roman" w:eastAsia="宋体" w:cs="Times New Roman"/>
          <w:spacing w:val="13"/>
          <w:sz w:val="21"/>
          <w:szCs w:val="21"/>
        </w:rPr>
        <w:t>西方种族关系相应地</w:t>
      </w:r>
      <w:r>
        <w:rPr>
          <w:rFonts w:hint="default" w:ascii="Times New Roman" w:hAnsi="Times New Roman" w:eastAsia="宋体" w:cs="Times New Roman"/>
          <w:spacing w:val="14"/>
          <w:sz w:val="21"/>
          <w:szCs w:val="21"/>
        </w:rPr>
        <w:t>出现了三大变化:一是不同种族之间的社会经济地位和</w:t>
      </w:r>
      <w:r>
        <w:rPr>
          <w:rFonts w:hint="default" w:ascii="Times New Roman" w:hAnsi="Times New Roman" w:eastAsia="宋体" w:cs="Times New Roman"/>
          <w:spacing w:val="13"/>
          <w:sz w:val="21"/>
          <w:szCs w:val="21"/>
        </w:rPr>
        <w:t>生活水平的差距有所</w:t>
      </w:r>
      <w:r>
        <w:rPr>
          <w:rFonts w:hint="default" w:ascii="Times New Roman" w:hAnsi="Times New Roman" w:eastAsia="宋体" w:cs="Times New Roman"/>
          <w:spacing w:val="12"/>
          <w:sz w:val="21"/>
          <w:szCs w:val="21"/>
        </w:rPr>
        <w:t>缩小,但差别仍然存在;二是异族频繁通婚使人种的生物特征出现逐渐</w:t>
      </w:r>
      <w:r>
        <w:rPr>
          <w:rFonts w:hint="default" w:ascii="Times New Roman" w:hAnsi="Times New Roman" w:eastAsia="宋体" w:cs="Times New Roman"/>
          <w:spacing w:val="11"/>
          <w:sz w:val="21"/>
          <w:szCs w:val="21"/>
        </w:rPr>
        <w:t>模糊化的趋势;三是与人们身份的其他因素相比,</w:t>
      </w:r>
      <w:r>
        <w:rPr>
          <w:rFonts w:hint="default" w:ascii="Times New Roman" w:hAnsi="Times New Roman" w:eastAsia="宋体" w:cs="Times New Roman"/>
          <w:spacing w:val="10"/>
          <w:sz w:val="21"/>
          <w:szCs w:val="21"/>
        </w:rPr>
        <w:t>种族属性的重要性渐趋下降。</w:t>
      </w:r>
      <w:r>
        <w:rPr>
          <w:rStyle w:val="20"/>
          <w:rFonts w:hint="default" w:ascii="Times New Roman" w:hAnsi="Times New Roman" w:eastAsia="宋体" w:cs="Times New Roman"/>
          <w:spacing w:val="10"/>
          <w:sz w:val="21"/>
          <w:szCs w:val="21"/>
        </w:rPr>
        <w:footnoteReference w:id="1167"/>
      </w:r>
      <w:r>
        <w:rPr>
          <w:rFonts w:hint="default" w:ascii="Times New Roman" w:hAnsi="Times New Roman" w:eastAsia="宋体" w:cs="Times New Roman"/>
          <w:spacing w:val="10"/>
          <w:sz w:val="21"/>
          <w:szCs w:val="21"/>
        </w:rPr>
        <w:t>在</w:t>
      </w:r>
      <w:r>
        <w:rPr>
          <w:rFonts w:hint="default" w:ascii="Times New Roman" w:hAnsi="Times New Roman" w:eastAsia="宋体" w:cs="Times New Roman"/>
          <w:spacing w:val="6"/>
          <w:sz w:val="21"/>
          <w:szCs w:val="21"/>
        </w:rPr>
        <w:t>这一背景下,种族主义成为过街老鼠,“种族”平等、平权逐渐成为</w:t>
      </w:r>
      <w:r>
        <w:rPr>
          <w:rFonts w:hint="default" w:ascii="Times New Roman" w:hAnsi="Times New Roman" w:eastAsia="宋体" w:cs="Times New Roman"/>
          <w:spacing w:val="5"/>
          <w:sz w:val="21"/>
          <w:szCs w:val="21"/>
        </w:rPr>
        <w:t>社会主流意</w:t>
      </w:r>
      <w:r>
        <w:rPr>
          <w:rFonts w:hint="default" w:ascii="Times New Roman" w:hAnsi="Times New Roman" w:eastAsia="宋体" w:cs="Times New Roman"/>
          <w:spacing w:val="12"/>
          <w:sz w:val="21"/>
          <w:szCs w:val="21"/>
        </w:rPr>
        <w:t>识。但在当今西方社会,仍然存在一个悖论,即尽管表现为或</w:t>
      </w:r>
      <w:r>
        <w:rPr>
          <w:rFonts w:hint="default" w:ascii="Times New Roman" w:hAnsi="Times New Roman" w:eastAsia="宋体" w:cs="Times New Roman"/>
          <w:spacing w:val="11"/>
          <w:sz w:val="21"/>
          <w:szCs w:val="21"/>
        </w:rPr>
        <w:t>自称为种族主义者的人极少,种族主义仍然普遍存在。其原</w:t>
      </w:r>
      <w:r>
        <w:rPr>
          <w:rFonts w:hint="default" w:ascii="Times New Roman" w:hAnsi="Times New Roman" w:eastAsia="宋体" w:cs="Times New Roman"/>
          <w:spacing w:val="10"/>
          <w:sz w:val="21"/>
          <w:szCs w:val="21"/>
        </w:rPr>
        <w:t>因何在?</w:t>
      </w:r>
    </w:p>
    <w:p w14:paraId="57E364E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第二次世界大战后,科学种族主义全面破产</w:t>
      </w:r>
      <w:r>
        <w:rPr>
          <w:rFonts w:hint="default" w:ascii="Times New Roman" w:hAnsi="Times New Roman" w:eastAsia="宋体" w:cs="Times New Roman"/>
          <w:spacing w:val="4"/>
          <w:sz w:val="21"/>
          <w:szCs w:val="21"/>
        </w:rPr>
        <w:t>。</w:t>
      </w:r>
      <w:r>
        <w:rPr>
          <w:rFonts w:hint="default" w:ascii="Times New Roman" w:hAnsi="Times New Roman" w:eastAsia="宋体" w:cs="Times New Roman"/>
          <w:spacing w:val="4"/>
          <w:position w:val="-2"/>
          <w:sz w:val="21"/>
          <w:szCs w:val="21"/>
        </w:rPr>
        <w:t>1948</w:t>
      </w:r>
      <w:r>
        <w:rPr>
          <w:rFonts w:hint="default" w:ascii="Times New Roman" w:hAnsi="Times New Roman" w:eastAsia="宋体" w:cs="Times New Roman"/>
          <w:spacing w:val="4"/>
          <w:sz w:val="21"/>
          <w:szCs w:val="21"/>
        </w:rPr>
        <w:t>年《世界人权宣言》明</w:t>
      </w:r>
      <w:r>
        <w:rPr>
          <w:rFonts w:hint="default" w:ascii="Times New Roman" w:hAnsi="Times New Roman" w:eastAsia="宋体" w:cs="Times New Roman"/>
          <w:spacing w:val="14"/>
          <w:sz w:val="21"/>
          <w:szCs w:val="21"/>
        </w:rPr>
        <w:t>确禁止基于种族的歧视;民族解放运动催生了非殖民化运动,</w:t>
      </w:r>
      <w:r>
        <w:rPr>
          <w:rFonts w:hint="default" w:ascii="Times New Roman" w:hAnsi="Times New Roman" w:eastAsia="宋体" w:cs="Times New Roman"/>
          <w:spacing w:val="14"/>
          <w:position w:val="-2"/>
          <w:sz w:val="21"/>
          <w:szCs w:val="21"/>
        </w:rPr>
        <w:t>37</w:t>
      </w:r>
      <w:r>
        <w:rPr>
          <w:rFonts w:hint="default" w:ascii="Times New Roman" w:hAnsi="Times New Roman" w:eastAsia="宋体" w:cs="Times New Roman"/>
          <w:spacing w:val="14"/>
          <w:sz w:val="21"/>
          <w:szCs w:val="21"/>
        </w:rPr>
        <w:t>个非洲国家</w:t>
      </w:r>
      <w:r>
        <w:rPr>
          <w:rFonts w:hint="default" w:ascii="Times New Roman" w:hAnsi="Times New Roman" w:eastAsia="宋体" w:cs="Times New Roman"/>
          <w:spacing w:val="12"/>
          <w:sz w:val="21"/>
          <w:szCs w:val="21"/>
        </w:rPr>
        <w:t>在</w:t>
      </w:r>
      <w:r>
        <w:rPr>
          <w:rFonts w:hint="default" w:ascii="Times New Roman" w:hAnsi="Times New Roman" w:eastAsia="宋体" w:cs="Times New Roman"/>
          <w:spacing w:val="12"/>
          <w:position w:val="-2"/>
          <w:sz w:val="21"/>
          <w:szCs w:val="21"/>
        </w:rPr>
        <w:t>20</w:t>
      </w:r>
      <w:r>
        <w:rPr>
          <w:rFonts w:hint="default" w:ascii="Times New Roman" w:hAnsi="Times New Roman" w:eastAsia="宋体" w:cs="Times New Roman"/>
          <w:spacing w:val="12"/>
          <w:sz w:val="21"/>
          <w:szCs w:val="21"/>
        </w:rPr>
        <w:t>世纪</w:t>
      </w:r>
      <w:r>
        <w:rPr>
          <w:rFonts w:hint="default" w:ascii="Times New Roman" w:hAnsi="Times New Roman" w:eastAsia="宋体" w:cs="Times New Roman"/>
          <w:spacing w:val="12"/>
          <w:position w:val="-2"/>
          <w:sz w:val="21"/>
          <w:szCs w:val="21"/>
        </w:rPr>
        <w:t>60</w:t>
      </w:r>
      <w:r>
        <w:rPr>
          <w:rFonts w:hint="default" w:ascii="Times New Roman" w:hAnsi="Times New Roman" w:eastAsia="宋体" w:cs="Times New Roman"/>
          <w:spacing w:val="12"/>
          <w:sz w:val="21"/>
          <w:szCs w:val="21"/>
        </w:rPr>
        <w:t>年代独立,迫使西方将统治策略从直接殖民</w:t>
      </w:r>
      <w:r>
        <w:rPr>
          <w:rFonts w:hint="default" w:ascii="Times New Roman" w:hAnsi="Times New Roman" w:eastAsia="宋体" w:cs="Times New Roman"/>
          <w:spacing w:val="11"/>
          <w:sz w:val="21"/>
          <w:szCs w:val="21"/>
        </w:rPr>
        <w:t>转向文化霸权</w:t>
      </w:r>
      <w:r>
        <w:rPr>
          <w:rStyle w:val="20"/>
          <w:rFonts w:hint="default" w:ascii="Times New Roman" w:hAnsi="Times New Roman" w:eastAsia="宋体" w:cs="Times New Roman"/>
          <w:spacing w:val="11"/>
          <w:sz w:val="21"/>
          <w:szCs w:val="21"/>
        </w:rPr>
        <w:footnoteReference w:id="1168"/>
      </w:r>
      <w:r>
        <w:rPr>
          <w:rFonts w:hint="default" w:ascii="Times New Roman" w:hAnsi="Times New Roman" w:eastAsia="宋体" w:cs="Times New Roman"/>
          <w:spacing w:val="11"/>
          <w:sz w:val="21"/>
          <w:szCs w:val="21"/>
        </w:rPr>
        <w:t>;资</w:t>
      </w:r>
      <w:r>
        <w:rPr>
          <w:rFonts w:hint="default" w:ascii="Times New Roman" w:hAnsi="Times New Roman" w:eastAsia="宋体" w:cs="Times New Roman"/>
          <w:spacing w:val="10"/>
          <w:sz w:val="21"/>
          <w:szCs w:val="21"/>
        </w:rPr>
        <w:t>本全球化需要消解种族隔离制度对劳动力自由流动的阻碍,同时维持中心—</w:t>
      </w:r>
      <w:r>
        <w:rPr>
          <w:rFonts w:hint="default" w:ascii="Times New Roman" w:hAnsi="Times New Roman" w:eastAsia="宋体" w:cs="Times New Roman"/>
          <w:spacing w:val="-3"/>
          <w:sz w:val="21"/>
          <w:szCs w:val="21"/>
        </w:rPr>
        <w:t>边缘的世界体系。</w:t>
      </w:r>
      <w:r>
        <w:rPr>
          <w:rStyle w:val="20"/>
          <w:rFonts w:hint="default" w:ascii="Times New Roman" w:hAnsi="Times New Roman" w:eastAsia="宋体" w:cs="Times New Roman"/>
          <w:spacing w:val="-3"/>
          <w:sz w:val="21"/>
          <w:szCs w:val="21"/>
        </w:rPr>
        <w:footnoteReference w:id="1169"/>
      </w:r>
    </w:p>
    <w:p w14:paraId="0B517AB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在此背景下,文化种族主义走上前台。传统上,人们对种族主义者的定义</w:t>
      </w:r>
      <w:r>
        <w:rPr>
          <w:rFonts w:hint="default" w:ascii="Times New Roman" w:hAnsi="Times New Roman" w:eastAsia="宋体" w:cs="Times New Roman"/>
          <w:spacing w:val="15"/>
          <w:sz w:val="21"/>
          <w:szCs w:val="21"/>
        </w:rPr>
        <w:t>仍然是指那些相信某种族在遗传上优于其他种族并借以歧视与排斥后者的</w:t>
      </w:r>
      <w:r>
        <w:rPr>
          <w:rFonts w:hint="default" w:ascii="Times New Roman" w:hAnsi="Times New Roman" w:eastAsia="宋体" w:cs="Times New Roman"/>
          <w:spacing w:val="14"/>
          <w:sz w:val="21"/>
          <w:szCs w:val="21"/>
        </w:rPr>
        <w:t>人。但新的种族主义者大多通过维护文化独特性</w:t>
      </w:r>
      <w:r>
        <w:rPr>
          <w:rFonts w:hint="default" w:ascii="Times New Roman" w:hAnsi="Times New Roman" w:eastAsia="宋体" w:cs="Times New Roman"/>
          <w:spacing w:val="13"/>
          <w:sz w:val="21"/>
          <w:szCs w:val="21"/>
        </w:rPr>
        <w:t>来表达其观点,这些观点尽</w:t>
      </w:r>
      <w:r>
        <w:rPr>
          <w:rFonts w:hint="default" w:ascii="Times New Roman" w:hAnsi="Times New Roman" w:eastAsia="宋体" w:cs="Times New Roman"/>
          <w:spacing w:val="12"/>
          <w:sz w:val="21"/>
          <w:szCs w:val="21"/>
        </w:rPr>
        <w:t>管不符合科学种族主义的定义,却以一种文化性的幌子实施种族</w:t>
      </w:r>
      <w:r>
        <w:rPr>
          <w:rFonts w:hint="default" w:ascii="Times New Roman" w:hAnsi="Times New Roman" w:eastAsia="宋体" w:cs="Times New Roman"/>
          <w:spacing w:val="11"/>
          <w:sz w:val="21"/>
          <w:szCs w:val="21"/>
        </w:rPr>
        <w:t>歧视,这正是</w:t>
      </w:r>
      <w:r>
        <w:rPr>
          <w:rFonts w:hint="default" w:ascii="Times New Roman" w:hAnsi="Times New Roman" w:eastAsia="宋体" w:cs="Times New Roman"/>
          <w:spacing w:val="6"/>
          <w:sz w:val="21"/>
          <w:szCs w:val="21"/>
        </w:rPr>
        <w:t>文化种族主义的本质。</w:t>
      </w:r>
    </w:p>
    <w:p w14:paraId="26B9CBA7">
      <w:pPr>
        <w:pStyle w:val="6"/>
        <w:keepNext w:val="0"/>
        <w:keepLines w:val="0"/>
        <w:pageBreakBefore w:val="0"/>
        <w:widowControl/>
        <w:tabs>
          <w:tab w:val="left" w:pos="1184"/>
          <w:tab w:val="left" w:pos="8275"/>
        </w:tabs>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首先,文化种族主义否认种族优劣在生物学上的相关性,它不采纳纳粹的</w:t>
      </w:r>
      <w:r>
        <w:rPr>
          <w:rFonts w:hint="default" w:ascii="Times New Roman" w:hAnsi="Times New Roman" w:eastAsia="宋体" w:cs="Times New Roman"/>
          <w:spacing w:val="9"/>
          <w:sz w:val="21"/>
          <w:szCs w:val="21"/>
        </w:rPr>
        <w:t>学说或不提倡种族仇恨,甚至于赞同人人平等,提倡忽视种族差异的“</w:t>
      </w:r>
      <w:r>
        <w:rPr>
          <w:rFonts w:hint="default" w:ascii="Times New Roman" w:hAnsi="Times New Roman" w:eastAsia="宋体" w:cs="Times New Roman"/>
          <w:spacing w:val="8"/>
          <w:sz w:val="21"/>
          <w:szCs w:val="21"/>
        </w:rPr>
        <w:t>色盲”和</w:t>
      </w:r>
      <w:r>
        <w:rPr>
          <w:rFonts w:hint="default" w:ascii="Times New Roman" w:hAnsi="Times New Roman" w:eastAsia="宋体" w:cs="Times New Roman"/>
          <w:spacing w:val="3"/>
          <w:sz w:val="21"/>
          <w:szCs w:val="21"/>
        </w:rPr>
        <w:t>“种族中立”。其次,文化种族主义认为不同族群存在不同文化,它“以文</w:t>
      </w:r>
      <w:r>
        <w:rPr>
          <w:rFonts w:hint="default" w:ascii="Times New Roman" w:hAnsi="Times New Roman" w:eastAsia="宋体" w:cs="Times New Roman"/>
          <w:spacing w:val="2"/>
          <w:sz w:val="21"/>
          <w:szCs w:val="21"/>
        </w:rPr>
        <w:t>化的特</w:t>
      </w:r>
      <w:r>
        <w:rPr>
          <w:rFonts w:hint="default" w:ascii="Times New Roman" w:hAnsi="Times New Roman" w:eastAsia="宋体" w:cs="Times New Roman"/>
          <w:spacing w:val="-9"/>
          <w:sz w:val="21"/>
          <w:szCs w:val="21"/>
        </w:rPr>
        <w:t>征(习俗、语言、宗教等)”或“文化多元论”为基础、</w:t>
      </w:r>
      <w:r>
        <w:rPr>
          <w:rFonts w:hint="default" w:ascii="Times New Roman" w:hAnsi="Times New Roman" w:eastAsia="宋体" w:cs="Times New Roman"/>
          <w:spacing w:val="-10"/>
          <w:sz w:val="21"/>
          <w:szCs w:val="21"/>
        </w:rPr>
        <w:t>强调“文化差别权”。为尊重</w:t>
      </w:r>
      <w:r>
        <w:rPr>
          <w:rFonts w:hint="default" w:ascii="Times New Roman" w:hAnsi="Times New Roman" w:eastAsia="宋体" w:cs="Times New Roman"/>
          <w:spacing w:val="9"/>
          <w:sz w:val="21"/>
          <w:szCs w:val="21"/>
        </w:rPr>
        <w:t>文化多样性和“差别权”,不同文化之间应该相互绝缘,</w:t>
      </w:r>
      <w:r>
        <w:rPr>
          <w:rFonts w:hint="default" w:ascii="Times New Roman" w:hAnsi="Times New Roman" w:eastAsia="宋体" w:cs="Times New Roman"/>
          <w:spacing w:val="8"/>
          <w:sz w:val="21"/>
          <w:szCs w:val="21"/>
        </w:rPr>
        <w:t>否则就会造成身份认同</w:t>
      </w:r>
      <w:r>
        <w:rPr>
          <w:rFonts w:hint="default" w:ascii="Times New Roman" w:hAnsi="Times New Roman" w:eastAsia="宋体" w:cs="Times New Roman"/>
          <w:spacing w:val="13"/>
          <w:sz w:val="21"/>
          <w:szCs w:val="21"/>
        </w:rPr>
        <w:t>的退化和丧失。因此,文化种族主义通过强化文化边界(如“移民威胁本土文</w:t>
      </w:r>
      <w:r>
        <w:rPr>
          <w:rFonts w:hint="default" w:ascii="Times New Roman" w:hAnsi="Times New Roman" w:eastAsia="宋体" w:cs="Times New Roman"/>
          <w:spacing w:val="15"/>
          <w:sz w:val="21"/>
          <w:szCs w:val="21"/>
        </w:rPr>
        <w:t>化”),以保护多样性之名行排斥之实(如反移民政策</w:t>
      </w:r>
      <w:r>
        <w:rPr>
          <w:rFonts w:hint="default" w:ascii="Times New Roman" w:hAnsi="Times New Roman" w:eastAsia="宋体" w:cs="Times New Roman"/>
          <w:spacing w:val="14"/>
          <w:sz w:val="21"/>
          <w:szCs w:val="21"/>
        </w:rPr>
        <w:t>)。法国哲学家皮埃尔</w:t>
      </w:r>
      <w:r>
        <w:rPr>
          <w:rFonts w:hint="default" w:ascii="Times New Roman" w:hAnsi="Times New Roman" w:eastAsia="宋体" w:cs="Times New Roman"/>
          <w:spacing w:val="14"/>
          <w:position w:val="-2"/>
          <w:sz w:val="21"/>
          <w:szCs w:val="21"/>
        </w:rPr>
        <w:t>-</w:t>
      </w:r>
      <w:r>
        <w:rPr>
          <w:rFonts w:hint="default" w:ascii="Times New Roman" w:hAnsi="Times New Roman" w:eastAsia="宋体" w:cs="Times New Roman"/>
          <w:spacing w:val="10"/>
          <w:sz w:val="21"/>
          <w:szCs w:val="21"/>
        </w:rPr>
        <w:t>安德烈</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sz w:val="21"/>
          <w:szCs w:val="21"/>
        </w:rPr>
        <w:t>塔吉耶夫(</w:t>
      </w:r>
      <w:r>
        <w:rPr>
          <w:rFonts w:hint="default" w:ascii="Times New Roman" w:hAnsi="Times New Roman" w:eastAsia="宋体" w:cs="Times New Roman"/>
          <w:sz w:val="21"/>
          <w:szCs w:val="21"/>
        </w:rPr>
        <w:t>Pierre</w:t>
      </w:r>
      <w:r>
        <w:rPr>
          <w:rFonts w:hint="default" w:ascii="Times New Roman" w:hAnsi="Times New Roman" w:eastAsia="宋体" w:cs="Times New Roman"/>
          <w:spacing w:val="10"/>
          <w:position w:val="-2"/>
          <w:sz w:val="21"/>
          <w:szCs w:val="21"/>
        </w:rPr>
        <w:t>-</w:t>
      </w:r>
      <w:r>
        <w:rPr>
          <w:rFonts w:hint="default" w:ascii="Times New Roman" w:hAnsi="Times New Roman" w:eastAsia="宋体" w:cs="Times New Roman"/>
          <w:position w:val="-2"/>
          <w:sz w:val="21"/>
          <w:szCs w:val="21"/>
        </w:rPr>
        <w:t>Andr</w:t>
      </w:r>
      <w:r>
        <w:rPr>
          <w:rFonts w:hint="default" w:ascii="Times New Roman" w:hAnsi="Times New Roman" w:eastAsia="宋体" w:cs="Times New Roman"/>
          <w:spacing w:val="10"/>
          <w:position w:val="-2"/>
          <w:sz w:val="21"/>
          <w:szCs w:val="21"/>
        </w:rPr>
        <w:t>é</w:t>
      </w:r>
      <w:r>
        <w:rPr>
          <w:rFonts w:hint="eastAsia" w:ascii="Times New Roman" w:hAnsi="Times New Roman" w:eastAsia="宋体" w:cs="Times New Roman"/>
          <w:spacing w:val="10"/>
          <w:position w:val="-2"/>
          <w:sz w:val="21"/>
          <w:szCs w:val="21"/>
          <w:lang w:val="en-US" w:eastAsia="zh-CN"/>
        </w:rPr>
        <w:t xml:space="preserve"> </w:t>
      </w:r>
      <w:r>
        <w:rPr>
          <w:rFonts w:hint="default" w:ascii="Times New Roman" w:hAnsi="Times New Roman" w:eastAsia="宋体" w:cs="Times New Roman"/>
          <w:position w:val="-2"/>
          <w:sz w:val="21"/>
          <w:szCs w:val="21"/>
        </w:rPr>
        <w:t>Taguie</w:t>
      </w:r>
      <w:r>
        <w:rPr>
          <w:rFonts w:hint="default" w:ascii="Times New Roman" w:hAnsi="Times New Roman" w:eastAsia="宋体" w:cs="Times New Roman"/>
          <w:sz w:val="21"/>
          <w:szCs w:val="21"/>
        </w:rPr>
        <w:t>ff</w:t>
      </w:r>
      <w:r>
        <w:rPr>
          <w:rFonts w:hint="default" w:ascii="Times New Roman" w:hAnsi="Times New Roman" w:eastAsia="宋体" w:cs="Times New Roman"/>
          <w:spacing w:val="10"/>
          <w:sz w:val="21"/>
          <w:szCs w:val="21"/>
        </w:rPr>
        <w:t>)将其称为</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sz w:val="21"/>
          <w:szCs w:val="21"/>
        </w:rPr>
        <w:t>差异种族</w:t>
      </w:r>
      <w:r>
        <w:rPr>
          <w:rFonts w:hint="default" w:ascii="Times New Roman" w:hAnsi="Times New Roman" w:eastAsia="宋体" w:cs="Times New Roman"/>
          <w:spacing w:val="9"/>
          <w:sz w:val="21"/>
          <w:szCs w:val="21"/>
        </w:rPr>
        <w:t>主义</w:t>
      </w:r>
      <w:r>
        <w:rPr>
          <w:rFonts w:hint="default" w:ascii="Times New Roman" w:hAnsi="Times New Roman" w:eastAsia="宋体" w:cs="Times New Roman"/>
          <w:spacing w:val="9"/>
          <w:position w:val="1"/>
          <w:sz w:val="21"/>
          <w:szCs w:val="21"/>
        </w:rPr>
        <w:t>”</w:t>
      </w:r>
      <w:r>
        <w:rPr>
          <w:rFonts w:hint="default" w:ascii="Times New Roman" w:hAnsi="Times New Roman" w:eastAsia="宋体" w:cs="Times New Roman"/>
          <w:spacing w:val="9"/>
          <w:sz w:val="21"/>
          <w:szCs w:val="21"/>
        </w:rPr>
        <w:t>,即通过</w:t>
      </w:r>
      <w:r>
        <w:rPr>
          <w:rFonts w:hint="default" w:ascii="Times New Roman" w:hAnsi="Times New Roman" w:eastAsia="宋体" w:cs="Times New Roman"/>
          <w:spacing w:val="18"/>
          <w:sz w:val="21"/>
          <w:szCs w:val="21"/>
        </w:rPr>
        <w:t>赞美差异来强化种族隔离。</w:t>
      </w:r>
      <w:r>
        <w:rPr>
          <w:rStyle w:val="20"/>
          <w:rFonts w:hint="default" w:ascii="Times New Roman" w:hAnsi="Times New Roman" w:eastAsia="宋体" w:cs="Times New Roman"/>
          <w:spacing w:val="18"/>
          <w:sz w:val="21"/>
          <w:szCs w:val="21"/>
        </w:rPr>
        <w:footnoteReference w:id="1170"/>
      </w:r>
      <w:r>
        <w:rPr>
          <w:rFonts w:hint="default" w:ascii="Times New Roman" w:hAnsi="Times New Roman" w:eastAsia="宋体" w:cs="Times New Roman"/>
          <w:spacing w:val="18"/>
          <w:sz w:val="21"/>
          <w:szCs w:val="21"/>
        </w:rPr>
        <w:t>最后,文化种族主义</w:t>
      </w:r>
      <w:r>
        <w:rPr>
          <w:rFonts w:hint="default" w:ascii="Times New Roman" w:hAnsi="Times New Roman" w:eastAsia="宋体" w:cs="Times New Roman"/>
          <w:spacing w:val="17"/>
          <w:sz w:val="21"/>
          <w:szCs w:val="21"/>
        </w:rPr>
        <w:t>以文化意义上的“族群”</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position w:val="-1"/>
          <w:sz w:val="21"/>
          <w:szCs w:val="21"/>
        </w:rPr>
        <w:t>ETh</w:t>
      </w:r>
      <w:r>
        <w:rPr>
          <w:rFonts w:hint="default" w:ascii="Times New Roman" w:hAnsi="Times New Roman" w:eastAsia="宋体" w:cs="Times New Roman"/>
          <w:sz w:val="21"/>
          <w:szCs w:val="21"/>
        </w:rPr>
        <w:t>nicity</w:t>
      </w:r>
      <w:r>
        <w:rPr>
          <w:rFonts w:hint="default" w:ascii="Times New Roman" w:hAnsi="Times New Roman" w:eastAsia="宋体" w:cs="Times New Roman"/>
          <w:spacing w:val="6"/>
          <w:sz w:val="21"/>
          <w:szCs w:val="21"/>
        </w:rPr>
        <w:t>,也可译为民族或族裔)取代生物学上的</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种族</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w:t>
      </w:r>
      <w:r>
        <w:rPr>
          <w:rFonts w:hint="default" w:ascii="Times New Roman" w:hAnsi="Times New Roman" w:eastAsia="宋体" w:cs="Times New Roman"/>
          <w:sz w:val="21"/>
          <w:szCs w:val="21"/>
        </w:rPr>
        <w:t>R</w:t>
      </w:r>
      <w:r>
        <w:rPr>
          <w:rFonts w:hint="default" w:ascii="Times New Roman" w:hAnsi="Times New Roman" w:eastAsia="宋体" w:cs="Times New Roman"/>
          <w:position w:val="-2"/>
          <w:sz w:val="21"/>
          <w:szCs w:val="21"/>
        </w:rPr>
        <w:t>ace</w:t>
      </w:r>
      <w:r>
        <w:rPr>
          <w:rFonts w:hint="default" w:ascii="Times New Roman" w:hAnsi="Times New Roman" w:eastAsia="宋体" w:cs="Times New Roman"/>
          <w:spacing w:val="6"/>
          <w:position w:val="1"/>
          <w:sz w:val="21"/>
          <w:szCs w:val="21"/>
        </w:rPr>
        <w:t>)</w:t>
      </w:r>
      <w:r>
        <w:rPr>
          <w:rStyle w:val="20"/>
          <w:rFonts w:hint="default" w:ascii="Times New Roman" w:hAnsi="Times New Roman" w:eastAsia="宋体" w:cs="Times New Roman"/>
          <w:spacing w:val="-19"/>
          <w:position w:val="1"/>
          <w:sz w:val="21"/>
          <w:szCs w:val="21"/>
        </w:rPr>
        <w:footnoteReference w:id="1171"/>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用</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欧洲</w:t>
      </w:r>
      <w:r>
        <w:rPr>
          <w:rFonts w:hint="default" w:ascii="Times New Roman" w:hAnsi="Times New Roman" w:eastAsia="宋体" w:cs="Times New Roman"/>
          <w:spacing w:val="4"/>
          <w:sz w:val="21"/>
          <w:szCs w:val="21"/>
        </w:rPr>
        <w:t>人”的文化范畴代替“白人”的种族范畴。</w:t>
      </w:r>
      <w:r>
        <w:rPr>
          <w:rFonts w:hint="default" w:ascii="Times New Roman" w:hAnsi="Times New Roman" w:eastAsia="宋体" w:cs="Times New Roman"/>
          <w:spacing w:val="3"/>
          <w:sz w:val="21"/>
          <w:szCs w:val="21"/>
        </w:rPr>
        <w:t>虽然它不提优等种族,但是认为“欧</w:t>
      </w:r>
      <w:r>
        <w:rPr>
          <w:rFonts w:hint="default" w:ascii="Times New Roman" w:hAnsi="Times New Roman" w:eastAsia="宋体" w:cs="Times New Roman"/>
          <w:spacing w:val="10"/>
          <w:sz w:val="21"/>
          <w:szCs w:val="21"/>
        </w:rPr>
        <w:t>洲文化”或“西方文化”更优越</w:t>
      </w:r>
      <w:r>
        <w:rPr>
          <w:rStyle w:val="20"/>
          <w:rFonts w:hint="default" w:ascii="Times New Roman" w:hAnsi="Times New Roman" w:eastAsia="宋体" w:cs="Times New Roman"/>
          <w:spacing w:val="10"/>
          <w:sz w:val="21"/>
          <w:szCs w:val="21"/>
        </w:rPr>
        <w:footnoteReference w:id="1172"/>
      </w:r>
      <w:r>
        <w:rPr>
          <w:rFonts w:hint="default" w:ascii="Times New Roman" w:hAnsi="Times New Roman" w:eastAsia="宋体" w:cs="Times New Roman"/>
          <w:spacing w:val="10"/>
          <w:sz w:val="21"/>
          <w:szCs w:val="21"/>
        </w:rPr>
        <w:t>,其实质是将白人文化列为最高等</w:t>
      </w:r>
      <w:r>
        <w:rPr>
          <w:rFonts w:hint="default" w:ascii="Times New Roman" w:hAnsi="Times New Roman" w:eastAsia="宋体" w:cs="Times New Roman"/>
          <w:spacing w:val="9"/>
          <w:sz w:val="21"/>
          <w:szCs w:val="21"/>
        </w:rPr>
        <w:t>级,从而赋</w:t>
      </w:r>
      <w:r>
        <w:rPr>
          <w:rFonts w:hint="default" w:ascii="Times New Roman" w:hAnsi="Times New Roman" w:eastAsia="宋体" w:cs="Times New Roman"/>
          <w:spacing w:val="11"/>
          <w:sz w:val="21"/>
          <w:szCs w:val="21"/>
        </w:rPr>
        <w:t>予白人不言自明的崇高地位。</w:t>
      </w:r>
    </w:p>
    <w:p w14:paraId="71A387D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相比科学种族主义,文化种族主义不具有明显</w:t>
      </w:r>
      <w:r>
        <w:rPr>
          <w:rFonts w:hint="default" w:ascii="Times New Roman" w:hAnsi="Times New Roman" w:eastAsia="宋体" w:cs="Times New Roman"/>
          <w:spacing w:val="11"/>
          <w:sz w:val="21"/>
          <w:szCs w:val="21"/>
        </w:rPr>
        <w:t>的排斥特征,它是以“差别”</w:t>
      </w:r>
      <w:r>
        <w:rPr>
          <w:rFonts w:hint="default" w:ascii="Times New Roman" w:hAnsi="Times New Roman" w:eastAsia="宋体" w:cs="Times New Roman"/>
          <w:spacing w:val="4"/>
          <w:sz w:val="21"/>
          <w:szCs w:val="21"/>
        </w:rPr>
        <w:t>概念替代“劣等”概念的方式提出来的新形式的种族主义。</w:t>
      </w:r>
      <w:r>
        <w:rPr>
          <w:rStyle w:val="20"/>
          <w:rFonts w:hint="default" w:ascii="Times New Roman" w:hAnsi="Times New Roman" w:eastAsia="宋体" w:cs="Times New Roman"/>
          <w:spacing w:val="4"/>
          <w:sz w:val="21"/>
          <w:szCs w:val="21"/>
        </w:rPr>
        <w:footnoteReference w:id="1173"/>
      </w:r>
      <w:r>
        <w:rPr>
          <w:rFonts w:hint="default" w:ascii="Times New Roman" w:hAnsi="Times New Roman" w:eastAsia="宋体" w:cs="Times New Roman"/>
          <w:spacing w:val="4"/>
          <w:sz w:val="21"/>
          <w:szCs w:val="21"/>
        </w:rPr>
        <w:t>同时,人们也很</w:t>
      </w:r>
      <w:r>
        <w:rPr>
          <w:rFonts w:hint="default" w:ascii="Times New Roman" w:hAnsi="Times New Roman" w:eastAsia="宋体" w:cs="Times New Roman"/>
          <w:spacing w:val="10"/>
          <w:sz w:val="21"/>
          <w:szCs w:val="21"/>
        </w:rPr>
        <w:t>难反驳对文化优越性的信念,因为这种信念基于个人的价值观。</w:t>
      </w:r>
      <w:r>
        <w:rPr>
          <w:rStyle w:val="20"/>
          <w:rFonts w:hint="default" w:ascii="Times New Roman" w:hAnsi="Times New Roman" w:eastAsia="宋体" w:cs="Times New Roman"/>
          <w:spacing w:val="10"/>
          <w:sz w:val="21"/>
          <w:szCs w:val="21"/>
        </w:rPr>
        <w:footnoteReference w:id="1174"/>
      </w:r>
      <w:r>
        <w:rPr>
          <w:rFonts w:hint="default" w:ascii="Times New Roman" w:hAnsi="Times New Roman" w:eastAsia="宋体" w:cs="Times New Roman"/>
          <w:spacing w:val="9"/>
          <w:sz w:val="21"/>
          <w:szCs w:val="21"/>
        </w:rPr>
        <w:t>文化种族</w:t>
      </w:r>
      <w:r>
        <w:rPr>
          <w:rFonts w:hint="default" w:ascii="Times New Roman" w:hAnsi="Times New Roman" w:eastAsia="宋体" w:cs="Times New Roman"/>
          <w:spacing w:val="1"/>
          <w:sz w:val="21"/>
          <w:szCs w:val="21"/>
        </w:rPr>
        <w:t>主义与其他类型种族主义的共同点在于制造和利用“区别的类别”,从人种、种</w:t>
      </w:r>
      <w:r>
        <w:rPr>
          <w:rFonts w:hint="default" w:ascii="Times New Roman" w:hAnsi="Times New Roman" w:eastAsia="宋体" w:cs="Times New Roman"/>
          <w:spacing w:val="3"/>
          <w:sz w:val="21"/>
          <w:szCs w:val="21"/>
        </w:rPr>
        <w:t>族、民族和文化等层面判断人体的能力、思想和行为。这是一种存在主</w:t>
      </w:r>
      <w:r>
        <w:rPr>
          <w:rFonts w:hint="default" w:ascii="Times New Roman" w:hAnsi="Times New Roman" w:eastAsia="宋体" w:cs="Times New Roman"/>
          <w:spacing w:val="2"/>
          <w:sz w:val="21"/>
          <w:szCs w:val="21"/>
        </w:rPr>
        <w:t>义的或</w:t>
      </w:r>
      <w:r>
        <w:rPr>
          <w:rFonts w:hint="default" w:ascii="Times New Roman" w:hAnsi="Times New Roman" w:eastAsia="宋体" w:cs="Times New Roman"/>
          <w:spacing w:val="-2"/>
          <w:sz w:val="21"/>
          <w:szCs w:val="21"/>
        </w:rPr>
        <w:t>类型学的思想模式。</w:t>
      </w:r>
      <w:r>
        <w:rPr>
          <w:rStyle w:val="20"/>
          <w:rFonts w:hint="default" w:ascii="Times New Roman" w:hAnsi="Times New Roman" w:eastAsia="宋体" w:cs="Times New Roman"/>
          <w:spacing w:val="-2"/>
          <w:sz w:val="21"/>
          <w:szCs w:val="21"/>
        </w:rPr>
        <w:footnoteReference w:id="1175"/>
      </w:r>
    </w:p>
    <w:p w14:paraId="3FEA6B8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5"/>
          <w:sz w:val="21"/>
          <w:szCs w:val="21"/>
        </w:rPr>
        <w:t>文化种族主义乃是理解当今种族主义的核心</w:t>
      </w:r>
      <w:r>
        <w:rPr>
          <w:rStyle w:val="20"/>
          <w:rFonts w:hint="default" w:ascii="Times New Roman" w:hAnsi="Times New Roman" w:eastAsia="宋体" w:cs="Times New Roman"/>
          <w:spacing w:val="15"/>
          <w:sz w:val="21"/>
          <w:szCs w:val="21"/>
        </w:rPr>
        <w:footnoteReference w:id="1176"/>
      </w:r>
      <w:r>
        <w:rPr>
          <w:rFonts w:hint="default" w:ascii="Times New Roman" w:hAnsi="Times New Roman" w:eastAsia="宋体" w:cs="Times New Roman"/>
          <w:spacing w:val="14"/>
          <w:sz w:val="21"/>
          <w:szCs w:val="21"/>
        </w:rPr>
        <w:t>,但它并非仅仅是适应时势的产物,也非断裂性的意识形态创新,而是殖民主义认知结构的当代延续。</w:t>
      </w:r>
      <w:r>
        <w:rPr>
          <w:rFonts w:hint="default" w:ascii="Times New Roman" w:hAnsi="Times New Roman" w:eastAsia="宋体" w:cs="Times New Roman"/>
          <w:spacing w:val="5"/>
          <w:sz w:val="21"/>
          <w:szCs w:val="21"/>
        </w:rPr>
        <w:t>从宗教—科学—文化的认识论链条上可以看出,</w:t>
      </w:r>
      <w:r>
        <w:rPr>
          <w:rFonts w:hint="default" w:ascii="Times New Roman" w:hAnsi="Times New Roman" w:eastAsia="宋体" w:cs="Times New Roman"/>
          <w:spacing w:val="5"/>
          <w:position w:val="-2"/>
          <w:sz w:val="21"/>
          <w:szCs w:val="21"/>
        </w:rPr>
        <w:t>1</w:t>
      </w:r>
      <w:r>
        <w:rPr>
          <w:rFonts w:hint="default" w:ascii="Times New Roman" w:hAnsi="Times New Roman" w:eastAsia="宋体" w:cs="Times New Roman"/>
          <w:spacing w:val="4"/>
          <w:position w:val="-2"/>
          <w:sz w:val="21"/>
          <w:szCs w:val="21"/>
        </w:rPr>
        <w:t>5</w:t>
      </w:r>
      <w:r>
        <w:rPr>
          <w:rFonts w:hint="default" w:ascii="Times New Roman" w:hAnsi="Times New Roman" w:eastAsia="宋体" w:cs="Times New Roman"/>
          <w:spacing w:val="4"/>
          <w:sz w:val="21"/>
          <w:szCs w:val="21"/>
        </w:rPr>
        <w:t>世纪“发现教旨”通过“无</w:t>
      </w:r>
      <w:r>
        <w:rPr>
          <w:rFonts w:hint="default" w:ascii="Times New Roman" w:hAnsi="Times New Roman" w:eastAsia="宋体" w:cs="Times New Roman"/>
          <w:spacing w:val="8"/>
          <w:sz w:val="21"/>
          <w:szCs w:val="21"/>
        </w:rPr>
        <w:t>主之地</w:t>
      </w:r>
      <w:r>
        <w:rPr>
          <w:rFonts w:hint="default" w:ascii="Times New Roman" w:hAnsi="Times New Roman" w:eastAsia="宋体" w:cs="Times New Roman"/>
          <w:spacing w:val="8"/>
          <w:position w:val="1"/>
          <w:sz w:val="21"/>
          <w:szCs w:val="21"/>
        </w:rPr>
        <w:t>”</w:t>
      </w:r>
      <w:r>
        <w:rPr>
          <w:rFonts w:hint="default" w:ascii="Times New Roman" w:hAnsi="Times New Roman" w:eastAsia="宋体" w:cs="Times New Roman"/>
          <w:spacing w:val="8"/>
          <w:position w:val="-1"/>
          <w:sz w:val="21"/>
          <w:szCs w:val="21"/>
        </w:rPr>
        <w:t>(</w:t>
      </w:r>
      <w:r>
        <w:rPr>
          <w:rFonts w:hint="default" w:ascii="Times New Roman" w:hAnsi="Times New Roman" w:eastAsia="宋体" w:cs="Times New Roman"/>
          <w:position w:val="-1"/>
          <w:sz w:val="21"/>
          <w:szCs w:val="21"/>
        </w:rPr>
        <w:t>terra</w:t>
      </w:r>
      <w:r>
        <w:rPr>
          <w:rFonts w:hint="default" w:ascii="Times New Roman" w:hAnsi="Times New Roman" w:eastAsia="宋体" w:cs="Times New Roman"/>
          <w:position w:val="-2"/>
          <w:sz w:val="21"/>
          <w:szCs w:val="21"/>
        </w:rPr>
        <w:t>nullius</w:t>
      </w:r>
      <w:r>
        <w:rPr>
          <w:rFonts w:hint="default" w:ascii="Times New Roman" w:hAnsi="Times New Roman" w:eastAsia="宋体" w:cs="Times New Roman"/>
          <w:spacing w:val="8"/>
          <w:sz w:val="21"/>
          <w:szCs w:val="21"/>
        </w:rPr>
        <w:t>)概念否定原住民文明主体性,将殖民掠夺美化为</w:t>
      </w:r>
      <w:r>
        <w:rPr>
          <w:rFonts w:hint="default" w:ascii="Times New Roman" w:hAnsi="Times New Roman" w:eastAsia="宋体" w:cs="Times New Roman"/>
          <w:spacing w:val="8"/>
          <w:position w:val="1"/>
          <w:sz w:val="21"/>
          <w:szCs w:val="21"/>
        </w:rPr>
        <w:t>“</w:t>
      </w:r>
      <w:r>
        <w:rPr>
          <w:rFonts w:hint="default" w:ascii="Times New Roman" w:hAnsi="Times New Roman" w:eastAsia="宋体" w:cs="Times New Roman"/>
          <w:spacing w:val="8"/>
          <w:sz w:val="21"/>
          <w:szCs w:val="21"/>
        </w:rPr>
        <w:t>文明</w:t>
      </w:r>
      <w:r>
        <w:rPr>
          <w:rFonts w:hint="default" w:ascii="Times New Roman" w:hAnsi="Times New Roman" w:eastAsia="宋体" w:cs="Times New Roman"/>
          <w:spacing w:val="14"/>
          <w:sz w:val="21"/>
          <w:szCs w:val="21"/>
        </w:rPr>
        <w:t>传播使命”,这为将非欧洲文化视为低等的文化奠定了基础;</w:t>
      </w:r>
      <w:r>
        <w:rPr>
          <w:rFonts w:hint="default" w:ascii="Times New Roman" w:hAnsi="Times New Roman" w:eastAsia="宋体" w:cs="Times New Roman"/>
          <w:spacing w:val="14"/>
          <w:position w:val="-2"/>
          <w:sz w:val="21"/>
          <w:szCs w:val="21"/>
        </w:rPr>
        <w:t>19</w:t>
      </w:r>
      <w:r>
        <w:rPr>
          <w:rFonts w:hint="default" w:ascii="Times New Roman" w:hAnsi="Times New Roman" w:eastAsia="宋体" w:cs="Times New Roman"/>
          <w:spacing w:val="14"/>
          <w:sz w:val="21"/>
          <w:szCs w:val="21"/>
        </w:rPr>
        <w:t>世纪下半叶,</w:t>
      </w:r>
      <w:r>
        <w:rPr>
          <w:rFonts w:hint="default" w:ascii="Times New Roman" w:hAnsi="Times New Roman" w:eastAsia="宋体" w:cs="Times New Roman"/>
          <w:spacing w:val="7"/>
          <w:sz w:val="21"/>
          <w:szCs w:val="21"/>
        </w:rPr>
        <w:t>不同种族群体间的联系日益紧密,种族主义者反对种族通婚“杂交”</w:t>
      </w:r>
      <w:r>
        <w:rPr>
          <w:rStyle w:val="20"/>
          <w:rFonts w:hint="default" w:ascii="Times New Roman" w:hAnsi="Times New Roman" w:eastAsia="宋体" w:cs="Times New Roman"/>
          <w:spacing w:val="7"/>
          <w:sz w:val="21"/>
          <w:szCs w:val="21"/>
        </w:rPr>
        <w:footnoteReference w:id="1177"/>
      </w:r>
      <w:r>
        <w:rPr>
          <w:rFonts w:hint="default" w:ascii="Times New Roman" w:hAnsi="Times New Roman" w:eastAsia="宋体" w:cs="Times New Roman"/>
          <w:spacing w:val="7"/>
          <w:sz w:val="21"/>
          <w:szCs w:val="21"/>
        </w:rPr>
        <w:t>,在美国甚至发展出了“一滴血原则”</w:t>
      </w:r>
      <w:r>
        <w:rPr>
          <w:rStyle w:val="20"/>
          <w:rFonts w:hint="default" w:ascii="Times New Roman" w:hAnsi="Times New Roman" w:eastAsia="宋体" w:cs="Times New Roman"/>
          <w:spacing w:val="7"/>
          <w:sz w:val="21"/>
          <w:szCs w:val="21"/>
        </w:rPr>
        <w:footnoteReference w:id="1178"/>
      </w:r>
      <w:r>
        <w:rPr>
          <w:rFonts w:hint="default" w:ascii="Times New Roman" w:hAnsi="Times New Roman" w:eastAsia="宋体" w:cs="Times New Roman"/>
          <w:spacing w:val="7"/>
          <w:sz w:val="21"/>
          <w:szCs w:val="21"/>
        </w:rPr>
        <w:t>,排斥任何种族通婚,期望从生理与文化两端设</w:t>
      </w:r>
      <w:r>
        <w:rPr>
          <w:rFonts w:hint="default" w:ascii="Times New Roman" w:hAnsi="Times New Roman" w:eastAsia="宋体" w:cs="Times New Roman"/>
          <w:spacing w:val="14"/>
          <w:sz w:val="21"/>
          <w:szCs w:val="21"/>
        </w:rPr>
        <w:t>置种族屏障,维护白人社会的纯洁性。</w:t>
      </w:r>
      <w:r>
        <w:rPr>
          <w:rFonts w:hint="default" w:ascii="Times New Roman" w:hAnsi="Times New Roman" w:eastAsia="宋体" w:cs="Times New Roman"/>
          <w:spacing w:val="14"/>
          <w:position w:val="-2"/>
          <w:sz w:val="21"/>
          <w:szCs w:val="21"/>
        </w:rPr>
        <w:t>20</w:t>
      </w:r>
      <w:r>
        <w:rPr>
          <w:rFonts w:hint="default" w:ascii="Times New Roman" w:hAnsi="Times New Roman" w:eastAsia="宋体" w:cs="Times New Roman"/>
          <w:spacing w:val="14"/>
          <w:sz w:val="21"/>
          <w:szCs w:val="21"/>
        </w:rPr>
        <w:t>世纪初时,随着混血儿的增加,不具</w:t>
      </w:r>
      <w:r>
        <w:rPr>
          <w:rFonts w:hint="default" w:ascii="Times New Roman" w:hAnsi="Times New Roman" w:eastAsia="宋体" w:cs="Times New Roman"/>
          <w:spacing w:val="7"/>
          <w:sz w:val="21"/>
          <w:szCs w:val="21"/>
        </w:rPr>
        <w:t>备典型种族特征的人大量出现,动摇了所谓种族是“独立的人种单位”的伪科</w:t>
      </w:r>
      <w:r>
        <w:rPr>
          <w:rFonts w:hint="default" w:ascii="Times New Roman" w:hAnsi="Times New Roman" w:eastAsia="宋体" w:cs="Times New Roman"/>
          <w:sz w:val="21"/>
          <w:szCs w:val="21"/>
        </w:rPr>
        <w:t>学基础,种族科学家便以</w:t>
      </w:r>
      <w:r>
        <w:rPr>
          <w:rFonts w:hint="default" w:ascii="Times New Roman" w:hAnsi="Times New Roman" w:eastAsia="宋体" w:cs="Times New Roman"/>
          <w:position w:val="1"/>
          <w:sz w:val="21"/>
          <w:szCs w:val="21"/>
        </w:rPr>
        <w:t>“</w:t>
      </w:r>
      <w:r>
        <w:rPr>
          <w:rFonts w:hint="default" w:ascii="Times New Roman" w:hAnsi="Times New Roman" w:eastAsia="宋体" w:cs="Times New Roman"/>
          <w:sz w:val="21"/>
          <w:szCs w:val="21"/>
        </w:rPr>
        <w:t>种族本质</w:t>
      </w:r>
      <w:r>
        <w:rPr>
          <w:rFonts w:hint="default" w:ascii="Times New Roman" w:hAnsi="Times New Roman" w:eastAsia="宋体" w:cs="Times New Roman"/>
          <w:position w:val="1"/>
          <w:sz w:val="21"/>
          <w:szCs w:val="21"/>
        </w:rPr>
        <w:t>”(</w:t>
      </w:r>
      <w:r>
        <w:rPr>
          <w:rFonts w:hint="default" w:ascii="Times New Roman" w:hAnsi="Times New Roman" w:eastAsia="宋体" w:cs="Times New Roman"/>
          <w:position w:val="-2"/>
          <w:sz w:val="21"/>
          <w:szCs w:val="21"/>
        </w:rPr>
        <w:t>racial</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essen</w:t>
      </w:r>
      <w:r>
        <w:rPr>
          <w:rFonts w:hint="default" w:ascii="Times New Roman" w:hAnsi="Times New Roman" w:eastAsia="宋体" w:cs="Times New Roman"/>
          <w:spacing w:val="-1"/>
          <w:position w:val="-2"/>
          <w:sz w:val="21"/>
          <w:szCs w:val="21"/>
        </w:rPr>
        <w:t>ce</w:t>
      </w:r>
      <w:r>
        <w:rPr>
          <w:rFonts w:hint="default" w:ascii="Times New Roman" w:hAnsi="Times New Roman" w:eastAsia="宋体" w:cs="Times New Roman"/>
          <w:spacing w:val="-1"/>
          <w:sz w:val="21"/>
          <w:szCs w:val="21"/>
        </w:rPr>
        <w:t>)来解释这种</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sz w:val="21"/>
          <w:szCs w:val="21"/>
        </w:rPr>
        <w:t>异常现象</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9"/>
          <w:sz w:val="21"/>
          <w:szCs w:val="21"/>
        </w:rPr>
        <w:t>意即每个种族之间的差异是由存在于其所有成员内的固定和统一的本质决定</w:t>
      </w:r>
      <w:r>
        <w:rPr>
          <w:rFonts w:hint="default" w:ascii="Times New Roman" w:hAnsi="Times New Roman" w:eastAsia="宋体" w:cs="Times New Roman"/>
          <w:spacing w:val="6"/>
          <w:sz w:val="21"/>
          <w:szCs w:val="21"/>
        </w:rPr>
        <w:t>的(包括生物的和文化的本质)。</w:t>
      </w:r>
      <w:r>
        <w:rPr>
          <w:rStyle w:val="20"/>
          <w:rFonts w:hint="default" w:ascii="Times New Roman" w:hAnsi="Times New Roman" w:eastAsia="宋体" w:cs="Times New Roman"/>
          <w:spacing w:val="6"/>
          <w:sz w:val="21"/>
          <w:szCs w:val="21"/>
        </w:rPr>
        <w:footnoteReference w:id="1179"/>
      </w:r>
      <w:r>
        <w:rPr>
          <w:rFonts w:hint="default" w:ascii="Times New Roman" w:hAnsi="Times New Roman" w:eastAsia="宋体" w:cs="Times New Roman"/>
          <w:spacing w:val="6"/>
          <w:sz w:val="21"/>
          <w:szCs w:val="21"/>
        </w:rPr>
        <w:t>“种族本质”逐渐发展为文化本质</w:t>
      </w:r>
      <w:r>
        <w:rPr>
          <w:rFonts w:hint="default" w:ascii="Times New Roman" w:hAnsi="Times New Roman" w:eastAsia="宋体" w:cs="Times New Roman"/>
          <w:spacing w:val="5"/>
          <w:sz w:val="21"/>
          <w:szCs w:val="21"/>
        </w:rPr>
        <w:t>主义,即</w:t>
      </w:r>
      <w:r>
        <w:rPr>
          <w:rFonts w:hint="default" w:ascii="Times New Roman" w:hAnsi="Times New Roman" w:eastAsia="宋体" w:cs="Times New Roman"/>
          <w:spacing w:val="-4"/>
          <w:sz w:val="21"/>
          <w:szCs w:val="21"/>
        </w:rPr>
        <w:t>其认为文化是静态的或“准自然的”,“仿佛文化是自动复制的”“不会随着时间</w:t>
      </w:r>
      <w:r>
        <w:rPr>
          <w:rFonts w:hint="default" w:ascii="Times New Roman" w:hAnsi="Times New Roman" w:eastAsia="宋体" w:cs="Times New Roman"/>
          <w:spacing w:val="2"/>
          <w:sz w:val="21"/>
          <w:szCs w:val="21"/>
        </w:rPr>
        <w:t>而改变”</w:t>
      </w:r>
      <w:r>
        <w:rPr>
          <w:rStyle w:val="20"/>
          <w:rFonts w:hint="default" w:ascii="Times New Roman" w:hAnsi="Times New Roman" w:eastAsia="宋体" w:cs="Times New Roman"/>
          <w:spacing w:val="2"/>
          <w:sz w:val="21"/>
          <w:szCs w:val="21"/>
        </w:rPr>
        <w:footnoteReference w:id="1180"/>
      </w:r>
      <w:r>
        <w:rPr>
          <w:rFonts w:hint="default" w:ascii="Times New Roman" w:hAnsi="Times New Roman" w:eastAsia="宋体" w:cs="Times New Roman"/>
          <w:spacing w:val="2"/>
          <w:sz w:val="21"/>
          <w:szCs w:val="21"/>
        </w:rPr>
        <w:t>,形成了“一个种族一个文明”</w:t>
      </w:r>
      <w:r>
        <w:rPr>
          <w:rStyle w:val="20"/>
          <w:rFonts w:hint="default" w:ascii="Times New Roman" w:hAnsi="Times New Roman" w:eastAsia="宋体" w:cs="Times New Roman"/>
          <w:spacing w:val="2"/>
          <w:sz w:val="21"/>
          <w:szCs w:val="21"/>
        </w:rPr>
        <w:footnoteReference w:id="1181"/>
      </w:r>
      <w:r>
        <w:rPr>
          <w:rFonts w:hint="default" w:ascii="Times New Roman" w:hAnsi="Times New Roman" w:eastAsia="宋体" w:cs="Times New Roman"/>
          <w:spacing w:val="2"/>
          <w:sz w:val="21"/>
          <w:szCs w:val="21"/>
        </w:rPr>
        <w:t>的公式。在此基础上,形成了针对黑</w:t>
      </w:r>
      <w:r>
        <w:rPr>
          <w:rFonts w:hint="default" w:ascii="Times New Roman" w:hAnsi="Times New Roman" w:eastAsia="宋体" w:cs="Times New Roman"/>
          <w:spacing w:val="3"/>
          <w:sz w:val="21"/>
          <w:szCs w:val="21"/>
        </w:rPr>
        <w:t>人、原住民和其他有色人种的劣等“种族特性”</w:t>
      </w:r>
      <w:r>
        <w:rPr>
          <w:rStyle w:val="20"/>
          <w:rFonts w:hint="default" w:ascii="Times New Roman" w:hAnsi="Times New Roman" w:eastAsia="宋体" w:cs="Times New Roman"/>
          <w:spacing w:val="3"/>
          <w:sz w:val="21"/>
          <w:szCs w:val="21"/>
        </w:rPr>
        <w:footnoteReference w:id="1182"/>
      </w:r>
      <w:r>
        <w:rPr>
          <w:rFonts w:hint="default" w:ascii="Times New Roman" w:hAnsi="Times New Roman" w:eastAsia="宋体" w:cs="Times New Roman"/>
          <w:spacing w:val="3"/>
          <w:sz w:val="21"/>
          <w:szCs w:val="21"/>
        </w:rPr>
        <w:t>文化叙事,并将劣等种族的人</w:t>
      </w:r>
      <w:r>
        <w:rPr>
          <w:rFonts w:hint="default" w:ascii="Times New Roman" w:hAnsi="Times New Roman" w:eastAsia="宋体" w:cs="Times New Roman"/>
          <w:spacing w:val="6"/>
          <w:sz w:val="21"/>
          <w:szCs w:val="21"/>
        </w:rPr>
        <w:t>描绘成无法为社会作出积极贡献的人。</w:t>
      </w:r>
      <w:r>
        <w:rPr>
          <w:rFonts w:hint="default" w:ascii="Times New Roman" w:hAnsi="Times New Roman" w:eastAsia="宋体" w:cs="Times New Roman"/>
          <w:spacing w:val="6"/>
          <w:position w:val="-2"/>
          <w:sz w:val="21"/>
          <w:szCs w:val="21"/>
        </w:rPr>
        <w:t>20</w:t>
      </w:r>
      <w:r>
        <w:rPr>
          <w:rFonts w:hint="default" w:ascii="Times New Roman" w:hAnsi="Times New Roman" w:eastAsia="宋体" w:cs="Times New Roman"/>
          <w:spacing w:val="6"/>
          <w:sz w:val="21"/>
          <w:szCs w:val="21"/>
        </w:rPr>
        <w:t>世纪末,“文明的冲突”论将“文化</w:t>
      </w:r>
      <w:r>
        <w:rPr>
          <w:rFonts w:hint="default" w:ascii="Times New Roman" w:hAnsi="Times New Roman" w:eastAsia="宋体" w:cs="Times New Roman"/>
          <w:spacing w:val="7"/>
          <w:sz w:val="21"/>
          <w:szCs w:val="21"/>
        </w:rPr>
        <w:t>身份种族化”,引发人们对文化混合、种族混血与西方人口下降之间联系的关</w:t>
      </w:r>
      <w:r>
        <w:rPr>
          <w:rFonts w:hint="default" w:ascii="Times New Roman" w:hAnsi="Times New Roman" w:eastAsia="宋体" w:cs="Times New Roman"/>
          <w:spacing w:val="16"/>
          <w:sz w:val="21"/>
          <w:szCs w:val="21"/>
        </w:rPr>
        <w:t>注</w:t>
      </w:r>
      <w:r>
        <w:rPr>
          <w:rStyle w:val="20"/>
          <w:rFonts w:hint="default" w:ascii="Times New Roman" w:hAnsi="Times New Roman" w:eastAsia="宋体" w:cs="Times New Roman"/>
          <w:spacing w:val="16"/>
          <w:sz w:val="21"/>
          <w:szCs w:val="21"/>
        </w:rPr>
        <w:footnoteReference w:id="1183"/>
      </w:r>
      <w:r>
        <w:rPr>
          <w:rFonts w:hint="default" w:ascii="Times New Roman" w:hAnsi="Times New Roman" w:eastAsia="宋体" w:cs="Times New Roman"/>
          <w:spacing w:val="16"/>
          <w:position w:val="-1"/>
          <w:sz w:val="21"/>
          <w:szCs w:val="21"/>
        </w:rPr>
        <w:t>;21</w:t>
      </w:r>
      <w:r>
        <w:rPr>
          <w:rFonts w:hint="default" w:ascii="Times New Roman" w:hAnsi="Times New Roman" w:eastAsia="宋体" w:cs="Times New Roman"/>
          <w:spacing w:val="16"/>
          <w:sz w:val="21"/>
          <w:szCs w:val="21"/>
        </w:rPr>
        <w:t>世纪,美国等西方国家借反恐战争之名实施新帝国主义干预,其</w:t>
      </w:r>
      <w:r>
        <w:rPr>
          <w:rFonts w:hint="default" w:ascii="Times New Roman" w:hAnsi="Times New Roman" w:eastAsia="宋体" w:cs="Times New Roman"/>
          <w:spacing w:val="15"/>
          <w:sz w:val="21"/>
          <w:szCs w:val="21"/>
        </w:rPr>
        <w:t>中文</w:t>
      </w:r>
      <w:r>
        <w:rPr>
          <w:rFonts w:hint="default" w:ascii="Times New Roman" w:hAnsi="Times New Roman" w:eastAsia="宋体" w:cs="Times New Roman"/>
          <w:spacing w:val="14"/>
          <w:sz w:val="21"/>
          <w:szCs w:val="21"/>
        </w:rPr>
        <w:t>明冲突的话语发挥了关键作用,文明冲突论也渗透和</w:t>
      </w:r>
      <w:r>
        <w:rPr>
          <w:rFonts w:hint="default" w:ascii="Times New Roman" w:hAnsi="Times New Roman" w:eastAsia="宋体" w:cs="Times New Roman"/>
          <w:spacing w:val="13"/>
          <w:sz w:val="21"/>
          <w:szCs w:val="21"/>
        </w:rPr>
        <w:t>内化到西方极右翼的话</w:t>
      </w:r>
      <w:r>
        <w:rPr>
          <w:rFonts w:hint="default" w:ascii="Times New Roman" w:hAnsi="Times New Roman" w:eastAsia="宋体" w:cs="Times New Roman"/>
          <w:spacing w:val="6"/>
          <w:sz w:val="21"/>
          <w:szCs w:val="21"/>
        </w:rPr>
        <w:t>语中,作为表达反移民、种族暴力和白人至上主义的一种话语。</w:t>
      </w:r>
    </w:p>
    <w:p w14:paraId="2D8F051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文化种族主义在认识论上有三个特点:一是文明冲突论的认知框架。“一</w:t>
      </w:r>
      <w:r>
        <w:rPr>
          <w:rFonts w:hint="default" w:ascii="Times New Roman" w:hAnsi="Times New Roman" w:eastAsia="宋体" w:cs="Times New Roman"/>
          <w:spacing w:val="4"/>
          <w:sz w:val="21"/>
          <w:szCs w:val="21"/>
        </w:rPr>
        <w:t>个种族一个文明”的实质,即认为“种族”之间存在的先天生理差异可以解释人</w:t>
      </w:r>
      <w:r>
        <w:rPr>
          <w:rFonts w:hint="default" w:ascii="Times New Roman" w:hAnsi="Times New Roman" w:eastAsia="宋体" w:cs="Times New Roman"/>
          <w:spacing w:val="15"/>
          <w:sz w:val="21"/>
          <w:szCs w:val="21"/>
        </w:rPr>
        <w:t>类历史和文化的不同,文化差异由生物型差异决定,这种差异是人</w:t>
      </w:r>
      <w:r>
        <w:rPr>
          <w:rFonts w:hint="default" w:ascii="Times New Roman" w:hAnsi="Times New Roman" w:eastAsia="宋体" w:cs="Times New Roman"/>
          <w:spacing w:val="14"/>
          <w:sz w:val="21"/>
          <w:szCs w:val="21"/>
        </w:rPr>
        <w:t>际冲突和国</w:t>
      </w:r>
      <w:r>
        <w:rPr>
          <w:rFonts w:hint="default" w:ascii="Times New Roman" w:hAnsi="Times New Roman" w:eastAsia="宋体" w:cs="Times New Roman"/>
          <w:spacing w:val="13"/>
          <w:sz w:val="21"/>
          <w:szCs w:val="21"/>
        </w:rPr>
        <w:t>际冲突的根源。</w:t>
      </w:r>
      <w:r>
        <w:rPr>
          <w:rStyle w:val="20"/>
          <w:rFonts w:hint="default" w:ascii="Times New Roman" w:hAnsi="Times New Roman" w:eastAsia="宋体" w:cs="Times New Roman"/>
          <w:spacing w:val="13"/>
          <w:sz w:val="21"/>
          <w:szCs w:val="21"/>
        </w:rPr>
        <w:footnoteReference w:id="1184"/>
      </w:r>
      <w:r>
        <w:rPr>
          <w:rFonts w:hint="default" w:ascii="Times New Roman" w:hAnsi="Times New Roman" w:eastAsia="宋体" w:cs="Times New Roman"/>
          <w:spacing w:val="13"/>
          <w:sz w:val="21"/>
          <w:szCs w:val="21"/>
        </w:rPr>
        <w:t>这就是文明冲突论的源头。它通过强调文化/宗教身份的</w:t>
      </w:r>
      <w:r>
        <w:rPr>
          <w:rFonts w:hint="default" w:ascii="Times New Roman" w:hAnsi="Times New Roman" w:eastAsia="宋体" w:cs="Times New Roman"/>
          <w:spacing w:val="15"/>
          <w:sz w:val="21"/>
          <w:szCs w:val="21"/>
        </w:rPr>
        <w:t>统一,排除了历史上或当前文化混合或流动性的任何可能性,将文</w:t>
      </w:r>
      <w:r>
        <w:rPr>
          <w:rFonts w:hint="default" w:ascii="Times New Roman" w:hAnsi="Times New Roman" w:eastAsia="宋体" w:cs="Times New Roman"/>
          <w:spacing w:val="14"/>
          <w:sz w:val="21"/>
          <w:szCs w:val="21"/>
        </w:rPr>
        <w:t>化差异本质</w:t>
      </w:r>
      <w:r>
        <w:rPr>
          <w:rFonts w:hint="default" w:ascii="Times New Roman" w:hAnsi="Times New Roman" w:eastAsia="宋体" w:cs="Times New Roman"/>
          <w:spacing w:val="11"/>
          <w:sz w:val="21"/>
          <w:szCs w:val="21"/>
        </w:rPr>
        <w:t>化为不可调和的对抗关系。</w:t>
      </w:r>
      <w:r>
        <w:rPr>
          <w:rStyle w:val="20"/>
          <w:rFonts w:hint="default" w:ascii="Times New Roman" w:hAnsi="Times New Roman" w:eastAsia="宋体" w:cs="Times New Roman"/>
          <w:spacing w:val="11"/>
          <w:sz w:val="21"/>
          <w:szCs w:val="21"/>
        </w:rPr>
        <w:footnoteReference w:id="1185"/>
      </w:r>
      <w:r>
        <w:rPr>
          <w:rFonts w:hint="default" w:ascii="Times New Roman" w:hAnsi="Times New Roman" w:eastAsia="宋体" w:cs="Times New Roman"/>
          <w:spacing w:val="11"/>
          <w:sz w:val="21"/>
          <w:szCs w:val="21"/>
        </w:rPr>
        <w:t>二是文化本质主</w:t>
      </w:r>
      <w:r>
        <w:rPr>
          <w:rFonts w:hint="default" w:ascii="Times New Roman" w:hAnsi="Times New Roman" w:eastAsia="宋体" w:cs="Times New Roman"/>
          <w:spacing w:val="10"/>
          <w:sz w:val="21"/>
          <w:szCs w:val="21"/>
        </w:rPr>
        <w:t>义的认识论。通过将文化重构为封闭的、不可渗透的实体,文化种族主义完成了对殖民现代性认知结构的继</w:t>
      </w:r>
      <w:r>
        <w:rPr>
          <w:rFonts w:hint="default" w:ascii="Times New Roman" w:hAnsi="Times New Roman" w:eastAsia="宋体" w:cs="Times New Roman"/>
          <w:spacing w:val="11"/>
          <w:sz w:val="21"/>
          <w:szCs w:val="21"/>
        </w:rPr>
        <w:t>承。德国社会学家马克斯·韦伯(</w:t>
      </w:r>
      <w:r>
        <w:rPr>
          <w:rFonts w:hint="default" w:ascii="Times New Roman" w:hAnsi="Times New Roman" w:eastAsia="宋体" w:cs="Times New Roman"/>
          <w:sz w:val="21"/>
          <w:szCs w:val="21"/>
        </w:rPr>
        <w:t>M</w:t>
      </w:r>
      <w:r>
        <w:rPr>
          <w:rFonts w:hint="default" w:ascii="Times New Roman" w:hAnsi="Times New Roman" w:eastAsia="宋体" w:cs="Times New Roman"/>
          <w:position w:val="-2"/>
          <w:sz w:val="21"/>
          <w:szCs w:val="21"/>
        </w:rPr>
        <w:t>ax</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Weber</w:t>
      </w:r>
      <w:r>
        <w:rPr>
          <w:rFonts w:hint="default" w:ascii="Times New Roman" w:hAnsi="Times New Roman" w:eastAsia="宋体" w:cs="Times New Roman"/>
          <w:spacing w:val="11"/>
          <w:sz w:val="21"/>
          <w:szCs w:val="21"/>
        </w:rPr>
        <w:t>)的“新</w:t>
      </w:r>
      <w:r>
        <w:rPr>
          <w:rFonts w:hint="default" w:ascii="Times New Roman" w:hAnsi="Times New Roman" w:eastAsia="宋体" w:cs="Times New Roman"/>
          <w:spacing w:val="10"/>
          <w:sz w:val="21"/>
          <w:szCs w:val="21"/>
        </w:rPr>
        <w:t>教伦理”论说,被重构为</w:t>
      </w:r>
      <w:r>
        <w:rPr>
          <w:rFonts w:hint="default" w:ascii="Times New Roman" w:hAnsi="Times New Roman" w:eastAsia="宋体" w:cs="Times New Roman"/>
          <w:spacing w:val="-2"/>
          <w:sz w:val="21"/>
          <w:szCs w:val="21"/>
        </w:rPr>
        <w:t>“西方文化优越性”的元叙事。</w:t>
      </w:r>
      <w:r>
        <w:rPr>
          <w:rStyle w:val="20"/>
          <w:rFonts w:hint="default" w:ascii="Times New Roman" w:hAnsi="Times New Roman" w:eastAsia="宋体" w:cs="Times New Roman"/>
          <w:spacing w:val="-2"/>
          <w:sz w:val="21"/>
          <w:szCs w:val="21"/>
        </w:rPr>
        <w:footnoteReference w:id="1186"/>
      </w:r>
      <w:r>
        <w:rPr>
          <w:rFonts w:hint="default" w:ascii="Times New Roman" w:hAnsi="Times New Roman" w:eastAsia="宋体" w:cs="Times New Roman"/>
          <w:spacing w:val="-2"/>
          <w:sz w:val="21"/>
          <w:szCs w:val="21"/>
        </w:rPr>
        <w:t>这种认知暴力在法国“头巾法案”</w:t>
      </w:r>
      <w:r>
        <w:rPr>
          <w:rFonts w:hint="default" w:ascii="Times New Roman" w:hAnsi="Times New Roman" w:eastAsia="宋体" w:cs="Times New Roman"/>
          <w:spacing w:val="-2"/>
          <w:position w:val="-1"/>
          <w:sz w:val="21"/>
          <w:szCs w:val="21"/>
        </w:rPr>
        <w:t>(2004)</w:t>
      </w:r>
      <w:r>
        <w:rPr>
          <w:rFonts w:hint="default" w:ascii="Times New Roman" w:hAnsi="Times New Roman" w:eastAsia="宋体" w:cs="Times New Roman"/>
          <w:spacing w:val="-2"/>
          <w:sz w:val="21"/>
          <w:szCs w:val="21"/>
        </w:rPr>
        <w:t>、荷</w:t>
      </w:r>
      <w:r>
        <w:rPr>
          <w:rFonts w:hint="default" w:ascii="Times New Roman" w:hAnsi="Times New Roman" w:eastAsia="宋体" w:cs="Times New Roman"/>
          <w:spacing w:val="5"/>
          <w:sz w:val="21"/>
          <w:szCs w:val="21"/>
        </w:rPr>
        <w:t>兰“文化融入测试”等政策中得到制度化表达。三是对抗种族主义的多元文化</w:t>
      </w:r>
      <w:r>
        <w:rPr>
          <w:rFonts w:hint="default" w:ascii="Times New Roman" w:hAnsi="Times New Roman" w:eastAsia="宋体" w:cs="Times New Roman"/>
          <w:spacing w:val="4"/>
          <w:sz w:val="21"/>
          <w:szCs w:val="21"/>
        </w:rPr>
        <w:t>主义沦为市场逻辑的附庸。“文化多样性”被简化为消费主义景观</w:t>
      </w:r>
      <w:r>
        <w:rPr>
          <w:rFonts w:hint="default" w:ascii="Times New Roman" w:hAnsi="Times New Roman" w:eastAsia="宋体" w:cs="Times New Roman"/>
          <w:spacing w:val="3"/>
          <w:sz w:val="21"/>
          <w:szCs w:val="21"/>
        </w:rPr>
        <w:t>(如“世界美</w:t>
      </w:r>
      <w:r>
        <w:rPr>
          <w:rFonts w:hint="default" w:ascii="Times New Roman" w:hAnsi="Times New Roman" w:eastAsia="宋体" w:cs="Times New Roman"/>
          <w:spacing w:val="10"/>
          <w:sz w:val="21"/>
          <w:szCs w:val="21"/>
        </w:rPr>
        <w:t>食节”),而结构性种族不平等被“机会均等”的神话</w:t>
      </w:r>
      <w:r>
        <w:rPr>
          <w:rFonts w:hint="default" w:ascii="Times New Roman" w:hAnsi="Times New Roman" w:eastAsia="宋体" w:cs="Times New Roman"/>
          <w:spacing w:val="9"/>
          <w:sz w:val="21"/>
          <w:szCs w:val="21"/>
        </w:rPr>
        <w:t>遮蔽。正如布朗(</w:t>
      </w:r>
      <w:r>
        <w:rPr>
          <w:rFonts w:hint="default" w:ascii="Times New Roman" w:hAnsi="Times New Roman" w:eastAsia="宋体" w:cs="Times New Roman"/>
          <w:sz w:val="21"/>
          <w:szCs w:val="21"/>
        </w:rPr>
        <w:t>W</w:t>
      </w:r>
      <w:r>
        <w:rPr>
          <w:rFonts w:hint="default" w:ascii="Times New Roman" w:hAnsi="Times New Roman" w:eastAsia="宋体" w:cs="Times New Roman"/>
          <w:position w:val="-2"/>
          <w:sz w:val="21"/>
          <w:szCs w:val="21"/>
        </w:rPr>
        <w:t>en</w:t>
      </w:r>
      <w:r>
        <w:rPr>
          <w:rFonts w:hint="default" w:ascii="Times New Roman" w:hAnsi="Times New Roman" w:eastAsia="宋体" w:cs="Times New Roman"/>
          <w:position w:val="-3"/>
          <w:sz w:val="21"/>
          <w:szCs w:val="21"/>
        </w:rPr>
        <w:t>dy</w:t>
      </w:r>
      <w:r>
        <w:rPr>
          <w:rFonts w:hint="eastAsia" w:ascii="Times New Roman" w:hAnsi="Times New Roman" w:eastAsia="宋体" w:cs="Times New Roman"/>
          <w:position w:val="-3"/>
          <w:sz w:val="21"/>
          <w:szCs w:val="21"/>
          <w:lang w:val="en-US" w:eastAsia="zh-CN"/>
        </w:rPr>
        <w:t xml:space="preserve"> </w:t>
      </w:r>
      <w:r>
        <w:rPr>
          <w:rFonts w:hint="default" w:ascii="Times New Roman" w:hAnsi="Times New Roman" w:eastAsia="宋体" w:cs="Times New Roman"/>
          <w:position w:val="-2"/>
          <w:sz w:val="21"/>
          <w:szCs w:val="21"/>
        </w:rPr>
        <w:t>Brown</w:t>
      </w:r>
      <w:r>
        <w:rPr>
          <w:rFonts w:hint="default" w:ascii="Times New Roman" w:hAnsi="Times New Roman" w:eastAsia="宋体" w:cs="Times New Roman"/>
          <w:spacing w:val="10"/>
          <w:sz w:val="21"/>
          <w:szCs w:val="21"/>
        </w:rPr>
        <w:t>)指出的,这种“去政治化的差异承认”,实质是新自由</w:t>
      </w:r>
      <w:r>
        <w:rPr>
          <w:rFonts w:hint="default" w:ascii="Times New Roman" w:hAnsi="Times New Roman" w:eastAsia="宋体" w:cs="Times New Roman"/>
          <w:spacing w:val="9"/>
          <w:sz w:val="21"/>
          <w:szCs w:val="21"/>
        </w:rPr>
        <w:t>主义治理术对反</w:t>
      </w:r>
      <w:r>
        <w:rPr>
          <w:rFonts w:hint="default" w:ascii="Times New Roman" w:hAnsi="Times New Roman" w:eastAsia="宋体" w:cs="Times New Roman"/>
          <w:spacing w:val="8"/>
          <w:sz w:val="21"/>
          <w:szCs w:val="21"/>
        </w:rPr>
        <w:t>抗能量的收编。</w:t>
      </w:r>
      <w:r>
        <w:rPr>
          <w:rStyle w:val="20"/>
          <w:rFonts w:hint="default" w:ascii="Times New Roman" w:hAnsi="Times New Roman" w:eastAsia="宋体" w:cs="Times New Roman"/>
          <w:spacing w:val="8"/>
          <w:sz w:val="21"/>
          <w:szCs w:val="21"/>
        </w:rPr>
        <w:footnoteReference w:id="1187"/>
      </w:r>
    </w:p>
    <w:p w14:paraId="193A941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文化种族主义的危害主要有两个方面。一方面,文化种族主</w:t>
      </w:r>
      <w:r>
        <w:rPr>
          <w:rFonts w:hint="default" w:ascii="Times New Roman" w:hAnsi="Times New Roman" w:eastAsia="宋体" w:cs="Times New Roman"/>
          <w:spacing w:val="11"/>
          <w:sz w:val="21"/>
          <w:szCs w:val="21"/>
        </w:rPr>
        <w:t>义以平等为</w:t>
      </w:r>
      <w:r>
        <w:rPr>
          <w:rFonts w:hint="default" w:ascii="Times New Roman" w:hAnsi="Times New Roman" w:eastAsia="宋体" w:cs="Times New Roman"/>
          <w:spacing w:val="13"/>
          <w:sz w:val="21"/>
          <w:szCs w:val="21"/>
        </w:rPr>
        <w:t>出发点从而不承认历史造成的种族差距。它认为,过去</w:t>
      </w:r>
      <w:r>
        <w:rPr>
          <w:rFonts w:hint="default" w:ascii="Times New Roman" w:hAnsi="Times New Roman" w:eastAsia="宋体" w:cs="Times New Roman"/>
          <w:spacing w:val="12"/>
          <w:sz w:val="21"/>
          <w:szCs w:val="21"/>
        </w:rPr>
        <w:t>被视为劣等种族的群</w:t>
      </w:r>
      <w:r>
        <w:rPr>
          <w:rFonts w:hint="default" w:ascii="Times New Roman" w:hAnsi="Times New Roman" w:eastAsia="宋体" w:cs="Times New Roman"/>
          <w:spacing w:val="7"/>
          <w:sz w:val="21"/>
          <w:szCs w:val="21"/>
        </w:rPr>
        <w:t>体与其他群体能力相等,但他们缺乏平等对待所需的知识、理性思考能力和社</w:t>
      </w:r>
      <w:r>
        <w:rPr>
          <w:rFonts w:hint="default" w:ascii="Times New Roman" w:hAnsi="Times New Roman" w:eastAsia="宋体" w:cs="Times New Roman"/>
          <w:spacing w:val="15"/>
          <w:sz w:val="21"/>
          <w:szCs w:val="21"/>
        </w:rPr>
        <w:t>会行为。因此,种族问题在于文化而非生物学,随着时间推移,不平等自然会</w:t>
      </w:r>
      <w:r>
        <w:rPr>
          <w:rFonts w:hint="default" w:ascii="Times New Roman" w:hAnsi="Times New Roman" w:eastAsia="宋体" w:cs="Times New Roman"/>
          <w:spacing w:val="11"/>
          <w:sz w:val="21"/>
          <w:szCs w:val="21"/>
        </w:rPr>
        <w:t>消失。表现出更高能力的群体应获得更多奖</w:t>
      </w:r>
      <w:r>
        <w:rPr>
          <w:rFonts w:hint="default" w:ascii="Times New Roman" w:hAnsi="Times New Roman" w:eastAsia="宋体" w:cs="Times New Roman"/>
          <w:spacing w:val="10"/>
          <w:sz w:val="21"/>
          <w:szCs w:val="21"/>
        </w:rPr>
        <w:t>励,如更多的招生名额。</w:t>
      </w:r>
      <w:r>
        <w:rPr>
          <w:rStyle w:val="20"/>
          <w:rFonts w:hint="default" w:ascii="Times New Roman" w:hAnsi="Times New Roman" w:eastAsia="宋体" w:cs="Times New Roman"/>
          <w:spacing w:val="10"/>
          <w:sz w:val="21"/>
          <w:szCs w:val="21"/>
        </w:rPr>
        <w:footnoteReference w:id="1188"/>
      </w:r>
      <w:r>
        <w:rPr>
          <w:rFonts w:hint="default" w:ascii="Times New Roman" w:hAnsi="Times New Roman" w:eastAsia="宋体" w:cs="Times New Roman"/>
          <w:spacing w:val="10"/>
          <w:sz w:val="21"/>
          <w:szCs w:val="21"/>
        </w:rPr>
        <w:t>譬如,</w:t>
      </w:r>
      <w:r>
        <w:rPr>
          <w:rFonts w:hint="default" w:ascii="Times New Roman" w:hAnsi="Times New Roman" w:eastAsia="宋体" w:cs="Times New Roman"/>
          <w:spacing w:val="14"/>
          <w:position w:val="-2"/>
          <w:sz w:val="21"/>
          <w:szCs w:val="21"/>
        </w:rPr>
        <w:t>2023</w:t>
      </w:r>
      <w:r>
        <w:rPr>
          <w:rFonts w:hint="default" w:ascii="Times New Roman" w:hAnsi="Times New Roman" w:eastAsia="宋体" w:cs="Times New Roman"/>
          <w:spacing w:val="14"/>
          <w:sz w:val="21"/>
          <w:szCs w:val="21"/>
        </w:rPr>
        <w:t>年美国联邦最高法院取消大学招生中对少数族裔学生(但不包</w:t>
      </w:r>
      <w:r>
        <w:rPr>
          <w:rFonts w:hint="default" w:ascii="Times New Roman" w:hAnsi="Times New Roman" w:eastAsia="宋体" w:cs="Times New Roman"/>
          <w:spacing w:val="13"/>
          <w:sz w:val="21"/>
          <w:szCs w:val="21"/>
        </w:rPr>
        <w:t>括亚裔)</w:t>
      </w:r>
      <w:r>
        <w:rPr>
          <w:rFonts w:hint="default" w:ascii="Times New Roman" w:hAnsi="Times New Roman" w:eastAsia="宋体" w:cs="Times New Roman"/>
          <w:spacing w:val="7"/>
          <w:sz w:val="21"/>
          <w:szCs w:val="21"/>
        </w:rPr>
        <w:t>有录取倾斜的平权法案,据说是为了在高等教育中实现人人平等、“种族中立”</w:t>
      </w:r>
      <w:r>
        <w:rPr>
          <w:rFonts w:hint="default" w:ascii="Times New Roman" w:hAnsi="Times New Roman" w:eastAsia="宋体" w:cs="Times New Roman"/>
          <w:spacing w:val="8"/>
          <w:sz w:val="21"/>
          <w:szCs w:val="21"/>
        </w:rPr>
        <w:t>(</w:t>
      </w:r>
      <w:r>
        <w:rPr>
          <w:rFonts w:hint="default" w:ascii="Times New Roman" w:hAnsi="Times New Roman" w:eastAsia="宋体" w:cs="Times New Roman"/>
          <w:position w:val="-2"/>
          <w:sz w:val="21"/>
          <w:szCs w:val="21"/>
        </w:rPr>
        <w:t>race</w:t>
      </w:r>
      <w:r>
        <w:rPr>
          <w:rFonts w:hint="default" w:ascii="Times New Roman" w:hAnsi="Times New Roman" w:eastAsia="宋体" w:cs="Times New Roman"/>
          <w:spacing w:val="8"/>
          <w:position w:val="-2"/>
          <w:sz w:val="21"/>
          <w:szCs w:val="21"/>
        </w:rPr>
        <w:t>-</w:t>
      </w:r>
      <w:r>
        <w:rPr>
          <w:rFonts w:hint="default" w:ascii="Times New Roman" w:hAnsi="Times New Roman" w:eastAsia="宋体" w:cs="Times New Roman"/>
          <w:position w:val="-2"/>
          <w:sz w:val="21"/>
          <w:szCs w:val="21"/>
        </w:rPr>
        <w:t>neutra</w:t>
      </w:r>
      <w:r>
        <w:rPr>
          <w:rFonts w:hint="default" w:ascii="Times New Roman" w:hAnsi="Times New Roman" w:eastAsia="宋体" w:cs="Times New Roman"/>
          <w:sz w:val="21"/>
          <w:szCs w:val="21"/>
        </w:rPr>
        <w:t>l</w:t>
      </w:r>
      <w:r>
        <w:rPr>
          <w:rFonts w:hint="default" w:ascii="Times New Roman" w:hAnsi="Times New Roman" w:eastAsia="宋体" w:cs="Times New Roman"/>
          <w:spacing w:val="8"/>
          <w:sz w:val="21"/>
          <w:szCs w:val="21"/>
        </w:rPr>
        <w:t>),避免对种族刻板印象的消极滥用等</w:t>
      </w:r>
      <w:r>
        <w:rPr>
          <w:rStyle w:val="20"/>
          <w:rFonts w:hint="default" w:ascii="Times New Roman" w:hAnsi="Times New Roman" w:eastAsia="宋体" w:cs="Times New Roman"/>
          <w:spacing w:val="8"/>
          <w:sz w:val="21"/>
          <w:szCs w:val="21"/>
        </w:rPr>
        <w:footnoteReference w:id="1189"/>
      </w:r>
      <w:r>
        <w:rPr>
          <w:rFonts w:hint="default" w:ascii="Times New Roman" w:hAnsi="Times New Roman" w:eastAsia="宋体" w:cs="Times New Roman"/>
          <w:spacing w:val="8"/>
          <w:sz w:val="21"/>
          <w:szCs w:val="21"/>
        </w:rPr>
        <w:t>,而无视现实中教育因历</w:t>
      </w:r>
      <w:r>
        <w:rPr>
          <w:rFonts w:hint="default" w:ascii="Times New Roman" w:hAnsi="Times New Roman" w:eastAsia="宋体" w:cs="Times New Roman"/>
          <w:spacing w:val="7"/>
          <w:sz w:val="21"/>
          <w:szCs w:val="21"/>
        </w:rPr>
        <w:t>史因素造成的种族不平等。另一方面,文化种族主义在国际实践中凭借“文化</w:t>
      </w:r>
      <w:r>
        <w:rPr>
          <w:rFonts w:hint="default" w:ascii="Times New Roman" w:hAnsi="Times New Roman" w:eastAsia="宋体" w:cs="Times New Roman"/>
          <w:spacing w:val="-4"/>
          <w:sz w:val="21"/>
          <w:szCs w:val="21"/>
        </w:rPr>
        <w:t>优越性”来支配或摧毁“他者”的文化,通过语言、宗教、艺术等“剥夺他</w:t>
      </w:r>
      <w:r>
        <w:rPr>
          <w:rFonts w:hint="default" w:ascii="Times New Roman" w:hAnsi="Times New Roman" w:eastAsia="宋体" w:cs="Times New Roman"/>
          <w:spacing w:val="-5"/>
          <w:sz w:val="21"/>
          <w:szCs w:val="21"/>
        </w:rPr>
        <w:t>们的价</w:t>
      </w:r>
      <w:r>
        <w:rPr>
          <w:rFonts w:hint="default" w:ascii="Times New Roman" w:hAnsi="Times New Roman" w:eastAsia="宋体" w:cs="Times New Roman"/>
          <w:spacing w:val="11"/>
          <w:sz w:val="21"/>
          <w:szCs w:val="21"/>
        </w:rPr>
        <w:t>值观,禁绝延续其文化价值的机构、语言和生活方式”</w:t>
      </w:r>
      <w:r>
        <w:rPr>
          <w:rStyle w:val="20"/>
          <w:rFonts w:hint="default" w:ascii="Times New Roman" w:hAnsi="Times New Roman" w:eastAsia="宋体" w:cs="Times New Roman"/>
          <w:spacing w:val="11"/>
          <w:sz w:val="21"/>
          <w:szCs w:val="21"/>
        </w:rPr>
        <w:footnoteReference w:id="1190"/>
      </w:r>
      <w:r>
        <w:rPr>
          <w:rFonts w:hint="default" w:ascii="Times New Roman" w:hAnsi="Times New Roman" w:eastAsia="宋体" w:cs="Times New Roman"/>
          <w:spacing w:val="11"/>
          <w:sz w:val="21"/>
          <w:szCs w:val="21"/>
        </w:rPr>
        <w:t>,其</w:t>
      </w:r>
      <w:r>
        <w:rPr>
          <w:rFonts w:hint="default" w:ascii="Times New Roman" w:hAnsi="Times New Roman" w:eastAsia="宋体" w:cs="Times New Roman"/>
          <w:spacing w:val="10"/>
          <w:sz w:val="21"/>
          <w:szCs w:val="21"/>
        </w:rPr>
        <w:t>实质是以文化(种</w:t>
      </w:r>
      <w:r>
        <w:rPr>
          <w:rFonts w:hint="default" w:ascii="Times New Roman" w:hAnsi="Times New Roman" w:eastAsia="宋体" w:cs="Times New Roman"/>
          <w:spacing w:val="16"/>
          <w:sz w:val="21"/>
          <w:szCs w:val="21"/>
        </w:rPr>
        <w:t>族)优越性为幌子,通过重构文明等级制维系西方意识形态攻势</w:t>
      </w:r>
      <w:r>
        <w:rPr>
          <w:rFonts w:hint="default" w:ascii="Times New Roman" w:hAnsi="Times New Roman" w:eastAsia="宋体" w:cs="Times New Roman"/>
          <w:spacing w:val="15"/>
          <w:sz w:val="21"/>
          <w:szCs w:val="21"/>
        </w:rPr>
        <w:t>,从而有利于</w:t>
      </w:r>
      <w:r>
        <w:rPr>
          <w:rFonts w:hint="default" w:ascii="Times New Roman" w:hAnsi="Times New Roman" w:eastAsia="宋体" w:cs="Times New Roman"/>
          <w:spacing w:val="7"/>
          <w:sz w:val="21"/>
          <w:szCs w:val="21"/>
        </w:rPr>
        <w:t>新自由主义的全球秩序。</w:t>
      </w:r>
    </w:p>
    <w:p w14:paraId="15BB37E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可见,马克思和恩格斯在《德意志意识形态》中揭示的统</w:t>
      </w:r>
      <w:r>
        <w:rPr>
          <w:rFonts w:hint="default" w:ascii="Times New Roman" w:hAnsi="Times New Roman" w:eastAsia="宋体" w:cs="Times New Roman"/>
          <w:sz w:val="21"/>
          <w:szCs w:val="21"/>
        </w:rPr>
        <w:t>治阶级“思想的生产”</w:t>
      </w:r>
      <w:r>
        <w:rPr>
          <w:rStyle w:val="20"/>
          <w:rFonts w:hint="default" w:ascii="Times New Roman" w:hAnsi="Times New Roman" w:eastAsia="宋体" w:cs="Times New Roman"/>
          <w:sz w:val="21"/>
          <w:szCs w:val="21"/>
        </w:rPr>
        <w:footnoteReference w:id="1191"/>
      </w:r>
      <w:r>
        <w:rPr>
          <w:rFonts w:hint="default" w:ascii="Times New Roman" w:hAnsi="Times New Roman" w:eastAsia="宋体" w:cs="Times New Roman"/>
          <w:spacing w:val="15"/>
          <w:sz w:val="21"/>
          <w:szCs w:val="21"/>
        </w:rPr>
        <w:t>,由此在文化种族主义中得到了验证,即将阶级矛盾转移为文化冲突,使</w:t>
      </w:r>
      <w:r>
        <w:rPr>
          <w:rFonts w:hint="default" w:ascii="Times New Roman" w:hAnsi="Times New Roman" w:eastAsia="宋体" w:cs="Times New Roman"/>
          <w:spacing w:val="7"/>
          <w:sz w:val="21"/>
          <w:szCs w:val="21"/>
        </w:rPr>
        <w:t>新殖民剥削获得道德正当性。</w:t>
      </w:r>
    </w:p>
    <w:p w14:paraId="1C82FBE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b/>
          <w:bCs/>
          <w:sz w:val="24"/>
          <w:szCs w:val="24"/>
        </w:rPr>
      </w:pPr>
      <w:r>
        <w:rPr>
          <w:rFonts w:hint="default" w:ascii="Times New Roman" w:hAnsi="Times New Roman" w:eastAsia="宋体" w:cs="Times New Roman"/>
          <w:b/>
          <w:bCs/>
          <w:spacing w:val="-4"/>
          <w:sz w:val="24"/>
          <w:szCs w:val="24"/>
        </w:rPr>
        <w:t>二、当代种族主义的新表现</w:t>
      </w:r>
    </w:p>
    <w:p w14:paraId="45ED2C4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2001</w:t>
      </w:r>
      <w:r>
        <w:rPr>
          <w:rFonts w:hint="default" w:ascii="Times New Roman" w:hAnsi="Times New Roman" w:eastAsia="宋体" w:cs="Times New Roman"/>
          <w:spacing w:val="-1"/>
          <w:sz w:val="21"/>
          <w:szCs w:val="21"/>
        </w:rPr>
        <w:t>年美国</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position w:val="-2"/>
          <w:sz w:val="21"/>
          <w:szCs w:val="21"/>
        </w:rPr>
        <w:t>9</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position w:val="-2"/>
          <w:sz w:val="21"/>
          <w:szCs w:val="21"/>
        </w:rPr>
        <w:t>11</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sz w:val="21"/>
          <w:szCs w:val="21"/>
        </w:rPr>
        <w:t>事件</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sz w:val="21"/>
          <w:szCs w:val="21"/>
        </w:rPr>
        <w:t>2008年全球金融危机和</w:t>
      </w:r>
      <w:r>
        <w:rPr>
          <w:rFonts w:hint="default" w:ascii="Times New Roman" w:hAnsi="Times New Roman" w:eastAsia="宋体" w:cs="Times New Roman"/>
          <w:spacing w:val="-1"/>
          <w:position w:val="-2"/>
          <w:sz w:val="21"/>
          <w:szCs w:val="21"/>
        </w:rPr>
        <w:t>2020</w:t>
      </w:r>
      <w:r>
        <w:rPr>
          <w:rFonts w:hint="default" w:ascii="Times New Roman" w:hAnsi="Times New Roman" w:eastAsia="宋体" w:cs="Times New Roman"/>
          <w:spacing w:val="-1"/>
          <w:sz w:val="21"/>
          <w:szCs w:val="21"/>
        </w:rPr>
        <w:t>年新冠疫情这三</w:t>
      </w:r>
      <w:r>
        <w:rPr>
          <w:rFonts w:hint="default" w:ascii="Times New Roman" w:hAnsi="Times New Roman" w:eastAsia="宋体" w:cs="Times New Roman"/>
          <w:spacing w:val="10"/>
          <w:sz w:val="21"/>
          <w:szCs w:val="21"/>
        </w:rPr>
        <w:t>大事件对当代种族主义产生了深远影响,使其在新世纪表现出一些新特点。</w:t>
      </w:r>
    </w:p>
    <w:p w14:paraId="0FD5A63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(一)仇外民族主义</w:t>
      </w:r>
    </w:p>
    <w:p w14:paraId="42CA89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default" w:ascii="Times New Roman" w:hAnsi="Times New Roman" w:eastAsia="宋体" w:cs="Times New Roman"/>
          <w:spacing w:val="-1"/>
          <w:sz w:val="21"/>
          <w:szCs w:val="21"/>
        </w:rPr>
      </w:pPr>
      <w:r>
        <w:rPr>
          <w:rFonts w:hint="default" w:ascii="Times New Roman" w:hAnsi="Times New Roman" w:eastAsia="宋体" w:cs="Times New Roman"/>
          <w:spacing w:val="8"/>
          <w:position w:val="-2"/>
          <w:sz w:val="21"/>
          <w:szCs w:val="21"/>
        </w:rPr>
        <w:t>2011</w:t>
      </w:r>
      <w:r>
        <w:rPr>
          <w:rFonts w:hint="default" w:ascii="Times New Roman" w:hAnsi="Times New Roman" w:eastAsia="宋体" w:cs="Times New Roman"/>
          <w:spacing w:val="8"/>
          <w:sz w:val="21"/>
          <w:szCs w:val="21"/>
        </w:rPr>
        <w:t>年,有研究通过涵盖</w:t>
      </w:r>
      <w:r>
        <w:rPr>
          <w:rFonts w:hint="default" w:ascii="Times New Roman" w:hAnsi="Times New Roman" w:eastAsia="宋体" w:cs="Times New Roman"/>
          <w:spacing w:val="8"/>
          <w:position w:val="-2"/>
          <w:sz w:val="21"/>
          <w:szCs w:val="21"/>
        </w:rPr>
        <w:t>78</w:t>
      </w:r>
      <w:r>
        <w:rPr>
          <w:rFonts w:hint="default" w:ascii="Times New Roman" w:hAnsi="Times New Roman" w:eastAsia="宋体" w:cs="Times New Roman"/>
          <w:spacing w:val="8"/>
          <w:sz w:val="21"/>
          <w:szCs w:val="21"/>
        </w:rPr>
        <w:t>个国家的跨国数据(1981—2007年)分析,首</w:t>
      </w:r>
      <w:r>
        <w:rPr>
          <w:rFonts w:hint="default" w:ascii="Times New Roman" w:hAnsi="Times New Roman" w:eastAsia="宋体" w:cs="Times New Roman"/>
          <w:spacing w:val="12"/>
          <w:sz w:val="21"/>
          <w:szCs w:val="21"/>
        </w:rPr>
        <w:t>次实证探究不平等与民族主义之间的关系,认为在一般情况下,经济不平等将</w:t>
      </w:r>
      <w:r>
        <w:rPr>
          <w:rFonts w:hint="default" w:ascii="Times New Roman" w:hAnsi="Times New Roman" w:eastAsia="宋体" w:cs="Times New Roman"/>
          <w:spacing w:val="2"/>
          <w:sz w:val="21"/>
          <w:szCs w:val="21"/>
        </w:rPr>
        <w:t>显著增强民族主义情绪,基尼系数每增加</w:t>
      </w:r>
      <w:r>
        <w:rPr>
          <w:rFonts w:hint="default" w:ascii="Times New Roman" w:hAnsi="Times New Roman" w:eastAsia="宋体" w:cs="Times New Roman"/>
          <w:spacing w:val="2"/>
          <w:position w:val="-2"/>
          <w:sz w:val="21"/>
          <w:szCs w:val="21"/>
        </w:rPr>
        <w:t>1</w:t>
      </w:r>
      <w:r>
        <w:rPr>
          <w:rFonts w:hint="default" w:ascii="Times New Roman" w:hAnsi="Times New Roman" w:eastAsia="宋体" w:cs="Times New Roman"/>
          <w:spacing w:val="2"/>
          <w:sz w:val="21"/>
          <w:szCs w:val="21"/>
        </w:rPr>
        <w:t>个单位,民族主义情绪上升</w:t>
      </w:r>
      <w:r>
        <w:rPr>
          <w:rFonts w:hint="default" w:ascii="Times New Roman" w:hAnsi="Times New Roman" w:eastAsia="宋体" w:cs="Times New Roman"/>
          <w:spacing w:val="14"/>
          <w:position w:val="-2"/>
          <w:sz w:val="21"/>
          <w:szCs w:val="21"/>
        </w:rPr>
        <w:t>4.4%</w:t>
      </w:r>
      <w:r>
        <w:rPr>
          <w:rFonts w:hint="default" w:ascii="Times New Roman" w:hAnsi="Times New Roman" w:eastAsia="宋体" w:cs="Times New Roman"/>
          <w:spacing w:val="14"/>
          <w:position w:val="1"/>
          <w:sz w:val="21"/>
          <w:szCs w:val="21"/>
        </w:rPr>
        <w:t>。</w:t>
      </w:r>
      <w:r>
        <w:rPr>
          <w:rFonts w:hint="default" w:ascii="Times New Roman" w:hAnsi="Times New Roman" w:eastAsia="宋体" w:cs="Times New Roman"/>
          <w:spacing w:val="14"/>
          <w:sz w:val="21"/>
          <w:szCs w:val="21"/>
        </w:rPr>
        <w:t>当不平等达到峰值时,有的国家该数值飙升,如南非上升至</w:t>
      </w:r>
      <w:r>
        <w:rPr>
          <w:rFonts w:hint="default" w:ascii="Times New Roman" w:hAnsi="Times New Roman" w:eastAsia="宋体" w:cs="Times New Roman"/>
          <w:spacing w:val="14"/>
          <w:position w:val="-2"/>
          <w:sz w:val="21"/>
          <w:szCs w:val="21"/>
        </w:rPr>
        <w:t>83%</w:t>
      </w:r>
      <w:r>
        <w:rPr>
          <w:rFonts w:hint="default" w:ascii="Times New Roman" w:hAnsi="Times New Roman" w:eastAsia="宋体" w:cs="Times New Roman"/>
          <w:spacing w:val="14"/>
          <w:position w:val="1"/>
          <w:sz w:val="21"/>
          <w:szCs w:val="21"/>
        </w:rPr>
        <w:t>,</w:t>
      </w:r>
      <w:r>
        <w:rPr>
          <w:rFonts w:hint="default" w:ascii="Times New Roman" w:hAnsi="Times New Roman" w:eastAsia="宋体" w:cs="Times New Roman"/>
          <w:spacing w:val="14"/>
          <w:sz w:val="21"/>
          <w:szCs w:val="21"/>
        </w:rPr>
        <w:t>且不平等对民族主义的影响是全民性的,不分收入或阶层。该</w:t>
      </w:r>
      <w:r>
        <w:rPr>
          <w:rFonts w:hint="default" w:ascii="Times New Roman" w:hAnsi="Times New Roman" w:eastAsia="宋体" w:cs="Times New Roman"/>
          <w:spacing w:val="13"/>
          <w:sz w:val="21"/>
          <w:szCs w:val="21"/>
        </w:rPr>
        <w:t>研究证实了转移</w:t>
      </w:r>
      <w:r>
        <w:rPr>
          <w:rFonts w:hint="default" w:ascii="Times New Roman" w:hAnsi="Times New Roman" w:eastAsia="宋体" w:cs="Times New Roman"/>
          <w:spacing w:val="10"/>
          <w:sz w:val="21"/>
          <w:szCs w:val="21"/>
        </w:rPr>
        <w:t>性民族主义理论(</w:t>
      </w:r>
      <w:r>
        <w:rPr>
          <w:rFonts w:hint="default" w:ascii="Times New Roman" w:hAnsi="Times New Roman" w:eastAsia="宋体" w:cs="Times New Roman"/>
          <w:sz w:val="21"/>
          <w:szCs w:val="21"/>
        </w:rPr>
        <w:t>Diversionary</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position w:val="-2"/>
          <w:sz w:val="21"/>
          <w:szCs w:val="21"/>
        </w:rPr>
        <w:t>Th</w:t>
      </w:r>
      <w:r>
        <w:rPr>
          <w:rFonts w:hint="default" w:ascii="Times New Roman" w:hAnsi="Times New Roman" w:eastAsia="宋体" w:cs="Times New Roman"/>
          <w:sz w:val="21"/>
          <w:szCs w:val="21"/>
        </w:rPr>
        <w:t>eory</w:t>
      </w:r>
      <w:r>
        <w:rPr>
          <w:rFonts w:hint="default" w:ascii="Times New Roman" w:hAnsi="Times New Roman" w:eastAsia="宋体" w:cs="Times New Roman"/>
          <w:spacing w:val="10"/>
          <w:sz w:val="21"/>
          <w:szCs w:val="21"/>
        </w:rPr>
        <w:t>)的正确性</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sz w:val="21"/>
          <w:szCs w:val="21"/>
        </w:rPr>
        <w:t>即当国家在经济不平等加</w:t>
      </w:r>
      <w:r>
        <w:rPr>
          <w:rFonts w:hint="default" w:ascii="Times New Roman" w:hAnsi="Times New Roman" w:eastAsia="宋体" w:cs="Times New Roman"/>
          <w:spacing w:val="11"/>
          <w:sz w:val="21"/>
          <w:szCs w:val="21"/>
        </w:rPr>
        <w:t>剧时,会通过宣扬民族主义来转移民众对不平等问题的注意力,防止社会</w:t>
      </w:r>
      <w:r>
        <w:rPr>
          <w:rFonts w:hint="default" w:ascii="Times New Roman" w:hAnsi="Times New Roman" w:eastAsia="宋体" w:cs="Times New Roman"/>
          <w:spacing w:val="10"/>
          <w:sz w:val="21"/>
          <w:szCs w:val="21"/>
        </w:rPr>
        <w:t>动荡</w:t>
      </w:r>
      <w:r>
        <w:rPr>
          <w:rFonts w:hint="default" w:ascii="Times New Roman" w:hAnsi="Times New Roman" w:eastAsia="宋体" w:cs="Times New Roman"/>
          <w:spacing w:val="14"/>
          <w:sz w:val="21"/>
          <w:szCs w:val="21"/>
        </w:rPr>
        <w:t>和再分配要求。该研究表明,一些国家主动制造民族主义作</w:t>
      </w:r>
      <w:r>
        <w:rPr>
          <w:rFonts w:hint="default" w:ascii="Times New Roman" w:hAnsi="Times New Roman" w:eastAsia="宋体" w:cs="Times New Roman"/>
          <w:spacing w:val="13"/>
          <w:sz w:val="21"/>
          <w:szCs w:val="21"/>
        </w:rPr>
        <w:t>为转移不平等问</w:t>
      </w:r>
      <w:r>
        <w:rPr>
          <w:rFonts w:hint="default" w:ascii="Times New Roman" w:hAnsi="Times New Roman" w:eastAsia="宋体" w:cs="Times New Roman"/>
          <w:spacing w:val="7"/>
          <w:sz w:val="21"/>
          <w:szCs w:val="21"/>
        </w:rPr>
        <w:t>题的“社会麻醉剂”,并认为国内不平等将代替国际冲突而成为驱动当代狭隘</w:t>
      </w:r>
      <w:r>
        <w:rPr>
          <w:rFonts w:hint="default" w:ascii="Times New Roman" w:hAnsi="Times New Roman" w:eastAsia="宋体" w:cs="Times New Roman"/>
          <w:spacing w:val="-1"/>
          <w:sz w:val="21"/>
          <w:szCs w:val="21"/>
        </w:rPr>
        <w:t>民族主义的关键因素。</w:t>
      </w:r>
      <w:r>
        <w:rPr>
          <w:rStyle w:val="20"/>
          <w:rFonts w:hint="default" w:ascii="Times New Roman" w:hAnsi="Times New Roman" w:eastAsia="宋体" w:cs="Times New Roman"/>
          <w:spacing w:val="-1"/>
          <w:sz w:val="21"/>
          <w:szCs w:val="21"/>
        </w:rPr>
        <w:footnoteReference w:id="1192"/>
      </w:r>
    </w:p>
    <w:p w14:paraId="269129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这一研究很好地揭示了西方仇外民族主义高涨的原因。</w:t>
      </w:r>
      <w:r>
        <w:rPr>
          <w:rFonts w:hint="default" w:ascii="Times New Roman" w:hAnsi="Times New Roman" w:eastAsia="宋体" w:cs="Times New Roman"/>
          <w:spacing w:val="11"/>
          <w:position w:val="-2"/>
          <w:sz w:val="21"/>
          <w:szCs w:val="21"/>
        </w:rPr>
        <w:t>2008</w:t>
      </w:r>
      <w:r>
        <w:rPr>
          <w:rFonts w:hint="default" w:ascii="Times New Roman" w:hAnsi="Times New Roman" w:eastAsia="宋体" w:cs="Times New Roman"/>
          <w:spacing w:val="11"/>
          <w:sz w:val="21"/>
          <w:szCs w:val="21"/>
        </w:rPr>
        <w:t>年以来,全</w:t>
      </w:r>
      <w:r>
        <w:rPr>
          <w:rFonts w:hint="default" w:ascii="Times New Roman" w:hAnsi="Times New Roman" w:eastAsia="宋体" w:cs="Times New Roman"/>
          <w:spacing w:val="7"/>
          <w:sz w:val="21"/>
          <w:szCs w:val="21"/>
        </w:rPr>
        <w:t>球性经济危机导致失业率上升、福利削减,在经济不平等加剧和社会动荡的情</w:t>
      </w:r>
      <w:r>
        <w:rPr>
          <w:rFonts w:hint="default" w:ascii="Times New Roman" w:hAnsi="Times New Roman" w:eastAsia="宋体" w:cs="Times New Roman"/>
          <w:sz w:val="21"/>
          <w:szCs w:val="21"/>
        </w:rPr>
        <w:t>况下,右翼政党利用民族主义议题获取支持,并通过塑造“我们”与“他们”的二</w:t>
      </w:r>
      <w:r>
        <w:rPr>
          <w:rFonts w:hint="default" w:ascii="Times New Roman" w:hAnsi="Times New Roman" w:eastAsia="宋体" w:cs="Times New Roman"/>
          <w:spacing w:val="16"/>
          <w:sz w:val="21"/>
          <w:szCs w:val="21"/>
        </w:rPr>
        <w:t>元对立,诱导民众将矛头指向外来者,视外来者为经济负担,从而加剧了欧洲</w:t>
      </w:r>
      <w:r>
        <w:rPr>
          <w:rFonts w:hint="default" w:ascii="Times New Roman" w:hAnsi="Times New Roman" w:eastAsia="宋体" w:cs="Times New Roman"/>
          <w:spacing w:val="6"/>
          <w:sz w:val="21"/>
          <w:szCs w:val="21"/>
        </w:rPr>
        <w:t>的民族主义情绪,表现为对移民、穆斯林、罗姆人及犹太人的排斥</w:t>
      </w:r>
      <w:r>
        <w:rPr>
          <w:rFonts w:hint="default" w:ascii="Times New Roman" w:hAnsi="Times New Roman" w:eastAsia="宋体" w:cs="Times New Roman"/>
          <w:spacing w:val="5"/>
          <w:sz w:val="21"/>
          <w:szCs w:val="21"/>
        </w:rPr>
        <w:t>,进而推动民</w:t>
      </w:r>
      <w:r>
        <w:rPr>
          <w:rFonts w:hint="default" w:ascii="Times New Roman" w:hAnsi="Times New Roman" w:eastAsia="宋体" w:cs="Times New Roman"/>
          <w:spacing w:val="12"/>
          <w:sz w:val="21"/>
          <w:szCs w:val="21"/>
        </w:rPr>
        <w:t>族主义议程,这种现象在选举政治中尤为显著。有研究显示,对移</w:t>
      </w:r>
      <w:r>
        <w:rPr>
          <w:rFonts w:hint="default" w:ascii="Times New Roman" w:hAnsi="Times New Roman" w:eastAsia="宋体" w:cs="Times New Roman"/>
          <w:spacing w:val="11"/>
          <w:sz w:val="21"/>
          <w:szCs w:val="21"/>
        </w:rPr>
        <w:t>民的恐惧使美国白人政治立场向右翼移动,并使白人大规模地从民主党倒向共和党。目</w:t>
      </w:r>
      <w:r>
        <w:rPr>
          <w:rFonts w:hint="default" w:ascii="Times New Roman" w:hAnsi="Times New Roman" w:eastAsia="宋体" w:cs="Times New Roman"/>
          <w:spacing w:val="7"/>
          <w:sz w:val="21"/>
          <w:szCs w:val="21"/>
        </w:rPr>
        <w:t>前,在党派和投票方面的种族分歧已超过按阶级、年龄、性别和其他人口指标</w:t>
      </w:r>
      <w:r>
        <w:rPr>
          <w:rFonts w:hint="default" w:ascii="Times New Roman" w:hAnsi="Times New Roman" w:eastAsia="宋体" w:cs="Times New Roman"/>
          <w:spacing w:val="-7"/>
          <w:sz w:val="21"/>
          <w:szCs w:val="21"/>
        </w:rPr>
        <w:t>划分的分歧。</w:t>
      </w:r>
      <w:r>
        <w:rPr>
          <w:rStyle w:val="20"/>
          <w:rFonts w:hint="default" w:ascii="Times New Roman" w:hAnsi="Times New Roman" w:eastAsia="宋体" w:cs="Times New Roman"/>
          <w:spacing w:val="-7"/>
          <w:sz w:val="21"/>
          <w:szCs w:val="21"/>
        </w:rPr>
        <w:footnoteReference w:id="1193"/>
      </w:r>
    </w:p>
    <w:p w14:paraId="7A8DBE9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仇外民族主义(</w:t>
      </w:r>
      <w:r>
        <w:rPr>
          <w:rFonts w:hint="default" w:ascii="Times New Roman" w:hAnsi="Times New Roman" w:eastAsia="宋体" w:cs="Times New Roman"/>
          <w:sz w:val="21"/>
          <w:szCs w:val="21"/>
        </w:rPr>
        <w:t>X</w:t>
      </w:r>
      <w:r>
        <w:rPr>
          <w:rFonts w:hint="default" w:ascii="Times New Roman" w:hAnsi="Times New Roman" w:eastAsia="宋体" w:cs="Times New Roman"/>
          <w:position w:val="-2"/>
          <w:sz w:val="21"/>
          <w:szCs w:val="21"/>
        </w:rPr>
        <w:t>enophobic</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Nationalism</w:t>
      </w:r>
      <w:r>
        <w:rPr>
          <w:rFonts w:hint="default" w:ascii="Times New Roman" w:hAnsi="Times New Roman" w:eastAsia="宋体" w:cs="Times New Roman"/>
          <w:spacing w:val="10"/>
          <w:sz w:val="21"/>
          <w:szCs w:val="21"/>
        </w:rPr>
        <w:t>)对内表现为不断升温的反移民</w:t>
      </w:r>
      <w:r>
        <w:rPr>
          <w:rFonts w:hint="default" w:ascii="Times New Roman" w:hAnsi="Times New Roman" w:eastAsia="宋体" w:cs="Times New Roman"/>
          <w:spacing w:val="11"/>
          <w:sz w:val="21"/>
          <w:szCs w:val="21"/>
        </w:rPr>
        <w:t>情绪和种族主义言论</w:t>
      </w:r>
      <w:r>
        <w:rPr>
          <w:rStyle w:val="20"/>
          <w:rFonts w:hint="default" w:ascii="Times New Roman" w:hAnsi="Times New Roman" w:eastAsia="宋体" w:cs="Times New Roman"/>
          <w:spacing w:val="11"/>
          <w:sz w:val="21"/>
          <w:szCs w:val="21"/>
        </w:rPr>
        <w:footnoteReference w:id="1194"/>
      </w:r>
      <w:r>
        <w:rPr>
          <w:rFonts w:hint="default" w:ascii="Times New Roman" w:hAnsi="Times New Roman" w:eastAsia="宋体" w:cs="Times New Roman"/>
          <w:spacing w:val="11"/>
          <w:sz w:val="21"/>
          <w:szCs w:val="21"/>
        </w:rPr>
        <w:t>,许多西方国家通过收紧移民政</w:t>
      </w:r>
      <w:r>
        <w:rPr>
          <w:rFonts w:hint="default" w:ascii="Times New Roman" w:hAnsi="Times New Roman" w:eastAsia="宋体" w:cs="Times New Roman"/>
          <w:spacing w:val="10"/>
          <w:sz w:val="21"/>
          <w:szCs w:val="21"/>
        </w:rPr>
        <w:t>策来回应公众的焦虑。</w:t>
      </w:r>
      <w:r>
        <w:rPr>
          <w:rFonts w:hint="default" w:ascii="Times New Roman" w:hAnsi="Times New Roman" w:eastAsia="宋体" w:cs="Times New Roman"/>
          <w:spacing w:val="6"/>
          <w:sz w:val="21"/>
          <w:szCs w:val="21"/>
        </w:rPr>
        <w:t>例如,美国实行“零容忍”的移民政策,欧洲多国在进行限制难民入</w:t>
      </w:r>
      <w:r>
        <w:rPr>
          <w:rFonts w:hint="default" w:ascii="Times New Roman" w:hAnsi="Times New Roman" w:eastAsia="宋体" w:cs="Times New Roman"/>
          <w:spacing w:val="5"/>
          <w:sz w:val="21"/>
          <w:szCs w:val="21"/>
        </w:rPr>
        <w:t>境立法。这</w:t>
      </w:r>
      <w:r>
        <w:rPr>
          <w:rFonts w:hint="default" w:ascii="Times New Roman" w:hAnsi="Times New Roman" w:eastAsia="宋体" w:cs="Times New Roman"/>
          <w:spacing w:val="14"/>
          <w:sz w:val="21"/>
          <w:szCs w:val="21"/>
        </w:rPr>
        <w:t>些做派不仅对移民群体的生活造成了直接影响,也对社</w:t>
      </w:r>
      <w:r>
        <w:rPr>
          <w:rFonts w:hint="default" w:ascii="Times New Roman" w:hAnsi="Times New Roman" w:eastAsia="宋体" w:cs="Times New Roman"/>
          <w:spacing w:val="13"/>
          <w:sz w:val="21"/>
          <w:szCs w:val="21"/>
        </w:rPr>
        <w:t>会的多元性和包容性</w:t>
      </w:r>
      <w:r>
        <w:rPr>
          <w:rFonts w:hint="default" w:ascii="Times New Roman" w:hAnsi="Times New Roman" w:eastAsia="宋体" w:cs="Times New Roman"/>
          <w:spacing w:val="8"/>
          <w:sz w:val="21"/>
          <w:szCs w:val="21"/>
        </w:rPr>
        <w:t>构成了挑战。中国和俄罗斯被塑造为西方主要的地缘政治竞争者和极具危险</w:t>
      </w:r>
      <w:r>
        <w:rPr>
          <w:rFonts w:hint="default" w:ascii="Times New Roman" w:hAnsi="Times New Roman" w:eastAsia="宋体" w:cs="Times New Roman"/>
          <w:spacing w:val="14"/>
          <w:sz w:val="21"/>
          <w:szCs w:val="21"/>
        </w:rPr>
        <w:t>的战略对手,西方媒体的仇外民族主义在塑造公众对两</w:t>
      </w:r>
      <w:r>
        <w:rPr>
          <w:rFonts w:hint="default" w:ascii="Times New Roman" w:hAnsi="Times New Roman" w:eastAsia="宋体" w:cs="Times New Roman"/>
          <w:spacing w:val="13"/>
          <w:sz w:val="21"/>
          <w:szCs w:val="21"/>
        </w:rPr>
        <w:t>国的负面认知中发挥</w:t>
      </w:r>
      <w:r>
        <w:rPr>
          <w:rFonts w:hint="default" w:ascii="Times New Roman" w:hAnsi="Times New Roman" w:eastAsia="宋体" w:cs="Times New Roman"/>
          <w:spacing w:val="7"/>
          <w:sz w:val="21"/>
          <w:szCs w:val="21"/>
        </w:rPr>
        <w:t>了重要作用。在经济、军事和科技竞争加剧的背景下,反华和反俄情绪在公众</w:t>
      </w:r>
      <w:r>
        <w:rPr>
          <w:rFonts w:hint="default" w:ascii="Times New Roman" w:hAnsi="Times New Roman" w:eastAsia="宋体" w:cs="Times New Roman"/>
          <w:spacing w:val="19"/>
          <w:sz w:val="21"/>
          <w:szCs w:val="21"/>
        </w:rPr>
        <w:t>舆论中不断上升,并逐渐融入民族主义叙事。例如,调查显示,澳大利亚有</w:t>
      </w:r>
      <w:r>
        <w:rPr>
          <w:rFonts w:hint="default" w:ascii="Times New Roman" w:hAnsi="Times New Roman" w:eastAsia="宋体" w:cs="Times New Roman"/>
          <w:spacing w:val="9"/>
          <w:sz w:val="21"/>
          <w:szCs w:val="21"/>
        </w:rPr>
        <w:t>87%的受访者对中国持负面态度,而美国这一比例也高达</w:t>
      </w:r>
      <w:r>
        <w:rPr>
          <w:rFonts w:hint="default" w:ascii="Times New Roman" w:hAnsi="Times New Roman" w:eastAsia="宋体" w:cs="Times New Roman"/>
          <w:spacing w:val="9"/>
          <w:position w:val="-2"/>
          <w:sz w:val="21"/>
          <w:szCs w:val="21"/>
        </w:rPr>
        <w:t>83</w:t>
      </w:r>
      <w:r>
        <w:rPr>
          <w:rFonts w:hint="default" w:ascii="Times New Roman" w:hAnsi="Times New Roman" w:eastAsia="宋体" w:cs="Times New Roman"/>
          <w:spacing w:val="8"/>
          <w:position w:val="-2"/>
          <w:sz w:val="21"/>
          <w:szCs w:val="21"/>
        </w:rPr>
        <w:t>%</w:t>
      </w:r>
      <w:r>
        <w:rPr>
          <w:rFonts w:hint="default" w:ascii="Times New Roman" w:hAnsi="Times New Roman" w:eastAsia="宋体" w:cs="Times New Roman"/>
          <w:spacing w:val="8"/>
          <w:position w:val="1"/>
          <w:sz w:val="21"/>
          <w:szCs w:val="21"/>
        </w:rPr>
        <w:t>。</w:t>
      </w:r>
      <w:r>
        <w:rPr>
          <w:rStyle w:val="20"/>
          <w:rFonts w:hint="default" w:ascii="Times New Roman" w:hAnsi="Times New Roman" w:eastAsia="宋体" w:cs="Times New Roman"/>
          <w:spacing w:val="8"/>
          <w:position w:val="1"/>
          <w:sz w:val="21"/>
          <w:szCs w:val="21"/>
        </w:rPr>
        <w:footnoteReference w:id="1195"/>
      </w:r>
      <w:r>
        <w:rPr>
          <w:rFonts w:hint="default" w:ascii="Times New Roman" w:hAnsi="Times New Roman" w:eastAsia="宋体" w:cs="Times New Roman"/>
          <w:spacing w:val="8"/>
          <w:sz w:val="21"/>
          <w:szCs w:val="21"/>
        </w:rPr>
        <w:t>这种针对</w:t>
      </w:r>
      <w:r>
        <w:rPr>
          <w:rFonts w:hint="default" w:ascii="Times New Roman" w:hAnsi="Times New Roman" w:eastAsia="宋体" w:cs="Times New Roman"/>
          <w:spacing w:val="12"/>
          <w:sz w:val="21"/>
          <w:szCs w:val="21"/>
        </w:rPr>
        <w:t>中国的仇外民族主义情绪,不仅反映了国际政治经济的竞争,也揭示了</w:t>
      </w:r>
      <w:r>
        <w:rPr>
          <w:rFonts w:hint="default" w:ascii="Times New Roman" w:hAnsi="Times New Roman" w:eastAsia="宋体" w:cs="Times New Roman"/>
          <w:spacing w:val="11"/>
          <w:sz w:val="21"/>
          <w:szCs w:val="21"/>
        </w:rPr>
        <w:t>西方社</w:t>
      </w:r>
      <w:r>
        <w:rPr>
          <w:rFonts w:hint="default" w:ascii="Times New Roman" w:hAnsi="Times New Roman" w:eastAsia="宋体" w:cs="Times New Roman"/>
          <w:spacing w:val="7"/>
          <w:sz w:val="21"/>
          <w:szCs w:val="21"/>
        </w:rPr>
        <w:t>会内部的身份焦虑和文化冲突。</w:t>
      </w:r>
    </w:p>
    <w:p w14:paraId="6A9F0EA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12"/>
          <w:sz w:val="21"/>
          <w:szCs w:val="21"/>
        </w:rPr>
        <w:t>(二)色盲种族主义</w:t>
      </w:r>
    </w:p>
    <w:p w14:paraId="7378F7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进入</w:t>
      </w:r>
      <w:r>
        <w:rPr>
          <w:rFonts w:hint="default" w:ascii="Times New Roman" w:hAnsi="Times New Roman" w:eastAsia="宋体" w:cs="Times New Roman"/>
          <w:spacing w:val="3"/>
          <w:position w:val="-2"/>
          <w:sz w:val="21"/>
          <w:szCs w:val="21"/>
        </w:rPr>
        <w:t>21</w:t>
      </w:r>
      <w:r>
        <w:rPr>
          <w:rFonts w:hint="default" w:ascii="Times New Roman" w:hAnsi="Times New Roman" w:eastAsia="宋体" w:cs="Times New Roman"/>
          <w:spacing w:val="3"/>
          <w:sz w:val="21"/>
          <w:szCs w:val="21"/>
        </w:rPr>
        <w:t>世纪</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色盲</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position w:val="-2"/>
          <w:sz w:val="21"/>
          <w:szCs w:val="21"/>
        </w:rPr>
        <w:t>color</w:t>
      </w:r>
      <w:r>
        <w:rPr>
          <w:rFonts w:hint="default" w:ascii="Times New Roman" w:hAnsi="Times New Roman" w:eastAsia="宋体" w:cs="Times New Roman"/>
          <w:spacing w:val="3"/>
          <w:position w:val="-2"/>
          <w:sz w:val="21"/>
          <w:szCs w:val="21"/>
        </w:rPr>
        <w:t>-</w:t>
      </w:r>
      <w:r>
        <w:rPr>
          <w:rFonts w:hint="default" w:ascii="Times New Roman" w:hAnsi="Times New Roman" w:eastAsia="宋体" w:cs="Times New Roman"/>
          <w:position w:val="-2"/>
          <w:sz w:val="21"/>
          <w:szCs w:val="21"/>
        </w:rPr>
        <w:t>blindness</w:t>
      </w:r>
      <w:r>
        <w:rPr>
          <w:rFonts w:hint="default" w:ascii="Times New Roman" w:hAnsi="Times New Roman" w:eastAsia="宋体" w:cs="Times New Roman"/>
          <w:spacing w:val="3"/>
          <w:sz w:val="21"/>
          <w:szCs w:val="21"/>
        </w:rPr>
        <w:t>)逐渐成为种族主义者规避批判的修辞策略。“色盲种族主义”一词是用来描述在后民权时代持续存在的种族主</w:t>
      </w:r>
      <w:r>
        <w:rPr>
          <w:rFonts w:hint="default" w:ascii="Times New Roman" w:hAnsi="Times New Roman" w:eastAsia="宋体" w:cs="Times New Roman"/>
          <w:spacing w:val="12"/>
          <w:sz w:val="21"/>
          <w:szCs w:val="21"/>
        </w:rPr>
        <w:t>义的主流形式,它并不使用国家授权的暴力来维持种族等级关系,而只</w:t>
      </w:r>
      <w:r>
        <w:rPr>
          <w:rFonts w:hint="default" w:ascii="Times New Roman" w:hAnsi="Times New Roman" w:eastAsia="宋体" w:cs="Times New Roman"/>
          <w:spacing w:val="11"/>
          <w:sz w:val="21"/>
          <w:szCs w:val="21"/>
        </w:rPr>
        <w:t>是在人</w:t>
      </w:r>
      <w:r>
        <w:rPr>
          <w:rFonts w:hint="default" w:ascii="Times New Roman" w:hAnsi="Times New Roman" w:eastAsia="宋体" w:cs="Times New Roman"/>
          <w:spacing w:val="1"/>
          <w:sz w:val="21"/>
          <w:szCs w:val="21"/>
        </w:rPr>
        <w:t>们的言语、态度和不太明显的种族主义行为中流露出来。</w:t>
      </w:r>
      <w:r>
        <w:rPr>
          <w:rStyle w:val="20"/>
          <w:rFonts w:hint="default" w:ascii="Times New Roman" w:hAnsi="Times New Roman" w:eastAsia="宋体" w:cs="Times New Roman"/>
          <w:spacing w:val="1"/>
          <w:sz w:val="21"/>
          <w:szCs w:val="21"/>
        </w:rPr>
        <w:footnoteReference w:id="1196"/>
      </w:r>
    </w:p>
    <w:p w14:paraId="2868988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色盲种族主义(</w:t>
      </w:r>
      <w:r>
        <w:rPr>
          <w:rFonts w:hint="default" w:ascii="Times New Roman" w:hAnsi="Times New Roman" w:eastAsia="宋体" w:cs="Times New Roman"/>
          <w:position w:val="-2"/>
          <w:sz w:val="21"/>
          <w:szCs w:val="21"/>
        </w:rPr>
        <w:t>color</w:t>
      </w:r>
      <w:r>
        <w:rPr>
          <w:rFonts w:hint="default" w:ascii="Times New Roman" w:hAnsi="Times New Roman" w:eastAsia="宋体" w:cs="Times New Roman"/>
          <w:spacing w:val="7"/>
          <w:position w:val="-2"/>
          <w:sz w:val="21"/>
          <w:szCs w:val="21"/>
        </w:rPr>
        <w:t>-</w:t>
      </w:r>
      <w:r>
        <w:rPr>
          <w:rFonts w:hint="default" w:ascii="Times New Roman" w:hAnsi="Times New Roman" w:eastAsia="宋体" w:cs="Times New Roman"/>
          <w:position w:val="-2"/>
          <w:sz w:val="21"/>
          <w:szCs w:val="21"/>
        </w:rPr>
        <w:t>blindracism</w:t>
      </w:r>
      <w:r>
        <w:rPr>
          <w:rFonts w:hint="default" w:ascii="Times New Roman" w:hAnsi="Times New Roman" w:eastAsia="宋体" w:cs="Times New Roman"/>
          <w:spacing w:val="7"/>
          <w:sz w:val="21"/>
          <w:szCs w:val="21"/>
        </w:rPr>
        <w:t>)以抽象自由主义为理论基底,</w:t>
      </w:r>
      <w:r>
        <w:rPr>
          <w:rFonts w:hint="default" w:ascii="Times New Roman" w:hAnsi="Times New Roman" w:eastAsia="宋体" w:cs="Times New Roman"/>
          <w:spacing w:val="6"/>
          <w:sz w:val="21"/>
          <w:szCs w:val="21"/>
        </w:rPr>
        <w:t>将种族</w:t>
      </w:r>
      <w:r>
        <w:rPr>
          <w:rFonts w:hint="default" w:ascii="Times New Roman" w:hAnsi="Times New Roman" w:eastAsia="宋体" w:cs="Times New Roman"/>
          <w:spacing w:val="12"/>
          <w:sz w:val="21"/>
          <w:szCs w:val="21"/>
        </w:rPr>
        <w:t>不平等简化为个体选择的结果,否认制度化歧视的存在;将种族差异归</w:t>
      </w:r>
      <w:r>
        <w:rPr>
          <w:rFonts w:hint="default" w:ascii="Times New Roman" w:hAnsi="Times New Roman" w:eastAsia="宋体" w:cs="Times New Roman"/>
          <w:spacing w:val="11"/>
          <w:sz w:val="21"/>
          <w:szCs w:val="21"/>
        </w:rPr>
        <w:t>因为个</w:t>
      </w:r>
      <w:r>
        <w:rPr>
          <w:rFonts w:hint="default" w:ascii="Times New Roman" w:hAnsi="Times New Roman" w:eastAsia="宋体" w:cs="Times New Roman"/>
          <w:spacing w:val="7"/>
          <w:sz w:val="21"/>
          <w:szCs w:val="21"/>
        </w:rPr>
        <w:t>体的内在特质或文化差距,同时指控针对少数族裔的补偿性政策构成“反向歧</w:t>
      </w:r>
      <w:r>
        <w:rPr>
          <w:rFonts w:hint="default" w:ascii="Times New Roman" w:hAnsi="Times New Roman" w:eastAsia="宋体" w:cs="Times New Roman"/>
          <w:spacing w:val="1"/>
          <w:sz w:val="21"/>
          <w:szCs w:val="21"/>
        </w:rPr>
        <w:t>视”。其核心策略是以“种族中立”为名,漠视少数族裔面临的结构性障碍与系</w:t>
      </w:r>
      <w:r>
        <w:rPr>
          <w:rFonts w:hint="default" w:ascii="Times New Roman" w:hAnsi="Times New Roman" w:eastAsia="宋体" w:cs="Times New Roman"/>
          <w:spacing w:val="16"/>
          <w:sz w:val="21"/>
          <w:szCs w:val="21"/>
        </w:rPr>
        <w:t>统性歧视,或否认种族差异的持续性,宣称种族主义已成历史遗迹,实则以形</w:t>
      </w:r>
      <w:r>
        <w:rPr>
          <w:rFonts w:hint="default" w:ascii="Times New Roman" w:hAnsi="Times New Roman" w:eastAsia="宋体" w:cs="Times New Roman"/>
          <w:spacing w:val="1"/>
          <w:sz w:val="21"/>
          <w:szCs w:val="21"/>
        </w:rPr>
        <w:t>式平等掩盖实质不平等,形成一种“没有种族主义者的种族主义”或“视而不见</w:t>
      </w:r>
      <w:r>
        <w:rPr>
          <w:rFonts w:hint="default" w:ascii="Times New Roman" w:hAnsi="Times New Roman" w:eastAsia="宋体" w:cs="Times New Roman"/>
          <w:spacing w:val="-21"/>
          <w:sz w:val="21"/>
          <w:szCs w:val="21"/>
        </w:rPr>
        <w:t>的种族主义”。</w:t>
      </w:r>
      <w:r>
        <w:rPr>
          <w:rStyle w:val="20"/>
          <w:rFonts w:hint="default" w:ascii="Times New Roman" w:hAnsi="Times New Roman" w:eastAsia="宋体" w:cs="Times New Roman"/>
          <w:spacing w:val="-21"/>
          <w:sz w:val="21"/>
          <w:szCs w:val="21"/>
        </w:rPr>
        <w:footnoteReference w:id="1197"/>
      </w:r>
    </w:p>
    <w:p w14:paraId="7D1F9E9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色盲种族主义常与文化话语共谋,例如将贫困归咎于“少</w:t>
      </w:r>
      <w:r>
        <w:rPr>
          <w:rFonts w:hint="default" w:ascii="Times New Roman" w:hAnsi="Times New Roman" w:eastAsia="宋体" w:cs="Times New Roman"/>
          <w:spacing w:val="13"/>
          <w:sz w:val="21"/>
          <w:szCs w:val="21"/>
        </w:rPr>
        <w:t>数族裔文化缺</w:t>
      </w:r>
      <w:r>
        <w:rPr>
          <w:rFonts w:hint="default" w:ascii="Times New Roman" w:hAnsi="Times New Roman" w:eastAsia="宋体" w:cs="Times New Roman"/>
          <w:spacing w:val="11"/>
          <w:sz w:val="21"/>
          <w:szCs w:val="21"/>
        </w:rPr>
        <w:t>陷”,实则暗合文化种族主义逻辑。文化种族主</w:t>
      </w:r>
      <w:r>
        <w:rPr>
          <w:rFonts w:hint="default" w:ascii="Times New Roman" w:hAnsi="Times New Roman" w:eastAsia="宋体" w:cs="Times New Roman"/>
          <w:spacing w:val="10"/>
          <w:sz w:val="21"/>
          <w:szCs w:val="21"/>
        </w:rPr>
        <w:t>义通过排他性政策(如移民限</w:t>
      </w:r>
      <w:r>
        <w:rPr>
          <w:rFonts w:hint="default" w:ascii="Times New Roman" w:hAnsi="Times New Roman" w:eastAsia="宋体" w:cs="Times New Roman"/>
          <w:spacing w:val="13"/>
          <w:sz w:val="21"/>
          <w:szCs w:val="21"/>
        </w:rPr>
        <w:t>制)推行隔离,而色盲种族主义则借反对制度改革(如抵制平权法案)固</w:t>
      </w:r>
      <w:r>
        <w:rPr>
          <w:rFonts w:hint="default" w:ascii="Times New Roman" w:hAnsi="Times New Roman" w:eastAsia="宋体" w:cs="Times New Roman"/>
          <w:spacing w:val="12"/>
          <w:sz w:val="21"/>
          <w:szCs w:val="21"/>
        </w:rPr>
        <w:t>化系统</w:t>
      </w:r>
      <w:r>
        <w:rPr>
          <w:rFonts w:hint="default" w:ascii="Times New Roman" w:hAnsi="Times New Roman" w:eastAsia="宋体" w:cs="Times New Roman"/>
          <w:spacing w:val="14"/>
          <w:sz w:val="21"/>
          <w:szCs w:val="21"/>
        </w:rPr>
        <w:t>性种族主义造成的不公。二者虽路径相异,却共同侵蚀</w:t>
      </w:r>
      <w:r>
        <w:rPr>
          <w:rFonts w:hint="default" w:ascii="Times New Roman" w:hAnsi="Times New Roman" w:eastAsia="宋体" w:cs="Times New Roman"/>
          <w:spacing w:val="13"/>
          <w:sz w:val="21"/>
          <w:szCs w:val="21"/>
        </w:rPr>
        <w:t>少数族裔权益。这种</w:t>
      </w:r>
      <w:r>
        <w:rPr>
          <w:rFonts w:hint="default" w:ascii="Times New Roman" w:hAnsi="Times New Roman" w:eastAsia="宋体" w:cs="Times New Roman"/>
          <w:spacing w:val="9"/>
          <w:sz w:val="21"/>
          <w:szCs w:val="21"/>
        </w:rPr>
        <w:t>机制深刻揭示了色盲种族主义与白人民族主义共享</w:t>
      </w:r>
      <w:r>
        <w:rPr>
          <w:rFonts w:hint="default" w:ascii="Times New Roman" w:hAnsi="Times New Roman" w:eastAsia="宋体" w:cs="Times New Roman"/>
          <w:spacing w:val="8"/>
          <w:sz w:val="21"/>
          <w:szCs w:val="21"/>
        </w:rPr>
        <w:t>的种族压迫本质。</w:t>
      </w:r>
    </w:p>
    <w:p w14:paraId="58ED2FB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色盲种族主义对</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sz w:val="21"/>
          <w:szCs w:val="21"/>
        </w:rPr>
        <w:t>后种族主义</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position w:val="-1"/>
          <w:sz w:val="21"/>
          <w:szCs w:val="21"/>
        </w:rPr>
        <w:t>postracia</w:t>
      </w:r>
      <w:r>
        <w:rPr>
          <w:rFonts w:hint="default" w:ascii="Times New Roman" w:hAnsi="Times New Roman" w:eastAsia="宋体" w:cs="Times New Roman"/>
          <w:position w:val="-2"/>
          <w:sz w:val="21"/>
          <w:szCs w:val="21"/>
        </w:rPr>
        <w:t>lism</w:t>
      </w:r>
      <w:r>
        <w:rPr>
          <w:rFonts w:hint="default" w:ascii="Times New Roman" w:hAnsi="Times New Roman" w:eastAsia="宋体" w:cs="Times New Roman"/>
          <w:spacing w:val="1"/>
          <w:sz w:val="21"/>
          <w:szCs w:val="21"/>
        </w:rPr>
        <w:t>)的产生有重要影</w:t>
      </w:r>
      <w:r>
        <w:rPr>
          <w:rFonts w:hint="default" w:ascii="Times New Roman" w:hAnsi="Times New Roman" w:eastAsia="宋体" w:cs="Times New Roman"/>
          <w:sz w:val="21"/>
          <w:szCs w:val="21"/>
        </w:rPr>
        <w:t>响</w:t>
      </w:r>
      <w:r>
        <w:rPr>
          <w:rFonts w:hint="default" w:ascii="Times New Roman" w:hAnsi="Times New Roman" w:eastAsia="宋体" w:cs="Times New Roman"/>
          <w:position w:val="1"/>
          <w:sz w:val="21"/>
          <w:szCs w:val="21"/>
        </w:rPr>
        <w:t>。“</w:t>
      </w:r>
      <w:r>
        <w:rPr>
          <w:rFonts w:hint="default" w:ascii="Times New Roman" w:hAnsi="Times New Roman" w:eastAsia="宋体" w:cs="Times New Roman"/>
          <w:sz w:val="21"/>
          <w:szCs w:val="21"/>
        </w:rPr>
        <w:t>后</w:t>
      </w:r>
      <w:r>
        <w:rPr>
          <w:rFonts w:hint="default" w:ascii="Times New Roman" w:hAnsi="Times New Roman" w:eastAsia="宋体" w:cs="Times New Roman"/>
          <w:spacing w:val="7"/>
          <w:sz w:val="21"/>
          <w:szCs w:val="21"/>
        </w:rPr>
        <w:t>种族主义”一词在</w:t>
      </w:r>
      <w:r>
        <w:rPr>
          <w:rFonts w:hint="default" w:ascii="Times New Roman" w:hAnsi="Times New Roman" w:eastAsia="宋体" w:cs="Times New Roman"/>
          <w:spacing w:val="7"/>
          <w:position w:val="-2"/>
          <w:sz w:val="21"/>
          <w:szCs w:val="21"/>
        </w:rPr>
        <w:t>2008</w:t>
      </w:r>
      <w:r>
        <w:rPr>
          <w:rFonts w:hint="default" w:ascii="Times New Roman" w:hAnsi="Times New Roman" w:eastAsia="宋体" w:cs="Times New Roman"/>
          <w:spacing w:val="7"/>
          <w:sz w:val="21"/>
          <w:szCs w:val="21"/>
        </w:rPr>
        <w:t>年美国总统大选期间进</w:t>
      </w:r>
      <w:r>
        <w:rPr>
          <w:rFonts w:hint="default" w:ascii="Times New Roman" w:hAnsi="Times New Roman" w:eastAsia="宋体" w:cs="Times New Roman"/>
          <w:spacing w:val="6"/>
          <w:sz w:val="21"/>
          <w:szCs w:val="21"/>
        </w:rPr>
        <w:t>入主流词汇。当时,一些人认</w:t>
      </w:r>
      <w:r>
        <w:rPr>
          <w:rFonts w:hint="default" w:ascii="Times New Roman" w:hAnsi="Times New Roman" w:eastAsia="宋体" w:cs="Times New Roman"/>
          <w:spacing w:val="7"/>
          <w:sz w:val="21"/>
          <w:szCs w:val="21"/>
        </w:rPr>
        <w:t>为黑人奥巴马当选为美国总统表明美国已经克服了种族主义,进入了“后种族</w:t>
      </w:r>
      <w:r>
        <w:rPr>
          <w:rFonts w:hint="default" w:ascii="Times New Roman" w:hAnsi="Times New Roman" w:eastAsia="宋体" w:cs="Times New Roman"/>
          <w:spacing w:val="1"/>
          <w:sz w:val="21"/>
          <w:szCs w:val="21"/>
        </w:rPr>
        <w:t>时代”,从而形成了“后种族主义”。目前学界对后种族主</w:t>
      </w:r>
      <w:r>
        <w:rPr>
          <w:rFonts w:hint="default" w:ascii="Times New Roman" w:hAnsi="Times New Roman" w:eastAsia="宋体" w:cs="Times New Roman"/>
          <w:sz w:val="21"/>
          <w:szCs w:val="21"/>
        </w:rPr>
        <w:t>义的含义尚未达成共</w:t>
      </w:r>
      <w:r>
        <w:rPr>
          <w:rFonts w:hint="default" w:ascii="Times New Roman" w:hAnsi="Times New Roman" w:eastAsia="宋体" w:cs="Times New Roman"/>
          <w:spacing w:val="6"/>
          <w:sz w:val="21"/>
          <w:szCs w:val="21"/>
        </w:rPr>
        <w:t>识。第一种观点,可称为“描述性后种族主义”,声称种族不平等</w:t>
      </w:r>
      <w:r>
        <w:rPr>
          <w:rFonts w:hint="default" w:ascii="Times New Roman" w:hAnsi="Times New Roman" w:eastAsia="宋体" w:cs="Times New Roman"/>
          <w:spacing w:val="5"/>
          <w:sz w:val="21"/>
          <w:szCs w:val="21"/>
        </w:rPr>
        <w:t>、种族主义或</w:t>
      </w:r>
      <w:r>
        <w:rPr>
          <w:rFonts w:hint="default" w:ascii="Times New Roman" w:hAnsi="Times New Roman" w:eastAsia="宋体" w:cs="Times New Roman"/>
          <w:spacing w:val="12"/>
          <w:sz w:val="21"/>
          <w:szCs w:val="21"/>
        </w:rPr>
        <w:t>二者都已基本消失。第二种观点,可称为规范的后种族主义,渴望建</w:t>
      </w:r>
      <w:r>
        <w:rPr>
          <w:rFonts w:hint="default" w:ascii="Times New Roman" w:hAnsi="Times New Roman" w:eastAsia="宋体" w:cs="Times New Roman"/>
          <w:spacing w:val="11"/>
          <w:sz w:val="21"/>
          <w:szCs w:val="21"/>
        </w:rPr>
        <w:t>立一个种</w:t>
      </w:r>
      <w:r>
        <w:rPr>
          <w:rFonts w:hint="default" w:ascii="Times New Roman" w:hAnsi="Times New Roman" w:eastAsia="宋体" w:cs="Times New Roman"/>
          <w:sz w:val="21"/>
          <w:szCs w:val="21"/>
        </w:rPr>
        <w:t>族不再重要、不再需要讨论种族的“色盲”社会。</w:t>
      </w:r>
      <w:r>
        <w:rPr>
          <w:rStyle w:val="20"/>
          <w:rFonts w:hint="default" w:ascii="Times New Roman" w:hAnsi="Times New Roman" w:eastAsia="宋体" w:cs="Times New Roman"/>
          <w:sz w:val="21"/>
          <w:szCs w:val="21"/>
        </w:rPr>
        <w:footnoteReference w:id="1198"/>
      </w:r>
      <w:r>
        <w:rPr>
          <w:rFonts w:hint="default" w:ascii="Times New Roman" w:hAnsi="Times New Roman" w:eastAsia="宋体" w:cs="Times New Roman"/>
          <w:sz w:val="21"/>
          <w:szCs w:val="21"/>
        </w:rPr>
        <w:t>在芬兰等北欧国家,官方分</w:t>
      </w:r>
      <w:r>
        <w:rPr>
          <w:rFonts w:hint="default" w:ascii="Times New Roman" w:hAnsi="Times New Roman" w:eastAsia="宋体" w:cs="Times New Roman"/>
          <w:spacing w:val="12"/>
          <w:sz w:val="21"/>
          <w:szCs w:val="21"/>
        </w:rPr>
        <w:t>类中没有使用种族身份,因为国家政策是基于色盲普遍主义(</w:t>
      </w:r>
      <w:r>
        <w:rPr>
          <w:rFonts w:hint="default" w:ascii="Times New Roman" w:hAnsi="Times New Roman" w:eastAsia="宋体" w:cs="Times New Roman"/>
          <w:position w:val="-2"/>
          <w:sz w:val="21"/>
          <w:szCs w:val="21"/>
        </w:rPr>
        <w:t>colourblinduni</w:t>
      </w:r>
      <w:r>
        <w:rPr>
          <w:rFonts w:hint="default" w:ascii="Times New Roman" w:hAnsi="Times New Roman" w:eastAsia="宋体" w:cs="Times New Roman"/>
          <w:spacing w:val="12"/>
          <w:position w:val="-2"/>
          <w:sz w:val="21"/>
          <w:szCs w:val="21"/>
        </w:rPr>
        <w:t>-</w:t>
      </w:r>
      <w:r>
        <w:rPr>
          <w:rFonts w:hint="default" w:ascii="Times New Roman" w:hAnsi="Times New Roman" w:eastAsia="宋体" w:cs="Times New Roman"/>
          <w:spacing w:val="-12"/>
          <w:position w:val="-2"/>
          <w:sz w:val="21"/>
          <w:szCs w:val="21"/>
        </w:rPr>
        <w:t>versalism</w:t>
      </w:r>
      <w:r>
        <w:rPr>
          <w:rFonts w:hint="default" w:ascii="Times New Roman" w:hAnsi="Times New Roman" w:eastAsia="宋体" w:cs="Times New Roman"/>
          <w:spacing w:val="-12"/>
          <w:sz w:val="21"/>
          <w:szCs w:val="21"/>
        </w:rPr>
        <w:t>)。</w:t>
      </w:r>
      <w:r>
        <w:rPr>
          <w:rStyle w:val="20"/>
          <w:rFonts w:hint="default" w:ascii="Times New Roman" w:hAnsi="Times New Roman" w:eastAsia="宋体" w:cs="Times New Roman"/>
          <w:spacing w:val="-12"/>
          <w:sz w:val="21"/>
          <w:szCs w:val="21"/>
        </w:rPr>
        <w:footnoteReference w:id="1199"/>
      </w:r>
      <w:r>
        <w:rPr>
          <w:rFonts w:hint="default" w:ascii="Times New Roman" w:hAnsi="Times New Roman" w:eastAsia="宋体" w:cs="Times New Roman"/>
          <w:spacing w:val="10"/>
          <w:sz w:val="21"/>
          <w:szCs w:val="21"/>
        </w:rPr>
        <w:t>第三个观点,也是最具争议性的观点,即种族主义的“后种族主</w:t>
      </w:r>
      <w:r>
        <w:rPr>
          <w:rFonts w:hint="default" w:ascii="Times New Roman" w:hAnsi="Times New Roman" w:eastAsia="宋体" w:cs="Times New Roman"/>
          <w:spacing w:val="12"/>
          <w:sz w:val="21"/>
          <w:szCs w:val="21"/>
        </w:rPr>
        <w:t>义”,这是一种最复杂也是最难被推翻的种族主义观点,它将种族不</w:t>
      </w:r>
      <w:r>
        <w:rPr>
          <w:rFonts w:hint="default" w:ascii="Times New Roman" w:hAnsi="Times New Roman" w:eastAsia="宋体" w:cs="Times New Roman"/>
          <w:spacing w:val="11"/>
          <w:sz w:val="21"/>
          <w:szCs w:val="21"/>
        </w:rPr>
        <w:t>平等正常</w:t>
      </w:r>
      <w:r>
        <w:rPr>
          <w:rFonts w:hint="default" w:ascii="Times New Roman" w:hAnsi="Times New Roman" w:eastAsia="宋体" w:cs="Times New Roman"/>
          <w:spacing w:val="13"/>
          <w:sz w:val="21"/>
          <w:szCs w:val="21"/>
        </w:rPr>
        <w:t>化,否认种族主义正在分裂和破坏社会;同时它又认为反种族主</w:t>
      </w:r>
      <w:r>
        <w:rPr>
          <w:rFonts w:hint="default" w:ascii="Times New Roman" w:hAnsi="Times New Roman" w:eastAsia="宋体" w:cs="Times New Roman"/>
          <w:spacing w:val="12"/>
          <w:sz w:val="21"/>
          <w:szCs w:val="21"/>
        </w:rPr>
        <w:t>义就是反白</w:t>
      </w:r>
      <w:r>
        <w:rPr>
          <w:rFonts w:hint="default" w:ascii="Times New Roman" w:hAnsi="Times New Roman" w:eastAsia="宋体" w:cs="Times New Roman"/>
          <w:spacing w:val="6"/>
          <w:sz w:val="21"/>
          <w:szCs w:val="21"/>
        </w:rPr>
        <w:t>人,学校传授</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批判性种族理论</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position w:val="-2"/>
          <w:sz w:val="21"/>
          <w:szCs w:val="21"/>
        </w:rPr>
        <w:t>critical</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race</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t</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rPr>
        <w:t>eory</w:t>
      </w:r>
      <w:r>
        <w:rPr>
          <w:rFonts w:hint="default" w:ascii="Times New Roman" w:hAnsi="Times New Roman" w:eastAsia="宋体" w:cs="Times New Roman"/>
          <w:spacing w:val="6"/>
          <w:sz w:val="21"/>
          <w:szCs w:val="21"/>
        </w:rPr>
        <w:t>)就是</w:t>
      </w:r>
      <w:r>
        <w:rPr>
          <w:rFonts w:hint="default" w:ascii="Times New Roman" w:hAnsi="Times New Roman" w:eastAsia="宋体" w:cs="Times New Roman"/>
          <w:spacing w:val="5"/>
          <w:sz w:val="21"/>
          <w:szCs w:val="21"/>
        </w:rPr>
        <w:t>在攻击和伤害白人</w:t>
      </w:r>
      <w:r>
        <w:rPr>
          <w:rFonts w:hint="default" w:ascii="Times New Roman" w:hAnsi="Times New Roman" w:eastAsia="宋体" w:cs="Times New Roman"/>
          <w:spacing w:val="-26"/>
          <w:sz w:val="21"/>
          <w:szCs w:val="21"/>
        </w:rPr>
        <w:t>孩子。</w:t>
      </w:r>
      <w:r>
        <w:rPr>
          <w:rStyle w:val="20"/>
          <w:rFonts w:hint="default" w:ascii="Times New Roman" w:hAnsi="Times New Roman" w:eastAsia="宋体" w:cs="Times New Roman"/>
          <w:spacing w:val="-26"/>
          <w:sz w:val="21"/>
          <w:szCs w:val="21"/>
        </w:rPr>
        <w:footnoteReference w:id="1200"/>
      </w:r>
      <w:r>
        <w:rPr>
          <w:rFonts w:hint="default" w:ascii="Times New Roman" w:hAnsi="Times New Roman" w:eastAsia="宋体" w:cs="Times New Roman"/>
          <w:spacing w:val="14"/>
          <w:sz w:val="21"/>
          <w:szCs w:val="21"/>
        </w:rPr>
        <w:t>尽管后种族主义缺乏明确的含义,但它对美国的种族话语产生了深</w:t>
      </w:r>
      <w:r>
        <w:rPr>
          <w:rFonts w:hint="default" w:ascii="Times New Roman" w:hAnsi="Times New Roman" w:eastAsia="宋体" w:cs="Times New Roman"/>
          <w:spacing w:val="4"/>
          <w:sz w:val="21"/>
          <w:szCs w:val="21"/>
        </w:rPr>
        <w:t>远的影响。</w:t>
      </w:r>
    </w:p>
    <w:p w14:paraId="41BF042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2"/>
          <w:sz w:val="21"/>
          <w:szCs w:val="21"/>
        </w:rPr>
        <w:t>(三)“伊斯兰恐惧症”</w:t>
      </w:r>
    </w:p>
    <w:p w14:paraId="2F9EAAB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伊斯兰恐惧症(</w:t>
      </w:r>
      <w:r>
        <w:rPr>
          <w:rFonts w:hint="default" w:ascii="Times New Roman" w:hAnsi="Times New Roman" w:eastAsia="宋体" w:cs="Times New Roman"/>
          <w:sz w:val="21"/>
          <w:szCs w:val="21"/>
        </w:rPr>
        <w:t>Is</w:t>
      </w:r>
      <w:r>
        <w:rPr>
          <w:rFonts w:hint="default" w:ascii="Times New Roman" w:hAnsi="Times New Roman" w:eastAsia="宋体" w:cs="Times New Roman"/>
          <w:position w:val="-2"/>
          <w:sz w:val="21"/>
          <w:szCs w:val="21"/>
        </w:rPr>
        <w:t>lamophobia</w:t>
      </w:r>
      <w:r>
        <w:rPr>
          <w:rFonts w:hint="default" w:ascii="Times New Roman" w:hAnsi="Times New Roman" w:eastAsia="宋体" w:cs="Times New Roman"/>
          <w:spacing w:val="8"/>
          <w:sz w:val="21"/>
          <w:szCs w:val="21"/>
        </w:rPr>
        <w:t>)将伊斯兰宗教</w:t>
      </w:r>
      <w:r>
        <w:rPr>
          <w:rFonts w:hint="default" w:ascii="Times New Roman" w:hAnsi="Times New Roman" w:eastAsia="宋体" w:cs="Times New Roman"/>
          <w:spacing w:val="8"/>
          <w:position w:val="1"/>
          <w:sz w:val="21"/>
          <w:szCs w:val="21"/>
        </w:rPr>
        <w:t>、</w:t>
      </w:r>
      <w:r>
        <w:rPr>
          <w:rFonts w:hint="default" w:ascii="Times New Roman" w:hAnsi="Times New Roman" w:eastAsia="宋体" w:cs="Times New Roman"/>
          <w:spacing w:val="8"/>
          <w:sz w:val="21"/>
          <w:szCs w:val="21"/>
        </w:rPr>
        <w:t>文化和传统视为对西方社</w:t>
      </w:r>
      <w:r>
        <w:rPr>
          <w:rFonts w:hint="default" w:ascii="Times New Roman" w:hAnsi="Times New Roman" w:eastAsia="宋体" w:cs="Times New Roman"/>
          <w:spacing w:val="11"/>
          <w:sz w:val="21"/>
          <w:szCs w:val="21"/>
        </w:rPr>
        <w:t>会的威胁,其基础是西方文化和西方宗教的优越感。</w:t>
      </w:r>
      <w:r>
        <w:rPr>
          <w:rStyle w:val="20"/>
          <w:rFonts w:hint="default" w:ascii="Times New Roman" w:hAnsi="Times New Roman" w:eastAsia="宋体" w:cs="Times New Roman"/>
          <w:spacing w:val="11"/>
          <w:sz w:val="21"/>
          <w:szCs w:val="21"/>
        </w:rPr>
        <w:footnoteReference w:id="1201"/>
      </w:r>
      <w:r>
        <w:rPr>
          <w:rFonts w:hint="default" w:ascii="Times New Roman" w:hAnsi="Times New Roman" w:eastAsia="宋体" w:cs="Times New Roman"/>
          <w:spacing w:val="11"/>
          <w:sz w:val="21"/>
          <w:szCs w:val="21"/>
        </w:rPr>
        <w:t>西方反伊斯兰主义的</w:t>
      </w:r>
      <w:r>
        <w:rPr>
          <w:rFonts w:hint="default" w:ascii="Times New Roman" w:hAnsi="Times New Roman" w:eastAsia="宋体" w:cs="Times New Roman"/>
          <w:spacing w:val="10"/>
          <w:sz w:val="21"/>
          <w:szCs w:val="21"/>
        </w:rPr>
        <w:t>意识形态根源可追溯至中世纪的多重斗争与冲突</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9"/>
          <w:position w:val="-2"/>
          <w:sz w:val="21"/>
          <w:szCs w:val="21"/>
        </w:rPr>
        <w:t>1096—1291</w:t>
      </w:r>
      <w:r>
        <w:rPr>
          <w:rFonts w:hint="default" w:ascii="Times New Roman" w:hAnsi="Times New Roman" w:eastAsia="宋体" w:cs="Times New Roman"/>
          <w:spacing w:val="9"/>
          <w:sz w:val="21"/>
          <w:szCs w:val="21"/>
        </w:rPr>
        <w:t>年的十字军</w:t>
      </w:r>
      <w:r>
        <w:rPr>
          <w:rFonts w:hint="default" w:ascii="Times New Roman" w:hAnsi="Times New Roman" w:eastAsia="宋体" w:cs="Times New Roman"/>
          <w:spacing w:val="11"/>
          <w:sz w:val="21"/>
          <w:szCs w:val="21"/>
        </w:rPr>
        <w:t>东征在基督教世界与伊斯兰文明之间建构起持久的文化对抗叙事。爱德华·</w:t>
      </w:r>
      <w:r>
        <w:rPr>
          <w:rFonts w:hint="default" w:ascii="Times New Roman" w:hAnsi="Times New Roman" w:eastAsia="宋体" w:cs="Times New Roman"/>
          <w:spacing w:val="10"/>
          <w:sz w:val="21"/>
          <w:szCs w:val="21"/>
        </w:rPr>
        <w:t>萨义德(</w:t>
      </w:r>
      <w:r>
        <w:rPr>
          <w:rFonts w:hint="default" w:ascii="Times New Roman" w:hAnsi="Times New Roman" w:eastAsia="宋体" w:cs="Times New Roman"/>
          <w:sz w:val="21"/>
          <w:szCs w:val="21"/>
        </w:rPr>
        <w:t>Ed</w:t>
      </w:r>
      <w:r>
        <w:rPr>
          <w:rFonts w:hint="default" w:ascii="Times New Roman" w:hAnsi="Times New Roman" w:eastAsia="宋体" w:cs="Times New Roman"/>
          <w:position w:val="-2"/>
          <w:sz w:val="21"/>
          <w:szCs w:val="21"/>
        </w:rPr>
        <w:t>ward</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W</w:t>
      </w:r>
      <w:r>
        <w:rPr>
          <w:rFonts w:hint="default" w:ascii="Times New Roman" w:hAnsi="Times New Roman" w:eastAsia="宋体" w:cs="Times New Roman"/>
          <w:spacing w:val="10"/>
          <w:position w:val="-2"/>
          <w:sz w:val="21"/>
          <w:szCs w:val="21"/>
        </w:rPr>
        <w:t>.</w:t>
      </w:r>
      <w:r>
        <w:rPr>
          <w:rFonts w:hint="default" w:ascii="Times New Roman" w:hAnsi="Times New Roman" w:eastAsia="宋体" w:cs="Times New Roman"/>
          <w:position w:val="-2"/>
          <w:sz w:val="21"/>
          <w:szCs w:val="21"/>
        </w:rPr>
        <w:t>S</w:t>
      </w:r>
      <w:r>
        <w:rPr>
          <w:rFonts w:hint="default" w:ascii="Times New Roman" w:hAnsi="Times New Roman" w:eastAsia="宋体" w:cs="Times New Roman"/>
          <w:sz w:val="21"/>
          <w:szCs w:val="21"/>
        </w:rPr>
        <w:t>aid</w:t>
      </w:r>
      <w:r>
        <w:rPr>
          <w:rFonts w:hint="default" w:ascii="Times New Roman" w:hAnsi="Times New Roman" w:eastAsia="宋体" w:cs="Times New Roman"/>
          <w:spacing w:val="10"/>
          <w:sz w:val="21"/>
          <w:szCs w:val="21"/>
        </w:rPr>
        <w:t>)在《东方主义》中揭示的认知</w:t>
      </w:r>
      <w:r>
        <w:rPr>
          <w:rFonts w:hint="default" w:ascii="Times New Roman" w:hAnsi="Times New Roman" w:eastAsia="宋体" w:cs="Times New Roman"/>
          <w:spacing w:val="9"/>
          <w:sz w:val="21"/>
          <w:szCs w:val="21"/>
        </w:rPr>
        <w:t>机制表明,西方知识体</w:t>
      </w:r>
      <w:r>
        <w:rPr>
          <w:rFonts w:hint="default" w:ascii="Times New Roman" w:hAnsi="Times New Roman" w:eastAsia="宋体" w:cs="Times New Roman"/>
          <w:spacing w:val="7"/>
          <w:sz w:val="21"/>
          <w:szCs w:val="21"/>
        </w:rPr>
        <w:t>系通过将伊斯兰世界本质化为“他者”,建构了一套历时性的东方主义(</w:t>
      </w:r>
      <w:r>
        <w:rPr>
          <w:rFonts w:hint="default" w:ascii="Times New Roman" w:hAnsi="Times New Roman" w:eastAsia="宋体" w:cs="Times New Roman"/>
          <w:sz w:val="21"/>
          <w:szCs w:val="21"/>
        </w:rPr>
        <w:t>O</w:t>
      </w:r>
      <w:r>
        <w:rPr>
          <w:rFonts w:hint="default" w:ascii="Times New Roman" w:hAnsi="Times New Roman" w:eastAsia="宋体" w:cs="Times New Roman"/>
          <w:position w:val="-2"/>
          <w:sz w:val="21"/>
          <w:szCs w:val="21"/>
        </w:rPr>
        <w:t>rien</w:t>
      </w:r>
      <w:r>
        <w:rPr>
          <w:rFonts w:hint="default" w:ascii="Times New Roman" w:hAnsi="Times New Roman" w:eastAsia="宋体" w:cs="Times New Roman"/>
          <w:spacing w:val="7"/>
          <w:position w:val="-2"/>
          <w:sz w:val="21"/>
          <w:szCs w:val="21"/>
        </w:rPr>
        <w:t>-</w:t>
      </w:r>
      <w:r>
        <w:rPr>
          <w:rFonts w:hint="default" w:ascii="Times New Roman" w:hAnsi="Times New Roman" w:eastAsia="宋体" w:cs="Times New Roman"/>
          <w:spacing w:val="-4"/>
          <w:position w:val="-2"/>
          <w:sz w:val="21"/>
          <w:szCs w:val="21"/>
        </w:rPr>
        <w:t>talism</w:t>
      </w:r>
      <w:r>
        <w:rPr>
          <w:rFonts w:hint="default" w:ascii="Times New Roman" w:hAnsi="Times New Roman" w:eastAsia="宋体" w:cs="Times New Roman"/>
          <w:spacing w:val="-4"/>
          <w:sz w:val="21"/>
          <w:szCs w:val="21"/>
        </w:rPr>
        <w:t>)话语体系。</w:t>
      </w:r>
      <w:r>
        <w:rPr>
          <w:rStyle w:val="20"/>
          <w:rFonts w:hint="default" w:ascii="Times New Roman" w:hAnsi="Times New Roman" w:eastAsia="宋体" w:cs="Times New Roman"/>
          <w:spacing w:val="-4"/>
          <w:sz w:val="21"/>
          <w:szCs w:val="21"/>
        </w:rPr>
        <w:footnoteReference w:id="1202"/>
      </w:r>
      <w:r>
        <w:rPr>
          <w:rFonts w:hint="default" w:ascii="Times New Roman" w:hAnsi="Times New Roman" w:eastAsia="宋体" w:cs="Times New Roman"/>
          <w:spacing w:val="-4"/>
          <w:sz w:val="21"/>
          <w:szCs w:val="21"/>
        </w:rPr>
        <w:t>它将包括伊斯兰世界在</w:t>
      </w:r>
      <w:r>
        <w:rPr>
          <w:rFonts w:hint="default" w:ascii="Times New Roman" w:hAnsi="Times New Roman" w:eastAsia="宋体" w:cs="Times New Roman"/>
          <w:spacing w:val="-5"/>
          <w:sz w:val="21"/>
          <w:szCs w:val="21"/>
        </w:rPr>
        <w:t>内的“东方”本质化为同“西方”相</w:t>
      </w:r>
      <w:r>
        <w:rPr>
          <w:rFonts w:hint="default" w:ascii="Times New Roman" w:hAnsi="Times New Roman" w:eastAsia="宋体" w:cs="Times New Roman"/>
          <w:spacing w:val="12"/>
          <w:sz w:val="21"/>
          <w:szCs w:val="21"/>
        </w:rPr>
        <w:t>异质的他者,为殖民主义提供根据。</w:t>
      </w:r>
      <w:r>
        <w:rPr>
          <w:rStyle w:val="20"/>
          <w:rFonts w:hint="default" w:ascii="Times New Roman" w:hAnsi="Times New Roman" w:eastAsia="宋体" w:cs="Times New Roman"/>
          <w:spacing w:val="12"/>
          <w:sz w:val="21"/>
          <w:szCs w:val="21"/>
        </w:rPr>
        <w:footnoteReference w:id="1203"/>
      </w:r>
      <w:r>
        <w:rPr>
          <w:rFonts w:hint="default" w:ascii="Times New Roman" w:hAnsi="Times New Roman" w:eastAsia="宋体" w:cs="Times New Roman"/>
          <w:spacing w:val="12"/>
          <w:sz w:val="21"/>
          <w:szCs w:val="21"/>
        </w:rPr>
        <w:t>这种知识生产机制在殖民主义时期被</w:t>
      </w:r>
      <w:r>
        <w:rPr>
          <w:rFonts w:hint="default" w:ascii="Times New Roman" w:hAnsi="Times New Roman" w:eastAsia="宋体" w:cs="Times New Roman"/>
          <w:spacing w:val="6"/>
          <w:sz w:val="21"/>
          <w:szCs w:val="21"/>
        </w:rPr>
        <w:t>制度化为文化等级制,即将穆斯林群体表征为文明进程</w:t>
      </w:r>
      <w:r>
        <w:rPr>
          <w:rFonts w:hint="default" w:ascii="Times New Roman" w:hAnsi="Times New Roman" w:eastAsia="宋体" w:cs="Times New Roman"/>
          <w:spacing w:val="5"/>
          <w:sz w:val="21"/>
          <w:szCs w:val="21"/>
        </w:rPr>
        <w:t>中的“未开化存在”,并</w:t>
      </w:r>
      <w:r>
        <w:rPr>
          <w:rFonts w:hint="default" w:ascii="Times New Roman" w:hAnsi="Times New Roman" w:eastAsia="宋体" w:cs="Times New Roman"/>
          <w:spacing w:val="1"/>
          <w:sz w:val="21"/>
          <w:szCs w:val="21"/>
        </w:rPr>
        <w:t>系统否定其现代性转型潜能。</w:t>
      </w:r>
      <w:r>
        <w:rPr>
          <w:rStyle w:val="20"/>
          <w:rFonts w:hint="default" w:ascii="Times New Roman" w:hAnsi="Times New Roman" w:eastAsia="宋体" w:cs="Times New Roman"/>
          <w:spacing w:val="1"/>
          <w:sz w:val="21"/>
          <w:szCs w:val="21"/>
        </w:rPr>
        <w:footnoteReference w:id="1204"/>
      </w:r>
    </w:p>
    <w:p w14:paraId="290D9FE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3"/>
          <w:sz w:val="21"/>
          <w:szCs w:val="21"/>
        </w:rPr>
        <w:t>当代伊斯兰恐惧症已演变为一种结构性的文化种族主义,其运作呈现三</w:t>
      </w:r>
      <w:r>
        <w:rPr>
          <w:rFonts w:hint="default" w:ascii="Times New Roman" w:hAnsi="Times New Roman" w:eastAsia="宋体" w:cs="Times New Roman"/>
          <w:spacing w:val="14"/>
          <w:sz w:val="21"/>
          <w:szCs w:val="21"/>
        </w:rPr>
        <w:t>个特征维度:一是宗教本质主义。现代西方的文化种族</w:t>
      </w:r>
      <w:r>
        <w:rPr>
          <w:rFonts w:hint="default" w:ascii="Times New Roman" w:hAnsi="Times New Roman" w:eastAsia="宋体" w:cs="Times New Roman"/>
          <w:spacing w:val="13"/>
          <w:sz w:val="21"/>
          <w:szCs w:val="21"/>
        </w:rPr>
        <w:t>主义者将伊斯兰世界</w:t>
      </w:r>
      <w:r>
        <w:rPr>
          <w:rFonts w:hint="default" w:ascii="Times New Roman" w:hAnsi="Times New Roman" w:eastAsia="宋体" w:cs="Times New Roman"/>
          <w:spacing w:val="7"/>
          <w:sz w:val="21"/>
          <w:szCs w:val="21"/>
        </w:rPr>
        <w:t>看成是一个本质化的、单一的集体,将伊斯兰教义简化为暴力倾向的“原教旨</w:t>
      </w:r>
      <w:r>
        <w:rPr>
          <w:rFonts w:hint="default" w:ascii="Times New Roman" w:hAnsi="Times New Roman" w:eastAsia="宋体" w:cs="Times New Roman"/>
          <w:spacing w:val="12"/>
          <w:sz w:val="21"/>
          <w:szCs w:val="21"/>
        </w:rPr>
        <w:t>主义”,断言伊斯兰的目标是对抗其古老的对手</w:t>
      </w:r>
      <w:r>
        <w:rPr>
          <w:rFonts w:hint="default" w:ascii="Times New Roman" w:hAnsi="Times New Roman" w:eastAsia="宋体" w:cs="Times New Roman"/>
          <w:b/>
          <w:bCs/>
          <w:spacing w:val="12"/>
          <w:sz w:val="21"/>
          <w:szCs w:val="21"/>
        </w:rPr>
        <w:t>—</w:t>
      </w:r>
      <w:r>
        <w:rPr>
          <w:rFonts w:hint="default" w:ascii="Times New Roman" w:hAnsi="Times New Roman" w:eastAsia="宋体" w:cs="Times New Roman"/>
          <w:spacing w:val="12"/>
          <w:sz w:val="21"/>
          <w:szCs w:val="21"/>
        </w:rPr>
        <w:t>西方“犹太—基督教”文</w:t>
      </w:r>
      <w:r>
        <w:rPr>
          <w:rFonts w:hint="default" w:ascii="Times New Roman" w:hAnsi="Times New Roman" w:eastAsia="宋体" w:cs="Times New Roman"/>
          <w:spacing w:val="-36"/>
          <w:w w:val="96"/>
          <w:sz w:val="21"/>
          <w:szCs w:val="21"/>
        </w:rPr>
        <w:t>明。</w:t>
      </w:r>
      <w:r>
        <w:rPr>
          <w:rStyle w:val="20"/>
          <w:rFonts w:hint="default" w:ascii="Times New Roman" w:hAnsi="Times New Roman" w:eastAsia="宋体" w:cs="Times New Roman"/>
          <w:spacing w:val="-36"/>
          <w:w w:val="96"/>
          <w:sz w:val="21"/>
          <w:szCs w:val="21"/>
        </w:rPr>
        <w:footnoteReference w:id="1205"/>
      </w:r>
      <w:r>
        <w:rPr>
          <w:rFonts w:hint="default" w:ascii="Times New Roman" w:hAnsi="Times New Roman" w:eastAsia="宋体" w:cs="Times New Roman"/>
          <w:sz w:val="21"/>
          <w:szCs w:val="21"/>
        </w:rPr>
        <w:t>二是建构了“西方基督教文明”与“伊斯兰文明”的二元对立</w:t>
      </w:r>
      <w:r>
        <w:rPr>
          <w:rFonts w:hint="default" w:ascii="Times New Roman" w:hAnsi="Times New Roman" w:eastAsia="宋体" w:cs="Times New Roman"/>
          <w:spacing w:val="-1"/>
          <w:sz w:val="21"/>
          <w:szCs w:val="21"/>
        </w:rPr>
        <w:t>。塞缪尔·</w:t>
      </w:r>
      <w:r>
        <w:rPr>
          <w:rFonts w:hint="default" w:ascii="Times New Roman" w:hAnsi="Times New Roman" w:eastAsia="宋体" w:cs="Times New Roman"/>
          <w:spacing w:val="3"/>
          <w:sz w:val="21"/>
          <w:szCs w:val="21"/>
        </w:rPr>
        <w:t>亨廷顿(</w:t>
      </w:r>
      <w:r>
        <w:rPr>
          <w:rFonts w:hint="default" w:ascii="Times New Roman" w:hAnsi="Times New Roman" w:eastAsia="宋体" w:cs="Times New Roman"/>
          <w:sz w:val="21"/>
          <w:szCs w:val="21"/>
        </w:rPr>
        <w:t>S</w:t>
      </w:r>
      <w:r>
        <w:rPr>
          <w:rFonts w:hint="default" w:ascii="Times New Roman" w:hAnsi="Times New Roman" w:eastAsia="宋体" w:cs="Times New Roman"/>
          <w:position w:val="-2"/>
          <w:sz w:val="21"/>
          <w:szCs w:val="21"/>
        </w:rPr>
        <w:t>amuelP</w:t>
      </w:r>
      <w:r>
        <w:rPr>
          <w:rFonts w:hint="default" w:ascii="Times New Roman" w:hAnsi="Times New Roman" w:eastAsia="宋体" w:cs="Times New Roman"/>
          <w:spacing w:val="3"/>
          <w:position w:val="-2"/>
          <w:sz w:val="21"/>
          <w:szCs w:val="21"/>
        </w:rPr>
        <w:t>.</w:t>
      </w:r>
      <w:r>
        <w:rPr>
          <w:rFonts w:hint="default" w:ascii="Times New Roman" w:hAnsi="Times New Roman" w:eastAsia="宋体" w:cs="Times New Roman"/>
          <w:position w:val="-2"/>
          <w:sz w:val="21"/>
          <w:szCs w:val="21"/>
        </w:rPr>
        <w:t>Huntington</w:t>
      </w:r>
      <w:r>
        <w:rPr>
          <w:rFonts w:hint="default" w:ascii="Times New Roman" w:hAnsi="Times New Roman" w:eastAsia="宋体" w:cs="Times New Roman"/>
          <w:spacing w:val="3"/>
          <w:sz w:val="21"/>
          <w:szCs w:val="21"/>
        </w:rPr>
        <w:t>)提出的</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文明冲突论</w:t>
      </w:r>
      <w:r>
        <w:rPr>
          <w:rFonts w:hint="default" w:ascii="Times New Roman" w:hAnsi="Times New Roman" w:eastAsia="宋体" w:cs="Times New Roman"/>
          <w:spacing w:val="3"/>
          <w:position w:val="1"/>
          <w:sz w:val="21"/>
          <w:szCs w:val="21"/>
        </w:rPr>
        <w:t>”</w:t>
      </w:r>
      <w:r>
        <w:rPr>
          <w:rFonts w:hint="default" w:ascii="Times New Roman" w:hAnsi="Times New Roman" w:eastAsia="宋体" w:cs="Times New Roman"/>
          <w:spacing w:val="3"/>
          <w:sz w:val="21"/>
          <w:szCs w:val="21"/>
        </w:rPr>
        <w:t>为反伊斯兰世界提供了</w:t>
      </w:r>
      <w:r>
        <w:rPr>
          <w:rFonts w:hint="default" w:ascii="Times New Roman" w:hAnsi="Times New Roman" w:eastAsia="宋体" w:cs="Times New Roman"/>
          <w:spacing w:val="7"/>
          <w:sz w:val="21"/>
          <w:szCs w:val="21"/>
        </w:rPr>
        <w:t>新的理论框架</w:t>
      </w:r>
      <w:r>
        <w:rPr>
          <w:rFonts w:hint="default" w:ascii="Times New Roman" w:hAnsi="Times New Roman" w:eastAsia="宋体" w:cs="Times New Roman"/>
          <w:spacing w:val="7"/>
          <w:position w:val="1"/>
          <w:sz w:val="21"/>
          <w:szCs w:val="21"/>
        </w:rPr>
        <w:t>。</w:t>
      </w:r>
      <w:r>
        <w:rPr>
          <w:rFonts w:hint="default" w:ascii="Times New Roman" w:hAnsi="Times New Roman" w:eastAsia="宋体" w:cs="Times New Roman"/>
          <w:spacing w:val="7"/>
          <w:sz w:val="21"/>
          <w:szCs w:val="21"/>
        </w:rPr>
        <w:t>三是将伊斯兰族群问题</w:t>
      </w:r>
      <w:r>
        <w:rPr>
          <w:rFonts w:hint="default" w:ascii="Times New Roman" w:hAnsi="Times New Roman" w:eastAsia="宋体" w:cs="Times New Roman"/>
          <w:spacing w:val="7"/>
          <w:position w:val="1"/>
          <w:sz w:val="21"/>
          <w:szCs w:val="21"/>
        </w:rPr>
        <w:t>“</w:t>
      </w:r>
      <w:r>
        <w:rPr>
          <w:rFonts w:hint="default" w:ascii="Times New Roman" w:hAnsi="Times New Roman" w:eastAsia="宋体" w:cs="Times New Roman"/>
          <w:spacing w:val="7"/>
          <w:sz w:val="21"/>
          <w:szCs w:val="21"/>
        </w:rPr>
        <w:t>安</w:t>
      </w:r>
      <w:r>
        <w:rPr>
          <w:rFonts w:hint="default" w:ascii="Times New Roman" w:hAnsi="Times New Roman" w:eastAsia="宋体" w:cs="Times New Roman"/>
          <w:spacing w:val="6"/>
          <w:sz w:val="21"/>
          <w:szCs w:val="21"/>
        </w:rPr>
        <w:t>全理论化</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w:t>
      </w:r>
      <w:r>
        <w:rPr>
          <w:rFonts w:hint="default" w:ascii="Times New Roman" w:hAnsi="Times New Roman" w:eastAsia="宋体" w:cs="Times New Roman"/>
          <w:sz w:val="21"/>
          <w:szCs w:val="21"/>
        </w:rPr>
        <w:t>S</w:t>
      </w:r>
      <w:r>
        <w:rPr>
          <w:rFonts w:hint="default" w:ascii="Times New Roman" w:hAnsi="Times New Roman" w:eastAsia="宋体" w:cs="Times New Roman"/>
          <w:position w:val="-2"/>
          <w:sz w:val="21"/>
          <w:szCs w:val="21"/>
        </w:rPr>
        <w:t>ecuritization</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Theo</w:t>
      </w:r>
      <w:r>
        <w:rPr>
          <w:rFonts w:hint="default" w:ascii="Times New Roman" w:hAnsi="Times New Roman" w:eastAsia="宋体" w:cs="Times New Roman"/>
          <w:spacing w:val="6"/>
          <w:position w:val="-2"/>
          <w:sz w:val="21"/>
          <w:szCs w:val="21"/>
        </w:rPr>
        <w:t>-</w:t>
      </w:r>
      <w:r>
        <w:rPr>
          <w:rFonts w:hint="default" w:ascii="Times New Roman" w:hAnsi="Times New Roman" w:eastAsia="宋体" w:cs="Times New Roman"/>
          <w:spacing w:val="-11"/>
          <w:w w:val="92"/>
          <w:position w:val="-1"/>
          <w:sz w:val="21"/>
          <w:szCs w:val="21"/>
        </w:rPr>
        <w:t>ry)</w:t>
      </w:r>
      <w:r>
        <w:rPr>
          <w:rFonts w:hint="default" w:ascii="Times New Roman" w:hAnsi="Times New Roman" w:eastAsia="宋体" w:cs="Times New Roman"/>
          <w:spacing w:val="-11"/>
          <w:w w:val="92"/>
          <w:sz w:val="21"/>
          <w:szCs w:val="21"/>
        </w:rPr>
        <w:t>。</w:t>
      </w:r>
      <w:r>
        <w:rPr>
          <w:rStyle w:val="20"/>
          <w:rFonts w:hint="default" w:ascii="Times New Roman" w:hAnsi="Times New Roman" w:eastAsia="宋体" w:cs="Times New Roman"/>
          <w:spacing w:val="-11"/>
          <w:w w:val="92"/>
          <w:sz w:val="21"/>
          <w:szCs w:val="21"/>
        </w:rPr>
        <w:footnoteReference w:id="1206"/>
      </w:r>
      <w:r>
        <w:rPr>
          <w:rFonts w:hint="default" w:ascii="Times New Roman" w:hAnsi="Times New Roman" w:eastAsia="宋体" w:cs="Times New Roman"/>
          <w:spacing w:val="2"/>
          <w:sz w:val="21"/>
          <w:szCs w:val="21"/>
        </w:rPr>
        <w:t>“</w:t>
      </w:r>
      <w:r>
        <w:rPr>
          <w:rFonts w:hint="default" w:ascii="Times New Roman" w:hAnsi="Times New Roman" w:eastAsia="宋体" w:cs="Times New Roman"/>
          <w:spacing w:val="-1"/>
          <w:position w:val="-2"/>
          <w:sz w:val="21"/>
          <w:szCs w:val="21"/>
        </w:rPr>
        <w:t>9</w:t>
      </w:r>
      <w:r>
        <w:rPr>
          <w:rFonts w:hint="default" w:ascii="Times New Roman" w:hAnsi="Times New Roman" w:eastAsia="宋体" w:cs="Times New Roman"/>
          <w:spacing w:val="-1"/>
          <w:sz w:val="21"/>
          <w:szCs w:val="21"/>
        </w:rPr>
        <w:t>·</w:t>
      </w:r>
      <w:r>
        <w:rPr>
          <w:rFonts w:hint="default" w:ascii="Times New Roman" w:hAnsi="Times New Roman" w:eastAsia="宋体" w:cs="Times New Roman"/>
          <w:spacing w:val="-1"/>
          <w:position w:val="-2"/>
          <w:sz w:val="21"/>
          <w:szCs w:val="21"/>
        </w:rPr>
        <w:t>11</w:t>
      </w:r>
      <w:r>
        <w:rPr>
          <w:rFonts w:hint="default" w:ascii="Times New Roman" w:hAnsi="Times New Roman" w:eastAsia="宋体" w:cs="Times New Roman"/>
          <w:spacing w:val="-1"/>
          <w:sz w:val="21"/>
          <w:szCs w:val="21"/>
        </w:rPr>
        <w:t>”事件成为关键历史节点,美国政府通过《爱国者法案</w:t>
      </w:r>
      <w:r>
        <w:rPr>
          <w:rFonts w:hint="default" w:ascii="Times New Roman" w:hAnsi="Times New Roman" w:eastAsia="宋体" w:cs="Times New Roman"/>
          <w:spacing w:val="-2"/>
          <w:sz w:val="21"/>
          <w:szCs w:val="21"/>
        </w:rPr>
        <w:t>》和“全球</w:t>
      </w:r>
      <w:r>
        <w:rPr>
          <w:rFonts w:hint="default" w:ascii="Times New Roman" w:hAnsi="Times New Roman" w:eastAsia="宋体" w:cs="Times New Roman"/>
          <w:spacing w:val="12"/>
          <w:sz w:val="21"/>
          <w:szCs w:val="21"/>
        </w:rPr>
        <w:t>反恐战争”等政策和举措,将国家安全话语与伊斯兰教进行捆绑,导</w:t>
      </w:r>
      <w:r>
        <w:rPr>
          <w:rFonts w:hint="default" w:ascii="Times New Roman" w:hAnsi="Times New Roman" w:eastAsia="宋体" w:cs="Times New Roman"/>
          <w:spacing w:val="11"/>
          <w:sz w:val="21"/>
          <w:szCs w:val="21"/>
        </w:rPr>
        <w:t>致穆斯林</w:t>
      </w:r>
      <w:r>
        <w:rPr>
          <w:rFonts w:hint="default" w:ascii="Times New Roman" w:hAnsi="Times New Roman" w:eastAsia="宋体" w:cs="Times New Roman"/>
          <w:spacing w:val="3"/>
          <w:sz w:val="21"/>
          <w:szCs w:val="21"/>
        </w:rPr>
        <w:t>群体遭遇系统性污名化。欧洲多国民众对“穆斯林人口增长威胁文化认同”的</w:t>
      </w:r>
      <w:r>
        <w:rPr>
          <w:rFonts w:hint="default" w:ascii="Times New Roman" w:hAnsi="Times New Roman" w:eastAsia="宋体" w:cs="Times New Roman"/>
          <w:spacing w:val="6"/>
          <w:sz w:val="21"/>
          <w:szCs w:val="21"/>
        </w:rPr>
        <w:t>焦虑,为右翼政党推动移民政策安全化提供了社会基础。</w:t>
      </w:r>
      <w:r>
        <w:rPr>
          <w:rStyle w:val="20"/>
          <w:rFonts w:hint="default" w:ascii="Times New Roman" w:hAnsi="Times New Roman" w:eastAsia="宋体" w:cs="Times New Roman"/>
          <w:spacing w:val="6"/>
          <w:sz w:val="21"/>
          <w:szCs w:val="21"/>
        </w:rPr>
        <w:footnoteReference w:id="1207"/>
      </w:r>
      <w:r>
        <w:rPr>
          <w:rFonts w:hint="default" w:ascii="Times New Roman" w:hAnsi="Times New Roman" w:eastAsia="宋体" w:cs="Times New Roman"/>
          <w:spacing w:val="6"/>
          <w:sz w:val="21"/>
          <w:szCs w:val="21"/>
        </w:rPr>
        <w:t>“安全理论化”从</w:t>
      </w:r>
      <w:r>
        <w:rPr>
          <w:rFonts w:hint="default" w:ascii="Times New Roman" w:hAnsi="Times New Roman" w:eastAsia="宋体" w:cs="Times New Roman"/>
          <w:spacing w:val="3"/>
          <w:sz w:val="21"/>
          <w:szCs w:val="21"/>
        </w:rPr>
        <w:t>政治领域扩散至社会生活领域。例如,法国</w:t>
      </w:r>
      <w:r>
        <w:rPr>
          <w:rFonts w:hint="default" w:ascii="Times New Roman" w:hAnsi="Times New Roman" w:eastAsia="宋体" w:cs="Times New Roman"/>
          <w:spacing w:val="3"/>
          <w:position w:val="-2"/>
          <w:sz w:val="21"/>
          <w:szCs w:val="21"/>
        </w:rPr>
        <w:t>2010</w:t>
      </w:r>
      <w:r>
        <w:rPr>
          <w:rFonts w:hint="default" w:ascii="Times New Roman" w:hAnsi="Times New Roman" w:eastAsia="宋体" w:cs="Times New Roman"/>
          <w:spacing w:val="3"/>
          <w:sz w:val="21"/>
          <w:szCs w:val="21"/>
        </w:rPr>
        <w:t>年《布基尼禁令》将穆斯林女</w:t>
      </w:r>
      <w:r>
        <w:rPr>
          <w:rFonts w:hint="default" w:ascii="Times New Roman" w:hAnsi="Times New Roman" w:eastAsia="宋体" w:cs="Times New Roman"/>
          <w:spacing w:val="-6"/>
          <w:sz w:val="21"/>
          <w:szCs w:val="21"/>
        </w:rPr>
        <w:t>性服饰从文化议题重构为“公共安全威胁”。</w:t>
      </w:r>
      <w:r>
        <w:rPr>
          <w:rStyle w:val="20"/>
          <w:rFonts w:hint="default" w:ascii="Times New Roman" w:hAnsi="Times New Roman" w:eastAsia="宋体" w:cs="Times New Roman"/>
          <w:spacing w:val="-6"/>
          <w:sz w:val="21"/>
          <w:szCs w:val="21"/>
        </w:rPr>
        <w:footnoteReference w:id="1208"/>
      </w:r>
    </w:p>
    <w:p w14:paraId="4AB25C4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12"/>
          <w:sz w:val="21"/>
          <w:szCs w:val="21"/>
        </w:rPr>
        <w:t>(四)反多元文化主义</w:t>
      </w:r>
    </w:p>
    <w:p w14:paraId="5CF83EA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8"/>
          <w:position w:val="-1"/>
          <w:sz w:val="21"/>
          <w:szCs w:val="21"/>
        </w:rPr>
        <w:t>20</w:t>
      </w:r>
      <w:r>
        <w:rPr>
          <w:rFonts w:hint="default" w:ascii="Times New Roman" w:hAnsi="Times New Roman" w:eastAsia="宋体" w:cs="Times New Roman"/>
          <w:spacing w:val="8"/>
          <w:sz w:val="21"/>
          <w:szCs w:val="21"/>
        </w:rPr>
        <w:t>世纪</w:t>
      </w:r>
      <w:r>
        <w:rPr>
          <w:rFonts w:hint="default" w:ascii="Times New Roman" w:hAnsi="Times New Roman" w:eastAsia="宋体" w:cs="Times New Roman"/>
          <w:spacing w:val="8"/>
          <w:position w:val="-1"/>
          <w:sz w:val="21"/>
          <w:szCs w:val="21"/>
        </w:rPr>
        <w:t>80</w:t>
      </w:r>
      <w:r>
        <w:rPr>
          <w:rFonts w:hint="default" w:ascii="Times New Roman" w:hAnsi="Times New Roman" w:eastAsia="宋体" w:cs="Times New Roman"/>
          <w:spacing w:val="8"/>
          <w:sz w:val="21"/>
          <w:szCs w:val="21"/>
        </w:rPr>
        <w:t>年代之前,“大熔炉</w:t>
      </w:r>
      <w:r>
        <w:rPr>
          <w:rFonts w:hint="default" w:ascii="Times New Roman" w:hAnsi="Times New Roman" w:eastAsia="宋体" w:cs="Times New Roman"/>
          <w:spacing w:val="8"/>
          <w:position w:val="1"/>
          <w:sz w:val="21"/>
          <w:szCs w:val="21"/>
        </w:rPr>
        <w:t>”</w:t>
      </w:r>
      <w:r>
        <w:rPr>
          <w:rFonts w:hint="default" w:ascii="Times New Roman" w:hAnsi="Times New Roman" w:eastAsia="宋体" w:cs="Times New Roman"/>
          <w:spacing w:val="8"/>
          <w:sz w:val="21"/>
          <w:szCs w:val="21"/>
        </w:rPr>
        <w:t>理论(</w:t>
      </w:r>
      <w:r>
        <w:rPr>
          <w:rFonts w:hint="default" w:ascii="Times New Roman" w:hAnsi="Times New Roman" w:eastAsia="宋体" w:cs="Times New Roman"/>
          <w:sz w:val="21"/>
          <w:szCs w:val="21"/>
        </w:rPr>
        <w:t>M</w:t>
      </w:r>
      <w:r>
        <w:rPr>
          <w:rFonts w:hint="default" w:ascii="Times New Roman" w:hAnsi="Times New Roman" w:eastAsia="宋体" w:cs="Times New Roman"/>
          <w:position w:val="-1"/>
          <w:sz w:val="21"/>
          <w:szCs w:val="21"/>
        </w:rPr>
        <w:t>e</w:t>
      </w:r>
      <w:r>
        <w:rPr>
          <w:rFonts w:hint="default" w:ascii="Times New Roman" w:hAnsi="Times New Roman" w:eastAsia="宋体" w:cs="Times New Roman"/>
          <w:position w:val="-2"/>
          <w:sz w:val="21"/>
          <w:szCs w:val="21"/>
        </w:rPr>
        <w:t>lting</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1"/>
          <w:sz w:val="21"/>
          <w:szCs w:val="21"/>
        </w:rPr>
        <w:t>PotTh</w:t>
      </w:r>
      <w:r>
        <w:rPr>
          <w:rFonts w:hint="default" w:ascii="Times New Roman" w:hAnsi="Times New Roman" w:eastAsia="宋体" w:cs="Times New Roman"/>
          <w:sz w:val="21"/>
          <w:szCs w:val="21"/>
        </w:rPr>
        <w:t>eory</w:t>
      </w:r>
      <w:r>
        <w:rPr>
          <w:rFonts w:hint="default" w:ascii="Times New Roman" w:hAnsi="Times New Roman" w:eastAsia="宋体" w:cs="Times New Roman"/>
          <w:spacing w:val="8"/>
          <w:sz w:val="21"/>
          <w:szCs w:val="21"/>
        </w:rPr>
        <w:t>)在西方移民政</w:t>
      </w:r>
      <w:r>
        <w:rPr>
          <w:rFonts w:hint="default" w:ascii="Times New Roman" w:hAnsi="Times New Roman" w:eastAsia="宋体" w:cs="Times New Roman"/>
          <w:spacing w:val="12"/>
          <w:sz w:val="21"/>
          <w:szCs w:val="21"/>
        </w:rPr>
        <w:t>策中占据主导地位,强调移民应与主流社会融合并形成共同的价值</w:t>
      </w:r>
      <w:r>
        <w:rPr>
          <w:rFonts w:hint="default" w:ascii="Times New Roman" w:hAnsi="Times New Roman" w:eastAsia="宋体" w:cs="Times New Roman"/>
          <w:spacing w:val="11"/>
          <w:sz w:val="21"/>
          <w:szCs w:val="21"/>
        </w:rPr>
        <w:t>观。然而,</w:t>
      </w:r>
      <w:r>
        <w:rPr>
          <w:rFonts w:hint="default" w:ascii="Times New Roman" w:hAnsi="Times New Roman" w:eastAsia="宋体" w:cs="Times New Roman"/>
          <w:spacing w:val="12"/>
          <w:sz w:val="21"/>
          <w:szCs w:val="21"/>
        </w:rPr>
        <w:t>随着全球化进程的加速,全球移民规模达到历史上前所未有的水</w:t>
      </w:r>
      <w:r>
        <w:rPr>
          <w:rFonts w:hint="default" w:ascii="Times New Roman" w:hAnsi="Times New Roman" w:eastAsia="宋体" w:cs="Times New Roman"/>
          <w:spacing w:val="11"/>
          <w:sz w:val="21"/>
          <w:szCs w:val="21"/>
        </w:rPr>
        <w:t>平,以保护移</w:t>
      </w:r>
      <w:r>
        <w:rPr>
          <w:rFonts w:hint="default" w:ascii="Times New Roman" w:hAnsi="Times New Roman" w:eastAsia="宋体" w:cs="Times New Roman"/>
          <w:spacing w:val="13"/>
          <w:sz w:val="21"/>
          <w:szCs w:val="21"/>
        </w:rPr>
        <w:t>民利益为核心的多元文化主义(</w:t>
      </w:r>
      <w:r>
        <w:rPr>
          <w:rFonts w:hint="default" w:ascii="Times New Roman" w:hAnsi="Times New Roman" w:eastAsia="宋体" w:cs="Times New Roman"/>
          <w:sz w:val="21"/>
          <w:szCs w:val="21"/>
        </w:rPr>
        <w:t>M</w:t>
      </w:r>
      <w:r>
        <w:rPr>
          <w:rFonts w:hint="default" w:ascii="Times New Roman" w:hAnsi="Times New Roman" w:eastAsia="宋体" w:cs="Times New Roman"/>
          <w:position w:val="-2"/>
          <w:sz w:val="21"/>
          <w:szCs w:val="21"/>
        </w:rPr>
        <w:t>ulticulturalism</w:t>
      </w:r>
      <w:r>
        <w:rPr>
          <w:rFonts w:hint="default" w:ascii="Times New Roman" w:hAnsi="Times New Roman" w:eastAsia="宋体" w:cs="Times New Roman"/>
          <w:spacing w:val="13"/>
          <w:sz w:val="21"/>
          <w:szCs w:val="21"/>
        </w:rPr>
        <w:t>)逐渐兴起</w:t>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13"/>
          <w:sz w:val="21"/>
          <w:szCs w:val="21"/>
        </w:rPr>
        <w:t>多元文化主义主张民族、宗教和文化群体在迁入国中保持其独特性,</w:t>
      </w:r>
      <w:r>
        <w:rPr>
          <w:rFonts w:hint="default" w:ascii="Times New Roman" w:hAnsi="Times New Roman" w:eastAsia="宋体" w:cs="Times New Roman"/>
          <w:spacing w:val="12"/>
          <w:sz w:val="21"/>
          <w:szCs w:val="21"/>
        </w:rPr>
        <w:t>并通过政策保障其权</w:t>
      </w:r>
      <w:r>
        <w:rPr>
          <w:rFonts w:hint="default" w:ascii="Times New Roman" w:hAnsi="Times New Roman" w:eastAsia="宋体" w:cs="Times New Roman"/>
          <w:spacing w:val="-22"/>
          <w:w w:val="89"/>
          <w:sz w:val="21"/>
          <w:szCs w:val="21"/>
        </w:rPr>
        <w:t>利。</w:t>
      </w:r>
      <w:r>
        <w:rPr>
          <w:rStyle w:val="20"/>
          <w:rFonts w:hint="default" w:ascii="Times New Roman" w:hAnsi="Times New Roman" w:eastAsia="宋体" w:cs="Times New Roman"/>
          <w:spacing w:val="-22"/>
          <w:w w:val="89"/>
          <w:sz w:val="21"/>
          <w:szCs w:val="21"/>
        </w:rPr>
        <w:footnoteReference w:id="1209"/>
      </w:r>
      <w:r>
        <w:rPr>
          <w:rFonts w:hint="default" w:ascii="Times New Roman" w:hAnsi="Times New Roman" w:eastAsia="宋体" w:cs="Times New Roman"/>
          <w:spacing w:val="13"/>
          <w:sz w:val="21"/>
          <w:szCs w:val="21"/>
        </w:rPr>
        <w:t>自</w:t>
      </w:r>
      <w:r>
        <w:rPr>
          <w:rFonts w:hint="default" w:ascii="Times New Roman" w:hAnsi="Times New Roman" w:eastAsia="宋体" w:cs="Times New Roman"/>
          <w:spacing w:val="13"/>
          <w:position w:val="-2"/>
          <w:sz w:val="21"/>
          <w:szCs w:val="21"/>
        </w:rPr>
        <w:t>20</w:t>
      </w:r>
      <w:r>
        <w:rPr>
          <w:rFonts w:hint="default" w:ascii="Times New Roman" w:hAnsi="Times New Roman" w:eastAsia="宋体" w:cs="Times New Roman"/>
          <w:spacing w:val="13"/>
          <w:sz w:val="21"/>
          <w:szCs w:val="21"/>
        </w:rPr>
        <w:t>世纪</w:t>
      </w:r>
      <w:r>
        <w:rPr>
          <w:rFonts w:hint="default" w:ascii="Times New Roman" w:hAnsi="Times New Roman" w:eastAsia="宋体" w:cs="Times New Roman"/>
          <w:spacing w:val="13"/>
          <w:position w:val="-2"/>
          <w:sz w:val="21"/>
          <w:szCs w:val="21"/>
        </w:rPr>
        <w:t>90</w:t>
      </w:r>
      <w:r>
        <w:rPr>
          <w:rFonts w:hint="default" w:ascii="Times New Roman" w:hAnsi="Times New Roman" w:eastAsia="宋体" w:cs="Times New Roman"/>
          <w:spacing w:val="13"/>
          <w:sz w:val="21"/>
          <w:szCs w:val="21"/>
        </w:rPr>
        <w:t>年代中期以来,保守主义者开始重申国家共</w:t>
      </w:r>
      <w:r>
        <w:rPr>
          <w:rFonts w:hint="default" w:ascii="Times New Roman" w:hAnsi="Times New Roman" w:eastAsia="宋体" w:cs="Times New Roman"/>
          <w:spacing w:val="12"/>
          <w:sz w:val="21"/>
          <w:szCs w:val="21"/>
        </w:rPr>
        <w:t>同价值观和</w:t>
      </w:r>
      <w:r>
        <w:rPr>
          <w:rFonts w:hint="default" w:ascii="Times New Roman" w:hAnsi="Times New Roman" w:eastAsia="宋体" w:cs="Times New Roman"/>
          <w:spacing w:val="5"/>
          <w:sz w:val="21"/>
          <w:szCs w:val="21"/>
        </w:rPr>
        <w:t>统一公民身份的重要性,呼吁</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spacing w:val="5"/>
          <w:sz w:val="21"/>
          <w:szCs w:val="21"/>
        </w:rPr>
        <w:t>同化主义</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position w:val="-2"/>
          <w:sz w:val="21"/>
          <w:szCs w:val="21"/>
        </w:rPr>
        <w:t>assimilationism</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spacing w:val="4"/>
          <w:sz w:val="21"/>
          <w:szCs w:val="21"/>
        </w:rPr>
        <w:t>,引发了对多元文</w:t>
      </w:r>
      <w:r>
        <w:rPr>
          <w:rFonts w:hint="default" w:ascii="Times New Roman" w:hAnsi="Times New Roman" w:eastAsia="宋体" w:cs="Times New Roman"/>
          <w:spacing w:val="5"/>
          <w:sz w:val="21"/>
          <w:szCs w:val="21"/>
        </w:rPr>
        <w:t>化主义的抵制。</w:t>
      </w:r>
    </w:p>
    <w:p w14:paraId="3320710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2008年国际金融危机后,经济衰退、失业率上升和社会治理恶化加剧公</w:t>
      </w:r>
      <w:r>
        <w:rPr>
          <w:rFonts w:hint="default" w:ascii="Times New Roman" w:hAnsi="Times New Roman" w:eastAsia="宋体" w:cs="Times New Roman"/>
          <w:spacing w:val="14"/>
          <w:sz w:val="21"/>
          <w:szCs w:val="21"/>
        </w:rPr>
        <w:t>众对全球化的质疑,许多人认为全球化主要服务于跨国</w:t>
      </w:r>
      <w:r>
        <w:rPr>
          <w:rFonts w:hint="default" w:ascii="Times New Roman" w:hAnsi="Times New Roman" w:eastAsia="宋体" w:cs="Times New Roman"/>
          <w:spacing w:val="13"/>
          <w:sz w:val="21"/>
          <w:szCs w:val="21"/>
        </w:rPr>
        <w:t>资本的利益而非普通</w:t>
      </w:r>
      <w:r>
        <w:rPr>
          <w:rFonts w:hint="default" w:ascii="Times New Roman" w:hAnsi="Times New Roman" w:eastAsia="宋体" w:cs="Times New Roman"/>
          <w:spacing w:val="-25"/>
          <w:sz w:val="21"/>
          <w:szCs w:val="21"/>
        </w:rPr>
        <w:t>民众。</w:t>
      </w:r>
      <w:r>
        <w:rPr>
          <w:rStyle w:val="20"/>
          <w:rFonts w:hint="default" w:ascii="Times New Roman" w:hAnsi="Times New Roman" w:eastAsia="宋体" w:cs="Times New Roman"/>
          <w:spacing w:val="-25"/>
          <w:sz w:val="21"/>
          <w:szCs w:val="21"/>
        </w:rPr>
        <w:footnoteReference w:id="1210"/>
      </w:r>
      <w:r>
        <w:rPr>
          <w:rFonts w:hint="default" w:ascii="Times New Roman" w:hAnsi="Times New Roman" w:eastAsia="宋体" w:cs="Times New Roman"/>
          <w:spacing w:val="14"/>
          <w:sz w:val="21"/>
          <w:szCs w:val="21"/>
        </w:rPr>
        <w:t>这种背景下,公众对移民的不满情绪逐渐升温,多元文化主义受到广</w:t>
      </w:r>
      <w:r>
        <w:rPr>
          <w:rFonts w:hint="default" w:ascii="Times New Roman" w:hAnsi="Times New Roman" w:eastAsia="宋体" w:cs="Times New Roman"/>
          <w:sz w:val="21"/>
          <w:szCs w:val="21"/>
        </w:rPr>
        <w:t>泛质疑和批判,“政治正确</w:t>
      </w:r>
      <w:r>
        <w:rPr>
          <w:rFonts w:hint="default" w:ascii="Times New Roman" w:hAnsi="Times New Roman" w:eastAsia="宋体" w:cs="Times New Roman"/>
          <w:position w:val="1"/>
          <w:sz w:val="21"/>
          <w:szCs w:val="21"/>
        </w:rPr>
        <w:t>”</w:t>
      </w:r>
      <w:r>
        <w:rPr>
          <w:rFonts w:hint="default" w:ascii="Times New Roman" w:hAnsi="Times New Roman" w:eastAsia="宋体" w:cs="Times New Roman"/>
          <w:sz w:val="21"/>
          <w:szCs w:val="21"/>
        </w:rPr>
        <w:t>(po</w:t>
      </w:r>
      <w:r>
        <w:rPr>
          <w:rFonts w:hint="default" w:ascii="Times New Roman" w:hAnsi="Times New Roman" w:eastAsia="宋体" w:cs="Times New Roman"/>
          <w:position w:val="-2"/>
          <w:sz w:val="21"/>
          <w:szCs w:val="21"/>
        </w:rPr>
        <w:t>liticalcorrec</w:t>
      </w:r>
      <w:r>
        <w:rPr>
          <w:rFonts w:hint="default" w:ascii="Times New Roman" w:hAnsi="Times New Roman" w:eastAsia="宋体" w:cs="Times New Roman"/>
          <w:spacing w:val="-1"/>
          <w:position w:val="-2"/>
          <w:sz w:val="21"/>
          <w:szCs w:val="21"/>
        </w:rPr>
        <w:t>tness</w:t>
      </w:r>
      <w:r>
        <w:rPr>
          <w:rFonts w:hint="default" w:ascii="Times New Roman" w:hAnsi="Times New Roman" w:eastAsia="宋体" w:cs="Times New Roman"/>
          <w:spacing w:val="-1"/>
          <w:position w:val="1"/>
          <w:sz w:val="21"/>
          <w:szCs w:val="21"/>
        </w:rPr>
        <w:t>)</w:t>
      </w:r>
      <w:r>
        <w:rPr>
          <w:rFonts w:hint="default" w:ascii="Times New Roman" w:hAnsi="Times New Roman" w:eastAsia="宋体" w:cs="Times New Roman"/>
          <w:b/>
          <w:bCs/>
          <w:spacing w:val="22"/>
          <w:position w:val="1"/>
          <w:sz w:val="21"/>
          <w:szCs w:val="21"/>
        </w:rPr>
        <w:t>—</w:t>
      </w:r>
      <w:r>
        <w:rPr>
          <w:rFonts w:hint="default" w:ascii="Times New Roman" w:hAnsi="Times New Roman" w:eastAsia="宋体" w:cs="Times New Roman"/>
          <w:spacing w:val="22"/>
          <w:sz w:val="21"/>
          <w:szCs w:val="21"/>
        </w:rPr>
        <w:t>对种族主义</w:t>
      </w:r>
      <w:r>
        <w:rPr>
          <w:rFonts w:hint="default" w:ascii="Times New Roman" w:hAnsi="Times New Roman" w:eastAsia="宋体" w:cs="Times New Roman"/>
          <w:spacing w:val="22"/>
          <w:position w:val="1"/>
          <w:sz w:val="21"/>
          <w:szCs w:val="21"/>
        </w:rPr>
        <w:t>、</w:t>
      </w:r>
      <w:r>
        <w:rPr>
          <w:rFonts w:hint="default" w:ascii="Times New Roman" w:hAnsi="Times New Roman" w:eastAsia="宋体" w:cs="Times New Roman"/>
          <w:spacing w:val="22"/>
          <w:sz w:val="21"/>
          <w:szCs w:val="21"/>
        </w:rPr>
        <w:t>仇外心理</w:t>
      </w:r>
      <w:r>
        <w:rPr>
          <w:rFonts w:hint="default" w:ascii="Times New Roman" w:hAnsi="Times New Roman" w:eastAsia="宋体" w:cs="Times New Roman"/>
          <w:spacing w:val="14"/>
          <w:sz w:val="21"/>
          <w:szCs w:val="21"/>
        </w:rPr>
        <w:t>和不宽容言论的禁忌</w:t>
      </w:r>
      <w:r>
        <w:rPr>
          <w:rFonts w:hint="default" w:ascii="Times New Roman" w:hAnsi="Times New Roman" w:eastAsia="宋体" w:cs="Times New Roman"/>
          <w:b/>
          <w:bCs/>
          <w:spacing w:val="14"/>
          <w:sz w:val="21"/>
          <w:szCs w:val="21"/>
        </w:rPr>
        <w:t>—</w:t>
      </w:r>
      <w:r>
        <w:rPr>
          <w:rFonts w:hint="default" w:ascii="Times New Roman" w:hAnsi="Times New Roman" w:eastAsia="宋体" w:cs="Times New Roman"/>
          <w:spacing w:val="14"/>
          <w:sz w:val="21"/>
          <w:szCs w:val="21"/>
        </w:rPr>
        <w:t>开始被解构。</w:t>
      </w:r>
      <w:r>
        <w:rPr>
          <w:rStyle w:val="20"/>
          <w:rFonts w:hint="default" w:ascii="Times New Roman" w:hAnsi="Times New Roman" w:eastAsia="宋体" w:cs="Times New Roman"/>
          <w:spacing w:val="14"/>
          <w:sz w:val="21"/>
          <w:szCs w:val="21"/>
        </w:rPr>
        <w:footnoteReference w:id="1211"/>
      </w:r>
      <w:r>
        <w:rPr>
          <w:rFonts w:hint="default" w:ascii="Times New Roman" w:hAnsi="Times New Roman" w:eastAsia="宋体" w:cs="Times New Roman"/>
          <w:spacing w:val="14"/>
          <w:position w:val="5"/>
          <w:sz w:val="21"/>
          <w:szCs w:val="21"/>
        </w:rPr>
        <w:t>②</w:t>
      </w:r>
      <w:r>
        <w:rPr>
          <w:rFonts w:hint="default" w:ascii="Times New Roman" w:hAnsi="Times New Roman" w:eastAsia="宋体" w:cs="Times New Roman"/>
          <w:spacing w:val="14"/>
          <w:sz w:val="21"/>
          <w:szCs w:val="21"/>
        </w:rPr>
        <w:t>这种社会氛围为极</w:t>
      </w:r>
      <w:r>
        <w:rPr>
          <w:rFonts w:hint="default" w:ascii="Times New Roman" w:hAnsi="Times New Roman" w:eastAsia="宋体" w:cs="Times New Roman"/>
          <w:spacing w:val="13"/>
          <w:sz w:val="21"/>
          <w:szCs w:val="21"/>
        </w:rPr>
        <w:t>右翼势力的崛起</w:t>
      </w:r>
      <w:r>
        <w:rPr>
          <w:rFonts w:hint="default" w:ascii="Times New Roman" w:hAnsi="Times New Roman" w:eastAsia="宋体" w:cs="Times New Roman"/>
          <w:spacing w:val="12"/>
          <w:sz w:val="21"/>
          <w:szCs w:val="21"/>
        </w:rPr>
        <w:t>提供了土壤,他们利用反移民和反多元文化主义叙事,进一步推动了</w:t>
      </w:r>
      <w:r>
        <w:rPr>
          <w:rFonts w:hint="default" w:ascii="Times New Roman" w:hAnsi="Times New Roman" w:eastAsia="宋体" w:cs="Times New Roman"/>
          <w:spacing w:val="11"/>
          <w:sz w:val="21"/>
          <w:szCs w:val="21"/>
        </w:rPr>
        <w:t>排外情绪</w:t>
      </w:r>
      <w:r>
        <w:rPr>
          <w:rFonts w:hint="default" w:ascii="Times New Roman" w:hAnsi="Times New Roman" w:eastAsia="宋体" w:cs="Times New Roman"/>
          <w:spacing w:val="6"/>
          <w:sz w:val="21"/>
          <w:szCs w:val="21"/>
        </w:rPr>
        <w:t>和民族主义议程。</w:t>
      </w:r>
    </w:p>
    <w:p w14:paraId="0FC814C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12"/>
          <w:sz w:val="21"/>
          <w:szCs w:val="21"/>
        </w:rPr>
        <w:t>(五)数字种族主义</w:t>
      </w:r>
    </w:p>
    <w:p w14:paraId="0E1126F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3"/>
          <w:sz w:val="21"/>
          <w:szCs w:val="21"/>
        </w:rPr>
        <w:t>数字时代的种族主义可分为网络种族主义和算法种族主义两个</w:t>
      </w:r>
      <w:r>
        <w:rPr>
          <w:rFonts w:hint="default" w:ascii="Times New Roman" w:hAnsi="Times New Roman" w:eastAsia="宋体" w:cs="Times New Roman"/>
          <w:spacing w:val="12"/>
          <w:sz w:val="21"/>
          <w:szCs w:val="21"/>
        </w:rPr>
        <w:t>阶段,二</w:t>
      </w:r>
      <w:r>
        <w:rPr>
          <w:rFonts w:hint="default" w:ascii="Times New Roman" w:hAnsi="Times New Roman" w:eastAsia="宋体" w:cs="Times New Roman"/>
          <w:spacing w:val="10"/>
          <w:sz w:val="21"/>
          <w:szCs w:val="21"/>
        </w:rPr>
        <w:t>者虽有技术逻辑上的递进关系,但其种族主义的实质内容没有改变。</w:t>
      </w:r>
    </w:p>
    <w:p w14:paraId="3614DB6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网络种族主义(</w:t>
      </w:r>
      <w:r>
        <w:rPr>
          <w:rFonts w:hint="default" w:ascii="Times New Roman" w:hAnsi="Times New Roman" w:eastAsia="宋体" w:cs="Times New Roman"/>
          <w:sz w:val="21"/>
          <w:szCs w:val="21"/>
        </w:rPr>
        <w:t>Cyb</w:t>
      </w:r>
      <w:r>
        <w:rPr>
          <w:rFonts w:hint="default" w:ascii="Times New Roman" w:hAnsi="Times New Roman" w:eastAsia="宋体" w:cs="Times New Roman"/>
          <w:position w:val="-2"/>
          <w:sz w:val="21"/>
          <w:szCs w:val="21"/>
        </w:rPr>
        <w:t>er</w:t>
      </w:r>
      <w:r>
        <w:rPr>
          <w:rFonts w:hint="default" w:ascii="Times New Roman" w:hAnsi="Times New Roman" w:eastAsia="宋体" w:cs="Times New Roman"/>
          <w:spacing w:val="10"/>
          <w:position w:val="-2"/>
          <w:sz w:val="21"/>
          <w:szCs w:val="21"/>
        </w:rPr>
        <w:t>-</w:t>
      </w:r>
      <w:r>
        <w:rPr>
          <w:rFonts w:hint="default" w:ascii="Times New Roman" w:hAnsi="Times New Roman" w:eastAsia="宋体" w:cs="Times New Roman"/>
          <w:position w:val="-2"/>
          <w:sz w:val="21"/>
          <w:szCs w:val="21"/>
        </w:rPr>
        <w:t>Racism</w:t>
      </w:r>
      <w:r>
        <w:rPr>
          <w:rFonts w:hint="default" w:ascii="Times New Roman" w:hAnsi="Times New Roman" w:eastAsia="宋体" w:cs="Times New Roman"/>
          <w:spacing w:val="10"/>
          <w:sz w:val="21"/>
          <w:szCs w:val="21"/>
        </w:rPr>
        <w:t>)是数字种族主义的第一阶段</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sz w:val="21"/>
          <w:szCs w:val="21"/>
        </w:rPr>
        <w:t>它依赖互联</w:t>
      </w:r>
      <w:r>
        <w:rPr>
          <w:rFonts w:hint="default" w:ascii="Times New Roman" w:hAnsi="Times New Roman" w:eastAsia="宋体" w:cs="Times New Roman"/>
          <w:spacing w:val="9"/>
          <w:sz w:val="21"/>
          <w:szCs w:val="21"/>
        </w:rPr>
        <w:t>网平台(论坛、社交媒体)发布种族仇恨言论、歧视性表情包,进行有组织的网</w:t>
      </w:r>
      <w:r>
        <w:rPr>
          <w:rFonts w:hint="default" w:ascii="Times New Roman" w:hAnsi="Times New Roman" w:eastAsia="宋体" w:cs="Times New Roman"/>
          <w:spacing w:val="8"/>
          <w:sz w:val="21"/>
          <w:szCs w:val="21"/>
        </w:rPr>
        <w:t>络暴力等。其特点是人为主动发起,依赖用户主观行为(发帖、转发)</w:t>
      </w:r>
      <w:r>
        <w:rPr>
          <w:rFonts w:hint="default" w:ascii="Times New Roman" w:hAnsi="Times New Roman" w:eastAsia="宋体" w:cs="Times New Roman"/>
          <w:spacing w:val="7"/>
          <w:sz w:val="21"/>
          <w:szCs w:val="21"/>
        </w:rPr>
        <w:t>。在一个</w:t>
      </w:r>
      <w:r>
        <w:rPr>
          <w:rFonts w:hint="default" w:ascii="Times New Roman" w:hAnsi="Times New Roman" w:eastAsia="宋体" w:cs="Times New Roman"/>
          <w:spacing w:val="12"/>
          <w:sz w:val="21"/>
          <w:szCs w:val="21"/>
        </w:rPr>
        <w:t>高度全球化的时代,网络的匿名性,使得人们在网上表达种族歧视和仇恨</w:t>
      </w:r>
      <w:r>
        <w:rPr>
          <w:rFonts w:hint="default" w:ascii="Times New Roman" w:hAnsi="Times New Roman" w:eastAsia="宋体" w:cs="Times New Roman"/>
          <w:spacing w:val="11"/>
          <w:sz w:val="21"/>
          <w:szCs w:val="21"/>
        </w:rPr>
        <w:t>言论</w:t>
      </w:r>
      <w:r>
        <w:rPr>
          <w:rFonts w:hint="default" w:ascii="Times New Roman" w:hAnsi="Times New Roman" w:eastAsia="宋体" w:cs="Times New Roman"/>
          <w:spacing w:val="14"/>
          <w:sz w:val="21"/>
          <w:szCs w:val="21"/>
        </w:rPr>
        <w:t>时更为大胆;去中心化的平台(如社交媒体)使得这</w:t>
      </w:r>
      <w:r>
        <w:rPr>
          <w:rFonts w:hint="default" w:ascii="Times New Roman" w:hAnsi="Times New Roman" w:eastAsia="宋体" w:cs="Times New Roman"/>
          <w:spacing w:val="13"/>
          <w:sz w:val="21"/>
          <w:szCs w:val="21"/>
        </w:rPr>
        <w:t>些言论能够迅速跨越国界</w:t>
      </w:r>
      <w:r>
        <w:rPr>
          <w:rFonts w:hint="default" w:ascii="Times New Roman" w:hAnsi="Times New Roman" w:eastAsia="宋体" w:cs="Times New Roman"/>
          <w:spacing w:val="12"/>
          <w:sz w:val="21"/>
          <w:szCs w:val="21"/>
        </w:rPr>
        <w:t>并传播,不再受空间和时间的限制。例如,某些极端主义团体可以通过网</w:t>
      </w:r>
      <w:r>
        <w:rPr>
          <w:rFonts w:hint="default" w:ascii="Times New Roman" w:hAnsi="Times New Roman" w:eastAsia="宋体" w:cs="Times New Roman"/>
          <w:spacing w:val="11"/>
          <w:sz w:val="21"/>
          <w:szCs w:val="21"/>
        </w:rPr>
        <w:t>络招</w:t>
      </w:r>
      <w:r>
        <w:rPr>
          <w:rFonts w:hint="default" w:ascii="Times New Roman" w:hAnsi="Times New Roman" w:eastAsia="宋体" w:cs="Times New Roman"/>
          <w:spacing w:val="20"/>
          <w:sz w:val="21"/>
          <w:szCs w:val="21"/>
        </w:rPr>
        <w:t>募国际成员,传播其意识形态。研究表明,美国黑人青少年(13</w:t>
      </w:r>
      <w:r>
        <w:rPr>
          <w:rFonts w:hint="default" w:ascii="Times New Roman" w:hAnsi="Times New Roman" w:eastAsia="宋体" w:cs="Times New Roman"/>
          <w:spacing w:val="20"/>
          <w:position w:val="-2"/>
          <w:sz w:val="21"/>
          <w:szCs w:val="21"/>
        </w:rPr>
        <w:t>~17</w:t>
      </w:r>
      <w:r>
        <w:rPr>
          <w:rFonts w:hint="default" w:ascii="Times New Roman" w:hAnsi="Times New Roman" w:eastAsia="宋体" w:cs="Times New Roman"/>
          <w:spacing w:val="20"/>
          <w:sz w:val="21"/>
          <w:szCs w:val="21"/>
        </w:rPr>
        <w:t>岁)中</w:t>
      </w:r>
      <w:r>
        <w:rPr>
          <w:rFonts w:hint="default" w:ascii="Times New Roman" w:hAnsi="Times New Roman" w:eastAsia="宋体" w:cs="Times New Roman"/>
          <w:spacing w:val="10"/>
          <w:sz w:val="21"/>
          <w:szCs w:val="21"/>
        </w:rPr>
        <w:t>21%曾因种族身份遭受网络欺凌,成年黑人群体中25%存在类似遭遇</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sz w:val="21"/>
          <w:szCs w:val="21"/>
        </w:rPr>
        <w:t>新冠</w:t>
      </w:r>
      <w:r>
        <w:rPr>
          <w:rFonts w:hint="default" w:ascii="Times New Roman" w:hAnsi="Times New Roman" w:eastAsia="宋体" w:cs="Times New Roman"/>
          <w:spacing w:val="12"/>
          <w:sz w:val="21"/>
          <w:szCs w:val="21"/>
        </w:rPr>
        <w:t>疫情期间,针对亚裔群体的网络种族主义激增,形成线上仇恨言论与线下</w:t>
      </w:r>
      <w:r>
        <w:rPr>
          <w:rFonts w:hint="default" w:ascii="Times New Roman" w:hAnsi="Times New Roman" w:eastAsia="宋体" w:cs="Times New Roman"/>
          <w:spacing w:val="11"/>
          <w:sz w:val="21"/>
          <w:szCs w:val="21"/>
        </w:rPr>
        <w:t>暴力</w:t>
      </w:r>
      <w:r>
        <w:rPr>
          <w:rFonts w:hint="default" w:ascii="Times New Roman" w:hAnsi="Times New Roman" w:eastAsia="宋体" w:cs="Times New Roman"/>
          <w:sz w:val="21"/>
          <w:szCs w:val="21"/>
        </w:rPr>
        <w:t>事件的共谋和恶性循环。</w:t>
      </w:r>
      <w:r>
        <w:rPr>
          <w:rStyle w:val="20"/>
          <w:rFonts w:hint="default" w:ascii="Times New Roman" w:hAnsi="Times New Roman" w:eastAsia="宋体" w:cs="Times New Roman"/>
          <w:sz w:val="21"/>
          <w:szCs w:val="21"/>
        </w:rPr>
        <w:footnoteReference w:id="1212"/>
      </w:r>
    </w:p>
    <w:p w14:paraId="5927E71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算法种族主义(</w:t>
      </w:r>
      <w:r>
        <w:rPr>
          <w:rFonts w:hint="default" w:ascii="Times New Roman" w:hAnsi="Times New Roman" w:eastAsia="宋体" w:cs="Times New Roman"/>
          <w:sz w:val="21"/>
          <w:szCs w:val="21"/>
        </w:rPr>
        <w:t>Algorith</w:t>
      </w:r>
      <w:r>
        <w:rPr>
          <w:rFonts w:hint="default" w:ascii="Times New Roman" w:hAnsi="Times New Roman" w:eastAsia="宋体" w:cs="Times New Roman"/>
          <w:position w:val="-2"/>
          <w:sz w:val="21"/>
          <w:szCs w:val="21"/>
        </w:rPr>
        <w:t>mic</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Racism</w:t>
      </w:r>
      <w:r>
        <w:rPr>
          <w:rFonts w:hint="default" w:ascii="Times New Roman" w:hAnsi="Times New Roman" w:eastAsia="宋体" w:cs="Times New Roman"/>
          <w:spacing w:val="17"/>
          <w:sz w:val="21"/>
          <w:szCs w:val="21"/>
        </w:rPr>
        <w:t>)是网络种族主义的技术升级</w:t>
      </w:r>
      <w:r>
        <w:rPr>
          <w:rFonts w:hint="default" w:ascii="Times New Roman" w:hAnsi="Times New Roman" w:eastAsia="宋体" w:cs="Times New Roman"/>
          <w:spacing w:val="17"/>
          <w:position w:val="1"/>
          <w:sz w:val="21"/>
          <w:szCs w:val="21"/>
        </w:rPr>
        <w:t>,</w:t>
      </w:r>
      <w:r>
        <w:rPr>
          <w:rFonts w:hint="default" w:ascii="Times New Roman" w:hAnsi="Times New Roman" w:eastAsia="宋体" w:cs="Times New Roman"/>
          <w:spacing w:val="17"/>
          <w:sz w:val="21"/>
          <w:szCs w:val="21"/>
        </w:rPr>
        <w:t>它将</w:t>
      </w:r>
      <w:r>
        <w:rPr>
          <w:rFonts w:hint="default" w:ascii="Times New Roman" w:hAnsi="Times New Roman" w:eastAsia="宋体" w:cs="Times New Roman"/>
          <w:spacing w:val="12"/>
          <w:sz w:val="21"/>
          <w:szCs w:val="21"/>
        </w:rPr>
        <w:t>人类偏见转化为自动化系统,使歧视更高效、隐蔽且规模化,</w:t>
      </w:r>
      <w:r>
        <w:rPr>
          <w:rFonts w:hint="default" w:ascii="Times New Roman" w:hAnsi="Times New Roman" w:eastAsia="宋体" w:cs="Times New Roman"/>
          <w:spacing w:val="11"/>
          <w:sz w:val="21"/>
          <w:szCs w:val="21"/>
        </w:rPr>
        <w:t>其技术基础是人</w:t>
      </w:r>
      <w:r>
        <w:rPr>
          <w:rFonts w:hint="default" w:ascii="Times New Roman" w:hAnsi="Times New Roman" w:eastAsia="宋体" w:cs="Times New Roman"/>
          <w:spacing w:val="12"/>
          <w:sz w:val="21"/>
          <w:szCs w:val="21"/>
        </w:rPr>
        <w:t>工智能驱动的自动化决策系统。譬如,在预测性警务算法(如</w:t>
      </w:r>
      <w:r>
        <w:rPr>
          <w:rFonts w:hint="default" w:ascii="Times New Roman" w:hAnsi="Times New Roman" w:eastAsia="宋体" w:cs="Times New Roman"/>
          <w:position w:val="-2"/>
          <w:sz w:val="21"/>
          <w:szCs w:val="21"/>
        </w:rPr>
        <w:t>Predpo</w:t>
      </w:r>
      <w:r>
        <w:rPr>
          <w:rFonts w:hint="default" w:ascii="Times New Roman" w:hAnsi="Times New Roman" w:eastAsia="宋体" w:cs="Times New Roman"/>
          <w:sz w:val="21"/>
          <w:szCs w:val="21"/>
        </w:rPr>
        <w:t>l</w:t>
      </w:r>
      <w:r>
        <w:rPr>
          <w:rFonts w:hint="default" w:ascii="Times New Roman" w:hAnsi="Times New Roman" w:eastAsia="宋体" w:cs="Times New Roman"/>
          <w:spacing w:val="12"/>
          <w:sz w:val="21"/>
          <w:szCs w:val="21"/>
        </w:rPr>
        <w:t>)中,算</w:t>
      </w:r>
      <w:r>
        <w:rPr>
          <w:rFonts w:hint="default" w:ascii="Times New Roman" w:hAnsi="Times New Roman" w:eastAsia="宋体" w:cs="Times New Roman"/>
          <w:spacing w:val="6"/>
          <w:sz w:val="21"/>
          <w:szCs w:val="21"/>
        </w:rPr>
        <w:t>法种族主义标记少数族裔社区为“犯罪高发区”,在招聘算</w:t>
      </w:r>
      <w:r>
        <w:rPr>
          <w:rFonts w:hint="default" w:ascii="Times New Roman" w:hAnsi="Times New Roman" w:eastAsia="宋体" w:cs="Times New Roman"/>
          <w:spacing w:val="5"/>
          <w:sz w:val="21"/>
          <w:szCs w:val="21"/>
        </w:rPr>
        <w:t>法中,系统自动过滤</w:t>
      </w:r>
      <w:r>
        <w:rPr>
          <w:rFonts w:hint="default" w:ascii="Times New Roman" w:hAnsi="Times New Roman" w:eastAsia="宋体" w:cs="Times New Roman"/>
          <w:spacing w:val="12"/>
          <w:sz w:val="21"/>
          <w:szCs w:val="21"/>
        </w:rPr>
        <w:t>非裔姓氏简历等。算法种族主义的特征,一是系统自动生成,</w:t>
      </w:r>
      <w:r>
        <w:rPr>
          <w:rFonts w:hint="default" w:ascii="Times New Roman" w:hAnsi="Times New Roman" w:eastAsia="宋体" w:cs="Times New Roman"/>
          <w:spacing w:val="11"/>
          <w:sz w:val="21"/>
          <w:szCs w:val="21"/>
        </w:rPr>
        <w:t>算法通过数据训</w:t>
      </w:r>
      <w:r>
        <w:rPr>
          <w:rFonts w:hint="default" w:ascii="Times New Roman" w:hAnsi="Times New Roman" w:eastAsia="宋体" w:cs="Times New Roman"/>
          <w:spacing w:val="8"/>
          <w:sz w:val="21"/>
          <w:szCs w:val="21"/>
        </w:rPr>
        <w:t>练自主输出歧视结果;二是系统性扩散,种族歧视被嵌入基础设施</w:t>
      </w:r>
      <w:r>
        <w:rPr>
          <w:rFonts w:hint="default" w:ascii="Times New Roman" w:hAnsi="Times New Roman" w:eastAsia="宋体" w:cs="Times New Roman"/>
          <w:spacing w:val="7"/>
          <w:sz w:val="21"/>
          <w:szCs w:val="21"/>
        </w:rPr>
        <w:t>(如司法、金</w:t>
      </w:r>
      <w:r>
        <w:rPr>
          <w:rFonts w:hint="default" w:ascii="Times New Roman" w:hAnsi="Times New Roman" w:eastAsia="宋体" w:cs="Times New Roman"/>
          <w:spacing w:val="17"/>
          <w:sz w:val="21"/>
          <w:szCs w:val="21"/>
        </w:rPr>
        <w:t>融系统)</w:t>
      </w:r>
      <w:r>
        <w:rPr>
          <w:rStyle w:val="20"/>
          <w:rFonts w:hint="default" w:ascii="Times New Roman" w:hAnsi="Times New Roman" w:eastAsia="宋体" w:cs="Times New Roman"/>
          <w:spacing w:val="17"/>
          <w:sz w:val="21"/>
          <w:szCs w:val="21"/>
        </w:rPr>
        <w:footnoteReference w:id="1213"/>
      </w:r>
      <w:r>
        <w:rPr>
          <w:rFonts w:hint="default" w:ascii="Times New Roman" w:hAnsi="Times New Roman" w:eastAsia="宋体" w:cs="Times New Roman"/>
          <w:spacing w:val="17"/>
          <w:sz w:val="21"/>
          <w:szCs w:val="21"/>
        </w:rPr>
        <w:t>;三是社交媒体平台的算法倾向于推送用户感兴趣的内容,</w:t>
      </w:r>
      <w:r>
        <w:rPr>
          <w:rFonts w:hint="default" w:ascii="Times New Roman" w:hAnsi="Times New Roman" w:eastAsia="宋体" w:cs="Times New Roman"/>
          <w:spacing w:val="16"/>
          <w:sz w:val="21"/>
          <w:szCs w:val="21"/>
        </w:rPr>
        <w:t>这可能</w:t>
      </w:r>
      <w:r>
        <w:rPr>
          <w:rFonts w:hint="default" w:ascii="Times New Roman" w:hAnsi="Times New Roman" w:eastAsia="宋体" w:cs="Times New Roman"/>
          <w:spacing w:val="4"/>
          <w:sz w:val="21"/>
          <w:szCs w:val="21"/>
        </w:rPr>
        <w:t>导致用户陷入“回音室”,即只能接触到与自己观点一致的信息,进一步加深种</w:t>
      </w:r>
      <w:r>
        <w:rPr>
          <w:rFonts w:hint="default" w:ascii="Times New Roman" w:hAnsi="Times New Roman" w:eastAsia="宋体" w:cs="Times New Roman"/>
          <w:spacing w:val="7"/>
          <w:sz w:val="21"/>
          <w:szCs w:val="21"/>
        </w:rPr>
        <w:t>族主义的观点和偏见。</w:t>
      </w:r>
    </w:p>
    <w:p w14:paraId="235938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网络种族主义以互联网为温床,通过人际传播扩散种族仇恨言论、歧视性</w:t>
      </w:r>
      <w:r>
        <w:rPr>
          <w:rFonts w:hint="default" w:ascii="Times New Roman" w:hAnsi="Times New Roman" w:eastAsia="宋体" w:cs="Times New Roman"/>
          <w:spacing w:val="11"/>
          <w:sz w:val="21"/>
          <w:szCs w:val="21"/>
        </w:rPr>
        <w:t>内容与有组织的网络暴力,其本质仍是人类主动发起的显性攻击;而算法种族</w:t>
      </w:r>
      <w:r>
        <w:rPr>
          <w:rFonts w:hint="default" w:ascii="Times New Roman" w:hAnsi="Times New Roman" w:eastAsia="宋体" w:cs="Times New Roman"/>
          <w:spacing w:val="5"/>
          <w:sz w:val="21"/>
          <w:szCs w:val="21"/>
        </w:rPr>
        <w:t>主义则是前者在人工智能时代的系统性升级,实现从“人力驱动”到“系统自治”的质变。二者形成深度协同:网络中的种族仇恨数据(如污名化标签、虚假</w:t>
      </w:r>
      <w:r>
        <w:rPr>
          <w:rFonts w:hint="default" w:ascii="Times New Roman" w:hAnsi="Times New Roman" w:eastAsia="宋体" w:cs="Times New Roman"/>
          <w:spacing w:val="14"/>
          <w:sz w:val="21"/>
          <w:szCs w:val="21"/>
        </w:rPr>
        <w:t>叙事)不断污染算法训练集,而算法的推荐机制(</w:t>
      </w:r>
      <w:r>
        <w:rPr>
          <w:rFonts w:hint="default" w:ascii="Times New Roman" w:hAnsi="Times New Roman" w:eastAsia="宋体" w:cs="Times New Roman"/>
          <w:spacing w:val="13"/>
          <w:sz w:val="21"/>
          <w:szCs w:val="21"/>
        </w:rPr>
        <w:t>如</w:t>
      </w:r>
      <w:r>
        <w:rPr>
          <w:rFonts w:hint="default" w:ascii="Times New Roman" w:hAnsi="Times New Roman" w:eastAsia="宋体" w:cs="Times New Roman"/>
          <w:sz w:val="21"/>
          <w:szCs w:val="21"/>
        </w:rPr>
        <w:t>YouTu</w:t>
      </w:r>
      <w:r>
        <w:rPr>
          <w:rFonts w:hint="default" w:ascii="Times New Roman" w:hAnsi="Times New Roman" w:eastAsia="宋体" w:cs="Times New Roman"/>
          <w:position w:val="-2"/>
          <w:sz w:val="21"/>
          <w:szCs w:val="21"/>
        </w:rPr>
        <w:t>be</w:t>
      </w:r>
      <w:r>
        <w:rPr>
          <w:rFonts w:hint="default" w:ascii="Times New Roman" w:hAnsi="Times New Roman" w:eastAsia="宋体" w:cs="Times New Roman"/>
          <w:spacing w:val="13"/>
          <w:sz w:val="21"/>
          <w:szCs w:val="21"/>
        </w:rPr>
        <w:t>引导用户观看极</w:t>
      </w:r>
      <w:r>
        <w:rPr>
          <w:rFonts w:hint="default" w:ascii="Times New Roman" w:hAnsi="Times New Roman" w:eastAsia="宋体" w:cs="Times New Roman"/>
          <w:spacing w:val="5"/>
          <w:sz w:val="21"/>
          <w:szCs w:val="21"/>
        </w:rPr>
        <w:t>端内容)又反哺网络仇恨的扩散,构成“数据污染算法放大”的恶性循环。二</w:t>
      </w:r>
      <w:r>
        <w:rPr>
          <w:rFonts w:hint="default" w:ascii="Times New Roman" w:hAnsi="Times New Roman" w:eastAsia="宋体" w:cs="Times New Roman"/>
          <w:spacing w:val="9"/>
          <w:sz w:val="21"/>
          <w:szCs w:val="21"/>
        </w:rPr>
        <w:t>者的根源仍在于欧美白人至上的权力结构。在一些历史上种族矛盾相对缓和</w:t>
      </w:r>
      <w:r>
        <w:rPr>
          <w:rFonts w:hint="default" w:ascii="Times New Roman" w:hAnsi="Times New Roman" w:eastAsia="宋体" w:cs="Times New Roman"/>
          <w:spacing w:val="14"/>
          <w:sz w:val="21"/>
          <w:szCs w:val="21"/>
        </w:rPr>
        <w:t>的西方国家,如挪威和新西兰,近年来受网</w:t>
      </w:r>
      <w:r>
        <w:rPr>
          <w:rFonts w:hint="default" w:ascii="Times New Roman" w:hAnsi="Times New Roman" w:eastAsia="宋体" w:cs="Times New Roman"/>
          <w:spacing w:val="13"/>
          <w:sz w:val="21"/>
          <w:szCs w:val="21"/>
        </w:rPr>
        <w:t>络空间极端思潮的影响,国内的种</w:t>
      </w:r>
      <w:r>
        <w:rPr>
          <w:rFonts w:hint="default" w:ascii="Times New Roman" w:hAnsi="Times New Roman" w:eastAsia="宋体" w:cs="Times New Roman"/>
          <w:spacing w:val="14"/>
          <w:sz w:val="21"/>
          <w:szCs w:val="21"/>
        </w:rPr>
        <w:t>族主义情绪也呈现出上升趋势。这种趋势助长了针对群</w:t>
      </w:r>
      <w:r>
        <w:rPr>
          <w:rFonts w:hint="default" w:ascii="Times New Roman" w:hAnsi="Times New Roman" w:eastAsia="宋体" w:cs="Times New Roman"/>
          <w:spacing w:val="13"/>
          <w:sz w:val="21"/>
          <w:szCs w:val="21"/>
        </w:rPr>
        <w:t>体的仇恨犯罪,甚至</w:t>
      </w:r>
      <w:r>
        <w:rPr>
          <w:rFonts w:hint="default" w:ascii="Times New Roman" w:hAnsi="Times New Roman" w:eastAsia="宋体" w:cs="Times New Roman"/>
          <w:sz w:val="21"/>
          <w:szCs w:val="21"/>
        </w:rPr>
        <w:t>催生了如“挪威</w:t>
      </w:r>
      <w:r>
        <w:rPr>
          <w:rFonts w:hint="default" w:ascii="Times New Roman" w:hAnsi="Times New Roman" w:eastAsia="宋体" w:cs="Times New Roman"/>
          <w:position w:val="-2"/>
          <w:sz w:val="21"/>
          <w:szCs w:val="21"/>
        </w:rPr>
        <w:t>7</w:t>
      </w:r>
      <w:r>
        <w:rPr>
          <w:rFonts w:hint="default" w:ascii="Times New Roman" w:hAnsi="Times New Roman" w:eastAsia="宋体" w:cs="Times New Roman"/>
          <w:sz w:val="21"/>
          <w:szCs w:val="21"/>
        </w:rPr>
        <w:t>·</w:t>
      </w:r>
      <w:r>
        <w:rPr>
          <w:rFonts w:hint="default" w:ascii="Times New Roman" w:hAnsi="Times New Roman" w:eastAsia="宋体" w:cs="Times New Roman"/>
          <w:position w:val="-2"/>
          <w:sz w:val="21"/>
          <w:szCs w:val="21"/>
        </w:rPr>
        <w:t>22</w:t>
      </w:r>
      <w:r>
        <w:rPr>
          <w:rFonts w:hint="default" w:ascii="Times New Roman" w:hAnsi="Times New Roman" w:eastAsia="宋体" w:cs="Times New Roman"/>
          <w:sz w:val="21"/>
          <w:szCs w:val="21"/>
        </w:rPr>
        <w:t>爆炸枪击案”和新西兰“基督城枪击案”等震惊世界的恶</w:t>
      </w:r>
      <w:r>
        <w:rPr>
          <w:rFonts w:hint="default" w:ascii="Times New Roman" w:hAnsi="Times New Roman" w:eastAsia="宋体" w:cs="Times New Roman"/>
          <w:spacing w:val="14"/>
          <w:sz w:val="21"/>
          <w:szCs w:val="21"/>
        </w:rPr>
        <w:t>性事件。这些悲剧表明,网络上的仇恨言论完全可能演</w:t>
      </w:r>
      <w:r>
        <w:rPr>
          <w:rFonts w:hint="default" w:ascii="Times New Roman" w:hAnsi="Times New Roman" w:eastAsia="宋体" w:cs="Times New Roman"/>
          <w:spacing w:val="13"/>
          <w:sz w:val="21"/>
          <w:szCs w:val="21"/>
        </w:rPr>
        <w:t>变为现实中的极端暴</w:t>
      </w:r>
      <w:r>
        <w:rPr>
          <w:rFonts w:hint="default" w:ascii="Times New Roman" w:hAnsi="Times New Roman" w:eastAsia="宋体" w:cs="Times New Roman"/>
          <w:spacing w:val="11"/>
          <w:sz w:val="21"/>
          <w:szCs w:val="21"/>
        </w:rPr>
        <w:t>力,为我们敲响了警钟。</w:t>
      </w:r>
    </w:p>
    <w:p w14:paraId="77263A1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b/>
          <w:bCs/>
          <w:sz w:val="24"/>
          <w:szCs w:val="24"/>
        </w:rPr>
      </w:pPr>
      <w:r>
        <w:rPr>
          <w:rFonts w:hint="default" w:ascii="Times New Roman" w:hAnsi="Times New Roman" w:eastAsia="宋体" w:cs="Times New Roman"/>
          <w:b/>
          <w:bCs/>
          <w:spacing w:val="-3"/>
          <w:sz w:val="24"/>
          <w:szCs w:val="24"/>
        </w:rPr>
        <w:t>三、当前种族主义回潮的特点</w:t>
      </w:r>
    </w:p>
    <w:p w14:paraId="6EEA508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20世纪中期种族主义的退潮是民权运动的直接后果,体现为法律上禁止种族歧视和种族隔离政策等,但种族主义的根源在于资本主义</w:t>
      </w:r>
      <w:r>
        <w:rPr>
          <w:rFonts w:hint="default" w:ascii="Times New Roman" w:hAnsi="Times New Roman" w:eastAsia="宋体" w:cs="Times New Roman"/>
          <w:spacing w:val="11"/>
          <w:sz w:val="21"/>
          <w:szCs w:val="21"/>
        </w:rPr>
        <w:t>私有制,在“适</w:t>
      </w:r>
      <w:r>
        <w:rPr>
          <w:rFonts w:hint="default" w:ascii="Times New Roman" w:hAnsi="Times New Roman" w:eastAsia="宋体" w:cs="Times New Roman"/>
          <w:spacing w:val="5"/>
          <w:sz w:val="21"/>
          <w:szCs w:val="21"/>
        </w:rPr>
        <w:t>当”的历史条件下,种族主义又会卷土重来。</w:t>
      </w:r>
    </w:p>
    <w:p w14:paraId="18DF7F8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(一)种族主义回潮与经济分化、政治极化有着正相关联系</w:t>
      </w:r>
    </w:p>
    <w:p w14:paraId="26948B4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position w:val="-2"/>
          <w:sz w:val="21"/>
          <w:szCs w:val="21"/>
        </w:rPr>
        <w:t>20</w:t>
      </w:r>
      <w:r>
        <w:rPr>
          <w:rFonts w:hint="default" w:ascii="Times New Roman" w:hAnsi="Times New Roman" w:eastAsia="宋体" w:cs="Times New Roman"/>
          <w:spacing w:val="14"/>
          <w:sz w:val="21"/>
          <w:szCs w:val="21"/>
        </w:rPr>
        <w:t>世纪初,自由竞争资本主义逐步向垄断</w:t>
      </w:r>
      <w:r>
        <w:rPr>
          <w:rFonts w:hint="default" w:ascii="Times New Roman" w:hAnsi="Times New Roman" w:eastAsia="宋体" w:cs="Times New Roman"/>
          <w:spacing w:val="13"/>
          <w:sz w:val="21"/>
          <w:szCs w:val="21"/>
        </w:rPr>
        <w:t>资本主义过渡,此时西方国家的生产和贸易处于巅峰,实体经济相对发达。然而</w:t>
      </w:r>
      <w:r>
        <w:rPr>
          <w:rFonts w:hint="default" w:ascii="Times New Roman" w:hAnsi="Times New Roman" w:eastAsia="宋体" w:cs="Times New Roman"/>
          <w:spacing w:val="12"/>
          <w:sz w:val="21"/>
          <w:szCs w:val="21"/>
        </w:rPr>
        <w:t>,自</w:t>
      </w:r>
      <w:r>
        <w:rPr>
          <w:rFonts w:hint="default" w:ascii="Times New Roman" w:hAnsi="Times New Roman" w:eastAsia="宋体" w:cs="Times New Roman"/>
          <w:spacing w:val="12"/>
          <w:position w:val="-2"/>
          <w:sz w:val="21"/>
          <w:szCs w:val="21"/>
        </w:rPr>
        <w:t>20</w:t>
      </w:r>
      <w:r>
        <w:rPr>
          <w:rFonts w:hint="default" w:ascii="Times New Roman" w:hAnsi="Times New Roman" w:eastAsia="宋体" w:cs="Times New Roman"/>
          <w:spacing w:val="12"/>
          <w:sz w:val="21"/>
          <w:szCs w:val="21"/>
        </w:rPr>
        <w:t>世纪</w:t>
      </w:r>
      <w:r>
        <w:rPr>
          <w:rFonts w:hint="default" w:ascii="Times New Roman" w:hAnsi="Times New Roman" w:eastAsia="宋体" w:cs="Times New Roman"/>
          <w:spacing w:val="12"/>
          <w:position w:val="-2"/>
          <w:sz w:val="21"/>
          <w:szCs w:val="21"/>
        </w:rPr>
        <w:t>80</w:t>
      </w:r>
      <w:r>
        <w:rPr>
          <w:rFonts w:hint="default" w:ascii="Times New Roman" w:hAnsi="Times New Roman" w:eastAsia="宋体" w:cs="Times New Roman"/>
          <w:spacing w:val="12"/>
          <w:sz w:val="21"/>
          <w:szCs w:val="21"/>
        </w:rPr>
        <w:t>年代以来,</w:t>
      </w:r>
      <w:r>
        <w:rPr>
          <w:rFonts w:hint="default" w:ascii="Times New Roman" w:hAnsi="Times New Roman" w:eastAsia="宋体" w:cs="Times New Roman"/>
          <w:spacing w:val="10"/>
          <w:sz w:val="21"/>
          <w:szCs w:val="21"/>
        </w:rPr>
        <w:t>美国经济进入金融化进程,并在</w:t>
      </w:r>
      <w:r>
        <w:rPr>
          <w:rFonts w:hint="default" w:ascii="Times New Roman" w:hAnsi="Times New Roman" w:eastAsia="宋体" w:cs="Times New Roman"/>
          <w:spacing w:val="10"/>
          <w:position w:val="-2"/>
          <w:sz w:val="21"/>
          <w:szCs w:val="21"/>
        </w:rPr>
        <w:t>90</w:t>
      </w:r>
      <w:r>
        <w:rPr>
          <w:rFonts w:hint="default" w:ascii="Times New Roman" w:hAnsi="Times New Roman" w:eastAsia="宋体" w:cs="Times New Roman"/>
          <w:spacing w:val="10"/>
          <w:sz w:val="21"/>
          <w:szCs w:val="21"/>
        </w:rPr>
        <w:t>年代完成了金融帝国主义向高利贷帝国主</w:t>
      </w:r>
      <w:r>
        <w:rPr>
          <w:rFonts w:hint="default" w:ascii="Times New Roman" w:hAnsi="Times New Roman" w:eastAsia="宋体" w:cs="Times New Roman"/>
          <w:spacing w:val="-13"/>
          <w:sz w:val="21"/>
          <w:szCs w:val="21"/>
        </w:rPr>
        <w:t>义的转变。</w:t>
      </w:r>
      <w:r>
        <w:rPr>
          <w:rStyle w:val="20"/>
          <w:rFonts w:hint="default" w:ascii="Times New Roman" w:hAnsi="Times New Roman" w:eastAsia="宋体" w:cs="Times New Roman"/>
          <w:spacing w:val="-13"/>
          <w:sz w:val="21"/>
          <w:szCs w:val="21"/>
        </w:rPr>
        <w:footnoteReference w:id="1214"/>
      </w:r>
      <w:r>
        <w:rPr>
          <w:rFonts w:hint="default" w:ascii="Times New Roman" w:hAnsi="Times New Roman" w:eastAsia="宋体" w:cs="Times New Roman"/>
          <w:spacing w:val="9"/>
          <w:sz w:val="21"/>
          <w:szCs w:val="21"/>
        </w:rPr>
        <w:t>这一变化加速了美西方的去工业化进程,使其经济结构从“生产</w:t>
      </w:r>
      <w:r>
        <w:rPr>
          <w:rFonts w:hint="default" w:ascii="Times New Roman" w:hAnsi="Times New Roman" w:eastAsia="宋体" w:cs="Times New Roman"/>
          <w:spacing w:val="-9"/>
          <w:sz w:val="21"/>
          <w:szCs w:val="21"/>
        </w:rPr>
        <w:t>性”向“非生产性”转变,由此导致</w:t>
      </w:r>
      <w:r>
        <w:rPr>
          <w:rFonts w:hint="default" w:ascii="Times New Roman" w:hAnsi="Times New Roman" w:eastAsia="宋体" w:cs="Times New Roman"/>
          <w:spacing w:val="-9"/>
          <w:position w:val="-2"/>
          <w:sz w:val="21"/>
          <w:szCs w:val="21"/>
        </w:rPr>
        <w:t>2008</w:t>
      </w:r>
      <w:r>
        <w:rPr>
          <w:rFonts w:hint="default" w:ascii="Times New Roman" w:hAnsi="Times New Roman" w:eastAsia="宋体" w:cs="Times New Roman"/>
          <w:spacing w:val="-9"/>
          <w:sz w:val="21"/>
          <w:szCs w:val="21"/>
        </w:rPr>
        <w:t>年后“西方之乱”</w:t>
      </w:r>
      <w:r>
        <w:rPr>
          <w:rFonts w:hint="default" w:ascii="Times New Roman" w:hAnsi="Times New Roman" w:eastAsia="宋体" w:cs="Times New Roman"/>
          <w:spacing w:val="-10"/>
          <w:sz w:val="21"/>
          <w:szCs w:val="21"/>
        </w:rPr>
        <w:t>的到来。</w:t>
      </w:r>
    </w:p>
    <w:p w14:paraId="220710A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5"/>
          <w:position w:val="-2"/>
          <w:sz w:val="21"/>
          <w:szCs w:val="21"/>
        </w:rPr>
        <w:t>21</w:t>
      </w:r>
      <w:r>
        <w:rPr>
          <w:rFonts w:hint="default" w:ascii="Times New Roman" w:hAnsi="Times New Roman" w:eastAsia="宋体" w:cs="Times New Roman"/>
          <w:spacing w:val="5"/>
          <w:sz w:val="21"/>
          <w:szCs w:val="21"/>
        </w:rPr>
        <w:t>世纪以来,</w:t>
      </w:r>
      <w:r>
        <w:rPr>
          <w:rFonts w:hint="default" w:ascii="Times New Roman" w:hAnsi="Times New Roman" w:eastAsia="宋体" w:cs="Times New Roman"/>
          <w:spacing w:val="5"/>
          <w:position w:val="-2"/>
          <w:sz w:val="21"/>
          <w:szCs w:val="21"/>
        </w:rPr>
        <w:t>2008</w:t>
      </w:r>
      <w:r>
        <w:rPr>
          <w:rFonts w:hint="default" w:ascii="Times New Roman" w:hAnsi="Times New Roman" w:eastAsia="宋体" w:cs="Times New Roman"/>
          <w:spacing w:val="5"/>
          <w:sz w:val="21"/>
          <w:szCs w:val="21"/>
        </w:rPr>
        <w:t>年经济危机</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spacing w:val="5"/>
          <w:position w:val="-2"/>
          <w:sz w:val="21"/>
          <w:szCs w:val="21"/>
        </w:rPr>
        <w:t>2009</w:t>
      </w:r>
      <w:r>
        <w:rPr>
          <w:rFonts w:hint="default" w:ascii="Times New Roman" w:hAnsi="Times New Roman" w:eastAsia="宋体" w:cs="Times New Roman"/>
          <w:spacing w:val="5"/>
          <w:sz w:val="21"/>
          <w:szCs w:val="21"/>
        </w:rPr>
        <w:t>年欧洲主权债务危机</w:t>
      </w:r>
      <w:r>
        <w:rPr>
          <w:rFonts w:hint="default" w:ascii="Times New Roman" w:hAnsi="Times New Roman" w:eastAsia="宋体" w:cs="Times New Roman"/>
          <w:spacing w:val="5"/>
          <w:position w:val="1"/>
          <w:sz w:val="21"/>
          <w:szCs w:val="21"/>
        </w:rPr>
        <w:t>、</w:t>
      </w:r>
      <w:r>
        <w:rPr>
          <w:rFonts w:hint="default" w:ascii="Times New Roman" w:hAnsi="Times New Roman" w:eastAsia="宋体" w:cs="Times New Roman"/>
          <w:spacing w:val="5"/>
          <w:position w:val="-2"/>
          <w:sz w:val="21"/>
          <w:szCs w:val="21"/>
        </w:rPr>
        <w:t>2015</w:t>
      </w:r>
      <w:r>
        <w:rPr>
          <w:rFonts w:hint="default" w:ascii="Times New Roman" w:hAnsi="Times New Roman" w:eastAsia="宋体" w:cs="Times New Roman"/>
          <w:spacing w:val="5"/>
          <w:sz w:val="21"/>
          <w:szCs w:val="21"/>
        </w:rPr>
        <w:t>年难民</w:t>
      </w:r>
      <w:r>
        <w:rPr>
          <w:rFonts w:hint="default" w:ascii="Times New Roman" w:hAnsi="Times New Roman" w:eastAsia="宋体" w:cs="Times New Roman"/>
          <w:spacing w:val="3"/>
          <w:sz w:val="21"/>
          <w:szCs w:val="21"/>
        </w:rPr>
        <w:t>危机、英国脱欧、青年抗议浪潮</w:t>
      </w:r>
      <w:r>
        <w:rPr>
          <w:rStyle w:val="20"/>
          <w:rFonts w:hint="default" w:ascii="Times New Roman" w:hAnsi="Times New Roman" w:eastAsia="宋体" w:cs="Times New Roman"/>
          <w:spacing w:val="3"/>
          <w:sz w:val="21"/>
          <w:szCs w:val="21"/>
        </w:rPr>
        <w:footnoteReference w:id="1215"/>
      </w:r>
      <w:r>
        <w:rPr>
          <w:rFonts w:hint="default" w:ascii="Times New Roman" w:hAnsi="Times New Roman" w:eastAsia="宋体" w:cs="Times New Roman"/>
          <w:spacing w:val="3"/>
          <w:sz w:val="21"/>
          <w:szCs w:val="21"/>
        </w:rPr>
        <w:t>、占领运动等多</w:t>
      </w:r>
      <w:r>
        <w:rPr>
          <w:rFonts w:hint="default" w:ascii="Times New Roman" w:hAnsi="Times New Roman" w:eastAsia="宋体" w:cs="Times New Roman"/>
          <w:spacing w:val="2"/>
          <w:sz w:val="21"/>
          <w:szCs w:val="21"/>
        </w:rPr>
        <w:t>重经济社会危机陆续爆发,而</w:t>
      </w:r>
      <w:r>
        <w:rPr>
          <w:rFonts w:hint="default" w:ascii="Times New Roman" w:hAnsi="Times New Roman" w:eastAsia="宋体" w:cs="Times New Roman"/>
          <w:spacing w:val="14"/>
          <w:sz w:val="21"/>
          <w:szCs w:val="21"/>
        </w:rPr>
        <w:t>这一系列危机的根源,均在于不可避免的资本主义社会</w:t>
      </w:r>
      <w:r>
        <w:rPr>
          <w:rFonts w:hint="default" w:ascii="Times New Roman" w:hAnsi="Times New Roman" w:eastAsia="宋体" w:cs="Times New Roman"/>
          <w:spacing w:val="13"/>
          <w:sz w:val="21"/>
          <w:szCs w:val="21"/>
        </w:rPr>
        <w:t>的两极分化。这种分</w:t>
      </w:r>
      <w:r>
        <w:rPr>
          <w:rFonts w:hint="default" w:ascii="Times New Roman" w:hAnsi="Times New Roman" w:eastAsia="宋体" w:cs="Times New Roman"/>
          <w:spacing w:val="7"/>
          <w:sz w:val="21"/>
          <w:szCs w:val="21"/>
        </w:rPr>
        <w:t>化直接加速了种族主义的回潮。</w:t>
      </w:r>
    </w:p>
    <w:p w14:paraId="09889D5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西方国家为了减轻国际共产主义运动的影响,抑制过大</w:t>
      </w:r>
      <w:r>
        <w:rPr>
          <w:rFonts w:hint="default" w:ascii="Times New Roman" w:hAnsi="Times New Roman" w:eastAsia="宋体" w:cs="Times New Roman"/>
          <w:spacing w:val="11"/>
          <w:sz w:val="21"/>
          <w:szCs w:val="21"/>
        </w:rPr>
        <w:t>的贫富差距,减少</w:t>
      </w:r>
      <w:r>
        <w:rPr>
          <w:rFonts w:hint="default" w:ascii="Times New Roman" w:hAnsi="Times New Roman" w:eastAsia="宋体" w:cs="Times New Roman"/>
          <w:spacing w:val="14"/>
          <w:sz w:val="21"/>
          <w:szCs w:val="21"/>
        </w:rPr>
        <w:t>周期性危机,曾实行非常高的累进税率,如美国在</w:t>
      </w:r>
      <w:r>
        <w:rPr>
          <w:rFonts w:hint="default" w:ascii="Times New Roman" w:hAnsi="Times New Roman" w:eastAsia="宋体" w:cs="Times New Roman"/>
          <w:spacing w:val="14"/>
          <w:position w:val="-2"/>
          <w:sz w:val="21"/>
          <w:szCs w:val="21"/>
        </w:rPr>
        <w:t>2</w:t>
      </w:r>
      <w:r>
        <w:rPr>
          <w:rFonts w:hint="default" w:ascii="Times New Roman" w:hAnsi="Times New Roman" w:eastAsia="宋体" w:cs="Times New Roman"/>
          <w:spacing w:val="13"/>
          <w:position w:val="-2"/>
          <w:sz w:val="21"/>
          <w:szCs w:val="21"/>
        </w:rPr>
        <w:t>0</w:t>
      </w:r>
      <w:r>
        <w:rPr>
          <w:rFonts w:hint="default" w:ascii="Times New Roman" w:hAnsi="Times New Roman" w:eastAsia="宋体" w:cs="Times New Roman"/>
          <w:spacing w:val="13"/>
          <w:sz w:val="21"/>
          <w:szCs w:val="21"/>
        </w:rPr>
        <w:t>世纪</w:t>
      </w:r>
      <w:r>
        <w:rPr>
          <w:rFonts w:hint="default" w:ascii="Times New Roman" w:hAnsi="Times New Roman" w:eastAsia="宋体" w:cs="Times New Roman"/>
          <w:spacing w:val="13"/>
          <w:position w:val="-2"/>
          <w:sz w:val="21"/>
          <w:szCs w:val="21"/>
        </w:rPr>
        <w:t>40</w:t>
      </w:r>
      <w:r>
        <w:rPr>
          <w:rFonts w:hint="default" w:ascii="Times New Roman" w:hAnsi="Times New Roman" w:eastAsia="宋体" w:cs="Times New Roman"/>
          <w:spacing w:val="13"/>
          <w:sz w:val="21"/>
          <w:szCs w:val="21"/>
        </w:rPr>
        <w:t>年代到</w:t>
      </w:r>
      <w:r>
        <w:rPr>
          <w:rFonts w:hint="default" w:ascii="Times New Roman" w:hAnsi="Times New Roman" w:eastAsia="宋体" w:cs="Times New Roman"/>
          <w:spacing w:val="13"/>
          <w:position w:val="-2"/>
          <w:sz w:val="21"/>
          <w:szCs w:val="21"/>
        </w:rPr>
        <w:t>60</w:t>
      </w:r>
      <w:r>
        <w:rPr>
          <w:rFonts w:hint="default" w:ascii="Times New Roman" w:hAnsi="Times New Roman" w:eastAsia="宋体" w:cs="Times New Roman"/>
          <w:spacing w:val="13"/>
          <w:sz w:val="21"/>
          <w:szCs w:val="21"/>
        </w:rPr>
        <w:t>年代</w:t>
      </w:r>
      <w:r>
        <w:rPr>
          <w:rFonts w:hint="default" w:ascii="Times New Roman" w:hAnsi="Times New Roman" w:eastAsia="宋体" w:cs="Times New Roman"/>
          <w:spacing w:val="6"/>
          <w:sz w:val="21"/>
          <w:szCs w:val="21"/>
        </w:rPr>
        <w:t>的所得税税率最高达到</w:t>
      </w:r>
      <w:r>
        <w:rPr>
          <w:rFonts w:hint="default" w:ascii="Times New Roman" w:hAnsi="Times New Roman" w:eastAsia="宋体" w:cs="Times New Roman"/>
          <w:spacing w:val="6"/>
          <w:position w:val="-2"/>
          <w:sz w:val="21"/>
          <w:szCs w:val="21"/>
        </w:rPr>
        <w:t>91%</w:t>
      </w:r>
      <w:r>
        <w:rPr>
          <w:rFonts w:hint="default" w:ascii="Times New Roman" w:hAnsi="Times New Roman" w:eastAsia="宋体" w:cs="Times New Roman"/>
          <w:spacing w:val="6"/>
          <w:sz w:val="21"/>
          <w:szCs w:val="21"/>
        </w:rPr>
        <w:t>,地产税率、财富税率也很高</w:t>
      </w:r>
      <w:r>
        <w:rPr>
          <w:rStyle w:val="20"/>
          <w:rFonts w:hint="default" w:ascii="Times New Roman" w:hAnsi="Times New Roman" w:eastAsia="宋体" w:cs="Times New Roman"/>
          <w:spacing w:val="6"/>
          <w:sz w:val="21"/>
          <w:szCs w:val="21"/>
        </w:rPr>
        <w:footnoteReference w:id="1216"/>
      </w:r>
      <w:r>
        <w:rPr>
          <w:rFonts w:hint="default" w:ascii="Times New Roman" w:hAnsi="Times New Roman" w:eastAsia="宋体" w:cs="Times New Roman"/>
          <w:spacing w:val="6"/>
          <w:sz w:val="21"/>
          <w:szCs w:val="21"/>
        </w:rPr>
        <w:t>,</w:t>
      </w:r>
      <w:r>
        <w:rPr>
          <w:rFonts w:hint="default" w:ascii="Times New Roman" w:hAnsi="Times New Roman" w:eastAsia="宋体" w:cs="Times New Roman"/>
          <w:spacing w:val="5"/>
          <w:sz w:val="21"/>
          <w:szCs w:val="21"/>
        </w:rPr>
        <w:t>因此从</w:t>
      </w:r>
      <w:r>
        <w:rPr>
          <w:rFonts w:hint="default" w:ascii="Times New Roman" w:hAnsi="Times New Roman" w:eastAsia="宋体" w:cs="Times New Roman"/>
          <w:spacing w:val="5"/>
          <w:position w:val="-2"/>
          <w:sz w:val="21"/>
          <w:szCs w:val="21"/>
        </w:rPr>
        <w:t>20</w:t>
      </w:r>
      <w:r>
        <w:rPr>
          <w:rFonts w:hint="default" w:ascii="Times New Roman" w:hAnsi="Times New Roman" w:eastAsia="宋体" w:cs="Times New Roman"/>
          <w:spacing w:val="5"/>
          <w:sz w:val="21"/>
          <w:szCs w:val="21"/>
        </w:rPr>
        <w:t>世纪</w:t>
      </w:r>
      <w:r>
        <w:rPr>
          <w:rFonts w:hint="default" w:ascii="Times New Roman" w:hAnsi="Times New Roman" w:eastAsia="宋体" w:cs="Times New Roman"/>
          <w:spacing w:val="5"/>
          <w:position w:val="-2"/>
          <w:sz w:val="21"/>
          <w:szCs w:val="21"/>
        </w:rPr>
        <w:t>40</w:t>
      </w:r>
      <w:r>
        <w:rPr>
          <w:rFonts w:hint="default" w:ascii="Times New Roman" w:hAnsi="Times New Roman" w:eastAsia="宋体" w:cs="Times New Roman"/>
          <w:spacing w:val="10"/>
          <w:sz w:val="21"/>
          <w:szCs w:val="21"/>
        </w:rPr>
        <w:t>年代末到</w:t>
      </w:r>
      <w:r>
        <w:rPr>
          <w:rFonts w:hint="default" w:ascii="Times New Roman" w:hAnsi="Times New Roman" w:eastAsia="宋体" w:cs="Times New Roman"/>
          <w:spacing w:val="10"/>
          <w:position w:val="-2"/>
          <w:sz w:val="21"/>
          <w:szCs w:val="21"/>
        </w:rPr>
        <w:t>70</w:t>
      </w:r>
      <w:r>
        <w:rPr>
          <w:rFonts w:hint="default" w:ascii="Times New Roman" w:hAnsi="Times New Roman" w:eastAsia="宋体" w:cs="Times New Roman"/>
          <w:spacing w:val="10"/>
          <w:sz w:val="21"/>
          <w:szCs w:val="21"/>
        </w:rPr>
        <w:t>年代初是资本主义西方的贫富差距最小的历史时期,同时也是种</w:t>
      </w:r>
      <w:r>
        <w:rPr>
          <w:rFonts w:hint="default" w:ascii="Times New Roman" w:hAnsi="Times New Roman" w:eastAsia="宋体" w:cs="Times New Roman"/>
          <w:spacing w:val="11"/>
          <w:sz w:val="21"/>
          <w:szCs w:val="21"/>
        </w:rPr>
        <w:t>族主义退潮的时期。从</w:t>
      </w:r>
      <w:r>
        <w:rPr>
          <w:rFonts w:hint="default" w:ascii="Times New Roman" w:hAnsi="Times New Roman" w:eastAsia="宋体" w:cs="Times New Roman"/>
          <w:spacing w:val="11"/>
          <w:position w:val="-2"/>
          <w:sz w:val="21"/>
          <w:szCs w:val="21"/>
        </w:rPr>
        <w:t>20</w:t>
      </w:r>
      <w:r>
        <w:rPr>
          <w:rFonts w:hint="default" w:ascii="Times New Roman" w:hAnsi="Times New Roman" w:eastAsia="宋体" w:cs="Times New Roman"/>
          <w:spacing w:val="11"/>
          <w:sz w:val="21"/>
          <w:szCs w:val="21"/>
        </w:rPr>
        <w:t>世纪</w:t>
      </w:r>
      <w:r>
        <w:rPr>
          <w:rFonts w:hint="default" w:ascii="Times New Roman" w:hAnsi="Times New Roman" w:eastAsia="宋体" w:cs="Times New Roman"/>
          <w:spacing w:val="11"/>
          <w:position w:val="-2"/>
          <w:sz w:val="21"/>
          <w:szCs w:val="21"/>
        </w:rPr>
        <w:t>70</w:t>
      </w:r>
      <w:r>
        <w:rPr>
          <w:rFonts w:hint="default" w:ascii="Times New Roman" w:hAnsi="Times New Roman" w:eastAsia="宋体" w:cs="Times New Roman"/>
          <w:spacing w:val="11"/>
          <w:sz w:val="21"/>
          <w:szCs w:val="21"/>
        </w:rPr>
        <w:t>年代开始,西方进入较长周期的经济衰退,</w:t>
      </w:r>
      <w:r>
        <w:rPr>
          <w:rFonts w:hint="default" w:ascii="Times New Roman" w:hAnsi="Times New Roman" w:eastAsia="宋体" w:cs="Times New Roman"/>
          <w:spacing w:val="12"/>
          <w:sz w:val="21"/>
          <w:szCs w:val="21"/>
        </w:rPr>
        <w:t>凯恩斯主义被新自由主义取代,对私人资本的限制被逐渐取消,使得</w:t>
      </w:r>
      <w:r>
        <w:rPr>
          <w:rFonts w:hint="default" w:ascii="Times New Roman" w:hAnsi="Times New Roman" w:eastAsia="宋体" w:cs="Times New Roman"/>
          <w:spacing w:val="11"/>
          <w:sz w:val="21"/>
          <w:szCs w:val="21"/>
        </w:rPr>
        <w:t>收入和财富的集中度急剧上升</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position w:val="-2"/>
          <w:sz w:val="21"/>
          <w:szCs w:val="21"/>
        </w:rPr>
        <w:t>2024</w:t>
      </w:r>
      <w:r>
        <w:rPr>
          <w:rFonts w:hint="default" w:ascii="Times New Roman" w:hAnsi="Times New Roman" w:eastAsia="宋体" w:cs="Times New Roman"/>
          <w:spacing w:val="11"/>
          <w:sz w:val="21"/>
          <w:szCs w:val="21"/>
        </w:rPr>
        <w:t>年美国一项研究表明,50%家庭占有不到</w:t>
      </w:r>
      <w:r>
        <w:rPr>
          <w:rFonts w:hint="default" w:ascii="Times New Roman" w:hAnsi="Times New Roman" w:eastAsia="宋体" w:cs="Times New Roman"/>
          <w:spacing w:val="11"/>
          <w:position w:val="-1"/>
          <w:sz w:val="21"/>
          <w:szCs w:val="21"/>
        </w:rPr>
        <w:t>4%的</w:t>
      </w:r>
      <w:r>
        <w:rPr>
          <w:rFonts w:hint="default" w:ascii="Times New Roman" w:hAnsi="Times New Roman" w:eastAsia="宋体" w:cs="Times New Roman"/>
          <w:spacing w:val="15"/>
          <w:sz w:val="21"/>
          <w:szCs w:val="21"/>
        </w:rPr>
        <w:t>全部财富,而财富位于前10%的家庭则占有超过2/3</w:t>
      </w:r>
      <w:r>
        <w:rPr>
          <w:rFonts w:hint="default" w:ascii="Times New Roman" w:hAnsi="Times New Roman" w:eastAsia="宋体" w:cs="Times New Roman"/>
          <w:spacing w:val="14"/>
          <w:sz w:val="21"/>
          <w:szCs w:val="21"/>
        </w:rPr>
        <w:t>的全部财富,其贫富分</w:t>
      </w:r>
      <w:r>
        <w:rPr>
          <w:rFonts w:hint="default" w:ascii="Times New Roman" w:hAnsi="Times New Roman" w:eastAsia="宋体" w:cs="Times New Roman"/>
          <w:spacing w:val="7"/>
          <w:sz w:val="21"/>
          <w:szCs w:val="21"/>
        </w:rPr>
        <w:t>化程度已经达到</w:t>
      </w:r>
      <w:r>
        <w:rPr>
          <w:rFonts w:hint="default" w:ascii="Times New Roman" w:hAnsi="Times New Roman" w:eastAsia="宋体" w:cs="Times New Roman"/>
          <w:spacing w:val="7"/>
          <w:position w:val="-2"/>
          <w:sz w:val="21"/>
          <w:szCs w:val="21"/>
        </w:rPr>
        <w:t>20</w:t>
      </w:r>
      <w:r>
        <w:rPr>
          <w:rFonts w:hint="default" w:ascii="Times New Roman" w:hAnsi="Times New Roman" w:eastAsia="宋体" w:cs="Times New Roman"/>
          <w:spacing w:val="7"/>
          <w:sz w:val="21"/>
          <w:szCs w:val="21"/>
        </w:rPr>
        <w:t>世纪</w:t>
      </w:r>
      <w:r>
        <w:rPr>
          <w:rFonts w:hint="default" w:ascii="Times New Roman" w:hAnsi="Times New Roman" w:eastAsia="宋体" w:cs="Times New Roman"/>
          <w:spacing w:val="7"/>
          <w:position w:val="-2"/>
          <w:sz w:val="21"/>
          <w:szCs w:val="21"/>
        </w:rPr>
        <w:t>20</w:t>
      </w:r>
      <w:r>
        <w:rPr>
          <w:rFonts w:hint="default" w:ascii="Times New Roman" w:hAnsi="Times New Roman" w:eastAsia="宋体" w:cs="Times New Roman"/>
          <w:spacing w:val="7"/>
          <w:sz w:val="21"/>
          <w:szCs w:val="21"/>
        </w:rPr>
        <w:t>年代时的水平。</w:t>
      </w:r>
      <w:r>
        <w:rPr>
          <w:rStyle w:val="20"/>
          <w:rFonts w:hint="default" w:ascii="Times New Roman" w:hAnsi="Times New Roman" w:eastAsia="宋体" w:cs="Times New Roman"/>
          <w:spacing w:val="7"/>
          <w:sz w:val="21"/>
          <w:szCs w:val="21"/>
        </w:rPr>
        <w:footnoteReference w:id="1217"/>
      </w:r>
      <w:r>
        <w:rPr>
          <w:rFonts w:hint="default" w:ascii="Times New Roman" w:hAnsi="Times New Roman" w:eastAsia="宋体" w:cs="Times New Roman"/>
          <w:spacing w:val="7"/>
          <w:sz w:val="21"/>
          <w:szCs w:val="21"/>
        </w:rPr>
        <w:t>其他西方国家的贫富两极分化</w:t>
      </w:r>
      <w:r>
        <w:rPr>
          <w:rFonts w:hint="default" w:ascii="Times New Roman" w:hAnsi="Times New Roman" w:eastAsia="宋体" w:cs="Times New Roman"/>
          <w:spacing w:val="10"/>
          <w:sz w:val="21"/>
          <w:szCs w:val="21"/>
        </w:rPr>
        <w:t>虽没有美国那么极端,但也在不断拉大。</w:t>
      </w:r>
    </w:p>
    <w:p w14:paraId="478D88B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经济上的分化导致政治上的极化现象,西方尤其是美国的社会</w:t>
      </w:r>
      <w:r>
        <w:rPr>
          <w:rFonts w:hint="default" w:ascii="Times New Roman" w:hAnsi="Times New Roman" w:eastAsia="宋体" w:cs="Times New Roman"/>
          <w:spacing w:val="13"/>
          <w:sz w:val="21"/>
          <w:szCs w:val="21"/>
        </w:rPr>
        <w:t>撕裂达到</w:t>
      </w:r>
      <w:r>
        <w:rPr>
          <w:rFonts w:hint="default" w:ascii="Times New Roman" w:hAnsi="Times New Roman" w:eastAsia="宋体" w:cs="Times New Roman"/>
          <w:spacing w:val="11"/>
          <w:sz w:val="21"/>
          <w:szCs w:val="21"/>
        </w:rPr>
        <w:t>前所未有的程度。美国的盎格鲁—撒克逊白人新教群体(</w:t>
      </w:r>
      <w:r>
        <w:rPr>
          <w:rFonts w:hint="default" w:ascii="Times New Roman" w:hAnsi="Times New Roman" w:eastAsia="宋体" w:cs="Times New Roman"/>
          <w:sz w:val="21"/>
          <w:szCs w:val="21"/>
        </w:rPr>
        <w:t>WASP</w:t>
      </w:r>
      <w:r>
        <w:rPr>
          <w:rFonts w:hint="default" w:ascii="Times New Roman" w:hAnsi="Times New Roman" w:eastAsia="宋体" w:cs="Times New Roman"/>
          <w:spacing w:val="11"/>
          <w:sz w:val="21"/>
          <w:szCs w:val="21"/>
        </w:rPr>
        <w:t>)、欧洲的底</w:t>
      </w:r>
      <w:r>
        <w:rPr>
          <w:rFonts w:hint="default" w:ascii="Times New Roman" w:hAnsi="Times New Roman" w:eastAsia="宋体" w:cs="Times New Roman"/>
          <w:spacing w:val="7"/>
          <w:sz w:val="21"/>
          <w:szCs w:val="21"/>
        </w:rPr>
        <w:t>层白人普遍感到经济上在恶化、政治上被弱化,中左翼政党未能解决他们的困</w:t>
      </w:r>
      <w:r>
        <w:rPr>
          <w:rFonts w:hint="default" w:ascii="Times New Roman" w:hAnsi="Times New Roman" w:eastAsia="宋体" w:cs="Times New Roman"/>
          <w:spacing w:val="12"/>
          <w:sz w:val="21"/>
          <w:szCs w:val="21"/>
        </w:rPr>
        <w:t>境,反而是造成现状的源头。极右翼势力伺机崛起,它们利用反建制、反</w:t>
      </w:r>
      <w:r>
        <w:rPr>
          <w:rFonts w:hint="default" w:ascii="Times New Roman" w:hAnsi="Times New Roman" w:eastAsia="宋体" w:cs="Times New Roman"/>
          <w:spacing w:val="11"/>
          <w:sz w:val="21"/>
          <w:szCs w:val="21"/>
        </w:rPr>
        <w:t>全球</w:t>
      </w:r>
      <w:r>
        <w:rPr>
          <w:rFonts w:hint="default" w:ascii="Times New Roman" w:hAnsi="Times New Roman" w:eastAsia="宋体" w:cs="Times New Roman"/>
          <w:spacing w:val="7"/>
          <w:sz w:val="21"/>
          <w:szCs w:val="21"/>
        </w:rPr>
        <w:t>化、反移民等话语将阶级矛盾转化为种族矛盾、国与国的矛盾,与资产阶级中</w:t>
      </w:r>
      <w:r>
        <w:rPr>
          <w:rFonts w:hint="default" w:ascii="Times New Roman" w:hAnsi="Times New Roman" w:eastAsia="宋体" w:cs="Times New Roman"/>
          <w:spacing w:val="13"/>
          <w:sz w:val="21"/>
          <w:szCs w:val="21"/>
        </w:rPr>
        <w:t>左翼形成分庭抗礼之势。与极右翼崛起相伴生的是种族主义的回潮。</w:t>
      </w:r>
      <w:r>
        <w:rPr>
          <w:rFonts w:hint="default" w:ascii="Times New Roman" w:hAnsi="Times New Roman" w:eastAsia="宋体" w:cs="Times New Roman"/>
          <w:spacing w:val="13"/>
          <w:position w:val="-2"/>
          <w:sz w:val="21"/>
          <w:szCs w:val="21"/>
        </w:rPr>
        <w:t>2008</w:t>
      </w:r>
      <w:r>
        <w:rPr>
          <w:rFonts w:hint="default" w:ascii="Times New Roman" w:hAnsi="Times New Roman" w:eastAsia="宋体" w:cs="Times New Roman"/>
          <w:spacing w:val="14"/>
          <w:sz w:val="21"/>
          <w:szCs w:val="21"/>
        </w:rPr>
        <w:t>年奥巴马当选美国总统并没有如人们所期望的那样进入后</w:t>
      </w:r>
      <w:r>
        <w:rPr>
          <w:rFonts w:hint="default" w:ascii="Times New Roman" w:hAnsi="Times New Roman" w:eastAsia="宋体" w:cs="Times New Roman"/>
          <w:spacing w:val="13"/>
          <w:sz w:val="21"/>
          <w:szCs w:val="21"/>
        </w:rPr>
        <w:t>种族主义时代,却迎来了种族主义的回潮。</w:t>
      </w:r>
      <w:r>
        <w:rPr>
          <w:rFonts w:hint="default" w:ascii="Times New Roman" w:hAnsi="Times New Roman" w:eastAsia="宋体" w:cs="Times New Roman"/>
          <w:spacing w:val="13"/>
          <w:position w:val="-2"/>
          <w:sz w:val="21"/>
          <w:szCs w:val="21"/>
        </w:rPr>
        <w:t>2016</w:t>
      </w:r>
      <w:r>
        <w:rPr>
          <w:rFonts w:hint="default" w:ascii="Times New Roman" w:hAnsi="Times New Roman" w:eastAsia="宋体" w:cs="Times New Roman"/>
          <w:spacing w:val="13"/>
          <w:sz w:val="21"/>
          <w:szCs w:val="21"/>
        </w:rPr>
        <w:t>年特朗普选任总统后这</w:t>
      </w:r>
      <w:r>
        <w:rPr>
          <w:rFonts w:hint="default" w:ascii="Times New Roman" w:hAnsi="Times New Roman" w:eastAsia="宋体" w:cs="Times New Roman"/>
          <w:spacing w:val="12"/>
          <w:sz w:val="21"/>
          <w:szCs w:val="21"/>
        </w:rPr>
        <w:t>一趋势更加明显。特朗普二度上任后,将美国的政治极化推向前所未有的高度,种族主义回潮</w:t>
      </w:r>
      <w:r>
        <w:rPr>
          <w:rFonts w:hint="default" w:ascii="Times New Roman" w:hAnsi="Times New Roman" w:eastAsia="宋体" w:cs="Times New Roman"/>
          <w:spacing w:val="11"/>
          <w:sz w:val="21"/>
          <w:szCs w:val="21"/>
        </w:rPr>
        <w:t>势头</w:t>
      </w:r>
      <w:r>
        <w:rPr>
          <w:rFonts w:hint="default" w:ascii="Times New Roman" w:hAnsi="Times New Roman" w:eastAsia="宋体" w:cs="Times New Roman"/>
          <w:spacing w:val="10"/>
          <w:sz w:val="21"/>
          <w:szCs w:val="21"/>
        </w:rPr>
        <w:t>更加迅猛。总之,当前种族主义回潮与经济分化、政治极化有着正相关联系,</w:t>
      </w:r>
      <w:r>
        <w:rPr>
          <w:rFonts w:hint="default" w:ascii="Times New Roman" w:hAnsi="Times New Roman" w:eastAsia="宋体" w:cs="Times New Roman"/>
          <w:spacing w:val="7"/>
          <w:sz w:val="21"/>
          <w:szCs w:val="21"/>
        </w:rPr>
        <w:t>目前这一趋势仍在深化之中。</w:t>
      </w:r>
    </w:p>
    <w:p w14:paraId="75CF627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2"/>
          <w:sz w:val="21"/>
          <w:szCs w:val="21"/>
        </w:rPr>
        <w:t>(二)极右翼“加速”滑向种族主义</w:t>
      </w:r>
    </w:p>
    <w:p w14:paraId="4F4F846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第二次世界大战后,西方极右翼势力在政府的打</w:t>
      </w:r>
      <w:r>
        <w:rPr>
          <w:rFonts w:hint="default" w:ascii="Times New Roman" w:hAnsi="Times New Roman" w:eastAsia="宋体" w:cs="Times New Roman"/>
          <w:spacing w:val="13"/>
          <w:sz w:val="21"/>
          <w:szCs w:val="21"/>
        </w:rPr>
        <w:t>压下未能形成统一的纲</w:t>
      </w:r>
      <w:r>
        <w:rPr>
          <w:rFonts w:hint="default" w:ascii="Times New Roman" w:hAnsi="Times New Roman" w:eastAsia="宋体" w:cs="Times New Roman"/>
          <w:spacing w:val="6"/>
          <w:sz w:val="21"/>
          <w:szCs w:val="21"/>
        </w:rPr>
        <w:t>领和组织</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呈现出分裂</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混乱且指导思想各异的状态</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sz w:val="21"/>
          <w:szCs w:val="21"/>
        </w:rPr>
        <w:t>然而</w:t>
      </w:r>
      <w:r>
        <w:rPr>
          <w:rFonts w:hint="default" w:ascii="Times New Roman" w:hAnsi="Times New Roman" w:eastAsia="宋体" w:cs="Times New Roman"/>
          <w:spacing w:val="6"/>
          <w:position w:val="1"/>
          <w:sz w:val="21"/>
          <w:szCs w:val="21"/>
        </w:rPr>
        <w:t>,</w:t>
      </w:r>
      <w:r>
        <w:rPr>
          <w:rFonts w:hint="default" w:ascii="Times New Roman" w:hAnsi="Times New Roman" w:eastAsia="宋体" w:cs="Times New Roman"/>
          <w:spacing w:val="6"/>
          <w:position w:val="-2"/>
          <w:sz w:val="21"/>
          <w:szCs w:val="21"/>
        </w:rPr>
        <w:t>2021</w:t>
      </w:r>
      <w:r>
        <w:rPr>
          <w:rFonts w:hint="default" w:ascii="Times New Roman" w:hAnsi="Times New Roman" w:eastAsia="宋体" w:cs="Times New Roman"/>
          <w:spacing w:val="6"/>
          <w:sz w:val="21"/>
          <w:szCs w:val="21"/>
        </w:rPr>
        <w:t>年</w:t>
      </w:r>
      <w:r>
        <w:rPr>
          <w:rFonts w:hint="default" w:ascii="Times New Roman" w:hAnsi="Times New Roman" w:eastAsia="宋体" w:cs="Times New Roman"/>
          <w:spacing w:val="6"/>
          <w:position w:val="-2"/>
          <w:sz w:val="21"/>
          <w:szCs w:val="21"/>
        </w:rPr>
        <w:t>1</w:t>
      </w:r>
      <w:r>
        <w:rPr>
          <w:rFonts w:hint="default" w:ascii="Times New Roman" w:hAnsi="Times New Roman" w:eastAsia="宋体" w:cs="Times New Roman"/>
          <w:spacing w:val="6"/>
          <w:sz w:val="21"/>
          <w:szCs w:val="21"/>
        </w:rPr>
        <w:t>月</w:t>
      </w:r>
      <w:r>
        <w:rPr>
          <w:rFonts w:hint="default" w:ascii="Times New Roman" w:hAnsi="Times New Roman" w:eastAsia="宋体" w:cs="Times New Roman"/>
          <w:spacing w:val="6"/>
          <w:position w:val="-2"/>
          <w:sz w:val="21"/>
          <w:szCs w:val="21"/>
        </w:rPr>
        <w:t>6</w:t>
      </w:r>
      <w:r>
        <w:rPr>
          <w:rFonts w:hint="default" w:ascii="Times New Roman" w:hAnsi="Times New Roman" w:eastAsia="宋体" w:cs="Times New Roman"/>
          <w:spacing w:val="6"/>
          <w:sz w:val="21"/>
          <w:szCs w:val="21"/>
        </w:rPr>
        <w:t>日</w:t>
      </w:r>
      <w:r>
        <w:rPr>
          <w:rFonts w:hint="default" w:ascii="Times New Roman" w:hAnsi="Times New Roman" w:eastAsia="宋体" w:cs="Times New Roman"/>
          <w:spacing w:val="7"/>
          <w:sz w:val="21"/>
          <w:szCs w:val="21"/>
        </w:rPr>
        <w:t>发生的美国“国会山骚乱”,是极右翼势力的第一次集体行动</w:t>
      </w:r>
      <w:r>
        <w:rPr>
          <w:rStyle w:val="20"/>
          <w:rFonts w:hint="default" w:ascii="Times New Roman" w:hAnsi="Times New Roman" w:eastAsia="宋体" w:cs="Times New Roman"/>
          <w:spacing w:val="7"/>
          <w:sz w:val="21"/>
          <w:szCs w:val="21"/>
        </w:rPr>
        <w:footnoteReference w:id="1218"/>
      </w:r>
      <w:r>
        <w:rPr>
          <w:rFonts w:hint="default" w:ascii="Times New Roman" w:hAnsi="Times New Roman" w:eastAsia="宋体" w:cs="Times New Roman"/>
          <w:spacing w:val="7"/>
          <w:sz w:val="21"/>
          <w:szCs w:val="21"/>
        </w:rPr>
        <w:t>,其背后的核心</w:t>
      </w:r>
      <w:r>
        <w:rPr>
          <w:rFonts w:hint="default" w:ascii="Times New Roman" w:hAnsi="Times New Roman" w:eastAsia="宋体" w:cs="Times New Roman"/>
          <w:spacing w:val="2"/>
          <w:sz w:val="21"/>
          <w:szCs w:val="21"/>
        </w:rPr>
        <w:t>战略取向是</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spacing w:val="2"/>
          <w:sz w:val="21"/>
          <w:szCs w:val="21"/>
        </w:rPr>
        <w:t>激进加速主义</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position w:val="-1"/>
          <w:sz w:val="21"/>
          <w:szCs w:val="21"/>
        </w:rPr>
        <w:t>Militant</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2"/>
          <w:sz w:val="21"/>
          <w:szCs w:val="21"/>
        </w:rPr>
        <w:t>Accelerationism</w:t>
      </w:r>
      <w:r>
        <w:rPr>
          <w:rFonts w:hint="default" w:ascii="Times New Roman" w:hAnsi="Times New Roman" w:eastAsia="宋体" w:cs="Times New Roman"/>
          <w:spacing w:val="2"/>
          <w:position w:val="1"/>
          <w:sz w:val="21"/>
          <w:szCs w:val="21"/>
        </w:rPr>
        <w:t>)。</w:t>
      </w:r>
      <w:r>
        <w:rPr>
          <w:rFonts w:hint="default" w:ascii="Times New Roman" w:hAnsi="Times New Roman" w:eastAsia="宋体" w:cs="Times New Roman"/>
          <w:spacing w:val="2"/>
          <w:sz w:val="21"/>
          <w:szCs w:val="21"/>
        </w:rPr>
        <w:t>这一战略将原本分</w:t>
      </w:r>
      <w:r>
        <w:rPr>
          <w:rFonts w:hint="default" w:ascii="Times New Roman" w:hAnsi="Times New Roman" w:eastAsia="宋体" w:cs="Times New Roman"/>
          <w:spacing w:val="24"/>
          <w:sz w:val="21"/>
          <w:szCs w:val="21"/>
        </w:rPr>
        <w:t>散的极右翼势力围绕一个共同目标</w:t>
      </w:r>
      <w:r>
        <w:rPr>
          <w:rFonts w:hint="default" w:ascii="Times New Roman" w:hAnsi="Times New Roman" w:eastAsia="宋体" w:cs="Times New Roman"/>
          <w:b/>
          <w:bCs/>
          <w:spacing w:val="24"/>
          <w:sz w:val="21"/>
          <w:szCs w:val="21"/>
        </w:rPr>
        <w:t>—</w:t>
      </w:r>
      <w:r>
        <w:rPr>
          <w:rFonts w:hint="default" w:ascii="Times New Roman" w:hAnsi="Times New Roman" w:eastAsia="宋体" w:cs="Times New Roman"/>
          <w:spacing w:val="24"/>
          <w:sz w:val="21"/>
          <w:szCs w:val="21"/>
        </w:rPr>
        <w:t>通过暴力</w:t>
      </w:r>
      <w:r>
        <w:rPr>
          <w:rFonts w:hint="default" w:ascii="Times New Roman" w:hAnsi="Times New Roman" w:eastAsia="宋体" w:cs="Times New Roman"/>
          <w:spacing w:val="23"/>
          <w:sz w:val="21"/>
          <w:szCs w:val="21"/>
        </w:rPr>
        <w:t>推翻现存秩序</w:t>
      </w:r>
      <w:r>
        <w:rPr>
          <w:rFonts w:hint="default" w:ascii="Times New Roman" w:hAnsi="Times New Roman" w:eastAsia="宋体" w:cs="Times New Roman"/>
          <w:b/>
          <w:bCs/>
          <w:spacing w:val="16"/>
          <w:w w:val="125"/>
          <w:sz w:val="21"/>
          <w:szCs w:val="21"/>
        </w:rPr>
        <w:t>—</w:t>
      </w:r>
      <w:r>
        <w:rPr>
          <w:rFonts w:hint="default" w:ascii="Times New Roman" w:hAnsi="Times New Roman" w:eastAsia="宋体" w:cs="Times New Roman"/>
          <w:spacing w:val="16"/>
          <w:w w:val="125"/>
          <w:sz w:val="21"/>
          <w:szCs w:val="21"/>
        </w:rPr>
        <w:t>联合起</w:t>
      </w:r>
      <w:r>
        <w:rPr>
          <w:rFonts w:hint="default" w:ascii="Times New Roman" w:hAnsi="Times New Roman" w:eastAsia="宋体" w:cs="Times New Roman"/>
          <w:spacing w:val="-24"/>
          <w:w w:val="91"/>
          <w:position w:val="-1"/>
          <w:sz w:val="21"/>
          <w:szCs w:val="21"/>
        </w:rPr>
        <w:t>来</w:t>
      </w:r>
      <w:r>
        <w:rPr>
          <w:rFonts w:hint="default" w:ascii="Times New Roman" w:hAnsi="Times New Roman" w:eastAsia="宋体" w:cs="Times New Roman"/>
          <w:spacing w:val="-24"/>
          <w:w w:val="91"/>
          <w:sz w:val="21"/>
          <w:szCs w:val="21"/>
        </w:rPr>
        <w:t>。</w:t>
      </w:r>
      <w:r>
        <w:rPr>
          <w:rStyle w:val="20"/>
          <w:rFonts w:hint="default" w:ascii="Times New Roman" w:hAnsi="Times New Roman" w:eastAsia="宋体" w:cs="Times New Roman"/>
          <w:spacing w:val="-24"/>
          <w:w w:val="91"/>
          <w:sz w:val="21"/>
          <w:szCs w:val="21"/>
        </w:rPr>
        <w:footnoteReference w:id="1219"/>
      </w:r>
    </w:p>
    <w:p w14:paraId="33C5422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9"/>
          <w:sz w:val="21"/>
          <w:szCs w:val="21"/>
        </w:rPr>
        <w:t>激进加速主义的前身是加速主义,其最初源于</w:t>
      </w:r>
      <w:r>
        <w:rPr>
          <w:rFonts w:hint="default" w:ascii="Times New Roman" w:hAnsi="Times New Roman" w:eastAsia="宋体" w:cs="Times New Roman"/>
          <w:spacing w:val="18"/>
          <w:sz w:val="21"/>
          <w:szCs w:val="21"/>
        </w:rPr>
        <w:t>一种哲学观念,认为现代</w:t>
      </w:r>
      <w:r>
        <w:rPr>
          <w:rFonts w:hint="default" w:ascii="Times New Roman" w:hAnsi="Times New Roman" w:eastAsia="宋体" w:cs="Times New Roman"/>
          <w:spacing w:val="7"/>
          <w:sz w:val="21"/>
          <w:szCs w:val="21"/>
        </w:rPr>
        <w:t>性、自由主义和资本主义的内在缺陷将不可避免地加速其自身的消亡。极右</w:t>
      </w:r>
      <w:r>
        <w:rPr>
          <w:rFonts w:hint="default" w:ascii="Times New Roman" w:hAnsi="Times New Roman" w:eastAsia="宋体" w:cs="Times New Roman"/>
          <w:spacing w:val="6"/>
          <w:sz w:val="21"/>
          <w:szCs w:val="21"/>
        </w:rPr>
        <w:t>翼分子对这一概念进行改造,形成了“激进加</w:t>
      </w:r>
      <w:r>
        <w:rPr>
          <w:rFonts w:hint="default" w:ascii="Times New Roman" w:hAnsi="Times New Roman" w:eastAsia="宋体" w:cs="Times New Roman"/>
          <w:spacing w:val="5"/>
          <w:sz w:val="21"/>
          <w:szCs w:val="21"/>
        </w:rPr>
        <w:t>速主义”,其核心思想是通过施加</w:t>
      </w:r>
      <w:r>
        <w:rPr>
          <w:rFonts w:hint="default" w:ascii="Times New Roman" w:hAnsi="Times New Roman" w:eastAsia="宋体" w:cs="Times New Roman"/>
          <w:spacing w:val="22"/>
          <w:sz w:val="21"/>
          <w:szCs w:val="21"/>
        </w:rPr>
        <w:t>社会压力</w:t>
      </w:r>
      <w:r>
        <w:rPr>
          <w:rFonts w:hint="default" w:ascii="Times New Roman" w:hAnsi="Times New Roman" w:eastAsia="宋体" w:cs="Times New Roman"/>
          <w:b/>
          <w:bCs/>
          <w:spacing w:val="22"/>
          <w:sz w:val="21"/>
          <w:szCs w:val="21"/>
        </w:rPr>
        <w:t>—</w:t>
      </w:r>
      <w:r>
        <w:rPr>
          <w:rFonts w:hint="default" w:ascii="Times New Roman" w:hAnsi="Times New Roman" w:eastAsia="宋体" w:cs="Times New Roman"/>
          <w:spacing w:val="22"/>
          <w:sz w:val="21"/>
          <w:szCs w:val="21"/>
        </w:rPr>
        <w:t>包括通过暴力手段</w:t>
      </w:r>
      <w:r>
        <w:rPr>
          <w:rFonts w:hint="default" w:ascii="Times New Roman" w:hAnsi="Times New Roman" w:eastAsia="宋体" w:cs="Times New Roman"/>
          <w:b/>
          <w:bCs/>
          <w:spacing w:val="22"/>
          <w:sz w:val="21"/>
          <w:szCs w:val="21"/>
        </w:rPr>
        <w:t>—</w:t>
      </w:r>
      <w:r>
        <w:rPr>
          <w:rFonts w:hint="default" w:ascii="Times New Roman" w:hAnsi="Times New Roman" w:eastAsia="宋体" w:cs="Times New Roman"/>
          <w:spacing w:val="22"/>
          <w:sz w:val="21"/>
          <w:szCs w:val="21"/>
        </w:rPr>
        <w:t>摧毁当前的意识形态秩序及其依赖</w:t>
      </w:r>
      <w:r>
        <w:rPr>
          <w:rFonts w:hint="default" w:ascii="Times New Roman" w:hAnsi="Times New Roman" w:eastAsia="宋体" w:cs="Times New Roman"/>
          <w:spacing w:val="21"/>
          <w:sz w:val="21"/>
          <w:szCs w:val="21"/>
        </w:rPr>
        <w:t>的政</w:t>
      </w:r>
      <w:r>
        <w:rPr>
          <w:rFonts w:hint="default" w:ascii="Times New Roman" w:hAnsi="Times New Roman" w:eastAsia="宋体" w:cs="Times New Roman"/>
          <w:spacing w:val="12"/>
          <w:sz w:val="21"/>
          <w:szCs w:val="21"/>
        </w:rPr>
        <w:t>治经济体系</w:t>
      </w:r>
      <w:r>
        <w:rPr>
          <w:rStyle w:val="20"/>
          <w:rFonts w:hint="default" w:ascii="Times New Roman" w:hAnsi="Times New Roman" w:eastAsia="宋体" w:cs="Times New Roman"/>
          <w:spacing w:val="12"/>
          <w:sz w:val="21"/>
          <w:szCs w:val="21"/>
        </w:rPr>
        <w:footnoteReference w:id="1220"/>
      </w:r>
      <w:r>
        <w:rPr>
          <w:rFonts w:hint="default" w:ascii="Times New Roman" w:hAnsi="Times New Roman" w:eastAsia="宋体" w:cs="Times New Roman"/>
          <w:spacing w:val="12"/>
          <w:sz w:val="21"/>
          <w:szCs w:val="21"/>
        </w:rPr>
        <w:t>,从而加速社会崩溃</w:t>
      </w:r>
      <w:r>
        <w:rPr>
          <w:rStyle w:val="20"/>
          <w:rFonts w:hint="default" w:ascii="Times New Roman" w:hAnsi="Times New Roman" w:eastAsia="宋体" w:cs="Times New Roman"/>
          <w:spacing w:val="12"/>
          <w:sz w:val="21"/>
          <w:szCs w:val="21"/>
        </w:rPr>
        <w:footnoteReference w:id="1221"/>
      </w:r>
      <w:r>
        <w:rPr>
          <w:rFonts w:hint="default" w:ascii="Times New Roman" w:hAnsi="Times New Roman" w:eastAsia="宋体" w:cs="Times New Roman"/>
          <w:spacing w:val="12"/>
          <w:sz w:val="21"/>
          <w:szCs w:val="21"/>
        </w:rPr>
        <w:t>。激进加速主义者认为,西方民主制度已经腐败</w:t>
      </w:r>
      <w:r>
        <w:rPr>
          <w:rStyle w:val="20"/>
          <w:rFonts w:hint="default" w:ascii="Times New Roman" w:hAnsi="Times New Roman" w:eastAsia="宋体" w:cs="Times New Roman"/>
          <w:spacing w:val="12"/>
          <w:sz w:val="21"/>
          <w:szCs w:val="21"/>
        </w:rPr>
        <w:footnoteReference w:id="1222"/>
      </w:r>
      <w:r>
        <w:rPr>
          <w:rFonts w:hint="default" w:ascii="Times New Roman" w:hAnsi="Times New Roman" w:eastAsia="宋体" w:cs="Times New Roman"/>
          <w:spacing w:val="12"/>
          <w:sz w:val="21"/>
          <w:szCs w:val="21"/>
        </w:rPr>
        <w:t>,无法通过政治手段解决白人利益面临的</w:t>
      </w:r>
      <w:r>
        <w:rPr>
          <w:rFonts w:hint="default" w:ascii="Times New Roman" w:hAnsi="Times New Roman" w:eastAsia="宋体" w:cs="Times New Roman"/>
          <w:spacing w:val="11"/>
          <w:sz w:val="21"/>
          <w:szCs w:val="21"/>
        </w:rPr>
        <w:t>威胁,因而必须采取一切必</w:t>
      </w:r>
      <w:r>
        <w:rPr>
          <w:rFonts w:hint="default" w:ascii="Times New Roman" w:hAnsi="Times New Roman" w:eastAsia="宋体" w:cs="Times New Roman"/>
          <w:spacing w:val="15"/>
          <w:sz w:val="21"/>
          <w:szCs w:val="21"/>
        </w:rPr>
        <w:t>要手段加速现有制度的瓦解</w:t>
      </w:r>
      <w:r>
        <w:rPr>
          <w:rStyle w:val="20"/>
          <w:rFonts w:hint="default" w:ascii="Times New Roman" w:hAnsi="Times New Roman" w:eastAsia="宋体" w:cs="Times New Roman"/>
          <w:spacing w:val="15"/>
          <w:sz w:val="21"/>
          <w:szCs w:val="21"/>
        </w:rPr>
        <w:footnoteReference w:id="1223"/>
      </w:r>
      <w:r>
        <w:rPr>
          <w:rFonts w:hint="default" w:ascii="Times New Roman" w:hAnsi="Times New Roman" w:eastAsia="宋体" w:cs="Times New Roman"/>
          <w:spacing w:val="15"/>
          <w:sz w:val="21"/>
          <w:szCs w:val="21"/>
        </w:rPr>
        <w:t>。他们的策略并非直接夺取政治权力,而是利</w:t>
      </w:r>
      <w:r>
        <w:rPr>
          <w:rFonts w:hint="default" w:ascii="Times New Roman" w:hAnsi="Times New Roman" w:eastAsia="宋体" w:cs="Times New Roman"/>
          <w:spacing w:val="6"/>
          <w:sz w:val="21"/>
          <w:szCs w:val="21"/>
        </w:rPr>
        <w:t>用政治制度的内在矛盾,制造社会、文化、政治、种族等方</w:t>
      </w:r>
      <w:r>
        <w:rPr>
          <w:rFonts w:hint="default" w:ascii="Times New Roman" w:hAnsi="Times New Roman" w:eastAsia="宋体" w:cs="Times New Roman"/>
          <w:spacing w:val="5"/>
          <w:sz w:val="21"/>
          <w:szCs w:val="21"/>
        </w:rPr>
        <w:t>面的混乱和分裂,推</w:t>
      </w:r>
      <w:r>
        <w:rPr>
          <w:rFonts w:hint="default" w:ascii="Times New Roman" w:hAnsi="Times New Roman" w:eastAsia="宋体" w:cs="Times New Roman"/>
          <w:spacing w:val="7"/>
          <w:sz w:val="21"/>
          <w:szCs w:val="21"/>
        </w:rPr>
        <w:t>动暴力行动或支持破坏性政治行为,甚至发动种族战争。</w:t>
      </w:r>
      <w:r>
        <w:rPr>
          <w:rStyle w:val="20"/>
          <w:rFonts w:hint="default" w:ascii="Times New Roman" w:hAnsi="Times New Roman" w:eastAsia="宋体" w:cs="Times New Roman"/>
          <w:spacing w:val="7"/>
          <w:sz w:val="21"/>
          <w:szCs w:val="21"/>
        </w:rPr>
        <w:footnoteReference w:id="1224"/>
      </w:r>
    </w:p>
    <w:p w14:paraId="73B6BBC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激进加速主义的终极目标是摧毁极具弊端的现代民主制度</w:t>
      </w:r>
      <w:r>
        <w:rPr>
          <w:rFonts w:hint="default" w:ascii="Times New Roman" w:hAnsi="Times New Roman" w:eastAsia="宋体" w:cs="Times New Roman"/>
          <w:spacing w:val="13"/>
          <w:sz w:val="21"/>
          <w:szCs w:val="21"/>
        </w:rPr>
        <w:t>,使社会回归</w:t>
      </w:r>
      <w:r>
        <w:rPr>
          <w:rFonts w:hint="default" w:ascii="Times New Roman" w:hAnsi="Times New Roman" w:eastAsia="宋体" w:cs="Times New Roman"/>
          <w:spacing w:val="2"/>
          <w:sz w:val="21"/>
          <w:szCs w:val="21"/>
        </w:rPr>
        <w:t>“传统”的种族等级结构,从而实现白人文明的</w:t>
      </w:r>
      <w:r>
        <w:rPr>
          <w:rFonts w:hint="default" w:ascii="Times New Roman" w:hAnsi="Times New Roman" w:eastAsia="宋体" w:cs="Times New Roman"/>
          <w:spacing w:val="1"/>
          <w:sz w:val="21"/>
          <w:szCs w:val="21"/>
        </w:rPr>
        <w:t>“重生”。</w:t>
      </w:r>
      <w:r>
        <w:rPr>
          <w:rStyle w:val="20"/>
          <w:rFonts w:hint="default" w:ascii="Times New Roman" w:hAnsi="Times New Roman" w:eastAsia="宋体" w:cs="Times New Roman"/>
          <w:spacing w:val="1"/>
          <w:sz w:val="21"/>
          <w:szCs w:val="21"/>
        </w:rPr>
        <w:footnoteReference w:id="1225"/>
      </w:r>
      <w:r>
        <w:rPr>
          <w:rFonts w:hint="default" w:ascii="Times New Roman" w:hAnsi="Times New Roman" w:eastAsia="宋体" w:cs="Times New Roman"/>
          <w:spacing w:val="1"/>
          <w:sz w:val="21"/>
          <w:szCs w:val="21"/>
        </w:rPr>
        <w:t>与此相对,社会民主</w:t>
      </w:r>
      <w:r>
        <w:rPr>
          <w:rFonts w:hint="default" w:ascii="Times New Roman" w:hAnsi="Times New Roman" w:eastAsia="宋体" w:cs="Times New Roman"/>
          <w:spacing w:val="6"/>
          <w:sz w:val="21"/>
          <w:szCs w:val="21"/>
        </w:rPr>
        <w:t>主义、环境保护主义、民粹主义、民族主义等意识形态被视为试图缓和</w:t>
      </w:r>
      <w:r>
        <w:rPr>
          <w:rFonts w:hint="default" w:ascii="Times New Roman" w:hAnsi="Times New Roman" w:eastAsia="宋体" w:cs="Times New Roman"/>
          <w:spacing w:val="5"/>
          <w:sz w:val="21"/>
          <w:szCs w:val="21"/>
        </w:rPr>
        <w:t>或逆转</w:t>
      </w:r>
      <w:r>
        <w:rPr>
          <w:rFonts w:hint="default" w:ascii="Times New Roman" w:hAnsi="Times New Roman" w:eastAsia="宋体" w:cs="Times New Roman"/>
          <w:spacing w:val="15"/>
          <w:sz w:val="21"/>
          <w:szCs w:val="21"/>
        </w:rPr>
        <w:t>现代世界的矛盾,而加速主义则与之背道而驰,主张通过彻底毁灭</w:t>
      </w:r>
      <w:r>
        <w:rPr>
          <w:rFonts w:hint="default" w:ascii="Times New Roman" w:hAnsi="Times New Roman" w:eastAsia="宋体" w:cs="Times New Roman"/>
          <w:spacing w:val="14"/>
          <w:sz w:val="21"/>
          <w:szCs w:val="21"/>
        </w:rPr>
        <w:t>现有不良秩</w:t>
      </w:r>
      <w:r>
        <w:rPr>
          <w:rFonts w:hint="default" w:ascii="Times New Roman" w:hAnsi="Times New Roman" w:eastAsia="宋体" w:cs="Times New Roman"/>
          <w:spacing w:val="-5"/>
          <w:sz w:val="21"/>
          <w:szCs w:val="21"/>
        </w:rPr>
        <w:t>序来实现其想象中的“乌托邦”。</w:t>
      </w:r>
      <w:r>
        <w:rPr>
          <w:rStyle w:val="20"/>
          <w:rFonts w:hint="default" w:ascii="Times New Roman" w:hAnsi="Times New Roman" w:eastAsia="宋体" w:cs="Times New Roman"/>
          <w:spacing w:val="-5"/>
          <w:sz w:val="21"/>
          <w:szCs w:val="21"/>
        </w:rPr>
        <w:footnoteReference w:id="1226"/>
      </w:r>
    </w:p>
    <w:p w14:paraId="24DCE65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近年来,白人至上主义者和其他极端右翼分子逐渐接受了激进加速主义的立场,认为现行弊端丛生的西方民主政治已不再可行,并在此基础</w:t>
      </w:r>
      <w:r>
        <w:rPr>
          <w:rFonts w:hint="default" w:ascii="Times New Roman" w:hAnsi="Times New Roman" w:eastAsia="宋体" w:cs="Times New Roman"/>
          <w:spacing w:val="11"/>
          <w:sz w:val="21"/>
          <w:szCs w:val="21"/>
        </w:rPr>
        <w:t>上形成了</w:t>
      </w:r>
      <w:r>
        <w:rPr>
          <w:rFonts w:hint="default" w:ascii="Times New Roman" w:hAnsi="Times New Roman" w:eastAsia="宋体" w:cs="Times New Roman"/>
          <w:spacing w:val="14"/>
          <w:sz w:val="21"/>
          <w:szCs w:val="21"/>
        </w:rPr>
        <w:t>初步统一的思想基础。在美国等国家,极右翼组织呈现</w:t>
      </w:r>
      <w:r>
        <w:rPr>
          <w:rFonts w:hint="default" w:ascii="Times New Roman" w:hAnsi="Times New Roman" w:eastAsia="宋体" w:cs="Times New Roman"/>
          <w:spacing w:val="13"/>
          <w:sz w:val="21"/>
          <w:szCs w:val="21"/>
        </w:rPr>
        <w:t>出从分裂走向联合的</w:t>
      </w:r>
      <w:r>
        <w:rPr>
          <w:rFonts w:hint="default" w:ascii="Times New Roman" w:hAnsi="Times New Roman" w:eastAsia="宋体" w:cs="Times New Roman"/>
          <w:spacing w:val="14"/>
          <w:sz w:val="21"/>
          <w:szCs w:val="21"/>
        </w:rPr>
        <w:t>趋势。如果说此前的极右翼思想尚显混杂,那么随着激</w:t>
      </w:r>
      <w:r>
        <w:rPr>
          <w:rFonts w:hint="default" w:ascii="Times New Roman" w:hAnsi="Times New Roman" w:eastAsia="宋体" w:cs="Times New Roman"/>
          <w:spacing w:val="13"/>
          <w:sz w:val="21"/>
          <w:szCs w:val="21"/>
        </w:rPr>
        <w:t>进加速主义中明确的</w:t>
      </w:r>
      <w:r>
        <w:rPr>
          <w:rFonts w:hint="default" w:ascii="Times New Roman" w:hAnsi="Times New Roman" w:eastAsia="宋体" w:cs="Times New Roman"/>
          <w:spacing w:val="12"/>
          <w:sz w:val="21"/>
          <w:szCs w:val="21"/>
        </w:rPr>
        <w:t>种族主义影响,极右翼在组织上的联合将加速其思想滑向种族主义,</w:t>
      </w:r>
      <w:r>
        <w:rPr>
          <w:rFonts w:hint="default" w:ascii="Times New Roman" w:hAnsi="Times New Roman" w:eastAsia="宋体" w:cs="Times New Roman"/>
          <w:spacing w:val="11"/>
          <w:sz w:val="21"/>
          <w:szCs w:val="21"/>
        </w:rPr>
        <w:t>西方新纳</w:t>
      </w:r>
      <w:r>
        <w:rPr>
          <w:rFonts w:hint="default" w:ascii="Times New Roman" w:hAnsi="Times New Roman" w:eastAsia="宋体" w:cs="Times New Roman"/>
          <w:spacing w:val="8"/>
          <w:sz w:val="21"/>
          <w:szCs w:val="21"/>
        </w:rPr>
        <w:t>粹团体的规模和影响力也可能增长。</w:t>
      </w:r>
    </w:p>
    <w:p w14:paraId="1CD723A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6"/>
          <w:sz w:val="21"/>
          <w:szCs w:val="21"/>
        </w:rPr>
        <w:t>(三)种族主义与右翼民粹主义、保守主义有合流态势</w:t>
      </w:r>
    </w:p>
    <w:p w14:paraId="0424AA8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资本主义的社会化大生产和生产资料私人占有制之间的</w:t>
      </w:r>
      <w:r>
        <w:rPr>
          <w:rFonts w:hint="default" w:ascii="Times New Roman" w:hAnsi="Times New Roman" w:eastAsia="宋体" w:cs="Times New Roman"/>
          <w:spacing w:val="8"/>
          <w:sz w:val="21"/>
          <w:szCs w:val="21"/>
        </w:rPr>
        <w:t>矛盾必然产生二元对立的政治建构及其意识形态。生产资料与劳动者的二元分离为统治阶级提供了构建“他者”的客观基础。广义种族主义作为系统性排斥机制</w:t>
      </w:r>
      <w:r>
        <w:rPr>
          <w:rStyle w:val="20"/>
          <w:rFonts w:hint="default" w:ascii="Times New Roman" w:hAnsi="Times New Roman" w:eastAsia="宋体" w:cs="Times New Roman"/>
          <w:spacing w:val="8"/>
          <w:sz w:val="21"/>
          <w:szCs w:val="21"/>
        </w:rPr>
        <w:footnoteReference w:id="1227"/>
      </w:r>
      <w:r>
        <w:rPr>
          <w:rFonts w:hint="default" w:ascii="Times New Roman" w:hAnsi="Times New Roman" w:eastAsia="宋体" w:cs="Times New Roman"/>
          <w:spacing w:val="7"/>
          <w:sz w:val="21"/>
          <w:szCs w:val="21"/>
        </w:rPr>
        <w:t>,通过</w:t>
      </w:r>
      <w:r>
        <w:rPr>
          <w:rFonts w:hint="default" w:ascii="Times New Roman" w:hAnsi="Times New Roman" w:eastAsia="宋体" w:cs="Times New Roman"/>
          <w:spacing w:val="8"/>
          <w:sz w:val="21"/>
          <w:szCs w:val="21"/>
        </w:rPr>
        <w:t>宗教、肤色、文化等符号建立区隔体系</w:t>
      </w:r>
      <w:r>
        <w:rPr>
          <w:rStyle w:val="20"/>
          <w:rFonts w:hint="default" w:ascii="Times New Roman" w:hAnsi="Times New Roman" w:eastAsia="宋体" w:cs="Times New Roman"/>
          <w:spacing w:val="8"/>
          <w:sz w:val="21"/>
          <w:szCs w:val="21"/>
        </w:rPr>
        <w:footnoteReference w:id="1228"/>
      </w:r>
      <w:r>
        <w:rPr>
          <w:rFonts w:hint="default" w:ascii="Times New Roman" w:hAnsi="Times New Roman" w:eastAsia="宋体" w:cs="Times New Roman"/>
          <w:spacing w:val="8"/>
          <w:sz w:val="21"/>
          <w:szCs w:val="21"/>
        </w:rPr>
        <w:t>,形成了基督教教徒与异教</w:t>
      </w:r>
      <w:r>
        <w:rPr>
          <w:rFonts w:hint="default" w:ascii="Times New Roman" w:hAnsi="Times New Roman" w:eastAsia="宋体" w:cs="Times New Roman"/>
          <w:spacing w:val="7"/>
          <w:sz w:val="21"/>
          <w:szCs w:val="21"/>
        </w:rPr>
        <w:t>野蛮人的</w:t>
      </w:r>
      <w:r>
        <w:rPr>
          <w:rFonts w:hint="default" w:ascii="Times New Roman" w:hAnsi="Times New Roman" w:eastAsia="宋体" w:cs="Times New Roman"/>
          <w:spacing w:val="11"/>
          <w:sz w:val="21"/>
          <w:szCs w:val="21"/>
        </w:rPr>
        <w:t>宗教等级论;基于伪科学的白人与非白人的种族等级论;基于文化本质主义的</w:t>
      </w:r>
      <w:r>
        <w:rPr>
          <w:rFonts w:hint="default" w:ascii="Times New Roman" w:hAnsi="Times New Roman" w:eastAsia="宋体" w:cs="Times New Roman"/>
          <w:spacing w:val="3"/>
          <w:sz w:val="21"/>
          <w:szCs w:val="21"/>
        </w:rPr>
        <w:t>文明等级论。</w:t>
      </w:r>
    </w:p>
    <w:p w14:paraId="0D13D07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右翼民粹主义对“真正人民”</w:t>
      </w:r>
      <w:r>
        <w:rPr>
          <w:rStyle w:val="20"/>
          <w:rFonts w:hint="default" w:ascii="Times New Roman" w:hAnsi="Times New Roman" w:eastAsia="宋体" w:cs="Times New Roman"/>
          <w:spacing w:val="6"/>
          <w:sz w:val="21"/>
          <w:szCs w:val="21"/>
        </w:rPr>
        <w:footnoteReference w:id="1229"/>
      </w:r>
      <w:r>
        <w:rPr>
          <w:rFonts w:hint="default" w:ascii="Times New Roman" w:hAnsi="Times New Roman" w:eastAsia="宋体" w:cs="Times New Roman"/>
          <w:spacing w:val="6"/>
          <w:sz w:val="21"/>
          <w:szCs w:val="21"/>
        </w:rPr>
        <w:t>的本质主义界定,内在地契合了种族主义</w:t>
      </w:r>
      <w:r>
        <w:rPr>
          <w:rFonts w:hint="default" w:ascii="Times New Roman" w:hAnsi="Times New Roman" w:eastAsia="宋体" w:cs="Times New Roman"/>
          <w:spacing w:val="2"/>
          <w:sz w:val="21"/>
          <w:szCs w:val="21"/>
        </w:rPr>
        <w:t>的排斥机制与宗教保守主义的“我们—他们”叙事。这种意识形态耦合在移民</w:t>
      </w:r>
      <w:r>
        <w:rPr>
          <w:rFonts w:hint="default" w:ascii="Times New Roman" w:hAnsi="Times New Roman" w:eastAsia="宋体" w:cs="Times New Roman"/>
          <w:spacing w:val="10"/>
          <w:sz w:val="21"/>
          <w:szCs w:val="21"/>
        </w:rPr>
        <w:t>政策领域产生了显著影响:自</w:t>
      </w:r>
      <w:r>
        <w:rPr>
          <w:rFonts w:hint="default" w:ascii="Times New Roman" w:hAnsi="Times New Roman" w:eastAsia="宋体" w:cs="Times New Roman"/>
          <w:spacing w:val="10"/>
          <w:position w:val="-2"/>
          <w:sz w:val="21"/>
          <w:szCs w:val="21"/>
        </w:rPr>
        <w:t>2010</w:t>
      </w:r>
      <w:r>
        <w:rPr>
          <w:rFonts w:hint="default" w:ascii="Times New Roman" w:hAnsi="Times New Roman" w:eastAsia="宋体" w:cs="Times New Roman"/>
          <w:spacing w:val="10"/>
          <w:sz w:val="21"/>
          <w:szCs w:val="21"/>
        </w:rPr>
        <w:t>年起,欧洲民粹主义政党的平均选票份额</w:t>
      </w:r>
      <w:r>
        <w:rPr>
          <w:rFonts w:hint="default" w:ascii="Times New Roman" w:hAnsi="Times New Roman" w:eastAsia="宋体" w:cs="Times New Roman"/>
          <w:spacing w:val="11"/>
          <w:sz w:val="21"/>
          <w:szCs w:val="21"/>
        </w:rPr>
        <w:t>呈上升趋势,而</w:t>
      </w:r>
      <w:r>
        <w:rPr>
          <w:rFonts w:hint="default" w:ascii="Times New Roman" w:hAnsi="Times New Roman" w:eastAsia="宋体" w:cs="Times New Roman"/>
          <w:spacing w:val="11"/>
          <w:position w:val="-2"/>
          <w:sz w:val="21"/>
          <w:szCs w:val="21"/>
        </w:rPr>
        <w:t>2015</w:t>
      </w:r>
      <w:r>
        <w:rPr>
          <w:rFonts w:hint="default" w:ascii="Times New Roman" w:hAnsi="Times New Roman" w:eastAsia="宋体" w:cs="Times New Roman"/>
          <w:spacing w:val="11"/>
          <w:sz w:val="21"/>
          <w:szCs w:val="21"/>
        </w:rPr>
        <w:t>年难民危机后,其支持率更是加速攀升。</w:t>
      </w:r>
      <w:r>
        <w:rPr>
          <w:rStyle w:val="20"/>
          <w:rFonts w:hint="default" w:ascii="Times New Roman" w:hAnsi="Times New Roman" w:eastAsia="宋体" w:cs="Times New Roman"/>
          <w:spacing w:val="11"/>
          <w:sz w:val="21"/>
          <w:szCs w:val="21"/>
        </w:rPr>
        <w:footnoteReference w:id="1230"/>
      </w:r>
      <w:r>
        <w:rPr>
          <w:rFonts w:hint="default" w:ascii="Times New Roman" w:hAnsi="Times New Roman" w:eastAsia="宋体" w:cs="Times New Roman"/>
          <w:spacing w:val="11"/>
          <w:sz w:val="21"/>
          <w:szCs w:val="21"/>
        </w:rPr>
        <w:t>三者均把公</w:t>
      </w:r>
      <w:r>
        <w:rPr>
          <w:rFonts w:hint="default" w:ascii="Times New Roman" w:hAnsi="Times New Roman" w:eastAsia="宋体" w:cs="Times New Roman"/>
          <w:spacing w:val="7"/>
          <w:sz w:val="21"/>
          <w:szCs w:val="21"/>
        </w:rPr>
        <w:t>众对失业、福利紧缩与文化变迁的焦虑,从社会经济议题系统地扭转为文化排</w:t>
      </w:r>
      <w:r>
        <w:rPr>
          <w:rFonts w:hint="default" w:ascii="Times New Roman" w:hAnsi="Times New Roman" w:eastAsia="宋体" w:cs="Times New Roman"/>
          <w:spacing w:val="12"/>
          <w:sz w:val="21"/>
          <w:szCs w:val="21"/>
        </w:rPr>
        <w:t>斥叙事,并最终导向排外性的政策主张。例如,他们把失业率上升建</w:t>
      </w:r>
      <w:r>
        <w:rPr>
          <w:rFonts w:hint="default" w:ascii="Times New Roman" w:hAnsi="Times New Roman" w:eastAsia="宋体" w:cs="Times New Roman"/>
          <w:spacing w:val="11"/>
          <w:sz w:val="21"/>
          <w:szCs w:val="21"/>
        </w:rPr>
        <w:t>构为“移</w:t>
      </w:r>
      <w:r>
        <w:rPr>
          <w:rFonts w:hint="default" w:ascii="Times New Roman" w:hAnsi="Times New Roman" w:eastAsia="宋体" w:cs="Times New Roman"/>
          <w:spacing w:val="10"/>
          <w:sz w:val="21"/>
          <w:szCs w:val="21"/>
        </w:rPr>
        <w:t>民抢占就业”的问题,主张收紧移民政策;将福利缩减归因为“外来者消耗资</w:t>
      </w:r>
      <w:r>
        <w:rPr>
          <w:rFonts w:hint="default" w:ascii="Times New Roman" w:hAnsi="Times New Roman" w:eastAsia="宋体" w:cs="Times New Roman"/>
          <w:spacing w:val="4"/>
          <w:sz w:val="21"/>
          <w:szCs w:val="21"/>
        </w:rPr>
        <w:t>源”,要求削减难民配额;把文化困境阐释为“传统价值遭受侵蚀”,进而推动强</w:t>
      </w:r>
      <w:r>
        <w:rPr>
          <w:rFonts w:hint="default" w:ascii="Times New Roman" w:hAnsi="Times New Roman" w:eastAsia="宋体" w:cs="Times New Roman"/>
          <w:spacing w:val="8"/>
          <w:sz w:val="21"/>
          <w:szCs w:val="21"/>
        </w:rPr>
        <w:t>化本土文化教育并抵制多元文化主义。</w:t>
      </w:r>
    </w:p>
    <w:p w14:paraId="2F4FFA5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2008年金融危机重创了美国工薪阶层,导致其家庭</w:t>
      </w:r>
      <w:r>
        <w:rPr>
          <w:rFonts w:hint="default" w:ascii="Times New Roman" w:hAnsi="Times New Roman" w:eastAsia="宋体" w:cs="Times New Roman"/>
          <w:spacing w:val="13"/>
          <w:sz w:val="21"/>
          <w:szCs w:val="21"/>
        </w:rPr>
        <w:t>净资产暴跌</w:t>
      </w:r>
      <w:r>
        <w:rPr>
          <w:rFonts w:hint="default" w:ascii="Times New Roman" w:hAnsi="Times New Roman" w:eastAsia="宋体" w:cs="Times New Roman"/>
          <w:spacing w:val="13"/>
          <w:position w:val="-2"/>
          <w:sz w:val="21"/>
          <w:szCs w:val="21"/>
        </w:rPr>
        <w:t>39%</w:t>
      </w:r>
      <w:r>
        <w:rPr>
          <w:rStyle w:val="20"/>
          <w:rFonts w:hint="default" w:ascii="Times New Roman" w:hAnsi="Times New Roman" w:eastAsia="宋体" w:cs="Times New Roman"/>
          <w:spacing w:val="13"/>
          <w:position w:val="-2"/>
          <w:sz w:val="21"/>
          <w:szCs w:val="21"/>
        </w:rPr>
        <w:footnoteReference w:id="1231"/>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7"/>
          <w:sz w:val="21"/>
          <w:szCs w:val="21"/>
        </w:rPr>
        <w:t>叠加失业潮、收入锐减及长期通胀压力,使民众遭遇财富缩水、生活开支激增</w:t>
      </w:r>
      <w:r>
        <w:rPr>
          <w:rFonts w:hint="default" w:ascii="Times New Roman" w:hAnsi="Times New Roman" w:eastAsia="宋体" w:cs="Times New Roman"/>
          <w:spacing w:val="14"/>
          <w:sz w:val="21"/>
          <w:szCs w:val="21"/>
        </w:rPr>
        <w:t>等冲击。在此背景下,以特朗普为代表的右翼民粹主</w:t>
      </w:r>
      <w:r>
        <w:rPr>
          <w:rFonts w:hint="default" w:ascii="Times New Roman" w:hAnsi="Times New Roman" w:eastAsia="宋体" w:cs="Times New Roman"/>
          <w:spacing w:val="13"/>
          <w:sz w:val="21"/>
          <w:szCs w:val="21"/>
        </w:rPr>
        <w:t>义将民众对经济衰退和</w:t>
      </w:r>
      <w:r>
        <w:rPr>
          <w:rFonts w:hint="default" w:ascii="Times New Roman" w:hAnsi="Times New Roman" w:eastAsia="宋体" w:cs="Times New Roman"/>
          <w:spacing w:val="12"/>
          <w:sz w:val="21"/>
          <w:szCs w:val="21"/>
        </w:rPr>
        <w:t>社会不平等的不满转向文化领域,通过鼓吹传统价值观、抵制移民与全</w:t>
      </w:r>
      <w:r>
        <w:rPr>
          <w:rFonts w:hint="default" w:ascii="Times New Roman" w:hAnsi="Times New Roman" w:eastAsia="宋体" w:cs="Times New Roman"/>
          <w:spacing w:val="11"/>
          <w:sz w:val="21"/>
          <w:szCs w:val="21"/>
        </w:rPr>
        <w:t>球化,</w:t>
      </w:r>
      <w:r>
        <w:rPr>
          <w:rFonts w:hint="default" w:ascii="Times New Roman" w:hAnsi="Times New Roman" w:eastAsia="宋体" w:cs="Times New Roman"/>
          <w:spacing w:val="4"/>
          <w:sz w:val="21"/>
          <w:szCs w:val="21"/>
        </w:rPr>
        <w:t>将阶级矛盾重塑为“文明冲突”。尽管其政策核心(如减税)实际使顶层</w:t>
      </w:r>
      <w:r>
        <w:rPr>
          <w:rFonts w:hint="default" w:ascii="Times New Roman" w:hAnsi="Times New Roman" w:eastAsia="宋体" w:cs="Times New Roman"/>
          <w:spacing w:val="4"/>
          <w:position w:val="-1"/>
          <w:sz w:val="21"/>
          <w:szCs w:val="21"/>
        </w:rPr>
        <w:t>1%富</w:t>
      </w:r>
      <w:r>
        <w:rPr>
          <w:rFonts w:hint="default" w:ascii="Times New Roman" w:hAnsi="Times New Roman" w:eastAsia="宋体" w:cs="Times New Roman"/>
          <w:spacing w:val="15"/>
          <w:sz w:val="21"/>
          <w:szCs w:val="21"/>
        </w:rPr>
        <w:t>豪显著受益,但特朗普在年收入</w:t>
      </w:r>
      <w:r>
        <w:rPr>
          <w:rFonts w:hint="default" w:ascii="Times New Roman" w:hAnsi="Times New Roman" w:eastAsia="宋体" w:cs="Times New Roman"/>
          <w:spacing w:val="15"/>
          <w:position w:val="-2"/>
          <w:sz w:val="21"/>
          <w:szCs w:val="21"/>
        </w:rPr>
        <w:t>3</w:t>
      </w:r>
      <w:r>
        <w:rPr>
          <w:rFonts w:hint="default" w:ascii="Times New Roman" w:hAnsi="Times New Roman" w:eastAsia="宋体" w:cs="Times New Roman"/>
          <w:spacing w:val="15"/>
          <w:sz w:val="21"/>
          <w:szCs w:val="21"/>
        </w:rPr>
        <w:t>万</w:t>
      </w:r>
      <w:r>
        <w:rPr>
          <w:rFonts w:hint="default" w:ascii="Times New Roman" w:hAnsi="Times New Roman" w:eastAsia="宋体" w:cs="Times New Roman"/>
          <w:spacing w:val="15"/>
          <w:position w:val="-2"/>
          <w:sz w:val="21"/>
          <w:szCs w:val="21"/>
        </w:rPr>
        <w:t>~5</w:t>
      </w:r>
      <w:r>
        <w:rPr>
          <w:rFonts w:hint="default" w:ascii="Times New Roman" w:hAnsi="Times New Roman" w:eastAsia="宋体" w:cs="Times New Roman"/>
          <w:spacing w:val="15"/>
          <w:sz w:val="21"/>
          <w:szCs w:val="21"/>
        </w:rPr>
        <w:t>万美元的工薪群体中支持</w:t>
      </w:r>
      <w:r>
        <w:rPr>
          <w:rFonts w:hint="default" w:ascii="Times New Roman" w:hAnsi="Times New Roman" w:eastAsia="宋体" w:cs="Times New Roman"/>
          <w:spacing w:val="14"/>
          <w:sz w:val="21"/>
          <w:szCs w:val="21"/>
        </w:rPr>
        <w:t>率仍高达</w:t>
      </w:r>
      <w:r>
        <w:rPr>
          <w:rFonts w:hint="default" w:ascii="Times New Roman" w:hAnsi="Times New Roman" w:eastAsia="宋体" w:cs="Times New Roman"/>
          <w:spacing w:val="-23"/>
          <w:position w:val="-2"/>
          <w:sz w:val="21"/>
          <w:szCs w:val="21"/>
        </w:rPr>
        <w:t>53%</w:t>
      </w:r>
      <w:r>
        <w:rPr>
          <w:rFonts w:hint="default" w:ascii="Times New Roman" w:hAnsi="Times New Roman" w:eastAsia="宋体" w:cs="Times New Roman"/>
          <w:spacing w:val="-23"/>
          <w:sz w:val="21"/>
          <w:szCs w:val="21"/>
        </w:rPr>
        <w:t>。</w:t>
      </w:r>
      <w:r>
        <w:rPr>
          <w:rStyle w:val="20"/>
          <w:rFonts w:hint="default" w:ascii="Times New Roman" w:hAnsi="Times New Roman" w:eastAsia="宋体" w:cs="Times New Roman"/>
          <w:spacing w:val="-23"/>
          <w:sz w:val="21"/>
          <w:szCs w:val="21"/>
        </w:rPr>
        <w:footnoteReference w:id="1232"/>
      </w:r>
      <w:r>
        <w:rPr>
          <w:rFonts w:hint="default" w:ascii="Times New Roman" w:hAnsi="Times New Roman" w:eastAsia="宋体" w:cs="Times New Roman"/>
          <w:spacing w:val="10"/>
          <w:sz w:val="21"/>
          <w:szCs w:val="21"/>
        </w:rPr>
        <w:t>这一政策取向与选民支持之间的反差,恰恰验证了“文化反弹”(</w:t>
      </w:r>
      <w:r>
        <w:rPr>
          <w:rFonts w:hint="default" w:ascii="Times New Roman" w:hAnsi="Times New Roman" w:eastAsia="宋体" w:cs="Times New Roman"/>
          <w:position w:val="-2"/>
          <w:sz w:val="21"/>
          <w:szCs w:val="21"/>
        </w:rPr>
        <w:t>culturalbackla</w:t>
      </w:r>
      <w:r>
        <w:rPr>
          <w:rFonts w:hint="eastAsia" w:ascii="Times New Roman" w:hAnsi="Times New Roman" w:eastAsia="宋体" w:cs="Times New Roman"/>
          <w:position w:val="-2"/>
          <w:sz w:val="21"/>
          <w:szCs w:val="21"/>
          <w:lang w:val="en-US" w:eastAsia="zh-CN"/>
        </w:rPr>
        <w:t>sh</w:t>
      </w:r>
      <w:r>
        <w:rPr>
          <w:rFonts w:hint="default" w:ascii="Times New Roman" w:hAnsi="Times New Roman" w:eastAsia="宋体" w:cs="Times New Roman"/>
          <w:spacing w:val="16"/>
          <w:sz w:val="21"/>
          <w:szCs w:val="21"/>
        </w:rPr>
        <w:t>)策略的有效性</w:t>
      </w:r>
      <w:r>
        <w:rPr>
          <w:rFonts w:hint="default" w:ascii="Times New Roman" w:hAnsi="Times New Roman" w:eastAsia="宋体" w:cs="Times New Roman"/>
          <w:spacing w:val="16"/>
          <w:position w:val="1"/>
          <w:sz w:val="21"/>
          <w:szCs w:val="21"/>
        </w:rPr>
        <w:t>:</w:t>
      </w:r>
      <w:r>
        <w:rPr>
          <w:rFonts w:hint="default" w:ascii="Times New Roman" w:hAnsi="Times New Roman" w:eastAsia="宋体" w:cs="Times New Roman"/>
          <w:spacing w:val="16"/>
          <w:sz w:val="21"/>
          <w:szCs w:val="21"/>
        </w:rPr>
        <w:t>它巧妙地将民众因经济不安全与贫富分化而</w:t>
      </w:r>
      <w:r>
        <w:rPr>
          <w:rFonts w:hint="default" w:ascii="Times New Roman" w:hAnsi="Times New Roman" w:eastAsia="宋体" w:cs="Times New Roman"/>
          <w:spacing w:val="15"/>
          <w:sz w:val="21"/>
          <w:szCs w:val="21"/>
        </w:rPr>
        <w:t>产生的愤怒,引向了对文化身份的捍卫,以此成功地绕开对结构性不公的批</w:t>
      </w:r>
      <w:r>
        <w:rPr>
          <w:rFonts w:hint="default" w:ascii="Times New Roman" w:hAnsi="Times New Roman" w:eastAsia="宋体" w:cs="Times New Roman"/>
          <w:spacing w:val="10"/>
          <w:sz w:val="21"/>
          <w:szCs w:val="21"/>
        </w:rPr>
        <w:t>判,遮蔽了真正的经济社会结构矛盾。</w:t>
      </w:r>
    </w:p>
    <w:p w14:paraId="5714CBB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20世纪七八十年代,宗教保守主义在美国兴起的</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sz w:val="21"/>
          <w:szCs w:val="21"/>
        </w:rPr>
        <w:t>宗教权利</w:t>
      </w:r>
      <w:r>
        <w:rPr>
          <w:rFonts w:hint="default" w:ascii="Times New Roman" w:hAnsi="Times New Roman" w:eastAsia="宋体" w:cs="Times New Roman"/>
          <w:spacing w:val="11"/>
          <w:position w:val="1"/>
          <w:sz w:val="21"/>
          <w:szCs w:val="21"/>
        </w:rPr>
        <w:t>”</w:t>
      </w:r>
      <w:r>
        <w:rPr>
          <w:rFonts w:hint="default" w:ascii="Times New Roman" w:hAnsi="Times New Roman" w:eastAsia="宋体" w:cs="Times New Roman"/>
          <w:spacing w:val="11"/>
          <w:sz w:val="21"/>
          <w:szCs w:val="21"/>
        </w:rPr>
        <w:t>(</w:t>
      </w:r>
      <w:r>
        <w:rPr>
          <w:rFonts w:hint="default" w:ascii="Times New Roman" w:hAnsi="Times New Roman" w:eastAsia="宋体" w:cs="Times New Roman"/>
          <w:sz w:val="21"/>
          <w:szCs w:val="21"/>
        </w:rPr>
        <w:t>R</w:t>
      </w:r>
      <w:r>
        <w:rPr>
          <w:rFonts w:hint="default" w:ascii="Times New Roman" w:hAnsi="Times New Roman" w:eastAsia="宋体" w:cs="Times New Roman"/>
          <w:position w:val="-2"/>
          <w:sz w:val="21"/>
          <w:szCs w:val="21"/>
        </w:rPr>
        <w:t>eligious</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sz w:val="21"/>
          <w:szCs w:val="21"/>
        </w:rPr>
        <w:t>Right</w:t>
      </w:r>
      <w:r>
        <w:rPr>
          <w:rFonts w:hint="default" w:ascii="Times New Roman" w:hAnsi="Times New Roman" w:eastAsia="宋体" w:cs="Times New Roman"/>
          <w:spacing w:val="13"/>
          <w:sz w:val="21"/>
          <w:szCs w:val="21"/>
        </w:rPr>
        <w:t>)运动中复兴,其主体是基督教福音派右翼,宗教保守主义者反对多元文化主义,赞同白人至上的极端保守主义</w:t>
      </w:r>
      <w:r>
        <w:rPr>
          <w:rStyle w:val="20"/>
          <w:rFonts w:hint="default" w:ascii="Times New Roman" w:hAnsi="Times New Roman" w:eastAsia="宋体" w:cs="Times New Roman"/>
          <w:spacing w:val="13"/>
          <w:sz w:val="21"/>
          <w:szCs w:val="21"/>
        </w:rPr>
        <w:footnoteReference w:id="1233"/>
      </w:r>
      <w:r>
        <w:rPr>
          <w:rFonts w:hint="default" w:ascii="Times New Roman" w:hAnsi="Times New Roman" w:eastAsia="宋体" w:cs="Times New Roman"/>
          <w:spacing w:val="13"/>
          <w:sz w:val="21"/>
          <w:szCs w:val="21"/>
        </w:rPr>
        <w:t>,并与共和党结盟。如今的共和党内</w:t>
      </w:r>
      <w:r>
        <w:rPr>
          <w:rFonts w:hint="default" w:ascii="Times New Roman" w:hAnsi="Times New Roman" w:eastAsia="宋体" w:cs="Times New Roman"/>
          <w:spacing w:val="12"/>
          <w:sz w:val="21"/>
          <w:szCs w:val="21"/>
        </w:rPr>
        <w:t>部的保守派已经同宗教保守主义结下了不解之缘,在</w:t>
      </w:r>
      <w:r>
        <w:rPr>
          <w:rFonts w:hint="default" w:ascii="Times New Roman" w:hAnsi="Times New Roman" w:eastAsia="宋体" w:cs="Times New Roman"/>
          <w:spacing w:val="12"/>
          <w:position w:val="-2"/>
          <w:sz w:val="21"/>
          <w:szCs w:val="21"/>
        </w:rPr>
        <w:t>2016</w:t>
      </w:r>
      <w:r>
        <w:rPr>
          <w:rFonts w:hint="default" w:ascii="Times New Roman" w:hAnsi="Times New Roman" w:eastAsia="宋体" w:cs="Times New Roman"/>
          <w:spacing w:val="12"/>
          <w:sz w:val="21"/>
          <w:szCs w:val="21"/>
        </w:rPr>
        <w:t>年美国大选中,白人福音派人士对特朗普的支持率高达</w:t>
      </w:r>
      <w:r>
        <w:rPr>
          <w:rFonts w:hint="default" w:ascii="Times New Roman" w:hAnsi="Times New Roman" w:eastAsia="宋体" w:cs="Times New Roman"/>
          <w:spacing w:val="12"/>
          <w:position w:val="-2"/>
          <w:sz w:val="21"/>
          <w:szCs w:val="21"/>
        </w:rPr>
        <w:t>81%</w:t>
      </w:r>
      <w:r>
        <w:rPr>
          <w:rStyle w:val="20"/>
          <w:rFonts w:hint="default" w:ascii="Times New Roman" w:hAnsi="Times New Roman" w:eastAsia="宋体" w:cs="Times New Roman"/>
          <w:spacing w:val="12"/>
          <w:position w:val="-2"/>
          <w:sz w:val="21"/>
          <w:szCs w:val="21"/>
        </w:rPr>
        <w:footnoteReference w:id="1234"/>
      </w:r>
      <w:r>
        <w:rPr>
          <w:rFonts w:hint="default" w:ascii="Times New Roman" w:hAnsi="Times New Roman" w:eastAsia="宋体" w:cs="Times New Roman"/>
          <w:spacing w:val="12"/>
          <w:sz w:val="21"/>
          <w:szCs w:val="21"/>
        </w:rPr>
        <w:t>,对特朗普右翼民粹主义</w:t>
      </w:r>
      <w:r>
        <w:rPr>
          <w:rFonts w:hint="default" w:ascii="Times New Roman" w:hAnsi="Times New Roman" w:eastAsia="宋体" w:cs="Times New Roman"/>
          <w:spacing w:val="11"/>
          <w:sz w:val="21"/>
          <w:szCs w:val="21"/>
        </w:rPr>
        <w:t>及其不</w:t>
      </w:r>
      <w:r>
        <w:rPr>
          <w:rFonts w:hint="default" w:ascii="Times New Roman" w:hAnsi="Times New Roman" w:eastAsia="宋体" w:cs="Times New Roman"/>
          <w:spacing w:val="6"/>
          <w:sz w:val="21"/>
          <w:szCs w:val="21"/>
        </w:rPr>
        <w:t>明朗的种族主义的认同不言而喻。</w:t>
      </w:r>
    </w:p>
    <w:p w14:paraId="2B91FEA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从以上分析可以看出,种族主义与右翼民粹主义、保守主义有着一种共生</w:t>
      </w:r>
      <w:r>
        <w:rPr>
          <w:rFonts w:hint="default" w:ascii="Times New Roman" w:hAnsi="Times New Roman" w:eastAsia="宋体" w:cs="Times New Roman"/>
          <w:spacing w:val="11"/>
          <w:sz w:val="21"/>
          <w:szCs w:val="21"/>
        </w:rPr>
        <w:t>机制,三者很少单独出现,其耦合关系往往通过“危机叙事—身份重构—权力</w:t>
      </w:r>
      <w:r>
        <w:rPr>
          <w:rFonts w:hint="default" w:ascii="Times New Roman" w:hAnsi="Times New Roman" w:eastAsia="宋体" w:cs="Times New Roman"/>
          <w:spacing w:val="9"/>
          <w:sz w:val="21"/>
          <w:szCs w:val="21"/>
        </w:rPr>
        <w:t>垄断”的三角循环得以强化。右翼民粹主义通过制造移民威胁论和文化冲突</w:t>
      </w:r>
      <w:r>
        <w:rPr>
          <w:rFonts w:hint="default" w:ascii="Times New Roman" w:hAnsi="Times New Roman" w:eastAsia="宋体" w:cs="Times New Roman"/>
          <w:spacing w:val="15"/>
          <w:sz w:val="21"/>
          <w:szCs w:val="21"/>
        </w:rPr>
        <w:t>论,为保守主义的传统秩序提供合法性依据;当资本积累引发矛盾时</w:t>
      </w:r>
      <w:r>
        <w:rPr>
          <w:rFonts w:hint="default" w:ascii="Times New Roman" w:hAnsi="Times New Roman" w:eastAsia="宋体" w:cs="Times New Roman"/>
          <w:spacing w:val="14"/>
          <w:sz w:val="21"/>
          <w:szCs w:val="21"/>
        </w:rPr>
        <w:t>,保守主义常常通过强化传统身份边界转移冲突,为种族主义的排</w:t>
      </w:r>
      <w:r>
        <w:rPr>
          <w:rFonts w:hint="default" w:ascii="Times New Roman" w:hAnsi="Times New Roman" w:eastAsia="宋体" w:cs="Times New Roman"/>
          <w:spacing w:val="13"/>
          <w:sz w:val="21"/>
          <w:szCs w:val="21"/>
        </w:rPr>
        <w:t>斥机制创造社会温</w:t>
      </w:r>
      <w:r>
        <w:rPr>
          <w:rFonts w:hint="default" w:ascii="Times New Roman" w:hAnsi="Times New Roman" w:eastAsia="宋体" w:cs="Times New Roman"/>
          <w:spacing w:val="11"/>
          <w:sz w:val="21"/>
          <w:szCs w:val="21"/>
        </w:rPr>
        <w:t>床;而种族主义的排外实践则为民粹动员持续输送政治燃料,这在“资本逻辑</w:t>
      </w:r>
      <w:r>
        <w:rPr>
          <w:rFonts w:hint="default" w:ascii="Times New Roman" w:hAnsi="Times New Roman" w:eastAsia="宋体" w:cs="Times New Roman"/>
          <w:spacing w:val="10"/>
          <w:sz w:val="21"/>
          <w:szCs w:val="21"/>
        </w:rPr>
        <w:t>滥用全媒体技术侵蚀公共道德”</w:t>
      </w:r>
      <w:r>
        <w:rPr>
          <w:rStyle w:val="20"/>
          <w:rFonts w:hint="default" w:ascii="Times New Roman" w:hAnsi="Times New Roman" w:eastAsia="宋体" w:cs="Times New Roman"/>
          <w:spacing w:val="10"/>
          <w:sz w:val="21"/>
          <w:szCs w:val="21"/>
        </w:rPr>
        <w:footnoteReference w:id="1235"/>
      </w:r>
      <w:r>
        <w:rPr>
          <w:rFonts w:hint="default" w:ascii="Times New Roman" w:hAnsi="Times New Roman" w:eastAsia="宋体" w:cs="Times New Roman"/>
          <w:spacing w:val="10"/>
          <w:sz w:val="21"/>
          <w:szCs w:val="21"/>
        </w:rPr>
        <w:t>的时代更为盛行。这种意识</w:t>
      </w:r>
      <w:r>
        <w:rPr>
          <w:rFonts w:hint="default" w:ascii="Times New Roman" w:hAnsi="Times New Roman" w:eastAsia="宋体" w:cs="Times New Roman"/>
          <w:spacing w:val="9"/>
          <w:sz w:val="21"/>
          <w:szCs w:val="21"/>
        </w:rPr>
        <w:t>形态的三角关</w:t>
      </w:r>
      <w:r>
        <w:rPr>
          <w:rFonts w:hint="default" w:ascii="Times New Roman" w:hAnsi="Times New Roman" w:eastAsia="宋体" w:cs="Times New Roman"/>
          <w:spacing w:val="11"/>
          <w:sz w:val="21"/>
          <w:szCs w:val="21"/>
        </w:rPr>
        <w:t>系在资本危机时期尤为活跃,它们共享着对社会达尔文主义的隐秘崇拜,通过</w:t>
      </w:r>
      <w:r>
        <w:rPr>
          <w:rFonts w:hint="default" w:ascii="Times New Roman" w:hAnsi="Times New Roman" w:eastAsia="宋体" w:cs="Times New Roman"/>
          <w:spacing w:val="7"/>
          <w:sz w:val="21"/>
          <w:szCs w:val="21"/>
        </w:rPr>
        <w:t>将复杂的社会、阶级矛盾简化为文明冲突和人群对立,最终服务于垄断资本统</w:t>
      </w:r>
      <w:r>
        <w:rPr>
          <w:rFonts w:hint="default" w:ascii="Times New Roman" w:hAnsi="Times New Roman" w:eastAsia="宋体" w:cs="Times New Roman"/>
          <w:spacing w:val="-4"/>
          <w:sz w:val="21"/>
          <w:szCs w:val="21"/>
        </w:rPr>
        <w:t>治的议程。这三者与所谓的“自由主义”“进步主义”都是现代资本主义生产方</w:t>
      </w:r>
      <w:r>
        <w:rPr>
          <w:rFonts w:hint="default" w:ascii="Times New Roman" w:hAnsi="Times New Roman" w:eastAsia="宋体" w:cs="Times New Roman"/>
          <w:spacing w:val="15"/>
          <w:sz w:val="21"/>
          <w:szCs w:val="21"/>
        </w:rPr>
        <w:t>式的意识形态产物,它们此消彼长,只有在这种生产方式被废除之后,它们才</w:t>
      </w:r>
      <w:r>
        <w:rPr>
          <w:rFonts w:hint="default" w:ascii="Times New Roman" w:hAnsi="Times New Roman" w:eastAsia="宋体" w:cs="Times New Roman"/>
          <w:spacing w:val="7"/>
          <w:sz w:val="21"/>
          <w:szCs w:val="21"/>
        </w:rPr>
        <w:t>会从历史的循环中消失。</w:t>
      </w:r>
    </w:p>
    <w:p w14:paraId="7E3EC32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pacing w:val="11"/>
          <w:sz w:val="21"/>
          <w:szCs w:val="21"/>
        </w:rPr>
        <w:t>(四)美国系统性种族主义的现实表现</w:t>
      </w:r>
    </w:p>
    <w:p w14:paraId="021964E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3"/>
          <w:sz w:val="21"/>
          <w:szCs w:val="21"/>
        </w:rPr>
        <w:t>联合国人权理事会当代形式种族主义问题特别报告员指出,人们将美国</w:t>
      </w:r>
      <w:r>
        <w:rPr>
          <w:rFonts w:hint="default" w:ascii="Times New Roman" w:hAnsi="Times New Roman" w:eastAsia="宋体" w:cs="Times New Roman"/>
          <w:spacing w:val="3"/>
          <w:sz w:val="21"/>
          <w:szCs w:val="21"/>
        </w:rPr>
        <w:t>的种族主义描述成“存在于呼吸的空气中”,并“从摇篮到坟</w:t>
      </w:r>
      <w:r>
        <w:rPr>
          <w:rFonts w:hint="default" w:ascii="Times New Roman" w:hAnsi="Times New Roman" w:eastAsia="宋体" w:cs="Times New Roman"/>
          <w:spacing w:val="2"/>
          <w:sz w:val="21"/>
          <w:szCs w:val="21"/>
        </w:rPr>
        <w:t>墓”持续存在。</w:t>
      </w:r>
      <w:r>
        <w:rPr>
          <w:rStyle w:val="20"/>
          <w:rFonts w:hint="default" w:ascii="Times New Roman" w:hAnsi="Times New Roman" w:eastAsia="宋体" w:cs="Times New Roman"/>
          <w:spacing w:val="2"/>
          <w:position w:val="5"/>
          <w:sz w:val="21"/>
          <w:szCs w:val="21"/>
        </w:rPr>
        <w:footnoteReference w:id="1236"/>
      </w:r>
      <w:r>
        <w:rPr>
          <w:rFonts w:hint="default" w:ascii="Times New Roman" w:hAnsi="Times New Roman" w:eastAsia="宋体" w:cs="Times New Roman"/>
          <w:spacing w:val="10"/>
          <w:sz w:val="21"/>
          <w:szCs w:val="21"/>
        </w:rPr>
        <w:t>这种系统性种族主义并非抽象的理论概念,而是渗透</w:t>
      </w:r>
      <w:r>
        <w:rPr>
          <w:rFonts w:hint="default" w:ascii="Times New Roman" w:hAnsi="Times New Roman" w:eastAsia="宋体" w:cs="Times New Roman"/>
          <w:spacing w:val="9"/>
          <w:sz w:val="21"/>
          <w:szCs w:val="21"/>
        </w:rPr>
        <w:t>于执法司法、环境健康、</w:t>
      </w:r>
      <w:r>
        <w:rPr>
          <w:rFonts w:hint="default" w:ascii="Times New Roman" w:hAnsi="Times New Roman" w:eastAsia="宋体" w:cs="Times New Roman"/>
          <w:spacing w:val="12"/>
          <w:sz w:val="21"/>
          <w:szCs w:val="21"/>
        </w:rPr>
        <w:t>移民政策等社会各个层面的日常现实,是文化种族主义与色盲种</w:t>
      </w:r>
      <w:r>
        <w:rPr>
          <w:rFonts w:hint="default" w:ascii="Times New Roman" w:hAnsi="Times New Roman" w:eastAsia="宋体" w:cs="Times New Roman"/>
          <w:spacing w:val="11"/>
          <w:sz w:val="21"/>
          <w:szCs w:val="21"/>
        </w:rPr>
        <w:t>族主义在当</w:t>
      </w:r>
      <w:r>
        <w:rPr>
          <w:rFonts w:hint="default" w:ascii="Times New Roman" w:hAnsi="Times New Roman" w:eastAsia="宋体" w:cs="Times New Roman"/>
          <w:spacing w:val="7"/>
          <w:sz w:val="21"/>
          <w:szCs w:val="21"/>
        </w:rPr>
        <w:t>代美国的集中体现。</w:t>
      </w:r>
    </w:p>
    <w:p w14:paraId="6EA3316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在执法司法领域,种族偏见贯穿于逮捕、保释、指控、判刑等刑事程序的各</w:t>
      </w:r>
      <w:r>
        <w:rPr>
          <w:rFonts w:hint="default" w:ascii="Times New Roman" w:hAnsi="Times New Roman" w:eastAsia="宋体" w:cs="Times New Roman"/>
          <w:spacing w:val="12"/>
          <w:sz w:val="21"/>
          <w:szCs w:val="21"/>
        </w:rPr>
        <w:t>个阶段。数据显示,非洲裔被警察枪杀的概率是白人的</w:t>
      </w:r>
      <w:r>
        <w:rPr>
          <w:rFonts w:hint="default" w:ascii="Times New Roman" w:hAnsi="Times New Roman" w:eastAsia="宋体" w:cs="Times New Roman"/>
          <w:spacing w:val="12"/>
          <w:position w:val="-2"/>
          <w:sz w:val="21"/>
          <w:szCs w:val="21"/>
        </w:rPr>
        <w:t>3</w:t>
      </w:r>
      <w:r>
        <w:rPr>
          <w:rFonts w:hint="default" w:ascii="Times New Roman" w:hAnsi="Times New Roman" w:eastAsia="宋体" w:cs="Times New Roman"/>
          <w:spacing w:val="12"/>
          <w:sz w:val="21"/>
          <w:szCs w:val="21"/>
        </w:rPr>
        <w:t>倍,在所有被判处终</w:t>
      </w:r>
      <w:r>
        <w:rPr>
          <w:rFonts w:hint="default" w:ascii="Times New Roman" w:hAnsi="Times New Roman" w:eastAsia="宋体" w:cs="Times New Roman"/>
          <w:spacing w:val="9"/>
          <w:sz w:val="21"/>
          <w:szCs w:val="21"/>
        </w:rPr>
        <w:t>身监禁不得假释的儿童中,61%是非洲裔。</w:t>
      </w:r>
      <w:r>
        <w:rPr>
          <w:rStyle w:val="20"/>
          <w:rFonts w:hint="default" w:ascii="Times New Roman" w:hAnsi="Times New Roman" w:eastAsia="宋体" w:cs="Times New Roman"/>
          <w:spacing w:val="9"/>
          <w:sz w:val="21"/>
          <w:szCs w:val="21"/>
        </w:rPr>
        <w:footnoteReference w:id="1237"/>
      </w:r>
      <w:r>
        <w:rPr>
          <w:rFonts w:hint="default" w:ascii="Times New Roman" w:hAnsi="Times New Roman" w:eastAsia="宋体" w:cs="Times New Roman"/>
          <w:spacing w:val="9"/>
          <w:sz w:val="21"/>
          <w:szCs w:val="21"/>
        </w:rPr>
        <w:t>这种全链条的司法歧视,正是色</w:t>
      </w:r>
      <w:r>
        <w:rPr>
          <w:rFonts w:hint="default" w:ascii="Times New Roman" w:hAnsi="Times New Roman" w:eastAsia="宋体" w:cs="Times New Roman"/>
          <w:sz w:val="21"/>
          <w:szCs w:val="21"/>
        </w:rPr>
        <w:t>盲种族主义所谓“种族中立”幌子下系统性不公的明证。</w:t>
      </w:r>
    </w:p>
    <w:p w14:paraId="35E800D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3"/>
          <w:sz w:val="21"/>
          <w:szCs w:val="21"/>
        </w:rPr>
        <w:t>环境种族主义则揭示了种族歧视与阶级压迫</w:t>
      </w:r>
      <w:r>
        <w:rPr>
          <w:rFonts w:hint="default" w:ascii="Times New Roman" w:hAnsi="Times New Roman" w:eastAsia="宋体" w:cs="Times New Roman"/>
          <w:spacing w:val="12"/>
          <w:sz w:val="21"/>
          <w:szCs w:val="21"/>
        </w:rPr>
        <w:t>的交织。近80%的城市固</w:t>
      </w:r>
      <w:r>
        <w:rPr>
          <w:rFonts w:hint="default" w:ascii="Times New Roman" w:hAnsi="Times New Roman" w:eastAsia="宋体" w:cs="Times New Roman"/>
          <w:spacing w:val="10"/>
          <w:sz w:val="21"/>
          <w:szCs w:val="21"/>
        </w:rPr>
        <w:t>体废物焚烧炉建于非洲裔、拉美裔和低收入</w:t>
      </w:r>
      <w:r>
        <w:rPr>
          <w:rFonts w:hint="default" w:ascii="Times New Roman" w:hAnsi="Times New Roman" w:eastAsia="宋体" w:cs="Times New Roman"/>
          <w:spacing w:val="9"/>
          <w:sz w:val="21"/>
          <w:szCs w:val="21"/>
        </w:rPr>
        <w:t>社区,导致癌症等恶性疾病高发。</w:t>
      </w:r>
      <w:r>
        <w:rPr>
          <w:rFonts w:hint="default" w:ascii="Times New Roman" w:hAnsi="Times New Roman" w:eastAsia="宋体" w:cs="Times New Roman"/>
          <w:spacing w:val="6"/>
          <w:sz w:val="21"/>
          <w:szCs w:val="21"/>
        </w:rPr>
        <w:t>路易斯安那州以非洲裔为主的“癌症带”居民,因工业污染罹患癌症的风险高</w:t>
      </w:r>
      <w:r>
        <w:rPr>
          <w:rFonts w:hint="default" w:ascii="Times New Roman" w:hAnsi="Times New Roman" w:eastAsia="宋体" w:cs="Times New Roman"/>
          <w:spacing w:val="14"/>
          <w:sz w:val="21"/>
          <w:szCs w:val="21"/>
        </w:rPr>
        <w:t>达全国平均值的</w:t>
      </w:r>
      <w:r>
        <w:rPr>
          <w:rFonts w:hint="default" w:ascii="Times New Roman" w:hAnsi="Times New Roman" w:eastAsia="宋体" w:cs="Times New Roman"/>
          <w:spacing w:val="14"/>
          <w:position w:val="-2"/>
          <w:sz w:val="21"/>
          <w:szCs w:val="21"/>
        </w:rPr>
        <w:t>7</w:t>
      </w:r>
      <w:r>
        <w:rPr>
          <w:rFonts w:hint="default" w:ascii="Times New Roman" w:hAnsi="Times New Roman" w:eastAsia="宋体" w:cs="Times New Roman"/>
          <w:spacing w:val="14"/>
          <w:sz w:val="21"/>
          <w:szCs w:val="21"/>
        </w:rPr>
        <w:t>倍,孕产妇和新生儿健康损害达</w:t>
      </w:r>
      <w:r>
        <w:rPr>
          <w:rFonts w:hint="default" w:ascii="Times New Roman" w:hAnsi="Times New Roman" w:eastAsia="宋体" w:cs="Times New Roman"/>
          <w:spacing w:val="14"/>
          <w:position w:val="-2"/>
          <w:sz w:val="21"/>
          <w:szCs w:val="21"/>
        </w:rPr>
        <w:t>3</w:t>
      </w:r>
      <w:r>
        <w:rPr>
          <w:rFonts w:hint="default" w:ascii="Times New Roman" w:hAnsi="Times New Roman" w:eastAsia="宋体" w:cs="Times New Roman"/>
          <w:spacing w:val="14"/>
          <w:sz w:val="21"/>
          <w:szCs w:val="21"/>
        </w:rPr>
        <w:t>倍。环境污染迫使大量</w:t>
      </w:r>
      <w:r>
        <w:rPr>
          <w:rFonts w:hint="default" w:ascii="Times New Roman" w:hAnsi="Times New Roman" w:eastAsia="宋体" w:cs="Times New Roman"/>
          <w:spacing w:val="9"/>
          <w:sz w:val="21"/>
          <w:szCs w:val="21"/>
        </w:rPr>
        <w:t>非洲裔流离失所,仅</w:t>
      </w:r>
      <w:r>
        <w:rPr>
          <w:rFonts w:hint="default" w:ascii="Times New Roman" w:hAnsi="Times New Roman" w:eastAsia="宋体" w:cs="Times New Roman"/>
          <w:spacing w:val="9"/>
          <w:position w:val="-2"/>
          <w:sz w:val="21"/>
          <w:szCs w:val="21"/>
        </w:rPr>
        <w:t>2023</w:t>
      </w:r>
      <w:r>
        <w:rPr>
          <w:rFonts w:hint="default" w:ascii="Times New Roman" w:hAnsi="Times New Roman" w:eastAsia="宋体" w:cs="Times New Roman"/>
          <w:spacing w:val="9"/>
          <w:sz w:val="21"/>
          <w:szCs w:val="21"/>
        </w:rPr>
        <w:t>年</w:t>
      </w:r>
      <w:r>
        <w:rPr>
          <w:rFonts w:hint="default" w:ascii="Times New Roman" w:hAnsi="Times New Roman" w:eastAsia="宋体" w:cs="Times New Roman"/>
          <w:spacing w:val="9"/>
          <w:position w:val="-2"/>
          <w:sz w:val="21"/>
          <w:szCs w:val="21"/>
        </w:rPr>
        <w:t>5</w:t>
      </w:r>
      <w:r>
        <w:rPr>
          <w:rFonts w:hint="default" w:ascii="Times New Roman" w:hAnsi="Times New Roman" w:eastAsia="宋体" w:cs="Times New Roman"/>
          <w:spacing w:val="9"/>
          <w:sz w:val="21"/>
          <w:szCs w:val="21"/>
        </w:rPr>
        <w:t>月至</w:t>
      </w:r>
      <w:r>
        <w:rPr>
          <w:rFonts w:hint="default" w:ascii="Times New Roman" w:hAnsi="Times New Roman" w:eastAsia="宋体" w:cs="Times New Roman"/>
          <w:spacing w:val="9"/>
          <w:position w:val="-2"/>
          <w:sz w:val="21"/>
          <w:szCs w:val="21"/>
        </w:rPr>
        <w:t>2024</w:t>
      </w:r>
      <w:r>
        <w:rPr>
          <w:rFonts w:hint="default" w:ascii="Times New Roman" w:hAnsi="Times New Roman" w:eastAsia="宋体" w:cs="Times New Roman"/>
          <w:spacing w:val="9"/>
          <w:sz w:val="21"/>
          <w:szCs w:val="21"/>
        </w:rPr>
        <w:t>年</w:t>
      </w:r>
      <w:r>
        <w:rPr>
          <w:rFonts w:hint="default" w:ascii="Times New Roman" w:hAnsi="Times New Roman" w:eastAsia="宋体" w:cs="Times New Roman"/>
          <w:spacing w:val="8"/>
          <w:position w:val="-2"/>
          <w:sz w:val="21"/>
          <w:szCs w:val="21"/>
        </w:rPr>
        <w:t>4</w:t>
      </w:r>
      <w:r>
        <w:rPr>
          <w:rFonts w:hint="default" w:ascii="Times New Roman" w:hAnsi="Times New Roman" w:eastAsia="宋体" w:cs="Times New Roman"/>
          <w:spacing w:val="8"/>
          <w:sz w:val="21"/>
          <w:szCs w:val="21"/>
        </w:rPr>
        <w:t>月间,约</w:t>
      </w:r>
      <w:r>
        <w:rPr>
          <w:rFonts w:hint="default" w:ascii="Times New Roman" w:hAnsi="Times New Roman" w:eastAsia="宋体" w:cs="Times New Roman"/>
          <w:spacing w:val="8"/>
          <w:position w:val="-2"/>
          <w:sz w:val="21"/>
          <w:szCs w:val="21"/>
        </w:rPr>
        <w:t>400</w:t>
      </w:r>
      <w:r>
        <w:rPr>
          <w:rFonts w:hint="default" w:ascii="Times New Roman" w:hAnsi="Times New Roman" w:eastAsia="宋体" w:cs="Times New Roman"/>
          <w:spacing w:val="8"/>
          <w:sz w:val="21"/>
          <w:szCs w:val="21"/>
        </w:rPr>
        <w:t>万人因污染暂时搬</w:t>
      </w:r>
      <w:r>
        <w:rPr>
          <w:rFonts w:hint="default" w:ascii="Times New Roman" w:hAnsi="Times New Roman" w:eastAsia="宋体" w:cs="Times New Roman"/>
          <w:spacing w:val="3"/>
          <w:sz w:val="21"/>
          <w:szCs w:val="21"/>
        </w:rPr>
        <w:t>迁,</w:t>
      </w:r>
      <w:r>
        <w:rPr>
          <w:rFonts w:hint="default" w:ascii="Times New Roman" w:hAnsi="Times New Roman" w:eastAsia="宋体" w:cs="Times New Roman"/>
          <w:spacing w:val="3"/>
          <w:position w:val="-2"/>
          <w:sz w:val="21"/>
          <w:szCs w:val="21"/>
        </w:rPr>
        <w:t>200</w:t>
      </w:r>
      <w:r>
        <w:rPr>
          <w:rFonts w:hint="default" w:ascii="Times New Roman" w:hAnsi="Times New Roman" w:eastAsia="宋体" w:cs="Times New Roman"/>
          <w:spacing w:val="3"/>
          <w:sz w:val="21"/>
          <w:szCs w:val="21"/>
        </w:rPr>
        <w:t>万人永久搬迁。</w:t>
      </w:r>
      <w:r>
        <w:rPr>
          <w:rStyle w:val="20"/>
          <w:rFonts w:hint="default" w:ascii="Times New Roman" w:hAnsi="Times New Roman" w:eastAsia="宋体" w:cs="Times New Roman"/>
          <w:spacing w:val="3"/>
          <w:sz w:val="21"/>
          <w:szCs w:val="21"/>
        </w:rPr>
        <w:footnoteReference w:id="1238"/>
      </w:r>
      <w:r>
        <w:rPr>
          <w:rFonts w:hint="default" w:ascii="Times New Roman" w:hAnsi="Times New Roman" w:eastAsia="宋体" w:cs="Times New Roman"/>
          <w:spacing w:val="12"/>
          <w:sz w:val="21"/>
          <w:szCs w:val="21"/>
        </w:rPr>
        <w:t>对原住民的系统性压迫更是美国种族主义的历史原罪。</w:t>
      </w:r>
      <w:r>
        <w:rPr>
          <w:rFonts w:hint="default" w:ascii="Times New Roman" w:hAnsi="Times New Roman" w:eastAsia="宋体" w:cs="Times New Roman"/>
          <w:spacing w:val="12"/>
          <w:position w:val="-2"/>
          <w:sz w:val="21"/>
          <w:szCs w:val="21"/>
        </w:rPr>
        <w:t>19</w:t>
      </w:r>
      <w:r>
        <w:rPr>
          <w:rFonts w:hint="default" w:ascii="Times New Roman" w:hAnsi="Times New Roman" w:eastAsia="宋体" w:cs="Times New Roman"/>
          <w:spacing w:val="12"/>
          <w:sz w:val="21"/>
          <w:szCs w:val="21"/>
        </w:rPr>
        <w:t>世纪初至</w:t>
      </w:r>
      <w:r>
        <w:rPr>
          <w:rFonts w:hint="default" w:ascii="Times New Roman" w:hAnsi="Times New Roman" w:eastAsia="宋体" w:cs="Times New Roman"/>
          <w:spacing w:val="12"/>
          <w:position w:val="-2"/>
          <w:sz w:val="21"/>
          <w:szCs w:val="21"/>
        </w:rPr>
        <w:t>20</w:t>
      </w:r>
      <w:r>
        <w:rPr>
          <w:rFonts w:hint="default" w:ascii="Times New Roman" w:hAnsi="Times New Roman" w:eastAsia="宋体" w:cs="Times New Roman"/>
          <w:spacing w:val="12"/>
          <w:sz w:val="21"/>
          <w:szCs w:val="21"/>
        </w:rPr>
        <w:t>世纪</w:t>
      </w:r>
      <w:r>
        <w:rPr>
          <w:rFonts w:hint="default" w:ascii="Times New Roman" w:hAnsi="Times New Roman" w:eastAsia="宋体" w:cs="Times New Roman"/>
          <w:spacing w:val="12"/>
          <w:position w:val="-2"/>
          <w:sz w:val="21"/>
          <w:szCs w:val="21"/>
        </w:rPr>
        <w:t>70</w:t>
      </w:r>
      <w:r>
        <w:rPr>
          <w:rFonts w:hint="default" w:ascii="Times New Roman" w:hAnsi="Times New Roman" w:eastAsia="宋体" w:cs="Times New Roman"/>
          <w:spacing w:val="12"/>
          <w:sz w:val="21"/>
          <w:szCs w:val="21"/>
        </w:rPr>
        <w:t>年代,政府建立的寄宿学校造成至少</w:t>
      </w:r>
      <w:r>
        <w:rPr>
          <w:rFonts w:hint="default" w:ascii="Times New Roman" w:hAnsi="Times New Roman" w:eastAsia="宋体" w:cs="Times New Roman"/>
          <w:spacing w:val="12"/>
          <w:position w:val="-2"/>
          <w:sz w:val="21"/>
          <w:szCs w:val="21"/>
        </w:rPr>
        <w:t>3104</w:t>
      </w:r>
      <w:r>
        <w:rPr>
          <w:rFonts w:hint="default" w:ascii="Times New Roman" w:hAnsi="Times New Roman" w:eastAsia="宋体" w:cs="Times New Roman"/>
          <w:spacing w:val="12"/>
          <w:sz w:val="21"/>
          <w:szCs w:val="21"/>
        </w:rPr>
        <w:t>名原住民儿童死亡</w:t>
      </w:r>
      <w:r>
        <w:rPr>
          <w:rFonts w:hint="default" w:ascii="Times New Roman" w:hAnsi="Times New Roman" w:eastAsia="宋体" w:cs="Times New Roman"/>
          <w:spacing w:val="12"/>
          <w:position w:val="1"/>
          <w:sz w:val="21"/>
          <w:szCs w:val="21"/>
        </w:rPr>
        <w:t>,</w:t>
      </w:r>
      <w:r>
        <w:rPr>
          <w:rFonts w:hint="default" w:ascii="Times New Roman" w:hAnsi="Times New Roman" w:eastAsia="宋体" w:cs="Times New Roman"/>
          <w:spacing w:val="12"/>
          <w:sz w:val="21"/>
          <w:szCs w:val="21"/>
        </w:rPr>
        <w:t>内布</w:t>
      </w:r>
      <w:r>
        <w:rPr>
          <w:rFonts w:hint="default" w:ascii="Times New Roman" w:hAnsi="Times New Roman" w:eastAsia="宋体" w:cs="Times New Roman"/>
          <w:spacing w:val="7"/>
          <w:sz w:val="21"/>
          <w:szCs w:val="21"/>
        </w:rPr>
        <w:t>拉斯加州美国原住民事务委员会主任直言,这些学校实为“犯人营”和“劳工</w:t>
      </w:r>
      <w:r>
        <w:rPr>
          <w:rFonts w:hint="default" w:ascii="Times New Roman" w:hAnsi="Times New Roman" w:eastAsia="宋体" w:cs="Times New Roman"/>
          <w:spacing w:val="12"/>
          <w:sz w:val="21"/>
          <w:szCs w:val="21"/>
        </w:rPr>
        <w:t>营”。至今,原住民遭受暴力犯罪和性侵的可能性仍是其他族群的</w:t>
      </w:r>
      <w:r>
        <w:rPr>
          <w:rFonts w:hint="default" w:ascii="Times New Roman" w:hAnsi="Times New Roman" w:eastAsia="宋体" w:cs="Times New Roman"/>
          <w:spacing w:val="12"/>
          <w:position w:val="-2"/>
          <w:sz w:val="21"/>
          <w:szCs w:val="21"/>
        </w:rPr>
        <w:t>2</w:t>
      </w:r>
      <w:r>
        <w:rPr>
          <w:rFonts w:hint="default" w:ascii="Times New Roman" w:hAnsi="Times New Roman" w:eastAsia="宋体" w:cs="Times New Roman"/>
          <w:spacing w:val="12"/>
          <w:sz w:val="21"/>
          <w:szCs w:val="21"/>
        </w:rPr>
        <w:t>倍,平均</w:t>
      </w:r>
      <w:r>
        <w:rPr>
          <w:rFonts w:hint="default" w:ascii="Times New Roman" w:hAnsi="Times New Roman" w:eastAsia="宋体" w:cs="Times New Roman"/>
          <w:spacing w:val="7"/>
          <w:sz w:val="21"/>
          <w:szCs w:val="21"/>
        </w:rPr>
        <w:t>寿命显著缩短,蒙大拿州原住民比该州白人平均寿命短</w:t>
      </w:r>
      <w:r>
        <w:rPr>
          <w:rFonts w:hint="default" w:ascii="Times New Roman" w:hAnsi="Times New Roman" w:eastAsia="宋体" w:cs="Times New Roman"/>
          <w:spacing w:val="7"/>
          <w:position w:val="-2"/>
          <w:sz w:val="21"/>
          <w:szCs w:val="21"/>
        </w:rPr>
        <w:t>17</w:t>
      </w:r>
      <w:r>
        <w:rPr>
          <w:rFonts w:hint="default" w:ascii="Times New Roman" w:hAnsi="Times New Roman" w:eastAsia="宋体" w:cs="Times New Roman"/>
          <w:spacing w:val="7"/>
          <w:sz w:val="21"/>
          <w:szCs w:val="21"/>
        </w:rPr>
        <w:t>年。</w:t>
      </w:r>
      <w:r>
        <w:rPr>
          <w:rStyle w:val="20"/>
          <w:rFonts w:hint="default" w:ascii="Times New Roman" w:hAnsi="Times New Roman" w:eastAsia="宋体" w:cs="Times New Roman"/>
          <w:spacing w:val="7"/>
          <w:sz w:val="21"/>
          <w:szCs w:val="21"/>
        </w:rPr>
        <w:footnoteReference w:id="1239"/>
      </w:r>
    </w:p>
    <w:p w14:paraId="4CA6260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default" w:ascii="Times New Roman" w:hAnsi="Times New Roman" w:eastAsia="宋体" w:cs="Times New Roman"/>
          <w:spacing w:val="6"/>
          <w:sz w:val="21"/>
          <w:szCs w:val="21"/>
        </w:rPr>
      </w:pPr>
      <w:r>
        <w:rPr>
          <w:rFonts w:hint="default" w:ascii="Times New Roman" w:hAnsi="Times New Roman" w:eastAsia="宋体" w:cs="Times New Roman"/>
          <w:spacing w:val="9"/>
          <w:sz w:val="21"/>
          <w:szCs w:val="21"/>
        </w:rPr>
        <w:t>亚裔群体在多领域面临隐形歧视与制度性排斥。尽管亚裔在美国</w:t>
      </w:r>
      <w:r>
        <w:rPr>
          <w:rFonts w:hint="default" w:ascii="Times New Roman" w:hAnsi="Times New Roman" w:eastAsia="宋体" w:cs="Times New Roman"/>
          <w:spacing w:val="8"/>
          <w:sz w:val="21"/>
          <w:szCs w:val="21"/>
        </w:rPr>
        <w:t>劳动力</w:t>
      </w:r>
      <w:r>
        <w:rPr>
          <w:rFonts w:hint="default" w:ascii="Times New Roman" w:hAnsi="Times New Roman" w:eastAsia="宋体" w:cs="Times New Roman"/>
          <w:spacing w:val="11"/>
          <w:sz w:val="21"/>
          <w:szCs w:val="21"/>
        </w:rPr>
        <w:t>中受教育程度最高,但晋升领导职位的可能性最低,在财富</w:t>
      </w:r>
      <w:r>
        <w:rPr>
          <w:rFonts w:hint="default" w:ascii="Times New Roman" w:hAnsi="Times New Roman" w:eastAsia="宋体" w:cs="Times New Roman"/>
          <w:spacing w:val="11"/>
          <w:position w:val="-2"/>
          <w:sz w:val="21"/>
          <w:szCs w:val="21"/>
        </w:rPr>
        <w:t>500</w:t>
      </w:r>
      <w:r>
        <w:rPr>
          <w:rFonts w:hint="default" w:ascii="Times New Roman" w:hAnsi="Times New Roman" w:eastAsia="宋体" w:cs="Times New Roman"/>
          <w:spacing w:val="11"/>
          <w:sz w:val="21"/>
          <w:szCs w:val="21"/>
        </w:rPr>
        <w:t>强企业高管中</w:t>
      </w:r>
      <w:r>
        <w:rPr>
          <w:rFonts w:hint="default" w:ascii="Times New Roman" w:hAnsi="Times New Roman" w:eastAsia="宋体" w:cs="Times New Roman"/>
          <w:spacing w:val="10"/>
          <w:sz w:val="21"/>
          <w:szCs w:val="21"/>
        </w:rPr>
        <w:t>仅占</w:t>
      </w:r>
      <w:r>
        <w:rPr>
          <w:rFonts w:hint="default" w:ascii="Times New Roman" w:hAnsi="Times New Roman" w:eastAsia="宋体" w:cs="Times New Roman"/>
          <w:spacing w:val="10"/>
          <w:position w:val="-2"/>
          <w:sz w:val="21"/>
          <w:szCs w:val="21"/>
        </w:rPr>
        <w:t>1.5%</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position w:val="-2"/>
          <w:sz w:val="21"/>
          <w:szCs w:val="21"/>
        </w:rPr>
        <w:t>41</w:t>
      </w:r>
      <w:r>
        <w:rPr>
          <w:rFonts w:hint="default" w:ascii="Times New Roman" w:hAnsi="Times New Roman" w:eastAsia="宋体" w:cs="Times New Roman"/>
          <w:spacing w:val="10"/>
          <w:sz w:val="21"/>
          <w:szCs w:val="21"/>
        </w:rPr>
        <w:t>个州的最高法院从未有过亚裔法官</w:t>
      </w:r>
      <w:r>
        <w:rPr>
          <w:rFonts w:hint="default" w:ascii="Times New Roman" w:hAnsi="Times New Roman" w:eastAsia="宋体" w:cs="Times New Roman"/>
          <w:spacing w:val="10"/>
          <w:position w:val="1"/>
          <w:sz w:val="21"/>
          <w:szCs w:val="21"/>
        </w:rPr>
        <w:t>,</w:t>
      </w:r>
      <w:r>
        <w:rPr>
          <w:rFonts w:hint="default" w:ascii="Times New Roman" w:hAnsi="Times New Roman" w:eastAsia="宋体" w:cs="Times New Roman"/>
          <w:spacing w:val="10"/>
          <w:sz w:val="21"/>
          <w:szCs w:val="21"/>
        </w:rPr>
        <w:t>凸显司法领域的代表性</w:t>
      </w:r>
      <w:r>
        <w:rPr>
          <w:rFonts w:hint="default" w:ascii="Times New Roman" w:hAnsi="Times New Roman" w:eastAsia="宋体" w:cs="Times New Roman"/>
          <w:spacing w:val="7"/>
          <w:sz w:val="21"/>
          <w:szCs w:val="21"/>
        </w:rPr>
        <w:t>缺位。无端排斥华裔的“中国行动计划”更是酿成惨剧,华裔神经学家吴瑛因</w:t>
      </w:r>
      <w:r>
        <w:rPr>
          <w:rFonts w:hint="default" w:ascii="Times New Roman" w:hAnsi="Times New Roman" w:eastAsia="宋体" w:cs="Times New Roman"/>
          <w:spacing w:val="13"/>
          <w:sz w:val="21"/>
          <w:szCs w:val="21"/>
        </w:rPr>
        <w:t>调查摧毁职业生涯而选择结束生命。调查显示,68%的华裔受访者平均每月</w:t>
      </w:r>
      <w:r>
        <w:rPr>
          <w:rFonts w:hint="default" w:ascii="Times New Roman" w:hAnsi="Times New Roman" w:eastAsia="宋体" w:cs="Times New Roman"/>
          <w:spacing w:val="7"/>
          <w:sz w:val="21"/>
          <w:szCs w:val="21"/>
        </w:rPr>
        <w:t>至少遭受一种形式的歧视,50%的华裔受访者近一个月感到过绝</w:t>
      </w:r>
      <w:r>
        <w:rPr>
          <w:rFonts w:hint="default" w:ascii="Times New Roman" w:hAnsi="Times New Roman" w:eastAsia="宋体" w:cs="Times New Roman"/>
          <w:spacing w:val="6"/>
          <w:sz w:val="21"/>
          <w:szCs w:val="21"/>
        </w:rPr>
        <w:t>望。</w:t>
      </w:r>
      <w:r>
        <w:rPr>
          <w:rStyle w:val="20"/>
          <w:rFonts w:hint="default" w:ascii="Times New Roman" w:hAnsi="Times New Roman" w:eastAsia="宋体" w:cs="Times New Roman"/>
          <w:spacing w:val="6"/>
          <w:sz w:val="21"/>
          <w:szCs w:val="21"/>
        </w:rPr>
        <w:footnoteReference w:id="1240"/>
      </w:r>
    </w:p>
    <w:p w14:paraId="0E961F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种族主义借人工智能等新技术迭代升级,形成更隐蔽的压迫形式</w:t>
      </w:r>
      <w:r>
        <w:rPr>
          <w:rFonts w:hint="default" w:ascii="Times New Roman" w:hAnsi="Times New Roman" w:eastAsia="宋体" w:cs="Times New Roman"/>
          <w:spacing w:val="13"/>
          <w:sz w:val="21"/>
          <w:szCs w:val="21"/>
        </w:rPr>
        <w:t>。研究</w:t>
      </w:r>
      <w:r>
        <w:rPr>
          <w:rFonts w:hint="default" w:ascii="Times New Roman" w:hAnsi="Times New Roman" w:eastAsia="宋体" w:cs="Times New Roman"/>
          <w:spacing w:val="12"/>
          <w:sz w:val="21"/>
          <w:szCs w:val="21"/>
        </w:rPr>
        <w:t>表明,非洲裔人群在警方执法图像数据库中占比过高,导致人脸识别</w:t>
      </w:r>
      <w:r>
        <w:rPr>
          <w:rFonts w:hint="default" w:ascii="Times New Roman" w:hAnsi="Times New Roman" w:eastAsia="宋体" w:cs="Times New Roman"/>
          <w:spacing w:val="11"/>
          <w:sz w:val="21"/>
          <w:szCs w:val="21"/>
        </w:rPr>
        <w:t>系统中非</w:t>
      </w:r>
      <w:r>
        <w:rPr>
          <w:rFonts w:hint="default" w:ascii="Times New Roman" w:hAnsi="Times New Roman" w:eastAsia="宋体" w:cs="Times New Roman"/>
          <w:spacing w:val="14"/>
          <w:sz w:val="21"/>
          <w:szCs w:val="21"/>
        </w:rPr>
        <w:t>洲裔个体更易被错误识别为嫌疑对象,算法种族主义正</w:t>
      </w:r>
      <w:r>
        <w:rPr>
          <w:rFonts w:hint="default" w:ascii="Times New Roman" w:hAnsi="Times New Roman" w:eastAsia="宋体" w:cs="Times New Roman"/>
          <w:spacing w:val="13"/>
          <w:sz w:val="21"/>
          <w:szCs w:val="21"/>
        </w:rPr>
        <w:t>以自动化决策方式固</w:t>
      </w:r>
      <w:r>
        <w:rPr>
          <w:rFonts w:hint="default" w:ascii="Times New Roman" w:hAnsi="Times New Roman" w:eastAsia="宋体" w:cs="Times New Roman"/>
          <w:sz w:val="21"/>
          <w:szCs w:val="21"/>
        </w:rPr>
        <w:t>化历史上的系统性歧视。</w:t>
      </w:r>
      <w:r>
        <w:rPr>
          <w:rStyle w:val="20"/>
          <w:rFonts w:hint="default" w:ascii="Times New Roman" w:hAnsi="Times New Roman" w:eastAsia="宋体" w:cs="Times New Roman"/>
          <w:sz w:val="21"/>
          <w:szCs w:val="21"/>
        </w:rPr>
        <w:footnoteReference w:id="1241"/>
      </w:r>
    </w:p>
    <w:p w14:paraId="2ADFE12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这些现实表明,美国的种族主义绝非个别现象或历史</w:t>
      </w:r>
      <w:r>
        <w:rPr>
          <w:rFonts w:hint="default" w:ascii="Times New Roman" w:hAnsi="Times New Roman" w:eastAsia="宋体" w:cs="Times New Roman"/>
          <w:spacing w:val="9"/>
          <w:sz w:val="21"/>
          <w:szCs w:val="21"/>
        </w:rPr>
        <w:t>遗留问题,而是早已</w:t>
      </w:r>
      <w:r>
        <w:rPr>
          <w:rFonts w:hint="default" w:ascii="Times New Roman" w:hAnsi="Times New Roman" w:eastAsia="宋体" w:cs="Times New Roman"/>
          <w:spacing w:val="13"/>
          <w:sz w:val="21"/>
          <w:szCs w:val="21"/>
        </w:rPr>
        <w:t>深度嵌入其社会结构与制度设计之中。无论是文化种族主义的隐性排斥,还</w:t>
      </w:r>
      <w:r>
        <w:rPr>
          <w:rFonts w:hint="default" w:ascii="Times New Roman" w:hAnsi="Times New Roman" w:eastAsia="宋体" w:cs="Times New Roman"/>
          <w:spacing w:val="14"/>
          <w:sz w:val="21"/>
          <w:szCs w:val="21"/>
        </w:rPr>
        <w:t>是色盲种族主义对结构性不公的漠视,都在这些鲜</w:t>
      </w:r>
      <w:r>
        <w:rPr>
          <w:rFonts w:hint="default" w:ascii="Times New Roman" w:hAnsi="Times New Roman" w:eastAsia="宋体" w:cs="Times New Roman"/>
          <w:spacing w:val="13"/>
          <w:sz w:val="21"/>
          <w:szCs w:val="21"/>
        </w:rPr>
        <w:t>活的数据与案例中得到了</w:t>
      </w:r>
      <w:r>
        <w:rPr>
          <w:rFonts w:hint="default" w:ascii="Times New Roman" w:hAnsi="Times New Roman" w:eastAsia="宋体" w:cs="Times New Roman"/>
          <w:spacing w:val="4"/>
          <w:sz w:val="21"/>
          <w:szCs w:val="21"/>
        </w:rPr>
        <w:t>充分印证。</w:t>
      </w:r>
    </w:p>
    <w:p w14:paraId="09B3D66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default" w:ascii="Times New Roman" w:hAnsi="Times New Roman" w:eastAsia="宋体" w:cs="Times New Roman"/>
          <w:b/>
          <w:bCs/>
          <w:sz w:val="24"/>
          <w:szCs w:val="24"/>
        </w:rPr>
      </w:pPr>
      <w:r>
        <w:rPr>
          <w:rFonts w:hint="default" w:ascii="Times New Roman" w:hAnsi="Times New Roman" w:eastAsia="宋体" w:cs="Times New Roman"/>
          <w:b/>
          <w:bCs/>
          <w:spacing w:val="2"/>
          <w:sz w:val="24"/>
          <w:szCs w:val="24"/>
        </w:rPr>
        <w:t>四、以建设人类命运共同体应对当代种族主</w:t>
      </w:r>
      <w:r>
        <w:rPr>
          <w:rFonts w:hint="default" w:ascii="Times New Roman" w:hAnsi="Times New Roman" w:eastAsia="宋体" w:cs="Times New Roman"/>
          <w:b/>
          <w:bCs/>
          <w:spacing w:val="1"/>
          <w:sz w:val="24"/>
          <w:szCs w:val="24"/>
        </w:rPr>
        <w:t>义回潮</w:t>
      </w:r>
    </w:p>
    <w:p w14:paraId="2EA0AC9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2008年国际金融经济危机以来,在资本主义生产无限扩大与有支付能力</w:t>
      </w:r>
      <w:r>
        <w:rPr>
          <w:rFonts w:hint="default" w:ascii="Times New Roman" w:hAnsi="Times New Roman" w:eastAsia="宋体" w:cs="Times New Roman"/>
          <w:spacing w:val="14"/>
          <w:sz w:val="21"/>
          <w:szCs w:val="21"/>
        </w:rPr>
        <w:t>消费之间的矛盾无法解决的背景下,西方传统</w:t>
      </w:r>
      <w:r>
        <w:rPr>
          <w:rFonts w:hint="default" w:ascii="Times New Roman" w:hAnsi="Times New Roman" w:eastAsia="宋体" w:cs="Times New Roman"/>
          <w:spacing w:val="13"/>
          <w:sz w:val="21"/>
          <w:szCs w:val="21"/>
        </w:rPr>
        <w:t>左右翼资产阶级政党均束手无策,导致极右翼势力异军突起。它们以新的种族主义话语</w:t>
      </w:r>
      <w:r>
        <w:rPr>
          <w:rFonts w:hint="default" w:ascii="Times New Roman" w:hAnsi="Times New Roman" w:eastAsia="宋体" w:cs="Times New Roman"/>
          <w:spacing w:val="12"/>
          <w:sz w:val="21"/>
          <w:szCs w:val="21"/>
        </w:rPr>
        <w:t>吸引大部分朝不保</w:t>
      </w:r>
      <w:r>
        <w:rPr>
          <w:rFonts w:hint="default" w:ascii="Times New Roman" w:hAnsi="Times New Roman" w:eastAsia="宋体" w:cs="Times New Roman"/>
          <w:spacing w:val="7"/>
          <w:sz w:val="21"/>
          <w:szCs w:val="21"/>
        </w:rPr>
        <w:t>夕的中小资产阶级、流氓无产阶级乃至普通劳动者,掀起右翼民粹主义、保守</w:t>
      </w:r>
      <w:r>
        <w:rPr>
          <w:rFonts w:hint="default" w:ascii="Times New Roman" w:hAnsi="Times New Roman" w:eastAsia="宋体" w:cs="Times New Roman"/>
          <w:spacing w:val="10"/>
          <w:sz w:val="21"/>
          <w:szCs w:val="21"/>
        </w:rPr>
        <w:t>主义和种族主义的浊浪。极右翼的目标并非取</w:t>
      </w:r>
      <w:r>
        <w:rPr>
          <w:rFonts w:hint="default" w:ascii="Times New Roman" w:hAnsi="Times New Roman" w:eastAsia="宋体" w:cs="Times New Roman"/>
          <w:spacing w:val="9"/>
          <w:sz w:val="21"/>
          <w:szCs w:val="21"/>
        </w:rPr>
        <w:t>代新自由主义,而是在新自由</w:t>
      </w:r>
      <w:r>
        <w:rPr>
          <w:rFonts w:hint="default" w:ascii="Times New Roman" w:hAnsi="Times New Roman" w:eastAsia="宋体" w:cs="Times New Roman"/>
          <w:spacing w:val="7"/>
          <w:sz w:val="21"/>
          <w:szCs w:val="21"/>
        </w:rPr>
        <w:t>主义既已破产却仍不肯退出历史舞台的情况下,成为资产阶级“重新配置其霸</w:t>
      </w:r>
      <w:r>
        <w:rPr>
          <w:rFonts w:hint="default" w:ascii="Times New Roman" w:hAnsi="Times New Roman" w:eastAsia="宋体" w:cs="Times New Roman"/>
          <w:spacing w:val="13"/>
          <w:sz w:val="21"/>
          <w:szCs w:val="21"/>
        </w:rPr>
        <w:t>权的工具”</w:t>
      </w:r>
      <w:r>
        <w:rPr>
          <w:rStyle w:val="20"/>
          <w:rFonts w:hint="default" w:ascii="Times New Roman" w:hAnsi="Times New Roman" w:eastAsia="宋体" w:cs="Times New Roman"/>
          <w:spacing w:val="13"/>
          <w:sz w:val="21"/>
          <w:szCs w:val="21"/>
        </w:rPr>
        <w:footnoteReference w:id="1242"/>
      </w:r>
      <w:r>
        <w:rPr>
          <w:rFonts w:hint="default" w:ascii="Times New Roman" w:hAnsi="Times New Roman" w:eastAsia="宋体" w:cs="Times New Roman"/>
          <w:spacing w:val="13"/>
          <w:sz w:val="21"/>
          <w:szCs w:val="21"/>
        </w:rPr>
        <w:t>。也就是说,资产阶级国家这一虚假共同体面临失效,亟须以极</w:t>
      </w:r>
      <w:r>
        <w:rPr>
          <w:rFonts w:hint="default" w:ascii="Times New Roman" w:hAnsi="Times New Roman" w:eastAsia="宋体" w:cs="Times New Roman"/>
          <w:spacing w:val="12"/>
          <w:sz w:val="21"/>
          <w:szCs w:val="21"/>
        </w:rPr>
        <w:t>端政治口号重构想象的共同体,企图以此成为西方垄断资本主义延续的唯一</w:t>
      </w:r>
      <w:r>
        <w:rPr>
          <w:rFonts w:hint="default" w:ascii="Times New Roman" w:hAnsi="Times New Roman" w:eastAsia="宋体" w:cs="Times New Roman"/>
          <w:spacing w:val="1"/>
          <w:sz w:val="21"/>
          <w:szCs w:val="21"/>
        </w:rPr>
        <w:t>途径。</w:t>
      </w:r>
    </w:p>
    <w:p w14:paraId="4D6CCCD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资本主义国家实质上实行的是</w:t>
      </w:r>
      <w:r>
        <w:rPr>
          <w:rFonts w:hint="default" w:ascii="Times New Roman" w:hAnsi="Times New Roman" w:eastAsia="宋体" w:cs="Times New Roman"/>
          <w:position w:val="1"/>
          <w:sz w:val="21"/>
          <w:szCs w:val="21"/>
        </w:rPr>
        <w:t>“</w:t>
      </w:r>
      <w:r>
        <w:rPr>
          <w:rFonts w:hint="default" w:ascii="Times New Roman" w:hAnsi="Times New Roman" w:eastAsia="宋体" w:cs="Times New Roman"/>
          <w:sz w:val="21"/>
          <w:szCs w:val="21"/>
        </w:rPr>
        <w:t>统治民族民主</w:t>
      </w:r>
      <w:r>
        <w:rPr>
          <w:rFonts w:hint="default" w:ascii="Times New Roman" w:hAnsi="Times New Roman" w:eastAsia="宋体" w:cs="Times New Roman"/>
          <w:position w:val="1"/>
          <w:sz w:val="21"/>
          <w:szCs w:val="21"/>
        </w:rPr>
        <w:t>”</w:t>
      </w:r>
      <w:r>
        <w:rPr>
          <w:rFonts w:hint="default" w:ascii="Times New Roman" w:hAnsi="Times New Roman" w:eastAsia="宋体" w:cs="Times New Roman"/>
          <w:sz w:val="21"/>
          <w:szCs w:val="21"/>
        </w:rPr>
        <w:t>(h</w:t>
      </w:r>
      <w:r>
        <w:rPr>
          <w:rFonts w:hint="default" w:ascii="Times New Roman" w:hAnsi="Times New Roman" w:eastAsia="宋体" w:cs="Times New Roman"/>
          <w:position w:val="-2"/>
          <w:sz w:val="21"/>
          <w:szCs w:val="21"/>
        </w:rPr>
        <w:t>errenvolkd</w:t>
      </w:r>
      <w:r>
        <w:rPr>
          <w:rFonts w:hint="default" w:ascii="Times New Roman" w:hAnsi="Times New Roman" w:eastAsia="宋体" w:cs="Times New Roman"/>
          <w:position w:val="-1"/>
          <w:sz w:val="21"/>
          <w:szCs w:val="21"/>
        </w:rPr>
        <w:t>emocracy)</w:t>
      </w:r>
      <w:r>
        <w:rPr>
          <w:rFonts w:hint="default" w:ascii="Times New Roman" w:hAnsi="Times New Roman" w:eastAsia="宋体" w:cs="Times New Roman"/>
          <w:spacing w:val="3"/>
          <w:sz w:val="21"/>
          <w:szCs w:val="21"/>
        </w:rPr>
        <w:t>或“统治民族共和主义”</w:t>
      </w:r>
      <w:r>
        <w:rPr>
          <w:rStyle w:val="20"/>
          <w:rFonts w:hint="default" w:ascii="Times New Roman" w:hAnsi="Times New Roman" w:eastAsia="宋体" w:cs="Times New Roman"/>
          <w:spacing w:val="3"/>
          <w:sz w:val="21"/>
          <w:szCs w:val="21"/>
        </w:rPr>
        <w:footnoteReference w:id="1243"/>
      </w:r>
      <w:r>
        <w:rPr>
          <w:rFonts w:hint="default" w:ascii="Times New Roman" w:hAnsi="Times New Roman" w:eastAsia="宋体" w:cs="Times New Roman"/>
          <w:spacing w:val="3"/>
          <w:sz w:val="21"/>
          <w:szCs w:val="21"/>
        </w:rPr>
        <w:t>,对从属种族群体实施政</w:t>
      </w:r>
      <w:r>
        <w:rPr>
          <w:rFonts w:hint="default" w:ascii="Times New Roman" w:hAnsi="Times New Roman" w:eastAsia="宋体" w:cs="Times New Roman"/>
          <w:spacing w:val="2"/>
          <w:sz w:val="21"/>
          <w:szCs w:val="21"/>
        </w:rPr>
        <w:t>治压迫、经济剥削和文化压</w:t>
      </w:r>
      <w:r>
        <w:rPr>
          <w:rFonts w:hint="default" w:ascii="Times New Roman" w:hAnsi="Times New Roman" w:eastAsia="宋体" w:cs="Times New Roman"/>
          <w:spacing w:val="13"/>
          <w:sz w:val="21"/>
          <w:szCs w:val="21"/>
        </w:rPr>
        <w:t>制。面对日益激化的阶级与种族矛盾,这种共同体濒临崩溃。西方尤其是美</w:t>
      </w:r>
      <w:r>
        <w:rPr>
          <w:rFonts w:hint="default" w:ascii="Times New Roman" w:hAnsi="Times New Roman" w:eastAsia="宋体" w:cs="Times New Roman"/>
          <w:spacing w:val="14"/>
          <w:sz w:val="21"/>
          <w:szCs w:val="21"/>
        </w:rPr>
        <w:t>国试图在维系旧的国际政治经济秩序的前提下,构建一</w:t>
      </w:r>
      <w:r>
        <w:rPr>
          <w:rFonts w:hint="default" w:ascii="Times New Roman" w:hAnsi="Times New Roman" w:eastAsia="宋体" w:cs="Times New Roman"/>
          <w:spacing w:val="13"/>
          <w:sz w:val="21"/>
          <w:szCs w:val="21"/>
        </w:rPr>
        <w:t>种全球性的“种族隔</w:t>
      </w:r>
      <w:r>
        <w:rPr>
          <w:rFonts w:hint="default" w:ascii="Times New Roman" w:hAnsi="Times New Roman" w:eastAsia="宋体" w:cs="Times New Roman"/>
          <w:spacing w:val="6"/>
          <w:sz w:val="21"/>
          <w:szCs w:val="21"/>
        </w:rPr>
        <w:t>离”,维持对第三世界的政治、经济、军事和文化优势,并以超额利</w:t>
      </w:r>
      <w:r>
        <w:rPr>
          <w:rFonts w:hint="default" w:ascii="Times New Roman" w:hAnsi="Times New Roman" w:eastAsia="宋体" w:cs="Times New Roman"/>
          <w:spacing w:val="5"/>
          <w:sz w:val="21"/>
          <w:szCs w:val="21"/>
        </w:rPr>
        <w:t>润支撑国内</w:t>
      </w:r>
      <w:r>
        <w:rPr>
          <w:rFonts w:hint="default" w:ascii="Times New Roman" w:hAnsi="Times New Roman" w:eastAsia="宋体" w:cs="Times New Roman"/>
          <w:spacing w:val="12"/>
          <w:sz w:val="21"/>
          <w:szCs w:val="21"/>
        </w:rPr>
        <w:t>的高压暴力与福利体系,从而延续其资本主义的发展路径。这种全球性隔</w:t>
      </w:r>
      <w:r>
        <w:rPr>
          <w:rFonts w:hint="default" w:ascii="Times New Roman" w:hAnsi="Times New Roman" w:eastAsia="宋体" w:cs="Times New Roman"/>
          <w:spacing w:val="11"/>
          <w:sz w:val="21"/>
          <w:szCs w:val="21"/>
        </w:rPr>
        <w:t>离,</w:t>
      </w:r>
      <w:r>
        <w:rPr>
          <w:rFonts w:hint="default" w:ascii="Times New Roman" w:hAnsi="Times New Roman" w:eastAsia="宋体" w:cs="Times New Roman"/>
          <w:spacing w:val="12"/>
          <w:sz w:val="21"/>
          <w:szCs w:val="21"/>
        </w:rPr>
        <w:t>正是美西方无法容忍以中国为代表的第三世界国家崛起的根本原因:后者动</w:t>
      </w:r>
      <w:r>
        <w:rPr>
          <w:rFonts w:hint="default" w:ascii="Times New Roman" w:hAnsi="Times New Roman" w:eastAsia="宋体" w:cs="Times New Roman"/>
          <w:spacing w:val="3"/>
          <w:sz w:val="21"/>
          <w:szCs w:val="21"/>
        </w:rPr>
        <w:t>摇了其“统治阶级民族”的地位和世界垄断格局。北约东扩引发俄乌冲突、台</w:t>
      </w:r>
      <w:r>
        <w:rPr>
          <w:rFonts w:hint="default" w:ascii="Times New Roman" w:hAnsi="Times New Roman" w:eastAsia="宋体" w:cs="Times New Roman"/>
          <w:spacing w:val="18"/>
          <w:sz w:val="21"/>
          <w:szCs w:val="21"/>
        </w:rPr>
        <w:t>海危机的制造等,都是这一系统性打压的体现,将世界推向了大规模战争的</w:t>
      </w:r>
      <w:r>
        <w:rPr>
          <w:rFonts w:hint="default" w:ascii="Times New Roman" w:hAnsi="Times New Roman" w:eastAsia="宋体" w:cs="Times New Roman"/>
          <w:spacing w:val="1"/>
          <w:sz w:val="21"/>
          <w:szCs w:val="21"/>
        </w:rPr>
        <w:t>边缘。</w:t>
      </w:r>
    </w:p>
    <w:p w14:paraId="147CD77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default" w:ascii="Times New Roman" w:hAnsi="Times New Roman" w:eastAsia="宋体" w:cs="Times New Roman"/>
          <w:spacing w:val="0"/>
          <w:sz w:val="21"/>
          <w:szCs w:val="21"/>
        </w:rPr>
      </w:pPr>
      <w:r>
        <w:rPr>
          <w:rFonts w:hint="default" w:ascii="Times New Roman" w:hAnsi="Times New Roman" w:eastAsia="宋体" w:cs="Times New Roman"/>
          <w:spacing w:val="0"/>
          <w:sz w:val="21"/>
          <w:szCs w:val="21"/>
        </w:rPr>
        <w:t>此类行为的思想基础可归结为“文明冲突论”。西方长期存在一种种族中心论假设,即“只存在着一条文明之河,那就是我们自己的,所有其他的文明之河都或者从属于它,或者消失在荒漠之中”</w:t>
      </w:r>
      <w:r>
        <w:rPr>
          <w:rStyle w:val="20"/>
          <w:rFonts w:hint="default" w:ascii="Times New Roman" w:hAnsi="Times New Roman" w:eastAsia="宋体" w:cs="Times New Roman"/>
          <w:spacing w:val="0"/>
          <w:sz w:val="21"/>
          <w:szCs w:val="21"/>
        </w:rPr>
        <w:footnoteReference w:id="1244"/>
      </w:r>
      <w:r>
        <w:rPr>
          <w:rFonts w:hint="default" w:ascii="Times New Roman" w:hAnsi="Times New Roman" w:eastAsia="宋体" w:cs="Times New Roman"/>
          <w:spacing w:val="0"/>
          <w:sz w:val="21"/>
          <w:szCs w:val="21"/>
        </w:rPr>
        <w:t>。塔吉耶夫指出,这种将“我们”(文明人)与“他们”(野蛮人)对立的种族中心论的态度,本质是野蛮思想的遗产,导致对他人的非人化、野兽化甚至病理化,并为“清洗”或“消灭”提供理由。种族中心论有利于所属群体内部的“狭义的利他主义:同情的联系和团结的感情不走出群体的内部”,但这种群体的联系不过是血缘联系的延伸,“‘群体精神’不过是‘家庭精神’的延伸,或者说种族性只是亲缘关系的延伸”。</w:t>
      </w:r>
      <w:r>
        <w:rPr>
          <w:rStyle w:val="20"/>
          <w:rFonts w:hint="default" w:ascii="Times New Roman" w:hAnsi="Times New Roman" w:eastAsia="宋体" w:cs="Times New Roman"/>
          <w:spacing w:val="0"/>
          <w:sz w:val="21"/>
          <w:szCs w:val="21"/>
        </w:rPr>
        <w:footnoteReference w:id="1245"/>
      </w:r>
    </w:p>
    <w:p w14:paraId="7AE7CFB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亨廷顿所谓“冲突是差异的产物”</w:t>
      </w:r>
      <w:r>
        <w:rPr>
          <w:rStyle w:val="20"/>
          <w:rFonts w:hint="default" w:ascii="Times New Roman" w:hAnsi="Times New Roman" w:eastAsia="宋体" w:cs="Times New Roman"/>
          <w:spacing w:val="5"/>
          <w:sz w:val="21"/>
          <w:szCs w:val="21"/>
        </w:rPr>
        <w:footnoteReference w:id="1246"/>
      </w:r>
      <w:r>
        <w:rPr>
          <w:rFonts w:hint="default" w:ascii="Times New Roman" w:hAnsi="Times New Roman" w:eastAsia="宋体" w:cs="Times New Roman"/>
          <w:spacing w:val="5"/>
          <w:sz w:val="21"/>
          <w:szCs w:val="21"/>
        </w:rPr>
        <w:t>,正是将文明差异绝对化、敌对化,其</w:t>
      </w:r>
      <w:r>
        <w:rPr>
          <w:rFonts w:hint="default" w:ascii="Times New Roman" w:hAnsi="Times New Roman" w:eastAsia="宋体" w:cs="Times New Roman"/>
          <w:spacing w:val="20"/>
          <w:sz w:val="21"/>
          <w:szCs w:val="21"/>
        </w:rPr>
        <w:t>认识论基础来源于二元对立的私人占有关系,即“你有的就不能是我有的”</w:t>
      </w:r>
      <w:r>
        <w:rPr>
          <w:rFonts w:hint="default" w:ascii="Times New Roman" w:hAnsi="Times New Roman" w:eastAsia="宋体" w:cs="Times New Roman"/>
          <w:spacing w:val="4"/>
          <w:sz w:val="21"/>
          <w:szCs w:val="21"/>
        </w:rPr>
        <w:t>“你多我就少”“我高等你就低等”,奴隶主与奴隶、资本家与工人之间就体现</w:t>
      </w:r>
      <w:r>
        <w:rPr>
          <w:rFonts w:hint="default" w:ascii="Times New Roman" w:hAnsi="Times New Roman" w:eastAsia="宋体" w:cs="Times New Roman"/>
          <w:spacing w:val="21"/>
          <w:sz w:val="21"/>
          <w:szCs w:val="21"/>
        </w:rPr>
        <w:t>着这种二元对立关系,种族主义亦源于此。塔吉耶夫曾说,反种族主义斗争</w:t>
      </w:r>
      <w:r>
        <w:rPr>
          <w:rFonts w:hint="default" w:ascii="Times New Roman" w:hAnsi="Times New Roman" w:eastAsia="宋体" w:cs="Times New Roman"/>
          <w:spacing w:val="10"/>
          <w:sz w:val="21"/>
          <w:szCs w:val="21"/>
        </w:rPr>
        <w:t>的目标不仅仅是那种“以人类的种族分成高低为基础的理论”“并不是任何</w:t>
      </w:r>
      <w:r>
        <w:rPr>
          <w:rFonts w:hint="default" w:ascii="Times New Roman" w:hAnsi="Times New Roman" w:eastAsia="宋体" w:cs="Times New Roman"/>
          <w:spacing w:val="16"/>
          <w:sz w:val="21"/>
          <w:szCs w:val="21"/>
        </w:rPr>
        <w:t>种族主义的实践都预先假设存在被称为‘种族’</w:t>
      </w:r>
      <w:r>
        <w:rPr>
          <w:rFonts w:hint="default" w:ascii="Times New Roman" w:hAnsi="Times New Roman" w:eastAsia="宋体" w:cs="Times New Roman"/>
          <w:spacing w:val="15"/>
          <w:sz w:val="21"/>
          <w:szCs w:val="21"/>
        </w:rPr>
        <w:t>的人类群体的价值高低,这</w:t>
      </w:r>
      <w:r>
        <w:rPr>
          <w:rFonts w:hint="default" w:ascii="Times New Roman" w:hAnsi="Times New Roman" w:eastAsia="宋体" w:cs="Times New Roman"/>
          <w:spacing w:val="4"/>
          <w:sz w:val="21"/>
          <w:szCs w:val="21"/>
        </w:rPr>
        <w:t>些价值既有生物的,也有文化的”。</w:t>
      </w:r>
      <w:r>
        <w:rPr>
          <w:rStyle w:val="20"/>
          <w:rFonts w:hint="default" w:ascii="Times New Roman" w:hAnsi="Times New Roman" w:eastAsia="宋体" w:cs="Times New Roman"/>
          <w:spacing w:val="4"/>
          <w:sz w:val="21"/>
          <w:szCs w:val="21"/>
        </w:rPr>
        <w:footnoteReference w:id="1247"/>
      </w:r>
      <w:r>
        <w:rPr>
          <w:rFonts w:hint="default" w:ascii="Times New Roman" w:hAnsi="Times New Roman" w:eastAsia="宋体" w:cs="Times New Roman"/>
          <w:spacing w:val="4"/>
          <w:sz w:val="21"/>
          <w:szCs w:val="21"/>
        </w:rPr>
        <w:t>塔吉耶夫认为,当代种族主义者“一般强</w:t>
      </w:r>
      <w:r>
        <w:rPr>
          <w:rFonts w:hint="default" w:ascii="Times New Roman" w:hAnsi="Times New Roman" w:eastAsia="宋体" w:cs="Times New Roman"/>
          <w:spacing w:val="21"/>
          <w:sz w:val="21"/>
          <w:szCs w:val="21"/>
        </w:rPr>
        <w:t>调文化、思想或文明(如欧洲基督教文明和阿拉</w:t>
      </w:r>
      <w:r>
        <w:rPr>
          <w:rFonts w:hint="default" w:ascii="Times New Roman" w:hAnsi="Times New Roman" w:eastAsia="宋体" w:cs="Times New Roman"/>
          <w:spacing w:val="20"/>
          <w:sz w:val="21"/>
          <w:szCs w:val="21"/>
        </w:rPr>
        <w:t>伯-穆斯林文明)的不相容</w:t>
      </w:r>
      <w:r>
        <w:rPr>
          <w:rFonts w:hint="default" w:ascii="Times New Roman" w:hAnsi="Times New Roman" w:eastAsia="宋体" w:cs="Times New Roman"/>
          <w:spacing w:val="4"/>
          <w:sz w:val="21"/>
          <w:szCs w:val="21"/>
        </w:rPr>
        <w:t>性”,并以此提出“文明冲突难免”之说法。</w:t>
      </w:r>
      <w:r>
        <w:rPr>
          <w:rStyle w:val="20"/>
          <w:rFonts w:hint="default" w:ascii="Times New Roman" w:hAnsi="Times New Roman" w:eastAsia="宋体" w:cs="Times New Roman"/>
          <w:spacing w:val="4"/>
          <w:sz w:val="21"/>
          <w:szCs w:val="21"/>
        </w:rPr>
        <w:footnoteReference w:id="1248"/>
      </w:r>
      <w:r>
        <w:rPr>
          <w:rFonts w:hint="default" w:ascii="Times New Roman" w:hAnsi="Times New Roman" w:eastAsia="宋体" w:cs="Times New Roman"/>
          <w:spacing w:val="4"/>
          <w:sz w:val="21"/>
          <w:szCs w:val="21"/>
        </w:rPr>
        <w:t>依此标准,亨廷顿应归于当代种</w:t>
      </w:r>
      <w:r>
        <w:rPr>
          <w:rFonts w:hint="default" w:ascii="Times New Roman" w:hAnsi="Times New Roman" w:eastAsia="宋体" w:cs="Times New Roman"/>
          <w:spacing w:val="12"/>
          <w:sz w:val="21"/>
          <w:szCs w:val="21"/>
        </w:rPr>
        <w:t>族主义者之列,其文化冲突的不可调和性理论,客观上为种族主义话</w:t>
      </w:r>
      <w:r>
        <w:rPr>
          <w:rFonts w:hint="default" w:ascii="Times New Roman" w:hAnsi="Times New Roman" w:eastAsia="宋体" w:cs="Times New Roman"/>
          <w:spacing w:val="11"/>
          <w:sz w:val="21"/>
          <w:szCs w:val="21"/>
        </w:rPr>
        <w:t>语提供了</w:t>
      </w:r>
      <w:r>
        <w:rPr>
          <w:rFonts w:hint="default" w:ascii="Times New Roman" w:hAnsi="Times New Roman" w:eastAsia="宋体" w:cs="Times New Roman"/>
          <w:spacing w:val="4"/>
          <w:sz w:val="21"/>
          <w:szCs w:val="21"/>
        </w:rPr>
        <w:t>学术背书。</w:t>
      </w:r>
    </w:p>
    <w:p w14:paraId="42DF6BE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马克思主义则以阶级分析法看待国际冲突与种族矛盾,认为</w:t>
      </w:r>
      <w:r>
        <w:rPr>
          <w:rFonts w:hint="default" w:ascii="Times New Roman" w:hAnsi="Times New Roman" w:eastAsia="宋体" w:cs="Times New Roman"/>
          <w:spacing w:val="13"/>
          <w:sz w:val="21"/>
          <w:szCs w:val="21"/>
        </w:rPr>
        <w:t>它们本质是</w:t>
      </w:r>
      <w:r>
        <w:rPr>
          <w:rFonts w:hint="default" w:ascii="Times New Roman" w:hAnsi="Times New Roman" w:eastAsia="宋体" w:cs="Times New Roman"/>
          <w:spacing w:val="7"/>
          <w:sz w:val="21"/>
          <w:szCs w:val="21"/>
        </w:rPr>
        <w:t>“阶级斗争和民族斗争日益尖锐化的表现”</w:t>
      </w:r>
      <w:r>
        <w:rPr>
          <w:rStyle w:val="20"/>
          <w:rFonts w:hint="default" w:ascii="Times New Roman" w:hAnsi="Times New Roman" w:eastAsia="宋体" w:cs="Times New Roman"/>
          <w:spacing w:val="7"/>
          <w:sz w:val="21"/>
          <w:szCs w:val="21"/>
        </w:rPr>
        <w:footnoteReference w:id="1249"/>
      </w:r>
      <w:r>
        <w:rPr>
          <w:rFonts w:hint="default" w:ascii="Times New Roman" w:hAnsi="Times New Roman" w:eastAsia="宋体" w:cs="Times New Roman"/>
          <w:spacing w:val="7"/>
          <w:sz w:val="21"/>
          <w:szCs w:val="21"/>
        </w:rPr>
        <w:t>。我们应区分出一小撮反动统治</w:t>
      </w:r>
      <w:r>
        <w:rPr>
          <w:rFonts w:hint="default" w:ascii="Times New Roman" w:hAnsi="Times New Roman" w:eastAsia="宋体" w:cs="Times New Roman"/>
          <w:spacing w:val="14"/>
          <w:sz w:val="21"/>
          <w:szCs w:val="21"/>
        </w:rPr>
        <w:t>集团分子,团结各民族工人、农民及其他可以团结的力量,共同斗争。文明并</w:t>
      </w:r>
      <w:r>
        <w:rPr>
          <w:rFonts w:hint="default" w:ascii="Times New Roman" w:hAnsi="Times New Roman" w:eastAsia="宋体" w:cs="Times New Roman"/>
          <w:spacing w:val="16"/>
          <w:sz w:val="21"/>
          <w:szCs w:val="21"/>
        </w:rPr>
        <w:t>非对立之物,而是人类改造自然与社会进程中产生的多样化财富。不同文明</w:t>
      </w:r>
      <w:r>
        <w:rPr>
          <w:rFonts w:hint="default" w:ascii="Times New Roman" w:hAnsi="Times New Roman" w:eastAsia="宋体" w:cs="Times New Roman"/>
          <w:spacing w:val="13"/>
          <w:sz w:val="21"/>
          <w:szCs w:val="21"/>
        </w:rPr>
        <w:t>交流互鉴</w:t>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13"/>
          <w:sz w:val="21"/>
          <w:szCs w:val="21"/>
        </w:rPr>
        <w:t>取长补短</w:t>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13"/>
          <w:sz w:val="21"/>
          <w:szCs w:val="21"/>
        </w:rPr>
        <w:t>而非你死我活</w:t>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13"/>
          <w:sz w:val="21"/>
          <w:szCs w:val="21"/>
        </w:rPr>
        <w:t>正如拉斐尔</w:t>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13"/>
          <w:sz w:val="21"/>
          <w:szCs w:val="21"/>
        </w:rPr>
        <w:t>莱姆金(</w:t>
      </w:r>
      <w:r>
        <w:rPr>
          <w:rFonts w:hint="default" w:ascii="Times New Roman" w:hAnsi="Times New Roman" w:eastAsia="宋体" w:cs="Times New Roman"/>
          <w:sz w:val="21"/>
          <w:szCs w:val="21"/>
        </w:rPr>
        <w:t>R</w:t>
      </w:r>
      <w:r>
        <w:rPr>
          <w:rFonts w:hint="default" w:ascii="Times New Roman" w:hAnsi="Times New Roman" w:eastAsia="宋体" w:cs="Times New Roman"/>
          <w:position w:val="-2"/>
          <w:sz w:val="21"/>
          <w:szCs w:val="21"/>
        </w:rPr>
        <w:t>aphael</w:t>
      </w:r>
      <w:r>
        <w:rPr>
          <w:rFonts w:hint="eastAsia" w:ascii="Times New Roman" w:hAnsi="Times New Roman" w:eastAsia="宋体" w:cs="Times New Roman"/>
          <w:position w:val="-2"/>
          <w:sz w:val="21"/>
          <w:szCs w:val="21"/>
          <w:lang w:val="en-US" w:eastAsia="zh-CN"/>
        </w:rPr>
        <w:t xml:space="preserve"> </w:t>
      </w:r>
      <w:r>
        <w:rPr>
          <w:rFonts w:hint="default" w:ascii="Times New Roman" w:hAnsi="Times New Roman" w:eastAsia="宋体" w:cs="Times New Roman"/>
          <w:position w:val="-2"/>
          <w:sz w:val="21"/>
          <w:szCs w:val="21"/>
        </w:rPr>
        <w:t>Lemkin</w:t>
      </w:r>
      <w:r>
        <w:rPr>
          <w:rFonts w:hint="default" w:ascii="Times New Roman" w:hAnsi="Times New Roman" w:eastAsia="宋体" w:cs="Times New Roman"/>
          <w:spacing w:val="13"/>
          <w:position w:val="1"/>
          <w:sz w:val="21"/>
          <w:szCs w:val="21"/>
        </w:rPr>
        <w:t>)</w:t>
      </w:r>
      <w:r>
        <w:rPr>
          <w:rFonts w:hint="default" w:ascii="Times New Roman" w:hAnsi="Times New Roman" w:eastAsia="宋体" w:cs="Times New Roman"/>
          <w:spacing w:val="10"/>
          <w:sz w:val="21"/>
          <w:szCs w:val="21"/>
        </w:rPr>
        <w:t>所言:“尊重和欣赏不同民族对世界文化的贡献,</w:t>
      </w:r>
      <w:r>
        <w:rPr>
          <w:rFonts w:hint="default" w:ascii="Times New Roman" w:hAnsi="Times New Roman" w:eastAsia="宋体" w:cs="Times New Roman"/>
          <w:spacing w:val="9"/>
          <w:sz w:val="21"/>
          <w:szCs w:val="21"/>
        </w:rPr>
        <w:t>是文明进步的基本特征。”</w:t>
      </w:r>
      <w:r>
        <w:rPr>
          <w:rStyle w:val="20"/>
          <w:rFonts w:hint="default" w:ascii="Times New Roman" w:hAnsi="Times New Roman" w:eastAsia="宋体" w:cs="Times New Roman"/>
          <w:spacing w:val="9"/>
          <w:sz w:val="21"/>
          <w:szCs w:val="21"/>
        </w:rPr>
        <w:footnoteReference w:id="1250"/>
      </w:r>
      <w:r>
        <w:rPr>
          <w:rFonts w:hint="default" w:ascii="Times New Roman" w:hAnsi="Times New Roman" w:eastAsia="宋体" w:cs="Times New Roman"/>
          <w:spacing w:val="9"/>
          <w:sz w:val="21"/>
          <w:szCs w:val="21"/>
        </w:rPr>
        <w:t>中国一贯主张“尊重世界文明多样性,以文明交流超越文明隔阂、文明互鉴超</w:t>
      </w:r>
      <w:r>
        <w:rPr>
          <w:rFonts w:hint="default" w:ascii="Times New Roman" w:hAnsi="Times New Roman" w:eastAsia="宋体" w:cs="Times New Roman"/>
          <w:spacing w:val="4"/>
          <w:sz w:val="21"/>
          <w:szCs w:val="21"/>
        </w:rPr>
        <w:t>越文明冲突、文明共存超越文明优越”</w:t>
      </w:r>
      <w:r>
        <w:rPr>
          <w:rStyle w:val="20"/>
          <w:rFonts w:hint="default" w:ascii="Times New Roman" w:hAnsi="Times New Roman" w:eastAsia="宋体" w:cs="Times New Roman"/>
          <w:spacing w:val="4"/>
          <w:sz w:val="21"/>
          <w:szCs w:val="21"/>
        </w:rPr>
        <w:footnoteReference w:id="1251"/>
      </w:r>
      <w:r>
        <w:rPr>
          <w:rFonts w:hint="default" w:ascii="Times New Roman" w:hAnsi="Times New Roman" w:eastAsia="宋体" w:cs="Times New Roman"/>
          <w:spacing w:val="4"/>
          <w:sz w:val="21"/>
          <w:szCs w:val="21"/>
        </w:rPr>
        <w:t>,团结全球南方共同构建“人类命运共</w:t>
      </w:r>
      <w:r>
        <w:rPr>
          <w:rFonts w:hint="default" w:ascii="Times New Roman" w:hAnsi="Times New Roman" w:eastAsia="宋体" w:cs="Times New Roman"/>
          <w:spacing w:val="-8"/>
          <w:sz w:val="21"/>
          <w:szCs w:val="21"/>
        </w:rPr>
        <w:t>同体”,以“命运与共”式合作取代“文明冲突”式霸权。</w:t>
      </w:r>
    </w:p>
    <w:p w14:paraId="42C9293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4"/>
          <w:sz w:val="21"/>
          <w:szCs w:val="21"/>
        </w:rPr>
        <w:t>尽管国际垄断资本私有制为平等交流设障,但在和平共处五项原则</w:t>
      </w:r>
      <w:r>
        <w:rPr>
          <w:rFonts w:hint="default" w:ascii="Times New Roman" w:hAnsi="Times New Roman" w:eastAsia="宋体" w:cs="Times New Roman"/>
          <w:spacing w:val="13"/>
          <w:sz w:val="21"/>
          <w:szCs w:val="21"/>
        </w:rPr>
        <w:t>基础</w:t>
      </w:r>
      <w:r>
        <w:rPr>
          <w:rFonts w:hint="default" w:ascii="Times New Roman" w:hAnsi="Times New Roman" w:eastAsia="宋体" w:cs="Times New Roman"/>
          <w:spacing w:val="6"/>
          <w:sz w:val="21"/>
          <w:szCs w:val="21"/>
        </w:rPr>
        <w:t>上打破国际政治经济旧秩序,构建“人类命运共同体”,有望突破</w:t>
      </w:r>
      <w:r>
        <w:rPr>
          <w:rFonts w:hint="default" w:ascii="Times New Roman" w:hAnsi="Times New Roman" w:eastAsia="宋体" w:cs="Times New Roman"/>
          <w:spacing w:val="5"/>
          <w:sz w:val="21"/>
          <w:szCs w:val="21"/>
        </w:rPr>
        <w:t>资本“运用有</w:t>
      </w:r>
      <w:r>
        <w:rPr>
          <w:rFonts w:hint="default" w:ascii="Times New Roman" w:hAnsi="Times New Roman" w:eastAsia="宋体" w:cs="Times New Roman"/>
          <w:spacing w:val="4"/>
          <w:sz w:val="21"/>
          <w:szCs w:val="21"/>
        </w:rPr>
        <w:t>组织的暴力优势”</w:t>
      </w:r>
      <w:r>
        <w:rPr>
          <w:rStyle w:val="20"/>
          <w:rFonts w:hint="default" w:ascii="Times New Roman" w:hAnsi="Times New Roman" w:eastAsia="宋体" w:cs="Times New Roman"/>
          <w:spacing w:val="4"/>
          <w:sz w:val="21"/>
          <w:szCs w:val="21"/>
        </w:rPr>
        <w:footnoteReference w:id="1252"/>
      </w:r>
      <w:r>
        <w:rPr>
          <w:rFonts w:hint="default" w:ascii="Times New Roman" w:hAnsi="Times New Roman" w:eastAsia="宋体" w:cs="Times New Roman"/>
          <w:spacing w:val="4"/>
          <w:sz w:val="21"/>
          <w:szCs w:val="21"/>
        </w:rPr>
        <w:t>和“热战冷战”循环。正如社会民主主义曾是冷战时期资</w:t>
      </w:r>
      <w:r>
        <w:rPr>
          <w:rFonts w:hint="default" w:ascii="Times New Roman" w:hAnsi="Times New Roman" w:eastAsia="宋体" w:cs="Times New Roman"/>
          <w:spacing w:val="12"/>
          <w:sz w:val="21"/>
          <w:szCs w:val="21"/>
        </w:rPr>
        <w:t>本主义人性化的工具,如今新自由主义危机下,“西方世界需要社会</w:t>
      </w:r>
      <w:r>
        <w:rPr>
          <w:rFonts w:hint="default" w:ascii="Times New Roman" w:hAnsi="Times New Roman" w:eastAsia="宋体" w:cs="Times New Roman"/>
          <w:spacing w:val="11"/>
          <w:sz w:val="21"/>
          <w:szCs w:val="21"/>
        </w:rPr>
        <w:t>主义的重</w:t>
      </w:r>
      <w:r>
        <w:rPr>
          <w:rFonts w:hint="default" w:ascii="Times New Roman" w:hAnsi="Times New Roman" w:eastAsia="宋体" w:cs="Times New Roman"/>
          <w:spacing w:val="7"/>
          <w:sz w:val="21"/>
          <w:szCs w:val="21"/>
        </w:rPr>
        <w:t>新出现”</w:t>
      </w:r>
      <w:r>
        <w:rPr>
          <w:rStyle w:val="20"/>
          <w:rFonts w:hint="default" w:ascii="Times New Roman" w:hAnsi="Times New Roman" w:eastAsia="宋体" w:cs="Times New Roman"/>
          <w:spacing w:val="7"/>
          <w:sz w:val="21"/>
          <w:szCs w:val="21"/>
        </w:rPr>
        <w:footnoteReference w:id="1253"/>
      </w:r>
      <w:r>
        <w:rPr>
          <w:rFonts w:hint="default" w:ascii="Times New Roman" w:hAnsi="Times New Roman" w:eastAsia="宋体" w:cs="Times New Roman"/>
          <w:spacing w:val="7"/>
          <w:sz w:val="21"/>
          <w:szCs w:val="21"/>
        </w:rPr>
        <w:t>。人类命运共同体为西方民众提供社会主义选项,因为资本主义的政治解放并非人类解放,只是“统治权力所依据的旧社会的解体”</w:t>
      </w:r>
      <w:r>
        <w:rPr>
          <w:rStyle w:val="20"/>
          <w:rFonts w:hint="default" w:ascii="Times New Roman" w:hAnsi="Times New Roman" w:eastAsia="宋体" w:cs="Times New Roman"/>
          <w:spacing w:val="7"/>
          <w:sz w:val="21"/>
          <w:szCs w:val="21"/>
        </w:rPr>
        <w:footnoteReference w:id="1254"/>
      </w:r>
      <w:r>
        <w:rPr>
          <w:rFonts w:hint="default" w:ascii="Times New Roman" w:hAnsi="Times New Roman" w:eastAsia="宋体" w:cs="Times New Roman"/>
          <w:spacing w:val="7"/>
          <w:sz w:val="21"/>
          <w:szCs w:val="21"/>
        </w:rPr>
        <w:t>,唯有</w:t>
      </w:r>
      <w:r>
        <w:rPr>
          <w:rFonts w:hint="default" w:ascii="Times New Roman" w:hAnsi="Times New Roman" w:eastAsia="宋体" w:cs="Times New Roman"/>
          <w:spacing w:val="6"/>
          <w:sz w:val="21"/>
          <w:szCs w:val="21"/>
        </w:rPr>
        <w:t>社会</w:t>
      </w:r>
      <w:r>
        <w:rPr>
          <w:rFonts w:hint="default" w:ascii="Times New Roman" w:hAnsi="Times New Roman" w:eastAsia="宋体" w:cs="Times New Roman"/>
          <w:spacing w:val="7"/>
          <w:sz w:val="21"/>
          <w:szCs w:val="21"/>
        </w:rPr>
        <w:t>主义才能真正实现人类解放。</w:t>
      </w:r>
    </w:p>
    <w:p w14:paraId="6E4D432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3"/>
          <w:sz w:val="21"/>
          <w:szCs w:val="21"/>
        </w:rPr>
        <w:t>中国共产党始终坚持马克思主义阶级立场,认为种族斗争是阶级斗争的</w:t>
      </w:r>
      <w:r>
        <w:rPr>
          <w:rFonts w:hint="default" w:ascii="Times New Roman" w:hAnsi="Times New Roman" w:eastAsia="宋体" w:cs="Times New Roman"/>
          <w:spacing w:val="12"/>
          <w:sz w:val="21"/>
          <w:szCs w:val="21"/>
        </w:rPr>
        <w:t>表现形式。只有消灭资本主义私有制,才能彻底铲除种族主义土壤。唯有将</w:t>
      </w:r>
      <w:r>
        <w:rPr>
          <w:rFonts w:hint="default" w:ascii="Times New Roman" w:hAnsi="Times New Roman" w:eastAsia="宋体" w:cs="Times New Roman"/>
          <w:spacing w:val="14"/>
          <w:sz w:val="21"/>
          <w:szCs w:val="21"/>
        </w:rPr>
        <w:t>种族解放纳入无产阶级革命总体进程,通过国际主义联</w:t>
      </w:r>
      <w:r>
        <w:rPr>
          <w:rFonts w:hint="default" w:ascii="Times New Roman" w:hAnsi="Times New Roman" w:eastAsia="宋体" w:cs="Times New Roman"/>
          <w:spacing w:val="13"/>
          <w:sz w:val="21"/>
          <w:szCs w:val="21"/>
        </w:rPr>
        <w:t>合打破阶级与种族的</w:t>
      </w:r>
      <w:r>
        <w:rPr>
          <w:rFonts w:hint="default" w:ascii="Times New Roman" w:hAnsi="Times New Roman" w:eastAsia="宋体" w:cs="Times New Roman"/>
          <w:spacing w:val="12"/>
          <w:sz w:val="21"/>
          <w:szCs w:val="21"/>
        </w:rPr>
        <w:t>双重枷锁,方能实现人类社会的彻底解放。在这一过程中,必须以高于</w:t>
      </w:r>
      <w:r>
        <w:rPr>
          <w:rFonts w:hint="default" w:ascii="Times New Roman" w:hAnsi="Times New Roman" w:eastAsia="宋体" w:cs="Times New Roman"/>
          <w:spacing w:val="11"/>
          <w:sz w:val="21"/>
          <w:szCs w:val="21"/>
        </w:rPr>
        <w:t>资产阶</w:t>
      </w:r>
      <w:r>
        <w:rPr>
          <w:rFonts w:hint="default" w:ascii="Times New Roman" w:hAnsi="Times New Roman" w:eastAsia="宋体" w:cs="Times New Roman"/>
          <w:spacing w:val="3"/>
          <w:sz w:val="21"/>
          <w:szCs w:val="21"/>
        </w:rPr>
        <w:t>级“普世价值”的全人类共同价值引领人类走向解放。人类命运共同体理念通</w:t>
      </w:r>
      <w:r>
        <w:rPr>
          <w:rFonts w:hint="default" w:ascii="Times New Roman" w:hAnsi="Times New Roman" w:eastAsia="宋体" w:cs="Times New Roman"/>
          <w:spacing w:val="7"/>
          <w:sz w:val="21"/>
          <w:szCs w:val="21"/>
        </w:rPr>
        <w:t>过多维机制推动第三世界整体发展,包括在原则层面携手合作、整合资源、完</w:t>
      </w:r>
      <w:r>
        <w:rPr>
          <w:rFonts w:hint="default" w:ascii="Times New Roman" w:hAnsi="Times New Roman" w:eastAsia="宋体" w:cs="Times New Roman"/>
          <w:spacing w:val="6"/>
          <w:sz w:val="21"/>
          <w:szCs w:val="21"/>
        </w:rPr>
        <w:t>善标准;在物质层面通过“一带一路”等南南合作平台重构全球价值链</w:t>
      </w:r>
      <w:r>
        <w:rPr>
          <w:rFonts w:hint="default" w:ascii="Times New Roman" w:hAnsi="Times New Roman" w:eastAsia="宋体" w:cs="Times New Roman"/>
          <w:spacing w:val="5"/>
          <w:sz w:val="21"/>
          <w:szCs w:val="21"/>
        </w:rPr>
        <w:t>,改善发</w:t>
      </w:r>
      <w:r>
        <w:rPr>
          <w:rFonts w:hint="default" w:ascii="Times New Roman" w:hAnsi="Times New Roman" w:eastAsia="宋体" w:cs="Times New Roman"/>
          <w:spacing w:val="14"/>
          <w:sz w:val="21"/>
          <w:szCs w:val="21"/>
        </w:rPr>
        <w:t>展中国家资本积累困境;在制度层面借助新型贸易规则与</w:t>
      </w:r>
      <w:r>
        <w:rPr>
          <w:rFonts w:hint="default" w:ascii="Times New Roman" w:hAnsi="Times New Roman" w:eastAsia="宋体" w:cs="Times New Roman"/>
          <w:spacing w:val="13"/>
          <w:sz w:val="21"/>
          <w:szCs w:val="21"/>
        </w:rPr>
        <w:t>多边机制推进知识</w:t>
      </w:r>
      <w:r>
        <w:rPr>
          <w:rFonts w:hint="default" w:ascii="Times New Roman" w:hAnsi="Times New Roman" w:eastAsia="宋体" w:cs="Times New Roman"/>
          <w:spacing w:val="12"/>
          <w:sz w:val="21"/>
          <w:szCs w:val="21"/>
        </w:rPr>
        <w:t>共享与能力建设;在可持续发展层面以清洁能源和公共卫生合作为载体,</w:t>
      </w:r>
      <w:r>
        <w:rPr>
          <w:rFonts w:hint="default" w:ascii="Times New Roman" w:hAnsi="Times New Roman" w:eastAsia="宋体" w:cs="Times New Roman"/>
          <w:spacing w:val="11"/>
          <w:sz w:val="21"/>
          <w:szCs w:val="21"/>
        </w:rPr>
        <w:t>增强</w:t>
      </w:r>
      <w:r>
        <w:rPr>
          <w:rFonts w:hint="default" w:ascii="Times New Roman" w:hAnsi="Times New Roman" w:eastAsia="宋体" w:cs="Times New Roman"/>
          <w:spacing w:val="6"/>
          <w:sz w:val="21"/>
          <w:szCs w:val="21"/>
        </w:rPr>
        <w:t>应对风险的能力、实现发展权平等。中国将与全球南方一道,“始终站在历史</w:t>
      </w:r>
      <w:r>
        <w:rPr>
          <w:rFonts w:hint="default" w:ascii="Times New Roman" w:hAnsi="Times New Roman" w:eastAsia="宋体" w:cs="Times New Roman"/>
          <w:spacing w:val="3"/>
          <w:sz w:val="21"/>
          <w:szCs w:val="21"/>
        </w:rPr>
        <w:t>正确的一边,站在人类文明进步的一边”</w:t>
      </w:r>
      <w:r>
        <w:rPr>
          <w:rStyle w:val="20"/>
          <w:rFonts w:hint="default" w:ascii="Times New Roman" w:hAnsi="Times New Roman" w:eastAsia="宋体" w:cs="Times New Roman"/>
          <w:spacing w:val="3"/>
          <w:sz w:val="21"/>
          <w:szCs w:val="21"/>
        </w:rPr>
        <w:footnoteReference w:id="1255"/>
      </w:r>
      <w:r>
        <w:rPr>
          <w:rFonts w:hint="default" w:ascii="Times New Roman" w:hAnsi="Times New Roman" w:eastAsia="宋体" w:cs="Times New Roman"/>
          <w:spacing w:val="3"/>
          <w:sz w:val="21"/>
          <w:szCs w:val="21"/>
        </w:rPr>
        <w:t>。“人类命运共同体”的</w:t>
      </w:r>
      <w:r>
        <w:rPr>
          <w:rFonts w:hint="default" w:ascii="Times New Roman" w:hAnsi="Times New Roman" w:eastAsia="宋体" w:cs="Times New Roman"/>
          <w:spacing w:val="2"/>
          <w:sz w:val="21"/>
          <w:szCs w:val="21"/>
        </w:rPr>
        <w:t>构建必然促</w:t>
      </w:r>
      <w:r>
        <w:rPr>
          <w:rFonts w:hint="default" w:ascii="Times New Roman" w:hAnsi="Times New Roman" w:eastAsia="宋体" w:cs="Times New Roman"/>
          <w:spacing w:val="11"/>
          <w:sz w:val="21"/>
          <w:szCs w:val="21"/>
        </w:rPr>
        <w:t>进第三世界的整体发展,促进世界进步力量、和平力量的不断壮大。如此,可</w:t>
      </w:r>
      <w:r>
        <w:rPr>
          <w:rFonts w:hint="default" w:ascii="Times New Roman" w:hAnsi="Times New Roman" w:eastAsia="宋体" w:cs="Times New Roman"/>
          <w:spacing w:val="7"/>
          <w:sz w:val="21"/>
          <w:szCs w:val="21"/>
        </w:rPr>
        <w:t>望像第二次世界大战之后那样,给西方压迫和剥削各种族、各民族的反动势力</w:t>
      </w:r>
      <w:r>
        <w:rPr>
          <w:rFonts w:hint="default" w:ascii="Times New Roman" w:hAnsi="Times New Roman" w:eastAsia="宋体" w:cs="Times New Roman"/>
          <w:spacing w:val="12"/>
          <w:sz w:val="21"/>
          <w:szCs w:val="21"/>
        </w:rPr>
        <w:t>施加极大的外部压力,促进有色人种及广大群众更高层次的解放,为实现</w:t>
      </w:r>
      <w:r>
        <w:rPr>
          <w:rFonts w:hint="default" w:ascii="Times New Roman" w:hAnsi="Times New Roman" w:eastAsia="宋体" w:cs="Times New Roman"/>
          <w:spacing w:val="11"/>
          <w:sz w:val="21"/>
          <w:szCs w:val="21"/>
        </w:rPr>
        <w:t>人类</w:t>
      </w:r>
      <w:r>
        <w:rPr>
          <w:rFonts w:hint="default" w:ascii="Times New Roman" w:hAnsi="Times New Roman" w:eastAsia="宋体" w:cs="Times New Roman"/>
          <w:spacing w:val="8"/>
          <w:sz w:val="21"/>
          <w:szCs w:val="21"/>
        </w:rPr>
        <w:t>向更文明社会的过渡创造更好的条件。</w:t>
      </w:r>
    </w:p>
    <w:p w14:paraId="3F800A2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参考文献</w:t>
      </w:r>
    </w:p>
    <w:p w14:paraId="23F657F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[1]习近平:《论坚持推动构建人类命运共同体》,北京:中央文献出版社</w:t>
      </w:r>
      <w:r>
        <w:rPr>
          <w:rFonts w:hint="default" w:ascii="Times New Roman" w:hAnsi="Times New Roman" w:eastAsia="宋体" w:cs="Times New Roman"/>
          <w:spacing w:val="5"/>
          <w:sz w:val="21"/>
          <w:szCs w:val="21"/>
        </w:rPr>
        <w:t>,</w:t>
      </w:r>
      <w:r>
        <w:rPr>
          <w:rFonts w:hint="default" w:ascii="Times New Roman" w:hAnsi="Times New Roman" w:eastAsia="宋体" w:cs="Times New Roman"/>
          <w:spacing w:val="5"/>
          <w:position w:val="-1"/>
          <w:sz w:val="21"/>
          <w:szCs w:val="21"/>
        </w:rPr>
        <w:t>2018年</w:t>
      </w:r>
      <w:r>
        <w:rPr>
          <w:rFonts w:hint="default" w:ascii="Times New Roman" w:hAnsi="Times New Roman" w:eastAsia="宋体" w:cs="Times New Roman"/>
          <w:spacing w:val="5"/>
          <w:sz w:val="21"/>
          <w:szCs w:val="21"/>
        </w:rPr>
        <w:t>。</w:t>
      </w:r>
    </w:p>
    <w:p w14:paraId="3DEBD17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[2]程恩富、戴圣鹏:《马克思主义视域下文明的进步与先进性探讨》,《文化软实力》</w:t>
      </w:r>
      <w:r>
        <w:rPr>
          <w:rFonts w:hint="default" w:ascii="Times New Roman" w:hAnsi="Times New Roman" w:eastAsia="宋体" w:cs="Times New Roman"/>
          <w:spacing w:val="5"/>
          <w:position w:val="-1"/>
          <w:sz w:val="21"/>
          <w:szCs w:val="21"/>
        </w:rPr>
        <w:t>2022</w:t>
      </w:r>
      <w:r>
        <w:rPr>
          <w:rFonts w:hint="default" w:ascii="Times New Roman" w:hAnsi="Times New Roman" w:eastAsia="宋体" w:cs="Times New Roman"/>
          <w:spacing w:val="5"/>
          <w:sz w:val="21"/>
          <w:szCs w:val="21"/>
        </w:rPr>
        <w:t>年第</w:t>
      </w:r>
      <w:r>
        <w:rPr>
          <w:rFonts w:hint="default" w:ascii="Times New Roman" w:hAnsi="Times New Roman" w:eastAsia="宋体" w:cs="Times New Roman"/>
          <w:spacing w:val="5"/>
          <w:position w:val="-1"/>
          <w:sz w:val="21"/>
          <w:szCs w:val="21"/>
        </w:rPr>
        <w:t>4</w:t>
      </w:r>
      <w:r>
        <w:rPr>
          <w:rFonts w:hint="default" w:ascii="Times New Roman" w:hAnsi="Times New Roman" w:eastAsia="宋体" w:cs="Times New Roman"/>
          <w:spacing w:val="5"/>
          <w:sz w:val="21"/>
          <w:szCs w:val="21"/>
        </w:rPr>
        <w:t>期</w:t>
      </w:r>
      <w:r>
        <w:rPr>
          <w:rFonts w:hint="default" w:ascii="Times New Roman" w:hAnsi="Times New Roman" w:eastAsia="宋体" w:cs="Times New Roman"/>
          <w:spacing w:val="5"/>
          <w:position w:val="1"/>
          <w:sz w:val="21"/>
          <w:szCs w:val="21"/>
        </w:rPr>
        <w:t>。</w:t>
      </w:r>
    </w:p>
    <w:p w14:paraId="488540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[3]刘妍:《美国数据殖民主义的崭新特征》,《政治经济学研究》2</w:t>
      </w:r>
      <w:r>
        <w:rPr>
          <w:rFonts w:hint="default" w:ascii="Times New Roman" w:hAnsi="Times New Roman" w:eastAsia="宋体" w:cs="Times New Roman"/>
          <w:spacing w:val="1"/>
          <w:sz w:val="21"/>
          <w:szCs w:val="21"/>
        </w:rPr>
        <w:t>025年第</w:t>
      </w:r>
      <w:r>
        <w:rPr>
          <w:rFonts w:hint="default" w:ascii="Times New Roman" w:hAnsi="Times New Roman" w:eastAsia="宋体" w:cs="Times New Roman"/>
          <w:spacing w:val="1"/>
          <w:position w:val="-2"/>
          <w:sz w:val="21"/>
          <w:szCs w:val="21"/>
        </w:rPr>
        <w:t>2</w:t>
      </w:r>
      <w:r>
        <w:rPr>
          <w:rFonts w:hint="default" w:ascii="Times New Roman" w:hAnsi="Times New Roman" w:eastAsia="宋体" w:cs="Times New Roman"/>
          <w:spacing w:val="1"/>
          <w:sz w:val="21"/>
          <w:szCs w:val="21"/>
        </w:rPr>
        <w:t>期。</w:t>
      </w:r>
    </w:p>
    <w:p w14:paraId="42972A4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[4]贺钦:《“全球南方”与中国:重塑人类文明进程的使命与愿景》,《政</w:t>
      </w:r>
      <w:r>
        <w:rPr>
          <w:rFonts w:hint="default" w:ascii="Times New Roman" w:hAnsi="Times New Roman" w:eastAsia="宋体" w:cs="Times New Roman"/>
          <w:sz w:val="21"/>
          <w:szCs w:val="21"/>
        </w:rPr>
        <w:t>治经济学研究》</w:t>
      </w:r>
      <w:r>
        <w:rPr>
          <w:rFonts w:hint="default" w:ascii="Times New Roman" w:hAnsi="Times New Roman" w:eastAsia="宋体" w:cs="Times New Roman"/>
          <w:spacing w:val="5"/>
          <w:position w:val="-1"/>
          <w:sz w:val="21"/>
          <w:szCs w:val="21"/>
        </w:rPr>
        <w:t>2024</w:t>
      </w:r>
      <w:r>
        <w:rPr>
          <w:rFonts w:hint="default" w:ascii="Times New Roman" w:hAnsi="Times New Roman" w:eastAsia="宋体" w:cs="Times New Roman"/>
          <w:spacing w:val="5"/>
          <w:sz w:val="21"/>
          <w:szCs w:val="21"/>
        </w:rPr>
        <w:t>年第</w:t>
      </w:r>
      <w:r>
        <w:rPr>
          <w:rFonts w:hint="default" w:ascii="Times New Roman" w:hAnsi="Times New Roman" w:eastAsia="宋体" w:cs="Times New Roman"/>
          <w:spacing w:val="5"/>
          <w:position w:val="-1"/>
          <w:sz w:val="21"/>
          <w:szCs w:val="21"/>
        </w:rPr>
        <w:t>4</w:t>
      </w:r>
      <w:r>
        <w:rPr>
          <w:rFonts w:hint="default" w:ascii="Times New Roman" w:hAnsi="Times New Roman" w:eastAsia="宋体" w:cs="Times New Roman"/>
          <w:spacing w:val="5"/>
          <w:sz w:val="21"/>
          <w:szCs w:val="21"/>
        </w:rPr>
        <w:t>期</w:t>
      </w:r>
      <w:r>
        <w:rPr>
          <w:rFonts w:hint="default" w:ascii="Times New Roman" w:hAnsi="Times New Roman" w:eastAsia="宋体" w:cs="Times New Roman"/>
          <w:spacing w:val="5"/>
          <w:position w:val="1"/>
          <w:sz w:val="21"/>
          <w:szCs w:val="21"/>
        </w:rPr>
        <w:t>。</w:t>
      </w:r>
    </w:p>
    <w:p w14:paraId="492DE5B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default" w:ascii="Times New Roman" w:hAnsi="Times New Roman" w:eastAsia="宋体" w:cs="Times New Roman"/>
          <w:sz w:val="21"/>
          <w:szCs w:val="21"/>
        </w:rPr>
      </w:pPr>
    </w:p>
    <w:p w14:paraId="7246A2A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default" w:ascii="Times New Roman" w:hAnsi="Times New Roman" w:eastAsia="宋体" w:cs="Times New Roman"/>
          <w:sz w:val="21"/>
          <w:szCs w:val="21"/>
        </w:rPr>
      </w:pPr>
    </w:p>
    <w:p w14:paraId="79F865C0">
      <w:pPr>
        <w:bidi w:val="0"/>
        <w:rPr>
          <w:rFonts w:hint="eastAsia"/>
          <w:lang w:val="en-US" w:eastAsia="zh-CN"/>
        </w:rPr>
      </w:pPr>
    </w:p>
    <w:p w14:paraId="659DD1F7">
      <w:pPr>
        <w:bidi w:val="0"/>
        <w:rPr>
          <w:rFonts w:hint="eastAsia"/>
          <w:lang w:val="en-US" w:eastAsia="zh-CN"/>
        </w:rPr>
      </w:pPr>
      <w:r>
        <w:rPr>
          <w:rFonts w:hint="eastAsia"/>
          <w:lang w:val="en-US" w:eastAsia="zh-CN"/>
        </w:rPr>
        <w:t>（原载</w:t>
      </w:r>
      <w:r>
        <w:rPr>
          <w:rFonts w:hint="eastAsia"/>
        </w:rPr>
        <w:t>《海派经济学》2025年第4期</w:t>
      </w:r>
      <w:r>
        <w:rPr>
          <w:rFonts w:hint="eastAsia"/>
          <w:lang w:eastAsia="zh-CN"/>
        </w:rPr>
        <w:t>，</w:t>
      </w:r>
      <w:r>
        <w:rPr>
          <w:rFonts w:hint="eastAsia"/>
          <w:lang w:val="en-US" w:eastAsia="zh-CN"/>
        </w:rPr>
        <w:t>第一作者为宋丽丹。）</w:t>
      </w:r>
    </w:p>
    <w:p w14:paraId="39C86984">
      <w:pPr>
        <w:bidi w:val="0"/>
        <w:rPr>
          <w:rFonts w:hint="eastAsia"/>
          <w:lang w:val="en-US" w:eastAsia="zh-CN"/>
        </w:rPr>
      </w:pPr>
    </w:p>
    <w:p w14:paraId="52E59B97">
      <w:pPr>
        <w:bidi w:val="0"/>
        <w:rPr>
          <w:rFonts w:hint="eastAsia"/>
          <w:lang w:val="en-US" w:eastAsia="zh-CN"/>
        </w:rPr>
      </w:pPr>
    </w:p>
    <w:p w14:paraId="2DDBEFF3">
      <w:pPr>
        <w:bidi w:val="0"/>
        <w:rPr>
          <w:rFonts w:hint="eastAsia"/>
          <w:lang w:val="en-US" w:eastAsia="zh-CN"/>
        </w:rPr>
      </w:pPr>
    </w:p>
    <w:p w14:paraId="3E08C913">
      <w:pPr>
        <w:keepNext w:val="0"/>
        <w:keepLines w:val="0"/>
        <w:pageBreakBefore w:val="0"/>
        <w:widowControl w:val="0"/>
        <w:kinsoku/>
        <w:wordWrap/>
        <w:overflowPunct/>
        <w:topLinePunct w:val="0"/>
        <w:autoSpaceDE/>
        <w:autoSpaceDN/>
        <w:bidi w:val="0"/>
        <w:adjustRightInd/>
        <w:snapToGrid/>
        <w:textAlignment w:val="auto"/>
        <w:outlineLvl w:val="0"/>
        <w:rPr>
          <w:rFonts w:hint="eastAsia" w:eastAsia="宋体"/>
          <w:b/>
          <w:bCs/>
          <w:sz w:val="28"/>
          <w:szCs w:val="32"/>
          <w:lang w:val="en-US" w:eastAsia="zh-CN"/>
        </w:rPr>
      </w:pPr>
      <w:bookmarkStart w:id="925" w:name="_Toc1883621865"/>
      <w:bookmarkStart w:id="926" w:name="_Toc825666609"/>
      <w:bookmarkStart w:id="927" w:name="_Toc2073431404"/>
      <w:bookmarkStart w:id="928" w:name="_Toc368395814"/>
      <w:bookmarkStart w:id="929" w:name="_Toc12091"/>
      <w:bookmarkStart w:id="930" w:name="_Toc627383367"/>
      <w:r>
        <w:rPr>
          <w:rFonts w:hint="eastAsia" w:eastAsia="宋体"/>
          <w:b/>
          <w:bCs/>
          <w:sz w:val="28"/>
          <w:szCs w:val="32"/>
          <w:lang w:val="en-US" w:eastAsia="zh-CN"/>
        </w:rPr>
        <w:t>29《深入践行习近平文化思想 自觉担负起新的文化使命——评&lt;新时代推进文化强国建设战略研究&gt;》，</w:t>
      </w:r>
      <w:bookmarkEnd w:id="925"/>
      <w:bookmarkEnd w:id="926"/>
      <w:bookmarkEnd w:id="927"/>
      <w:bookmarkEnd w:id="928"/>
      <w:bookmarkEnd w:id="929"/>
      <w:bookmarkEnd w:id="930"/>
    </w:p>
    <w:p w14:paraId="656294ED">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文化是一个国家、一个民族的灵魂。坚定文化自信、增强文化自觉、实现文化自强，事关国家前途命运、民族兴旺发达和人民利益福祉。当前，人民群众的精神文化需求不断呈现个性化、多样化、品质化等趋势，而城乡、区域之间文化发展的不平衡，公共文化服务体系的不健全，尤其是一些偏远地区公共文化设施配套相对滞后，使得要实现到2035年建成文化强国的战略目标，任重道远。如何深入践行习近平文化思想，加快推进文化强国建设，是一项重大的现实课题。孙绍勇教授新著《新时代推进文化强国建设战略研究》(中国社会科学出版社2024年版)对此作出了有益探索和系统思考，该书也是其主持的研究阐释党的二十大精神国家社科基金重大项目“推进文化自信自强的时代背景与现实途径研究”的研究成果，不仅学理性、学术性较强，而且前沿性突出，主要体现在以下几个方面。</w:t>
      </w:r>
    </w:p>
    <w:p w14:paraId="690497DD">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一是，该书深刻阐释习近平文化思想是新时代推进文化强国建设的科学指引。党的十八大以来，文化强国建设历史性成就的取得，主要得益于习近平文化思想的贯彻落实。该书以习近平文化思想为指导，深入把握内蕴其中的世界观和方法论，对新时代以来文化强国建设的实践进展全方位系统梳理总结，把习近平文化思想的形成发展与文化强国建设的实践成就有机统一起来。作者强调习近平文化思想始终根植于我们党领导推进文化建设发展的生动实践，蕴涵和凝结着新时代推进文化强国建设的智慧结晶和理论总结，深刻回答了新时代文化强国建设的价值取向、目标任务、原则要求、实践路径等重大问题。</w:t>
      </w:r>
    </w:p>
    <w:p w14:paraId="110171D5">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二是，该书系统阐明坚定文化自信是新时代推进文化强国建设的基础前提。习近平总书记强调：“文化自信，是更基础、更广泛、更深厚的自信。”坚定文化自信是新时代不断推进文化强国建设的精神动力，也是巩固文化主体性，实现精神上的独立自主，创造中国式现代化文化形态的关键旨要。作者围绕发挥中国特色社会主义文化的资源优势，对中华优秀传统文化、革命文化及社会主义先进文化的传承发展进行分析，从本体层面解答了坚定什么样的文化自信的问题。同时，作者对党的十八大以来物质文化、精神文化建设的历史性成就进行了概括梳理，有助于进一步加深对文化自信支撑基础的理解把握。此外，作者通过对社会主义意识形态建设、社会主义核心价值观培育和践行、文化事业和文化产业繁荣发展等文化强国建设多个面向具体实践的研究阐释，突出了坚定文化自信与建设文化强国的辩证统一性。</w:t>
      </w:r>
    </w:p>
    <w:p w14:paraId="049BC085">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三是，该书重点突出“两个结合”是新时代推进文化强国建设的必由之路。习近平总书记在文化传承发展座谈会上的讲话中指出："'两个结合’是我们取得成功的最大法宝。”“第二个结合”是习近平文化思想具有突破性、原创性的理论贡献，在认识论、方法论及实践论等层面打开了文化建设发展的创新空间。该书对“两个结合”与推进文化自信自强逻辑关系、内在机理和使命担当进行了深入分析，为新时代更好肩负推进文化自信自强的使命，促进中华优秀传统文化传承发展、大力弘扬赓续革命文化、推动社会主义文化繁荣兴盛指明了方向。</w:t>
      </w:r>
    </w:p>
    <w:p w14:paraId="679A3635">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理论源于实践又服务于实践。新时代推进文化强国建设，呼唤哲学社会科学工作者立时代之潮头、通古今之变化、发思想之先声，推出更多创新性、高质量的研究成果，更好担负以文化人、以文培元的职责使命，为构建中国特色哲学社会科学话语体系、提升中国文化软实力贡献力量。</w:t>
      </w:r>
    </w:p>
    <w:p w14:paraId="32D43CC6">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p>
    <w:p w14:paraId="24FE4B5D">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原载</w:t>
      </w:r>
      <w:r>
        <w:rPr>
          <w:rFonts w:hint="eastAsia" w:ascii="Times New Roman" w:hAnsi="Times New Roman" w:eastAsia="宋体" w:cs="Times New Roman"/>
          <w:sz w:val="24"/>
          <w:szCs w:val="24"/>
        </w:rPr>
        <w:t>《中南民族大学学报(人文社会科学版)》，2025年第4期。</w:t>
      </w:r>
    </w:p>
    <w:p w14:paraId="5B63BB9F">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p>
    <w:p w14:paraId="2F37B505">
      <w:pPr>
        <w:keepNext w:val="0"/>
        <w:keepLines w:val="0"/>
        <w:pageBreakBefore w:val="0"/>
        <w:widowControl w:val="0"/>
        <w:kinsoku/>
        <w:wordWrap/>
        <w:overflowPunct/>
        <w:topLinePunct w:val="0"/>
        <w:autoSpaceDE/>
        <w:autoSpaceDN/>
        <w:bidi w:val="0"/>
        <w:adjustRightInd/>
        <w:snapToGrid/>
        <w:textAlignment w:val="auto"/>
        <w:outlineLvl w:val="0"/>
        <w:rPr>
          <w:rFonts w:hint="eastAsia" w:eastAsia="宋体"/>
          <w:b/>
          <w:bCs/>
          <w:sz w:val="28"/>
          <w:szCs w:val="32"/>
          <w:lang w:val="en-US" w:eastAsia="zh-CN"/>
        </w:rPr>
      </w:pPr>
      <w:bookmarkStart w:id="931" w:name="_Toc1666"/>
      <w:bookmarkStart w:id="932" w:name="_Toc2086854196"/>
      <w:bookmarkStart w:id="933" w:name="_Toc1976244628"/>
      <w:bookmarkStart w:id="934" w:name="_Toc433091597"/>
      <w:bookmarkStart w:id="935" w:name="_Toc944467159"/>
      <w:bookmarkStart w:id="936" w:name="_Toc287542399"/>
      <w:r>
        <w:rPr>
          <w:rFonts w:hint="eastAsia" w:eastAsia="宋体"/>
          <w:b/>
          <w:bCs/>
          <w:sz w:val="28"/>
          <w:szCs w:val="32"/>
          <w:lang w:val="en-US" w:eastAsia="zh-CN"/>
        </w:rPr>
        <w:t>30《简评&lt;征途：走向现代化&gt;》</w:t>
      </w:r>
      <w:bookmarkEnd w:id="931"/>
      <w:bookmarkEnd w:id="932"/>
      <w:bookmarkEnd w:id="933"/>
      <w:bookmarkEnd w:id="934"/>
      <w:bookmarkEnd w:id="935"/>
      <w:bookmarkEnd w:id="936"/>
    </w:p>
    <w:p w14:paraId="5743C86C">
      <w:pPr>
        <w:pStyle w:val="6"/>
        <w:spacing w:before="61" w:line="282" w:lineRule="auto"/>
        <w:ind w:left="99" w:right="127" w:firstLine="409"/>
        <w:jc w:val="both"/>
        <w:rPr>
          <w:rFonts w:hint="eastAsia" w:ascii="宋体" w:hAnsi="宋体" w:eastAsia="宋体" w:cs="宋体"/>
          <w:sz w:val="21"/>
          <w:szCs w:val="21"/>
        </w:rPr>
      </w:pPr>
      <w:r>
        <w:rPr>
          <w:rFonts w:hint="eastAsia" w:ascii="宋体" w:hAnsi="宋体" w:eastAsia="宋体" w:cs="宋体"/>
          <w:spacing w:val="8"/>
          <w:sz w:val="21"/>
          <w:szCs w:val="21"/>
        </w:rPr>
        <w:t>中国式现代化深深植根于中华优秀传统文化，体现科学社会主义的先进本质，借鉴吸收一切人类优秀文明成果，改变了西方现代化模式中固有的扩张和掠夺形式，为人类文明进步开辟了新的道路。从学理角度阐</w:t>
      </w:r>
      <w:r>
        <w:rPr>
          <w:rFonts w:hint="eastAsia" w:ascii="宋体" w:hAnsi="宋体" w:eastAsia="宋体" w:cs="宋体"/>
          <w:spacing w:val="10"/>
          <w:sz w:val="21"/>
          <w:szCs w:val="21"/>
        </w:rPr>
        <w:t>释“西方化迷思是如何形成，中国式现代化何以成功”,是一项重大的现实课题。周文教授新著《征途：走</w:t>
      </w:r>
      <w:r>
        <w:rPr>
          <w:rFonts w:hint="eastAsia" w:ascii="宋体" w:hAnsi="宋体" w:eastAsia="宋体" w:cs="宋体"/>
          <w:spacing w:val="8"/>
          <w:sz w:val="21"/>
          <w:szCs w:val="21"/>
        </w:rPr>
        <w:t>向现代化》对此作出了有益探索和思考，该书从现代化的概念、内涵、测度及特征切入，剖析现代化与西方</w:t>
      </w:r>
      <w:r>
        <w:rPr>
          <w:rFonts w:hint="eastAsia" w:ascii="宋体" w:hAnsi="宋体" w:eastAsia="宋体" w:cs="宋体"/>
          <w:spacing w:val="9"/>
          <w:sz w:val="21"/>
          <w:szCs w:val="21"/>
        </w:rPr>
        <w:t>崛起的历史关联，以及其对现代经济学诞生的</w:t>
      </w:r>
      <w:r>
        <w:rPr>
          <w:rFonts w:hint="eastAsia" w:ascii="宋体" w:hAnsi="宋体" w:eastAsia="宋体" w:cs="宋体"/>
          <w:spacing w:val="8"/>
          <w:sz w:val="21"/>
          <w:szCs w:val="21"/>
        </w:rPr>
        <w:t>推动作用。在此基础上，书中通过古今中外的纵横对比，既系</w:t>
      </w:r>
      <w:r>
        <w:rPr>
          <w:rFonts w:hint="eastAsia" w:ascii="宋体" w:hAnsi="宋体" w:eastAsia="宋体" w:cs="宋体"/>
          <w:spacing w:val="9"/>
          <w:sz w:val="21"/>
          <w:szCs w:val="21"/>
        </w:rPr>
        <w:t>统揭示西方现代化的理论误区与崩塌危机，又深入考察中国及其他发</w:t>
      </w:r>
      <w:r>
        <w:rPr>
          <w:rFonts w:hint="eastAsia" w:ascii="宋体" w:hAnsi="宋体" w:eastAsia="宋体" w:cs="宋体"/>
          <w:spacing w:val="8"/>
          <w:sz w:val="21"/>
          <w:szCs w:val="21"/>
        </w:rPr>
        <w:t>展中国家的现代化探索历程，重新审视韦伯命题、洋务运动及新文化运动等重要议题，同时对人工智能时代的现代化未来图景作出展望，堪称一部</w:t>
      </w:r>
      <w:r>
        <w:rPr>
          <w:rFonts w:hint="eastAsia" w:ascii="宋体" w:hAnsi="宋体" w:eastAsia="宋体" w:cs="宋体"/>
          <w:spacing w:val="6"/>
          <w:sz w:val="21"/>
          <w:szCs w:val="21"/>
        </w:rPr>
        <w:t>打通历史纵深与现实关切的现代化问题论纲。</w:t>
      </w:r>
    </w:p>
    <w:p w14:paraId="42BB930C">
      <w:pPr>
        <w:pStyle w:val="6"/>
        <w:spacing w:before="23" w:line="260" w:lineRule="auto"/>
        <w:ind w:left="99" w:right="74" w:firstLine="409"/>
        <w:rPr>
          <w:rFonts w:hint="eastAsia" w:ascii="宋体" w:hAnsi="宋体" w:eastAsia="宋体" w:cs="宋体"/>
          <w:sz w:val="21"/>
          <w:szCs w:val="21"/>
        </w:rPr>
      </w:pPr>
      <w:r>
        <w:rPr>
          <w:rFonts w:hint="eastAsia" w:ascii="宋体" w:hAnsi="宋体" w:eastAsia="宋体" w:cs="宋体"/>
          <w:spacing w:val="-2"/>
          <w:sz w:val="21"/>
          <w:szCs w:val="21"/>
        </w:rPr>
        <w:t>第一，揭示过去200多年来西方现代化何以</w:t>
      </w:r>
      <w:r>
        <w:rPr>
          <w:rFonts w:hint="eastAsia" w:ascii="宋体" w:hAnsi="宋体" w:eastAsia="宋体" w:cs="宋体"/>
          <w:spacing w:val="-3"/>
          <w:sz w:val="21"/>
          <w:szCs w:val="21"/>
        </w:rPr>
        <w:t>被美化与遮蔽。西方正是依靠王权和专制主义建构民族国家，</w:t>
      </w:r>
      <w:r>
        <w:rPr>
          <w:rFonts w:hint="eastAsia" w:ascii="宋体" w:hAnsi="宋体" w:eastAsia="宋体" w:cs="宋体"/>
          <w:spacing w:val="-2"/>
          <w:sz w:val="21"/>
          <w:szCs w:val="21"/>
        </w:rPr>
        <w:t>以国家力量整合国内市场、开拓世界市场，奠定了现代化“起飞”的基础。西方国家以现代化的前景</w:t>
      </w:r>
      <w:r>
        <w:rPr>
          <w:rFonts w:hint="eastAsia" w:ascii="宋体" w:hAnsi="宋体" w:eastAsia="宋体" w:cs="宋体"/>
          <w:spacing w:val="-3"/>
          <w:sz w:val="21"/>
          <w:szCs w:val="21"/>
        </w:rPr>
        <w:t>引诱后发国家亦步亦趋时，“巧妙”地将自身崛起的真正原因遮盖起来。当前，西方正处于现代化的</w:t>
      </w:r>
      <w:r>
        <w:rPr>
          <w:rFonts w:hint="eastAsia" w:ascii="宋体" w:hAnsi="宋体" w:eastAsia="宋体" w:cs="宋体"/>
          <w:spacing w:val="-4"/>
          <w:sz w:val="21"/>
          <w:szCs w:val="21"/>
        </w:rPr>
        <w:t>“黑铁时代”,</w:t>
      </w:r>
      <w:r>
        <w:rPr>
          <w:rFonts w:hint="eastAsia" w:ascii="宋体" w:hAnsi="宋体" w:eastAsia="宋体" w:cs="宋体"/>
          <w:spacing w:val="-2"/>
          <w:sz w:val="21"/>
          <w:szCs w:val="21"/>
        </w:rPr>
        <w:t>过度金融化与产业空心化、贫富悬殊与福利陷阱、霸权扩张与全球祸乱等矛盾层出不穷。同时，批判新自由</w:t>
      </w:r>
      <w:r>
        <w:rPr>
          <w:rFonts w:hint="eastAsia" w:ascii="宋体" w:hAnsi="宋体" w:eastAsia="宋体" w:cs="宋体"/>
          <w:spacing w:val="-1"/>
          <w:sz w:val="21"/>
          <w:szCs w:val="21"/>
        </w:rPr>
        <w:t>主义经济学“踢掉梯子”的虚伪性——西方崛起依赖国家干预，却要求后发国家遵循“市场原教旨主义”,</w:t>
      </w:r>
      <w:r>
        <w:rPr>
          <w:rFonts w:hint="eastAsia" w:ascii="宋体" w:hAnsi="宋体" w:eastAsia="宋体" w:cs="宋体"/>
          <w:spacing w:val="-4"/>
          <w:sz w:val="21"/>
          <w:szCs w:val="21"/>
        </w:rPr>
        <w:t>最终必然误人误己。</w:t>
      </w:r>
    </w:p>
    <w:p w14:paraId="1C90825B">
      <w:pPr>
        <w:pStyle w:val="6"/>
        <w:spacing w:before="85" w:line="259" w:lineRule="auto"/>
        <w:ind w:left="99" w:right="74" w:firstLine="409"/>
        <w:rPr>
          <w:rFonts w:hint="eastAsia" w:ascii="宋体" w:hAnsi="宋体" w:eastAsia="宋体" w:cs="宋体"/>
          <w:sz w:val="21"/>
          <w:szCs w:val="21"/>
        </w:rPr>
      </w:pPr>
      <w:r>
        <w:rPr>
          <w:rFonts w:hint="eastAsia" w:ascii="宋体" w:hAnsi="宋体" w:eastAsia="宋体" w:cs="宋体"/>
          <w:spacing w:val="-2"/>
          <w:sz w:val="21"/>
          <w:szCs w:val="21"/>
        </w:rPr>
        <w:t>第二，通过历史脉络串联起中国式现代化的探索与突破。首先聚焦洋务运动，其作为中国早期现代化的起点，却因局限于器物层面、国家能力薄弱等因素遭遇顿挫，由此揭示传统大国现代化转型的复杂性。继而将新文化运动置于“古今中西之争”的语境重新审视，强调现代化应是“文明更新”而非“文明断裂”的产物，是在巩固文化主体性中实现的进步。而后梳理“一五”计划、社会主义改造的中国式现</w:t>
      </w:r>
      <w:r>
        <w:rPr>
          <w:rFonts w:hint="eastAsia" w:ascii="宋体" w:hAnsi="宋体" w:eastAsia="宋体" w:cs="宋体"/>
          <w:spacing w:val="-3"/>
          <w:sz w:val="21"/>
          <w:szCs w:val="21"/>
        </w:rPr>
        <w:t>代化奠基，以及</w:t>
      </w:r>
      <w:r>
        <w:rPr>
          <w:rFonts w:hint="eastAsia" w:ascii="宋体" w:hAnsi="宋体" w:eastAsia="宋体" w:cs="宋体"/>
          <w:spacing w:val="-4"/>
          <w:sz w:val="21"/>
          <w:szCs w:val="21"/>
        </w:rPr>
        <w:t>计划经济体制下重工业优先战略的历史必然性与实践得失。进而，</w:t>
      </w:r>
      <w:r>
        <w:rPr>
          <w:rFonts w:hint="eastAsia" w:ascii="宋体" w:hAnsi="宋体" w:eastAsia="宋体" w:cs="宋体"/>
          <w:spacing w:val="-5"/>
          <w:sz w:val="21"/>
          <w:szCs w:val="21"/>
        </w:rPr>
        <w:t>探讨改革开放对中国式现代化的开创意义，</w:t>
      </w:r>
      <w:r>
        <w:rPr>
          <w:rFonts w:hint="eastAsia" w:ascii="宋体" w:hAnsi="宋体" w:eastAsia="宋体" w:cs="宋体"/>
          <w:spacing w:val="-2"/>
          <w:sz w:val="21"/>
          <w:szCs w:val="21"/>
        </w:rPr>
        <w:t>是如何成功破解政府与市场关系的世界性难题，走出一条立</w:t>
      </w:r>
      <w:r>
        <w:rPr>
          <w:rFonts w:hint="eastAsia" w:ascii="宋体" w:hAnsi="宋体" w:eastAsia="宋体" w:cs="宋体"/>
          <w:spacing w:val="-3"/>
          <w:sz w:val="21"/>
          <w:szCs w:val="21"/>
        </w:rPr>
        <w:t>足本国实际的现代化新路。</w:t>
      </w:r>
    </w:p>
    <w:p w14:paraId="06A580EE">
      <w:pPr>
        <w:pStyle w:val="6"/>
        <w:spacing w:before="95" w:line="268" w:lineRule="auto"/>
        <w:ind w:right="74"/>
        <w:jc w:val="both"/>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717632" behindDoc="0" locked="0" layoutInCell="1" allowOverlap="1">
                <wp:simplePos x="0" y="0"/>
                <wp:positionH relativeFrom="column">
                  <wp:posOffset>508000</wp:posOffset>
                </wp:positionH>
                <wp:positionV relativeFrom="paragraph">
                  <wp:posOffset>545465</wp:posOffset>
                </wp:positionV>
                <wp:extent cx="1370330" cy="87630"/>
                <wp:effectExtent l="0" t="0" r="0" b="0"/>
                <wp:wrapNone/>
                <wp:docPr id="431" name="文本框 431"/>
                <wp:cNvGraphicFramePr/>
                <a:graphic xmlns:a="http://schemas.openxmlformats.org/drawingml/2006/main">
                  <a:graphicData uri="http://schemas.microsoft.com/office/word/2010/wordprocessingShape">
                    <wps:wsp>
                      <wps:cNvSpPr txBox="1"/>
                      <wps:spPr>
                        <a:xfrm>
                          <a:off x="0" y="0"/>
                          <a:ext cx="1370330" cy="87630"/>
                        </a:xfrm>
                        <a:prstGeom prst="rect">
                          <a:avLst/>
                        </a:prstGeom>
                        <a:noFill/>
                        <a:ln>
                          <a:noFill/>
                        </a:ln>
                      </wps:spPr>
                      <wps:txbx>
                        <w:txbxContent>
                          <w:p w14:paraId="4DBA9BA3">
                            <w:pPr>
                              <w:spacing w:before="20" w:line="225" w:lineRule="auto"/>
                              <w:ind w:left="20"/>
                              <w:rPr>
                                <w:rFonts w:ascii="楷体" w:hAnsi="楷体" w:eastAsia="楷体" w:cs="楷体"/>
                                <w:sz w:val="8"/>
                                <w:szCs w:val="8"/>
                              </w:rPr>
                            </w:pPr>
                          </w:p>
                        </w:txbxContent>
                      </wps:txbx>
                      <wps:bodyPr lIns="0" tIns="0" rIns="0" bIns="0" upright="1"/>
                    </wps:wsp>
                  </a:graphicData>
                </a:graphic>
              </wp:anchor>
            </w:drawing>
          </mc:Choice>
          <mc:Fallback>
            <w:pict>
              <v:shape id="_x0000_s1026" o:spid="_x0000_s1026" o:spt="202" type="#_x0000_t202" style="position:absolute;left:0pt;margin-left:40pt;margin-top:42.95pt;height:6.9pt;width:107.9pt;z-index:251717632;mso-width-relative:page;mso-height-relative:page;" filled="f" stroked="f" coordsize="21600,21600" o:gfxdata="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93WJC2AAAAAgBAAAPAAAAAAAAAAEAIAAAACIAAABkcnMvZG93bnJldi54bWxQSwEC&#10;FAAUAAAACACHTuJA/H0QEbsBAAB1AwAADgAAAAAAAAABACAAAAAnAQAAZHJzL2Uyb0RvYy54bWxQ&#10;SwUGAAAAAAYABgBZAQAAVAUAAAAA&#10;">
                <v:fill on="f" focussize="0,0"/>
                <v:stroke on="f"/>
                <v:imagedata o:title=""/>
                <o:lock v:ext="edit" aspectratio="f"/>
                <v:textbox inset="0mm,0mm,0mm,0mm">
                  <w:txbxContent>
                    <w:p w14:paraId="4DBA9BA3">
                      <w:pPr>
                        <w:spacing w:before="20" w:line="225" w:lineRule="auto"/>
                        <w:ind w:left="20"/>
                        <w:rPr>
                          <w:rFonts w:ascii="楷体" w:hAnsi="楷体" w:eastAsia="楷体" w:cs="楷体"/>
                          <w:sz w:val="8"/>
                          <w:szCs w:val="8"/>
                        </w:rPr>
                      </w:pPr>
                    </w:p>
                  </w:txbxContent>
                </v:textbox>
              </v:shape>
            </w:pict>
          </mc:Fallback>
        </mc:AlternateContent>
      </w:r>
      <w:r>
        <w:rPr>
          <w:rFonts w:hint="eastAsia" w:ascii="宋体" w:hAnsi="宋体" w:eastAsia="宋体" w:cs="宋体"/>
          <w:spacing w:val="2"/>
          <w:sz w:val="21"/>
          <w:szCs w:val="21"/>
        </w:rPr>
        <w:t>第三，在世界历史中展望人类命运共同体的现代</w:t>
      </w:r>
      <w:r>
        <w:rPr>
          <w:rFonts w:hint="eastAsia" w:ascii="宋体" w:hAnsi="宋体" w:eastAsia="宋体" w:cs="宋体"/>
          <w:spacing w:val="1"/>
          <w:sz w:val="21"/>
          <w:szCs w:val="21"/>
        </w:rPr>
        <w:t>化蓝图。世</w:t>
      </w:r>
      <w:r>
        <w:rPr>
          <w:rFonts w:hint="eastAsia" w:ascii="宋体" w:hAnsi="宋体" w:eastAsia="宋体" w:cs="宋体"/>
          <w:spacing w:val="2"/>
          <w:sz w:val="21"/>
          <w:szCs w:val="21"/>
        </w:rPr>
        <w:t>界历史的纵线是社会形态由低级到高级的发展，人工智能浪潮将</w:t>
      </w:r>
      <w:r>
        <w:rPr>
          <w:rFonts w:hint="eastAsia" w:ascii="宋体" w:hAnsi="宋体" w:eastAsia="宋体" w:cs="宋体"/>
          <w:spacing w:val="3"/>
          <w:sz w:val="21"/>
          <w:szCs w:val="21"/>
        </w:rPr>
        <w:t>带来不同于工业文明的新文明形态，横线是人类</w:t>
      </w:r>
      <w:r>
        <w:rPr>
          <w:rFonts w:hint="eastAsia" w:ascii="宋体" w:hAnsi="宋体" w:eastAsia="宋体" w:cs="宋体"/>
          <w:spacing w:val="2"/>
          <w:sz w:val="21"/>
          <w:szCs w:val="21"/>
        </w:rPr>
        <w:t>从分散走向整体</w:t>
      </w:r>
      <w:r>
        <w:rPr>
          <w:rFonts w:hint="eastAsia" w:ascii="宋体" w:hAnsi="宋体" w:eastAsia="宋体" w:cs="宋体"/>
          <w:spacing w:val="3"/>
          <w:sz w:val="21"/>
          <w:szCs w:val="21"/>
        </w:rPr>
        <w:t>的进程，“逆全球化”与现代化背道而驰。处于文明转换关口的</w:t>
      </w:r>
      <w:r>
        <w:rPr>
          <w:rFonts w:hint="eastAsia" w:ascii="宋体" w:hAnsi="宋体" w:eastAsia="宋体" w:cs="宋体"/>
          <w:spacing w:val="-8"/>
          <w:sz w:val="21"/>
          <w:szCs w:val="21"/>
        </w:rPr>
        <w:t>世界，现代化仍在路上，遇到的难题会比以往任何一个时期都会多、</w:t>
      </w:r>
      <w:r>
        <w:rPr>
          <w:rFonts w:hint="eastAsia" w:ascii="宋体" w:hAnsi="宋体" w:eastAsia="宋体" w:cs="宋体"/>
          <w:spacing w:val="2"/>
          <w:sz w:val="21"/>
          <w:szCs w:val="21"/>
        </w:rPr>
        <w:t>都要大。解决这些难题，只有一个途径，那就是全世界人民团结</w:t>
      </w:r>
      <w:r>
        <w:rPr>
          <w:rFonts w:hint="eastAsia" w:ascii="宋体" w:hAnsi="宋体" w:eastAsia="宋体" w:cs="宋体"/>
          <w:spacing w:val="3"/>
          <w:sz w:val="21"/>
          <w:szCs w:val="21"/>
        </w:rPr>
        <w:t>起来，实现最美好的人类共有的现代化。由此，世</w:t>
      </w:r>
      <w:r>
        <w:rPr>
          <w:rFonts w:hint="eastAsia" w:ascii="宋体" w:hAnsi="宋体" w:eastAsia="宋体" w:cs="宋体"/>
          <w:spacing w:val="2"/>
          <w:sz w:val="21"/>
          <w:szCs w:val="21"/>
        </w:rPr>
        <w:t>界历史的纵横</w:t>
      </w:r>
      <w:r>
        <w:rPr>
          <w:rFonts w:hint="eastAsia" w:ascii="宋体" w:hAnsi="宋体" w:eastAsia="宋体" w:cs="宋体"/>
          <w:spacing w:val="3"/>
          <w:sz w:val="21"/>
          <w:szCs w:val="21"/>
        </w:rPr>
        <w:t>线相交织，前所未有地统一于现代化的世界蓝图</w:t>
      </w:r>
      <w:r>
        <w:rPr>
          <w:rFonts w:hint="eastAsia" w:ascii="宋体" w:hAnsi="宋体" w:eastAsia="宋体" w:cs="宋体"/>
          <w:spacing w:val="2"/>
          <w:sz w:val="21"/>
          <w:szCs w:val="21"/>
        </w:rPr>
        <w:t>——构建人类命</w:t>
      </w:r>
      <w:r>
        <w:rPr>
          <w:rFonts w:hint="eastAsia" w:ascii="宋体" w:hAnsi="宋体" w:eastAsia="宋体" w:cs="宋体"/>
          <w:spacing w:val="-2"/>
          <w:sz w:val="21"/>
          <w:szCs w:val="21"/>
        </w:rPr>
        <w:t>运共同体。</w:t>
      </w:r>
    </w:p>
    <w:p w14:paraId="2B0C4575">
      <w:pPr>
        <w:pStyle w:val="6"/>
        <w:spacing w:before="4" w:line="268" w:lineRule="auto"/>
        <w:rPr>
          <w:rFonts w:hint="eastAsia" w:ascii="宋体" w:hAnsi="宋体" w:eastAsia="宋体" w:cs="宋体"/>
          <w:sz w:val="21"/>
          <w:szCs w:val="21"/>
        </w:rPr>
      </w:pPr>
      <w:r>
        <w:rPr>
          <w:rFonts w:hint="eastAsia" w:ascii="宋体" w:hAnsi="宋体" w:eastAsia="宋体" w:cs="宋体"/>
          <w:spacing w:val="3"/>
          <w:sz w:val="21"/>
          <w:szCs w:val="21"/>
        </w:rPr>
        <w:t>简言之，该书全面展现现代化的发展脉络与未来方向，有助</w:t>
      </w:r>
      <w:r>
        <w:rPr>
          <w:rFonts w:hint="eastAsia" w:ascii="宋体" w:hAnsi="宋体" w:eastAsia="宋体" w:cs="宋体"/>
          <w:spacing w:val="2"/>
          <w:sz w:val="21"/>
          <w:szCs w:val="21"/>
        </w:rPr>
        <w:t>于我们更立体地感知和透视，中国何以成功走出一条强国建设、</w:t>
      </w:r>
      <w:r>
        <w:rPr>
          <w:rFonts w:hint="eastAsia" w:ascii="宋体" w:hAnsi="宋体" w:eastAsia="宋体" w:cs="宋体"/>
          <w:sz w:val="21"/>
          <w:szCs w:val="21"/>
        </w:rPr>
        <mc:AlternateContent>
          <mc:Choice Requires="wps">
            <w:drawing>
              <wp:anchor distT="0" distB="0" distL="114300" distR="114300" simplePos="0" relativeHeight="251716608" behindDoc="0" locked="0" layoutInCell="1" allowOverlap="1">
                <wp:simplePos x="0" y="0"/>
                <wp:positionH relativeFrom="column">
                  <wp:posOffset>660400</wp:posOffset>
                </wp:positionH>
                <wp:positionV relativeFrom="paragraph">
                  <wp:posOffset>-31115</wp:posOffset>
                </wp:positionV>
                <wp:extent cx="1185545" cy="447675"/>
                <wp:effectExtent l="0" t="0" r="0" b="0"/>
                <wp:wrapNone/>
                <wp:docPr id="432" name="文本框 432"/>
                <wp:cNvGraphicFramePr/>
                <a:graphic xmlns:a="http://schemas.openxmlformats.org/drawingml/2006/main">
                  <a:graphicData uri="http://schemas.microsoft.com/office/word/2010/wordprocessingShape">
                    <wps:wsp>
                      <wps:cNvSpPr txBox="1"/>
                      <wps:spPr>
                        <a:xfrm>
                          <a:off x="0" y="0"/>
                          <a:ext cx="1185545" cy="447675"/>
                        </a:xfrm>
                        <a:prstGeom prst="rect">
                          <a:avLst/>
                        </a:prstGeom>
                        <a:noFill/>
                        <a:ln>
                          <a:noFill/>
                        </a:ln>
                      </wps:spPr>
                      <wps:txbx>
                        <w:txbxContent>
                          <w:p w14:paraId="12B4154F">
                            <w:pPr>
                              <w:pStyle w:val="6"/>
                              <w:spacing w:before="20" w:line="219" w:lineRule="auto"/>
                              <w:ind w:right="20"/>
                              <w:jc w:val="right"/>
                              <w:rPr>
                                <w:rFonts w:ascii="Times New Roman" w:hAnsi="Times New Roman" w:eastAsia="Times New Roman" w:cs="Times New Roman"/>
                                <w:sz w:val="9"/>
                                <w:szCs w:val="9"/>
                              </w:rPr>
                            </w:pPr>
                          </w:p>
                        </w:txbxContent>
                      </wps:txbx>
                      <wps:bodyPr lIns="0" tIns="0" rIns="0" bIns="0" upright="1"/>
                    </wps:wsp>
                  </a:graphicData>
                </a:graphic>
              </wp:anchor>
            </w:drawing>
          </mc:Choice>
          <mc:Fallback>
            <w:pict>
              <v:shape id="_x0000_s1026" o:spid="_x0000_s1026" o:spt="202" type="#_x0000_t202" style="position:absolute;left:0pt;margin-left:52pt;margin-top:-2.45pt;height:35.25pt;width:93.35pt;z-index:251716608;mso-width-relative:page;mso-height-relative:page;" filled="f" stroked="f" coordsize="21600,21600" o:gfxdata="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vbgmi2AAAAAkBAAAPAAAAAAAAAAEAIAAAACIAAABkcnMvZG93bnJldi54bWxQ&#10;SwECFAAUAAAACACHTuJACbKcEr4BAAB2AwAADgAAAAAAAAABACAAAAAnAQAAZHJzL2Uyb0RvYy54&#10;bWxQSwUGAAAAAAYABgBZAQAAVwUAAAAA&#10;">
                <v:fill on="f" focussize="0,0"/>
                <v:stroke on="f"/>
                <v:imagedata o:title=""/>
                <o:lock v:ext="edit" aspectratio="f"/>
                <v:textbox inset="0mm,0mm,0mm,0mm">
                  <w:txbxContent>
                    <w:p w14:paraId="12B4154F">
                      <w:pPr>
                        <w:pStyle w:val="6"/>
                        <w:spacing w:before="20" w:line="219" w:lineRule="auto"/>
                        <w:ind w:right="20"/>
                        <w:jc w:val="right"/>
                        <w:rPr>
                          <w:rFonts w:ascii="Times New Roman" w:hAnsi="Times New Roman" w:eastAsia="Times New Roman" w:cs="Times New Roman"/>
                          <w:sz w:val="9"/>
                          <w:szCs w:val="9"/>
                        </w:rPr>
                      </w:pPr>
                    </w:p>
                  </w:txbxContent>
                </v:textbox>
              </v:shape>
            </w:pict>
          </mc:Fallback>
        </mc:AlternateContent>
      </w:r>
      <w:r>
        <w:rPr>
          <w:rFonts w:hint="eastAsia" w:ascii="宋体" w:hAnsi="宋体" w:eastAsia="宋体" w:cs="宋体"/>
          <w:spacing w:val="-2"/>
          <w:sz w:val="21"/>
          <w:szCs w:val="21"/>
        </w:rPr>
        <w:t>民族复兴的现代化道路，中国式现代化何以打破“现代化=西方化”</w:t>
      </w:r>
      <w:r>
        <w:rPr>
          <w:rFonts w:hint="eastAsia" w:ascii="宋体" w:hAnsi="宋体" w:eastAsia="宋体" w:cs="宋体"/>
          <w:spacing w:val="3"/>
          <w:sz w:val="21"/>
          <w:szCs w:val="21"/>
        </w:rPr>
        <w:t>的迷思，不断开辟现代化的新境界。在现代化理</w:t>
      </w:r>
      <w:r>
        <w:rPr>
          <w:rFonts w:hint="eastAsia" w:ascii="宋体" w:hAnsi="宋体" w:eastAsia="宋体" w:cs="宋体"/>
          <w:spacing w:val="2"/>
          <w:sz w:val="21"/>
          <w:szCs w:val="21"/>
        </w:rPr>
        <w:t>论研究不断深化</w:t>
      </w:r>
      <w:r>
        <w:rPr>
          <w:rFonts w:hint="eastAsia" w:ascii="宋体" w:hAnsi="宋体" w:eastAsia="宋体" w:cs="宋体"/>
          <w:spacing w:val="3"/>
          <w:sz w:val="21"/>
          <w:szCs w:val="21"/>
        </w:rPr>
        <w:t>的今天，《征途：走向现代化》无疑是一部值得关</w:t>
      </w:r>
      <w:r>
        <w:rPr>
          <w:rFonts w:hint="eastAsia" w:ascii="宋体" w:hAnsi="宋体" w:eastAsia="宋体" w:cs="宋体"/>
          <w:spacing w:val="2"/>
          <w:sz w:val="21"/>
          <w:szCs w:val="21"/>
        </w:rPr>
        <w:t>注和研读的重</w:t>
      </w:r>
      <w:r>
        <w:rPr>
          <w:rFonts w:hint="eastAsia" w:ascii="宋体" w:hAnsi="宋体" w:eastAsia="宋体" w:cs="宋体"/>
          <w:spacing w:val="-2"/>
          <w:sz w:val="21"/>
          <w:szCs w:val="21"/>
        </w:rPr>
        <w:t>要著作。</w:t>
      </w:r>
    </w:p>
    <w:p w14:paraId="333381A6">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rPr>
      </w:pPr>
    </w:p>
    <w:p w14:paraId="561C4199">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（原载</w:t>
      </w:r>
      <w:r>
        <w:rPr>
          <w:rFonts w:hint="eastAsia" w:ascii="Times New Roman" w:hAnsi="Times New Roman" w:eastAsia="宋体" w:cs="Times New Roman"/>
          <w:sz w:val="24"/>
          <w:szCs w:val="24"/>
        </w:rPr>
        <w:t>《海派经济学》2025年第3期。</w:t>
      </w:r>
      <w:r>
        <w:rPr>
          <w:rFonts w:hint="eastAsia" w:ascii="Times New Roman" w:hAnsi="Times New Roman" w:cs="Times New Roman"/>
          <w:sz w:val="24"/>
          <w:szCs w:val="24"/>
          <w:lang w:val="en-US" w:eastAsia="zh-CN"/>
        </w:rPr>
        <w:t>）</w:t>
      </w:r>
    </w:p>
    <w:p w14:paraId="2C136B99">
      <w:pPr>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sz w:val="24"/>
          <w:szCs w:val="24"/>
          <w:lang w:val="en-US" w:eastAsia="zh-CN"/>
        </w:rPr>
      </w:pPr>
    </w:p>
    <w:p w14:paraId="3DB9A851">
      <w:pPr>
        <w:keepNext w:val="0"/>
        <w:keepLines w:val="0"/>
        <w:pageBreakBefore w:val="0"/>
        <w:widowControl w:val="0"/>
        <w:kinsoku/>
        <w:wordWrap/>
        <w:overflowPunct/>
        <w:topLinePunct w:val="0"/>
        <w:autoSpaceDE/>
        <w:autoSpaceDN/>
        <w:bidi w:val="0"/>
        <w:adjustRightInd/>
        <w:snapToGrid/>
        <w:textAlignment w:val="auto"/>
        <w:outlineLvl w:val="0"/>
        <w:rPr>
          <w:rFonts w:hint="eastAsia" w:eastAsia="宋体"/>
          <w:b/>
          <w:bCs/>
          <w:sz w:val="28"/>
          <w:szCs w:val="32"/>
          <w:lang w:val="en-US" w:eastAsia="zh-CN"/>
        </w:rPr>
      </w:pPr>
      <w:bookmarkStart w:id="937" w:name="_Toc1761378294"/>
      <w:bookmarkStart w:id="938" w:name="_Toc1055549368"/>
      <w:bookmarkStart w:id="939" w:name="_Toc1607906336"/>
      <w:bookmarkStart w:id="940" w:name="_Toc1148391096"/>
      <w:bookmarkStart w:id="941" w:name="_Toc3769"/>
      <w:bookmarkStart w:id="942" w:name="_Toc886894243"/>
      <w:r>
        <w:rPr>
          <w:rFonts w:hint="eastAsia" w:eastAsia="宋体"/>
          <w:b/>
          <w:bCs/>
          <w:sz w:val="28"/>
          <w:szCs w:val="32"/>
          <w:lang w:val="en-US" w:eastAsia="zh-CN"/>
        </w:rPr>
        <w:t>31《简评&lt;共同富裕：中国式治理现代化的实践诉求&gt;》</w:t>
      </w:r>
      <w:bookmarkEnd w:id="937"/>
      <w:bookmarkEnd w:id="938"/>
      <w:bookmarkEnd w:id="939"/>
      <w:bookmarkEnd w:id="940"/>
      <w:bookmarkEnd w:id="941"/>
      <w:bookmarkEnd w:id="942"/>
    </w:p>
    <w:p w14:paraId="194778A0">
      <w:pPr>
        <w:bidi w:val="0"/>
        <w:rPr>
          <w:rFonts w:hint="eastAsia"/>
          <w:lang w:val="en-US" w:eastAsia="zh-CN"/>
        </w:rPr>
      </w:pPr>
      <w:r>
        <w:rPr>
          <w:rFonts w:hint="eastAsia"/>
          <w:lang w:val="en-US" w:eastAsia="zh-CN"/>
        </w:rPr>
        <w:t>山东大学马克思主义学院吴文新教授新著《共同富裕：中国式治理现代化的实践诉求》(学习出版社2025年版),在中国式治理现代化的视野中探究共同富裕的实现问题，在学术界并不多见。浏览这本书，内容相当丰富。在我看来，对当下实质性推进共同富裕，书中以下几点最具有现实针对性：第一，共同富裕既然是内在于中国特色社会主义制度的，那无论如何我们都要始终不懈地坚持、发展和完善中国特色社会主义制度体系，因为只有这个制度体系才是实现共同富裕的最根本的制度保障。</w:t>
      </w:r>
    </w:p>
    <w:p w14:paraId="6700DF4E">
      <w:pPr>
        <w:bidi w:val="0"/>
        <w:rPr>
          <w:rFonts w:hint="eastAsia"/>
          <w:lang w:val="en-US" w:eastAsia="zh-CN"/>
        </w:rPr>
      </w:pPr>
      <w:r>
        <w:rPr>
          <w:rFonts w:hint="eastAsia"/>
          <w:lang w:val="en-US" w:eastAsia="zh-CN"/>
        </w:rPr>
        <w:t>第二，在贫富差距过大现象尚未得到根本遏制的当前时下，实现共同富裕，对于中国共产党执政安全和社会主义制度安全，跳出治乱兴衰的历史周期率确实具有基础性和根源性的意义，真可谓朝夕必争、时不我待，必须引起高度重视。第三，马克思主义关于生产与分配、所有制与分配方式的辩证的、历史的关系的基本原理，仍然是我们实质性推进共同富裕的最基本的理论依据。这告诉我们，实现共同富裕最终还是要以社会主义公有制的发展壮大、国有和集体经济的做大做优做强为最根本的依托、最主要的途径，对此我们要保持高度的理论自信和思想清醒，而不能被暂时的困难和私有化之一时和局部的“效率”而迷昏了心智。第四，在社会主义市场经济的社会主义性质和方向上不能有丝毫糊涂和错乱，在此框架内，坚持和加强以服务社会主义制度自我完善、服务全体人民共同富裕、服务中国式现代化和中华民族伟大复兴为政治和价值取向的“资本治理”,并把私人资本治理纳入中国式治理现代化的战略布局之中，在社会主义道路上发挥其“伟大的文明面”,遏制其“野蛮面”,实质性地落实“以人民为中心”“以劳动为轴心”的科学社会主义理念。第五，我们的民营经济体量巨大，几乎占到“主体”地位，其对于整个社会财富的分配具有巨大的影响，因此，旗帜鲜明地鼓励、支持和引导非公经济人士特别是其中的先富巨富群体，树立中国特色社会主义共同理想，传承弘扬中华儒商的优良传统，同时发挥其中占相当比例的中共党员的先进带头、先锋模范和示范引领作用，使他们由先</w:t>
      </w:r>
    </w:p>
    <w:p w14:paraId="5A9B5705">
      <w:pPr>
        <w:bidi w:val="0"/>
        <w:rPr>
          <w:rFonts w:hint="eastAsia"/>
          <w:lang w:val="en-US" w:eastAsia="zh-CN"/>
        </w:rPr>
      </w:pPr>
      <w:r>
        <w:rPr>
          <w:rFonts w:hint="eastAsia"/>
          <w:lang w:val="en-US" w:eastAsia="zh-CN"/>
        </w:rPr>
        <w:t>富者转身为带帮后富共同致富的“共富带头人”,积极探索各种有效的实践模式，为实质性推进共同富裕做出应有的贡献。对此，作者在第三篇几乎每章都有所涉及，希望引起有关部门的重视。</w:t>
      </w:r>
    </w:p>
    <w:p w14:paraId="5C2C9ACE">
      <w:pPr>
        <w:bidi w:val="0"/>
        <w:rPr>
          <w:rFonts w:hint="eastAsia"/>
          <w:lang w:val="en-US" w:eastAsia="zh-CN"/>
        </w:rPr>
      </w:pPr>
      <w:r>
        <w:rPr>
          <w:rFonts w:hint="eastAsia"/>
          <w:lang w:val="en-US" w:eastAsia="zh-CN"/>
        </w:rPr>
        <w:t>总体来看，这本书对于共同富裕问题从中国式治理现代化的角度进行了深入的探讨，但不能说已经达到了完备的程度。因为中国式现代化依然在路上，共同富裕才刚刚走到了新时代的新起点上；面对着非常复杂的国内外环境和形势，在实质性推进共同富裕的过程中，肯定不会一帆风顺，难以预料的困难和问题必然会出现。因此，我们的理论研究也不能停下来、歇歇脚。希望这本书对于这一问题的持续深入和与时俱进的研究发挥积极作用。</w:t>
      </w:r>
    </w:p>
    <w:p w14:paraId="622BBC9E">
      <w:pPr>
        <w:bidi w:val="0"/>
        <w:rPr>
          <w:rFonts w:hint="eastAsia" w:ascii="Times New Roman" w:hAnsi="Times New Roman" w:eastAsia="宋体" w:cs="Times New Roman"/>
          <w:sz w:val="24"/>
          <w:szCs w:val="24"/>
        </w:rPr>
      </w:pPr>
    </w:p>
    <w:p w14:paraId="237920CB">
      <w:pPr>
        <w:bidi w:val="0"/>
        <w:rPr>
          <w:rFonts w:hint="default"/>
          <w:lang w:val="en-US"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原载</w:t>
      </w:r>
      <w:r>
        <w:rPr>
          <w:rFonts w:hint="eastAsia" w:ascii="Times New Roman" w:hAnsi="Times New Roman" w:eastAsia="宋体" w:cs="Times New Roman"/>
          <w:sz w:val="24"/>
          <w:szCs w:val="24"/>
        </w:rPr>
        <w:t>《政治经济学研究》2025年第3期。</w:t>
      </w:r>
      <w:r>
        <w:rPr>
          <w:rFonts w:hint="eastAsia" w:ascii="Times New Roman" w:hAnsi="Times New Roman" w:cs="Times New Roman"/>
          <w:sz w:val="24"/>
          <w:szCs w:val="24"/>
          <w:lang w:eastAsia="zh-CN"/>
        </w:rPr>
        <w:t>）</w:t>
      </w:r>
    </w:p>
    <w:p w14:paraId="39938BB2">
      <w:pPr>
        <w:bidi w:val="0"/>
        <w:rPr>
          <w:rFonts w:hint="eastAsia"/>
          <w:lang w:val="en-US" w:eastAsia="zh-CN"/>
        </w:rPr>
      </w:pPr>
    </w:p>
    <w:p w14:paraId="5A805648">
      <w:pPr>
        <w:spacing w:after="20" w:line="276" w:lineRule="auto"/>
        <w:ind w:left="420" w:hanging="420"/>
        <w:jc w:val="both"/>
        <w:rPr>
          <w:rFonts w:hint="eastAsia" w:ascii="宋体" w:hAnsi="宋体" w:eastAsia="宋体" w:cs="宋体"/>
          <w:sz w:val="21"/>
          <w:szCs w:val="21"/>
          <w:lang w:val="en-US" w:eastAsia="zh-CN"/>
        </w:rPr>
      </w:pPr>
    </w:p>
    <w:p w14:paraId="1A2838FB">
      <w:pPr>
        <w:spacing w:line="276" w:lineRule="auto"/>
      </w:pPr>
    </w:p>
    <w:p w14:paraId="43FD14F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769" w:firstLineChars="200"/>
        <w:jc w:val="both"/>
        <w:textAlignment w:val="baseline"/>
        <w:outlineLvl w:val="0"/>
        <w:rPr>
          <w:rFonts w:hint="eastAsia" w:ascii="宋体" w:hAnsi="宋体" w:eastAsia="宋体" w:cs="宋体"/>
          <w:b/>
          <w:bCs/>
          <w:spacing w:val="12"/>
          <w:sz w:val="36"/>
          <w:szCs w:val="36"/>
          <w:lang w:val="en-US" w:eastAsia="zh-CN"/>
        </w:rPr>
      </w:pPr>
      <w:bookmarkStart w:id="943" w:name="_Toc30427"/>
      <w:bookmarkStart w:id="944" w:name="_Toc147575304"/>
      <w:bookmarkStart w:id="945" w:name="_Toc422913363"/>
      <w:bookmarkStart w:id="946" w:name="_Toc1573614883"/>
      <w:bookmarkStart w:id="947" w:name="_Toc255820109"/>
      <w:bookmarkStart w:id="948" w:name="_Toc347548274"/>
      <w:r>
        <w:rPr>
          <w:rFonts w:hint="eastAsia" w:ascii="宋体" w:hAnsi="宋体" w:eastAsia="宋体" w:cs="宋体"/>
          <w:b/>
          <w:bCs/>
          <w:spacing w:val="12"/>
          <w:sz w:val="36"/>
          <w:szCs w:val="36"/>
          <w:lang w:val="en-US" w:eastAsia="zh-CN"/>
        </w:rPr>
        <w:t>2026年</w:t>
      </w:r>
      <w:bookmarkEnd w:id="943"/>
      <w:bookmarkEnd w:id="944"/>
      <w:bookmarkEnd w:id="945"/>
      <w:bookmarkEnd w:id="946"/>
      <w:bookmarkEnd w:id="947"/>
      <w:bookmarkEnd w:id="948"/>
    </w:p>
    <w:p w14:paraId="6A749082">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eastAsia" w:ascii="Times New Roman" w:hAnsi="Times New Roman" w:eastAsia="宋体" w:cs="Times New Roman"/>
          <w:b/>
          <w:bCs/>
          <w:sz w:val="32"/>
          <w:szCs w:val="32"/>
        </w:rPr>
      </w:pPr>
      <w:bookmarkStart w:id="949" w:name="_Toc2102005690"/>
      <w:bookmarkStart w:id="950" w:name="_Toc306310669"/>
      <w:bookmarkStart w:id="951" w:name="_Toc1484225776"/>
      <w:bookmarkStart w:id="952" w:name="_Toc1881504018"/>
      <w:bookmarkStart w:id="953" w:name="_Toc31570"/>
      <w:bookmarkStart w:id="954" w:name="_Toc88321278"/>
      <w:r>
        <w:rPr>
          <w:rFonts w:hint="eastAsia" w:ascii="宋体" w:hAnsi="宋体" w:eastAsia="宋体" w:cs="宋体"/>
          <w:b/>
          <w:bCs/>
          <w:spacing w:val="12"/>
          <w:sz w:val="32"/>
          <w:szCs w:val="32"/>
          <w:lang w:val="en-US" w:eastAsia="zh-CN"/>
        </w:rPr>
        <w:t>1</w:t>
      </w:r>
      <w:r>
        <w:rPr>
          <w:rFonts w:hint="eastAsia" w:ascii="Times New Roman" w:hAnsi="Times New Roman" w:eastAsia="宋体" w:cs="Times New Roman"/>
          <w:b/>
          <w:bCs/>
          <w:sz w:val="32"/>
          <w:szCs w:val="32"/>
        </w:rPr>
        <w:t>开拓马克思主义融合创新研究新境界</w:t>
      </w:r>
      <w:bookmarkEnd w:id="949"/>
      <w:bookmarkEnd w:id="950"/>
      <w:bookmarkEnd w:id="951"/>
      <w:bookmarkEnd w:id="952"/>
      <w:bookmarkEnd w:id="953"/>
      <w:bookmarkEnd w:id="954"/>
    </w:p>
    <w:p w14:paraId="73624B65">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贯彻落实党的二十届四中全会提出的“创新实施马克思主义理论研究和建设工程，加快构建中国哲学社会科学自主知识体系”战略部署，要求我们开拓“马克思主义+”融合创新新境界。这项工作大有可为、意义重大：马克思主义的丰富内涵为融合创新提供了巨大理论空间，“两个结合”为融合创新提供了根本方法论，融合创新是构建中国哲学社会科学自主知识体系的必由之路。要坚持马克思主义整体性，注重学术传承发展，做好批判性创新、系统性整合和体系化衔接工作。</w:t>
      </w:r>
    </w:p>
    <w:p w14:paraId="7F23AE9B">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第一，马克思主义丰富内涵为融合创新提供了巨大理论空间。</w:t>
      </w:r>
    </w:p>
    <w:p w14:paraId="097ACFFF">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马克思主义是由马克思和恩格斯共同创立的科学理论体系。从学科门类视角看，这一理论体系以哲学、经济学、政治学为支柱，为社会学、管理学、新闻学、历史学、文学、教育学、国际关系学、军事学等提供了强大分析工具与思想资源。经过长期发展，马克思主义已经成为内涵丰富、逻辑严密、开放发展的知识体系。这为其与众多学科融合创新奠定了坚实基础，也为我们开拓“马克思主义+”融合创新新境界提供了广阔空间。</w:t>
      </w:r>
    </w:p>
    <w:p w14:paraId="077EEA24">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马克思主义的根本立场、基本观点和科学方法具有普遍指导意义，能够贯通于众多学科领域。马克思主义的根本立场是人民立场，核心追求是满足人民美好生活的需要、促进人的全面发展。推进“马克思主义+”融合创新，要求相关学科立足自身领域，自觉运用马克思主义立场观点方法，聚焦人的多维度多层次需求以及社会关系结构，作出有深度、有温度的理论回应。学科有边界，但理论研究必须面向复杂的客观现实。任何涉及人及其社会关系的研究，在与马克思主义融合时都不能局限于书斋思辨，而必须立足丰富多彩的社会实践，面向不断变化的现实问题，坚持实事求是，在概念提炼、理论发展、命题检验乃至知识体系构建中彰显马克思主义品格。</w:t>
      </w:r>
    </w:p>
    <w:p w14:paraId="732D7802">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马克思主义与诸多学科联系密切，融合创新潜力大。哲学社会科学自不必说，其他学科亦不乏其例，且在快速扩展。例如，在医学社会学领域，通过融入马克思主义的生命关怀与社会分析，可以推动生命伦理的中国话语建构；在生态学领域，马克思主义关于人与自然的关系、资本主义生态批判等思想，为我们深刻理解生态危机的根源、探索人与自然和谐共生的路径提供了重要视角。即便在看似距离较远的自然科学与技术科学等领域，马克思主义在揭示科学活动的社会属性、引导科技向善而行、评估技术社会效应等方面也有重要启示。</w:t>
      </w:r>
    </w:p>
    <w:p w14:paraId="17D13758">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第二，坚持“两个结合”开辟融合创新新境界。</w:t>
      </w:r>
    </w:p>
    <w:p w14:paraId="3EF17BDA">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开拓“马克思主义+”融合创新新境界，旨在为续写经济快速发展和社会长期稳定两大奇迹新篇章、推进中国式现代化提供理论支撑。为此，必须坚持“两个结合”，守正创新。</w:t>
      </w:r>
    </w:p>
    <w:p w14:paraId="6D972B9A">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坚持马克思主义基本原理同中国具体实际相结合，要求我们从各相关学科对中国道路、中国实践、中国经验、中国之治等进行学理化提炼和体系化建构。沿着中国式现代化道路，中国经济社会发展取得历史性成就，中国智慧的积淀日益丰厚。这既为开拓“马克思主义+”融合创新新境界创造了成熟条件，也提出了紧迫要求。当前，正是我们以高度的历史主动精神，从中国经验中凝练人文、制度、政策智慧并且形成体系化知识，进而启迪未来的关键时期。</w:t>
      </w:r>
    </w:p>
    <w:p w14:paraId="2B9E35BC">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坚持马克思主义基本原理同中华优秀传统文化相结合，要求我们在“马克思主义+”融合创新中高度重视中华优秀传统文化的深远和独特影响。马克思主义基本原理与中华优秀传统文化在诸多理念上高度契合，二者结合为我们认识世界、改造世界提供了强大的思想武器。在中华大地上，马克思主义中国化时代化与中华优秀传统文化时代化相辅相成，焕发出蓬勃生机，不仅是理论创新的生长点，而且通过中国式现代化实践，深刻改变国家面貌和人民生活，提升文明感召力。</w:t>
      </w:r>
    </w:p>
    <w:p w14:paraId="119BD174">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“马克思主义+”融合创新不是简单拼接和染色，而是在“两个结合”基础上实现有机融合与创新发展。融合创新形态可因学科而异，但都必须立足社会实践、回答中国问题、服务人民需要。</w:t>
      </w:r>
    </w:p>
    <w:p w14:paraId="3994F88D">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p>
    <w:p w14:paraId="79EF1532">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第三，以融合创新助力构建中国哲学社会科学自主知识体系。</w:t>
      </w:r>
    </w:p>
    <w:p w14:paraId="6E3E24B5">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与自然科学等相比，哲学社会科学研究对象更具社会历史性，关乎国家和文化主体性。开拓“马克思主义+”融合创新新境界，主要面向哲学社会科学和相关交叉学科，必须牢固树立国家主体意识和文明自觉，立足中国道路、中国制度、中国经验等，着力形成中国理论、阐释中国道理、彰显中国智慧，为构建中国哲学社会科学自主知识体系提供理论、学科、话语支撑。</w:t>
      </w:r>
    </w:p>
    <w:p w14:paraId="5DDF30C0">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一方面，“马克思主义+”融合创新积累了较厚基础，理论创新具备向更高层次跃升、更深程度推进的条件；另一方面，中国式现代化丰富实践提供了大量独特鲜活的经验，为相关学科创新发展提供了充沛素材。勇立时代潮头的理论工作者必须把握时机，加快推进实践经验的学术转化工作，实现实践与理论良性互动。同时，作为一种人类文明新形态，中国式现代化正吸引世界目光。许多寻找现代化新路的国家，期待从中国智慧中获得借鉴和启迪。以“马克思主义+”融合创新为抓手，加快构建中国哲学社会科学自主知识体系，不仅有助于提升中国文化软实力与学术话语权，也将在分享中国经验和贡献中国智慧的过程中助力构建人类命运共同体。</w:t>
      </w:r>
    </w:p>
    <w:p w14:paraId="5EB7CBD4">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第四，把握关键环节推动融合创新向纵深发展。</w:t>
      </w:r>
    </w:p>
    <w:p w14:paraId="59239F5E">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“马克思主义+”融合创新是一项系统性理论工程，必须高度重视以下四个方面内容：</w:t>
      </w:r>
    </w:p>
    <w:p w14:paraId="7A93AC4A">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一是坚持马克思主义整体性。学科分工是深化研究的必然路径，从具体学科切入推进“马克思主义+”融合创新是务实选择，有助于在特定学科领域做深做细。然而，我们进行深入专精研究时，必须胸怀马克思主义整体性，使“马克思主义+”融合创新成为一种深思熟虑、有机贯通的学术实践，力求达到“极高明而道中庸”的境界。</w:t>
      </w:r>
    </w:p>
    <w:p w14:paraId="426F1D95">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二是注重学术传承与发展。在现有学科分类中，几乎每门哲学社会科学都可以从中华优秀传统文化中找到思想渊源。这条绵延数千年的文化根脉具有强大生命力。中华优秀传统文化与马克思主义基本原理高度契合，这种契合可以直接形成理论生长点。更重要的是，这种契合对中国实践产生深远影响，帮助我们从中国经验中提炼出鲜活的中国道理。“马克思主义+”融合创新是从学术层面促进“马克思主义的魂脉”与“中华优秀传统文化的根脉”有机结合，实现“合脉”与创新。因此，必须注重学术传承发展，在“阐旧邦以辅新命”中深化融合创新，增强理论的历史厚度。一句话，要在“返本开新”中厚植“马克思主义+”融合创新的历史根基。</w:t>
      </w:r>
    </w:p>
    <w:p w14:paraId="4BA432D1">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三是做好批判性创新工作。批判性创新是学术研究守正创新的必然要求。一方面，要对各个学科尤其是受西方影响较深的领域，运用马克思主义立场观点方法进行批判性审视，识别其可能存在的局限性和不适用性。另一方面，要自觉运用马克思主义立场观点方法观照中国现实，在批判基础上实现创新，在创新基础上实现理论范式和体系的重建。特别是，根据中国的人文传统与制度特征等，从基础概念与逻辑起点入手进行底层创新，进而推动知识体系重构。</w:t>
      </w:r>
    </w:p>
    <w:p w14:paraId="0947E4D5">
      <w:pPr>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四是做好新成果体系化整合工作。新成果如果不融入知识体系，不参与知识体系的演化，增强知识体系的历史解释力、现实洞察力和未来引领力，其价值将得不到充分彰显。回望历史，马克思和恩格斯在理论创新、人文关怀、社会理想等方面的思想，经由一代代马克思主义者与研究者接续发展，为“马克思主义+”融合创新提供了宝贵资源。审视当下，紧密结合中国式现代化实践，各个学科的理论研究新成果不断涌现。由此产生的一项重要任务就是及时收集整理新成果，做好与既有理论的系统性整合和体系化衔接工作，清晰呈现学术发展的连续性与整体性，进而让研究者可以站在新的起点上确立探索的新方向。</w:t>
      </w:r>
    </w:p>
    <w:p w14:paraId="25CEF9C4">
      <w:pPr>
        <w:pageBreakBefore w:val="0"/>
        <w:kinsoku/>
        <w:wordWrap/>
        <w:overflowPunct/>
        <w:topLinePunct w:val="0"/>
        <w:autoSpaceDE/>
        <w:autoSpaceDN/>
        <w:bidi w:val="0"/>
        <w:adjustRightInd w:val="0"/>
        <w:snapToGrid w:val="0"/>
        <w:spacing w:line="360" w:lineRule="auto"/>
        <w:textAlignment w:val="auto"/>
        <w:rPr>
          <w:rFonts w:ascii="Times New Roman" w:hAnsi="Times New Roman" w:eastAsia="宋体"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原载</w:t>
      </w:r>
      <w:r>
        <w:rPr>
          <w:rFonts w:hint="eastAsia" w:ascii="Times New Roman" w:hAnsi="Times New Roman" w:eastAsia="宋体" w:cs="Times New Roman"/>
          <w:sz w:val="24"/>
          <w:szCs w:val="24"/>
        </w:rPr>
        <w:t>《解放日报》2026年1月15日，（星期四）专版7</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第二、三作者为</w:t>
      </w:r>
      <w:r>
        <w:rPr>
          <w:rFonts w:hint="eastAsia" w:ascii="Times New Roman" w:hAnsi="Times New Roman" w:eastAsia="宋体" w:cs="Times New Roman"/>
          <w:sz w:val="24"/>
          <w:szCs w:val="24"/>
        </w:rPr>
        <w:t>伍山林、钟阳</w:t>
      </w:r>
      <w:r>
        <w:rPr>
          <w:rFonts w:hint="eastAsia" w:ascii="Times New Roman" w:hAnsi="Times New Roman" w:cs="Times New Roman"/>
          <w:sz w:val="24"/>
          <w:szCs w:val="24"/>
          <w:lang w:eastAsia="zh-CN"/>
        </w:rPr>
        <w:t>）</w:t>
      </w:r>
    </w:p>
    <w:p w14:paraId="720997CB">
      <w:pPr>
        <w:pageBreakBefore w:val="0"/>
        <w:widowControl w:val="0"/>
        <w:kinsoku/>
        <w:wordWrap/>
        <w:overflowPunct/>
        <w:topLinePunct w:val="0"/>
        <w:autoSpaceDE/>
        <w:autoSpaceDN/>
        <w:bidi w:val="0"/>
        <w:adjustRightInd w:val="0"/>
        <w:snapToGrid w:val="0"/>
        <w:spacing w:line="360" w:lineRule="auto"/>
        <w:ind w:firstLine="436" w:firstLineChars="200"/>
        <w:jc w:val="both"/>
        <w:textAlignment w:val="auto"/>
        <w:rPr>
          <w:rFonts w:hint="default" w:ascii="宋体" w:hAnsi="宋体" w:eastAsia="宋体" w:cs="Times New Roman"/>
          <w:w w:val="78"/>
          <w:kern w:val="2"/>
          <w:sz w:val="28"/>
          <w:szCs w:val="24"/>
          <w:lang w:val="en-US" w:eastAsia="zh-CN" w:bidi="ar-SA"/>
        </w:rPr>
      </w:pPr>
    </w:p>
    <w:p w14:paraId="1BB94D62">
      <w:pPr>
        <w:keepNext w:val="0"/>
        <w:keepLines w:val="0"/>
        <w:pageBreakBefore w:val="0"/>
        <w:widowControl w:val="0"/>
        <w:kinsoku/>
        <w:wordWrap/>
        <w:overflowPunct/>
        <w:topLinePunct w:val="0"/>
        <w:autoSpaceDE/>
        <w:autoSpaceDN/>
        <w:bidi w:val="0"/>
        <w:adjustRightInd w:val="0"/>
        <w:snapToGrid w:val="0"/>
        <w:spacing w:line="360" w:lineRule="auto"/>
        <w:ind w:firstLine="499" w:firstLineChars="200"/>
        <w:jc w:val="both"/>
        <w:textAlignment w:val="auto"/>
        <w:outlineLvl w:val="0"/>
        <w:rPr>
          <w:rFonts w:hint="eastAsia" w:ascii="宋体" w:hAnsi="宋体" w:eastAsia="宋体" w:cs="宋体"/>
          <w:b/>
          <w:bCs/>
          <w:w w:val="78"/>
          <w:kern w:val="2"/>
          <w:sz w:val="32"/>
          <w:szCs w:val="32"/>
          <w:lang w:val="en-US" w:eastAsia="zh-CN" w:bidi="ar-SA"/>
        </w:rPr>
      </w:pPr>
      <w:bookmarkStart w:id="955" w:name="_Toc212573680"/>
      <w:bookmarkStart w:id="956" w:name="_Toc645112024"/>
      <w:bookmarkStart w:id="957" w:name="_Toc14789"/>
      <w:bookmarkStart w:id="958" w:name="_Toc156155033"/>
      <w:bookmarkStart w:id="959" w:name="_Toc741328451"/>
      <w:bookmarkStart w:id="960" w:name="_Toc504519269"/>
      <w:r>
        <w:rPr>
          <w:rFonts w:hint="eastAsia" w:ascii="宋体" w:hAnsi="宋体" w:eastAsia="宋体" w:cs="宋体"/>
          <w:b/>
          <w:bCs/>
          <w:w w:val="78"/>
          <w:kern w:val="2"/>
          <w:sz w:val="32"/>
          <w:szCs w:val="32"/>
          <w:lang w:val="en-US" w:eastAsia="zh-CN" w:bidi="ar-SA"/>
        </w:rPr>
        <w:t>2复杂风险情境下关键产业备份何以可能</w:t>
      </w:r>
      <w:bookmarkEnd w:id="955"/>
      <w:bookmarkEnd w:id="956"/>
      <w:bookmarkEnd w:id="957"/>
      <w:bookmarkEnd w:id="958"/>
      <w:bookmarkEnd w:id="959"/>
      <w:bookmarkEnd w:id="960"/>
    </w:p>
    <w:p w14:paraId="6E1D78D0">
      <w:pPr>
        <w:pStyle w:val="27"/>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b/>
          <w:sz w:val="21"/>
          <w:szCs w:val="21"/>
        </w:rPr>
        <w:t>摘 要：</w:t>
      </w:r>
      <w:r>
        <w:rPr>
          <w:rFonts w:hint="eastAsia" w:ascii="宋体" w:hAnsi="宋体" w:eastAsia="宋体" w:cs="宋体"/>
          <w:sz w:val="21"/>
          <w:szCs w:val="21"/>
        </w:rPr>
        <w:t>未来的国际竞争不仅是生产效率之争，更是危机响应速度、冗余资源调度、产业备份能力的复合博弈。当系统复杂性超越治理容量，就会产生复杂风险。复杂风险情境下，关键产业备份不是简单的产业链替代方案，而是国家战略意志的物质化载体和权力投射枢纽。在关键产业备份中，国家安全能力的形塑通过国家动员机制来衡量，具体分解为集中激活机制、纵深穿透机制和动态迭代机制。中国关键产业的备份，将以全国统一大市场助推构建空间备份梯度分工格局、以数智技术跃迁助推构建技术—备份双向驱动的螺旋共生、以高水平对外开放助推构建中国备份范式的全球接口来实现。</w:t>
      </w:r>
    </w:p>
    <w:p w14:paraId="257B6853">
      <w:pPr>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p>
    <w:p w14:paraId="3668D038">
      <w:pPr>
        <w:pStyle w:val="28"/>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关键词：关键产业备份；国家动员机制；复杂风险情境；国家经济安全</w:t>
      </w:r>
    </w:p>
    <w:p w14:paraId="2B755593">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当前世界处于极端不确定中，特朗普2.0政策推升"关税—产业—移民"三重保护主义，地缘政治冲突频发，地缘经济割裂，世界市场承受重大冲击。人工智能治理陷入"权力竞逐"，美国构建排他性"俱乐部规则"，技术脱钩加速全球公共品供给短缺，地缘"黑天鹅"（中东冲突）、政策"灰犀牛"（美国关税）、金融流动性突变（美债抛售）等任一因素均可引发链式反应，各国都在重新审视自身产业的战略定位与安全保障。国际政治经济形势所呈现的"多重范式转换"与"系统性风险积聚"并存的复杂图景，本质上是全球权力再分配、治理机制失序、技术革命迭代等多维张力共同作用的结果，是秩序转型期的规则重构。</w:t>
      </w:r>
    </w:p>
    <w:p w14:paraId="795CC205">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因此，未来的国际竞争不仅是生产效率之争，更是危机响应速度、冗余资源调度、产业备份能力的复合博弈，需要探寻效率与韧性的均衡点。发展与安全是一体两面，那么，如何运用安全投入创造发展条件？同时如何使发展成果反哺安全？习近平总书记在《国家中长期经济社会发展战略若干重大问题》中指出，"为保障我国产业安全和国家安全，要着力打造自主可控、安全可靠的产业链、供应链，力争重要产品和供应渠道都至少有一个替代来源，形成必要的产业备份系统"①，明确指出了现阶段构建产业备份系统的重要性。党的二十届三中全会审议通过了《中共中央关于进一步全面深化改革、推进中国式现代化的决定》，正式提出"建设国家战略腹地和关键产业备份"②。产业备份是对产业链风险的预先筹划，是链接发展与安全的中介，能够很好地解决安全与发展的互构关系，是对"存在"与"超越"这一根本哲学命题在国家治理维度中具象化的现实解读。</w:t>
      </w:r>
    </w:p>
    <w:p w14:paraId="0D60B7B7">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当前学术界对"产业备份"的研究并不多，截至2025年6月22日，知网以"产业备份"为关键词检索的论文共5篇，其中2篇是以"战略腹地"为主题的论文[1-2]，真正以"产业备份"为主题的论文只有3篇[3-5]，分别对基于美国关税政策视角下的中国产业备份模式创新、中国式现代化视域下的产业备份共同体构建及基于"链主国—嵌入国"序贯博弈模型的产业备份方略进行了阐释，具有相当的开拓性。诚然，国内外学术界对产业链供应链安全的研究非常丰富，主要是阐释在面临库存系统中的供应中断和产量不确定性的供应链风险时，供应商如何选择备用供应商以提高供应链抵御中断风险的能力。然而，企业面对不确定性是常态，供应链随时受各种因素扰动，如何在不确定性中进行最优经营决策是企业的必备能力，与产业备份截然不同，不是这里讲的产业备份问题。中华人民共和国成立后仅有一次产业备份，就是三线建设，这次是第二次，本质上是国家产业安全战略，体现了国家在复杂风险面前对关键产业链供应链的主动干预和顶层设计，因此与一般的供应链安全研究完全不同。</w:t>
      </w:r>
    </w:p>
    <w:p w14:paraId="49757F9B">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基于以上考虑，本文试以复杂风险情境为出发点，超越常规经济效率考量，对关键产业备份的战略定位、内涵基准和类型识别进行解析，突出体现关键产业备份中的国家主导功能，揭示国家在提升关键领域的自主可控能力和在复杂风险情况下的底线生存能力的重大意义。尤其通过探索关键产业备份中的国家动员机制，深入剖析国家战略规划和结构化冗余设计如何实现"系统韧性跃迁"，如何在当前全面深化改革开放中构建风险响应动态恢复能力，推动国家竞争从外部冲击应对向内生发展动能培育转变，增强国家在不确定性世界中的长期竞争力和战略主动性。</w:t>
      </w:r>
    </w:p>
    <w:p w14:paraId="5DFCC257">
      <w:pPr>
        <w:pStyle w:val="30"/>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一、关键产业备份面临的复杂风险情境</w:t>
      </w:r>
    </w:p>
    <w:p w14:paraId="0CC53343">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作为旧秩序裂解与新体系孕育间的过渡态，国际竞争并非稳定的常态结构，而是深层结构性矛盾的动态显化。这些矛盾本质上是国际普遍性与特殊性、开放性与封闭性、效率与安全、市场逻辑与政治逻辑等一系列深层矛盾在当代国际政治经济体系中的集中体现。当系统复杂性超越治理容量，就会产生复杂风险。自金融危机之后，无论是地缘政治风险指数，还是全球经济政策不确定性指数，都不断飙升，风险有增无减③。尤其是美国及其盟友已经重新定义了他们发展的逻辑，从追求降低成本到建立基于共同价值的伙伴关系，旨在取代中国在世界经济中的作用，与中国脱钩的地缘政治压力是全球化"新"脆弱性的根源[6]。</w:t>
      </w:r>
    </w:p>
    <w:p w14:paraId="60A272A9">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复杂风险的生发本质上是旧秩序裂解与新体系孕育过渡期结构性矛盾的集中爆发，这些结构性矛盾包括全球化与区域化之间的悖论、分工专业化与价值链韧性之间的悖论及数智化与数字鸿沟之间的悖论，这些体系悖论暴露了全球化供应链的脆弱性和敏感性。</w:t>
      </w:r>
    </w:p>
    <w:p w14:paraId="016F15D1">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（一）全球化与区域化之间的悖论</w:t>
      </w:r>
    </w:p>
    <w:p w14:paraId="6CC6CB5F">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全球化是通过资本、商品、服务、信息和人员在全球范围内的自由流动，建立一个无边界的世界市场和社会网络。而区域化通常指区域一体化，如欧盟、东盟、非盟等，目标是在特定区域内实现超越民族国家层面的深度合作与整合，往往需要成员国主动让渡部分国家主权，建立共同的制度、法律、政策甚至货币，形成一个新的政治经济实体或紧密联盟。全球化追求的是全球范围的"去边界化"，而区域化在推进内部"去边界化"的同时，在区域与外部世界之间构筑了新的制度性边界。区域化的规则、标准和优惠待遇，如关税同盟、共同农业政策等，天然具有排他性，必然阻碍全球范围内的完全自由流动[7]。全球化的"普遍主义"理想与区域化的"集团化"现实之间的悖论，实际上是无国界理想与有边界现实间的永恒张力。悖论主体相互影响，全球化带来的不确定性、不平等加剧、文化冲击、主权削弱感等负面效应，恰恰成为推动区域一体化的重要动力。而区域一体化集团可能成为大国全球战略竞争的棋子或支点，将全球化的经济竞争升级为集团化的政治经济博弈，可能增加系统性风险[8]。</w:t>
      </w:r>
    </w:p>
    <w:p w14:paraId="44070DD7">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（二）分工专业化与价值链韧性之间的悖论</w:t>
      </w:r>
    </w:p>
    <w:p w14:paraId="4A6EBE00">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当前新国际分工的一个突出特征就是，产品的生产从概念到最终产品的装配，不再由单一机构承担，而是越来越多地在这些全球价值链内进行外包，让位给所谓的"任务贸易"，形成了一个全球工序分工网络[9]。核心国家掌握标准与核心技术，边缘国家承担低端环节，被锁定在效率最大化的单一赛道，形成"结构性脆弱"，全球分工体系中的"专业化效率提升"与价值链韧性的"系统性风险累积"之间的矛盾不断凸显。尤其是，在产品内分工的条件下，根据中间品交易运作的基本规律，价值链中个别环节的停摆，将出现"长鞭效应"，即鞭子的轻微挥动便会引起鞭梢的巨大摆动，价值链末梢端供应商面临的波动，往往要大于价值链根部发包方面临的波动，价格信号在向供应商不断传递的过程中，其波动因价值链的相互嵌入会产生自我强化的放大趋势。分工专业化与价值链韧性之间的悖论，本质是现代性困境的缩影———对确定性的追求反而制造了更大的不确定性。而且在全球价值链分工格局下，发展中国家受到的风险冲击远远大于发达国家。</w:t>
      </w:r>
    </w:p>
    <w:p w14:paraId="4614D5A9">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（三）数智化与数字鸿沟之间的悖论</w:t>
      </w:r>
    </w:p>
    <w:p w14:paraId="4CAC2EC3">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在全球数智化加速演进的过程中，美国等发达国家作为数字经济的先行者，实现了数字经济的高速扩张和显著受益；中国把握住数字经济发展契机，加速弯道超车，逐渐缩小与发达国家的差距；而广大发展中国家特别是最不发达国家则普遍存在数字基础设施落后、数字技术和人才缺乏、数字产业发展滞后等问题，并且随着数字技术的加速迭代，与发达国家的差距不断扩大，全球数字鸿沟问题日益凸显[10]。虽然世界在连通性方面持续取得进展，但高收入国家和低收入国家之间依然存在巨大差异。据国际电联估计，到2024年，还有26亿人处于离线状态，占世界人口的32%④。</w:t>
      </w:r>
    </w:p>
    <w:p w14:paraId="2A4F40EF">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随着数智化的发展，数字鸿沟日益呈现出结构性深化、权力属性凸显、自我强化加剧的悖论性特征。数字基础设施接入、数字技术应用、数字经济收益会相互促进或制约，形成累积循环，产生强者愈强、弱者愈弱的马太效应，而数字治理规则又会进一步放大这一效应[11]。当技术理性异化为算法垄断、资本积累蜕变为数据圈地时，数字鸿沟已成为发达国家地缘博弈的强大筹码。</w:t>
      </w:r>
    </w:p>
    <w:p w14:paraId="06CE5897">
      <w:pPr>
        <w:pStyle w:val="30"/>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二、关键产业备份的定位、内涵与识别</w:t>
      </w:r>
    </w:p>
    <w:p w14:paraId="24D738BE">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在复杂风险情境下，"生存"和"基本运转"成为压倒性目标，关键产业链很容易成为被打击或封锁的对象，一旦关键节点被切断或失效，将导致产业链停摆、经济失速、社会动荡，甚至威胁国家安全。因此，产业备份亟须超前布局，"Just In Case"（以防万一）的安全逻辑是对"Just In Time"（及时供应）的效率逻辑的彻底更新。当然，这里需要备份的"产业"并不是指一般意义上的产业，并非所有产业都需要备份，而是聚焦于具有基础性、枢纽性、战略性的领域，是关键产业的备份。例如高端芯片、先进材料、工业母机、工业软件、高端光刻机、高性能光刻胶等。关键产业备份既非纯粹安全工具（如军队），也非单纯发展载体（如创新企业），而是处于"安全—发展光谱"交汇带的阈限存在，是在复杂世界中守护发展和安全的必然选择。</w:t>
      </w:r>
    </w:p>
    <w:p w14:paraId="2A66A2D4">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（一）关键产业备份的国家战略定位</w:t>
      </w:r>
    </w:p>
    <w:p w14:paraId="49257F30">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以复杂风险情境为出发点的关键产业备份，不是简单的产业链替代方案，而是国家战略意志的物质化载体和权力投射枢纽，体现了国家对全球化和相互依赖脆弱性的深刻反思，以及对"底线思维"和"极限思维"的实践。就底线思维而言，即凡事从最坏处着眼，做最充分的准备，设定必须守住的底线，如粮食自给率红线、能源供应最低保障等。就极限思维而言，即考虑最极端、最恶劣的冲击情境，如全面封锁、地缘政治冲突、自然灾害、战争等，要求备份系统在极端条件下仍能维持最低限度的运转能力。因此，关键产业备份需要超越简单的"应急替代"思维，将其视为一种基于国家安全逻辑、深度融入国家发展战略的系统性风险治理工程。其核心逻辑就是，通过预先构建关键产业的本土化能力和供应链冗余，确保在极端外部冲击下，国家经济命脉和基本社会运转不受致命性中断。备份体系下，关键产业的备份是以国家安全为导向的产业战略布局，是支撑大战略的安全化框定，是以产业备份书写战略意志的载体。</w:t>
      </w:r>
    </w:p>
    <w:p w14:paraId="19DBEEA3">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这种基于国家战略的关键产业备份，目标是构建自主可控、安全可靠的产业体系。自主可控（autonomy &amp; control）是对关键技术、核心工艺、关键设备和原材料拥有自主知识产权、生产能力或可靠的替代来源，并能主导供应链的关键环节[12]；安全可靠（resilience &amp; reliability）则是供应链具备冗余性（redundancy）、多样性（diversity）、分散性（dispersion）和可恢复性（recoverability），在冲击下能维持基本功能或快速恢复[13]。因此，国家战略层面的关键产业备份本质上是安全与发展二元张力的创造性解决方案，通过构建"战略性冗余"，实现三者的动态均衡。其精妙之处在于将看似矛盾的目标转化为递进增强的系统，形成安全触发备份、备份倒逼发展、发展反哺安全的富有韧性和可持续性的正反馈循环，如图1所示。</w:t>
      </w:r>
    </w:p>
    <w:p w14:paraId="74EC9088">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（二）关键产业备份的内涵基准</w:t>
      </w:r>
    </w:p>
    <w:p w14:paraId="014757E5">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关键产业备份作为链接发展与安全的中介，是通过结构性冗余实现"辩证统一"向"实践转化"的关键跃迁。因此这里的关键产业备份，是指为保障国家经济安全与战略自主性，对涉及国计民生、国防安全或产业链核心环节的产业，通过建立冗余产能、技术储备和替代性供应链，以应对断供、自然灾害或地缘政治冲突等系统性风险的主动布局。</w:t>
      </w:r>
    </w:p>
    <w:p w14:paraId="367E0027">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当前的关键产业备份兼具结构性和过程性的特点，不仅是一个"战时机制"，而且是一个常态化的经济治理工具，其效能核心在于以最小经济代价实现"卡脖可替代、断链可重构"的动态安全能力。通过技术备份实现"卡脖替代"，通过空间备份保障"断链重构"，最终在开放环境下构建"备而不用、用则能战"的经济治理体系。这种以动态安全能力重塑全球化的参与方式，本质并非备份系统的启用频率，而是以最小经济代价维持产业链的持续竞争力。</w:t>
      </w:r>
    </w:p>
    <w:p w14:paraId="2E7E987A">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理解关键产业备份的内涵，需要超越传统效率优先原则，将"安全冗余"纳入产业政策目标，将关键产业的战略价值超越经济回报作为核心指标，超越常规的商业连续性计划（business continuity planning，简称BCP）。BCP本质是用短期经济成本置换长期系统稳定性。企业BCP是企业为应对重大中断事件，确保核心业务功能持续运行或快速恢复的系统性管理框架，是通过预先设计的策略和流程，将突发危机对运营的冲击控制在可承受范围内。从区别来看，企业BCP聚焦企业层面的生存能力，是企业的求生反应；关键产业备份则是聚焦国家层面的产业政策，是国家的主动进化；企业BCP是止损机制，关键产业备份则是增长引擎，能够促进安全与发展的辩证统一；企业BCP投入按比例抵扣安全准备金，关键产业备份则是通过税收优惠将国家备份成本分摊。从联系来看，企业BCP与关键产业备份的关系如同"微观细胞修复"与"宏观骨骼再造"，共同构成经济生态的韧性网络。正如中国的"东数西算"工程，工程为企业BCP提供低成本西部数据中心，而企业宕机数据则帮助政府识别算力链薄弱环节。</w:t>
      </w:r>
    </w:p>
    <w:p w14:paraId="61D47868">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同时，还需要对关键产业备份和国民经济动员进行辨识，理解二者的区别，对于制定有效的国家安全政策和经济安全战略至关重要。国民经济动员是指国家将国民经济各部门和相应的国家机构有组织、有计划地由平时状态转入战时状态，充分调动国家经济能力的超常规供给，保障战争需要的活动和过程[14]。关键产业备份和国民经济动员都涉及国家经济安全与应急能力建设，强大的关键产业备份能力是国家在战争时期能够成功实施国民经济动员的重要物质和技术基础，没有这些备份能力，国民经济动员可能因基础环节崩溃而失效。然而二者也存在很大不同，关键产业备份是国家为了防范复杂风险，在关键领域提前准备好"备胎"和"应急包"，国民经济动员则是国家为了打赢全面战争，强制把整个国家的经济机器"换挡"到战争模式。也就是说，备份是防范和缓解多种风险、增强经济韧性的"日常功课"和"危机保险"，而国民经济动员则是应对最坏情况的"终极手段"。</w:t>
      </w:r>
    </w:p>
    <w:p w14:paraId="74BC4ED9">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（三）关键产业备份的类型识别</w:t>
      </w:r>
    </w:p>
    <w:p w14:paraId="4EE9DE58">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关键产业备份的识别需要穿透产业表象，跳出传统产业分类的框架，聚焦国家经济安全的"命脉环节"，直指国家经济系统的生存依赖点和崩溃临界点。空间上定位产业链条中最脆弱的环节；时间上预判技术迭代中的代际断点；功能上锁定具有控制杠杆效应的关键节点。</w:t>
      </w:r>
    </w:p>
    <w:p w14:paraId="34F8F203">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根据创新理论，新产品、新方法、新市场、新原料、新组织等创新要素通过扩散，将生产要素和生产条件的"新组合"注入生产体系，最终促成了体系内部结构的革命性演进[15]。参照这一理论，根据我国现实情况，需要对关键技术、关键零部件、关键原材料、关键组织、关键人才进行备份。这些备份对象都具有命脉节点特征，即不可替代性，如光刻机的镜头；传导放大性，某个零部件断供可能影响整机停产；时间黏性，重建周期较长；战略关联性，直接影响国防、能源等核心领域。</w:t>
      </w:r>
    </w:p>
    <w:p w14:paraId="1A65616B">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关键技术的备份是与时间赛跑———必须在技术代际锁死前、供应链断链前、知识链断层前完成安全冗余部署。关键技术的备份，不仅是风险缓释策略，更是重塑本土产业生态系统、推动价值链升级、最终实现以全要素生产率驱动内涵型增长的根本路径。关键零部件的备份直接影响产业链韧性。例如中国拥有最大的新能源车产能，但是芯片的自给率目前不到10%，是结构性的短缺⑤。关键零部件备份的本质是在全球化碎裂时代重建物理世界的"冗余"，必须用工程思维解构产业链的"断裂临界点"，以精准的关键零部件备份投入换取经济系统的抗毁弹性。关键原材料，如能源、矿产、粮食等，既是一个国家或地区经济实力的体现，也影响下游产业运转乃至整个国民经济循环，是国民经济运行的"血液级物资"。关键原材料备份的深层逻辑在于将地缘风险转化为可控成本，核心在于识别那些"停供即停摆、缺失即崩溃"的原材料。关键组织是制订有效恢复计划的核心，掌握着系统的核心竞争力，在复杂风险情境面前，产业备份的价值不在于数据本身，而在于它能多快让组织的核心脉搏重新跳动。关键人才往往具备难以替代的专业性，对业务连续性有重大影响，或掌握核心组织资产的特征，最高级别的人才备份不是培养替代者，而是将个人能力转化为可组合的模块化方案。</w:t>
      </w:r>
    </w:p>
    <w:p w14:paraId="4556B9C4">
      <w:pPr>
        <w:pStyle w:val="30"/>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三、关键产业备份的国家动员机制</w:t>
      </w:r>
    </w:p>
    <w:p w14:paraId="42D57DAF">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既然关键产业备份是将产业备份从"成本负担"转化为"战略资产"（正如中国稀土管制迫使美日重建产业链），则国家主导的备份能力本身即威慑工具。因此，这里讲的关键产业备份，是对新自由主义安全解读的超越，突出体现国家的动员能力。国家是备份系统的"架构师"，通过多维布局构建风险分散的网状结构实现国家发展的高韧性目标。关键产业备份本质上是耗散结构系统[16]，国家作为"适应性复杂系统的序参量"，作用在于通过政策参数引导系统远离平衡态，在危机中实现自组织临界跃迁。</w:t>
      </w:r>
    </w:p>
    <w:p w14:paraId="62EC8239">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（一）关键产业备份的新自由主义超越</w:t>
      </w:r>
    </w:p>
    <w:p w14:paraId="44B2DAE7">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在西方发达国家的新自由主义视阈下，核心教条是市场万能，认为市场机制可自动优化资源配置，包括安全领域。</w:t>
      </w:r>
    </w:p>
    <w:p w14:paraId="70348A10">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方面，市场主导安全逻辑，迷信市场自动调节安全。新自由主义认为市场主体的交易带来买卖双方的繁荣，有利于经济均势稳态的形成，而均势稳态又是确保国家稳定的重要机制。国家所扮演的角色被弱化为一个"守夜人"[17]，需要用军事力量来维持国家机器的运行。军费开支作为可精确测量的"安全指标"，易量化、可视性强，通过GDP占比、国际排名等数据简化了复杂的地缘政治，并能快速转化为政治宣传资本。军费增长直接刺激军工复合体股价，形成政治—金融正反馈循环[18]。而关键产业备份需要多年甚至几十年的持续投入，其收益无法在选举周期内显现，故被政策制定者系统性忽视。这样，新自由主义往往将安全降维成商品交易，把国家安全等同于军事硬实力的量化指标，政策制定者将资源集中于可见的军事装备投入，认为国家只需增加军费采购武器即可获得安全。</w:t>
      </w:r>
    </w:p>
    <w:p w14:paraId="50970BAA">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另一方面，市场主导发展逻辑，推崇企业效率至上，忽视国家的规划角色。新自由主义将精益生产奉为圭臬，追求零库存，原材料、成品库存被视为"浪费"，要求按订单实时生产。按照全球化分工，将产业链分散至成本最低地区，以最小化的成本获得最大化的利润。这种效率优先模式，否定了备份的正当性，关键产业备份被视为"低效浪费"。由于把企业微观层面的效率逻辑上升为国家宏观战略，导致关键产业备份这一安全必需举措被系统性排斥。企业目标是短期利润最大化，国家目标是长期生存权保障，新自由主义将企业财务效率等同于国家经济效率，用概率极低的"稳定预期"替代真实世界的复杂性，导致发展被"财报化"。事实上，真正的效率是生存与发展权的统一，产业备份并非否定效率，而是推动效率观从狭隘财务效率转向系统韧性效率。</w:t>
      </w:r>
    </w:p>
    <w:p w14:paraId="5E9F9EBF">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如果将安全窄化为军费竞赛、将发展异化为效率崇拜的模式，"这种自律性市场的信念蕴涵着一个全然空想的社会体制（utopia）"[19]，必将瓦解国民经济体系的抗风险根基。因此，中国式现代化下的关键产业备份，是对"市场原教旨主义"新自由主义的超越，必须将其置于大国竞争背景、国家安全逻辑及中国特色社会主义市场经济体制框架下进行审视，重视国家的作用。国家作为解释市场经济和经济发展的关键机制或核心变量，在产业运行体系与产业创新系统中扮演着重要角色[20]。国家不是市场经济的旁观者，而是深度参与者、调控者、塑造者和最终保障者。在不断塑造和完善国内统一大市场中，国家主导的关键产业备份能力具有战略优势，应着重发挥国家能力的建构功能，重塑具有人类文明新形态特质的产业链治理范式。</w:t>
      </w:r>
    </w:p>
    <w:p w14:paraId="4B99472E">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（二）关键产业备份的国家动员机制</w:t>
      </w:r>
    </w:p>
    <w:p w14:paraId="5C4BE605">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与西方国家政治与经济、社会之间充满张力的脆弱性体系完全不同，中国特色社会主义道路摒弃了资本逻辑宰制的市场模式和社会脱嵌，也不是新古典主义和凯恩斯主义之间的"钟摆实验"，而是回到了马克思。根据唯物史观，一方面，国家"照例是最强大的、在经济上占统治地位的阶级的国家"⑥，另一方面它"始终是在每一个家庭集团或部落集团中现有的骨肉联系、语言联系、较大规模的分工联系及其他利益的联系的现实基础上，特别是在我们以后将要阐明的已经由分工决定的阶级的基础上产生的"⑦。因此，马克思主义视域下的国家概念，其核心内涵或目标应该是使该国最主要政治决策力量具有决策上的自主性[21]。"将国家带回来"[22]后，中国式关键产业备份的核心在于打破安全与发展的二元对立，在国家安全框架下实现效率与韧性的辩证统一，是一项融合了安全诉求、发展规划、制度特色和底线思维的复杂系统工程。备份系统的成效，将取决于能否在保障安全底线、提升技术能力、维持经济效率和避免封闭之间找到动态平衡，是一种国家安全能力的体现[23]。国家安全能力的形塑通过国家动员机制来衡量，具体分解为集中激活机制、纵深穿透机制及动态迭代机制（如图2所示），确保国家在安全实践中能够正确、高效地运用现有资源和制度"工具箱"，来积极、主动地维护国家重大利益。</w:t>
      </w:r>
    </w:p>
    <w:p w14:paraId="6D47D855">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是集中激活机制。在面临复杂风险时，国家必须主动承担起定义战略优先级、整合分散资源的核心职能，从而为市场和社会力量在后续阶段的广泛参与铺平道路、搭建平台。集中激活机制，是通过国家权力的战略性配置，在选定的核心瓶颈领域形成"资源密度压倒性优势"，以精准聚焦、超常动员、饱和投入、极限施压打破技术封锁与供应链壁垒，通过制度性安排将国家安全能力转化为战略突破力。这种机制绝不是资源的简单堆砌，而是通过一套精心设计的制度与压力系统，定向引爆和催化国家战略能力，最终实现从"被动防御"到"主动塑局"的转变。而且这种机制重在通过"非对称突破"，聚焦关键核心瓶颈，在有限领域投入压倒性资源打破封锁。当预定义的复杂风险阈值被触发，国家部门依据预案迅速激活备份系统，成立跨部门协调机构，统一调配资源。例如，在美国于2023年切断高端芯片对华供应时，中国立即激活稀土战略储备，限制镓、锗出口，迫使美日加速本土稀土精炼厂建设，成本飙升。备份体系成为非对称反制武器，有效实现战略威慑。通过集中激活，将国家能力转化为战略压强生成器，通过制度设计在关键节点形成"局部绝对优势"，以"重点爆破"实现技术封锁的链式突破，最终构建自主可控的产业备份系统。</w:t>
      </w:r>
    </w:p>
    <w:p w14:paraId="2F01FFAF">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二是纵深穿透机制。关键产业备份在具体的执行过程中，需要解决国家战略意志与市场主体行为之间的内在张力，使具有公共安全属性的关键产业备份目标，内化为企业的理性选择。纵深穿透机制旨在破解"最后一公里"，使政策落地，确保备份政策穿透市场逐利屏障直达执行端，将国家战略意志转化为企业的具体行动。国家提供风险兜底和市场保障，企业让渡部分经营自主权，共同完成战略能力建构，主要是通过技术穿透、资本穿透、组织穿透、数据穿透等多重路径，构建从政策制定到车间执行的直达通道。在纵深穿透机制中，技术穿透是实现自主可控的核心引擎，其本质是通过制度设计穿透技术壁垒、知识黑箱与路径依赖，构建从基础研究到产业应用的全链条技术根系。资本穿透是通过重构资本属性与流动规则，将国家战略意志转化为市场主体的财务驱动力，突破短期逐利屏障，实现资源向战略目标的精准定向输送。组织穿透是通过重构权力架构与责任传导链条，打破科层制壁垒和减小市场代理损耗，实现国家战略意志直达执行末梢的核心保障。数据穿透是构建全链透视的"数字神经"，强制接入关键企业ERP/MES系统，实时生成断链风险热力图，随时监控关键产业实时数据。</w:t>
      </w:r>
    </w:p>
    <w:p w14:paraId="1092444A">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是动态迭代机制。关键产业备份是一个复杂适应系统，需要不断动态调整备份清单和技术路径，实现系统整体韧性的进化。动态迭代机制，是通过感知新技术颠覆、供应链重组等内外部压力，前瞻性识别技术轨道的方向，并通过预研备份，助力本国产业在新技术轨道上实现新的创造，使备份从成本中心转变为创新策源地的一部分。因此，关键产业备份是动态瞄准锚定的过程，备份系统的效能需要持续投入和迭代升级，使备份体系具备持续适应性与抗脆弱性。备份的重点和优先级会根据国际形势、技术发展趋势、新暴露的风险点进行动态调整。既要防范显性依赖的"灰犀牛"，更需警惕隐性断点的"黑天鹅"，通过持续监测校准，将备份资源精确投向真正攸关国家经济生命线的产业节点。当无法完全复制原有高端产品的情况下，可灵活采取技术降维、设计简化、系统重构的策略。当技术自主化国产率大大增强、供应商多元化、国防需求转移时，备份的退出机制即适时启动，备份策略随风险演化实时进化。动态迭代机制的目标就是要不断打造"智慧型备份生命体"，在风险冲击中愈加强韧，在技术变革中持续领先，形成动态备份生态。</w:t>
      </w:r>
    </w:p>
    <w:p w14:paraId="00164D32">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（三）关键产业备份国家动员的成功案例</w:t>
      </w:r>
    </w:p>
    <w:p w14:paraId="51B78C76">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线建设（1964—1980年），是中国在冷战背景下为应对国际安全威胁而实施的国家级战略产业备份工程，体现了战略布局的前瞻性、资源动员的深度性、产业备份的有效性及长期发展的可持续性，是关键产业备份国家动员的成功案例。通过这一阶段优先发展重工业和调整生产力空间布局，我国产业链供应链安全实现了"从0到1"的飞跃，具备了产业备份能力，取得了重大成功。</w:t>
      </w:r>
    </w:p>
    <w:p w14:paraId="25475A5B">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20世纪60年代，中国国家安全环境极为复杂，世界局势激烈动荡，各种力量严重分化，国际上反动势力威胁中国国土安全的局势十分严峻。为此，毛泽东同志特别号召"备战、备荒、为人民"⑧，其中"三线建设"是最主要的措施，"我们把钢铁、国防、机械、化工、石油基地和铁路都搞起来了，那时打起来就不怕了"⑨。从长远来说，"三线建设起来，就能从根本上改变我国经济建设上的战略布局，就既可以适应战争的需要，又能够为我国经济的发展，创造更好的条件"⑩。由此便开始了轰轰烈烈的三线建设，通过举国体制，将关乎国家安全核心能力的生产力，从东部沿海易受攻击的工业中心，向具有地理纵深的内陆"战略后方"进行大规模空间重置。在整个三线建设期间，国家通过政策杠杆超常规动员，共投入2052.68亿元，相当于1953—1964年投资的3倍，无论投资规模还是时间跨度，都是前所未有的。根据1984年普查，中西部地区建成了1945个大中型企业、科研设计院所⑪。向三线地区布局生产力进行产业备份，是一种审时度势的战略性工业地理重构，不能简单地以经济账来衡量。邓小平同志就认为"一、二、三线建设，是战略问题"⑫。这种通过国家战略而重塑的产业空间布局，基本建成了以国防工业为重点，以煤炭、电力、钢铁、有色金属工业为基础的工业体系，初步形成了以战略、战役和战术后勤相衔接的国家战略后方体系布局[24]。</w:t>
      </w:r>
    </w:p>
    <w:p w14:paraId="4C131EEE">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在三线建设中，集中激活机制表现在中央专设"三线建设委员会"，拥有跨省资源调度权，可征用民用工厂转产军工，通过资金极限投入和技术人员大规模调配，实现战略聚焦与资源倾斜。这期间，以"两弹一星"为典型代表，三线建设建成了雄厚的航天、航空、常规兵器工业基地及战略武器科研和生产基地，形成了门类齐全的电子工业体系，使得我国军事防御能力大幅度增强，对当时和平环境给予最大程度的保障。纵深穿透机制表现在消除政策损耗，打破行政层级壁垒，实现国家意志直达执行末梢，自上而下政策精准落地，自下而上车间直达中枢。这种上下一心的精神共识，铭刻成厚重的国家记忆。动态迭代机制则表现在军转民延续企业生命力，三线建设期间陆续建成了一大批国家重点大型骨干企业，如冶金装备行业的攀枝花钢铁厂、西南铝加工厂等，军工行业的中物院、核动力研究院、长虹机器厂等一批机械厂，化学工业方面的四川维尼纶厂、重庆氮肥厂、重庆磷肥厂等，提升了川渝在全国战略大后方建设的重要地位，并为改革开放后成渝地区的经济发展奠定了工业建设基础和物质资源条件。</w:t>
      </w:r>
    </w:p>
    <w:p w14:paraId="0B8F3B26">
      <w:pPr>
        <w:pStyle w:val="30"/>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四、关键产业备份的实现路径</w:t>
      </w:r>
    </w:p>
    <w:p w14:paraId="1C864D7C">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中国在复杂风险情境下的关键产业备份，是对全球化深度依赖所蕴含的系统性风险的主动防御和风险管理，体现了强烈的忧患意识和国家主导的强力动员能力，通过空间重构与技术跃迁实现产业链安全与效率的辩证统一。其现实意义远超应急保障层面，更是推动区域协调发展、促进科技自主创新、重构全球竞争优势的系统性工程。中国以川渝、贵州、陕西等战略腹地为支点，正书写大国产业韧性的新篇章。当数字化赋能打破"安全—效率"脸谱化的二元对立，产业备份将不再是被动的风险应对，而成为主动引领高质量发展的变革力量，正为全球南方国家提供"去中心化发展"的新路径。</w:t>
      </w:r>
    </w:p>
    <w:p w14:paraId="726D3779">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（一）以全国统一大市场助推构建空间备份梯度分工格局</w:t>
      </w:r>
    </w:p>
    <w:p w14:paraId="022ED2D0">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关键产业备份是一个在国家顶层设计框架下，市场微观主体积极响应、区域基于比较优势竞合参与的复杂系统工程。因此，在关键产业备份这一国家主导的行动中，市场因素与区域禀赋不仅是需要考虑的要素，更是决定备份体系能否从"政策蓝图"转变为"经济现实"和"有效冗余"的重要路径。全国统一大市场通过破除区域壁垒、优化要素配置和强化区域协同，为关键产业构建了多层次、抗风险的空间备份梯度分工格局，不仅提升了产业链供应链的韧性，还通过市场化力量引导产业在国土空间上形成高效互补布局。</w:t>
      </w:r>
    </w:p>
    <w:p w14:paraId="73E8C8B2">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是制度规则统一引领。通过降低制度性交易成本、保障市场主体权益、维护公平竞争秩序、构建合作信任网络，有效引导和支撑产业链各环节向最适合的区域集聚，使关键产业备份从"静态冗余消耗"转向"动态能力储备"，形成层次分明、优势互补、协同高效且具备强大备份韧性的现代化产业空间体系。二是市场设施高标准联通。通过物理连接、信息穿透与交易便利化，打破地域阻隔，实现生产要素与产品的高效、低成本流动，将备份产能部署在成本、安全、响应速度综合最优区域，降低梯度分工的物流成本，增强备份产能的快速响应能力，从而使"空间备份梯度分工"从理论蓝图变为可操作的韧性网络，在保障产业链安全的同时，避免备份资源闲置浪费，实现安全与效率的统筹平衡。三是统一要素和资源市场培育。通过培育发展全国统一的资源环境市场，破除要素流动壁垒，优化跨区域配置效率，推动产业链各环节依据区域禀赋差异形成层次化、互补化、韧性化的空间布局，是构建空间备份梯度分工格局的底层支撑，通过全国统一要素市场串联为有机生命体，在保障产业链安全的同时，实现国土空间效率最大化与区域发展协同化。</w:t>
      </w:r>
    </w:p>
    <w:p w14:paraId="200A53DA">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（二）以数智技术跃迁助推构建技术—备份双向驱动的螺旋共生</w:t>
      </w:r>
    </w:p>
    <w:p w14:paraId="703C2ECD">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当前我国数智技术跃迁与关键产业备份之间呈现动态协同关系，数智技术与关键产业备份之间双向驱动、螺旋共生。数智技术跃迁为关键产业备份注入智能、速度与适应性，重构了产业备份体系的形态与能力；而产业备份则为技术自主创新提供安全基座、划定安全边界。尤其在人工智能及大模型深度融入的背景下，关键产业备份不是成本，而是新质生产力。在数智技术驱动下，通过技术赋能将备份体系从被动防御的成本中心，转化为主动创新的价值引擎，最终实现国家安全与科技竞争力的双重复利增长。</w:t>
      </w:r>
    </w:p>
    <w:p w14:paraId="181DCF9A">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一方面，技术跃迁重塑备份体系的逻辑与形态。数智技术缩短了产业备份窗口期，使产业备份从静态冗余到动态迭代。传统产业备份主要依赖物理产能复制，一经备份，使用年份长久。但数智技术条件下，人工智能、量子计算等技术迭代周期缩短至2~3年甚至更短，关键产业备份需要同步技术更迭，避免"备份即落后"。同时，数智技术也使产业备份对象升级，使关键产业备份从硬件上升到软硬协同生态，确保工业设备在断供时可无缝切换。另一方面，产业备份为技术跃迁提供安全基座。关键产业备份系统的启动，能够倒逼自主创新，构建自主可控的研发工具与数据体系，抵御"断链式"技术封锁；通过冗余产能与替代技术链，确保"断链不断产"；以开源协作与技术降维扩散，形成围堵的反制力。同时，关键产业备份基地，作为中试验证场景，为实验室技术提供低成本量产验证环境，能够加速技术成果产业化。</w:t>
      </w:r>
    </w:p>
    <w:p w14:paraId="6F9ED6B3">
      <w:pPr>
        <w:pStyle w:val="31"/>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（三）以高水平对外开放助推构建中国备份范式的全球接口</w:t>
      </w:r>
    </w:p>
    <w:p w14:paraId="46FA068D">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中国式关键产业备份，并非只是国内战略行为，而是旨在通过重构本国在全球价值链中的拓扑位势与连接模式，实现从"脆弱性相互依存"向"韧性相互依存"的高水平对外开放路径切换。也就是说，关键产业备份不仅是国内产业生态的重塑，同时也推动形成多极备份、智能联动的全球产业生态，实现从"中国备份"到"全球共备份"的范式跃迁。这一路径不仅保障中国产业链安全，更以"韧性互联"重塑全球化规则，为发展中国家提供产业安全新方案。追求产业安全不等于闭关锁国，而是要在开放合作与安全可控之间找到动态的平衡[25]。在境内备份和跨境备份的关系上，境内备份是重点，跨境备份是补充，二者相互协调、相互呼应，共同提高备份能力。</w:t>
      </w:r>
    </w:p>
    <w:p w14:paraId="69D21F86">
      <w:pPr>
        <w:pStyle w:val="29"/>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中国的高水平开放不是被动接轨，而是以产业备份能力为底气，通过制度型开放重构全球合作范式。在短期内，以自贸试验区、"一带一路"为载体，将中国备份体系扩展为全球公共产品。通过跨境合作区升级、应急产能调度网络、开源生态联盟的快速落地，以自贸试验区为"制度实验室"，以"一带一路"为"产能传输网"，将中国备份体系解构为"可拆解、可复制、可共享"的模块化公共产品，如开源软件、绿电标准、飞地园区等，加强规则适配而非规则输出，实现与发展中国家的需求共生。在长期内，通过金砖+、《数字经济伙伴关系协定》等机制，推动形成"多极备份、规则共商"的全球化新模式，旨在以制度型开放为途径，以产业备份能力为战略支点，重构全球产业链治理规则。通过将产业备份能力转化为"技术公共品+规则制定权+危机治理权"三位一体的全球化核心资产，最终实现从"备份中国"到"中国备份全球"的范式升维。这不仅保障了中国产业链安全，更重要地重塑了"效率优先"转向"韧性优先"的全球新秩序。</w:t>
      </w:r>
    </w:p>
    <w:p w14:paraId="098227C1">
      <w:pPr>
        <w:pStyle w:val="30"/>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参考文献：</w:t>
      </w:r>
    </w:p>
    <w:p w14:paraId="3B2A3B96">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 丁任重，王娟，陈红霞. 国家战略腹地建设：历史演进、理论逻辑与实践路径[J]. 中国软科学，2025（4）：12-25.</w:t>
      </w:r>
    </w:p>
    <w:p w14:paraId="39085127">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 安树伟，申秀敏，肖金成. 中国战略腹地的科学内涵与建设路径[J]. 中国软科学，2024（12）：1-11.</w:t>
      </w:r>
    </w:p>
    <w:p w14:paraId="4770E2AA">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[3] 王珏，马明山. 美国关税政策视角下的中国产业备份模式创新[J/OL]. 西安财经大学学报，1-12[2025-06-22]. https://doi.org/10.19331/j.cnki.jxufe.20250514.001.</w:t>
      </w:r>
    </w:p>
    <w:p w14:paraId="7DC5BA2E">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[4] 王珏. 中国式现代化视域下的产业备份共同体构建：必要性与路径[J]. 云南民族大学学报（哲学社会科学版），2025（2）：94-103.</w:t>
      </w:r>
    </w:p>
    <w:p w14:paraId="704E12A8">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[5] 焦勇. 数字经济时代产业备份的大国方略[J]. 经济学家，2022（11）：43-51.</w:t>
      </w:r>
    </w:p>
    <w:p w14:paraId="3D8A5B4B">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[6] CUI V, VERTINSKY I, WANG Y, et al. Decoupling in international business: the "new" vulnerability of globalization and MNEs' response strategies[J]. Journal of International Business Studies, 2023, 54(8): 1562-1576.</w:t>
      </w:r>
    </w:p>
    <w:p w14:paraId="29CAE7A5">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[7] 毛熙彦，贺灿飞. 经济全球化新叙事与中国经济地理学发展新趋势[J]. 地理学报，2023，78（12）：2905-2921.</w:t>
      </w:r>
    </w:p>
    <w:p w14:paraId="3C76C98C">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[8] VLADOS C, CHATZINIKOLAOU D, IQBAL B A. New globalization and multipolarity: a critical review and the regional comprehensive economic partnership case[J]. Journal of Economic Integration, 2022, 37(3): 458-483.</w:t>
      </w:r>
    </w:p>
    <w:p w14:paraId="18145581">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[9] XIAO H, SUN T, MENG B, et al. Complex network analysis for characterizing Global Value Chains in equipment manufacturing[J]. PLoS one, 2017, 12(1): e0169549.</w:t>
      </w:r>
    </w:p>
    <w:p w14:paraId="027400C2">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[10] MURTHY K V B, KALSIE A, SHANKAR R. Digital economy in a global perspective: is there a digital divide?[J]. Transnational Corporations Review, 2021, 13(1): 1-15.</w:t>
      </w:r>
    </w:p>
    <w:p w14:paraId="03B4266A">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[11] 李丽，刘璐. 全球数字鸿沟的自我强化机制与中国解决方案[J]. 国际经济评论，2025（3）：80-103，6.</w:t>
      </w:r>
    </w:p>
    <w:p w14:paraId="10286DCA">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[12] 徐金海，夏杰长. 全力提升产业链供应链现代化水平：基于全球价值链视角[J]. 中国社会科学院大学学报，2023（11）：48-63.</w:t>
      </w:r>
    </w:p>
    <w:p w14:paraId="1662F003">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[13] 李天健，赵学军. 新中国保障产业链供应链安全的探索[J]. 管理世界，2022，38（9）：31-41.</w:t>
      </w:r>
    </w:p>
    <w:p w14:paraId="691B2D10">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[14] 孔昭君. 论国民经济动员链[J]. 北京理工大学学报（社会科学版），2012，14（1）：71-76.</w:t>
      </w:r>
    </w:p>
    <w:p w14:paraId="2E2C0A2B">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[15] 熊彼特. 经济发展理论：对于利润、资本、信贷、利息和经济周期的考察[M]. 何畏，易家详，等译. 北京：商务印书馆，2017：76.</w:t>
      </w:r>
    </w:p>
    <w:p w14:paraId="0F7780D7">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[16] 普里戈金，斯唐热. 从混沌到有序[M]. 曾庆宏，沈小峰，译. 上海：上海译文出版社，1987：40-46.</w:t>
      </w:r>
    </w:p>
    <w:p w14:paraId="603EE14C">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[17] 张潇爽. 重述波兰尼的当代意义：马克思的国家理论何以重要[J]. 国外理论动态，2019（12）：71-84.</w:t>
      </w:r>
    </w:p>
    <w:p w14:paraId="6FA99159">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[18] 王玮. 美国全球干涉主义政策与军工复合体的扩张[J]. 人民论坛，2024（6）：90-94.</w:t>
      </w:r>
    </w:p>
    <w:p w14:paraId="133C7006">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[19] 波兰尼. 巨变：当代政治与经济的起源[M]. 黄树民，译. 北京：社会科学文献出版社，2017：43-44.</w:t>
      </w:r>
    </w:p>
    <w:p w14:paraId="7EC0333C">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[20] 宋宪萍，曹宇驰. 后发国家制造业嵌入全球价值链的国家角色定位[J]. 经济纵横，2024（1）：28-38.</w:t>
      </w:r>
    </w:p>
    <w:p w14:paraId="71327AB5">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[21] 卢凌宇，邓芠科. 国家安全理论与实践中的国家自主性：基于美国经济制裁案例的研究[J]. 世界经济与政治论坛，2024（1）：80-98.</w:t>
      </w:r>
    </w:p>
    <w:p w14:paraId="21ECC24E">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[22] 张振华. "将国家带回来"与政治经济研究的转型[J]. 华东师范大学学报（哲学社会科学版），2021，53（6）：96-106，179.</w:t>
      </w:r>
    </w:p>
    <w:p w14:paraId="3B576CEF">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[23] 黄大慧，王月禾. 国家安全能力：一个过程机制分析框架[J]. 政治学研究，2025（2）：35-51，175.</w:t>
      </w:r>
    </w:p>
    <w:p w14:paraId="1756FAFF">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[24] 蒲清平，马睿. 国家战略腹地建设的内涵特征、重大意义和推进策略[J]. 重庆大学学报（社会科学版），2024，30（4）：37-48.</w:t>
      </w:r>
    </w:p>
    <w:p w14:paraId="2E31B427">
      <w:pPr>
        <w:pStyle w:val="32"/>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[25] 周琢，张幼文. 供应链外向链接与内向链接的战略考量[J]. 世界经济研究，2024（7）：3-12，134.</w:t>
      </w:r>
    </w:p>
    <w:p w14:paraId="7E53FBE8">
      <w:pPr>
        <w:pStyle w:val="30"/>
        <w:keepNext w:val="0"/>
        <w:keepLines w:val="0"/>
        <w:pageBreakBefore w:val="0"/>
        <w:widowControl/>
        <w:kinsoku/>
        <w:wordWrap/>
        <w:overflowPunct/>
        <w:topLinePunct w:val="0"/>
        <w:autoSpaceDE/>
        <w:autoSpaceDN/>
        <w:bidi w:val="0"/>
        <w:adjustRightInd/>
        <w:snapToGrid/>
        <w:spacing w:before="0"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注释：</w:t>
      </w:r>
    </w:p>
    <w:p w14:paraId="27973A38">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① 参见：习近平. 论把握新发展阶段、贯彻新发展理念、构建新发展格局[M]. 北京：中央文献出版社，2021：344。</w:t>
      </w:r>
    </w:p>
    <w:p w14:paraId="28CEC70F">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② 参见：中共中央关于进一步全面深化改革推进中国式现代化的决定[N]. 人民日报，2024-07-22（1）。</w:t>
      </w:r>
    </w:p>
    <w:p w14:paraId="5C1516CC">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③ 参见：地缘政治风险指数（Geopolitical Risk Index）[EB/OL]. （2025-06-01）[2025-06-18]. https://www.matteoiacoviello.com/gpr.htm；全球经济政策不确定性指数（Global Economic Policy Uncertainty）[EB/OL]. （2025-06-01）[2025-06-18]. https://www.policyuncertainty.com/global_monthly.html。</w:t>
      </w:r>
    </w:p>
    <w:p w14:paraId="3AEC3B92">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④ 参见：ITU. Global Internet Use Continues to Rise but Disparities Remain, Especially in Low-Income Regions[EB/OL]. （2024-11-27）[2025-06-12]. https://www.itu.int/en/mediacentre/Pages/PR-2024-11-27-facts-and-figures.aspx#/zh.</w:t>
      </w:r>
    </w:p>
    <w:p w14:paraId="63DF3C73">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⑤ 参见：IT之家. 工信部罗道军：中国拥有最大新能源车产能，但芯片自给率不到10%[EB/OL]. （2024-07-13）[2025-03-25]. https://www.ithome.com/0/781/611.htm。</w:t>
      </w:r>
    </w:p>
    <w:p w14:paraId="30D397ED">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⑥ 参见：马克思恩格斯文集（第四卷）[M]. 北京：人民出版社，2009：191。</w:t>
      </w:r>
    </w:p>
    <w:p w14:paraId="48980277">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⑦ 参见：马克思恩格斯文集（第一卷）[M]. 北京：人民出版社，2009：536。</w:t>
      </w:r>
    </w:p>
    <w:p w14:paraId="5F465F04">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⑧ 参见：毛泽东年谱（1949—1976）（第五卷）[M]. 北京：中央文献出版社，2013：564。</w:t>
      </w:r>
    </w:p>
    <w:p w14:paraId="144BBB97">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⑨ 参见：毛泽东年谱（1949—1976）（第五卷）[M]. 北京：中央文献出版社，2013：473。</w:t>
      </w:r>
    </w:p>
    <w:p w14:paraId="5649D0BE">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⑩ 参见：建国以来重要文献选编（第二十册）[M]. 北京：中央文献出版社，1998：361。</w:t>
      </w:r>
    </w:p>
    <w:p w14:paraId="573E8CDE">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⑪ 参见：中华人民共和国简史[M]. 北京：人民出版社，2021：95。</w:t>
      </w:r>
    </w:p>
    <w:p w14:paraId="381D87A4">
      <w:pPr>
        <w:pStyle w:val="33"/>
        <w:keepNext w:val="0"/>
        <w:keepLines w:val="0"/>
        <w:pageBreakBefore w:val="0"/>
        <w:widowControl/>
        <w:kinsoku/>
        <w:wordWrap/>
        <w:overflowPunct/>
        <w:topLinePunct w:val="0"/>
        <w:autoSpaceDE/>
        <w:autoSpaceDN/>
        <w:bidi w:val="0"/>
        <w:adjustRightInd/>
        <w:snapToGrid/>
        <w:spacing w:after="0" w:line="360" w:lineRule="auto"/>
        <w:ind w:left="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⑫ 参见：邓小平年谱（1904—1974）（下卷）[M]. 北京：中央文献出版社，2009：1832。</w:t>
      </w:r>
    </w:p>
    <w:p w14:paraId="09D1CBB6">
      <w:pPr>
        <w:pageBreakBefore w:val="0"/>
        <w:widowControl w:val="0"/>
        <w:kinsoku/>
        <w:wordWrap/>
        <w:overflowPunct/>
        <w:topLinePunct w:val="0"/>
        <w:autoSpaceDE/>
        <w:autoSpaceDN/>
        <w:bidi w:val="0"/>
        <w:adjustRightInd w:val="0"/>
        <w:snapToGrid w:val="0"/>
        <w:spacing w:line="360" w:lineRule="auto"/>
        <w:ind w:firstLine="374" w:firstLineChars="200"/>
        <w:jc w:val="both"/>
        <w:textAlignment w:val="auto"/>
        <w:rPr>
          <w:rFonts w:hint="eastAsia" w:ascii="宋体" w:hAnsi="宋体" w:eastAsia="宋体" w:cs="宋体"/>
          <w:w w:val="78"/>
          <w:kern w:val="2"/>
          <w:sz w:val="24"/>
          <w:szCs w:val="24"/>
          <w:lang w:val="en-US" w:eastAsia="zh-CN" w:bidi="ar-SA"/>
        </w:rPr>
      </w:pPr>
    </w:p>
    <w:p w14:paraId="0614D817">
      <w:pPr>
        <w:pageBreakBefore w:val="0"/>
        <w:widowControl w:val="0"/>
        <w:kinsoku/>
        <w:wordWrap/>
        <w:overflowPunct/>
        <w:topLinePunct w:val="0"/>
        <w:autoSpaceDE/>
        <w:autoSpaceDN/>
        <w:bidi w:val="0"/>
        <w:adjustRightInd w:val="0"/>
        <w:snapToGrid w:val="0"/>
        <w:spacing w:line="360" w:lineRule="auto"/>
        <w:ind w:firstLine="374"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w w:val="78"/>
          <w:kern w:val="2"/>
          <w:sz w:val="24"/>
          <w:szCs w:val="24"/>
          <w:lang w:val="en-US" w:eastAsia="zh-CN" w:bidi="ar-SA"/>
        </w:rPr>
        <w:t>（原载《中国软科学》2026年第1期，第二作者为范昕若。）</w:t>
      </w:r>
    </w:p>
    <w:p w14:paraId="0278ABE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05E8A90F">
      <w:pPr>
        <w:keepNext w:val="0"/>
        <w:keepLines w:val="0"/>
        <w:pageBreakBefore w:val="0"/>
        <w:widowControl w:val="0"/>
        <w:kinsoku/>
        <w:wordWrap/>
        <w:overflowPunct/>
        <w:topLinePunct w:val="0"/>
        <w:autoSpaceDE/>
        <w:autoSpaceDN/>
        <w:bidi w:val="0"/>
        <w:adjustRightInd w:val="0"/>
        <w:snapToGrid w:val="0"/>
        <w:spacing w:line="360" w:lineRule="auto"/>
        <w:ind w:firstLine="499" w:firstLineChars="200"/>
        <w:jc w:val="both"/>
        <w:textAlignment w:val="auto"/>
        <w:outlineLvl w:val="0"/>
        <w:rPr>
          <w:rFonts w:hint="eastAsia" w:ascii="宋体" w:hAnsi="宋体" w:eastAsia="宋体" w:cs="宋体"/>
          <w:b/>
          <w:bCs/>
          <w:w w:val="78"/>
          <w:kern w:val="2"/>
          <w:sz w:val="32"/>
          <w:szCs w:val="32"/>
          <w:lang w:val="en-US" w:eastAsia="zh-CN" w:bidi="ar-SA"/>
        </w:rPr>
      </w:pPr>
      <w:bookmarkStart w:id="961" w:name="_Toc1954639710"/>
      <w:bookmarkStart w:id="962" w:name="_Toc272622997"/>
      <w:bookmarkStart w:id="963" w:name="_Toc1900337312"/>
      <w:bookmarkStart w:id="964" w:name="_Toc21399"/>
      <w:bookmarkStart w:id="965" w:name="_Toc1460534799"/>
      <w:bookmarkStart w:id="966" w:name="_Toc1189915727"/>
      <w:r>
        <w:rPr>
          <w:rFonts w:hint="eastAsia" w:ascii="宋体" w:hAnsi="宋体" w:eastAsia="宋体" w:cs="宋体"/>
          <w:b/>
          <w:bCs/>
          <w:w w:val="78"/>
          <w:kern w:val="2"/>
          <w:sz w:val="32"/>
          <w:szCs w:val="32"/>
          <w:lang w:val="en-US" w:eastAsia="zh-CN" w:bidi="ar-SA"/>
        </w:rPr>
        <w:t>3马克思主义时代化的演进历程、当代发展与未来方向</w:t>
      </w:r>
      <w:bookmarkEnd w:id="961"/>
      <w:bookmarkEnd w:id="962"/>
      <w:bookmarkEnd w:id="963"/>
      <w:bookmarkEnd w:id="964"/>
      <w:bookmarkEnd w:id="965"/>
      <w:bookmarkEnd w:id="966"/>
    </w:p>
    <w:p w14:paraId="589694B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摘要：马克思主义自诞生之日起，就不断与时代相结合，彰显其</w:t>
      </w:r>
      <w:r>
        <w:rPr>
          <w:rFonts w:hint="eastAsia" w:ascii="宋体" w:hAnsi="宋体" w:eastAsia="宋体" w:cs="宋体"/>
          <w:color w:val="231F20"/>
          <w:spacing w:val="2"/>
          <w:sz w:val="22"/>
          <w:szCs w:val="22"/>
        </w:rPr>
        <w:t>独特的科学性、人民</w:t>
      </w:r>
      <w:r>
        <w:rPr>
          <w:rFonts w:hint="eastAsia" w:ascii="宋体" w:hAnsi="宋体" w:eastAsia="宋体" w:cs="宋体"/>
          <w:color w:val="231F20"/>
          <w:spacing w:val="3"/>
          <w:sz w:val="22"/>
          <w:szCs w:val="22"/>
        </w:rPr>
        <w:t>性、实践性和发展开放性。在时代化进程的推动下，马克思主义从1</w:t>
      </w:r>
      <w:r>
        <w:rPr>
          <w:rFonts w:hint="eastAsia" w:ascii="宋体" w:hAnsi="宋体" w:eastAsia="宋体" w:cs="宋体"/>
          <w:color w:val="231F20"/>
          <w:spacing w:val="2"/>
          <w:sz w:val="22"/>
          <w:szCs w:val="22"/>
        </w:rPr>
        <w:t>9世纪到21世纪历</w:t>
      </w:r>
      <w:r>
        <w:rPr>
          <w:rFonts w:hint="eastAsia" w:ascii="宋体" w:hAnsi="宋体" w:eastAsia="宋体" w:cs="宋体"/>
          <w:color w:val="231F20"/>
          <w:spacing w:val="7"/>
          <w:sz w:val="22"/>
          <w:szCs w:val="22"/>
        </w:rPr>
        <w:t>久弥新，其发展未曾中断，并在每一个历史阶段都展现出与时</w:t>
      </w:r>
      <w:r>
        <w:rPr>
          <w:rFonts w:hint="eastAsia" w:ascii="宋体" w:hAnsi="宋体" w:eastAsia="宋体" w:cs="宋体"/>
          <w:color w:val="231F20"/>
          <w:spacing w:val="6"/>
          <w:sz w:val="22"/>
          <w:szCs w:val="22"/>
        </w:rPr>
        <w:t>俱进的品格。习近平新</w:t>
      </w:r>
      <w:r>
        <w:rPr>
          <w:rFonts w:hint="eastAsia" w:ascii="宋体" w:hAnsi="宋体" w:eastAsia="宋体" w:cs="宋体"/>
          <w:color w:val="231F20"/>
          <w:spacing w:val="8"/>
          <w:sz w:val="22"/>
          <w:szCs w:val="22"/>
        </w:rPr>
        <w:t>时代中国特色社会主义思想作为马克思主义时代化的当代中国样式，是当代中国马克</w:t>
      </w:r>
      <w:r>
        <w:rPr>
          <w:rFonts w:hint="eastAsia" w:ascii="宋体" w:hAnsi="宋体" w:eastAsia="宋体" w:cs="宋体"/>
          <w:color w:val="231F20"/>
          <w:spacing w:val="3"/>
          <w:sz w:val="22"/>
          <w:szCs w:val="22"/>
        </w:rPr>
        <w:t>思主义、二十一世纪马克思主义，是中华文化和中国精神的时代精华，推动了</w:t>
      </w:r>
      <w:r>
        <w:rPr>
          <w:rFonts w:hint="eastAsia" w:ascii="宋体" w:hAnsi="宋体" w:eastAsia="宋体" w:cs="宋体"/>
          <w:color w:val="231F20"/>
          <w:spacing w:val="2"/>
          <w:sz w:val="22"/>
          <w:szCs w:val="22"/>
        </w:rPr>
        <w:t>马克思主</w:t>
      </w:r>
      <w:r>
        <w:rPr>
          <w:rFonts w:hint="eastAsia" w:ascii="宋体" w:hAnsi="宋体" w:eastAsia="宋体" w:cs="宋体"/>
          <w:color w:val="231F20"/>
          <w:spacing w:val="8"/>
          <w:sz w:val="22"/>
          <w:szCs w:val="22"/>
        </w:rPr>
        <w:t>义时代化的最新发展。面向未来，本土化和多样化</w:t>
      </w:r>
      <w:r>
        <w:rPr>
          <w:rFonts w:hint="eastAsia" w:ascii="宋体" w:hAnsi="宋体" w:eastAsia="宋体" w:cs="宋体"/>
          <w:color w:val="231F20"/>
          <w:spacing w:val="7"/>
          <w:sz w:val="22"/>
          <w:szCs w:val="22"/>
        </w:rPr>
        <w:t>相统一成为马克思主义时代化的前</w:t>
      </w:r>
      <w:r>
        <w:rPr>
          <w:rFonts w:hint="eastAsia" w:ascii="宋体" w:hAnsi="宋体" w:eastAsia="宋体" w:cs="宋体"/>
          <w:color w:val="231F20"/>
          <w:spacing w:val="8"/>
          <w:sz w:val="22"/>
          <w:szCs w:val="22"/>
        </w:rPr>
        <w:t>进方向。这需要世界社会主义进步力量携手并肩，</w:t>
      </w:r>
      <w:r>
        <w:rPr>
          <w:rFonts w:hint="eastAsia" w:ascii="宋体" w:hAnsi="宋体" w:eastAsia="宋体" w:cs="宋体"/>
          <w:color w:val="231F20"/>
          <w:spacing w:val="7"/>
          <w:sz w:val="22"/>
          <w:szCs w:val="22"/>
        </w:rPr>
        <w:t>共同为马克思主义时代化新的伟大</w:t>
      </w:r>
      <w:r>
        <w:rPr>
          <w:rFonts w:hint="eastAsia" w:ascii="宋体" w:hAnsi="宋体" w:eastAsia="宋体" w:cs="宋体"/>
          <w:color w:val="231F20"/>
          <w:spacing w:val="8"/>
          <w:sz w:val="22"/>
          <w:szCs w:val="22"/>
        </w:rPr>
        <w:t>发展贡献磅礴的思想伟力。</w:t>
      </w:r>
    </w:p>
    <w:p w14:paraId="5BF318F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关键词：马克思主义时代化；本土化；多样化</w:t>
      </w:r>
    </w:p>
    <w:p w14:paraId="788539E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72" w:firstLineChars="200"/>
        <w:jc w:val="both"/>
        <w:textAlignment w:val="baseline"/>
        <w:outlineLvl w:val="9"/>
        <w:rPr>
          <w:rFonts w:hint="eastAsia" w:ascii="宋体" w:hAnsi="宋体" w:eastAsia="宋体" w:cs="宋体"/>
          <w:color w:val="231F20"/>
          <w:spacing w:val="3"/>
          <w:sz w:val="28"/>
          <w:szCs w:val="28"/>
        </w:rPr>
      </w:pPr>
    </w:p>
    <w:p w14:paraId="49F396A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73" w:firstLineChars="200"/>
        <w:jc w:val="both"/>
        <w:textAlignment w:val="baseline"/>
        <w:outlineLvl w:val="9"/>
        <w:rPr>
          <w:rFonts w:hint="eastAsia" w:ascii="宋体" w:hAnsi="宋体" w:eastAsia="宋体" w:cs="宋体"/>
          <w:sz w:val="28"/>
          <w:szCs w:val="28"/>
        </w:rPr>
      </w:pPr>
      <w:r>
        <w:rPr>
          <w:rFonts w:hint="eastAsia" w:ascii="宋体" w:hAnsi="宋体" w:eastAsia="宋体" w:cs="宋体"/>
          <w:b/>
          <w:bCs/>
          <w:color w:val="231F20"/>
          <w:spacing w:val="3"/>
          <w:sz w:val="28"/>
          <w:szCs w:val="28"/>
        </w:rPr>
        <w:t>一、马克思主义创立以来时代化的演进从未中断</w:t>
      </w:r>
    </w:p>
    <w:p w14:paraId="34DBF64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马克思主义时代化是内在于马克思主义本质的理论和实践特性，是马克思主义科学性、人</w:t>
      </w:r>
      <w:r>
        <w:rPr>
          <w:rFonts w:hint="eastAsia" w:ascii="宋体" w:hAnsi="宋体" w:eastAsia="宋体" w:cs="宋体"/>
          <w:color w:val="231F20"/>
          <w:spacing w:val="2"/>
          <w:sz w:val="22"/>
          <w:szCs w:val="22"/>
        </w:rPr>
        <w:t>民性、实践性和发展开放性的直接体现和必然要求。自诞生之日起，马</w:t>
      </w:r>
      <w:r>
        <w:rPr>
          <w:rFonts w:hint="eastAsia" w:ascii="宋体" w:hAnsi="宋体" w:eastAsia="宋体" w:cs="宋体"/>
          <w:color w:val="231F20"/>
          <w:spacing w:val="1"/>
          <w:sz w:val="22"/>
          <w:szCs w:val="22"/>
        </w:rPr>
        <w:t>克思主义就肩负着、承载</w:t>
      </w:r>
      <w:r>
        <w:rPr>
          <w:rFonts w:hint="eastAsia" w:ascii="宋体" w:hAnsi="宋体" w:eastAsia="宋体" w:cs="宋体"/>
          <w:color w:val="231F20"/>
          <w:spacing w:val="7"/>
          <w:sz w:val="22"/>
          <w:szCs w:val="22"/>
        </w:rPr>
        <w:t>着并践行着将时代化推向深入的理论决心和实践导向。马克思主义哲学、政治经济学和科学社</w:t>
      </w:r>
      <w:r>
        <w:rPr>
          <w:rFonts w:hint="eastAsia" w:ascii="宋体" w:hAnsi="宋体" w:eastAsia="宋体" w:cs="宋体"/>
          <w:color w:val="231F20"/>
          <w:spacing w:val="6"/>
          <w:sz w:val="22"/>
          <w:szCs w:val="22"/>
        </w:rPr>
        <w:t>会主义深刻反映并引领了19世纪人类社会发展的理论和实践需求，为马克思</w:t>
      </w:r>
      <w:r>
        <w:rPr>
          <w:rFonts w:hint="eastAsia" w:ascii="宋体" w:hAnsi="宋体" w:eastAsia="宋体" w:cs="宋体"/>
          <w:color w:val="231F20"/>
          <w:spacing w:val="5"/>
          <w:sz w:val="22"/>
          <w:szCs w:val="22"/>
        </w:rPr>
        <w:t>主义时代化提供了</w:t>
      </w:r>
      <w:r>
        <w:rPr>
          <w:rFonts w:hint="eastAsia" w:ascii="宋体" w:hAnsi="宋体" w:eastAsia="宋体" w:cs="宋体"/>
          <w:color w:val="231F20"/>
          <w:spacing w:val="-1"/>
          <w:sz w:val="22"/>
          <w:szCs w:val="22"/>
        </w:rPr>
        <w:t>重要支撑；列宁主义、毛泽东思想等理论成果，十月革命、反法西斯战争、社会主义革命</w:t>
      </w:r>
      <w:r>
        <w:rPr>
          <w:rFonts w:hint="eastAsia" w:ascii="宋体" w:hAnsi="宋体" w:eastAsia="宋体" w:cs="宋体"/>
          <w:color w:val="231F20"/>
          <w:spacing w:val="-2"/>
          <w:sz w:val="22"/>
          <w:szCs w:val="22"/>
        </w:rPr>
        <w:t>胜利等实</w:t>
      </w:r>
      <w:r>
        <w:rPr>
          <w:rFonts w:hint="eastAsia" w:ascii="宋体" w:hAnsi="宋体" w:eastAsia="宋体" w:cs="宋体"/>
          <w:color w:val="231F20"/>
          <w:spacing w:val="2"/>
          <w:sz w:val="22"/>
          <w:szCs w:val="22"/>
        </w:rPr>
        <w:t>践成就，以及苏联、中国等社会主义国家及</w:t>
      </w:r>
      <w:r>
        <w:rPr>
          <w:rFonts w:hint="eastAsia" w:ascii="宋体" w:hAnsi="宋体" w:eastAsia="宋体" w:cs="宋体"/>
          <w:color w:val="231F20"/>
          <w:spacing w:val="1"/>
          <w:sz w:val="22"/>
          <w:szCs w:val="22"/>
        </w:rPr>
        <w:t>其政党的曲折发展，共同构成了20世纪马克思主义时</w:t>
      </w:r>
      <w:r>
        <w:rPr>
          <w:rFonts w:hint="eastAsia" w:ascii="宋体" w:hAnsi="宋体" w:eastAsia="宋体" w:cs="宋体"/>
          <w:color w:val="231F20"/>
          <w:spacing w:val="4"/>
          <w:sz w:val="22"/>
          <w:szCs w:val="22"/>
        </w:rPr>
        <w:t>代影响力的生动写照；工人阶级政党新探索、社会主义国家新</w:t>
      </w:r>
      <w:r>
        <w:rPr>
          <w:rFonts w:hint="eastAsia" w:ascii="宋体" w:hAnsi="宋体" w:eastAsia="宋体" w:cs="宋体"/>
          <w:color w:val="231F20"/>
          <w:spacing w:val="3"/>
          <w:sz w:val="22"/>
          <w:szCs w:val="22"/>
        </w:rPr>
        <w:t>实践、全球资本主义新形势和世界</w:t>
      </w:r>
      <w:r>
        <w:rPr>
          <w:rFonts w:hint="eastAsia" w:ascii="宋体" w:hAnsi="宋体" w:eastAsia="宋体" w:cs="宋体"/>
          <w:color w:val="231F20"/>
          <w:spacing w:val="10"/>
          <w:sz w:val="22"/>
          <w:szCs w:val="22"/>
        </w:rPr>
        <w:t>社会主义的新变化为21世纪马克思主义时代化发展提出了更高要求并开辟了更多可能。这些</w:t>
      </w:r>
      <w:r>
        <w:rPr>
          <w:rFonts w:hint="eastAsia" w:ascii="宋体" w:hAnsi="宋体" w:eastAsia="宋体" w:cs="宋体"/>
          <w:color w:val="231F20"/>
          <w:spacing w:val="3"/>
          <w:sz w:val="22"/>
          <w:szCs w:val="22"/>
        </w:rPr>
        <w:t>理论和实践历程，生动诠释了马克思主义在创立、演进与发展过程中“从未缺席”的时代化的内</w:t>
      </w:r>
      <w:r>
        <w:rPr>
          <w:rFonts w:hint="eastAsia" w:ascii="宋体" w:hAnsi="宋体" w:eastAsia="宋体" w:cs="宋体"/>
          <w:color w:val="231F20"/>
          <w:spacing w:val="7"/>
          <w:sz w:val="22"/>
          <w:szCs w:val="22"/>
        </w:rPr>
        <w:t>涵和深远影响。</w:t>
      </w:r>
    </w:p>
    <w:p w14:paraId="07BD140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2"/>
          <w:szCs w:val="22"/>
        </w:rPr>
      </w:pPr>
      <w:r>
        <w:rPr>
          <w:rFonts w:hint="eastAsia" w:ascii="宋体" w:hAnsi="宋体" w:eastAsia="宋体" w:cs="宋体"/>
          <w:b/>
          <w:bCs/>
          <w:color w:val="231F20"/>
          <w:spacing w:val="4"/>
          <w:sz w:val="22"/>
          <w:szCs w:val="22"/>
        </w:rPr>
        <w:t>（一）19世纪马克思主义的创立开辟时代</w:t>
      </w:r>
      <w:r>
        <w:rPr>
          <w:rFonts w:hint="eastAsia" w:ascii="宋体" w:hAnsi="宋体" w:eastAsia="宋体" w:cs="宋体"/>
          <w:b/>
          <w:bCs/>
          <w:color w:val="231F20"/>
          <w:spacing w:val="3"/>
          <w:sz w:val="22"/>
          <w:szCs w:val="22"/>
        </w:rPr>
        <w:t>化起点</w:t>
      </w:r>
    </w:p>
    <w:p w14:paraId="765844E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position w:val="1"/>
          <w:sz w:val="22"/>
          <w:szCs w:val="22"/>
        </w:rPr>
        <w:t>1.马克思主义哲学作为马克思主义时代化的思想基础</w:t>
      </w:r>
    </w:p>
    <w:p w14:paraId="701BD55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4"/>
          <w:szCs w:val="22"/>
        </w:rPr>
      </w:pPr>
      <w:r>
        <w:rPr>
          <w:rFonts w:hint="eastAsia" w:ascii="宋体" w:hAnsi="宋体" w:eastAsia="宋体" w:cs="宋体"/>
          <w:color w:val="231F20"/>
          <w:spacing w:val="9"/>
          <w:sz w:val="22"/>
          <w:szCs w:val="22"/>
        </w:rPr>
        <w:t>历史唯物主义的发现，实现了对旧历史观的</w:t>
      </w:r>
      <w:r>
        <w:rPr>
          <w:rFonts w:hint="eastAsia" w:ascii="宋体" w:hAnsi="宋体" w:eastAsia="宋体" w:cs="宋体"/>
          <w:color w:val="231F20"/>
          <w:spacing w:val="8"/>
          <w:sz w:val="22"/>
          <w:szCs w:val="22"/>
        </w:rPr>
        <w:t>划时代超越，完成了马克思主义时代化的思想</w:t>
      </w:r>
    </w:p>
    <w:p w14:paraId="6AEE7F1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4"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导引。时代化的“破局”之处，在于认清现实、立足现实，破除“风靡”时代的旧思想的桎梏。马克</w:t>
      </w:r>
      <w:r>
        <w:rPr>
          <w:rFonts w:hint="eastAsia" w:ascii="宋体" w:hAnsi="宋体" w:eastAsia="宋体" w:cs="宋体"/>
          <w:color w:val="231F20"/>
          <w:spacing w:val="-4"/>
          <w:sz w:val="22"/>
          <w:szCs w:val="22"/>
        </w:rPr>
        <w:t>思批判旧哲学“只是用不同的方式解释世界，而问题在于改变世界”</w:t>
      </w:r>
      <w:r>
        <w:rPr>
          <w:rStyle w:val="20"/>
          <w:rFonts w:hint="eastAsia" w:ascii="宋体" w:hAnsi="宋体" w:eastAsia="宋体" w:cs="宋体"/>
          <w:color w:val="231F20"/>
          <w:spacing w:val="-4"/>
          <w:sz w:val="22"/>
          <w:szCs w:val="22"/>
        </w:rPr>
        <w:footnoteReference w:id="1256"/>
      </w:r>
      <w:r>
        <w:rPr>
          <w:rFonts w:hint="eastAsia" w:ascii="宋体" w:hAnsi="宋体" w:eastAsia="宋体" w:cs="宋体"/>
          <w:color w:val="231F20"/>
          <w:spacing w:val="-4"/>
          <w:sz w:val="22"/>
          <w:szCs w:val="22"/>
        </w:rPr>
        <w:t>这是“逆水行舟”般开启思</w:t>
      </w:r>
      <w:r>
        <w:rPr>
          <w:rFonts w:hint="eastAsia" w:ascii="宋体" w:hAnsi="宋体" w:eastAsia="宋体" w:cs="宋体"/>
          <w:color w:val="231F20"/>
          <w:spacing w:val="2"/>
          <w:sz w:val="22"/>
          <w:szCs w:val="22"/>
        </w:rPr>
        <w:t>想新纪元的宣誓。马克思指出，旧的历史哲学、法哲学、宗教哲学总是以“神秘的天意来代替现实的、尚未知道的联系”</w:t>
      </w:r>
      <w:r>
        <w:rPr>
          <w:rStyle w:val="20"/>
          <w:rFonts w:hint="eastAsia" w:ascii="宋体" w:hAnsi="宋体" w:eastAsia="宋体" w:cs="宋体"/>
          <w:color w:val="231F20"/>
          <w:spacing w:val="2"/>
          <w:sz w:val="22"/>
          <w:szCs w:val="22"/>
        </w:rPr>
        <w:footnoteReference w:id="1257"/>
      </w:r>
      <w:r>
        <w:rPr>
          <w:rFonts w:hint="eastAsia" w:ascii="宋体" w:hAnsi="宋体" w:eastAsia="宋体" w:cs="宋体"/>
          <w:color w:val="231F20"/>
          <w:spacing w:val="2"/>
          <w:sz w:val="22"/>
          <w:szCs w:val="22"/>
        </w:rPr>
        <w:t>,“应该通过发现现实的联系来清除这种臆造的认为</w:t>
      </w:r>
      <w:r>
        <w:rPr>
          <w:rFonts w:hint="eastAsia" w:ascii="宋体" w:hAnsi="宋体" w:eastAsia="宋体" w:cs="宋体"/>
          <w:color w:val="231F20"/>
          <w:spacing w:val="1"/>
          <w:sz w:val="22"/>
          <w:szCs w:val="22"/>
        </w:rPr>
        <w:t>的联系”</w:t>
      </w:r>
      <w:r>
        <w:rPr>
          <w:rStyle w:val="20"/>
          <w:rFonts w:hint="eastAsia" w:ascii="宋体" w:hAnsi="宋体" w:eastAsia="宋体" w:cs="宋体"/>
          <w:color w:val="231F20"/>
          <w:spacing w:val="1"/>
          <w:sz w:val="22"/>
          <w:szCs w:val="22"/>
        </w:rPr>
        <w:footnoteReference w:id="1258"/>
      </w:r>
      <w:r>
        <w:rPr>
          <w:rFonts w:hint="eastAsia" w:ascii="宋体" w:hAnsi="宋体" w:eastAsia="宋体" w:cs="宋体"/>
          <w:color w:val="231F20"/>
          <w:spacing w:val="1"/>
          <w:sz w:val="22"/>
          <w:szCs w:val="22"/>
        </w:rPr>
        <w:t>。正是</w:t>
      </w:r>
      <w:r>
        <w:rPr>
          <w:rFonts w:hint="eastAsia" w:ascii="宋体" w:hAnsi="宋体" w:eastAsia="宋体" w:cs="宋体"/>
          <w:color w:val="231F20"/>
          <w:spacing w:val="4"/>
          <w:sz w:val="22"/>
          <w:szCs w:val="22"/>
        </w:rPr>
        <w:t>在洞悉人类历史发展规律、推动哲学走向现实的基础上，马</w:t>
      </w:r>
      <w:r>
        <w:rPr>
          <w:rFonts w:hint="eastAsia" w:ascii="宋体" w:hAnsi="宋体" w:eastAsia="宋体" w:cs="宋体"/>
          <w:color w:val="231F20"/>
          <w:spacing w:val="3"/>
          <w:sz w:val="22"/>
          <w:szCs w:val="22"/>
        </w:rPr>
        <w:t>克思提出“全部社会生活在本质上是</w:t>
      </w:r>
      <w:r>
        <w:rPr>
          <w:rFonts w:hint="eastAsia" w:ascii="宋体" w:hAnsi="宋体" w:eastAsia="宋体" w:cs="宋体"/>
          <w:color w:val="231F20"/>
          <w:sz w:val="22"/>
          <w:szCs w:val="22"/>
        </w:rPr>
        <w:t>实践的”</w:t>
      </w:r>
      <w:r>
        <w:rPr>
          <w:rStyle w:val="20"/>
          <w:rFonts w:hint="eastAsia" w:ascii="宋体" w:hAnsi="宋体" w:eastAsia="宋体" w:cs="宋体"/>
          <w:color w:val="231F20"/>
          <w:sz w:val="22"/>
          <w:szCs w:val="22"/>
        </w:rPr>
        <w:footnoteReference w:id="1259"/>
      </w:r>
      <w:r>
        <w:rPr>
          <w:rFonts w:hint="eastAsia" w:ascii="宋体" w:hAnsi="宋体" w:eastAsia="宋体" w:cs="宋体"/>
          <w:color w:val="231F20"/>
          <w:sz w:val="22"/>
          <w:szCs w:val="22"/>
        </w:rPr>
        <w:t>,“至今一切社会的历史都是阶级斗争的历史</w:t>
      </w:r>
      <w:r>
        <w:rPr>
          <w:rFonts w:hint="eastAsia" w:ascii="宋体" w:hAnsi="宋体" w:eastAsia="宋体" w:cs="宋体"/>
          <w:color w:val="231F20"/>
          <w:spacing w:val="-1"/>
          <w:sz w:val="22"/>
          <w:szCs w:val="22"/>
        </w:rPr>
        <w:t>”</w:t>
      </w:r>
      <w:r>
        <w:rPr>
          <w:rStyle w:val="20"/>
          <w:rFonts w:hint="eastAsia" w:ascii="宋体" w:hAnsi="宋体" w:eastAsia="宋体" w:cs="宋体"/>
          <w:color w:val="231F20"/>
          <w:spacing w:val="-1"/>
          <w:sz w:val="22"/>
          <w:szCs w:val="22"/>
        </w:rPr>
        <w:footnoteReference w:id="1260"/>
      </w:r>
      <w:r>
        <w:rPr>
          <w:rFonts w:hint="eastAsia" w:ascii="宋体" w:hAnsi="宋体" w:eastAsia="宋体" w:cs="宋体"/>
          <w:color w:val="231F20"/>
          <w:spacing w:val="-1"/>
          <w:sz w:val="22"/>
          <w:szCs w:val="22"/>
        </w:rPr>
        <w:t>,从而实现对旧哲学、旧历史观的划时</w:t>
      </w:r>
      <w:r>
        <w:rPr>
          <w:rFonts w:hint="eastAsia" w:ascii="宋体" w:hAnsi="宋体" w:eastAsia="宋体" w:cs="宋体"/>
          <w:color w:val="231F20"/>
          <w:spacing w:val="-14"/>
          <w:sz w:val="22"/>
          <w:szCs w:val="22"/>
        </w:rPr>
        <w:t>代超越，为时代化“超前”注释。</w:t>
      </w:r>
    </w:p>
    <w:p w14:paraId="72804E8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2"/>
          <w:sz w:val="22"/>
          <w:szCs w:val="22"/>
        </w:rPr>
        <w:t>辩证唯物主义的提出，实现了对当时风靡欧洲的哲学思想“承上启下”又“破旧立新”的扬</w:t>
      </w:r>
      <w:r>
        <w:rPr>
          <w:rFonts w:hint="eastAsia" w:ascii="宋体" w:hAnsi="宋体" w:eastAsia="宋体" w:cs="宋体"/>
          <w:color w:val="231F20"/>
          <w:spacing w:val="5"/>
          <w:sz w:val="22"/>
          <w:szCs w:val="22"/>
        </w:rPr>
        <w:t>弃，在辩证批判中完成了时代化的思想启蒙。马克思指出：“任何真正的哲学都是自己时代</w:t>
      </w:r>
      <w:r>
        <w:rPr>
          <w:rFonts w:hint="eastAsia" w:ascii="宋体" w:hAnsi="宋体" w:eastAsia="宋体" w:cs="宋体"/>
          <w:color w:val="231F20"/>
          <w:spacing w:val="4"/>
          <w:sz w:val="22"/>
          <w:szCs w:val="22"/>
        </w:rPr>
        <w:t>的精</w:t>
      </w:r>
      <w:r>
        <w:rPr>
          <w:rFonts w:hint="eastAsia" w:ascii="宋体" w:hAnsi="宋体" w:eastAsia="宋体" w:cs="宋体"/>
          <w:color w:val="231F20"/>
          <w:spacing w:val="2"/>
          <w:sz w:val="22"/>
          <w:szCs w:val="22"/>
        </w:rPr>
        <w:t>神上的精华，……都要和自己时代的现实世界接触并相互作用。”</w:t>
      </w:r>
      <w:r>
        <w:rPr>
          <w:rStyle w:val="20"/>
          <w:rFonts w:hint="eastAsia" w:ascii="宋体" w:hAnsi="宋体" w:eastAsia="宋体" w:cs="宋体"/>
          <w:color w:val="231F20"/>
          <w:spacing w:val="2"/>
          <w:sz w:val="22"/>
          <w:szCs w:val="22"/>
        </w:rPr>
        <w:footnoteReference w:id="1261"/>
      </w:r>
      <w:r>
        <w:rPr>
          <w:rFonts w:hint="eastAsia" w:ascii="宋体" w:hAnsi="宋体" w:eastAsia="宋体" w:cs="宋体"/>
          <w:color w:val="231F20"/>
          <w:spacing w:val="2"/>
          <w:sz w:val="22"/>
          <w:szCs w:val="22"/>
        </w:rPr>
        <w:t>在近代西方哲学中，启蒙思想</w:t>
      </w:r>
      <w:r>
        <w:rPr>
          <w:rFonts w:hint="eastAsia" w:ascii="宋体" w:hAnsi="宋体" w:eastAsia="宋体" w:cs="宋体"/>
          <w:color w:val="231F20"/>
          <w:spacing w:val="6"/>
          <w:sz w:val="22"/>
          <w:szCs w:val="22"/>
        </w:rPr>
        <w:t>影响深远，黑格尔、费尔巴哈等人的理论也拥有众多拥趸，马克思恩格斯对这些风靡时代的哲学</w:t>
      </w:r>
      <w:r>
        <w:rPr>
          <w:rFonts w:hint="eastAsia" w:ascii="宋体" w:hAnsi="宋体" w:eastAsia="宋体" w:cs="宋体"/>
          <w:color w:val="231F20"/>
          <w:spacing w:val="1"/>
          <w:sz w:val="22"/>
          <w:szCs w:val="22"/>
        </w:rPr>
        <w:t>思想进行深度剖析和积极扬弃，发觉了“自己时代的精神上的精</w:t>
      </w:r>
      <w:r>
        <w:rPr>
          <w:rFonts w:hint="eastAsia" w:ascii="宋体" w:hAnsi="宋体" w:eastAsia="宋体" w:cs="宋体"/>
          <w:color w:val="231F20"/>
          <w:sz w:val="22"/>
          <w:szCs w:val="22"/>
        </w:rPr>
        <w:t>华”</w:t>
      </w:r>
      <w:r>
        <w:rPr>
          <w:rStyle w:val="20"/>
          <w:rFonts w:hint="eastAsia" w:ascii="宋体" w:hAnsi="宋体" w:eastAsia="宋体" w:cs="宋体"/>
          <w:color w:val="231F20"/>
          <w:sz w:val="22"/>
          <w:szCs w:val="22"/>
        </w:rPr>
        <w:footnoteReference w:id="1262"/>
      </w:r>
      <w:r>
        <w:rPr>
          <w:rFonts w:hint="eastAsia" w:ascii="宋体" w:hAnsi="宋体" w:eastAsia="宋体" w:cs="宋体"/>
          <w:color w:val="231F20"/>
          <w:sz w:val="22"/>
          <w:szCs w:val="22"/>
        </w:rPr>
        <w:t>。从“我们一时都成为费尔</w:t>
      </w:r>
      <w:r>
        <w:rPr>
          <w:rFonts w:hint="eastAsia" w:ascii="宋体" w:hAnsi="宋体" w:eastAsia="宋体" w:cs="宋体"/>
          <w:color w:val="231F20"/>
          <w:spacing w:val="8"/>
          <w:sz w:val="22"/>
          <w:szCs w:val="22"/>
        </w:rPr>
        <w:t>巴哈派了”</w:t>
      </w:r>
      <w:r>
        <w:rPr>
          <w:rStyle w:val="20"/>
          <w:rFonts w:hint="eastAsia" w:ascii="宋体" w:hAnsi="宋体" w:eastAsia="宋体" w:cs="宋体"/>
          <w:color w:val="231F20"/>
          <w:spacing w:val="8"/>
          <w:sz w:val="22"/>
          <w:szCs w:val="22"/>
        </w:rPr>
        <w:footnoteReference w:id="1263"/>
      </w:r>
      <w:r>
        <w:rPr>
          <w:rFonts w:hint="eastAsia" w:ascii="宋体" w:hAnsi="宋体" w:eastAsia="宋体" w:cs="宋体"/>
          <w:color w:val="231F20"/>
          <w:spacing w:val="8"/>
          <w:sz w:val="22"/>
          <w:szCs w:val="22"/>
        </w:rPr>
        <w:t>,到与费尔巴哈的形而上学划清界限；从对黑格尔哲</w:t>
      </w:r>
      <w:r>
        <w:rPr>
          <w:rFonts w:hint="eastAsia" w:ascii="宋体" w:hAnsi="宋体" w:eastAsia="宋体" w:cs="宋体"/>
          <w:color w:val="231F20"/>
          <w:spacing w:val="7"/>
          <w:sz w:val="22"/>
          <w:szCs w:val="22"/>
        </w:rPr>
        <w:t>学进行体系性批判，到接受其</w:t>
      </w:r>
      <w:r>
        <w:rPr>
          <w:rFonts w:hint="eastAsia" w:ascii="宋体" w:hAnsi="宋体" w:eastAsia="宋体" w:cs="宋体"/>
          <w:color w:val="231F20"/>
          <w:spacing w:val="-1"/>
          <w:sz w:val="22"/>
          <w:szCs w:val="22"/>
        </w:rPr>
        <w:t>“革命方面即辩证法”，并摆脱“曾经在黑格尔那里阻碍它贯彻到底的唯心主义装</w:t>
      </w:r>
      <w:r>
        <w:rPr>
          <w:rFonts w:hint="eastAsia" w:ascii="宋体" w:hAnsi="宋体" w:eastAsia="宋体" w:cs="宋体"/>
          <w:color w:val="231F20"/>
          <w:spacing w:val="-2"/>
          <w:sz w:val="22"/>
          <w:szCs w:val="22"/>
        </w:rPr>
        <w:t>饰”</w:t>
      </w:r>
      <w:r>
        <w:rPr>
          <w:rStyle w:val="20"/>
          <w:rFonts w:hint="eastAsia" w:ascii="宋体" w:hAnsi="宋体" w:eastAsia="宋体" w:cs="宋体"/>
          <w:color w:val="231F20"/>
          <w:spacing w:val="-2"/>
          <w:sz w:val="22"/>
          <w:szCs w:val="22"/>
        </w:rPr>
        <w:footnoteReference w:id="1264"/>
      </w:r>
      <w:r>
        <w:rPr>
          <w:rFonts w:hint="eastAsia" w:ascii="宋体" w:hAnsi="宋体" w:eastAsia="宋体" w:cs="宋体"/>
          <w:color w:val="231F20"/>
          <w:spacing w:val="-2"/>
          <w:sz w:val="22"/>
          <w:szCs w:val="22"/>
        </w:rPr>
        <w:t>,马克思恩</w:t>
      </w:r>
      <w:r>
        <w:rPr>
          <w:rFonts w:hint="eastAsia" w:ascii="宋体" w:hAnsi="宋体" w:eastAsia="宋体" w:cs="宋体"/>
          <w:color w:val="231F20"/>
          <w:spacing w:val="21"/>
          <w:sz w:val="22"/>
          <w:szCs w:val="22"/>
        </w:rPr>
        <w:t>格斯一路在时代的思想财富中深入辨析与取舍，最终找到了富有进步时代特征的“真正的</w:t>
      </w:r>
      <w:r>
        <w:rPr>
          <w:rFonts w:hint="eastAsia" w:ascii="宋体" w:hAnsi="宋体" w:eastAsia="宋体" w:cs="宋体"/>
          <w:color w:val="231F20"/>
          <w:spacing w:val="32"/>
          <w:sz w:val="22"/>
          <w:szCs w:val="22"/>
        </w:rPr>
        <w:t>哲学”。</w:t>
      </w:r>
    </w:p>
    <w:p w14:paraId="59D5A53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2.马克思主义政治经济学作为马克思主义时代化的现实依据</w:t>
      </w:r>
    </w:p>
    <w:p w14:paraId="65A176E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剩余价值学说的提出，揭开了资本主义剥削的秘密，将资本主义的腐朽内核和资产阶级的</w:t>
      </w:r>
      <w:r>
        <w:rPr>
          <w:rFonts w:hint="eastAsia" w:ascii="宋体" w:hAnsi="宋体" w:eastAsia="宋体" w:cs="宋体"/>
          <w:color w:val="231F20"/>
          <w:spacing w:val="-2"/>
          <w:sz w:val="22"/>
          <w:szCs w:val="22"/>
        </w:rPr>
        <w:t>伪善面纱彻底揭露，为人类社会“破旧立新”提供了时代性的批判依据。“一切社会变迁和政治变</w:t>
      </w:r>
      <w:r>
        <w:rPr>
          <w:rFonts w:hint="eastAsia" w:ascii="宋体" w:hAnsi="宋体" w:eastAsia="宋体" w:cs="宋体"/>
          <w:color w:val="231F20"/>
          <w:sz w:val="22"/>
          <w:szCs w:val="22"/>
        </w:rPr>
        <w:t>革的终极原因，……应当到有关时代的经济中去寻找。”</w:t>
      </w:r>
      <w:r>
        <w:rPr>
          <w:rStyle w:val="20"/>
          <w:rFonts w:hint="eastAsia" w:ascii="宋体" w:hAnsi="宋体" w:eastAsia="宋体" w:cs="宋体"/>
          <w:color w:val="231F20"/>
          <w:sz w:val="22"/>
          <w:szCs w:val="22"/>
        </w:rPr>
        <w:footnoteReference w:id="1265"/>
      </w:r>
      <w:r>
        <w:rPr>
          <w:rFonts w:hint="eastAsia" w:ascii="宋体" w:hAnsi="宋体" w:eastAsia="宋体" w:cs="宋体"/>
          <w:color w:val="231F20"/>
          <w:sz w:val="22"/>
          <w:szCs w:val="22"/>
        </w:rPr>
        <w:t>马克思以</w:t>
      </w:r>
      <w:r>
        <w:rPr>
          <w:rFonts w:hint="eastAsia" w:ascii="宋体" w:hAnsi="宋体" w:eastAsia="宋体" w:cs="宋体"/>
          <w:color w:val="231F20"/>
          <w:spacing w:val="-1"/>
          <w:sz w:val="22"/>
          <w:szCs w:val="22"/>
        </w:rPr>
        <w:t>经济分析为现实抓手，在批判</w:t>
      </w:r>
      <w:r>
        <w:rPr>
          <w:rFonts w:hint="eastAsia" w:ascii="宋体" w:hAnsi="宋体" w:eastAsia="宋体" w:cs="宋体"/>
          <w:color w:val="231F20"/>
          <w:spacing w:val="9"/>
          <w:sz w:val="22"/>
          <w:szCs w:val="22"/>
        </w:rPr>
        <w:t>和扬弃古典政治经济学的过程中，阐明了劳动价值论，</w:t>
      </w:r>
      <w:r>
        <w:rPr>
          <w:rFonts w:hint="eastAsia" w:ascii="宋体" w:hAnsi="宋体" w:eastAsia="宋体" w:cs="宋体"/>
          <w:color w:val="231F20"/>
          <w:spacing w:val="8"/>
          <w:sz w:val="22"/>
          <w:szCs w:val="22"/>
        </w:rPr>
        <w:t>指出商品的使用价值和价值由工人的劳</w:t>
      </w:r>
      <w:r>
        <w:rPr>
          <w:rFonts w:hint="eastAsia" w:ascii="宋体" w:hAnsi="宋体" w:eastAsia="宋体" w:cs="宋体"/>
          <w:color w:val="231F20"/>
          <w:spacing w:val="7"/>
          <w:sz w:val="22"/>
          <w:szCs w:val="22"/>
        </w:rPr>
        <w:t>动创造。随着劳动力成为商品，货币转化为资本，雇佣工人在劳动中创造的价值除补偿劳动力的价值外仍有剩余，而这些剩余价值被资本家无情占有。资本带来的剩余价值，是特定历史阶</w:t>
      </w:r>
      <w:r>
        <w:rPr>
          <w:rFonts w:hint="eastAsia" w:ascii="宋体" w:hAnsi="宋体" w:eastAsia="宋体" w:cs="宋体"/>
          <w:color w:val="231F20"/>
          <w:spacing w:val="8"/>
          <w:sz w:val="22"/>
          <w:szCs w:val="22"/>
        </w:rPr>
        <w:t>段社会生产关系，既是极富时代历史性的推动力量，也是暗藏时代消极性的破</w:t>
      </w:r>
      <w:r>
        <w:rPr>
          <w:rFonts w:hint="eastAsia" w:ascii="宋体" w:hAnsi="宋体" w:eastAsia="宋体" w:cs="宋体"/>
          <w:color w:val="231F20"/>
          <w:spacing w:val="7"/>
          <w:sz w:val="22"/>
          <w:szCs w:val="22"/>
        </w:rPr>
        <w:t>坏力量。剩余价</w:t>
      </w:r>
      <w:r>
        <w:rPr>
          <w:rFonts w:hint="eastAsia" w:ascii="宋体" w:hAnsi="宋体" w:eastAsia="宋体" w:cs="宋体"/>
          <w:color w:val="231F20"/>
          <w:spacing w:val="11"/>
          <w:sz w:val="22"/>
          <w:szCs w:val="22"/>
        </w:rPr>
        <w:t>值理论作为马克思主义政治经济学的核心理论，</w:t>
      </w:r>
      <w:r>
        <w:rPr>
          <w:rFonts w:hint="eastAsia" w:ascii="宋体" w:hAnsi="宋体" w:eastAsia="宋体" w:cs="宋体"/>
          <w:color w:val="231F20"/>
          <w:spacing w:val="10"/>
          <w:sz w:val="22"/>
          <w:szCs w:val="22"/>
        </w:rPr>
        <w:t>揭示了资本主义腐朽剥削的本质和时代特质。</w:t>
      </w:r>
      <w:r>
        <w:rPr>
          <w:rFonts w:hint="eastAsia" w:ascii="宋体" w:hAnsi="宋体" w:eastAsia="宋体" w:cs="宋体"/>
          <w:color w:val="231F20"/>
          <w:spacing w:val="1"/>
          <w:sz w:val="22"/>
          <w:szCs w:val="22"/>
        </w:rPr>
        <w:t>对这种“创造性破坏”的时代本质的洞悉和挖掘，正是马克</w:t>
      </w:r>
      <w:r>
        <w:rPr>
          <w:rFonts w:hint="eastAsia" w:ascii="宋体" w:hAnsi="宋体" w:eastAsia="宋体" w:cs="宋体"/>
          <w:color w:val="231F20"/>
          <w:sz w:val="22"/>
          <w:szCs w:val="22"/>
        </w:rPr>
        <w:t>思主义时代性的集中体现。</w:t>
      </w:r>
    </w:p>
    <w:p w14:paraId="4F85018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10"/>
          <w:sz w:val="22"/>
          <w:szCs w:val="22"/>
        </w:rPr>
        <w:t>对资本主义生产关系的揭露和批判，证明了无产阶级作为物质财富和精神财富的创造者，</w:t>
      </w:r>
      <w:r>
        <w:rPr>
          <w:rFonts w:hint="eastAsia" w:ascii="宋体" w:hAnsi="宋体" w:eastAsia="宋体" w:cs="宋体"/>
          <w:color w:val="231F20"/>
          <w:spacing w:val="8"/>
          <w:sz w:val="22"/>
          <w:szCs w:val="22"/>
        </w:rPr>
        <w:t>处于推动人类解放的革命主体地位，为无产阶级觉醒提供了时代启迪。对生产剩余</w:t>
      </w:r>
      <w:r>
        <w:rPr>
          <w:rFonts w:hint="eastAsia" w:ascii="宋体" w:hAnsi="宋体" w:eastAsia="宋体" w:cs="宋体"/>
          <w:color w:val="231F20"/>
          <w:spacing w:val="7"/>
          <w:sz w:val="22"/>
          <w:szCs w:val="22"/>
        </w:rPr>
        <w:t>价值的两种</w:t>
      </w:r>
      <w:r>
        <w:rPr>
          <w:rFonts w:hint="eastAsia" w:ascii="宋体" w:hAnsi="宋体" w:eastAsia="宋体" w:cs="宋体"/>
          <w:color w:val="231F20"/>
          <w:spacing w:val="4"/>
          <w:sz w:val="22"/>
          <w:szCs w:val="22"/>
        </w:rPr>
        <w:t>基本方式的分析、资本积累过程的论述、资本原始积累血腥</w:t>
      </w:r>
      <w:r>
        <w:rPr>
          <w:rFonts w:hint="eastAsia" w:ascii="宋体" w:hAnsi="宋体" w:eastAsia="宋体" w:cs="宋体"/>
          <w:color w:val="231F20"/>
          <w:spacing w:val="3"/>
          <w:sz w:val="22"/>
          <w:szCs w:val="22"/>
        </w:rPr>
        <w:t>历史的揭露，都表明资产阶级在创造所谓生产力和财富“奇迹”的同时，也制造了一个少数人享有特权、多数人贫穷的极不公平的制</w:t>
      </w:r>
      <w:r>
        <w:rPr>
          <w:rFonts w:hint="eastAsia" w:ascii="宋体" w:hAnsi="宋体" w:eastAsia="宋体" w:cs="宋体"/>
          <w:color w:val="231F20"/>
          <w:spacing w:val="8"/>
          <w:sz w:val="22"/>
          <w:szCs w:val="22"/>
        </w:rPr>
        <w:t>度体系。无产阶级创造的财富被他人占有，生产资料私有制和社会化大生产之间的</w:t>
      </w:r>
      <w:r>
        <w:rPr>
          <w:rFonts w:hint="eastAsia" w:ascii="宋体" w:hAnsi="宋体" w:eastAsia="宋体" w:cs="宋体"/>
          <w:color w:val="231F20"/>
          <w:spacing w:val="7"/>
          <w:sz w:val="22"/>
          <w:szCs w:val="22"/>
        </w:rPr>
        <w:t>矛盾成为资</w:t>
      </w:r>
      <w:r>
        <w:rPr>
          <w:rFonts w:hint="eastAsia" w:ascii="宋体" w:hAnsi="宋体" w:eastAsia="宋体" w:cs="宋体"/>
          <w:color w:val="231F20"/>
          <w:spacing w:val="8"/>
          <w:sz w:val="22"/>
          <w:szCs w:val="22"/>
        </w:rPr>
        <w:t>本主义社会的基本矛盾，使得无产阶级和资产阶级的对立不可避免。对资本主义生</w:t>
      </w:r>
      <w:r>
        <w:rPr>
          <w:rFonts w:hint="eastAsia" w:ascii="宋体" w:hAnsi="宋体" w:eastAsia="宋体" w:cs="宋体"/>
          <w:color w:val="231F20"/>
          <w:spacing w:val="7"/>
          <w:sz w:val="22"/>
          <w:szCs w:val="22"/>
        </w:rPr>
        <w:t>产关系恶性</w:t>
      </w:r>
      <w:r>
        <w:rPr>
          <w:rFonts w:hint="eastAsia" w:ascii="宋体" w:hAnsi="宋体" w:eastAsia="宋体" w:cs="宋体"/>
          <w:color w:val="231F20"/>
          <w:spacing w:val="4"/>
          <w:sz w:val="22"/>
          <w:szCs w:val="22"/>
        </w:rPr>
        <w:t>循环的控诉，无疑为新的生产关系的出现、新的阶级斗争和</w:t>
      </w:r>
      <w:r>
        <w:rPr>
          <w:rFonts w:hint="eastAsia" w:ascii="宋体" w:hAnsi="宋体" w:eastAsia="宋体" w:cs="宋体"/>
          <w:color w:val="231F20"/>
          <w:spacing w:val="3"/>
          <w:sz w:val="22"/>
          <w:szCs w:val="22"/>
        </w:rPr>
        <w:t>人类解放的图景，作出了时代化的理</w:t>
      </w:r>
      <w:r>
        <w:rPr>
          <w:rFonts w:hint="eastAsia" w:ascii="宋体" w:hAnsi="宋体" w:eastAsia="宋体" w:cs="宋体"/>
          <w:color w:val="231F20"/>
          <w:spacing w:val="7"/>
          <w:sz w:val="22"/>
          <w:szCs w:val="22"/>
        </w:rPr>
        <w:t>论和实践准备。</w:t>
      </w:r>
    </w:p>
    <w:p w14:paraId="02804C8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3.科学社会主义学说作为马克思主义时代化的实践</w:t>
      </w:r>
      <w:r>
        <w:rPr>
          <w:rFonts w:hint="eastAsia" w:ascii="宋体" w:hAnsi="宋体" w:eastAsia="宋体" w:cs="宋体"/>
          <w:color w:val="231F20"/>
          <w:spacing w:val="7"/>
          <w:sz w:val="22"/>
          <w:szCs w:val="22"/>
        </w:rPr>
        <w:t>动力</w:t>
      </w:r>
    </w:p>
    <w:p w14:paraId="5288705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科学社会主义学说完整阐述了资本主义必将灭</w:t>
      </w:r>
      <w:r>
        <w:rPr>
          <w:rFonts w:hint="eastAsia" w:ascii="宋体" w:hAnsi="宋体" w:eastAsia="宋体" w:cs="宋体"/>
          <w:color w:val="231F20"/>
          <w:spacing w:val="8"/>
          <w:sz w:val="22"/>
          <w:szCs w:val="22"/>
        </w:rPr>
        <w:t>亡、共产主义必将胜利的理论论断，体系化</w:t>
      </w:r>
      <w:r>
        <w:rPr>
          <w:rFonts w:hint="eastAsia" w:ascii="宋体" w:hAnsi="宋体" w:eastAsia="宋体" w:cs="宋体"/>
          <w:color w:val="231F20"/>
          <w:spacing w:val="7"/>
          <w:sz w:val="22"/>
          <w:szCs w:val="22"/>
        </w:rPr>
        <w:t>地论证了无产阶级运动的时代使命。马克思指出，资产阶级依靠剥削和压迫无产阶级来维护自</w:t>
      </w:r>
      <w:r>
        <w:rPr>
          <w:rFonts w:hint="eastAsia" w:ascii="宋体" w:hAnsi="宋体" w:eastAsia="宋体" w:cs="宋体"/>
          <w:color w:val="231F20"/>
          <w:spacing w:val="1"/>
          <w:sz w:val="22"/>
          <w:szCs w:val="22"/>
        </w:rPr>
        <w:t>身阶级统治，而无产阶级作为真正革命的阶级，必须“炸毁构成官方社会的整个上</w:t>
      </w:r>
      <w:r>
        <w:rPr>
          <w:rFonts w:hint="eastAsia" w:ascii="宋体" w:hAnsi="宋体" w:eastAsia="宋体" w:cs="宋体"/>
          <w:color w:val="231F20"/>
          <w:sz w:val="22"/>
          <w:szCs w:val="22"/>
        </w:rPr>
        <w:t>层”</w:t>
      </w:r>
      <w:r>
        <w:rPr>
          <w:rStyle w:val="20"/>
          <w:rFonts w:hint="eastAsia" w:ascii="宋体" w:hAnsi="宋体" w:eastAsia="宋体" w:cs="宋体"/>
          <w:color w:val="231F20"/>
          <w:sz w:val="22"/>
          <w:szCs w:val="22"/>
        </w:rPr>
        <w:footnoteReference w:id="1266"/>
      </w:r>
      <w:r>
        <w:rPr>
          <w:rFonts w:hint="eastAsia" w:ascii="宋体" w:hAnsi="宋体" w:eastAsia="宋体" w:cs="宋体"/>
          <w:color w:val="231F20"/>
          <w:sz w:val="22"/>
          <w:szCs w:val="22"/>
        </w:rPr>
        <w:t>,推动为</w:t>
      </w:r>
      <w:r>
        <w:rPr>
          <w:rFonts w:hint="eastAsia" w:ascii="宋体" w:hAnsi="宋体" w:eastAsia="宋体" w:cs="宋体"/>
          <w:color w:val="231F20"/>
          <w:spacing w:val="8"/>
          <w:sz w:val="22"/>
          <w:szCs w:val="22"/>
        </w:rPr>
        <w:t>世界绝大多数人谋利益的无产阶级运动。在这个过程中，无产阶级需要组成</w:t>
      </w:r>
      <w:r>
        <w:rPr>
          <w:rFonts w:hint="eastAsia" w:ascii="宋体" w:hAnsi="宋体" w:eastAsia="宋体" w:cs="宋体"/>
          <w:color w:val="231F20"/>
          <w:spacing w:val="7"/>
          <w:sz w:val="22"/>
          <w:szCs w:val="22"/>
        </w:rPr>
        <w:t>政党，推翻资产阶</w:t>
      </w:r>
      <w:r>
        <w:rPr>
          <w:rFonts w:hint="eastAsia" w:ascii="宋体" w:hAnsi="宋体" w:eastAsia="宋体" w:cs="宋体"/>
          <w:color w:val="231F20"/>
          <w:spacing w:val="-1"/>
          <w:sz w:val="22"/>
          <w:szCs w:val="22"/>
        </w:rPr>
        <w:t>级统治，夺取政权，消灭私有制，消灭旧的生产关系，进而消灭阶级，构建“每个人的</w:t>
      </w:r>
      <w:r>
        <w:rPr>
          <w:rFonts w:hint="eastAsia" w:ascii="宋体" w:hAnsi="宋体" w:eastAsia="宋体" w:cs="宋体"/>
          <w:color w:val="231F20"/>
          <w:spacing w:val="-2"/>
          <w:sz w:val="22"/>
          <w:szCs w:val="22"/>
        </w:rPr>
        <w:t>自由发展是</w:t>
      </w:r>
      <w:r>
        <w:rPr>
          <w:rFonts w:hint="eastAsia" w:ascii="宋体" w:hAnsi="宋体" w:eastAsia="宋体" w:cs="宋体"/>
          <w:color w:val="231F20"/>
          <w:spacing w:val="2"/>
          <w:sz w:val="22"/>
          <w:szCs w:val="22"/>
        </w:rPr>
        <w:t>一切人的自由发展的条件”</w:t>
      </w:r>
      <w:r>
        <w:rPr>
          <w:rStyle w:val="20"/>
          <w:rFonts w:hint="eastAsia" w:ascii="宋体" w:hAnsi="宋体" w:eastAsia="宋体" w:cs="宋体"/>
          <w:color w:val="231F20"/>
          <w:spacing w:val="2"/>
          <w:sz w:val="22"/>
          <w:szCs w:val="22"/>
        </w:rPr>
        <w:footnoteReference w:id="1267"/>
      </w:r>
      <w:r>
        <w:rPr>
          <w:rFonts w:hint="eastAsia" w:ascii="宋体" w:hAnsi="宋体" w:eastAsia="宋体" w:cs="宋体"/>
          <w:color w:val="231F20"/>
          <w:spacing w:val="2"/>
          <w:sz w:val="22"/>
          <w:szCs w:val="22"/>
        </w:rPr>
        <w:t>的共产主义联合体，真正实现人的解放。马克思主义在此时，以划时代的高远愿景，描绘了超越时代、普照后世的光辉蓝图，贡献了具有里程碑意义的最高纲领。</w:t>
      </w:r>
    </w:p>
    <w:p w14:paraId="5C471F3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马克思恩格斯以亲身参与、指导和领导无产阶级政党和革命的巨大实践魄力，为那个充满</w:t>
      </w:r>
      <w:r>
        <w:rPr>
          <w:rFonts w:hint="eastAsia" w:ascii="宋体" w:hAnsi="宋体" w:eastAsia="宋体" w:cs="宋体"/>
          <w:color w:val="231F20"/>
          <w:spacing w:val="12"/>
          <w:sz w:val="22"/>
          <w:szCs w:val="22"/>
        </w:rPr>
        <w:t>变革的时代留下无产阶级运动的火种。马克思恩格斯对无产阶级革命斗争的实践指导可分为三个阶段。一是组织创建世界上第一个无产阶级政党——共产主义者同盟。在对革命局势的</w:t>
      </w:r>
      <w:r>
        <w:rPr>
          <w:rFonts w:hint="eastAsia" w:ascii="宋体" w:hAnsi="宋体" w:eastAsia="宋体" w:cs="宋体"/>
          <w:color w:val="231F20"/>
          <w:spacing w:val="6"/>
          <w:sz w:val="22"/>
          <w:szCs w:val="22"/>
        </w:rPr>
        <w:t>审时度势中，在和党内外错误思潮和分裂</w:t>
      </w:r>
      <w:r>
        <w:rPr>
          <w:rFonts w:hint="eastAsia" w:ascii="宋体" w:hAnsi="宋体" w:eastAsia="宋体" w:cs="宋体"/>
          <w:color w:val="231F20"/>
          <w:spacing w:val="5"/>
          <w:sz w:val="22"/>
          <w:szCs w:val="22"/>
        </w:rPr>
        <w:t>势力的斗争中，为无产阶级政党的发展提供宝贵经验。</w:t>
      </w:r>
      <w:r>
        <w:rPr>
          <w:rFonts w:hint="eastAsia" w:ascii="宋体" w:hAnsi="宋体" w:eastAsia="宋体" w:cs="宋体"/>
          <w:color w:val="231F20"/>
          <w:spacing w:val="4"/>
          <w:sz w:val="22"/>
          <w:szCs w:val="22"/>
        </w:rPr>
        <w:t>二是引领建立国际工人协会，以科学社会主义凝聚国际</w:t>
      </w:r>
      <w:r>
        <w:rPr>
          <w:rFonts w:hint="eastAsia" w:ascii="宋体" w:hAnsi="宋体" w:eastAsia="宋体" w:cs="宋体"/>
          <w:color w:val="231F20"/>
          <w:spacing w:val="3"/>
          <w:sz w:val="22"/>
          <w:szCs w:val="22"/>
        </w:rPr>
        <w:t>工人运动的巨大合力，并与工联派、蒲鲁</w:t>
      </w:r>
      <w:r>
        <w:rPr>
          <w:rFonts w:hint="eastAsia" w:ascii="宋体" w:hAnsi="宋体" w:eastAsia="宋体" w:cs="宋体"/>
          <w:color w:val="231F20"/>
          <w:spacing w:val="6"/>
          <w:sz w:val="22"/>
          <w:szCs w:val="22"/>
        </w:rPr>
        <w:t>东派、巴枯宁派等错误思想坚决斗争，支</w:t>
      </w:r>
      <w:r>
        <w:rPr>
          <w:rFonts w:hint="eastAsia" w:ascii="宋体" w:hAnsi="宋体" w:eastAsia="宋体" w:cs="宋体"/>
          <w:color w:val="231F20"/>
          <w:spacing w:val="5"/>
          <w:sz w:val="22"/>
          <w:szCs w:val="22"/>
        </w:rPr>
        <w:t>援巴黎公社，使马克思主义成为震慑世界的时代强音。</w:t>
      </w:r>
      <w:r>
        <w:rPr>
          <w:rFonts w:hint="eastAsia" w:ascii="宋体" w:hAnsi="宋体" w:eastAsia="宋体" w:cs="宋体"/>
          <w:color w:val="231F20"/>
          <w:spacing w:val="4"/>
          <w:sz w:val="22"/>
          <w:szCs w:val="22"/>
        </w:rPr>
        <w:t>三是指导各国工人阶级政党建设，为德国、法国、俄国</w:t>
      </w:r>
      <w:r>
        <w:rPr>
          <w:rFonts w:hint="eastAsia" w:ascii="宋体" w:hAnsi="宋体" w:eastAsia="宋体" w:cs="宋体"/>
          <w:color w:val="231F20"/>
          <w:spacing w:val="3"/>
          <w:sz w:val="22"/>
          <w:szCs w:val="22"/>
        </w:rPr>
        <w:t>等国工人党的发展尽心竭力，对机会主义</w:t>
      </w:r>
      <w:r>
        <w:rPr>
          <w:rFonts w:hint="eastAsia" w:ascii="宋体" w:hAnsi="宋体" w:eastAsia="宋体" w:cs="宋体"/>
          <w:color w:val="231F20"/>
          <w:spacing w:val="7"/>
          <w:sz w:val="22"/>
          <w:szCs w:val="22"/>
        </w:rPr>
        <w:t>思想坚决批判。马克思恩格斯在其生命的尾声保住了无产阶级政党和革命的希望，为马克思主</w:t>
      </w:r>
      <w:r>
        <w:rPr>
          <w:rFonts w:hint="eastAsia" w:ascii="宋体" w:hAnsi="宋体" w:eastAsia="宋体" w:cs="宋体"/>
          <w:color w:val="231F20"/>
          <w:spacing w:val="8"/>
          <w:sz w:val="22"/>
          <w:szCs w:val="22"/>
        </w:rPr>
        <w:t>义时代化留下了宝贵遗产。</w:t>
      </w:r>
    </w:p>
    <w:p w14:paraId="292F5AC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2"/>
          <w:szCs w:val="22"/>
        </w:rPr>
      </w:pPr>
      <w:r>
        <w:rPr>
          <w:rFonts w:hint="eastAsia" w:ascii="宋体" w:hAnsi="宋体" w:eastAsia="宋体" w:cs="宋体"/>
          <w:b/>
          <w:bCs/>
          <w:color w:val="231F20"/>
          <w:spacing w:val="4"/>
          <w:sz w:val="22"/>
          <w:szCs w:val="22"/>
        </w:rPr>
        <w:t>（二）20世纪马克思主义的发展推动时代</w:t>
      </w:r>
      <w:r>
        <w:rPr>
          <w:rFonts w:hint="eastAsia" w:ascii="宋体" w:hAnsi="宋体" w:eastAsia="宋体" w:cs="宋体"/>
          <w:b/>
          <w:bCs/>
          <w:color w:val="231F20"/>
          <w:spacing w:val="3"/>
          <w:sz w:val="22"/>
          <w:szCs w:val="22"/>
        </w:rPr>
        <w:t>化进程</w:t>
      </w:r>
    </w:p>
    <w:p w14:paraId="190628E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1.俄国社会主义理论与实践开启马克思主</w:t>
      </w:r>
      <w:r>
        <w:rPr>
          <w:rFonts w:hint="eastAsia" w:ascii="宋体" w:hAnsi="宋体" w:eastAsia="宋体" w:cs="宋体"/>
          <w:color w:val="231F20"/>
          <w:spacing w:val="7"/>
          <w:sz w:val="22"/>
          <w:szCs w:val="22"/>
        </w:rPr>
        <w:t>义时代化制度探索</w:t>
      </w:r>
    </w:p>
    <w:p w14:paraId="4EDF028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列宁坚持马克思主义科学原则，分析帝国主义时代特征，提出帝国主义理论，有力批判修正</w:t>
      </w:r>
      <w:r>
        <w:rPr>
          <w:rFonts w:hint="eastAsia" w:ascii="宋体" w:hAnsi="宋体" w:eastAsia="宋体" w:cs="宋体"/>
          <w:color w:val="231F20"/>
          <w:spacing w:val="4"/>
          <w:sz w:val="22"/>
          <w:szCs w:val="22"/>
        </w:rPr>
        <w:t>主义的错误路线，通过十月革命的伟大实践，推动无产阶级</w:t>
      </w:r>
      <w:r>
        <w:rPr>
          <w:rFonts w:hint="eastAsia" w:ascii="宋体" w:hAnsi="宋体" w:eastAsia="宋体" w:cs="宋体"/>
          <w:color w:val="231F20"/>
          <w:spacing w:val="3"/>
          <w:sz w:val="22"/>
          <w:szCs w:val="22"/>
        </w:rPr>
        <w:t>政权在民族国家的首次建立，以马克</w:t>
      </w:r>
      <w:r>
        <w:rPr>
          <w:rFonts w:hint="eastAsia" w:ascii="宋体" w:hAnsi="宋体" w:eastAsia="宋体" w:cs="宋体"/>
          <w:color w:val="231F20"/>
          <w:spacing w:val="1"/>
          <w:sz w:val="22"/>
          <w:szCs w:val="22"/>
        </w:rPr>
        <w:t>思主义重构了时代进程和世界格局。20世纪初，世界资本主义样态出现显著变化，到达“从一般</w:t>
      </w:r>
      <w:r>
        <w:rPr>
          <w:rFonts w:hint="eastAsia" w:ascii="宋体" w:hAnsi="宋体" w:eastAsia="宋体" w:cs="宋体"/>
          <w:color w:val="231F20"/>
          <w:spacing w:val="5"/>
          <w:sz w:val="22"/>
          <w:szCs w:val="22"/>
        </w:rPr>
        <w:t>资本统治到金融资本统治的转折点”</w:t>
      </w:r>
      <w:r>
        <w:rPr>
          <w:rStyle w:val="20"/>
          <w:rFonts w:hint="eastAsia" w:ascii="宋体" w:hAnsi="宋体" w:eastAsia="宋体" w:cs="宋体"/>
          <w:color w:val="231F20"/>
          <w:spacing w:val="5"/>
          <w:sz w:val="22"/>
          <w:szCs w:val="22"/>
        </w:rPr>
        <w:footnoteReference w:id="1268"/>
      </w:r>
      <w:r>
        <w:rPr>
          <w:rFonts w:hint="eastAsia" w:ascii="宋体" w:hAnsi="宋体" w:eastAsia="宋体" w:cs="宋体"/>
          <w:color w:val="231F20"/>
          <w:spacing w:val="5"/>
          <w:sz w:val="22"/>
          <w:szCs w:val="22"/>
        </w:rPr>
        <w:t>,即帝国主义阶段——这是资本主义的垄断阶段、特殊阶</w:t>
      </w:r>
      <w:r>
        <w:rPr>
          <w:rFonts w:hint="eastAsia" w:ascii="宋体" w:hAnsi="宋体" w:eastAsia="宋体" w:cs="宋体"/>
          <w:color w:val="231F20"/>
          <w:spacing w:val="8"/>
          <w:sz w:val="22"/>
          <w:szCs w:val="22"/>
        </w:rPr>
        <w:t>段和最高阶段，此时世界领土已经被瓜分完毕。列宁坚持以阶级斗争对抗帝</w:t>
      </w:r>
      <w:r>
        <w:rPr>
          <w:rFonts w:hint="eastAsia" w:ascii="宋体" w:hAnsi="宋体" w:eastAsia="宋体" w:cs="宋体"/>
          <w:color w:val="231F20"/>
          <w:spacing w:val="7"/>
          <w:sz w:val="22"/>
          <w:szCs w:val="22"/>
        </w:rPr>
        <w:t>国主义，批判考茨</w:t>
      </w:r>
      <w:r>
        <w:rPr>
          <w:rFonts w:hint="eastAsia" w:ascii="宋体" w:hAnsi="宋体" w:eastAsia="宋体" w:cs="宋体"/>
          <w:color w:val="231F20"/>
          <w:spacing w:val="1"/>
          <w:sz w:val="22"/>
          <w:szCs w:val="22"/>
        </w:rPr>
        <w:t>基主义的修正主义和机会主义路线；明确提出“变帝国主义战争为国内战争”</w:t>
      </w:r>
      <w:r>
        <w:rPr>
          <w:rStyle w:val="20"/>
          <w:rFonts w:hint="eastAsia" w:ascii="宋体" w:hAnsi="宋体" w:eastAsia="宋体" w:cs="宋体"/>
          <w:color w:val="231F20"/>
          <w:spacing w:val="1"/>
          <w:sz w:val="22"/>
          <w:szCs w:val="22"/>
        </w:rPr>
        <w:footnoteReference w:id="1269"/>
      </w:r>
      <w:r>
        <w:rPr>
          <w:rFonts w:hint="eastAsia" w:ascii="宋体" w:hAnsi="宋体" w:eastAsia="宋体" w:cs="宋体"/>
          <w:color w:val="231F20"/>
          <w:spacing w:val="1"/>
          <w:sz w:val="22"/>
          <w:szCs w:val="22"/>
        </w:rPr>
        <w:t>,</w:t>
      </w:r>
      <w:r>
        <w:rPr>
          <w:rFonts w:hint="eastAsia" w:ascii="宋体" w:hAnsi="宋体" w:eastAsia="宋体" w:cs="宋体"/>
          <w:color w:val="231F20"/>
          <w:sz w:val="22"/>
          <w:szCs w:val="22"/>
        </w:rPr>
        <w:t>通过十月革命夺</w:t>
      </w:r>
      <w:r>
        <w:rPr>
          <w:rFonts w:hint="eastAsia" w:ascii="宋体" w:hAnsi="宋体" w:eastAsia="宋体" w:cs="宋体"/>
          <w:color w:val="231F20"/>
          <w:spacing w:val="7"/>
          <w:sz w:val="22"/>
          <w:szCs w:val="22"/>
        </w:rPr>
        <w:t>取无产阶级政权，建立了世界上第一个由马克思主义政党领导的社会主义国家。十月革命的胜</w:t>
      </w:r>
      <w:r>
        <w:rPr>
          <w:rFonts w:hint="eastAsia" w:ascii="宋体" w:hAnsi="宋体" w:eastAsia="宋体" w:cs="宋体"/>
          <w:color w:val="231F20"/>
          <w:spacing w:val="4"/>
          <w:sz w:val="22"/>
          <w:szCs w:val="22"/>
        </w:rPr>
        <w:t>利，证明了马克思主义的科学性，使马克思主义进入了领导</w:t>
      </w:r>
      <w:r>
        <w:rPr>
          <w:rFonts w:hint="eastAsia" w:ascii="宋体" w:hAnsi="宋体" w:eastAsia="宋体" w:cs="宋体"/>
          <w:color w:val="231F20"/>
          <w:spacing w:val="3"/>
          <w:sz w:val="22"/>
          <w:szCs w:val="22"/>
        </w:rPr>
        <w:t>国家政权、直接引领人民解放的新的</w:t>
      </w:r>
      <w:r>
        <w:rPr>
          <w:rFonts w:hint="eastAsia" w:ascii="宋体" w:hAnsi="宋体" w:eastAsia="宋体" w:cs="宋体"/>
          <w:color w:val="231F20"/>
          <w:spacing w:val="6"/>
          <w:sz w:val="22"/>
          <w:szCs w:val="22"/>
        </w:rPr>
        <w:t>时代阶段。</w:t>
      </w:r>
    </w:p>
    <w:p w14:paraId="794E563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社会主义苏联模式的创建和探索，为国际共产</w:t>
      </w:r>
      <w:r>
        <w:rPr>
          <w:rFonts w:hint="eastAsia" w:ascii="宋体" w:hAnsi="宋体" w:eastAsia="宋体" w:cs="宋体"/>
          <w:color w:val="231F20"/>
          <w:spacing w:val="8"/>
          <w:sz w:val="22"/>
          <w:szCs w:val="22"/>
        </w:rPr>
        <w:t>主义运动贡献了宏伟的历史成就，领导并影响了亿万人民的命运，以马克思主义改变了时代走向。社会主义使苏联迅速从落后的</w:t>
      </w:r>
      <w:r>
        <w:rPr>
          <w:rFonts w:hint="eastAsia" w:ascii="宋体" w:hAnsi="宋体" w:eastAsia="宋体" w:cs="宋体"/>
          <w:color w:val="231F20"/>
          <w:spacing w:val="7"/>
          <w:sz w:val="22"/>
          <w:szCs w:val="22"/>
        </w:rPr>
        <w:t>农业国转</w:t>
      </w:r>
      <w:r>
        <w:rPr>
          <w:rFonts w:hint="eastAsia" w:ascii="宋体" w:hAnsi="宋体" w:eastAsia="宋体" w:cs="宋体"/>
          <w:color w:val="231F20"/>
          <w:spacing w:val="2"/>
          <w:sz w:val="22"/>
          <w:szCs w:val="22"/>
        </w:rPr>
        <w:t>变为世界工业强国，大幅超越了自身时代的发展步伐。19</w:t>
      </w:r>
      <w:r>
        <w:rPr>
          <w:rFonts w:hint="eastAsia" w:ascii="宋体" w:hAnsi="宋体" w:eastAsia="宋体" w:cs="宋体"/>
          <w:color w:val="231F20"/>
          <w:spacing w:val="1"/>
          <w:sz w:val="22"/>
          <w:szCs w:val="22"/>
        </w:rPr>
        <w:t>37年，苏联工业总产值跃居欧洲第一、</w:t>
      </w:r>
      <w:r>
        <w:rPr>
          <w:rFonts w:hint="eastAsia" w:ascii="宋体" w:hAnsi="宋体" w:eastAsia="宋体" w:cs="宋体"/>
          <w:color w:val="231F20"/>
          <w:spacing w:val="2"/>
          <w:sz w:val="22"/>
          <w:szCs w:val="22"/>
        </w:rPr>
        <w:t>世界第二。20世纪50年代，苏联经济高速增长，建立了现代核工业、无线电电子工业、仪表工</w:t>
      </w:r>
      <w:r>
        <w:rPr>
          <w:rFonts w:hint="eastAsia" w:ascii="宋体" w:hAnsi="宋体" w:eastAsia="宋体" w:cs="宋体"/>
          <w:color w:val="231F20"/>
          <w:spacing w:val="3"/>
          <w:sz w:val="22"/>
          <w:szCs w:val="22"/>
        </w:rPr>
        <w:t>业、宇航工业、喷气式飞机制造业等。农业机械化运动保障了粮食供给，全国推行八小时工</w:t>
      </w:r>
      <w:r>
        <w:rPr>
          <w:rFonts w:hint="eastAsia" w:ascii="宋体" w:hAnsi="宋体" w:eastAsia="宋体" w:cs="宋体"/>
          <w:color w:val="231F20"/>
          <w:spacing w:val="2"/>
          <w:sz w:val="22"/>
          <w:szCs w:val="22"/>
        </w:rPr>
        <w:t>作制</w:t>
      </w:r>
      <w:r>
        <w:rPr>
          <w:rFonts w:hint="eastAsia" w:ascii="宋体" w:hAnsi="宋体" w:eastAsia="宋体" w:cs="宋体"/>
          <w:color w:val="231F20"/>
          <w:spacing w:val="8"/>
          <w:sz w:val="22"/>
          <w:szCs w:val="22"/>
        </w:rPr>
        <w:t>和义务教育，人民生活水平和社会主义文化事业得到极大</w:t>
      </w:r>
      <w:r>
        <w:rPr>
          <w:rFonts w:hint="eastAsia" w:ascii="宋体" w:hAnsi="宋体" w:eastAsia="宋体" w:cs="宋体"/>
          <w:color w:val="231F20"/>
          <w:spacing w:val="7"/>
          <w:sz w:val="22"/>
          <w:szCs w:val="22"/>
        </w:rPr>
        <w:t>发展。最为重要的是，苏维埃人民以</w:t>
      </w:r>
      <w:r>
        <w:rPr>
          <w:rFonts w:hint="eastAsia" w:ascii="宋体" w:hAnsi="宋体" w:eastAsia="宋体" w:cs="宋体"/>
          <w:color w:val="231F20"/>
          <w:spacing w:val="9"/>
          <w:sz w:val="22"/>
          <w:szCs w:val="22"/>
        </w:rPr>
        <w:t>钢铁般的意志打赢了卫国战争，为世界反法西</w:t>
      </w:r>
      <w:r>
        <w:rPr>
          <w:rFonts w:hint="eastAsia" w:ascii="宋体" w:hAnsi="宋体" w:eastAsia="宋体" w:cs="宋体"/>
          <w:color w:val="231F20"/>
          <w:spacing w:val="8"/>
          <w:sz w:val="22"/>
          <w:szCs w:val="22"/>
        </w:rPr>
        <w:t>斯胜利作出不可磨灭的贡献，发出同时期马克思</w:t>
      </w:r>
      <w:r>
        <w:rPr>
          <w:rFonts w:hint="eastAsia" w:ascii="宋体" w:hAnsi="宋体" w:eastAsia="宋体" w:cs="宋体"/>
          <w:color w:val="231F20"/>
          <w:spacing w:val="7"/>
          <w:sz w:val="22"/>
          <w:szCs w:val="22"/>
        </w:rPr>
        <w:t>主义的最强时代之音。</w:t>
      </w:r>
    </w:p>
    <w:p w14:paraId="40D5109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2.社会主义国家解放事业拓展马克思主义时代化空间布局</w:t>
      </w:r>
    </w:p>
    <w:p w14:paraId="563DA50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6"/>
          <w:sz w:val="22"/>
          <w:szCs w:val="22"/>
        </w:rPr>
        <w:t>中国共产党的成立和发展，是国际共产主义运动的重要组成部分。中国共产党领导中国人</w:t>
      </w:r>
      <w:r>
        <w:rPr>
          <w:rFonts w:hint="eastAsia" w:ascii="宋体" w:hAnsi="宋体" w:eastAsia="宋体" w:cs="宋体"/>
          <w:color w:val="231F20"/>
          <w:spacing w:val="9"/>
          <w:sz w:val="22"/>
          <w:szCs w:val="22"/>
        </w:rPr>
        <w:t>民取得新民主主义革命胜利，建立了社会主义制度，并推</w:t>
      </w:r>
      <w:r>
        <w:rPr>
          <w:rFonts w:hint="eastAsia" w:ascii="宋体" w:hAnsi="宋体" w:eastAsia="宋体" w:cs="宋体"/>
          <w:color w:val="231F20"/>
          <w:spacing w:val="8"/>
          <w:sz w:val="22"/>
          <w:szCs w:val="22"/>
        </w:rPr>
        <w:t>动了马克思主义中国化时代化的历史性发展。在十月革命对全球无产阶级运动和民族解放事业的巨大感召和影响下，近代</w:t>
      </w:r>
      <w:r>
        <w:rPr>
          <w:rFonts w:hint="eastAsia" w:ascii="宋体" w:hAnsi="宋体" w:eastAsia="宋体" w:cs="宋体"/>
          <w:color w:val="231F20"/>
          <w:spacing w:val="7"/>
          <w:sz w:val="22"/>
          <w:szCs w:val="22"/>
        </w:rPr>
        <w:t>中国在历史和人民的推动中选择了马克思主义。中国共产党在共产国际的帮助和指导下建立，以毛泽东</w:t>
      </w:r>
      <w:r>
        <w:rPr>
          <w:rFonts w:hint="eastAsia" w:ascii="宋体" w:hAnsi="宋体" w:eastAsia="宋体" w:cs="宋体"/>
          <w:color w:val="231F20"/>
          <w:spacing w:val="9"/>
          <w:sz w:val="22"/>
          <w:szCs w:val="22"/>
        </w:rPr>
        <w:t>同志为主要代表的中国共产党人坚持党的领导和群众路线</w:t>
      </w:r>
      <w:r>
        <w:rPr>
          <w:rFonts w:hint="eastAsia" w:ascii="宋体" w:hAnsi="宋体" w:eastAsia="宋体" w:cs="宋体"/>
          <w:color w:val="231F20"/>
          <w:spacing w:val="8"/>
          <w:sz w:val="22"/>
          <w:szCs w:val="22"/>
        </w:rPr>
        <w:t>，实行工农武装割据，创立了毛泽东</w:t>
      </w:r>
      <w:r>
        <w:rPr>
          <w:rFonts w:hint="eastAsia" w:ascii="宋体" w:hAnsi="宋体" w:eastAsia="宋体" w:cs="宋体"/>
          <w:color w:val="231F20"/>
          <w:spacing w:val="3"/>
          <w:sz w:val="22"/>
          <w:szCs w:val="22"/>
        </w:rPr>
        <w:t>思想这一重大理论和实践成果，实现了马克思主义中国化时代化的第一次伟大飞跃。至此，</w:t>
      </w:r>
      <w:r>
        <w:rPr>
          <w:rFonts w:hint="eastAsia" w:ascii="宋体" w:hAnsi="宋体" w:eastAsia="宋体" w:cs="宋体"/>
          <w:color w:val="231F20"/>
          <w:spacing w:val="2"/>
          <w:sz w:val="22"/>
          <w:szCs w:val="22"/>
        </w:rPr>
        <w:t>“中</w:t>
      </w:r>
      <w:r>
        <w:rPr>
          <w:rFonts w:hint="eastAsia" w:ascii="宋体" w:hAnsi="宋体" w:eastAsia="宋体" w:cs="宋体"/>
          <w:color w:val="231F20"/>
          <w:spacing w:val="7"/>
          <w:sz w:val="22"/>
          <w:szCs w:val="22"/>
        </w:rPr>
        <w:t>国化”成为马克思主义时代化在中国不可分割的理</w:t>
      </w:r>
      <w:r>
        <w:rPr>
          <w:rFonts w:hint="eastAsia" w:ascii="宋体" w:hAnsi="宋体" w:eastAsia="宋体" w:cs="宋体"/>
          <w:color w:val="231F20"/>
          <w:spacing w:val="6"/>
          <w:sz w:val="22"/>
          <w:szCs w:val="22"/>
        </w:rPr>
        <w:t>论和实践特质。中华人民共和国的成立和社</w:t>
      </w:r>
      <w:r>
        <w:rPr>
          <w:rFonts w:hint="eastAsia" w:ascii="宋体" w:hAnsi="宋体" w:eastAsia="宋体" w:cs="宋体"/>
          <w:color w:val="231F20"/>
          <w:spacing w:val="4"/>
          <w:sz w:val="22"/>
          <w:szCs w:val="22"/>
        </w:rPr>
        <w:t>会主义制度的建立，进一步推进马克思主义中国化时代化的深</w:t>
      </w:r>
      <w:r>
        <w:rPr>
          <w:rFonts w:hint="eastAsia" w:ascii="宋体" w:hAnsi="宋体" w:eastAsia="宋体" w:cs="宋体"/>
          <w:color w:val="231F20"/>
          <w:spacing w:val="3"/>
          <w:sz w:val="22"/>
          <w:szCs w:val="22"/>
        </w:rPr>
        <w:t>化发展，“为整个共产党世界树立</w:t>
      </w:r>
      <w:r>
        <w:rPr>
          <w:rFonts w:hint="eastAsia" w:ascii="宋体" w:hAnsi="宋体" w:eastAsia="宋体" w:cs="宋体"/>
          <w:color w:val="231F20"/>
          <w:spacing w:val="-2"/>
          <w:sz w:val="22"/>
          <w:szCs w:val="22"/>
        </w:rPr>
        <w:t>了满怀信心、充满力量和现实主义的榜样”</w:t>
      </w:r>
      <w:r>
        <w:rPr>
          <w:rStyle w:val="20"/>
          <w:rFonts w:hint="eastAsia" w:ascii="宋体" w:hAnsi="宋体" w:eastAsia="宋体" w:cs="宋体"/>
          <w:color w:val="231F20"/>
          <w:spacing w:val="-2"/>
          <w:sz w:val="22"/>
          <w:szCs w:val="22"/>
        </w:rPr>
        <w:footnoteReference w:id="1270"/>
      </w:r>
      <w:r>
        <w:rPr>
          <w:rFonts w:hint="eastAsia" w:ascii="宋体" w:hAnsi="宋体" w:eastAsia="宋体" w:cs="宋体"/>
          <w:color w:val="231F20"/>
          <w:spacing w:val="-2"/>
          <w:sz w:val="22"/>
          <w:szCs w:val="22"/>
        </w:rPr>
        <w:t>。</w:t>
      </w:r>
    </w:p>
    <w:p w14:paraId="3DCB5CC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广大社会主义国家深入推进无产阶级革命，以马克思主义有力推动了后发国家的民族解放和</w:t>
      </w:r>
      <w:r>
        <w:rPr>
          <w:rFonts w:hint="eastAsia" w:ascii="宋体" w:hAnsi="宋体" w:eastAsia="宋体" w:cs="宋体"/>
          <w:color w:val="231F20"/>
          <w:spacing w:val="-2"/>
          <w:sz w:val="22"/>
          <w:szCs w:val="22"/>
        </w:rPr>
        <w:t>社会建设，使社会主义理论和实践在世界范围内广泛传播，形成“遍地开花”时</w:t>
      </w:r>
      <w:r>
        <w:rPr>
          <w:rFonts w:hint="eastAsia" w:ascii="宋体" w:hAnsi="宋体" w:eastAsia="宋体" w:cs="宋体"/>
          <w:color w:val="231F20"/>
          <w:spacing w:val="-3"/>
          <w:sz w:val="22"/>
          <w:szCs w:val="22"/>
        </w:rPr>
        <w:t>代化特征。两次世</w:t>
      </w:r>
      <w:r>
        <w:rPr>
          <w:rFonts w:hint="eastAsia" w:ascii="宋体" w:hAnsi="宋体" w:eastAsia="宋体" w:cs="宋体"/>
          <w:color w:val="231F20"/>
          <w:sz w:val="22"/>
          <w:szCs w:val="22"/>
        </w:rPr>
        <w:t>界大战极大改变了帝国主义势力版图，很多后发国家看到了摆脱殖民统治、实现民族独立的曙光，马克思主义在多国得到广泛传播与实践，时代化</w:t>
      </w:r>
      <w:r>
        <w:rPr>
          <w:rFonts w:hint="eastAsia" w:ascii="宋体" w:hAnsi="宋体" w:eastAsia="宋体" w:cs="宋体"/>
          <w:color w:val="231F20"/>
          <w:spacing w:val="-1"/>
          <w:sz w:val="22"/>
          <w:szCs w:val="22"/>
        </w:rPr>
        <w:t>进程步入新篇章。越南共产党于1930年成立，经</w:t>
      </w:r>
      <w:r>
        <w:rPr>
          <w:rFonts w:hint="eastAsia" w:ascii="宋体" w:hAnsi="宋体" w:eastAsia="宋体" w:cs="宋体"/>
          <w:color w:val="231F20"/>
          <w:spacing w:val="-2"/>
          <w:sz w:val="22"/>
          <w:szCs w:val="22"/>
        </w:rPr>
        <w:t>过与帝国主义艰苦卓绝的武装斗争，于1976年解放全国</w:t>
      </w:r>
      <w:r>
        <w:rPr>
          <w:rFonts w:hint="eastAsia" w:ascii="宋体" w:hAnsi="宋体" w:eastAsia="宋体" w:cs="宋体"/>
          <w:color w:val="231F20"/>
          <w:spacing w:val="-3"/>
          <w:sz w:val="22"/>
          <w:szCs w:val="22"/>
        </w:rPr>
        <w:t>，确立社会主义制度；朝鲜劳动党于1945</w:t>
      </w:r>
      <w:r>
        <w:rPr>
          <w:rFonts w:hint="eastAsia" w:ascii="宋体" w:hAnsi="宋体" w:eastAsia="宋体" w:cs="宋体"/>
          <w:color w:val="231F20"/>
          <w:spacing w:val="-1"/>
          <w:sz w:val="22"/>
          <w:szCs w:val="22"/>
        </w:rPr>
        <w:t>年成立，在中国人民志愿军的支援下击退帝国主义入侵，巩固了社会主义制度；老挝人</w:t>
      </w:r>
      <w:r>
        <w:rPr>
          <w:rFonts w:hint="eastAsia" w:ascii="宋体" w:hAnsi="宋体" w:eastAsia="宋体" w:cs="宋体"/>
          <w:color w:val="231F20"/>
          <w:spacing w:val="-2"/>
          <w:sz w:val="22"/>
          <w:szCs w:val="22"/>
        </w:rPr>
        <w:t>民革命党成</w:t>
      </w:r>
      <w:r>
        <w:rPr>
          <w:rFonts w:hint="eastAsia" w:ascii="宋体" w:hAnsi="宋体" w:eastAsia="宋体" w:cs="宋体"/>
          <w:color w:val="231F20"/>
          <w:spacing w:val="-6"/>
          <w:sz w:val="22"/>
          <w:szCs w:val="22"/>
        </w:rPr>
        <w:t>立于1955年，于1975年过渡到社会主义制度；古巴共产党于1965年更名，在与美苏的斗争与合作</w:t>
      </w:r>
      <w:r>
        <w:rPr>
          <w:rFonts w:hint="eastAsia" w:ascii="宋体" w:hAnsi="宋体" w:eastAsia="宋体" w:cs="宋体"/>
          <w:color w:val="231F20"/>
          <w:spacing w:val="3"/>
          <w:sz w:val="22"/>
          <w:szCs w:val="22"/>
        </w:rPr>
        <w:t>中，逐渐推行社会主义制度。各国无产阶级政党的革命和政权建设过程虽不相同，但都推动了马</w:t>
      </w:r>
      <w:r>
        <w:rPr>
          <w:rFonts w:hint="eastAsia" w:ascii="宋体" w:hAnsi="宋体" w:eastAsia="宋体" w:cs="宋体"/>
          <w:color w:val="231F20"/>
          <w:spacing w:val="4"/>
          <w:sz w:val="22"/>
          <w:szCs w:val="22"/>
        </w:rPr>
        <w:t>克思主义时代化的纵深发展，不断壮大的社会主义阵营和逐</w:t>
      </w:r>
      <w:r>
        <w:rPr>
          <w:rFonts w:hint="eastAsia" w:ascii="宋体" w:hAnsi="宋体" w:eastAsia="宋体" w:cs="宋体"/>
          <w:color w:val="231F20"/>
          <w:spacing w:val="3"/>
          <w:sz w:val="22"/>
          <w:szCs w:val="22"/>
        </w:rPr>
        <w:t>步深化的社会主义实践成为当时重要</w:t>
      </w:r>
      <w:r>
        <w:rPr>
          <w:rFonts w:hint="eastAsia" w:ascii="宋体" w:hAnsi="宋体" w:eastAsia="宋体" w:cs="宋体"/>
          <w:color w:val="231F20"/>
          <w:spacing w:val="4"/>
          <w:sz w:val="22"/>
          <w:szCs w:val="22"/>
        </w:rPr>
        <w:t>的时代特征。</w:t>
      </w:r>
    </w:p>
    <w:p w14:paraId="1174A5A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5"/>
          <w:sz w:val="22"/>
          <w:szCs w:val="22"/>
        </w:rPr>
        <w:t>3.和平与发展、开放与变革作为马克思主义时代化的重要</w:t>
      </w:r>
      <w:r>
        <w:rPr>
          <w:rFonts w:hint="eastAsia" w:ascii="宋体" w:hAnsi="宋体" w:eastAsia="宋体" w:cs="宋体"/>
          <w:color w:val="231F20"/>
          <w:spacing w:val="4"/>
          <w:sz w:val="22"/>
          <w:szCs w:val="22"/>
        </w:rPr>
        <w:t>历史经验</w:t>
      </w:r>
    </w:p>
    <w:p w14:paraId="2B6BF0A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美苏冷战愈演愈烈，社会主义各国开始了改革</w:t>
      </w:r>
      <w:r>
        <w:rPr>
          <w:rFonts w:hint="eastAsia" w:ascii="宋体" w:hAnsi="宋体" w:eastAsia="宋体" w:cs="宋体"/>
          <w:color w:val="231F20"/>
          <w:spacing w:val="8"/>
          <w:sz w:val="22"/>
          <w:szCs w:val="22"/>
        </w:rPr>
        <w:t>探索，成为二战后马克思主义时代化的发展</w:t>
      </w:r>
      <w:r>
        <w:rPr>
          <w:rFonts w:hint="eastAsia" w:ascii="宋体" w:hAnsi="宋体" w:eastAsia="宋体" w:cs="宋体"/>
          <w:color w:val="231F20"/>
          <w:spacing w:val="7"/>
          <w:sz w:val="22"/>
          <w:szCs w:val="22"/>
        </w:rPr>
        <w:t>趋势，其中不乏极富特色和价值的理论和实践成果。和平与发展成为时代主题，世界在越发紧</w:t>
      </w:r>
      <w:r>
        <w:rPr>
          <w:rFonts w:hint="eastAsia" w:ascii="宋体" w:hAnsi="宋体" w:eastAsia="宋体" w:cs="宋体"/>
          <w:color w:val="231F20"/>
          <w:spacing w:val="9"/>
          <w:sz w:val="22"/>
          <w:szCs w:val="22"/>
        </w:rPr>
        <w:t>密的联系中展现出广阔的发展空间，为社会主义国家带</w:t>
      </w:r>
      <w:r>
        <w:rPr>
          <w:rFonts w:hint="eastAsia" w:ascii="宋体" w:hAnsi="宋体" w:eastAsia="宋体" w:cs="宋体"/>
          <w:color w:val="231F20"/>
          <w:spacing w:val="8"/>
          <w:sz w:val="22"/>
          <w:szCs w:val="22"/>
        </w:rPr>
        <w:t>来了巨大发展机遇，在开放中发展成为</w:t>
      </w:r>
      <w:r>
        <w:rPr>
          <w:rFonts w:hint="eastAsia" w:ascii="宋体" w:hAnsi="宋体" w:eastAsia="宋体" w:cs="宋体"/>
          <w:color w:val="231F20"/>
          <w:spacing w:val="12"/>
          <w:sz w:val="22"/>
          <w:szCs w:val="22"/>
        </w:rPr>
        <w:t>改革的重要方向。以邓小平同志为主要代表的中国共产党人，在改革进程中创立了邓小平理</w:t>
      </w:r>
      <w:r>
        <w:rPr>
          <w:rFonts w:hint="eastAsia" w:ascii="宋体" w:hAnsi="宋体" w:eastAsia="宋体" w:cs="宋体"/>
          <w:color w:val="231F20"/>
          <w:spacing w:val="4"/>
          <w:sz w:val="22"/>
          <w:szCs w:val="22"/>
        </w:rPr>
        <w:t>论，带领全党全国各族人民开创改革开放伟大事业，建立社</w:t>
      </w:r>
      <w:r>
        <w:rPr>
          <w:rFonts w:hint="eastAsia" w:ascii="宋体" w:hAnsi="宋体" w:eastAsia="宋体" w:cs="宋体"/>
          <w:color w:val="231F20"/>
          <w:spacing w:val="3"/>
          <w:sz w:val="22"/>
          <w:szCs w:val="22"/>
        </w:rPr>
        <w:t>会主义市场经济体制，开启了经济腾</w:t>
      </w:r>
      <w:r>
        <w:rPr>
          <w:rFonts w:hint="eastAsia" w:ascii="宋体" w:hAnsi="宋体" w:eastAsia="宋体" w:cs="宋体"/>
          <w:color w:val="231F20"/>
          <w:spacing w:val="-9"/>
          <w:sz w:val="22"/>
          <w:szCs w:val="22"/>
        </w:rPr>
        <w:t>飞的“中国奇迹”；1986年，越南和老挝实行革新</w:t>
      </w:r>
      <w:r>
        <w:rPr>
          <w:rFonts w:hint="eastAsia" w:ascii="宋体" w:hAnsi="宋体" w:eastAsia="宋体" w:cs="宋体"/>
          <w:color w:val="231F20"/>
          <w:spacing w:val="-10"/>
          <w:sz w:val="22"/>
          <w:szCs w:val="22"/>
        </w:rPr>
        <w:t>开放，积极融入全球发展大势；1993年，古巴实行</w:t>
      </w:r>
      <w:r>
        <w:rPr>
          <w:rFonts w:hint="eastAsia" w:ascii="宋体" w:hAnsi="宋体" w:eastAsia="宋体" w:cs="宋体"/>
          <w:color w:val="231F20"/>
          <w:spacing w:val="8"/>
          <w:sz w:val="22"/>
          <w:szCs w:val="22"/>
        </w:rPr>
        <w:t>改革开放，进入经济改革和对外开放新时期。这些社会主义国家的改革整体带动了社</w:t>
      </w:r>
      <w:r>
        <w:rPr>
          <w:rFonts w:hint="eastAsia" w:ascii="宋体" w:hAnsi="宋体" w:eastAsia="宋体" w:cs="宋体"/>
          <w:color w:val="231F20"/>
          <w:spacing w:val="7"/>
          <w:sz w:val="22"/>
          <w:szCs w:val="22"/>
        </w:rPr>
        <w:t>会主义制</w:t>
      </w:r>
      <w:r>
        <w:rPr>
          <w:rFonts w:hint="eastAsia" w:ascii="宋体" w:hAnsi="宋体" w:eastAsia="宋体" w:cs="宋体"/>
          <w:color w:val="231F20"/>
          <w:spacing w:val="3"/>
          <w:sz w:val="22"/>
          <w:szCs w:val="22"/>
        </w:rPr>
        <w:t>度的发展，为马克思主义顺应时代、引领时代贡献了重要的理论和实践成果。</w:t>
      </w:r>
    </w:p>
    <w:p w14:paraId="23D8603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然而，东欧各国包括苏联从20世纪50年代开</w:t>
      </w:r>
      <w:r>
        <w:rPr>
          <w:rFonts w:hint="eastAsia" w:ascii="宋体" w:hAnsi="宋体" w:eastAsia="宋体" w:cs="宋体"/>
          <w:color w:val="231F20"/>
          <w:spacing w:val="2"/>
          <w:sz w:val="22"/>
          <w:szCs w:val="22"/>
        </w:rPr>
        <w:t>始的改革，却充满波折和反复，最终导致了苏</w:t>
      </w:r>
      <w:r>
        <w:rPr>
          <w:rFonts w:hint="eastAsia" w:ascii="宋体" w:hAnsi="宋体" w:eastAsia="宋体" w:cs="宋体"/>
          <w:color w:val="231F20"/>
          <w:spacing w:val="8"/>
          <w:sz w:val="22"/>
          <w:szCs w:val="22"/>
        </w:rPr>
        <w:t>联解体、东欧剧变的时代悲剧，为马克思主义时代化带来了深刻的教训和反思</w:t>
      </w:r>
      <w:r>
        <w:rPr>
          <w:rFonts w:hint="eastAsia" w:ascii="宋体" w:hAnsi="宋体" w:eastAsia="宋体" w:cs="宋体"/>
          <w:color w:val="231F20"/>
          <w:spacing w:val="7"/>
          <w:sz w:val="22"/>
          <w:szCs w:val="22"/>
        </w:rPr>
        <w:t>。勃列日涅夫时</w:t>
      </w:r>
      <w:r>
        <w:rPr>
          <w:rFonts w:hint="eastAsia" w:ascii="宋体" w:hAnsi="宋体" w:eastAsia="宋体" w:cs="宋体"/>
          <w:color w:val="231F20"/>
          <w:spacing w:val="3"/>
          <w:sz w:val="22"/>
          <w:szCs w:val="22"/>
        </w:rPr>
        <w:t>期，苏联核武器数量超过美国，冷战格局趋于均势，但东欧各国和苏联自身在突破“斯大林模式”</w:t>
      </w:r>
      <w:r>
        <w:rPr>
          <w:rFonts w:hint="eastAsia" w:ascii="宋体" w:hAnsi="宋体" w:eastAsia="宋体" w:cs="宋体"/>
          <w:color w:val="231F20"/>
          <w:spacing w:val="8"/>
          <w:sz w:val="22"/>
          <w:szCs w:val="22"/>
        </w:rPr>
        <w:t>的改革中并不顺利，加之苏联共产党的“大党主义”行为不断干扰其他社会主义国家的</w:t>
      </w:r>
      <w:r>
        <w:rPr>
          <w:rFonts w:hint="eastAsia" w:ascii="宋体" w:hAnsi="宋体" w:eastAsia="宋体" w:cs="宋体"/>
          <w:color w:val="231F20"/>
          <w:spacing w:val="7"/>
          <w:sz w:val="22"/>
          <w:szCs w:val="22"/>
        </w:rPr>
        <w:t>探索实</w:t>
      </w:r>
      <w:r>
        <w:rPr>
          <w:rFonts w:hint="eastAsia" w:ascii="宋体" w:hAnsi="宋体" w:eastAsia="宋体" w:cs="宋体"/>
          <w:color w:val="231F20"/>
          <w:spacing w:val="-2"/>
          <w:sz w:val="22"/>
          <w:szCs w:val="22"/>
        </w:rPr>
        <w:t>践，苏联自身也在改革中背离初心和正确路线，在西方“颜色革命”的影响下，世界上最强大的社</w:t>
      </w:r>
      <w:r>
        <w:rPr>
          <w:rFonts w:hint="eastAsia" w:ascii="宋体" w:hAnsi="宋体" w:eastAsia="宋体" w:cs="宋体"/>
          <w:color w:val="231F20"/>
          <w:spacing w:val="1"/>
          <w:sz w:val="22"/>
          <w:szCs w:val="22"/>
        </w:rPr>
        <w:t>会主义国家遭遇“和平演变”，苏联解体成为20世</w:t>
      </w:r>
      <w:r>
        <w:rPr>
          <w:rFonts w:hint="eastAsia" w:ascii="宋体" w:hAnsi="宋体" w:eastAsia="宋体" w:cs="宋体"/>
          <w:color w:val="231F20"/>
          <w:sz w:val="22"/>
          <w:szCs w:val="22"/>
        </w:rPr>
        <w:t>纪最大的地缘政治悲剧。马克思主义在这个时</w:t>
      </w:r>
      <w:r>
        <w:rPr>
          <w:rFonts w:hint="eastAsia" w:ascii="宋体" w:hAnsi="宋体" w:eastAsia="宋体" w:cs="宋体"/>
          <w:color w:val="231F20"/>
          <w:spacing w:val="1"/>
          <w:sz w:val="22"/>
          <w:szCs w:val="22"/>
        </w:rPr>
        <w:t>期既取得了重要的发展成果，也遭遇了巨大挫折，在动荡中走向21世纪。</w:t>
      </w:r>
    </w:p>
    <w:p w14:paraId="4D12413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2"/>
          <w:szCs w:val="22"/>
        </w:rPr>
      </w:pPr>
      <w:r>
        <w:rPr>
          <w:rFonts w:hint="eastAsia" w:ascii="宋体" w:hAnsi="宋体" w:eastAsia="宋体" w:cs="宋体"/>
          <w:b/>
          <w:bCs/>
          <w:color w:val="231F20"/>
          <w:spacing w:val="3"/>
          <w:sz w:val="22"/>
          <w:szCs w:val="22"/>
        </w:rPr>
        <w:t>（三）21世纪的马克思主义呈现时代化新特点</w:t>
      </w:r>
    </w:p>
    <w:p w14:paraId="73AD46B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1.在经济全球化中应对新挑战成为马克思主义时代化的</w:t>
      </w:r>
      <w:r>
        <w:rPr>
          <w:rFonts w:hint="eastAsia" w:ascii="宋体" w:hAnsi="宋体" w:eastAsia="宋体" w:cs="宋体"/>
          <w:color w:val="231F20"/>
          <w:spacing w:val="7"/>
          <w:sz w:val="22"/>
          <w:szCs w:val="22"/>
        </w:rPr>
        <w:t>紧要任务</w:t>
      </w:r>
    </w:p>
    <w:p w14:paraId="7C10388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世界社会主义陷入低潮，马克思主义在阵痛中</w:t>
      </w:r>
      <w:r>
        <w:rPr>
          <w:rFonts w:hint="eastAsia" w:ascii="宋体" w:hAnsi="宋体" w:eastAsia="宋体" w:cs="宋体"/>
          <w:color w:val="231F20"/>
          <w:spacing w:val="8"/>
          <w:sz w:val="22"/>
          <w:szCs w:val="22"/>
        </w:rPr>
        <w:t>不断顺应时代，在科学社会主义发展的关键</w:t>
      </w:r>
      <w:r>
        <w:rPr>
          <w:rFonts w:hint="eastAsia" w:ascii="宋体" w:hAnsi="宋体" w:eastAsia="宋体" w:cs="宋体"/>
          <w:color w:val="231F20"/>
          <w:spacing w:val="10"/>
          <w:sz w:val="22"/>
          <w:szCs w:val="22"/>
        </w:rPr>
        <w:t>阶段开拓进取，将理论和实践推向21世纪。苏联解体和东欧剧变给世界社会主义</w:t>
      </w:r>
      <w:r>
        <w:rPr>
          <w:rFonts w:hint="eastAsia" w:ascii="宋体" w:hAnsi="宋体" w:eastAsia="宋体" w:cs="宋体"/>
          <w:color w:val="231F20"/>
          <w:spacing w:val="9"/>
          <w:sz w:val="22"/>
          <w:szCs w:val="22"/>
        </w:rPr>
        <w:t>带来重大打</w:t>
      </w:r>
      <w:r>
        <w:rPr>
          <w:rFonts w:hint="eastAsia" w:ascii="宋体" w:hAnsi="宋体" w:eastAsia="宋体" w:cs="宋体"/>
          <w:color w:val="231F20"/>
          <w:spacing w:val="-2"/>
          <w:sz w:val="22"/>
          <w:szCs w:val="22"/>
        </w:rPr>
        <w:t>击，“历史终结论”甚嚣尘上，新自由主义、民主社会主义等思潮轮番攻击，一系列社会主义政党</w:t>
      </w:r>
      <w:r>
        <w:rPr>
          <w:rFonts w:hint="eastAsia" w:ascii="宋体" w:hAnsi="宋体" w:eastAsia="宋体" w:cs="宋体"/>
          <w:color w:val="231F20"/>
          <w:spacing w:val="8"/>
          <w:sz w:val="22"/>
          <w:szCs w:val="22"/>
        </w:rPr>
        <w:t>和国家改旗易帜甚至消亡，马克思主义面临空前的生存挑战。在这样的紧要</w:t>
      </w:r>
      <w:r>
        <w:rPr>
          <w:rFonts w:hint="eastAsia" w:ascii="宋体" w:hAnsi="宋体" w:eastAsia="宋体" w:cs="宋体"/>
          <w:color w:val="231F20"/>
          <w:spacing w:val="7"/>
          <w:sz w:val="22"/>
          <w:szCs w:val="22"/>
        </w:rPr>
        <w:t>关头，以江泽民同</w:t>
      </w:r>
      <w:r>
        <w:rPr>
          <w:rFonts w:hint="eastAsia" w:ascii="宋体" w:hAnsi="宋体" w:eastAsia="宋体" w:cs="宋体"/>
          <w:color w:val="231F20"/>
          <w:spacing w:val="3"/>
          <w:sz w:val="22"/>
          <w:szCs w:val="22"/>
        </w:rPr>
        <w:t>志为主要代表的中国共产党人，以“三个代表”重要思想为时代之音，坚定和平与发展仍是时代</w:t>
      </w:r>
      <w:r>
        <w:rPr>
          <w:rFonts w:hint="eastAsia" w:ascii="宋体" w:hAnsi="宋体" w:eastAsia="宋体" w:cs="宋体"/>
          <w:color w:val="231F20"/>
          <w:spacing w:val="4"/>
          <w:sz w:val="22"/>
          <w:szCs w:val="22"/>
        </w:rPr>
        <w:t>主题，科技进步已成为先进生产力集中体现和标志，社会主</w:t>
      </w:r>
      <w:r>
        <w:rPr>
          <w:rFonts w:hint="eastAsia" w:ascii="宋体" w:hAnsi="宋体" w:eastAsia="宋体" w:cs="宋体"/>
          <w:color w:val="231F20"/>
          <w:spacing w:val="3"/>
          <w:sz w:val="22"/>
          <w:szCs w:val="22"/>
        </w:rPr>
        <w:t>义仍是人类未来发展的必然方向，推</w:t>
      </w:r>
      <w:r>
        <w:rPr>
          <w:rFonts w:hint="eastAsia" w:ascii="宋体" w:hAnsi="宋体" w:eastAsia="宋体" w:cs="宋体"/>
          <w:color w:val="231F20"/>
          <w:spacing w:val="9"/>
          <w:sz w:val="22"/>
          <w:szCs w:val="22"/>
        </w:rPr>
        <w:t>动中国特色社会主义和世界社会主义紧跟时代步伐，将</w:t>
      </w:r>
      <w:r>
        <w:rPr>
          <w:rFonts w:hint="eastAsia" w:ascii="宋体" w:hAnsi="宋体" w:eastAsia="宋体" w:cs="宋体"/>
          <w:color w:val="231F20"/>
          <w:spacing w:val="8"/>
          <w:sz w:val="22"/>
          <w:szCs w:val="22"/>
        </w:rPr>
        <w:t>马克思主义推向新世纪，为马克思主义发展作出了生死攸关的重大时代贡献。</w:t>
      </w:r>
    </w:p>
    <w:p w14:paraId="4E1D424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经济全球化加速演进，世界多极化趋势明显，以美国为首的霸权主义和强权政治加剧了世界动荡。马克思主义在多重压力下坚定批判资本主义统治，推动着时代化进程。苏联解体后，</w:t>
      </w:r>
      <w:r>
        <w:rPr>
          <w:rFonts w:hint="eastAsia" w:ascii="宋体" w:hAnsi="宋体" w:eastAsia="宋体" w:cs="宋体"/>
          <w:color w:val="231F20"/>
          <w:spacing w:val="-6"/>
          <w:sz w:val="22"/>
          <w:szCs w:val="22"/>
        </w:rPr>
        <w:t>美国的单边主义政策愈加明显，导致全球动荡并“反噬”帝国中心本身。“9</w:t>
      </w:r>
      <w:r>
        <w:rPr>
          <w:rFonts w:hint="eastAsia" w:ascii="宋体" w:hAnsi="宋体" w:eastAsia="宋体" w:cs="宋体"/>
          <w:color w:val="231F20"/>
          <w:spacing w:val="-7"/>
          <w:sz w:val="22"/>
          <w:szCs w:val="22"/>
        </w:rPr>
        <w:t>·11”事件、阿富汗战争</w:t>
      </w:r>
      <w:r>
        <w:rPr>
          <w:rFonts w:hint="eastAsia" w:ascii="宋体" w:hAnsi="宋体" w:eastAsia="宋体" w:cs="宋体"/>
          <w:color w:val="231F20"/>
          <w:spacing w:val="13"/>
          <w:sz w:val="22"/>
          <w:szCs w:val="22"/>
        </w:rPr>
        <w:t>和伊拉克战争的相继爆发证实了帝国主义的本质特征从未改变。世界社会主义力量一方面在</w:t>
      </w:r>
      <w:r>
        <w:rPr>
          <w:rFonts w:hint="eastAsia" w:ascii="宋体" w:hAnsi="宋体" w:eastAsia="宋体" w:cs="宋体"/>
          <w:color w:val="231F20"/>
          <w:spacing w:val="4"/>
          <w:sz w:val="22"/>
          <w:szCs w:val="22"/>
        </w:rPr>
        <w:t>西方主流舆论压制下顽强抗争，持续批判帝国主义野蛮行径</w:t>
      </w:r>
      <w:r>
        <w:rPr>
          <w:rFonts w:hint="eastAsia" w:ascii="宋体" w:hAnsi="宋体" w:eastAsia="宋体" w:cs="宋体"/>
          <w:color w:val="231F20"/>
          <w:spacing w:val="3"/>
          <w:sz w:val="22"/>
          <w:szCs w:val="22"/>
        </w:rPr>
        <w:t>；另一方面，在中国等主要社会主义</w:t>
      </w:r>
      <w:r>
        <w:rPr>
          <w:rFonts w:hint="eastAsia" w:ascii="宋体" w:hAnsi="宋体" w:eastAsia="宋体" w:cs="宋体"/>
          <w:color w:val="231F20"/>
          <w:spacing w:val="6"/>
          <w:sz w:val="22"/>
          <w:szCs w:val="22"/>
        </w:rPr>
        <w:t>国家的推动下，积极通过多边机制解决国际问题，促进世界多极化发展。21世纪初期的马克思</w:t>
      </w:r>
      <w:r>
        <w:rPr>
          <w:rFonts w:hint="eastAsia" w:ascii="宋体" w:hAnsi="宋体" w:eastAsia="宋体" w:cs="宋体"/>
          <w:color w:val="231F20"/>
          <w:spacing w:val="9"/>
          <w:sz w:val="22"/>
          <w:szCs w:val="22"/>
        </w:rPr>
        <w:t>主义在推动经济全球化和世界多极化的进程中不断将科学理论融入时代。</w:t>
      </w:r>
    </w:p>
    <w:p w14:paraId="1A06AD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2"/>
          <w:sz w:val="22"/>
          <w:szCs w:val="22"/>
        </w:rPr>
        <w:t>2.在资本主义危机中“回暖”复苏成为马克思主义</w:t>
      </w:r>
      <w:r>
        <w:rPr>
          <w:rFonts w:hint="eastAsia" w:ascii="宋体" w:hAnsi="宋体" w:eastAsia="宋体" w:cs="宋体"/>
          <w:color w:val="231F20"/>
          <w:spacing w:val="1"/>
          <w:sz w:val="22"/>
          <w:szCs w:val="22"/>
        </w:rPr>
        <w:t>时代化的积极特征</w:t>
      </w:r>
    </w:p>
    <w:p w14:paraId="691A82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经济全球化和科技革命的背景下，一些国家照搬别国发展模式，出现经济结构失衡、社会发</w:t>
      </w:r>
      <w:r>
        <w:rPr>
          <w:rFonts w:hint="eastAsia" w:ascii="宋体" w:hAnsi="宋体" w:eastAsia="宋体" w:cs="宋体"/>
          <w:color w:val="231F20"/>
          <w:spacing w:val="4"/>
          <w:sz w:val="22"/>
          <w:szCs w:val="22"/>
        </w:rPr>
        <w:t>展滞后、能源环境紧张、生态恶化等问题，探索长效可持续</w:t>
      </w:r>
      <w:r>
        <w:rPr>
          <w:rFonts w:hint="eastAsia" w:ascii="宋体" w:hAnsi="宋体" w:eastAsia="宋体" w:cs="宋体"/>
          <w:color w:val="231F20"/>
          <w:spacing w:val="3"/>
          <w:sz w:val="22"/>
          <w:szCs w:val="22"/>
        </w:rPr>
        <w:t>的发展模式成为马克思主义时代化的</w:t>
      </w:r>
      <w:r>
        <w:rPr>
          <w:rFonts w:hint="eastAsia" w:ascii="宋体" w:hAnsi="宋体" w:eastAsia="宋体" w:cs="宋体"/>
          <w:color w:val="231F20"/>
          <w:spacing w:val="8"/>
          <w:sz w:val="22"/>
          <w:szCs w:val="22"/>
        </w:rPr>
        <w:t>重要方向。西方的发展模式逐渐暴露出体系性隐患，资本主义生产方式加剧了对全</w:t>
      </w:r>
      <w:r>
        <w:rPr>
          <w:rFonts w:hint="eastAsia" w:ascii="宋体" w:hAnsi="宋体" w:eastAsia="宋体" w:cs="宋体"/>
          <w:color w:val="231F20"/>
          <w:spacing w:val="7"/>
          <w:sz w:val="22"/>
          <w:szCs w:val="22"/>
        </w:rPr>
        <w:t>球环境平衡</w:t>
      </w:r>
      <w:r>
        <w:rPr>
          <w:rFonts w:hint="eastAsia" w:ascii="宋体" w:hAnsi="宋体" w:eastAsia="宋体" w:cs="宋体"/>
          <w:color w:val="231F20"/>
          <w:spacing w:val="2"/>
          <w:sz w:val="22"/>
          <w:szCs w:val="22"/>
        </w:rPr>
        <w:t>的破坏，导致生态恶变、气候异常和传染病肆虐。以胡锦涛同志为代表的中国共产党人，将中国</w:t>
      </w:r>
      <w:r>
        <w:rPr>
          <w:rFonts w:hint="eastAsia" w:ascii="宋体" w:hAnsi="宋体" w:eastAsia="宋体" w:cs="宋体"/>
          <w:color w:val="231F20"/>
          <w:spacing w:val="4"/>
          <w:sz w:val="22"/>
          <w:szCs w:val="22"/>
        </w:rPr>
        <w:t>发展放在世界大局中思考，顺应形势、借鉴国际经验，提出</w:t>
      </w:r>
      <w:r>
        <w:rPr>
          <w:rFonts w:hint="eastAsia" w:ascii="宋体" w:hAnsi="宋体" w:eastAsia="宋体" w:cs="宋体"/>
          <w:color w:val="231F20"/>
          <w:spacing w:val="3"/>
          <w:sz w:val="22"/>
          <w:szCs w:val="22"/>
        </w:rPr>
        <w:t>科学发展观，既延续了中国特色社会</w:t>
      </w:r>
      <w:r>
        <w:rPr>
          <w:rFonts w:hint="eastAsia" w:ascii="宋体" w:hAnsi="宋体" w:eastAsia="宋体" w:cs="宋体"/>
          <w:color w:val="231F20"/>
          <w:spacing w:val="9"/>
          <w:sz w:val="22"/>
          <w:szCs w:val="22"/>
        </w:rPr>
        <w:t>主义的发展成就，也为马克思主义时代化贡献科学的发</w:t>
      </w:r>
      <w:r>
        <w:rPr>
          <w:rFonts w:hint="eastAsia" w:ascii="宋体" w:hAnsi="宋体" w:eastAsia="宋体" w:cs="宋体"/>
          <w:color w:val="231F20"/>
          <w:spacing w:val="8"/>
          <w:sz w:val="22"/>
          <w:szCs w:val="22"/>
        </w:rPr>
        <w:t>展理念，以科学社会主义的智慧引领全</w:t>
      </w:r>
      <w:r>
        <w:rPr>
          <w:rFonts w:hint="eastAsia" w:ascii="宋体" w:hAnsi="宋体" w:eastAsia="宋体" w:cs="宋体"/>
          <w:color w:val="231F20"/>
          <w:spacing w:val="7"/>
          <w:sz w:val="22"/>
          <w:szCs w:val="22"/>
        </w:rPr>
        <w:t>球健康发展。</w:t>
      </w:r>
    </w:p>
    <w:p w14:paraId="56733DD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2"/>
          <w:sz w:val="22"/>
          <w:szCs w:val="22"/>
        </w:rPr>
        <w:t>资本主义经济危机周期性爆发，全球两极分化加剧，失业增加、社会腐败、政治动荡频现，使</w:t>
      </w:r>
      <w:r>
        <w:rPr>
          <w:rFonts w:hint="eastAsia" w:ascii="宋体" w:hAnsi="宋体" w:eastAsia="宋体" w:cs="宋体"/>
          <w:color w:val="231F20"/>
          <w:sz w:val="22"/>
          <w:szCs w:val="22"/>
        </w:rPr>
        <w:t>“马克思主义热潮”在21世纪迅速升温。2</w:t>
      </w:r>
      <w:r>
        <w:rPr>
          <w:rFonts w:hint="eastAsia" w:ascii="宋体" w:hAnsi="宋体" w:eastAsia="宋体" w:cs="宋体"/>
          <w:color w:val="231F20"/>
          <w:spacing w:val="-1"/>
          <w:sz w:val="22"/>
          <w:szCs w:val="22"/>
        </w:rPr>
        <w:t>008年，美国金融危机爆发，并逐渐演变为全球经济危</w:t>
      </w:r>
      <w:r>
        <w:rPr>
          <w:rFonts w:hint="eastAsia" w:ascii="宋体" w:hAnsi="宋体" w:eastAsia="宋体" w:cs="宋体"/>
          <w:color w:val="231F20"/>
          <w:spacing w:val="5"/>
          <w:sz w:val="22"/>
          <w:szCs w:val="22"/>
        </w:rPr>
        <w:t>机。垄断资本长期控制全球资源，垄断阶级持续占据权力顶端，导致全球贫富割裂、民粹主义泛滥、新法西斯主义兴起，国际局势动荡加剧。在此背景下，世界反资本主义呼声日益高涨，马克</w:t>
      </w:r>
      <w:r>
        <w:rPr>
          <w:rFonts w:hint="eastAsia" w:ascii="宋体" w:hAnsi="宋体" w:eastAsia="宋体" w:cs="宋体"/>
          <w:color w:val="231F20"/>
          <w:spacing w:val="-3"/>
          <w:sz w:val="22"/>
          <w:szCs w:val="22"/>
        </w:rPr>
        <w:t>思主义和社会主义迎来“复兴”式热潮。2011年，美国爆发</w:t>
      </w:r>
      <w:r>
        <w:rPr>
          <w:rFonts w:hint="eastAsia" w:ascii="宋体" w:hAnsi="宋体" w:eastAsia="宋体" w:cs="宋体"/>
          <w:color w:val="231F20"/>
          <w:spacing w:val="-4"/>
          <w:sz w:val="22"/>
          <w:szCs w:val="22"/>
        </w:rPr>
        <w:t>“占领华尔街”运动，西方左翼运动在</w:t>
      </w:r>
      <w:r>
        <w:rPr>
          <w:rFonts w:hint="eastAsia" w:ascii="宋体" w:hAnsi="宋体" w:eastAsia="宋体" w:cs="宋体"/>
          <w:color w:val="231F20"/>
          <w:spacing w:val="5"/>
          <w:sz w:val="22"/>
          <w:szCs w:val="22"/>
        </w:rPr>
        <w:t>民间更加活跃，以“回到马克思”为口号的各类社会主义政党组织不断涌现，在资本主义制度性</w:t>
      </w:r>
      <w:r>
        <w:rPr>
          <w:rFonts w:hint="eastAsia" w:ascii="宋体" w:hAnsi="宋体" w:eastAsia="宋体" w:cs="宋体"/>
          <w:color w:val="231F20"/>
          <w:spacing w:val="9"/>
          <w:sz w:val="22"/>
          <w:szCs w:val="22"/>
        </w:rPr>
        <w:t>问题凸显的时代，再次将马克思主义推向时代前沿。</w:t>
      </w:r>
    </w:p>
    <w:p w14:paraId="4881C5E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85" w:firstLineChars="200"/>
        <w:jc w:val="both"/>
        <w:textAlignment w:val="baseline"/>
        <w:outlineLvl w:val="9"/>
        <w:rPr>
          <w:rFonts w:hint="eastAsia" w:ascii="宋体" w:hAnsi="宋体" w:eastAsia="宋体" w:cs="宋体"/>
          <w:b/>
          <w:bCs/>
          <w:sz w:val="28"/>
          <w:szCs w:val="28"/>
        </w:rPr>
      </w:pPr>
      <w:r>
        <w:rPr>
          <w:rFonts w:hint="eastAsia" w:ascii="宋体" w:hAnsi="宋体" w:eastAsia="宋体" w:cs="宋体"/>
          <w:b/>
          <w:bCs/>
          <w:color w:val="231F20"/>
          <w:spacing w:val="6"/>
          <w:sz w:val="28"/>
          <w:szCs w:val="28"/>
        </w:rPr>
        <w:t>二、习近平新时代中国特色社会主义思想是马克思主义时代</w:t>
      </w:r>
      <w:r>
        <w:rPr>
          <w:rFonts w:hint="eastAsia" w:ascii="宋体" w:hAnsi="宋体" w:eastAsia="宋体" w:cs="宋体"/>
          <w:b/>
          <w:bCs/>
          <w:color w:val="231F20"/>
          <w:spacing w:val="5"/>
          <w:sz w:val="28"/>
          <w:szCs w:val="28"/>
        </w:rPr>
        <w:t>化的当代中国样式</w:t>
      </w:r>
    </w:p>
    <w:p w14:paraId="6C9E00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5"/>
          <w:sz w:val="22"/>
          <w:szCs w:val="22"/>
        </w:rPr>
        <w:t>“马克思主义必定随着时代、实践和科学的发展而不断发展，不可能一成不变，社会主义从</w:t>
      </w:r>
      <w:r>
        <w:rPr>
          <w:rFonts w:hint="eastAsia" w:ascii="宋体" w:hAnsi="宋体" w:eastAsia="宋体" w:cs="宋体"/>
          <w:color w:val="231F20"/>
          <w:spacing w:val="3"/>
          <w:sz w:val="22"/>
          <w:szCs w:val="22"/>
        </w:rPr>
        <w:t>来都是在开拓中前进的。”</w:t>
      </w:r>
      <w:r>
        <w:rPr>
          <w:rStyle w:val="20"/>
          <w:rFonts w:hint="eastAsia" w:ascii="宋体" w:hAnsi="宋体" w:eastAsia="宋体" w:cs="宋体"/>
          <w:color w:val="231F20"/>
          <w:spacing w:val="3"/>
          <w:sz w:val="22"/>
          <w:szCs w:val="22"/>
        </w:rPr>
        <w:footnoteReference w:id="1271"/>
      </w:r>
      <w:r>
        <w:rPr>
          <w:rFonts w:hint="eastAsia" w:ascii="宋体" w:hAnsi="宋体" w:eastAsia="宋体" w:cs="宋体"/>
          <w:color w:val="231F20"/>
          <w:spacing w:val="3"/>
          <w:sz w:val="22"/>
          <w:szCs w:val="22"/>
        </w:rPr>
        <w:t>党的十八大以来，中国特色社会主义进入新时代。以习近平同志为</w:t>
      </w:r>
      <w:r>
        <w:rPr>
          <w:rFonts w:hint="eastAsia" w:ascii="宋体" w:hAnsi="宋体" w:eastAsia="宋体" w:cs="宋体"/>
          <w:color w:val="231F20"/>
          <w:spacing w:val="9"/>
          <w:sz w:val="22"/>
          <w:szCs w:val="22"/>
        </w:rPr>
        <w:t>核心的党中央，科学把握新时代发展脉搏，面</w:t>
      </w:r>
      <w:r>
        <w:rPr>
          <w:rFonts w:hint="eastAsia" w:ascii="宋体" w:hAnsi="宋体" w:eastAsia="宋体" w:cs="宋体"/>
          <w:color w:val="231F20"/>
          <w:spacing w:val="8"/>
          <w:sz w:val="22"/>
          <w:szCs w:val="22"/>
        </w:rPr>
        <w:t>对中华民族伟大复兴战略全局和世界百年未有之</w:t>
      </w:r>
      <w:r>
        <w:rPr>
          <w:rFonts w:hint="eastAsia" w:ascii="宋体" w:hAnsi="宋体" w:eastAsia="宋体" w:cs="宋体"/>
          <w:color w:val="231F20"/>
          <w:spacing w:val="2"/>
          <w:sz w:val="22"/>
          <w:szCs w:val="22"/>
        </w:rPr>
        <w:t>大变局相互交织的历史时刻，不断推进马克思主义时代化的“当代中国样式”</w:t>
      </w:r>
      <w:r>
        <w:rPr>
          <w:rFonts w:hint="eastAsia" w:ascii="宋体" w:hAnsi="宋体" w:eastAsia="宋体" w:cs="宋体"/>
          <w:color w:val="231F20"/>
          <w:spacing w:val="1"/>
          <w:sz w:val="22"/>
          <w:szCs w:val="22"/>
        </w:rPr>
        <w:t>深化发展。习近平</w:t>
      </w:r>
      <w:r>
        <w:rPr>
          <w:rFonts w:hint="eastAsia" w:ascii="宋体" w:hAnsi="宋体" w:eastAsia="宋体" w:cs="宋体"/>
          <w:color w:val="231F20"/>
          <w:spacing w:val="9"/>
          <w:sz w:val="22"/>
          <w:szCs w:val="22"/>
        </w:rPr>
        <w:t>新时代中国特色社会主义思想坚持守正创新，推动党的</w:t>
      </w:r>
      <w:r>
        <w:rPr>
          <w:rFonts w:hint="eastAsia" w:ascii="宋体" w:hAnsi="宋体" w:eastAsia="宋体" w:cs="宋体"/>
          <w:color w:val="231F20"/>
          <w:spacing w:val="8"/>
          <w:sz w:val="22"/>
          <w:szCs w:val="22"/>
        </w:rPr>
        <w:t>创新理论时代化发展，引领新时代中国</w:t>
      </w:r>
      <w:r>
        <w:rPr>
          <w:rFonts w:hint="eastAsia" w:ascii="宋体" w:hAnsi="宋体" w:eastAsia="宋体" w:cs="宋体"/>
          <w:color w:val="231F20"/>
          <w:spacing w:val="4"/>
          <w:sz w:val="22"/>
          <w:szCs w:val="22"/>
        </w:rPr>
        <w:t>特色社会主义伟大实践，是当代中国马克思主义；坚持胸怀</w:t>
      </w:r>
      <w:r>
        <w:rPr>
          <w:rFonts w:hint="eastAsia" w:ascii="宋体" w:hAnsi="宋体" w:eastAsia="宋体" w:cs="宋体"/>
          <w:color w:val="231F20"/>
          <w:spacing w:val="3"/>
          <w:sz w:val="22"/>
          <w:szCs w:val="22"/>
        </w:rPr>
        <w:t>天下，立足当今世界政治经济局势和</w:t>
      </w:r>
      <w:r>
        <w:rPr>
          <w:rFonts w:hint="eastAsia" w:ascii="宋体" w:hAnsi="宋体" w:eastAsia="宋体" w:cs="宋体"/>
          <w:color w:val="231F20"/>
          <w:spacing w:val="4"/>
          <w:sz w:val="22"/>
          <w:szCs w:val="22"/>
        </w:rPr>
        <w:t>发展新阶段，推动科学社会主义焕发新的蓬勃生机，成为二</w:t>
      </w:r>
      <w:r>
        <w:rPr>
          <w:rFonts w:hint="eastAsia" w:ascii="宋体" w:hAnsi="宋体" w:eastAsia="宋体" w:cs="宋体"/>
          <w:color w:val="231F20"/>
          <w:spacing w:val="3"/>
          <w:sz w:val="22"/>
          <w:szCs w:val="22"/>
        </w:rPr>
        <w:t>十一世纪马克思主义；坚持“两个结</w:t>
      </w:r>
      <w:r>
        <w:rPr>
          <w:rFonts w:hint="eastAsia" w:ascii="宋体" w:hAnsi="宋体" w:eastAsia="宋体" w:cs="宋体"/>
          <w:color w:val="231F20"/>
          <w:spacing w:val="-1"/>
          <w:sz w:val="22"/>
          <w:szCs w:val="22"/>
        </w:rPr>
        <w:t>合”，扎根中国大地，赓续中华文脉，推动马克思主义中国化时代化接续奋进，代表了</w:t>
      </w:r>
      <w:r>
        <w:rPr>
          <w:rFonts w:hint="eastAsia" w:ascii="宋体" w:hAnsi="宋体" w:eastAsia="宋体" w:cs="宋体"/>
          <w:color w:val="231F20"/>
          <w:spacing w:val="-2"/>
          <w:sz w:val="22"/>
          <w:szCs w:val="22"/>
        </w:rPr>
        <w:t>中华文化和</w:t>
      </w:r>
      <w:r>
        <w:rPr>
          <w:rFonts w:hint="eastAsia" w:ascii="宋体" w:hAnsi="宋体" w:eastAsia="宋体" w:cs="宋体"/>
          <w:color w:val="231F20"/>
          <w:spacing w:val="12"/>
          <w:sz w:val="22"/>
          <w:szCs w:val="22"/>
        </w:rPr>
        <w:t>中国精神的时代精华。习近平新时代中国特色社会主义思想实现了马克思主义中国化新的飞</w:t>
      </w:r>
      <w:r>
        <w:rPr>
          <w:rFonts w:hint="eastAsia" w:ascii="宋体" w:hAnsi="宋体" w:eastAsia="宋体" w:cs="宋体"/>
          <w:color w:val="231F20"/>
          <w:spacing w:val="5"/>
          <w:sz w:val="22"/>
          <w:szCs w:val="22"/>
        </w:rPr>
        <w:t>跃，是马克思主义时代化最具代表性的当代中国</w:t>
      </w:r>
      <w:r>
        <w:rPr>
          <w:rFonts w:hint="eastAsia" w:ascii="宋体" w:hAnsi="宋体" w:eastAsia="宋体" w:cs="宋体"/>
          <w:color w:val="231F20"/>
          <w:spacing w:val="4"/>
          <w:sz w:val="22"/>
          <w:szCs w:val="22"/>
        </w:rPr>
        <w:t>样式。</w:t>
      </w:r>
    </w:p>
    <w:p w14:paraId="5E22C1D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b/>
          <w:bCs/>
          <w:color w:val="231F20"/>
          <w:spacing w:val="7"/>
          <w:sz w:val="22"/>
          <w:szCs w:val="22"/>
        </w:rPr>
        <w:t>（一）当代中国马克思主义体现对新时代中国特色社会主义的时代化指导</w:t>
      </w:r>
    </w:p>
    <w:p w14:paraId="4F8AA25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position w:val="1"/>
          <w:sz w:val="22"/>
          <w:szCs w:val="22"/>
        </w:rPr>
        <w:t>1.马克思主义中国化时代化的最新发展成果</w:t>
      </w:r>
    </w:p>
    <w:p w14:paraId="4C421DB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习近平新时代中国特色社会主义思想直面新时代的发展需求与时代主题，实现了马克思主</w:t>
      </w:r>
      <w:r>
        <w:rPr>
          <w:rFonts w:hint="eastAsia" w:ascii="宋体" w:hAnsi="宋体" w:eastAsia="宋体" w:cs="宋体"/>
          <w:color w:val="231F20"/>
          <w:spacing w:val="9"/>
          <w:sz w:val="22"/>
          <w:szCs w:val="22"/>
        </w:rPr>
        <w:t>义中国化新的飞跃，是马克思主义中国化时代化的最</w:t>
      </w:r>
      <w:r>
        <w:rPr>
          <w:rFonts w:hint="eastAsia" w:ascii="宋体" w:hAnsi="宋体" w:eastAsia="宋体" w:cs="宋体"/>
          <w:color w:val="231F20"/>
          <w:spacing w:val="8"/>
          <w:sz w:val="22"/>
          <w:szCs w:val="22"/>
        </w:rPr>
        <w:t>新理论和实践成果，推动了当代中国马克思主义的时代化发展。一个民族要走在时代前列，就一刻不能没有理论思</w:t>
      </w:r>
      <w:r>
        <w:rPr>
          <w:rFonts w:hint="eastAsia" w:ascii="宋体" w:hAnsi="宋体" w:eastAsia="宋体" w:cs="宋体"/>
          <w:color w:val="231F20"/>
          <w:spacing w:val="7"/>
          <w:sz w:val="22"/>
          <w:szCs w:val="22"/>
        </w:rPr>
        <w:t>维，一刻不能没有正确思想指引。中国特色社会主义进入新时代，实现第一个百年奋斗目标，开启了实现</w:t>
      </w:r>
      <w:r>
        <w:rPr>
          <w:rFonts w:hint="eastAsia" w:ascii="宋体" w:hAnsi="宋体" w:eastAsia="宋体" w:cs="宋体"/>
          <w:color w:val="231F20"/>
          <w:spacing w:val="6"/>
          <w:sz w:val="22"/>
          <w:szCs w:val="22"/>
        </w:rPr>
        <w:t>第二个百</w:t>
      </w:r>
      <w:r>
        <w:rPr>
          <w:rFonts w:hint="eastAsia" w:ascii="宋体" w:hAnsi="宋体" w:eastAsia="宋体" w:cs="宋体"/>
          <w:color w:val="231F20"/>
          <w:spacing w:val="7"/>
          <w:sz w:val="22"/>
          <w:szCs w:val="22"/>
        </w:rPr>
        <w:t>年奋斗目标的新征程，成为马克思主义中国化时代化发展的时代议题。以习近平同志为核心的</w:t>
      </w:r>
      <w:r>
        <w:rPr>
          <w:rFonts w:hint="eastAsia" w:ascii="宋体" w:hAnsi="宋体" w:eastAsia="宋体" w:cs="宋体"/>
          <w:color w:val="231F20"/>
          <w:spacing w:val="9"/>
          <w:sz w:val="22"/>
          <w:szCs w:val="22"/>
        </w:rPr>
        <w:t>党中央，对关系新时代党和国家事业发展的一系列重</w:t>
      </w:r>
      <w:r>
        <w:rPr>
          <w:rFonts w:hint="eastAsia" w:ascii="宋体" w:hAnsi="宋体" w:eastAsia="宋体" w:cs="宋体"/>
          <w:color w:val="231F20"/>
          <w:spacing w:val="8"/>
          <w:sz w:val="22"/>
          <w:szCs w:val="22"/>
        </w:rPr>
        <w:t>大问题进行深邃思考和科学判断，对一系</w:t>
      </w:r>
      <w:r>
        <w:rPr>
          <w:rFonts w:hint="eastAsia" w:ascii="宋体" w:hAnsi="宋体" w:eastAsia="宋体" w:cs="宋体"/>
          <w:color w:val="231F20"/>
          <w:spacing w:val="14"/>
          <w:sz w:val="22"/>
          <w:szCs w:val="22"/>
        </w:rPr>
        <w:t>列重大时代课题进行科学回应，提出原创性思想体系，推动了马克思主</w:t>
      </w:r>
      <w:r>
        <w:rPr>
          <w:rFonts w:hint="eastAsia" w:ascii="宋体" w:hAnsi="宋体" w:eastAsia="宋体" w:cs="宋体"/>
          <w:color w:val="231F20"/>
          <w:spacing w:val="13"/>
          <w:sz w:val="22"/>
          <w:szCs w:val="22"/>
        </w:rPr>
        <w:t>义中国化时代化新的</w:t>
      </w:r>
      <w:r>
        <w:rPr>
          <w:rFonts w:hint="eastAsia" w:ascii="宋体" w:hAnsi="宋体" w:eastAsia="宋体" w:cs="宋体"/>
          <w:color w:val="231F20"/>
          <w:spacing w:val="3"/>
          <w:sz w:val="22"/>
          <w:szCs w:val="22"/>
        </w:rPr>
        <w:t>飞跃。</w:t>
      </w:r>
    </w:p>
    <w:p w14:paraId="349D24C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习近平新时代中国特色社会主义思想是体系完整的党的创新理论的最新成果，彰显了顺应</w:t>
      </w:r>
      <w:r>
        <w:rPr>
          <w:rFonts w:hint="eastAsia" w:ascii="宋体" w:hAnsi="宋体" w:eastAsia="宋体" w:cs="宋体"/>
          <w:color w:val="231F20"/>
          <w:spacing w:val="15"/>
          <w:sz w:val="22"/>
          <w:szCs w:val="22"/>
        </w:rPr>
        <w:t>时代要求的当代中国马克思主义新特点和新要求。习近平新时代中国特色社会主义思</w:t>
      </w:r>
      <w:r>
        <w:rPr>
          <w:rFonts w:hint="eastAsia" w:ascii="宋体" w:hAnsi="宋体" w:eastAsia="宋体" w:cs="宋体"/>
          <w:color w:val="231F20"/>
          <w:spacing w:val="14"/>
          <w:sz w:val="22"/>
          <w:szCs w:val="22"/>
        </w:rPr>
        <w:t>想作为</w:t>
      </w:r>
      <w:r>
        <w:rPr>
          <w:rFonts w:hint="eastAsia" w:ascii="宋体" w:hAnsi="宋体" w:eastAsia="宋体" w:cs="宋体"/>
          <w:color w:val="231F20"/>
          <w:spacing w:val="8"/>
          <w:sz w:val="22"/>
          <w:szCs w:val="22"/>
        </w:rPr>
        <w:t>完整的科学体系，思想丰富、内涵深远，对当代科学社会主义发展作出了重大理论和实践创新。</w:t>
      </w:r>
      <w:r>
        <w:rPr>
          <w:rFonts w:hint="eastAsia" w:ascii="宋体" w:hAnsi="宋体" w:eastAsia="宋体" w:cs="宋体"/>
          <w:color w:val="231F20"/>
          <w:sz w:val="22"/>
          <w:szCs w:val="22"/>
        </w:rPr>
        <w:t>一是“十个明确”构成了主体内容和四梁八柱，统领理论布局。</w:t>
      </w:r>
      <w:r>
        <w:rPr>
          <w:rFonts w:hint="eastAsia" w:ascii="宋体" w:hAnsi="宋体" w:eastAsia="宋体" w:cs="宋体"/>
          <w:color w:val="231F20"/>
          <w:spacing w:val="-1"/>
          <w:sz w:val="22"/>
          <w:szCs w:val="22"/>
        </w:rPr>
        <w:t>二是“十四个坚持”构成治国理政</w:t>
      </w:r>
      <w:r>
        <w:rPr>
          <w:rFonts w:hint="eastAsia" w:ascii="宋体" w:hAnsi="宋体" w:eastAsia="宋体" w:cs="宋体"/>
          <w:color w:val="231F20"/>
          <w:spacing w:val="3"/>
          <w:sz w:val="22"/>
          <w:szCs w:val="22"/>
        </w:rPr>
        <w:t>基本方略，规划现实路径。三是“十三个方面成就”系统展示了建设成果，串联实践逻辑。四是</w:t>
      </w:r>
      <w:r>
        <w:rPr>
          <w:rFonts w:hint="eastAsia" w:ascii="宋体" w:hAnsi="宋体" w:eastAsia="宋体" w:cs="宋体"/>
          <w:color w:val="231F20"/>
          <w:spacing w:val="5"/>
          <w:sz w:val="22"/>
          <w:szCs w:val="22"/>
        </w:rPr>
        <w:t>“六个必须坚持”彰显了理论品格和鲜明特征，形成了世界观和方法论体系。正是在这样</w:t>
      </w:r>
      <w:r>
        <w:rPr>
          <w:rFonts w:hint="eastAsia" w:ascii="宋体" w:hAnsi="宋体" w:eastAsia="宋体" w:cs="宋体"/>
          <w:color w:val="231F20"/>
          <w:spacing w:val="4"/>
          <w:sz w:val="22"/>
          <w:szCs w:val="22"/>
        </w:rPr>
        <w:t>逻辑严</w:t>
      </w:r>
      <w:r>
        <w:rPr>
          <w:rFonts w:hint="eastAsia" w:ascii="宋体" w:hAnsi="宋体" w:eastAsia="宋体" w:cs="宋体"/>
          <w:color w:val="231F20"/>
          <w:spacing w:val="6"/>
          <w:sz w:val="22"/>
          <w:szCs w:val="22"/>
        </w:rPr>
        <w:t>密、内涵丰富、系统全面、博大精深的有机整体作用下，习近平新时代中国特色社会主义思想成</w:t>
      </w:r>
      <w:r>
        <w:rPr>
          <w:rFonts w:hint="eastAsia" w:ascii="宋体" w:hAnsi="宋体" w:eastAsia="宋体" w:cs="宋体"/>
          <w:color w:val="231F20"/>
          <w:spacing w:val="14"/>
          <w:sz w:val="22"/>
          <w:szCs w:val="22"/>
        </w:rPr>
        <w:t>为马克思主义中国化时代化的最新发展成果。</w:t>
      </w:r>
    </w:p>
    <w:p w14:paraId="7E8B351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position w:val="1"/>
          <w:sz w:val="22"/>
          <w:szCs w:val="22"/>
        </w:rPr>
        <w:t>2.推进党的建设新的伟大工程的科学谋划</w:t>
      </w:r>
    </w:p>
    <w:p w14:paraId="439866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推进党的建设新的伟大工程是对当代中国马克思主义发展的最有力保障，是统领强国建设</w:t>
      </w:r>
      <w:r>
        <w:rPr>
          <w:rFonts w:hint="eastAsia" w:ascii="宋体" w:hAnsi="宋体" w:eastAsia="宋体" w:cs="宋体"/>
          <w:color w:val="231F20"/>
          <w:spacing w:val="-2"/>
          <w:sz w:val="22"/>
          <w:szCs w:val="22"/>
        </w:rPr>
        <w:t>和民族复兴伟业的“压舱石”和“定盘星”，是习近平新时代中国特色社会主义思想把握时代脉搏</w:t>
      </w:r>
      <w:r>
        <w:rPr>
          <w:rFonts w:hint="eastAsia" w:ascii="宋体" w:hAnsi="宋体" w:eastAsia="宋体" w:cs="宋体"/>
          <w:color w:val="231F20"/>
          <w:spacing w:val="3"/>
          <w:sz w:val="22"/>
          <w:szCs w:val="22"/>
        </w:rPr>
        <w:t>的关键所在。在统揽伟大斗争、伟大工程、伟大事业、伟大梦想中，起决定性作用的</w:t>
      </w:r>
      <w:r>
        <w:rPr>
          <w:rFonts w:hint="eastAsia" w:ascii="宋体" w:hAnsi="宋体" w:eastAsia="宋体" w:cs="宋体"/>
          <w:color w:val="231F20"/>
          <w:spacing w:val="2"/>
          <w:sz w:val="22"/>
          <w:szCs w:val="22"/>
        </w:rPr>
        <w:t>是党的建设</w:t>
      </w:r>
      <w:r>
        <w:rPr>
          <w:rFonts w:hint="eastAsia" w:ascii="宋体" w:hAnsi="宋体" w:eastAsia="宋体" w:cs="宋体"/>
          <w:color w:val="231F20"/>
          <w:spacing w:val="8"/>
          <w:sz w:val="22"/>
          <w:szCs w:val="22"/>
        </w:rPr>
        <w:t>新的伟大工程。毫不动摇加强党的全面领导，是习近平新时代中国特色社会主义思想</w:t>
      </w:r>
      <w:r>
        <w:rPr>
          <w:rFonts w:hint="eastAsia" w:ascii="宋体" w:hAnsi="宋体" w:eastAsia="宋体" w:cs="宋体"/>
          <w:color w:val="231F20"/>
          <w:spacing w:val="7"/>
          <w:sz w:val="22"/>
          <w:szCs w:val="22"/>
        </w:rPr>
        <w:t>推进伟大</w:t>
      </w:r>
      <w:r>
        <w:rPr>
          <w:rFonts w:hint="eastAsia" w:ascii="宋体" w:hAnsi="宋体" w:eastAsia="宋体" w:cs="宋体"/>
          <w:color w:val="231F20"/>
          <w:spacing w:val="3"/>
          <w:sz w:val="22"/>
          <w:szCs w:val="22"/>
        </w:rPr>
        <w:t>工程的重要内容。新时代以来，党确立习近平同志党中央的核心、全党的核心地位，确立习</w:t>
      </w:r>
      <w:r>
        <w:rPr>
          <w:rFonts w:hint="eastAsia" w:ascii="宋体" w:hAnsi="宋体" w:eastAsia="宋体" w:cs="宋体"/>
          <w:color w:val="231F20"/>
          <w:spacing w:val="2"/>
          <w:sz w:val="22"/>
          <w:szCs w:val="22"/>
        </w:rPr>
        <w:t>近平</w:t>
      </w:r>
      <w:r>
        <w:rPr>
          <w:rFonts w:hint="eastAsia" w:ascii="宋体" w:hAnsi="宋体" w:eastAsia="宋体" w:cs="宋体"/>
          <w:color w:val="231F20"/>
          <w:spacing w:val="3"/>
          <w:sz w:val="22"/>
          <w:szCs w:val="22"/>
        </w:rPr>
        <w:t>新时代中国特色社会主义思想的指导地位，以“两个确立”坚定党的领导核心和科学理论对国家</w:t>
      </w:r>
      <w:r>
        <w:rPr>
          <w:rFonts w:hint="eastAsia" w:ascii="宋体" w:hAnsi="宋体" w:eastAsia="宋体" w:cs="宋体"/>
          <w:color w:val="231F20"/>
          <w:spacing w:val="9"/>
          <w:sz w:val="22"/>
          <w:szCs w:val="22"/>
        </w:rPr>
        <w:t>民族前途命运的根本引领作用，为当代中国马克思主义</w:t>
      </w:r>
      <w:r>
        <w:rPr>
          <w:rFonts w:hint="eastAsia" w:ascii="宋体" w:hAnsi="宋体" w:eastAsia="宋体" w:cs="宋体"/>
          <w:color w:val="231F20"/>
          <w:spacing w:val="8"/>
          <w:sz w:val="22"/>
          <w:szCs w:val="22"/>
        </w:rPr>
        <w:t>顺应时代发展需要不断前进提供根本政</w:t>
      </w:r>
      <w:r>
        <w:rPr>
          <w:rFonts w:hint="eastAsia" w:ascii="宋体" w:hAnsi="宋体" w:eastAsia="宋体" w:cs="宋体"/>
          <w:color w:val="231F20"/>
          <w:spacing w:val="5"/>
          <w:sz w:val="22"/>
          <w:szCs w:val="22"/>
        </w:rPr>
        <w:t>治基础，为推进党的建设新的伟大工程谋定时代</w:t>
      </w:r>
      <w:r>
        <w:rPr>
          <w:rFonts w:hint="eastAsia" w:ascii="宋体" w:hAnsi="宋体" w:eastAsia="宋体" w:cs="宋体"/>
          <w:color w:val="231F20"/>
          <w:spacing w:val="4"/>
          <w:sz w:val="22"/>
          <w:szCs w:val="22"/>
        </w:rPr>
        <w:t>方向。</w:t>
      </w:r>
    </w:p>
    <w:p w14:paraId="035FA80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推进党的建设新的伟大工程，需要中国共产党开辟自我革命的新境界，这是习近平新时代中国特色社会主义思想顺应党的建设新要求的时代回响。进入新时代，面对党面临</w:t>
      </w:r>
      <w:r>
        <w:rPr>
          <w:rFonts w:hint="eastAsia" w:ascii="宋体" w:hAnsi="宋体" w:eastAsia="宋体" w:cs="宋体"/>
          <w:color w:val="231F20"/>
          <w:spacing w:val="7"/>
          <w:sz w:val="22"/>
          <w:szCs w:val="22"/>
        </w:rPr>
        <w:t>的新的重大</w:t>
      </w:r>
      <w:r>
        <w:rPr>
          <w:rFonts w:hint="eastAsia" w:ascii="宋体" w:hAnsi="宋体" w:eastAsia="宋体" w:cs="宋体"/>
          <w:color w:val="231F20"/>
          <w:spacing w:val="9"/>
          <w:sz w:val="22"/>
          <w:szCs w:val="22"/>
        </w:rPr>
        <w:t>风险考验和党内存在的突出问题，我们必须以习近平新</w:t>
      </w:r>
      <w:r>
        <w:rPr>
          <w:rFonts w:hint="eastAsia" w:ascii="宋体" w:hAnsi="宋体" w:eastAsia="宋体" w:cs="宋体"/>
          <w:color w:val="231F20"/>
          <w:spacing w:val="8"/>
          <w:sz w:val="22"/>
          <w:szCs w:val="22"/>
        </w:rPr>
        <w:t>时代中国特色社会主义思想为指导，解决好大党独有难题，全面推进党的建设新的伟大工程。全面从严治党向纵深</w:t>
      </w:r>
      <w:r>
        <w:rPr>
          <w:rFonts w:hint="eastAsia" w:ascii="宋体" w:hAnsi="宋体" w:eastAsia="宋体" w:cs="宋体"/>
          <w:color w:val="231F20"/>
          <w:spacing w:val="7"/>
          <w:sz w:val="22"/>
          <w:szCs w:val="22"/>
        </w:rPr>
        <w:t>推进，我们党找到</w:t>
      </w:r>
      <w:r>
        <w:rPr>
          <w:rFonts w:hint="eastAsia" w:ascii="宋体" w:hAnsi="宋体" w:eastAsia="宋体" w:cs="宋体"/>
          <w:color w:val="231F20"/>
          <w:spacing w:val="8"/>
          <w:sz w:val="22"/>
          <w:szCs w:val="22"/>
        </w:rPr>
        <w:t>了自我革命这一跳出治乱兴衰历史周期率的第二个答案，将反腐败作为最彻底的自我革命，不</w:t>
      </w:r>
      <w:r>
        <w:rPr>
          <w:rFonts w:hint="eastAsia" w:ascii="宋体" w:hAnsi="宋体" w:eastAsia="宋体" w:cs="宋体"/>
          <w:color w:val="231F20"/>
          <w:spacing w:val="-2"/>
          <w:sz w:val="22"/>
          <w:szCs w:val="22"/>
        </w:rPr>
        <w:t>断实现党的自我净化、自我完善、自我革新和自我提高。从“党的</w:t>
      </w:r>
      <w:r>
        <w:rPr>
          <w:rFonts w:hint="eastAsia" w:ascii="宋体" w:hAnsi="宋体" w:eastAsia="宋体" w:cs="宋体"/>
          <w:color w:val="231F20"/>
          <w:spacing w:val="-3"/>
          <w:sz w:val="22"/>
          <w:szCs w:val="22"/>
        </w:rPr>
        <w:t>建设伟大工程”到“党的建设新</w:t>
      </w:r>
      <w:r>
        <w:rPr>
          <w:rFonts w:hint="eastAsia" w:ascii="宋体" w:hAnsi="宋体" w:eastAsia="宋体" w:cs="宋体"/>
          <w:color w:val="231F20"/>
          <w:spacing w:val="-15"/>
          <w:sz w:val="22"/>
          <w:szCs w:val="22"/>
        </w:rPr>
        <w:t>的伟大工程”，从“延安整风”到“全面从严治党”，从“让人民来监督政府”到“党的</w:t>
      </w:r>
      <w:r>
        <w:rPr>
          <w:rFonts w:hint="eastAsia" w:ascii="宋体" w:hAnsi="宋体" w:eastAsia="宋体" w:cs="宋体"/>
          <w:color w:val="231F20"/>
          <w:spacing w:val="-16"/>
          <w:sz w:val="22"/>
          <w:szCs w:val="22"/>
        </w:rPr>
        <w:t>自我革命”，马</w:t>
      </w:r>
      <w:r>
        <w:rPr>
          <w:rFonts w:hint="eastAsia" w:ascii="宋体" w:hAnsi="宋体" w:eastAsia="宋体" w:cs="宋体"/>
          <w:color w:val="231F20"/>
          <w:spacing w:val="19"/>
          <w:sz w:val="22"/>
          <w:szCs w:val="22"/>
        </w:rPr>
        <w:t>克思主义中国化时代化的进程在党的创新理论和伟大实践的接续发展中得到生动而具体的</w:t>
      </w:r>
      <w:r>
        <w:rPr>
          <w:rFonts w:hint="eastAsia" w:ascii="宋体" w:hAnsi="宋体" w:eastAsia="宋体" w:cs="宋体"/>
          <w:color w:val="231F20"/>
          <w:spacing w:val="3"/>
          <w:sz w:val="22"/>
          <w:szCs w:val="22"/>
        </w:rPr>
        <w:t>体现。</w:t>
      </w:r>
    </w:p>
    <w:p w14:paraId="06E595E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3.推进中国特色社会主义伟大事业的现实方略</w:t>
      </w:r>
    </w:p>
    <w:p w14:paraId="3CF1361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中国特色社会主义进入新时代，我国社会主要矛盾发生历史性变化，习近平新时代中</w:t>
      </w:r>
      <w:r>
        <w:rPr>
          <w:rFonts w:hint="eastAsia" w:ascii="宋体" w:hAnsi="宋体" w:eastAsia="宋体" w:cs="宋体"/>
          <w:color w:val="231F20"/>
          <w:spacing w:val="7"/>
          <w:sz w:val="22"/>
          <w:szCs w:val="22"/>
        </w:rPr>
        <w:t>国特</w:t>
      </w:r>
      <w:r>
        <w:rPr>
          <w:rFonts w:hint="eastAsia" w:ascii="宋体" w:hAnsi="宋体" w:eastAsia="宋体" w:cs="宋体"/>
          <w:color w:val="231F20"/>
          <w:spacing w:val="9"/>
          <w:sz w:val="22"/>
          <w:szCs w:val="22"/>
        </w:rPr>
        <w:t>色社会主义思想是在把握中华民族从站起来、富起来到</w:t>
      </w:r>
      <w:r>
        <w:rPr>
          <w:rFonts w:hint="eastAsia" w:ascii="宋体" w:hAnsi="宋体" w:eastAsia="宋体" w:cs="宋体"/>
          <w:color w:val="231F20"/>
          <w:spacing w:val="8"/>
          <w:sz w:val="22"/>
          <w:szCs w:val="22"/>
        </w:rPr>
        <w:t>强起来的伟大飞跃中，推进当代中国马</w:t>
      </w:r>
      <w:r>
        <w:rPr>
          <w:rFonts w:hint="eastAsia" w:ascii="宋体" w:hAnsi="宋体" w:eastAsia="宋体" w:cs="宋体"/>
          <w:color w:val="231F20"/>
          <w:spacing w:val="2"/>
          <w:sz w:val="22"/>
          <w:szCs w:val="22"/>
        </w:rPr>
        <w:t>克思主义时代化发展的科学理论。习近平总书记指出：“我们这一代共产党人的任务，就是继续</w:t>
      </w:r>
      <w:r>
        <w:rPr>
          <w:rFonts w:hint="eastAsia" w:ascii="宋体" w:hAnsi="宋体" w:eastAsia="宋体" w:cs="宋体"/>
          <w:color w:val="231F20"/>
          <w:spacing w:val="4"/>
          <w:sz w:val="22"/>
          <w:szCs w:val="22"/>
        </w:rPr>
        <w:t>把这篇大文章写下去。”</w:t>
      </w:r>
      <w:r>
        <w:rPr>
          <w:rStyle w:val="20"/>
          <w:rFonts w:hint="eastAsia" w:ascii="宋体" w:hAnsi="宋体" w:eastAsia="宋体" w:cs="宋体"/>
          <w:color w:val="231F20"/>
          <w:spacing w:val="4"/>
          <w:sz w:val="22"/>
          <w:szCs w:val="22"/>
        </w:rPr>
        <w:footnoteReference w:id="1272"/>
      </w:r>
      <w:r>
        <w:rPr>
          <w:rFonts w:hint="eastAsia" w:ascii="宋体" w:hAnsi="宋体" w:eastAsia="宋体" w:cs="宋体"/>
          <w:color w:val="231F20"/>
          <w:spacing w:val="4"/>
          <w:sz w:val="22"/>
          <w:szCs w:val="22"/>
        </w:rPr>
        <w:t>以习近平同志为核心的党中央，准确把握中国特色社会主义进入新时</w:t>
      </w:r>
      <w:r>
        <w:rPr>
          <w:rFonts w:hint="eastAsia" w:ascii="宋体" w:hAnsi="宋体" w:eastAsia="宋体" w:cs="宋体"/>
          <w:color w:val="231F20"/>
          <w:spacing w:val="9"/>
          <w:sz w:val="22"/>
          <w:szCs w:val="22"/>
        </w:rPr>
        <w:t>代这一我国发展新的历史方位，科学回答了新时代坚持</w:t>
      </w:r>
      <w:r>
        <w:rPr>
          <w:rFonts w:hint="eastAsia" w:ascii="宋体" w:hAnsi="宋体" w:eastAsia="宋体" w:cs="宋体"/>
          <w:color w:val="231F20"/>
          <w:spacing w:val="8"/>
          <w:sz w:val="22"/>
          <w:szCs w:val="22"/>
        </w:rPr>
        <w:t>和发展什么样的中国特色社会主义、怎</w:t>
      </w:r>
      <w:r>
        <w:rPr>
          <w:rFonts w:hint="eastAsia" w:ascii="宋体" w:hAnsi="宋体" w:eastAsia="宋体" w:cs="宋体"/>
          <w:color w:val="231F20"/>
          <w:spacing w:val="9"/>
          <w:sz w:val="22"/>
          <w:szCs w:val="22"/>
        </w:rPr>
        <w:t>样坚持和发展中国特色社会主义，建设什么样的社会主</w:t>
      </w:r>
      <w:r>
        <w:rPr>
          <w:rFonts w:hint="eastAsia" w:ascii="宋体" w:hAnsi="宋体" w:eastAsia="宋体" w:cs="宋体"/>
          <w:color w:val="231F20"/>
          <w:spacing w:val="8"/>
          <w:sz w:val="22"/>
          <w:szCs w:val="22"/>
        </w:rPr>
        <w:t>义现代化强国、怎样建设社会主义现代</w:t>
      </w:r>
      <w:r>
        <w:rPr>
          <w:rFonts w:hint="eastAsia" w:ascii="宋体" w:hAnsi="宋体" w:eastAsia="宋体" w:cs="宋体"/>
          <w:color w:val="231F20"/>
          <w:spacing w:val="9"/>
          <w:sz w:val="22"/>
          <w:szCs w:val="22"/>
        </w:rPr>
        <w:t>化强国，建设什么样的长期执政的马克思主义政党、怎</w:t>
      </w:r>
      <w:r>
        <w:rPr>
          <w:rFonts w:hint="eastAsia" w:ascii="宋体" w:hAnsi="宋体" w:eastAsia="宋体" w:cs="宋体"/>
          <w:color w:val="231F20"/>
          <w:spacing w:val="8"/>
          <w:sz w:val="22"/>
          <w:szCs w:val="22"/>
        </w:rPr>
        <w:t>样建设长期执政的马克思主义政党等重</w:t>
      </w:r>
      <w:r>
        <w:rPr>
          <w:rFonts w:hint="eastAsia" w:ascii="宋体" w:hAnsi="宋体" w:eastAsia="宋体" w:cs="宋体"/>
          <w:color w:val="231F20"/>
          <w:spacing w:val="5"/>
          <w:sz w:val="22"/>
          <w:szCs w:val="22"/>
        </w:rPr>
        <w:t>大时代课题，是新时代中国特色社会主义不断前进的指路明灯。</w:t>
      </w:r>
    </w:p>
    <w:p w14:paraId="2188586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习近平新时代中国特色社会主义思想是在中国式现代化全面深化拓展，人类文明新形态探</w:t>
      </w:r>
      <w:r>
        <w:rPr>
          <w:rFonts w:hint="eastAsia" w:ascii="宋体" w:hAnsi="宋体" w:eastAsia="宋体" w:cs="宋体"/>
          <w:color w:val="231F20"/>
          <w:spacing w:val="12"/>
          <w:sz w:val="22"/>
          <w:szCs w:val="22"/>
        </w:rPr>
        <w:t>索推进的历史时期，推动当代中国马克思主义发展的科学指南。独特的历史文化和国情制度，</w:t>
      </w:r>
      <w:r>
        <w:rPr>
          <w:rFonts w:hint="eastAsia" w:ascii="宋体" w:hAnsi="宋体" w:eastAsia="宋体" w:cs="宋体"/>
          <w:color w:val="231F20"/>
          <w:spacing w:val="11"/>
          <w:sz w:val="22"/>
          <w:szCs w:val="22"/>
        </w:rPr>
        <w:t>决定了中国绝不可能走西方现代化的歪路和邪路，中国特色社会主义的伟大实践为我们探索出</w:t>
      </w:r>
      <w:r>
        <w:rPr>
          <w:rFonts w:hint="eastAsia" w:ascii="宋体" w:hAnsi="宋体" w:eastAsia="宋体" w:cs="宋体"/>
          <w:color w:val="231F20"/>
          <w:spacing w:val="9"/>
          <w:sz w:val="22"/>
          <w:szCs w:val="22"/>
        </w:rPr>
        <w:t>了日益清晰的中国式现代化道路。从“四个现代化”宏伟目标到推进和拓展中国式现代化，从</w:t>
      </w:r>
      <w:r>
        <w:rPr>
          <w:rFonts w:hint="eastAsia" w:ascii="宋体" w:hAnsi="宋体" w:eastAsia="宋体" w:cs="宋体"/>
          <w:color w:val="231F20"/>
          <w:spacing w:val="-4"/>
          <w:sz w:val="22"/>
          <w:szCs w:val="22"/>
        </w:rPr>
        <w:t>“两手抓”到“五位一体”，从“建立社会主义市场经济体制”到</w:t>
      </w:r>
      <w:r>
        <w:rPr>
          <w:rFonts w:hint="eastAsia" w:ascii="宋体" w:hAnsi="宋体" w:eastAsia="宋体" w:cs="宋体"/>
          <w:color w:val="231F20"/>
          <w:spacing w:val="-5"/>
          <w:sz w:val="22"/>
          <w:szCs w:val="22"/>
        </w:rPr>
        <w:t>“构建高水平社会主义市场经济体</w:t>
      </w:r>
      <w:r>
        <w:rPr>
          <w:rFonts w:hint="eastAsia" w:ascii="宋体" w:hAnsi="宋体" w:eastAsia="宋体" w:cs="宋体"/>
          <w:color w:val="231F20"/>
          <w:sz w:val="22"/>
          <w:szCs w:val="22"/>
        </w:rPr>
        <w:t>制”，从“基本实现现代化”到“全面建成社会主义现代化强国”……中国特色社会主义在理论和</w:t>
      </w:r>
      <w:r>
        <w:rPr>
          <w:rFonts w:hint="eastAsia" w:ascii="宋体" w:hAnsi="宋体" w:eastAsia="宋体" w:cs="宋体"/>
          <w:color w:val="231F20"/>
          <w:spacing w:val="10"/>
          <w:sz w:val="22"/>
          <w:szCs w:val="22"/>
        </w:rPr>
        <w:t>实践上不断实现新的突破，努力创造人类文明新形态。习近平新时代中国特</w:t>
      </w:r>
      <w:r>
        <w:rPr>
          <w:rFonts w:hint="eastAsia" w:ascii="宋体" w:hAnsi="宋体" w:eastAsia="宋体" w:cs="宋体"/>
          <w:color w:val="231F20"/>
          <w:spacing w:val="9"/>
          <w:sz w:val="22"/>
          <w:szCs w:val="22"/>
        </w:rPr>
        <w:t>色社会主义思想正</w:t>
      </w:r>
      <w:r>
        <w:rPr>
          <w:rFonts w:hint="eastAsia" w:ascii="宋体" w:hAnsi="宋体" w:eastAsia="宋体" w:cs="宋体"/>
          <w:color w:val="231F20"/>
          <w:spacing w:val="13"/>
          <w:sz w:val="22"/>
          <w:szCs w:val="22"/>
        </w:rPr>
        <w:t>指引社会主义的中国实践随着新时代的进程而不断深化发展。</w:t>
      </w:r>
    </w:p>
    <w:p w14:paraId="4105484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b/>
          <w:bCs/>
          <w:sz w:val="22"/>
          <w:szCs w:val="22"/>
        </w:rPr>
      </w:pPr>
      <w:r>
        <w:rPr>
          <w:rFonts w:hint="eastAsia" w:ascii="宋体" w:hAnsi="宋体" w:eastAsia="宋体" w:cs="宋体"/>
          <w:b/>
          <w:bCs/>
          <w:color w:val="231F20"/>
          <w:spacing w:val="7"/>
          <w:sz w:val="22"/>
          <w:szCs w:val="22"/>
        </w:rPr>
        <w:t>（二）二十一世纪马克思主义反映世界社会主义发展的时代化趋势</w:t>
      </w:r>
    </w:p>
    <w:p w14:paraId="30E05D2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1.世界百年未有之大变局加速演进的时代回应</w:t>
      </w:r>
    </w:p>
    <w:p w14:paraId="0CEB610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世界百年未有之大变局加速演进，世界之变、时代之变、历史之变前所未有，时代变迁对科</w:t>
      </w:r>
      <w:r>
        <w:rPr>
          <w:rFonts w:hint="eastAsia" w:ascii="宋体" w:hAnsi="宋体" w:eastAsia="宋体" w:cs="宋体"/>
          <w:color w:val="231F20"/>
          <w:spacing w:val="11"/>
          <w:sz w:val="22"/>
          <w:szCs w:val="22"/>
        </w:rPr>
        <w:t>学理论提出新的要求，习近平新时代中国特色</w:t>
      </w:r>
      <w:r>
        <w:rPr>
          <w:rFonts w:hint="eastAsia" w:ascii="宋体" w:hAnsi="宋体" w:eastAsia="宋体" w:cs="宋体"/>
          <w:color w:val="231F20"/>
          <w:spacing w:val="10"/>
          <w:sz w:val="22"/>
          <w:szCs w:val="22"/>
        </w:rPr>
        <w:t>社会主义思想正是为了应对时代变局应运而生。</w:t>
      </w:r>
      <w:r>
        <w:rPr>
          <w:rFonts w:hint="eastAsia" w:ascii="宋体" w:hAnsi="宋体" w:eastAsia="宋体" w:cs="宋体"/>
          <w:color w:val="231F20"/>
          <w:sz w:val="22"/>
          <w:szCs w:val="22"/>
        </w:rPr>
        <w:t>党的十八大以来，科技和产业变革加剧，国际体系和国际秩序深度调整，“东升西降”趋势明显，</w:t>
      </w:r>
      <w:r>
        <w:rPr>
          <w:rFonts w:hint="eastAsia" w:ascii="宋体" w:hAnsi="宋体" w:eastAsia="宋体" w:cs="宋体"/>
          <w:color w:val="231F20"/>
          <w:spacing w:val="4"/>
          <w:sz w:val="22"/>
          <w:szCs w:val="22"/>
        </w:rPr>
        <w:t>世界进入新的动荡变革期，冷战思维和强权政治回归，单边</w:t>
      </w:r>
      <w:r>
        <w:rPr>
          <w:rFonts w:hint="eastAsia" w:ascii="宋体" w:hAnsi="宋体" w:eastAsia="宋体" w:cs="宋体"/>
          <w:color w:val="231F20"/>
          <w:spacing w:val="3"/>
          <w:sz w:val="22"/>
          <w:szCs w:val="22"/>
        </w:rPr>
        <w:t>主义、贸易保护主义、逆全球化全面</w:t>
      </w:r>
      <w:r>
        <w:rPr>
          <w:rFonts w:hint="eastAsia" w:ascii="宋体" w:hAnsi="宋体" w:eastAsia="宋体" w:cs="宋体"/>
          <w:color w:val="231F20"/>
          <w:spacing w:val="-6"/>
          <w:sz w:val="22"/>
          <w:szCs w:val="22"/>
        </w:rPr>
        <w:t>抬头，全球面临和平赤字、发展赤字、安全赤字、治理赤字、生态赤字加剧，生态挑战严峻，局部冲</w:t>
      </w:r>
      <w:r>
        <w:rPr>
          <w:rFonts w:hint="eastAsia" w:ascii="宋体" w:hAnsi="宋体" w:eastAsia="宋体" w:cs="宋体"/>
          <w:color w:val="231F20"/>
          <w:spacing w:val="7"/>
          <w:sz w:val="22"/>
          <w:szCs w:val="22"/>
        </w:rPr>
        <w:t>突频发，社会割裂加深，人类站在历史的十字路口。习近平新时代中国特色社会主义思想为应</w:t>
      </w:r>
      <w:r>
        <w:rPr>
          <w:rFonts w:hint="eastAsia" w:ascii="宋体" w:hAnsi="宋体" w:eastAsia="宋体" w:cs="宋体"/>
          <w:color w:val="231F20"/>
          <w:spacing w:val="8"/>
          <w:sz w:val="22"/>
          <w:szCs w:val="22"/>
        </w:rPr>
        <w:t>对世界百年未有之大变局思考进行深入谋划，为在新的国际格局中实现“两个一百年</w:t>
      </w:r>
      <w:r>
        <w:rPr>
          <w:rFonts w:hint="eastAsia" w:ascii="宋体" w:hAnsi="宋体" w:eastAsia="宋体" w:cs="宋体"/>
          <w:color w:val="231F20"/>
          <w:spacing w:val="7"/>
          <w:sz w:val="22"/>
          <w:szCs w:val="22"/>
        </w:rPr>
        <w:t>”奋斗目</w:t>
      </w:r>
      <w:r>
        <w:rPr>
          <w:rFonts w:hint="eastAsia" w:ascii="宋体" w:hAnsi="宋体" w:eastAsia="宋体" w:cs="宋体"/>
          <w:color w:val="231F20"/>
          <w:spacing w:val="3"/>
          <w:sz w:val="22"/>
          <w:szCs w:val="22"/>
        </w:rPr>
        <w:t>标，推动人类文明永续发展作出了时代贡献。</w:t>
      </w:r>
    </w:p>
    <w:p w14:paraId="190601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14"/>
          <w:sz w:val="22"/>
          <w:szCs w:val="22"/>
        </w:rPr>
        <w:t>习近平新时代中国特色社会主义思想在与世界百年未有</w:t>
      </w:r>
      <w:r>
        <w:rPr>
          <w:rFonts w:hint="eastAsia" w:ascii="宋体" w:hAnsi="宋体" w:eastAsia="宋体" w:cs="宋体"/>
          <w:color w:val="231F20"/>
          <w:spacing w:val="13"/>
          <w:sz w:val="22"/>
          <w:szCs w:val="22"/>
        </w:rPr>
        <w:t>之大变局的互动交汇中不断发展</w:t>
      </w:r>
      <w:r>
        <w:rPr>
          <w:rFonts w:hint="eastAsia" w:ascii="宋体" w:hAnsi="宋体" w:eastAsia="宋体" w:cs="宋体"/>
          <w:color w:val="231F20"/>
          <w:spacing w:val="2"/>
          <w:sz w:val="22"/>
          <w:szCs w:val="22"/>
        </w:rPr>
        <w:t>成熟，在对国际时局的理解、思考、判断和认识中逐渐形成富有时代特征的科学理论。时代是思</w:t>
      </w:r>
      <w:r>
        <w:rPr>
          <w:rFonts w:hint="eastAsia" w:ascii="宋体" w:hAnsi="宋体" w:eastAsia="宋体" w:cs="宋体"/>
          <w:color w:val="231F20"/>
          <w:spacing w:val="8"/>
          <w:sz w:val="22"/>
          <w:szCs w:val="22"/>
        </w:rPr>
        <w:t>想之母，大变局时代是伟大思想孕育的沃土。党的十八大以来，以习近平</w:t>
      </w:r>
      <w:r>
        <w:rPr>
          <w:rFonts w:hint="eastAsia" w:ascii="宋体" w:hAnsi="宋体" w:eastAsia="宋体" w:cs="宋体"/>
          <w:color w:val="231F20"/>
          <w:spacing w:val="7"/>
          <w:sz w:val="22"/>
          <w:szCs w:val="22"/>
        </w:rPr>
        <w:t>同志为核心的党中央</w:t>
      </w:r>
      <w:r>
        <w:rPr>
          <w:rFonts w:hint="eastAsia" w:ascii="宋体" w:hAnsi="宋体" w:eastAsia="宋体" w:cs="宋体"/>
          <w:color w:val="231F20"/>
          <w:spacing w:val="-1"/>
          <w:sz w:val="22"/>
          <w:szCs w:val="22"/>
        </w:rPr>
        <w:t>冷静把握我国发展局势和国际发展态势，提出经济发展“新常态”，并随之提出新发</w:t>
      </w:r>
      <w:r>
        <w:rPr>
          <w:rFonts w:hint="eastAsia" w:ascii="宋体" w:hAnsi="宋体" w:eastAsia="宋体" w:cs="宋体"/>
          <w:color w:val="231F20"/>
          <w:spacing w:val="-2"/>
          <w:sz w:val="22"/>
          <w:szCs w:val="22"/>
        </w:rPr>
        <w:t>展理念，推动高质量发展；面对特朗普政府无端发动的、针对我国高新技术企业和出口企业的“贸易战”“科技战”“脱钩断链”等单边主义行径，我国积极构建新发展格局，强调高</w:t>
      </w:r>
      <w:r>
        <w:rPr>
          <w:rFonts w:hint="eastAsia" w:ascii="宋体" w:hAnsi="宋体" w:eastAsia="宋体" w:cs="宋体"/>
          <w:color w:val="231F20"/>
          <w:spacing w:val="-3"/>
          <w:sz w:val="22"/>
          <w:szCs w:val="22"/>
        </w:rPr>
        <w:t>水平科技自立自强；面对新</w:t>
      </w:r>
      <w:r>
        <w:rPr>
          <w:rFonts w:hint="eastAsia" w:ascii="宋体" w:hAnsi="宋体" w:eastAsia="宋体" w:cs="宋体"/>
          <w:color w:val="231F20"/>
          <w:spacing w:val="9"/>
          <w:sz w:val="22"/>
          <w:szCs w:val="22"/>
        </w:rPr>
        <w:t>冠疫情后低迷的全球市场，我国坚决培育和发展新</w:t>
      </w:r>
      <w:r>
        <w:rPr>
          <w:rFonts w:hint="eastAsia" w:ascii="宋体" w:hAnsi="宋体" w:eastAsia="宋体" w:cs="宋体"/>
          <w:color w:val="231F20"/>
          <w:spacing w:val="8"/>
          <w:sz w:val="22"/>
          <w:szCs w:val="22"/>
        </w:rPr>
        <w:t>质生产力，以实体经济和科技创新驱动时代</w:t>
      </w:r>
      <w:r>
        <w:rPr>
          <w:rFonts w:hint="eastAsia" w:ascii="宋体" w:hAnsi="宋体" w:eastAsia="宋体" w:cs="宋体"/>
          <w:color w:val="231F20"/>
          <w:spacing w:val="7"/>
          <w:sz w:val="22"/>
          <w:szCs w:val="22"/>
        </w:rPr>
        <w:t>发展，以进一步全面深化改革推进中国式现代化。习近平新时代中国特色社会主义思想的每个</w:t>
      </w:r>
      <w:r>
        <w:rPr>
          <w:rFonts w:hint="eastAsia" w:ascii="宋体" w:hAnsi="宋体" w:eastAsia="宋体" w:cs="宋体"/>
          <w:color w:val="231F20"/>
          <w:spacing w:val="4"/>
          <w:sz w:val="22"/>
          <w:szCs w:val="22"/>
        </w:rPr>
        <w:t>创新理念，都源于对国内国际局势的准确把握，在时代大局中引领党和国家事业行稳致远。</w:t>
      </w:r>
    </w:p>
    <w:p w14:paraId="2829247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6"/>
          <w:sz w:val="22"/>
          <w:szCs w:val="22"/>
        </w:rPr>
        <w:t>2.当代世界资本主义乱象困局的制度超越</w:t>
      </w:r>
    </w:p>
    <w:p w14:paraId="07DF298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z w:val="22"/>
          <w:szCs w:val="22"/>
        </w:rPr>
        <w:t>资本主义世界体系历经长期发展，在当下呈现出不断恶化的危险特征，危机和乱象频繁发生，</w:t>
      </w:r>
      <w:r>
        <w:rPr>
          <w:rFonts w:hint="eastAsia" w:ascii="宋体" w:hAnsi="宋体" w:eastAsia="宋体" w:cs="宋体"/>
          <w:color w:val="231F20"/>
          <w:spacing w:val="7"/>
          <w:sz w:val="22"/>
          <w:szCs w:val="22"/>
        </w:rPr>
        <w:t>这对习近平新时代中国特色社会主义思想超越资本主义体系的桎梏提出了时代诉求。当今时代</w:t>
      </w:r>
      <w:r>
        <w:rPr>
          <w:rFonts w:hint="eastAsia" w:ascii="宋体" w:hAnsi="宋体" w:eastAsia="宋体" w:cs="宋体"/>
          <w:color w:val="231F20"/>
          <w:spacing w:val="-2"/>
          <w:sz w:val="22"/>
          <w:szCs w:val="22"/>
        </w:rPr>
        <w:t>的世界变局具有多个维度，对于西方和资本主义世界而言，其衰落趋势尤为明显。一是西方“引以</w:t>
      </w:r>
      <w:r>
        <w:rPr>
          <w:rFonts w:hint="eastAsia" w:ascii="宋体" w:hAnsi="宋体" w:eastAsia="宋体" w:cs="宋体"/>
          <w:color w:val="231F20"/>
          <w:spacing w:val="-4"/>
          <w:sz w:val="22"/>
          <w:szCs w:val="22"/>
        </w:rPr>
        <w:t>为傲”的文明体系不断式微，所谓独一无二的现代化模式成为空谈，社会割裂加剧、贫</w:t>
      </w:r>
      <w:r>
        <w:rPr>
          <w:rFonts w:hint="eastAsia" w:ascii="宋体" w:hAnsi="宋体" w:eastAsia="宋体" w:cs="宋体"/>
          <w:color w:val="231F20"/>
          <w:spacing w:val="-5"/>
          <w:sz w:val="22"/>
          <w:szCs w:val="22"/>
        </w:rPr>
        <w:t>富差距拉大、</w:t>
      </w:r>
      <w:r>
        <w:rPr>
          <w:rFonts w:hint="eastAsia" w:ascii="宋体" w:hAnsi="宋体" w:eastAsia="宋体" w:cs="宋体"/>
          <w:color w:val="231F20"/>
          <w:spacing w:val="3"/>
          <w:sz w:val="22"/>
          <w:szCs w:val="22"/>
        </w:rPr>
        <w:t>霸权主义横行，西方文</w:t>
      </w:r>
      <w:r>
        <w:rPr>
          <w:rFonts w:hint="eastAsia" w:ascii="宋体" w:hAnsi="宋体" w:eastAsia="宋体" w:cs="宋体"/>
          <w:color w:val="231F20"/>
          <w:spacing w:val="3"/>
          <w:sz w:val="22"/>
          <w:szCs w:val="22"/>
          <w:lang w:val="en-US" w:eastAsia="zh-CN"/>
        </w:rPr>
        <w:t xml:space="preserve"> </w:t>
      </w:r>
      <w:r>
        <w:rPr>
          <w:rFonts w:hint="eastAsia" w:ascii="宋体" w:hAnsi="宋体" w:eastAsia="宋体" w:cs="宋体"/>
          <w:color w:val="231F20"/>
          <w:spacing w:val="3"/>
          <w:sz w:val="22"/>
          <w:szCs w:val="22"/>
        </w:rPr>
        <w:t>明受到质疑和诟病。二是科技变革速度之快前所未有，以人工智能为代表的第四次科技革命正在改变西方世界长期垄断的技术格局，西方科技霸权难以维系。三是长期以</w:t>
      </w:r>
      <w:r>
        <w:rPr>
          <w:rFonts w:hint="eastAsia" w:ascii="宋体" w:hAnsi="宋体" w:eastAsia="宋体" w:cs="宋体"/>
          <w:color w:val="231F20"/>
          <w:spacing w:val="4"/>
          <w:sz w:val="22"/>
          <w:szCs w:val="22"/>
        </w:rPr>
        <w:t>来以西方为主导的知识体系出现瓦解，西方哲学社会科学愈发</w:t>
      </w:r>
      <w:r>
        <w:rPr>
          <w:rFonts w:hint="eastAsia" w:ascii="宋体" w:hAnsi="宋体" w:eastAsia="宋体" w:cs="宋体"/>
          <w:color w:val="231F20"/>
          <w:spacing w:val="3"/>
          <w:sz w:val="22"/>
          <w:szCs w:val="22"/>
        </w:rPr>
        <w:t>难以解决现实问题，其理论体系陷</w:t>
      </w:r>
      <w:r>
        <w:rPr>
          <w:rFonts w:hint="eastAsia" w:ascii="宋体" w:hAnsi="宋体" w:eastAsia="宋体" w:cs="宋体"/>
          <w:color w:val="231F20"/>
          <w:spacing w:val="-3"/>
          <w:sz w:val="22"/>
          <w:szCs w:val="22"/>
        </w:rPr>
        <w:t>入空谈。四是全球安全问题频发，新殖民主义和西方“拉偏架”式的解决方式暴露了其新帝国主义</w:t>
      </w:r>
      <w:r>
        <w:rPr>
          <w:rFonts w:hint="eastAsia" w:ascii="宋体" w:hAnsi="宋体" w:eastAsia="宋体" w:cs="宋体"/>
          <w:color w:val="231F20"/>
          <w:spacing w:val="5"/>
          <w:sz w:val="22"/>
          <w:szCs w:val="22"/>
        </w:rPr>
        <w:t>的本质。这些都为习近平新时代中国特色社会主义思想的理论超越提供了时代</w:t>
      </w:r>
      <w:r>
        <w:rPr>
          <w:rFonts w:hint="eastAsia" w:ascii="宋体" w:hAnsi="宋体" w:eastAsia="宋体" w:cs="宋体"/>
          <w:color w:val="231F20"/>
          <w:spacing w:val="4"/>
          <w:sz w:val="22"/>
          <w:szCs w:val="22"/>
        </w:rPr>
        <w:t>基础。</w:t>
      </w:r>
    </w:p>
    <w:p w14:paraId="58A658A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color w:val="231F20"/>
          <w:spacing w:val="5"/>
          <w:sz w:val="22"/>
          <w:szCs w:val="22"/>
        </w:rPr>
      </w:pPr>
      <w:r>
        <w:rPr>
          <w:rFonts w:hint="eastAsia" w:ascii="宋体" w:hAnsi="宋体" w:eastAsia="宋体" w:cs="宋体"/>
          <w:color w:val="231F20"/>
          <w:spacing w:val="7"/>
          <w:sz w:val="22"/>
          <w:szCs w:val="22"/>
        </w:rPr>
        <w:t>当代世界资本主义的乱象与困局，激发了世界社会主义运动</w:t>
      </w:r>
      <w:r>
        <w:rPr>
          <w:rFonts w:hint="eastAsia" w:ascii="宋体" w:hAnsi="宋体" w:eastAsia="宋体" w:cs="宋体"/>
          <w:color w:val="231F20"/>
          <w:spacing w:val="6"/>
          <w:sz w:val="22"/>
          <w:szCs w:val="22"/>
        </w:rPr>
        <w:t>的蓬勃发展。习近平新时代中国特色社会主义思想引领21世纪马克思主义，形成具有独特时代意蕴的文明倡</w:t>
      </w:r>
      <w:r>
        <w:rPr>
          <w:rFonts w:hint="eastAsia" w:ascii="宋体" w:hAnsi="宋体" w:eastAsia="宋体" w:cs="宋体"/>
          <w:color w:val="231F20"/>
          <w:spacing w:val="5"/>
          <w:sz w:val="22"/>
          <w:szCs w:val="22"/>
        </w:rPr>
        <w:t>议，实现了对日</w:t>
      </w:r>
      <w:r>
        <w:rPr>
          <w:rFonts w:hint="eastAsia" w:ascii="宋体" w:hAnsi="宋体" w:eastAsia="宋体" w:cs="宋体"/>
          <w:color w:val="231F20"/>
          <w:spacing w:val="10"/>
          <w:sz w:val="22"/>
          <w:szCs w:val="22"/>
        </w:rPr>
        <w:t>益腐朽的全球资本主义体系的制度性超越。2008年金融危机引发的资本主义世界</w:t>
      </w:r>
      <w:r>
        <w:rPr>
          <w:rFonts w:hint="eastAsia" w:ascii="宋体" w:hAnsi="宋体" w:eastAsia="宋体" w:cs="宋体"/>
          <w:color w:val="231F20"/>
          <w:spacing w:val="9"/>
          <w:sz w:val="22"/>
          <w:szCs w:val="22"/>
        </w:rPr>
        <w:t>系统性危机</w:t>
      </w:r>
      <w:r>
        <w:rPr>
          <w:rFonts w:hint="eastAsia" w:ascii="宋体" w:hAnsi="宋体" w:eastAsia="宋体" w:cs="宋体"/>
          <w:color w:val="231F20"/>
          <w:spacing w:val="3"/>
          <w:sz w:val="22"/>
          <w:szCs w:val="22"/>
        </w:rPr>
        <w:t>至今未愈，新冠疫情以来，这一危机持续存在</w:t>
      </w:r>
      <w:r>
        <w:rPr>
          <w:rFonts w:hint="eastAsia" w:ascii="宋体" w:hAnsi="宋体" w:eastAsia="宋体" w:cs="宋体"/>
          <w:color w:val="231F20"/>
          <w:spacing w:val="2"/>
          <w:sz w:val="22"/>
          <w:szCs w:val="22"/>
        </w:rPr>
        <w:t>并有扩大和加深的风险。面对当下新霸权主义、新</w:t>
      </w:r>
      <w:r>
        <w:rPr>
          <w:rFonts w:hint="eastAsia" w:ascii="宋体" w:hAnsi="宋体" w:eastAsia="宋体" w:cs="宋体"/>
          <w:color w:val="231F20"/>
          <w:spacing w:val="-1"/>
          <w:sz w:val="22"/>
          <w:szCs w:val="22"/>
        </w:rPr>
        <w:t>帝国主义、新殖民主义、新种族主义、新自由主义、新法西斯主义等思潮与势力的侵扰，</w:t>
      </w:r>
      <w:r>
        <w:rPr>
          <w:rFonts w:hint="eastAsia" w:ascii="宋体" w:hAnsi="宋体" w:eastAsia="宋体" w:cs="宋体"/>
          <w:color w:val="231F20"/>
          <w:spacing w:val="-2"/>
          <w:sz w:val="22"/>
          <w:szCs w:val="22"/>
        </w:rPr>
        <w:t>众多民众</w:t>
      </w:r>
      <w:r>
        <w:rPr>
          <w:rFonts w:hint="eastAsia" w:ascii="宋体" w:hAnsi="宋体" w:eastAsia="宋体" w:cs="宋体"/>
          <w:color w:val="231F20"/>
          <w:spacing w:val="-3"/>
          <w:sz w:val="22"/>
          <w:szCs w:val="22"/>
        </w:rPr>
        <w:t>呼吁“回到马克思”，世界各地兴起“马克思热”，世界社会主义运动迎来新的发展契机。习近平</w:t>
      </w:r>
      <w:r>
        <w:rPr>
          <w:rFonts w:hint="eastAsia" w:ascii="宋体" w:hAnsi="宋体" w:eastAsia="宋体" w:cs="宋体"/>
          <w:color w:val="231F20"/>
          <w:spacing w:val="9"/>
          <w:sz w:val="22"/>
          <w:szCs w:val="22"/>
        </w:rPr>
        <w:t>新时代中国特色社会主义思想准确把握人类发展的时代脉</w:t>
      </w:r>
      <w:r>
        <w:rPr>
          <w:rFonts w:hint="eastAsia" w:ascii="宋体" w:hAnsi="宋体" w:eastAsia="宋体" w:cs="宋体"/>
          <w:color w:val="231F20"/>
          <w:spacing w:val="8"/>
          <w:sz w:val="22"/>
          <w:szCs w:val="22"/>
        </w:rPr>
        <w:t>搏，提出构建人类命运共同体，以崭</w:t>
      </w:r>
      <w:r>
        <w:rPr>
          <w:rFonts w:hint="eastAsia" w:ascii="宋体" w:hAnsi="宋体" w:eastAsia="宋体" w:cs="宋体"/>
          <w:color w:val="231F20"/>
          <w:spacing w:val="9"/>
          <w:sz w:val="22"/>
          <w:szCs w:val="22"/>
        </w:rPr>
        <w:t>新的全球发展倡议、全球安全倡议、全球文明倡议、全球</w:t>
      </w:r>
      <w:r>
        <w:rPr>
          <w:rFonts w:hint="eastAsia" w:ascii="宋体" w:hAnsi="宋体" w:eastAsia="宋体" w:cs="宋体"/>
          <w:color w:val="231F20"/>
          <w:spacing w:val="8"/>
          <w:sz w:val="22"/>
          <w:szCs w:val="22"/>
        </w:rPr>
        <w:t>治理倡议推动人类社会进步的世界进</w:t>
      </w:r>
      <w:r>
        <w:rPr>
          <w:rFonts w:hint="eastAsia" w:ascii="宋体" w:hAnsi="宋体" w:eastAsia="宋体" w:cs="宋体"/>
          <w:color w:val="231F20"/>
          <w:spacing w:val="6"/>
          <w:sz w:val="22"/>
          <w:szCs w:val="22"/>
        </w:rPr>
        <w:t>程，为重塑人类文明进程提供了中国智慧和中国方案，为21世纪马克思主义发</w:t>
      </w:r>
      <w:r>
        <w:rPr>
          <w:rFonts w:hint="eastAsia" w:ascii="宋体" w:hAnsi="宋体" w:eastAsia="宋体" w:cs="宋体"/>
          <w:color w:val="231F20"/>
          <w:spacing w:val="5"/>
          <w:sz w:val="22"/>
          <w:szCs w:val="22"/>
        </w:rPr>
        <w:t>展描绘了最光明的未来图景。</w:t>
      </w:r>
      <w:r>
        <w:rPr>
          <w:rStyle w:val="20"/>
          <w:rFonts w:hint="eastAsia" w:ascii="宋体" w:hAnsi="宋体" w:eastAsia="宋体" w:cs="宋体"/>
          <w:color w:val="231F20"/>
          <w:spacing w:val="5"/>
          <w:sz w:val="22"/>
          <w:szCs w:val="22"/>
        </w:rPr>
        <w:footnoteReference w:id="1273"/>
      </w:r>
    </w:p>
    <w:p w14:paraId="5DB8269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4"/>
          <w:sz w:val="22"/>
          <w:szCs w:val="22"/>
        </w:rPr>
        <w:t>3.21世纪科学社会主义发展的中国贡献</w:t>
      </w:r>
    </w:p>
    <w:p w14:paraId="751AC70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4"/>
          <w:sz w:val="22"/>
          <w:szCs w:val="22"/>
        </w:rPr>
        <w:t>科学社会主义在21世纪的中国焕发出新的生机活力，中国没有辜负社会主义。习近平新时代中国特色社会主义思想持续为世界社会主义的发展贡献时代</w:t>
      </w:r>
      <w:r>
        <w:rPr>
          <w:rFonts w:hint="eastAsia" w:ascii="宋体" w:hAnsi="宋体" w:eastAsia="宋体" w:cs="宋体"/>
          <w:color w:val="231F20"/>
          <w:spacing w:val="3"/>
          <w:sz w:val="22"/>
          <w:szCs w:val="22"/>
        </w:rPr>
        <w:t>化的、可借鉴的“中国方案”。党</w:t>
      </w:r>
      <w:r>
        <w:rPr>
          <w:rFonts w:hint="eastAsia" w:ascii="宋体" w:hAnsi="宋体" w:eastAsia="宋体" w:cs="宋体"/>
          <w:color w:val="231F20"/>
          <w:spacing w:val="9"/>
          <w:sz w:val="22"/>
          <w:szCs w:val="22"/>
        </w:rPr>
        <w:t>的十八大以来，面对纷繁复杂的国际局势，以习近平同志</w:t>
      </w:r>
      <w:r>
        <w:rPr>
          <w:rFonts w:hint="eastAsia" w:ascii="宋体" w:hAnsi="宋体" w:eastAsia="宋体" w:cs="宋体"/>
          <w:color w:val="231F20"/>
          <w:spacing w:val="8"/>
          <w:sz w:val="22"/>
          <w:szCs w:val="22"/>
        </w:rPr>
        <w:t>为核心的党中央团结带领全党全国各</w:t>
      </w:r>
      <w:r>
        <w:rPr>
          <w:rFonts w:hint="eastAsia" w:ascii="宋体" w:hAnsi="宋体" w:eastAsia="宋体" w:cs="宋体"/>
          <w:color w:val="231F20"/>
          <w:spacing w:val="6"/>
          <w:sz w:val="22"/>
          <w:szCs w:val="22"/>
        </w:rPr>
        <w:t>族人民，坚持以习近平新时代中国特色社会主义思想为指</w:t>
      </w:r>
      <w:r>
        <w:rPr>
          <w:rFonts w:hint="eastAsia" w:ascii="宋体" w:hAnsi="宋体" w:eastAsia="宋体" w:cs="宋体"/>
          <w:color w:val="231F20"/>
          <w:spacing w:val="5"/>
          <w:sz w:val="22"/>
          <w:szCs w:val="22"/>
        </w:rPr>
        <w:t>导，开创了中国特色社会主义新时代，</w:t>
      </w:r>
      <w:r>
        <w:rPr>
          <w:rFonts w:hint="eastAsia" w:ascii="宋体" w:hAnsi="宋体" w:eastAsia="宋体" w:cs="宋体"/>
          <w:color w:val="231F20"/>
          <w:spacing w:val="2"/>
          <w:sz w:val="22"/>
          <w:szCs w:val="22"/>
        </w:rPr>
        <w:t>使中国特色社会主义成为21世纪科学社会主义发展的旗帜。新发展理念引领的“新四大发明”、</w:t>
      </w:r>
      <w:r>
        <w:rPr>
          <w:rFonts w:hint="eastAsia" w:ascii="宋体" w:hAnsi="宋体" w:eastAsia="宋体" w:cs="宋体"/>
          <w:color w:val="231F20"/>
          <w:spacing w:val="4"/>
          <w:sz w:val="22"/>
          <w:szCs w:val="22"/>
        </w:rPr>
        <w:t>全面建成小康社会对人类减贫事业作出的历史性贡献、抗击新</w:t>
      </w:r>
      <w:r>
        <w:rPr>
          <w:rFonts w:hint="eastAsia" w:ascii="宋体" w:hAnsi="宋体" w:eastAsia="宋体" w:cs="宋体"/>
          <w:color w:val="231F20"/>
          <w:spacing w:val="3"/>
          <w:sz w:val="22"/>
          <w:szCs w:val="22"/>
        </w:rPr>
        <w:t>冠疫情的伟大“人民战争”、新质</w:t>
      </w:r>
      <w:r>
        <w:rPr>
          <w:rFonts w:hint="eastAsia" w:ascii="宋体" w:hAnsi="宋体" w:eastAsia="宋体" w:cs="宋体"/>
          <w:color w:val="231F20"/>
          <w:spacing w:val="9"/>
          <w:sz w:val="22"/>
          <w:szCs w:val="22"/>
        </w:rPr>
        <w:t>生产力驱动的科技创新热潮……中国的发展成就为世界社</w:t>
      </w:r>
      <w:r>
        <w:rPr>
          <w:rFonts w:hint="eastAsia" w:ascii="宋体" w:hAnsi="宋体" w:eastAsia="宋体" w:cs="宋体"/>
          <w:color w:val="231F20"/>
          <w:spacing w:val="8"/>
          <w:sz w:val="22"/>
          <w:szCs w:val="22"/>
        </w:rPr>
        <w:t>会主义展现了鲜活的姿态，凸显了社</w:t>
      </w:r>
      <w:r>
        <w:rPr>
          <w:rFonts w:hint="eastAsia" w:ascii="宋体" w:hAnsi="宋体" w:eastAsia="宋体" w:cs="宋体"/>
          <w:color w:val="231F20"/>
          <w:spacing w:val="3"/>
          <w:sz w:val="22"/>
          <w:szCs w:val="22"/>
        </w:rPr>
        <w:t>会主义的制度优越性，为全球提供发展样板。</w:t>
      </w:r>
    </w:p>
    <w:p w14:paraId="79D16A3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中国特色社会主义进入新时代，党的创新理论不断被赋予世界历史含义，习近平新时</w:t>
      </w:r>
      <w:r>
        <w:rPr>
          <w:rFonts w:hint="eastAsia" w:ascii="宋体" w:hAnsi="宋体" w:eastAsia="宋体" w:cs="宋体"/>
          <w:color w:val="231F20"/>
          <w:spacing w:val="7"/>
          <w:sz w:val="22"/>
          <w:szCs w:val="22"/>
        </w:rPr>
        <w:t>代中</w:t>
      </w:r>
      <w:r>
        <w:rPr>
          <w:rFonts w:hint="eastAsia" w:ascii="宋体" w:hAnsi="宋体" w:eastAsia="宋体" w:cs="宋体"/>
          <w:color w:val="231F20"/>
          <w:spacing w:val="5"/>
          <w:sz w:val="22"/>
          <w:szCs w:val="22"/>
        </w:rPr>
        <w:t>国特色社会主义思想为21世纪马克思主义引领</w:t>
      </w:r>
      <w:r>
        <w:rPr>
          <w:rFonts w:hint="eastAsia" w:ascii="宋体" w:hAnsi="宋体" w:eastAsia="宋体" w:cs="宋体"/>
          <w:color w:val="231F20"/>
          <w:spacing w:val="4"/>
          <w:sz w:val="22"/>
          <w:szCs w:val="22"/>
        </w:rPr>
        <w:t>了时代方向。这是我们党第一次以“世纪”为尺</w:t>
      </w:r>
      <w:r>
        <w:rPr>
          <w:rFonts w:hint="eastAsia" w:ascii="宋体" w:hAnsi="宋体" w:eastAsia="宋体" w:cs="宋体"/>
          <w:color w:val="231F20"/>
          <w:spacing w:val="7"/>
          <w:sz w:val="22"/>
          <w:szCs w:val="22"/>
        </w:rPr>
        <w:t>度定义党的创新理论，21世纪马克思主义是对习近平新时代中国特色社</w:t>
      </w:r>
      <w:r>
        <w:rPr>
          <w:rFonts w:hint="eastAsia" w:ascii="宋体" w:hAnsi="宋体" w:eastAsia="宋体" w:cs="宋体"/>
          <w:color w:val="231F20"/>
          <w:spacing w:val="6"/>
          <w:sz w:val="22"/>
          <w:szCs w:val="22"/>
        </w:rPr>
        <w:t>会主义思想世界历史地位、对世界社会主义发展重大意义的时代判定，代表着马克思主义在21</w:t>
      </w:r>
      <w:r>
        <w:rPr>
          <w:rFonts w:hint="eastAsia" w:ascii="宋体" w:hAnsi="宋体" w:eastAsia="宋体" w:cs="宋体"/>
          <w:color w:val="231F20"/>
          <w:spacing w:val="5"/>
          <w:sz w:val="22"/>
          <w:szCs w:val="22"/>
        </w:rPr>
        <w:t>世纪当前阶段发展的最</w:t>
      </w:r>
      <w:r>
        <w:rPr>
          <w:rFonts w:hint="eastAsia" w:ascii="宋体" w:hAnsi="宋体" w:eastAsia="宋体" w:cs="宋体"/>
          <w:color w:val="231F20"/>
          <w:spacing w:val="-1"/>
          <w:sz w:val="22"/>
          <w:szCs w:val="22"/>
        </w:rPr>
        <w:t>高成就，是改变中国、影响世界、引领时代、独树一帜的马克思主义理论形态。</w:t>
      </w:r>
      <w:r>
        <w:rPr>
          <w:rStyle w:val="20"/>
          <w:rFonts w:hint="eastAsia" w:ascii="宋体" w:hAnsi="宋体" w:eastAsia="宋体" w:cs="宋体"/>
          <w:color w:val="231F20"/>
          <w:spacing w:val="-1"/>
          <w:sz w:val="22"/>
          <w:szCs w:val="22"/>
        </w:rPr>
        <w:footnoteReference w:id="1274"/>
      </w:r>
      <w:r>
        <w:rPr>
          <w:rFonts w:hint="eastAsia" w:ascii="宋体" w:hAnsi="宋体" w:eastAsia="宋体" w:cs="宋体"/>
          <w:color w:val="231F20"/>
          <w:spacing w:val="-1"/>
          <w:sz w:val="22"/>
          <w:szCs w:val="22"/>
        </w:rPr>
        <w:t>习近平</w:t>
      </w:r>
      <w:r>
        <w:rPr>
          <w:rFonts w:hint="eastAsia" w:ascii="宋体" w:hAnsi="宋体" w:eastAsia="宋体" w:cs="宋体"/>
          <w:color w:val="231F20"/>
          <w:spacing w:val="-2"/>
          <w:sz w:val="22"/>
          <w:szCs w:val="22"/>
        </w:rPr>
        <w:t>总书记指</w:t>
      </w:r>
      <w:r>
        <w:rPr>
          <w:rFonts w:hint="eastAsia" w:ascii="宋体" w:hAnsi="宋体" w:eastAsia="宋体" w:cs="宋体"/>
          <w:color w:val="231F20"/>
          <w:spacing w:val="-1"/>
          <w:sz w:val="22"/>
          <w:szCs w:val="22"/>
        </w:rPr>
        <w:t>出：“我们坚信，随着中国特色社会主义不断发</w:t>
      </w:r>
      <w:r>
        <w:rPr>
          <w:rFonts w:hint="eastAsia" w:ascii="宋体" w:hAnsi="宋体" w:eastAsia="宋体" w:cs="宋体"/>
          <w:color w:val="231F20"/>
          <w:spacing w:val="-2"/>
          <w:sz w:val="22"/>
          <w:szCs w:val="22"/>
        </w:rPr>
        <w:t>展，我们的制度必将越来越成熟，我国社会主义制</w:t>
      </w:r>
      <w:r>
        <w:rPr>
          <w:rFonts w:hint="eastAsia" w:ascii="宋体" w:hAnsi="宋体" w:eastAsia="宋体" w:cs="宋体"/>
          <w:color w:val="231F20"/>
          <w:spacing w:val="9"/>
          <w:sz w:val="22"/>
          <w:szCs w:val="22"/>
        </w:rPr>
        <w:t>度的优越性必将进一步显现，我们的道路必将越走越宽广</w:t>
      </w:r>
      <w:r>
        <w:rPr>
          <w:rFonts w:hint="eastAsia" w:ascii="宋体" w:hAnsi="宋体" w:eastAsia="宋体" w:cs="宋体"/>
          <w:color w:val="231F20"/>
          <w:spacing w:val="8"/>
          <w:sz w:val="22"/>
          <w:szCs w:val="22"/>
        </w:rPr>
        <w:t>，我国发展道路对世界的影响必将越</w:t>
      </w:r>
      <w:r>
        <w:rPr>
          <w:rFonts w:hint="eastAsia" w:ascii="宋体" w:hAnsi="宋体" w:eastAsia="宋体" w:cs="宋体"/>
          <w:color w:val="231F20"/>
          <w:spacing w:val="1"/>
          <w:sz w:val="22"/>
          <w:szCs w:val="22"/>
        </w:rPr>
        <w:t>来越大。”</w:t>
      </w:r>
      <w:r>
        <w:rPr>
          <w:rStyle w:val="20"/>
          <w:rFonts w:hint="eastAsia" w:ascii="宋体" w:hAnsi="宋体" w:eastAsia="宋体" w:cs="宋体"/>
          <w:color w:val="231F20"/>
          <w:spacing w:val="1"/>
          <w:sz w:val="22"/>
          <w:szCs w:val="22"/>
        </w:rPr>
        <w:footnoteReference w:id="1275"/>
      </w:r>
      <w:r>
        <w:rPr>
          <w:rFonts w:hint="eastAsia" w:ascii="宋体" w:hAnsi="宋体" w:eastAsia="宋体" w:cs="宋体"/>
          <w:color w:val="231F20"/>
          <w:spacing w:val="1"/>
          <w:sz w:val="22"/>
          <w:szCs w:val="22"/>
        </w:rPr>
        <w:t>新时代中国的发展成就，已经成为世界社会主义走向振兴</w:t>
      </w:r>
      <w:r>
        <w:rPr>
          <w:rFonts w:hint="eastAsia" w:ascii="宋体" w:hAnsi="宋体" w:eastAsia="宋体" w:cs="宋体"/>
          <w:color w:val="231F20"/>
          <w:sz w:val="22"/>
          <w:szCs w:val="22"/>
        </w:rPr>
        <w:t>的中流砥柱。</w:t>
      </w:r>
    </w:p>
    <w:p w14:paraId="04290E2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b/>
          <w:bCs/>
          <w:color w:val="231F20"/>
          <w:spacing w:val="7"/>
          <w:sz w:val="22"/>
          <w:szCs w:val="22"/>
        </w:rPr>
        <w:t>（三）中华文化和中国精神的时代精华彰显马克思主义时代化的中国特征</w:t>
      </w:r>
    </w:p>
    <w:p w14:paraId="69EAC4D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5"/>
          <w:sz w:val="22"/>
          <w:szCs w:val="22"/>
        </w:rPr>
        <w:t>1.中华优秀传统文化的时代阐释</w:t>
      </w:r>
    </w:p>
    <w:p w14:paraId="0F0A542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2"/>
          <w:sz w:val="22"/>
          <w:szCs w:val="22"/>
        </w:rPr>
        <w:t>习近平新时代中国特色社会主义思想是“两个结合”的重大成果，是中华优秀传统文化、红</w:t>
      </w:r>
      <w:r>
        <w:rPr>
          <w:rFonts w:hint="eastAsia" w:ascii="宋体" w:hAnsi="宋体" w:eastAsia="宋体" w:cs="宋体"/>
          <w:color w:val="231F20"/>
          <w:spacing w:val="5"/>
          <w:sz w:val="22"/>
          <w:szCs w:val="22"/>
        </w:rPr>
        <w:t>色革命文化、社会主义先进文化结合的光辉典范，是古老中国智慧和当代中国精神的完美体现，</w:t>
      </w:r>
      <w:r>
        <w:rPr>
          <w:rFonts w:hint="eastAsia" w:ascii="宋体" w:hAnsi="宋体" w:eastAsia="宋体" w:cs="宋体"/>
          <w:color w:val="231F20"/>
          <w:spacing w:val="12"/>
          <w:sz w:val="22"/>
          <w:szCs w:val="22"/>
        </w:rPr>
        <w:t>是我们不断取得胜利的时代法宝。习近平新时代中国特色社会主义思想坚持把马克思主义基</w:t>
      </w:r>
      <w:r>
        <w:rPr>
          <w:rFonts w:hint="eastAsia" w:ascii="宋体" w:hAnsi="宋体" w:eastAsia="宋体" w:cs="宋体"/>
          <w:color w:val="231F20"/>
          <w:spacing w:val="9"/>
          <w:sz w:val="22"/>
          <w:szCs w:val="22"/>
        </w:rPr>
        <w:t>本原理同中国具体实际相结合、同中华优秀传统文化相</w:t>
      </w:r>
      <w:r>
        <w:rPr>
          <w:rFonts w:hint="eastAsia" w:ascii="宋体" w:hAnsi="宋体" w:eastAsia="宋体" w:cs="宋体"/>
          <w:color w:val="231F20"/>
          <w:spacing w:val="8"/>
          <w:sz w:val="22"/>
          <w:szCs w:val="22"/>
        </w:rPr>
        <w:t>结合，彰显了新时代中国特色社会主义</w:t>
      </w:r>
      <w:r>
        <w:rPr>
          <w:rFonts w:hint="eastAsia" w:ascii="宋体" w:hAnsi="宋体" w:eastAsia="宋体" w:cs="宋体"/>
          <w:color w:val="231F20"/>
          <w:spacing w:val="-3"/>
          <w:sz w:val="22"/>
          <w:szCs w:val="22"/>
        </w:rPr>
        <w:t>的鲜明特征。新时代的中国，既有高新技术勃发的“赛博”场景，也有传统文化悠扬的“古风”意蕴；既有对外开放前沿的“国际”风貌，也有绿水青山民风质朴的“乡土”情愫。在习近平新时代</w:t>
      </w:r>
      <w:r>
        <w:rPr>
          <w:rFonts w:hint="eastAsia" w:ascii="宋体" w:hAnsi="宋体" w:eastAsia="宋体" w:cs="宋体"/>
          <w:color w:val="231F20"/>
          <w:sz w:val="22"/>
          <w:szCs w:val="22"/>
        </w:rPr>
        <w:t>中国特色社会主义思想“两个结合”指引下，新时代中国正将传统与现代、古典与科技完</w:t>
      </w:r>
      <w:r>
        <w:rPr>
          <w:rFonts w:hint="eastAsia" w:ascii="宋体" w:hAnsi="宋体" w:eastAsia="宋体" w:cs="宋体"/>
          <w:color w:val="231F20"/>
          <w:spacing w:val="-1"/>
          <w:sz w:val="22"/>
          <w:szCs w:val="22"/>
        </w:rPr>
        <w:t>美融合，</w:t>
      </w:r>
      <w:r>
        <w:rPr>
          <w:rFonts w:hint="eastAsia" w:ascii="宋体" w:hAnsi="宋体" w:eastAsia="宋体" w:cs="宋体"/>
          <w:color w:val="231F20"/>
          <w:spacing w:val="5"/>
          <w:sz w:val="22"/>
          <w:szCs w:val="22"/>
        </w:rPr>
        <w:t>汇聚历史与当下的一切积极力量，向更加伟大的目标迈进。</w:t>
      </w:r>
    </w:p>
    <w:p w14:paraId="20F664D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中华优秀传统文化在与新时代的交融中，历经创造性转化和创新性发</w:t>
      </w:r>
      <w:r>
        <w:rPr>
          <w:rFonts w:hint="eastAsia" w:ascii="宋体" w:hAnsi="宋体" w:eastAsia="宋体" w:cs="宋体"/>
          <w:color w:val="231F20"/>
          <w:spacing w:val="2"/>
          <w:sz w:val="22"/>
          <w:szCs w:val="22"/>
        </w:rPr>
        <w:t>展，迸发出新的生机活力，被赋予独特的时代内涵，展现出中华优秀传统文化与马克思主义结合的旺盛生命力。中华优</w:t>
      </w:r>
      <w:r>
        <w:rPr>
          <w:rFonts w:hint="eastAsia" w:ascii="宋体" w:hAnsi="宋体" w:eastAsia="宋体" w:cs="宋体"/>
          <w:color w:val="231F20"/>
          <w:spacing w:val="4"/>
          <w:sz w:val="22"/>
          <w:szCs w:val="22"/>
        </w:rPr>
        <w:t>秀传统文化历经五千年文明的深厚滋养，具有深邃的思想智慧</w:t>
      </w:r>
      <w:r>
        <w:rPr>
          <w:rFonts w:hint="eastAsia" w:ascii="宋体" w:hAnsi="宋体" w:eastAsia="宋体" w:cs="宋体"/>
          <w:color w:val="231F20"/>
          <w:spacing w:val="3"/>
          <w:sz w:val="22"/>
          <w:szCs w:val="22"/>
        </w:rPr>
        <w:t>和经世之道，对新时代全面建设社</w:t>
      </w:r>
      <w:r>
        <w:rPr>
          <w:rFonts w:hint="eastAsia" w:ascii="宋体" w:hAnsi="宋体" w:eastAsia="宋体" w:cs="宋体"/>
          <w:color w:val="231F20"/>
          <w:spacing w:val="4"/>
          <w:sz w:val="22"/>
          <w:szCs w:val="22"/>
        </w:rPr>
        <w:t>会主义现代化国家新征程具有重要的启示作用，也能够与红色</w:t>
      </w:r>
      <w:r>
        <w:rPr>
          <w:rFonts w:hint="eastAsia" w:ascii="宋体" w:hAnsi="宋体" w:eastAsia="宋体" w:cs="宋体"/>
          <w:color w:val="231F20"/>
          <w:spacing w:val="3"/>
          <w:sz w:val="22"/>
          <w:szCs w:val="22"/>
        </w:rPr>
        <w:t>革命文化、社会主义先进文化相结</w:t>
      </w:r>
      <w:r>
        <w:rPr>
          <w:rFonts w:hint="eastAsia" w:ascii="宋体" w:hAnsi="宋体" w:eastAsia="宋体" w:cs="宋体"/>
          <w:color w:val="231F20"/>
          <w:spacing w:val="-2"/>
          <w:sz w:val="22"/>
          <w:szCs w:val="22"/>
        </w:rPr>
        <w:t>合，进行转化发展，成为独具魅力的精神推动力。习近平总书记谈到：“</w:t>
      </w:r>
      <w:r>
        <w:rPr>
          <w:rFonts w:hint="eastAsia" w:ascii="宋体" w:hAnsi="宋体" w:eastAsia="宋体" w:cs="宋体"/>
          <w:color w:val="231F20"/>
          <w:spacing w:val="-3"/>
          <w:sz w:val="22"/>
          <w:szCs w:val="22"/>
        </w:rPr>
        <w:t>老祖宗传下来的优秀传统</w:t>
      </w:r>
      <w:r>
        <w:rPr>
          <w:rFonts w:hint="eastAsia" w:ascii="宋体" w:hAnsi="宋体" w:eastAsia="宋体" w:cs="宋体"/>
          <w:color w:val="231F20"/>
          <w:spacing w:val="-13"/>
          <w:sz w:val="22"/>
          <w:szCs w:val="22"/>
        </w:rPr>
        <w:t>文化，我们要继续攥在手里，与时俱进，让它发扬光大。”</w:t>
      </w:r>
      <w:r>
        <w:rPr>
          <w:rStyle w:val="20"/>
          <w:rFonts w:hint="eastAsia" w:ascii="宋体" w:hAnsi="宋体" w:eastAsia="宋体" w:cs="宋体"/>
          <w:color w:val="231F20"/>
          <w:spacing w:val="-13"/>
          <w:sz w:val="22"/>
          <w:szCs w:val="22"/>
        </w:rPr>
        <w:footnoteReference w:id="1276"/>
      </w:r>
      <w:r>
        <w:rPr>
          <w:rFonts w:hint="eastAsia" w:ascii="宋体" w:hAnsi="宋体" w:eastAsia="宋体" w:cs="宋体"/>
          <w:color w:val="231F20"/>
          <w:spacing w:val="-13"/>
          <w:sz w:val="22"/>
          <w:szCs w:val="22"/>
        </w:rPr>
        <w:t>人工智能、云计算、大数据、元</w:t>
      </w:r>
      <w:r>
        <w:rPr>
          <w:rFonts w:hint="eastAsia" w:ascii="宋体" w:hAnsi="宋体" w:eastAsia="宋体" w:cs="宋体"/>
          <w:color w:val="231F20"/>
          <w:spacing w:val="-14"/>
          <w:sz w:val="22"/>
          <w:szCs w:val="22"/>
        </w:rPr>
        <w:t>宇宙、全息</w:t>
      </w:r>
      <w:r>
        <w:rPr>
          <w:rFonts w:hint="eastAsia" w:ascii="宋体" w:hAnsi="宋体" w:eastAsia="宋体" w:cs="宋体"/>
          <w:color w:val="231F20"/>
          <w:spacing w:val="-5"/>
          <w:sz w:val="22"/>
          <w:szCs w:val="22"/>
        </w:rPr>
        <w:t>投影等技术的运用，为古老的文化赋予了“新生命”，推动中华优秀传统文化走向新时代。</w:t>
      </w:r>
    </w:p>
    <w:p w14:paraId="7C0C89D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4"/>
          <w:sz w:val="22"/>
          <w:szCs w:val="22"/>
        </w:rPr>
        <w:t>2.中国精神的新时代传颂</w:t>
      </w:r>
    </w:p>
    <w:p w14:paraId="2B89EEA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以爱国主义为核心的民族精神，作为中国精神的重要内容，是习近平新时代中国特色社会</w:t>
      </w:r>
      <w:r>
        <w:rPr>
          <w:rFonts w:hint="eastAsia" w:ascii="宋体" w:hAnsi="宋体" w:eastAsia="宋体" w:cs="宋体"/>
          <w:color w:val="231F20"/>
          <w:spacing w:val="7"/>
          <w:sz w:val="22"/>
          <w:szCs w:val="22"/>
        </w:rPr>
        <w:t>主义思想坚守不变的精神底色，是凝心聚力、实现中华民族伟大复兴的兴国之魂。习近平总书</w:t>
      </w:r>
      <w:r>
        <w:rPr>
          <w:rFonts w:hint="eastAsia" w:ascii="宋体" w:hAnsi="宋体" w:eastAsia="宋体" w:cs="宋体"/>
          <w:color w:val="231F20"/>
          <w:spacing w:val="6"/>
          <w:sz w:val="22"/>
          <w:szCs w:val="22"/>
        </w:rPr>
        <w:t>记在纪念中国人民抗日战争暨世界反法西斯战争胜利69周年座谈会上颂</w:t>
      </w:r>
      <w:r>
        <w:rPr>
          <w:rFonts w:hint="eastAsia" w:ascii="宋体" w:hAnsi="宋体" w:eastAsia="宋体" w:cs="宋体"/>
          <w:color w:val="231F20"/>
          <w:spacing w:val="5"/>
          <w:sz w:val="22"/>
          <w:szCs w:val="22"/>
        </w:rPr>
        <w:t>出屈原名句：“诚既勇</w:t>
      </w:r>
      <w:r>
        <w:rPr>
          <w:rFonts w:hint="eastAsia" w:ascii="宋体" w:hAnsi="宋体" w:eastAsia="宋体" w:cs="宋体"/>
          <w:color w:val="231F20"/>
          <w:spacing w:val="-1"/>
          <w:sz w:val="22"/>
          <w:szCs w:val="22"/>
        </w:rPr>
        <w:t>兮又以武，终刚强兮不可凌。身既死兮神以灵，魂魄毅兮为鬼雄。”</w:t>
      </w:r>
      <w:r>
        <w:rPr>
          <w:rStyle w:val="20"/>
          <w:rFonts w:hint="eastAsia" w:ascii="宋体" w:hAnsi="宋体" w:eastAsia="宋体" w:cs="宋体"/>
          <w:color w:val="231F20"/>
          <w:spacing w:val="-1"/>
          <w:sz w:val="22"/>
          <w:szCs w:val="22"/>
        </w:rPr>
        <w:footnoteReference w:id="1277"/>
      </w:r>
      <w:r>
        <w:rPr>
          <w:rFonts w:hint="eastAsia" w:ascii="宋体" w:hAnsi="宋体" w:eastAsia="宋体" w:cs="宋体"/>
          <w:color w:val="231F20"/>
          <w:spacing w:val="-1"/>
          <w:sz w:val="22"/>
          <w:szCs w:val="22"/>
        </w:rPr>
        <w:t>泱泱中华五千年文明，爱国</w:t>
      </w:r>
      <w:r>
        <w:rPr>
          <w:rFonts w:hint="eastAsia" w:ascii="宋体" w:hAnsi="宋体" w:eastAsia="宋体" w:cs="宋体"/>
          <w:color w:val="231F20"/>
          <w:spacing w:val="10"/>
          <w:sz w:val="22"/>
          <w:szCs w:val="22"/>
        </w:rPr>
        <w:t>主义是凝聚和引领文明古国战胜一个又一个艰难险阻，取得一个又一个崭新胜利的精神力量，</w:t>
      </w:r>
      <w:r>
        <w:rPr>
          <w:rFonts w:hint="eastAsia" w:ascii="宋体" w:hAnsi="宋体" w:eastAsia="宋体" w:cs="宋体"/>
          <w:color w:val="231F20"/>
          <w:spacing w:val="6"/>
          <w:sz w:val="22"/>
          <w:szCs w:val="22"/>
        </w:rPr>
        <w:t>作为支撑中华文明不断奋进的重要因素，也必将在新时代焕发新的光彩。</w:t>
      </w:r>
    </w:p>
    <w:p w14:paraId="5F4E1C6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以改革创新为核心的时代精神，作为中国精神的重要内容，是习近平新时代中国特色社会</w:t>
      </w:r>
      <w:r>
        <w:rPr>
          <w:rFonts w:hint="eastAsia" w:ascii="宋体" w:hAnsi="宋体" w:eastAsia="宋体" w:cs="宋体"/>
          <w:color w:val="231F20"/>
          <w:spacing w:val="9"/>
          <w:sz w:val="22"/>
          <w:szCs w:val="22"/>
        </w:rPr>
        <w:t>主义思想大力弘扬和传颂的时代主旋律，是凝心聚力、</w:t>
      </w:r>
      <w:r>
        <w:rPr>
          <w:rFonts w:hint="eastAsia" w:ascii="宋体" w:hAnsi="宋体" w:eastAsia="宋体" w:cs="宋体"/>
          <w:color w:val="231F20"/>
          <w:spacing w:val="8"/>
          <w:sz w:val="22"/>
          <w:szCs w:val="22"/>
        </w:rPr>
        <w:t>全面建设社会主义现代化国家的强国之</w:t>
      </w:r>
      <w:r>
        <w:rPr>
          <w:rFonts w:hint="eastAsia" w:ascii="宋体" w:hAnsi="宋体" w:eastAsia="宋体" w:cs="宋体"/>
          <w:color w:val="231F20"/>
          <w:spacing w:val="6"/>
          <w:sz w:val="22"/>
          <w:szCs w:val="22"/>
        </w:rPr>
        <w:t>魂。改革创新是新时代中国特色社会主义发展的根本动力。习近平总书记指出：“实现新时代</w:t>
      </w:r>
      <w:r>
        <w:rPr>
          <w:rFonts w:hint="eastAsia" w:ascii="宋体" w:hAnsi="宋体" w:eastAsia="宋体" w:cs="宋体"/>
          <w:color w:val="231F20"/>
          <w:sz w:val="22"/>
          <w:szCs w:val="22"/>
        </w:rPr>
        <w:t>新征程的目标任务，要把全面深化改革作为推进中国式现代化的根本动力。”</w:t>
      </w:r>
      <w:r>
        <w:rPr>
          <w:rStyle w:val="20"/>
          <w:rFonts w:hint="eastAsia" w:ascii="宋体" w:hAnsi="宋体" w:eastAsia="宋体" w:cs="宋体"/>
          <w:color w:val="231F20"/>
          <w:sz w:val="22"/>
          <w:szCs w:val="22"/>
        </w:rPr>
        <w:footnoteReference w:id="1278"/>
      </w:r>
      <w:r>
        <w:rPr>
          <w:rFonts w:hint="eastAsia" w:ascii="宋体" w:hAnsi="宋体" w:eastAsia="宋体" w:cs="宋体"/>
          <w:color w:val="231F20"/>
          <w:sz w:val="22"/>
          <w:szCs w:val="22"/>
        </w:rPr>
        <w:t>“创新是一个民族进步的灵魂，是一个国家兴旺发达的不竭动力，也是中华民族最深沉的民族禀赋</w:t>
      </w:r>
      <w:r>
        <w:rPr>
          <w:rFonts w:hint="eastAsia" w:ascii="宋体" w:hAnsi="宋体" w:eastAsia="宋体" w:cs="宋体"/>
          <w:color w:val="231F20"/>
          <w:spacing w:val="-1"/>
          <w:sz w:val="22"/>
          <w:szCs w:val="22"/>
        </w:rPr>
        <w:t>。”</w:t>
      </w:r>
      <w:r>
        <w:rPr>
          <w:rStyle w:val="20"/>
          <w:rFonts w:hint="eastAsia" w:ascii="宋体" w:hAnsi="宋体" w:eastAsia="宋体" w:cs="宋体"/>
          <w:color w:val="231F20"/>
          <w:spacing w:val="-1"/>
          <w:sz w:val="22"/>
          <w:szCs w:val="22"/>
        </w:rPr>
        <w:footnoteReference w:id="1279"/>
      </w:r>
      <w:r>
        <w:rPr>
          <w:rFonts w:hint="eastAsia" w:ascii="宋体" w:hAnsi="宋体" w:eastAsia="宋体" w:cs="宋体"/>
          <w:color w:val="231F20"/>
          <w:spacing w:val="-1"/>
          <w:sz w:val="22"/>
          <w:szCs w:val="22"/>
        </w:rPr>
        <w:t>改革创新作</w:t>
      </w:r>
      <w:r>
        <w:rPr>
          <w:rFonts w:hint="eastAsia" w:ascii="宋体" w:hAnsi="宋体" w:eastAsia="宋体" w:cs="宋体"/>
          <w:color w:val="231F20"/>
          <w:spacing w:val="9"/>
          <w:sz w:val="22"/>
          <w:szCs w:val="22"/>
        </w:rPr>
        <w:t>为动力源泉，体现了新时代中国特色社会主义奋发向上</w:t>
      </w:r>
      <w:r>
        <w:rPr>
          <w:rFonts w:hint="eastAsia" w:ascii="宋体" w:hAnsi="宋体" w:eastAsia="宋体" w:cs="宋体"/>
          <w:color w:val="231F20"/>
          <w:spacing w:val="8"/>
          <w:sz w:val="22"/>
          <w:szCs w:val="22"/>
        </w:rPr>
        <w:t>的时代内核，是习近平新时代中国特色</w:t>
      </w:r>
      <w:r>
        <w:rPr>
          <w:rFonts w:hint="eastAsia" w:ascii="宋体" w:hAnsi="宋体" w:eastAsia="宋体" w:cs="宋体"/>
          <w:color w:val="231F20"/>
          <w:spacing w:val="4"/>
          <w:sz w:val="22"/>
          <w:szCs w:val="22"/>
        </w:rPr>
        <w:t>社会主义思想“敢于说前人没有说过的新话，敢于干前人没</w:t>
      </w:r>
      <w:r>
        <w:rPr>
          <w:rFonts w:hint="eastAsia" w:ascii="宋体" w:hAnsi="宋体" w:eastAsia="宋体" w:cs="宋体"/>
          <w:color w:val="231F20"/>
          <w:spacing w:val="3"/>
          <w:sz w:val="22"/>
          <w:szCs w:val="22"/>
        </w:rPr>
        <w:t>有干过的事情，以新的理论指导新的</w:t>
      </w:r>
      <w:r>
        <w:rPr>
          <w:rFonts w:hint="eastAsia" w:ascii="宋体" w:hAnsi="宋体" w:eastAsia="宋体" w:cs="宋体"/>
          <w:color w:val="231F20"/>
          <w:spacing w:val="-8"/>
          <w:sz w:val="22"/>
          <w:szCs w:val="22"/>
        </w:rPr>
        <w:t>实践”</w:t>
      </w:r>
      <w:r>
        <w:rPr>
          <w:rStyle w:val="20"/>
          <w:rFonts w:hint="eastAsia" w:ascii="宋体" w:hAnsi="宋体" w:eastAsia="宋体" w:cs="宋体"/>
          <w:color w:val="231F20"/>
          <w:spacing w:val="-8"/>
          <w:sz w:val="22"/>
          <w:szCs w:val="22"/>
        </w:rPr>
        <w:footnoteReference w:id="1280"/>
      </w:r>
      <w:r>
        <w:rPr>
          <w:rFonts w:hint="eastAsia" w:ascii="宋体" w:hAnsi="宋体" w:eastAsia="宋体" w:cs="宋体"/>
          <w:color w:val="231F20"/>
          <w:spacing w:val="-8"/>
          <w:sz w:val="22"/>
          <w:szCs w:val="22"/>
        </w:rPr>
        <w:t>的生动写照。</w:t>
      </w:r>
    </w:p>
    <w:p w14:paraId="5F978C4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5"/>
          <w:sz w:val="22"/>
          <w:szCs w:val="22"/>
        </w:rPr>
        <w:t>3.民族复兴伟业的时代指引</w:t>
      </w:r>
    </w:p>
    <w:p w14:paraId="5A1FBC5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中华民族伟大复兴进入关键时期，习近平新时代中国特色社会主义思想是推动中华民</w:t>
      </w:r>
      <w:r>
        <w:rPr>
          <w:rFonts w:hint="eastAsia" w:ascii="宋体" w:hAnsi="宋体" w:eastAsia="宋体" w:cs="宋体"/>
          <w:color w:val="231F20"/>
          <w:spacing w:val="7"/>
          <w:sz w:val="22"/>
          <w:szCs w:val="22"/>
        </w:rPr>
        <w:t>族实</w:t>
      </w:r>
      <w:r>
        <w:rPr>
          <w:rFonts w:hint="eastAsia" w:ascii="宋体" w:hAnsi="宋体" w:eastAsia="宋体" w:cs="宋体"/>
          <w:color w:val="231F20"/>
          <w:spacing w:val="9"/>
          <w:sz w:val="22"/>
          <w:szCs w:val="22"/>
        </w:rPr>
        <w:t>现近代以来全体人民共同梦想的理论和实践指南，是实现</w:t>
      </w:r>
      <w:r>
        <w:rPr>
          <w:rFonts w:hint="eastAsia" w:ascii="宋体" w:hAnsi="宋体" w:eastAsia="宋体" w:cs="宋体"/>
          <w:color w:val="231F20"/>
          <w:spacing w:val="8"/>
          <w:sz w:val="22"/>
          <w:szCs w:val="22"/>
        </w:rPr>
        <w:t>强国建设和复兴伟业的不可替代的时</w:t>
      </w:r>
      <w:r>
        <w:rPr>
          <w:rFonts w:hint="eastAsia" w:ascii="宋体" w:hAnsi="宋体" w:eastAsia="宋体" w:cs="宋体"/>
          <w:color w:val="231F20"/>
          <w:spacing w:val="3"/>
          <w:sz w:val="22"/>
          <w:szCs w:val="22"/>
        </w:rPr>
        <w:t>代“助推器”。近代以来，中华民族走上了寻求民族复兴的曲折之路。正是在一个又一个与</w:t>
      </w:r>
      <w:r>
        <w:rPr>
          <w:rFonts w:hint="eastAsia" w:ascii="宋体" w:hAnsi="宋体" w:eastAsia="宋体" w:cs="宋体"/>
          <w:color w:val="231F20"/>
          <w:spacing w:val="2"/>
          <w:sz w:val="22"/>
          <w:szCs w:val="22"/>
        </w:rPr>
        <w:t>马克</w:t>
      </w:r>
      <w:r>
        <w:rPr>
          <w:rFonts w:hint="eastAsia" w:ascii="宋体" w:hAnsi="宋体" w:eastAsia="宋体" w:cs="宋体"/>
          <w:color w:val="231F20"/>
          <w:spacing w:val="9"/>
          <w:sz w:val="22"/>
          <w:szCs w:val="22"/>
        </w:rPr>
        <w:t>思主义中国化时代化进程高度契合的党的创新理论的指引</w:t>
      </w:r>
      <w:r>
        <w:rPr>
          <w:rFonts w:hint="eastAsia" w:ascii="宋体" w:hAnsi="宋体" w:eastAsia="宋体" w:cs="宋体"/>
          <w:color w:val="231F20"/>
          <w:spacing w:val="8"/>
          <w:sz w:val="22"/>
          <w:szCs w:val="22"/>
        </w:rPr>
        <w:t>下，党和国家完成了从站起来、富起</w:t>
      </w:r>
      <w:r>
        <w:rPr>
          <w:rFonts w:hint="eastAsia" w:ascii="宋体" w:hAnsi="宋体" w:eastAsia="宋体" w:cs="宋体"/>
          <w:color w:val="231F20"/>
          <w:spacing w:val="4"/>
          <w:sz w:val="22"/>
          <w:szCs w:val="22"/>
        </w:rPr>
        <w:t>来到强起来的伟大飞跃，民族复兴伟业迎来了历史“窗口期”</w:t>
      </w:r>
      <w:r>
        <w:rPr>
          <w:rFonts w:hint="eastAsia" w:ascii="宋体" w:hAnsi="宋体" w:eastAsia="宋体" w:cs="宋体"/>
          <w:color w:val="231F20"/>
          <w:spacing w:val="3"/>
          <w:sz w:val="22"/>
          <w:szCs w:val="22"/>
        </w:rPr>
        <w:t>。我们拥有过去不具备的良好发展</w:t>
      </w:r>
      <w:r>
        <w:rPr>
          <w:rFonts w:hint="eastAsia" w:ascii="宋体" w:hAnsi="宋体" w:eastAsia="宋体" w:cs="宋体"/>
          <w:color w:val="231F20"/>
          <w:spacing w:val="4"/>
          <w:sz w:val="22"/>
          <w:szCs w:val="22"/>
        </w:rPr>
        <w:t>条件，也面临前所未有的发展问题和挑战，习近平新时代中国</w:t>
      </w:r>
      <w:r>
        <w:rPr>
          <w:rFonts w:hint="eastAsia" w:ascii="宋体" w:hAnsi="宋体" w:eastAsia="宋体" w:cs="宋体"/>
          <w:color w:val="231F20"/>
          <w:spacing w:val="3"/>
          <w:sz w:val="22"/>
          <w:szCs w:val="22"/>
        </w:rPr>
        <w:t>特色社会主义思想，正是新时代面</w:t>
      </w:r>
      <w:r>
        <w:rPr>
          <w:rFonts w:hint="eastAsia" w:ascii="宋体" w:hAnsi="宋体" w:eastAsia="宋体" w:cs="宋体"/>
          <w:color w:val="231F20"/>
          <w:spacing w:val="6"/>
          <w:sz w:val="22"/>
          <w:szCs w:val="22"/>
        </w:rPr>
        <w:t>对新的机遇和挑战、实现中华民族伟大复兴的坚实行动指南和科学发展战略。</w:t>
      </w:r>
    </w:p>
    <w:p w14:paraId="46DD99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15"/>
          <w:sz w:val="22"/>
          <w:szCs w:val="22"/>
        </w:rPr>
        <w:t>中华民族伟大复兴是党、国家和人民的共同夙愿，是全体中华儿女日夜期盼的中国梦。</w:t>
      </w:r>
      <w:r>
        <w:rPr>
          <w:rFonts w:hint="eastAsia" w:ascii="宋体" w:hAnsi="宋体" w:eastAsia="宋体" w:cs="宋体"/>
          <w:color w:val="231F20"/>
          <w:spacing w:val="11"/>
          <w:sz w:val="22"/>
          <w:szCs w:val="22"/>
        </w:rPr>
        <w:t>习近平新时代中国特色社会主义思想是以人民为中</w:t>
      </w:r>
      <w:r>
        <w:rPr>
          <w:rFonts w:hint="eastAsia" w:ascii="宋体" w:hAnsi="宋体" w:eastAsia="宋体" w:cs="宋体"/>
          <w:color w:val="231F20"/>
          <w:spacing w:val="10"/>
          <w:sz w:val="22"/>
          <w:szCs w:val="22"/>
        </w:rPr>
        <w:t>心、凝聚人民力量的思想伟力和时代之声。</w:t>
      </w:r>
      <w:r>
        <w:rPr>
          <w:rFonts w:hint="eastAsia" w:ascii="宋体" w:hAnsi="宋体" w:eastAsia="宋体" w:cs="宋体"/>
          <w:color w:val="231F20"/>
          <w:spacing w:val="2"/>
          <w:sz w:val="22"/>
          <w:szCs w:val="22"/>
        </w:rPr>
        <w:t>中国梦是每个人民的梦。习近平总书记指出：“中国梦归根到底是人民的梦，必须紧紧依靠人民</w:t>
      </w:r>
      <w:r>
        <w:rPr>
          <w:rFonts w:hint="eastAsia" w:ascii="宋体" w:hAnsi="宋体" w:eastAsia="宋体" w:cs="宋体"/>
          <w:color w:val="231F20"/>
          <w:spacing w:val="4"/>
          <w:sz w:val="22"/>
          <w:szCs w:val="22"/>
        </w:rPr>
        <w:t>来实现，必须不断为人民造福。”</w:t>
      </w:r>
      <w:r>
        <w:rPr>
          <w:rStyle w:val="20"/>
          <w:rFonts w:hint="eastAsia" w:ascii="宋体" w:hAnsi="宋体" w:eastAsia="宋体" w:cs="宋体"/>
          <w:color w:val="231F20"/>
          <w:spacing w:val="4"/>
          <w:sz w:val="22"/>
          <w:szCs w:val="22"/>
        </w:rPr>
        <w:footnoteReference w:id="1281"/>
      </w:r>
      <w:r>
        <w:rPr>
          <w:rFonts w:hint="eastAsia" w:ascii="宋体" w:hAnsi="宋体" w:eastAsia="宋体" w:cs="宋体"/>
          <w:color w:val="231F20"/>
          <w:spacing w:val="4"/>
          <w:sz w:val="22"/>
          <w:szCs w:val="22"/>
        </w:rPr>
        <w:t>习近平新时代中国特色社会主义思想坚持以人民为中心的方</w:t>
      </w:r>
      <w:r>
        <w:rPr>
          <w:rFonts w:hint="eastAsia" w:ascii="宋体" w:hAnsi="宋体" w:eastAsia="宋体" w:cs="宋体"/>
          <w:color w:val="231F20"/>
          <w:spacing w:val="-7"/>
          <w:sz w:val="22"/>
          <w:szCs w:val="22"/>
        </w:rPr>
        <w:t>法论原则，并将其贯穿整个理论体系，将“为人民服务”的永恒宗旨，具体化为“人民至上”的时代</w:t>
      </w:r>
      <w:r>
        <w:rPr>
          <w:rFonts w:hint="eastAsia" w:ascii="宋体" w:hAnsi="宋体" w:eastAsia="宋体" w:cs="宋体"/>
          <w:color w:val="231F20"/>
          <w:spacing w:val="4"/>
          <w:sz w:val="22"/>
          <w:szCs w:val="22"/>
        </w:rPr>
        <w:t>要求，为中华民族伟大复兴注入了磅礴的人民力量。</w:t>
      </w:r>
    </w:p>
    <w:p w14:paraId="12B5BA7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77" w:firstLineChars="200"/>
        <w:jc w:val="both"/>
        <w:textAlignment w:val="baseline"/>
        <w:outlineLvl w:val="9"/>
        <w:rPr>
          <w:rFonts w:hint="eastAsia" w:ascii="宋体" w:hAnsi="宋体" w:eastAsia="宋体" w:cs="宋体"/>
          <w:b/>
          <w:bCs/>
          <w:sz w:val="28"/>
          <w:szCs w:val="28"/>
        </w:rPr>
      </w:pPr>
      <w:r>
        <w:rPr>
          <w:rFonts w:hint="eastAsia" w:ascii="宋体" w:hAnsi="宋体" w:eastAsia="宋体" w:cs="宋体"/>
          <w:b/>
          <w:bCs/>
          <w:color w:val="231F20"/>
          <w:spacing w:val="4"/>
          <w:sz w:val="28"/>
          <w:szCs w:val="28"/>
        </w:rPr>
        <w:t>三、本土化与多样化相统一是马克思主义时代化的前进方向</w:t>
      </w:r>
    </w:p>
    <w:p w14:paraId="42D4FE2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2"/>
          <w:sz w:val="22"/>
          <w:szCs w:val="22"/>
        </w:rPr>
        <w:t>恩格斯指出：“马克思的整个世界观不是教义，而是方法。它提供的不是现成的教条，而是</w:t>
      </w:r>
      <w:r>
        <w:rPr>
          <w:rFonts w:hint="eastAsia" w:ascii="宋体" w:hAnsi="宋体" w:eastAsia="宋体" w:cs="宋体"/>
          <w:color w:val="231F20"/>
          <w:spacing w:val="4"/>
          <w:sz w:val="22"/>
          <w:szCs w:val="22"/>
        </w:rPr>
        <w:t>进一步研究的出发点和供这种研究使用的方法。”</w:t>
      </w:r>
      <w:r>
        <w:rPr>
          <w:rStyle w:val="20"/>
          <w:rFonts w:hint="eastAsia" w:ascii="宋体" w:hAnsi="宋体" w:eastAsia="宋体" w:cs="宋体"/>
          <w:color w:val="231F20"/>
          <w:spacing w:val="4"/>
          <w:sz w:val="22"/>
          <w:szCs w:val="22"/>
        </w:rPr>
        <w:footnoteReference w:id="1282"/>
      </w:r>
      <w:r>
        <w:rPr>
          <w:rFonts w:hint="eastAsia" w:ascii="宋体" w:hAnsi="宋体" w:eastAsia="宋体" w:cs="宋体"/>
          <w:color w:val="231F20"/>
          <w:spacing w:val="4"/>
          <w:sz w:val="22"/>
          <w:szCs w:val="22"/>
        </w:rPr>
        <w:t>世界社会主义走过</w:t>
      </w:r>
      <w:r>
        <w:rPr>
          <w:rFonts w:hint="eastAsia" w:ascii="宋体" w:hAnsi="宋体" w:eastAsia="宋体" w:cs="宋体"/>
          <w:color w:val="231F20"/>
          <w:spacing w:val="3"/>
          <w:sz w:val="22"/>
          <w:szCs w:val="22"/>
        </w:rPr>
        <w:t>波澜壮阔的500年，既有</w:t>
      </w:r>
      <w:r>
        <w:rPr>
          <w:rFonts w:hint="eastAsia" w:ascii="宋体" w:hAnsi="宋体" w:eastAsia="宋体" w:cs="宋体"/>
          <w:color w:val="231F20"/>
          <w:spacing w:val="4"/>
          <w:sz w:val="22"/>
          <w:szCs w:val="22"/>
        </w:rPr>
        <w:t>革命的辉煌时期，也有隐忍的低谷阶段，其发展与国际经</w:t>
      </w:r>
      <w:r>
        <w:rPr>
          <w:rFonts w:hint="eastAsia" w:ascii="宋体" w:hAnsi="宋体" w:eastAsia="宋体" w:cs="宋体"/>
          <w:color w:val="231F20"/>
          <w:spacing w:val="3"/>
          <w:sz w:val="22"/>
          <w:szCs w:val="22"/>
        </w:rPr>
        <w:t>济政治格局的剧烈变动密切相关，推动</w:t>
      </w:r>
      <w:r>
        <w:rPr>
          <w:rFonts w:hint="eastAsia" w:ascii="宋体" w:hAnsi="宋体" w:eastAsia="宋体" w:cs="宋体"/>
          <w:color w:val="231F20"/>
          <w:spacing w:val="7"/>
          <w:sz w:val="22"/>
          <w:szCs w:val="22"/>
        </w:rPr>
        <w:t>马克思主义随时代不断前行。</w:t>
      </w:r>
      <w:r>
        <w:rPr>
          <w:rStyle w:val="20"/>
          <w:rFonts w:hint="eastAsia" w:ascii="宋体" w:hAnsi="宋体" w:eastAsia="宋体" w:cs="宋体"/>
          <w:color w:val="231F20"/>
          <w:spacing w:val="7"/>
          <w:sz w:val="22"/>
          <w:szCs w:val="22"/>
        </w:rPr>
        <w:footnoteReference w:id="1283"/>
      </w:r>
      <w:r>
        <w:rPr>
          <w:rFonts w:hint="eastAsia" w:ascii="宋体" w:hAnsi="宋体" w:eastAsia="宋体" w:cs="宋体"/>
          <w:color w:val="231F20"/>
          <w:spacing w:val="7"/>
          <w:sz w:val="22"/>
          <w:szCs w:val="22"/>
        </w:rPr>
        <w:t>21世纪的第三个十年，对于世界社会主义发展前</w:t>
      </w:r>
      <w:r>
        <w:rPr>
          <w:rFonts w:hint="eastAsia" w:ascii="宋体" w:hAnsi="宋体" w:eastAsia="宋体" w:cs="宋体"/>
          <w:color w:val="231F20"/>
          <w:spacing w:val="6"/>
          <w:sz w:val="22"/>
          <w:szCs w:val="22"/>
        </w:rPr>
        <w:t>路，对于马克</w:t>
      </w:r>
      <w:r>
        <w:rPr>
          <w:rFonts w:hint="eastAsia" w:ascii="宋体" w:hAnsi="宋体" w:eastAsia="宋体" w:cs="宋体"/>
          <w:color w:val="231F20"/>
          <w:spacing w:val="3"/>
          <w:sz w:val="22"/>
          <w:szCs w:val="22"/>
        </w:rPr>
        <w:t>思主义时代化的历史进程，显得尤为关键。</w:t>
      </w:r>
    </w:p>
    <w:p w14:paraId="21A09F7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2"/>
          <w:sz w:val="22"/>
          <w:szCs w:val="22"/>
        </w:rPr>
        <w:t>习近平总书记在致“中国共产党与世界马克思主义政党论坛”的贺信中指出：“马克思主义</w:t>
      </w:r>
      <w:r>
        <w:rPr>
          <w:rFonts w:hint="eastAsia" w:ascii="宋体" w:hAnsi="宋体" w:eastAsia="宋体" w:cs="宋体"/>
          <w:color w:val="231F20"/>
          <w:spacing w:val="8"/>
          <w:sz w:val="22"/>
          <w:szCs w:val="22"/>
        </w:rPr>
        <w:t>是不断发展的开放的理论，本土化才能落地生根，时代化才能充满生机。在各</w:t>
      </w:r>
      <w:r>
        <w:rPr>
          <w:rFonts w:hint="eastAsia" w:ascii="宋体" w:hAnsi="宋体" w:eastAsia="宋体" w:cs="宋体"/>
          <w:color w:val="231F20"/>
          <w:spacing w:val="7"/>
          <w:sz w:val="22"/>
          <w:szCs w:val="22"/>
        </w:rPr>
        <w:t>国马克思主义政</w:t>
      </w:r>
      <w:r>
        <w:rPr>
          <w:rFonts w:hint="eastAsia" w:ascii="宋体" w:hAnsi="宋体" w:eastAsia="宋体" w:cs="宋体"/>
          <w:color w:val="231F20"/>
          <w:spacing w:val="4"/>
          <w:sz w:val="22"/>
          <w:szCs w:val="22"/>
        </w:rPr>
        <w:t>党艰辛探索和共同努力下，二十一世纪的马克思主义不断开</w:t>
      </w:r>
      <w:r>
        <w:rPr>
          <w:rFonts w:hint="eastAsia" w:ascii="宋体" w:hAnsi="宋体" w:eastAsia="宋体" w:cs="宋体"/>
          <w:color w:val="231F20"/>
          <w:spacing w:val="3"/>
          <w:sz w:val="22"/>
          <w:szCs w:val="22"/>
        </w:rPr>
        <w:t>辟新境界、展现新气象，日益焕发出</w:t>
      </w:r>
      <w:r>
        <w:rPr>
          <w:rFonts w:hint="eastAsia" w:ascii="宋体" w:hAnsi="宋体" w:eastAsia="宋体" w:cs="宋体"/>
          <w:color w:val="231F20"/>
          <w:spacing w:val="-5"/>
          <w:sz w:val="22"/>
          <w:szCs w:val="22"/>
        </w:rPr>
        <w:t>新的活力。”</w:t>
      </w:r>
      <w:r>
        <w:rPr>
          <w:rStyle w:val="20"/>
          <w:rFonts w:hint="eastAsia" w:ascii="宋体" w:hAnsi="宋体" w:eastAsia="宋体" w:cs="宋体"/>
          <w:color w:val="231F20"/>
          <w:spacing w:val="-5"/>
          <w:sz w:val="22"/>
          <w:szCs w:val="22"/>
        </w:rPr>
        <w:footnoteReference w:id="1284"/>
      </w:r>
      <w:r>
        <w:rPr>
          <w:rFonts w:hint="eastAsia" w:ascii="宋体" w:hAnsi="宋体" w:eastAsia="宋体" w:cs="宋体"/>
          <w:color w:val="231F20"/>
          <w:spacing w:val="-5"/>
          <w:sz w:val="22"/>
          <w:szCs w:val="22"/>
        </w:rPr>
        <w:t>同时强调，“对待马克思主义，不能采取教条主义的态度，也不能采取实</w:t>
      </w:r>
      <w:r>
        <w:rPr>
          <w:rFonts w:hint="eastAsia" w:ascii="宋体" w:hAnsi="宋体" w:eastAsia="宋体" w:cs="宋体"/>
          <w:color w:val="231F20"/>
          <w:spacing w:val="-6"/>
          <w:sz w:val="22"/>
          <w:szCs w:val="22"/>
        </w:rPr>
        <w:t>用主义的态</w:t>
      </w:r>
      <w:r>
        <w:rPr>
          <w:rFonts w:hint="eastAsia" w:ascii="宋体" w:hAnsi="宋体" w:eastAsia="宋体" w:cs="宋体"/>
          <w:color w:val="231F20"/>
          <w:spacing w:val="8"/>
          <w:sz w:val="22"/>
          <w:szCs w:val="22"/>
        </w:rPr>
        <w:t>度。如果不顾历史条件和现实情况变化，拘泥于马克思主义经典作家在特定历</w:t>
      </w:r>
      <w:r>
        <w:rPr>
          <w:rFonts w:hint="eastAsia" w:ascii="宋体" w:hAnsi="宋体" w:eastAsia="宋体" w:cs="宋体"/>
          <w:color w:val="231F20"/>
          <w:spacing w:val="7"/>
          <w:sz w:val="22"/>
          <w:szCs w:val="22"/>
        </w:rPr>
        <w:t>史条件下、针对</w:t>
      </w:r>
      <w:r>
        <w:rPr>
          <w:rFonts w:hint="eastAsia" w:ascii="宋体" w:hAnsi="宋体" w:eastAsia="宋体" w:cs="宋体"/>
          <w:color w:val="231F20"/>
          <w:spacing w:val="10"/>
          <w:sz w:val="22"/>
          <w:szCs w:val="22"/>
        </w:rPr>
        <w:t>具体情况作出的某些个别论断和具体行动纲领，我们就会因为思想脱离实际而不能顺利前进，</w:t>
      </w:r>
      <w:r>
        <w:rPr>
          <w:rFonts w:hint="eastAsia" w:ascii="宋体" w:hAnsi="宋体" w:eastAsia="宋体" w:cs="宋体"/>
          <w:color w:val="231F20"/>
          <w:spacing w:val="5"/>
          <w:sz w:val="22"/>
          <w:szCs w:val="22"/>
        </w:rPr>
        <w:t>甚至发生失误。”</w:t>
      </w:r>
      <w:r>
        <w:rPr>
          <w:rStyle w:val="20"/>
          <w:rFonts w:hint="eastAsia" w:ascii="宋体" w:hAnsi="宋体" w:eastAsia="宋体" w:cs="宋体"/>
          <w:color w:val="231F20"/>
          <w:spacing w:val="5"/>
          <w:sz w:val="22"/>
          <w:szCs w:val="22"/>
        </w:rPr>
        <w:footnoteReference w:id="1285"/>
      </w:r>
      <w:r>
        <w:rPr>
          <w:rFonts w:hint="eastAsia" w:ascii="宋体" w:hAnsi="宋体" w:eastAsia="宋体" w:cs="宋体"/>
          <w:color w:val="231F20"/>
          <w:spacing w:val="5"/>
          <w:sz w:val="22"/>
          <w:szCs w:val="22"/>
        </w:rPr>
        <w:t>这些科学论断为马克思主义的时代化</w:t>
      </w:r>
      <w:r>
        <w:rPr>
          <w:rFonts w:hint="eastAsia" w:ascii="宋体" w:hAnsi="宋体" w:eastAsia="宋体" w:cs="宋体"/>
          <w:color w:val="231F20"/>
          <w:spacing w:val="4"/>
          <w:sz w:val="22"/>
          <w:szCs w:val="22"/>
        </w:rPr>
        <w:t>与本土化指明了必须坚持本土化和多样</w:t>
      </w:r>
      <w:r>
        <w:rPr>
          <w:rFonts w:hint="eastAsia" w:ascii="宋体" w:hAnsi="宋体" w:eastAsia="宋体" w:cs="宋体"/>
          <w:color w:val="231F20"/>
          <w:spacing w:val="8"/>
          <w:sz w:val="22"/>
          <w:szCs w:val="22"/>
        </w:rPr>
        <w:t>化相统一的前进方向。</w:t>
      </w:r>
    </w:p>
    <w:p w14:paraId="17EA7D2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6"/>
          <w:sz w:val="22"/>
          <w:szCs w:val="22"/>
        </w:rPr>
        <w:t>（一）本土化释放马克思主义时代化的生机</w:t>
      </w:r>
      <w:r>
        <w:rPr>
          <w:rFonts w:hint="eastAsia" w:ascii="宋体" w:hAnsi="宋体" w:eastAsia="宋体" w:cs="宋体"/>
          <w:color w:val="231F20"/>
          <w:spacing w:val="5"/>
          <w:sz w:val="22"/>
          <w:szCs w:val="22"/>
        </w:rPr>
        <w:t>活力</w:t>
      </w:r>
    </w:p>
    <w:p w14:paraId="59BA2AE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1.本土化是马克思主义时代化的阶段性现实要求</w:t>
      </w:r>
    </w:p>
    <w:p w14:paraId="5E7BA4F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本土化是马克思主义时代化长期坚持的一项策</w:t>
      </w:r>
      <w:r>
        <w:rPr>
          <w:rFonts w:hint="eastAsia" w:ascii="宋体" w:hAnsi="宋体" w:eastAsia="宋体" w:cs="宋体"/>
          <w:color w:val="231F20"/>
          <w:spacing w:val="8"/>
          <w:sz w:val="22"/>
          <w:szCs w:val="22"/>
        </w:rPr>
        <w:t>略原则，在马克思主义时代化的历程中发挥</w:t>
      </w:r>
      <w:r>
        <w:rPr>
          <w:rFonts w:hint="eastAsia" w:ascii="宋体" w:hAnsi="宋体" w:eastAsia="宋体" w:cs="宋体"/>
          <w:color w:val="231F20"/>
          <w:spacing w:val="-1"/>
          <w:sz w:val="22"/>
          <w:szCs w:val="22"/>
        </w:rPr>
        <w:t>极为重要的作用，是现阶段推进马克思主义时代化的现实要求。《共产党宣言》指出：</w:t>
      </w:r>
      <w:r>
        <w:rPr>
          <w:rFonts w:hint="eastAsia" w:ascii="宋体" w:hAnsi="宋体" w:eastAsia="宋体" w:cs="宋体"/>
          <w:color w:val="231F20"/>
          <w:spacing w:val="-2"/>
          <w:sz w:val="22"/>
          <w:szCs w:val="22"/>
        </w:rPr>
        <w:t>“代替那存</w:t>
      </w:r>
      <w:r>
        <w:rPr>
          <w:rFonts w:hint="eastAsia" w:ascii="宋体" w:hAnsi="宋体" w:eastAsia="宋体" w:cs="宋体"/>
          <w:color w:val="231F20"/>
          <w:spacing w:val="4"/>
          <w:sz w:val="22"/>
          <w:szCs w:val="22"/>
        </w:rPr>
        <w:t>在着阶级和阶级对立的资产阶级旧社会的，将是这样一个联</w:t>
      </w:r>
      <w:r>
        <w:rPr>
          <w:rFonts w:hint="eastAsia" w:ascii="宋体" w:hAnsi="宋体" w:eastAsia="宋体" w:cs="宋体"/>
          <w:color w:val="231F20"/>
          <w:spacing w:val="3"/>
          <w:sz w:val="22"/>
          <w:szCs w:val="22"/>
        </w:rPr>
        <w:t>合体，在那里，每个人的自由发展是</w:t>
      </w:r>
      <w:r>
        <w:rPr>
          <w:rFonts w:hint="eastAsia" w:ascii="宋体" w:hAnsi="宋体" w:eastAsia="宋体" w:cs="宋体"/>
          <w:color w:val="231F20"/>
          <w:spacing w:val="2"/>
          <w:sz w:val="22"/>
          <w:szCs w:val="22"/>
        </w:rPr>
        <w:t>一切人的自由发展的条件。”</w:t>
      </w:r>
      <w:r>
        <w:rPr>
          <w:rStyle w:val="20"/>
          <w:rFonts w:hint="eastAsia" w:ascii="宋体" w:hAnsi="宋体" w:eastAsia="宋体" w:cs="宋体"/>
          <w:color w:val="231F20"/>
          <w:spacing w:val="2"/>
          <w:sz w:val="22"/>
          <w:szCs w:val="22"/>
        </w:rPr>
        <w:footnoteReference w:id="1286"/>
      </w:r>
      <w:r>
        <w:rPr>
          <w:rFonts w:hint="eastAsia" w:ascii="宋体" w:hAnsi="宋体" w:eastAsia="宋体" w:cs="宋体"/>
          <w:color w:val="231F20"/>
          <w:spacing w:val="2"/>
          <w:sz w:val="22"/>
          <w:szCs w:val="22"/>
        </w:rPr>
        <w:t>这是马克思恩格斯对共产主义远景的终极</w:t>
      </w:r>
      <w:r>
        <w:rPr>
          <w:rFonts w:hint="eastAsia" w:ascii="宋体" w:hAnsi="宋体" w:eastAsia="宋体" w:cs="宋体"/>
          <w:color w:val="231F20"/>
          <w:spacing w:val="1"/>
          <w:sz w:val="22"/>
          <w:szCs w:val="22"/>
        </w:rPr>
        <w:t>构想，是一个超越国家、</w:t>
      </w:r>
      <w:r>
        <w:rPr>
          <w:rFonts w:hint="eastAsia" w:ascii="宋体" w:hAnsi="宋体" w:eastAsia="宋体" w:cs="宋体"/>
          <w:color w:val="231F20"/>
          <w:spacing w:val="8"/>
          <w:sz w:val="22"/>
          <w:szCs w:val="22"/>
        </w:rPr>
        <w:t>超越民族的无阶级联合体，是全世界共产党人共同的奋斗目标。然而，随着资</w:t>
      </w:r>
      <w:r>
        <w:rPr>
          <w:rFonts w:hint="eastAsia" w:ascii="宋体" w:hAnsi="宋体" w:eastAsia="宋体" w:cs="宋体"/>
          <w:color w:val="231F20"/>
          <w:spacing w:val="7"/>
          <w:sz w:val="22"/>
          <w:szCs w:val="22"/>
        </w:rPr>
        <w:t>本主义世界体系</w:t>
      </w:r>
      <w:r>
        <w:rPr>
          <w:rFonts w:hint="eastAsia" w:ascii="宋体" w:hAnsi="宋体" w:eastAsia="宋体" w:cs="宋体"/>
          <w:color w:val="231F20"/>
          <w:spacing w:val="-2"/>
          <w:sz w:val="22"/>
          <w:szCs w:val="22"/>
        </w:rPr>
        <w:t>的发展，试图以超国家、超民族的单一性工人阶级力量“一步到位”地实现革命胜利，已显得尤为</w:t>
      </w:r>
      <w:r>
        <w:rPr>
          <w:rFonts w:hint="eastAsia" w:ascii="宋体" w:hAnsi="宋体" w:eastAsia="宋体" w:cs="宋体"/>
          <w:color w:val="231F20"/>
          <w:spacing w:val="2"/>
          <w:sz w:val="22"/>
          <w:szCs w:val="22"/>
        </w:rPr>
        <w:t>艰难。在民族国家概念和实体仍然作为国际政治运行主体的当下，分阶段的、“多点开花”的斗</w:t>
      </w:r>
      <w:r>
        <w:rPr>
          <w:rFonts w:hint="eastAsia" w:ascii="宋体" w:hAnsi="宋体" w:eastAsia="宋体" w:cs="宋体"/>
          <w:color w:val="231F20"/>
          <w:spacing w:val="7"/>
          <w:sz w:val="22"/>
          <w:szCs w:val="22"/>
        </w:rPr>
        <w:t>争策略显得更为可取。可以说在“第一国际”解散之后</w:t>
      </w:r>
      <w:r>
        <w:rPr>
          <w:rFonts w:hint="eastAsia" w:ascii="宋体" w:hAnsi="宋体" w:eastAsia="宋体" w:cs="宋体"/>
          <w:color w:val="231F20"/>
          <w:spacing w:val="6"/>
          <w:sz w:val="22"/>
          <w:szCs w:val="22"/>
        </w:rPr>
        <w:t>，马克思主义就开始了本土化探索的进</w:t>
      </w:r>
      <w:r>
        <w:rPr>
          <w:rFonts w:hint="eastAsia" w:ascii="宋体" w:hAnsi="宋体" w:eastAsia="宋体" w:cs="宋体"/>
          <w:color w:val="231F20"/>
          <w:spacing w:val="2"/>
          <w:sz w:val="22"/>
          <w:szCs w:val="22"/>
        </w:rPr>
        <w:t>程，并取得突出成就，这在当今时代仍旧具有重要的现</w:t>
      </w:r>
      <w:r>
        <w:rPr>
          <w:rFonts w:hint="eastAsia" w:ascii="宋体" w:hAnsi="宋体" w:eastAsia="宋体" w:cs="宋体"/>
          <w:color w:val="231F20"/>
          <w:spacing w:val="1"/>
          <w:sz w:val="22"/>
          <w:szCs w:val="22"/>
        </w:rPr>
        <w:t>实意义。</w:t>
      </w:r>
    </w:p>
    <w:p w14:paraId="7CE5C4E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10"/>
          <w:sz w:val="22"/>
          <w:szCs w:val="22"/>
        </w:rPr>
        <w:t>本土化必须坚持把马克思主义基本原理同各国具体实际相结合、同各国优秀文化相结合，</w:t>
      </w:r>
      <w:r>
        <w:rPr>
          <w:rFonts w:hint="eastAsia" w:ascii="宋体" w:hAnsi="宋体" w:eastAsia="宋体" w:cs="宋体"/>
          <w:color w:val="231F20"/>
          <w:spacing w:val="7"/>
          <w:sz w:val="22"/>
          <w:szCs w:val="22"/>
        </w:rPr>
        <w:t>形成适合于本土、传承本土优秀思想的马克思主义时代化理论和实践成果。马克思主义本土化</w:t>
      </w:r>
      <w:r>
        <w:rPr>
          <w:rFonts w:hint="eastAsia" w:ascii="宋体" w:hAnsi="宋体" w:eastAsia="宋体" w:cs="宋体"/>
          <w:color w:val="231F20"/>
          <w:spacing w:val="4"/>
          <w:sz w:val="22"/>
          <w:szCs w:val="22"/>
        </w:rPr>
        <w:t>的历史经验表明，本土化切不可生搬硬套，必须结合本国实际</w:t>
      </w:r>
      <w:r>
        <w:rPr>
          <w:rFonts w:hint="eastAsia" w:ascii="宋体" w:hAnsi="宋体" w:eastAsia="宋体" w:cs="宋体"/>
          <w:color w:val="231F20"/>
          <w:spacing w:val="3"/>
          <w:sz w:val="22"/>
          <w:szCs w:val="22"/>
        </w:rPr>
        <w:t>情况，融合本地文化特征，探索出</w:t>
      </w:r>
      <w:r>
        <w:rPr>
          <w:rFonts w:hint="eastAsia" w:ascii="宋体" w:hAnsi="宋体" w:eastAsia="宋体" w:cs="宋体"/>
          <w:color w:val="231F20"/>
          <w:spacing w:val="2"/>
          <w:sz w:val="22"/>
          <w:szCs w:val="22"/>
        </w:rPr>
        <w:t>适合本国国情、民情、时情的科学路径，才能有效推进马克思主义融入本土、走向未来。中国共</w:t>
      </w:r>
      <w:r>
        <w:rPr>
          <w:rFonts w:hint="eastAsia" w:ascii="宋体" w:hAnsi="宋体" w:eastAsia="宋体" w:cs="宋体"/>
          <w:color w:val="231F20"/>
          <w:spacing w:val="9"/>
          <w:sz w:val="22"/>
          <w:szCs w:val="22"/>
        </w:rPr>
        <w:t>产党自成立以来，始终坚持把马克思主义基本原理同中国</w:t>
      </w:r>
      <w:r>
        <w:rPr>
          <w:rFonts w:hint="eastAsia" w:ascii="宋体" w:hAnsi="宋体" w:eastAsia="宋体" w:cs="宋体"/>
          <w:color w:val="231F20"/>
          <w:spacing w:val="8"/>
          <w:sz w:val="22"/>
          <w:szCs w:val="22"/>
        </w:rPr>
        <w:t>具体实际相结合、同中华优秀传统文</w:t>
      </w:r>
      <w:r>
        <w:rPr>
          <w:rFonts w:hint="eastAsia" w:ascii="宋体" w:hAnsi="宋体" w:eastAsia="宋体" w:cs="宋体"/>
          <w:color w:val="231F20"/>
          <w:spacing w:val="4"/>
          <w:sz w:val="22"/>
          <w:szCs w:val="22"/>
        </w:rPr>
        <w:t>化相结合，不断推进马克思主义中国化时代化，坚定不移沿着</w:t>
      </w:r>
      <w:r>
        <w:rPr>
          <w:rFonts w:hint="eastAsia" w:ascii="宋体" w:hAnsi="宋体" w:eastAsia="宋体" w:cs="宋体"/>
          <w:color w:val="231F20"/>
          <w:spacing w:val="3"/>
          <w:sz w:val="22"/>
          <w:szCs w:val="22"/>
        </w:rPr>
        <w:t>中国特色社会主义道路前进，创造</w:t>
      </w:r>
      <w:r>
        <w:rPr>
          <w:rFonts w:hint="eastAsia" w:ascii="宋体" w:hAnsi="宋体" w:eastAsia="宋体" w:cs="宋体"/>
          <w:color w:val="231F20"/>
          <w:spacing w:val="4"/>
          <w:sz w:val="22"/>
          <w:szCs w:val="22"/>
        </w:rPr>
        <w:t>了举世瞩目的“中国奇迹”，让社会主义在中国闪耀新的光彩</w:t>
      </w:r>
      <w:r>
        <w:rPr>
          <w:rFonts w:hint="eastAsia" w:ascii="宋体" w:hAnsi="宋体" w:eastAsia="宋体" w:cs="宋体"/>
          <w:color w:val="231F20"/>
          <w:spacing w:val="3"/>
          <w:sz w:val="22"/>
          <w:szCs w:val="22"/>
        </w:rPr>
        <w:t>，让中国成为世界社会主义的中流</w:t>
      </w:r>
      <w:r>
        <w:rPr>
          <w:rFonts w:hint="eastAsia" w:ascii="宋体" w:hAnsi="宋体" w:eastAsia="宋体" w:cs="宋体"/>
          <w:color w:val="231F20"/>
          <w:spacing w:val="2"/>
          <w:sz w:val="22"/>
          <w:szCs w:val="22"/>
        </w:rPr>
        <w:t>砥柱，这无疑是对本土化的最佳诠释。</w:t>
      </w:r>
    </w:p>
    <w:p w14:paraId="7D05ACB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2.本土化是马克思主义时代化的活力源泉</w:t>
      </w:r>
    </w:p>
    <w:p w14:paraId="6277252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本土化能够有效汲取各国的社会主义革命经验</w:t>
      </w:r>
      <w:r>
        <w:rPr>
          <w:rFonts w:hint="eastAsia" w:ascii="宋体" w:hAnsi="宋体" w:eastAsia="宋体" w:cs="宋体"/>
          <w:color w:val="231F20"/>
          <w:spacing w:val="8"/>
          <w:sz w:val="22"/>
          <w:szCs w:val="22"/>
        </w:rPr>
        <w:t>，凝聚各国的社会主义发展效能，发挥各国的社会主义建设优势，形成具有原创性的马克思主义时代化理论和实践成果。纵观</w:t>
      </w:r>
      <w:r>
        <w:rPr>
          <w:rFonts w:hint="eastAsia" w:ascii="宋体" w:hAnsi="宋体" w:eastAsia="宋体" w:cs="宋体"/>
          <w:color w:val="231F20"/>
          <w:spacing w:val="7"/>
          <w:sz w:val="22"/>
          <w:szCs w:val="22"/>
        </w:rPr>
        <w:t>马克思主义</w:t>
      </w:r>
      <w:r>
        <w:rPr>
          <w:rFonts w:hint="eastAsia" w:ascii="宋体" w:hAnsi="宋体" w:eastAsia="宋体" w:cs="宋体"/>
          <w:color w:val="231F20"/>
          <w:spacing w:val="3"/>
          <w:sz w:val="22"/>
          <w:szCs w:val="22"/>
        </w:rPr>
        <w:t>发展史，本土化的社会主义实践成效斐然，多次引领时代发展。德国、法国工人党最早开</w:t>
      </w:r>
      <w:r>
        <w:rPr>
          <w:rFonts w:hint="eastAsia" w:ascii="宋体" w:hAnsi="宋体" w:eastAsia="宋体" w:cs="宋体"/>
          <w:color w:val="231F20"/>
          <w:spacing w:val="2"/>
          <w:sz w:val="22"/>
          <w:szCs w:val="22"/>
        </w:rPr>
        <w:t>始本土</w:t>
      </w:r>
      <w:r>
        <w:rPr>
          <w:rFonts w:hint="eastAsia" w:ascii="宋体" w:hAnsi="宋体" w:eastAsia="宋体" w:cs="宋体"/>
          <w:color w:val="231F20"/>
          <w:spacing w:val="-2"/>
          <w:sz w:val="22"/>
          <w:szCs w:val="22"/>
        </w:rPr>
        <w:t>化探索，形成了“票选斗争”等有效的斗争形式；俄国基于本土化探索实践，建立了世界上第一个</w:t>
      </w:r>
      <w:r>
        <w:rPr>
          <w:rFonts w:hint="eastAsia" w:ascii="宋体" w:hAnsi="宋体" w:eastAsia="宋体" w:cs="宋体"/>
          <w:color w:val="231F20"/>
          <w:spacing w:val="4"/>
          <w:sz w:val="22"/>
          <w:szCs w:val="22"/>
        </w:rPr>
        <w:t>社会主义国家政权，形成了影响深远的社会主义建设模式；</w:t>
      </w:r>
      <w:r>
        <w:rPr>
          <w:rFonts w:hint="eastAsia" w:ascii="宋体" w:hAnsi="宋体" w:eastAsia="宋体" w:cs="宋体"/>
          <w:color w:val="231F20"/>
          <w:spacing w:val="3"/>
          <w:sz w:val="22"/>
          <w:szCs w:val="22"/>
        </w:rPr>
        <w:t>中国特色社会主义的创立和发展，极大丰富了社会主义的理论和制度体系，“社会主义市场经济”成为具有代表性的体制创新；古巴</w:t>
      </w:r>
      <w:r>
        <w:rPr>
          <w:rFonts w:hint="eastAsia" w:ascii="宋体" w:hAnsi="宋体" w:eastAsia="宋体" w:cs="宋体"/>
          <w:color w:val="231F20"/>
          <w:spacing w:val="8"/>
          <w:sz w:val="22"/>
          <w:szCs w:val="22"/>
        </w:rPr>
        <w:t>的社会主义实践尤其是国际主义实践，深刻影响了拉丁美洲的左翼运动。本土化贯</w:t>
      </w:r>
      <w:r>
        <w:rPr>
          <w:rFonts w:hint="eastAsia" w:ascii="宋体" w:hAnsi="宋体" w:eastAsia="宋体" w:cs="宋体"/>
          <w:color w:val="231F20"/>
          <w:spacing w:val="7"/>
          <w:sz w:val="22"/>
          <w:szCs w:val="22"/>
        </w:rPr>
        <w:t>穿于马克思</w:t>
      </w:r>
      <w:r>
        <w:rPr>
          <w:rFonts w:hint="eastAsia" w:ascii="宋体" w:hAnsi="宋体" w:eastAsia="宋体" w:cs="宋体"/>
          <w:color w:val="231F20"/>
          <w:spacing w:val="5"/>
          <w:sz w:val="22"/>
          <w:szCs w:val="22"/>
        </w:rPr>
        <w:t>主义时代化的全过程，成为推动马克思主义时代化的活力来源。</w:t>
      </w:r>
    </w:p>
    <w:p w14:paraId="04B540C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本土化能够有效结合各国的文化传统和思想精</w:t>
      </w:r>
      <w:r>
        <w:rPr>
          <w:rFonts w:hint="eastAsia" w:ascii="宋体" w:hAnsi="宋体" w:eastAsia="宋体" w:cs="宋体"/>
          <w:color w:val="231F20"/>
          <w:spacing w:val="8"/>
          <w:sz w:val="22"/>
          <w:szCs w:val="22"/>
        </w:rPr>
        <w:t>华，融合各国的历史文化和风土人情，考量</w:t>
      </w:r>
      <w:r>
        <w:rPr>
          <w:rFonts w:hint="eastAsia" w:ascii="宋体" w:hAnsi="宋体" w:eastAsia="宋体" w:cs="宋体"/>
          <w:color w:val="231F20"/>
          <w:spacing w:val="11"/>
          <w:sz w:val="22"/>
          <w:szCs w:val="22"/>
        </w:rPr>
        <w:t>各国的现代化路径和文明进程，从而形成具有</w:t>
      </w:r>
      <w:r>
        <w:rPr>
          <w:rFonts w:hint="eastAsia" w:ascii="宋体" w:hAnsi="宋体" w:eastAsia="宋体" w:cs="宋体"/>
          <w:color w:val="231F20"/>
          <w:spacing w:val="10"/>
          <w:sz w:val="22"/>
          <w:szCs w:val="22"/>
        </w:rPr>
        <w:t>文化内涵的马克思主义时代化理论和实践成果。</w:t>
      </w:r>
      <w:r>
        <w:rPr>
          <w:rFonts w:hint="eastAsia" w:ascii="宋体" w:hAnsi="宋体" w:eastAsia="宋体" w:cs="宋体"/>
          <w:color w:val="231F20"/>
          <w:spacing w:val="9"/>
          <w:sz w:val="22"/>
          <w:szCs w:val="22"/>
        </w:rPr>
        <w:t>马克思主义虽然起源于地理版图中的西方世界，但在唯</w:t>
      </w:r>
      <w:r>
        <w:rPr>
          <w:rFonts w:hint="eastAsia" w:ascii="宋体" w:hAnsi="宋体" w:eastAsia="宋体" w:cs="宋体"/>
          <w:color w:val="231F20"/>
          <w:spacing w:val="8"/>
          <w:sz w:val="22"/>
          <w:szCs w:val="22"/>
        </w:rPr>
        <w:t>物史观科学指引下，具有宏大的国际主</w:t>
      </w:r>
      <w:r>
        <w:rPr>
          <w:rFonts w:hint="eastAsia" w:ascii="宋体" w:hAnsi="宋体" w:eastAsia="宋体" w:cs="宋体"/>
          <w:color w:val="231F20"/>
          <w:spacing w:val="7"/>
          <w:sz w:val="22"/>
          <w:szCs w:val="22"/>
        </w:rPr>
        <w:t>义精神和人类历史视野，能够与人类文明的各类优秀成果深度结合。马克思主义吸收了英国古</w:t>
      </w:r>
      <w:r>
        <w:rPr>
          <w:rFonts w:hint="eastAsia" w:ascii="宋体" w:hAnsi="宋体" w:eastAsia="宋体" w:cs="宋体"/>
          <w:color w:val="231F20"/>
          <w:spacing w:val="4"/>
          <w:sz w:val="22"/>
          <w:szCs w:val="22"/>
        </w:rPr>
        <w:t>典政治经济学、法国启蒙思想和德国古典哲学的有益成分，</w:t>
      </w:r>
      <w:r>
        <w:rPr>
          <w:rFonts w:hint="eastAsia" w:ascii="宋体" w:hAnsi="宋体" w:eastAsia="宋体" w:cs="宋体"/>
          <w:color w:val="231F20"/>
          <w:spacing w:val="3"/>
          <w:sz w:val="22"/>
          <w:szCs w:val="22"/>
        </w:rPr>
        <w:t>形成了具有超越性的科学理论；列宁</w:t>
      </w:r>
      <w:r>
        <w:rPr>
          <w:rFonts w:hint="eastAsia" w:ascii="宋体" w:hAnsi="宋体" w:eastAsia="宋体" w:cs="宋体"/>
          <w:color w:val="231F20"/>
          <w:spacing w:val="-2"/>
          <w:sz w:val="22"/>
          <w:szCs w:val="22"/>
        </w:rPr>
        <w:t>提出的俄国“两种民族文化”理论，极大提升了社会主义建设的凝聚力；中国共产党人对“以人为</w:t>
      </w:r>
      <w:r>
        <w:rPr>
          <w:rFonts w:hint="eastAsia" w:ascii="宋体" w:hAnsi="宋体" w:eastAsia="宋体" w:cs="宋体"/>
          <w:color w:val="231F20"/>
          <w:spacing w:val="-3"/>
          <w:sz w:val="22"/>
          <w:szCs w:val="22"/>
        </w:rPr>
        <w:t>本”“天人合一”“协和万邦”等中华优秀传统文化的吸收借鉴，有力推动了中国的现代化事业蓬</w:t>
      </w:r>
      <w:r>
        <w:rPr>
          <w:rFonts w:hint="eastAsia" w:ascii="宋体" w:hAnsi="宋体" w:eastAsia="宋体" w:cs="宋体"/>
          <w:color w:val="231F20"/>
          <w:spacing w:val="6"/>
          <w:sz w:val="22"/>
          <w:szCs w:val="22"/>
        </w:rPr>
        <w:t>勃发展。本土文化与马克思主义的高质量融合，扎实推动了马克思主义时代</w:t>
      </w:r>
      <w:r>
        <w:rPr>
          <w:rFonts w:hint="eastAsia" w:ascii="宋体" w:hAnsi="宋体" w:eastAsia="宋体" w:cs="宋体"/>
          <w:color w:val="231F20"/>
          <w:spacing w:val="5"/>
          <w:sz w:val="22"/>
          <w:szCs w:val="22"/>
        </w:rPr>
        <w:t>化进程。</w:t>
      </w:r>
    </w:p>
    <w:p w14:paraId="2128732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3.本土化是马克思主义时代化的重要保证</w:t>
      </w:r>
    </w:p>
    <w:p w14:paraId="52DB225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本土化能够真正使马克思主义落地生根，运用</w:t>
      </w:r>
      <w:r>
        <w:rPr>
          <w:rFonts w:hint="eastAsia" w:ascii="宋体" w:hAnsi="宋体" w:eastAsia="宋体" w:cs="宋体"/>
          <w:color w:val="231F20"/>
          <w:spacing w:val="8"/>
          <w:sz w:val="22"/>
          <w:szCs w:val="22"/>
        </w:rPr>
        <w:t>马克思主义科学理论解决各国发展的实际问</w:t>
      </w:r>
      <w:r>
        <w:rPr>
          <w:rFonts w:hint="eastAsia" w:ascii="宋体" w:hAnsi="宋体" w:eastAsia="宋体" w:cs="宋体"/>
          <w:color w:val="231F20"/>
          <w:spacing w:val="9"/>
          <w:sz w:val="22"/>
          <w:szCs w:val="22"/>
        </w:rPr>
        <w:t>题，通过马克思主义实践推动各国经济社会向好发展，</w:t>
      </w:r>
      <w:r>
        <w:rPr>
          <w:rFonts w:hint="eastAsia" w:ascii="宋体" w:hAnsi="宋体" w:eastAsia="宋体" w:cs="宋体"/>
          <w:color w:val="231F20"/>
          <w:spacing w:val="8"/>
          <w:sz w:val="22"/>
          <w:szCs w:val="22"/>
        </w:rPr>
        <w:t>凝聚起推动马克思主义时代化的现实力</w:t>
      </w:r>
      <w:r>
        <w:rPr>
          <w:rFonts w:hint="eastAsia" w:ascii="宋体" w:hAnsi="宋体" w:eastAsia="宋体" w:cs="宋体"/>
          <w:color w:val="231F20"/>
          <w:spacing w:val="-2"/>
          <w:sz w:val="22"/>
          <w:szCs w:val="22"/>
        </w:rPr>
        <w:t>量。习近平总书记强调，“马克思主义不是书斋里的学问”</w:t>
      </w:r>
      <w:r>
        <w:rPr>
          <w:rStyle w:val="20"/>
          <w:rFonts w:hint="eastAsia" w:ascii="宋体" w:hAnsi="宋体" w:eastAsia="宋体" w:cs="宋体"/>
          <w:color w:val="231F20"/>
          <w:spacing w:val="-2"/>
          <w:sz w:val="22"/>
          <w:szCs w:val="22"/>
        </w:rPr>
        <w:footnoteReference w:id="1287"/>
      </w:r>
      <w:r>
        <w:rPr>
          <w:rFonts w:hint="eastAsia" w:ascii="宋体" w:hAnsi="宋体" w:eastAsia="宋体" w:cs="宋体"/>
          <w:color w:val="231F20"/>
          <w:spacing w:val="-2"/>
          <w:sz w:val="22"/>
          <w:szCs w:val="22"/>
        </w:rPr>
        <w:t>,“是在人民求解放</w:t>
      </w:r>
      <w:r>
        <w:rPr>
          <w:rFonts w:hint="eastAsia" w:ascii="宋体" w:hAnsi="宋体" w:eastAsia="宋体" w:cs="宋体"/>
          <w:color w:val="231F20"/>
          <w:spacing w:val="-3"/>
          <w:sz w:val="22"/>
          <w:szCs w:val="22"/>
        </w:rPr>
        <w:t>的实践中形成的，</w:t>
      </w:r>
      <w:r>
        <w:rPr>
          <w:rFonts w:hint="eastAsia" w:ascii="宋体" w:hAnsi="宋体" w:eastAsia="宋体" w:cs="宋体"/>
          <w:color w:val="231F20"/>
          <w:spacing w:val="3"/>
          <w:sz w:val="22"/>
          <w:szCs w:val="22"/>
        </w:rPr>
        <w:t>也是在人民求解放的实践中丰富和发展的”</w:t>
      </w:r>
      <w:r>
        <w:rPr>
          <w:rStyle w:val="20"/>
          <w:rFonts w:hint="eastAsia" w:ascii="宋体" w:hAnsi="宋体" w:eastAsia="宋体" w:cs="宋体"/>
          <w:color w:val="231F20"/>
          <w:spacing w:val="3"/>
          <w:sz w:val="22"/>
          <w:szCs w:val="22"/>
        </w:rPr>
        <w:footnoteReference w:id="1288"/>
      </w:r>
      <w:r>
        <w:rPr>
          <w:rFonts w:hint="eastAsia" w:ascii="宋体" w:hAnsi="宋体" w:eastAsia="宋体" w:cs="宋体"/>
          <w:color w:val="231F20"/>
          <w:spacing w:val="3"/>
          <w:sz w:val="22"/>
          <w:szCs w:val="22"/>
        </w:rPr>
        <w:t>。当今时代，资本主义对人类社会的</w:t>
      </w:r>
      <w:r>
        <w:rPr>
          <w:rFonts w:hint="eastAsia" w:ascii="宋体" w:hAnsi="宋体" w:eastAsia="宋体" w:cs="宋体"/>
          <w:color w:val="231F20"/>
          <w:spacing w:val="2"/>
          <w:sz w:val="22"/>
          <w:szCs w:val="22"/>
        </w:rPr>
        <w:t>破坏加剧，系</w:t>
      </w:r>
      <w:r>
        <w:rPr>
          <w:rFonts w:hint="eastAsia" w:ascii="宋体" w:hAnsi="宋体" w:eastAsia="宋体" w:cs="宋体"/>
          <w:color w:val="231F20"/>
          <w:spacing w:val="9"/>
          <w:sz w:val="22"/>
          <w:szCs w:val="22"/>
        </w:rPr>
        <w:t>统性危机不断出现，西方主导的世界体系已不能解决全</w:t>
      </w:r>
      <w:r>
        <w:rPr>
          <w:rFonts w:hint="eastAsia" w:ascii="宋体" w:hAnsi="宋体" w:eastAsia="宋体" w:cs="宋体"/>
          <w:color w:val="231F20"/>
          <w:spacing w:val="8"/>
          <w:sz w:val="22"/>
          <w:szCs w:val="22"/>
        </w:rPr>
        <w:t>球发展问题，各国必须以坚定的本土化探索推动马克思主义时代化迈向新进程。本土化有助于发现、认识、解决各</w:t>
      </w:r>
      <w:r>
        <w:rPr>
          <w:rFonts w:hint="eastAsia" w:ascii="宋体" w:hAnsi="宋体" w:eastAsia="宋体" w:cs="宋体"/>
          <w:color w:val="231F20"/>
          <w:spacing w:val="7"/>
          <w:sz w:val="22"/>
          <w:szCs w:val="22"/>
        </w:rPr>
        <w:t>国发展中存在的各</w:t>
      </w:r>
      <w:r>
        <w:rPr>
          <w:rFonts w:hint="eastAsia" w:ascii="宋体" w:hAnsi="宋体" w:eastAsia="宋体" w:cs="宋体"/>
          <w:color w:val="231F20"/>
          <w:spacing w:val="4"/>
          <w:sz w:val="22"/>
          <w:szCs w:val="22"/>
        </w:rPr>
        <w:t>种问题，能够有效组织、凝聚和塑造各国发展的理论力量、</w:t>
      </w:r>
      <w:r>
        <w:rPr>
          <w:rFonts w:hint="eastAsia" w:ascii="宋体" w:hAnsi="宋体" w:eastAsia="宋体" w:cs="宋体"/>
          <w:color w:val="231F20"/>
          <w:spacing w:val="3"/>
          <w:sz w:val="22"/>
          <w:szCs w:val="22"/>
        </w:rPr>
        <w:t>实践力量和社会力量，从而保障人民</w:t>
      </w:r>
      <w:r>
        <w:rPr>
          <w:rFonts w:hint="eastAsia" w:ascii="宋体" w:hAnsi="宋体" w:eastAsia="宋体" w:cs="宋体"/>
          <w:color w:val="231F20"/>
          <w:spacing w:val="4"/>
          <w:sz w:val="22"/>
          <w:szCs w:val="22"/>
        </w:rPr>
        <w:t>利益，不断开拓马克思主义时代化的科学路径。</w:t>
      </w:r>
    </w:p>
    <w:p w14:paraId="7A2FD84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本土化能够为马克思主义的发展开拓空间，在</w:t>
      </w:r>
      <w:r>
        <w:rPr>
          <w:rFonts w:hint="eastAsia" w:ascii="宋体" w:hAnsi="宋体" w:eastAsia="宋体" w:cs="宋体"/>
          <w:color w:val="231F20"/>
          <w:spacing w:val="8"/>
          <w:sz w:val="22"/>
          <w:szCs w:val="22"/>
        </w:rPr>
        <w:t>世界局势纷繁复杂、资本主义世界体系日益</w:t>
      </w:r>
      <w:r>
        <w:rPr>
          <w:rFonts w:hint="eastAsia" w:ascii="宋体" w:hAnsi="宋体" w:eastAsia="宋体" w:cs="宋体"/>
          <w:color w:val="231F20"/>
          <w:spacing w:val="9"/>
          <w:sz w:val="22"/>
          <w:szCs w:val="22"/>
        </w:rPr>
        <w:t>腐朽的当下，本土化有助于保存世界社会主义有生力量</w:t>
      </w:r>
      <w:r>
        <w:rPr>
          <w:rFonts w:hint="eastAsia" w:ascii="宋体" w:hAnsi="宋体" w:eastAsia="宋体" w:cs="宋体"/>
          <w:color w:val="231F20"/>
          <w:spacing w:val="8"/>
          <w:sz w:val="22"/>
          <w:szCs w:val="22"/>
        </w:rPr>
        <w:t>，并以科学理论切实推动各国经济社会</w:t>
      </w:r>
      <w:r>
        <w:rPr>
          <w:rFonts w:hint="eastAsia" w:ascii="宋体" w:hAnsi="宋体" w:eastAsia="宋体" w:cs="宋体"/>
          <w:color w:val="231F20"/>
          <w:spacing w:val="2"/>
          <w:sz w:val="22"/>
          <w:szCs w:val="22"/>
        </w:rPr>
        <w:t>发展，为马克思主义时代化提供现实基础。当今时代，要组织、推进世界社会主义运动的各项实</w:t>
      </w:r>
      <w:r>
        <w:rPr>
          <w:rFonts w:hint="eastAsia" w:ascii="宋体" w:hAnsi="宋体" w:eastAsia="宋体" w:cs="宋体"/>
          <w:color w:val="231F20"/>
          <w:spacing w:val="7"/>
          <w:sz w:val="22"/>
          <w:szCs w:val="22"/>
        </w:rPr>
        <w:t>践，愈发离不开本土化的现实土壤。随着新帝国主义的恶变加剧，垄断资本和军工复合体结合</w:t>
      </w:r>
      <w:r>
        <w:rPr>
          <w:rFonts w:hint="eastAsia" w:ascii="宋体" w:hAnsi="宋体" w:eastAsia="宋体" w:cs="宋体"/>
          <w:color w:val="231F20"/>
          <w:spacing w:val="4"/>
          <w:sz w:val="22"/>
          <w:szCs w:val="22"/>
        </w:rPr>
        <w:t>日益紧密，霸权主义和强权政治依旧横行，在这样的情况下</w:t>
      </w:r>
      <w:r>
        <w:rPr>
          <w:rFonts w:hint="eastAsia" w:ascii="宋体" w:hAnsi="宋体" w:eastAsia="宋体" w:cs="宋体"/>
          <w:color w:val="231F20"/>
          <w:spacing w:val="3"/>
          <w:sz w:val="22"/>
          <w:szCs w:val="22"/>
        </w:rPr>
        <w:t>推进世界社会主义发展，必须紧密依靠本土化的坚强战斗堡垒，在资本主义世界体系的“缝隙”中找到发展空间，扎实稳妥推进社会</w:t>
      </w:r>
      <w:r>
        <w:rPr>
          <w:rFonts w:hint="eastAsia" w:ascii="宋体" w:hAnsi="宋体" w:eastAsia="宋体" w:cs="宋体"/>
          <w:color w:val="231F20"/>
          <w:spacing w:val="8"/>
          <w:sz w:val="22"/>
          <w:szCs w:val="22"/>
        </w:rPr>
        <w:t>主义实践。本土化为马克思主义时代化走深做实提供了现实土壤。</w:t>
      </w:r>
    </w:p>
    <w:p w14:paraId="3E3A3D8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b/>
          <w:bCs/>
          <w:sz w:val="22"/>
          <w:szCs w:val="22"/>
        </w:rPr>
      </w:pPr>
      <w:r>
        <w:rPr>
          <w:rFonts w:hint="eastAsia" w:ascii="宋体" w:hAnsi="宋体" w:eastAsia="宋体" w:cs="宋体"/>
          <w:b/>
          <w:bCs/>
          <w:color w:val="231F20"/>
          <w:spacing w:val="6"/>
          <w:sz w:val="22"/>
          <w:szCs w:val="22"/>
        </w:rPr>
        <w:t>（二）多样化为马克思主义时代化提供前行</w:t>
      </w:r>
      <w:r>
        <w:rPr>
          <w:rFonts w:hint="eastAsia" w:ascii="宋体" w:hAnsi="宋体" w:eastAsia="宋体" w:cs="宋体"/>
          <w:b/>
          <w:bCs/>
          <w:color w:val="231F20"/>
          <w:spacing w:val="5"/>
          <w:sz w:val="22"/>
          <w:szCs w:val="22"/>
        </w:rPr>
        <w:t>动力</w:t>
      </w:r>
    </w:p>
    <w:p w14:paraId="46B7470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6"/>
          <w:sz w:val="22"/>
          <w:szCs w:val="22"/>
        </w:rPr>
        <w:t>1.多样化是马克思主义时代化的格局要求</w:t>
      </w:r>
    </w:p>
    <w:p w14:paraId="56A9F96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多样化是马克思主义长远发展的必然要求，是当今时代彰显国际主义精神的重要体现，它</w:t>
      </w:r>
      <w:r>
        <w:rPr>
          <w:rFonts w:hint="eastAsia" w:ascii="宋体" w:hAnsi="宋体" w:eastAsia="宋体" w:cs="宋体"/>
          <w:color w:val="231F20"/>
          <w:spacing w:val="3"/>
          <w:sz w:val="22"/>
          <w:szCs w:val="22"/>
        </w:rPr>
        <w:t>体现了马克思主义实事求是、与时俱进的理</w:t>
      </w:r>
      <w:r>
        <w:rPr>
          <w:rFonts w:hint="eastAsia" w:ascii="宋体" w:hAnsi="宋体" w:eastAsia="宋体" w:cs="宋体"/>
          <w:color w:val="231F20"/>
          <w:spacing w:val="2"/>
          <w:sz w:val="22"/>
          <w:szCs w:val="22"/>
        </w:rPr>
        <w:t>论品格。马克思恩格斯指出：“这些原理的实际运用</w:t>
      </w:r>
      <w:r>
        <w:rPr>
          <w:rFonts w:hint="eastAsia" w:ascii="宋体" w:hAnsi="宋体" w:eastAsia="宋体" w:cs="宋体"/>
          <w:color w:val="231F20"/>
          <w:spacing w:val="4"/>
          <w:sz w:val="22"/>
          <w:szCs w:val="22"/>
        </w:rPr>
        <w:t>……随时随地都要以当时的历史条件为转移。”</w:t>
      </w:r>
      <w:r>
        <w:rPr>
          <w:rStyle w:val="20"/>
          <w:rFonts w:hint="eastAsia" w:ascii="宋体" w:hAnsi="宋体" w:eastAsia="宋体" w:cs="宋体"/>
          <w:color w:val="231F20"/>
          <w:spacing w:val="4"/>
          <w:sz w:val="22"/>
          <w:szCs w:val="22"/>
        </w:rPr>
        <w:footnoteReference w:id="1289"/>
      </w:r>
      <w:r>
        <w:rPr>
          <w:rFonts w:hint="eastAsia" w:ascii="宋体" w:hAnsi="宋体" w:eastAsia="宋体" w:cs="宋体"/>
          <w:color w:val="231F20"/>
          <w:spacing w:val="4"/>
          <w:sz w:val="22"/>
          <w:szCs w:val="22"/>
        </w:rPr>
        <w:t>国际主义是马克思主义指导世界社会主义运动</w:t>
      </w:r>
      <w:r>
        <w:rPr>
          <w:rFonts w:hint="eastAsia" w:ascii="宋体" w:hAnsi="宋体" w:eastAsia="宋体" w:cs="宋体"/>
          <w:color w:val="231F20"/>
          <w:spacing w:val="7"/>
          <w:sz w:val="22"/>
          <w:szCs w:val="22"/>
        </w:rPr>
        <w:t>的重要原则，也是关于无产阶级解放和斗争的重要准则。当今时代，坚持和推动马克思主义理</w:t>
      </w:r>
      <w:r>
        <w:rPr>
          <w:rFonts w:hint="eastAsia" w:ascii="宋体" w:hAnsi="宋体" w:eastAsia="宋体" w:cs="宋体"/>
          <w:color w:val="231F20"/>
          <w:spacing w:val="9"/>
          <w:sz w:val="22"/>
          <w:szCs w:val="22"/>
        </w:rPr>
        <w:t>论和实践多样化，就是坚持和发展国际主义，这也是开</w:t>
      </w:r>
      <w:r>
        <w:rPr>
          <w:rFonts w:hint="eastAsia" w:ascii="宋体" w:hAnsi="宋体" w:eastAsia="宋体" w:cs="宋体"/>
          <w:color w:val="231F20"/>
          <w:spacing w:val="8"/>
          <w:sz w:val="22"/>
          <w:szCs w:val="22"/>
        </w:rPr>
        <w:t>拓马克思主义时代化发展新格局的内在</w:t>
      </w:r>
      <w:r>
        <w:rPr>
          <w:rFonts w:hint="eastAsia" w:ascii="宋体" w:hAnsi="宋体" w:eastAsia="宋体" w:cs="宋体"/>
          <w:color w:val="231F20"/>
          <w:spacing w:val="2"/>
          <w:sz w:val="22"/>
          <w:szCs w:val="22"/>
        </w:rPr>
        <w:t>要求。马克思主义时代化的历程，是马克思主义理论与实践不断通过交流、借鉴、融合，从而实</w:t>
      </w:r>
      <w:r>
        <w:rPr>
          <w:rFonts w:hint="eastAsia" w:ascii="宋体" w:hAnsi="宋体" w:eastAsia="宋体" w:cs="宋体"/>
          <w:color w:val="231F20"/>
          <w:spacing w:val="9"/>
          <w:sz w:val="22"/>
          <w:szCs w:val="22"/>
        </w:rPr>
        <w:t>现再推广和再创造的过程，是以马克思主义基本原理为</w:t>
      </w:r>
      <w:r>
        <w:rPr>
          <w:rFonts w:hint="eastAsia" w:ascii="宋体" w:hAnsi="宋体" w:eastAsia="宋体" w:cs="宋体"/>
          <w:color w:val="231F20"/>
          <w:spacing w:val="8"/>
          <w:sz w:val="22"/>
          <w:szCs w:val="22"/>
        </w:rPr>
        <w:t>基础，不断形成更多更广泛理论和实践形态的过程。多样化的理论和实践是推动马克思主义时代化的重要条件。</w:t>
      </w:r>
    </w:p>
    <w:p w14:paraId="71E658E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多样化是坚持马克思主义开放性内核的必然要求。只有多样化蓬勃发展，才能为世界社会主义提供源源不断的理论活力和实践基础，推进21世纪的科学社会主义开拓创新。习近平总书</w:t>
      </w:r>
      <w:r>
        <w:rPr>
          <w:rFonts w:hint="eastAsia" w:ascii="宋体" w:hAnsi="宋体" w:eastAsia="宋体" w:cs="宋体"/>
          <w:color w:val="231F20"/>
          <w:spacing w:val="6"/>
          <w:sz w:val="22"/>
          <w:szCs w:val="22"/>
        </w:rPr>
        <w:t>记指出：“社会主义并没有定于一尊、一成不变的套路，只有把科学社会主义基本原则同本国具体实际、历史文化传统、时代要求紧密结合起来，在实践中不断探索总结，才能把蓝图变为美好</w:t>
      </w:r>
      <w:r>
        <w:rPr>
          <w:rFonts w:hint="eastAsia" w:ascii="宋体" w:hAnsi="宋体" w:eastAsia="宋体" w:cs="宋体"/>
          <w:color w:val="231F20"/>
          <w:spacing w:val="2"/>
          <w:sz w:val="22"/>
          <w:szCs w:val="22"/>
        </w:rPr>
        <w:t>现实。”</w:t>
      </w:r>
      <w:r>
        <w:rPr>
          <w:rStyle w:val="20"/>
          <w:rFonts w:hint="eastAsia" w:ascii="宋体" w:hAnsi="宋体" w:eastAsia="宋体" w:cs="宋体"/>
          <w:color w:val="231F20"/>
          <w:spacing w:val="2"/>
          <w:sz w:val="22"/>
          <w:szCs w:val="22"/>
        </w:rPr>
        <w:footnoteReference w:id="1290"/>
      </w:r>
      <w:r>
        <w:rPr>
          <w:rFonts w:hint="eastAsia" w:ascii="宋体" w:hAnsi="宋体" w:eastAsia="宋体" w:cs="宋体"/>
          <w:color w:val="231F20"/>
          <w:spacing w:val="2"/>
          <w:sz w:val="22"/>
          <w:szCs w:val="22"/>
        </w:rPr>
        <w:t>多样化彰显了马克思主义的发展开放性。</w:t>
      </w:r>
      <w:r>
        <w:rPr>
          <w:rFonts w:hint="eastAsia" w:ascii="宋体" w:hAnsi="宋体" w:eastAsia="宋体" w:cs="宋体"/>
          <w:color w:val="231F20"/>
          <w:spacing w:val="1"/>
          <w:sz w:val="22"/>
          <w:szCs w:val="22"/>
        </w:rPr>
        <w:t>它既要求在理论领域解放思想、开拓创新，在</w:t>
      </w:r>
      <w:r>
        <w:rPr>
          <w:rFonts w:hint="eastAsia" w:ascii="宋体" w:hAnsi="宋体" w:eastAsia="宋体" w:cs="宋体"/>
          <w:color w:val="231F20"/>
          <w:spacing w:val="-8"/>
          <w:sz w:val="22"/>
          <w:szCs w:val="22"/>
        </w:rPr>
        <w:t>“百家争鸣”中做到“万变不离其宗”，也</w:t>
      </w:r>
      <w:r>
        <w:rPr>
          <w:rFonts w:hint="eastAsia" w:ascii="宋体" w:hAnsi="宋体" w:eastAsia="宋体" w:cs="宋体"/>
          <w:color w:val="231F20"/>
          <w:spacing w:val="-9"/>
          <w:sz w:val="22"/>
          <w:szCs w:val="22"/>
        </w:rPr>
        <w:t>要求在实践上因地制宜、因时而动，在“百花齐放”中呈现</w:t>
      </w:r>
      <w:r>
        <w:rPr>
          <w:rFonts w:hint="eastAsia" w:ascii="宋体" w:hAnsi="宋体" w:eastAsia="宋体" w:cs="宋体"/>
          <w:color w:val="231F20"/>
          <w:spacing w:val="6"/>
          <w:sz w:val="22"/>
          <w:szCs w:val="22"/>
        </w:rPr>
        <w:t>“远近高低各不同”。形成多样化的马克思主义发展态势，对于当今时代扩展马克思主义发展格</w:t>
      </w:r>
      <w:r>
        <w:rPr>
          <w:rFonts w:hint="eastAsia" w:ascii="宋体" w:hAnsi="宋体" w:eastAsia="宋体" w:cs="宋体"/>
          <w:color w:val="231F20"/>
          <w:spacing w:val="21"/>
          <w:sz w:val="22"/>
          <w:szCs w:val="22"/>
        </w:rPr>
        <w:t>局具有重要意义。</w:t>
      </w:r>
    </w:p>
    <w:p w14:paraId="5ED2141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2.多样化是马克思主义时代化的空间表现</w:t>
      </w:r>
    </w:p>
    <w:p w14:paraId="2C20F30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多样化能够为当今时代世界社会主义发展赢得更广阔</w:t>
      </w:r>
      <w:r>
        <w:rPr>
          <w:rFonts w:hint="eastAsia" w:ascii="宋体" w:hAnsi="宋体" w:eastAsia="宋体" w:cs="宋体"/>
          <w:color w:val="231F20"/>
          <w:spacing w:val="2"/>
          <w:sz w:val="22"/>
          <w:szCs w:val="22"/>
        </w:rPr>
        <w:t>的理论空间，冲破“西方中心论”的思</w:t>
      </w:r>
      <w:r>
        <w:rPr>
          <w:rFonts w:hint="eastAsia" w:ascii="宋体" w:hAnsi="宋体" w:eastAsia="宋体" w:cs="宋体"/>
          <w:color w:val="231F20"/>
          <w:spacing w:val="6"/>
          <w:sz w:val="22"/>
          <w:szCs w:val="22"/>
        </w:rPr>
        <w:t>想桎梏，改变西方世界长期把持的全球知识话语体系，构建属于全体劳动人民的、以马克思主义为指导的自主知识体系。随着新航路开辟、文艺复兴、启蒙运动、工业革命等历史进程的推进，“西方中心论”傲然自居，以实用主义为先导的科学</w:t>
      </w:r>
      <w:r>
        <w:rPr>
          <w:rFonts w:hint="eastAsia" w:ascii="宋体" w:hAnsi="宋体" w:eastAsia="宋体" w:cs="宋体"/>
          <w:color w:val="231F20"/>
          <w:spacing w:val="5"/>
          <w:sz w:val="22"/>
          <w:szCs w:val="22"/>
        </w:rPr>
        <w:t>技术理念被世界很多地区奉为圭臬，不断催</w:t>
      </w:r>
      <w:r>
        <w:rPr>
          <w:rFonts w:hint="eastAsia" w:ascii="宋体" w:hAnsi="宋体" w:eastAsia="宋体" w:cs="宋体"/>
          <w:color w:val="231F20"/>
          <w:spacing w:val="10"/>
          <w:sz w:val="22"/>
          <w:szCs w:val="22"/>
        </w:rPr>
        <w:t>生出精致利己的精英阶层。多样化的发展，必须破除西方个人主义至上的学术知</w:t>
      </w:r>
      <w:r>
        <w:rPr>
          <w:rFonts w:hint="eastAsia" w:ascii="宋体" w:hAnsi="宋体" w:eastAsia="宋体" w:cs="宋体"/>
          <w:color w:val="231F20"/>
          <w:spacing w:val="9"/>
          <w:sz w:val="22"/>
          <w:szCs w:val="22"/>
        </w:rPr>
        <w:t>识体系，打造</w:t>
      </w:r>
      <w:r>
        <w:rPr>
          <w:rFonts w:hint="eastAsia" w:ascii="宋体" w:hAnsi="宋体" w:eastAsia="宋体" w:cs="宋体"/>
          <w:color w:val="231F20"/>
          <w:spacing w:val="5"/>
          <w:sz w:val="22"/>
          <w:szCs w:val="22"/>
        </w:rPr>
        <w:t>为人民谋福利的、服务于人类解放事业的学理体系，推动有利于人类自由全面发展的科技创新，</w:t>
      </w:r>
      <w:r>
        <w:rPr>
          <w:rFonts w:hint="eastAsia" w:ascii="宋体" w:hAnsi="宋体" w:eastAsia="宋体" w:cs="宋体"/>
          <w:color w:val="231F20"/>
          <w:spacing w:val="4"/>
          <w:sz w:val="22"/>
          <w:szCs w:val="22"/>
        </w:rPr>
        <w:t>真正使知识造福于民、造福于社会，从而构建以马克思主</w:t>
      </w:r>
      <w:r>
        <w:rPr>
          <w:rFonts w:hint="eastAsia" w:ascii="宋体" w:hAnsi="宋体" w:eastAsia="宋体" w:cs="宋体"/>
          <w:color w:val="231F20"/>
          <w:spacing w:val="3"/>
          <w:sz w:val="22"/>
          <w:szCs w:val="22"/>
        </w:rPr>
        <w:t>义为指导的自主知识体系。</w:t>
      </w:r>
    </w:p>
    <w:p w14:paraId="4DEC7D1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多样化能够为当今时代世界社会主义发展赢得更广阔的实践空间，超越西方现代化的制度</w:t>
      </w:r>
      <w:r>
        <w:rPr>
          <w:rFonts w:hint="eastAsia" w:ascii="宋体" w:hAnsi="宋体" w:eastAsia="宋体" w:cs="宋体"/>
          <w:color w:val="231F20"/>
          <w:spacing w:val="4"/>
          <w:sz w:val="22"/>
          <w:szCs w:val="22"/>
        </w:rPr>
        <w:t>藩篱，洞悉资本主义工业化所蕴含的阶级剥削、贫富分化、</w:t>
      </w:r>
      <w:r>
        <w:rPr>
          <w:rFonts w:hint="eastAsia" w:ascii="宋体" w:hAnsi="宋体" w:eastAsia="宋体" w:cs="宋体"/>
          <w:color w:val="231F20"/>
          <w:spacing w:val="3"/>
          <w:sz w:val="22"/>
          <w:szCs w:val="22"/>
        </w:rPr>
        <w:t>危机循环的本质，以社会主义制度优</w:t>
      </w:r>
      <w:r>
        <w:rPr>
          <w:rFonts w:hint="eastAsia" w:ascii="宋体" w:hAnsi="宋体" w:eastAsia="宋体" w:cs="宋体"/>
          <w:color w:val="231F20"/>
          <w:spacing w:val="8"/>
          <w:sz w:val="22"/>
          <w:szCs w:val="22"/>
        </w:rPr>
        <w:t>势真正推动马克思主义开辟时代新境界。现代化作为全人类共同的发展诉求，长期以</w:t>
      </w:r>
      <w:r>
        <w:rPr>
          <w:rFonts w:hint="eastAsia" w:ascii="宋体" w:hAnsi="宋体" w:eastAsia="宋体" w:cs="宋体"/>
          <w:color w:val="231F20"/>
          <w:spacing w:val="7"/>
          <w:sz w:val="22"/>
          <w:szCs w:val="22"/>
        </w:rPr>
        <w:t>来一直与</w:t>
      </w:r>
      <w:r>
        <w:rPr>
          <w:rFonts w:hint="eastAsia" w:ascii="宋体" w:hAnsi="宋体" w:eastAsia="宋体" w:cs="宋体"/>
          <w:color w:val="231F20"/>
          <w:spacing w:val="-2"/>
          <w:sz w:val="22"/>
          <w:szCs w:val="22"/>
        </w:rPr>
        <w:t>西方呈现的工业化、城市化等现象高度“绑定”，甚至形成了刻板印象。几个世纪以来，西方现代</w:t>
      </w:r>
      <w:r>
        <w:rPr>
          <w:rFonts w:hint="eastAsia" w:ascii="宋体" w:hAnsi="宋体" w:eastAsia="宋体" w:cs="宋体"/>
          <w:color w:val="231F20"/>
          <w:spacing w:val="14"/>
          <w:sz w:val="22"/>
          <w:szCs w:val="22"/>
        </w:rPr>
        <w:t>化的发展所暴露出的突出问题——贫富差距巨大，与其服务资本主义制度</w:t>
      </w:r>
      <w:r>
        <w:rPr>
          <w:rFonts w:hint="eastAsia" w:ascii="宋体" w:hAnsi="宋体" w:eastAsia="宋体" w:cs="宋体"/>
          <w:color w:val="231F20"/>
          <w:spacing w:val="13"/>
          <w:sz w:val="22"/>
          <w:szCs w:val="22"/>
        </w:rPr>
        <w:t>的本质属性直接相</w:t>
      </w:r>
      <w:r>
        <w:rPr>
          <w:rFonts w:hint="eastAsia" w:ascii="宋体" w:hAnsi="宋体" w:eastAsia="宋体" w:cs="宋体"/>
          <w:color w:val="231F20"/>
          <w:spacing w:val="11"/>
          <w:sz w:val="22"/>
          <w:szCs w:val="22"/>
        </w:rPr>
        <w:t>关。多样化着力推动构建超越西方现代化的体制机制。中国式现代化正</w:t>
      </w:r>
      <w:r>
        <w:rPr>
          <w:rFonts w:hint="eastAsia" w:ascii="宋体" w:hAnsi="宋体" w:eastAsia="宋体" w:cs="宋体"/>
          <w:color w:val="231F20"/>
          <w:spacing w:val="10"/>
          <w:sz w:val="22"/>
          <w:szCs w:val="22"/>
        </w:rPr>
        <w:t>是在这样的时代要求</w:t>
      </w:r>
      <w:r>
        <w:rPr>
          <w:rFonts w:hint="eastAsia" w:ascii="宋体" w:hAnsi="宋体" w:eastAsia="宋体" w:cs="宋体"/>
          <w:color w:val="231F20"/>
          <w:spacing w:val="9"/>
          <w:sz w:val="22"/>
          <w:szCs w:val="22"/>
        </w:rPr>
        <w:t>下不断拓展推进，得到世界广泛赞誉，集中体现了多样</w:t>
      </w:r>
      <w:r>
        <w:rPr>
          <w:rFonts w:hint="eastAsia" w:ascii="宋体" w:hAnsi="宋体" w:eastAsia="宋体" w:cs="宋体"/>
          <w:color w:val="231F20"/>
          <w:spacing w:val="8"/>
          <w:sz w:val="22"/>
          <w:szCs w:val="22"/>
        </w:rPr>
        <w:t>化的马克思主义为当今时代世界社会主义发展赢得的空间优势。</w:t>
      </w:r>
    </w:p>
    <w:p w14:paraId="445A615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3.多样化是马克思主义时代化的发展动能</w:t>
      </w:r>
    </w:p>
    <w:p w14:paraId="660B304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18"/>
          <w:szCs w:val="18"/>
        </w:rPr>
      </w:pPr>
      <w:r>
        <w:rPr>
          <w:rFonts w:hint="eastAsia" w:ascii="宋体" w:hAnsi="宋体" w:eastAsia="宋体" w:cs="宋体"/>
          <w:color w:val="231F20"/>
          <w:spacing w:val="8"/>
          <w:sz w:val="22"/>
          <w:szCs w:val="22"/>
        </w:rPr>
        <w:t>多样化能够体现马克思主义勇于变革的时代气魄，不简单套用马克思主义经典作家的具体</w:t>
      </w:r>
      <w:r>
        <w:rPr>
          <w:rFonts w:hint="eastAsia" w:ascii="宋体" w:hAnsi="宋体" w:eastAsia="宋体" w:cs="宋体"/>
          <w:color w:val="231F20"/>
          <w:spacing w:val="4"/>
          <w:sz w:val="22"/>
          <w:szCs w:val="22"/>
        </w:rPr>
        <w:t>结论，不机械照搬马克思主义发展史中的各种实践，而是</w:t>
      </w:r>
      <w:r>
        <w:rPr>
          <w:rFonts w:hint="eastAsia" w:ascii="宋体" w:hAnsi="宋体" w:eastAsia="宋体" w:cs="宋体"/>
          <w:color w:val="231F20"/>
          <w:spacing w:val="3"/>
          <w:sz w:val="22"/>
          <w:szCs w:val="22"/>
        </w:rPr>
        <w:t>以科学社会主义原则为基石，为马克思</w:t>
      </w:r>
      <w:r>
        <w:rPr>
          <w:rFonts w:hint="eastAsia" w:ascii="宋体" w:hAnsi="宋体" w:eastAsia="宋体" w:cs="宋体"/>
          <w:color w:val="231F20"/>
          <w:spacing w:val="8"/>
          <w:sz w:val="22"/>
          <w:szCs w:val="22"/>
        </w:rPr>
        <w:t>主义时代化注入改革动能。苏联解体后，世界社会主义运动陷入低潮，但</w:t>
      </w:r>
      <w:r>
        <w:rPr>
          <w:rFonts w:hint="eastAsia" w:ascii="宋体" w:hAnsi="宋体" w:eastAsia="宋体" w:cs="宋体"/>
          <w:color w:val="231F20"/>
          <w:spacing w:val="7"/>
          <w:sz w:val="22"/>
          <w:szCs w:val="22"/>
        </w:rPr>
        <w:t>仍有意志坚定的马克</w:t>
      </w:r>
      <w:r>
        <w:rPr>
          <w:rFonts w:hint="eastAsia" w:ascii="宋体" w:hAnsi="宋体" w:eastAsia="宋体" w:cs="宋体"/>
          <w:color w:val="231F20"/>
          <w:spacing w:val="2"/>
          <w:sz w:val="22"/>
          <w:szCs w:val="22"/>
        </w:rPr>
        <w:t>思主义者秉持革命乐观主义精神，以多样化的理论和实</w:t>
      </w:r>
      <w:r>
        <w:rPr>
          <w:rFonts w:hint="eastAsia" w:ascii="宋体" w:hAnsi="宋体" w:eastAsia="宋体" w:cs="宋体"/>
          <w:color w:val="231F20"/>
          <w:spacing w:val="1"/>
          <w:sz w:val="22"/>
          <w:szCs w:val="22"/>
        </w:rPr>
        <w:t>践为马克思主义的“复兴”不竭奋斗。中</w:t>
      </w:r>
      <w:r>
        <w:rPr>
          <w:rFonts w:hint="eastAsia" w:ascii="宋体" w:hAnsi="宋体" w:eastAsia="宋体" w:cs="宋体"/>
          <w:color w:val="231F20"/>
          <w:spacing w:val="-1"/>
          <w:sz w:val="22"/>
          <w:szCs w:val="22"/>
        </w:rPr>
        <w:t>国共产党百年来取得辉煌成就，越南、朝鲜、老挝、古巴等社会主义国家的稳步发展</w:t>
      </w:r>
      <w:r>
        <w:rPr>
          <w:rFonts w:hint="eastAsia" w:ascii="宋体" w:hAnsi="宋体" w:eastAsia="宋体" w:cs="宋体"/>
          <w:color w:val="231F20"/>
          <w:spacing w:val="-2"/>
          <w:sz w:val="22"/>
          <w:szCs w:val="22"/>
        </w:rPr>
        <w:t>，以及西方国</w:t>
      </w:r>
      <w:r>
        <w:rPr>
          <w:rFonts w:hint="eastAsia" w:ascii="宋体" w:hAnsi="宋体" w:eastAsia="宋体" w:cs="宋体"/>
          <w:color w:val="231F20"/>
          <w:spacing w:val="7"/>
          <w:sz w:val="22"/>
          <w:szCs w:val="22"/>
        </w:rPr>
        <w:t>家共产党在21世纪开拓新的活动空间，证明了当前世界社会主义呈现昂扬向上的多样化局面，</w:t>
      </w:r>
      <w:r>
        <w:rPr>
          <w:rFonts w:hint="eastAsia" w:ascii="宋体" w:hAnsi="宋体" w:eastAsia="宋体" w:cs="宋体"/>
          <w:color w:val="231F20"/>
          <w:spacing w:val="9"/>
          <w:sz w:val="22"/>
          <w:szCs w:val="22"/>
        </w:rPr>
        <w:t>为越来越多的人关注、认同马克思主义提供了现实基</w:t>
      </w:r>
      <w:r>
        <w:rPr>
          <w:rFonts w:hint="eastAsia" w:ascii="宋体" w:hAnsi="宋体" w:eastAsia="宋体" w:cs="宋体"/>
          <w:color w:val="231F20"/>
          <w:spacing w:val="8"/>
          <w:sz w:val="22"/>
          <w:szCs w:val="22"/>
        </w:rPr>
        <w:t>础，一定程度上预示世界社会主义发展逐</w:t>
      </w:r>
      <w:r>
        <w:rPr>
          <w:rFonts w:hint="eastAsia" w:ascii="宋体" w:hAnsi="宋体" w:eastAsia="宋体" w:cs="宋体"/>
          <w:color w:val="231F20"/>
          <w:spacing w:val="5"/>
          <w:sz w:val="22"/>
          <w:szCs w:val="22"/>
        </w:rPr>
        <w:t>渐转入高潮，证明了多样化为马克思主义时代化带来的强劲生命力。</w:t>
      </w:r>
      <w:r>
        <w:rPr>
          <w:rStyle w:val="20"/>
          <w:rFonts w:hint="eastAsia" w:ascii="宋体" w:hAnsi="宋体" w:eastAsia="宋体" w:cs="宋体"/>
          <w:color w:val="231F20"/>
          <w:spacing w:val="5"/>
          <w:sz w:val="22"/>
          <w:szCs w:val="22"/>
        </w:rPr>
        <w:footnoteReference w:id="1291"/>
      </w:r>
    </w:p>
    <w:p w14:paraId="5FCC3AF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多样化能够体现马克思主义善于创新的时代精神，不拘泥于反复阐释马克思主义经典理论</w:t>
      </w:r>
      <w:r>
        <w:rPr>
          <w:rFonts w:hint="eastAsia" w:ascii="宋体" w:hAnsi="宋体" w:eastAsia="宋体" w:cs="宋体"/>
          <w:color w:val="231F20"/>
          <w:spacing w:val="4"/>
          <w:sz w:val="22"/>
          <w:szCs w:val="22"/>
        </w:rPr>
        <w:t>体系，更致力于将马克思主义融入时代发展前沿，推动理论</w:t>
      </w:r>
      <w:r>
        <w:rPr>
          <w:rFonts w:hint="eastAsia" w:ascii="宋体" w:hAnsi="宋体" w:eastAsia="宋体" w:cs="宋体"/>
          <w:color w:val="231F20"/>
          <w:spacing w:val="3"/>
          <w:sz w:val="22"/>
          <w:szCs w:val="22"/>
        </w:rPr>
        <w:t>创新和实践创新，为马克思主义时代</w:t>
      </w:r>
      <w:r>
        <w:rPr>
          <w:rFonts w:hint="eastAsia" w:ascii="宋体" w:hAnsi="宋体" w:eastAsia="宋体" w:cs="宋体"/>
          <w:color w:val="231F20"/>
          <w:spacing w:val="8"/>
          <w:sz w:val="22"/>
          <w:szCs w:val="22"/>
        </w:rPr>
        <w:t>化拉满创新“弓弦”。实践没有止境，理论创新也没有止境。世界社会</w:t>
      </w:r>
      <w:r>
        <w:rPr>
          <w:rFonts w:hint="eastAsia" w:ascii="宋体" w:hAnsi="宋体" w:eastAsia="宋体" w:cs="宋体"/>
          <w:color w:val="231F20"/>
          <w:spacing w:val="7"/>
          <w:sz w:val="22"/>
          <w:szCs w:val="22"/>
        </w:rPr>
        <w:t>主义曾经陷入谷底与黑</w:t>
      </w:r>
      <w:r>
        <w:rPr>
          <w:rFonts w:hint="eastAsia" w:ascii="宋体" w:hAnsi="宋体" w:eastAsia="宋体" w:cs="宋体"/>
          <w:color w:val="231F20"/>
          <w:spacing w:val="3"/>
          <w:sz w:val="22"/>
          <w:szCs w:val="22"/>
        </w:rPr>
        <w:t>暗，这反而给了众多马克思主义者破除僵化，以创新拥抱未来的勇气和决心。美国学者大卫</w:t>
      </w:r>
      <w:r>
        <w:rPr>
          <w:rFonts w:hint="eastAsia" w:ascii="宋体" w:hAnsi="宋体" w:eastAsia="宋体" w:cs="宋体"/>
          <w:color w:val="231F20"/>
          <w:spacing w:val="2"/>
          <w:sz w:val="22"/>
          <w:szCs w:val="22"/>
        </w:rPr>
        <w:t>·科</w:t>
      </w:r>
      <w:r>
        <w:rPr>
          <w:rFonts w:hint="eastAsia" w:ascii="宋体" w:hAnsi="宋体" w:eastAsia="宋体" w:cs="宋体"/>
          <w:color w:val="231F20"/>
          <w:spacing w:val="-2"/>
          <w:sz w:val="22"/>
          <w:szCs w:val="22"/>
        </w:rPr>
        <w:t>茨指出，如果资本主义“主流”无法满足人民需要，民众就会加入我们，这需要更多的马克思主义</w:t>
      </w:r>
      <w:r>
        <w:rPr>
          <w:rFonts w:hint="eastAsia" w:ascii="宋体" w:hAnsi="宋体" w:eastAsia="宋体" w:cs="宋体"/>
          <w:color w:val="231F20"/>
          <w:spacing w:val="9"/>
          <w:sz w:val="22"/>
          <w:szCs w:val="22"/>
        </w:rPr>
        <w:t>理论者和实践者参与其中，以世界范围的行动把社会主</w:t>
      </w:r>
      <w:r>
        <w:rPr>
          <w:rFonts w:hint="eastAsia" w:ascii="宋体" w:hAnsi="宋体" w:eastAsia="宋体" w:cs="宋体"/>
          <w:color w:val="231F20"/>
          <w:spacing w:val="8"/>
          <w:sz w:val="22"/>
          <w:szCs w:val="22"/>
        </w:rPr>
        <w:t>义愿景照入现实，吸引更多人相信社会</w:t>
      </w:r>
      <w:r>
        <w:rPr>
          <w:rFonts w:hint="eastAsia" w:ascii="宋体" w:hAnsi="宋体" w:eastAsia="宋体" w:cs="宋体"/>
          <w:color w:val="231F20"/>
          <w:spacing w:val="-1"/>
          <w:sz w:val="22"/>
          <w:szCs w:val="22"/>
        </w:rPr>
        <w:t>主义。</w:t>
      </w:r>
      <w:r>
        <w:rPr>
          <w:rStyle w:val="20"/>
          <w:rFonts w:hint="eastAsia" w:ascii="宋体" w:hAnsi="宋体" w:eastAsia="宋体" w:cs="宋体"/>
          <w:color w:val="231F20"/>
          <w:spacing w:val="-1"/>
          <w:sz w:val="22"/>
          <w:szCs w:val="22"/>
        </w:rPr>
        <w:footnoteReference w:id="1292"/>
      </w:r>
      <w:r>
        <w:rPr>
          <w:rFonts w:hint="eastAsia" w:ascii="宋体" w:hAnsi="宋体" w:eastAsia="宋体" w:cs="宋体"/>
          <w:color w:val="231F20"/>
          <w:spacing w:val="-1"/>
          <w:sz w:val="22"/>
          <w:szCs w:val="22"/>
        </w:rPr>
        <w:t>以《科学与社会》《每月评论》为代表的西方左翼刊物，不断增</w:t>
      </w:r>
      <w:r>
        <w:rPr>
          <w:rFonts w:hint="eastAsia" w:ascii="宋体" w:hAnsi="宋体" w:eastAsia="宋体" w:cs="宋体"/>
          <w:color w:val="231F20"/>
          <w:spacing w:val="-2"/>
          <w:sz w:val="22"/>
          <w:szCs w:val="22"/>
        </w:rPr>
        <w:t>强对马克思主义理论模型</w:t>
      </w:r>
      <w:r>
        <w:rPr>
          <w:rFonts w:hint="eastAsia" w:ascii="宋体" w:hAnsi="宋体" w:eastAsia="宋体" w:cs="宋体"/>
          <w:color w:val="231F20"/>
          <w:spacing w:val="7"/>
          <w:sz w:val="22"/>
          <w:szCs w:val="22"/>
        </w:rPr>
        <w:t>及世界社会主义前沿理论的研究，以其多样化的创新有力推动马克</w:t>
      </w:r>
      <w:r>
        <w:rPr>
          <w:rFonts w:hint="eastAsia" w:ascii="宋体" w:hAnsi="宋体" w:eastAsia="宋体" w:cs="宋体"/>
          <w:color w:val="231F20"/>
          <w:spacing w:val="6"/>
          <w:sz w:val="22"/>
          <w:szCs w:val="22"/>
        </w:rPr>
        <w:t>思主义时代化发展。</w:t>
      </w:r>
    </w:p>
    <w:p w14:paraId="4422933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b/>
          <w:bCs/>
          <w:sz w:val="22"/>
          <w:szCs w:val="22"/>
        </w:rPr>
      </w:pPr>
      <w:r>
        <w:rPr>
          <w:rFonts w:hint="eastAsia" w:ascii="宋体" w:hAnsi="宋体" w:eastAsia="宋体" w:cs="宋体"/>
          <w:b/>
          <w:bCs/>
          <w:color w:val="231F20"/>
          <w:spacing w:val="5"/>
          <w:sz w:val="22"/>
          <w:szCs w:val="22"/>
        </w:rPr>
        <w:t>（三）本土化与多样化相统一的时代化</w:t>
      </w:r>
    </w:p>
    <w:p w14:paraId="58272A3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1.必须坚持科学社会主义根本原则立场观点</w:t>
      </w:r>
    </w:p>
    <w:p w14:paraId="4BF3E83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本土化和多样化必须坚持科学社会主义的根本</w:t>
      </w:r>
      <w:r>
        <w:rPr>
          <w:rFonts w:hint="eastAsia" w:ascii="宋体" w:hAnsi="宋体" w:eastAsia="宋体" w:cs="宋体"/>
          <w:color w:val="231F20"/>
          <w:spacing w:val="8"/>
          <w:sz w:val="22"/>
          <w:szCs w:val="22"/>
        </w:rPr>
        <w:t>原则、立场和观点，这是推进马克思主义时</w:t>
      </w:r>
      <w:r>
        <w:rPr>
          <w:rFonts w:hint="eastAsia" w:ascii="宋体" w:hAnsi="宋体" w:eastAsia="宋体" w:cs="宋体"/>
          <w:color w:val="231F20"/>
          <w:spacing w:val="-3"/>
          <w:sz w:val="22"/>
          <w:szCs w:val="22"/>
        </w:rPr>
        <w:t>代化不可逾越的底线和红线，必须坚决反对“公开性”和指导思想“多元化”等错误倾向。苏联解</w:t>
      </w:r>
      <w:r>
        <w:rPr>
          <w:rFonts w:hint="eastAsia" w:ascii="宋体" w:hAnsi="宋体" w:eastAsia="宋体" w:cs="宋体"/>
          <w:color w:val="231F20"/>
          <w:spacing w:val="9"/>
          <w:sz w:val="22"/>
          <w:szCs w:val="22"/>
        </w:rPr>
        <w:t>体和东欧剧变留给世界社会主义的教训是惨痛的，马克</w:t>
      </w:r>
      <w:r>
        <w:rPr>
          <w:rFonts w:hint="eastAsia" w:ascii="宋体" w:hAnsi="宋体" w:eastAsia="宋体" w:cs="宋体"/>
          <w:color w:val="231F20"/>
          <w:spacing w:val="8"/>
          <w:sz w:val="22"/>
          <w:szCs w:val="22"/>
        </w:rPr>
        <w:t>思主义要引领时代发展，就必须时刻牢记自身的根本原则、立场和观点。本土化绝不意味着放弃国际主义而堕入狭</w:t>
      </w:r>
      <w:r>
        <w:rPr>
          <w:rFonts w:hint="eastAsia" w:ascii="宋体" w:hAnsi="宋体" w:eastAsia="宋体" w:cs="宋体"/>
          <w:color w:val="231F20"/>
          <w:spacing w:val="7"/>
          <w:sz w:val="22"/>
          <w:szCs w:val="22"/>
        </w:rPr>
        <w:t>隘的民族主义，要</w:t>
      </w:r>
      <w:r>
        <w:rPr>
          <w:rFonts w:hint="eastAsia" w:ascii="宋体" w:hAnsi="宋体" w:eastAsia="宋体" w:cs="宋体"/>
          <w:color w:val="231F20"/>
          <w:spacing w:val="9"/>
          <w:sz w:val="22"/>
          <w:szCs w:val="22"/>
        </w:rPr>
        <w:t>以爱国主义和国际主义推动马克思主义落地生根；多样</w:t>
      </w:r>
      <w:r>
        <w:rPr>
          <w:rFonts w:hint="eastAsia" w:ascii="宋体" w:hAnsi="宋体" w:eastAsia="宋体" w:cs="宋体"/>
          <w:color w:val="231F20"/>
          <w:spacing w:val="8"/>
          <w:sz w:val="22"/>
          <w:szCs w:val="22"/>
        </w:rPr>
        <w:t>化也不意味着抛弃马克思主义基本原理</w:t>
      </w:r>
      <w:r>
        <w:rPr>
          <w:rFonts w:hint="eastAsia" w:ascii="宋体" w:hAnsi="宋体" w:eastAsia="宋体" w:cs="宋体"/>
          <w:color w:val="231F20"/>
          <w:spacing w:val="7"/>
          <w:sz w:val="22"/>
          <w:szCs w:val="22"/>
        </w:rPr>
        <w:t>而坠入西方理论体系的窠臼，要在坚持科学社会主义原则的基础上进行合理创新。马克思主义</w:t>
      </w:r>
      <w:r>
        <w:rPr>
          <w:rFonts w:hint="eastAsia" w:ascii="宋体" w:hAnsi="宋体" w:eastAsia="宋体" w:cs="宋体"/>
          <w:color w:val="231F20"/>
          <w:spacing w:val="-6"/>
          <w:sz w:val="22"/>
          <w:szCs w:val="22"/>
        </w:rPr>
        <w:t>时代化的第一要义是坚持马克思主义，并非盲目“跟风”，追赶理论“时髦”，离开马克思主义这个</w:t>
      </w:r>
      <w:r>
        <w:rPr>
          <w:rFonts w:hint="eastAsia" w:ascii="宋体" w:hAnsi="宋体" w:eastAsia="宋体" w:cs="宋体"/>
          <w:color w:val="231F20"/>
          <w:spacing w:val="-10"/>
          <w:sz w:val="22"/>
          <w:szCs w:val="22"/>
        </w:rPr>
        <w:t>根本，再“花哨”的所谓时代化进程，都是无本之木、无源之水。</w:t>
      </w:r>
    </w:p>
    <w:p w14:paraId="744DAF0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本土化和多样化必须对世界各国、各学派的左</w:t>
      </w:r>
      <w:r>
        <w:rPr>
          <w:rFonts w:hint="eastAsia" w:ascii="宋体" w:hAnsi="宋体" w:eastAsia="宋体" w:cs="宋体"/>
          <w:color w:val="231F20"/>
          <w:spacing w:val="8"/>
          <w:sz w:val="22"/>
          <w:szCs w:val="22"/>
        </w:rPr>
        <w:t>翼理论进行认真思考研判，批判地分析西方</w:t>
      </w:r>
      <w:r>
        <w:rPr>
          <w:rFonts w:hint="eastAsia" w:ascii="宋体" w:hAnsi="宋体" w:eastAsia="宋体" w:cs="宋体"/>
          <w:color w:val="231F20"/>
          <w:spacing w:val="13"/>
          <w:sz w:val="22"/>
          <w:szCs w:val="22"/>
        </w:rPr>
        <w:t>马克思主义的本质特征。本土化和多样化在马克思主义时代化进程中逐渐衍生出一门极具争</w:t>
      </w:r>
      <w:r>
        <w:rPr>
          <w:rFonts w:hint="eastAsia" w:ascii="宋体" w:hAnsi="宋体" w:eastAsia="宋体" w:cs="宋体"/>
          <w:color w:val="231F20"/>
          <w:spacing w:val="8"/>
          <w:sz w:val="22"/>
          <w:szCs w:val="22"/>
        </w:rPr>
        <w:t>议性的思潮——西方马克思主义。美国学者约翰·贝拉米·福斯特和加布</w:t>
      </w:r>
      <w:r>
        <w:rPr>
          <w:rFonts w:hint="eastAsia" w:ascii="宋体" w:hAnsi="宋体" w:eastAsia="宋体" w:cs="宋体"/>
          <w:color w:val="231F20"/>
          <w:spacing w:val="7"/>
          <w:sz w:val="22"/>
          <w:szCs w:val="22"/>
        </w:rPr>
        <w:t>里埃尔·罗克希尔指</w:t>
      </w:r>
      <w:r>
        <w:rPr>
          <w:rFonts w:hint="eastAsia" w:ascii="宋体" w:hAnsi="宋体" w:eastAsia="宋体" w:cs="宋体"/>
          <w:color w:val="231F20"/>
          <w:spacing w:val="4"/>
          <w:sz w:val="22"/>
          <w:szCs w:val="22"/>
        </w:rPr>
        <w:t>出，这个流派不仅拒绝苏联的马克思主义，还拒绝马克思恩格</w:t>
      </w:r>
      <w:r>
        <w:rPr>
          <w:rFonts w:hint="eastAsia" w:ascii="宋体" w:hAnsi="宋体" w:eastAsia="宋体" w:cs="宋体"/>
          <w:color w:val="231F20"/>
          <w:spacing w:val="3"/>
          <w:sz w:val="22"/>
          <w:szCs w:val="22"/>
        </w:rPr>
        <w:t>斯的许多经典理论，以及来自全球</w:t>
      </w:r>
      <w:r>
        <w:rPr>
          <w:rFonts w:hint="eastAsia" w:ascii="宋体" w:hAnsi="宋体" w:eastAsia="宋体" w:cs="宋体"/>
          <w:color w:val="231F20"/>
          <w:spacing w:val="-6"/>
          <w:sz w:val="22"/>
          <w:szCs w:val="22"/>
        </w:rPr>
        <w:t>南方的马克思主义，陷入了对阶级、帝国主义批判、唯物史观和理性的“四重退却”，是一种“帝国</w:t>
      </w:r>
      <w:r>
        <w:rPr>
          <w:rFonts w:hint="eastAsia" w:ascii="宋体" w:hAnsi="宋体" w:eastAsia="宋体" w:cs="宋体"/>
          <w:color w:val="231F20"/>
          <w:spacing w:val="6"/>
          <w:sz w:val="22"/>
          <w:szCs w:val="22"/>
        </w:rPr>
        <w:t>主义的马克思主义”。</w:t>
      </w:r>
      <w:r>
        <w:rPr>
          <w:rStyle w:val="20"/>
          <w:rFonts w:hint="eastAsia" w:ascii="宋体" w:hAnsi="宋体" w:eastAsia="宋体" w:cs="宋体"/>
          <w:color w:val="231F20"/>
          <w:spacing w:val="6"/>
          <w:sz w:val="22"/>
          <w:szCs w:val="22"/>
        </w:rPr>
        <w:footnoteReference w:id="1293"/>
      </w:r>
      <w:r>
        <w:rPr>
          <w:rFonts w:hint="eastAsia" w:ascii="宋体" w:hAnsi="宋体" w:eastAsia="宋体" w:cs="宋体"/>
          <w:color w:val="231F20"/>
          <w:spacing w:val="6"/>
          <w:sz w:val="22"/>
          <w:szCs w:val="22"/>
        </w:rPr>
        <w:t>本土化和多样化必须坚决防止落入西方马克思主义的异化和修正陷阱，</w:t>
      </w:r>
      <w:r>
        <w:rPr>
          <w:rFonts w:hint="eastAsia" w:ascii="宋体" w:hAnsi="宋体" w:eastAsia="宋体" w:cs="宋体"/>
          <w:color w:val="231F20"/>
          <w:spacing w:val="7"/>
          <w:sz w:val="22"/>
          <w:szCs w:val="22"/>
        </w:rPr>
        <w:t>这就要求我们科学扬弃世界社会主义发展成果，把握马克思</w:t>
      </w:r>
      <w:r>
        <w:rPr>
          <w:rFonts w:hint="eastAsia" w:ascii="宋体" w:hAnsi="宋体" w:eastAsia="宋体" w:cs="宋体"/>
          <w:color w:val="231F20"/>
          <w:spacing w:val="6"/>
          <w:sz w:val="22"/>
          <w:szCs w:val="22"/>
        </w:rPr>
        <w:t>主义时代化的正确方向。</w:t>
      </w:r>
    </w:p>
    <w:p w14:paraId="5351133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2.必须团结世界社会主义一切有生力量</w:t>
      </w:r>
    </w:p>
    <w:p w14:paraId="65ED7EB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9"/>
          <w:sz w:val="22"/>
          <w:szCs w:val="22"/>
        </w:rPr>
        <w:t>本土化和多样化必须致力于加强世界社会主义</w:t>
      </w:r>
      <w:r>
        <w:rPr>
          <w:rFonts w:hint="eastAsia" w:ascii="宋体" w:hAnsi="宋体" w:eastAsia="宋体" w:cs="宋体"/>
          <w:color w:val="231F20"/>
          <w:spacing w:val="8"/>
          <w:sz w:val="22"/>
          <w:szCs w:val="22"/>
        </w:rPr>
        <w:t>革命力量，尤其是团结和凝聚各国社会主义</w:t>
      </w:r>
      <w:r>
        <w:rPr>
          <w:rFonts w:hint="eastAsia" w:ascii="宋体" w:hAnsi="宋体" w:eastAsia="宋体" w:cs="宋体"/>
          <w:color w:val="231F20"/>
          <w:spacing w:val="9"/>
          <w:sz w:val="22"/>
          <w:szCs w:val="22"/>
        </w:rPr>
        <w:t>政党和左翼进步人士，集合最广大的力量推动21世纪马克思主义整体发展。习近平总书记指</w:t>
      </w:r>
      <w:r>
        <w:rPr>
          <w:rFonts w:hint="eastAsia" w:ascii="宋体" w:hAnsi="宋体" w:eastAsia="宋体" w:cs="宋体"/>
          <w:color w:val="231F20"/>
          <w:spacing w:val="3"/>
          <w:sz w:val="22"/>
          <w:szCs w:val="22"/>
        </w:rPr>
        <w:t>出：“当前，世界百年未有之大变局加速演进，人类又一次站在历史的十字路口。继</w:t>
      </w:r>
      <w:r>
        <w:rPr>
          <w:rFonts w:hint="eastAsia" w:ascii="宋体" w:hAnsi="宋体" w:eastAsia="宋体" w:cs="宋体"/>
          <w:color w:val="231F20"/>
          <w:spacing w:val="2"/>
          <w:sz w:val="22"/>
          <w:szCs w:val="22"/>
        </w:rPr>
        <w:t>续推进马克</w:t>
      </w:r>
      <w:r>
        <w:rPr>
          <w:rFonts w:hint="eastAsia" w:ascii="宋体" w:hAnsi="宋体" w:eastAsia="宋体" w:cs="宋体"/>
          <w:color w:val="231F20"/>
          <w:spacing w:val="4"/>
          <w:sz w:val="22"/>
          <w:szCs w:val="22"/>
        </w:rPr>
        <w:t>思主义本土化时代化，用真理的光芒照亮人类前行之路，是马克思主义政党共同的责任。”</w:t>
      </w:r>
      <w:r>
        <w:rPr>
          <w:rStyle w:val="20"/>
          <w:rFonts w:hint="eastAsia" w:ascii="宋体" w:hAnsi="宋体" w:eastAsia="宋体" w:cs="宋体"/>
          <w:color w:val="231F20"/>
          <w:spacing w:val="4"/>
          <w:sz w:val="22"/>
          <w:szCs w:val="22"/>
        </w:rPr>
        <w:footnoteReference w:id="1294"/>
      </w:r>
      <w:r>
        <w:rPr>
          <w:rFonts w:hint="eastAsia" w:ascii="宋体" w:hAnsi="宋体" w:eastAsia="宋体" w:cs="宋体"/>
          <w:color w:val="231F20"/>
          <w:spacing w:val="4"/>
          <w:sz w:val="22"/>
          <w:szCs w:val="22"/>
        </w:rPr>
        <w:t>中</w:t>
      </w:r>
      <w:r>
        <w:rPr>
          <w:rFonts w:hint="eastAsia" w:ascii="宋体" w:hAnsi="宋体" w:eastAsia="宋体" w:cs="宋体"/>
          <w:color w:val="231F20"/>
          <w:spacing w:val="-1"/>
          <w:sz w:val="22"/>
          <w:szCs w:val="22"/>
        </w:rPr>
        <w:t>国、越南、朝鲜、老挝、古巴等社会主义国家执政党日益肩负起引领重任，俄罗斯、意</w:t>
      </w:r>
      <w:r>
        <w:rPr>
          <w:rFonts w:hint="eastAsia" w:ascii="宋体" w:hAnsi="宋体" w:eastAsia="宋体" w:cs="宋体"/>
          <w:color w:val="231F20"/>
          <w:spacing w:val="-2"/>
          <w:sz w:val="22"/>
          <w:szCs w:val="22"/>
        </w:rPr>
        <w:t>大利等发达</w:t>
      </w:r>
      <w:r>
        <w:rPr>
          <w:rFonts w:hint="eastAsia" w:ascii="宋体" w:hAnsi="宋体" w:eastAsia="宋体" w:cs="宋体"/>
          <w:color w:val="231F20"/>
          <w:spacing w:val="3"/>
          <w:sz w:val="22"/>
          <w:szCs w:val="22"/>
        </w:rPr>
        <w:t>国家的共产党组织稳步发展，世界反帝国主义平台、</w:t>
      </w:r>
      <w:r>
        <w:rPr>
          <w:rFonts w:hint="eastAsia" w:ascii="宋体" w:hAnsi="宋体" w:eastAsia="宋体" w:cs="宋体"/>
          <w:color w:val="231F20"/>
          <w:spacing w:val="2"/>
          <w:sz w:val="22"/>
          <w:szCs w:val="22"/>
        </w:rPr>
        <w:t>“欧洲共产主义行动”“社会主义中国之友”</w:t>
      </w:r>
      <w:r>
        <w:rPr>
          <w:rFonts w:hint="eastAsia" w:ascii="宋体" w:hAnsi="宋体" w:eastAsia="宋体" w:cs="宋体"/>
          <w:color w:val="231F20"/>
          <w:spacing w:val="9"/>
          <w:sz w:val="22"/>
          <w:szCs w:val="22"/>
        </w:rPr>
        <w:t>等左翼平台兴起，越来越多的民众尤其是发达国家的年</w:t>
      </w:r>
      <w:r>
        <w:rPr>
          <w:rFonts w:hint="eastAsia" w:ascii="宋体" w:hAnsi="宋体" w:eastAsia="宋体" w:cs="宋体"/>
          <w:color w:val="231F20"/>
          <w:spacing w:val="8"/>
          <w:sz w:val="22"/>
          <w:szCs w:val="22"/>
        </w:rPr>
        <w:t>轻人对社会主义持积极态度，这些都显</w:t>
      </w:r>
      <w:r>
        <w:rPr>
          <w:rFonts w:hint="eastAsia" w:ascii="宋体" w:hAnsi="宋体" w:eastAsia="宋体" w:cs="宋体"/>
          <w:color w:val="231F20"/>
          <w:spacing w:val="9"/>
          <w:sz w:val="22"/>
          <w:szCs w:val="22"/>
        </w:rPr>
        <w:t>示出当今时代马克思主义本土化多样化发展的重要成就。</w:t>
      </w:r>
    </w:p>
    <w:p w14:paraId="2ED4103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3"/>
          <w:sz w:val="22"/>
          <w:szCs w:val="22"/>
        </w:rPr>
        <w:t>我们必须对当代资本主义的新情况、新特点、新形态进行深入研究和批判，探寻新帝国主义</w:t>
      </w:r>
      <w:r>
        <w:rPr>
          <w:rFonts w:hint="eastAsia" w:ascii="宋体" w:hAnsi="宋体" w:eastAsia="宋体" w:cs="宋体"/>
          <w:color w:val="231F20"/>
          <w:spacing w:val="8"/>
          <w:sz w:val="22"/>
          <w:szCs w:val="22"/>
        </w:rPr>
        <w:t>发展的理论动态和实践趋势，坚决反对右翼势力对世界社会主义运动的诋毁、攻</w:t>
      </w:r>
      <w:r>
        <w:rPr>
          <w:rFonts w:hint="eastAsia" w:ascii="宋体" w:hAnsi="宋体" w:eastAsia="宋体" w:cs="宋体"/>
          <w:color w:val="231F20"/>
          <w:spacing w:val="7"/>
          <w:sz w:val="22"/>
          <w:szCs w:val="22"/>
        </w:rPr>
        <w:t>击和破坏。世</w:t>
      </w:r>
      <w:r>
        <w:rPr>
          <w:rFonts w:hint="eastAsia" w:ascii="宋体" w:hAnsi="宋体" w:eastAsia="宋体" w:cs="宋体"/>
          <w:color w:val="231F20"/>
          <w:spacing w:val="9"/>
          <w:sz w:val="22"/>
          <w:szCs w:val="22"/>
        </w:rPr>
        <w:t>界进入百年未有之大变局，全球左翼学术界对当代资本主</w:t>
      </w:r>
      <w:r>
        <w:rPr>
          <w:rFonts w:hint="eastAsia" w:ascii="宋体" w:hAnsi="宋体" w:eastAsia="宋体" w:cs="宋体"/>
          <w:color w:val="231F20"/>
          <w:spacing w:val="8"/>
          <w:sz w:val="22"/>
          <w:szCs w:val="22"/>
        </w:rPr>
        <w:t>义的批判研究持续深化，涌现出晚期</w:t>
      </w:r>
      <w:r>
        <w:rPr>
          <w:rFonts w:hint="eastAsia" w:ascii="宋体" w:hAnsi="宋体" w:eastAsia="宋体" w:cs="宋体"/>
          <w:color w:val="231F20"/>
          <w:spacing w:val="1"/>
          <w:sz w:val="22"/>
          <w:szCs w:val="22"/>
        </w:rPr>
        <w:t>帝国主义、数字帝国主义、监视资本主义、灾难资本主义、新冠资本主义</w:t>
      </w:r>
      <w:r>
        <w:rPr>
          <w:rFonts w:hint="eastAsia" w:ascii="宋体" w:hAnsi="宋体" w:eastAsia="宋体" w:cs="宋体"/>
          <w:color w:val="231F20"/>
          <w:sz w:val="22"/>
          <w:szCs w:val="22"/>
        </w:rPr>
        <w:t>等一系列前沿批判理论。</w:t>
      </w:r>
      <w:r>
        <w:rPr>
          <w:rFonts w:hint="eastAsia" w:ascii="宋体" w:hAnsi="宋体" w:eastAsia="宋体" w:cs="宋体"/>
          <w:color w:val="231F20"/>
          <w:spacing w:val="-1"/>
          <w:sz w:val="22"/>
          <w:szCs w:val="22"/>
        </w:rPr>
        <w:t>杰弗里·萨克斯加入批判西方体系的行列，伯尼·桑德斯、卢拉等人物的政治影响力依旧</w:t>
      </w:r>
      <w:r>
        <w:rPr>
          <w:rFonts w:hint="eastAsia" w:ascii="宋体" w:hAnsi="宋体" w:eastAsia="宋体" w:cs="宋体"/>
          <w:color w:val="231F20"/>
          <w:spacing w:val="-2"/>
          <w:sz w:val="22"/>
          <w:szCs w:val="22"/>
        </w:rPr>
        <w:t>，甚至埃</w:t>
      </w:r>
      <w:r>
        <w:rPr>
          <w:rFonts w:hint="eastAsia" w:ascii="宋体" w:hAnsi="宋体" w:eastAsia="宋体" w:cs="宋体"/>
          <w:color w:val="231F20"/>
          <w:spacing w:val="3"/>
          <w:sz w:val="22"/>
          <w:szCs w:val="22"/>
        </w:rPr>
        <w:t>隆·马斯克也“间歇性”表达对社会主义的</w:t>
      </w:r>
      <w:r>
        <w:rPr>
          <w:rFonts w:hint="eastAsia" w:ascii="宋体" w:hAnsi="宋体" w:eastAsia="宋体" w:cs="宋体"/>
          <w:color w:val="231F20"/>
          <w:spacing w:val="2"/>
          <w:sz w:val="22"/>
          <w:szCs w:val="22"/>
        </w:rPr>
        <w:t>好感。这些现象虽然在一定程度上体现了马克思主义的时代热度，但也必须认清风险与挑战。曾监视并威胁美国近200</w:t>
      </w:r>
      <w:r>
        <w:rPr>
          <w:rFonts w:hint="eastAsia" w:ascii="宋体" w:hAnsi="宋体" w:eastAsia="宋体" w:cs="宋体"/>
          <w:color w:val="231F20"/>
          <w:spacing w:val="1"/>
          <w:sz w:val="22"/>
          <w:szCs w:val="22"/>
        </w:rPr>
        <w:t>位左翼学者、雇佣青少年制造</w:t>
      </w:r>
      <w:r>
        <w:rPr>
          <w:rFonts w:hint="eastAsia" w:ascii="宋体" w:hAnsi="宋体" w:eastAsia="宋体" w:cs="宋体"/>
          <w:color w:val="231F20"/>
          <w:spacing w:val="-2"/>
          <w:sz w:val="22"/>
          <w:szCs w:val="22"/>
        </w:rPr>
        <w:t>舆论的右翼激进组织“美国转折点”一度成为特朗普政府的“御用”宣传组织，这足以证</w:t>
      </w:r>
      <w:r>
        <w:rPr>
          <w:rFonts w:hint="eastAsia" w:ascii="宋体" w:hAnsi="宋体" w:eastAsia="宋体" w:cs="宋体"/>
          <w:color w:val="231F20"/>
          <w:spacing w:val="-3"/>
          <w:sz w:val="22"/>
          <w:szCs w:val="22"/>
        </w:rPr>
        <w:t>明当代资</w:t>
      </w:r>
      <w:r>
        <w:rPr>
          <w:rFonts w:hint="eastAsia" w:ascii="宋体" w:hAnsi="宋体" w:eastAsia="宋体" w:cs="宋体"/>
          <w:color w:val="231F20"/>
          <w:spacing w:val="8"/>
          <w:sz w:val="22"/>
          <w:szCs w:val="22"/>
        </w:rPr>
        <w:t>本主义的腐朽性和危险性。</w:t>
      </w:r>
    </w:p>
    <w:p w14:paraId="374A79A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7"/>
          <w:sz w:val="22"/>
          <w:szCs w:val="22"/>
        </w:rPr>
        <w:t>3.必须推进马克思主义融合创新发展</w:t>
      </w:r>
    </w:p>
    <w:p w14:paraId="1E1A441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2"/>
          <w:szCs w:val="22"/>
        </w:rPr>
      </w:pPr>
      <w:r>
        <w:rPr>
          <w:rFonts w:hint="eastAsia" w:ascii="宋体" w:hAnsi="宋体" w:eastAsia="宋体" w:cs="宋体"/>
          <w:color w:val="231F20"/>
          <w:spacing w:val="8"/>
          <w:sz w:val="22"/>
          <w:szCs w:val="22"/>
        </w:rPr>
        <w:t>以本土化和多样化引领马克思主义时代化发展，必须大力深化对马克思主义融合创新理论和实践的研究，真正形成以马克思主义为指导的自主的理论体系和实践路径。世界进</w:t>
      </w:r>
      <w:r>
        <w:rPr>
          <w:rFonts w:hint="eastAsia" w:ascii="宋体" w:hAnsi="宋体" w:eastAsia="宋体" w:cs="宋体"/>
          <w:color w:val="231F20"/>
          <w:spacing w:val="7"/>
          <w:sz w:val="22"/>
          <w:szCs w:val="22"/>
        </w:rPr>
        <w:t>入百年未</w:t>
      </w:r>
      <w:r>
        <w:rPr>
          <w:rFonts w:hint="eastAsia" w:ascii="宋体" w:hAnsi="宋体" w:eastAsia="宋体" w:cs="宋体"/>
          <w:color w:val="231F20"/>
          <w:spacing w:val="4"/>
          <w:sz w:val="22"/>
          <w:szCs w:val="22"/>
        </w:rPr>
        <w:t>有之大变局，西方主导的世界文明体系、制度体系、知识体</w:t>
      </w:r>
      <w:r>
        <w:rPr>
          <w:rFonts w:hint="eastAsia" w:ascii="宋体" w:hAnsi="宋体" w:eastAsia="宋体" w:cs="宋体"/>
          <w:color w:val="231F20"/>
          <w:spacing w:val="3"/>
          <w:sz w:val="22"/>
          <w:szCs w:val="22"/>
        </w:rPr>
        <w:t>系、安全体系与社会体系陷入全面衰落，众多学术理论与现实情况脱节，舆论宣传与客观现实不符，社会治理与人民需要背离。</w:t>
      </w:r>
      <w:r>
        <w:rPr>
          <w:rFonts w:hint="eastAsia" w:ascii="宋体" w:hAnsi="宋体" w:eastAsia="宋体" w:cs="宋体"/>
          <w:color w:val="231F20"/>
          <w:spacing w:val="2"/>
          <w:sz w:val="22"/>
          <w:szCs w:val="22"/>
        </w:rPr>
        <w:t>在这</w:t>
      </w:r>
      <w:r>
        <w:rPr>
          <w:rFonts w:hint="eastAsia" w:ascii="宋体" w:hAnsi="宋体" w:eastAsia="宋体" w:cs="宋体"/>
          <w:color w:val="231F20"/>
          <w:spacing w:val="9"/>
          <w:sz w:val="22"/>
          <w:szCs w:val="22"/>
        </w:rPr>
        <w:t>种情况下，必须积极推动马克思主义与多领域融合创新</w:t>
      </w:r>
      <w:r>
        <w:rPr>
          <w:rFonts w:hint="eastAsia" w:ascii="宋体" w:hAnsi="宋体" w:eastAsia="宋体" w:cs="宋体"/>
          <w:color w:val="231F20"/>
          <w:spacing w:val="8"/>
          <w:sz w:val="22"/>
          <w:szCs w:val="22"/>
        </w:rPr>
        <w:t>发展的新进程，促使马克思主义在理论</w:t>
      </w:r>
      <w:r>
        <w:rPr>
          <w:rFonts w:hint="eastAsia" w:ascii="宋体" w:hAnsi="宋体" w:eastAsia="宋体" w:cs="宋体"/>
          <w:color w:val="231F20"/>
          <w:spacing w:val="-1"/>
          <w:sz w:val="22"/>
          <w:szCs w:val="22"/>
        </w:rPr>
        <w:t>和实践层面融入政治治理、经济发展、文化建设、社会管理、生态保护等多个领域，以</w:t>
      </w:r>
      <w:r>
        <w:rPr>
          <w:rFonts w:hint="eastAsia" w:ascii="宋体" w:hAnsi="宋体" w:eastAsia="宋体" w:cs="宋体"/>
          <w:color w:val="231F20"/>
          <w:spacing w:val="-2"/>
          <w:sz w:val="22"/>
          <w:szCs w:val="22"/>
        </w:rPr>
        <w:t>本土化、多</w:t>
      </w:r>
      <w:r>
        <w:rPr>
          <w:rFonts w:hint="eastAsia" w:ascii="宋体" w:hAnsi="宋体" w:eastAsia="宋体" w:cs="宋体"/>
          <w:color w:val="231F20"/>
          <w:spacing w:val="9"/>
          <w:sz w:val="22"/>
          <w:szCs w:val="22"/>
        </w:rPr>
        <w:t>样化的方针推动马克思主义与多个领域融合发展，回应</w:t>
      </w:r>
      <w:r>
        <w:rPr>
          <w:rFonts w:hint="eastAsia" w:ascii="宋体" w:hAnsi="宋体" w:eastAsia="宋体" w:cs="宋体"/>
          <w:color w:val="231F20"/>
          <w:spacing w:val="8"/>
          <w:sz w:val="22"/>
          <w:szCs w:val="22"/>
        </w:rPr>
        <w:t>时代诉求，真正以马克思主义科学理论保障世界人民发展福祉。</w:t>
      </w:r>
    </w:p>
    <w:p w14:paraId="776CF25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4"/>
          <w:szCs w:val="24"/>
        </w:rPr>
      </w:pPr>
      <w:r>
        <w:rPr>
          <w:rFonts w:hint="eastAsia" w:ascii="宋体" w:hAnsi="宋体" w:eastAsia="宋体" w:cs="宋体"/>
          <w:color w:val="231F20"/>
          <w:spacing w:val="3"/>
          <w:sz w:val="22"/>
          <w:szCs w:val="22"/>
        </w:rPr>
        <w:t>以本土化和多样化推进马克思主义融合创新，必须坚持重要方法论原则，坚决</w:t>
      </w:r>
      <w:r>
        <w:rPr>
          <w:rFonts w:hint="eastAsia" w:ascii="宋体" w:hAnsi="宋体" w:eastAsia="宋体" w:cs="宋体"/>
          <w:color w:val="231F20"/>
          <w:spacing w:val="2"/>
          <w:sz w:val="22"/>
          <w:szCs w:val="22"/>
        </w:rPr>
        <w:t>防止“以西化</w:t>
      </w:r>
      <w:r>
        <w:rPr>
          <w:rFonts w:hint="eastAsia" w:ascii="宋体" w:hAnsi="宋体" w:eastAsia="宋体" w:cs="宋体"/>
          <w:color w:val="231F20"/>
          <w:spacing w:val="-1"/>
          <w:sz w:val="22"/>
          <w:szCs w:val="22"/>
        </w:rPr>
        <w:t>马”的错误倾向，采取“批判-指导-融合-创新-建构”的路径，形成以马克思主义为指导</w:t>
      </w:r>
      <w:r>
        <w:rPr>
          <w:rFonts w:hint="eastAsia" w:ascii="宋体" w:hAnsi="宋体" w:eastAsia="宋体" w:cs="宋体"/>
          <w:color w:val="231F20"/>
          <w:spacing w:val="-2"/>
          <w:sz w:val="22"/>
          <w:szCs w:val="22"/>
        </w:rPr>
        <w:t>的、科学</w:t>
      </w:r>
      <w:r>
        <w:rPr>
          <w:rFonts w:hint="eastAsia" w:ascii="宋体" w:hAnsi="宋体" w:eastAsia="宋体" w:cs="宋体"/>
          <w:color w:val="231F20"/>
          <w:spacing w:val="8"/>
          <w:sz w:val="22"/>
          <w:szCs w:val="22"/>
        </w:rPr>
        <w:t>的、自主的知识体系。习近平总书记对新时代马克思主义理论研究和建设工程作出指示强调：</w:t>
      </w:r>
      <w:r>
        <w:rPr>
          <w:rFonts w:hint="eastAsia" w:ascii="宋体" w:hAnsi="宋体" w:eastAsia="宋体" w:cs="宋体"/>
          <w:color w:val="231F20"/>
          <w:spacing w:val="6"/>
          <w:sz w:val="22"/>
          <w:szCs w:val="22"/>
        </w:rPr>
        <w:t>“新时代新征程，要坚持守正创新，聚焦学习宣传贯彻习近平新时代中国特色社会主义思想，着力深化体系化、学理化研究阐释，着力增强学习宣传的针对性、实效性，推动党的创新理论更加</w:t>
      </w:r>
      <w:r>
        <w:rPr>
          <w:rFonts w:hint="eastAsia" w:ascii="宋体" w:hAnsi="宋体" w:eastAsia="宋体" w:cs="宋体"/>
          <w:color w:val="231F20"/>
          <w:spacing w:val="1"/>
          <w:sz w:val="22"/>
          <w:szCs w:val="22"/>
        </w:rPr>
        <w:t>深入人心。要坚持‘两个结合’，扎根中国大地、赓续中华</w:t>
      </w:r>
      <w:r>
        <w:rPr>
          <w:rFonts w:hint="eastAsia" w:ascii="宋体" w:hAnsi="宋体" w:eastAsia="宋体" w:cs="宋体"/>
          <w:color w:val="231F20"/>
          <w:sz w:val="22"/>
          <w:szCs w:val="22"/>
        </w:rPr>
        <w:t>文脉、厚植学术根基，深入研究以中国</w:t>
      </w:r>
      <w:r>
        <w:rPr>
          <w:rFonts w:hint="eastAsia" w:ascii="宋体" w:hAnsi="宋体" w:eastAsia="宋体" w:cs="宋体"/>
          <w:color w:val="231F20"/>
          <w:spacing w:val="11"/>
          <w:sz w:val="22"/>
          <w:szCs w:val="22"/>
        </w:rPr>
        <w:t>式现代化全面推进强国建设、民族复兴伟业实践中的重大问题，加快构建中国哲学社会科学自</w:t>
      </w:r>
      <w:r>
        <w:rPr>
          <w:rFonts w:hint="eastAsia" w:ascii="宋体" w:hAnsi="宋体" w:eastAsia="宋体" w:cs="宋体"/>
          <w:color w:val="231F20"/>
          <w:spacing w:val="2"/>
          <w:sz w:val="22"/>
          <w:szCs w:val="22"/>
        </w:rPr>
        <w:t>主知识体系，培养高素质理论人才，为推进马克思主义中国化时代化作出更大贡献。”</w:t>
      </w:r>
      <w:r>
        <w:rPr>
          <w:rStyle w:val="20"/>
          <w:rFonts w:hint="eastAsia" w:ascii="宋体" w:hAnsi="宋体" w:eastAsia="宋体" w:cs="宋体"/>
          <w:color w:val="231F20"/>
          <w:spacing w:val="2"/>
          <w:sz w:val="22"/>
          <w:szCs w:val="22"/>
        </w:rPr>
        <w:footnoteReference w:id="1295"/>
      </w:r>
      <w:r>
        <w:rPr>
          <w:rFonts w:hint="eastAsia" w:ascii="宋体" w:hAnsi="宋体" w:eastAsia="宋体" w:cs="宋体"/>
          <w:color w:val="231F20"/>
          <w:spacing w:val="2"/>
          <w:sz w:val="22"/>
          <w:szCs w:val="22"/>
        </w:rPr>
        <w:t>这为以本</w:t>
      </w:r>
      <w:r>
        <w:rPr>
          <w:rFonts w:hint="eastAsia" w:ascii="宋体" w:hAnsi="宋体" w:eastAsia="宋体" w:cs="宋体"/>
          <w:color w:val="231F20"/>
          <w:spacing w:val="6"/>
          <w:sz w:val="22"/>
          <w:szCs w:val="22"/>
        </w:rPr>
        <w:t>土化、多样化推进马克思主义时代化提供了</w:t>
      </w:r>
      <w:r>
        <w:rPr>
          <w:rFonts w:hint="eastAsia" w:ascii="宋体" w:hAnsi="宋体" w:eastAsia="宋体" w:cs="宋体"/>
          <w:color w:val="231F20"/>
          <w:spacing w:val="5"/>
          <w:sz w:val="22"/>
          <w:szCs w:val="22"/>
        </w:rPr>
        <w:t>根本遵循。一是以马克思主义为根本，守正创新，坚</w:t>
      </w:r>
      <w:r>
        <w:rPr>
          <w:rFonts w:hint="eastAsia" w:ascii="宋体" w:hAnsi="宋体" w:eastAsia="宋体" w:cs="宋体"/>
          <w:color w:val="231F20"/>
          <w:spacing w:val="6"/>
          <w:sz w:val="22"/>
          <w:szCs w:val="22"/>
        </w:rPr>
        <w:t>持批判为先、指导为要的原则，以马克思主</w:t>
      </w:r>
      <w:r>
        <w:rPr>
          <w:rFonts w:hint="eastAsia" w:ascii="宋体" w:hAnsi="宋体" w:eastAsia="宋体" w:cs="宋体"/>
          <w:color w:val="231F20"/>
          <w:spacing w:val="5"/>
          <w:sz w:val="22"/>
          <w:szCs w:val="22"/>
        </w:rPr>
        <w:t>义改造西方知识体系。二是以具体领域为转移，因地制宜，找到契合点和连接处，进行融合创新，在扬弃中形成科学的知识体系。三是以我为主，自</w:t>
      </w:r>
      <w:r>
        <w:rPr>
          <w:rFonts w:hint="eastAsia" w:ascii="宋体" w:hAnsi="宋体" w:eastAsia="宋体" w:cs="宋体"/>
          <w:color w:val="231F20"/>
          <w:spacing w:val="6"/>
          <w:sz w:val="22"/>
          <w:szCs w:val="22"/>
        </w:rPr>
        <w:t>主建构，形成马克思主义学说体系，完成自</w:t>
      </w:r>
      <w:r>
        <w:rPr>
          <w:rFonts w:hint="eastAsia" w:ascii="宋体" w:hAnsi="宋体" w:eastAsia="宋体" w:cs="宋体"/>
          <w:color w:val="231F20"/>
          <w:spacing w:val="5"/>
          <w:sz w:val="22"/>
          <w:szCs w:val="22"/>
        </w:rPr>
        <w:t>主知识体系的构建过程。本土化、多样化的马克思主</w:t>
      </w:r>
      <w:r>
        <w:rPr>
          <w:rFonts w:hint="eastAsia" w:ascii="宋体" w:hAnsi="宋体" w:eastAsia="宋体" w:cs="宋体"/>
          <w:color w:val="231F20"/>
          <w:spacing w:val="11"/>
          <w:sz w:val="22"/>
          <w:szCs w:val="22"/>
        </w:rPr>
        <w:t>义融合创新发展之路，是马克思主义反映时代的重要体现和重要路径，必将推动马克思主义时</w:t>
      </w:r>
      <w:r>
        <w:rPr>
          <w:rFonts w:hint="eastAsia" w:ascii="宋体" w:hAnsi="宋体" w:eastAsia="宋体" w:cs="宋体"/>
          <w:color w:val="231F20"/>
          <w:spacing w:val="19"/>
          <w:sz w:val="22"/>
          <w:szCs w:val="22"/>
        </w:rPr>
        <w:t>代化长久科学发展。</w:t>
      </w:r>
    </w:p>
    <w:p w14:paraId="53B5A06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50E7F30E">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2ED617A7">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《南京航空航天大学学报（社会科学版）》2026年第2期，</w:t>
      </w:r>
      <w:r>
        <w:rPr>
          <w:rFonts w:hint="eastAsia" w:ascii="Times New Roman" w:hAnsi="Times New Roman"/>
          <w:szCs w:val="21"/>
          <w:lang w:val="en-US" w:eastAsia="zh-CN"/>
        </w:rPr>
        <w:t>第二作者为</w:t>
      </w:r>
      <w:r>
        <w:rPr>
          <w:rFonts w:hint="eastAsia" w:ascii="Times New Roman" w:hAnsi="Times New Roman" w:eastAsia="宋体"/>
          <w:szCs w:val="21"/>
          <w:lang w:val="en-US" w:eastAsia="zh-CN"/>
        </w:rPr>
        <w:t>符豪。</w:t>
      </w:r>
      <w:r>
        <w:rPr>
          <w:rFonts w:hint="eastAsia" w:ascii="Times New Roman" w:hAnsi="Times New Roman"/>
          <w:szCs w:val="21"/>
          <w:lang w:val="en-US" w:eastAsia="zh-CN"/>
        </w:rPr>
        <w:t>）</w:t>
      </w:r>
    </w:p>
    <w:p w14:paraId="13A236A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62DA38A8">
      <w:pPr>
        <w:keepNext w:val="0"/>
        <w:keepLines w:val="0"/>
        <w:pageBreakBefore w:val="0"/>
        <w:widowControl w:val="0"/>
        <w:kinsoku/>
        <w:wordWrap/>
        <w:overflowPunct/>
        <w:topLinePunct w:val="0"/>
        <w:autoSpaceDE/>
        <w:autoSpaceDN/>
        <w:bidi w:val="0"/>
        <w:adjustRightInd w:val="0"/>
        <w:snapToGrid w:val="0"/>
        <w:spacing w:line="360" w:lineRule="auto"/>
        <w:ind w:firstLine="499" w:firstLineChars="200"/>
        <w:jc w:val="both"/>
        <w:textAlignment w:val="auto"/>
        <w:outlineLvl w:val="0"/>
        <w:rPr>
          <w:rFonts w:hint="eastAsia" w:ascii="宋体" w:hAnsi="宋体" w:eastAsia="宋体" w:cs="宋体"/>
          <w:b/>
          <w:bCs/>
          <w:w w:val="78"/>
          <w:kern w:val="2"/>
          <w:sz w:val="32"/>
          <w:szCs w:val="32"/>
          <w:lang w:val="en-US" w:eastAsia="zh-CN" w:bidi="ar-SA"/>
        </w:rPr>
      </w:pPr>
      <w:bookmarkStart w:id="967" w:name="_Toc1470281583"/>
      <w:bookmarkStart w:id="968" w:name="_Toc1392091528"/>
      <w:bookmarkStart w:id="969" w:name="_Toc1572257811"/>
      <w:bookmarkStart w:id="970" w:name="_Toc1592404600"/>
      <w:bookmarkStart w:id="971" w:name="_Toc7307"/>
      <w:bookmarkStart w:id="972" w:name="_Toc1545902825"/>
      <w:r>
        <w:rPr>
          <w:rFonts w:hint="eastAsia" w:ascii="宋体" w:hAnsi="宋体" w:eastAsia="宋体" w:cs="宋体"/>
          <w:b/>
          <w:bCs/>
          <w:w w:val="78"/>
          <w:kern w:val="2"/>
          <w:sz w:val="32"/>
          <w:szCs w:val="32"/>
          <w:lang w:val="en-US" w:eastAsia="zh-CN" w:bidi="ar-SA"/>
        </w:rPr>
        <w:t>4改革开放以来中国发展道路的经济实践、历史经验与未来进路</w:t>
      </w:r>
      <w:bookmarkEnd w:id="967"/>
      <w:bookmarkEnd w:id="968"/>
      <w:bookmarkEnd w:id="969"/>
      <w:bookmarkEnd w:id="970"/>
      <w:bookmarkEnd w:id="971"/>
      <w:bookmarkEnd w:id="972"/>
    </w:p>
    <w:p w14:paraId="00DF33A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40E9CCD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〔摘 要〕回顾改革开放历程，中国经济发展取得了举世瞩目的伟大成就。</w:t>
      </w:r>
      <w:bookmarkStart w:id="973" w:name="_Hlk214550827"/>
      <w:r>
        <w:rPr>
          <w:rFonts w:hint="eastAsia" w:ascii="宋体" w:hAnsi="宋体" w:eastAsia="宋体" w:cs="宋体"/>
        </w:rPr>
        <w:t>运用马克思主义和中国特色社会主义政治经济学理论和方法，</w:t>
      </w:r>
      <w:bookmarkEnd w:id="973"/>
      <w:r>
        <w:rPr>
          <w:rFonts w:hint="eastAsia" w:ascii="宋体" w:hAnsi="宋体" w:eastAsia="宋体" w:cs="宋体"/>
        </w:rPr>
        <w:t>系统梳理这一时期的经济实践与历史经验，可将其概括为七个方面：坚持以人民为中心的根本立场，实现经济增长与人民福祉同步提升；坚持解放和发展生产力的根本任务，完善社会主义市场经济体制与科技创新体系；坚持新发展理念的根本指引，引领经济高质量发展迈向更高阶段；坚持公有主体型的多种产权制度的根本原则，释放不同所有制经济的发展活力；坚持劳动主体型的多种分配制度的根本要求，兼顾公平效率稳步推进共同富裕；坚持国家主导型的多种调节制度的根本机制，推动有效市场和有为政府的功能性结合；坚持自力主导型的对外开放制度的根本战略，增强自主创新能力与全球竞争力。面向未来，中国发展道路将继续以此为根本遵循，推动中国式现代化不断实现新跨越，为开创人类文明新形态贡献中国智慧。</w:t>
      </w:r>
    </w:p>
    <w:p w14:paraId="3641A4F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〔关键词〕改革开放；中国发展道路；历史经验；未来发展；中国特色社会主义政治经济学分析</w:t>
      </w:r>
    </w:p>
    <w:p w14:paraId="0519C5F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5F8F720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“改革开放是中国人民和中华民族发展史上一次伟大革命，正是这个伟大革命推动了中国特色社会主义事业的伟大飞跃！”〔</w:t>
      </w:r>
      <w:r>
        <w:rPr>
          <w:rStyle w:val="20"/>
          <w:rFonts w:hint="eastAsia" w:ascii="宋体" w:hAnsi="宋体" w:eastAsia="宋体" w:cs="宋体"/>
        </w:rPr>
        <w:footnoteReference w:id="1296"/>
      </w:r>
      <w:r>
        <w:rPr>
          <w:rFonts w:hint="eastAsia" w:ascii="宋体" w:hAnsi="宋体" w:eastAsia="宋体" w:cs="宋体"/>
        </w:rPr>
        <w:t>〕十一届三中全会之后，党中央作出实行改革开放的历史性决策，团结带领全党全国各族人民不断探索、发展和完善中国特色社会主义市场经济体制。进入新时代，中国共产党继续坚持全面深化改革，统筹推进“五位一体”总体布局和“四个全面”战略布局，推动经济发展质量不断提升。经过四十多年的持续改革与发展，中国经济发展取得了举世瞩目的成就。经济建设的成功实践表明，中国发展道路具备强大生命力和制度优越性。要继续彰显其优势，必须系统总结其内在经验规律。“我们党一步步走过来，很重要的一条就是不断总结经验、提高本领，不断提高应对风险、迎接挑战、化险为夷的能力水平。”〔</w:t>
      </w:r>
      <w:r>
        <w:rPr>
          <w:rStyle w:val="20"/>
          <w:rFonts w:hint="eastAsia" w:ascii="宋体" w:hAnsi="宋体" w:eastAsia="宋体" w:cs="宋体"/>
        </w:rPr>
        <w:footnoteReference w:id="1297"/>
      </w:r>
      <w:r>
        <w:rPr>
          <w:rFonts w:hint="eastAsia" w:ascii="宋体" w:hAnsi="宋体" w:eastAsia="宋体" w:cs="宋体"/>
        </w:rPr>
        <w:t>〕运用马克思主义和中国特色社会主义政治经济学理论和方法，系统梳理改革开放以来的经济实践并总结其历史经验，不仅有助于促进中国发展道路的持续完善，而且也“为广大发展中国家走向现代化提供了成功经验、展现了光明前景”〔</w:t>
      </w:r>
      <w:r>
        <w:rPr>
          <w:rStyle w:val="20"/>
          <w:rFonts w:hint="eastAsia" w:ascii="宋体" w:hAnsi="宋体" w:eastAsia="宋体" w:cs="宋体"/>
        </w:rPr>
        <w:footnoteReference w:id="1298"/>
      </w:r>
      <w:r>
        <w:rPr>
          <w:rFonts w:hint="eastAsia" w:ascii="宋体" w:hAnsi="宋体" w:eastAsia="宋体" w:cs="宋体"/>
        </w:rPr>
        <w:t>〕。这对于维护世界和平、推动共同发展具有深远的全球影响，彰显了中华民族对人类文明进步的重大贡献。</w:t>
      </w:r>
    </w:p>
    <w:p w14:paraId="5B8976C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23A275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8"/>
        </w:rPr>
      </w:pPr>
      <w:r>
        <w:rPr>
          <w:rFonts w:hint="eastAsia" w:ascii="宋体" w:hAnsi="宋体" w:eastAsia="宋体" w:cs="宋体"/>
          <w:b/>
          <w:bCs/>
          <w:sz w:val="24"/>
          <w:szCs w:val="28"/>
        </w:rPr>
        <w:t>一、坚持以人民为中心是根本立场</w:t>
      </w:r>
    </w:p>
    <w:p w14:paraId="384E3C8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007D013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中国共产党始终坚持以人民为中心的根本立场，推动经济发展与人民福祉同步提升。改革开放以来的经济实践体现了从满足人民基本生存需求到关注人民整体生活质量，再到满足人民美好生活需要的转变与深化。</w:t>
      </w:r>
    </w:p>
    <w:p w14:paraId="62EF88C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b/>
          <w:bCs/>
        </w:rPr>
        <w:t>（一）改革开放以来贯彻以人民为中心的经济实践</w:t>
      </w:r>
    </w:p>
    <w:p w14:paraId="2A8E334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邓小平提出“贫穷不是社会主义”的论断，中国共产党的工作重心从阶级斗争转移到经济建设，全党全国对中国特色社会主义市场经济进行了广泛探索，人民生活水平不断提高。在温饱问题逐渐得到解决之后，其他基础性生存需求也逐渐提上议程。江泽民提出“三个代表”重要思想，明确指出中国共产党始终代表中国最广大人民的根本利益。保障人民基本生活成为经济建设的重要目标，覆盖全社会的养老、医疗和失业保险体系逐步建立。当生存性需求得到满足后，发展的更高层次需求便愈加突出。胡锦涛强调“以人为本”，将经济建设与促进人的全面发展相联系。他提出建设社会主义核心价值体系，推动物质文明和精神文明协调发展，并大力推进义务教育公平化，逐步取消农业税以解决农民税费负担重的问题。不仅如此，社会保障体系也实现了从覆盖城镇职工到覆盖城乡全体居民的跨越。</w:t>
      </w:r>
    </w:p>
    <w:p w14:paraId="06A7448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进入新时代以来，习近平提出“江山就是人民，人民就是江山”〔</w:t>
      </w:r>
      <w:r>
        <w:rPr>
          <w:rStyle w:val="20"/>
          <w:rFonts w:hint="eastAsia" w:ascii="宋体" w:hAnsi="宋体" w:eastAsia="宋体" w:cs="宋体"/>
        </w:rPr>
        <w:footnoteReference w:id="1299"/>
      </w:r>
      <w:r>
        <w:rPr>
          <w:rFonts w:hint="eastAsia" w:ascii="宋体" w:hAnsi="宋体" w:eastAsia="宋体" w:cs="宋体"/>
        </w:rPr>
        <w:t>〕，满足人民日益增长的美好生活需要成为中国共产党领导经济建设的奋斗目标。以习近平为核心的党中央带领全国人民顺利完成全面建成小康社会的战略目标，扎实推进共同富裕，不断提高公共服务水平。到2020年底，中国实现贫困人口全部脱贫，彻底消除绝对贫困，完成了全面建成小康社会的百年目标。社会主义并不止步于消除贫困，共同富裕既是其本质要求，也是中国式现代化的关键特征。为此，党中央以浙江省作为首个共同富裕示范区试点，探索实现共同富裕的现实路径。并提出京津冀协同发展、长三角一体化、粤港澳大湾区建设等区域协调发展新战略，加大对中西部和农村地区发展的支持力度。中等收入群体规模持续扩大，贫富差距逐步缩小，共同富裕水平稳步提升。人民对美好生活的向往不仅体现为收入水平的提升，也涵盖教育、医疗、养老等多维度的公共服务需求。中国共产党着力提升教育公平与质量，持续推动优质教育资源在城乡、区域之间更均衡配置；不断深化医药卫生体制改革，完善公共卫生应急管理体系，提高医疗服务的可及性与效率；积极应对人口老龄化，健全社会保障体系，完善基本养老保险全国统筹制度，构建多层次养老服务体系。公共服务的覆盖面和供给质量显著提升，人民群众的获得感和幸福感持续增强。</w:t>
      </w:r>
    </w:p>
    <w:p w14:paraId="7467EB0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（二）经济发展的根本立场的中西方体制差异解析</w:t>
      </w:r>
    </w:p>
    <w:p w14:paraId="35E3E2F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的经济实践充分表明，中国经济发展的根本立场始终是坚持以人民为中心。改革开放初期，改革的核心目标在于通过体制创新释放经济活力，迅速提升人民物质生活水平，解决温饱问题，并逐步建立基本的社会保障体系。随着经济持续增长、物质需求得到相对满足，改革的重点转向提升人民整体生活质量，更加突出社会公平与正义的价值取向。进入新时代，改革进一步聚焦于满足人民日益增长的美好生活需要，体现了以人民为中心的发展思想在更高水平上的深化与实践。</w:t>
      </w:r>
    </w:p>
    <w:p w14:paraId="2CBD33E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以美国为代表的西方资本主义国家，其经济发展的根本立场体现为典型的“以资本为中心”。追求剩余价值是资本的内在逻辑，作为资本人格化身的资本家和作为上层建筑重要组成部分的国家机器均以维护资本增殖为核心目标。在资本主义制度下，资本积累与投资被视为经济增长的主要驱动力，资本在生产过程中的资源配置中处于主导地位，决定着企业的运行方向和社会财富的生成机制。对利润尤其是超额利润的追逐，促使企业不断推动技术创新、产业升级并参与全球竞争。随着全球化加速推进，资本的跨国流动进一步强化了其在全球经济中的统摄力，推动形成了具有世界性影响的“以资本为中心”的经济体系,并造成资本主义私有制国家缓慢增长和世界经济体系失衡〔</w:t>
      </w:r>
      <w:r>
        <w:rPr>
          <w:rStyle w:val="20"/>
          <w:rFonts w:hint="eastAsia" w:ascii="宋体" w:hAnsi="宋体" w:eastAsia="宋体" w:cs="宋体"/>
        </w:rPr>
        <w:footnoteReference w:id="1300"/>
      </w:r>
      <w:r>
        <w:rPr>
          <w:rFonts w:hint="eastAsia" w:ascii="宋体" w:hAnsi="宋体" w:eastAsia="宋体" w:cs="宋体"/>
        </w:rPr>
        <w:t>〕。</w:t>
      </w:r>
    </w:p>
    <w:p w14:paraId="6AA6ADB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“以人民为中心”与“以资本为中心”代表着两种根本不同的发展立场，其核心目标及价值取向存在显著差异〔</w:t>
      </w:r>
      <w:r>
        <w:rPr>
          <w:rStyle w:val="20"/>
          <w:rFonts w:hint="eastAsia" w:ascii="宋体" w:hAnsi="宋体" w:eastAsia="宋体" w:cs="宋体"/>
        </w:rPr>
        <w:footnoteReference w:id="1301"/>
      </w:r>
      <w:r>
        <w:rPr>
          <w:rFonts w:hint="eastAsia" w:ascii="宋体" w:hAnsi="宋体" w:eastAsia="宋体" w:cs="宋体"/>
        </w:rPr>
        <w:t>〕。“以人民为中心”以增进人民福祉为根本旨归，强调社会公平、改善民生和实现共同富裕，将教育、医疗、生态环境与生活质量的整体提升视为发展的关键内容。经济增长在这里不仅是数量扩张，更是服务于全体人民全面发展的过程。相较而言，“以资本为中心”则以资本积累与增殖为核心动力，将利润最大化视为经济运行的首要目标。西方资本主义体制往往过度依赖资本收益，忽视环境保护、社会福利与长期民生利益，进而导致生态破坏、贫富差距扩大和公共健康风险累积等制度性和结构性问题。</w:t>
      </w:r>
    </w:p>
    <w:p w14:paraId="5802D9D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（三）坚持以人民为中心的实践经验与未来展望</w:t>
      </w:r>
    </w:p>
    <w:p w14:paraId="5E159F3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2015年，党的十八届五中全会通过《中共中央关于制定国民经济和社会发展第十三个五年规划的建议》，正式提出：“坚持以人民为中心的发展思想······真正做到发展为了人民、发展依靠人民、发展成果由人民共享”〔</w:t>
      </w:r>
      <w:r>
        <w:rPr>
          <w:rStyle w:val="20"/>
          <w:rFonts w:hint="eastAsia" w:ascii="宋体" w:hAnsi="宋体" w:eastAsia="宋体" w:cs="宋体"/>
        </w:rPr>
        <w:footnoteReference w:id="1302"/>
      </w:r>
      <w:r>
        <w:rPr>
          <w:rFonts w:hint="eastAsia" w:ascii="宋体" w:hAnsi="宋体" w:eastAsia="宋体" w:cs="宋体"/>
        </w:rPr>
        <w:t>〕。十八大以来中国共产党坚持以人民为中心的实践经验总结起来就是：坚持人民立场，始终秉持发展为了人民；坚持人民主体，贯彻落实发展依靠人民；坚持人民共享，不断增进人民获得感。</w:t>
      </w:r>
    </w:p>
    <w:p w14:paraId="441219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始终坚持人民立场是中国共产党贯穿始终的根本立场，也是政策制定和执行的出发点和落脚点。坚持人民立场，意味着始终把最广大人民的根本利益置于优先位置，将满足人民需求确立为发展的目标指向。第二，坚持人民主体地位强调人民是社会发展的核心动力和主体力量。发展必须依靠人民、尊重人民意愿，并通过制度安排激发人民的积极性与创造力，增强其参与建设现代化国家的主体意识。第三，人民共享发展成果强调经济发展的成果应当由人民共享。这要求通过扩大机会公平、促进社会流动、提高公共服务质量等途径，使人民的获得感、幸福感和安全感不断提升，从而有效缓解社会不平等，实现更包容、更普惠的发展。</w:t>
      </w:r>
    </w:p>
    <w:p w14:paraId="739672C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中国要持续彰显“以人民为中心”的根本立场，需要在财富收入分配、民生保障提升与社会标本治理等领域进一步深化改革，确保人民在经济社会发展中获得更实在、更可持续的收益，并通过完善法治体系和推动社会治理创新，不断提升人民的幸福感。为此，必须以政策创新为支撑，着力破解住房压力、教育资源分配不均、医疗体系负担加重、人口老龄化加速及社会阶层固化等社会民生难题，推动公共服务更加普惠均等，从而为实现共同富裕与社会和谐奠定坚实基础，更好满足人民日益增长的美好生活需要。</w:t>
      </w:r>
    </w:p>
    <w:p w14:paraId="56899F6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4745600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b/>
          <w:bCs/>
          <w:sz w:val="24"/>
          <w:szCs w:val="28"/>
        </w:rPr>
        <w:t>二、坚持解放和发展生产力是根本任务</w:t>
      </w:r>
    </w:p>
    <w:p w14:paraId="7244BD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3C021B0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中国共产党始终将解放和发展生产力作为建设社会主义市场经济的根本任务。改革开放以来的经济实践表明中国不断调整生产关系以促进生产力的解放，以科技创新引领生产力发展，逐步打破西方技术封锁，正在实现科技水平的快速赶超和生产力的跨越式发展。</w:t>
      </w:r>
    </w:p>
    <w:p w14:paraId="5E9AC02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b/>
          <w:bCs/>
        </w:rPr>
        <w:t>（一）改革开放以来坚持解放和发展生产力的经济实践</w:t>
      </w:r>
    </w:p>
    <w:p w14:paraId="47BF79F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邓小平创造性地提出建设社会主义市场经济体制，开创了中国特色社会主义理论体系，并明确提出“科学技术是第一生产力”，强调科学技术在生产力发展中的基础性作用。随后，中国逐步恢复了高等院校和研究院所的科研活动，大力发展国家级科研机构，并陆续制定“863计划”“火炬计划”等多项高技术研究发展计划，加快推动高新技术产业化。江泽民将改革开放和建设中国特色社会主义市场经济体制向更大范围推广，使生产关系向着更能促进生产力进步的方向发展。1995年中央正式提出实施“科教兴国”战略，明确要将科技发展置于国家发展的核心地位，并进一步指出自主创新是国家发展的必由之路。中国不断完善科技管理体制，逐步健全科技成果转化机制，并通过设立重点高技术研究与产业化示范区，系统推动关键领域的技术突破与产业升级。胡锦涛直面改革开放和社会主义市场经济体制建设中出现的深层次矛盾，推动国有企业混合所有制改革和国有资产管理体制改革取得重要进展。同时，他强调创新是提升国家综合竞争力和实现可持续发展的核心动力，并在2006年全国科学技术大会上提出具有战略指向的自主创新十六字方针，即“走中国特色自主创新道路，核心就是要坚持自主创新、重点跨越、支撑发展、引领未来的指导方针”〔</w:t>
      </w:r>
      <w:r>
        <w:rPr>
          <w:rStyle w:val="20"/>
          <w:rFonts w:hint="eastAsia" w:ascii="宋体" w:hAnsi="宋体" w:eastAsia="宋体" w:cs="宋体"/>
        </w:rPr>
        <w:footnoteReference w:id="1303"/>
      </w:r>
      <w:r>
        <w:rPr>
          <w:rFonts w:hint="eastAsia" w:ascii="宋体" w:hAnsi="宋体" w:eastAsia="宋体" w:cs="宋体"/>
        </w:rPr>
        <w:t>〕。</w:t>
      </w:r>
    </w:p>
    <w:p w14:paraId="470BC41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习近平继续推动改革开放战略的全面实施，不断优化经济结构，强调必须“充分发挥新型举国体制优势，打好关键核心技术攻坚战，使原创性、颠覆性科技创新成果竞相涌现，培育发展新质生产力的新动能”〔</w:t>
      </w:r>
      <w:r>
        <w:rPr>
          <w:rStyle w:val="20"/>
          <w:rFonts w:hint="eastAsia" w:ascii="宋体" w:hAnsi="宋体" w:eastAsia="宋体" w:cs="宋体"/>
        </w:rPr>
        <w:footnoteReference w:id="1304"/>
      </w:r>
      <w:r>
        <w:rPr>
          <w:rFonts w:hint="eastAsia" w:ascii="宋体" w:hAnsi="宋体" w:eastAsia="宋体" w:cs="宋体"/>
        </w:rPr>
        <w:t>〕。“过去三十多年，我国发展主要靠引进上次工业革命的成果，基本是利用国外技术，早期是二手技术，后期是同步技术。如果现在仍采用这种思路，不仅差距会越拉越大，还将被长期锁定在产业分工格局的低端。”〔</w:t>
      </w:r>
      <w:r>
        <w:rPr>
          <w:rStyle w:val="20"/>
          <w:rFonts w:hint="eastAsia" w:ascii="宋体" w:hAnsi="宋体" w:eastAsia="宋体" w:cs="宋体"/>
        </w:rPr>
        <w:footnoteReference w:id="1305"/>
      </w:r>
      <w:r>
        <w:rPr>
          <w:rFonts w:hint="eastAsia" w:ascii="宋体" w:hAnsi="宋体" w:eastAsia="宋体" w:cs="宋体"/>
        </w:rPr>
        <w:t>〕十八大以来，中国传统制造业加速向高技术、高附加值方向转型，信息技术、新能源、高端制造等战略性新兴产业快速崛起，带动产业结构持续优化升级。随着数字信息技术的深度渗透，数据要素广泛嵌入生产链条，生产组织方式、技术创新模式和产业形态发生系统性重塑，生产力形态呈现出由量变积累向质变跃升的趋势。2023年9月7日，习近平总书记首次指出：“积极培育新能源、新材料、先进制造、电子信息等战略性新兴产业，积极培育未来产业，加快形成新质生产力，增强发展新动能”〔</w:t>
      </w:r>
      <w:r>
        <w:rPr>
          <w:rStyle w:val="20"/>
          <w:rFonts w:hint="eastAsia" w:ascii="宋体" w:hAnsi="宋体" w:eastAsia="宋体" w:cs="宋体"/>
        </w:rPr>
        <w:footnoteReference w:id="1306"/>
      </w:r>
      <w:r>
        <w:rPr>
          <w:rFonts w:hint="eastAsia" w:ascii="宋体" w:hAnsi="宋体" w:eastAsia="宋体" w:cs="宋体"/>
        </w:rPr>
        <w:t>〕。新质生产力的核心在于依托科技创新和智能化转型，实现经济发展由“要素驱动”向“创新驱动”的根本性转变。随着新质生产力的持续孕育与加速形成，中国经济正由传统增长模式迈向以创新为主导的高质量发展轨道，为全面建设社会主义现代化国家提供了更加坚实的生产力支撑。</w:t>
      </w:r>
    </w:p>
    <w:p w14:paraId="5561A5F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（二）解放和发展生产力的中西方路径与成效比较分析</w:t>
      </w:r>
    </w:p>
    <w:p w14:paraId="67870BB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中国通过国有企业改革、农村改革等制度性变革不断调整生产关系，为生产力的解放提供了必要的制度条件；同时始终高度重视科技进步，在此基础上不断推动生产力实现新的发展。通过在信息技术等领域持续加大研发投入、强化科技企业培育、完善创新人才培养体系，中国在部分高技术领域逐步形成了国际竞争力，甚至实现了全球领先。举国体制作为中国推动科技进步、突破关键核心技术和实现自主创新的重要制度特色，其核心在于国家的战略主导作用。政府通过制定中长期科技发展规划，明确创新方向和关键任务，集中优势资源开展重大科技攻关，如“科技强国战略”“中国制造2025”等重大部署。同时，各级政府部门、科研院所、高校与企业之间的协同机制不断完善，促进科技任务在跨部门、跨领域的统筹推进，有助于打破体制壁垒，实现科技资源的优化配置与高效集成。</w:t>
      </w:r>
    </w:p>
    <w:p w14:paraId="7FFDB7B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西方资本主义国家的生产力发展主要依赖市场机制。资本主义生产方式强调私有产权制度，认为生产资料的私人占有能够激发个体的创新和投资动机，从而推动生产力发展。为此，西方国家普遍通过减税、研发抵扣、创新激励等政策鼓励企业加大技术研发投入，私人资本在市场回报驱动下不断寻求技术突破。然而，在以资本为核心的市场逻辑下，这类激励措施的主要受益者往往是大型垄断企业，税收优惠与财政补贴在事实上常常强化了其市场支配力，进一步推动私人垄断的形成与巩固。与此同时，资本主义国家高度强化的知识产权保护制度，使垄断企业能够依托技术优势构筑制度化壁垒，从而阻滞新技术的扩散与竞争性创新的发展，对生产力的广泛提升形成内在制约。</w:t>
      </w:r>
    </w:p>
    <w:p w14:paraId="022EEDF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西方发达资本主义国家依托其技术优势，通过跨国公司进行市场扩张与供应链控制，构建了以西方为中心的不平等国际分工体系，进一步加剧了全球经济与社会发展的失衡，使发展中国家在技术、资源与收入结构上形成结构性依赖。在面对资本主义国家的经济打压和技术封锁时，中国共产党始终坚持解放和发展生产力这一根本任务，充分发挥社会主义“集中力量办大事”的优势〔</w:t>
      </w:r>
      <w:r>
        <w:rPr>
          <w:rStyle w:val="20"/>
          <w:rFonts w:hint="eastAsia" w:ascii="宋体" w:hAnsi="宋体" w:eastAsia="宋体" w:cs="宋体"/>
        </w:rPr>
        <w:footnoteReference w:id="1307"/>
      </w:r>
      <w:r>
        <w:rPr>
          <w:rFonts w:hint="eastAsia" w:ascii="宋体" w:hAnsi="宋体" w:eastAsia="宋体" w:cs="宋体"/>
        </w:rPr>
        <w:t>〕，成功打破西方技术封锁，实现了科技水平的快速赶超和生产力的跨越式发展，在航空航天、量子科技、5G通信等关键领域逐步实现赶超。在西方国家长期受金融危机影响、经济增长乏力的背景下，中国已经成为全球经济增长的重要引擎。</w:t>
      </w:r>
    </w:p>
    <w:p w14:paraId="3C0EF35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b/>
          <w:bCs/>
        </w:rPr>
        <w:t>（三）坚持解放和发展生产力的实践经验与未来展望</w:t>
      </w:r>
    </w:p>
    <w:p w14:paraId="5051C16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进入新时代，中国坚持解放和发展生产力，推动经济高质量发展和社会全面进步，在经济转型、科技创新等方面取得了显著成就。十八大以来坚持解放和发展生产力的实践经验概括来说主要包括：坚持创新驱动发展，建设国家创新体系；促进产业结构优化，推动高质量发展；不断深化改革，激发市场和社会活力；加大对外开放，深化国际合作与技术引进；提升人才队伍素质，增强发展动能。</w:t>
      </w:r>
    </w:p>
    <w:p w14:paraId="57F91C4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创新是引领发展的第一动力。十八大以来，中国将创新驱动发展战略置于国家发展全局的核心位置，持续加强国家创新体系建设，深化科技体制改革，优化科技资源配置，使创新成为推动经济转型和高质量发展的关键支撑。第二，科技进步的对生产力发展的促进效应归根结底要体现在产业发展上。中国大力培育新能源、信息技术等战略性新兴产业，推动传统制造业向高端化、智能化方向转型，实现了科技创新与产业升级的深度耦合。第三，深化经济体制改革，进一步释放市场活力。中国持续强化产权保护和法治建设，加强对企业创新成果的制度化保护，推动科技成果高效转化为现实生产力，从而有效提升企业的创新动力与市场竞争力。第四，通过深化国际合作，拓展企业发展的市场空间。中国积极引入全球优质资源，鼓励外资企业在华开展技术研发与产业投资，进一步促进技术创新与产业升级，不断增强国内产业体系的竞争力。第五，加强创新人才培养体系建设，为创新型社会提供持续的人才支撑。中国正通过建设公共创新平台、完善创业支持政策等制度安排，鼓励全社会广泛参与创新活动，实现全民创新意识与创新能力的持续提升。</w:t>
      </w:r>
    </w:p>
    <w:p w14:paraId="5320478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中国应继续加强战略性领域的科研投入，增强关键领域科技创新体系的自主性；持续推动基础研究和应用研究的有机结合，改善基础研究投入不足等问题；深化科技体制改革，改变“唯论文”“唯项目”等不合理的科研人员评价机制，提升科研资源配置效率，进一步优化科技创新环境；在发挥国家战略主导作用的基础上，更加注重培育企业的自主创新能力，防止过度依赖政策驱动，推动科研成果加速转化，避免科技创新与产业需求脱节；大力培育创新文化、弘扬创新精神，在全社会形成良好的创新氛围。以推动高质量发展和中国式现代化建设为主线，持续解放和发展生产力、提升自主创新能力，中国才能在全球科技竞争中不断增强综合竞争力。</w:t>
      </w:r>
    </w:p>
    <w:p w14:paraId="46A1E37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23702A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8"/>
        </w:rPr>
      </w:pPr>
      <w:r>
        <w:rPr>
          <w:rFonts w:hint="eastAsia" w:ascii="宋体" w:hAnsi="宋体" w:eastAsia="宋体" w:cs="宋体"/>
          <w:b/>
          <w:bCs/>
          <w:sz w:val="24"/>
          <w:szCs w:val="28"/>
        </w:rPr>
        <w:t>三、坚持新发展理念是根本指引</w:t>
      </w:r>
    </w:p>
    <w:p w14:paraId="5143994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2F10951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中国共产党始终高度重视经济发展，并在实践中不断探索和完善发展理念。改革开放以来，从强调“发展是硬道理”，到提出“中国共产党要始终代表中国先进生产力的发展要求”，再到形成以“科学发展观”为代表的理念创新，最终凝练出以“创新、协调、绿色、开放、共享”为总体特征的新发展理念。发展理念的这一演进过程，体现了中国经济发展由数量扩张向质量提升的深刻转型，标志着发展逻辑从速度规模型向内涵质量型的战略性跃升。</w:t>
      </w:r>
    </w:p>
    <w:p w14:paraId="6F79ECC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（一）改革开放以来探索新发展理念的经济实践</w:t>
      </w:r>
    </w:p>
    <w:p w14:paraId="4CB6CA1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邓小平提出“发展是硬道理”，强调发展是解决中国贫困落后和提高人民生活水平的根本途径。为破解发展瓶颈，1978年十一届三中全会作出实行改革开放的重大决策，引入市场机制，推动经济迅速增长，并为生产力提升奠定制度基础。进入上世纪90年代，江泽民提出“三个代表”重要思想，强调党要始终代表中国先进社会生产力的发展要求，进一步突出了党的领导在推动生产力发展中的核心作用。面对粗放式增长导致的资源浪费与环境污染等问题，胡锦涛提出“科学发展观”，强调“坚持以人为本，树立全面、协调、可持续的发展观，促进经济社会和人的全面发展”〔</w:t>
      </w:r>
      <w:r>
        <w:rPr>
          <w:rStyle w:val="20"/>
          <w:rFonts w:hint="eastAsia" w:ascii="宋体" w:hAnsi="宋体" w:eastAsia="宋体" w:cs="宋体"/>
        </w:rPr>
        <w:footnoteReference w:id="1308"/>
      </w:r>
      <w:r>
        <w:rPr>
          <w:rFonts w:hint="eastAsia" w:ascii="宋体" w:hAnsi="宋体" w:eastAsia="宋体" w:cs="宋体"/>
        </w:rPr>
        <w:t>〕。中国的发展理念在改革开放进程中不断演进，逐步实现了从速度规模型向质量效益型增长的战略转变。</w:t>
      </w:r>
    </w:p>
    <w:p w14:paraId="6149D08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2015年10月29日，习近平在十八届五中全会第二次全体会议上正式提出了“创新、协调、绿色、开放、共享”的新发展理念。党的十九大明确提出把“坚持新发展理念”作为新时代坚持和发展中国特色社会主义的基本方略之一。自十八大以来，创新逐渐成为中国发展的核心驱动力，推动科技成果转化和高技术产业发展步入快车道；“乡村振兴”“京津冀协同发展”“长江经济带发展”等重大区域战略的实施，推动区域协调发展和资源优化配置迈上新台阶；不仅如此，针对以往粗放式增长所带来的“能源消耗高、环境污染重”〔</w:t>
      </w:r>
      <w:r>
        <w:rPr>
          <w:rStyle w:val="20"/>
          <w:rFonts w:hint="eastAsia" w:ascii="宋体" w:hAnsi="宋体" w:eastAsia="宋体" w:cs="宋体"/>
        </w:rPr>
        <w:footnoteReference w:id="1309"/>
      </w:r>
      <w:r>
        <w:rPr>
          <w:rFonts w:hint="eastAsia" w:ascii="宋体" w:hAnsi="宋体" w:eastAsia="宋体" w:cs="宋体"/>
        </w:rPr>
        <w:t>〕等问题，绿色发展和生态文明建设也被显著提升至国家战略高度；“一带一路”和自由贸易试验区建设不断推动国际贸易与跨境投资发展，提升了中国对外开放的深度与广度；通过实施精准扶贫、健全全民医保和社会保障体系等政策，中国正不断缩小收入差距，逐步实现共享发展。</w:t>
      </w:r>
    </w:p>
    <w:p w14:paraId="256042E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（二）中西方发展理念与经济实践模式对比分析</w:t>
      </w:r>
    </w:p>
    <w:p w14:paraId="25766D7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发展经济、解决贫困问题是党和国家面临的首要任务。随着经济持续增长，结构失衡、资源环境压力上升以及社会不平等加剧等深层次矛盾不断显现。因而必须依托先进生产力形成可持续的增长模式，推动经济、社会与环境的协调发展成为时代提出的新要求。在此背景下，以“创新、协调、绿色、开放、共享”为特征的新发展理念应运而生，系统回应了新时期中国经济发展面临的多重挑战与战略任务，引领中国发展方式向质量效益型转变。</w:t>
      </w:r>
    </w:p>
    <w:p w14:paraId="15C81D5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资本主义生产关系在较长历史时期内曾推动生产力实现快速发展，但资本主义所固有的内在矛盾日益制约资本主义国家的经济可持续发展。第一，在追求垄断地位过程中抑制创新。垄断和寡头企业通过兼并收购扩大市场控制力，并依托专利壁垒和技术封锁阻止潜在竞争者进入，从而压缩技术进步与创新空间，使资本主义创新体系呈现封闭化趋势〔</w:t>
      </w:r>
      <w:r>
        <w:rPr>
          <w:rStyle w:val="20"/>
          <w:rFonts w:hint="eastAsia" w:ascii="宋体" w:hAnsi="宋体" w:eastAsia="宋体" w:cs="宋体"/>
        </w:rPr>
        <w:footnoteReference w:id="1310"/>
      </w:r>
      <w:r>
        <w:rPr>
          <w:rFonts w:hint="eastAsia" w:ascii="宋体" w:hAnsi="宋体" w:eastAsia="宋体" w:cs="宋体"/>
        </w:rPr>
        <w:t>〕。第二，在追求增长过程中漠视生态环境代价。资本主义国家长期依赖高消耗、高污染的发展模式，对资源过度开发、环境监管不足，使生态破坏与气候风险不断累积。美国甚至退出《巴黎协定》，进一步凸显其增长模式的不可持续性。第三，在追求本国利益过程中削弱经济全球化进程。近年来美国奉行关税壁垒、贸易战和“美国优先”政策，不仅阻碍国际贸易，也威胁全球供应链安全。第四，在利益分配上偏向少数特权阶层而削弱社会公平。资本主义国家的分配格局有利于富人与精英群体，社会福利难以保障弱势群体的基本需求，导致贫富差距扩大、社会分层固化，进一步损害社会稳定性。</w:t>
      </w:r>
    </w:p>
    <w:p w14:paraId="4F75942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中国的发展理念以创新、协调、绿色、开放、共享为核心特征，强调通过推动经济、社会与生态的协同发展实现高质量增长。相比之下，资本主义国家的发展理念深受资本逐利本性的制约，其实践路径往往表现为追求垄断利益、忽视生态成本、强化本国优先及在分配上倾向特权阶层。在两种理念指导下的经济发展结果也呈现出显著差异。中国通过推进结构优化、绿色转型、区域协调和社会公平，不断提升发展的包容性和可持续性；而资本主义模式则因垄断加剧、创新受阻、生态恶化和贫富差距扩大而暴露出日益突出的制度性局限。中西方不同的发展理念决定了不同的实践取向，也深刻塑造了各自迥异的现代化路径。</w:t>
      </w:r>
    </w:p>
    <w:p w14:paraId="059D4D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（三）坚持新发展理念的实践经验与未来展望</w:t>
      </w:r>
    </w:p>
    <w:p w14:paraId="443360E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经济发展理念对政策取向与资源配置具有基础性引领作用，其重要性不容忽视。新发展理念已成为新时代中国经济建设的根本指导原则，十八大以来坚持新发展理念的实践经验可概括为：以高质量和可持续发展为目标，以系统性思维统筹创新、协调、绿色、开放和共享五大要素，推动发展方式加快转变并实现内涵式增长。</w:t>
      </w:r>
    </w:p>
    <w:p w14:paraId="2761E15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习近平多次强调要把创新置于国家发展全局的核心位置，要求发展方式从追求速度转向结构优化、效率提升和资源可持续利用。通过推动产业升级和深化相关体制改革，中国逐步构建以创新为主导的现代化经济体系。第二，协调发展是实现社会经济全面进步的关键，强调在经济、社会、文化、生态等领域实现有机互动与整体均衡。十八大以来，中国推动长三角一体化发展等区域战略，缩小地区发展差距；实施乡村振兴战略，促进城乡经济要素双向流动，有效改善城乡发展不平衡。第三，绿色发展是实现可持续增长的重要路径。在全球气候变化背景下，中国通过推进绿色技术创新和产业结构转型，为实现“双碳”目标奠定重要基础。第四，开放是国家繁荣与制度活力的重要体现。通过推进“一带一路”建设、深化自由贸易试验区改革等举措，中国经济正加速融入全球市场。第五，共享发展体现了以人民为中心的发展思想。中国在全面建成小康社会的基础上，明确提出实现共同富裕的目标，不断使改革发展成果惠及全体人民。</w:t>
      </w:r>
    </w:p>
    <w:p w14:paraId="48196C8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中国应继续把创新作为经济发展的核心动力，特别是在关键核心技术领域减少外部依赖，通过加强基础研究、提升研发投入和深化创新体制机制改革，加快由“追赶型”创新向“引领型”创新转变。与此同时，应持续推进更高水平的区域协调发展，通过强化区域经济一体化机制，实现资源高效配置与区域协同发展。绿色转型是实现可持续发展的关键，需要加快构建以清洁能源为主体的能源体系，提升绿色产业发展水平，使绿色发展模式成为经济增长的重要支撑。在开放方面，中国应推动更高水平的开放型经济建设，通过深化“一带一路”合作、扩大自由贸易试验区建设、优化市场准入和外资政策，提高参与全球经济治理的能力和国际竞争力。此外，共富共享发展是实现社会公平的重要路径，需要通过完善社会保障体系、优化财富收入分配格局、提升教育和医疗等公共服务质量，稳步推进共同富裕目标的实现。</w:t>
      </w:r>
    </w:p>
    <w:p w14:paraId="218DAD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7E65A4D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33193E0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532EF0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8"/>
        </w:rPr>
      </w:pPr>
      <w:r>
        <w:rPr>
          <w:rFonts w:hint="eastAsia" w:ascii="宋体" w:hAnsi="宋体" w:eastAsia="宋体" w:cs="宋体"/>
          <w:b/>
          <w:bCs/>
          <w:sz w:val="24"/>
          <w:szCs w:val="28"/>
        </w:rPr>
        <w:t>四、坚持公有主体型的多种产权制度是根本原则</w:t>
      </w:r>
    </w:p>
    <w:p w14:paraId="3059561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274D228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公有制经济是社会主义根本经济制度的本质体现，也是中国共产党的执政等上层建筑之基。在社会主义初级阶段，受限于生产力发展和管理水平，我国还存在多种所有制经济并存的现象。党的十五大把公有制为主体、多种所有制经济共同发展的制度确立为社会主义初级阶段的基本经济制度。十九届四中全会对基本经济制度的完善同样建立在以公有制为主体的基础之上。改革开放以来的经济实践表明必须坚持公有主体型的多种产权制度这一根本原则。“公有主体型的产权关系，是以公有制为主体，多种所有制经济共同发展的产权结构。”〔</w:t>
      </w:r>
      <w:r>
        <w:rPr>
          <w:rStyle w:val="20"/>
          <w:rFonts w:hint="eastAsia" w:ascii="宋体" w:hAnsi="宋体" w:eastAsia="宋体" w:cs="宋体"/>
        </w:rPr>
        <w:footnoteReference w:id="1311"/>
      </w:r>
      <w:r>
        <w:rPr>
          <w:rFonts w:hint="eastAsia" w:ascii="宋体" w:hAnsi="宋体" w:eastAsia="宋体" w:cs="宋体"/>
        </w:rPr>
        <w:t>〕改革开放以来，我国产权结构在理论与实践层面上不断发展和完善。</w:t>
      </w:r>
    </w:p>
    <w:p w14:paraId="6A98029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b/>
          <w:bCs/>
        </w:rPr>
        <w:t>（一）改革开放以来坚持公有主体型的多种产权制度的经济实践</w:t>
      </w:r>
    </w:p>
    <w:p w14:paraId="1EB5B79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邓小平提出“发展社会主义市场经济”。国家对私营经济进行了一定程度的放宽，个体经济、私营经济快速发展。家庭联产承包责任制是农村改革核心内容，体现了公有制和集体经济的主导地位与农民个体经济活动的结合。江泽民指出“我们党认真总结以往在所有制问题上的经验教训,制定以公有制为主体、多种经济成分共同发展的方针,逐步消除所有制结构不合理对生产力的羁绊,出现了公有制实现形式多样化和多种经济成分共同发展的局面”〔</w:t>
      </w:r>
      <w:r>
        <w:rPr>
          <w:rStyle w:val="20"/>
          <w:rFonts w:hint="eastAsia" w:ascii="宋体" w:hAnsi="宋体" w:eastAsia="宋体" w:cs="宋体"/>
        </w:rPr>
        <w:footnoteReference w:id="1312"/>
      </w:r>
      <w:r>
        <w:rPr>
          <w:rFonts w:hint="eastAsia" w:ascii="宋体" w:hAnsi="宋体" w:eastAsia="宋体" w:cs="宋体"/>
        </w:rPr>
        <w:t>〕。在经历承包制、股份制等制度探索后，我国国有企业逐步进入建立现代企业制度的新阶段，并相继推进国有资本控股的混合所有制改革，推动国有资本布局与治理结构不断优化。在农村领域，土地承包经营权流转机制的形成，在坚持土地集体所有的前提下赋予农民和村庄更大的自主决策权和经营权，促进了农村生产关系的进一步调整与农业经营方式的多样化发展。胡锦涛提出在坚持基本经济制度的基础上，完善国有资产管理制度，并进一步促进民营经济的发展。2003年国家国资委成立标志着我国国有资产管理体制改革步入了新的阶段。中央和地方两级国资委的成立使得国有资产管理缺少主体、出资人职责无法履行等问题得到了初步解决。此后，国资委提出国有资本“三个集中”的原则，为国有资本的优化布局及做强做优做大提供了明确方向。2005年国务院出台《关于鼓励支持和引导个体私营等非公有制经济发展的若干意见》，也即“非公36条”，为民营经济发展提供了更加宽松的制度环境和政策支持。上述举措共同推动了公有制实现形式的多样化与国有经济治理体系的现代化。</w:t>
      </w:r>
    </w:p>
    <w:p w14:paraId="11571EB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习近平指出“公有制主体地位不能动摇，国有经济主导作用不能动摇，这是保证我国各族人民共享发展成果的制度性保证，也是巩固党的执政地位、坚持我国社会主义制度的重要保证”〔</w:t>
      </w:r>
      <w:r>
        <w:rPr>
          <w:rStyle w:val="20"/>
          <w:rFonts w:hint="eastAsia" w:ascii="宋体" w:hAnsi="宋体" w:eastAsia="宋体" w:cs="宋体"/>
        </w:rPr>
        <w:footnoteReference w:id="1313"/>
      </w:r>
      <w:r>
        <w:rPr>
          <w:rFonts w:hint="eastAsia" w:ascii="宋体" w:hAnsi="宋体" w:eastAsia="宋体" w:cs="宋体"/>
        </w:rPr>
        <w:t>〕。要继续依宪治国，充分发挥国有企业在国民经济中的主导作用，必须进一步深化国有企业改革，优化国有资本布局结构，推动国有企业和国有资本做强做优做大。通过央企重组等一系列改革发展举措，国有资源得到有效整合，企业运营效率与资本回报率明显提升，国有资本的市场竞争力进一步增强。在农村领域，需要持续推进农村集体产权制度改革。2018年十三届全国人大常委会第七次会议通过对《农村土地承包法》的修订，将农村土地“三权分置”制度正式法制化，为农村土地合理流转、保障农民集体产权权益以及拓展农民财产性收入渠道提供了坚实的制度基础。</w:t>
      </w:r>
    </w:p>
    <w:p w14:paraId="09E8624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（二）中西方产权制度差异与资本主义私有产权制度的弊端探析</w:t>
      </w:r>
    </w:p>
    <w:p w14:paraId="472D6F5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中国始终坚持公有制为主体、多种所有制经济共同发展的基本经济制度，这既体现了社会主义的本质要求，也是持续深化改革开放的重要制度原则。随着市场化改革的推进，私有经济、外资企业等多种所有制经济在不同领域发挥日益重要的作用，成为推动经济增长和产业活力的重要力量。尽管公有制经济在国民经济中的比重有所下降，但在关系国家安全和国民经济命脉的关键行业和重要领域，国有企业仍保持某种主导地位，承担着战略性和公共性职能。多种所有制经济的并存与发展有效激发了不同经济主体的活力，通过市场竞争促进效率提升与产业结构优化；同时，公有制主体地位的坚持为国家实施宏观调控、维护经济稳定和保障公共利益提供了制度基础，实现了发展效率与社会公平的相对平衡。</w:t>
      </w:r>
    </w:p>
    <w:p w14:paraId="0F7B9E3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资本主义国家的产权制度以私有产权为基础和主体，生产资料由个人或企业私人占有。私有产权制度在特定历史阶段确曾推动市场经济发展和生产力提升，但其内在机制也易导致私人垄断的生成与扩张。作为经济调节与收入分配的制度基础，私有产权在市场竞争框架下促使资本向优势企业集中，资产规模不断扩张，最终走向寡头垄断。私人垄断的形成又反过来削弱自由竞争，造成市场失灵和生产资料的高度集中。与此同时，资本主义国家凭借其在全球经济中的主导地位，通过掌控资本流动、技术标准与生产体系，强化全球资源配置的不平衡，使发展中国家和贫困地区难以从全球增长中受益，进一步加剧国际经济的动荡与不平等。</w:t>
      </w:r>
    </w:p>
    <w:p w14:paraId="7495D2C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b/>
          <w:bCs/>
        </w:rPr>
        <w:t>（三）坚持公有主体型的多种产权制度的实践经验与未来展望</w:t>
      </w:r>
    </w:p>
    <w:p w14:paraId="0C7184C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十八大以来坚持公有主体型的多种产权制度的实践经验可以归结为：深化国有企业改革，提升国有资本管理效率，坚持做强做优做大国有企业和国有资本；鼓励支持引导民营经济发展，优化非公企业的生存发展环境；构建多种所有制经济公平竞争的市场机制。</w:t>
      </w:r>
    </w:p>
    <w:p w14:paraId="6382E46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第一，推动国有资本和国有企业做强做优做大是坚持公有主体型的多种产权制度的关键前提。“国有企业是壮大国家综合实力、保障人民共同利益的重要力量, 必须理直气壮做大做强做优, 不断增强活力、影响力、抗风险能力, 实现国有资产保值增值。”〔</w:t>
      </w:r>
      <w:r>
        <w:rPr>
          <w:rStyle w:val="20"/>
          <w:rFonts w:hint="eastAsia" w:ascii="宋体" w:hAnsi="宋体" w:eastAsia="宋体" w:cs="宋体"/>
        </w:rPr>
        <w:footnoteReference w:id="1314"/>
      </w:r>
      <w:r>
        <w:rPr>
          <w:rFonts w:hint="eastAsia" w:ascii="宋体" w:hAnsi="宋体" w:eastAsia="宋体" w:cs="宋体"/>
        </w:rPr>
        <w:t>〕十八大以来，国有企业改革持续深化，国有资产监管体系更加完善，国有资本实力与布局优化均取得重要成效。第二，中国通过多项改革举措积极支持民营经济发展，着力缓解民营企业在经营过程中面临的现实困难，改善其生存与发展环境，使民营经济在推动就业与促进增长等方面继续发挥重要作用。第三，进一步明确多种所有制经济的共存与协同发展，是完善产权制度的重要内容。在坚持公有制主导地位的基础上，通过《外商投资法》《市场准入负面清单》《公平竞争审查制度》《优化营商环境条例》等法律法规的实施，逐步构建起保障不同所有制经济主体公平竞争的制度框架，为提升全社会的创新活力与生产力水平提供了制度保障。</w:t>
      </w:r>
    </w:p>
    <w:p w14:paraId="7FBB382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未来，第一，中国需进一步增强国有企业活力并持续壮大国有资本规模。一方面，应推动国有企业完善具有中国特色的现代企业制度，强化公司治理的法治化与规范化，以提高决策的科学性和执行效率〔</w:t>
      </w:r>
      <w:r>
        <w:rPr>
          <w:rStyle w:val="20"/>
          <w:rFonts w:hint="eastAsia" w:ascii="宋体" w:hAnsi="宋体" w:eastAsia="宋体" w:cs="宋体"/>
        </w:rPr>
        <w:footnoteReference w:id="1315"/>
      </w:r>
      <w:r>
        <w:rPr>
          <w:rFonts w:hint="eastAsia" w:ascii="宋体" w:hAnsi="宋体" w:eastAsia="宋体" w:cs="宋体"/>
        </w:rPr>
        <w:t>〕；另一方面，要健全多层次激励机制，激发员工创新动力，提升企业整体运营效能。增强公有制经济活力和壮大国有资本规模，还需优化资本运作方式，通过高效、灵活的资本配置提升国有资本的市场竞争力。同时，应加快推进国有企业资产整合、资源重组和兼并收购，扩大规模效益；并按照“调整和优化国有资本布局，推动国有经济向产业链高端和价值链核心环节集中，发展战略性新兴产业和未来产业”〔</w:t>
      </w:r>
      <w:r>
        <w:rPr>
          <w:rStyle w:val="20"/>
          <w:rFonts w:hint="eastAsia" w:ascii="宋体" w:hAnsi="宋体" w:eastAsia="宋体" w:cs="宋体"/>
        </w:rPr>
        <w:footnoteReference w:id="1316"/>
      </w:r>
      <w:r>
        <w:rPr>
          <w:rFonts w:hint="eastAsia" w:ascii="宋体" w:hAnsi="宋体" w:eastAsia="宋体" w:cs="宋体"/>
        </w:rPr>
        <w:t>〕的要求，引导国有资本向关键领域和战略性产业聚集，增强其在国家现代化建设中的战略支撑作用。第二，积极全面落实于2024年6月28日经十四届全国人大常委会第十次会议表决通过的《中华人民共和国农村集体经济组织法》，要处理好土地等生产要素统分结合的产权体制机制，切实维护农村集体经济组织及其成员的合法权益，促进农村集体经济高质量发展，巩固和完善农村统分结合的基本经营制度和社会主义基本经济制度。国家通过财政、税收、金融、土地、人才以及产业政策等扶持措施，促进农村集体经济组织发展，壮大新型农村集体层经济实力，全面推进乡村振兴，加快农业农村现代化，促进共同富裕。第三，应引导非公经济实现创新发展并强化社会责任。通过完善创新支持政策、加强知识产权保护、建设协同创新平台等举措，可进一步优化创新生态，激励非公企业提升自主创新能力。同时，私营企业在追求经济效益的过程中亦需承担相应的社会责任。政府和社会应推动企业增强社会责任意识，促进绿色生产和可持续经营，重视员工福利、劳动权益保障和职工持股，使私有经济在创新驱动发展中更加体现包容性与共享性。第四，推动多种所有制经济的公平竞争和协调发展。公平竞争是多元产权制度有效运行的关键，需要通过优化市场环境，构建更加公平、透明、开放的竞争格局。在保障国有资本和国有企业保持主导地位的前提下，应推动国有企业与民营企业在竞争性行业中实行平等待遇，减少不必要的行政干预和行业准入限制，确保各类企业能够在同等条件下参与市场竞争。同时，要强化反垄断与反不正当竞争执法，遏制垄断行为，维护公开、公平、公正的市场秩序。</w:t>
      </w:r>
    </w:p>
    <w:p w14:paraId="62D5E8D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1B2B66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8"/>
        </w:rPr>
      </w:pPr>
      <w:r>
        <w:rPr>
          <w:rFonts w:hint="eastAsia" w:ascii="宋体" w:hAnsi="宋体" w:eastAsia="宋体" w:cs="宋体"/>
          <w:b/>
          <w:bCs/>
          <w:sz w:val="24"/>
          <w:szCs w:val="28"/>
        </w:rPr>
        <w:t>五、坚持劳动主体型的多种分配制度是根本要求</w:t>
      </w:r>
    </w:p>
    <w:p w14:paraId="37823F6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178F286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“只要社会还没有围绕着劳动这个太阳旋转,它就绝不可能达到均衡。”〔</w:t>
      </w:r>
      <w:r>
        <w:rPr>
          <w:rStyle w:val="20"/>
          <w:rFonts w:hint="eastAsia" w:ascii="宋体" w:hAnsi="宋体" w:eastAsia="宋体" w:cs="宋体"/>
        </w:rPr>
        <w:footnoteReference w:id="1317"/>
      </w:r>
      <w:r>
        <w:rPr>
          <w:rFonts w:hint="eastAsia" w:ascii="宋体" w:hAnsi="宋体" w:eastAsia="宋体" w:cs="宋体"/>
        </w:rPr>
        <w:t>〕马克思把劳动比作太阳，足以彰显劳动在马克思思想中的地位。活劳动是价值创造的唯一源泉，而价值的创造又构成价值分配的前提与基础。在社会主义初级阶段，坚持按劳分配为主体、多种分配方式并存，不仅是基本经济制度的重要内容，也是以公有制为主体、多种所有制经济共同发展的产权制度的内在要求和实现方式。改革开放以来，中国始终坚持劳动主体型的多元分配格局，逐步形成了涵盖按劳分配、按要素分配和社会再分配的财富收入分配体系。</w:t>
      </w:r>
    </w:p>
    <w:p w14:paraId="3BDC057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（一）改革开放以来坚持劳动主体型的多种分配制度的经济实践</w:t>
      </w:r>
    </w:p>
    <w:p w14:paraId="6505256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改革开放初期，邓小平提出“一部分地区、一部分人可以先富起来，带动和帮助其他地区、其他的人，逐步达到共同富裕”〔</w:t>
      </w:r>
      <w:r>
        <w:rPr>
          <w:rStyle w:val="20"/>
          <w:rFonts w:hint="eastAsia" w:ascii="宋体" w:hAnsi="宋体" w:eastAsia="宋体" w:cs="宋体"/>
        </w:rPr>
        <w:footnoteReference w:id="1318"/>
      </w:r>
      <w:r>
        <w:rPr>
          <w:rFonts w:hint="eastAsia" w:ascii="宋体" w:hAnsi="宋体" w:eastAsia="宋体" w:cs="宋体"/>
        </w:rPr>
        <w:t>〕。随着市场机制的引入，按资分配等分配方式快速发展，带动了一部分人的财富迅速积累。江泽民在十四大报告中指出要“兼顾效率与公平”〔</w:t>
      </w:r>
      <w:r>
        <w:rPr>
          <w:rStyle w:val="20"/>
          <w:rFonts w:hint="eastAsia" w:ascii="宋体" w:hAnsi="宋体" w:eastAsia="宋体" w:cs="宋体"/>
        </w:rPr>
        <w:footnoteReference w:id="1319"/>
      </w:r>
      <w:r>
        <w:rPr>
          <w:rFonts w:hint="eastAsia" w:ascii="宋体" w:hAnsi="宋体" w:eastAsia="宋体" w:cs="宋体"/>
        </w:rPr>
        <w:t>〕，在合理地拉开收入差距的同时，又可以防止两极分化。随后中共十四届三中全会提出“建立以按劳分配为主体，效率优先、兼顾公平的收入分配制度”〔</w:t>
      </w:r>
      <w:r>
        <w:rPr>
          <w:rStyle w:val="20"/>
          <w:rFonts w:hint="eastAsia" w:ascii="宋体" w:hAnsi="宋体" w:eastAsia="宋体" w:cs="宋体"/>
        </w:rPr>
        <w:footnoteReference w:id="1320"/>
      </w:r>
      <w:r>
        <w:rPr>
          <w:rFonts w:hint="eastAsia" w:ascii="宋体" w:hAnsi="宋体" w:eastAsia="宋体" w:cs="宋体"/>
        </w:rPr>
        <w:t>〕，从而“效率优先，兼顾公平”成为这一阶段收入分配制度改革的基本原则。但也出现“农民和城镇部分居民收入增长缓慢，收入差距拉大”〔</w:t>
      </w:r>
      <w:r>
        <w:rPr>
          <w:rStyle w:val="20"/>
          <w:rFonts w:hint="eastAsia" w:ascii="宋体" w:hAnsi="宋体" w:eastAsia="宋体" w:cs="宋体"/>
        </w:rPr>
        <w:footnoteReference w:id="1321"/>
      </w:r>
      <w:r>
        <w:rPr>
          <w:rFonts w:hint="eastAsia" w:ascii="宋体" w:hAnsi="宋体" w:eastAsia="宋体" w:cs="宋体"/>
        </w:rPr>
        <w:t>〕的问题。随着改革的不断深化，胡锦涛提出“初次分配和再分配都要处理好效率和公平的关系，再分配更加注重公平。要求逐步提高居民收入在国民收入分配中的比重，提高劳动报酬在初次分配中的比重”〔</w:t>
      </w:r>
      <w:r>
        <w:rPr>
          <w:rStyle w:val="20"/>
          <w:rFonts w:hint="eastAsia" w:ascii="宋体" w:hAnsi="宋体" w:eastAsia="宋体" w:cs="宋体"/>
        </w:rPr>
        <w:footnoteReference w:id="1322"/>
      </w:r>
      <w:r>
        <w:rPr>
          <w:rFonts w:hint="eastAsia" w:ascii="宋体" w:hAnsi="宋体" w:eastAsia="宋体" w:cs="宋体"/>
        </w:rPr>
        <w:t>〕，并且“进一步保障劳动者权益，为促进社会和谐奠定坚实基础”〔</w:t>
      </w:r>
      <w:r>
        <w:rPr>
          <w:rStyle w:val="20"/>
          <w:rFonts w:hint="eastAsia" w:ascii="宋体" w:hAnsi="宋体" w:eastAsia="宋体" w:cs="宋体"/>
        </w:rPr>
        <w:footnoteReference w:id="1323"/>
      </w:r>
      <w:r>
        <w:rPr>
          <w:rFonts w:hint="eastAsia" w:ascii="宋体" w:hAnsi="宋体" w:eastAsia="宋体" w:cs="宋体"/>
        </w:rPr>
        <w:t>〕以便有效应对日益增大的收入差距。</w:t>
      </w:r>
    </w:p>
    <w:p w14:paraId="53473E5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习近平强调“让改革发展成果更多更公平惠及全体人民，朝着实现全体人民共同富裕的目标稳步迈进”〔</w:t>
      </w:r>
      <w:r>
        <w:rPr>
          <w:rStyle w:val="20"/>
          <w:rFonts w:hint="eastAsia" w:ascii="宋体" w:hAnsi="宋体" w:eastAsia="宋体" w:cs="宋体"/>
        </w:rPr>
        <w:footnoteReference w:id="1324"/>
      </w:r>
      <w:r>
        <w:rPr>
          <w:rFonts w:hint="eastAsia" w:ascii="宋体" w:hAnsi="宋体" w:eastAsia="宋体" w:cs="宋体"/>
        </w:rPr>
        <w:t>〕。进入新时代以来，中国依托市场机制、政府调节与社会力量的协同作用，不断推进社会公平与共享发展。其中，提高劳动收入占比是坚持按劳分配为主体的核心体现，也是推动共同富裕的重要路径和收入分配制度改革的关键环节。提高劳动收入占比的前提在于扩大就业规模与提高就业质量。通过推动传统劳动密集型行业转型升级、支持战略性新兴产业和高技术产业发展，中国不断拓展新的就业空间；同时通过职业教育与技能培训体系的完善，提高劳动者在新产业与新岗位中的适应能力与报酬水平。完善税收制度与社会保障制度同样至关重要。2018年十三届全国人大常委会第五次会议通过的个人所得税法修订案，通过扩大专项附加扣除和优化税率结构，在调节收入差距方面发挥了一定作用。通过加强公共服务供给、完善财政转移支付体系、改善贫困地区社会福利与基础设施建设等，中国正不断缩小地区与城乡收入差距。</w:t>
      </w:r>
    </w:p>
    <w:p w14:paraId="313BDF6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（二）中西方分配制度差异与资本主义按资分配制度的弊病剖析</w:t>
      </w:r>
    </w:p>
    <w:p w14:paraId="40ECB37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中国始终坚持以按劳分配为主体、多种分配方式并存的分配制度。按劳分配强调依据劳动贡献的数量与质量进行分配，突出保障劳动者的基本权益，可以激发劳动积极性与创造力，并在制度层面避免收入与财富的过度集中〔</w:t>
      </w:r>
      <w:r>
        <w:rPr>
          <w:rStyle w:val="20"/>
          <w:rFonts w:hint="eastAsia" w:ascii="宋体" w:hAnsi="宋体" w:eastAsia="宋体" w:cs="宋体"/>
        </w:rPr>
        <w:footnoteReference w:id="1325"/>
      </w:r>
      <w:r>
        <w:rPr>
          <w:rFonts w:hint="eastAsia" w:ascii="宋体" w:hAnsi="宋体" w:eastAsia="宋体" w:cs="宋体"/>
        </w:rPr>
        <w:t>〕。与之相对应的是按要素分配。“按要素分配是按生产要素产权分配的简称。劳动（准确表述应为劳动力或劳力）、技术、资本、土地等生产要素共同参与国民财富及其货币表现即收入的创造,但非劳动生产要素本身并不因此获得财富和收入的分配，而是要素的拥有者凭借其产权及其份额获得财富和收入。”〔</w:t>
      </w:r>
      <w:r>
        <w:rPr>
          <w:rStyle w:val="20"/>
          <w:rFonts w:hint="eastAsia" w:ascii="宋体" w:hAnsi="宋体" w:eastAsia="宋体" w:cs="宋体"/>
        </w:rPr>
        <w:footnoteReference w:id="1326"/>
      </w:r>
      <w:r>
        <w:rPr>
          <w:rFonts w:hint="eastAsia" w:ascii="宋体" w:hAnsi="宋体" w:eastAsia="宋体" w:cs="宋体"/>
        </w:rPr>
        <w:t>〕经过持续的改革推进，我国逐步形成了以按劳分配为主体、按要素分配与社会再分配相结合的多元化分配格局。</w:t>
      </w:r>
    </w:p>
    <w:p w14:paraId="130981C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西方资本主义国家的按资分配制度建立在资本所有权基础之上，其收入分配主要取决于资本投入的占比，而非劳动的数量与质量。资本所有者因掌握生产资料而获得生产控制权，并依据资本投入规模取得相应回报。随着资本市场的发展和经济全球化的推进，资本主义国家的按资分配机制不断成熟并趋于复杂化。金融化和资本市场扩张使股票、债券等金融工具成为资本积累的重要渠道。经济全球化进一步强化了资本的流动性，跨国公司与国际投资者通过在全球范围内配置资本，获取更广泛的资源与利润，从而扩大按资分配制度的影响力并加深资本收益在收入分配体系中的主体地位。</w:t>
      </w:r>
    </w:p>
    <w:p w14:paraId="0DD234F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按资分配制度在促进资本积累与经济增长的同时，也带来一系列深层次的社会与经济问题。第一，贫富差距持续扩大。资本收益快速增长，而劳动收入增幅相对滞后，使资本所有者的财富累积显著快于劳动者。第二，社会不平等加剧。资本占有者在教育、医疗、住房等资源分配中享有优势，收入较低群体难以改善其社会经济地位，导致阶层固化与社会流动性下降。第三，经济增长的可持续性受到影响。在按资分配制度下，财富过度集中和有效需求不足易诱发经济危机，金融泡沫与经济周期性波动更加频繁。第四，劳动者地位弱化。资本在经济体系中的主导性使劳动者处于不利地位，为追求利润最大化，资本往往压缩劳动成本、降低工资水平，并通过全球产业外包进一步削弱劳动者议价能力，加剧全球劳动力市场的不平衡与竞争压力。</w:t>
      </w:r>
    </w:p>
    <w:p w14:paraId="716ED86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b/>
          <w:bCs/>
        </w:rPr>
        <w:t>（三）坚持劳动主体型的多种分配制度的实践经验与未来展望</w:t>
      </w:r>
    </w:p>
    <w:p w14:paraId="7C61F19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2021年8月17日，中央财经委员会第十次会议提出要“加大税收、社保、转移支付等调节力度并提高精准性，扩大中等收入群体比重，增加低收入群体收入，合理调节高收入，取缔非法收入，形成中间大、两头小的橄榄型分配结构，促进社会公平正义，促进人的全面发展，使全体人民朝着共同富裕目标扎实迈进”〔</w:t>
      </w:r>
      <w:r>
        <w:rPr>
          <w:rStyle w:val="20"/>
          <w:rFonts w:hint="eastAsia" w:ascii="宋体" w:hAnsi="宋体" w:eastAsia="宋体" w:cs="宋体"/>
        </w:rPr>
        <w:footnoteReference w:id="1327"/>
      </w:r>
      <w:r>
        <w:rPr>
          <w:rFonts w:hint="eastAsia" w:ascii="宋体" w:hAnsi="宋体" w:eastAsia="宋体" w:cs="宋体"/>
        </w:rPr>
        <w:t>〕。十八大以来，中国共产党坚持劳动主体型的多种分配制度的实践经验可以归结为：推进工资制度和劳动力市场改革，保障劳动者权益；实施脱贫攻坚和乡村振兴战略，提高低收入群体收入；完善社会保障体系，推动收入来源多元化，优化分配结构。</w:t>
      </w:r>
    </w:p>
    <w:p w14:paraId="3BB994D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通过引入市场化工资形成机制，优化薪酬结构，强化企业薪酬竞争力与员工激励。政府以宏观调控和税收政策为手段，引导收入分配向低收入群体和基础性行业倾斜，并通过加强就业服务、促进农村劳动力转移和保障农民工权益，有效缩小城乡收入差距。第二，通过精准扶贫政策体系，以发展特色产业、改善基础设施和加强劳动力培训为重点，实现了大规模减贫，低收入地区居民收入显著提升。在此基础上，乡村振兴战略的实施推动农村经济转型、现代农业发展与农村产业融合，使农民在国民收入分配中的地位持续提高。第三，通过扩大全民医保、养老保险等社会保障制度的覆盖面，逐步完善多种分配方式。在坚持按劳分配为主体的前提下，资本、土地等要素分配机制不断健全，再分配体系与社会福利制度持续完善。</w:t>
      </w:r>
    </w:p>
    <w:p w14:paraId="2D08099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推进以按劳分配为主体、多种分配方式并存的制度体系，需要进一步优化劳动与资本的分配关系，提高低收入群体收入水平，完善社会保障体系并缩小城乡收入差距。第一，应在保障基本工资水平的基础上，推动劳动者收入与经济增长、企业效益等挂钩，增强劳动收入弹性。同时提升资本收益分配的透明度，优化股权激励和分红机制，开征退籍税和遗产税，调整资本利得税，使资本收益在制度上更加公平合理分配。第二，要加强劳动法治建设与市场监管，完善劳动保护制度，强化工会和社会组织在劳动关系协调中的作用，推动企业与劳动者开展制度化对话，维护劳动关系的稳定。第三，应加快收入分配制度改革，通过税制调整、社会保障和财政转移支付，提高低收入群体收入水平，特别关注农民工、老年人、残疾人等弱势群体的收入与保障需求。通过完善全民医保、养老保险等制度，提高农村和贫困地区的保障水平，进一步提升教育、医疗等基本公共服务的均等化程度。第四，应持续推进乡村振兴战略，通过农村产业发展、农业现代化、劳动技能培训和农村劳动力转移等措施，拓宽农民增收渠道，改善农村生产生活条件，促进城乡收入差距的逐步缩小。</w:t>
      </w:r>
    </w:p>
    <w:p w14:paraId="0F4FC4B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2CF5F4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8"/>
        </w:rPr>
      </w:pPr>
      <w:r>
        <w:rPr>
          <w:rFonts w:hint="eastAsia" w:ascii="宋体" w:hAnsi="宋体" w:eastAsia="宋体" w:cs="宋体"/>
          <w:b/>
          <w:bCs/>
          <w:sz w:val="24"/>
          <w:szCs w:val="28"/>
        </w:rPr>
        <w:t>六、坚持国家主导型的多种调节制度是根本机制</w:t>
      </w:r>
    </w:p>
    <w:p w14:paraId="29DF1E0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4E5FA41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改革开放以来，中国逐步完成了从计划经济体制向社会主义市场经济体制的转型，传统的计划经济调节机制被国家主导下的多元调节体系所取代〔</w:t>
      </w:r>
      <w:r>
        <w:rPr>
          <w:rStyle w:val="20"/>
          <w:rFonts w:hint="eastAsia" w:ascii="宋体" w:hAnsi="宋体" w:eastAsia="宋体" w:cs="宋体"/>
        </w:rPr>
        <w:footnoteReference w:id="1328"/>
      </w:r>
      <w:r>
        <w:rPr>
          <w:rFonts w:hint="eastAsia" w:ascii="宋体" w:hAnsi="宋体" w:eastAsia="宋体" w:cs="宋体"/>
        </w:rPr>
        <w:t>〕。国家主导型的调节制度要求“构建国家主导型的多结构市场制度，发挥国家调节与市场调节相结合形成的在功能上良性互补、效应上协同的有机整体作用，推动有效市场和有为政府高质量结合”〔</w:t>
      </w:r>
      <w:r>
        <w:rPr>
          <w:rStyle w:val="20"/>
          <w:rFonts w:hint="eastAsia" w:ascii="宋体" w:hAnsi="宋体" w:eastAsia="宋体" w:cs="宋体"/>
        </w:rPr>
        <w:footnoteReference w:id="1329"/>
      </w:r>
      <w:r>
        <w:rPr>
          <w:rFonts w:hint="eastAsia" w:ascii="宋体" w:hAnsi="宋体" w:eastAsia="宋体" w:cs="宋体"/>
        </w:rPr>
        <w:t>〕。</w:t>
      </w:r>
    </w:p>
    <w:p w14:paraId="7D7D84D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（一）改革开放以来坚持国家主导型的多种调节制度的经济实践</w:t>
      </w:r>
    </w:p>
    <w:p w14:paraId="5B337C0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在党中央的统一领导下，全党全国对中国特色社会主义市场经济体制展开了广泛探索。通过逐步放松政府对价格的直接管控，引入竞争机制和市场信号，商品与劳动力等要素的价格开始由市场供求关系调节，从而为发挥市场机制的资源配置作用奠定了基础。但“未能及时加强管理监督和抓紧建立宏观调控体系”，导致“出现了明显的通货膨胀”〔</w:t>
      </w:r>
      <w:r>
        <w:rPr>
          <w:rStyle w:val="20"/>
          <w:rFonts w:hint="eastAsia" w:ascii="宋体" w:hAnsi="宋体" w:eastAsia="宋体" w:cs="宋体"/>
        </w:rPr>
        <w:footnoteReference w:id="1330"/>
      </w:r>
      <w:r>
        <w:rPr>
          <w:rFonts w:hint="eastAsia" w:ascii="宋体" w:hAnsi="宋体" w:eastAsia="宋体" w:cs="宋体"/>
        </w:rPr>
        <w:t>〕。随着价格市场化改革的推进，江泽民提出加快商品市场、要素市场和资本市场建设，推动国有企业建立现代企业制度，为市场调节体系的完善奠定了重要基础。与此同时，中国开始探索构建现代国家宏观调控体系。分税制改革提高了中央财政收入比重，增强了中央政府的财政调控能力；货币政策逐步运用市场化工具，提高了金融调控的灵活性，由此形成财政政策与货币政策双轨并行的宏观调控框架。然而，由于财政与货币政策协调性不足，经济运行中仍出现信贷过快扩张、投资过热、“物价上涨幅度比较高”〔</w:t>
      </w:r>
      <w:r>
        <w:rPr>
          <w:rStyle w:val="20"/>
          <w:rFonts w:hint="eastAsia" w:ascii="宋体" w:hAnsi="宋体" w:eastAsia="宋体" w:cs="宋体"/>
        </w:rPr>
        <w:footnoteReference w:id="1331"/>
      </w:r>
      <w:r>
        <w:rPr>
          <w:rFonts w:hint="eastAsia" w:ascii="宋体" w:hAnsi="宋体" w:eastAsia="宋体" w:cs="宋体"/>
        </w:rPr>
        <w:t>〕等问题，宏观调控体系的稳定性和前瞻性也面临进一步完善的要求。同时，分税制改革在增强中央财政能力的同时也导致地方财政收入相对不足，地方政府为弥补财力缺口日益依赖土地出让收入，由此“土地财政”逐步形成。胡锦涛指出“要健全统一、开放、竞争、有序的现代市场体系,充分发挥市场在资源配置中的基础性作用”〔</w:t>
      </w:r>
      <w:r>
        <w:rPr>
          <w:rStyle w:val="20"/>
          <w:rFonts w:hint="eastAsia" w:ascii="宋体" w:hAnsi="宋体" w:eastAsia="宋体" w:cs="宋体"/>
        </w:rPr>
        <w:footnoteReference w:id="1332"/>
      </w:r>
      <w:r>
        <w:rPr>
          <w:rFonts w:hint="eastAsia" w:ascii="宋体" w:hAnsi="宋体" w:eastAsia="宋体" w:cs="宋体"/>
        </w:rPr>
        <w:t>〕。他还强调加强国家宏观经济调控，防止过度依赖市场机制而引发市场失灵风险。2008年全球金融危机爆发后，中国实施大规模财政刺激政策，通过扩大投资成功抵御了外部冲击，稳定了经济运行，但也带来地方债务攀升、结构性风险累积等后续问题。</w:t>
      </w:r>
    </w:p>
    <w:p w14:paraId="53F5087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习近平强调，“必须统筹好有效市场和有为政府的关系，形成既‘放得活’又‘管得住’的经济秩序”〔</w:t>
      </w:r>
      <w:r>
        <w:rPr>
          <w:rStyle w:val="20"/>
          <w:rFonts w:hint="eastAsia" w:ascii="宋体" w:hAnsi="宋体" w:eastAsia="宋体" w:cs="宋体"/>
        </w:rPr>
        <w:footnoteReference w:id="1333"/>
      </w:r>
      <w:r>
        <w:rPr>
          <w:rFonts w:hint="eastAsia" w:ascii="宋体" w:hAnsi="宋体" w:eastAsia="宋体" w:cs="宋体"/>
        </w:rPr>
        <w:t>〕。进入新时代后，社会主义市场经济的深化发展对政府职能转变提出新的更高要求。2015年国务院首次提出“放管服”改革，通过简政放权、强化监管与优化服务的系统性转型，一方面显著改善了营商环境，激发市场主体活力与社会创新能力，另一方面推动了政府管理方式的深刻变革，提高了行政效率与政策执行能力。随着市场机制在一般经济资源短期配置中的决定性作用不断增强，政府的功能更加集中于战略资源长期配置、宏观调控、市场规则建设、公共风险管理等领域。其中，金融与资本市场因其高风险性与系统重要性，成为政府宏观治理的重要施治对象。十八大以来，中国持续深化金融体制改革。2018年国务院决定由金融稳定发展委员会统筹监管，推动金融治理体系更加规范化、法治化与现代化。</w:t>
      </w:r>
    </w:p>
    <w:p w14:paraId="31D4BD7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（二）中西方经济调节机制差异与资本主义市场机制的缺陷解析</w:t>
      </w:r>
    </w:p>
    <w:p w14:paraId="2E5DE49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中国始终坚持国家主导型的多种调节制度，为经济长期高速而稳定的发展奠定了制度基础。与资本主义国家以市场机制为主导的唯市场化、泛市场化调节模式不同，中国在实践中逐步形成了国家调节为主导、政府与市场双重调节相结合的治理模式。国家在经济运行中发挥全面领导和“顶层设计”作用〔</w:t>
      </w:r>
      <w:r>
        <w:rPr>
          <w:rStyle w:val="20"/>
          <w:rFonts w:hint="eastAsia" w:ascii="宋体" w:hAnsi="宋体" w:eastAsia="宋体" w:cs="宋体"/>
        </w:rPr>
        <w:footnoteReference w:id="1334"/>
      </w:r>
      <w:r>
        <w:rPr>
          <w:rFonts w:hint="eastAsia" w:ascii="宋体" w:hAnsi="宋体" w:eastAsia="宋体" w:cs="宋体"/>
        </w:rPr>
        <w:t>〕，通过五年规划、年度规划、地区规划、部门规划和长期发展战略的制定与实施，明确重要资源配置的发展方向和重点领域。同时，政府除运用行政手段外，还通过财政政策、货币政策等宏观调控方式稳定经济运行。其中包括保持国有企业在重要行业和基础设施领域的主导地位，这保障了国家对关键资源与战略产业的有效控制。改革开放以来，中国不断推进市场化改革，包括价格改革、简政放权和产权制度改革等，持续释放市场活力，使市场在非战略性领域的短期资源配置中逐渐发挥决定性作用。实践表明，在社会主义市场经济框架下，市场调节的某种决定性作用与国家调节的某种主导作用并非相互排斥，而是在制度设计中形成良性互动，共同推动了经济的长期稳定发展。</w:t>
      </w:r>
    </w:p>
    <w:p w14:paraId="7B88114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在资本主义经济体制下，市场决定被认为是资源配置的唯一最有效方式，政府调节的范围较小、力度较弱。市场经济的本质内涵并非抽象的“市场决定”，而是具体体现为企业在生产与交换过程中的自主决策权，即在生产什么、生产多少以及如何定价等核心环节上拥有自主权。当大部分商品与服务的供给都由企业基于自身利益而有权作出独立选择时，便可称之为市场经济。资本主义国家强调市场决定一切经济资源和非经济资源的配置和价格形成，政府的职责只是保持市场秩序和公正竞争。但实际上，所谓新自由主义的“市场决定”就是一种隐喻性的表达，其背后实质是私人企业，尤其是寡头垄断资本对经济运行过程的主导。新自由主义理论通过“市场”之名掩盖了私人垄断资本的实际权力。与此同时，市场调节机制本身存在先天局限，如市场失灵、短期主义倾向以及周期性波动等问题。资本主义国家的经济调控手段相对有限，主要依赖货币、财政与税收政策，这些工具往往具有滞后性和短期效应，难以在深度危机中发挥系统性治理能力。在追求资本回报最大化的制度逻辑下，企业决策普遍呈现短期化，更多关注即时盈利而忽视长期投资、技术创新与可持续发展，由此造成资源过度消耗、投资结构失衡等问题。高度自由化的金融市场则进一步放大了经济波动性，易引发资产泡沫和周期性危机，成为资本主义经济体系内生的不稳定因素。</w:t>
      </w:r>
    </w:p>
    <w:p w14:paraId="6E097BF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中西方经济调控机制的根本差异在于，资本主义国家强调唯自由市场化和政府干预最小化，其宏观调控主要依赖货币政策和财政政策，工具体系相对单一，具有明显的滞后性与局限性，易导致经济周期性波动、收入分配失衡及生态环境恶化等结构性问题。而中国在社会主义市场经济框架下形成了更加多元、灵活和及时的调控体系，客观上是国家调节的主导作用与市场调节的功能性高效结合。政府能够通过规划引导、产业政策、经济政策法规、监管制度、公共投资及必要的行政约束等多种手段进行动态调节，不仅有效维护经济的稳定运行，还推动了产业结构升级、区域协调发展与社会公平，展现出较为显著的调控效能。</w:t>
      </w:r>
    </w:p>
    <w:p w14:paraId="03FDBF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（三）坚持国家主导型的多种调节制度的实践经验与未来展望</w:t>
      </w:r>
    </w:p>
    <w:p w14:paraId="72A6F4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党的十八届三中全会审议通过的《中共中央关于全面深化改革若干重大问题的决定》指出，“经济体制改革是全面深化改革的重点，核心问题是处理好政府和市场的关系，使市场在资源配置中起决定性作用和更好发挥政府作用”〔</w:t>
      </w:r>
      <w:r>
        <w:rPr>
          <w:rStyle w:val="20"/>
          <w:rFonts w:hint="eastAsia" w:ascii="宋体" w:hAnsi="宋体" w:eastAsia="宋体" w:cs="宋体"/>
        </w:rPr>
        <w:footnoteReference w:id="1335"/>
      </w:r>
      <w:r>
        <w:rPr>
          <w:rFonts w:hint="eastAsia" w:ascii="宋体" w:hAnsi="宋体" w:eastAsia="宋体" w:cs="宋体"/>
        </w:rPr>
        <w:t>〕。十八大以来坚持国家主导型的多种调节制度的实践经验表明，凡是市场机制能够有效配置资源、整体上呈现利大于弊的领域，应主要依托市场的自发运行，政府仅在必要时发挥补充性矫正作用；而凡是市场机制预计或事实上已出现失灵与弊端的环节，则必须由国家承担起事先事中事后相衔接的调节职责，以维护国民经济的有序高效运转和民生共富的积极提升。实践证明，只有更好地坚持市场与国家“功能性双重调节论”〔</w:t>
      </w:r>
      <w:r>
        <w:rPr>
          <w:rStyle w:val="20"/>
          <w:rFonts w:hint="eastAsia" w:ascii="宋体" w:hAnsi="宋体" w:eastAsia="宋体" w:cs="宋体"/>
        </w:rPr>
        <w:footnoteReference w:id="1336"/>
      </w:r>
      <w:r>
        <w:rPr>
          <w:rFonts w:hint="eastAsia" w:ascii="宋体" w:hAnsi="宋体" w:eastAsia="宋体" w:cs="宋体"/>
        </w:rPr>
        <w:t>〕，将市场调节与国家调节有机结合，才能更好地促进经济社会的高质量发展。</w:t>
      </w:r>
    </w:p>
    <w:p w14:paraId="74397AA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发挥市场调节在一般经济资源短期配置中的决定性作用。资源配置是市场机制的核心功能，市场通过价格信号引导生产要素在产业间自由流动，调节供求关系，从而促进资源优化配置与创新动力的形成。然而，市场调节也存在固有局限，如市场失灵、信息不对称、短期行为偏好以及收入差距扩大的倾向等，其负面效应不容忽视。第二，发挥国家在调节国民经济发展中的主导作用。国家在长期性、战略性资源配置领域具有不可替代的制度优势，并通过财政政策、货币政策等宏观调控手段稳定经济运行，通过社会保障与税收政策维护社会公平，通过产业政策与科技投入推动结构升级与技术进步。当然，国家调节亦可能面临行政低效、官僚化倾向和政策执行滞后等问题，需要持续改进治理能力与政策体系。市场调节与国家调节在社会主义市场经济框架下并非相互排斥，而是相辅相成。</w:t>
      </w:r>
    </w:p>
    <w:p w14:paraId="434CBC2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第一，中国应加快建设法治经济，进一步完善市场机制。完善市场机制必须以健全的市场经济法律体系为基础。应推动形成法治化、规范化、透明化的市场监管体系，优化市场准入与退出机制，提升市场运行的公开、公平与可预期性。第二，应持续推进国家治理体系和治理能力现代化，以更好发挥国家调节的主导作用。一方面，应加强宏观经济治理的法治化和决策透明度，完善政府公共服务职能，提高政策制定与执行的效率；另一方面，通过数据赋能、跨部门协调机制建设和公共治理能力提升，使政府能够迅速应对经济波动，增强政策的协同性、稳定性与长效性，确保公共资源、重要资源的合理配置。第三，在深化改革中进一步优化政府与市场关系。在发挥市场的资源配置作用的同时，国家仍需保持必要的调控和治理能力。政府应通过改革提升治理效能，避免无效干预，加强对市场尤其是金融领域的监管和规则制度建设，以维护市场秩序、防范重大风险和系统性风险，确保经济平稳健康运行。</w:t>
      </w:r>
    </w:p>
    <w:p w14:paraId="742A579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29E00A4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8"/>
        </w:rPr>
      </w:pPr>
      <w:r>
        <w:rPr>
          <w:rFonts w:hint="eastAsia" w:ascii="宋体" w:hAnsi="宋体" w:eastAsia="宋体" w:cs="宋体"/>
          <w:b/>
          <w:bCs/>
          <w:sz w:val="24"/>
          <w:szCs w:val="28"/>
        </w:rPr>
        <w:t>七、坚持自力主导型的对外开放制度是根本战略</w:t>
      </w:r>
    </w:p>
    <w:p w14:paraId="471794D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p>
    <w:p w14:paraId="1EBA4F4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对外开放战略旨在通过深度融入全球经济体系，加速推动中国现代化进程。改革开放初期，大量外资的进入不仅带来了先进的管理经验和技术，也促进了产业结构升级与技术进步。然而，当前国际贸易环境日益复杂，贸易保护主义抬头、技术封锁加剧以及知识产权争端频发，全球贸易体系面临更大的不确定性。在此背景下，习近平指出“面对世界百年未有之大变局，面对国内外发展环境发生的深刻复杂变化，我们要走一条更高水平的自力更生之路，实施更高水平的改革开放，加快构建以国内大循环为主体、国内国际双循环相互促进的新发展格局”〔</w:t>
      </w:r>
      <w:r>
        <w:rPr>
          <w:rStyle w:val="20"/>
          <w:rFonts w:hint="eastAsia" w:ascii="宋体" w:hAnsi="宋体" w:eastAsia="宋体" w:cs="宋体"/>
        </w:rPr>
        <w:footnoteReference w:id="1337"/>
      </w:r>
      <w:r>
        <w:rPr>
          <w:rFonts w:hint="eastAsia" w:ascii="宋体" w:hAnsi="宋体" w:eastAsia="宋体" w:cs="宋体"/>
        </w:rPr>
        <w:t>〕。</w:t>
      </w:r>
    </w:p>
    <w:p w14:paraId="6E9E493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（一）改革开放以来坚持自力主导型的对外开放制度的经济实践</w:t>
      </w:r>
    </w:p>
    <w:p w14:paraId="2CE27B8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改革开放初期，邓小平指出“对外开放具有重要意义，任何一个国家要发展,孤立起来,闭关自守是不可能的,不加强国际交往,不引进发达国家的先进经验、先进科学技术和资金，是不可能的。”〔</w:t>
      </w:r>
      <w:r>
        <w:rPr>
          <w:rStyle w:val="20"/>
          <w:rFonts w:hint="eastAsia" w:ascii="宋体" w:hAnsi="宋体" w:eastAsia="宋体" w:cs="宋体"/>
        </w:rPr>
        <w:footnoteReference w:id="1338"/>
      </w:r>
      <w:r>
        <w:rPr>
          <w:rFonts w:hint="eastAsia" w:ascii="宋体" w:hAnsi="宋体" w:eastAsia="宋体" w:cs="宋体"/>
        </w:rPr>
        <w:t>〕这一时期，中国对外开放处于起步阶段，主要呈现出以“引进来”为特征的开放格局。深圳、珠海、汕头、厦门等经济特区成为对外开放的前沿阵地，承担着制度先行探索与吸引外资的重要任务。同时，邓小平积极推动外贸体制改革，鼓励外资企业进入中国市场。随着中国经济不断融入世界市场，开放型经济体制逐步形成，外资技术、管理经验与国际市场需求持续推动国内产业升级与经济结构转型。在此背景下，江泽民提出“‘引进来’和‘走出去’是我们对外开放基本国策两个紧密联系、相互促进的方面,缺一不可。”〔</w:t>
      </w:r>
      <w:r>
        <w:rPr>
          <w:rStyle w:val="20"/>
          <w:rFonts w:hint="eastAsia" w:ascii="宋体" w:hAnsi="宋体" w:eastAsia="宋体" w:cs="宋体"/>
        </w:rPr>
        <w:footnoteReference w:id="1339"/>
      </w:r>
      <w:r>
        <w:rPr>
          <w:rFonts w:hint="eastAsia" w:ascii="宋体" w:hAnsi="宋体" w:eastAsia="宋体" w:cs="宋体"/>
        </w:rPr>
        <w:t>〕一方面，中国继续深化“引进来”战略，不断扩大开放范围，逐步形成沿海、沿边、沿江和内陆协调推进的全方位开放格局；另一方面，中国积极实施“走出去”战略，鼓励具有实力的企业开展对外投资与跨国经营，拓展国际市场。在“走出去”初期，中国企业的对外出口多集中于低附加值制造业，高端制造与核心技术领域受制于发达国家。针对这些问题，胡锦涛指出，“必须大力增强科技自主创新能力,选择一些有基础、有优势,有条件,、对经济社会发展有重大意义的方向和领域进行攻关,尽快掌握一批核心技术,拥有一批自主知识产权”〔</w:t>
      </w:r>
      <w:r>
        <w:rPr>
          <w:rStyle w:val="20"/>
          <w:rFonts w:hint="eastAsia" w:ascii="宋体" w:hAnsi="宋体" w:eastAsia="宋体" w:cs="宋体"/>
        </w:rPr>
        <w:footnoteReference w:id="1340"/>
      </w:r>
      <w:r>
        <w:rPr>
          <w:rFonts w:hint="eastAsia" w:ascii="宋体" w:hAnsi="宋体" w:eastAsia="宋体" w:cs="宋体"/>
        </w:rPr>
        <w:t>〕。此后，中国从以“数量型”吸引外资转向“质量型”利用外资，重点吸引外资进入高端制造业、高新技术产业和现代服务业。同时鼓励优势企业参与国际竞争，通过对外直接投资、跨国并购等方式提升国际化经营能力。在多双边层面，中国加快参与区域经济合作，自贸区建设稳步推进，先后完成与东盟、智利、巴基斯坦等国家的自贸协定谈判。但此时，出口贸易仍以中低端产品为主，自主品牌竞争力仍需加强。同时，个别大型资本集团在境外投资中存在盲目扩张、缺乏风险评估等问题，暴露出企业全球化过程中制度、管理与战略层面的不足。</w:t>
      </w:r>
    </w:p>
    <w:p w14:paraId="4ED3BE0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习近平进一步深化了对外开放战略，特别是在“一带一路”、国内国际双循环新发展格局、自贸区建设、多边贸易合作等方面进行了一系列富有成效的探索。第一，“一带一路”倡议于2013年首次被提出，旨在通过基础设施建设、区域经济合作等方式，推动中国与沿线国家构建更紧密的经济联系。截至目前，已有140多个国家和国际组织参与合作，成为促进全球贸易、投资与区域融合的重要国际公共平台。第二，2020年5月中国正式提出构建“国内国际双循环”新发展格局，其中，国内大循环作为主体，强调通过扩大内需、促进消费升级和推进产业链现代化增强国内市场的韧性；国际循环以国内循环为基础，强调深度参与全球产业链、稳定外贸外资基本盘，并提升在全球价值链中的地位。该战略提出以来，中国加大对消费领域的政策支持，加快供给侧结构性改革和科技创新步伐，推动产业体系向高端化、智能化与绿色化发展。第三，自贸区是新时代提升对外开放质量的重要载体。2013年上海自由贸易试验区设立后，广东、天津、福建等自贸试验区相继落地，自贸区的数量与制度创新空间不断扩大。2018年设立覆盖全岛的海南自由贸易试验区，标志着中国自贸区制度从试验探索迈向高水平制度型开放的新阶段。</w:t>
      </w:r>
    </w:p>
    <w:p w14:paraId="7043235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（二）中西方对外开放制度差异与资本主义不平等国际分工分析</w:t>
      </w:r>
    </w:p>
    <w:p w14:paraId="276B1D2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改革开放以来中国对外开放已经经历了“引进来”“引进来和走出去并重”“自主创新”三个阶段〔</w:t>
      </w:r>
      <w:r>
        <w:rPr>
          <w:rStyle w:val="20"/>
          <w:rFonts w:hint="eastAsia" w:ascii="宋体" w:hAnsi="宋体" w:eastAsia="宋体" w:cs="宋体"/>
        </w:rPr>
        <w:footnoteReference w:id="1341"/>
      </w:r>
      <w:r>
        <w:rPr>
          <w:rFonts w:hint="eastAsia" w:ascii="宋体" w:hAnsi="宋体" w:eastAsia="宋体" w:cs="宋体"/>
        </w:rPr>
        <w:t>〕，并逐渐步入自力主导型的对外开放阶段。自力主导型对外开放更加强调在开放条件下提升国内经济体系的自主性与安全性，其核心在于以自主创新引领高质量开放。一方面，在继续推进技术引进、吸收与再创新的同时，更加注重提升关键核心技术攻关能力，实现产业链、供应链的自主可控与安全高效；另一方面，鼓励具备实力的企业深度参与国际市场，通过海外投资、跨国经营与全球治理合作嵌入全球资源配置体系，在开放中增强竞争力、塑造新优势。自力主导型开放不是封闭，而是依托国内强大市场和创新能力，通过高水平开放与自主创新的协同推进，促进经济体系实现更高质量、更高韧性和更具战略主动性的开放格局。</w:t>
      </w:r>
    </w:p>
    <w:p w14:paraId="4D4D698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资本主义国家的对外开放制度表面上强调自由贸易和全球市场一体化，实质上以维护本国私人垄断资本优势为核心目标，其开放模式深植于资本主义世界体系的不平等结构之中。所谓“自由市场原则”“贸易和投资自由化”等主张，往往被用作推动资本跨境扩张的工具，使发达国家能够通过跨国公司体系在全球范围内配置资源、攫取利润。一旦其经济利益受到威胁，发达资本主义国家便迅速转向贸易保护主义，采取关税制裁、技术封锁、金融打压等手段。资本主义国家的开放实践催生了一个由西方发达国家主导的不平等国际分工体系。发达国家掌握资本、技术、标准、金融货币体系以及知识产权等高附加值要素，主导全球价值链高端环节；发展中国家则在全球产业链中主要承担原材料供应和低附加值制造环节，依赖外资、技术和市场获取有限收益。在此世界经济体系中，技术垄断、制度性贸易规则与金融霸权共同构成发达国家对全球发展中国家的剥削机制。发展中国家往往以高资源消耗和环境代价换取有限的出口份额，陷入利润空间狭窄、产业升级困难的结构性困境，呈现出典型的依附性与受损地位。</w:t>
      </w:r>
    </w:p>
    <w:p w14:paraId="3A02634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以美国为首的发达资本主义国家长期主导全球经济规则的制定，构建并维持不平等的国际分工体系。这一体系强化了全球南北差距，导致资源与环境成本由发展中国家集中承担，同时加剧社会不稳定性与国家间矛盾。眼下美国发动的关税战、科技战等更是损害了世界经济的正常良性发展。与此不同，中国的对外开放战略强调互利共赢、包容发展和战略性合作。在综合国力不断提升的背景下，中国一贯积极参与全球经济治理，推动国际经济秩序改革，倡导构建更加公平、公正、合理的全球经济体系，为发展中国家创造更具包容性的外部发展环境。</w:t>
      </w:r>
    </w:p>
    <w:p w14:paraId="4BFBBB4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rPr>
      </w:pPr>
      <w:r>
        <w:rPr>
          <w:rFonts w:hint="eastAsia" w:ascii="宋体" w:hAnsi="宋体" w:eastAsia="宋体" w:cs="宋体"/>
          <w:b/>
          <w:bCs/>
        </w:rPr>
        <w:t>（三）坚持自力主导型的对外开放制度的实践经验与未来展望</w:t>
      </w:r>
    </w:p>
    <w:p w14:paraId="51BB220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自十八大以来，中国形成并坚持“自力主导型”的对外开放制度，在持续扩大开放的同时强调自主可控与独立发展，通过强化自主创新和深化国际合作全面提升全球竞争力。其实践经验主要体现在以下几个方面：强化自主创新与核心技术攻关；优化外资结构，推动内外资协同发展；推进国内大循环和国际大循环的良性互动；推动区域经济一体化和互联互通建设；在扩大开放的同时统筹国家安全。</w:t>
      </w:r>
    </w:p>
    <w:p w14:paraId="682BECF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第一，推动科技创新成为对外开放的重要支撑。十八大以来，中国将自主创新提升至国家发展全局的核心位置，特别是在关键核心技术领域强化系统性布局与研发投入。通过实施“自主可控”的技术战略，中国逐步降低对外部技术的结构性依赖，在若干重要领域实现了从技术引进向自主研发的转型，逐步突破外部技术封锁，提升产业链供应链的安全性与稳定性。第二，优化外资结构，促进内外资协同发展。在持续扩大开放的基础上，中国更加注重外资质量与结构优化，鼓励外资进入高端制造业、高新技术产业和现代服务业等领域。通过推动技术引进与自主创新的深度融合，提高外资在本土创新体系中的参与度。同时，中国加快实施“走出去”战略，通过“一带一路”建设和对外投资合作提升企业的全球布局与国际竞争力。第三，推动国内大循环与国际大循环的良性互动。中国着力强化以国内市场为主体的内生增长动力，通过扩大消费需求、推动产业升级、完善基础设施建设等方式提升经济韧性。在保持高水平对外开放的同时，中国构建“国内国际双循环”的发展格局，使国内资源配置与国际市场联动更加高效，形成相互促进的开放发展体系。第四，深化区域经济一体化与互联互通合作。中国积极参与并推动区域经济合作机制建设，通过自由贸易试验区、区域全面经济伙伴关系协定（RCEP）以及“一带一路”倡议等平台，增强区域内贸易投资便利化水平，提高跨国互联互通能力，从而拓展开放合作的广度与深度。第五，注重对外开放与国家安全的统筹平衡〔</w:t>
      </w:r>
      <w:r>
        <w:rPr>
          <w:rStyle w:val="20"/>
          <w:rFonts w:hint="eastAsia" w:ascii="宋体" w:hAnsi="宋体" w:eastAsia="宋体" w:cs="宋体"/>
        </w:rPr>
        <w:footnoteReference w:id="1342"/>
      </w:r>
      <w:r>
        <w:rPr>
          <w:rFonts w:hint="eastAsia" w:ascii="宋体" w:hAnsi="宋体" w:eastAsia="宋体" w:cs="宋体"/>
        </w:rPr>
        <w:t>〕。在持续扩大开放的同时，中国更加强调国家经济安全的重要性，通过构建关键领域的风险防控机制，确保在推进高水平开放的同时维护战略自主与制度安全，为开放型经济体系的稳健发展提供制度保障。</w:t>
      </w:r>
    </w:p>
    <w:p w14:paraId="135AE99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未来，中国应继续深化自力主导型的对外开放制度，建设更高水平开放型经济。在强化自主创新能力、提升内外循环联动效能的基础上，更积极参与国际合作与全球治理体系改革，增强在全球经济体系中的竞争力与制度性话语权。第一，加强关键核心技术自主可控，突破技术瓶颈。应持续强化国家战略科技力量，构建自主可控、安全高效的技术体系。推进产学研协同创新体系建设，提高自主创新成果的产业化水平，夯实中国在全球技术竞争中的优势。第二，深化国内大循环，提升国际大循环质量。以超大规模国内市场为依托，通过促进消费升级、优化产业结构，加强经济内生动力。在此基础上，通过与全球供应链、价值链、产业链和科技链的高质量联动，实现国内国际双循环的深度融合与互促共进。第三，提升在全球价值链中的主导力与塑造力。通过推动技术创新、实施产业政策和深化区域合作，促进全球价值链的重构，逐步实现从全球制造中心向全球创新枢纽的战略转型，努力培育“控股、控技(核心技术)、控牌(品牌)、控链(产业链、供应链和价值链)的‘四控型’跨国公司”〔</w:t>
      </w:r>
      <w:r>
        <w:rPr>
          <w:rStyle w:val="20"/>
          <w:rFonts w:hint="eastAsia" w:ascii="宋体" w:hAnsi="宋体" w:eastAsia="宋体" w:cs="宋体"/>
        </w:rPr>
        <w:footnoteReference w:id="1343"/>
      </w:r>
      <w:r>
        <w:rPr>
          <w:rFonts w:hint="eastAsia" w:ascii="宋体" w:hAnsi="宋体" w:eastAsia="宋体" w:cs="宋体"/>
        </w:rPr>
        <w:t>〕。第四，加强对外投资监管，维护国家经济与金融安全。在推动企业“走出去”的同时，应建立健全对外投资的风险评估、预警和监管体系，提高境外投资质量与可持续性。通过规范跨境资本流动、强化金融监管协调、防范系统性金融风险，确保扩大对外开放与维护经济金融安全相统一。第五，深化国际贸易合作，提升全球治理话语权。中国应进一步推动国际贸易体系改革，积极参与多边和区域贸易协定谈判，扩大在全球经济治理平台（如WTO、APEC等）中的制度性影响力。通过推动构建更加公正合理、包容均衡的全球经济治理体系，为发展中国家的共同利益发声，提升中国在规则制定和治理议程设置中的话语权。</w:t>
      </w:r>
    </w:p>
    <w:p w14:paraId="575C3643">
      <w:pPr>
        <w:bidi w:val="0"/>
        <w:rPr>
          <w:rFonts w:hint="eastAsia"/>
          <w:lang w:val="en-US" w:eastAsia="zh-CN"/>
        </w:rPr>
      </w:pPr>
    </w:p>
    <w:p w14:paraId="75425B94">
      <w:pPr>
        <w:bidi w:val="0"/>
        <w:rPr>
          <w:rFonts w:hint="eastAsia"/>
          <w:lang w:val="en-US" w:eastAsia="zh-CN"/>
        </w:rPr>
      </w:pPr>
    </w:p>
    <w:p w14:paraId="38B74D78">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《学术界》2026年第1期</w:t>
      </w:r>
      <w:r>
        <w:rPr>
          <w:rFonts w:hint="eastAsia" w:ascii="Times New Roman" w:hAnsi="Times New Roman"/>
          <w:szCs w:val="21"/>
          <w:lang w:val="en-US" w:eastAsia="zh-CN"/>
        </w:rPr>
        <w:t>，第二作者为潘越</w:t>
      </w:r>
      <w:r>
        <w:rPr>
          <w:rFonts w:hint="eastAsia" w:ascii="Times New Roman" w:hAnsi="Times New Roman" w:eastAsia="宋体"/>
          <w:szCs w:val="21"/>
          <w:lang w:val="en-US" w:eastAsia="zh-CN"/>
        </w:rPr>
        <w:t>。</w:t>
      </w:r>
      <w:r>
        <w:rPr>
          <w:rFonts w:hint="eastAsia" w:ascii="Times New Roman" w:hAnsi="Times New Roman"/>
          <w:szCs w:val="21"/>
          <w:lang w:val="en-US" w:eastAsia="zh-CN"/>
        </w:rPr>
        <w:t>）</w:t>
      </w:r>
    </w:p>
    <w:p w14:paraId="350C330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szCs w:val="21"/>
          <w:lang w:val="en-US" w:eastAsia="zh-CN"/>
        </w:rPr>
      </w:pPr>
    </w:p>
    <w:p w14:paraId="5857120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szCs w:val="21"/>
          <w:lang w:val="en-US" w:eastAsia="zh-CN"/>
        </w:rPr>
      </w:pPr>
    </w:p>
    <w:p w14:paraId="4F025BE9">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宋体" w:hAnsi="宋体" w:eastAsia="宋体" w:cs="宋体"/>
          <w:b/>
          <w:bCs/>
          <w:sz w:val="28"/>
          <w:szCs w:val="28"/>
          <w:lang w:val="en-US" w:eastAsia="zh-CN"/>
        </w:rPr>
      </w:pPr>
      <w:bookmarkStart w:id="974" w:name="_Toc1602903286"/>
      <w:bookmarkStart w:id="975" w:name="_Toc2075723099"/>
      <w:bookmarkStart w:id="976" w:name="_Toc31907"/>
      <w:bookmarkStart w:id="977" w:name="_Toc150753142"/>
      <w:bookmarkStart w:id="978" w:name="_Toc47977031"/>
      <w:bookmarkStart w:id="979" w:name="_Toc1731618369"/>
      <w:r>
        <w:rPr>
          <w:rFonts w:hint="eastAsia" w:ascii="宋体" w:hAnsi="宋体" w:eastAsia="宋体" w:cs="宋体"/>
          <w:b/>
          <w:bCs/>
          <w:sz w:val="28"/>
          <w:szCs w:val="28"/>
          <w:lang w:val="en-US" w:eastAsia="zh-CN"/>
        </w:rPr>
        <w:t>5中国式现代化视域下我国体制机制创新的三个维度</w:t>
      </w:r>
      <w:bookmarkEnd w:id="974"/>
      <w:bookmarkEnd w:id="975"/>
      <w:bookmarkEnd w:id="976"/>
      <w:bookmarkEnd w:id="977"/>
      <w:bookmarkEnd w:id="978"/>
      <w:bookmarkEnd w:id="979"/>
    </w:p>
    <w:p w14:paraId="56E113B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[摘要] 党的二十届四中全会公报及“十五五”规划的建议指出，实现社会主义现代化是一个阶梯式递进、不断发展进步的历史过程，需要不懈努力、接续奋斗。要坚持全面深化改革，聚焦消除制约高质量发展的体制机制障碍，推动生产关系和生产力、上层建筑和经济基础、国家治理和社会发展更好相适应，持续增强发展动力和社会活力。在“十五五”时期，应当全面推进党的建设制度改革，增强党的创造力、凝聚力、战斗力，这是推进我国各项体制机制创新的根本前提和保证；应当把我国体制机制创新的重心放在因地制宜发展新质生产力、构建与之相适应的生产关系之上；应着力破除影响践行创新、协调、绿色、开放、共享发展的各类体制机制障碍，为推进高质量发展和最终加快推进中国式现代化创造条件。</w:t>
      </w:r>
    </w:p>
    <w:p w14:paraId="29E6BDF9">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[关键词] 全面深化改革；体制机制；中国式现代化；高质量发展；新质生产力</w:t>
      </w:r>
    </w:p>
    <w:p w14:paraId="417963D6">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5F2002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党的二十届四中全会审议通过了《中共中央关于制定国民经济和社会发展第十五个五年规划的建议》（以下简称《建议》），既总结了“十四五”时期我国围绕中国式现代化这一奋斗目标所取得的重大发展成就，又擎画了未来五年我国发展的宏伟蓝图，为深入推进中国式现代化指明了继续前进的方向。正如会议公报及《建议》所指出，“实现社会主义现代化是一个阶梯式递进、不断发展进步的历史过程，需要不懈努力、接续奋斗。”[1] 而“十五五”时期是基本实现社会主义现代化夯实基础、全面发力的关键时期，必须推动事关中国式现代化全局的战略任务取得重大突破。在此目标下，必须坚持全面深化改革，聚焦消除制约高质量发展的体制机制障碍。事实上，中国式现代化正是基于我国国情对更美好的社会的一种探索。过去40余年改革开放实践推动了中国特色社会主义制度不断完善，但是面对世界百年变局加速推进、新一轮科技革命和产业变革的不断突破，如何更加有效应对复杂严峻的外部环境新变化，在激烈国际竞争中赢得战略主动，对我国体制机制的创新提出了更高的要求。我们必须坚持党始终成为中国特色社会主义事业的坚强领导核心，从全面推进党的建设制度改革入手，以党的自我革命引领推进中国式现代化；在各项体制机制创新中，必须抓住主要矛盾，将重心放在与新质生产力相适应的新型生产关系的构建上，这是实现高质量发展的内在要求；此外，要紧紧把握好践行创新、协调、绿色、开放、共享新发展理念的五个着力点，破除阻碍高质量发展的体制机制，塑造新动能新优势，进一步解放和发展生产力。在实施“十五五”规划的关键时期，我们应当砥砺前行，以更大的决心和毅力，统筹规划，协同发力，奋力开创中国式现代化建设新局面。</w:t>
      </w:r>
    </w:p>
    <w:p w14:paraId="65CE9C8D">
      <w:pPr>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b/>
          <w:bCs/>
          <w:sz w:val="24"/>
          <w:szCs w:val="24"/>
          <w:lang w:val="en-US" w:eastAsia="zh-CN"/>
        </w:rPr>
      </w:pPr>
      <w:r>
        <w:rPr>
          <w:rFonts w:hint="eastAsia" w:ascii="Times New Roman" w:hAnsi="Times New Roman" w:eastAsia="宋体"/>
          <w:b/>
          <w:bCs/>
          <w:sz w:val="24"/>
          <w:szCs w:val="24"/>
          <w:lang w:val="en-US" w:eastAsia="zh-CN"/>
        </w:rPr>
        <w:t>一、全面推进党的建设制度改革，增强党的创造力、凝聚力、战斗力，是确保我国各项体制机制创新的根本前提和保证</w:t>
      </w:r>
    </w:p>
    <w:p w14:paraId="4144E22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习近平强调指出：“中国特色社会主义最本质的特征是中国共产党领导，中国特色社会主义制度的最大优势是中国共产党领导”。[2]194 这一重大科学论断是改革开放以来我们党坚持和发展中国特色社会主义的深刻总结。自党的十一届三中全会以来，我们党把马克思主义基本原理同中国改革开放的具体实际相结合，进行了中国特色社会主义新的伟大实践，逐步探索形成中国特色社会主义的基本经济制度、基本政治制度及一系列体制机制，带领全体人民取得了令世界瞩目的辉煌成就。因此，办好中国的事情，关键在党，这是经过实践一再证明了的真理。中国式现代化的建设必须始终坚持党的领导，同时，需要特别注意把党的建设摆在重要位置，完善一整套管党治党兴党强党的制度体系，包括诸如党员干部人事制度改革、党员教育管理和作用发挥机制，以及一系列推进党风廉政建设和反腐败斗争的监督机制和约束机制等，保持党的先进性和纯洁性，增强党的创造力、凝聚力、战斗力。</w:t>
      </w:r>
    </w:p>
    <w:p w14:paraId="22F8AFB4">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自党的十八届三中全会首次提出“深化党的建设制度改革”这一重要命题以来，党的建设已经取得了一系列成果，其中，在党的建设制度体系上取得了巨大进步，在构建全面从严治党体系上积累了丰富成果，推动党和国家事业迈上了新台阶。总体而言，党的政治建设、思想建设、组织建设、作风建设、纪律建设等在内的一系列制度法规相继出台并不断完善，成为被全党普遍认可并积极执行的行动准则和依据。如《中国共产党党内监督条例》（2016）、《中国共产党纪律处分条例》（2015、2018）、《中国共产党重大事项请示报告条例》（2019）、《中国共产党组织工作条例》（2021）、《中国共产党章程》（2022）等，这些法律法规基本形成了以党章为统领，以党的组织法规制度、党的领导法规制度、党的自身建设法规制度、党的监督保障法规制度为组成部分的党内法规体系。对此，习近平给予了充分肯定，并指出：“放眼全世界，没有任何一个政党能像中国共产党如此严肃认真地对待自身建设，如此高度自觉地以科学的态度、体系化的方式推进自我革命，这是我们党的显著优势，也是引领时代的制胜之道”。[3]487 2023年4月，中共中央又印发了《中央党内法规制定工作规划纲要（2023—2027年）》，对此后五年中央党内法规制定工作进行顶层设计，要求进一步推动党内法规制度建设的高质量发展，以确保实现党在新时代新征程中的使命任务。在“十五五”时期，面对加快推进中国式现代化的紧迫任务，我国应当进一步健全和完善党的各项法规条例，持续深化党的建设制度改革，推进党的自我革命，提升党的长期执政能力，尤其要将党“总揽全局、协调各方”落到实处，为党和国家统筹制定各项体制机制从而推动各项事业的发展提供保障。</w:t>
      </w:r>
    </w:p>
    <w:p w14:paraId="004035D9">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一方面，要进一步完善党规党纪的制度建设，真正实现制度治党、依规治党，确保党的先进性和纯洁性，提升党的凝聚力、领导力、战斗力，让党更好发挥作为“两个先锋队”的作用。据此，一是应继续加强党的建设制度的顶层设计，统筹协调各项党规党纪的制定，高质量构建党的建设制度体系。面对实现中国式现代化的宏伟目标，党的建设制度既要以坚持和加强党的全面领导为根本原则，也应当着力提升党面临纷繁复杂的国内外形势能够审时度势、科学布局、正确决策等的长期执政能力，在党的建设制度设计上能够充分发挥每一位党员的积极性，选拔任用有担当、有作为、抗压能力强的党员干部，打造能够形成强有力的领导集体的各级党组织。二是继续不遗余力查漏补缺，补足制度短板，严密覆盖党的建设各领域。根据《中央党内法规制定工作规划纲要（2023—2027年）》，有关法规制定方面的规划包括了五大类（“两个维护”制度、党的领导法规制度、党的组织法规制度、党的自身建设法规制度、党的监督保障法规制度）共计28个方面的体制机制，目前，已经取得了很大进展，但仍应继续加强组织领导，落实工作责任，确保规划纲要落实落地，确保制定出台的党内法规“立得住、行得通、管得了”。三是继续完善党规党纪的执行体系，保障制度的严格执行和充分实施，对违规行为做到违规必究，依规处分。既要加强对党规党纪的教育学习，让每一个党员切实知晓自身应当遵守的纪律规范，也要落实到党员的工作日常，加强定期巡视和群众监督，对违规行为绝不姑息、严格查处。</w:t>
      </w:r>
    </w:p>
    <w:p w14:paraId="644B9D47">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另一方面，要紧紧围绕实现中国式现代化这一中心任务，通过党的建设制度改革，以党的自我革命引领促进实现中国式现代化的经济社会体制机制革新，将这一制度优势转化为治理效能，提高党对进一步全面深化改革、推进中国式现代化的领导水平。习近平指出：“我们中国共产党人干革命、搞建设、抓改革，从来都是为了解决中国的现实问题”。[2]16 “问题是时代的声音”，“十五五”时期发展不平衡不充分问题仍会突出；有效需求不足，国内大循环存在卡点堵点；新旧动能转换任务艰巨；农业农村现代化相对滞后；就业和居民收入增长压力较大，民生保障存在短板弱项；人口结构变化给经济发展、社会治理等提出新课题；重点领域还有风险隐患。党的建设制度改革在实现党的自我革命的基础上要引领推进中国式现代化的各项体制机制的全面改革，因此要深入厘清党的集中统一领导与经济、政治、文化等多方面体制之间的紧密联系，以党的建设制度改革充分体现党总揽全局、协调各方的领导核心地位，让各类问题在党的全面领导下以开展体制机制改革的方式得以全面系统的解决。例如，要充分发挥各级党组织的党建引领作用，破除陈旧的干部绩效考核机制，展开综合评价指标体系改革等。应当让党的领导能够确保各领域机制体制创新的社会主义方向，着力提升党的各级组织领导各项体制机制改革的能力，最终实现国家治理体系和治理能力的现代化。</w:t>
      </w:r>
    </w:p>
    <w:p w14:paraId="4CEBC4C1">
      <w:pPr>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b/>
          <w:bCs/>
          <w:sz w:val="24"/>
          <w:szCs w:val="24"/>
          <w:lang w:val="en-US" w:eastAsia="zh-CN"/>
        </w:rPr>
      </w:pPr>
      <w:r>
        <w:rPr>
          <w:rFonts w:hint="eastAsia" w:ascii="Times New Roman" w:hAnsi="Times New Roman" w:eastAsia="宋体"/>
          <w:b/>
          <w:bCs/>
          <w:sz w:val="24"/>
          <w:szCs w:val="24"/>
          <w:lang w:val="en-US" w:eastAsia="zh-CN"/>
        </w:rPr>
        <w:t>二、因地制宜构建适应新质生产力发展的新型生产关系是实现我国各项体制机制创新的重心所在</w:t>
      </w:r>
    </w:p>
    <w:p w14:paraId="3D74E3B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2024年1月，习近平在中共中央政治局第十一次集体学习时指出：“发展新质生产力，必须进一步全面深化改革，形成与之相适应的新型生产关系。要深化经济体制、科技体制等改革，着力打通束缚新质生产力发展的堵点卡点，建立高标准市场体系，创新生产要素配置方式，让各类先进优质生产要素向发展新质生产力顺畅流动。同时，要扩大高水平对外开放，为发展新质生产力营造良好国际环境”。[3]193 这一重要论述充分说明了进一步全面深化改革与发展新质生产力之间的关系。高质量发展是全面建设社会主义现代化国家的重要任务，而发展新质生产力是实现高质量发展的内在要求。根据马克思主义生产力理论，生产力的发展要求与之相适应的生产关系。同样，发展新质生产力，必须构建与之相适应的新型生产关系，完善相应的体制机制，就必须紧紧围绕发展新质生产力这个核心进一步全面深化改革，即实现各个领域体制机制创新，包括市场经济体制改革、科技体制改革、开放体制改革，等等。因此，必须把构建新型生产关系从而“打通束缚新质生产力发展的堵点卡点”作为工作重心，这也是我们现实中必须时刻把握的关键点。为此，需要着力做好以下两个方面。</w:t>
      </w:r>
    </w:p>
    <w:p w14:paraId="402CAAF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一是明确束缚新质生产力发展的堵点卡点。生产力的三要素包括劳动者、劳动资料和劳动对象，然而，在形成和发展新质生产力的过程中，这三方面要素都不同程度受到各种因素的阻碍或制约。</w:t>
      </w:r>
    </w:p>
    <w:p w14:paraId="4AB6ECCB">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一，从新（高）素质劳动者的培育来看，我国的教育事业在中国特色社会主义伟大旗帜的指引下已取得了巨大的成就，在基础教育管理体制、高等教育管理体制、职业教育管理体制等领域的改革有了重大进展，形成了比较完备的中国特色社会主义教育体系，但是，面对当前发展新质生产力的迫切需求，要培育新（高）素质劳动者，还亟须破除阻碍人才培育方面的一些体制机制障碍。在基础教育领域，在教育体制机制改革上，要调整教学评价机制，构建多维度的教学评价体系，探索更加公平高效的“育人”模式。另外，在全国范围内推进教育融合机制改革等，进一步改变基础教育领域城乡差异化和地区差异化现状，借助教育数字化（如“互联网+教育”工程、AI赋能），提升城乡教育的一体化发展以及师资配置均衡化。在高等教育领域，最主要的问题在于教育供给与经济社会发展需求之间存在非适配性，传统学科专业设置的适应性调整往往滞后于经济社会发展，造成人才培育与就业脱节，因此，应当着力破除体制机制壁垒，形成产教融合、科教融汇的新机制，提升人才培养与产业发展的匹配度。此外，也要加强符合科技发展需要的创新人才、拔尖人才、跨学科人才培养，强化创新创业教育，将创新素养培育融入人才培养全过程。在职业教育领域，应当着力提升教育质量监管、完善职业教育体系、提高与产业发展契合度，在体制机制改革上，构建产教融合新生态，打造更加合理的教师教学评价机制和激励机制来提升教学质量，提升职业教育水平。</w:t>
      </w:r>
    </w:p>
    <w:p w14:paraId="3095CB9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二，从新式劳动工具的发明与制造来看，目前我国科技创新能力不断增强，但是面对新一轮科技革命以及世界科技竞争的加剧，我国仍面临传统企业转型缓慢、关键核心技术研发滞后、科技转化能力弱等严峻挑战。“十五五”规划的建议明确提出在未来五年“加快高水平科技自立自强，引领发展新质生产力”“加强原始创新和关键核心技术攻关。完善新型举国体制，采取超常规措施，全链条推动集成电路、工业母机、高端仪器、基础软件、先进材料、生物制造等重点领域关键核心技术攻关取得决定性突破”。[1] 要实现这些目标，必须针对科技创新制度进行改革，尤其应当激发企业升级改造，加强基础科学研究及其成果的转化。必须在科研激励机制、科研组织与管理机制、产学研协同机制上打破常规，如对基础研究激励给予长期和稳定的支持，对应用研究和技术开发鼓励市场化技术收益分红模式；在产学研协同上，由政府引导实现科研、产业、人才的协同创新，等等。近几年来，我国在芯片研发与制造、低空经济、生成式人工智能领域取得了飞速进步，这些都是在相关科研体制机制创新的基础上实现的，成为新型生产关系促进新质生产力发展的典范。</w:t>
      </w:r>
    </w:p>
    <w:p w14:paraId="308F9AC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三，从新型劳动对象来看，发展新质生产力虽然主要依赖于新（高）素质劳动者和新式劳动工具两大要素的形成，但是对传统劳动对象的更高效利用与对新型劳动对象的发现和开发同样具有十分重要的意义。例如，科技对土地要素利用率的提升、对稀土元素的提炼应用以及包括纳米材料、超导材料、高温结构陶瓷材料、金属复合材料、纤维材料等在内的新材料的发现及应用，都成为新兴产业发展的重要基石，但在科技创新体制上同样需要调整科研激励机制、组织与管理机制、产学研协同机制，以构建新型科研生产关系，从而推动这一领域的科技体制机制创新，不断拓展新型劳动对象的边界，促进新质生产力的发展。</w:t>
      </w:r>
    </w:p>
    <w:p w14:paraId="29617864">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二是对于形成和发展新质生产力而言，关键在于创建更好的体制机制把以上三要素有机组合在一起，推动传统生产力质的飞跃。也就是说，应当基于新式生产工具和新型劳动对象的技术特性和利益诉求，构建起将新（高）素质劳动者更好结合起来的新型生产关系。要构建好这类新型生产关系，需要从技术匹配和经济利益两个层面来实现人与物的结合：一方面，新型生产关系的构建需要充分依据科技创新发展所造就的新产业、新模式、新动能的需要来培育劳动者、配置劳动力，使得每个人都能够在其工作岗位上充分发挥聪明才智，做到物尽其用、人尽其能，改变人岗错配、人浮于事等不良状况，对人才流动制度、人事任用制度、公司管理制度等进行深入改革，形成新（高）素质劳动者与新产业、新生产模式、新动能在技术上的高度契合，避免人力资源的浪费；另一方面，新型生产关系的构建要求达成促进新质生产力发展的人与人之间恰当的经济利益关系，包括生产资料所有制、产品分配等体制机制的构建。也就是说，必须在注重高新技术要素配置的同时，通过所有制、分配制度的改革与创新形成对生产活动中各类创新主体的利益激励，促进其开展深度合作，推动新型生产要素的融合发展。例如，在坚持生产资料公有制占主体地位的前提下，积极探索生产资料公有制的具体实现形式，尤其是在各类新型生产要素（包括高科技造就的生产工具、数字平台以及数字资产、数据要素等）诞生以后，亟须定义及规范其产权关系、新型分配关系，确立新的股权激励机制等。总体而言，目前在这一新型生产关系的构建上我们还处于初级阶段，亟须理顺技术因素、经济利益因素以及各类创新主体之间的关系，从而完善和创新促进新质生产力发展的各项体制机制。</w:t>
      </w:r>
    </w:p>
    <w:p w14:paraId="0061708C">
      <w:pPr>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b/>
          <w:bCs/>
          <w:sz w:val="24"/>
          <w:szCs w:val="24"/>
          <w:lang w:val="en-US" w:eastAsia="zh-CN"/>
        </w:rPr>
        <w:t>三、应对阻碍践行新发展理念的体制机制障碍是实现我国各项体制机制创新的着力点</w:t>
      </w:r>
    </w:p>
    <w:p w14:paraId="1F1938B8">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十五五”时期是确保基本实现社会主义现代化的关键时期，高质量发展是实现中国式现代化的必由之路。而高质量发展，就是“创新、协调、绿色、开放、共享”新发展理念在现实中的具体体现，衡量的是经济增长的质量和效率、人民的获得感和满足感、社会的和谐和稳定。要实现这一目标，正如习近平指出的，要“以改革到底的坚强决心，动真格、敢碰硬，精准发力、协同发力、持续发力，坚决破除一切制约中国式现代化顺利推进的体制机制障碍”。[4] 以下从创新、协调、绿色、开放、共享五个视角分别审视阻碍高质量发展的体制机制，并提出相应的应对策略。</w:t>
      </w:r>
    </w:p>
    <w:p w14:paraId="6CDBE19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一，关于“创新”发展的体制机制障碍及其应对策略。面对国内外环境的深刻复杂变化，深入实施创新驱动发展战略是我国当前以及未来实现中国式现代化的重中之重。对于创新而言，好的体制机制是激发创新的根本保证。当前，阻碍我国创新的体制机制主要表现在两个方面：一是在科技创新体制上过于注重短期利益、相对缺乏长远规划和持久的动力激励。如在高校、科研机构等基础科学研究领域，考核周期短、短期利益导向明显等问题突出；在企业为主体的科技创新活动中，短期逐利性导致企业创新团队激励不足。二是科技创新存在一定程度的盲目性，缺乏监管引导。对此，国家应当在科技创新监督机制上进行改革，加强对创新的监管。总体而言，一是国家应加强基础教育投入，鼓励创新思维培育，深化教育体制改革，提升教育对高质量发展的支撑和贡献。二是结合国家当前需要与长远发展战略，优化科技创新分配机制，根据不同领域特点和长短期规划，分配资金和项目。三是遵循科研规律，调整科研评价机制，弱化行政权力对科研活动及其评价的干预。四是在企业科技创新中，提升科技创新审核力度，进一步加强科技创新监管和引导。</w:t>
      </w:r>
    </w:p>
    <w:p w14:paraId="6397E9A9">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二，关于“协调”发展的体制机制障碍及其应对策略。协调具有多重含义，既包括物质文明和精神文明的协调发展，也包括区域间的协调发展、城乡间的协调发展、行业内的协调发展、人与自然的协调发展，等等。从宏观视角来看，物质文明和精神文明协调发展的现代化是中国式现代化的鲜明特征。物质生活是精神生活的物质基础，但是精神生活规定和制约着物质生活的社会目的和社会意义，为物质文明的建设提供人才、理论和社会条件。可以说，人的思想觉悟、道德情操、纪律观念、劳动经验、生产技能、科学知识等决定了物质文明的发展水平和方向。我国当前物质文明建设已经取得显著成效，人民生活水平不断提升，但是与精神文明的协调发展还存在一些问题，主要表现在：一方面，在“消费主义”影响下，有些人可能会过度消费，从而产生过度负债以及“拜金主义”；另一方面，美西方极端个人主义、自由主义思潮会通过各种渠道进入国内，可能对青少年群体精神文明培育产生一定负面影响。要实现物质文明与精神文明协调发展的现代化，建设高标准的社会主义市场经济体制，既要从思想上在全社会开展社会主义核心价值观的宣传和教育，让人们树立正确的财富观或金钱观，也要着力调整财富分配制度，提高劳动收入占比，提升人们劳动致富的获得感，从内到外提升精神文明建设质量，实现与物质文明的协调发展。</w:t>
      </w:r>
    </w:p>
    <w:p w14:paraId="0A19A4B1">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三，关于“绿色”发展的体制机制障碍及其应对策略。中国式现代化是人与自然和谐共生的现代化，这是区别于“先污染后治理”的西方现代化的显著特征。西方现代化是资本逻辑主导下不断向自然索取以获取最大化利润的现代化，对人类生活的环境造成了不可挽回的破坏。中国式现代化必须要走出一条与西方现代化不同的道路，那就是通过绿色发展来满足人的美好生活需要。在“绿水青山就是金山银山”理论的指导下，我国已经取得了绿色发展的巨大进步。但是，进一步实现绿色发展的道路上仍然存在一些体制机制障碍，主要表现在三个方面：一是偏重对环保结果的事后审查以及处罚，缺少对事前绿色生产的激励机制。二是城乡绿色协调发展机制不够健全，导致城乡环保发展存在巨大差异。三是绿色发展考核机制不够健全，生态考核指标权重偏低。要解决这些问题，国家还需要进一步完善绿色发展的体制机制，一方面，要加大对绿色生产的激励，如增加政府补贴或税收优惠等，鼓励从源头上开展绿色生产。另一方面，也要建立城市与农村绿色发展的协调监督机制，尤其提升农村环保监管，避免污染企业在农村“打游击”。此外，也应当进一步落实好将环保考核全面纳入政府政绩考核。通过以上几个方面制度的改革，加快人与自然和谐共生的中国式现代化的构建。</w:t>
      </w:r>
    </w:p>
    <w:p w14:paraId="2DF64D1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四，关于“开放”发展的体制机制障碍及其应对策略。“十五五”规划的建议提出：“坚持开放合作、互利共赢是中国式现代化的必然要求。稳步扩大制度型开放，维护多边贸易体制，拓展国际循环，以开放促改革促发展，与世界各国共享机遇、共同发展”。中国式现代化的实现离不开高水平的对外开放。当前，国际形势风云变幻，国家或地区冲突不断，在对外开放的实践当中需要审时度势，不断提升对外开放的水平。过去旧帝国主义时代英国等以殖民掠夺等方式要求其他国家打开国门而实行的开放是一种不平等的、非对等的、非互惠互利的开放。当前，以美国为首的西方资本主义国家仍然寄希望于延续以霸权方式打开其他国家国门的开放，以获取更大利益。因此，我们在建设高水平对外开放上要对这些错误做法坚决予以杜绝。这些问题主要表现为：一是对低水平对外开放的路径依赖，在开放体制上实行鼓励出口的一系列税费优惠制度，造成了过度注重进出口的“量”，而非进出口收益的衡量以及“质”的提升等后果。二是缺乏对国际贸易规则、标准制定主动权的把握，造成在开放中的话语权不足等现象。三是对国内与国际两个市场的统筹管理以及对国家安全的积极维护不足，造成国家重要战略资源流失乃至国家安全受到威胁等严重后果。对于这些问题，要从对外开放体制机制的完善上予以杜绝：一方面，要加强对高水平对外开放的顶层设计，打破常规路径，构建开放新格局，通过梳理产品供应链和价值链，统筹规划进出口贸易产品类别和数量等。另一方面，要坚决维护对等开放的基本准则，建立国际经贸谈判新机制。加强对国内外两个市场的统筹管理，健全市场准入、产权保护监督机制，建设稳定、公平、透明的贸易环境，等等。通过这些体制机制的改革，真正建设高水平的对外开放，推动中国式现代化的实现。</w:t>
      </w:r>
    </w:p>
    <w:p w14:paraId="4127731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第五，关于“共享”发展的体制机制障碍及其应对策略。中国式现代化是人口规模巨大的现代化，是全体人民共同富裕的现代化。这既体现了我们的国情，也是社会主义的本质要求。当前，我国在城乡之间、区域之间、行业之间、阶层之间存在着一定的贫富差距。造成这类问题的部分原因在于我国社会主义市场经济体制尚不完善，尤其是在分配的体制机制上亟须采取措施来加以改变，以促进共同富裕的实现。目前，在实现共同富裕的道路上，在体制机制方面存在的问题主要表现在以下三个方面：一是在以生产资料所有制为基础的初次分配制度上过度强调按要素分配，导致劳动要素报酬偏低、资本所得比例过高。二是城乡、区域和行业人为设置的各种制度障碍（如税收优惠政策、地方保护机制等）导致市场分割，生产要素自由流动受限，一定程度上导致财富分配出现差异。三是在再分配制度上财税制度不健全、社会保障制度不均衡难以实现二次分配、三次分配的真正目标。对于这些体制机制障碍，一方面，要进一步以国有经济引领我国经济的高质量发展，积极探索社会主义生产资料公有制的实现形式，从所有制上形成对按劳分配的根本保障，从而在做大蛋糕的同时，遏制资本无序扩张，提升劳动报酬比例，从根本上解决阻碍实现共享的制度问题。另一方面，应当积极推动市场基础制度规则统一、市场监管公平统一、市场设施高标准联通，加强公平竞争审查刚性约束，清理和废除妨碍全国统一市场和公平竞争的各种规定和做法。通过这些体制机制改革，不断推进要素的自由流动，破除城乡之间、区域之间、行业之间的分配障碍。此外，也要深化改革财税机制，切实发挥税收的财富分配调节作用，提高个税起征点，打击通过各种手段规避税收的做法，并且不断完善社会保障制度，构建公平与均衡的社会福利体系。</w:t>
      </w:r>
    </w:p>
    <w:p w14:paraId="5644CBAE">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综上所述，在“十五五”时期，全面贯彻习近平新时代中国特色社会主义思想，深入落实党的二十大和二十届历次全会精神，确保基本实现社会主义现代化取得决定性进展，必须坚决维护党中央权威和集中统一领导，为我国社会主义现代化建设提供根本保证；以新发展理念引领发展，因地制宜发展新质生产力，促进生产关系的改革与创新，从而切实推动高质量发展取得显著成效；继续完整准确全面贯彻新发展理念，在践行创新、协调、绿色、开放、共享等新发展理念方面的体制机制创新上持续发力，促进产业结构优化升级，推动新时代新征程上我国经济社会的全面进步，为2035年基本实现社会主义现代化奠定更加坚实的基础。</w:t>
      </w:r>
    </w:p>
    <w:p w14:paraId="3784153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参考文献：</w:t>
      </w:r>
    </w:p>
    <w:p w14:paraId="2229A79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[1] 中共中央关于制定国民经济和社会发展第十五个五年规划的建议 [M]. 北京：人民出版社，2025.</w:t>
      </w:r>
    </w:p>
    <w:p w14:paraId="3404B30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[2] 习近平著作选读，第1卷 [M]. 北京：人民出版社，2023.</w:t>
      </w:r>
    </w:p>
    <w:p w14:paraId="0F675FF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[3] 习近平谈治国理政，第5卷 [M]. 北京：外文出版社，2025.</w:t>
      </w:r>
    </w:p>
    <w:p w14:paraId="58546A3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[4] 习近平. 在纪念毛泽东同志诞辰130周年座谈会上的讲话 [M]. 北京：人民出版社，2023：19.</w:t>
      </w:r>
    </w:p>
    <w:p w14:paraId="23367A1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560D10D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2A3B178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《思想理论教育导刊》2026年第1期</w:t>
      </w:r>
      <w:r>
        <w:rPr>
          <w:rFonts w:hint="eastAsia" w:ascii="Times New Roman" w:hAnsi="Times New Roman"/>
          <w:szCs w:val="21"/>
          <w:lang w:val="en-US" w:eastAsia="zh-CN"/>
        </w:rPr>
        <w:t>，第一作者为陆夏</w:t>
      </w:r>
      <w:r>
        <w:rPr>
          <w:rFonts w:hint="eastAsia" w:ascii="Times New Roman" w:hAnsi="Times New Roman" w:eastAsia="宋体"/>
          <w:szCs w:val="21"/>
          <w:lang w:val="en-US" w:eastAsia="zh-CN"/>
        </w:rPr>
        <w:t>。</w:t>
      </w:r>
      <w:r>
        <w:rPr>
          <w:rFonts w:hint="eastAsia" w:ascii="Times New Roman" w:hAnsi="Times New Roman"/>
          <w:szCs w:val="21"/>
          <w:lang w:val="en-US" w:eastAsia="zh-CN"/>
        </w:rPr>
        <w:t>）</w:t>
      </w:r>
    </w:p>
    <w:p w14:paraId="24B5B8FA">
      <w:pPr>
        <w:bidi w:val="0"/>
        <w:rPr>
          <w:rFonts w:hint="eastAsia"/>
          <w:lang w:val="en-US" w:eastAsia="zh-CN"/>
        </w:rPr>
      </w:pPr>
    </w:p>
    <w:p w14:paraId="4E1D3821">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28C3699">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both"/>
        <w:textAlignment w:val="auto"/>
        <w:outlineLvl w:val="0"/>
        <w:rPr>
          <w:rFonts w:hint="eastAsia" w:ascii="宋体" w:hAnsi="宋体" w:eastAsia="宋体" w:cs="宋体"/>
          <w:sz w:val="28"/>
          <w:szCs w:val="28"/>
          <w:lang w:val="en-US" w:eastAsia="zh-CN"/>
        </w:rPr>
      </w:pPr>
      <w:bookmarkStart w:id="980" w:name="_Toc28915"/>
      <w:bookmarkStart w:id="981" w:name="_Toc1960659834"/>
      <w:bookmarkStart w:id="982" w:name="_Toc806279378"/>
      <w:bookmarkStart w:id="983" w:name="_Toc1043592392"/>
      <w:bookmarkStart w:id="984" w:name="_Toc1824837781"/>
      <w:bookmarkStart w:id="985" w:name="_Toc611543639"/>
      <w:r>
        <w:rPr>
          <w:rFonts w:hint="eastAsia" w:ascii="宋体" w:hAnsi="宋体" w:eastAsia="宋体" w:cs="宋体"/>
          <w:sz w:val="28"/>
          <w:szCs w:val="28"/>
          <w:lang w:val="en-US" w:eastAsia="zh-CN"/>
        </w:rPr>
        <w:t>6中国式现代化对西方现代化的多维超越</w:t>
      </w:r>
      <w:bookmarkEnd w:id="980"/>
      <w:bookmarkEnd w:id="981"/>
      <w:bookmarkEnd w:id="982"/>
      <w:bookmarkEnd w:id="983"/>
      <w:bookmarkEnd w:id="984"/>
      <w:bookmarkEnd w:id="985"/>
    </w:p>
    <w:p w14:paraId="0B8EB14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6A14985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sz w:val="21"/>
          <w:szCs w:val="21"/>
        </w:rPr>
      </w:pPr>
      <w:r>
        <w:rPr>
          <w:rFonts w:hint="eastAsia" w:ascii="宋体" w:hAnsi="宋体" w:eastAsia="宋体" w:cs="宋体"/>
          <w:b/>
          <w:bCs/>
          <w:spacing w:val="23"/>
          <w:sz w:val="21"/>
          <w:szCs w:val="21"/>
        </w:rPr>
        <w:t>内容提要</w:t>
      </w:r>
      <w:r>
        <w:rPr>
          <w:rFonts w:hint="eastAsia" w:ascii="宋体" w:hAnsi="宋体" w:eastAsia="宋体" w:cs="宋体"/>
          <w:spacing w:val="23"/>
          <w:sz w:val="21"/>
          <w:szCs w:val="21"/>
          <w:lang w:val="en-US" w:eastAsia="zh-CN"/>
        </w:rPr>
        <w:t xml:space="preserve"> </w:t>
      </w:r>
      <w:r>
        <w:rPr>
          <w:rFonts w:hint="eastAsia" w:ascii="宋体" w:hAnsi="宋体" w:eastAsia="宋体" w:cs="宋体"/>
          <w:spacing w:val="23"/>
          <w:sz w:val="21"/>
          <w:szCs w:val="21"/>
        </w:rPr>
        <w:t>以中国式现代化推进强国建设和民族复兴是我国今后一个</w:t>
      </w:r>
      <w:r>
        <w:rPr>
          <w:rFonts w:hint="eastAsia" w:ascii="宋体" w:hAnsi="宋体" w:eastAsia="宋体" w:cs="宋体"/>
          <w:spacing w:val="22"/>
          <w:sz w:val="21"/>
          <w:szCs w:val="21"/>
        </w:rPr>
        <w:t>时期的主要</w:t>
      </w:r>
      <w:r>
        <w:rPr>
          <w:rFonts w:hint="eastAsia" w:ascii="宋体" w:hAnsi="宋体" w:eastAsia="宋体" w:cs="宋体"/>
          <w:spacing w:val="21"/>
          <w:sz w:val="21"/>
          <w:szCs w:val="21"/>
        </w:rPr>
        <w:t>抓手。西方现代化本质上是资本主义制度所推动的人类社会脱离农业社会转向工</w:t>
      </w:r>
      <w:r>
        <w:rPr>
          <w:rFonts w:hint="eastAsia" w:ascii="宋体" w:hAnsi="宋体" w:eastAsia="宋体" w:cs="宋体"/>
          <w:spacing w:val="18"/>
          <w:sz w:val="21"/>
          <w:szCs w:val="21"/>
        </w:rPr>
        <w:t>业社会的产物。虽然西方现代化成为落后国家竞相追逐和</w:t>
      </w:r>
      <w:r>
        <w:rPr>
          <w:rFonts w:hint="eastAsia" w:ascii="宋体" w:hAnsi="宋体" w:eastAsia="宋体" w:cs="宋体"/>
          <w:spacing w:val="17"/>
          <w:sz w:val="21"/>
          <w:szCs w:val="21"/>
        </w:rPr>
        <w:t>模仿的对象,但其存在</w:t>
      </w:r>
      <w:r>
        <w:rPr>
          <w:rFonts w:hint="eastAsia" w:ascii="宋体" w:hAnsi="宋体" w:eastAsia="宋体" w:cs="宋体"/>
          <w:spacing w:val="21"/>
          <w:sz w:val="21"/>
          <w:szCs w:val="21"/>
        </w:rPr>
        <w:t>三个维度的弊端,即发展模式上的非系统</w:t>
      </w:r>
      <w:r>
        <w:rPr>
          <w:rFonts w:hint="eastAsia" w:ascii="宋体" w:hAnsi="宋体" w:eastAsia="宋体" w:cs="宋体"/>
          <w:spacing w:val="20"/>
          <w:sz w:val="21"/>
          <w:szCs w:val="21"/>
        </w:rPr>
        <w:t>性、发展路径上的单一性以及发展结果</w:t>
      </w:r>
      <w:r>
        <w:rPr>
          <w:rFonts w:hint="eastAsia" w:ascii="宋体" w:hAnsi="宋体" w:eastAsia="宋体" w:cs="宋体"/>
          <w:spacing w:val="21"/>
          <w:sz w:val="21"/>
          <w:szCs w:val="21"/>
        </w:rPr>
        <w:t>上的非均衡性,因而其内在矛盾的发展将使其难以持续,为新的现代化模</w:t>
      </w:r>
      <w:r>
        <w:rPr>
          <w:rFonts w:hint="eastAsia" w:ascii="宋体" w:hAnsi="宋体" w:eastAsia="宋体" w:cs="宋体"/>
          <w:spacing w:val="20"/>
          <w:sz w:val="21"/>
          <w:szCs w:val="21"/>
        </w:rPr>
        <w:t>式提供</w:t>
      </w:r>
      <w:r>
        <w:rPr>
          <w:rFonts w:hint="eastAsia" w:ascii="宋体" w:hAnsi="宋体" w:eastAsia="宋体" w:cs="宋体"/>
          <w:spacing w:val="15"/>
          <w:sz w:val="21"/>
          <w:szCs w:val="21"/>
        </w:rPr>
        <w:t>了历史契机。中国在经历了近代现代化的艰难探索之后,从现代化的被</w:t>
      </w:r>
      <w:r>
        <w:rPr>
          <w:rFonts w:hint="eastAsia" w:ascii="宋体" w:hAnsi="宋体" w:eastAsia="宋体" w:cs="宋体"/>
          <w:spacing w:val="14"/>
          <w:sz w:val="21"/>
          <w:szCs w:val="21"/>
        </w:rPr>
        <w:t>动卷入走</w:t>
      </w:r>
      <w:r>
        <w:rPr>
          <w:rFonts w:hint="eastAsia" w:ascii="宋体" w:hAnsi="宋体" w:eastAsia="宋体" w:cs="宋体"/>
          <w:spacing w:val="18"/>
          <w:sz w:val="21"/>
          <w:szCs w:val="21"/>
        </w:rPr>
        <w:t>向主动构建,中国式现代化呈现出五个主要特征,实现了对西方现代化的全面超</w:t>
      </w:r>
      <w:r>
        <w:rPr>
          <w:rFonts w:hint="eastAsia" w:ascii="宋体" w:hAnsi="宋体" w:eastAsia="宋体" w:cs="宋体"/>
          <w:spacing w:val="7"/>
          <w:sz w:val="21"/>
          <w:szCs w:val="21"/>
        </w:rPr>
        <w:t>越,突破了将现代化归为“工业化”“西</w:t>
      </w:r>
      <w:r>
        <w:rPr>
          <w:rFonts w:hint="eastAsia" w:ascii="宋体" w:hAnsi="宋体" w:eastAsia="宋体" w:cs="宋体"/>
          <w:spacing w:val="6"/>
          <w:sz w:val="21"/>
          <w:szCs w:val="21"/>
        </w:rPr>
        <w:t>化”“欧美化”的藩篱,符合人类社会发</w:t>
      </w:r>
      <w:r>
        <w:rPr>
          <w:rFonts w:hint="eastAsia" w:ascii="宋体" w:hAnsi="宋体" w:eastAsia="宋体" w:cs="宋体"/>
          <w:spacing w:val="13"/>
          <w:sz w:val="21"/>
          <w:szCs w:val="21"/>
        </w:rPr>
        <w:t>展根本目的并为其他国家实现现代化提供了借鉴。</w:t>
      </w:r>
    </w:p>
    <w:p w14:paraId="0CC630B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5FD735C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b/>
          <w:bCs/>
          <w:spacing w:val="7"/>
          <w:sz w:val="21"/>
          <w:szCs w:val="21"/>
        </w:rPr>
        <w:t>关键词</w:t>
      </w:r>
      <w:r>
        <w:rPr>
          <w:rFonts w:hint="eastAsia" w:ascii="宋体" w:hAnsi="宋体" w:eastAsia="宋体" w:cs="宋体"/>
          <w:spacing w:val="7"/>
          <w:sz w:val="21"/>
          <w:szCs w:val="21"/>
          <w:lang w:val="en-US" w:eastAsia="zh-CN"/>
        </w:rPr>
        <w:t xml:space="preserve"> </w:t>
      </w:r>
      <w:r>
        <w:rPr>
          <w:rFonts w:hint="eastAsia" w:ascii="宋体" w:hAnsi="宋体" w:eastAsia="宋体" w:cs="宋体"/>
          <w:spacing w:val="7"/>
          <w:sz w:val="21"/>
          <w:szCs w:val="21"/>
        </w:rPr>
        <w:t>西方现代化;中国式现代化;人的自由</w:t>
      </w:r>
      <w:r>
        <w:rPr>
          <w:rFonts w:hint="eastAsia" w:ascii="宋体" w:hAnsi="宋体" w:eastAsia="宋体" w:cs="宋体"/>
          <w:spacing w:val="6"/>
          <w:sz w:val="21"/>
          <w:szCs w:val="21"/>
        </w:rPr>
        <w:t>和全面发展</w:t>
      </w:r>
    </w:p>
    <w:p w14:paraId="38E4E8A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lang w:eastAsia="zh-CN"/>
        </w:rPr>
      </w:pPr>
      <w:r>
        <w:rPr>
          <w:rFonts w:hint="eastAsia" w:ascii="宋体" w:hAnsi="宋体" w:eastAsia="宋体" w:cs="宋体"/>
          <w:sz w:val="21"/>
          <w:szCs w:val="21"/>
          <w:lang w:val="en-US" w:eastAsia="zh-CN"/>
        </w:rPr>
        <w:t xml:space="preserve"> </w:t>
      </w:r>
    </w:p>
    <w:p w14:paraId="75EC6BC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b/>
          <w:bCs/>
          <w:sz w:val="24"/>
          <w:szCs w:val="24"/>
        </w:rPr>
      </w:pPr>
      <w:r>
        <w:rPr>
          <w:rFonts w:hint="eastAsia" w:ascii="宋体" w:hAnsi="宋体" w:eastAsia="宋体" w:cs="宋体"/>
          <w:b/>
          <w:bCs/>
          <w:spacing w:val="-6"/>
          <w:sz w:val="24"/>
          <w:szCs w:val="24"/>
        </w:rPr>
        <w:t>一、引言</w:t>
      </w:r>
    </w:p>
    <w:p w14:paraId="06A962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rPr>
          <w:rFonts w:hint="eastAsia" w:ascii="宋体" w:hAnsi="宋体" w:eastAsia="宋体" w:cs="宋体"/>
          <w:sz w:val="21"/>
          <w:szCs w:val="21"/>
        </w:rPr>
      </w:pPr>
      <w:r>
        <w:rPr>
          <w:rFonts w:hint="eastAsia" w:ascii="宋体" w:hAnsi="宋体" w:eastAsia="宋体" w:cs="宋体"/>
          <w:spacing w:val="1"/>
          <w:position w:val="-2"/>
          <w:sz w:val="21"/>
          <w:szCs w:val="21"/>
        </w:rPr>
        <w:t>2025</w:t>
      </w:r>
      <w:r>
        <w:rPr>
          <w:rFonts w:hint="eastAsia" w:ascii="宋体" w:hAnsi="宋体" w:eastAsia="宋体" w:cs="宋体"/>
          <w:spacing w:val="1"/>
          <w:sz w:val="21"/>
          <w:szCs w:val="21"/>
        </w:rPr>
        <w:t>年</w:t>
      </w:r>
      <w:r>
        <w:rPr>
          <w:rFonts w:hint="eastAsia" w:ascii="宋体" w:hAnsi="宋体" w:eastAsia="宋体" w:cs="宋体"/>
          <w:spacing w:val="1"/>
          <w:position w:val="-2"/>
          <w:sz w:val="21"/>
          <w:szCs w:val="21"/>
        </w:rPr>
        <w:t>10</w:t>
      </w:r>
      <w:r>
        <w:rPr>
          <w:rFonts w:hint="eastAsia" w:ascii="宋体" w:hAnsi="宋体" w:eastAsia="宋体" w:cs="宋体"/>
          <w:spacing w:val="1"/>
          <w:sz w:val="21"/>
          <w:szCs w:val="21"/>
        </w:rPr>
        <w:t>月</w:t>
      </w:r>
      <w:r>
        <w:rPr>
          <w:rFonts w:hint="eastAsia" w:ascii="宋体" w:hAnsi="宋体" w:eastAsia="宋体" w:cs="宋体"/>
          <w:spacing w:val="1"/>
          <w:position w:val="-2"/>
          <w:sz w:val="21"/>
          <w:szCs w:val="21"/>
        </w:rPr>
        <w:t>20—23</w:t>
      </w:r>
      <w:r>
        <w:rPr>
          <w:rFonts w:hint="eastAsia" w:ascii="宋体" w:hAnsi="宋体" w:eastAsia="宋体" w:cs="宋体"/>
          <w:spacing w:val="1"/>
          <w:sz w:val="21"/>
          <w:szCs w:val="21"/>
        </w:rPr>
        <w:t>日中国共产党第二十届中央委员</w:t>
      </w:r>
      <w:r>
        <w:rPr>
          <w:rFonts w:hint="eastAsia" w:ascii="宋体" w:hAnsi="宋体" w:eastAsia="宋体" w:cs="宋体"/>
          <w:sz w:val="21"/>
          <w:szCs w:val="21"/>
        </w:rPr>
        <w:t>会第四次全体会议在北</w:t>
      </w:r>
      <w:r>
        <w:rPr>
          <w:rFonts w:hint="eastAsia" w:ascii="宋体" w:hAnsi="宋体" w:eastAsia="宋体" w:cs="宋体"/>
          <w:spacing w:val="-3"/>
          <w:sz w:val="21"/>
          <w:szCs w:val="21"/>
        </w:rPr>
        <w:t>京召开,并审议通过了《中共中央关于制定国民经济和社会发展第十五个五</w:t>
      </w:r>
      <w:r>
        <w:rPr>
          <w:rFonts w:hint="eastAsia" w:ascii="宋体" w:hAnsi="宋体" w:eastAsia="宋体" w:cs="宋体"/>
          <w:spacing w:val="-4"/>
          <w:sz w:val="21"/>
          <w:szCs w:val="21"/>
        </w:rPr>
        <w:t>年规</w:t>
      </w:r>
      <w:r>
        <w:rPr>
          <w:rFonts w:hint="eastAsia" w:ascii="宋体" w:hAnsi="宋体" w:eastAsia="宋体" w:cs="宋体"/>
          <w:spacing w:val="9"/>
          <w:sz w:val="21"/>
          <w:szCs w:val="21"/>
        </w:rPr>
        <w:t>划的建议》。</w:t>
      </w:r>
      <w:r>
        <w:rPr>
          <w:rStyle w:val="20"/>
          <w:rFonts w:hint="eastAsia" w:ascii="宋体" w:hAnsi="宋体" w:eastAsia="宋体" w:cs="宋体"/>
          <w:spacing w:val="9"/>
          <w:sz w:val="21"/>
          <w:szCs w:val="21"/>
        </w:rPr>
        <w:footnoteReference w:id="1344"/>
      </w:r>
      <w:r>
        <w:rPr>
          <w:rFonts w:hint="eastAsia" w:ascii="宋体" w:hAnsi="宋体" w:eastAsia="宋体" w:cs="宋体"/>
          <w:spacing w:val="9"/>
          <w:sz w:val="21"/>
          <w:szCs w:val="21"/>
        </w:rPr>
        <w:t>习近平总书记深刻指出:“按照经济社会发展</w:t>
      </w:r>
      <w:r>
        <w:rPr>
          <w:rFonts w:hint="eastAsia" w:ascii="宋体" w:hAnsi="宋体" w:eastAsia="宋体" w:cs="宋体"/>
          <w:spacing w:val="8"/>
          <w:sz w:val="21"/>
          <w:szCs w:val="21"/>
        </w:rPr>
        <w:t>规律确定奋斗目标,一以</w:t>
      </w:r>
      <w:r>
        <w:rPr>
          <w:rFonts w:hint="eastAsia" w:ascii="宋体" w:hAnsi="宋体" w:eastAsia="宋体" w:cs="宋体"/>
          <w:spacing w:val="21"/>
          <w:sz w:val="21"/>
          <w:szCs w:val="21"/>
        </w:rPr>
        <w:t>贯之锚定目标团结奋进,是我们党的一个鲜明特点和独特优势。实现社会主义现代化</w:t>
      </w:r>
      <w:r>
        <w:rPr>
          <w:rFonts w:hint="eastAsia" w:ascii="宋体" w:hAnsi="宋体" w:eastAsia="宋体" w:cs="宋体"/>
          <w:spacing w:val="11"/>
          <w:sz w:val="21"/>
          <w:szCs w:val="21"/>
        </w:rPr>
        <w:t>是一个阶梯式递进、不断发展进步的历史过程,需要不懈努力、接续奋斗。”</w:t>
      </w:r>
      <w:r>
        <w:rPr>
          <w:rStyle w:val="20"/>
          <w:rFonts w:hint="eastAsia" w:ascii="宋体" w:hAnsi="宋体" w:eastAsia="宋体" w:cs="宋体"/>
          <w:spacing w:val="11"/>
          <w:sz w:val="21"/>
          <w:szCs w:val="21"/>
        </w:rPr>
        <w:footnoteReference w:id="1345"/>
      </w:r>
      <w:r>
        <w:rPr>
          <w:rFonts w:hint="eastAsia" w:ascii="宋体" w:hAnsi="宋体" w:eastAsia="宋体" w:cs="宋体"/>
          <w:spacing w:val="11"/>
          <w:sz w:val="21"/>
          <w:szCs w:val="21"/>
        </w:rPr>
        <w:t>中国式</w:t>
      </w:r>
      <w:r>
        <w:rPr>
          <w:rFonts w:hint="eastAsia" w:ascii="宋体" w:hAnsi="宋体" w:eastAsia="宋体" w:cs="宋体"/>
          <w:spacing w:val="23"/>
          <w:sz w:val="21"/>
          <w:szCs w:val="21"/>
        </w:rPr>
        <w:t>现代化是中国共产党和中国人民长期实践探索的成果</w:t>
      </w:r>
      <w:r>
        <w:rPr>
          <w:rFonts w:hint="eastAsia" w:ascii="宋体" w:hAnsi="宋体" w:eastAsia="宋体" w:cs="宋体"/>
          <w:spacing w:val="22"/>
          <w:sz w:val="21"/>
          <w:szCs w:val="21"/>
        </w:rPr>
        <w:t>,是当前以及今后一个时期全面</w:t>
      </w:r>
      <w:r>
        <w:rPr>
          <w:rFonts w:hint="eastAsia" w:ascii="宋体" w:hAnsi="宋体" w:eastAsia="宋体" w:cs="宋体"/>
          <w:spacing w:val="20"/>
          <w:sz w:val="21"/>
          <w:szCs w:val="21"/>
        </w:rPr>
        <w:t>推进强国建设、民族复兴伟业的根本抓手,因而应当更加深刻地对中国式现代化的本</w:t>
      </w:r>
      <w:r>
        <w:rPr>
          <w:rFonts w:hint="eastAsia" w:ascii="宋体" w:hAnsi="宋体" w:eastAsia="宋体" w:cs="宋体"/>
          <w:spacing w:val="22"/>
          <w:sz w:val="21"/>
          <w:szCs w:val="21"/>
        </w:rPr>
        <w:t>质特征、构建标准作出解析。党的二十大报告曾经指出中国式现</w:t>
      </w:r>
      <w:r>
        <w:rPr>
          <w:rFonts w:hint="eastAsia" w:ascii="宋体" w:hAnsi="宋体" w:eastAsia="宋体" w:cs="宋体"/>
          <w:spacing w:val="21"/>
          <w:sz w:val="21"/>
          <w:szCs w:val="21"/>
        </w:rPr>
        <w:t>代化的五个维度分别是:人口规模巨大的现代化、全体人民共同富裕的现代化、物质文</w:t>
      </w:r>
      <w:r>
        <w:rPr>
          <w:rFonts w:hint="eastAsia" w:ascii="宋体" w:hAnsi="宋体" w:eastAsia="宋体" w:cs="宋体"/>
          <w:spacing w:val="20"/>
          <w:sz w:val="21"/>
          <w:szCs w:val="21"/>
        </w:rPr>
        <w:t>明和精神文明相协调的现代化、人与自然和谐共生的现代化以及走和平发展道路的现代化。可</w:t>
      </w:r>
      <w:r>
        <w:rPr>
          <w:rFonts w:hint="eastAsia" w:ascii="宋体" w:hAnsi="宋体" w:eastAsia="宋体" w:cs="宋体"/>
          <w:spacing w:val="19"/>
          <w:sz w:val="21"/>
          <w:szCs w:val="21"/>
        </w:rPr>
        <w:t>以说,这</w:t>
      </w:r>
      <w:r>
        <w:rPr>
          <w:rFonts w:hint="eastAsia" w:ascii="宋体" w:hAnsi="宋体" w:eastAsia="宋体" w:cs="宋体"/>
          <w:spacing w:val="21"/>
          <w:sz w:val="21"/>
          <w:szCs w:val="21"/>
        </w:rPr>
        <w:t>一表述为我国如何推进中国式现代化指明了方向。然而,传统上人们对现代化的认知</w:t>
      </w:r>
      <w:r>
        <w:rPr>
          <w:rFonts w:hint="eastAsia" w:ascii="宋体" w:hAnsi="宋体" w:eastAsia="宋体" w:cs="宋体"/>
          <w:spacing w:val="23"/>
          <w:sz w:val="21"/>
          <w:szCs w:val="21"/>
        </w:rPr>
        <w:t>都是以欧美等西方国家的现代化模式为标准,对中国式</w:t>
      </w:r>
      <w:r>
        <w:rPr>
          <w:rFonts w:hint="eastAsia" w:ascii="宋体" w:hAnsi="宋体" w:eastAsia="宋体" w:cs="宋体"/>
          <w:spacing w:val="22"/>
          <w:sz w:val="21"/>
          <w:szCs w:val="21"/>
        </w:rPr>
        <w:t>现代化究竟是一种什么样的现代化,相比于西方现代化的优势有哪些等问题虽</w:t>
      </w:r>
      <w:r>
        <w:rPr>
          <w:rFonts w:hint="eastAsia" w:ascii="宋体" w:hAnsi="宋体" w:eastAsia="宋体" w:cs="宋体"/>
          <w:spacing w:val="21"/>
          <w:sz w:val="21"/>
          <w:szCs w:val="21"/>
        </w:rPr>
        <w:t>有许多归纳,但还有待进一步加以阐释。基于此,本文在对传统西方现代化进</w:t>
      </w:r>
      <w:r>
        <w:rPr>
          <w:rFonts w:hint="eastAsia" w:ascii="宋体" w:hAnsi="宋体" w:eastAsia="宋体" w:cs="宋体"/>
          <w:spacing w:val="20"/>
          <w:sz w:val="21"/>
          <w:szCs w:val="21"/>
        </w:rPr>
        <w:t>行释义的基础上,对西方现代化的模式及其</w:t>
      </w:r>
      <w:r>
        <w:rPr>
          <w:rFonts w:hint="eastAsia" w:ascii="宋体" w:hAnsi="宋体" w:eastAsia="宋体" w:cs="宋体"/>
          <w:spacing w:val="19"/>
          <w:sz w:val="21"/>
          <w:szCs w:val="21"/>
        </w:rPr>
        <w:t>实现路径存在的弊端予以分析和批判,提</w:t>
      </w:r>
      <w:r>
        <w:rPr>
          <w:rFonts w:hint="eastAsia" w:ascii="宋体" w:hAnsi="宋体" w:eastAsia="宋体" w:cs="宋体"/>
          <w:spacing w:val="18"/>
          <w:sz w:val="21"/>
          <w:szCs w:val="21"/>
        </w:rPr>
        <w:t>出中国式现代化是符合人类自由和全面发展</w:t>
      </w:r>
      <w:r>
        <w:rPr>
          <w:rFonts w:hint="eastAsia" w:ascii="宋体" w:hAnsi="宋体" w:eastAsia="宋体" w:cs="宋体"/>
          <w:spacing w:val="15"/>
          <w:sz w:val="21"/>
          <w:szCs w:val="21"/>
        </w:rPr>
        <w:t>的现代化路径,是对西方现代化的多维超越。</w:t>
      </w:r>
    </w:p>
    <w:p w14:paraId="21D8AE9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hint="eastAsia" w:ascii="宋体" w:hAnsi="宋体" w:eastAsia="宋体" w:cs="宋体"/>
          <w:b/>
          <w:bCs/>
          <w:sz w:val="24"/>
          <w:szCs w:val="24"/>
        </w:rPr>
      </w:pPr>
    </w:p>
    <w:p w14:paraId="53873B4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32" w:firstLineChars="200"/>
        <w:jc w:val="both"/>
        <w:textAlignment w:val="baseline"/>
        <w:rPr>
          <w:rFonts w:hint="eastAsia" w:ascii="宋体" w:hAnsi="宋体" w:eastAsia="宋体" w:cs="宋体"/>
          <w:b/>
          <w:bCs/>
          <w:sz w:val="24"/>
          <w:szCs w:val="24"/>
        </w:rPr>
      </w:pPr>
      <w:r>
        <w:rPr>
          <w:rFonts w:hint="eastAsia" w:ascii="宋体" w:hAnsi="宋体" w:eastAsia="宋体" w:cs="宋体"/>
          <w:b/>
          <w:bCs/>
          <w:spacing w:val="13"/>
          <w:sz w:val="24"/>
          <w:szCs w:val="24"/>
        </w:rPr>
        <w:t>二、西方现代化理论概论与批判</w:t>
      </w:r>
    </w:p>
    <w:p w14:paraId="6ECFD3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54E3A35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hint="eastAsia" w:ascii="宋体" w:hAnsi="宋体" w:eastAsia="宋体" w:cs="宋体"/>
          <w:sz w:val="21"/>
          <w:szCs w:val="21"/>
        </w:rPr>
      </w:pPr>
      <w:r>
        <w:rPr>
          <w:rFonts w:hint="eastAsia" w:ascii="宋体" w:hAnsi="宋体" w:eastAsia="宋体" w:cs="宋体"/>
          <w:spacing w:val="15"/>
          <w:sz w:val="21"/>
          <w:szCs w:val="21"/>
        </w:rPr>
        <w:t>“现代化”一词在词义上最早产生于</w:t>
      </w:r>
      <w:r>
        <w:rPr>
          <w:rFonts w:hint="eastAsia" w:ascii="宋体" w:hAnsi="宋体" w:eastAsia="宋体" w:cs="宋体"/>
          <w:spacing w:val="15"/>
          <w:position w:val="-2"/>
          <w:sz w:val="21"/>
          <w:szCs w:val="21"/>
        </w:rPr>
        <w:t>18</w:t>
      </w:r>
      <w:r>
        <w:rPr>
          <w:rFonts w:hint="eastAsia" w:ascii="宋体" w:hAnsi="宋体" w:eastAsia="宋体" w:cs="宋体"/>
          <w:spacing w:val="15"/>
          <w:sz w:val="21"/>
          <w:szCs w:val="21"/>
        </w:rPr>
        <w:t>世纪中期的欧洲,其背景包括了</w:t>
      </w:r>
      <w:r>
        <w:rPr>
          <w:rFonts w:hint="eastAsia" w:ascii="宋体" w:hAnsi="宋体" w:eastAsia="宋体" w:cs="宋体"/>
          <w:spacing w:val="15"/>
          <w:position w:val="-2"/>
          <w:sz w:val="21"/>
          <w:szCs w:val="21"/>
        </w:rPr>
        <w:t>17—18</w:t>
      </w:r>
      <w:r>
        <w:rPr>
          <w:rFonts w:hint="eastAsia" w:ascii="宋体" w:hAnsi="宋体" w:eastAsia="宋体" w:cs="宋体"/>
          <w:spacing w:val="15"/>
          <w:sz w:val="21"/>
          <w:szCs w:val="21"/>
        </w:rPr>
        <w:t>世</w:t>
      </w:r>
      <w:r>
        <w:rPr>
          <w:rFonts w:hint="eastAsia" w:ascii="宋体" w:hAnsi="宋体" w:eastAsia="宋体" w:cs="宋体"/>
          <w:spacing w:val="21"/>
          <w:sz w:val="21"/>
          <w:szCs w:val="21"/>
        </w:rPr>
        <w:t>纪的英国资产阶级革命、启蒙运动以及工业革命,主要表达了成为现</w:t>
      </w:r>
      <w:r>
        <w:rPr>
          <w:rFonts w:hint="eastAsia" w:ascii="宋体" w:hAnsi="宋体" w:eastAsia="宋体" w:cs="宋体"/>
          <w:spacing w:val="20"/>
          <w:sz w:val="21"/>
          <w:szCs w:val="21"/>
        </w:rPr>
        <w:t>代的或符合新的</w:t>
      </w:r>
      <w:r>
        <w:rPr>
          <w:rFonts w:hint="eastAsia" w:ascii="宋体" w:hAnsi="宋体" w:eastAsia="宋体" w:cs="宋体"/>
          <w:spacing w:val="19"/>
          <w:sz w:val="21"/>
          <w:szCs w:val="21"/>
        </w:rPr>
        <w:t>现代需要的一种状态这样的含义,</w:t>
      </w:r>
      <w:r>
        <w:rPr>
          <w:rStyle w:val="20"/>
          <w:rFonts w:hint="eastAsia" w:ascii="宋体" w:hAnsi="宋体" w:eastAsia="宋体" w:cs="宋体"/>
          <w:spacing w:val="-29"/>
          <w:sz w:val="21"/>
          <w:szCs w:val="21"/>
        </w:rPr>
        <w:footnoteReference w:id="1346"/>
      </w:r>
      <w:r>
        <w:rPr>
          <w:rFonts w:hint="eastAsia" w:ascii="宋体" w:hAnsi="宋体" w:eastAsia="宋体" w:cs="宋体"/>
          <w:spacing w:val="19"/>
          <w:sz w:val="21"/>
          <w:szCs w:val="21"/>
        </w:rPr>
        <w:t>反映了当时欧洲经济社会领域中呈现出的新气象。</w:t>
      </w:r>
      <w:r>
        <w:rPr>
          <w:rFonts w:hint="eastAsia" w:ascii="宋体" w:hAnsi="宋体" w:eastAsia="宋体" w:cs="宋体"/>
          <w:spacing w:val="12"/>
          <w:sz w:val="21"/>
          <w:szCs w:val="21"/>
        </w:rPr>
        <w:t>之后,人们关于“现代化”的讨论逐渐赋予了它多个方面的内涵,如工业化、城市化、</w:t>
      </w:r>
      <w:r>
        <w:rPr>
          <w:rFonts w:hint="eastAsia" w:ascii="宋体" w:hAnsi="宋体" w:eastAsia="宋体" w:cs="宋体"/>
          <w:spacing w:val="4"/>
          <w:sz w:val="21"/>
          <w:szCs w:val="21"/>
        </w:rPr>
        <w:t>理性化、市场化、民主化等等,并且其应用逐步从经济领域、社会领域扩展到人们的</w:t>
      </w:r>
      <w:r>
        <w:rPr>
          <w:rFonts w:hint="eastAsia" w:ascii="宋体" w:hAnsi="宋体" w:eastAsia="宋体" w:cs="宋体"/>
          <w:spacing w:val="20"/>
          <w:sz w:val="21"/>
          <w:szCs w:val="21"/>
        </w:rPr>
        <w:t>思想、观念与行为方式等各个方面,表现为人类文明的一种</w:t>
      </w:r>
      <w:r>
        <w:rPr>
          <w:rFonts w:hint="eastAsia" w:ascii="宋体" w:hAnsi="宋体" w:eastAsia="宋体" w:cs="宋体"/>
          <w:spacing w:val="19"/>
          <w:sz w:val="21"/>
          <w:szCs w:val="21"/>
        </w:rPr>
        <w:t>进步,即人类从传统社会</w:t>
      </w:r>
      <w:r>
        <w:rPr>
          <w:rFonts w:hint="eastAsia" w:ascii="宋体" w:hAnsi="宋体" w:eastAsia="宋体" w:cs="宋体"/>
          <w:spacing w:val="2"/>
          <w:sz w:val="21"/>
          <w:szCs w:val="21"/>
        </w:rPr>
        <w:t>向现代社会的一种转变,并且这种转变逐步成为了人类文明的一种</w:t>
      </w:r>
      <w:r>
        <w:rPr>
          <w:rFonts w:hint="eastAsia" w:ascii="宋体" w:hAnsi="宋体" w:eastAsia="宋体" w:cs="宋体"/>
          <w:spacing w:val="1"/>
          <w:sz w:val="21"/>
          <w:szCs w:val="21"/>
        </w:rPr>
        <w:t>主导形态。但是,</w:t>
      </w:r>
      <w:r>
        <w:rPr>
          <w:rFonts w:hint="eastAsia" w:ascii="宋体" w:hAnsi="宋体" w:eastAsia="宋体" w:cs="宋体"/>
          <w:spacing w:val="12"/>
          <w:sz w:val="21"/>
          <w:szCs w:val="21"/>
        </w:rPr>
        <w:t>关于究竟什么是“现代化”,学术界有多种定义,并没有形成完全统一的认识。伴随西</w:t>
      </w:r>
      <w:r>
        <w:rPr>
          <w:rFonts w:hint="eastAsia" w:ascii="宋体" w:hAnsi="宋体" w:eastAsia="宋体" w:cs="宋体"/>
          <w:spacing w:val="15"/>
          <w:sz w:val="21"/>
          <w:szCs w:val="21"/>
        </w:rPr>
        <w:t>欧现代社会的确立,人们往往将现代化等同于西方化,这是因为从</w:t>
      </w:r>
      <w:r>
        <w:rPr>
          <w:rFonts w:hint="eastAsia" w:ascii="宋体" w:hAnsi="宋体" w:eastAsia="宋体" w:cs="宋体"/>
          <w:spacing w:val="14"/>
          <w:sz w:val="21"/>
          <w:szCs w:val="21"/>
        </w:rPr>
        <w:t>渊源上,“西方是现</w:t>
      </w:r>
      <w:r>
        <w:rPr>
          <w:rFonts w:hint="eastAsia" w:ascii="宋体" w:hAnsi="宋体" w:eastAsia="宋体" w:cs="宋体"/>
          <w:spacing w:val="3"/>
          <w:sz w:val="21"/>
          <w:szCs w:val="21"/>
        </w:rPr>
        <w:t>代化的诞生地。现代化无论从起源还是从发展来看,都是与‘西方’息息相关。过去</w:t>
      </w:r>
      <w:r>
        <w:rPr>
          <w:rFonts w:hint="eastAsia" w:ascii="宋体" w:hAnsi="宋体" w:eastAsia="宋体" w:cs="宋体"/>
          <w:spacing w:val="2"/>
          <w:position w:val="-2"/>
          <w:sz w:val="21"/>
          <w:szCs w:val="21"/>
        </w:rPr>
        <w:t>200</w:t>
      </w:r>
      <w:r>
        <w:rPr>
          <w:rFonts w:hint="eastAsia" w:ascii="宋体" w:hAnsi="宋体" w:eastAsia="宋体" w:cs="宋体"/>
          <w:spacing w:val="2"/>
          <w:sz w:val="21"/>
          <w:szCs w:val="21"/>
        </w:rPr>
        <w:t>多年来,现代化成为西方经验的总结”,</w:t>
      </w:r>
      <w:r>
        <w:rPr>
          <w:rStyle w:val="20"/>
          <w:rFonts w:hint="eastAsia" w:ascii="宋体" w:hAnsi="宋体" w:eastAsia="宋体" w:cs="宋体"/>
          <w:spacing w:val="-36"/>
          <w:sz w:val="21"/>
          <w:szCs w:val="21"/>
        </w:rPr>
        <w:footnoteReference w:id="1347"/>
      </w:r>
      <w:r>
        <w:rPr>
          <w:rFonts w:hint="eastAsia" w:ascii="宋体" w:hAnsi="宋体" w:eastAsia="宋体" w:cs="宋体"/>
          <w:spacing w:val="1"/>
          <w:sz w:val="21"/>
          <w:szCs w:val="21"/>
        </w:rPr>
        <w:t>由此人们对“现代化”就形成了一种片</w:t>
      </w:r>
      <w:r>
        <w:rPr>
          <w:rFonts w:hint="eastAsia" w:ascii="宋体" w:hAnsi="宋体" w:eastAsia="宋体" w:cs="宋体"/>
          <w:spacing w:val="12"/>
          <w:sz w:val="21"/>
          <w:szCs w:val="21"/>
        </w:rPr>
        <w:t>面的认识,即现代化的模板就是欧洲化、美国化或被总称为西方化。“现代化”也就逐</w:t>
      </w:r>
      <w:r>
        <w:rPr>
          <w:rFonts w:hint="eastAsia" w:ascii="宋体" w:hAnsi="宋体" w:eastAsia="宋体" w:cs="宋体"/>
          <w:spacing w:val="15"/>
          <w:sz w:val="21"/>
          <w:szCs w:val="21"/>
        </w:rPr>
        <w:t>渐在人们的脑海中固化为一种西方国家的“现</w:t>
      </w:r>
      <w:r>
        <w:rPr>
          <w:rFonts w:hint="eastAsia" w:ascii="宋体" w:hAnsi="宋体" w:eastAsia="宋体" w:cs="宋体"/>
          <w:spacing w:val="14"/>
          <w:sz w:val="21"/>
          <w:szCs w:val="21"/>
        </w:rPr>
        <w:t>代化”。这种西方现代化一般而言是从第</w:t>
      </w:r>
      <w:r>
        <w:rPr>
          <w:rFonts w:hint="eastAsia" w:ascii="宋体" w:hAnsi="宋体" w:eastAsia="宋体" w:cs="宋体"/>
          <w:spacing w:val="20"/>
          <w:sz w:val="21"/>
          <w:szCs w:val="21"/>
        </w:rPr>
        <w:t>一次工业革命之后,伴随着资本主义产生与发展而完成的工业化、城市化过程</w:t>
      </w:r>
      <w:r>
        <w:rPr>
          <w:rFonts w:hint="eastAsia" w:ascii="宋体" w:hAnsi="宋体" w:eastAsia="宋体" w:cs="宋体"/>
          <w:spacing w:val="19"/>
          <w:sz w:val="21"/>
          <w:szCs w:val="21"/>
        </w:rPr>
        <w:t>,而现</w:t>
      </w:r>
      <w:r>
        <w:rPr>
          <w:rFonts w:hint="eastAsia" w:ascii="宋体" w:hAnsi="宋体" w:eastAsia="宋体" w:cs="宋体"/>
          <w:spacing w:val="18"/>
          <w:sz w:val="21"/>
          <w:szCs w:val="21"/>
        </w:rPr>
        <w:t>代西方国家的政治、经济、文明形态,就是现</w:t>
      </w:r>
      <w:r>
        <w:rPr>
          <w:rFonts w:hint="eastAsia" w:ascii="宋体" w:hAnsi="宋体" w:eastAsia="宋体" w:cs="宋体"/>
          <w:spacing w:val="17"/>
          <w:sz w:val="21"/>
          <w:szCs w:val="21"/>
        </w:rPr>
        <w:t>代化形态的代表。当然,在西方现代化</w:t>
      </w:r>
      <w:r>
        <w:rPr>
          <w:rFonts w:hint="eastAsia" w:ascii="宋体" w:hAnsi="宋体" w:eastAsia="宋体" w:cs="宋体"/>
          <w:spacing w:val="20"/>
          <w:sz w:val="21"/>
          <w:szCs w:val="21"/>
        </w:rPr>
        <w:t>的总过程中,也包括了多个阶段,如再工业化之后出现</w:t>
      </w:r>
      <w:r>
        <w:rPr>
          <w:rFonts w:hint="eastAsia" w:ascii="宋体" w:hAnsi="宋体" w:eastAsia="宋体" w:cs="宋体"/>
          <w:spacing w:val="19"/>
          <w:sz w:val="21"/>
          <w:szCs w:val="21"/>
        </w:rPr>
        <w:t>了后现代化的转向,主要表现</w:t>
      </w:r>
      <w:r>
        <w:rPr>
          <w:rFonts w:hint="eastAsia" w:ascii="宋体" w:hAnsi="宋体" w:eastAsia="宋体" w:cs="宋体"/>
          <w:spacing w:val="21"/>
          <w:sz w:val="21"/>
          <w:szCs w:val="21"/>
        </w:rPr>
        <w:t>为服务业以及其他新兴产业的发展;伴随产业空心化之后</w:t>
      </w:r>
      <w:r>
        <w:rPr>
          <w:rFonts w:hint="eastAsia" w:ascii="宋体" w:hAnsi="宋体" w:eastAsia="宋体" w:cs="宋体"/>
          <w:spacing w:val="20"/>
          <w:sz w:val="21"/>
          <w:szCs w:val="21"/>
        </w:rPr>
        <w:t>,又出现了回归工业发展的</w:t>
      </w:r>
      <w:r>
        <w:rPr>
          <w:rFonts w:hint="eastAsia" w:ascii="宋体" w:hAnsi="宋体" w:eastAsia="宋体" w:cs="宋体"/>
          <w:spacing w:val="13"/>
          <w:sz w:val="21"/>
          <w:szCs w:val="21"/>
        </w:rPr>
        <w:t>再现代化倾向等。此外,由于落后国家纷纷向这些西方国家学习,</w:t>
      </w:r>
      <w:r>
        <w:rPr>
          <w:rFonts w:hint="eastAsia" w:ascii="宋体" w:hAnsi="宋体" w:eastAsia="宋体" w:cs="宋体"/>
          <w:spacing w:val="12"/>
          <w:sz w:val="21"/>
          <w:szCs w:val="21"/>
        </w:rPr>
        <w:t>“现代化”从另一种</w:t>
      </w:r>
      <w:r>
        <w:rPr>
          <w:rFonts w:hint="eastAsia" w:ascii="宋体" w:hAnsi="宋体" w:eastAsia="宋体" w:cs="宋体"/>
          <w:spacing w:val="18"/>
          <w:sz w:val="21"/>
          <w:szCs w:val="21"/>
        </w:rPr>
        <w:t>意义上也就被看作是发展中国家追赶先进的西方资本主义发达国家的特殊过程。</w:t>
      </w:r>
    </w:p>
    <w:p w14:paraId="5AF9847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因此,大部分传统或经典的西方现代化理论在本质上皆呈现出以欧美资本主义国</w:t>
      </w:r>
      <w:r>
        <w:rPr>
          <w:rFonts w:hint="eastAsia" w:ascii="宋体" w:hAnsi="宋体" w:eastAsia="宋体" w:cs="宋体"/>
          <w:spacing w:val="21"/>
          <w:sz w:val="21"/>
          <w:szCs w:val="21"/>
        </w:rPr>
        <w:t>家为现代化模版,从现代化的结构功能、发展过程与阶段、个人与社会</w:t>
      </w:r>
      <w:r>
        <w:rPr>
          <w:rFonts w:hint="eastAsia" w:ascii="宋体" w:hAnsi="宋体" w:eastAsia="宋体" w:cs="宋体"/>
          <w:spacing w:val="20"/>
          <w:sz w:val="21"/>
          <w:szCs w:val="21"/>
        </w:rPr>
        <w:t>心理和行为变</w:t>
      </w:r>
      <w:r>
        <w:rPr>
          <w:rFonts w:hint="eastAsia" w:ascii="宋体" w:hAnsi="宋体" w:eastAsia="宋体" w:cs="宋体"/>
          <w:spacing w:val="22"/>
          <w:sz w:val="21"/>
          <w:szCs w:val="21"/>
        </w:rPr>
        <w:t>化等多个视角,分析总结其现代化变革的经验,从</w:t>
      </w:r>
      <w:r>
        <w:rPr>
          <w:rFonts w:hint="eastAsia" w:ascii="宋体" w:hAnsi="宋体" w:eastAsia="宋体" w:cs="宋体"/>
          <w:spacing w:val="21"/>
          <w:sz w:val="21"/>
          <w:szCs w:val="21"/>
        </w:rPr>
        <w:t>而引导广大发展中国家及落后国家</w:t>
      </w:r>
      <w:r>
        <w:rPr>
          <w:rFonts w:hint="eastAsia" w:ascii="宋体" w:hAnsi="宋体" w:eastAsia="宋体" w:cs="宋体"/>
          <w:spacing w:val="18"/>
          <w:sz w:val="21"/>
          <w:szCs w:val="21"/>
        </w:rPr>
        <w:t>竞相模仿并重复其发展路径,最终达到其所推</w:t>
      </w:r>
      <w:r>
        <w:rPr>
          <w:rFonts w:hint="eastAsia" w:ascii="宋体" w:hAnsi="宋体" w:eastAsia="宋体" w:cs="宋体"/>
          <w:spacing w:val="17"/>
          <w:sz w:val="21"/>
          <w:szCs w:val="21"/>
        </w:rPr>
        <w:t>崇的现代化框架与目标。例如,以塔尔</w:t>
      </w:r>
      <w:r>
        <w:rPr>
          <w:rFonts w:hint="eastAsia" w:ascii="宋体" w:hAnsi="宋体" w:eastAsia="宋体" w:cs="宋体"/>
          <w:spacing w:val="23"/>
          <w:sz w:val="21"/>
          <w:szCs w:val="21"/>
        </w:rPr>
        <w:t>科特·帕森斯为代表的结构功能主义学派将西方(尤其是美国)视为现代化的终点和</w:t>
      </w:r>
      <w:r>
        <w:rPr>
          <w:rFonts w:hint="eastAsia" w:ascii="宋体" w:hAnsi="宋体" w:eastAsia="宋体" w:cs="宋体"/>
          <w:spacing w:val="17"/>
          <w:sz w:val="21"/>
          <w:szCs w:val="21"/>
        </w:rPr>
        <w:t>典范,通过</w:t>
      </w:r>
      <w:r>
        <w:rPr>
          <w:rFonts w:hint="eastAsia" w:ascii="宋体" w:hAnsi="宋体" w:eastAsia="宋体" w:cs="宋体"/>
          <w:position w:val="-2"/>
          <w:sz w:val="21"/>
          <w:szCs w:val="21"/>
        </w:rPr>
        <w:t>AGIL</w:t>
      </w:r>
      <w:r>
        <w:rPr>
          <w:rFonts w:hint="eastAsia" w:ascii="宋体" w:hAnsi="宋体" w:eastAsia="宋体" w:cs="宋体"/>
          <w:spacing w:val="17"/>
          <w:sz w:val="21"/>
          <w:szCs w:val="21"/>
        </w:rPr>
        <w:t>(即适应、目标达成、整合、</w:t>
      </w:r>
      <w:r>
        <w:rPr>
          <w:rFonts w:hint="eastAsia" w:ascii="宋体" w:hAnsi="宋体" w:eastAsia="宋体" w:cs="宋体"/>
          <w:spacing w:val="16"/>
          <w:sz w:val="21"/>
          <w:szCs w:val="21"/>
        </w:rPr>
        <w:t>潜在模式维系)范式将现代化过程看作</w:t>
      </w:r>
      <w:r>
        <w:rPr>
          <w:rFonts w:hint="eastAsia" w:ascii="宋体" w:hAnsi="宋体" w:eastAsia="宋体" w:cs="宋体"/>
          <w:spacing w:val="4"/>
          <w:sz w:val="21"/>
          <w:szCs w:val="21"/>
        </w:rPr>
        <w:t>是通过经济、政治、法律、教育等相对独立和专门</w:t>
      </w:r>
      <w:r>
        <w:rPr>
          <w:rFonts w:hint="eastAsia" w:ascii="宋体" w:hAnsi="宋体" w:eastAsia="宋体" w:cs="宋体"/>
          <w:spacing w:val="3"/>
          <w:sz w:val="21"/>
          <w:szCs w:val="21"/>
        </w:rPr>
        <w:t>化的系统来执行相应的功能,从而</w:t>
      </w:r>
      <w:r>
        <w:rPr>
          <w:rFonts w:hint="eastAsia" w:ascii="宋体" w:hAnsi="宋体" w:eastAsia="宋体" w:cs="宋体"/>
          <w:spacing w:val="17"/>
          <w:sz w:val="21"/>
          <w:szCs w:val="21"/>
        </w:rPr>
        <w:t>实现从传统到现代的历史转型。类似地,华尔特·罗斯托</w:t>
      </w:r>
      <w:r>
        <w:rPr>
          <w:rFonts w:hint="eastAsia" w:ascii="宋体" w:hAnsi="宋体" w:eastAsia="宋体" w:cs="宋体"/>
          <w:spacing w:val="16"/>
          <w:sz w:val="21"/>
          <w:szCs w:val="21"/>
        </w:rPr>
        <w:t>在其</w:t>
      </w:r>
      <w:r>
        <w:rPr>
          <w:rFonts w:hint="eastAsia" w:ascii="宋体" w:hAnsi="宋体" w:eastAsia="宋体" w:cs="宋体"/>
          <w:spacing w:val="16"/>
          <w:position w:val="-2"/>
          <w:sz w:val="21"/>
          <w:szCs w:val="21"/>
        </w:rPr>
        <w:t>1960</w:t>
      </w:r>
      <w:r>
        <w:rPr>
          <w:rFonts w:hint="eastAsia" w:ascii="宋体" w:hAnsi="宋体" w:eastAsia="宋体" w:cs="宋体"/>
          <w:spacing w:val="16"/>
          <w:sz w:val="21"/>
          <w:szCs w:val="21"/>
        </w:rPr>
        <w:t>年的著作《经济增</w:t>
      </w:r>
      <w:r>
        <w:rPr>
          <w:rFonts w:hint="eastAsia" w:ascii="宋体" w:hAnsi="宋体" w:eastAsia="宋体" w:cs="宋体"/>
          <w:spacing w:val="21"/>
          <w:sz w:val="21"/>
          <w:szCs w:val="21"/>
        </w:rPr>
        <w:t>长的阶段》中提出人类社会从传统到现代的经济增长过程包括了传统社</w:t>
      </w:r>
      <w:r>
        <w:rPr>
          <w:rFonts w:hint="eastAsia" w:ascii="宋体" w:hAnsi="宋体" w:eastAsia="宋体" w:cs="宋体"/>
          <w:spacing w:val="20"/>
          <w:sz w:val="21"/>
          <w:szCs w:val="21"/>
        </w:rPr>
        <w:t>会、为起飞创</w:t>
      </w:r>
      <w:r>
        <w:rPr>
          <w:rFonts w:hint="eastAsia" w:ascii="宋体" w:hAnsi="宋体" w:eastAsia="宋体" w:cs="宋体"/>
          <w:spacing w:val="21"/>
          <w:sz w:val="21"/>
          <w:szCs w:val="21"/>
        </w:rPr>
        <w:t>造前提条件、起飞、走向成熟和大众高消费五个阶段的单</w:t>
      </w:r>
      <w:r>
        <w:rPr>
          <w:rFonts w:hint="eastAsia" w:ascii="宋体" w:hAnsi="宋体" w:eastAsia="宋体" w:cs="宋体"/>
          <w:spacing w:val="20"/>
          <w:sz w:val="21"/>
          <w:szCs w:val="21"/>
        </w:rPr>
        <w:t>一线性发展路径,并且最终阶段正是以美国社会为蓝本的现代化,体现了其西方中心主义的现代化思想。</w:t>
      </w:r>
      <w:r>
        <w:rPr>
          <w:rFonts w:hint="eastAsia" w:ascii="宋体" w:hAnsi="宋体" w:eastAsia="宋体" w:cs="宋体"/>
          <w:spacing w:val="20"/>
          <w:position w:val="-2"/>
          <w:sz w:val="21"/>
          <w:szCs w:val="21"/>
        </w:rPr>
        <w:t>C.E.</w:t>
      </w:r>
      <w:r>
        <w:rPr>
          <w:rFonts w:hint="eastAsia" w:ascii="宋体" w:hAnsi="宋体" w:eastAsia="宋体" w:cs="宋体"/>
          <w:spacing w:val="20"/>
          <w:sz w:val="21"/>
          <w:szCs w:val="21"/>
        </w:rPr>
        <w:t>布莱克在其《现代化的动力》一书中虽然创造性地运用比较历史方法阐释了当时</w:t>
      </w:r>
      <w:r>
        <w:rPr>
          <w:rFonts w:hint="eastAsia" w:ascii="宋体" w:hAnsi="宋体" w:eastAsia="宋体" w:cs="宋体"/>
          <w:spacing w:val="20"/>
          <w:position w:val="-2"/>
          <w:sz w:val="21"/>
          <w:szCs w:val="21"/>
        </w:rPr>
        <w:t>175</w:t>
      </w:r>
      <w:r>
        <w:rPr>
          <w:rFonts w:hint="eastAsia" w:ascii="宋体" w:hAnsi="宋体" w:eastAsia="宋体" w:cs="宋体"/>
          <w:spacing w:val="20"/>
          <w:sz w:val="21"/>
          <w:szCs w:val="21"/>
        </w:rPr>
        <w:t>个</w:t>
      </w:r>
      <w:r>
        <w:rPr>
          <w:rFonts w:hint="eastAsia" w:ascii="宋体" w:hAnsi="宋体" w:eastAsia="宋体" w:cs="宋体"/>
          <w:spacing w:val="16"/>
          <w:sz w:val="21"/>
          <w:szCs w:val="21"/>
        </w:rPr>
        <w:t>国家或地区现实或可能的现代化路径,界定了现代化的五个维度(知识、政治、经济、</w:t>
      </w:r>
      <w:r>
        <w:rPr>
          <w:rFonts w:hint="eastAsia" w:ascii="宋体" w:hAnsi="宋体" w:eastAsia="宋体" w:cs="宋体"/>
          <w:spacing w:val="17"/>
          <w:sz w:val="21"/>
          <w:szCs w:val="21"/>
        </w:rPr>
        <w:t>社会、心理),但仍然依据西方发达国家</w:t>
      </w:r>
      <w:r>
        <w:rPr>
          <w:rFonts w:hint="eastAsia" w:ascii="宋体" w:hAnsi="宋体" w:eastAsia="宋体" w:cs="宋体"/>
          <w:spacing w:val="16"/>
          <w:sz w:val="21"/>
          <w:szCs w:val="21"/>
        </w:rPr>
        <w:t>的现状设定了现代化的量化指标。</w:t>
      </w:r>
    </w:p>
    <w:p w14:paraId="2E24DBE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rPr>
          <w:rFonts w:hint="eastAsia" w:ascii="宋体" w:hAnsi="宋体" w:eastAsia="宋体" w:cs="宋体"/>
          <w:sz w:val="21"/>
          <w:szCs w:val="21"/>
        </w:rPr>
      </w:pPr>
      <w:r>
        <w:rPr>
          <w:rFonts w:hint="eastAsia" w:ascii="宋体" w:hAnsi="宋体" w:eastAsia="宋体" w:cs="宋体"/>
          <w:spacing w:val="2"/>
          <w:sz w:val="21"/>
          <w:szCs w:val="21"/>
        </w:rPr>
        <w:t>在之后的反西方殖民主义运动中,一系列反思西方现代化路径的理论应运而生,</w:t>
      </w:r>
      <w:r>
        <w:rPr>
          <w:rFonts w:hint="eastAsia" w:ascii="宋体" w:hAnsi="宋体" w:eastAsia="宋体" w:cs="宋体"/>
          <w:spacing w:val="18"/>
          <w:sz w:val="21"/>
          <w:szCs w:val="21"/>
        </w:rPr>
        <w:t>诸如探讨发展中国家内部经济畸形问题的阿瑟·刘易斯的“二元经济结构”理论、反</w:t>
      </w:r>
      <w:r>
        <w:rPr>
          <w:rFonts w:hint="eastAsia" w:ascii="宋体" w:hAnsi="宋体" w:eastAsia="宋体" w:cs="宋体"/>
          <w:spacing w:val="22"/>
          <w:sz w:val="21"/>
          <w:szCs w:val="21"/>
        </w:rPr>
        <w:t>思拉美、非洲等国家或区域落后根源的普雷维什的依附理论、沃勒斯坦的</w:t>
      </w:r>
      <w:r>
        <w:rPr>
          <w:rFonts w:hint="eastAsia" w:ascii="宋体" w:hAnsi="宋体" w:eastAsia="宋体" w:cs="宋体"/>
          <w:spacing w:val="21"/>
          <w:sz w:val="21"/>
          <w:szCs w:val="21"/>
        </w:rPr>
        <w:t>世界体系理</w:t>
      </w:r>
      <w:r>
        <w:rPr>
          <w:rFonts w:hint="eastAsia" w:ascii="宋体" w:hAnsi="宋体" w:eastAsia="宋体" w:cs="宋体"/>
          <w:spacing w:val="23"/>
          <w:sz w:val="21"/>
          <w:szCs w:val="21"/>
        </w:rPr>
        <w:t>论等,把人们的目光从学习欧美等发达资本主义国家的现代化模板</w:t>
      </w:r>
      <w:r>
        <w:rPr>
          <w:rFonts w:hint="eastAsia" w:ascii="宋体" w:hAnsi="宋体" w:eastAsia="宋体" w:cs="宋体"/>
          <w:spacing w:val="22"/>
          <w:sz w:val="21"/>
          <w:szCs w:val="21"/>
        </w:rPr>
        <w:t>拉回到如何让广大</w:t>
      </w:r>
      <w:r>
        <w:rPr>
          <w:rFonts w:hint="eastAsia" w:ascii="宋体" w:hAnsi="宋体" w:eastAsia="宋体" w:cs="宋体"/>
          <w:spacing w:val="23"/>
          <w:sz w:val="21"/>
          <w:szCs w:val="21"/>
        </w:rPr>
        <w:t>发展中国家及落后国家探索实现适合自身发展道路的</w:t>
      </w:r>
      <w:r>
        <w:rPr>
          <w:rFonts w:hint="eastAsia" w:ascii="宋体" w:hAnsi="宋体" w:eastAsia="宋体" w:cs="宋体"/>
          <w:spacing w:val="22"/>
          <w:sz w:val="21"/>
          <w:szCs w:val="21"/>
        </w:rPr>
        <w:t>现代化路径上来,并且逐步认识</w:t>
      </w:r>
      <w:r>
        <w:rPr>
          <w:rFonts w:hint="eastAsia" w:ascii="宋体" w:hAnsi="宋体" w:eastAsia="宋体" w:cs="宋体"/>
          <w:spacing w:val="17"/>
          <w:sz w:val="21"/>
          <w:szCs w:val="21"/>
        </w:rPr>
        <w:t>到西方现代化模式及其路径存在的弊端,取得了</w:t>
      </w:r>
      <w:r>
        <w:rPr>
          <w:rFonts w:hint="eastAsia" w:ascii="宋体" w:hAnsi="宋体" w:eastAsia="宋体" w:cs="宋体"/>
          <w:spacing w:val="16"/>
          <w:sz w:val="21"/>
          <w:szCs w:val="21"/>
        </w:rPr>
        <w:t>丰硕的理论成果。</w:t>
      </w:r>
    </w:p>
    <w:p w14:paraId="4F7C424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近些年来,我国学术界也从多个视角对现代化的内</w:t>
      </w:r>
      <w:r>
        <w:rPr>
          <w:rFonts w:hint="eastAsia" w:ascii="宋体" w:hAnsi="宋体" w:eastAsia="宋体" w:cs="宋体"/>
          <w:spacing w:val="21"/>
          <w:sz w:val="21"/>
          <w:szCs w:val="21"/>
        </w:rPr>
        <w:t>涵、西方现代化模式存在的问</w:t>
      </w:r>
      <w:r>
        <w:rPr>
          <w:rFonts w:hint="eastAsia" w:ascii="宋体" w:hAnsi="宋体" w:eastAsia="宋体" w:cs="宋体"/>
          <w:spacing w:val="16"/>
          <w:sz w:val="21"/>
          <w:szCs w:val="21"/>
        </w:rPr>
        <w:t>题以及中国式现代化的本质、发展路径等做了深入的分析。例如,早在</w:t>
      </w:r>
      <w:r>
        <w:rPr>
          <w:rFonts w:hint="eastAsia" w:ascii="宋体" w:hAnsi="宋体" w:eastAsia="宋体" w:cs="宋体"/>
          <w:spacing w:val="16"/>
          <w:position w:val="-2"/>
          <w:sz w:val="21"/>
          <w:szCs w:val="21"/>
        </w:rPr>
        <w:t>19</w:t>
      </w:r>
      <w:r>
        <w:rPr>
          <w:rFonts w:hint="eastAsia" w:ascii="宋体" w:hAnsi="宋体" w:eastAsia="宋体" w:cs="宋体"/>
          <w:spacing w:val="15"/>
          <w:position w:val="-2"/>
          <w:sz w:val="21"/>
          <w:szCs w:val="21"/>
        </w:rPr>
        <w:t>86</w:t>
      </w:r>
      <w:r>
        <w:rPr>
          <w:rFonts w:hint="eastAsia" w:ascii="宋体" w:hAnsi="宋体" w:eastAsia="宋体" w:cs="宋体"/>
          <w:spacing w:val="15"/>
          <w:sz w:val="21"/>
          <w:szCs w:val="21"/>
        </w:rPr>
        <w:t>年罗荣渠的《现代化理论与历史研究》中对“现代化”的词义</w:t>
      </w:r>
      <w:r>
        <w:rPr>
          <w:rFonts w:hint="eastAsia" w:ascii="宋体" w:hAnsi="宋体" w:eastAsia="宋体" w:cs="宋体"/>
          <w:spacing w:val="14"/>
          <w:sz w:val="21"/>
          <w:szCs w:val="21"/>
        </w:rPr>
        <w:t>进行了追本溯源,批判了西方现</w:t>
      </w:r>
      <w:r>
        <w:rPr>
          <w:rFonts w:hint="eastAsia" w:ascii="宋体" w:hAnsi="宋体" w:eastAsia="宋体" w:cs="宋体"/>
          <w:spacing w:val="4"/>
          <w:sz w:val="21"/>
          <w:szCs w:val="21"/>
        </w:rPr>
        <w:t>代化的西方中心主义、单线进化论等问题,并主张建立马克思主义现代化理论;</w:t>
      </w:r>
      <w:r>
        <w:rPr>
          <w:rStyle w:val="20"/>
          <w:rFonts w:hint="eastAsia" w:ascii="宋体" w:hAnsi="宋体" w:eastAsia="宋体" w:cs="宋体"/>
          <w:spacing w:val="-34"/>
          <w:sz w:val="21"/>
          <w:szCs w:val="21"/>
        </w:rPr>
        <w:footnoteReference w:id="1348"/>
      </w:r>
      <w:r>
        <w:rPr>
          <w:rFonts w:hint="eastAsia" w:ascii="宋体" w:hAnsi="宋体" w:eastAsia="宋体" w:cs="宋体"/>
          <w:spacing w:val="4"/>
          <w:sz w:val="21"/>
          <w:szCs w:val="21"/>
        </w:rPr>
        <w:t>再</w:t>
      </w:r>
      <w:r>
        <w:rPr>
          <w:rFonts w:hint="eastAsia" w:ascii="宋体" w:hAnsi="宋体" w:eastAsia="宋体" w:cs="宋体"/>
          <w:spacing w:val="16"/>
          <w:sz w:val="21"/>
          <w:szCs w:val="21"/>
        </w:rPr>
        <w:t>如,钱乘旦在其</w:t>
      </w:r>
      <w:r>
        <w:rPr>
          <w:rFonts w:hint="eastAsia" w:ascii="宋体" w:hAnsi="宋体" w:eastAsia="宋体" w:cs="宋体"/>
          <w:spacing w:val="16"/>
          <w:position w:val="-2"/>
          <w:sz w:val="21"/>
          <w:szCs w:val="21"/>
        </w:rPr>
        <w:t>2012</w:t>
      </w:r>
      <w:r>
        <w:rPr>
          <w:rFonts w:hint="eastAsia" w:ascii="宋体" w:hAnsi="宋体" w:eastAsia="宋体" w:cs="宋体"/>
          <w:spacing w:val="16"/>
          <w:sz w:val="21"/>
          <w:szCs w:val="21"/>
        </w:rPr>
        <w:t>年主编出版的《世界现代化历程》一书中认为西方现代化本质上</w:t>
      </w:r>
      <w:r>
        <w:rPr>
          <w:rFonts w:hint="eastAsia" w:ascii="宋体" w:hAnsi="宋体" w:eastAsia="宋体" w:cs="宋体"/>
          <w:spacing w:val="22"/>
          <w:sz w:val="21"/>
          <w:szCs w:val="21"/>
        </w:rPr>
        <w:t>是将现代化等同于西化,且忽视了世界文明的</w:t>
      </w:r>
      <w:r>
        <w:rPr>
          <w:rFonts w:hint="eastAsia" w:ascii="宋体" w:hAnsi="宋体" w:eastAsia="宋体" w:cs="宋体"/>
          <w:spacing w:val="21"/>
          <w:sz w:val="21"/>
          <w:szCs w:val="21"/>
        </w:rPr>
        <w:t>多样性以及各国国情的特殊性,提出了</w:t>
      </w:r>
      <w:r>
        <w:rPr>
          <w:rFonts w:hint="eastAsia" w:ascii="宋体" w:hAnsi="宋体" w:eastAsia="宋体" w:cs="宋体"/>
          <w:spacing w:val="16"/>
          <w:sz w:val="21"/>
          <w:szCs w:val="21"/>
        </w:rPr>
        <w:t>中国是以人为中心的现代化,而西方是以资本为中心的现代化等观点;</w:t>
      </w:r>
      <w:r>
        <w:rPr>
          <w:rStyle w:val="20"/>
          <w:rFonts w:hint="eastAsia" w:ascii="宋体" w:hAnsi="宋体" w:eastAsia="宋体" w:cs="宋体"/>
          <w:spacing w:val="-34"/>
          <w:sz w:val="21"/>
          <w:szCs w:val="21"/>
        </w:rPr>
        <w:footnoteReference w:id="1349"/>
      </w:r>
      <w:r>
        <w:rPr>
          <w:rFonts w:hint="eastAsia" w:ascii="宋体" w:hAnsi="宋体" w:eastAsia="宋体" w:cs="宋体"/>
          <w:spacing w:val="16"/>
          <w:sz w:val="21"/>
          <w:szCs w:val="21"/>
        </w:rPr>
        <w:t>此外,在党的</w:t>
      </w:r>
      <w:r>
        <w:rPr>
          <w:rFonts w:hint="eastAsia" w:ascii="宋体" w:hAnsi="宋体" w:eastAsia="宋体" w:cs="宋体"/>
          <w:spacing w:val="17"/>
          <w:sz w:val="21"/>
          <w:szCs w:val="21"/>
        </w:rPr>
        <w:t>二十大报告明确“以中国式现代化全面推进中华民族伟大复兴”的中心任务之后,</w:t>
      </w:r>
      <w:r>
        <w:rPr>
          <w:rFonts w:hint="eastAsia" w:ascii="宋体" w:hAnsi="宋体" w:eastAsia="宋体" w:cs="宋体"/>
          <w:spacing w:val="16"/>
          <w:sz w:val="21"/>
          <w:szCs w:val="21"/>
        </w:rPr>
        <w:t>国</w:t>
      </w:r>
      <w:r>
        <w:rPr>
          <w:rFonts w:hint="eastAsia" w:ascii="宋体" w:hAnsi="宋体" w:eastAsia="宋体" w:cs="宋体"/>
          <w:spacing w:val="23"/>
          <w:sz w:val="21"/>
          <w:szCs w:val="21"/>
        </w:rPr>
        <w:t>内学术界也掀起了研究批判西方现代化和发展中国式</w:t>
      </w:r>
      <w:r>
        <w:rPr>
          <w:rFonts w:hint="eastAsia" w:ascii="宋体" w:hAnsi="宋体" w:eastAsia="宋体" w:cs="宋体"/>
          <w:spacing w:val="22"/>
          <w:sz w:val="21"/>
          <w:szCs w:val="21"/>
        </w:rPr>
        <w:t>现代化的高潮,如刘志刚比较了中西方现代化的不同逻辑起点、模式选择与价值追求</w:t>
      </w:r>
      <w:r>
        <w:rPr>
          <w:rFonts w:hint="eastAsia" w:ascii="宋体" w:hAnsi="宋体" w:eastAsia="宋体" w:cs="宋体"/>
          <w:spacing w:val="21"/>
          <w:sz w:val="21"/>
          <w:szCs w:val="21"/>
        </w:rPr>
        <w:t>,指出资本主宰的西方式现代化</w:t>
      </w:r>
      <w:r>
        <w:rPr>
          <w:rFonts w:hint="eastAsia" w:ascii="宋体" w:hAnsi="宋体" w:eastAsia="宋体" w:cs="宋体"/>
          <w:spacing w:val="20"/>
          <w:sz w:val="21"/>
          <w:szCs w:val="21"/>
        </w:rPr>
        <w:t>不仅造成了西方国家内部的政治极化、贫富分化、社会撕裂,而且使全球</w:t>
      </w:r>
      <w:r>
        <w:rPr>
          <w:rFonts w:hint="eastAsia" w:ascii="宋体" w:hAnsi="宋体" w:eastAsia="宋体" w:cs="宋体"/>
          <w:spacing w:val="19"/>
          <w:sz w:val="21"/>
          <w:szCs w:val="21"/>
        </w:rPr>
        <w:t>陷入了一系</w:t>
      </w:r>
      <w:r>
        <w:rPr>
          <w:rFonts w:hint="eastAsia" w:ascii="宋体" w:hAnsi="宋体" w:eastAsia="宋体" w:cs="宋体"/>
          <w:spacing w:val="17"/>
          <w:sz w:val="21"/>
          <w:szCs w:val="21"/>
        </w:rPr>
        <w:t>列现代化困境;</w:t>
      </w:r>
      <w:r>
        <w:rPr>
          <w:rStyle w:val="20"/>
          <w:rFonts w:hint="eastAsia" w:ascii="宋体" w:hAnsi="宋体" w:eastAsia="宋体" w:cs="宋体"/>
          <w:spacing w:val="-34"/>
          <w:sz w:val="21"/>
          <w:szCs w:val="21"/>
        </w:rPr>
        <w:footnoteReference w:id="1350"/>
      </w:r>
      <w:r>
        <w:rPr>
          <w:rFonts w:hint="eastAsia" w:ascii="宋体" w:hAnsi="宋体" w:eastAsia="宋体" w:cs="宋体"/>
          <w:spacing w:val="17"/>
          <w:sz w:val="21"/>
          <w:szCs w:val="21"/>
        </w:rPr>
        <w:t>康凤云等认为西方现代性</w:t>
      </w:r>
      <w:r>
        <w:rPr>
          <w:rFonts w:hint="eastAsia" w:ascii="宋体" w:hAnsi="宋体" w:eastAsia="宋体" w:cs="宋体"/>
          <w:spacing w:val="16"/>
          <w:sz w:val="21"/>
          <w:szCs w:val="21"/>
        </w:rPr>
        <w:t>是西方意识形态霸权的政治工具,而中国式</w:t>
      </w:r>
      <w:r>
        <w:rPr>
          <w:rFonts w:hint="eastAsia" w:ascii="宋体" w:hAnsi="宋体" w:eastAsia="宋体" w:cs="宋体"/>
          <w:spacing w:val="22"/>
          <w:sz w:val="21"/>
          <w:szCs w:val="21"/>
        </w:rPr>
        <w:t>现代化新叙事从实现人与资本关系新定位、确立全面发展新布局、开辟合作</w:t>
      </w:r>
      <w:r>
        <w:rPr>
          <w:rFonts w:hint="eastAsia" w:ascii="宋体" w:hAnsi="宋体" w:eastAsia="宋体" w:cs="宋体"/>
          <w:spacing w:val="21"/>
          <w:sz w:val="21"/>
          <w:szCs w:val="21"/>
        </w:rPr>
        <w:t>共赢新道</w:t>
      </w:r>
      <w:r>
        <w:rPr>
          <w:rFonts w:hint="eastAsia" w:ascii="宋体" w:hAnsi="宋体" w:eastAsia="宋体" w:cs="宋体"/>
          <w:spacing w:val="17"/>
          <w:sz w:val="21"/>
          <w:szCs w:val="21"/>
        </w:rPr>
        <w:t>路等三个层面实现了对西方现代性的超越与创</w:t>
      </w:r>
      <w:r>
        <w:rPr>
          <w:rFonts w:hint="eastAsia" w:ascii="宋体" w:hAnsi="宋体" w:eastAsia="宋体" w:cs="宋体"/>
          <w:spacing w:val="16"/>
          <w:sz w:val="21"/>
          <w:szCs w:val="21"/>
        </w:rPr>
        <w:t>新;</w:t>
      </w:r>
      <w:r>
        <w:rPr>
          <w:rStyle w:val="20"/>
          <w:rFonts w:hint="eastAsia" w:ascii="宋体" w:hAnsi="宋体" w:eastAsia="宋体" w:cs="宋体"/>
          <w:spacing w:val="-34"/>
          <w:sz w:val="21"/>
          <w:szCs w:val="21"/>
        </w:rPr>
        <w:footnoteReference w:id="1351"/>
      </w:r>
      <w:r>
        <w:rPr>
          <w:rFonts w:hint="eastAsia" w:ascii="宋体" w:hAnsi="宋体" w:eastAsia="宋体" w:cs="宋体"/>
          <w:spacing w:val="16"/>
          <w:sz w:val="21"/>
          <w:szCs w:val="21"/>
        </w:rPr>
        <w:t>此外,刘守英等通过对现代化发展</w:t>
      </w:r>
      <w:r>
        <w:rPr>
          <w:rFonts w:hint="eastAsia" w:ascii="宋体" w:hAnsi="宋体" w:eastAsia="宋体" w:cs="宋体"/>
          <w:spacing w:val="24"/>
          <w:sz w:val="21"/>
          <w:szCs w:val="21"/>
        </w:rPr>
        <w:t>模式的历史透视与横向对比给出中国式现代化的科学内涵并以马克思主义作为理论指</w:t>
      </w:r>
      <w:r>
        <w:rPr>
          <w:rFonts w:hint="eastAsia" w:ascii="宋体" w:hAnsi="宋体" w:eastAsia="宋体" w:cs="宋体"/>
          <w:spacing w:val="16"/>
          <w:sz w:val="21"/>
          <w:szCs w:val="21"/>
        </w:rPr>
        <w:t>南探讨了中国式现代化的独特性。</w:t>
      </w:r>
      <w:r>
        <w:rPr>
          <w:rStyle w:val="20"/>
          <w:rFonts w:hint="eastAsia" w:ascii="宋体" w:hAnsi="宋体" w:eastAsia="宋体" w:cs="宋体"/>
          <w:spacing w:val="16"/>
          <w:sz w:val="21"/>
          <w:szCs w:val="21"/>
        </w:rPr>
        <w:footnoteReference w:id="1352"/>
      </w:r>
      <w:r>
        <w:rPr>
          <w:rFonts w:hint="eastAsia" w:ascii="宋体" w:hAnsi="宋体" w:eastAsia="宋体" w:cs="宋体"/>
          <w:spacing w:val="16"/>
          <w:sz w:val="21"/>
          <w:szCs w:val="21"/>
        </w:rPr>
        <w:t>这些研究使得我们对西方现代</w:t>
      </w:r>
      <w:r>
        <w:rPr>
          <w:rFonts w:hint="eastAsia" w:ascii="宋体" w:hAnsi="宋体" w:eastAsia="宋体" w:cs="宋体"/>
          <w:spacing w:val="15"/>
          <w:sz w:val="21"/>
          <w:szCs w:val="21"/>
        </w:rPr>
        <w:t>化理论的缺陷有了深</w:t>
      </w:r>
      <w:r>
        <w:rPr>
          <w:rFonts w:hint="eastAsia" w:ascii="宋体" w:hAnsi="宋体" w:eastAsia="宋体" w:cs="宋体"/>
          <w:spacing w:val="17"/>
          <w:sz w:val="21"/>
          <w:szCs w:val="21"/>
        </w:rPr>
        <w:t>刻的认识,也启发了我们对西方现代化实践弊端的</w:t>
      </w:r>
      <w:r>
        <w:rPr>
          <w:rFonts w:hint="eastAsia" w:ascii="宋体" w:hAnsi="宋体" w:eastAsia="宋体" w:cs="宋体"/>
          <w:spacing w:val="16"/>
          <w:sz w:val="21"/>
          <w:szCs w:val="21"/>
        </w:rPr>
        <w:t>再次反思。</w:t>
      </w:r>
    </w:p>
    <w:p w14:paraId="75159A4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273860B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32" w:firstLineChars="200"/>
        <w:jc w:val="both"/>
        <w:textAlignment w:val="baseline"/>
        <w:rPr>
          <w:rFonts w:hint="eastAsia" w:ascii="宋体" w:hAnsi="宋体" w:eastAsia="宋体" w:cs="宋体"/>
          <w:b/>
          <w:bCs/>
          <w:sz w:val="24"/>
          <w:szCs w:val="24"/>
        </w:rPr>
      </w:pPr>
      <w:r>
        <w:rPr>
          <w:rFonts w:hint="eastAsia" w:ascii="宋体" w:hAnsi="宋体" w:eastAsia="宋体" w:cs="宋体"/>
          <w:b/>
          <w:bCs/>
          <w:spacing w:val="13"/>
          <w:sz w:val="24"/>
          <w:szCs w:val="24"/>
        </w:rPr>
        <w:t>三、西方现代化实践的三维弊端</w:t>
      </w:r>
    </w:p>
    <w:p w14:paraId="390A22B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0D8FC2C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放眼世界,尽管西方发达资本主义国家的现代化取得了巨大的经济</w:t>
      </w:r>
      <w:r>
        <w:rPr>
          <w:rFonts w:hint="eastAsia" w:ascii="宋体" w:hAnsi="宋体" w:eastAsia="宋体" w:cs="宋体"/>
          <w:spacing w:val="20"/>
          <w:sz w:val="21"/>
          <w:szCs w:val="21"/>
        </w:rPr>
        <w:t>、政治、社会</w:t>
      </w:r>
      <w:r>
        <w:rPr>
          <w:rFonts w:hint="eastAsia" w:ascii="宋体" w:hAnsi="宋体" w:eastAsia="宋体" w:cs="宋体"/>
          <w:spacing w:val="17"/>
          <w:sz w:val="21"/>
          <w:szCs w:val="21"/>
        </w:rPr>
        <w:t>以及文化方面的成就,但同时也产生了许多现代化的“副产品”</w:t>
      </w:r>
      <w:r>
        <w:rPr>
          <w:rFonts w:hint="eastAsia" w:ascii="宋体" w:hAnsi="宋体" w:eastAsia="宋体" w:cs="宋体"/>
          <w:b/>
          <w:bCs/>
          <w:spacing w:val="41"/>
          <w:sz w:val="21"/>
          <w:szCs w:val="21"/>
        </w:rPr>
        <w:t>—</w:t>
      </w:r>
      <w:r>
        <w:rPr>
          <w:rFonts w:hint="eastAsia" w:ascii="宋体" w:hAnsi="宋体" w:eastAsia="宋体" w:cs="宋体"/>
          <w:spacing w:val="41"/>
          <w:sz w:val="21"/>
          <w:szCs w:val="21"/>
        </w:rPr>
        <w:t>环境污染、交通</w:t>
      </w:r>
      <w:r>
        <w:rPr>
          <w:rFonts w:hint="eastAsia" w:ascii="宋体" w:hAnsi="宋体" w:eastAsia="宋体" w:cs="宋体"/>
          <w:spacing w:val="21"/>
          <w:sz w:val="21"/>
          <w:szCs w:val="21"/>
        </w:rPr>
        <w:t>拥堵、社会治安混乱、贫富分化严重,这些问题</w:t>
      </w:r>
      <w:r>
        <w:rPr>
          <w:rFonts w:hint="eastAsia" w:ascii="宋体" w:hAnsi="宋体" w:eastAsia="宋体" w:cs="宋体"/>
          <w:spacing w:val="20"/>
          <w:sz w:val="21"/>
          <w:szCs w:val="21"/>
        </w:rPr>
        <w:t>在许多世界性现代化标杆城市中表现</w:t>
      </w:r>
      <w:r>
        <w:rPr>
          <w:rFonts w:hint="eastAsia" w:ascii="宋体" w:hAnsi="宋体" w:eastAsia="宋体" w:cs="宋体"/>
          <w:spacing w:val="12"/>
          <w:sz w:val="21"/>
          <w:szCs w:val="21"/>
        </w:rPr>
        <w:t>尤为突出。例如,在环境问题上,英国伦敦曾是世界著名的“雾都”,美国的洛杉矶和</w:t>
      </w:r>
      <w:r>
        <w:rPr>
          <w:rFonts w:hint="eastAsia" w:ascii="宋体" w:hAnsi="宋体" w:eastAsia="宋体" w:cs="宋体"/>
          <w:spacing w:val="15"/>
          <w:sz w:val="21"/>
          <w:szCs w:val="21"/>
        </w:rPr>
        <w:t>纽约则在全球交通拥堵排行榜上位居第一和第三。</w:t>
      </w:r>
      <w:r>
        <w:rPr>
          <w:rStyle w:val="20"/>
          <w:rFonts w:hint="eastAsia" w:ascii="宋体" w:hAnsi="宋体" w:eastAsia="宋体" w:cs="宋体"/>
          <w:spacing w:val="15"/>
          <w:sz w:val="21"/>
          <w:szCs w:val="21"/>
        </w:rPr>
        <w:footnoteReference w:id="1353"/>
      </w:r>
      <w:r>
        <w:rPr>
          <w:rFonts w:hint="eastAsia" w:ascii="宋体" w:hAnsi="宋体" w:eastAsia="宋体" w:cs="宋体"/>
          <w:spacing w:val="15"/>
          <w:sz w:val="21"/>
          <w:szCs w:val="21"/>
        </w:rPr>
        <w:t>与此同时</w:t>
      </w:r>
      <w:r>
        <w:rPr>
          <w:rFonts w:hint="eastAsia" w:ascii="宋体" w:hAnsi="宋体" w:eastAsia="宋体" w:cs="宋体"/>
          <w:spacing w:val="14"/>
          <w:sz w:val="21"/>
          <w:szCs w:val="21"/>
        </w:rPr>
        <w:t>,贫富两极分化几乎成为</w:t>
      </w:r>
      <w:r>
        <w:rPr>
          <w:rFonts w:hint="eastAsia" w:ascii="宋体" w:hAnsi="宋体" w:eastAsia="宋体" w:cs="宋体"/>
          <w:spacing w:val="19"/>
          <w:sz w:val="21"/>
          <w:szCs w:val="21"/>
        </w:rPr>
        <w:t>资本主义国家的常态。就是这样一种目前还存在许多争议的现代化模式,却被西方国</w:t>
      </w:r>
      <w:r>
        <w:rPr>
          <w:rFonts w:hint="eastAsia" w:ascii="宋体" w:hAnsi="宋体" w:eastAsia="宋体" w:cs="宋体"/>
          <w:spacing w:val="16"/>
          <w:sz w:val="21"/>
          <w:szCs w:val="21"/>
        </w:rPr>
        <w:t>家鼓吹为人类现代化的模板,甚至用所谓“现代化理论”总结其成功经验,试图将其在全世界进行推广,显然是错误的。事实上,西方</w:t>
      </w:r>
      <w:r>
        <w:rPr>
          <w:rFonts w:hint="eastAsia" w:ascii="宋体" w:hAnsi="宋体" w:eastAsia="宋体" w:cs="宋体"/>
          <w:spacing w:val="15"/>
          <w:sz w:val="21"/>
          <w:szCs w:val="21"/>
        </w:rPr>
        <w:t>现代化从本质上来说是资本主义制度</w:t>
      </w:r>
      <w:r>
        <w:rPr>
          <w:rFonts w:hint="eastAsia" w:ascii="宋体" w:hAnsi="宋体" w:eastAsia="宋体" w:cs="宋体"/>
          <w:spacing w:val="22"/>
          <w:sz w:val="21"/>
          <w:szCs w:val="21"/>
        </w:rPr>
        <w:t>所推动的人类社会脱离农业社会转向工业社会的产物,只是人类</w:t>
      </w:r>
      <w:r>
        <w:rPr>
          <w:rFonts w:hint="eastAsia" w:ascii="宋体" w:hAnsi="宋体" w:eastAsia="宋体" w:cs="宋体"/>
          <w:spacing w:val="21"/>
          <w:sz w:val="21"/>
          <w:szCs w:val="21"/>
        </w:rPr>
        <w:t>社会现代化总征程上</w:t>
      </w:r>
      <w:r>
        <w:rPr>
          <w:rFonts w:hint="eastAsia" w:ascii="宋体" w:hAnsi="宋体" w:eastAsia="宋体" w:cs="宋体"/>
          <w:spacing w:val="20"/>
          <w:sz w:val="21"/>
          <w:szCs w:val="21"/>
        </w:rPr>
        <w:t>的一小段。从马克思主义理论视角来看,在这一小段路程上,生产资料的资本主义私</w:t>
      </w:r>
      <w:r>
        <w:rPr>
          <w:rFonts w:hint="eastAsia" w:ascii="宋体" w:hAnsi="宋体" w:eastAsia="宋体" w:cs="宋体"/>
          <w:spacing w:val="22"/>
          <w:sz w:val="21"/>
          <w:szCs w:val="21"/>
        </w:rPr>
        <w:t>人占有制度、雇佣劳动制度以及资本家对利润的狂热追求</w:t>
      </w:r>
      <w:r>
        <w:rPr>
          <w:rFonts w:hint="eastAsia" w:ascii="宋体" w:hAnsi="宋体" w:eastAsia="宋体" w:cs="宋体"/>
          <w:spacing w:val="21"/>
          <w:sz w:val="21"/>
          <w:szCs w:val="21"/>
        </w:rPr>
        <w:t>,使得西方现代化呈现出三个维度上的弊端,即发展模式上的非系统性、发展路径上的单一性以</w:t>
      </w:r>
      <w:r>
        <w:rPr>
          <w:rFonts w:hint="eastAsia" w:ascii="宋体" w:hAnsi="宋体" w:eastAsia="宋体" w:cs="宋体"/>
          <w:spacing w:val="20"/>
          <w:sz w:val="21"/>
          <w:szCs w:val="21"/>
        </w:rPr>
        <w:t>及发展结果上的非均衡性,预示了西方现代化的不可持续性,其内在矛盾终将导致其走向衰落,并为</w:t>
      </w:r>
      <w:r>
        <w:rPr>
          <w:rFonts w:hint="eastAsia" w:ascii="宋体" w:hAnsi="宋体" w:eastAsia="宋体" w:cs="宋体"/>
          <w:spacing w:val="17"/>
          <w:sz w:val="21"/>
          <w:szCs w:val="21"/>
        </w:rPr>
        <w:t>新的现代化模式的出现提供了历史契机。</w:t>
      </w:r>
    </w:p>
    <w:p w14:paraId="048AF81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rPr>
          <w:rFonts w:hint="eastAsia" w:ascii="宋体" w:hAnsi="宋体" w:eastAsia="宋体" w:cs="宋体"/>
          <w:b/>
          <w:bCs/>
          <w:sz w:val="21"/>
          <w:szCs w:val="21"/>
        </w:rPr>
      </w:pPr>
      <w:r>
        <w:rPr>
          <w:rFonts w:hint="eastAsia" w:ascii="宋体" w:hAnsi="宋体" w:eastAsia="宋体" w:cs="宋体"/>
          <w:b/>
          <w:bCs/>
          <w:spacing w:val="18"/>
          <w:sz w:val="21"/>
          <w:szCs w:val="21"/>
        </w:rPr>
        <w:t>(一)发展模式上的非系统性</w:t>
      </w:r>
    </w:p>
    <w:p w14:paraId="7D00785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西方现代化的弊端之一表现在非系统性的现代化发展上,主要</w:t>
      </w:r>
      <w:r>
        <w:rPr>
          <w:rFonts w:hint="eastAsia" w:ascii="宋体" w:hAnsi="宋体" w:eastAsia="宋体" w:cs="宋体"/>
          <w:spacing w:val="21"/>
          <w:sz w:val="21"/>
          <w:szCs w:val="21"/>
        </w:rPr>
        <w:t>呈现为经济上的现</w:t>
      </w:r>
      <w:r>
        <w:rPr>
          <w:rFonts w:hint="eastAsia" w:ascii="宋体" w:hAnsi="宋体" w:eastAsia="宋体" w:cs="宋体"/>
          <w:spacing w:val="20"/>
          <w:sz w:val="21"/>
          <w:szCs w:val="21"/>
        </w:rPr>
        <w:t>代化,是比较片面的一种现代化发展模式,这是由资本</w:t>
      </w:r>
      <w:r>
        <w:rPr>
          <w:rFonts w:hint="eastAsia" w:ascii="宋体" w:hAnsi="宋体" w:eastAsia="宋体" w:cs="宋体"/>
          <w:spacing w:val="19"/>
          <w:sz w:val="21"/>
          <w:szCs w:val="21"/>
        </w:rPr>
        <w:t>主义制度本身所决定的,主要</w:t>
      </w:r>
      <w:r>
        <w:rPr>
          <w:rFonts w:hint="eastAsia" w:ascii="宋体" w:hAnsi="宋体" w:eastAsia="宋体" w:cs="宋体"/>
          <w:spacing w:val="11"/>
          <w:sz w:val="21"/>
          <w:szCs w:val="21"/>
        </w:rPr>
        <w:t>缘由有三。</w:t>
      </w:r>
    </w:p>
    <w:p w14:paraId="2700EDA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第一,西方现代化是建立在生产资料资本主义私人占有基础上,通过雇佣劳动制</w:t>
      </w:r>
      <w:r>
        <w:rPr>
          <w:rFonts w:hint="eastAsia" w:ascii="宋体" w:hAnsi="宋体" w:eastAsia="宋体" w:cs="宋体"/>
          <w:spacing w:val="2"/>
          <w:sz w:val="21"/>
          <w:szCs w:val="21"/>
        </w:rPr>
        <w:t>剥削工人创造的剩余价值以追求最大化利润的</w:t>
      </w:r>
      <w:r>
        <w:rPr>
          <w:rFonts w:hint="eastAsia" w:ascii="宋体" w:hAnsi="宋体" w:eastAsia="宋体" w:cs="宋体"/>
          <w:spacing w:val="1"/>
          <w:sz w:val="21"/>
          <w:szCs w:val="21"/>
        </w:rPr>
        <w:t>现代化,是资本逻辑支配下的现代化。</w:t>
      </w:r>
      <w:r>
        <w:rPr>
          <w:rFonts w:hint="eastAsia" w:ascii="宋体" w:hAnsi="宋体" w:eastAsia="宋体" w:cs="宋体"/>
          <w:spacing w:val="16"/>
          <w:sz w:val="21"/>
          <w:szCs w:val="21"/>
        </w:rPr>
        <w:t>现代化最初是在率先实现工业化的资本主义国家发生的,正</w:t>
      </w:r>
      <w:r>
        <w:rPr>
          <w:rFonts w:hint="eastAsia" w:ascii="宋体" w:hAnsi="宋体" w:eastAsia="宋体" w:cs="宋体"/>
          <w:spacing w:val="15"/>
          <w:sz w:val="21"/>
          <w:szCs w:val="21"/>
        </w:rPr>
        <w:t>如马克思所指出的:“工业</w:t>
      </w:r>
      <w:r>
        <w:rPr>
          <w:rFonts w:hint="eastAsia" w:ascii="宋体" w:hAnsi="宋体" w:eastAsia="宋体" w:cs="宋体"/>
          <w:spacing w:val="14"/>
          <w:sz w:val="21"/>
          <w:szCs w:val="21"/>
        </w:rPr>
        <w:t>较发达的国家向工业较不发达的国家所显示的,只是后者未来的景象。”</w:t>
      </w:r>
      <w:r>
        <w:rPr>
          <w:rStyle w:val="20"/>
          <w:rFonts w:hint="eastAsia" w:ascii="宋体" w:hAnsi="宋体" w:eastAsia="宋体" w:cs="宋体"/>
          <w:spacing w:val="14"/>
          <w:sz w:val="21"/>
          <w:szCs w:val="21"/>
        </w:rPr>
        <w:footnoteReference w:id="1354"/>
      </w:r>
      <w:r>
        <w:rPr>
          <w:rFonts w:hint="eastAsia" w:ascii="宋体" w:hAnsi="宋体" w:eastAsia="宋体" w:cs="宋体"/>
          <w:spacing w:val="14"/>
          <w:sz w:val="21"/>
          <w:szCs w:val="21"/>
        </w:rPr>
        <w:t>在资本主义</w:t>
      </w:r>
      <w:r>
        <w:rPr>
          <w:rFonts w:hint="eastAsia" w:ascii="宋体" w:hAnsi="宋体" w:eastAsia="宋体" w:cs="宋体"/>
          <w:spacing w:val="12"/>
          <w:sz w:val="21"/>
          <w:szCs w:val="21"/>
        </w:rPr>
        <w:t>国家中,“资本逻辑”支配了一切,资本主义生产的目的只有一个,那就是获取价值和</w:t>
      </w:r>
      <w:r>
        <w:rPr>
          <w:rFonts w:hint="eastAsia" w:ascii="宋体" w:hAnsi="宋体" w:eastAsia="宋体" w:cs="宋体"/>
          <w:spacing w:val="22"/>
          <w:sz w:val="21"/>
          <w:szCs w:val="21"/>
        </w:rPr>
        <w:t>剩余价值,并且资本家会不断将榨取的剩</w:t>
      </w:r>
      <w:r>
        <w:rPr>
          <w:rFonts w:hint="eastAsia" w:ascii="宋体" w:hAnsi="宋体" w:eastAsia="宋体" w:cs="宋体"/>
          <w:spacing w:val="21"/>
          <w:sz w:val="21"/>
          <w:szCs w:val="21"/>
        </w:rPr>
        <w:t>余价值投入社会再生产系统中,获得进一步</w:t>
      </w:r>
      <w:r>
        <w:rPr>
          <w:rFonts w:hint="eastAsia" w:ascii="宋体" w:hAnsi="宋体" w:eastAsia="宋体" w:cs="宋体"/>
          <w:spacing w:val="20"/>
          <w:sz w:val="21"/>
          <w:szCs w:val="21"/>
        </w:rPr>
        <w:t>的价值增殖和整个经济系统的不断扩张。因此,资本主义生产虽</w:t>
      </w:r>
      <w:r>
        <w:rPr>
          <w:rFonts w:hint="eastAsia" w:ascii="宋体" w:hAnsi="宋体" w:eastAsia="宋体" w:cs="宋体"/>
          <w:spacing w:val="19"/>
          <w:sz w:val="21"/>
          <w:szCs w:val="21"/>
        </w:rPr>
        <w:t>然一方面推动了生产</w:t>
      </w:r>
      <w:r>
        <w:rPr>
          <w:rFonts w:hint="eastAsia" w:ascii="宋体" w:hAnsi="宋体" w:eastAsia="宋体" w:cs="宋体"/>
          <w:spacing w:val="22"/>
          <w:sz w:val="21"/>
          <w:szCs w:val="21"/>
        </w:rPr>
        <w:t>力的迅速发展,创造了超过以往所有社会形态的巨</w:t>
      </w:r>
      <w:r>
        <w:rPr>
          <w:rFonts w:hint="eastAsia" w:ascii="宋体" w:hAnsi="宋体" w:eastAsia="宋体" w:cs="宋体"/>
          <w:spacing w:val="21"/>
          <w:sz w:val="21"/>
          <w:szCs w:val="21"/>
        </w:rPr>
        <w:t>大的物质财富,但另一方面它对利</w:t>
      </w:r>
      <w:r>
        <w:rPr>
          <w:rFonts w:hint="eastAsia" w:ascii="宋体" w:hAnsi="宋体" w:eastAsia="宋体" w:cs="宋体"/>
          <w:spacing w:val="22"/>
          <w:sz w:val="21"/>
          <w:szCs w:val="21"/>
        </w:rPr>
        <w:t>润的追求或者对财富的狂热导致了货币拜物教、商品</w:t>
      </w:r>
      <w:r>
        <w:rPr>
          <w:rFonts w:hint="eastAsia" w:ascii="宋体" w:hAnsi="宋体" w:eastAsia="宋体" w:cs="宋体"/>
          <w:spacing w:val="21"/>
          <w:sz w:val="21"/>
          <w:szCs w:val="21"/>
        </w:rPr>
        <w:t>拜物教,使得这种西方资本主义</w:t>
      </w:r>
      <w:r>
        <w:rPr>
          <w:rFonts w:hint="eastAsia" w:ascii="宋体" w:hAnsi="宋体" w:eastAsia="宋体" w:cs="宋体"/>
          <w:spacing w:val="22"/>
          <w:sz w:val="21"/>
          <w:szCs w:val="21"/>
        </w:rPr>
        <w:t>的现代化不可避免地陷于经济现代化的窠臼之中,在国家层面呈现出经济增长唯</w:t>
      </w:r>
      <w:r>
        <w:rPr>
          <w:rFonts w:hint="eastAsia" w:ascii="宋体" w:hAnsi="宋体" w:eastAsia="宋体" w:cs="宋体"/>
          <w:position w:val="-2"/>
          <w:sz w:val="21"/>
          <w:szCs w:val="21"/>
        </w:rPr>
        <w:t>GDP</w:t>
      </w:r>
      <w:r>
        <w:rPr>
          <w:rFonts w:hint="eastAsia" w:ascii="宋体" w:hAnsi="宋体" w:eastAsia="宋体" w:cs="宋体"/>
          <w:spacing w:val="20"/>
          <w:sz w:val="21"/>
          <w:szCs w:val="21"/>
        </w:rPr>
        <w:t>论,在企业层面呈现出唯产值或利润论,在家庭或个人层面呈现出唯效用论等</w:t>
      </w:r>
      <w:r>
        <w:rPr>
          <w:rFonts w:hint="eastAsia" w:ascii="宋体" w:hAnsi="宋体" w:eastAsia="宋体" w:cs="宋体"/>
          <w:spacing w:val="19"/>
          <w:sz w:val="21"/>
          <w:szCs w:val="21"/>
        </w:rPr>
        <w:t>。在资</w:t>
      </w:r>
      <w:r>
        <w:rPr>
          <w:rFonts w:hint="eastAsia" w:ascii="宋体" w:hAnsi="宋体" w:eastAsia="宋体" w:cs="宋体"/>
          <w:spacing w:val="17"/>
          <w:sz w:val="21"/>
          <w:szCs w:val="21"/>
        </w:rPr>
        <w:t>本逻辑的支配下,资本规模成为经济增长的决定性因素,也成为社会经济权力的中心。</w:t>
      </w:r>
      <w:r>
        <w:rPr>
          <w:rFonts w:hint="eastAsia" w:ascii="宋体" w:hAnsi="宋体" w:eastAsia="宋体" w:cs="宋体"/>
          <w:spacing w:val="21"/>
          <w:sz w:val="21"/>
          <w:szCs w:val="21"/>
        </w:rPr>
        <w:t>谁拥有更多的资本,谁就有可以支配他人或组织的权力。这种西方现代化模式成为在</w:t>
      </w:r>
      <w:r>
        <w:rPr>
          <w:rFonts w:hint="eastAsia" w:ascii="宋体" w:hAnsi="宋体" w:eastAsia="宋体" w:cs="宋体"/>
          <w:spacing w:val="17"/>
          <w:sz w:val="21"/>
          <w:szCs w:val="21"/>
        </w:rPr>
        <w:t>不断追求资本扩张下的现代化,是不可能将多维度的现代化列入其考虑之列的。</w:t>
      </w:r>
    </w:p>
    <w:p w14:paraId="505CEBC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rPr>
          <w:rFonts w:hint="eastAsia" w:ascii="宋体" w:hAnsi="宋体" w:eastAsia="宋体" w:cs="宋体"/>
          <w:sz w:val="21"/>
          <w:szCs w:val="21"/>
        </w:rPr>
      </w:pPr>
      <w:r>
        <w:rPr>
          <w:rFonts w:hint="eastAsia" w:ascii="宋体" w:hAnsi="宋体" w:eastAsia="宋体" w:cs="宋体"/>
          <w:spacing w:val="18"/>
          <w:sz w:val="21"/>
          <w:szCs w:val="21"/>
        </w:rPr>
        <w:t>第二,西方现代化以资本主义私有制为基础,其生产方式是劳动异化的主要根源,</w:t>
      </w:r>
      <w:r>
        <w:rPr>
          <w:rFonts w:hint="eastAsia" w:ascii="宋体" w:hAnsi="宋体" w:eastAsia="宋体" w:cs="宋体"/>
          <w:spacing w:val="20"/>
          <w:sz w:val="21"/>
          <w:szCs w:val="21"/>
        </w:rPr>
        <w:t>阻碍了人的自由和全面发展。在西方现代化历程中,资本家凭借生产资料私有制压榨</w:t>
      </w:r>
      <w:r>
        <w:rPr>
          <w:rFonts w:hint="eastAsia" w:ascii="宋体" w:hAnsi="宋体" w:eastAsia="宋体" w:cs="宋体"/>
          <w:spacing w:val="23"/>
          <w:sz w:val="21"/>
          <w:szCs w:val="21"/>
        </w:rPr>
        <w:t>和攫取雇佣工人的劳动以及劳动产品,使其只能得到满</w:t>
      </w:r>
      <w:r>
        <w:rPr>
          <w:rFonts w:hint="eastAsia" w:ascii="宋体" w:hAnsi="宋体" w:eastAsia="宋体" w:cs="宋体"/>
          <w:spacing w:val="22"/>
          <w:sz w:val="21"/>
          <w:szCs w:val="21"/>
        </w:rPr>
        <w:t>足其生命活动延续及繁衍后代</w:t>
      </w:r>
      <w:r>
        <w:rPr>
          <w:rFonts w:hint="eastAsia" w:ascii="宋体" w:hAnsi="宋体" w:eastAsia="宋体" w:cs="宋体"/>
          <w:spacing w:val="18"/>
          <w:sz w:val="21"/>
          <w:szCs w:val="21"/>
        </w:rPr>
        <w:t>等最低限度的劳动产品,工人与自己产品的关系成了一个异</w:t>
      </w:r>
      <w:r>
        <w:rPr>
          <w:rFonts w:hint="eastAsia" w:ascii="宋体" w:hAnsi="宋体" w:eastAsia="宋体" w:cs="宋体"/>
          <w:spacing w:val="17"/>
          <w:sz w:val="21"/>
          <w:szCs w:val="21"/>
        </w:rPr>
        <w:t>己的关系。工人无法掌控</w:t>
      </w:r>
      <w:r>
        <w:rPr>
          <w:rFonts w:hint="eastAsia" w:ascii="宋体" w:hAnsi="宋体" w:eastAsia="宋体" w:cs="宋体"/>
          <w:spacing w:val="2"/>
          <w:sz w:val="21"/>
          <w:szCs w:val="21"/>
        </w:rPr>
        <w:t>其劳动产品,无法自主掌控自身的劳动,更丧失了其之所以为“人”的属性</w:t>
      </w:r>
      <w:r>
        <w:rPr>
          <w:rFonts w:hint="eastAsia" w:ascii="宋体" w:hAnsi="宋体" w:eastAsia="宋体" w:cs="宋体"/>
          <w:spacing w:val="1"/>
          <w:sz w:val="21"/>
          <w:szCs w:val="21"/>
        </w:rPr>
        <w:t>。工人生</w:t>
      </w:r>
      <w:r>
        <w:rPr>
          <w:rFonts w:hint="eastAsia" w:ascii="宋体" w:hAnsi="宋体" w:eastAsia="宋体" w:cs="宋体"/>
          <w:spacing w:val="13"/>
          <w:sz w:val="21"/>
          <w:szCs w:val="21"/>
        </w:rPr>
        <w:t>产的越多,得到的相对越少,且创造出的财富越多,就越贫穷。“他在自己的劳动中不</w:t>
      </w:r>
      <w:r>
        <w:rPr>
          <w:rFonts w:hint="eastAsia" w:ascii="宋体" w:hAnsi="宋体" w:eastAsia="宋体" w:cs="宋体"/>
          <w:spacing w:val="4"/>
          <w:sz w:val="21"/>
          <w:szCs w:val="21"/>
        </w:rPr>
        <w:t>是肯定自己,而是否定自己,不是感到幸福,而是感到</w:t>
      </w:r>
      <w:r>
        <w:rPr>
          <w:rFonts w:hint="eastAsia" w:ascii="宋体" w:hAnsi="宋体" w:eastAsia="宋体" w:cs="宋体"/>
          <w:spacing w:val="3"/>
          <w:sz w:val="21"/>
          <w:szCs w:val="21"/>
        </w:rPr>
        <w:t>不幸,不是自由地发挥自己的</w:t>
      </w:r>
      <w:r>
        <w:rPr>
          <w:rFonts w:hint="eastAsia" w:ascii="宋体" w:hAnsi="宋体" w:eastAsia="宋体" w:cs="宋体"/>
          <w:spacing w:val="2"/>
          <w:sz w:val="21"/>
          <w:szCs w:val="21"/>
        </w:rPr>
        <w:t>体力和智力,而是使自己的肉体受折磨、精神遭</w:t>
      </w:r>
      <w:r>
        <w:rPr>
          <w:rFonts w:hint="eastAsia" w:ascii="宋体" w:hAnsi="宋体" w:eastAsia="宋体" w:cs="宋体"/>
          <w:spacing w:val="1"/>
          <w:sz w:val="21"/>
          <w:szCs w:val="21"/>
        </w:rPr>
        <w:t>摧残。”“他的劳动不是自愿的劳动,</w:t>
      </w:r>
      <w:r>
        <w:rPr>
          <w:rFonts w:hint="eastAsia" w:ascii="宋体" w:hAnsi="宋体" w:eastAsia="宋体" w:cs="宋体"/>
          <w:spacing w:val="16"/>
          <w:sz w:val="21"/>
          <w:szCs w:val="21"/>
        </w:rPr>
        <w:t>而是被迫的强制劳动”。</w:t>
      </w:r>
      <w:r>
        <w:rPr>
          <w:rStyle w:val="20"/>
          <w:rFonts w:hint="eastAsia" w:ascii="宋体" w:hAnsi="宋体" w:eastAsia="宋体" w:cs="宋体"/>
          <w:spacing w:val="16"/>
          <w:sz w:val="21"/>
          <w:szCs w:val="21"/>
        </w:rPr>
        <w:footnoteReference w:id="1355"/>
      </w:r>
      <w:r>
        <w:rPr>
          <w:rFonts w:hint="eastAsia" w:ascii="宋体" w:hAnsi="宋体" w:eastAsia="宋体" w:cs="宋体"/>
          <w:spacing w:val="16"/>
          <w:sz w:val="21"/>
          <w:szCs w:val="21"/>
        </w:rPr>
        <w:t>这种异化无不体现出西方资本主义制度下的现代化是对人的</w:t>
      </w:r>
      <w:r>
        <w:rPr>
          <w:rFonts w:hint="eastAsia" w:ascii="宋体" w:hAnsi="宋体" w:eastAsia="宋体" w:cs="宋体"/>
          <w:spacing w:val="17"/>
          <w:sz w:val="21"/>
          <w:szCs w:val="21"/>
        </w:rPr>
        <w:t>现代化的一种抑制。马克思曾指出只有扬弃了私有制,才能实现“人以一种全面的方</w:t>
      </w:r>
      <w:r>
        <w:rPr>
          <w:rFonts w:hint="eastAsia" w:ascii="宋体" w:hAnsi="宋体" w:eastAsia="宋体" w:cs="宋体"/>
          <w:spacing w:val="7"/>
          <w:sz w:val="21"/>
          <w:szCs w:val="21"/>
        </w:rPr>
        <w:t>式,就是说,作为一个完整的人,占有自己的全面的本质”。</w:t>
      </w:r>
      <w:r>
        <w:rPr>
          <w:rStyle w:val="20"/>
          <w:rFonts w:hint="eastAsia" w:ascii="宋体" w:hAnsi="宋体" w:eastAsia="宋体" w:cs="宋体"/>
          <w:spacing w:val="7"/>
          <w:sz w:val="21"/>
          <w:szCs w:val="21"/>
        </w:rPr>
        <w:footnoteReference w:id="1356"/>
      </w:r>
    </w:p>
    <w:p w14:paraId="59A9678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sz w:val="21"/>
          <w:szCs w:val="21"/>
        </w:rPr>
      </w:pPr>
      <w:r>
        <w:rPr>
          <w:rFonts w:hint="eastAsia" w:ascii="宋体" w:hAnsi="宋体" w:eastAsia="宋体" w:cs="宋体"/>
          <w:spacing w:val="23"/>
          <w:sz w:val="21"/>
          <w:szCs w:val="21"/>
        </w:rPr>
        <w:t>第三,西方现代化中资本主义生产的无政府状态必然导致对资源的严重破</w:t>
      </w:r>
      <w:r>
        <w:rPr>
          <w:rFonts w:hint="eastAsia" w:ascii="宋体" w:hAnsi="宋体" w:eastAsia="宋体" w:cs="宋体"/>
          <w:spacing w:val="22"/>
          <w:sz w:val="21"/>
          <w:szCs w:val="21"/>
        </w:rPr>
        <w:t>坏和浪</w:t>
      </w:r>
      <w:r>
        <w:rPr>
          <w:rFonts w:hint="eastAsia" w:ascii="宋体" w:hAnsi="宋体" w:eastAsia="宋体" w:cs="宋体"/>
          <w:spacing w:val="21"/>
          <w:sz w:val="21"/>
          <w:szCs w:val="21"/>
        </w:rPr>
        <w:t>费,成为生态危机爆发的根源。资本主义生产中始终存在着资源的有限性与追求利润</w:t>
      </w:r>
      <w:r>
        <w:rPr>
          <w:rFonts w:hint="eastAsia" w:ascii="宋体" w:hAnsi="宋体" w:eastAsia="宋体" w:cs="宋体"/>
          <w:spacing w:val="20"/>
          <w:sz w:val="21"/>
          <w:szCs w:val="21"/>
        </w:rPr>
        <w:t>的无限性之间的矛盾。生产中的无政府状态,让每个企业各自为政,盲目地追求生产</w:t>
      </w:r>
      <w:r>
        <w:rPr>
          <w:rFonts w:hint="eastAsia" w:ascii="宋体" w:hAnsi="宋体" w:eastAsia="宋体" w:cs="宋体"/>
          <w:spacing w:val="12"/>
          <w:sz w:val="21"/>
          <w:szCs w:val="21"/>
        </w:rPr>
        <w:t>的不断扩大和对资源的肆意掠夺;家庭或个人则出现“过度消费”和“消费主义”的</w:t>
      </w:r>
      <w:r>
        <w:rPr>
          <w:rFonts w:hint="eastAsia" w:ascii="宋体" w:hAnsi="宋体" w:eastAsia="宋体" w:cs="宋体"/>
          <w:spacing w:val="16"/>
          <w:sz w:val="21"/>
          <w:szCs w:val="21"/>
        </w:rPr>
        <w:t>倾向。如马克思所指出的:“资本主义生产使它汇集</w:t>
      </w:r>
      <w:r>
        <w:rPr>
          <w:rFonts w:hint="eastAsia" w:ascii="宋体" w:hAnsi="宋体" w:eastAsia="宋体" w:cs="宋体"/>
          <w:spacing w:val="15"/>
          <w:sz w:val="21"/>
          <w:szCs w:val="21"/>
        </w:rPr>
        <w:t>在各大中心的城市人口越来越占优</w:t>
      </w:r>
      <w:r>
        <w:rPr>
          <w:rFonts w:hint="eastAsia" w:ascii="宋体" w:hAnsi="宋体" w:eastAsia="宋体" w:cs="宋体"/>
          <w:spacing w:val="20"/>
          <w:sz w:val="21"/>
          <w:szCs w:val="21"/>
        </w:rPr>
        <w:t>势,这样一来,它一方面聚集着社会的历史动力,另一方面又破坏着人和土地之间的</w:t>
      </w:r>
      <w:r>
        <w:rPr>
          <w:rFonts w:hint="eastAsia" w:ascii="宋体" w:hAnsi="宋体" w:eastAsia="宋体" w:cs="宋体"/>
          <w:spacing w:val="22"/>
          <w:sz w:val="21"/>
          <w:szCs w:val="21"/>
        </w:rPr>
        <w:t>物质变换,也就是使人以衣食形式消费掉的土地的组成部</w:t>
      </w:r>
      <w:r>
        <w:rPr>
          <w:rFonts w:hint="eastAsia" w:ascii="宋体" w:hAnsi="宋体" w:eastAsia="宋体" w:cs="宋体"/>
          <w:spacing w:val="21"/>
          <w:sz w:val="21"/>
          <w:szCs w:val="21"/>
        </w:rPr>
        <w:t>分不能回归土地,从而破坏</w:t>
      </w:r>
      <w:r>
        <w:rPr>
          <w:rFonts w:hint="eastAsia" w:ascii="宋体" w:hAnsi="宋体" w:eastAsia="宋体" w:cs="宋体"/>
          <w:spacing w:val="12"/>
          <w:sz w:val="21"/>
          <w:szCs w:val="21"/>
        </w:rPr>
        <w:t>土地持久肥力的永恒的自然条件。”</w:t>
      </w:r>
      <w:r>
        <w:rPr>
          <w:rStyle w:val="20"/>
          <w:rFonts w:hint="eastAsia" w:ascii="宋体" w:hAnsi="宋体" w:eastAsia="宋体" w:cs="宋体"/>
          <w:spacing w:val="12"/>
          <w:sz w:val="21"/>
          <w:szCs w:val="21"/>
        </w:rPr>
        <w:footnoteReference w:id="1357"/>
      </w:r>
      <w:r>
        <w:rPr>
          <w:rFonts w:hint="eastAsia" w:ascii="宋体" w:hAnsi="宋体" w:eastAsia="宋体" w:cs="宋体"/>
          <w:spacing w:val="12"/>
          <w:sz w:val="21"/>
          <w:szCs w:val="21"/>
        </w:rPr>
        <w:t>因此,西方现代化模式严重破坏生态,而不会实</w:t>
      </w:r>
      <w:r>
        <w:rPr>
          <w:rFonts w:hint="eastAsia" w:ascii="宋体" w:hAnsi="宋体" w:eastAsia="宋体" w:cs="宋体"/>
          <w:spacing w:val="16"/>
          <w:sz w:val="21"/>
          <w:szCs w:val="21"/>
        </w:rPr>
        <w:t>现生态文明,它的现代化中必然缺少生态现代化的维度</w:t>
      </w:r>
      <w:r>
        <w:rPr>
          <w:rFonts w:hint="eastAsia" w:ascii="宋体" w:hAnsi="宋体" w:eastAsia="宋体" w:cs="宋体"/>
          <w:spacing w:val="15"/>
          <w:sz w:val="21"/>
          <w:szCs w:val="21"/>
        </w:rPr>
        <w:t>,因而也必然是片面的。</w:t>
      </w:r>
    </w:p>
    <w:p w14:paraId="5E99BFD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由此可见,西方现代化模式主要表现为一种单维的现代化,其发展也往往被描述</w:t>
      </w:r>
      <w:r>
        <w:rPr>
          <w:rFonts w:hint="eastAsia" w:ascii="宋体" w:hAnsi="宋体" w:eastAsia="宋体" w:cs="宋体"/>
          <w:spacing w:val="13"/>
          <w:sz w:val="21"/>
          <w:szCs w:val="21"/>
        </w:rPr>
        <w:t>为“串联式”的发展,即先工业化、后城镇化、农业现代化、信息化的发展道路,其</w:t>
      </w:r>
      <w:r>
        <w:rPr>
          <w:rFonts w:hint="eastAsia" w:ascii="宋体" w:hAnsi="宋体" w:eastAsia="宋体" w:cs="宋体"/>
          <w:spacing w:val="24"/>
          <w:sz w:val="21"/>
          <w:szCs w:val="21"/>
        </w:rPr>
        <w:t>实质不过是资本主义制度下资本对利润无止境的追求逐步将各种社会资</w:t>
      </w:r>
      <w:r>
        <w:rPr>
          <w:rFonts w:hint="eastAsia" w:ascii="宋体" w:hAnsi="宋体" w:eastAsia="宋体" w:cs="宋体"/>
          <w:spacing w:val="23"/>
          <w:sz w:val="21"/>
          <w:szCs w:val="21"/>
        </w:rPr>
        <w:t>源裹挟进资本</w:t>
      </w:r>
    </w:p>
    <w:p w14:paraId="1F1A663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的熔炉中,从而获取新的利润来源的过程。在以获取最大化利润为核心目的的现代化过程中,这种西方现代化模式不会考虑社会多维度同步系统的发</w:t>
      </w:r>
      <w:r>
        <w:rPr>
          <w:rFonts w:hint="eastAsia" w:ascii="宋体" w:hAnsi="宋体" w:eastAsia="宋体" w:cs="宋体"/>
          <w:spacing w:val="16"/>
          <w:sz w:val="21"/>
          <w:szCs w:val="21"/>
        </w:rPr>
        <w:t>展。</w:t>
      </w:r>
    </w:p>
    <w:p w14:paraId="0C71260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b/>
          <w:bCs/>
          <w:sz w:val="21"/>
          <w:szCs w:val="21"/>
        </w:rPr>
      </w:pPr>
      <w:r>
        <w:rPr>
          <w:rFonts w:hint="eastAsia" w:ascii="宋体" w:hAnsi="宋体" w:eastAsia="宋体" w:cs="宋体"/>
          <w:b/>
          <w:bCs/>
          <w:spacing w:val="17"/>
          <w:sz w:val="21"/>
          <w:szCs w:val="21"/>
        </w:rPr>
        <w:t>(二)发展路径上的剥夺性</w:t>
      </w:r>
    </w:p>
    <w:p w14:paraId="6C228B9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西方现代化的发展路径是在资本逻辑主导下以资本为中心的现代化道路。资本的</w:t>
      </w:r>
      <w:r>
        <w:rPr>
          <w:rFonts w:hint="eastAsia" w:ascii="宋体" w:hAnsi="宋体" w:eastAsia="宋体" w:cs="宋体"/>
          <w:spacing w:val="21"/>
          <w:sz w:val="21"/>
          <w:szCs w:val="21"/>
        </w:rPr>
        <w:t>本性是贪婪的,在这一本性的支配下,西方现代化的过程中充斥了对各种形式的资源</w:t>
      </w:r>
      <w:r>
        <w:rPr>
          <w:rFonts w:hint="eastAsia" w:ascii="宋体" w:hAnsi="宋体" w:eastAsia="宋体" w:cs="宋体"/>
          <w:sz w:val="21"/>
          <w:szCs w:val="21"/>
        </w:rPr>
        <w:t>与财富的掠夺。在掠夺的方式上,殖民、奴役、劫掠</w:t>
      </w:r>
      <w:r>
        <w:rPr>
          <w:rFonts w:hint="eastAsia" w:ascii="宋体" w:hAnsi="宋体" w:eastAsia="宋体" w:cs="宋体"/>
          <w:spacing w:val="-1"/>
          <w:sz w:val="21"/>
          <w:szCs w:val="21"/>
        </w:rPr>
        <w:t>、战争、侵略成为其重要手段。</w:t>
      </w:r>
      <w:r>
        <w:rPr>
          <w:rFonts w:hint="eastAsia" w:ascii="宋体" w:hAnsi="宋体" w:eastAsia="宋体" w:cs="宋体"/>
          <w:spacing w:val="16"/>
          <w:sz w:val="21"/>
          <w:szCs w:val="21"/>
        </w:rPr>
        <w:t>根据历史上资本主义掠夺的阶段,可以分为以下四类。</w:t>
      </w:r>
    </w:p>
    <w:p w14:paraId="3A5B675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第一,资本主义原始积累初期对劳动力和土地资源的残酷掠夺。马克思曾经指出:</w:t>
      </w:r>
      <w:r>
        <w:rPr>
          <w:rFonts w:hint="eastAsia" w:ascii="宋体" w:hAnsi="宋体" w:eastAsia="宋体" w:cs="宋体"/>
          <w:spacing w:val="11"/>
          <w:sz w:val="21"/>
          <w:szCs w:val="21"/>
        </w:rPr>
        <w:t>“资本来到世间,从头到脚,每个毛孔都滴着血和肮脏的东西。</w:t>
      </w:r>
      <w:r>
        <w:rPr>
          <w:rFonts w:hint="eastAsia" w:ascii="宋体" w:hAnsi="宋体" w:eastAsia="宋体" w:cs="宋体"/>
          <w:spacing w:val="10"/>
          <w:sz w:val="21"/>
          <w:szCs w:val="21"/>
        </w:rPr>
        <w:t>”</w:t>
      </w:r>
      <w:r>
        <w:rPr>
          <w:rStyle w:val="20"/>
          <w:rFonts w:hint="eastAsia" w:ascii="宋体" w:hAnsi="宋体" w:eastAsia="宋体" w:cs="宋体"/>
          <w:spacing w:val="10"/>
          <w:sz w:val="21"/>
          <w:szCs w:val="21"/>
        </w:rPr>
        <w:footnoteReference w:id="1358"/>
      </w:r>
      <w:r>
        <w:rPr>
          <w:rFonts w:hint="eastAsia" w:ascii="宋体" w:hAnsi="宋体" w:eastAsia="宋体" w:cs="宋体"/>
          <w:spacing w:val="10"/>
          <w:sz w:val="21"/>
          <w:szCs w:val="21"/>
        </w:rPr>
        <w:t>为了获取资本主义发</w:t>
      </w:r>
      <w:r>
        <w:rPr>
          <w:rFonts w:hint="eastAsia" w:ascii="宋体" w:hAnsi="宋体" w:eastAsia="宋体" w:cs="宋体"/>
          <w:spacing w:val="17"/>
          <w:sz w:val="21"/>
          <w:szCs w:val="21"/>
        </w:rPr>
        <w:t>展的第一桶金,最为人们熟知的事例之一即起源于英国</w:t>
      </w:r>
      <w:r>
        <w:rPr>
          <w:rFonts w:hint="eastAsia" w:ascii="宋体" w:hAnsi="宋体" w:eastAsia="宋体" w:cs="宋体"/>
          <w:spacing w:val="17"/>
          <w:position w:val="-2"/>
          <w:sz w:val="21"/>
          <w:szCs w:val="21"/>
        </w:rPr>
        <w:t>15</w:t>
      </w:r>
      <w:r>
        <w:rPr>
          <w:rFonts w:hint="eastAsia" w:ascii="宋体" w:hAnsi="宋体" w:eastAsia="宋体" w:cs="宋体"/>
          <w:spacing w:val="17"/>
          <w:sz w:val="21"/>
          <w:szCs w:val="21"/>
        </w:rPr>
        <w:t>世纪</w:t>
      </w:r>
      <w:r>
        <w:rPr>
          <w:rFonts w:hint="eastAsia" w:ascii="宋体" w:hAnsi="宋体" w:eastAsia="宋体" w:cs="宋体"/>
          <w:spacing w:val="16"/>
          <w:sz w:val="21"/>
          <w:szCs w:val="21"/>
        </w:rPr>
        <w:t>被称作“羊吃人”的圈</w:t>
      </w:r>
      <w:r>
        <w:rPr>
          <w:rFonts w:hint="eastAsia" w:ascii="宋体" w:hAnsi="宋体" w:eastAsia="宋体" w:cs="宋体"/>
          <w:spacing w:val="19"/>
          <w:sz w:val="21"/>
          <w:szCs w:val="21"/>
        </w:rPr>
        <w:t>地运动。由于英国羊毛及其呢绒制品出口大增,羊毛产业大幅发展,英国爆发了残酷</w:t>
      </w:r>
      <w:r>
        <w:rPr>
          <w:rFonts w:hint="eastAsia" w:ascii="宋体" w:hAnsi="宋体" w:eastAsia="宋体" w:cs="宋体"/>
          <w:spacing w:val="6"/>
          <w:sz w:val="21"/>
          <w:szCs w:val="21"/>
        </w:rPr>
        <w:t>的圈地运动,数百万亩土地被圈占,无数的农民失去了土地,大部分人贫困潦倒,成</w:t>
      </w:r>
      <w:r>
        <w:rPr>
          <w:rFonts w:hint="eastAsia" w:ascii="宋体" w:hAnsi="宋体" w:eastAsia="宋体" w:cs="宋体"/>
          <w:spacing w:val="23"/>
          <w:sz w:val="21"/>
          <w:szCs w:val="21"/>
        </w:rPr>
        <w:t>为了流浪者、乞丐。最终为了维持生存,一部分人被资产阶级化的贵族直</w:t>
      </w:r>
      <w:r>
        <w:rPr>
          <w:rFonts w:hint="eastAsia" w:ascii="宋体" w:hAnsi="宋体" w:eastAsia="宋体" w:cs="宋体"/>
          <w:spacing w:val="22"/>
          <w:sz w:val="21"/>
          <w:szCs w:val="21"/>
        </w:rPr>
        <w:t>接雇佣成为</w:t>
      </w:r>
      <w:r>
        <w:rPr>
          <w:rFonts w:hint="eastAsia" w:ascii="宋体" w:hAnsi="宋体" w:eastAsia="宋体" w:cs="宋体"/>
          <w:spacing w:val="23"/>
          <w:sz w:val="21"/>
          <w:szCs w:val="21"/>
        </w:rPr>
        <w:t>农业工人,另外一部分人进入了城市,成为了工厂中的</w:t>
      </w:r>
      <w:r>
        <w:rPr>
          <w:rFonts w:hint="eastAsia" w:ascii="宋体" w:hAnsi="宋体" w:eastAsia="宋体" w:cs="宋体"/>
          <w:spacing w:val="22"/>
          <w:sz w:val="21"/>
          <w:szCs w:val="21"/>
        </w:rPr>
        <w:t>雇工,从而为资本主义的发展</w:t>
      </w:r>
      <w:r>
        <w:rPr>
          <w:rFonts w:hint="eastAsia" w:ascii="宋体" w:hAnsi="宋体" w:eastAsia="宋体" w:cs="宋体"/>
          <w:spacing w:val="24"/>
          <w:sz w:val="21"/>
          <w:szCs w:val="21"/>
        </w:rPr>
        <w:t>提供了大量劳动力。在此之后,在整个欧洲大陆资本主义的建立过程中也</w:t>
      </w:r>
      <w:r>
        <w:rPr>
          <w:rFonts w:hint="eastAsia" w:ascii="宋体" w:hAnsi="宋体" w:eastAsia="宋体" w:cs="宋体"/>
          <w:spacing w:val="23"/>
          <w:sz w:val="21"/>
          <w:szCs w:val="21"/>
        </w:rPr>
        <w:t>陆续发生了</w:t>
      </w:r>
      <w:r>
        <w:rPr>
          <w:rFonts w:hint="eastAsia" w:ascii="宋体" w:hAnsi="宋体" w:eastAsia="宋体" w:cs="宋体"/>
          <w:spacing w:val="24"/>
          <w:sz w:val="21"/>
          <w:szCs w:val="21"/>
        </w:rPr>
        <w:t>类似的圈地运动,可以说在这个过程中,对最底层农民利益的掠夺成</w:t>
      </w:r>
      <w:r>
        <w:rPr>
          <w:rFonts w:hint="eastAsia" w:ascii="宋体" w:hAnsi="宋体" w:eastAsia="宋体" w:cs="宋体"/>
          <w:spacing w:val="23"/>
          <w:sz w:val="21"/>
          <w:szCs w:val="21"/>
        </w:rPr>
        <w:t>为了西方资本主义发展道路上必不可少的环节。</w:t>
      </w:r>
    </w:p>
    <w:p w14:paraId="353C684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rPr>
          <w:rFonts w:hint="eastAsia" w:ascii="宋体" w:hAnsi="宋体" w:eastAsia="宋体" w:cs="宋体"/>
          <w:sz w:val="21"/>
          <w:szCs w:val="21"/>
        </w:rPr>
      </w:pPr>
      <w:r>
        <w:rPr>
          <w:rFonts w:hint="eastAsia" w:ascii="宋体" w:hAnsi="宋体" w:eastAsia="宋体" w:cs="宋体"/>
          <w:spacing w:val="18"/>
          <w:sz w:val="21"/>
          <w:szCs w:val="21"/>
        </w:rPr>
        <w:t>第二,通过战争、奴隶贸易等方式对殖民</w:t>
      </w:r>
      <w:r>
        <w:rPr>
          <w:rFonts w:hint="eastAsia" w:ascii="宋体" w:hAnsi="宋体" w:eastAsia="宋体" w:cs="宋体"/>
          <w:spacing w:val="17"/>
          <w:sz w:val="21"/>
          <w:szCs w:val="21"/>
        </w:rPr>
        <w:t>地国家的劫掠。</w:t>
      </w:r>
      <w:r>
        <w:rPr>
          <w:rFonts w:hint="eastAsia" w:ascii="宋体" w:hAnsi="宋体" w:eastAsia="宋体" w:cs="宋体"/>
          <w:spacing w:val="17"/>
          <w:position w:val="-2"/>
          <w:sz w:val="21"/>
          <w:szCs w:val="21"/>
        </w:rPr>
        <w:t>15</w:t>
      </w:r>
      <w:r>
        <w:rPr>
          <w:rFonts w:hint="eastAsia" w:ascii="宋体" w:hAnsi="宋体" w:eastAsia="宋体" w:cs="宋体"/>
          <w:spacing w:val="17"/>
          <w:sz w:val="21"/>
          <w:szCs w:val="21"/>
        </w:rPr>
        <w:t>世纪末以来,伴随着</w:t>
      </w:r>
      <w:r>
        <w:rPr>
          <w:rFonts w:hint="eastAsia" w:ascii="宋体" w:hAnsi="宋体" w:eastAsia="宋体" w:cs="宋体"/>
          <w:spacing w:val="5"/>
          <w:sz w:val="21"/>
          <w:szCs w:val="21"/>
        </w:rPr>
        <w:t>大航海事业的发展,资本主义国家如西班牙、法国、英国等为尽可能掠夺</w:t>
      </w:r>
      <w:r>
        <w:rPr>
          <w:rFonts w:hint="eastAsia" w:ascii="宋体" w:hAnsi="宋体" w:eastAsia="宋体" w:cs="宋体"/>
          <w:spacing w:val="4"/>
          <w:sz w:val="21"/>
          <w:szCs w:val="21"/>
        </w:rPr>
        <w:t>财富,先后</w:t>
      </w:r>
      <w:r>
        <w:rPr>
          <w:rFonts w:hint="eastAsia" w:ascii="宋体" w:hAnsi="宋体" w:eastAsia="宋体" w:cs="宋体"/>
          <w:spacing w:val="20"/>
          <w:sz w:val="21"/>
          <w:szCs w:val="21"/>
        </w:rPr>
        <w:t>在海外建立大批殖民地,并因为争夺在世界上的殖民霸权而相互倾</w:t>
      </w:r>
      <w:r>
        <w:rPr>
          <w:rFonts w:hint="eastAsia" w:ascii="宋体" w:hAnsi="宋体" w:eastAsia="宋体" w:cs="宋体"/>
          <w:spacing w:val="19"/>
          <w:sz w:val="21"/>
          <w:szCs w:val="21"/>
        </w:rPr>
        <w:t>轧,发动战争。这</w:t>
      </w:r>
      <w:r>
        <w:rPr>
          <w:rFonts w:hint="eastAsia" w:ascii="宋体" w:hAnsi="宋体" w:eastAsia="宋体" w:cs="宋体"/>
          <w:spacing w:val="5"/>
          <w:sz w:val="21"/>
          <w:szCs w:val="21"/>
        </w:rPr>
        <w:t>些国家每到一个地方,就对当地居民展开杀戮,抢劫当地金银珠宝,如葡萄牙、西班</w:t>
      </w:r>
      <w:r>
        <w:rPr>
          <w:rFonts w:hint="eastAsia" w:ascii="宋体" w:hAnsi="宋体" w:eastAsia="宋体" w:cs="宋体"/>
          <w:spacing w:val="3"/>
          <w:sz w:val="21"/>
          <w:szCs w:val="21"/>
        </w:rPr>
        <w:t>牙、荷兰、英国、法国等最早进入资本主义的国家,先后都走上了这</w:t>
      </w:r>
      <w:r>
        <w:rPr>
          <w:rFonts w:hint="eastAsia" w:ascii="宋体" w:hAnsi="宋体" w:eastAsia="宋体" w:cs="宋体"/>
          <w:spacing w:val="2"/>
          <w:sz w:val="21"/>
          <w:szCs w:val="21"/>
        </w:rPr>
        <w:t>一殖民扩张的道</w:t>
      </w:r>
      <w:r>
        <w:rPr>
          <w:rFonts w:hint="eastAsia" w:ascii="宋体" w:hAnsi="宋体" w:eastAsia="宋体" w:cs="宋体"/>
          <w:spacing w:val="22"/>
          <w:sz w:val="21"/>
          <w:szCs w:val="21"/>
        </w:rPr>
        <w:t>路,通过武力征服亚非拉等发展落后的国家或地区,从</w:t>
      </w:r>
      <w:r>
        <w:rPr>
          <w:rFonts w:hint="eastAsia" w:ascii="宋体" w:hAnsi="宋体" w:eastAsia="宋体" w:cs="宋体"/>
          <w:spacing w:val="21"/>
          <w:sz w:val="21"/>
          <w:szCs w:val="21"/>
        </w:rPr>
        <w:t>而加速了它们资本主义原始积</w:t>
      </w:r>
      <w:r>
        <w:rPr>
          <w:rFonts w:hint="eastAsia" w:ascii="宋体" w:hAnsi="宋体" w:eastAsia="宋体" w:cs="宋体"/>
          <w:spacing w:val="18"/>
          <w:sz w:val="21"/>
          <w:szCs w:val="21"/>
        </w:rPr>
        <w:t>累的进程。从</w:t>
      </w:r>
      <w:r>
        <w:rPr>
          <w:rFonts w:hint="eastAsia" w:ascii="宋体" w:hAnsi="宋体" w:eastAsia="宋体" w:cs="宋体"/>
          <w:spacing w:val="18"/>
          <w:position w:val="-2"/>
          <w:sz w:val="21"/>
          <w:szCs w:val="21"/>
        </w:rPr>
        <w:t>16</w:t>
      </w:r>
      <w:r>
        <w:rPr>
          <w:rFonts w:hint="eastAsia" w:ascii="宋体" w:hAnsi="宋体" w:eastAsia="宋体" w:cs="宋体"/>
          <w:spacing w:val="18"/>
          <w:sz w:val="21"/>
          <w:szCs w:val="21"/>
        </w:rPr>
        <w:t>世纪到</w:t>
      </w:r>
      <w:r>
        <w:rPr>
          <w:rFonts w:hint="eastAsia" w:ascii="宋体" w:hAnsi="宋体" w:eastAsia="宋体" w:cs="宋体"/>
          <w:spacing w:val="18"/>
          <w:position w:val="-2"/>
          <w:sz w:val="21"/>
          <w:szCs w:val="21"/>
        </w:rPr>
        <w:t>19</w:t>
      </w:r>
      <w:r>
        <w:rPr>
          <w:rFonts w:hint="eastAsia" w:ascii="宋体" w:hAnsi="宋体" w:eastAsia="宋体" w:cs="宋体"/>
          <w:spacing w:val="18"/>
          <w:sz w:val="21"/>
          <w:szCs w:val="21"/>
        </w:rPr>
        <w:t>世纪的</w:t>
      </w:r>
      <w:r>
        <w:rPr>
          <w:rFonts w:hint="eastAsia" w:ascii="宋体" w:hAnsi="宋体" w:eastAsia="宋体" w:cs="宋体"/>
          <w:spacing w:val="18"/>
          <w:position w:val="-2"/>
          <w:sz w:val="21"/>
          <w:szCs w:val="21"/>
        </w:rPr>
        <w:t>300</w:t>
      </w:r>
      <w:r>
        <w:rPr>
          <w:rFonts w:hint="eastAsia" w:ascii="宋体" w:hAnsi="宋体" w:eastAsia="宋体" w:cs="宋体"/>
          <w:spacing w:val="18"/>
          <w:sz w:val="21"/>
          <w:szCs w:val="21"/>
        </w:rPr>
        <w:t>多年时间里,西方殖民者从中南美洲抢走了约</w:t>
      </w:r>
      <w:r>
        <w:rPr>
          <w:rFonts w:hint="eastAsia" w:ascii="宋体" w:hAnsi="宋体" w:eastAsia="宋体" w:cs="宋体"/>
          <w:spacing w:val="1"/>
          <w:position w:val="-2"/>
          <w:sz w:val="21"/>
          <w:szCs w:val="21"/>
        </w:rPr>
        <w:t>250</w:t>
      </w:r>
      <w:r>
        <w:rPr>
          <w:rFonts w:hint="eastAsia" w:ascii="宋体" w:hAnsi="宋体" w:eastAsia="宋体" w:cs="宋体"/>
          <w:spacing w:val="1"/>
          <w:sz w:val="21"/>
          <w:szCs w:val="21"/>
        </w:rPr>
        <w:t>万公斤黄金、</w:t>
      </w:r>
      <w:r>
        <w:rPr>
          <w:rFonts w:hint="eastAsia" w:ascii="宋体" w:hAnsi="宋体" w:eastAsia="宋体" w:cs="宋体"/>
          <w:spacing w:val="1"/>
          <w:position w:val="-2"/>
          <w:sz w:val="21"/>
          <w:szCs w:val="21"/>
        </w:rPr>
        <w:t>1</w:t>
      </w:r>
      <w:r>
        <w:rPr>
          <w:rFonts w:hint="eastAsia" w:ascii="宋体" w:hAnsi="宋体" w:eastAsia="宋体" w:cs="宋体"/>
          <w:spacing w:val="1"/>
          <w:sz w:val="21"/>
          <w:szCs w:val="21"/>
        </w:rPr>
        <w:t>亿公斤白银。</w:t>
      </w:r>
      <w:r>
        <w:rPr>
          <w:rStyle w:val="20"/>
          <w:rFonts w:hint="eastAsia" w:ascii="宋体" w:hAnsi="宋体" w:eastAsia="宋体" w:cs="宋体"/>
          <w:spacing w:val="1"/>
          <w:sz w:val="21"/>
          <w:szCs w:val="21"/>
        </w:rPr>
        <w:footnoteReference w:id="1359"/>
      </w:r>
      <w:r>
        <w:rPr>
          <w:rFonts w:hint="eastAsia" w:ascii="宋体" w:hAnsi="宋体" w:eastAsia="宋体" w:cs="宋体"/>
          <w:sz w:val="21"/>
          <w:szCs w:val="21"/>
        </w:rPr>
        <w:t>除此之外,它们还开展了人类历史上最肮脏的贸</w:t>
      </w:r>
      <w:r>
        <w:rPr>
          <w:rFonts w:hint="eastAsia" w:ascii="宋体" w:hAnsi="宋体" w:eastAsia="宋体" w:cs="宋体"/>
          <w:spacing w:val="23"/>
          <w:sz w:val="21"/>
          <w:szCs w:val="21"/>
        </w:rPr>
        <w:t>易</w:t>
      </w:r>
      <w:r>
        <w:rPr>
          <w:rFonts w:hint="eastAsia" w:ascii="宋体" w:hAnsi="宋体" w:eastAsia="宋体" w:cs="宋体"/>
          <w:b/>
          <w:bCs/>
          <w:spacing w:val="23"/>
          <w:sz w:val="21"/>
          <w:szCs w:val="21"/>
        </w:rPr>
        <w:t>—</w:t>
      </w:r>
      <w:r>
        <w:rPr>
          <w:rFonts w:hint="eastAsia" w:ascii="宋体" w:hAnsi="宋体" w:eastAsia="宋体" w:cs="宋体"/>
          <w:spacing w:val="23"/>
          <w:sz w:val="21"/>
          <w:szCs w:val="21"/>
        </w:rPr>
        <w:t>黑人贸易,使得无数非洲人民成为奴隶,像牲畜一样被</w:t>
      </w:r>
      <w:r>
        <w:rPr>
          <w:rFonts w:hint="eastAsia" w:ascii="宋体" w:hAnsi="宋体" w:eastAsia="宋体" w:cs="宋体"/>
          <w:spacing w:val="22"/>
          <w:sz w:val="21"/>
          <w:szCs w:val="21"/>
        </w:rPr>
        <w:t>交易,他们的人身所有</w:t>
      </w:r>
      <w:r>
        <w:rPr>
          <w:rFonts w:hint="eastAsia" w:ascii="宋体" w:hAnsi="宋体" w:eastAsia="宋体" w:cs="宋体"/>
          <w:spacing w:val="21"/>
          <w:sz w:val="21"/>
          <w:szCs w:val="21"/>
        </w:rPr>
        <w:t>权和劳动成果都被剥夺,为西方发达资本主义发展创造了大量财富。马</w:t>
      </w:r>
      <w:r>
        <w:rPr>
          <w:rFonts w:hint="eastAsia" w:ascii="宋体" w:hAnsi="宋体" w:eastAsia="宋体" w:cs="宋体"/>
          <w:spacing w:val="20"/>
          <w:sz w:val="21"/>
          <w:szCs w:val="21"/>
        </w:rPr>
        <w:t>克思曾深刻指</w:t>
      </w:r>
      <w:r>
        <w:rPr>
          <w:rFonts w:hint="eastAsia" w:ascii="宋体" w:hAnsi="宋体" w:eastAsia="宋体" w:cs="宋体"/>
          <w:spacing w:val="15"/>
          <w:sz w:val="21"/>
          <w:szCs w:val="21"/>
        </w:rPr>
        <w:t>出:“当我们把目光从资产阶级文明的故乡转向殖民地的时候,资产阶级文明的极端伪</w:t>
      </w:r>
      <w:r>
        <w:rPr>
          <w:rFonts w:hint="eastAsia" w:ascii="宋体" w:hAnsi="宋体" w:eastAsia="宋体" w:cs="宋体"/>
          <w:spacing w:val="20"/>
          <w:sz w:val="21"/>
          <w:szCs w:val="21"/>
        </w:rPr>
        <w:t>善和它的野蛮本性就赤裸裸地呈现在我们面前,它在故乡还装出一副体面的样</w:t>
      </w:r>
      <w:r>
        <w:rPr>
          <w:rFonts w:hint="eastAsia" w:ascii="宋体" w:hAnsi="宋体" w:eastAsia="宋体" w:cs="宋体"/>
          <w:spacing w:val="19"/>
          <w:sz w:val="21"/>
          <w:szCs w:val="21"/>
        </w:rPr>
        <w:t>子,而</w:t>
      </w:r>
      <w:r>
        <w:rPr>
          <w:rFonts w:hint="eastAsia" w:ascii="宋体" w:hAnsi="宋体" w:eastAsia="宋体" w:cs="宋体"/>
          <w:spacing w:val="8"/>
          <w:sz w:val="21"/>
          <w:szCs w:val="21"/>
        </w:rPr>
        <w:t>在殖民地它就丝毫不加掩饰了。”</w:t>
      </w:r>
      <w:r>
        <w:rPr>
          <w:rStyle w:val="20"/>
          <w:rFonts w:hint="eastAsia" w:ascii="宋体" w:hAnsi="宋体" w:eastAsia="宋体" w:cs="宋体"/>
          <w:spacing w:val="8"/>
          <w:sz w:val="21"/>
          <w:szCs w:val="21"/>
        </w:rPr>
        <w:footnoteReference w:id="1360"/>
      </w:r>
    </w:p>
    <w:p w14:paraId="62517A5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第三,在世界市场上通过不平等贸易、商品倾销等方式</w:t>
      </w:r>
      <w:r>
        <w:rPr>
          <w:rFonts w:hint="eastAsia" w:ascii="宋体" w:hAnsi="宋体" w:eastAsia="宋体" w:cs="宋体"/>
          <w:spacing w:val="20"/>
          <w:sz w:val="21"/>
          <w:szCs w:val="21"/>
        </w:rPr>
        <w:t>吸血其他国家财富。发达</w:t>
      </w:r>
      <w:r>
        <w:rPr>
          <w:rFonts w:hint="eastAsia" w:ascii="宋体" w:hAnsi="宋体" w:eastAsia="宋体" w:cs="宋体"/>
          <w:spacing w:val="14"/>
          <w:sz w:val="21"/>
          <w:szCs w:val="21"/>
        </w:rPr>
        <w:t>资本主义国家在逐步构建其霸权地位之后,通过商品倾销、发动贸易战、出口工业品、</w:t>
      </w:r>
      <w:r>
        <w:rPr>
          <w:rFonts w:hint="eastAsia" w:ascii="宋体" w:hAnsi="宋体" w:eastAsia="宋体" w:cs="宋体"/>
          <w:spacing w:val="20"/>
          <w:sz w:val="21"/>
          <w:szCs w:val="21"/>
        </w:rPr>
        <w:t>形成剪刀差等方式,将过剩商品输出到其他国家,尤其是落后</w:t>
      </w:r>
      <w:r>
        <w:rPr>
          <w:rFonts w:hint="eastAsia" w:ascii="宋体" w:hAnsi="宋体" w:eastAsia="宋体" w:cs="宋体"/>
          <w:spacing w:val="19"/>
          <w:sz w:val="21"/>
          <w:szCs w:val="21"/>
        </w:rPr>
        <w:t>国家,以此将经济危机</w:t>
      </w:r>
      <w:r>
        <w:rPr>
          <w:rFonts w:hint="eastAsia" w:ascii="宋体" w:hAnsi="宋体" w:eastAsia="宋体" w:cs="宋体"/>
          <w:spacing w:val="4"/>
          <w:sz w:val="21"/>
          <w:szCs w:val="21"/>
        </w:rPr>
        <w:t>转嫁给其他国家,规避自身风险,也从中获取大量收益。拉美国家</w:t>
      </w:r>
      <w:r>
        <w:rPr>
          <w:rFonts w:hint="eastAsia" w:ascii="宋体" w:hAnsi="宋体" w:eastAsia="宋体" w:cs="宋体"/>
          <w:spacing w:val="3"/>
          <w:sz w:val="21"/>
          <w:szCs w:val="21"/>
        </w:rPr>
        <w:t>、非洲许多国家在</w:t>
      </w:r>
      <w:r>
        <w:rPr>
          <w:rFonts w:hint="eastAsia" w:ascii="宋体" w:hAnsi="宋体" w:eastAsia="宋体" w:cs="宋体"/>
          <w:spacing w:val="22"/>
          <w:sz w:val="21"/>
          <w:szCs w:val="21"/>
        </w:rPr>
        <w:t>发展历程中,都曾受过此类不平等贸易的盘剥</w:t>
      </w:r>
      <w:r>
        <w:rPr>
          <w:rFonts w:hint="eastAsia" w:ascii="宋体" w:hAnsi="宋体" w:eastAsia="宋体" w:cs="宋体"/>
          <w:spacing w:val="21"/>
          <w:sz w:val="21"/>
          <w:szCs w:val="21"/>
        </w:rPr>
        <w:t>,造成了本国经济的剧烈波动和社会动</w:t>
      </w:r>
      <w:r>
        <w:rPr>
          <w:rFonts w:hint="eastAsia" w:ascii="宋体" w:hAnsi="宋体" w:eastAsia="宋体" w:cs="宋体"/>
          <w:spacing w:val="18"/>
          <w:sz w:val="21"/>
          <w:szCs w:val="21"/>
        </w:rPr>
        <w:t>荡以及社会财富的大量流失。由此可见,</w:t>
      </w:r>
      <w:r>
        <w:rPr>
          <w:rFonts w:hint="eastAsia" w:ascii="宋体" w:hAnsi="宋体" w:eastAsia="宋体" w:cs="宋体"/>
          <w:spacing w:val="17"/>
          <w:sz w:val="21"/>
          <w:szCs w:val="21"/>
        </w:rPr>
        <w:t>西方现代化是以资本为中心而开展的现代化,</w:t>
      </w:r>
      <w:r>
        <w:rPr>
          <w:rFonts w:hint="eastAsia" w:ascii="宋体" w:hAnsi="宋体" w:eastAsia="宋体" w:cs="宋体"/>
          <w:spacing w:val="18"/>
          <w:sz w:val="21"/>
          <w:szCs w:val="21"/>
        </w:rPr>
        <w:t>其通过世界市场的不平等贸易等给其他国家也带去了巨大的灾难。</w:t>
      </w:r>
    </w:p>
    <w:p w14:paraId="4332514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rPr>
          <w:rFonts w:hint="eastAsia" w:ascii="宋体" w:hAnsi="宋体" w:eastAsia="宋体" w:cs="宋体"/>
          <w:sz w:val="21"/>
          <w:szCs w:val="21"/>
        </w:rPr>
      </w:pPr>
      <w:r>
        <w:rPr>
          <w:rFonts w:hint="eastAsia" w:ascii="宋体" w:hAnsi="宋体" w:eastAsia="宋体" w:cs="宋体"/>
          <w:spacing w:val="1"/>
          <w:sz w:val="21"/>
          <w:szCs w:val="21"/>
        </w:rPr>
        <w:t>第四,打着“援助”旗号输出过剩资本和落后产能等方式继续掠夺他国财富。为</w:t>
      </w:r>
      <w:r>
        <w:rPr>
          <w:rFonts w:hint="eastAsia" w:ascii="宋体" w:hAnsi="宋体" w:eastAsia="宋体" w:cs="宋体"/>
          <w:spacing w:val="23"/>
          <w:sz w:val="21"/>
          <w:szCs w:val="21"/>
        </w:rPr>
        <w:t>了继续争夺资源和利润,西方发达资本主义国家在经过自相残</w:t>
      </w:r>
      <w:r>
        <w:rPr>
          <w:rFonts w:hint="eastAsia" w:ascii="宋体" w:hAnsi="宋体" w:eastAsia="宋体" w:cs="宋体"/>
          <w:spacing w:val="22"/>
          <w:sz w:val="21"/>
          <w:szCs w:val="21"/>
        </w:rPr>
        <w:t>杀的两次世界大战后开始改换策略,采取了新殖民主义的策略继续劫掠世界。伴</w:t>
      </w:r>
      <w:r>
        <w:rPr>
          <w:rFonts w:hint="eastAsia" w:ascii="宋体" w:hAnsi="宋体" w:eastAsia="宋体" w:cs="宋体"/>
          <w:spacing w:val="21"/>
          <w:sz w:val="21"/>
          <w:szCs w:val="21"/>
        </w:rPr>
        <w:t>随世界上第一个社会主义国</w:t>
      </w:r>
      <w:r>
        <w:rPr>
          <w:rFonts w:hint="eastAsia" w:ascii="宋体" w:hAnsi="宋体" w:eastAsia="宋体" w:cs="宋体"/>
          <w:spacing w:val="20"/>
          <w:sz w:val="21"/>
          <w:szCs w:val="21"/>
        </w:rPr>
        <w:t>家苏联的崛起和其他社会主义国家的纷纷建立</w:t>
      </w:r>
      <w:r>
        <w:rPr>
          <w:rFonts w:hint="eastAsia" w:ascii="宋体" w:hAnsi="宋体" w:eastAsia="宋体" w:cs="宋体"/>
          <w:spacing w:val="19"/>
          <w:sz w:val="21"/>
          <w:szCs w:val="21"/>
        </w:rPr>
        <w:t>,世界上维护世界和平的力量逐步增强,旧殖民体系逐步瓦解,殖民地纷纷宣布独立。然而,资本主义国家资本追逐利润的本</w:t>
      </w:r>
      <w:r>
        <w:rPr>
          <w:rFonts w:hint="eastAsia" w:ascii="宋体" w:hAnsi="宋体" w:eastAsia="宋体" w:cs="宋体"/>
          <w:spacing w:val="23"/>
          <w:sz w:val="21"/>
          <w:szCs w:val="21"/>
        </w:rPr>
        <w:t>性并没有改变。西方发达资本主义国家通过更为隐秘的新殖民主义手</w:t>
      </w:r>
      <w:r>
        <w:rPr>
          <w:rFonts w:hint="eastAsia" w:ascii="宋体" w:hAnsi="宋体" w:eastAsia="宋体" w:cs="宋体"/>
          <w:spacing w:val="22"/>
          <w:sz w:val="21"/>
          <w:szCs w:val="21"/>
        </w:rPr>
        <w:t>段来压榨其他国</w:t>
      </w:r>
      <w:r>
        <w:rPr>
          <w:rFonts w:hint="eastAsia" w:ascii="宋体" w:hAnsi="宋体" w:eastAsia="宋体" w:cs="宋体"/>
          <w:spacing w:val="21"/>
          <w:sz w:val="21"/>
          <w:szCs w:val="21"/>
        </w:rPr>
        <w:t>家。一方面,它们打着对外援助的旗号将本国过</w:t>
      </w:r>
      <w:r>
        <w:rPr>
          <w:rFonts w:hint="eastAsia" w:ascii="宋体" w:hAnsi="宋体" w:eastAsia="宋体" w:cs="宋体"/>
          <w:spacing w:val="20"/>
          <w:sz w:val="21"/>
          <w:szCs w:val="21"/>
        </w:rPr>
        <w:t>剩资本和被淘汰的高能耗、高污染产</w:t>
      </w:r>
      <w:r>
        <w:rPr>
          <w:rFonts w:hint="eastAsia" w:ascii="宋体" w:hAnsi="宋体" w:eastAsia="宋体" w:cs="宋体"/>
          <w:spacing w:val="13"/>
          <w:sz w:val="21"/>
          <w:szCs w:val="21"/>
        </w:rPr>
        <w:t>业高价转移到发展中国家,甚至大量出口</w:t>
      </w:r>
      <w:r>
        <w:rPr>
          <w:rFonts w:hint="eastAsia" w:ascii="宋体" w:hAnsi="宋体" w:eastAsia="宋体" w:cs="宋体"/>
          <w:spacing w:val="12"/>
          <w:sz w:val="21"/>
          <w:szCs w:val="21"/>
        </w:rPr>
        <w:t>“洋垃圾”,以牺牲他国环境为代价来维持自</w:t>
      </w:r>
      <w:r>
        <w:rPr>
          <w:rFonts w:hint="eastAsia" w:ascii="宋体" w:hAnsi="宋体" w:eastAsia="宋体" w:cs="宋体"/>
          <w:spacing w:val="20"/>
          <w:sz w:val="21"/>
          <w:szCs w:val="21"/>
        </w:rPr>
        <w:t>身利益;另一方面,它们通过把控在国际事务中的话语权和主导权,维持不公正的国</w:t>
      </w:r>
      <w:r>
        <w:rPr>
          <w:rFonts w:hint="eastAsia" w:ascii="宋体" w:hAnsi="宋体" w:eastAsia="宋体" w:cs="宋体"/>
          <w:spacing w:val="21"/>
          <w:sz w:val="21"/>
          <w:szCs w:val="21"/>
        </w:rPr>
        <w:t>际政治、经济秩序来占有全球化进程中的大部分利益。它们还通过各种方式挑起国际</w:t>
      </w:r>
      <w:r>
        <w:rPr>
          <w:rFonts w:hint="eastAsia" w:ascii="宋体" w:hAnsi="宋体" w:eastAsia="宋体" w:cs="宋体"/>
          <w:spacing w:val="12"/>
          <w:sz w:val="21"/>
          <w:szCs w:val="21"/>
        </w:rPr>
        <w:t>争端、导致局部战争,以坐收渔翁之利,大发战争财。</w:t>
      </w:r>
    </w:p>
    <w:p w14:paraId="294368A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由此可见,西方现代化的历史就是一部掠夺的历史,是一种带有剥夺性质的</w:t>
      </w:r>
      <w:r>
        <w:rPr>
          <w:rFonts w:hint="eastAsia" w:ascii="宋体" w:hAnsi="宋体" w:eastAsia="宋体" w:cs="宋体"/>
          <w:spacing w:val="20"/>
          <w:sz w:val="21"/>
          <w:szCs w:val="21"/>
        </w:rPr>
        <w:t>现代</w:t>
      </w:r>
      <w:r>
        <w:rPr>
          <w:rFonts w:hint="eastAsia" w:ascii="宋体" w:hAnsi="宋体" w:eastAsia="宋体" w:cs="宋体"/>
          <w:spacing w:val="22"/>
          <w:sz w:val="21"/>
          <w:szCs w:val="21"/>
        </w:rPr>
        <w:t>化。其现代化过程极大依赖于从掠夺中获取资金支持来实现</w:t>
      </w:r>
      <w:r>
        <w:rPr>
          <w:rFonts w:hint="eastAsia" w:ascii="宋体" w:hAnsi="宋体" w:eastAsia="宋体" w:cs="宋体"/>
          <w:spacing w:val="21"/>
          <w:sz w:val="21"/>
          <w:szCs w:val="21"/>
        </w:rPr>
        <w:t>现代化。从资本的原始积</w:t>
      </w:r>
      <w:r>
        <w:rPr>
          <w:rFonts w:hint="eastAsia" w:ascii="宋体" w:hAnsi="宋体" w:eastAsia="宋体" w:cs="宋体"/>
          <w:spacing w:val="23"/>
          <w:sz w:val="21"/>
          <w:szCs w:val="21"/>
        </w:rPr>
        <w:t>累再到工业革命之后通过强大的军事力量来进行</w:t>
      </w:r>
      <w:r>
        <w:rPr>
          <w:rFonts w:hint="eastAsia" w:ascii="宋体" w:hAnsi="宋体" w:eastAsia="宋体" w:cs="宋体"/>
          <w:spacing w:val="22"/>
          <w:sz w:val="21"/>
          <w:szCs w:val="21"/>
        </w:rPr>
        <w:t>殖民劫掠,直至二战后用更隐秘的剥</w:t>
      </w:r>
      <w:r>
        <w:rPr>
          <w:rFonts w:hint="eastAsia" w:ascii="宋体" w:hAnsi="宋体" w:eastAsia="宋体" w:cs="宋体"/>
          <w:spacing w:val="17"/>
          <w:sz w:val="21"/>
          <w:szCs w:val="21"/>
        </w:rPr>
        <w:t>削手段来剥夺他国财富,无一不体现了这种现代化的剥夺性特征。</w:t>
      </w:r>
    </w:p>
    <w:p w14:paraId="2C41FB1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rPr>
          <w:rFonts w:hint="eastAsia" w:ascii="宋体" w:hAnsi="宋体" w:eastAsia="宋体" w:cs="宋体"/>
          <w:b/>
          <w:bCs/>
          <w:sz w:val="21"/>
          <w:szCs w:val="21"/>
        </w:rPr>
      </w:pPr>
      <w:r>
        <w:rPr>
          <w:rFonts w:hint="eastAsia" w:ascii="宋体" w:hAnsi="宋体" w:eastAsia="宋体" w:cs="宋体"/>
          <w:b/>
          <w:bCs/>
          <w:spacing w:val="18"/>
          <w:sz w:val="21"/>
          <w:szCs w:val="21"/>
        </w:rPr>
        <w:t>(三)发展结果上的非均衡性</w:t>
      </w:r>
    </w:p>
    <w:p w14:paraId="764611A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西方现代化发展模式上的非系统性、发展路径上的</w:t>
      </w:r>
      <w:r>
        <w:rPr>
          <w:rFonts w:hint="eastAsia" w:ascii="宋体" w:hAnsi="宋体" w:eastAsia="宋体" w:cs="宋体"/>
          <w:spacing w:val="21"/>
          <w:sz w:val="21"/>
          <w:szCs w:val="21"/>
        </w:rPr>
        <w:t>剥夺性,在其发展结果上最终</w:t>
      </w:r>
      <w:r>
        <w:rPr>
          <w:rFonts w:hint="eastAsia" w:ascii="宋体" w:hAnsi="宋体" w:eastAsia="宋体" w:cs="宋体"/>
          <w:spacing w:val="19"/>
          <w:sz w:val="21"/>
          <w:szCs w:val="21"/>
        </w:rPr>
        <w:t>表现为一种非均衡性,并主要体现在三个方面,即收入与财富分配上的非均衡性、区</w:t>
      </w:r>
    </w:p>
    <w:p w14:paraId="223B71D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域发展上的非均衡性以及生态环境上的非均衡性。</w:t>
      </w:r>
    </w:p>
    <w:p w14:paraId="5D94DEC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718656" behindDoc="0" locked="0" layoutInCell="1" allowOverlap="1">
                <wp:simplePos x="0" y="0"/>
                <wp:positionH relativeFrom="column">
                  <wp:posOffset>650875</wp:posOffset>
                </wp:positionH>
                <wp:positionV relativeFrom="paragraph">
                  <wp:posOffset>5975985</wp:posOffset>
                </wp:positionV>
                <wp:extent cx="1259840" cy="4445"/>
                <wp:effectExtent l="0" t="0" r="0" b="0"/>
                <wp:wrapNone/>
                <wp:docPr id="462" name="任意多边形 462"/>
                <wp:cNvGraphicFramePr/>
                <a:graphic xmlns:a="http://schemas.openxmlformats.org/drawingml/2006/main">
                  <a:graphicData uri="http://schemas.microsoft.com/office/word/2010/wordprocessingShape">
                    <wps:wsp>
                      <wps:cNvSpPr/>
                      <wps:spPr>
                        <a:xfrm>
                          <a:off x="0" y="0"/>
                          <a:ext cx="1259840" cy="4445"/>
                        </a:xfrm>
                        <a:custGeom>
                          <a:avLst/>
                          <a:gdLst/>
                          <a:ahLst/>
                          <a:cxnLst/>
                          <a:pathLst>
                            <a:path w="1983" h="6">
                              <a:moveTo>
                                <a:pt x="0" y="3"/>
                              </a:moveTo>
                              <a:lnTo>
                                <a:pt x="1983" y="3"/>
                              </a:lnTo>
                            </a:path>
                          </a:pathLst>
                        </a:custGeom>
                        <a:noFill/>
                        <a:ln w="4191" cap="flat" cmpd="sng">
                          <a:solidFill>
                            <a:srgbClr val="231F20"/>
                          </a:solidFill>
                          <a:prstDash val="solid"/>
                          <a:miter lim="1000000"/>
                          <a:headEnd type="none" w="med" len="med"/>
                          <a:tailEnd type="none" w="med" len="med"/>
                        </a:ln>
                      </wps:spPr>
                      <wps:bodyPr upright="1"/>
                    </wps:wsp>
                  </a:graphicData>
                </a:graphic>
              </wp:anchor>
            </w:drawing>
          </mc:Choice>
          <mc:Fallback>
            <w:pict>
              <v:shape id="_x0000_s1026" o:spid="_x0000_s1026" o:spt="100" style="position:absolute;left:0pt;margin-left:51.25pt;margin-top:470.55pt;height:0.35pt;width:99.2pt;z-index:251718656;mso-width-relative:page;mso-height-relative:page;" filled="f" stroked="t" coordsize="1983,6" o:gfxdata="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OYK1i2AAAAAsBAAAPAAAAAAAAAAEA&#10;IAAAACIAAABkcnMvZG93bnJldi54bWxQSwECFAAUAAAACACHTuJAmnLSkUgCAACnBAAADgAAAAAA&#10;AAABACAAAAAnAQAAZHJzL2Uyb0RvYy54bWxQSwUGAAAAAAYABgBZAQAA4QUAAAAA&#10;" path="m0,3l1983,3e">
                <v:fill on="f" focussize="0,0"/>
                <v:stroke weight="0.33pt" color="#231F20" miterlimit="10" joinstyle="miter"/>
                <v:imagedata o:title=""/>
                <o:lock v:ext="edit" aspectratio="f"/>
              </v:shape>
            </w:pict>
          </mc:Fallback>
        </mc:AlternateContent>
      </w:r>
      <w:r>
        <w:rPr>
          <w:rFonts w:hint="eastAsia" w:ascii="宋体" w:hAnsi="宋体" w:eastAsia="宋体" w:cs="宋体"/>
          <w:spacing w:val="11"/>
          <w:sz w:val="21"/>
          <w:szCs w:val="21"/>
        </w:rPr>
        <w:t>第一,收入与财富分配上的非均衡性,即只造就了“少数人享有的现代化”。马克</w:t>
      </w:r>
      <w:r>
        <w:rPr>
          <w:rFonts w:hint="eastAsia" w:ascii="宋体" w:hAnsi="宋体" w:eastAsia="宋体" w:cs="宋体"/>
          <w:spacing w:val="14"/>
          <w:sz w:val="21"/>
          <w:szCs w:val="21"/>
        </w:rPr>
        <w:t>思曾深刻指出,在资本主义制度下,“社会的财富即执行职能的资本越大,它的增长的</w:t>
      </w:r>
      <w:r>
        <w:rPr>
          <w:rFonts w:hint="eastAsia" w:ascii="宋体" w:hAnsi="宋体" w:eastAsia="宋体" w:cs="宋体"/>
          <w:spacing w:val="22"/>
          <w:sz w:val="21"/>
          <w:szCs w:val="21"/>
        </w:rPr>
        <w:t>规模和能力越大,从而无产阶级的绝对数量和他们的</w:t>
      </w:r>
      <w:r>
        <w:rPr>
          <w:rFonts w:hint="eastAsia" w:ascii="宋体" w:hAnsi="宋体" w:eastAsia="宋体" w:cs="宋体"/>
          <w:spacing w:val="21"/>
          <w:sz w:val="21"/>
          <w:szCs w:val="21"/>
        </w:rPr>
        <w:t>劳动生产力越大,产业后备军也</w:t>
      </w:r>
      <w:r>
        <w:rPr>
          <w:rFonts w:hint="eastAsia" w:ascii="宋体" w:hAnsi="宋体" w:eastAsia="宋体" w:cs="宋体"/>
          <w:spacing w:val="17"/>
          <w:sz w:val="21"/>
          <w:szCs w:val="21"/>
        </w:rPr>
        <w:t>就越大。可供支配的劳动力同资本的膨胀力</w:t>
      </w:r>
      <w:r>
        <w:rPr>
          <w:rFonts w:hint="eastAsia" w:ascii="宋体" w:hAnsi="宋体" w:eastAsia="宋体" w:cs="宋体"/>
          <w:spacing w:val="16"/>
          <w:sz w:val="21"/>
          <w:szCs w:val="21"/>
        </w:rPr>
        <w:t>一样,是由同一些原因发展起来的。因此,</w:t>
      </w:r>
      <w:r>
        <w:rPr>
          <w:rFonts w:hint="eastAsia" w:ascii="宋体" w:hAnsi="宋体" w:eastAsia="宋体" w:cs="宋体"/>
          <w:spacing w:val="22"/>
          <w:sz w:val="21"/>
          <w:szCs w:val="21"/>
        </w:rPr>
        <w:t>产业后备军的相对量和财富的力量一同增长</w:t>
      </w:r>
      <w:r>
        <w:rPr>
          <w:rFonts w:hint="eastAsia" w:ascii="宋体" w:hAnsi="宋体" w:eastAsia="宋体" w:cs="宋体"/>
          <w:spacing w:val="21"/>
          <w:sz w:val="21"/>
          <w:szCs w:val="21"/>
        </w:rPr>
        <w:t>。但是同现役劳动军相比,这种后备军越</w:t>
      </w:r>
      <w:r>
        <w:rPr>
          <w:rFonts w:hint="eastAsia" w:ascii="宋体" w:hAnsi="宋体" w:eastAsia="宋体" w:cs="宋体"/>
          <w:spacing w:val="4"/>
          <w:sz w:val="21"/>
          <w:szCs w:val="21"/>
        </w:rPr>
        <w:t>大,常备的过剩人口也就越多,他们的贫困同</w:t>
      </w:r>
      <w:r>
        <w:rPr>
          <w:rFonts w:hint="eastAsia" w:ascii="宋体" w:hAnsi="宋体" w:eastAsia="宋体" w:cs="宋体"/>
          <w:spacing w:val="3"/>
          <w:sz w:val="21"/>
          <w:szCs w:val="21"/>
        </w:rPr>
        <w:t>他们所受的劳动折磨成反比。最后,工</w:t>
      </w:r>
      <w:r>
        <w:rPr>
          <w:rFonts w:hint="eastAsia" w:ascii="宋体" w:hAnsi="宋体" w:eastAsia="宋体" w:cs="宋体"/>
          <w:spacing w:val="14"/>
          <w:sz w:val="21"/>
          <w:szCs w:val="21"/>
        </w:rPr>
        <w:t>人阶级中贫苦阶层和产业后备军越大,官方认为需要救济的贫民也就越多”。</w:t>
      </w:r>
      <w:r>
        <w:rPr>
          <w:rStyle w:val="20"/>
          <w:rFonts w:hint="eastAsia" w:ascii="宋体" w:hAnsi="宋体" w:eastAsia="宋体" w:cs="宋体"/>
          <w:spacing w:val="14"/>
          <w:sz w:val="21"/>
          <w:szCs w:val="21"/>
        </w:rPr>
        <w:footnoteReference w:id="1361"/>
      </w:r>
      <w:r>
        <w:rPr>
          <w:rFonts w:hint="eastAsia" w:ascii="宋体" w:hAnsi="宋体" w:eastAsia="宋体" w:cs="宋体"/>
          <w:spacing w:val="14"/>
          <w:sz w:val="21"/>
          <w:szCs w:val="21"/>
        </w:rPr>
        <w:t>也就是</w:t>
      </w:r>
      <w:r>
        <w:rPr>
          <w:rFonts w:hint="eastAsia" w:ascii="宋体" w:hAnsi="宋体" w:eastAsia="宋体" w:cs="宋体"/>
          <w:spacing w:val="21"/>
          <w:sz w:val="21"/>
          <w:szCs w:val="21"/>
        </w:rPr>
        <w:t>说,在资本的膨胀和生产的无限扩张中,相对过</w:t>
      </w:r>
      <w:r>
        <w:rPr>
          <w:rFonts w:hint="eastAsia" w:ascii="宋体" w:hAnsi="宋体" w:eastAsia="宋体" w:cs="宋体"/>
          <w:spacing w:val="20"/>
          <w:sz w:val="21"/>
          <w:szCs w:val="21"/>
        </w:rPr>
        <w:t>剩人口不断增加、工人阶级也越来越贫困,这是由资本主义积累的绝对的、一般的规律所决定的。西方发达资本主义国家</w:t>
      </w:r>
      <w:r>
        <w:rPr>
          <w:rFonts w:hint="eastAsia" w:ascii="宋体" w:hAnsi="宋体" w:eastAsia="宋体" w:cs="宋体"/>
          <w:spacing w:val="23"/>
          <w:sz w:val="21"/>
          <w:szCs w:val="21"/>
        </w:rPr>
        <w:t>的发展历程充分展现了这一结果。尽管西方现代化通过科技创新和工</w:t>
      </w:r>
      <w:r>
        <w:rPr>
          <w:rFonts w:hint="eastAsia" w:ascii="宋体" w:hAnsi="宋体" w:eastAsia="宋体" w:cs="宋体"/>
          <w:spacing w:val="22"/>
          <w:sz w:val="21"/>
          <w:szCs w:val="21"/>
        </w:rPr>
        <w:t>业革命等造就了</w:t>
      </w:r>
      <w:r>
        <w:rPr>
          <w:rFonts w:hint="eastAsia" w:ascii="宋体" w:hAnsi="宋体" w:eastAsia="宋体" w:cs="宋体"/>
          <w:spacing w:val="21"/>
          <w:sz w:val="21"/>
          <w:szCs w:val="21"/>
        </w:rPr>
        <w:t>人类历史上空前规模和高质量的物质财富,但是却并不是人人都能够享有,甚至在收</w:t>
      </w:r>
      <w:r>
        <w:rPr>
          <w:rFonts w:hint="eastAsia" w:ascii="宋体" w:hAnsi="宋体" w:eastAsia="宋体" w:cs="宋体"/>
          <w:spacing w:val="18"/>
          <w:sz w:val="21"/>
          <w:szCs w:val="21"/>
        </w:rPr>
        <w:t>入和财富分配上出现了严重的两极分化。例如,从</w:t>
      </w:r>
      <w:r>
        <w:rPr>
          <w:rFonts w:hint="eastAsia" w:ascii="宋体" w:hAnsi="宋体" w:eastAsia="宋体" w:cs="宋体"/>
          <w:spacing w:val="18"/>
          <w:position w:val="-2"/>
          <w:sz w:val="21"/>
          <w:szCs w:val="21"/>
        </w:rPr>
        <w:t>20</w:t>
      </w:r>
      <w:r>
        <w:rPr>
          <w:rFonts w:hint="eastAsia" w:ascii="宋体" w:hAnsi="宋体" w:eastAsia="宋体" w:cs="宋体"/>
          <w:spacing w:val="17"/>
          <w:sz w:val="21"/>
          <w:szCs w:val="21"/>
        </w:rPr>
        <w:t>世纪</w:t>
      </w:r>
      <w:r>
        <w:rPr>
          <w:rFonts w:hint="eastAsia" w:ascii="宋体" w:hAnsi="宋体" w:eastAsia="宋体" w:cs="宋体"/>
          <w:spacing w:val="17"/>
          <w:position w:val="-2"/>
          <w:sz w:val="21"/>
          <w:szCs w:val="21"/>
        </w:rPr>
        <w:t>60</w:t>
      </w:r>
      <w:r>
        <w:rPr>
          <w:rFonts w:hint="eastAsia" w:ascii="宋体" w:hAnsi="宋体" w:eastAsia="宋体" w:cs="宋体"/>
          <w:spacing w:val="17"/>
          <w:sz w:val="21"/>
          <w:szCs w:val="21"/>
        </w:rPr>
        <w:t>年代以来,西方国家顶</w:t>
      </w:r>
      <w:r>
        <w:rPr>
          <w:rFonts w:hint="eastAsia" w:ascii="宋体" w:hAnsi="宋体" w:eastAsia="宋体" w:cs="宋体"/>
          <w:spacing w:val="15"/>
          <w:sz w:val="21"/>
          <w:szCs w:val="21"/>
        </w:rPr>
        <w:t>层收入群体占比显著上升</w:t>
      </w:r>
      <w:r>
        <w:rPr>
          <w:rFonts w:hint="eastAsia" w:ascii="宋体" w:hAnsi="宋体" w:eastAsia="宋体" w:cs="宋体"/>
          <w:spacing w:val="15"/>
          <w:position w:val="1"/>
          <w:sz w:val="21"/>
          <w:szCs w:val="21"/>
        </w:rPr>
        <w:t>,</w:t>
      </w:r>
      <w:r>
        <w:rPr>
          <w:rFonts w:hint="eastAsia" w:ascii="宋体" w:hAnsi="宋体" w:eastAsia="宋体" w:cs="宋体"/>
          <w:spacing w:val="15"/>
          <w:sz w:val="21"/>
          <w:szCs w:val="21"/>
        </w:rPr>
        <w:t>美国前10%人群的收入占比从</w:t>
      </w:r>
      <w:r>
        <w:rPr>
          <w:rFonts w:hint="eastAsia" w:ascii="宋体" w:hAnsi="宋体" w:eastAsia="宋体" w:cs="宋体"/>
          <w:spacing w:val="15"/>
          <w:position w:val="-1"/>
          <w:sz w:val="21"/>
          <w:szCs w:val="21"/>
        </w:rPr>
        <w:t>1970</w:t>
      </w:r>
      <w:r>
        <w:rPr>
          <w:rFonts w:hint="eastAsia" w:ascii="宋体" w:hAnsi="宋体" w:eastAsia="宋体" w:cs="宋体"/>
          <w:spacing w:val="14"/>
          <w:sz w:val="21"/>
          <w:szCs w:val="21"/>
        </w:rPr>
        <w:t>年的</w:t>
      </w:r>
      <w:r>
        <w:rPr>
          <w:rFonts w:hint="eastAsia" w:ascii="宋体" w:hAnsi="宋体" w:eastAsia="宋体" w:cs="宋体"/>
          <w:spacing w:val="14"/>
          <w:position w:val="-1"/>
          <w:sz w:val="21"/>
          <w:szCs w:val="21"/>
        </w:rPr>
        <w:t>33.</w:t>
      </w:r>
      <w:r>
        <w:rPr>
          <w:rFonts w:hint="eastAsia" w:ascii="宋体" w:hAnsi="宋体" w:eastAsia="宋体" w:cs="宋体"/>
          <w:spacing w:val="14"/>
          <w:sz w:val="21"/>
          <w:szCs w:val="21"/>
        </w:rPr>
        <w:t>6%升至</w:t>
      </w:r>
      <w:r>
        <w:rPr>
          <w:rFonts w:hint="eastAsia" w:ascii="宋体" w:hAnsi="宋体" w:eastAsia="宋体" w:cs="宋体"/>
          <w:spacing w:val="14"/>
          <w:position w:val="-1"/>
          <w:sz w:val="21"/>
          <w:szCs w:val="21"/>
        </w:rPr>
        <w:t>2023</w:t>
      </w:r>
      <w:r>
        <w:rPr>
          <w:rFonts w:hint="eastAsia" w:ascii="宋体" w:hAnsi="宋体" w:eastAsia="宋体" w:cs="宋体"/>
          <w:spacing w:val="10"/>
          <w:sz w:val="21"/>
          <w:szCs w:val="21"/>
        </w:rPr>
        <w:t>年的</w:t>
      </w:r>
      <w:r>
        <w:rPr>
          <w:rFonts w:hint="eastAsia" w:ascii="宋体" w:hAnsi="宋体" w:eastAsia="宋体" w:cs="宋体"/>
          <w:spacing w:val="10"/>
          <w:position w:val="-1"/>
          <w:sz w:val="21"/>
          <w:szCs w:val="21"/>
        </w:rPr>
        <w:t>46.8%</w:t>
      </w:r>
      <w:r>
        <w:rPr>
          <w:rFonts w:hint="eastAsia" w:ascii="宋体" w:hAnsi="宋体" w:eastAsia="宋体" w:cs="宋体"/>
          <w:spacing w:val="10"/>
          <w:position w:val="1"/>
          <w:sz w:val="21"/>
          <w:szCs w:val="21"/>
        </w:rPr>
        <w:t>,</w:t>
      </w:r>
      <w:r>
        <w:rPr>
          <w:rFonts w:hint="eastAsia" w:ascii="宋体" w:hAnsi="宋体" w:eastAsia="宋体" w:cs="宋体"/>
          <w:spacing w:val="10"/>
          <w:sz w:val="21"/>
          <w:szCs w:val="21"/>
        </w:rPr>
        <w:t>前1%人群的收入占比从</w:t>
      </w:r>
      <w:r>
        <w:rPr>
          <w:rFonts w:hint="eastAsia" w:ascii="宋体" w:hAnsi="宋体" w:eastAsia="宋体" w:cs="宋体"/>
          <w:spacing w:val="10"/>
          <w:position w:val="-1"/>
          <w:sz w:val="21"/>
          <w:szCs w:val="21"/>
        </w:rPr>
        <w:t>1970</w:t>
      </w:r>
      <w:r>
        <w:rPr>
          <w:rFonts w:hint="eastAsia" w:ascii="宋体" w:hAnsi="宋体" w:eastAsia="宋体" w:cs="宋体"/>
          <w:spacing w:val="10"/>
          <w:sz w:val="21"/>
          <w:szCs w:val="21"/>
        </w:rPr>
        <w:t>年的约11%升至</w:t>
      </w:r>
      <w:r>
        <w:rPr>
          <w:rFonts w:hint="eastAsia" w:ascii="宋体" w:hAnsi="宋体" w:eastAsia="宋体" w:cs="宋体"/>
          <w:spacing w:val="10"/>
          <w:position w:val="-1"/>
          <w:sz w:val="21"/>
          <w:szCs w:val="21"/>
        </w:rPr>
        <w:t>2023</w:t>
      </w:r>
      <w:r>
        <w:rPr>
          <w:rFonts w:hint="eastAsia" w:ascii="宋体" w:hAnsi="宋体" w:eastAsia="宋体" w:cs="宋体"/>
          <w:spacing w:val="10"/>
          <w:sz w:val="21"/>
          <w:szCs w:val="21"/>
        </w:rPr>
        <w:t>年的</w:t>
      </w:r>
      <w:r>
        <w:rPr>
          <w:rFonts w:hint="eastAsia" w:ascii="宋体" w:hAnsi="宋体" w:eastAsia="宋体" w:cs="宋体"/>
          <w:spacing w:val="10"/>
          <w:position w:val="-1"/>
          <w:sz w:val="21"/>
          <w:szCs w:val="21"/>
        </w:rPr>
        <w:t>20.7%</w:t>
      </w:r>
      <w:r>
        <w:rPr>
          <w:rFonts w:hint="eastAsia" w:ascii="宋体" w:hAnsi="宋体" w:eastAsia="宋体" w:cs="宋体"/>
          <w:spacing w:val="10"/>
          <w:position w:val="1"/>
          <w:sz w:val="21"/>
          <w:szCs w:val="21"/>
        </w:rPr>
        <w:t>。</w:t>
      </w:r>
      <w:r>
        <w:rPr>
          <w:rStyle w:val="20"/>
          <w:rFonts w:hint="eastAsia" w:ascii="宋体" w:hAnsi="宋体" w:eastAsia="宋体" w:cs="宋体"/>
          <w:spacing w:val="10"/>
          <w:position w:val="1"/>
          <w:sz w:val="21"/>
          <w:szCs w:val="21"/>
        </w:rPr>
        <w:footnoteReference w:id="1362"/>
      </w:r>
      <w:r>
        <w:rPr>
          <w:rFonts w:hint="eastAsia" w:ascii="宋体" w:hAnsi="宋体" w:eastAsia="宋体" w:cs="宋体"/>
          <w:spacing w:val="10"/>
          <w:sz w:val="21"/>
          <w:szCs w:val="21"/>
        </w:rPr>
        <w:t>而</w:t>
      </w:r>
      <w:r>
        <w:rPr>
          <w:rFonts w:hint="eastAsia" w:ascii="宋体" w:hAnsi="宋体" w:eastAsia="宋体" w:cs="宋体"/>
          <w:spacing w:val="17"/>
          <w:sz w:val="21"/>
          <w:szCs w:val="21"/>
        </w:rPr>
        <w:t>且这不是个别现象,而是在经合组织</w:t>
      </w:r>
      <w:r>
        <w:rPr>
          <w:rFonts w:hint="eastAsia" w:ascii="宋体" w:hAnsi="宋体" w:eastAsia="宋体" w:cs="宋体"/>
          <w:spacing w:val="17"/>
          <w:position w:val="-1"/>
          <w:sz w:val="21"/>
          <w:szCs w:val="21"/>
        </w:rPr>
        <w:t>(</w:t>
      </w:r>
      <w:r>
        <w:rPr>
          <w:rFonts w:hint="eastAsia" w:ascii="宋体" w:hAnsi="宋体" w:eastAsia="宋体" w:cs="宋体"/>
          <w:position w:val="-1"/>
          <w:sz w:val="21"/>
          <w:szCs w:val="21"/>
        </w:rPr>
        <w:t>OECD</w:t>
      </w:r>
      <w:r>
        <w:rPr>
          <w:rFonts w:hint="eastAsia" w:ascii="宋体" w:hAnsi="宋体" w:eastAsia="宋体" w:cs="宋体"/>
          <w:spacing w:val="17"/>
          <w:position w:val="-1"/>
          <w:sz w:val="21"/>
          <w:szCs w:val="21"/>
        </w:rPr>
        <w:t>)</w:t>
      </w:r>
      <w:r>
        <w:rPr>
          <w:rFonts w:hint="eastAsia" w:ascii="宋体" w:hAnsi="宋体" w:eastAsia="宋体" w:cs="宋体"/>
          <w:spacing w:val="17"/>
          <w:sz w:val="21"/>
          <w:szCs w:val="21"/>
        </w:rPr>
        <w:t>国家普遍呈现的趋势。收入差距的扩大进一步导致财富积累的分化,财富不平等呈现极端化特征,如美国前1%人</w:t>
      </w:r>
      <w:r>
        <w:rPr>
          <w:rFonts w:hint="eastAsia" w:ascii="宋体" w:hAnsi="宋体" w:eastAsia="宋体" w:cs="宋体"/>
          <w:spacing w:val="16"/>
          <w:sz w:val="21"/>
          <w:szCs w:val="21"/>
        </w:rPr>
        <w:t>群的财富占</w:t>
      </w:r>
      <w:r>
        <w:rPr>
          <w:rFonts w:hint="eastAsia" w:ascii="宋体" w:hAnsi="宋体" w:eastAsia="宋体" w:cs="宋体"/>
          <w:spacing w:val="12"/>
          <w:sz w:val="21"/>
          <w:szCs w:val="21"/>
        </w:rPr>
        <w:t>比从</w:t>
      </w:r>
      <w:r>
        <w:rPr>
          <w:rFonts w:hint="eastAsia" w:ascii="宋体" w:hAnsi="宋体" w:eastAsia="宋体" w:cs="宋体"/>
          <w:spacing w:val="12"/>
          <w:position w:val="-1"/>
          <w:sz w:val="21"/>
          <w:szCs w:val="21"/>
        </w:rPr>
        <w:t>1978</w:t>
      </w:r>
      <w:r>
        <w:rPr>
          <w:rFonts w:hint="eastAsia" w:ascii="宋体" w:hAnsi="宋体" w:eastAsia="宋体" w:cs="宋体"/>
          <w:spacing w:val="12"/>
          <w:sz w:val="21"/>
          <w:szCs w:val="21"/>
        </w:rPr>
        <w:t>的</w:t>
      </w:r>
      <w:r>
        <w:rPr>
          <w:rFonts w:hint="eastAsia" w:ascii="宋体" w:hAnsi="宋体" w:eastAsia="宋体" w:cs="宋体"/>
          <w:spacing w:val="12"/>
          <w:position w:val="-1"/>
          <w:sz w:val="21"/>
          <w:szCs w:val="21"/>
        </w:rPr>
        <w:t>21.</w:t>
      </w:r>
      <w:r>
        <w:rPr>
          <w:rFonts w:hint="eastAsia" w:ascii="宋体" w:hAnsi="宋体" w:eastAsia="宋体" w:cs="宋体"/>
          <w:spacing w:val="12"/>
          <w:sz w:val="21"/>
          <w:szCs w:val="21"/>
        </w:rPr>
        <w:t>8%上升到</w:t>
      </w:r>
      <w:r>
        <w:rPr>
          <w:rFonts w:hint="eastAsia" w:ascii="宋体" w:hAnsi="宋体" w:eastAsia="宋体" w:cs="宋体"/>
          <w:spacing w:val="12"/>
          <w:position w:val="-1"/>
          <w:sz w:val="21"/>
          <w:szCs w:val="21"/>
        </w:rPr>
        <w:t>2023</w:t>
      </w:r>
      <w:r>
        <w:rPr>
          <w:rFonts w:hint="eastAsia" w:ascii="宋体" w:hAnsi="宋体" w:eastAsia="宋体" w:cs="宋体"/>
          <w:spacing w:val="12"/>
          <w:sz w:val="21"/>
          <w:szCs w:val="21"/>
        </w:rPr>
        <w:t>年的</w:t>
      </w:r>
      <w:r>
        <w:rPr>
          <w:rFonts w:hint="eastAsia" w:ascii="宋体" w:hAnsi="宋体" w:eastAsia="宋体" w:cs="宋体"/>
          <w:spacing w:val="12"/>
          <w:position w:val="-1"/>
          <w:sz w:val="21"/>
          <w:szCs w:val="21"/>
        </w:rPr>
        <w:t>34.8%</w:t>
      </w:r>
      <w:r>
        <w:rPr>
          <w:rFonts w:hint="eastAsia" w:ascii="宋体" w:hAnsi="宋体" w:eastAsia="宋体" w:cs="宋体"/>
          <w:spacing w:val="12"/>
          <w:position w:val="1"/>
          <w:sz w:val="21"/>
          <w:szCs w:val="21"/>
        </w:rPr>
        <w:t>。</w:t>
      </w:r>
      <w:r>
        <w:rPr>
          <w:rStyle w:val="20"/>
          <w:rFonts w:hint="eastAsia" w:ascii="宋体" w:hAnsi="宋体" w:eastAsia="宋体" w:cs="宋体"/>
          <w:spacing w:val="12"/>
          <w:position w:val="4"/>
          <w:sz w:val="21"/>
          <w:szCs w:val="21"/>
        </w:rPr>
        <w:footnoteReference w:id="1363"/>
      </w:r>
      <w:r>
        <w:rPr>
          <w:rFonts w:hint="eastAsia" w:ascii="宋体" w:hAnsi="宋体" w:eastAsia="宋体" w:cs="宋体"/>
          <w:spacing w:val="12"/>
          <w:sz w:val="21"/>
          <w:szCs w:val="21"/>
        </w:rPr>
        <w:t>与之相对照</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底层群众的生存状况则</w:t>
      </w:r>
      <w:r>
        <w:rPr>
          <w:rFonts w:hint="eastAsia" w:ascii="宋体" w:hAnsi="宋体" w:eastAsia="宋体" w:cs="宋体"/>
          <w:spacing w:val="21"/>
          <w:sz w:val="21"/>
          <w:szCs w:val="21"/>
        </w:rPr>
        <w:t>不断恶化。在这些资本主义国家内部,以资本为中心的现代</w:t>
      </w:r>
      <w:r>
        <w:rPr>
          <w:rFonts w:hint="eastAsia" w:ascii="宋体" w:hAnsi="宋体" w:eastAsia="宋体" w:cs="宋体"/>
          <w:spacing w:val="20"/>
          <w:sz w:val="21"/>
          <w:szCs w:val="21"/>
        </w:rPr>
        <w:t>化模式使得持有巨额资本</w:t>
      </w:r>
      <w:r>
        <w:rPr>
          <w:rFonts w:hint="eastAsia" w:ascii="宋体" w:hAnsi="宋体" w:eastAsia="宋体" w:cs="宋体"/>
          <w:spacing w:val="18"/>
          <w:sz w:val="21"/>
          <w:szCs w:val="21"/>
        </w:rPr>
        <w:t>的少数人不断剥削不占有生产资料的大众,成为这种社会财富分配两极化的根本原因。</w:t>
      </w:r>
      <w:r>
        <w:rPr>
          <w:rFonts w:hint="eastAsia" w:ascii="宋体" w:hAnsi="宋体" w:eastAsia="宋体" w:cs="宋体"/>
          <w:spacing w:val="16"/>
          <w:sz w:val="21"/>
          <w:szCs w:val="21"/>
        </w:rPr>
        <w:t>正如马克思所指出的:“这一规律(资本主义积累的一般规律)制</w:t>
      </w:r>
      <w:r>
        <w:rPr>
          <w:rFonts w:hint="eastAsia" w:ascii="宋体" w:hAnsi="宋体" w:eastAsia="宋体" w:cs="宋体"/>
          <w:spacing w:val="15"/>
          <w:sz w:val="21"/>
          <w:szCs w:val="21"/>
        </w:rPr>
        <w:t>约着同资本积累相适</w:t>
      </w:r>
      <w:r>
        <w:rPr>
          <w:rFonts w:hint="eastAsia" w:ascii="宋体" w:hAnsi="宋体" w:eastAsia="宋体" w:cs="宋体"/>
          <w:spacing w:val="3"/>
          <w:sz w:val="21"/>
          <w:szCs w:val="21"/>
        </w:rPr>
        <w:t>应的贫困积累。因此,在一极是财富的积累,同时</w:t>
      </w:r>
      <w:r>
        <w:rPr>
          <w:rFonts w:hint="eastAsia" w:ascii="宋体" w:hAnsi="宋体" w:eastAsia="宋体" w:cs="宋体"/>
          <w:spacing w:val="2"/>
          <w:sz w:val="21"/>
          <w:szCs w:val="21"/>
        </w:rPr>
        <w:t>在另一极,即在把自己的产品作为资本来生产的阶级方面,是贫困、劳动折</w:t>
      </w:r>
      <w:r>
        <w:rPr>
          <w:rFonts w:hint="eastAsia" w:ascii="宋体" w:hAnsi="宋体" w:eastAsia="宋体" w:cs="宋体"/>
          <w:spacing w:val="1"/>
          <w:sz w:val="21"/>
          <w:szCs w:val="21"/>
        </w:rPr>
        <w:t>磨、受奴役、无知、粗野和道德堕落的积</w:t>
      </w:r>
      <w:r>
        <w:rPr>
          <w:rFonts w:hint="eastAsia" w:ascii="宋体" w:hAnsi="宋体" w:eastAsia="宋体" w:cs="宋体"/>
          <w:spacing w:val="-21"/>
          <w:w w:val="98"/>
          <w:sz w:val="21"/>
          <w:szCs w:val="21"/>
        </w:rPr>
        <w:t>累。”</w:t>
      </w:r>
      <w:r>
        <w:rPr>
          <w:rStyle w:val="20"/>
          <w:rFonts w:hint="eastAsia" w:ascii="宋体" w:hAnsi="宋体" w:eastAsia="宋体" w:cs="宋体"/>
          <w:spacing w:val="-21"/>
          <w:w w:val="98"/>
          <w:sz w:val="21"/>
          <w:szCs w:val="21"/>
        </w:rPr>
        <w:footnoteReference w:id="1364"/>
      </w:r>
      <w:r>
        <w:rPr>
          <w:rFonts w:hint="eastAsia" w:ascii="宋体" w:hAnsi="宋体" w:eastAsia="宋体" w:cs="宋体"/>
          <w:spacing w:val="-21"/>
          <w:w w:val="98"/>
          <w:sz w:val="21"/>
          <w:szCs w:val="21"/>
        </w:rPr>
        <w:t>因此</w:t>
      </w:r>
      <w:r>
        <w:rPr>
          <w:rFonts w:hint="eastAsia" w:ascii="宋体" w:hAnsi="宋体" w:eastAsia="宋体" w:cs="宋体"/>
          <w:spacing w:val="17"/>
          <w:sz w:val="21"/>
          <w:szCs w:val="21"/>
        </w:rPr>
        <w:t>,西方发达国家的“发达”只属于或服务于占有生产资料处于财富积累金</w:t>
      </w:r>
      <w:r>
        <w:rPr>
          <w:rFonts w:hint="eastAsia" w:ascii="宋体" w:hAnsi="宋体" w:eastAsia="宋体" w:cs="宋体"/>
          <w:spacing w:val="3"/>
          <w:sz w:val="21"/>
          <w:szCs w:val="21"/>
        </w:rPr>
        <w:t>字塔最顶端的群体,是少数人才享有的现代化,不是全体人民享有的现代化。此外,</w:t>
      </w:r>
      <w:r>
        <w:rPr>
          <w:rFonts w:hint="eastAsia" w:ascii="宋体" w:hAnsi="宋体" w:eastAsia="宋体" w:cs="宋体"/>
          <w:spacing w:val="23"/>
          <w:sz w:val="21"/>
          <w:szCs w:val="21"/>
        </w:rPr>
        <w:t>伴随收入与财富不平等状况的加剧,在这些国家内</w:t>
      </w:r>
      <w:r>
        <w:rPr>
          <w:rFonts w:hint="eastAsia" w:ascii="宋体" w:hAnsi="宋体" w:eastAsia="宋体" w:cs="宋体"/>
          <w:spacing w:val="22"/>
          <w:sz w:val="21"/>
          <w:szCs w:val="21"/>
        </w:rPr>
        <w:t>部针对普通民众的教育壁垒逐步抬升、在就业层面以及居住区域上的歧视与物理隔离不断加剧、在医疗与养</w:t>
      </w:r>
      <w:r>
        <w:rPr>
          <w:rFonts w:hint="eastAsia" w:ascii="宋体" w:hAnsi="宋体" w:eastAsia="宋体" w:cs="宋体"/>
          <w:spacing w:val="21"/>
          <w:sz w:val="21"/>
          <w:szCs w:val="21"/>
        </w:rPr>
        <w:t>老等福利制</w:t>
      </w:r>
      <w:r>
        <w:rPr>
          <w:rFonts w:hint="eastAsia" w:ascii="宋体" w:hAnsi="宋体" w:eastAsia="宋体" w:cs="宋体"/>
          <w:spacing w:val="22"/>
          <w:sz w:val="21"/>
          <w:szCs w:val="21"/>
        </w:rPr>
        <w:t>度上的不公平日益拉大,导致了越来越严重</w:t>
      </w:r>
      <w:r>
        <w:rPr>
          <w:rFonts w:hint="eastAsia" w:ascii="宋体" w:hAnsi="宋体" w:eastAsia="宋体" w:cs="宋体"/>
          <w:spacing w:val="21"/>
          <w:sz w:val="21"/>
          <w:szCs w:val="21"/>
        </w:rPr>
        <w:t>的阶层固化和社会流动停滞,底层民众很</w:t>
      </w:r>
      <w:r>
        <w:rPr>
          <w:rFonts w:hint="eastAsia" w:ascii="宋体" w:hAnsi="宋体" w:eastAsia="宋体" w:cs="宋体"/>
          <w:spacing w:val="16"/>
          <w:sz w:val="21"/>
          <w:szCs w:val="21"/>
        </w:rPr>
        <w:t>难突破阶层跃升的壁垒。</w:t>
      </w:r>
    </w:p>
    <w:p w14:paraId="01AB5B3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第二,区域发展上的非均衡性。西方国家现代化过程中区域发展上的非均衡也是</w:t>
      </w:r>
      <w:r>
        <w:rPr>
          <w:rFonts w:hint="eastAsia" w:ascii="宋体" w:hAnsi="宋体" w:eastAsia="宋体" w:cs="宋体"/>
          <w:spacing w:val="4"/>
          <w:sz w:val="21"/>
          <w:szCs w:val="21"/>
        </w:rPr>
        <w:t>其现代化模式的必然结果。马克思在分析资本</w:t>
      </w:r>
      <w:r>
        <w:rPr>
          <w:rFonts w:hint="eastAsia" w:ascii="宋体" w:hAnsi="宋体" w:eastAsia="宋体" w:cs="宋体"/>
          <w:spacing w:val="3"/>
          <w:sz w:val="21"/>
          <w:szCs w:val="21"/>
        </w:rPr>
        <w:t>原始积累所导致的城乡差距时就指出:</w:t>
      </w:r>
      <w:r>
        <w:rPr>
          <w:rFonts w:hint="eastAsia" w:ascii="宋体" w:hAnsi="宋体" w:eastAsia="宋体" w:cs="宋体"/>
          <w:spacing w:val="19"/>
          <w:sz w:val="21"/>
          <w:szCs w:val="21"/>
        </w:rPr>
        <w:t>“资本主义生产一旦占领农业,或者依照它占领农</w:t>
      </w:r>
      <w:r>
        <w:rPr>
          <w:rFonts w:hint="eastAsia" w:ascii="宋体" w:hAnsi="宋体" w:eastAsia="宋体" w:cs="宋体"/>
          <w:spacing w:val="18"/>
          <w:sz w:val="21"/>
          <w:szCs w:val="21"/>
        </w:rPr>
        <w:t>业的程度,对农业工人人口的需求就</w:t>
      </w:r>
      <w:r>
        <w:rPr>
          <w:rFonts w:hint="eastAsia" w:ascii="宋体" w:hAnsi="宋体" w:eastAsia="宋体" w:cs="宋体"/>
          <w:spacing w:val="21"/>
          <w:sz w:val="21"/>
          <w:szCs w:val="21"/>
        </w:rPr>
        <w:t>随着在农业中执行职能的资本的积累而绝对地减少,而且对人口的这种排斥不像在非</w:t>
      </w:r>
      <w:r>
        <w:rPr>
          <w:rFonts w:hint="eastAsia" w:ascii="宋体" w:hAnsi="宋体" w:eastAsia="宋体" w:cs="宋体"/>
          <w:spacing w:val="17"/>
          <w:sz w:val="21"/>
          <w:szCs w:val="21"/>
        </w:rPr>
        <w:t>农业的产业中那样,会由于更大规模的吸引而得到补偿。”</w:t>
      </w:r>
      <w:r>
        <w:rPr>
          <w:rStyle w:val="20"/>
          <w:rFonts w:hint="eastAsia" w:ascii="宋体" w:hAnsi="宋体" w:eastAsia="宋体" w:cs="宋体"/>
          <w:spacing w:val="17"/>
          <w:sz w:val="21"/>
          <w:szCs w:val="21"/>
        </w:rPr>
        <w:footnoteReference w:id="1365"/>
      </w:r>
      <w:r>
        <w:rPr>
          <w:rFonts w:hint="eastAsia" w:ascii="宋体" w:hAnsi="宋体" w:eastAsia="宋体" w:cs="宋体"/>
          <w:spacing w:val="17"/>
          <w:sz w:val="21"/>
          <w:szCs w:val="21"/>
        </w:rPr>
        <w:t>这种典型的区域发展非均</w:t>
      </w:r>
      <w:r>
        <w:rPr>
          <w:rFonts w:hint="eastAsia" w:ascii="宋体" w:hAnsi="宋体" w:eastAsia="宋体" w:cs="宋体"/>
          <w:spacing w:val="24"/>
          <w:sz w:val="21"/>
          <w:szCs w:val="21"/>
        </w:rPr>
        <w:t>衡性表现为城乡发展差距的拉大,人口等生产要素不断向城市集中,</w:t>
      </w:r>
      <w:r>
        <w:rPr>
          <w:rFonts w:hint="eastAsia" w:ascii="宋体" w:hAnsi="宋体" w:eastAsia="宋体" w:cs="宋体"/>
          <w:spacing w:val="23"/>
          <w:sz w:val="21"/>
          <w:szCs w:val="21"/>
        </w:rPr>
        <w:t>农村则迅速凋零</w:t>
      </w:r>
      <w:r>
        <w:rPr>
          <w:rFonts w:hint="eastAsia" w:ascii="宋体" w:hAnsi="宋体" w:eastAsia="宋体" w:cs="宋体"/>
          <w:spacing w:val="17"/>
          <w:sz w:val="21"/>
          <w:szCs w:val="21"/>
        </w:rPr>
        <w:t>和衰退。例如,在以美国、法国、英国、德国等为首</w:t>
      </w:r>
      <w:r>
        <w:rPr>
          <w:rFonts w:hint="eastAsia" w:ascii="宋体" w:hAnsi="宋体" w:eastAsia="宋体" w:cs="宋体"/>
          <w:spacing w:val="16"/>
          <w:sz w:val="21"/>
          <w:szCs w:val="21"/>
        </w:rPr>
        <w:t>的发达资本主义国家,城市与乡</w:t>
      </w:r>
      <w:r>
        <w:rPr>
          <w:rFonts w:hint="eastAsia" w:ascii="宋体" w:hAnsi="宋体" w:eastAsia="宋体" w:cs="宋体"/>
          <w:spacing w:val="22"/>
          <w:sz w:val="21"/>
          <w:szCs w:val="21"/>
        </w:rPr>
        <w:t>村经济发展差距巨大,城市中往往集中了最优质的教育资源、交通基础设施、医疗资</w:t>
      </w:r>
      <w:r>
        <w:rPr>
          <w:rFonts w:hint="eastAsia" w:ascii="宋体" w:hAnsi="宋体" w:eastAsia="宋体" w:cs="宋体"/>
          <w:spacing w:val="18"/>
          <w:sz w:val="21"/>
          <w:szCs w:val="21"/>
        </w:rPr>
        <w:t>源等,而乡村则往往缺乏对应的资源,最终走向凋敝。</w:t>
      </w:r>
    </w:p>
    <w:p w14:paraId="3781BF2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第三,生态环境保护上的非均衡性。西方现代化在资本逻辑主导下必然对地球资源进行掠夺式开发和利用,对生态环境造成了严重破坏,在结果上即表现为经济发展</w:t>
      </w:r>
      <w:r>
        <w:rPr>
          <w:rFonts w:hint="eastAsia" w:ascii="宋体" w:hAnsi="宋体" w:eastAsia="宋体" w:cs="宋体"/>
          <w:spacing w:val="16"/>
          <w:sz w:val="21"/>
          <w:szCs w:val="21"/>
        </w:rPr>
        <w:t>与生态环境保护上的非均衡性。对此马克思早就预见指出</w:t>
      </w:r>
      <w:r>
        <w:rPr>
          <w:rFonts w:hint="eastAsia" w:ascii="宋体" w:hAnsi="宋体" w:eastAsia="宋体" w:cs="宋体"/>
          <w:spacing w:val="15"/>
          <w:sz w:val="21"/>
          <w:szCs w:val="21"/>
        </w:rPr>
        <w:t>,“如果说以资本为基础的生</w:t>
      </w:r>
      <w:r>
        <w:rPr>
          <w:rFonts w:hint="eastAsia" w:ascii="宋体" w:hAnsi="宋体" w:eastAsia="宋体" w:cs="宋体"/>
          <w:spacing w:val="18"/>
          <w:sz w:val="21"/>
          <w:szCs w:val="21"/>
        </w:rPr>
        <w:t>产,一方面创造出普遍的产业,即剩余劳动,创造价值的劳动</w:t>
      </w:r>
      <w:r>
        <w:rPr>
          <w:rFonts w:hint="eastAsia" w:ascii="宋体" w:hAnsi="宋体" w:eastAsia="宋体" w:cs="宋体"/>
          <w:spacing w:val="17"/>
          <w:sz w:val="21"/>
          <w:szCs w:val="21"/>
        </w:rPr>
        <w:t>,那么,另一方面也创</w:t>
      </w:r>
      <w:r>
        <w:rPr>
          <w:rFonts w:hint="eastAsia" w:ascii="宋体" w:hAnsi="宋体" w:eastAsia="宋体" w:cs="宋体"/>
          <w:spacing w:val="16"/>
          <w:sz w:val="21"/>
          <w:szCs w:val="21"/>
        </w:rPr>
        <w:t>造出一个普遍利用自然属性和人的属性的体系”。</w:t>
      </w:r>
      <w:r>
        <w:rPr>
          <w:rStyle w:val="20"/>
          <w:rFonts w:hint="eastAsia" w:ascii="宋体" w:hAnsi="宋体" w:eastAsia="宋体" w:cs="宋体"/>
          <w:spacing w:val="16"/>
          <w:sz w:val="21"/>
          <w:szCs w:val="21"/>
        </w:rPr>
        <w:footnoteReference w:id="1366"/>
      </w:r>
      <w:r>
        <w:rPr>
          <w:rFonts w:hint="eastAsia" w:ascii="宋体" w:hAnsi="宋体" w:eastAsia="宋体" w:cs="宋体"/>
          <w:spacing w:val="16"/>
          <w:sz w:val="21"/>
          <w:szCs w:val="21"/>
        </w:rPr>
        <w:t>这意味着资本</w:t>
      </w:r>
      <w:r>
        <w:rPr>
          <w:rFonts w:hint="eastAsia" w:ascii="宋体" w:hAnsi="宋体" w:eastAsia="宋体" w:cs="宋体"/>
          <w:spacing w:val="15"/>
          <w:sz w:val="21"/>
          <w:szCs w:val="21"/>
        </w:rPr>
        <w:t>对自然与人的无限掠</w:t>
      </w:r>
      <w:r>
        <w:rPr>
          <w:rFonts w:hint="eastAsia" w:ascii="宋体" w:hAnsi="宋体" w:eastAsia="宋体" w:cs="宋体"/>
          <w:spacing w:val="2"/>
          <w:sz w:val="21"/>
          <w:szCs w:val="21"/>
        </w:rPr>
        <w:t>夺成为必然,生态环境的破坏也就不可避免。众所周知</w:t>
      </w:r>
      <w:r>
        <w:rPr>
          <w:rFonts w:hint="eastAsia" w:ascii="宋体" w:hAnsi="宋体" w:eastAsia="宋体" w:cs="宋体"/>
          <w:spacing w:val="1"/>
          <w:sz w:val="21"/>
          <w:szCs w:val="21"/>
        </w:rPr>
        <w:t>,在发达国家的发展历程中,</w:t>
      </w:r>
      <w:r>
        <w:rPr>
          <w:rFonts w:hint="eastAsia" w:ascii="宋体" w:hAnsi="宋体" w:eastAsia="宋体" w:cs="宋体"/>
          <w:spacing w:val="6"/>
          <w:sz w:val="21"/>
          <w:szCs w:val="21"/>
        </w:rPr>
        <w:t>迅速工业化虽然带来了高速的经济增长,但也造成了水、空气、噪音等各类污染,严</w:t>
      </w:r>
      <w:r>
        <w:rPr>
          <w:rFonts w:hint="eastAsia" w:ascii="宋体" w:hAnsi="宋体" w:eastAsia="宋体" w:cs="宋体"/>
          <w:spacing w:val="15"/>
          <w:sz w:val="21"/>
          <w:szCs w:val="21"/>
        </w:rPr>
        <w:t>重影响了当地居民的生存和生活环境。例如,</w:t>
      </w:r>
      <w:r>
        <w:rPr>
          <w:rFonts w:hint="eastAsia" w:ascii="宋体" w:hAnsi="宋体" w:eastAsia="宋体" w:cs="宋体"/>
          <w:spacing w:val="15"/>
          <w:position w:val="-2"/>
          <w:sz w:val="21"/>
          <w:szCs w:val="21"/>
        </w:rPr>
        <w:t>1948</w:t>
      </w:r>
      <w:r>
        <w:rPr>
          <w:rFonts w:hint="eastAsia" w:ascii="宋体" w:hAnsi="宋体" w:eastAsia="宋体" w:cs="宋体"/>
          <w:spacing w:val="15"/>
          <w:sz w:val="21"/>
          <w:szCs w:val="21"/>
        </w:rPr>
        <w:t>年</w:t>
      </w:r>
      <w:r>
        <w:rPr>
          <w:rFonts w:hint="eastAsia" w:ascii="宋体" w:hAnsi="宋体" w:eastAsia="宋体" w:cs="宋体"/>
          <w:spacing w:val="15"/>
          <w:position w:val="-2"/>
          <w:sz w:val="21"/>
          <w:szCs w:val="21"/>
        </w:rPr>
        <w:t>10</w:t>
      </w:r>
      <w:r>
        <w:rPr>
          <w:rFonts w:hint="eastAsia" w:ascii="宋体" w:hAnsi="宋体" w:eastAsia="宋体" w:cs="宋体"/>
          <w:spacing w:val="15"/>
          <w:sz w:val="21"/>
          <w:szCs w:val="21"/>
        </w:rPr>
        <w:t>月美国宾夕法尼亚州多诺拉镇</w:t>
      </w:r>
      <w:r>
        <w:rPr>
          <w:rFonts w:hint="eastAsia" w:ascii="宋体" w:hAnsi="宋体" w:eastAsia="宋体" w:cs="宋体"/>
          <w:spacing w:val="2"/>
          <w:sz w:val="21"/>
          <w:szCs w:val="21"/>
        </w:rPr>
        <w:t>的有毒烟雾事件、</w:t>
      </w:r>
      <w:r>
        <w:rPr>
          <w:rFonts w:hint="eastAsia" w:ascii="宋体" w:hAnsi="宋体" w:eastAsia="宋体" w:cs="宋体"/>
          <w:spacing w:val="2"/>
          <w:position w:val="-2"/>
          <w:sz w:val="21"/>
          <w:szCs w:val="21"/>
        </w:rPr>
        <w:t>1952</w:t>
      </w:r>
      <w:r>
        <w:rPr>
          <w:rFonts w:hint="eastAsia" w:ascii="宋体" w:hAnsi="宋体" w:eastAsia="宋体" w:cs="宋体"/>
          <w:spacing w:val="2"/>
          <w:sz w:val="21"/>
          <w:szCs w:val="21"/>
        </w:rPr>
        <w:t>年英国伦敦的浓雾污</w:t>
      </w:r>
      <w:r>
        <w:rPr>
          <w:rFonts w:hint="eastAsia" w:ascii="宋体" w:hAnsi="宋体" w:eastAsia="宋体" w:cs="宋体"/>
          <w:spacing w:val="1"/>
          <w:sz w:val="21"/>
          <w:szCs w:val="21"/>
        </w:rPr>
        <w:t>染事件等,曾导致数千人染病甚至死亡。</w:t>
      </w:r>
      <w:r>
        <w:rPr>
          <w:rFonts w:hint="eastAsia" w:ascii="宋体" w:hAnsi="宋体" w:eastAsia="宋体" w:cs="宋体"/>
          <w:spacing w:val="19"/>
          <w:sz w:val="21"/>
          <w:szCs w:val="21"/>
        </w:rPr>
        <w:t>时至今日,这些发达国家仍然存在各类环境问题,如美国的人均碳排放量是世界平均</w:t>
      </w:r>
      <w:r>
        <w:rPr>
          <w:rFonts w:hint="eastAsia" w:ascii="宋体" w:hAnsi="宋体" w:eastAsia="宋体" w:cs="宋体"/>
          <w:spacing w:val="2"/>
          <w:sz w:val="21"/>
          <w:szCs w:val="21"/>
        </w:rPr>
        <w:t>水平的三倍以上,能源消耗存在大量浪费。此外,发达国家还借助其在政治、经济、</w:t>
      </w:r>
      <w:r>
        <w:rPr>
          <w:rFonts w:hint="eastAsia" w:ascii="宋体" w:hAnsi="宋体" w:eastAsia="宋体" w:cs="宋体"/>
          <w:spacing w:val="21"/>
          <w:sz w:val="21"/>
          <w:szCs w:val="21"/>
        </w:rPr>
        <w:t>科技方面的发展优势,将大量电子垃圾、高耗能产</w:t>
      </w:r>
      <w:r>
        <w:rPr>
          <w:rFonts w:hint="eastAsia" w:ascii="宋体" w:hAnsi="宋体" w:eastAsia="宋体" w:cs="宋体"/>
          <w:spacing w:val="20"/>
          <w:sz w:val="21"/>
          <w:szCs w:val="21"/>
        </w:rPr>
        <w:t>业转移到亚非拉等发展中国家,导</w:t>
      </w:r>
      <w:r>
        <w:rPr>
          <w:rFonts w:hint="eastAsia" w:ascii="宋体" w:hAnsi="宋体" w:eastAsia="宋体" w:cs="宋体"/>
          <w:spacing w:val="18"/>
          <w:sz w:val="21"/>
          <w:szCs w:val="21"/>
        </w:rPr>
        <w:t>致这类国家生态环境的严重恶化以及全球生态系统的恶化。</w:t>
      </w:r>
    </w:p>
    <w:p w14:paraId="24A75E6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综上所述,西方现代化在结果上所呈现出的非均衡性是其非系统性、</w:t>
      </w:r>
      <w:r>
        <w:rPr>
          <w:rFonts w:hint="eastAsia" w:ascii="宋体" w:hAnsi="宋体" w:eastAsia="宋体" w:cs="宋体"/>
          <w:spacing w:val="21"/>
          <w:sz w:val="21"/>
          <w:szCs w:val="21"/>
        </w:rPr>
        <w:t>带有剥夺性</w:t>
      </w:r>
      <w:r>
        <w:rPr>
          <w:rFonts w:hint="eastAsia" w:ascii="宋体" w:hAnsi="宋体" w:eastAsia="宋体" w:cs="宋体"/>
          <w:spacing w:val="18"/>
          <w:sz w:val="21"/>
          <w:szCs w:val="21"/>
        </w:rPr>
        <w:t>的发展路径下的必然产物,造成了西方国家</w:t>
      </w:r>
      <w:r>
        <w:rPr>
          <w:rFonts w:hint="eastAsia" w:ascii="宋体" w:hAnsi="宋体" w:eastAsia="宋体" w:cs="宋体"/>
          <w:spacing w:val="17"/>
          <w:sz w:val="21"/>
          <w:szCs w:val="21"/>
        </w:rPr>
        <w:t>现代化的各种不平衡、不公平现象。此外,</w:t>
      </w:r>
      <w:r>
        <w:rPr>
          <w:rFonts w:hint="eastAsia" w:ascii="宋体" w:hAnsi="宋体" w:eastAsia="宋体" w:cs="宋体"/>
          <w:spacing w:val="23"/>
          <w:sz w:val="21"/>
          <w:szCs w:val="21"/>
        </w:rPr>
        <w:t>许多西方发达国家以牺牲发展中国家利益为代价来加速其</w:t>
      </w:r>
      <w:r>
        <w:rPr>
          <w:rFonts w:hint="eastAsia" w:ascii="宋体" w:hAnsi="宋体" w:eastAsia="宋体" w:cs="宋体"/>
          <w:spacing w:val="22"/>
          <w:sz w:val="21"/>
          <w:szCs w:val="21"/>
        </w:rPr>
        <w:t>自身现代化的脚步,屡次以</w:t>
      </w:r>
      <w:r>
        <w:rPr>
          <w:rFonts w:hint="eastAsia" w:ascii="宋体" w:hAnsi="宋体" w:eastAsia="宋体" w:cs="宋体"/>
          <w:spacing w:val="20"/>
          <w:sz w:val="21"/>
          <w:szCs w:val="21"/>
        </w:rPr>
        <w:t>社会达尔文主义为借口侵略其他国家,建立殖民政权,抢劫他国财富,用广大发展中</w:t>
      </w:r>
      <w:r>
        <w:rPr>
          <w:rFonts w:hint="eastAsia" w:ascii="宋体" w:hAnsi="宋体" w:eastAsia="宋体" w:cs="宋体"/>
          <w:spacing w:val="17"/>
          <w:sz w:val="21"/>
          <w:szCs w:val="21"/>
        </w:rPr>
        <w:t>国家的“廉价资源”支撑西方国家的发展,其现代化历史实质上是广大发展中国家的</w:t>
      </w:r>
      <w:r>
        <w:rPr>
          <w:rFonts w:hint="eastAsia" w:ascii="宋体" w:hAnsi="宋体" w:eastAsia="宋体" w:cs="宋体"/>
          <w:spacing w:val="20"/>
          <w:sz w:val="21"/>
          <w:szCs w:val="21"/>
        </w:rPr>
        <w:t>血泪史。如果延续西方现代化的发展路径,广大发展中国家人民将持续困苦,世界经济发展将不可持续。这是一种不应该被效仿的现代化,是需要被超越的现代化,应当</w:t>
      </w:r>
      <w:r>
        <w:rPr>
          <w:rFonts w:hint="eastAsia" w:ascii="宋体" w:hAnsi="宋体" w:eastAsia="宋体" w:cs="宋体"/>
          <w:spacing w:val="17"/>
          <w:sz w:val="21"/>
          <w:szCs w:val="21"/>
        </w:rPr>
        <w:t>摒弃对西方现代化的盲目崇拜,探索现代化发展</w:t>
      </w:r>
      <w:r>
        <w:rPr>
          <w:rFonts w:hint="eastAsia" w:ascii="宋体" w:hAnsi="宋体" w:eastAsia="宋体" w:cs="宋体"/>
          <w:spacing w:val="16"/>
          <w:sz w:val="21"/>
          <w:szCs w:val="21"/>
        </w:rPr>
        <w:t>新模式,促进人类社会的共同进步。</w:t>
      </w:r>
    </w:p>
    <w:p w14:paraId="73BC75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6B01948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44" w:firstLineChars="200"/>
        <w:jc w:val="both"/>
        <w:textAlignment w:val="baseline"/>
        <w:rPr>
          <w:rFonts w:hint="eastAsia" w:ascii="宋体" w:hAnsi="宋体" w:eastAsia="宋体" w:cs="宋体"/>
          <w:b/>
          <w:bCs/>
          <w:sz w:val="24"/>
          <w:szCs w:val="24"/>
        </w:rPr>
      </w:pPr>
      <w:r>
        <w:rPr>
          <w:rFonts w:hint="eastAsia" w:ascii="宋体" w:hAnsi="宋体" w:eastAsia="宋体" w:cs="宋体"/>
          <w:b/>
          <w:bCs/>
          <w:spacing w:val="16"/>
          <w:sz w:val="24"/>
          <w:szCs w:val="24"/>
        </w:rPr>
        <w:t>四、中国式现代化的探索历程及其对西方现代化的</w:t>
      </w:r>
      <w:r>
        <w:rPr>
          <w:rFonts w:hint="eastAsia" w:ascii="宋体" w:hAnsi="宋体" w:eastAsia="宋体" w:cs="宋体"/>
          <w:b/>
          <w:bCs/>
          <w:spacing w:val="15"/>
          <w:sz w:val="24"/>
          <w:szCs w:val="24"/>
        </w:rPr>
        <w:t>多维超越</w:t>
      </w:r>
    </w:p>
    <w:p w14:paraId="405F8E9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51B6B1A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spacing w:val="6"/>
          <w:sz w:val="21"/>
          <w:szCs w:val="21"/>
        </w:rPr>
        <w:t>现代化是一个世界性的历史过程,布莱克在《现</w:t>
      </w:r>
      <w:r>
        <w:rPr>
          <w:rFonts w:hint="eastAsia" w:ascii="宋体" w:hAnsi="宋体" w:eastAsia="宋体" w:cs="宋体"/>
          <w:spacing w:val="5"/>
          <w:sz w:val="21"/>
          <w:szCs w:val="21"/>
        </w:rPr>
        <w:t>代化的动力:比较历史研究》一</w:t>
      </w:r>
      <w:r>
        <w:rPr>
          <w:rFonts w:hint="eastAsia" w:ascii="宋体" w:hAnsi="宋体" w:eastAsia="宋体" w:cs="宋体"/>
          <w:spacing w:val="14"/>
          <w:sz w:val="21"/>
          <w:szCs w:val="21"/>
        </w:rPr>
        <w:t>书中指出,“没有两个社会以同一种方式实现现代化</w:t>
      </w:r>
      <w:r>
        <w:rPr>
          <w:rFonts w:hint="eastAsia" w:ascii="宋体" w:hAnsi="宋体" w:eastAsia="宋体" w:cs="宋体"/>
          <w:b/>
          <w:bCs/>
          <w:spacing w:val="34"/>
          <w:sz w:val="21"/>
          <w:szCs w:val="21"/>
        </w:rPr>
        <w:t>—</w:t>
      </w:r>
      <w:r>
        <w:rPr>
          <w:rFonts w:hint="eastAsia" w:ascii="宋体" w:hAnsi="宋体" w:eastAsia="宋体" w:cs="宋体"/>
          <w:spacing w:val="34"/>
          <w:sz w:val="21"/>
          <w:szCs w:val="21"/>
        </w:rPr>
        <w:t>没有两个社会拥有相同的资源</w:t>
      </w:r>
      <w:r>
        <w:rPr>
          <w:rFonts w:hint="eastAsia" w:ascii="宋体" w:hAnsi="宋体" w:eastAsia="宋体" w:cs="宋体"/>
          <w:spacing w:val="22"/>
          <w:sz w:val="21"/>
          <w:szCs w:val="21"/>
        </w:rPr>
        <w:t>和技术、相同的传统制度遗产、处在发展的相同阶段以及具有同样的领导</w:t>
      </w:r>
      <w:r>
        <w:rPr>
          <w:rFonts w:hint="eastAsia" w:ascii="宋体" w:hAnsi="宋体" w:eastAsia="宋体" w:cs="宋体"/>
          <w:spacing w:val="21"/>
          <w:sz w:val="21"/>
          <w:szCs w:val="21"/>
        </w:rPr>
        <w:t>体制模式或</w:t>
      </w:r>
      <w:r>
        <w:rPr>
          <w:rFonts w:hint="eastAsia" w:ascii="宋体" w:hAnsi="宋体" w:eastAsia="宋体" w:cs="宋体"/>
          <w:spacing w:val="13"/>
          <w:sz w:val="21"/>
          <w:szCs w:val="21"/>
        </w:rPr>
        <w:t>同样的现代化政策”。</w:t>
      </w:r>
      <w:r>
        <w:rPr>
          <w:rStyle w:val="20"/>
          <w:rFonts w:hint="eastAsia" w:ascii="宋体" w:hAnsi="宋体" w:eastAsia="宋体" w:cs="宋体"/>
          <w:spacing w:val="13"/>
          <w:sz w:val="21"/>
          <w:szCs w:val="21"/>
        </w:rPr>
        <w:footnoteReference w:id="1367"/>
      </w:r>
      <w:r>
        <w:rPr>
          <w:rFonts w:hint="eastAsia" w:ascii="宋体" w:hAnsi="宋体" w:eastAsia="宋体" w:cs="宋体"/>
          <w:spacing w:val="13"/>
          <w:sz w:val="21"/>
          <w:szCs w:val="21"/>
        </w:rPr>
        <w:t>基于不同的历史文化传统、经济社会</w:t>
      </w:r>
      <w:r>
        <w:rPr>
          <w:rFonts w:hint="eastAsia" w:ascii="宋体" w:hAnsi="宋体" w:eastAsia="宋体" w:cs="宋体"/>
          <w:spacing w:val="12"/>
          <w:sz w:val="21"/>
          <w:szCs w:val="21"/>
        </w:rPr>
        <w:t>发展水平、社会制度,其</w:t>
      </w:r>
      <w:r>
        <w:rPr>
          <w:rFonts w:hint="eastAsia" w:ascii="宋体" w:hAnsi="宋体" w:eastAsia="宋体" w:cs="宋体"/>
          <w:spacing w:val="21"/>
          <w:sz w:val="21"/>
          <w:szCs w:val="21"/>
        </w:rPr>
        <w:t>现代化和民族复兴的道路也会不同。西方国家是现代化的先行者,但不是现代化的独有者,建立在私有制基础上的西方现代化模式及其道路存在诸多弊端</w:t>
      </w:r>
      <w:r>
        <w:rPr>
          <w:rFonts w:hint="eastAsia" w:ascii="宋体" w:hAnsi="宋体" w:eastAsia="宋体" w:cs="宋体"/>
          <w:spacing w:val="20"/>
          <w:sz w:val="21"/>
          <w:szCs w:val="21"/>
        </w:rPr>
        <w:t>,给本国普通大众和其他国家带来了许多灾难。现代化道路不是单行道,中国式现代化对西方现代化</w:t>
      </w:r>
      <w:r>
        <w:rPr>
          <w:rFonts w:hint="eastAsia" w:ascii="宋体" w:hAnsi="宋体" w:eastAsia="宋体" w:cs="宋体"/>
          <w:spacing w:val="18"/>
          <w:sz w:val="21"/>
          <w:szCs w:val="21"/>
        </w:rPr>
        <w:t>的超越打破了“现代化</w:t>
      </w:r>
      <w:r>
        <w:rPr>
          <w:rFonts w:hint="eastAsia" w:ascii="宋体" w:hAnsi="宋体" w:eastAsia="宋体" w:cs="宋体"/>
          <w:spacing w:val="18"/>
          <w:position w:val="-2"/>
          <w:sz w:val="21"/>
          <w:szCs w:val="21"/>
        </w:rPr>
        <w:t>=</w:t>
      </w:r>
      <w:r>
        <w:rPr>
          <w:rFonts w:hint="eastAsia" w:ascii="宋体" w:hAnsi="宋体" w:eastAsia="宋体" w:cs="宋体"/>
          <w:spacing w:val="18"/>
          <w:sz w:val="21"/>
          <w:szCs w:val="21"/>
        </w:rPr>
        <w:t>西方化”的迷思</w:t>
      </w:r>
      <w:r>
        <w:rPr>
          <w:rFonts w:hint="eastAsia" w:ascii="宋体" w:hAnsi="宋体" w:eastAsia="宋体" w:cs="宋体"/>
          <w:spacing w:val="17"/>
          <w:sz w:val="21"/>
          <w:szCs w:val="21"/>
        </w:rPr>
        <w:t>,为所有既想加快发展又渴望保持自身独立性的发展中国家提供了全新的借鉴。</w:t>
      </w:r>
    </w:p>
    <w:p w14:paraId="76272BB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宋体" w:hAnsi="宋体" w:eastAsia="宋体" w:cs="宋体"/>
          <w:sz w:val="21"/>
          <w:szCs w:val="21"/>
        </w:rPr>
      </w:pPr>
      <w:r>
        <w:rPr>
          <w:rFonts w:hint="eastAsia" w:ascii="宋体" w:hAnsi="宋体" w:eastAsia="宋体" w:cs="宋体"/>
          <w:b/>
          <w:bCs/>
          <w:spacing w:val="16"/>
          <w:sz w:val="21"/>
          <w:szCs w:val="21"/>
        </w:rPr>
        <w:t>(一)中国式现代化的探索历程:从被动卷入到主动构建</w:t>
      </w:r>
    </w:p>
    <w:p w14:paraId="2144E29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position w:val="-2"/>
          <w:sz w:val="21"/>
          <w:szCs w:val="21"/>
        </w:rPr>
        <w:t>16—17</w:t>
      </w:r>
      <w:r>
        <w:rPr>
          <w:rFonts w:hint="eastAsia" w:ascii="宋体" w:hAnsi="宋体" w:eastAsia="宋体" w:cs="宋体"/>
          <w:spacing w:val="17"/>
          <w:sz w:val="21"/>
          <w:szCs w:val="21"/>
        </w:rPr>
        <w:t>世纪之后伴随资本主义的发展,民族历史转变为世界历史,资产阶</w:t>
      </w:r>
      <w:r>
        <w:rPr>
          <w:rFonts w:hint="eastAsia" w:ascii="宋体" w:hAnsi="宋体" w:eastAsia="宋体" w:cs="宋体"/>
          <w:spacing w:val="16"/>
          <w:sz w:val="21"/>
          <w:szCs w:val="21"/>
        </w:rPr>
        <w:t>级创造</w:t>
      </w:r>
      <w:r>
        <w:rPr>
          <w:rFonts w:hint="eastAsia" w:ascii="宋体" w:hAnsi="宋体" w:eastAsia="宋体" w:cs="宋体"/>
          <w:spacing w:val="13"/>
          <w:sz w:val="21"/>
          <w:szCs w:val="21"/>
        </w:rPr>
        <w:t>了现代世界体系。正如马克思恩格斯在《共产党宣言》中指出的</w:t>
      </w:r>
      <w:r>
        <w:rPr>
          <w:rFonts w:hint="eastAsia" w:ascii="宋体" w:hAnsi="宋体" w:eastAsia="宋体" w:cs="宋体"/>
          <w:spacing w:val="12"/>
          <w:sz w:val="21"/>
          <w:szCs w:val="21"/>
        </w:rPr>
        <w:t>:“正像它使农村从属</w:t>
      </w:r>
      <w:r>
        <w:rPr>
          <w:rFonts w:hint="eastAsia" w:ascii="宋体" w:hAnsi="宋体" w:eastAsia="宋体" w:cs="宋体"/>
          <w:spacing w:val="21"/>
          <w:sz w:val="21"/>
          <w:szCs w:val="21"/>
        </w:rPr>
        <w:t>于城市一样,它使未开化和半开化的国家从属于文明的国家,使农民的民族从属于资</w:t>
      </w:r>
      <w:r>
        <w:rPr>
          <w:rFonts w:hint="eastAsia" w:ascii="宋体" w:hAnsi="宋体" w:eastAsia="宋体" w:cs="宋体"/>
          <w:spacing w:val="12"/>
          <w:sz w:val="21"/>
          <w:szCs w:val="21"/>
        </w:rPr>
        <w:t>产阶级的民族,使东方从属于西方。”</w:t>
      </w:r>
      <w:r>
        <w:rPr>
          <w:rStyle w:val="20"/>
          <w:rFonts w:hint="eastAsia" w:ascii="宋体" w:hAnsi="宋体" w:eastAsia="宋体" w:cs="宋体"/>
          <w:spacing w:val="12"/>
          <w:sz w:val="21"/>
          <w:szCs w:val="21"/>
        </w:rPr>
        <w:footnoteReference w:id="1368"/>
      </w:r>
      <w:r>
        <w:rPr>
          <w:rFonts w:hint="eastAsia" w:ascii="宋体" w:hAnsi="宋体" w:eastAsia="宋体" w:cs="宋体"/>
          <w:spacing w:val="12"/>
          <w:position w:val="3"/>
          <w:sz w:val="21"/>
          <w:szCs w:val="21"/>
        </w:rPr>
        <w:t>②</w:t>
      </w:r>
      <w:r>
        <w:rPr>
          <w:rFonts w:hint="eastAsia" w:ascii="宋体" w:hAnsi="宋体" w:eastAsia="宋体" w:cs="宋体"/>
          <w:spacing w:val="12"/>
          <w:sz w:val="21"/>
          <w:szCs w:val="21"/>
        </w:rPr>
        <w:t>我</w:t>
      </w:r>
      <w:r>
        <w:rPr>
          <w:rFonts w:hint="eastAsia" w:ascii="宋体" w:hAnsi="宋体" w:eastAsia="宋体" w:cs="宋体"/>
          <w:spacing w:val="11"/>
          <w:sz w:val="21"/>
          <w:szCs w:val="21"/>
        </w:rPr>
        <w:t>国在这一现代世界体系中也成为众多“从属</w:t>
      </w:r>
      <w:r>
        <w:rPr>
          <w:rFonts w:hint="eastAsia" w:ascii="宋体" w:hAnsi="宋体" w:eastAsia="宋体" w:cs="宋体"/>
          <w:spacing w:val="18"/>
          <w:sz w:val="21"/>
          <w:szCs w:val="21"/>
        </w:rPr>
        <w:t>者”之一,被动地卷入了现代化的进程之中,这是不</w:t>
      </w:r>
      <w:r>
        <w:rPr>
          <w:rFonts w:hint="eastAsia" w:ascii="宋体" w:hAnsi="宋体" w:eastAsia="宋体" w:cs="宋体"/>
          <w:spacing w:val="17"/>
          <w:sz w:val="21"/>
          <w:szCs w:val="21"/>
        </w:rPr>
        <w:t>以我国的自身意志为转移的历史</w:t>
      </w:r>
      <w:r>
        <w:rPr>
          <w:rFonts w:hint="eastAsia" w:ascii="宋体" w:hAnsi="宋体" w:eastAsia="宋体" w:cs="宋体"/>
          <w:spacing w:val="8"/>
          <w:sz w:val="21"/>
          <w:szCs w:val="21"/>
        </w:rPr>
        <w:t>必然。从两次鸦片战争、甲午战争的激烈外部冲击</w:t>
      </w:r>
      <w:r>
        <w:rPr>
          <w:rFonts w:hint="eastAsia" w:ascii="宋体" w:hAnsi="宋体" w:eastAsia="宋体" w:cs="宋体"/>
          <w:spacing w:val="7"/>
          <w:sz w:val="21"/>
          <w:szCs w:val="21"/>
        </w:rPr>
        <w:t>,到清政府内部“自强”“求富”的</w:t>
      </w:r>
      <w:r>
        <w:rPr>
          <w:rFonts w:hint="eastAsia" w:ascii="宋体" w:hAnsi="宋体" w:eastAsia="宋体" w:cs="宋体"/>
          <w:spacing w:val="21"/>
          <w:sz w:val="21"/>
          <w:szCs w:val="21"/>
        </w:rPr>
        <w:t>洋务运动、力图推动思想启蒙的戊戌变法,再到辛</w:t>
      </w:r>
      <w:r>
        <w:rPr>
          <w:rFonts w:hint="eastAsia" w:ascii="宋体" w:hAnsi="宋体" w:eastAsia="宋体" w:cs="宋体"/>
          <w:spacing w:val="20"/>
          <w:sz w:val="21"/>
          <w:szCs w:val="21"/>
        </w:rPr>
        <w:t>亥革命、新文化运动以及五四运动</w:t>
      </w:r>
      <w:r>
        <w:rPr>
          <w:rFonts w:hint="eastAsia" w:ascii="宋体" w:hAnsi="宋体" w:eastAsia="宋体" w:cs="宋体"/>
          <w:spacing w:val="23"/>
          <w:sz w:val="21"/>
          <w:szCs w:val="21"/>
        </w:rPr>
        <w:t>的爆发,无不体现了近代中国在西方资本主义主导的世界体系下被</w:t>
      </w:r>
      <w:r>
        <w:rPr>
          <w:rFonts w:hint="eastAsia" w:ascii="宋体" w:hAnsi="宋体" w:eastAsia="宋体" w:cs="宋体"/>
          <w:spacing w:val="22"/>
          <w:sz w:val="21"/>
          <w:szCs w:val="21"/>
        </w:rPr>
        <w:t>动开启现代化之路</w:t>
      </w:r>
      <w:r>
        <w:rPr>
          <w:rFonts w:hint="eastAsia" w:ascii="宋体" w:hAnsi="宋体" w:eastAsia="宋体" w:cs="宋体"/>
          <w:spacing w:val="16"/>
          <w:sz w:val="21"/>
          <w:szCs w:val="21"/>
        </w:rPr>
        <w:t>的艰难历程。尽管在这一过程中我们也取得了一些如同西方现代化的成果,如</w:t>
      </w:r>
      <w:r>
        <w:rPr>
          <w:rFonts w:hint="eastAsia" w:ascii="宋体" w:hAnsi="宋体" w:eastAsia="宋体" w:cs="宋体"/>
          <w:spacing w:val="16"/>
          <w:position w:val="-2"/>
          <w:sz w:val="21"/>
          <w:szCs w:val="21"/>
        </w:rPr>
        <w:t>1865</w:t>
      </w:r>
      <w:r>
        <w:rPr>
          <w:rFonts w:hint="eastAsia" w:ascii="宋体" w:hAnsi="宋体" w:eastAsia="宋体" w:cs="宋体"/>
          <w:spacing w:val="16"/>
          <w:sz w:val="21"/>
          <w:szCs w:val="21"/>
        </w:rPr>
        <w:t>年</w:t>
      </w:r>
      <w:r>
        <w:rPr>
          <w:rFonts w:hint="eastAsia" w:ascii="宋体" w:hAnsi="宋体" w:eastAsia="宋体" w:cs="宋体"/>
          <w:spacing w:val="13"/>
          <w:sz w:val="21"/>
          <w:szCs w:val="21"/>
        </w:rPr>
        <w:t>江南制造局</w:t>
      </w:r>
      <w:r>
        <w:rPr>
          <w:rFonts w:hint="eastAsia" w:ascii="宋体" w:hAnsi="宋体" w:eastAsia="宋体" w:cs="宋体"/>
          <w:spacing w:val="13"/>
          <w:position w:val="1"/>
          <w:sz w:val="21"/>
          <w:szCs w:val="21"/>
        </w:rPr>
        <w:t>、</w:t>
      </w:r>
      <w:r>
        <w:rPr>
          <w:rFonts w:hint="eastAsia" w:ascii="宋体" w:hAnsi="宋体" w:eastAsia="宋体" w:cs="宋体"/>
          <w:spacing w:val="13"/>
          <w:position w:val="-2"/>
          <w:sz w:val="21"/>
          <w:szCs w:val="21"/>
        </w:rPr>
        <w:t>1872</w:t>
      </w:r>
      <w:r>
        <w:rPr>
          <w:rFonts w:hint="eastAsia" w:ascii="宋体" w:hAnsi="宋体" w:eastAsia="宋体" w:cs="宋体"/>
          <w:spacing w:val="13"/>
          <w:sz w:val="21"/>
          <w:szCs w:val="21"/>
        </w:rPr>
        <w:t>年轮船招商局等近代工业企业的诞生</w:t>
      </w:r>
      <w:r>
        <w:rPr>
          <w:rFonts w:hint="eastAsia" w:ascii="宋体" w:hAnsi="宋体" w:eastAsia="宋体" w:cs="宋体"/>
          <w:spacing w:val="13"/>
          <w:position w:val="1"/>
          <w:sz w:val="21"/>
          <w:szCs w:val="21"/>
        </w:rPr>
        <w:t>,</w:t>
      </w:r>
      <w:r>
        <w:rPr>
          <w:rFonts w:hint="eastAsia" w:ascii="宋体" w:hAnsi="宋体" w:eastAsia="宋体" w:cs="宋体"/>
          <w:spacing w:val="13"/>
          <w:position w:val="-2"/>
          <w:sz w:val="21"/>
          <w:szCs w:val="21"/>
        </w:rPr>
        <w:t>1881</w:t>
      </w:r>
      <w:r>
        <w:rPr>
          <w:rFonts w:hint="eastAsia" w:ascii="宋体" w:hAnsi="宋体" w:eastAsia="宋体" w:cs="宋体"/>
          <w:spacing w:val="13"/>
          <w:sz w:val="21"/>
          <w:szCs w:val="21"/>
        </w:rPr>
        <w:t>年唐胥铁路</w:t>
      </w:r>
      <w:r>
        <w:rPr>
          <w:rFonts w:hint="eastAsia" w:ascii="宋体" w:hAnsi="宋体" w:eastAsia="宋体" w:cs="宋体"/>
          <w:spacing w:val="12"/>
          <w:position w:val="1"/>
          <w:sz w:val="21"/>
          <w:szCs w:val="21"/>
        </w:rPr>
        <w:t>、</w:t>
      </w:r>
      <w:r>
        <w:rPr>
          <w:rFonts w:hint="eastAsia" w:ascii="宋体" w:hAnsi="宋体" w:eastAsia="宋体" w:cs="宋体"/>
          <w:spacing w:val="12"/>
          <w:position w:val="-2"/>
          <w:sz w:val="21"/>
          <w:szCs w:val="21"/>
        </w:rPr>
        <w:t>1909</w:t>
      </w:r>
      <w:r>
        <w:rPr>
          <w:rFonts w:hint="eastAsia" w:ascii="宋体" w:hAnsi="宋体" w:eastAsia="宋体" w:cs="宋体"/>
          <w:spacing w:val="12"/>
          <w:sz w:val="21"/>
          <w:szCs w:val="21"/>
        </w:rPr>
        <w:t>年京</w:t>
      </w:r>
      <w:r>
        <w:rPr>
          <w:rFonts w:hint="eastAsia" w:ascii="宋体" w:hAnsi="宋体" w:eastAsia="宋体" w:cs="宋体"/>
          <w:spacing w:val="16"/>
          <w:sz w:val="21"/>
          <w:szCs w:val="21"/>
        </w:rPr>
        <w:t>张铁路等近代交通设施的建设以及</w:t>
      </w:r>
      <w:r>
        <w:rPr>
          <w:rFonts w:hint="eastAsia" w:ascii="宋体" w:hAnsi="宋体" w:eastAsia="宋体" w:cs="宋体"/>
          <w:spacing w:val="16"/>
          <w:position w:val="-2"/>
          <w:sz w:val="21"/>
          <w:szCs w:val="21"/>
        </w:rPr>
        <w:t>1862</w:t>
      </w:r>
      <w:r>
        <w:rPr>
          <w:rFonts w:hint="eastAsia" w:ascii="宋体" w:hAnsi="宋体" w:eastAsia="宋体" w:cs="宋体"/>
          <w:spacing w:val="16"/>
          <w:sz w:val="21"/>
          <w:szCs w:val="21"/>
        </w:rPr>
        <w:t>年京</w:t>
      </w:r>
      <w:r>
        <w:rPr>
          <w:rFonts w:hint="eastAsia" w:ascii="宋体" w:hAnsi="宋体" w:eastAsia="宋体" w:cs="宋体"/>
          <w:spacing w:val="15"/>
          <w:sz w:val="21"/>
          <w:szCs w:val="21"/>
        </w:rPr>
        <w:t>师同文馆、</w:t>
      </w:r>
      <w:r>
        <w:rPr>
          <w:rFonts w:hint="eastAsia" w:ascii="宋体" w:hAnsi="宋体" w:eastAsia="宋体" w:cs="宋体"/>
          <w:spacing w:val="15"/>
          <w:position w:val="-2"/>
          <w:sz w:val="21"/>
          <w:szCs w:val="21"/>
        </w:rPr>
        <w:t>1928</w:t>
      </w:r>
      <w:r>
        <w:rPr>
          <w:rFonts w:hint="eastAsia" w:ascii="宋体" w:hAnsi="宋体" w:eastAsia="宋体" w:cs="宋体"/>
          <w:spacing w:val="15"/>
          <w:sz w:val="21"/>
          <w:szCs w:val="21"/>
        </w:rPr>
        <w:t>年中央研究院等近代教育</w:t>
      </w:r>
      <w:r>
        <w:rPr>
          <w:rFonts w:hint="eastAsia" w:ascii="宋体" w:hAnsi="宋体" w:eastAsia="宋体" w:cs="宋体"/>
          <w:spacing w:val="20"/>
          <w:sz w:val="21"/>
          <w:szCs w:val="21"/>
        </w:rPr>
        <w:t>与科技发展的萌芽,但这些基本上都是被迫开始的,屡屡</w:t>
      </w:r>
      <w:r>
        <w:rPr>
          <w:rFonts w:hint="eastAsia" w:ascii="宋体" w:hAnsi="宋体" w:eastAsia="宋体" w:cs="宋体"/>
          <w:spacing w:val="19"/>
          <w:sz w:val="21"/>
          <w:szCs w:val="21"/>
        </w:rPr>
        <w:t>受限甚至中断,因而其所呈</w:t>
      </w:r>
      <w:r>
        <w:rPr>
          <w:rFonts w:hint="eastAsia" w:ascii="宋体" w:hAnsi="宋体" w:eastAsia="宋体" w:cs="宋体"/>
          <w:spacing w:val="18"/>
          <w:sz w:val="21"/>
          <w:szCs w:val="21"/>
        </w:rPr>
        <w:t>现出的现代化是局部的、不可持续的以及缺乏自主性的。在没有民族独立的历史背景下,在西强东弱的资本主义世界体系格局下,近代中国的现代化是一种畸形的现代化,</w:t>
      </w:r>
      <w:r>
        <w:rPr>
          <w:rFonts w:hint="eastAsia" w:ascii="宋体" w:hAnsi="宋体" w:eastAsia="宋体" w:cs="宋体"/>
          <w:spacing w:val="22"/>
          <w:sz w:val="21"/>
          <w:szCs w:val="21"/>
        </w:rPr>
        <w:t>如同无根之木、无源之水。直至中国共产党的成立及其所领</w:t>
      </w:r>
      <w:r>
        <w:rPr>
          <w:rFonts w:hint="eastAsia" w:ascii="宋体" w:hAnsi="宋体" w:eastAsia="宋体" w:cs="宋体"/>
          <w:spacing w:val="21"/>
          <w:sz w:val="21"/>
          <w:szCs w:val="21"/>
        </w:rPr>
        <w:t>导的新民主主义革命的胜</w:t>
      </w:r>
      <w:r>
        <w:rPr>
          <w:rFonts w:hint="eastAsia" w:ascii="宋体" w:hAnsi="宋体" w:eastAsia="宋体" w:cs="宋体"/>
          <w:spacing w:val="16"/>
          <w:sz w:val="21"/>
          <w:szCs w:val="21"/>
        </w:rPr>
        <w:t>利,民族独立和人民解放才得以实现并为自主发展现代化创造了历史条件。</w:t>
      </w:r>
    </w:p>
    <w:p w14:paraId="38DE2AF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新中国成立以后,以毛泽东同志为主要代表的中国共产党人开始独立探</w:t>
      </w:r>
      <w:r>
        <w:rPr>
          <w:rFonts w:hint="eastAsia" w:ascii="宋体" w:hAnsi="宋体" w:eastAsia="宋体" w:cs="宋体"/>
          <w:spacing w:val="21"/>
          <w:sz w:val="21"/>
          <w:szCs w:val="21"/>
        </w:rPr>
        <w:t>索中国式</w:t>
      </w:r>
      <w:r>
        <w:rPr>
          <w:rFonts w:hint="eastAsia" w:ascii="宋体" w:hAnsi="宋体" w:eastAsia="宋体" w:cs="宋体"/>
          <w:spacing w:val="2"/>
          <w:sz w:val="21"/>
          <w:szCs w:val="21"/>
        </w:rPr>
        <w:t>现代化道路,从最初主张建设“工业现代化”,到提出“</w:t>
      </w:r>
      <w:r>
        <w:rPr>
          <w:rFonts w:hint="eastAsia" w:ascii="宋体" w:hAnsi="宋体" w:eastAsia="宋体" w:cs="宋体"/>
          <w:spacing w:val="1"/>
          <w:sz w:val="21"/>
          <w:szCs w:val="21"/>
        </w:rPr>
        <w:t>四个现代化”思想,再到将</w:t>
      </w:r>
      <w:r>
        <w:rPr>
          <w:rFonts w:hint="eastAsia" w:ascii="宋体" w:hAnsi="宋体" w:eastAsia="宋体" w:cs="宋体"/>
          <w:sz w:val="21"/>
          <w:szCs w:val="21"/>
        </w:rPr>
        <w:t>“四个现代化”的内容从“现代化工业、现代</w:t>
      </w:r>
      <w:r>
        <w:rPr>
          <w:rFonts w:hint="eastAsia" w:ascii="宋体" w:hAnsi="宋体" w:eastAsia="宋体" w:cs="宋体"/>
          <w:spacing w:val="-1"/>
          <w:sz w:val="21"/>
          <w:szCs w:val="21"/>
        </w:rPr>
        <w:t>化农业、现代化交通运输业和现代化国</w:t>
      </w:r>
      <w:r>
        <w:rPr>
          <w:rFonts w:hint="eastAsia" w:ascii="宋体" w:hAnsi="宋体" w:eastAsia="宋体" w:cs="宋体"/>
          <w:spacing w:val="14"/>
          <w:sz w:val="21"/>
          <w:szCs w:val="21"/>
        </w:rPr>
        <w:t>防”调整为“现代化工业、现代化农业、现代化科技和现代化国防”,深刻体现了我国</w:t>
      </w:r>
      <w:r>
        <w:rPr>
          <w:rFonts w:hint="eastAsia" w:ascii="宋体" w:hAnsi="宋体" w:eastAsia="宋体" w:cs="宋体"/>
          <w:spacing w:val="16"/>
          <w:sz w:val="21"/>
          <w:szCs w:val="21"/>
        </w:rPr>
        <w:t>已经彻底实现了从过去“被动卷入”西方现代化到“主动构建”中国式现代化的根本</w:t>
      </w:r>
      <w:r>
        <w:rPr>
          <w:rFonts w:hint="eastAsia" w:ascii="宋体" w:hAnsi="宋体" w:eastAsia="宋体" w:cs="宋体"/>
          <w:spacing w:val="23"/>
          <w:sz w:val="21"/>
          <w:szCs w:val="21"/>
        </w:rPr>
        <w:t>转变。虽然这一过程充满了艰难曲折,但是其开创性意义是</w:t>
      </w:r>
      <w:r>
        <w:rPr>
          <w:rFonts w:hint="eastAsia" w:ascii="宋体" w:hAnsi="宋体" w:eastAsia="宋体" w:cs="宋体"/>
          <w:spacing w:val="22"/>
          <w:sz w:val="21"/>
          <w:szCs w:val="21"/>
        </w:rPr>
        <w:t>巨大的,对于此后我国推进现代化的各项工作搭建了基本的理论和实践框架。改革开放之后,以邓小平同志为</w:t>
      </w:r>
      <w:r>
        <w:rPr>
          <w:rFonts w:hint="eastAsia" w:ascii="宋体" w:hAnsi="宋体" w:eastAsia="宋体" w:cs="宋体"/>
          <w:spacing w:val="17"/>
          <w:sz w:val="21"/>
          <w:szCs w:val="21"/>
        </w:rPr>
        <w:t>主要代表的中国共产党人于</w:t>
      </w:r>
      <w:r>
        <w:rPr>
          <w:rFonts w:hint="eastAsia" w:ascii="宋体" w:hAnsi="宋体" w:eastAsia="宋体" w:cs="宋体"/>
          <w:spacing w:val="17"/>
          <w:position w:val="-2"/>
          <w:sz w:val="21"/>
          <w:szCs w:val="21"/>
        </w:rPr>
        <w:t>1979</w:t>
      </w:r>
      <w:r>
        <w:rPr>
          <w:rFonts w:hint="eastAsia" w:ascii="宋体" w:hAnsi="宋体" w:eastAsia="宋体" w:cs="宋体"/>
          <w:spacing w:val="17"/>
          <w:sz w:val="21"/>
          <w:szCs w:val="21"/>
        </w:rPr>
        <w:t>年首次提出走</w:t>
      </w:r>
      <w:r>
        <w:rPr>
          <w:rFonts w:hint="eastAsia" w:ascii="宋体" w:hAnsi="宋体" w:eastAsia="宋体" w:cs="宋体"/>
          <w:spacing w:val="16"/>
          <w:sz w:val="21"/>
          <w:szCs w:val="21"/>
        </w:rPr>
        <w:t>“中国式的现代化道路”以及中国现代化建设“三步走”的战略构想,让我国的现代化之路更加具有计划性和目标感,现代</w:t>
      </w:r>
      <w:r>
        <w:rPr>
          <w:rFonts w:hint="eastAsia" w:ascii="宋体" w:hAnsi="宋体" w:eastAsia="宋体" w:cs="宋体"/>
          <w:spacing w:val="17"/>
          <w:sz w:val="21"/>
          <w:szCs w:val="21"/>
        </w:rPr>
        <w:t>化有了可以依循的“路径”,更充分地体现了我国构建现代化道路</w:t>
      </w:r>
      <w:r>
        <w:rPr>
          <w:rFonts w:hint="eastAsia" w:ascii="宋体" w:hAnsi="宋体" w:eastAsia="宋体" w:cs="宋体"/>
          <w:spacing w:val="16"/>
          <w:sz w:val="21"/>
          <w:szCs w:val="21"/>
        </w:rPr>
        <w:t>的主动性、独立性。</w:t>
      </w:r>
      <w:r>
        <w:rPr>
          <w:rFonts w:hint="eastAsia" w:ascii="宋体" w:hAnsi="宋体" w:eastAsia="宋体" w:cs="宋体"/>
          <w:spacing w:val="23"/>
          <w:sz w:val="21"/>
          <w:szCs w:val="21"/>
        </w:rPr>
        <w:t>在此之后,经过几代中国共产党人的努力,中国式的现代化在内容和形式上</w:t>
      </w:r>
      <w:r>
        <w:rPr>
          <w:rFonts w:hint="eastAsia" w:ascii="宋体" w:hAnsi="宋体" w:eastAsia="宋体" w:cs="宋体"/>
          <w:spacing w:val="22"/>
          <w:sz w:val="21"/>
          <w:szCs w:val="21"/>
        </w:rPr>
        <w:t>更加丰富</w:t>
      </w:r>
      <w:r>
        <w:rPr>
          <w:rFonts w:hint="eastAsia" w:ascii="宋体" w:hAnsi="宋体" w:eastAsia="宋体" w:cs="宋体"/>
          <w:spacing w:val="20"/>
          <w:sz w:val="21"/>
          <w:szCs w:val="21"/>
        </w:rPr>
        <w:t>和深入,不再仅限于经济领域,而是拓展到政治、精神文明乃</w:t>
      </w:r>
      <w:r>
        <w:rPr>
          <w:rFonts w:hint="eastAsia" w:ascii="宋体" w:hAnsi="宋体" w:eastAsia="宋体" w:cs="宋体"/>
          <w:spacing w:val="19"/>
          <w:sz w:val="21"/>
          <w:szCs w:val="21"/>
        </w:rPr>
        <w:t>至政党建设等多个领域,</w:t>
      </w:r>
      <w:r>
        <w:rPr>
          <w:rFonts w:hint="eastAsia" w:ascii="宋体" w:hAnsi="宋体" w:eastAsia="宋体" w:cs="宋体"/>
          <w:spacing w:val="22"/>
          <w:sz w:val="21"/>
          <w:szCs w:val="21"/>
        </w:rPr>
        <w:t>进一步为我国现代化建设指明了方向。</w:t>
      </w:r>
    </w:p>
    <w:p w14:paraId="327A954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rPr>
          <w:rFonts w:hint="eastAsia" w:ascii="宋体" w:hAnsi="宋体" w:eastAsia="宋体" w:cs="宋体"/>
          <w:sz w:val="21"/>
          <w:szCs w:val="21"/>
        </w:rPr>
      </w:pPr>
      <w:r>
        <w:rPr>
          <w:rFonts w:hint="eastAsia" w:ascii="宋体" w:hAnsi="宋体" w:eastAsia="宋体" w:cs="宋体"/>
          <w:b/>
          <w:bCs/>
          <w:spacing w:val="14"/>
          <w:sz w:val="21"/>
          <w:szCs w:val="21"/>
        </w:rPr>
        <w:t>(二)新时代中国式现代化的进一步探索和内涵深化</w:t>
      </w:r>
    </w:p>
    <w:p w14:paraId="32BAF46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宋体" w:hAnsi="宋体" w:eastAsia="宋体" w:cs="宋体"/>
          <w:sz w:val="21"/>
          <w:szCs w:val="21"/>
        </w:rPr>
      </w:pPr>
      <w:r>
        <w:rPr>
          <w:rFonts w:hint="eastAsia" w:ascii="宋体" w:hAnsi="宋体" w:eastAsia="宋体" w:cs="宋体"/>
          <w:spacing w:val="16"/>
          <w:sz w:val="21"/>
          <w:szCs w:val="21"/>
        </w:rPr>
        <w:t>党的十八大之后,我国社会主义建设进入了新时代。</w:t>
      </w:r>
      <w:r>
        <w:rPr>
          <w:rFonts w:hint="eastAsia" w:ascii="宋体" w:hAnsi="宋体" w:eastAsia="宋体" w:cs="宋体"/>
          <w:spacing w:val="16"/>
          <w:position w:val="-2"/>
          <w:sz w:val="21"/>
          <w:szCs w:val="21"/>
        </w:rPr>
        <w:t>2013</w:t>
      </w:r>
      <w:r>
        <w:rPr>
          <w:rFonts w:hint="eastAsia" w:ascii="宋体" w:hAnsi="宋体" w:eastAsia="宋体" w:cs="宋体"/>
          <w:spacing w:val="16"/>
          <w:sz w:val="21"/>
          <w:szCs w:val="21"/>
        </w:rPr>
        <w:t>年</w:t>
      </w:r>
      <w:r>
        <w:rPr>
          <w:rFonts w:hint="eastAsia" w:ascii="宋体" w:hAnsi="宋体" w:eastAsia="宋体" w:cs="宋体"/>
          <w:spacing w:val="16"/>
          <w:position w:val="-2"/>
          <w:sz w:val="21"/>
          <w:szCs w:val="21"/>
        </w:rPr>
        <w:t>9</w:t>
      </w:r>
      <w:r>
        <w:rPr>
          <w:rFonts w:hint="eastAsia" w:ascii="宋体" w:hAnsi="宋体" w:eastAsia="宋体" w:cs="宋体"/>
          <w:spacing w:val="16"/>
          <w:sz w:val="21"/>
          <w:szCs w:val="21"/>
        </w:rPr>
        <w:t>月</w:t>
      </w:r>
      <w:r>
        <w:rPr>
          <w:rFonts w:hint="eastAsia" w:ascii="宋体" w:hAnsi="宋体" w:eastAsia="宋体" w:cs="宋体"/>
          <w:spacing w:val="15"/>
          <w:sz w:val="21"/>
          <w:szCs w:val="21"/>
        </w:rPr>
        <w:t>,习近平总书记</w:t>
      </w:r>
      <w:r>
        <w:rPr>
          <w:rFonts w:hint="eastAsia" w:ascii="宋体" w:hAnsi="宋体" w:eastAsia="宋体" w:cs="宋体"/>
          <w:spacing w:val="14"/>
          <w:sz w:val="21"/>
          <w:szCs w:val="21"/>
        </w:rPr>
        <w:t>在十八届中央政治局第九次集体学习时指出:“我国现代化同西方发达国家有很</w:t>
      </w:r>
      <w:r>
        <w:rPr>
          <w:rFonts w:hint="eastAsia" w:ascii="宋体" w:hAnsi="宋体" w:eastAsia="宋体" w:cs="宋体"/>
          <w:spacing w:val="13"/>
          <w:sz w:val="21"/>
          <w:szCs w:val="21"/>
        </w:rPr>
        <w:t>大不</w:t>
      </w:r>
      <w:r>
        <w:rPr>
          <w:rFonts w:hint="eastAsia" w:ascii="宋体" w:hAnsi="宋体" w:eastAsia="宋体" w:cs="宋体"/>
          <w:spacing w:val="12"/>
          <w:sz w:val="21"/>
          <w:szCs w:val="21"/>
        </w:rPr>
        <w:t>同。西方发达国家是一个‘串联式’的发展过程,工业化、城镇化、农业现代化、信</w:t>
      </w:r>
      <w:r>
        <w:rPr>
          <w:rFonts w:hint="eastAsia" w:ascii="宋体" w:hAnsi="宋体" w:eastAsia="宋体" w:cs="宋体"/>
          <w:spacing w:val="15"/>
          <w:sz w:val="21"/>
          <w:szCs w:val="21"/>
        </w:rPr>
        <w:t>息化顺序发展,发展到目前水平用了二百多年时间。我们要后</w:t>
      </w:r>
      <w:r>
        <w:rPr>
          <w:rFonts w:hint="eastAsia" w:ascii="宋体" w:hAnsi="宋体" w:eastAsia="宋体" w:cs="宋体"/>
          <w:spacing w:val="14"/>
          <w:sz w:val="21"/>
          <w:szCs w:val="21"/>
        </w:rPr>
        <w:t>来居上,把‘失去的二</w:t>
      </w:r>
      <w:r>
        <w:rPr>
          <w:rFonts w:hint="eastAsia" w:ascii="宋体" w:hAnsi="宋体" w:eastAsia="宋体" w:cs="宋体"/>
          <w:spacing w:val="3"/>
          <w:sz w:val="21"/>
          <w:szCs w:val="21"/>
        </w:rPr>
        <w:t>百年’找回来,决定了我国发展必然是一个‘并联式’的过程,工业化、信息化、城</w:t>
      </w:r>
      <w:r>
        <w:rPr>
          <w:rFonts w:hint="eastAsia" w:ascii="宋体" w:hAnsi="宋体" w:eastAsia="宋体" w:cs="宋体"/>
          <w:spacing w:val="13"/>
          <w:sz w:val="21"/>
          <w:szCs w:val="21"/>
        </w:rPr>
        <w:t>镇化、农业现代化是叠加发展的。”</w:t>
      </w:r>
      <w:r>
        <w:rPr>
          <w:rStyle w:val="20"/>
          <w:rFonts w:hint="eastAsia" w:ascii="宋体" w:hAnsi="宋体" w:eastAsia="宋体" w:cs="宋体"/>
          <w:spacing w:val="13"/>
          <w:sz w:val="21"/>
          <w:szCs w:val="21"/>
        </w:rPr>
        <w:footnoteReference w:id="1369"/>
      </w:r>
      <w:r>
        <w:rPr>
          <w:rFonts w:hint="eastAsia" w:ascii="宋体" w:hAnsi="宋体" w:eastAsia="宋体" w:cs="宋体"/>
          <w:spacing w:val="13"/>
          <w:sz w:val="21"/>
          <w:szCs w:val="21"/>
        </w:rPr>
        <w:t>这一重要论述表明,我国的现代化建设与西方现</w:t>
      </w:r>
      <w:r>
        <w:rPr>
          <w:rFonts w:hint="eastAsia" w:ascii="宋体" w:hAnsi="宋体" w:eastAsia="宋体" w:cs="宋体"/>
          <w:spacing w:val="17"/>
          <w:sz w:val="21"/>
          <w:szCs w:val="21"/>
        </w:rPr>
        <w:t>代化在内涵、形式与路径上是截然不同的,而且我们要采取赶超的战略来实现现代化。</w:t>
      </w:r>
    </w:p>
    <w:p w14:paraId="1298EC8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在此后的十年间,以习近平同志为核心的党中央立足中华</w:t>
      </w:r>
      <w:r>
        <w:rPr>
          <w:rFonts w:hint="eastAsia" w:ascii="宋体" w:hAnsi="宋体" w:eastAsia="宋体" w:cs="宋体"/>
          <w:spacing w:val="21"/>
          <w:sz w:val="21"/>
          <w:szCs w:val="21"/>
        </w:rPr>
        <w:t>民族伟大复兴战略全局和世</w:t>
      </w:r>
      <w:r>
        <w:rPr>
          <w:rFonts w:hint="eastAsia" w:ascii="宋体" w:hAnsi="宋体" w:eastAsia="宋体" w:cs="宋体"/>
          <w:spacing w:val="16"/>
          <w:sz w:val="21"/>
          <w:szCs w:val="21"/>
        </w:rPr>
        <w:t>界百年未有之大变局,统筹推进“五位一体”总体布局,提出了一系列促进现代化的</w:t>
      </w:r>
      <w:r>
        <w:rPr>
          <w:rFonts w:hint="eastAsia" w:ascii="宋体" w:hAnsi="宋体" w:eastAsia="宋体" w:cs="宋体"/>
          <w:spacing w:val="13"/>
          <w:sz w:val="21"/>
          <w:szCs w:val="21"/>
        </w:rPr>
        <w:t>战略理念和政策举措,如新发展理念、“两山</w:t>
      </w:r>
      <w:r>
        <w:rPr>
          <w:rFonts w:hint="eastAsia" w:ascii="宋体" w:hAnsi="宋体" w:eastAsia="宋体" w:cs="宋体"/>
          <w:spacing w:val="12"/>
          <w:sz w:val="21"/>
          <w:szCs w:val="21"/>
        </w:rPr>
        <w:t>”理论、供给侧结构性改革、建设现代化</w:t>
      </w:r>
      <w:r>
        <w:rPr>
          <w:rFonts w:hint="eastAsia" w:ascii="宋体" w:hAnsi="宋体" w:eastAsia="宋体" w:cs="宋体"/>
          <w:spacing w:val="17"/>
          <w:sz w:val="21"/>
          <w:szCs w:val="21"/>
        </w:rPr>
        <w:t>经济体系、构建人类命运共同体等等,让我国的现代化之路越来越清晰。</w:t>
      </w:r>
      <w:r>
        <w:rPr>
          <w:rFonts w:hint="eastAsia" w:ascii="宋体" w:hAnsi="宋体" w:eastAsia="宋体" w:cs="宋体"/>
          <w:spacing w:val="17"/>
          <w:position w:val="-2"/>
          <w:sz w:val="21"/>
          <w:szCs w:val="21"/>
        </w:rPr>
        <w:t>2017</w:t>
      </w:r>
      <w:r>
        <w:rPr>
          <w:rFonts w:hint="eastAsia" w:ascii="宋体" w:hAnsi="宋体" w:eastAsia="宋体" w:cs="宋体"/>
          <w:spacing w:val="17"/>
          <w:sz w:val="21"/>
          <w:szCs w:val="21"/>
        </w:rPr>
        <w:t>年党的</w:t>
      </w:r>
      <w:r>
        <w:rPr>
          <w:rFonts w:hint="eastAsia" w:ascii="宋体" w:hAnsi="宋体" w:eastAsia="宋体" w:cs="宋体"/>
          <w:spacing w:val="19"/>
          <w:sz w:val="21"/>
          <w:szCs w:val="21"/>
        </w:rPr>
        <w:t>十九大报告还将原“三步走”战略中本世纪中叶基本实现社会主义现代化的</w:t>
      </w:r>
      <w:r>
        <w:rPr>
          <w:rFonts w:hint="eastAsia" w:ascii="宋体" w:hAnsi="宋体" w:eastAsia="宋体" w:cs="宋体"/>
          <w:spacing w:val="18"/>
          <w:sz w:val="21"/>
          <w:szCs w:val="21"/>
        </w:rPr>
        <w:t>构想缩短</w:t>
      </w:r>
      <w:r>
        <w:rPr>
          <w:rFonts w:hint="eastAsia" w:ascii="宋体" w:hAnsi="宋体" w:eastAsia="宋体" w:cs="宋体"/>
          <w:spacing w:val="12"/>
          <w:position w:val="-2"/>
          <w:sz w:val="21"/>
          <w:szCs w:val="21"/>
        </w:rPr>
        <w:t>15</w:t>
      </w:r>
      <w:r>
        <w:rPr>
          <w:rFonts w:hint="eastAsia" w:ascii="宋体" w:hAnsi="宋体" w:eastAsia="宋体" w:cs="宋体"/>
          <w:spacing w:val="12"/>
          <w:sz w:val="21"/>
          <w:szCs w:val="21"/>
        </w:rPr>
        <w:t>年,确定分“两步走”全面建成社会主义现代化强国,即从</w:t>
      </w:r>
      <w:r>
        <w:rPr>
          <w:rFonts w:hint="eastAsia" w:ascii="宋体" w:hAnsi="宋体" w:eastAsia="宋体" w:cs="宋体"/>
          <w:spacing w:val="12"/>
          <w:position w:val="-2"/>
          <w:sz w:val="21"/>
          <w:szCs w:val="21"/>
        </w:rPr>
        <w:t>2020</w:t>
      </w:r>
      <w:r>
        <w:rPr>
          <w:rFonts w:hint="eastAsia" w:ascii="宋体" w:hAnsi="宋体" w:eastAsia="宋体" w:cs="宋体"/>
          <w:spacing w:val="12"/>
          <w:sz w:val="21"/>
          <w:szCs w:val="21"/>
        </w:rPr>
        <w:t>年到</w:t>
      </w:r>
      <w:r>
        <w:rPr>
          <w:rFonts w:hint="eastAsia" w:ascii="宋体" w:hAnsi="宋体" w:eastAsia="宋体" w:cs="宋体"/>
          <w:spacing w:val="12"/>
          <w:position w:val="-2"/>
          <w:sz w:val="21"/>
          <w:szCs w:val="21"/>
        </w:rPr>
        <w:t>2035</w:t>
      </w:r>
      <w:r>
        <w:rPr>
          <w:rFonts w:hint="eastAsia" w:ascii="宋体" w:hAnsi="宋体" w:eastAsia="宋体" w:cs="宋体"/>
          <w:spacing w:val="12"/>
          <w:sz w:val="21"/>
          <w:szCs w:val="21"/>
        </w:rPr>
        <w:t>年基本</w:t>
      </w:r>
      <w:r>
        <w:rPr>
          <w:rFonts w:hint="eastAsia" w:ascii="宋体" w:hAnsi="宋体" w:eastAsia="宋体" w:cs="宋体"/>
          <w:spacing w:val="18"/>
          <w:sz w:val="21"/>
          <w:szCs w:val="21"/>
        </w:rPr>
        <w:t>实现社会主义现代化,从</w:t>
      </w:r>
      <w:r>
        <w:rPr>
          <w:rFonts w:hint="eastAsia" w:ascii="宋体" w:hAnsi="宋体" w:eastAsia="宋体" w:cs="宋体"/>
          <w:spacing w:val="18"/>
          <w:position w:val="-2"/>
          <w:sz w:val="21"/>
          <w:szCs w:val="21"/>
        </w:rPr>
        <w:t>2035</w:t>
      </w:r>
      <w:r>
        <w:rPr>
          <w:rFonts w:hint="eastAsia" w:ascii="宋体" w:hAnsi="宋体" w:eastAsia="宋体" w:cs="宋体"/>
          <w:spacing w:val="18"/>
          <w:sz w:val="21"/>
          <w:szCs w:val="21"/>
        </w:rPr>
        <w:t>年到本世纪中叶把中国建成富强民主文明和谐美丽的社</w:t>
      </w:r>
      <w:r>
        <w:rPr>
          <w:rFonts w:hint="eastAsia" w:ascii="宋体" w:hAnsi="宋体" w:eastAsia="宋体" w:cs="宋体"/>
          <w:spacing w:val="15"/>
          <w:sz w:val="21"/>
          <w:szCs w:val="21"/>
        </w:rPr>
        <w:t>会主义现代化强国。</w:t>
      </w:r>
    </w:p>
    <w:p w14:paraId="38A10BD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宋体" w:hAnsi="宋体" w:eastAsia="宋体" w:cs="宋体"/>
          <w:sz w:val="21"/>
          <w:szCs w:val="21"/>
        </w:rPr>
      </w:pPr>
      <w:r>
        <w:rPr>
          <w:rFonts w:hint="eastAsia" w:ascii="宋体" w:hAnsi="宋体" w:eastAsia="宋体" w:cs="宋体"/>
          <w:spacing w:val="16"/>
          <w:position w:val="-2"/>
          <w:sz w:val="21"/>
          <w:szCs w:val="21"/>
        </w:rPr>
        <w:t>2021</w:t>
      </w:r>
      <w:r>
        <w:rPr>
          <w:rFonts w:hint="eastAsia" w:ascii="宋体" w:hAnsi="宋体" w:eastAsia="宋体" w:cs="宋体"/>
          <w:spacing w:val="16"/>
          <w:sz w:val="21"/>
          <w:szCs w:val="21"/>
        </w:rPr>
        <w:t>年</w:t>
      </w:r>
      <w:r>
        <w:rPr>
          <w:rFonts w:hint="eastAsia" w:ascii="宋体" w:hAnsi="宋体" w:eastAsia="宋体" w:cs="宋体"/>
          <w:spacing w:val="16"/>
          <w:position w:val="-2"/>
          <w:sz w:val="21"/>
          <w:szCs w:val="21"/>
        </w:rPr>
        <w:t>7</w:t>
      </w:r>
      <w:r>
        <w:rPr>
          <w:rFonts w:hint="eastAsia" w:ascii="宋体" w:hAnsi="宋体" w:eastAsia="宋体" w:cs="宋体"/>
          <w:spacing w:val="16"/>
          <w:sz w:val="21"/>
          <w:szCs w:val="21"/>
        </w:rPr>
        <w:t>月</w:t>
      </w:r>
      <w:r>
        <w:rPr>
          <w:rFonts w:hint="eastAsia" w:ascii="宋体" w:hAnsi="宋体" w:eastAsia="宋体" w:cs="宋体"/>
          <w:spacing w:val="16"/>
          <w:position w:val="-2"/>
          <w:sz w:val="21"/>
          <w:szCs w:val="21"/>
        </w:rPr>
        <w:t>1</w:t>
      </w:r>
      <w:r>
        <w:rPr>
          <w:rFonts w:hint="eastAsia" w:ascii="宋体" w:hAnsi="宋体" w:eastAsia="宋体" w:cs="宋体"/>
          <w:spacing w:val="16"/>
          <w:sz w:val="21"/>
          <w:szCs w:val="21"/>
        </w:rPr>
        <w:t>日,在庆祝中国共产党成立</w:t>
      </w:r>
      <w:r>
        <w:rPr>
          <w:rFonts w:hint="eastAsia" w:ascii="宋体" w:hAnsi="宋体" w:eastAsia="宋体" w:cs="宋体"/>
          <w:spacing w:val="16"/>
          <w:position w:val="-2"/>
          <w:sz w:val="21"/>
          <w:szCs w:val="21"/>
        </w:rPr>
        <w:t>100</w:t>
      </w:r>
      <w:r>
        <w:rPr>
          <w:rFonts w:hint="eastAsia" w:ascii="宋体" w:hAnsi="宋体" w:eastAsia="宋体" w:cs="宋体"/>
          <w:spacing w:val="16"/>
          <w:sz w:val="21"/>
          <w:szCs w:val="21"/>
        </w:rPr>
        <w:t>周年大会上的讲话中习近平总书记</w:t>
      </w:r>
      <w:r>
        <w:rPr>
          <w:rFonts w:hint="eastAsia" w:ascii="宋体" w:hAnsi="宋体" w:eastAsia="宋体" w:cs="宋体"/>
          <w:spacing w:val="13"/>
          <w:sz w:val="21"/>
          <w:szCs w:val="21"/>
        </w:rPr>
        <w:t>首次正式提出“中国式现代化道路”:“我们坚持和发展中国特色社会主义,推动物质</w:t>
      </w:r>
      <w:r>
        <w:rPr>
          <w:rFonts w:hint="eastAsia" w:ascii="宋体" w:hAnsi="宋体" w:eastAsia="宋体" w:cs="宋体"/>
          <w:spacing w:val="19"/>
          <w:sz w:val="21"/>
          <w:szCs w:val="21"/>
        </w:rPr>
        <w:t>文明、政治文明、精神文明、社会文明、生态文明协调发</w:t>
      </w:r>
      <w:r>
        <w:rPr>
          <w:rFonts w:hint="eastAsia" w:ascii="宋体" w:hAnsi="宋体" w:eastAsia="宋体" w:cs="宋体"/>
          <w:spacing w:val="18"/>
          <w:sz w:val="21"/>
          <w:szCs w:val="21"/>
        </w:rPr>
        <w:t>展,创造了中国式现代化新</w:t>
      </w:r>
      <w:r>
        <w:rPr>
          <w:rFonts w:hint="eastAsia" w:ascii="宋体" w:hAnsi="宋体" w:eastAsia="宋体" w:cs="宋体"/>
          <w:spacing w:val="9"/>
          <w:sz w:val="21"/>
          <w:szCs w:val="21"/>
        </w:rPr>
        <w:t>道路,创造了人类文明新形态。”</w:t>
      </w:r>
      <w:r>
        <w:rPr>
          <w:rStyle w:val="20"/>
          <w:rFonts w:hint="eastAsia" w:ascii="宋体" w:hAnsi="宋体" w:eastAsia="宋体" w:cs="宋体"/>
          <w:spacing w:val="9"/>
          <w:sz w:val="21"/>
          <w:szCs w:val="21"/>
        </w:rPr>
        <w:footnoteReference w:id="1370"/>
      </w:r>
      <w:r>
        <w:rPr>
          <w:rFonts w:hint="eastAsia" w:ascii="宋体" w:hAnsi="宋体" w:eastAsia="宋体" w:cs="宋体"/>
          <w:spacing w:val="9"/>
          <w:position w:val="-2"/>
          <w:sz w:val="21"/>
          <w:szCs w:val="21"/>
        </w:rPr>
        <w:t>2022</w:t>
      </w:r>
      <w:r>
        <w:rPr>
          <w:rFonts w:hint="eastAsia" w:ascii="宋体" w:hAnsi="宋体" w:eastAsia="宋体" w:cs="宋体"/>
          <w:spacing w:val="9"/>
          <w:sz w:val="21"/>
          <w:szCs w:val="21"/>
        </w:rPr>
        <w:t>年</w:t>
      </w:r>
      <w:r>
        <w:rPr>
          <w:rFonts w:hint="eastAsia" w:ascii="宋体" w:hAnsi="宋体" w:eastAsia="宋体" w:cs="宋体"/>
          <w:spacing w:val="9"/>
          <w:position w:val="-2"/>
          <w:sz w:val="21"/>
          <w:szCs w:val="21"/>
        </w:rPr>
        <w:t>10</w:t>
      </w:r>
      <w:r>
        <w:rPr>
          <w:rFonts w:hint="eastAsia" w:ascii="宋体" w:hAnsi="宋体" w:eastAsia="宋体" w:cs="宋体"/>
          <w:spacing w:val="9"/>
          <w:sz w:val="21"/>
          <w:szCs w:val="21"/>
        </w:rPr>
        <w:t>月</w:t>
      </w:r>
      <w:r>
        <w:rPr>
          <w:rFonts w:hint="eastAsia" w:ascii="宋体" w:hAnsi="宋体" w:eastAsia="宋体" w:cs="宋体"/>
          <w:spacing w:val="9"/>
          <w:position w:val="-2"/>
          <w:sz w:val="21"/>
          <w:szCs w:val="21"/>
        </w:rPr>
        <w:t>16</w:t>
      </w:r>
      <w:r>
        <w:rPr>
          <w:rFonts w:hint="eastAsia" w:ascii="宋体" w:hAnsi="宋体" w:eastAsia="宋体" w:cs="宋体"/>
          <w:spacing w:val="9"/>
          <w:sz w:val="21"/>
          <w:szCs w:val="21"/>
        </w:rPr>
        <w:t>日,习近平总</w:t>
      </w:r>
      <w:r>
        <w:rPr>
          <w:rFonts w:hint="eastAsia" w:ascii="宋体" w:hAnsi="宋体" w:eastAsia="宋体" w:cs="宋体"/>
          <w:spacing w:val="8"/>
          <w:sz w:val="21"/>
          <w:szCs w:val="21"/>
        </w:rPr>
        <w:t>书记在党的二十大报</w:t>
      </w:r>
      <w:r>
        <w:rPr>
          <w:rFonts w:hint="eastAsia" w:ascii="宋体" w:hAnsi="宋体" w:eastAsia="宋体" w:cs="宋体"/>
          <w:spacing w:val="21"/>
          <w:sz w:val="21"/>
          <w:szCs w:val="21"/>
        </w:rPr>
        <w:t>告中全面系统阐述了中国式现代化的五大特征,即人口规模巨大的</w:t>
      </w:r>
      <w:r>
        <w:rPr>
          <w:rFonts w:hint="eastAsia" w:ascii="宋体" w:hAnsi="宋体" w:eastAsia="宋体" w:cs="宋体"/>
          <w:spacing w:val="20"/>
          <w:sz w:val="21"/>
          <w:szCs w:val="21"/>
        </w:rPr>
        <w:t>现代化、全体人民共同富裕的现代化、物质文明和精神文明相协调的现代化、人与自然和谐共生的现代</w:t>
      </w:r>
      <w:r>
        <w:rPr>
          <w:rFonts w:hint="eastAsia" w:ascii="宋体" w:hAnsi="宋体" w:eastAsia="宋体" w:cs="宋体"/>
          <w:spacing w:val="22"/>
          <w:sz w:val="21"/>
          <w:szCs w:val="21"/>
        </w:rPr>
        <w:t>化、走和平发展道路的现代化并在此基础上指出了中国</w:t>
      </w:r>
      <w:r>
        <w:rPr>
          <w:rFonts w:hint="eastAsia" w:ascii="宋体" w:hAnsi="宋体" w:eastAsia="宋体" w:cs="宋体"/>
          <w:spacing w:val="21"/>
          <w:sz w:val="21"/>
          <w:szCs w:val="21"/>
        </w:rPr>
        <w:t>式现代化的九条本质要求,包</w:t>
      </w:r>
      <w:r>
        <w:rPr>
          <w:rFonts w:hint="eastAsia" w:ascii="宋体" w:hAnsi="宋体" w:eastAsia="宋体" w:cs="宋体"/>
          <w:spacing w:val="20"/>
          <w:sz w:val="21"/>
          <w:szCs w:val="21"/>
        </w:rPr>
        <w:t>括坚持中国共产党领导,坚持中国特色社会主义,实现高质量发展,发展全过程人民</w:t>
      </w:r>
      <w:r>
        <w:rPr>
          <w:rFonts w:hint="eastAsia" w:ascii="宋体" w:hAnsi="宋体" w:eastAsia="宋体" w:cs="宋体"/>
          <w:spacing w:val="5"/>
          <w:sz w:val="21"/>
          <w:szCs w:val="21"/>
        </w:rPr>
        <w:t>民主,丰富人民精神世界,实现全体人民共同富裕</w:t>
      </w:r>
      <w:r>
        <w:rPr>
          <w:rFonts w:hint="eastAsia" w:ascii="宋体" w:hAnsi="宋体" w:eastAsia="宋体" w:cs="宋体"/>
          <w:spacing w:val="4"/>
          <w:sz w:val="21"/>
          <w:szCs w:val="21"/>
        </w:rPr>
        <w:t>,促进人与自然和谐共生,推动构</w:t>
      </w:r>
      <w:r>
        <w:rPr>
          <w:rFonts w:hint="eastAsia" w:ascii="宋体" w:hAnsi="宋体" w:eastAsia="宋体" w:cs="宋体"/>
          <w:spacing w:val="18"/>
          <w:sz w:val="21"/>
          <w:szCs w:val="21"/>
        </w:rPr>
        <w:t>建人类命运共同体,创造人类文明新形态,清晰指</w:t>
      </w:r>
      <w:r>
        <w:rPr>
          <w:rFonts w:hint="eastAsia" w:ascii="宋体" w:hAnsi="宋体" w:eastAsia="宋体" w:cs="宋体"/>
          <w:spacing w:val="17"/>
          <w:sz w:val="21"/>
          <w:szCs w:val="21"/>
        </w:rPr>
        <w:t>明了实现中国式现代化的领导力量、</w:t>
      </w:r>
      <w:r>
        <w:rPr>
          <w:rFonts w:hint="eastAsia" w:ascii="宋体" w:hAnsi="宋体" w:eastAsia="宋体" w:cs="宋体"/>
          <w:spacing w:val="19"/>
          <w:sz w:val="21"/>
          <w:szCs w:val="21"/>
        </w:rPr>
        <w:t>实践路径和全球责任。</w:t>
      </w:r>
      <w:r>
        <w:rPr>
          <w:rFonts w:hint="eastAsia" w:ascii="宋体" w:hAnsi="宋体" w:eastAsia="宋体" w:cs="宋体"/>
          <w:spacing w:val="19"/>
          <w:position w:val="-2"/>
          <w:sz w:val="21"/>
          <w:szCs w:val="21"/>
        </w:rPr>
        <w:t>2024</w:t>
      </w:r>
      <w:r>
        <w:rPr>
          <w:rFonts w:hint="eastAsia" w:ascii="宋体" w:hAnsi="宋体" w:eastAsia="宋体" w:cs="宋体"/>
          <w:spacing w:val="19"/>
          <w:sz w:val="21"/>
          <w:szCs w:val="21"/>
        </w:rPr>
        <w:t>年党的二十届三中全会通过的《中共中央关于进一步全面</w:t>
      </w:r>
      <w:r>
        <w:rPr>
          <w:rFonts w:hint="eastAsia" w:ascii="宋体" w:hAnsi="宋体" w:eastAsia="宋体" w:cs="宋体"/>
          <w:spacing w:val="17"/>
          <w:sz w:val="21"/>
          <w:szCs w:val="21"/>
        </w:rPr>
        <w:t>深化改革推进中国式现代化的决定》,进一步将中国</w:t>
      </w:r>
      <w:r>
        <w:rPr>
          <w:rFonts w:hint="eastAsia" w:ascii="宋体" w:hAnsi="宋体" w:eastAsia="宋体" w:cs="宋体"/>
          <w:spacing w:val="16"/>
          <w:sz w:val="21"/>
          <w:szCs w:val="21"/>
        </w:rPr>
        <w:t>式现代化建设作为党和国家新时代</w:t>
      </w:r>
      <w:r>
        <w:rPr>
          <w:rFonts w:hint="eastAsia" w:ascii="宋体" w:hAnsi="宋体" w:eastAsia="宋体" w:cs="宋体"/>
          <w:spacing w:val="9"/>
          <w:sz w:val="21"/>
          <w:szCs w:val="21"/>
        </w:rPr>
        <w:t>的中心任务,提出了“七个聚焦”,以加快推进中</w:t>
      </w:r>
      <w:r>
        <w:rPr>
          <w:rFonts w:hint="eastAsia" w:ascii="宋体" w:hAnsi="宋体" w:eastAsia="宋体" w:cs="宋体"/>
          <w:spacing w:val="8"/>
          <w:sz w:val="21"/>
          <w:szCs w:val="21"/>
        </w:rPr>
        <w:t>国式现代化。</w:t>
      </w:r>
    </w:p>
    <w:p w14:paraId="4F8AD54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rPr>
          <w:rFonts w:hint="eastAsia" w:ascii="宋体" w:hAnsi="宋体" w:eastAsia="宋体" w:cs="宋体"/>
          <w:sz w:val="21"/>
          <w:szCs w:val="21"/>
        </w:rPr>
      </w:pPr>
      <w:r>
        <w:rPr>
          <w:rFonts w:hint="eastAsia" w:ascii="宋体" w:hAnsi="宋体" w:eastAsia="宋体" w:cs="宋体"/>
          <w:spacing w:val="19"/>
          <w:sz w:val="21"/>
          <w:szCs w:val="21"/>
        </w:rPr>
        <w:t>由此可见,从新中国成立至今,中</w:t>
      </w:r>
      <w:r>
        <w:rPr>
          <w:rFonts w:hint="eastAsia" w:ascii="宋体" w:hAnsi="宋体" w:eastAsia="宋体" w:cs="宋体"/>
          <w:spacing w:val="18"/>
          <w:sz w:val="21"/>
          <w:szCs w:val="21"/>
        </w:rPr>
        <w:t>国式现代化的构建已经从被动转为主动,而且</w:t>
      </w:r>
      <w:r>
        <w:rPr>
          <w:rFonts w:hint="eastAsia" w:ascii="宋体" w:hAnsi="宋体" w:eastAsia="宋体" w:cs="宋体"/>
          <w:spacing w:val="14"/>
          <w:sz w:val="21"/>
          <w:szCs w:val="21"/>
        </w:rPr>
        <w:t>从一开始提出的“四个现代化”到新时代中国式现代化的“五位一体”总体布局及其</w:t>
      </w:r>
      <w:r>
        <w:rPr>
          <w:rFonts w:hint="eastAsia" w:ascii="宋体" w:hAnsi="宋体" w:eastAsia="宋体" w:cs="宋体"/>
          <w:spacing w:val="6"/>
          <w:sz w:val="21"/>
          <w:szCs w:val="21"/>
        </w:rPr>
        <w:t>五大鲜明特征,无不体现出中国式现代化是一个系统性工程,包括了</w:t>
      </w:r>
      <w:r>
        <w:rPr>
          <w:rFonts w:hint="eastAsia" w:ascii="宋体" w:hAnsi="宋体" w:eastAsia="宋体" w:cs="宋体"/>
          <w:spacing w:val="5"/>
          <w:sz w:val="21"/>
          <w:szCs w:val="21"/>
        </w:rPr>
        <w:t>经济、政治、文</w:t>
      </w:r>
      <w:r>
        <w:rPr>
          <w:rFonts w:hint="eastAsia" w:ascii="宋体" w:hAnsi="宋体" w:eastAsia="宋体" w:cs="宋体"/>
          <w:spacing w:val="17"/>
          <w:sz w:val="21"/>
          <w:szCs w:val="21"/>
        </w:rPr>
        <w:t>化、社会、生态多个方面,符合最广大人民群众的根本利益。因此,中国式现</w:t>
      </w:r>
      <w:r>
        <w:rPr>
          <w:rFonts w:hint="eastAsia" w:ascii="宋体" w:hAnsi="宋体" w:eastAsia="宋体" w:cs="宋体"/>
          <w:spacing w:val="16"/>
          <w:sz w:val="21"/>
          <w:szCs w:val="21"/>
        </w:rPr>
        <w:t>代化的</w:t>
      </w:r>
      <w:r>
        <w:rPr>
          <w:rFonts w:hint="eastAsia" w:ascii="宋体" w:hAnsi="宋体" w:eastAsia="宋体" w:cs="宋体"/>
          <w:spacing w:val="13"/>
          <w:sz w:val="21"/>
          <w:szCs w:val="21"/>
        </w:rPr>
        <w:t>发展不再是“串联式”而是“并联式”的同步发展,其发展模式表现为一种多维的现</w:t>
      </w:r>
      <w:r>
        <w:rPr>
          <w:rFonts w:hint="eastAsia" w:ascii="宋体" w:hAnsi="宋体" w:eastAsia="宋体" w:cs="宋体"/>
          <w:spacing w:val="21"/>
          <w:sz w:val="21"/>
          <w:szCs w:val="21"/>
        </w:rPr>
        <w:t>代化模式,颠覆了西方现代化模式的线性和剥夺性</w:t>
      </w:r>
      <w:r>
        <w:rPr>
          <w:rFonts w:hint="eastAsia" w:ascii="宋体" w:hAnsi="宋体" w:eastAsia="宋体" w:cs="宋体"/>
          <w:spacing w:val="20"/>
          <w:sz w:val="21"/>
          <w:szCs w:val="21"/>
        </w:rPr>
        <w:t>的发展,是符合中国国情、具有中</w:t>
      </w:r>
      <w:r>
        <w:rPr>
          <w:rFonts w:hint="eastAsia" w:ascii="宋体" w:hAnsi="宋体" w:eastAsia="宋体" w:cs="宋体"/>
          <w:spacing w:val="16"/>
          <w:sz w:val="21"/>
          <w:szCs w:val="21"/>
        </w:rPr>
        <w:t>国特色的一种现代化新模式。</w:t>
      </w:r>
    </w:p>
    <w:p w14:paraId="2D7A0FB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0290C4D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b/>
          <w:bCs/>
          <w:sz w:val="21"/>
          <w:szCs w:val="21"/>
        </w:rPr>
      </w:pPr>
      <w:r>
        <w:rPr>
          <w:rFonts w:hint="eastAsia" w:ascii="宋体" w:hAnsi="宋体" w:eastAsia="宋体" w:cs="宋体"/>
          <w:b/>
          <w:bCs/>
          <w:spacing w:val="17"/>
          <w:sz w:val="21"/>
          <w:szCs w:val="21"/>
        </w:rPr>
        <w:t>(三)中国式现代化对西方现代化的多维超越</w:t>
      </w:r>
    </w:p>
    <w:p w14:paraId="37B55B2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rPr>
          <w:rFonts w:hint="eastAsia" w:ascii="宋体" w:hAnsi="宋体" w:eastAsia="宋体" w:cs="宋体"/>
          <w:sz w:val="21"/>
          <w:szCs w:val="21"/>
        </w:rPr>
      </w:pPr>
      <w:r>
        <w:rPr>
          <w:rFonts w:hint="eastAsia" w:ascii="宋体" w:hAnsi="宋体" w:eastAsia="宋体" w:cs="宋体"/>
          <w:spacing w:val="13"/>
          <w:position w:val="-2"/>
          <w:sz w:val="21"/>
          <w:szCs w:val="21"/>
        </w:rPr>
        <w:t>1.</w:t>
      </w:r>
      <w:r>
        <w:rPr>
          <w:rFonts w:hint="eastAsia" w:ascii="宋体" w:hAnsi="宋体" w:eastAsia="宋体" w:cs="宋体"/>
          <w:spacing w:val="13"/>
          <w:sz w:val="21"/>
          <w:szCs w:val="21"/>
        </w:rPr>
        <w:t>打破西方现代化非系统性发展模式,实现“五位一体”协同共赢</w:t>
      </w:r>
    </w:p>
    <w:p w14:paraId="7DC7E2E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eastAsia" w:ascii="宋体" w:hAnsi="宋体" w:eastAsia="宋体" w:cs="宋体"/>
          <w:sz w:val="21"/>
          <w:szCs w:val="21"/>
        </w:rPr>
      </w:pPr>
      <w:r>
        <w:rPr>
          <w:rFonts w:hint="eastAsia" w:ascii="宋体" w:hAnsi="宋体" w:eastAsia="宋体" w:cs="宋体"/>
          <w:spacing w:val="-1"/>
          <w:sz w:val="21"/>
          <w:szCs w:val="21"/>
        </w:rPr>
        <w:t>现代化的本质是要实现人类社会的富足和完善,实现人的自由和全面发展。在</w:t>
      </w:r>
      <w:r>
        <w:rPr>
          <w:rFonts w:hint="eastAsia" w:ascii="宋体" w:hAnsi="宋体" w:eastAsia="宋体" w:cs="宋体"/>
          <w:spacing w:val="12"/>
          <w:position w:val="-1"/>
          <w:sz w:val="21"/>
          <w:szCs w:val="21"/>
        </w:rPr>
        <w:t>《1844</w:t>
      </w:r>
      <w:r>
        <w:rPr>
          <w:rFonts w:hint="eastAsia" w:ascii="宋体" w:hAnsi="宋体" w:eastAsia="宋体" w:cs="宋体"/>
          <w:spacing w:val="12"/>
          <w:sz w:val="21"/>
          <w:szCs w:val="21"/>
        </w:rPr>
        <w:t>年经济学哲学手稿》中,马克思曾指出:</w:t>
      </w:r>
      <w:r>
        <w:rPr>
          <w:rFonts w:hint="eastAsia" w:ascii="宋体" w:hAnsi="宋体" w:eastAsia="宋体" w:cs="宋体"/>
          <w:spacing w:val="11"/>
          <w:sz w:val="21"/>
          <w:szCs w:val="21"/>
        </w:rPr>
        <w:t>“人以一种全面的方式,就是说,作为一个完整的人,占有自己的全面的本质。”</w:t>
      </w:r>
      <w:r>
        <w:rPr>
          <w:rStyle w:val="20"/>
          <w:rFonts w:hint="eastAsia" w:ascii="宋体" w:hAnsi="宋体" w:eastAsia="宋体" w:cs="宋体"/>
          <w:spacing w:val="11"/>
          <w:sz w:val="21"/>
          <w:szCs w:val="21"/>
        </w:rPr>
        <w:footnoteReference w:id="1371"/>
      </w:r>
      <w:r>
        <w:rPr>
          <w:rFonts w:hint="eastAsia" w:ascii="宋体" w:hAnsi="宋体" w:eastAsia="宋体" w:cs="宋体"/>
          <w:spacing w:val="11"/>
          <w:sz w:val="21"/>
          <w:szCs w:val="21"/>
        </w:rPr>
        <w:t>在此基础上,《</w:t>
      </w:r>
      <w:r>
        <w:rPr>
          <w:rFonts w:hint="eastAsia" w:ascii="宋体" w:hAnsi="宋体" w:eastAsia="宋体" w:cs="宋体"/>
          <w:spacing w:val="10"/>
          <w:sz w:val="21"/>
          <w:szCs w:val="21"/>
        </w:rPr>
        <w:t>共产党宣言》明确提出了关</w:t>
      </w:r>
      <w:r>
        <w:rPr>
          <w:rFonts w:hint="eastAsia" w:ascii="宋体" w:hAnsi="宋体" w:eastAsia="宋体" w:cs="宋体"/>
          <w:spacing w:val="18"/>
          <w:sz w:val="21"/>
          <w:szCs w:val="21"/>
        </w:rPr>
        <w:t>于人类社会发展的最高理想:“代替那存在着阶级和阶级对立的资产阶级旧社会的,将</w:t>
      </w:r>
      <w:r>
        <w:rPr>
          <w:rFonts w:hint="eastAsia" w:ascii="宋体" w:hAnsi="宋体" w:eastAsia="宋体" w:cs="宋体"/>
          <w:spacing w:val="10"/>
          <w:sz w:val="21"/>
          <w:szCs w:val="21"/>
        </w:rPr>
        <w:t>是这样一个联合体,在那里,每个人的自由发展是一切人的自由发展的条件。”</w:t>
      </w:r>
      <w:r>
        <w:rPr>
          <w:rStyle w:val="20"/>
          <w:rFonts w:hint="eastAsia" w:ascii="宋体" w:hAnsi="宋体" w:eastAsia="宋体" w:cs="宋体"/>
          <w:spacing w:val="10"/>
          <w:sz w:val="21"/>
          <w:szCs w:val="21"/>
        </w:rPr>
        <w:footnoteReference w:id="1372"/>
      </w:r>
      <w:r>
        <w:rPr>
          <w:rFonts w:hint="eastAsia" w:ascii="宋体" w:hAnsi="宋体" w:eastAsia="宋体" w:cs="宋体"/>
          <w:spacing w:val="9"/>
          <w:sz w:val="21"/>
          <w:szCs w:val="21"/>
        </w:rPr>
        <w:t>虽然</w:t>
      </w:r>
      <w:r>
        <w:rPr>
          <w:rFonts w:hint="eastAsia" w:ascii="宋体" w:hAnsi="宋体" w:eastAsia="宋体" w:cs="宋体"/>
          <w:spacing w:val="25"/>
          <w:sz w:val="21"/>
          <w:szCs w:val="21"/>
        </w:rPr>
        <w:t>这一目标只有在生产力高度发展、消灭旧式分工与私有制的共产主义社会才可能真正</w:t>
      </w:r>
      <w:r>
        <w:rPr>
          <w:rFonts w:hint="eastAsia" w:ascii="宋体" w:hAnsi="宋体" w:eastAsia="宋体" w:cs="宋体"/>
          <w:spacing w:val="6"/>
          <w:sz w:val="21"/>
          <w:szCs w:val="21"/>
        </w:rPr>
        <w:t>实现,但是人如果能够摆脱旧式分工、资本异化与生存压迫,在体力、智</w:t>
      </w:r>
      <w:r>
        <w:rPr>
          <w:rFonts w:hint="eastAsia" w:ascii="宋体" w:hAnsi="宋体" w:eastAsia="宋体" w:cs="宋体"/>
          <w:spacing w:val="5"/>
          <w:sz w:val="21"/>
          <w:szCs w:val="21"/>
        </w:rPr>
        <w:t>力、道德、</w:t>
      </w:r>
      <w:r>
        <w:rPr>
          <w:rFonts w:hint="eastAsia" w:ascii="宋体" w:hAnsi="宋体" w:eastAsia="宋体" w:cs="宋体"/>
          <w:spacing w:val="15"/>
          <w:sz w:val="21"/>
          <w:szCs w:val="21"/>
        </w:rPr>
        <w:t>审美、社会关系等方面获得普遍、充分、自由的发展,也正是现代化发展的价值归宿。</w:t>
      </w:r>
      <w:r>
        <w:rPr>
          <w:rFonts w:hint="eastAsia" w:ascii="宋体" w:hAnsi="宋体" w:eastAsia="宋体" w:cs="宋体"/>
          <w:spacing w:val="17"/>
          <w:sz w:val="21"/>
          <w:szCs w:val="21"/>
        </w:rPr>
        <w:t>要实现这一目标,现代化必将是一个系统性的工程,包括了经济、政治、文化、社会、</w:t>
      </w:r>
      <w:r>
        <w:rPr>
          <w:rFonts w:hint="eastAsia" w:ascii="宋体" w:hAnsi="宋体" w:eastAsia="宋体" w:cs="宋体"/>
          <w:spacing w:val="23"/>
          <w:sz w:val="21"/>
          <w:szCs w:val="21"/>
        </w:rPr>
        <w:t>生态多个方面。也就是说,一是要通过人类改造自然水平的不断提升</w:t>
      </w:r>
      <w:r>
        <w:rPr>
          <w:rFonts w:hint="eastAsia" w:ascii="宋体" w:hAnsi="宋体" w:eastAsia="宋体" w:cs="宋体"/>
          <w:spacing w:val="22"/>
          <w:sz w:val="21"/>
          <w:szCs w:val="21"/>
        </w:rPr>
        <w:t>,创造出满足人</w:t>
      </w:r>
      <w:r>
        <w:rPr>
          <w:rFonts w:hint="eastAsia" w:ascii="宋体" w:hAnsi="宋体" w:eastAsia="宋体" w:cs="宋体"/>
          <w:spacing w:val="24"/>
          <w:sz w:val="21"/>
          <w:szCs w:val="21"/>
        </w:rPr>
        <w:t>的需要的物质成果,物质财富逐步达到十分丰盈的程度,使人类较少受到物质匮乏的</w:t>
      </w:r>
      <w:r>
        <w:rPr>
          <w:rFonts w:hint="eastAsia" w:ascii="宋体" w:hAnsi="宋体" w:eastAsia="宋体" w:cs="宋体"/>
          <w:spacing w:val="21"/>
          <w:sz w:val="21"/>
          <w:szCs w:val="21"/>
        </w:rPr>
        <w:t>困扰;二是要在政治上不断进步,达到光明、开明的状态,在国家治理体</w:t>
      </w:r>
      <w:r>
        <w:rPr>
          <w:rFonts w:hint="eastAsia" w:ascii="宋体" w:hAnsi="宋体" w:eastAsia="宋体" w:cs="宋体"/>
          <w:spacing w:val="20"/>
          <w:sz w:val="21"/>
          <w:szCs w:val="21"/>
        </w:rPr>
        <w:t>制上、法律</w:t>
      </w:r>
      <w:r>
        <w:rPr>
          <w:rFonts w:hint="eastAsia" w:ascii="宋体" w:hAnsi="宋体" w:eastAsia="宋体" w:cs="宋体"/>
          <w:spacing w:val="22"/>
          <w:sz w:val="21"/>
          <w:szCs w:val="21"/>
        </w:rPr>
        <w:t>制度上、政治意识上、政治行为上保证人的合法权益和民主水平的提升以及完善;三</w:t>
      </w:r>
      <w:r>
        <w:rPr>
          <w:rFonts w:hint="eastAsia" w:ascii="宋体" w:hAnsi="宋体" w:eastAsia="宋体" w:cs="宋体"/>
          <w:spacing w:val="24"/>
          <w:sz w:val="21"/>
          <w:szCs w:val="21"/>
        </w:rPr>
        <w:t>是在人类改造客观世界的基础上,不断提升主观世界的认知水平,提</w:t>
      </w:r>
      <w:r>
        <w:rPr>
          <w:rFonts w:hint="eastAsia" w:ascii="宋体" w:hAnsi="宋体" w:eastAsia="宋体" w:cs="宋体"/>
          <w:spacing w:val="23"/>
          <w:sz w:val="21"/>
          <w:szCs w:val="21"/>
        </w:rPr>
        <w:t>高文化素质并构</w:t>
      </w:r>
      <w:r>
        <w:rPr>
          <w:rFonts w:hint="eastAsia" w:ascii="宋体" w:hAnsi="宋体" w:eastAsia="宋体" w:cs="宋体"/>
          <w:spacing w:val="20"/>
          <w:sz w:val="21"/>
          <w:szCs w:val="21"/>
        </w:rPr>
        <w:t>建精神层面的良好状态,实现人类智慧和思想道德领域的全面进步;四是在社会层面,</w:t>
      </w:r>
      <w:r>
        <w:rPr>
          <w:rFonts w:hint="eastAsia" w:ascii="宋体" w:hAnsi="宋体" w:eastAsia="宋体" w:cs="宋体"/>
          <w:spacing w:val="23"/>
          <w:sz w:val="21"/>
          <w:szCs w:val="21"/>
        </w:rPr>
        <w:t>实现有效的社会治理、构建良好的社会秩序,促进人与人之间的和谐相处,使得经济</w:t>
      </w:r>
      <w:r>
        <w:rPr>
          <w:rFonts w:hint="eastAsia" w:ascii="宋体" w:hAnsi="宋体" w:eastAsia="宋体" w:cs="宋体"/>
          <w:spacing w:val="20"/>
          <w:sz w:val="21"/>
          <w:szCs w:val="21"/>
        </w:rPr>
        <w:t>社会发展成果公平惠及全体人民;五是在生态上不断克服对自然只索取</w:t>
      </w:r>
      <w:r>
        <w:rPr>
          <w:rFonts w:hint="eastAsia" w:ascii="宋体" w:hAnsi="宋体" w:eastAsia="宋体" w:cs="宋体"/>
          <w:spacing w:val="19"/>
          <w:sz w:val="21"/>
          <w:szCs w:val="21"/>
        </w:rPr>
        <w:t>和征服的落后观</w:t>
      </w:r>
      <w:r>
        <w:rPr>
          <w:rFonts w:hint="eastAsia" w:ascii="宋体" w:hAnsi="宋体" w:eastAsia="宋体" w:cs="宋体"/>
          <w:spacing w:val="17"/>
          <w:sz w:val="21"/>
          <w:szCs w:val="21"/>
        </w:rPr>
        <w:t>念与行为,实现人与自然和谐共生、良性循环、持续繁荣的状态。这五个方面的综合发</w:t>
      </w:r>
      <w:r>
        <w:rPr>
          <w:rFonts w:hint="eastAsia" w:ascii="宋体" w:hAnsi="宋体" w:eastAsia="宋体" w:cs="宋体"/>
          <w:spacing w:val="19"/>
          <w:sz w:val="21"/>
          <w:szCs w:val="21"/>
        </w:rPr>
        <w:t>展是最终实现现代化的一个不可分割的系统。中国式现代化正是基于此,从</w:t>
      </w:r>
      <w:r>
        <w:rPr>
          <w:rFonts w:hint="eastAsia" w:ascii="宋体" w:hAnsi="宋体" w:eastAsia="宋体" w:cs="宋体"/>
          <w:spacing w:val="18"/>
          <w:sz w:val="21"/>
          <w:szCs w:val="21"/>
        </w:rPr>
        <w:t>五个维度对</w:t>
      </w:r>
      <w:r>
        <w:rPr>
          <w:rFonts w:hint="eastAsia" w:ascii="宋体" w:hAnsi="宋体" w:eastAsia="宋体" w:cs="宋体"/>
          <w:spacing w:val="16"/>
          <w:sz w:val="21"/>
          <w:szCs w:val="21"/>
        </w:rPr>
        <w:t>西方现代化实现了全面超越,是马克思人的</w:t>
      </w:r>
      <w:r>
        <w:rPr>
          <w:rFonts w:hint="eastAsia" w:ascii="宋体" w:hAnsi="宋体" w:eastAsia="宋体" w:cs="宋体"/>
          <w:spacing w:val="15"/>
          <w:sz w:val="21"/>
          <w:szCs w:val="21"/>
        </w:rPr>
        <w:t>自由和全面发展目标理念的体现。</w:t>
      </w:r>
    </w:p>
    <w:p w14:paraId="190AA34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在经济层面,我国经济现代化的实现是社会主义制度</w:t>
      </w:r>
      <w:r>
        <w:rPr>
          <w:rFonts w:hint="eastAsia" w:ascii="宋体" w:hAnsi="宋体" w:eastAsia="宋体" w:cs="宋体"/>
          <w:spacing w:val="20"/>
          <w:sz w:val="21"/>
          <w:szCs w:val="21"/>
        </w:rPr>
        <w:t>优越性的充分体现。以生产</w:t>
      </w:r>
      <w:r>
        <w:rPr>
          <w:rFonts w:hint="eastAsia" w:ascii="宋体" w:hAnsi="宋体" w:eastAsia="宋体" w:cs="宋体"/>
          <w:spacing w:val="22"/>
          <w:sz w:val="21"/>
          <w:szCs w:val="21"/>
        </w:rPr>
        <w:t>资料公有制代替资本主义私有制,是改变资本主义无</w:t>
      </w:r>
      <w:r>
        <w:rPr>
          <w:rFonts w:hint="eastAsia" w:ascii="宋体" w:hAnsi="宋体" w:eastAsia="宋体" w:cs="宋体"/>
          <w:spacing w:val="21"/>
          <w:sz w:val="21"/>
          <w:szCs w:val="21"/>
        </w:rPr>
        <w:t>政府状态、实现现代化系统发展</w:t>
      </w:r>
      <w:r>
        <w:rPr>
          <w:rFonts w:hint="eastAsia" w:ascii="宋体" w:hAnsi="宋体" w:eastAsia="宋体" w:cs="宋体"/>
          <w:spacing w:val="19"/>
          <w:sz w:val="21"/>
          <w:szCs w:val="21"/>
        </w:rPr>
        <w:t>的基础。在这一制度基础上,我国发挥集中力量办大事的制度优势,审时度</w:t>
      </w:r>
      <w:r>
        <w:rPr>
          <w:rFonts w:hint="eastAsia" w:ascii="宋体" w:hAnsi="宋体" w:eastAsia="宋体" w:cs="宋体"/>
          <w:spacing w:val="18"/>
          <w:sz w:val="21"/>
          <w:szCs w:val="21"/>
        </w:rPr>
        <w:t>势制定适</w:t>
      </w:r>
      <w:r>
        <w:rPr>
          <w:rFonts w:hint="eastAsia" w:ascii="宋体" w:hAnsi="宋体" w:eastAsia="宋体" w:cs="宋体"/>
          <w:spacing w:val="15"/>
          <w:sz w:val="21"/>
          <w:szCs w:val="21"/>
        </w:rPr>
        <w:t>合经济发展的“五年规划”,用几十年时间走完了西</w:t>
      </w:r>
      <w:r>
        <w:rPr>
          <w:rFonts w:hint="eastAsia" w:ascii="宋体" w:hAnsi="宋体" w:eastAsia="宋体" w:cs="宋体"/>
          <w:spacing w:val="14"/>
          <w:sz w:val="21"/>
          <w:szCs w:val="21"/>
        </w:rPr>
        <w:t>方发达国家几百年走过的工业化历</w:t>
      </w:r>
      <w:r>
        <w:rPr>
          <w:rFonts w:hint="eastAsia" w:ascii="宋体" w:hAnsi="宋体" w:eastAsia="宋体" w:cs="宋体"/>
          <w:spacing w:val="4"/>
          <w:sz w:val="21"/>
          <w:szCs w:val="21"/>
        </w:rPr>
        <w:t>程,从一个积贫积弱的落后国家,一跃成为世界第二大经济体,并在实现“量”的突</w:t>
      </w:r>
      <w:r>
        <w:rPr>
          <w:rFonts w:hint="eastAsia" w:ascii="宋体" w:hAnsi="宋体" w:eastAsia="宋体" w:cs="宋体"/>
          <w:spacing w:val="21"/>
          <w:sz w:val="21"/>
          <w:szCs w:val="21"/>
        </w:rPr>
        <w:t>破的基础上,积极推进经济高质量发展,在工业现代化之路上从制造业大国迈向智造</w:t>
      </w:r>
      <w:r>
        <w:rPr>
          <w:rFonts w:hint="eastAsia" w:ascii="宋体" w:hAnsi="宋体" w:eastAsia="宋体" w:cs="宋体"/>
          <w:spacing w:val="3"/>
          <w:sz w:val="21"/>
          <w:szCs w:val="21"/>
        </w:rPr>
        <w:t>强国,从全世界具备最完备工业体系和唯一全</w:t>
      </w:r>
      <w:r>
        <w:rPr>
          <w:rFonts w:hint="eastAsia" w:ascii="宋体" w:hAnsi="宋体" w:eastAsia="宋体" w:cs="宋体"/>
          <w:spacing w:val="2"/>
          <w:sz w:val="21"/>
          <w:szCs w:val="21"/>
        </w:rPr>
        <w:t>产业链的国家,不断向高端制造突破,</w:t>
      </w:r>
      <w:r>
        <w:rPr>
          <w:rFonts w:hint="eastAsia" w:ascii="宋体" w:hAnsi="宋体" w:eastAsia="宋体" w:cs="宋体"/>
          <w:spacing w:val="13"/>
          <w:sz w:val="21"/>
          <w:szCs w:val="21"/>
        </w:rPr>
        <w:t>在高铁、大飞机、核电、盾构机、5G通信等领域跻身全球前列。</w:t>
      </w:r>
    </w:p>
    <w:p w14:paraId="1C6F90B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sz w:val="21"/>
          <w:szCs w:val="21"/>
        </w:rPr>
      </w:pPr>
      <w:r>
        <w:rPr>
          <w:rFonts w:hint="eastAsia" w:ascii="宋体" w:hAnsi="宋体" w:eastAsia="宋体" w:cs="宋体"/>
          <w:spacing w:val="23"/>
          <w:sz w:val="21"/>
          <w:szCs w:val="21"/>
        </w:rPr>
        <w:t>在政治层面,我国走出了一条不同于西方政治模式的中国特色社</w:t>
      </w:r>
      <w:r>
        <w:rPr>
          <w:rFonts w:hint="eastAsia" w:ascii="宋体" w:hAnsi="宋体" w:eastAsia="宋体" w:cs="宋体"/>
          <w:spacing w:val="22"/>
          <w:sz w:val="21"/>
          <w:szCs w:val="21"/>
        </w:rPr>
        <w:t>会主义政治发展</w:t>
      </w:r>
      <w:r>
        <w:rPr>
          <w:rFonts w:hint="eastAsia" w:ascii="宋体" w:hAnsi="宋体" w:eastAsia="宋体" w:cs="宋体"/>
          <w:spacing w:val="2"/>
          <w:sz w:val="21"/>
          <w:szCs w:val="21"/>
        </w:rPr>
        <w:t>道路。其核心是中国共产党领导下的全过程人民民主</w:t>
      </w:r>
      <w:r>
        <w:rPr>
          <w:rFonts w:hint="eastAsia" w:ascii="宋体" w:hAnsi="宋体" w:eastAsia="宋体" w:cs="宋体"/>
          <w:spacing w:val="1"/>
          <w:sz w:val="21"/>
          <w:szCs w:val="21"/>
        </w:rPr>
        <w:t>,实现了政治稳定、高效治理、</w:t>
      </w:r>
      <w:r>
        <w:rPr>
          <w:rFonts w:hint="eastAsia" w:ascii="宋体" w:hAnsi="宋体" w:eastAsia="宋体" w:cs="宋体"/>
          <w:spacing w:val="2"/>
          <w:sz w:val="21"/>
          <w:szCs w:val="21"/>
        </w:rPr>
        <w:t>法治进步和人民参与的有机统一。亨廷顿在《变化社会中的政治秩序》一</w:t>
      </w:r>
      <w:r>
        <w:rPr>
          <w:rFonts w:hint="eastAsia" w:ascii="宋体" w:hAnsi="宋体" w:eastAsia="宋体" w:cs="宋体"/>
          <w:spacing w:val="1"/>
          <w:sz w:val="21"/>
          <w:szCs w:val="21"/>
        </w:rPr>
        <w:t>书中指出,</w:t>
      </w:r>
      <w:r>
        <w:rPr>
          <w:rFonts w:hint="eastAsia" w:ascii="宋体" w:hAnsi="宋体" w:eastAsia="宋体" w:cs="宋体"/>
          <w:spacing w:val="24"/>
          <w:sz w:val="21"/>
          <w:szCs w:val="21"/>
        </w:rPr>
        <w:t>政治现代化涉及权威的合理化、结构的分化以及政治参与的扩大,尤其要使全社会性</w:t>
      </w:r>
      <w:r>
        <w:rPr>
          <w:rFonts w:hint="eastAsia" w:ascii="宋体" w:hAnsi="宋体" w:eastAsia="宋体" w:cs="宋体"/>
          <w:spacing w:val="23"/>
          <w:sz w:val="21"/>
          <w:szCs w:val="21"/>
        </w:rPr>
        <w:t>的社团得以参政,具体表现在:在权威上从传统宗教和家族权威转向法</w:t>
      </w:r>
      <w:r>
        <w:rPr>
          <w:rFonts w:hint="eastAsia" w:ascii="宋体" w:hAnsi="宋体" w:eastAsia="宋体" w:cs="宋体"/>
          <w:spacing w:val="22"/>
          <w:sz w:val="21"/>
          <w:szCs w:val="21"/>
        </w:rPr>
        <w:t>理型国家、在</w:t>
      </w:r>
      <w:r>
        <w:rPr>
          <w:rFonts w:hint="eastAsia" w:ascii="宋体" w:hAnsi="宋体" w:eastAsia="宋体" w:cs="宋体"/>
          <w:spacing w:val="24"/>
          <w:sz w:val="21"/>
          <w:szCs w:val="21"/>
        </w:rPr>
        <w:t>结构上建立专业化的官僚机构和政党等现代政治组织,在参与群体上通过选举、社团</w:t>
      </w:r>
      <w:r>
        <w:rPr>
          <w:rFonts w:hint="eastAsia" w:ascii="宋体" w:hAnsi="宋体" w:eastAsia="宋体" w:cs="宋体"/>
          <w:spacing w:val="10"/>
          <w:sz w:val="21"/>
          <w:szCs w:val="21"/>
        </w:rPr>
        <w:t>等渠道不断扩大。</w:t>
      </w:r>
      <w:r>
        <w:rPr>
          <w:rStyle w:val="20"/>
          <w:rFonts w:hint="eastAsia" w:ascii="宋体" w:hAnsi="宋体" w:eastAsia="宋体" w:cs="宋体"/>
          <w:spacing w:val="10"/>
          <w:sz w:val="21"/>
          <w:szCs w:val="21"/>
        </w:rPr>
        <w:footnoteReference w:id="1373"/>
      </w:r>
      <w:r>
        <w:rPr>
          <w:rFonts w:hint="eastAsia" w:ascii="宋体" w:hAnsi="宋体" w:eastAsia="宋体" w:cs="宋体"/>
          <w:spacing w:val="10"/>
          <w:sz w:val="21"/>
          <w:szCs w:val="21"/>
        </w:rPr>
        <w:t>由此检视,首先,我国不断加强法治中国建设</w:t>
      </w:r>
      <w:r>
        <w:rPr>
          <w:rFonts w:hint="eastAsia" w:ascii="宋体" w:hAnsi="宋体" w:eastAsia="宋体" w:cs="宋体"/>
          <w:spacing w:val="9"/>
          <w:sz w:val="21"/>
          <w:szCs w:val="21"/>
        </w:rPr>
        <w:t>,从“有法可依”到</w:t>
      </w:r>
      <w:r>
        <w:rPr>
          <w:rFonts w:hint="eastAsia" w:ascii="宋体" w:hAnsi="宋体" w:eastAsia="宋体" w:cs="宋体"/>
          <w:spacing w:val="13"/>
          <w:sz w:val="21"/>
          <w:szCs w:val="21"/>
        </w:rPr>
        <w:t>“良法善治”,形成了中国特色社会主义法律体系,如在</w:t>
      </w:r>
      <w:r>
        <w:rPr>
          <w:rFonts w:hint="eastAsia" w:ascii="宋体" w:hAnsi="宋体" w:eastAsia="宋体" w:cs="宋体"/>
          <w:spacing w:val="13"/>
          <w:position w:val="-2"/>
          <w:sz w:val="21"/>
          <w:szCs w:val="21"/>
        </w:rPr>
        <w:t>2021</w:t>
      </w:r>
      <w:r>
        <w:rPr>
          <w:rFonts w:hint="eastAsia" w:ascii="宋体" w:hAnsi="宋体" w:eastAsia="宋体" w:cs="宋体"/>
          <w:spacing w:val="13"/>
          <w:sz w:val="21"/>
          <w:szCs w:val="21"/>
        </w:rPr>
        <w:t>年颁布实施了《民法典》,</w:t>
      </w:r>
      <w:r>
        <w:rPr>
          <w:rFonts w:hint="eastAsia" w:ascii="宋体" w:hAnsi="宋体" w:eastAsia="宋体" w:cs="宋体"/>
          <w:spacing w:val="8"/>
          <w:sz w:val="21"/>
          <w:szCs w:val="21"/>
        </w:rPr>
        <w:t>不断推进全民守法实践,彰显了法律的权威性;其次,在政治制度化上</w:t>
      </w:r>
      <w:r>
        <w:rPr>
          <w:rFonts w:hint="eastAsia" w:ascii="宋体" w:hAnsi="宋体" w:eastAsia="宋体" w:cs="宋体"/>
          <w:spacing w:val="7"/>
          <w:sz w:val="21"/>
          <w:szCs w:val="21"/>
        </w:rPr>
        <w:t>不断推进,推</w:t>
      </w:r>
      <w:r>
        <w:rPr>
          <w:rFonts w:hint="eastAsia" w:ascii="宋体" w:hAnsi="宋体" w:eastAsia="宋体" w:cs="宋体"/>
          <w:spacing w:val="23"/>
          <w:sz w:val="21"/>
          <w:szCs w:val="21"/>
        </w:rPr>
        <w:t>动党的全面领导制度化。强大的政党是现代化社会整合的关键,自十八届三中</w:t>
      </w:r>
      <w:r>
        <w:rPr>
          <w:rFonts w:hint="eastAsia" w:ascii="宋体" w:hAnsi="宋体" w:eastAsia="宋体" w:cs="宋体"/>
          <w:spacing w:val="22"/>
          <w:sz w:val="21"/>
          <w:szCs w:val="21"/>
        </w:rPr>
        <w:t>全会首</w:t>
      </w:r>
      <w:r>
        <w:rPr>
          <w:rFonts w:hint="eastAsia" w:ascii="宋体" w:hAnsi="宋体" w:eastAsia="宋体" w:cs="宋体"/>
          <w:spacing w:val="18"/>
          <w:sz w:val="21"/>
          <w:szCs w:val="21"/>
        </w:rPr>
        <w:t>次提出“深化党的建设制度改革”这一重要命题以来,党的建设取得了</w:t>
      </w:r>
      <w:r>
        <w:rPr>
          <w:rFonts w:hint="eastAsia" w:ascii="宋体" w:hAnsi="宋体" w:eastAsia="宋体" w:cs="宋体"/>
          <w:spacing w:val="17"/>
          <w:sz w:val="21"/>
          <w:szCs w:val="21"/>
        </w:rPr>
        <w:t>巨大进步,出</w:t>
      </w:r>
      <w:r>
        <w:rPr>
          <w:rFonts w:hint="eastAsia" w:ascii="宋体" w:hAnsi="宋体" w:eastAsia="宋体" w:cs="宋体"/>
          <w:spacing w:val="15"/>
          <w:sz w:val="21"/>
          <w:szCs w:val="21"/>
        </w:rPr>
        <w:t>台了一系列制度法规,如《中国共产党党内监督条例》</w:t>
      </w:r>
      <w:r>
        <w:rPr>
          <w:rFonts w:hint="eastAsia" w:ascii="宋体" w:hAnsi="宋体" w:eastAsia="宋体" w:cs="宋体"/>
          <w:spacing w:val="15"/>
          <w:position w:val="-1"/>
          <w:sz w:val="21"/>
          <w:szCs w:val="21"/>
        </w:rPr>
        <w:t>(20</w:t>
      </w:r>
      <w:r>
        <w:rPr>
          <w:rFonts w:hint="eastAsia" w:ascii="宋体" w:hAnsi="宋体" w:eastAsia="宋体" w:cs="宋体"/>
          <w:spacing w:val="14"/>
          <w:position w:val="-1"/>
          <w:sz w:val="21"/>
          <w:szCs w:val="21"/>
        </w:rPr>
        <w:t>16)</w:t>
      </w:r>
      <w:r>
        <w:rPr>
          <w:rFonts w:hint="eastAsia" w:ascii="宋体" w:hAnsi="宋体" w:eastAsia="宋体" w:cs="宋体"/>
          <w:spacing w:val="14"/>
          <w:sz w:val="21"/>
          <w:szCs w:val="21"/>
        </w:rPr>
        <w:t>、《中国共产党纪律处分</w:t>
      </w:r>
      <w:r>
        <w:rPr>
          <w:rFonts w:hint="eastAsia" w:ascii="宋体" w:hAnsi="宋体" w:eastAsia="宋体" w:cs="宋体"/>
          <w:spacing w:val="9"/>
          <w:sz w:val="21"/>
          <w:szCs w:val="21"/>
        </w:rPr>
        <w:t>条例》</w:t>
      </w:r>
      <w:r>
        <w:rPr>
          <w:rFonts w:hint="eastAsia" w:ascii="宋体" w:hAnsi="宋体" w:eastAsia="宋体" w:cs="宋体"/>
          <w:spacing w:val="9"/>
          <w:position w:val="-1"/>
          <w:sz w:val="21"/>
          <w:szCs w:val="21"/>
        </w:rPr>
        <w:t>(2015</w:t>
      </w:r>
      <w:r>
        <w:rPr>
          <w:rFonts w:hint="eastAsia" w:ascii="宋体" w:hAnsi="宋体" w:eastAsia="宋体" w:cs="宋体"/>
          <w:spacing w:val="9"/>
          <w:position w:val="1"/>
          <w:sz w:val="21"/>
          <w:szCs w:val="21"/>
        </w:rPr>
        <w:t>、</w:t>
      </w:r>
      <w:r>
        <w:rPr>
          <w:rFonts w:hint="eastAsia" w:ascii="宋体" w:hAnsi="宋体" w:eastAsia="宋体" w:cs="宋体"/>
          <w:spacing w:val="9"/>
          <w:position w:val="-1"/>
          <w:sz w:val="21"/>
          <w:szCs w:val="21"/>
        </w:rPr>
        <w:t>2018</w:t>
      </w:r>
      <w:r>
        <w:rPr>
          <w:rFonts w:hint="eastAsia" w:ascii="宋体" w:hAnsi="宋体" w:eastAsia="宋体" w:cs="宋体"/>
          <w:spacing w:val="9"/>
          <w:position w:val="1"/>
          <w:sz w:val="21"/>
          <w:szCs w:val="21"/>
        </w:rPr>
        <w:t>、</w:t>
      </w:r>
      <w:r>
        <w:rPr>
          <w:rFonts w:hint="eastAsia" w:ascii="宋体" w:hAnsi="宋体" w:eastAsia="宋体" w:cs="宋体"/>
          <w:spacing w:val="9"/>
          <w:position w:val="-1"/>
          <w:sz w:val="21"/>
          <w:szCs w:val="21"/>
        </w:rPr>
        <w:t>2023)</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《中国共产党重大事项请示报告条例》(2019)</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《中国共</w:t>
      </w:r>
      <w:r>
        <w:rPr>
          <w:rFonts w:hint="eastAsia" w:ascii="宋体" w:hAnsi="宋体" w:eastAsia="宋体" w:cs="宋体"/>
          <w:spacing w:val="13"/>
          <w:sz w:val="21"/>
          <w:szCs w:val="21"/>
        </w:rPr>
        <w:t>产党组织工作条例》</w:t>
      </w:r>
      <w:r>
        <w:rPr>
          <w:rFonts w:hint="eastAsia" w:ascii="宋体" w:hAnsi="宋体" w:eastAsia="宋体" w:cs="宋体"/>
          <w:spacing w:val="13"/>
          <w:position w:val="-1"/>
          <w:sz w:val="21"/>
          <w:szCs w:val="21"/>
        </w:rPr>
        <w:t>(2021)</w:t>
      </w:r>
      <w:r>
        <w:rPr>
          <w:rFonts w:hint="eastAsia" w:ascii="宋体" w:hAnsi="宋体" w:eastAsia="宋体" w:cs="宋体"/>
          <w:spacing w:val="13"/>
          <w:sz w:val="21"/>
          <w:szCs w:val="21"/>
        </w:rPr>
        <w:t>、《中国共产党章程》</w:t>
      </w:r>
      <w:r>
        <w:rPr>
          <w:rFonts w:hint="eastAsia" w:ascii="宋体" w:hAnsi="宋体" w:eastAsia="宋体" w:cs="宋体"/>
          <w:spacing w:val="13"/>
          <w:position w:val="-1"/>
          <w:sz w:val="21"/>
          <w:szCs w:val="21"/>
        </w:rPr>
        <w:t>(2022)</w:t>
      </w:r>
      <w:r>
        <w:rPr>
          <w:rFonts w:hint="eastAsia" w:ascii="宋体" w:hAnsi="宋体" w:eastAsia="宋体" w:cs="宋体"/>
          <w:spacing w:val="13"/>
          <w:sz w:val="21"/>
          <w:szCs w:val="21"/>
        </w:rPr>
        <w:t>等,搭建起了一套相对完备</w:t>
      </w:r>
      <w:r>
        <w:rPr>
          <w:rFonts w:hint="eastAsia" w:ascii="宋体" w:hAnsi="宋体" w:eastAsia="宋体" w:cs="宋体"/>
          <w:spacing w:val="7"/>
          <w:sz w:val="21"/>
          <w:szCs w:val="21"/>
        </w:rPr>
        <w:t>的党内法规制度体系;第三,通过中国共产党领导</w:t>
      </w:r>
      <w:r>
        <w:rPr>
          <w:rFonts w:hint="eastAsia" w:ascii="宋体" w:hAnsi="宋体" w:eastAsia="宋体" w:cs="宋体"/>
          <w:spacing w:val="6"/>
          <w:sz w:val="21"/>
          <w:szCs w:val="21"/>
        </w:rPr>
        <w:t>的多党合作、协商民主、基层群众</w:t>
      </w:r>
      <w:r>
        <w:rPr>
          <w:rFonts w:hint="eastAsia" w:ascii="宋体" w:hAnsi="宋体" w:eastAsia="宋体" w:cs="宋体"/>
          <w:spacing w:val="22"/>
          <w:sz w:val="21"/>
          <w:szCs w:val="21"/>
        </w:rPr>
        <w:t>自治、网络问政等制度吸纳民众参与。中国的政治参与从根本上不同于西方以选举为</w:t>
      </w:r>
      <w:r>
        <w:rPr>
          <w:rFonts w:hint="eastAsia" w:ascii="宋体" w:hAnsi="宋体" w:eastAsia="宋体" w:cs="宋体"/>
          <w:spacing w:val="1"/>
          <w:sz w:val="21"/>
          <w:szCs w:val="21"/>
        </w:rPr>
        <w:t>中心的“形式民主”,不再单纯追求“一人一票”,而是通过多层次</w:t>
      </w:r>
      <w:r>
        <w:rPr>
          <w:rFonts w:hint="eastAsia" w:ascii="宋体" w:hAnsi="宋体" w:eastAsia="宋体" w:cs="宋体"/>
          <w:sz w:val="21"/>
          <w:szCs w:val="21"/>
        </w:rPr>
        <w:t>、多渠道、全过程</w:t>
      </w:r>
      <w:r>
        <w:rPr>
          <w:rFonts w:hint="eastAsia" w:ascii="宋体" w:hAnsi="宋体" w:eastAsia="宋体" w:cs="宋体"/>
          <w:spacing w:val="20"/>
          <w:sz w:val="21"/>
          <w:szCs w:val="21"/>
        </w:rPr>
        <w:t>的人民民主确保政策制定和执行中广泛听取民意,真正实现了人</w:t>
      </w:r>
      <w:r>
        <w:rPr>
          <w:rFonts w:hint="eastAsia" w:ascii="宋体" w:hAnsi="宋体" w:eastAsia="宋体" w:cs="宋体"/>
          <w:spacing w:val="19"/>
          <w:sz w:val="21"/>
          <w:szCs w:val="21"/>
        </w:rPr>
        <w:t>民当家作主。</w:t>
      </w:r>
    </w:p>
    <w:p w14:paraId="0EE45E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在文化层面,中国式现代化体现了物质文明与</w:t>
      </w:r>
      <w:r>
        <w:rPr>
          <w:rFonts w:hint="eastAsia" w:ascii="宋体" w:hAnsi="宋体" w:eastAsia="宋体" w:cs="宋体"/>
          <w:spacing w:val="20"/>
          <w:sz w:val="21"/>
          <w:szCs w:val="21"/>
        </w:rPr>
        <w:t>精神文明协调发展的中国特色,充</w:t>
      </w:r>
      <w:r>
        <w:rPr>
          <w:rFonts w:hint="eastAsia" w:ascii="宋体" w:hAnsi="宋体" w:eastAsia="宋体" w:cs="宋体"/>
          <w:spacing w:val="16"/>
          <w:sz w:val="21"/>
          <w:szCs w:val="21"/>
        </w:rPr>
        <w:t>分展现了“两个结合”的重大命题,既丰富拓展了马克思主义</w:t>
      </w:r>
      <w:r>
        <w:rPr>
          <w:rFonts w:hint="eastAsia" w:ascii="宋体" w:hAnsi="宋体" w:eastAsia="宋体" w:cs="宋体"/>
          <w:spacing w:val="15"/>
          <w:sz w:val="21"/>
          <w:szCs w:val="21"/>
        </w:rPr>
        <w:t>中国化的内涵,又传承</w:t>
      </w:r>
      <w:r>
        <w:rPr>
          <w:rFonts w:hint="eastAsia" w:ascii="宋体" w:hAnsi="宋体" w:eastAsia="宋体" w:cs="宋体"/>
          <w:spacing w:val="20"/>
          <w:sz w:val="21"/>
          <w:szCs w:val="21"/>
        </w:rPr>
        <w:t>了中华优秀传统文化,推动了中国特色社会主义文化创新、文化自信,构建了以人民为中心的文化现代化,可谓成绩斐然。一方面,在中华优秀传统文化</w:t>
      </w:r>
      <w:r>
        <w:rPr>
          <w:rFonts w:hint="eastAsia" w:ascii="宋体" w:hAnsi="宋体" w:eastAsia="宋体" w:cs="宋体"/>
          <w:spacing w:val="19"/>
          <w:sz w:val="21"/>
          <w:szCs w:val="21"/>
        </w:rPr>
        <w:t>的创造性转化与</w:t>
      </w:r>
      <w:r>
        <w:rPr>
          <w:rFonts w:hint="eastAsia" w:ascii="宋体" w:hAnsi="宋体" w:eastAsia="宋体" w:cs="宋体"/>
          <w:spacing w:val="17"/>
          <w:sz w:val="21"/>
          <w:szCs w:val="21"/>
        </w:rPr>
        <w:t>创新性发展上,取得一系列丰硕成果,如推动文化遗产保护与活化,实现了</w:t>
      </w:r>
      <w:r>
        <w:rPr>
          <w:rFonts w:hint="eastAsia" w:ascii="宋体" w:hAnsi="宋体" w:eastAsia="宋体" w:cs="宋体"/>
          <w:spacing w:val="17"/>
          <w:position w:val="-2"/>
          <w:sz w:val="21"/>
          <w:szCs w:val="21"/>
        </w:rPr>
        <w:t>60</w:t>
      </w:r>
      <w:r>
        <w:rPr>
          <w:rFonts w:hint="eastAsia" w:ascii="宋体" w:hAnsi="宋体" w:eastAsia="宋体" w:cs="宋体"/>
          <w:spacing w:val="17"/>
          <w:sz w:val="21"/>
          <w:szCs w:val="21"/>
        </w:rPr>
        <w:t>项世界</w:t>
      </w:r>
      <w:r>
        <w:rPr>
          <w:rFonts w:hint="eastAsia" w:ascii="宋体" w:hAnsi="宋体" w:eastAsia="宋体" w:cs="宋体"/>
          <w:spacing w:val="15"/>
          <w:sz w:val="21"/>
          <w:szCs w:val="21"/>
        </w:rPr>
        <w:t>遗产及</w:t>
      </w:r>
      <w:r>
        <w:rPr>
          <w:rFonts w:hint="eastAsia" w:ascii="宋体" w:hAnsi="宋体" w:eastAsia="宋体" w:cs="宋体"/>
          <w:spacing w:val="15"/>
          <w:position w:val="-2"/>
          <w:sz w:val="21"/>
          <w:szCs w:val="21"/>
        </w:rPr>
        <w:t>1557</w:t>
      </w:r>
      <w:r>
        <w:rPr>
          <w:rFonts w:hint="eastAsia" w:ascii="宋体" w:hAnsi="宋体" w:eastAsia="宋体" w:cs="宋体"/>
          <w:spacing w:val="15"/>
          <w:sz w:val="21"/>
          <w:szCs w:val="21"/>
        </w:rPr>
        <w:t>项国家级非遗代表性项目的系统保护</w:t>
      </w:r>
      <w:r>
        <w:rPr>
          <w:rFonts w:hint="eastAsia" w:ascii="宋体" w:hAnsi="宋体" w:eastAsia="宋体" w:cs="宋体"/>
          <w:spacing w:val="14"/>
          <w:sz w:val="21"/>
          <w:szCs w:val="21"/>
        </w:rPr>
        <w:t>与传承传播,</w:t>
      </w:r>
      <w:r>
        <w:rPr>
          <w:rStyle w:val="20"/>
          <w:rFonts w:hint="eastAsia" w:ascii="宋体" w:hAnsi="宋体" w:eastAsia="宋体" w:cs="宋体"/>
          <w:spacing w:val="-36"/>
          <w:sz w:val="21"/>
          <w:szCs w:val="21"/>
        </w:rPr>
        <w:footnoteReference w:id="1374"/>
      </w:r>
      <w:r>
        <w:rPr>
          <w:rFonts w:hint="eastAsia" w:ascii="宋体" w:hAnsi="宋体" w:eastAsia="宋体" w:cs="宋体"/>
          <w:spacing w:val="14"/>
          <w:sz w:val="21"/>
          <w:szCs w:val="21"/>
        </w:rPr>
        <w:t>部分项目完成了数字</w:t>
      </w:r>
      <w:r>
        <w:rPr>
          <w:rFonts w:hint="eastAsia" w:ascii="宋体" w:hAnsi="宋体" w:eastAsia="宋体" w:cs="宋体"/>
          <w:spacing w:val="17"/>
          <w:sz w:val="21"/>
          <w:szCs w:val="21"/>
        </w:rPr>
        <w:t>化及文创产品转化;另一方面,在文化产业高质量发展上,实现规模与效益的双增长,</w:t>
      </w:r>
      <w:r>
        <w:rPr>
          <w:rFonts w:hint="eastAsia" w:ascii="宋体" w:hAnsi="宋体" w:eastAsia="宋体" w:cs="宋体"/>
          <w:spacing w:val="13"/>
          <w:sz w:val="21"/>
          <w:szCs w:val="21"/>
        </w:rPr>
        <w:t>文旅融合呈现一派繁荣态势,如西安成功打造“大唐不夜城”、河</w:t>
      </w:r>
      <w:r>
        <w:rPr>
          <w:rFonts w:hint="eastAsia" w:ascii="宋体" w:hAnsi="宋体" w:eastAsia="宋体" w:cs="宋体"/>
          <w:spacing w:val="12"/>
          <w:sz w:val="21"/>
          <w:szCs w:val="21"/>
        </w:rPr>
        <w:t>南卫视推出《唐宫盛</w:t>
      </w:r>
      <w:r>
        <w:rPr>
          <w:rFonts w:hint="eastAsia" w:ascii="宋体" w:hAnsi="宋体" w:eastAsia="宋体" w:cs="宋体"/>
          <w:spacing w:val="20"/>
          <w:sz w:val="21"/>
          <w:szCs w:val="21"/>
        </w:rPr>
        <w:t>宴》节目等,带动文化消费热潮。中国式文</w:t>
      </w:r>
      <w:r>
        <w:rPr>
          <w:rFonts w:hint="eastAsia" w:ascii="宋体" w:hAnsi="宋体" w:eastAsia="宋体" w:cs="宋体"/>
          <w:spacing w:val="19"/>
          <w:sz w:val="21"/>
          <w:szCs w:val="21"/>
        </w:rPr>
        <w:t>化现代化是在马克思主义指导下优秀传统</w:t>
      </w:r>
      <w:r>
        <w:rPr>
          <w:rFonts w:hint="eastAsia" w:ascii="宋体" w:hAnsi="宋体" w:eastAsia="宋体" w:cs="宋体"/>
          <w:spacing w:val="16"/>
          <w:sz w:val="21"/>
          <w:szCs w:val="21"/>
        </w:rPr>
        <w:t>文化的守正创新,是由全民共享和参与的文化发展,是倡导开放包容的文化范式。</w:t>
      </w:r>
    </w:p>
    <w:p w14:paraId="6B8E293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在社会层面,中国式现代化始终坚持人民立场,与西方现代化以资</w:t>
      </w:r>
      <w:r>
        <w:rPr>
          <w:rFonts w:hint="eastAsia" w:ascii="宋体" w:hAnsi="宋体" w:eastAsia="宋体" w:cs="宋体"/>
          <w:spacing w:val="19"/>
          <w:sz w:val="21"/>
          <w:szCs w:val="21"/>
        </w:rPr>
        <w:t>本为中心的发</w:t>
      </w:r>
      <w:r>
        <w:rPr>
          <w:rFonts w:hint="eastAsia" w:ascii="宋体" w:hAnsi="宋体" w:eastAsia="宋体" w:cs="宋体"/>
          <w:spacing w:val="13"/>
          <w:sz w:val="21"/>
          <w:szCs w:val="21"/>
        </w:rPr>
        <w:t>展模式形成了鲜明的对比。马克思指出,“人的本质不是单个人所固有的抽象物,在其</w:t>
      </w:r>
      <w:r>
        <w:rPr>
          <w:rFonts w:hint="eastAsia" w:ascii="宋体" w:hAnsi="宋体" w:eastAsia="宋体" w:cs="宋体"/>
          <w:spacing w:val="12"/>
          <w:sz w:val="21"/>
          <w:szCs w:val="21"/>
        </w:rPr>
        <w:t>现实性上,它是一切社会关系的总和”。</w:t>
      </w:r>
      <w:r>
        <w:rPr>
          <w:rStyle w:val="20"/>
          <w:rFonts w:hint="eastAsia" w:ascii="宋体" w:hAnsi="宋体" w:eastAsia="宋体" w:cs="宋体"/>
          <w:spacing w:val="12"/>
          <w:sz w:val="21"/>
          <w:szCs w:val="21"/>
        </w:rPr>
        <w:footnoteReference w:id="1375"/>
      </w:r>
      <w:r>
        <w:rPr>
          <w:rFonts w:hint="eastAsia" w:ascii="宋体" w:hAnsi="宋体" w:eastAsia="宋体" w:cs="宋体"/>
          <w:spacing w:val="12"/>
          <w:sz w:val="21"/>
          <w:szCs w:val="21"/>
        </w:rPr>
        <w:t>人的社会性活动是人类社会存在的</w:t>
      </w:r>
      <w:r>
        <w:rPr>
          <w:rFonts w:hint="eastAsia" w:ascii="宋体" w:hAnsi="宋体" w:eastAsia="宋体" w:cs="宋体"/>
          <w:spacing w:val="11"/>
          <w:sz w:val="21"/>
          <w:szCs w:val="21"/>
        </w:rPr>
        <w:t>本质特征,</w:t>
      </w:r>
      <w:r>
        <w:rPr>
          <w:rFonts w:hint="eastAsia" w:ascii="宋体" w:hAnsi="宋体" w:eastAsia="宋体" w:cs="宋体"/>
          <w:spacing w:val="18"/>
          <w:sz w:val="21"/>
          <w:szCs w:val="21"/>
        </w:rPr>
        <w:t>以人民为中心的社会建设是中国式现代化的目标之一。进入新时代以来,我国在社会</w:t>
      </w:r>
      <w:r>
        <w:rPr>
          <w:rFonts w:hint="eastAsia" w:ascii="宋体" w:hAnsi="宋体" w:eastAsia="宋体" w:cs="宋体"/>
          <w:spacing w:val="21"/>
          <w:sz w:val="21"/>
          <w:szCs w:val="21"/>
        </w:rPr>
        <w:t>领域创造了社会长期稳定向好的态势,形成了经济发展与社会进步的良性互动。一方</w:t>
      </w:r>
      <w:r>
        <w:rPr>
          <w:rFonts w:hint="eastAsia" w:ascii="宋体" w:hAnsi="宋体" w:eastAsia="宋体" w:cs="宋体"/>
          <w:spacing w:val="20"/>
          <w:sz w:val="21"/>
          <w:szCs w:val="21"/>
        </w:rPr>
        <w:t>面,我国的社会保障体系全面升级,建成了世界上规模最大的社会保障体系,解决了</w:t>
      </w:r>
      <w:r>
        <w:rPr>
          <w:rFonts w:hint="eastAsia" w:ascii="宋体" w:hAnsi="宋体" w:eastAsia="宋体" w:cs="宋体"/>
          <w:spacing w:val="19"/>
          <w:sz w:val="21"/>
          <w:szCs w:val="21"/>
        </w:rPr>
        <w:t>人民最关心最直接最现实的问题。另一方面,我国的社会治理能力不断提升,治理成</w:t>
      </w:r>
      <w:r>
        <w:rPr>
          <w:rFonts w:hint="eastAsia" w:ascii="宋体" w:hAnsi="宋体" w:eastAsia="宋体" w:cs="宋体"/>
          <w:spacing w:val="18"/>
          <w:sz w:val="21"/>
          <w:szCs w:val="21"/>
        </w:rPr>
        <w:t>效显著,在全国</w:t>
      </w:r>
      <w:r>
        <w:rPr>
          <w:rFonts w:hint="eastAsia" w:ascii="宋体" w:hAnsi="宋体" w:eastAsia="宋体" w:cs="宋体"/>
          <w:spacing w:val="18"/>
          <w:position w:val="-2"/>
          <w:sz w:val="21"/>
          <w:szCs w:val="21"/>
        </w:rPr>
        <w:t>54.9</w:t>
      </w:r>
      <w:r>
        <w:rPr>
          <w:rFonts w:hint="eastAsia" w:ascii="宋体" w:hAnsi="宋体" w:eastAsia="宋体" w:cs="宋体"/>
          <w:spacing w:val="18"/>
          <w:sz w:val="21"/>
          <w:szCs w:val="21"/>
        </w:rPr>
        <w:t>万个村(社区)实现网格化管理全覆盖,</w:t>
      </w:r>
      <w:r>
        <w:rPr>
          <w:rStyle w:val="20"/>
          <w:rFonts w:hint="eastAsia" w:ascii="宋体" w:hAnsi="宋体" w:eastAsia="宋体" w:cs="宋体"/>
          <w:spacing w:val="-35"/>
          <w:sz w:val="21"/>
          <w:szCs w:val="21"/>
        </w:rPr>
        <w:footnoteReference w:id="1376"/>
      </w:r>
      <w:r>
        <w:rPr>
          <w:rFonts w:hint="eastAsia" w:ascii="宋体" w:hAnsi="宋体" w:eastAsia="宋体" w:cs="宋体"/>
          <w:spacing w:val="18"/>
          <w:sz w:val="21"/>
          <w:szCs w:val="21"/>
        </w:rPr>
        <w:t>并通过培育社会主义</w:t>
      </w:r>
      <w:r>
        <w:rPr>
          <w:rFonts w:hint="eastAsia" w:ascii="宋体" w:hAnsi="宋体" w:eastAsia="宋体" w:cs="宋体"/>
          <w:spacing w:val="21"/>
          <w:sz w:val="21"/>
          <w:szCs w:val="21"/>
        </w:rPr>
        <w:t>核心价值观,推动社会关系更加和谐稳定、</w:t>
      </w:r>
      <w:r>
        <w:rPr>
          <w:rFonts w:hint="eastAsia" w:ascii="宋体" w:hAnsi="宋体" w:eastAsia="宋体" w:cs="宋体"/>
          <w:spacing w:val="20"/>
          <w:sz w:val="21"/>
          <w:szCs w:val="21"/>
        </w:rPr>
        <w:t>公民素质全面提升,增强了社会活力与秩</w:t>
      </w:r>
      <w:r>
        <w:rPr>
          <w:rFonts w:hint="eastAsia" w:ascii="宋体" w:hAnsi="宋体" w:eastAsia="宋体" w:cs="宋体"/>
          <w:spacing w:val="16"/>
          <w:sz w:val="21"/>
          <w:szCs w:val="21"/>
        </w:rPr>
        <w:t>序动态平衡,形成了中国式现代化的重要标识。</w:t>
      </w:r>
    </w:p>
    <w:p w14:paraId="220E809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sz w:val="21"/>
          <w:szCs w:val="21"/>
        </w:rPr>
        <w:t>在生态层面,中国式现代化改变了西方现代化进程中“</w:t>
      </w:r>
      <w:r>
        <w:rPr>
          <w:rFonts w:hint="eastAsia" w:ascii="宋体" w:hAnsi="宋体" w:eastAsia="宋体" w:cs="宋体"/>
          <w:spacing w:val="16"/>
          <w:sz w:val="21"/>
          <w:szCs w:val="21"/>
        </w:rPr>
        <w:t>先污染后治理”的发展路</w:t>
      </w:r>
      <w:r>
        <w:rPr>
          <w:rFonts w:hint="eastAsia" w:ascii="宋体" w:hAnsi="宋体" w:eastAsia="宋体" w:cs="宋体"/>
          <w:spacing w:val="24"/>
          <w:sz w:val="21"/>
          <w:szCs w:val="21"/>
        </w:rPr>
        <w:t>径,集中推进人与自然和谐共生的生态文明理念,形成了绿色发展与系统治</w:t>
      </w:r>
      <w:r>
        <w:rPr>
          <w:rFonts w:hint="eastAsia" w:ascii="宋体" w:hAnsi="宋体" w:eastAsia="宋体" w:cs="宋体"/>
          <w:spacing w:val="23"/>
          <w:sz w:val="21"/>
          <w:szCs w:val="21"/>
        </w:rPr>
        <w:t>理相结合</w:t>
      </w:r>
      <w:r>
        <w:rPr>
          <w:rFonts w:hint="eastAsia" w:ascii="宋体" w:hAnsi="宋体" w:eastAsia="宋体" w:cs="宋体"/>
          <w:spacing w:val="19"/>
          <w:sz w:val="21"/>
          <w:szCs w:val="21"/>
        </w:rPr>
        <w:t>的中国特色生态现代化模式。早在</w:t>
      </w:r>
      <w:r>
        <w:rPr>
          <w:rFonts w:hint="eastAsia" w:ascii="宋体" w:hAnsi="宋体" w:eastAsia="宋体" w:cs="宋体"/>
          <w:spacing w:val="19"/>
          <w:position w:val="-2"/>
          <w:sz w:val="21"/>
          <w:szCs w:val="21"/>
        </w:rPr>
        <w:t>2005</w:t>
      </w:r>
      <w:r>
        <w:rPr>
          <w:rFonts w:hint="eastAsia" w:ascii="宋体" w:hAnsi="宋体" w:eastAsia="宋体" w:cs="宋体"/>
          <w:spacing w:val="19"/>
          <w:sz w:val="21"/>
          <w:szCs w:val="21"/>
        </w:rPr>
        <w:t>年,</w:t>
      </w:r>
      <w:r>
        <w:rPr>
          <w:rFonts w:hint="eastAsia" w:ascii="宋体" w:hAnsi="宋体" w:eastAsia="宋体" w:cs="宋体"/>
          <w:spacing w:val="18"/>
          <w:sz w:val="21"/>
          <w:szCs w:val="21"/>
        </w:rPr>
        <w:t>时任浙江省委书记的习近平同志就提出了</w:t>
      </w:r>
      <w:r>
        <w:rPr>
          <w:rFonts w:hint="eastAsia" w:ascii="宋体" w:hAnsi="宋体" w:eastAsia="宋体" w:cs="宋体"/>
          <w:spacing w:val="15"/>
          <w:sz w:val="21"/>
          <w:szCs w:val="21"/>
        </w:rPr>
        <w:t>“绿水青山就是金山银山”的“两山”理论,成为我国生态文明建设的重要价值遵循,</w:t>
      </w:r>
      <w:r>
        <w:rPr>
          <w:rFonts w:hint="eastAsia" w:ascii="宋体" w:hAnsi="宋体" w:eastAsia="宋体" w:cs="宋体"/>
          <w:spacing w:val="22"/>
          <w:sz w:val="21"/>
          <w:szCs w:val="21"/>
        </w:rPr>
        <w:t>突破了经济建设与生态保护的二元对立,将二者辩证统一于中国式现代</w:t>
      </w:r>
      <w:r>
        <w:rPr>
          <w:rFonts w:hint="eastAsia" w:ascii="宋体" w:hAnsi="宋体" w:eastAsia="宋体" w:cs="宋体"/>
          <w:spacing w:val="21"/>
          <w:sz w:val="21"/>
          <w:szCs w:val="21"/>
        </w:rPr>
        <w:t>化的总目标中,</w:t>
      </w:r>
      <w:r>
        <w:rPr>
          <w:rFonts w:hint="eastAsia" w:ascii="宋体" w:hAnsi="宋体" w:eastAsia="宋体" w:cs="宋体"/>
          <w:spacing w:val="23"/>
          <w:sz w:val="21"/>
          <w:szCs w:val="21"/>
        </w:rPr>
        <w:t>既实现了经济高速增长,又确保了生态保护与绿色发展。突出的案例如实现跨省流域</w:t>
      </w:r>
      <w:r>
        <w:rPr>
          <w:rFonts w:hint="eastAsia" w:ascii="宋体" w:hAnsi="宋体" w:eastAsia="宋体" w:cs="宋体"/>
          <w:spacing w:val="18"/>
          <w:sz w:val="21"/>
          <w:szCs w:val="21"/>
        </w:rPr>
        <w:t>生态补偿的新安江模式、福建南平的“生态银行”碳汇项目、</w:t>
      </w:r>
      <w:r>
        <w:rPr>
          <w:rFonts w:hint="eastAsia" w:ascii="宋体" w:hAnsi="宋体" w:eastAsia="宋体" w:cs="宋体"/>
          <w:spacing w:val="17"/>
          <w:sz w:val="21"/>
          <w:szCs w:val="21"/>
        </w:rPr>
        <w:t>广东的碳普惠积分兑换</w:t>
      </w:r>
      <w:r>
        <w:rPr>
          <w:rFonts w:hint="eastAsia" w:ascii="宋体" w:hAnsi="宋体" w:eastAsia="宋体" w:cs="宋体"/>
          <w:spacing w:val="4"/>
          <w:sz w:val="21"/>
          <w:szCs w:val="21"/>
        </w:rPr>
        <w:t>等,通过以“保护者受益、使用者付费”为原则的生态补偿、碳交易等机制平</w:t>
      </w:r>
      <w:r>
        <w:rPr>
          <w:rFonts w:hint="eastAsia" w:ascii="宋体" w:hAnsi="宋体" w:eastAsia="宋体" w:cs="宋体"/>
          <w:spacing w:val="3"/>
          <w:sz w:val="21"/>
          <w:szCs w:val="21"/>
        </w:rPr>
        <w:t>衡区域</w:t>
      </w:r>
      <w:r>
        <w:rPr>
          <w:rFonts w:hint="eastAsia" w:ascii="宋体" w:hAnsi="宋体" w:eastAsia="宋体" w:cs="宋体"/>
          <w:spacing w:val="17"/>
          <w:sz w:val="21"/>
          <w:szCs w:val="21"/>
        </w:rPr>
        <w:t>利益,形成了“生态保护价值转化区域协</w:t>
      </w:r>
      <w:r>
        <w:rPr>
          <w:rFonts w:hint="eastAsia" w:ascii="宋体" w:hAnsi="宋体" w:eastAsia="宋体" w:cs="宋体"/>
          <w:spacing w:val="16"/>
          <w:sz w:val="21"/>
          <w:szCs w:val="21"/>
        </w:rPr>
        <w:t>同”的良性循环,开创了经济发展与生态</w:t>
      </w:r>
      <w:r>
        <w:rPr>
          <w:rFonts w:hint="eastAsia" w:ascii="宋体" w:hAnsi="宋体" w:eastAsia="宋体" w:cs="宋体"/>
          <w:spacing w:val="24"/>
          <w:sz w:val="21"/>
          <w:szCs w:val="21"/>
        </w:rPr>
        <w:t>保护协同发展的新模式。</w:t>
      </w:r>
    </w:p>
    <w:p w14:paraId="0A02327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综上所述,这五个层面的现代化建设是一个</w:t>
      </w:r>
      <w:r>
        <w:rPr>
          <w:rFonts w:hint="eastAsia" w:ascii="宋体" w:hAnsi="宋体" w:eastAsia="宋体" w:cs="宋体"/>
          <w:spacing w:val="20"/>
          <w:sz w:val="21"/>
          <w:szCs w:val="21"/>
        </w:rPr>
        <w:t>系统有机整体,它们相互联系、相互</w:t>
      </w:r>
      <w:r>
        <w:rPr>
          <w:rFonts w:hint="eastAsia" w:ascii="宋体" w:hAnsi="宋体" w:eastAsia="宋体" w:cs="宋体"/>
          <w:spacing w:val="19"/>
          <w:sz w:val="21"/>
          <w:szCs w:val="21"/>
        </w:rPr>
        <w:t>促进,共同推动了我国各领域的进步与发展,</w:t>
      </w:r>
      <w:r>
        <w:rPr>
          <w:rFonts w:hint="eastAsia" w:ascii="宋体" w:hAnsi="宋体" w:eastAsia="宋体" w:cs="宋体"/>
          <w:spacing w:val="18"/>
          <w:sz w:val="21"/>
          <w:szCs w:val="21"/>
        </w:rPr>
        <w:t>超越了西方现代化模式的非系统性弊端,</w:t>
      </w:r>
      <w:r>
        <w:rPr>
          <w:rFonts w:hint="eastAsia" w:ascii="宋体" w:hAnsi="宋体" w:eastAsia="宋体" w:cs="宋体"/>
          <w:spacing w:val="3"/>
          <w:sz w:val="21"/>
          <w:szCs w:val="21"/>
        </w:rPr>
        <w:t>打破了它们“以资本为中心”操控经济、政治、社会发展,忽视生态环境保护的错误</w:t>
      </w:r>
      <w:r>
        <w:rPr>
          <w:rFonts w:hint="eastAsia" w:ascii="宋体" w:hAnsi="宋体" w:eastAsia="宋体" w:cs="宋体"/>
          <w:spacing w:val="11"/>
          <w:sz w:val="21"/>
          <w:szCs w:val="21"/>
        </w:rPr>
        <w:t>做法,从根本上为实现“人的自由全面发展”奠定了坚实基础。</w:t>
      </w:r>
    </w:p>
    <w:p w14:paraId="625581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rPr>
          <w:rFonts w:hint="eastAsia" w:ascii="宋体" w:hAnsi="宋体" w:eastAsia="宋体" w:cs="宋体"/>
          <w:sz w:val="21"/>
          <w:szCs w:val="21"/>
        </w:rPr>
      </w:pPr>
      <w:r>
        <w:rPr>
          <w:rFonts w:hint="eastAsia" w:ascii="宋体" w:hAnsi="宋体" w:eastAsia="宋体" w:cs="宋体"/>
          <w:spacing w:val="11"/>
          <w:position w:val="-2"/>
          <w:sz w:val="21"/>
          <w:szCs w:val="21"/>
        </w:rPr>
        <w:t>2.</w:t>
      </w:r>
      <w:r>
        <w:rPr>
          <w:rFonts w:hint="eastAsia" w:ascii="宋体" w:hAnsi="宋体" w:eastAsia="宋体" w:cs="宋体"/>
          <w:spacing w:val="11"/>
          <w:sz w:val="21"/>
          <w:szCs w:val="21"/>
        </w:rPr>
        <w:t>超越西方现代化的“剥夺性积累”,</w:t>
      </w:r>
      <w:r>
        <w:rPr>
          <w:rFonts w:hint="eastAsia" w:ascii="宋体" w:hAnsi="宋体" w:eastAsia="宋体" w:cs="宋体"/>
          <w:spacing w:val="10"/>
          <w:sz w:val="21"/>
          <w:szCs w:val="21"/>
        </w:rPr>
        <w:t>实现共享型发展</w:t>
      </w:r>
    </w:p>
    <w:p w14:paraId="0DBCAB9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hint="eastAsia" w:ascii="宋体" w:hAnsi="宋体" w:eastAsia="宋体" w:cs="宋体"/>
          <w:sz w:val="21"/>
          <w:szCs w:val="21"/>
        </w:rPr>
      </w:pPr>
      <w:r>
        <w:rPr>
          <w:rFonts w:hint="eastAsia" w:ascii="宋体" w:hAnsi="宋体" w:eastAsia="宋体" w:cs="宋体"/>
          <w:spacing w:val="15"/>
          <w:sz w:val="21"/>
          <w:szCs w:val="21"/>
        </w:rPr>
        <w:t>大卫·哈维曾深刻指出:“马克思将原始积累视为资本主义的前史,但剥夺性积累</w:t>
      </w:r>
      <w:r>
        <w:rPr>
          <w:rFonts w:hint="eastAsia" w:ascii="宋体" w:hAnsi="宋体" w:eastAsia="宋体" w:cs="宋体"/>
          <w:spacing w:val="14"/>
          <w:sz w:val="21"/>
          <w:szCs w:val="21"/>
        </w:rPr>
        <w:t>是资本主义历史地理中的永恒特征。”</w:t>
      </w:r>
      <w:r>
        <w:rPr>
          <w:rStyle w:val="20"/>
          <w:rFonts w:hint="eastAsia" w:ascii="宋体" w:hAnsi="宋体" w:eastAsia="宋体" w:cs="宋体"/>
          <w:spacing w:val="14"/>
          <w:sz w:val="21"/>
          <w:szCs w:val="21"/>
        </w:rPr>
        <w:footnoteReference w:id="1377"/>
      </w:r>
      <w:r>
        <w:rPr>
          <w:rFonts w:hint="eastAsia" w:ascii="宋体" w:hAnsi="宋体" w:eastAsia="宋体" w:cs="宋体"/>
          <w:spacing w:val="14"/>
          <w:sz w:val="21"/>
          <w:szCs w:val="21"/>
        </w:rPr>
        <w:t>中国特色社会主义发展从根本上摒弃了西方现代化的“剥夺性积累”,将中国式现代化建构于与其他国家</w:t>
      </w:r>
      <w:r>
        <w:rPr>
          <w:rFonts w:hint="eastAsia" w:ascii="宋体" w:hAnsi="宋体" w:eastAsia="宋体" w:cs="宋体"/>
          <w:spacing w:val="13"/>
          <w:sz w:val="21"/>
          <w:szCs w:val="21"/>
        </w:rPr>
        <w:t>互利合作、共谋发展的基础</w:t>
      </w:r>
      <w:r>
        <w:rPr>
          <w:rFonts w:hint="eastAsia" w:ascii="宋体" w:hAnsi="宋体" w:eastAsia="宋体" w:cs="宋体"/>
          <w:spacing w:val="16"/>
          <w:sz w:val="21"/>
          <w:szCs w:val="21"/>
        </w:rPr>
        <w:t>之上,走出了一条共享型的现代化发展道</w:t>
      </w:r>
      <w:r>
        <w:rPr>
          <w:rFonts w:hint="eastAsia" w:ascii="宋体" w:hAnsi="宋体" w:eastAsia="宋体" w:cs="宋体"/>
          <w:spacing w:val="15"/>
          <w:sz w:val="21"/>
          <w:szCs w:val="21"/>
        </w:rPr>
        <w:t>路。</w:t>
      </w:r>
    </w:p>
    <w:p w14:paraId="14212E4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spacing w:val="21"/>
          <w:sz w:val="21"/>
          <w:szCs w:val="21"/>
        </w:rPr>
        <w:t>一方面,在对外交往中,我国的现代化</w:t>
      </w:r>
      <w:r>
        <w:rPr>
          <w:rFonts w:hint="eastAsia" w:ascii="宋体" w:hAnsi="宋体" w:eastAsia="宋体" w:cs="宋体"/>
          <w:spacing w:val="20"/>
          <w:sz w:val="21"/>
          <w:szCs w:val="21"/>
        </w:rPr>
        <w:t>建设始终以互利合作、共商共建共享为核</w:t>
      </w:r>
      <w:r>
        <w:rPr>
          <w:rFonts w:hint="eastAsia" w:ascii="宋体" w:hAnsi="宋体" w:eastAsia="宋体" w:cs="宋体"/>
          <w:spacing w:val="21"/>
          <w:sz w:val="21"/>
          <w:szCs w:val="21"/>
        </w:rPr>
        <w:t>心理念倡导构建人类命运共同体。如前所述,西方现代化形成过程中伴随了</w:t>
      </w:r>
      <w:r>
        <w:rPr>
          <w:rFonts w:hint="eastAsia" w:ascii="宋体" w:hAnsi="宋体" w:eastAsia="宋体" w:cs="宋体"/>
          <w:spacing w:val="20"/>
          <w:sz w:val="21"/>
          <w:szCs w:val="21"/>
        </w:rPr>
        <w:t>血腥的殖民掠夺,通过殖民战争、奴隶贸易等完成了资本原</w:t>
      </w:r>
      <w:r>
        <w:rPr>
          <w:rFonts w:hint="eastAsia" w:ascii="宋体" w:hAnsi="宋体" w:eastAsia="宋体" w:cs="宋体"/>
          <w:spacing w:val="19"/>
          <w:sz w:val="21"/>
          <w:szCs w:val="21"/>
        </w:rPr>
        <w:t>始积累。中国式现代化则主张国家</w:t>
      </w:r>
      <w:r>
        <w:rPr>
          <w:rFonts w:hint="eastAsia" w:ascii="宋体" w:hAnsi="宋体" w:eastAsia="宋体" w:cs="宋体"/>
          <w:spacing w:val="4"/>
          <w:sz w:val="21"/>
          <w:szCs w:val="21"/>
        </w:rPr>
        <w:t>不分大小、强弱、贫富一律平等,并主张以和平发展取代武力掠夺、以公平</w:t>
      </w:r>
      <w:r>
        <w:rPr>
          <w:rFonts w:hint="eastAsia" w:ascii="宋体" w:hAnsi="宋体" w:eastAsia="宋体" w:cs="宋体"/>
          <w:spacing w:val="3"/>
          <w:sz w:val="21"/>
          <w:szCs w:val="21"/>
        </w:rPr>
        <w:t>贸易取代</w:t>
      </w:r>
      <w:r>
        <w:rPr>
          <w:rFonts w:hint="eastAsia" w:ascii="宋体" w:hAnsi="宋体" w:eastAsia="宋体" w:cs="宋体"/>
          <w:spacing w:val="21"/>
          <w:sz w:val="21"/>
          <w:szCs w:val="21"/>
        </w:rPr>
        <w:t>全球价值链剥削,以全人类整体利益为出发点推动实现人</w:t>
      </w:r>
      <w:r>
        <w:rPr>
          <w:rFonts w:hint="eastAsia" w:ascii="宋体" w:hAnsi="宋体" w:eastAsia="宋体" w:cs="宋体"/>
          <w:spacing w:val="20"/>
          <w:sz w:val="21"/>
          <w:szCs w:val="21"/>
        </w:rPr>
        <w:t>类共同繁荣发展。尤为重要</w:t>
      </w:r>
      <w:r>
        <w:rPr>
          <w:rFonts w:hint="eastAsia" w:ascii="宋体" w:hAnsi="宋体" w:eastAsia="宋体" w:cs="宋体"/>
          <w:spacing w:val="19"/>
          <w:sz w:val="21"/>
          <w:szCs w:val="21"/>
        </w:rPr>
        <w:t>的是,中国式现代化的发展也有赖于与全球南方国家携手并进,既互通有无、互利互</w:t>
      </w:r>
      <w:r>
        <w:rPr>
          <w:rFonts w:hint="eastAsia" w:ascii="宋体" w:hAnsi="宋体" w:eastAsia="宋体" w:cs="宋体"/>
          <w:spacing w:val="21"/>
          <w:sz w:val="21"/>
          <w:szCs w:val="21"/>
        </w:rPr>
        <w:t>信,更需要在应对美西方国家各种经济封锁、政治军事挑</w:t>
      </w:r>
      <w:r>
        <w:rPr>
          <w:rFonts w:hint="eastAsia" w:ascii="宋体" w:hAnsi="宋体" w:eastAsia="宋体" w:cs="宋体"/>
          <w:spacing w:val="20"/>
          <w:sz w:val="21"/>
          <w:szCs w:val="21"/>
        </w:rPr>
        <w:t>衅中相互扶持与帮助,共谋</w:t>
      </w:r>
      <w:r>
        <w:rPr>
          <w:rFonts w:hint="eastAsia" w:ascii="宋体" w:hAnsi="宋体" w:eastAsia="宋体" w:cs="宋体"/>
          <w:spacing w:val="2"/>
          <w:sz w:val="21"/>
          <w:szCs w:val="21"/>
        </w:rPr>
        <w:t>现代化发展大计。例如,我国从</w:t>
      </w:r>
      <w:r>
        <w:rPr>
          <w:rFonts w:hint="eastAsia" w:ascii="宋体" w:hAnsi="宋体" w:eastAsia="宋体" w:cs="宋体"/>
          <w:spacing w:val="2"/>
          <w:position w:val="-2"/>
          <w:sz w:val="21"/>
          <w:szCs w:val="21"/>
        </w:rPr>
        <w:t>2013</w:t>
      </w:r>
      <w:r>
        <w:rPr>
          <w:rFonts w:hint="eastAsia" w:ascii="宋体" w:hAnsi="宋体" w:eastAsia="宋体" w:cs="宋体"/>
          <w:spacing w:val="2"/>
          <w:sz w:val="21"/>
          <w:szCs w:val="21"/>
        </w:rPr>
        <w:t>年起着力推动共建“一带一路”,实现共建国家</w:t>
      </w:r>
      <w:r>
        <w:rPr>
          <w:rFonts w:hint="eastAsia" w:ascii="宋体" w:hAnsi="宋体" w:eastAsia="宋体" w:cs="宋体"/>
          <w:spacing w:val="20"/>
          <w:sz w:val="21"/>
          <w:szCs w:val="21"/>
        </w:rPr>
        <w:t>互联互通,与广大发展中国家建立了包容互信、合作共赢的良好关系,取得了丰硕的</w:t>
      </w:r>
      <w:r>
        <w:rPr>
          <w:rFonts w:hint="eastAsia" w:ascii="宋体" w:hAnsi="宋体" w:eastAsia="宋体" w:cs="宋体"/>
          <w:spacing w:val="8"/>
          <w:sz w:val="21"/>
          <w:szCs w:val="21"/>
        </w:rPr>
        <w:t>建设成果。近五年来,我国又依次提出了“全球发展倡议”“全球安全倡议”“全球文</w:t>
      </w:r>
      <w:r>
        <w:rPr>
          <w:rFonts w:hint="eastAsia" w:ascii="宋体" w:hAnsi="宋体" w:eastAsia="宋体" w:cs="宋体"/>
          <w:spacing w:val="13"/>
          <w:sz w:val="21"/>
          <w:szCs w:val="21"/>
        </w:rPr>
        <w:t>明倡议”“全球治理倡议”,在全球治理改革中走出了一条</w:t>
      </w:r>
      <w:r>
        <w:rPr>
          <w:rFonts w:hint="eastAsia" w:ascii="宋体" w:hAnsi="宋体" w:eastAsia="宋体" w:cs="宋体"/>
          <w:spacing w:val="12"/>
          <w:sz w:val="21"/>
          <w:szCs w:val="21"/>
        </w:rPr>
        <w:t>新路,为破解“金德尔伯格</w:t>
      </w:r>
      <w:r>
        <w:rPr>
          <w:rFonts w:hint="eastAsia" w:ascii="宋体" w:hAnsi="宋体" w:eastAsia="宋体" w:cs="宋体"/>
          <w:spacing w:val="21"/>
          <w:sz w:val="21"/>
          <w:szCs w:val="21"/>
        </w:rPr>
        <w:t>陷阱”即全球公共产品供给不足贡献了中国方案,充分体现了中国式现代化是走和平</w:t>
      </w:r>
      <w:r>
        <w:rPr>
          <w:rFonts w:hint="eastAsia" w:ascii="宋体" w:hAnsi="宋体" w:eastAsia="宋体" w:cs="宋体"/>
          <w:spacing w:val="16"/>
          <w:sz w:val="21"/>
          <w:szCs w:val="21"/>
        </w:rPr>
        <w:t>发展道路的现代化的重要特征。</w:t>
      </w:r>
    </w:p>
    <w:p w14:paraId="6DA79B0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宋体" w:hAnsi="宋体" w:eastAsia="宋体" w:cs="宋体"/>
          <w:sz w:val="21"/>
          <w:szCs w:val="21"/>
        </w:rPr>
      </w:pPr>
      <w:r>
        <w:rPr>
          <w:rFonts w:hint="eastAsia" w:ascii="宋体" w:hAnsi="宋体" w:eastAsia="宋体" w:cs="宋体"/>
          <w:spacing w:val="16"/>
          <w:sz w:val="21"/>
          <w:szCs w:val="21"/>
        </w:rPr>
        <w:t>另一方面,我国还主动承担国际责任,拒绝转移污染,避免对他国造成生态迫害。</w:t>
      </w:r>
      <w:r>
        <w:rPr>
          <w:rFonts w:hint="eastAsia" w:ascii="宋体" w:hAnsi="宋体" w:eastAsia="宋体" w:cs="宋体"/>
          <w:spacing w:val="23"/>
          <w:sz w:val="21"/>
          <w:szCs w:val="21"/>
        </w:rPr>
        <w:t>西方现代化的发展不仅给本国造成了严重的生态环境破</w:t>
      </w:r>
      <w:r>
        <w:rPr>
          <w:rFonts w:hint="eastAsia" w:ascii="宋体" w:hAnsi="宋体" w:eastAsia="宋体" w:cs="宋体"/>
          <w:spacing w:val="22"/>
          <w:sz w:val="21"/>
          <w:szCs w:val="21"/>
        </w:rPr>
        <w:t>坏,还在自身发展到一定阶段</w:t>
      </w:r>
      <w:r>
        <w:rPr>
          <w:rFonts w:hint="eastAsia" w:ascii="宋体" w:hAnsi="宋体" w:eastAsia="宋体" w:cs="宋体"/>
          <w:spacing w:val="20"/>
          <w:sz w:val="21"/>
          <w:szCs w:val="21"/>
        </w:rPr>
        <w:t>后,将高污染产业转移至发展中国家。而我国则通过政策约束、技术合作和绿色投资</w:t>
      </w:r>
      <w:r>
        <w:rPr>
          <w:rFonts w:hint="eastAsia" w:ascii="宋体" w:hAnsi="宋体" w:eastAsia="宋体" w:cs="宋体"/>
          <w:spacing w:val="16"/>
          <w:sz w:val="21"/>
          <w:szCs w:val="21"/>
        </w:rPr>
        <w:t>等方式,依据人类命运共同体理念,与其他国家一起开展全球生态保护、共同应对全球</w:t>
      </w:r>
      <w:r>
        <w:rPr>
          <w:rFonts w:hint="eastAsia" w:ascii="宋体" w:hAnsi="宋体" w:eastAsia="宋体" w:cs="宋体"/>
          <w:spacing w:val="17"/>
          <w:sz w:val="21"/>
          <w:szCs w:val="21"/>
        </w:rPr>
        <w:t>气候变化等,从而与西方历史上的污染转移模式形成鲜明对比。主</w:t>
      </w:r>
      <w:r>
        <w:rPr>
          <w:rFonts w:hint="eastAsia" w:ascii="宋体" w:hAnsi="宋体" w:eastAsia="宋体" w:cs="宋体"/>
          <w:spacing w:val="16"/>
          <w:sz w:val="21"/>
          <w:szCs w:val="21"/>
        </w:rPr>
        <w:t>要举措如立法禁止污</w:t>
      </w:r>
      <w:r>
        <w:rPr>
          <w:rFonts w:hint="eastAsia" w:ascii="宋体" w:hAnsi="宋体" w:eastAsia="宋体" w:cs="宋体"/>
          <w:spacing w:val="13"/>
          <w:sz w:val="21"/>
          <w:szCs w:val="21"/>
        </w:rPr>
        <w:t>染输出,通过《对外投资合作环境保护指南》,要求中资企业的海外项目必须通过环评,</w:t>
      </w:r>
      <w:r>
        <w:rPr>
          <w:rFonts w:hint="eastAsia" w:ascii="宋体" w:hAnsi="宋体" w:eastAsia="宋体" w:cs="宋体"/>
          <w:spacing w:val="17"/>
          <w:sz w:val="21"/>
          <w:szCs w:val="21"/>
        </w:rPr>
        <w:t>禁止建设高污染、高耗能项目;通过新能源技术赋能,在对外投资中提供可再</w:t>
      </w:r>
      <w:r>
        <w:rPr>
          <w:rFonts w:hint="eastAsia" w:ascii="宋体" w:hAnsi="宋体" w:eastAsia="宋体" w:cs="宋体"/>
          <w:spacing w:val="16"/>
          <w:sz w:val="21"/>
          <w:szCs w:val="21"/>
        </w:rPr>
        <w:t>生能源设</w:t>
      </w:r>
      <w:r>
        <w:rPr>
          <w:rFonts w:hint="eastAsia" w:ascii="宋体" w:hAnsi="宋体" w:eastAsia="宋体" w:cs="宋体"/>
          <w:spacing w:val="20"/>
          <w:sz w:val="21"/>
          <w:szCs w:val="21"/>
        </w:rPr>
        <w:t>备、推广清洁生产标准等,大幅降低了合作国</w:t>
      </w:r>
      <w:r>
        <w:rPr>
          <w:rFonts w:hint="eastAsia" w:ascii="宋体" w:hAnsi="宋体" w:eastAsia="宋体" w:cs="宋体"/>
          <w:spacing w:val="19"/>
          <w:sz w:val="21"/>
          <w:szCs w:val="21"/>
        </w:rPr>
        <w:t>家的污染水平;共同签订绿色投资原则,</w:t>
      </w:r>
      <w:r>
        <w:rPr>
          <w:rFonts w:hint="eastAsia" w:ascii="宋体" w:hAnsi="宋体" w:eastAsia="宋体" w:cs="宋体"/>
          <w:spacing w:val="12"/>
          <w:sz w:val="21"/>
          <w:szCs w:val="21"/>
        </w:rPr>
        <w:t>要求所有项目必须进行气候风险评估,对发展中国家贷款附加合理的环保条款等。</w:t>
      </w:r>
    </w:p>
    <w:p w14:paraId="04B9F99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rPr>
          <w:rFonts w:hint="eastAsia" w:ascii="宋体" w:hAnsi="宋体" w:eastAsia="宋体" w:cs="宋体"/>
          <w:sz w:val="21"/>
          <w:szCs w:val="21"/>
        </w:rPr>
      </w:pPr>
      <w:r>
        <w:rPr>
          <w:rFonts w:hint="eastAsia" w:ascii="宋体" w:hAnsi="宋体" w:eastAsia="宋体" w:cs="宋体"/>
          <w:spacing w:val="13"/>
          <w:sz w:val="21"/>
          <w:szCs w:val="21"/>
        </w:rPr>
        <w:t>综上所述,中国式现代化“去剥夺性”的发展路径,超越了西方国家的零和</w:t>
      </w:r>
      <w:r>
        <w:rPr>
          <w:rFonts w:hint="eastAsia" w:ascii="宋体" w:hAnsi="宋体" w:eastAsia="宋体" w:cs="宋体"/>
          <w:spacing w:val="12"/>
          <w:sz w:val="21"/>
          <w:szCs w:val="21"/>
        </w:rPr>
        <w:t>博弈,</w:t>
      </w:r>
      <w:r>
        <w:rPr>
          <w:rFonts w:hint="eastAsia" w:ascii="宋体" w:hAnsi="宋体" w:eastAsia="宋体" w:cs="宋体"/>
          <w:spacing w:val="17"/>
          <w:sz w:val="21"/>
          <w:szCs w:val="21"/>
        </w:rPr>
        <w:t>为全球各国尤其是与全球南方国家一起合作共赢,重塑全球发展</w:t>
      </w:r>
      <w:r>
        <w:rPr>
          <w:rFonts w:hint="eastAsia" w:ascii="宋体" w:hAnsi="宋体" w:eastAsia="宋体" w:cs="宋体"/>
          <w:spacing w:val="16"/>
          <w:sz w:val="21"/>
          <w:szCs w:val="21"/>
        </w:rPr>
        <w:t>伦理。</w:t>
      </w:r>
    </w:p>
    <w:p w14:paraId="401F1C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rPr>
          <w:rFonts w:hint="eastAsia" w:ascii="宋体" w:hAnsi="宋体" w:eastAsia="宋体" w:cs="宋体"/>
          <w:sz w:val="21"/>
          <w:szCs w:val="21"/>
        </w:rPr>
      </w:pPr>
      <w:r>
        <w:rPr>
          <w:rFonts w:hint="eastAsia" w:ascii="宋体" w:hAnsi="宋体" w:eastAsia="宋体" w:cs="宋体"/>
          <w:spacing w:val="17"/>
          <w:position w:val="-2"/>
          <w:sz w:val="21"/>
          <w:szCs w:val="21"/>
        </w:rPr>
        <w:t>3.</w:t>
      </w:r>
      <w:r>
        <w:rPr>
          <w:rFonts w:hint="eastAsia" w:ascii="宋体" w:hAnsi="宋体" w:eastAsia="宋体" w:cs="宋体"/>
          <w:spacing w:val="17"/>
          <w:sz w:val="21"/>
          <w:szCs w:val="21"/>
        </w:rPr>
        <w:t>通过制度创新,打破西方现代化非均衡发展恶果,实现多维度均衡发展</w:t>
      </w:r>
    </w:p>
    <w:p w14:paraId="35727EA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rPr>
          <w:rFonts w:hint="eastAsia" w:ascii="宋体" w:hAnsi="宋体" w:eastAsia="宋体" w:cs="宋体"/>
          <w:sz w:val="21"/>
          <w:szCs w:val="21"/>
        </w:rPr>
      </w:pPr>
      <w:r>
        <w:rPr>
          <w:rFonts w:hint="eastAsia" w:ascii="宋体" w:hAnsi="宋体" w:eastAsia="宋体" w:cs="宋体"/>
          <w:spacing w:val="2"/>
          <w:sz w:val="21"/>
          <w:szCs w:val="21"/>
        </w:rPr>
        <w:t>作为多维度并联式的系统工程,中国式现代化在发展进程中努力向“均衡发展”</w:t>
      </w:r>
      <w:r>
        <w:rPr>
          <w:rFonts w:hint="eastAsia" w:ascii="宋体" w:hAnsi="宋体" w:eastAsia="宋体" w:cs="宋体"/>
          <w:spacing w:val="5"/>
          <w:sz w:val="21"/>
          <w:szCs w:val="21"/>
        </w:rPr>
        <w:t>迈进,与西方现代化常见的贫富分化、区域失衡、生态透支等弊端相比,</w:t>
      </w:r>
      <w:r>
        <w:rPr>
          <w:rFonts w:hint="eastAsia" w:ascii="宋体" w:hAnsi="宋体" w:eastAsia="宋体" w:cs="宋体"/>
          <w:spacing w:val="4"/>
          <w:sz w:val="21"/>
          <w:szCs w:val="21"/>
        </w:rPr>
        <w:t>不断在经济</w:t>
      </w:r>
      <w:r>
        <w:rPr>
          <w:rFonts w:hint="eastAsia" w:ascii="宋体" w:hAnsi="宋体" w:eastAsia="宋体" w:cs="宋体"/>
          <w:spacing w:val="13"/>
          <w:sz w:val="21"/>
          <w:szCs w:val="21"/>
        </w:rPr>
        <w:t>增长、社会公平、环境可持续中寻求均衡。</w:t>
      </w:r>
    </w:p>
    <w:p w14:paraId="6C2EC43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宋体" w:hAnsi="宋体" w:eastAsia="宋体" w:cs="宋体"/>
          <w:sz w:val="21"/>
          <w:szCs w:val="21"/>
        </w:rPr>
      </w:pPr>
      <w:r>
        <w:rPr>
          <w:rFonts w:hint="eastAsia" w:ascii="宋体" w:hAnsi="宋体" w:eastAsia="宋体" w:cs="宋体"/>
          <w:spacing w:val="22"/>
          <w:sz w:val="21"/>
          <w:szCs w:val="21"/>
        </w:rPr>
        <w:t>首先,共同富裕是中国特色社会主义的本质</w:t>
      </w:r>
      <w:r>
        <w:rPr>
          <w:rFonts w:hint="eastAsia" w:ascii="宋体" w:hAnsi="宋体" w:eastAsia="宋体" w:cs="宋体"/>
          <w:spacing w:val="21"/>
          <w:sz w:val="21"/>
          <w:szCs w:val="21"/>
        </w:rPr>
        <w:t>要求,实现全体人民共同富裕是中国</w:t>
      </w:r>
      <w:r>
        <w:rPr>
          <w:rFonts w:hint="eastAsia" w:ascii="宋体" w:hAnsi="宋体" w:eastAsia="宋体" w:cs="宋体"/>
          <w:spacing w:val="23"/>
          <w:sz w:val="21"/>
          <w:szCs w:val="21"/>
        </w:rPr>
        <w:t>式现代化的五大特征之一。从新中国成立后,建立起以公有制为基础的社会主义经济</w:t>
      </w:r>
      <w:r>
        <w:rPr>
          <w:rFonts w:hint="eastAsia" w:ascii="宋体" w:hAnsi="宋体" w:eastAsia="宋体" w:cs="宋体"/>
          <w:spacing w:val="16"/>
          <w:sz w:val="21"/>
          <w:szCs w:val="21"/>
        </w:rPr>
        <w:t>制度,到党的十八大“两个毫不动摇”的确立,</w:t>
      </w:r>
      <w:r>
        <w:rPr>
          <w:rFonts w:hint="eastAsia" w:ascii="宋体" w:hAnsi="宋体" w:eastAsia="宋体" w:cs="宋体"/>
          <w:spacing w:val="15"/>
          <w:sz w:val="21"/>
          <w:szCs w:val="21"/>
        </w:rPr>
        <w:t>我国始终把以公有制为主体作为根本,</w:t>
      </w:r>
      <w:r>
        <w:rPr>
          <w:rFonts w:hint="eastAsia" w:ascii="宋体" w:hAnsi="宋体" w:eastAsia="宋体" w:cs="宋体"/>
          <w:spacing w:val="19"/>
          <w:sz w:val="21"/>
          <w:szCs w:val="21"/>
        </w:rPr>
        <w:t>因为“公有制经济是全体人民的宝贵财富,公有制主体地位不能动摇,国有经济</w:t>
      </w:r>
      <w:r>
        <w:rPr>
          <w:rFonts w:hint="eastAsia" w:ascii="宋体" w:hAnsi="宋体" w:eastAsia="宋体" w:cs="宋体"/>
          <w:spacing w:val="18"/>
          <w:sz w:val="21"/>
          <w:szCs w:val="21"/>
        </w:rPr>
        <w:t>主导</w:t>
      </w:r>
      <w:r>
        <w:rPr>
          <w:rFonts w:hint="eastAsia" w:ascii="宋体" w:hAnsi="宋体" w:eastAsia="宋体" w:cs="宋体"/>
          <w:spacing w:val="24"/>
          <w:sz w:val="21"/>
          <w:szCs w:val="21"/>
        </w:rPr>
        <w:t>作用不能动摇,这是保证我国各族人民共享发展成果的制度性保证,也</w:t>
      </w:r>
      <w:r>
        <w:rPr>
          <w:rFonts w:hint="eastAsia" w:ascii="宋体" w:hAnsi="宋体" w:eastAsia="宋体" w:cs="宋体"/>
          <w:spacing w:val="23"/>
          <w:sz w:val="21"/>
          <w:szCs w:val="21"/>
        </w:rPr>
        <w:t>是巩固党的执</w:t>
      </w:r>
      <w:r>
        <w:rPr>
          <w:rFonts w:hint="eastAsia" w:ascii="宋体" w:hAnsi="宋体" w:eastAsia="宋体" w:cs="宋体"/>
          <w:spacing w:val="14"/>
          <w:sz w:val="21"/>
          <w:szCs w:val="21"/>
        </w:rPr>
        <w:t>政地位、坚持我国社会主义制度的重要保证”。</w:t>
      </w:r>
      <w:r>
        <w:rPr>
          <w:rStyle w:val="20"/>
          <w:rFonts w:hint="eastAsia" w:ascii="宋体" w:hAnsi="宋体" w:eastAsia="宋体" w:cs="宋体"/>
          <w:spacing w:val="14"/>
          <w:sz w:val="21"/>
          <w:szCs w:val="21"/>
        </w:rPr>
        <w:footnoteReference w:id="1378"/>
      </w:r>
      <w:r>
        <w:rPr>
          <w:rFonts w:hint="eastAsia" w:ascii="宋体" w:hAnsi="宋体" w:eastAsia="宋体" w:cs="宋体"/>
          <w:spacing w:val="14"/>
          <w:sz w:val="21"/>
          <w:szCs w:val="21"/>
        </w:rPr>
        <w:t>因此,我国的现代化在大力发展市场</w:t>
      </w:r>
      <w:r>
        <w:rPr>
          <w:rFonts w:hint="eastAsia" w:ascii="宋体" w:hAnsi="宋体" w:eastAsia="宋体" w:cs="宋体"/>
          <w:spacing w:val="22"/>
          <w:sz w:val="21"/>
          <w:szCs w:val="21"/>
        </w:rPr>
        <w:t>经济的同时,以国有经济控制关系经济命脉的战略性行业、以农村土地集体经济确保</w:t>
      </w:r>
      <w:r>
        <w:rPr>
          <w:rFonts w:hint="eastAsia" w:ascii="宋体" w:hAnsi="宋体" w:eastAsia="宋体" w:cs="宋体"/>
          <w:spacing w:val="24"/>
          <w:sz w:val="21"/>
          <w:szCs w:val="21"/>
        </w:rPr>
        <w:t>农民的基本收益,既注重发挥资本在带动各类生产要素配置</w:t>
      </w:r>
      <w:r>
        <w:rPr>
          <w:rFonts w:hint="eastAsia" w:ascii="宋体" w:hAnsi="宋体" w:eastAsia="宋体" w:cs="宋体"/>
          <w:spacing w:val="23"/>
          <w:sz w:val="21"/>
          <w:szCs w:val="21"/>
        </w:rPr>
        <w:t>过程中的积极作用,又积</w:t>
      </w:r>
      <w:r>
        <w:rPr>
          <w:rFonts w:hint="eastAsia" w:ascii="宋体" w:hAnsi="宋体" w:eastAsia="宋体" w:cs="宋体"/>
          <w:spacing w:val="25"/>
          <w:sz w:val="21"/>
          <w:szCs w:val="21"/>
        </w:rPr>
        <w:t>极采取各种措施规范和约束资本的逐利本性,抑制资本无序扩张和资本逻辑的负面效</w:t>
      </w:r>
      <w:r>
        <w:rPr>
          <w:rFonts w:hint="eastAsia" w:ascii="宋体" w:hAnsi="宋体" w:eastAsia="宋体" w:cs="宋体"/>
          <w:spacing w:val="23"/>
          <w:sz w:val="21"/>
          <w:szCs w:val="21"/>
        </w:rPr>
        <w:t>应,重视满足全体人民不断增长的美好生活需要,投入巨额财政用于消除</w:t>
      </w:r>
      <w:r>
        <w:rPr>
          <w:rFonts w:hint="eastAsia" w:ascii="宋体" w:hAnsi="宋体" w:eastAsia="宋体" w:cs="宋体"/>
          <w:spacing w:val="22"/>
          <w:sz w:val="21"/>
          <w:szCs w:val="21"/>
        </w:rPr>
        <w:t>贫困、义务</w:t>
      </w:r>
      <w:r>
        <w:rPr>
          <w:rFonts w:hint="eastAsia" w:ascii="宋体" w:hAnsi="宋体" w:eastAsia="宋体" w:cs="宋体"/>
          <w:spacing w:val="21"/>
          <w:sz w:val="21"/>
          <w:szCs w:val="21"/>
        </w:rPr>
        <w:t>教育和乡村振兴等,推进了全体人民的共同富裕。在具体政策举措上,中国式现代化</w:t>
      </w:r>
      <w:r>
        <w:rPr>
          <w:rFonts w:hint="eastAsia" w:ascii="宋体" w:hAnsi="宋体" w:eastAsia="宋体" w:cs="宋体"/>
          <w:spacing w:val="18"/>
          <w:sz w:val="21"/>
          <w:szCs w:val="21"/>
        </w:rPr>
        <w:t>高度重视财富创造与财富分配之间的关系,通过合理的制度安排,“坚</w:t>
      </w:r>
      <w:r>
        <w:rPr>
          <w:rFonts w:hint="eastAsia" w:ascii="宋体" w:hAnsi="宋体" w:eastAsia="宋体" w:cs="宋体"/>
          <w:spacing w:val="17"/>
          <w:sz w:val="21"/>
          <w:szCs w:val="21"/>
        </w:rPr>
        <w:t>持按劳分配为主</w:t>
      </w:r>
      <w:r>
        <w:rPr>
          <w:rFonts w:hint="eastAsia" w:ascii="宋体" w:hAnsi="宋体" w:eastAsia="宋体" w:cs="宋体"/>
          <w:spacing w:val="15"/>
          <w:sz w:val="21"/>
          <w:szCs w:val="21"/>
        </w:rPr>
        <w:t>体、多种分配方式并存,构建初次分配、再分配、第三次分配协调配套的制度体系”,</w:t>
      </w:r>
      <w:r>
        <w:rPr>
          <w:rStyle w:val="20"/>
          <w:rFonts w:hint="eastAsia" w:ascii="宋体" w:hAnsi="宋体" w:eastAsia="宋体" w:cs="宋体"/>
          <w:spacing w:val="-36"/>
          <w:sz w:val="21"/>
          <w:szCs w:val="21"/>
        </w:rPr>
        <w:footnoteReference w:id="1379"/>
      </w:r>
      <w:r>
        <w:rPr>
          <w:rFonts w:hint="eastAsia" w:ascii="宋体" w:hAnsi="宋体" w:eastAsia="宋体" w:cs="宋体"/>
          <w:spacing w:val="16"/>
          <w:sz w:val="21"/>
          <w:szCs w:val="21"/>
        </w:rPr>
        <w:t>确保了社会财富的增长惠及全体人民,为全球提供了“现代化≠两极</w:t>
      </w:r>
      <w:r>
        <w:rPr>
          <w:rFonts w:hint="eastAsia" w:ascii="宋体" w:hAnsi="宋体" w:eastAsia="宋体" w:cs="宋体"/>
          <w:spacing w:val="15"/>
          <w:sz w:val="21"/>
          <w:szCs w:val="21"/>
        </w:rPr>
        <w:t>分化”的新范式。</w:t>
      </w:r>
      <w:r>
        <w:rPr>
          <w:rFonts w:hint="eastAsia" w:ascii="宋体" w:hAnsi="宋体" w:eastAsia="宋体" w:cs="宋体"/>
          <w:spacing w:val="21"/>
          <w:sz w:val="21"/>
          <w:szCs w:val="21"/>
        </w:rPr>
        <w:t>在党的集中统一领导下,一是积极破除城乡二元结构,一方</w:t>
      </w:r>
      <w:r>
        <w:rPr>
          <w:rFonts w:hint="eastAsia" w:ascii="宋体" w:hAnsi="宋体" w:eastAsia="宋体" w:cs="宋体"/>
          <w:spacing w:val="20"/>
          <w:sz w:val="21"/>
          <w:szCs w:val="21"/>
        </w:rPr>
        <w:t>面持续推进户籍制度改革,</w:t>
      </w:r>
      <w:r>
        <w:rPr>
          <w:rFonts w:hint="eastAsia" w:ascii="宋体" w:hAnsi="宋体" w:eastAsia="宋体" w:cs="宋体"/>
          <w:spacing w:val="24"/>
          <w:sz w:val="21"/>
          <w:szCs w:val="21"/>
        </w:rPr>
        <w:t>超</w:t>
      </w:r>
      <w:r>
        <w:rPr>
          <w:rFonts w:hint="eastAsia" w:ascii="宋体" w:hAnsi="宋体" w:eastAsia="宋体" w:cs="宋体"/>
          <w:spacing w:val="24"/>
          <w:position w:val="-2"/>
          <w:sz w:val="21"/>
          <w:szCs w:val="21"/>
        </w:rPr>
        <w:t>1</w:t>
      </w:r>
      <w:r>
        <w:rPr>
          <w:rFonts w:hint="eastAsia" w:ascii="宋体" w:hAnsi="宋体" w:eastAsia="宋体" w:cs="宋体"/>
          <w:spacing w:val="24"/>
          <w:sz w:val="21"/>
          <w:szCs w:val="21"/>
        </w:rPr>
        <w:t>亿农业转移人口落户城镇,城乡医保并轨实现全覆盖</w:t>
      </w:r>
      <w:r>
        <w:rPr>
          <w:rFonts w:hint="eastAsia" w:ascii="宋体" w:hAnsi="宋体" w:eastAsia="宋体" w:cs="宋体"/>
          <w:spacing w:val="23"/>
          <w:sz w:val="21"/>
          <w:szCs w:val="21"/>
        </w:rPr>
        <w:t>;另一方面则通过农村土地</w:t>
      </w:r>
      <w:r>
        <w:rPr>
          <w:rFonts w:hint="eastAsia" w:ascii="宋体" w:hAnsi="宋体" w:eastAsia="宋体" w:cs="宋体"/>
          <w:spacing w:val="16"/>
          <w:sz w:val="21"/>
          <w:szCs w:val="21"/>
        </w:rPr>
        <w:t>“三权分置”改革,激活要素流动,提升资</w:t>
      </w:r>
      <w:r>
        <w:rPr>
          <w:rFonts w:hint="eastAsia" w:ascii="宋体" w:hAnsi="宋体" w:eastAsia="宋体" w:cs="宋体"/>
          <w:spacing w:val="15"/>
          <w:sz w:val="21"/>
          <w:szCs w:val="21"/>
        </w:rPr>
        <w:t>源配置效率。二是通过战略统筹,不断缩小</w:t>
      </w:r>
      <w:r>
        <w:rPr>
          <w:rFonts w:hint="eastAsia" w:ascii="宋体" w:hAnsi="宋体" w:eastAsia="宋体" w:cs="宋体"/>
          <w:spacing w:val="25"/>
          <w:sz w:val="21"/>
          <w:szCs w:val="21"/>
        </w:rPr>
        <w:t>区域发展差距,如通过巨额财政收入推进西部大开发以及大规模开展基础设施均等化</w:t>
      </w:r>
      <w:r>
        <w:rPr>
          <w:rFonts w:hint="eastAsia" w:ascii="宋体" w:hAnsi="宋体" w:eastAsia="宋体" w:cs="宋体"/>
          <w:spacing w:val="14"/>
          <w:sz w:val="21"/>
          <w:szCs w:val="21"/>
        </w:rPr>
        <w:t>建设,</w:t>
      </w:r>
      <w:r>
        <w:rPr>
          <w:rFonts w:hint="eastAsia" w:ascii="宋体" w:hAnsi="宋体" w:eastAsia="宋体" w:cs="宋体"/>
          <w:spacing w:val="14"/>
          <w:position w:val="-2"/>
          <w:sz w:val="21"/>
          <w:szCs w:val="21"/>
        </w:rPr>
        <w:t>2022</w:t>
      </w:r>
      <w:r>
        <w:rPr>
          <w:rFonts w:hint="eastAsia" w:ascii="宋体" w:hAnsi="宋体" w:eastAsia="宋体" w:cs="宋体"/>
          <w:spacing w:val="14"/>
          <w:sz w:val="21"/>
          <w:szCs w:val="21"/>
        </w:rPr>
        <w:t>年实现中西部地区铁路营业总里程达到</w:t>
      </w:r>
      <w:r>
        <w:rPr>
          <w:rFonts w:hint="eastAsia" w:ascii="宋体" w:hAnsi="宋体" w:eastAsia="宋体" w:cs="宋体"/>
          <w:spacing w:val="14"/>
          <w:position w:val="-2"/>
          <w:sz w:val="21"/>
          <w:szCs w:val="21"/>
        </w:rPr>
        <w:t>9</w:t>
      </w:r>
      <w:r>
        <w:rPr>
          <w:rFonts w:hint="eastAsia" w:ascii="宋体" w:hAnsi="宋体" w:eastAsia="宋体" w:cs="宋体"/>
          <w:spacing w:val="14"/>
          <w:sz w:val="21"/>
          <w:szCs w:val="21"/>
        </w:rPr>
        <w:t>万公里,占全国</w:t>
      </w:r>
      <w:r>
        <w:rPr>
          <w:rFonts w:hint="eastAsia" w:ascii="宋体" w:hAnsi="宋体" w:eastAsia="宋体" w:cs="宋体"/>
          <w:spacing w:val="13"/>
          <w:sz w:val="21"/>
          <w:szCs w:val="21"/>
        </w:rPr>
        <w:t>的近</w:t>
      </w:r>
      <w:r>
        <w:rPr>
          <w:rFonts w:hint="eastAsia" w:ascii="宋体" w:hAnsi="宋体" w:eastAsia="宋体" w:cs="宋体"/>
          <w:spacing w:val="13"/>
          <w:position w:val="-2"/>
          <w:sz w:val="21"/>
          <w:szCs w:val="21"/>
        </w:rPr>
        <w:t>60%</w:t>
      </w:r>
      <w:r>
        <w:rPr>
          <w:rFonts w:hint="eastAsia" w:ascii="宋体" w:hAnsi="宋体" w:eastAsia="宋体" w:cs="宋体"/>
          <w:spacing w:val="13"/>
          <w:sz w:val="21"/>
          <w:szCs w:val="21"/>
        </w:rPr>
        <w:t>。</w:t>
      </w:r>
      <w:r>
        <w:rPr>
          <w:rStyle w:val="20"/>
          <w:rFonts w:hint="eastAsia" w:ascii="宋体" w:hAnsi="宋体" w:eastAsia="宋体" w:cs="宋体"/>
          <w:spacing w:val="13"/>
          <w:sz w:val="21"/>
          <w:szCs w:val="21"/>
        </w:rPr>
        <w:footnoteReference w:id="1380"/>
      </w:r>
      <w:r>
        <w:rPr>
          <w:rFonts w:hint="eastAsia" w:ascii="宋体" w:hAnsi="宋体" w:eastAsia="宋体" w:cs="宋体"/>
          <w:spacing w:val="13"/>
          <w:sz w:val="21"/>
          <w:szCs w:val="21"/>
        </w:rPr>
        <w:t>三</w:t>
      </w:r>
      <w:r>
        <w:rPr>
          <w:rFonts w:hint="eastAsia" w:ascii="宋体" w:hAnsi="宋体" w:eastAsia="宋体" w:cs="宋体"/>
          <w:spacing w:val="23"/>
          <w:sz w:val="21"/>
          <w:szCs w:val="21"/>
        </w:rPr>
        <w:t>是以共同富裕为目标开展分配制度改革,在缩小收入差距、扩大中等收入群体、</w:t>
      </w:r>
      <w:r>
        <w:rPr>
          <w:rFonts w:hint="eastAsia" w:ascii="宋体" w:hAnsi="宋体" w:eastAsia="宋体" w:cs="宋体"/>
          <w:spacing w:val="22"/>
          <w:sz w:val="21"/>
          <w:szCs w:val="21"/>
        </w:rPr>
        <w:t>优化</w:t>
      </w:r>
      <w:r>
        <w:rPr>
          <w:rFonts w:hint="eastAsia" w:ascii="宋体" w:hAnsi="宋体" w:eastAsia="宋体" w:cs="宋体"/>
          <w:spacing w:val="24"/>
          <w:sz w:val="21"/>
          <w:szCs w:val="21"/>
        </w:rPr>
        <w:t>财富分配结构等方面取得显著成效。如在初次分配中</w:t>
      </w:r>
      <w:r>
        <w:rPr>
          <w:rFonts w:hint="eastAsia" w:ascii="宋体" w:hAnsi="宋体" w:eastAsia="宋体" w:cs="宋体"/>
          <w:spacing w:val="23"/>
          <w:sz w:val="21"/>
          <w:szCs w:val="21"/>
        </w:rPr>
        <w:t>不断提升劳动报酬比重、在再分</w:t>
      </w:r>
      <w:r>
        <w:rPr>
          <w:rFonts w:hint="eastAsia" w:ascii="宋体" w:hAnsi="宋体" w:eastAsia="宋体" w:cs="宋体"/>
          <w:spacing w:val="3"/>
          <w:sz w:val="21"/>
          <w:szCs w:val="21"/>
        </w:rPr>
        <w:t>配中强化税收与转移支付,不断提高个税起征点并增加专项附加扣除(教育、医疗</w:t>
      </w:r>
      <w:r>
        <w:rPr>
          <w:rFonts w:hint="eastAsia" w:ascii="宋体" w:hAnsi="宋体" w:eastAsia="宋体" w:cs="宋体"/>
          <w:spacing w:val="13"/>
          <w:sz w:val="21"/>
          <w:szCs w:val="21"/>
        </w:rPr>
        <w:t>等);在第三次分配中,鼓励慈善与社会激励,如实施《慈善法》和试点设立“共同富裕基金”等,使得社会捐赠总额持续增长。</w:t>
      </w:r>
    </w:p>
    <w:p w14:paraId="501B208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rPr>
          <w:rFonts w:hint="eastAsia" w:ascii="宋体" w:hAnsi="宋体" w:eastAsia="宋体" w:cs="宋体"/>
          <w:sz w:val="21"/>
          <w:szCs w:val="21"/>
        </w:rPr>
      </w:pPr>
      <w:r>
        <w:rPr>
          <w:rFonts w:hint="eastAsia" w:ascii="宋体" w:hAnsi="宋体" w:eastAsia="宋体" w:cs="宋体"/>
          <w:spacing w:val="3"/>
          <w:sz w:val="21"/>
          <w:szCs w:val="21"/>
        </w:rPr>
        <w:t>其次,物质文明与精神文明均衡协同共进。一</w:t>
      </w:r>
      <w:r>
        <w:rPr>
          <w:rFonts w:hint="eastAsia" w:ascii="宋体" w:hAnsi="宋体" w:eastAsia="宋体" w:cs="宋体"/>
          <w:spacing w:val="2"/>
          <w:sz w:val="21"/>
          <w:szCs w:val="21"/>
        </w:rPr>
        <w:t>是将统筹“两个文明”写入五年规</w:t>
      </w:r>
      <w:r>
        <w:rPr>
          <w:rFonts w:hint="eastAsia" w:ascii="宋体" w:hAnsi="宋体" w:eastAsia="宋体" w:cs="宋体"/>
          <w:spacing w:val="22"/>
          <w:sz w:val="21"/>
          <w:szCs w:val="21"/>
        </w:rPr>
        <w:t>划,确保政策连贯性,并采取了将社会主义核心价值观融</w:t>
      </w:r>
      <w:r>
        <w:rPr>
          <w:rFonts w:hint="eastAsia" w:ascii="宋体" w:hAnsi="宋体" w:eastAsia="宋体" w:cs="宋体"/>
          <w:spacing w:val="21"/>
          <w:sz w:val="21"/>
          <w:szCs w:val="21"/>
        </w:rPr>
        <w:t>入大中小学思政课教学等举</w:t>
      </w:r>
      <w:r>
        <w:rPr>
          <w:rFonts w:hint="eastAsia" w:ascii="宋体" w:hAnsi="宋体" w:eastAsia="宋体" w:cs="宋体"/>
          <w:spacing w:val="20"/>
          <w:sz w:val="21"/>
          <w:szCs w:val="21"/>
        </w:rPr>
        <w:t>措。二是通过有效市场和有为政府的协同作用,</w:t>
      </w:r>
      <w:r>
        <w:rPr>
          <w:rFonts w:hint="eastAsia" w:ascii="宋体" w:hAnsi="宋体" w:eastAsia="宋体" w:cs="宋体"/>
          <w:spacing w:val="19"/>
          <w:sz w:val="21"/>
          <w:szCs w:val="21"/>
        </w:rPr>
        <w:t>在托底公共文化服务的同时,大力推</w:t>
      </w:r>
      <w:r>
        <w:rPr>
          <w:rFonts w:hint="eastAsia" w:ascii="宋体" w:hAnsi="宋体" w:eastAsia="宋体" w:cs="宋体"/>
          <w:spacing w:val="20"/>
          <w:sz w:val="21"/>
          <w:szCs w:val="21"/>
        </w:rPr>
        <w:t>进文化产业市场化运作。三是积极构建群众参与机制,通过</w:t>
      </w:r>
      <w:r>
        <w:rPr>
          <w:rFonts w:hint="eastAsia" w:ascii="宋体" w:hAnsi="宋体" w:eastAsia="宋体" w:cs="宋体"/>
          <w:spacing w:val="19"/>
          <w:sz w:val="21"/>
          <w:szCs w:val="21"/>
        </w:rPr>
        <w:t>新时代文明实践中心,成</w:t>
      </w:r>
      <w:r>
        <w:rPr>
          <w:rFonts w:hint="eastAsia" w:ascii="宋体" w:hAnsi="宋体" w:eastAsia="宋体" w:cs="宋体"/>
          <w:spacing w:val="21"/>
          <w:sz w:val="21"/>
          <w:szCs w:val="21"/>
        </w:rPr>
        <w:t>功激发基层活力。通过这些制度创新和政策举措形成</w:t>
      </w:r>
      <w:r>
        <w:rPr>
          <w:rFonts w:hint="eastAsia" w:ascii="宋体" w:hAnsi="宋体" w:eastAsia="宋体" w:cs="宋体"/>
          <w:spacing w:val="20"/>
          <w:sz w:val="21"/>
          <w:szCs w:val="21"/>
        </w:rPr>
        <w:t>了两者相互促进、良性互动的中</w:t>
      </w:r>
      <w:r>
        <w:rPr>
          <w:rFonts w:hint="eastAsia" w:ascii="宋体" w:hAnsi="宋体" w:eastAsia="宋体" w:cs="宋体"/>
          <w:spacing w:val="19"/>
          <w:sz w:val="21"/>
          <w:szCs w:val="21"/>
        </w:rPr>
        <w:t>国特色现代文明形新形态,主要体现在:价值观引领取得显著成效,在社会各领域涌</w:t>
      </w:r>
      <w:r>
        <w:rPr>
          <w:rFonts w:hint="eastAsia" w:ascii="宋体" w:hAnsi="宋体" w:eastAsia="宋体" w:cs="宋体"/>
          <w:spacing w:val="14"/>
          <w:sz w:val="21"/>
          <w:szCs w:val="21"/>
        </w:rPr>
        <w:t>现大量时代楷模、见义勇为者;文化获得感不断提升,博物馆、图书馆热潮涌现,《觉</w:t>
      </w:r>
      <w:r>
        <w:rPr>
          <w:rFonts w:hint="eastAsia" w:ascii="宋体" w:hAnsi="宋体" w:eastAsia="宋体" w:cs="宋体"/>
          <w:spacing w:val="11"/>
          <w:sz w:val="21"/>
          <w:szCs w:val="21"/>
        </w:rPr>
        <w:t>醒年代》《长津湖》等主旋律作品叫好又叫座,带动青少年“四史”学习</w:t>
      </w:r>
      <w:r>
        <w:rPr>
          <w:rFonts w:hint="eastAsia" w:ascii="宋体" w:hAnsi="宋体" w:eastAsia="宋体" w:cs="宋体"/>
          <w:spacing w:val="10"/>
          <w:sz w:val="21"/>
          <w:szCs w:val="21"/>
        </w:rPr>
        <w:t>热潮;社会风气向好,天价彩礼、厚葬薄养等陋习明显减少,网络空间“清朗行动”获得全民认可。</w:t>
      </w:r>
    </w:p>
    <w:p w14:paraId="7E5ED94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rPr>
          <w:rFonts w:hint="eastAsia" w:ascii="宋体" w:hAnsi="宋体" w:eastAsia="宋体" w:cs="宋体"/>
          <w:sz w:val="21"/>
          <w:szCs w:val="21"/>
        </w:rPr>
      </w:pPr>
      <w:r>
        <w:rPr>
          <w:rFonts w:hint="eastAsia" w:ascii="宋体" w:hAnsi="宋体" w:eastAsia="宋体" w:cs="宋体"/>
          <w:spacing w:val="1"/>
          <w:sz w:val="21"/>
          <w:szCs w:val="21"/>
        </w:rPr>
        <w:t>最后,中国式现代化在党的领导下逐步实现“人口规模巨大”的现代化。如前所</w:t>
      </w:r>
      <w:r>
        <w:rPr>
          <w:rFonts w:hint="eastAsia" w:ascii="宋体" w:hAnsi="宋体" w:eastAsia="宋体" w:cs="宋体"/>
          <w:spacing w:val="14"/>
          <w:sz w:val="21"/>
          <w:szCs w:val="21"/>
        </w:rPr>
        <w:t>述,西方现代化模式决定了其是“少数人享有的现代化”,而</w:t>
      </w:r>
      <w:r>
        <w:rPr>
          <w:rFonts w:hint="eastAsia" w:ascii="宋体" w:hAnsi="宋体" w:eastAsia="宋体" w:cs="宋体"/>
          <w:spacing w:val="13"/>
          <w:sz w:val="21"/>
          <w:szCs w:val="21"/>
        </w:rPr>
        <w:t>中国不仅要实现全体人民</w:t>
      </w:r>
      <w:r>
        <w:rPr>
          <w:rFonts w:hint="eastAsia" w:ascii="宋体" w:hAnsi="宋体" w:eastAsia="宋体" w:cs="宋体"/>
          <w:spacing w:val="19"/>
          <w:sz w:val="21"/>
          <w:szCs w:val="21"/>
        </w:rPr>
        <w:t>共同富裕下的现代化,更是要在超过了现有发达国家总和的</w:t>
      </w:r>
      <w:r>
        <w:rPr>
          <w:rFonts w:hint="eastAsia" w:ascii="宋体" w:hAnsi="宋体" w:eastAsia="宋体" w:cs="宋体"/>
          <w:spacing w:val="19"/>
          <w:position w:val="-2"/>
          <w:sz w:val="21"/>
          <w:szCs w:val="21"/>
        </w:rPr>
        <w:t>14</w:t>
      </w:r>
      <w:r>
        <w:rPr>
          <w:rFonts w:hint="eastAsia" w:ascii="宋体" w:hAnsi="宋体" w:eastAsia="宋体" w:cs="宋体"/>
          <w:spacing w:val="19"/>
          <w:sz w:val="21"/>
          <w:szCs w:val="21"/>
        </w:rPr>
        <w:t>亿人口规模的国家来实</w:t>
      </w:r>
      <w:r>
        <w:rPr>
          <w:rFonts w:hint="eastAsia" w:ascii="宋体" w:hAnsi="宋体" w:eastAsia="宋体" w:cs="宋体"/>
          <w:spacing w:val="12"/>
          <w:sz w:val="21"/>
          <w:szCs w:val="21"/>
        </w:rPr>
        <w:t>现现代化,可谓“前无古人”。那么,我国何以能够在超大规模的人口基数上实现现代</w:t>
      </w:r>
      <w:r>
        <w:rPr>
          <w:rFonts w:hint="eastAsia" w:ascii="宋体" w:hAnsi="宋体" w:eastAsia="宋体" w:cs="宋体"/>
          <w:spacing w:val="3"/>
          <w:sz w:val="21"/>
          <w:szCs w:val="21"/>
        </w:rPr>
        <w:t>化呢?我们的优势表现在三个方面:一是党的集中统一领导,能</w:t>
      </w:r>
      <w:r>
        <w:rPr>
          <w:rFonts w:hint="eastAsia" w:ascii="宋体" w:hAnsi="宋体" w:eastAsia="宋体" w:cs="宋体"/>
          <w:spacing w:val="2"/>
          <w:sz w:val="21"/>
          <w:szCs w:val="21"/>
        </w:rPr>
        <w:t>够一张蓝图绘到底,做好长期规划和统一协调,保证全体人民的长远利益,这</w:t>
      </w:r>
      <w:r>
        <w:rPr>
          <w:rFonts w:hint="eastAsia" w:ascii="宋体" w:hAnsi="宋体" w:eastAsia="宋体" w:cs="宋体"/>
          <w:spacing w:val="1"/>
          <w:sz w:val="21"/>
          <w:szCs w:val="21"/>
        </w:rPr>
        <w:t>与西方国家多党制短期化、</w:t>
      </w:r>
      <w:r>
        <w:rPr>
          <w:rFonts w:hint="eastAsia" w:ascii="宋体" w:hAnsi="宋体" w:eastAsia="宋体" w:cs="宋体"/>
          <w:spacing w:val="21"/>
          <w:sz w:val="21"/>
          <w:szCs w:val="21"/>
        </w:rPr>
        <w:t>碎片化的执政方式有着本质区别;二是社会主义集中力量办大事的制度优势,克服了资本主义私有制条件下市场主体各自为政、分散决策的弊端,能够</w:t>
      </w:r>
      <w:r>
        <w:rPr>
          <w:rFonts w:hint="eastAsia" w:ascii="宋体" w:hAnsi="宋体" w:eastAsia="宋体" w:cs="宋体"/>
          <w:spacing w:val="20"/>
          <w:sz w:val="21"/>
          <w:szCs w:val="21"/>
        </w:rPr>
        <w:t>在超大人口规模下实现资源高效配置;三是中华文明富有包容性与凝聚力的</w:t>
      </w:r>
      <w:r>
        <w:rPr>
          <w:rFonts w:hint="eastAsia" w:ascii="宋体" w:hAnsi="宋体" w:eastAsia="宋体" w:cs="宋体"/>
          <w:spacing w:val="19"/>
          <w:sz w:val="21"/>
          <w:szCs w:val="21"/>
        </w:rPr>
        <w:t>文化根基,如我国自秦以来</w:t>
      </w:r>
      <w:r>
        <w:rPr>
          <w:rFonts w:hint="eastAsia" w:ascii="宋体" w:hAnsi="宋体" w:eastAsia="宋体" w:cs="宋体"/>
          <w:spacing w:val="21"/>
          <w:sz w:val="21"/>
          <w:szCs w:val="21"/>
        </w:rPr>
        <w:t>所形成的大一统传统、家国情怀、集体主义精神等</w:t>
      </w:r>
      <w:r>
        <w:rPr>
          <w:rFonts w:hint="eastAsia" w:ascii="宋体" w:hAnsi="宋体" w:eastAsia="宋体" w:cs="宋体"/>
          <w:spacing w:val="20"/>
          <w:sz w:val="21"/>
          <w:szCs w:val="21"/>
        </w:rPr>
        <w:t>,都是我们中华民族强大民族凝聚</w:t>
      </w:r>
      <w:r>
        <w:rPr>
          <w:rFonts w:hint="eastAsia" w:ascii="宋体" w:hAnsi="宋体" w:eastAsia="宋体" w:cs="宋体"/>
          <w:spacing w:val="11"/>
          <w:sz w:val="21"/>
          <w:szCs w:val="21"/>
        </w:rPr>
        <w:t>力的来源。</w:t>
      </w:r>
    </w:p>
    <w:p w14:paraId="32F3563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宋体" w:hAnsi="宋体" w:eastAsia="宋体" w:cs="宋体"/>
          <w:sz w:val="21"/>
          <w:szCs w:val="21"/>
        </w:rPr>
      </w:pPr>
      <w:r>
        <w:rPr>
          <w:rFonts w:hint="eastAsia" w:ascii="宋体" w:hAnsi="宋体" w:eastAsia="宋体" w:cs="宋体"/>
          <w:spacing w:val="16"/>
          <w:sz w:val="21"/>
          <w:szCs w:val="21"/>
        </w:rPr>
        <w:t>此外,中国在推进现代化进程中,通过绿色</w:t>
      </w:r>
      <w:r>
        <w:rPr>
          <w:rFonts w:hint="eastAsia" w:ascii="宋体" w:hAnsi="宋体" w:eastAsia="宋体" w:cs="宋体"/>
          <w:position w:val="-2"/>
          <w:sz w:val="21"/>
          <w:szCs w:val="21"/>
        </w:rPr>
        <w:t>GDP</w:t>
      </w:r>
      <w:r>
        <w:rPr>
          <w:rFonts w:hint="eastAsia" w:ascii="宋体" w:hAnsi="宋体" w:eastAsia="宋体" w:cs="宋体"/>
          <w:spacing w:val="16"/>
          <w:sz w:val="21"/>
          <w:szCs w:val="21"/>
        </w:rPr>
        <w:t>实践、产业绿色转型、生态价值</w:t>
      </w:r>
      <w:r>
        <w:rPr>
          <w:rFonts w:hint="eastAsia" w:ascii="宋体" w:hAnsi="宋体" w:eastAsia="宋体" w:cs="宋体"/>
          <w:spacing w:val="20"/>
          <w:sz w:val="21"/>
          <w:szCs w:val="21"/>
        </w:rPr>
        <w:t>转化等,实现了经济增长与生态保护的动态平衡,也彰显了人与</w:t>
      </w:r>
      <w:r>
        <w:rPr>
          <w:rFonts w:hint="eastAsia" w:ascii="宋体" w:hAnsi="宋体" w:eastAsia="宋体" w:cs="宋体"/>
          <w:spacing w:val="19"/>
          <w:sz w:val="21"/>
          <w:szCs w:val="21"/>
        </w:rPr>
        <w:t>自然和谐共生的中国</w:t>
      </w:r>
      <w:r>
        <w:rPr>
          <w:rFonts w:hint="eastAsia" w:ascii="宋体" w:hAnsi="宋体" w:eastAsia="宋体" w:cs="宋体"/>
          <w:spacing w:val="6"/>
          <w:sz w:val="21"/>
          <w:szCs w:val="21"/>
        </w:rPr>
        <w:t>智慧。</w:t>
      </w:r>
    </w:p>
    <w:p w14:paraId="17DDF75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5741529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12" w:firstLineChars="200"/>
        <w:jc w:val="both"/>
        <w:textAlignment w:val="baseline"/>
        <w:rPr>
          <w:rFonts w:hint="eastAsia" w:ascii="宋体" w:hAnsi="宋体" w:eastAsia="宋体" w:cs="宋体"/>
          <w:b/>
          <w:bCs/>
          <w:sz w:val="24"/>
          <w:szCs w:val="24"/>
        </w:rPr>
      </w:pPr>
      <w:r>
        <w:rPr>
          <w:rFonts w:hint="eastAsia" w:ascii="宋体" w:hAnsi="宋体" w:eastAsia="宋体" w:cs="宋体"/>
          <w:b/>
          <w:bCs/>
          <w:spacing w:val="8"/>
          <w:sz w:val="24"/>
          <w:szCs w:val="24"/>
        </w:rPr>
        <w:t>五、结论与启示</w:t>
      </w:r>
    </w:p>
    <w:p w14:paraId="49118DF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20CEC95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宋体" w:hAnsi="宋体" w:eastAsia="宋体" w:cs="宋体"/>
          <w:sz w:val="21"/>
          <w:szCs w:val="21"/>
        </w:rPr>
      </w:pPr>
      <w:r>
        <w:rPr>
          <w:rFonts w:hint="eastAsia" w:ascii="宋体" w:hAnsi="宋体" w:eastAsia="宋体" w:cs="宋体"/>
          <w:spacing w:val="20"/>
          <w:sz w:val="21"/>
          <w:szCs w:val="21"/>
        </w:rPr>
        <w:t>“现代”一词是相对于文艺复兴之前的欧洲中世纪时代而言的。在文艺复兴之后,</w:t>
      </w:r>
      <w:r>
        <w:rPr>
          <w:rFonts w:hint="eastAsia" w:ascii="宋体" w:hAnsi="宋体" w:eastAsia="宋体" w:cs="宋体"/>
          <w:spacing w:val="14"/>
          <w:sz w:val="21"/>
          <w:szCs w:val="21"/>
        </w:rPr>
        <w:t>伴随着工业革命的发展,“现代化”通常被认为是从农业社会向工业社会的转变,以及</w:t>
      </w:r>
      <w:r>
        <w:rPr>
          <w:rFonts w:hint="eastAsia" w:ascii="宋体" w:hAnsi="宋体" w:eastAsia="宋体" w:cs="宋体"/>
          <w:spacing w:val="17"/>
          <w:sz w:val="21"/>
          <w:szCs w:val="21"/>
        </w:rPr>
        <w:t>由此产生的生产力发展水平、各种组织方式、伦理特性、家庭结构、国家权力、法律</w:t>
      </w:r>
      <w:r>
        <w:rPr>
          <w:rFonts w:hint="eastAsia" w:ascii="宋体" w:hAnsi="宋体" w:eastAsia="宋体" w:cs="宋体"/>
          <w:spacing w:val="18"/>
          <w:sz w:val="21"/>
          <w:szCs w:val="21"/>
        </w:rPr>
        <w:t>制度等多维度的转变,而转变之后所具有的特征被总结为多种评价标准或体系。但是,</w:t>
      </w:r>
      <w:r>
        <w:rPr>
          <w:rFonts w:hint="eastAsia" w:ascii="宋体" w:hAnsi="宋体" w:eastAsia="宋体" w:cs="宋体"/>
          <w:spacing w:val="20"/>
          <w:sz w:val="21"/>
          <w:szCs w:val="21"/>
        </w:rPr>
        <w:t>随着时间的推移、经济社会的发展演变,这些标准不可避免地落伍了,不能从根本上描绘出现代化的本质特征,因而在学术界不断涌现各种新现代化理论,如后现</w:t>
      </w:r>
      <w:r>
        <w:rPr>
          <w:rFonts w:hint="eastAsia" w:ascii="宋体" w:hAnsi="宋体" w:eastAsia="宋体" w:cs="宋体"/>
          <w:spacing w:val="19"/>
          <w:sz w:val="21"/>
          <w:szCs w:val="21"/>
        </w:rPr>
        <w:t>代化理</w:t>
      </w:r>
      <w:r>
        <w:rPr>
          <w:rFonts w:hint="eastAsia" w:ascii="宋体" w:hAnsi="宋体" w:eastAsia="宋体" w:cs="宋体"/>
          <w:spacing w:val="5"/>
          <w:sz w:val="21"/>
          <w:szCs w:val="21"/>
        </w:rPr>
        <w:t>论、二次现代化理论等,以及由此形成的各类新评价指标或指标体系。可见,对现代</w:t>
      </w:r>
      <w:r>
        <w:rPr>
          <w:rFonts w:hint="eastAsia" w:ascii="宋体" w:hAnsi="宋体" w:eastAsia="宋体" w:cs="宋体"/>
          <w:spacing w:val="21"/>
          <w:sz w:val="21"/>
          <w:szCs w:val="21"/>
        </w:rPr>
        <w:t>化的认识与总结,不能停留在某一特定的时代,而应当从唯物史</w:t>
      </w:r>
      <w:r>
        <w:rPr>
          <w:rFonts w:hint="eastAsia" w:ascii="宋体" w:hAnsi="宋体" w:eastAsia="宋体" w:cs="宋体"/>
          <w:spacing w:val="20"/>
          <w:sz w:val="21"/>
          <w:szCs w:val="21"/>
        </w:rPr>
        <w:t>观的视角来看待人以</w:t>
      </w:r>
      <w:r>
        <w:rPr>
          <w:rFonts w:hint="eastAsia" w:ascii="宋体" w:hAnsi="宋体" w:eastAsia="宋体" w:cs="宋体"/>
          <w:spacing w:val="16"/>
          <w:sz w:val="21"/>
          <w:szCs w:val="21"/>
        </w:rPr>
        <w:t>及整个人类社会发展的历史趋势与现代化的关系。正如习</w:t>
      </w:r>
      <w:r>
        <w:rPr>
          <w:rFonts w:hint="eastAsia" w:ascii="宋体" w:hAnsi="宋体" w:eastAsia="宋体" w:cs="宋体"/>
          <w:spacing w:val="15"/>
          <w:sz w:val="21"/>
          <w:szCs w:val="21"/>
        </w:rPr>
        <w:t>近平所指出的:“世界上既不</w:t>
      </w:r>
      <w:r>
        <w:rPr>
          <w:rFonts w:hint="eastAsia" w:ascii="宋体" w:hAnsi="宋体" w:eastAsia="宋体" w:cs="宋体"/>
          <w:spacing w:val="13"/>
          <w:sz w:val="21"/>
          <w:szCs w:val="21"/>
        </w:rPr>
        <w:t>存在定于一尊的现代化模式,也不存在放之四海而皆准的现代化标准。”</w:t>
      </w:r>
      <w:r>
        <w:rPr>
          <w:rStyle w:val="20"/>
          <w:rFonts w:hint="eastAsia" w:ascii="宋体" w:hAnsi="宋体" w:eastAsia="宋体" w:cs="宋体"/>
          <w:spacing w:val="13"/>
          <w:sz w:val="21"/>
          <w:szCs w:val="21"/>
        </w:rPr>
        <w:footnoteReference w:id="1381"/>
      </w:r>
      <w:r>
        <w:rPr>
          <w:rFonts w:hint="eastAsia" w:ascii="宋体" w:hAnsi="宋体" w:eastAsia="宋体" w:cs="宋体"/>
          <w:spacing w:val="13"/>
          <w:position w:val="3"/>
          <w:sz w:val="21"/>
          <w:szCs w:val="21"/>
        </w:rPr>
        <w:t>①</w:t>
      </w:r>
    </w:p>
    <w:p w14:paraId="18F5825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rPr>
          <w:rFonts w:hint="eastAsia" w:ascii="宋体" w:hAnsi="宋体" w:eastAsia="宋体" w:cs="宋体"/>
          <w:sz w:val="21"/>
          <w:szCs w:val="21"/>
        </w:rPr>
      </w:pPr>
      <w:r>
        <w:rPr>
          <w:rFonts w:hint="eastAsia" w:ascii="宋体" w:hAnsi="宋体" w:eastAsia="宋体" w:cs="宋体"/>
          <w:spacing w:val="5"/>
          <w:sz w:val="21"/>
          <w:szCs w:val="21"/>
        </w:rPr>
        <w:t>在现代化发展的历史上,不可否认的是西方在现代化过程中创造出了现代化所</w:t>
      </w:r>
      <w:r>
        <w:rPr>
          <w:rFonts w:hint="eastAsia" w:ascii="宋体" w:hAnsi="宋体" w:eastAsia="宋体" w:cs="宋体"/>
          <w:spacing w:val="3"/>
          <w:sz w:val="21"/>
          <w:szCs w:val="21"/>
        </w:rPr>
        <w:t>需要的一些物质基础和技术条件,在经济、政治、文化方面也作出了突出的贡献,</w:t>
      </w:r>
      <w:r>
        <w:rPr>
          <w:rFonts w:hint="eastAsia" w:ascii="宋体" w:hAnsi="宋体" w:eastAsia="宋体" w:cs="宋体"/>
          <w:spacing w:val="7"/>
          <w:sz w:val="21"/>
          <w:szCs w:val="21"/>
        </w:rPr>
        <w:t>但是,其背后隐藏着许多问题和缺陷,包括非系统性的发展模式、</w:t>
      </w:r>
      <w:r>
        <w:rPr>
          <w:rFonts w:hint="eastAsia" w:ascii="宋体" w:hAnsi="宋体" w:eastAsia="宋体" w:cs="宋体"/>
          <w:spacing w:val="6"/>
          <w:sz w:val="21"/>
          <w:szCs w:val="21"/>
        </w:rPr>
        <w:t>具有剥夺性的发</w:t>
      </w:r>
      <w:r>
        <w:rPr>
          <w:rFonts w:hint="eastAsia" w:ascii="宋体" w:hAnsi="宋体" w:eastAsia="宋体" w:cs="宋体"/>
          <w:spacing w:val="4"/>
          <w:sz w:val="21"/>
          <w:szCs w:val="21"/>
        </w:rPr>
        <w:t>展路径以及非均衡性的现代化结果,不仅给本国的劳动人</w:t>
      </w:r>
      <w:r>
        <w:rPr>
          <w:rFonts w:hint="eastAsia" w:ascii="宋体" w:hAnsi="宋体" w:eastAsia="宋体" w:cs="宋体"/>
          <w:spacing w:val="3"/>
          <w:sz w:val="21"/>
          <w:szCs w:val="21"/>
        </w:rPr>
        <w:t>民带来了深重苦难,同时</w:t>
      </w:r>
      <w:r>
        <w:rPr>
          <w:rFonts w:hint="eastAsia" w:ascii="宋体" w:hAnsi="宋体" w:eastAsia="宋体" w:cs="宋体"/>
          <w:spacing w:val="4"/>
          <w:sz w:val="21"/>
          <w:szCs w:val="21"/>
        </w:rPr>
        <w:t>也对发展中国家造成了严重伤害。许多落后国家在盲</w:t>
      </w:r>
      <w:r>
        <w:rPr>
          <w:rFonts w:hint="eastAsia" w:ascii="宋体" w:hAnsi="宋体" w:eastAsia="宋体" w:cs="宋体"/>
          <w:spacing w:val="3"/>
          <w:sz w:val="21"/>
          <w:szCs w:val="21"/>
        </w:rPr>
        <w:t>目追逐和模仿西方的现代化道</w:t>
      </w:r>
      <w:r>
        <w:rPr>
          <w:rFonts w:hint="eastAsia" w:ascii="宋体" w:hAnsi="宋体" w:eastAsia="宋体" w:cs="宋体"/>
          <w:spacing w:val="6"/>
          <w:sz w:val="21"/>
          <w:szCs w:val="21"/>
        </w:rPr>
        <w:t>路之后,不仅没有实现预期的国家富强、民族繁荣和社会稳定,反而陷</w:t>
      </w:r>
      <w:r>
        <w:rPr>
          <w:rFonts w:hint="eastAsia" w:ascii="宋体" w:hAnsi="宋体" w:eastAsia="宋体" w:cs="宋体"/>
          <w:spacing w:val="5"/>
          <w:sz w:val="21"/>
          <w:szCs w:val="21"/>
        </w:rPr>
        <w:t>入了经济倒</w:t>
      </w:r>
      <w:r>
        <w:rPr>
          <w:rFonts w:hint="eastAsia" w:ascii="宋体" w:hAnsi="宋体" w:eastAsia="宋体" w:cs="宋体"/>
          <w:spacing w:val="2"/>
          <w:sz w:val="21"/>
          <w:szCs w:val="21"/>
        </w:rPr>
        <w:t>退、民众生活困苦和社会动荡不安的困境。这些弊端从本质上来看是</w:t>
      </w:r>
      <w:r>
        <w:rPr>
          <w:rFonts w:hint="eastAsia" w:ascii="宋体" w:hAnsi="宋体" w:eastAsia="宋体" w:cs="宋体"/>
          <w:spacing w:val="1"/>
          <w:sz w:val="21"/>
          <w:szCs w:val="21"/>
        </w:rPr>
        <w:t>由其自身制度</w:t>
      </w:r>
      <w:r>
        <w:rPr>
          <w:rFonts w:hint="eastAsia" w:ascii="宋体" w:hAnsi="宋体" w:eastAsia="宋体" w:cs="宋体"/>
          <w:spacing w:val="6"/>
          <w:sz w:val="21"/>
          <w:szCs w:val="21"/>
        </w:rPr>
        <w:t>所决定的,因为资本主义制度背景下</w:t>
      </w:r>
      <w:r>
        <w:rPr>
          <w:rFonts w:hint="eastAsia" w:ascii="宋体" w:hAnsi="宋体" w:eastAsia="宋体" w:cs="宋体"/>
          <w:spacing w:val="5"/>
          <w:sz w:val="21"/>
          <w:szCs w:val="21"/>
        </w:rPr>
        <w:t>的现代化实际上不过是现代化过程中一个非常</w:t>
      </w:r>
      <w:r>
        <w:rPr>
          <w:rFonts w:hint="eastAsia" w:ascii="宋体" w:hAnsi="宋体" w:eastAsia="宋体" w:cs="宋体"/>
          <w:spacing w:val="3"/>
          <w:sz w:val="21"/>
          <w:szCs w:val="21"/>
        </w:rPr>
        <w:t>不完善、未实现真正意义上人的现代化的</w:t>
      </w:r>
      <w:r>
        <w:rPr>
          <w:rFonts w:hint="eastAsia" w:ascii="宋体" w:hAnsi="宋体" w:eastAsia="宋体" w:cs="宋体"/>
          <w:spacing w:val="2"/>
          <w:sz w:val="21"/>
          <w:szCs w:val="21"/>
        </w:rPr>
        <w:t>阶段性现代化。现代化进程中的每一次飞</w:t>
      </w:r>
      <w:r>
        <w:rPr>
          <w:rFonts w:hint="eastAsia" w:ascii="宋体" w:hAnsi="宋体" w:eastAsia="宋体" w:cs="宋体"/>
          <w:spacing w:val="8"/>
          <w:sz w:val="21"/>
          <w:szCs w:val="21"/>
        </w:rPr>
        <w:t>跃,都应是对人的本质力量的进一步解放,而非简单的物质积累和技术进步。因此,</w:t>
      </w:r>
      <w:r>
        <w:rPr>
          <w:rFonts w:hint="eastAsia" w:ascii="宋体" w:hAnsi="宋体" w:eastAsia="宋体" w:cs="宋体"/>
          <w:spacing w:val="5"/>
          <w:sz w:val="21"/>
          <w:szCs w:val="21"/>
        </w:rPr>
        <w:t>真正的现代化需超越资本逻辑,追求人的全面发展和自由解放,这才是现代化本质</w:t>
      </w:r>
      <w:r>
        <w:rPr>
          <w:rFonts w:hint="eastAsia" w:ascii="宋体" w:hAnsi="宋体" w:eastAsia="宋体" w:cs="宋体"/>
          <w:spacing w:val="17"/>
          <w:sz w:val="21"/>
          <w:szCs w:val="21"/>
        </w:rPr>
        <w:t>的深刻体现。</w:t>
      </w:r>
    </w:p>
    <w:p w14:paraId="447E009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Times New Roman" w:hAnsi="Times New Roman" w:eastAsia="宋体"/>
          <w:szCs w:val="21"/>
          <w:lang w:val="en-US" w:eastAsia="zh-CN"/>
        </w:rPr>
      </w:pPr>
      <w:r>
        <w:rPr>
          <w:rFonts w:hint="eastAsia" w:ascii="宋体" w:hAnsi="宋体" w:eastAsia="宋体" w:cs="宋体"/>
          <w:spacing w:val="20"/>
          <w:sz w:val="21"/>
          <w:szCs w:val="21"/>
        </w:rPr>
        <w:t>在中国共产党的领导下,我国始终秉持马克</w:t>
      </w:r>
      <w:r>
        <w:rPr>
          <w:rFonts w:hint="eastAsia" w:ascii="宋体" w:hAnsi="宋体" w:eastAsia="宋体" w:cs="宋体"/>
          <w:spacing w:val="19"/>
          <w:sz w:val="21"/>
          <w:szCs w:val="21"/>
        </w:rPr>
        <w:t>思主义的指导,紧密结合国情,依托</w:t>
      </w:r>
      <w:r>
        <w:rPr>
          <w:rFonts w:hint="eastAsia" w:ascii="宋体" w:hAnsi="宋体" w:eastAsia="宋体" w:cs="宋体"/>
          <w:spacing w:val="18"/>
          <w:sz w:val="21"/>
          <w:szCs w:val="21"/>
        </w:rPr>
        <w:t>自力更生和勤劳创新精神,走出了一条不同于传</w:t>
      </w:r>
      <w:r>
        <w:rPr>
          <w:rFonts w:hint="eastAsia" w:ascii="宋体" w:hAnsi="宋体" w:eastAsia="宋体" w:cs="宋体"/>
          <w:spacing w:val="17"/>
          <w:sz w:val="21"/>
          <w:szCs w:val="21"/>
        </w:rPr>
        <w:t>统西方现代化的新路径,实现了“五</w:t>
      </w:r>
      <w:r>
        <w:rPr>
          <w:rFonts w:hint="eastAsia" w:ascii="宋体" w:hAnsi="宋体" w:eastAsia="宋体" w:cs="宋体"/>
          <w:spacing w:val="19"/>
          <w:sz w:val="21"/>
          <w:szCs w:val="21"/>
        </w:rPr>
        <w:t>位一体”协同共赢、共享发展、均衡发展。中国式现代化的五大特征深刻揭示了其不仅克服了西方现代化在三个维度上的缺陷,而且实现了对西方现代化模式的多维超越;</w:t>
      </w:r>
      <w:r>
        <w:rPr>
          <w:rFonts w:hint="eastAsia" w:ascii="宋体" w:hAnsi="宋体" w:eastAsia="宋体" w:cs="宋体"/>
          <w:spacing w:val="21"/>
          <w:sz w:val="21"/>
          <w:szCs w:val="21"/>
        </w:rPr>
        <w:t>它不仅丰富了人类文明形态,还为其他发展中国家提供了宝贵经验,必将进一步丰富</w:t>
      </w:r>
      <w:r>
        <w:rPr>
          <w:rFonts w:hint="eastAsia" w:ascii="宋体" w:hAnsi="宋体" w:eastAsia="宋体" w:cs="宋体"/>
          <w:spacing w:val="16"/>
          <w:sz w:val="21"/>
          <w:szCs w:val="21"/>
        </w:rPr>
        <w:t>人类走向现代化的多元路径</w:t>
      </w:r>
      <w:r>
        <w:rPr>
          <w:rFonts w:hint="eastAsia" w:ascii="宋体" w:hAnsi="宋体" w:eastAsia="宋体" w:cs="宋体"/>
          <w:spacing w:val="16"/>
          <w:sz w:val="21"/>
          <w:szCs w:val="21"/>
          <w:lang w:eastAsia="zh-CN"/>
        </w:rPr>
        <w:t>。</w:t>
      </w:r>
    </w:p>
    <w:p w14:paraId="38EA560B">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45660A5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《政治经济学评论》2026年第2期</w:t>
      </w:r>
      <w:r>
        <w:rPr>
          <w:rFonts w:hint="eastAsia" w:ascii="Times New Roman" w:hAnsi="Times New Roman"/>
          <w:szCs w:val="21"/>
          <w:lang w:val="en-US" w:eastAsia="zh-CN"/>
        </w:rPr>
        <w:t>，第一作者为陆夏</w:t>
      </w:r>
      <w:r>
        <w:rPr>
          <w:rFonts w:hint="eastAsia" w:ascii="Times New Roman" w:hAnsi="Times New Roman" w:eastAsia="宋体"/>
          <w:szCs w:val="21"/>
          <w:lang w:val="en-US" w:eastAsia="zh-CN"/>
        </w:rPr>
        <w:t>。</w:t>
      </w:r>
    </w:p>
    <w:p w14:paraId="48DC3068">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A72A596">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p>
    <w:p w14:paraId="143F6C4E">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both"/>
        <w:textAlignment w:val="auto"/>
        <w:outlineLvl w:val="0"/>
        <w:rPr>
          <w:rFonts w:hint="eastAsia" w:ascii="宋体" w:hAnsi="宋体" w:eastAsia="宋体" w:cs="宋体"/>
          <w:sz w:val="28"/>
          <w:szCs w:val="28"/>
          <w:lang w:val="en-US" w:eastAsia="zh-CN"/>
        </w:rPr>
      </w:pPr>
      <w:bookmarkStart w:id="986" w:name="_Toc1158387295"/>
      <w:bookmarkStart w:id="987" w:name="_Toc515693476"/>
      <w:bookmarkStart w:id="988" w:name="_Toc1834622460"/>
      <w:bookmarkStart w:id="989" w:name="_Toc17899"/>
      <w:bookmarkStart w:id="990" w:name="_Toc1820750470"/>
      <w:bookmarkStart w:id="991" w:name="_Toc357206131"/>
      <w:r>
        <w:rPr>
          <w:rFonts w:hint="eastAsia" w:ascii="宋体" w:hAnsi="宋体" w:eastAsia="宋体" w:cs="宋体"/>
          <w:sz w:val="28"/>
          <w:szCs w:val="28"/>
          <w:lang w:val="en-US" w:eastAsia="zh-CN"/>
        </w:rPr>
        <w:t>7</w:t>
      </w:r>
      <w:r>
        <w:rPr>
          <w:rFonts w:hint="eastAsia" w:ascii="宋体" w:hAnsi="宋体" w:eastAsia="宋体" w:cs="宋体"/>
          <w:b/>
          <w:bCs/>
          <w:sz w:val="28"/>
          <w:szCs w:val="28"/>
          <w:lang w:val="en-US" w:eastAsia="zh-CN"/>
        </w:rPr>
        <w:t>从数字要素到数字资本垄断：数字经济时代的资本逻辑与规范发展</w:t>
      </w:r>
      <w:bookmarkEnd w:id="986"/>
      <w:bookmarkEnd w:id="987"/>
      <w:bookmarkEnd w:id="988"/>
      <w:bookmarkEnd w:id="989"/>
      <w:bookmarkEnd w:id="990"/>
      <w:bookmarkEnd w:id="991"/>
      <w:r>
        <w:rPr>
          <w:rFonts w:hint="eastAsia" w:ascii="宋体" w:hAnsi="宋体" w:eastAsia="宋体" w:cs="宋体"/>
          <w:sz w:val="28"/>
          <w:szCs w:val="28"/>
          <w:lang w:val="en-US" w:eastAsia="zh-CN"/>
        </w:rPr>
        <w:t xml:space="preserve"> </w:t>
      </w:r>
    </w:p>
    <w:p w14:paraId="7AFFDAF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4CFBDC7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6ACC34C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394C471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内容摘要：数字技术的快速发展和应用使得生产要素和资本均呈现出新的样态，这既为生产力</w:t>
      </w:r>
      <w:r>
        <w:rPr>
          <w:rFonts w:hint="eastAsia" w:ascii="宋体" w:hAnsi="宋体" w:eastAsia="宋体" w:cs="宋体"/>
          <w:spacing w:val="15"/>
          <w:sz w:val="21"/>
          <w:szCs w:val="21"/>
        </w:rPr>
        <w:t>发展注入了新的活</w:t>
      </w:r>
      <w:r>
        <w:rPr>
          <w:rFonts w:hint="eastAsia" w:ascii="宋体" w:hAnsi="宋体" w:eastAsia="宋体" w:cs="宋体"/>
          <w:spacing w:val="11"/>
          <w:sz w:val="21"/>
          <w:szCs w:val="21"/>
        </w:rPr>
        <w:t>力，同时也引发诸多新问题和新挑战。一方面，“数据＋</w:t>
      </w:r>
      <w:r>
        <w:rPr>
          <w:rFonts w:hint="eastAsia" w:ascii="宋体" w:hAnsi="宋体" w:eastAsia="宋体" w:cs="宋体"/>
          <w:spacing w:val="10"/>
          <w:sz w:val="21"/>
          <w:szCs w:val="21"/>
        </w:rPr>
        <w:t>算力＋算器”数字要素的形成，在显著推动社会生产力的同</w:t>
      </w:r>
      <w:r>
        <w:rPr>
          <w:rFonts w:hint="eastAsia" w:ascii="宋体" w:hAnsi="宋体" w:eastAsia="宋体" w:cs="宋体"/>
          <w:spacing w:val="11"/>
          <w:sz w:val="21"/>
          <w:szCs w:val="21"/>
        </w:rPr>
        <w:t>时，也引致劳动力市场变革和劳动过程重塑，带来结</w:t>
      </w:r>
      <w:r>
        <w:rPr>
          <w:rFonts w:hint="eastAsia" w:ascii="宋体" w:hAnsi="宋体" w:eastAsia="宋体" w:cs="宋体"/>
          <w:spacing w:val="10"/>
          <w:sz w:val="21"/>
          <w:szCs w:val="21"/>
        </w:rPr>
        <w:t>构性失业频繁、工资收入差距加剧、全面监管化模式、价值分配</w:t>
      </w:r>
      <w:r>
        <w:rPr>
          <w:rFonts w:hint="eastAsia" w:ascii="宋体" w:hAnsi="宋体" w:eastAsia="宋体" w:cs="宋体"/>
          <w:spacing w:val="12"/>
          <w:sz w:val="21"/>
          <w:szCs w:val="21"/>
        </w:rPr>
        <w:t>边界模糊等新问题；另一方面，数字要素的资本化催生数字资本的出现，其在大数据收集、算力和</w:t>
      </w:r>
      <w:r>
        <w:rPr>
          <w:rFonts w:hint="eastAsia" w:ascii="宋体" w:hAnsi="宋体" w:eastAsia="宋体" w:cs="宋体"/>
          <w:spacing w:val="11"/>
          <w:sz w:val="21"/>
          <w:szCs w:val="21"/>
        </w:rPr>
        <w:t>算器的高进入壁</w:t>
      </w:r>
      <w:r>
        <w:rPr>
          <w:rFonts w:hint="eastAsia" w:ascii="宋体" w:hAnsi="宋体" w:eastAsia="宋体" w:cs="宋体"/>
          <w:spacing w:val="8"/>
          <w:sz w:val="21"/>
          <w:szCs w:val="21"/>
        </w:rPr>
        <w:t>垒等要素特征中必然走向垄断，并在资本主义条件下进一步演变为数字霸权。为此，构建“要素—资本—垄断—霸</w:t>
      </w:r>
      <w:r>
        <w:rPr>
          <w:rFonts w:hint="eastAsia" w:ascii="宋体" w:hAnsi="宋体" w:eastAsia="宋体" w:cs="宋体"/>
          <w:spacing w:val="15"/>
          <w:sz w:val="21"/>
          <w:szCs w:val="21"/>
        </w:rPr>
        <w:t>权”的递进分析框架，揭示资本主义条件下数字资本无序扩张的内在机制与外部风险，进而提出为促进我国数字经</w:t>
      </w:r>
      <w:r>
        <w:rPr>
          <w:rFonts w:hint="eastAsia" w:ascii="宋体" w:hAnsi="宋体" w:eastAsia="宋体" w:cs="宋体"/>
          <w:spacing w:val="14"/>
          <w:sz w:val="21"/>
          <w:szCs w:val="21"/>
        </w:rPr>
        <w:t>济健康发展，必须防范数字资本无序扩张和数字霸权主义蔓延的负面影响，引导数字要素和数字资本更好赋能新</w:t>
      </w:r>
      <w:r>
        <w:rPr>
          <w:rFonts w:hint="eastAsia" w:ascii="宋体" w:hAnsi="宋体" w:eastAsia="宋体" w:cs="宋体"/>
          <w:spacing w:val="17"/>
          <w:sz w:val="21"/>
          <w:szCs w:val="21"/>
        </w:rPr>
        <w:t>质生产力发展。</w:t>
      </w:r>
    </w:p>
    <w:p w14:paraId="35D079E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4" w:firstLineChars="200"/>
        <w:textAlignment w:val="baseline"/>
        <w:outlineLvl w:val="9"/>
        <w:rPr>
          <w:rFonts w:hint="eastAsia" w:ascii="宋体" w:hAnsi="宋体" w:eastAsia="宋体" w:cs="宋体"/>
          <w:sz w:val="21"/>
          <w:szCs w:val="21"/>
        </w:rPr>
      </w:pPr>
      <w:r>
        <w:rPr>
          <w:rFonts w:hint="eastAsia" w:ascii="宋体" w:hAnsi="宋体" w:eastAsia="宋体" w:cs="宋体"/>
          <w:spacing w:val="-4"/>
          <w:sz w:val="21"/>
          <w:szCs w:val="21"/>
        </w:rPr>
        <w:t>关键词：数字要素；数字资本；数字资本垄断；数字霸</w:t>
      </w:r>
      <w:r>
        <w:rPr>
          <w:rFonts w:hint="eastAsia" w:ascii="宋体" w:hAnsi="宋体" w:eastAsia="宋体" w:cs="宋体"/>
          <w:spacing w:val="-5"/>
          <w:sz w:val="21"/>
          <w:szCs w:val="21"/>
        </w:rPr>
        <w:t>权主义</w:t>
      </w:r>
    </w:p>
    <w:p w14:paraId="6F3688D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7E6F788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outlineLvl w:val="9"/>
        <w:rPr>
          <w:rFonts w:hint="eastAsia" w:ascii="宋体" w:hAnsi="宋体" w:eastAsia="宋体" w:cs="宋体"/>
          <w:b/>
          <w:bCs/>
          <w:spacing w:val="0"/>
          <w:w w:val="100"/>
          <w:position w:val="0"/>
          <w:sz w:val="24"/>
          <w:szCs w:val="24"/>
        </w:rPr>
      </w:pPr>
      <w:r>
        <w:rPr>
          <w:rFonts w:hint="eastAsia" w:ascii="宋体" w:hAnsi="宋体" w:eastAsia="宋体" w:cs="宋体"/>
          <w:b/>
          <w:bCs/>
          <w:spacing w:val="0"/>
          <w:w w:val="100"/>
          <w:position w:val="0"/>
          <w:sz w:val="24"/>
          <w:szCs w:val="24"/>
        </w:rPr>
        <w:t>一、引言</w:t>
      </w:r>
    </w:p>
    <w:p w14:paraId="4D15515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48485E3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以数字化、网络化、智能化为突出表现的新一轮科技革命不断催生出新的</w:t>
      </w:r>
      <w:r>
        <w:rPr>
          <w:rFonts w:hint="eastAsia" w:ascii="宋体" w:hAnsi="宋体" w:eastAsia="宋体" w:cs="宋体"/>
          <w:spacing w:val="5"/>
          <w:sz w:val="21"/>
          <w:szCs w:val="21"/>
        </w:rPr>
        <w:t>产业生态，并改变着</w:t>
      </w:r>
      <w:r>
        <w:rPr>
          <w:rFonts w:hint="eastAsia" w:ascii="宋体" w:hAnsi="宋体" w:eastAsia="宋体" w:cs="宋体"/>
          <w:spacing w:val="10"/>
          <w:sz w:val="21"/>
          <w:szCs w:val="21"/>
        </w:rPr>
        <w:t>人们现有生活方式。党的十八大以来，习近平总书记不断提出和强调，“加快建设数字中国，构建</w:t>
      </w:r>
      <w:r>
        <w:rPr>
          <w:rFonts w:hint="eastAsia" w:ascii="宋体" w:hAnsi="宋体" w:eastAsia="宋体" w:cs="宋体"/>
          <w:spacing w:val="8"/>
          <w:sz w:val="21"/>
          <w:szCs w:val="21"/>
        </w:rPr>
        <w:t>以数据为关键要素的数字经济</w:t>
      </w:r>
      <w:r>
        <w:rPr>
          <w:rFonts w:hint="eastAsia" w:ascii="宋体" w:hAnsi="宋体" w:eastAsia="宋体" w:cs="宋体"/>
          <w:spacing w:val="8"/>
          <w:position w:val="5"/>
          <w:sz w:val="21"/>
          <w:szCs w:val="21"/>
        </w:rPr>
        <w:t>”</w:t>
      </w:r>
      <w:r>
        <w:rPr>
          <w:rStyle w:val="20"/>
          <w:rFonts w:hint="eastAsia" w:ascii="宋体" w:hAnsi="宋体" w:eastAsia="宋体" w:cs="宋体"/>
          <w:spacing w:val="8"/>
          <w:position w:val="5"/>
          <w:sz w:val="21"/>
          <w:szCs w:val="21"/>
        </w:rPr>
        <w:footnoteReference w:id="1382"/>
      </w:r>
      <w:r>
        <w:rPr>
          <w:rFonts w:hint="eastAsia" w:ascii="宋体" w:hAnsi="宋体" w:eastAsia="宋体" w:cs="宋体"/>
          <w:spacing w:val="8"/>
          <w:sz w:val="21"/>
          <w:szCs w:val="21"/>
        </w:rPr>
        <w:t>,党的二十大报告明确指出，加快发展数字经济，促进数字经济与</w:t>
      </w:r>
      <w:r>
        <w:rPr>
          <w:rFonts w:hint="eastAsia" w:ascii="宋体" w:hAnsi="宋体" w:eastAsia="宋体" w:cs="宋体"/>
          <w:spacing w:val="11"/>
          <w:sz w:val="21"/>
          <w:szCs w:val="21"/>
        </w:rPr>
        <w:t>实体经济深度融合。数字经济建设已经成为新时代推进中国式现代化重要的动力引擎，也成为构</w:t>
      </w:r>
      <w:r>
        <w:rPr>
          <w:rFonts w:hint="eastAsia" w:ascii="宋体" w:hAnsi="宋体" w:eastAsia="宋体" w:cs="宋体"/>
          <w:spacing w:val="1"/>
          <w:sz w:val="21"/>
          <w:szCs w:val="21"/>
        </w:rPr>
        <w:t>筑国家竞争新优势的有力支撑</w:t>
      </w:r>
      <w:r>
        <w:rPr>
          <w:rFonts w:hint="eastAsia" w:ascii="宋体" w:hAnsi="宋体" w:eastAsia="宋体" w:cs="宋体"/>
          <w:spacing w:val="1"/>
          <w:position w:val="1"/>
          <w:sz w:val="21"/>
          <w:szCs w:val="21"/>
        </w:rPr>
        <w:t>。</w:t>
      </w:r>
      <w:r>
        <w:rPr>
          <w:rFonts w:hint="eastAsia" w:ascii="宋体" w:hAnsi="宋体" w:eastAsia="宋体" w:cs="宋体"/>
          <w:spacing w:val="1"/>
          <w:position w:val="-1"/>
          <w:sz w:val="21"/>
          <w:szCs w:val="21"/>
        </w:rPr>
        <w:t>2024</w:t>
      </w:r>
      <w:r>
        <w:rPr>
          <w:rFonts w:hint="eastAsia" w:ascii="宋体" w:hAnsi="宋体" w:eastAsia="宋体" w:cs="宋体"/>
          <w:spacing w:val="1"/>
          <w:sz w:val="21"/>
          <w:szCs w:val="21"/>
        </w:rPr>
        <w:t>年我国数字经济核心产业增加值占国内生产总值比</w:t>
      </w:r>
      <w:r>
        <w:rPr>
          <w:rFonts w:hint="eastAsia" w:ascii="宋体" w:hAnsi="宋体" w:eastAsia="宋体" w:cs="宋体"/>
          <w:sz w:val="21"/>
          <w:szCs w:val="21"/>
        </w:rPr>
        <w:t>重达到</w:t>
      </w:r>
      <w:r>
        <w:rPr>
          <w:rFonts w:hint="eastAsia" w:ascii="宋体" w:hAnsi="宋体" w:eastAsia="宋体" w:cs="宋体"/>
          <w:spacing w:val="7"/>
          <w:sz w:val="21"/>
          <w:szCs w:val="21"/>
        </w:rPr>
        <w:t>10%左右</w:t>
      </w:r>
      <w:r>
        <w:rPr>
          <w:rStyle w:val="20"/>
          <w:rFonts w:hint="eastAsia" w:ascii="宋体" w:hAnsi="宋体" w:eastAsia="宋体" w:cs="宋体"/>
          <w:spacing w:val="7"/>
          <w:position w:val="5"/>
          <w:sz w:val="21"/>
          <w:szCs w:val="21"/>
        </w:rPr>
        <w:footnoteReference w:id="1383"/>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数据生产总量为</w:t>
      </w:r>
      <w:r>
        <w:rPr>
          <w:rFonts w:hint="eastAsia" w:ascii="宋体" w:hAnsi="宋体" w:eastAsia="宋体" w:cs="宋体"/>
          <w:spacing w:val="7"/>
          <w:position w:val="-1"/>
          <w:sz w:val="21"/>
          <w:szCs w:val="21"/>
        </w:rPr>
        <w:t>41.06</w:t>
      </w:r>
      <w:r>
        <w:rPr>
          <w:rFonts w:hint="eastAsia" w:ascii="宋体" w:hAnsi="宋体" w:eastAsia="宋体" w:cs="宋体"/>
          <w:position w:val="-1"/>
          <w:sz w:val="21"/>
          <w:szCs w:val="21"/>
        </w:rPr>
        <w:t>ZB</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算</w:t>
      </w:r>
      <w:r>
        <w:rPr>
          <w:rFonts w:hint="eastAsia" w:ascii="宋体" w:hAnsi="宋体" w:eastAsia="宋体" w:cs="宋体"/>
          <w:spacing w:val="6"/>
          <w:sz w:val="21"/>
          <w:szCs w:val="21"/>
        </w:rPr>
        <w:t>力总规模达到</w:t>
      </w:r>
      <w:r>
        <w:rPr>
          <w:rFonts w:hint="eastAsia" w:ascii="宋体" w:hAnsi="宋体" w:eastAsia="宋体" w:cs="宋体"/>
          <w:spacing w:val="6"/>
          <w:position w:val="-1"/>
          <w:sz w:val="21"/>
          <w:szCs w:val="21"/>
        </w:rPr>
        <w:t>280</w:t>
      </w:r>
      <w:r>
        <w:rPr>
          <w:rFonts w:hint="eastAsia" w:ascii="宋体" w:hAnsi="宋体" w:eastAsia="宋体" w:cs="宋体"/>
          <w:position w:val="-1"/>
          <w:sz w:val="21"/>
          <w:szCs w:val="21"/>
        </w:rPr>
        <w:t>EFLOPS</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居于全球第二位</w:t>
      </w:r>
      <w:r>
        <w:rPr>
          <w:rStyle w:val="20"/>
          <w:rFonts w:hint="eastAsia" w:ascii="宋体" w:hAnsi="宋体" w:eastAsia="宋体" w:cs="宋体"/>
          <w:spacing w:val="6"/>
          <w:sz w:val="21"/>
          <w:szCs w:val="21"/>
        </w:rPr>
        <w:footnoteReference w:id="1384"/>
      </w:r>
      <w:r>
        <w:rPr>
          <w:rFonts w:hint="eastAsia" w:ascii="宋体" w:hAnsi="宋体" w:eastAsia="宋体" w:cs="宋体"/>
          <w:spacing w:val="6"/>
          <w:position w:val="5"/>
          <w:sz w:val="21"/>
          <w:szCs w:val="21"/>
          <w:lang w:eastAsia="zh-CN"/>
        </w:rPr>
        <w:t>、</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其中</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云</w:t>
      </w:r>
      <w:r>
        <w:rPr>
          <w:rFonts w:hint="eastAsia" w:ascii="宋体" w:hAnsi="宋体" w:eastAsia="宋体" w:cs="宋体"/>
          <w:spacing w:val="-4"/>
          <w:sz w:val="21"/>
          <w:szCs w:val="21"/>
        </w:rPr>
        <w:t>计算</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大数据</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移动物联网业务收入较上年分别增长</w:t>
      </w:r>
      <w:r>
        <w:rPr>
          <w:rFonts w:hint="eastAsia" w:ascii="宋体" w:hAnsi="宋体" w:eastAsia="宋体" w:cs="宋体"/>
          <w:spacing w:val="-4"/>
          <w:position w:val="-1"/>
          <w:sz w:val="21"/>
          <w:szCs w:val="21"/>
        </w:rPr>
        <w:t>13.2%</w:t>
      </w:r>
      <w:r>
        <w:rPr>
          <w:rFonts w:hint="eastAsia" w:ascii="宋体" w:hAnsi="宋体" w:eastAsia="宋体" w:cs="宋体"/>
          <w:spacing w:val="-4"/>
          <w:position w:val="1"/>
          <w:sz w:val="21"/>
          <w:szCs w:val="21"/>
        </w:rPr>
        <w:t>、</w:t>
      </w:r>
      <w:r>
        <w:rPr>
          <w:rFonts w:hint="eastAsia" w:ascii="宋体" w:hAnsi="宋体" w:eastAsia="宋体" w:cs="宋体"/>
          <w:spacing w:val="-4"/>
          <w:position w:val="-1"/>
          <w:sz w:val="21"/>
          <w:szCs w:val="21"/>
        </w:rPr>
        <w:t>69.</w:t>
      </w:r>
      <w:r>
        <w:rPr>
          <w:rFonts w:hint="eastAsia" w:ascii="宋体" w:hAnsi="宋体" w:eastAsia="宋体" w:cs="宋体"/>
          <w:spacing w:val="-4"/>
          <w:sz w:val="21"/>
          <w:szCs w:val="21"/>
        </w:rPr>
        <w:t>2%和</w:t>
      </w:r>
      <w:r>
        <w:rPr>
          <w:rFonts w:hint="eastAsia" w:ascii="宋体" w:hAnsi="宋体" w:eastAsia="宋体" w:cs="宋体"/>
          <w:spacing w:val="-4"/>
          <w:position w:val="-1"/>
          <w:sz w:val="21"/>
          <w:szCs w:val="21"/>
        </w:rPr>
        <w:t>13.3%</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新兴业务收入占电</w:t>
      </w:r>
      <w:r>
        <w:rPr>
          <w:rFonts w:hint="eastAsia" w:ascii="宋体" w:hAnsi="宋体" w:eastAsia="宋体" w:cs="宋体"/>
          <w:spacing w:val="-1"/>
          <w:sz w:val="21"/>
          <w:szCs w:val="21"/>
        </w:rPr>
        <w:t>信业务总收入较上年增长</w:t>
      </w:r>
      <w:r>
        <w:rPr>
          <w:rFonts w:hint="eastAsia" w:ascii="宋体" w:hAnsi="宋体" w:eastAsia="宋体" w:cs="宋体"/>
          <w:spacing w:val="-1"/>
          <w:position w:val="-1"/>
          <w:sz w:val="21"/>
          <w:szCs w:val="21"/>
        </w:rPr>
        <w:t>10.6%</w:t>
      </w:r>
      <w:r>
        <w:rPr>
          <w:rStyle w:val="20"/>
          <w:rFonts w:hint="eastAsia" w:ascii="宋体" w:hAnsi="宋体" w:eastAsia="宋体" w:cs="宋体"/>
          <w:spacing w:val="-14"/>
          <w:position w:val="-1"/>
          <w:sz w:val="21"/>
          <w:szCs w:val="21"/>
        </w:rPr>
        <w:footnoteReference w:id="1385"/>
      </w:r>
      <w:r>
        <w:rPr>
          <w:rFonts w:hint="eastAsia" w:ascii="宋体" w:hAnsi="宋体" w:eastAsia="宋体" w:cs="宋体"/>
          <w:spacing w:val="-1"/>
          <w:position w:val="1"/>
          <w:sz w:val="21"/>
          <w:szCs w:val="21"/>
        </w:rPr>
        <w:t>。</w:t>
      </w:r>
      <w:r>
        <w:rPr>
          <w:rFonts w:hint="eastAsia" w:ascii="宋体" w:hAnsi="宋体" w:eastAsia="宋体" w:cs="宋体"/>
          <w:spacing w:val="-1"/>
          <w:sz w:val="21"/>
          <w:szCs w:val="21"/>
        </w:rPr>
        <w:t>数字产业化和产业</w:t>
      </w:r>
      <w:r>
        <w:rPr>
          <w:rFonts w:hint="eastAsia" w:ascii="宋体" w:hAnsi="宋体" w:eastAsia="宋体" w:cs="宋体"/>
          <w:spacing w:val="-2"/>
          <w:sz w:val="21"/>
          <w:szCs w:val="21"/>
        </w:rPr>
        <w:t>数字化的不断推进</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使数据</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数字技术</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数</w:t>
      </w:r>
      <w:r>
        <w:rPr>
          <w:rFonts w:hint="eastAsia" w:ascii="宋体" w:hAnsi="宋体" w:eastAsia="宋体" w:cs="宋体"/>
          <w:spacing w:val="11"/>
          <w:sz w:val="21"/>
          <w:szCs w:val="21"/>
        </w:rPr>
        <w:t>字劳动等要素愈发深嵌生产全过程。一方面，</w:t>
      </w:r>
      <w:r>
        <w:rPr>
          <w:rFonts w:hint="eastAsia" w:ascii="宋体" w:hAnsi="宋体" w:eastAsia="宋体" w:cs="宋体"/>
          <w:spacing w:val="10"/>
          <w:sz w:val="21"/>
          <w:szCs w:val="21"/>
        </w:rPr>
        <w:t>数字要素的加入呈现出产业整合加速、资源配置优化、整体效率提升的推动作用，但另一方面，数字资本强垄断等特征也引发了市场集中度上升、数</w:t>
      </w:r>
      <w:r>
        <w:rPr>
          <w:rFonts w:hint="eastAsia" w:ascii="宋体" w:hAnsi="宋体" w:eastAsia="宋体" w:cs="宋体"/>
          <w:spacing w:val="6"/>
          <w:sz w:val="21"/>
          <w:szCs w:val="21"/>
        </w:rPr>
        <w:t>字鸿沟加大、消费者价格歧视等问题。因此，正确认识数字要素和数字资本，并探讨在加快数字经</w:t>
      </w:r>
      <w:r>
        <w:rPr>
          <w:rFonts w:hint="eastAsia" w:ascii="宋体" w:hAnsi="宋体" w:eastAsia="宋体" w:cs="宋体"/>
          <w:spacing w:val="5"/>
          <w:sz w:val="21"/>
          <w:szCs w:val="21"/>
        </w:rPr>
        <w:t>济建设和发展的同时，如何防范数字资本所带来的现实问题，</w:t>
      </w:r>
      <w:r>
        <w:rPr>
          <w:rFonts w:hint="eastAsia" w:ascii="宋体" w:hAnsi="宋体" w:eastAsia="宋体" w:cs="宋体"/>
          <w:spacing w:val="4"/>
          <w:sz w:val="21"/>
          <w:szCs w:val="21"/>
        </w:rPr>
        <w:t>成为规范数字资本、规避数字负面效应的重要内容。为此，本文尝试围绕以下两个问题展开探讨</w:t>
      </w:r>
      <w:r>
        <w:rPr>
          <w:rFonts w:hint="eastAsia" w:ascii="宋体" w:hAnsi="宋体" w:eastAsia="宋体" w:cs="宋体"/>
          <w:spacing w:val="3"/>
          <w:sz w:val="21"/>
          <w:szCs w:val="21"/>
        </w:rPr>
        <w:t>：一是，在现有研究的基础上，探讨数</w:t>
      </w:r>
      <w:r>
        <w:rPr>
          <w:rFonts w:hint="eastAsia" w:ascii="宋体" w:hAnsi="宋体" w:eastAsia="宋体" w:cs="宋体"/>
          <w:spacing w:val="8"/>
          <w:sz w:val="21"/>
          <w:szCs w:val="21"/>
        </w:rPr>
        <w:t>字生产的要素构成，并对其资本化的一般过程，以及数字要素资本化的社会表现进行深入分析；二是，基于数字资本的形成和发展，揭示数字资本凭借特有属性走向垄断的内在机制，并论证其在资</w:t>
      </w:r>
      <w:r>
        <w:rPr>
          <w:rFonts w:hint="eastAsia" w:ascii="宋体" w:hAnsi="宋体" w:eastAsia="宋体" w:cs="宋体"/>
          <w:spacing w:val="13"/>
          <w:sz w:val="21"/>
          <w:szCs w:val="21"/>
        </w:rPr>
        <w:t>本主义条件下走向数字霸权的历史必然性。继而，基于上述两方面的分析，提出引导和规范我国</w:t>
      </w:r>
      <w:r>
        <w:rPr>
          <w:rFonts w:hint="eastAsia" w:ascii="宋体" w:hAnsi="宋体" w:eastAsia="宋体" w:cs="宋体"/>
          <w:spacing w:val="11"/>
          <w:sz w:val="21"/>
          <w:szCs w:val="21"/>
        </w:rPr>
        <w:t>数字资本健康发展、防范系统性风险的应对策略。</w:t>
      </w:r>
    </w:p>
    <w:p w14:paraId="50C4B4C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outlineLvl w:val="9"/>
        <w:rPr>
          <w:rFonts w:hint="eastAsia" w:ascii="宋体" w:hAnsi="宋体" w:eastAsia="宋体" w:cs="宋体"/>
          <w:b/>
          <w:bCs/>
          <w:spacing w:val="0"/>
          <w:w w:val="100"/>
          <w:position w:val="0"/>
          <w:sz w:val="24"/>
          <w:szCs w:val="24"/>
        </w:rPr>
      </w:pPr>
      <w:r>
        <w:rPr>
          <w:rFonts w:hint="eastAsia" w:ascii="宋体" w:hAnsi="宋体" w:eastAsia="宋体" w:cs="宋体"/>
          <w:b/>
          <w:bCs/>
          <w:spacing w:val="0"/>
          <w:w w:val="100"/>
          <w:position w:val="0"/>
          <w:sz w:val="24"/>
          <w:szCs w:val="24"/>
        </w:rPr>
        <w:t>二、数字要素资本化及其社会效应</w:t>
      </w:r>
    </w:p>
    <w:p w14:paraId="6829586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5D79FFA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3"/>
          <w:sz w:val="21"/>
          <w:szCs w:val="21"/>
        </w:rPr>
        <w:t>当前，世界进入以智能制造为主导的新一轮技术革命中，以数字设施为基础，</w:t>
      </w:r>
      <w:r>
        <w:rPr>
          <w:rFonts w:hint="eastAsia" w:ascii="宋体" w:hAnsi="宋体" w:eastAsia="宋体" w:cs="宋体"/>
          <w:spacing w:val="2"/>
          <w:sz w:val="21"/>
          <w:szCs w:val="21"/>
        </w:rPr>
        <w:t>数字技术为支撑，海量数据为触手的信息网浸入生活、生产和消费的各个领域，数字化也成为推动社会生产</w:t>
      </w:r>
      <w:r>
        <w:rPr>
          <w:rFonts w:hint="eastAsia" w:ascii="宋体" w:hAnsi="宋体" w:eastAsia="宋体" w:cs="宋体"/>
          <w:spacing w:val="1"/>
          <w:sz w:val="21"/>
          <w:szCs w:val="21"/>
        </w:rPr>
        <w:t>力提</w:t>
      </w:r>
      <w:r>
        <w:rPr>
          <w:rFonts w:hint="eastAsia" w:ascii="宋体" w:hAnsi="宋体" w:eastAsia="宋体" w:cs="宋体"/>
          <w:spacing w:val="9"/>
          <w:sz w:val="21"/>
          <w:szCs w:val="21"/>
        </w:rPr>
        <w:t>升、促进经济发展的核心力量。为此，明确数字要素的基本</w:t>
      </w:r>
      <w:r>
        <w:rPr>
          <w:rFonts w:hint="eastAsia" w:ascii="宋体" w:hAnsi="宋体" w:eastAsia="宋体" w:cs="宋体"/>
          <w:spacing w:val="8"/>
          <w:sz w:val="21"/>
          <w:szCs w:val="21"/>
        </w:rPr>
        <w:t>构成、资本化过程，以及影响以劳动力</w:t>
      </w:r>
      <w:r>
        <w:rPr>
          <w:rFonts w:hint="eastAsia" w:ascii="宋体" w:hAnsi="宋体" w:eastAsia="宋体" w:cs="宋体"/>
          <w:spacing w:val="14"/>
          <w:sz w:val="21"/>
          <w:szCs w:val="21"/>
        </w:rPr>
        <w:t>市场结构性变革为代表的社会表现，成为理解数字资本一般的首要内容。</w:t>
      </w:r>
    </w:p>
    <w:p w14:paraId="553CD00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outlineLvl w:val="9"/>
        <w:rPr>
          <w:rFonts w:hint="eastAsia" w:ascii="宋体" w:hAnsi="宋体" w:eastAsia="宋体" w:cs="宋体"/>
          <w:b/>
          <w:bCs/>
          <w:sz w:val="21"/>
          <w:szCs w:val="21"/>
        </w:rPr>
      </w:pPr>
      <w:r>
        <w:rPr>
          <w:rFonts w:hint="eastAsia" w:ascii="宋体" w:hAnsi="宋体" w:eastAsia="宋体" w:cs="宋体"/>
          <w:b/>
          <w:bCs/>
          <w:spacing w:val="-1"/>
          <w:sz w:val="21"/>
          <w:szCs w:val="21"/>
        </w:rPr>
        <w:t>（一）“数据＋算力＋算器”：数字生产力要素构成</w:t>
      </w:r>
    </w:p>
    <w:p w14:paraId="159610C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数字生产力作为数字经济时代对生产力的拓展，其构成要素需要满足数字化建设和发展的能</w:t>
      </w:r>
      <w:r>
        <w:rPr>
          <w:rFonts w:hint="eastAsia" w:ascii="宋体" w:hAnsi="宋体" w:eastAsia="宋体" w:cs="宋体"/>
          <w:spacing w:val="-3"/>
          <w:sz w:val="21"/>
          <w:szCs w:val="21"/>
        </w:rPr>
        <w:t>力。马克思提出，“劳动过程的简单要素是：有目的的活动</w:t>
      </w:r>
      <w:r>
        <w:rPr>
          <w:rFonts w:hint="eastAsia" w:ascii="宋体" w:hAnsi="宋体" w:eastAsia="宋体" w:cs="宋体"/>
          <w:spacing w:val="-4"/>
          <w:sz w:val="21"/>
          <w:szCs w:val="21"/>
        </w:rPr>
        <w:t>或劳动本身，劳动对象和劳动资料</w:t>
      </w:r>
      <w:r>
        <w:rPr>
          <w:rFonts w:hint="eastAsia" w:ascii="宋体" w:hAnsi="宋体" w:eastAsia="宋体" w:cs="宋体"/>
          <w:spacing w:val="-4"/>
          <w:position w:val="4"/>
          <w:sz w:val="21"/>
          <w:szCs w:val="21"/>
        </w:rPr>
        <w:t>”</w:t>
      </w:r>
      <w:r>
        <w:rPr>
          <w:rStyle w:val="20"/>
          <w:rFonts w:hint="eastAsia" w:ascii="宋体" w:hAnsi="宋体" w:eastAsia="宋体" w:cs="宋体"/>
          <w:spacing w:val="-4"/>
          <w:position w:val="4"/>
          <w:sz w:val="21"/>
          <w:szCs w:val="21"/>
        </w:rPr>
        <w:footnoteReference w:id="1386"/>
      </w:r>
      <w:r>
        <w:rPr>
          <w:rFonts w:hint="eastAsia" w:ascii="宋体" w:hAnsi="宋体" w:eastAsia="宋体" w:cs="宋体"/>
          <w:spacing w:val="-4"/>
          <w:sz w:val="21"/>
          <w:szCs w:val="21"/>
        </w:rPr>
        <w:t>。</w:t>
      </w:r>
      <w:r>
        <w:rPr>
          <w:rFonts w:hint="eastAsia" w:ascii="宋体" w:hAnsi="宋体" w:eastAsia="宋体" w:cs="宋体"/>
          <w:spacing w:val="9"/>
          <w:sz w:val="21"/>
          <w:szCs w:val="21"/>
        </w:rPr>
        <w:t>以此寻找数字生产力的构成要素</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形成</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数据＋算力＋算器</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的要素构成</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可以更好地解</w:t>
      </w:r>
      <w:r>
        <w:rPr>
          <w:rFonts w:hint="eastAsia" w:ascii="宋体" w:hAnsi="宋体" w:eastAsia="宋体" w:cs="宋体"/>
          <w:spacing w:val="8"/>
          <w:sz w:val="21"/>
          <w:szCs w:val="21"/>
        </w:rPr>
        <w:t>释数字时</w:t>
      </w:r>
      <w:r>
        <w:rPr>
          <w:rFonts w:hint="eastAsia" w:ascii="宋体" w:hAnsi="宋体" w:eastAsia="宋体" w:cs="宋体"/>
          <w:spacing w:val="16"/>
          <w:sz w:val="21"/>
          <w:szCs w:val="21"/>
        </w:rPr>
        <w:t>代推动社会经济发展的物质力量。</w:t>
      </w:r>
    </w:p>
    <w:p w14:paraId="59453B7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9"/>
          <w:sz w:val="21"/>
          <w:szCs w:val="21"/>
        </w:rPr>
        <w:t>“数据”作为数字经济的核心要素，以劳动对象的形式存在于数字经济之中。“构建以数据为</w:t>
      </w:r>
      <w:r>
        <w:rPr>
          <w:rFonts w:hint="eastAsia" w:ascii="宋体" w:hAnsi="宋体" w:eastAsia="宋体" w:cs="宋体"/>
          <w:spacing w:val="4"/>
          <w:sz w:val="21"/>
          <w:szCs w:val="21"/>
        </w:rPr>
        <w:t>关键要素的数字经济</w:t>
      </w:r>
      <w:r>
        <w:rPr>
          <w:rFonts w:hint="eastAsia" w:ascii="宋体" w:hAnsi="宋体" w:eastAsia="宋体" w:cs="宋体"/>
          <w:spacing w:val="4"/>
          <w:position w:val="4"/>
          <w:sz w:val="21"/>
          <w:szCs w:val="21"/>
        </w:rPr>
        <w:t>”</w:t>
      </w:r>
      <w:r>
        <w:rPr>
          <w:rStyle w:val="20"/>
          <w:rFonts w:hint="eastAsia" w:ascii="宋体" w:hAnsi="宋体" w:eastAsia="宋体" w:cs="宋体"/>
          <w:spacing w:val="4"/>
          <w:position w:val="4"/>
          <w:sz w:val="21"/>
          <w:szCs w:val="21"/>
        </w:rPr>
        <w:footnoteReference w:id="1387"/>
      </w:r>
      <w:r>
        <w:rPr>
          <w:rFonts w:hint="eastAsia" w:ascii="宋体" w:hAnsi="宋体" w:eastAsia="宋体" w:cs="宋体"/>
          <w:spacing w:val="4"/>
          <w:sz w:val="21"/>
          <w:szCs w:val="21"/>
        </w:rPr>
        <w:t>明确了数据作为数字要素的重要地位。“数据”是对客观事物的性质、状态</w:t>
      </w:r>
      <w:r>
        <w:rPr>
          <w:rFonts w:hint="eastAsia" w:ascii="宋体" w:hAnsi="宋体" w:eastAsia="宋体" w:cs="宋体"/>
          <w:spacing w:val="8"/>
          <w:sz w:val="21"/>
          <w:szCs w:val="21"/>
        </w:rPr>
        <w:t>以及相互关系等进行记载的物理符号或物理符号的组合，作为劳动</w:t>
      </w:r>
      <w:r>
        <w:rPr>
          <w:rFonts w:hint="eastAsia" w:ascii="宋体" w:hAnsi="宋体" w:eastAsia="宋体" w:cs="宋体"/>
          <w:spacing w:val="7"/>
          <w:sz w:val="21"/>
          <w:szCs w:val="21"/>
        </w:rPr>
        <w:t>对象，成为信息时代数字生产</w:t>
      </w:r>
      <w:r>
        <w:rPr>
          <w:rFonts w:hint="eastAsia" w:ascii="宋体" w:hAnsi="宋体" w:eastAsia="宋体" w:cs="宋体"/>
          <w:spacing w:val="1"/>
          <w:sz w:val="21"/>
          <w:szCs w:val="21"/>
        </w:rPr>
        <w:t>力的要素构成。在通过数理统计、数据挖掘等技术手段，对海量原始数据进行清洗、整合、筛选，形</w:t>
      </w:r>
      <w:r>
        <w:rPr>
          <w:rFonts w:hint="eastAsia" w:ascii="宋体" w:hAnsi="宋体" w:eastAsia="宋体" w:cs="宋体"/>
          <w:spacing w:val="-6"/>
          <w:sz w:val="21"/>
          <w:szCs w:val="21"/>
        </w:rPr>
        <w:t>成具有准确性和完整性的“干净”数据后，将干净的数据“快速融入生产、分配、流通、消费和社会服</w:t>
      </w:r>
      <w:r>
        <w:rPr>
          <w:rFonts w:hint="eastAsia" w:ascii="宋体" w:hAnsi="宋体" w:eastAsia="宋体" w:cs="宋体"/>
          <w:sz w:val="21"/>
          <w:szCs w:val="21"/>
        </w:rPr>
        <w:t>务管理等各个环节，深刻改变着生产方式、</w:t>
      </w:r>
      <w:r>
        <w:rPr>
          <w:rFonts w:hint="eastAsia" w:ascii="宋体" w:hAnsi="宋体" w:eastAsia="宋体" w:cs="宋体"/>
          <w:spacing w:val="-1"/>
          <w:sz w:val="21"/>
          <w:szCs w:val="21"/>
        </w:rPr>
        <w:t>生活方式和社会治理方式</w:t>
      </w:r>
      <w:r>
        <w:rPr>
          <w:rFonts w:hint="eastAsia" w:ascii="宋体" w:hAnsi="宋体" w:eastAsia="宋体" w:cs="宋体"/>
          <w:spacing w:val="-1"/>
          <w:position w:val="4"/>
          <w:sz w:val="21"/>
          <w:szCs w:val="21"/>
        </w:rPr>
        <w:t>”</w:t>
      </w:r>
      <w:r>
        <w:rPr>
          <w:rStyle w:val="20"/>
          <w:rFonts w:hint="eastAsia" w:ascii="宋体" w:hAnsi="宋体" w:eastAsia="宋体" w:cs="宋体"/>
          <w:spacing w:val="-1"/>
          <w:position w:val="4"/>
          <w:sz w:val="21"/>
          <w:szCs w:val="21"/>
        </w:rPr>
        <w:footnoteReference w:id="1388"/>
      </w:r>
      <w:r>
        <w:rPr>
          <w:rFonts w:hint="eastAsia" w:ascii="宋体" w:hAnsi="宋体" w:eastAsia="宋体" w:cs="宋体"/>
          <w:spacing w:val="-1"/>
          <w:sz w:val="21"/>
          <w:szCs w:val="21"/>
        </w:rPr>
        <w:t>。数据要素的使用在促进</w:t>
      </w:r>
      <w:r>
        <w:rPr>
          <w:rFonts w:hint="eastAsia" w:ascii="宋体" w:hAnsi="宋体" w:eastAsia="宋体" w:cs="宋体"/>
          <w:spacing w:val="5"/>
          <w:sz w:val="21"/>
          <w:szCs w:val="21"/>
        </w:rPr>
        <w:t>规模报酬递增、推动科技创新、推进产业深度转型升级、优化生产要素创新性配置等方面起到重要</w:t>
      </w:r>
      <w:r>
        <w:rPr>
          <w:rFonts w:hint="eastAsia" w:ascii="宋体" w:hAnsi="宋体" w:eastAsia="宋体" w:cs="宋体"/>
          <w:spacing w:val="11"/>
          <w:sz w:val="21"/>
          <w:szCs w:val="21"/>
        </w:rPr>
        <w:t>作用，并为推动经济发展发挥出乘数效应。</w:t>
      </w:r>
    </w:p>
    <w:p w14:paraId="4B8945B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“算力”作为计算机设备或数据中心处理信息的能力，成为一种特殊“技术能力”的体现。算力</w:t>
      </w:r>
      <w:r>
        <w:rPr>
          <w:rFonts w:hint="eastAsia" w:ascii="宋体" w:hAnsi="宋体" w:eastAsia="宋体" w:cs="宋体"/>
          <w:spacing w:val="13"/>
          <w:sz w:val="21"/>
          <w:szCs w:val="21"/>
        </w:rPr>
        <w:t>与劳动者的劳动能力在功能上呈现出相似的特征，是计算机硬件和软件配合共同执行某种计算需</w:t>
      </w:r>
      <w:r>
        <w:rPr>
          <w:rFonts w:hint="eastAsia" w:ascii="宋体" w:hAnsi="宋体" w:eastAsia="宋体" w:cs="宋体"/>
          <w:spacing w:val="-2"/>
          <w:sz w:val="21"/>
          <w:szCs w:val="21"/>
        </w:rPr>
        <w:t>求，并体现出信息处理效率的能力。“算力”在与数据的结合中，表现出运用算法改造数据的能力。</w:t>
      </w:r>
      <w:r>
        <w:rPr>
          <w:rFonts w:hint="eastAsia" w:ascii="宋体" w:hAnsi="宋体" w:eastAsia="宋体" w:cs="宋体"/>
          <w:spacing w:val="14"/>
          <w:sz w:val="21"/>
          <w:szCs w:val="21"/>
        </w:rPr>
        <w:t>这一表现过程中，算力在价值创造层面依然作为不变资本存在，但是在作</w:t>
      </w:r>
      <w:r>
        <w:rPr>
          <w:rFonts w:hint="eastAsia" w:ascii="宋体" w:hAnsi="宋体" w:eastAsia="宋体" w:cs="宋体"/>
          <w:spacing w:val="13"/>
          <w:sz w:val="21"/>
          <w:szCs w:val="21"/>
        </w:rPr>
        <w:t>用于劳动对象的能力表</w:t>
      </w:r>
      <w:r>
        <w:rPr>
          <w:rFonts w:hint="eastAsia" w:ascii="宋体" w:hAnsi="宋体" w:eastAsia="宋体" w:cs="宋体"/>
          <w:spacing w:val="2"/>
          <w:sz w:val="21"/>
          <w:szCs w:val="21"/>
        </w:rPr>
        <w:t>达上，呈现出与劳动者相似的功能状态。</w:t>
      </w:r>
      <w:r>
        <w:rPr>
          <w:rFonts w:hint="eastAsia" w:ascii="宋体" w:hAnsi="宋体" w:eastAsia="宋体" w:cs="宋体"/>
          <w:spacing w:val="1"/>
          <w:sz w:val="21"/>
          <w:szCs w:val="21"/>
        </w:rPr>
        <w:t>与以往的技术革命相比，“算力作为新一代技术的核心引</w:t>
      </w:r>
      <w:r>
        <w:rPr>
          <w:rFonts w:hint="eastAsia" w:ascii="宋体" w:hAnsi="宋体" w:eastAsia="宋体" w:cs="宋体"/>
          <w:spacing w:val="3"/>
          <w:sz w:val="21"/>
          <w:szCs w:val="21"/>
        </w:rPr>
        <w:t>擎，已经成为一个国家发展的核心驱动力</w:t>
      </w:r>
      <w:r>
        <w:rPr>
          <w:rFonts w:hint="eastAsia" w:ascii="宋体" w:hAnsi="宋体" w:eastAsia="宋体" w:cs="宋体"/>
          <w:spacing w:val="3"/>
          <w:position w:val="4"/>
          <w:sz w:val="21"/>
          <w:szCs w:val="21"/>
        </w:rPr>
        <w:t>”</w:t>
      </w:r>
      <w:r>
        <w:rPr>
          <w:rStyle w:val="20"/>
          <w:rFonts w:hint="eastAsia" w:ascii="宋体" w:hAnsi="宋体" w:eastAsia="宋体" w:cs="宋体"/>
          <w:spacing w:val="3"/>
          <w:position w:val="4"/>
          <w:sz w:val="21"/>
          <w:szCs w:val="21"/>
        </w:rPr>
        <w:footnoteReference w:id="1389"/>
      </w:r>
      <w:r>
        <w:rPr>
          <w:rFonts w:hint="eastAsia" w:ascii="宋体" w:hAnsi="宋体" w:eastAsia="宋体" w:cs="宋体"/>
          <w:spacing w:val="3"/>
          <w:sz w:val="21"/>
          <w:szCs w:val="21"/>
        </w:rPr>
        <w:t>,并在社会各领域的生产中为数据处理赋能</w:t>
      </w:r>
      <w:r>
        <w:rPr>
          <w:rFonts w:hint="eastAsia" w:ascii="宋体" w:hAnsi="宋体" w:eastAsia="宋体" w:cs="宋体"/>
          <w:spacing w:val="2"/>
          <w:sz w:val="21"/>
          <w:szCs w:val="21"/>
        </w:rPr>
        <w:t>。其中，算</w:t>
      </w:r>
      <w:r>
        <w:rPr>
          <w:rFonts w:hint="eastAsia" w:ascii="宋体" w:hAnsi="宋体" w:eastAsia="宋体" w:cs="宋体"/>
          <w:spacing w:val="12"/>
          <w:sz w:val="21"/>
          <w:szCs w:val="21"/>
        </w:rPr>
        <w:t>法作为用系统的方法描述和解决问题的策略机制，在与信息处理能力的结合中，依托算力来帮助</w:t>
      </w:r>
      <w:r>
        <w:rPr>
          <w:rFonts w:hint="eastAsia" w:ascii="宋体" w:hAnsi="宋体" w:eastAsia="宋体" w:cs="宋体"/>
          <w:spacing w:val="3"/>
          <w:sz w:val="21"/>
          <w:szCs w:val="21"/>
        </w:rPr>
        <w:t>社会生产解决问题、提升效率。随着人工智能、大数据等技术的发展，算法不再表现为单一的计算</w:t>
      </w:r>
      <w:r>
        <w:rPr>
          <w:rFonts w:hint="eastAsia" w:ascii="宋体" w:hAnsi="宋体" w:eastAsia="宋体" w:cs="宋体"/>
          <w:spacing w:val="1"/>
          <w:sz w:val="21"/>
          <w:szCs w:val="21"/>
        </w:rPr>
        <w:t>模式，“而是在不断地被‘投喂’数据的过程中实现自我的升级和迭代，并</w:t>
      </w:r>
      <w:r>
        <w:rPr>
          <w:rFonts w:hint="eastAsia" w:ascii="宋体" w:hAnsi="宋体" w:eastAsia="宋体" w:cs="宋体"/>
          <w:sz w:val="21"/>
          <w:szCs w:val="21"/>
        </w:rPr>
        <w:t>和数据通过积极的正向反</w:t>
      </w:r>
      <w:r>
        <w:rPr>
          <w:rFonts w:hint="eastAsia" w:ascii="宋体" w:hAnsi="宋体" w:eastAsia="宋体" w:cs="宋体"/>
          <w:spacing w:val="-1"/>
          <w:sz w:val="21"/>
          <w:szCs w:val="21"/>
        </w:rPr>
        <w:t>馈循环相互关联</w:t>
      </w:r>
      <w:r>
        <w:rPr>
          <w:rFonts w:hint="eastAsia" w:ascii="宋体" w:hAnsi="宋体" w:eastAsia="宋体" w:cs="宋体"/>
          <w:spacing w:val="-1"/>
          <w:position w:val="4"/>
          <w:sz w:val="21"/>
          <w:szCs w:val="21"/>
        </w:rPr>
        <w:t>”</w:t>
      </w:r>
      <w:r>
        <w:rPr>
          <w:rStyle w:val="20"/>
          <w:rFonts w:hint="eastAsia" w:ascii="宋体" w:hAnsi="宋体" w:eastAsia="宋体" w:cs="宋体"/>
          <w:spacing w:val="-1"/>
          <w:position w:val="4"/>
          <w:sz w:val="21"/>
          <w:szCs w:val="21"/>
        </w:rPr>
        <w:footnoteReference w:id="1390"/>
      </w:r>
      <w:r>
        <w:rPr>
          <w:rFonts w:hint="eastAsia" w:ascii="宋体" w:hAnsi="宋体" w:eastAsia="宋体" w:cs="宋体"/>
          <w:spacing w:val="-1"/>
          <w:position w:val="1"/>
          <w:sz w:val="21"/>
          <w:szCs w:val="21"/>
        </w:rPr>
        <w:t>。</w:t>
      </w:r>
      <w:r>
        <w:rPr>
          <w:rFonts w:hint="eastAsia" w:ascii="宋体" w:hAnsi="宋体" w:eastAsia="宋体" w:cs="宋体"/>
          <w:spacing w:val="-1"/>
          <w:sz w:val="21"/>
          <w:szCs w:val="21"/>
        </w:rPr>
        <w:t>因此</w:t>
      </w:r>
      <w:r>
        <w:rPr>
          <w:rFonts w:hint="eastAsia" w:ascii="宋体" w:hAnsi="宋体" w:eastAsia="宋体" w:cs="宋体"/>
          <w:spacing w:val="-1"/>
          <w:position w:val="1"/>
          <w:sz w:val="21"/>
          <w:szCs w:val="21"/>
        </w:rPr>
        <w:t>，</w:t>
      </w:r>
      <w:r>
        <w:rPr>
          <w:rFonts w:hint="eastAsia" w:ascii="宋体" w:hAnsi="宋体" w:eastAsia="宋体" w:cs="宋体"/>
          <w:spacing w:val="-1"/>
          <w:sz w:val="21"/>
          <w:szCs w:val="21"/>
        </w:rPr>
        <w:t>虽然现有研究更多是在用</w:t>
      </w:r>
      <w:r>
        <w:rPr>
          <w:rFonts w:hint="eastAsia" w:ascii="宋体" w:hAnsi="宋体" w:eastAsia="宋体" w:cs="宋体"/>
          <w:spacing w:val="-1"/>
          <w:position w:val="1"/>
          <w:sz w:val="21"/>
          <w:szCs w:val="21"/>
        </w:rPr>
        <w:t>“</w:t>
      </w:r>
      <w:r>
        <w:rPr>
          <w:rFonts w:hint="eastAsia" w:ascii="宋体" w:hAnsi="宋体" w:eastAsia="宋体" w:cs="宋体"/>
          <w:spacing w:val="-1"/>
          <w:sz w:val="21"/>
          <w:szCs w:val="21"/>
        </w:rPr>
        <w:t>数据＋算力＋算法</w:t>
      </w:r>
      <w:r>
        <w:rPr>
          <w:rFonts w:hint="eastAsia" w:ascii="宋体" w:hAnsi="宋体" w:eastAsia="宋体" w:cs="宋体"/>
          <w:spacing w:val="-1"/>
          <w:position w:val="1"/>
          <w:sz w:val="21"/>
          <w:szCs w:val="21"/>
        </w:rPr>
        <w:t>”</w:t>
      </w:r>
      <w:r>
        <w:rPr>
          <w:rFonts w:hint="eastAsia" w:ascii="宋体" w:hAnsi="宋体" w:eastAsia="宋体" w:cs="宋体"/>
          <w:spacing w:val="-1"/>
          <w:sz w:val="21"/>
          <w:szCs w:val="21"/>
        </w:rPr>
        <w:t>重新定义</w:t>
      </w:r>
      <w:r>
        <w:rPr>
          <w:rFonts w:hint="eastAsia" w:ascii="宋体" w:hAnsi="宋体" w:eastAsia="宋体" w:cs="宋体"/>
          <w:spacing w:val="-2"/>
          <w:sz w:val="21"/>
          <w:szCs w:val="21"/>
        </w:rPr>
        <w:t>数字世界</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但</w:t>
      </w:r>
      <w:r>
        <w:rPr>
          <w:rFonts w:hint="eastAsia" w:ascii="宋体" w:hAnsi="宋体" w:eastAsia="宋体" w:cs="宋体"/>
          <w:spacing w:val="1"/>
          <w:sz w:val="21"/>
          <w:szCs w:val="21"/>
        </w:rPr>
        <w:t>是，这种分析处理数据的算法，其核心能力表现在算力中，所以，将“算力”作为核心要素能够更好</w:t>
      </w:r>
      <w:r>
        <w:rPr>
          <w:rFonts w:hint="eastAsia" w:ascii="宋体" w:hAnsi="宋体" w:eastAsia="宋体" w:cs="宋体"/>
          <w:spacing w:val="16"/>
          <w:sz w:val="21"/>
          <w:szCs w:val="21"/>
        </w:rPr>
        <w:t>地表达出数字生产力的作用。</w:t>
      </w:r>
    </w:p>
    <w:p w14:paraId="594CE20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“算器”作为数字建设中的底座，在数字生产力中以劳动资料形态发挥作用。算器是综</w:t>
      </w:r>
      <w:r>
        <w:rPr>
          <w:rFonts w:hint="eastAsia" w:ascii="宋体" w:hAnsi="宋体" w:eastAsia="宋体" w:cs="宋体"/>
          <w:spacing w:val="5"/>
          <w:sz w:val="21"/>
          <w:szCs w:val="21"/>
        </w:rPr>
        <w:t>合数</w:t>
      </w:r>
      <w:r>
        <w:rPr>
          <w:rFonts w:hint="eastAsia" w:ascii="宋体" w:hAnsi="宋体" w:eastAsia="宋体" w:cs="宋体"/>
          <w:spacing w:val="2"/>
          <w:sz w:val="21"/>
          <w:szCs w:val="21"/>
        </w:rPr>
        <w:t>据</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支撑算法</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运行算力的基础设施支撑</w:t>
      </w:r>
      <w:r>
        <w:rPr>
          <w:rFonts w:hint="eastAsia" w:ascii="宋体" w:hAnsi="宋体" w:eastAsia="宋体" w:cs="宋体"/>
          <w:spacing w:val="2"/>
          <w:position w:val="1"/>
          <w:sz w:val="21"/>
          <w:szCs w:val="21"/>
        </w:rPr>
        <w:t>，</w:t>
      </w:r>
      <w:r>
        <w:rPr>
          <w:rFonts w:hint="eastAsia" w:ascii="宋体" w:hAnsi="宋体" w:eastAsia="宋体" w:cs="宋体"/>
          <w:spacing w:val="2"/>
          <w:sz w:val="21"/>
          <w:szCs w:val="21"/>
        </w:rPr>
        <w:t>是数字生产力中不可缺少的生产性要素</w:t>
      </w:r>
      <w:r>
        <w:rPr>
          <w:rFonts w:hint="eastAsia" w:ascii="宋体" w:hAnsi="宋体" w:eastAsia="宋体" w:cs="宋体"/>
          <w:spacing w:val="2"/>
          <w:position w:val="1"/>
          <w:sz w:val="21"/>
          <w:szCs w:val="21"/>
        </w:rPr>
        <w:t>。</w:t>
      </w:r>
      <w:r>
        <w:rPr>
          <w:rFonts w:hint="eastAsia" w:ascii="宋体" w:hAnsi="宋体" w:eastAsia="宋体" w:cs="宋体"/>
          <w:spacing w:val="2"/>
          <w:position w:val="-1"/>
          <w:sz w:val="21"/>
          <w:szCs w:val="21"/>
        </w:rPr>
        <w:t>2014</w:t>
      </w:r>
      <w:r>
        <w:rPr>
          <w:rFonts w:hint="eastAsia" w:ascii="宋体" w:hAnsi="宋体" w:eastAsia="宋体" w:cs="宋体"/>
          <w:spacing w:val="1"/>
          <w:sz w:val="21"/>
          <w:szCs w:val="21"/>
        </w:rPr>
        <w:t>年中央网</w:t>
      </w:r>
      <w:r>
        <w:rPr>
          <w:rFonts w:hint="eastAsia" w:ascii="宋体" w:hAnsi="宋体" w:eastAsia="宋体" w:cs="宋体"/>
          <w:spacing w:val="5"/>
          <w:sz w:val="21"/>
          <w:szCs w:val="21"/>
        </w:rPr>
        <w:t>络安全和信息化领导小组会议上，习近平总书记强调，“要有良好的信息基础设施，形成实力雄厚</w:t>
      </w:r>
      <w:r>
        <w:rPr>
          <w:rFonts w:hint="eastAsia" w:ascii="宋体" w:hAnsi="宋体" w:eastAsia="宋体" w:cs="宋体"/>
          <w:spacing w:val="6"/>
          <w:sz w:val="21"/>
          <w:szCs w:val="21"/>
        </w:rPr>
        <w:t>的信息经济</w:t>
      </w:r>
      <w:r>
        <w:rPr>
          <w:rFonts w:hint="eastAsia" w:ascii="宋体" w:hAnsi="宋体" w:eastAsia="宋体" w:cs="宋体"/>
          <w:spacing w:val="6"/>
          <w:position w:val="4"/>
          <w:sz w:val="21"/>
          <w:szCs w:val="21"/>
        </w:rPr>
        <w:t>”</w:t>
      </w:r>
      <w:r>
        <w:rPr>
          <w:rStyle w:val="20"/>
          <w:rFonts w:hint="eastAsia" w:ascii="宋体" w:hAnsi="宋体" w:eastAsia="宋体" w:cs="宋体"/>
          <w:spacing w:val="6"/>
          <w:position w:val="4"/>
          <w:sz w:val="21"/>
          <w:szCs w:val="21"/>
        </w:rPr>
        <w:footnoteReference w:id="1391"/>
      </w:r>
      <w:r>
        <w:rPr>
          <w:rFonts w:hint="eastAsia" w:ascii="宋体" w:hAnsi="宋体" w:eastAsia="宋体" w:cs="宋体"/>
          <w:spacing w:val="6"/>
          <w:sz w:val="21"/>
          <w:szCs w:val="21"/>
        </w:rPr>
        <w:t>。</w:t>
      </w:r>
      <w:r>
        <w:rPr>
          <w:rFonts w:hint="eastAsia" w:ascii="宋体" w:hAnsi="宋体" w:eastAsia="宋体" w:cs="宋体"/>
          <w:spacing w:val="6"/>
          <w:position w:val="-1"/>
          <w:sz w:val="21"/>
          <w:szCs w:val="21"/>
        </w:rPr>
        <w:t>2023</w:t>
      </w:r>
      <w:r>
        <w:rPr>
          <w:rFonts w:hint="eastAsia" w:ascii="宋体" w:hAnsi="宋体" w:eastAsia="宋体" w:cs="宋体"/>
          <w:spacing w:val="6"/>
          <w:sz w:val="21"/>
          <w:szCs w:val="21"/>
        </w:rPr>
        <w:t>年中共中央国务院印发《数字中国建设整体布局规划》中再次强调“数字基础</w:t>
      </w:r>
      <w:r>
        <w:rPr>
          <w:rFonts w:hint="eastAsia" w:ascii="宋体" w:hAnsi="宋体" w:eastAsia="宋体" w:cs="宋体"/>
          <w:spacing w:val="-6"/>
          <w:sz w:val="21"/>
          <w:szCs w:val="21"/>
        </w:rPr>
        <w:t>设施”和“数据资源体系”是推进数字中国建设的“两大基础”。数字基础设施主要包括</w:t>
      </w:r>
      <w:r>
        <w:rPr>
          <w:rFonts w:hint="eastAsia" w:ascii="宋体" w:hAnsi="宋体" w:eastAsia="宋体" w:cs="宋体"/>
          <w:spacing w:val="-7"/>
          <w:sz w:val="21"/>
          <w:szCs w:val="21"/>
        </w:rPr>
        <w:t>以</w:t>
      </w:r>
      <w:r>
        <w:rPr>
          <w:rFonts w:hint="eastAsia" w:ascii="宋体" w:hAnsi="宋体" w:eastAsia="宋体" w:cs="宋体"/>
          <w:spacing w:val="-7"/>
          <w:position w:val="-1"/>
          <w:sz w:val="21"/>
          <w:szCs w:val="21"/>
        </w:rPr>
        <w:t>5G/6G</w:t>
      </w:r>
      <w:r>
        <w:rPr>
          <w:rFonts w:hint="eastAsia" w:ascii="宋体" w:hAnsi="宋体" w:eastAsia="宋体" w:cs="宋体"/>
          <w:spacing w:val="-7"/>
          <w:sz w:val="21"/>
          <w:szCs w:val="21"/>
        </w:rPr>
        <w:t>、</w:t>
      </w:r>
      <w:r>
        <w:rPr>
          <w:rFonts w:hint="eastAsia" w:ascii="宋体" w:hAnsi="宋体" w:eastAsia="宋体" w:cs="宋体"/>
          <w:spacing w:val="7"/>
          <w:sz w:val="21"/>
          <w:szCs w:val="21"/>
        </w:rPr>
        <w:t>卫星互联网等为代表的网络基础设施，云计算中心、大数据中心等为代表的信息服务中心，超级计</w:t>
      </w:r>
      <w:r>
        <w:rPr>
          <w:rFonts w:hint="eastAsia" w:ascii="宋体" w:hAnsi="宋体" w:eastAsia="宋体" w:cs="宋体"/>
          <w:spacing w:val="15"/>
          <w:sz w:val="21"/>
          <w:szCs w:val="21"/>
        </w:rPr>
        <w:t>算机中心等为代表的科技创新支撑类基础设施，以及支撑</w:t>
      </w:r>
      <w:r>
        <w:rPr>
          <w:rFonts w:hint="eastAsia" w:ascii="宋体" w:hAnsi="宋体" w:eastAsia="宋体" w:cs="宋体"/>
          <w:spacing w:val="14"/>
          <w:sz w:val="21"/>
          <w:szCs w:val="21"/>
        </w:rPr>
        <w:t>社会治理、公共服务及关键行业信息化</w:t>
      </w:r>
      <w:r>
        <w:rPr>
          <w:rFonts w:hint="eastAsia" w:ascii="宋体" w:hAnsi="宋体" w:eastAsia="宋体" w:cs="宋体"/>
          <w:spacing w:val="-1"/>
          <w:sz w:val="21"/>
          <w:szCs w:val="21"/>
        </w:rPr>
        <w:t>应用的重要信息基础设施等</w:t>
      </w:r>
      <w:r>
        <w:rPr>
          <w:rStyle w:val="20"/>
          <w:rFonts w:hint="eastAsia" w:ascii="宋体" w:hAnsi="宋体" w:eastAsia="宋体" w:cs="宋体"/>
          <w:spacing w:val="-1"/>
          <w:sz w:val="21"/>
          <w:szCs w:val="21"/>
        </w:rPr>
        <w:footnoteReference w:id="1392"/>
      </w:r>
      <w:r>
        <w:rPr>
          <w:rFonts w:hint="eastAsia" w:ascii="宋体" w:hAnsi="宋体" w:eastAsia="宋体" w:cs="宋体"/>
          <w:spacing w:val="-1"/>
          <w:sz w:val="21"/>
          <w:szCs w:val="21"/>
        </w:rPr>
        <w:t>。“算器”以实体性和非实体性要素的形态存在</w:t>
      </w:r>
      <w:r>
        <w:rPr>
          <w:rFonts w:hint="eastAsia" w:ascii="宋体" w:hAnsi="宋体" w:eastAsia="宋体" w:cs="宋体"/>
          <w:spacing w:val="-2"/>
          <w:sz w:val="21"/>
          <w:szCs w:val="21"/>
        </w:rPr>
        <w:t>于数字经济中，通过</w:t>
      </w:r>
      <w:r>
        <w:rPr>
          <w:rFonts w:hint="eastAsia" w:ascii="宋体" w:hAnsi="宋体" w:eastAsia="宋体" w:cs="宋体"/>
          <w:spacing w:val="10"/>
          <w:sz w:val="21"/>
          <w:szCs w:val="21"/>
        </w:rPr>
        <w:t>基站、数据中心、智能机器人等，在处理数据和运用</w:t>
      </w:r>
      <w:r>
        <w:rPr>
          <w:rFonts w:hint="eastAsia" w:ascii="宋体" w:hAnsi="宋体" w:eastAsia="宋体" w:cs="宋体"/>
          <w:spacing w:val="9"/>
          <w:sz w:val="21"/>
          <w:szCs w:val="21"/>
        </w:rPr>
        <w:t>算力实现大规模计算等方面，为数据和算力的</w:t>
      </w:r>
      <w:r>
        <w:rPr>
          <w:rFonts w:hint="eastAsia" w:ascii="宋体" w:hAnsi="宋体" w:eastAsia="宋体" w:cs="宋体"/>
          <w:spacing w:val="16"/>
          <w:sz w:val="21"/>
          <w:szCs w:val="21"/>
        </w:rPr>
        <w:t>实际应用发挥载体性的作用。</w:t>
      </w:r>
    </w:p>
    <w:p w14:paraId="0F03B0B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3"/>
          <w:sz w:val="21"/>
          <w:szCs w:val="21"/>
        </w:rPr>
        <w:t>因此，将“数据”比作劳动对象，将“算力”比作数字时</w:t>
      </w:r>
      <w:r>
        <w:rPr>
          <w:rFonts w:hint="eastAsia" w:ascii="宋体" w:hAnsi="宋体" w:eastAsia="宋体" w:cs="宋体"/>
          <w:spacing w:val="2"/>
          <w:sz w:val="21"/>
          <w:szCs w:val="21"/>
        </w:rPr>
        <w:t>代的作用于劳动对象的生产能力，将“算</w:t>
      </w:r>
      <w:r>
        <w:rPr>
          <w:rFonts w:hint="eastAsia" w:ascii="宋体" w:hAnsi="宋体" w:eastAsia="宋体" w:cs="宋体"/>
          <w:spacing w:val="8"/>
          <w:sz w:val="21"/>
          <w:szCs w:val="21"/>
        </w:rPr>
        <w:t>器”作为劳动资料，共同构建起数字生产力的基本</w:t>
      </w:r>
      <w:r>
        <w:rPr>
          <w:rFonts w:hint="eastAsia" w:ascii="宋体" w:hAnsi="宋体" w:eastAsia="宋体" w:cs="宋体"/>
          <w:spacing w:val="7"/>
          <w:sz w:val="21"/>
          <w:szCs w:val="21"/>
        </w:rPr>
        <w:t>要素，承载起数字时代对数字化发展和建设所需</w:t>
      </w:r>
      <w:r>
        <w:rPr>
          <w:rFonts w:hint="eastAsia" w:ascii="宋体" w:hAnsi="宋体" w:eastAsia="宋体" w:cs="宋体"/>
          <w:spacing w:val="6"/>
          <w:sz w:val="21"/>
          <w:szCs w:val="21"/>
        </w:rPr>
        <w:t>动力。</w:t>
      </w:r>
    </w:p>
    <w:p w14:paraId="21D486D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textAlignment w:val="baseline"/>
        <w:outlineLvl w:val="9"/>
        <w:rPr>
          <w:rFonts w:hint="eastAsia" w:ascii="宋体" w:hAnsi="宋体" w:eastAsia="宋体" w:cs="宋体"/>
          <w:b/>
          <w:bCs/>
          <w:sz w:val="21"/>
          <w:szCs w:val="21"/>
        </w:rPr>
      </w:pPr>
      <w:r>
        <w:rPr>
          <w:rFonts w:hint="eastAsia" w:ascii="宋体" w:hAnsi="宋体" w:eastAsia="宋体" w:cs="宋体"/>
          <w:b/>
          <w:bCs/>
          <w:spacing w:val="7"/>
          <w:sz w:val="21"/>
          <w:szCs w:val="21"/>
        </w:rPr>
        <w:t>（二）数字要素资本化：从生产力要素到增殖载体</w:t>
      </w:r>
    </w:p>
    <w:p w14:paraId="4ED3BF8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数字要素的资本化在于生产力要素参与到生产过程中，成为获取剩余价值、实现价值增殖的</w:t>
      </w:r>
      <w:r>
        <w:rPr>
          <w:rFonts w:hint="eastAsia" w:ascii="宋体" w:hAnsi="宋体" w:eastAsia="宋体" w:cs="宋体"/>
          <w:spacing w:val="-3"/>
          <w:sz w:val="21"/>
          <w:szCs w:val="21"/>
        </w:rPr>
        <w:t>助力，继而使数字要素从“使用价值”转向“价值增殖”形态。数字要素也在资本化的过程中与各产</w:t>
      </w:r>
      <w:r>
        <w:rPr>
          <w:rFonts w:hint="eastAsia" w:ascii="宋体" w:hAnsi="宋体" w:eastAsia="宋体" w:cs="宋体"/>
          <w:spacing w:val="12"/>
          <w:sz w:val="21"/>
          <w:szCs w:val="21"/>
        </w:rPr>
        <w:t>业融合发挥动能优势，带来社会财富的几何式增长。</w:t>
      </w:r>
    </w:p>
    <w:p w14:paraId="1BB57B4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r>
        <w:rPr>
          <w:rFonts w:hint="eastAsia" w:ascii="宋体" w:hAnsi="宋体" w:eastAsia="宋体" w:cs="宋体"/>
          <w:sz w:val="21"/>
          <w:szCs w:val="21"/>
        </w:rPr>
        <w:t>生产过程中的价值增殖是要素转化为资本的核心条件。数据作为数字时代</w:t>
      </w:r>
      <w:r>
        <w:rPr>
          <w:rFonts w:hint="eastAsia" w:ascii="宋体" w:hAnsi="宋体" w:eastAsia="宋体" w:cs="宋体"/>
          <w:spacing w:val="-1"/>
          <w:sz w:val="21"/>
          <w:szCs w:val="21"/>
        </w:rPr>
        <w:t>的“核心生产资</w:t>
      </w:r>
      <w:r>
        <w:rPr>
          <w:rFonts w:hint="eastAsia" w:ascii="宋体" w:hAnsi="宋体" w:eastAsia="宋体" w:cs="宋体"/>
          <w:spacing w:val="-5"/>
          <w:sz w:val="21"/>
          <w:szCs w:val="21"/>
        </w:rPr>
        <w:t>料”，其资本化是从“资源”到“核心资本”深度转化的过程。原始数据作为分散、无序</w:t>
      </w:r>
      <w:r>
        <w:rPr>
          <w:rFonts w:hint="eastAsia" w:ascii="宋体" w:hAnsi="宋体" w:eastAsia="宋体" w:cs="宋体"/>
          <w:spacing w:val="-6"/>
          <w:sz w:val="21"/>
          <w:szCs w:val="21"/>
        </w:rPr>
        <w:t>的“信息碎片”，并不能直接参与价值创造，只有通过采集、清洗、分类等过程，将其转化为结构化、可利用的</w:t>
      </w:r>
      <w:r>
        <w:rPr>
          <w:rFonts w:hint="eastAsia" w:ascii="宋体" w:hAnsi="宋体" w:eastAsia="宋体" w:cs="宋体"/>
          <w:sz w:val="21"/>
          <w:szCs w:val="21"/>
        </w:rPr>
        <w:t>“数据资源”，使其具备基础使用价值。进一步，干净数据通过精准营销、算法训练、产品优化等方</w:t>
      </w:r>
      <w:r>
        <w:rPr>
          <w:rFonts w:hint="eastAsia" w:ascii="宋体" w:hAnsi="宋体" w:eastAsia="宋体" w:cs="宋体"/>
          <w:spacing w:val="3"/>
          <w:sz w:val="21"/>
          <w:szCs w:val="21"/>
        </w:rPr>
        <w:t>式投入生产，进而在降低成本、提高效率、创新产品等方面发挥作用，</w:t>
      </w:r>
      <w:r>
        <w:rPr>
          <w:rFonts w:hint="eastAsia" w:ascii="宋体" w:hAnsi="宋体" w:eastAsia="宋体" w:cs="宋体"/>
          <w:spacing w:val="2"/>
          <w:sz w:val="21"/>
          <w:szCs w:val="21"/>
        </w:rPr>
        <w:t>实现价值增值，数据的资本化</w:t>
      </w:r>
      <w:r>
        <w:rPr>
          <w:rFonts w:hint="eastAsia" w:ascii="宋体" w:hAnsi="宋体" w:eastAsia="宋体" w:cs="宋体"/>
          <w:spacing w:val="5"/>
          <w:sz w:val="21"/>
          <w:szCs w:val="21"/>
        </w:rPr>
        <w:t>过程就此完成。算力作为一种依附于数字基</w:t>
      </w:r>
      <w:r>
        <w:rPr>
          <w:rFonts w:hint="eastAsia" w:ascii="宋体" w:hAnsi="宋体" w:eastAsia="宋体" w:cs="宋体"/>
          <w:spacing w:val="4"/>
          <w:sz w:val="21"/>
          <w:szCs w:val="21"/>
        </w:rPr>
        <w:t>础设施而存在的“技术能力”，其资本化过程是从“能</w:t>
      </w:r>
      <w:r>
        <w:rPr>
          <w:rFonts w:hint="eastAsia" w:ascii="宋体" w:hAnsi="宋体" w:eastAsia="宋体" w:cs="宋体"/>
          <w:spacing w:val="2"/>
          <w:sz w:val="21"/>
          <w:szCs w:val="21"/>
        </w:rPr>
        <w:t>力”到“流动资本”的转化过程。算力在云服务平台上成为“</w:t>
      </w:r>
      <w:r>
        <w:rPr>
          <w:rFonts w:hint="eastAsia" w:ascii="宋体" w:hAnsi="宋体" w:eastAsia="宋体" w:cs="宋体"/>
          <w:spacing w:val="1"/>
          <w:sz w:val="21"/>
          <w:szCs w:val="21"/>
        </w:rPr>
        <w:t>算力服务”后，变成可以进行交易的商</w:t>
      </w:r>
      <w:r>
        <w:rPr>
          <w:rFonts w:hint="eastAsia" w:ascii="宋体" w:hAnsi="宋体" w:eastAsia="宋体" w:cs="宋体"/>
          <w:spacing w:val="7"/>
          <w:sz w:val="21"/>
          <w:szCs w:val="21"/>
        </w:rPr>
        <w:t>品，进而在购买后，进行诸如人工智能模型训练、大数据分析等参与到生产过</w:t>
      </w:r>
      <w:r>
        <w:rPr>
          <w:rFonts w:hint="eastAsia" w:ascii="宋体" w:hAnsi="宋体" w:eastAsia="宋体" w:cs="宋体"/>
          <w:spacing w:val="6"/>
          <w:sz w:val="21"/>
          <w:szCs w:val="21"/>
        </w:rPr>
        <w:t>程，作用于产品研发、</w:t>
      </w:r>
      <w:r>
        <w:rPr>
          <w:rFonts w:hint="eastAsia" w:ascii="宋体" w:hAnsi="宋体" w:eastAsia="宋体" w:cs="宋体"/>
          <w:spacing w:val="4"/>
          <w:sz w:val="21"/>
          <w:szCs w:val="21"/>
        </w:rPr>
        <w:t>效率提升等价值创造的环节，帮助实现价值增殖。算器的资本化过程是从“工具”到“固定资本</w:t>
      </w:r>
      <w:r>
        <w:rPr>
          <w:rFonts w:hint="eastAsia" w:ascii="宋体" w:hAnsi="宋体" w:eastAsia="宋体" w:cs="宋体"/>
          <w:spacing w:val="3"/>
          <w:sz w:val="21"/>
          <w:szCs w:val="21"/>
        </w:rPr>
        <w:t>”的</w:t>
      </w:r>
      <w:r>
        <w:rPr>
          <w:rFonts w:hint="eastAsia" w:ascii="宋体" w:hAnsi="宋体" w:eastAsia="宋体" w:cs="宋体"/>
          <w:spacing w:val="-2"/>
          <w:sz w:val="21"/>
          <w:szCs w:val="21"/>
        </w:rPr>
        <w:t>直接转化过程。算器作为数字生产的物理载体，投入数字化的生产过程中，即从“普通商品”转化</w:t>
      </w:r>
      <w:r>
        <w:rPr>
          <w:rFonts w:hint="eastAsia" w:ascii="宋体" w:hAnsi="宋体" w:eastAsia="宋体" w:cs="宋体"/>
          <w:spacing w:val="9"/>
          <w:sz w:val="21"/>
          <w:szCs w:val="21"/>
        </w:rPr>
        <w:t>为固定资本，并在长期使用中逐步折旧，参与数</w:t>
      </w:r>
      <w:r>
        <w:rPr>
          <w:rFonts w:hint="eastAsia" w:ascii="宋体" w:hAnsi="宋体" w:eastAsia="宋体" w:cs="宋体"/>
          <w:spacing w:val="8"/>
          <w:sz w:val="21"/>
          <w:szCs w:val="21"/>
        </w:rPr>
        <w:t>据加工、算力输出等价值创造过程。</w:t>
      </w:r>
    </w:p>
    <w:p w14:paraId="27AF623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3"/>
          <w:sz w:val="21"/>
          <w:szCs w:val="21"/>
        </w:rPr>
        <w:t>数据、算力、算器的资本化带来了价值增殖，同时也在进行价值转移的过程中呈现出</w:t>
      </w:r>
      <w:r>
        <w:rPr>
          <w:rFonts w:hint="eastAsia" w:ascii="宋体" w:hAnsi="宋体" w:eastAsia="宋体" w:cs="宋体"/>
          <w:spacing w:val="2"/>
          <w:sz w:val="21"/>
          <w:szCs w:val="21"/>
        </w:rPr>
        <w:t>不同的特</w:t>
      </w:r>
      <w:r>
        <w:rPr>
          <w:rFonts w:hint="eastAsia" w:ascii="宋体" w:hAnsi="宋体" w:eastAsia="宋体" w:cs="宋体"/>
          <w:spacing w:val="9"/>
          <w:sz w:val="21"/>
          <w:szCs w:val="21"/>
        </w:rPr>
        <w:t>征。数字资本与不变资本的其他物质承担者一样，按照它在生产中根据价值流失程度，将价值逐</w:t>
      </w:r>
      <w:r>
        <w:rPr>
          <w:rFonts w:hint="eastAsia" w:ascii="宋体" w:hAnsi="宋体" w:eastAsia="宋体" w:cs="宋体"/>
          <w:spacing w:val="6"/>
          <w:sz w:val="21"/>
          <w:szCs w:val="21"/>
        </w:rPr>
        <w:t>步转移给产品。“劳动资料越耐用，它的损耗越缓慢，不变资本价值固定在这个使用形式上的时间</w:t>
      </w:r>
      <w:r>
        <w:rPr>
          <w:rFonts w:hint="eastAsia" w:ascii="宋体" w:hAnsi="宋体" w:eastAsia="宋体" w:cs="宋体"/>
          <w:spacing w:val="-13"/>
          <w:w w:val="92"/>
          <w:sz w:val="21"/>
          <w:szCs w:val="21"/>
        </w:rPr>
        <w:t>就越长。”</w:t>
      </w:r>
      <w:r>
        <w:rPr>
          <w:rStyle w:val="20"/>
          <w:rFonts w:hint="eastAsia" w:ascii="宋体" w:hAnsi="宋体" w:eastAsia="宋体" w:cs="宋体"/>
          <w:spacing w:val="-13"/>
          <w:w w:val="92"/>
          <w:sz w:val="21"/>
          <w:szCs w:val="21"/>
        </w:rPr>
        <w:footnoteReference w:id="1393"/>
      </w:r>
      <w:r>
        <w:rPr>
          <w:rFonts w:hint="eastAsia" w:ascii="宋体" w:hAnsi="宋体" w:eastAsia="宋体" w:cs="宋体"/>
          <w:spacing w:val="-6"/>
          <w:sz w:val="21"/>
          <w:szCs w:val="21"/>
        </w:rPr>
        <w:t>数据借助互联网和物联网的应用，在搜索、社交、媒体、交易等平</w:t>
      </w:r>
      <w:r>
        <w:rPr>
          <w:rFonts w:hint="eastAsia" w:ascii="宋体" w:hAnsi="宋体" w:eastAsia="宋体" w:cs="宋体"/>
          <w:spacing w:val="-7"/>
          <w:sz w:val="21"/>
          <w:szCs w:val="21"/>
        </w:rPr>
        <w:t>台收集，呈现出一方面</w:t>
      </w:r>
      <w:r>
        <w:rPr>
          <w:rFonts w:hint="eastAsia" w:ascii="宋体" w:hAnsi="宋体" w:eastAsia="宋体" w:cs="宋体"/>
          <w:spacing w:val="6"/>
          <w:sz w:val="21"/>
          <w:szCs w:val="21"/>
        </w:rPr>
        <w:t>随互联网不断使用而大量增长，另一方面还呈现出低消耗的特征</w:t>
      </w:r>
      <w:r>
        <w:rPr>
          <w:rFonts w:hint="eastAsia" w:ascii="宋体" w:hAnsi="宋体" w:eastAsia="宋体" w:cs="宋体"/>
          <w:spacing w:val="5"/>
          <w:sz w:val="21"/>
          <w:szCs w:val="21"/>
        </w:rPr>
        <w:t>。因此，数据具有使用周期长、可</w:t>
      </w:r>
      <w:r>
        <w:rPr>
          <w:rFonts w:hint="eastAsia" w:ascii="宋体" w:hAnsi="宋体" w:eastAsia="宋体" w:cs="宋体"/>
          <w:spacing w:val="4"/>
          <w:sz w:val="21"/>
          <w:szCs w:val="21"/>
        </w:rPr>
        <w:t>再生、大规模，并来源于网络使用、可以进行不断积累的不变资本特征。算力作为一种处理</w:t>
      </w:r>
      <w:r>
        <w:rPr>
          <w:rFonts w:hint="eastAsia" w:ascii="宋体" w:hAnsi="宋体" w:eastAsia="宋体" w:cs="宋体"/>
          <w:spacing w:val="3"/>
          <w:sz w:val="21"/>
          <w:szCs w:val="21"/>
        </w:rPr>
        <w:t>信息的</w:t>
      </w:r>
      <w:r>
        <w:rPr>
          <w:rFonts w:hint="eastAsia" w:ascii="宋体" w:hAnsi="宋体" w:eastAsia="宋体" w:cs="宋体"/>
          <w:spacing w:val="13"/>
          <w:sz w:val="21"/>
          <w:szCs w:val="21"/>
        </w:rPr>
        <w:t>能力，通过算法的应用和算器的支撑对海量数据进行高效处理。数据规模的不断扩大，</w:t>
      </w:r>
      <w:r>
        <w:rPr>
          <w:rFonts w:hint="eastAsia" w:ascii="宋体" w:hAnsi="宋体" w:eastAsia="宋体" w:cs="宋体"/>
          <w:spacing w:val="12"/>
          <w:sz w:val="21"/>
          <w:szCs w:val="21"/>
        </w:rPr>
        <w:t>产生了对</w:t>
      </w:r>
      <w:r>
        <w:rPr>
          <w:rFonts w:hint="eastAsia" w:ascii="宋体" w:hAnsi="宋体" w:eastAsia="宋体" w:cs="宋体"/>
          <w:spacing w:val="10"/>
          <w:sz w:val="21"/>
          <w:szCs w:val="21"/>
        </w:rPr>
        <w:t>算力的更高要求，同时，算力集群的效能提升远超单个芯片的物理叠加，因此算力呈现出高速迭</w:t>
      </w:r>
      <w:r>
        <w:rPr>
          <w:rFonts w:hint="eastAsia" w:ascii="宋体" w:hAnsi="宋体" w:eastAsia="宋体" w:cs="宋体"/>
          <w:spacing w:val="14"/>
          <w:sz w:val="21"/>
          <w:szCs w:val="21"/>
        </w:rPr>
        <w:t>代、无形损耗与规模效应的不变资本特征。算器作为数字建设底座，包括数字平台等非实体性要</w:t>
      </w:r>
      <w:r>
        <w:rPr>
          <w:rFonts w:hint="eastAsia" w:ascii="宋体" w:hAnsi="宋体" w:eastAsia="宋体" w:cs="宋体"/>
          <w:spacing w:val="2"/>
          <w:sz w:val="21"/>
          <w:szCs w:val="21"/>
        </w:rPr>
        <w:t>素，以及数字基站等实体性要素，存在一定程度的进入壁垒，并且具有前期投入高、维护成本较高、</w:t>
      </w:r>
      <w:r>
        <w:rPr>
          <w:rFonts w:hint="eastAsia" w:ascii="宋体" w:hAnsi="宋体" w:eastAsia="宋体" w:cs="宋体"/>
          <w:spacing w:val="9"/>
          <w:sz w:val="21"/>
          <w:szCs w:val="21"/>
        </w:rPr>
        <w:t>使用周期长、技术迭代压力大的特征。</w:t>
      </w:r>
    </w:p>
    <w:p w14:paraId="56144B1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0"/>
          <w:sz w:val="21"/>
          <w:szCs w:val="21"/>
        </w:rPr>
        <w:t>数字要素资本化进入社会再生产过程，构筑成为驱动经济增长的数字乘数引擎。数字</w:t>
      </w:r>
      <w:r>
        <w:rPr>
          <w:rFonts w:hint="eastAsia" w:ascii="宋体" w:hAnsi="宋体" w:eastAsia="宋体" w:cs="宋体"/>
          <w:spacing w:val="9"/>
          <w:sz w:val="21"/>
          <w:szCs w:val="21"/>
        </w:rPr>
        <w:t>资本的</w:t>
      </w:r>
      <w:r>
        <w:rPr>
          <w:rFonts w:hint="eastAsia" w:ascii="宋体" w:hAnsi="宋体" w:eastAsia="宋体" w:cs="宋体"/>
          <w:spacing w:val="2"/>
          <w:sz w:val="21"/>
          <w:szCs w:val="21"/>
        </w:rPr>
        <w:t>使用如同工业经济“蒸汽机”的使用，推动</w:t>
      </w:r>
      <w:r>
        <w:rPr>
          <w:rFonts w:hint="eastAsia" w:ascii="宋体" w:hAnsi="宋体" w:eastAsia="宋体" w:cs="宋体"/>
          <w:spacing w:val="1"/>
          <w:sz w:val="21"/>
          <w:szCs w:val="21"/>
        </w:rPr>
        <w:t>着社会生产的巨大变化，通过精准匹配降低交易成本、流</w:t>
      </w:r>
      <w:r>
        <w:rPr>
          <w:rFonts w:hint="eastAsia" w:ascii="宋体" w:hAnsi="宋体" w:eastAsia="宋体" w:cs="宋体"/>
          <w:spacing w:val="5"/>
          <w:sz w:val="21"/>
          <w:szCs w:val="21"/>
        </w:rPr>
        <w:t>程重构提升生产效率、智能决策优化资源配置、创新孵化催生新业态等，成为经济发展的重要推动</w:t>
      </w:r>
      <w:r>
        <w:rPr>
          <w:rFonts w:hint="eastAsia" w:ascii="宋体" w:hAnsi="宋体" w:eastAsia="宋体" w:cs="宋体"/>
          <w:spacing w:val="1"/>
          <w:sz w:val="21"/>
          <w:szCs w:val="21"/>
        </w:rPr>
        <w:t>力，带来社会财富呈几何级增长。数字资</w:t>
      </w:r>
      <w:r>
        <w:rPr>
          <w:rFonts w:hint="eastAsia" w:ascii="宋体" w:hAnsi="宋体" w:eastAsia="宋体" w:cs="宋体"/>
          <w:sz w:val="21"/>
          <w:szCs w:val="21"/>
        </w:rPr>
        <w:t>本在与农业、工业、服务业和全球贸易的融合中不断形成</w:t>
      </w:r>
      <w:r>
        <w:rPr>
          <w:rFonts w:hint="eastAsia" w:ascii="宋体" w:hAnsi="宋体" w:eastAsia="宋体" w:cs="宋体"/>
          <w:spacing w:val="10"/>
          <w:sz w:val="21"/>
          <w:szCs w:val="21"/>
        </w:rPr>
        <w:t>新的产业发展模式和国际贸易方式</w:t>
      </w:r>
      <w:r>
        <w:rPr>
          <w:rFonts w:hint="eastAsia" w:ascii="宋体" w:hAnsi="宋体" w:eastAsia="宋体" w:cs="宋体"/>
          <w:spacing w:val="10"/>
          <w:position w:val="1"/>
          <w:sz w:val="21"/>
          <w:szCs w:val="21"/>
        </w:rPr>
        <w:t>。</w:t>
      </w:r>
      <w:r>
        <w:rPr>
          <w:rFonts w:hint="eastAsia" w:ascii="宋体" w:hAnsi="宋体" w:eastAsia="宋体" w:cs="宋体"/>
          <w:spacing w:val="10"/>
          <w:sz w:val="21"/>
          <w:szCs w:val="21"/>
        </w:rPr>
        <w:t>以算法为基础的</w:t>
      </w:r>
      <w:r>
        <w:rPr>
          <w:rFonts w:hint="eastAsia" w:ascii="宋体" w:hAnsi="宋体" w:eastAsia="宋体" w:cs="宋体"/>
          <w:sz w:val="21"/>
          <w:szCs w:val="21"/>
        </w:rPr>
        <w:t>AI</w:t>
      </w:r>
      <w:r>
        <w:rPr>
          <w:rFonts w:hint="eastAsia" w:ascii="宋体" w:hAnsi="宋体" w:eastAsia="宋体" w:cs="宋体"/>
          <w:spacing w:val="10"/>
          <w:sz w:val="21"/>
          <w:szCs w:val="21"/>
        </w:rPr>
        <w:t>技术快速驱动</w:t>
      </w:r>
      <w:r>
        <w:rPr>
          <w:rFonts w:hint="eastAsia" w:ascii="宋体" w:hAnsi="宋体" w:eastAsia="宋体" w:cs="宋体"/>
          <w:spacing w:val="9"/>
          <w:sz w:val="21"/>
          <w:szCs w:val="21"/>
        </w:rPr>
        <w:t>着生产技术</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生产流程</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生</w:t>
      </w:r>
      <w:r>
        <w:rPr>
          <w:rFonts w:hint="eastAsia" w:ascii="宋体" w:hAnsi="宋体" w:eastAsia="宋体" w:cs="宋体"/>
          <w:spacing w:val="4"/>
          <w:sz w:val="21"/>
          <w:szCs w:val="21"/>
        </w:rPr>
        <w:t>产效率、资本消耗、产品质量的提升。数字基础设施搭建起的网络平台，保障了数字经济与实体经</w:t>
      </w:r>
      <w:r>
        <w:rPr>
          <w:rFonts w:hint="eastAsia" w:ascii="宋体" w:hAnsi="宋体" w:eastAsia="宋体" w:cs="宋体"/>
          <w:spacing w:val="9"/>
          <w:sz w:val="21"/>
          <w:szCs w:val="21"/>
        </w:rPr>
        <w:t>济的深度融合，金融、医疗、制造业、农业等领域通过数字技术和数据应用加强了各市场主体间的</w:t>
      </w:r>
      <w:r>
        <w:rPr>
          <w:rFonts w:hint="eastAsia" w:ascii="宋体" w:hAnsi="宋体" w:eastAsia="宋体" w:cs="宋体"/>
          <w:spacing w:val="13"/>
          <w:sz w:val="21"/>
          <w:szCs w:val="21"/>
        </w:rPr>
        <w:t>交流方式，线上资源的应用以及智能机器人的使用，极大地增加了流通领域便利性和生产过程的</w:t>
      </w:r>
      <w:r>
        <w:rPr>
          <w:rFonts w:hint="eastAsia" w:ascii="宋体" w:hAnsi="宋体" w:eastAsia="宋体" w:cs="宋体"/>
          <w:spacing w:val="-5"/>
          <w:sz w:val="21"/>
          <w:szCs w:val="21"/>
        </w:rPr>
        <w:t>效率</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根据</w:t>
      </w:r>
      <w:r>
        <w:rPr>
          <w:rFonts w:hint="eastAsia" w:ascii="宋体" w:hAnsi="宋体" w:eastAsia="宋体" w:cs="宋体"/>
          <w:spacing w:val="-5"/>
          <w:position w:val="-1"/>
          <w:sz w:val="21"/>
          <w:szCs w:val="21"/>
        </w:rPr>
        <w:t>2023</w:t>
      </w:r>
      <w:r>
        <w:rPr>
          <w:rFonts w:hint="eastAsia" w:ascii="宋体" w:hAnsi="宋体" w:eastAsia="宋体" w:cs="宋体"/>
          <w:spacing w:val="-5"/>
          <w:sz w:val="21"/>
          <w:szCs w:val="21"/>
        </w:rPr>
        <w:t>年中国数字经济报告</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高技术制造业</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高技术服务业投资增长分别为</w:t>
      </w:r>
      <w:r>
        <w:rPr>
          <w:rFonts w:hint="eastAsia" w:ascii="宋体" w:hAnsi="宋体" w:eastAsia="宋体" w:cs="宋体"/>
          <w:spacing w:val="-5"/>
          <w:position w:val="-1"/>
          <w:sz w:val="21"/>
          <w:szCs w:val="21"/>
        </w:rPr>
        <w:t>9.9%和</w:t>
      </w:r>
      <w:r>
        <w:rPr>
          <w:rFonts w:hint="eastAsia" w:ascii="宋体" w:hAnsi="宋体" w:eastAsia="宋体" w:cs="宋体"/>
          <w:spacing w:val="3"/>
          <w:position w:val="-1"/>
          <w:sz w:val="21"/>
          <w:szCs w:val="21"/>
        </w:rPr>
        <w:t>11.4%</w:t>
      </w:r>
      <w:r>
        <w:rPr>
          <w:rFonts w:hint="eastAsia" w:ascii="宋体" w:hAnsi="宋体" w:eastAsia="宋体" w:cs="宋体"/>
          <w:spacing w:val="3"/>
          <w:sz w:val="21"/>
          <w:szCs w:val="21"/>
        </w:rPr>
        <w:t>；我国关键工序数控化率和数字化研发设计工具普及率达到了</w:t>
      </w:r>
      <w:r>
        <w:rPr>
          <w:rFonts w:hint="eastAsia" w:ascii="宋体" w:hAnsi="宋体" w:eastAsia="宋体" w:cs="宋体"/>
          <w:spacing w:val="3"/>
          <w:position w:val="-1"/>
          <w:sz w:val="21"/>
          <w:szCs w:val="21"/>
        </w:rPr>
        <w:t>62.</w:t>
      </w:r>
      <w:r>
        <w:rPr>
          <w:rFonts w:hint="eastAsia" w:ascii="宋体" w:hAnsi="宋体" w:eastAsia="宋体" w:cs="宋体"/>
          <w:spacing w:val="3"/>
          <w:sz w:val="21"/>
          <w:szCs w:val="21"/>
        </w:rPr>
        <w:t>2%和</w:t>
      </w:r>
      <w:r>
        <w:rPr>
          <w:rFonts w:hint="eastAsia" w:ascii="宋体" w:hAnsi="宋体" w:eastAsia="宋体" w:cs="宋体"/>
          <w:spacing w:val="3"/>
          <w:position w:val="-1"/>
          <w:sz w:val="21"/>
          <w:szCs w:val="21"/>
        </w:rPr>
        <w:t>79.9%</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较</w:t>
      </w:r>
      <w:r>
        <w:rPr>
          <w:rFonts w:hint="eastAsia" w:ascii="宋体" w:hAnsi="宋体" w:eastAsia="宋体" w:cs="宋体"/>
          <w:spacing w:val="3"/>
          <w:position w:val="-1"/>
          <w:sz w:val="21"/>
          <w:szCs w:val="21"/>
        </w:rPr>
        <w:t>2019</w:t>
      </w:r>
      <w:r>
        <w:rPr>
          <w:rFonts w:hint="eastAsia" w:ascii="宋体" w:hAnsi="宋体" w:eastAsia="宋体" w:cs="宋体"/>
          <w:spacing w:val="3"/>
          <w:sz w:val="21"/>
          <w:szCs w:val="21"/>
        </w:rPr>
        <w:t>年</w:t>
      </w:r>
      <w:r>
        <w:rPr>
          <w:rFonts w:hint="eastAsia" w:ascii="宋体" w:hAnsi="宋体" w:eastAsia="宋体" w:cs="宋体"/>
          <w:spacing w:val="2"/>
          <w:sz w:val="21"/>
          <w:szCs w:val="21"/>
        </w:rPr>
        <w:t>提升了</w:t>
      </w:r>
      <w:r>
        <w:rPr>
          <w:rFonts w:hint="eastAsia" w:ascii="宋体" w:hAnsi="宋体" w:eastAsia="宋体" w:cs="宋体"/>
          <w:spacing w:val="2"/>
          <w:position w:val="-1"/>
          <w:sz w:val="21"/>
          <w:szCs w:val="21"/>
        </w:rPr>
        <w:t>12.</w:t>
      </w:r>
      <w:r>
        <w:rPr>
          <w:rFonts w:hint="eastAsia" w:ascii="宋体" w:hAnsi="宋体" w:eastAsia="宋体" w:cs="宋体"/>
          <w:spacing w:val="2"/>
          <w:sz w:val="21"/>
          <w:szCs w:val="21"/>
        </w:rPr>
        <w:t>1%和</w:t>
      </w:r>
      <w:r>
        <w:rPr>
          <w:rFonts w:hint="eastAsia" w:ascii="宋体" w:hAnsi="宋体" w:eastAsia="宋体" w:cs="宋体"/>
          <w:spacing w:val="2"/>
          <w:position w:val="-1"/>
          <w:sz w:val="21"/>
          <w:szCs w:val="21"/>
        </w:rPr>
        <w:t>9.4%</w:t>
      </w:r>
      <w:r>
        <w:rPr>
          <w:rFonts w:hint="eastAsia" w:ascii="宋体" w:hAnsi="宋体" w:eastAsia="宋体" w:cs="宋体"/>
          <w:spacing w:val="2"/>
          <w:sz w:val="21"/>
          <w:szCs w:val="21"/>
        </w:rPr>
        <w:t>；数字化生产性服务业增加值从</w:t>
      </w:r>
      <w:r>
        <w:rPr>
          <w:rFonts w:hint="eastAsia" w:ascii="宋体" w:hAnsi="宋体" w:eastAsia="宋体" w:cs="宋体"/>
          <w:spacing w:val="2"/>
          <w:position w:val="-1"/>
          <w:sz w:val="21"/>
          <w:szCs w:val="21"/>
        </w:rPr>
        <w:t>2019</w:t>
      </w:r>
      <w:r>
        <w:rPr>
          <w:rFonts w:hint="eastAsia" w:ascii="宋体" w:hAnsi="宋体" w:eastAsia="宋体" w:cs="宋体"/>
          <w:spacing w:val="2"/>
          <w:sz w:val="21"/>
          <w:szCs w:val="21"/>
        </w:rPr>
        <w:t>年的</w:t>
      </w:r>
      <w:r>
        <w:rPr>
          <w:rFonts w:hint="eastAsia" w:ascii="宋体" w:hAnsi="宋体" w:eastAsia="宋体" w:cs="宋体"/>
          <w:spacing w:val="2"/>
          <w:position w:val="-1"/>
          <w:sz w:val="21"/>
          <w:szCs w:val="21"/>
        </w:rPr>
        <w:t>15.1</w:t>
      </w:r>
      <w:r>
        <w:rPr>
          <w:rFonts w:hint="eastAsia" w:ascii="宋体" w:hAnsi="宋体" w:eastAsia="宋体" w:cs="宋体"/>
          <w:spacing w:val="2"/>
          <w:sz w:val="21"/>
          <w:szCs w:val="21"/>
        </w:rPr>
        <w:t>万亿增加至</w:t>
      </w:r>
      <w:r>
        <w:rPr>
          <w:rFonts w:hint="eastAsia" w:ascii="宋体" w:hAnsi="宋体" w:eastAsia="宋体" w:cs="宋体"/>
          <w:spacing w:val="2"/>
          <w:position w:val="-1"/>
          <w:sz w:val="21"/>
          <w:szCs w:val="21"/>
        </w:rPr>
        <w:t>20</w:t>
      </w:r>
      <w:r>
        <w:rPr>
          <w:rFonts w:hint="eastAsia" w:ascii="宋体" w:hAnsi="宋体" w:eastAsia="宋体" w:cs="宋体"/>
          <w:spacing w:val="1"/>
          <w:position w:val="-1"/>
          <w:sz w:val="21"/>
          <w:szCs w:val="21"/>
        </w:rPr>
        <w:t>23</w:t>
      </w:r>
      <w:r>
        <w:rPr>
          <w:rFonts w:hint="eastAsia" w:ascii="宋体" w:hAnsi="宋体" w:eastAsia="宋体" w:cs="宋体"/>
          <w:spacing w:val="1"/>
          <w:sz w:val="21"/>
          <w:szCs w:val="21"/>
        </w:rPr>
        <w:t>年的</w:t>
      </w:r>
      <w:r>
        <w:rPr>
          <w:rFonts w:hint="eastAsia" w:ascii="宋体" w:hAnsi="宋体" w:eastAsia="宋体" w:cs="宋体"/>
          <w:spacing w:val="1"/>
          <w:position w:val="-1"/>
          <w:sz w:val="21"/>
          <w:szCs w:val="21"/>
        </w:rPr>
        <w:t>21.2</w:t>
      </w:r>
      <w:r>
        <w:rPr>
          <w:rFonts w:hint="eastAsia" w:ascii="宋体" w:hAnsi="宋体" w:eastAsia="宋体" w:cs="宋体"/>
          <w:spacing w:val="10"/>
          <w:sz w:val="21"/>
          <w:szCs w:val="21"/>
        </w:rPr>
        <w:t>万亿</w:t>
      </w:r>
      <w:r>
        <w:rPr>
          <w:rFonts w:hint="eastAsia" w:ascii="宋体" w:hAnsi="宋体" w:eastAsia="宋体" w:cs="宋体"/>
          <w:spacing w:val="10"/>
          <w:position w:val="1"/>
          <w:sz w:val="21"/>
          <w:szCs w:val="21"/>
        </w:rPr>
        <w:t>，</w:t>
      </w:r>
      <w:r>
        <w:rPr>
          <w:rFonts w:hint="eastAsia" w:ascii="宋体" w:hAnsi="宋体" w:eastAsia="宋体" w:cs="宋体"/>
          <w:spacing w:val="10"/>
          <w:sz w:val="21"/>
          <w:szCs w:val="21"/>
        </w:rPr>
        <w:t>占服务业增加值比重的</w:t>
      </w:r>
      <w:r>
        <w:rPr>
          <w:rFonts w:hint="eastAsia" w:ascii="宋体" w:hAnsi="宋体" w:eastAsia="宋体" w:cs="宋体"/>
          <w:spacing w:val="10"/>
          <w:position w:val="-1"/>
          <w:sz w:val="21"/>
          <w:szCs w:val="21"/>
        </w:rPr>
        <w:t>31%</w:t>
      </w:r>
      <w:r>
        <w:rPr>
          <w:rFonts w:hint="eastAsia" w:ascii="宋体" w:hAnsi="宋体" w:eastAsia="宋体" w:cs="宋体"/>
          <w:spacing w:val="10"/>
          <w:sz w:val="21"/>
          <w:szCs w:val="21"/>
        </w:rPr>
        <w:t>；农业科技进步贡献率超过</w:t>
      </w:r>
      <w:r>
        <w:rPr>
          <w:rFonts w:hint="eastAsia" w:ascii="宋体" w:hAnsi="宋体" w:eastAsia="宋体" w:cs="宋体"/>
          <w:spacing w:val="10"/>
          <w:position w:val="-1"/>
          <w:sz w:val="21"/>
          <w:szCs w:val="21"/>
        </w:rPr>
        <w:t>63</w:t>
      </w:r>
      <w:r>
        <w:rPr>
          <w:rFonts w:hint="eastAsia" w:ascii="宋体" w:hAnsi="宋体" w:eastAsia="宋体" w:cs="宋体"/>
          <w:spacing w:val="9"/>
          <w:position w:val="-1"/>
          <w:sz w:val="21"/>
          <w:szCs w:val="21"/>
        </w:rPr>
        <w:t>%</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全国农作物耕种收综合机械化</w:t>
      </w:r>
      <w:r>
        <w:rPr>
          <w:rFonts w:hint="eastAsia" w:ascii="宋体" w:hAnsi="宋体" w:eastAsia="宋体" w:cs="宋体"/>
          <w:spacing w:val="3"/>
          <w:sz w:val="21"/>
          <w:szCs w:val="21"/>
        </w:rPr>
        <w:t>率超过</w:t>
      </w:r>
      <w:r>
        <w:rPr>
          <w:rFonts w:hint="eastAsia" w:ascii="宋体" w:hAnsi="宋体" w:eastAsia="宋体" w:cs="宋体"/>
          <w:spacing w:val="3"/>
          <w:position w:val="-1"/>
          <w:sz w:val="21"/>
          <w:szCs w:val="21"/>
        </w:rPr>
        <w:t>73%</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农村网络零售额达到</w:t>
      </w:r>
      <w:r>
        <w:rPr>
          <w:rFonts w:hint="eastAsia" w:ascii="宋体" w:hAnsi="宋体" w:eastAsia="宋体" w:cs="宋体"/>
          <w:spacing w:val="3"/>
          <w:position w:val="-1"/>
          <w:sz w:val="21"/>
          <w:szCs w:val="21"/>
        </w:rPr>
        <w:t>2.49</w:t>
      </w:r>
      <w:r>
        <w:rPr>
          <w:rFonts w:hint="eastAsia" w:ascii="宋体" w:hAnsi="宋体" w:eastAsia="宋体" w:cs="宋体"/>
          <w:spacing w:val="3"/>
          <w:sz w:val="21"/>
          <w:szCs w:val="21"/>
        </w:rPr>
        <w:t>万亿</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数字化在一二三产业间的融合持续深入</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并不断</w:t>
      </w:r>
      <w:r>
        <w:rPr>
          <w:rFonts w:hint="eastAsia" w:ascii="宋体" w:hAnsi="宋体" w:eastAsia="宋体" w:cs="宋体"/>
          <w:spacing w:val="5"/>
          <w:sz w:val="21"/>
          <w:szCs w:val="21"/>
        </w:rPr>
        <w:t>加强</w:t>
      </w:r>
      <w:r>
        <w:rPr>
          <w:rStyle w:val="20"/>
          <w:rFonts w:hint="eastAsia" w:ascii="宋体" w:hAnsi="宋体" w:eastAsia="宋体" w:cs="宋体"/>
          <w:spacing w:val="5"/>
          <w:sz w:val="21"/>
          <w:szCs w:val="21"/>
        </w:rPr>
        <w:footnoteReference w:id="1394"/>
      </w:r>
      <w:r>
        <w:rPr>
          <w:rFonts w:hint="eastAsia" w:ascii="宋体" w:hAnsi="宋体" w:eastAsia="宋体" w:cs="宋体"/>
          <w:spacing w:val="5"/>
          <w:sz w:val="21"/>
          <w:szCs w:val="21"/>
        </w:rPr>
        <w:t>。</w:t>
      </w:r>
    </w:p>
    <w:p w14:paraId="6314F2A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textAlignment w:val="baseline"/>
        <w:outlineLvl w:val="9"/>
        <w:rPr>
          <w:rFonts w:hint="eastAsia" w:ascii="宋体" w:hAnsi="宋体" w:eastAsia="宋体" w:cs="宋体"/>
          <w:b/>
          <w:bCs/>
          <w:sz w:val="21"/>
          <w:szCs w:val="21"/>
        </w:rPr>
      </w:pPr>
      <w:r>
        <w:rPr>
          <w:rFonts w:hint="eastAsia" w:ascii="宋体" w:hAnsi="宋体" w:eastAsia="宋体" w:cs="宋体"/>
          <w:b/>
          <w:bCs/>
          <w:spacing w:val="7"/>
          <w:sz w:val="21"/>
          <w:szCs w:val="21"/>
        </w:rPr>
        <w:t>（三）资本化进程的社会表现：劳动力市场的重塑</w:t>
      </w:r>
    </w:p>
    <w:p w14:paraId="7A4F31C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数字要素资本化不仅包含着经济的增殖过程，也蕴含着对社会结构的重塑，其中劳动力市场</w:t>
      </w:r>
      <w:r>
        <w:rPr>
          <w:rFonts w:hint="eastAsia" w:ascii="宋体" w:hAnsi="宋体" w:eastAsia="宋体" w:cs="宋体"/>
          <w:spacing w:val="12"/>
          <w:sz w:val="21"/>
          <w:szCs w:val="21"/>
        </w:rPr>
        <w:t>的变革最为直接和深刻。这种对劳动力市场的重塑</w:t>
      </w:r>
      <w:r>
        <w:rPr>
          <w:rFonts w:hint="eastAsia" w:ascii="宋体" w:hAnsi="宋体" w:eastAsia="宋体" w:cs="宋体"/>
          <w:spacing w:val="11"/>
          <w:sz w:val="21"/>
          <w:szCs w:val="21"/>
        </w:rPr>
        <w:t>主要表现在劳动力供需格局的极化，以及资本</w:t>
      </w:r>
      <w:r>
        <w:rPr>
          <w:rFonts w:hint="eastAsia" w:ascii="宋体" w:hAnsi="宋体" w:eastAsia="宋体" w:cs="宋体"/>
          <w:spacing w:val="16"/>
          <w:sz w:val="21"/>
          <w:szCs w:val="21"/>
        </w:rPr>
        <w:t>与劳动结合方式的深刻变化。</w:t>
      </w:r>
    </w:p>
    <w:p w14:paraId="0697407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0"/>
          <w:sz w:val="21"/>
          <w:szCs w:val="21"/>
        </w:rPr>
        <w:t>数字资本的有效使用依赖于复杂劳动的应用，对数字技能的极致追求导致劳动</w:t>
      </w:r>
      <w:r>
        <w:rPr>
          <w:rFonts w:hint="eastAsia" w:ascii="宋体" w:hAnsi="宋体" w:eastAsia="宋体" w:cs="宋体"/>
          <w:spacing w:val="9"/>
          <w:sz w:val="21"/>
          <w:szCs w:val="21"/>
        </w:rPr>
        <w:t>力需求的结构</w:t>
      </w:r>
      <w:r>
        <w:rPr>
          <w:rFonts w:hint="eastAsia" w:ascii="宋体" w:hAnsi="宋体" w:eastAsia="宋体" w:cs="宋体"/>
          <w:spacing w:val="7"/>
          <w:sz w:val="21"/>
          <w:szCs w:val="21"/>
        </w:rPr>
        <w:t>性极化，一极是对高技能数字劳动者的扩张性需求，另一极是对中低技能劳动者的摒弃，进而形成</w:t>
      </w:r>
      <w:r>
        <w:rPr>
          <w:rFonts w:hint="eastAsia" w:ascii="宋体" w:hAnsi="宋体" w:eastAsia="宋体" w:cs="宋体"/>
          <w:spacing w:val="2"/>
          <w:sz w:val="21"/>
          <w:szCs w:val="21"/>
        </w:rPr>
        <w:t>了高技能“创造”与中低技能“替代”的双重效应，重构</w:t>
      </w:r>
      <w:r>
        <w:rPr>
          <w:rFonts w:hint="eastAsia" w:ascii="宋体" w:hAnsi="宋体" w:eastAsia="宋体" w:cs="宋体"/>
          <w:spacing w:val="1"/>
          <w:sz w:val="21"/>
          <w:szCs w:val="21"/>
        </w:rPr>
        <w:t>劳动力供需结构。对高技能数字劳动者扩张</w:t>
      </w:r>
      <w:r>
        <w:rPr>
          <w:rFonts w:hint="eastAsia" w:ascii="宋体" w:hAnsi="宋体" w:eastAsia="宋体" w:cs="宋体"/>
          <w:spacing w:val="8"/>
          <w:sz w:val="21"/>
          <w:szCs w:val="21"/>
        </w:rPr>
        <w:t>性需求方面，数字资本的有效运行高度依赖对</w:t>
      </w:r>
      <w:r>
        <w:rPr>
          <w:rFonts w:hint="eastAsia" w:ascii="宋体" w:hAnsi="宋体" w:eastAsia="宋体" w:cs="宋体"/>
          <w:spacing w:val="7"/>
          <w:sz w:val="21"/>
          <w:szCs w:val="21"/>
        </w:rPr>
        <w:t>复杂劳动的应用。对数据处理、算力提升、算法应用、算器设计等高技能数字人才，以及在传统产业数字化转型、数字金融服务、数字社会治</w:t>
      </w:r>
      <w:r>
        <w:rPr>
          <w:rFonts w:hint="eastAsia" w:ascii="宋体" w:hAnsi="宋体" w:eastAsia="宋体" w:cs="宋体"/>
          <w:spacing w:val="6"/>
          <w:sz w:val="21"/>
          <w:szCs w:val="21"/>
        </w:rPr>
        <w:t>理等方面也需要大量数字化人才进行应用</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管理和维护</w:t>
      </w:r>
      <w:r>
        <w:rPr>
          <w:rFonts w:hint="eastAsia" w:ascii="宋体" w:hAnsi="宋体" w:eastAsia="宋体" w:cs="宋体"/>
          <w:spacing w:val="6"/>
          <w:position w:val="1"/>
          <w:sz w:val="21"/>
          <w:szCs w:val="21"/>
        </w:rPr>
        <w:t>。</w:t>
      </w:r>
      <w:r>
        <w:rPr>
          <w:rFonts w:hint="eastAsia" w:ascii="宋体" w:hAnsi="宋体" w:eastAsia="宋体" w:cs="宋体"/>
          <w:spacing w:val="6"/>
          <w:position w:val="-1"/>
          <w:sz w:val="21"/>
          <w:szCs w:val="21"/>
        </w:rPr>
        <w:t>2023</w:t>
      </w:r>
      <w:r>
        <w:rPr>
          <w:rFonts w:hint="eastAsia" w:ascii="宋体" w:hAnsi="宋体" w:eastAsia="宋体" w:cs="宋体"/>
          <w:spacing w:val="6"/>
          <w:sz w:val="21"/>
          <w:szCs w:val="21"/>
        </w:rPr>
        <w:t>年我国人工智能人才供需比低至</w:t>
      </w:r>
      <w:r>
        <w:rPr>
          <w:rFonts w:hint="eastAsia" w:ascii="宋体" w:hAnsi="宋体" w:eastAsia="宋体" w:cs="宋体"/>
          <w:spacing w:val="6"/>
          <w:position w:val="-1"/>
          <w:sz w:val="21"/>
          <w:szCs w:val="21"/>
        </w:rPr>
        <w:t>0.39</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相</w:t>
      </w:r>
      <w:r>
        <w:rPr>
          <w:rFonts w:hint="eastAsia" w:ascii="宋体" w:hAnsi="宋体" w:eastAsia="宋体" w:cs="宋体"/>
          <w:spacing w:val="-7"/>
          <w:sz w:val="21"/>
          <w:szCs w:val="21"/>
        </w:rPr>
        <w:t>当于</w:t>
      </w:r>
      <w:r>
        <w:rPr>
          <w:rFonts w:hint="eastAsia" w:ascii="宋体" w:hAnsi="宋体" w:eastAsia="宋体" w:cs="宋体"/>
          <w:spacing w:val="-7"/>
          <w:position w:val="-1"/>
          <w:sz w:val="21"/>
          <w:szCs w:val="21"/>
        </w:rPr>
        <w:t>5</w:t>
      </w:r>
      <w:r>
        <w:rPr>
          <w:rFonts w:hint="eastAsia" w:ascii="宋体" w:hAnsi="宋体" w:eastAsia="宋体" w:cs="宋体"/>
          <w:spacing w:val="-7"/>
          <w:sz w:val="21"/>
          <w:szCs w:val="21"/>
        </w:rPr>
        <w:t>个岗位争夺</w:t>
      </w:r>
      <w:r>
        <w:rPr>
          <w:rFonts w:hint="eastAsia" w:ascii="宋体" w:hAnsi="宋体" w:eastAsia="宋体" w:cs="宋体"/>
          <w:spacing w:val="-7"/>
          <w:position w:val="-1"/>
          <w:sz w:val="21"/>
          <w:szCs w:val="21"/>
        </w:rPr>
        <w:t>2</w:t>
      </w:r>
      <w:r>
        <w:rPr>
          <w:rFonts w:hint="eastAsia" w:ascii="宋体" w:hAnsi="宋体" w:eastAsia="宋体" w:cs="宋体"/>
          <w:spacing w:val="-7"/>
          <w:sz w:val="21"/>
          <w:szCs w:val="21"/>
        </w:rPr>
        <w:t>个人才</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其中</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算法</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自然语言处理</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机器学习等方面的工程</w:t>
      </w:r>
      <w:r>
        <w:rPr>
          <w:rFonts w:hint="eastAsia" w:ascii="宋体" w:hAnsi="宋体" w:eastAsia="宋体" w:cs="宋体"/>
          <w:spacing w:val="-8"/>
          <w:sz w:val="21"/>
          <w:szCs w:val="21"/>
        </w:rPr>
        <w:t>师成为紧需人</w:t>
      </w:r>
      <w:r>
        <w:rPr>
          <w:rFonts w:hint="eastAsia" w:ascii="宋体" w:hAnsi="宋体" w:eastAsia="宋体" w:cs="宋体"/>
          <w:spacing w:val="12"/>
          <w:sz w:val="21"/>
          <w:szCs w:val="21"/>
        </w:rPr>
        <w:t>才</w:t>
      </w:r>
      <w:r>
        <w:rPr>
          <w:rStyle w:val="20"/>
          <w:rFonts w:hint="eastAsia" w:ascii="宋体" w:hAnsi="宋体" w:eastAsia="宋体" w:cs="宋体"/>
          <w:spacing w:val="-20"/>
          <w:sz w:val="21"/>
          <w:szCs w:val="21"/>
        </w:rPr>
        <w:footnoteReference w:id="1395"/>
      </w:r>
      <w:r>
        <w:rPr>
          <w:rFonts w:hint="eastAsia" w:ascii="宋体" w:hAnsi="宋体" w:eastAsia="宋体" w:cs="宋体"/>
          <w:spacing w:val="12"/>
          <w:sz w:val="21"/>
          <w:szCs w:val="21"/>
        </w:rPr>
        <w:t>。对中低技能劳动者挤压方面，数字资本凭借强大的自动化</w:t>
      </w:r>
      <w:r>
        <w:rPr>
          <w:rFonts w:hint="eastAsia" w:ascii="宋体" w:hAnsi="宋体" w:eastAsia="宋体" w:cs="宋体"/>
          <w:spacing w:val="11"/>
          <w:sz w:val="21"/>
          <w:szCs w:val="21"/>
        </w:rPr>
        <w:t>与智能化能力，系统性替代标准</w:t>
      </w:r>
      <w:r>
        <w:rPr>
          <w:rFonts w:hint="eastAsia" w:ascii="宋体" w:hAnsi="宋体" w:eastAsia="宋体" w:cs="宋体"/>
          <w:spacing w:val="4"/>
          <w:sz w:val="21"/>
          <w:szCs w:val="21"/>
        </w:rPr>
        <w:t>化、程序化、可编码的常规性简单劳动。智能化应用使普通劳动成为“没有任何专长的普</w:t>
      </w:r>
      <w:r>
        <w:rPr>
          <w:rFonts w:hint="eastAsia" w:ascii="宋体" w:hAnsi="宋体" w:eastAsia="宋体" w:cs="宋体"/>
          <w:spacing w:val="3"/>
          <w:sz w:val="21"/>
          <w:szCs w:val="21"/>
        </w:rPr>
        <w:t>通人的机</w:t>
      </w:r>
      <w:r>
        <w:rPr>
          <w:rFonts w:hint="eastAsia" w:ascii="宋体" w:hAnsi="宋体" w:eastAsia="宋体" w:cs="宋体"/>
          <w:spacing w:val="1"/>
          <w:sz w:val="21"/>
          <w:szCs w:val="21"/>
        </w:rPr>
        <w:t>体平均具有的简单劳动力的耗费</w:t>
      </w:r>
      <w:r>
        <w:rPr>
          <w:rFonts w:hint="eastAsia" w:ascii="宋体" w:hAnsi="宋体" w:eastAsia="宋体" w:cs="宋体"/>
          <w:spacing w:val="1"/>
          <w:position w:val="4"/>
          <w:sz w:val="21"/>
          <w:szCs w:val="21"/>
        </w:rPr>
        <w:t>”</w:t>
      </w:r>
      <w:r>
        <w:rPr>
          <w:rStyle w:val="20"/>
          <w:rFonts w:hint="eastAsia" w:ascii="宋体" w:hAnsi="宋体" w:eastAsia="宋体" w:cs="宋体"/>
          <w:spacing w:val="1"/>
          <w:position w:val="4"/>
          <w:sz w:val="21"/>
          <w:szCs w:val="21"/>
        </w:rPr>
        <w:footnoteReference w:id="1396"/>
      </w:r>
      <w:r>
        <w:rPr>
          <w:rFonts w:hint="eastAsia" w:ascii="宋体" w:hAnsi="宋体" w:eastAsia="宋体" w:cs="宋体"/>
          <w:spacing w:val="1"/>
          <w:sz w:val="21"/>
          <w:szCs w:val="21"/>
        </w:rPr>
        <w:t>,逐渐被人工智能所取代，“机器‘</w:t>
      </w:r>
      <w:r>
        <w:rPr>
          <w:rFonts w:hint="eastAsia" w:ascii="宋体" w:hAnsi="宋体" w:eastAsia="宋体" w:cs="宋体"/>
          <w:sz w:val="21"/>
          <w:szCs w:val="21"/>
        </w:rPr>
        <w:t>解放’了劳动力却又成为工人</w:t>
      </w:r>
      <w:r>
        <w:rPr>
          <w:rFonts w:hint="eastAsia" w:ascii="宋体" w:hAnsi="宋体" w:eastAsia="宋体" w:cs="宋体"/>
          <w:spacing w:val="-14"/>
          <w:sz w:val="21"/>
          <w:szCs w:val="21"/>
        </w:rPr>
        <w:t>的‘新主人’，创造了新岗位却又‘排挤工人’”</w:t>
      </w:r>
      <w:r>
        <w:rPr>
          <w:rStyle w:val="20"/>
          <w:rFonts w:hint="eastAsia" w:ascii="宋体" w:hAnsi="宋体" w:eastAsia="宋体" w:cs="宋体"/>
          <w:spacing w:val="-14"/>
          <w:sz w:val="21"/>
          <w:szCs w:val="21"/>
        </w:rPr>
        <w:footnoteReference w:id="1397"/>
      </w:r>
      <w:r>
        <w:rPr>
          <w:rFonts w:hint="eastAsia" w:ascii="宋体" w:hAnsi="宋体" w:eastAsia="宋体" w:cs="宋体"/>
          <w:spacing w:val="-3"/>
          <w:sz w:val="21"/>
          <w:szCs w:val="21"/>
        </w:rPr>
        <w:t>。进一步，受制于简单重复性劳动岗位</w:t>
      </w:r>
      <w:r>
        <w:rPr>
          <w:rFonts w:hint="eastAsia" w:ascii="宋体" w:hAnsi="宋体" w:eastAsia="宋体" w:cs="宋体"/>
          <w:spacing w:val="-4"/>
          <w:sz w:val="21"/>
          <w:szCs w:val="21"/>
        </w:rPr>
        <w:t>的减少，劳动</w:t>
      </w:r>
      <w:r>
        <w:rPr>
          <w:rFonts w:hint="eastAsia" w:ascii="宋体" w:hAnsi="宋体" w:eastAsia="宋体" w:cs="宋体"/>
          <w:spacing w:val="8"/>
          <w:sz w:val="21"/>
          <w:szCs w:val="21"/>
        </w:rPr>
        <w:t>者规模的扩大</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相对过剩人口的出现必然导致工资水平的下降</w:t>
      </w:r>
      <w:r>
        <w:rPr>
          <w:rFonts w:hint="eastAsia" w:ascii="宋体" w:hAnsi="宋体" w:eastAsia="宋体" w:cs="宋体"/>
          <w:spacing w:val="8"/>
          <w:position w:val="1"/>
          <w:sz w:val="21"/>
          <w:szCs w:val="21"/>
        </w:rPr>
        <w:t>。</w:t>
      </w:r>
      <w:r>
        <w:rPr>
          <w:rFonts w:hint="eastAsia" w:ascii="宋体" w:hAnsi="宋体" w:eastAsia="宋体" w:cs="宋体"/>
          <w:spacing w:val="8"/>
          <w:position w:val="-1"/>
          <w:sz w:val="21"/>
          <w:szCs w:val="21"/>
        </w:rPr>
        <w:t>2023</w:t>
      </w:r>
      <w:r>
        <w:rPr>
          <w:rFonts w:hint="eastAsia" w:ascii="宋体" w:hAnsi="宋体" w:eastAsia="宋体" w:cs="宋体"/>
          <w:spacing w:val="8"/>
          <w:sz w:val="21"/>
          <w:szCs w:val="21"/>
        </w:rPr>
        <w:t>年高盛投资银行预测</w:t>
      </w:r>
      <w:r>
        <w:rPr>
          <w:rFonts w:hint="eastAsia" w:ascii="宋体" w:hAnsi="宋体" w:eastAsia="宋体" w:cs="宋体"/>
          <w:spacing w:val="7"/>
          <w:sz w:val="21"/>
          <w:szCs w:val="21"/>
        </w:rPr>
        <w:t>了全球</w:t>
      </w:r>
      <w:r>
        <w:rPr>
          <w:rFonts w:hint="eastAsia" w:ascii="宋体" w:hAnsi="宋体" w:eastAsia="宋体" w:cs="宋体"/>
          <w:spacing w:val="8"/>
          <w:sz w:val="21"/>
          <w:szCs w:val="21"/>
        </w:rPr>
        <w:t>劳动力市场在人工智能的影响下可能会出现颠覆性事件，全球将有</w:t>
      </w:r>
      <w:r>
        <w:rPr>
          <w:rFonts w:hint="eastAsia" w:ascii="宋体" w:hAnsi="宋体" w:eastAsia="宋体" w:cs="宋体"/>
          <w:spacing w:val="8"/>
          <w:position w:val="-1"/>
          <w:sz w:val="21"/>
          <w:szCs w:val="21"/>
        </w:rPr>
        <w:t>3</w:t>
      </w:r>
      <w:r>
        <w:rPr>
          <w:rFonts w:hint="eastAsia" w:ascii="宋体" w:hAnsi="宋体" w:eastAsia="宋体" w:cs="宋体"/>
          <w:spacing w:val="8"/>
          <w:sz w:val="21"/>
          <w:szCs w:val="21"/>
        </w:rPr>
        <w:t>亿份全职工作被取代</w:t>
      </w:r>
      <w:r>
        <w:rPr>
          <w:rStyle w:val="20"/>
          <w:rFonts w:hint="eastAsia" w:ascii="宋体" w:hAnsi="宋体" w:eastAsia="宋体" w:cs="宋体"/>
          <w:spacing w:val="-20"/>
          <w:sz w:val="21"/>
          <w:szCs w:val="21"/>
        </w:rPr>
        <w:footnoteReference w:id="1398"/>
      </w:r>
      <w:r>
        <w:rPr>
          <w:rFonts w:hint="eastAsia" w:ascii="宋体" w:hAnsi="宋体" w:eastAsia="宋体" w:cs="宋体"/>
          <w:spacing w:val="8"/>
          <w:sz w:val="21"/>
          <w:szCs w:val="21"/>
        </w:rPr>
        <w:t>,到</w:t>
      </w:r>
      <w:r>
        <w:rPr>
          <w:rFonts w:hint="eastAsia" w:ascii="宋体" w:hAnsi="宋体" w:eastAsia="宋体" w:cs="宋体"/>
          <w:spacing w:val="6"/>
          <w:position w:val="-1"/>
          <w:sz w:val="21"/>
          <w:szCs w:val="21"/>
        </w:rPr>
        <w:t>2049</w:t>
      </w:r>
      <w:r>
        <w:rPr>
          <w:rFonts w:hint="eastAsia" w:ascii="宋体" w:hAnsi="宋体" w:eastAsia="宋体" w:cs="宋体"/>
          <w:spacing w:val="6"/>
          <w:sz w:val="21"/>
          <w:szCs w:val="21"/>
        </w:rPr>
        <w:t>年</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我国将有占就业人口总量</w:t>
      </w:r>
      <w:r>
        <w:rPr>
          <w:rFonts w:hint="eastAsia" w:ascii="宋体" w:hAnsi="宋体" w:eastAsia="宋体" w:cs="宋体"/>
          <w:spacing w:val="6"/>
          <w:position w:val="-1"/>
          <w:sz w:val="21"/>
          <w:szCs w:val="21"/>
        </w:rPr>
        <w:t>35.</w:t>
      </w:r>
      <w:r>
        <w:rPr>
          <w:rFonts w:hint="eastAsia" w:ascii="宋体" w:hAnsi="宋体" w:eastAsia="宋体" w:cs="宋体"/>
          <w:spacing w:val="6"/>
          <w:sz w:val="21"/>
          <w:szCs w:val="21"/>
        </w:rPr>
        <w:t>8%的</w:t>
      </w:r>
      <w:r>
        <w:rPr>
          <w:rFonts w:hint="eastAsia" w:ascii="宋体" w:hAnsi="宋体" w:eastAsia="宋体" w:cs="宋体"/>
          <w:spacing w:val="6"/>
          <w:position w:val="-1"/>
          <w:sz w:val="21"/>
          <w:szCs w:val="21"/>
        </w:rPr>
        <w:t>2.78</w:t>
      </w:r>
      <w:r>
        <w:rPr>
          <w:rFonts w:hint="eastAsia" w:ascii="宋体" w:hAnsi="宋体" w:eastAsia="宋体" w:cs="宋体"/>
          <w:spacing w:val="6"/>
          <w:sz w:val="21"/>
          <w:szCs w:val="21"/>
        </w:rPr>
        <w:t>亿劳动力</w:t>
      </w:r>
      <w:r>
        <w:rPr>
          <w:rFonts w:hint="eastAsia" w:ascii="宋体" w:hAnsi="宋体" w:eastAsia="宋体" w:cs="宋体"/>
          <w:spacing w:val="5"/>
          <w:sz w:val="21"/>
          <w:szCs w:val="21"/>
        </w:rPr>
        <w:t>被数字化取代</w:t>
      </w:r>
      <w:r>
        <w:rPr>
          <w:rStyle w:val="20"/>
          <w:rFonts w:hint="eastAsia" w:ascii="宋体" w:hAnsi="宋体" w:eastAsia="宋体" w:cs="宋体"/>
          <w:spacing w:val="5"/>
          <w:sz w:val="21"/>
          <w:szCs w:val="21"/>
        </w:rPr>
        <w:footnoteReference w:id="1399"/>
      </w:r>
      <w:r>
        <w:rPr>
          <w:rFonts w:hint="eastAsia" w:ascii="宋体" w:hAnsi="宋体" w:eastAsia="宋体" w:cs="宋体"/>
          <w:spacing w:val="5"/>
          <w:position w:val="1"/>
          <w:sz w:val="21"/>
          <w:szCs w:val="21"/>
        </w:rPr>
        <w:t>。</w:t>
      </w:r>
    </w:p>
    <w:p w14:paraId="5E074BD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
          <w:sz w:val="21"/>
          <w:szCs w:val="21"/>
        </w:rPr>
        <w:t>数字资本使资本在与劳动结合的过程中逐渐从集体化的“工厂制”向算法驱动的“平台制”转</w:t>
      </w:r>
      <w:r>
        <w:rPr>
          <w:rFonts w:hint="eastAsia" w:ascii="宋体" w:hAnsi="宋体" w:eastAsia="宋体" w:cs="宋体"/>
          <w:spacing w:val="4"/>
          <w:sz w:val="21"/>
          <w:szCs w:val="21"/>
        </w:rPr>
        <w:t>变，进而形成了劳动过程的算法管控、劳动时空界限消融、权益保障虚化等现象</w:t>
      </w:r>
      <w:r>
        <w:rPr>
          <w:rFonts w:hint="eastAsia" w:ascii="宋体" w:hAnsi="宋体" w:eastAsia="宋体" w:cs="宋体"/>
          <w:spacing w:val="3"/>
          <w:sz w:val="21"/>
          <w:szCs w:val="21"/>
        </w:rPr>
        <w:t>。一是生产全过程在大数据的计算和算法的应用中被进一步切割成</w:t>
      </w:r>
      <w:r>
        <w:rPr>
          <w:rFonts w:hint="eastAsia" w:ascii="宋体" w:hAnsi="宋体" w:eastAsia="宋体" w:cs="宋体"/>
          <w:spacing w:val="2"/>
          <w:sz w:val="21"/>
          <w:szCs w:val="21"/>
        </w:rPr>
        <w:t>细小片段，劳动者的工作安排、绩效评估、奖惩机</w:t>
      </w:r>
      <w:r>
        <w:rPr>
          <w:rFonts w:hint="eastAsia" w:ascii="宋体" w:hAnsi="宋体" w:eastAsia="宋体" w:cs="宋体"/>
          <w:spacing w:val="9"/>
          <w:sz w:val="21"/>
          <w:szCs w:val="21"/>
        </w:rPr>
        <w:t>制由算法控制，形成了全景式数字监控模式，进而</w:t>
      </w:r>
      <w:r>
        <w:rPr>
          <w:rFonts w:hint="eastAsia" w:ascii="宋体" w:hAnsi="宋体" w:eastAsia="宋体" w:cs="宋体"/>
          <w:spacing w:val="8"/>
          <w:sz w:val="21"/>
          <w:szCs w:val="21"/>
        </w:rPr>
        <w:t>针对不同的劳动形式和劳动内容制定运行程序，</w:t>
      </w:r>
      <w:r>
        <w:rPr>
          <w:rFonts w:hint="eastAsia" w:ascii="宋体" w:hAnsi="宋体" w:eastAsia="宋体" w:cs="宋体"/>
          <w:spacing w:val="2"/>
          <w:sz w:val="21"/>
          <w:szCs w:val="21"/>
        </w:rPr>
        <w:t>以实现对劳动者劳动过程进行全面的监督和管理，使劳动者深陷“看不见的铁笼”之中。二是更多</w:t>
      </w:r>
      <w:r>
        <w:rPr>
          <w:rFonts w:hint="eastAsia" w:ascii="宋体" w:hAnsi="宋体" w:eastAsia="宋体" w:cs="宋体"/>
          <w:spacing w:val="4"/>
          <w:sz w:val="21"/>
          <w:szCs w:val="21"/>
        </w:rPr>
        <w:t>的剩余价值在碎片化的时间和开放的空间中形成。数字技术、数字平台和互联网的应用拉近了劳</w:t>
      </w:r>
      <w:r>
        <w:rPr>
          <w:rFonts w:hint="eastAsia" w:ascii="宋体" w:hAnsi="宋体" w:eastAsia="宋体" w:cs="宋体"/>
          <w:spacing w:val="3"/>
          <w:sz w:val="21"/>
          <w:szCs w:val="21"/>
        </w:rPr>
        <w:t>动和生产的距离，相互联系的便利性“统一”了全世界的时间和空间，劳动时间</w:t>
      </w:r>
      <w:r>
        <w:rPr>
          <w:rFonts w:hint="eastAsia" w:ascii="宋体" w:hAnsi="宋体" w:eastAsia="宋体" w:cs="宋体"/>
          <w:spacing w:val="2"/>
          <w:sz w:val="21"/>
          <w:szCs w:val="21"/>
        </w:rPr>
        <w:t>不局限于朝九晚五，</w:t>
      </w:r>
      <w:r>
        <w:rPr>
          <w:rFonts w:hint="eastAsia" w:ascii="宋体" w:hAnsi="宋体" w:eastAsia="宋体" w:cs="宋体"/>
          <w:spacing w:val="15"/>
          <w:sz w:val="21"/>
          <w:szCs w:val="21"/>
        </w:rPr>
        <w:t>工作的分发和进行可以开始于任何时间，生产空间不限在办公桌前，任何工作的交流都可以通过</w:t>
      </w:r>
      <w:r>
        <w:rPr>
          <w:rFonts w:hint="eastAsia" w:ascii="宋体" w:hAnsi="宋体" w:eastAsia="宋体" w:cs="宋体"/>
          <w:spacing w:val="11"/>
          <w:sz w:val="21"/>
          <w:szCs w:val="21"/>
        </w:rPr>
        <w:t>网络会议实现。时间与空间的限制被彻底打破，劳动者的工作时间和工作地点变得异常宽泛，工</w:t>
      </w:r>
      <w:r>
        <w:rPr>
          <w:rFonts w:hint="eastAsia" w:ascii="宋体" w:hAnsi="宋体" w:eastAsia="宋体" w:cs="宋体"/>
          <w:spacing w:val="17"/>
          <w:sz w:val="21"/>
          <w:szCs w:val="21"/>
        </w:rPr>
        <w:t>作与生活边界的模糊化使资本在时间与空间中加深对劳动者的控制。三是数字化应用带来价值</w:t>
      </w:r>
      <w:r>
        <w:rPr>
          <w:rFonts w:hint="eastAsia" w:ascii="宋体" w:hAnsi="宋体" w:eastAsia="宋体" w:cs="宋体"/>
          <w:spacing w:val="5"/>
          <w:sz w:val="21"/>
          <w:szCs w:val="21"/>
        </w:rPr>
        <w:t>增殖效率提升，也模糊了价值分配。马克思指出：“分配的结构完全决定于生产的结</w:t>
      </w:r>
      <w:r>
        <w:rPr>
          <w:rFonts w:hint="eastAsia" w:ascii="宋体" w:hAnsi="宋体" w:eastAsia="宋体" w:cs="宋体"/>
          <w:spacing w:val="4"/>
          <w:sz w:val="21"/>
          <w:szCs w:val="21"/>
        </w:rPr>
        <w:t>构。分配本身</w:t>
      </w:r>
      <w:r>
        <w:rPr>
          <w:rFonts w:hint="eastAsia" w:ascii="宋体" w:hAnsi="宋体" w:eastAsia="宋体" w:cs="宋体"/>
          <w:sz w:val="21"/>
          <w:szCs w:val="21"/>
        </w:rPr>
        <w:t>是生产的产物，不仅就对象说是如此，而且就形式说也是如此。”</w:t>
      </w:r>
      <w:r>
        <w:rPr>
          <w:rStyle w:val="20"/>
          <w:rFonts w:hint="eastAsia" w:ascii="宋体" w:hAnsi="宋体" w:eastAsia="宋体" w:cs="宋体"/>
          <w:sz w:val="21"/>
          <w:szCs w:val="21"/>
        </w:rPr>
        <w:footnoteReference w:id="1400"/>
      </w:r>
      <w:r>
        <w:rPr>
          <w:rFonts w:hint="eastAsia" w:ascii="宋体" w:hAnsi="宋体" w:eastAsia="宋体" w:cs="宋体"/>
          <w:sz w:val="21"/>
          <w:szCs w:val="21"/>
        </w:rPr>
        <w:t>数字经济与灵活就业的融合、产</w:t>
      </w:r>
      <w:r>
        <w:rPr>
          <w:rFonts w:hint="eastAsia" w:ascii="宋体" w:hAnsi="宋体" w:eastAsia="宋体" w:cs="宋体"/>
          <w:spacing w:val="10"/>
          <w:sz w:val="21"/>
          <w:szCs w:val="21"/>
        </w:rPr>
        <w:t>销劳动者的形成、开源系统的应用带来了资本与劳动的新型雇佣关系。这使传统且稳定的雇佣关</w:t>
      </w:r>
      <w:r>
        <w:rPr>
          <w:rFonts w:hint="eastAsia" w:ascii="宋体" w:hAnsi="宋体" w:eastAsia="宋体" w:cs="宋体"/>
          <w:spacing w:val="9"/>
          <w:sz w:val="21"/>
          <w:szCs w:val="21"/>
        </w:rPr>
        <w:t>系松散化，继而在价值分配、保障权益等方面形成分配困境。</w:t>
      </w:r>
    </w:p>
    <w:p w14:paraId="0B6C8E9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劳动力市场变革作为数字资本所形成的技术与经济作用于社会关系的直接产物，既带来了劳</w:t>
      </w:r>
      <w:r>
        <w:rPr>
          <w:rFonts w:hint="eastAsia" w:ascii="宋体" w:hAnsi="宋体" w:eastAsia="宋体" w:cs="宋体"/>
          <w:spacing w:val="7"/>
          <w:sz w:val="21"/>
          <w:szCs w:val="21"/>
        </w:rPr>
        <w:t>动力需求的结构性极化，也变革了劳动与资本的结合方式，形成了新的控制方</w:t>
      </w:r>
      <w:r>
        <w:rPr>
          <w:rFonts w:hint="eastAsia" w:ascii="宋体" w:hAnsi="宋体" w:eastAsia="宋体" w:cs="宋体"/>
          <w:spacing w:val="6"/>
          <w:sz w:val="21"/>
          <w:szCs w:val="21"/>
        </w:rPr>
        <w:t>式与权益保障难题。</w:t>
      </w:r>
      <w:r>
        <w:rPr>
          <w:rFonts w:hint="eastAsia" w:ascii="宋体" w:hAnsi="宋体" w:eastAsia="宋体" w:cs="宋体"/>
          <w:spacing w:val="14"/>
          <w:sz w:val="21"/>
          <w:szCs w:val="21"/>
        </w:rPr>
        <w:t>然而，需要明确这些普遍性的社会矛盾显现并非由数字技术自</w:t>
      </w:r>
      <w:r>
        <w:rPr>
          <w:rFonts w:hint="eastAsia" w:ascii="宋体" w:hAnsi="宋体" w:eastAsia="宋体" w:cs="宋体"/>
          <w:spacing w:val="13"/>
          <w:sz w:val="21"/>
          <w:szCs w:val="21"/>
        </w:rPr>
        <w:t>身所决定，当这一资本化被置于以</w:t>
      </w:r>
      <w:r>
        <w:rPr>
          <w:rFonts w:hint="eastAsia" w:ascii="宋体" w:hAnsi="宋体" w:eastAsia="宋体" w:cs="宋体"/>
          <w:spacing w:val="11"/>
          <w:sz w:val="21"/>
          <w:szCs w:val="21"/>
        </w:rPr>
        <w:t>私有制为基础、以无限增殖为唯一目的的资本主义生产关系中，数字资本的集中趋势与</w:t>
      </w:r>
      <w:r>
        <w:rPr>
          <w:rFonts w:hint="eastAsia" w:ascii="宋体" w:hAnsi="宋体" w:eastAsia="宋体" w:cs="宋体"/>
          <w:spacing w:val="10"/>
          <w:sz w:val="21"/>
          <w:szCs w:val="21"/>
        </w:rPr>
        <w:t>社会分化</w:t>
      </w:r>
      <w:r>
        <w:rPr>
          <w:rFonts w:hint="eastAsia" w:ascii="宋体" w:hAnsi="宋体" w:eastAsia="宋体" w:cs="宋体"/>
          <w:spacing w:val="16"/>
          <w:sz w:val="21"/>
          <w:szCs w:val="21"/>
        </w:rPr>
        <w:t>效应将被资本逻辑极度放大和固化，进而形</w:t>
      </w:r>
      <w:r>
        <w:rPr>
          <w:rFonts w:hint="eastAsia" w:ascii="宋体" w:hAnsi="宋体" w:eastAsia="宋体" w:cs="宋体"/>
          <w:spacing w:val="15"/>
          <w:sz w:val="21"/>
          <w:szCs w:val="21"/>
        </w:rPr>
        <w:t>成垄断与霸权的资本主义数字化发展的必然结果。</w:t>
      </w:r>
    </w:p>
    <w:p w14:paraId="23FC522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outlineLvl w:val="9"/>
        <w:rPr>
          <w:rFonts w:hint="eastAsia" w:ascii="宋体" w:hAnsi="宋体" w:eastAsia="宋体" w:cs="宋体"/>
          <w:b/>
          <w:bCs/>
          <w:spacing w:val="0"/>
          <w:w w:val="100"/>
          <w:position w:val="0"/>
          <w:sz w:val="24"/>
          <w:szCs w:val="24"/>
        </w:rPr>
      </w:pPr>
      <w:r>
        <w:rPr>
          <w:rFonts w:hint="eastAsia" w:ascii="宋体" w:hAnsi="宋体" w:eastAsia="宋体" w:cs="宋体"/>
          <w:b/>
          <w:bCs/>
          <w:spacing w:val="0"/>
          <w:w w:val="100"/>
          <w:position w:val="0"/>
          <w:sz w:val="24"/>
          <w:szCs w:val="24"/>
        </w:rPr>
        <w:t>三、数字资本的垄断趋势与霸权演变</w:t>
      </w:r>
    </w:p>
    <w:p w14:paraId="1C34370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2B8EED1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textAlignment w:val="baseline"/>
        <w:outlineLvl w:val="9"/>
        <w:rPr>
          <w:rFonts w:hint="eastAsia" w:ascii="宋体" w:hAnsi="宋体" w:eastAsia="宋体" w:cs="宋体"/>
          <w:sz w:val="21"/>
          <w:szCs w:val="21"/>
        </w:rPr>
      </w:pPr>
      <w:r>
        <w:rPr>
          <w:rFonts w:hint="eastAsia" w:ascii="宋体" w:hAnsi="宋体" w:eastAsia="宋体" w:cs="宋体"/>
          <w:spacing w:val="6"/>
          <w:sz w:val="21"/>
          <w:szCs w:val="21"/>
        </w:rPr>
        <w:t>“生产集中产生垄断，则是现阶段资本主义发展的一般的和基本的规律。”</w:t>
      </w:r>
      <w:r>
        <w:rPr>
          <w:rStyle w:val="20"/>
          <w:rFonts w:hint="eastAsia" w:ascii="宋体" w:hAnsi="宋体" w:eastAsia="宋体" w:cs="宋体"/>
          <w:spacing w:val="6"/>
          <w:sz w:val="21"/>
          <w:szCs w:val="21"/>
        </w:rPr>
        <w:footnoteReference w:id="1401"/>
      </w:r>
      <w:r>
        <w:rPr>
          <w:rFonts w:hint="eastAsia" w:ascii="宋体" w:hAnsi="宋体" w:eastAsia="宋体" w:cs="宋体"/>
          <w:spacing w:val="6"/>
          <w:sz w:val="21"/>
          <w:szCs w:val="21"/>
        </w:rPr>
        <w:t>当数字资本的增殖</w:t>
      </w:r>
      <w:r>
        <w:rPr>
          <w:rFonts w:hint="eastAsia" w:ascii="宋体" w:hAnsi="宋体" w:eastAsia="宋体" w:cs="宋体"/>
          <w:spacing w:val="15"/>
          <w:sz w:val="21"/>
          <w:szCs w:val="21"/>
        </w:rPr>
        <w:t>过程与资本主义的生产资料私有制相结合时，资本对剩余价值的追逐，带来的不仅是生产效率的</w:t>
      </w:r>
      <w:r>
        <w:rPr>
          <w:rFonts w:hint="eastAsia" w:ascii="宋体" w:hAnsi="宋体" w:eastAsia="宋体" w:cs="宋体"/>
          <w:spacing w:val="7"/>
          <w:sz w:val="21"/>
          <w:szCs w:val="21"/>
        </w:rPr>
        <w:t>提升，同时带来的是由竞争与扩张的资本逻辑演变而来的具有排他性、支配性的</w:t>
      </w:r>
      <w:r>
        <w:rPr>
          <w:rFonts w:hint="eastAsia" w:ascii="宋体" w:hAnsi="宋体" w:eastAsia="宋体" w:cs="宋体"/>
          <w:spacing w:val="6"/>
          <w:sz w:val="21"/>
          <w:szCs w:val="21"/>
        </w:rPr>
        <w:t>市场垄断结构，并</w:t>
      </w:r>
      <w:r>
        <w:rPr>
          <w:rFonts w:hint="eastAsia" w:ascii="宋体" w:hAnsi="宋体" w:eastAsia="宋体" w:cs="宋体"/>
          <w:spacing w:val="11"/>
          <w:sz w:val="21"/>
          <w:szCs w:val="21"/>
        </w:rPr>
        <w:t>在与产业资本和金融资本的融合中，凭借技术与经济权力，进一步发展为追求全球控制与价值掠</w:t>
      </w:r>
      <w:r>
        <w:rPr>
          <w:rFonts w:hint="eastAsia" w:ascii="宋体" w:hAnsi="宋体" w:eastAsia="宋体" w:cs="宋体"/>
          <w:spacing w:val="14"/>
          <w:sz w:val="21"/>
          <w:szCs w:val="21"/>
        </w:rPr>
        <w:t>夺的数字霸权。</w:t>
      </w:r>
    </w:p>
    <w:p w14:paraId="42D5C59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outlineLvl w:val="9"/>
        <w:rPr>
          <w:rFonts w:hint="eastAsia" w:ascii="宋体" w:hAnsi="宋体" w:eastAsia="宋体" w:cs="宋体"/>
          <w:sz w:val="21"/>
          <w:szCs w:val="21"/>
        </w:rPr>
      </w:pPr>
      <w:r>
        <w:rPr>
          <w:rFonts w:hint="eastAsia" w:ascii="宋体" w:hAnsi="宋体" w:eastAsia="宋体" w:cs="宋体"/>
          <w:b/>
          <w:bCs/>
          <w:spacing w:val="9"/>
          <w:sz w:val="21"/>
          <w:szCs w:val="21"/>
        </w:rPr>
        <w:t>（一）从要素垄断到市场支配：数字资本垄断的生成机制</w:t>
      </w:r>
    </w:p>
    <w:p w14:paraId="029B868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数字资本凭借对数据、算力、算器等数字生产要素的占有，获得强大的增殖</w:t>
      </w:r>
      <w:r>
        <w:rPr>
          <w:rFonts w:hint="eastAsia" w:ascii="宋体" w:hAnsi="宋体" w:eastAsia="宋体" w:cs="宋体"/>
          <w:spacing w:val="-2"/>
          <w:sz w:val="21"/>
          <w:szCs w:val="21"/>
        </w:rPr>
        <w:t>能力。在资本主义</w:t>
      </w:r>
      <w:r>
        <w:rPr>
          <w:rFonts w:hint="eastAsia" w:ascii="宋体" w:hAnsi="宋体" w:eastAsia="宋体" w:cs="宋体"/>
          <w:spacing w:val="8"/>
          <w:sz w:val="21"/>
          <w:szCs w:val="21"/>
        </w:rPr>
        <w:t>竞争中，这种能力必然导致“较大的资本战胜较小的资本”，最终走向资本集中和市场垄断。</w:t>
      </w:r>
    </w:p>
    <w:p w14:paraId="790AB4F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r>
        <w:rPr>
          <w:rFonts w:hint="eastAsia" w:ascii="宋体" w:hAnsi="宋体" w:eastAsia="宋体" w:cs="宋体"/>
          <w:sz w:val="21"/>
          <w:szCs w:val="21"/>
        </w:rPr>
        <w:t>数字要素所固有的规模效应、资本投入、技术壁垒等特</w:t>
      </w:r>
      <w:r>
        <w:rPr>
          <w:rFonts w:hint="eastAsia" w:ascii="宋体" w:hAnsi="宋体" w:eastAsia="宋体" w:cs="宋体"/>
          <w:spacing w:val="-1"/>
          <w:sz w:val="21"/>
          <w:szCs w:val="21"/>
        </w:rPr>
        <w:t>征，数字资本自身拥有垄断性特征。从</w:t>
      </w:r>
      <w:r>
        <w:rPr>
          <w:rFonts w:hint="eastAsia" w:ascii="宋体" w:hAnsi="宋体" w:eastAsia="宋体" w:cs="宋体"/>
          <w:spacing w:val="12"/>
          <w:sz w:val="21"/>
          <w:szCs w:val="21"/>
        </w:rPr>
        <w:t>数据所呈现出极强的规模效应与网络效应方面，数</w:t>
      </w:r>
      <w:r>
        <w:rPr>
          <w:rFonts w:hint="eastAsia" w:ascii="宋体" w:hAnsi="宋体" w:eastAsia="宋体" w:cs="宋体"/>
          <w:spacing w:val="11"/>
          <w:sz w:val="21"/>
          <w:szCs w:val="21"/>
        </w:rPr>
        <w:t>字资本天然趋向集中与垄断。数据的价值体现</w:t>
      </w:r>
      <w:r>
        <w:rPr>
          <w:rFonts w:hint="eastAsia" w:ascii="宋体" w:hAnsi="宋体" w:eastAsia="宋体" w:cs="宋体"/>
          <w:spacing w:val="2"/>
          <w:sz w:val="21"/>
          <w:szCs w:val="21"/>
        </w:rPr>
        <w:t>随规模、维度、流动性等方面呈现出指数级</w:t>
      </w:r>
      <w:r>
        <w:rPr>
          <w:rFonts w:hint="eastAsia" w:ascii="宋体" w:hAnsi="宋体" w:eastAsia="宋体" w:cs="宋体"/>
          <w:spacing w:val="1"/>
          <w:sz w:val="21"/>
          <w:szCs w:val="21"/>
        </w:rPr>
        <w:t>的上升模式。一般情况下，微量数据的可使用性几乎为</w:t>
      </w:r>
      <w:r>
        <w:rPr>
          <w:rFonts w:hint="eastAsia" w:ascii="宋体" w:hAnsi="宋体" w:eastAsia="宋体" w:cs="宋体"/>
          <w:spacing w:val="8"/>
          <w:sz w:val="21"/>
          <w:szCs w:val="21"/>
        </w:rPr>
        <w:t>零，但海量数据的聚合能够在优化资源配置、</w:t>
      </w:r>
      <w:r>
        <w:rPr>
          <w:rFonts w:hint="eastAsia" w:ascii="宋体" w:hAnsi="宋体" w:eastAsia="宋体" w:cs="宋体"/>
          <w:spacing w:val="7"/>
          <w:sz w:val="21"/>
          <w:szCs w:val="21"/>
        </w:rPr>
        <w:t>预测市场行为、分析消费习惯等方面发挥巨大作用。</w:t>
      </w:r>
      <w:r>
        <w:rPr>
          <w:rFonts w:hint="eastAsia" w:ascii="宋体" w:hAnsi="宋体" w:eastAsia="宋体" w:cs="宋体"/>
          <w:spacing w:val="15"/>
          <w:sz w:val="21"/>
          <w:szCs w:val="21"/>
        </w:rPr>
        <w:t>同时，数字平台凭借用户粘性构建起用户使用与数据收集间的强闭环循环，形成了极高的市场进</w:t>
      </w:r>
      <w:r>
        <w:rPr>
          <w:rFonts w:hint="eastAsia" w:ascii="宋体" w:hAnsi="宋体" w:eastAsia="宋体" w:cs="宋体"/>
          <w:spacing w:val="7"/>
          <w:sz w:val="21"/>
          <w:szCs w:val="21"/>
        </w:rPr>
        <w:t>入壁垒，并表现为源头平台的“数据垄断”格局。从算力所表现的高迭代性技术壁垒方面，算力在处理海量数据、运行复杂算法的过程中，依赖深厚的技术支撑，高端芯片设计制造、分布式计算架</w:t>
      </w:r>
      <w:r>
        <w:rPr>
          <w:rFonts w:hint="eastAsia" w:ascii="宋体" w:hAnsi="宋体" w:eastAsia="宋体" w:cs="宋体"/>
          <w:spacing w:val="8"/>
          <w:sz w:val="21"/>
          <w:szCs w:val="21"/>
        </w:rPr>
        <w:t>构等研究的技术要求导致算力市场呈现出高度集中的态势。从算器的高固定资本投入方面，数据</w:t>
      </w:r>
      <w:r>
        <w:rPr>
          <w:rFonts w:hint="eastAsia" w:ascii="宋体" w:hAnsi="宋体" w:eastAsia="宋体" w:cs="宋体"/>
          <w:spacing w:val="3"/>
          <w:sz w:val="21"/>
          <w:szCs w:val="21"/>
        </w:rPr>
        <w:t>的处理、算力的支撑、算法的运行需要数据中心、超算集群、高速网络等算器的构建与维护。作为</w:t>
      </w:r>
      <w:r>
        <w:rPr>
          <w:rFonts w:hint="eastAsia" w:ascii="宋体" w:hAnsi="宋体" w:eastAsia="宋体" w:cs="宋体"/>
          <w:spacing w:val="5"/>
          <w:sz w:val="21"/>
          <w:szCs w:val="21"/>
        </w:rPr>
        <w:t>算器的数字基础设施所具有的建设周期长、投资成本巨大、耗能</w:t>
      </w:r>
      <w:r>
        <w:rPr>
          <w:rFonts w:hint="eastAsia" w:ascii="宋体" w:hAnsi="宋体" w:eastAsia="宋体" w:cs="宋体"/>
          <w:spacing w:val="4"/>
          <w:sz w:val="21"/>
          <w:szCs w:val="21"/>
        </w:rPr>
        <w:t>消耗高等特征，构成了显著的沉没</w:t>
      </w:r>
      <w:r>
        <w:rPr>
          <w:rFonts w:hint="eastAsia" w:ascii="宋体" w:hAnsi="宋体" w:eastAsia="宋体" w:cs="宋体"/>
          <w:spacing w:val="12"/>
          <w:sz w:val="21"/>
          <w:szCs w:val="21"/>
        </w:rPr>
        <w:t>成本壁垒。</w:t>
      </w:r>
    </w:p>
    <w:p w14:paraId="0B087F7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r>
        <w:rPr>
          <w:rFonts w:hint="eastAsia" w:ascii="宋体" w:hAnsi="宋体" w:eastAsia="宋体" w:cs="宋体"/>
          <w:sz w:val="21"/>
          <w:szCs w:val="21"/>
        </w:rPr>
        <w:t>市场竞争充分发挥数字要素的垄断特征，继而使数字资本在价值增殖和扩</w:t>
      </w:r>
      <w:r>
        <w:rPr>
          <w:rFonts w:hint="eastAsia" w:ascii="宋体" w:hAnsi="宋体" w:eastAsia="宋体" w:cs="宋体"/>
          <w:spacing w:val="-1"/>
          <w:sz w:val="21"/>
          <w:szCs w:val="21"/>
        </w:rPr>
        <w:t>大再生产的驱动</w:t>
      </w:r>
      <w:r>
        <w:rPr>
          <w:rFonts w:hint="eastAsia" w:ascii="宋体" w:hAnsi="宋体" w:eastAsia="宋体" w:cs="宋体"/>
          <w:spacing w:val="7"/>
          <w:sz w:val="21"/>
          <w:szCs w:val="21"/>
        </w:rPr>
        <w:t>下，从资本积聚走向资本集中。马克思在《资本论》中论证了激烈的市场</w:t>
      </w:r>
      <w:r>
        <w:rPr>
          <w:rFonts w:hint="eastAsia" w:ascii="宋体" w:hAnsi="宋体" w:eastAsia="宋体" w:cs="宋体"/>
          <w:spacing w:val="6"/>
          <w:sz w:val="21"/>
          <w:szCs w:val="21"/>
        </w:rPr>
        <w:t>竞争会形成资本在更高的</w:t>
      </w:r>
      <w:r>
        <w:rPr>
          <w:rFonts w:hint="eastAsia" w:ascii="宋体" w:hAnsi="宋体" w:eastAsia="宋体" w:cs="宋体"/>
          <w:spacing w:val="4"/>
          <w:sz w:val="21"/>
          <w:szCs w:val="21"/>
        </w:rPr>
        <w:t>程度上集中。这是一个循环往复的过程，当一个生产部门所投入的全部资本“溶</w:t>
      </w:r>
      <w:r>
        <w:rPr>
          <w:rFonts w:hint="eastAsia" w:ascii="宋体" w:hAnsi="宋体" w:eastAsia="宋体" w:cs="宋体"/>
          <w:spacing w:val="3"/>
          <w:sz w:val="21"/>
          <w:szCs w:val="21"/>
        </w:rPr>
        <w:t>合为一个单个资本时，集中便达到了极限</w:t>
      </w:r>
      <w:r>
        <w:rPr>
          <w:rFonts w:hint="eastAsia" w:ascii="宋体" w:hAnsi="宋体" w:eastAsia="宋体" w:cs="宋体"/>
          <w:spacing w:val="3"/>
          <w:position w:val="4"/>
          <w:sz w:val="21"/>
          <w:szCs w:val="21"/>
        </w:rPr>
        <w:t>”</w:t>
      </w:r>
      <w:r>
        <w:rPr>
          <w:rStyle w:val="20"/>
          <w:rFonts w:hint="eastAsia" w:ascii="宋体" w:hAnsi="宋体" w:eastAsia="宋体" w:cs="宋体"/>
          <w:spacing w:val="3"/>
          <w:position w:val="4"/>
          <w:sz w:val="21"/>
          <w:szCs w:val="21"/>
        </w:rPr>
        <w:footnoteReference w:id="1402"/>
      </w:r>
      <w:r>
        <w:rPr>
          <w:rFonts w:hint="eastAsia" w:ascii="宋体" w:hAnsi="宋体" w:eastAsia="宋体" w:cs="宋体"/>
          <w:spacing w:val="3"/>
          <w:sz w:val="21"/>
          <w:szCs w:val="21"/>
        </w:rPr>
        <w:t>。用户的数据信息在数字平台中被无偿收集、使用</w:t>
      </w:r>
      <w:r>
        <w:rPr>
          <w:rFonts w:hint="eastAsia" w:ascii="宋体" w:hAnsi="宋体" w:eastAsia="宋体" w:cs="宋体"/>
          <w:spacing w:val="2"/>
          <w:sz w:val="21"/>
          <w:szCs w:val="21"/>
        </w:rPr>
        <w:t>，并再一次通过对数</w:t>
      </w:r>
      <w:r>
        <w:rPr>
          <w:rFonts w:hint="eastAsia" w:ascii="宋体" w:hAnsi="宋体" w:eastAsia="宋体" w:cs="宋体"/>
          <w:spacing w:val="10"/>
          <w:sz w:val="21"/>
          <w:szCs w:val="21"/>
        </w:rPr>
        <w:t>据的处理进行自身消费，使原有的生产与消费两项具有明确边界的活动相互融合，不仅降低了经</w:t>
      </w:r>
      <w:r>
        <w:rPr>
          <w:rFonts w:hint="eastAsia" w:ascii="宋体" w:hAnsi="宋体" w:eastAsia="宋体" w:cs="宋体"/>
          <w:spacing w:val="-2"/>
          <w:sz w:val="21"/>
          <w:szCs w:val="21"/>
        </w:rPr>
        <w:t>营者的经营风险，并且在产品的精准定位中最大程度地降低了“惊险的跳跃”所带来了风险，</w:t>
      </w:r>
      <w:r>
        <w:rPr>
          <w:rFonts w:hint="eastAsia" w:ascii="宋体" w:hAnsi="宋体" w:eastAsia="宋体" w:cs="宋体"/>
          <w:spacing w:val="-3"/>
          <w:sz w:val="21"/>
          <w:szCs w:val="21"/>
        </w:rPr>
        <w:t>并通</w:t>
      </w:r>
      <w:r>
        <w:rPr>
          <w:rFonts w:hint="eastAsia" w:ascii="宋体" w:hAnsi="宋体" w:eastAsia="宋体" w:cs="宋体"/>
          <w:spacing w:val="9"/>
          <w:sz w:val="21"/>
          <w:szCs w:val="21"/>
        </w:rPr>
        <w:t>过精准的算法匹配获得最大化的利润。当数据数量增加到大数据规模，所形成的单边网络效应或</w:t>
      </w:r>
      <w:r>
        <w:rPr>
          <w:rFonts w:hint="eastAsia" w:ascii="宋体" w:hAnsi="宋体" w:eastAsia="宋体" w:cs="宋体"/>
          <w:spacing w:val="8"/>
          <w:sz w:val="21"/>
          <w:szCs w:val="21"/>
        </w:rPr>
        <w:t>双边网络效应使企业与消费者形成“绑定”关系，这种关系使企业在掌握海量用户和</w:t>
      </w:r>
      <w:r>
        <w:rPr>
          <w:rFonts w:hint="eastAsia" w:ascii="宋体" w:hAnsi="宋体" w:eastAsia="宋体" w:cs="宋体"/>
          <w:spacing w:val="7"/>
          <w:sz w:val="21"/>
          <w:szCs w:val="21"/>
        </w:rPr>
        <w:t>数据中逐渐排</w:t>
      </w:r>
      <w:r>
        <w:rPr>
          <w:rFonts w:hint="eastAsia" w:ascii="宋体" w:hAnsi="宋体" w:eastAsia="宋体" w:cs="宋体"/>
          <w:spacing w:val="6"/>
          <w:sz w:val="21"/>
          <w:szCs w:val="21"/>
        </w:rPr>
        <w:t>斥规模较小的竞争者，企业、消费者和产品形成的“反馈循环”在数据垄断中形成对消费者的差别</w:t>
      </w:r>
      <w:r>
        <w:rPr>
          <w:rFonts w:hint="eastAsia" w:ascii="宋体" w:hAnsi="宋体" w:eastAsia="宋体" w:cs="宋体"/>
          <w:spacing w:val="9"/>
          <w:sz w:val="21"/>
          <w:szCs w:val="21"/>
        </w:rPr>
        <w:t>定价，寡头和垄断进一步形成。</w:t>
      </w:r>
    </w:p>
    <w:p w14:paraId="320A41F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8"/>
          <w:sz w:val="21"/>
          <w:szCs w:val="21"/>
        </w:rPr>
        <w:t>为更好利用数据信息优势和定价优势，企业间还会形成“算</w:t>
      </w:r>
      <w:r>
        <w:rPr>
          <w:rFonts w:hint="eastAsia" w:ascii="宋体" w:hAnsi="宋体" w:eastAsia="宋体" w:cs="宋体"/>
          <w:spacing w:val="7"/>
          <w:sz w:val="21"/>
          <w:szCs w:val="21"/>
        </w:rPr>
        <w:t>法合谋”来提升自身的市场占有</w:t>
      </w:r>
      <w:r>
        <w:rPr>
          <w:rFonts w:hint="eastAsia" w:ascii="宋体" w:hAnsi="宋体" w:eastAsia="宋体" w:cs="宋体"/>
          <w:spacing w:val="6"/>
          <w:sz w:val="21"/>
          <w:szCs w:val="21"/>
        </w:rPr>
        <w:t>率，并且用合谋定价的方式制定价格，进一步减少市场中的竞争企业数量。数字平台通</w:t>
      </w:r>
      <w:r>
        <w:rPr>
          <w:rFonts w:hint="eastAsia" w:ascii="宋体" w:hAnsi="宋体" w:eastAsia="宋体" w:cs="宋体"/>
          <w:spacing w:val="5"/>
          <w:sz w:val="21"/>
          <w:szCs w:val="21"/>
        </w:rPr>
        <w:t>过对用户</w:t>
      </w:r>
      <w:r>
        <w:rPr>
          <w:rFonts w:hint="eastAsia" w:ascii="宋体" w:hAnsi="宋体" w:eastAsia="宋体" w:cs="宋体"/>
          <w:spacing w:val="3"/>
          <w:sz w:val="21"/>
          <w:szCs w:val="21"/>
        </w:rPr>
        <w:t>数据进行技术分析，连接卖家和买家创造商业价值形成竞争优势，数字技术条件下的“数字圈地运</w:t>
      </w:r>
      <w:r>
        <w:rPr>
          <w:rFonts w:hint="eastAsia" w:ascii="宋体" w:hAnsi="宋体" w:eastAsia="宋体" w:cs="宋体"/>
          <w:spacing w:val="6"/>
          <w:sz w:val="21"/>
          <w:szCs w:val="21"/>
        </w:rPr>
        <w:t>动</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开始显现</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现实数据印证了这一趋势</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根据</w:t>
      </w:r>
      <w:r>
        <w:rPr>
          <w:rFonts w:hint="eastAsia" w:ascii="宋体" w:hAnsi="宋体" w:eastAsia="宋体" w:cs="宋体"/>
          <w:sz w:val="21"/>
          <w:szCs w:val="21"/>
        </w:rPr>
        <w:t>OECD</w:t>
      </w:r>
      <w:r>
        <w:rPr>
          <w:rFonts w:hint="eastAsia" w:ascii="宋体" w:hAnsi="宋体" w:eastAsia="宋体" w:cs="宋体"/>
          <w:spacing w:val="6"/>
          <w:sz w:val="21"/>
          <w:szCs w:val="21"/>
        </w:rPr>
        <w:t>报告中关于人工智能研发数据可知</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全</w:t>
      </w:r>
      <w:r>
        <w:rPr>
          <w:rFonts w:hint="eastAsia" w:ascii="宋体" w:hAnsi="宋体" w:eastAsia="宋体" w:cs="宋体"/>
          <w:spacing w:val="5"/>
          <w:sz w:val="21"/>
          <w:szCs w:val="21"/>
        </w:rPr>
        <w:t>球约75%的人工智能专利是由顶尖企业的研发人员申请</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其中世界五大科技上市公司：苹果</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谷歌</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微</w:t>
      </w:r>
      <w:r>
        <w:rPr>
          <w:rFonts w:hint="eastAsia" w:ascii="宋体" w:hAnsi="宋体" w:eastAsia="宋体" w:cs="宋体"/>
          <w:spacing w:val="-2"/>
          <w:sz w:val="21"/>
          <w:szCs w:val="21"/>
        </w:rPr>
        <w:t>软、亚马逊和脸书，都在各自领域中形成了垄断</w:t>
      </w:r>
      <w:r>
        <w:rPr>
          <w:rStyle w:val="20"/>
          <w:rFonts w:hint="eastAsia" w:ascii="宋体" w:hAnsi="宋体" w:eastAsia="宋体" w:cs="宋体"/>
          <w:spacing w:val="-19"/>
          <w:sz w:val="21"/>
          <w:szCs w:val="21"/>
        </w:rPr>
        <w:footnoteReference w:id="1403"/>
      </w:r>
      <w:r>
        <w:rPr>
          <w:rFonts w:hint="eastAsia" w:ascii="宋体" w:hAnsi="宋体" w:eastAsia="宋体" w:cs="宋体"/>
          <w:spacing w:val="-2"/>
          <w:sz w:val="21"/>
          <w:szCs w:val="21"/>
        </w:rPr>
        <w:t>。人工智能、区块链、机器人、物联网和云等高科</w:t>
      </w:r>
      <w:r>
        <w:rPr>
          <w:rFonts w:hint="eastAsia" w:ascii="宋体" w:hAnsi="宋体" w:eastAsia="宋体" w:cs="宋体"/>
          <w:spacing w:val="-3"/>
          <w:sz w:val="21"/>
          <w:szCs w:val="21"/>
        </w:rPr>
        <w:t>技技术较早被北美市场开发，包括</w:t>
      </w:r>
      <w:r>
        <w:rPr>
          <w:rFonts w:hint="eastAsia" w:ascii="宋体" w:hAnsi="宋体" w:eastAsia="宋体" w:cs="宋体"/>
          <w:spacing w:val="-3"/>
          <w:position w:val="-1"/>
          <w:sz w:val="21"/>
          <w:szCs w:val="21"/>
        </w:rPr>
        <w:t>IBM</w:t>
      </w:r>
      <w:r>
        <w:rPr>
          <w:rFonts w:hint="eastAsia" w:ascii="宋体" w:hAnsi="宋体" w:eastAsia="宋体" w:cs="宋体"/>
          <w:spacing w:val="-3"/>
          <w:sz w:val="21"/>
          <w:szCs w:val="21"/>
        </w:rPr>
        <w:t>、甲骨文、微软等领先云提供商占据</w:t>
      </w:r>
      <w:r>
        <w:rPr>
          <w:rFonts w:hint="eastAsia" w:ascii="宋体" w:hAnsi="宋体" w:eastAsia="宋体" w:cs="宋体"/>
          <w:spacing w:val="-4"/>
          <w:sz w:val="21"/>
          <w:szCs w:val="21"/>
        </w:rPr>
        <w:t>了最高的市场份额</w:t>
      </w:r>
      <w:r>
        <w:rPr>
          <w:rStyle w:val="20"/>
          <w:rFonts w:hint="eastAsia" w:ascii="宋体" w:hAnsi="宋体" w:eastAsia="宋体" w:cs="宋体"/>
          <w:spacing w:val="-19"/>
          <w:sz w:val="21"/>
          <w:szCs w:val="21"/>
        </w:rPr>
        <w:footnoteReference w:id="1404"/>
      </w:r>
      <w:r>
        <w:rPr>
          <w:rFonts w:hint="eastAsia" w:ascii="宋体" w:hAnsi="宋体" w:eastAsia="宋体" w:cs="宋体"/>
          <w:spacing w:val="-4"/>
          <w:sz w:val="21"/>
          <w:szCs w:val="21"/>
        </w:rPr>
        <w:t>。</w:t>
      </w:r>
      <w:r>
        <w:rPr>
          <w:rFonts w:hint="eastAsia" w:ascii="宋体" w:hAnsi="宋体" w:eastAsia="宋体" w:cs="宋体"/>
          <w:spacing w:val="6"/>
          <w:sz w:val="21"/>
          <w:szCs w:val="21"/>
        </w:rPr>
        <w:t>2021</w:t>
      </w:r>
      <w:r>
        <w:rPr>
          <w:rFonts w:hint="eastAsia" w:ascii="宋体" w:hAnsi="宋体" w:eastAsia="宋体" w:cs="宋体"/>
          <w:spacing w:val="6"/>
          <w:position w:val="1"/>
          <w:sz w:val="21"/>
          <w:szCs w:val="21"/>
        </w:rPr>
        <w:t>年全球云计算</w:t>
      </w:r>
      <w:r>
        <w:rPr>
          <w:rFonts w:hint="eastAsia" w:ascii="宋体" w:hAnsi="宋体" w:eastAsia="宋体" w:cs="宋体"/>
          <w:sz w:val="21"/>
          <w:szCs w:val="21"/>
        </w:rPr>
        <w:t>IaaS</w:t>
      </w:r>
      <w:r>
        <w:rPr>
          <w:rFonts w:hint="eastAsia" w:ascii="宋体" w:hAnsi="宋体" w:eastAsia="宋体" w:cs="宋体"/>
          <w:spacing w:val="6"/>
          <w:sz w:val="21"/>
          <w:szCs w:val="21"/>
        </w:rPr>
        <w:t>(</w:t>
      </w:r>
      <w:r>
        <w:rPr>
          <w:rFonts w:hint="eastAsia" w:ascii="宋体" w:hAnsi="宋体" w:eastAsia="宋体" w:cs="宋体"/>
          <w:sz w:val="21"/>
          <w:szCs w:val="21"/>
        </w:rPr>
        <w:t>Infrastructure</w:t>
      </w:r>
      <w:r>
        <w:rPr>
          <w:rFonts w:hint="eastAsia" w:ascii="宋体" w:hAnsi="宋体" w:eastAsia="宋体" w:cs="宋体"/>
          <w:spacing w:val="6"/>
          <w:sz w:val="21"/>
          <w:szCs w:val="21"/>
        </w:rPr>
        <w:t>-</w:t>
      </w:r>
      <w:r>
        <w:rPr>
          <w:rFonts w:hint="eastAsia" w:ascii="宋体" w:hAnsi="宋体" w:eastAsia="宋体" w:cs="宋体"/>
          <w:sz w:val="21"/>
          <w:szCs w:val="21"/>
        </w:rPr>
        <w:t>as</w:t>
      </w:r>
      <w:r>
        <w:rPr>
          <w:rFonts w:hint="eastAsia" w:ascii="宋体" w:hAnsi="宋体" w:eastAsia="宋体" w:cs="宋体"/>
          <w:spacing w:val="6"/>
          <w:sz w:val="21"/>
          <w:szCs w:val="21"/>
        </w:rPr>
        <w:t>-a-</w:t>
      </w:r>
      <w:r>
        <w:rPr>
          <w:rFonts w:hint="eastAsia" w:ascii="宋体" w:hAnsi="宋体" w:eastAsia="宋体" w:cs="宋体"/>
          <w:sz w:val="21"/>
          <w:szCs w:val="21"/>
        </w:rPr>
        <w:t>Service</w:t>
      </w:r>
      <w:r>
        <w:rPr>
          <w:rFonts w:hint="eastAsia" w:ascii="宋体" w:hAnsi="宋体" w:eastAsia="宋体" w:cs="宋体"/>
          <w:spacing w:val="6"/>
          <w:position w:val="2"/>
          <w:sz w:val="21"/>
          <w:szCs w:val="21"/>
        </w:rPr>
        <w:t>,</w:t>
      </w:r>
      <w:r>
        <w:rPr>
          <w:rFonts w:hint="eastAsia" w:ascii="宋体" w:hAnsi="宋体" w:eastAsia="宋体" w:cs="宋体"/>
          <w:spacing w:val="6"/>
          <w:position w:val="1"/>
          <w:sz w:val="21"/>
          <w:szCs w:val="21"/>
        </w:rPr>
        <w:t>基础设施即服务）市场中亚马逊占市场份额</w:t>
      </w:r>
      <w:r>
        <w:rPr>
          <w:rFonts w:hint="eastAsia" w:ascii="宋体" w:hAnsi="宋体" w:eastAsia="宋体" w:cs="宋体"/>
          <w:spacing w:val="-9"/>
          <w:sz w:val="21"/>
          <w:szCs w:val="21"/>
        </w:rPr>
        <w:t>为</w:t>
      </w:r>
      <w:r>
        <w:rPr>
          <w:rFonts w:hint="eastAsia" w:ascii="宋体" w:hAnsi="宋体" w:eastAsia="宋体" w:cs="宋体"/>
          <w:spacing w:val="-9"/>
          <w:position w:val="-1"/>
          <w:sz w:val="21"/>
          <w:szCs w:val="21"/>
        </w:rPr>
        <w:t>40%</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其后为微软</w:t>
      </w:r>
      <w:r>
        <w:rPr>
          <w:rFonts w:hint="eastAsia" w:ascii="宋体" w:hAnsi="宋体" w:eastAsia="宋体" w:cs="宋体"/>
          <w:spacing w:val="-9"/>
          <w:position w:val="-1"/>
          <w:sz w:val="21"/>
          <w:szCs w:val="21"/>
        </w:rPr>
        <w:t>21.5%</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阿里云</w:t>
      </w:r>
      <w:r>
        <w:rPr>
          <w:rFonts w:hint="eastAsia" w:ascii="宋体" w:hAnsi="宋体" w:eastAsia="宋体" w:cs="宋体"/>
          <w:spacing w:val="-9"/>
          <w:position w:val="-1"/>
          <w:sz w:val="21"/>
          <w:szCs w:val="21"/>
        </w:rPr>
        <w:t>7.7%</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谷歌云</w:t>
      </w:r>
      <w:r>
        <w:rPr>
          <w:rFonts w:hint="eastAsia" w:ascii="宋体" w:hAnsi="宋体" w:eastAsia="宋体" w:cs="宋体"/>
          <w:spacing w:val="-9"/>
          <w:position w:val="-1"/>
          <w:sz w:val="21"/>
          <w:szCs w:val="21"/>
        </w:rPr>
        <w:t>7.5%</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华为云</w:t>
      </w:r>
      <w:r>
        <w:rPr>
          <w:rFonts w:hint="eastAsia" w:ascii="宋体" w:hAnsi="宋体" w:eastAsia="宋体" w:cs="宋体"/>
          <w:spacing w:val="-9"/>
          <w:position w:val="-1"/>
          <w:sz w:val="21"/>
          <w:szCs w:val="21"/>
        </w:rPr>
        <w:t>4.4%</w:t>
      </w:r>
      <w:r>
        <w:rPr>
          <w:rStyle w:val="20"/>
          <w:rFonts w:hint="eastAsia" w:ascii="宋体" w:hAnsi="宋体" w:eastAsia="宋体" w:cs="宋体"/>
          <w:spacing w:val="-9"/>
          <w:position w:val="-1"/>
          <w:sz w:val="21"/>
          <w:szCs w:val="21"/>
        </w:rPr>
        <w:footnoteReference w:id="1405"/>
      </w:r>
      <w:r>
        <w:rPr>
          <w:rFonts w:hint="eastAsia" w:ascii="宋体" w:hAnsi="宋体" w:eastAsia="宋体" w:cs="宋体"/>
          <w:spacing w:val="7"/>
          <w:sz w:val="21"/>
          <w:szCs w:val="21"/>
        </w:rPr>
        <w:t>。“资本害怕没有利润或</w:t>
      </w:r>
      <w:r>
        <w:rPr>
          <w:rFonts w:hint="eastAsia" w:ascii="宋体" w:hAnsi="宋体" w:eastAsia="宋体" w:cs="宋体"/>
          <w:spacing w:val="2"/>
          <w:sz w:val="21"/>
          <w:szCs w:val="21"/>
        </w:rPr>
        <w:t>利润太少，就像自然界害怕真空一样。”</w:t>
      </w:r>
      <w:r>
        <w:rPr>
          <w:rStyle w:val="20"/>
          <w:rFonts w:hint="eastAsia" w:ascii="宋体" w:hAnsi="宋体" w:eastAsia="宋体" w:cs="宋体"/>
          <w:spacing w:val="2"/>
          <w:sz w:val="21"/>
          <w:szCs w:val="21"/>
        </w:rPr>
        <w:footnoteReference w:id="1406"/>
      </w:r>
      <w:r>
        <w:rPr>
          <w:rFonts w:hint="eastAsia" w:ascii="宋体" w:hAnsi="宋体" w:eastAsia="宋体" w:cs="宋体"/>
          <w:spacing w:val="2"/>
          <w:sz w:val="21"/>
          <w:szCs w:val="21"/>
        </w:rPr>
        <w:t>数字资本利用数字要素的垄断属性，在市场竞争中不断扩</w:t>
      </w:r>
      <w:r>
        <w:rPr>
          <w:rFonts w:hint="eastAsia" w:ascii="宋体" w:hAnsi="宋体" w:eastAsia="宋体" w:cs="宋体"/>
          <w:spacing w:val="14"/>
          <w:sz w:val="21"/>
          <w:szCs w:val="21"/>
        </w:rPr>
        <w:t>大自己的垄断优势，获得超额利润。数字资本的垄断趋势使其进一步支配生产要素与市场规则，</w:t>
      </w:r>
      <w:r>
        <w:rPr>
          <w:rFonts w:hint="eastAsia" w:ascii="宋体" w:hAnsi="宋体" w:eastAsia="宋体" w:cs="宋体"/>
          <w:spacing w:val="12"/>
          <w:sz w:val="21"/>
          <w:szCs w:val="21"/>
        </w:rPr>
        <w:t>进而在不断巩固和扩大自身权力的过程中，必然地寻求在全球范围内的扩张与固化，为数字霸权</w:t>
      </w:r>
      <w:r>
        <w:rPr>
          <w:rFonts w:hint="eastAsia" w:ascii="宋体" w:hAnsi="宋体" w:eastAsia="宋体" w:cs="宋体"/>
          <w:spacing w:val="11"/>
          <w:sz w:val="21"/>
          <w:szCs w:val="21"/>
        </w:rPr>
        <w:t>开辟道路。</w:t>
      </w:r>
    </w:p>
    <w:p w14:paraId="4BC25D0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textAlignment w:val="baseline"/>
        <w:outlineLvl w:val="9"/>
        <w:rPr>
          <w:rFonts w:hint="eastAsia" w:ascii="宋体" w:hAnsi="宋体" w:eastAsia="宋体" w:cs="宋体"/>
          <w:b/>
          <w:bCs/>
          <w:sz w:val="21"/>
          <w:szCs w:val="21"/>
        </w:rPr>
      </w:pPr>
      <w:r>
        <w:rPr>
          <w:rFonts w:hint="eastAsia" w:ascii="宋体" w:hAnsi="宋体" w:eastAsia="宋体" w:cs="宋体"/>
          <w:b/>
          <w:bCs/>
          <w:spacing w:val="8"/>
          <w:sz w:val="21"/>
          <w:szCs w:val="21"/>
        </w:rPr>
        <w:t>（二）从垄断资本到数字帝国：霸权形成的全球扩张</w:t>
      </w:r>
    </w:p>
    <w:p w14:paraId="4BE73FA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3"/>
          <w:sz w:val="21"/>
          <w:szCs w:val="21"/>
        </w:rPr>
        <w:t>当马克思意识到，“伴随生产力的提高而来的是大资本的统治加强</w:t>
      </w:r>
      <w:r>
        <w:rPr>
          <w:rFonts w:hint="eastAsia" w:ascii="宋体" w:hAnsi="宋体" w:eastAsia="宋体" w:cs="宋体"/>
          <w:spacing w:val="3"/>
          <w:position w:val="4"/>
          <w:sz w:val="21"/>
          <w:szCs w:val="21"/>
        </w:rPr>
        <w:t>”</w:t>
      </w:r>
      <w:r>
        <w:rPr>
          <w:rStyle w:val="20"/>
          <w:rFonts w:hint="eastAsia" w:ascii="宋体" w:hAnsi="宋体" w:eastAsia="宋体" w:cs="宋体"/>
          <w:spacing w:val="3"/>
          <w:position w:val="4"/>
          <w:sz w:val="21"/>
          <w:szCs w:val="21"/>
        </w:rPr>
        <w:footnoteReference w:id="1407"/>
      </w:r>
      <w:r>
        <w:rPr>
          <w:rFonts w:hint="eastAsia" w:ascii="宋体" w:hAnsi="宋体" w:eastAsia="宋体" w:cs="宋体"/>
          <w:spacing w:val="3"/>
          <w:sz w:val="21"/>
          <w:szCs w:val="21"/>
        </w:rPr>
        <w:t>时，资本表现为了一种在</w:t>
      </w:r>
      <w:r>
        <w:rPr>
          <w:rFonts w:hint="eastAsia" w:ascii="宋体" w:hAnsi="宋体" w:eastAsia="宋体" w:cs="宋体"/>
          <w:spacing w:val="7"/>
          <w:sz w:val="21"/>
          <w:szCs w:val="21"/>
        </w:rPr>
        <w:t>资产阶级社会中的重要的社会生产关系，统治了社会。数字资本的垄断结构一旦形成，其内在无</w:t>
      </w:r>
      <w:r>
        <w:rPr>
          <w:rFonts w:hint="eastAsia" w:ascii="宋体" w:hAnsi="宋体" w:eastAsia="宋体" w:cs="宋体"/>
          <w:spacing w:val="6"/>
          <w:sz w:val="21"/>
          <w:szCs w:val="21"/>
        </w:rPr>
        <w:t>限增殖的逻辑便能突破地理限制，在全球范围内系统性掠夺数据资源、控制数字基础设施、主导数</w:t>
      </w:r>
      <w:r>
        <w:rPr>
          <w:rFonts w:hint="eastAsia" w:ascii="宋体" w:hAnsi="宋体" w:eastAsia="宋体" w:cs="宋体"/>
          <w:spacing w:val="7"/>
          <w:sz w:val="21"/>
          <w:szCs w:val="21"/>
        </w:rPr>
        <w:t>字技术标准，从而获得全球性、制度化的经济依附体系，并渗透至意识形态领域中，上</w:t>
      </w:r>
      <w:r>
        <w:rPr>
          <w:rFonts w:hint="eastAsia" w:ascii="宋体" w:hAnsi="宋体" w:eastAsia="宋体" w:cs="宋体"/>
          <w:spacing w:val="6"/>
          <w:sz w:val="21"/>
          <w:szCs w:val="21"/>
        </w:rPr>
        <w:t>升为世界范</w:t>
      </w:r>
      <w:r>
        <w:rPr>
          <w:rFonts w:hint="eastAsia" w:ascii="宋体" w:hAnsi="宋体" w:eastAsia="宋体" w:cs="宋体"/>
          <w:spacing w:val="14"/>
          <w:sz w:val="21"/>
          <w:szCs w:val="21"/>
        </w:rPr>
        <w:t>围内的数字霸权。</w:t>
      </w:r>
    </w:p>
    <w:p w14:paraId="4FFB7FA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数字霸权的形成，开始于以对数据掠夺为表现的数字社会的“资本原始积累”，并通</w:t>
      </w:r>
      <w:r>
        <w:rPr>
          <w:rFonts w:hint="eastAsia" w:ascii="宋体" w:hAnsi="宋体" w:eastAsia="宋体" w:cs="宋体"/>
          <w:spacing w:val="-2"/>
          <w:sz w:val="21"/>
          <w:szCs w:val="21"/>
        </w:rPr>
        <w:t>过与产业、</w:t>
      </w:r>
      <w:r>
        <w:rPr>
          <w:rFonts w:hint="eastAsia" w:ascii="宋体" w:hAnsi="宋体" w:eastAsia="宋体" w:cs="宋体"/>
          <w:spacing w:val="14"/>
          <w:sz w:val="21"/>
          <w:szCs w:val="21"/>
        </w:rPr>
        <w:t>金融资本的深度融合确立其支配地位，最终在全球范围内构建起对数字资源的系统</w:t>
      </w:r>
      <w:r>
        <w:rPr>
          <w:rFonts w:hint="eastAsia" w:ascii="宋体" w:hAnsi="宋体" w:eastAsia="宋体" w:cs="宋体"/>
          <w:spacing w:val="13"/>
          <w:sz w:val="21"/>
          <w:szCs w:val="21"/>
        </w:rPr>
        <w:t>性控制。相较</w:t>
      </w:r>
      <w:r>
        <w:rPr>
          <w:rFonts w:hint="eastAsia" w:ascii="宋体" w:hAnsi="宋体" w:eastAsia="宋体" w:cs="宋体"/>
          <w:spacing w:val="5"/>
          <w:sz w:val="21"/>
          <w:szCs w:val="21"/>
        </w:rPr>
        <w:t>于资本原始积累建立在“征服、奴役、掠夺、杀戮”之上，数字时</w:t>
      </w:r>
      <w:r>
        <w:rPr>
          <w:rFonts w:hint="eastAsia" w:ascii="宋体" w:hAnsi="宋体" w:eastAsia="宋体" w:cs="宋体"/>
          <w:spacing w:val="4"/>
          <w:sz w:val="21"/>
          <w:szCs w:val="21"/>
        </w:rPr>
        <w:t>代的积累显得更具隐蔽性。数字平</w:t>
      </w:r>
      <w:r>
        <w:rPr>
          <w:rFonts w:hint="eastAsia" w:ascii="宋体" w:hAnsi="宋体" w:eastAsia="宋体" w:cs="宋体"/>
          <w:spacing w:val="16"/>
          <w:sz w:val="21"/>
          <w:szCs w:val="21"/>
        </w:rPr>
        <w:t>台巨头以前置协议为手段，通过技术入口无偿获得全球用户的数据信息，并将其转化为垄断性的</w:t>
      </w:r>
      <w:r>
        <w:rPr>
          <w:rFonts w:hint="eastAsia" w:ascii="宋体" w:hAnsi="宋体" w:eastAsia="宋体" w:cs="宋体"/>
          <w:spacing w:val="7"/>
          <w:sz w:val="21"/>
          <w:szCs w:val="21"/>
        </w:rPr>
        <w:t>“数字资产”。如美国《云法案》允许进行跨境调取存储在美国企业服</w:t>
      </w:r>
      <w:r>
        <w:rPr>
          <w:rFonts w:hint="eastAsia" w:ascii="宋体" w:hAnsi="宋体" w:eastAsia="宋体" w:cs="宋体"/>
          <w:spacing w:val="6"/>
          <w:sz w:val="21"/>
          <w:szCs w:val="21"/>
        </w:rPr>
        <w:t>务器上的全球数据。进一步，</w:t>
      </w:r>
      <w:r>
        <w:rPr>
          <w:rFonts w:hint="eastAsia" w:ascii="宋体" w:hAnsi="宋体" w:eastAsia="宋体" w:cs="宋体"/>
          <w:spacing w:val="13"/>
          <w:sz w:val="21"/>
          <w:szCs w:val="21"/>
        </w:rPr>
        <w:t>数字资本像列宁所描述的金融资本那样，在与金融资本和产业资本的深度融合中，形成新型垄断</w:t>
      </w:r>
      <w:r>
        <w:rPr>
          <w:rFonts w:hint="eastAsia" w:ascii="宋体" w:hAnsi="宋体" w:eastAsia="宋体" w:cs="宋体"/>
          <w:spacing w:val="-1"/>
          <w:sz w:val="21"/>
          <w:szCs w:val="21"/>
        </w:rPr>
        <w:t>资本形态。这种“数字—产业—金融”的复合资本形态凭借在数据、算法、</w:t>
      </w:r>
      <w:r>
        <w:rPr>
          <w:rFonts w:hint="eastAsia" w:ascii="宋体" w:hAnsi="宋体" w:eastAsia="宋体" w:cs="宋体"/>
          <w:spacing w:val="-2"/>
          <w:sz w:val="21"/>
          <w:szCs w:val="21"/>
        </w:rPr>
        <w:t>资本上的优势，成为支配</w:t>
      </w:r>
      <w:r>
        <w:rPr>
          <w:rFonts w:hint="eastAsia" w:ascii="宋体" w:hAnsi="宋体" w:eastAsia="宋体" w:cs="宋体"/>
          <w:spacing w:val="8"/>
          <w:sz w:val="21"/>
          <w:szCs w:val="21"/>
        </w:rPr>
        <w:t>整个社会生产的力量，正如谷歌、亚马逊等数字巨头在垄断数据、云计算的同</w:t>
      </w:r>
      <w:r>
        <w:rPr>
          <w:rFonts w:hint="eastAsia" w:ascii="宋体" w:hAnsi="宋体" w:eastAsia="宋体" w:cs="宋体"/>
          <w:spacing w:val="7"/>
          <w:sz w:val="21"/>
          <w:szCs w:val="21"/>
        </w:rPr>
        <w:t>时，进入实体产业与</w:t>
      </w:r>
      <w:r>
        <w:rPr>
          <w:rFonts w:hint="eastAsia" w:ascii="宋体" w:hAnsi="宋体" w:eastAsia="宋体" w:cs="宋体"/>
          <w:spacing w:val="6"/>
          <w:sz w:val="21"/>
          <w:szCs w:val="21"/>
        </w:rPr>
        <w:t>金融科技领域，形成对经济的深度掌控。最终</w:t>
      </w:r>
      <w:r>
        <w:rPr>
          <w:rFonts w:hint="eastAsia" w:ascii="宋体" w:hAnsi="宋体" w:eastAsia="宋体" w:cs="宋体"/>
          <w:spacing w:val="5"/>
          <w:sz w:val="21"/>
          <w:szCs w:val="21"/>
        </w:rPr>
        <w:t>，在技术革命的推动下，最先拥有数字技术、数字基</w:t>
      </w:r>
      <w:r>
        <w:rPr>
          <w:rFonts w:hint="eastAsia" w:ascii="宋体" w:hAnsi="宋体" w:eastAsia="宋体" w:cs="宋体"/>
          <w:spacing w:val="17"/>
          <w:sz w:val="21"/>
          <w:szCs w:val="21"/>
        </w:rPr>
        <w:t>础设施的西方资本主义国家，对尚未完成数字化的国家和地区展开了数据资源</w:t>
      </w:r>
      <w:r>
        <w:rPr>
          <w:rFonts w:hint="eastAsia" w:ascii="宋体" w:hAnsi="宋体" w:eastAsia="宋体" w:cs="宋体"/>
          <w:spacing w:val="16"/>
          <w:sz w:val="21"/>
          <w:szCs w:val="21"/>
        </w:rPr>
        <w:t>的系统性掠夺，并</w:t>
      </w:r>
      <w:r>
        <w:rPr>
          <w:rFonts w:hint="eastAsia" w:ascii="宋体" w:hAnsi="宋体" w:eastAsia="宋体" w:cs="宋体"/>
          <w:spacing w:val="18"/>
          <w:sz w:val="21"/>
          <w:szCs w:val="21"/>
        </w:rPr>
        <w:t>在长期的垄断中形成巨大的数字技术鸿沟，以数字资本方式对全世界进</w:t>
      </w:r>
      <w:r>
        <w:rPr>
          <w:rFonts w:hint="eastAsia" w:ascii="宋体" w:hAnsi="宋体" w:eastAsia="宋体" w:cs="宋体"/>
          <w:spacing w:val="17"/>
          <w:sz w:val="21"/>
          <w:szCs w:val="21"/>
        </w:rPr>
        <w:t>行控制和剥削奠定基础。</w:t>
      </w:r>
    </w:p>
    <w:p w14:paraId="47AF9AD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数字霸权的最终确立，并不止步于对资源的系统性控制，而是通过掌握</w:t>
      </w:r>
      <w:r>
        <w:rPr>
          <w:rFonts w:hint="eastAsia" w:ascii="宋体" w:hAnsi="宋体" w:eastAsia="宋体" w:cs="宋体"/>
          <w:spacing w:val="16"/>
          <w:sz w:val="21"/>
          <w:szCs w:val="21"/>
        </w:rPr>
        <w:t>全球数字技术标准与</w:t>
      </w:r>
      <w:r>
        <w:rPr>
          <w:rFonts w:hint="eastAsia" w:ascii="宋体" w:hAnsi="宋体" w:eastAsia="宋体" w:cs="宋体"/>
          <w:spacing w:val="6"/>
          <w:sz w:val="21"/>
          <w:szCs w:val="21"/>
        </w:rPr>
        <w:t>基础设施，构建起制度化的经济依附体系，继而形成霸权国家指定规则，依附国家被动遵从全球数</w:t>
      </w:r>
      <w:r>
        <w:rPr>
          <w:rFonts w:hint="eastAsia" w:ascii="宋体" w:hAnsi="宋体" w:eastAsia="宋体" w:cs="宋体"/>
          <w:spacing w:val="11"/>
          <w:sz w:val="21"/>
          <w:szCs w:val="21"/>
        </w:rPr>
        <w:t>字治理秩序。在全球范围内控制数字资源的资本，将自身的技术标准、数据规整和平台协议上升为带有强制性性质的国际规范与商业标准，迫使后发国家在数字化进程中</w:t>
      </w:r>
      <w:r>
        <w:rPr>
          <w:rFonts w:hint="eastAsia" w:ascii="宋体" w:hAnsi="宋体" w:eastAsia="宋体" w:cs="宋体"/>
          <w:spacing w:val="10"/>
          <w:sz w:val="21"/>
          <w:szCs w:val="21"/>
        </w:rPr>
        <w:t>陷入由霸权国家建立的</w:t>
      </w:r>
      <w:r>
        <w:rPr>
          <w:rFonts w:hint="eastAsia" w:ascii="宋体" w:hAnsi="宋体" w:eastAsia="宋体" w:cs="宋体"/>
          <w:spacing w:val="6"/>
          <w:sz w:val="21"/>
          <w:szCs w:val="21"/>
        </w:rPr>
        <w:t>数字生态中，形成对霸权国家的系统性依赖。由此，经济主权被数字技术依赖所侵蚀，全球数字价</w:t>
      </w:r>
      <w:r>
        <w:rPr>
          <w:rFonts w:hint="eastAsia" w:ascii="宋体" w:hAnsi="宋体" w:eastAsia="宋体" w:cs="宋体"/>
          <w:spacing w:val="12"/>
          <w:sz w:val="21"/>
          <w:szCs w:val="21"/>
        </w:rPr>
        <w:t>值链被深度重构，形成了制度化的经济依附体系。最终，这种制度化的经济</w:t>
      </w:r>
      <w:r>
        <w:rPr>
          <w:rFonts w:hint="eastAsia" w:ascii="宋体" w:hAnsi="宋体" w:eastAsia="宋体" w:cs="宋体"/>
          <w:spacing w:val="11"/>
          <w:sz w:val="21"/>
          <w:szCs w:val="21"/>
        </w:rPr>
        <w:t>依附体系成功地将私有的商业逻辑转化为普适性的公共规范，催生并巩固成为一种新型的全球数字治理秩序。</w:t>
      </w:r>
      <w:r>
        <w:rPr>
          <w:rFonts w:hint="eastAsia" w:ascii="宋体" w:hAnsi="宋体" w:eastAsia="宋体" w:cs="宋体"/>
          <w:spacing w:val="10"/>
          <w:sz w:val="21"/>
          <w:szCs w:val="21"/>
        </w:rPr>
        <w:t>这不仅</w:t>
      </w:r>
      <w:r>
        <w:rPr>
          <w:rFonts w:hint="eastAsia" w:ascii="宋体" w:hAnsi="宋体" w:eastAsia="宋体" w:cs="宋体"/>
          <w:spacing w:val="15"/>
          <w:sz w:val="21"/>
          <w:szCs w:val="21"/>
        </w:rPr>
        <w:t>在技术层面锁定了边缘国家的发展路径，更在治</w:t>
      </w:r>
      <w:r>
        <w:rPr>
          <w:rFonts w:hint="eastAsia" w:ascii="宋体" w:hAnsi="宋体" w:eastAsia="宋体" w:cs="宋体"/>
          <w:spacing w:val="14"/>
          <w:sz w:val="21"/>
          <w:szCs w:val="21"/>
        </w:rPr>
        <w:t>理与法律层面，系统地剥夺了后发国家参与规则</w:t>
      </w:r>
      <w:r>
        <w:rPr>
          <w:rFonts w:hint="eastAsia" w:ascii="宋体" w:hAnsi="宋体" w:eastAsia="宋体" w:cs="宋体"/>
          <w:spacing w:val="2"/>
          <w:sz w:val="21"/>
          <w:szCs w:val="21"/>
        </w:rPr>
        <w:t>制定的实质性权利，构建起一个层级分明、权力固化的全球数字架构，形成“规则霸权、数据剥夺、利润回流”为闭环的、更具隐蔽性和结构性的全球利益收割状态。这标志</w:t>
      </w:r>
      <w:r>
        <w:rPr>
          <w:rFonts w:hint="eastAsia" w:ascii="宋体" w:hAnsi="宋体" w:eastAsia="宋体" w:cs="宋体"/>
          <w:spacing w:val="1"/>
          <w:sz w:val="21"/>
          <w:szCs w:val="21"/>
        </w:rPr>
        <w:t>着资本积累的全球控制，</w:t>
      </w:r>
      <w:r>
        <w:rPr>
          <w:rFonts w:hint="eastAsia" w:ascii="宋体" w:hAnsi="宋体" w:eastAsia="宋体" w:cs="宋体"/>
          <w:spacing w:val="14"/>
          <w:sz w:val="21"/>
          <w:szCs w:val="21"/>
        </w:rPr>
        <w:t>已经从对实体资源的掠夺，转向对数字生态及其规则体系的全面支配。</w:t>
      </w:r>
    </w:p>
    <w:p w14:paraId="5306177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从表面上看，数字资本的作用力并不如马克</w:t>
      </w:r>
      <w:r>
        <w:rPr>
          <w:rFonts w:hint="eastAsia" w:ascii="宋体" w:hAnsi="宋体" w:eastAsia="宋体" w:cs="宋体"/>
          <w:spacing w:val="15"/>
          <w:sz w:val="21"/>
          <w:szCs w:val="21"/>
        </w:rPr>
        <w:t>思所处时代所表现的那样血腥和严酷，但它所具</w:t>
      </w:r>
      <w:r>
        <w:rPr>
          <w:rFonts w:hint="eastAsia" w:ascii="宋体" w:hAnsi="宋体" w:eastAsia="宋体" w:cs="宋体"/>
          <w:spacing w:val="3"/>
          <w:sz w:val="21"/>
          <w:szCs w:val="21"/>
        </w:rPr>
        <w:t>有的食人内核并没有发生丝毫改变。任何资本主义框架下的“技术进</w:t>
      </w:r>
      <w:r>
        <w:rPr>
          <w:rFonts w:hint="eastAsia" w:ascii="宋体" w:hAnsi="宋体" w:eastAsia="宋体" w:cs="宋体"/>
          <w:spacing w:val="2"/>
          <w:sz w:val="21"/>
          <w:szCs w:val="21"/>
        </w:rPr>
        <w:t>步”，其最终归宿都必然是将</w:t>
      </w:r>
      <w:r>
        <w:rPr>
          <w:rFonts w:hint="eastAsia" w:ascii="宋体" w:hAnsi="宋体" w:eastAsia="宋体" w:cs="宋体"/>
          <w:spacing w:val="9"/>
          <w:sz w:val="21"/>
          <w:szCs w:val="21"/>
        </w:rPr>
        <w:t>技术效率提升所创造的巨大财富向资本端高度集中，从而在更隐秘的维度上加剧阶级对立。以美</w:t>
      </w:r>
      <w:r>
        <w:rPr>
          <w:rFonts w:hint="eastAsia" w:ascii="宋体" w:hAnsi="宋体" w:eastAsia="宋体" w:cs="宋体"/>
          <w:spacing w:val="11"/>
          <w:sz w:val="21"/>
          <w:szCs w:val="21"/>
        </w:rPr>
        <w:t>国等为代表的数字帝国在全球范围内形成，并成为传播文化</w:t>
      </w:r>
      <w:r>
        <w:rPr>
          <w:rFonts w:hint="eastAsia" w:ascii="宋体" w:hAnsi="宋体" w:eastAsia="宋体" w:cs="宋体"/>
          <w:spacing w:val="10"/>
          <w:sz w:val="21"/>
          <w:szCs w:val="21"/>
        </w:rPr>
        <w:t>、思想和意识形态的新的土壤。新自</w:t>
      </w:r>
      <w:r>
        <w:rPr>
          <w:rFonts w:hint="eastAsia" w:ascii="宋体" w:hAnsi="宋体" w:eastAsia="宋体" w:cs="宋体"/>
          <w:spacing w:val="19"/>
          <w:sz w:val="21"/>
          <w:szCs w:val="21"/>
        </w:rPr>
        <w:t>由主义成为数字帝国霸权为自身经济利益更好进行保护贸易的遮掩。数字资本的运动逻辑</w:t>
      </w:r>
      <w:r>
        <w:rPr>
          <w:rFonts w:hint="eastAsia" w:ascii="宋体" w:hAnsi="宋体" w:eastAsia="宋体" w:cs="宋体"/>
          <w:spacing w:val="18"/>
          <w:sz w:val="21"/>
          <w:szCs w:val="21"/>
        </w:rPr>
        <w:t>在资</w:t>
      </w:r>
      <w:r>
        <w:rPr>
          <w:rFonts w:hint="eastAsia" w:ascii="宋体" w:hAnsi="宋体" w:eastAsia="宋体" w:cs="宋体"/>
          <w:spacing w:val="17"/>
          <w:sz w:val="21"/>
          <w:szCs w:val="21"/>
        </w:rPr>
        <w:t>本主义条件下依然表现为一个阶级对立的剥削世界。</w:t>
      </w:r>
    </w:p>
    <w:p w14:paraId="690A98D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outlineLvl w:val="9"/>
        <w:rPr>
          <w:rFonts w:hint="eastAsia" w:ascii="宋体" w:hAnsi="宋体" w:eastAsia="宋体" w:cs="宋体"/>
          <w:b/>
          <w:bCs/>
          <w:spacing w:val="0"/>
          <w:w w:val="100"/>
          <w:position w:val="0"/>
          <w:sz w:val="24"/>
          <w:szCs w:val="24"/>
        </w:rPr>
      </w:pPr>
      <w:r>
        <w:rPr>
          <w:rFonts w:hint="eastAsia" w:ascii="宋体" w:hAnsi="宋体" w:eastAsia="宋体" w:cs="宋体"/>
          <w:b/>
          <w:bCs/>
          <w:spacing w:val="0"/>
          <w:w w:val="100"/>
          <w:position w:val="0"/>
          <w:sz w:val="24"/>
          <w:szCs w:val="24"/>
        </w:rPr>
        <w:t>四、引导数字资本规范发展</w:t>
      </w:r>
    </w:p>
    <w:p w14:paraId="0E35FF6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5F08DB0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4"/>
          <w:position w:val="-1"/>
          <w:sz w:val="21"/>
          <w:szCs w:val="21"/>
        </w:rPr>
        <w:t>1994</w:t>
      </w:r>
      <w:r>
        <w:rPr>
          <w:rFonts w:hint="eastAsia" w:ascii="宋体" w:hAnsi="宋体" w:eastAsia="宋体" w:cs="宋体"/>
          <w:spacing w:val="4"/>
          <w:sz w:val="21"/>
          <w:szCs w:val="21"/>
        </w:rPr>
        <w:t>年我国实现互联网的全功能链接</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逐步融入全球数字经济发展格局</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在经历</w:t>
      </w:r>
      <w:r>
        <w:rPr>
          <w:rFonts w:hint="eastAsia" w:ascii="宋体" w:hAnsi="宋体" w:eastAsia="宋体" w:cs="宋体"/>
          <w:spacing w:val="3"/>
          <w:sz w:val="21"/>
          <w:szCs w:val="21"/>
        </w:rPr>
        <w:t>技术培育</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爆</w:t>
      </w:r>
      <w:r>
        <w:rPr>
          <w:rFonts w:hint="eastAsia" w:ascii="宋体" w:hAnsi="宋体" w:eastAsia="宋体" w:cs="宋体"/>
          <w:spacing w:val="5"/>
          <w:sz w:val="21"/>
          <w:szCs w:val="21"/>
        </w:rPr>
        <w:t>发式增长的历史阶段后，进入深化应用、规</w:t>
      </w:r>
      <w:r>
        <w:rPr>
          <w:rFonts w:hint="eastAsia" w:ascii="宋体" w:hAnsi="宋体" w:eastAsia="宋体" w:cs="宋体"/>
          <w:spacing w:val="4"/>
          <w:sz w:val="21"/>
          <w:szCs w:val="21"/>
        </w:rPr>
        <w:t>范发展、普惠共享的融合协同阶段。三十年的技术突破</w:t>
      </w:r>
      <w:r>
        <w:rPr>
          <w:rFonts w:hint="eastAsia" w:ascii="宋体" w:hAnsi="宋体" w:eastAsia="宋体" w:cs="宋体"/>
          <w:spacing w:val="11"/>
          <w:sz w:val="21"/>
          <w:szCs w:val="21"/>
        </w:rPr>
        <w:t>与实践探索让我国在数据规模、技术平台、数字基础等方面取得了一系列令人瞩目的成就。数字</w:t>
      </w:r>
      <w:r>
        <w:rPr>
          <w:rFonts w:hint="eastAsia" w:ascii="宋体" w:hAnsi="宋体" w:eastAsia="宋体" w:cs="宋体"/>
          <w:spacing w:val="13"/>
          <w:sz w:val="21"/>
          <w:szCs w:val="21"/>
        </w:rPr>
        <w:t>资本的形成和发展，以及数字全球化的深入不仅带来了信息革命对全球经济重组的要求，也蕴含</w:t>
      </w:r>
      <w:r>
        <w:rPr>
          <w:rFonts w:hint="eastAsia" w:ascii="宋体" w:hAnsi="宋体" w:eastAsia="宋体" w:cs="宋体"/>
          <w:spacing w:val="15"/>
          <w:sz w:val="21"/>
          <w:szCs w:val="21"/>
        </w:rPr>
        <w:t>了深层次危机的可能性。为此，在厘清数字资本理论脉络的基础上，引导和规范数字资本健康发</w:t>
      </w:r>
      <w:r>
        <w:rPr>
          <w:rFonts w:hint="eastAsia" w:ascii="宋体" w:hAnsi="宋体" w:eastAsia="宋体" w:cs="宋体"/>
          <w:spacing w:val="12"/>
          <w:sz w:val="21"/>
          <w:szCs w:val="21"/>
        </w:rPr>
        <w:t>展，避免数字资本无序扩张、数字帝国主义蔓延对我国数字经</w:t>
      </w:r>
      <w:r>
        <w:rPr>
          <w:rFonts w:hint="eastAsia" w:ascii="宋体" w:hAnsi="宋体" w:eastAsia="宋体" w:cs="宋体"/>
          <w:spacing w:val="11"/>
          <w:sz w:val="21"/>
          <w:szCs w:val="21"/>
        </w:rPr>
        <w:t>济发展的负面影响。</w:t>
      </w:r>
    </w:p>
    <w:p w14:paraId="60E357F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0"/>
          <w:sz w:val="21"/>
          <w:szCs w:val="21"/>
        </w:rPr>
        <w:t>一是形成合理数字资本格局，规范私有数字资本发展，加大公有数字资本比例。防止国内数</w:t>
      </w:r>
      <w:r>
        <w:rPr>
          <w:rFonts w:hint="eastAsia" w:ascii="宋体" w:hAnsi="宋体" w:eastAsia="宋体" w:cs="宋体"/>
          <w:spacing w:val="8"/>
          <w:sz w:val="21"/>
          <w:szCs w:val="21"/>
        </w:rPr>
        <w:t>字资源私有化的无序扩张，形成数字资本公有属性的主体地位。信息时代数字资本发展关乎国家</w:t>
      </w:r>
      <w:r>
        <w:rPr>
          <w:rFonts w:hint="eastAsia" w:ascii="宋体" w:hAnsi="宋体" w:eastAsia="宋体" w:cs="宋体"/>
          <w:spacing w:val="12"/>
          <w:sz w:val="21"/>
          <w:szCs w:val="21"/>
        </w:rPr>
        <w:t>未来经济态势，数字资本也应体现出我国社</w:t>
      </w:r>
      <w:r>
        <w:rPr>
          <w:rFonts w:hint="eastAsia" w:ascii="宋体" w:hAnsi="宋体" w:eastAsia="宋体" w:cs="宋体"/>
          <w:spacing w:val="11"/>
          <w:sz w:val="21"/>
          <w:szCs w:val="21"/>
        </w:rPr>
        <w:t>会主义基本经济制度中公有制为主体的所有制要求。</w:t>
      </w:r>
      <w:r>
        <w:rPr>
          <w:rFonts w:hint="eastAsia" w:ascii="宋体" w:hAnsi="宋体" w:eastAsia="宋体" w:cs="宋体"/>
          <w:spacing w:val="15"/>
          <w:sz w:val="21"/>
          <w:szCs w:val="21"/>
        </w:rPr>
        <w:t>从资本运动层面，剩余价值规律的作用会推动资本流向高利润部门，平均利润率在市场竞争中促</w:t>
      </w:r>
      <w:r>
        <w:rPr>
          <w:rFonts w:hint="eastAsia" w:ascii="宋体" w:hAnsi="宋体" w:eastAsia="宋体" w:cs="宋体"/>
          <w:spacing w:val="11"/>
          <w:sz w:val="21"/>
          <w:szCs w:val="21"/>
        </w:rPr>
        <w:t>使资本所有者通过技术创新获取超额剩余价值。因此，数字资本的自由发展，一方面会在推动数</w:t>
      </w:r>
      <w:r>
        <w:rPr>
          <w:rFonts w:hint="eastAsia" w:ascii="宋体" w:hAnsi="宋体" w:eastAsia="宋体" w:cs="宋体"/>
          <w:spacing w:val="15"/>
          <w:sz w:val="21"/>
          <w:szCs w:val="21"/>
        </w:rPr>
        <w:t>字技术创新发展中将其带入高技术壁垒，形</w:t>
      </w:r>
      <w:r>
        <w:rPr>
          <w:rFonts w:hint="eastAsia" w:ascii="宋体" w:hAnsi="宋体" w:eastAsia="宋体" w:cs="宋体"/>
          <w:spacing w:val="14"/>
          <w:sz w:val="21"/>
          <w:szCs w:val="21"/>
        </w:rPr>
        <w:t>成寡头的市场状态，另一方面也会由于吸引大量资本</w:t>
      </w:r>
      <w:r>
        <w:rPr>
          <w:rFonts w:hint="eastAsia" w:ascii="宋体" w:hAnsi="宋体" w:eastAsia="宋体" w:cs="宋体"/>
          <w:spacing w:val="2"/>
          <w:sz w:val="21"/>
          <w:szCs w:val="21"/>
        </w:rPr>
        <w:t>流入数字领域，在为数字化而数字化中，阻碍生产的有序进行。从社会层面，数字资本扩张会造成</w:t>
      </w:r>
      <w:r>
        <w:rPr>
          <w:rFonts w:hint="eastAsia" w:ascii="宋体" w:hAnsi="宋体" w:eastAsia="宋体" w:cs="宋体"/>
          <w:spacing w:val="12"/>
          <w:sz w:val="21"/>
          <w:szCs w:val="21"/>
        </w:rPr>
        <w:t>社会资源向数字资本倾斜，过快的数字化发展有可能带来产业调整出现结构</w:t>
      </w:r>
      <w:r>
        <w:rPr>
          <w:rFonts w:hint="eastAsia" w:ascii="宋体" w:hAnsi="宋体" w:eastAsia="宋体" w:cs="宋体"/>
          <w:spacing w:val="11"/>
          <w:sz w:val="21"/>
          <w:szCs w:val="21"/>
        </w:rPr>
        <w:t>性坍塌，数字资源配</w:t>
      </w:r>
      <w:r>
        <w:rPr>
          <w:rFonts w:hint="eastAsia" w:ascii="宋体" w:hAnsi="宋体" w:eastAsia="宋体" w:cs="宋体"/>
          <w:spacing w:val="10"/>
          <w:sz w:val="21"/>
          <w:szCs w:val="21"/>
        </w:rPr>
        <w:t>置方面出现严重缺失等问题。数字资源的应用已经遍及人民生活的各方面，并成为人民日常生产</w:t>
      </w:r>
      <w:r>
        <w:rPr>
          <w:rFonts w:hint="eastAsia" w:ascii="宋体" w:hAnsi="宋体" w:eastAsia="宋体" w:cs="宋体"/>
          <w:spacing w:val="6"/>
          <w:sz w:val="21"/>
          <w:szCs w:val="21"/>
        </w:rPr>
        <w:t>生活中不可或缺的组成部分，数字资本归谁所有、如何使用都会影响人民的正常生活</w:t>
      </w:r>
      <w:r>
        <w:rPr>
          <w:rFonts w:hint="eastAsia" w:ascii="宋体" w:hAnsi="宋体" w:eastAsia="宋体" w:cs="宋体"/>
          <w:spacing w:val="5"/>
          <w:sz w:val="21"/>
          <w:szCs w:val="21"/>
        </w:rPr>
        <w:t>。为此，需要</w:t>
      </w:r>
      <w:r>
        <w:rPr>
          <w:rFonts w:hint="eastAsia" w:ascii="宋体" w:hAnsi="宋体" w:eastAsia="宋体" w:cs="宋体"/>
          <w:spacing w:val="8"/>
          <w:sz w:val="21"/>
          <w:szCs w:val="21"/>
        </w:rPr>
        <w:t>形成数字资本的公有主体性地位，保障数字经济在发展内容、发展速度、发展路径中的合理性，以</w:t>
      </w:r>
      <w:r>
        <w:rPr>
          <w:rFonts w:hint="eastAsia" w:ascii="宋体" w:hAnsi="宋体" w:eastAsia="宋体" w:cs="宋体"/>
          <w:spacing w:val="16"/>
          <w:sz w:val="21"/>
          <w:szCs w:val="21"/>
        </w:rPr>
        <w:t>实现服务于人民的根本宗旨。</w:t>
      </w:r>
    </w:p>
    <w:p w14:paraId="53494BF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二是防止私有数字资本进行排他性恶意竞争，坚持发展与规</w:t>
      </w:r>
      <w:r>
        <w:rPr>
          <w:rFonts w:hint="eastAsia" w:ascii="宋体" w:hAnsi="宋体" w:eastAsia="宋体" w:cs="宋体"/>
          <w:spacing w:val="10"/>
          <w:sz w:val="21"/>
          <w:szCs w:val="21"/>
        </w:rPr>
        <w:t>范的双向并行。资本天然的逐利性使企业在进行数字资本积累中形成垄断趋势，尤其以数字平台为代表的平台经济</w:t>
      </w:r>
      <w:r>
        <w:rPr>
          <w:rFonts w:hint="eastAsia" w:ascii="宋体" w:hAnsi="宋体" w:eastAsia="宋体" w:cs="宋体"/>
          <w:spacing w:val="9"/>
          <w:sz w:val="21"/>
          <w:szCs w:val="21"/>
        </w:rPr>
        <w:t>，在快速发展</w:t>
      </w:r>
      <w:r>
        <w:rPr>
          <w:rFonts w:hint="eastAsia" w:ascii="宋体" w:hAnsi="宋体" w:eastAsia="宋体" w:cs="宋体"/>
          <w:spacing w:val="5"/>
          <w:sz w:val="21"/>
          <w:szCs w:val="21"/>
        </w:rPr>
        <w:t>中不断显现出无序扩张、垄断和不正当竞争等问题。从短期效应方面，数据、算力等要素对传统生</w:t>
      </w:r>
      <w:r>
        <w:rPr>
          <w:rFonts w:hint="eastAsia" w:ascii="宋体" w:hAnsi="宋体" w:eastAsia="宋体" w:cs="宋体"/>
          <w:spacing w:val="14"/>
          <w:sz w:val="21"/>
          <w:szCs w:val="21"/>
        </w:rPr>
        <w:t>产方式的赋能作用会推动企业迅速实现效率提</w:t>
      </w:r>
      <w:r>
        <w:rPr>
          <w:rFonts w:hint="eastAsia" w:ascii="宋体" w:hAnsi="宋体" w:eastAsia="宋体" w:cs="宋体"/>
          <w:spacing w:val="13"/>
          <w:sz w:val="21"/>
          <w:szCs w:val="21"/>
        </w:rPr>
        <w:t>升、配置优化等特征，表现出数字资本对社会经济</w:t>
      </w:r>
      <w:r>
        <w:rPr>
          <w:rFonts w:hint="eastAsia" w:ascii="宋体" w:hAnsi="宋体" w:eastAsia="宋体" w:cs="宋体"/>
          <w:spacing w:val="7"/>
          <w:sz w:val="21"/>
          <w:szCs w:val="21"/>
        </w:rPr>
        <w:t>发展的强劲助力作用。从长期效应方面，资本集中和集聚表现在数据垄断、算力壁垒、技术专利、</w:t>
      </w:r>
      <w:r>
        <w:rPr>
          <w:rFonts w:hint="eastAsia" w:ascii="宋体" w:hAnsi="宋体" w:eastAsia="宋体" w:cs="宋体"/>
          <w:spacing w:val="9"/>
          <w:sz w:val="21"/>
          <w:szCs w:val="21"/>
        </w:rPr>
        <w:t>算法控制等多方面的寡头特征，阻碍社会经济进一</w:t>
      </w:r>
      <w:r>
        <w:rPr>
          <w:rFonts w:hint="eastAsia" w:ascii="宋体" w:hAnsi="宋体" w:eastAsia="宋体" w:cs="宋体"/>
          <w:spacing w:val="8"/>
          <w:sz w:val="21"/>
          <w:szCs w:val="21"/>
        </w:rPr>
        <w:t>步的多维发展态势。为此，一方面应推进数字</w:t>
      </w:r>
      <w:r>
        <w:rPr>
          <w:rFonts w:hint="eastAsia" w:ascii="宋体" w:hAnsi="宋体" w:eastAsia="宋体" w:cs="宋体"/>
          <w:spacing w:val="3"/>
          <w:sz w:val="21"/>
          <w:szCs w:val="21"/>
        </w:rPr>
        <w:t>化赋能各项产业的规范应用，以及健全相应的制度规定，另一方面，应继续完善数字资本市场相关</w:t>
      </w:r>
      <w:r>
        <w:rPr>
          <w:rFonts w:hint="eastAsia" w:ascii="宋体" w:hAnsi="宋体" w:eastAsia="宋体" w:cs="宋体"/>
          <w:spacing w:val="11"/>
          <w:sz w:val="21"/>
          <w:szCs w:val="21"/>
        </w:rPr>
        <w:t>法律法规，加强对数据、算力、算器等要素的所有和使用规制，形成良好的</w:t>
      </w:r>
      <w:r>
        <w:rPr>
          <w:rFonts w:hint="eastAsia" w:ascii="宋体" w:hAnsi="宋体" w:eastAsia="宋体" w:cs="宋体"/>
          <w:spacing w:val="10"/>
          <w:sz w:val="21"/>
          <w:szCs w:val="21"/>
        </w:rPr>
        <w:t>市场环境和良性竞争体</w:t>
      </w:r>
      <w:r>
        <w:rPr>
          <w:rFonts w:hint="eastAsia" w:ascii="宋体" w:hAnsi="宋体" w:eastAsia="宋体" w:cs="宋体"/>
          <w:spacing w:val="12"/>
          <w:sz w:val="21"/>
          <w:szCs w:val="21"/>
        </w:rPr>
        <w:t>系，让数字资本在发展与规范的并行体系中，成为推动社会经济发展的持续性动力。</w:t>
      </w:r>
    </w:p>
    <w:p w14:paraId="4AC24F2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
          <w:sz w:val="21"/>
          <w:szCs w:val="21"/>
        </w:rPr>
        <w:t>三是防止“大数据”资源乱用现象，坚持数据“取之于民、用之于民”原则。数据资源是数字资</w:t>
      </w:r>
      <w:r>
        <w:rPr>
          <w:rFonts w:hint="eastAsia" w:ascii="宋体" w:hAnsi="宋体" w:eastAsia="宋体" w:cs="宋体"/>
          <w:spacing w:val="-3"/>
          <w:sz w:val="21"/>
          <w:szCs w:val="21"/>
        </w:rPr>
        <w:t>本的最核心要素，其所拥有的体量大、来源广、生产快、多变化等特征，不仅能够</w:t>
      </w:r>
      <w:r>
        <w:rPr>
          <w:rFonts w:hint="eastAsia" w:ascii="宋体" w:hAnsi="宋体" w:eastAsia="宋体" w:cs="宋体"/>
          <w:spacing w:val="-4"/>
          <w:sz w:val="21"/>
          <w:szCs w:val="21"/>
        </w:rPr>
        <w:t>成为推进生产生活</w:t>
      </w:r>
      <w:r>
        <w:rPr>
          <w:rFonts w:hint="eastAsia" w:ascii="宋体" w:hAnsi="宋体" w:eastAsia="宋体" w:cs="宋体"/>
          <w:spacing w:val="4"/>
          <w:sz w:val="21"/>
          <w:szCs w:val="21"/>
        </w:rPr>
        <w:t>的重要引擎，也带来了数据偏差、信息安全、不公平竞争等问题。</w:t>
      </w:r>
      <w:r>
        <w:rPr>
          <w:rFonts w:hint="eastAsia" w:ascii="宋体" w:hAnsi="宋体" w:eastAsia="宋体" w:cs="宋体"/>
          <w:spacing w:val="3"/>
          <w:sz w:val="21"/>
          <w:szCs w:val="21"/>
        </w:rPr>
        <w:t>从数据获取层面，数据来源于生</w:t>
      </w:r>
      <w:r>
        <w:rPr>
          <w:rFonts w:hint="eastAsia" w:ascii="宋体" w:hAnsi="宋体" w:eastAsia="宋体" w:cs="宋体"/>
          <w:spacing w:val="12"/>
          <w:sz w:val="21"/>
          <w:szCs w:val="21"/>
        </w:rPr>
        <w:t>活在信息社会的劳动者、消费者的各种活动中，硬件技术的快速发展为构筑大数据存储和处理提</w:t>
      </w:r>
      <w:r>
        <w:rPr>
          <w:rFonts w:hint="eastAsia" w:ascii="宋体" w:hAnsi="宋体" w:eastAsia="宋体" w:cs="宋体"/>
          <w:spacing w:val="10"/>
          <w:sz w:val="21"/>
          <w:szCs w:val="21"/>
        </w:rPr>
        <w:t>供了支撑，也为数据的收集和整理提供更大规模和更</w:t>
      </w:r>
      <w:r>
        <w:rPr>
          <w:rFonts w:hint="eastAsia" w:ascii="宋体" w:hAnsi="宋体" w:eastAsia="宋体" w:cs="宋体"/>
          <w:spacing w:val="9"/>
          <w:sz w:val="21"/>
          <w:szCs w:val="21"/>
        </w:rPr>
        <w:t>为灵活的环境。从数据应用层面，数据作为</w:t>
      </w:r>
      <w:r>
        <w:rPr>
          <w:rFonts w:hint="eastAsia" w:ascii="宋体" w:hAnsi="宋体" w:eastAsia="宋体" w:cs="宋体"/>
          <w:spacing w:val="11"/>
          <w:sz w:val="21"/>
          <w:szCs w:val="21"/>
        </w:rPr>
        <w:t>一种用于分析、预测和决策的资源，为高效应用社会资源、推</w:t>
      </w:r>
      <w:r>
        <w:rPr>
          <w:rFonts w:hint="eastAsia" w:ascii="宋体" w:hAnsi="宋体" w:eastAsia="宋体" w:cs="宋体"/>
          <w:spacing w:val="10"/>
          <w:sz w:val="21"/>
          <w:szCs w:val="21"/>
        </w:rPr>
        <w:t>动经济生产活动、应对社会舆情等方</w:t>
      </w:r>
      <w:r>
        <w:rPr>
          <w:rFonts w:hint="eastAsia" w:ascii="宋体" w:hAnsi="宋体" w:eastAsia="宋体" w:cs="宋体"/>
          <w:spacing w:val="11"/>
          <w:sz w:val="21"/>
          <w:szCs w:val="21"/>
        </w:rPr>
        <w:t>面提供信息支撑。在获取和应用数据的过程中，可能会出</w:t>
      </w:r>
      <w:r>
        <w:rPr>
          <w:rFonts w:hint="eastAsia" w:ascii="宋体" w:hAnsi="宋体" w:eastAsia="宋体" w:cs="宋体"/>
          <w:spacing w:val="10"/>
          <w:sz w:val="21"/>
          <w:szCs w:val="21"/>
        </w:rPr>
        <w:t>现数据质量不高导致错误分析结果，误</w:t>
      </w:r>
      <w:r>
        <w:rPr>
          <w:rFonts w:hint="eastAsia" w:ascii="宋体" w:hAnsi="宋体" w:eastAsia="宋体" w:cs="宋体"/>
          <w:spacing w:val="15"/>
          <w:sz w:val="21"/>
          <w:szCs w:val="21"/>
        </w:rPr>
        <w:t>导决策等现象，也可能会造成在数据获得过程中的伦理与法律失德等问题，甚至在激烈的市场竞</w:t>
      </w:r>
      <w:r>
        <w:rPr>
          <w:rFonts w:hint="eastAsia" w:ascii="宋体" w:hAnsi="宋体" w:eastAsia="宋体" w:cs="宋体"/>
          <w:spacing w:val="9"/>
          <w:sz w:val="21"/>
          <w:szCs w:val="21"/>
        </w:rPr>
        <w:t>争行为中加速数据不平等带来的信息不对称</w:t>
      </w:r>
      <w:r>
        <w:rPr>
          <w:rFonts w:hint="eastAsia" w:ascii="宋体" w:hAnsi="宋体" w:eastAsia="宋体" w:cs="宋体"/>
          <w:spacing w:val="8"/>
          <w:sz w:val="21"/>
          <w:szCs w:val="21"/>
        </w:rPr>
        <w:t>等问题。为此，在建立数据质量管理体系中保障数据的准确、完整和可靠，加强数据收集过程中的个人隐私与信息安全的保</w:t>
      </w:r>
      <w:r>
        <w:rPr>
          <w:rFonts w:hint="eastAsia" w:ascii="宋体" w:hAnsi="宋体" w:eastAsia="宋体" w:cs="宋体"/>
          <w:spacing w:val="7"/>
          <w:sz w:val="21"/>
          <w:szCs w:val="21"/>
        </w:rPr>
        <w:t>护工作，有效监管由于数据</w:t>
      </w:r>
      <w:r>
        <w:rPr>
          <w:rFonts w:hint="eastAsia" w:ascii="宋体" w:hAnsi="宋体" w:eastAsia="宋体" w:cs="宋体"/>
          <w:spacing w:val="8"/>
          <w:sz w:val="21"/>
          <w:szCs w:val="21"/>
        </w:rPr>
        <w:t>获取差异造成的信息不对称等市场失灵问题，</w:t>
      </w:r>
      <w:r>
        <w:rPr>
          <w:rFonts w:hint="eastAsia" w:ascii="宋体" w:hAnsi="宋体" w:eastAsia="宋体" w:cs="宋体"/>
          <w:spacing w:val="7"/>
          <w:sz w:val="21"/>
          <w:szCs w:val="21"/>
        </w:rPr>
        <w:t>以确保数据资源的“取之于民、用之于民”原则。</w:t>
      </w:r>
    </w:p>
    <w:p w14:paraId="54A3A4E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四是防止数字要素对劳动力市场的过度挤压，建立学校、培训、就业的全链条数字人才培养制</w:t>
      </w:r>
      <w:r>
        <w:rPr>
          <w:rFonts w:hint="eastAsia" w:ascii="宋体" w:hAnsi="宋体" w:eastAsia="宋体" w:cs="宋体"/>
          <w:spacing w:val="13"/>
          <w:sz w:val="21"/>
          <w:szCs w:val="21"/>
        </w:rPr>
        <w:t>度。避免由于数字生产造成的劳动力市场波动，重构繁荣的就业市场</w:t>
      </w:r>
      <w:r>
        <w:rPr>
          <w:rFonts w:hint="eastAsia" w:ascii="宋体" w:hAnsi="宋体" w:eastAsia="宋体" w:cs="宋体"/>
          <w:spacing w:val="12"/>
          <w:sz w:val="21"/>
          <w:szCs w:val="21"/>
        </w:rPr>
        <w:t>、稳定失业比率成为数字化</w:t>
      </w:r>
      <w:r>
        <w:rPr>
          <w:rFonts w:hint="eastAsia" w:ascii="宋体" w:hAnsi="宋体" w:eastAsia="宋体" w:cs="宋体"/>
          <w:spacing w:val="16"/>
          <w:sz w:val="21"/>
          <w:szCs w:val="21"/>
        </w:rPr>
        <w:t>发展所面临的重要民生问题。为此，为满足劳动力市场对数字人才的需要，应从纵横两方面进行</w:t>
      </w:r>
      <w:r>
        <w:rPr>
          <w:rFonts w:hint="eastAsia" w:ascii="宋体" w:hAnsi="宋体" w:eastAsia="宋体" w:cs="宋体"/>
          <w:spacing w:val="-4"/>
          <w:sz w:val="21"/>
          <w:szCs w:val="21"/>
        </w:rPr>
        <w:t>劳动力培育和转化。纵向层面，以数字化、智能化、网络化为支撑，搭建从小学、中学到大学的数字</w:t>
      </w:r>
      <w:r>
        <w:rPr>
          <w:rFonts w:hint="eastAsia" w:ascii="宋体" w:hAnsi="宋体" w:eastAsia="宋体" w:cs="宋体"/>
          <w:spacing w:val="3"/>
          <w:sz w:val="21"/>
          <w:szCs w:val="21"/>
        </w:rPr>
        <w:t>化课程体系建设，将小学阶段的兴趣培养、中学阶段的基础建设、大学阶段的专业设置有效链接，</w:t>
      </w:r>
      <w:r>
        <w:rPr>
          <w:rFonts w:hint="eastAsia" w:ascii="宋体" w:hAnsi="宋体" w:eastAsia="宋体" w:cs="宋体"/>
          <w:spacing w:val="-3"/>
          <w:sz w:val="21"/>
          <w:szCs w:val="21"/>
        </w:rPr>
        <w:t>建设大中小数智技能课程体系。横向层面，在企业内部，搭建数字学习平台，强化数字化应用培</w:t>
      </w:r>
      <w:r>
        <w:rPr>
          <w:rFonts w:hint="eastAsia" w:ascii="宋体" w:hAnsi="宋体" w:eastAsia="宋体" w:cs="宋体"/>
          <w:spacing w:val="1"/>
          <w:sz w:val="21"/>
          <w:szCs w:val="21"/>
        </w:rPr>
        <w:t>养，完善企业员工的生涯学习；在企业外部，通过产学研协作等模式，增加对技术转化、精于实操等方面的技能培养，运用大数据获取市场中数字人才缺口，以短时、高效为目标进行针对性数字人才</w:t>
      </w:r>
      <w:r>
        <w:rPr>
          <w:rFonts w:hint="eastAsia" w:ascii="宋体" w:hAnsi="宋体" w:eastAsia="宋体" w:cs="宋体"/>
          <w:spacing w:val="6"/>
          <w:sz w:val="21"/>
          <w:szCs w:val="21"/>
        </w:rPr>
        <w:t>培养。</w:t>
      </w:r>
    </w:p>
    <w:p w14:paraId="41374CB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5"/>
          <w:sz w:val="21"/>
          <w:szCs w:val="21"/>
        </w:rPr>
        <w:t>五是防止国外数字资本向核心部门渗透，维护国家数据安全</w:t>
      </w:r>
      <w:r>
        <w:rPr>
          <w:rFonts w:hint="eastAsia" w:ascii="宋体" w:hAnsi="宋体" w:eastAsia="宋体" w:cs="宋体"/>
          <w:spacing w:val="4"/>
          <w:sz w:val="21"/>
          <w:szCs w:val="21"/>
        </w:rPr>
        <w:t>。数字安全是信息时代经济社会</w:t>
      </w:r>
      <w:r>
        <w:rPr>
          <w:rFonts w:hint="eastAsia" w:ascii="宋体" w:hAnsi="宋体" w:eastAsia="宋体" w:cs="宋体"/>
          <w:spacing w:val="-5"/>
          <w:sz w:val="21"/>
          <w:szCs w:val="21"/>
        </w:rPr>
        <w:t>发展和人民根本利益的根本保障，“筑牢可</w:t>
      </w:r>
      <w:r>
        <w:rPr>
          <w:rFonts w:hint="eastAsia" w:ascii="宋体" w:hAnsi="宋体" w:eastAsia="宋体" w:cs="宋体"/>
          <w:spacing w:val="-6"/>
          <w:sz w:val="21"/>
          <w:szCs w:val="21"/>
        </w:rPr>
        <w:t>信可控的数字安全屏障”“切实维护网络安全”“增强数</w:t>
      </w:r>
      <w:r>
        <w:rPr>
          <w:rFonts w:hint="eastAsia" w:ascii="宋体" w:hAnsi="宋体" w:eastAsia="宋体" w:cs="宋体"/>
          <w:spacing w:val="6"/>
          <w:sz w:val="21"/>
          <w:szCs w:val="21"/>
        </w:rPr>
        <w:t>据安全保障能力”成为推进数字中国建设的指导思想和</w:t>
      </w:r>
      <w:r>
        <w:rPr>
          <w:rFonts w:hint="eastAsia" w:ascii="宋体" w:hAnsi="宋体" w:eastAsia="宋体" w:cs="宋体"/>
          <w:spacing w:val="5"/>
          <w:sz w:val="21"/>
          <w:szCs w:val="21"/>
        </w:rPr>
        <w:t>主要目标，也是防止国外数字资本渗透，维</w:t>
      </w:r>
      <w:r>
        <w:rPr>
          <w:rFonts w:hint="eastAsia" w:ascii="宋体" w:hAnsi="宋体" w:eastAsia="宋体" w:cs="宋体"/>
          <w:spacing w:val="6"/>
          <w:sz w:val="21"/>
          <w:szCs w:val="21"/>
        </w:rPr>
        <w:t>护国家数据安全的保障措施。为此，需要加快提升我国数字安全保障能力，在加强网络安全、法律</w:t>
      </w:r>
      <w:r>
        <w:rPr>
          <w:rFonts w:hint="eastAsia" w:ascii="宋体" w:hAnsi="宋体" w:eastAsia="宋体" w:cs="宋体"/>
          <w:spacing w:val="14"/>
          <w:sz w:val="21"/>
          <w:szCs w:val="21"/>
        </w:rPr>
        <w:t>法规的制度建设，加快建成数据监测预警和应急处置工作体系，在严</w:t>
      </w:r>
      <w:r>
        <w:rPr>
          <w:rFonts w:hint="eastAsia" w:ascii="宋体" w:hAnsi="宋体" w:eastAsia="宋体" w:cs="宋体"/>
          <w:spacing w:val="13"/>
          <w:sz w:val="21"/>
          <w:szCs w:val="21"/>
        </w:rPr>
        <w:t>格的筛选制度中防止国外数</w:t>
      </w:r>
      <w:r>
        <w:rPr>
          <w:rFonts w:hint="eastAsia" w:ascii="宋体" w:hAnsi="宋体" w:eastAsia="宋体" w:cs="宋体"/>
          <w:spacing w:val="-1"/>
          <w:sz w:val="21"/>
          <w:szCs w:val="21"/>
        </w:rPr>
        <w:t>字资本的不法进入。并且，通过整合数字资源、</w:t>
      </w:r>
      <w:r>
        <w:rPr>
          <w:rFonts w:hint="eastAsia" w:ascii="宋体" w:hAnsi="宋体" w:eastAsia="宋体" w:cs="宋体"/>
          <w:spacing w:val="-2"/>
          <w:sz w:val="21"/>
          <w:szCs w:val="21"/>
        </w:rPr>
        <w:t>强化数字技术、构筑基础设施、完善数据安全管理、</w:t>
      </w:r>
      <w:r>
        <w:rPr>
          <w:rFonts w:hint="eastAsia" w:ascii="宋体" w:hAnsi="宋体" w:eastAsia="宋体" w:cs="宋体"/>
          <w:spacing w:val="-4"/>
          <w:sz w:val="21"/>
          <w:szCs w:val="21"/>
        </w:rPr>
        <w:t>强化数字技术场景应用，以技术支撑数字安全和</w:t>
      </w:r>
      <w:r>
        <w:rPr>
          <w:rFonts w:hint="eastAsia" w:ascii="宋体" w:hAnsi="宋体" w:eastAsia="宋体" w:cs="宋体"/>
          <w:spacing w:val="-5"/>
          <w:sz w:val="21"/>
          <w:szCs w:val="21"/>
        </w:rPr>
        <w:t>风险防控，实现国际间数字交流的安全、平等、</w:t>
      </w:r>
      <w:r>
        <w:rPr>
          <w:rFonts w:hint="eastAsia" w:ascii="宋体" w:hAnsi="宋体" w:eastAsia="宋体" w:cs="宋体"/>
          <w:spacing w:val="6"/>
          <w:sz w:val="21"/>
          <w:szCs w:val="21"/>
        </w:rPr>
        <w:t>共享。</w:t>
      </w:r>
    </w:p>
    <w:p w14:paraId="287B4FB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7"/>
          <w:sz w:val="21"/>
          <w:szCs w:val="21"/>
        </w:rPr>
        <w:t>六是制定数字资本运行准则，规范数字资本运行模式，</w:t>
      </w:r>
      <w:r>
        <w:rPr>
          <w:rFonts w:hint="eastAsia" w:ascii="宋体" w:hAnsi="宋体" w:eastAsia="宋体" w:cs="宋体"/>
          <w:spacing w:val="6"/>
          <w:sz w:val="21"/>
          <w:szCs w:val="21"/>
        </w:rPr>
        <w:t>建设和平、平等的数字交换空间，加快</w:t>
      </w:r>
      <w:r>
        <w:rPr>
          <w:rFonts w:hint="eastAsia" w:ascii="宋体" w:hAnsi="宋体" w:eastAsia="宋体" w:cs="宋体"/>
          <w:spacing w:val="-3"/>
          <w:sz w:val="21"/>
          <w:szCs w:val="21"/>
        </w:rPr>
        <w:t>建设全球数字命运共同体</w:t>
      </w:r>
      <w:r>
        <w:rPr>
          <w:rFonts w:hint="eastAsia" w:ascii="宋体" w:hAnsi="宋体" w:eastAsia="宋体" w:cs="宋体"/>
          <w:spacing w:val="-3"/>
          <w:position w:val="1"/>
          <w:sz w:val="21"/>
          <w:szCs w:val="21"/>
        </w:rPr>
        <w:t>。</w:t>
      </w:r>
      <w:r>
        <w:rPr>
          <w:rFonts w:hint="eastAsia" w:ascii="宋体" w:hAnsi="宋体" w:eastAsia="宋体" w:cs="宋体"/>
          <w:spacing w:val="-3"/>
          <w:position w:val="-1"/>
          <w:sz w:val="21"/>
          <w:szCs w:val="21"/>
        </w:rPr>
        <w:t>2019</w:t>
      </w:r>
      <w:r>
        <w:rPr>
          <w:rFonts w:hint="eastAsia" w:ascii="宋体" w:hAnsi="宋体" w:eastAsia="宋体" w:cs="宋体"/>
          <w:spacing w:val="-3"/>
          <w:sz w:val="21"/>
          <w:szCs w:val="21"/>
        </w:rPr>
        <w:t>年</w:t>
      </w:r>
      <w:r>
        <w:rPr>
          <w:rFonts w:hint="eastAsia" w:ascii="宋体" w:hAnsi="宋体" w:eastAsia="宋体" w:cs="宋体"/>
          <w:spacing w:val="-3"/>
          <w:position w:val="-1"/>
          <w:sz w:val="21"/>
          <w:szCs w:val="21"/>
        </w:rPr>
        <w:t>5</w:t>
      </w:r>
      <w:r>
        <w:rPr>
          <w:rFonts w:hint="eastAsia" w:ascii="宋体" w:hAnsi="宋体" w:eastAsia="宋体" w:cs="宋体"/>
          <w:spacing w:val="-3"/>
          <w:sz w:val="21"/>
          <w:szCs w:val="21"/>
        </w:rPr>
        <w:t>月美国商务部以所谓的</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国家安全风险</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为由制裁中国华为</w:t>
      </w:r>
      <w:r>
        <w:rPr>
          <w:rFonts w:hint="eastAsia" w:ascii="宋体" w:hAnsi="宋体" w:eastAsia="宋体" w:cs="宋体"/>
          <w:spacing w:val="13"/>
          <w:sz w:val="21"/>
          <w:szCs w:val="21"/>
        </w:rPr>
        <w:t>企业，美式数字霸权开启了新一轮高潮。围绕高技术行业所不断表现出的中美贸易摩擦，以及美</w:t>
      </w:r>
      <w:r>
        <w:rPr>
          <w:rFonts w:hint="eastAsia" w:ascii="宋体" w:hAnsi="宋体" w:eastAsia="宋体" w:cs="宋体"/>
          <w:spacing w:val="2"/>
          <w:sz w:val="21"/>
          <w:szCs w:val="21"/>
        </w:rPr>
        <w:t>国不断针对关键核心技术的安全可控提出的“小院高墙”策略，都成为美国进行数字霸权的关键环</w:t>
      </w:r>
      <w:r>
        <w:rPr>
          <w:rFonts w:hint="eastAsia" w:ascii="宋体" w:hAnsi="宋体" w:eastAsia="宋体" w:cs="宋体"/>
          <w:spacing w:val="4"/>
          <w:sz w:val="21"/>
          <w:szCs w:val="21"/>
        </w:rPr>
        <w:t>节。这种以数字技术为基础进行数字资本积累，进而控制世界经济、推行强权政治、收割全球利益</w:t>
      </w:r>
      <w:r>
        <w:rPr>
          <w:rFonts w:hint="eastAsia" w:ascii="宋体" w:hAnsi="宋体" w:eastAsia="宋体" w:cs="宋体"/>
          <w:spacing w:val="5"/>
          <w:sz w:val="21"/>
          <w:szCs w:val="21"/>
        </w:rPr>
        <w:t>的方式极大破坏了数字技术应用对全球经济发展的贡献。同时</w:t>
      </w:r>
      <w:r>
        <w:rPr>
          <w:rFonts w:hint="eastAsia" w:ascii="宋体" w:hAnsi="宋体" w:eastAsia="宋体" w:cs="宋体"/>
          <w:spacing w:val="4"/>
          <w:sz w:val="21"/>
          <w:szCs w:val="21"/>
        </w:rPr>
        <w:t>，数字霸权的形成还进一步影响到</w:t>
      </w:r>
      <w:r>
        <w:rPr>
          <w:rFonts w:hint="eastAsia" w:ascii="宋体" w:hAnsi="宋体" w:eastAsia="宋体" w:cs="宋体"/>
          <w:spacing w:val="7"/>
          <w:sz w:val="21"/>
          <w:szCs w:val="21"/>
        </w:rPr>
        <w:t>全球互联互通进程，阻碍区域经济发展，加剧全球发展不平等以及数字意识形态等问题。为此，我</w:t>
      </w:r>
      <w:r>
        <w:rPr>
          <w:rFonts w:hint="eastAsia" w:ascii="宋体" w:hAnsi="宋体" w:eastAsia="宋体" w:cs="宋体"/>
          <w:spacing w:val="1"/>
          <w:sz w:val="21"/>
          <w:szCs w:val="21"/>
        </w:rPr>
        <w:t>国在加快数字技术创新与应用、加强数字基础设施建设的同时，通过构建数字命运共同体，积极推</w:t>
      </w:r>
      <w:r>
        <w:rPr>
          <w:rFonts w:hint="eastAsia" w:ascii="宋体" w:hAnsi="宋体" w:eastAsia="宋体" w:cs="宋体"/>
          <w:spacing w:val="7"/>
          <w:sz w:val="21"/>
          <w:szCs w:val="21"/>
        </w:rPr>
        <w:t>动构建多边数字合作格局，以大国姿态调动世界各数字主体的积极性</w:t>
      </w:r>
      <w:r>
        <w:rPr>
          <w:rFonts w:hint="eastAsia" w:ascii="宋体" w:hAnsi="宋体" w:eastAsia="宋体" w:cs="宋体"/>
          <w:spacing w:val="6"/>
          <w:sz w:val="21"/>
          <w:szCs w:val="21"/>
        </w:rPr>
        <w:t>和主动性，在数字治理、数字</w:t>
      </w:r>
      <w:r>
        <w:rPr>
          <w:rFonts w:hint="eastAsia" w:ascii="宋体" w:hAnsi="宋体" w:eastAsia="宋体" w:cs="宋体"/>
          <w:spacing w:val="9"/>
          <w:sz w:val="21"/>
          <w:szCs w:val="21"/>
        </w:rPr>
        <w:t>共享、数字不平衡等方面担起大国责任。</w:t>
      </w:r>
    </w:p>
    <w:p w14:paraId="45B7A7B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outlineLvl w:val="9"/>
        <w:rPr>
          <w:rFonts w:hint="eastAsia" w:ascii="宋体" w:hAnsi="宋体" w:eastAsia="宋体" w:cs="宋体"/>
          <w:b/>
          <w:bCs/>
          <w:spacing w:val="0"/>
          <w:w w:val="100"/>
          <w:position w:val="0"/>
          <w:sz w:val="24"/>
          <w:szCs w:val="24"/>
        </w:rPr>
      </w:pPr>
      <w:r>
        <w:rPr>
          <w:rFonts w:hint="eastAsia" w:ascii="宋体" w:hAnsi="宋体" w:eastAsia="宋体" w:cs="宋体"/>
          <w:b/>
          <w:bCs/>
          <w:spacing w:val="0"/>
          <w:w w:val="100"/>
          <w:position w:val="0"/>
          <w:sz w:val="24"/>
          <w:szCs w:val="24"/>
        </w:rPr>
        <w:t>五、结语</w:t>
      </w:r>
    </w:p>
    <w:p w14:paraId="7F86B9B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0187B05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pacing w:val="11"/>
          <w:position w:val="1"/>
          <w:sz w:val="21"/>
          <w:szCs w:val="21"/>
        </w:rPr>
      </w:pPr>
      <w:r>
        <w:rPr>
          <w:rFonts w:hint="eastAsia" w:ascii="宋体" w:hAnsi="宋体" w:eastAsia="宋体" w:cs="宋体"/>
          <w:spacing w:val="7"/>
          <w:sz w:val="21"/>
          <w:szCs w:val="21"/>
        </w:rPr>
        <w:t>以数据、算力、算器构建起的数字要素，在其资本化过程中，一方面作为技术引导下的资本一般，通过优化资源配置及赋能全要素生产率，驱动了社会生产力</w:t>
      </w:r>
      <w:r>
        <w:rPr>
          <w:rFonts w:hint="eastAsia" w:ascii="宋体" w:hAnsi="宋体" w:eastAsia="宋体" w:cs="宋体"/>
          <w:spacing w:val="6"/>
          <w:sz w:val="21"/>
          <w:szCs w:val="21"/>
        </w:rPr>
        <w:t>的普遍跃升，并深刻的重构了劳动</w:t>
      </w:r>
      <w:r>
        <w:rPr>
          <w:rFonts w:hint="eastAsia" w:ascii="宋体" w:hAnsi="宋体" w:eastAsia="宋体" w:cs="宋体"/>
          <w:spacing w:val="7"/>
          <w:sz w:val="21"/>
          <w:szCs w:val="21"/>
        </w:rPr>
        <w:t>力市场的供需结构和资本劳动关系；另一方面也在资本逻辑内生的规</w:t>
      </w:r>
      <w:r>
        <w:rPr>
          <w:rFonts w:hint="eastAsia" w:ascii="宋体" w:hAnsi="宋体" w:eastAsia="宋体" w:cs="宋体"/>
          <w:spacing w:val="6"/>
          <w:sz w:val="21"/>
          <w:szCs w:val="21"/>
        </w:rPr>
        <w:t>模效应、技术壁垒、高固定成本等因素作用中，导致排他性的要素垄断。进一步在资本</w:t>
      </w:r>
      <w:r>
        <w:rPr>
          <w:rFonts w:hint="eastAsia" w:ascii="宋体" w:hAnsi="宋体" w:eastAsia="宋体" w:cs="宋体"/>
          <w:spacing w:val="5"/>
          <w:sz w:val="21"/>
          <w:szCs w:val="21"/>
        </w:rPr>
        <w:t>主义框架中，与金融资本、产业资本深度</w:t>
      </w:r>
      <w:r>
        <w:rPr>
          <w:rFonts w:hint="eastAsia" w:ascii="宋体" w:hAnsi="宋体" w:eastAsia="宋体" w:cs="宋体"/>
          <w:spacing w:val="13"/>
          <w:sz w:val="21"/>
          <w:szCs w:val="21"/>
        </w:rPr>
        <w:t>融合，形成对经济控制的权力扩张，并表现为对数据资源的系统性掠夺、对技术标准的制度化掌</w:t>
      </w:r>
      <w:r>
        <w:rPr>
          <w:rFonts w:hint="eastAsia" w:ascii="宋体" w:hAnsi="宋体" w:eastAsia="宋体" w:cs="宋体"/>
          <w:spacing w:val="14"/>
          <w:sz w:val="21"/>
          <w:szCs w:val="21"/>
        </w:rPr>
        <w:t>控、对基础设施的垄断性控制，最终演变为控制全球数字治理秩序的数</w:t>
      </w:r>
      <w:r>
        <w:rPr>
          <w:rFonts w:hint="eastAsia" w:ascii="宋体" w:hAnsi="宋体" w:eastAsia="宋体" w:cs="宋体"/>
          <w:spacing w:val="13"/>
          <w:sz w:val="21"/>
          <w:szCs w:val="21"/>
        </w:rPr>
        <w:t>字霸权。我国数字经济发</w:t>
      </w:r>
      <w:r>
        <w:rPr>
          <w:rFonts w:hint="eastAsia" w:ascii="宋体" w:hAnsi="宋体" w:eastAsia="宋体" w:cs="宋体"/>
          <w:spacing w:val="14"/>
          <w:sz w:val="21"/>
          <w:szCs w:val="21"/>
        </w:rPr>
        <w:t>展在于抓住技术机遇并完善制度规范，有效规避数字资本无序扩张的负面效应，使数字化真正成</w:t>
      </w:r>
      <w:r>
        <w:rPr>
          <w:rFonts w:hint="eastAsia" w:ascii="宋体" w:hAnsi="宋体" w:eastAsia="宋体" w:cs="宋体"/>
          <w:spacing w:val="13"/>
          <w:sz w:val="21"/>
          <w:szCs w:val="21"/>
        </w:rPr>
        <w:t>为驱动新质生产力发展、促进全体人民共同富裕的强大引擎。为此，我国数字资本应通过优化数</w:t>
      </w:r>
      <w:r>
        <w:rPr>
          <w:rFonts w:hint="eastAsia" w:ascii="宋体" w:hAnsi="宋体" w:eastAsia="宋体" w:cs="宋体"/>
          <w:spacing w:val="8"/>
          <w:sz w:val="21"/>
          <w:szCs w:val="21"/>
        </w:rPr>
        <w:t>字资本结构，提升公有资本份额，加强国家对关键数据资源和基础设施的管控力度，并在法律制度</w:t>
      </w:r>
      <w:r>
        <w:rPr>
          <w:rFonts w:hint="eastAsia" w:ascii="宋体" w:hAnsi="宋体" w:eastAsia="宋体" w:cs="宋体"/>
          <w:spacing w:val="-5"/>
          <w:sz w:val="21"/>
          <w:szCs w:val="21"/>
        </w:rPr>
        <w:t>建设、数据安全治理、算法应用规范等方面，建立</w:t>
      </w:r>
      <w:r>
        <w:rPr>
          <w:rFonts w:hint="eastAsia" w:ascii="宋体" w:hAnsi="宋体" w:eastAsia="宋体" w:cs="宋体"/>
          <w:spacing w:val="-6"/>
          <w:sz w:val="21"/>
          <w:szCs w:val="21"/>
        </w:rPr>
        <w:t>起以发展为导向、以人民为中心、以安全为底线的</w:t>
      </w:r>
      <w:r>
        <w:rPr>
          <w:rFonts w:hint="eastAsia" w:ascii="宋体" w:hAnsi="宋体" w:eastAsia="宋体" w:cs="宋体"/>
          <w:spacing w:val="11"/>
          <w:sz w:val="21"/>
          <w:szCs w:val="21"/>
        </w:rPr>
        <w:t>数字中国</w:t>
      </w:r>
      <w:r>
        <w:rPr>
          <w:rFonts w:hint="eastAsia" w:ascii="宋体" w:hAnsi="宋体" w:eastAsia="宋体" w:cs="宋体"/>
          <w:spacing w:val="11"/>
          <w:position w:val="1"/>
          <w:sz w:val="21"/>
          <w:szCs w:val="21"/>
        </w:rPr>
        <w:t>。</w:t>
      </w:r>
    </w:p>
    <w:p w14:paraId="1614BBF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0"/>
          <w:sz w:val="21"/>
          <w:szCs w:val="21"/>
        </w:rPr>
        <w:t>参考文献：</w:t>
      </w:r>
    </w:p>
    <w:p w14:paraId="64CBB01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outlineLvl w:val="9"/>
        <w:rPr>
          <w:rFonts w:hint="eastAsia" w:ascii="宋体" w:hAnsi="宋体" w:eastAsia="宋体" w:cs="宋体"/>
          <w:sz w:val="21"/>
          <w:szCs w:val="21"/>
        </w:rPr>
      </w:pPr>
      <w:r>
        <w:rPr>
          <w:rFonts w:hint="eastAsia" w:ascii="宋体" w:hAnsi="宋体" w:eastAsia="宋体" w:cs="宋体"/>
          <w:spacing w:val="5"/>
          <w:position w:val="-1"/>
          <w:sz w:val="21"/>
          <w:szCs w:val="21"/>
        </w:rPr>
        <w:t>1.</w:t>
      </w:r>
      <w:r>
        <w:rPr>
          <w:rFonts w:hint="eastAsia" w:ascii="宋体" w:hAnsi="宋体" w:eastAsia="宋体" w:cs="宋体"/>
          <w:spacing w:val="5"/>
          <w:sz w:val="21"/>
          <w:szCs w:val="21"/>
        </w:rPr>
        <w:t>李涛</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欧阳日辉</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数据是形成新质生产力的优质生产要素[N]</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光明日报</w:t>
      </w:r>
      <w:r>
        <w:rPr>
          <w:rFonts w:hint="eastAsia" w:ascii="宋体" w:hAnsi="宋体" w:eastAsia="宋体" w:cs="宋体"/>
          <w:spacing w:val="5"/>
          <w:position w:val="1"/>
          <w:sz w:val="21"/>
          <w:szCs w:val="21"/>
        </w:rPr>
        <w:t>，</w:t>
      </w:r>
      <w:r>
        <w:rPr>
          <w:rFonts w:hint="eastAsia" w:ascii="宋体" w:hAnsi="宋体" w:eastAsia="宋体" w:cs="宋体"/>
          <w:spacing w:val="5"/>
          <w:position w:val="-1"/>
          <w:sz w:val="21"/>
          <w:szCs w:val="21"/>
        </w:rPr>
        <w:t>2024-04-23.</w:t>
      </w:r>
    </w:p>
    <w:p w14:paraId="545C3B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outlineLvl w:val="9"/>
        <w:rPr>
          <w:rFonts w:hint="eastAsia" w:ascii="宋体" w:hAnsi="宋体" w:eastAsia="宋体" w:cs="宋体"/>
          <w:sz w:val="21"/>
          <w:szCs w:val="21"/>
        </w:rPr>
      </w:pPr>
      <w:r>
        <w:rPr>
          <w:rFonts w:hint="eastAsia" w:ascii="宋体" w:hAnsi="宋体" w:eastAsia="宋体" w:cs="宋体"/>
          <w:spacing w:val="5"/>
          <w:position w:val="-1"/>
          <w:sz w:val="21"/>
          <w:szCs w:val="21"/>
        </w:rPr>
        <w:t>2.</w:t>
      </w:r>
      <w:r>
        <w:rPr>
          <w:rFonts w:hint="eastAsia" w:ascii="宋体" w:hAnsi="宋体" w:eastAsia="宋体" w:cs="宋体"/>
          <w:spacing w:val="5"/>
          <w:sz w:val="21"/>
          <w:szCs w:val="21"/>
        </w:rPr>
        <w:t>米加宁，李大宇，董昌其</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算力驱动的新质生产力：本质特征、基础逻辑与国家治理现代化[J]</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公共管理学</w:t>
      </w:r>
      <w:r>
        <w:rPr>
          <w:rFonts w:hint="eastAsia" w:ascii="宋体" w:hAnsi="宋体" w:eastAsia="宋体" w:cs="宋体"/>
          <w:spacing w:val="4"/>
          <w:sz w:val="21"/>
          <w:szCs w:val="21"/>
        </w:rPr>
        <w:t>报，</w:t>
      </w:r>
      <w:r>
        <w:rPr>
          <w:rFonts w:hint="eastAsia" w:ascii="宋体" w:hAnsi="宋体" w:eastAsia="宋体" w:cs="宋体"/>
          <w:spacing w:val="5"/>
          <w:sz w:val="21"/>
          <w:szCs w:val="21"/>
        </w:rPr>
        <w:t>2024(02):1-14+170.</w:t>
      </w:r>
    </w:p>
    <w:p w14:paraId="7935277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textAlignment w:val="baseline"/>
        <w:outlineLvl w:val="9"/>
        <w:rPr>
          <w:rFonts w:hint="eastAsia" w:ascii="宋体" w:hAnsi="宋体" w:eastAsia="宋体" w:cs="宋体"/>
          <w:sz w:val="21"/>
          <w:szCs w:val="21"/>
        </w:rPr>
      </w:pPr>
      <w:r>
        <w:rPr>
          <w:rFonts w:hint="eastAsia" w:ascii="宋体" w:hAnsi="宋体" w:eastAsia="宋体" w:cs="宋体"/>
          <w:spacing w:val="6"/>
          <w:position w:val="-1"/>
          <w:sz w:val="21"/>
          <w:szCs w:val="21"/>
        </w:rPr>
        <w:t>3.</w:t>
      </w:r>
      <w:r>
        <w:rPr>
          <w:rFonts w:hint="eastAsia" w:ascii="宋体" w:hAnsi="宋体" w:eastAsia="宋体" w:cs="宋体"/>
          <w:spacing w:val="6"/>
          <w:sz w:val="21"/>
          <w:szCs w:val="21"/>
        </w:rPr>
        <w:t>张立榕</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数据生产要素化的历史进程：生产力与生产关系的视角[J]</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东南学术</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2023(0</w:t>
      </w:r>
      <w:r>
        <w:rPr>
          <w:rFonts w:hint="eastAsia" w:ascii="宋体" w:hAnsi="宋体" w:eastAsia="宋体" w:cs="宋体"/>
          <w:spacing w:val="5"/>
          <w:sz w:val="21"/>
          <w:szCs w:val="21"/>
        </w:rPr>
        <w:t>5):</w:t>
      </w:r>
      <w:r>
        <w:rPr>
          <w:rFonts w:hint="eastAsia" w:ascii="宋体" w:hAnsi="宋体" w:eastAsia="宋体" w:cs="宋体"/>
          <w:spacing w:val="5"/>
          <w:position w:val="-1"/>
          <w:sz w:val="21"/>
          <w:szCs w:val="21"/>
        </w:rPr>
        <w:t>128-136.</w:t>
      </w:r>
    </w:p>
    <w:p w14:paraId="1B705C3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textAlignment w:val="baseline"/>
        <w:outlineLvl w:val="9"/>
        <w:rPr>
          <w:rFonts w:hint="eastAsia" w:ascii="宋体" w:hAnsi="宋体" w:eastAsia="宋体" w:cs="宋体"/>
          <w:sz w:val="21"/>
          <w:szCs w:val="21"/>
        </w:rPr>
      </w:pPr>
      <w:r>
        <w:rPr>
          <w:rFonts w:hint="eastAsia" w:ascii="宋体" w:hAnsi="宋体" w:eastAsia="宋体" w:cs="宋体"/>
          <w:spacing w:val="8"/>
          <w:position w:val="-1"/>
          <w:sz w:val="21"/>
          <w:szCs w:val="21"/>
        </w:rPr>
        <w:t>4.</w:t>
      </w:r>
      <w:r>
        <w:rPr>
          <w:rFonts w:hint="eastAsia" w:ascii="宋体" w:hAnsi="宋体" w:eastAsia="宋体" w:cs="宋体"/>
          <w:spacing w:val="8"/>
          <w:sz w:val="21"/>
          <w:szCs w:val="21"/>
        </w:rPr>
        <w:t>冯道杰</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从马克思的机器观看人工智能发展的时代新路[J]</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海派经济学</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2024(04):229-230</w:t>
      </w:r>
      <w:r>
        <w:rPr>
          <w:rFonts w:hint="eastAsia" w:ascii="宋体" w:hAnsi="宋体" w:eastAsia="宋体" w:cs="宋体"/>
          <w:spacing w:val="8"/>
          <w:position w:val="-1"/>
          <w:sz w:val="21"/>
          <w:szCs w:val="21"/>
        </w:rPr>
        <w:t>.</w:t>
      </w:r>
    </w:p>
    <w:p w14:paraId="6C74E17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outlineLvl w:val="9"/>
        <w:rPr>
          <w:rFonts w:hint="eastAsia" w:ascii="宋体" w:hAnsi="宋体" w:eastAsia="宋体" w:cs="宋体"/>
          <w:sz w:val="21"/>
          <w:szCs w:val="21"/>
        </w:rPr>
      </w:pPr>
      <w:r>
        <w:rPr>
          <w:rFonts w:hint="eastAsia" w:ascii="宋体" w:hAnsi="宋体" w:eastAsia="宋体" w:cs="宋体"/>
          <w:spacing w:val="5"/>
          <w:position w:val="-1"/>
          <w:sz w:val="21"/>
          <w:szCs w:val="21"/>
        </w:rPr>
        <w:t>5.</w:t>
      </w:r>
      <w:r>
        <w:rPr>
          <w:rFonts w:hint="eastAsia" w:ascii="宋体" w:hAnsi="宋体" w:eastAsia="宋体" w:cs="宋体"/>
          <w:spacing w:val="5"/>
          <w:sz w:val="21"/>
          <w:szCs w:val="21"/>
        </w:rPr>
        <w:t>黄再胜</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数字剩余价值的生产</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实现与分配[J]</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马克思主义研究</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2022(03):</w:t>
      </w:r>
      <w:r>
        <w:rPr>
          <w:rFonts w:hint="eastAsia" w:ascii="宋体" w:hAnsi="宋体" w:eastAsia="宋体" w:cs="宋体"/>
          <w:spacing w:val="5"/>
          <w:position w:val="-1"/>
          <w:sz w:val="21"/>
          <w:szCs w:val="21"/>
        </w:rPr>
        <w:t>104-119.</w:t>
      </w:r>
    </w:p>
    <w:p w14:paraId="291F24C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textAlignment w:val="baseline"/>
        <w:outlineLvl w:val="9"/>
        <w:rPr>
          <w:rFonts w:hint="eastAsia" w:ascii="宋体" w:hAnsi="宋体" w:eastAsia="宋体" w:cs="宋体"/>
          <w:sz w:val="21"/>
          <w:szCs w:val="21"/>
        </w:rPr>
      </w:pPr>
      <w:r>
        <w:rPr>
          <w:rFonts w:hint="eastAsia" w:ascii="宋体" w:hAnsi="宋体" w:eastAsia="宋体" w:cs="宋体"/>
          <w:spacing w:val="7"/>
          <w:position w:val="-1"/>
          <w:sz w:val="21"/>
          <w:szCs w:val="21"/>
        </w:rPr>
        <w:t>6.</w:t>
      </w:r>
      <w:r>
        <w:rPr>
          <w:rFonts w:hint="eastAsia" w:ascii="宋体" w:hAnsi="宋体" w:eastAsia="宋体" w:cs="宋体"/>
          <w:spacing w:val="7"/>
          <w:sz w:val="21"/>
          <w:szCs w:val="21"/>
        </w:rPr>
        <w:t>欧阳康，杨德科</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平台经济模式的资本逻辑及其治理[J]</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南京师大学报（社会科学版</w:t>
      </w:r>
      <w:r>
        <w:rPr>
          <w:rFonts w:hint="eastAsia" w:ascii="宋体" w:hAnsi="宋体" w:eastAsia="宋体" w:cs="宋体"/>
          <w:spacing w:val="-24"/>
          <w:w w:val="64"/>
          <w:sz w:val="21"/>
          <w:szCs w:val="21"/>
        </w:rPr>
        <w:t>），</w:t>
      </w:r>
      <w:r>
        <w:rPr>
          <w:rFonts w:hint="eastAsia" w:ascii="宋体" w:hAnsi="宋体" w:eastAsia="宋体" w:cs="宋体"/>
          <w:spacing w:val="6"/>
          <w:sz w:val="21"/>
          <w:szCs w:val="21"/>
        </w:rPr>
        <w:t>2024(03):</w:t>
      </w:r>
      <w:r>
        <w:rPr>
          <w:rFonts w:hint="eastAsia" w:ascii="宋体" w:hAnsi="宋体" w:eastAsia="宋体" w:cs="宋体"/>
          <w:spacing w:val="6"/>
          <w:position w:val="-1"/>
          <w:sz w:val="21"/>
          <w:szCs w:val="21"/>
        </w:rPr>
        <w:t>5-17.</w:t>
      </w:r>
    </w:p>
    <w:p w14:paraId="7256DFB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textAlignment w:val="baseline"/>
        <w:outlineLvl w:val="9"/>
        <w:rPr>
          <w:rFonts w:hint="eastAsia" w:ascii="宋体" w:hAnsi="宋体" w:eastAsia="宋体" w:cs="宋体"/>
          <w:sz w:val="21"/>
          <w:szCs w:val="21"/>
        </w:rPr>
      </w:pPr>
      <w:r>
        <w:rPr>
          <w:rFonts w:hint="eastAsia" w:ascii="宋体" w:hAnsi="宋体" w:eastAsia="宋体" w:cs="宋体"/>
          <w:spacing w:val="4"/>
          <w:position w:val="-1"/>
          <w:sz w:val="21"/>
          <w:szCs w:val="21"/>
        </w:rPr>
        <w:t>7.</w:t>
      </w:r>
      <w:r>
        <w:rPr>
          <w:rFonts w:hint="eastAsia" w:ascii="宋体" w:hAnsi="宋体" w:eastAsia="宋体" w:cs="宋体"/>
          <w:spacing w:val="4"/>
          <w:sz w:val="21"/>
          <w:szCs w:val="21"/>
        </w:rPr>
        <w:t>董键铭</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数字帝国主义的演变与扩展———基于原</w:t>
      </w:r>
      <w:r>
        <w:rPr>
          <w:rFonts w:hint="eastAsia" w:ascii="宋体" w:hAnsi="宋体" w:eastAsia="宋体" w:cs="宋体"/>
          <w:spacing w:val="3"/>
          <w:sz w:val="21"/>
          <w:szCs w:val="21"/>
        </w:rPr>
        <w:t>始积累、资本积累角度的分析[J]</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河北大学学报（哲学社会科学版</w:t>
      </w:r>
      <w:r>
        <w:rPr>
          <w:rFonts w:hint="eastAsia" w:ascii="宋体" w:hAnsi="宋体" w:eastAsia="宋体" w:cs="宋体"/>
          <w:spacing w:val="-26"/>
          <w:w w:val="70"/>
          <w:sz w:val="21"/>
          <w:szCs w:val="21"/>
        </w:rPr>
        <w:t>），</w:t>
      </w:r>
      <w:r>
        <w:rPr>
          <w:rFonts w:hint="eastAsia" w:ascii="宋体" w:hAnsi="宋体" w:eastAsia="宋体" w:cs="宋体"/>
          <w:spacing w:val="3"/>
          <w:sz w:val="21"/>
          <w:szCs w:val="21"/>
        </w:rPr>
        <w:t>2024</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49(04):</w:t>
      </w:r>
      <w:r>
        <w:rPr>
          <w:rFonts w:hint="eastAsia" w:ascii="宋体" w:hAnsi="宋体" w:eastAsia="宋体" w:cs="宋体"/>
          <w:spacing w:val="3"/>
          <w:position w:val="-1"/>
          <w:sz w:val="21"/>
          <w:szCs w:val="21"/>
        </w:rPr>
        <w:t>61-70.</w:t>
      </w:r>
    </w:p>
    <w:p w14:paraId="2691F0C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textAlignment w:val="baseline"/>
        <w:outlineLvl w:val="9"/>
        <w:rPr>
          <w:rFonts w:hint="eastAsia" w:ascii="宋体" w:hAnsi="宋体" w:eastAsia="宋体" w:cs="宋体"/>
          <w:sz w:val="21"/>
          <w:szCs w:val="21"/>
        </w:rPr>
      </w:pPr>
      <w:r>
        <w:rPr>
          <w:rFonts w:hint="eastAsia" w:ascii="宋体" w:hAnsi="宋体" w:eastAsia="宋体" w:cs="宋体"/>
          <w:spacing w:val="7"/>
          <w:position w:val="-1"/>
          <w:sz w:val="21"/>
          <w:szCs w:val="21"/>
        </w:rPr>
        <w:t>8.</w:t>
      </w:r>
      <w:r>
        <w:rPr>
          <w:rFonts w:hint="eastAsia" w:ascii="宋体" w:hAnsi="宋体" w:eastAsia="宋体" w:cs="宋体"/>
          <w:spacing w:val="7"/>
          <w:sz w:val="21"/>
          <w:szCs w:val="21"/>
        </w:rPr>
        <w:t>孙业霞</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牛昭阳</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数字帝国主义时代数字劳动力的三重困境[J]</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政治经</w:t>
      </w:r>
      <w:r>
        <w:rPr>
          <w:rFonts w:hint="eastAsia" w:ascii="宋体" w:hAnsi="宋体" w:eastAsia="宋体" w:cs="宋体"/>
          <w:spacing w:val="6"/>
          <w:sz w:val="21"/>
          <w:szCs w:val="21"/>
        </w:rPr>
        <w:t>济学研究</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2024(03):</w:t>
      </w:r>
      <w:r>
        <w:rPr>
          <w:rFonts w:hint="eastAsia" w:ascii="宋体" w:hAnsi="宋体" w:eastAsia="宋体" w:cs="宋体"/>
          <w:spacing w:val="6"/>
          <w:position w:val="-1"/>
          <w:sz w:val="21"/>
          <w:szCs w:val="21"/>
        </w:rPr>
        <w:t>113-124.</w:t>
      </w:r>
    </w:p>
    <w:p w14:paraId="5656D71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outlineLvl w:val="9"/>
        <w:rPr>
          <w:rFonts w:hint="eastAsia" w:ascii="宋体" w:hAnsi="宋体" w:eastAsia="宋体" w:cs="宋体"/>
          <w:sz w:val="21"/>
          <w:szCs w:val="21"/>
        </w:rPr>
      </w:pPr>
      <w:r>
        <w:rPr>
          <w:rFonts w:hint="eastAsia" w:ascii="宋体" w:hAnsi="宋体" w:eastAsia="宋体" w:cs="宋体"/>
          <w:spacing w:val="5"/>
          <w:position w:val="-1"/>
          <w:sz w:val="21"/>
          <w:szCs w:val="21"/>
        </w:rPr>
        <w:t>9.</w:t>
      </w:r>
      <w:r>
        <w:rPr>
          <w:rFonts w:hint="eastAsia" w:ascii="宋体" w:hAnsi="宋体" w:eastAsia="宋体" w:cs="宋体"/>
          <w:spacing w:val="5"/>
          <w:sz w:val="21"/>
          <w:szCs w:val="21"/>
        </w:rPr>
        <w:t>聂阳</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周坤</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数字资本运行逻辑的马克思主义政治经济学解析[J]</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经济学家</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2024(02):</w:t>
      </w:r>
      <w:r>
        <w:rPr>
          <w:rFonts w:hint="eastAsia" w:ascii="宋体" w:hAnsi="宋体" w:eastAsia="宋体" w:cs="宋体"/>
          <w:spacing w:val="5"/>
          <w:position w:val="-1"/>
          <w:sz w:val="21"/>
          <w:szCs w:val="21"/>
        </w:rPr>
        <w:t>15-</w:t>
      </w:r>
      <w:r>
        <w:rPr>
          <w:rFonts w:hint="eastAsia" w:ascii="宋体" w:hAnsi="宋体" w:eastAsia="宋体" w:cs="宋体"/>
          <w:spacing w:val="4"/>
          <w:position w:val="-1"/>
          <w:sz w:val="21"/>
          <w:szCs w:val="21"/>
        </w:rPr>
        <w:t>24.</w:t>
      </w:r>
    </w:p>
    <w:p w14:paraId="701B2E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textAlignment w:val="baseline"/>
        <w:outlineLvl w:val="9"/>
        <w:rPr>
          <w:rFonts w:hint="eastAsia" w:ascii="宋体" w:hAnsi="宋体" w:eastAsia="宋体" w:cs="宋体"/>
          <w:sz w:val="21"/>
          <w:szCs w:val="21"/>
        </w:rPr>
      </w:pPr>
      <w:r>
        <w:rPr>
          <w:rFonts w:hint="eastAsia" w:ascii="宋体" w:hAnsi="宋体" w:eastAsia="宋体" w:cs="宋体"/>
          <w:spacing w:val="4"/>
          <w:position w:val="-1"/>
          <w:sz w:val="21"/>
          <w:szCs w:val="21"/>
        </w:rPr>
        <w:t>10.</w:t>
      </w:r>
      <w:r>
        <w:rPr>
          <w:rFonts w:hint="eastAsia" w:ascii="宋体" w:hAnsi="宋体" w:eastAsia="宋体" w:cs="宋体"/>
          <w:spacing w:val="4"/>
          <w:sz w:val="21"/>
          <w:szCs w:val="21"/>
        </w:rPr>
        <w:t>钱贵明</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阳镇</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陈劲</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欧美提升数字经济竞争力的政策比较与借鉴[</w:t>
      </w:r>
      <w:r>
        <w:rPr>
          <w:rFonts w:hint="eastAsia" w:ascii="宋体" w:hAnsi="宋体" w:eastAsia="宋体" w:cs="宋体"/>
          <w:spacing w:val="3"/>
          <w:sz w:val="21"/>
          <w:szCs w:val="21"/>
        </w:rPr>
        <w:t>J]</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科学学研究</w:t>
      </w:r>
      <w:r>
        <w:rPr>
          <w:rFonts w:hint="eastAsia" w:ascii="宋体" w:hAnsi="宋体" w:eastAsia="宋体" w:cs="宋体"/>
          <w:spacing w:val="3"/>
          <w:position w:val="1"/>
          <w:sz w:val="21"/>
          <w:szCs w:val="21"/>
        </w:rPr>
        <w:t>，</w:t>
      </w:r>
      <w:r>
        <w:rPr>
          <w:rFonts w:hint="eastAsia" w:ascii="宋体" w:hAnsi="宋体" w:eastAsia="宋体" w:cs="宋体"/>
          <w:spacing w:val="3"/>
          <w:position w:val="-1"/>
          <w:sz w:val="21"/>
          <w:szCs w:val="21"/>
        </w:rPr>
        <w:t>2025</w:t>
      </w:r>
      <w:r>
        <w:rPr>
          <w:rFonts w:hint="eastAsia" w:ascii="宋体" w:hAnsi="宋体" w:eastAsia="宋体" w:cs="宋体"/>
          <w:spacing w:val="3"/>
          <w:position w:val="1"/>
          <w:sz w:val="21"/>
          <w:szCs w:val="21"/>
        </w:rPr>
        <w:t>,</w:t>
      </w:r>
      <w:r>
        <w:rPr>
          <w:rFonts w:hint="eastAsia" w:ascii="宋体" w:hAnsi="宋体" w:eastAsia="宋体" w:cs="宋体"/>
          <w:spacing w:val="3"/>
          <w:sz w:val="21"/>
          <w:szCs w:val="21"/>
        </w:rPr>
        <w:t>43(03):</w:t>
      </w:r>
      <w:r>
        <w:rPr>
          <w:rFonts w:hint="eastAsia" w:ascii="宋体" w:hAnsi="宋体" w:eastAsia="宋体" w:cs="宋体"/>
          <w:spacing w:val="3"/>
          <w:position w:val="-1"/>
          <w:sz w:val="21"/>
          <w:szCs w:val="21"/>
        </w:rPr>
        <w:t>651-660.</w:t>
      </w:r>
    </w:p>
    <w:p w14:paraId="55395D6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outlineLvl w:val="9"/>
        <w:rPr>
          <w:rFonts w:hint="eastAsia" w:ascii="宋体" w:hAnsi="宋体" w:eastAsia="宋体" w:cs="宋体"/>
          <w:sz w:val="21"/>
          <w:szCs w:val="21"/>
        </w:rPr>
      </w:pPr>
      <w:r>
        <w:rPr>
          <w:rFonts w:hint="eastAsia" w:ascii="宋体" w:hAnsi="宋体" w:eastAsia="宋体" w:cs="宋体"/>
          <w:spacing w:val="5"/>
          <w:position w:val="-1"/>
          <w:sz w:val="21"/>
          <w:szCs w:val="21"/>
        </w:rPr>
        <w:t>11.</w:t>
      </w:r>
      <w:r>
        <w:rPr>
          <w:rFonts w:hint="eastAsia" w:ascii="宋体" w:hAnsi="宋体" w:eastAsia="宋体" w:cs="宋体"/>
          <w:spacing w:val="5"/>
          <w:sz w:val="21"/>
          <w:szCs w:val="21"/>
        </w:rPr>
        <w:t>孙宗岭</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“人机命运共同体”如何赋能发展新质生产力？———一种马克思主义的分析[J]</w:t>
      </w:r>
      <w:r>
        <w:rPr>
          <w:rFonts w:hint="eastAsia" w:ascii="宋体" w:hAnsi="宋体" w:eastAsia="宋体" w:cs="宋体"/>
          <w:spacing w:val="5"/>
          <w:position w:val="-1"/>
          <w:sz w:val="21"/>
          <w:szCs w:val="21"/>
        </w:rPr>
        <w:t>.</w:t>
      </w:r>
      <w:r>
        <w:rPr>
          <w:rFonts w:hint="eastAsia" w:ascii="宋体" w:hAnsi="宋体" w:eastAsia="宋体" w:cs="宋体"/>
          <w:spacing w:val="5"/>
          <w:sz w:val="21"/>
          <w:szCs w:val="21"/>
        </w:rPr>
        <w:t>上海理工大</w:t>
      </w:r>
      <w:r>
        <w:rPr>
          <w:rFonts w:hint="eastAsia" w:ascii="宋体" w:hAnsi="宋体" w:eastAsia="宋体" w:cs="宋体"/>
          <w:spacing w:val="4"/>
          <w:sz w:val="21"/>
          <w:szCs w:val="21"/>
        </w:rPr>
        <w:t>学学报</w:t>
      </w:r>
      <w:r>
        <w:rPr>
          <w:rFonts w:hint="eastAsia" w:ascii="宋体" w:hAnsi="宋体" w:eastAsia="宋体" w:cs="宋体"/>
          <w:spacing w:val="6"/>
          <w:sz w:val="21"/>
          <w:szCs w:val="21"/>
        </w:rPr>
        <w:t>（社会科学版</w:t>
      </w:r>
      <w:r>
        <w:rPr>
          <w:rFonts w:hint="eastAsia" w:ascii="宋体" w:hAnsi="宋体" w:eastAsia="宋体" w:cs="宋体"/>
          <w:spacing w:val="-25"/>
          <w:w w:val="65"/>
          <w:sz w:val="21"/>
          <w:szCs w:val="21"/>
        </w:rPr>
        <w:t>），</w:t>
      </w:r>
      <w:r>
        <w:rPr>
          <w:rFonts w:hint="eastAsia" w:ascii="宋体" w:hAnsi="宋体" w:eastAsia="宋体" w:cs="宋体"/>
          <w:spacing w:val="6"/>
          <w:sz w:val="21"/>
          <w:szCs w:val="21"/>
        </w:rPr>
        <w:t>2025</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47(05):492-500</w:t>
      </w:r>
      <w:r>
        <w:rPr>
          <w:rFonts w:hint="eastAsia" w:ascii="宋体" w:hAnsi="宋体" w:eastAsia="宋体" w:cs="宋体"/>
          <w:spacing w:val="6"/>
          <w:position w:val="-1"/>
          <w:sz w:val="21"/>
          <w:szCs w:val="21"/>
        </w:rPr>
        <w:t>.</w:t>
      </w:r>
    </w:p>
    <w:p w14:paraId="369D6A4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textAlignment w:val="baseline"/>
        <w:outlineLvl w:val="9"/>
        <w:rPr>
          <w:rFonts w:hint="eastAsia" w:ascii="宋体" w:hAnsi="宋体" w:eastAsia="宋体" w:cs="宋体"/>
          <w:sz w:val="21"/>
          <w:szCs w:val="21"/>
        </w:rPr>
      </w:pPr>
      <w:r>
        <w:rPr>
          <w:rFonts w:hint="eastAsia" w:ascii="宋体" w:hAnsi="宋体" w:eastAsia="宋体" w:cs="宋体"/>
          <w:spacing w:val="-2"/>
          <w:sz w:val="21"/>
          <w:szCs w:val="21"/>
        </w:rPr>
        <w:t>12.RahmanH.A.TheInvisibleCag</w:t>
      </w:r>
      <w:r>
        <w:rPr>
          <w:rFonts w:hint="eastAsia" w:ascii="宋体" w:hAnsi="宋体" w:eastAsia="宋体" w:cs="宋体"/>
          <w:spacing w:val="-3"/>
          <w:sz w:val="21"/>
          <w:szCs w:val="21"/>
        </w:rPr>
        <w:t>e</w:t>
      </w:r>
      <w:r>
        <w:rPr>
          <w:rFonts w:hint="eastAsia" w:ascii="宋体" w:hAnsi="宋体" w:eastAsia="宋体" w:cs="宋体"/>
          <w:spacing w:val="-3"/>
          <w:position w:val="2"/>
          <w:sz w:val="21"/>
          <w:szCs w:val="21"/>
        </w:rPr>
        <w:t>:</w:t>
      </w:r>
      <w:r>
        <w:rPr>
          <w:rFonts w:hint="eastAsia" w:ascii="宋体" w:hAnsi="宋体" w:eastAsia="宋体" w:cs="宋体"/>
          <w:spacing w:val="-3"/>
          <w:sz w:val="21"/>
          <w:szCs w:val="21"/>
        </w:rPr>
        <w:t>Workers</w:t>
      </w:r>
      <w:r>
        <w:rPr>
          <w:rFonts w:hint="eastAsia" w:ascii="宋体" w:hAnsi="宋体" w:eastAsia="宋体" w:cs="宋体"/>
          <w:spacing w:val="-3"/>
          <w:position w:val="2"/>
          <w:sz w:val="21"/>
          <w:szCs w:val="21"/>
        </w:rPr>
        <w:t>’</w:t>
      </w:r>
      <w:r>
        <w:rPr>
          <w:rFonts w:hint="eastAsia" w:ascii="宋体" w:hAnsi="宋体" w:eastAsia="宋体" w:cs="宋体"/>
          <w:spacing w:val="-3"/>
          <w:sz w:val="21"/>
          <w:szCs w:val="21"/>
        </w:rPr>
        <w:t>ReactivitytoOpa</w:t>
      </w:r>
      <w:r>
        <w:rPr>
          <w:rFonts w:hint="eastAsia" w:ascii="宋体" w:hAnsi="宋体" w:eastAsia="宋体" w:cs="宋体"/>
          <w:spacing w:val="-3"/>
          <w:position w:val="-1"/>
          <w:sz w:val="21"/>
          <w:szCs w:val="21"/>
        </w:rPr>
        <w:t>q</w:t>
      </w:r>
      <w:r>
        <w:rPr>
          <w:rFonts w:hint="eastAsia" w:ascii="宋体" w:hAnsi="宋体" w:eastAsia="宋体" w:cs="宋体"/>
          <w:spacing w:val="-3"/>
          <w:sz w:val="21"/>
          <w:szCs w:val="21"/>
        </w:rPr>
        <w:t>ueAlgorithmicEvaluations</w:t>
      </w:r>
      <w:r>
        <w:rPr>
          <w:rFonts w:hint="eastAsia" w:ascii="宋体" w:hAnsi="宋体" w:eastAsia="宋体" w:cs="宋体"/>
          <w:spacing w:val="-3"/>
          <w:position w:val="1"/>
          <w:sz w:val="21"/>
          <w:szCs w:val="21"/>
        </w:rPr>
        <w:t>[J]</w:t>
      </w:r>
      <w:r>
        <w:rPr>
          <w:rFonts w:hint="eastAsia" w:ascii="宋体" w:hAnsi="宋体" w:eastAsia="宋体" w:cs="宋体"/>
          <w:spacing w:val="-3"/>
          <w:sz w:val="21"/>
          <w:szCs w:val="21"/>
        </w:rPr>
        <w:t>.</w:t>
      </w:r>
      <w:r>
        <w:rPr>
          <w:rFonts w:hint="eastAsia" w:ascii="宋体" w:hAnsi="宋体" w:eastAsia="宋体" w:cs="宋体"/>
          <w:sz w:val="21"/>
          <w:szCs w:val="21"/>
        </w:rPr>
        <w:t>AdministrativeScienceQuarterly,2021(6</w:t>
      </w:r>
      <w:r>
        <w:rPr>
          <w:rFonts w:hint="eastAsia" w:ascii="宋体" w:hAnsi="宋体" w:eastAsia="宋体" w:cs="宋体"/>
          <w:spacing w:val="-1"/>
          <w:sz w:val="21"/>
          <w:szCs w:val="21"/>
        </w:rPr>
        <w:t>6):945-988.</w:t>
      </w:r>
    </w:p>
    <w:p w14:paraId="3141AF5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textAlignment w:val="baseline"/>
        <w:outlineLvl w:val="9"/>
        <w:rPr>
          <w:rFonts w:hint="eastAsia" w:ascii="宋体" w:hAnsi="宋体" w:eastAsia="宋体" w:cs="宋体"/>
          <w:sz w:val="21"/>
          <w:szCs w:val="21"/>
        </w:rPr>
      </w:pPr>
      <w:r>
        <w:rPr>
          <w:rFonts w:hint="eastAsia" w:ascii="宋体" w:hAnsi="宋体" w:eastAsia="宋体" w:cs="宋体"/>
          <w:spacing w:val="-2"/>
          <w:sz w:val="21"/>
          <w:szCs w:val="21"/>
        </w:rPr>
        <w:t>13.Luo</w:t>
      </w:r>
      <w:r>
        <w:rPr>
          <w:rFonts w:hint="eastAsia" w:ascii="宋体" w:hAnsi="宋体" w:eastAsia="宋体" w:cs="宋体"/>
          <w:spacing w:val="-2"/>
          <w:position w:val="2"/>
          <w:sz w:val="21"/>
          <w:szCs w:val="21"/>
        </w:rPr>
        <w:t>,</w:t>
      </w:r>
      <w:r>
        <w:rPr>
          <w:rFonts w:hint="eastAsia" w:ascii="宋体" w:hAnsi="宋体" w:eastAsia="宋体" w:cs="宋体"/>
          <w:spacing w:val="-2"/>
          <w:sz w:val="21"/>
          <w:szCs w:val="21"/>
        </w:rPr>
        <w:t>Y.NewOLIAdvantagesIndigitalGlobalization</w:t>
      </w:r>
      <w:r>
        <w:rPr>
          <w:rFonts w:hint="eastAsia" w:ascii="宋体" w:hAnsi="宋体" w:eastAsia="宋体" w:cs="宋体"/>
          <w:spacing w:val="-2"/>
          <w:position w:val="1"/>
          <w:sz w:val="21"/>
          <w:szCs w:val="21"/>
        </w:rPr>
        <w:t>[J]</w:t>
      </w:r>
      <w:r>
        <w:rPr>
          <w:rFonts w:hint="eastAsia" w:ascii="宋体" w:hAnsi="宋体" w:eastAsia="宋体" w:cs="宋体"/>
          <w:spacing w:val="-2"/>
          <w:sz w:val="21"/>
          <w:szCs w:val="21"/>
        </w:rPr>
        <w:t>.InternationalBusinessReview</w:t>
      </w:r>
      <w:r>
        <w:rPr>
          <w:rFonts w:hint="eastAsia" w:ascii="宋体" w:hAnsi="宋体" w:eastAsia="宋体" w:cs="宋体"/>
          <w:spacing w:val="-2"/>
          <w:position w:val="2"/>
          <w:sz w:val="21"/>
          <w:szCs w:val="21"/>
        </w:rPr>
        <w:t>,</w:t>
      </w:r>
      <w:r>
        <w:rPr>
          <w:rFonts w:hint="eastAsia" w:ascii="宋体" w:hAnsi="宋体" w:eastAsia="宋体" w:cs="宋体"/>
          <w:spacing w:val="-2"/>
          <w:sz w:val="21"/>
          <w:szCs w:val="21"/>
        </w:rPr>
        <w:t>2021</w:t>
      </w:r>
    </w:p>
    <w:p w14:paraId="232F5BE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(30):101797.</w:t>
      </w:r>
    </w:p>
    <w:p w14:paraId="2FB5184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2A4972B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1CCFB7C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p>
    <w:p w14:paraId="0015974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p>
    <w:p w14:paraId="111BDC1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w:t>
      </w:r>
      <w:r>
        <w:rPr>
          <w:rFonts w:hint="default" w:ascii="Times New Roman" w:hAnsi="Times New Roman" w:eastAsia="宋体"/>
          <w:szCs w:val="21"/>
          <w:lang w:val="en-US" w:eastAsia="zh-CN"/>
        </w:rPr>
        <w:t>上海经济研究</w:t>
      </w:r>
      <w:r>
        <w:rPr>
          <w:rFonts w:hint="eastAsia" w:ascii="Times New Roman" w:hAnsi="Times New Roman" w:eastAsia="宋体"/>
          <w:szCs w:val="21"/>
          <w:lang w:val="en-US" w:eastAsia="zh-CN"/>
        </w:rPr>
        <w:t>》2026年第3期</w:t>
      </w:r>
      <w:r>
        <w:rPr>
          <w:rFonts w:hint="eastAsia" w:ascii="Times New Roman" w:hAnsi="Times New Roman"/>
          <w:szCs w:val="21"/>
          <w:lang w:val="en-US" w:eastAsia="zh-CN"/>
        </w:rPr>
        <w:t>，第一作者为</w:t>
      </w:r>
      <w:r>
        <w:rPr>
          <w:rFonts w:hint="default" w:ascii="Times New Roman" w:hAnsi="Times New Roman" w:eastAsia="宋体"/>
          <w:szCs w:val="21"/>
          <w:lang w:val="en-US" w:eastAsia="zh-CN"/>
        </w:rPr>
        <w:t>徐文斌</w:t>
      </w:r>
      <w:r>
        <w:rPr>
          <w:rFonts w:hint="eastAsia" w:ascii="Times New Roman" w:hAnsi="Times New Roman" w:eastAsia="宋体"/>
          <w:szCs w:val="21"/>
          <w:lang w:val="en-US" w:eastAsia="zh-CN"/>
        </w:rPr>
        <w:t>。</w:t>
      </w:r>
    </w:p>
    <w:p w14:paraId="17E00CE6">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45224978">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Times New Roman" w:hAnsi="Times New Roman" w:eastAsia="宋体"/>
          <w:b/>
          <w:bCs/>
          <w:sz w:val="28"/>
          <w:szCs w:val="28"/>
          <w:lang w:val="en-US" w:eastAsia="zh-CN"/>
        </w:rPr>
      </w:pPr>
      <w:bookmarkStart w:id="992" w:name="_Toc16251840"/>
      <w:bookmarkStart w:id="993" w:name="_Toc1858663187"/>
      <w:bookmarkStart w:id="994" w:name="_Toc2076007010"/>
      <w:bookmarkStart w:id="995" w:name="_Toc8765"/>
      <w:bookmarkStart w:id="996" w:name="_Toc929481594"/>
      <w:bookmarkStart w:id="997" w:name="_Toc1346650352"/>
      <w:r>
        <w:rPr>
          <w:rFonts w:hint="eastAsia" w:ascii="Times New Roman" w:hAnsi="Times New Roman" w:eastAsia="宋体"/>
          <w:b/>
          <w:bCs/>
          <w:sz w:val="28"/>
          <w:szCs w:val="28"/>
          <w:lang w:val="en-US" w:eastAsia="zh-CN"/>
        </w:rPr>
        <w:t>8数字剩余价值的三重跃迁逻辑与数字资本主义批判——马克思主义政治经济学的当代重构</w:t>
      </w:r>
      <w:bookmarkEnd w:id="992"/>
      <w:bookmarkEnd w:id="993"/>
      <w:bookmarkEnd w:id="994"/>
      <w:bookmarkEnd w:id="995"/>
      <w:bookmarkEnd w:id="996"/>
      <w:bookmarkEnd w:id="997"/>
    </w:p>
    <w:p w14:paraId="0AEE9843">
      <w:pPr>
        <w:keepNext w:val="0"/>
        <w:keepLines w:val="0"/>
        <w:pageBreakBefore w:val="0"/>
        <w:widowControl w:val="0"/>
        <w:kinsoku/>
        <w:wordWrap/>
        <w:overflowPunct/>
        <w:topLinePunct w:val="0"/>
        <w:autoSpaceDE/>
        <w:autoSpaceDN/>
        <w:bidi w:val="0"/>
        <w:spacing w:after="35" w:line="312" w:lineRule="auto"/>
        <w:ind w:left="49" w:hanging="10"/>
        <w:textAlignment w:val="auto"/>
        <w:rPr>
          <w:rFonts w:hint="eastAsia" w:ascii="楷体" w:hAnsi="楷体" w:eastAsia="楷体" w:cs="楷体"/>
          <w:b w:val="0"/>
          <w:bCs w:val="0"/>
          <w:color w:val="222222"/>
          <w:kern w:val="2"/>
          <w:sz w:val="21"/>
          <w:szCs w:val="21"/>
          <w:shd w:val="clear" w:color="auto" w:fill="FFFFFF"/>
          <w:lang w:val="en-US" w:eastAsia="zh-CN" w:bidi="ar-SA"/>
        </w:rPr>
      </w:pPr>
      <w:r>
        <w:rPr>
          <w:rFonts w:ascii="楷体" w:hAnsi="楷体" w:eastAsia="楷体" w:cs="黑体"/>
          <w:b/>
          <w:bCs/>
          <w:color w:val="222222"/>
          <w:kern w:val="2"/>
          <w:sz w:val="21"/>
          <w:szCs w:val="21"/>
          <w:shd w:val="clear" w:color="auto" w:fill="FFFFFF"/>
        </w:rPr>
        <w:t>内容提要</w:t>
      </w:r>
      <w:r>
        <w:rPr>
          <w:rFonts w:ascii="楷体" w:hAnsi="楷体" w:eastAsia="楷体" w:cs="黑体"/>
          <w:bCs w:val="0"/>
          <w:color w:val="222222"/>
          <w:kern w:val="2"/>
          <w:sz w:val="21"/>
          <w:szCs w:val="21"/>
          <w:shd w:val="clear" w:color="auto" w:fill="FFFFFF"/>
        </w:rPr>
        <w:t xml:space="preserve"> </w:t>
      </w:r>
      <w:r>
        <w:rPr>
          <w:rFonts w:hint="eastAsia" w:ascii="楷体" w:hAnsi="楷体" w:eastAsia="楷体" w:cs="黑体"/>
          <w:bCs w:val="0"/>
          <w:color w:val="222222"/>
          <w:kern w:val="2"/>
          <w:sz w:val="21"/>
          <w:szCs w:val="21"/>
          <w:shd w:val="clear" w:color="auto" w:fill="FFFFFF"/>
          <w:lang w:val="en-US" w:eastAsia="zh-CN"/>
        </w:rPr>
        <w:t xml:space="preserve"> </w:t>
      </w:r>
      <w:r>
        <w:rPr>
          <w:rFonts w:hint="eastAsia" w:ascii="楷体" w:hAnsi="楷体" w:eastAsia="楷体" w:cs="楷体"/>
          <w:b w:val="0"/>
          <w:bCs w:val="0"/>
          <w:color w:val="222222"/>
          <w:kern w:val="2"/>
          <w:sz w:val="21"/>
          <w:szCs w:val="21"/>
          <w:shd w:val="clear" w:color="auto" w:fill="FFFFFF"/>
          <w:lang w:val="en-US" w:eastAsia="zh-CN" w:bidi="ar-SA"/>
        </w:rPr>
        <w:t>数字资本主义通过重构生产要素、创新剥削形态与重塑积累空间,对马克思主义政治经济学构成系统性挑战。本文以“三重跃迁”为分析框架,揭示数据资本如何通过生产要素的非物质化重构、剥削机制的泛在化扩展、积累空间的全球化重组,实现剩余价值规律的范式转换与重构。研究表明,数字资本主义并未超越资本逻辑的历史局限性,其技术中性表象下的本质仍是用户无酬劳动的数字化占有。本文通过构建“要素机制空间”三维批判模型, 提出以数据公有制重构生产关系、以算法民主化消解规训权力、以全球数据主权重塑国际秩序的解放路径,为破解数字异化提供了基于唯物史观的实践方案。数字资本主义的“历史暂时性”终将在资本逻辑与人类解放的辩证运动中被打破。</w:t>
      </w:r>
    </w:p>
    <w:p w14:paraId="7C1CF752">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rPr>
          <w:rFonts w:hint="eastAsia" w:ascii="楷体" w:hAnsi="楷体" w:eastAsia="楷体" w:cs="楷体"/>
          <w:b w:val="0"/>
          <w:bCs w:val="0"/>
          <w:color w:val="222222"/>
          <w:kern w:val="2"/>
          <w:sz w:val="21"/>
          <w:szCs w:val="21"/>
          <w:shd w:val="clear" w:color="auto" w:fill="FFFFFF"/>
          <w:lang w:val="en-US" w:eastAsia="zh-CN" w:bidi="ar-SA"/>
        </w:rPr>
      </w:pPr>
    </w:p>
    <w:p w14:paraId="35F43A07">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rPr>
          <w:rFonts w:hint="eastAsia" w:ascii="楷体" w:hAnsi="楷体" w:eastAsia="楷体" w:cs="楷体"/>
          <w:b w:val="0"/>
          <w:bCs w:val="0"/>
          <w:color w:val="222222"/>
          <w:kern w:val="2"/>
          <w:sz w:val="21"/>
          <w:szCs w:val="21"/>
          <w:shd w:val="clear" w:color="auto" w:fill="FFFFFF"/>
          <w:lang w:val="en-US" w:eastAsia="zh-CN" w:bidi="ar-SA"/>
        </w:rPr>
      </w:pPr>
    </w:p>
    <w:p w14:paraId="17131E7C">
      <w:pPr>
        <w:keepNext w:val="0"/>
        <w:keepLines w:val="0"/>
        <w:pageBreakBefore w:val="0"/>
        <w:widowControl w:val="0"/>
        <w:kinsoku/>
        <w:wordWrap/>
        <w:overflowPunct/>
        <w:topLinePunct w:val="0"/>
        <w:autoSpaceDE/>
        <w:autoSpaceDN/>
        <w:bidi w:val="0"/>
        <w:spacing w:after="102" w:line="312" w:lineRule="auto"/>
        <w:ind w:left="49" w:hanging="10"/>
        <w:textAlignment w:val="auto"/>
        <w:rPr>
          <w:rFonts w:hint="eastAsia" w:ascii="楷体" w:hAnsi="楷体" w:eastAsia="楷体" w:cs="楷体"/>
          <w:b w:val="0"/>
          <w:bCs w:val="0"/>
          <w:color w:val="222222"/>
          <w:kern w:val="2"/>
          <w:sz w:val="21"/>
          <w:szCs w:val="21"/>
          <w:shd w:val="clear" w:color="auto" w:fill="FFFFFF"/>
          <w:lang w:val="en-US" w:eastAsia="zh-CN" w:bidi="ar-SA"/>
        </w:rPr>
      </w:pPr>
      <w:r>
        <w:rPr>
          <w:rFonts w:hint="eastAsia" w:ascii="楷体" w:hAnsi="楷体" w:eastAsia="楷体" w:cs="楷体"/>
          <w:b/>
          <w:bCs/>
          <w:color w:val="222222"/>
          <w:kern w:val="2"/>
          <w:sz w:val="21"/>
          <w:szCs w:val="21"/>
          <w:shd w:val="clear" w:color="auto" w:fill="FFFFFF"/>
          <w:lang w:val="en-US" w:eastAsia="zh-CN" w:bidi="ar-SA"/>
        </w:rPr>
        <w:t xml:space="preserve">关键词 </w:t>
      </w:r>
      <w:r>
        <w:rPr>
          <w:rFonts w:hint="eastAsia" w:ascii="楷体" w:hAnsi="楷体" w:eastAsia="楷体" w:cs="楷体"/>
          <w:b w:val="0"/>
          <w:bCs w:val="0"/>
          <w:color w:val="222222"/>
          <w:kern w:val="2"/>
          <w:sz w:val="21"/>
          <w:szCs w:val="21"/>
          <w:shd w:val="clear" w:color="auto" w:fill="FFFFFF"/>
          <w:lang w:val="en-US" w:eastAsia="zh-CN" w:bidi="ar-SA"/>
        </w:rPr>
        <w:t xml:space="preserve"> 数字资本主义;马克思主义政治经济学;剩余价值理论;数据资本;三重跃迁</w:t>
      </w:r>
    </w:p>
    <w:p w14:paraId="6A5D2C18">
      <w:pPr>
        <w:spacing w:after="102" w:line="507" w:lineRule="auto"/>
        <w:ind w:left="49" w:hanging="10"/>
        <w:rPr>
          <w:rFonts w:hint="eastAsia" w:ascii="楷体" w:hAnsi="楷体" w:eastAsia="楷体" w:cs="楷体"/>
          <w:b w:val="0"/>
          <w:bCs w:val="0"/>
          <w:color w:val="222222"/>
          <w:kern w:val="2"/>
          <w:sz w:val="21"/>
          <w:szCs w:val="21"/>
          <w:shd w:val="clear" w:color="auto" w:fill="FFFFFF"/>
          <w:lang w:val="en-US" w:eastAsia="zh-CN" w:bidi="ar-SA"/>
        </w:rPr>
      </w:pPr>
    </w:p>
    <w:p w14:paraId="7F07237B">
      <w:pPr>
        <w:snapToGrid w:val="0"/>
        <w:jc w:val="center"/>
        <w:rPr>
          <w:rFonts w:hint="eastAsia" w:ascii="楷体" w:hAnsi="楷体" w:eastAsia="楷体" w:cs="黑体"/>
          <w:b/>
          <w:bCs/>
          <w:color w:val="222222"/>
          <w:kern w:val="0"/>
          <w:sz w:val="32"/>
          <w:szCs w:val="28"/>
          <w:shd w:val="clear" w:color="auto" w:fill="FFFFFF"/>
          <w:lang w:val="en-US" w:eastAsia="zh-CN" w:bidi="ar"/>
        </w:rPr>
      </w:pPr>
    </w:p>
    <w:p w14:paraId="757B9887">
      <w:pPr>
        <w:keepNext w:val="0"/>
        <w:keepLines w:val="0"/>
        <w:pageBreakBefore w:val="0"/>
        <w:kinsoku/>
        <w:wordWrap/>
        <w:overflowPunct/>
        <w:topLinePunct w:val="0"/>
        <w:autoSpaceDE/>
        <w:autoSpaceDN/>
        <w:bidi w:val="0"/>
        <w:snapToGrid w:val="0"/>
        <w:spacing w:line="312" w:lineRule="auto"/>
        <w:jc w:val="center"/>
        <w:rPr>
          <w:rFonts w:hint="eastAsia" w:ascii="楷体" w:hAnsi="楷体" w:eastAsia="楷体" w:cs="黑体"/>
          <w:b/>
          <w:bCs/>
          <w:color w:val="222222"/>
          <w:kern w:val="0"/>
          <w:sz w:val="32"/>
          <w:szCs w:val="28"/>
          <w:shd w:val="clear" w:color="auto" w:fill="FFFFFF"/>
          <w:lang w:val="en-US" w:eastAsia="zh-CN" w:bidi="ar"/>
        </w:rPr>
      </w:pPr>
      <w:r>
        <w:rPr>
          <w:rFonts w:hint="eastAsia" w:ascii="楷体" w:hAnsi="楷体" w:eastAsia="楷体" w:cs="黑体"/>
          <w:b/>
          <w:bCs/>
          <w:color w:val="222222"/>
          <w:kern w:val="0"/>
          <w:sz w:val="32"/>
          <w:szCs w:val="28"/>
          <w:shd w:val="clear" w:color="auto" w:fill="FFFFFF"/>
          <w:lang w:val="en-US" w:eastAsia="zh-CN" w:bidi="ar"/>
        </w:rPr>
        <w:t>一、引言</w:t>
      </w:r>
    </w:p>
    <w:p w14:paraId="609F916A">
      <w:pPr>
        <w:keepNext w:val="0"/>
        <w:keepLines w:val="0"/>
        <w:pageBreakBefore w:val="0"/>
        <w:numPr>
          <w:ilvl w:val="0"/>
          <w:numId w:val="0"/>
        </w:numPr>
        <w:kinsoku/>
        <w:wordWrap/>
        <w:overflowPunct/>
        <w:topLinePunct w:val="0"/>
        <w:autoSpaceDE/>
        <w:autoSpaceDN/>
        <w:bidi w:val="0"/>
        <w:adjustRightInd w:val="0"/>
        <w:snapToGrid w:val="0"/>
        <w:spacing w:line="312" w:lineRule="auto"/>
        <w:rPr>
          <w:rFonts w:hint="default" w:ascii="Times New Roman" w:hAnsi="Times New Roman" w:eastAsia="宋体" w:cs="楷体"/>
          <w:b/>
          <w:bCs/>
          <w:color w:val="222222"/>
          <w:sz w:val="24"/>
          <w:shd w:val="clear" w:color="auto" w:fill="FFFFFF"/>
          <w:lang w:val="en-US" w:eastAsia="zh-CN"/>
        </w:rPr>
      </w:pPr>
    </w:p>
    <w:p w14:paraId="3500473A">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数字资本主义重塑了社会生产关系与权力结构,平台经济、零工劳动和数据垄断等表现形式对马克思主义政治经济学的理论基础构成系统性挑战,具体表现为用户无酬劳动的价值归属难题、算法剥削的隐蔽性以及全球数据资本循环重构的霸权秩序。解码数字资本主义的剥削本质,已成为当代马克思主义理论创新的核心命题。</w:t>
      </w:r>
    </w:p>
    <w:p w14:paraId="548AD228">
      <w:pPr>
        <w:keepNext w:val="0"/>
        <w:keepLines w:val="0"/>
        <w:pageBreakBefore w:val="0"/>
        <w:widowControl w:val="0"/>
        <w:kinsoku/>
        <w:wordWrap/>
        <w:overflowPunct/>
        <w:topLinePunct w:val="0"/>
        <w:autoSpaceDE/>
        <w:autoSpaceDN/>
        <w:bidi w:val="0"/>
        <w:adjustRightInd/>
        <w:snapToGrid/>
        <w:spacing w:line="312" w:lineRule="auto"/>
        <w:ind w:right="0" w:firstLine="0"/>
        <w:jc w:val="both"/>
        <w:textAlignment w:val="auto"/>
        <w:rPr>
          <w:rFonts w:hint="eastAsia"/>
          <w:lang w:val="en-US" w:eastAsia="zh-CN"/>
        </w:rPr>
      </w:pPr>
      <w:r>
        <w:t xml:space="preserve">  </w:t>
      </w:r>
      <w:r>
        <w:rPr>
          <w:rFonts w:hint="eastAsia"/>
          <w:lang w:val="en-US" w:eastAsia="zh-CN"/>
        </w:rPr>
        <w:t xml:space="preserve">  </w:t>
      </w:r>
      <w:r>
        <w:t>数字资本主义作为互联网时代资本通过数据和算法支配劳动的新形态,自诞生之初就引发了广泛的学术关注,对其微观运行机制的研究已取得显著成果。例如,尼克·斯尔尼塞克 (Nick</w:t>
      </w:r>
      <w:r>
        <w:rPr>
          <w:sz w:val="3"/>
          <w:vertAlign w:val="superscript"/>
        </w:rPr>
        <w:t xml:space="preserve"> </w:t>
      </w:r>
      <w:r>
        <w:t>Srnicek)提出的“平台资本主义”理论,基于数字平台的技术</w:t>
      </w:r>
      <w:r>
        <w:rPr>
          <w:sz w:val="2"/>
        </w:rPr>
        <w:t xml:space="preserve"> </w:t>
      </w:r>
      <w:r>
        <w:t>中介职能,剖析了平台在市场结构重组过程中的关键作用。</w:t>
      </w:r>
      <w:r>
        <w:rPr>
          <w:rStyle w:val="20"/>
        </w:rPr>
        <w:footnoteReference w:id="1408"/>
      </w:r>
      <w:r>
        <w:t>克里斯蒂安·福克斯(ChristianFuchs)的“数字劳动”理论创造性地将用户生成内容界定为一种被资本无偿占有的数字劳动形式,从而拓展了数字资本主义剥削机制的分析边界。</w:t>
      </w:r>
      <w:r>
        <w:rPr>
          <w:rStyle w:val="20"/>
        </w:rPr>
        <w:footnoteReference w:id="1409"/>
      </w:r>
      <w:r>
        <w:t>国内学者如邱海平、吴静等对灵活用工人员日常生态的考察,揭示了算法如何对外卖员、网约车司机等劳动者实施数字化控制。</w:t>
      </w:r>
      <w:r>
        <w:rPr>
          <w:rStyle w:val="20"/>
        </w:rPr>
        <w:footnoteReference w:id="1410"/>
      </w:r>
      <w:r>
        <w:rPr>
          <w:rStyle w:val="20"/>
        </w:rPr>
        <w:footnoteReference w:id="1411"/>
      </w:r>
      <w:r>
        <w:t>然而,从整体性范式重构的角度来看,现有研究在回应数字资本主义对劳动价值论与剩余价值论提出的根本性理论挑战上,仍存在进一步系统深化的空间,数字劳动的异化本质、资本积累的时空重组以及全球数据循环背后的权力秩序等宏观问题,也有待进一步深入剖析。</w:t>
      </w:r>
      <w:r>
        <w:rPr>
          <w:rStyle w:val="20"/>
        </w:rPr>
        <w:footnoteReference w:id="1412"/>
      </w:r>
      <w:r>
        <w:rPr>
          <w:rStyle w:val="20"/>
        </w:rPr>
        <w:footnoteReference w:id="1413"/>
      </w:r>
      <w:r>
        <w:t>面对数字资本主义条件下资本对生命整体控制等新现象,马克思主义政治经济学需要对其进行系统探讨,以推动自身与时俱</w:t>
      </w:r>
      <w:r>
        <w:rPr>
          <w:rFonts w:hint="eastAsia"/>
          <w:lang w:val="en-US" w:eastAsia="zh-CN"/>
        </w:rPr>
        <w:t>进。</w:t>
      </w:r>
      <w:r>
        <w:rPr>
          <w:rStyle w:val="20"/>
          <w:rFonts w:hint="eastAsia" w:ascii="Times New Roman" w:hAnsi="Times New Roman" w:eastAsia="宋体" w:cs="Times New Roman"/>
          <w:lang w:val="en-US" w:eastAsia="zh-CN"/>
        </w:rPr>
        <w:footnoteReference w:id="1414"/>
      </w:r>
      <w:r>
        <w:rPr>
          <w:rStyle w:val="20"/>
          <w:rFonts w:hint="eastAsia" w:ascii="Times New Roman" w:hAnsi="Times New Roman" w:eastAsia="宋体" w:cs="Times New Roman"/>
          <w:lang w:val="en-US" w:eastAsia="zh-CN"/>
        </w:rPr>
        <w:footnoteReference w:id="1415"/>
      </w:r>
      <w:r>
        <w:rPr>
          <w:rStyle w:val="20"/>
          <w:rFonts w:hint="eastAsia" w:ascii="Times New Roman" w:hAnsi="Times New Roman" w:eastAsia="宋体" w:cs="Times New Roman"/>
          <w:lang w:val="en-US" w:eastAsia="zh-CN"/>
        </w:rPr>
        <w:footnoteReference w:id="1416"/>
      </w:r>
      <w:r>
        <w:rPr>
          <w:rStyle w:val="20"/>
          <w:rFonts w:hint="eastAsia" w:ascii="Times New Roman" w:hAnsi="Times New Roman" w:eastAsia="宋体" w:cs="Times New Roman"/>
          <w:lang w:val="en-US" w:eastAsia="zh-CN"/>
        </w:rPr>
        <w:t xml:space="preserve">  </w:t>
      </w:r>
    </w:p>
    <w:p w14:paraId="4BF55319">
      <w:pPr>
        <w:keepNext w:val="0"/>
        <w:keepLines w:val="0"/>
        <w:pageBreakBefore w:val="0"/>
        <w:widowControl w:val="0"/>
        <w:kinsoku/>
        <w:wordWrap/>
        <w:overflowPunct/>
        <w:topLinePunct w:val="0"/>
        <w:autoSpaceDE/>
        <w:autoSpaceDN/>
        <w:bidi w:val="0"/>
        <w:adjustRightInd/>
        <w:snapToGrid/>
        <w:spacing w:line="312" w:lineRule="auto"/>
        <w:ind w:right="0" w:firstLine="420" w:firstLineChars="200"/>
        <w:jc w:val="both"/>
        <w:textAlignment w:val="auto"/>
      </w:pPr>
      <w:r>
        <w:rPr>
          <w:rFonts w:hint="eastAsia"/>
          <w:b w:val="0"/>
          <w:bCs w:val="0"/>
        </w:rPr>
        <w:t>本文认为，</w:t>
      </w:r>
      <w:r>
        <w:t>数字资本主义并未超越马克思主义的分析框架,而是以数据资本为中介,实现了剩余价值规律的范式转换:数据资本作为特殊的历史性不变资本,其价值增殖的本质是用户无酬劳动的“数字化沉淀”。资本通过算法管理系统,将剥削触角从生产领域延伸至消费、流通全场景,形成“产消合一”的生态化剥削网络,并通过全球数据循环,重构资本积累的空间秩序。这种重构的本质是资本通过数字化手段深化对劳动过程的控制,将边缘国家的用户数据转化为自身价值增殖的社会条件。</w:t>
      </w:r>
    </w:p>
    <w:p w14:paraId="33BAB18D">
      <w:pPr>
        <w:keepNext w:val="0"/>
        <w:keepLines w:val="0"/>
        <w:pageBreakBefore w:val="0"/>
        <w:widowControl w:val="0"/>
        <w:kinsoku/>
        <w:wordWrap/>
        <w:overflowPunct/>
        <w:topLinePunct w:val="0"/>
        <w:autoSpaceDE/>
        <w:autoSpaceDN/>
        <w:bidi w:val="0"/>
        <w:adjustRightInd/>
        <w:snapToGrid/>
        <w:spacing w:line="312" w:lineRule="auto"/>
        <w:ind w:right="0" w:firstLine="420" w:firstLineChars="200"/>
        <w:jc w:val="both"/>
        <w:textAlignment w:val="auto"/>
        <w:rPr>
          <w:rFonts w:hint="eastAsia"/>
          <w:b w:val="0"/>
          <w:bCs w:val="0"/>
        </w:rPr>
      </w:pPr>
      <w:r>
        <w:t>基于此,本文构建了“要素机制空间”三维分析框架,提出“三重跃迁”(即结构性转换)概念,系统揭示数字资本主义对马克思主义政治经济学的三重范式转换:第一是生产要素跃迁</w:t>
      </w:r>
      <w:r>
        <w:rPr>
          <w:rFonts w:hint="eastAsia"/>
          <w:lang w:eastAsia="zh-CN"/>
        </w:rPr>
        <w:t>——</w:t>
      </w:r>
      <w:r>
        <w:t>数据资本通过“非竞争性使用”与“劳动对象化”双重属性,突破传统不变资本仅通过物理转移保存价值的局限,重构价值增殖链条;第二是剥削机制跃迁</w:t>
      </w:r>
      <w:r>
        <w:rPr>
          <w:rFonts w:hint="eastAsia"/>
          <w:lang w:eastAsia="zh-CN"/>
        </w:rPr>
        <w:t>——</w:t>
      </w:r>
      <w:r>
        <w:t>算法管理系统实施“数字规训”,将剥削范围扩展至全体用户,形成全场景生态化剥削;第三是积累空间跃迁</w:t>
      </w:r>
      <w:r>
        <w:rPr>
          <w:rFonts w:hint="eastAsia"/>
          <w:lang w:eastAsia="zh-CN"/>
        </w:rPr>
        <w:t>——</w:t>
      </w:r>
      <w:r>
        <w:t>全球数据资本循环通过垄断技术标准、制定数据规则与绑定金融体系,重构资本积累的全球空间秩序。虽然数字资本主义有着“技术中性”的表象,但资本对劳动的支配本质未变,剩余价值的终极源泉仍是用户与劳动者的无酬劳动。</w:t>
      </w:r>
    </w:p>
    <w:p w14:paraId="0BA5B73E">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本文的理论推进主要体现在以下三个方面:第一,通过界定数据资本的二重性(劳动对象的历史沉淀与不变资本的当代形态),破解“数据是否创造价值”的理论迷思;第二,提出“数字剥削率”概念,揭示算法管理系统对剩余价值率的指数级放大效应;第三,阐明全球数据循环中 “价值创造条件的剥夺”机制,以期发展马克思主义资本积累理论的空间维度。在实践层面,本文进一步探讨了数据公有制、算法民主化与全球数据主权等解放路径,为破解数字异化提供方法论指引。</w:t>
      </w:r>
    </w:p>
    <w:p w14:paraId="6F737FAA">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本文的核心创新在于系统整合马克思主义政治经济学基本原理与数字资本主义的实践, 通过构建“三重跃迁”分析框架,系统阐释了数字技术革命对劳动价值论、剩余价值规律与资本积累理论的范式转换机制。这一理论探索不仅回应了数字时代“生命权力”控制的现实挑战, 更为破解数字异化提供了基于唯物史观的实践方案。</w:t>
      </w:r>
    </w:p>
    <w:p w14:paraId="5BF0E5EB">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rPr>
          <w:rFonts w:hint="eastAsia"/>
          <w:b w:val="0"/>
          <w:bCs w:val="0"/>
        </w:rPr>
      </w:pPr>
    </w:p>
    <w:p w14:paraId="77AB37C0">
      <w:pPr>
        <w:keepNext w:val="0"/>
        <w:keepLines w:val="0"/>
        <w:pageBreakBefore w:val="0"/>
        <w:widowControl/>
        <w:kinsoku/>
        <w:wordWrap/>
        <w:overflowPunct/>
        <w:topLinePunct w:val="0"/>
        <w:autoSpaceDE/>
        <w:autoSpaceDN/>
        <w:bidi w:val="0"/>
        <w:snapToGrid w:val="0"/>
        <w:spacing w:before="192" w:after="96" w:line="312" w:lineRule="auto"/>
        <w:ind w:firstLine="641" w:firstLineChars="200"/>
        <w:jc w:val="center"/>
        <w:textAlignment w:val="baseline"/>
        <w:rPr>
          <w:rFonts w:hint="eastAsia" w:ascii="楷体" w:hAnsi="楷体" w:eastAsia="楷体" w:cs="黑体"/>
          <w:b/>
          <w:color w:val="222222"/>
          <w:sz w:val="32"/>
          <w:szCs w:val="28"/>
          <w:shd w:val="clear" w:color="auto" w:fill="FFFFFF"/>
        </w:rPr>
      </w:pPr>
      <w:r>
        <w:rPr>
          <w:rFonts w:hint="eastAsia" w:ascii="楷体" w:hAnsi="楷体" w:eastAsia="楷体" w:cs="黑体"/>
          <w:b/>
          <w:bCs/>
          <w:color w:val="222222"/>
          <w:kern w:val="0"/>
          <w:sz w:val="32"/>
          <w:szCs w:val="28"/>
          <w:shd w:val="clear" w:color="auto" w:fill="FFFFFF"/>
          <w:lang w:val="en-US" w:eastAsia="zh-CN" w:bidi="ar"/>
        </w:rPr>
        <w:t>二、</w:t>
      </w:r>
      <w:r>
        <w:rPr>
          <w:rFonts w:hint="eastAsia" w:ascii="楷体" w:hAnsi="楷体" w:eastAsia="楷体" w:cs="黑体"/>
          <w:b/>
          <w:bCs/>
          <w:color w:val="222222"/>
          <w:kern w:val="0"/>
          <w:sz w:val="32"/>
          <w:szCs w:val="28"/>
          <w:shd w:val="clear" w:color="auto" w:fill="FFFFFF"/>
          <w:lang w:bidi="ar"/>
        </w:rPr>
        <w:t>数字剩余价值的三重跃迁：内涵与运行机制​</w:t>
      </w:r>
      <w:r>
        <w:rPr>
          <w:rFonts w:hint="eastAsia" w:ascii="楷体" w:hAnsi="楷体" w:eastAsia="楷体" w:cs="黑体"/>
          <w:b/>
          <w:color w:val="222222"/>
          <w:sz w:val="32"/>
          <w:szCs w:val="28"/>
          <w:shd w:val="clear" w:color="auto" w:fill="FFFFFF"/>
        </w:rPr>
        <w:t>​</w:t>
      </w:r>
    </w:p>
    <w:p w14:paraId="75EAD5F2">
      <w:pPr>
        <w:keepNext w:val="0"/>
        <w:keepLines w:val="0"/>
        <w:pageBreakBefore w:val="0"/>
        <w:kinsoku/>
        <w:wordWrap/>
        <w:overflowPunct/>
        <w:topLinePunct w:val="0"/>
        <w:autoSpaceDE/>
        <w:autoSpaceDN/>
        <w:bidi w:val="0"/>
        <w:adjustRightInd w:val="0"/>
        <w:snapToGrid w:val="0"/>
        <w:spacing w:line="312" w:lineRule="auto"/>
        <w:ind w:firstLine="420" w:firstLineChars="200"/>
        <w:rPr>
          <w:rFonts w:hint="eastAsia" w:ascii="宋体" w:hAnsi="宋体" w:eastAsia="宋体" w:cs="宋体"/>
          <w:szCs w:val="21"/>
        </w:rPr>
      </w:pPr>
      <w:r>
        <w:t>数字剩余价值的三重跃迁(</w:t>
      </w:r>
      <w:r>
        <w:rPr>
          <w:rFonts w:hint="eastAsia"/>
          <w:lang w:val="en-US" w:eastAsia="zh-CN"/>
        </w:rPr>
        <w:t>即</w:t>
      </w:r>
      <w:r>
        <w:t>结构性转换)构成了数字资本主义重构社会生产关系的核心逻辑框架。这一理论建构揭示了数字技术革命对马克思主义政治经济学基本范畴的重要影响。第一,在数字资本主义中,以数据形式物化的过去劳动(死劳动),在资本有机构成中占据了前所未有的比重,并作为主导性生产资料(不变资本),重构了价值生产和剩余价值榨取的流程。用户无酬劳动经算法系统转化为剩余价值,这一机制动摇了“不变资本仅转移价值”的传统政治经济学认知;第二,算法管理系统将剥削触角从生产领域延伸至消费、流通等全场景,形成“产消合一”的非雇佣劳动剥削网络,突破了线性雇佣剥削的时空边界。第三,全球数据资本循环深刻重构了资本积累的空间逻辑,中心国家对边缘国家的数字殖民体系逐渐取代传统的殖民贸易与产业转移,资本积累的全球失衡呈现出数字化新形态。这三重跃迁通过数据资本的二重性形成有机整体,算法对必要劳动时间的精准压缩成为连接生产要素变革与全球资本循环的枢纽环节。</w:t>
      </w:r>
    </w:p>
    <w:p w14:paraId="2CA14E89">
      <w:pPr>
        <w:keepNext w:val="0"/>
        <w:keepLines w:val="0"/>
        <w:pageBreakBefore w:val="0"/>
        <w:numPr>
          <w:ilvl w:val="0"/>
          <w:numId w:val="0"/>
        </w:numPr>
        <w:kinsoku/>
        <w:wordWrap/>
        <w:overflowPunct/>
        <w:topLinePunct w:val="0"/>
        <w:autoSpaceDE/>
        <w:autoSpaceDN/>
        <w:bidi w:val="0"/>
        <w:adjustRightInd w:val="0"/>
        <w:snapToGrid w:val="0"/>
        <w:spacing w:line="312" w:lineRule="auto"/>
        <w:ind w:firstLine="480" w:firstLineChars="200"/>
        <w:jc w:val="both"/>
        <w:rPr>
          <w:rFonts w:hint="eastAsia" w:ascii="Times New Roman" w:hAnsi="Times New Roman" w:eastAsia="宋体" w:cs="楷体"/>
          <w:b/>
          <w:bCs/>
          <w:color w:val="222222"/>
          <w:sz w:val="24"/>
          <w:shd w:val="clear" w:color="auto" w:fill="FFFFFF"/>
          <w:lang w:eastAsia="zh-CN"/>
        </w:rPr>
      </w:pPr>
      <w:r>
        <w:rPr>
          <w:rFonts w:hint="eastAsia" w:ascii="Times New Roman" w:hAnsi="Times New Roman" w:eastAsia="宋体" w:cs="楷体"/>
          <w:b/>
          <w:bCs/>
          <w:color w:val="222222"/>
          <w:sz w:val="24"/>
          <w:shd w:val="clear" w:color="auto" w:fill="FFFFFF"/>
          <w:lang w:eastAsia="zh-CN"/>
        </w:rPr>
        <w:t>（</w:t>
      </w:r>
      <w:r>
        <w:rPr>
          <w:rFonts w:hint="eastAsia" w:ascii="Times New Roman" w:hAnsi="Times New Roman" w:eastAsia="宋体" w:cs="楷体"/>
          <w:b/>
          <w:bCs/>
          <w:color w:val="222222"/>
          <w:sz w:val="24"/>
          <w:shd w:val="clear" w:color="auto" w:fill="FFFFFF"/>
          <w:lang w:val="en-US" w:eastAsia="zh-CN"/>
        </w:rPr>
        <w:t>一</w:t>
      </w:r>
      <w:r>
        <w:rPr>
          <w:rFonts w:hint="eastAsia" w:ascii="Times New Roman" w:hAnsi="Times New Roman" w:eastAsia="宋体" w:cs="楷体"/>
          <w:b/>
          <w:bCs/>
          <w:color w:val="222222"/>
          <w:sz w:val="24"/>
          <w:shd w:val="clear" w:color="auto" w:fill="FFFFFF"/>
          <w:lang w:eastAsia="zh-CN"/>
        </w:rPr>
        <w:t>）剩余价值生产要素跃迁：从物质资本主导到数字资本引领</w:t>
      </w:r>
    </w:p>
    <w:p w14:paraId="0A8ADBB1">
      <w:pPr>
        <w:keepNext w:val="0"/>
        <w:keepLines w:val="0"/>
        <w:pageBreakBefore w:val="0"/>
        <w:numPr>
          <w:ilvl w:val="0"/>
          <w:numId w:val="0"/>
        </w:numPr>
        <w:kinsoku/>
        <w:wordWrap/>
        <w:overflowPunct/>
        <w:topLinePunct w:val="0"/>
        <w:autoSpaceDE/>
        <w:autoSpaceDN/>
        <w:bidi w:val="0"/>
        <w:adjustRightInd w:val="0"/>
        <w:snapToGrid w:val="0"/>
        <w:spacing w:line="312" w:lineRule="auto"/>
        <w:ind w:firstLine="420" w:firstLineChars="200"/>
        <w:rPr>
          <w:rFonts w:hint="eastAsia" w:ascii="宋体" w:hAnsi="宋体" w:eastAsia="宋体" w:cs="宋体"/>
          <w:szCs w:val="21"/>
          <w:lang w:val="en-US" w:eastAsia="zh-CN"/>
        </w:rPr>
      </w:pPr>
      <w:r>
        <w:t>数字资本主义对剩余价值生产的根本变革,始于生产要素的范式转换,即数据形态的过去劳动(死劳动)在资本有机构成的比重较工业资本主义时代显著提升,并作为主导性生产资料 (不变资本)重构了价值生产和剩余价值榨取的流程。这一跃迁并非对马克思劳动价值论的背离,而是在数字场景中对经典范畴的创造性转化。从劳动价值论视角来看,数据的自然与社会双重属性,突破了传统“劳动对象”与“劳动资料”的二元对立。马克思在《资本论》中对二者进行了明确的区分:劳动对象是劳动过程中被加工的东西,分为自然物(如矿石)与原料(如棉纱);劳动资料则是劳动者将自身活动传导至劳动对象的物或物的综合体(如机器)。</w:t>
      </w:r>
      <w:r>
        <w:rPr>
          <w:rStyle w:val="20"/>
        </w:rPr>
        <w:footnoteReference w:id="1417"/>
      </w:r>
      <w:r>
        <w:t>用户行为数据看似与传统劳动对象无涉,实则具有双重属性:其需要用户无酬劳动(浏览、点击、交互) 的持续投入,经平台采集、清洗、存储后,转化为可被算法操控的“数字劳动资料”。例如,社交媒体用户生成的内容数据,既是算法训练的基础原料(劳动对象),又是精准推送广告的技术载体(劳动资料)。这种双重性突破了马克思对生产资料的静态分类,揭示了数据资本作为“流动的劳动对象化过程”的当代特征。</w:t>
      </w:r>
    </w:p>
    <w:p w14:paraId="30FBAD59">
      <w:pPr>
        <w:keepNext w:val="0"/>
        <w:keepLines w:val="0"/>
        <w:pageBreakBefore w:val="0"/>
        <w:kinsoku/>
        <w:wordWrap/>
        <w:overflowPunct/>
        <w:topLinePunct w:val="0"/>
        <w:autoSpaceDE/>
        <w:autoSpaceDN/>
        <w:bidi w:val="0"/>
        <w:spacing w:line="312" w:lineRule="auto"/>
        <w:ind w:left="52" w:firstLine="420" w:firstLineChars="200"/>
      </w:pPr>
      <w:r>
        <w:t>数据资本对生产要素结构的重构,进一步彰显了数字资本主义的革命性。马克思曾指出物质资本的增殖局限:如果生产场所扩大了,或者生产资料增加了,而劳动量没有相应增加,那么追加的资本就会表现为生产力的增长,但这种增长不是由于劳动的量增加,而是由于劳动的生产率提高。</w:t>
      </w:r>
      <w:r>
        <w:rPr>
          <w:rStyle w:val="20"/>
        </w:rPr>
        <w:footnoteReference w:id="1418"/>
      </w:r>
      <w:r>
        <w:t>传统物质资本的价值增殖通常依赖规模扩张的扩大再生产,因而始终面临利润率下降或西方经济学所谓边际报酬递减规律的约束。相比之下,数据资本具有垄断性与零成本无限复制性,因而有可能实现规模报酬递增。平台雇佣劳动借助算法对用户生成数据的持续加工与优化(精准推荐、动态定价等),可以使单位数据的应用效能及其蕴含的剩余价值创造效率获得几何级数的提升。例如,电商平台利用数据优化供应链管理,形成“数据</w:t>
      </w:r>
      <w:r>
        <w:rPr>
          <w:rFonts w:hint="eastAsia"/>
          <w:lang w:eastAsia="zh-CN"/>
        </w:rPr>
        <w:t>—</w:t>
      </w:r>
      <w:r>
        <w:t>效率</w:t>
      </w:r>
      <w:r>
        <w:rPr>
          <w:rFonts w:hint="eastAsia"/>
          <w:lang w:eastAsia="zh-CN"/>
        </w:rPr>
        <w:t>—</w:t>
      </w:r>
      <w:r>
        <w:t>收益”的正反馈循环,进而实现单位数据边际收益的持续增长。</w:t>
      </w:r>
    </w:p>
    <w:p w14:paraId="03D4F1D3">
      <w:pPr>
        <w:keepNext w:val="0"/>
        <w:keepLines w:val="0"/>
        <w:pageBreakBefore w:val="0"/>
        <w:kinsoku/>
        <w:wordWrap/>
        <w:overflowPunct/>
        <w:topLinePunct w:val="0"/>
        <w:autoSpaceDE/>
        <w:autoSpaceDN/>
        <w:bidi w:val="0"/>
        <w:spacing w:line="312" w:lineRule="auto"/>
        <w:ind w:left="52" w:firstLine="420" w:firstLineChars="200"/>
      </w:pPr>
      <w:r>
        <w:t>规模报酬递增的实现,源于数据资本与物质资本(如算力、服务器等)的协同运作,二者共同构建了完整的数字生产体系。作为不变资本(c)的数据资本与算法管理系统深度融合,重塑了劳动过程,刺激并提升了剩余价值榨取能力。通过无偿占有用户元劳动,平台几乎以零成本获取其核心生产资料(数据),其本质可视为“对不变资本(c)的社会化预付”。这种预付显著压低了对不变资本(c)的货币支出,使得同等单位的可变资本(v,即支付给雇佣劳动者的工资)所能推动的生产资料规模及创造的剩余价值(m)呈倍数增长。因此,数字资本主义并未从根本上混淆不变资本(c)与可变资本(v)的范畴界限,而是通过数据资本这一高度特殊化的不变资本形态,重构了二者结合的组织形态与运行效率。发生变化的并非c与v本身,而是数据资</w:t>
      </w:r>
      <w:r>
        <w:rPr>
          <w:rFonts w:hint="eastAsia"/>
          <w:lang w:val="en-US" w:eastAsia="zh-CN"/>
        </w:rPr>
        <w:t>本</w:t>
      </w:r>
      <w:r>
        <w:t>(c)对剩余价值率(m/v)产生的巨大杠杆作用。</w:t>
      </w:r>
    </w:p>
    <w:p w14:paraId="54521577">
      <w:pPr>
        <w:keepNext w:val="0"/>
        <w:keepLines w:val="0"/>
        <w:pageBreakBefore w:val="0"/>
        <w:kinsoku/>
        <w:wordWrap/>
        <w:overflowPunct/>
        <w:topLinePunct w:val="0"/>
        <w:autoSpaceDE/>
        <w:autoSpaceDN/>
        <w:bidi w:val="0"/>
        <w:spacing w:after="48" w:line="312" w:lineRule="auto"/>
        <w:ind w:left="52" w:firstLine="420" w:firstLineChars="200"/>
        <w:rPr>
          <w:rFonts w:hint="eastAsia" w:ascii="宋体" w:hAnsi="宋体" w:eastAsia="宋体" w:cs="宋体"/>
          <w:szCs w:val="21"/>
        </w:rPr>
      </w:pPr>
      <w:r>
        <w:t>从更深层的理论逻辑看,数据资本对生产要素的重构,标志着劳动价值论在数字时代的范畴更新。马克思强调:“劳动是价值的实体和内在尺度,但是它本身没有价值。”</w:t>
      </w:r>
      <w:r>
        <w:rPr>
          <w:rStyle w:val="20"/>
        </w:rPr>
        <w:footnoteReference w:id="1419"/>
      </w:r>
      <w:r>
        <w:t>数据资本的价值增殖是用户无酬劳动与平台雇佣劳动共同作用的结果:前者物化为原始数据(生产资料), 后者通过加工将数据资本化为价值载体。用户无酬劳动首先被无偿占有并物化为原始数据 (潜在的价值载体);平台技术劳动则通过算法系统对这些数据进行加工、整合与资本化,将其转化为可交易的数据商品,最终实现为剩余价值,这一过程在整体上延续了马克思“抽象劳动创造价值”的根本逻辑,“劳动资料不仅是人类劳动力发展的测量器,而且是劳动借以进行的社会关系的指示器”</w:t>
      </w:r>
      <w:r>
        <w:rPr>
          <w:rStyle w:val="20"/>
        </w:rPr>
        <w:footnoteReference w:id="1420"/>
      </w:r>
      <w:r>
        <w:t>在数字资本主义中,数据资本正是这种“社会关系的指示器”</w:t>
      </w:r>
      <w:r>
        <w:rPr>
          <w:rFonts w:hint="eastAsia"/>
          <w:lang w:eastAsia="zh-CN"/>
        </w:rPr>
        <w:t>——</w:t>
      </w:r>
      <w:r>
        <w:t>它既表征着用户与平台间的剥削关系,又重构了全球生产网络的权力格局。数字资本主义凭借“数据资本的二重性”,实现了对传统生产要素结构的根本性颠覆,却仍未逃脱资本追求剩余价值的本质宿命。</w:t>
      </w:r>
    </w:p>
    <w:p w14:paraId="57D0A69C">
      <w:pPr>
        <w:keepNext w:val="0"/>
        <w:keepLines w:val="0"/>
        <w:pageBreakBefore w:val="0"/>
        <w:widowControl w:val="0"/>
        <w:numPr>
          <w:ilvl w:val="0"/>
          <w:numId w:val="0"/>
        </w:numPr>
        <w:kinsoku/>
        <w:wordWrap/>
        <w:overflowPunct/>
        <w:topLinePunct w:val="0"/>
        <w:autoSpaceDE/>
        <w:autoSpaceDN/>
        <w:bidi w:val="0"/>
        <w:adjustRightInd w:val="0"/>
        <w:snapToGrid w:val="0"/>
        <w:spacing w:line="312" w:lineRule="auto"/>
        <w:ind w:firstLine="480" w:firstLineChars="200"/>
        <w:textAlignment w:val="auto"/>
        <w:rPr>
          <w:rFonts w:hint="eastAsia" w:ascii="宋体" w:hAnsi="宋体" w:eastAsia="宋体" w:cs="宋体"/>
          <w:szCs w:val="21"/>
        </w:rPr>
      </w:pPr>
      <w:r>
        <w:rPr>
          <w:rFonts w:hint="eastAsia" w:ascii="Times New Roman" w:hAnsi="Times New Roman" w:eastAsia="宋体" w:cs="楷体"/>
          <w:b/>
          <w:bCs/>
          <w:color w:val="222222"/>
          <w:sz w:val="24"/>
          <w:shd w:val="clear" w:color="auto" w:fill="FFFFFF"/>
          <w:lang w:eastAsia="zh-CN"/>
        </w:rPr>
        <w:t>（</w:t>
      </w:r>
      <w:r>
        <w:rPr>
          <w:rFonts w:hint="eastAsia" w:ascii="Times New Roman" w:hAnsi="Times New Roman" w:eastAsia="宋体" w:cs="楷体"/>
          <w:b/>
          <w:bCs/>
          <w:color w:val="222222"/>
          <w:sz w:val="24"/>
          <w:shd w:val="clear" w:color="auto" w:fill="FFFFFF"/>
          <w:lang w:val="en-US" w:eastAsia="zh-CN"/>
        </w:rPr>
        <w:t>二</w:t>
      </w:r>
      <w:r>
        <w:rPr>
          <w:rFonts w:hint="eastAsia" w:ascii="Times New Roman" w:hAnsi="Times New Roman" w:eastAsia="宋体" w:cs="楷体"/>
          <w:b/>
          <w:bCs/>
          <w:color w:val="222222"/>
          <w:sz w:val="24"/>
          <w:shd w:val="clear" w:color="auto" w:fill="FFFFFF"/>
          <w:lang w:eastAsia="zh-CN"/>
        </w:rPr>
        <w:t>）</w:t>
      </w:r>
      <w:r>
        <w:rPr>
          <w:rFonts w:hint="eastAsia" w:ascii="Times New Roman" w:hAnsi="Times New Roman" w:eastAsia="宋体" w:cs="楷体"/>
          <w:b/>
          <w:bCs/>
          <w:color w:val="222222"/>
          <w:sz w:val="24"/>
          <w:shd w:val="clear" w:color="auto" w:fill="FFFFFF"/>
        </w:rPr>
        <w:t>剩余价值剥削机制跃迁：从线性雇佣剥削到数字生态化剥削</w:t>
      </w:r>
    </w:p>
    <w:p w14:paraId="4ABCA35C">
      <w:pPr>
        <w:keepNext w:val="0"/>
        <w:keepLines w:val="0"/>
        <w:pageBreakBefore w:val="0"/>
        <w:widowControl w:val="0"/>
        <w:kinsoku/>
        <w:wordWrap/>
        <w:overflowPunct/>
        <w:topLinePunct w:val="0"/>
        <w:autoSpaceDE/>
        <w:autoSpaceDN/>
        <w:bidi w:val="0"/>
        <w:spacing w:line="312" w:lineRule="auto"/>
        <w:ind w:left="52" w:firstLine="420" w:firstLineChars="200"/>
        <w:textAlignment w:val="auto"/>
        <w:rPr>
          <w:rFonts w:hint="eastAsia" w:ascii="宋体" w:hAnsi="宋体" w:eastAsia="宋体" w:cs="宋体"/>
          <w:szCs w:val="21"/>
        </w:rPr>
      </w:pPr>
      <w:r>
        <w:t>数字资本主义对剩余价值榨取机制的根本变革,体现为从工业资本主义“线性雇佣剥削” 向数字生态“系统性数字剥削”的范式转换。这一跃迁并非否定马克思剥削理论的核心逻辑, 而是通过数据资本与算法控制,重构了剩余价值榨取的空间、方式与范围,是资本追求剩余价值本性的当代演绎。</w:t>
      </w:r>
    </w:p>
    <w:p w14:paraId="5B886B5F">
      <w:pPr>
        <w:keepNext w:val="0"/>
        <w:keepLines w:val="0"/>
        <w:pageBreakBefore w:val="0"/>
        <w:widowControl w:val="0"/>
        <w:kinsoku/>
        <w:wordWrap/>
        <w:overflowPunct/>
        <w:topLinePunct w:val="0"/>
        <w:autoSpaceDE/>
        <w:autoSpaceDN/>
        <w:bidi w:val="0"/>
        <w:spacing w:line="312" w:lineRule="auto"/>
        <w:ind w:left="52" w:firstLine="420" w:firstLineChars="200"/>
        <w:textAlignment w:val="auto"/>
      </w:pPr>
      <w:r>
        <w:t>在工业资本主义时代,马克思以“剩余价值=商品价值</w:t>
      </w:r>
      <w:r>
        <w:rPr>
          <w:rFonts w:ascii="Calibri" w:hAnsi="Calibri" w:eastAsia="Calibri" w:cs="Calibri"/>
          <w:sz w:val="22"/>
        </w:rPr>
        <mc:AlternateContent>
          <mc:Choice Requires="wpg">
            <w:drawing>
              <wp:inline distT="0" distB="0" distL="0" distR="0">
                <wp:extent cx="56515" cy="2540"/>
                <wp:effectExtent l="0" t="0" r="0" b="0"/>
                <wp:docPr id="66845" name="Group 66845"/>
                <wp:cNvGraphicFramePr/>
                <a:graphic xmlns:a="http://schemas.openxmlformats.org/drawingml/2006/main">
                  <a:graphicData uri="http://schemas.microsoft.com/office/word/2010/wordprocessingGroup">
                    <wpg:wgp>
                      <wpg:cNvGrpSpPr/>
                      <wpg:grpSpPr>
                        <a:xfrm>
                          <a:off x="0" y="0"/>
                          <a:ext cx="56680" cy="3162"/>
                          <a:chOff x="0" y="0"/>
                          <a:chExt cx="56680" cy="3162"/>
                        </a:xfrm>
                      </wpg:grpSpPr>
                      <wps:wsp>
                        <wps:cNvPr id="5211" name="Shape 5211"/>
                        <wps:cNvSpPr/>
                        <wps:spPr>
                          <a:xfrm>
                            <a:off x="0" y="0"/>
                            <a:ext cx="56680" cy="0"/>
                          </a:xfrm>
                          <a:custGeom>
                            <a:avLst/>
                            <a:gdLst/>
                            <a:ahLst/>
                            <a:cxnLst/>
                            <a:rect l="0" t="0" r="0" b="0"/>
                            <a:pathLst>
                              <a:path w="56680">
                                <a:moveTo>
                                  <a:pt x="0" y="0"/>
                                </a:moveTo>
                                <a:lnTo>
                                  <a:pt x="56680"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6845" o:spid="_x0000_s1026" o:spt="203" style="height:0.2pt;width:4.45pt;" coordsize="56680,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nPnG0wAAAAABAAAPAAAAAAAA&#10;AAEAIAAAACIAAABkcnMvZG93bnJldi54bWxQSwECFAAUAAAACACHTuJAQ/3kN1ACAACPBQAADgAA&#10;AAAAAAABACAAAAAiAQAAZHJzL2Uyb0RvYy54bWxQSwUGAAAAAAYABgBZAQAA5AUAAAAA&#10;">
                <o:lock v:ext="edit" aspectratio="f"/>
                <v:shape id="Shape 5211" o:spid="_x0000_s1026" o:spt="100" style="position:absolute;left:0;top:0;height:0;width:56680;" filled="f" stroked="t" coordsize="56680,1" o:gfxdata="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RbPi/&#10;AAAA3QAAAA8AAAAAAAAAAQAgAAAAIgAAAGRycy9kb3ducmV2LnhtbFBLAQIUABQAAAAIAIdO4kAz&#10;LwWeOwAAADkAAAAQAAAAAAAAAAEAIAAAAA4BAABkcnMvc2hhcGV4bWwueG1sUEsFBgAAAAAGAAYA&#10;WwEAALgDAAAAAA==&#10;" path="m0,0l56680,0e">
                  <v:fill on="f" focussize="0,0"/>
                  <v:stroke weight="0.248976377952756pt" color="#181717" miterlimit="1" joinstyle="miter"/>
                  <v:imagedata o:title=""/>
                  <o:lock v:ext="edit" aspectratio="f"/>
                </v:shape>
                <w10:wrap type="none"/>
                <w10:anchorlock/>
              </v:group>
            </w:pict>
          </mc:Fallback>
        </mc:AlternateContent>
      </w:r>
      <w:r>
        <w:t>劳动力价值</w:t>
      </w:r>
      <w:r>
        <w:rPr>
          <w:rFonts w:ascii="Calibri" w:hAnsi="Calibri" w:eastAsia="Calibri" w:cs="Calibri"/>
          <w:sz w:val="22"/>
        </w:rPr>
        <mc:AlternateContent>
          <mc:Choice Requires="wpg">
            <w:drawing>
              <wp:inline distT="0" distB="0" distL="0" distR="0">
                <wp:extent cx="56515" cy="2540"/>
                <wp:effectExtent l="0" t="0" r="0" b="0"/>
                <wp:docPr id="66846" name="Group 66846"/>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5217" name="Shape 5217"/>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6846"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6c+cbTAAAAAAEAAA8AAAAA&#10;AAAAAQAgAAAAIgAAAGRycy9kb3ducmV2LnhtbFBLAQIUABQAAAAIAIdO4kC1WMB0UgIAAI8FAAAO&#10;AAAAAAAAAAEAIAAAACIBAABkcnMvZTJvRG9jLnhtbFBLBQYAAAAABgAGAFkBAADmBQAAAAA=&#10;">
                <o:lock v:ext="edit" aspectratio="f"/>
                <v:shape id="Shape 5217" o:spid="_x0000_s1026" o:spt="100" style="position:absolute;left:0;top:0;height:0;width:56693;" filled="f" stroked="t" coordsize="56693,1" o:gfxdata="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lXR&#10;LMEAAADdAAAADwAAAAAAAAABACAAAAAiAAAAZHJzL2Rvd25yZXYueG1sUEsBAhQAFAAAAAgAh07i&#10;QDMvBZ47AAAAOQAAABAAAAAAAAAAAQAgAAAAEAEAAGRycy9zaGFwZXhtbC54bWxQSwUGAAAAAAYA&#10;BgBbAQAAugMAAAAA&#10;" path="m0,0l56693,0e">
                  <v:fill on="f" focussize="0,0"/>
                  <v:stroke weight="0.248976377952756pt" color="#181717" miterlimit="1" joinstyle="miter"/>
                  <v:imagedata o:title=""/>
                  <o:lock v:ext="edit" aspectratio="f"/>
                </v:shape>
                <w10:wrap type="none"/>
                <w10:anchorlock/>
              </v:group>
            </w:pict>
          </mc:Fallback>
        </mc:AlternateContent>
      </w:r>
      <w:r>
        <w:t>不变资本”的公式,揭示了剥削的本质是资本对雇佣劳动无酬部分的占有。其典型模式是“线性雇佣剥削”:工厂制度通过空间集中(工人被束缚于固定厂房)、时间控制(工时延长)与直接剥削(雇佣劳动关系), 实现绝对剩余价值(延长工时)与相对剩余价值(提高生产率)。马克思指出:“资本由于无限度地盲目追逐剩余劳动,像狼一般地贪求剩余劳动,不仅突破了工作日的道德极限,而且突破了工作日的纯粹身体的极限。”</w:t>
      </w:r>
      <w:r>
        <w:rPr>
          <w:rStyle w:val="20"/>
        </w:rPr>
        <w:footnoteReference w:id="1421"/>
      </w:r>
      <w:r>
        <w:t>这种剥削以“资本</w:t>
      </w:r>
      <w:r>
        <w:rPr>
          <w:rFonts w:hint="eastAsia" w:ascii="Calibri" w:hAnsi="Calibri" w:eastAsia="宋体" w:cs="Calibri"/>
          <w:sz w:val="22"/>
          <w:lang w:eastAsia="zh-CN"/>
        </w:rPr>
        <w:t>—</w:t>
      </w:r>
      <w:r>
        <w:t>工人”的二元对立为特征,剥削范围局限于直接生产领域,程度受限于工人生理条件与技术进步速度。</w:t>
      </w:r>
    </w:p>
    <w:p w14:paraId="3B3979F3">
      <w:pPr>
        <w:keepNext w:val="0"/>
        <w:keepLines w:val="0"/>
        <w:pageBreakBefore w:val="0"/>
        <w:widowControl w:val="0"/>
        <w:kinsoku/>
        <w:wordWrap/>
        <w:overflowPunct/>
        <w:topLinePunct w:val="0"/>
        <w:autoSpaceDE/>
        <w:autoSpaceDN/>
        <w:bidi w:val="0"/>
        <w:spacing w:line="312" w:lineRule="auto"/>
        <w:ind w:left="52" w:firstLine="420" w:firstLineChars="200"/>
        <w:textAlignment w:val="auto"/>
      </w:pPr>
      <w:r>
        <w:t>数字资本主义则构建了“生态化价值剥夺”体系,其核心机制在于对雇佣劳动的深度剥削与对用户活动的广泛价值剥夺的结合。首先,用户的“产消合一”行为构成前置性剥夺,平台无偿占有用户社交互动、内容生产等行为所物化的数据,将其转化为广告优化、精准推送的核心生产资料。例如,小红书用户的购物体验被品牌方直接用于精准营销。虽然此类活动未被纳入传统剥削范畴,但其生成的数据作为“物化劳动成果”,成为后续生产的不变资本(c)。其次, 算法管理驱动“二阶价值创造”:第一阶通过无偿占有用户的元劳动(消费与社交中产生的原始数据行为)近乎零成本地构筑核心生产资料;第二阶由平台雇佣的生产性劳动(如程序员</w:t>
      </w:r>
      <w:r>
        <w:rPr>
          <w:rFonts w:hint="eastAsia"/>
          <w:lang w:eastAsia="zh-CN"/>
        </w:rPr>
        <w:t>、</w:t>
      </w:r>
      <w:r>
        <w:t>算法工程师)对数据加工资本化。用户元劳动虽然不直接创造剩余价值(m),但通过无偿提供生产资料,系统性地降低了不变资本(c)成本,杠杆化雇佣劳动的价值创造效率。</w:t>
      </w:r>
    </w:p>
    <w:p w14:paraId="6464C60E">
      <w:pPr>
        <w:keepNext w:val="0"/>
        <w:keepLines w:val="0"/>
        <w:pageBreakBefore w:val="0"/>
        <w:widowControl w:val="0"/>
        <w:kinsoku/>
        <w:wordWrap/>
        <w:overflowPunct/>
        <w:topLinePunct w:val="0"/>
        <w:autoSpaceDE/>
        <w:autoSpaceDN/>
        <w:bidi w:val="0"/>
        <w:spacing w:line="312" w:lineRule="auto"/>
        <w:ind w:left="52" w:firstLine="420" w:firstLineChars="200"/>
        <w:textAlignment w:val="auto"/>
        <w:rPr>
          <w:rFonts w:hint="eastAsia" w:ascii="宋体" w:hAnsi="宋体" w:eastAsia="宋体" w:cs="宋体"/>
          <w:szCs w:val="21"/>
        </w:rPr>
      </w:pPr>
      <w:r>
        <w:rPr>
          <w:rFonts w:hint="eastAsia" w:ascii="宋体" w:hAnsi="宋体" w:eastAsia="宋体" w:cs="宋体"/>
          <w:szCs w:val="21"/>
        </w:rPr>
        <w:t>基于此，数字资本主义通过“数据资本二重性”重构了剥削逻辑：用户数据作为不变资本（c）的虚拟化形态，其“非竞争性使用”特性使平台能够以近乎零边际成本无限复制和扩展生产资料。这一过程突破了传统不变资本（如机器、厂房）的物理限制，使资本对雇佣劳动的剥削不再受限于单个生产场所的时空边界。通过算法对用户数据的持续占有与再生产，平台形成了“数据</w:t>
      </w:r>
      <w:r>
        <w:rPr>
          <w:rFonts w:hint="eastAsia" w:ascii="宋体" w:hAnsi="宋体" w:eastAsia="宋体" w:cs="宋体"/>
          <w:szCs w:val="21"/>
          <w:lang w:eastAsia="zh-CN"/>
        </w:rPr>
        <w:t>—</w:t>
      </w:r>
      <w:r>
        <w:rPr>
          <w:rFonts w:hint="eastAsia" w:ascii="宋体" w:hAnsi="宋体" w:eastAsia="宋体" w:cs="宋体"/>
          <w:szCs w:val="21"/>
        </w:rPr>
        <w:t>劳动</w:t>
      </w:r>
      <w:r>
        <w:rPr>
          <w:rFonts w:hint="eastAsia" w:ascii="宋体" w:hAnsi="宋体" w:eastAsia="宋体" w:cs="宋体"/>
          <w:szCs w:val="21"/>
          <w:lang w:eastAsia="zh-CN"/>
        </w:rPr>
        <w:t>—</w:t>
      </w:r>
      <w:r>
        <w:rPr>
          <w:rFonts w:hint="eastAsia" w:ascii="宋体" w:hAnsi="宋体" w:eastAsia="宋体" w:cs="宋体"/>
          <w:szCs w:val="21"/>
        </w:rPr>
        <w:t>价值”的闭环</w:t>
      </w:r>
      <w:r>
        <w:rPr>
          <w:rFonts w:hint="eastAsia" w:ascii="宋体" w:hAnsi="宋体" w:eastAsia="宋体" w:cs="宋体"/>
          <w:szCs w:val="21"/>
          <w:lang w:val="en-US" w:eastAsia="zh-CN"/>
        </w:rPr>
        <w:t>:</w:t>
      </w:r>
      <w:r>
        <w:t>用户生成的数据作为“潜在价值载体”,被算法转化为可交易的 “数字商品”,最终通过广告变现、流量分成等渠道实现剩余价值的提取。这种“全场景剥削”本质上是通过数据资本对劳动过程的全面渗透,将用户无酬劳动转化为资本增殖的“社会必要条件”。</w:t>
      </w:r>
    </w:p>
    <w:p w14:paraId="1B2AACFA">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pPr>
      <w:r>
        <w:t>全球数据资本循环进一步强化了这一剥削体系。中心国家通过技术垄断(如算法专利、数据接口标准)剥夺边缘国家用户的无酬劳动,将其物化为数据并反哺本土价值创造。例如,非洲用户使用美国社交媒体产生的行为数据被硅谷企业无偿占有并用于算法训练,最终反哺其本土市场的精准营销,形成“数据贡献—价值流失”的不对等循环。这种全球数据剥削体系,本质是数字时代“中心</w:t>
      </w:r>
      <w:r>
        <w:rPr>
          <w:rFonts w:ascii="Calibri" w:hAnsi="Calibri" w:eastAsia="Calibri" w:cs="Calibri"/>
          <w:sz w:val="22"/>
        </w:rPr>
        <mc:AlternateContent>
          <mc:Choice Requires="wpg">
            <w:drawing>
              <wp:inline distT="0" distB="0" distL="0" distR="0">
                <wp:extent cx="56515" cy="2540"/>
                <wp:effectExtent l="0" t="0" r="0" b="0"/>
                <wp:docPr id="66729" name="Group 66729"/>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6478" name="Shape 6478"/>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6729"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nPnG0wAAAAABAAAPAAAA&#10;AAAAAAEAIAAAACIAAABkcnMvZG93bnJldi54bWxQSwECFAAUAAAACACHTuJAGtalElMCAACPBQAA&#10;DgAAAAAAAAABACAAAAAiAQAAZHJzL2Uyb0RvYy54bWxQSwUGAAAAAAYABgBZAQAA5wUAAAAA&#10;">
                <o:lock v:ext="edit" aspectratio="f"/>
                <v:shape id="Shape 6478" o:spid="_x0000_s1026" o:spt="100" style="position:absolute;left:0;top:0;height:0;width:56693;" filled="f" stroked="t" coordsize="56693,1" o:gfxdata="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QfF74A&#10;AADdAAAADwAAAAAAAAABACAAAAAiAAAAZHJzL2Rvd25yZXYueG1sUEsBAhQAFAAAAAgAh07iQDMv&#10;BZ47AAAAOQAAABAAAAAAAAAAAQAgAAAADQEAAGRycy9zaGFwZXhtbC54bWxQSwUGAAAAAAYABgBb&#10;AQAAtwMAAAAA&#10;" path="m0,0l56693,0e">
                  <v:fill on="f" focussize="0,0"/>
                  <v:stroke weight="0.248976377952756pt" color="#181717" miterlimit="1" joinstyle="miter"/>
                  <v:imagedata o:title=""/>
                  <o:lock v:ext="edit" aspectratio="f"/>
                </v:shape>
                <w10:wrap type="none"/>
                <w10:anchorlock/>
              </v:group>
            </w:pict>
          </mc:Fallback>
        </mc:AlternateContent>
      </w:r>
      <w:r>
        <w:t>边缘”矛盾的激化,延续并强化了马克思所批判的“剩余价值国际转移” 逻辑。</w:t>
      </w:r>
    </w:p>
    <w:p w14:paraId="4F3D6939">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rPr>
          <w:rFonts w:hint="eastAsia" w:ascii="宋体" w:hAnsi="宋体" w:eastAsia="宋体" w:cs="宋体"/>
          <w:szCs w:val="21"/>
        </w:rPr>
      </w:pPr>
      <w:r>
        <w:t>数字剥削的本质仍是剩余价值的攫取,其源泉始终是用户与劳动者的无酬劳动。正如马克思强调,不管剥削的形式如何变化,剩余价值的源泉始终是无酬劳动。</w:t>
      </w:r>
      <w:r>
        <w:rPr>
          <w:rStyle w:val="20"/>
          <w:rFonts w:hint="eastAsia" w:ascii="宋体" w:hAnsi="宋体" w:eastAsia="宋体" w:cs="宋体"/>
          <w:szCs w:val="21"/>
          <w:vertAlign w:val="superscript"/>
        </w:rPr>
        <w:footnoteReference w:id="1422"/>
      </w:r>
      <w:r>
        <w:t>算法控制与数据资本并未创造“新价值”,而是通过更隐蔽的方式,将雇佣劳动与非雇佣劳动的无酬部分更彻底地纳入资本积累的循环。剥削率(m')因数据资本的放大效应呈显著增长趋势,这标志着资本对劳动的支配从“物理控制”转向“数字殖民”。</w:t>
      </w:r>
    </w:p>
    <w:p w14:paraId="4EFE7345">
      <w:pPr>
        <w:keepNext w:val="0"/>
        <w:keepLines w:val="0"/>
        <w:pageBreakBefore w:val="0"/>
        <w:widowControl w:val="0"/>
        <w:numPr>
          <w:ilvl w:val="0"/>
          <w:numId w:val="0"/>
        </w:numPr>
        <w:kinsoku/>
        <w:wordWrap/>
        <w:overflowPunct/>
        <w:topLinePunct w:val="0"/>
        <w:autoSpaceDE/>
        <w:autoSpaceDN/>
        <w:bidi w:val="0"/>
        <w:spacing w:line="312" w:lineRule="auto"/>
        <w:ind w:firstLine="480" w:firstLineChars="200"/>
        <w:textAlignment w:val="auto"/>
        <w:rPr>
          <w:rFonts w:hint="eastAsia"/>
          <w:b w:val="0"/>
          <w:bCs w:val="0"/>
        </w:rPr>
      </w:pPr>
      <w:r>
        <w:rPr>
          <w:rFonts w:hint="eastAsia" w:ascii="Times New Roman" w:hAnsi="Times New Roman" w:eastAsia="宋体" w:cs="楷体"/>
          <w:b/>
          <w:bCs/>
          <w:color w:val="222222"/>
          <w:sz w:val="24"/>
          <w:shd w:val="clear" w:color="auto" w:fill="FFFFFF"/>
          <w:lang w:eastAsia="zh-CN"/>
        </w:rPr>
        <w:t>（</w:t>
      </w:r>
      <w:r>
        <w:rPr>
          <w:rFonts w:hint="eastAsia" w:ascii="Times New Roman" w:hAnsi="Times New Roman" w:eastAsia="宋体" w:cs="楷体"/>
          <w:b/>
          <w:bCs/>
          <w:color w:val="222222"/>
          <w:sz w:val="24"/>
          <w:shd w:val="clear" w:color="auto" w:fill="FFFFFF"/>
          <w:lang w:val="en-US" w:eastAsia="zh-CN"/>
        </w:rPr>
        <w:t>三</w:t>
      </w:r>
      <w:r>
        <w:rPr>
          <w:rFonts w:hint="eastAsia" w:ascii="Times New Roman" w:hAnsi="Times New Roman" w:eastAsia="宋体" w:cs="楷体"/>
          <w:b/>
          <w:bCs/>
          <w:color w:val="222222"/>
          <w:sz w:val="24"/>
          <w:shd w:val="clear" w:color="auto" w:fill="FFFFFF"/>
          <w:lang w:eastAsia="zh-CN"/>
        </w:rPr>
        <w:t>）</w:t>
      </w:r>
      <w:r>
        <w:rPr>
          <w:rFonts w:hint="eastAsia" w:ascii="Times New Roman" w:hAnsi="Times New Roman" w:eastAsia="宋体" w:cs="楷体"/>
          <w:b/>
          <w:bCs/>
          <w:color w:val="222222"/>
          <w:sz w:val="24"/>
          <w:shd w:val="clear" w:color="auto" w:fill="FFFFFF"/>
        </w:rPr>
        <w:t>剩余价值积累空间跃迁：从民族国家内循环到全球数字资本环流</w:t>
      </w:r>
      <w:r>
        <w:rPr>
          <w:rFonts w:hint="eastAsia"/>
          <w:b w:val="0"/>
          <w:bCs w:val="0"/>
        </w:rPr>
        <w:t>​</w:t>
      </w:r>
    </w:p>
    <w:p w14:paraId="5940CA2B">
      <w:pPr>
        <w:keepNext w:val="0"/>
        <w:keepLines w:val="0"/>
        <w:pageBreakBefore w:val="0"/>
        <w:widowControl w:val="0"/>
        <w:kinsoku/>
        <w:wordWrap/>
        <w:overflowPunct/>
        <w:topLinePunct w:val="0"/>
        <w:autoSpaceDE/>
        <w:autoSpaceDN/>
        <w:bidi w:val="0"/>
        <w:spacing w:line="312" w:lineRule="auto"/>
        <w:ind w:firstLine="630" w:firstLineChars="300"/>
        <w:textAlignment w:val="auto"/>
      </w:pPr>
      <w:r>
        <w:t>数字资本主义对剩余价值积累空间的重构,本质是资本突破民族国家边界、通过全球数据循环重塑剥削秩序的过程。这一跃迁既延续了“生产社会化与私人占有”之间的基本矛盾,又以数据资本为载体,将积累的剥削性与不平衡性推向全球。</w:t>
      </w:r>
    </w:p>
    <w:p w14:paraId="27DAA2D5">
      <w:pPr>
        <w:keepNext w:val="0"/>
        <w:keepLines w:val="0"/>
        <w:pageBreakBefore w:val="0"/>
        <w:widowControl w:val="0"/>
        <w:kinsoku/>
        <w:wordWrap/>
        <w:overflowPunct/>
        <w:topLinePunct w:val="0"/>
        <w:autoSpaceDE/>
        <w:autoSpaceDN/>
        <w:bidi w:val="0"/>
        <w:spacing w:line="312" w:lineRule="auto"/>
        <w:ind w:left="52" w:firstLine="420" w:firstLineChars="200"/>
        <w:textAlignment w:val="auto"/>
      </w:pPr>
      <w:r>
        <w:t xml:space="preserve"> 在工业资本主义时代,马克思系统阐述了资本积累的核心逻辑:“积累,剩余价值转化为资本,按其实际内容来说,就是规模扩大的再生产过程,而不论这种扩大是从外延方面表现为在旧工厂之外添设新工厂,还是从内涵方面表现为扩充原有的生产规模。”</w:t>
      </w:r>
      <w:r>
        <w:rPr>
          <w:rStyle w:val="20"/>
          <w:rFonts w:hint="eastAsia" w:ascii="宋体" w:hAnsi="宋体" w:eastAsia="宋体" w:cs="宋体"/>
          <w:szCs w:val="21"/>
          <w:vertAlign w:val="superscript"/>
          <w:lang w:eastAsia="zh-CN"/>
        </w:rPr>
        <w:footnoteReference w:id="1423"/>
      </w:r>
      <w:r>
        <w:t>资本的全球扩张则依赖殖民贸易与不等价交换。这种积累模式以民族国家为基本单位,中心国家通过殖民掠夺和商品输出,将价值从边缘国家转移至中心,进而通过不等价交换(如低价收购原材料、高价倾销工业品)完成全球财富的再分配。然而,这一传统积累模式存在显著局限性:一方面,它高度依赖民族国家的产业体系与市场边界(如关税保护与本土产业链),剩余价值的国际转移(表现为从边缘向中心的输送)必须通过民族国家这一中介环节,并需要在中心国家内部完成初次分配与整合;另一方面,随着民族解放运动的兴起,殖民扩张所依赖的暴力性与公开的不平等性日益式微,这迫使资本不得不寻找更为隐蔽的全球剥削工具。</w:t>
      </w:r>
    </w:p>
    <w:p w14:paraId="14A4B2FB">
      <w:pPr>
        <w:keepNext w:val="0"/>
        <w:keepLines w:val="0"/>
        <w:pageBreakBefore w:val="0"/>
        <w:widowControl w:val="0"/>
        <w:kinsoku/>
        <w:wordWrap/>
        <w:overflowPunct/>
        <w:topLinePunct w:val="0"/>
        <w:autoSpaceDE/>
        <w:autoSpaceDN/>
        <w:bidi w:val="0"/>
        <w:spacing w:line="312" w:lineRule="auto"/>
        <w:ind w:left="52" w:firstLine="420" w:firstLineChars="200"/>
        <w:textAlignment w:val="auto"/>
      </w:pPr>
      <w:r>
        <w:t>数字资本主义则以“数据资本循环”重构了全球积累的空间逻辑。首先,在数据采集阶段,边缘国家用户生成的海量原始数据,作为“无偿获得的生产资料”被平台占有。值得注意的是, 这些数据本身并非直接的价值载体,而是潜在价值创造的基础条件。随后,在核心的数据处理与价值实现阶段,中心国家的平台雇佣生产性劳动(如算法工程师、数据分析师)对这些数据进行加工和资本化。正是这部分活劳动,在激活数据潜在使用价值的同时,创造了大量的新价值与剩余价值。最终,这些价值以利润形式被中心国家资本所占有。因此,全球数据循环实现的并非传统殖民贸易中对已凝结价值的直接“价值转移”,而是“价值创造条件的全球剥夺”与“价值实体的中心化创造与占有”的结合。价值创造条件的剥夺体现在边缘国家用户的元劳动被无偿物化为数据,作为关键的生产资料被平台占有;价值实体的中心化创造与占有则体现在中心国家雇佣的活劳动对这些数据进行加工和资本化,创造出巨量的新价值与剩余价值,并最终被中心国家资本独占。这标志着不平等交换在数字时代的新形态,即剥夺环节与创造</w:t>
      </w:r>
      <w:r>
        <w:rPr>
          <w:rFonts w:ascii="Calibri" w:hAnsi="Calibri" w:eastAsia="Calibri" w:cs="Calibri"/>
          <w:sz w:val="22"/>
        </w:rPr>
        <mc:AlternateContent>
          <mc:Choice Requires="wpg">
            <w:drawing>
              <wp:inline distT="0" distB="0" distL="0" distR="0">
                <wp:extent cx="56515" cy="2540"/>
                <wp:effectExtent l="0" t="0" r="0" b="0"/>
                <wp:docPr id="66675" name="Group 66675"/>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7852" name="Shape 7852"/>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6675"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6c+cbTAAAAAAEAAA8AAAAA&#10;AAAAAQAgAAAAIgAAAGRycy9kb3ducmV2LnhtbFBLAQIUABQAAAAIAIdO4kAV1FqhUgIAAI8FAAAO&#10;AAAAAAAAAAEAIAAAACIBAABkcnMvZTJvRG9jLnhtbFBLBQYAAAAABgAGAFkBAADmBQAAAAA=&#10;">
                <o:lock v:ext="edit" aspectratio="f"/>
                <v:shape id="Shape 7852" o:spid="_x0000_s1026" o:spt="100" style="position:absolute;left:0;top:0;height:0;width:56693;" filled="f" stroked="t" coordsize="56693,1" o:gfxdata="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iN6&#10;DsEAAADdAAAADwAAAAAAAAABACAAAAAiAAAAZHJzL2Rvd25yZXYueG1sUEsBAhQAFAAAAAgAh07i&#10;QDMvBZ47AAAAOQAAABAAAAAAAAAAAQAgAAAAEAEAAGRycy9zaGFwZXhtbC54bWxQSwUGAAAAAAYA&#10;BgBbAQAAugMAAAAA&#10;" path="m0,0l56693,0e">
                  <v:fill on="f" focussize="0,0"/>
                  <v:stroke weight="0.248976377952756pt" color="#181717" miterlimit="1" joinstyle="miter"/>
                  <v:imagedata o:title=""/>
                  <o:lock v:ext="edit" aspectratio="f"/>
                </v:shape>
                <w10:wrap type="none"/>
                <w10:anchorlock/>
              </v:group>
            </w:pict>
          </mc:Fallback>
        </mc:AlternateContent>
      </w:r>
      <w:r>
        <w:t>占有环节在空间上的分离与全球化配置。</w:t>
      </w:r>
    </w:p>
    <w:p w14:paraId="5B6EE5D5">
      <w:pPr>
        <w:keepNext w:val="0"/>
        <w:keepLines w:val="0"/>
        <w:pageBreakBefore w:val="0"/>
        <w:widowControl w:val="0"/>
        <w:kinsoku/>
        <w:wordWrap/>
        <w:overflowPunct/>
        <w:topLinePunct w:val="0"/>
        <w:autoSpaceDE/>
        <w:autoSpaceDN/>
        <w:bidi w:val="0"/>
        <w:spacing w:line="312" w:lineRule="auto"/>
        <w:ind w:left="52" w:firstLine="420" w:firstLineChars="200"/>
        <w:textAlignment w:val="auto"/>
      </w:pPr>
      <w:r>
        <w:t>全球分工的新形态进一步强化了“数字殖民”式积累。中心层(欧美科技巨头)垄断技术与规则制定权(如谷歌的搜索算法、亚马逊的电商平台规则),半边缘层(印度、东南亚的数据标注企业)承担低附加值的数据加工(如图像标注、语音转写),边缘层(非洲、拉美用户)则仅作为原始数据输出者。</w:t>
      </w:r>
      <w:r>
        <w:rPr>
          <w:rFonts w:hint="eastAsia" w:ascii="宋体" w:hAnsi="宋体" w:eastAsia="宋体" w:cs="宋体"/>
          <w:szCs w:val="21"/>
        </w:rPr>
        <w:t>这种分层本质是</w:t>
      </w:r>
      <w:r>
        <w:rPr>
          <w:rFonts w:hint="eastAsia" w:ascii="宋体" w:hAnsi="宋体" w:eastAsia="宋体" w:cs="宋体"/>
          <w:szCs w:val="21"/>
          <w:lang w:val="en-US" w:eastAsia="zh-CN"/>
        </w:rPr>
        <w:t>依附经济学和世界体系理论</w:t>
      </w:r>
      <w:r>
        <w:rPr>
          <w:rFonts w:hint="eastAsia" w:ascii="宋体" w:hAnsi="宋体" w:eastAsia="宋体" w:cs="宋体"/>
          <w:szCs w:val="21"/>
        </w:rPr>
        <w:t>“中心</w:t>
      </w:r>
      <w:r>
        <w:rPr>
          <w:rFonts w:hint="eastAsia" w:ascii="宋体" w:hAnsi="宋体" w:eastAsia="宋体" w:cs="宋体"/>
          <w:szCs w:val="21"/>
          <w:lang w:eastAsia="zh-CN"/>
        </w:rPr>
        <w:t>—</w:t>
      </w:r>
      <w:r>
        <w:rPr>
          <w:rFonts w:hint="eastAsia" w:ascii="宋体" w:hAnsi="宋体" w:eastAsia="宋体" w:cs="宋体"/>
          <w:szCs w:val="21"/>
        </w:rPr>
        <w:t>边缘”</w:t>
      </w:r>
      <w:r>
        <w:t>模式的当代演绎,只不过剥削工具从工业资本转向了数据资本。例如,优步、TikTok等平台的运营便体现了这种跨国数据流动与利润回流的特征。</w:t>
      </w:r>
    </w:p>
    <w:p w14:paraId="1D3F290B">
      <w:pPr>
        <w:keepNext w:val="0"/>
        <w:keepLines w:val="0"/>
        <w:pageBreakBefore w:val="0"/>
        <w:widowControl w:val="0"/>
        <w:kinsoku/>
        <w:wordWrap/>
        <w:overflowPunct/>
        <w:topLinePunct w:val="0"/>
        <w:autoSpaceDE/>
        <w:autoSpaceDN/>
        <w:bidi w:val="0"/>
        <w:spacing w:line="312" w:lineRule="auto"/>
        <w:ind w:left="52" w:firstLine="420" w:firstLineChars="200"/>
        <w:textAlignment w:val="auto"/>
        <w:rPr>
          <w:rFonts w:hint="eastAsia" w:ascii="宋体" w:hAnsi="宋体" w:eastAsia="宋体" w:cs="宋体"/>
          <w:szCs w:val="21"/>
        </w:rPr>
      </w:pPr>
      <w:r>
        <w:t>数字资本积累并未解决资本主义基本矛盾,反而以全球数据循环的新形式激化了这一冲突。正如马克思预言:“资本的文明面之一是,它榨取这种剩余劳动的方式和条件,同以前的奴隶制、农奴制等形式相比,都更有利于生产力的发展,有利于社会关系的发展,有利于更高级的新形态的各种要素的创造。”</w:t>
      </w:r>
      <w:r>
        <w:rPr>
          <w:rStyle w:val="20"/>
          <w:rFonts w:hint="eastAsia" w:ascii="宋体" w:hAnsi="宋体" w:eastAsia="宋体" w:cs="宋体"/>
          <w:szCs w:val="21"/>
          <w:vertAlign w:val="superscript"/>
          <w:lang w:eastAsia="zh-CN"/>
        </w:rPr>
        <w:footnoteReference w:id="1424"/>
      </w:r>
      <w:r>
        <w:t>但数字资本的“文明面”掩盖不了其剥削本质,它通过更隐蔽的全球协作、更高效的数据榨取,将剩余价值的积累空间从民族国家扩展至全球,使资本主义的基本矛盾在全球尺度上更加尖锐。</w:t>
      </w:r>
    </w:p>
    <w:p w14:paraId="1F7A839D">
      <w:pPr>
        <w:keepNext w:val="0"/>
        <w:keepLines w:val="0"/>
        <w:pageBreakBefore w:val="0"/>
        <w:kinsoku/>
        <w:wordWrap/>
        <w:overflowPunct/>
        <w:topLinePunct w:val="0"/>
        <w:autoSpaceDE/>
        <w:autoSpaceDN/>
        <w:bidi w:val="0"/>
        <w:adjustRightInd w:val="0"/>
        <w:snapToGrid w:val="0"/>
        <w:spacing w:line="312" w:lineRule="auto"/>
        <w:ind w:firstLine="641" w:firstLineChars="200"/>
        <w:jc w:val="center"/>
        <w:rPr>
          <w:rFonts w:hint="eastAsia" w:ascii="楷体" w:hAnsi="楷体" w:eastAsia="楷体" w:cs="黑体"/>
          <w:b/>
          <w:bCs/>
          <w:color w:val="222222"/>
          <w:kern w:val="0"/>
          <w:sz w:val="32"/>
          <w:szCs w:val="28"/>
          <w:shd w:val="clear" w:color="auto" w:fill="FFFFFF"/>
          <w:lang w:bidi="ar"/>
        </w:rPr>
      </w:pPr>
      <w:r>
        <w:rPr>
          <w:rFonts w:hint="eastAsia" w:ascii="楷体" w:hAnsi="楷体" w:eastAsia="楷体" w:cs="黑体"/>
          <w:b/>
          <w:bCs/>
          <w:color w:val="222222"/>
          <w:kern w:val="0"/>
          <w:sz w:val="32"/>
          <w:szCs w:val="28"/>
          <w:shd w:val="clear" w:color="auto" w:fill="FFFFFF"/>
          <w:lang w:val="en-US" w:eastAsia="zh-CN" w:bidi="ar"/>
        </w:rPr>
        <w:t>三、</w:t>
      </w:r>
      <w:r>
        <w:rPr>
          <w:rFonts w:hint="eastAsia" w:ascii="楷体" w:hAnsi="楷体" w:eastAsia="楷体" w:cs="黑体"/>
          <w:b/>
          <w:bCs/>
          <w:color w:val="222222"/>
          <w:kern w:val="0"/>
          <w:sz w:val="32"/>
          <w:szCs w:val="28"/>
          <w:shd w:val="clear" w:color="auto" w:fill="FFFFFF"/>
          <w:lang w:bidi="ar"/>
        </w:rPr>
        <w:t>数字剩余价值跃迁的批判性分析：数字资本主义的内在矛盾​​</w:t>
      </w:r>
    </w:p>
    <w:p w14:paraId="3574F5D3">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数字资本主义的三重跃迁虽然重构了生产关系与剥削形态,但其本质仍未跳出马克思主义政治经济学所揭示的资本主义基本矛盾。这种矛盾在数字时代呈现出更强的隐蔽性与尖锐性:第一,在生产领域,数据垄断与劳动异化的双重深化构成了价值创造的根源性冲突;第二, 在分配领域,垄断利润的集中化与劳动价值的系统性流失暴露了价值占有的极端不平等;第三,在全球体系,“中心</w:t>
      </w:r>
      <w:r>
        <w:rPr>
          <w:rFonts w:ascii="Calibri" w:hAnsi="Calibri" w:eastAsia="Calibri" w:cs="Calibri"/>
          <w:sz w:val="22"/>
        </w:rPr>
        <mc:AlternateContent>
          <mc:Choice Requires="wpg">
            <w:drawing>
              <wp:inline distT="0" distB="0" distL="0" distR="0">
                <wp:extent cx="56515" cy="2540"/>
                <wp:effectExtent l="0" t="0" r="0" b="0"/>
                <wp:docPr id="66677" name="Group 66677"/>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8523" name="Shape 8523"/>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6677"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nPnG0wAAAAABAAAPAAAA&#10;AAAAAAEAIAAAACIAAABkcnMvZG93bnJldi54bWxQSwECFAAUAAAACACHTuJAj1gHulMCAACPBQAA&#10;DgAAAAAAAAABACAAAAAiAQAAZHJzL2Uyb0RvYy54bWxQSwUGAAAAAAYABgBZAQAA5wUAAAAA&#10;">
                <o:lock v:ext="edit" aspectratio="f"/>
                <v:shape id="Shape 8523" o:spid="_x0000_s1026" o:spt="100" style="position:absolute;left:0;top:0;height:0;width:56693;" filled="f" stroked="t" coordsize="56693,1" o:gfxdata="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9re&#10;C8EAAADdAAAADwAAAAAAAAABACAAAAAiAAAAZHJzL2Rvd25yZXYueG1sUEsBAhQAFAAAAAgAh07i&#10;QDMvBZ47AAAAOQAAABAAAAAAAAAAAQAgAAAAEAEAAGRycy9zaGFwZXhtbC54bWxQSwUGAAAAAAYA&#10;BgBbAQAAugMAAAAA&#10;" path="m0,0l56693,0e">
                  <v:fill on="f" focussize="0,0"/>
                  <v:stroke weight="0.248976377952756pt" color="#181717" miterlimit="1" joinstyle="miter"/>
                  <v:imagedata o:title=""/>
                  <o:lock v:ext="edit" aspectratio="f"/>
                </v:shape>
                <w10:wrap type="none"/>
                <w10:anchorlock/>
              </v:group>
            </w:pict>
          </mc:Fallback>
        </mc:AlternateContent>
      </w:r>
      <w:r>
        <w:t>边缘”结构的固化与数据主权的博弈激化了资本积累的国际矛盾。这些矛盾表明,数字资本主义的“技术革新”并未改变资本追求剩余价值的本质,反而以更隐蔽的形式加剧了生产社会化与私人占有之间的根本冲突。</w:t>
      </w:r>
    </w:p>
    <w:p w14:paraId="0375C325">
      <w:pPr>
        <w:keepNext w:val="0"/>
        <w:keepLines w:val="0"/>
        <w:pageBreakBefore w:val="0"/>
        <w:widowControl w:val="0"/>
        <w:numPr>
          <w:ilvl w:val="0"/>
          <w:numId w:val="0"/>
        </w:numPr>
        <w:kinsoku/>
        <w:wordWrap/>
        <w:overflowPunct/>
        <w:topLinePunct w:val="0"/>
        <w:autoSpaceDE/>
        <w:autoSpaceDN/>
        <w:bidi w:val="0"/>
        <w:adjustRightInd/>
        <w:snapToGrid/>
        <w:spacing w:line="312" w:lineRule="auto"/>
        <w:ind w:firstLine="480" w:firstLineChars="200"/>
        <w:textAlignment w:val="auto"/>
        <w:rPr>
          <w:rFonts w:hint="eastAsia" w:ascii="Times New Roman" w:hAnsi="Times New Roman" w:eastAsia="宋体" w:cs="楷体"/>
          <w:b/>
          <w:bCs/>
          <w:color w:val="222222"/>
          <w:sz w:val="24"/>
          <w:shd w:val="clear" w:color="auto" w:fill="FFFFFF"/>
          <w:lang w:eastAsia="zh-CN"/>
        </w:rPr>
      </w:pPr>
      <w:r>
        <w:rPr>
          <w:rFonts w:hint="eastAsia" w:ascii="Times New Roman" w:hAnsi="Times New Roman" w:eastAsia="宋体" w:cs="楷体"/>
          <w:b/>
          <w:bCs/>
          <w:color w:val="222222"/>
          <w:sz w:val="24"/>
          <w:shd w:val="clear" w:color="auto" w:fill="FFFFFF"/>
          <w:lang w:val="en-US" w:eastAsia="zh-CN"/>
        </w:rPr>
        <w:t>（一）生产领域的控制重构:数据垄断、算法规训与劳动异化</w:t>
      </w:r>
    </w:p>
    <w:p w14:paraId="728A2602">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数字资本主义对生产领域的根本改造在于其实现了资本控制逻辑的系统性重构。这一重构并非对传统控制的简单延续,而是确立了以数据为基础、算法为中枢、异化为结果的新型权力范式。其具体展开过程呈现为三个相互咬合、逐级递进的维度:数据垄断构成控制的所有制基础,算法规训构成控制的实施机制,劳动异化既是控制的结果,也是其再生产的前提。三者共同构成了一个“控制—剥削—再生产”的强化闭环,这标志着资本权力从工业时代对肉体的时空规训,转向数字时代对生命活动与数字存在的全面捕获。</w:t>
      </w:r>
    </w:p>
    <w:p w14:paraId="74CAFD8B">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数据垄断是控制的所有制基础与权力起源。控制重构首先源于生产资料的数字化与私有化。平台通过无偿占有用户的社交关系、行为轨迹与内容创造(即“元劳动”),将海量数据转化为关键生产资料,并凭借技术壁垒与网络效应确立排他性垄断。这种垄断具有双重权力效应: 在经济层面,它使平台获得近乎零边际成本复制生产资料的能力,瓦解了传统稀缺性逻辑;在政治层面,它赋予平台定义何为有效劳动、如何组织劳动、怎样评估劳动价值的规则制定权。数据由此从中性“资源”转化为被私有化与资本化的“数字领地”,构成控制得以展开的根本前提。数据垄断因而超越传统生产资料集中,成为对生命活动及其数字化表征的原始占有,确立了数字控制的所有制核心。</w:t>
      </w:r>
    </w:p>
    <w:p w14:paraId="0D162630">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算法规训是控制的智能化机制与过程实施。以垄断数据为基础,算法系统成为实施控制的智能化、自动化中枢,实现了从“物理规训”到“数字规训”的范式跃迁。算法通过将复杂劳动过程解构为可量化、可监控、可优化的标准化模块,实施精密的“数字泰勒主义”,其控制机制体现为三重路径:一是实时监控与反馈闭环,如配送平台的轨迹跟踪与时效考核,使劳动过程处于全景透明的压力之下;二是动态调节与行为塑造,如网约车浮动定价与服务分体系,通过奖惩机制隐形驱动劳动者“自我优化”与“主动剥削”;三是预测干预与风险转嫁,如基于大数据的 “智能调度”,将市场与组织风险转化为个体绩效压力。算法由此成为“自动化的资本意志”,是资本权力通过代码实现的结构化、日常化与隐形化,它将控制焦点从劳动时间延伸至每一瞬间的强度与效率,实现了对劳动过程的微观物理学级支配。</w:t>
      </w:r>
    </w:p>
    <w:p w14:paraId="2C04E574">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劳动异化是控制的深层后果与主体性危机。在数据垄断与算法规训的双重作用下,“劳动异化”被推向更深刻的维度,形成数字生存层面的主体性危机。首先,这表现为劳动成果与数据的双重异化。劳动者不仅与产品分离,其劳动过程所产生的数据</w:t>
      </w:r>
      <w:r>
        <w:rPr>
          <w:rFonts w:hint="eastAsia"/>
          <w:lang w:eastAsia="zh-CN"/>
        </w:rPr>
        <w:t>——</w:t>
      </w:r>
      <w:r>
        <w:t>数字时代的新型劳动产物</w:t>
      </w:r>
      <w:r>
        <w:rPr>
          <w:rFonts w:hint="eastAsia"/>
          <w:lang w:eastAsia="zh-CN"/>
        </w:rPr>
        <w:t>——</w:t>
      </w:r>
      <w:r>
        <w:t>也被平台无偿占有并用于优化资本对其自身的控制。其次,这表现为“产消者”的自我异化。用户的消费、社交、娱乐被卷入价值生产链条,休闲与创造性表达被转化为生产资料,“自由活动”异化为“数字劳动”,生活时间被殖民为工厂的延伸。最后,这表现为社会关系的算法中介化。劳动者与用户、劳动者与平台的关系被简化为数据流与算法指令的交换,互助、团结与集体认同被个体绩效排名与竞争取代,共同体的瓦解进一步侵蚀了对抗控制的社会基础。</w:t>
      </w:r>
    </w:p>
    <w:p w14:paraId="2A11E953">
      <w:pPr>
        <w:keepNext w:val="0"/>
        <w:keepLines w:val="0"/>
        <w:pageBreakBefore w:val="0"/>
        <w:widowControl w:val="0"/>
        <w:kinsoku/>
        <w:wordWrap/>
        <w:overflowPunct/>
        <w:topLinePunct w:val="0"/>
        <w:autoSpaceDE/>
        <w:autoSpaceDN/>
        <w:bidi w:val="0"/>
        <w:adjustRightInd/>
        <w:snapToGrid/>
        <w:spacing w:line="312" w:lineRule="auto"/>
        <w:ind w:left="52" w:firstLine="420" w:firstLineChars="200"/>
        <w:textAlignment w:val="auto"/>
      </w:pPr>
      <w:r>
        <w:t>三者构成了一个自我强化的控制闭环</w:t>
      </w:r>
      <w:r>
        <w:rPr>
          <w:rFonts w:hint="eastAsia"/>
          <w:lang w:eastAsia="zh-CN"/>
        </w:rPr>
        <w:t>：</w:t>
      </w:r>
      <w:r>
        <w:t>垄断数据为算法提供养料,算法规训生产出深度异化的劳动与数字生存,而异化主体又在无意识中持续生产出新的可垄断数据。这一闭环使数字资本主义的控制更具韧性、更隐蔽,也更彻底,表明当代资本主义的统治技术已演进至“生命政治”与“数字政治”深度融合的阶段,其核心矛盾不再局限于生产领域价值创造与占有的对立,更深化为人的自由全面发展与数字技术被资本逻辑全面征用之间的根本性对立。生产领域的“控制重构”,正是这一根本对立在组织与技术层面的集中体现。</w:t>
      </w:r>
    </w:p>
    <w:p w14:paraId="14C3FE7D">
      <w:pPr>
        <w:keepNext w:val="0"/>
        <w:keepLines w:val="0"/>
        <w:pageBreakBefore w:val="0"/>
        <w:widowControl w:val="0"/>
        <w:kinsoku/>
        <w:wordWrap/>
        <w:overflowPunct/>
        <w:topLinePunct w:val="0"/>
        <w:autoSpaceDE/>
        <w:autoSpaceDN/>
        <w:bidi w:val="0"/>
        <w:adjustRightInd/>
        <w:snapToGrid/>
        <w:spacing w:line="312" w:lineRule="auto"/>
        <w:ind w:firstLine="480" w:firstLineChars="200"/>
        <w:textAlignment w:val="auto"/>
        <w:rPr>
          <w:rFonts w:hint="eastAsia"/>
          <w:b/>
          <w:bCs/>
        </w:rPr>
      </w:pPr>
      <w:r>
        <w:rPr>
          <w:rFonts w:hint="eastAsia" w:ascii="Times New Roman" w:hAnsi="Times New Roman" w:eastAsia="宋体" w:cs="楷体"/>
          <w:b/>
          <w:bCs/>
          <w:color w:val="222222"/>
          <w:sz w:val="24"/>
          <w:shd w:val="clear" w:color="auto" w:fill="FFFFFF"/>
          <w:lang w:val="en-US" w:eastAsia="zh-CN"/>
        </w:rPr>
        <w:t>（二）分配领域的极端失衡：数字租金、价值剥夺与全球极化​</w:t>
      </w:r>
      <w:r>
        <w:rPr>
          <w:rFonts w:hint="eastAsia"/>
          <w:b/>
          <w:bCs/>
        </w:rPr>
        <w:t>​</w:t>
      </w:r>
    </w:p>
    <w:p w14:paraId="010B5CEE">
      <w:pPr>
        <w:keepNext w:val="0"/>
        <w:keepLines w:val="0"/>
        <w:pageBreakBefore w:val="0"/>
        <w:kinsoku/>
        <w:wordWrap/>
        <w:overflowPunct/>
        <w:topLinePunct w:val="0"/>
        <w:autoSpaceDE/>
        <w:autoSpaceDN/>
        <w:bidi w:val="0"/>
        <w:spacing w:line="312" w:lineRule="auto"/>
        <w:ind w:left="52" w:firstLine="420" w:firstLineChars="200"/>
        <w:rPr>
          <w:rFonts w:hint="eastAsia"/>
          <w:lang w:eastAsia="zh-CN"/>
        </w:rPr>
      </w:pPr>
      <w:r>
        <w:t>数字资本主义的分配机制呈现出前所未有的不平等性</w:t>
      </w:r>
      <w:r>
        <w:rPr>
          <w:rFonts w:hint="eastAsia"/>
          <w:lang w:eastAsia="zh-CN"/>
        </w:rPr>
        <w:t>，</w:t>
      </w:r>
      <w:r>
        <w:t>其核心矛盾集中体现为垄断利润集中化与劳动报酬系统性流失的双重困境。这种分配困局不仅延续了马克思对资本主义“剩余价值分配不公”的批判逻辑,更以数据资本为中介,将剥削与分化推向全球化的纵深维度</w:t>
      </w:r>
      <w:r>
        <w:rPr>
          <w:rFonts w:hint="eastAsia"/>
          <w:lang w:eastAsia="zh-CN"/>
        </w:rPr>
        <w:t>。</w:t>
      </w:r>
    </w:p>
    <w:p w14:paraId="752A19B0">
      <w:pPr>
        <w:keepNext w:val="0"/>
        <w:keepLines w:val="0"/>
        <w:pageBreakBefore w:val="0"/>
        <w:kinsoku/>
        <w:wordWrap/>
        <w:overflowPunct/>
        <w:topLinePunct w:val="0"/>
        <w:autoSpaceDE/>
        <w:autoSpaceDN/>
        <w:bidi w:val="0"/>
        <w:spacing w:line="312" w:lineRule="auto"/>
        <w:ind w:left="52" w:firstLine="420" w:firstLineChars="200"/>
      </w:pPr>
      <w:r>
        <w:t>在工业资本主义时代,马克思揭示了剩余价值分配的“金字塔结构”。数字资本主义则通过数据垄断重构了这一格局,其超额利润主要来源于数据垄断所形成的“数字租金”。这正印证了马克思的批判,即资本企图“不用生产过程作中介而赚到钱”</w:t>
      </w:r>
      <w:r>
        <w:rPr>
          <w:rStyle w:val="20"/>
          <w:rFonts w:hint="eastAsia"/>
          <w:b w:val="0"/>
          <w:bCs w:val="0"/>
        </w:rPr>
        <w:footnoteReference w:id="1425"/>
      </w:r>
      <w:r>
        <w:t>,而数字租金正是这种寄生性积累的当代形态,全球顶级科技公司的超额利润率,正是这种租金榨取能力的直观体现。</w:t>
      </w:r>
    </w:p>
    <w:p w14:paraId="757B029D">
      <w:pPr>
        <w:keepNext w:val="0"/>
        <w:keepLines w:val="0"/>
        <w:pageBreakBefore w:val="0"/>
        <w:kinsoku/>
        <w:wordWrap/>
        <w:overflowPunct/>
        <w:topLinePunct w:val="0"/>
        <w:autoSpaceDE/>
        <w:autoSpaceDN/>
        <w:bidi w:val="0"/>
        <w:spacing w:line="312" w:lineRule="auto"/>
        <w:ind w:left="52" w:firstLine="420" w:firstLineChars="200"/>
      </w:pPr>
      <w:r>
        <w:t>从资本有机构成的视角看,数字平台呈现出一个理论悖论:其不变资本(服务器、数据中心)的投入比重显著提高,但并未导致利润率的普遍下降。其原因在于三重缓冲机制:第一,通过无偿获取用户数据,平台近乎零成本地构筑了核心生产资料,极大降低了不变资本的价值成本,缓解了有机构成提高的压力;第二,垄断地位使其能够持续获取超额利润(租金),在账面上掩盖了一般利润率的下降趋势;第三,数字平台通过全球外包与零工模式,将高有机构成的固定资产投入与运营风险转嫁给合作方与个体劳动者,自身则专注于掌控数据与算法的高附加值垄断环节。</w:t>
      </w:r>
    </w:p>
    <w:p w14:paraId="743D8BDC">
      <w:pPr>
        <w:keepNext w:val="0"/>
        <w:keepLines w:val="0"/>
        <w:pageBreakBefore w:val="0"/>
        <w:kinsoku/>
        <w:wordWrap/>
        <w:overflowPunct/>
        <w:topLinePunct w:val="0"/>
        <w:autoSpaceDE/>
        <w:autoSpaceDN/>
        <w:bidi w:val="0"/>
        <w:spacing w:line="312" w:lineRule="auto"/>
        <w:ind w:left="52" w:firstLine="420" w:firstLineChars="200"/>
      </w:pPr>
      <w:r>
        <w:t>与垄断利润集中化相伴随的是劳动报酬的结构性失衡与价值的系统性剥夺。零工经济中的“去劳动关系化”,使劳动者陷入“无保障</w:t>
      </w:r>
      <w:r>
        <w:rPr>
          <w:rFonts w:hint="eastAsia"/>
          <w:lang w:eastAsia="zh-CN"/>
        </w:rPr>
        <w:t>—</w:t>
      </w:r>
      <w:r>
        <w:t>低收入”的恶性循环。数字零工劳动者(如外卖骑手、网约车司机)进一步沦为“原子化劳动力”,其劳动报酬仅能覆盖生存需求,且缺乏社会保险、职业培训等保障。平台通过算法动态定价机制(如“高峰时段溢价”“超时惩罚”),将劳动风险转嫁给个体劳动者,使其陷入“高强度劳动与低收入回报”的陷阱。这种分配失衡的本质是数据资本对剩余价值的“二次剥夺”</w:t>
      </w:r>
      <w:r>
        <w:rPr>
          <w:rFonts w:hint="eastAsia"/>
          <w:lang w:eastAsia="zh-CN"/>
        </w:rPr>
        <w:t>——</w:t>
      </w:r>
      <w:r>
        <w:t>平台通过算法控制将劳动者的剩余劳动时间压缩至极限,却仅支付维持劳动力再生产所需的最低报酬。</w:t>
      </w:r>
    </w:p>
    <w:p w14:paraId="2DE8D423">
      <w:pPr>
        <w:keepNext w:val="0"/>
        <w:keepLines w:val="0"/>
        <w:pageBreakBefore w:val="0"/>
        <w:kinsoku/>
        <w:wordWrap/>
        <w:overflowPunct/>
        <w:topLinePunct w:val="0"/>
        <w:autoSpaceDE/>
        <w:autoSpaceDN/>
        <w:bidi w:val="0"/>
        <w:spacing w:line="312" w:lineRule="auto"/>
        <w:ind w:left="52" w:firstLine="420" w:firstLineChars="200"/>
        <w:rPr>
          <w:rFonts w:hint="eastAsia"/>
          <w:b w:val="0"/>
          <w:bCs w:val="0"/>
        </w:rPr>
      </w:pPr>
      <w:r>
        <w:t>更严峻的是,用户无酬劳动的价值贡献被完全排斥在分配体系之外。社交媒体用户生成的内容数据、电商平台用户的消费行为数据,为平台创造了巨额广告收入和精准营销利润,但这些价值的创造者(用户)无法参与任何形式的分配。数字资本主义的分配悖论在于,用户既是数据生产者(提供价值创造的原料),又是数据消费者(购买商品),却因“非雇佣关系”被排除在分配链条之外。这种“生产分配”的割裂,使数字资本主义的分配矛盾超越了传统劳资对立的范畴,演变为“全体用户少数平台”的全局性对抗,使“数字鸿沟”演变为“分配鸿沟”,并进一步激化社会矛盾。</w:t>
      </w:r>
    </w:p>
    <w:p w14:paraId="7DD97CF9">
      <w:pPr>
        <w:keepNext w:val="0"/>
        <w:keepLines w:val="0"/>
        <w:pageBreakBefore w:val="0"/>
        <w:widowControl w:val="0"/>
        <w:kinsoku/>
        <w:wordWrap/>
        <w:overflowPunct/>
        <w:topLinePunct w:val="0"/>
        <w:autoSpaceDE/>
        <w:autoSpaceDN/>
        <w:bidi w:val="0"/>
        <w:adjustRightInd/>
        <w:snapToGrid/>
        <w:spacing w:line="312" w:lineRule="auto"/>
        <w:ind w:firstLine="480" w:firstLineChars="200"/>
        <w:textAlignment w:val="auto"/>
        <w:rPr>
          <w:rFonts w:hint="eastAsia"/>
          <w:b/>
          <w:bCs/>
        </w:rPr>
      </w:pPr>
      <w:r>
        <w:rPr>
          <w:rFonts w:hint="eastAsia" w:ascii="Times New Roman" w:hAnsi="Times New Roman" w:eastAsia="宋体" w:cs="楷体"/>
          <w:b/>
          <w:bCs/>
          <w:color w:val="222222"/>
          <w:sz w:val="24"/>
          <w:shd w:val="clear" w:color="auto" w:fill="FFFFFF"/>
          <w:lang w:val="en-US" w:eastAsia="zh-CN"/>
        </w:rPr>
        <w:t>（三）全球体系的霸权重构：数字殖民、主权博弈与治理失序​​</w:t>
      </w:r>
    </w:p>
    <w:p w14:paraId="5B82C570">
      <w:pPr>
        <w:keepNext w:val="0"/>
        <w:keepLines w:val="0"/>
        <w:pageBreakBefore w:val="0"/>
        <w:kinsoku/>
        <w:wordWrap/>
        <w:overflowPunct/>
        <w:topLinePunct w:val="0"/>
        <w:autoSpaceDE/>
        <w:autoSpaceDN/>
        <w:bidi w:val="0"/>
        <w:spacing w:line="312" w:lineRule="auto"/>
        <w:ind w:left="52" w:firstLine="420" w:firstLineChars="200"/>
      </w:pPr>
      <w:r>
        <w:t>数字资本主义重构了全球生产网络的空间秩序,形成了一种“数字依附性积累”体系。这既是马克思“资本全球化”理论的当代延伸,也呈现出新特征。与马克思所分析的通过商品输出和不等价交换实现的“剩余价值国际转移”不同,数字殖民的核心在于“数据价值链的全球控制”。中心国家并非简单地掠夺边缘国家已创造出的价值,而是通过控制数据要素的流动与加工,系统性地剥夺边缘国家参与高水平价值创造的社会条件,并将价值创造的核心环节牢牢掌握在自己手中,从而实现剩余价值的最大化与独自占有。</w:t>
      </w:r>
    </w:p>
    <w:p w14:paraId="42DD35ED">
      <w:pPr>
        <w:keepNext w:val="0"/>
        <w:keepLines w:val="0"/>
        <w:pageBreakBefore w:val="0"/>
        <w:kinsoku/>
        <w:wordWrap/>
        <w:overflowPunct/>
        <w:topLinePunct w:val="0"/>
        <w:autoSpaceDE/>
        <w:autoSpaceDN/>
        <w:bidi w:val="0"/>
        <w:spacing w:line="312" w:lineRule="auto"/>
        <w:ind w:left="52" w:firstLine="420" w:firstLineChars="200"/>
      </w:pPr>
      <w:r>
        <w:t>正如马克思对殖民时代的剖析,剩余价值的转移曾主要依托商品输出实现,而进入数字资本主义阶段,剥削机制已演变为对全球数据的系统性汲取与转化。中心国家凭借多重壁垒巩固其优势:在技术标准上建立排他性垄断,在数据规则上争夺主导话语,并通过全球金融基础设施实现深度捆绑。这些手段共同将边缘国家用户日常产生的数据,转变为驱动中心国家资本积累的关键资源。由此,一条隐形的“数据剥削链”被构筑起来,它标志着“剩余价值国际转移”出现了新形态</w:t>
      </w:r>
      <w:r>
        <w:rPr>
          <w:rFonts w:hint="eastAsia"/>
          <w:lang w:eastAsia="zh-CN"/>
        </w:rPr>
        <w:t>——</w:t>
      </w:r>
      <w:r>
        <w:t>中心国家借数据垄断持续获取超额利润,而边缘国家则陷入“贡献数据却流失价值”的循环困境。然而,数字时代的民族国家并未像旧殖民体系那般完全被动。例如,边缘国家正尝试通过数据本地化存储法规、开征数字服务税等方式,维护自身主权;欧盟通过出台《通用数据保护条例》,主动成为全球数据治理规则的重要制定者;中国则致力于构建独立自主的技术生态与数字市场。这场全球数字治理领域的持续博弈,实质上揭示了其深层动力:民族国家、跨国资本以及不同国家的资本力量之间,正围绕数据及其衍生的剩余价值分配权,展开激烈的斗争</w:t>
      </w:r>
      <w:r>
        <w:rPr>
          <w:rFonts w:hint="eastAsia"/>
          <w:lang w:eastAsia="zh-CN"/>
        </w:rPr>
        <w:t>——</w:t>
      </w:r>
      <w:r>
        <w:t>这本身就是资本主义全球矛盾在数字维度上深化的鲜活体现。</w:t>
      </w:r>
    </w:p>
    <w:p w14:paraId="67219CB9">
      <w:pPr>
        <w:keepNext w:val="0"/>
        <w:keepLines w:val="0"/>
        <w:pageBreakBefore w:val="0"/>
        <w:kinsoku/>
        <w:wordWrap/>
        <w:overflowPunct/>
        <w:topLinePunct w:val="0"/>
        <w:autoSpaceDE/>
        <w:autoSpaceDN/>
        <w:bidi w:val="0"/>
        <w:spacing w:after="173" w:line="312" w:lineRule="auto"/>
        <w:ind w:left="52" w:firstLine="420" w:firstLineChars="200"/>
      </w:pPr>
      <w:r>
        <w:t>全球治理的失效进一步暴露了数字资本主义的内在矛盾。数字资本的跨国流动性使其能够轻易规避民族国家的监管:苹果、谷歌等平台通过“双层爱尔兰</w:t>
      </w:r>
      <w:r>
        <w:rPr>
          <w:rFonts w:ascii="Calibri" w:hAnsi="Calibri" w:eastAsia="Calibri" w:cs="Calibri"/>
          <w:sz w:val="22"/>
        </w:rPr>
        <mc:AlternateContent>
          <mc:Choice Requires="wpg">
            <w:drawing>
              <wp:inline distT="0" distB="0" distL="0" distR="0">
                <wp:extent cx="56515" cy="2540"/>
                <wp:effectExtent l="0" t="0" r="0" b="0"/>
                <wp:docPr id="68174" name="Group 68174"/>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12324" name="Shape 12324"/>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8174"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6c+cbTAAAAAAEAAA8AAAAA&#10;AAAAAQAgAAAAIgAAAGRycy9kb3ducmV2LnhtbFBLAQIUABQAAAAIAIdO4kBYku2EUgIAAJEFAAAO&#10;AAAAAAAAAAEAIAAAACIBAABkcnMvZTJvRG9jLnhtbFBLBQYAAAAABgAGAFkBAADmBQAAAAA=&#10;">
                <o:lock v:ext="edit" aspectratio="f"/>
                <v:shape id="Shape 12324" o:spid="_x0000_s1026" o:spt="100" style="position:absolute;left:0;top:0;height:0;width:56693;" filled="f" stroked="t" coordsize="56693,1" o:gfxdata="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QQs&#10;wAAAAN4AAAAPAAAAAAAAAAEAIAAAACIAAABkcnMvZG93bnJldi54bWxQSwECFAAUAAAACACHTuJA&#10;My8FnjsAAAA5AAAAEAAAAAAAAAABACAAAAAPAQAAZHJzL3NoYXBleG1sLnhtbFBLBQYAAAAABgAG&#10;AFsBAAC5AwAAAAA=&#10;" path="m0,0l56693,0e">
                  <v:fill on="f" focussize="0,0"/>
                  <v:stroke weight="0.248976377952756pt" color="#181717" miterlimit="1" joinstyle="miter"/>
                  <v:imagedata o:title=""/>
                  <o:lock v:ext="edit" aspectratio="f"/>
                </v:shape>
                <w10:wrap type="none"/>
                <w10:anchorlock/>
              </v:group>
            </w:pict>
          </mc:Fallback>
        </mc:AlternateContent>
      </w:r>
      <w:r>
        <w:t>荷兰三明治”架构逃避税收, 亚马逊利用数据优势挤压中小企业的生存空间,Facebook通过算法操纵舆论影响多国选举。国家之间数据主权的争议,如欧盟《数字市场法案》的落地与欧美围绕数字服务税的长期博弈, 本质上是数字资本争夺剩余价值分配权的政治博弈。马克思指出:“资本越发展,从而资本借以流通的市场,构成资本流通空间道路的市场越扩大,资本同时也就越是力求在空间上更加扩大市场,力求用时间去更多地消灭空间。”</w:t>
      </w:r>
      <w:r>
        <w:rPr>
          <w:rStyle w:val="20"/>
          <w:rFonts w:hint="eastAsia" w:ascii="宋体" w:hAnsi="宋体" w:eastAsia="宋体" w:cs="宋体"/>
          <w:szCs w:val="21"/>
        </w:rPr>
        <w:footnoteReference w:id="1426"/>
      </w:r>
      <w:r>
        <w:t>数字资本主义通过压缩空间距离实现全球剥削,却使传统的国际治理体系陷入失序</w:t>
      </w:r>
      <w:r>
        <w:rPr>
          <w:rFonts w:hint="eastAsia"/>
          <w:lang w:eastAsia="zh-CN"/>
        </w:rPr>
        <w:t>——</w:t>
      </w:r>
      <w:r>
        <w:t>中心国家试图以技术霸权维护既得利益,边缘国家则面临“数据主权”与“发展权”的双重困境。这种“中心</w:t>
      </w:r>
      <w:r>
        <w:rPr>
          <w:rFonts w:ascii="Calibri" w:hAnsi="Calibri" w:eastAsia="Calibri" w:cs="Calibri"/>
          <w:sz w:val="22"/>
        </w:rPr>
        <mc:AlternateContent>
          <mc:Choice Requires="wpg">
            <w:drawing>
              <wp:inline distT="0" distB="0" distL="0" distR="0">
                <wp:extent cx="56515" cy="2540"/>
                <wp:effectExtent l="0" t="0" r="0" b="0"/>
                <wp:docPr id="68175" name="Group 68175"/>
                <wp:cNvGraphicFramePr/>
                <a:graphic xmlns:a="http://schemas.openxmlformats.org/drawingml/2006/main">
                  <a:graphicData uri="http://schemas.microsoft.com/office/word/2010/wordprocessingGroup">
                    <wpg:wgp>
                      <wpg:cNvGrpSpPr/>
                      <wpg:grpSpPr>
                        <a:xfrm>
                          <a:off x="0" y="0"/>
                          <a:ext cx="56680" cy="3162"/>
                          <a:chOff x="0" y="0"/>
                          <a:chExt cx="56680" cy="3162"/>
                        </a:xfrm>
                      </wpg:grpSpPr>
                      <wps:wsp>
                        <wps:cNvPr id="12613" name="Shape 12613"/>
                        <wps:cNvSpPr/>
                        <wps:spPr>
                          <a:xfrm>
                            <a:off x="0" y="0"/>
                            <a:ext cx="56680" cy="0"/>
                          </a:xfrm>
                          <a:custGeom>
                            <a:avLst/>
                            <a:gdLst/>
                            <a:ahLst/>
                            <a:cxnLst/>
                            <a:rect l="0" t="0" r="0" b="0"/>
                            <a:pathLst>
                              <a:path w="56680">
                                <a:moveTo>
                                  <a:pt x="0" y="0"/>
                                </a:moveTo>
                                <a:lnTo>
                                  <a:pt x="56680"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8175" o:spid="_x0000_s1026" o:spt="203" style="height:0.2pt;width:4.45pt;" coordsize="56680,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6c+cbTAAAAAAEAAA8AAAAA&#10;AAAAAQAgAAAAIgAAAGRycy9kb3ducmV2LnhtbFBLAQIUABQAAAAIAIdO4kDlQKJ8UgIAAJEFAAAO&#10;AAAAAAAAAAEAIAAAACIBAABkcnMvZTJvRG9jLnhtbFBLBQYAAAAABgAGAFkBAADmBQAAAAA=&#10;">
                <o:lock v:ext="edit" aspectratio="f"/>
                <v:shape id="Shape 12613" o:spid="_x0000_s1026" o:spt="100" style="position:absolute;left:0;top:0;height:0;width:56680;" filled="f" stroked="t" coordsize="56680,1" o:gfxdata="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5EUfr4A&#10;AADeAAAADwAAAAAAAAABACAAAAAiAAAAZHJzL2Rvd25yZXYueG1sUEsBAhQAFAAAAAgAh07iQDMv&#10;BZ47AAAAOQAAABAAAAAAAAAAAQAgAAAADQEAAGRycy9zaGFwZXhtbC54bWxQSwUGAAAAAAYABgBb&#10;AQAAtwMAAAAA&#10;" path="m0,0l56680,0e">
                  <v:fill on="f" focussize="0,0"/>
                  <v:stroke weight="0.248976377952756pt" color="#181717" miterlimit="1" joinstyle="miter"/>
                  <v:imagedata o:title=""/>
                  <o:lock v:ext="edit" aspectratio="f"/>
                </v:shape>
                <w10:wrap type="none"/>
                <w10:anchorlock/>
              </v:group>
            </w:pict>
          </mc:Fallback>
        </mc:AlternateContent>
      </w:r>
      <w:r>
        <w:t>边缘”结构的固化,最终表现为全球剩余价值分配的极端失衡。数字资本主义的全球矛盾,正是资本逻辑突破民族国家边界、以数据为媒介重构剥削体系的必然结果。</w:t>
      </w:r>
    </w:p>
    <w:p w14:paraId="33CF6871">
      <w:pPr>
        <w:keepNext w:val="0"/>
        <w:keepLines w:val="0"/>
        <w:pageBreakBefore w:val="0"/>
        <w:kinsoku/>
        <w:wordWrap/>
        <w:overflowPunct/>
        <w:topLinePunct w:val="0"/>
        <w:autoSpaceDE/>
        <w:autoSpaceDN/>
        <w:bidi w:val="0"/>
        <w:adjustRightInd w:val="0"/>
        <w:snapToGrid w:val="0"/>
        <w:spacing w:line="312" w:lineRule="auto"/>
        <w:ind w:firstLine="420" w:firstLineChars="200"/>
        <w:rPr>
          <w:rFonts w:hint="eastAsia" w:ascii="宋体" w:hAnsi="宋体" w:eastAsia="宋体" w:cs="宋体"/>
          <w:szCs w:val="21"/>
        </w:rPr>
      </w:pPr>
    </w:p>
    <w:p w14:paraId="0DC03D8B">
      <w:pPr>
        <w:keepNext w:val="0"/>
        <w:keepLines w:val="0"/>
        <w:pageBreakBefore w:val="0"/>
        <w:kinsoku/>
        <w:wordWrap/>
        <w:overflowPunct/>
        <w:topLinePunct w:val="0"/>
        <w:autoSpaceDE/>
        <w:autoSpaceDN/>
        <w:bidi w:val="0"/>
        <w:spacing w:line="312" w:lineRule="auto"/>
        <w:jc w:val="center"/>
        <w:rPr>
          <w:rFonts w:hint="eastAsia" w:ascii="楷体" w:hAnsi="楷体" w:eastAsia="楷体" w:cs="黑体"/>
          <w:b/>
          <w:bCs/>
          <w:color w:val="222222"/>
          <w:kern w:val="0"/>
          <w:sz w:val="32"/>
          <w:szCs w:val="28"/>
          <w:shd w:val="clear" w:color="auto" w:fill="FFFFFF"/>
          <w:lang w:bidi="ar"/>
        </w:rPr>
      </w:pPr>
      <w:r>
        <w:rPr>
          <w:rFonts w:hint="eastAsia" w:ascii="楷体" w:hAnsi="楷体" w:eastAsia="楷体" w:cs="黑体"/>
          <w:b/>
          <w:bCs/>
          <w:color w:val="222222"/>
          <w:kern w:val="0"/>
          <w:sz w:val="32"/>
          <w:szCs w:val="28"/>
          <w:shd w:val="clear" w:color="auto" w:fill="FFFFFF"/>
          <w:lang w:bidi="ar"/>
        </w:rPr>
        <w:t>​</w:t>
      </w:r>
      <w:r>
        <w:rPr>
          <w:rFonts w:hint="eastAsia" w:ascii="楷体" w:hAnsi="楷体" w:eastAsia="楷体" w:cs="黑体"/>
          <w:b/>
          <w:bCs/>
          <w:color w:val="222222"/>
          <w:kern w:val="0"/>
          <w:sz w:val="32"/>
          <w:szCs w:val="28"/>
          <w:shd w:val="clear" w:color="auto" w:fill="FFFFFF"/>
          <w:lang w:val="en-US" w:eastAsia="zh-CN" w:bidi="ar"/>
        </w:rPr>
        <w:t>四、</w:t>
      </w:r>
      <w:r>
        <w:rPr>
          <w:rFonts w:hint="eastAsia" w:ascii="楷体" w:hAnsi="楷体" w:eastAsia="楷体" w:cs="黑体"/>
          <w:b/>
          <w:bCs/>
          <w:color w:val="222222"/>
          <w:kern w:val="0"/>
          <w:sz w:val="32"/>
          <w:szCs w:val="28"/>
          <w:shd w:val="clear" w:color="auto" w:fill="FFFFFF"/>
          <w:lang w:bidi="ar"/>
        </w:rPr>
        <w:t>数字剩余价值的理论回应：马克思主义政治经济学的当代重构​​</w:t>
      </w:r>
    </w:p>
    <w:p w14:paraId="48833C8B">
      <w:pPr>
        <w:keepNext w:val="0"/>
        <w:keepLines w:val="0"/>
        <w:pageBreakBefore w:val="0"/>
        <w:kinsoku/>
        <w:wordWrap/>
        <w:overflowPunct/>
        <w:topLinePunct w:val="0"/>
        <w:autoSpaceDE/>
        <w:autoSpaceDN/>
        <w:bidi w:val="0"/>
        <w:spacing w:line="312" w:lineRule="auto"/>
        <w:ind w:left="52" w:firstLine="420" w:firstLineChars="200"/>
        <w:rPr>
          <w:rFonts w:hint="eastAsia" w:ascii="宋体" w:hAnsi="宋体" w:eastAsia="宋体" w:cs="宋体"/>
          <w:szCs w:val="21"/>
        </w:rPr>
      </w:pPr>
      <w:r>
        <w:t>如上文所述,数字资本主义不仅未曾超越经典马克思主义发现的资本逻辑,反而以更为隐蔽的方式,激化了资本主义的传统危机。因此,数字资本主义的出现一方面给马克思主义政治经济学带来了新的时代课题,另一方面也为其创造性发展提供了现实基点。为了在理论上洞悉数字资本主义“技术中性”的幻象,澄清其内在本质与历史局限,当代马克思主义者有必要在坚守劳动价值论与剩余价值规律的同时,对经典范畴进行与时俱进的范式更新和理论重构</w:t>
      </w:r>
      <w:r>
        <w:rPr>
          <w:rFonts w:hint="eastAsia"/>
          <w:lang w:eastAsia="zh-CN"/>
        </w:rPr>
        <w:t>。</w:t>
      </w:r>
      <w:r>
        <w:t>首先,在剩余价值理论层面,厘清数据要素的“非竞争性”与“劳动依赖性”双重属性,将用户无酬劳动纳入剥削计量体系,破解“数据是否创造价值”的理论迷思;其次,在资本积累理论层面, 揭示数字资本循环的“指数增长”特征与“历史暂时性”本质,论证其作为资本主义高级形态的阶段性矛盾;最后,在批判理论层面,以“数字异化”为切入点,构建数据公有制以重构生产关系、推进算法民主化以实现技术解放、主张全球数据主权以重塑国际秩序,这三重路径为马克思主义解放理论在数字时代的实践提供了创新性方案。通过这一理论重构,数字资本主义的“技术中性”幻象被剥离,其资本逻辑的延续性与历史局限性在马克思主义视域下得以显现。</w:t>
      </w:r>
    </w:p>
    <w:p w14:paraId="690A3C92">
      <w:pPr>
        <w:keepNext w:val="0"/>
        <w:keepLines w:val="0"/>
        <w:pageBreakBefore w:val="0"/>
        <w:kinsoku/>
        <w:wordWrap/>
        <w:overflowPunct/>
        <w:topLinePunct w:val="0"/>
        <w:autoSpaceDE/>
        <w:autoSpaceDN/>
        <w:bidi w:val="0"/>
        <w:adjustRightInd w:val="0"/>
        <w:snapToGrid w:val="0"/>
        <w:spacing w:line="312" w:lineRule="auto"/>
        <w:ind w:firstLine="480" w:firstLineChars="200"/>
        <w:rPr>
          <w:rFonts w:hint="eastAsia" w:ascii="宋体" w:hAnsi="宋体" w:eastAsia="宋体" w:cs="宋体"/>
          <w:szCs w:val="21"/>
        </w:rPr>
      </w:pPr>
      <w:r>
        <w:rPr>
          <w:rFonts w:hint="eastAsia" w:ascii="Times New Roman" w:hAnsi="Times New Roman" w:eastAsia="宋体" w:cs="楷体"/>
          <w:b/>
          <w:bCs/>
          <w:color w:val="222222"/>
          <w:sz w:val="24"/>
          <w:shd w:val="clear" w:color="auto" w:fill="FFFFFF"/>
          <w:lang w:val="en-US" w:eastAsia="zh-CN"/>
        </w:rPr>
        <w:t>（一）剩余价值理论的拓展：数据要素的价值创造与剥削计量​</w:t>
      </w:r>
      <w:r>
        <w:rPr>
          <w:rFonts w:hint="eastAsia" w:ascii="宋体" w:hAnsi="宋体" w:eastAsia="宋体" w:cs="宋体"/>
          <w:szCs w:val="21"/>
        </w:rPr>
        <w:t>​​</w:t>
      </w:r>
    </w:p>
    <w:p w14:paraId="2772616C">
      <w:pPr>
        <w:keepNext w:val="0"/>
        <w:keepLines w:val="0"/>
        <w:pageBreakBefore w:val="0"/>
        <w:kinsoku/>
        <w:wordWrap/>
        <w:overflowPunct/>
        <w:topLinePunct w:val="0"/>
        <w:autoSpaceDE/>
        <w:autoSpaceDN/>
        <w:bidi w:val="0"/>
        <w:spacing w:after="107" w:line="312" w:lineRule="auto"/>
        <w:ind w:left="52" w:firstLine="420" w:firstLineChars="200"/>
        <w:rPr>
          <w:rFonts w:hint="eastAsia"/>
          <w:lang w:eastAsia="zh-CN"/>
        </w:rPr>
      </w:pPr>
      <w:r>
        <w:t>数字资本主义对剩余价值理论的拓展,本质在于破解“数据是否创造价值”的理论迷思。本文提出“二阶价值创造过程”理论框架,揭示用户无酬劳动与数据资本的双重作用机制:在价值创造条件准备阶段,平台通过无偿占有用户的元劳动,即用户在数字消费与社交过程中物化的原始数据,近乎零成本地构筑其核心生产资料;在价值的现实创造与实现阶段,平台雇佣的生产性劳动对这些数据进行加工和资本化,创造出全部的新价值与剩余价值(v+m)。用户元劳动虽然不直接创造剩余价值(m),但通过无偿提供关键生产资料,系统性地降低了不变资本</w:t>
      </w:r>
      <w:r>
        <w:rPr>
          <w:rFonts w:hint="eastAsia"/>
          <w:b w:val="0"/>
          <w:bCs w:val="0"/>
        </w:rPr>
        <w:t>（c）</w:t>
      </w:r>
      <w:r>
        <w:t>的获取成本,并极大地杠杆化了雇佣劳动的价值创造效率</w:t>
      </w:r>
      <w:r>
        <w:rPr>
          <w:rFonts w:hint="eastAsia"/>
          <w:lang w:eastAsia="zh-CN"/>
        </w:rPr>
        <w:t>。</w:t>
      </w:r>
    </w:p>
    <w:p w14:paraId="4E48BC3A">
      <w:pPr>
        <w:keepNext w:val="0"/>
        <w:keepLines w:val="0"/>
        <w:pageBreakBefore w:val="0"/>
        <w:kinsoku/>
        <w:wordWrap/>
        <w:overflowPunct/>
        <w:topLinePunct w:val="0"/>
        <w:autoSpaceDE/>
        <w:autoSpaceDN/>
        <w:bidi w:val="0"/>
        <w:spacing w:after="107" w:line="312" w:lineRule="auto"/>
        <w:ind w:left="52" w:firstLine="420" w:firstLineChars="200"/>
        <w:rPr>
          <w:rFonts w:hint="eastAsia"/>
          <w:b w:val="0"/>
          <w:bCs w:val="0"/>
        </w:rPr>
      </w:pPr>
      <w:r>
        <w:t>数据作为数字时代的特殊劳动对象,呈现出“流动的对象化”特征。其价值创造需要用户无酬劳动与平台技术劳动的共同介入:用户行为数据的生成为价值创造提供了基础原料,而平台通过算法系统对数据的加工实现了价值增殖。这种双重性突破了马克思对生产资料的静态分类,揭示了数据资本作为“劳动对象的历史沉淀与不变资本的当代形态”的辩证统一。数据资本的价值增殖本质,是用户无酬劳动的“数字化沉淀”,其增殖过程以用户活劳动的物化(原始数据)为物质前提,以平台技术劳动对数据的加工和资本化为价值创造的现实环节。</w:t>
      </w:r>
    </w:p>
    <w:p w14:paraId="59067D5E">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rPr>
          <w:rFonts w:hint="eastAsia"/>
          <w:lang w:eastAsia="zh-CN"/>
        </w:rPr>
      </w:pPr>
      <w:r>
        <w:t>基于此,本文引入“数字剥削率”作为理论分析工具。该概念并非精确的数学公式,而是揭示数字剥削整体强度的批判性隐喻。其核心在于,资本通过无偿占有用户劳动物化的数据,系统性压低不变资本(c)的显性成本,优化生产条件,使同等可变资本(v)所能驱动的剩余劳动量呈指数级增长。这种杠杆效应使传统剩余价值率(m/v)的计算范式在数字时代遭遇理论困境,需要构建新的批判维度</w:t>
      </w:r>
      <w:r>
        <w:rPr>
          <w:rFonts w:hint="eastAsia"/>
          <w:lang w:eastAsia="zh-CN"/>
        </w:rPr>
        <w:t>。</w:t>
      </w:r>
    </w:p>
    <w:p w14:paraId="03F80B31">
      <w:pPr>
        <w:keepNext w:val="0"/>
        <w:keepLines w:val="0"/>
        <w:pageBreakBefore w:val="0"/>
        <w:widowControl w:val="0"/>
        <w:kinsoku/>
        <w:wordWrap/>
        <w:overflowPunct/>
        <w:topLinePunct w:val="0"/>
        <w:autoSpaceDE/>
        <w:autoSpaceDN/>
        <w:bidi w:val="0"/>
        <w:adjustRightInd w:val="0"/>
        <w:snapToGrid w:val="0"/>
        <w:spacing w:line="312" w:lineRule="auto"/>
        <w:ind w:firstLine="420" w:firstLineChars="200"/>
        <w:textAlignment w:val="auto"/>
      </w:pPr>
      <w:r>
        <w:t>数据资本的作用带来一种结构性的“杠杆放大”效应,具体表现为两个维度:在过程层面, 算法系统通过持续重构劳动流程,不断缩短劳动者为再生产自身劳动力价值所必须付出的劳动时间;在要素层面,用户在日常数字活动中生成的行为轨迹、内容与关系数据,作为新型生产资料,显著拓宽了剩余价值得以孕育的潜在来源。在此背景下,虽然传统剩余价值率(m'= m/v)依然能够呈现出资本对雇佣劳动的直接剥削程度,但“数字剥削率”范畴的提出,能够从整体上定性数字剥削所呈现的体系化、结构化新特征。数据资本凭借其“非竞争性使用”特性, 急剧压缩了生产资料的预付,促成了生产资料以近乎零成本的方式进行“社会化预付”。这种独特的预付机制,通过极大地压低资本有机构成的成本,为剩余价值的榨取开拓出了新的增长空间。</w:t>
      </w:r>
    </w:p>
    <w:p w14:paraId="48BE06A2">
      <w:pPr>
        <w:keepNext w:val="0"/>
        <w:keepLines w:val="0"/>
        <w:pageBreakBefore w:val="0"/>
        <w:kinsoku/>
        <w:wordWrap/>
        <w:overflowPunct/>
        <w:topLinePunct w:val="0"/>
        <w:autoSpaceDE/>
        <w:autoSpaceDN/>
        <w:bidi w:val="0"/>
        <w:spacing w:line="312" w:lineRule="auto"/>
        <w:ind w:left="52" w:firstLine="420" w:firstLineChars="200"/>
      </w:pPr>
      <w:r>
        <w:t>剩余价值理论在数字时代的拓展,始终坚持“抽象劳动是价值形成的唯一源泉”这一劳动价值论的核心原则,同时,通过对数据资本特殊属性的剖析,清晰揭示出剩余价值在数字时代实现增殖的崭新机制。“数字剥削率”作为批判的核心概念,为剖析数字资本主义日益隐蔽化、深化与系统化的剥削本质提供了不可或缺的分析工具。这一理论发展再次体现出马克思主义政治经济学在时代变革前的强大解释力与生命力。</w:t>
      </w:r>
    </w:p>
    <w:p w14:paraId="33D67CFF">
      <w:pPr>
        <w:keepNext w:val="0"/>
        <w:keepLines w:val="0"/>
        <w:pageBreakBefore w:val="0"/>
        <w:kinsoku/>
        <w:wordWrap/>
        <w:overflowPunct/>
        <w:topLinePunct w:val="0"/>
        <w:autoSpaceDE/>
        <w:autoSpaceDN/>
        <w:bidi w:val="0"/>
        <w:spacing w:line="312" w:lineRule="auto"/>
        <w:rPr>
          <w:rFonts w:hint="eastAsia"/>
          <w:b w:val="0"/>
          <w:bCs w:val="0"/>
          <w:lang w:val="en-US" w:eastAsia="zh-CN"/>
        </w:rPr>
      </w:pPr>
      <w:r>
        <w:rPr>
          <w:rFonts w:hint="eastAsia"/>
          <w:b w:val="0"/>
          <w:bCs w:val="0"/>
        </w:rPr>
        <w:t>​​</w:t>
      </w:r>
      <w:r>
        <w:rPr>
          <w:rFonts w:hint="eastAsia" w:ascii="Times New Roman" w:hAnsi="Times New Roman" w:eastAsia="宋体" w:cs="楷体"/>
          <w:b/>
          <w:bCs/>
          <w:color w:val="222222"/>
          <w:sz w:val="24"/>
          <w:shd w:val="clear" w:color="auto" w:fill="FFFFFF"/>
          <w:lang w:val="en-US" w:eastAsia="zh-CN"/>
        </w:rPr>
        <w:t>（二）资本积累理论的更新：数字资本循环的独特性与历史暂时性​</w:t>
      </w:r>
      <w:r>
        <w:rPr>
          <w:rFonts w:hint="eastAsia"/>
          <w:b/>
          <w:bCs/>
        </w:rPr>
        <w:t>​</w:t>
      </w:r>
    </w:p>
    <w:p w14:paraId="5D4E04BB">
      <w:pPr>
        <w:keepNext w:val="0"/>
        <w:keepLines w:val="0"/>
        <w:pageBreakBefore w:val="0"/>
        <w:kinsoku/>
        <w:wordWrap/>
        <w:overflowPunct/>
        <w:topLinePunct w:val="0"/>
        <w:autoSpaceDE/>
        <w:autoSpaceDN/>
        <w:bidi w:val="0"/>
        <w:spacing w:line="312" w:lineRule="auto"/>
        <w:ind w:left="52" w:firstLine="420" w:firstLineChars="200"/>
      </w:pPr>
      <w:r>
        <w:t>数字资本主义在空间逻辑与时间节奏两个维度上对资本积累进行了重构,呈现出有别于传统工业资本的深层特征。其核心机制在于,数据资本的循环过程已实质性超越了民族国家的物理疆界,将全球用户日常产生的数据流转化为价值增殖的关键性资源,由此催生出一种以 “数据算法权力”为轴心的新型积累范式。这一演变既内在延续了马克思对资本积累固有矛盾的批判传统,亦以数字化的当代形态,凸显出资本逻辑在自我强化过程中所蕴含的历史限度。</w:t>
      </w:r>
    </w:p>
    <w:p w14:paraId="56067883">
      <w:pPr>
        <w:keepNext w:val="0"/>
        <w:keepLines w:val="0"/>
        <w:pageBreakBefore w:val="0"/>
        <w:kinsoku/>
        <w:wordWrap/>
        <w:overflowPunct/>
        <w:topLinePunct w:val="0"/>
        <w:autoSpaceDE/>
        <w:autoSpaceDN/>
        <w:bidi w:val="0"/>
        <w:spacing w:line="312" w:lineRule="auto"/>
        <w:ind w:left="52" w:firstLine="420" w:firstLineChars="200"/>
        <w:rPr>
          <w:rFonts w:hint="eastAsia"/>
          <w:lang w:eastAsia="zh-CN"/>
        </w:rPr>
      </w:pPr>
      <w:r>
        <w:t>数据资本循环的“指数增长”特征,本质是技术赋能与矛盾内核的辩证统一。平台通过用户无酬劳动生成的数据作为“非竞争性生产资料”,实现了规模报酬递增的突破:电商平台的用户数据通过算法优化形成正反馈循环。这种增长看似摆脱了传统资本的边际报酬递减规律, 实则加剧了社会化生产与私人占有之间的根本矛盾。数据垄断所致的社会财富集中与边缘国家数据红利的系统性流失,暴露了数字资本主义积累的寄生性本质</w:t>
      </w:r>
      <w:r>
        <w:rPr>
          <w:rFonts w:hint="eastAsia"/>
          <w:lang w:eastAsia="zh-CN"/>
        </w:rPr>
        <w:t>。</w:t>
      </w:r>
    </w:p>
    <w:p w14:paraId="47613D47">
      <w:pPr>
        <w:keepNext w:val="0"/>
        <w:keepLines w:val="0"/>
        <w:pageBreakBefore w:val="0"/>
        <w:kinsoku/>
        <w:wordWrap/>
        <w:overflowPunct/>
        <w:topLinePunct w:val="0"/>
        <w:autoSpaceDE/>
        <w:autoSpaceDN/>
        <w:bidi w:val="0"/>
        <w:spacing w:line="312" w:lineRule="auto"/>
        <w:ind w:left="52" w:firstLine="420" w:firstLineChars="200"/>
      </w:pPr>
      <w:r>
        <w:t>数字资本在降低资本有机构成的同时,革命性地提升了资本周转速度。算法自动化压缩生产时间,区块链技术实现即时结算,这两个变化促使资本周转速度相较工业时代提升了数十倍。值得注意的是,资本周转速度的提升是以劳动者劳动强度不断强化为基本代价的。例如, 外卖骑手“超时惩罚”的精确性将劳动强度控制在分秒之内,网约车司机的收入算法通过动态定价将剩余劳动时间压缩至生理极限。基于此,资本便可通过数据流对劳动者进行实时监控与算法调度,将劳动者的生命时间间接转化为可计算的剩余价值增殖尺度,资本对剩余价值的榨取终于实现了可计量的精确性。</w:t>
      </w:r>
    </w:p>
    <w:p w14:paraId="26941A69">
      <w:pPr>
        <w:keepNext w:val="0"/>
        <w:keepLines w:val="0"/>
        <w:pageBreakBefore w:val="0"/>
        <w:kinsoku/>
        <w:wordWrap/>
        <w:overflowPunct/>
        <w:topLinePunct w:val="0"/>
        <w:autoSpaceDE/>
        <w:autoSpaceDN/>
        <w:bidi w:val="0"/>
        <w:spacing w:line="312" w:lineRule="auto"/>
        <w:ind w:left="52" w:firstLine="420" w:firstLineChars="200"/>
      </w:pPr>
      <w:r>
        <w:t>数字资本积累的历史暂时性体现为其通过技术迭代延缓危机却终将激化矛盾的结局。数据生产过剩(如无效点击、重复内容)形成的“数字废料”、全球分配鸿沟(发展中国家数据贡献与收益倒挂)、治理失序(数据主权争端与技术霸权博弈)共同构成了体系性危机。平台经济的 “赢家通吃”格局导致社会需求萎缩(如虚假需求诱导的消费信贷泡沫),人工智能替代低端岗位加剧结构性失业,数据中心能耗激增延续“先污染后治理”的生态掠夺逻辑。这些矛盾表明, 数字资本并未超越资本积累的基本规律,而是以更隐蔽的形式推动资本主义走向自我否定的临界点。</w:t>
      </w:r>
    </w:p>
    <w:p w14:paraId="6984E25A">
      <w:pPr>
        <w:keepNext w:val="0"/>
        <w:keepLines w:val="0"/>
        <w:pageBreakBefore w:val="0"/>
        <w:kinsoku/>
        <w:wordWrap/>
        <w:overflowPunct/>
        <w:topLinePunct w:val="0"/>
        <w:autoSpaceDE/>
        <w:autoSpaceDN/>
        <w:bidi w:val="0"/>
        <w:spacing w:line="312" w:lineRule="auto"/>
        <w:ind w:left="52" w:firstLine="420" w:firstLineChars="200"/>
      </w:pPr>
      <w:r>
        <w:t>从马克思主义的批判视角来看,数字资本循环的“指数增长—高效周转—危机爆发”逻辑, 本质上是资本逻辑在数字时代的极致展开。其“历史暂时性”体现为技术矛盾(算法效率越高, 用户异化越深)、空间矛盾(数据全球化流动与民族国家监管冲突)、价值矛盾(数据公共属性与私人占有冲突)的三重叠加,这终将使数字资本主义陷入系统性崩溃。正如马克思所预言的,</w:t>
      </w:r>
    </w:p>
    <w:p w14:paraId="11B02616">
      <w:pPr>
        <w:keepNext w:val="0"/>
        <w:keepLines w:val="0"/>
        <w:pageBreakBefore w:val="0"/>
        <w:kinsoku/>
        <w:wordWrap/>
        <w:overflowPunct/>
        <w:topLinePunct w:val="0"/>
        <w:autoSpaceDE/>
        <w:autoSpaceDN/>
        <w:bidi w:val="0"/>
        <w:spacing w:after="55" w:line="312" w:lineRule="auto"/>
        <w:ind w:left="52"/>
        <w:rPr>
          <w:rFonts w:hint="eastAsia"/>
          <w:b w:val="0"/>
          <w:bCs w:val="0"/>
          <w:lang w:val="en-US" w:eastAsia="zh-CN"/>
        </w:rPr>
      </w:pPr>
      <w:r>
        <w:t>“一切发展生产的手段都转变为统治和剥削生产者的手段”</w:t>
      </w:r>
      <w:r>
        <w:rPr>
          <w:rStyle w:val="20"/>
          <w:rFonts w:hint="eastAsia" w:ascii="宋体" w:hAnsi="宋体" w:eastAsia="宋体" w:cs="宋体"/>
          <w:szCs w:val="21"/>
        </w:rPr>
        <w:footnoteReference w:id="1427"/>
      </w:r>
      <w:r>
        <w:rPr>
          <w:rFonts w:hint="eastAsia" w:ascii="宋体" w:hAnsi="宋体" w:eastAsia="宋体" w:cs="宋体"/>
          <w:szCs w:val="21"/>
        </w:rPr>
        <w:t>，</w:t>
      </w:r>
      <w:r>
        <w:t>数字资本通过全球数据循环构建的剥削体系,终将在生产社会化与私人占有的根本冲突中走向崩溃。</w:t>
      </w:r>
      <w:r>
        <w:rPr>
          <w:rFonts w:hint="eastAsia"/>
          <w:b w:val="0"/>
          <w:bCs w:val="0"/>
          <w:lang w:val="en-US" w:eastAsia="zh-CN"/>
        </w:rPr>
        <w:t xml:space="preserve"> </w:t>
      </w:r>
    </w:p>
    <w:p w14:paraId="569CE5C1">
      <w:pPr>
        <w:keepNext w:val="0"/>
        <w:keepLines w:val="0"/>
        <w:pageBreakBefore w:val="0"/>
        <w:widowControl w:val="0"/>
        <w:kinsoku/>
        <w:wordWrap/>
        <w:overflowPunct/>
        <w:topLinePunct w:val="0"/>
        <w:autoSpaceDE/>
        <w:autoSpaceDN/>
        <w:bidi w:val="0"/>
        <w:adjustRightInd/>
        <w:snapToGrid/>
        <w:spacing w:line="312" w:lineRule="auto"/>
        <w:ind w:firstLine="480" w:firstLineChars="200"/>
        <w:textAlignment w:val="auto"/>
        <w:rPr>
          <w:rFonts w:hint="eastAsia" w:ascii="Times New Roman" w:hAnsi="Times New Roman" w:eastAsia="宋体" w:cs="楷体"/>
          <w:b/>
          <w:bCs/>
          <w:color w:val="222222"/>
          <w:sz w:val="24"/>
          <w:shd w:val="clear" w:color="auto" w:fill="FFFFFF"/>
          <w:lang w:val="en-US" w:eastAsia="zh-CN"/>
        </w:rPr>
      </w:pPr>
    </w:p>
    <w:p w14:paraId="2924991C">
      <w:pPr>
        <w:keepNext w:val="0"/>
        <w:keepLines w:val="0"/>
        <w:pageBreakBefore w:val="0"/>
        <w:widowControl w:val="0"/>
        <w:kinsoku/>
        <w:wordWrap/>
        <w:overflowPunct/>
        <w:topLinePunct w:val="0"/>
        <w:autoSpaceDE/>
        <w:autoSpaceDN/>
        <w:bidi w:val="0"/>
        <w:adjustRightInd/>
        <w:snapToGrid/>
        <w:spacing w:line="312" w:lineRule="auto"/>
        <w:ind w:firstLine="480" w:firstLineChars="200"/>
        <w:textAlignment w:val="auto"/>
        <w:rPr>
          <w:rFonts w:hint="eastAsia"/>
          <w:b w:val="0"/>
          <w:bCs w:val="0"/>
        </w:rPr>
      </w:pPr>
      <w:r>
        <w:rPr>
          <w:rFonts w:hint="eastAsia" w:ascii="Times New Roman" w:hAnsi="Times New Roman" w:eastAsia="宋体" w:cs="楷体"/>
          <w:b/>
          <w:bCs/>
          <w:color w:val="222222"/>
          <w:sz w:val="24"/>
          <w:shd w:val="clear" w:color="auto" w:fill="FFFFFF"/>
          <w:lang w:val="en-US" w:eastAsia="zh-CN"/>
        </w:rPr>
        <w:t>（三）</w:t>
      </w:r>
      <w:r>
        <w:rPr>
          <w:rFonts w:hint="eastAsia" w:ascii="Times New Roman" w:hAnsi="Times New Roman" w:eastAsia="宋体" w:cs="楷体"/>
          <w:b/>
          <w:bCs/>
          <w:color w:val="222222"/>
          <w:sz w:val="24"/>
          <w:shd w:val="clear" w:color="auto" w:fill="FFFFFF"/>
        </w:rPr>
        <w:t>批判理论的深化：数字异化与人类解放的可能性路径​</w:t>
      </w:r>
      <w:r>
        <w:rPr>
          <w:rFonts w:hint="eastAsia"/>
          <w:b w:val="0"/>
          <w:bCs w:val="0"/>
        </w:rPr>
        <w:t>​</w:t>
      </w:r>
    </w:p>
    <w:p w14:paraId="6CAFDF12">
      <w:pPr>
        <w:keepNext w:val="0"/>
        <w:keepLines w:val="0"/>
        <w:pageBreakBefore w:val="0"/>
        <w:kinsoku/>
        <w:wordWrap/>
        <w:overflowPunct/>
        <w:topLinePunct w:val="0"/>
        <w:autoSpaceDE/>
        <w:autoSpaceDN/>
        <w:bidi w:val="0"/>
        <w:spacing w:line="312" w:lineRule="auto"/>
        <w:ind w:left="52" w:firstLine="420" w:firstLineChars="200"/>
      </w:pPr>
      <w:r>
        <w:t>在揭示数字资本主义生产、分配与空间维度内在矛盾的基础上,马克思主义批判理论的落脚点必须归于探索人类解放的现实路径。这一探索既延续马克思“异化劳动”与“社会解放”的核心命题,又以数字技术为场域,构建具有针对性的“靶向治疗”方案,回应“如何在数据资本统治下重建人的主体性”这一时代课题。</w:t>
      </w:r>
    </w:p>
    <w:p w14:paraId="22827324">
      <w:pPr>
        <w:keepNext w:val="0"/>
        <w:keepLines w:val="0"/>
        <w:pageBreakBefore w:val="0"/>
        <w:kinsoku/>
        <w:wordWrap/>
        <w:overflowPunct/>
        <w:topLinePunct w:val="0"/>
        <w:autoSpaceDE/>
        <w:autoSpaceDN/>
        <w:bidi w:val="0"/>
        <w:spacing w:line="312" w:lineRule="auto"/>
        <w:ind w:left="52" w:firstLine="420" w:firstLineChars="200"/>
      </w:pPr>
      <w:r>
        <w:t>首先,破解生产领域的数据垄断与劳动异化的根本路径在于重构生产关系,推行数据公有制与生产民主化。数据私有制是数字异化的经济根源。要打破平台对关键生产资料的垄断, 需要探索建立公共数据信托制度,由代表公众利益的机构管理非个人敏感数据,确保数据作为社会化生产资料的公共属性。同时,国家通过立法明确个人数据所有权,赋予个体对其数据是否被采集及如何使用的决定权与收益权,从根本上扭转“用户作为无酬数字劳工”的异化状态。在生产过程中,相关部门应推动算法管理的民主化,让劳动者和用户参与算法规则的设计与监督,削弱资本通过算法规训对劳动过程的绝对支配。</w:t>
      </w:r>
    </w:p>
    <w:p w14:paraId="31685722">
      <w:pPr>
        <w:keepNext w:val="0"/>
        <w:keepLines w:val="0"/>
        <w:pageBreakBefore w:val="0"/>
        <w:kinsoku/>
        <w:wordWrap/>
        <w:overflowPunct/>
        <w:topLinePunct w:val="0"/>
        <w:autoSpaceDE/>
        <w:autoSpaceDN/>
        <w:bidi w:val="0"/>
        <w:spacing w:line="312" w:lineRule="auto"/>
        <w:ind w:left="52" w:firstLine="420" w:firstLineChars="200"/>
      </w:pPr>
      <w:r>
        <w:t>其次,解决分配领域的数字租金垄断与价值剥夺的核心方案在于革新分配机制,实现数字红利的公平共享。当前“平台独占</w:t>
      </w:r>
      <w:r>
        <w:rPr>
          <w:rFonts w:ascii="Calibri" w:hAnsi="Calibri" w:eastAsia="Calibri" w:cs="Calibri"/>
          <w:sz w:val="22"/>
        </w:rPr>
        <mc:AlternateContent>
          <mc:Choice Requires="wpg">
            <w:drawing>
              <wp:inline distT="0" distB="0" distL="0" distR="0">
                <wp:extent cx="56515" cy="2540"/>
                <wp:effectExtent l="0" t="0" r="0" b="0"/>
                <wp:docPr id="67208" name="Group 67208"/>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16329" name="Shape 16329"/>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7208"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6c+cbTAAAAAAEAAA8AAAAA&#10;AAAAAQAgAAAAIgAAAGRycy9kb3ducmV2LnhtbFBLAQIUABQAAAAIAIdO4kBPeifLUgIAAJEFAAAO&#10;AAAAAAAAAAEAIAAAACIBAABkcnMvZTJvRG9jLnhtbFBLBQYAAAAABgAGAFkBAADmBQAAAAA=&#10;">
                <o:lock v:ext="edit" aspectratio="f"/>
                <v:shape id="Shape 16329" o:spid="_x0000_s1026" o:spt="100" style="position:absolute;left:0;top:0;height:0;width:56693;" filled="f" stroked="t" coordsize="56693,1" o:gfxdata="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Hdc4&#10;wAAAAN4AAAAPAAAAAAAAAAEAIAAAACIAAABkcnMvZG93bnJldi54bWxQSwECFAAUAAAACACHTuJA&#10;My8FnjsAAAA5AAAAEAAAAAAAAAABACAAAAAPAQAAZHJzL3NoYXBleG1sLnhtbFBLBQYAAAAABgAG&#10;AFsBAAC5AwAAAAA=&#10;" path="m0,0l56693,0e">
                  <v:fill on="f" focussize="0,0"/>
                  <v:stroke weight="0.248976377952756pt" color="#181717" miterlimit="1" joinstyle="miter"/>
                  <v:imagedata o:title=""/>
                  <o:lock v:ext="edit" aspectratio="f"/>
                </v:shape>
                <w10:wrap type="none"/>
                <w10:anchorlock/>
              </v:group>
            </w:pict>
          </mc:Fallback>
        </mc:AlternateContent>
      </w:r>
      <w:r>
        <w:t>用户贡献”的分配模式具有内在的不正义性。为此,我们需要构建基于数据贡献的价值分配体系,可探索将用户的数据贡献量化为“数据股权”或纳入利润分享计划,使用户能够参与基于其数据贡献所产生的收益分配。对于平台凭借垄断地位抽取的高额佣金(数字租金),国家应通过累进式数字税与反垄断机制进行社会性回收,将这部分超额利润用于公共服务与数字基础设施建设,纠正因价值剥夺导致的极端贫富分化。</w:t>
      </w:r>
    </w:p>
    <w:p w14:paraId="4FED225A">
      <w:pPr>
        <w:keepNext w:val="0"/>
        <w:keepLines w:val="0"/>
        <w:pageBreakBefore w:val="0"/>
        <w:kinsoku/>
        <w:wordWrap/>
        <w:overflowPunct/>
        <w:topLinePunct w:val="0"/>
        <w:autoSpaceDE/>
        <w:autoSpaceDN/>
        <w:bidi w:val="0"/>
        <w:spacing w:line="312" w:lineRule="auto"/>
        <w:ind w:left="52" w:firstLine="420" w:firstLineChars="200"/>
        <w:rPr>
          <w:rFonts w:hint="eastAsia"/>
          <w:lang w:eastAsia="zh-CN"/>
        </w:rPr>
      </w:pPr>
      <w:r>
        <w:t>最后,改变全球空间的数字殖民与治理失序局面的战略方向在于重塑国际秩序,主张全球数据正义。数字资本的全球循环超越了单一国家的监管能力。发展中国家必须通过“数字不结盟运动”增强集体议价能力,反对技术霸权与数据掠夺。在全球层面,各国应积极推动在联合国框架下建立公平的“全球数字治理体系”,包括制定保障数据主权原则的国际公约、建立公平的数字关税体系,以及将关键数字基础设施(如全球根服务器体系)和算法公共知识视为“数字公共产品”进行管理和开发,打破中心国家凭借技术标准与规则制定权实施的“数字殖民”, 为实现包容性的全球数字发展奠定基础</w:t>
      </w:r>
      <w:r>
        <w:rPr>
          <w:rFonts w:hint="eastAsia"/>
          <w:lang w:eastAsia="zh-CN"/>
        </w:rPr>
        <w:t>。</w:t>
      </w:r>
    </w:p>
    <w:p w14:paraId="6D8975A3">
      <w:pPr>
        <w:keepNext w:val="0"/>
        <w:keepLines w:val="0"/>
        <w:pageBreakBefore w:val="0"/>
        <w:kinsoku/>
        <w:wordWrap/>
        <w:overflowPunct/>
        <w:topLinePunct w:val="0"/>
        <w:autoSpaceDE/>
        <w:autoSpaceDN/>
        <w:bidi w:val="0"/>
        <w:spacing w:line="312" w:lineRule="auto"/>
        <w:ind w:left="52" w:firstLine="420" w:firstLineChars="200"/>
        <w:rPr>
          <w:rFonts w:hint="eastAsia"/>
          <w:b w:val="0"/>
          <w:bCs w:val="0"/>
        </w:rPr>
      </w:pPr>
      <w:r>
        <w:t>这些解放路径的推进,必将经历长期且伴随持续博弈的过程。当前,其现实基础已在各类新兴社会运动与制度实践中逐渐显现:数据信托的地方性试验为探索数据公有形态提供了初步框架;全球零工劳动者围绕算法透明与权益保障的集体行动,正形成对算法民主化管理的有力呼吁;欧盟《数字市场法案》、中国《数据安全法》等立法动向,则展现了国家行为体在数据主权领域展开的战略博弈。这类行动对资本既得利益的损害,意味着其诉求的每一次进展都必然经过与资本权力的反复拉锯。也正因为如此,人的解放要在数字时代成为可能,就必然以唤醒广大数字劳动者与用户的自觉意识、协同行动为前提。只有当广大人民群众作为历史创造者的主体性得以唤醒,并自觉推动生产关系、分配机制与全球治理体系的系统性变革时,通向人自由全面发展的道路才能真正被开辟。</w:t>
      </w:r>
      <w:r>
        <w:rPr>
          <w:rFonts w:hint="eastAsia"/>
          <w:b w:val="0"/>
          <w:bCs w:val="0"/>
        </w:rPr>
        <w:t>​</w:t>
      </w:r>
    </w:p>
    <w:p w14:paraId="1790DD51">
      <w:pPr>
        <w:keepNext w:val="0"/>
        <w:keepLines w:val="0"/>
        <w:pageBreakBefore w:val="0"/>
        <w:kinsoku/>
        <w:wordWrap/>
        <w:overflowPunct/>
        <w:topLinePunct w:val="0"/>
        <w:autoSpaceDE/>
        <w:autoSpaceDN/>
        <w:bidi w:val="0"/>
        <w:spacing w:line="312" w:lineRule="auto"/>
        <w:jc w:val="center"/>
        <w:rPr>
          <w:rFonts w:hint="eastAsia" w:ascii="楷体" w:hAnsi="楷体" w:eastAsia="楷体" w:cs="黑体"/>
          <w:b/>
          <w:bCs/>
          <w:color w:val="222222"/>
          <w:kern w:val="0"/>
          <w:sz w:val="32"/>
          <w:szCs w:val="28"/>
          <w:shd w:val="clear" w:color="auto" w:fill="FFFFFF"/>
          <w:lang w:val="en-US" w:eastAsia="zh-CN" w:bidi="ar"/>
        </w:rPr>
      </w:pPr>
      <w:r>
        <w:rPr>
          <w:rFonts w:hint="eastAsia" w:ascii="楷体" w:hAnsi="楷体" w:eastAsia="楷体" w:cs="黑体"/>
          <w:b/>
          <w:bCs/>
          <w:color w:val="222222"/>
          <w:kern w:val="0"/>
          <w:sz w:val="32"/>
          <w:szCs w:val="28"/>
          <w:shd w:val="clear" w:color="auto" w:fill="FFFFFF"/>
          <w:lang w:val="en-US" w:eastAsia="zh-CN" w:bidi="ar"/>
        </w:rPr>
        <w:t>​</w:t>
      </w:r>
    </w:p>
    <w:p w14:paraId="14D85C24">
      <w:pPr>
        <w:keepNext w:val="0"/>
        <w:keepLines w:val="0"/>
        <w:pageBreakBefore w:val="0"/>
        <w:kinsoku/>
        <w:wordWrap/>
        <w:overflowPunct/>
        <w:topLinePunct w:val="0"/>
        <w:autoSpaceDE/>
        <w:autoSpaceDN/>
        <w:bidi w:val="0"/>
        <w:spacing w:line="312" w:lineRule="auto"/>
        <w:jc w:val="center"/>
        <w:rPr>
          <w:rFonts w:hint="eastAsia" w:ascii="楷体" w:hAnsi="楷体" w:eastAsia="楷体" w:cs="黑体"/>
          <w:b/>
          <w:bCs/>
          <w:color w:val="222222"/>
          <w:kern w:val="0"/>
          <w:sz w:val="32"/>
          <w:szCs w:val="28"/>
          <w:shd w:val="clear" w:color="auto" w:fill="FFFFFF"/>
          <w:lang w:val="en-US" w:eastAsia="zh-CN" w:bidi="ar"/>
        </w:rPr>
      </w:pPr>
      <w:r>
        <w:rPr>
          <w:rFonts w:hint="eastAsia" w:ascii="楷体" w:hAnsi="楷体" w:eastAsia="楷体" w:cs="黑体"/>
          <w:b/>
          <w:bCs/>
          <w:color w:val="222222"/>
          <w:kern w:val="0"/>
          <w:sz w:val="32"/>
          <w:szCs w:val="28"/>
          <w:shd w:val="clear" w:color="auto" w:fill="FFFFFF"/>
          <w:lang w:val="en-US" w:eastAsia="zh-CN" w:bidi="ar"/>
        </w:rPr>
        <w:t>五、结论</w:t>
      </w:r>
    </w:p>
    <w:p w14:paraId="35A9DD76">
      <w:pPr>
        <w:keepNext w:val="0"/>
        <w:keepLines w:val="0"/>
        <w:pageBreakBefore w:val="0"/>
        <w:kinsoku/>
        <w:wordWrap/>
        <w:overflowPunct/>
        <w:topLinePunct w:val="0"/>
        <w:autoSpaceDE/>
        <w:autoSpaceDN/>
        <w:bidi w:val="0"/>
        <w:spacing w:line="312" w:lineRule="auto"/>
        <w:ind w:left="52" w:firstLine="420" w:firstLineChars="200"/>
      </w:pPr>
      <w:r>
        <w:t>本文通过对数字资本主义“三重跃迁”的探讨,论证了剩余价值的生产、剥削与积累在数字时代的范式转换,在坚持“活劳动是价值的唯一源泉”这一根本立场的同时,从剩余价值生产要素跃迁到剥削机制跃迁再到积累空间跃迁,系统梳理了数字资本运动的规律。在此基础之上, 本文从生产、分配与全球空间维度对数字资本的内在矛盾进行了批判。</w:t>
      </w:r>
    </w:p>
    <w:p w14:paraId="3CF4C63D">
      <w:pPr>
        <w:keepNext w:val="0"/>
        <w:keepLines w:val="0"/>
        <w:pageBreakBefore w:val="0"/>
        <w:kinsoku/>
        <w:wordWrap/>
        <w:overflowPunct/>
        <w:topLinePunct w:val="0"/>
        <w:autoSpaceDE/>
        <w:autoSpaceDN/>
        <w:bidi w:val="0"/>
        <w:spacing w:line="312" w:lineRule="auto"/>
        <w:ind w:left="52" w:firstLine="420" w:firstLineChars="200"/>
      </w:pPr>
      <w:r>
        <w:t>在生产领域,本文揭示了数据垄断与算法规训协同加剧了劳动异化,促使资本控制从实体工厂扩展至数字生活的所有领域。在分配层面,用户无偿劳动未被纳入分配体系,数字租金独占与劳动价值流失并存的分配困境,成为数字时代贫富分化的重要根源。在全球空间方面,本文讨论了以“数字殖民”为特征的新型依附积累体系。该体系不再简单沿袭传统的剩余价值国际转移路径,而是通过系统性“剥夺价值创造的基本条件”,将边缘国家与地区固化为原始数据供给地,从而强化了全球“中心</w:t>
      </w:r>
      <w:r>
        <w:rPr>
          <w:rFonts w:ascii="Calibri" w:hAnsi="Calibri" w:eastAsia="Calibri" w:cs="Calibri"/>
          <w:sz w:val="22"/>
        </w:rPr>
        <mc:AlternateContent>
          <mc:Choice Requires="wpg">
            <w:drawing>
              <wp:inline distT="0" distB="0" distL="0" distR="0">
                <wp:extent cx="56515" cy="2540"/>
                <wp:effectExtent l="0" t="0" r="0" b="0"/>
                <wp:docPr id="67210" name="Group 67210"/>
                <wp:cNvGraphicFramePr/>
                <a:graphic xmlns:a="http://schemas.openxmlformats.org/drawingml/2006/main">
                  <a:graphicData uri="http://schemas.microsoft.com/office/word/2010/wordprocessingGroup">
                    <wpg:wgp>
                      <wpg:cNvGrpSpPr/>
                      <wpg:grpSpPr>
                        <a:xfrm>
                          <a:off x="0" y="0"/>
                          <a:ext cx="56693" cy="3162"/>
                          <a:chOff x="0" y="0"/>
                          <a:chExt cx="56693" cy="3162"/>
                        </a:xfrm>
                      </wpg:grpSpPr>
                      <wps:wsp>
                        <wps:cNvPr id="17636" name="Shape 17636"/>
                        <wps:cNvSpPr/>
                        <wps:spPr>
                          <a:xfrm>
                            <a:off x="0" y="0"/>
                            <a:ext cx="56693" cy="0"/>
                          </a:xfrm>
                          <a:custGeom>
                            <a:avLst/>
                            <a:gdLst/>
                            <a:ahLst/>
                            <a:cxnLst/>
                            <a:rect l="0" t="0" r="0" b="0"/>
                            <a:pathLst>
                              <a:path w="56693">
                                <a:moveTo>
                                  <a:pt x="0" y="0"/>
                                </a:moveTo>
                                <a:lnTo>
                                  <a:pt x="56693" y="0"/>
                                </a:lnTo>
                              </a:path>
                            </a:pathLst>
                          </a:custGeom>
                          <a:ln w="3162"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67210" o:spid="_x0000_s1026" o:spt="203" style="height:0.2pt;width:4.45pt;" coordsize="56693,3162" o:gfxdata="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6c+cbTAAAAAAEAAA8AAAAA&#10;AAAAAQAgAAAAIgAAAGRycy9kb3ducmV2LnhtbFBLAQIUABQAAAAIAIdO4kAqdlI/UgIAAJEFAAAO&#10;AAAAAAAAAAEAIAAAACIBAABkcnMvZTJvRG9jLnhtbFBLBQYAAAAABgAGAFkBAADmBQAAAAA=&#10;">
                <o:lock v:ext="edit" aspectratio="f"/>
                <v:shape id="Shape 17636" o:spid="_x0000_s1026" o:spt="100" style="position:absolute;left:0;top:0;height:0;width:56693;" filled="f" stroked="t" coordsize="56693,1" o:gfxdata="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7o2q&#10;wAAAAN4AAAAPAAAAAAAAAAEAIAAAACIAAABkcnMvZG93bnJldi54bWxQSwECFAAUAAAACACHTuJA&#10;My8FnjsAAAA5AAAAEAAAAAAAAAABACAAAAAPAQAAZHJzL3NoYXBleG1sLnhtbFBLBQYAAAAABgAG&#10;AFsBAAC5AwAAAAA=&#10;" path="m0,0l56693,0e">
                  <v:fill on="f" focussize="0,0"/>
                  <v:stroke weight="0.248976377952756pt" color="#181717" miterlimit="1" joinstyle="miter"/>
                  <v:imagedata o:title=""/>
                  <o:lock v:ext="edit" aspectratio="f"/>
                </v:shape>
                <w10:wrap type="none"/>
                <w10:anchorlock/>
              </v:group>
            </w:pict>
          </mc:Fallback>
        </mc:AlternateContent>
      </w:r>
      <w:r>
        <w:t>边缘”的结构性对立。</w:t>
      </w:r>
    </w:p>
    <w:p w14:paraId="451E671F">
      <w:pPr>
        <w:keepNext w:val="0"/>
        <w:keepLines w:val="0"/>
        <w:pageBreakBefore w:val="0"/>
        <w:kinsoku/>
        <w:wordWrap/>
        <w:overflowPunct/>
        <w:topLinePunct w:val="0"/>
        <w:autoSpaceDE/>
        <w:autoSpaceDN/>
        <w:bidi w:val="0"/>
        <w:spacing w:line="312" w:lineRule="auto"/>
        <w:ind w:left="52" w:firstLine="420" w:firstLineChars="200"/>
      </w:pPr>
      <w:r>
        <w:t>对此,本文尝试通过厘清数据资本的双重属性、引入“数字剥削率”等概念,为劳动价值论与剩余价值理论在当代语境下的发展提供一种可能的思路:借助对数字资本循环的指数增长特性及其历史局限的剖析,拓展资本积累理论的解释维度;在批判实践层面,初步探索融合生产变革、分配重构与全球治理革新的综合性解放方向,以期为超越数字异化提供可能性的思考路径。</w:t>
      </w:r>
    </w:p>
    <w:p w14:paraId="15CD02AD">
      <w:pPr>
        <w:keepNext w:val="0"/>
        <w:keepLines w:val="0"/>
        <w:pageBreakBefore w:val="0"/>
        <w:kinsoku/>
        <w:wordWrap/>
        <w:overflowPunct/>
        <w:topLinePunct w:val="0"/>
        <w:autoSpaceDE/>
        <w:autoSpaceDN/>
        <w:bidi w:val="0"/>
        <w:spacing w:line="312" w:lineRule="auto"/>
        <w:ind w:left="52" w:firstLine="420" w:firstLineChars="200"/>
      </w:pPr>
      <w:r>
        <w:t>根据以上讨论,数字资本主义的到来不仅没有削弱马克思主义的理论生命力,反而再次验证了马克思主义的真理性。在数字时代,人的解放要成为可能,就需要在马克思主义指引下, 改造生产关系、重塑分配秩序、重构国际秩序,只有逐步消解数字资本对劳动人民生产生活的深层支配,迈向每个人自由全面发展的历史未来最终才会成为可能。</w:t>
      </w:r>
    </w:p>
    <w:p w14:paraId="4FF2963B">
      <w:pPr>
        <w:spacing w:after="370" w:line="259" w:lineRule="auto"/>
        <w:ind w:left="0" w:right="50" w:firstLine="0"/>
        <w:jc w:val="both"/>
        <w:rPr>
          <w:sz w:val="24"/>
        </w:rPr>
      </w:pPr>
    </w:p>
    <w:p w14:paraId="21780A29">
      <w:pPr>
        <w:spacing w:after="370" w:line="259" w:lineRule="auto"/>
        <w:ind w:left="0" w:right="50" w:firstLine="0"/>
        <w:jc w:val="center"/>
        <w:rPr>
          <w:sz w:val="24"/>
        </w:rPr>
      </w:pPr>
      <w:r>
        <w:rPr>
          <w:sz w:val="24"/>
        </w:rPr>
        <w:t>参考文献</w:t>
      </w:r>
    </w:p>
    <w:p w14:paraId="5213564C">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rPr>
          <w:sz w:val="18"/>
        </w:rPr>
      </w:pPr>
      <w:r>
        <w:rPr>
          <w:sz w:val="18"/>
        </w:rPr>
        <w:t>程恩富、余晓爽:《数字经济时代的数据垄断与掠夺路径分析》,《理论月刊》2023年第9期。</w:t>
      </w:r>
    </w:p>
    <w:p w14:paraId="235CF850">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rPr>
          <w:sz w:val="18"/>
        </w:rPr>
      </w:pPr>
      <w:r>
        <w:rPr>
          <w:sz w:val="18"/>
        </w:rPr>
        <w:t>程恩富、刘美平:《国内外新形势下大力发展新质生产力的五种路径》,《海派经济学》2024年第1期</w:t>
      </w:r>
      <w:r>
        <w:rPr>
          <w:rFonts w:hint="eastAsia"/>
          <w:sz w:val="18"/>
          <w:lang w:eastAsia="zh-CN"/>
        </w:rPr>
        <w:t>。</w:t>
      </w:r>
    </w:p>
    <w:p w14:paraId="1F35DA92">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rPr>
          <w:sz w:val="18"/>
        </w:rPr>
      </w:pPr>
      <w:r>
        <w:rPr>
          <w:sz w:val="18"/>
        </w:rPr>
        <w:t>丁晓钦、杨明萱:《数字政府助推数字经济高质量发展:机理与路径》,《上海经济研究》2024年第8期</w:t>
      </w:r>
      <w:r>
        <w:rPr>
          <w:rFonts w:hint="eastAsia"/>
          <w:sz w:val="18"/>
          <w:lang w:eastAsia="zh-CN"/>
        </w:rPr>
        <w:t>。</w:t>
      </w:r>
    </w:p>
    <w:p w14:paraId="328E8BE8">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rPr>
          <w:sz w:val="18"/>
        </w:rPr>
      </w:pPr>
      <w:r>
        <w:rPr>
          <w:sz w:val="18"/>
        </w:rPr>
        <w:t>戴媛媛、张虹:《数字经济时代“自我剥削”现象的政治经济学批判》,《海派经济学》2023年第2期。</w:t>
      </w:r>
    </w:p>
    <w:p w14:paraId="28FA6229">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pPr>
      <w:r>
        <w:rPr>
          <w:sz w:val="18"/>
        </w:rPr>
        <w:t>何燕、李锐:《政治经济学视域下数字商品生产总过程问题分析》,《政治经济学研究》2024年第1期</w:t>
      </w:r>
      <w:r>
        <w:rPr>
          <w:rFonts w:hint="eastAsia"/>
          <w:sz w:val="18"/>
          <w:lang w:eastAsia="zh-CN"/>
        </w:rPr>
        <w:t>。</w:t>
      </w:r>
    </w:p>
    <w:p w14:paraId="1399582C">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pPr>
      <w:r>
        <w:rPr>
          <w:sz w:val="18"/>
        </w:rPr>
        <w:t>刘妍:《美国数据殖民主义的多重逻辑批判及应对》,《马克思主义研究》2025年第4期。</w:t>
      </w:r>
    </w:p>
    <w:p w14:paraId="4F99B8CA">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0"/>
        <w:jc w:val="left"/>
        <w:textAlignment w:val="auto"/>
      </w:pPr>
      <w:r>
        <w:rPr>
          <w:sz w:val="18"/>
        </w:rPr>
        <w:t>王水兴、邱梦雯:《数据资本的生成逻辑及其资本一般性和特殊性———基于马克思主义政治经济学的阐释》,《当代经济研究》2025年第6期。</w:t>
      </w:r>
    </w:p>
    <w:p w14:paraId="4899E90D">
      <w:pPr>
        <w:bidi w:val="0"/>
        <w:rPr>
          <w:rFonts w:hint="eastAsia"/>
          <w:lang w:val="en-US" w:eastAsia="zh-CN"/>
        </w:rPr>
      </w:pPr>
    </w:p>
    <w:p w14:paraId="30BA0DDB">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649959BB">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《政治经济学研究》2026年第1期</w:t>
      </w:r>
      <w:r>
        <w:rPr>
          <w:rFonts w:hint="eastAsia" w:ascii="Times New Roman" w:hAnsi="Times New Roman"/>
          <w:szCs w:val="21"/>
          <w:lang w:val="en-US" w:eastAsia="zh-CN"/>
        </w:rPr>
        <w:t>，第二作者为张云英）</w:t>
      </w:r>
    </w:p>
    <w:p w14:paraId="2D5F2D40">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Times New Roman" w:hAnsi="Times New Roman" w:eastAsia="宋体"/>
          <w:b/>
          <w:bCs/>
          <w:sz w:val="28"/>
          <w:szCs w:val="28"/>
          <w:lang w:val="en-US" w:eastAsia="zh-CN"/>
        </w:rPr>
      </w:pPr>
      <w:bookmarkStart w:id="998" w:name="_Toc414251711"/>
      <w:bookmarkStart w:id="999" w:name="_Toc1283004261"/>
      <w:bookmarkStart w:id="1000" w:name="_Toc1255054647"/>
      <w:bookmarkStart w:id="1001" w:name="_Toc1001102080"/>
      <w:bookmarkStart w:id="1002" w:name="_Toc26824"/>
      <w:bookmarkStart w:id="1003" w:name="_Toc822310331"/>
      <w:r>
        <w:rPr>
          <w:rFonts w:hint="eastAsia" w:ascii="Times New Roman" w:hAnsi="Times New Roman"/>
          <w:b/>
          <w:bCs/>
          <w:sz w:val="28"/>
          <w:szCs w:val="28"/>
          <w:lang w:val="en-US" w:eastAsia="zh-CN"/>
        </w:rPr>
        <w:t>9</w:t>
      </w:r>
      <w:r>
        <w:rPr>
          <w:rFonts w:hint="eastAsia" w:ascii="Times New Roman" w:hAnsi="Times New Roman" w:eastAsia="宋体"/>
          <w:b/>
          <w:bCs/>
          <w:sz w:val="28"/>
          <w:szCs w:val="28"/>
          <w:lang w:val="en-US" w:eastAsia="zh-CN"/>
        </w:rPr>
        <w:t>新型农村集体经济促进城乡融合发展的理论逻辑与实践路径</w:t>
      </w:r>
      <w:bookmarkEnd w:id="998"/>
      <w:bookmarkEnd w:id="999"/>
      <w:bookmarkEnd w:id="1000"/>
      <w:bookmarkEnd w:id="1001"/>
      <w:bookmarkEnd w:id="1002"/>
      <w:bookmarkEnd w:id="1003"/>
    </w:p>
    <w:p w14:paraId="13DBABF3">
      <w:pPr>
        <w:jc w:val="center"/>
        <w:rPr>
          <w:rFonts w:hint="default"/>
          <w:lang w:val="en-US" w:eastAsia="zh-CN"/>
        </w:rPr>
      </w:pPr>
    </w:p>
    <w:p w14:paraId="69099395">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ascii="黑体" w:hAnsi="黑体" w:eastAsia="黑体" w:cs="黑体"/>
          <w:b/>
          <w:bCs/>
          <w:lang w:val="en-US" w:eastAsia="zh-CN"/>
        </w:rPr>
        <w:t>摘 要</w:t>
      </w:r>
      <w:r>
        <w:rPr>
          <w:rFonts w:hint="eastAsia"/>
          <w:lang w:val="en-US" w:eastAsia="zh-CN"/>
        </w:rPr>
        <w:t>：新时代新征程，推动城乡融合发展是中国式现代化的必然要求。发展新型农村集体经济作为新时代农业农村改革的关键举措，既是贯彻乡村全面振兴战略的重要途径，也是实现城乡融合发展的重要载体。从理论逻辑看，新型农村集体经济可以通过促进资源统筹和要素流动、产业融合与县域发展、空间协同与治理优化、利益共享与共同富裕为城乡融合发展提供支撑。然而，现实中新型农村集体经济促进城乡融合仍然面临政策支持障碍、生产要素短缺、产业融合困境、治理体系短板和转型动能较弱等现实挑战。应通过强化政策赋能、整合要素资源、深化产业联动、完善治理体系、注入转型动能等方式进一步助推城乡融合发展。</w:t>
      </w:r>
    </w:p>
    <w:p w14:paraId="1075C739">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ascii="黑体" w:hAnsi="黑体" w:eastAsia="黑体" w:cs="黑体"/>
          <w:b/>
          <w:bCs/>
          <w:lang w:val="en-US" w:eastAsia="zh-CN"/>
        </w:rPr>
        <w:t>关键词</w:t>
      </w:r>
      <w:r>
        <w:rPr>
          <w:rFonts w:hint="eastAsia"/>
          <w:lang w:val="en-US" w:eastAsia="zh-CN"/>
        </w:rPr>
        <w:t>：新型农村集体经济；城乡融合；乡村全面振兴；中国式现代化</w:t>
      </w:r>
    </w:p>
    <w:p w14:paraId="673A8551">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6DB3F618">
      <w:pPr>
        <w:keepNext w:val="0"/>
        <w:keepLines w:val="0"/>
        <w:pageBreakBefore w:val="0"/>
        <w:widowControl w:val="0"/>
        <w:kinsoku/>
        <w:wordWrap/>
        <w:overflowPunct/>
        <w:topLinePunct w:val="0"/>
        <w:autoSpaceDE/>
        <w:autoSpaceDN/>
        <w:bidi w:val="0"/>
        <w:adjustRightInd/>
        <w:snapToGrid/>
        <w:spacing w:line="360" w:lineRule="auto"/>
        <w:ind w:firstLine="2643" w:firstLineChars="1100"/>
        <w:jc w:val="left"/>
        <w:textAlignment w:val="auto"/>
        <w:outlineLvl w:val="9"/>
        <w:rPr>
          <w:rFonts w:hint="eastAsia"/>
          <w:b/>
          <w:bCs/>
          <w:sz w:val="24"/>
          <w:szCs w:val="32"/>
          <w:lang w:val="en-US" w:eastAsia="zh-CN"/>
        </w:rPr>
      </w:pPr>
      <w:r>
        <w:rPr>
          <w:rFonts w:hint="eastAsia"/>
          <w:b/>
          <w:bCs/>
          <w:sz w:val="24"/>
          <w:szCs w:val="32"/>
          <w:lang w:val="en-US" w:eastAsia="zh-CN"/>
        </w:rPr>
        <w:t>一、引言</w:t>
      </w:r>
    </w:p>
    <w:p w14:paraId="6BE8CD6E">
      <w:pPr>
        <w:keepNext w:val="0"/>
        <w:keepLines w:val="0"/>
        <w:pageBreakBefore w:val="0"/>
        <w:widowControl w:val="0"/>
        <w:kinsoku/>
        <w:wordWrap/>
        <w:overflowPunct/>
        <w:topLinePunct w:val="0"/>
        <w:autoSpaceDE/>
        <w:autoSpaceDN/>
        <w:bidi w:val="0"/>
        <w:adjustRightInd w:val="0"/>
        <w:snapToGrid/>
        <w:spacing w:line="360" w:lineRule="auto"/>
        <w:ind w:firstLine="420" w:firstLineChars="200"/>
        <w:textAlignment w:val="auto"/>
        <w:rPr>
          <w:rFonts w:hint="eastAsia" w:asciiTheme="minorEastAsia" w:hAnsiTheme="minorEastAsia" w:cstheme="minorEastAsia"/>
          <w:kern w:val="2"/>
          <w:sz w:val="21"/>
          <w:szCs w:val="21"/>
          <w:lang w:val="en-US" w:eastAsia="zh-CN" w:bidi="ar-SA"/>
        </w:rPr>
        <w:sectPr>
          <w:headerReference r:id="rId31" w:type="default"/>
          <w:footerReference r:id="rId32" w:type="default"/>
          <w:footnotePr>
            <w:numFmt w:val="decimalEnclosedCircleChinese"/>
            <w:numRestart w:val="eachPage"/>
          </w:footnotePr>
          <w:endnotePr>
            <w:numFmt w:val="decimal"/>
          </w:endnotePr>
          <w:type w:val="continuous"/>
          <w:pgSz w:w="11906" w:h="16838"/>
          <w:pgMar w:top="1440" w:right="1800" w:bottom="1440" w:left="1800" w:header="851" w:footer="992" w:gutter="0"/>
          <w:pgNumType w:fmt="decimal"/>
          <w:cols w:space="425" w:num="1"/>
          <w:docGrid w:type="lines" w:linePitch="312" w:charSpace="0"/>
        </w:sectPr>
      </w:pPr>
      <w:r>
        <w:rPr>
          <w:rFonts w:hint="eastAsia" w:asciiTheme="minorEastAsia" w:hAnsiTheme="minorEastAsia" w:eastAsiaTheme="minorEastAsia" w:cstheme="minorEastAsia"/>
          <w:kern w:val="2"/>
          <w:sz w:val="21"/>
          <w:szCs w:val="21"/>
          <w:lang w:val="en-US" w:eastAsia="zh-CN" w:bidi="ar-SA"/>
        </w:rPr>
        <w:t xml:space="preserve"> </w:t>
      </w:r>
      <w:r>
        <w:rPr>
          <w:rFonts w:hint="eastAsia" w:asciiTheme="minorEastAsia" w:hAnsiTheme="minorEastAsia" w:cstheme="minorEastAsia"/>
          <w:kern w:val="2"/>
          <w:sz w:val="21"/>
          <w:szCs w:val="21"/>
          <w:lang w:val="en-US" w:eastAsia="zh-CN" w:bidi="ar-SA"/>
        </w:rPr>
        <w:t>2025年12月30日，习近平总书记在中央农村工作会议上指出，2026年是“十五五”开局之年，做好“三农”工作至关重要。要坚持以新时代中国特色社会主义思想为指导，深入贯彻党的二十大和二十届历次全会精神，锚定农业农村现代化，扎实推进乡村全面振兴，推动城乡融合发展。</w:t>
      </w:r>
    </w:p>
    <w:p w14:paraId="1051A8B9">
      <w:pPr>
        <w:keepNext w:val="0"/>
        <w:keepLines w:val="0"/>
        <w:pageBreakBefore w:val="0"/>
        <w:widowControl w:val="0"/>
        <w:kinsoku/>
        <w:wordWrap/>
        <w:overflowPunct/>
        <w:topLinePunct w:val="0"/>
        <w:autoSpaceDE/>
        <w:autoSpaceDN/>
        <w:bidi w:val="0"/>
        <w:adjustRightInd w:val="0"/>
        <w:snapToGrid/>
        <w:spacing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Style w:val="20"/>
          <w:rFonts w:hint="eastAsia" w:asciiTheme="minorEastAsia" w:hAnsiTheme="minorEastAsia" w:cstheme="minorEastAsia"/>
          <w:kern w:val="2"/>
          <w:sz w:val="21"/>
          <w:szCs w:val="21"/>
          <w:lang w:val="en-US" w:eastAsia="zh-CN" w:bidi="ar-SA"/>
        </w:rPr>
        <w:footnoteReference w:id="1428"/>
      </w:r>
      <w:r>
        <w:rPr>
          <w:rFonts w:hint="eastAsia" w:asciiTheme="minorEastAsia" w:hAnsiTheme="minorEastAsia" w:eastAsiaTheme="minorEastAsia" w:cstheme="minorEastAsia"/>
          <w:sz w:val="21"/>
          <w:szCs w:val="21"/>
        </w:rPr>
        <w:t>党的二十届三中全会</w:t>
      </w:r>
      <w:r>
        <w:rPr>
          <w:rFonts w:hint="eastAsia" w:asciiTheme="minorEastAsia" w:hAnsiTheme="minorEastAsia" w:eastAsiaTheme="minorEastAsia" w:cstheme="minorEastAsia"/>
          <w:sz w:val="21"/>
          <w:szCs w:val="21"/>
          <w:lang w:val="en-US" w:eastAsia="zh-CN"/>
        </w:rPr>
        <w:t>明确</w:t>
      </w:r>
      <w:r>
        <w:rPr>
          <w:rFonts w:hint="eastAsia" w:asciiTheme="minorEastAsia" w:hAnsiTheme="minorEastAsia" w:eastAsiaTheme="minorEastAsia" w:cstheme="minorEastAsia"/>
          <w:kern w:val="2"/>
          <w:sz w:val="21"/>
          <w:szCs w:val="21"/>
          <w:lang w:val="en-US" w:eastAsia="zh-CN" w:bidi="ar-SA"/>
        </w:rPr>
        <w:t>指出：“城乡融合发展是中国式现代化的必然要求”</w:t>
      </w:r>
      <w:r>
        <w:rPr>
          <w:rStyle w:val="20"/>
          <w:rFonts w:hint="eastAsia" w:asciiTheme="minorEastAsia" w:hAnsiTheme="minorEastAsia" w:eastAsiaTheme="minorEastAsia" w:cstheme="minorEastAsia"/>
          <w:kern w:val="2"/>
          <w:sz w:val="21"/>
          <w:szCs w:val="21"/>
          <w:lang w:val="en-US" w:eastAsia="zh-CN" w:bidi="ar-SA"/>
        </w:rPr>
        <w:footnoteReference w:id="1429"/>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党的二十届四中全会在《中共中央关于制定国民经济和社会发展第十五个五年规划的建议》中进一步提出，坚持把解决好‘三农’问题作为全党工作重中之重，促进城乡融合发展。</w:t>
      </w:r>
      <w:r>
        <w:rPr>
          <w:rStyle w:val="20"/>
          <w:rFonts w:hint="eastAsia" w:asciiTheme="minorEastAsia" w:hAnsiTheme="minorEastAsia" w:eastAsiaTheme="minorEastAsia" w:cstheme="minorEastAsia"/>
          <w:sz w:val="21"/>
          <w:szCs w:val="21"/>
          <w:lang w:val="en-US" w:eastAsia="zh-CN"/>
        </w:rPr>
        <w:footnoteReference w:id="1430"/>
      </w:r>
      <w:r>
        <w:rPr>
          <w:rFonts w:hint="eastAsia" w:asciiTheme="minorEastAsia" w:hAnsiTheme="minorEastAsia" w:eastAsiaTheme="minorEastAsia" w:cstheme="minorEastAsia"/>
          <w:sz w:val="21"/>
          <w:szCs w:val="21"/>
          <w:lang w:val="en-US" w:eastAsia="zh-CN"/>
        </w:rPr>
        <w:t>新时代新征程，党中央、国务院之所以高度重视城乡融合发展，是因为城乡融合发展事关国家的发展全局和长远大局，不仅是全面推进乡村振兴的关键举措，也是实现</w:t>
      </w:r>
      <w:r>
        <w:rPr>
          <w:rFonts w:hint="eastAsia" w:asciiTheme="minorEastAsia" w:hAnsiTheme="minorEastAsia" w:cstheme="minorEastAsia"/>
          <w:sz w:val="21"/>
          <w:szCs w:val="21"/>
          <w:lang w:val="en-US" w:eastAsia="zh-CN"/>
        </w:rPr>
        <w:t>经济</w:t>
      </w:r>
      <w:r>
        <w:rPr>
          <w:rFonts w:hint="eastAsia" w:asciiTheme="minorEastAsia" w:hAnsiTheme="minorEastAsia" w:eastAsiaTheme="minorEastAsia" w:cstheme="minorEastAsia"/>
          <w:sz w:val="21"/>
          <w:szCs w:val="21"/>
          <w:lang w:val="en-US" w:eastAsia="zh-CN"/>
        </w:rPr>
        <w:t>高质量发展的必然要求。</w:t>
      </w:r>
      <w:r>
        <w:rPr>
          <w:rFonts w:hint="eastAsia" w:asciiTheme="minorEastAsia" w:hAnsiTheme="minorEastAsia" w:cstheme="minorEastAsia"/>
          <w:sz w:val="21"/>
          <w:szCs w:val="21"/>
          <w:lang w:val="en-US" w:eastAsia="zh-CN"/>
        </w:rPr>
        <w:t>同时，</w:t>
      </w:r>
      <w:r>
        <w:rPr>
          <w:rFonts w:hint="eastAsia" w:asciiTheme="minorEastAsia" w:hAnsiTheme="minorEastAsia" w:eastAsiaTheme="minorEastAsia" w:cstheme="minorEastAsia"/>
          <w:sz w:val="21"/>
          <w:szCs w:val="21"/>
          <w:lang w:val="en-US" w:eastAsia="zh-CN"/>
        </w:rPr>
        <w:t>发展新型农村集体经济作为新时代农业农村改革的</w:t>
      </w:r>
      <w:r>
        <w:rPr>
          <w:rFonts w:hint="eastAsia" w:asciiTheme="minorEastAsia" w:hAnsiTheme="minorEastAsia" w:cstheme="minorEastAsia"/>
          <w:sz w:val="21"/>
          <w:szCs w:val="21"/>
          <w:lang w:val="en-US" w:eastAsia="zh-CN"/>
        </w:rPr>
        <w:t>核心抓手</w:t>
      </w:r>
      <w:r>
        <w:rPr>
          <w:rFonts w:hint="eastAsia" w:asciiTheme="minorEastAsia" w:hAnsiTheme="minorEastAsia" w:eastAsiaTheme="minorEastAsia" w:cstheme="minorEastAsia"/>
          <w:sz w:val="21"/>
          <w:szCs w:val="21"/>
          <w:lang w:val="en-US" w:eastAsia="zh-CN"/>
        </w:rPr>
        <w:t>，也是实现城乡融合发展的</w:t>
      </w:r>
      <w:r>
        <w:rPr>
          <w:rFonts w:hint="eastAsia" w:asciiTheme="minorEastAsia" w:hAnsiTheme="minorEastAsia" w:cstheme="minorEastAsia"/>
          <w:sz w:val="21"/>
          <w:szCs w:val="21"/>
          <w:lang w:val="en-US" w:eastAsia="zh-CN"/>
        </w:rPr>
        <w:t>重要</w:t>
      </w:r>
      <w:r>
        <w:rPr>
          <w:rFonts w:hint="eastAsia" w:asciiTheme="minorEastAsia" w:hAnsiTheme="minorEastAsia" w:eastAsiaTheme="minorEastAsia" w:cstheme="minorEastAsia"/>
          <w:sz w:val="21"/>
          <w:szCs w:val="21"/>
          <w:lang w:val="en-US" w:eastAsia="zh-CN"/>
        </w:rPr>
        <w:t>载体。党的十八大以来，以习近平同志为核心的党中央高度重视新型农村集体经济的发展，明确指出：“要把好乡村振兴战略的政治方向，坚持农村土地集体所有制性质，发展新型集体经济，走共同富裕道路。”</w:t>
      </w:r>
      <w:r>
        <w:rPr>
          <w:rStyle w:val="20"/>
          <w:rFonts w:hint="eastAsia" w:asciiTheme="minorEastAsia" w:hAnsiTheme="minorEastAsia" w:eastAsiaTheme="minorEastAsia" w:cstheme="minorEastAsia"/>
          <w:sz w:val="21"/>
          <w:szCs w:val="21"/>
          <w:lang w:val="en-US" w:eastAsia="zh-CN"/>
        </w:rPr>
        <w:footnoteReference w:id="1431"/>
      </w:r>
      <w:r>
        <w:rPr>
          <w:rFonts w:hint="eastAsia" w:asciiTheme="minorEastAsia" w:hAnsiTheme="minorEastAsia" w:cstheme="minorEastAsia"/>
          <w:sz w:val="21"/>
          <w:szCs w:val="21"/>
          <w:vertAlign w:val="superscript"/>
          <w:lang w:val="en-US" w:eastAsia="zh-CN"/>
        </w:rPr>
        <w:t>280</w:t>
      </w:r>
      <w:r>
        <w:rPr>
          <w:rFonts w:hint="eastAsia" w:asciiTheme="minorEastAsia" w:hAnsiTheme="minorEastAsia" w:eastAsiaTheme="minorEastAsia" w:cstheme="minorEastAsia"/>
          <w:sz w:val="21"/>
          <w:szCs w:val="21"/>
          <w:lang w:val="en-US" w:eastAsia="zh-CN"/>
        </w:rPr>
        <w:t>二十届四中全会再次强调：“支持发展新型农村集体经济”</w:t>
      </w:r>
      <w:r>
        <w:rPr>
          <w:rStyle w:val="20"/>
          <w:rFonts w:hint="eastAsia" w:asciiTheme="minorEastAsia" w:hAnsiTheme="minorEastAsia" w:eastAsiaTheme="minorEastAsia" w:cstheme="minorEastAsia"/>
          <w:sz w:val="21"/>
          <w:szCs w:val="21"/>
          <w:lang w:val="en-US" w:eastAsia="zh-CN"/>
        </w:rPr>
        <w:footnoteReference w:id="1432"/>
      </w:r>
      <w:r>
        <w:rPr>
          <w:rFonts w:hint="eastAsia" w:asciiTheme="minorEastAsia" w:hAnsiTheme="minorEastAsia" w:eastAsiaTheme="minorEastAsia" w:cstheme="minorEastAsia"/>
          <w:sz w:val="21"/>
          <w:szCs w:val="21"/>
          <w:lang w:val="en-US" w:eastAsia="zh-CN"/>
        </w:rPr>
        <w:t>。根据相关数据显示，2012年农村集体经济总资产为2.18万亿元，总收入为3576亿元，</w:t>
      </w:r>
      <w:r>
        <w:rPr>
          <w:rStyle w:val="20"/>
          <w:rFonts w:hint="eastAsia" w:asciiTheme="minorEastAsia" w:hAnsiTheme="minorEastAsia" w:eastAsiaTheme="minorEastAsia" w:cstheme="minorEastAsia"/>
          <w:sz w:val="21"/>
          <w:szCs w:val="21"/>
          <w:lang w:val="en-US" w:eastAsia="zh-CN"/>
        </w:rPr>
        <w:footnoteReference w:id="1433"/>
      </w:r>
      <w:r>
        <w:rPr>
          <w:rFonts w:hint="eastAsia" w:asciiTheme="minorEastAsia" w:hAnsiTheme="minorEastAsia" w:eastAsiaTheme="minorEastAsia" w:cstheme="minorEastAsia"/>
          <w:sz w:val="21"/>
          <w:szCs w:val="21"/>
          <w:lang w:val="en-US" w:eastAsia="zh-CN"/>
        </w:rPr>
        <w:t>经过</w:t>
      </w:r>
      <w:r>
        <w:rPr>
          <w:rFonts w:hint="eastAsia" w:asciiTheme="minorEastAsia" w:hAnsiTheme="minorEastAsia" w:cstheme="minorEastAsia"/>
          <w:sz w:val="21"/>
          <w:szCs w:val="21"/>
          <w:lang w:val="en-US" w:eastAsia="zh-CN"/>
        </w:rPr>
        <w:t>十多</w:t>
      </w:r>
      <w:r>
        <w:rPr>
          <w:rFonts w:hint="eastAsia" w:asciiTheme="minorEastAsia" w:hAnsiTheme="minorEastAsia" w:eastAsiaTheme="minorEastAsia" w:cstheme="minorEastAsia"/>
          <w:sz w:val="21"/>
          <w:szCs w:val="21"/>
          <w:lang w:val="en-US" w:eastAsia="zh-CN"/>
        </w:rPr>
        <w:t>年的发展，截至2023年底，农村集体经济资产达到9.61万亿元，总收入增长到7157亿元。</w:t>
      </w:r>
      <w:r>
        <w:rPr>
          <w:rStyle w:val="20"/>
          <w:rFonts w:hint="eastAsia" w:asciiTheme="minorEastAsia" w:hAnsiTheme="minorEastAsia" w:eastAsiaTheme="minorEastAsia" w:cstheme="minorEastAsia"/>
          <w:sz w:val="21"/>
          <w:szCs w:val="21"/>
          <w:lang w:val="en-US" w:eastAsia="zh-CN"/>
        </w:rPr>
        <w:footnoteReference w:id="1434"/>
      </w:r>
      <w:r>
        <w:rPr>
          <w:rFonts w:hint="eastAsia" w:asciiTheme="minorEastAsia" w:hAnsiTheme="minorEastAsia" w:eastAsiaTheme="minorEastAsia" w:cstheme="minorEastAsia"/>
          <w:sz w:val="21"/>
          <w:szCs w:val="21"/>
          <w:lang w:val="en-US" w:eastAsia="zh-CN"/>
        </w:rPr>
        <w:t>可见，</w:t>
      </w:r>
      <w:r>
        <w:rPr>
          <w:rFonts w:hint="eastAsia" w:asciiTheme="minorEastAsia" w:hAnsiTheme="minorEastAsia" w:cstheme="minorEastAsia"/>
          <w:sz w:val="21"/>
          <w:szCs w:val="21"/>
          <w:lang w:val="en-US" w:eastAsia="zh-CN"/>
        </w:rPr>
        <w:t>新时代新征程，</w:t>
      </w:r>
      <w:r>
        <w:rPr>
          <w:rFonts w:hint="eastAsia" w:asciiTheme="minorEastAsia" w:hAnsiTheme="minorEastAsia" w:eastAsiaTheme="minorEastAsia" w:cstheme="minorEastAsia"/>
          <w:sz w:val="21"/>
          <w:szCs w:val="21"/>
          <w:lang w:val="en-US" w:eastAsia="zh-CN"/>
        </w:rPr>
        <w:t>新型农村集体经济的实力显著增强，为促进城乡融合发展打下了坚实的基础。</w:t>
      </w:r>
    </w:p>
    <w:p w14:paraId="490FBD21">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lang w:val="en-US" w:eastAsia="zh-CN"/>
        </w:rPr>
      </w:pPr>
    </w:p>
    <w:p w14:paraId="10301709">
      <w:pPr>
        <w:keepNext w:val="0"/>
        <w:keepLines w:val="0"/>
        <w:pageBreakBefore w:val="0"/>
        <w:widowControl w:val="0"/>
        <w:kinsoku/>
        <w:wordWrap/>
        <w:overflowPunct/>
        <w:topLinePunct w:val="0"/>
        <w:autoSpaceDE/>
        <w:autoSpaceDN/>
        <w:bidi w:val="0"/>
        <w:adjustRightInd/>
        <w:snapToGrid/>
        <w:spacing w:line="360" w:lineRule="auto"/>
        <w:ind w:firstLine="2643" w:firstLineChars="1100"/>
        <w:jc w:val="left"/>
        <w:textAlignment w:val="auto"/>
        <w:outlineLvl w:val="9"/>
        <w:rPr>
          <w:rFonts w:hint="eastAsia" w:eastAsia="宋体"/>
          <w:b/>
          <w:bCs/>
          <w:sz w:val="24"/>
          <w:szCs w:val="32"/>
          <w:lang w:val="en-US" w:eastAsia="zh-CN"/>
        </w:rPr>
      </w:pPr>
      <w:r>
        <w:rPr>
          <w:rFonts w:hint="eastAsia" w:eastAsia="宋体"/>
          <w:b/>
          <w:bCs/>
          <w:sz w:val="24"/>
          <w:szCs w:val="32"/>
          <w:lang w:val="en-US" w:eastAsia="zh-CN"/>
        </w:rPr>
        <w:t>二、新型农村集体经济促进城乡融合的理论逻辑</w:t>
      </w:r>
    </w:p>
    <w:p w14:paraId="4032F5A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中国式现代化是城乡融合发展的现代化，与资本主义城乡对立的现代化有着本质区别。在全面建设社会主义现代化国家的新征程上，发展新型农村集体经济是破解城乡二元结构、促进城乡融合发展的关键路径。深入探究新型农村集体经济促进城乡融合的内在逻辑，可以为进一步推动城乡融合发展提供有力支撑。</w:t>
      </w:r>
    </w:p>
    <w:p w14:paraId="50703F9C">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（一）资源统筹与要素流动</w:t>
      </w:r>
    </w:p>
    <w:p w14:paraId="632CF6E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资本主义城乡对立表现之一为城乡生产要素流动的扭曲。资本出于逐利本性，驱动生产要素单向度向城市集聚，最终导致“城市已经表明了人口、生产工具、资本、享受和需求的集中这个事实；而在乡村则是完全相反的情况：隔绝和分散”</w:t>
      </w:r>
      <w:r>
        <w:rPr>
          <w:rStyle w:val="20"/>
          <w:rFonts w:hint="eastAsia" w:cstheme="minorBidi"/>
          <w:kern w:val="2"/>
          <w:sz w:val="21"/>
          <w:szCs w:val="24"/>
          <w:lang w:val="en-US" w:eastAsia="zh-CN" w:bidi="ar-SA"/>
        </w:rPr>
        <w:footnoteReference w:id="1435"/>
      </w:r>
      <w:r>
        <w:rPr>
          <w:rFonts w:hint="eastAsia" w:cstheme="minorBidi"/>
          <w:kern w:val="2"/>
          <w:sz w:val="21"/>
          <w:szCs w:val="24"/>
          <w:vertAlign w:val="superscript"/>
          <w:lang w:val="en-US" w:eastAsia="zh-CN" w:bidi="ar-SA"/>
        </w:rPr>
        <w:t>556</w:t>
      </w:r>
      <w:r>
        <w:rPr>
          <w:rFonts w:hint="eastAsia" w:cstheme="minorBidi"/>
          <w:kern w:val="2"/>
          <w:sz w:val="21"/>
          <w:szCs w:val="24"/>
          <w:lang w:val="en-US" w:eastAsia="zh-CN" w:bidi="ar-SA"/>
        </w:rPr>
        <w:t>。马克思、恩格斯曾经尖锐地批判：“资产阶级使农村屈服于城市的统治”</w:t>
      </w:r>
      <w:r>
        <w:rPr>
          <w:rStyle w:val="20"/>
          <w:rFonts w:hint="eastAsia" w:cstheme="minorBidi"/>
          <w:kern w:val="2"/>
          <w:sz w:val="21"/>
          <w:szCs w:val="24"/>
          <w:lang w:val="en-US" w:eastAsia="zh-CN" w:bidi="ar-SA"/>
        </w:rPr>
        <w:footnoteReference w:id="1436"/>
      </w:r>
      <w:r>
        <w:rPr>
          <w:rFonts w:hint="eastAsia" w:cstheme="minorBidi"/>
          <w:kern w:val="2"/>
          <w:sz w:val="21"/>
          <w:szCs w:val="24"/>
          <w:vertAlign w:val="superscript"/>
          <w:lang w:val="en-US" w:eastAsia="zh-CN" w:bidi="ar-SA"/>
        </w:rPr>
        <w:t>32</w:t>
      </w:r>
      <w:r>
        <w:rPr>
          <w:rFonts w:hint="eastAsia" w:cstheme="minorBidi"/>
          <w:kern w:val="2"/>
          <w:sz w:val="21"/>
          <w:szCs w:val="24"/>
          <w:lang w:val="en-US" w:eastAsia="zh-CN" w:bidi="ar-SA"/>
        </w:rPr>
        <w:t>，这种统治不仅表现为政治上的压迫，更体现为经济上要素和资源的掠夺，即农村的劳动力、土地等生产要素被城市资本强制吸纳，而农村自身则陷入 “要素空心化” 的发展困境。中国特色社会主义制度下的城乡融合本质上是社会主义公有制对资本主义私有制下城乡关系异化的历史性超越。习近平总书记强调：“要顺应城乡融合发展大趋势，破除妨碍城乡要素平等交换、双向流动的制度壁垒”</w:t>
      </w:r>
      <w:r>
        <w:rPr>
          <w:rStyle w:val="20"/>
          <w:rFonts w:hint="eastAsia" w:cstheme="minorBidi"/>
          <w:kern w:val="2"/>
          <w:sz w:val="21"/>
          <w:szCs w:val="24"/>
          <w:lang w:val="en-US" w:eastAsia="zh-CN" w:bidi="ar-SA"/>
        </w:rPr>
        <w:footnoteReference w:id="1437"/>
      </w:r>
      <w:r>
        <w:rPr>
          <w:rFonts w:hint="eastAsia" w:cstheme="minorBidi"/>
          <w:kern w:val="2"/>
          <w:sz w:val="21"/>
          <w:szCs w:val="24"/>
          <w:vertAlign w:val="superscript"/>
          <w:lang w:val="en-US" w:eastAsia="zh-CN" w:bidi="ar-SA"/>
        </w:rPr>
        <w:t>66</w:t>
      </w:r>
      <w:r>
        <w:rPr>
          <w:rFonts w:hint="eastAsia" w:cstheme="minorBidi"/>
          <w:kern w:val="2"/>
          <w:sz w:val="21"/>
          <w:szCs w:val="24"/>
          <w:lang w:val="en-US" w:eastAsia="zh-CN" w:bidi="ar-SA"/>
        </w:rPr>
        <w:t>。而适应不断完善的社会主义市场经济体制的新型农村集体经济在此过程中扮演着不可替代的枢纽角色。这是因为新型农村集体经济一方面保持集体所有制根基，延续了传统模式中组织动员、风险共担等制度优势；另一方面通过渐进式改革路径，重构了要素配置方式和治理机制，形成与现代农业生产力水平相适配的经济运行体系。</w:t>
      </w:r>
    </w:p>
    <w:p w14:paraId="4313EE9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新型农村集体经济是推动城乡资源统筹和要素高效流动的重要载体。其一，对内而言，新型农村集体经济组织以集体利益为纽带，通过统筹村内分散的土地、劳动力、闲置资产等资源和培育乡村特色产业，可以显著提升乡村内生发展能力与资源利用效率。正如马克思所指出的“不仅是通过协作提高了个人生产力，而且是创造了一种生产力，这种生产力本身必然是集体力”</w:t>
      </w:r>
      <w:r>
        <w:rPr>
          <w:rStyle w:val="20"/>
          <w:rFonts w:hint="eastAsia" w:cstheme="minorBidi"/>
          <w:kern w:val="2"/>
          <w:sz w:val="21"/>
          <w:szCs w:val="24"/>
          <w:lang w:val="en-US" w:eastAsia="zh-CN" w:bidi="ar-SA"/>
        </w:rPr>
        <w:footnoteReference w:id="1438"/>
      </w:r>
      <w:r>
        <w:rPr>
          <w:rFonts w:hint="eastAsia" w:cstheme="minorBidi"/>
          <w:kern w:val="2"/>
          <w:sz w:val="21"/>
          <w:szCs w:val="24"/>
          <w:vertAlign w:val="superscript"/>
          <w:lang w:val="en-US" w:eastAsia="zh-CN" w:bidi="ar-SA"/>
        </w:rPr>
        <w:t>378</w:t>
      </w:r>
      <w:r>
        <w:rPr>
          <w:rFonts w:hint="eastAsia" w:cstheme="minorBidi"/>
          <w:kern w:val="2"/>
          <w:sz w:val="21"/>
          <w:szCs w:val="24"/>
          <w:lang w:val="en-US" w:eastAsia="zh-CN" w:bidi="ar-SA"/>
        </w:rPr>
        <w:t>。也就是说，通过科学治理与激励机制相结合的新型农村集体组织，其产生的协作效能能够超越个体效能简单相加的总和。其二，对外而言，新型农村集体经济组织以社会主义市场经济为导向，打破了资本对城乡要素流动的垄断性支配，通过承接政府公共项目、让渡部分集体资产权能、精准对接城市市场需求等方式，实现对政府公共资源、城市市场资源和社会公益资源的精准吸纳。这些内外互动机制使农村集体经济组织能够有效整合内部结构与外部环境资源，成为推动城乡要素高效对接与流动的重要桥梁。</w:t>
      </w:r>
      <w:r>
        <w:rPr>
          <w:rStyle w:val="20"/>
          <w:rFonts w:hint="eastAsia" w:cstheme="minorBidi"/>
          <w:kern w:val="2"/>
          <w:sz w:val="21"/>
          <w:szCs w:val="24"/>
          <w:lang w:val="en-US" w:eastAsia="zh-CN" w:bidi="ar-SA"/>
        </w:rPr>
        <w:footnoteReference w:id="1439"/>
      </w:r>
    </w:p>
    <w:p w14:paraId="47BC9478">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（二）产业融合与县域发展</w:t>
      </w:r>
    </w:p>
    <w:p w14:paraId="1D40DE1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资本主义大工业的发展，也造成了城乡产业的尖锐对立。马克思在《资本论》中深刻指出：“在农业领域内，就消灭旧社会的堡垒——‘农民’，并代之以雇佣工人来说，大工业起了最革命的作用”</w:t>
      </w:r>
      <w:r>
        <w:rPr>
          <w:rFonts w:hint="eastAsia" w:cstheme="minorBidi"/>
          <w:kern w:val="2"/>
          <w:sz w:val="21"/>
          <w:szCs w:val="24"/>
          <w:vertAlign w:val="superscript"/>
          <w:lang w:val="en-US" w:eastAsia="zh-CN" w:bidi="ar-SA"/>
        </w:rPr>
        <w:t>[5]578</w:t>
      </w:r>
      <w:r>
        <w:rPr>
          <w:rFonts w:hint="eastAsia" w:cstheme="minorBidi"/>
          <w:kern w:val="2"/>
          <w:sz w:val="21"/>
          <w:szCs w:val="24"/>
          <w:lang w:val="en-US" w:eastAsia="zh-CN" w:bidi="ar-SA"/>
        </w:rPr>
        <w:t>。资本主义生产方式使农业从属于工业，乡村沦为单纯为城市工业提供原材料、劳动力和市场的附属地，进而导致工农业发展的脱节与乡村产业的单一化、边缘化。这种产业对立，使乡村丧失了内生发展能力，其经济命脉完全受制于城市资本和市场波动，进一步固化了城乡间的剥削关系。因此，马克思恩格斯指明城乡融合的方式是“把农业和工业结合起来，促使城乡对立逐步消灭”</w:t>
      </w:r>
      <w:r>
        <w:rPr>
          <w:rFonts w:hint="eastAsia" w:cstheme="minorBidi"/>
          <w:kern w:val="2"/>
          <w:sz w:val="21"/>
          <w:szCs w:val="24"/>
          <w:vertAlign w:val="superscript"/>
          <w:lang w:val="en-US" w:eastAsia="zh-CN" w:bidi="ar-SA"/>
        </w:rPr>
        <w:t>[3]50</w:t>
      </w:r>
      <w:r>
        <w:rPr>
          <w:rFonts w:hint="eastAsia" w:cstheme="minorBidi"/>
          <w:kern w:val="2"/>
          <w:sz w:val="21"/>
          <w:szCs w:val="24"/>
          <w:lang w:val="en-US" w:eastAsia="zh-CN" w:bidi="ar-SA"/>
        </w:rPr>
        <w:t>。新征程推动城乡融合，要将县域作为关键切入点，强调发展县域经济，推动农村一二三产业融合发展。新型农村集体经济能够有效整合农村分散的产业资源，凭借独特的政治优势和组织优势降低产业融合的交易成本，克服小农户难以承接复杂产业形态的局限，使其在城乡产业融合中发挥着独特作用。</w:t>
      </w:r>
    </w:p>
    <w:p w14:paraId="5F054DA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新型农村集体经济可以有效促进城乡产业融合，其具体机制表现为三个方面。其一，纵向延伸与横向拓展的产业链整合机制。从纵向上看，新型农村集体经济可以凭借其产业资源统筹能力，向上游延伸，发展绿色农业、定制农业，建立直供城市社区的农产品供应链；向下游延伸，发展农产品加工、仓储物流、品牌营销，提升附加值。从横向上看，新型农村集体经济可以利用乡村生态、文化资源，发展乡村旅游、休闲康养、文化创意等新业态。其二，“县域-园区-集体”三级联动的发展承载机制。习近平总书记强调“率先在县域内破除城乡二元结构”</w:t>
      </w:r>
      <w:r>
        <w:rPr>
          <w:rFonts w:hint="eastAsia" w:cstheme="minorBidi"/>
          <w:kern w:val="2"/>
          <w:sz w:val="21"/>
          <w:szCs w:val="24"/>
          <w:vertAlign w:val="superscript"/>
          <w:lang w:val="en-US" w:eastAsia="zh-CN" w:bidi="ar-SA"/>
        </w:rPr>
        <w:t>[4]66</w:t>
      </w:r>
      <w:r>
        <w:rPr>
          <w:rFonts w:hint="eastAsia" w:cstheme="minorBidi"/>
          <w:kern w:val="2"/>
          <w:sz w:val="21"/>
          <w:szCs w:val="24"/>
          <w:lang w:val="en-US" w:eastAsia="zh-CN" w:bidi="ar-SA"/>
        </w:rPr>
        <w:t>，其重要抓手就在于发挥新型农村集体经济在县域产业布局中的节点作用。新型农村集体经济可以积极融入县域经济发展规划，通过集体建设用地入股、标准厂房共建、配套设施共享等方式，参与县域产业园区、特色小镇、创新创业平台建设。这既为县域产业升级提供了空间和要素支撑，也使集体经济得以分享县域经济发展的红利，形成“县域经济带动集体经济，集体经济服务县域经济”的良性循环。其三，数字赋能与业态创新的动力转换机制。在数字经济时代，新型农村集体经济可以通过发展数字技术、智慧农业、农村电商、数字文旅等新业态，将小农户纳入数字化产业链，使乡村产业能够直接对接全国乃至全球市场。</w:t>
      </w:r>
    </w:p>
    <w:p w14:paraId="2243E264">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（三）空间协同与治理优化</w:t>
      </w:r>
    </w:p>
    <w:p w14:paraId="6C60F0B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城乡对立不仅表现在经济和产业上的分割，也深刻体现在空间上的隔离与社会治理上的断裂。资本主义城市化进程，本质上是资本空间的生产与再生产的过程，在资本的推动下，城市具有乡村所无法比拟的空间优势，并生产出城市和乡村的空间对立，</w:t>
      </w:r>
      <w:r>
        <w:rPr>
          <w:rStyle w:val="20"/>
          <w:rFonts w:hint="eastAsia" w:cstheme="minorBidi"/>
          <w:kern w:val="2"/>
          <w:sz w:val="21"/>
          <w:szCs w:val="24"/>
          <w:lang w:val="en-US" w:eastAsia="zh-CN" w:bidi="ar-SA"/>
        </w:rPr>
        <w:footnoteReference w:id="1440"/>
      </w:r>
      <w:r>
        <w:rPr>
          <w:rFonts w:hint="eastAsia" w:cstheme="minorBidi"/>
          <w:kern w:val="2"/>
          <w:sz w:val="21"/>
          <w:szCs w:val="24"/>
          <w:lang w:val="en-US" w:eastAsia="zh-CN" w:bidi="ar-SA"/>
        </w:rPr>
        <w:t>最终导致了“中心-边缘”的空间结构，乡村沦为“废弃物排放场”</w:t>
      </w:r>
      <w:r>
        <w:rPr>
          <w:rStyle w:val="20"/>
          <w:rFonts w:hint="eastAsia" w:cstheme="minorBidi"/>
          <w:kern w:val="2"/>
          <w:sz w:val="21"/>
          <w:szCs w:val="24"/>
          <w:lang w:val="en-US" w:eastAsia="zh-CN" w:bidi="ar-SA"/>
        </w:rPr>
        <w:footnoteReference w:id="1441"/>
      </w:r>
      <w:r>
        <w:rPr>
          <w:rFonts w:hint="eastAsia" w:cstheme="minorBidi"/>
          <w:kern w:val="2"/>
          <w:sz w:val="21"/>
          <w:szCs w:val="24"/>
          <w:lang w:val="en-US" w:eastAsia="zh-CN" w:bidi="ar-SA"/>
        </w:rPr>
        <w:t>。马克思恩格斯观察到，这种城乡之间的对立“把一部分人变为受局限的城市动物，把另一部分人变为受局限的乡村动物”</w:t>
      </w:r>
      <w:r>
        <w:rPr>
          <w:rFonts w:hint="eastAsia" w:cstheme="minorBidi"/>
          <w:kern w:val="2"/>
          <w:sz w:val="21"/>
          <w:szCs w:val="24"/>
          <w:vertAlign w:val="superscript"/>
          <w:lang w:val="en-US" w:eastAsia="zh-CN" w:bidi="ar-SA"/>
        </w:rPr>
        <w:t>[2]556</w:t>
      </w:r>
      <w:r>
        <w:rPr>
          <w:rFonts w:hint="eastAsia" w:cstheme="minorBidi"/>
          <w:kern w:val="2"/>
          <w:sz w:val="21"/>
          <w:szCs w:val="24"/>
          <w:lang w:val="en-US" w:eastAsia="zh-CN" w:bidi="ar-SA"/>
        </w:rPr>
        <w:t>，人的活动和能力被局限在片面的空间范围内，阻碍了人的全面发展。中国推进城乡融合，致力于构建新型城乡关系，核心维度之一在于推动城乡空间格局的优化与治理体系的一体化。这要求超越资本主导的城乡空间结构，坚持以人民为中心规划城乡发展，促进城乡基础设施互联互通、公共服务普惠共享。新型农村集体经济以土地集体所有制为基础，天然具有空间属性和治理功能，成为整合农村山水林田湖草沙等空间资源、参与城乡空间规划、链接国家治理与乡村社会的关键力量。</w:t>
      </w:r>
    </w:p>
    <w:p w14:paraId="2CAB285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新型农村集体经济作为一种兼具经济实力和治理效益的经济形态，有助于整合农村空间资源，优化城乡空间布局。习近平总书记明确强调，“要按照促进生产空间集约高效、生活空间宜居适度、生态空间山清水秀的总体要求，......形成生产、生活、生态空间的合理结构”</w:t>
      </w:r>
      <w:r>
        <w:rPr>
          <w:rFonts w:hint="eastAsia" w:cstheme="minorBidi"/>
          <w:kern w:val="2"/>
          <w:sz w:val="21"/>
          <w:szCs w:val="24"/>
          <w:vertAlign w:val="superscript"/>
          <w:lang w:val="en-US" w:eastAsia="zh-CN" w:bidi="ar-SA"/>
        </w:rPr>
        <w:t>[1]62</w:t>
      </w:r>
      <w:r>
        <w:rPr>
          <w:rFonts w:hint="eastAsia" w:cstheme="minorBidi"/>
          <w:kern w:val="2"/>
          <w:sz w:val="21"/>
          <w:szCs w:val="24"/>
          <w:lang w:val="en-US" w:eastAsia="zh-CN" w:bidi="ar-SA"/>
        </w:rPr>
        <w:t>。其一，在生产空间上，新型农村集体经济组织可以通过设立土地股份合作社、开展土地信托等方式，将分散在农户手中的土地经营权集中起来，为实现适度规模经营促进邓小平多次强调农业农村的“第二个飞跃”</w:t>
      </w:r>
      <w:r>
        <w:rPr>
          <w:rStyle w:val="20"/>
          <w:rFonts w:hint="eastAsia" w:cstheme="minorBidi"/>
          <w:kern w:val="2"/>
          <w:sz w:val="21"/>
          <w:szCs w:val="24"/>
          <w:lang w:val="en-US" w:eastAsia="zh-CN" w:bidi="ar-SA"/>
        </w:rPr>
        <w:footnoteReference w:id="1442"/>
      </w:r>
      <w:r>
        <w:rPr>
          <w:rFonts w:hint="eastAsia" w:cstheme="minorBidi"/>
          <w:kern w:val="2"/>
          <w:sz w:val="21"/>
          <w:szCs w:val="24"/>
          <w:lang w:val="en-US" w:eastAsia="zh-CN" w:bidi="ar-SA"/>
        </w:rPr>
        <w:t>创造条件。在土地集中后，新型农村集体经济组织可以更好地运用卫星遥感、GIS和物联网等新兴技术对区域内的生产空间进行统一规划和综合整治。同时，还可以通过“跨村联营”“区域共营”“飞地抱团”等模式实现生产空间的跨区域协同与城乡联动。其二，在生活空间上，新型农村集体经济可以通过投资基础设施和整治人居环境来进一步优化农村生活空间，通过推动城乡基本公共服务均等化来全面提升农村生活空间的品质。其三，在生态空间上，一方面，新型农村集体经济组织作为乡村生态资源的所有者，有权利和义务守护区域内土壤、空气、水源、森林等生态要素，维护生态系统的完整性和稳定性；另一方面，新型农村集体经济具有促进自然资源开发与推进生态产业化的资产增值的重要作用，</w:t>
      </w:r>
      <w:r>
        <w:rPr>
          <w:rStyle w:val="20"/>
          <w:rFonts w:hint="eastAsia" w:cstheme="minorBidi"/>
          <w:kern w:val="2"/>
          <w:sz w:val="21"/>
          <w:szCs w:val="24"/>
          <w:lang w:val="en-US" w:eastAsia="zh-CN" w:bidi="ar-SA"/>
        </w:rPr>
        <w:footnoteReference w:id="1443"/>
      </w:r>
      <w:r>
        <w:rPr>
          <w:rFonts w:hint="eastAsia" w:cstheme="minorBidi"/>
          <w:kern w:val="2"/>
          <w:sz w:val="21"/>
          <w:szCs w:val="24"/>
          <w:lang w:val="en-US" w:eastAsia="zh-CN" w:bidi="ar-SA"/>
        </w:rPr>
        <w:t>可以在城乡之间建立起一条清晰的生态价值链，逐步形成城市提供工业品和服务、乡村提供农产品和生态产品的城乡功能分工新格局</w:t>
      </w:r>
      <w:r>
        <w:rPr>
          <w:rStyle w:val="20"/>
          <w:rFonts w:hint="eastAsia" w:cstheme="minorBidi"/>
          <w:kern w:val="2"/>
          <w:sz w:val="21"/>
          <w:szCs w:val="24"/>
          <w:lang w:val="en-US" w:eastAsia="zh-CN" w:bidi="ar-SA"/>
        </w:rPr>
        <w:footnoteReference w:id="1444"/>
      </w:r>
      <w:r>
        <w:rPr>
          <w:rFonts w:hint="eastAsia" w:cstheme="minorBidi"/>
          <w:kern w:val="2"/>
          <w:sz w:val="21"/>
          <w:szCs w:val="24"/>
          <w:lang w:val="en-US" w:eastAsia="zh-CN" w:bidi="ar-SA"/>
        </w:rPr>
        <w:t>。</w:t>
      </w:r>
    </w:p>
    <w:p w14:paraId="50A5BE61">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（四）利益共享与共同富裕</w:t>
      </w:r>
    </w:p>
    <w:p w14:paraId="3F3F89F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资本主义城乡对立所带来的贫富分化是生产资料私有制下的必然结果。正如马克思所指出：“城乡之间的对立只有在私有制的范围内才能存在”</w:t>
      </w:r>
      <w:r>
        <w:rPr>
          <w:rFonts w:hint="eastAsia" w:cstheme="minorBidi"/>
          <w:kern w:val="2"/>
          <w:sz w:val="21"/>
          <w:szCs w:val="24"/>
          <w:vertAlign w:val="superscript"/>
          <w:lang w:val="en-US" w:eastAsia="zh-CN" w:bidi="ar-SA"/>
        </w:rPr>
        <w:t>[2]556</w:t>
      </w:r>
      <w:r>
        <w:rPr>
          <w:rFonts w:hint="eastAsia" w:cstheme="minorBidi"/>
          <w:kern w:val="2"/>
          <w:sz w:val="21"/>
          <w:szCs w:val="24"/>
          <w:lang w:val="en-US" w:eastAsia="zh-CN" w:bidi="ar-SA"/>
        </w:rPr>
        <w:t>。资本在城乡间的运动，不仅造成财富在城市一端积累，贫困在乡村一端积累的极化现象，更在生产过程中不断再生产出这种不平等的阶级关系和社会结构。因此，要消除城乡对立、实现城乡融合，根本前提在于消灭资本主义生产资料私有制，建立生产资料公有制，从而为消除阶级对立、实现社会财富的公平分配和人的解放创造条件。恩格斯在《共产主义原理》中论述了废除私有制的主要结果，明确指出：“通过消除旧的分工，通过产业教育、变换工种、所有人共同享受大家创造出来的福利，通过城乡的融合，使社会全体成员的才能得到全面发展”</w:t>
      </w:r>
      <w:r>
        <w:rPr>
          <w:rFonts w:hint="eastAsia" w:cstheme="minorBidi"/>
          <w:kern w:val="2"/>
          <w:sz w:val="21"/>
          <w:szCs w:val="24"/>
          <w:vertAlign w:val="superscript"/>
          <w:lang w:val="en-US" w:eastAsia="zh-CN" w:bidi="ar-SA"/>
        </w:rPr>
        <w:t>[3]90</w:t>
      </w:r>
      <w:r>
        <w:rPr>
          <w:rFonts w:hint="eastAsia" w:cstheme="minorBidi"/>
          <w:kern w:val="2"/>
          <w:sz w:val="21"/>
          <w:szCs w:val="24"/>
          <w:lang w:val="en-US" w:eastAsia="zh-CN" w:bidi="ar-SA"/>
        </w:rPr>
        <w:t>。中国推进的城乡融合发展，以扎实推动全体人民共同富裕为根本归旨。习近平总书记明确指出，“实现共同富裕是社会主义的本质要求”</w:t>
      </w:r>
      <w:r>
        <w:rPr>
          <w:rFonts w:hint="eastAsia" w:cstheme="minorBidi"/>
          <w:kern w:val="2"/>
          <w:sz w:val="21"/>
          <w:szCs w:val="24"/>
          <w:vertAlign w:val="superscript"/>
          <w:lang w:val="en-US" w:eastAsia="zh-CN" w:bidi="ar-SA"/>
        </w:rPr>
        <w:t>[1]316</w:t>
      </w:r>
      <w:r>
        <w:rPr>
          <w:rFonts w:hint="eastAsia" w:cstheme="minorBidi"/>
          <w:kern w:val="2"/>
          <w:sz w:val="21"/>
          <w:szCs w:val="24"/>
          <w:lang w:val="en-US" w:eastAsia="zh-CN" w:bidi="ar-SA"/>
        </w:rPr>
        <w:t>，“中国式现代化是全体人民共同富裕的现代化”</w:t>
      </w:r>
      <w:r>
        <w:rPr>
          <w:rStyle w:val="20"/>
          <w:rFonts w:hint="eastAsia" w:cstheme="minorBidi"/>
          <w:kern w:val="2"/>
          <w:sz w:val="21"/>
          <w:szCs w:val="24"/>
          <w:lang w:val="en-US" w:eastAsia="zh-CN" w:bidi="ar-SA"/>
        </w:rPr>
        <w:footnoteReference w:id="1445"/>
      </w:r>
      <w:r>
        <w:rPr>
          <w:rFonts w:hint="eastAsia" w:cstheme="minorBidi"/>
          <w:kern w:val="2"/>
          <w:sz w:val="21"/>
          <w:szCs w:val="24"/>
          <w:vertAlign w:val="superscript"/>
          <w:lang w:val="en-US" w:eastAsia="zh-CN" w:bidi="ar-SA"/>
        </w:rPr>
        <w:t>19</w:t>
      </w:r>
      <w:r>
        <w:rPr>
          <w:rFonts w:hint="eastAsia" w:cstheme="minorBidi"/>
          <w:kern w:val="2"/>
          <w:sz w:val="21"/>
          <w:szCs w:val="24"/>
          <w:lang w:val="en-US" w:eastAsia="zh-CN" w:bidi="ar-SA"/>
        </w:rPr>
        <w:t>。新型农村集体经济作为社会主义公有制经济在农村的重要实现形式，可以将农村丰富但分散的生产要素组织为集体生产要素，进行规模生产，实行按劳分配与按股分配，实现既保证劳动者个人权利和权益，又取得组织起来扩大生产、提高生产社会化程度的双重收益，使劳动者逐步走向共同富裕。</w:t>
      </w:r>
      <w:r>
        <w:rPr>
          <w:rStyle w:val="20"/>
          <w:rFonts w:hint="eastAsia" w:cstheme="minorBidi"/>
          <w:kern w:val="2"/>
          <w:sz w:val="21"/>
          <w:szCs w:val="24"/>
          <w:lang w:val="en-US" w:eastAsia="zh-CN" w:bidi="ar-SA"/>
        </w:rPr>
        <w:footnoteReference w:id="1446"/>
      </w:r>
    </w:p>
    <w:p w14:paraId="6A32D44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发展壮大新型农村集体经济可以进一步缩小城乡收入差距，促进城乡共同繁荣发展。其一，多元化的增收渠道，推动农民持续稳定增收。新型农村集体经济带动集体成员增收的来源日益多元化：一是通过土地承包权获得的经营性收入或流转租金；二是在集体或引入企业就业获得的工资性收入；三是凭借集体资产股份获得的分红等财产性收入。从数据来看，2023年完成集体产权制度改革的农村达98.5万个，向成员分红823.1亿元。</w:t>
      </w:r>
      <w:r>
        <w:rPr>
          <w:rStyle w:val="20"/>
          <w:rFonts w:hint="eastAsia" w:cstheme="minorBidi"/>
          <w:kern w:val="2"/>
          <w:sz w:val="21"/>
          <w:szCs w:val="24"/>
          <w:lang w:val="en-US" w:eastAsia="zh-CN" w:bidi="ar-SA"/>
        </w:rPr>
        <w:footnoteReference w:id="1447"/>
      </w:r>
      <w:r>
        <w:rPr>
          <w:rFonts w:hint="eastAsia" w:cstheme="minorBidi"/>
          <w:kern w:val="2"/>
          <w:sz w:val="21"/>
          <w:szCs w:val="24"/>
          <w:lang w:val="en-US" w:eastAsia="zh-CN" w:bidi="ar-SA"/>
        </w:rPr>
        <w:t>截至2023年，农村宅基地制度改革试点地区共盘活闲置农房和闲置宅基地23.84万宗，带动集体和农民增收超过75亿元。</w:t>
      </w:r>
      <w:r>
        <w:rPr>
          <w:rStyle w:val="20"/>
          <w:rFonts w:hint="eastAsia" w:cstheme="minorBidi"/>
          <w:kern w:val="2"/>
          <w:sz w:val="21"/>
          <w:szCs w:val="24"/>
          <w:lang w:val="en-US" w:eastAsia="zh-CN" w:bidi="ar-SA"/>
        </w:rPr>
        <w:footnoteReference w:id="1448"/>
      </w:r>
      <w:r>
        <w:rPr>
          <w:rFonts w:hint="eastAsia" w:cstheme="minorBidi"/>
          <w:kern w:val="2"/>
          <w:sz w:val="21"/>
          <w:szCs w:val="24"/>
          <w:lang w:val="en-US" w:eastAsia="zh-CN" w:bidi="ar-SA"/>
        </w:rPr>
        <w:t> 其二，优化利益分配机制，使农民共同受益。新型农村集体经济通过建立科学的收益分配机制，确保每个成员都能够公平分享集体经济发展带来的成果。其三，提升农村公共服务水平。现阶段，城乡差距大最直观的是基础设施和公共服务差距大。</w:t>
      </w:r>
      <w:r>
        <w:rPr>
          <w:rFonts w:hint="eastAsia" w:cstheme="minorBidi"/>
          <w:kern w:val="2"/>
          <w:sz w:val="21"/>
          <w:szCs w:val="24"/>
          <w:vertAlign w:val="superscript"/>
          <w:lang w:val="en-US" w:eastAsia="zh-CN" w:bidi="ar-SA"/>
        </w:rPr>
        <w:t>[1]243</w:t>
      </w:r>
      <w:r>
        <w:rPr>
          <w:rFonts w:hint="eastAsia" w:cstheme="minorBidi"/>
          <w:kern w:val="2"/>
          <w:sz w:val="21"/>
          <w:szCs w:val="24"/>
          <w:lang w:val="en-US" w:eastAsia="zh-CN" w:bidi="ar-SA"/>
        </w:rPr>
        <w:t>新型农村集体经济组织可以将提取的公积金和公益金用于提高教育、医疗、文化等农村公共服务水平，也可以通过投资改善农村交通、水利、电力等基础设施，提升农村生产生活条件。</w:t>
      </w:r>
    </w:p>
    <w:p w14:paraId="1CEB8C5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lang w:val="en-US" w:eastAsia="zh-CN"/>
        </w:rPr>
      </w:pPr>
    </w:p>
    <w:p w14:paraId="48C50FF2">
      <w:pPr>
        <w:keepNext w:val="0"/>
        <w:keepLines w:val="0"/>
        <w:pageBreakBefore w:val="0"/>
        <w:widowControl w:val="0"/>
        <w:kinsoku/>
        <w:wordWrap/>
        <w:overflowPunct/>
        <w:topLinePunct w:val="0"/>
        <w:autoSpaceDE/>
        <w:autoSpaceDN/>
        <w:bidi w:val="0"/>
        <w:adjustRightInd/>
        <w:snapToGrid/>
        <w:spacing w:line="360" w:lineRule="auto"/>
        <w:ind w:firstLine="2643" w:firstLineChars="1100"/>
        <w:jc w:val="left"/>
        <w:textAlignment w:val="auto"/>
        <w:outlineLvl w:val="9"/>
        <w:rPr>
          <w:rFonts w:hint="eastAsia" w:eastAsia="宋体"/>
          <w:b/>
          <w:bCs/>
          <w:sz w:val="24"/>
          <w:szCs w:val="32"/>
          <w:lang w:val="en-US" w:eastAsia="zh-CN"/>
        </w:rPr>
      </w:pPr>
      <w:r>
        <w:rPr>
          <w:rFonts w:hint="eastAsia" w:eastAsia="宋体"/>
          <w:b/>
          <w:bCs/>
          <w:sz w:val="24"/>
          <w:szCs w:val="32"/>
          <w:lang w:val="en-US" w:eastAsia="zh-CN"/>
        </w:rPr>
        <w:t>三、新型农村集体经济促进城乡融合的现实挑战</w:t>
      </w:r>
    </w:p>
    <w:p w14:paraId="35C4660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在全面推进乡村振兴和城乡融合发展的时代背景下，新型农村集体经济作为实现农业农村现代化的关键力量，正成为促进城乡融合的重要载体。但当前仍面临一系列来自制度政策、市场环境、自身能力、转型动力等方面的深层挑战。</w:t>
      </w:r>
    </w:p>
    <w:p w14:paraId="73E3E0F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 xml:space="preserve">（一）政策支持障碍 </w:t>
      </w:r>
    </w:p>
    <w:p w14:paraId="0CF09B1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健全的政策支持体系与完备的法律保障，是新型农村集体经济促进城乡融合的重要保障。党的十八大以来，关于推进集体产权制度改革、壮大农村集体经济发展的政策文件日趋增多。从2025年5月开始实施的《中华人民共和国农村集体经济组织法》（以下简称《农村集体经济组织法》），明确提出要促进新型农村集体经济高质量发展，并以法律的形式规范了农村集体经济组织的各项内容，以及支持农村集体经济发展的各项政策。但针对新型农村集体经济的政策支持体系尚未根据集体产权制度变革及城乡关系转变的变化进行适应性调整，呈现出不配套、不匹配、不衔接等突出问题。具体而言，主要表现在：其一是政策体系的配套性和协同性不足。发展壮大新型农村集体经济是一项系统工程，需要财政、税收、金融、人才、土地、工商、法律等多方面政策的协同发力。然而，现实情况是，各部门政策往往各自为政，尚未形成一个完整、闭环的政策支持体系。虽然中央宏观政策引领多，但地方配套细化政策还较为欠缺。如部分省份还尚未出台匹配《农村集体经济组织法》的实施细则，农村集体经济组织登记赋码、经营管理、收益分配等环节仍然缺乏具体操作规范。其二是政策支持精准性不够。在财政支持方面，对新型农村集体经济的资金扶持多侧重“输血式”补助，“造血式”扶持还不足。数据显示，2023年，在农村集体经济总收入中，财政补助收入为0.15万亿元，占总收入的20.4%。</w:t>
      </w:r>
      <w:r>
        <w:rPr>
          <w:rStyle w:val="20"/>
          <w:rFonts w:hint="eastAsia" w:cstheme="minorBidi"/>
          <w:kern w:val="2"/>
          <w:sz w:val="21"/>
          <w:szCs w:val="24"/>
          <w:lang w:val="en-US" w:eastAsia="zh-CN" w:bidi="ar-SA"/>
        </w:rPr>
        <w:footnoteReference w:id="1449"/>
      </w:r>
      <w:r>
        <w:rPr>
          <w:rFonts w:hint="eastAsia" w:cstheme="minorBidi"/>
          <w:kern w:val="2"/>
          <w:sz w:val="21"/>
          <w:szCs w:val="24"/>
          <w:lang w:val="en-US" w:eastAsia="zh-CN" w:bidi="ar-SA"/>
        </w:rPr>
        <w:t>在税收优惠方面，多数地区未针对新型农村集体经济组织出台相应税收优惠政策，仍按普通企业标准征税，经营负担较重；同时，税务部门未将新型农村集体经济组织纳入税务系统，导致新型农村集体经济组织在开展业务时无法获得合法票据。</w:t>
      </w:r>
      <w:r>
        <w:rPr>
          <w:rStyle w:val="20"/>
          <w:rFonts w:hint="eastAsia" w:cstheme="minorBidi"/>
          <w:kern w:val="2"/>
          <w:sz w:val="21"/>
          <w:szCs w:val="24"/>
          <w:lang w:val="en-US" w:eastAsia="zh-CN" w:bidi="ar-SA"/>
        </w:rPr>
        <w:footnoteReference w:id="1450"/>
      </w:r>
      <w:r>
        <w:rPr>
          <w:rFonts w:hint="eastAsia" w:cstheme="minorBidi"/>
          <w:kern w:val="2"/>
          <w:sz w:val="21"/>
          <w:szCs w:val="24"/>
          <w:lang w:val="en-US" w:eastAsia="zh-CN" w:bidi="ar-SA"/>
        </w:rPr>
        <w:t>其三是政策执行力不够。一方面，思想认识不足，政策落地有困难。一些基层干部对发展新型农村集体经济的重要性和复杂性认识不足，存在畏难情绪，甚至推诿回避，导致政策执行打折扣；另一方面，政府指导与服务缺位。部分地方政府缺乏对村级农村集体经济组织的具体指导、过程监督和能力建设支持。总体而言，原有的政策体系已经无法满足新征程新型农村集体经济促进城乡融合的发展要求，迫切需要建构更为完善的政策支持体系。</w:t>
      </w:r>
    </w:p>
    <w:p w14:paraId="7CF6109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（二）生产要素短缺</w:t>
      </w:r>
    </w:p>
    <w:p w14:paraId="267036F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城乡融合的核心是要素的双向自由流动与平等交换。然而，当前城乡之间要素单向流动的格局并没有得到根本性的扭转，新型农村集体经济的发展普遍面临着人才、资本、技术、土地等关键性生产要素的供给不足和结构性短缺。其一，在人才要素方面，存在“留不住”和“引不进”的现象。一方面，随着城镇化进程的推进， 由于城乡在就业机会、收入水平、公共服务、文化生活等方面的显著差距，农村青壮年劳动力和高素质人才大量外流的趋势仍在持续。根据国家统计局的相关数据显示，2024年全国农民工总量29973万人，其中外出农民工17871万人，占比达到59.6%。</w:t>
      </w:r>
      <w:r>
        <w:rPr>
          <w:rStyle w:val="20"/>
          <w:rFonts w:hint="eastAsia" w:cstheme="minorBidi"/>
          <w:kern w:val="2"/>
          <w:sz w:val="21"/>
          <w:szCs w:val="24"/>
          <w:lang w:val="en-US" w:eastAsia="zh-CN" w:bidi="ar-SA"/>
        </w:rPr>
        <w:footnoteReference w:id="1451"/>
      </w:r>
      <w:r>
        <w:rPr>
          <w:rFonts w:hint="eastAsia" w:cstheme="minorBidi"/>
          <w:kern w:val="2"/>
          <w:sz w:val="21"/>
          <w:szCs w:val="24"/>
          <w:lang w:val="en-US" w:eastAsia="zh-CN" w:bidi="ar-SA"/>
        </w:rPr>
        <w:t>这导致农村的人口结构老龄化、低学历化的问题突出，在城乡融合的大背景下，难以带领新型农村集体经济实现转型升级和高质量发展。另一方面，农村在生活环境、职业发展空间、薪酬待遇等方面对城市人才缺乏吸引力，使得农村引进人才较为困难，加之缺乏较为完善的人才培育和激励机制，这导致新型农村集体经济组织普遍面临“人才荒”。其二，在资本要素方面，新型农村集体经济面临“内源性积累不足、外源性融资困难、债务负担沉重”的困境。长期以来，许多农村集体经济组织收入来源单一，主要依靠资源发包、物业租赁等传统方式，经营性收入占比低，且不稳定。另外，大部分农村集体经济由于没有统一经营的产业，长期依赖财政补贴。在融资方面，由于法人地位不清晰、有效抵押物缺乏、信用体系不健全等原因，加之农村产业周期长、风险高，新型农村集体经济很难从正规金融机构获得贷款。与此同时，村级债务正成为新型农村集体经济发展的巨大的现实障碍。据统计，全国农村集体经济组织负债总额持续增长，较2022年增加100亿元，部分地区农村集体资产负债率超过50%。</w:t>
      </w:r>
      <w:r>
        <w:rPr>
          <w:rStyle w:val="20"/>
          <w:rFonts w:hint="eastAsia" w:cstheme="minorBidi"/>
          <w:kern w:val="2"/>
          <w:sz w:val="21"/>
          <w:szCs w:val="24"/>
          <w:lang w:val="en-US" w:eastAsia="zh-CN" w:bidi="ar-SA"/>
        </w:rPr>
        <w:footnoteReference w:id="1452"/>
      </w:r>
      <w:r>
        <w:rPr>
          <w:rFonts w:hint="eastAsia" w:cstheme="minorBidi"/>
          <w:kern w:val="2"/>
          <w:sz w:val="21"/>
          <w:szCs w:val="24"/>
          <w:lang w:val="en-US" w:eastAsia="zh-CN" w:bidi="ar-SA"/>
        </w:rPr>
        <w:t>因此，2025年中央一号文件明确强调“不对集体收入提硬性目标，严控集体经营风险和债务”</w:t>
      </w:r>
      <w:r>
        <w:rPr>
          <w:rStyle w:val="20"/>
          <w:rFonts w:hint="eastAsia" w:cstheme="minorBidi"/>
          <w:kern w:val="2"/>
          <w:sz w:val="21"/>
          <w:szCs w:val="24"/>
          <w:lang w:val="en-US" w:eastAsia="zh-CN" w:bidi="ar-SA"/>
        </w:rPr>
        <w:footnoteReference w:id="1453"/>
      </w:r>
      <w:r>
        <w:rPr>
          <w:rFonts w:hint="eastAsia" w:cstheme="minorBidi"/>
          <w:kern w:val="2"/>
          <w:sz w:val="21"/>
          <w:szCs w:val="24"/>
          <w:lang w:val="en-US" w:eastAsia="zh-CN" w:bidi="ar-SA"/>
        </w:rPr>
        <w:t>。其三，在土地要素方面，细碎化仍然是制约新型农村集体经济规模化的重要因素。据农业农村部数据，土地确权后全国户均承包地面积仍不足7.5亩，户均地块数却高达5.5块，</w:t>
      </w:r>
      <w:r>
        <w:rPr>
          <w:rStyle w:val="20"/>
          <w:rFonts w:hint="eastAsia" w:cstheme="minorBidi"/>
          <w:kern w:val="2"/>
          <w:sz w:val="21"/>
          <w:szCs w:val="24"/>
          <w:lang w:val="en-US" w:eastAsia="zh-CN" w:bidi="ar-SA"/>
        </w:rPr>
        <w:footnoteReference w:id="1454"/>
      </w:r>
      <w:r>
        <w:rPr>
          <w:rFonts w:hint="eastAsia" w:cstheme="minorBidi"/>
          <w:kern w:val="2"/>
          <w:sz w:val="21"/>
          <w:szCs w:val="24"/>
          <w:lang w:val="en-US" w:eastAsia="zh-CN" w:bidi="ar-SA"/>
        </w:rPr>
        <w:t>农地细碎化问题突出。其四，在技术要素方面，技术引入渠道不畅与应用转化能力薄弱。要将农业建成现代化大产业离不开先进技术的支撑。但是，大多数农村集体经济组织由于规模小、资金少、人才缺，自身不具备技术研发能力，对外部新技术的引进和应用也面临重重困难。一方面，农业科技成果转化效率不高，科研院所的成果与小农户及农村集体经济组织的实际需求存在脱节。另一方面，即使引进了新技术、新设备，也常常因为缺乏配套的专业技术人员和管理能力，导致技术应用效果不佳。</w:t>
      </w:r>
    </w:p>
    <w:p w14:paraId="739EDC2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（三）产业融合困境</w:t>
      </w:r>
    </w:p>
    <w:p w14:paraId="639670B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城乡产业融合是城乡融合发展的基础和根本，产业融合的程度决定了城乡融合发展的质量和进程。</w:t>
      </w:r>
      <w:r>
        <w:rPr>
          <w:rStyle w:val="20"/>
          <w:rFonts w:hint="eastAsia" w:cstheme="minorBidi"/>
          <w:kern w:val="2"/>
          <w:sz w:val="21"/>
          <w:szCs w:val="24"/>
          <w:lang w:val="en-US" w:eastAsia="zh-CN" w:bidi="ar-SA"/>
        </w:rPr>
        <w:footnoteReference w:id="1455"/>
      </w:r>
      <w:r>
        <w:rPr>
          <w:rFonts w:hint="eastAsia" w:cstheme="minorBidi"/>
          <w:kern w:val="2"/>
          <w:sz w:val="21"/>
          <w:szCs w:val="24"/>
          <w:lang w:val="en-US" w:eastAsia="zh-CN" w:bidi="ar-SA"/>
        </w:rPr>
        <w:t>新型农村集体经济是促进城乡融合的关键路径之一，正是通过发展乡村产业，深度嵌入区域产业链、供应链和价值链，促进城乡产业的协同共兴。然而，当前新型农村集体经济的产业发展还存在链条延伸不足、融合层次偏低等问题。其一，产业链条短、结构单一，附加值创造能力弱。不少地区的新型农村集体经济产业仍然停留在资源出租或者传统的农业种植和畜牧养殖业阶段，农业与食品加工、冷链物流、品牌营销、休闲旅游、文化创意等二三产业的融合发展程度不高，产业链条短、附加值低、抗风险能力弱。同时，当乡村旅游、乡村民宿等热门业态出现时，又容易出现盲目跟风、模式雷同等问题，导致新型农村集体经济产业陷入低水平同质化竞争，难以形成可持续的竞争力。其二，产业融合层次偏低，城乡市场联结不紧密。尽管一二三产业融合已经被广泛提倡，但很多新型农村集体经济的产业融合层次还停留在“产业相加”的层面，难以形成对城市消费市场的持续吸引力。这种浅层次的融合，未能有效利用乡村的生态、文化、空间等多重价值，也未能将城市的资金、技术、人才、消费需求等要素深度嵌入乡村产业发展中。其三，县域产业枢纽功能发挥不充分，未能形成有效带动。县域是城乡融合发展的重要节点和基本单元，是连接城市和乡村的产业枢纽。新型农村集体经济作为推动县域经济发展的重要力量，它不仅能够促进农业产业链的延伸与农村产业结构的升级，也对县域经济多元化具有积极意义，其发展壮大对引导和促成城乡融合发展至关重要。但是，许多县域自身还存在产业发展动力不足、发展要素流动不畅、经济发展不平衡等问题，</w:t>
      </w:r>
      <w:r>
        <w:rPr>
          <w:rStyle w:val="20"/>
          <w:rFonts w:hint="eastAsia" w:cstheme="minorBidi"/>
          <w:kern w:val="2"/>
          <w:sz w:val="21"/>
          <w:szCs w:val="24"/>
          <w:lang w:val="en-US" w:eastAsia="zh-CN" w:bidi="ar-SA"/>
        </w:rPr>
        <w:footnoteReference w:id="1456"/>
      </w:r>
      <w:r>
        <w:rPr>
          <w:rFonts w:hint="eastAsia" w:cstheme="minorBidi"/>
          <w:kern w:val="2"/>
          <w:sz w:val="21"/>
          <w:szCs w:val="24"/>
          <w:lang w:val="en-US" w:eastAsia="zh-CN" w:bidi="ar-SA"/>
        </w:rPr>
        <w:t>导致县城和中心镇的产业集聚和辐射带动能力不足，未能有效整合区域内的乡村资源，也未能为新型农村集体经济提供稳定的产品销路、技术支持和要素供给。新型农村集体经济难以融入县域乃至更大范围的产业分工协作体系中，其发展也就失去了重要的外部支撑和市场依托。</w:t>
      </w:r>
    </w:p>
    <w:p w14:paraId="6DB7727D">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（四）治理体系短板</w:t>
      </w:r>
    </w:p>
    <w:p w14:paraId="6FAD7D8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在城乡融合的时代背景下，治理是决定新型农村集体经济组织能否行稳致远的关键。农村集体产权制度改革以来，虽然多数村庄形式上建立了现代企业式的治理架构，但在实际运行中，内部治理的失序与外部市场适应能力的低下，共同构成了其发展的“软肋”。其一，内部治理结构形式化，决策与监督机制失灵。许多农村集体经济组织虽然设立了股东（成员）大会、理事会、监事会等“三会”治理结构，但在实践中仍然存在村两委与农村集体经济组织负责人存在重合，在经营管理上容易形成“家长式”决策</w:t>
      </w:r>
      <w:r>
        <w:rPr>
          <w:rStyle w:val="20"/>
          <w:rFonts w:hint="eastAsia" w:cstheme="minorBidi"/>
          <w:kern w:val="2"/>
          <w:sz w:val="21"/>
          <w:szCs w:val="24"/>
          <w:lang w:val="en-US" w:eastAsia="zh-CN" w:bidi="ar-SA"/>
        </w:rPr>
        <w:footnoteReference w:id="1457"/>
      </w:r>
      <w:r>
        <w:rPr>
          <w:rFonts w:hint="eastAsia" w:cstheme="minorBidi"/>
          <w:kern w:val="2"/>
          <w:sz w:val="21"/>
          <w:szCs w:val="24"/>
          <w:lang w:val="en-US" w:eastAsia="zh-CN" w:bidi="ar-SA"/>
        </w:rPr>
        <w:t>，“内部人控制”控制的困境仍然存在。此外，“政经不分”的问题还很突出，村级行政管理与新型农村集体经济经营管理的边界模糊，导致新型农村集体经济决策效率较低、科学性不足，容易错失市场机会。当前，部分农村集体经济组织的收益分配机制不规范、不透明，存在严重的“代理人困境”。少数村干部可能利用信息不对称侵占集体利益，导致“小官巨贪”“干部经济”等问题时有发生，而普通集体成员的收益权、分配权得不到有效保障。其二，新型农村集体经济外部市场适应能力差。城乡融合本质上是城乡经济体系的一体化过程，但新型农村集体经济组织在融入全国统一大市场时面临重重障碍。首先，市场准入存在隐性壁垒。新型农村集体经济组织在进入市场时，面临资质、标准、品牌和渠道等多重壁垒。例如，从事农产品加工需要取得一系列生产许可和卫生认证，这对经营管理方式普遍粗放的新型农村集体经济组织而言难度很大。其次，要进入城市零售渠道，也面临高昂的入场费和激烈的品牌竞争。由于缺乏专业的经营团队和科学的决策机制，许多集体经济组织对市场需求变化不敏感，产业项目选择往往跟风模仿，而非基于自身资源禀赋和市场分析，导致产品同质化严重，缺乏缺乏品牌知名度和市场影响力，应对市场风险能力较差。</w:t>
      </w:r>
    </w:p>
    <w:p w14:paraId="0882F6B1">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（五）转型动能较弱</w:t>
      </w:r>
    </w:p>
    <w:p w14:paraId="0962259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数字化和绿色化是全球经济发展的大势所趋，也是城乡融合向高质量迈进的重要方向。对于新型农村集体经济而言，拥抱数字化、践行绿色化，是其实现跨越式发展、深度融入城乡融合进程的必然选择。然而，新型农村集体经济由于基础薄弱和动能不足，导致在转型道路上面临严峻挑战。其一，在数字化转型方面，面临“数字鸿沟”与“数据孤岛”的双重困境。首先，城乡数字基础设施与接入能力存在鸿沟。根据中国互联网络信息中心发布的第56次《中国互联网络发展状况统计报告》，截至2025年6月，我国农村网民规模达3.22亿人，互联网普及率达69.2%，占网民整体的28.7%。</w:t>
      </w:r>
      <w:r>
        <w:rPr>
          <w:rStyle w:val="20"/>
          <w:rFonts w:hint="eastAsia" w:cstheme="minorBidi"/>
          <w:kern w:val="2"/>
          <w:sz w:val="21"/>
          <w:szCs w:val="24"/>
          <w:lang w:val="en-US" w:eastAsia="zh-CN" w:bidi="ar-SA"/>
        </w:rPr>
        <w:footnoteReference w:id="1458"/>
      </w:r>
      <w:r>
        <w:rPr>
          <w:rFonts w:hint="eastAsia" w:cstheme="minorBidi"/>
          <w:kern w:val="2"/>
          <w:sz w:val="21"/>
          <w:szCs w:val="24"/>
          <w:lang w:val="en-US" w:eastAsia="zh-CN" w:bidi="ar-SA"/>
        </w:rPr>
        <w:t>尽管农村地区的网络覆盖已有极大改善，但与城市相比，在网络速度、稳定性以及5G等新一代信息技术的普及率上仍存在差距，形成了城乡间的“数字鸿沟”。其次，数据要素的价值难以实现。新型农村集体经济在经营中会产生大量资产、资源和资金等数据，但由于基础设施和技术问题，还有数据的产权制度、流通交易制度和安全制度等不完善，</w:t>
      </w:r>
      <w:r>
        <w:rPr>
          <w:rStyle w:val="20"/>
          <w:rFonts w:hint="eastAsia" w:cstheme="minorBidi"/>
          <w:kern w:val="2"/>
          <w:sz w:val="21"/>
          <w:szCs w:val="24"/>
          <w:lang w:val="en-US" w:eastAsia="zh-CN" w:bidi="ar-SA"/>
        </w:rPr>
        <w:footnoteReference w:id="1459"/>
      </w:r>
      <w:r>
        <w:rPr>
          <w:rFonts w:hint="eastAsia" w:cstheme="minorBidi"/>
          <w:kern w:val="2"/>
          <w:sz w:val="21"/>
          <w:szCs w:val="24"/>
          <w:lang w:val="en-US" w:eastAsia="zh-CN" w:bidi="ar-SA"/>
        </w:rPr>
        <w:t>广大农村集体经济组织对这些数据的应用开发程度明显不足，大量数据被搁置在数据平台无法得到使用，</w:t>
      </w:r>
      <w:r>
        <w:rPr>
          <w:rStyle w:val="20"/>
          <w:rFonts w:hint="eastAsia" w:cstheme="minorBidi"/>
          <w:kern w:val="2"/>
          <w:sz w:val="21"/>
          <w:szCs w:val="24"/>
          <w:lang w:val="en-US" w:eastAsia="zh-CN" w:bidi="ar-SA"/>
        </w:rPr>
        <w:footnoteReference w:id="1460"/>
      </w:r>
      <w:r>
        <w:rPr>
          <w:rFonts w:hint="eastAsia" w:cstheme="minorBidi"/>
          <w:kern w:val="2"/>
          <w:sz w:val="21"/>
          <w:szCs w:val="24"/>
          <w:lang w:val="en-US" w:eastAsia="zh-CN" w:bidi="ar-SA"/>
        </w:rPr>
        <w:t>形成了一个“数据孤岛”。其二，在绿色化转型方面，面临技术与资金的双重门槛。发展生态农业、循环农业、绿色农业是提升农产品附加值和市场竞争力的必然选择，也是实现乡村可持续发展的内在要求。一方面，绿色生产技术，如智能灌溉、病虫害绿色防控、有机肥替代、农业废弃物资源化利用等，往往需要较高的前期投入和专业的技术支撑。这对于本就资金短缺、技术人才匮乏的农村集体经济组织而言，构成了难以逾越的“资金技术门槛”。另一方面，绿色标准与认证体系构成市场准入新壁垒。城市消费市场对农产品的绿色、有机、低碳属性要求越来越高，相应的认证、追溯体系日益完善。要进入城市高端消费市场，农产品需要通过有机、绿色、无公害等认证，而认证过程本身不仅成本高昂，且标准复杂、流程繁琐，这无疑增加了新型农村集体经济组织进入绿色消费市场的难度。</w:t>
      </w:r>
    </w:p>
    <w:p w14:paraId="3BBD4C5F">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555CEDE3">
      <w:pPr>
        <w:keepNext w:val="0"/>
        <w:keepLines w:val="0"/>
        <w:pageBreakBefore w:val="0"/>
        <w:widowControl w:val="0"/>
        <w:kinsoku/>
        <w:wordWrap/>
        <w:overflowPunct/>
        <w:topLinePunct w:val="0"/>
        <w:autoSpaceDE/>
        <w:autoSpaceDN/>
        <w:bidi w:val="0"/>
        <w:adjustRightInd/>
        <w:snapToGrid/>
        <w:spacing w:line="360" w:lineRule="auto"/>
        <w:ind w:firstLine="2643" w:firstLineChars="1100"/>
        <w:jc w:val="left"/>
        <w:textAlignment w:val="auto"/>
        <w:outlineLvl w:val="9"/>
        <w:rPr>
          <w:rFonts w:hint="default" w:eastAsia="宋体"/>
          <w:b/>
          <w:bCs/>
          <w:sz w:val="24"/>
          <w:szCs w:val="32"/>
          <w:lang w:val="en-US" w:eastAsia="zh-CN"/>
        </w:rPr>
      </w:pPr>
      <w:r>
        <w:rPr>
          <w:rFonts w:hint="eastAsia" w:eastAsia="宋体"/>
          <w:b/>
          <w:bCs/>
          <w:sz w:val="24"/>
          <w:szCs w:val="32"/>
          <w:lang w:val="en-US" w:eastAsia="zh-CN"/>
        </w:rPr>
        <w:t>四、新型农村集体经济促进城乡融合的实践路径</w:t>
      </w:r>
    </w:p>
    <w:p w14:paraId="1C01637A">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要更好的发挥新型农村集体经济促进城乡融合的作用，就需要系统解决当前所面临的多方面问题，重点在于强化政策赋能、整合要素资源、深化产业联动、完善治理体系、注入转型动能。</w:t>
      </w:r>
    </w:p>
    <w:p w14:paraId="0F986C4F">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cstheme="minorBidi"/>
          <w:b/>
          <w:bCs/>
          <w:kern w:val="2"/>
          <w:sz w:val="21"/>
          <w:szCs w:val="24"/>
          <w:lang w:val="en-US" w:eastAsia="zh-CN" w:bidi="ar-SA"/>
        </w:rPr>
      </w:pPr>
      <w:r>
        <w:rPr>
          <w:rFonts w:hint="eastAsia" w:cstheme="minorBidi"/>
          <w:b/>
          <w:bCs/>
          <w:kern w:val="2"/>
          <w:sz w:val="21"/>
          <w:szCs w:val="24"/>
          <w:lang w:val="en-US" w:eastAsia="zh-CN" w:bidi="ar-SA"/>
        </w:rPr>
        <w:t>（一）强化政策赋能，筑牢城乡融合制度保障</w:t>
      </w:r>
    </w:p>
    <w:p w14:paraId="0EBD6F7A">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恩格斯在《法德农民问题》中，明确强调农业合作社需要国家的支持，即“由国家银行接收它们的一切抵押债务并将利率大大减低，从社会资金中抽拨贷款来建立大规模生产（贷款不一定或者不主要是货币，而可以是必需的产品：机器、人造肥料等等）及其他各种便利”</w:t>
      </w:r>
      <w:r>
        <w:rPr>
          <w:rStyle w:val="20"/>
          <w:rFonts w:hint="eastAsia" w:cstheme="minorBidi"/>
          <w:kern w:val="2"/>
          <w:sz w:val="21"/>
          <w:szCs w:val="24"/>
          <w:lang w:val="en-US" w:eastAsia="zh-CN" w:bidi="ar-SA"/>
        </w:rPr>
        <w:footnoteReference w:id="1461"/>
      </w:r>
      <w:r>
        <w:rPr>
          <w:rFonts w:hint="eastAsia" w:cstheme="minorBidi"/>
          <w:kern w:val="2"/>
          <w:sz w:val="21"/>
          <w:szCs w:val="24"/>
          <w:lang w:val="en-US" w:eastAsia="zh-CN" w:bidi="ar-SA"/>
        </w:rPr>
        <w:t>。《中华人民共和国宪法》第八条中也明确规定：国家保护城乡集体经济组织的合法的权利和利益，鼓励、指导和帮助集体经济的发展。</w:t>
      </w:r>
      <w:r>
        <w:rPr>
          <w:rStyle w:val="20"/>
          <w:rFonts w:hint="eastAsia" w:cstheme="minorBidi"/>
          <w:kern w:val="2"/>
          <w:sz w:val="21"/>
          <w:szCs w:val="24"/>
          <w:lang w:val="en-US" w:eastAsia="zh-CN" w:bidi="ar-SA"/>
        </w:rPr>
        <w:footnoteReference w:id="1462"/>
      </w:r>
      <w:r>
        <w:rPr>
          <w:rFonts w:hint="eastAsia" w:cstheme="minorBidi"/>
          <w:kern w:val="2"/>
          <w:sz w:val="21"/>
          <w:szCs w:val="24"/>
          <w:lang w:val="en-US" w:eastAsia="zh-CN" w:bidi="ar-SA"/>
        </w:rPr>
        <w:t>在国家大政方针指引下，各级政府应多措并举、综合施策，并且着力提高政策的精准性和有效性，为新征程新型农村集体经济促进城乡融合提供良好的政策环境。</w:t>
      </w:r>
    </w:p>
    <w:p w14:paraId="0109271C">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一是完善法律保障体系。以《农村集体经济组织法》的全面实施为契机，推动地方出台针对性强、可操作的配套政策，细化农村集体经济组织的登记赋码、经营管理、收益分配、破产清算等操作规范，确保法律政策落地生根。如广东省出台了《广东省新型农村集体经济发展促进条例》，建立健全统筹协调机制和监督管理体系，支持农村集体经济组织依法自主发展新型农村集体经济。</w:t>
      </w:r>
      <w:r>
        <w:rPr>
          <w:rStyle w:val="20"/>
          <w:rFonts w:hint="eastAsia" w:cstheme="minorBidi"/>
          <w:kern w:val="2"/>
          <w:sz w:val="21"/>
          <w:szCs w:val="24"/>
          <w:lang w:val="en-US" w:eastAsia="zh-CN" w:bidi="ar-SA"/>
        </w:rPr>
        <w:footnoteReference w:id="1463"/>
      </w:r>
      <w:r>
        <w:rPr>
          <w:rFonts w:hint="eastAsia" w:cstheme="minorBidi"/>
          <w:kern w:val="2"/>
          <w:sz w:val="21"/>
          <w:szCs w:val="24"/>
          <w:lang w:val="en-US" w:eastAsia="zh-CN" w:bidi="ar-SA"/>
        </w:rPr>
        <w:t>同时，强化顶层统筹，可以在国家和省级层面建立由农业农村部门牵头，发改委、财政、税务、金融、自然资源、市场监管等部门共同参与跨部门协同机制，共同助力新型农村集体经济发展。</w:t>
      </w:r>
    </w:p>
    <w:p w14:paraId="5031A7E9">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二是优化政策支持体系。发展壮大新型农村集体经济，必须进一步从人才、土地、财政、金融和税收等方面出台配套支持政策。</w:t>
      </w:r>
      <w:r>
        <w:rPr>
          <w:rStyle w:val="20"/>
          <w:rFonts w:hint="eastAsia" w:cstheme="minorBidi"/>
          <w:kern w:val="2"/>
          <w:sz w:val="21"/>
          <w:szCs w:val="24"/>
          <w:lang w:val="en-US" w:eastAsia="zh-CN" w:bidi="ar-SA"/>
        </w:rPr>
        <w:footnoteReference w:id="1464"/>
      </w:r>
      <w:r>
        <w:rPr>
          <w:rFonts w:hint="eastAsia" w:cstheme="minorBidi"/>
          <w:kern w:val="2"/>
          <w:sz w:val="21"/>
          <w:szCs w:val="24"/>
          <w:lang w:val="en-US" w:eastAsia="zh-CN" w:bidi="ar-SA"/>
        </w:rPr>
        <w:t>首先，要加大财税政策支持。从财政支持角度来说，针对村集体主导的合作社运营和农业产业化项目，可以建立“三优先”的扶持机制，即资金分配上优先保障、项目布局上优先安排、服务采购上优先支持；从税收政策角度来说，农村集体经济组织依法享受税收优惠。因此，要创新财税优惠政策，增加税收减免优惠和拓宽税收优惠政策范围。其次，加大金融政策支持。金融是新型农村集体经济发展的“助推器”。在加强金融监管和风险防控的前提下，可以引导金融机构创新针对新型农村集体经济的金融产品，扩大集体资产抵押融资范围，建立农村产权抵押贷款风险补偿机制，提高普惠型涉农贷款的覆盖面和精准度。</w:t>
      </w:r>
    </w:p>
    <w:p w14:paraId="21FCE14E">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三是加强政策执行监督。针对干部的思想认识问题，应重点普及常态化的乡村干部队伍政策解读和宣传、综合素质拓展教育和现代化技能培训。</w:t>
      </w:r>
      <w:r>
        <w:rPr>
          <w:rStyle w:val="20"/>
          <w:rFonts w:hint="eastAsia" w:cstheme="minorBidi"/>
          <w:kern w:val="2"/>
          <w:sz w:val="21"/>
          <w:szCs w:val="24"/>
          <w:lang w:val="en-US" w:eastAsia="zh-CN" w:bidi="ar-SA"/>
        </w:rPr>
        <w:footnoteReference w:id="1465"/>
      </w:r>
      <w:r>
        <w:rPr>
          <w:rFonts w:hint="eastAsia" w:cstheme="minorBidi"/>
          <w:kern w:val="2"/>
          <w:sz w:val="21"/>
          <w:szCs w:val="24"/>
          <w:lang w:val="en-US" w:eastAsia="zh-CN" w:bidi="ar-SA"/>
        </w:rPr>
        <w:t>完善政策执行考核与监督机制，将新型农村集体经济发展纳入地方政府重点考核指标，明确考核标准和奖惩措施，激发政策执行动力。</w:t>
      </w:r>
    </w:p>
    <w:p w14:paraId="5F84E995">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（二）整合要素资源，夯实城乡融合发展根基</w:t>
      </w:r>
    </w:p>
    <w:p w14:paraId="152689BA">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习近平总书记强调要“推进城乡要素平等交换和公共资源均衡配置”</w:t>
      </w:r>
      <w:r>
        <w:rPr>
          <w:rFonts w:hint="eastAsia" w:cstheme="minorBidi"/>
          <w:kern w:val="2"/>
          <w:sz w:val="21"/>
          <w:szCs w:val="24"/>
          <w:vertAlign w:val="superscript"/>
          <w:lang w:val="en-US" w:eastAsia="zh-CN" w:bidi="ar-SA"/>
        </w:rPr>
        <w:t>[11]169</w:t>
      </w:r>
      <w:r>
        <w:rPr>
          <w:rFonts w:hint="eastAsia" w:cstheme="minorBidi"/>
          <w:kern w:val="2"/>
          <w:sz w:val="21"/>
          <w:szCs w:val="24"/>
          <w:lang w:val="en-US" w:eastAsia="zh-CN" w:bidi="ar-SA"/>
        </w:rPr>
        <w:t>。针对新型农村集体经济生产要素短缺的困境，必须着力破除城乡要素流动的制度壁垒，构建一个引导各类优质生产要素向乡村回流和集聚的有效机制。</w:t>
      </w:r>
    </w:p>
    <w:p w14:paraId="4B9D4134">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一是实施“内培外引”并举的人才集聚工程。促进城乡人才资源双向流动，为发展壮大新型农村集体经济提供更多的人才支撑。一方面，在农村内部，注意通过系统性培训提升村“两委”干部的现代经济管理能力和市场开拓能力。同时，完善村内部优秀青年人才的选拔培育体系，吸引有理想、有能力、有奉献精神的青年人才投身新型农村集体经济建设。另一方面，对农村外部，优化人才引进政策，给予返乡下乡人才户籍落户、子女教育、医疗保障、创业扶持等各方面的便利，同时，完善人才激励和保障机制，为人才提供良好的工作和生活环境，确保人才能够留住并发挥实效。另外，可以探索城乡人才双向交流机制，鼓励城市的专业人才以灵活的方式参与新型农村集体经济的建设中来。</w:t>
      </w:r>
    </w:p>
    <w:p w14:paraId="6510C397">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二是构建多元化资本形成机制。通过拓宽资金供给渠道，为发展壮大新型农村集体经济提供更多资金支持。首先，增强内源性资本积累能力。通过土地流转、闲置宅基地盘活、集体经营性资产出租等方式，增加集体经济组织的经营性收入，增强自我造血能力。其次，发挥财政资金的撬动作用，引导更多金融资本和社会资本通过参股、合作等方式有序参与新型农村集体经济发展，鼓励耐心资本参与新型农村集体经济中长期项目建设。最后，对农村集体经济的资产负债情况进行动态监测，注重防范化解乡村债务风险。</w:t>
      </w:r>
      <w:r>
        <w:rPr>
          <w:rStyle w:val="20"/>
          <w:rFonts w:hint="eastAsia" w:cstheme="minorBidi"/>
          <w:kern w:val="2"/>
          <w:sz w:val="21"/>
          <w:szCs w:val="24"/>
          <w:lang w:val="en-US" w:eastAsia="zh-CN" w:bidi="ar-SA"/>
        </w:rPr>
        <w:footnoteReference w:id="1466"/>
      </w:r>
    </w:p>
    <w:p w14:paraId="75B013DD">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三是促进农地资源规模化整合。在坚持农村土地集体所有的前提下，稳步推进“三权分置”改革，鼓励和引导农民以土地经营权入股等形式，组建土地股份合作社，将碎片化的土地集中起来，交由村集体经济组织统一规划、统一经营。同时，可以进一步盘活农村闲置和撂荒的土地资源。解决农地细碎化问题，使新型农村集体经济实现规模化经营，可以更好地利用现代科学技术和对接城市各类优质资源。</w:t>
      </w:r>
    </w:p>
    <w:p w14:paraId="7270B4D7">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四是搭建城乡联动的技术转移与应用平台。加强农业技术研发与推广，加大对农业绿色技术、数字技术、精深加工技术等的研发投入，支持高校、科研院所与新型农村集体经济组织合作开展技术攻关，建立产学研合作基地。搭建城乡技术交流平台，促进城乡科技资源共享，推动城乡科技知识交流与培训。</w:t>
      </w:r>
    </w:p>
    <w:p w14:paraId="08EFF71A">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default"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（三）深化产业联动，增强城乡融合发展能力</w:t>
      </w:r>
    </w:p>
    <w:p w14:paraId="10B9D3CF">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城乡融合的主要任务之一就是要以产业融合发展促进农村现代化产业体系建设。</w:t>
      </w:r>
      <w:r>
        <w:rPr>
          <w:rStyle w:val="20"/>
          <w:rFonts w:hint="eastAsia" w:cstheme="minorBidi"/>
          <w:kern w:val="2"/>
          <w:sz w:val="21"/>
          <w:szCs w:val="24"/>
          <w:lang w:val="en-US" w:eastAsia="zh-CN" w:bidi="ar-SA"/>
        </w:rPr>
        <w:footnoteReference w:id="1467"/>
      </w:r>
      <w:r>
        <w:rPr>
          <w:rFonts w:hint="eastAsia" w:cstheme="minorBidi"/>
          <w:kern w:val="2"/>
          <w:sz w:val="21"/>
          <w:szCs w:val="24"/>
          <w:lang w:val="en-US" w:eastAsia="zh-CN" w:bidi="ar-SA"/>
        </w:rPr>
        <w:t>产业融合是指不同产业之间通过相互渗透、交叉重组等方式，实现产业之间的协同发展。在城乡融合的进程中，新型农村集体经济可以有效实现产业与农村领域的衔接。而针对新型农村集体经济发展所面临的产业融合的链条短、层次低与枢纽弱等问题，需以延伸产业链、提升融合层次、强化县域枢纽功能为核心，深化城乡产业联动，构建城乡产业协同发展体系。</w:t>
      </w:r>
    </w:p>
    <w:p w14:paraId="41322356">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一是推动一二三产业深度融合，延伸产业链价值链。要支持新型农村集体经济组织发展农产品精深加工，建设标准化加工厂房，引进先进加工设备，开发高附加值的农产品加工产品，推动农业产业化发展。同时，又要依托乡村特色资源，发展乡村旅游、休闲农业、康养产业、农村养老等服务业，挖掘农业的生态价值、文化价值、休闲价值，积极探索产业融合的新模式和新业态。</w:t>
      </w:r>
    </w:p>
    <w:p w14:paraId="79DED891">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二是强化县域产业枢纽功能，构建城乡产业协作体系。县域是城乡产业融合发展的主战场，新型农村集体经济又是县镇村联动发展的重要纽带。加强县域产业统筹规划，制定县域城乡产业融合发展规划，统筹城乡产业布局，支持新型农村集体经济组织融入县域产业体系，为县域主导产业提供原材料供应、配套加工等服务，形成上下游产业协同发展的格局。建立县域产业联动机制，加强县乡村三级产业联动，推动产业资源在县域范围内优化配置，提升县域产业对新型农村集体经济的辐射带动能力。</w:t>
      </w:r>
    </w:p>
    <w:p w14:paraId="32865C0E">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三是畅通城乡市场循环，建设一体化流通网络。加快补齐农村物流基础设施短板，支持新型农村集体经济组织参与建设产地仓储保鲜、冷链物流等设施，构建从田间到餐桌的高效、低成本流通体系。由于单打独斗的新型农村集体经济实力薄弱，应该大力提倡各个农村集体经济组织之间的联合，组建集体经济联合体，实现“抱团出海”，即在城市社区设立农产品直供点、体验店，或与城市大型商超、餐饮企业、机关食堂建立长期稳定的供销关系，打通城乡市场之间的壁垒，让农村的优质产品和服务能够顺畅地进入城市消费市场。</w:t>
      </w:r>
    </w:p>
    <w:p w14:paraId="08287142">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（四）完善治理体系，稳固城乡融合发展效能</w:t>
      </w:r>
    </w:p>
    <w:p w14:paraId="47122AED">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default" w:cstheme="minorBidi"/>
          <w:kern w:val="2"/>
          <w:sz w:val="21"/>
          <w:szCs w:val="24"/>
          <w:lang w:val="en-US" w:eastAsia="zh-CN" w:bidi="ar-SA"/>
        </w:rPr>
      </w:pPr>
      <w:r>
        <w:rPr>
          <w:rFonts w:hint="eastAsia" w:cstheme="minorBidi"/>
          <w:kern w:val="2"/>
          <w:sz w:val="21"/>
          <w:szCs w:val="24"/>
          <w:lang w:val="en-US" w:eastAsia="zh-CN" w:bidi="ar-SA"/>
        </w:rPr>
        <w:t>在推进乡村全面振兴的时代趋势下，要加快推进乡村治理体系和治理能力现代化，才能更好地推动城乡融合。新型农村集体经济组织是完善乡村治理机制，推动基层治理现代化的重要基石。</w:t>
      </w:r>
      <w:r>
        <w:rPr>
          <w:rStyle w:val="20"/>
          <w:rFonts w:hint="eastAsia" w:cstheme="minorBidi"/>
          <w:kern w:val="2"/>
          <w:sz w:val="21"/>
          <w:szCs w:val="24"/>
          <w:lang w:val="en-US" w:eastAsia="zh-CN" w:bidi="ar-SA"/>
        </w:rPr>
        <w:footnoteReference w:id="1468"/>
      </w:r>
      <w:r>
        <w:rPr>
          <w:rFonts w:hint="eastAsia" w:cstheme="minorBidi"/>
          <w:kern w:val="2"/>
          <w:sz w:val="21"/>
          <w:szCs w:val="24"/>
          <w:lang w:val="en-US" w:eastAsia="zh-CN" w:bidi="ar-SA"/>
        </w:rPr>
        <w:t>发展壮大新型农村集体经济能为乡村治理提供经济支撑，也能通过利益纽带使村民积极配合、参与乡村治理。</w:t>
      </w:r>
      <w:r>
        <w:rPr>
          <w:rStyle w:val="20"/>
          <w:rFonts w:hint="eastAsia" w:cstheme="minorBidi"/>
          <w:kern w:val="2"/>
          <w:sz w:val="21"/>
          <w:szCs w:val="24"/>
          <w:lang w:val="en-US" w:eastAsia="zh-CN" w:bidi="ar-SA"/>
        </w:rPr>
        <w:footnoteReference w:id="1469"/>
      </w:r>
    </w:p>
    <w:p w14:paraId="2DBC07E2">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一是规范内部治理，提升治理规范化水平。在党支部领导下，建立和完善新型农村集体经济“三会”治理结构，明确各机构的职责和运行规则，形成决策、执行、监督相互制衡的治理机制。因地制宜地推动“政经分开”改革，积极探索村集体经济组织和村级组织在人员、财务、资产、账目上的分离，更好地发挥集体经济组织的经济功能。对于具备条件的新型农村集体经济组织，鼓励其通过市场化方式选聘职业经理人，实现所有权与经营权的分离，提升专业化经营水平。</w:t>
      </w:r>
    </w:p>
    <w:p w14:paraId="5E84DE11">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二是提升市场适应能力，增强市场竞争力。要明确市场定位，引导新型农村集体经济组织深入调研市场需求，结合自身资源禀赋和优势，找准市场定位，构建区域性农产品品牌，开发满足城乡居民多元化、个性化需求的产品和服务。各级政府可以进一步优化政策支持，通过设立资质认证“绿色通道”，并提供免费咨询和技术辅导，对于获得各类生产许可和质量体系认证的新型农村集体经济组织可以设立专项资金给予补贴和奖励。</w:t>
      </w:r>
    </w:p>
    <w:p w14:paraId="35DA4F6C">
      <w:pPr>
        <w:keepNext w:val="0"/>
        <w:keepLines w:val="0"/>
        <w:pageBreakBefore w:val="0"/>
        <w:widowControl w:val="0"/>
        <w:kinsoku/>
        <w:wordWrap/>
        <w:overflowPunct/>
        <w:topLinePunct w:val="0"/>
        <w:autoSpaceDE/>
        <w:autoSpaceDN/>
        <w:bidi w:val="0"/>
        <w:adjustRightInd/>
        <w:snapToGrid/>
        <w:spacing w:line="360" w:lineRule="auto"/>
        <w:ind w:firstLine="281" w:firstLineChars="0"/>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三是强化治理协同，畅通城乡融合对接渠道。要加强与政府治理的协同，建立政府与新型农村集体经济组织的沟通协调机制，政府部门减少不必要的干预，加强政策引导、服务支持和监督管理，为新型农村集体经济组织发展提供明确的方向指引。要加强与市场治理的协同，建立城乡市场信息对接平台，为新型农村集体经济组织提供市场信息、技术支持、法律咨询等服务。通过建立城乡治理协同机制，推动城市治理经验向农村延伸，促进城乡治理标准一体化，提升新型农村集体经济组织的治理水平和城乡融合的对接效率。</w:t>
      </w:r>
    </w:p>
    <w:p w14:paraId="5A88881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eastAsia="宋体" w:cstheme="minorBidi"/>
          <w:b/>
          <w:bCs/>
          <w:kern w:val="2"/>
          <w:sz w:val="21"/>
          <w:szCs w:val="24"/>
          <w:lang w:val="en-US" w:eastAsia="zh-CN" w:bidi="ar-SA"/>
        </w:rPr>
      </w:pPr>
      <w:r>
        <w:rPr>
          <w:rFonts w:hint="eastAsia" w:eastAsia="宋体" w:cstheme="minorBidi"/>
          <w:b/>
          <w:bCs/>
          <w:kern w:val="2"/>
          <w:sz w:val="21"/>
          <w:szCs w:val="24"/>
          <w:lang w:val="en-US" w:eastAsia="zh-CN" w:bidi="ar-SA"/>
        </w:rPr>
        <w:t>（五）注入转型动能，提升城乡融合发展质量</w:t>
      </w:r>
    </w:p>
    <w:p w14:paraId="3F22F226">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eastAsia" w:asciiTheme="minorHAnsi" w:hAnsiTheme="minorHAnsi" w:eastAsiaTheme="minorEastAsia" w:cstheme="minorBidi"/>
          <w:kern w:val="2"/>
          <w:sz w:val="21"/>
          <w:szCs w:val="24"/>
          <w:lang w:val="en-US" w:eastAsia="zh-CN" w:bidi="ar-SA"/>
        </w:rPr>
      </w:pPr>
      <w:r>
        <w:rPr>
          <w:rFonts w:hint="eastAsia" w:asciiTheme="minorHAnsi" w:hAnsiTheme="minorHAnsi" w:eastAsiaTheme="minorEastAsia" w:cstheme="minorBidi"/>
          <w:kern w:val="2"/>
          <w:sz w:val="21"/>
          <w:szCs w:val="24"/>
          <w:lang w:val="en-US" w:eastAsia="zh-CN" w:bidi="ar-SA"/>
        </w:rPr>
        <w:t>习近平总书记强调：“我们要加强经济技术合作，加速数字化绿色化协同发展，推进能源资源、产业结构、消费结构转型升级，推动经济社会绿色发展。”</w:t>
      </w:r>
      <w:r>
        <w:rPr>
          <w:rStyle w:val="20"/>
          <w:rFonts w:hint="eastAsia" w:asciiTheme="minorHAnsi" w:hAnsiTheme="minorHAnsi" w:eastAsiaTheme="minorEastAsia" w:cstheme="minorBidi"/>
          <w:kern w:val="2"/>
          <w:sz w:val="21"/>
          <w:szCs w:val="24"/>
          <w:lang w:val="en-US" w:eastAsia="zh-CN" w:bidi="ar-SA"/>
        </w:rPr>
        <w:footnoteReference w:id="1470"/>
      </w:r>
      <w:r>
        <w:rPr>
          <w:rFonts w:hint="eastAsia" w:asciiTheme="minorHAnsi" w:hAnsiTheme="minorHAnsi" w:eastAsiaTheme="minorEastAsia" w:cstheme="minorBidi"/>
          <w:kern w:val="2"/>
          <w:sz w:val="21"/>
          <w:szCs w:val="24"/>
          <w:lang w:val="en-US" w:eastAsia="zh-CN" w:bidi="ar-SA"/>
        </w:rPr>
        <w:t>数字化绿色化转型乏力，阻碍了新型农村集体经济实现跨越式发展，削弱了其在城乡融合进程中的桥梁和纽带作用。因此，破解数字化与绿色化转型难题，不仅是新型农村集体经济自身生存与发展的需要，更是关系到城乡融合能否向更高层次、更高质量迈进的全局性问题。</w:t>
      </w:r>
    </w:p>
    <w:p w14:paraId="02F427D3">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一是实施数字化赋能行动，跨越“数字鸿沟”、联通“数据孤岛”。一方面要加快农村新基建。持续推进农村5G网络、物联网等信息基础设施建设，实现“数字乡村”网络全覆盖，缩小城乡数字基础设施差距。同时，大规模开展农民数字素养与技能培训，让智能设备成为农民的“新农具”，让数据成为新型农村集体经济的“新农资”。另一方面，建设一体化数字管理平台。在县域层面，整合各部门涉农数据，打通数据壁垒，建立农村集体经济云平台，以数字技术赋能优势，优化村集体组织的资源要素配置体系、经营管理体系、收益分配体系，提升新型农村集体经济发展效率。</w:t>
      </w:r>
    </w:p>
    <w:p w14:paraId="429C21CB">
      <w:pPr>
        <w:keepNext w:val="0"/>
        <w:keepLines w:val="0"/>
        <w:pageBreakBefore w:val="0"/>
        <w:widowControl w:val="0"/>
        <w:kinsoku/>
        <w:wordWrap/>
        <w:overflowPunct/>
        <w:topLinePunct w:val="0"/>
        <w:autoSpaceDE/>
        <w:autoSpaceDN/>
        <w:bidi w:val="0"/>
        <w:adjustRightInd/>
        <w:snapToGrid/>
        <w:spacing w:line="360" w:lineRule="auto"/>
        <w:ind w:firstLine="489" w:firstLineChars="233"/>
        <w:jc w:val="left"/>
        <w:textAlignment w:val="auto"/>
        <w:rPr>
          <w:rFonts w:hint="eastAsia" w:cstheme="minorBidi"/>
          <w:kern w:val="2"/>
          <w:sz w:val="21"/>
          <w:szCs w:val="24"/>
          <w:lang w:val="en-US" w:eastAsia="zh-CN" w:bidi="ar-SA"/>
        </w:rPr>
      </w:pPr>
      <w:r>
        <w:rPr>
          <w:rFonts w:hint="eastAsia" w:cstheme="minorBidi"/>
          <w:kern w:val="2"/>
          <w:sz w:val="21"/>
          <w:szCs w:val="24"/>
          <w:lang w:val="en-US" w:eastAsia="zh-CN" w:bidi="ar-SA"/>
        </w:rPr>
        <w:t>二是实施绿色化引领行动，加快绿色化转型进程。利用城乡两方面资源，坚持构建城乡联动的绿色资金和技术的支撑体系。在资金支持方面，可以设立县域绿色转型专项基金，统筹财政支农资金、普惠金融资源和城市社会资本，重点支持农村集体经济组织的绿色技术改造、生态农业建设。在技术支持方面，推动城市绿色技术向农村转移，建立产学研联合体，免费或低价提供智能灌溉、病虫害绿色防控等适用技术。同时，简化绿色认证流程和降低准入成本。通过衔接城乡绿色认证标准，推动城市绿色认证机构下沉县域，简化新型农村集体经济组织的有机、绿色、无公害认证流程，缩短认证周期。</w:t>
      </w:r>
    </w:p>
    <w:p w14:paraId="20C0A250">
      <w:pPr>
        <w:tabs>
          <w:tab w:val="left" w:pos="666"/>
        </w:tabs>
        <w:bidi w:val="0"/>
        <w:jc w:val="left"/>
        <w:rPr>
          <w:rFonts w:hint="eastAsia" w:cstheme="minorBidi"/>
          <w:kern w:val="2"/>
          <w:sz w:val="21"/>
          <w:szCs w:val="24"/>
          <w:lang w:val="en-US" w:eastAsia="zh-CN" w:bidi="ar-SA"/>
        </w:rPr>
      </w:pPr>
    </w:p>
    <w:p w14:paraId="096D84B4">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《贵州社会科学》2026年第4期</w:t>
      </w:r>
      <w:r>
        <w:rPr>
          <w:rFonts w:hint="eastAsia" w:ascii="Times New Roman" w:hAnsi="Times New Roman"/>
          <w:szCs w:val="21"/>
          <w:lang w:val="en-US" w:eastAsia="zh-CN"/>
        </w:rPr>
        <w:t>，第二作者为王君玺</w:t>
      </w:r>
      <w:r>
        <w:rPr>
          <w:rFonts w:hint="eastAsia" w:ascii="Times New Roman" w:hAnsi="Times New Roman" w:eastAsia="宋体"/>
          <w:szCs w:val="21"/>
          <w:lang w:val="en-US" w:eastAsia="zh-CN"/>
        </w:rPr>
        <w:t>。</w:t>
      </w:r>
      <w:r>
        <w:rPr>
          <w:rFonts w:hint="eastAsia" w:ascii="Times New Roman" w:hAnsi="Times New Roman"/>
          <w:szCs w:val="21"/>
          <w:lang w:val="en-US" w:eastAsia="zh-CN"/>
        </w:rPr>
        <w:t>）</w:t>
      </w:r>
    </w:p>
    <w:p w14:paraId="3DEBC0F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353D50D9">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Times New Roman" w:hAnsi="Times New Roman" w:eastAsia="宋体"/>
          <w:b/>
          <w:bCs/>
          <w:sz w:val="28"/>
          <w:szCs w:val="28"/>
          <w:lang w:val="en-US" w:eastAsia="zh-CN"/>
        </w:rPr>
      </w:pPr>
      <w:bookmarkStart w:id="1004" w:name="_Toc186523203"/>
      <w:bookmarkStart w:id="1005" w:name="_Toc31502"/>
      <w:bookmarkStart w:id="1006" w:name="_Toc569315100"/>
      <w:bookmarkStart w:id="1007" w:name="_Toc1119071295"/>
      <w:bookmarkStart w:id="1008" w:name="_Toc2135767962"/>
      <w:bookmarkStart w:id="1009" w:name="_Toc1512464672"/>
      <w:r>
        <w:rPr>
          <w:rFonts w:hint="eastAsia" w:ascii="Times New Roman" w:hAnsi="Times New Roman"/>
          <w:b/>
          <w:bCs/>
          <w:sz w:val="28"/>
          <w:szCs w:val="28"/>
          <w:lang w:val="en-US" w:eastAsia="zh-CN"/>
        </w:rPr>
        <w:t>10</w:t>
      </w:r>
      <w:r>
        <w:rPr>
          <w:rFonts w:hint="eastAsia" w:ascii="Times New Roman" w:hAnsi="Times New Roman" w:eastAsia="宋体"/>
          <w:b/>
          <w:bCs/>
          <w:sz w:val="28"/>
          <w:szCs w:val="28"/>
          <w:lang w:val="en-US" w:eastAsia="zh-CN"/>
        </w:rPr>
        <w:t>构建中国哲学社会科学自主知识体系的世界观和方法论</w:t>
      </w:r>
      <w:bookmarkEnd w:id="1004"/>
      <w:bookmarkEnd w:id="1005"/>
      <w:bookmarkEnd w:id="1006"/>
      <w:bookmarkEnd w:id="1007"/>
      <w:bookmarkEnd w:id="1008"/>
      <w:bookmarkEnd w:id="1009"/>
    </w:p>
    <w:p w14:paraId="0FE2BA85">
      <w:pPr>
        <w:keepNext w:val="0"/>
        <w:keepLines w:val="0"/>
        <w:pageBreakBefore w:val="0"/>
        <w:widowControl/>
        <w:kinsoku w:val="0"/>
        <w:wordWrap/>
        <w:overflowPunct/>
        <w:topLinePunct w:val="0"/>
        <w:autoSpaceDE w:val="0"/>
        <w:autoSpaceDN w:val="0"/>
        <w:bidi w:val="0"/>
        <w:adjustRightInd w:val="0"/>
        <w:snapToGrid w:val="0"/>
        <w:spacing w:line="360" w:lineRule="auto"/>
        <w:ind w:right="0"/>
        <w:textAlignment w:val="baseline"/>
        <w:outlineLvl w:val="9"/>
        <w:rPr>
          <w:rFonts w:hint="eastAsia" w:ascii="宋体" w:hAnsi="宋体" w:eastAsia="宋体" w:cs="宋体"/>
          <w:sz w:val="21"/>
          <w:szCs w:val="21"/>
        </w:rPr>
      </w:pPr>
    </w:p>
    <w:p w14:paraId="2C371FD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7B42A89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10"/>
          <w:sz w:val="21"/>
          <w:szCs w:val="21"/>
        </w:rPr>
        <w:t>构建中国哲学社会科学自主知识体系是推动我国哲学社会科学繁荣发展的重大战略任务</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10"/>
          <w:sz w:val="21"/>
          <w:szCs w:val="21"/>
        </w:rPr>
        <w:t>，是</w:t>
      </w:r>
      <w:r>
        <w:rPr>
          <w:rFonts w:hint="eastAsia" w:ascii="宋体" w:hAnsi="宋体" w:eastAsia="宋体" w:cs="宋体"/>
          <w:color w:val="231F20"/>
          <w:spacing w:val="9"/>
          <w:sz w:val="21"/>
          <w:szCs w:val="21"/>
        </w:rPr>
        <w:t>提升我国文化软实力和国际竞争力的必然要求</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9"/>
          <w:sz w:val="21"/>
          <w:szCs w:val="21"/>
        </w:rPr>
        <w:t>，是新时代哲学社会科学发展的核心命题</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9"/>
          <w:sz w:val="21"/>
          <w:szCs w:val="21"/>
        </w:rPr>
        <w:t>。党的二</w:t>
      </w:r>
      <w:r>
        <w:rPr>
          <w:rFonts w:hint="eastAsia" w:ascii="宋体" w:hAnsi="宋体" w:eastAsia="宋体" w:cs="宋体"/>
          <w:color w:val="231F20"/>
          <w:spacing w:val="10"/>
          <w:sz w:val="21"/>
          <w:szCs w:val="21"/>
        </w:rPr>
        <w:t>十届四中全会强调“创新实施马克思主义理论研究和建设工程</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10"/>
          <w:sz w:val="21"/>
          <w:szCs w:val="21"/>
        </w:rPr>
        <w:t>，加快构建中国哲学社会科学自主</w:t>
      </w:r>
      <w:r>
        <w:rPr>
          <w:rFonts w:hint="eastAsia" w:ascii="宋体" w:hAnsi="宋体" w:eastAsia="宋体" w:cs="宋体"/>
          <w:color w:val="231F20"/>
          <w:spacing w:val="8"/>
          <w:sz w:val="21"/>
          <w:szCs w:val="21"/>
        </w:rPr>
        <w:t>知识体系”</w:t>
      </w:r>
      <w:r>
        <w:rPr>
          <w:rFonts w:hint="eastAsia" w:ascii="宋体" w:hAnsi="宋体" w:eastAsia="宋体" w:cs="宋体"/>
          <w:color w:val="231F20"/>
          <w:spacing w:val="-80"/>
          <w:w w:val="86"/>
          <w:sz w:val="21"/>
          <w:szCs w:val="21"/>
        </w:rPr>
        <w:t>，（</w:t>
      </w:r>
      <w:r>
        <w:rPr>
          <w:rFonts w:hint="eastAsia" w:ascii="宋体" w:hAnsi="宋体" w:eastAsia="宋体" w:cs="宋体"/>
          <w:color w:val="231F20"/>
          <w:spacing w:val="8"/>
          <w:sz w:val="21"/>
          <w:szCs w:val="21"/>
        </w:rPr>
        <w:t>《人民日报》，</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8"/>
          <w:sz w:val="21"/>
          <w:szCs w:val="21"/>
        </w:rPr>
        <w:t>2025） 为构建中国哲学社会科学自主知识体系指明了方向</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8"/>
          <w:sz w:val="21"/>
          <w:szCs w:val="21"/>
        </w:rPr>
        <w:t>。党的二十大报告将习近平新时代中国特色社会主义思想的世</w:t>
      </w:r>
      <w:r>
        <w:rPr>
          <w:rFonts w:hint="eastAsia" w:ascii="宋体" w:hAnsi="宋体" w:eastAsia="宋体" w:cs="宋体"/>
          <w:color w:val="231F20"/>
          <w:spacing w:val="7"/>
          <w:sz w:val="21"/>
          <w:szCs w:val="21"/>
        </w:rPr>
        <w:t>界观和方法论系统概括为“六个必须坚持”，</w:t>
      </w:r>
      <w:r>
        <w:rPr>
          <w:rFonts w:hint="eastAsia" w:ascii="宋体" w:hAnsi="宋体" w:eastAsia="宋体" w:cs="宋体"/>
          <w:color w:val="231F20"/>
          <w:spacing w:val="8"/>
          <w:sz w:val="21"/>
          <w:szCs w:val="21"/>
        </w:rPr>
        <w:t>即必须坚持人民至上</w:t>
      </w:r>
      <w:r>
        <w:rPr>
          <w:rFonts w:hint="eastAsia" w:ascii="宋体" w:hAnsi="宋体" w:eastAsia="宋体" w:cs="宋体"/>
          <w:color w:val="231F20"/>
          <w:spacing w:val="-12"/>
          <w:sz w:val="21"/>
          <w:szCs w:val="21"/>
        </w:rPr>
        <w:t xml:space="preserve"> </w:t>
      </w:r>
      <w:r>
        <w:rPr>
          <w:rFonts w:hint="eastAsia" w:ascii="宋体" w:hAnsi="宋体" w:eastAsia="宋体" w:cs="宋体"/>
          <w:color w:val="231F20"/>
          <w:spacing w:val="8"/>
          <w:sz w:val="21"/>
          <w:szCs w:val="21"/>
        </w:rPr>
        <w:t>、必须坚持自信自立</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、必须坚持守正创新</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、必须坚持问题导向</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8"/>
          <w:sz w:val="21"/>
          <w:szCs w:val="21"/>
        </w:rPr>
        <w:t>、必须坚持系</w:t>
      </w:r>
      <w:r>
        <w:rPr>
          <w:rFonts w:hint="eastAsia" w:ascii="宋体" w:hAnsi="宋体" w:eastAsia="宋体" w:cs="宋体"/>
          <w:color w:val="231F20"/>
          <w:spacing w:val="10"/>
          <w:sz w:val="21"/>
          <w:szCs w:val="21"/>
        </w:rPr>
        <w:t>统观念</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10"/>
          <w:sz w:val="21"/>
          <w:szCs w:val="21"/>
        </w:rPr>
        <w:t>、必须坚持胸怀天下。“六个必须坚持</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10"/>
          <w:sz w:val="21"/>
          <w:szCs w:val="21"/>
        </w:rPr>
        <w:t>”的世界观和方法论与</w:t>
      </w:r>
      <w:r>
        <w:rPr>
          <w:rFonts w:hint="eastAsia" w:ascii="宋体" w:hAnsi="宋体" w:eastAsia="宋体" w:cs="宋体"/>
          <w:color w:val="231F20"/>
          <w:spacing w:val="9"/>
          <w:sz w:val="21"/>
          <w:szCs w:val="21"/>
        </w:rPr>
        <w:t>马克思主义的世界观和方法</w:t>
      </w:r>
      <w:r>
        <w:rPr>
          <w:rFonts w:hint="eastAsia" w:ascii="宋体" w:hAnsi="宋体" w:eastAsia="宋体" w:cs="宋体"/>
          <w:color w:val="231F20"/>
          <w:spacing w:val="10"/>
          <w:sz w:val="21"/>
          <w:szCs w:val="21"/>
        </w:rPr>
        <w:t>论在本质上是内在统一</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10"/>
          <w:sz w:val="21"/>
          <w:szCs w:val="21"/>
        </w:rPr>
        <w:t>、高度一致的</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10"/>
          <w:sz w:val="21"/>
          <w:szCs w:val="21"/>
        </w:rPr>
        <w:t>，是辩</w:t>
      </w:r>
      <w:r>
        <w:rPr>
          <w:rFonts w:hint="eastAsia" w:ascii="宋体" w:hAnsi="宋体" w:eastAsia="宋体" w:cs="宋体"/>
          <w:color w:val="231F20"/>
          <w:spacing w:val="9"/>
          <w:sz w:val="21"/>
          <w:szCs w:val="21"/>
        </w:rPr>
        <w:t>证唯物主义和历史唯物主义世界观方法论的具象化表</w:t>
      </w:r>
      <w:r>
        <w:rPr>
          <w:rFonts w:hint="eastAsia" w:ascii="宋体" w:hAnsi="宋体" w:eastAsia="宋体" w:cs="宋体"/>
          <w:color w:val="231F20"/>
          <w:spacing w:val="8"/>
          <w:sz w:val="21"/>
          <w:szCs w:val="21"/>
        </w:rPr>
        <w:t>达与具体化呈现</w:t>
      </w:r>
      <w:r>
        <w:rPr>
          <w:rFonts w:hint="eastAsia" w:ascii="宋体" w:hAnsi="宋体" w:eastAsia="宋体" w:cs="宋体"/>
          <w:color w:val="231F20"/>
          <w:spacing w:val="-10"/>
          <w:sz w:val="21"/>
          <w:szCs w:val="21"/>
        </w:rPr>
        <w:t xml:space="preserve"> </w:t>
      </w:r>
      <w:r>
        <w:rPr>
          <w:rFonts w:hint="eastAsia" w:ascii="宋体" w:hAnsi="宋体" w:eastAsia="宋体" w:cs="宋体"/>
          <w:color w:val="231F20"/>
          <w:spacing w:val="8"/>
          <w:sz w:val="21"/>
          <w:szCs w:val="21"/>
        </w:rPr>
        <w:t>，为中国自主知识体系的构建提供了根</w:t>
      </w:r>
      <w:r>
        <w:rPr>
          <w:rFonts w:hint="eastAsia" w:ascii="宋体" w:hAnsi="宋体" w:eastAsia="宋体" w:cs="宋体"/>
          <w:color w:val="231F20"/>
          <w:spacing w:val="7"/>
          <w:sz w:val="21"/>
          <w:szCs w:val="21"/>
        </w:rPr>
        <w:t>本遵循。</w:t>
      </w:r>
    </w:p>
    <w:p w14:paraId="265F53A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7B14BE7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pacing w:val="-9"/>
          <w:position w:val="1"/>
          <w:sz w:val="24"/>
          <w:szCs w:val="24"/>
        </w:rPr>
      </w:pPr>
      <w:r>
        <w:rPr>
          <w:rFonts w:hint="eastAsia" w:ascii="宋体" w:hAnsi="宋体" w:eastAsia="宋体" w:cs="宋体"/>
          <w:b/>
          <w:bCs/>
          <w:spacing w:val="-9"/>
          <w:position w:val="1"/>
          <w:sz w:val="24"/>
          <w:szCs w:val="24"/>
        </w:rPr>
        <w:t>一、坚持人民至上 ：构建中国自主知识体系的根本立场</w:t>
      </w:r>
    </w:p>
    <w:p w14:paraId="4D14415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0E219B3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12"/>
          <w:sz w:val="21"/>
          <w:szCs w:val="21"/>
        </w:rPr>
        <w:t>习近平总书记指出：“树立为人民做学问的理想，</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12"/>
          <w:sz w:val="21"/>
          <w:szCs w:val="21"/>
        </w:rPr>
        <w:t>尊重人民主体地位，</w:t>
      </w:r>
      <w:r>
        <w:rPr>
          <w:rFonts w:hint="eastAsia" w:ascii="宋体" w:hAnsi="宋体" w:eastAsia="宋体" w:cs="宋体"/>
          <w:color w:val="231F20"/>
          <w:spacing w:val="-24"/>
          <w:sz w:val="21"/>
          <w:szCs w:val="21"/>
        </w:rPr>
        <w:t xml:space="preserve"> </w:t>
      </w:r>
      <w:r>
        <w:rPr>
          <w:rFonts w:hint="eastAsia" w:ascii="宋体" w:hAnsi="宋体" w:eastAsia="宋体" w:cs="宋体"/>
          <w:color w:val="231F20"/>
          <w:spacing w:val="11"/>
          <w:sz w:val="21"/>
          <w:szCs w:val="21"/>
        </w:rPr>
        <w:t>聚焦人民实践创造，</w:t>
      </w:r>
      <w:r>
        <w:rPr>
          <w:rFonts w:hint="eastAsia" w:ascii="宋体" w:hAnsi="宋体" w:eastAsia="宋体" w:cs="宋体"/>
          <w:color w:val="231F20"/>
          <w:spacing w:val="9"/>
          <w:sz w:val="21"/>
          <w:szCs w:val="21"/>
        </w:rPr>
        <w:t>自觉把个人学术追求同国家和民族发展紧紧联系在一起</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，努力多出经得起</w:t>
      </w:r>
      <w:r>
        <w:rPr>
          <w:rFonts w:hint="eastAsia" w:ascii="宋体" w:hAnsi="宋体" w:eastAsia="宋体" w:cs="宋体"/>
          <w:color w:val="231F20"/>
          <w:spacing w:val="8"/>
          <w:sz w:val="21"/>
          <w:szCs w:val="21"/>
        </w:rPr>
        <w:t>实践</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8"/>
          <w:sz w:val="21"/>
          <w:szCs w:val="21"/>
        </w:rPr>
        <w:t>、人民</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、历史检验的研究成果。”</w:t>
      </w:r>
      <w:r>
        <w:rPr>
          <w:rStyle w:val="20"/>
          <w:rFonts w:hint="eastAsia" w:ascii="宋体" w:hAnsi="宋体" w:eastAsia="宋体" w:cs="宋体"/>
          <w:color w:val="231F20"/>
          <w:spacing w:val="8"/>
          <w:sz w:val="21"/>
          <w:szCs w:val="21"/>
        </w:rPr>
        <w:footnoteReference w:id="1471"/>
      </w:r>
      <w:r>
        <w:rPr>
          <w:rFonts w:hint="eastAsia" w:ascii="宋体" w:hAnsi="宋体" w:eastAsia="宋体" w:cs="宋体"/>
          <w:color w:val="231F20"/>
          <w:spacing w:val="8"/>
          <w:sz w:val="21"/>
          <w:szCs w:val="21"/>
        </w:rPr>
        <w:t>人民立场是构建中国自主知识体系的根本立</w:t>
      </w:r>
      <w:r>
        <w:rPr>
          <w:rFonts w:hint="eastAsia" w:ascii="宋体" w:hAnsi="宋体" w:eastAsia="宋体" w:cs="宋体"/>
          <w:color w:val="231F20"/>
          <w:spacing w:val="7"/>
          <w:sz w:val="21"/>
          <w:szCs w:val="21"/>
        </w:rPr>
        <w:t>场</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7"/>
          <w:sz w:val="21"/>
          <w:szCs w:val="21"/>
        </w:rPr>
        <w:t>马克思主义唯物史观揭示了人民</w:t>
      </w:r>
      <w:r>
        <w:rPr>
          <w:rFonts w:hint="eastAsia" w:ascii="宋体" w:hAnsi="宋体" w:eastAsia="宋体" w:cs="宋体"/>
          <w:color w:val="231F20"/>
          <w:spacing w:val="8"/>
          <w:sz w:val="21"/>
          <w:szCs w:val="21"/>
        </w:rPr>
        <w:t>性是马克思主义的本质属性</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，人民群众是历史的创造者</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7"/>
          <w:sz w:val="21"/>
          <w:szCs w:val="21"/>
        </w:rPr>
        <w:t>是推动社会发展的根本力量</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7"/>
          <w:sz w:val="21"/>
          <w:szCs w:val="21"/>
        </w:rPr>
        <w:t>中国自主</w:t>
      </w:r>
      <w:r>
        <w:rPr>
          <w:rFonts w:hint="eastAsia" w:ascii="宋体" w:hAnsi="宋体" w:eastAsia="宋体" w:cs="宋体"/>
          <w:color w:val="231F20"/>
          <w:spacing w:val="8"/>
          <w:sz w:val="21"/>
          <w:szCs w:val="21"/>
        </w:rPr>
        <w:t>知识体系的构建必须扎根人民实践，</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8"/>
          <w:sz w:val="21"/>
          <w:szCs w:val="21"/>
        </w:rPr>
        <w:t>以人民为中心，</w:t>
      </w:r>
      <w:r>
        <w:rPr>
          <w:rFonts w:hint="eastAsia" w:ascii="宋体" w:hAnsi="宋体" w:eastAsia="宋体" w:cs="宋体"/>
          <w:color w:val="231F20"/>
          <w:spacing w:val="-13"/>
          <w:sz w:val="21"/>
          <w:szCs w:val="21"/>
        </w:rPr>
        <w:t xml:space="preserve"> </w:t>
      </w:r>
      <w:r>
        <w:rPr>
          <w:rFonts w:hint="eastAsia" w:ascii="宋体" w:hAnsi="宋体" w:eastAsia="宋体" w:cs="宋体"/>
          <w:color w:val="231F20"/>
          <w:spacing w:val="8"/>
          <w:sz w:val="21"/>
          <w:szCs w:val="21"/>
        </w:rPr>
        <w:t>回</w:t>
      </w:r>
      <w:r>
        <w:rPr>
          <w:rFonts w:hint="eastAsia" w:ascii="宋体" w:hAnsi="宋体" w:eastAsia="宋体" w:cs="宋体"/>
          <w:color w:val="231F20"/>
          <w:spacing w:val="7"/>
          <w:sz w:val="21"/>
          <w:szCs w:val="21"/>
        </w:rPr>
        <w:t>应人民需求</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，体现“</w:t>
      </w:r>
      <w:r>
        <w:rPr>
          <w:rFonts w:hint="eastAsia" w:ascii="宋体" w:hAnsi="宋体" w:eastAsia="宋体" w:cs="宋体"/>
          <w:color w:val="231F20"/>
          <w:spacing w:val="-36"/>
          <w:sz w:val="21"/>
          <w:szCs w:val="21"/>
        </w:rPr>
        <w:t xml:space="preserve"> </w:t>
      </w:r>
      <w:r>
        <w:rPr>
          <w:rFonts w:hint="eastAsia" w:ascii="宋体" w:hAnsi="宋体" w:eastAsia="宋体" w:cs="宋体"/>
          <w:color w:val="231F20"/>
          <w:spacing w:val="7"/>
          <w:sz w:val="21"/>
          <w:szCs w:val="21"/>
        </w:rPr>
        <w:t>为人民做学问</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7"/>
          <w:sz w:val="21"/>
          <w:szCs w:val="21"/>
        </w:rPr>
        <w:t>”的价</w:t>
      </w:r>
      <w:r>
        <w:rPr>
          <w:rFonts w:hint="eastAsia" w:ascii="宋体" w:hAnsi="宋体" w:eastAsia="宋体" w:cs="宋体"/>
          <w:color w:val="231F20"/>
          <w:spacing w:val="8"/>
          <w:sz w:val="21"/>
          <w:szCs w:val="21"/>
        </w:rPr>
        <w:t>值导向</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8"/>
          <w:sz w:val="21"/>
          <w:szCs w:val="21"/>
        </w:rPr>
        <w:t>，将满足人民对美好生活的向往作为出发点和落脚点</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，让成果真正服务于人民群众</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，增强人民群众对自主知识体系的认同感</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。这具体体现在三个方面</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8"/>
          <w:sz w:val="21"/>
          <w:szCs w:val="21"/>
        </w:rPr>
        <w:t>。一是， 自主知识体系的构建要反映</w:t>
      </w:r>
      <w:r>
        <w:rPr>
          <w:rFonts w:hint="eastAsia" w:ascii="宋体" w:hAnsi="宋体" w:eastAsia="宋体" w:cs="宋体"/>
          <w:color w:val="231F20"/>
          <w:spacing w:val="7"/>
          <w:sz w:val="21"/>
          <w:szCs w:val="21"/>
        </w:rPr>
        <w:t>人民的切身利益需求</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当前人民对美好生活的向往呈现多样化</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、多层次</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、多方面的特点， 自主知</w:t>
      </w:r>
      <w:r>
        <w:rPr>
          <w:rFonts w:hint="eastAsia" w:ascii="宋体" w:hAnsi="宋体" w:eastAsia="宋体" w:cs="宋体"/>
          <w:color w:val="231F20"/>
          <w:spacing w:val="10"/>
          <w:sz w:val="21"/>
          <w:szCs w:val="21"/>
        </w:rPr>
        <w:t>识体系的构建要以解决人民日常生活中的医疗</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10"/>
          <w:sz w:val="21"/>
          <w:szCs w:val="21"/>
        </w:rPr>
        <w:t>、就业等“</w:t>
      </w:r>
      <w:r>
        <w:rPr>
          <w:rFonts w:hint="eastAsia" w:ascii="宋体" w:hAnsi="宋体" w:eastAsia="宋体" w:cs="宋体"/>
          <w:color w:val="231F20"/>
          <w:spacing w:val="-36"/>
          <w:sz w:val="21"/>
          <w:szCs w:val="21"/>
        </w:rPr>
        <w:t xml:space="preserve"> </w:t>
      </w:r>
      <w:r>
        <w:rPr>
          <w:rFonts w:hint="eastAsia" w:ascii="宋体" w:hAnsi="宋体" w:eastAsia="宋体" w:cs="宋体"/>
          <w:color w:val="231F20"/>
          <w:spacing w:val="10"/>
          <w:sz w:val="21"/>
          <w:szCs w:val="21"/>
        </w:rPr>
        <w:t>急难愁盼</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10"/>
          <w:sz w:val="21"/>
          <w:szCs w:val="21"/>
        </w:rPr>
        <w:t>”问题为出发点 ，把实现好、</w:t>
      </w:r>
      <w:r>
        <w:rPr>
          <w:rFonts w:hint="eastAsia" w:ascii="宋体" w:hAnsi="宋体" w:eastAsia="宋体" w:cs="宋体"/>
          <w:color w:val="231F20"/>
          <w:spacing w:val="8"/>
          <w:sz w:val="21"/>
          <w:szCs w:val="21"/>
        </w:rPr>
        <w:t>维护好</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、发展好最广大人民根本利益作为理论创新的最高标准</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8"/>
          <w:sz w:val="21"/>
          <w:szCs w:val="21"/>
        </w:rPr>
        <w:t>。二是， 自主知识体系的构建要坚</w:t>
      </w:r>
      <w:r>
        <w:rPr>
          <w:rFonts w:hint="eastAsia" w:ascii="宋体" w:hAnsi="宋体" w:eastAsia="宋体" w:cs="宋体"/>
          <w:color w:val="231F20"/>
          <w:spacing w:val="7"/>
          <w:sz w:val="21"/>
          <w:szCs w:val="21"/>
        </w:rPr>
        <w:t>持人民的主体地位</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7"/>
          <w:sz w:val="21"/>
          <w:szCs w:val="21"/>
        </w:rPr>
        <w:t>。人民既是历史的创造者</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7"/>
          <w:sz w:val="21"/>
          <w:szCs w:val="21"/>
        </w:rPr>
        <w:t>，也是知识的源泉</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，从历史上看</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，哲学社会科学所产生的优秀成果</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，无不源自人民的智慧</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、探索和创造</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，脱离了人民</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，哲学社会科学就会失去方向和</w:t>
      </w:r>
      <w:r>
        <w:rPr>
          <w:rFonts w:hint="eastAsia" w:ascii="宋体" w:hAnsi="宋体" w:eastAsia="宋体" w:cs="宋体"/>
          <w:color w:val="231F20"/>
          <w:spacing w:val="4"/>
          <w:sz w:val="21"/>
          <w:szCs w:val="21"/>
        </w:rPr>
        <w:t>灵魂</w:t>
      </w:r>
      <w:r>
        <w:rPr>
          <w:rFonts w:hint="eastAsia" w:ascii="宋体" w:hAnsi="宋体" w:eastAsia="宋体" w:cs="宋体"/>
          <w:color w:val="231F20"/>
          <w:sz w:val="21"/>
          <w:szCs w:val="21"/>
        </w:rPr>
        <w:t xml:space="preserve"> </w:t>
      </w:r>
      <w:r>
        <w:rPr>
          <w:rFonts w:hint="eastAsia" w:ascii="宋体" w:hAnsi="宋体" w:eastAsia="宋体" w:cs="宋体"/>
          <w:color w:val="231F20"/>
          <w:spacing w:val="4"/>
          <w:sz w:val="21"/>
          <w:szCs w:val="21"/>
        </w:rPr>
        <w:t>，成为无源之水</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4"/>
          <w:sz w:val="21"/>
          <w:szCs w:val="21"/>
        </w:rPr>
        <w:t>、无本之木</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4"/>
          <w:sz w:val="21"/>
          <w:szCs w:val="21"/>
        </w:rPr>
        <w:t>。</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4"/>
          <w:sz w:val="21"/>
          <w:szCs w:val="21"/>
        </w:rPr>
        <w:t>因此</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4"/>
          <w:sz w:val="21"/>
          <w:szCs w:val="21"/>
        </w:rPr>
        <w:t>，学者在开展学术研究时</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4"/>
          <w:sz w:val="21"/>
          <w:szCs w:val="21"/>
        </w:rPr>
        <w:t>，必须深入基层</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4"/>
          <w:sz w:val="21"/>
          <w:szCs w:val="21"/>
        </w:rPr>
        <w:t>、深入群众</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4"/>
          <w:sz w:val="21"/>
          <w:szCs w:val="21"/>
        </w:rPr>
        <w:t>，开</w:t>
      </w:r>
      <w:r>
        <w:rPr>
          <w:rFonts w:hint="eastAsia" w:ascii="宋体" w:hAnsi="宋体" w:eastAsia="宋体" w:cs="宋体"/>
          <w:color w:val="231F20"/>
          <w:spacing w:val="8"/>
          <w:sz w:val="21"/>
          <w:szCs w:val="21"/>
        </w:rPr>
        <w:t>展扎实调查研究</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，不断系统总结成功经验并进行理论升华</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8"/>
          <w:sz w:val="21"/>
          <w:szCs w:val="21"/>
        </w:rPr>
        <w:t>。三是， 自主知识体系的构建应以人民满意不满意</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、接受不接受为评价标准</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当前</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，部</w:t>
      </w:r>
      <w:r>
        <w:rPr>
          <w:rFonts w:hint="eastAsia" w:ascii="宋体" w:hAnsi="宋体" w:eastAsia="宋体" w:cs="宋体"/>
          <w:color w:val="231F20"/>
          <w:spacing w:val="7"/>
          <w:sz w:val="21"/>
          <w:szCs w:val="21"/>
        </w:rPr>
        <w:t>分学术研究过于追求“高大上</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7"/>
          <w:sz w:val="21"/>
          <w:szCs w:val="21"/>
        </w:rPr>
        <w:t>”的抽象理论以及忽视社会现实需求</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7"/>
          <w:sz w:val="21"/>
          <w:szCs w:val="21"/>
        </w:rPr>
        <w:t>，从而脱离实际</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、脱离群众</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7"/>
          <w:sz w:val="21"/>
          <w:szCs w:val="21"/>
        </w:rPr>
        <w:t>，在知识生产和传播过</w:t>
      </w:r>
      <w:r>
        <w:rPr>
          <w:rFonts w:hint="eastAsia" w:ascii="宋体" w:hAnsi="宋体" w:eastAsia="宋体" w:cs="宋体"/>
          <w:color w:val="231F20"/>
          <w:spacing w:val="6"/>
          <w:sz w:val="21"/>
          <w:szCs w:val="21"/>
        </w:rPr>
        <w:t>程中</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6"/>
          <w:sz w:val="21"/>
          <w:szCs w:val="21"/>
        </w:rPr>
        <w:t>，欠缺通俗化</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6"/>
          <w:sz w:val="21"/>
          <w:szCs w:val="21"/>
        </w:rPr>
        <w:t>、大众化</w:t>
      </w:r>
      <w:r>
        <w:rPr>
          <w:rFonts w:hint="eastAsia" w:ascii="宋体" w:hAnsi="宋体" w:eastAsia="宋体" w:cs="宋体"/>
          <w:color w:val="231F20"/>
          <w:spacing w:val="9"/>
          <w:sz w:val="21"/>
          <w:szCs w:val="21"/>
        </w:rPr>
        <w:t>的表达方式</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，没有很好地推动学术话语向大众话语转化</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，使得高深知识</w:t>
      </w:r>
      <w:r>
        <w:rPr>
          <w:rFonts w:hint="eastAsia" w:ascii="宋体" w:hAnsi="宋体" w:eastAsia="宋体" w:cs="宋体"/>
          <w:color w:val="231F20"/>
          <w:spacing w:val="8"/>
          <w:sz w:val="21"/>
          <w:szCs w:val="21"/>
        </w:rPr>
        <w:t>和理论难以真正“</w:t>
      </w:r>
      <w:r>
        <w:rPr>
          <w:rFonts w:hint="eastAsia" w:ascii="宋体" w:hAnsi="宋体" w:eastAsia="宋体" w:cs="宋体"/>
          <w:color w:val="231F20"/>
          <w:spacing w:val="-35"/>
          <w:sz w:val="21"/>
          <w:szCs w:val="21"/>
        </w:rPr>
        <w:t xml:space="preserve"> </w:t>
      </w:r>
      <w:r>
        <w:rPr>
          <w:rFonts w:hint="eastAsia" w:ascii="宋体" w:hAnsi="宋体" w:eastAsia="宋体" w:cs="宋体"/>
          <w:color w:val="231F20"/>
          <w:spacing w:val="8"/>
          <w:sz w:val="21"/>
          <w:szCs w:val="21"/>
        </w:rPr>
        <w:t>飞入寻</w:t>
      </w:r>
      <w:r>
        <w:rPr>
          <w:rFonts w:hint="eastAsia" w:ascii="宋体" w:hAnsi="宋体" w:eastAsia="宋体" w:cs="宋体"/>
          <w:color w:val="231F20"/>
          <w:spacing w:val="3"/>
          <w:sz w:val="21"/>
          <w:szCs w:val="21"/>
        </w:rPr>
        <w:t>常百姓家”。而“绿水青山就是金山银山</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3"/>
          <w:sz w:val="21"/>
          <w:szCs w:val="21"/>
        </w:rPr>
        <w:t>”“人民就是江山</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3"/>
          <w:sz w:val="21"/>
          <w:szCs w:val="21"/>
        </w:rPr>
        <w:t>，江山就是人民</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3"/>
          <w:sz w:val="21"/>
          <w:szCs w:val="21"/>
        </w:rPr>
        <w:t>”等这种极富内涵</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3"/>
          <w:sz w:val="21"/>
          <w:szCs w:val="21"/>
        </w:rPr>
        <w:t>、人</w:t>
      </w:r>
      <w:r>
        <w:rPr>
          <w:rFonts w:hint="eastAsia" w:ascii="宋体" w:hAnsi="宋体" w:eastAsia="宋体" w:cs="宋体"/>
          <w:color w:val="231F20"/>
          <w:spacing w:val="9"/>
          <w:sz w:val="21"/>
          <w:szCs w:val="21"/>
        </w:rPr>
        <w:t>民耳熟能详的“金句”，早已融入人们的日</w:t>
      </w:r>
      <w:r>
        <w:rPr>
          <w:rFonts w:hint="eastAsia" w:ascii="宋体" w:hAnsi="宋体" w:eastAsia="宋体" w:cs="宋体"/>
          <w:color w:val="231F20"/>
          <w:spacing w:val="8"/>
          <w:sz w:val="21"/>
          <w:szCs w:val="21"/>
        </w:rPr>
        <w:t>常生活之中</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28"/>
          <w:sz w:val="21"/>
          <w:szCs w:val="21"/>
        </w:rPr>
        <w:t xml:space="preserve"> </w:t>
      </w:r>
      <w:r>
        <w:rPr>
          <w:rFonts w:hint="eastAsia" w:ascii="宋体" w:hAnsi="宋体" w:eastAsia="宋体" w:cs="宋体"/>
          <w:color w:val="231F20"/>
          <w:spacing w:val="8"/>
          <w:sz w:val="21"/>
          <w:szCs w:val="21"/>
        </w:rPr>
        <w:t>总之，</w:t>
      </w:r>
      <w:r>
        <w:rPr>
          <w:rFonts w:hint="eastAsia" w:ascii="宋体" w:hAnsi="宋体" w:eastAsia="宋体" w:cs="宋体"/>
          <w:color w:val="231F20"/>
          <w:spacing w:val="-25"/>
          <w:sz w:val="21"/>
          <w:szCs w:val="21"/>
        </w:rPr>
        <w:t xml:space="preserve"> </w:t>
      </w:r>
      <w:r>
        <w:rPr>
          <w:rFonts w:hint="eastAsia" w:ascii="宋体" w:hAnsi="宋体" w:eastAsia="宋体" w:cs="宋体"/>
          <w:color w:val="231F20"/>
          <w:spacing w:val="8"/>
          <w:sz w:val="21"/>
          <w:szCs w:val="21"/>
        </w:rPr>
        <w:t>只有坚持人民至上</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8"/>
          <w:sz w:val="21"/>
          <w:szCs w:val="21"/>
        </w:rPr>
        <w:t>、走好群众路线</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、站稳人民立场</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、服务人民需求</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，尊重和激发人民群众的积极性和创</w:t>
      </w:r>
      <w:r>
        <w:rPr>
          <w:rFonts w:hint="eastAsia" w:ascii="宋体" w:hAnsi="宋体" w:eastAsia="宋体" w:cs="宋体"/>
          <w:color w:val="231F20"/>
          <w:spacing w:val="7"/>
          <w:sz w:val="21"/>
          <w:szCs w:val="21"/>
        </w:rPr>
        <w:t>造性</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，不断丰富和发展马</w:t>
      </w:r>
      <w:r>
        <w:rPr>
          <w:rFonts w:hint="eastAsia" w:ascii="宋体" w:hAnsi="宋体" w:eastAsia="宋体" w:cs="宋体"/>
          <w:color w:val="231F20"/>
          <w:spacing w:val="8"/>
          <w:sz w:val="21"/>
          <w:szCs w:val="21"/>
        </w:rPr>
        <w:t>克思主义的群众史观</w:t>
      </w:r>
      <w:r>
        <w:rPr>
          <w:rFonts w:hint="eastAsia" w:ascii="宋体" w:hAnsi="宋体" w:eastAsia="宋体" w:cs="宋体"/>
          <w:color w:val="231F20"/>
          <w:spacing w:val="-7"/>
          <w:sz w:val="21"/>
          <w:szCs w:val="21"/>
        </w:rPr>
        <w:t xml:space="preserve"> </w:t>
      </w:r>
      <w:r>
        <w:rPr>
          <w:rFonts w:hint="eastAsia" w:ascii="宋体" w:hAnsi="宋体" w:eastAsia="宋体" w:cs="宋体"/>
          <w:color w:val="231F20"/>
          <w:spacing w:val="8"/>
          <w:sz w:val="21"/>
          <w:szCs w:val="21"/>
        </w:rPr>
        <w:t>，才能构建起真正属于人民的中国自主知识体系。</w:t>
      </w:r>
    </w:p>
    <w:p w14:paraId="72FB1C9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pacing w:val="-9"/>
          <w:position w:val="1"/>
          <w:sz w:val="24"/>
          <w:szCs w:val="24"/>
        </w:rPr>
      </w:pPr>
      <w:r>
        <w:rPr>
          <w:rFonts w:hint="eastAsia" w:ascii="宋体" w:hAnsi="宋体" w:eastAsia="宋体" w:cs="宋体"/>
          <w:b/>
          <w:bCs/>
          <w:spacing w:val="-9"/>
          <w:position w:val="1"/>
          <w:sz w:val="24"/>
          <w:szCs w:val="24"/>
        </w:rPr>
        <w:t>二、坚持自信自立 ：构建中国自主知识体系的鲜明特质</w:t>
      </w:r>
    </w:p>
    <w:p w14:paraId="6780C39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4A6C085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2"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3"/>
          <w:sz w:val="21"/>
          <w:szCs w:val="21"/>
        </w:rPr>
        <w:t>习近平总书记指出：“任何文化要立得住</w:t>
      </w:r>
      <w:r>
        <w:rPr>
          <w:rFonts w:hint="eastAsia" w:ascii="宋体" w:hAnsi="宋体" w:eastAsia="宋体" w:cs="宋体"/>
          <w:color w:val="231F20"/>
          <w:spacing w:val="-12"/>
          <w:sz w:val="21"/>
          <w:szCs w:val="21"/>
        </w:rPr>
        <w:t xml:space="preserve"> </w:t>
      </w:r>
      <w:r>
        <w:rPr>
          <w:rFonts w:hint="eastAsia" w:ascii="宋体" w:hAnsi="宋体" w:eastAsia="宋体" w:cs="宋体"/>
          <w:color w:val="231F20"/>
          <w:spacing w:val="3"/>
          <w:sz w:val="21"/>
          <w:szCs w:val="21"/>
        </w:rPr>
        <w:t>、行得远</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3"/>
          <w:sz w:val="21"/>
          <w:szCs w:val="21"/>
        </w:rPr>
        <w:t>，要有引领力</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3"/>
          <w:sz w:val="21"/>
          <w:szCs w:val="21"/>
        </w:rPr>
        <w:t>、凝聚力</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3"/>
          <w:sz w:val="21"/>
          <w:szCs w:val="21"/>
        </w:rPr>
        <w:t>、塑造力</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3"/>
          <w:sz w:val="21"/>
          <w:szCs w:val="21"/>
        </w:rPr>
        <w:t>、辐射力，</w:t>
      </w:r>
      <w:r>
        <w:rPr>
          <w:rFonts w:hint="eastAsia" w:ascii="宋体" w:hAnsi="宋体" w:eastAsia="宋体" w:cs="宋体"/>
          <w:color w:val="231F20"/>
          <w:spacing w:val="-1"/>
          <w:sz w:val="21"/>
          <w:szCs w:val="21"/>
        </w:rPr>
        <w:t>就必须有自己的主体性。”（习近平 ，2023）</w:t>
      </w:r>
      <w:r>
        <w:rPr>
          <w:rFonts w:hint="eastAsia" w:ascii="宋体" w:hAnsi="宋体" w:eastAsia="宋体" w:cs="宋体"/>
          <w:color w:val="231F20"/>
          <w:spacing w:val="46"/>
          <w:sz w:val="21"/>
          <w:szCs w:val="21"/>
        </w:rPr>
        <w:t xml:space="preserve"> </w:t>
      </w:r>
      <w:r>
        <w:rPr>
          <w:rFonts w:hint="eastAsia" w:ascii="宋体" w:hAnsi="宋体" w:eastAsia="宋体" w:cs="宋体"/>
          <w:color w:val="231F20"/>
          <w:spacing w:val="-1"/>
          <w:sz w:val="21"/>
          <w:szCs w:val="21"/>
        </w:rPr>
        <w:t>自信才能自立， 自立更能自信 ，两者相辅相成</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1"/>
          <w:sz w:val="21"/>
          <w:szCs w:val="21"/>
        </w:rPr>
        <w:t>、</w:t>
      </w:r>
      <w:r>
        <w:rPr>
          <w:rFonts w:hint="eastAsia" w:ascii="宋体" w:hAnsi="宋体" w:eastAsia="宋体" w:cs="宋体"/>
          <w:color w:val="231F20"/>
          <w:spacing w:val="-28"/>
          <w:sz w:val="21"/>
          <w:szCs w:val="21"/>
        </w:rPr>
        <w:t xml:space="preserve"> </w:t>
      </w:r>
      <w:r>
        <w:rPr>
          <w:rFonts w:hint="eastAsia" w:ascii="宋体" w:hAnsi="宋体" w:eastAsia="宋体" w:cs="宋体"/>
          <w:color w:val="231F20"/>
          <w:spacing w:val="-1"/>
          <w:sz w:val="21"/>
          <w:szCs w:val="21"/>
        </w:rPr>
        <w:t>紧密</w:t>
      </w:r>
      <w:r>
        <w:rPr>
          <w:rFonts w:hint="eastAsia" w:ascii="宋体" w:hAnsi="宋体" w:eastAsia="宋体" w:cs="宋体"/>
          <w:color w:val="231F20"/>
          <w:spacing w:val="8"/>
          <w:sz w:val="21"/>
          <w:szCs w:val="21"/>
        </w:rPr>
        <w:t>相连</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，坚持自信自立是构建中国自主知识体系的鲜明特质</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7"/>
          <w:sz w:val="21"/>
          <w:szCs w:val="21"/>
        </w:rPr>
        <w:t>首先要自信</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7"/>
          <w:sz w:val="21"/>
          <w:szCs w:val="21"/>
        </w:rPr>
        <w:t>。长期以来</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，西方知识体</w:t>
      </w:r>
      <w:r>
        <w:rPr>
          <w:rFonts w:hint="eastAsia" w:ascii="宋体" w:hAnsi="宋体" w:eastAsia="宋体" w:cs="宋体"/>
          <w:color w:val="231F20"/>
          <w:spacing w:val="8"/>
          <w:sz w:val="21"/>
          <w:szCs w:val="21"/>
        </w:rPr>
        <w:t>系占据主导地位</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8"/>
          <w:sz w:val="21"/>
          <w:szCs w:val="21"/>
        </w:rPr>
        <w:t>，并不断向他国输出和渗透</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，导致部分人对西方知识体系产生盲目崇拜</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8"/>
          <w:sz w:val="21"/>
          <w:szCs w:val="21"/>
        </w:rPr>
        <w:t>。而中国自信实际上有着充足的底气</w:t>
      </w:r>
      <w:r>
        <w:rPr>
          <w:rFonts w:hint="eastAsia" w:ascii="宋体" w:hAnsi="宋体" w:eastAsia="宋体" w:cs="宋体"/>
          <w:color w:val="231F20"/>
          <w:spacing w:val="7"/>
          <w:sz w:val="21"/>
          <w:szCs w:val="21"/>
        </w:rPr>
        <w:t xml:space="preserve"> </w:t>
      </w:r>
      <w:r>
        <w:rPr>
          <w:rFonts w:hint="eastAsia" w:ascii="宋体" w:hAnsi="宋体" w:eastAsia="宋体" w:cs="宋体"/>
          <w:color w:val="231F20"/>
          <w:spacing w:val="8"/>
          <w:sz w:val="21"/>
          <w:szCs w:val="21"/>
        </w:rPr>
        <w:t>，这份底气源自中华民族优秀传统文化的源远流长</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8"/>
          <w:sz w:val="21"/>
          <w:szCs w:val="21"/>
        </w:rPr>
        <w:t>、博大精深</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，蕴含着丰富的哲学思想</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8"/>
          <w:sz w:val="21"/>
          <w:szCs w:val="21"/>
        </w:rPr>
        <w:t>、人文精神</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，源自中国共产党百余年奋斗的伟大实践和成功经验</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，源自中国经</w:t>
      </w:r>
      <w:r>
        <w:rPr>
          <w:rFonts w:hint="eastAsia" w:ascii="宋体" w:hAnsi="宋体" w:eastAsia="宋体" w:cs="宋体"/>
          <w:color w:val="231F20"/>
          <w:spacing w:val="9"/>
          <w:sz w:val="21"/>
          <w:szCs w:val="21"/>
        </w:rPr>
        <w:t>济社会发展取得的伟大成就</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9"/>
          <w:sz w:val="21"/>
          <w:szCs w:val="21"/>
        </w:rPr>
        <w:t>。这就要求我们在构建中国自主知识体系时</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，必须把马克思主义基本</w:t>
      </w:r>
      <w:r>
        <w:rPr>
          <w:rFonts w:hint="eastAsia" w:ascii="宋体" w:hAnsi="宋体" w:eastAsia="宋体" w:cs="宋体"/>
          <w:color w:val="231F20"/>
          <w:spacing w:val="8"/>
          <w:sz w:val="21"/>
          <w:szCs w:val="21"/>
        </w:rPr>
        <w:t>原理同中国具体实际相结合</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8"/>
          <w:sz w:val="21"/>
          <w:szCs w:val="21"/>
        </w:rPr>
        <w:t>同中华优秀传统文化相结合</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，深入挖掘其中的宝贵财富</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，不断提炼具有主体性的原创性理论</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7"/>
          <w:sz w:val="21"/>
          <w:szCs w:val="21"/>
        </w:rPr>
        <w:t>。其次是自立</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7"/>
          <w:sz w:val="21"/>
          <w:szCs w:val="21"/>
        </w:rPr>
        <w:t>中国有着独特的历史文化</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、社会制度和发展阶段</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7"/>
          <w:sz w:val="21"/>
          <w:szCs w:val="21"/>
        </w:rPr>
        <w:t>，意味</w:t>
      </w:r>
      <w:r>
        <w:rPr>
          <w:rFonts w:hint="eastAsia" w:ascii="宋体" w:hAnsi="宋体" w:eastAsia="宋体" w:cs="宋体"/>
          <w:color w:val="231F20"/>
          <w:spacing w:val="9"/>
          <w:sz w:val="21"/>
          <w:szCs w:val="21"/>
        </w:rPr>
        <w:t>着我们自主知识体系的构建不能盲目照搬照抄他国模式</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9"/>
          <w:sz w:val="21"/>
          <w:szCs w:val="21"/>
        </w:rPr>
        <w:t>，而是要立足中国国情</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，从中国具体实践</w:t>
      </w:r>
      <w:r>
        <w:rPr>
          <w:rFonts w:hint="eastAsia" w:ascii="宋体" w:hAnsi="宋体" w:eastAsia="宋体" w:cs="宋体"/>
          <w:color w:val="231F20"/>
          <w:spacing w:val="8"/>
          <w:sz w:val="21"/>
          <w:szCs w:val="21"/>
        </w:rPr>
        <w:t>中提炼新概念</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8"/>
          <w:sz w:val="21"/>
          <w:szCs w:val="21"/>
        </w:rPr>
        <w:t>、构建新理论</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、形成新范式</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，在继承中不断创新发展</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7"/>
          <w:sz w:val="21"/>
          <w:szCs w:val="21"/>
        </w:rPr>
        <w:t>让自主知识体系真正服务于</w:t>
      </w:r>
      <w:r>
        <w:rPr>
          <w:rFonts w:hint="eastAsia" w:ascii="宋体" w:hAnsi="宋体" w:eastAsia="宋体" w:cs="宋体"/>
          <w:color w:val="231F20"/>
          <w:spacing w:val="8"/>
          <w:sz w:val="21"/>
          <w:szCs w:val="21"/>
        </w:rPr>
        <w:t>中国经济社会发展需要</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当前</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，我国在一些关键领域的知识创新还</w:t>
      </w:r>
      <w:r>
        <w:rPr>
          <w:rFonts w:hint="eastAsia" w:ascii="宋体" w:hAnsi="宋体" w:eastAsia="宋体" w:cs="宋体"/>
          <w:color w:val="231F20"/>
          <w:spacing w:val="7"/>
          <w:sz w:val="21"/>
          <w:szCs w:val="21"/>
        </w:rPr>
        <w:t>相对滞后</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，缺乏具有国际影响力的原创性成果</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7"/>
          <w:sz w:val="21"/>
          <w:szCs w:val="21"/>
        </w:rPr>
        <w:t>。这就要求我们必须坚持道路自信</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、理论自信</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、制度自信</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、文化自信</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，增强对自身文化的认同感和自豪感；</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7"/>
          <w:sz w:val="21"/>
          <w:szCs w:val="21"/>
        </w:rPr>
        <w:t>同时</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，摆脱对西方知识体系的依赖</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，注重加强国际交流与合作</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，在吸</w:t>
      </w:r>
      <w:r>
        <w:rPr>
          <w:rFonts w:hint="eastAsia" w:ascii="宋体" w:hAnsi="宋体" w:eastAsia="宋体" w:cs="宋体"/>
          <w:color w:val="231F20"/>
          <w:spacing w:val="9"/>
          <w:sz w:val="21"/>
          <w:szCs w:val="21"/>
        </w:rPr>
        <w:t>收借鉴国外先进知识和经验的同时，</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9"/>
          <w:sz w:val="21"/>
          <w:szCs w:val="21"/>
        </w:rPr>
        <w:t>以中国道路</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9"/>
          <w:sz w:val="21"/>
          <w:szCs w:val="21"/>
        </w:rPr>
        <w:t>、</w:t>
      </w:r>
      <w:r>
        <w:rPr>
          <w:rFonts w:hint="eastAsia" w:ascii="宋体" w:hAnsi="宋体" w:eastAsia="宋体" w:cs="宋体"/>
          <w:color w:val="231F20"/>
          <w:spacing w:val="-14"/>
          <w:sz w:val="21"/>
          <w:szCs w:val="21"/>
        </w:rPr>
        <w:t xml:space="preserve"> </w:t>
      </w:r>
      <w:r>
        <w:rPr>
          <w:rFonts w:hint="eastAsia" w:ascii="宋体" w:hAnsi="宋体" w:eastAsia="宋体" w:cs="宋体"/>
          <w:color w:val="231F20"/>
          <w:spacing w:val="9"/>
          <w:sz w:val="21"/>
          <w:szCs w:val="21"/>
        </w:rPr>
        <w:t>中国经验为根基 ，构建中国的自主</w:t>
      </w:r>
      <w:r>
        <w:rPr>
          <w:rFonts w:hint="eastAsia" w:ascii="宋体" w:hAnsi="宋体" w:eastAsia="宋体" w:cs="宋体"/>
          <w:color w:val="231F20"/>
          <w:spacing w:val="8"/>
          <w:sz w:val="21"/>
          <w:szCs w:val="21"/>
        </w:rPr>
        <w:t>话语体系，不断扩大中国知识体系的国际影响力。</w:t>
      </w:r>
    </w:p>
    <w:p w14:paraId="21BB365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pacing w:val="-9"/>
          <w:position w:val="1"/>
          <w:sz w:val="24"/>
          <w:szCs w:val="24"/>
        </w:rPr>
      </w:pPr>
      <w:r>
        <w:rPr>
          <w:rFonts w:hint="eastAsia" w:ascii="宋体" w:hAnsi="宋体" w:eastAsia="宋体" w:cs="宋体"/>
          <w:b/>
          <w:bCs/>
          <w:spacing w:val="-9"/>
          <w:position w:val="1"/>
          <w:sz w:val="24"/>
          <w:szCs w:val="24"/>
        </w:rPr>
        <w:t>三、坚持守正创新 ：构建中国自主知识体系的内在要求</w:t>
      </w:r>
    </w:p>
    <w:p w14:paraId="7EAFB53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1EAA4F0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9"/>
          <w:sz w:val="21"/>
          <w:szCs w:val="21"/>
        </w:rPr>
        <w:t>习近平总书记强调：“我们通过守正创新形成了中国特色社会主义理论体系 ，守正就不能偏</w:t>
      </w:r>
      <w:r>
        <w:rPr>
          <w:rFonts w:hint="eastAsia" w:ascii="宋体" w:hAnsi="宋体" w:eastAsia="宋体" w:cs="宋体"/>
          <w:color w:val="231F20"/>
          <w:spacing w:val="5"/>
          <w:sz w:val="21"/>
          <w:szCs w:val="21"/>
        </w:rPr>
        <w:t>离马克思主义</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5"/>
          <w:sz w:val="21"/>
          <w:szCs w:val="21"/>
        </w:rPr>
        <w:t>、社会主义</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5"/>
          <w:sz w:val="21"/>
          <w:szCs w:val="21"/>
        </w:rPr>
        <w:t>，但不是刻舟求剑</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5"/>
          <w:sz w:val="21"/>
          <w:szCs w:val="21"/>
        </w:rPr>
        <w:t>，还要往前发展</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5"/>
          <w:sz w:val="21"/>
          <w:szCs w:val="21"/>
        </w:rPr>
        <w:t>、与时俱进</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5"/>
          <w:sz w:val="21"/>
          <w:szCs w:val="21"/>
        </w:rPr>
        <w:t>，否则就是僵化的</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5"/>
          <w:sz w:val="21"/>
          <w:szCs w:val="21"/>
        </w:rPr>
        <w:t>、</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5"/>
          <w:sz w:val="21"/>
          <w:szCs w:val="21"/>
        </w:rPr>
        <w:t>陈旧</w:t>
      </w:r>
      <w:r>
        <w:rPr>
          <w:rFonts w:hint="eastAsia" w:ascii="宋体" w:hAnsi="宋体" w:eastAsia="宋体" w:cs="宋体"/>
          <w:color w:val="231F20"/>
          <w:spacing w:val="6"/>
          <w:sz w:val="21"/>
          <w:szCs w:val="21"/>
        </w:rPr>
        <w:t>的</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6"/>
          <w:sz w:val="21"/>
          <w:szCs w:val="21"/>
        </w:rPr>
        <w:t>、</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6"/>
          <w:sz w:val="21"/>
          <w:szCs w:val="21"/>
        </w:rPr>
        <w:t>过时的。”（习近平 ，2024） 守正和创新</w:t>
      </w:r>
      <w:r>
        <w:rPr>
          <w:rFonts w:hint="eastAsia" w:ascii="宋体" w:hAnsi="宋体" w:eastAsia="宋体" w:cs="宋体"/>
          <w:color w:val="231F20"/>
          <w:spacing w:val="5"/>
          <w:sz w:val="21"/>
          <w:szCs w:val="21"/>
        </w:rPr>
        <w:t>是内在统一的 ，是坚持和发展马克思主义的必然要</w:t>
      </w:r>
      <w:r>
        <w:rPr>
          <w:rFonts w:hint="eastAsia" w:ascii="宋体" w:hAnsi="宋体" w:eastAsia="宋体" w:cs="宋体"/>
          <w:color w:val="231F20"/>
          <w:spacing w:val="13"/>
          <w:sz w:val="21"/>
          <w:szCs w:val="21"/>
        </w:rPr>
        <w:t>求 ，是辩证唯物主义和历史唯物主义的内在要求</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13"/>
          <w:sz w:val="21"/>
          <w:szCs w:val="21"/>
        </w:rPr>
        <w:t>。所谓守正，</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13"/>
          <w:sz w:val="21"/>
          <w:szCs w:val="21"/>
        </w:rPr>
        <w:t>即坚持马克思主义基本原理不动</w:t>
      </w:r>
      <w:r>
        <w:rPr>
          <w:rFonts w:hint="eastAsia" w:ascii="宋体" w:hAnsi="宋体" w:eastAsia="宋体" w:cs="宋体"/>
          <w:color w:val="231F20"/>
          <w:spacing w:val="9"/>
          <w:sz w:val="21"/>
          <w:szCs w:val="21"/>
        </w:rPr>
        <w:t>摇</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9"/>
          <w:sz w:val="21"/>
          <w:szCs w:val="21"/>
        </w:rPr>
        <w:t>、坚持中国共产党的全面领导不动摇</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，确</w:t>
      </w:r>
      <w:r>
        <w:rPr>
          <w:rFonts w:hint="eastAsia" w:ascii="宋体" w:hAnsi="宋体" w:eastAsia="宋体" w:cs="宋体"/>
          <w:color w:val="231F20"/>
          <w:spacing w:val="8"/>
          <w:sz w:val="21"/>
          <w:szCs w:val="21"/>
        </w:rPr>
        <w:t>保构建中国自主知识体系的根基稳固</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，保证其方向不发生偏离</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，始终沿着正确的政治轨道前进</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，始终站在学术思想的正确一边</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8"/>
          <w:sz w:val="21"/>
          <w:szCs w:val="21"/>
        </w:rPr>
        <w:t>。在构建中国自主知识</w:t>
      </w:r>
      <w:r>
        <w:rPr>
          <w:rFonts w:hint="eastAsia" w:ascii="宋体" w:hAnsi="宋体" w:eastAsia="宋体" w:cs="宋体"/>
          <w:color w:val="231F20"/>
          <w:spacing w:val="9"/>
          <w:sz w:val="21"/>
          <w:szCs w:val="21"/>
        </w:rPr>
        <w:t>体系的过程中</w:t>
      </w:r>
      <w:r>
        <w:rPr>
          <w:rFonts w:hint="eastAsia" w:ascii="宋体" w:hAnsi="宋体" w:eastAsia="宋体" w:cs="宋体"/>
          <w:color w:val="231F20"/>
          <w:spacing w:val="-3"/>
          <w:sz w:val="21"/>
          <w:szCs w:val="21"/>
        </w:rPr>
        <w:t xml:space="preserve"> </w:t>
      </w:r>
      <w:r>
        <w:rPr>
          <w:rFonts w:hint="eastAsia" w:ascii="宋体" w:hAnsi="宋体" w:eastAsia="宋体" w:cs="宋体"/>
          <w:color w:val="231F20"/>
          <w:spacing w:val="9"/>
          <w:sz w:val="21"/>
          <w:szCs w:val="21"/>
        </w:rPr>
        <w:t>，部分领域存在对马克思主义经典理论的教条化理解</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，甚至在追求创新过程中出现</w:t>
      </w:r>
      <w:r>
        <w:rPr>
          <w:rFonts w:hint="eastAsia" w:ascii="宋体" w:hAnsi="宋体" w:eastAsia="宋体" w:cs="宋体"/>
          <w:color w:val="231F20"/>
          <w:spacing w:val="16"/>
          <w:sz w:val="21"/>
          <w:szCs w:val="21"/>
        </w:rPr>
        <w:t>价值偏离的风险，</w:t>
      </w:r>
      <w:r>
        <w:rPr>
          <w:rFonts w:hint="eastAsia" w:ascii="宋体" w:hAnsi="宋体" w:eastAsia="宋体" w:cs="宋体"/>
          <w:color w:val="231F20"/>
          <w:spacing w:val="-28"/>
          <w:sz w:val="21"/>
          <w:szCs w:val="21"/>
        </w:rPr>
        <w:t xml:space="preserve"> </w:t>
      </w:r>
      <w:r>
        <w:rPr>
          <w:rFonts w:hint="eastAsia" w:ascii="宋体" w:hAnsi="宋体" w:eastAsia="宋体" w:cs="宋体"/>
          <w:color w:val="231F20"/>
          <w:spacing w:val="16"/>
          <w:sz w:val="21"/>
          <w:szCs w:val="21"/>
        </w:rPr>
        <w:t>这要求我们在构建中国自主知识体系时要以马克思主义的立场观点方法为指</w:t>
      </w:r>
      <w:r>
        <w:rPr>
          <w:rFonts w:hint="eastAsia" w:ascii="宋体" w:hAnsi="宋体" w:eastAsia="宋体" w:cs="宋体"/>
          <w:color w:val="231F20"/>
          <w:spacing w:val="9"/>
          <w:sz w:val="21"/>
          <w:szCs w:val="21"/>
        </w:rPr>
        <w:t>导 ，确保自主知识体系构建的科学性</w:t>
      </w:r>
      <w:r>
        <w:rPr>
          <w:rFonts w:hint="eastAsia" w:ascii="宋体" w:hAnsi="宋体" w:eastAsia="宋体" w:cs="宋体"/>
          <w:color w:val="231F20"/>
          <w:spacing w:val="-11"/>
          <w:sz w:val="21"/>
          <w:szCs w:val="21"/>
        </w:rPr>
        <w:t xml:space="preserve"> </w:t>
      </w:r>
      <w:r>
        <w:rPr>
          <w:rFonts w:hint="eastAsia" w:ascii="宋体" w:hAnsi="宋体" w:eastAsia="宋体" w:cs="宋体"/>
          <w:color w:val="231F20"/>
          <w:spacing w:val="9"/>
          <w:sz w:val="21"/>
          <w:szCs w:val="21"/>
        </w:rPr>
        <w:t>。所谓创新 ，则是推动中国自主知识体系构建的强大动力，要求我们在守正的基础上</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，立足当代中国实</w:t>
      </w:r>
      <w:r>
        <w:rPr>
          <w:rFonts w:hint="eastAsia" w:ascii="宋体" w:hAnsi="宋体" w:eastAsia="宋体" w:cs="宋体"/>
          <w:color w:val="231F20"/>
          <w:spacing w:val="8"/>
          <w:sz w:val="21"/>
          <w:szCs w:val="21"/>
        </w:rPr>
        <w:t>践</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，不断总结</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、丰富和发展中国特色社会主义理论体系</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，通过理论创新和实践创新推动知识体系不断迭代升级</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13"/>
          <w:sz w:val="21"/>
          <w:szCs w:val="21"/>
        </w:rPr>
        <w:t xml:space="preserve"> </w:t>
      </w:r>
      <w:r>
        <w:rPr>
          <w:rFonts w:hint="eastAsia" w:ascii="宋体" w:hAnsi="宋体" w:eastAsia="宋体" w:cs="宋体"/>
          <w:color w:val="231F20"/>
          <w:spacing w:val="8"/>
          <w:sz w:val="21"/>
          <w:szCs w:val="21"/>
        </w:rPr>
        <w:t>比如，</w:t>
      </w:r>
      <w:r>
        <w:rPr>
          <w:rFonts w:hint="eastAsia" w:ascii="宋体" w:hAnsi="宋体" w:eastAsia="宋体" w:cs="宋体"/>
          <w:color w:val="231F20"/>
          <w:spacing w:val="-24"/>
          <w:sz w:val="21"/>
          <w:szCs w:val="21"/>
        </w:rPr>
        <w:t xml:space="preserve"> </w:t>
      </w:r>
      <w:r>
        <w:rPr>
          <w:rFonts w:hint="eastAsia" w:ascii="宋体" w:hAnsi="宋体" w:eastAsia="宋体" w:cs="宋体"/>
          <w:color w:val="231F20"/>
          <w:spacing w:val="8"/>
          <w:sz w:val="21"/>
          <w:szCs w:val="21"/>
        </w:rPr>
        <w:t>习近平经济思想开</w:t>
      </w:r>
      <w:r>
        <w:rPr>
          <w:rFonts w:hint="eastAsia" w:ascii="宋体" w:hAnsi="宋体" w:eastAsia="宋体" w:cs="宋体"/>
          <w:color w:val="231F20"/>
          <w:spacing w:val="7"/>
          <w:sz w:val="21"/>
          <w:szCs w:val="21"/>
        </w:rPr>
        <w:t>拓了中国特</w:t>
      </w:r>
      <w:r>
        <w:rPr>
          <w:rFonts w:hint="eastAsia" w:ascii="宋体" w:hAnsi="宋体" w:eastAsia="宋体" w:cs="宋体"/>
          <w:color w:val="231F20"/>
          <w:spacing w:val="10"/>
          <w:sz w:val="21"/>
          <w:szCs w:val="21"/>
        </w:rPr>
        <w:t>色社会主义政治经济学新境界</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10"/>
          <w:sz w:val="21"/>
          <w:szCs w:val="21"/>
        </w:rPr>
        <w:t>，为丰富发展</w:t>
      </w:r>
      <w:r>
        <w:rPr>
          <w:rFonts w:hint="eastAsia" w:ascii="宋体" w:hAnsi="宋体" w:eastAsia="宋体" w:cs="宋体"/>
          <w:color w:val="231F20"/>
          <w:spacing w:val="9"/>
          <w:sz w:val="21"/>
          <w:szCs w:val="21"/>
        </w:rPr>
        <w:t>马克思主义政治经济学作出了重要原创性贡献</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9"/>
          <w:sz w:val="21"/>
          <w:szCs w:val="21"/>
        </w:rPr>
        <w:t>。守正</w:t>
      </w:r>
      <w:r>
        <w:rPr>
          <w:rFonts w:hint="eastAsia" w:ascii="宋体" w:hAnsi="宋体" w:eastAsia="宋体" w:cs="宋体"/>
          <w:color w:val="231F20"/>
          <w:spacing w:val="8"/>
          <w:sz w:val="21"/>
          <w:szCs w:val="21"/>
        </w:rPr>
        <w:t>是创新的前提</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8"/>
          <w:sz w:val="21"/>
          <w:szCs w:val="21"/>
        </w:rPr>
        <w:t>，创新是守正的路径</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，通过守正确立自主知识体系的主体性</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，在创新中增强自主知</w:t>
      </w:r>
      <w:r>
        <w:rPr>
          <w:rFonts w:hint="eastAsia" w:ascii="宋体" w:hAnsi="宋体" w:eastAsia="宋体" w:cs="宋体"/>
          <w:color w:val="231F20"/>
          <w:spacing w:val="10"/>
          <w:sz w:val="21"/>
          <w:szCs w:val="21"/>
        </w:rPr>
        <w:t>识体系的生命力</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10"/>
          <w:sz w:val="21"/>
          <w:szCs w:val="21"/>
        </w:rPr>
        <w:t>。构建中国自主知识体系是</w:t>
      </w:r>
      <w:r>
        <w:rPr>
          <w:rFonts w:hint="eastAsia" w:ascii="宋体" w:hAnsi="宋体" w:eastAsia="宋体" w:cs="宋体"/>
          <w:color w:val="231F20"/>
          <w:spacing w:val="9"/>
          <w:sz w:val="21"/>
          <w:szCs w:val="21"/>
        </w:rPr>
        <w:t>一项长期而艰巨的任务</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，需要我们持之以恒地坚持守正创新</w:t>
      </w:r>
      <w:r>
        <w:rPr>
          <w:rFonts w:hint="eastAsia" w:ascii="宋体" w:hAnsi="宋体" w:eastAsia="宋体" w:cs="宋体"/>
          <w:color w:val="231F20"/>
          <w:spacing w:val="-3"/>
          <w:sz w:val="21"/>
          <w:szCs w:val="21"/>
        </w:rPr>
        <w:t xml:space="preserve"> </w:t>
      </w:r>
      <w:r>
        <w:rPr>
          <w:rFonts w:hint="eastAsia" w:ascii="宋体" w:hAnsi="宋体" w:eastAsia="宋体" w:cs="宋体"/>
          <w:color w:val="231F20"/>
          <w:spacing w:val="9"/>
          <w:sz w:val="21"/>
          <w:szCs w:val="21"/>
        </w:rPr>
        <w:t>，坚持守正才不会使中国自主知识体系的构建迷失方向</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，坚持创新才能使中国自主知识体</w:t>
      </w:r>
      <w:r>
        <w:rPr>
          <w:rFonts w:hint="eastAsia" w:ascii="宋体" w:hAnsi="宋体" w:eastAsia="宋体" w:cs="宋体"/>
          <w:color w:val="231F20"/>
          <w:spacing w:val="5"/>
          <w:sz w:val="21"/>
          <w:szCs w:val="21"/>
        </w:rPr>
        <w:t>系在世界知识体系中引领时代</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5"/>
          <w:sz w:val="21"/>
          <w:szCs w:val="21"/>
        </w:rPr>
        <w:t>，源源不断地为实现中</w:t>
      </w:r>
      <w:r>
        <w:rPr>
          <w:rFonts w:hint="eastAsia" w:ascii="宋体" w:hAnsi="宋体" w:eastAsia="宋体" w:cs="宋体"/>
          <w:color w:val="231F20"/>
          <w:spacing w:val="4"/>
          <w:sz w:val="21"/>
          <w:szCs w:val="21"/>
        </w:rPr>
        <w:t>华民族伟大复兴提供强大的理论和知识支撑。</w:t>
      </w:r>
    </w:p>
    <w:p w14:paraId="27A5264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pacing w:val="-9"/>
          <w:position w:val="1"/>
          <w:sz w:val="24"/>
          <w:szCs w:val="24"/>
        </w:rPr>
      </w:pPr>
      <w:r>
        <w:rPr>
          <w:rFonts w:hint="eastAsia" w:ascii="宋体" w:hAnsi="宋体" w:eastAsia="宋体" w:cs="宋体"/>
          <w:b/>
          <w:bCs/>
          <w:spacing w:val="-9"/>
          <w:position w:val="1"/>
          <w:sz w:val="24"/>
          <w:szCs w:val="24"/>
        </w:rPr>
        <w:t>四、坚持问题导向 ：构建中国自主知识体系的实践路径</w:t>
      </w:r>
    </w:p>
    <w:p w14:paraId="2ADC3AC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566EA5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7"/>
          <w:sz w:val="21"/>
          <w:szCs w:val="21"/>
        </w:rPr>
        <w:t>习近平总书记指出：“面对快速变化的世界和中国 ，如果墨守成规</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7"/>
          <w:sz w:val="21"/>
          <w:szCs w:val="21"/>
        </w:rPr>
        <w:t>、思想僵化 ，没有理论创新的勇气</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，不能科学回答中国之问</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、世界之</w:t>
      </w:r>
      <w:r>
        <w:rPr>
          <w:rFonts w:hint="eastAsia" w:ascii="宋体" w:hAnsi="宋体" w:eastAsia="宋体" w:cs="宋体"/>
          <w:color w:val="231F20"/>
          <w:spacing w:val="6"/>
          <w:sz w:val="21"/>
          <w:szCs w:val="21"/>
        </w:rPr>
        <w:t>问</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6"/>
          <w:sz w:val="21"/>
          <w:szCs w:val="21"/>
        </w:rPr>
        <w:t>、人民之问</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6"/>
          <w:sz w:val="21"/>
          <w:szCs w:val="21"/>
        </w:rPr>
        <w:t>、</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6"/>
          <w:sz w:val="21"/>
          <w:szCs w:val="21"/>
        </w:rPr>
        <w:t>时代之问</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6"/>
          <w:sz w:val="21"/>
          <w:szCs w:val="21"/>
        </w:rPr>
        <w:t>，不仅党和国家事业无法继</w:t>
      </w:r>
      <w:r>
        <w:rPr>
          <w:rFonts w:hint="eastAsia" w:ascii="宋体" w:hAnsi="宋体" w:eastAsia="宋体" w:cs="宋体"/>
          <w:color w:val="231F20"/>
          <w:spacing w:val="8"/>
          <w:sz w:val="21"/>
          <w:szCs w:val="21"/>
        </w:rPr>
        <w:t>续前进，</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8"/>
          <w:sz w:val="21"/>
          <w:szCs w:val="21"/>
        </w:rPr>
        <w:t>马克思主义也会失去生命力</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、说服力。”</w:t>
      </w:r>
      <w:r>
        <w:rPr>
          <w:rStyle w:val="20"/>
          <w:rFonts w:hint="eastAsia" w:ascii="宋体" w:hAnsi="宋体" w:eastAsia="宋体" w:cs="宋体"/>
          <w:color w:val="231F20"/>
          <w:spacing w:val="8"/>
          <w:sz w:val="21"/>
          <w:szCs w:val="21"/>
        </w:rPr>
        <w:footnoteReference w:id="1472"/>
      </w:r>
      <w:r>
        <w:rPr>
          <w:rFonts w:hint="eastAsia" w:ascii="宋体" w:hAnsi="宋体" w:eastAsia="宋体" w:cs="宋体"/>
          <w:color w:val="231F20"/>
          <w:spacing w:val="8"/>
          <w:sz w:val="21"/>
          <w:szCs w:val="21"/>
        </w:rPr>
        <w:t>构建中</w:t>
      </w:r>
      <w:r>
        <w:rPr>
          <w:rFonts w:hint="eastAsia" w:ascii="宋体" w:hAnsi="宋体" w:eastAsia="宋体" w:cs="宋体"/>
          <w:color w:val="231F20"/>
          <w:spacing w:val="7"/>
          <w:sz w:val="21"/>
          <w:szCs w:val="21"/>
        </w:rPr>
        <w:t>国自主知识体系的根本目的是解决人类</w:t>
      </w:r>
      <w:r>
        <w:rPr>
          <w:rFonts w:hint="eastAsia" w:ascii="宋体" w:hAnsi="宋体" w:eastAsia="宋体" w:cs="宋体"/>
          <w:color w:val="231F20"/>
          <w:spacing w:val="9"/>
          <w:sz w:val="21"/>
          <w:szCs w:val="21"/>
        </w:rPr>
        <w:t>社会发展中的重大理论问题与现实问题</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9"/>
          <w:sz w:val="21"/>
          <w:szCs w:val="21"/>
        </w:rPr>
        <w:t>，坚持以问题为导向</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，将中国的历史性成就总结为规律性</w:t>
      </w:r>
      <w:r>
        <w:rPr>
          <w:rFonts w:hint="eastAsia" w:ascii="宋体" w:hAnsi="宋体" w:eastAsia="宋体" w:cs="宋体"/>
          <w:color w:val="231F20"/>
          <w:spacing w:val="7"/>
          <w:sz w:val="21"/>
          <w:szCs w:val="21"/>
        </w:rPr>
        <w:t>认识 ，进而上升为系统化的理论体系</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7"/>
          <w:sz w:val="21"/>
          <w:szCs w:val="21"/>
        </w:rPr>
        <w:t>。首先 ，坚持问</w:t>
      </w:r>
      <w:r>
        <w:rPr>
          <w:rFonts w:hint="eastAsia" w:ascii="宋体" w:hAnsi="宋体" w:eastAsia="宋体" w:cs="宋体"/>
          <w:color w:val="231F20"/>
          <w:spacing w:val="6"/>
          <w:sz w:val="21"/>
          <w:szCs w:val="21"/>
        </w:rPr>
        <w:t>题导向 ，要善于发现新问题 ，研究真问题，</w:t>
      </w:r>
      <w:r>
        <w:rPr>
          <w:rFonts w:hint="eastAsia" w:ascii="宋体" w:hAnsi="宋体" w:eastAsia="宋体" w:cs="宋体"/>
          <w:color w:val="231F20"/>
          <w:spacing w:val="7"/>
          <w:sz w:val="21"/>
          <w:szCs w:val="21"/>
        </w:rPr>
        <w:t>并不断提出真正解决问题的新理念</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、新思路</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、新办法</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 当前</w:t>
      </w:r>
      <w:r>
        <w:rPr>
          <w:rFonts w:hint="eastAsia" w:ascii="宋体" w:hAnsi="宋体" w:eastAsia="宋体" w:cs="宋体"/>
          <w:color w:val="231F20"/>
          <w:spacing w:val="-10"/>
          <w:sz w:val="21"/>
          <w:szCs w:val="21"/>
        </w:rPr>
        <w:t xml:space="preserve"> </w:t>
      </w:r>
      <w:r>
        <w:rPr>
          <w:rFonts w:hint="eastAsia" w:ascii="宋体" w:hAnsi="宋体" w:eastAsia="宋体" w:cs="宋体"/>
          <w:color w:val="231F20"/>
          <w:spacing w:val="7"/>
          <w:sz w:val="21"/>
          <w:szCs w:val="21"/>
        </w:rPr>
        <w:t>，实现中华</w:t>
      </w:r>
      <w:r>
        <w:rPr>
          <w:rFonts w:hint="eastAsia" w:ascii="宋体" w:hAnsi="宋体" w:eastAsia="宋体" w:cs="宋体"/>
          <w:color w:val="231F20"/>
          <w:spacing w:val="6"/>
          <w:sz w:val="21"/>
          <w:szCs w:val="21"/>
        </w:rPr>
        <w:t>民族伟大复兴的战略全局</w:t>
      </w:r>
      <w:r>
        <w:rPr>
          <w:rFonts w:hint="eastAsia" w:ascii="宋体" w:hAnsi="宋体" w:eastAsia="宋体" w:cs="宋体"/>
          <w:color w:val="231F20"/>
          <w:spacing w:val="9"/>
          <w:sz w:val="21"/>
          <w:szCs w:val="21"/>
        </w:rPr>
        <w:t>与世界百年未有之大变局相互交织</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9"/>
          <w:sz w:val="21"/>
          <w:szCs w:val="21"/>
        </w:rPr>
        <w:t>、相互影响</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9"/>
          <w:sz w:val="21"/>
          <w:szCs w:val="21"/>
        </w:rPr>
        <w:t>。从国内看</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，我国经济社会</w:t>
      </w:r>
      <w:r>
        <w:rPr>
          <w:rFonts w:hint="eastAsia" w:ascii="宋体" w:hAnsi="宋体" w:eastAsia="宋体" w:cs="宋体"/>
          <w:color w:val="231F20"/>
          <w:spacing w:val="8"/>
          <w:sz w:val="21"/>
          <w:szCs w:val="21"/>
        </w:rPr>
        <w:t>领域发展过程中出现了</w:t>
      </w:r>
      <w:r>
        <w:rPr>
          <w:rFonts w:hint="eastAsia" w:ascii="宋体" w:hAnsi="宋体" w:eastAsia="宋体" w:cs="宋体"/>
          <w:color w:val="231F20"/>
          <w:spacing w:val="9"/>
          <w:sz w:val="21"/>
          <w:szCs w:val="21"/>
        </w:rPr>
        <w:t>一系列新矛盾新挑战</w:t>
      </w:r>
      <w:r>
        <w:rPr>
          <w:rFonts w:hint="eastAsia" w:ascii="宋体" w:hAnsi="宋体" w:eastAsia="宋体" w:cs="宋体"/>
          <w:color w:val="231F20"/>
          <w:spacing w:val="-2"/>
          <w:sz w:val="21"/>
          <w:szCs w:val="21"/>
        </w:rPr>
        <w:t xml:space="preserve"> </w:t>
      </w:r>
      <w:r>
        <w:rPr>
          <w:rFonts w:hint="eastAsia" w:ascii="宋体" w:hAnsi="宋体" w:eastAsia="宋体" w:cs="宋体"/>
          <w:color w:val="231F20"/>
          <w:spacing w:val="9"/>
          <w:sz w:val="21"/>
          <w:szCs w:val="21"/>
        </w:rPr>
        <w:t>，经济发展由高速增长转向高质量发展阶段</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，人民日益增长的美好生活需要和不平衡不充分的发展之间的矛盾成为社会发展的主要矛盾</w:t>
      </w:r>
      <w:r>
        <w:rPr>
          <w:rFonts w:hint="eastAsia" w:ascii="宋体" w:hAnsi="宋体" w:eastAsia="宋体" w:cs="宋体"/>
          <w:color w:val="231F20"/>
          <w:spacing w:val="-10"/>
          <w:sz w:val="21"/>
          <w:szCs w:val="21"/>
        </w:rPr>
        <w:t xml:space="preserve"> </w:t>
      </w:r>
      <w:r>
        <w:rPr>
          <w:rFonts w:hint="eastAsia" w:ascii="宋体" w:hAnsi="宋体" w:eastAsia="宋体" w:cs="宋体"/>
          <w:color w:val="231F20"/>
          <w:spacing w:val="9"/>
          <w:sz w:val="21"/>
          <w:szCs w:val="21"/>
        </w:rPr>
        <w:t>；从</w:t>
      </w:r>
      <w:r>
        <w:rPr>
          <w:rFonts w:hint="eastAsia" w:ascii="宋体" w:hAnsi="宋体" w:eastAsia="宋体" w:cs="宋体"/>
          <w:color w:val="231F20"/>
          <w:spacing w:val="8"/>
          <w:sz w:val="21"/>
          <w:szCs w:val="21"/>
        </w:rPr>
        <w:t>国际上看，</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8"/>
          <w:sz w:val="21"/>
          <w:szCs w:val="21"/>
        </w:rPr>
        <w:t>国际局势动荡</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、局部</w:t>
      </w:r>
      <w:r>
        <w:rPr>
          <w:rFonts w:hint="eastAsia" w:ascii="宋体" w:hAnsi="宋体" w:eastAsia="宋体" w:cs="宋体"/>
          <w:color w:val="231F20"/>
          <w:spacing w:val="7"/>
          <w:sz w:val="21"/>
          <w:szCs w:val="21"/>
        </w:rPr>
        <w:t>冲突频现</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，美国等西方国家的霸权主义行径愈演愈烈</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7"/>
          <w:sz w:val="21"/>
          <w:szCs w:val="21"/>
        </w:rPr>
        <w:t>因此</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6"/>
          <w:sz w:val="21"/>
          <w:szCs w:val="21"/>
        </w:rPr>
        <w:t>构建中国自主知识体系</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6"/>
          <w:sz w:val="21"/>
          <w:szCs w:val="21"/>
        </w:rPr>
        <w:t>，就是要力</w:t>
      </w:r>
      <w:r>
        <w:rPr>
          <w:rFonts w:hint="eastAsia" w:ascii="宋体" w:hAnsi="宋体" w:eastAsia="宋体" w:cs="宋体"/>
          <w:color w:val="231F20"/>
          <w:spacing w:val="9"/>
          <w:sz w:val="21"/>
          <w:szCs w:val="21"/>
        </w:rPr>
        <w:t>争解决国内外的系列问题和挑战，</w:t>
      </w:r>
      <w:r>
        <w:rPr>
          <w:rFonts w:hint="eastAsia" w:ascii="宋体" w:hAnsi="宋体" w:eastAsia="宋体" w:cs="宋体"/>
          <w:color w:val="231F20"/>
          <w:spacing w:val="-28"/>
          <w:sz w:val="21"/>
          <w:szCs w:val="21"/>
        </w:rPr>
        <w:t xml:space="preserve"> </w:t>
      </w:r>
      <w:r>
        <w:rPr>
          <w:rFonts w:hint="eastAsia" w:ascii="宋体" w:hAnsi="宋体" w:eastAsia="宋体" w:cs="宋体"/>
          <w:color w:val="231F20"/>
          <w:spacing w:val="9"/>
          <w:sz w:val="21"/>
          <w:szCs w:val="21"/>
        </w:rPr>
        <w:t>只有一切从具体实际出发</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9"/>
          <w:sz w:val="21"/>
          <w:szCs w:val="21"/>
        </w:rPr>
        <w:t>、从时代需求出发</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，直面中国</w:t>
      </w:r>
      <w:r>
        <w:rPr>
          <w:rFonts w:hint="eastAsia" w:ascii="宋体" w:hAnsi="宋体" w:eastAsia="宋体" w:cs="宋体"/>
          <w:color w:val="231F20"/>
          <w:spacing w:val="8"/>
          <w:sz w:val="21"/>
          <w:szCs w:val="21"/>
        </w:rPr>
        <w:t>式现代</w:t>
      </w:r>
      <w:r>
        <w:rPr>
          <w:rFonts w:hint="eastAsia" w:ascii="宋体" w:hAnsi="宋体" w:eastAsia="宋体" w:cs="宋体"/>
          <w:color w:val="231F20"/>
          <w:spacing w:val="15"/>
          <w:sz w:val="21"/>
          <w:szCs w:val="21"/>
        </w:rPr>
        <w:t>化进程中的重大问题 ，并上升为与时俱进的</w:t>
      </w:r>
      <w:r>
        <w:rPr>
          <w:rFonts w:hint="eastAsia" w:ascii="宋体" w:hAnsi="宋体" w:eastAsia="宋体" w:cs="宋体"/>
          <w:color w:val="231F20"/>
          <w:spacing w:val="14"/>
          <w:sz w:val="21"/>
          <w:szCs w:val="21"/>
        </w:rPr>
        <w:t>最新理论成果和知识体系，</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14"/>
          <w:sz w:val="21"/>
          <w:szCs w:val="21"/>
        </w:rPr>
        <w:t>才能更好地指导中国实</w:t>
      </w:r>
      <w:r>
        <w:rPr>
          <w:rFonts w:hint="eastAsia" w:ascii="宋体" w:hAnsi="宋体" w:eastAsia="宋体" w:cs="宋体"/>
          <w:color w:val="231F20"/>
          <w:spacing w:val="6"/>
          <w:sz w:val="21"/>
          <w:szCs w:val="21"/>
        </w:rPr>
        <w:t>践</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6"/>
          <w:sz w:val="21"/>
          <w:szCs w:val="21"/>
        </w:rPr>
        <w:t>。其次</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6"/>
          <w:sz w:val="21"/>
          <w:szCs w:val="21"/>
        </w:rPr>
        <w:t>，坚持问题导向</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6"/>
          <w:sz w:val="21"/>
          <w:szCs w:val="21"/>
        </w:rPr>
        <w:t>，还需要在科学回答中国之问</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6"/>
          <w:sz w:val="21"/>
          <w:szCs w:val="21"/>
        </w:rPr>
        <w:t>、世界之问</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6"/>
          <w:sz w:val="21"/>
          <w:szCs w:val="21"/>
        </w:rPr>
        <w:t>、人民</w:t>
      </w:r>
      <w:r>
        <w:rPr>
          <w:rFonts w:hint="eastAsia" w:ascii="宋体" w:hAnsi="宋体" w:eastAsia="宋体" w:cs="宋体"/>
          <w:color w:val="231F20"/>
          <w:spacing w:val="5"/>
          <w:sz w:val="21"/>
          <w:szCs w:val="21"/>
        </w:rPr>
        <w:t>之问</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5"/>
          <w:sz w:val="21"/>
          <w:szCs w:val="21"/>
        </w:rPr>
        <w:t>、</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5"/>
          <w:sz w:val="21"/>
          <w:szCs w:val="21"/>
        </w:rPr>
        <w:t>时代之问中把握</w:t>
      </w:r>
      <w:r>
        <w:rPr>
          <w:rFonts w:hint="eastAsia" w:ascii="宋体" w:hAnsi="宋体" w:eastAsia="宋体" w:cs="宋体"/>
          <w:color w:val="231F20"/>
          <w:spacing w:val="7"/>
          <w:sz w:val="21"/>
          <w:szCs w:val="21"/>
        </w:rPr>
        <w:t>学术研究方向</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7"/>
          <w:sz w:val="21"/>
          <w:szCs w:val="21"/>
        </w:rPr>
        <w:t>，打造原创性</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、标识性概念</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25"/>
          <w:sz w:val="21"/>
          <w:szCs w:val="21"/>
        </w:rPr>
        <w:t xml:space="preserve"> </w:t>
      </w:r>
      <w:r>
        <w:rPr>
          <w:rFonts w:hint="eastAsia" w:ascii="宋体" w:hAnsi="宋体" w:eastAsia="宋体" w:cs="宋体"/>
          <w:color w:val="231F20"/>
          <w:spacing w:val="7"/>
          <w:sz w:val="21"/>
          <w:szCs w:val="21"/>
        </w:rPr>
        <w:t>习近平总书记统筹国内国际两个发展大局</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，创新性地</w:t>
      </w:r>
      <w:r>
        <w:rPr>
          <w:rFonts w:hint="eastAsia" w:ascii="宋体" w:hAnsi="宋体" w:eastAsia="宋体" w:cs="宋体"/>
          <w:color w:val="231F20"/>
          <w:spacing w:val="-2"/>
          <w:sz w:val="21"/>
          <w:szCs w:val="21"/>
        </w:rPr>
        <w:t>提出了“新发展格局</w:t>
      </w:r>
      <w:r>
        <w:rPr>
          <w:rFonts w:hint="eastAsia" w:ascii="宋体" w:hAnsi="宋体" w:eastAsia="宋体" w:cs="宋体"/>
          <w:color w:val="231F20"/>
          <w:spacing w:val="-14"/>
          <w:sz w:val="21"/>
          <w:szCs w:val="21"/>
        </w:rPr>
        <w:t xml:space="preserve"> </w:t>
      </w:r>
      <w:r>
        <w:rPr>
          <w:rFonts w:hint="eastAsia" w:ascii="宋体" w:hAnsi="宋体" w:eastAsia="宋体" w:cs="宋体"/>
          <w:color w:val="231F20"/>
          <w:spacing w:val="-2"/>
          <w:sz w:val="21"/>
          <w:szCs w:val="21"/>
        </w:rPr>
        <w:t>”“新发展理念</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2"/>
          <w:sz w:val="21"/>
          <w:szCs w:val="21"/>
        </w:rPr>
        <w:t>”“新质生产力</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2"/>
          <w:sz w:val="21"/>
          <w:szCs w:val="21"/>
        </w:rPr>
        <w:t>”“高质量发展</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2"/>
          <w:sz w:val="21"/>
          <w:szCs w:val="21"/>
        </w:rPr>
        <w:t>”“全过程人民民主</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2"/>
          <w:sz w:val="21"/>
          <w:szCs w:val="21"/>
        </w:rPr>
        <w:t>”“构建人</w:t>
      </w:r>
      <w:r>
        <w:rPr>
          <w:rFonts w:hint="eastAsia" w:ascii="宋体" w:hAnsi="宋体" w:eastAsia="宋体" w:cs="宋体"/>
          <w:color w:val="231F20"/>
          <w:spacing w:val="9"/>
          <w:sz w:val="21"/>
          <w:szCs w:val="21"/>
        </w:rPr>
        <w:t>类命运共同体</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9"/>
          <w:sz w:val="21"/>
          <w:szCs w:val="21"/>
        </w:rPr>
        <w:t>”等原创性概念和理念</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，并赢得国际社会的广</w:t>
      </w:r>
      <w:r>
        <w:rPr>
          <w:rFonts w:hint="eastAsia" w:ascii="宋体" w:hAnsi="宋体" w:eastAsia="宋体" w:cs="宋体"/>
          <w:color w:val="231F20"/>
          <w:spacing w:val="8"/>
          <w:sz w:val="21"/>
          <w:szCs w:val="21"/>
        </w:rPr>
        <w:t>泛认同</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，为学术界构建自主知识体系</w:t>
      </w:r>
      <w:r>
        <w:rPr>
          <w:rFonts w:hint="eastAsia" w:ascii="宋体" w:hAnsi="宋体" w:eastAsia="宋体" w:cs="宋体"/>
          <w:color w:val="231F20"/>
          <w:spacing w:val="9"/>
          <w:sz w:val="21"/>
          <w:szCs w:val="21"/>
        </w:rPr>
        <w:t>提供了诸多研究方向</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9"/>
          <w:sz w:val="21"/>
          <w:szCs w:val="21"/>
        </w:rPr>
        <w:t>。</w:t>
      </w:r>
      <w:r>
        <w:rPr>
          <w:rFonts w:hint="eastAsia" w:ascii="宋体" w:hAnsi="宋体" w:eastAsia="宋体" w:cs="宋体"/>
          <w:color w:val="231F20"/>
          <w:spacing w:val="-25"/>
          <w:sz w:val="21"/>
          <w:szCs w:val="21"/>
        </w:rPr>
        <w:t xml:space="preserve"> </w:t>
      </w:r>
      <w:r>
        <w:rPr>
          <w:rFonts w:hint="eastAsia" w:ascii="宋体" w:hAnsi="宋体" w:eastAsia="宋体" w:cs="宋体"/>
          <w:color w:val="231F20"/>
          <w:spacing w:val="9"/>
          <w:sz w:val="21"/>
          <w:szCs w:val="21"/>
        </w:rPr>
        <w:t>习近平新时代中国特色社会主义思想蕴含系列标识性</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9"/>
          <w:sz w:val="21"/>
          <w:szCs w:val="21"/>
        </w:rPr>
        <w:t>、原创性概念以及重</w:t>
      </w:r>
      <w:r>
        <w:rPr>
          <w:rFonts w:hint="eastAsia" w:ascii="宋体" w:hAnsi="宋体" w:eastAsia="宋体" w:cs="宋体"/>
          <w:color w:val="231F20"/>
          <w:spacing w:val="7"/>
          <w:sz w:val="21"/>
          <w:szCs w:val="21"/>
        </w:rPr>
        <w:t>要命题， 日益形成丰富的理论体系和中国自主知识体系构建框架。</w:t>
      </w:r>
    </w:p>
    <w:p w14:paraId="38E3954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pacing w:val="-9"/>
          <w:position w:val="1"/>
          <w:sz w:val="24"/>
          <w:szCs w:val="24"/>
        </w:rPr>
      </w:pPr>
      <w:r>
        <w:rPr>
          <w:rFonts w:hint="eastAsia" w:ascii="宋体" w:hAnsi="宋体" w:eastAsia="宋体" w:cs="宋体"/>
          <w:b/>
          <w:bCs/>
          <w:spacing w:val="-9"/>
          <w:position w:val="1"/>
          <w:sz w:val="24"/>
          <w:szCs w:val="24"/>
        </w:rPr>
        <w:t>五、坚持系统观念 ：构建中国自主知识体系的科学方法</w:t>
      </w:r>
    </w:p>
    <w:p w14:paraId="079D52C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3613096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8"/>
          <w:sz w:val="21"/>
          <w:szCs w:val="21"/>
        </w:rPr>
        <w:t>习近平总书记指出：“系统观念是具有基础性的思想和工作方法。”</w:t>
      </w:r>
      <w:r>
        <w:rPr>
          <w:rStyle w:val="20"/>
          <w:rFonts w:hint="eastAsia" w:ascii="宋体" w:hAnsi="宋体" w:eastAsia="宋体" w:cs="宋体"/>
          <w:color w:val="231F20"/>
          <w:spacing w:val="8"/>
          <w:sz w:val="21"/>
          <w:szCs w:val="21"/>
        </w:rPr>
        <w:footnoteReference w:id="1473"/>
      </w:r>
      <w:r>
        <w:rPr>
          <w:rFonts w:hint="eastAsia" w:ascii="宋体" w:hAnsi="宋体" w:eastAsia="宋体" w:cs="宋体"/>
          <w:color w:val="231F20"/>
          <w:spacing w:val="8"/>
          <w:sz w:val="21"/>
          <w:szCs w:val="21"/>
        </w:rPr>
        <w:t>系统观念作为一种</w:t>
      </w:r>
      <w:r>
        <w:rPr>
          <w:rFonts w:hint="eastAsia" w:ascii="宋体" w:hAnsi="宋体" w:eastAsia="宋体" w:cs="宋体"/>
          <w:color w:val="231F20"/>
          <w:spacing w:val="7"/>
          <w:sz w:val="21"/>
          <w:szCs w:val="21"/>
        </w:rPr>
        <w:t>科学</w:t>
      </w:r>
      <w:r>
        <w:rPr>
          <w:rFonts w:hint="eastAsia" w:ascii="宋体" w:hAnsi="宋体" w:eastAsia="宋体" w:cs="宋体"/>
          <w:color w:val="231F20"/>
          <w:spacing w:val="10"/>
          <w:sz w:val="21"/>
          <w:szCs w:val="21"/>
        </w:rPr>
        <w:t>的思维方式，</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10"/>
          <w:sz w:val="21"/>
          <w:szCs w:val="21"/>
        </w:rPr>
        <w:t>强调整体性</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10"/>
          <w:sz w:val="21"/>
          <w:szCs w:val="21"/>
        </w:rPr>
        <w:t>、关联性</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10"/>
          <w:sz w:val="21"/>
          <w:szCs w:val="21"/>
        </w:rPr>
        <w:t>、层次性</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10"/>
          <w:sz w:val="21"/>
          <w:szCs w:val="21"/>
        </w:rPr>
        <w:t>、</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10"/>
          <w:sz w:val="21"/>
          <w:szCs w:val="21"/>
        </w:rPr>
        <w:t xml:space="preserve">开放性 </w:t>
      </w:r>
      <w:r>
        <w:rPr>
          <w:rFonts w:hint="eastAsia" w:ascii="宋体" w:hAnsi="宋体" w:eastAsia="宋体" w:cs="宋体"/>
          <w:color w:val="231F20"/>
          <w:spacing w:val="9"/>
          <w:sz w:val="21"/>
          <w:szCs w:val="21"/>
        </w:rPr>
        <w:t>，要求统筹兼顾</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9"/>
          <w:sz w:val="21"/>
          <w:szCs w:val="21"/>
        </w:rPr>
        <w:t>、综合施策，</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9"/>
          <w:sz w:val="21"/>
          <w:szCs w:val="21"/>
        </w:rPr>
        <w:t>既要见“</w:t>
      </w:r>
      <w:r>
        <w:rPr>
          <w:rFonts w:hint="eastAsia" w:ascii="宋体" w:hAnsi="宋体" w:eastAsia="宋体" w:cs="宋体"/>
          <w:color w:val="231F20"/>
          <w:spacing w:val="-36"/>
          <w:sz w:val="21"/>
          <w:szCs w:val="21"/>
        </w:rPr>
        <w:t xml:space="preserve"> </w:t>
      </w:r>
      <w:r>
        <w:rPr>
          <w:rFonts w:hint="eastAsia" w:ascii="宋体" w:hAnsi="宋体" w:eastAsia="宋体" w:cs="宋体"/>
          <w:color w:val="231F20"/>
          <w:spacing w:val="9"/>
          <w:sz w:val="21"/>
          <w:szCs w:val="21"/>
        </w:rPr>
        <w:t>树</w:t>
      </w:r>
      <w:r>
        <w:rPr>
          <w:rFonts w:hint="eastAsia" w:ascii="宋体" w:hAnsi="宋体" w:eastAsia="宋体" w:cs="宋体"/>
          <w:color w:val="231F20"/>
          <w:spacing w:val="10"/>
          <w:sz w:val="21"/>
          <w:szCs w:val="21"/>
        </w:rPr>
        <w:t>木</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10"/>
          <w:sz w:val="21"/>
          <w:szCs w:val="21"/>
        </w:rPr>
        <w:t>”更要见“森林”，为构建中国自主知识体系提供了科学方法</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10"/>
          <w:sz w:val="21"/>
          <w:szCs w:val="21"/>
        </w:rPr>
        <w:t>。构建中国</w:t>
      </w:r>
      <w:r>
        <w:rPr>
          <w:rFonts w:hint="eastAsia" w:ascii="宋体" w:hAnsi="宋体" w:eastAsia="宋体" w:cs="宋体"/>
          <w:color w:val="231F20"/>
          <w:spacing w:val="9"/>
          <w:sz w:val="21"/>
          <w:szCs w:val="21"/>
        </w:rPr>
        <w:t>自主知识体系是一个</w:t>
      </w:r>
      <w:r>
        <w:rPr>
          <w:rFonts w:hint="eastAsia" w:ascii="宋体" w:hAnsi="宋体" w:eastAsia="宋体" w:cs="宋体"/>
          <w:color w:val="231F20"/>
          <w:spacing w:val="12"/>
          <w:sz w:val="21"/>
          <w:szCs w:val="21"/>
        </w:rPr>
        <w:t>庞大而复杂的系统工程 ，需打破学科壁垒 ，促进交叉融</w:t>
      </w:r>
      <w:r>
        <w:rPr>
          <w:rFonts w:hint="eastAsia" w:ascii="宋体" w:hAnsi="宋体" w:eastAsia="宋体" w:cs="宋体"/>
          <w:color w:val="231F20"/>
          <w:spacing w:val="11"/>
          <w:sz w:val="21"/>
          <w:szCs w:val="21"/>
        </w:rPr>
        <w:t>合</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11"/>
          <w:sz w:val="21"/>
          <w:szCs w:val="21"/>
        </w:rPr>
        <w:t>。</w:t>
      </w:r>
      <w:r>
        <w:rPr>
          <w:rFonts w:hint="eastAsia" w:ascii="宋体" w:hAnsi="宋体" w:eastAsia="宋体" w:cs="宋体"/>
          <w:color w:val="231F20"/>
          <w:spacing w:val="-11"/>
          <w:sz w:val="21"/>
          <w:szCs w:val="21"/>
        </w:rPr>
        <w:t xml:space="preserve"> </w:t>
      </w:r>
      <w:r>
        <w:rPr>
          <w:rFonts w:hint="eastAsia" w:ascii="宋体" w:hAnsi="宋体" w:eastAsia="宋体" w:cs="宋体"/>
          <w:color w:val="231F20"/>
          <w:spacing w:val="11"/>
          <w:sz w:val="21"/>
          <w:szCs w:val="21"/>
        </w:rPr>
        <w:t>中国自主知识体系是一个由学科体</w:t>
      </w:r>
      <w:r>
        <w:rPr>
          <w:rFonts w:hint="eastAsia" w:ascii="宋体" w:hAnsi="宋体" w:eastAsia="宋体" w:cs="宋体"/>
          <w:color w:val="231F20"/>
          <w:spacing w:val="8"/>
          <w:sz w:val="21"/>
          <w:szCs w:val="21"/>
        </w:rPr>
        <w:t>系</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8"/>
          <w:sz w:val="21"/>
          <w:szCs w:val="21"/>
        </w:rPr>
        <w:t>、学术体系</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8"/>
          <w:sz w:val="21"/>
          <w:szCs w:val="21"/>
        </w:rPr>
        <w:t>、话语体系三者相互支撑</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8"/>
          <w:sz w:val="21"/>
          <w:szCs w:val="21"/>
        </w:rPr>
        <w:t>、相互促进的有机整体</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8"/>
          <w:sz w:val="21"/>
          <w:szCs w:val="21"/>
        </w:rPr>
        <w:t>。首先 ，构建中国自主学科体系，</w:t>
      </w:r>
      <w:r>
        <w:rPr>
          <w:rFonts w:hint="eastAsia" w:ascii="宋体" w:hAnsi="宋体" w:eastAsia="宋体" w:cs="宋体"/>
          <w:color w:val="231F20"/>
          <w:spacing w:val="9"/>
          <w:sz w:val="21"/>
          <w:szCs w:val="21"/>
        </w:rPr>
        <w:t>要求我们既要从整体上把握各个学科之间的交叉融合</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9"/>
          <w:sz w:val="21"/>
          <w:szCs w:val="21"/>
        </w:rPr>
        <w:t>，促进不同学科间的知识交互</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，形成有机统一的知识网络，</w:t>
      </w:r>
      <w:r>
        <w:rPr>
          <w:rFonts w:hint="eastAsia" w:ascii="宋体" w:hAnsi="宋体" w:eastAsia="宋体" w:cs="宋体"/>
          <w:color w:val="231F20"/>
          <w:spacing w:val="-13"/>
          <w:sz w:val="21"/>
          <w:szCs w:val="21"/>
        </w:rPr>
        <w:t xml:space="preserve"> </w:t>
      </w:r>
      <w:r>
        <w:rPr>
          <w:rFonts w:hint="eastAsia" w:ascii="宋体" w:hAnsi="宋体" w:eastAsia="宋体" w:cs="宋体"/>
          <w:color w:val="231F20"/>
          <w:spacing w:val="9"/>
          <w:sz w:val="21"/>
          <w:szCs w:val="21"/>
        </w:rPr>
        <w:t>比如随着人工智能技术的飞速发展</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，计算政治学</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、计算社会学等前沿交叉学科逐渐兴起</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8"/>
          <w:sz w:val="21"/>
          <w:szCs w:val="21"/>
        </w:rPr>
        <w:t>；又要关注不同学科之间的不同定位和特色</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，充分发挥各学科的优势和特长</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，促进知识生产的协同创新</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8"/>
          <w:sz w:val="21"/>
          <w:szCs w:val="21"/>
        </w:rPr>
        <w:t>。其次</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，构建中国自主学术体系</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，要注重知识体系中相关术语和理论之间的内在逻辑</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8"/>
          <w:sz w:val="21"/>
          <w:szCs w:val="21"/>
        </w:rPr>
        <w:t>既要避免自主知识体系构建中出现“概念孤儿”，又要防止“概念丛林</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8"/>
          <w:sz w:val="21"/>
          <w:szCs w:val="21"/>
        </w:rPr>
        <w:t>”现象</w:t>
      </w:r>
      <w:r>
        <w:rPr>
          <w:rFonts w:hint="eastAsia" w:ascii="宋体" w:hAnsi="宋体" w:eastAsia="宋体" w:cs="宋体"/>
          <w:color w:val="231F20"/>
          <w:spacing w:val="7"/>
          <w:sz w:val="21"/>
          <w:szCs w:val="21"/>
        </w:rPr>
        <w:t xml:space="preserve"> ，应从中提炼</w:t>
      </w:r>
      <w:r>
        <w:rPr>
          <w:rFonts w:hint="eastAsia" w:ascii="宋体" w:hAnsi="宋体" w:eastAsia="宋体" w:cs="宋体"/>
          <w:color w:val="231F20"/>
          <w:spacing w:val="9"/>
          <w:sz w:val="21"/>
          <w:szCs w:val="21"/>
        </w:rPr>
        <w:t>具有中国特色的标识性概念</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，创新理论阐释方式，</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9"/>
          <w:sz w:val="21"/>
          <w:szCs w:val="21"/>
        </w:rPr>
        <w:t>引导学术</w:t>
      </w:r>
      <w:r>
        <w:rPr>
          <w:rFonts w:hint="eastAsia" w:ascii="宋体" w:hAnsi="宋体" w:eastAsia="宋体" w:cs="宋体"/>
          <w:color w:val="231F20"/>
          <w:spacing w:val="8"/>
          <w:sz w:val="21"/>
          <w:szCs w:val="21"/>
        </w:rPr>
        <w:t>界展开深入研究和广泛讨论</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，形成具</w:t>
      </w:r>
      <w:r>
        <w:rPr>
          <w:rFonts w:hint="eastAsia" w:ascii="宋体" w:hAnsi="宋体" w:eastAsia="宋体" w:cs="宋体"/>
          <w:color w:val="231F20"/>
          <w:spacing w:val="6"/>
          <w:sz w:val="21"/>
          <w:szCs w:val="21"/>
        </w:rPr>
        <w:t>有主体性</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6"/>
          <w:sz w:val="21"/>
          <w:szCs w:val="21"/>
        </w:rPr>
        <w:t>、原创性</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6"/>
          <w:sz w:val="21"/>
          <w:szCs w:val="21"/>
        </w:rPr>
        <w:t>、</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6"/>
          <w:sz w:val="21"/>
          <w:szCs w:val="21"/>
        </w:rPr>
        <w:t>系统性的理论体系</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6"/>
          <w:sz w:val="21"/>
          <w:szCs w:val="21"/>
        </w:rPr>
        <w:t>。</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6"/>
          <w:sz w:val="21"/>
          <w:szCs w:val="21"/>
        </w:rPr>
        <w:t>同时</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6"/>
          <w:sz w:val="21"/>
          <w:szCs w:val="21"/>
        </w:rPr>
        <w:t>，要注重学术研究的</w:t>
      </w:r>
      <w:r>
        <w:rPr>
          <w:rFonts w:hint="eastAsia" w:ascii="宋体" w:hAnsi="宋体" w:eastAsia="宋体" w:cs="宋体"/>
          <w:color w:val="231F20"/>
          <w:spacing w:val="5"/>
          <w:sz w:val="21"/>
          <w:szCs w:val="21"/>
        </w:rPr>
        <w:t>规范性和科学性</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5"/>
          <w:sz w:val="21"/>
          <w:szCs w:val="21"/>
        </w:rPr>
        <w:t>，提倡学术争</w:t>
      </w:r>
      <w:r>
        <w:rPr>
          <w:rFonts w:hint="eastAsia" w:ascii="宋体" w:hAnsi="宋体" w:eastAsia="宋体" w:cs="宋体"/>
          <w:color w:val="231F20"/>
          <w:spacing w:val="13"/>
          <w:sz w:val="21"/>
          <w:szCs w:val="21"/>
        </w:rPr>
        <w:t>鸣 ，创新高校学术评价体系，</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13"/>
          <w:sz w:val="21"/>
          <w:szCs w:val="21"/>
        </w:rPr>
        <w:t>营造良好的学术生态环境，激发学者的创新活力和研究热情</w:t>
      </w:r>
      <w:r>
        <w:rPr>
          <w:rFonts w:hint="eastAsia" w:ascii="宋体" w:hAnsi="宋体" w:eastAsia="宋体" w:cs="宋体"/>
          <w:color w:val="231F20"/>
          <w:spacing w:val="-16"/>
          <w:sz w:val="21"/>
          <w:szCs w:val="21"/>
        </w:rPr>
        <w:t xml:space="preserve"> </w:t>
      </w:r>
      <w:r>
        <w:rPr>
          <w:rFonts w:hint="eastAsia" w:ascii="宋体" w:hAnsi="宋体" w:eastAsia="宋体" w:cs="宋体"/>
          <w:color w:val="231F20"/>
          <w:spacing w:val="13"/>
          <w:sz w:val="21"/>
          <w:szCs w:val="21"/>
        </w:rPr>
        <w:t>。最</w:t>
      </w:r>
      <w:r>
        <w:rPr>
          <w:rFonts w:hint="eastAsia" w:ascii="宋体" w:hAnsi="宋体" w:eastAsia="宋体" w:cs="宋体"/>
          <w:color w:val="231F20"/>
          <w:spacing w:val="8"/>
          <w:sz w:val="21"/>
          <w:szCs w:val="21"/>
        </w:rPr>
        <w:t>后 ，构建中国自主话语体系</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，是提升我国国际话语权和影响力的重要途径</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8"/>
          <w:sz w:val="21"/>
          <w:szCs w:val="21"/>
        </w:rPr>
        <w:t>。我们要通过积极参与国际学术交流活动</w:t>
      </w:r>
      <w:r>
        <w:rPr>
          <w:rFonts w:hint="eastAsia" w:ascii="宋体" w:hAnsi="宋体" w:eastAsia="宋体" w:cs="宋体"/>
          <w:color w:val="231F20"/>
          <w:spacing w:val="-13"/>
          <w:sz w:val="21"/>
          <w:szCs w:val="21"/>
        </w:rPr>
        <w:t xml:space="preserve"> </w:t>
      </w:r>
      <w:r>
        <w:rPr>
          <w:rFonts w:hint="eastAsia" w:ascii="宋体" w:hAnsi="宋体" w:eastAsia="宋体" w:cs="宋体"/>
          <w:color w:val="231F20"/>
          <w:spacing w:val="8"/>
          <w:sz w:val="21"/>
          <w:szCs w:val="21"/>
        </w:rPr>
        <w:t>、举办国际学术会议</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8"/>
          <w:sz w:val="21"/>
          <w:szCs w:val="21"/>
        </w:rPr>
        <w:t>主动设置学术议题和叙事路径等方式</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，展示中国学术体系的最新研究成果和理论创新</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8"/>
          <w:sz w:val="21"/>
          <w:szCs w:val="21"/>
        </w:rPr>
        <w:t>。此外</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，还要注重话语表达的创新性和传播方式的多样化</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，运用通</w:t>
      </w:r>
      <w:r>
        <w:rPr>
          <w:rFonts w:hint="eastAsia" w:ascii="宋体" w:hAnsi="宋体" w:eastAsia="宋体" w:cs="宋体"/>
          <w:color w:val="231F20"/>
          <w:spacing w:val="7"/>
          <w:sz w:val="21"/>
          <w:szCs w:val="21"/>
        </w:rPr>
        <w:t>俗易懂</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7"/>
          <w:sz w:val="21"/>
          <w:szCs w:val="21"/>
        </w:rPr>
        <w:t>、生动形象的语言和形式</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，讲好中国故事</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，传播好中国声音</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7"/>
          <w:sz w:val="21"/>
          <w:szCs w:val="21"/>
        </w:rPr>
        <w:t>，不断提升中国学术的国际影响力和话语权。</w:t>
      </w:r>
    </w:p>
    <w:p w14:paraId="55331D3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pacing w:val="-9"/>
          <w:position w:val="1"/>
          <w:sz w:val="24"/>
          <w:szCs w:val="24"/>
        </w:rPr>
      </w:pPr>
      <w:r>
        <w:rPr>
          <w:rFonts w:hint="eastAsia" w:ascii="宋体" w:hAnsi="宋体" w:eastAsia="宋体" w:cs="宋体"/>
          <w:b/>
          <w:bCs/>
          <w:spacing w:val="-9"/>
          <w:position w:val="1"/>
          <w:sz w:val="24"/>
          <w:szCs w:val="24"/>
        </w:rPr>
        <w:t>六、坚持胸怀天下 ：构建中国自主知识体系的全球视野</w:t>
      </w:r>
    </w:p>
    <w:p w14:paraId="2060294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5A424E7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color w:val="231F20"/>
          <w:spacing w:val="7"/>
          <w:sz w:val="21"/>
          <w:szCs w:val="21"/>
        </w:rPr>
      </w:pPr>
      <w:r>
        <w:rPr>
          <w:rFonts w:hint="eastAsia" w:ascii="宋体" w:hAnsi="宋体" w:eastAsia="宋体" w:cs="宋体"/>
          <w:color w:val="231F20"/>
          <w:spacing w:val="17"/>
          <w:sz w:val="21"/>
          <w:szCs w:val="21"/>
        </w:rPr>
        <w:t>习近平总书记指出：“我们要站在世界历史的</w:t>
      </w:r>
      <w:r>
        <w:rPr>
          <w:rFonts w:hint="eastAsia" w:ascii="宋体" w:hAnsi="宋体" w:eastAsia="宋体" w:cs="宋体"/>
          <w:color w:val="231F20"/>
          <w:spacing w:val="16"/>
          <w:sz w:val="21"/>
          <w:szCs w:val="21"/>
        </w:rPr>
        <w:t>高度审视当今世界发展趋势和面临的重大问</w:t>
      </w:r>
      <w:r>
        <w:rPr>
          <w:rFonts w:hint="eastAsia" w:ascii="宋体" w:hAnsi="宋体" w:eastAsia="宋体" w:cs="宋体"/>
          <w:color w:val="231F20"/>
          <w:spacing w:val="-27"/>
          <w:sz w:val="21"/>
          <w:szCs w:val="21"/>
        </w:rPr>
        <w:t>题。”</w:t>
      </w:r>
      <w:r>
        <w:rPr>
          <w:rStyle w:val="20"/>
          <w:rFonts w:hint="eastAsia" w:ascii="宋体" w:hAnsi="宋体" w:eastAsia="宋体" w:cs="宋体"/>
          <w:color w:val="231F20"/>
          <w:spacing w:val="-27"/>
          <w:sz w:val="21"/>
          <w:szCs w:val="21"/>
        </w:rPr>
        <w:footnoteReference w:id="1474"/>
      </w:r>
      <w:r>
        <w:rPr>
          <w:rFonts w:hint="eastAsia" w:ascii="宋体" w:hAnsi="宋体" w:eastAsia="宋体" w:cs="宋体"/>
          <w:color w:val="231F20"/>
          <w:spacing w:val="10"/>
          <w:sz w:val="21"/>
          <w:szCs w:val="21"/>
        </w:rPr>
        <w:t>构建中国自主知识体系绝不能闭门造车</w:t>
      </w:r>
      <w:r>
        <w:rPr>
          <w:rFonts w:hint="eastAsia" w:ascii="宋体" w:hAnsi="宋体" w:eastAsia="宋体" w:cs="宋体"/>
          <w:color w:val="231F20"/>
          <w:spacing w:val="7"/>
          <w:sz w:val="21"/>
          <w:szCs w:val="21"/>
        </w:rPr>
        <w:t xml:space="preserve"> </w:t>
      </w:r>
      <w:r>
        <w:rPr>
          <w:rFonts w:hint="eastAsia" w:ascii="宋体" w:hAnsi="宋体" w:eastAsia="宋体" w:cs="宋体"/>
          <w:color w:val="231F20"/>
          <w:spacing w:val="10"/>
          <w:sz w:val="21"/>
          <w:szCs w:val="21"/>
        </w:rPr>
        <w:t>，而是要在加强与世界文明的交流互鉴中不断丰富</w:t>
      </w:r>
      <w:r>
        <w:rPr>
          <w:rFonts w:hint="eastAsia" w:ascii="宋体" w:hAnsi="宋体" w:eastAsia="宋体" w:cs="宋体"/>
          <w:color w:val="231F20"/>
          <w:spacing w:val="9"/>
          <w:sz w:val="21"/>
          <w:szCs w:val="21"/>
        </w:rPr>
        <w:t>和发展</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9"/>
          <w:sz w:val="21"/>
          <w:szCs w:val="21"/>
        </w:rPr>
        <w:t>。我们在立足本国实际的基础上，</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9"/>
          <w:sz w:val="21"/>
          <w:szCs w:val="21"/>
        </w:rPr>
        <w:t>以开放包容的姿态吸</w:t>
      </w:r>
      <w:r>
        <w:rPr>
          <w:rFonts w:hint="eastAsia" w:ascii="宋体" w:hAnsi="宋体" w:eastAsia="宋体" w:cs="宋体"/>
          <w:color w:val="231F20"/>
          <w:spacing w:val="8"/>
          <w:sz w:val="21"/>
          <w:szCs w:val="21"/>
        </w:rPr>
        <w:t>收借鉴全人类文明的优秀成果</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，体</w:t>
      </w:r>
      <w:r>
        <w:rPr>
          <w:rFonts w:hint="eastAsia" w:ascii="宋体" w:hAnsi="宋体" w:eastAsia="宋体" w:cs="宋体"/>
          <w:color w:val="231F20"/>
          <w:spacing w:val="7"/>
          <w:sz w:val="21"/>
          <w:szCs w:val="21"/>
        </w:rPr>
        <w:t>现了“各美其美 ，美人之美 ，美美与共，</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7"/>
          <w:sz w:val="21"/>
          <w:szCs w:val="21"/>
        </w:rPr>
        <w:t>天下大同</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7"/>
          <w:sz w:val="21"/>
          <w:szCs w:val="21"/>
        </w:rPr>
        <w:t>”的大同观</w:t>
      </w:r>
      <w:r>
        <w:rPr>
          <w:rFonts w:hint="eastAsia" w:ascii="宋体" w:hAnsi="宋体" w:eastAsia="宋体" w:cs="宋体"/>
          <w:color w:val="231F20"/>
          <w:spacing w:val="6"/>
          <w:sz w:val="21"/>
          <w:szCs w:val="21"/>
        </w:rPr>
        <w:t>。“坚持胸怀天下</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6"/>
          <w:sz w:val="21"/>
          <w:szCs w:val="21"/>
        </w:rPr>
        <w:t>”要求我们在构</w:t>
      </w:r>
      <w:r>
        <w:rPr>
          <w:rFonts w:hint="eastAsia" w:ascii="宋体" w:hAnsi="宋体" w:eastAsia="宋体" w:cs="宋体"/>
          <w:color w:val="231F20"/>
          <w:spacing w:val="9"/>
          <w:sz w:val="21"/>
          <w:szCs w:val="21"/>
        </w:rPr>
        <w:t>建自主知识体系时要不断拓展国际视野</w:t>
      </w:r>
      <w:r>
        <w:rPr>
          <w:rFonts w:hint="eastAsia" w:ascii="宋体" w:hAnsi="宋体" w:eastAsia="宋体" w:cs="宋体"/>
          <w:color w:val="231F20"/>
          <w:spacing w:val="-4"/>
          <w:sz w:val="21"/>
          <w:szCs w:val="21"/>
        </w:rPr>
        <w:t xml:space="preserve"> </w:t>
      </w:r>
      <w:r>
        <w:rPr>
          <w:rFonts w:hint="eastAsia" w:ascii="宋体" w:hAnsi="宋体" w:eastAsia="宋体" w:cs="宋体"/>
          <w:color w:val="231F20"/>
          <w:spacing w:val="9"/>
          <w:sz w:val="21"/>
          <w:szCs w:val="21"/>
        </w:rPr>
        <w:t>，通过文明对话与互鉴</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，在交流中推动知识体系的创新发</w:t>
      </w:r>
      <w:r>
        <w:rPr>
          <w:rFonts w:hint="eastAsia" w:ascii="宋体" w:hAnsi="宋体" w:eastAsia="宋体" w:cs="宋体"/>
          <w:color w:val="231F20"/>
          <w:spacing w:val="7"/>
          <w:sz w:val="21"/>
          <w:szCs w:val="21"/>
        </w:rPr>
        <w:t>展</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7"/>
          <w:sz w:val="21"/>
          <w:szCs w:val="21"/>
        </w:rPr>
        <w:t>。一是关注全人类面临的共同挑战</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7"/>
          <w:sz w:val="21"/>
          <w:szCs w:val="21"/>
        </w:rPr>
        <w:t>。如气候变化</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、环境污染</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、恐怖主义</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7"/>
          <w:sz w:val="21"/>
          <w:szCs w:val="21"/>
        </w:rPr>
        <w:t>霸权主义等日益突出</w:t>
      </w:r>
      <w:r>
        <w:rPr>
          <w:rFonts w:hint="eastAsia" w:ascii="宋体" w:hAnsi="宋体" w:eastAsia="宋体" w:cs="宋体"/>
          <w:color w:val="231F20"/>
          <w:spacing w:val="8"/>
          <w:sz w:val="21"/>
          <w:szCs w:val="21"/>
        </w:rPr>
        <w:t>的全球性问题</w:t>
      </w:r>
      <w:r>
        <w:rPr>
          <w:rFonts w:hint="eastAsia" w:ascii="宋体" w:hAnsi="宋体" w:eastAsia="宋体" w:cs="宋体"/>
          <w:color w:val="231F20"/>
          <w:spacing w:val="7"/>
          <w:sz w:val="21"/>
          <w:szCs w:val="21"/>
        </w:rPr>
        <w:t xml:space="preserve"> </w:t>
      </w:r>
      <w:r>
        <w:rPr>
          <w:rFonts w:hint="eastAsia" w:ascii="宋体" w:hAnsi="宋体" w:eastAsia="宋体" w:cs="宋体"/>
          <w:color w:val="231F20"/>
          <w:spacing w:val="8"/>
          <w:sz w:val="21"/>
          <w:szCs w:val="21"/>
        </w:rPr>
        <w:t>，深化对世界历史发展规律的研究</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，探讨携手合作共同应对的路径方案</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8"/>
          <w:sz w:val="21"/>
          <w:szCs w:val="21"/>
        </w:rPr>
        <w:t>。二是不断</w:t>
      </w:r>
      <w:r>
        <w:rPr>
          <w:rFonts w:hint="eastAsia" w:ascii="宋体" w:hAnsi="宋体" w:eastAsia="宋体" w:cs="宋体"/>
          <w:color w:val="231F20"/>
          <w:spacing w:val="9"/>
          <w:sz w:val="21"/>
          <w:szCs w:val="21"/>
        </w:rPr>
        <w:t>总结中国发展经验</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9"/>
          <w:sz w:val="21"/>
          <w:szCs w:val="21"/>
        </w:rPr>
        <w:t>。</w:t>
      </w:r>
      <w:r>
        <w:rPr>
          <w:rFonts w:hint="eastAsia" w:ascii="宋体" w:hAnsi="宋体" w:eastAsia="宋体" w:cs="宋体"/>
          <w:color w:val="231F20"/>
          <w:spacing w:val="-14"/>
          <w:sz w:val="21"/>
          <w:szCs w:val="21"/>
        </w:rPr>
        <w:t xml:space="preserve"> </w:t>
      </w:r>
      <w:r>
        <w:rPr>
          <w:rFonts w:hint="eastAsia" w:ascii="宋体" w:hAnsi="宋体" w:eastAsia="宋体" w:cs="宋体"/>
          <w:color w:val="231F20"/>
          <w:spacing w:val="9"/>
          <w:sz w:val="21"/>
          <w:szCs w:val="21"/>
        </w:rPr>
        <w:t>中国式现代化道路打破了“</w:t>
      </w:r>
      <w:r>
        <w:rPr>
          <w:rFonts w:hint="eastAsia" w:ascii="宋体" w:hAnsi="宋体" w:eastAsia="宋体" w:cs="宋体"/>
          <w:color w:val="231F20"/>
          <w:spacing w:val="-36"/>
          <w:sz w:val="21"/>
          <w:szCs w:val="21"/>
        </w:rPr>
        <w:t xml:space="preserve"> </w:t>
      </w:r>
      <w:r>
        <w:rPr>
          <w:rFonts w:hint="eastAsia" w:ascii="宋体" w:hAnsi="宋体" w:eastAsia="宋体" w:cs="宋体"/>
          <w:color w:val="231F20"/>
          <w:spacing w:val="9"/>
          <w:sz w:val="21"/>
          <w:szCs w:val="21"/>
        </w:rPr>
        <w:t>现代化=西方化</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9"/>
          <w:sz w:val="21"/>
          <w:szCs w:val="21"/>
        </w:rPr>
        <w:t>”的迷思 ，我们需要系统总结和梳理改革开放以来的成功实践经验</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，提炼出具有普遍意义的国家治理智慧</w:t>
      </w:r>
      <w:r>
        <w:rPr>
          <w:rFonts w:hint="eastAsia" w:ascii="宋体" w:hAnsi="宋体" w:eastAsia="宋体" w:cs="宋体"/>
          <w:color w:val="231F20"/>
          <w:spacing w:val="-21"/>
          <w:sz w:val="21"/>
          <w:szCs w:val="21"/>
        </w:rPr>
        <w:t xml:space="preserve"> </w:t>
      </w:r>
      <w:r>
        <w:rPr>
          <w:rFonts w:hint="eastAsia" w:ascii="宋体" w:hAnsi="宋体" w:eastAsia="宋体" w:cs="宋体"/>
          <w:color w:val="231F20"/>
          <w:spacing w:val="9"/>
          <w:sz w:val="21"/>
          <w:szCs w:val="21"/>
        </w:rPr>
        <w:t>。三是注重培养具有国</w:t>
      </w:r>
      <w:r>
        <w:rPr>
          <w:rFonts w:hint="eastAsia" w:ascii="宋体" w:hAnsi="宋体" w:eastAsia="宋体" w:cs="宋体"/>
          <w:color w:val="231F20"/>
          <w:spacing w:val="8"/>
          <w:sz w:val="21"/>
          <w:szCs w:val="21"/>
        </w:rPr>
        <w:t>际视野的学术人才</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8"/>
          <w:sz w:val="21"/>
          <w:szCs w:val="21"/>
        </w:rPr>
        <w:t>。积极推动中外学术人才的交流合作</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，搭建国际学术交流平台</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，鼓励国内学者</w:t>
      </w:r>
      <w:r>
        <w:rPr>
          <w:rFonts w:hint="eastAsia" w:ascii="宋体" w:hAnsi="宋体" w:eastAsia="宋体" w:cs="宋体"/>
          <w:color w:val="231F20"/>
          <w:spacing w:val="14"/>
          <w:sz w:val="21"/>
          <w:szCs w:val="21"/>
        </w:rPr>
        <w:t>与国际同行开展多层次</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14"/>
          <w:sz w:val="21"/>
          <w:szCs w:val="21"/>
        </w:rPr>
        <w:t>、</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14"/>
          <w:sz w:val="21"/>
          <w:szCs w:val="21"/>
        </w:rPr>
        <w:t>宽领域的对话与合作，通过举办国际学术研讨会</w:t>
      </w:r>
      <w:r>
        <w:rPr>
          <w:rFonts w:hint="eastAsia" w:ascii="宋体" w:hAnsi="宋体" w:eastAsia="宋体" w:cs="宋体"/>
          <w:color w:val="231F20"/>
          <w:spacing w:val="-17"/>
          <w:sz w:val="21"/>
          <w:szCs w:val="21"/>
        </w:rPr>
        <w:t xml:space="preserve"> </w:t>
      </w:r>
      <w:r>
        <w:rPr>
          <w:rFonts w:hint="eastAsia" w:ascii="宋体" w:hAnsi="宋体" w:eastAsia="宋体" w:cs="宋体"/>
          <w:color w:val="231F20"/>
          <w:spacing w:val="14"/>
          <w:sz w:val="21"/>
          <w:szCs w:val="21"/>
        </w:rPr>
        <w:t>、互派学者访问等形</w:t>
      </w:r>
      <w:r>
        <w:rPr>
          <w:rFonts w:hint="eastAsia" w:ascii="宋体" w:hAnsi="宋体" w:eastAsia="宋体" w:cs="宋体"/>
          <w:color w:val="231F20"/>
          <w:spacing w:val="9"/>
          <w:sz w:val="21"/>
          <w:szCs w:val="21"/>
        </w:rPr>
        <w:t>式</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9"/>
          <w:sz w:val="21"/>
          <w:szCs w:val="21"/>
        </w:rPr>
        <w:t>，为中国学术走向世界提供坚实的人才支撑</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9"/>
          <w:sz w:val="21"/>
          <w:szCs w:val="21"/>
        </w:rPr>
        <w:t>，使中国自主知识体系在与世界学术的交流互鉴中</w:t>
      </w:r>
      <w:r>
        <w:rPr>
          <w:rFonts w:hint="eastAsia" w:ascii="宋体" w:hAnsi="宋体" w:eastAsia="宋体" w:cs="宋体"/>
          <w:color w:val="231F20"/>
          <w:spacing w:val="7"/>
          <w:sz w:val="21"/>
          <w:szCs w:val="21"/>
        </w:rPr>
        <w:t>不断完善和升华。</w:t>
      </w:r>
    </w:p>
    <w:p w14:paraId="051D961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outlineLvl w:val="9"/>
        <w:rPr>
          <w:rFonts w:hint="eastAsia" w:ascii="宋体" w:hAnsi="宋体" w:eastAsia="宋体" w:cs="宋体"/>
          <w:color w:val="231F20"/>
          <w:spacing w:val="7"/>
          <w:sz w:val="21"/>
          <w:szCs w:val="21"/>
        </w:rPr>
      </w:pPr>
    </w:p>
    <w:p w14:paraId="5D31F3C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outlineLvl w:val="9"/>
        <w:rPr>
          <w:rFonts w:hint="eastAsia" w:ascii="宋体" w:hAnsi="宋体" w:eastAsia="宋体" w:cs="宋体"/>
          <w:b/>
          <w:bCs/>
          <w:sz w:val="24"/>
          <w:szCs w:val="24"/>
        </w:rPr>
      </w:pPr>
      <w:r>
        <w:rPr>
          <w:rFonts w:hint="eastAsia" w:ascii="宋体" w:hAnsi="宋体" w:eastAsia="宋体" w:cs="宋体"/>
          <w:b/>
          <w:bCs/>
          <w:spacing w:val="-9"/>
          <w:position w:val="1"/>
          <w:sz w:val="24"/>
          <w:szCs w:val="24"/>
        </w:rPr>
        <w:t>七</w:t>
      </w:r>
      <w:r>
        <w:rPr>
          <w:rFonts w:hint="eastAsia" w:ascii="宋体" w:hAnsi="宋体" w:eastAsia="宋体" w:cs="宋体"/>
          <w:b/>
          <w:bCs/>
          <w:spacing w:val="-100"/>
          <w:position w:val="1"/>
          <w:sz w:val="24"/>
          <w:szCs w:val="24"/>
        </w:rPr>
        <w:t xml:space="preserve"> </w:t>
      </w:r>
      <w:r>
        <w:rPr>
          <w:rFonts w:hint="eastAsia" w:ascii="宋体" w:hAnsi="宋体" w:eastAsia="宋体" w:cs="宋体"/>
          <w:b/>
          <w:bCs/>
          <w:spacing w:val="-9"/>
          <w:position w:val="1"/>
          <w:sz w:val="24"/>
          <w:szCs w:val="24"/>
        </w:rPr>
        <w:t>、结</w:t>
      </w:r>
      <w:r>
        <w:rPr>
          <w:rFonts w:hint="eastAsia" w:ascii="宋体" w:hAnsi="宋体" w:eastAsia="宋体" w:cs="宋体"/>
          <w:b/>
          <w:bCs/>
          <w:spacing w:val="15"/>
          <w:position w:val="1"/>
          <w:sz w:val="24"/>
          <w:szCs w:val="24"/>
        </w:rPr>
        <w:t xml:space="preserve">  </w:t>
      </w:r>
      <w:r>
        <w:rPr>
          <w:rFonts w:hint="eastAsia" w:ascii="宋体" w:hAnsi="宋体" w:eastAsia="宋体" w:cs="宋体"/>
          <w:b/>
          <w:bCs/>
          <w:spacing w:val="-9"/>
          <w:position w:val="1"/>
          <w:sz w:val="24"/>
          <w:szCs w:val="24"/>
        </w:rPr>
        <w:t>语</w:t>
      </w:r>
    </w:p>
    <w:p w14:paraId="792F5A1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53E15D3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color w:val="231F20"/>
          <w:spacing w:val="8"/>
          <w:sz w:val="21"/>
          <w:szCs w:val="21"/>
        </w:rPr>
        <w:t>以“六个必须坚持</w:t>
      </w:r>
      <w:r>
        <w:rPr>
          <w:rFonts w:hint="eastAsia" w:ascii="宋体" w:hAnsi="宋体" w:eastAsia="宋体" w:cs="宋体"/>
          <w:color w:val="231F20"/>
          <w:spacing w:val="-28"/>
          <w:sz w:val="21"/>
          <w:szCs w:val="21"/>
        </w:rPr>
        <w:t xml:space="preserve"> </w:t>
      </w:r>
      <w:r>
        <w:rPr>
          <w:rFonts w:hint="eastAsia" w:ascii="宋体" w:hAnsi="宋体" w:eastAsia="宋体" w:cs="宋体"/>
          <w:color w:val="231F20"/>
          <w:spacing w:val="8"/>
          <w:sz w:val="21"/>
          <w:szCs w:val="21"/>
        </w:rPr>
        <w:t>”引领中国自主知识体系的构建</w:t>
      </w:r>
      <w:r>
        <w:rPr>
          <w:rFonts w:hint="eastAsia" w:ascii="宋体" w:hAnsi="宋体" w:eastAsia="宋体" w:cs="宋体"/>
          <w:color w:val="231F20"/>
          <w:spacing w:val="-9"/>
          <w:sz w:val="21"/>
          <w:szCs w:val="21"/>
        </w:rPr>
        <w:t xml:space="preserve"> </w:t>
      </w:r>
      <w:r>
        <w:rPr>
          <w:rFonts w:hint="eastAsia" w:ascii="宋体" w:hAnsi="宋体" w:eastAsia="宋体" w:cs="宋体"/>
          <w:color w:val="231F20"/>
          <w:spacing w:val="8"/>
          <w:sz w:val="21"/>
          <w:szCs w:val="21"/>
        </w:rPr>
        <w:t>，既是理论创新的必然要求</w:t>
      </w:r>
      <w:r>
        <w:rPr>
          <w:rFonts w:hint="eastAsia" w:ascii="宋体" w:hAnsi="宋体" w:eastAsia="宋体" w:cs="宋体"/>
          <w:color w:val="231F20"/>
          <w:spacing w:val="-8"/>
          <w:sz w:val="21"/>
          <w:szCs w:val="21"/>
        </w:rPr>
        <w:t xml:space="preserve"> </w:t>
      </w:r>
      <w:r>
        <w:rPr>
          <w:rFonts w:hint="eastAsia" w:ascii="宋体" w:hAnsi="宋体" w:eastAsia="宋体" w:cs="宋体"/>
          <w:color w:val="231F20"/>
          <w:spacing w:val="8"/>
          <w:sz w:val="21"/>
          <w:szCs w:val="21"/>
        </w:rPr>
        <w:t>，也是现实社</w:t>
      </w:r>
      <w:r>
        <w:rPr>
          <w:rFonts w:hint="eastAsia" w:ascii="宋体" w:hAnsi="宋体" w:eastAsia="宋体" w:cs="宋体"/>
          <w:color w:val="231F20"/>
          <w:spacing w:val="5"/>
          <w:sz w:val="21"/>
          <w:szCs w:val="21"/>
        </w:rPr>
        <w:t>会发展的迫切需要。“六个必须坚持</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5"/>
          <w:sz w:val="21"/>
          <w:szCs w:val="21"/>
        </w:rPr>
        <w:t>”构成了一个系统完整的科学体系，“坚持人民至上</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5"/>
          <w:sz w:val="21"/>
          <w:szCs w:val="21"/>
        </w:rPr>
        <w:t>”揭示了</w:t>
      </w:r>
      <w:r>
        <w:rPr>
          <w:rFonts w:hint="eastAsia" w:ascii="宋体" w:hAnsi="宋体" w:eastAsia="宋体" w:cs="宋体"/>
          <w:color w:val="231F20"/>
          <w:spacing w:val="9"/>
          <w:sz w:val="21"/>
          <w:szCs w:val="21"/>
        </w:rPr>
        <w:t>构建中国自主知识体系依靠谁</w:t>
      </w:r>
      <w:r>
        <w:rPr>
          <w:rFonts w:hint="eastAsia" w:ascii="宋体" w:hAnsi="宋体" w:eastAsia="宋体" w:cs="宋体"/>
          <w:color w:val="231F20"/>
          <w:spacing w:val="-7"/>
          <w:sz w:val="21"/>
          <w:szCs w:val="21"/>
        </w:rPr>
        <w:t xml:space="preserve"> </w:t>
      </w:r>
      <w:r>
        <w:rPr>
          <w:rFonts w:hint="eastAsia" w:ascii="宋体" w:hAnsi="宋体" w:eastAsia="宋体" w:cs="宋体"/>
          <w:color w:val="231F20"/>
          <w:spacing w:val="9"/>
          <w:sz w:val="21"/>
          <w:szCs w:val="21"/>
        </w:rPr>
        <w:t>、</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9"/>
          <w:sz w:val="21"/>
          <w:szCs w:val="21"/>
        </w:rPr>
        <w:t>为了谁的人民主体观，“坚持自信自立</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9"/>
          <w:sz w:val="21"/>
          <w:szCs w:val="21"/>
        </w:rPr>
        <w:t>”体现了构建中国自主知</w:t>
      </w:r>
      <w:r>
        <w:rPr>
          <w:rFonts w:hint="eastAsia" w:ascii="宋体" w:hAnsi="宋体" w:eastAsia="宋体" w:cs="宋体"/>
          <w:color w:val="231F20"/>
          <w:spacing w:val="10"/>
          <w:sz w:val="21"/>
          <w:szCs w:val="21"/>
        </w:rPr>
        <w:t>识体系应该信什么</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10"/>
          <w:sz w:val="21"/>
          <w:szCs w:val="21"/>
        </w:rPr>
        <w:t>、行什么的主体性和主动性，“坚持守正创新</w:t>
      </w:r>
      <w:r>
        <w:rPr>
          <w:rFonts w:hint="eastAsia" w:ascii="宋体" w:hAnsi="宋体" w:eastAsia="宋体" w:cs="宋体"/>
          <w:color w:val="231F20"/>
          <w:spacing w:val="-27"/>
          <w:sz w:val="21"/>
          <w:szCs w:val="21"/>
        </w:rPr>
        <w:t xml:space="preserve"> </w:t>
      </w:r>
      <w:r>
        <w:rPr>
          <w:rFonts w:hint="eastAsia" w:ascii="宋体" w:hAnsi="宋体" w:eastAsia="宋体" w:cs="宋体"/>
          <w:color w:val="231F20"/>
          <w:spacing w:val="10"/>
          <w:sz w:val="21"/>
          <w:szCs w:val="21"/>
        </w:rPr>
        <w:t>”体现了构建</w:t>
      </w:r>
      <w:r>
        <w:rPr>
          <w:rFonts w:hint="eastAsia" w:ascii="宋体" w:hAnsi="宋体" w:eastAsia="宋体" w:cs="宋体"/>
          <w:color w:val="231F20"/>
          <w:spacing w:val="9"/>
          <w:sz w:val="21"/>
          <w:szCs w:val="21"/>
        </w:rPr>
        <w:t>中国自主知识体系</w:t>
      </w:r>
      <w:r>
        <w:rPr>
          <w:rFonts w:hint="eastAsia" w:ascii="宋体" w:hAnsi="宋体" w:eastAsia="宋体" w:cs="宋体"/>
          <w:color w:val="231F20"/>
          <w:spacing w:val="7"/>
          <w:sz w:val="21"/>
          <w:szCs w:val="21"/>
        </w:rPr>
        <w:t>过程中应该立什么</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、破什么的理论指导，“坚持问题导向</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7"/>
          <w:sz w:val="21"/>
          <w:szCs w:val="21"/>
        </w:rPr>
        <w:t>”体现了构建中国自主知</w:t>
      </w:r>
      <w:r>
        <w:rPr>
          <w:rFonts w:hint="eastAsia" w:ascii="宋体" w:hAnsi="宋体" w:eastAsia="宋体" w:cs="宋体"/>
          <w:color w:val="231F20"/>
          <w:spacing w:val="6"/>
          <w:sz w:val="21"/>
          <w:szCs w:val="21"/>
        </w:rPr>
        <w:t>识体系想什么、</w:t>
      </w:r>
      <w:r>
        <w:rPr>
          <w:rFonts w:hint="eastAsia" w:ascii="宋体" w:hAnsi="宋体" w:eastAsia="宋体" w:cs="宋体"/>
          <w:color w:val="231F20"/>
          <w:spacing w:val="9"/>
          <w:sz w:val="21"/>
          <w:szCs w:val="21"/>
        </w:rPr>
        <w:t>干什么的发展观和实践观，“坚持系统观念</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9"/>
          <w:sz w:val="21"/>
          <w:szCs w:val="21"/>
        </w:rPr>
        <w:t>”体现了构建中国自主知识体系怎么看</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9"/>
          <w:sz w:val="21"/>
          <w:szCs w:val="21"/>
        </w:rPr>
        <w:t>、</w:t>
      </w:r>
      <w:r>
        <w:rPr>
          <w:rFonts w:hint="eastAsia" w:ascii="宋体" w:hAnsi="宋体" w:eastAsia="宋体" w:cs="宋体"/>
          <w:color w:val="231F20"/>
          <w:spacing w:val="-29"/>
          <w:sz w:val="21"/>
          <w:szCs w:val="21"/>
        </w:rPr>
        <w:t xml:space="preserve"> </w:t>
      </w:r>
      <w:r>
        <w:rPr>
          <w:rFonts w:hint="eastAsia" w:ascii="宋体" w:hAnsi="宋体" w:eastAsia="宋体" w:cs="宋体"/>
          <w:color w:val="231F20"/>
          <w:spacing w:val="9"/>
          <w:sz w:val="21"/>
          <w:szCs w:val="21"/>
        </w:rPr>
        <w:t>怎么办的工作方法，“坚持胸怀天下</w:t>
      </w:r>
      <w:r>
        <w:rPr>
          <w:rFonts w:hint="eastAsia" w:ascii="宋体" w:hAnsi="宋体" w:eastAsia="宋体" w:cs="宋体"/>
          <w:color w:val="231F20"/>
          <w:spacing w:val="-26"/>
          <w:sz w:val="21"/>
          <w:szCs w:val="21"/>
        </w:rPr>
        <w:t xml:space="preserve"> </w:t>
      </w:r>
      <w:r>
        <w:rPr>
          <w:rFonts w:hint="eastAsia" w:ascii="宋体" w:hAnsi="宋体" w:eastAsia="宋体" w:cs="宋体"/>
          <w:color w:val="231F20"/>
          <w:spacing w:val="9"/>
          <w:sz w:val="21"/>
          <w:szCs w:val="21"/>
        </w:rPr>
        <w:t>”体现了构建中国自主知识</w:t>
      </w:r>
      <w:r>
        <w:rPr>
          <w:rFonts w:hint="eastAsia" w:ascii="宋体" w:hAnsi="宋体" w:eastAsia="宋体" w:cs="宋体"/>
          <w:color w:val="231F20"/>
          <w:spacing w:val="8"/>
          <w:sz w:val="21"/>
          <w:szCs w:val="21"/>
        </w:rPr>
        <w:t>体系的世界观</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8"/>
          <w:sz w:val="21"/>
          <w:szCs w:val="21"/>
        </w:rPr>
        <w:t>、</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8"/>
          <w:sz w:val="21"/>
          <w:szCs w:val="21"/>
        </w:rPr>
        <w:t>天下观</w:t>
      </w:r>
      <w:r>
        <w:rPr>
          <w:rFonts w:hint="eastAsia" w:ascii="宋体" w:hAnsi="宋体" w:eastAsia="宋体" w:cs="宋体"/>
          <w:color w:val="231F20"/>
          <w:spacing w:val="-19"/>
          <w:sz w:val="21"/>
          <w:szCs w:val="21"/>
        </w:rPr>
        <w:t xml:space="preserve"> </w:t>
      </w:r>
      <w:r>
        <w:rPr>
          <w:rFonts w:hint="eastAsia" w:ascii="宋体" w:hAnsi="宋体" w:eastAsia="宋体" w:cs="宋体"/>
          <w:color w:val="231F20"/>
          <w:spacing w:val="8"/>
          <w:sz w:val="21"/>
          <w:szCs w:val="21"/>
        </w:rPr>
        <w:t>。通过坚守以人民为</w:t>
      </w:r>
      <w:r>
        <w:rPr>
          <w:rFonts w:hint="eastAsia" w:ascii="宋体" w:hAnsi="宋体" w:eastAsia="宋体" w:cs="宋体"/>
          <w:color w:val="231F20"/>
          <w:spacing w:val="7"/>
          <w:sz w:val="21"/>
          <w:szCs w:val="21"/>
        </w:rPr>
        <w:t>中心的立场</w:t>
      </w:r>
      <w:r>
        <w:rPr>
          <w:rFonts w:hint="eastAsia" w:ascii="宋体" w:hAnsi="宋体" w:eastAsia="宋体" w:cs="宋体"/>
          <w:color w:val="231F20"/>
          <w:spacing w:val="-15"/>
          <w:sz w:val="21"/>
          <w:szCs w:val="21"/>
        </w:rPr>
        <w:t xml:space="preserve"> </w:t>
      </w:r>
      <w:r>
        <w:rPr>
          <w:rFonts w:hint="eastAsia" w:ascii="宋体" w:hAnsi="宋体" w:eastAsia="宋体" w:cs="宋体"/>
          <w:color w:val="231F20"/>
          <w:spacing w:val="7"/>
          <w:sz w:val="21"/>
          <w:szCs w:val="21"/>
        </w:rPr>
        <w:t>、强化自信自立</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、推动守正创新</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7"/>
          <w:sz w:val="21"/>
          <w:szCs w:val="21"/>
        </w:rPr>
        <w:t>、</w:t>
      </w:r>
      <w:r>
        <w:rPr>
          <w:rFonts w:hint="eastAsia" w:ascii="宋体" w:hAnsi="宋体" w:eastAsia="宋体" w:cs="宋体"/>
          <w:color w:val="231F20"/>
          <w:spacing w:val="-30"/>
          <w:sz w:val="21"/>
          <w:szCs w:val="21"/>
        </w:rPr>
        <w:t xml:space="preserve"> </w:t>
      </w:r>
      <w:r>
        <w:rPr>
          <w:rFonts w:hint="eastAsia" w:ascii="宋体" w:hAnsi="宋体" w:eastAsia="宋体" w:cs="宋体"/>
          <w:color w:val="231F20"/>
          <w:spacing w:val="7"/>
          <w:sz w:val="21"/>
          <w:szCs w:val="21"/>
        </w:rPr>
        <w:t>聚焦重大现实问题</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、坚持系统观念</w:t>
      </w:r>
      <w:r>
        <w:rPr>
          <w:rFonts w:hint="eastAsia" w:ascii="宋体" w:hAnsi="宋体" w:eastAsia="宋体" w:cs="宋体"/>
          <w:color w:val="231F20"/>
          <w:spacing w:val="-22"/>
          <w:sz w:val="21"/>
          <w:szCs w:val="21"/>
        </w:rPr>
        <w:t xml:space="preserve"> </w:t>
      </w:r>
      <w:r>
        <w:rPr>
          <w:rFonts w:hint="eastAsia" w:ascii="宋体" w:hAnsi="宋体" w:eastAsia="宋体" w:cs="宋体"/>
          <w:color w:val="231F20"/>
          <w:spacing w:val="7"/>
          <w:sz w:val="21"/>
          <w:szCs w:val="21"/>
        </w:rPr>
        <w:t>、秉持胸怀天下</w:t>
      </w:r>
      <w:r>
        <w:rPr>
          <w:rFonts w:hint="eastAsia" w:ascii="宋体" w:hAnsi="宋体" w:eastAsia="宋体" w:cs="宋体"/>
          <w:color w:val="231F20"/>
          <w:spacing w:val="6"/>
          <w:sz w:val="21"/>
          <w:szCs w:val="21"/>
        </w:rPr>
        <w:t>的格局</w:t>
      </w:r>
      <w:r>
        <w:rPr>
          <w:rFonts w:hint="eastAsia" w:ascii="宋体" w:hAnsi="宋体" w:eastAsia="宋体" w:cs="宋体"/>
          <w:color w:val="231F20"/>
          <w:spacing w:val="-10"/>
          <w:sz w:val="21"/>
          <w:szCs w:val="21"/>
        </w:rPr>
        <w:t xml:space="preserve"> </w:t>
      </w:r>
      <w:r>
        <w:rPr>
          <w:rFonts w:hint="eastAsia" w:ascii="宋体" w:hAnsi="宋体" w:eastAsia="宋体" w:cs="宋体"/>
          <w:color w:val="231F20"/>
          <w:spacing w:val="6"/>
          <w:sz w:val="21"/>
          <w:szCs w:val="21"/>
        </w:rPr>
        <w:t>，我们必将构建起具有中国特色</w:t>
      </w:r>
      <w:r>
        <w:rPr>
          <w:rFonts w:hint="eastAsia" w:ascii="宋体" w:hAnsi="宋体" w:eastAsia="宋体" w:cs="宋体"/>
          <w:color w:val="231F20"/>
          <w:spacing w:val="-24"/>
          <w:sz w:val="21"/>
          <w:szCs w:val="21"/>
        </w:rPr>
        <w:t xml:space="preserve"> </w:t>
      </w:r>
      <w:r>
        <w:rPr>
          <w:rFonts w:hint="eastAsia" w:ascii="宋体" w:hAnsi="宋体" w:eastAsia="宋体" w:cs="宋体"/>
          <w:color w:val="231F20"/>
          <w:spacing w:val="6"/>
          <w:sz w:val="21"/>
          <w:szCs w:val="21"/>
        </w:rPr>
        <w:t>、</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6"/>
          <w:sz w:val="21"/>
          <w:szCs w:val="21"/>
        </w:rPr>
        <w:t>中国风格</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5"/>
          <w:sz w:val="21"/>
          <w:szCs w:val="21"/>
        </w:rPr>
        <w:t>、</w:t>
      </w:r>
      <w:r>
        <w:rPr>
          <w:rFonts w:hint="eastAsia" w:ascii="宋体" w:hAnsi="宋体" w:eastAsia="宋体" w:cs="宋体"/>
          <w:color w:val="231F20"/>
          <w:spacing w:val="-18"/>
          <w:sz w:val="21"/>
          <w:szCs w:val="21"/>
        </w:rPr>
        <w:t xml:space="preserve"> </w:t>
      </w:r>
      <w:r>
        <w:rPr>
          <w:rFonts w:hint="eastAsia" w:ascii="宋体" w:hAnsi="宋体" w:eastAsia="宋体" w:cs="宋体"/>
          <w:color w:val="231F20"/>
          <w:spacing w:val="5"/>
          <w:sz w:val="21"/>
          <w:szCs w:val="21"/>
        </w:rPr>
        <w:t>中国气派的哲学社会科学自主知识体系。</w:t>
      </w:r>
    </w:p>
    <w:p w14:paraId="047BA3D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outlineLvl w:val="9"/>
        <w:rPr>
          <w:rFonts w:hint="eastAsia" w:ascii="宋体" w:hAnsi="宋体" w:eastAsia="宋体" w:cs="宋体"/>
          <w:sz w:val="21"/>
          <w:szCs w:val="21"/>
        </w:rPr>
      </w:pPr>
    </w:p>
    <w:p w14:paraId="28F28BF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outlineLvl w:val="9"/>
        <w:rPr>
          <w:rFonts w:hint="eastAsia" w:ascii="宋体" w:hAnsi="宋体" w:eastAsia="宋体" w:cs="宋体"/>
          <w:sz w:val="21"/>
          <w:szCs w:val="21"/>
        </w:rPr>
      </w:pPr>
      <w:r>
        <w:rPr>
          <w:rFonts w:hint="eastAsia" w:ascii="宋体" w:hAnsi="宋体" w:eastAsia="宋体" w:cs="宋体"/>
          <w:color w:val="231F20"/>
          <w:spacing w:val="5"/>
          <w:position w:val="2"/>
          <w:sz w:val="21"/>
          <w:szCs w:val="21"/>
        </w:rPr>
        <w:t>参考文献：</w:t>
      </w:r>
    </w:p>
    <w:p w14:paraId="673ABB2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92" w:firstLineChars="200"/>
        <w:textAlignment w:val="baseline"/>
        <w:outlineLvl w:val="9"/>
        <w:rPr>
          <w:rFonts w:hint="eastAsia" w:ascii="宋体" w:hAnsi="宋体" w:eastAsia="宋体" w:cs="宋体"/>
          <w:sz w:val="21"/>
          <w:szCs w:val="21"/>
        </w:rPr>
      </w:pPr>
      <w:r>
        <w:rPr>
          <w:rFonts w:hint="eastAsia" w:ascii="宋体" w:hAnsi="宋体" w:eastAsia="宋体" w:cs="宋体"/>
          <w:color w:val="231F20"/>
          <w:spacing w:val="-7"/>
          <w:sz w:val="21"/>
          <w:szCs w:val="21"/>
        </w:rPr>
        <w:t>1.</w:t>
      </w:r>
      <w:r>
        <w:rPr>
          <w:rFonts w:hint="eastAsia" w:ascii="宋体" w:hAnsi="宋体" w:eastAsia="宋体" w:cs="宋体"/>
          <w:color w:val="231F20"/>
          <w:spacing w:val="31"/>
          <w:w w:val="101"/>
          <w:sz w:val="21"/>
          <w:szCs w:val="21"/>
        </w:rPr>
        <w:t xml:space="preserve"> </w:t>
      </w:r>
      <w:r>
        <w:rPr>
          <w:rFonts w:hint="eastAsia" w:ascii="宋体" w:hAnsi="宋体" w:eastAsia="宋体" w:cs="宋体"/>
          <w:color w:val="231F20"/>
          <w:spacing w:val="-7"/>
          <w:sz w:val="21"/>
          <w:szCs w:val="21"/>
        </w:rPr>
        <w:t>习近平：《在文化传承发展座谈会上的讲话》，《求</w:t>
      </w:r>
      <w:r>
        <w:rPr>
          <w:rFonts w:hint="eastAsia" w:ascii="宋体" w:hAnsi="宋体" w:eastAsia="宋体" w:cs="宋体"/>
          <w:color w:val="231F20"/>
          <w:spacing w:val="-8"/>
          <w:sz w:val="21"/>
          <w:szCs w:val="21"/>
        </w:rPr>
        <w:t>是》2023</w:t>
      </w:r>
      <w:r>
        <w:rPr>
          <w:rFonts w:hint="eastAsia" w:ascii="宋体" w:hAnsi="宋体" w:eastAsia="宋体" w:cs="宋体"/>
          <w:color w:val="231F20"/>
          <w:spacing w:val="-13"/>
          <w:sz w:val="21"/>
          <w:szCs w:val="21"/>
        </w:rPr>
        <w:t xml:space="preserve"> </w:t>
      </w:r>
      <w:r>
        <w:rPr>
          <w:rFonts w:hint="eastAsia" w:ascii="宋体" w:hAnsi="宋体" w:eastAsia="宋体" w:cs="宋体"/>
          <w:color w:val="231F20"/>
          <w:spacing w:val="-8"/>
          <w:sz w:val="21"/>
          <w:szCs w:val="21"/>
        </w:rPr>
        <w:t>年第17</w:t>
      </w:r>
      <w:r>
        <w:rPr>
          <w:rFonts w:hint="eastAsia" w:ascii="宋体" w:hAnsi="宋体" w:eastAsia="宋体" w:cs="宋体"/>
          <w:color w:val="231F20"/>
          <w:spacing w:val="-11"/>
          <w:sz w:val="21"/>
          <w:szCs w:val="21"/>
        </w:rPr>
        <w:t xml:space="preserve"> </w:t>
      </w:r>
      <w:r>
        <w:rPr>
          <w:rFonts w:hint="eastAsia" w:ascii="宋体" w:hAnsi="宋体" w:eastAsia="宋体" w:cs="宋体"/>
          <w:color w:val="231F20"/>
          <w:spacing w:val="-8"/>
          <w:sz w:val="21"/>
          <w:szCs w:val="21"/>
        </w:rPr>
        <w:t>期。</w:t>
      </w:r>
    </w:p>
    <w:p w14:paraId="3D2A144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textAlignment w:val="baseline"/>
        <w:outlineLvl w:val="9"/>
        <w:rPr>
          <w:rFonts w:hint="eastAsia" w:ascii="宋体" w:hAnsi="宋体" w:eastAsia="宋体" w:cs="宋体"/>
          <w:sz w:val="21"/>
          <w:szCs w:val="21"/>
        </w:rPr>
      </w:pPr>
      <w:r>
        <w:rPr>
          <w:rFonts w:hint="eastAsia" w:ascii="宋体" w:hAnsi="宋体" w:eastAsia="宋体" w:cs="宋体"/>
          <w:color w:val="231F20"/>
          <w:spacing w:val="-11"/>
          <w:sz w:val="21"/>
          <w:szCs w:val="21"/>
        </w:rPr>
        <w:t>2.</w:t>
      </w:r>
      <w:r>
        <w:rPr>
          <w:rFonts w:hint="eastAsia" w:ascii="宋体" w:hAnsi="宋体" w:eastAsia="宋体" w:cs="宋体"/>
          <w:color w:val="231F20"/>
          <w:spacing w:val="31"/>
          <w:w w:val="101"/>
          <w:sz w:val="21"/>
          <w:szCs w:val="21"/>
        </w:rPr>
        <w:t xml:space="preserve"> </w:t>
      </w:r>
      <w:r>
        <w:rPr>
          <w:rFonts w:hint="eastAsia" w:ascii="宋体" w:hAnsi="宋体" w:eastAsia="宋体" w:cs="宋体"/>
          <w:color w:val="231F20"/>
          <w:spacing w:val="-11"/>
          <w:sz w:val="21"/>
          <w:szCs w:val="21"/>
        </w:rPr>
        <w:t>习近平：《必须坚持守正创新》，《求是》2024</w:t>
      </w:r>
      <w:r>
        <w:rPr>
          <w:rFonts w:hint="eastAsia" w:ascii="宋体" w:hAnsi="宋体" w:eastAsia="宋体" w:cs="宋体"/>
          <w:color w:val="231F20"/>
          <w:spacing w:val="-13"/>
          <w:sz w:val="21"/>
          <w:szCs w:val="21"/>
        </w:rPr>
        <w:t xml:space="preserve"> </w:t>
      </w:r>
      <w:r>
        <w:rPr>
          <w:rFonts w:hint="eastAsia" w:ascii="宋体" w:hAnsi="宋体" w:eastAsia="宋体" w:cs="宋体"/>
          <w:color w:val="231F20"/>
          <w:spacing w:val="-11"/>
          <w:sz w:val="21"/>
          <w:szCs w:val="21"/>
        </w:rPr>
        <w:t>年第</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11"/>
          <w:sz w:val="21"/>
          <w:szCs w:val="21"/>
        </w:rPr>
        <w:t>2</w:t>
      </w:r>
      <w:r>
        <w:rPr>
          <w:rFonts w:hint="eastAsia" w:ascii="宋体" w:hAnsi="宋体" w:eastAsia="宋体" w:cs="宋体"/>
          <w:color w:val="231F20"/>
          <w:spacing w:val="-12"/>
          <w:sz w:val="21"/>
          <w:szCs w:val="21"/>
        </w:rPr>
        <w:t>3</w:t>
      </w:r>
      <w:r>
        <w:rPr>
          <w:rFonts w:hint="eastAsia" w:ascii="宋体" w:hAnsi="宋体" w:eastAsia="宋体" w:cs="宋体"/>
          <w:color w:val="231F20"/>
          <w:spacing w:val="-11"/>
          <w:sz w:val="21"/>
          <w:szCs w:val="21"/>
        </w:rPr>
        <w:t xml:space="preserve"> </w:t>
      </w:r>
      <w:r>
        <w:rPr>
          <w:rFonts w:hint="eastAsia" w:ascii="宋体" w:hAnsi="宋体" w:eastAsia="宋体" w:cs="宋体"/>
          <w:color w:val="231F20"/>
          <w:spacing w:val="-12"/>
          <w:sz w:val="21"/>
          <w:szCs w:val="21"/>
        </w:rPr>
        <w:t>期。</w:t>
      </w:r>
    </w:p>
    <w:p w14:paraId="3328FA2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outlineLvl w:val="9"/>
        <w:rPr>
          <w:rFonts w:hint="eastAsia" w:ascii="宋体" w:hAnsi="宋体" w:eastAsia="宋体" w:cs="宋体"/>
          <w:sz w:val="21"/>
          <w:szCs w:val="21"/>
        </w:rPr>
      </w:pPr>
      <w:r>
        <w:rPr>
          <w:rFonts w:hint="eastAsia" w:ascii="宋体" w:hAnsi="宋体" w:eastAsia="宋体" w:cs="宋体"/>
          <w:color w:val="231F20"/>
          <w:spacing w:val="-1"/>
          <w:sz w:val="21"/>
          <w:szCs w:val="21"/>
        </w:rPr>
        <w:t>3.《中共中央关于制定国民经济和社会发展第十五个五年规划的建议》，《人民日报》2025</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1"/>
          <w:sz w:val="21"/>
          <w:szCs w:val="21"/>
        </w:rPr>
        <w:t>年 10 月29</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1"/>
          <w:sz w:val="21"/>
          <w:szCs w:val="21"/>
        </w:rPr>
        <w:t>日。</w:t>
      </w:r>
    </w:p>
    <w:p w14:paraId="52AE7879">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1E1BC7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《浙江社会科学》2026年第5期</w:t>
      </w:r>
      <w:r>
        <w:rPr>
          <w:rFonts w:hint="eastAsia" w:ascii="Times New Roman" w:hAnsi="Times New Roman"/>
          <w:szCs w:val="21"/>
          <w:lang w:val="en-US" w:eastAsia="zh-CN"/>
        </w:rPr>
        <w:t>，第二作者为</w:t>
      </w:r>
      <w:r>
        <w:rPr>
          <w:rFonts w:hint="eastAsia" w:ascii="Times New Roman" w:hAnsi="Times New Roman" w:eastAsia="宋体"/>
          <w:szCs w:val="21"/>
          <w:lang w:val="en-US" w:eastAsia="zh-CN"/>
        </w:rPr>
        <w:t>兰鹏。</w:t>
      </w:r>
      <w:r>
        <w:rPr>
          <w:rFonts w:hint="eastAsia" w:ascii="Times New Roman" w:hAnsi="Times New Roman"/>
          <w:szCs w:val="21"/>
          <w:lang w:val="en-US" w:eastAsia="zh-CN"/>
        </w:rPr>
        <w:t>）</w:t>
      </w:r>
    </w:p>
    <w:p w14:paraId="7C3704F1">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宋体" w:hAnsi="宋体" w:eastAsia="宋体" w:cs="宋体"/>
          <w:b/>
          <w:bCs/>
          <w:sz w:val="28"/>
          <w:szCs w:val="28"/>
          <w:lang w:val="en-US" w:eastAsia="zh-CN"/>
        </w:rPr>
      </w:pPr>
      <w:bookmarkStart w:id="1010" w:name="_Toc662977729"/>
      <w:bookmarkStart w:id="1011" w:name="_Toc1439238315"/>
      <w:bookmarkStart w:id="1012" w:name="_Toc26938"/>
      <w:bookmarkStart w:id="1013" w:name="_Toc1716831848"/>
      <w:bookmarkStart w:id="1014" w:name="_Toc569474639"/>
      <w:bookmarkStart w:id="1015" w:name="_Toc229812765"/>
      <w:r>
        <w:rPr>
          <w:rFonts w:hint="eastAsia" w:ascii="宋体" w:hAnsi="宋体" w:eastAsia="宋体" w:cs="宋体"/>
          <w:b/>
          <w:bCs/>
          <w:sz w:val="28"/>
          <w:szCs w:val="28"/>
          <w:lang w:val="en-US" w:eastAsia="zh-CN"/>
        </w:rPr>
        <w:t>11瑞典社会福利模式的形成、分析与启示——基于瑞典所有制与分配结构的视角</w:t>
      </w:r>
      <w:bookmarkEnd w:id="1010"/>
      <w:bookmarkEnd w:id="1011"/>
      <w:bookmarkEnd w:id="1012"/>
      <w:bookmarkEnd w:id="1013"/>
      <w:bookmarkEnd w:id="1014"/>
      <w:bookmarkEnd w:id="1015"/>
    </w:p>
    <w:p w14:paraId="5FB9F058">
      <w:pPr>
        <w:spacing w:before="0" w:after="0" w:line="300" w:lineRule="auto"/>
      </w:pPr>
      <w:r>
        <w:rPr>
          <w:rFonts w:ascii="黑体" w:hAnsi="黑体" w:eastAsia="黑体"/>
          <w:b/>
          <w:sz w:val="18"/>
        </w:rPr>
        <w:t>摘  要：</w:t>
      </w:r>
    </w:p>
    <w:p w14:paraId="6F61DF9B">
      <w:pPr>
        <w:spacing w:before="0" w:after="0" w:line="360" w:lineRule="auto"/>
        <w:ind w:firstLine="420"/>
      </w:pPr>
      <w:r>
        <w:rPr>
          <w:rFonts w:ascii="楷体" w:hAnsi="楷体" w:eastAsia="楷体"/>
          <w:b w:val="0"/>
          <w:sz w:val="18"/>
        </w:rPr>
        <w:t>瑞典经济发展与福利制度备受学界的关注，瑞典社会福利模式的形成离不开政党执政理念、经济社会转型与国内外环境三大因素。这一模式试图通过再分配调节财富与收入的悬殊差距。然而，只要生产资料归资本家私人占有，两极分化的初次分配结果就不可避免，通过福利制度达到共同富裕的目的就不可能真正实现。瑞典社会福利模式对中国的启示并非照搬高福利，而是如何处理社会主义市场经济条件下的初次分配与再分配格局，树立劳动者主人地位，构建符合中国国情的社会福利制度。</w:t>
      </w:r>
    </w:p>
    <w:p w14:paraId="146ED77C">
      <w:pPr>
        <w:spacing w:before="0" w:after="0" w:line="300" w:lineRule="auto"/>
      </w:pPr>
      <w:r>
        <w:rPr>
          <w:rFonts w:ascii="黑体" w:hAnsi="黑体" w:eastAsia="黑体"/>
          <w:b/>
          <w:sz w:val="18"/>
        </w:rPr>
        <w:t>关键词：</w:t>
      </w:r>
    </w:p>
    <w:p w14:paraId="6A986D88">
      <w:pPr>
        <w:spacing w:before="0" w:after="0" w:line="300" w:lineRule="auto"/>
      </w:pPr>
      <w:r>
        <w:rPr>
          <w:rFonts w:ascii="楷体" w:hAnsi="楷体" w:eastAsia="楷体"/>
          <w:b w:val="0"/>
          <w:sz w:val="18"/>
        </w:rPr>
        <w:t>瑞典社会福利模式；瑞典模式；所有制结构；分配结构；社会福利；当代资本主义经济制度</w:t>
      </w:r>
    </w:p>
    <w:p w14:paraId="0C95758F">
      <w:pPr>
        <w:spacing w:before="240" w:after="120" w:line="360" w:lineRule="auto"/>
      </w:pPr>
      <w:r>
        <w:rPr>
          <w:rFonts w:ascii="黑体" w:hAnsi="黑体" w:eastAsia="黑体"/>
          <w:b/>
          <w:sz w:val="28"/>
        </w:rPr>
        <w:t>一、引  言</w:t>
      </w:r>
    </w:p>
    <w:p w14:paraId="5AFA572C">
      <w:pPr>
        <w:spacing w:before="0" w:after="0" w:line="360" w:lineRule="auto"/>
        <w:ind w:firstLine="420"/>
      </w:pPr>
      <w:r>
        <w:rPr>
          <w:rFonts w:ascii="宋体" w:hAnsi="宋体" w:eastAsia="宋体"/>
          <w:b w:val="0"/>
          <w:sz w:val="21"/>
        </w:rPr>
        <w:t>作为北欧五国之一，瑞典的经济实力长期在北欧国家中排名第一，其人均GDP更在全球名列前茅，是世界第六大经济体①。从1970年起，瑞典GDP平均每年增长2.1%；从2012年开始，瑞典的经济增长速度高于欧盟平均水平。[1]作为福利国家的代表，瑞典凭借成熟的社会福利体系实现了效率与公平的相对平衡，被誉为"第三条道路"的实践典范。</w:t>
      </w:r>
    </w:p>
    <w:p w14:paraId="7E4426EE">
      <w:pPr>
        <w:spacing w:before="0" w:after="0" w:line="360" w:lineRule="auto"/>
        <w:ind w:firstLine="420"/>
      </w:pPr>
      <w:r>
        <w:rPr>
          <w:rFonts w:ascii="宋体" w:hAnsi="宋体" w:eastAsia="宋体"/>
          <w:b w:val="0"/>
          <w:sz w:val="21"/>
        </w:rPr>
        <w:t>按照马克思资本积累理论，资本主义积累的结果，一极是财富的积累，而另一极是贫困的积累，形成了资产阶级与无产阶级在财富占有上的两极分化。但是，在世界资本主义国家中也有贫富差距较小的特殊案例。自1932年社会民主党执政以来，瑞典逐步确立以"强国家干预—深度再分配"为特征的福利制度框架。该制度的经济社会效应体现在三重维度：一是分配效能。2023年税后基尼系数为0.25，显著优于欧盟均值0.37，[2]彰显了二次分配的"均质化"能力。二是创新驱动。瑞典持续位列全球创新指数前三，[3]印证了福利制度与知识经济的正向关联。三是社会福祉转化。瑞典在《2025世界幸福报告》中包揽前四，[4]凸显了政策体系对主观幸福感的提升作用。这种兼顾公平、效率与福祉的"福利资本主义"范式，已成为当代社会政策转型的重要参照系。</w:t>
      </w:r>
    </w:p>
    <w:p w14:paraId="598B4DFC">
      <w:pPr>
        <w:spacing w:before="0" w:after="0" w:line="360" w:lineRule="auto"/>
        <w:ind w:firstLine="420"/>
      </w:pPr>
      <w:r>
        <w:rPr>
          <w:rFonts w:ascii="宋体" w:hAnsi="宋体" w:eastAsia="宋体"/>
          <w:b w:val="0"/>
          <w:sz w:val="21"/>
        </w:rPr>
        <w:t>习近平总书记指出，托马斯·皮凯蒂（Thomas Piketty）撰写的《21世纪资本论》"用翔实的数据证明，美国等西方国家的不平等程度已经达到或超过了历史最高水平，认为不加制约的资本主义加剧了财富不平等现象"，但"他的分析主要是从分配领域进行的，没有过多涉及更根本的所有制问题"。[5]马克思主义政治经济学强调，分配问题从根本上取决于以所有制为基础的生产关系。那么，瑞典社会福利模式（也可简称为瑞典模式）是否有其可取之处？</w:t>
      </w:r>
    </w:p>
    <w:p w14:paraId="314B54C0">
      <w:pPr>
        <w:spacing w:before="0" w:after="0" w:line="360" w:lineRule="auto"/>
        <w:ind w:firstLine="420"/>
      </w:pPr>
      <w:r>
        <w:rPr>
          <w:rFonts w:ascii="宋体" w:hAnsi="宋体" w:eastAsia="宋体"/>
          <w:b w:val="0"/>
          <w:sz w:val="21"/>
        </w:rPr>
        <w:t>学界对此模式进行了不同的解读：其一，是否做到了效率与公平并驾齐驱？有学者认为，瑞典福利制度不仅保障了充分就业与经济增长，还建立了完善的社会福利体系，[6]52实现了社会平等和经济效率的有机统一，[7]50是世界上最成功的福利社会。[8]另有学者提出了相反的结论，如蔡薇等[9]、黄青枫[10]、刘玉安等[11]、袁群等[12]、张建刚等[13]认为，高福利导致国家财政赤字，并伴随损害经济效率、消极怠工严重、经济停滞等一系列经济社会问题。其二，是否符合马克思主义所有制理论、是否可以视同向共产主义道路迈进？有学者认为，瑞典社会民主党的70年执政"为这个国家增添了社会主义因素"[14]，"有必要把瑞典模式列入社会主义范畴"[15]，瑞典社会福利措施等可视为"在资本主义私有经济体系中出现的'公'的因素或成分"[16]，并对公有制经济因素在资本主义经济内部不可能产生，必须靠暴力革命来创建的传统理论观点提出质疑[17]。另有学者提出了相反的结论，如张双双[18]、黄青枫[10]、吕薇洲[19]、张建刚等[13]认为，瑞典模式本质上是一种资本主义改良模式，是对资本主义制度的修补。其三，是否做到了消除贫困、资本主义内在固有矛盾能否在这种经济体系下逐步消失？有学者认为，瑞典建立起一套全方位的社会福利制度体系，社会贫困基本消除，提升全体人民生活质量的成效有目共睹。[20][21]另有学者提出了相反的结论，程恩富[22]270、赵永清[23]、彭心安[24]、小成[25]等认为，在资本主义生产方式下，即使拥有完善的分配制度体系与高福利政策也无法消除贫富不均及资本主义固有矛盾。</w:t>
      </w:r>
    </w:p>
    <w:p w14:paraId="12CB184E">
      <w:pPr>
        <w:spacing w:before="0" w:after="0" w:line="360" w:lineRule="auto"/>
        <w:ind w:firstLine="420"/>
      </w:pPr>
      <w:r>
        <w:rPr>
          <w:rFonts w:ascii="宋体" w:hAnsi="宋体" w:eastAsia="宋体"/>
          <w:b w:val="0"/>
          <w:sz w:val="21"/>
        </w:rPr>
        <w:t>以上学术争论亟须运用马克思主义政治经济学的理论和方法进行分析与澄清，运用"马学为体、西学为用"[22]3-7的研究范式对瑞典模式进行深入解剖，并揭示其制度背后的阶级属性、所有制结构与资本逻辑。在此基础上，对背离马克思主义和科学社会主义的观点进行驳斥，并探讨瑞典模式能否超越资本逻辑及世界资本主义历史命运等关键问题。同时，分析瑞典模式的历史进步性与局限性，总结其对构建符合中国国情的社会福利制度的现实启示。</w:t>
      </w:r>
    </w:p>
    <w:p w14:paraId="3AB45EB0">
      <w:pPr>
        <w:spacing w:before="240" w:after="120" w:line="360" w:lineRule="auto"/>
      </w:pPr>
      <w:r>
        <w:rPr>
          <w:rFonts w:ascii="黑体" w:hAnsi="黑体" w:eastAsia="黑体"/>
          <w:b/>
          <w:sz w:val="28"/>
        </w:rPr>
        <w:t>二、瑞典社会福利模式的形成</w:t>
      </w:r>
    </w:p>
    <w:p w14:paraId="77B69B4E">
      <w:pPr>
        <w:spacing w:before="0" w:after="0" w:line="360" w:lineRule="auto"/>
        <w:ind w:firstLine="420"/>
      </w:pPr>
      <w:r>
        <w:rPr>
          <w:rFonts w:ascii="宋体" w:hAnsi="宋体" w:eastAsia="宋体"/>
          <w:b w:val="0"/>
          <w:sz w:val="21"/>
        </w:rPr>
        <w:t>纵观瑞典社会福利模式的起源，该模式的形成离不开政党执政理念、经济社会转型与国内外环境这三大因素。其中，执政理念塑造社会福利模式内核，社会经济发展需求催生福利制度，和平与稳定的国内外环境促进福利社会定型。</w:t>
      </w:r>
    </w:p>
    <w:p w14:paraId="2D9AB579">
      <w:pPr>
        <w:spacing w:before="160" w:after="80" w:line="360" w:lineRule="auto"/>
      </w:pPr>
      <w:r>
        <w:rPr>
          <w:rFonts w:ascii="黑体" w:hAnsi="黑体" w:eastAsia="黑体"/>
          <w:b/>
          <w:sz w:val="24"/>
        </w:rPr>
        <w:t>1. 执政理念塑造社会福利模式内核</w:t>
      </w:r>
    </w:p>
    <w:p w14:paraId="611A54C2">
      <w:pPr>
        <w:spacing w:before="0" w:after="0" w:line="360" w:lineRule="auto"/>
        <w:ind w:firstLine="420"/>
      </w:pPr>
      <w:r>
        <w:rPr>
          <w:rFonts w:ascii="宋体" w:hAnsi="宋体" w:eastAsia="宋体"/>
          <w:b w:val="0"/>
          <w:sz w:val="21"/>
        </w:rPr>
        <w:t>瑞典社会民主党（SAP）成立于1889年，是瑞典历史上执政时间最长、人民基础最广泛的政党。该政党的成立深受马克思主义思想的影响；其后形成的瑞典模式，正是对各种意识形态加以调和、并用以指导该国经济理论与政策实施的一种概括，其突出特点在于"碎片化的执政历程"与"修正主义路线"。</w:t>
      </w:r>
    </w:p>
    <w:p w14:paraId="545E53F9">
      <w:pPr>
        <w:spacing w:before="0" w:after="0" w:line="360" w:lineRule="auto"/>
        <w:ind w:firstLine="420"/>
      </w:pPr>
      <w:r>
        <w:rPr>
          <w:rFonts w:ascii="宋体" w:hAnsi="宋体" w:eastAsia="宋体"/>
          <w:b w:val="0"/>
          <w:sz w:val="21"/>
        </w:rPr>
        <w:t>1848年，随着《共产党宣言》传入瑞典，社会主义思潮迅速传播，进而催生瑞典社会民主党的成立。1889年，瑞典社会民主党在马克思主义理论的指导下应运而生，其参照德国社会民主党颁布的《爱尔福特纲领》，制定了极具马克思主义色彩的纲领。该纲领明确提出通过消灭资本主义私有制，推动工人阶级的社会解放和经济公平。[26]157-158，这一纲领的核心思想与《共产党宣言》基本一致，反映了当时瑞典社会民主党极具马克思主义政党本色。</w:t>
      </w:r>
    </w:p>
    <w:p w14:paraId="464A015B">
      <w:pPr>
        <w:spacing w:before="0" w:after="0" w:line="360" w:lineRule="auto"/>
        <w:ind w:firstLine="420"/>
      </w:pPr>
      <w:r>
        <w:rPr>
          <w:rFonts w:ascii="宋体" w:hAnsi="宋体" w:eastAsia="宋体"/>
          <w:b w:val="0"/>
          <w:sz w:val="21"/>
        </w:rPr>
        <w:t>瑞典社会民主党执政理念经历了"人民之家理论及其福利主义""职能社会主义"和"基金社会主义"等三个主要阶段，共同塑造了瑞典社会福利模式的主要内核。1928年，瑞典社会民主党主席汉森（Per Albin Hansson）提出"人民之家"理论。该理论将国家视作一个家庭，将平等、福利、合作作为"人民之家"的基本要素，[27]122提倡阶级合作，淡化阶级意识。1932年，汉森在总统竞选时主张以"人民之家"理论为出发点，通过"阶级合作、消除分歧、相互妥协的方式实现福利社会主义"[28]110；放弃国有化目标，构建混合经济体制，"维护私人企业对生产的支配权，通过税收和社会政策对收入进行再分配以消除社会的收入分配不平等"[29]。1938年，"萨尔舍巴登协议"的签署标志着瑞典无产阶级与资产阶级之间达成合作共识，开启了"从摇篮到坟墓"的福利主义道路。</w:t>
      </w:r>
    </w:p>
    <w:p w14:paraId="5092313C">
      <w:pPr>
        <w:spacing w:before="0" w:after="0" w:line="360" w:lineRule="auto"/>
        <w:ind w:firstLine="420"/>
      </w:pPr>
      <w:r>
        <w:rPr>
          <w:rFonts w:ascii="宋体" w:hAnsi="宋体" w:eastAsia="宋体"/>
          <w:b w:val="0"/>
          <w:sz w:val="21"/>
        </w:rPr>
        <w:t>随着瑞典社会民主党执政时间的延长，生产资料所有制问题就成为必须明晰的理论问题。19世纪60年代末，瑞典社民党理论家卡尔松（Gunnar Adler-Karlsson）提出"职能社会主义"，主张将传统所有权理解为由若干职能构成的集合，即"所有权概念并不是一个不可分割的概念。恰好相反，它是一个包含了许多所有权职能的概念，这些各不相同的所有权职能可以轻而易举地分离开来。所以说，所有权O并不是简单地等于所有权的全部内容，而是相当于a、b、c等项职能；用另一种方式来表达就是，O＝a＋b＋c＋……n"。[30]16瑞典社民党试图通过经济政策和立法手段限制资本家的生产资料所有权，同时实现社会化功能的扩展。然而，贫富不均与两极分化问题仍然突出。1975年，瑞典社会民主党党纲上明确了"职能社会主义"体制机制的缺陷："尽管朝着福利社会发展，但社会上依然保留着许多资本主义的原始因素，表现为收入与财产分配的不均衡和经济权力的集中。"[26]203</w:t>
      </w:r>
    </w:p>
    <w:p w14:paraId="7B67CC5D">
      <w:pPr>
        <w:spacing w:before="0" w:after="0" w:line="360" w:lineRule="auto"/>
        <w:ind w:firstLine="420"/>
      </w:pPr>
      <w:r>
        <w:rPr>
          <w:rFonts w:ascii="宋体" w:hAnsi="宋体" w:eastAsia="宋体"/>
          <w:b w:val="0"/>
          <w:sz w:val="21"/>
        </w:rPr>
        <w:t>为了进一步应对这些问题，瑞典社会民主党于1976年提出了"职工投资基金计划"，主张将企业利润的一部分转化为雇员集体财产，通过建立"雇员投资基金"推动所有权结构改革。1978年，该计划在社民党代表大会获得通过后，瑞典时任首相帕尔梅（Sven Olof Joachim Palme）因"基金社会主义"方案过于触碰财团既得利益问题而遭到暗杀。[31]可以看出，瑞典社会民主党试图通过该方式冲击私有制的经济基础，尝试建立所谓"新型公有制"[32]，但是，随着碎片化执政历程与资产阶级联合反对而搁浅。</w:t>
      </w:r>
    </w:p>
    <w:p w14:paraId="5BDF1124">
      <w:pPr>
        <w:spacing w:before="160" w:after="80" w:line="360" w:lineRule="auto"/>
      </w:pPr>
      <w:r>
        <w:rPr>
          <w:rFonts w:ascii="黑体" w:hAnsi="黑体" w:eastAsia="黑体"/>
          <w:b/>
          <w:sz w:val="24"/>
        </w:rPr>
        <w:t>2. 社会经济发展需求催生福利制度</w:t>
      </w:r>
    </w:p>
    <w:p w14:paraId="469A868B">
      <w:pPr>
        <w:spacing w:before="0" w:after="0" w:line="360" w:lineRule="auto"/>
        <w:ind w:firstLine="420"/>
      </w:pPr>
      <w:r>
        <w:rPr>
          <w:rFonts w:ascii="宋体" w:hAnsi="宋体" w:eastAsia="宋体"/>
          <w:b w:val="0"/>
          <w:sz w:val="21"/>
        </w:rPr>
        <w:t>瑞典在20世纪初期，贫困引发了移民浪潮、低生育率及家庭结构变化等一系列社会危机。[33]例如，当时瑞典生育率仅为4%，处于全球最低水平；非婚新生子在新生儿总数占比高达20%，[34]62人口数量下降严重，并出现大规模移民现象。[35]16这些不稳定因素促使国家采取政策干预，逐步构建了家庭照护型社会政策体系。同时，早期的瑞典山地众多、耕地稀少，不得不发展海上经济，而同舟共济的精神传统不仅影响了后期社会福利政策的制定，[36]更促进了均等化财富分配方式与社会群体团结合作理念的形成与发展。</w:t>
      </w:r>
    </w:p>
    <w:p w14:paraId="28151BC6">
      <w:pPr>
        <w:spacing w:before="0" w:after="0" w:line="360" w:lineRule="auto"/>
        <w:ind w:firstLine="420"/>
      </w:pPr>
      <w:r>
        <w:rPr>
          <w:rFonts w:ascii="宋体" w:hAnsi="宋体" w:eastAsia="宋体"/>
          <w:b w:val="0"/>
          <w:sz w:val="21"/>
        </w:rPr>
        <w:t>瑞典小国寡民与资源禀赋为经济转型奠定了物质条件。瑞典人均占地面积较大，自然资源禀赋优异，森林覆盖率约为58%，蓄材35.5亿立方米，是欧洲最大的铁矿砂出口国。森林、铁矿和水力等资源为瑞典工业化和经济转型提供了必要条件，促使其由一个落后的农业国迅速转型为一个发达的资本主义工业国。1866～1910年，瑞典GDP增长率达250%以上；[37]31950～1973年，GDP增长率达到373%。[38]178-180经济转型与工业化引发了关于劳工权益的立法运动和社会保障的制度建设讨论。1913年，瑞典颁布养老保险法，设立养老保险制度，该项目由财政支持并覆盖全体公民；[39]1211934年，瑞典建立失业保险体系。[40]401第二次世界大战后至1970年，随着瑞典从传统农业社会向现代工业社会转型任务的顺利完成，其福利制度雏形也得以最终确立。</w:t>
      </w:r>
    </w:p>
    <w:p w14:paraId="4091245F">
      <w:pPr>
        <w:spacing w:before="160" w:after="80" w:line="360" w:lineRule="auto"/>
      </w:pPr>
      <w:r>
        <w:rPr>
          <w:rFonts w:ascii="黑体" w:hAnsi="黑体" w:eastAsia="黑体"/>
          <w:b/>
          <w:sz w:val="24"/>
        </w:rPr>
        <w:t>3. 和平与稳定的国内外环境促进福利社会定型</w:t>
      </w:r>
    </w:p>
    <w:p w14:paraId="3E8F8C60">
      <w:pPr>
        <w:spacing w:before="0" w:after="0" w:line="360" w:lineRule="auto"/>
        <w:ind w:firstLine="420"/>
      </w:pPr>
      <w:r>
        <w:rPr>
          <w:rFonts w:ascii="宋体" w:hAnsi="宋体" w:eastAsia="宋体"/>
          <w:b w:val="0"/>
          <w:sz w:val="21"/>
        </w:rPr>
        <w:t>与其他资本主义国家相比，瑞典是在相对和平稳定的国内外环境中完成福利社会转型的。[41]政治稳定为福利制度的建立与发展提供了重要前提，而外交政策的中立性也使其避免卷入大国冲突。一方面，随着社会民主党的发展，党内在国家政权的夺取方式上出现了分歧。传统左翼主张无产阶级革命路线；而另一派则受伯恩施坦（Eduard Bernstein）改良主义思想影响，主张通过议会斗争和平过渡实现民主社会主义。瑞典社会民主党逐渐选择了后者，放弃了无产阶级革命，转向通过争取普选权和议会斗争的方式推进社会改革。这种改良主义路线的形成，使得社会民主党能够在不破坏现有经济体系的情况下逐步推进改革，通过长期执政与工会组织化及其双方博弈的基础上实现了福利制度化。另一方面，瑞典在两次世界大战中始终保持中立原则，其工业基础设施基本上毫发未损，[11]并通过运输战争物资积累了雄厚的资本，使瑞典成为世界上最富裕的国家之一。这种"中立外交"策略显著降低了地缘政治风险，使国家能够将更多资源集中于国内经济社会发展与福利制度建设。自20世纪60年代以来，瑞典国内局势相对稳定，工人协会与资方组织达成"历史性妥协"框架，[33]这为其成为高福利国家奠定了政治基础。</w:t>
      </w:r>
    </w:p>
    <w:p w14:paraId="65760ED5">
      <w:pPr>
        <w:spacing w:before="240" w:after="120" w:line="360" w:lineRule="auto"/>
      </w:pPr>
      <w:r>
        <w:rPr>
          <w:rFonts w:ascii="黑体" w:hAnsi="黑体" w:eastAsia="黑体"/>
          <w:b/>
          <w:sz w:val="28"/>
        </w:rPr>
        <w:t>三、瑞典社会福利模式的分析</w:t>
      </w:r>
    </w:p>
    <w:p w14:paraId="6438FDC6">
      <w:pPr>
        <w:spacing w:before="0" w:after="0" w:line="360" w:lineRule="auto"/>
        <w:ind w:firstLine="420"/>
      </w:pPr>
      <w:r>
        <w:rPr>
          <w:rFonts w:ascii="宋体" w:hAnsi="宋体" w:eastAsia="宋体"/>
          <w:b w:val="0"/>
          <w:sz w:val="21"/>
        </w:rPr>
        <w:t>马克思指出，"分配关系和分配方式只是表现为生产要素的背面"，"参与生产的一定方式决定分配的特殊形式，决定参与分配的形式"。[42]19因此，以特定的所有制为基础的生产关系决定了分配的结果。从所有制结构看，瑞典实行以私有制为基础的混合所有制。从分配结构看，企业实行团结工资政策以保障初次分配的"公平性"；国家通过财政转移支付、实施积极就业政策和高额税收制度构建普享型社会保障体系。多重分配手段让瑞典表面上贫富差距偏低，但结合基尼系数、居民收入五等分与十等分的数据分析，该国真实贫富差距较大且呈不断扩大趋势。瑞典虽凭借其先进生产要素和对外开放政策，由一个落后的农业国迅速转型为发达的资本主义工业国，但只要生产资料资本家私人占有的所有制关系不变，该国分配制度和福利制度就无法使其达到社会共同富裕的目的。</w:t>
      </w:r>
    </w:p>
    <w:p w14:paraId="3D2B7701">
      <w:pPr>
        <w:spacing w:before="160" w:after="80" w:line="360" w:lineRule="auto"/>
      </w:pPr>
      <w:r>
        <w:rPr>
          <w:rFonts w:ascii="黑体" w:hAnsi="黑体" w:eastAsia="黑体"/>
          <w:b/>
          <w:sz w:val="24"/>
        </w:rPr>
        <w:t>1. 所有制结构及其变动</w:t>
      </w:r>
    </w:p>
    <w:p w14:paraId="16A1A03F">
      <w:pPr>
        <w:spacing w:before="0" w:after="0" w:line="360" w:lineRule="auto"/>
        <w:ind w:firstLine="420"/>
      </w:pPr>
      <w:r>
        <w:rPr>
          <w:rFonts w:ascii="宋体" w:hAnsi="宋体" w:eastAsia="宋体"/>
          <w:b w:val="0"/>
          <w:sz w:val="21"/>
        </w:rPr>
        <w:t>（1）公共经济与国有企业</w:t>
      </w:r>
    </w:p>
    <w:p w14:paraId="42F13750">
      <w:pPr>
        <w:spacing w:before="0" w:after="0" w:line="360" w:lineRule="auto"/>
        <w:ind w:firstLine="420"/>
      </w:pPr>
      <w:r>
        <w:rPr>
          <w:rFonts w:ascii="宋体" w:hAnsi="宋体" w:eastAsia="宋体"/>
          <w:b w:val="0"/>
          <w:sz w:val="21"/>
        </w:rPr>
        <w:t>公共经济是为社会成员提供公共产品和公共服务的体系。执行公共经济职能的主体包括带有集体性质或公共性质的部门与企业，如政府部门、公共事业单位，以及由政府主导或经营的国有企业与公私合营企业。其中，国有企业是公共经济运行的主体。瑞典国有企业一般是指上市国有企业、国家持有多数股权的非上市公司和法定公司，其以基础产业和能源为主，主要为国家与居民提供公共服务。</w:t>
      </w:r>
    </w:p>
    <w:p w14:paraId="512683A9">
      <w:pPr>
        <w:spacing w:before="0" w:after="0" w:line="360" w:lineRule="auto"/>
        <w:ind w:firstLine="420"/>
      </w:pPr>
      <w:r>
        <w:rPr>
          <w:rFonts w:ascii="宋体" w:hAnsi="宋体" w:eastAsia="宋体"/>
          <w:b w:val="0"/>
          <w:sz w:val="21"/>
        </w:rPr>
        <w:t>其一，瑞典国有企业具有营利性与公共性双重属性。截至2022年底，瑞典中央政府控制的国有企业（包括公私合营与国际合作企业）共43家②，主要分为央属企业、市政企业和地方企业③，国有资产总价值达8500亿克朗，基础工业和能源部门总资产约占60%（见图1）。[43]这些企业大多具有营利性并兼顾为全国提供社会化服务。其中，有22家企业需要专职承担国家下派的社会化服务责任。值得注意的是，瑞典国有企业中的地方国企常处于亏损状态。2021年亏损数额达11.3亿克朗。[44]</w:t>
      </w:r>
    </w:p>
    <w:p w14:paraId="0318D40C">
      <w:pPr>
        <w:spacing w:before="0" w:after="0" w:line="360" w:lineRule="auto"/>
        <w:ind w:firstLine="420"/>
      </w:pPr>
      <w:r>
        <w:rPr>
          <w:rFonts w:ascii="宋体" w:hAnsi="宋体" w:eastAsia="宋体"/>
          <w:b w:val="0"/>
          <w:sz w:val="21"/>
        </w:rPr>
        <w:t>表1  2015～2022年瑞典公私企业规模数量及占比</w:t>
      </w:r>
    </w:p>
    <w:p w14:paraId="65FB989F">
      <w:pPr>
        <w:spacing w:before="0" w:after="0" w:line="360" w:lineRule="auto"/>
        <w:jc w:val="center"/>
      </w:pPr>
      <w:r>
        <w:rPr>
          <w:rFonts w:ascii="宋体" w:hAnsi="宋体" w:eastAsia="宋体"/>
          <w:b w:val="0"/>
          <w:sz w:val="16"/>
        </w:rPr>
        <w:t>（单位：个）</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981"/>
        <w:gridCol w:w="981"/>
        <w:gridCol w:w="981"/>
        <w:gridCol w:w="982"/>
        <w:gridCol w:w="982"/>
        <w:gridCol w:w="982"/>
        <w:gridCol w:w="982"/>
        <w:gridCol w:w="982"/>
      </w:tblGrid>
      <w:tr w14:paraId="26012E57">
        <w:trPr>
          <w:jc w:val="center"/>
        </w:trPr>
        <w:tc>
          <w:tcPr>
            <w:tcW w:w="922" w:type="dxa"/>
          </w:tcPr>
          <w:p w14:paraId="437980BB">
            <w:pPr>
              <w:spacing w:after="0" w:line="240" w:lineRule="auto"/>
              <w:jc w:val="center"/>
            </w:pPr>
            <w:r>
              <w:rPr>
                <w:rFonts w:ascii="宋体" w:hAnsi="宋体" w:eastAsia="宋体"/>
                <w:b/>
                <w:sz w:val="16"/>
              </w:rPr>
              <w:t>年份</w:t>
            </w:r>
          </w:p>
        </w:tc>
        <w:tc>
          <w:tcPr>
            <w:tcW w:w="922" w:type="dxa"/>
          </w:tcPr>
          <w:p w14:paraId="4F92A606">
            <w:pPr>
              <w:spacing w:after="0" w:line="240" w:lineRule="auto"/>
              <w:jc w:val="center"/>
            </w:pPr>
            <w:r>
              <w:rPr>
                <w:rFonts w:ascii="宋体" w:hAnsi="宋体" w:eastAsia="宋体"/>
                <w:b/>
                <w:sz w:val="16"/>
              </w:rPr>
              <w:t>2015</w:t>
            </w:r>
          </w:p>
        </w:tc>
        <w:tc>
          <w:tcPr>
            <w:tcW w:w="922" w:type="dxa"/>
          </w:tcPr>
          <w:p w14:paraId="768DB1A8">
            <w:pPr>
              <w:spacing w:after="0" w:line="240" w:lineRule="auto"/>
              <w:jc w:val="center"/>
            </w:pPr>
            <w:r>
              <w:rPr>
                <w:rFonts w:ascii="宋体" w:hAnsi="宋体" w:eastAsia="宋体"/>
                <w:b/>
                <w:sz w:val="16"/>
              </w:rPr>
              <w:t>2016</w:t>
            </w:r>
          </w:p>
        </w:tc>
        <w:tc>
          <w:tcPr>
            <w:tcW w:w="922" w:type="dxa"/>
          </w:tcPr>
          <w:p w14:paraId="3BE98DEB">
            <w:pPr>
              <w:spacing w:after="0" w:line="240" w:lineRule="auto"/>
              <w:jc w:val="center"/>
            </w:pPr>
            <w:r>
              <w:rPr>
                <w:rFonts w:ascii="宋体" w:hAnsi="宋体" w:eastAsia="宋体"/>
                <w:b/>
                <w:sz w:val="16"/>
              </w:rPr>
              <w:t>2017</w:t>
            </w:r>
          </w:p>
        </w:tc>
        <w:tc>
          <w:tcPr>
            <w:tcW w:w="922" w:type="dxa"/>
          </w:tcPr>
          <w:p w14:paraId="7E8F54F9">
            <w:pPr>
              <w:spacing w:after="0" w:line="240" w:lineRule="auto"/>
              <w:jc w:val="center"/>
            </w:pPr>
            <w:r>
              <w:rPr>
                <w:rFonts w:ascii="宋体" w:hAnsi="宋体" w:eastAsia="宋体"/>
                <w:b/>
                <w:sz w:val="16"/>
              </w:rPr>
              <w:t>2018</w:t>
            </w:r>
          </w:p>
        </w:tc>
        <w:tc>
          <w:tcPr>
            <w:tcW w:w="922" w:type="dxa"/>
          </w:tcPr>
          <w:p w14:paraId="65A55F38">
            <w:pPr>
              <w:spacing w:after="0" w:line="240" w:lineRule="auto"/>
              <w:jc w:val="center"/>
            </w:pPr>
            <w:r>
              <w:rPr>
                <w:rFonts w:ascii="宋体" w:hAnsi="宋体" w:eastAsia="宋体"/>
                <w:b/>
                <w:sz w:val="16"/>
              </w:rPr>
              <w:t>2019</w:t>
            </w:r>
          </w:p>
        </w:tc>
        <w:tc>
          <w:tcPr>
            <w:tcW w:w="922" w:type="dxa"/>
          </w:tcPr>
          <w:p w14:paraId="0211590B">
            <w:pPr>
              <w:spacing w:after="0" w:line="240" w:lineRule="auto"/>
              <w:jc w:val="center"/>
            </w:pPr>
            <w:r>
              <w:rPr>
                <w:rFonts w:ascii="宋体" w:hAnsi="宋体" w:eastAsia="宋体"/>
                <w:b/>
                <w:sz w:val="16"/>
              </w:rPr>
              <w:t>2020</w:t>
            </w:r>
          </w:p>
        </w:tc>
        <w:tc>
          <w:tcPr>
            <w:tcW w:w="922" w:type="dxa"/>
          </w:tcPr>
          <w:p w14:paraId="56F1E0F1">
            <w:pPr>
              <w:spacing w:after="0" w:line="240" w:lineRule="auto"/>
              <w:jc w:val="center"/>
            </w:pPr>
            <w:r>
              <w:rPr>
                <w:rFonts w:ascii="宋体" w:hAnsi="宋体" w:eastAsia="宋体"/>
                <w:b/>
                <w:sz w:val="16"/>
              </w:rPr>
              <w:t>2021</w:t>
            </w:r>
          </w:p>
        </w:tc>
        <w:tc>
          <w:tcPr>
            <w:tcW w:w="922" w:type="dxa"/>
          </w:tcPr>
          <w:p w14:paraId="71445D15">
            <w:pPr>
              <w:spacing w:after="0" w:line="240" w:lineRule="auto"/>
              <w:jc w:val="center"/>
            </w:pPr>
            <w:r>
              <w:rPr>
                <w:rFonts w:ascii="宋体" w:hAnsi="宋体" w:eastAsia="宋体"/>
                <w:b/>
                <w:sz w:val="16"/>
              </w:rPr>
              <w:t>2022</w:t>
            </w:r>
          </w:p>
        </w:tc>
      </w:tr>
      <w:tr w14:paraId="336154FA">
        <w:trPr>
          <w:jc w:val="center"/>
        </w:trPr>
        <w:tc>
          <w:tcPr>
            <w:tcW w:w="922" w:type="dxa"/>
          </w:tcPr>
          <w:p w14:paraId="5F6F7395">
            <w:pPr>
              <w:spacing w:after="0" w:line="240" w:lineRule="auto"/>
              <w:jc w:val="center"/>
            </w:pPr>
            <w:r>
              <w:rPr>
                <w:rFonts w:ascii="宋体" w:hAnsi="宋体" w:eastAsia="宋体"/>
                <w:sz w:val="16"/>
              </w:rPr>
              <w:t>全国国有企业总数</w:t>
            </w:r>
          </w:p>
        </w:tc>
        <w:tc>
          <w:tcPr>
            <w:tcW w:w="922" w:type="dxa"/>
          </w:tcPr>
          <w:p w14:paraId="0A8C6A4D">
            <w:pPr>
              <w:spacing w:after="0" w:line="240" w:lineRule="auto"/>
              <w:jc w:val="center"/>
            </w:pPr>
            <w:r>
              <w:rPr>
                <w:rFonts w:ascii="宋体" w:hAnsi="宋体" w:eastAsia="宋体"/>
                <w:sz w:val="16"/>
              </w:rPr>
              <w:t>2878</w:t>
            </w:r>
          </w:p>
        </w:tc>
        <w:tc>
          <w:tcPr>
            <w:tcW w:w="922" w:type="dxa"/>
          </w:tcPr>
          <w:p w14:paraId="3C36FE21">
            <w:pPr>
              <w:spacing w:after="0" w:line="240" w:lineRule="auto"/>
              <w:jc w:val="center"/>
            </w:pPr>
            <w:r>
              <w:rPr>
                <w:rFonts w:ascii="宋体" w:hAnsi="宋体" w:eastAsia="宋体"/>
                <w:sz w:val="16"/>
              </w:rPr>
              <w:t>2830</w:t>
            </w:r>
          </w:p>
        </w:tc>
        <w:tc>
          <w:tcPr>
            <w:tcW w:w="922" w:type="dxa"/>
          </w:tcPr>
          <w:p w14:paraId="4A4C015B">
            <w:pPr>
              <w:spacing w:after="0" w:line="240" w:lineRule="auto"/>
              <w:jc w:val="center"/>
            </w:pPr>
            <w:r>
              <w:rPr>
                <w:rFonts w:ascii="宋体" w:hAnsi="宋体" w:eastAsia="宋体"/>
                <w:sz w:val="16"/>
              </w:rPr>
              <w:t>2828</w:t>
            </w:r>
          </w:p>
        </w:tc>
        <w:tc>
          <w:tcPr>
            <w:tcW w:w="922" w:type="dxa"/>
          </w:tcPr>
          <w:p w14:paraId="5B354141">
            <w:pPr>
              <w:spacing w:after="0" w:line="240" w:lineRule="auto"/>
              <w:jc w:val="center"/>
            </w:pPr>
            <w:r>
              <w:rPr>
                <w:rFonts w:ascii="宋体" w:hAnsi="宋体" w:eastAsia="宋体"/>
                <w:sz w:val="16"/>
              </w:rPr>
              <w:t>2886</w:t>
            </w:r>
          </w:p>
        </w:tc>
        <w:tc>
          <w:tcPr>
            <w:tcW w:w="922" w:type="dxa"/>
          </w:tcPr>
          <w:p w14:paraId="12D7E4D9">
            <w:pPr>
              <w:spacing w:after="0" w:line="240" w:lineRule="auto"/>
              <w:jc w:val="center"/>
            </w:pPr>
            <w:r>
              <w:rPr>
                <w:rFonts w:ascii="宋体" w:hAnsi="宋体" w:eastAsia="宋体"/>
                <w:sz w:val="16"/>
              </w:rPr>
              <w:t>2918</w:t>
            </w:r>
          </w:p>
        </w:tc>
        <w:tc>
          <w:tcPr>
            <w:tcW w:w="922" w:type="dxa"/>
          </w:tcPr>
          <w:p w14:paraId="23A342FC">
            <w:pPr>
              <w:spacing w:after="0" w:line="240" w:lineRule="auto"/>
              <w:jc w:val="center"/>
            </w:pPr>
            <w:r>
              <w:rPr>
                <w:rFonts w:ascii="宋体" w:hAnsi="宋体" w:eastAsia="宋体"/>
                <w:sz w:val="16"/>
              </w:rPr>
              <w:t>3028</w:t>
            </w:r>
          </w:p>
        </w:tc>
        <w:tc>
          <w:tcPr>
            <w:tcW w:w="922" w:type="dxa"/>
          </w:tcPr>
          <w:p w14:paraId="61AD131F">
            <w:pPr>
              <w:spacing w:after="0" w:line="240" w:lineRule="auto"/>
              <w:jc w:val="center"/>
            </w:pPr>
            <w:r>
              <w:rPr>
                <w:rFonts w:ascii="宋体" w:hAnsi="宋体" w:eastAsia="宋体"/>
                <w:sz w:val="16"/>
              </w:rPr>
              <w:t>3042</w:t>
            </w:r>
          </w:p>
        </w:tc>
        <w:tc>
          <w:tcPr>
            <w:tcW w:w="922" w:type="dxa"/>
          </w:tcPr>
          <w:p w14:paraId="52AEF85A">
            <w:pPr>
              <w:spacing w:after="0" w:line="240" w:lineRule="auto"/>
              <w:jc w:val="center"/>
            </w:pPr>
            <w:r>
              <w:rPr>
                <w:rFonts w:ascii="宋体" w:hAnsi="宋体" w:eastAsia="宋体"/>
                <w:sz w:val="16"/>
              </w:rPr>
              <w:t>3031</w:t>
            </w:r>
          </w:p>
        </w:tc>
      </w:tr>
      <w:tr w14:paraId="1AFAC77B">
        <w:trPr>
          <w:jc w:val="center"/>
        </w:trPr>
        <w:tc>
          <w:tcPr>
            <w:tcW w:w="922" w:type="dxa"/>
          </w:tcPr>
          <w:p w14:paraId="7A832CFB">
            <w:pPr>
              <w:spacing w:after="0" w:line="240" w:lineRule="auto"/>
              <w:jc w:val="center"/>
            </w:pPr>
            <w:r>
              <w:rPr>
                <w:rFonts w:ascii="宋体" w:hAnsi="宋体" w:eastAsia="宋体"/>
                <w:sz w:val="16"/>
              </w:rPr>
              <w:t>全国私人企业总数</w:t>
            </w:r>
          </w:p>
        </w:tc>
        <w:tc>
          <w:tcPr>
            <w:tcW w:w="922" w:type="dxa"/>
          </w:tcPr>
          <w:p w14:paraId="7B54B50E">
            <w:pPr>
              <w:spacing w:after="0" w:line="240" w:lineRule="auto"/>
              <w:jc w:val="center"/>
            </w:pPr>
            <w:r>
              <w:rPr>
                <w:rFonts w:ascii="宋体" w:hAnsi="宋体" w:eastAsia="宋体"/>
                <w:sz w:val="16"/>
              </w:rPr>
              <w:t>1177761</w:t>
            </w:r>
          </w:p>
        </w:tc>
        <w:tc>
          <w:tcPr>
            <w:tcW w:w="922" w:type="dxa"/>
          </w:tcPr>
          <w:p w14:paraId="1D095D23">
            <w:pPr>
              <w:spacing w:after="0" w:line="240" w:lineRule="auto"/>
              <w:jc w:val="center"/>
            </w:pPr>
            <w:r>
              <w:rPr>
                <w:rFonts w:ascii="宋体" w:hAnsi="宋体" w:eastAsia="宋体"/>
                <w:sz w:val="16"/>
              </w:rPr>
              <w:t>1200106</w:t>
            </w:r>
          </w:p>
        </w:tc>
        <w:tc>
          <w:tcPr>
            <w:tcW w:w="922" w:type="dxa"/>
          </w:tcPr>
          <w:p w14:paraId="69B62742">
            <w:pPr>
              <w:spacing w:after="0" w:line="240" w:lineRule="auto"/>
              <w:jc w:val="center"/>
            </w:pPr>
            <w:r>
              <w:rPr>
                <w:rFonts w:ascii="宋体" w:hAnsi="宋体" w:eastAsia="宋体"/>
                <w:sz w:val="16"/>
              </w:rPr>
              <w:t>1211717</w:t>
            </w:r>
          </w:p>
        </w:tc>
        <w:tc>
          <w:tcPr>
            <w:tcW w:w="922" w:type="dxa"/>
          </w:tcPr>
          <w:p w14:paraId="0A6FE83A">
            <w:pPr>
              <w:spacing w:after="0" w:line="240" w:lineRule="auto"/>
              <w:jc w:val="center"/>
            </w:pPr>
            <w:r>
              <w:rPr>
                <w:rFonts w:ascii="宋体" w:hAnsi="宋体" w:eastAsia="宋体"/>
                <w:sz w:val="16"/>
              </w:rPr>
              <w:t>1228854</w:t>
            </w:r>
          </w:p>
        </w:tc>
        <w:tc>
          <w:tcPr>
            <w:tcW w:w="922" w:type="dxa"/>
          </w:tcPr>
          <w:p w14:paraId="740166E9">
            <w:pPr>
              <w:spacing w:after="0" w:line="240" w:lineRule="auto"/>
              <w:jc w:val="center"/>
            </w:pPr>
            <w:r>
              <w:rPr>
                <w:rFonts w:ascii="宋体" w:hAnsi="宋体" w:eastAsia="宋体"/>
                <w:sz w:val="16"/>
              </w:rPr>
              <w:t>1243327</w:t>
            </w:r>
          </w:p>
        </w:tc>
        <w:tc>
          <w:tcPr>
            <w:tcW w:w="922" w:type="dxa"/>
          </w:tcPr>
          <w:p w14:paraId="4C0E33ED">
            <w:pPr>
              <w:spacing w:after="0" w:line="240" w:lineRule="auto"/>
              <w:jc w:val="center"/>
            </w:pPr>
            <w:r>
              <w:rPr>
                <w:rFonts w:ascii="宋体" w:hAnsi="宋体" w:eastAsia="宋体"/>
                <w:sz w:val="16"/>
              </w:rPr>
              <w:t>1261373</w:t>
            </w:r>
          </w:p>
        </w:tc>
        <w:tc>
          <w:tcPr>
            <w:tcW w:w="922" w:type="dxa"/>
          </w:tcPr>
          <w:p w14:paraId="515185EA">
            <w:pPr>
              <w:spacing w:after="0" w:line="240" w:lineRule="auto"/>
              <w:jc w:val="center"/>
            </w:pPr>
            <w:r>
              <w:rPr>
                <w:rFonts w:ascii="宋体" w:hAnsi="宋体" w:eastAsia="宋体"/>
                <w:sz w:val="16"/>
              </w:rPr>
              <w:t>1292352</w:t>
            </w:r>
          </w:p>
        </w:tc>
        <w:tc>
          <w:tcPr>
            <w:tcW w:w="922" w:type="dxa"/>
          </w:tcPr>
          <w:p w14:paraId="3F1182AC">
            <w:pPr>
              <w:spacing w:after="0" w:line="240" w:lineRule="auto"/>
              <w:jc w:val="center"/>
            </w:pPr>
            <w:r>
              <w:rPr>
                <w:rFonts w:ascii="宋体" w:hAnsi="宋体" w:eastAsia="宋体"/>
                <w:sz w:val="16"/>
              </w:rPr>
              <w:t>1317780</w:t>
            </w:r>
          </w:p>
        </w:tc>
      </w:tr>
      <w:tr w14:paraId="2C3C90C9">
        <w:trPr>
          <w:jc w:val="center"/>
        </w:trPr>
        <w:tc>
          <w:tcPr>
            <w:tcW w:w="922" w:type="dxa"/>
          </w:tcPr>
          <w:p w14:paraId="1BB094A0">
            <w:pPr>
              <w:spacing w:after="0" w:line="240" w:lineRule="auto"/>
              <w:jc w:val="center"/>
            </w:pPr>
            <w:r>
              <w:rPr>
                <w:rFonts w:ascii="宋体" w:hAnsi="宋体" w:eastAsia="宋体"/>
                <w:sz w:val="16"/>
              </w:rPr>
              <w:t>公私企业占比</w:t>
            </w:r>
          </w:p>
        </w:tc>
        <w:tc>
          <w:tcPr>
            <w:tcW w:w="922" w:type="dxa"/>
          </w:tcPr>
          <w:p w14:paraId="66D19378">
            <w:pPr>
              <w:spacing w:after="0" w:line="240" w:lineRule="auto"/>
              <w:jc w:val="center"/>
            </w:pPr>
            <w:r>
              <w:rPr>
                <w:rFonts w:ascii="宋体" w:hAnsi="宋体" w:eastAsia="宋体"/>
                <w:sz w:val="16"/>
              </w:rPr>
              <w:t>0.24%</w:t>
            </w:r>
          </w:p>
        </w:tc>
        <w:tc>
          <w:tcPr>
            <w:tcW w:w="922" w:type="dxa"/>
          </w:tcPr>
          <w:p w14:paraId="20F783EC">
            <w:pPr>
              <w:spacing w:after="0" w:line="240" w:lineRule="auto"/>
              <w:jc w:val="center"/>
            </w:pPr>
            <w:r>
              <w:rPr>
                <w:rFonts w:ascii="宋体" w:hAnsi="宋体" w:eastAsia="宋体"/>
                <w:sz w:val="16"/>
              </w:rPr>
              <w:t>0.24%</w:t>
            </w:r>
          </w:p>
        </w:tc>
        <w:tc>
          <w:tcPr>
            <w:tcW w:w="922" w:type="dxa"/>
          </w:tcPr>
          <w:p w14:paraId="54F1A0D2">
            <w:pPr>
              <w:spacing w:after="0" w:line="240" w:lineRule="auto"/>
              <w:jc w:val="center"/>
            </w:pPr>
            <w:r>
              <w:rPr>
                <w:rFonts w:ascii="宋体" w:hAnsi="宋体" w:eastAsia="宋体"/>
                <w:sz w:val="16"/>
              </w:rPr>
              <w:t>0.23%</w:t>
            </w:r>
          </w:p>
        </w:tc>
        <w:tc>
          <w:tcPr>
            <w:tcW w:w="922" w:type="dxa"/>
          </w:tcPr>
          <w:p w14:paraId="331445E8">
            <w:pPr>
              <w:spacing w:after="0" w:line="240" w:lineRule="auto"/>
              <w:jc w:val="center"/>
            </w:pPr>
            <w:r>
              <w:rPr>
                <w:rFonts w:ascii="宋体" w:hAnsi="宋体" w:eastAsia="宋体"/>
                <w:sz w:val="16"/>
              </w:rPr>
              <w:t>0.23%</w:t>
            </w:r>
          </w:p>
        </w:tc>
        <w:tc>
          <w:tcPr>
            <w:tcW w:w="922" w:type="dxa"/>
          </w:tcPr>
          <w:p w14:paraId="0AA7EB01">
            <w:pPr>
              <w:spacing w:after="0" w:line="240" w:lineRule="auto"/>
              <w:jc w:val="center"/>
            </w:pPr>
            <w:r>
              <w:rPr>
                <w:rFonts w:ascii="宋体" w:hAnsi="宋体" w:eastAsia="宋体"/>
                <w:sz w:val="16"/>
              </w:rPr>
              <w:t>0.23%</w:t>
            </w:r>
          </w:p>
        </w:tc>
        <w:tc>
          <w:tcPr>
            <w:tcW w:w="922" w:type="dxa"/>
          </w:tcPr>
          <w:p w14:paraId="6FAD30BB">
            <w:pPr>
              <w:spacing w:after="0" w:line="240" w:lineRule="auto"/>
              <w:jc w:val="center"/>
            </w:pPr>
            <w:r>
              <w:rPr>
                <w:rFonts w:ascii="宋体" w:hAnsi="宋体" w:eastAsia="宋体"/>
                <w:sz w:val="16"/>
              </w:rPr>
              <w:t>0.24%</w:t>
            </w:r>
          </w:p>
        </w:tc>
        <w:tc>
          <w:tcPr>
            <w:tcW w:w="922" w:type="dxa"/>
          </w:tcPr>
          <w:p w14:paraId="09AFA9ED">
            <w:pPr>
              <w:spacing w:after="0" w:line="240" w:lineRule="auto"/>
              <w:jc w:val="center"/>
            </w:pPr>
            <w:r>
              <w:rPr>
                <w:rFonts w:ascii="宋体" w:hAnsi="宋体" w:eastAsia="宋体"/>
                <w:sz w:val="16"/>
              </w:rPr>
              <w:t>0.24%</w:t>
            </w:r>
          </w:p>
        </w:tc>
        <w:tc>
          <w:tcPr>
            <w:tcW w:w="922" w:type="dxa"/>
          </w:tcPr>
          <w:p w14:paraId="345DC483">
            <w:pPr>
              <w:spacing w:after="0" w:line="240" w:lineRule="auto"/>
              <w:jc w:val="center"/>
            </w:pPr>
            <w:r>
              <w:rPr>
                <w:rFonts w:ascii="宋体" w:hAnsi="宋体" w:eastAsia="宋体"/>
                <w:sz w:val="16"/>
              </w:rPr>
              <w:t>0.23%</w:t>
            </w:r>
          </w:p>
        </w:tc>
      </w:tr>
    </w:tbl>
    <w:p w14:paraId="56FFB9CD">
      <w:pPr>
        <w:spacing w:after="40"/>
      </w:pPr>
    </w:p>
    <w:p w14:paraId="307A97D4">
      <w:pPr>
        <w:spacing w:before="0" w:after="0" w:line="360" w:lineRule="auto"/>
        <w:ind w:firstLine="420"/>
      </w:pPr>
      <w:r>
        <w:rPr>
          <w:rFonts w:ascii="宋体" w:hAnsi="宋体" w:eastAsia="宋体"/>
          <w:b w:val="0"/>
          <w:sz w:val="21"/>
        </w:rPr>
        <w:t>其二，瑞典国有企业占比逐年缩小。从企业规模来看，2015～2022年国有企业仅增长了153个，而私有企业增长了14万个。2022年央属、市属与区属国有企业及全国分公司总数为3031个④，私有企业达1317780个，国私企业数量比约为2∶1000（见表1）。[45]从就业人数来看，截至2022年年底，瑞典全国就业人数约为555.7万人。[46]其中，中央国有企业（包括联营企业）就业人数13.4万人[43]，约占全国就业人数的2.4%。</w:t>
      </w:r>
    </w:p>
    <w:p w14:paraId="7989B002">
      <w:pPr>
        <w:spacing w:before="0" w:after="0" w:line="360" w:lineRule="auto"/>
        <w:ind w:firstLine="420"/>
      </w:pPr>
      <w:r>
        <w:rPr>
          <w:rFonts w:ascii="宋体" w:hAnsi="宋体" w:eastAsia="宋体"/>
          <w:b w:val="0"/>
          <w:sz w:val="21"/>
        </w:rPr>
        <w:t>其三，瑞典国有企业在国民经济中的贡献比重微乎其微。在瑞典中央政府控制的43家国有企业中，国家完全控股的企业有36家，以公私合营与国际合作形式经营的有4家。在这4家企业中，瑞典中央政府控股数占比最高的是瑞典邮政（PostNord），持有60%股份；最低的是北欧航空（SAS），持有22%股份。2022年瑞典中央政府完全控股的国有企业净销售额为4762亿克朗，占当年GDP的8%，若加上联营企业的净销售额则为5197亿克朗，约占当年GDP的9%。[47]</w:t>
      </w:r>
    </w:p>
    <w:p w14:paraId="3FE7937A">
      <w:pPr>
        <w:spacing w:before="0" w:after="0" w:line="360" w:lineRule="auto"/>
        <w:ind w:firstLine="420"/>
      </w:pPr>
      <w:r>
        <w:rPr>
          <w:rFonts w:ascii="宋体" w:hAnsi="宋体" w:eastAsia="宋体"/>
          <w:b w:val="0"/>
          <w:sz w:val="21"/>
        </w:rPr>
        <w:t>（2）私有经济和私营企业</w:t>
      </w:r>
    </w:p>
    <w:p w14:paraId="1D85A112">
      <w:pPr>
        <w:spacing w:before="0" w:after="0" w:line="360" w:lineRule="auto"/>
        <w:ind w:firstLine="420"/>
      </w:pPr>
      <w:r>
        <w:rPr>
          <w:rFonts w:ascii="宋体" w:hAnsi="宋体" w:eastAsia="宋体"/>
          <w:b w:val="0"/>
          <w:sz w:val="21"/>
        </w:rPr>
        <w:t>其一，私有制在瑞典经济中占据绝对主导地位，并且根深蒂固。20世纪90年代，该国的工农业、国际贸易和金融业基本上属于私人所有。一是，生产资料私人占有率极高，私营部门掌控国家经济命脉。超过90%的生产资料为私人所有，政府在工业领域的占比不足5%⑤。二是，私人资本呈现高度垄断与集中态势。约100个巨型家族企业控制了全国95%的经济，其中15个大家族控制了三分之一的工业，瓦伦堡家族垄断40多家大型银行和公司。[49]三是，财富高度集中于少数人手中。1%的股东持有全国30%的股票，前5%的富翁拥有全国50%以上的财富。[29]尽管被誉为"福利国家橱窗"的瑞典建立了完善的社会福利制度体系，但其基本经济制度以及它所决定的基本生产和分配方式仍是资本主义经济。</w:t>
      </w:r>
    </w:p>
    <w:p w14:paraId="7C27DF36">
      <w:pPr>
        <w:spacing w:before="0" w:after="0" w:line="360" w:lineRule="auto"/>
        <w:ind w:firstLine="420"/>
      </w:pPr>
      <w:r>
        <w:rPr>
          <w:rFonts w:ascii="宋体" w:hAnsi="宋体" w:eastAsia="宋体"/>
          <w:b w:val="0"/>
          <w:sz w:val="21"/>
        </w:rPr>
        <w:t>其二，当代瑞典私有经济在国民经济中仍占有绝对统治地位，并且不断扩大。2023年，瑞典国内生产总值达62.06亿克朗，其中有78%由私有经济提供。[50]这虽能说明私有经济在该国经济中已占据统治地位，但由于这一数据系瑞典统计局运用支出法测算出来的，没有考虑公共部门的增值中有相当部分来自私人企业、联营企业，因而并未准确测算出私有经济的实际权重。要了解私有经济较为准确的权重，可从国内生产总值中剔除国有企业总产值进行对比。表2表明，瑞典私有经济在整个国民经济中占比呈现不断扩大趋势。此外，瑞典私人企业不仅占据了90%以上的市场份额，而且其所有权结构高度集中，尤其是家族企业。许多瑞典上市公司通过双层股票制度（dual-class shares）赋予大股东（通常为家族）远超过其持股比例的控制权。这种所有权结构导致瑞典私人企业内部的权力高度集中。</w:t>
      </w:r>
    </w:p>
    <w:p w14:paraId="1B36B193">
      <w:pPr>
        <w:spacing w:before="0" w:after="0" w:line="360" w:lineRule="auto"/>
        <w:jc w:val="center"/>
      </w:pPr>
      <w:r>
        <w:rPr>
          <w:rFonts w:ascii="宋体" w:hAnsi="宋体" w:eastAsia="宋体"/>
          <w:b/>
          <w:sz w:val="18"/>
        </w:rPr>
        <w:t>表2  瑞典2009～2022年公私资本增加值与贡献率</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1383"/>
        <w:gridCol w:w="1383"/>
        <w:gridCol w:w="1383"/>
        <w:gridCol w:w="1383"/>
        <w:gridCol w:w="1383"/>
      </w:tblGrid>
      <w:tr w14:paraId="6720763E">
        <w:trPr>
          <w:jc w:val="center"/>
        </w:trPr>
        <w:tc>
          <w:tcPr>
            <w:tcW w:w="1383" w:type="dxa"/>
          </w:tcPr>
          <w:p w14:paraId="3B6A5E3D">
            <w:pPr>
              <w:spacing w:after="0" w:line="240" w:lineRule="auto"/>
              <w:jc w:val="center"/>
            </w:pPr>
            <w:r>
              <w:rPr>
                <w:rFonts w:ascii="宋体" w:hAnsi="宋体" w:eastAsia="宋体"/>
                <w:b/>
                <w:sz w:val="16"/>
              </w:rPr>
              <w:t>年份</w:t>
            </w:r>
          </w:p>
        </w:tc>
        <w:tc>
          <w:tcPr>
            <w:tcW w:w="1383" w:type="dxa"/>
          </w:tcPr>
          <w:p w14:paraId="529061C7">
            <w:pPr>
              <w:spacing w:after="0" w:line="240" w:lineRule="auto"/>
              <w:jc w:val="center"/>
            </w:pPr>
            <w:r>
              <w:rPr>
                <w:rFonts w:ascii="宋体" w:hAnsi="宋体" w:eastAsia="宋体"/>
                <w:b/>
                <w:sz w:val="16"/>
              </w:rPr>
              <w:t>GDP(亿克朗)</w:t>
            </w:r>
          </w:p>
        </w:tc>
        <w:tc>
          <w:tcPr>
            <w:tcW w:w="1383" w:type="dxa"/>
          </w:tcPr>
          <w:p w14:paraId="372EE297">
            <w:pPr>
              <w:spacing w:after="0" w:line="240" w:lineRule="auto"/>
              <w:jc w:val="center"/>
            </w:pPr>
            <w:r>
              <w:rPr>
                <w:rFonts w:ascii="宋体" w:hAnsi="宋体" w:eastAsia="宋体"/>
                <w:b/>
                <w:sz w:val="16"/>
              </w:rPr>
              <w:t>国企营业额(亿克朗)</w:t>
            </w:r>
          </w:p>
        </w:tc>
        <w:tc>
          <w:tcPr>
            <w:tcW w:w="1383" w:type="dxa"/>
          </w:tcPr>
          <w:p w14:paraId="0DA52076">
            <w:pPr>
              <w:spacing w:after="0" w:line="240" w:lineRule="auto"/>
              <w:jc w:val="center"/>
            </w:pPr>
            <w:r>
              <w:rPr>
                <w:rFonts w:ascii="宋体" w:hAnsi="宋体" w:eastAsia="宋体"/>
                <w:b/>
                <w:sz w:val="16"/>
              </w:rPr>
              <w:t>国有资本贡献</w:t>
            </w:r>
          </w:p>
        </w:tc>
        <w:tc>
          <w:tcPr>
            <w:tcW w:w="1383" w:type="dxa"/>
          </w:tcPr>
          <w:p w14:paraId="31CD273D">
            <w:pPr>
              <w:spacing w:after="0" w:line="240" w:lineRule="auto"/>
              <w:jc w:val="center"/>
            </w:pPr>
            <w:r>
              <w:rPr>
                <w:rFonts w:ascii="宋体" w:hAnsi="宋体" w:eastAsia="宋体"/>
                <w:b/>
                <w:sz w:val="16"/>
              </w:rPr>
              <w:t>私人资本增加值(亿克朗)</w:t>
            </w:r>
          </w:p>
        </w:tc>
        <w:tc>
          <w:tcPr>
            <w:tcW w:w="1383" w:type="dxa"/>
          </w:tcPr>
          <w:p w14:paraId="7D04AD14">
            <w:pPr>
              <w:spacing w:after="0" w:line="240" w:lineRule="auto"/>
              <w:jc w:val="center"/>
            </w:pPr>
            <w:r>
              <w:rPr>
                <w:rFonts w:ascii="宋体" w:hAnsi="宋体" w:eastAsia="宋体"/>
                <w:b/>
                <w:sz w:val="16"/>
              </w:rPr>
              <w:t>私有经济贡献</w:t>
            </w:r>
          </w:p>
        </w:tc>
      </w:tr>
      <w:tr w14:paraId="4713B77D">
        <w:trPr>
          <w:jc w:val="center"/>
        </w:trPr>
        <w:tc>
          <w:tcPr>
            <w:tcW w:w="1383" w:type="dxa"/>
          </w:tcPr>
          <w:p w14:paraId="7F9F7702">
            <w:pPr>
              <w:spacing w:after="0" w:line="240" w:lineRule="auto"/>
              <w:jc w:val="center"/>
            </w:pPr>
            <w:r>
              <w:rPr>
                <w:rFonts w:ascii="宋体" w:hAnsi="宋体" w:eastAsia="宋体"/>
                <w:sz w:val="16"/>
              </w:rPr>
              <w:t>2009</w:t>
            </w:r>
          </w:p>
        </w:tc>
        <w:tc>
          <w:tcPr>
            <w:tcW w:w="1383" w:type="dxa"/>
          </w:tcPr>
          <w:p w14:paraId="50DD96E8">
            <w:pPr>
              <w:spacing w:after="0" w:line="240" w:lineRule="auto"/>
              <w:jc w:val="center"/>
            </w:pPr>
            <w:r>
              <w:rPr>
                <w:rFonts w:ascii="宋体" w:hAnsi="宋体" w:eastAsia="宋体"/>
                <w:sz w:val="16"/>
              </w:rPr>
              <w:t>33242</w:t>
            </w:r>
          </w:p>
        </w:tc>
        <w:tc>
          <w:tcPr>
            <w:tcW w:w="1383" w:type="dxa"/>
          </w:tcPr>
          <w:p w14:paraId="7CC0B111">
            <w:pPr>
              <w:spacing w:after="0" w:line="240" w:lineRule="auto"/>
              <w:jc w:val="center"/>
            </w:pPr>
            <w:r>
              <w:rPr>
                <w:rFonts w:ascii="宋体" w:hAnsi="宋体" w:eastAsia="宋体"/>
                <w:sz w:val="16"/>
              </w:rPr>
              <w:t>3522</w:t>
            </w:r>
          </w:p>
        </w:tc>
        <w:tc>
          <w:tcPr>
            <w:tcW w:w="1383" w:type="dxa"/>
          </w:tcPr>
          <w:p w14:paraId="4371A2FF">
            <w:pPr>
              <w:spacing w:after="0" w:line="240" w:lineRule="auto"/>
              <w:jc w:val="center"/>
            </w:pPr>
            <w:r>
              <w:rPr>
                <w:rFonts w:ascii="宋体" w:hAnsi="宋体" w:eastAsia="宋体"/>
                <w:sz w:val="16"/>
              </w:rPr>
              <w:t>10.60%</w:t>
            </w:r>
          </w:p>
        </w:tc>
        <w:tc>
          <w:tcPr>
            <w:tcW w:w="1383" w:type="dxa"/>
          </w:tcPr>
          <w:p w14:paraId="69840384">
            <w:pPr>
              <w:spacing w:after="0" w:line="240" w:lineRule="auto"/>
              <w:jc w:val="center"/>
            </w:pPr>
            <w:r>
              <w:rPr>
                <w:rFonts w:ascii="宋体" w:hAnsi="宋体" w:eastAsia="宋体"/>
                <w:sz w:val="16"/>
              </w:rPr>
              <w:t>29720</w:t>
            </w:r>
          </w:p>
        </w:tc>
        <w:tc>
          <w:tcPr>
            <w:tcW w:w="1383" w:type="dxa"/>
          </w:tcPr>
          <w:p w14:paraId="152F0593">
            <w:pPr>
              <w:spacing w:after="0" w:line="240" w:lineRule="auto"/>
              <w:jc w:val="center"/>
            </w:pPr>
            <w:r>
              <w:rPr>
                <w:rFonts w:ascii="宋体" w:hAnsi="宋体" w:eastAsia="宋体"/>
                <w:sz w:val="16"/>
              </w:rPr>
              <w:t>89.40%</w:t>
            </w:r>
          </w:p>
        </w:tc>
      </w:tr>
      <w:tr w14:paraId="5D268C65">
        <w:trPr>
          <w:jc w:val="center"/>
        </w:trPr>
        <w:tc>
          <w:tcPr>
            <w:tcW w:w="1383" w:type="dxa"/>
          </w:tcPr>
          <w:p w14:paraId="47D86735">
            <w:pPr>
              <w:spacing w:after="0" w:line="240" w:lineRule="auto"/>
              <w:jc w:val="center"/>
            </w:pPr>
            <w:r>
              <w:rPr>
                <w:rFonts w:ascii="宋体" w:hAnsi="宋体" w:eastAsia="宋体"/>
                <w:sz w:val="16"/>
              </w:rPr>
              <w:t>2010</w:t>
            </w:r>
          </w:p>
        </w:tc>
        <w:tc>
          <w:tcPr>
            <w:tcW w:w="1383" w:type="dxa"/>
          </w:tcPr>
          <w:p w14:paraId="05D36B1F">
            <w:pPr>
              <w:spacing w:after="0" w:line="240" w:lineRule="auto"/>
              <w:jc w:val="center"/>
            </w:pPr>
            <w:r>
              <w:rPr>
                <w:rFonts w:ascii="宋体" w:hAnsi="宋体" w:eastAsia="宋体"/>
                <w:sz w:val="16"/>
              </w:rPr>
              <w:t>35515</w:t>
            </w:r>
          </w:p>
        </w:tc>
        <w:tc>
          <w:tcPr>
            <w:tcW w:w="1383" w:type="dxa"/>
          </w:tcPr>
          <w:p w14:paraId="0D4687BF">
            <w:pPr>
              <w:spacing w:after="0" w:line="240" w:lineRule="auto"/>
              <w:jc w:val="center"/>
            </w:pPr>
            <w:r>
              <w:rPr>
                <w:rFonts w:ascii="宋体" w:hAnsi="宋体" w:eastAsia="宋体"/>
                <w:sz w:val="16"/>
              </w:rPr>
              <w:t>3730</w:t>
            </w:r>
          </w:p>
        </w:tc>
        <w:tc>
          <w:tcPr>
            <w:tcW w:w="1383" w:type="dxa"/>
          </w:tcPr>
          <w:p w14:paraId="4C5DE2A2">
            <w:pPr>
              <w:spacing w:after="0" w:line="240" w:lineRule="auto"/>
              <w:jc w:val="center"/>
            </w:pPr>
            <w:r>
              <w:rPr>
                <w:rFonts w:ascii="宋体" w:hAnsi="宋体" w:eastAsia="宋体"/>
                <w:sz w:val="16"/>
              </w:rPr>
              <w:t>10.50%</w:t>
            </w:r>
          </w:p>
        </w:tc>
        <w:tc>
          <w:tcPr>
            <w:tcW w:w="1383" w:type="dxa"/>
          </w:tcPr>
          <w:p w14:paraId="6EE609AA">
            <w:pPr>
              <w:spacing w:after="0" w:line="240" w:lineRule="auto"/>
              <w:jc w:val="center"/>
            </w:pPr>
            <w:r>
              <w:rPr>
                <w:rFonts w:ascii="宋体" w:hAnsi="宋体" w:eastAsia="宋体"/>
                <w:sz w:val="16"/>
              </w:rPr>
              <w:t>31785</w:t>
            </w:r>
          </w:p>
        </w:tc>
        <w:tc>
          <w:tcPr>
            <w:tcW w:w="1383" w:type="dxa"/>
          </w:tcPr>
          <w:p w14:paraId="23CB4CB5">
            <w:pPr>
              <w:spacing w:after="0" w:line="240" w:lineRule="auto"/>
              <w:jc w:val="center"/>
            </w:pPr>
            <w:r>
              <w:rPr>
                <w:rFonts w:ascii="宋体" w:hAnsi="宋体" w:eastAsia="宋体"/>
                <w:sz w:val="16"/>
              </w:rPr>
              <w:t>89.50%</w:t>
            </w:r>
          </w:p>
        </w:tc>
      </w:tr>
      <w:tr w14:paraId="4D8EDF3D">
        <w:trPr>
          <w:jc w:val="center"/>
        </w:trPr>
        <w:tc>
          <w:tcPr>
            <w:tcW w:w="1383" w:type="dxa"/>
          </w:tcPr>
          <w:p w14:paraId="06F674B6">
            <w:pPr>
              <w:spacing w:after="0" w:line="240" w:lineRule="auto"/>
              <w:jc w:val="center"/>
            </w:pPr>
            <w:r>
              <w:rPr>
                <w:rFonts w:ascii="宋体" w:hAnsi="宋体" w:eastAsia="宋体"/>
                <w:sz w:val="16"/>
              </w:rPr>
              <w:t>2011</w:t>
            </w:r>
          </w:p>
        </w:tc>
        <w:tc>
          <w:tcPr>
            <w:tcW w:w="1383" w:type="dxa"/>
          </w:tcPr>
          <w:p w14:paraId="72B98D02">
            <w:pPr>
              <w:spacing w:after="0" w:line="240" w:lineRule="auto"/>
              <w:jc w:val="center"/>
            </w:pPr>
            <w:r>
              <w:rPr>
                <w:rFonts w:ascii="宋体" w:hAnsi="宋体" w:eastAsia="宋体"/>
                <w:sz w:val="16"/>
              </w:rPr>
              <w:t>37048</w:t>
            </w:r>
          </w:p>
        </w:tc>
        <w:tc>
          <w:tcPr>
            <w:tcW w:w="1383" w:type="dxa"/>
          </w:tcPr>
          <w:p w14:paraId="67DA032C">
            <w:pPr>
              <w:spacing w:after="0" w:line="240" w:lineRule="auto"/>
              <w:jc w:val="center"/>
            </w:pPr>
            <w:r>
              <w:rPr>
                <w:rFonts w:ascii="宋体" w:hAnsi="宋体" w:eastAsia="宋体"/>
                <w:sz w:val="16"/>
              </w:rPr>
              <w:t>3735</w:t>
            </w:r>
          </w:p>
        </w:tc>
        <w:tc>
          <w:tcPr>
            <w:tcW w:w="1383" w:type="dxa"/>
          </w:tcPr>
          <w:p w14:paraId="72F2768A">
            <w:pPr>
              <w:spacing w:after="0" w:line="240" w:lineRule="auto"/>
              <w:jc w:val="center"/>
            </w:pPr>
            <w:r>
              <w:rPr>
                <w:rFonts w:ascii="宋体" w:hAnsi="宋体" w:eastAsia="宋体"/>
                <w:sz w:val="16"/>
              </w:rPr>
              <w:t>10.08%</w:t>
            </w:r>
          </w:p>
        </w:tc>
        <w:tc>
          <w:tcPr>
            <w:tcW w:w="1383" w:type="dxa"/>
          </w:tcPr>
          <w:p w14:paraId="454D98F4">
            <w:pPr>
              <w:spacing w:after="0" w:line="240" w:lineRule="auto"/>
              <w:jc w:val="center"/>
            </w:pPr>
            <w:r>
              <w:rPr>
                <w:rFonts w:ascii="宋体" w:hAnsi="宋体" w:eastAsia="宋体"/>
                <w:sz w:val="16"/>
              </w:rPr>
              <w:t>33313</w:t>
            </w:r>
          </w:p>
        </w:tc>
        <w:tc>
          <w:tcPr>
            <w:tcW w:w="1383" w:type="dxa"/>
          </w:tcPr>
          <w:p w14:paraId="46996315">
            <w:pPr>
              <w:spacing w:after="0" w:line="240" w:lineRule="auto"/>
              <w:jc w:val="center"/>
            </w:pPr>
            <w:r>
              <w:rPr>
                <w:rFonts w:ascii="宋体" w:hAnsi="宋体" w:eastAsia="宋体"/>
                <w:sz w:val="16"/>
              </w:rPr>
              <w:t>89.92%</w:t>
            </w:r>
          </w:p>
        </w:tc>
      </w:tr>
      <w:tr w14:paraId="537E5AF6">
        <w:trPr>
          <w:jc w:val="center"/>
        </w:trPr>
        <w:tc>
          <w:tcPr>
            <w:tcW w:w="1383" w:type="dxa"/>
          </w:tcPr>
          <w:p w14:paraId="2F7839B9">
            <w:pPr>
              <w:spacing w:after="0" w:line="240" w:lineRule="auto"/>
              <w:jc w:val="center"/>
            </w:pPr>
            <w:r>
              <w:rPr>
                <w:rFonts w:ascii="宋体" w:hAnsi="宋体" w:eastAsia="宋体"/>
                <w:sz w:val="16"/>
              </w:rPr>
              <w:t>2012</w:t>
            </w:r>
          </w:p>
        </w:tc>
        <w:tc>
          <w:tcPr>
            <w:tcW w:w="1383" w:type="dxa"/>
          </w:tcPr>
          <w:p w14:paraId="3952BDB2">
            <w:pPr>
              <w:spacing w:after="0" w:line="240" w:lineRule="auto"/>
              <w:jc w:val="center"/>
            </w:pPr>
            <w:r>
              <w:rPr>
                <w:rFonts w:ascii="宋体" w:hAnsi="宋体" w:eastAsia="宋体"/>
                <w:sz w:val="16"/>
              </w:rPr>
              <w:t>37245</w:t>
            </w:r>
          </w:p>
        </w:tc>
        <w:tc>
          <w:tcPr>
            <w:tcW w:w="1383" w:type="dxa"/>
          </w:tcPr>
          <w:p w14:paraId="7C0B8E0F">
            <w:pPr>
              <w:spacing w:after="0" w:line="240" w:lineRule="auto"/>
              <w:jc w:val="center"/>
            </w:pPr>
            <w:r>
              <w:rPr>
                <w:rFonts w:ascii="宋体" w:hAnsi="宋体" w:eastAsia="宋体"/>
                <w:sz w:val="16"/>
              </w:rPr>
              <w:t>3536</w:t>
            </w:r>
          </w:p>
        </w:tc>
        <w:tc>
          <w:tcPr>
            <w:tcW w:w="1383" w:type="dxa"/>
          </w:tcPr>
          <w:p w14:paraId="2CF2CD90">
            <w:pPr>
              <w:spacing w:after="0" w:line="240" w:lineRule="auto"/>
              <w:jc w:val="center"/>
            </w:pPr>
            <w:r>
              <w:rPr>
                <w:rFonts w:ascii="宋体" w:hAnsi="宋体" w:eastAsia="宋体"/>
                <w:sz w:val="16"/>
              </w:rPr>
              <w:t>9.49%</w:t>
            </w:r>
          </w:p>
        </w:tc>
        <w:tc>
          <w:tcPr>
            <w:tcW w:w="1383" w:type="dxa"/>
          </w:tcPr>
          <w:p w14:paraId="0F01A379">
            <w:pPr>
              <w:spacing w:after="0" w:line="240" w:lineRule="auto"/>
              <w:jc w:val="center"/>
            </w:pPr>
            <w:r>
              <w:rPr>
                <w:rFonts w:ascii="宋体" w:hAnsi="宋体" w:eastAsia="宋体"/>
                <w:sz w:val="16"/>
              </w:rPr>
              <w:t>33709</w:t>
            </w:r>
          </w:p>
        </w:tc>
        <w:tc>
          <w:tcPr>
            <w:tcW w:w="1383" w:type="dxa"/>
          </w:tcPr>
          <w:p w14:paraId="67D016E4">
            <w:pPr>
              <w:spacing w:after="0" w:line="240" w:lineRule="auto"/>
              <w:jc w:val="center"/>
            </w:pPr>
            <w:r>
              <w:rPr>
                <w:rFonts w:ascii="宋体" w:hAnsi="宋体" w:eastAsia="宋体"/>
                <w:sz w:val="16"/>
              </w:rPr>
              <w:t>90.51%</w:t>
            </w:r>
          </w:p>
        </w:tc>
      </w:tr>
      <w:tr w14:paraId="02E7EE1B">
        <w:trPr>
          <w:jc w:val="center"/>
        </w:trPr>
        <w:tc>
          <w:tcPr>
            <w:tcW w:w="1383" w:type="dxa"/>
          </w:tcPr>
          <w:p w14:paraId="7AC68430">
            <w:pPr>
              <w:spacing w:after="0" w:line="240" w:lineRule="auto"/>
              <w:jc w:val="center"/>
            </w:pPr>
            <w:r>
              <w:rPr>
                <w:rFonts w:ascii="宋体" w:hAnsi="宋体" w:eastAsia="宋体"/>
                <w:sz w:val="16"/>
              </w:rPr>
              <w:t>2013</w:t>
            </w:r>
          </w:p>
        </w:tc>
        <w:tc>
          <w:tcPr>
            <w:tcW w:w="1383" w:type="dxa"/>
          </w:tcPr>
          <w:p w14:paraId="2CC54DAF">
            <w:pPr>
              <w:spacing w:after="0" w:line="240" w:lineRule="auto"/>
              <w:jc w:val="center"/>
            </w:pPr>
            <w:r>
              <w:rPr>
                <w:rFonts w:ascii="宋体" w:hAnsi="宋体" w:eastAsia="宋体"/>
                <w:sz w:val="16"/>
              </w:rPr>
              <w:t>38050</w:t>
            </w:r>
          </w:p>
        </w:tc>
        <w:tc>
          <w:tcPr>
            <w:tcW w:w="1383" w:type="dxa"/>
          </w:tcPr>
          <w:p w14:paraId="278F3482">
            <w:pPr>
              <w:spacing w:after="0" w:line="240" w:lineRule="auto"/>
              <w:jc w:val="center"/>
            </w:pPr>
            <w:r>
              <w:rPr>
                <w:rFonts w:ascii="宋体" w:hAnsi="宋体" w:eastAsia="宋体"/>
                <w:sz w:val="16"/>
              </w:rPr>
              <w:t>3566</w:t>
            </w:r>
          </w:p>
        </w:tc>
        <w:tc>
          <w:tcPr>
            <w:tcW w:w="1383" w:type="dxa"/>
          </w:tcPr>
          <w:p w14:paraId="3131E745">
            <w:pPr>
              <w:spacing w:after="0" w:line="240" w:lineRule="auto"/>
              <w:jc w:val="center"/>
            </w:pPr>
            <w:r>
              <w:rPr>
                <w:rFonts w:ascii="宋体" w:hAnsi="宋体" w:eastAsia="宋体"/>
                <w:sz w:val="16"/>
              </w:rPr>
              <w:t>9.37%</w:t>
            </w:r>
          </w:p>
        </w:tc>
        <w:tc>
          <w:tcPr>
            <w:tcW w:w="1383" w:type="dxa"/>
          </w:tcPr>
          <w:p w14:paraId="2BE74DF8">
            <w:pPr>
              <w:spacing w:after="0" w:line="240" w:lineRule="auto"/>
              <w:jc w:val="center"/>
            </w:pPr>
            <w:r>
              <w:rPr>
                <w:rFonts w:ascii="宋体" w:hAnsi="宋体" w:eastAsia="宋体"/>
                <w:sz w:val="16"/>
              </w:rPr>
              <w:t>34484</w:t>
            </w:r>
          </w:p>
        </w:tc>
        <w:tc>
          <w:tcPr>
            <w:tcW w:w="1383" w:type="dxa"/>
          </w:tcPr>
          <w:p w14:paraId="2F51B54C">
            <w:pPr>
              <w:spacing w:after="0" w:line="240" w:lineRule="auto"/>
              <w:jc w:val="center"/>
            </w:pPr>
            <w:r>
              <w:rPr>
                <w:rFonts w:ascii="宋体" w:hAnsi="宋体" w:eastAsia="宋体"/>
                <w:sz w:val="16"/>
              </w:rPr>
              <w:t>90.63%</w:t>
            </w:r>
          </w:p>
        </w:tc>
      </w:tr>
      <w:tr w14:paraId="047EA896">
        <w:trPr>
          <w:jc w:val="center"/>
        </w:trPr>
        <w:tc>
          <w:tcPr>
            <w:tcW w:w="1383" w:type="dxa"/>
          </w:tcPr>
          <w:p w14:paraId="29803ACA">
            <w:pPr>
              <w:spacing w:after="0" w:line="240" w:lineRule="auto"/>
              <w:jc w:val="center"/>
            </w:pPr>
            <w:r>
              <w:rPr>
                <w:rFonts w:ascii="宋体" w:hAnsi="宋体" w:eastAsia="宋体"/>
                <w:sz w:val="16"/>
              </w:rPr>
              <w:t>2014</w:t>
            </w:r>
          </w:p>
        </w:tc>
        <w:tc>
          <w:tcPr>
            <w:tcW w:w="1383" w:type="dxa"/>
          </w:tcPr>
          <w:p w14:paraId="3D2F263E">
            <w:pPr>
              <w:spacing w:after="0" w:line="240" w:lineRule="auto"/>
              <w:jc w:val="center"/>
            </w:pPr>
            <w:r>
              <w:rPr>
                <w:rFonts w:ascii="宋体" w:hAnsi="宋体" w:eastAsia="宋体"/>
                <w:sz w:val="16"/>
              </w:rPr>
              <w:t>39637</w:t>
            </w:r>
          </w:p>
        </w:tc>
        <w:tc>
          <w:tcPr>
            <w:tcW w:w="1383" w:type="dxa"/>
          </w:tcPr>
          <w:p w14:paraId="0E3558BB">
            <w:pPr>
              <w:spacing w:after="0" w:line="240" w:lineRule="auto"/>
              <w:jc w:val="center"/>
            </w:pPr>
            <w:r>
              <w:rPr>
                <w:rFonts w:ascii="宋体" w:hAnsi="宋体" w:eastAsia="宋体"/>
                <w:sz w:val="16"/>
              </w:rPr>
              <w:t>3500</w:t>
            </w:r>
          </w:p>
        </w:tc>
        <w:tc>
          <w:tcPr>
            <w:tcW w:w="1383" w:type="dxa"/>
          </w:tcPr>
          <w:p w14:paraId="076DDACC">
            <w:pPr>
              <w:spacing w:after="0" w:line="240" w:lineRule="auto"/>
              <w:jc w:val="center"/>
            </w:pPr>
            <w:r>
              <w:rPr>
                <w:rFonts w:ascii="宋体" w:hAnsi="宋体" w:eastAsia="宋体"/>
                <w:sz w:val="16"/>
              </w:rPr>
              <w:t>8.83%</w:t>
            </w:r>
          </w:p>
        </w:tc>
        <w:tc>
          <w:tcPr>
            <w:tcW w:w="1383" w:type="dxa"/>
          </w:tcPr>
          <w:p w14:paraId="771B20FB">
            <w:pPr>
              <w:spacing w:after="0" w:line="240" w:lineRule="auto"/>
              <w:jc w:val="center"/>
            </w:pPr>
            <w:r>
              <w:rPr>
                <w:rFonts w:ascii="宋体" w:hAnsi="宋体" w:eastAsia="宋体"/>
                <w:sz w:val="16"/>
              </w:rPr>
              <w:t>36137</w:t>
            </w:r>
          </w:p>
        </w:tc>
        <w:tc>
          <w:tcPr>
            <w:tcW w:w="1383" w:type="dxa"/>
          </w:tcPr>
          <w:p w14:paraId="0CA1985A">
            <w:pPr>
              <w:spacing w:after="0" w:line="240" w:lineRule="auto"/>
              <w:jc w:val="center"/>
            </w:pPr>
            <w:r>
              <w:rPr>
                <w:rFonts w:ascii="宋体" w:hAnsi="宋体" w:eastAsia="宋体"/>
                <w:sz w:val="16"/>
              </w:rPr>
              <w:t>91.17%</w:t>
            </w:r>
          </w:p>
        </w:tc>
      </w:tr>
      <w:tr w14:paraId="7A804914">
        <w:trPr>
          <w:jc w:val="center"/>
        </w:trPr>
        <w:tc>
          <w:tcPr>
            <w:tcW w:w="1383" w:type="dxa"/>
          </w:tcPr>
          <w:p w14:paraId="5E234492">
            <w:pPr>
              <w:spacing w:after="0" w:line="240" w:lineRule="auto"/>
              <w:jc w:val="center"/>
            </w:pPr>
            <w:r>
              <w:rPr>
                <w:rFonts w:ascii="宋体" w:hAnsi="宋体" w:eastAsia="宋体"/>
                <w:sz w:val="16"/>
              </w:rPr>
              <w:t>2015</w:t>
            </w:r>
          </w:p>
        </w:tc>
        <w:tc>
          <w:tcPr>
            <w:tcW w:w="1383" w:type="dxa"/>
          </w:tcPr>
          <w:p w14:paraId="7609390A">
            <w:pPr>
              <w:spacing w:after="0" w:line="240" w:lineRule="auto"/>
              <w:jc w:val="center"/>
            </w:pPr>
            <w:r>
              <w:rPr>
                <w:rFonts w:ascii="宋体" w:hAnsi="宋体" w:eastAsia="宋体"/>
                <w:sz w:val="16"/>
              </w:rPr>
              <w:t>42317</w:t>
            </w:r>
          </w:p>
        </w:tc>
        <w:tc>
          <w:tcPr>
            <w:tcW w:w="1383" w:type="dxa"/>
          </w:tcPr>
          <w:p w14:paraId="555416A5">
            <w:pPr>
              <w:spacing w:after="0" w:line="240" w:lineRule="auto"/>
              <w:jc w:val="center"/>
            </w:pPr>
            <w:r>
              <w:rPr>
                <w:rFonts w:ascii="宋体" w:hAnsi="宋体" w:eastAsia="宋体"/>
                <w:sz w:val="16"/>
              </w:rPr>
              <w:t>3232</w:t>
            </w:r>
          </w:p>
        </w:tc>
        <w:tc>
          <w:tcPr>
            <w:tcW w:w="1383" w:type="dxa"/>
          </w:tcPr>
          <w:p w14:paraId="136036A2">
            <w:pPr>
              <w:spacing w:after="0" w:line="240" w:lineRule="auto"/>
              <w:jc w:val="center"/>
            </w:pPr>
            <w:r>
              <w:rPr>
                <w:rFonts w:ascii="宋体" w:hAnsi="宋体" w:eastAsia="宋体"/>
                <w:sz w:val="16"/>
              </w:rPr>
              <w:t>7.64%</w:t>
            </w:r>
          </w:p>
        </w:tc>
        <w:tc>
          <w:tcPr>
            <w:tcW w:w="1383" w:type="dxa"/>
          </w:tcPr>
          <w:p w14:paraId="58491224">
            <w:pPr>
              <w:spacing w:after="0" w:line="240" w:lineRule="auto"/>
              <w:jc w:val="center"/>
            </w:pPr>
            <w:r>
              <w:rPr>
                <w:rFonts w:ascii="宋体" w:hAnsi="宋体" w:eastAsia="宋体"/>
                <w:sz w:val="16"/>
              </w:rPr>
              <w:t>39085</w:t>
            </w:r>
          </w:p>
        </w:tc>
        <w:tc>
          <w:tcPr>
            <w:tcW w:w="1383" w:type="dxa"/>
          </w:tcPr>
          <w:p w14:paraId="3CFA2E5D">
            <w:pPr>
              <w:spacing w:after="0" w:line="240" w:lineRule="auto"/>
              <w:jc w:val="center"/>
            </w:pPr>
            <w:r>
              <w:rPr>
                <w:rFonts w:ascii="宋体" w:hAnsi="宋体" w:eastAsia="宋体"/>
                <w:sz w:val="16"/>
              </w:rPr>
              <w:t>92.36%</w:t>
            </w:r>
          </w:p>
        </w:tc>
      </w:tr>
      <w:tr w14:paraId="4E984E5F">
        <w:trPr>
          <w:jc w:val="center"/>
        </w:trPr>
        <w:tc>
          <w:tcPr>
            <w:tcW w:w="1383" w:type="dxa"/>
          </w:tcPr>
          <w:p w14:paraId="3618141E">
            <w:pPr>
              <w:spacing w:after="0" w:line="240" w:lineRule="auto"/>
              <w:jc w:val="center"/>
            </w:pPr>
            <w:r>
              <w:rPr>
                <w:rFonts w:ascii="宋体" w:hAnsi="宋体" w:eastAsia="宋体"/>
                <w:sz w:val="16"/>
              </w:rPr>
              <w:t>2016</w:t>
            </w:r>
          </w:p>
        </w:tc>
        <w:tc>
          <w:tcPr>
            <w:tcW w:w="1383" w:type="dxa"/>
          </w:tcPr>
          <w:p w14:paraId="1A5D3469">
            <w:pPr>
              <w:spacing w:after="0" w:line="240" w:lineRule="auto"/>
              <w:jc w:val="center"/>
            </w:pPr>
            <w:r>
              <w:rPr>
                <w:rFonts w:ascii="宋体" w:hAnsi="宋体" w:eastAsia="宋体"/>
                <w:sz w:val="16"/>
              </w:rPr>
              <w:t>44027</w:t>
            </w:r>
          </w:p>
        </w:tc>
        <w:tc>
          <w:tcPr>
            <w:tcW w:w="1383" w:type="dxa"/>
          </w:tcPr>
          <w:p w14:paraId="6E1F8C9B">
            <w:pPr>
              <w:spacing w:after="0" w:line="240" w:lineRule="auto"/>
              <w:jc w:val="center"/>
            </w:pPr>
            <w:r>
              <w:rPr>
                <w:rFonts w:ascii="宋体" w:hAnsi="宋体" w:eastAsia="宋体"/>
                <w:sz w:val="16"/>
              </w:rPr>
              <w:t>3211</w:t>
            </w:r>
          </w:p>
        </w:tc>
        <w:tc>
          <w:tcPr>
            <w:tcW w:w="1383" w:type="dxa"/>
          </w:tcPr>
          <w:p w14:paraId="3AA7FAF1">
            <w:pPr>
              <w:spacing w:after="0" w:line="240" w:lineRule="auto"/>
              <w:jc w:val="center"/>
            </w:pPr>
            <w:r>
              <w:rPr>
                <w:rFonts w:ascii="宋体" w:hAnsi="宋体" w:eastAsia="宋体"/>
                <w:sz w:val="16"/>
              </w:rPr>
              <w:t>7.29%</w:t>
            </w:r>
          </w:p>
        </w:tc>
        <w:tc>
          <w:tcPr>
            <w:tcW w:w="1383" w:type="dxa"/>
          </w:tcPr>
          <w:p w14:paraId="52EFB9E0">
            <w:pPr>
              <w:spacing w:after="0" w:line="240" w:lineRule="auto"/>
              <w:jc w:val="center"/>
            </w:pPr>
            <w:r>
              <w:rPr>
                <w:rFonts w:ascii="宋体" w:hAnsi="宋体" w:eastAsia="宋体"/>
                <w:sz w:val="16"/>
              </w:rPr>
              <w:t>40816</w:t>
            </w:r>
          </w:p>
        </w:tc>
        <w:tc>
          <w:tcPr>
            <w:tcW w:w="1383" w:type="dxa"/>
          </w:tcPr>
          <w:p w14:paraId="25BFEBE8">
            <w:pPr>
              <w:spacing w:after="0" w:line="240" w:lineRule="auto"/>
              <w:jc w:val="center"/>
            </w:pPr>
            <w:r>
              <w:rPr>
                <w:rFonts w:ascii="宋体" w:hAnsi="宋体" w:eastAsia="宋体"/>
                <w:sz w:val="16"/>
              </w:rPr>
              <w:t>92.71%</w:t>
            </w:r>
          </w:p>
        </w:tc>
      </w:tr>
      <w:tr w14:paraId="5E6F2789">
        <w:trPr>
          <w:jc w:val="center"/>
        </w:trPr>
        <w:tc>
          <w:tcPr>
            <w:tcW w:w="1383" w:type="dxa"/>
          </w:tcPr>
          <w:p w14:paraId="05ED5710">
            <w:pPr>
              <w:spacing w:after="0" w:line="240" w:lineRule="auto"/>
              <w:jc w:val="center"/>
            </w:pPr>
            <w:r>
              <w:rPr>
                <w:rFonts w:ascii="宋体" w:hAnsi="宋体" w:eastAsia="宋体"/>
                <w:sz w:val="16"/>
              </w:rPr>
              <w:t>2017</w:t>
            </w:r>
          </w:p>
        </w:tc>
        <w:tc>
          <w:tcPr>
            <w:tcW w:w="1383" w:type="dxa"/>
          </w:tcPr>
          <w:p w14:paraId="698E2E91">
            <w:pPr>
              <w:spacing w:after="0" w:line="240" w:lineRule="auto"/>
              <w:jc w:val="center"/>
            </w:pPr>
            <w:r>
              <w:rPr>
                <w:rFonts w:ascii="宋体" w:hAnsi="宋体" w:eastAsia="宋体"/>
                <w:sz w:val="16"/>
              </w:rPr>
              <w:t>45829</w:t>
            </w:r>
          </w:p>
        </w:tc>
        <w:tc>
          <w:tcPr>
            <w:tcW w:w="1383" w:type="dxa"/>
          </w:tcPr>
          <w:p w14:paraId="28009AF1">
            <w:pPr>
              <w:spacing w:after="0" w:line="240" w:lineRule="auto"/>
              <w:jc w:val="center"/>
            </w:pPr>
            <w:r>
              <w:rPr>
                <w:rFonts w:ascii="宋体" w:hAnsi="宋体" w:eastAsia="宋体"/>
                <w:sz w:val="16"/>
              </w:rPr>
              <w:t>3242</w:t>
            </w:r>
          </w:p>
        </w:tc>
        <w:tc>
          <w:tcPr>
            <w:tcW w:w="1383" w:type="dxa"/>
          </w:tcPr>
          <w:p w14:paraId="58AABF0C">
            <w:pPr>
              <w:spacing w:after="0" w:line="240" w:lineRule="auto"/>
              <w:jc w:val="center"/>
            </w:pPr>
            <w:r>
              <w:rPr>
                <w:rFonts w:ascii="宋体" w:hAnsi="宋体" w:eastAsia="宋体"/>
                <w:sz w:val="16"/>
              </w:rPr>
              <w:t>7.07%</w:t>
            </w:r>
          </w:p>
        </w:tc>
        <w:tc>
          <w:tcPr>
            <w:tcW w:w="1383" w:type="dxa"/>
          </w:tcPr>
          <w:p w14:paraId="0D2AD6A1">
            <w:pPr>
              <w:spacing w:after="0" w:line="240" w:lineRule="auto"/>
              <w:jc w:val="center"/>
            </w:pPr>
            <w:r>
              <w:rPr>
                <w:rFonts w:ascii="宋体" w:hAnsi="宋体" w:eastAsia="宋体"/>
                <w:sz w:val="16"/>
              </w:rPr>
              <w:t>42587</w:t>
            </w:r>
          </w:p>
        </w:tc>
        <w:tc>
          <w:tcPr>
            <w:tcW w:w="1383" w:type="dxa"/>
          </w:tcPr>
          <w:p w14:paraId="09CD9EE3">
            <w:pPr>
              <w:spacing w:after="0" w:line="240" w:lineRule="auto"/>
              <w:jc w:val="center"/>
            </w:pPr>
            <w:r>
              <w:rPr>
                <w:rFonts w:ascii="宋体" w:hAnsi="宋体" w:eastAsia="宋体"/>
                <w:sz w:val="16"/>
              </w:rPr>
              <w:t>92.93%</w:t>
            </w:r>
          </w:p>
        </w:tc>
      </w:tr>
      <w:tr w14:paraId="27E0247C">
        <w:trPr>
          <w:jc w:val="center"/>
        </w:trPr>
        <w:tc>
          <w:tcPr>
            <w:tcW w:w="1383" w:type="dxa"/>
          </w:tcPr>
          <w:p w14:paraId="7E559D0C">
            <w:pPr>
              <w:spacing w:after="0" w:line="240" w:lineRule="auto"/>
              <w:jc w:val="center"/>
            </w:pPr>
            <w:r>
              <w:rPr>
                <w:rFonts w:ascii="宋体" w:hAnsi="宋体" w:eastAsia="宋体"/>
                <w:sz w:val="16"/>
              </w:rPr>
              <w:t>2018</w:t>
            </w:r>
          </w:p>
        </w:tc>
        <w:tc>
          <w:tcPr>
            <w:tcW w:w="1383" w:type="dxa"/>
          </w:tcPr>
          <w:p w14:paraId="1EE8C2AB">
            <w:pPr>
              <w:spacing w:after="0" w:line="240" w:lineRule="auto"/>
              <w:jc w:val="center"/>
            </w:pPr>
            <w:r>
              <w:rPr>
                <w:rFonts w:ascii="宋体" w:hAnsi="宋体" w:eastAsia="宋体"/>
                <w:sz w:val="16"/>
              </w:rPr>
              <w:t>47923</w:t>
            </w:r>
          </w:p>
        </w:tc>
        <w:tc>
          <w:tcPr>
            <w:tcW w:w="1383" w:type="dxa"/>
          </w:tcPr>
          <w:p w14:paraId="2797BF7E">
            <w:pPr>
              <w:spacing w:after="0" w:line="240" w:lineRule="auto"/>
              <w:jc w:val="center"/>
            </w:pPr>
            <w:r>
              <w:rPr>
                <w:rFonts w:ascii="宋体" w:hAnsi="宋体" w:eastAsia="宋体"/>
                <w:sz w:val="16"/>
              </w:rPr>
              <w:t>3488</w:t>
            </w:r>
          </w:p>
        </w:tc>
        <w:tc>
          <w:tcPr>
            <w:tcW w:w="1383" w:type="dxa"/>
          </w:tcPr>
          <w:p w14:paraId="2C4A10E8">
            <w:pPr>
              <w:spacing w:after="0" w:line="240" w:lineRule="auto"/>
              <w:jc w:val="center"/>
            </w:pPr>
            <w:r>
              <w:rPr>
                <w:rFonts w:ascii="宋体" w:hAnsi="宋体" w:eastAsia="宋体"/>
                <w:sz w:val="16"/>
              </w:rPr>
              <w:t>7.28%</w:t>
            </w:r>
          </w:p>
        </w:tc>
        <w:tc>
          <w:tcPr>
            <w:tcW w:w="1383" w:type="dxa"/>
          </w:tcPr>
          <w:p w14:paraId="3481694C">
            <w:pPr>
              <w:spacing w:after="0" w:line="240" w:lineRule="auto"/>
              <w:jc w:val="center"/>
            </w:pPr>
            <w:r>
              <w:rPr>
                <w:rFonts w:ascii="宋体" w:hAnsi="宋体" w:eastAsia="宋体"/>
                <w:sz w:val="16"/>
              </w:rPr>
              <w:t>44435</w:t>
            </w:r>
          </w:p>
        </w:tc>
        <w:tc>
          <w:tcPr>
            <w:tcW w:w="1383" w:type="dxa"/>
          </w:tcPr>
          <w:p w14:paraId="6126A6CE">
            <w:pPr>
              <w:spacing w:after="0" w:line="240" w:lineRule="auto"/>
              <w:jc w:val="center"/>
            </w:pPr>
            <w:r>
              <w:rPr>
                <w:rFonts w:ascii="宋体" w:hAnsi="宋体" w:eastAsia="宋体"/>
                <w:sz w:val="16"/>
              </w:rPr>
              <w:t>92.72%</w:t>
            </w:r>
          </w:p>
        </w:tc>
      </w:tr>
      <w:tr w14:paraId="668D3043">
        <w:trPr>
          <w:jc w:val="center"/>
        </w:trPr>
        <w:tc>
          <w:tcPr>
            <w:tcW w:w="1383" w:type="dxa"/>
          </w:tcPr>
          <w:p w14:paraId="2063DB40">
            <w:pPr>
              <w:spacing w:after="0" w:line="240" w:lineRule="auto"/>
              <w:jc w:val="center"/>
            </w:pPr>
            <w:r>
              <w:rPr>
                <w:rFonts w:ascii="宋体" w:hAnsi="宋体" w:eastAsia="宋体"/>
                <w:sz w:val="16"/>
              </w:rPr>
              <w:t>2019</w:t>
            </w:r>
          </w:p>
        </w:tc>
        <w:tc>
          <w:tcPr>
            <w:tcW w:w="1383" w:type="dxa"/>
          </w:tcPr>
          <w:p w14:paraId="76FBF379">
            <w:pPr>
              <w:spacing w:after="0" w:line="240" w:lineRule="auto"/>
              <w:jc w:val="center"/>
            </w:pPr>
            <w:r>
              <w:rPr>
                <w:rFonts w:ascii="宋体" w:hAnsi="宋体" w:eastAsia="宋体"/>
                <w:sz w:val="16"/>
              </w:rPr>
              <w:t>50334</w:t>
            </w:r>
          </w:p>
        </w:tc>
        <w:tc>
          <w:tcPr>
            <w:tcW w:w="1383" w:type="dxa"/>
          </w:tcPr>
          <w:p w14:paraId="149DFF3D">
            <w:pPr>
              <w:spacing w:after="0" w:line="240" w:lineRule="auto"/>
              <w:jc w:val="center"/>
            </w:pPr>
            <w:r>
              <w:rPr>
                <w:rFonts w:ascii="宋体" w:hAnsi="宋体" w:eastAsia="宋体"/>
                <w:sz w:val="16"/>
              </w:rPr>
              <w:t>3714</w:t>
            </w:r>
          </w:p>
        </w:tc>
        <w:tc>
          <w:tcPr>
            <w:tcW w:w="1383" w:type="dxa"/>
          </w:tcPr>
          <w:p w14:paraId="72E9D9BB">
            <w:pPr>
              <w:spacing w:after="0" w:line="240" w:lineRule="auto"/>
              <w:jc w:val="center"/>
            </w:pPr>
            <w:r>
              <w:rPr>
                <w:rFonts w:ascii="宋体" w:hAnsi="宋体" w:eastAsia="宋体"/>
                <w:sz w:val="16"/>
              </w:rPr>
              <w:t>7.38%</w:t>
            </w:r>
          </w:p>
        </w:tc>
        <w:tc>
          <w:tcPr>
            <w:tcW w:w="1383" w:type="dxa"/>
          </w:tcPr>
          <w:p w14:paraId="77A422ED">
            <w:pPr>
              <w:spacing w:after="0" w:line="240" w:lineRule="auto"/>
              <w:jc w:val="center"/>
            </w:pPr>
            <w:r>
              <w:rPr>
                <w:rFonts w:ascii="宋体" w:hAnsi="宋体" w:eastAsia="宋体"/>
                <w:sz w:val="16"/>
              </w:rPr>
              <w:t>46620</w:t>
            </w:r>
          </w:p>
        </w:tc>
        <w:tc>
          <w:tcPr>
            <w:tcW w:w="1383" w:type="dxa"/>
          </w:tcPr>
          <w:p w14:paraId="336E464A">
            <w:pPr>
              <w:spacing w:after="0" w:line="240" w:lineRule="auto"/>
              <w:jc w:val="center"/>
            </w:pPr>
            <w:r>
              <w:rPr>
                <w:rFonts w:ascii="宋体" w:hAnsi="宋体" w:eastAsia="宋体"/>
                <w:sz w:val="16"/>
              </w:rPr>
              <w:t>92.62%</w:t>
            </w:r>
          </w:p>
        </w:tc>
      </w:tr>
      <w:tr w14:paraId="33080A12">
        <w:trPr>
          <w:jc w:val="center"/>
        </w:trPr>
        <w:tc>
          <w:tcPr>
            <w:tcW w:w="1383" w:type="dxa"/>
          </w:tcPr>
          <w:p w14:paraId="6AF18C90">
            <w:pPr>
              <w:spacing w:after="0" w:line="240" w:lineRule="auto"/>
              <w:jc w:val="center"/>
            </w:pPr>
            <w:r>
              <w:rPr>
                <w:rFonts w:ascii="宋体" w:hAnsi="宋体" w:eastAsia="宋体"/>
                <w:sz w:val="16"/>
              </w:rPr>
              <w:t>2020</w:t>
            </w:r>
          </w:p>
        </w:tc>
        <w:tc>
          <w:tcPr>
            <w:tcW w:w="1383" w:type="dxa"/>
          </w:tcPr>
          <w:p w14:paraId="43F2184D">
            <w:pPr>
              <w:spacing w:after="0" w:line="240" w:lineRule="auto"/>
              <w:jc w:val="center"/>
            </w:pPr>
            <w:r>
              <w:rPr>
                <w:rFonts w:ascii="宋体" w:hAnsi="宋体" w:eastAsia="宋体"/>
                <w:sz w:val="16"/>
              </w:rPr>
              <w:t>50210</w:t>
            </w:r>
          </w:p>
        </w:tc>
        <w:tc>
          <w:tcPr>
            <w:tcW w:w="1383" w:type="dxa"/>
          </w:tcPr>
          <w:p w14:paraId="2B76D6E5">
            <w:pPr>
              <w:spacing w:after="0" w:line="240" w:lineRule="auto"/>
              <w:jc w:val="center"/>
            </w:pPr>
            <w:r>
              <w:rPr>
                <w:rFonts w:ascii="宋体" w:hAnsi="宋体" w:eastAsia="宋体"/>
                <w:sz w:val="16"/>
              </w:rPr>
              <w:t>3629</w:t>
            </w:r>
          </w:p>
        </w:tc>
        <w:tc>
          <w:tcPr>
            <w:tcW w:w="1383" w:type="dxa"/>
          </w:tcPr>
          <w:p w14:paraId="1589A03C">
            <w:pPr>
              <w:spacing w:after="0" w:line="240" w:lineRule="auto"/>
              <w:jc w:val="center"/>
            </w:pPr>
            <w:r>
              <w:rPr>
                <w:rFonts w:ascii="宋体" w:hAnsi="宋体" w:eastAsia="宋体"/>
                <w:sz w:val="16"/>
              </w:rPr>
              <w:t>7.23%</w:t>
            </w:r>
          </w:p>
        </w:tc>
        <w:tc>
          <w:tcPr>
            <w:tcW w:w="1383" w:type="dxa"/>
          </w:tcPr>
          <w:p w14:paraId="67F615E6">
            <w:pPr>
              <w:spacing w:after="0" w:line="240" w:lineRule="auto"/>
              <w:jc w:val="center"/>
            </w:pPr>
            <w:r>
              <w:rPr>
                <w:rFonts w:ascii="宋体" w:hAnsi="宋体" w:eastAsia="宋体"/>
                <w:sz w:val="16"/>
              </w:rPr>
              <w:t>46581</w:t>
            </w:r>
          </w:p>
        </w:tc>
        <w:tc>
          <w:tcPr>
            <w:tcW w:w="1383" w:type="dxa"/>
          </w:tcPr>
          <w:p w14:paraId="2785EF59">
            <w:pPr>
              <w:spacing w:after="0" w:line="240" w:lineRule="auto"/>
              <w:jc w:val="center"/>
            </w:pPr>
            <w:r>
              <w:rPr>
                <w:rFonts w:ascii="宋体" w:hAnsi="宋体" w:eastAsia="宋体"/>
                <w:sz w:val="16"/>
              </w:rPr>
              <w:t>92.77%</w:t>
            </w:r>
          </w:p>
        </w:tc>
      </w:tr>
      <w:tr w14:paraId="0C04A72E">
        <w:trPr>
          <w:jc w:val="center"/>
        </w:trPr>
        <w:tc>
          <w:tcPr>
            <w:tcW w:w="1383" w:type="dxa"/>
          </w:tcPr>
          <w:p w14:paraId="250BDD1F">
            <w:pPr>
              <w:spacing w:after="0" w:line="240" w:lineRule="auto"/>
              <w:jc w:val="center"/>
            </w:pPr>
            <w:r>
              <w:rPr>
                <w:rFonts w:ascii="宋体" w:hAnsi="宋体" w:eastAsia="宋体"/>
                <w:sz w:val="16"/>
              </w:rPr>
              <w:t>2021</w:t>
            </w:r>
          </w:p>
        </w:tc>
        <w:tc>
          <w:tcPr>
            <w:tcW w:w="1383" w:type="dxa"/>
          </w:tcPr>
          <w:p w14:paraId="0C970ED8">
            <w:pPr>
              <w:spacing w:after="0" w:line="240" w:lineRule="auto"/>
              <w:jc w:val="center"/>
            </w:pPr>
            <w:r>
              <w:rPr>
                <w:rFonts w:ascii="宋体" w:hAnsi="宋体" w:eastAsia="宋体"/>
                <w:sz w:val="16"/>
              </w:rPr>
              <w:t>54649</w:t>
            </w:r>
          </w:p>
        </w:tc>
        <w:tc>
          <w:tcPr>
            <w:tcW w:w="1383" w:type="dxa"/>
          </w:tcPr>
          <w:p w14:paraId="6CB779A8">
            <w:pPr>
              <w:spacing w:after="0" w:line="240" w:lineRule="auto"/>
              <w:jc w:val="center"/>
            </w:pPr>
            <w:r>
              <w:rPr>
                <w:rFonts w:ascii="宋体" w:hAnsi="宋体" w:eastAsia="宋体"/>
                <w:sz w:val="16"/>
              </w:rPr>
              <w:t>4078</w:t>
            </w:r>
          </w:p>
        </w:tc>
        <w:tc>
          <w:tcPr>
            <w:tcW w:w="1383" w:type="dxa"/>
          </w:tcPr>
          <w:p w14:paraId="0FDC417B">
            <w:pPr>
              <w:spacing w:after="0" w:line="240" w:lineRule="auto"/>
              <w:jc w:val="center"/>
            </w:pPr>
            <w:r>
              <w:rPr>
                <w:rFonts w:ascii="宋体" w:hAnsi="宋体" w:eastAsia="宋体"/>
                <w:sz w:val="16"/>
              </w:rPr>
              <w:t>7.46%</w:t>
            </w:r>
          </w:p>
        </w:tc>
        <w:tc>
          <w:tcPr>
            <w:tcW w:w="1383" w:type="dxa"/>
          </w:tcPr>
          <w:p w14:paraId="3E0B1578">
            <w:pPr>
              <w:spacing w:after="0" w:line="240" w:lineRule="auto"/>
              <w:jc w:val="center"/>
            </w:pPr>
            <w:r>
              <w:rPr>
                <w:rFonts w:ascii="宋体" w:hAnsi="宋体" w:eastAsia="宋体"/>
                <w:sz w:val="16"/>
              </w:rPr>
              <w:t>50571</w:t>
            </w:r>
          </w:p>
        </w:tc>
        <w:tc>
          <w:tcPr>
            <w:tcW w:w="1383" w:type="dxa"/>
          </w:tcPr>
          <w:p w14:paraId="64D3A820">
            <w:pPr>
              <w:spacing w:after="0" w:line="240" w:lineRule="auto"/>
              <w:jc w:val="center"/>
            </w:pPr>
            <w:r>
              <w:rPr>
                <w:rFonts w:ascii="宋体" w:hAnsi="宋体" w:eastAsia="宋体"/>
                <w:sz w:val="16"/>
              </w:rPr>
              <w:t>92.54%</w:t>
            </w:r>
          </w:p>
        </w:tc>
      </w:tr>
      <w:tr w14:paraId="203AED45">
        <w:trPr>
          <w:jc w:val="center"/>
        </w:trPr>
        <w:tc>
          <w:tcPr>
            <w:tcW w:w="1383" w:type="dxa"/>
          </w:tcPr>
          <w:p w14:paraId="441E02A8">
            <w:pPr>
              <w:spacing w:after="0" w:line="240" w:lineRule="auto"/>
              <w:jc w:val="center"/>
            </w:pPr>
            <w:r>
              <w:rPr>
                <w:rFonts w:ascii="宋体" w:hAnsi="宋体" w:eastAsia="宋体"/>
                <w:sz w:val="16"/>
              </w:rPr>
              <w:t>2022</w:t>
            </w:r>
          </w:p>
        </w:tc>
        <w:tc>
          <w:tcPr>
            <w:tcW w:w="1383" w:type="dxa"/>
          </w:tcPr>
          <w:p w14:paraId="55333330">
            <w:pPr>
              <w:spacing w:after="0" w:line="240" w:lineRule="auto"/>
              <w:jc w:val="center"/>
            </w:pPr>
            <w:r>
              <w:rPr>
                <w:rFonts w:ascii="宋体" w:hAnsi="宋体" w:eastAsia="宋体"/>
                <w:sz w:val="16"/>
              </w:rPr>
              <w:t>58652</w:t>
            </w:r>
          </w:p>
        </w:tc>
        <w:tc>
          <w:tcPr>
            <w:tcW w:w="1383" w:type="dxa"/>
          </w:tcPr>
          <w:p w14:paraId="706B75A5">
            <w:pPr>
              <w:spacing w:after="0" w:line="240" w:lineRule="auto"/>
              <w:jc w:val="center"/>
            </w:pPr>
            <w:r>
              <w:rPr>
                <w:rFonts w:ascii="宋体" w:hAnsi="宋体" w:eastAsia="宋体"/>
                <w:sz w:val="16"/>
              </w:rPr>
              <w:t>4762</w:t>
            </w:r>
          </w:p>
        </w:tc>
        <w:tc>
          <w:tcPr>
            <w:tcW w:w="1383" w:type="dxa"/>
          </w:tcPr>
          <w:p w14:paraId="2A50BD8F">
            <w:pPr>
              <w:spacing w:after="0" w:line="240" w:lineRule="auto"/>
              <w:jc w:val="center"/>
            </w:pPr>
            <w:r>
              <w:rPr>
                <w:rFonts w:ascii="宋体" w:hAnsi="宋体" w:eastAsia="宋体"/>
                <w:sz w:val="16"/>
              </w:rPr>
              <w:t>8.12%</w:t>
            </w:r>
          </w:p>
        </w:tc>
        <w:tc>
          <w:tcPr>
            <w:tcW w:w="1383" w:type="dxa"/>
          </w:tcPr>
          <w:p w14:paraId="76C679B4">
            <w:pPr>
              <w:spacing w:after="0" w:line="240" w:lineRule="auto"/>
              <w:jc w:val="center"/>
            </w:pPr>
            <w:r>
              <w:rPr>
                <w:rFonts w:ascii="宋体" w:hAnsi="宋体" w:eastAsia="宋体"/>
                <w:sz w:val="16"/>
              </w:rPr>
              <w:t>53890</w:t>
            </w:r>
          </w:p>
        </w:tc>
        <w:tc>
          <w:tcPr>
            <w:tcW w:w="1383" w:type="dxa"/>
          </w:tcPr>
          <w:p w14:paraId="41A5CEDF">
            <w:pPr>
              <w:spacing w:after="0" w:line="240" w:lineRule="auto"/>
              <w:jc w:val="center"/>
            </w:pPr>
            <w:r>
              <w:rPr>
                <w:rFonts w:ascii="宋体" w:hAnsi="宋体" w:eastAsia="宋体"/>
                <w:sz w:val="16"/>
              </w:rPr>
              <w:t>91.88%</w:t>
            </w:r>
          </w:p>
        </w:tc>
      </w:tr>
    </w:tbl>
    <w:p w14:paraId="64C42CCB">
      <w:pPr>
        <w:spacing w:after="40"/>
      </w:pPr>
    </w:p>
    <w:p w14:paraId="0F21EDF2">
      <w:pPr>
        <w:spacing w:before="0" w:after="0" w:line="360" w:lineRule="auto"/>
        <w:ind w:firstLine="420"/>
      </w:pPr>
      <w:r>
        <w:rPr>
          <w:rFonts w:ascii="宋体" w:hAnsi="宋体" w:eastAsia="宋体"/>
          <w:b w:val="0"/>
          <w:sz w:val="21"/>
        </w:rPr>
        <w:t>其三，瑞典私人资本逐步发展为国际垄断资本。瑞典从私人资本的积累与扩张，到国家对资本的干预与整合，并以私人资本高度集中与跨国化为特征，由国家垄断资本逐步跨向国际垄断资本。瑞典的经济增长在很大程度上依赖于国际市场，第二次世界大战后，瑞典工业生产的出口额占国民生产总值的35%。[51]凭借其独特的地理位置，瑞典成为波罗的海和北欧地区的关键枢纽，南接东欧和西欧。在这些辐射地区最具竞争力的20家创新企业中，有12家来自瑞典。同时，瑞典还拥有最多的美国专利，并吸收了波罗的海地区约半数的外国直接投资。</w:t>
      </w:r>
    </w:p>
    <w:p w14:paraId="1C1E74F1">
      <w:pPr>
        <w:spacing w:before="0" w:after="0" w:line="360" w:lineRule="auto"/>
        <w:ind w:firstLine="420"/>
      </w:pPr>
      <w:r>
        <w:rPr>
          <w:rFonts w:ascii="宋体" w:hAnsi="宋体" w:eastAsia="宋体"/>
          <w:b w:val="0"/>
          <w:sz w:val="21"/>
        </w:rPr>
        <w:t>2021年，瑞典跨国公司在国外的直接投资收益总计约4060亿克朗，较2020年增加了1020亿克朗。这些收益主要来自金属制造和机械产品制造行业，对瑞典的经济和税收贡献显著。[52]2022年，瑞典共有4423家集团拥有国外子公司，总营业额为90720亿克朗。其中，国外子公司的营业额为54130亿克朗，本土营业额为36590亿克朗。从国际市场份额来看，瑞典全球出口市场占比从1970年的2.18%下降至2023年的1.04%，在中美英法日韩德瑞等8个国家的国际市场总额对比中，瑞典处于2.5%～4%的浮动区间。[53]从国内角度分析，出口总额占国内生产总值从1995年的35.9%上升至2022年的55%。[54]这一比例在全球范围内处于较高水平，显示出瑞典经济的外向型特征。2024年，瑞典对外贸易主要依靠车辆、工业机械、电子电信、医药等，出口合计占比为39.5%。[55]据瑞典统计局数据，近年来瑞典的货物贸易额约占GDP的60%，其中外贸企业占货物贸易额的一半。[56]由此不难得出，在瑞典国内外资本市场中，私人企业占据了90%的市场份额，其中外贸企业占据了约30%。通过出口，瑞典不仅获得了大量外汇收入，还扩大了国内生产规模，推动了技术进步和产业升级。以爱立信为例，2024年，其净销售额达到了247880百万瑞典克朗，其中约53.8%来自国际市场。[57]可见，瑞典的私人资本不仅占据国内市场，还在国际市场上形成了广泛的投资网络并演变成国际垄断资本。</w:t>
      </w:r>
    </w:p>
    <w:p w14:paraId="084AA39D">
      <w:pPr>
        <w:spacing w:before="160" w:after="80" w:line="360" w:lineRule="auto"/>
      </w:pPr>
      <w:r>
        <w:rPr>
          <w:rFonts w:ascii="黑体" w:hAnsi="黑体" w:eastAsia="黑体"/>
          <w:b/>
          <w:sz w:val="24"/>
        </w:rPr>
        <w:t>2. 分配结构及其变动</w:t>
      </w:r>
    </w:p>
    <w:p w14:paraId="6A760DE2">
      <w:pPr>
        <w:spacing w:before="0" w:after="0" w:line="360" w:lineRule="auto"/>
        <w:ind w:firstLine="420"/>
      </w:pPr>
      <w:r>
        <w:rPr>
          <w:rFonts w:ascii="宋体" w:hAnsi="宋体" w:eastAsia="宋体"/>
          <w:b w:val="0"/>
          <w:sz w:val="21"/>
        </w:rPr>
        <w:t>瑞典构建了一个从初次分配（周期性谈判制度与"团结工资政策"）到再分配（政府转移支付与税制调节支撑的高税收、高福利体系），再到劳动力发展（人力资本投资、创新人才培育与研发投入）的完整循环，为实现效率与公平的动态平衡，提供了分配制度体系及其激励模式。瑞典福利制度以稳健的劳动力市场政策和成熟的劳资谈判机制作为基础，以转移支付和高额税收制度作为主要构成，以人力资本发展作为动力引擎。</w:t>
      </w:r>
    </w:p>
    <w:p w14:paraId="00D9BCE4">
      <w:pPr>
        <w:spacing w:before="0" w:after="0" w:line="360" w:lineRule="auto"/>
        <w:ind w:firstLine="420"/>
      </w:pPr>
      <w:r>
        <w:rPr>
          <w:rFonts w:ascii="宋体" w:hAnsi="宋体" w:eastAsia="宋体"/>
          <w:b w:val="0"/>
          <w:sz w:val="21"/>
        </w:rPr>
        <w:t>（1）企业分配：初次分配及其变动</w:t>
      </w:r>
    </w:p>
    <w:p w14:paraId="7773D788">
      <w:pPr>
        <w:spacing w:before="0" w:after="0" w:line="360" w:lineRule="auto"/>
        <w:ind w:firstLine="420"/>
      </w:pPr>
      <w:r>
        <w:rPr>
          <w:rFonts w:ascii="宋体" w:hAnsi="宋体" w:eastAsia="宋体"/>
          <w:b w:val="0"/>
          <w:sz w:val="21"/>
        </w:rPr>
        <w:t>第二次世界大战后，世界社会主义浪潮逐渐扩散到了欧洲。为稳定国内局势、振兴经济，瑞典于1938年由工会联合会与雇主联合会共同签署《萨尔茨耶巴登协定》。这份协议在瑞典历史上奠定了劳资合作的基本框架，标志着瑞典劳资合作之先河，由此逐步发展成为较为成熟的劳资合作体系，实现了工资较为均等化、国内政治环境稳定以及经济持续增长的目标。首先，以立法形式为集体谈判制度保驾护航。1928年，《集体协商与劳动法庭法》颁布，该法一方面促进了集体谈判的制度化与程序化，另一方面划清了合法权利与非法斗争的界限，并设立了劳资纠纷法庭。[58]此外，工会联合会与雇主联合会定期谈判并签订工资及劳动保障协议，[16]政府在必要情况下介入协调双方利益。其次，实行团结工资政策，确保经济不平等最小化。该政策的核心理念是"同工同酬"，即在相同岗位上工作的劳动者，无论所在企业的生产效率和盈利能力如何，工资水平都应相对一致。这一政策推动了国民收入均等化、平等化，破除区域、工种、性别、年龄等差异。最后，实行工资决定制度，确保行业工资均等化。工资决定制度的核心是通过集体谈判决定各行业和企业及其不同岗位的工资水平。1997年，瑞典工业部牵头与雇主联合会、工会联合会共同签署《工业协议规范》（Industrial Agreement Norm），规定工业部门每三年进行集体协商以设定整体工资标准及工资增长幅度。由此，依靠立法团结工资政策与工资决定制度，瑞典的工资差距保持在较低水平，具体表现为"从不同职业看收入差距较小、从不同部门看收入差距较小、从不同性别看收入差距较小、从不同地区看收入差距较小"[59]。</w:t>
      </w:r>
    </w:p>
    <w:p w14:paraId="147F00EC">
      <w:pPr>
        <w:spacing w:before="0" w:after="0" w:line="360" w:lineRule="auto"/>
        <w:ind w:firstLine="420"/>
      </w:pPr>
      <w:r>
        <w:rPr>
          <w:rFonts w:ascii="宋体" w:hAnsi="宋体" w:eastAsia="宋体"/>
          <w:b w:val="0"/>
          <w:sz w:val="21"/>
        </w:rPr>
        <w:t>从初次分配看，依据《萨尔茨耶巴登协定》，按照工资增长幅度应控制在企业能够承受而不损害其竞争力的范围内的原则分配企业利润。1950年，瑞典工资份额占比约为60%，1978年达到76%，[60]1980～2023年，企业利润份额呈上升趋势，工资份额回落至1950年水平，发展趋势转向有利于资本所有者。1993～2023年，瑞典企业经济增加值中，以工资及社会保障缴费的形式归属于劳动者的工资份额在60.20%～68%范围内波动；另一部分归企业主及股东所有，扣除折旧份额后，在12.41%～25.08%范围内波动，其中，2023年为15.20%。[61]（见图2）</w:t>
      </w:r>
    </w:p>
    <w:p w14:paraId="23816331">
      <w:pPr>
        <w:spacing w:before="0" w:after="0" w:line="360" w:lineRule="auto"/>
        <w:ind w:firstLine="420"/>
      </w:pPr>
      <w:r>
        <w:rPr>
          <w:rFonts w:ascii="宋体" w:hAnsi="宋体" w:eastAsia="宋体"/>
          <w:b w:val="0"/>
          <w:sz w:val="21"/>
        </w:rPr>
        <w:t>瑞典企业为雇员提供两类社会保障缴费项目：一类为法定雇主缴费，由国家强制征收，用于社会保障系统（如养老金、医疗保险等）；另一类为协议性社会保障缴费，通过集体谈判来确定补充福利费用（从1976年起基本维持在约5%的比例）。企业社会保障支出水平从1960年到20世纪70年代大幅上升，由1960年的3.4%上升至1977年的37.1%。至1991年达到44.3%最高峰后，即使在协议性社会保障补充下，仍呈现下降趋势，近5年稳定在37%左右。[62]（见图3）</w:t>
      </w:r>
    </w:p>
    <w:p w14:paraId="663C1311">
      <w:pPr>
        <w:spacing w:before="0" w:after="0" w:line="360" w:lineRule="auto"/>
        <w:ind w:firstLine="420"/>
      </w:pPr>
      <w:r>
        <w:rPr>
          <w:rFonts w:ascii="宋体" w:hAnsi="宋体" w:eastAsia="宋体"/>
          <w:b w:val="0"/>
          <w:sz w:val="21"/>
        </w:rPr>
        <w:t>（2）国家分配：再分配及其变动</w:t>
      </w:r>
    </w:p>
    <w:p w14:paraId="7E095CEA">
      <w:pPr>
        <w:spacing w:before="0" w:after="0" w:line="360" w:lineRule="auto"/>
        <w:ind w:firstLine="420"/>
      </w:pPr>
      <w:r>
        <w:rPr>
          <w:rFonts w:ascii="宋体" w:hAnsi="宋体" w:eastAsia="宋体"/>
          <w:b w:val="0"/>
          <w:sz w:val="21"/>
        </w:rPr>
        <w:t>福利体系是对国民收入进行再分配的一种形式，由社会保险、社会救济和社会服务三个主要方面构成，并以转移支付方式实现。社会福利体系可以分为两大类，第一类是社会福利，是指政府为了改善全民福祉和经济平等而制定的政策，涵盖免费教育、公共住房等公共支持，且这些支持不完全依赖于保险；第二类是社会保障体系，包括为应对疾病、失业、残疾和老龄等情况的人们提供经济支持，基于工作历史和社会保险记录来确保国民享有权利。不同部分的福利保障支持与多类别的福利保障支出项目构成了瑞典福利保障体系的主体。</w:t>
      </w:r>
    </w:p>
    <w:p w14:paraId="24643453">
      <w:pPr>
        <w:spacing w:before="0" w:after="0" w:line="360" w:lineRule="auto"/>
        <w:jc w:val="center"/>
      </w:pPr>
      <w:r>
        <w:rPr>
          <w:rFonts w:ascii="宋体" w:hAnsi="宋体" w:eastAsia="宋体"/>
          <w:b/>
          <w:sz w:val="18"/>
        </w:rPr>
        <w:t>表3  2025年中央政府预算支出（十亿克朗）</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7"/>
        <w:gridCol w:w="2767"/>
        <w:gridCol w:w="2767"/>
      </w:tblGrid>
      <w:tr w14:paraId="35C3CA82">
        <w:trPr>
          <w:jc w:val="center"/>
        </w:trPr>
        <w:tc>
          <w:tcPr>
            <w:tcW w:w="2767" w:type="dxa"/>
          </w:tcPr>
          <w:p w14:paraId="3ECA2983">
            <w:pPr>
              <w:spacing w:after="0" w:line="240" w:lineRule="auto"/>
              <w:jc w:val="center"/>
            </w:pPr>
            <w:r>
              <w:rPr>
                <w:rFonts w:ascii="宋体" w:hAnsi="宋体" w:eastAsia="宋体"/>
                <w:b/>
                <w:sz w:val="16"/>
              </w:rPr>
              <w:t>支出项目</w:t>
            </w:r>
          </w:p>
        </w:tc>
        <w:tc>
          <w:tcPr>
            <w:tcW w:w="2767" w:type="dxa"/>
          </w:tcPr>
          <w:p w14:paraId="1E83E54B">
            <w:pPr>
              <w:spacing w:after="0" w:line="240" w:lineRule="auto"/>
              <w:jc w:val="center"/>
            </w:pPr>
            <w:r>
              <w:rPr>
                <w:rFonts w:ascii="宋体" w:hAnsi="宋体" w:eastAsia="宋体"/>
                <w:b/>
                <w:sz w:val="16"/>
              </w:rPr>
              <w:t>支出金额</w:t>
            </w:r>
          </w:p>
        </w:tc>
        <w:tc>
          <w:tcPr>
            <w:tcW w:w="2767" w:type="dxa"/>
          </w:tcPr>
          <w:p w14:paraId="27EB6BC9">
            <w:pPr>
              <w:spacing w:after="0" w:line="240" w:lineRule="auto"/>
              <w:jc w:val="center"/>
            </w:pPr>
            <w:r>
              <w:rPr>
                <w:rFonts w:ascii="宋体" w:hAnsi="宋体" w:eastAsia="宋体"/>
                <w:b/>
                <w:sz w:val="16"/>
              </w:rPr>
              <w:t>占总支出比例</w:t>
            </w:r>
          </w:p>
        </w:tc>
      </w:tr>
      <w:tr w14:paraId="6BA77B1D">
        <w:trPr>
          <w:jc w:val="center"/>
        </w:trPr>
        <w:tc>
          <w:tcPr>
            <w:tcW w:w="2767" w:type="dxa"/>
          </w:tcPr>
          <w:p w14:paraId="4417A6EC">
            <w:pPr>
              <w:spacing w:after="0" w:line="240" w:lineRule="auto"/>
              <w:jc w:val="center"/>
            </w:pPr>
            <w:r>
              <w:rPr>
                <w:rFonts w:ascii="宋体" w:hAnsi="宋体" w:eastAsia="宋体"/>
                <w:sz w:val="16"/>
              </w:rPr>
              <w:t>医疗卫生、医疗服务与社会服务</w:t>
            </w:r>
          </w:p>
        </w:tc>
        <w:tc>
          <w:tcPr>
            <w:tcW w:w="2767" w:type="dxa"/>
          </w:tcPr>
          <w:p w14:paraId="4262F4EE">
            <w:pPr>
              <w:spacing w:after="0" w:line="240" w:lineRule="auto"/>
              <w:jc w:val="center"/>
            </w:pPr>
            <w:r>
              <w:rPr>
                <w:rFonts w:ascii="宋体" w:hAnsi="宋体" w:eastAsia="宋体"/>
                <w:sz w:val="16"/>
              </w:rPr>
              <w:t>118</w:t>
            </w:r>
          </w:p>
        </w:tc>
        <w:tc>
          <w:tcPr>
            <w:tcW w:w="2767" w:type="dxa"/>
          </w:tcPr>
          <w:p w14:paraId="6391511F">
            <w:pPr>
              <w:spacing w:after="0" w:line="240" w:lineRule="auto"/>
              <w:jc w:val="center"/>
            </w:pPr>
            <w:r>
              <w:rPr>
                <w:rFonts w:ascii="宋体" w:hAnsi="宋体" w:eastAsia="宋体"/>
                <w:sz w:val="16"/>
              </w:rPr>
              <w:t>8.28%</w:t>
            </w:r>
          </w:p>
        </w:tc>
      </w:tr>
      <w:tr w14:paraId="5A526B8D">
        <w:trPr>
          <w:jc w:val="center"/>
        </w:trPr>
        <w:tc>
          <w:tcPr>
            <w:tcW w:w="2767" w:type="dxa"/>
          </w:tcPr>
          <w:p w14:paraId="256D296A">
            <w:pPr>
              <w:spacing w:after="0" w:line="240" w:lineRule="auto"/>
              <w:jc w:val="center"/>
            </w:pPr>
            <w:r>
              <w:rPr>
                <w:rFonts w:ascii="宋体" w:hAnsi="宋体" w:eastAsia="宋体"/>
                <w:sz w:val="16"/>
              </w:rPr>
              <w:t>疾病与残疾者经济保障</w:t>
            </w:r>
          </w:p>
        </w:tc>
        <w:tc>
          <w:tcPr>
            <w:tcW w:w="2767" w:type="dxa"/>
          </w:tcPr>
          <w:p w14:paraId="6AEF2622">
            <w:pPr>
              <w:spacing w:after="0" w:line="240" w:lineRule="auto"/>
              <w:jc w:val="center"/>
            </w:pPr>
            <w:r>
              <w:rPr>
                <w:rFonts w:ascii="宋体" w:hAnsi="宋体" w:eastAsia="宋体"/>
                <w:sz w:val="16"/>
              </w:rPr>
              <w:t>121</w:t>
            </w:r>
          </w:p>
        </w:tc>
        <w:tc>
          <w:tcPr>
            <w:tcW w:w="2767" w:type="dxa"/>
          </w:tcPr>
          <w:p w14:paraId="340CC802">
            <w:pPr>
              <w:spacing w:after="0" w:line="240" w:lineRule="auto"/>
              <w:jc w:val="center"/>
            </w:pPr>
            <w:r>
              <w:rPr>
                <w:rFonts w:ascii="宋体" w:hAnsi="宋体" w:eastAsia="宋体"/>
                <w:sz w:val="16"/>
              </w:rPr>
              <w:t>8.49%</w:t>
            </w:r>
          </w:p>
        </w:tc>
      </w:tr>
      <w:tr w14:paraId="7D4F918E">
        <w:trPr>
          <w:jc w:val="center"/>
        </w:trPr>
        <w:tc>
          <w:tcPr>
            <w:tcW w:w="2767" w:type="dxa"/>
          </w:tcPr>
          <w:p w14:paraId="2D6355BC">
            <w:pPr>
              <w:spacing w:after="0" w:line="240" w:lineRule="auto"/>
              <w:jc w:val="center"/>
            </w:pPr>
            <w:r>
              <w:rPr>
                <w:rFonts w:ascii="宋体" w:hAnsi="宋体" w:eastAsia="宋体"/>
                <w:sz w:val="16"/>
              </w:rPr>
              <w:t>老年人的经济保障</w:t>
            </w:r>
          </w:p>
        </w:tc>
        <w:tc>
          <w:tcPr>
            <w:tcW w:w="2767" w:type="dxa"/>
          </w:tcPr>
          <w:p w14:paraId="47F7865E">
            <w:pPr>
              <w:spacing w:after="0" w:line="240" w:lineRule="auto"/>
              <w:jc w:val="center"/>
            </w:pPr>
            <w:r>
              <w:rPr>
                <w:rFonts w:ascii="宋体" w:hAnsi="宋体" w:eastAsia="宋体"/>
                <w:sz w:val="16"/>
              </w:rPr>
              <w:t>62</w:t>
            </w:r>
          </w:p>
        </w:tc>
        <w:tc>
          <w:tcPr>
            <w:tcW w:w="2767" w:type="dxa"/>
          </w:tcPr>
          <w:p w14:paraId="42B5D4FA">
            <w:pPr>
              <w:spacing w:after="0" w:line="240" w:lineRule="auto"/>
              <w:jc w:val="center"/>
            </w:pPr>
            <w:r>
              <w:rPr>
                <w:rFonts w:ascii="宋体" w:hAnsi="宋体" w:eastAsia="宋体"/>
                <w:sz w:val="16"/>
              </w:rPr>
              <w:t>4.35%</w:t>
            </w:r>
          </w:p>
        </w:tc>
      </w:tr>
      <w:tr w14:paraId="6F244265">
        <w:trPr>
          <w:jc w:val="center"/>
        </w:trPr>
        <w:tc>
          <w:tcPr>
            <w:tcW w:w="2767" w:type="dxa"/>
          </w:tcPr>
          <w:p w14:paraId="2D62563C">
            <w:pPr>
              <w:spacing w:after="0" w:line="240" w:lineRule="auto"/>
              <w:jc w:val="center"/>
            </w:pPr>
            <w:r>
              <w:rPr>
                <w:rFonts w:ascii="宋体" w:hAnsi="宋体" w:eastAsia="宋体"/>
                <w:sz w:val="16"/>
              </w:rPr>
              <w:t>家庭和儿童的经济保障</w:t>
            </w:r>
          </w:p>
        </w:tc>
        <w:tc>
          <w:tcPr>
            <w:tcW w:w="2767" w:type="dxa"/>
          </w:tcPr>
          <w:p w14:paraId="7DA27C90">
            <w:pPr>
              <w:spacing w:after="0" w:line="240" w:lineRule="auto"/>
              <w:jc w:val="center"/>
            </w:pPr>
            <w:r>
              <w:rPr>
                <w:rFonts w:ascii="宋体" w:hAnsi="宋体" w:eastAsia="宋体"/>
                <w:sz w:val="16"/>
              </w:rPr>
              <w:t>101</w:t>
            </w:r>
          </w:p>
        </w:tc>
        <w:tc>
          <w:tcPr>
            <w:tcW w:w="2767" w:type="dxa"/>
          </w:tcPr>
          <w:p w14:paraId="5A479395">
            <w:pPr>
              <w:spacing w:after="0" w:line="240" w:lineRule="auto"/>
              <w:jc w:val="center"/>
            </w:pPr>
            <w:r>
              <w:rPr>
                <w:rFonts w:ascii="宋体" w:hAnsi="宋体" w:eastAsia="宋体"/>
                <w:sz w:val="16"/>
              </w:rPr>
              <w:t>7.09%</w:t>
            </w:r>
          </w:p>
        </w:tc>
      </w:tr>
      <w:tr w14:paraId="66A6E0E9">
        <w:trPr>
          <w:jc w:val="center"/>
        </w:trPr>
        <w:tc>
          <w:tcPr>
            <w:tcW w:w="2767" w:type="dxa"/>
          </w:tcPr>
          <w:p w14:paraId="704F4095">
            <w:pPr>
              <w:spacing w:after="0" w:line="240" w:lineRule="auto"/>
              <w:jc w:val="center"/>
            </w:pPr>
            <w:r>
              <w:rPr>
                <w:rFonts w:ascii="宋体" w:hAnsi="宋体" w:eastAsia="宋体"/>
                <w:sz w:val="16"/>
              </w:rPr>
              <w:t>劳动力市场和工作生活</w:t>
            </w:r>
          </w:p>
        </w:tc>
        <w:tc>
          <w:tcPr>
            <w:tcW w:w="2767" w:type="dxa"/>
          </w:tcPr>
          <w:p w14:paraId="5227CCD3">
            <w:pPr>
              <w:spacing w:after="0" w:line="240" w:lineRule="auto"/>
              <w:jc w:val="center"/>
            </w:pPr>
            <w:r>
              <w:rPr>
                <w:rFonts w:ascii="宋体" w:hAnsi="宋体" w:eastAsia="宋体"/>
                <w:sz w:val="16"/>
              </w:rPr>
              <w:t>93</w:t>
            </w:r>
          </w:p>
        </w:tc>
        <w:tc>
          <w:tcPr>
            <w:tcW w:w="2767" w:type="dxa"/>
          </w:tcPr>
          <w:p w14:paraId="16D2B7B9">
            <w:pPr>
              <w:spacing w:after="0" w:line="240" w:lineRule="auto"/>
              <w:jc w:val="center"/>
            </w:pPr>
            <w:r>
              <w:rPr>
                <w:rFonts w:ascii="宋体" w:hAnsi="宋体" w:eastAsia="宋体"/>
                <w:sz w:val="16"/>
              </w:rPr>
              <w:t>6.53%</w:t>
            </w:r>
          </w:p>
        </w:tc>
      </w:tr>
      <w:tr w14:paraId="3CE9D153">
        <w:trPr>
          <w:jc w:val="center"/>
        </w:trPr>
        <w:tc>
          <w:tcPr>
            <w:tcW w:w="2767" w:type="dxa"/>
          </w:tcPr>
          <w:p w14:paraId="6F99DFA4">
            <w:pPr>
              <w:spacing w:after="0" w:line="240" w:lineRule="auto"/>
              <w:jc w:val="center"/>
            </w:pPr>
            <w:r>
              <w:rPr>
                <w:rFonts w:ascii="宋体" w:hAnsi="宋体" w:eastAsia="宋体"/>
                <w:sz w:val="16"/>
              </w:rPr>
              <w:t>学生经济资助</w:t>
            </w:r>
          </w:p>
        </w:tc>
        <w:tc>
          <w:tcPr>
            <w:tcW w:w="2767" w:type="dxa"/>
          </w:tcPr>
          <w:p w14:paraId="22B5D58A">
            <w:pPr>
              <w:spacing w:after="0" w:line="240" w:lineRule="auto"/>
              <w:jc w:val="center"/>
            </w:pPr>
            <w:r>
              <w:rPr>
                <w:rFonts w:ascii="宋体" w:hAnsi="宋体" w:eastAsia="宋体"/>
                <w:sz w:val="16"/>
              </w:rPr>
              <w:t>31</w:t>
            </w:r>
          </w:p>
        </w:tc>
        <w:tc>
          <w:tcPr>
            <w:tcW w:w="2767" w:type="dxa"/>
          </w:tcPr>
          <w:p w14:paraId="04A2DC1B">
            <w:pPr>
              <w:spacing w:after="0" w:line="240" w:lineRule="auto"/>
              <w:jc w:val="center"/>
            </w:pPr>
            <w:r>
              <w:rPr>
                <w:rFonts w:ascii="宋体" w:hAnsi="宋体" w:eastAsia="宋体"/>
                <w:sz w:val="16"/>
              </w:rPr>
              <w:t>2.18%</w:t>
            </w:r>
          </w:p>
        </w:tc>
      </w:tr>
      <w:tr w14:paraId="3ADC637A">
        <w:trPr>
          <w:jc w:val="center"/>
        </w:trPr>
        <w:tc>
          <w:tcPr>
            <w:tcW w:w="2767" w:type="dxa"/>
          </w:tcPr>
          <w:p w14:paraId="3A359E20">
            <w:pPr>
              <w:spacing w:after="0" w:line="240" w:lineRule="auto"/>
              <w:jc w:val="center"/>
            </w:pPr>
            <w:r>
              <w:rPr>
                <w:rFonts w:ascii="宋体" w:hAnsi="宋体" w:eastAsia="宋体"/>
                <w:sz w:val="16"/>
              </w:rPr>
              <w:t>合计</w:t>
            </w:r>
          </w:p>
        </w:tc>
        <w:tc>
          <w:tcPr>
            <w:tcW w:w="2767" w:type="dxa"/>
          </w:tcPr>
          <w:p w14:paraId="013B00CC">
            <w:pPr>
              <w:spacing w:after="0" w:line="240" w:lineRule="auto"/>
              <w:jc w:val="center"/>
            </w:pPr>
            <w:r>
              <w:rPr>
                <w:rFonts w:ascii="宋体" w:hAnsi="宋体" w:eastAsia="宋体"/>
                <w:sz w:val="16"/>
              </w:rPr>
              <w:t>525</w:t>
            </w:r>
          </w:p>
        </w:tc>
        <w:tc>
          <w:tcPr>
            <w:tcW w:w="2767" w:type="dxa"/>
          </w:tcPr>
          <w:p w14:paraId="79454C5B">
            <w:pPr>
              <w:spacing w:after="0" w:line="240" w:lineRule="auto"/>
              <w:jc w:val="center"/>
            </w:pPr>
            <w:r>
              <w:rPr>
                <w:rFonts w:ascii="宋体" w:hAnsi="宋体" w:eastAsia="宋体"/>
                <w:sz w:val="16"/>
              </w:rPr>
              <w:t>36.91%</w:t>
            </w:r>
          </w:p>
        </w:tc>
      </w:tr>
      <w:tr w14:paraId="5BB3F12B">
        <w:trPr>
          <w:jc w:val="center"/>
        </w:trPr>
        <w:tc>
          <w:tcPr>
            <w:tcW w:w="2767" w:type="dxa"/>
          </w:tcPr>
          <w:p w14:paraId="03EB3E60">
            <w:pPr>
              <w:spacing w:after="0" w:line="240" w:lineRule="auto"/>
              <w:jc w:val="center"/>
            </w:pPr>
            <w:r>
              <w:rPr>
                <w:rFonts w:ascii="宋体" w:hAnsi="宋体" w:eastAsia="宋体"/>
                <w:sz w:val="16"/>
              </w:rPr>
              <w:t>总支出</w:t>
            </w:r>
          </w:p>
        </w:tc>
        <w:tc>
          <w:tcPr>
            <w:tcW w:w="2767" w:type="dxa"/>
          </w:tcPr>
          <w:p w14:paraId="308E3538">
            <w:pPr>
              <w:spacing w:after="0" w:line="240" w:lineRule="auto"/>
              <w:jc w:val="center"/>
            </w:pPr>
            <w:r>
              <w:rPr>
                <w:rFonts w:ascii="宋体" w:hAnsi="宋体" w:eastAsia="宋体"/>
                <w:sz w:val="16"/>
              </w:rPr>
              <w:t>1425</w:t>
            </w:r>
          </w:p>
        </w:tc>
        <w:tc>
          <w:tcPr>
            <w:tcW w:w="2767" w:type="dxa"/>
          </w:tcPr>
          <w:p w14:paraId="23A14419">
            <w:pPr>
              <w:spacing w:after="0" w:line="240" w:lineRule="auto"/>
              <w:jc w:val="center"/>
            </w:pPr>
            <w:r>
              <w:rPr>
                <w:rFonts w:ascii="宋体" w:hAnsi="宋体" w:eastAsia="宋体"/>
                <w:sz w:val="16"/>
              </w:rPr>
              <w:t>-</w:t>
            </w:r>
          </w:p>
        </w:tc>
      </w:tr>
    </w:tbl>
    <w:p w14:paraId="28199B64">
      <w:pPr>
        <w:spacing w:after="40"/>
      </w:pPr>
    </w:p>
    <w:p w14:paraId="31B62961">
      <w:pPr>
        <w:spacing w:before="0" w:after="0" w:line="360" w:lineRule="auto"/>
        <w:ind w:firstLine="420"/>
      </w:pPr>
      <w:r>
        <w:rPr>
          <w:rFonts w:ascii="宋体" w:hAnsi="宋体" w:eastAsia="宋体"/>
          <w:b w:val="0"/>
          <w:sz w:val="21"/>
        </w:rPr>
        <w:t>从社会福利支出资金来源结构来看，瑞典福利保障支出资金主要分为三类出资渠道：中央政府财政、地方财政、社会保障基金。在面向居民家庭的各类转移支付总额中，中央政府财政与社会保障基金出资规模占比最高，合计占比达到家庭总转移支付的90%以上，[63]且二者历年支出力度大致持平，地方财政在家庭转移支付中的分担占比较低。从具体社会福利项目来看，中央政府财政与社会保障基金的转移支付主要包括协议性养老金、法定养老金（包括老年养老金、活动与疾病补偿、遗属养老金儿童养老金及其他）、疾病与残疾等保险、失业保险和其他社会福利性的转移支付。以2024年为例，瑞典法定养老金占比最高，占家庭总转移支付的约56%，其次是带有社会福利性的转移支付，占比约为15%。[63]</w:t>
      </w:r>
    </w:p>
    <w:p w14:paraId="3C6ECF12">
      <w:pPr>
        <w:spacing w:before="0" w:after="0" w:line="360" w:lineRule="auto"/>
        <w:ind w:firstLine="420"/>
      </w:pPr>
      <w:r>
        <w:rPr>
          <w:rFonts w:ascii="宋体" w:hAnsi="宋体" w:eastAsia="宋体"/>
          <w:b w:val="0"/>
          <w:sz w:val="21"/>
        </w:rPr>
        <w:t>从具体福利性开支来看，中央政府财政承担社会福利性开支责任。以2025年瑞典中央预算支出为例，涉及支出项目达27项，其中社会福利与保障支出大致涉及6项，占支出比例的36.91%（见表3）。从福利保障提供端来看，2022年个人为社会保障体系缴费达145337百万克朗，雇主为雇员缴费达669450百万克朗，而国家为双方提供约398198百万克朗的补贴。这意味着个人在享受国家社保福利时，仅承担约10%的费用，剩余的55%由雇主承担，35%由国家承担。⑥可见，与其他资本主义国家相比，瑞典社会民主党客观上改善了本国工人阶级的生活待遇，并且建立了涵盖"生老病养"全方位的福利体系。</w:t>
      </w:r>
    </w:p>
    <w:p w14:paraId="1915B064">
      <w:pPr>
        <w:spacing w:before="0" w:after="0" w:line="360" w:lineRule="auto"/>
        <w:ind w:firstLine="420"/>
      </w:pPr>
      <w:r>
        <w:rPr>
          <w:rFonts w:ascii="宋体" w:hAnsi="宋体" w:eastAsia="宋体"/>
          <w:b w:val="0"/>
          <w:sz w:val="21"/>
        </w:rPr>
        <w:t>从税收层面看，瑞典通过改革税制特别是提高累进税率，实行了基于高额税收的收入再分配政策。瑞典的税收体系包括劳动税、资本税、消费品及投入品税等。其中，劳动所得涵盖工资、奖金、养老金等；资本所得则包括利息、股息等。瑞典税收占GDP的比值从1980年的43.2%下降至2022年的42.51%。[64]（见图4）具体来看，劳动税占总税收的比重基本维持在60%左右，其中，个人所得税占劳动税的比重超过50%；资本税占总税收的比重超过8.7%；消费品及投入品税占总税收的比重维持在27%左右。[64]（见图5）这一政策不仅有助于工资均等化的形成，还为高水平的社会保障体系提供了充足的资金支持。</w:t>
      </w:r>
    </w:p>
    <w:p w14:paraId="1C6DC10F">
      <w:pPr>
        <w:spacing w:before="0" w:after="0" w:line="360" w:lineRule="auto"/>
        <w:ind w:firstLine="420"/>
      </w:pPr>
      <w:r>
        <w:rPr>
          <w:rFonts w:ascii="宋体" w:hAnsi="宋体" w:eastAsia="宋体"/>
          <w:b w:val="0"/>
          <w:sz w:val="21"/>
        </w:rPr>
        <w:t>从人力资本投资看，当前瑞典政府极为重视劳动力市场建设，大力投资教育和人力资源发展，并为其提供丰厚补贴与全方位就业指导。2021年瑞典教育投入占GDP比重为5.4%，比经济合作与发展组织平均值高出近0.5个百分点[65]；知识密集型就业人才约290万人，占总人口的27.75%。[66]</w:t>
      </w:r>
    </w:p>
    <w:p w14:paraId="5258D9CF">
      <w:pPr>
        <w:spacing w:before="160" w:after="80" w:line="360" w:lineRule="auto"/>
      </w:pPr>
      <w:r>
        <w:rPr>
          <w:rFonts w:ascii="黑体" w:hAnsi="黑体" w:eastAsia="黑体"/>
          <w:b/>
          <w:sz w:val="24"/>
        </w:rPr>
        <w:t>3. 瑞典财富与收入分配的调节能力</w:t>
      </w:r>
    </w:p>
    <w:p w14:paraId="4C06143E">
      <w:pPr>
        <w:spacing w:before="0" w:after="0" w:line="360" w:lineRule="auto"/>
        <w:ind w:firstLine="420"/>
      </w:pPr>
      <w:r>
        <w:rPr>
          <w:rFonts w:ascii="宋体" w:hAnsi="宋体" w:eastAsia="宋体"/>
          <w:b w:val="0"/>
          <w:sz w:val="21"/>
        </w:rPr>
        <w:t>以社会保障制度与税收制度为核心的瑞典福利制度，在减轻财富与收入分配的不平等、促进社会公平等方面发挥着重要作用，但其调节程度相对有限。譬如，资本税与劳动税虽具有调节财富与收入分配差距的功能，但仍不能改变资本与劳动的剥削关系。2022年，瑞典私人企业超过100万家，雇佣了约320万名员工，总净销售额达119620亿克朗，资产总额约为206410亿克朗。这些企业共同创造了33460亿克朗的GDP附加值。尽管微型企业（0-9名员工）在企业总数中占比高达96.3%，但大型企业（超过250名员工）在创造销售额和附加值方面的主导地位更为显著，分别占净销售额的51.3%和附加值的47.6%，且雇员占比为42.3%。[67]结合该年瑞典统计局公开数据估算，瑞典企业创造了33460亿克朗的GDP，减去资本税3656.02亿克朗和福利支出6764.83亿克朗后，再结合瑞典雇员年平均工资性收入约为426696克朗[68]，不难发现，各类企业整体占有约82%的劳动产出增加值，劳动者仅能分得约18%的劳动产出增加值。</w:t>
      </w:r>
    </w:p>
    <w:p w14:paraId="5149A2A6">
      <w:pPr>
        <w:spacing w:before="0" w:after="0" w:line="360" w:lineRule="auto"/>
        <w:ind w:firstLine="420"/>
      </w:pPr>
      <w:r>
        <w:rPr>
          <w:rFonts w:ascii="宋体" w:hAnsi="宋体" w:eastAsia="宋体"/>
          <w:b w:val="0"/>
          <w:sz w:val="21"/>
        </w:rPr>
        <w:t>值得注意的是，统计口径中的私人企业群体包含占市场主体总量96.3%的微型企业；大型企业价值创造与盈利规模远高于微型企业，资本支配劳动以实现剥削的特征在大型企业中表现得尤为突出。除此之外，置于全球收入分配格局下观察，瑞典工商业资本为维持自身国际市场竞争力，必然会对本国劳动者的劳动成果进行压榨。马克思指出："资本家现在把全部正常的剩余价值赠送给外国买主，只有靠这种办法才能在世界市场上保持住竞争能力，他自己的全部利润则通过降低正常工资来榨取。"[69]526国内生产领域资本对劳动的剥削、全球市场竞争倒逼下对劳动者劳动收益的挤压，构成双重剥削机制：依托这套机制，瑞典资本阶层持续完成财富积累，而本国劳动者无论从国内分配还是全球产业链分工视角来看，始终处于劳动成果被无偿占有的受剥削弱势地位。</w:t>
      </w:r>
    </w:p>
    <w:p w14:paraId="5001E220">
      <w:pPr>
        <w:spacing w:before="0" w:after="0" w:line="360" w:lineRule="auto"/>
        <w:ind w:firstLine="420"/>
      </w:pPr>
      <w:r>
        <w:rPr>
          <w:rFonts w:ascii="宋体" w:hAnsi="宋体" w:eastAsia="宋体"/>
          <w:b w:val="0"/>
          <w:sz w:val="21"/>
        </w:rPr>
        <w:t>我们可以通过基尼系数、居民收入五等分与十等分比率等指标进行客观分析。基尼系数是衡量收入分配不平等程度的常用指标。根据世界不平等实验室公开数据显示，1980～2022年瑞典基尼系数呈不断攀升趋势，即使进行了税收调节但也无法改变这一趋势。1980年税前与税后基尼系数分别为0.35与0.17；1990～1995年基尼系数迎来第一个高峰，收入分配差距开始拉大；2000～2010年、2016～2022年两个阶段，均持续上升，截至2022年，瑞典基尼系数分别达到税前的0.42与税后的0.25左右。（见图6）</w:t>
      </w:r>
    </w:p>
    <w:p w14:paraId="3D5D9CD5">
      <w:pPr>
        <w:spacing w:before="0" w:after="0" w:line="360" w:lineRule="auto"/>
        <w:ind w:firstLine="420"/>
      </w:pPr>
      <w:r>
        <w:rPr>
          <w:rFonts w:ascii="宋体" w:hAnsi="宋体" w:eastAsia="宋体"/>
          <w:b w:val="0"/>
          <w:sz w:val="21"/>
        </w:rPr>
        <w:t>对于财富基尼系数，更是无法做到较好地调节财富与收入差距。从20世纪80年代开始，瑞典的财富基尼系数直线上升，由1980年的0.61飙升至2012年的0.98，并且该系数保持至今（见图7）。</w:t>
      </w:r>
    </w:p>
    <w:p w14:paraId="192ADCA2">
      <w:pPr>
        <w:spacing w:before="0" w:after="0" w:line="360" w:lineRule="auto"/>
        <w:ind w:firstLine="420"/>
      </w:pPr>
      <w:r>
        <w:rPr>
          <w:rFonts w:ascii="宋体" w:hAnsi="宋体" w:eastAsia="宋体"/>
          <w:b w:val="0"/>
          <w:sz w:val="21"/>
        </w:rPr>
        <w:t>综合基尼系数多维指标来看：其一，尽管瑞典的税后收入差距相对较小，反映出其宏观再分配过程的有效性，但这主要得益于高强度的税收与福利调节；但初次分配阶段收入差距仍呈现扩大趋势，表明资本与劳动在要素回报上的分化并未消除，国家作为中间调节者，无法阻止和进一步修正资本主义生产方式下资本扩张的逻辑。其二，较高的财富基尼系数则更为深刻地揭示了分配结果的长期严重不均的事实。瑞典资产阶级凭借生产资料所有权持续积累财富，而无产阶级主要依赖劳动收入，这种由所有制结构决定的财富积累模式，表明收入"流量"的相对公平分配，无法破除财富"存量"的两极分化，资本积累与财富集中这一历史趋势并未改变。</w:t>
      </w:r>
    </w:p>
    <w:p w14:paraId="26E67145">
      <w:pPr>
        <w:spacing w:before="0" w:after="0" w:line="360" w:lineRule="auto"/>
        <w:ind w:firstLine="420"/>
      </w:pPr>
      <w:r>
        <w:rPr>
          <w:rFonts w:ascii="宋体" w:hAnsi="宋体" w:eastAsia="宋体"/>
          <w:b w:val="0"/>
          <w:sz w:val="21"/>
        </w:rPr>
        <w:t>居民收入五分位与十等分比率是衡量收入不平等程度的另一常用指标。该测算将所有调查户按人均收入从低到高排列，分为五个等份或十等份，计算收入最高的人口的总收入与收入最低的人口的总收入之比，从分布结构角度揭示收入差距的来源及其变动趋势。从总体历史变动来看，1980～2022年，瑞典税后前20%高收入组与后20%低收入组的收入比值总体维持在较高区间，1980年约为15倍，2022年上升至17倍，收入差距总体扩大（见图8）；1980～2022年，瑞典税后十等分结构呈现明显的上端扩张特征。P90/P50、P90/P10及P50/P10比值整体呈上升趋势，尤其在2010年前后差距扩大最为显著。不平等差距主要来源于前10%的高收入组，三组收入差距均在2010年间显著扩大。（1）收入最高10%群体的下限与全体收入中位数总体处于1.2～1.6之间；（2）前10%的高收入组与后10%的低收入组之比，在1980～2006年有所下降，而后差距不断攀升；（3）全体收入中位数与收入最低10%群体的上限之比总体处于1.4～1.9之间，与20世纪80年代水平相差不大。（见图9）瑞典统计局测算数据显示，2020年拥有资本性收入的居民占总人口60%以上，资本性收入涵盖股息、存款利息、房产处置收益及有价证券交易所得等；基于资本性收入口径计算的P90/P10收入差距系数高达95%。进一步将全体居民按收入规模划分为百分位组别，即以1%为单位对人口分层统计后可见，收入最高的第100百分位群体，占有全社会全部资本性收入的近60%。[70]上述数据能够佐证，瑞典居民收入不平等程度持续扩大，其根源并非中低收入群体收入萎缩，而是收入分配顶层群体的财富规模快速扩张，本质体现为高收入群体收入增速显著快于其他收入层级。</w:t>
      </w:r>
    </w:p>
    <w:p w14:paraId="38800998">
      <w:pPr>
        <w:spacing w:before="160" w:after="80" w:line="360" w:lineRule="auto"/>
      </w:pPr>
      <w:r>
        <w:rPr>
          <w:rFonts w:ascii="黑体" w:hAnsi="黑体" w:eastAsia="黑体"/>
          <w:b/>
          <w:sz w:val="24"/>
        </w:rPr>
        <w:t>4. 瑞典社会福利模式评价</w:t>
      </w:r>
    </w:p>
    <w:p w14:paraId="5196DB53">
      <w:pPr>
        <w:spacing w:before="0" w:after="0" w:line="360" w:lineRule="auto"/>
        <w:ind w:firstLine="420"/>
      </w:pPr>
      <w:r>
        <w:rPr>
          <w:rFonts w:ascii="宋体" w:hAnsi="宋体" w:eastAsia="宋体"/>
          <w:b w:val="0"/>
          <w:sz w:val="21"/>
        </w:rPr>
        <w:t>瑞典分配制度的调节作用之所以有限且不可持续，根源于生产资料资本主义私有制并未消除。自1827年以来，"社会主义"经各国理论界发展，产生了百余种解释。如基特尔社会主义、工团社会主义、福利社会主义或民主社会主义、基督教社会主义等。这些都只侧重于社会主义的某些现象描述与情景想象[71]，并非马克思主义对"社会主义"的科学定义。原因在于，科学社会主义发展的动力来自社会基本矛盾运动，并与资本主义的社会形态实行"两个决裂"。马克思指出："消费资料的任何一种分配，都不过是生产条件本身分配的结果。"[72]436生产资料所有制是生产关系的基础，决定着生产关系的性质，进而决定着整个社会的性质。而所谓民主社会主义和保障社会主义绝不是真正符合广大劳动人民根本利益的社会主义，本质上只不过是披着"社会主义"外衣的、迎合资产阶级需要的改良资本主义。[73]瑞典通过百年政治实践虽建立了完善的福利制度，改善了国民的生活条件，但未能真正触及资本主义私有制。通过转移支付、税收制度尝试对本国资本进行限制，但始终没有消除资本主义生产关系的核心——资本家对生产资料的占有。因此，资本主义内在规律如剩余价值规律、资本积累规律仍在发挥作用。只要生产资料私有制的基础地位不变，生产社会化与生产资料私人占有这一资本主义基本矛盾就不会得到根除，经济危机就必然会周期性爆发。如2008年金融危机和后续的欧债危机对瑞典同样造成了冲击。</w:t>
      </w:r>
    </w:p>
    <w:p w14:paraId="0017D5B5">
      <w:pPr>
        <w:spacing w:before="0" w:after="0" w:line="360" w:lineRule="auto"/>
        <w:ind w:firstLine="420"/>
      </w:pPr>
      <w:r>
        <w:rPr>
          <w:rFonts w:ascii="宋体" w:hAnsi="宋体" w:eastAsia="宋体"/>
          <w:b w:val="0"/>
          <w:sz w:val="21"/>
        </w:rPr>
        <w:t>事实表明，仅仅通过再分配而非变革所有制，只能暂时缓和阶级矛盾和收入"流量"的差距悬殊问题，而不能真正解决福利分配的公平性，更不能使这种福利模式可持续发展。1980～2003年，瑞典年平均经济增长率仅为2%。[74]而后的18年间，瑞典国内生产总值增长率在-4.3%～6.1%区间波动。[75]总体来看，瑞典的经济增速一直处于滞胀状态。此外，巨大的公共开支导致瑞典经常性的国库赤字。2024年，瑞典的公共财政净借贷额为赤字960亿克朗，相当于国内生产总值的1.5%。与2023年相比，公共财政赤字扩大约480亿瑞典克朗。合并总债务达21900亿克朗，占国内生产总值的34.0%。[76]为维持较高的福利水平，瑞典国库经常处于亏空状态。由于已建立的工资标准与增幅水平，瑞典企业更愿意从劳动力成本低的国家雇佣工人，加之建立的全方位的社会保障措施，"懒汉病"现象涌现，这直接导致瑞典国内就业率长期维持在65%左右。[77]国内经济滞胀、国库常年亏损、"懒汉病"与高失业率并存是瑞典社会福利模式不可持续的现实因素。随着瑞典经济发展放缓，世界市场竞争力丧失，加之其他政党借题发挥、相互掣肘，导致社会民主党执政碎片化、党纲改弦易辙，并最终走向国有企业私有化、缩减公共福利、取消工资决定制等新自由主义的轨道上。</w:t>
      </w:r>
    </w:p>
    <w:p w14:paraId="254E6680">
      <w:pPr>
        <w:spacing w:before="240" w:after="120" w:line="360" w:lineRule="auto"/>
      </w:pPr>
      <w:r>
        <w:rPr>
          <w:rFonts w:ascii="黑体" w:hAnsi="黑体" w:eastAsia="黑体"/>
          <w:b/>
          <w:sz w:val="28"/>
        </w:rPr>
        <w:t>四、瑞典社会福利模式启示</w:t>
      </w:r>
    </w:p>
    <w:p w14:paraId="45B2C634">
      <w:pPr>
        <w:spacing w:before="0" w:after="0" w:line="360" w:lineRule="auto"/>
        <w:ind w:firstLine="420"/>
      </w:pPr>
      <w:r>
        <w:rPr>
          <w:rFonts w:ascii="宋体" w:hAnsi="宋体" w:eastAsia="宋体"/>
          <w:b w:val="0"/>
          <w:sz w:val="21"/>
        </w:rPr>
        <w:t>社会主义国家的目标是摆脱贫困、实现共同富裕。这如同"人"的整体机能一般，首先表现为立场坚定的政治"头脑"（指马克思主义意识形态），其次是不断为人民造福的"双手"（指政府及其相关部门），接着是自由而全面发展的社会"细胞"（指劳动者个体）及其"联合体"，最后是拥有较为坚实的物质文化"双脚"与公平分配"血液"（指经济基础与经济制度）。这种相互依存的整体性构成一个国家或民族不断迈向共同富裕的必要条件。对世界社会主义运动而言，瑞典社会福利模式展示了一条在不推翻资本主义私有制的情况下，通过政治民主和社会民主在一定程度上缓和资本与劳动的关系，构建一个相对公平和稳定的社会发展可能性的路径。但是，"隔靴搔痒"的分配制度无法消除资本主义的扩张与财富分配不均的事实，变动的意识形态与碎片化的执政历程无法真正贯彻社会主义分配观，"慷慨"的福利制度无法达到共同富裕目的。"他山之石，可以攻玉"。一方面，中国在因地制宜发展新质生产力的基础上，应逐步推进生产关系变革，完善中国特色社会主义分配制度。另一方面，瑞典模式的阶段性成功与其特殊国情相联系。瑞典模式对中国的启示并非照搬高福利，而是如何处理社会主义市场经济条件下的初次分配与再分配格局，树立劳动者主人地位，构建符合中国国情的社会福利制度。</w:t>
      </w:r>
    </w:p>
    <w:p w14:paraId="51C03BB8">
      <w:pPr>
        <w:spacing w:before="160" w:after="80" w:line="360" w:lineRule="auto"/>
      </w:pPr>
      <w:r>
        <w:rPr>
          <w:rFonts w:ascii="黑体" w:hAnsi="黑体" w:eastAsia="黑体"/>
          <w:b/>
          <w:sz w:val="24"/>
        </w:rPr>
        <w:t>1. 坚持公有制为主体、发挥国有经济主导作用</w:t>
      </w:r>
    </w:p>
    <w:p w14:paraId="1319E792">
      <w:pPr>
        <w:spacing w:before="0" w:after="0" w:line="360" w:lineRule="auto"/>
        <w:ind w:firstLine="420"/>
      </w:pPr>
      <w:r>
        <w:rPr>
          <w:rFonts w:ascii="宋体" w:hAnsi="宋体" w:eastAsia="宋体"/>
          <w:b w:val="0"/>
          <w:sz w:val="21"/>
        </w:rPr>
        <w:t>20世纪30年代瑞典受世界资本主义经济危机影响，单一资本主义经济形式失效，社会整体效率下降、经济不稳定和政局动荡。[78]战争摧毁了传统资本积累秩序，工人阶级运动高涨，资产阶级被迫通过让渡部分所有权、推行福利政策、发展公共经济换取社会稳定，从而使单一资本主义自由经济变为混合经济体制⑦，开启了经济高涨时期。20世纪80年代，随着全球经济持续低迷、就业下滑、企业生产投入下降，瑞典又改走新自由主义路线，鼓励扩大私有制，降低企业税负，缩减福利支出，虽然在短期内稳定了国民经济，但贫富差距却逐步拉大，值得中国警醒。对于公平与效率，两者具有同向变动的互促关系，实现高效率必须坚持以公有制和公平分配为基础。[22]428一是公有制主体地位不能动摇。坚持以公有制为主体的共同富裕是中国特色社会主义的经济本质。[79]习近平总书记指出："我国基本经济制度是中国特色社会主义制度的重要支柱，也是社会主义市场经济体制的根基，公有制主体地位不能动摇，国有经济主导作用不能动摇。这是保证我国各族人民共享发展成果的制度性保证，也是巩固党的执政地位、坚持我国社会主义制度的重要保证。"[5]一以贯之坚持以公有制为主体的中国特色社会主义基本经济制度，是社会主义的本质要求，是区别于其他社会形态的根本标志，是国家宏观调控的抓手，也是实现共同富裕的基石，必须不断发展壮大。二是国有经济主导作用不能动摇。习近平总书记指出："国有企业为我国经济社会发展、科技进步、国防建设、民生改善作出了历史性贡献，是我们党执政兴国的重要支柱和依靠力量。"[80]有研究表明，国有经济占比与劳动收入呈正相关，国有经济比重每提升1个百分点，劳动者收入份额便提高0.1082个百分点。[81]因此，要在促进国有资产保值增值、提升国有经济实力、放大国家资本功能的基础上推动国有资本和国有企业做强做优做大，不断夯实劳动者增收致富基石。三是要批判借鉴吸收瑞典混合经济体制优势，坚持"两个毫不动摇"。瑞典"公退私进"数据表明，单靠国家经济支撑或单一市场经济主导，均不能消除贫富差距，更不能使经济永续发展与高质量发展。非公有制经济领域是推进中国式现代化的生力军，具有稳定经济基础、充实国家税收、提供就业岗位、推动科技创新、激发市场活力的重要功能。瑞典的经济快速发展与强大经济动能得益于"创新与投入"双向互促。注重培育创新人才、建立创新主体、构建创新环境与加强创新制度供给"四位一体"统筹发力。遵循"十五五"规划要求，在加强原始创新和关键核心技术攻关、推动科技创新和产业创新深度融合、一体推进教育科技人才发展、深入推进数字中国建设四个方面，稳步推进"高水平科技自立自强，引领发展新质生产力"目标。[82]</w:t>
      </w:r>
    </w:p>
    <w:p w14:paraId="3CD6CBC0">
      <w:pPr>
        <w:spacing w:before="160" w:after="80" w:line="360" w:lineRule="auto"/>
      </w:pPr>
      <w:r>
        <w:rPr>
          <w:rFonts w:ascii="黑体" w:hAnsi="黑体" w:eastAsia="黑体"/>
          <w:b/>
          <w:sz w:val="24"/>
        </w:rPr>
        <w:t>2. 在非公经济领域构建和谐劳动关系，提升劳动者地位</w:t>
      </w:r>
    </w:p>
    <w:p w14:paraId="5C994B70">
      <w:pPr>
        <w:spacing w:before="0" w:after="0" w:line="360" w:lineRule="auto"/>
        <w:ind w:firstLine="420"/>
      </w:pPr>
      <w:r>
        <w:rPr>
          <w:rFonts w:ascii="宋体" w:hAnsi="宋体" w:eastAsia="宋体"/>
          <w:b w:val="0"/>
          <w:sz w:val="21"/>
        </w:rPr>
        <w:t>瑞典之所以能创造两次经济腾飞的神话，得益于和平与稳定的内外部发展环境，除了保持中立外交原则外，还在于通过立法形式为集体谈判保驾护航，承认与允许工会组织周期性与资方协商管理企业、制定政策。这种劳资共享模式是通过企业层面的集体谈判和社会层面的公共政策合力实现的。[83]非公有制经济领域是我国社会主义市场经济的重要组成部分，是我国经济社会发展的重要基础，也是构建和谐劳动关系的重要领域。然而，我国非公有制企业劳动争议协商解决机制不健全，劳动争议预防调解制度尚未全面建立，劳动争议仍易发、多发。[84]因此，借鉴瑞典政府在劳资治理中发挥主导作用经验，加强与非公企业工会的紧密联系，积极干预推动劳资双方地位平等，"完善劳动标准体系和劳动关系协商协调机制，加强劳动者权益保障"[82]十分重要。</w:t>
      </w:r>
    </w:p>
    <w:p w14:paraId="1746C693">
      <w:pPr>
        <w:spacing w:before="0" w:after="0" w:line="360" w:lineRule="auto"/>
        <w:ind w:firstLine="420"/>
      </w:pPr>
      <w:r>
        <w:rPr>
          <w:rFonts w:ascii="宋体" w:hAnsi="宋体" w:eastAsia="宋体"/>
          <w:b w:val="0"/>
          <w:sz w:val="21"/>
        </w:rPr>
        <w:t>政府要积极引导我国劳动者"有意识、有力量、有集体"地参与非公企业治理过程，畅通劳动者利益表达通道。一是推动工会组织力量更加成熟定型。瑞典劳资关系之所以在当代发达资本主义国家共享度最高、最为稳定，原因在于强大的工农阶级构成瑞典社会福利模式的阶级基础，并在"红绿联盟"⑧的政治架构下实现高度组织化，形成了现今的瑞典工会联合会，推动了劳资集体协议制、"团结一致的工资政策"、雇员投资基金计划等一系列劳动者权益保障制度与法律的出台。二是构筑多层次利益表达机制。首先，要培育劳动者群体主动表达利益的意识，加强劳动者表达利益的法律程序意识；其次，提高基层劳动者在全国与省市县乡五级人大代表比例，分级分类吸收不同基层劳动者利益诉求，畅通利益表达渠道程序化；最后，紧跟信息技术发展，拓宽利益表达渠道，借助互联网、热线电话、信访网站、移动端等渠道，为基层劳动者提供多维利益表达渠道。</w:t>
      </w:r>
    </w:p>
    <w:p w14:paraId="6BBB0EDE">
      <w:pPr>
        <w:spacing w:before="160" w:after="80" w:line="360" w:lineRule="auto"/>
      </w:pPr>
      <w:r>
        <w:rPr>
          <w:rFonts w:ascii="黑体" w:hAnsi="黑体" w:eastAsia="黑体"/>
          <w:b/>
          <w:sz w:val="24"/>
        </w:rPr>
        <w:t>3. 提高劳动报酬在初次分配中的比重</w:t>
      </w:r>
    </w:p>
    <w:p w14:paraId="1AD3FF4A">
      <w:pPr>
        <w:spacing w:before="0" w:after="0" w:line="360" w:lineRule="auto"/>
        <w:ind w:firstLine="420"/>
      </w:pPr>
      <w:r>
        <w:rPr>
          <w:rFonts w:ascii="宋体" w:hAnsi="宋体" w:eastAsia="宋体"/>
          <w:b w:val="0"/>
          <w:sz w:val="21"/>
        </w:rPr>
        <w:t>初次分配所得在劳动者收入中占比最大，是个人购买生活物资、保障生存的重要经济来源。提高劳动收入份额是促进共同富裕的重要举措。[85]瑞典在初次分配过程中实行团结工资政策，确保经济不平等最小化；实行工资决定制度，确保行业工资均等化；推行积极就业政策，保障充分就业。坚持按劳分配为主体、多种分配方式并存的分配制度，是马克思主义分配理论结合中国实际而形成的基本分配制度。要坚持和发展马克思关于分配的基本理论与方法，坚持按劳分配原则，完善要素分配体制机制，不断加强初次分配的基础性作用，巩固再分配的调节保障作用，强化第三次分配的补充功能，不断完善中国特色社会主义分配制度体系。</w:t>
      </w:r>
    </w:p>
    <w:p w14:paraId="660CEF70">
      <w:pPr>
        <w:spacing w:before="0" w:after="0" w:line="360" w:lineRule="auto"/>
        <w:ind w:firstLine="420"/>
      </w:pPr>
      <w:r>
        <w:rPr>
          <w:rFonts w:ascii="宋体" w:hAnsi="宋体" w:eastAsia="宋体"/>
          <w:b w:val="0"/>
          <w:sz w:val="21"/>
        </w:rPr>
        <w:t>一是健全劳动者工资决定、合理增长、支付保障机制。完善工资决定机制，形成从资方单方决定向市场机制、企业效益、劳资协商共同决定转变。健全合理增长机制，推进劳动报酬与劳动生产率同步提高，确保劳动者工资能随着经济发展、企业效益提升、物价上涨和劳动生产率提高而同步、适度增长，分享发展成果。厉行支付保障机制，确保工资能按时、足额发放到劳动者手中，严厉打击欠薪行为。二是推行工资集体协商制度。通过工会或职工代表与企业方依法就工资水平、调整幅度等进行平等协商，将劳动者的诉求制度化、常态化地纳入决策程序，"维护劳动者在劳动报酬、休息休假、劳动安全、技能培训、社会保险和福利等方面的合法权益"。[86]三是加强企业工资分配宏观指导。政府应发挥调控与监督角色职能，通过发布工资指导线、劳动力市场工资价位等信息，为企业内部工资分配提供参考，同时监督法律法规执行，矫正市场失灵。</w:t>
      </w:r>
    </w:p>
    <w:p w14:paraId="0E1CC0BE">
      <w:pPr>
        <w:spacing w:before="160" w:after="80" w:line="360" w:lineRule="auto"/>
      </w:pPr>
      <w:r>
        <w:rPr>
          <w:rFonts w:ascii="黑体" w:hAnsi="黑体" w:eastAsia="黑体"/>
          <w:b/>
          <w:sz w:val="24"/>
        </w:rPr>
        <w:t>4. 建设一个既能激发活力又能保障公平的社会福利体系</w:t>
      </w:r>
    </w:p>
    <w:p w14:paraId="377BBACD">
      <w:pPr>
        <w:spacing w:before="0" w:after="0" w:line="360" w:lineRule="auto"/>
        <w:ind w:firstLine="420"/>
      </w:pPr>
      <w:r>
        <w:rPr>
          <w:rFonts w:ascii="宋体" w:hAnsi="宋体" w:eastAsia="宋体"/>
          <w:b w:val="0"/>
          <w:sz w:val="21"/>
        </w:rPr>
        <w:t>参照瑞典过度"慷慨"的福利制度，我国要秉持尽力而为、量力而行的思路，完善社会保障制度，逐步编织社会保障覆盖网，促进社会福利保障均等化。习近平总书记指出，"社会保障是保障和改善民生、维护社会公平、增进人民福祉的基本制度保障，是促进经济社会发展、实现广大人民群众共享改革发展成果的重要制度安排，发挥着民生保障安全网、收入分配调节器、经济运行减震器的作用，是治国安邦的大问题。"[87]一方面，瑞典形成了一套成熟的社会保障体系。比如制定了一套包括养老保障、医疗保障、失业保障、基本生活保障及社会服务等在内的覆盖全面、全民均享的社会福利制度，改善了瑞典工人阶级的生活待遇，对于提升公民的幸福感起到了积极作用。对我国而言，一是强化基本保障的统筹层次与制度韧性。在养老方面，通过基本养老保险全国统筹制度来均衡地区负担、增强互济能力，同时构建由基本养老保险、企业年金、个人养老金共同支撑的"三支柱"体系，并建立待遇与经济发展、物价水平联动的动态调整机制。二是聚焦于社保体系的可持续性、便捷性与服务效能。通过健全精算制度、划拨国有资本来夯实基金池，确保长期支付能力；通过完善转移接续政策、提高新就业形态人员参保率，将更多灵活就业者纳入安全网；通过建设全国统一的服务平台，提升经办服务的便捷性与可及性。三是体现社会保障"兜底线、织密网"的民生温度。在失业保险、工伤保险基础上，建立职业伤害保障制度。同时，完善社会救助及其配套服务对空巢老人、困境儿童、残疾人、退役军人等特定群体的服务保障，构建一个覆盖全民、统筹城乡、公平统一、可持续的符合中国国情的社会福利制度。另一方面，瑞典的福利发展演变史表明当福利供给不足时，提高福利水平会出现正向激励作用，当福利超过必要限度时，会演化为负向作用。因此，要坚持尽力而为、量力而行的思路，逐步完善社会保障制度，建设一个既能激发活力又能保障公平的社会福利体系。</w:t>
      </w:r>
    </w:p>
    <w:p w14:paraId="5A7CFE6B">
      <w:pPr>
        <w:spacing w:before="240" w:after="120" w:line="360" w:lineRule="auto"/>
      </w:pPr>
      <w:r>
        <w:rPr>
          <w:rFonts w:ascii="黑体" w:hAnsi="黑体" w:eastAsia="黑体"/>
          <w:b/>
          <w:sz w:val="28"/>
        </w:rPr>
        <w:t>注  释</w:t>
      </w:r>
    </w:p>
    <w:p w14:paraId="2297E567">
      <w:pPr>
        <w:spacing w:before="0" w:after="40" w:line="300" w:lineRule="auto"/>
      </w:pPr>
      <w:r>
        <w:rPr>
          <w:rFonts w:ascii="宋体" w:hAnsi="宋体" w:eastAsia="宋体"/>
          <w:b w:val="0"/>
          <w:sz w:val="16"/>
        </w:rPr>
        <w:t>① 在2024年IMD世界竞争力排名（涵盖67个经济体）中，瑞典位列全球第六。资料来源于：https://www.imd.org/centers/wcc/world-competitiveness-center/rankings/world-competitiveness-ranking/rankings/wcr-rankings/#_tab_Rank</w:t>
      </w:r>
    </w:p>
    <w:p w14:paraId="4AD9DB70">
      <w:pPr>
        <w:spacing w:before="0" w:after="40" w:line="300" w:lineRule="auto"/>
      </w:pPr>
      <w:r>
        <w:rPr>
          <w:rFonts w:ascii="宋体" w:hAnsi="宋体" w:eastAsia="宋体"/>
          <w:b w:val="0"/>
          <w:sz w:val="16"/>
        </w:rPr>
        <w:t>② 另外还管理着两个商业基金会。</w:t>
      </w:r>
    </w:p>
    <w:p w14:paraId="527B5A7F">
      <w:pPr>
        <w:spacing w:before="0" w:after="40" w:line="300" w:lineRule="auto"/>
      </w:pPr>
      <w:r>
        <w:rPr>
          <w:rFonts w:ascii="宋体" w:hAnsi="宋体" w:eastAsia="宋体"/>
          <w:b w:val="0"/>
          <w:sz w:val="16"/>
        </w:rPr>
        <w:t>③ 由于无法获取数据，市政府和县政府持有的国有企业未被纳入，这些企业部分是当地的大型公私合营私企，但与瑞典中央国有企业资产组合相比，它们的市场价值较小，几乎可忽略不计。资料来源于The Size and Composition of the SOE Sector in OECD Countries，https://www.oecd.org/en/publications/the-size-and-composition-of-the-soe-sector-in-oecd-countries_5kg54cwps0s3-en.html。</w:t>
      </w:r>
    </w:p>
    <w:p w14:paraId="20BD4CFC">
      <w:pPr>
        <w:spacing w:before="0" w:after="40" w:line="300" w:lineRule="auto"/>
      </w:pPr>
      <w:r>
        <w:rPr>
          <w:rFonts w:ascii="宋体" w:hAnsi="宋体" w:eastAsia="宋体"/>
          <w:b w:val="0"/>
          <w:sz w:val="16"/>
        </w:rPr>
        <w:t>④ 市属与区属国有企业常为亏损状态，全国国有企业数量包括分公司及公私合营企业，创收归口于总公司账目。资料来源于瑞典统计局，https://www.statistikdatabasen.scb.se/pxweb/en/ssd/START__OE__OE0108/OffEkoMottSektor/table/tableViewLayout1/。</w:t>
      </w:r>
    </w:p>
    <w:p w14:paraId="583FD793">
      <w:pPr>
        <w:spacing w:before="0" w:after="40" w:line="300" w:lineRule="auto"/>
      </w:pPr>
      <w:r>
        <w:rPr>
          <w:rFonts w:ascii="宋体" w:hAnsi="宋体" w:eastAsia="宋体"/>
          <w:b w:val="0"/>
          <w:sz w:val="16"/>
        </w:rPr>
        <w:t>⑤ 各行业中私营成分的比重：钢铁工业86%、化学工业93%、森林工业89%、食品工业84%、汽车工业100%，零售商业89%、银行业91%、土地及农业生产100%，私营企业雇用的劳动力占84%；国家除垄断烟酒零售业以外，还拥有：森林资源25%，铁矿85%，发电厂50%，铁路95%，公共汽车21%，货运4%，航空公司20%，电报电话系统以及其他公用设施。[48]296-297</w:t>
      </w:r>
    </w:p>
    <w:p w14:paraId="7BE843EC">
      <w:pPr>
        <w:spacing w:before="0" w:after="40" w:line="300" w:lineRule="auto"/>
      </w:pPr>
      <w:r>
        <w:rPr>
          <w:rFonts w:ascii="宋体" w:hAnsi="宋体" w:eastAsia="宋体"/>
          <w:b w:val="0"/>
          <w:sz w:val="16"/>
        </w:rPr>
        <w:t>⑥ 根据瑞典统计局公开数据测算得出，数据来源于：https://www.scb.se/contentassets/e1cd95cbf83b496a940ea8235acc464c/skattekvot-och-skatteintakter-1980-2023_20240530.xlsx。</w:t>
      </w:r>
    </w:p>
    <w:p w14:paraId="147E09A9">
      <w:pPr>
        <w:spacing w:before="0" w:after="40" w:line="300" w:lineRule="auto"/>
      </w:pPr>
      <w:r>
        <w:rPr>
          <w:rFonts w:ascii="宋体" w:hAnsi="宋体" w:eastAsia="宋体"/>
          <w:b w:val="0"/>
          <w:sz w:val="16"/>
        </w:rPr>
        <w:t>⑦ 所谓"混合经济"，是相对"单一经济"的相对概念。单一经济是指经济形式由单一要素所构成的经济形态；而混合经济则是由不同性质的多个要素组成的经济形态。</w:t>
      </w:r>
    </w:p>
    <w:p w14:paraId="5502B34E">
      <w:pPr>
        <w:spacing w:before="0" w:after="40" w:line="300" w:lineRule="auto"/>
      </w:pPr>
      <w:r>
        <w:rPr>
          <w:rFonts w:ascii="宋体" w:hAnsi="宋体" w:eastAsia="宋体"/>
          <w:b w:val="0"/>
          <w:sz w:val="16"/>
        </w:rPr>
        <w:t>⑧ 代表工人阶级的社会民主党与代表农民阶级的政党形成联盟，被称为红绿联盟。</w:t>
      </w:r>
    </w:p>
    <w:p w14:paraId="6A007397">
      <w:pPr>
        <w:spacing w:before="240" w:after="120" w:line="360" w:lineRule="auto"/>
      </w:pPr>
      <w:r>
        <w:rPr>
          <w:rFonts w:ascii="黑体" w:hAnsi="黑体" w:eastAsia="黑体"/>
          <w:b/>
          <w:sz w:val="28"/>
        </w:rPr>
        <w:t>参考文献</w:t>
      </w:r>
    </w:p>
    <w:p w14:paraId="5A3C05C7">
      <w:pPr>
        <w:spacing w:before="0" w:after="20" w:line="300" w:lineRule="auto"/>
      </w:pPr>
      <w:r>
        <w:rPr>
          <w:rFonts w:ascii="宋体" w:hAnsi="宋体" w:eastAsia="宋体"/>
          <w:b w:val="0"/>
          <w:sz w:val="16"/>
        </w:rPr>
        <w:t>[1] Alva Ohlsson. Ekonomisk Tillväxt-internationellt [EB/OL]. (2025-08-27)[2026-02-01]. Ekonomifakta, Official Statistics of Sweden, https://www.ekonomifakta.se/Fakta/makroekonomi/Tillvaxt/BNP---internationellt/.</w:t>
      </w:r>
    </w:p>
    <w:p w14:paraId="3982084C">
      <w:pPr>
        <w:spacing w:before="0" w:after="20" w:line="300" w:lineRule="auto"/>
      </w:pPr>
      <w:r>
        <w:rPr>
          <w:rFonts w:ascii="宋体" w:hAnsi="宋体" w:eastAsia="宋体"/>
          <w:b w:val="0"/>
          <w:sz w:val="16"/>
        </w:rPr>
        <w:t>[2] World Inequality Database [EB/OL]. (2026-02-01)[2026-02-01]. https://wid.world/zh/data-cn/#countriestimeseries/gptinc_p0p100_z/NO;SE;DK/1820/2023/eu/k/p/yearly/g.</w:t>
      </w:r>
    </w:p>
    <w:p w14:paraId="246BA07A">
      <w:pPr>
        <w:spacing w:before="0" w:after="20" w:line="300" w:lineRule="auto"/>
      </w:pPr>
      <w:r>
        <w:rPr>
          <w:rFonts w:ascii="宋体" w:hAnsi="宋体" w:eastAsia="宋体"/>
          <w:b w:val="0"/>
          <w:sz w:val="16"/>
        </w:rPr>
        <w:t>[3] 2023年全球创新指数[EB/OL]. (2023-12-01)[2026-02-01]. https://www.wipo.int/edocs/pubdocs/zh/wipo-pub-2000-2023-exec-zh-global-innovation-index-2023.pdf.</w:t>
      </w:r>
    </w:p>
    <w:p w14:paraId="183DF197">
      <w:pPr>
        <w:spacing w:before="0" w:after="20" w:line="300" w:lineRule="auto"/>
      </w:pPr>
      <w:r>
        <w:rPr>
          <w:rFonts w:ascii="宋体" w:hAnsi="宋体" w:eastAsia="宋体"/>
          <w:b w:val="0"/>
          <w:sz w:val="16"/>
        </w:rPr>
        <w:t>[4] Wellbeing Research Centre. World Happiness Report 2025 [EB/OL]. (2025-12-01)[2026-02-01]. https://worldhappiness.report/ed/2025/caring-and-sharing-global-analysis-of-happiness-and-kindness/.</w:t>
      </w:r>
    </w:p>
    <w:p w14:paraId="040CB653">
      <w:pPr>
        <w:spacing w:before="0" w:after="20" w:line="300" w:lineRule="auto"/>
      </w:pPr>
      <w:r>
        <w:rPr>
          <w:rFonts w:ascii="宋体" w:hAnsi="宋体" w:eastAsia="宋体"/>
          <w:b w:val="0"/>
          <w:sz w:val="16"/>
        </w:rPr>
        <w:t>[5] 习近平. 不断开拓当代中国马克思主义政治经济学新境界[J]. 求是, 2020(16): 4-9.</w:t>
      </w:r>
    </w:p>
    <w:p w14:paraId="1DC289F6">
      <w:pPr>
        <w:spacing w:before="0" w:after="20" w:line="300" w:lineRule="auto"/>
      </w:pPr>
      <w:r>
        <w:rPr>
          <w:rFonts w:ascii="宋体" w:hAnsi="宋体" w:eastAsia="宋体"/>
          <w:b w:val="0"/>
          <w:sz w:val="16"/>
        </w:rPr>
        <w:t>[6] Ram·米什拉. 资本主义社会的福利国家[M]. 郑秉文, 译. 北京: 法律出版社, 2003.</w:t>
      </w:r>
    </w:p>
    <w:p w14:paraId="610F0589">
      <w:pPr>
        <w:spacing w:before="0" w:after="20" w:line="300" w:lineRule="auto"/>
      </w:pPr>
      <w:r>
        <w:rPr>
          <w:rFonts w:ascii="宋体" w:hAnsi="宋体" w:eastAsia="宋体"/>
          <w:b w:val="0"/>
          <w:sz w:val="16"/>
        </w:rPr>
        <w:t>[7] 戈斯塔·埃斯平-安德森. 转型中的福利国家[M]. 杨刚, 译. 北京: 商务印书馆, 2010.</w:t>
      </w:r>
    </w:p>
    <w:p w14:paraId="7F7E63FB">
      <w:pPr>
        <w:spacing w:before="0" w:after="20" w:line="300" w:lineRule="auto"/>
      </w:pPr>
      <w:r>
        <w:rPr>
          <w:rFonts w:ascii="宋体" w:hAnsi="宋体" w:eastAsia="宋体"/>
          <w:b w:val="0"/>
          <w:sz w:val="16"/>
        </w:rPr>
        <w:t>[8] Johan N. Swedish Models: the Welfare State and its Competitors[J]. The National Interest, 2006(84): 85-91.</w:t>
      </w:r>
    </w:p>
    <w:p w14:paraId="28550158">
      <w:pPr>
        <w:spacing w:before="0" w:after="20" w:line="300" w:lineRule="auto"/>
      </w:pPr>
      <w:r>
        <w:rPr>
          <w:rFonts w:ascii="宋体" w:hAnsi="宋体" w:eastAsia="宋体"/>
          <w:b w:val="0"/>
          <w:sz w:val="16"/>
        </w:rPr>
        <w:t>[9] 蔡薇, 黄瑞玲, 何云涛. 探究新形势下高福利制度的发展模式——基于"欧猪五国"和北欧五国比较的视角[J]. 经济体制改革, 2013(4): 155-159.</w:t>
      </w:r>
    </w:p>
    <w:p w14:paraId="68695227">
      <w:pPr>
        <w:spacing w:before="0" w:after="20" w:line="300" w:lineRule="auto"/>
      </w:pPr>
      <w:r>
        <w:rPr>
          <w:rFonts w:ascii="宋体" w:hAnsi="宋体" w:eastAsia="宋体"/>
          <w:b w:val="0"/>
          <w:sz w:val="16"/>
        </w:rPr>
        <w:t>[10] 黄青枫. 科学认识民主社会主义的瑞典模式[J]. 新西部(理论版), 2013(5): 159-160.</w:t>
      </w:r>
    </w:p>
    <w:p w14:paraId="36ED65CE">
      <w:pPr>
        <w:spacing w:before="0" w:after="20" w:line="300" w:lineRule="auto"/>
      </w:pPr>
      <w:r>
        <w:rPr>
          <w:rFonts w:ascii="宋体" w:hAnsi="宋体" w:eastAsia="宋体"/>
          <w:b w:val="0"/>
          <w:sz w:val="16"/>
        </w:rPr>
        <w:t>[11] 刘玉安, 吴玲. 北欧模式缘何经久不衰？[J]. 东岳论丛, 2014(2): 119-126.</w:t>
      </w:r>
    </w:p>
    <w:p w14:paraId="13BF6F81">
      <w:pPr>
        <w:spacing w:before="0" w:after="20" w:line="300" w:lineRule="auto"/>
      </w:pPr>
      <w:r>
        <w:rPr>
          <w:rFonts w:ascii="宋体" w:hAnsi="宋体" w:eastAsia="宋体"/>
          <w:b w:val="0"/>
          <w:sz w:val="16"/>
        </w:rPr>
        <w:t>[12] 袁群, 安晓敏. 北欧福利国家的改革及对我国的启示[J]. 经济问题探索, 2006(11): 139-142.</w:t>
      </w:r>
    </w:p>
    <w:p w14:paraId="0DAB6F28">
      <w:pPr>
        <w:spacing w:before="0" w:after="20" w:line="300" w:lineRule="auto"/>
      </w:pPr>
      <w:r>
        <w:rPr>
          <w:rFonts w:ascii="宋体" w:hAnsi="宋体" w:eastAsia="宋体"/>
          <w:b w:val="0"/>
          <w:sz w:val="16"/>
        </w:rPr>
        <w:t>[13] 张建刚, 王珺. 北欧国家福利制度困境、演变趋势及其对我国实现共同富裕的启示[J]. 上海经济研究, 2023(1): 102-111.</w:t>
      </w:r>
    </w:p>
    <w:p w14:paraId="2A2FB7D1">
      <w:pPr>
        <w:spacing w:before="0" w:after="20" w:line="300" w:lineRule="auto"/>
      </w:pPr>
      <w:r>
        <w:rPr>
          <w:rFonts w:ascii="宋体" w:hAnsi="宋体" w:eastAsia="宋体"/>
          <w:b w:val="0"/>
          <w:sz w:val="16"/>
        </w:rPr>
        <w:t>[14] 高锋. 瑞典社民党的理论、政策创新与瑞典历史变迁[J]. 当代世界社会主义问题, 2002(4): 38-52.</w:t>
      </w:r>
    </w:p>
    <w:p w14:paraId="0E8BBC30">
      <w:pPr>
        <w:spacing w:before="0" w:after="20" w:line="300" w:lineRule="auto"/>
      </w:pPr>
      <w:r>
        <w:rPr>
          <w:rFonts w:ascii="宋体" w:hAnsi="宋体" w:eastAsia="宋体"/>
          <w:b w:val="0"/>
          <w:sz w:val="16"/>
        </w:rPr>
        <w:t>[15] 杨启先. 我对瑞典社会主义模式的认识[J]. 当代世界社会主义问题, 2009(1): 3-11.</w:t>
      </w:r>
    </w:p>
    <w:p w14:paraId="0A0D454F">
      <w:pPr>
        <w:spacing w:before="0" w:after="20" w:line="300" w:lineRule="auto"/>
      </w:pPr>
      <w:r>
        <w:rPr>
          <w:rFonts w:ascii="宋体" w:hAnsi="宋体" w:eastAsia="宋体"/>
          <w:b w:val="0"/>
          <w:sz w:val="16"/>
        </w:rPr>
        <w:t>[16] 黄范章. 如何认识、借鉴瑞典经济模式——兼论当代资本主义经济中的"公有"因素孕育[J]. 经济学动态, 2008(1): 43-50.</w:t>
      </w:r>
    </w:p>
    <w:p w14:paraId="18DAEFF4">
      <w:pPr>
        <w:spacing w:before="0" w:after="20" w:line="300" w:lineRule="auto"/>
      </w:pPr>
      <w:r>
        <w:rPr>
          <w:rFonts w:ascii="宋体" w:hAnsi="宋体" w:eastAsia="宋体"/>
          <w:b w:val="0"/>
          <w:sz w:val="16"/>
        </w:rPr>
        <w:t>[17] 黄范章. 论"公有"经济因素如何进逼资本主义经济——从所谓瑞典"社会主义"问题谈起[J]. 经济导刊, 2007(12): 90-93.</w:t>
      </w:r>
    </w:p>
    <w:p w14:paraId="657CA268">
      <w:pPr>
        <w:spacing w:before="0" w:after="20" w:line="300" w:lineRule="auto"/>
      </w:pPr>
      <w:r>
        <w:rPr>
          <w:rFonts w:ascii="宋体" w:hAnsi="宋体" w:eastAsia="宋体"/>
          <w:b w:val="0"/>
          <w:sz w:val="16"/>
        </w:rPr>
        <w:t>[18] 张双双. 正确认识民主社会主义的瑞典模式[J]. 理论界, 2011(6): 67-69.</w:t>
      </w:r>
    </w:p>
    <w:p w14:paraId="262B5EC5">
      <w:pPr>
        <w:spacing w:before="0" w:after="20" w:line="300" w:lineRule="auto"/>
      </w:pPr>
      <w:r>
        <w:rPr>
          <w:rFonts w:ascii="宋体" w:hAnsi="宋体" w:eastAsia="宋体"/>
          <w:b w:val="0"/>
          <w:sz w:val="16"/>
        </w:rPr>
        <w:t>[19] 吕薇洲. "北欧福利国家及其批判"论析[J]. 政治学研究, 2012(2): 18-28.</w:t>
      </w:r>
    </w:p>
    <w:p w14:paraId="7241015A">
      <w:pPr>
        <w:spacing w:before="0" w:after="20" w:line="300" w:lineRule="auto"/>
      </w:pPr>
      <w:r>
        <w:rPr>
          <w:rFonts w:ascii="宋体" w:hAnsi="宋体" w:eastAsia="宋体"/>
          <w:b w:val="0"/>
          <w:sz w:val="16"/>
        </w:rPr>
        <w:t>[20] 程璆, 岳经纶. 福利国家制度：发展、危机与改革困境——瑞典案例及其对中国共同富裕建设的启示[J]. 拉丁美洲研究, 2025(1): 83-106.</w:t>
      </w:r>
    </w:p>
    <w:p w14:paraId="384FE197">
      <w:pPr>
        <w:spacing w:before="0" w:after="20" w:line="300" w:lineRule="auto"/>
      </w:pPr>
      <w:r>
        <w:rPr>
          <w:rFonts w:ascii="宋体" w:hAnsi="宋体" w:eastAsia="宋体"/>
          <w:b w:val="0"/>
          <w:sz w:val="16"/>
        </w:rPr>
        <w:t>[21] 米梓嘉. 北欧福利制度成就、危机、改革及启示[J]. 市场论坛, 2020(11): 65-70.</w:t>
      </w:r>
    </w:p>
    <w:p w14:paraId="5701B42D">
      <w:pPr>
        <w:spacing w:before="0" w:after="20" w:line="300" w:lineRule="auto"/>
      </w:pPr>
      <w:r>
        <w:rPr>
          <w:rFonts w:ascii="宋体" w:hAnsi="宋体" w:eastAsia="宋体"/>
          <w:b w:val="0"/>
          <w:sz w:val="16"/>
        </w:rPr>
        <w:t>[22] 程恩富. 马克思主义政治经济学重大理论研究[M]. 北京: 中国人民大学出版社, 2023.</w:t>
      </w:r>
    </w:p>
    <w:p w14:paraId="70AC2F4C">
      <w:pPr>
        <w:spacing w:before="0" w:after="20" w:line="300" w:lineRule="auto"/>
      </w:pPr>
      <w:r>
        <w:rPr>
          <w:rFonts w:ascii="宋体" w:hAnsi="宋体" w:eastAsia="宋体"/>
          <w:b w:val="0"/>
          <w:sz w:val="16"/>
        </w:rPr>
        <w:t>[23] 赵永清. "职能社会主义"："福利社会主义"和"基金社会主义"的中介——"瑞典模式"理论核心评价[J]. 江苏社会科学, 1992(5): 29-35.</w:t>
      </w:r>
    </w:p>
    <w:p w14:paraId="39CF76C7">
      <w:pPr>
        <w:spacing w:before="0" w:after="20" w:line="300" w:lineRule="auto"/>
      </w:pPr>
      <w:r>
        <w:rPr>
          <w:rFonts w:ascii="宋体" w:hAnsi="宋体" w:eastAsia="宋体"/>
          <w:b w:val="0"/>
          <w:sz w:val="16"/>
        </w:rPr>
        <w:t>[24] 彭心安. 评民主社会主义的福利主义[J]. 求实, 1991(11): 28-29.</w:t>
      </w:r>
    </w:p>
    <w:p w14:paraId="4071DA22">
      <w:pPr>
        <w:spacing w:before="0" w:after="20" w:line="300" w:lineRule="auto"/>
      </w:pPr>
      <w:r>
        <w:rPr>
          <w:rFonts w:ascii="宋体" w:hAnsi="宋体" w:eastAsia="宋体"/>
          <w:b w:val="0"/>
          <w:sz w:val="16"/>
        </w:rPr>
        <w:t>[25] 小成. 瑞典是不是独特模式？[J]. 当代世界社会主义问题, 1994(4): 55-59.</w:t>
      </w:r>
    </w:p>
    <w:p w14:paraId="54880D60">
      <w:pPr>
        <w:spacing w:before="0" w:after="20" w:line="300" w:lineRule="auto"/>
      </w:pPr>
      <w:r>
        <w:rPr>
          <w:rFonts w:ascii="宋体" w:hAnsi="宋体" w:eastAsia="宋体"/>
          <w:b w:val="0"/>
          <w:sz w:val="16"/>
        </w:rPr>
        <w:t>[26] 高锋, 时红. 瑞典社会民主主义模式——述评与文献[M]. 北京: 中央编译出版社, 2009.</w:t>
      </w:r>
    </w:p>
    <w:p w14:paraId="5440E8D8">
      <w:pPr>
        <w:spacing w:before="0" w:after="20" w:line="300" w:lineRule="auto"/>
      </w:pPr>
      <w:r>
        <w:rPr>
          <w:rFonts w:ascii="宋体" w:hAnsi="宋体" w:eastAsia="宋体"/>
          <w:b w:val="0"/>
          <w:sz w:val="16"/>
        </w:rPr>
        <w:t>[27] 刘玉安. 北欧福利国家剖析[M]. 济南: 山东大学出版社, 1995.</w:t>
      </w:r>
    </w:p>
    <w:p w14:paraId="1D5125F1">
      <w:pPr>
        <w:spacing w:before="0" w:after="20" w:line="300" w:lineRule="auto"/>
      </w:pPr>
      <w:r>
        <w:rPr>
          <w:rFonts w:ascii="宋体" w:hAnsi="宋体" w:eastAsia="宋体"/>
          <w:b w:val="0"/>
          <w:sz w:val="16"/>
        </w:rPr>
        <w:t>[28] 张平, 孙敏. 瑞典：社会福利经济的典范[M]. 武汉: 武汉出版社, 1994.</w:t>
      </w:r>
    </w:p>
    <w:p w14:paraId="1A543D72">
      <w:pPr>
        <w:spacing w:before="0" w:after="20" w:line="300" w:lineRule="auto"/>
      </w:pPr>
      <w:r>
        <w:rPr>
          <w:rFonts w:ascii="宋体" w:hAnsi="宋体" w:eastAsia="宋体"/>
          <w:b w:val="0"/>
          <w:sz w:val="16"/>
        </w:rPr>
        <w:t>[29] 徐则荣. 瑞典经济模式和瑞典学派[J]. 山东社会科学, 2008(7): 98-100.</w:t>
      </w:r>
    </w:p>
    <w:p w14:paraId="7F649057">
      <w:pPr>
        <w:spacing w:before="0" w:after="20" w:line="300" w:lineRule="auto"/>
      </w:pPr>
      <w:r>
        <w:rPr>
          <w:rFonts w:ascii="宋体" w:hAnsi="宋体" w:eastAsia="宋体"/>
          <w:b w:val="0"/>
          <w:sz w:val="16"/>
        </w:rPr>
        <w:t>[30] 冈纳·阿德勒-卡尔松, 鲁道夫·麦德纳尔. 从职能社会主义到基金社会主义[M]. 张小劲, 等译. 哈尔滨: 黑龙江人民出版社, 1988.</w:t>
      </w:r>
    </w:p>
    <w:p w14:paraId="5777E8A9">
      <w:pPr>
        <w:spacing w:before="0" w:after="20" w:line="300" w:lineRule="auto"/>
      </w:pPr>
      <w:r>
        <w:rPr>
          <w:rFonts w:ascii="宋体" w:hAnsi="宋体" w:eastAsia="宋体"/>
          <w:b w:val="0"/>
          <w:sz w:val="16"/>
        </w:rPr>
        <w:t>[31] 付小红. 评托马斯·皮凯蒂新著《21世纪资本论》[J]. 海派经济学, 2015(1): 188-192.</w:t>
      </w:r>
    </w:p>
    <w:p w14:paraId="5649FC23">
      <w:pPr>
        <w:spacing w:before="0" w:after="20" w:line="300" w:lineRule="auto"/>
      </w:pPr>
      <w:r>
        <w:rPr>
          <w:rFonts w:ascii="宋体" w:hAnsi="宋体" w:eastAsia="宋体"/>
          <w:b w:val="0"/>
          <w:sz w:val="16"/>
        </w:rPr>
        <w:t>[32] 黄范章. 瑞典经济模式：剖析与借鉴[J]. 开放导报, 2007(6): 49-56.</w:t>
      </w:r>
    </w:p>
    <w:p w14:paraId="24F98F76">
      <w:pPr>
        <w:spacing w:before="0" w:after="20" w:line="300" w:lineRule="auto"/>
      </w:pPr>
      <w:r>
        <w:rPr>
          <w:rFonts w:ascii="宋体" w:hAnsi="宋体" w:eastAsia="宋体"/>
          <w:b w:val="0"/>
          <w:sz w:val="16"/>
        </w:rPr>
        <w:t>[33] 林卡, 张佳华. 北欧国家社会政策的演变及其对中国社会建设的启示[J]. 经济社会体制比较, 2011(3): 29-40.</w:t>
      </w:r>
    </w:p>
    <w:p w14:paraId="14041840">
      <w:pPr>
        <w:spacing w:before="0" w:after="20" w:line="300" w:lineRule="auto"/>
      </w:pPr>
      <w:r>
        <w:rPr>
          <w:rFonts w:ascii="宋体" w:hAnsi="宋体" w:eastAsia="宋体"/>
          <w:b w:val="0"/>
          <w:sz w:val="16"/>
        </w:rPr>
        <w:t>[34] Heikki H. The Rise and Fall of Nordic Family Policy? Historical Development and Changes During the 1990s in Sweden and Finland [M]. Helsinki: Stakes, 2002.</w:t>
      </w:r>
    </w:p>
    <w:p w14:paraId="10638DC5">
      <w:pPr>
        <w:spacing w:before="0" w:after="20" w:line="300" w:lineRule="auto"/>
      </w:pPr>
      <w:r>
        <w:rPr>
          <w:rFonts w:ascii="宋体" w:hAnsi="宋体" w:eastAsia="宋体"/>
          <w:b w:val="0"/>
          <w:sz w:val="16"/>
        </w:rPr>
        <w:t>[35] Tapani V. Suomalaiset Yhteiskunnan Rakenne Teollistumisen Aikana [M]. Porvoo: Werner Söderström Osakeyhtiö, 1980.</w:t>
      </w:r>
    </w:p>
    <w:p w14:paraId="2803992E">
      <w:pPr>
        <w:spacing w:before="0" w:after="20" w:line="300" w:lineRule="auto"/>
      </w:pPr>
      <w:r>
        <w:rPr>
          <w:rFonts w:ascii="宋体" w:hAnsi="宋体" w:eastAsia="宋体"/>
          <w:b w:val="0"/>
          <w:sz w:val="16"/>
        </w:rPr>
        <w:t>[36] 中央党校赴挪威、瑞典考察团. "北欧模式"的特点和启示[J]. 科学社会主义, 2007(6): 140-144.</w:t>
      </w:r>
    </w:p>
    <w:p w14:paraId="110D7FB3">
      <w:pPr>
        <w:spacing w:before="0" w:after="20" w:line="300" w:lineRule="auto"/>
      </w:pPr>
      <w:r>
        <w:rPr>
          <w:rFonts w:ascii="宋体" w:hAnsi="宋体" w:eastAsia="宋体"/>
          <w:b w:val="0"/>
          <w:sz w:val="16"/>
        </w:rPr>
        <w:t>[37] 卡洛·M·奇波拉. 欧洲经济史：工业社会的兴起(第4卷下册)[M]. 吴继淦, 等译. 北京: 商务印书馆, 1991.</w:t>
      </w:r>
    </w:p>
    <w:p w14:paraId="1A25DACE">
      <w:pPr>
        <w:spacing w:before="0" w:after="20" w:line="300" w:lineRule="auto"/>
      </w:pPr>
      <w:r>
        <w:rPr>
          <w:rFonts w:ascii="宋体" w:hAnsi="宋体" w:eastAsia="宋体"/>
          <w:b w:val="0"/>
          <w:sz w:val="16"/>
        </w:rPr>
        <w:t>[38] 安格斯·麦迪森. 世界经济千年史[M]. 伍晓鹰, 等译. 北京: 北京大学出版社, 2003.</w:t>
      </w:r>
    </w:p>
    <w:p w14:paraId="23AE771C">
      <w:pPr>
        <w:spacing w:before="0" w:after="20" w:line="300" w:lineRule="auto"/>
      </w:pPr>
      <w:r>
        <w:rPr>
          <w:rFonts w:ascii="宋体" w:hAnsi="宋体" w:eastAsia="宋体"/>
          <w:b w:val="0"/>
          <w:sz w:val="16"/>
        </w:rPr>
        <w:t>[39] Peter F. Growth to Limits: the Western European Welfare States since World War ii (vol.1)[M]. Berlin and New York: Walter de Gruyter, 1986.</w:t>
      </w:r>
    </w:p>
    <w:p w14:paraId="5B306917">
      <w:pPr>
        <w:spacing w:before="0" w:after="20" w:line="300" w:lineRule="auto"/>
      </w:pPr>
      <w:r>
        <w:rPr>
          <w:rFonts w:ascii="宋体" w:hAnsi="宋体" w:eastAsia="宋体"/>
          <w:b w:val="0"/>
          <w:sz w:val="16"/>
        </w:rPr>
        <w:t>[40] Erik A. Nordic Democracy: Ideas, Issues, and Institutions in Politics, Economy, Education, Social and Cultural Affairs of Denmark, Finland, Iceland, Norway, and Sweden [M]. Copenhagen: Det Danske Selskab, 1981.</w:t>
      </w:r>
    </w:p>
    <w:p w14:paraId="5EE140BF">
      <w:pPr>
        <w:spacing w:before="0" w:after="20" w:line="300" w:lineRule="auto"/>
      </w:pPr>
      <w:r>
        <w:rPr>
          <w:rFonts w:ascii="宋体" w:hAnsi="宋体" w:eastAsia="宋体"/>
          <w:b w:val="0"/>
          <w:sz w:val="16"/>
        </w:rPr>
        <w:t>[41] 吴强. 北欧福利国家研究述评[J]. 党政干部学刊, 2014(6): 75-80.</w:t>
      </w:r>
    </w:p>
    <w:p w14:paraId="2BCD460E">
      <w:pPr>
        <w:spacing w:before="0" w:after="20" w:line="300" w:lineRule="auto"/>
      </w:pPr>
      <w:r>
        <w:rPr>
          <w:rFonts w:ascii="宋体" w:hAnsi="宋体" w:eastAsia="宋体"/>
          <w:b w:val="0"/>
          <w:sz w:val="16"/>
        </w:rPr>
        <w:t>[42] 马克思恩格斯文集：第8卷[M]. 北京: 人民出版社, 2009.</w:t>
      </w:r>
    </w:p>
    <w:p w14:paraId="39B5849F">
      <w:pPr>
        <w:spacing w:before="0" w:after="20" w:line="300" w:lineRule="auto"/>
      </w:pPr>
      <w:r>
        <w:rPr>
          <w:rFonts w:ascii="宋体" w:hAnsi="宋体" w:eastAsia="宋体"/>
          <w:b w:val="0"/>
          <w:sz w:val="16"/>
        </w:rPr>
        <w:t>[43] Ministry of Finance. Annual Report for State-owned Enterprises 2022 [EB/OL]. (2023-09-01)[2026-02-01]. https://www.government.se/reports/2023/09/annual-report-for-state-owned-enterprises-2022/.</w:t>
      </w:r>
    </w:p>
    <w:p w14:paraId="3B172736">
      <w:pPr>
        <w:spacing w:before="0" w:after="20" w:line="300" w:lineRule="auto"/>
      </w:pPr>
      <w:r>
        <w:rPr>
          <w:rFonts w:ascii="宋体" w:hAnsi="宋体" w:eastAsia="宋体"/>
          <w:b w:val="0"/>
          <w:sz w:val="16"/>
        </w:rPr>
        <w:t>[44] Official Statistics of Sweden. Enterprises Owned by Regions 2021 - some Economic Facts [EB/OL]. (2022-12-06)[2026-02-01]. https://www.scb.se/en/finding-statistics/statistics-by-subject-area/public-finances/local-government-finances/publicly-owned-enterprises/pong/tables-and-graphs/enterprises-owned-by-regions-2021--some-economic-facts-sek-million/.</w:t>
      </w:r>
    </w:p>
    <w:p w14:paraId="7E3371AC">
      <w:pPr>
        <w:spacing w:before="0" w:after="20" w:line="300" w:lineRule="auto"/>
      </w:pPr>
      <w:r>
        <w:rPr>
          <w:rFonts w:ascii="宋体" w:hAnsi="宋体" w:eastAsia="宋体"/>
          <w:b w:val="0"/>
          <w:sz w:val="16"/>
        </w:rPr>
        <w:t>[45] Official Statistics of Sweden. Business Database [EB/OL]. (2025-12-01)[2026-02-01]. https://www.statistikdatabasen.scb.se/pxweb/en/ssd/START__NV__NV0101/FDBR07N/table/tableViewLayout1/.</w:t>
      </w:r>
    </w:p>
    <w:p w14:paraId="0E216EDC">
      <w:pPr>
        <w:spacing w:before="0" w:after="20" w:line="300" w:lineRule="auto"/>
      </w:pPr>
      <w:r>
        <w:rPr>
          <w:rFonts w:ascii="宋体" w:hAnsi="宋体" w:eastAsia="宋体"/>
          <w:b w:val="0"/>
          <w:sz w:val="16"/>
        </w:rPr>
        <w:t>[46] Official Statistics of Sweden. Labour Market [EB/OL]. (2025-12-01)[2026-02-01]. https://www.statistikdatabasen.scb.se/pxweb/en/ssd/START__AM__AM0211__AM0211A/PagaendeAnstAnstTid/table/tableViewLayout1/.</w:t>
      </w:r>
    </w:p>
    <w:p w14:paraId="001FF5CF">
      <w:pPr>
        <w:spacing w:before="0" w:after="20" w:line="300" w:lineRule="auto"/>
      </w:pPr>
      <w:r>
        <w:rPr>
          <w:rFonts w:ascii="宋体" w:hAnsi="宋体" w:eastAsia="宋体"/>
          <w:b w:val="0"/>
          <w:sz w:val="16"/>
        </w:rPr>
        <w:t>[47] Official Statistics of Sweden. National Accounts [EB/OL]. (2025-12-01)[2026-02-01]. https://www.statistikdatabasen.scb.se/pxweb/en/ssd/START__NR__NR0103__NR0103A/NR0103ENS2010T01Kv/table/tableViewLayout1/.</w:t>
      </w:r>
    </w:p>
    <w:p w14:paraId="623DB293">
      <w:pPr>
        <w:spacing w:before="0" w:after="20" w:line="300" w:lineRule="auto"/>
      </w:pPr>
      <w:r>
        <w:rPr>
          <w:rFonts w:ascii="宋体" w:hAnsi="宋体" w:eastAsia="宋体"/>
          <w:b w:val="0"/>
          <w:sz w:val="16"/>
        </w:rPr>
        <w:t>[48] 埃冈·纽伯格、威廉·达菲. 比较经济体制[M]. 荣敬本, 等译. 北京: 商务印书馆, 1984.</w:t>
      </w:r>
    </w:p>
    <w:p w14:paraId="00B752F7">
      <w:pPr>
        <w:spacing w:before="0" w:after="20" w:line="300" w:lineRule="auto"/>
      </w:pPr>
      <w:r>
        <w:rPr>
          <w:rFonts w:ascii="宋体" w:hAnsi="宋体" w:eastAsia="宋体"/>
          <w:b w:val="0"/>
          <w:sz w:val="16"/>
        </w:rPr>
        <w:t>[49] 张忠波. 20世纪90年代瑞典分配制度改革及启示[J]. 长春工程学院学报(社会科学版), 2015(2): 1-3.</w:t>
      </w:r>
    </w:p>
    <w:p w14:paraId="37826425">
      <w:pPr>
        <w:spacing w:before="0" w:after="20" w:line="300" w:lineRule="auto"/>
      </w:pPr>
      <w:r>
        <w:rPr>
          <w:rFonts w:ascii="宋体" w:hAnsi="宋体" w:eastAsia="宋体"/>
          <w:b w:val="0"/>
          <w:sz w:val="16"/>
        </w:rPr>
        <w:t>[50] Ekonomifakta, Official Statistics of Sweden [EB/OL]. (2025-12-01)[2026-02-01]. https://www.ekonomifakta.se/sakomraden/makroekonomi/tillvaxt/bnp-detaljerat_1208758.html.</w:t>
      </w:r>
    </w:p>
    <w:p w14:paraId="2D1E26EB">
      <w:pPr>
        <w:spacing w:before="0" w:after="20" w:line="300" w:lineRule="auto"/>
      </w:pPr>
      <w:r>
        <w:rPr>
          <w:rFonts w:ascii="宋体" w:hAnsi="宋体" w:eastAsia="宋体"/>
          <w:b w:val="0"/>
          <w:sz w:val="16"/>
        </w:rPr>
        <w:t>[51] 阎安. 瑞典的社会福利制度及其特点[J]. 科学·经济·社会, 2006(1): 66-69.</w:t>
      </w:r>
    </w:p>
    <w:p w14:paraId="13F95453">
      <w:pPr>
        <w:spacing w:before="0" w:after="20" w:line="300" w:lineRule="auto"/>
      </w:pPr>
      <w:r>
        <w:rPr>
          <w:rFonts w:ascii="宋体" w:hAnsi="宋体" w:eastAsia="宋体"/>
          <w:b w:val="0"/>
          <w:sz w:val="16"/>
        </w:rPr>
        <w:t>[52] Official Statistics of Sweden [EB/OL]. (2021-12-01)[2026-02-01]. https://www.scb.se/en/finding-statistics/statistics-by-subject-area/balance-of-payments-and-international-investment-position/balance-of-payments-and-international-investment-position/balance-of-payments-bop/pong/statistical-news/direct-investment-2021--assets-and-income/.</w:t>
      </w:r>
    </w:p>
    <w:p w14:paraId="5DE05664">
      <w:pPr>
        <w:spacing w:before="0" w:after="20" w:line="300" w:lineRule="auto"/>
      </w:pPr>
      <w:r>
        <w:rPr>
          <w:rFonts w:ascii="宋体" w:hAnsi="宋体" w:eastAsia="宋体"/>
          <w:b w:val="0"/>
          <w:sz w:val="16"/>
        </w:rPr>
        <w:t>[53] Alva Ohlsson. Exportandelar [EB/OL]. (2025-09-01)[2026-02-01]. Ekonomifakta, Official Statistics of Sweden, https://www.ekonomifakta.se/sakomraden/makroekonomi/handel/exportandelar_1210953.html.</w:t>
      </w:r>
    </w:p>
    <w:p w14:paraId="1C03E300">
      <w:pPr>
        <w:spacing w:before="0" w:after="20" w:line="300" w:lineRule="auto"/>
      </w:pPr>
      <w:r>
        <w:rPr>
          <w:rFonts w:ascii="宋体" w:hAnsi="宋体" w:eastAsia="宋体"/>
          <w:b w:val="0"/>
          <w:sz w:val="16"/>
        </w:rPr>
        <w:t>[54] Exportens Bidrag Till BNP [EB/OL]. (2025-12-02)[2026-02-01]. Ekonomifakta, Official Statistics of Sweden, https://www.ekonomifakta.se/sakomraden/makroekonomi/handel/exportens-bidrag-till-bnp_1221047.html.</w:t>
      </w:r>
    </w:p>
    <w:p w14:paraId="58DAF5D6">
      <w:pPr>
        <w:spacing w:before="0" w:after="20" w:line="300" w:lineRule="auto"/>
      </w:pPr>
      <w:r>
        <w:rPr>
          <w:rFonts w:ascii="宋体" w:hAnsi="宋体" w:eastAsia="宋体"/>
          <w:b w:val="0"/>
          <w:sz w:val="16"/>
        </w:rPr>
        <w:t>[55] 对外投资合作国别(地区)指南：瑞典2024版[EB/OL]. (2024-02-16)[2026-02-01]. http://www.mofcom.gov.cn/dl/gbdqzn/upload/ruidian.pdf.</w:t>
      </w:r>
    </w:p>
    <w:p w14:paraId="479C0902">
      <w:pPr>
        <w:spacing w:before="0" w:after="20" w:line="300" w:lineRule="auto"/>
      </w:pPr>
      <w:r>
        <w:rPr>
          <w:rFonts w:ascii="宋体" w:hAnsi="宋体" w:eastAsia="宋体"/>
          <w:b w:val="0"/>
          <w:sz w:val="16"/>
        </w:rPr>
        <w:t>[56] Strategy for Sweden's Trade, Investment and Global Competitiveness [EB/OL]. (2024-12-01)[2026-02-01]. https://www.government.se/contentassets/cc8b5c6c15724583855273c16111662b/strategy-for-swedens-trade-investment-and-global-competitiveness.pdf.</w:t>
      </w:r>
    </w:p>
    <w:p w14:paraId="5CA866F1">
      <w:pPr>
        <w:spacing w:before="0" w:after="20" w:line="300" w:lineRule="auto"/>
      </w:pPr>
      <w:r>
        <w:rPr>
          <w:rFonts w:ascii="宋体" w:hAnsi="宋体" w:eastAsia="宋体"/>
          <w:b w:val="0"/>
          <w:sz w:val="16"/>
        </w:rPr>
        <w:t>[57] Ericsson Annual Report 2024 [EB/OL]. (2024-12-01)[2026-02-01]. https://www.ericsson.com/49317f/assets/local/investors/documents/2024/annual-report-2024-en.pdf.</w:t>
      </w:r>
    </w:p>
    <w:p w14:paraId="5EAEB7DF">
      <w:pPr>
        <w:spacing w:before="0" w:after="20" w:line="300" w:lineRule="auto"/>
      </w:pPr>
      <w:r>
        <w:rPr>
          <w:rFonts w:ascii="宋体" w:hAnsi="宋体" w:eastAsia="宋体"/>
          <w:b w:val="0"/>
          <w:sz w:val="16"/>
        </w:rPr>
        <w:t>[58] 赵频, 丁振国. 瑞典积极劳动力市场政策产生的动因[J]. 理论月刊, 2016(4): 173-178.</w:t>
      </w:r>
    </w:p>
    <w:p w14:paraId="6A443AEE">
      <w:pPr>
        <w:spacing w:before="0" w:after="20" w:line="300" w:lineRule="auto"/>
      </w:pPr>
      <w:r>
        <w:rPr>
          <w:rFonts w:ascii="宋体" w:hAnsi="宋体" w:eastAsia="宋体"/>
          <w:b w:val="0"/>
          <w:sz w:val="16"/>
        </w:rPr>
        <w:t>[59] 公平收入分配 构建和谐社会——瑞典收入分配情况考察及启示[EB/OL]. (2008-06-20)[2026-02-01]. https://bgt.mof.gov.cn/diaochayanjiu/200806/t20080620_47592.htm.</w:t>
      </w:r>
    </w:p>
    <w:p w14:paraId="51CCFF2B">
      <w:pPr>
        <w:spacing w:before="0" w:after="20" w:line="300" w:lineRule="auto"/>
      </w:pPr>
      <w:r>
        <w:rPr>
          <w:rFonts w:ascii="宋体" w:hAnsi="宋体" w:eastAsia="宋体"/>
          <w:b w:val="0"/>
          <w:sz w:val="16"/>
        </w:rPr>
        <w:t>[60] Företagens Vinster ökar på Lönernas Bekostnad [EB/OL]. (2017-04-19)[2026-02-01]. https://www.scb.se/hitta-statistik/artiklar/2017/Foretagens-vinster-okar-pa-lonernas-bekostnad/.</w:t>
      </w:r>
    </w:p>
    <w:p w14:paraId="14CF9364">
      <w:pPr>
        <w:spacing w:before="0" w:after="20" w:line="300" w:lineRule="auto"/>
      </w:pPr>
      <w:r>
        <w:rPr>
          <w:rFonts w:ascii="宋体" w:hAnsi="宋体" w:eastAsia="宋体"/>
          <w:b w:val="0"/>
          <w:sz w:val="16"/>
        </w:rPr>
        <w:t>[61] Katarina Wagman. Löneandel och Vinstandel [EB/OL]. (2025-12-19)[2026-02-01]. https://www.ekonomifakta.se/sakomraden/arbetsmarknad/loner/loneandel-och-vinstandel_1209636.html.</w:t>
      </w:r>
    </w:p>
    <w:p w14:paraId="0EE3DD41">
      <w:pPr>
        <w:spacing w:before="0" w:after="20" w:line="300" w:lineRule="auto"/>
      </w:pPr>
      <w:r>
        <w:rPr>
          <w:rFonts w:ascii="宋体" w:hAnsi="宋体" w:eastAsia="宋体"/>
          <w:b w:val="0"/>
          <w:sz w:val="16"/>
        </w:rPr>
        <w:t>[62] Svenskt Näringsliv och Skatteverket. Sociala Avgifter över tid [EB/OL]. (2025-07-07)[2026-02-01]. https://www.ekonomifakta.se/sakomraden/skatt/skatt-pa-arbete/sociala-avgifter-over-tid_1209267.html.</w:t>
      </w:r>
    </w:p>
    <w:p w14:paraId="0AEF4029">
      <w:pPr>
        <w:spacing w:before="0" w:after="20" w:line="300" w:lineRule="auto"/>
      </w:pPr>
      <w:r>
        <w:rPr>
          <w:rFonts w:ascii="宋体" w:hAnsi="宋体" w:eastAsia="宋体"/>
          <w:b w:val="0"/>
          <w:sz w:val="16"/>
        </w:rPr>
        <w:t>[63] Official Statistics of Sweden [EB/OL]. (2025-12-01)[2026-02-01]. https://www.scb.se/en/finding-statistics/statistics-by-subject-area/national-accounts/national-accounts/national-accounts-quarterly-and-annual-estimates/pong/tables-and-graphs/tables/government-revenues-and-expenditures-by-sub-sector--/.</w:t>
      </w:r>
    </w:p>
    <w:p w14:paraId="0386ABD8">
      <w:pPr>
        <w:spacing w:before="0" w:after="20" w:line="300" w:lineRule="auto"/>
      </w:pPr>
      <w:r>
        <w:rPr>
          <w:rFonts w:ascii="宋体" w:hAnsi="宋体" w:eastAsia="宋体"/>
          <w:b w:val="0"/>
          <w:sz w:val="16"/>
        </w:rPr>
        <w:t>[64] Official Statistics of Sweden [EB/OL]. (2025-12-01)[2026-02-01]. https://www.scb.se/contentassets/e1cd95cbf83b496a940ea8235acc464c/skattekvot-och-skatteintakter-1980-2023_20240530.xlsx.</w:t>
      </w:r>
    </w:p>
    <w:p w14:paraId="424DF6E6">
      <w:pPr>
        <w:spacing w:before="0" w:after="20" w:line="300" w:lineRule="auto"/>
      </w:pPr>
      <w:r>
        <w:rPr>
          <w:rFonts w:ascii="宋体" w:hAnsi="宋体" w:eastAsia="宋体"/>
          <w:b w:val="0"/>
          <w:sz w:val="16"/>
        </w:rPr>
        <w:t>[65] Utbildningskostnader per utbildningsnivå-internationellt [EB/OL]. (2025-11-28)[2026-02-01]. Ekonomifakta, OECD, https://www.ekonomifakta.se/sakomraden/utbildning-och-forskning/utbildningsinvesteringar/utbildningskostnader-per-utbildningsniva-internationellt_1211757.html.</w:t>
      </w:r>
    </w:p>
    <w:p w14:paraId="528D4DBF">
      <w:pPr>
        <w:spacing w:before="0" w:after="20" w:line="300" w:lineRule="auto"/>
      </w:pPr>
      <w:r>
        <w:rPr>
          <w:rFonts w:ascii="宋体" w:hAnsi="宋体" w:eastAsia="宋体"/>
          <w:b w:val="0"/>
          <w:sz w:val="16"/>
        </w:rPr>
        <w:t>[66] 世界知识产权组织. 2022年全球创新指数[EB/OL]. (2022-12-01)[2026-02-01]. https://www.wipo.int/documents/d/global-innovation-index/docs-en-wipo-pub-2000-2022-en-main-report-global-innovation-index-2022-15th-edition.pdf.</w:t>
      </w:r>
    </w:p>
    <w:p w14:paraId="5C2B06C2">
      <w:pPr>
        <w:spacing w:before="0" w:after="20" w:line="300" w:lineRule="auto"/>
      </w:pPr>
      <w:r>
        <w:rPr>
          <w:rFonts w:ascii="宋体" w:hAnsi="宋体" w:eastAsia="宋体"/>
          <w:b w:val="0"/>
          <w:sz w:val="16"/>
        </w:rPr>
        <w:t>[67] Official Statistics of Sweden. Företagens ekonomi 2022 [EB/OL]. (2025-12-01)[2026-02-01]. https://www.scb.se/contentassets/9d66d35e722e4929be611d715bd1eee4/nv0109_2022a01_sm_nv19sm2402.pdf.</w:t>
      </w:r>
    </w:p>
    <w:p w14:paraId="0FDB40E4">
      <w:pPr>
        <w:spacing w:before="0" w:after="20" w:line="300" w:lineRule="auto"/>
      </w:pPr>
      <w:r>
        <w:rPr>
          <w:rFonts w:ascii="宋体" w:hAnsi="宋体" w:eastAsia="宋体"/>
          <w:b w:val="0"/>
          <w:sz w:val="16"/>
        </w:rPr>
        <w:t>[68] Katarina Wagman. Medianlön och Genomsnittslön i Sverige [EB/OL]. (2025-10-03)[2026-02-01]. https://www.ekonomifakta.se/sakomraden/arbetsmarknad/loner/medianlon-och-genomsnittslon-i-sverige_1210924.html.</w:t>
      </w:r>
    </w:p>
    <w:p w14:paraId="13641734">
      <w:pPr>
        <w:spacing w:before="0" w:after="20" w:line="300" w:lineRule="auto"/>
      </w:pPr>
      <w:r>
        <w:rPr>
          <w:rFonts w:ascii="宋体" w:hAnsi="宋体" w:eastAsia="宋体"/>
          <w:b w:val="0"/>
          <w:sz w:val="16"/>
        </w:rPr>
        <w:t>[69] 马克思恩格斯文集：第10卷[M]. 北京: 人民出版社, 2009.</w:t>
      </w:r>
    </w:p>
    <w:p w14:paraId="3F15E3A8">
      <w:pPr>
        <w:spacing w:before="0" w:after="20" w:line="300" w:lineRule="auto"/>
      </w:pPr>
      <w:r>
        <w:rPr>
          <w:rFonts w:ascii="宋体" w:hAnsi="宋体" w:eastAsia="宋体"/>
          <w:b w:val="0"/>
          <w:sz w:val="16"/>
        </w:rPr>
        <w:t>[70] Kort Analys. Svenskarnas Kapitalinkomster Ojämnt Fördelade [EB/OL]. (2022-06-15)[2026-02-01]. https://www.scb.se/hitta-statistik/artiklar/2022/svenskarnas-kapitalinkomster-ojamnt-fordelade/.</w:t>
      </w:r>
    </w:p>
    <w:p w14:paraId="502F3FFC">
      <w:pPr>
        <w:spacing w:before="0" w:after="20" w:line="300" w:lineRule="auto"/>
      </w:pPr>
      <w:r>
        <w:rPr>
          <w:rFonts w:ascii="宋体" w:hAnsi="宋体" w:eastAsia="宋体"/>
          <w:b w:val="0"/>
          <w:sz w:val="16"/>
        </w:rPr>
        <w:t>[71] 辛向阳. "什么是社会主义"的多维解析[J]. 红旗文稿, 2009(24): 20-23.</w:t>
      </w:r>
    </w:p>
    <w:p w14:paraId="603F2527">
      <w:pPr>
        <w:spacing w:before="0" w:after="20" w:line="300" w:lineRule="auto"/>
      </w:pPr>
      <w:r>
        <w:rPr>
          <w:rFonts w:ascii="宋体" w:hAnsi="宋体" w:eastAsia="宋体"/>
          <w:b w:val="0"/>
          <w:sz w:val="16"/>
        </w:rPr>
        <w:t>[72] 马克思恩格斯文集：第3卷[M]. 北京: 人民出版社, 2009.</w:t>
      </w:r>
    </w:p>
    <w:p w14:paraId="2B35BD09">
      <w:pPr>
        <w:spacing w:before="0" w:after="20" w:line="300" w:lineRule="auto"/>
      </w:pPr>
      <w:r>
        <w:rPr>
          <w:rFonts w:ascii="宋体" w:hAnsi="宋体" w:eastAsia="宋体"/>
          <w:b w:val="0"/>
          <w:sz w:val="16"/>
        </w:rPr>
        <w:t>[73] 丁冰. 从瑞典经济模式看民主社会主义——兼论"保障社会主义"的实质[J]. 高校理论战线, 2007(8): 59-63.</w:t>
      </w:r>
    </w:p>
    <w:p w14:paraId="21462C8B">
      <w:pPr>
        <w:spacing w:before="0" w:after="20" w:line="300" w:lineRule="auto"/>
      </w:pPr>
      <w:r>
        <w:rPr>
          <w:rFonts w:ascii="宋体" w:hAnsi="宋体" w:eastAsia="宋体"/>
          <w:b w:val="0"/>
          <w:sz w:val="16"/>
        </w:rPr>
        <w:t>[74] Callaghan J, Fishman N, Jackson B, et al. In Search of Social Democracy: Responses to Crisis and Modernisation [M]. Manchester: Manchester University Press, 2009.</w:t>
      </w:r>
    </w:p>
    <w:p w14:paraId="16C1BD53">
      <w:pPr>
        <w:spacing w:before="0" w:after="20" w:line="300" w:lineRule="auto"/>
      </w:pPr>
      <w:r>
        <w:rPr>
          <w:rFonts w:ascii="宋体" w:hAnsi="宋体" w:eastAsia="宋体"/>
          <w:b w:val="0"/>
          <w:sz w:val="16"/>
        </w:rPr>
        <w:t>[75] Alva Ohlsson. BNP-internationellt [EB/OL]. (2025-08-27)[2026-02-01]. https://www.ekonomifakta.se/sakomraden/makroekonomi/tillvaxt/bnp-internationellt_1212583.html.</w:t>
      </w:r>
    </w:p>
    <w:p w14:paraId="48ABB47E">
      <w:pPr>
        <w:spacing w:before="0" w:after="20" w:line="300" w:lineRule="auto"/>
      </w:pPr>
      <w:r>
        <w:rPr>
          <w:rFonts w:ascii="宋体" w:hAnsi="宋体" w:eastAsia="宋体"/>
          <w:b w:val="0"/>
          <w:sz w:val="16"/>
        </w:rPr>
        <w:t>[76] Official Statistics of Sweden. Public Finances had a Deficit of SEK 96 Billion [EB/OL]. (2025-03-31)[2026-02-01]. https://www.scb.se/en/finding-statistics/statistics-by-subject-area/national-accounts/national-accounts/excessive-deficit-procedure/pong/statistical-news/excessive-deficit-procedure4/.</w:t>
      </w:r>
    </w:p>
    <w:p w14:paraId="205BACDD">
      <w:pPr>
        <w:spacing w:before="0" w:after="20" w:line="300" w:lineRule="auto"/>
      </w:pPr>
      <w:r>
        <w:rPr>
          <w:rFonts w:ascii="宋体" w:hAnsi="宋体" w:eastAsia="宋体"/>
          <w:b w:val="0"/>
          <w:sz w:val="16"/>
        </w:rPr>
        <w:t>[77] Ekonomifakta, Official Statistics of Sweden [EB/OL]. (2025-12-01)[2026-02-01]. https://www.ekonomifakta.se/sakomraden/arbetsmarknad/sysselsattning/sysselsattningsgrad_1209139.html.</w:t>
      </w:r>
    </w:p>
    <w:p w14:paraId="24DC41BA">
      <w:pPr>
        <w:spacing w:before="0" w:after="20" w:line="300" w:lineRule="auto"/>
      </w:pPr>
      <w:r>
        <w:rPr>
          <w:rFonts w:ascii="宋体" w:hAnsi="宋体" w:eastAsia="宋体"/>
          <w:b w:val="0"/>
          <w:sz w:val="16"/>
        </w:rPr>
        <w:t>[78] 邹升平. 瑞典与中国混合经济模式比较研究——一个基于意识形态的分析视角[J]. 社会科学, 2015(2): 59-66.</w:t>
      </w:r>
    </w:p>
    <w:p w14:paraId="6FFC918A">
      <w:pPr>
        <w:spacing w:before="0" w:after="20" w:line="300" w:lineRule="auto"/>
      </w:pPr>
      <w:r>
        <w:rPr>
          <w:rFonts w:ascii="宋体" w:hAnsi="宋体" w:eastAsia="宋体"/>
          <w:b w:val="0"/>
          <w:sz w:val="16"/>
        </w:rPr>
        <w:t>[79] 程恩富, 董金明. 习近平新时代中国特色社会主义思想对社会主义本质内涵的丰富和发展[J]. 内蒙古社会科学, 2023(4): 1-9.</w:t>
      </w:r>
    </w:p>
    <w:p w14:paraId="4AC1A504">
      <w:pPr>
        <w:spacing w:before="0" w:after="20" w:line="300" w:lineRule="auto"/>
      </w:pPr>
      <w:r>
        <w:rPr>
          <w:rFonts w:ascii="宋体" w:hAnsi="宋体" w:eastAsia="宋体"/>
          <w:b w:val="0"/>
          <w:sz w:val="16"/>
        </w:rPr>
        <w:t>[80] 习近平. 坚持和落实"两个毫不动摇"[J]. 求是, 2025(6): 4-13.</w:t>
      </w:r>
    </w:p>
    <w:p w14:paraId="43C028FF">
      <w:pPr>
        <w:spacing w:before="0" w:after="20" w:line="300" w:lineRule="auto"/>
      </w:pPr>
      <w:r>
        <w:rPr>
          <w:rFonts w:ascii="宋体" w:hAnsi="宋体" w:eastAsia="宋体"/>
          <w:b w:val="0"/>
          <w:sz w:val="16"/>
        </w:rPr>
        <w:t>[81] 毛章勇, 江剑平. 所有制结构、劳动收入份额与居民消费率[J]. 湘潭大学学报(哲学社会科学版), 2021(2): 98-102.</w:t>
      </w:r>
    </w:p>
    <w:p w14:paraId="11553AA9">
      <w:pPr>
        <w:spacing w:before="0" w:after="20" w:line="300" w:lineRule="auto"/>
      </w:pPr>
      <w:r>
        <w:rPr>
          <w:rFonts w:ascii="宋体" w:hAnsi="宋体" w:eastAsia="宋体"/>
          <w:b w:val="0"/>
          <w:sz w:val="16"/>
        </w:rPr>
        <w:t>[82] 中共中央关于制定国民经济和社会发展第十五个五年规划的建议[EB/OL]. (2025-10-28)[2026-02-01]. https://www.news.cn/politics/20251028/08920d9f557c432e99459f8f468504db/c.html.</w:t>
      </w:r>
    </w:p>
    <w:p w14:paraId="6F9EE2B0">
      <w:pPr>
        <w:spacing w:before="0" w:after="20" w:line="300" w:lineRule="auto"/>
      </w:pPr>
      <w:r>
        <w:rPr>
          <w:rFonts w:ascii="宋体" w:hAnsi="宋体" w:eastAsia="宋体"/>
          <w:b w:val="0"/>
          <w:sz w:val="16"/>
        </w:rPr>
        <w:t>[83] 刘凤义, 胡春玲. 瑞典共享型劳资关系的形成、演变与绩效分析[J]. 教学与研究, 2011(11): 55-63.</w:t>
      </w:r>
    </w:p>
    <w:p w14:paraId="2A73F1F6">
      <w:pPr>
        <w:spacing w:before="0" w:after="20" w:line="300" w:lineRule="auto"/>
      </w:pPr>
      <w:r>
        <w:rPr>
          <w:rFonts w:ascii="宋体" w:hAnsi="宋体" w:eastAsia="宋体"/>
          <w:b w:val="0"/>
          <w:sz w:val="16"/>
        </w:rPr>
        <w:t>[84] 关于加强非公有制企业劳动争议预防调解工作的意见[EB/OL]. (2022-07-18)[2026-02-01]. https://www.mohrss.gov.cn/SYrlzyhshbzb/ztzl/ldrszytjzc/fgzc/202207/t20220718_476717.html.</w:t>
      </w:r>
    </w:p>
    <w:p w14:paraId="27AF56B5">
      <w:pPr>
        <w:spacing w:before="0" w:after="20" w:line="300" w:lineRule="auto"/>
      </w:pPr>
      <w:r>
        <w:rPr>
          <w:rFonts w:ascii="宋体" w:hAnsi="宋体" w:eastAsia="宋体"/>
          <w:b w:val="0"/>
          <w:sz w:val="16"/>
        </w:rPr>
        <w:t>[85] 程恩富, 张建刚. 坚持公有制经济为主体与促进共同富裕[J]. 求是学刊, 2013(1): 62-67.</w:t>
      </w:r>
    </w:p>
    <w:p w14:paraId="376F5572">
      <w:pPr>
        <w:spacing w:before="0" w:after="20" w:line="300" w:lineRule="auto"/>
      </w:pPr>
      <w:r>
        <w:rPr>
          <w:rFonts w:ascii="宋体" w:hAnsi="宋体" w:eastAsia="宋体"/>
          <w:b w:val="0"/>
          <w:sz w:val="16"/>
        </w:rPr>
        <w:t>[86] 习近平. 促进高质量充分就业[J]. 求是, 2024(21): 4-8.</w:t>
      </w:r>
    </w:p>
    <w:p w14:paraId="26157A4C">
      <w:pPr>
        <w:spacing w:before="0" w:after="20" w:line="300" w:lineRule="auto"/>
      </w:pPr>
      <w:r>
        <w:rPr>
          <w:rFonts w:ascii="宋体" w:hAnsi="宋体" w:eastAsia="宋体"/>
          <w:b w:val="0"/>
          <w:sz w:val="16"/>
        </w:rPr>
        <w:t>[87] 习近平. 促进我国社会保障事业高质量发展、可持续发展[J]. 求是, 2022(8): 4-10.</w:t>
      </w:r>
    </w:p>
    <w:p w14:paraId="2F75A8E5">
      <w:pPr>
        <w:bidi w:val="0"/>
        <w:ind w:left="0" w:leftChars="0" w:firstLine="0" w:firstLineChars="0"/>
        <w:rPr>
          <w:rFonts w:hint="eastAsia"/>
          <w:lang w:val="en-US" w:eastAsia="zh-CN"/>
        </w:rPr>
      </w:pPr>
    </w:p>
    <w:p w14:paraId="27210AA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38827041">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《当代经济研究》2026年第6期，第二、三作者为</w:t>
      </w:r>
      <w:r>
        <w:rPr>
          <w:rFonts w:hint="default" w:ascii="Times New Roman" w:hAnsi="Times New Roman" w:eastAsia="宋体"/>
          <w:szCs w:val="21"/>
          <w:lang w:val="en-US" w:eastAsia="zh-CN"/>
        </w:rPr>
        <w:t>黄浩</w:t>
      </w:r>
      <w:r>
        <w:rPr>
          <w:rFonts w:hint="eastAsia" w:ascii="Times New Roman" w:hAnsi="Times New Roman" w:eastAsia="宋体"/>
          <w:szCs w:val="21"/>
          <w:lang w:val="en-US" w:eastAsia="zh-CN"/>
        </w:rPr>
        <w:t>、</w:t>
      </w:r>
      <w:r>
        <w:rPr>
          <w:rFonts w:hint="default" w:ascii="Times New Roman" w:hAnsi="Times New Roman" w:eastAsia="宋体"/>
          <w:szCs w:val="21"/>
          <w:lang w:val="en-US" w:eastAsia="zh-CN"/>
        </w:rPr>
        <w:t>庞庆明</w:t>
      </w:r>
      <w:r>
        <w:rPr>
          <w:rFonts w:hint="eastAsia" w:ascii="Times New Roman" w:hAnsi="Times New Roman" w:eastAsia="宋体"/>
          <w:szCs w:val="21"/>
          <w:lang w:val="en-US" w:eastAsia="zh-CN"/>
        </w:rPr>
        <w:t>。</w:t>
      </w:r>
    </w:p>
    <w:p w14:paraId="17977FD0">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宋体" w:hAnsi="宋体" w:eastAsia="宋体" w:cs="宋体"/>
          <w:b/>
          <w:bCs/>
          <w:sz w:val="28"/>
          <w:szCs w:val="28"/>
          <w:lang w:val="en-US" w:eastAsia="zh-CN"/>
        </w:rPr>
      </w:pPr>
      <w:bookmarkStart w:id="1016" w:name="_Toc27565"/>
      <w:bookmarkStart w:id="1017" w:name="_Toc1202588244"/>
      <w:bookmarkStart w:id="1018" w:name="_Toc22560397"/>
      <w:bookmarkStart w:id="1019" w:name="_Toc1973126641"/>
      <w:bookmarkStart w:id="1020" w:name="_Toc1521530667"/>
      <w:bookmarkStart w:id="1021" w:name="_Toc1287544049"/>
      <w:r>
        <w:rPr>
          <w:rFonts w:hint="eastAsia" w:ascii="宋体" w:hAnsi="宋体" w:eastAsia="宋体" w:cs="宋体"/>
          <w:b/>
          <w:bCs/>
          <w:sz w:val="28"/>
          <w:szCs w:val="28"/>
          <w:lang w:val="en-US" w:eastAsia="zh-CN"/>
        </w:rPr>
        <w:t>12《简评&lt;面向中国式现代化的城市高质量发展综合评价报告(2024)&gt;》</w:t>
      </w:r>
      <w:bookmarkEnd w:id="1016"/>
      <w:bookmarkEnd w:id="1017"/>
      <w:bookmarkEnd w:id="1018"/>
      <w:bookmarkEnd w:id="1019"/>
      <w:bookmarkEnd w:id="1020"/>
      <w:bookmarkEnd w:id="1021"/>
    </w:p>
    <w:p w14:paraId="03252E28">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城市作为现代化的重要引擎和承载近十亿人民美好生活向往的重要场域，其高质量发展直接关系 到了中国式现代化的根基与成色。2025年中央城市工作会议将“现代化人民城市”作为城市发展新阶 段的总体目标，并强调要走出一条中国特色城市现代化新路子。面对少子化、老龄化和区域人口增减 分化的人口形势新变化，要实现现代化人民城市建设目标就必然要进行全龄友好型城市建设，特别是 青年友好型与老年友好型城市建设，以应对日益严峻的人口形势。标准制定是引领质量提升的重要依 据，通过构建科学、客观、可行的城市高质量发展评价体系，能够精准推动全龄友好视域下的城市高 质量发展。</w:t>
      </w:r>
    </w:p>
    <w:p w14:paraId="7916CEB9">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袁晓玲教授团队的系列专著《面向中国式现代化的城市高质量发展综合评价报告(2024)》(该 书已由经济科学出版社2025年1月出版),立足中国式现代化奋斗目标，以“人民城市”理念为指导， 以全龄友好型城市建设为线索，以标准建设助推质量发展为思路，聚焦不同年龄群体对于城市高质量 发展的差异化需要，构建出了全龄友好视域下城市高质量发展评价体系，并着重对青年友好和老年友 好视域下的城市高质量发展进行综合评价。面对人口形势的变化，该书的出版恰逢其时，它不仅是一 部严谨的学术报告，也为马克思主义人本观与新时代城市治理搭建了实证桥梁，是对中国特色城市现 代化新路子的有益探索。</w:t>
      </w:r>
    </w:p>
    <w:p w14:paraId="4392337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该书有以下几点特色之处：第一，理论突破。基于人民城市理念，创造性地阐释了城市高质量发 展理论内涵。第二，方法创新。坚持客观发展与主观感受相统一、一般性与特殊性相统一的原则，通 过整合城市客观发展指数与居民主观满意度评价问卷，构建出了兼具全域覆盖性与群体特异性的城市 高质量发展评价体系。第三，决策支撑。该书揭示的城市发展不平衡、主客观发展错位等核心问题以 及提供的翔实数据与精准维度分析，为各级政府识别短板、优化政策、因地制宜推进全龄友好型城市 建设提供了极具参考价值的路线图和诊断书。</w:t>
      </w:r>
    </w:p>
    <w:p w14:paraId="271517B4">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该书最引人深思的发现是：城市客观发展与居民主观感受存在明显不   同步。北上广深杭等一线城市的客观发展指数遥遥领先，但在居民主观满   意度评价中，青岛、长沙和成都等城市却更为亮眼。这一主客观相背离的  现象深刻揭示了：城市客观发展硬实力的提升未必能同步转化为居民的获   得感、幸福感和安全感，城市发展亟须在关注“物”的同时更加聚焦“人” 的细腻感受与多元需求。当全球城市陷入增长主义陷阱时，该书代表了中   国学者对城市现代化的重新审视：城市现代化的本质不是摩天大楼的高度，  而是对不同群体差异化需求的响应温度。该评价体系犹如一把“人本标尺”,  既能量度当下城市发展的短板，亦为未来城市治理指出了实践方向。</w:t>
      </w:r>
    </w:p>
    <w:p w14:paraId="44C0447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《政治经济学研究》2026年第1期。</w:t>
      </w:r>
    </w:p>
    <w:p w14:paraId="67A4F93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6DEA184F">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Times New Roman" w:hAnsi="Times New Roman" w:eastAsia="宋体"/>
          <w:b/>
          <w:bCs/>
          <w:sz w:val="28"/>
          <w:szCs w:val="28"/>
          <w:lang w:val="en-US" w:eastAsia="zh-CN"/>
        </w:rPr>
      </w:pPr>
      <w:bookmarkStart w:id="1022" w:name="_Toc2467"/>
      <w:bookmarkStart w:id="1023" w:name="_Toc1215470507"/>
      <w:bookmarkStart w:id="1024" w:name="_Toc1932014991"/>
      <w:bookmarkStart w:id="1025" w:name="_Toc130651793"/>
      <w:bookmarkStart w:id="1026" w:name="_Toc896978313"/>
      <w:bookmarkStart w:id="1027" w:name="_Toc1707604371"/>
      <w:r>
        <w:rPr>
          <w:rFonts w:hint="eastAsia" w:ascii="Times New Roman" w:hAnsi="Times New Roman"/>
          <w:b/>
          <w:bCs/>
          <w:sz w:val="28"/>
          <w:szCs w:val="28"/>
          <w:lang w:val="en-US" w:eastAsia="zh-CN"/>
        </w:rPr>
        <w:t>13</w:t>
      </w:r>
      <w:r>
        <w:rPr>
          <w:rFonts w:hint="eastAsia" w:ascii="Times New Roman" w:hAnsi="Times New Roman" w:eastAsia="宋体"/>
          <w:b/>
          <w:bCs/>
          <w:sz w:val="28"/>
          <w:szCs w:val="28"/>
          <w:lang w:val="en-US" w:eastAsia="zh-CN"/>
        </w:rPr>
        <w:t>习近平总书记关于扶贫脱贫工作的重要论述是“两个结合”的伟大成果</w:t>
      </w:r>
      <w:bookmarkEnd w:id="1022"/>
      <w:bookmarkEnd w:id="1023"/>
      <w:bookmarkEnd w:id="1024"/>
      <w:bookmarkEnd w:id="1025"/>
      <w:bookmarkEnd w:id="1026"/>
      <w:bookmarkEnd w:id="1027"/>
    </w:p>
    <w:p w14:paraId="1BAF719B">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173D579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习近平总书记关于扶贫脱贫工作的重要论述，是马克思主义基本原理同中国具体实际相结合、同中华优秀传统文化相结合的伟大成果，深深植根于中国共产党带领人民百年反贫困的奋斗历程和实践探索，是对党的反贫困理论的继承和发展，开辟了马克思主义反贫困理论中国化时代化的新境界。党的十八大以来，以习近平同志为核心的党中央把脱贫攻坚摆在治国理政的突出位置，提出精准扶贫方略，创造性地回答了“扶持谁”、“谁来扶”、“怎么扶”、“如何退”、“如何稳”等关键问题。经过8年持续奋斗，现行标准下9899万农村贫困人口全部脱贫，832个贫困县全部摘帽，创造了彪炳史册的人间奇迹。这一重要论述不仅实现了马克思主义反贫困理论的重大创新，而且传承了中华民族扶贫济困、守望相助的优秀文化基因，是“两个结合”的光辉典范，具有重大的理论价值和实践价值。</w:t>
      </w:r>
    </w:p>
    <w:p w14:paraId="70E21766">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194A0246">
      <w:pPr>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b/>
          <w:bCs/>
          <w:sz w:val="24"/>
          <w:szCs w:val="24"/>
          <w:lang w:val="en-US" w:eastAsia="zh-CN"/>
        </w:rPr>
      </w:pPr>
      <w:r>
        <w:rPr>
          <w:rFonts w:hint="eastAsia" w:ascii="Times New Roman" w:hAnsi="Times New Roman" w:eastAsia="宋体"/>
          <w:b/>
          <w:bCs/>
          <w:sz w:val="24"/>
          <w:szCs w:val="24"/>
          <w:lang w:val="en-US" w:eastAsia="zh-CN"/>
        </w:rPr>
        <w:t>一、习近平总书记关于扶贫脱贫工作的重要论述是对马克思主义反贫困理论的继承和发展</w:t>
      </w:r>
    </w:p>
    <w:p w14:paraId="60D5235E">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1669604E">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进入新时代以来，以习近平同志为核心的党中央团结带领全党全国各族人民开展脱贫攻坚伟大实践，提出了一系列新思想新观点新论断，形成了习近平总书记关于扶贫脱贫工作的重要论述。这一论述以马克思主义为理论根基，既传承其立场、观点和方法，又根据当代中国实际情况作出创造性发展，开辟了马克思主义反贫困理论新境界。</w:t>
      </w:r>
    </w:p>
    <w:p w14:paraId="3087E4F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党的领导在马克思主义反贫困理论中占据核心位置，习近平总书记关于扶贫脱贫工作的重要论述牢牢坚持这一根本政治原则。《共产党宣言》中明确指出“工人革命的第一步就是使无产阶级上升为统治阶级”，揭示无产阶级必须建立自身政党、掌握政权才可能从根本上摆脱贫困。列宁进一步强调党是无产阶级的“最高形式”，阐明党所具备的先进性与组织性能够把零散的个体力量汇聚成改造社会的磅礴动能。新时代脱贫攻坚实行五级书记抓扶贫、全党动员促攻坚，让鲜红的党旗始终在脱贫攻坚主战场上高高飘扬。按照中央统筹、省负总责、市县抓落实的工作机制，22个省份党政主要负责同志向中央签署责任书、立下“军令状”，编织出横向到边、纵向到底的责任网。这充分展现出中国共产党作为领导核心总揽全局、协调各方的能力，为脱贫攻坚战取得全面胜利奠定了坚实的政治基础和组织基础。</w:t>
      </w:r>
    </w:p>
    <w:p w14:paraId="1AA4601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人民立场贯穿马克思主义反贫困理论始终，构成习近平总书记关于扶贫脱贫工作的重要论述的价值导向。恩格斯关于“保证一切社会成员有富足的和一天比一天充裕的物质生活”的论述，将人民立场具象化为可感知的物质福祉目标。这为社会主义反贫困事业提供了价值指引。习近平总书记注重把马克思主义人民观创造性地转化为以人民为中心的脱贫行动，指出“人民对美好生活的向往，就是我们的奋斗目标”，将群众是否满意作为检验脱贫成果的根本尺度。各级党委和政府把困难群众的冷暖安危记在心里、把脱贫责任扛在肩上，这是坚守马克思主义人民立场的生动体现。“全面建成小康社会，一个民族都不能少”，不允许任何地区、任何民族在奔向全面小康的征程中落伍。这让脱贫攻坚真正成为惠及民众、深得民心的德政工程，展现出中国共产党践行全心全意为人民服务根本宗旨的时代风采。</w:t>
      </w:r>
    </w:p>
    <w:p w14:paraId="5B81F821">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发挥社会主义制度优越性是马克思主义反贫困理论的重要命题，也是习近平总书记关于扶贫脱贫工作的重要论述的鲜明特色。恩格斯系统阐述了社会主义能够“按照社会总体和每个成员的需要对生产进行的社会的有计划的调节”，规避资本主义生产的混乱状态与周期性危机。习近平总书记把社会主义制度优势创造性地转化为脱贫攻坚的强劲推力。在格局设计上，专项扶贫针对深度贫困区域与特殊困难群体；行业扶贫让各部门发挥自身优势，教育医疗交通水利等部门分头实施专项行动；社会扶贫广泛发动企业、社会组织、个人参与，构成全方位、立体化扶贫网络。在区域合作上，东部9个省份、14个市结对帮扶中西部14个省区市，307家中央单位定点扶贫592个贫困县。在资源投入上，中央财政专项扶贫资金从2012年的326亿元增长到2020年的1461亿元，年均增长20.6%。这种大规模持续性的资源投入能力正是中国特色社会主义制度优越性的直接体现。</w:t>
      </w:r>
    </w:p>
    <w:p w14:paraId="1DD133C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科学方法论是马克思主义反贫困理论的重要内容，也是提高反贫困工作实效的关键要素。恩格斯明确提出“原则不是研究的出发点，而是它的最终结果”，必须根据具体情况灵活运用马克思主义基本原理。正是遵循这一方法论，习近平总书记创造性提出精准扶贫方略，实现了从“大水漫灌”到“精准滴灌”的深刻变革。习近平总书记提出，“扶贫开发推进到今天这样的程度，贵在精准，重在精准，成败之举在于精准。”党和国家建立全国扶贫开发信息系统，通过建档立卡对12.8万个贫困村、近1亿贫困人口实施动态管理，做到扶持对象精准、项目安排精准、资金使用精准、措施到户精准、因村派人精准、脱贫成效精准。习近平总书记提出发展生产脱贫一批、易地搬迁脱贫一批、生态补偿脱贫一批、发展教育脱贫一批、社会保障兜底一批，完成从“输血式”扶贫向“造血式”帮扶的根本转变。这从粗放转向精细、从笼统走向具体，真正做到对症下药、靶向治疗。</w:t>
      </w:r>
    </w:p>
    <w:p w14:paraId="1350B327">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人民群众在历史发展中的主体作用是马克思主义反贫困理论的核心命题，也是反贫困事业走向成功的根本保障。马克思、恩格斯指出“历史活动是群众的活动”，将历史创造的主体从少数英雄归还给人民大众。习近平总书记创造性发展马克思主义关于人的主体性理论，强调贫困群众既是脱贫攻坚的对象更是脱贫致富的主体，扶贫要同扶智、扶志结合起来。习近平总书记强调，“摆脱贫困首要并不是摆脱物质的贫困，而是摆脱意识和思路的贫困”，将“志”与“智”并举，既要激发内生动力又要提升发展能力。只有帮助贫困群众“扶”起脱贫的志气、挺起脱贫的腰板，才能真正激发出持久的脱贫致富动力。通过树立脱贫光荣导向、宣传自力更生典型、推行生产奖补等激励机制，有效激发贫困群众内生动力，使其从被动受助转变为主动脱贫，真正成为脱贫攻坚的参与者、推动者和受益者。</w:t>
      </w:r>
    </w:p>
    <w:p w14:paraId="5031CCAE">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团结互助思想在马克思主义反贫困理论中占有重要地位，也是凝聚反贫困强大合力的法宝。《共产党宣言》中发出“全世界无产者，联合起来！”的伟大号召，深刻阐明无产阶级只有团结起来形成强大阶级力量才能打破资产阶级统治、实现自身解放。习近平总书记对马克思主义的团结互助思想进行创造性拓展，提出“扶贫开发是全党全社会的共同责任，要动员和凝聚全社会力量广泛参与”。12.7万家民营企业参与的“万企帮万村”行动投入1100多亿元惠及1800多万建档立卡贫困人口，搭建中国社会扶贫网等平台，促进贫困户需求与社会各界爱心对接。各民主党派中央对口8个省区开展脱贫攻坚民主监督，工商联组织民营企业参与扶贫，形成全党全国各族人民齐心协力向贫困宣战的强大合力。这凝聚起脱贫攻坚的磅礴力量，生动诠释了社会主义大家庭守望相助的价值追求。</w:t>
      </w:r>
    </w:p>
    <w:p w14:paraId="7A50BE39">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实事求是是马克思主义反贫困理论的精髓，也是保证减贫治理取得实效的根本方法。马克思提出“哲学家们只是用不同的方式解释世界，而问题在于改变世界”，强调实践是检验真理的唯一标准。以习近平同志为核心的党中央把实事求是原则创造性转化为一整套制度化体系化的监督考核机制。扶贫脱贫实行省际交叉考核、第三方评估、媒体暗访、群众评议等，每年对省级党委、政府扶贫开发工作成效进行考核。贫困人口退出必须实行民主评议，贫困村、贫困县退出必须进行审核审查，退出结果公示公告，确保脱贫结果真实可信。对贫困县党政负责同志的考核，要提高减贫、民生、生态方面指标的权重，把扶贫实绩作为选拔任用干部的重要依据，对完不成任务的地方党政主要负责人进行约谈。这形成了有力的正向激励与刚性约束，推动各级干部真抓实干、较真碰硬，在脱贫攻坚一线树立起求真务实、真抓实干的鲜明导向。</w:t>
      </w:r>
    </w:p>
    <w:p w14:paraId="40A63B93">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7888075">
      <w:pPr>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b/>
          <w:bCs/>
          <w:sz w:val="24"/>
          <w:szCs w:val="24"/>
          <w:lang w:val="en-US" w:eastAsia="zh-CN"/>
        </w:rPr>
        <w:t>二、习近平总书记关于扶贫脱贫工作的重要论述是对中华优秀传统文化的创新性发展</w:t>
      </w:r>
    </w:p>
    <w:p w14:paraId="764F0487">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A26145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习近平总书记关于扶贫脱贫工作的重要论述，展现出马克思主义基本原理如何与中华优秀传统文化相互融合、彼此成就。中华文明绵延数千年积淀下来的价值追求、社会憧憬、精神气质，在新时代反贫困实践中与马克思主义基本原理交融互鉴，形成崭新的思想结晶。</w:t>
      </w:r>
    </w:p>
    <w:p w14:paraId="02CDC57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选贤与能”在中华传统治理智慧中占据核心位置，体现了古老的中华文明对治国理政人才问题的深刻把握。《礼记·礼运》提出“选贤与能，讲信修睦”，深刻揭示选拔德才兼备之人是理想政治得以建立的基石。从察举到科举，我国在历史演进中逐步形成独具特色的人才甄选体系，展现出中华文明在选贤任能方面的卓越智慧。以习近平同志为核心的党中央高度重视扶贫干部队伍建设，在选派上精准到位，在管理上严格规范，在保障上全面有力。截至2020年底，党和国家向贫困村选派第一书记和驻村工作队，数量达到25.5万个工作队、超过300万名干部，党在基层的覆盖面由此得以拓展，组织力量得以落地。对于能力不足者召回调整，表现突出者提拔使用，“能者上、庸者下、劣者汰”的选人用人标准贯穿始终。必须在政治上给予激励、工作上提供支持、待遇上落实保障、心理上进行疏导，让扶贫干部能够心无旁骛地投入工作、建功立业。</w:t>
      </w:r>
    </w:p>
    <w:p w14:paraId="623051C1">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民惟邦本”浓缩了中华传统民本思想的精髓，蕴藏着对人民在国家治理中重要地位的朴素认知。《尚书·五子之歌》中的“民惟邦本，本固邦宁”，将人民视作国家大厦的根基，以建筑学的朴素比喻道出了人民在国家治理中的基础地位。习近平总书记鲜明地提出，“全面建成小康社会，是我们对全国人民的庄严承诺，必须实现，而且必须全面实现，没有任何讨价还价的余地”，脱贫不再是统治者的恩赐施舍，而是人民理应享有的权利、党和国家必须兑现的承诺，“施恩于民”转向“还权于民”。社会主义制度中以人民为中心这一根本属性得到充分体现，“民惟邦本”从维护统治工具升华为人民当家作主的重要理念。各类扶贫项目和扶贫活动都要紧紧围绕贫困群众需求来进行，支持贫困群众探索创新扶贫方式方法，明确要求从群众中来、到群众中去，坚持群众路线，充分尊重群众意愿，发挥群众首创精神。</w:t>
      </w:r>
    </w:p>
    <w:p w14:paraId="7237FA8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大一统”是中华文明独有的政治理念，彰显出中华民族对统一协调、步调一致的心理认同与制度认可。这一理念最早可追溯至《春秋公羊传》提出“何言乎王正月？大一统也”的表述。千百年来，这种思想不断沉淀，塑造出“天下一家”的文化心理和集体协作的行动传统。在这场声势浩大的脱贫攻坚人民战争中，“大一统”智慧获得了创造性转化，集中体现为在党的领导下集中力量办大事，国家统一有效组织各项事业、开展各项工作。《中共中央 国务院关于打赢脱贫攻坚战的决定》明确提出了“充分发挥各级党委总揽全局、协调各方的领导核心作用，严格执行脱贫攻坚一把手负责制，省市县乡村五级书记一起抓。”党中央一声令下，全国上下迅速响应，各级压实责任，政令畅通无阻、执行雷厉风行。这种统一调度、协调一致的组织动员能力，正是“大一统”传统在当代的生动展现。</w:t>
      </w:r>
    </w:p>
    <w:p w14:paraId="1CDFCD96">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中华文明积淀着丰富的精准思维、因地制宜智慧，反映出尊重差异、把握特点、对症下药的方法论传统。孔子提出“因材施教”，充分展现出根据对象特点，因人而异采取不同教育方式的智慧。中医“辨证施治”通过望闻问切找准病因，根据不同体质开具不同药方，强调“一人一方”、“对症下药”，形成了精准诊断、精准治疗的医学传统。习近平总书记创造性地将传统精准智慧转化为扶贫工作的科学方法论，明确指出“要坚持因人因地施策，因贫困原因施策，因贫困类型施策，区别不同情况，做到对症下药、精准滴灌、靶向治疗，不搞大水漫灌、走马观花、大而化之”。党和国家通过建档立卡制度，运用科学方法与规范程序，建立全国扶贫开发信息系统，对12.8万个贫困村、近1亿贫困人口实施动态管理，在制度层面确保了帮扶对象的准确性与可追踪性。在精准识别基础上，深入调研致贫根源，针对缺资金、缺技术、缺劳力、因病因残等不同致贫原因，分别开具对应“药方”，将中医“辨证施治”的逻辑转化为扶贫领域的“靶向治疗”，确保帮扶措施精准到户、精准到人，从而保证脱贫攻坚质量和成色。</w:t>
      </w:r>
    </w:p>
    <w:p w14:paraId="1BEE08C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自强不息”作为中华民族核心精神品格，彰显出中华民族艰苦奋斗的文化基因。《周易》中“天行健，君子以自强不息”，将自然天道运行不止的刚健特性与人的道德实践相联系。这种理念在历史长河中不断演化，生发出“天道酬勤”、“业精于勤”等实践伦理，淬炼了中华民族艰苦奋斗的文化基因。习近平总书记创造性地激活了“自强不息”精神基因，指出“人穷志不能短，扶贫必先扶志。没有比人更高的山，没有比脚更长的路”，强调脱贫致富终究要靠贫困群众用自己的辛勤劳动来实现，提倡崇尚劳动、尊重创造的社会风尚。精神的自强还需能力的支撑，如果凭空救济出一个新村，简单改变村容村貌，内在活力不行，劳动力不能回流，没有经济上的持续来源，这个地方下一步发展还是有问题。各级党委和政府运用技能培训、产业扶持、创业支持等多种方式，完成了从“授人以鱼”向“授人以渔”的转变。</w:t>
      </w:r>
    </w:p>
    <w:p w14:paraId="4B6C8E5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中华文明将“公天下”视为至高追求，这种精神超越一己之私，将苍生福祉置于首位，倡导守望相助。《礼记·礼运》描绘“大道之行也，天下为公”图景，展现财富共享、贤能当政之社会愿景。习近平总书记提出，“我们始终坚定人民立场，强调消除贫困、改善民生、实现共同富裕是社会主义的本质要求，是我们党坚持全心全意为人民服务根本宗旨的重要体现，是党和政府的重大责任”。在党的集中统一领导下，互助合作深度嵌入到扶贫脱贫之中。党员干部与贫困户点对点结对帮扶，将党的组织动员能力转化为可感可及的帮扶资源。“龙头企业﹢合作社﹢贫困户”利益联结机制广泛推行，贫困户以股权量化方式分享产业链增值红利，形成风险共担、收益共享的合作格局。“中国社会扶贫网”等平台精准对接社会各界力量，将分散的社会善意转化为有组织、可持续的帮扶合力。</w:t>
      </w:r>
    </w:p>
    <w:p w14:paraId="6B7DC77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知行合一”汇聚了中华文明的实践智慧，体现出中华民族务实求真、学以致用的文化特质。早在《汉书》中就有“修学好古，实事求是”的记载，这种尊重事实、拒斥虚妄的态度塑造了中华民族踏实做事、讲求实效、拒绝空谈的精神传统。回望脱贫攻坚征程，扶贫领域一些腐败和作风问题曾经严重影响脱贫攻坚进程效果，严重侵害人民群众特别是贫困群众利益，以习近平同志为核心的党中央明确提出，“要把全面从严治党要求贯穿脱贫攻坚全过程，强化作风建设，确保扶贫工作务实、脱贫过程扎实、脱贫结果真实”，对“虚假式”脱贫、“算账式”脱贫等问题从严查处，坚决整治不切实际随意下任务的“指标式”脱贫。各地建立相应的低收入人口识别认定标准，能够准确识别、确定贫困人员，形成一套成型的、可行的帮扶办法，形成规范化、标准化的扶贫机制。扶贫干部深入一线了解实情，走村入户掌握民情，访贫问苦解决难题，将“纸上得来终觉浅”的实践观念转变为具体行动，推动党中央脱贫攻坚各项决策部署落地见效。</w:t>
      </w:r>
    </w:p>
    <w:p w14:paraId="63463448">
      <w:pPr>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b/>
          <w:bCs/>
          <w:sz w:val="24"/>
          <w:szCs w:val="24"/>
          <w:lang w:val="en-US" w:eastAsia="zh-CN"/>
        </w:rPr>
      </w:pPr>
      <w:r>
        <w:rPr>
          <w:rFonts w:hint="eastAsia" w:ascii="Times New Roman" w:hAnsi="Times New Roman" w:eastAsia="宋体"/>
          <w:b/>
          <w:bCs/>
          <w:sz w:val="24"/>
          <w:szCs w:val="24"/>
          <w:lang w:val="en-US" w:eastAsia="zh-CN"/>
        </w:rPr>
        <w:t>三、习近平总书记关于扶贫脱贫工作的重要论述的中国特色和时代特征</w:t>
      </w:r>
    </w:p>
    <w:p w14:paraId="76256C3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习近平总书记关于扶贫脱贫工作的重要论述在深入把握人类反贫困事业发展规律的基础上，批判性借鉴国际反贫困理论与实践的有益经验，形成了具有鲜明中国特色和深刻时代特征的科学体系，引领党和人民成功走出了一条中国特色减贫道路。</w:t>
      </w:r>
    </w:p>
    <w:p w14:paraId="0D4276B4">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以人民立场超越个人主义，实现根本价值的升华。西方国家在建设社会保障体系过程中沉淀了大量制度经验，从社会救助到医疗保障，从失业保险到各类福利安排，为现代保障制度提供了可资借鉴的样本。习近平总书记关于扶贫脱贫工作的重要论述在批判性汲取西方国家相关有益经验的同时，实现了价值基点的转换。习近平总书记指出，“消除贫困、改善民生、实现共同富裕，是社会主义的本质要求”，将民众福祉确立为一切工作的出发点和归宿。这既要求规避高福利带来的财政重负与依赖心理，又把保障体系的兜底作用与开发式扶贫的造血机制融为一体，针对群众实际需要展开精确施策。我国坚持个体奋斗与集体帮扶相互支撑，社会参与同国家统筹彼此配合，先富带动后富、共同富裕的价值追求得以落实。党委、政府、社会、市场协同推进，从自愿性、零散化参与跃升为系统性、制度化动员，最终赢得消除绝对贫困这场硬仗。联合国秘书长古特雷斯曾表示，“精准扶贫方略是帮助贫困人口、实现2030年可持续发展议程设定的宏伟目标的唯一途径。”正因其直接聚焦于“贫困人口”这一最需要帮助的群体，将发展目标锚定在人民福祉改善上，深刻体现了人民立场。</w:t>
      </w:r>
    </w:p>
    <w:p w14:paraId="142A42C0">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以唯物史观透视贫困本质，实现理论认识的深化拓展。西方理论在分析贫困成因时，既考查市场运行机制的缺陷和信息流通的障碍如何导致资源配置失衡，也审视个体在教育程度、技能水平、健康状况等禀赋方面的欠缺如何深化贫困处境。习近平总书记关于扶贫脱贫工作的重要论述创新运用马克思主义系统观念，透过市场失灵的表象深入把握生产力发展不平衡不充分这一本质矛盾，超越个体禀赋的局部视角形成区域整体的系统认识。深度贫困地区在收入、生态、产业、文化等多个维度的发展困境，根源于生产力发展水平的滞后以及区域间生产力发展的巨大差距。基于这一认识，以习近平同志为核心的党中央提出区域贫困观和连片扶贫策略，将深度贫困地区作为有机整体进行系统谋划，通过集中资源促进区域生产力跨越式发展。为实现可持续发展，党中央提出脱贫攻坚成果同乡村振兴有效衔接的战略，将脱贫摘帽作为乡村振兴的起点，设立五年过渡期巩固拓展脱贫攻坚成果，建立防止返贫的长效机制，持续推进脱贫地区生产力发展和群众生活改善。</w:t>
      </w:r>
    </w:p>
    <w:p w14:paraId="1A83D745">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以制度优势统筹扶贫力量，实现配置机制的创新突破。西方反贫困实践以市场机制配置资源为主导，政府扮演相对有限的角色。习近平总书记关于扶贫脱贫工作的重要论述在汲取市场机制资源配置功能的基础上，创造性提出“坚持发挥我国社会主义制度能够集中力量办大事的政治优势，形成脱贫攻坚的共同意志、共同行动”。在这一论述指导下建立起中央统筹、省负总责、市县抓落实的工作格局，五级书记抓扶贫得以实行，责任、政策、投入、动员、监督、考核六大体系得以建立，东西部扶贫协作深化推动资源要素跨区域流动，定点扶贫促成多方帮扶合力。社会主义制度能够集中力量办大事的显著优势充分显现。这一论述实现机制创新的关键在于党的领导下有效市场和有为政府相结合，顶层设计、资源统筹、责任落实得到强化，市场机制在产业扶贫、消费扶贫中的积极效能得到发挥，全社会力量被调动起来形成强大合力。这一论述既跳出了西方国家奉行市场单轨扶贫模式的局限，又避开了简单的政府包办做法，创造出政府市场双轮驱动的减贫治理新模式。社会主义制度优势与市场机制效率在此实现有机统一，为发展中国家探索符合自身国情的减贫路径提供了中国样本。</w:t>
      </w:r>
    </w:p>
    <w:p w14:paraId="652D1AA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以精准扶贫方略激发内生动力，实现实践方法的系统革新。西方反贫困长期采用“广覆盖、低标准”的普惠式救济模式，通过救济金、食品券、住房补贴等直接福利供给在短期内缓解生存压力，在社会救助普遍覆盖方面积累了一定经验。习近平总书记关于扶贫脱贫工作的重要论述在借鉴社会救助覆盖经验的基础上，创造性提出“精准扶贫”方略，依托“六个精准”与“五个一批”工程，结合各地实际采取针对性帮扶措施，实现了从“大水漫灌”到“精准滴灌”的重要转变。习近平总书记指出，“精准扶贫是打赢脱贫攻坚战的制胜法宝，开发式扶贫方针是中国特色减贫道路的鲜明特征。”这一论述在保留临时性救济措施兜底保障功能的同时，更加注重以开发式扶贫激活内生动力，强调人民是真正的英雄，激励人民群众自力更生、艰苦奋斗的内生动力，对人民群众创造自己的美好生活至关重要。通过将“扶贫先扶志”摆在突出位置，坚持扶贫同扶志扶智相结合，综合运用能力建设、产业扶持、技能培训等方式，实现物质脱贫与精神脱贫的有机统一，形成了从“输血”到“造血”的可持续脱贫机制。</w:t>
      </w:r>
    </w:p>
    <w:p w14:paraId="767C08E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以共同富裕引领发展方向，实现目标体系质的飞跃。西方自由平等理念关注人的尊严与基本权利，世界银行、联合国开发计划署构建的多维贫困指数将健康、教育、生活水平纳入评估范畴。习近平总书记关于扶贫脱贫工作的重要论述充分参考了这些国际研究成果和平等理念中关于人的尊严和权利的合理要素，但将共同富裕确立为社会主义本质要求和中国式现代化的重要特征，因而超越了西方形式平等的边界与缓解贫困的有限目标。这一目标体现为主体上的全民性，涵盖全体人民；体现内涵上的全面性，强调物质生活富裕与精神生活富足协调发展；彰显实现上的过程性，立足发展不平衡不充分的现实，允许具备有利条件的群体、地区先富起来，通过示范效应与带动作用最终实现全体人民共同富裕。同时，党和国家将国际理论框架与中国具体实践相结合，突破单一收入指标，确立“两不愁三保障”多维脱贫标准，通过教育阻断代际传递、医疗防止因病返贫、住房安全夯实发展基础，建立防止返贫动态监测机制、推进乡村振兴战略，实现了从经济维度向发展维度的跃升，从生存型脱贫到发展型脱贫的历史性跨越，赋予平等理念以社会主义实质平等的内涵。</w:t>
      </w:r>
    </w:p>
    <w:p w14:paraId="703A1242">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贫困，这一困扰人类社会数千年的顽疾，在21世纪的中国大地上被彻底终结。这一人间奇迹的背后，是马克思主义反贫困理论在中国的创造性运用与创新性发展，是“两个结合”结出的丰硕成果。习近平总书记关于扶贫脱贫工作的重要论述，将马克思主义基本原理同中国具体实际相结合、同中华优秀传统文化相结合，实现了反贫困理论的历史性飞跃，形成了中国特色反贫困理论。历史已经并将继续证明：只有社会主义才能真正消除贫困，只有中国共产党才能带领人民实现共同富裕。中国必将在坚持和发展马克思主义反贫困理论中，继续书写人类发展史上更加辉煌的篇章，为构建人类命运共同体贡献更大力量。</w:t>
      </w:r>
    </w:p>
    <w:p w14:paraId="0F239F39">
      <w:pPr>
        <w:pageBreakBefore w:val="0"/>
        <w:widowControl w:val="0"/>
        <w:kinsoku/>
        <w:wordWrap/>
        <w:overflowPunct/>
        <w:topLinePunct w:val="0"/>
        <w:autoSpaceDE/>
        <w:autoSpaceDN/>
        <w:bidi w:val="0"/>
        <w:adjustRightInd w:val="0"/>
        <w:snapToGrid w:val="0"/>
        <w:spacing w:line="360" w:lineRule="auto"/>
        <w:ind w:left="0" w:leftChars="0" w:firstLine="0" w:firstLineChars="0"/>
        <w:jc w:val="both"/>
        <w:textAlignment w:val="auto"/>
        <w:rPr>
          <w:rFonts w:hint="eastAsia" w:ascii="Times New Roman" w:hAnsi="Times New Roman" w:eastAsia="宋体"/>
          <w:szCs w:val="21"/>
          <w:lang w:val="en-US" w:eastAsia="zh-CN"/>
        </w:rPr>
      </w:pPr>
    </w:p>
    <w:p w14:paraId="4B4CEE11">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《人民政协报》2026年4月8日理论研究版</w:t>
      </w:r>
      <w:r>
        <w:rPr>
          <w:rFonts w:hint="eastAsia" w:ascii="Times New Roman" w:hAnsi="Times New Roman"/>
          <w:szCs w:val="21"/>
          <w:lang w:val="en-US" w:eastAsia="zh-CN"/>
        </w:rPr>
        <w:t>，执笔人罗玉辉，组员罗玉辉、王军、廖敏伶）</w:t>
      </w:r>
    </w:p>
    <w:p w14:paraId="66D40466">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6F3F98FA">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宋体" w:hAnsi="宋体" w:eastAsia="宋体" w:cs="宋体"/>
          <w:sz w:val="21"/>
          <w:szCs w:val="21"/>
        </w:rPr>
      </w:pPr>
      <w:bookmarkStart w:id="1028" w:name="_Toc1423211097"/>
      <w:bookmarkStart w:id="1029" w:name="_Toc1136397717"/>
      <w:bookmarkStart w:id="1030" w:name="_Toc179304651"/>
      <w:bookmarkStart w:id="1031" w:name="_Toc23361"/>
      <w:bookmarkStart w:id="1032" w:name="_Toc1548360885"/>
      <w:bookmarkStart w:id="1033" w:name="_Toc735204889"/>
      <w:r>
        <w:rPr>
          <w:rFonts w:hint="eastAsia" w:ascii="Times New Roman" w:hAnsi="Times New Roman"/>
          <w:b/>
          <w:bCs/>
          <w:sz w:val="28"/>
          <w:szCs w:val="28"/>
          <w:lang w:val="en-US" w:eastAsia="zh-CN"/>
        </w:rPr>
        <w:t>14</w:t>
      </w:r>
      <w:r>
        <w:rPr>
          <w:rFonts w:hint="eastAsia" w:ascii="Times New Roman" w:hAnsi="Times New Roman" w:eastAsia="宋体"/>
          <w:b/>
          <w:bCs/>
          <w:sz w:val="28"/>
          <w:szCs w:val="28"/>
          <w:lang w:val="en-US" w:eastAsia="zh-CN"/>
        </w:rPr>
        <w:t>伟大建党精神融入高校思想政治理论课的学理研究与实践路径</w:t>
      </w:r>
      <w:bookmarkEnd w:id="1028"/>
      <w:bookmarkEnd w:id="1029"/>
      <w:bookmarkEnd w:id="1030"/>
      <w:bookmarkEnd w:id="1031"/>
      <w:bookmarkEnd w:id="1032"/>
      <w:bookmarkEnd w:id="1033"/>
    </w:p>
    <w:p w14:paraId="5E9E231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674CABA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4"/>
          <w:sz w:val="21"/>
          <w:szCs w:val="21"/>
        </w:rPr>
        <w:t>【摘要】开展对新时代青年的培养与教育工作,需要充</w:t>
      </w:r>
      <w:r>
        <w:rPr>
          <w:rFonts w:hint="eastAsia" w:ascii="宋体" w:hAnsi="宋体" w:eastAsia="宋体" w:cs="宋体"/>
          <w:spacing w:val="13"/>
          <w:sz w:val="21"/>
          <w:szCs w:val="21"/>
        </w:rPr>
        <w:t>分运用源自伟大建党精</w:t>
      </w:r>
      <w:r>
        <w:rPr>
          <w:rFonts w:hint="eastAsia" w:ascii="宋体" w:hAnsi="宋体" w:eastAsia="宋体" w:cs="宋体"/>
          <w:spacing w:val="10"/>
          <w:sz w:val="21"/>
          <w:szCs w:val="21"/>
        </w:rPr>
        <w:t>神的中国共产党人精神谱系等红色资源.“坚持真</w:t>
      </w:r>
      <w:r>
        <w:rPr>
          <w:rFonts w:hint="eastAsia" w:ascii="宋体" w:hAnsi="宋体" w:eastAsia="宋体" w:cs="宋体"/>
          <w:spacing w:val="9"/>
          <w:sz w:val="21"/>
          <w:szCs w:val="21"/>
        </w:rPr>
        <w:t>理、坚守理想,践行</w:t>
      </w:r>
      <w:r>
        <w:rPr>
          <w:rFonts w:hint="eastAsia" w:ascii="宋体" w:hAnsi="宋体" w:eastAsia="宋体" w:cs="宋体"/>
          <w:spacing w:val="-4"/>
          <w:sz w:val="21"/>
          <w:szCs w:val="21"/>
        </w:rPr>
        <w:t>初心、担当使命,不怕牺牲、英勇斗争,对</w:t>
      </w:r>
      <w:r>
        <w:rPr>
          <w:rFonts w:hint="eastAsia" w:ascii="宋体" w:hAnsi="宋体" w:eastAsia="宋体" w:cs="宋体"/>
          <w:spacing w:val="-5"/>
          <w:sz w:val="21"/>
          <w:szCs w:val="21"/>
        </w:rPr>
        <w:t>党忠诚、不负人民”的伟</w:t>
      </w:r>
      <w:r>
        <w:rPr>
          <w:rFonts w:hint="eastAsia" w:ascii="宋体" w:hAnsi="宋体" w:eastAsia="宋体" w:cs="宋体"/>
          <w:spacing w:val="15"/>
          <w:sz w:val="21"/>
          <w:szCs w:val="21"/>
        </w:rPr>
        <w:t>大建党精神,其思想内涵、主要内容、基本特征等蕴含着丰富的思想政治教育价值,与高校思想政治理论课高度契合.通过课程教育教学、</w:t>
      </w:r>
      <w:r>
        <w:rPr>
          <w:rFonts w:hint="eastAsia" w:ascii="宋体" w:hAnsi="宋体" w:eastAsia="宋体" w:cs="宋体"/>
          <w:spacing w:val="17"/>
          <w:sz w:val="21"/>
          <w:szCs w:val="21"/>
        </w:rPr>
        <w:t>网络空间建设、大学文化培育、队伍素质提升等途径,将伟大建党精</w:t>
      </w:r>
      <w:r>
        <w:rPr>
          <w:rFonts w:hint="eastAsia" w:ascii="宋体" w:hAnsi="宋体" w:eastAsia="宋体" w:cs="宋体"/>
          <w:spacing w:val="-6"/>
          <w:sz w:val="21"/>
          <w:szCs w:val="21"/>
        </w:rPr>
        <w:t>神融入高校思想政治理论课,以此丰富思想政治理论课的教学资源,</w:t>
      </w:r>
      <w:r>
        <w:rPr>
          <w:rFonts w:hint="eastAsia" w:ascii="宋体" w:hAnsi="宋体" w:eastAsia="宋体" w:cs="宋体"/>
          <w:spacing w:val="19"/>
          <w:sz w:val="21"/>
          <w:szCs w:val="21"/>
        </w:rPr>
        <w:t>增强学生学习思想政治理论课的精神动力,提升教学实际成效,具有</w:t>
      </w:r>
      <w:r>
        <w:rPr>
          <w:rFonts w:hint="eastAsia" w:ascii="宋体" w:hAnsi="宋体" w:eastAsia="宋体" w:cs="宋体"/>
          <w:spacing w:val="14"/>
          <w:sz w:val="21"/>
          <w:szCs w:val="21"/>
        </w:rPr>
        <w:t>紧迫的现实意义.</w:t>
      </w:r>
    </w:p>
    <w:p w14:paraId="09584DA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【关键词】伟大建党精神;高校思想政治理论课;红色资源;马克思主义理论</w:t>
      </w:r>
    </w:p>
    <w:p w14:paraId="03616AC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1F0CB23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8"/>
          <w:sz w:val="21"/>
          <w:szCs w:val="21"/>
        </w:rPr>
        <w:t>党的二十大报告指出:“弘扬以伟大建党精神为源头的中国共产党人精神谱</w:t>
      </w:r>
      <w:r>
        <w:rPr>
          <w:rFonts w:hint="eastAsia" w:ascii="宋体" w:hAnsi="宋体" w:eastAsia="宋体" w:cs="宋体"/>
          <w:spacing w:val="13"/>
          <w:sz w:val="21"/>
          <w:szCs w:val="21"/>
        </w:rPr>
        <w:t>系,用好红色资源,深入开展社会主义核心价值观宣</w:t>
      </w:r>
      <w:r>
        <w:rPr>
          <w:rFonts w:hint="eastAsia" w:ascii="宋体" w:hAnsi="宋体" w:eastAsia="宋体" w:cs="宋体"/>
          <w:spacing w:val="12"/>
          <w:sz w:val="21"/>
          <w:szCs w:val="21"/>
        </w:rPr>
        <w:t>传教育,深化爱国主义、集</w:t>
      </w:r>
      <w:r>
        <w:rPr>
          <w:rFonts w:hint="eastAsia" w:ascii="宋体" w:hAnsi="宋体" w:eastAsia="宋体" w:cs="宋体"/>
          <w:spacing w:val="-3"/>
          <w:sz w:val="21"/>
          <w:szCs w:val="21"/>
        </w:rPr>
        <w:t>体主义、社会主义教育,着力培养担当民族复</w:t>
      </w:r>
      <w:r>
        <w:rPr>
          <w:rFonts w:hint="eastAsia" w:ascii="宋体" w:hAnsi="宋体" w:eastAsia="宋体" w:cs="宋体"/>
          <w:spacing w:val="-4"/>
          <w:sz w:val="21"/>
          <w:szCs w:val="21"/>
        </w:rPr>
        <w:t>兴大任的时代新人。”</w:t>
      </w:r>
      <w:r>
        <w:rPr>
          <w:rStyle w:val="20"/>
          <w:rFonts w:hint="eastAsia" w:ascii="宋体" w:hAnsi="宋体" w:eastAsia="宋体" w:cs="宋体"/>
          <w:spacing w:val="-4"/>
          <w:sz w:val="21"/>
          <w:szCs w:val="21"/>
        </w:rPr>
        <w:footnoteReference w:id="1475"/>
      </w:r>
      <w:r>
        <w:rPr>
          <w:rFonts w:hint="eastAsia" w:ascii="宋体" w:hAnsi="宋体" w:eastAsia="宋体" w:cs="宋体"/>
          <w:spacing w:val="-4"/>
          <w:sz w:val="21"/>
          <w:szCs w:val="21"/>
        </w:rPr>
        <w:t>在庆祝中</w:t>
      </w:r>
      <w:r>
        <w:rPr>
          <w:rFonts w:hint="eastAsia" w:ascii="宋体" w:hAnsi="宋体" w:eastAsia="宋体" w:cs="宋体"/>
          <w:spacing w:val="15"/>
          <w:sz w:val="21"/>
          <w:szCs w:val="21"/>
        </w:rPr>
        <w:t>国共产党成立</w:t>
      </w:r>
      <w:r>
        <w:rPr>
          <w:rFonts w:hint="eastAsia" w:ascii="宋体" w:hAnsi="宋体" w:eastAsia="宋体" w:cs="宋体"/>
          <w:spacing w:val="15"/>
          <w:position w:val="-2"/>
          <w:sz w:val="21"/>
          <w:szCs w:val="21"/>
        </w:rPr>
        <w:t>100</w:t>
      </w:r>
      <w:r>
        <w:rPr>
          <w:rFonts w:hint="eastAsia" w:ascii="宋体" w:hAnsi="宋体" w:eastAsia="宋体" w:cs="宋体"/>
          <w:spacing w:val="15"/>
          <w:sz w:val="21"/>
          <w:szCs w:val="21"/>
        </w:rPr>
        <w:t>周年大会上的重要讲话中</w:t>
      </w:r>
      <w:r>
        <w:rPr>
          <w:rFonts w:hint="eastAsia" w:ascii="宋体" w:hAnsi="宋体" w:eastAsia="宋体" w:cs="宋体"/>
          <w:spacing w:val="14"/>
          <w:sz w:val="21"/>
          <w:szCs w:val="21"/>
        </w:rPr>
        <w:t>,习近平总书记总结了“坚持真理、</w:t>
      </w:r>
      <w:r>
        <w:rPr>
          <w:rFonts w:hint="eastAsia" w:ascii="宋体" w:hAnsi="宋体" w:eastAsia="宋体" w:cs="宋体"/>
          <w:spacing w:val="15"/>
          <w:sz w:val="21"/>
          <w:szCs w:val="21"/>
        </w:rPr>
        <w:t>坚守理想,践行初心、担当使命,不怕牺牲、英勇斗争,对党忠诚、不负人</w:t>
      </w:r>
      <w:r>
        <w:rPr>
          <w:rFonts w:hint="eastAsia" w:ascii="宋体" w:hAnsi="宋体" w:eastAsia="宋体" w:cs="宋体"/>
          <w:spacing w:val="14"/>
          <w:sz w:val="21"/>
          <w:szCs w:val="21"/>
        </w:rPr>
        <w:t>民”</w:t>
      </w:r>
      <w:r>
        <w:rPr>
          <w:rFonts w:hint="eastAsia" w:ascii="宋体" w:hAnsi="宋体" w:eastAsia="宋体" w:cs="宋体"/>
          <w:spacing w:val="16"/>
          <w:sz w:val="21"/>
          <w:szCs w:val="21"/>
        </w:rPr>
        <w:t>的伟大建党精神,这是对中国共产党伟</w:t>
      </w:r>
      <w:r>
        <w:rPr>
          <w:rFonts w:hint="eastAsia" w:ascii="宋体" w:hAnsi="宋体" w:eastAsia="宋体" w:cs="宋体"/>
          <w:spacing w:val="15"/>
          <w:sz w:val="21"/>
          <w:szCs w:val="21"/>
        </w:rPr>
        <w:t>大建党精神的高度概括和总结,是基于中</w:t>
      </w:r>
      <w:r>
        <w:rPr>
          <w:rFonts w:hint="eastAsia" w:ascii="宋体" w:hAnsi="宋体" w:eastAsia="宋体" w:cs="宋体"/>
          <w:spacing w:val="18"/>
          <w:sz w:val="21"/>
          <w:szCs w:val="21"/>
        </w:rPr>
        <w:t>国共产党建党实践和斗争的理论升华。中国共产党伟大建党精神构成了中国共产</w:t>
      </w:r>
      <w:r>
        <w:rPr>
          <w:rFonts w:hint="eastAsia" w:ascii="宋体" w:hAnsi="宋体" w:eastAsia="宋体" w:cs="宋体"/>
          <w:spacing w:val="19"/>
          <w:sz w:val="21"/>
          <w:szCs w:val="21"/>
        </w:rPr>
        <w:t>党人精神谱系的起始思想与精神基石,蕴含着丰富的思想政治教育内容与价值</w:t>
      </w:r>
      <w:r>
        <w:rPr>
          <w:rFonts w:hint="eastAsia" w:ascii="宋体" w:hAnsi="宋体" w:eastAsia="宋体" w:cs="宋体"/>
          <w:spacing w:val="19"/>
          <w:sz w:val="21"/>
          <w:szCs w:val="21"/>
          <w:lang w:eastAsia="zh-CN"/>
        </w:rPr>
        <w:t>，</w:t>
      </w:r>
      <w:r>
        <w:rPr>
          <w:rFonts w:hint="eastAsia" w:ascii="宋体" w:hAnsi="宋体" w:eastAsia="宋体" w:cs="宋体"/>
          <w:spacing w:val="18"/>
          <w:sz w:val="21"/>
          <w:szCs w:val="21"/>
        </w:rPr>
        <w:t>将伟大建党精神融入高校思想政治理论课,以丰富思想政治理论课的教学资源,提升学生在思想政治理论课上的精神动力和</w:t>
      </w:r>
      <w:r>
        <w:rPr>
          <w:rFonts w:hint="eastAsia" w:ascii="宋体" w:hAnsi="宋体" w:eastAsia="宋体" w:cs="宋体"/>
          <w:spacing w:val="17"/>
          <w:sz w:val="21"/>
          <w:szCs w:val="21"/>
        </w:rPr>
        <w:t>学习成效,体现了伟大建党精神的实</w:t>
      </w:r>
      <w:r>
        <w:rPr>
          <w:rFonts w:hint="eastAsia" w:ascii="宋体" w:hAnsi="宋体" w:eastAsia="宋体" w:cs="宋体"/>
          <w:spacing w:val="14"/>
          <w:sz w:val="21"/>
          <w:szCs w:val="21"/>
        </w:rPr>
        <w:t>际意义与现代价值。</w:t>
      </w:r>
    </w:p>
    <w:p w14:paraId="6C58A41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52" w:firstLineChars="200"/>
        <w:jc w:val="both"/>
        <w:textAlignment w:val="baseline"/>
        <w:outlineLvl w:val="9"/>
        <w:rPr>
          <w:rFonts w:hint="eastAsia" w:ascii="宋体" w:hAnsi="宋体" w:eastAsia="宋体" w:cs="宋体"/>
          <w:b/>
          <w:bCs/>
          <w:sz w:val="24"/>
          <w:szCs w:val="24"/>
        </w:rPr>
      </w:pPr>
      <w:r>
        <w:rPr>
          <w:rFonts w:hint="eastAsia" w:ascii="宋体" w:hAnsi="宋体" w:eastAsia="宋体" w:cs="宋体"/>
          <w:b/>
          <w:bCs/>
          <w:spacing w:val="18"/>
          <w:sz w:val="24"/>
          <w:szCs w:val="24"/>
        </w:rPr>
        <w:t>一、伟大建党精神融入高校思想政治理论课的必要性</w:t>
      </w:r>
    </w:p>
    <w:p w14:paraId="7AA90D4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237626F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中华民族历来都有重精神的思想追求,中国悠久的历史发展过程中形成了反</w:t>
      </w:r>
      <w:r>
        <w:rPr>
          <w:rFonts w:hint="eastAsia" w:ascii="宋体" w:hAnsi="宋体" w:eastAsia="宋体" w:cs="宋体"/>
          <w:spacing w:val="17"/>
          <w:sz w:val="21"/>
          <w:szCs w:val="21"/>
        </w:rPr>
        <w:t>映中华民族精神面貌与精神追求的中国精神,</w:t>
      </w:r>
      <w:r>
        <w:rPr>
          <w:rFonts w:hint="eastAsia" w:ascii="宋体" w:hAnsi="宋体" w:eastAsia="宋体" w:cs="宋体"/>
          <w:spacing w:val="16"/>
          <w:sz w:val="21"/>
          <w:szCs w:val="21"/>
        </w:rPr>
        <w:t>这也是历代知识分子、仁人志士涵</w:t>
      </w:r>
      <w:r>
        <w:rPr>
          <w:rFonts w:hint="eastAsia" w:ascii="宋体" w:hAnsi="宋体" w:eastAsia="宋体" w:cs="宋体"/>
          <w:spacing w:val="18"/>
          <w:sz w:val="21"/>
          <w:szCs w:val="21"/>
        </w:rPr>
        <w:t>养品格、修养身心的精神准则。这些优秀的传统是我们对今天的思想政治理论课进行创造性转化与创新性发展的宝贵思想资源,</w:t>
      </w:r>
      <w:r>
        <w:rPr>
          <w:rFonts w:hint="eastAsia" w:ascii="宋体" w:hAnsi="宋体" w:eastAsia="宋体" w:cs="宋体"/>
          <w:spacing w:val="17"/>
          <w:sz w:val="21"/>
          <w:szCs w:val="21"/>
        </w:rPr>
        <w:t>而在革命时期形成的革命精神是</w:t>
      </w:r>
      <w:r>
        <w:rPr>
          <w:rFonts w:hint="eastAsia" w:ascii="宋体" w:hAnsi="宋体" w:eastAsia="宋体" w:cs="宋体"/>
          <w:spacing w:val="19"/>
          <w:sz w:val="21"/>
          <w:szCs w:val="21"/>
        </w:rPr>
        <w:t>与思想政治教育更为贴近的教育教学资源。伟大建党精神作为革命精神的组成部</w:t>
      </w:r>
      <w:r>
        <w:rPr>
          <w:rFonts w:hint="eastAsia" w:ascii="宋体" w:hAnsi="宋体" w:eastAsia="宋体" w:cs="宋体"/>
          <w:spacing w:val="15"/>
          <w:sz w:val="21"/>
          <w:szCs w:val="21"/>
        </w:rPr>
        <w:t>分,主要回答了建设什么样的党、怎么样</w:t>
      </w:r>
      <w:r>
        <w:rPr>
          <w:rFonts w:hint="eastAsia" w:ascii="宋体" w:hAnsi="宋体" w:eastAsia="宋体" w:cs="宋体"/>
          <w:spacing w:val="14"/>
          <w:sz w:val="21"/>
          <w:szCs w:val="21"/>
        </w:rPr>
        <w:t>建设党等问题,这些内容对于青年学子</w:t>
      </w:r>
      <w:r>
        <w:rPr>
          <w:rFonts w:hint="eastAsia" w:ascii="宋体" w:hAnsi="宋体" w:eastAsia="宋体" w:cs="宋体"/>
          <w:spacing w:val="17"/>
          <w:sz w:val="21"/>
          <w:szCs w:val="21"/>
        </w:rPr>
        <w:t>树立正确的人生观、价值观等更具影响力和感染</w:t>
      </w:r>
      <w:r>
        <w:rPr>
          <w:rFonts w:hint="eastAsia" w:ascii="宋体" w:hAnsi="宋体" w:eastAsia="宋体" w:cs="宋体"/>
          <w:spacing w:val="16"/>
          <w:sz w:val="21"/>
          <w:szCs w:val="21"/>
        </w:rPr>
        <w:t>力,更能增强青年人坚守共产主</w:t>
      </w:r>
      <w:r>
        <w:rPr>
          <w:rFonts w:hint="eastAsia" w:ascii="宋体" w:hAnsi="宋体" w:eastAsia="宋体" w:cs="宋体"/>
          <w:spacing w:val="18"/>
          <w:sz w:val="21"/>
          <w:szCs w:val="21"/>
        </w:rPr>
        <w:t>义理想、践行以人民为中心的使命担当、增强敢于斗争的英</w:t>
      </w:r>
      <w:r>
        <w:rPr>
          <w:rFonts w:hint="eastAsia" w:ascii="宋体" w:hAnsi="宋体" w:eastAsia="宋体" w:cs="宋体"/>
          <w:spacing w:val="17"/>
          <w:sz w:val="21"/>
          <w:szCs w:val="21"/>
        </w:rPr>
        <w:t>雄气概以及坚定实事</w:t>
      </w:r>
      <w:r>
        <w:rPr>
          <w:rFonts w:hint="eastAsia" w:ascii="宋体" w:hAnsi="宋体" w:eastAsia="宋体" w:cs="宋体"/>
          <w:spacing w:val="14"/>
          <w:sz w:val="21"/>
          <w:szCs w:val="21"/>
        </w:rPr>
        <w:t>求是的真理追求。</w:t>
      </w:r>
    </w:p>
    <w:p w14:paraId="465A3D6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position w:val="1"/>
          <w:sz w:val="21"/>
          <w:szCs w:val="21"/>
        </w:rPr>
        <w:t>(一)培养学生“坚持真理、坚守理想”的精神信仰</w:t>
      </w:r>
    </w:p>
    <w:p w14:paraId="6EF110B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十月革命为中国送来了马克思主义,也为半殖民地半封建中国的救亡图存指</w:t>
      </w:r>
      <w:r>
        <w:rPr>
          <w:rFonts w:hint="eastAsia" w:ascii="宋体" w:hAnsi="宋体" w:eastAsia="宋体" w:cs="宋体"/>
          <w:spacing w:val="18"/>
          <w:sz w:val="21"/>
          <w:szCs w:val="21"/>
        </w:rPr>
        <w:t>出了一条不同于以往的革命道路,而中国近百年</w:t>
      </w:r>
      <w:r>
        <w:rPr>
          <w:rFonts w:hint="eastAsia" w:ascii="宋体" w:hAnsi="宋体" w:eastAsia="宋体" w:cs="宋体"/>
          <w:spacing w:val="17"/>
          <w:sz w:val="21"/>
          <w:szCs w:val="21"/>
        </w:rPr>
        <w:t>的革命、建设和改革实践证明,马克思主义是挽救中国悲惨命运的真理,是指</w:t>
      </w:r>
      <w:r>
        <w:rPr>
          <w:rFonts w:hint="eastAsia" w:ascii="宋体" w:hAnsi="宋体" w:eastAsia="宋体" w:cs="宋体"/>
          <w:spacing w:val="16"/>
          <w:sz w:val="21"/>
          <w:szCs w:val="21"/>
        </w:rPr>
        <w:t>引中国新民主主义革命胜利、社会</w:t>
      </w:r>
      <w:r>
        <w:rPr>
          <w:rFonts w:hint="eastAsia" w:ascii="宋体" w:hAnsi="宋体" w:eastAsia="宋体" w:cs="宋体"/>
          <w:spacing w:val="15"/>
          <w:sz w:val="21"/>
          <w:szCs w:val="21"/>
        </w:rPr>
        <w:t>主义建设与改革开放的思想指南。中国共产党之所以能够成功,中国特色</w:t>
      </w:r>
      <w:r>
        <w:rPr>
          <w:rFonts w:hint="eastAsia" w:ascii="宋体" w:hAnsi="宋体" w:eastAsia="宋体" w:cs="宋体"/>
          <w:spacing w:val="14"/>
          <w:sz w:val="21"/>
          <w:szCs w:val="21"/>
        </w:rPr>
        <w:t>社会主</w:t>
      </w:r>
      <w:r>
        <w:rPr>
          <w:rFonts w:hint="eastAsia" w:ascii="宋体" w:hAnsi="宋体" w:eastAsia="宋体" w:cs="宋体"/>
          <w:spacing w:val="16"/>
          <w:sz w:val="21"/>
          <w:szCs w:val="21"/>
        </w:rPr>
        <w:t>义之所以优越,根本原因在于马克思主义</w:t>
      </w:r>
      <w:r>
        <w:rPr>
          <w:rFonts w:hint="eastAsia" w:ascii="宋体" w:hAnsi="宋体" w:eastAsia="宋体" w:cs="宋体"/>
          <w:spacing w:val="15"/>
          <w:sz w:val="21"/>
          <w:szCs w:val="21"/>
        </w:rPr>
        <w:t>的正确性,特别是其在中国特色和时代背景下的发展。中国共产党之所以能够取得举世瞩目的成就,其中最为关键的一点就在于始终以马克思主义为指导思想,坚守共产主义远大理想,为实</w:t>
      </w:r>
      <w:r>
        <w:rPr>
          <w:rFonts w:hint="eastAsia" w:ascii="宋体" w:hAnsi="宋体" w:eastAsia="宋体" w:cs="宋体"/>
          <w:spacing w:val="14"/>
          <w:sz w:val="21"/>
          <w:szCs w:val="21"/>
        </w:rPr>
        <w:t>现理想一</w:t>
      </w:r>
      <w:r>
        <w:rPr>
          <w:rFonts w:hint="eastAsia" w:ascii="宋体" w:hAnsi="宋体" w:eastAsia="宋体" w:cs="宋体"/>
          <w:spacing w:val="12"/>
          <w:sz w:val="21"/>
          <w:szCs w:val="21"/>
        </w:rPr>
        <w:t>批批共产党人前赴后继,英勇斗争,不惜牺牲自己的生命。</w:t>
      </w:r>
    </w:p>
    <w:p w14:paraId="5DFB0A5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青年时期,价值观的塑造和巩固至关重要。随着我国经济和社</w:t>
      </w:r>
      <w:r>
        <w:rPr>
          <w:rFonts w:hint="eastAsia" w:ascii="宋体" w:hAnsi="宋体" w:eastAsia="宋体" w:cs="宋体"/>
          <w:spacing w:val="16"/>
          <w:sz w:val="21"/>
          <w:szCs w:val="21"/>
        </w:rPr>
        <w:t>会发展的不断推进,社会思潮对青年的价值观念有着显著</w:t>
      </w:r>
      <w:r>
        <w:rPr>
          <w:rFonts w:hint="eastAsia" w:ascii="宋体" w:hAnsi="宋体" w:eastAsia="宋体" w:cs="宋体"/>
          <w:spacing w:val="15"/>
          <w:sz w:val="21"/>
          <w:szCs w:val="21"/>
        </w:rPr>
        <w:t>的影响,其扩散和流行趋势可能会导</w:t>
      </w:r>
      <w:r>
        <w:rPr>
          <w:rFonts w:hint="eastAsia" w:ascii="宋体" w:hAnsi="宋体" w:eastAsia="宋体" w:cs="宋体"/>
          <w:spacing w:val="16"/>
          <w:sz w:val="21"/>
          <w:szCs w:val="21"/>
        </w:rPr>
        <w:t>致青年在价值取向上的分歧,以及价值标准的不确定性。直接表现为坚持马克思</w:t>
      </w:r>
      <w:r>
        <w:rPr>
          <w:rFonts w:hint="eastAsia" w:ascii="宋体" w:hAnsi="宋体" w:eastAsia="宋体" w:cs="宋体"/>
          <w:spacing w:val="18"/>
          <w:sz w:val="21"/>
          <w:szCs w:val="21"/>
        </w:rPr>
        <w:t>主义真理、坚守共产主义理想信念的价值取向淡化。部分青年推崇个人主义与消</w:t>
      </w:r>
      <w:r>
        <w:rPr>
          <w:rFonts w:hint="eastAsia" w:ascii="宋体" w:hAnsi="宋体" w:eastAsia="宋体" w:cs="宋体"/>
          <w:spacing w:val="11"/>
          <w:sz w:val="21"/>
          <w:szCs w:val="21"/>
        </w:rPr>
        <w:t>费主义,将物质利益置于首位,轻视奉献精神与社会理想,存在</w:t>
      </w:r>
      <w:r>
        <w:rPr>
          <w:rFonts w:hint="eastAsia" w:ascii="宋体" w:hAnsi="宋体" w:eastAsia="宋体" w:cs="宋体"/>
          <w:spacing w:val="10"/>
          <w:sz w:val="21"/>
          <w:szCs w:val="21"/>
        </w:rPr>
        <w:t>“重金钱实惠轻</w:t>
      </w:r>
      <w:r>
        <w:rPr>
          <w:rFonts w:hint="eastAsia" w:ascii="宋体" w:hAnsi="宋体" w:eastAsia="宋体" w:cs="宋体"/>
          <w:spacing w:val="16"/>
          <w:sz w:val="21"/>
          <w:szCs w:val="21"/>
        </w:rPr>
        <w:t>理想追求”的倾向。部分青年将个人价值与</w:t>
      </w:r>
      <w:r>
        <w:rPr>
          <w:rFonts w:hint="eastAsia" w:ascii="宋体" w:hAnsi="宋体" w:eastAsia="宋体" w:cs="宋体"/>
          <w:spacing w:val="15"/>
          <w:sz w:val="21"/>
          <w:szCs w:val="21"/>
        </w:rPr>
        <w:t>社会理想割裂,未认识到个人发展需</w:t>
      </w:r>
      <w:r>
        <w:rPr>
          <w:rFonts w:hint="eastAsia" w:ascii="宋体" w:hAnsi="宋体" w:eastAsia="宋体" w:cs="宋体"/>
          <w:spacing w:val="-1"/>
          <w:sz w:val="21"/>
          <w:szCs w:val="21"/>
        </w:rPr>
        <w:t>要依托集体进步,误认为“实现自我价值无需关联共产主义理想”。因</w:t>
      </w:r>
      <w:r>
        <w:rPr>
          <w:rFonts w:hint="eastAsia" w:ascii="宋体" w:hAnsi="宋体" w:eastAsia="宋体" w:cs="宋体"/>
          <w:spacing w:val="-2"/>
          <w:sz w:val="21"/>
          <w:szCs w:val="21"/>
        </w:rPr>
        <w:t>此,需要</w:t>
      </w:r>
      <w:r>
        <w:rPr>
          <w:rFonts w:hint="eastAsia" w:ascii="宋体" w:hAnsi="宋体" w:eastAsia="宋体" w:cs="宋体"/>
          <w:spacing w:val="16"/>
          <w:sz w:val="21"/>
          <w:szCs w:val="21"/>
        </w:rPr>
        <w:t>伟大建党精神正本清源。</w:t>
      </w:r>
    </w:p>
    <w:p w14:paraId="15311D4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8"/>
          <w:position w:val="1"/>
          <w:sz w:val="21"/>
          <w:szCs w:val="21"/>
        </w:rPr>
        <w:t>(二)培养学生“践行初心、担当使命”的责任意识</w:t>
      </w:r>
    </w:p>
    <w:p w14:paraId="12D916D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中国共产党的初心和使命,其核心内涵是为中国人民谋幸福、</w:t>
      </w:r>
      <w:r>
        <w:rPr>
          <w:rFonts w:hint="eastAsia" w:ascii="宋体" w:hAnsi="宋体" w:eastAsia="宋体" w:cs="宋体"/>
          <w:spacing w:val="15"/>
          <w:sz w:val="21"/>
          <w:szCs w:val="21"/>
        </w:rPr>
        <w:t>为中华民族谋复兴,而这一伟大的初心和使命一以贯之地</w:t>
      </w:r>
      <w:r>
        <w:rPr>
          <w:rFonts w:hint="eastAsia" w:ascii="宋体" w:hAnsi="宋体" w:eastAsia="宋体" w:cs="宋体"/>
          <w:spacing w:val="14"/>
          <w:sz w:val="21"/>
          <w:szCs w:val="21"/>
        </w:rPr>
        <w:t>融入波澜壮阔的百年党史进程中.中</w:t>
      </w:r>
      <w:r>
        <w:rPr>
          <w:rFonts w:hint="eastAsia" w:ascii="宋体" w:hAnsi="宋体" w:eastAsia="宋体" w:cs="宋体"/>
          <w:spacing w:val="20"/>
          <w:sz w:val="21"/>
          <w:szCs w:val="21"/>
        </w:rPr>
        <w:t>国共产党自成立起就始终坚定不移地践行这一初心、义无反顾地担当这一</w:t>
      </w:r>
      <w:r>
        <w:rPr>
          <w:rFonts w:hint="eastAsia" w:ascii="宋体" w:hAnsi="宋体" w:eastAsia="宋体" w:cs="宋体"/>
          <w:spacing w:val="19"/>
          <w:sz w:val="21"/>
          <w:szCs w:val="21"/>
        </w:rPr>
        <w:t>使命,</w:t>
      </w:r>
      <w:r>
        <w:rPr>
          <w:rFonts w:hint="eastAsia" w:ascii="宋体" w:hAnsi="宋体" w:eastAsia="宋体" w:cs="宋体"/>
          <w:sz w:val="21"/>
          <w:szCs w:val="21"/>
        </w:rPr>
        <w:t>矢志不渝地坚守以人民为中心的价值立场,把全心全意为人民服务当作根本宗</w:t>
      </w:r>
      <w:r>
        <w:rPr>
          <w:rFonts w:hint="eastAsia" w:ascii="宋体" w:hAnsi="宋体" w:eastAsia="宋体" w:cs="宋体"/>
          <w:spacing w:val="15"/>
          <w:sz w:val="21"/>
          <w:szCs w:val="21"/>
        </w:rPr>
        <w:t>旨,从未有过丝毫的动摇和偏离.中国共产党在成立之初就始</w:t>
      </w:r>
      <w:r>
        <w:rPr>
          <w:rFonts w:hint="eastAsia" w:ascii="宋体" w:hAnsi="宋体" w:eastAsia="宋体" w:cs="宋体"/>
          <w:spacing w:val="14"/>
          <w:sz w:val="21"/>
          <w:szCs w:val="21"/>
        </w:rPr>
        <w:t>终与人民群众保持</w:t>
      </w:r>
      <w:r>
        <w:rPr>
          <w:rFonts w:hint="eastAsia" w:ascii="宋体" w:hAnsi="宋体" w:eastAsia="宋体" w:cs="宋体"/>
          <w:spacing w:val="12"/>
          <w:sz w:val="21"/>
          <w:szCs w:val="21"/>
        </w:rPr>
        <w:t>联系,还把人民对美好生活的向往当作奋斗目标.在实际工作中,始终保持同人</w:t>
      </w:r>
      <w:r>
        <w:rPr>
          <w:rFonts w:hint="eastAsia" w:ascii="宋体" w:hAnsi="宋体" w:eastAsia="宋体" w:cs="宋体"/>
          <w:spacing w:val="15"/>
          <w:sz w:val="21"/>
          <w:szCs w:val="21"/>
        </w:rPr>
        <w:t>民群众的鱼水之情,贯彻从群众中来、到群</w:t>
      </w:r>
      <w:r>
        <w:rPr>
          <w:rFonts w:hint="eastAsia" w:ascii="宋体" w:hAnsi="宋体" w:eastAsia="宋体" w:cs="宋体"/>
          <w:spacing w:val="14"/>
          <w:sz w:val="21"/>
          <w:szCs w:val="21"/>
        </w:rPr>
        <w:t>众中去的群众路线,这是中国共产党取得各项事业胜利的法宝之一.</w:t>
      </w:r>
    </w:p>
    <w:p w14:paraId="01C6E0B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9"/>
          <w:sz w:val="21"/>
          <w:szCs w:val="21"/>
        </w:rPr>
        <w:t>在人生的成长过程中,青年时期是一个转变期,表现为从依赖</w:t>
      </w:r>
      <w:r>
        <w:rPr>
          <w:rFonts w:hint="eastAsia" w:ascii="宋体" w:hAnsi="宋体" w:eastAsia="宋体" w:cs="宋体"/>
          <w:spacing w:val="8"/>
          <w:sz w:val="21"/>
          <w:szCs w:val="21"/>
        </w:rPr>
        <w:t>到独立.这一时</w:t>
      </w:r>
      <w:r>
        <w:rPr>
          <w:rFonts w:hint="eastAsia" w:ascii="宋体" w:hAnsi="宋体" w:eastAsia="宋体" w:cs="宋体"/>
          <w:spacing w:val="9"/>
          <w:sz w:val="21"/>
          <w:szCs w:val="21"/>
        </w:rPr>
        <w:t>期其个性与社会性、心理与生理的发展容易出现失衡,并伴随冲突,因此会导致逆</w:t>
      </w:r>
      <w:r>
        <w:rPr>
          <w:rFonts w:hint="eastAsia" w:ascii="宋体" w:hAnsi="宋体" w:eastAsia="宋体" w:cs="宋体"/>
          <w:spacing w:val="11"/>
          <w:sz w:val="21"/>
          <w:szCs w:val="21"/>
        </w:rPr>
        <w:t>反心理,而这种心理状态则为一些错误的社会思潮的渗透提供了机会.这些思潮力图通过迎合个人偏好,激励他们的个人主义追求</w:t>
      </w:r>
      <w:r>
        <w:rPr>
          <w:rFonts w:hint="eastAsia" w:ascii="宋体" w:hAnsi="宋体" w:eastAsia="宋体" w:cs="宋体"/>
          <w:spacing w:val="10"/>
          <w:sz w:val="21"/>
          <w:szCs w:val="21"/>
        </w:rPr>
        <w:t>,并从个人主义的视角去审视家庭和自我、社会和人际关系,制造青年社会关系的分裂,使得</w:t>
      </w:r>
      <w:r>
        <w:rPr>
          <w:rFonts w:hint="eastAsia" w:ascii="宋体" w:hAnsi="宋体" w:eastAsia="宋体" w:cs="宋体"/>
          <w:spacing w:val="9"/>
          <w:sz w:val="21"/>
          <w:szCs w:val="21"/>
        </w:rPr>
        <w:t>青年的行为和思想与社</w:t>
      </w:r>
      <w:r>
        <w:rPr>
          <w:rFonts w:hint="eastAsia" w:ascii="宋体" w:hAnsi="宋体" w:eastAsia="宋体" w:cs="宋体"/>
          <w:spacing w:val="10"/>
          <w:sz w:val="21"/>
          <w:szCs w:val="21"/>
        </w:rPr>
        <w:t>会脱节,进而产生“精致利己主义”.</w:t>
      </w:r>
      <w:r>
        <w:rPr>
          <w:rFonts w:hint="eastAsia" w:ascii="宋体" w:hAnsi="宋体" w:eastAsia="宋体" w:cs="宋体"/>
          <w:spacing w:val="9"/>
          <w:sz w:val="21"/>
          <w:szCs w:val="21"/>
        </w:rPr>
        <w:t>在个人利益和需求得不到满足且没有办法释</w:t>
      </w:r>
      <w:r>
        <w:rPr>
          <w:rFonts w:hint="eastAsia" w:ascii="宋体" w:hAnsi="宋体" w:eastAsia="宋体" w:cs="宋体"/>
          <w:spacing w:val="5"/>
          <w:sz w:val="21"/>
          <w:szCs w:val="21"/>
        </w:rPr>
        <w:t>放负面情绪时,有些青年会变得颓废和消极,导致“空心病”的出现.当思想观念</w:t>
      </w:r>
      <w:r>
        <w:rPr>
          <w:rFonts w:hint="eastAsia" w:ascii="宋体" w:hAnsi="宋体" w:eastAsia="宋体" w:cs="宋体"/>
          <w:spacing w:val="12"/>
          <w:sz w:val="21"/>
          <w:szCs w:val="21"/>
        </w:rPr>
        <w:t>或热点问题、社会现象出现时,别有用</w:t>
      </w:r>
      <w:r>
        <w:rPr>
          <w:rFonts w:hint="eastAsia" w:ascii="宋体" w:hAnsi="宋体" w:eastAsia="宋体" w:cs="宋体"/>
          <w:spacing w:val="11"/>
          <w:sz w:val="21"/>
          <w:szCs w:val="21"/>
        </w:rPr>
        <w:t>心的一些团体会趁机煽动青年的对立情绪和</w:t>
      </w:r>
      <w:r>
        <w:rPr>
          <w:rFonts w:hint="eastAsia" w:ascii="宋体" w:hAnsi="宋体" w:eastAsia="宋体" w:cs="宋体"/>
          <w:spacing w:val="9"/>
          <w:sz w:val="21"/>
          <w:szCs w:val="21"/>
        </w:rPr>
        <w:t>不满情绪,使得有些青年丧失对主流价值观和社会规则的尊重,更有甚者,在</w:t>
      </w:r>
      <w:r>
        <w:rPr>
          <w:rFonts w:hint="eastAsia" w:ascii="宋体" w:hAnsi="宋体" w:eastAsia="宋体" w:cs="宋体"/>
          <w:spacing w:val="8"/>
          <w:sz w:val="21"/>
          <w:szCs w:val="21"/>
        </w:rPr>
        <w:t>极端</w:t>
      </w:r>
      <w:r>
        <w:rPr>
          <w:rFonts w:hint="eastAsia" w:ascii="宋体" w:hAnsi="宋体" w:eastAsia="宋体" w:cs="宋体"/>
          <w:spacing w:val="6"/>
          <w:sz w:val="21"/>
          <w:szCs w:val="21"/>
        </w:rPr>
        <w:t>情绪的支配下产生破坏性行为.因此,亟须通过“践行初心、担当使命”的伟大建</w:t>
      </w:r>
      <w:r>
        <w:rPr>
          <w:rFonts w:hint="eastAsia" w:ascii="宋体" w:hAnsi="宋体" w:eastAsia="宋体" w:cs="宋体"/>
          <w:spacing w:val="12"/>
          <w:sz w:val="21"/>
          <w:szCs w:val="21"/>
        </w:rPr>
        <w:t>党精神对青年学生进行使命担当的教育.</w:t>
      </w:r>
    </w:p>
    <w:p w14:paraId="656DA0D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b/>
          <w:bCs/>
          <w:spacing w:val="8"/>
          <w:position w:val="1"/>
          <w:sz w:val="21"/>
          <w:szCs w:val="21"/>
        </w:rPr>
        <w:t>(三)培养学生“不怕牺牲、英勇斗争”的斗争精神</w:t>
      </w:r>
    </w:p>
    <w:p w14:paraId="750351D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综观历史,百年党史、</w:t>
      </w:r>
      <w:r>
        <w:rPr>
          <w:rFonts w:hint="eastAsia" w:ascii="宋体" w:hAnsi="宋体" w:eastAsia="宋体" w:cs="宋体"/>
          <w:spacing w:val="15"/>
          <w:position w:val="-2"/>
          <w:sz w:val="21"/>
          <w:szCs w:val="21"/>
        </w:rPr>
        <w:t>70</w:t>
      </w:r>
      <w:r>
        <w:rPr>
          <w:rFonts w:hint="eastAsia" w:ascii="宋体" w:hAnsi="宋体" w:eastAsia="宋体" w:cs="宋体"/>
          <w:spacing w:val="15"/>
          <w:sz w:val="21"/>
          <w:szCs w:val="21"/>
        </w:rPr>
        <w:t>多年的新中国史、</w:t>
      </w:r>
      <w:r>
        <w:rPr>
          <w:rFonts w:hint="eastAsia" w:ascii="宋体" w:hAnsi="宋体" w:eastAsia="宋体" w:cs="宋体"/>
          <w:spacing w:val="15"/>
          <w:position w:val="-2"/>
          <w:sz w:val="21"/>
          <w:szCs w:val="21"/>
        </w:rPr>
        <w:t>40</w:t>
      </w:r>
      <w:r>
        <w:rPr>
          <w:rFonts w:hint="eastAsia" w:ascii="宋体" w:hAnsi="宋体" w:eastAsia="宋体" w:cs="宋体"/>
          <w:spacing w:val="15"/>
          <w:sz w:val="21"/>
          <w:szCs w:val="21"/>
        </w:rPr>
        <w:t>多年的改革</w:t>
      </w:r>
      <w:r>
        <w:rPr>
          <w:rFonts w:hint="eastAsia" w:ascii="宋体" w:hAnsi="宋体" w:eastAsia="宋体" w:cs="宋体"/>
          <w:spacing w:val="14"/>
          <w:sz w:val="21"/>
          <w:szCs w:val="21"/>
        </w:rPr>
        <w:t>开放史就是不断斗争的历史,是在斗争中升华民族精神、锤炼钢铁意志</w:t>
      </w:r>
      <w:r>
        <w:rPr>
          <w:rFonts w:hint="eastAsia" w:ascii="宋体" w:hAnsi="宋体" w:eastAsia="宋体" w:cs="宋体"/>
          <w:spacing w:val="13"/>
          <w:sz w:val="21"/>
          <w:szCs w:val="21"/>
        </w:rPr>
        <w:t>的历史.中国共产党人不</w:t>
      </w:r>
      <w:r>
        <w:rPr>
          <w:rFonts w:hint="eastAsia" w:ascii="宋体" w:hAnsi="宋体" w:eastAsia="宋体" w:cs="宋体"/>
          <w:spacing w:val="17"/>
          <w:sz w:val="21"/>
          <w:szCs w:val="21"/>
        </w:rPr>
        <w:t>怕牺牲、英勇斗争的伟大建党精神形成于对马克思主</w:t>
      </w:r>
      <w:r>
        <w:rPr>
          <w:rFonts w:hint="eastAsia" w:ascii="宋体" w:hAnsi="宋体" w:eastAsia="宋体" w:cs="宋体"/>
          <w:spacing w:val="16"/>
          <w:sz w:val="21"/>
          <w:szCs w:val="21"/>
        </w:rPr>
        <w:t>义真理、共产主义信念、为</w:t>
      </w:r>
      <w:r>
        <w:rPr>
          <w:rFonts w:hint="eastAsia" w:ascii="宋体" w:hAnsi="宋体" w:eastAsia="宋体" w:cs="宋体"/>
          <w:spacing w:val="17"/>
          <w:sz w:val="21"/>
          <w:szCs w:val="21"/>
        </w:rPr>
        <w:t>人民谋幸福的初心和使命的坚持.中国共产党的百年奋斗历程中出现了许许多多</w:t>
      </w:r>
      <w:r>
        <w:rPr>
          <w:rFonts w:hint="eastAsia" w:ascii="宋体" w:hAnsi="宋体" w:eastAsia="宋体" w:cs="宋体"/>
          <w:spacing w:val="16"/>
          <w:sz w:val="21"/>
          <w:szCs w:val="21"/>
        </w:rPr>
        <w:t>拼搏与奋斗的中国共产党人,一批批革命</w:t>
      </w:r>
      <w:r>
        <w:rPr>
          <w:rFonts w:hint="eastAsia" w:ascii="宋体" w:hAnsi="宋体" w:eastAsia="宋体" w:cs="宋体"/>
          <w:spacing w:val="15"/>
          <w:sz w:val="21"/>
          <w:szCs w:val="21"/>
        </w:rPr>
        <w:t>烈士、先进模范、英雄人物构筑起了中</w:t>
      </w:r>
      <w:r>
        <w:rPr>
          <w:rFonts w:hint="eastAsia" w:ascii="宋体" w:hAnsi="宋体" w:eastAsia="宋体" w:cs="宋体"/>
          <w:spacing w:val="14"/>
          <w:sz w:val="21"/>
          <w:szCs w:val="21"/>
        </w:rPr>
        <w:t>国共产党人精神谱系.新时代,面对风云变幻的</w:t>
      </w:r>
      <w:r>
        <w:rPr>
          <w:rFonts w:hint="eastAsia" w:ascii="宋体" w:hAnsi="宋体" w:eastAsia="宋体" w:cs="宋体"/>
          <w:spacing w:val="13"/>
          <w:sz w:val="21"/>
          <w:szCs w:val="21"/>
        </w:rPr>
        <w:t>国内外形势,我们仍然需要敢于</w:t>
      </w:r>
      <w:r>
        <w:rPr>
          <w:rFonts w:hint="eastAsia" w:ascii="宋体" w:hAnsi="宋体" w:eastAsia="宋体" w:cs="宋体"/>
          <w:spacing w:val="10"/>
          <w:sz w:val="21"/>
          <w:szCs w:val="21"/>
        </w:rPr>
        <w:t>斗争、善于斗争,增强斗争本领,发扬伟大斗争的精神.</w:t>
      </w:r>
    </w:p>
    <w:p w14:paraId="175C9BB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近些年,泛娱乐主义思潮通过制造虚假狂欢吸引青年群体,并试图污染和破</w:t>
      </w:r>
      <w:r>
        <w:rPr>
          <w:rFonts w:hint="eastAsia" w:ascii="宋体" w:hAnsi="宋体" w:eastAsia="宋体" w:cs="宋体"/>
          <w:spacing w:val="7"/>
          <w:sz w:val="21"/>
          <w:szCs w:val="21"/>
        </w:rPr>
        <w:t>坏青年的精神世界.在一些青年中,“享乐”和“躺</w:t>
      </w:r>
      <w:r>
        <w:rPr>
          <w:rFonts w:hint="eastAsia" w:ascii="宋体" w:hAnsi="宋体" w:eastAsia="宋体" w:cs="宋体"/>
          <w:spacing w:val="6"/>
          <w:sz w:val="21"/>
          <w:szCs w:val="21"/>
        </w:rPr>
        <w:t>平”被视为一种时尚的生活方</w:t>
      </w:r>
      <w:r>
        <w:rPr>
          <w:rFonts w:hint="eastAsia" w:ascii="宋体" w:hAnsi="宋体" w:eastAsia="宋体" w:cs="宋体"/>
          <w:spacing w:val="4"/>
          <w:sz w:val="21"/>
          <w:szCs w:val="21"/>
        </w:rPr>
        <w:t>式,有些青年则倾向于“佛系”的人生态度,倡导</w:t>
      </w:r>
      <w:r>
        <w:rPr>
          <w:rFonts w:hint="eastAsia" w:ascii="宋体" w:hAnsi="宋体" w:eastAsia="宋体" w:cs="宋体"/>
          <w:spacing w:val="3"/>
          <w:sz w:val="21"/>
          <w:szCs w:val="21"/>
        </w:rPr>
        <w:t>“差不多就行的生活”和“何</w:t>
      </w:r>
      <w:r>
        <w:rPr>
          <w:rFonts w:hint="eastAsia" w:ascii="宋体" w:hAnsi="宋体" w:eastAsia="宋体" w:cs="宋体"/>
          <w:spacing w:val="7"/>
          <w:sz w:val="21"/>
          <w:szCs w:val="21"/>
        </w:rPr>
        <w:t>必自找苦吃”等生活理念,进而产生了“光想青年”和“积</w:t>
      </w:r>
      <w:r>
        <w:rPr>
          <w:rFonts w:hint="eastAsia" w:ascii="宋体" w:hAnsi="宋体" w:eastAsia="宋体" w:cs="宋体"/>
          <w:spacing w:val="6"/>
          <w:sz w:val="21"/>
          <w:szCs w:val="21"/>
        </w:rPr>
        <w:t>极废人”等现象.但</w:t>
      </w:r>
      <w:r>
        <w:rPr>
          <w:rFonts w:hint="eastAsia" w:ascii="宋体" w:hAnsi="宋体" w:eastAsia="宋体" w:cs="宋体"/>
          <w:spacing w:val="15"/>
          <w:sz w:val="21"/>
          <w:szCs w:val="21"/>
        </w:rPr>
        <w:t>是,勇于斗争、积极奋斗仍然应该是青年人的</w:t>
      </w:r>
      <w:r>
        <w:rPr>
          <w:rFonts w:hint="eastAsia" w:ascii="宋体" w:hAnsi="宋体" w:eastAsia="宋体" w:cs="宋体"/>
          <w:spacing w:val="14"/>
          <w:sz w:val="21"/>
          <w:szCs w:val="21"/>
        </w:rPr>
        <w:t>正确人生态度.享乐主义和泛娱乐</w:t>
      </w:r>
      <w:r>
        <w:rPr>
          <w:rFonts w:hint="eastAsia" w:ascii="宋体" w:hAnsi="宋体" w:eastAsia="宋体" w:cs="宋体"/>
          <w:spacing w:val="18"/>
          <w:sz w:val="21"/>
          <w:szCs w:val="21"/>
        </w:rPr>
        <w:t>主义的流行使得一部分青年人沉溺于物质追求和感官娱</w:t>
      </w:r>
      <w:r>
        <w:rPr>
          <w:rFonts w:hint="eastAsia" w:ascii="宋体" w:hAnsi="宋体" w:eastAsia="宋体" w:cs="宋体"/>
          <w:spacing w:val="17"/>
          <w:sz w:val="21"/>
          <w:szCs w:val="21"/>
        </w:rPr>
        <w:t>乐,并与积极的生活方式</w:t>
      </w:r>
      <w:r>
        <w:rPr>
          <w:rFonts w:hint="eastAsia" w:ascii="宋体" w:hAnsi="宋体" w:eastAsia="宋体" w:cs="宋体"/>
          <w:spacing w:val="10"/>
          <w:sz w:val="21"/>
          <w:szCs w:val="21"/>
        </w:rPr>
        <w:t>和社会主流价值观渐行渐远.当前,亟须用“不怕牺牲、英勇斗争”精神以及相</w:t>
      </w:r>
      <w:r>
        <w:rPr>
          <w:rFonts w:hint="eastAsia" w:ascii="宋体" w:hAnsi="宋体" w:eastAsia="宋体" w:cs="宋体"/>
          <w:spacing w:val="12"/>
          <w:sz w:val="21"/>
          <w:szCs w:val="21"/>
        </w:rPr>
        <w:t>关素材,重拾青年人积极奋斗、敢于斗争的精神姿态.</w:t>
      </w:r>
    </w:p>
    <w:p w14:paraId="336B856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8"/>
          <w:position w:val="1"/>
          <w:sz w:val="21"/>
          <w:szCs w:val="21"/>
        </w:rPr>
        <w:t>(四)培养学生“对党忠诚、不负人民”的价值立场</w:t>
      </w:r>
    </w:p>
    <w:p w14:paraId="4D29046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4"/>
          <w:sz w:val="21"/>
          <w:szCs w:val="21"/>
        </w:rPr>
        <w:t>近代历史清晰地展示了缺乏中国共产党的领导,新中国将不会成立,中华民</w:t>
      </w:r>
      <w:r>
        <w:rPr>
          <w:rFonts w:hint="eastAsia" w:ascii="宋体" w:hAnsi="宋体" w:eastAsia="宋体" w:cs="宋体"/>
          <w:spacing w:val="16"/>
          <w:sz w:val="21"/>
          <w:szCs w:val="21"/>
        </w:rPr>
        <w:t>族伟大复兴亦无法实现。习近平总书记强调:“对党忠诚是共产党人必须具备的</w:t>
      </w:r>
      <w:r>
        <w:rPr>
          <w:rFonts w:hint="eastAsia" w:ascii="宋体" w:hAnsi="宋体" w:eastAsia="宋体" w:cs="宋体"/>
          <w:spacing w:val="1"/>
          <w:sz w:val="21"/>
          <w:szCs w:val="21"/>
        </w:rPr>
        <w:t>政治品格。”</w:t>
      </w:r>
      <w:r>
        <w:rPr>
          <w:rStyle w:val="20"/>
          <w:rFonts w:hint="eastAsia" w:ascii="宋体" w:hAnsi="宋体" w:eastAsia="宋体" w:cs="宋体"/>
          <w:spacing w:val="1"/>
          <w:sz w:val="21"/>
          <w:szCs w:val="21"/>
        </w:rPr>
        <w:footnoteReference w:id="1476"/>
      </w:r>
      <w:r>
        <w:rPr>
          <w:rFonts w:hint="eastAsia" w:ascii="宋体" w:hAnsi="宋体" w:eastAsia="宋体" w:cs="宋体"/>
          <w:spacing w:val="1"/>
          <w:sz w:val="21"/>
          <w:szCs w:val="21"/>
        </w:rPr>
        <w:t>这一点也是中国共产党强大的组织能力的体现</w:t>
      </w:r>
      <w:r>
        <w:rPr>
          <w:rFonts w:hint="eastAsia" w:ascii="宋体" w:hAnsi="宋体" w:eastAsia="宋体" w:cs="宋体"/>
          <w:sz w:val="21"/>
          <w:szCs w:val="21"/>
        </w:rPr>
        <w:t>,正是这种组织能</w:t>
      </w:r>
      <w:r>
        <w:rPr>
          <w:rFonts w:hint="eastAsia" w:ascii="宋体" w:hAnsi="宋体" w:eastAsia="宋体" w:cs="宋体"/>
          <w:spacing w:val="-1"/>
          <w:sz w:val="21"/>
          <w:szCs w:val="21"/>
        </w:rPr>
        <w:t>力使得中国共产党在巨大的困难面前同仇敌忾、团结一致,能够一</w:t>
      </w:r>
      <w:r>
        <w:rPr>
          <w:rFonts w:hint="eastAsia" w:ascii="宋体" w:hAnsi="宋体" w:eastAsia="宋体" w:cs="宋体"/>
          <w:spacing w:val="-2"/>
          <w:sz w:val="21"/>
          <w:szCs w:val="21"/>
        </w:rPr>
        <w:t>切行动听指</w:t>
      </w:r>
      <w:r>
        <w:rPr>
          <w:rFonts w:hint="eastAsia" w:ascii="宋体" w:hAnsi="宋体" w:eastAsia="宋体" w:cs="宋体"/>
          <w:spacing w:val="-1"/>
          <w:sz w:val="21"/>
          <w:szCs w:val="21"/>
        </w:rPr>
        <w:t>挥、令行禁止,保障了党的巨大凝聚力。而不负人民则是中国共产党的初心使</w:t>
      </w:r>
      <w:r>
        <w:rPr>
          <w:rFonts w:hint="eastAsia" w:ascii="宋体" w:hAnsi="宋体" w:eastAsia="宋体" w:cs="宋体"/>
          <w:spacing w:val="8"/>
          <w:sz w:val="21"/>
          <w:szCs w:val="21"/>
        </w:rPr>
        <w:t>命,是党对人民的承诺。“江山就是人民,人民就是江山”,中国共产党血脉在人</w:t>
      </w:r>
      <w:r>
        <w:rPr>
          <w:rFonts w:hint="eastAsia" w:ascii="宋体" w:hAnsi="宋体" w:eastAsia="宋体" w:cs="宋体"/>
          <w:spacing w:val="11"/>
          <w:sz w:val="21"/>
          <w:szCs w:val="21"/>
        </w:rPr>
        <w:t>民、根基在人民、力量在人民。</w:t>
      </w:r>
    </w:p>
    <w:p w14:paraId="7C70290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4"/>
          <w:sz w:val="21"/>
          <w:szCs w:val="21"/>
        </w:rPr>
        <w:t>全球化背景下,个人主义、功利主义思潮侵蚀青年对集体价值的认同,弱化</w:t>
      </w:r>
      <w:r>
        <w:rPr>
          <w:rFonts w:hint="eastAsia" w:ascii="宋体" w:hAnsi="宋体" w:eastAsia="宋体" w:cs="宋体"/>
          <w:spacing w:val="2"/>
          <w:sz w:val="21"/>
          <w:szCs w:val="21"/>
        </w:rPr>
        <w:t>“不负人民”的使命感。部分青年未能将“对党忠诚”与个人发</w:t>
      </w:r>
      <w:r>
        <w:rPr>
          <w:rFonts w:hint="eastAsia" w:ascii="宋体" w:hAnsi="宋体" w:eastAsia="宋体" w:cs="宋体"/>
          <w:spacing w:val="1"/>
          <w:sz w:val="21"/>
          <w:szCs w:val="21"/>
        </w:rPr>
        <w:t>展统一,误认为</w:t>
      </w:r>
      <w:r>
        <w:rPr>
          <w:rFonts w:hint="eastAsia" w:ascii="宋体" w:hAnsi="宋体" w:eastAsia="宋体" w:cs="宋体"/>
          <w:spacing w:val="22"/>
          <w:sz w:val="21"/>
          <w:szCs w:val="21"/>
        </w:rPr>
        <w:t>忠诚精神与实现自我价值无关。青年政治认同缺失可能影响党和国家事</w:t>
      </w:r>
      <w:r>
        <w:rPr>
          <w:rFonts w:hint="eastAsia" w:ascii="宋体" w:hAnsi="宋体" w:eastAsia="宋体" w:cs="宋体"/>
          <w:spacing w:val="21"/>
          <w:sz w:val="21"/>
          <w:szCs w:val="21"/>
        </w:rPr>
        <w:t>业接续发</w:t>
      </w:r>
      <w:r>
        <w:rPr>
          <w:rFonts w:hint="eastAsia" w:ascii="宋体" w:hAnsi="宋体" w:eastAsia="宋体" w:cs="宋体"/>
          <w:spacing w:val="17"/>
          <w:sz w:val="21"/>
          <w:szCs w:val="21"/>
        </w:rPr>
        <w:t>展,危及长期执政安全。青年作为强国建设主力军,其忠诚精神会影响中国式现</w:t>
      </w:r>
      <w:r>
        <w:rPr>
          <w:rFonts w:hint="eastAsia" w:ascii="宋体" w:hAnsi="宋体" w:eastAsia="宋体" w:cs="宋体"/>
          <w:spacing w:val="14"/>
          <w:sz w:val="21"/>
          <w:szCs w:val="21"/>
        </w:rPr>
        <w:t>代化进程。力行“为人民服务”的实践,使青年避免</w:t>
      </w:r>
      <w:r>
        <w:rPr>
          <w:rFonts w:hint="eastAsia" w:ascii="宋体" w:hAnsi="宋体" w:eastAsia="宋体" w:cs="宋体"/>
          <w:spacing w:val="13"/>
          <w:sz w:val="21"/>
          <w:szCs w:val="21"/>
        </w:rPr>
        <w:t>陷入价值虚无,从而丧失奋</w:t>
      </w:r>
      <w:r>
        <w:rPr>
          <w:rFonts w:hint="eastAsia" w:ascii="宋体" w:hAnsi="宋体" w:eastAsia="宋体" w:cs="宋体"/>
          <w:spacing w:val="32"/>
          <w:sz w:val="21"/>
          <w:szCs w:val="21"/>
        </w:rPr>
        <w:t>斗方向。</w:t>
      </w:r>
    </w:p>
    <w:p w14:paraId="2B79A3A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伟大建党精神在中国共产党人精神谱系中具有重要的地位与作用,董振华指</w:t>
      </w:r>
      <w:r>
        <w:rPr>
          <w:rFonts w:hint="eastAsia" w:ascii="宋体" w:hAnsi="宋体" w:eastAsia="宋体" w:cs="宋体"/>
          <w:spacing w:val="9"/>
          <w:sz w:val="21"/>
          <w:szCs w:val="21"/>
        </w:rPr>
        <w:t>出,“人无精神则不立,国无精神则不强”,中</w:t>
      </w:r>
      <w:r>
        <w:rPr>
          <w:rFonts w:hint="eastAsia" w:ascii="宋体" w:hAnsi="宋体" w:eastAsia="宋体" w:cs="宋体"/>
          <w:spacing w:val="8"/>
          <w:sz w:val="21"/>
          <w:szCs w:val="21"/>
        </w:rPr>
        <w:t>国共产党的百年建党历史构建起精</w:t>
      </w:r>
      <w:r>
        <w:rPr>
          <w:rFonts w:hint="eastAsia" w:ascii="宋体" w:hAnsi="宋体" w:eastAsia="宋体" w:cs="宋体"/>
          <w:spacing w:val="15"/>
          <w:sz w:val="21"/>
          <w:szCs w:val="21"/>
        </w:rPr>
        <w:t>神谱系;</w:t>
      </w:r>
      <w:r>
        <w:rPr>
          <w:rStyle w:val="20"/>
          <w:rFonts w:hint="eastAsia" w:ascii="宋体" w:hAnsi="宋体" w:eastAsia="宋体" w:cs="宋体"/>
          <w:spacing w:val="-74"/>
          <w:sz w:val="21"/>
          <w:szCs w:val="21"/>
        </w:rPr>
        <w:footnoteReference w:id="1477"/>
      </w:r>
      <w:r>
        <w:rPr>
          <w:rFonts w:hint="eastAsia" w:ascii="宋体" w:hAnsi="宋体" w:eastAsia="宋体" w:cs="宋体"/>
          <w:spacing w:val="15"/>
          <w:sz w:val="21"/>
          <w:szCs w:val="21"/>
        </w:rPr>
        <w:t>赵斌指出,伟大建党精神贯穿于中国</w:t>
      </w:r>
      <w:r>
        <w:rPr>
          <w:rFonts w:hint="eastAsia" w:ascii="宋体" w:hAnsi="宋体" w:eastAsia="宋体" w:cs="宋体"/>
          <w:spacing w:val="14"/>
          <w:sz w:val="21"/>
          <w:szCs w:val="21"/>
        </w:rPr>
        <w:t>革命、建设、改革开放时期的全</w:t>
      </w:r>
      <w:r>
        <w:rPr>
          <w:rFonts w:hint="eastAsia" w:ascii="宋体" w:hAnsi="宋体" w:eastAsia="宋体" w:cs="宋体"/>
          <w:spacing w:val="15"/>
          <w:sz w:val="21"/>
          <w:szCs w:val="21"/>
        </w:rPr>
        <w:t>过程,蕴含着党的红色基因和优良传统。</w:t>
      </w:r>
      <w:r>
        <w:rPr>
          <w:rStyle w:val="20"/>
          <w:rFonts w:hint="eastAsia" w:ascii="宋体" w:hAnsi="宋体" w:eastAsia="宋体" w:cs="宋体"/>
          <w:spacing w:val="15"/>
          <w:sz w:val="21"/>
          <w:szCs w:val="21"/>
        </w:rPr>
        <w:footnoteReference w:id="1478"/>
      </w:r>
      <w:r>
        <w:rPr>
          <w:rFonts w:hint="eastAsia" w:ascii="宋体" w:hAnsi="宋体" w:eastAsia="宋体" w:cs="宋体"/>
          <w:spacing w:val="15"/>
          <w:sz w:val="21"/>
          <w:szCs w:val="21"/>
        </w:rPr>
        <w:t>伟大建党精神是中国共产党</w:t>
      </w:r>
      <w:r>
        <w:rPr>
          <w:rFonts w:hint="eastAsia" w:ascii="宋体" w:hAnsi="宋体" w:eastAsia="宋体" w:cs="宋体"/>
          <w:spacing w:val="14"/>
          <w:sz w:val="21"/>
          <w:szCs w:val="21"/>
        </w:rPr>
        <w:t>人精神谱</w:t>
      </w:r>
      <w:r>
        <w:rPr>
          <w:rFonts w:hint="eastAsia" w:ascii="宋体" w:hAnsi="宋体" w:eastAsia="宋体" w:cs="宋体"/>
          <w:spacing w:val="13"/>
          <w:sz w:val="21"/>
          <w:szCs w:val="21"/>
        </w:rPr>
        <w:t>系的起点与源头。韩庆祥指出,伟大建党精神是源,精神谱系是流;伟大建党精</w:t>
      </w:r>
      <w:r>
        <w:rPr>
          <w:rFonts w:hint="eastAsia" w:ascii="宋体" w:hAnsi="宋体" w:eastAsia="宋体" w:cs="宋体"/>
          <w:spacing w:val="15"/>
          <w:sz w:val="21"/>
          <w:szCs w:val="21"/>
        </w:rPr>
        <w:t>神体现了本源性与传承性精神,而精神谱系则展现了创造性与进步性精神。</w:t>
      </w:r>
      <w:r>
        <w:rPr>
          <w:rStyle w:val="20"/>
          <w:rFonts w:hint="eastAsia" w:ascii="宋体" w:hAnsi="宋体" w:eastAsia="宋体" w:cs="宋体"/>
          <w:spacing w:val="15"/>
          <w:sz w:val="21"/>
          <w:szCs w:val="21"/>
        </w:rPr>
        <w:footnoteReference w:id="1479"/>
      </w:r>
      <w:r>
        <w:rPr>
          <w:rFonts w:hint="eastAsia" w:ascii="宋体" w:hAnsi="宋体" w:eastAsia="宋体" w:cs="宋体"/>
          <w:spacing w:val="14"/>
          <w:sz w:val="21"/>
          <w:szCs w:val="21"/>
        </w:rPr>
        <w:t>因此,研究伟大建党精神的意义重大。曲青山指出,伟大建党精神</w:t>
      </w:r>
      <w:r>
        <w:rPr>
          <w:rFonts w:hint="eastAsia" w:ascii="宋体" w:hAnsi="宋体" w:eastAsia="宋体" w:cs="宋体"/>
          <w:spacing w:val="13"/>
          <w:sz w:val="21"/>
          <w:szCs w:val="21"/>
        </w:rPr>
        <w:t>揭示了中国共产</w:t>
      </w:r>
      <w:r>
        <w:rPr>
          <w:rFonts w:hint="eastAsia" w:ascii="宋体" w:hAnsi="宋体" w:eastAsia="宋体" w:cs="宋体"/>
          <w:spacing w:val="16"/>
          <w:sz w:val="21"/>
          <w:szCs w:val="21"/>
        </w:rPr>
        <w:t>党为什么能,深入学习贯彻习近平总书记重要讲</w:t>
      </w:r>
      <w:r>
        <w:rPr>
          <w:rFonts w:hint="eastAsia" w:ascii="宋体" w:hAnsi="宋体" w:eastAsia="宋体" w:cs="宋体"/>
          <w:spacing w:val="15"/>
          <w:sz w:val="21"/>
          <w:szCs w:val="21"/>
        </w:rPr>
        <w:t>话精神,新时代中国特色社会主</w:t>
      </w:r>
      <w:r>
        <w:rPr>
          <w:rFonts w:hint="eastAsia" w:ascii="宋体" w:hAnsi="宋体" w:eastAsia="宋体" w:cs="宋体"/>
          <w:spacing w:val="18"/>
          <w:sz w:val="21"/>
          <w:szCs w:val="21"/>
        </w:rPr>
        <w:t>义伟大事业的推进需要弘扬和建设伟大建党精神,这</w:t>
      </w:r>
      <w:r>
        <w:rPr>
          <w:rFonts w:hint="eastAsia" w:ascii="宋体" w:hAnsi="宋体" w:eastAsia="宋体" w:cs="宋体"/>
          <w:spacing w:val="17"/>
          <w:sz w:val="21"/>
          <w:szCs w:val="21"/>
        </w:rPr>
        <w:t>对于现实和历史都具有深远</w:t>
      </w:r>
      <w:r>
        <w:rPr>
          <w:rFonts w:hint="eastAsia" w:ascii="宋体" w:hAnsi="宋体" w:eastAsia="宋体" w:cs="宋体"/>
          <w:spacing w:val="-20"/>
          <w:sz w:val="21"/>
          <w:szCs w:val="21"/>
        </w:rPr>
        <w:t>意义。</w:t>
      </w:r>
      <w:r>
        <w:rPr>
          <w:rStyle w:val="20"/>
          <w:rFonts w:hint="eastAsia" w:ascii="宋体" w:hAnsi="宋体" w:eastAsia="宋体" w:cs="宋体"/>
          <w:spacing w:val="-20"/>
          <w:sz w:val="21"/>
          <w:szCs w:val="21"/>
        </w:rPr>
        <w:footnoteReference w:id="1480"/>
      </w:r>
      <w:r>
        <w:rPr>
          <w:rFonts w:hint="eastAsia" w:ascii="宋体" w:hAnsi="宋体" w:eastAsia="宋体" w:cs="宋体"/>
          <w:spacing w:val="17"/>
          <w:sz w:val="21"/>
          <w:szCs w:val="21"/>
        </w:rPr>
        <w:t>这些内容是思想政治理论课中生动的教学</w:t>
      </w:r>
      <w:r>
        <w:rPr>
          <w:rFonts w:hint="eastAsia" w:ascii="宋体" w:hAnsi="宋体" w:eastAsia="宋体" w:cs="宋体"/>
          <w:spacing w:val="16"/>
          <w:sz w:val="21"/>
          <w:szCs w:val="21"/>
        </w:rPr>
        <w:t>案例。</w:t>
      </w:r>
    </w:p>
    <w:p w14:paraId="4750C98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52" w:firstLineChars="200"/>
        <w:jc w:val="both"/>
        <w:textAlignment w:val="baseline"/>
        <w:outlineLvl w:val="9"/>
        <w:rPr>
          <w:rFonts w:hint="eastAsia" w:ascii="宋体" w:hAnsi="宋体" w:eastAsia="宋体" w:cs="宋体"/>
          <w:b/>
          <w:bCs/>
          <w:spacing w:val="18"/>
          <w:sz w:val="24"/>
          <w:szCs w:val="24"/>
        </w:rPr>
      </w:pPr>
      <w:r>
        <w:rPr>
          <w:rFonts w:hint="eastAsia" w:ascii="宋体" w:hAnsi="宋体" w:eastAsia="宋体" w:cs="宋体"/>
          <w:b/>
          <w:bCs/>
          <w:spacing w:val="18"/>
          <w:sz w:val="24"/>
          <w:szCs w:val="24"/>
        </w:rPr>
        <w:t>二、伟大建党精神融入高校思想政治理论课教学的可能性</w:t>
      </w:r>
    </w:p>
    <w:p w14:paraId="60EDC41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67E0E40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伟大建党精神蕴含着丰富的思想教育内涵,王夏杰等认为,高校思想政治教育与伟大建党精神在精神实质、育人功能、奋斗目标等方面相契合,伟大建党精</w:t>
      </w:r>
      <w:r>
        <w:rPr>
          <w:rFonts w:hint="eastAsia" w:ascii="宋体" w:hAnsi="宋体" w:eastAsia="宋体" w:cs="宋体"/>
          <w:spacing w:val="18"/>
          <w:sz w:val="21"/>
          <w:szCs w:val="21"/>
        </w:rPr>
        <w:t>神课堂教学、网络教学、实践教学的一体化推进有利于实</w:t>
      </w:r>
      <w:r>
        <w:rPr>
          <w:rFonts w:hint="eastAsia" w:ascii="宋体" w:hAnsi="宋体" w:eastAsia="宋体" w:cs="宋体"/>
          <w:spacing w:val="17"/>
          <w:sz w:val="21"/>
          <w:szCs w:val="21"/>
        </w:rPr>
        <w:t>现高校思想政治教育价</w:t>
      </w:r>
      <w:r>
        <w:rPr>
          <w:rFonts w:hint="eastAsia" w:ascii="宋体" w:hAnsi="宋体" w:eastAsia="宋体" w:cs="宋体"/>
          <w:spacing w:val="-17"/>
          <w:w w:val="87"/>
          <w:sz w:val="21"/>
          <w:szCs w:val="21"/>
        </w:rPr>
        <w:t>值。</w:t>
      </w:r>
      <w:r>
        <w:rPr>
          <w:rStyle w:val="20"/>
          <w:rFonts w:hint="eastAsia" w:ascii="宋体" w:hAnsi="宋体" w:eastAsia="宋体" w:cs="宋体"/>
          <w:spacing w:val="-17"/>
          <w:w w:val="87"/>
          <w:sz w:val="21"/>
          <w:szCs w:val="21"/>
        </w:rPr>
        <w:footnoteReference w:id="1481"/>
      </w:r>
      <w:r>
        <w:rPr>
          <w:rFonts w:hint="eastAsia" w:ascii="宋体" w:hAnsi="宋体" w:eastAsia="宋体" w:cs="宋体"/>
          <w:spacing w:val="17"/>
          <w:sz w:val="21"/>
          <w:szCs w:val="21"/>
        </w:rPr>
        <w:t>因此,伟大建党精神与思想政治理论课的融合具备理论自洽</w:t>
      </w:r>
      <w:r>
        <w:rPr>
          <w:rFonts w:hint="eastAsia" w:ascii="宋体" w:hAnsi="宋体" w:eastAsia="宋体" w:cs="宋体"/>
          <w:spacing w:val="16"/>
          <w:sz w:val="21"/>
          <w:szCs w:val="21"/>
        </w:rPr>
        <w:t>性、实践可操作性和政策必然性,通过创新教学方法、强</w:t>
      </w:r>
      <w:r>
        <w:rPr>
          <w:rFonts w:hint="eastAsia" w:ascii="宋体" w:hAnsi="宋体" w:eastAsia="宋体" w:cs="宋体"/>
          <w:spacing w:val="15"/>
          <w:sz w:val="21"/>
          <w:szCs w:val="21"/>
        </w:rPr>
        <w:t>化实践育人、分层教学设计及资源整</w:t>
      </w:r>
      <w:r>
        <w:rPr>
          <w:rFonts w:hint="eastAsia" w:ascii="宋体" w:hAnsi="宋体" w:eastAsia="宋体" w:cs="宋体"/>
          <w:spacing w:val="13"/>
          <w:sz w:val="21"/>
          <w:szCs w:val="21"/>
        </w:rPr>
        <w:t>合,可实现精神培育与课程目标的深度统一。</w:t>
      </w:r>
    </w:p>
    <w:p w14:paraId="4E1DBC0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6"/>
          <w:position w:val="1"/>
          <w:sz w:val="21"/>
          <w:szCs w:val="21"/>
        </w:rPr>
        <w:t>(一)高校思想政治理论课与伟大建党精神的契合性</w:t>
      </w:r>
    </w:p>
    <w:p w14:paraId="392BC0F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高校思想政治理论课以宣传和讲授马克思主义为主要内容,其与伟大建党精</w:t>
      </w:r>
      <w:r>
        <w:rPr>
          <w:rFonts w:hint="eastAsia" w:ascii="宋体" w:hAnsi="宋体" w:eastAsia="宋体" w:cs="宋体"/>
          <w:spacing w:val="20"/>
          <w:sz w:val="21"/>
          <w:szCs w:val="21"/>
        </w:rPr>
        <w:t>神的契合性体现于伟大建党精神教育内涵和新时代社会主义教育目标所指向的人</w:t>
      </w:r>
      <w:r>
        <w:rPr>
          <w:rFonts w:hint="eastAsia" w:ascii="宋体" w:hAnsi="宋体" w:eastAsia="宋体" w:cs="宋体"/>
          <w:spacing w:val="22"/>
          <w:sz w:val="21"/>
          <w:szCs w:val="21"/>
        </w:rPr>
        <w:t>才培养目标。伟大建党精神具有的教育内涵表</w:t>
      </w:r>
      <w:r>
        <w:rPr>
          <w:rFonts w:hint="eastAsia" w:ascii="宋体" w:hAnsi="宋体" w:eastAsia="宋体" w:cs="宋体"/>
          <w:spacing w:val="21"/>
          <w:sz w:val="21"/>
          <w:szCs w:val="21"/>
        </w:rPr>
        <w:t>现为对共产主义远大理想的坚守、</w:t>
      </w:r>
      <w:r>
        <w:rPr>
          <w:rFonts w:hint="eastAsia" w:ascii="宋体" w:hAnsi="宋体" w:eastAsia="宋体" w:cs="宋体"/>
          <w:spacing w:val="16"/>
          <w:sz w:val="21"/>
          <w:szCs w:val="21"/>
        </w:rPr>
        <w:t>以人民为中心的使命担当、敢于斗争的英雄气概、</w:t>
      </w:r>
      <w:r>
        <w:rPr>
          <w:rFonts w:hint="eastAsia" w:ascii="宋体" w:hAnsi="宋体" w:eastAsia="宋体" w:cs="宋体"/>
          <w:spacing w:val="15"/>
          <w:sz w:val="21"/>
          <w:szCs w:val="21"/>
        </w:rPr>
        <w:t>实事求是的真理追求;伟大建</w:t>
      </w:r>
      <w:r>
        <w:rPr>
          <w:rFonts w:hint="eastAsia" w:ascii="宋体" w:hAnsi="宋体" w:eastAsia="宋体" w:cs="宋体"/>
          <w:spacing w:val="19"/>
          <w:sz w:val="21"/>
          <w:szCs w:val="21"/>
        </w:rPr>
        <w:t>党精神所蕴含的人才培养目标的时代价值表现为砥砺前行的精神动力、建设</w:t>
      </w:r>
      <w:r>
        <w:rPr>
          <w:rFonts w:hint="eastAsia" w:ascii="宋体" w:hAnsi="宋体" w:eastAsia="宋体" w:cs="宋体"/>
          <w:spacing w:val="18"/>
          <w:sz w:val="21"/>
          <w:szCs w:val="21"/>
        </w:rPr>
        <w:t>社会主义现代化国家的精神指南、应对国内外各种风险挑战的精神定力</w:t>
      </w:r>
      <w:r>
        <w:rPr>
          <w:rFonts w:hint="eastAsia" w:ascii="宋体" w:hAnsi="宋体" w:eastAsia="宋体" w:cs="宋体"/>
          <w:spacing w:val="17"/>
          <w:sz w:val="21"/>
          <w:szCs w:val="21"/>
        </w:rPr>
        <w:t>、推进党的建</w:t>
      </w:r>
      <w:r>
        <w:rPr>
          <w:rFonts w:hint="eastAsia" w:ascii="宋体" w:hAnsi="宋体" w:eastAsia="宋体" w:cs="宋体"/>
          <w:sz w:val="21"/>
          <w:szCs w:val="21"/>
        </w:rPr>
        <w:t>设新的伟大工程。以“坚持真理、坚守</w:t>
      </w:r>
      <w:r>
        <w:rPr>
          <w:rFonts w:hint="eastAsia" w:ascii="宋体" w:hAnsi="宋体" w:eastAsia="宋体" w:cs="宋体"/>
          <w:spacing w:val="-1"/>
          <w:sz w:val="21"/>
          <w:szCs w:val="21"/>
        </w:rPr>
        <w:t>理想”精神引领学生坚定理想信念的树</w:t>
      </w:r>
      <w:r>
        <w:rPr>
          <w:rFonts w:hint="eastAsia" w:ascii="宋体" w:hAnsi="宋体" w:eastAsia="宋体" w:cs="宋体"/>
          <w:spacing w:val="7"/>
          <w:sz w:val="21"/>
          <w:szCs w:val="21"/>
        </w:rPr>
        <w:t>立,以“践行初心、担当使命”精神鼓励学生不忘初心使命,</w:t>
      </w:r>
      <w:r>
        <w:rPr>
          <w:rFonts w:hint="eastAsia" w:ascii="宋体" w:hAnsi="宋体" w:eastAsia="宋体" w:cs="宋体"/>
          <w:spacing w:val="6"/>
          <w:sz w:val="21"/>
          <w:szCs w:val="21"/>
        </w:rPr>
        <w:t>以“不怕牺牲、英</w:t>
      </w:r>
      <w:r>
        <w:rPr>
          <w:rFonts w:hint="eastAsia" w:ascii="宋体" w:hAnsi="宋体" w:eastAsia="宋体" w:cs="宋体"/>
          <w:spacing w:val="12"/>
          <w:sz w:val="21"/>
          <w:szCs w:val="21"/>
        </w:rPr>
        <w:t>勇斗争”精神强化学生勇于奉献的意识,以“对党忠诚、不负人民”精神厚植学</w:t>
      </w:r>
      <w:r>
        <w:rPr>
          <w:rFonts w:hint="eastAsia" w:ascii="宋体" w:hAnsi="宋体" w:eastAsia="宋体" w:cs="宋体"/>
          <w:spacing w:val="4"/>
          <w:sz w:val="21"/>
          <w:szCs w:val="21"/>
        </w:rPr>
        <w:t>生爱党爱国情感。</w:t>
      </w:r>
      <w:r>
        <w:rPr>
          <w:rStyle w:val="20"/>
          <w:rFonts w:hint="eastAsia" w:ascii="宋体" w:hAnsi="宋体" w:eastAsia="宋体" w:cs="宋体"/>
          <w:spacing w:val="4"/>
          <w:sz w:val="21"/>
          <w:szCs w:val="21"/>
        </w:rPr>
        <w:footnoteReference w:id="1482"/>
      </w:r>
    </w:p>
    <w:p w14:paraId="30612D8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“在人类思想史上,就科学性、真理性、影响力、</w:t>
      </w:r>
      <w:r>
        <w:rPr>
          <w:rFonts w:hint="eastAsia" w:ascii="宋体" w:hAnsi="宋体" w:eastAsia="宋体" w:cs="宋体"/>
          <w:spacing w:val="14"/>
          <w:sz w:val="21"/>
          <w:szCs w:val="21"/>
        </w:rPr>
        <w:t>传播面而言,没有一种思</w:t>
      </w:r>
      <w:r>
        <w:rPr>
          <w:rFonts w:hint="eastAsia" w:ascii="宋体" w:hAnsi="宋体" w:eastAsia="宋体" w:cs="宋体"/>
          <w:spacing w:val="12"/>
          <w:sz w:val="21"/>
          <w:szCs w:val="21"/>
        </w:rPr>
        <w:t>想理论能达到马克思主义的高度。”</w:t>
      </w:r>
      <w:r>
        <w:rPr>
          <w:rStyle w:val="20"/>
          <w:rFonts w:hint="eastAsia" w:ascii="宋体" w:hAnsi="宋体" w:eastAsia="宋体" w:cs="宋体"/>
          <w:spacing w:val="12"/>
          <w:sz w:val="21"/>
          <w:szCs w:val="21"/>
        </w:rPr>
        <w:footnoteReference w:id="1483"/>
      </w:r>
      <w:r>
        <w:rPr>
          <w:rFonts w:hint="eastAsia" w:ascii="宋体" w:hAnsi="宋体" w:eastAsia="宋体" w:cs="宋体"/>
          <w:spacing w:val="12"/>
          <w:sz w:val="21"/>
          <w:szCs w:val="21"/>
        </w:rPr>
        <w:t>百年党史告诉我们,坚定马克思主义立场、</w:t>
      </w:r>
      <w:r>
        <w:rPr>
          <w:rFonts w:hint="eastAsia" w:ascii="宋体" w:hAnsi="宋体" w:eastAsia="宋体" w:cs="宋体"/>
          <w:spacing w:val="19"/>
          <w:sz w:val="21"/>
          <w:szCs w:val="21"/>
        </w:rPr>
        <w:t>方法是战胜一切困难的法宝。马克思主义是中国共产党取得革命以及社会主义建</w:t>
      </w:r>
      <w:r>
        <w:rPr>
          <w:rFonts w:hint="eastAsia" w:ascii="宋体" w:hAnsi="宋体" w:eastAsia="宋体" w:cs="宋体"/>
          <w:spacing w:val="13"/>
          <w:sz w:val="21"/>
          <w:szCs w:val="21"/>
        </w:rPr>
        <w:t>设事业胜利的法宝。作为“两个结合”的产物,伟大建党精神的主要内容不是教</w:t>
      </w:r>
      <w:r>
        <w:rPr>
          <w:rFonts w:hint="eastAsia" w:ascii="宋体" w:hAnsi="宋体" w:eastAsia="宋体" w:cs="宋体"/>
          <w:spacing w:val="16"/>
          <w:sz w:val="21"/>
          <w:szCs w:val="21"/>
        </w:rPr>
        <w:t>条,而是为革命和建设实践提供了指导方向和实</w:t>
      </w:r>
      <w:r>
        <w:rPr>
          <w:rFonts w:hint="eastAsia" w:ascii="宋体" w:hAnsi="宋体" w:eastAsia="宋体" w:cs="宋体"/>
          <w:spacing w:val="15"/>
          <w:sz w:val="21"/>
          <w:szCs w:val="21"/>
        </w:rPr>
        <w:t>践路径,具体表现为以共产主义</w:t>
      </w:r>
      <w:r>
        <w:rPr>
          <w:rFonts w:hint="eastAsia" w:ascii="宋体" w:hAnsi="宋体" w:eastAsia="宋体" w:cs="宋体"/>
          <w:spacing w:val="16"/>
          <w:sz w:val="21"/>
          <w:szCs w:val="21"/>
        </w:rPr>
        <w:t>为理想信念、以人民为中心的价值取向,敢于</w:t>
      </w:r>
      <w:r>
        <w:rPr>
          <w:rFonts w:hint="eastAsia" w:ascii="宋体" w:hAnsi="宋体" w:eastAsia="宋体" w:cs="宋体"/>
          <w:spacing w:val="15"/>
          <w:sz w:val="21"/>
          <w:szCs w:val="21"/>
        </w:rPr>
        <w:t>斗争的英雄气概、实事求是的实现</w:t>
      </w:r>
      <w:r>
        <w:rPr>
          <w:rFonts w:hint="eastAsia" w:ascii="宋体" w:hAnsi="宋体" w:eastAsia="宋体" w:cs="宋体"/>
          <w:spacing w:val="17"/>
          <w:sz w:val="21"/>
          <w:szCs w:val="21"/>
        </w:rPr>
        <w:t>路径。这也为今天的思想政治理论课教学提供了价值取向与实践路径,与思想政</w:t>
      </w:r>
      <w:r>
        <w:rPr>
          <w:rFonts w:hint="eastAsia" w:ascii="宋体" w:hAnsi="宋体" w:eastAsia="宋体" w:cs="宋体"/>
          <w:spacing w:val="16"/>
          <w:sz w:val="21"/>
          <w:szCs w:val="21"/>
        </w:rPr>
        <w:t>治理论课的课程目标相吻合。</w:t>
      </w:r>
    </w:p>
    <w:p w14:paraId="630140E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4"/>
          <w:position w:val="-2"/>
          <w:sz w:val="21"/>
          <w:szCs w:val="21"/>
        </w:rPr>
        <w:t>1.</w:t>
      </w:r>
      <w:r>
        <w:rPr>
          <w:rFonts w:hint="eastAsia" w:ascii="宋体" w:hAnsi="宋体" w:eastAsia="宋体" w:cs="宋体"/>
          <w:spacing w:val="14"/>
          <w:sz w:val="21"/>
          <w:szCs w:val="21"/>
        </w:rPr>
        <w:t>共产主义理想信念与以人民为中心的初心使命</w:t>
      </w:r>
    </w:p>
    <w:p w14:paraId="7FF1D8C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0"/>
          <w:sz w:val="21"/>
          <w:szCs w:val="21"/>
        </w:rPr>
        <w:t>价值取向是指中国共产党人与中国特色社会主义教育需要坚守的所有</w:t>
      </w:r>
      <w:r>
        <w:rPr>
          <w:rFonts w:hint="eastAsia" w:ascii="宋体" w:hAnsi="宋体" w:eastAsia="宋体" w:cs="宋体"/>
          <w:spacing w:val="19"/>
          <w:sz w:val="21"/>
          <w:szCs w:val="21"/>
        </w:rPr>
        <w:t>事业的</w:t>
      </w:r>
      <w:r>
        <w:rPr>
          <w:rFonts w:hint="eastAsia" w:ascii="宋体" w:hAnsi="宋体" w:eastAsia="宋体" w:cs="宋体"/>
          <w:spacing w:val="17"/>
          <w:sz w:val="21"/>
          <w:szCs w:val="21"/>
        </w:rPr>
        <w:t>出发点和最终目标。马克思主义从诞生之日起,就把工人阶级的解放与全人</w:t>
      </w:r>
      <w:r>
        <w:rPr>
          <w:rFonts w:hint="eastAsia" w:ascii="宋体" w:hAnsi="宋体" w:eastAsia="宋体" w:cs="宋体"/>
          <w:spacing w:val="16"/>
          <w:sz w:val="21"/>
          <w:szCs w:val="21"/>
        </w:rPr>
        <w:t>类的</w:t>
      </w:r>
      <w:r>
        <w:rPr>
          <w:rFonts w:hint="eastAsia" w:ascii="宋体" w:hAnsi="宋体" w:eastAsia="宋体" w:cs="宋体"/>
          <w:spacing w:val="17"/>
          <w:sz w:val="21"/>
          <w:szCs w:val="21"/>
        </w:rPr>
        <w:t>幸福作为终极目标,建立每个人自由全面发展的共产主义社会则是最高理想</w:t>
      </w:r>
      <w:r>
        <w:rPr>
          <w:rFonts w:hint="eastAsia" w:ascii="宋体" w:hAnsi="宋体" w:eastAsia="宋体" w:cs="宋体"/>
          <w:spacing w:val="16"/>
          <w:sz w:val="21"/>
          <w:szCs w:val="21"/>
        </w:rPr>
        <w:t>。坚</w:t>
      </w:r>
      <w:r>
        <w:rPr>
          <w:rFonts w:hint="eastAsia" w:ascii="宋体" w:hAnsi="宋体" w:eastAsia="宋体" w:cs="宋体"/>
          <w:spacing w:val="18"/>
          <w:sz w:val="21"/>
          <w:szCs w:val="21"/>
        </w:rPr>
        <w:t>守共产主义理想以及坚持马克思主义真理,是</w:t>
      </w:r>
      <w:r>
        <w:rPr>
          <w:rFonts w:hint="eastAsia" w:ascii="宋体" w:hAnsi="宋体" w:eastAsia="宋体" w:cs="宋体"/>
          <w:spacing w:val="17"/>
          <w:sz w:val="21"/>
          <w:szCs w:val="21"/>
        </w:rPr>
        <w:t>中国共产党人的理想信念和价值追求。马克思主义也是关于人类解放思想的学说,而中国共产党从建党之初就</w:t>
      </w:r>
      <w:r>
        <w:rPr>
          <w:rFonts w:hint="eastAsia" w:ascii="宋体" w:hAnsi="宋体" w:eastAsia="宋体" w:cs="宋体"/>
          <w:spacing w:val="16"/>
          <w:sz w:val="21"/>
          <w:szCs w:val="21"/>
        </w:rPr>
        <w:t>致力于为人民带来幸福、助力国家实现复兴、推动世界走向大同。革命战争时期、社</w:t>
      </w:r>
      <w:r>
        <w:rPr>
          <w:rFonts w:hint="eastAsia" w:ascii="宋体" w:hAnsi="宋体" w:eastAsia="宋体" w:cs="宋体"/>
          <w:sz w:val="21"/>
          <w:szCs w:val="21"/>
        </w:rPr>
        <w:t>会主义建设时期的“为人民服务”思想,从群众中来、到群众中去的思想路线,</w:t>
      </w:r>
      <w:r>
        <w:rPr>
          <w:rFonts w:hint="eastAsia" w:ascii="宋体" w:hAnsi="宋体" w:eastAsia="宋体" w:cs="宋体"/>
          <w:spacing w:val="2"/>
          <w:sz w:val="21"/>
          <w:szCs w:val="21"/>
        </w:rPr>
        <w:t>以及发展为了人民、发展依靠人民、发展成果由人民共享的发展理念等,都是</w:t>
      </w:r>
      <w:r>
        <w:rPr>
          <w:rFonts w:hint="eastAsia" w:ascii="宋体" w:hAnsi="宋体" w:eastAsia="宋体" w:cs="宋体"/>
          <w:spacing w:val="12"/>
          <w:sz w:val="21"/>
          <w:szCs w:val="21"/>
        </w:rPr>
        <w:t>“以人民为中心”“人民至上”价值取向的具体体现。这与西方资产阶级政党“以资本为中心”“资本至上”的价值观有本质的不同。</w:t>
      </w:r>
    </w:p>
    <w:p w14:paraId="5C8A284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高校思想政治理论课的课程目标以立德树人为根本任务,聚焦培养时代新人的核心使命。在思想上,引导学生坚定马克思主义信仰,领会习近平新时代中国</w:t>
      </w:r>
      <w:r>
        <w:rPr>
          <w:rFonts w:hint="eastAsia" w:ascii="宋体" w:hAnsi="宋体" w:eastAsia="宋体" w:cs="宋体"/>
          <w:spacing w:val="18"/>
          <w:sz w:val="21"/>
          <w:szCs w:val="21"/>
        </w:rPr>
        <w:t>特色社会主义思想,树立共产主义远大理想和中国特色社会主义共同理</w:t>
      </w:r>
      <w:r>
        <w:rPr>
          <w:rFonts w:hint="eastAsia" w:ascii="宋体" w:hAnsi="宋体" w:eastAsia="宋体" w:cs="宋体"/>
          <w:spacing w:val="17"/>
          <w:sz w:val="21"/>
          <w:szCs w:val="21"/>
        </w:rPr>
        <w:t>想,坚定</w:t>
      </w:r>
      <w:r>
        <w:rPr>
          <w:rFonts w:hint="eastAsia" w:ascii="宋体" w:hAnsi="宋体" w:eastAsia="宋体" w:cs="宋体"/>
          <w:spacing w:val="13"/>
          <w:sz w:val="21"/>
          <w:szCs w:val="21"/>
        </w:rPr>
        <w:t>“四个自信”;在育人目标上,塑造担当民族复兴大任</w:t>
      </w:r>
      <w:r>
        <w:rPr>
          <w:rFonts w:hint="eastAsia" w:ascii="宋体" w:hAnsi="宋体" w:eastAsia="宋体" w:cs="宋体"/>
          <w:spacing w:val="12"/>
          <w:sz w:val="21"/>
          <w:szCs w:val="21"/>
        </w:rPr>
        <w:t>、德智体美劳全面发展的社</w:t>
      </w:r>
      <w:r>
        <w:rPr>
          <w:rFonts w:hint="eastAsia" w:ascii="宋体" w:hAnsi="宋体" w:eastAsia="宋体" w:cs="宋体"/>
          <w:spacing w:val="18"/>
          <w:sz w:val="21"/>
          <w:szCs w:val="21"/>
        </w:rPr>
        <w:t>会主义建设者和笃定的接班人,增强历史使命感与家国情怀。</w:t>
      </w:r>
    </w:p>
    <w:p w14:paraId="14F07FD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4"/>
          <w:position w:val="-2"/>
          <w:sz w:val="21"/>
          <w:szCs w:val="21"/>
        </w:rPr>
        <w:t>2.</w:t>
      </w:r>
      <w:r>
        <w:rPr>
          <w:rFonts w:hint="eastAsia" w:ascii="宋体" w:hAnsi="宋体" w:eastAsia="宋体" w:cs="宋体"/>
          <w:spacing w:val="14"/>
          <w:sz w:val="21"/>
          <w:szCs w:val="21"/>
        </w:rPr>
        <w:t>敢于斗争的英雄气概与实事求是的真理追求</w:t>
      </w:r>
    </w:p>
    <w:p w14:paraId="4BDE17D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在坚持真理、实现理想的过程中,中国共产党人前赴后继</w:t>
      </w:r>
      <w:r>
        <w:rPr>
          <w:rFonts w:hint="eastAsia" w:ascii="宋体" w:hAnsi="宋体" w:eastAsia="宋体" w:cs="宋体"/>
          <w:spacing w:val="-2"/>
          <w:sz w:val="21"/>
          <w:szCs w:val="21"/>
        </w:rPr>
        <w:t>,抛头颅、洒热</w:t>
      </w:r>
      <w:r>
        <w:rPr>
          <w:rFonts w:hint="eastAsia" w:ascii="宋体" w:hAnsi="宋体" w:eastAsia="宋体" w:cs="宋体"/>
          <w:spacing w:val="9"/>
          <w:sz w:val="21"/>
          <w:szCs w:val="21"/>
        </w:rPr>
        <w:t>血,勇于斗争、战胜困难。“不怕牺牲、英勇斗争”,是</w:t>
      </w:r>
      <w:r>
        <w:rPr>
          <w:rFonts w:hint="eastAsia" w:ascii="宋体" w:hAnsi="宋体" w:eastAsia="宋体" w:cs="宋体"/>
          <w:spacing w:val="8"/>
          <w:sz w:val="21"/>
          <w:szCs w:val="21"/>
        </w:rPr>
        <w:t>对中国共产党人精神风范</w:t>
      </w:r>
      <w:r>
        <w:rPr>
          <w:rFonts w:hint="eastAsia" w:ascii="宋体" w:hAnsi="宋体" w:eastAsia="宋体" w:cs="宋体"/>
          <w:spacing w:val="16"/>
          <w:sz w:val="21"/>
          <w:szCs w:val="21"/>
        </w:rPr>
        <w:t>和意志品质的集中表达,也是坚守初心使命、实现理想信念的实践路径。在</w:t>
      </w:r>
      <w:r>
        <w:rPr>
          <w:rFonts w:hint="eastAsia" w:ascii="宋体" w:hAnsi="宋体" w:eastAsia="宋体" w:cs="宋体"/>
          <w:spacing w:val="15"/>
          <w:sz w:val="21"/>
          <w:szCs w:val="21"/>
        </w:rPr>
        <w:t>新民主主义革命、社会主义革命、社会主义建设</w:t>
      </w:r>
      <w:r>
        <w:rPr>
          <w:rFonts w:hint="eastAsia" w:ascii="宋体" w:hAnsi="宋体" w:eastAsia="宋体" w:cs="宋体"/>
          <w:spacing w:val="14"/>
          <w:sz w:val="21"/>
          <w:szCs w:val="21"/>
        </w:rPr>
        <w:t>时期,敢于斗争、善于斗争是共产党</w:t>
      </w:r>
      <w:r>
        <w:rPr>
          <w:rFonts w:hint="eastAsia" w:ascii="宋体" w:hAnsi="宋体" w:eastAsia="宋体" w:cs="宋体"/>
          <w:spacing w:val="17"/>
          <w:sz w:val="21"/>
          <w:szCs w:val="21"/>
        </w:rPr>
        <w:t>人的鲜明品格,是战胜一切困难的法宝。正是依靠这种敢于斗争的英雄气概与实</w:t>
      </w:r>
      <w:r>
        <w:rPr>
          <w:rFonts w:hint="eastAsia" w:ascii="宋体" w:hAnsi="宋体" w:eastAsia="宋体" w:cs="宋体"/>
          <w:spacing w:val="15"/>
          <w:sz w:val="21"/>
          <w:szCs w:val="21"/>
        </w:rPr>
        <w:t>事求是的真理追求,中国共产党在百年历史中披荆斩棘,不断地</w:t>
      </w:r>
      <w:r>
        <w:rPr>
          <w:rFonts w:hint="eastAsia" w:ascii="宋体" w:hAnsi="宋体" w:eastAsia="宋体" w:cs="宋体"/>
          <w:spacing w:val="14"/>
          <w:sz w:val="21"/>
          <w:szCs w:val="21"/>
        </w:rPr>
        <w:t>战胜一个又一个</w:t>
      </w:r>
      <w:r>
        <w:rPr>
          <w:rFonts w:hint="eastAsia" w:ascii="宋体" w:hAnsi="宋体" w:eastAsia="宋体" w:cs="宋体"/>
          <w:spacing w:val="11"/>
          <w:sz w:val="21"/>
          <w:szCs w:val="21"/>
        </w:rPr>
        <w:t>困难,取得一个又一个胜利。</w:t>
      </w:r>
    </w:p>
    <w:p w14:paraId="0F130EC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0"/>
          <w:sz w:val="21"/>
          <w:szCs w:val="21"/>
        </w:rPr>
        <w:t>“不畏牺牲、勇于斗争”是伟大建党精神革命性特征的具体体现。早期共产</w:t>
      </w:r>
      <w:r>
        <w:rPr>
          <w:rFonts w:hint="eastAsia" w:ascii="宋体" w:hAnsi="宋体" w:eastAsia="宋体" w:cs="宋体"/>
          <w:spacing w:val="18"/>
          <w:sz w:val="21"/>
          <w:szCs w:val="21"/>
        </w:rPr>
        <w:t>党人在中国革命运动中呈现出彻底性与顽强性的革命特</w:t>
      </w:r>
      <w:r>
        <w:rPr>
          <w:rFonts w:hint="eastAsia" w:ascii="宋体" w:hAnsi="宋体" w:eastAsia="宋体" w:cs="宋体"/>
          <w:spacing w:val="17"/>
          <w:sz w:val="21"/>
          <w:szCs w:val="21"/>
        </w:rPr>
        <w:t>征,艰巨的历史使命使得</w:t>
      </w:r>
      <w:r>
        <w:rPr>
          <w:rFonts w:hint="eastAsia" w:ascii="宋体" w:hAnsi="宋体" w:eastAsia="宋体" w:cs="宋体"/>
          <w:spacing w:val="15"/>
          <w:sz w:val="21"/>
          <w:szCs w:val="21"/>
        </w:rPr>
        <w:t>中国共产党人必须进行艰苦卓绝的革命斗争,只有顽强的革命和斗争,只有不怕</w:t>
      </w:r>
      <w:r>
        <w:rPr>
          <w:rFonts w:hint="eastAsia" w:ascii="宋体" w:hAnsi="宋体" w:eastAsia="宋体" w:cs="宋体"/>
          <w:spacing w:val="10"/>
          <w:sz w:val="21"/>
          <w:szCs w:val="21"/>
        </w:rPr>
        <w:t>牺牲才能排除万难,推翻新世界,建立一个新世界。“为有牺牲多壮志</w:t>
      </w:r>
      <w:r>
        <w:rPr>
          <w:rFonts w:hint="eastAsia" w:ascii="宋体" w:hAnsi="宋体" w:eastAsia="宋体" w:cs="宋体"/>
          <w:spacing w:val="9"/>
          <w:sz w:val="21"/>
          <w:szCs w:val="21"/>
        </w:rPr>
        <w:t>,敢教日</w:t>
      </w:r>
      <w:r>
        <w:rPr>
          <w:rFonts w:hint="eastAsia" w:ascii="宋体" w:hAnsi="宋体" w:eastAsia="宋体" w:cs="宋体"/>
          <w:spacing w:val="7"/>
          <w:sz w:val="21"/>
          <w:szCs w:val="21"/>
        </w:rPr>
        <w:t>月换新天”,无论是中国人民志愿军“雄赳赳、气昂昂,跨过鸭绿江”,还</w:t>
      </w:r>
      <w:r>
        <w:rPr>
          <w:rFonts w:hint="eastAsia" w:ascii="宋体" w:hAnsi="宋体" w:eastAsia="宋体" w:cs="宋体"/>
          <w:spacing w:val="6"/>
          <w:sz w:val="21"/>
          <w:szCs w:val="21"/>
        </w:rPr>
        <w:t>是今天</w:t>
      </w:r>
      <w:r>
        <w:rPr>
          <w:rFonts w:hint="eastAsia" w:ascii="宋体" w:hAnsi="宋体" w:eastAsia="宋体" w:cs="宋体"/>
          <w:spacing w:val="16"/>
          <w:sz w:val="21"/>
          <w:szCs w:val="21"/>
        </w:rPr>
        <w:t>美西方国家对我们全面打压,中国共产党人都体现了不畏艰难险阻、勇于</w:t>
      </w:r>
      <w:r>
        <w:rPr>
          <w:rFonts w:hint="eastAsia" w:ascii="宋体" w:hAnsi="宋体" w:eastAsia="宋体" w:cs="宋体"/>
          <w:spacing w:val="15"/>
          <w:sz w:val="21"/>
          <w:szCs w:val="21"/>
        </w:rPr>
        <w:t>斗争的</w:t>
      </w:r>
      <w:r>
        <w:rPr>
          <w:rFonts w:hint="eastAsia" w:ascii="宋体" w:hAnsi="宋体" w:eastAsia="宋体" w:cs="宋体"/>
          <w:spacing w:val="17"/>
          <w:sz w:val="21"/>
          <w:szCs w:val="21"/>
        </w:rPr>
        <w:t>精神。伟大建党精神的革命性还体现为持续进行自我革命,始终保持党的先进性</w:t>
      </w:r>
      <w:r>
        <w:rPr>
          <w:rFonts w:hint="eastAsia" w:ascii="宋体" w:hAnsi="宋体" w:eastAsia="宋体" w:cs="宋体"/>
          <w:spacing w:val="9"/>
          <w:sz w:val="21"/>
          <w:szCs w:val="21"/>
        </w:rPr>
        <w:t>和纯洁性,永远焕发勃勃生机。从整风运动</w:t>
      </w:r>
      <w:r>
        <w:rPr>
          <w:rFonts w:hint="eastAsia" w:ascii="宋体" w:hAnsi="宋体" w:eastAsia="宋体" w:cs="宋体"/>
          <w:spacing w:val="8"/>
          <w:sz w:val="21"/>
          <w:szCs w:val="21"/>
        </w:rPr>
        <w:t>、“三反”“五反”运动到全面从严治</w:t>
      </w:r>
      <w:r>
        <w:rPr>
          <w:rFonts w:hint="eastAsia" w:ascii="宋体" w:hAnsi="宋体" w:eastAsia="宋体" w:cs="宋体"/>
          <w:spacing w:val="15"/>
          <w:sz w:val="21"/>
          <w:szCs w:val="21"/>
        </w:rPr>
        <w:t>党等,都是中国共产党勇于斗争、善于斗争的</w:t>
      </w:r>
      <w:r>
        <w:rPr>
          <w:rFonts w:hint="eastAsia" w:ascii="宋体" w:hAnsi="宋体" w:eastAsia="宋体" w:cs="宋体"/>
          <w:spacing w:val="14"/>
          <w:sz w:val="21"/>
          <w:szCs w:val="21"/>
        </w:rPr>
        <w:t>体现,也是伟大建党精神革命性的</w:t>
      </w:r>
      <w:r>
        <w:rPr>
          <w:rFonts w:hint="eastAsia" w:ascii="宋体" w:hAnsi="宋体" w:eastAsia="宋体" w:cs="宋体"/>
          <w:spacing w:val="12"/>
          <w:sz w:val="21"/>
          <w:szCs w:val="21"/>
        </w:rPr>
        <w:t>有力证明。</w:t>
      </w:r>
    </w:p>
    <w:p w14:paraId="1558CE2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5"/>
          <w:position w:val="1"/>
          <w:sz w:val="21"/>
          <w:szCs w:val="21"/>
        </w:rPr>
        <w:t>(二)马克思主义的革命性切合文化现代转型的诉求</w:t>
      </w:r>
    </w:p>
    <w:p w14:paraId="6F6FB0D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近代中国的文化诉求在于文化的现代化转型,要实现这一转型,不仅要打破</w:t>
      </w:r>
      <w:r>
        <w:rPr>
          <w:rFonts w:hint="eastAsia" w:ascii="宋体" w:hAnsi="宋体" w:eastAsia="宋体" w:cs="宋体"/>
          <w:spacing w:val="14"/>
          <w:sz w:val="21"/>
          <w:szCs w:val="21"/>
        </w:rPr>
        <w:t>中国自在文化发展的惯性,还需对新的文化形式进行选择,而马克思主义显</w:t>
      </w:r>
      <w:r>
        <w:rPr>
          <w:rFonts w:hint="eastAsia" w:ascii="宋体" w:hAnsi="宋体" w:eastAsia="宋体" w:cs="宋体"/>
          <w:spacing w:val="13"/>
          <w:sz w:val="21"/>
          <w:szCs w:val="21"/>
        </w:rPr>
        <w:t>著的</w:t>
      </w:r>
      <w:r>
        <w:rPr>
          <w:rFonts w:hint="eastAsia" w:ascii="宋体" w:hAnsi="宋体" w:eastAsia="宋体" w:cs="宋体"/>
          <w:spacing w:val="18"/>
          <w:sz w:val="21"/>
          <w:szCs w:val="21"/>
        </w:rPr>
        <w:t>革命性正好契合了文化现代转型的诉求。</w:t>
      </w:r>
      <w:r>
        <w:rPr>
          <w:rStyle w:val="20"/>
          <w:rFonts w:hint="eastAsia" w:ascii="宋体" w:hAnsi="宋体" w:eastAsia="宋体" w:cs="宋体"/>
          <w:spacing w:val="18"/>
          <w:sz w:val="21"/>
          <w:szCs w:val="21"/>
        </w:rPr>
        <w:footnoteReference w:id="1484"/>
      </w:r>
      <w:r>
        <w:rPr>
          <w:rFonts w:hint="eastAsia" w:ascii="宋体" w:hAnsi="宋体" w:eastAsia="宋体" w:cs="宋体"/>
          <w:spacing w:val="18"/>
          <w:sz w:val="21"/>
          <w:szCs w:val="21"/>
        </w:rPr>
        <w:t>马</w:t>
      </w:r>
      <w:r>
        <w:rPr>
          <w:rFonts w:hint="eastAsia" w:ascii="宋体" w:hAnsi="宋体" w:eastAsia="宋体" w:cs="宋体"/>
          <w:spacing w:val="17"/>
          <w:sz w:val="21"/>
          <w:szCs w:val="21"/>
        </w:rPr>
        <w:t>克思主义是伟大建党精神的理论基</w:t>
      </w:r>
      <w:r>
        <w:rPr>
          <w:rFonts w:hint="eastAsia" w:ascii="宋体" w:hAnsi="宋体" w:eastAsia="宋体" w:cs="宋体"/>
          <w:spacing w:val="15"/>
          <w:sz w:val="21"/>
          <w:szCs w:val="21"/>
        </w:rPr>
        <w:t>石和指导思想,艾四林指出,中国共产党自成立伊始就把马克思</w:t>
      </w:r>
      <w:r>
        <w:rPr>
          <w:rFonts w:hint="eastAsia" w:ascii="宋体" w:hAnsi="宋体" w:eastAsia="宋体" w:cs="宋体"/>
          <w:spacing w:val="14"/>
          <w:sz w:val="21"/>
          <w:szCs w:val="21"/>
        </w:rPr>
        <w:t>主义作为指导思</w:t>
      </w:r>
      <w:r>
        <w:rPr>
          <w:rFonts w:hint="eastAsia" w:ascii="宋体" w:hAnsi="宋体" w:eastAsia="宋体" w:cs="宋体"/>
          <w:spacing w:val="19"/>
          <w:sz w:val="21"/>
          <w:szCs w:val="21"/>
        </w:rPr>
        <w:t>想,在百余年历史中始终坚持把马克思主义及</w:t>
      </w:r>
      <w:r>
        <w:rPr>
          <w:rFonts w:hint="eastAsia" w:ascii="宋体" w:hAnsi="宋体" w:eastAsia="宋体" w:cs="宋体"/>
          <w:spacing w:val="18"/>
          <w:sz w:val="21"/>
          <w:szCs w:val="21"/>
        </w:rPr>
        <w:t>其中国化最新成果作为思想武器,</w:t>
      </w:r>
      <w:r>
        <w:rPr>
          <w:rFonts w:hint="eastAsia" w:ascii="宋体" w:hAnsi="宋体" w:eastAsia="宋体" w:cs="宋体"/>
          <w:spacing w:val="17"/>
          <w:sz w:val="21"/>
          <w:szCs w:val="21"/>
        </w:rPr>
        <w:t>作为改造客观世界和主观世界的理论创新与实践活动的世界观和方法论。</w:t>
      </w:r>
      <w:r>
        <w:rPr>
          <w:rStyle w:val="20"/>
          <w:rFonts w:hint="eastAsia" w:ascii="宋体" w:hAnsi="宋体" w:eastAsia="宋体" w:cs="宋体"/>
          <w:spacing w:val="17"/>
          <w:sz w:val="21"/>
          <w:szCs w:val="21"/>
        </w:rPr>
        <w:footnoteReference w:id="1485"/>
      </w:r>
      <w:r>
        <w:rPr>
          <w:rFonts w:hint="eastAsia" w:ascii="宋体" w:hAnsi="宋体" w:eastAsia="宋体" w:cs="宋体"/>
          <w:spacing w:val="16"/>
          <w:sz w:val="21"/>
          <w:szCs w:val="21"/>
        </w:rPr>
        <w:t>陈金龙、李越瀚指出,准确定位伟大建党精神,既</w:t>
      </w:r>
      <w:r>
        <w:rPr>
          <w:rFonts w:hint="eastAsia" w:ascii="宋体" w:hAnsi="宋体" w:eastAsia="宋体" w:cs="宋体"/>
          <w:spacing w:val="15"/>
          <w:sz w:val="21"/>
          <w:szCs w:val="21"/>
        </w:rPr>
        <w:t>关系对伟大建党精神内涵的理解,</w:t>
      </w:r>
      <w:r>
        <w:rPr>
          <w:rFonts w:hint="eastAsia" w:ascii="宋体" w:hAnsi="宋体" w:eastAsia="宋体" w:cs="宋体"/>
          <w:spacing w:val="17"/>
          <w:sz w:val="21"/>
          <w:szCs w:val="21"/>
        </w:rPr>
        <w:t>也关系对伟大建党精神的传承和弘扬。</w:t>
      </w:r>
      <w:r>
        <w:rPr>
          <w:rStyle w:val="20"/>
          <w:rFonts w:hint="eastAsia" w:ascii="宋体" w:hAnsi="宋体" w:eastAsia="宋体" w:cs="宋体"/>
          <w:spacing w:val="17"/>
          <w:sz w:val="21"/>
          <w:szCs w:val="21"/>
        </w:rPr>
        <w:footnoteReference w:id="1486"/>
      </w:r>
      <w:r>
        <w:rPr>
          <w:rFonts w:hint="eastAsia" w:ascii="宋体" w:hAnsi="宋体" w:eastAsia="宋体" w:cs="宋体"/>
          <w:spacing w:val="17"/>
          <w:sz w:val="21"/>
          <w:szCs w:val="21"/>
        </w:rPr>
        <w:t>在革命实践、社</w:t>
      </w:r>
      <w:r>
        <w:rPr>
          <w:rFonts w:hint="eastAsia" w:ascii="宋体" w:hAnsi="宋体" w:eastAsia="宋体" w:cs="宋体"/>
          <w:spacing w:val="16"/>
          <w:sz w:val="21"/>
          <w:szCs w:val="21"/>
        </w:rPr>
        <w:t>会主义建设以及党的建</w:t>
      </w:r>
      <w:r>
        <w:rPr>
          <w:rFonts w:hint="eastAsia" w:ascii="宋体" w:hAnsi="宋体" w:eastAsia="宋体" w:cs="宋体"/>
          <w:spacing w:val="18"/>
          <w:sz w:val="21"/>
          <w:szCs w:val="21"/>
        </w:rPr>
        <w:t>设中,对伟大建党精神的传承和弘扬是中国共产党坚</w:t>
      </w:r>
      <w:r>
        <w:rPr>
          <w:rFonts w:hint="eastAsia" w:ascii="宋体" w:hAnsi="宋体" w:eastAsia="宋体" w:cs="宋体"/>
          <w:spacing w:val="17"/>
          <w:sz w:val="21"/>
          <w:szCs w:val="21"/>
        </w:rPr>
        <w:t>守自身的价值立场与政治方</w:t>
      </w:r>
      <w:r>
        <w:rPr>
          <w:rFonts w:hint="eastAsia" w:ascii="宋体" w:hAnsi="宋体" w:eastAsia="宋体" w:cs="宋体"/>
          <w:spacing w:val="14"/>
          <w:sz w:val="21"/>
          <w:szCs w:val="21"/>
        </w:rPr>
        <w:t>向、保持政治本色、实现自身的使命担当的需要。</w:t>
      </w:r>
    </w:p>
    <w:p w14:paraId="3DA006F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起源于中国共产党创建历程的伟大建党精神,同样是中国共产党</w:t>
      </w:r>
      <w:r>
        <w:rPr>
          <w:rFonts w:hint="eastAsia" w:ascii="宋体" w:hAnsi="宋体" w:eastAsia="宋体" w:cs="宋体"/>
          <w:spacing w:val="16"/>
          <w:sz w:val="21"/>
          <w:szCs w:val="21"/>
        </w:rPr>
        <w:t>人精神谱系</w:t>
      </w:r>
      <w:r>
        <w:rPr>
          <w:rFonts w:hint="eastAsia" w:ascii="宋体" w:hAnsi="宋体" w:eastAsia="宋体" w:cs="宋体"/>
          <w:spacing w:val="13"/>
          <w:sz w:val="21"/>
          <w:szCs w:val="21"/>
        </w:rPr>
        <w:t>的起点。中国共产党走过的一百余年历史证明,在伟大建党精神的指导下</w:t>
      </w:r>
      <w:r>
        <w:rPr>
          <w:rFonts w:hint="eastAsia" w:ascii="宋体" w:hAnsi="宋体" w:eastAsia="宋体" w:cs="宋体"/>
          <w:spacing w:val="12"/>
          <w:sz w:val="21"/>
          <w:szCs w:val="21"/>
        </w:rPr>
        <w:t>,中国</w:t>
      </w:r>
      <w:r>
        <w:rPr>
          <w:rFonts w:hint="eastAsia" w:ascii="宋体" w:hAnsi="宋体" w:eastAsia="宋体" w:cs="宋体"/>
          <w:spacing w:val="16"/>
          <w:sz w:val="21"/>
          <w:szCs w:val="21"/>
        </w:rPr>
        <w:t>共产党引领全体人民推翻了帝国主义、封建主</w:t>
      </w:r>
      <w:r>
        <w:rPr>
          <w:rFonts w:hint="eastAsia" w:ascii="宋体" w:hAnsi="宋体" w:eastAsia="宋体" w:cs="宋体"/>
          <w:spacing w:val="15"/>
          <w:sz w:val="21"/>
          <w:szCs w:val="21"/>
        </w:rPr>
        <w:t>义、官僚资本主义这三座大山,最终赢得了新民主主义革命的胜利;新中国成立后,中国人民在中</w:t>
      </w:r>
      <w:r>
        <w:rPr>
          <w:rFonts w:hint="eastAsia" w:ascii="宋体" w:hAnsi="宋体" w:eastAsia="宋体" w:cs="宋体"/>
          <w:spacing w:val="14"/>
          <w:sz w:val="21"/>
          <w:szCs w:val="21"/>
        </w:rPr>
        <w:t>国共产党领导下</w:t>
      </w:r>
      <w:r>
        <w:rPr>
          <w:rFonts w:hint="eastAsia" w:ascii="宋体" w:hAnsi="宋体" w:eastAsia="宋体" w:cs="宋体"/>
          <w:spacing w:val="1"/>
          <w:sz w:val="21"/>
          <w:szCs w:val="21"/>
        </w:rPr>
        <w:t>开始社会主义建设与改革开放的实践,并将</w:t>
      </w:r>
      <w:r>
        <w:rPr>
          <w:rFonts w:hint="eastAsia" w:ascii="宋体" w:hAnsi="宋体" w:eastAsia="宋体" w:cs="宋体"/>
          <w:sz w:val="21"/>
          <w:szCs w:val="21"/>
        </w:rPr>
        <w:t>伟大建党精神融入不同阶段的实践</w:t>
      </w:r>
      <w:r>
        <w:rPr>
          <w:rFonts w:hint="eastAsia" w:ascii="宋体" w:hAnsi="宋体" w:eastAsia="宋体" w:cs="宋体"/>
          <w:spacing w:val="12"/>
          <w:sz w:val="21"/>
          <w:szCs w:val="21"/>
        </w:rPr>
        <w:t>中。中国共产党始终坚持真理、发展真理,坚守理想、实现理想,</w:t>
      </w:r>
      <w:r>
        <w:rPr>
          <w:rFonts w:hint="eastAsia" w:ascii="宋体" w:hAnsi="宋体" w:eastAsia="宋体" w:cs="宋体"/>
          <w:spacing w:val="11"/>
          <w:sz w:val="21"/>
          <w:szCs w:val="21"/>
        </w:rPr>
        <w:t>始终为中国人</w:t>
      </w:r>
      <w:r>
        <w:rPr>
          <w:rFonts w:hint="eastAsia" w:ascii="宋体" w:hAnsi="宋体" w:eastAsia="宋体" w:cs="宋体"/>
          <w:spacing w:val="18"/>
          <w:sz w:val="21"/>
          <w:szCs w:val="21"/>
        </w:rPr>
        <w:t>民谋幸福、为中华民族谋复兴,准备着并进行着</w:t>
      </w:r>
      <w:r>
        <w:rPr>
          <w:rFonts w:hint="eastAsia" w:ascii="宋体" w:hAnsi="宋体" w:eastAsia="宋体" w:cs="宋体"/>
          <w:spacing w:val="17"/>
          <w:sz w:val="21"/>
          <w:szCs w:val="21"/>
        </w:rPr>
        <w:t>具有不同历史特点的伟大斗争,</w:t>
      </w:r>
      <w:r>
        <w:rPr>
          <w:rFonts w:hint="eastAsia" w:ascii="宋体" w:hAnsi="宋体" w:eastAsia="宋体" w:cs="宋体"/>
          <w:spacing w:val="18"/>
          <w:sz w:val="21"/>
          <w:szCs w:val="21"/>
        </w:rPr>
        <w:t>确保中国共产党始终是中华民族伟大复兴的中坚力量。</w:t>
      </w:r>
    </w:p>
    <w:p w14:paraId="138030A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
          <w:sz w:val="21"/>
          <w:szCs w:val="21"/>
        </w:rPr>
        <w:t>以红色文化教育人,以红色精神鼓舞人,是中国共产党百年历史成功的法</w:t>
      </w:r>
      <w:r>
        <w:rPr>
          <w:rFonts w:hint="eastAsia" w:ascii="宋体" w:hAnsi="宋体" w:eastAsia="宋体" w:cs="宋体"/>
          <w:spacing w:val="16"/>
          <w:sz w:val="21"/>
          <w:szCs w:val="21"/>
        </w:rPr>
        <w:t>宝,是治愈新时期青年学生理想信念缺失、奋斗精神不足的良药。伟大建</w:t>
      </w:r>
      <w:r>
        <w:rPr>
          <w:rFonts w:hint="eastAsia" w:ascii="宋体" w:hAnsi="宋体" w:eastAsia="宋体" w:cs="宋体"/>
          <w:spacing w:val="15"/>
          <w:sz w:val="21"/>
          <w:szCs w:val="21"/>
        </w:rPr>
        <w:t>党精神</w:t>
      </w:r>
      <w:r>
        <w:rPr>
          <w:rFonts w:hint="eastAsia" w:ascii="宋体" w:hAnsi="宋体" w:eastAsia="宋体" w:cs="宋体"/>
          <w:spacing w:val="19"/>
          <w:sz w:val="21"/>
          <w:szCs w:val="21"/>
        </w:rPr>
        <w:t>是以往中国共产党人前仆后继的精神火种,是</w:t>
      </w:r>
      <w:r>
        <w:rPr>
          <w:rFonts w:hint="eastAsia" w:ascii="宋体" w:hAnsi="宋体" w:eastAsia="宋体" w:cs="宋体"/>
          <w:spacing w:val="18"/>
          <w:sz w:val="21"/>
          <w:szCs w:val="21"/>
        </w:rPr>
        <w:t>对主要红色文化内容的高度凝练,</w:t>
      </w:r>
      <w:r>
        <w:rPr>
          <w:rFonts w:hint="eastAsia" w:ascii="宋体" w:hAnsi="宋体" w:eastAsia="宋体" w:cs="宋体"/>
          <w:spacing w:val="2"/>
          <w:sz w:val="21"/>
          <w:szCs w:val="21"/>
        </w:rPr>
        <w:t>也是新时代广大党员铸魂强筋的精神武器,它让每一位共产党员都保持政治定</w:t>
      </w:r>
      <w:r>
        <w:rPr>
          <w:rFonts w:hint="eastAsia" w:ascii="宋体" w:hAnsi="宋体" w:eastAsia="宋体" w:cs="宋体"/>
          <w:spacing w:val="14"/>
          <w:sz w:val="21"/>
          <w:szCs w:val="21"/>
        </w:rPr>
        <w:t>力,坚守共产主义远大理想和中国特色社会主义共同</w:t>
      </w:r>
      <w:r>
        <w:rPr>
          <w:rFonts w:hint="eastAsia" w:ascii="宋体" w:hAnsi="宋体" w:eastAsia="宋体" w:cs="宋体"/>
          <w:spacing w:val="13"/>
          <w:sz w:val="21"/>
          <w:szCs w:val="21"/>
        </w:rPr>
        <w:t>理想,勇于斗争,完成使命</w:t>
      </w:r>
      <w:r>
        <w:rPr>
          <w:rFonts w:hint="eastAsia" w:ascii="宋体" w:hAnsi="宋体" w:eastAsia="宋体" w:cs="宋体"/>
          <w:spacing w:val="6"/>
          <w:sz w:val="21"/>
          <w:szCs w:val="21"/>
        </w:rPr>
        <w:t>担当。</w:t>
      </w:r>
    </w:p>
    <w:p w14:paraId="72A0DF3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2"/>
          <w:position w:val="1"/>
          <w:sz w:val="21"/>
          <w:szCs w:val="21"/>
        </w:rPr>
        <w:t>(三)中共中央文件的制度保障</w:t>
      </w:r>
    </w:p>
    <w:p w14:paraId="2984770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sz w:val="21"/>
          <w:szCs w:val="21"/>
        </w:rPr>
        <w:t>中共中央要求思想政治理论课“用好红色资源”,弘扬伟大建党精神</w:t>
      </w:r>
      <w:r>
        <w:rPr>
          <w:rFonts w:hint="eastAsia" w:ascii="宋体" w:hAnsi="宋体" w:eastAsia="宋体" w:cs="宋体"/>
          <w:spacing w:val="10"/>
          <w:sz w:val="21"/>
          <w:szCs w:val="21"/>
        </w:rPr>
        <w:t>,</w:t>
      </w:r>
      <w:r>
        <w:rPr>
          <w:rFonts w:hint="eastAsia" w:ascii="宋体" w:hAnsi="宋体" w:eastAsia="宋体" w:cs="宋体"/>
          <w:spacing w:val="10"/>
          <w:position w:val="-2"/>
          <w:sz w:val="21"/>
          <w:szCs w:val="21"/>
        </w:rPr>
        <w:t>2025</w:t>
      </w:r>
      <w:r>
        <w:rPr>
          <w:rFonts w:hint="eastAsia" w:ascii="宋体" w:hAnsi="宋体" w:eastAsia="宋体" w:cs="宋体"/>
          <w:spacing w:val="11"/>
          <w:sz w:val="21"/>
          <w:szCs w:val="21"/>
        </w:rPr>
        <w:t>年颁布的«教育强国建设规划纲要</w:t>
      </w:r>
      <w:r>
        <w:rPr>
          <w:rFonts w:hint="eastAsia" w:ascii="宋体" w:hAnsi="宋体" w:eastAsia="宋体" w:cs="宋体"/>
          <w:spacing w:val="11"/>
          <w:position w:val="-1"/>
          <w:sz w:val="21"/>
          <w:szCs w:val="21"/>
        </w:rPr>
        <w:t>(2024</w:t>
      </w:r>
      <w:r>
        <w:rPr>
          <w:rFonts w:hint="eastAsia" w:ascii="宋体" w:hAnsi="宋体" w:eastAsia="宋体" w:cs="宋体"/>
          <w:spacing w:val="11"/>
          <w:position w:val="-2"/>
          <w:sz w:val="21"/>
          <w:szCs w:val="21"/>
        </w:rPr>
        <w:t>~2035</w:t>
      </w:r>
      <w:r>
        <w:rPr>
          <w:rFonts w:hint="eastAsia" w:ascii="宋体" w:hAnsi="宋体" w:eastAsia="宋体" w:cs="宋体"/>
          <w:spacing w:val="11"/>
          <w:sz w:val="21"/>
          <w:szCs w:val="21"/>
        </w:rPr>
        <w:t>年)»(以下</w:t>
      </w:r>
      <w:r>
        <w:rPr>
          <w:rFonts w:hint="eastAsia" w:ascii="宋体" w:hAnsi="宋体" w:eastAsia="宋体" w:cs="宋体"/>
          <w:spacing w:val="10"/>
          <w:sz w:val="21"/>
          <w:szCs w:val="21"/>
        </w:rPr>
        <w:t>简称«纲要»)为</w:t>
      </w:r>
      <w:r>
        <w:rPr>
          <w:rFonts w:hint="eastAsia" w:ascii="宋体" w:hAnsi="宋体" w:eastAsia="宋体" w:cs="宋体"/>
          <w:spacing w:val="16"/>
          <w:sz w:val="21"/>
          <w:szCs w:val="21"/>
        </w:rPr>
        <w:t>高校思想政治理论课融入伟大建党精神提了供制度保障。«纲要»指出,加强党</w:t>
      </w:r>
      <w:r>
        <w:rPr>
          <w:rFonts w:hint="eastAsia" w:ascii="宋体" w:hAnsi="宋体" w:eastAsia="宋体" w:cs="宋体"/>
          <w:spacing w:val="17"/>
          <w:sz w:val="21"/>
          <w:szCs w:val="21"/>
        </w:rPr>
        <w:t>史、新中国史、改革开放史、社会主义发展史教育。深入爱国主义、集体主义、</w:t>
      </w:r>
      <w:r>
        <w:rPr>
          <w:rFonts w:hint="eastAsia" w:ascii="宋体" w:hAnsi="宋体" w:eastAsia="宋体" w:cs="宋体"/>
          <w:spacing w:val="15"/>
          <w:sz w:val="21"/>
          <w:szCs w:val="21"/>
        </w:rPr>
        <w:t>社会主义教育,开展中国共产党人精神谱系教育。坚定文化自信,加强</w:t>
      </w:r>
      <w:r>
        <w:rPr>
          <w:rFonts w:hint="eastAsia" w:ascii="宋体" w:hAnsi="宋体" w:eastAsia="宋体" w:cs="宋体"/>
          <w:spacing w:val="14"/>
          <w:sz w:val="21"/>
          <w:szCs w:val="21"/>
        </w:rPr>
        <w:t>社会主义</w:t>
      </w:r>
      <w:r>
        <w:rPr>
          <w:rFonts w:hint="eastAsia" w:ascii="宋体" w:hAnsi="宋体" w:eastAsia="宋体" w:cs="宋体"/>
          <w:spacing w:val="18"/>
          <w:sz w:val="21"/>
          <w:szCs w:val="21"/>
        </w:rPr>
        <w:t>先进文化、革命文化和中华优秀传统文化教育,分学段有序融入思想政治教育。</w:t>
      </w:r>
      <w:r>
        <w:rPr>
          <w:rFonts w:hint="eastAsia" w:ascii="宋体" w:hAnsi="宋体" w:eastAsia="宋体" w:cs="宋体"/>
          <w:spacing w:val="15"/>
          <w:position w:val="-2"/>
          <w:sz w:val="21"/>
          <w:szCs w:val="21"/>
        </w:rPr>
        <w:t>2024</w:t>
      </w:r>
      <w:r>
        <w:rPr>
          <w:rFonts w:hint="eastAsia" w:ascii="宋体" w:hAnsi="宋体" w:eastAsia="宋体" w:cs="宋体"/>
          <w:spacing w:val="15"/>
          <w:sz w:val="21"/>
          <w:szCs w:val="21"/>
        </w:rPr>
        <w:t>年中共中央印发的«党史学习教育工作条例»</w:t>
      </w:r>
      <w:r>
        <w:rPr>
          <w:rFonts w:hint="eastAsia" w:ascii="宋体" w:hAnsi="宋体" w:eastAsia="宋体" w:cs="宋体"/>
          <w:spacing w:val="14"/>
          <w:sz w:val="21"/>
          <w:szCs w:val="21"/>
        </w:rPr>
        <w:t>明确指出,推动党史进教材、</w:t>
      </w:r>
      <w:r>
        <w:rPr>
          <w:rFonts w:hint="eastAsia" w:ascii="宋体" w:hAnsi="宋体" w:eastAsia="宋体" w:cs="宋体"/>
          <w:spacing w:val="16"/>
          <w:sz w:val="21"/>
          <w:szCs w:val="21"/>
        </w:rPr>
        <w:t>进课堂、进头脑,发挥党史立德树人的重要作用。这些直接为建党精神融入</w:t>
      </w:r>
      <w:r>
        <w:rPr>
          <w:rFonts w:hint="eastAsia" w:ascii="宋体" w:hAnsi="宋体" w:eastAsia="宋体" w:cs="宋体"/>
          <w:spacing w:val="15"/>
          <w:sz w:val="21"/>
          <w:szCs w:val="21"/>
        </w:rPr>
        <w:t>高校</w:t>
      </w:r>
      <w:r>
        <w:rPr>
          <w:rFonts w:hint="eastAsia" w:ascii="宋体" w:hAnsi="宋体" w:eastAsia="宋体" w:cs="宋体"/>
          <w:spacing w:val="19"/>
          <w:sz w:val="21"/>
          <w:szCs w:val="21"/>
        </w:rPr>
        <w:t>思想政治理论课提供了政策基础。党的二十大报告也强调了弘扬以伟大建党精神</w:t>
      </w:r>
      <w:r>
        <w:rPr>
          <w:rFonts w:hint="eastAsia" w:ascii="宋体" w:hAnsi="宋体" w:eastAsia="宋体" w:cs="宋体"/>
          <w:spacing w:val="17"/>
          <w:sz w:val="21"/>
          <w:szCs w:val="21"/>
        </w:rPr>
        <w:t>为源头的中国共产党人精神谱系,说明这是中央层面的重要方向。这些都为伟大</w:t>
      </w:r>
      <w:r>
        <w:rPr>
          <w:rFonts w:hint="eastAsia" w:ascii="宋体" w:hAnsi="宋体" w:eastAsia="宋体" w:cs="宋体"/>
          <w:spacing w:val="18"/>
          <w:sz w:val="21"/>
          <w:szCs w:val="21"/>
        </w:rPr>
        <w:t>建党精神融入高校思想政治理论课提供了顶层政策依据。</w:t>
      </w:r>
    </w:p>
    <w:p w14:paraId="38CFAC6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教育部推动思想政治理论课内涵式发展,要求以社会主义先进文化、革命文</w:t>
      </w:r>
      <w:r>
        <w:rPr>
          <w:rFonts w:hint="eastAsia" w:ascii="宋体" w:hAnsi="宋体" w:eastAsia="宋体" w:cs="宋体"/>
          <w:spacing w:val="2"/>
          <w:sz w:val="21"/>
          <w:szCs w:val="21"/>
        </w:rPr>
        <w:t>化和中华优秀传统文化为根基,将建党精神作为鲜活素材纳入教学内容</w:t>
      </w:r>
      <w:r>
        <w:rPr>
          <w:rFonts w:hint="eastAsia" w:ascii="宋体" w:hAnsi="宋体" w:eastAsia="宋体" w:cs="宋体"/>
          <w:spacing w:val="1"/>
          <w:sz w:val="21"/>
          <w:szCs w:val="21"/>
        </w:rPr>
        <w:t>更新体</w:t>
      </w:r>
      <w:r>
        <w:rPr>
          <w:rFonts w:hint="eastAsia" w:ascii="宋体" w:hAnsi="宋体" w:eastAsia="宋体" w:cs="宋体"/>
          <w:spacing w:val="18"/>
          <w:sz w:val="21"/>
          <w:szCs w:val="21"/>
        </w:rPr>
        <w:t>系,这些规定更是为伟大建党精神融入高校思</w:t>
      </w:r>
      <w:r>
        <w:rPr>
          <w:rFonts w:hint="eastAsia" w:ascii="宋体" w:hAnsi="宋体" w:eastAsia="宋体" w:cs="宋体"/>
          <w:spacing w:val="17"/>
          <w:sz w:val="21"/>
          <w:szCs w:val="21"/>
        </w:rPr>
        <w:t>想政治理论课提供了课程改革配套</w:t>
      </w:r>
      <w:r>
        <w:rPr>
          <w:rFonts w:hint="eastAsia" w:ascii="宋体" w:hAnsi="宋体" w:eastAsia="宋体" w:cs="宋体"/>
          <w:spacing w:val="6"/>
          <w:sz w:val="21"/>
          <w:szCs w:val="21"/>
        </w:rPr>
        <w:t>机制。</w:t>
      </w:r>
    </w:p>
    <w:p w14:paraId="16A5B6A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4"/>
          <w:position w:val="1"/>
          <w:sz w:val="21"/>
          <w:szCs w:val="21"/>
        </w:rPr>
        <w:t>(四)中华优秀传统文化传承的实践路径</w:t>
      </w:r>
    </w:p>
    <w:p w14:paraId="64CFE79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伟大建党精神作为中国共产党成立之初所体现的精神内涵与思想伟力,其价</w:t>
      </w:r>
      <w:r>
        <w:rPr>
          <w:rFonts w:hint="eastAsia" w:ascii="宋体" w:hAnsi="宋体" w:eastAsia="宋体" w:cs="宋体"/>
          <w:spacing w:val="19"/>
          <w:sz w:val="21"/>
          <w:szCs w:val="21"/>
        </w:rPr>
        <w:t>值取向和实践路径体现了在马克思主义思想指导下、在当时的具体历史条件</w:t>
      </w:r>
      <w:r>
        <w:rPr>
          <w:rFonts w:hint="eastAsia" w:ascii="宋体" w:hAnsi="宋体" w:eastAsia="宋体" w:cs="宋体"/>
          <w:spacing w:val="18"/>
          <w:sz w:val="21"/>
          <w:szCs w:val="21"/>
        </w:rPr>
        <w:t>下对</w:t>
      </w:r>
      <w:r>
        <w:rPr>
          <w:rFonts w:hint="eastAsia" w:ascii="宋体" w:hAnsi="宋体" w:eastAsia="宋体" w:cs="宋体"/>
          <w:spacing w:val="16"/>
          <w:sz w:val="21"/>
          <w:szCs w:val="21"/>
        </w:rPr>
        <w:t>中华优秀传统文化的传承,即崇高的共产主义理想信念、以人民为中心的初心使</w:t>
      </w:r>
      <w:r>
        <w:rPr>
          <w:rFonts w:hint="eastAsia" w:ascii="宋体" w:hAnsi="宋体" w:eastAsia="宋体" w:cs="宋体"/>
          <w:spacing w:val="18"/>
          <w:sz w:val="21"/>
          <w:szCs w:val="21"/>
        </w:rPr>
        <w:t>命与价值取向、敢于斗争的英雄气概以及实事求是的真理追求的实现路径。高校</w:t>
      </w:r>
      <w:r>
        <w:rPr>
          <w:rFonts w:hint="eastAsia" w:ascii="宋体" w:hAnsi="宋体" w:eastAsia="宋体" w:cs="宋体"/>
          <w:spacing w:val="16"/>
          <w:sz w:val="21"/>
          <w:szCs w:val="21"/>
        </w:rPr>
        <w:t>思想政治理论课就是要构建以学科核心素养为支撑的</w:t>
      </w:r>
      <w:r>
        <w:rPr>
          <w:rFonts w:hint="eastAsia" w:ascii="宋体" w:hAnsi="宋体" w:eastAsia="宋体" w:cs="宋体"/>
          <w:spacing w:val="15"/>
          <w:sz w:val="21"/>
          <w:szCs w:val="21"/>
        </w:rPr>
        <w:t>目标框架,在政治上,坚信</w:t>
      </w:r>
      <w:r>
        <w:rPr>
          <w:rFonts w:hint="eastAsia" w:ascii="宋体" w:hAnsi="宋体" w:eastAsia="宋体" w:cs="宋体"/>
          <w:spacing w:val="16"/>
          <w:sz w:val="21"/>
          <w:szCs w:val="21"/>
        </w:rPr>
        <w:t>中国特色社会主义道路的历史必然性,支持党的</w:t>
      </w:r>
      <w:r>
        <w:rPr>
          <w:rFonts w:hint="eastAsia" w:ascii="宋体" w:hAnsi="宋体" w:eastAsia="宋体" w:cs="宋体"/>
          <w:spacing w:val="15"/>
          <w:sz w:val="21"/>
          <w:szCs w:val="21"/>
        </w:rPr>
        <w:t>领导,主动实践社会主义核心价</w:t>
      </w:r>
      <w:r>
        <w:rPr>
          <w:rFonts w:hint="eastAsia" w:ascii="宋体" w:hAnsi="宋体" w:eastAsia="宋体" w:cs="宋体"/>
          <w:spacing w:val="14"/>
          <w:sz w:val="21"/>
          <w:szCs w:val="21"/>
        </w:rPr>
        <w:t>值观;在能力上,运用马克思主义立场观点方法分析社</w:t>
      </w:r>
      <w:r>
        <w:rPr>
          <w:rFonts w:hint="eastAsia" w:ascii="宋体" w:hAnsi="宋体" w:eastAsia="宋体" w:cs="宋体"/>
          <w:spacing w:val="13"/>
          <w:sz w:val="21"/>
          <w:szCs w:val="21"/>
        </w:rPr>
        <w:t>会现象,提升辩证思维与</w:t>
      </w:r>
      <w:r>
        <w:rPr>
          <w:rFonts w:hint="eastAsia" w:ascii="宋体" w:hAnsi="宋体" w:eastAsia="宋体" w:cs="宋体"/>
          <w:spacing w:val="12"/>
          <w:sz w:val="21"/>
          <w:szCs w:val="21"/>
        </w:rPr>
        <w:t>理性决策能力,以及敢于斗争、善于斗争的勇气与能力;在责任意识上,强化社</w:t>
      </w:r>
      <w:r>
        <w:rPr>
          <w:rFonts w:hint="eastAsia" w:ascii="宋体" w:hAnsi="宋体" w:eastAsia="宋体" w:cs="宋体"/>
          <w:spacing w:val="14"/>
          <w:sz w:val="21"/>
          <w:szCs w:val="21"/>
        </w:rPr>
        <w:t>会责任感和集体主义精神,有序参与公共事务,主动服</w:t>
      </w:r>
      <w:r>
        <w:rPr>
          <w:rFonts w:hint="eastAsia" w:ascii="宋体" w:hAnsi="宋体" w:eastAsia="宋体" w:cs="宋体"/>
          <w:spacing w:val="13"/>
          <w:sz w:val="21"/>
          <w:szCs w:val="21"/>
        </w:rPr>
        <w:t>务国家发展大局。</w:t>
      </w:r>
    </w:p>
    <w:p w14:paraId="7A0E5E1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8"/>
          <w:sz w:val="21"/>
          <w:szCs w:val="21"/>
        </w:rPr>
        <w:t>马克思指出:“理论一经掌握群众,也会变成物质力量。”</w:t>
      </w:r>
      <w:r>
        <w:rPr>
          <w:rStyle w:val="20"/>
          <w:rFonts w:hint="eastAsia" w:ascii="宋体" w:hAnsi="宋体" w:eastAsia="宋体" w:cs="宋体"/>
          <w:spacing w:val="8"/>
          <w:sz w:val="21"/>
          <w:szCs w:val="21"/>
        </w:rPr>
        <w:footnoteReference w:id="1487"/>
      </w:r>
      <w:r>
        <w:rPr>
          <w:rFonts w:hint="eastAsia" w:ascii="宋体" w:hAnsi="宋体" w:eastAsia="宋体" w:cs="宋体"/>
          <w:spacing w:val="8"/>
          <w:sz w:val="21"/>
          <w:szCs w:val="21"/>
        </w:rPr>
        <w:t>伟大建党精</w:t>
      </w:r>
      <w:r>
        <w:rPr>
          <w:rFonts w:hint="eastAsia" w:ascii="宋体" w:hAnsi="宋体" w:eastAsia="宋体" w:cs="宋体"/>
          <w:spacing w:val="7"/>
          <w:sz w:val="21"/>
          <w:szCs w:val="21"/>
        </w:rPr>
        <w:t>神作</w:t>
      </w:r>
      <w:r>
        <w:rPr>
          <w:rFonts w:hint="eastAsia" w:ascii="宋体" w:hAnsi="宋体" w:eastAsia="宋体" w:cs="宋体"/>
          <w:spacing w:val="16"/>
          <w:sz w:val="21"/>
          <w:szCs w:val="21"/>
        </w:rPr>
        <w:t>为思想武器,一经掌握就会变成认识世界、改造世界的物质力量。在伟大建</w:t>
      </w:r>
      <w:r>
        <w:rPr>
          <w:rFonts w:hint="eastAsia" w:ascii="宋体" w:hAnsi="宋体" w:eastAsia="宋体" w:cs="宋体"/>
          <w:spacing w:val="15"/>
          <w:sz w:val="21"/>
          <w:szCs w:val="21"/>
        </w:rPr>
        <w:t>党精神的指引下,中国共产党领导中国人民夺取了新民主主义革命胜利</w:t>
      </w:r>
      <w:r>
        <w:rPr>
          <w:rFonts w:hint="eastAsia" w:ascii="宋体" w:hAnsi="宋体" w:eastAsia="宋体" w:cs="宋体"/>
          <w:spacing w:val="14"/>
          <w:sz w:val="21"/>
          <w:szCs w:val="21"/>
        </w:rPr>
        <w:t>,进行了社会</w:t>
      </w:r>
      <w:r>
        <w:rPr>
          <w:rFonts w:hint="eastAsia" w:ascii="宋体" w:hAnsi="宋体" w:eastAsia="宋体" w:cs="宋体"/>
          <w:spacing w:val="-2"/>
          <w:sz w:val="21"/>
          <w:szCs w:val="21"/>
        </w:rPr>
        <w:t>主义改造,建成了社会主义制度,实行了改革开放政策,取得了举世瞩目的成</w:t>
      </w:r>
      <w:r>
        <w:rPr>
          <w:rFonts w:hint="eastAsia" w:ascii="宋体" w:hAnsi="宋体" w:eastAsia="宋体" w:cs="宋体"/>
          <w:spacing w:val="17"/>
          <w:sz w:val="21"/>
          <w:szCs w:val="21"/>
        </w:rPr>
        <w:t>绩,这也是伟大建党精神作为价值导向和精神动力发挥的重要作用。未来中华民</w:t>
      </w:r>
      <w:r>
        <w:rPr>
          <w:rFonts w:hint="eastAsia" w:ascii="宋体" w:hAnsi="宋体" w:eastAsia="宋体" w:cs="宋体"/>
          <w:spacing w:val="18"/>
          <w:sz w:val="21"/>
          <w:szCs w:val="21"/>
        </w:rPr>
        <w:t>族伟大复兴以及新发展阶段将会出现各种困难和挑战</w:t>
      </w:r>
      <w:r>
        <w:rPr>
          <w:rFonts w:hint="eastAsia" w:ascii="宋体" w:hAnsi="宋体" w:eastAsia="宋体" w:cs="宋体"/>
          <w:spacing w:val="17"/>
          <w:sz w:val="21"/>
          <w:szCs w:val="21"/>
        </w:rPr>
        <w:t>,伟大建党精神仍需发挥其</w:t>
      </w:r>
      <w:r>
        <w:rPr>
          <w:rFonts w:hint="eastAsia" w:ascii="宋体" w:hAnsi="宋体" w:eastAsia="宋体" w:cs="宋体"/>
          <w:spacing w:val="16"/>
          <w:sz w:val="21"/>
          <w:szCs w:val="21"/>
        </w:rPr>
        <w:t>思想指引与精神动力的作用。</w:t>
      </w:r>
    </w:p>
    <w:p w14:paraId="07B4926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新时代,世界正经历百年未有之大变局,新一轮科技革命和产业变革持续深</w:t>
      </w:r>
      <w:r>
        <w:rPr>
          <w:rFonts w:hint="eastAsia" w:ascii="宋体" w:hAnsi="宋体" w:eastAsia="宋体" w:cs="宋体"/>
          <w:spacing w:val="16"/>
          <w:sz w:val="21"/>
          <w:szCs w:val="21"/>
        </w:rPr>
        <w:t>入,单边主义、保护主义泛滥成风。而我国进入社会主义现代化强国建设的</w:t>
      </w:r>
      <w:r>
        <w:rPr>
          <w:rFonts w:hint="eastAsia" w:ascii="宋体" w:hAnsi="宋体" w:eastAsia="宋体" w:cs="宋体"/>
          <w:spacing w:val="15"/>
          <w:sz w:val="21"/>
          <w:szCs w:val="21"/>
        </w:rPr>
        <w:t>关键</w:t>
      </w:r>
      <w:r>
        <w:rPr>
          <w:rFonts w:hint="eastAsia" w:ascii="宋体" w:hAnsi="宋体" w:eastAsia="宋体" w:cs="宋体"/>
          <w:spacing w:val="16"/>
          <w:sz w:val="21"/>
          <w:szCs w:val="21"/>
        </w:rPr>
        <w:t>时期,发展不平衡不充分问题与人民群众</w:t>
      </w:r>
      <w:r>
        <w:rPr>
          <w:rFonts w:hint="eastAsia" w:ascii="宋体" w:hAnsi="宋体" w:eastAsia="宋体" w:cs="宋体"/>
          <w:spacing w:val="15"/>
          <w:sz w:val="21"/>
          <w:szCs w:val="21"/>
        </w:rPr>
        <w:t>对美好生活向往的矛盾仍然突出,各种风险挑战不断显露。有经济、军事层面的硬实力的挑战,也有精神、文</w:t>
      </w:r>
      <w:r>
        <w:rPr>
          <w:rFonts w:hint="eastAsia" w:ascii="宋体" w:hAnsi="宋体" w:eastAsia="宋体" w:cs="宋体"/>
          <w:spacing w:val="14"/>
          <w:sz w:val="21"/>
          <w:szCs w:val="21"/>
        </w:rPr>
        <w:t>化层面的</w:t>
      </w:r>
      <w:r>
        <w:rPr>
          <w:rFonts w:hint="eastAsia" w:ascii="宋体" w:hAnsi="宋体" w:eastAsia="宋体" w:cs="宋体"/>
          <w:spacing w:val="15"/>
          <w:sz w:val="21"/>
          <w:szCs w:val="21"/>
        </w:rPr>
        <w:t>软实力的挑战,具有凝聚、激励等功能的精神动力</w:t>
      </w:r>
      <w:r>
        <w:rPr>
          <w:rStyle w:val="20"/>
          <w:rFonts w:hint="eastAsia" w:ascii="宋体" w:hAnsi="宋体" w:eastAsia="宋体" w:cs="宋体"/>
          <w:spacing w:val="15"/>
          <w:sz w:val="21"/>
          <w:szCs w:val="21"/>
        </w:rPr>
        <w:footnoteReference w:id="1488"/>
      </w:r>
      <w:r>
        <w:rPr>
          <w:rFonts w:hint="eastAsia" w:ascii="宋体" w:hAnsi="宋体" w:eastAsia="宋体" w:cs="宋体"/>
          <w:spacing w:val="15"/>
          <w:sz w:val="21"/>
          <w:szCs w:val="21"/>
        </w:rPr>
        <w:t>问题,是软实力的核心与关</w:t>
      </w:r>
      <w:r>
        <w:rPr>
          <w:rFonts w:hint="eastAsia" w:ascii="宋体" w:hAnsi="宋体" w:eastAsia="宋体" w:cs="宋体"/>
          <w:spacing w:val="19"/>
          <w:sz w:val="21"/>
          <w:szCs w:val="21"/>
        </w:rPr>
        <w:t>键问题。如何保持过去革命战争时期的革命热情和拼搏精神是当前中国式现代化建设中需要面对与解决的问题。伟大建党精神的丰富内涵使其成为强大的精神支</w:t>
      </w:r>
      <w:r>
        <w:rPr>
          <w:rFonts w:hint="eastAsia" w:ascii="宋体" w:hAnsi="宋体" w:eastAsia="宋体" w:cs="宋体"/>
          <w:spacing w:val="14"/>
          <w:sz w:val="21"/>
          <w:szCs w:val="21"/>
        </w:rPr>
        <w:t>撑与精神动力。因此,弘扬伟大建党精神有助于解决当前面临的一些</w:t>
      </w:r>
      <w:r>
        <w:rPr>
          <w:rFonts w:hint="eastAsia" w:ascii="宋体" w:hAnsi="宋体" w:eastAsia="宋体" w:cs="宋体"/>
          <w:spacing w:val="13"/>
          <w:sz w:val="21"/>
          <w:szCs w:val="21"/>
        </w:rPr>
        <w:t>问题,并能</w:t>
      </w:r>
      <w:r>
        <w:rPr>
          <w:rFonts w:hint="eastAsia" w:ascii="宋体" w:hAnsi="宋体" w:eastAsia="宋体" w:cs="宋体"/>
          <w:spacing w:val="17"/>
          <w:sz w:val="21"/>
          <w:szCs w:val="21"/>
        </w:rPr>
        <w:t>为中国式现代化建设提供价值指引和精神动力。</w:t>
      </w:r>
    </w:p>
    <w:p w14:paraId="4CB3C64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52" w:firstLineChars="200"/>
        <w:jc w:val="both"/>
        <w:textAlignment w:val="baseline"/>
        <w:outlineLvl w:val="9"/>
        <w:rPr>
          <w:rFonts w:hint="eastAsia" w:ascii="宋体" w:hAnsi="宋体" w:eastAsia="宋体" w:cs="宋体"/>
          <w:b/>
          <w:bCs/>
          <w:spacing w:val="18"/>
          <w:sz w:val="24"/>
          <w:szCs w:val="24"/>
        </w:rPr>
      </w:pPr>
      <w:r>
        <w:rPr>
          <w:rFonts w:hint="eastAsia" w:ascii="宋体" w:hAnsi="宋体" w:eastAsia="宋体" w:cs="宋体"/>
          <w:b/>
          <w:bCs/>
          <w:spacing w:val="18"/>
          <w:sz w:val="24"/>
          <w:szCs w:val="24"/>
        </w:rPr>
        <w:t>三、伟大建党精神融入高校思想政治理论课的实践路径</w:t>
      </w:r>
    </w:p>
    <w:p w14:paraId="571FBEB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0A61F8D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9"/>
          <w:sz w:val="21"/>
          <w:szCs w:val="21"/>
        </w:rPr>
        <w:t>高校思想政治理论课是解决当代青年思想与信念问题的重要课程。思想政治</w:t>
      </w:r>
      <w:r>
        <w:rPr>
          <w:rFonts w:hint="eastAsia" w:ascii="宋体" w:hAnsi="宋体" w:eastAsia="宋体" w:cs="宋体"/>
          <w:spacing w:val="18"/>
          <w:sz w:val="21"/>
          <w:szCs w:val="21"/>
        </w:rPr>
        <w:t>理论课首要的任务就是培养学生马克思主义与共产</w:t>
      </w:r>
      <w:r>
        <w:rPr>
          <w:rFonts w:hint="eastAsia" w:ascii="宋体" w:hAnsi="宋体" w:eastAsia="宋体" w:cs="宋体"/>
          <w:spacing w:val="17"/>
          <w:sz w:val="21"/>
          <w:szCs w:val="21"/>
        </w:rPr>
        <w:t>主义的理想信念,作为中国特</w:t>
      </w:r>
      <w:r>
        <w:rPr>
          <w:rFonts w:hint="eastAsia" w:ascii="宋体" w:hAnsi="宋体" w:eastAsia="宋体" w:cs="宋体"/>
          <w:spacing w:val="18"/>
          <w:sz w:val="21"/>
          <w:szCs w:val="21"/>
        </w:rPr>
        <w:t>色社会主义建设的接班人和未来的主力军,青</w:t>
      </w:r>
      <w:r>
        <w:rPr>
          <w:rFonts w:hint="eastAsia" w:ascii="宋体" w:hAnsi="宋体" w:eastAsia="宋体" w:cs="宋体"/>
          <w:spacing w:val="17"/>
          <w:sz w:val="21"/>
          <w:szCs w:val="21"/>
        </w:rPr>
        <w:t>年的理想信念直接关系着我们事业</w:t>
      </w:r>
      <w:r>
        <w:rPr>
          <w:rFonts w:hint="eastAsia" w:ascii="宋体" w:hAnsi="宋体" w:eastAsia="宋体" w:cs="宋体"/>
          <w:spacing w:val="15"/>
          <w:sz w:val="21"/>
          <w:szCs w:val="21"/>
        </w:rPr>
        <w:t>的成败,因此,培养学生崇高的共产主义理想信念、以人民</w:t>
      </w:r>
      <w:r>
        <w:rPr>
          <w:rFonts w:hint="eastAsia" w:ascii="宋体" w:hAnsi="宋体" w:eastAsia="宋体" w:cs="宋体"/>
          <w:spacing w:val="14"/>
          <w:sz w:val="21"/>
          <w:szCs w:val="21"/>
        </w:rPr>
        <w:t>为中心的初心使命、</w:t>
      </w:r>
      <w:r>
        <w:rPr>
          <w:rFonts w:hint="eastAsia" w:ascii="宋体" w:hAnsi="宋体" w:eastAsia="宋体" w:cs="宋体"/>
          <w:spacing w:val="18"/>
          <w:sz w:val="21"/>
          <w:szCs w:val="21"/>
        </w:rPr>
        <w:t>敢于斗争的英雄气概以及实事求是的真理追求等品格修养尤为重要。</w:t>
      </w:r>
    </w:p>
    <w:p w14:paraId="2AF96C2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如何将伟大建党精神融入高校思想政治理论课,朱崴浩、郑育琛等认为必须</w:t>
      </w:r>
      <w:r>
        <w:rPr>
          <w:rFonts w:hint="eastAsia" w:ascii="宋体" w:hAnsi="宋体" w:eastAsia="宋体" w:cs="宋体"/>
          <w:spacing w:val="18"/>
          <w:sz w:val="21"/>
          <w:szCs w:val="21"/>
        </w:rPr>
        <w:t>从理解思想政治理论课主体需求、拓展思想政治理论课内容体系</w:t>
      </w:r>
      <w:r>
        <w:rPr>
          <w:rFonts w:hint="eastAsia" w:ascii="宋体" w:hAnsi="宋体" w:eastAsia="宋体" w:cs="宋体"/>
          <w:spacing w:val="17"/>
          <w:sz w:val="21"/>
          <w:szCs w:val="21"/>
        </w:rPr>
        <w:t>、优化思想政治理论课的教学方法和策略着手,将伟大建党精神</w:t>
      </w:r>
      <w:r>
        <w:rPr>
          <w:rFonts w:hint="eastAsia" w:ascii="宋体" w:hAnsi="宋体" w:eastAsia="宋体" w:cs="宋体"/>
          <w:spacing w:val="16"/>
          <w:sz w:val="21"/>
          <w:szCs w:val="21"/>
        </w:rPr>
        <w:t>的内涵、理论特质和实践应用整合进教学实践。</w:t>
      </w:r>
      <w:r>
        <w:rPr>
          <w:rStyle w:val="20"/>
          <w:rFonts w:hint="eastAsia" w:ascii="宋体" w:hAnsi="宋体" w:eastAsia="宋体" w:cs="宋体"/>
          <w:spacing w:val="16"/>
          <w:sz w:val="21"/>
          <w:szCs w:val="21"/>
        </w:rPr>
        <w:footnoteReference w:id="1489"/>
      </w:r>
      <w:r>
        <w:rPr>
          <w:rFonts w:hint="eastAsia" w:ascii="宋体" w:hAnsi="宋体" w:eastAsia="宋体" w:cs="宋体"/>
          <w:spacing w:val="16"/>
          <w:sz w:val="21"/>
          <w:szCs w:val="21"/>
        </w:rPr>
        <w:t>所以,伟大建党精神融入高校思想政治理论</w:t>
      </w:r>
      <w:r>
        <w:rPr>
          <w:rFonts w:hint="eastAsia" w:ascii="宋体" w:hAnsi="宋体" w:eastAsia="宋体" w:cs="宋体"/>
          <w:spacing w:val="15"/>
          <w:sz w:val="21"/>
          <w:szCs w:val="21"/>
        </w:rPr>
        <w:t>课的具体实践路径</w:t>
      </w:r>
      <w:r>
        <w:rPr>
          <w:rFonts w:hint="eastAsia" w:ascii="宋体" w:hAnsi="宋体" w:eastAsia="宋体" w:cs="宋体"/>
          <w:spacing w:val="18"/>
          <w:sz w:val="21"/>
          <w:szCs w:val="21"/>
        </w:rPr>
        <w:t>表现为课程教育教学中融入伟大建党精神,增加网络</w:t>
      </w:r>
      <w:r>
        <w:rPr>
          <w:rFonts w:hint="eastAsia" w:ascii="宋体" w:hAnsi="宋体" w:eastAsia="宋体" w:cs="宋体"/>
          <w:spacing w:val="17"/>
          <w:sz w:val="21"/>
          <w:szCs w:val="21"/>
        </w:rPr>
        <w:t>空间建设中反映伟大建党精</w:t>
      </w:r>
      <w:r>
        <w:rPr>
          <w:rFonts w:hint="eastAsia" w:ascii="宋体" w:hAnsi="宋体" w:eastAsia="宋体" w:cs="宋体"/>
          <w:spacing w:val="15"/>
          <w:sz w:val="21"/>
          <w:szCs w:val="21"/>
        </w:rPr>
        <w:t>神的文化内容,大学文化建设过程中培育伟大建党精神,以此保证伟大建党精神</w:t>
      </w:r>
      <w:r>
        <w:rPr>
          <w:rFonts w:hint="eastAsia" w:ascii="宋体" w:hAnsi="宋体" w:eastAsia="宋体" w:cs="宋体"/>
          <w:spacing w:val="13"/>
          <w:sz w:val="21"/>
          <w:szCs w:val="21"/>
        </w:rPr>
        <w:t>融入高校思想政治教育各个环节、各个层次的</w:t>
      </w:r>
      <w:r>
        <w:rPr>
          <w:rFonts w:hint="eastAsia" w:ascii="宋体" w:hAnsi="宋体" w:eastAsia="宋体" w:cs="宋体"/>
          <w:spacing w:val="12"/>
          <w:sz w:val="21"/>
          <w:szCs w:val="21"/>
        </w:rPr>
        <w:t>实际效果。</w:t>
      </w:r>
      <w:r>
        <w:rPr>
          <w:rStyle w:val="20"/>
          <w:rFonts w:hint="eastAsia" w:ascii="宋体" w:hAnsi="宋体" w:eastAsia="宋体" w:cs="宋体"/>
          <w:spacing w:val="12"/>
          <w:sz w:val="21"/>
          <w:szCs w:val="21"/>
        </w:rPr>
        <w:footnoteReference w:id="1490"/>
      </w:r>
    </w:p>
    <w:p w14:paraId="71E2CCF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0"/>
          <w:position w:val="1"/>
          <w:sz w:val="21"/>
          <w:szCs w:val="21"/>
        </w:rPr>
        <w:t>(一)课程教育教学</w:t>
      </w:r>
    </w:p>
    <w:p w14:paraId="0CB7128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20"/>
          <w:sz w:val="21"/>
          <w:szCs w:val="21"/>
        </w:rPr>
        <w:t>伟大建党精神融入高校思想政治教育的结合点在于伟大建党精神所体现出的</w:t>
      </w:r>
      <w:r>
        <w:rPr>
          <w:rFonts w:hint="eastAsia" w:ascii="宋体" w:hAnsi="宋体" w:eastAsia="宋体" w:cs="宋体"/>
          <w:spacing w:val="22"/>
          <w:sz w:val="21"/>
          <w:szCs w:val="21"/>
        </w:rPr>
        <w:t>教育内涵与新时代中国特色社会主义教育目标所指向的人才培养目标相</w:t>
      </w:r>
      <w:r>
        <w:rPr>
          <w:rFonts w:hint="eastAsia" w:ascii="宋体" w:hAnsi="宋体" w:eastAsia="宋体" w:cs="宋体"/>
          <w:spacing w:val="21"/>
          <w:sz w:val="21"/>
          <w:szCs w:val="21"/>
        </w:rPr>
        <w:t>契合。伟</w:t>
      </w:r>
      <w:r>
        <w:rPr>
          <w:rFonts w:hint="eastAsia" w:ascii="宋体" w:hAnsi="宋体" w:eastAsia="宋体" w:cs="宋体"/>
          <w:spacing w:val="18"/>
          <w:sz w:val="21"/>
          <w:szCs w:val="21"/>
        </w:rPr>
        <w:t>大建党精神具有的思想教育价值表现为用“坚持真理、坚守理想”精神引导学生</w:t>
      </w:r>
      <w:r>
        <w:rPr>
          <w:rFonts w:hint="eastAsia" w:ascii="宋体" w:hAnsi="宋体" w:eastAsia="宋体" w:cs="宋体"/>
          <w:spacing w:val="13"/>
          <w:sz w:val="21"/>
          <w:szCs w:val="21"/>
        </w:rPr>
        <w:t>确立正确的理想信念,以“践行初心、担当使命”精神培养</w:t>
      </w:r>
      <w:r>
        <w:rPr>
          <w:rFonts w:hint="eastAsia" w:ascii="宋体" w:hAnsi="宋体" w:eastAsia="宋体" w:cs="宋体"/>
          <w:spacing w:val="12"/>
          <w:sz w:val="21"/>
          <w:szCs w:val="21"/>
        </w:rPr>
        <w:t>学生的使命担当,以</w:t>
      </w:r>
      <w:r>
        <w:rPr>
          <w:rFonts w:hint="eastAsia" w:ascii="宋体" w:hAnsi="宋体" w:eastAsia="宋体" w:cs="宋体"/>
          <w:spacing w:val="20"/>
          <w:sz w:val="21"/>
          <w:szCs w:val="21"/>
        </w:rPr>
        <w:t>“不怕牺牲、英勇斗争”精神培养学生敢于斗争的品格与为国家、</w:t>
      </w:r>
      <w:r>
        <w:rPr>
          <w:rFonts w:hint="eastAsia" w:ascii="宋体" w:hAnsi="宋体" w:eastAsia="宋体" w:cs="宋体"/>
          <w:spacing w:val="19"/>
          <w:sz w:val="21"/>
          <w:szCs w:val="21"/>
        </w:rPr>
        <w:t>社会奉献的思</w:t>
      </w:r>
      <w:r>
        <w:rPr>
          <w:rFonts w:hint="eastAsia" w:ascii="宋体" w:hAnsi="宋体" w:eastAsia="宋体" w:cs="宋体"/>
          <w:spacing w:val="14"/>
          <w:sz w:val="21"/>
          <w:szCs w:val="21"/>
        </w:rPr>
        <w:t>想意识,以“对党忠诚、不负人民”精神培养学生的</w:t>
      </w:r>
      <w:r>
        <w:rPr>
          <w:rFonts w:hint="eastAsia" w:ascii="宋体" w:hAnsi="宋体" w:eastAsia="宋体" w:cs="宋体"/>
          <w:spacing w:val="13"/>
          <w:sz w:val="21"/>
          <w:szCs w:val="21"/>
        </w:rPr>
        <w:t>家国情怀和爱党情怀。以下</w:t>
      </w:r>
      <w:r>
        <w:rPr>
          <w:rFonts w:hint="eastAsia" w:ascii="宋体" w:hAnsi="宋体" w:eastAsia="宋体" w:cs="宋体"/>
          <w:spacing w:val="18"/>
          <w:sz w:val="21"/>
          <w:szCs w:val="21"/>
        </w:rPr>
        <w:t>分别从高校思想政治理论课的知识目标、价值目标、能力目标三个方面探究伟大</w:t>
      </w:r>
      <w:r>
        <w:rPr>
          <w:rFonts w:hint="eastAsia" w:ascii="宋体" w:hAnsi="宋体" w:eastAsia="宋体" w:cs="宋体"/>
          <w:spacing w:val="22"/>
          <w:sz w:val="21"/>
          <w:szCs w:val="21"/>
        </w:rPr>
        <w:t>建党精神融入高校思想政治理论课的实践路径。</w:t>
      </w:r>
    </w:p>
    <w:p w14:paraId="66EC9FF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其一,从高校思想政治理论课的知识目标</w:t>
      </w:r>
      <w:r>
        <w:rPr>
          <w:rFonts w:hint="eastAsia" w:ascii="宋体" w:hAnsi="宋体" w:eastAsia="宋体" w:cs="宋体"/>
          <w:spacing w:val="14"/>
          <w:sz w:val="21"/>
          <w:szCs w:val="21"/>
        </w:rPr>
        <w:t>来看,中国共产党伟大建党精神的</w:t>
      </w:r>
      <w:r>
        <w:rPr>
          <w:rFonts w:hint="eastAsia" w:ascii="宋体" w:hAnsi="宋体" w:eastAsia="宋体" w:cs="宋体"/>
          <w:spacing w:val="19"/>
          <w:sz w:val="21"/>
          <w:szCs w:val="21"/>
        </w:rPr>
        <w:t>内容为我们理解马克思主义及其中国化原理提供了具有精神内涵的鲜活案例。例</w:t>
      </w:r>
      <w:r>
        <w:rPr>
          <w:rFonts w:hint="eastAsia" w:ascii="宋体" w:hAnsi="宋体" w:eastAsia="宋体" w:cs="宋体"/>
          <w:spacing w:val="12"/>
          <w:sz w:val="21"/>
          <w:szCs w:val="21"/>
        </w:rPr>
        <w:t>如,在思想道德与法治课的理想信念教学内容中,中国</w:t>
      </w:r>
      <w:r>
        <w:rPr>
          <w:rFonts w:hint="eastAsia" w:ascii="宋体" w:hAnsi="宋体" w:eastAsia="宋体" w:cs="宋体"/>
          <w:spacing w:val="11"/>
          <w:sz w:val="21"/>
          <w:szCs w:val="21"/>
        </w:rPr>
        <w:t>共产党一大代表“坚持真</w:t>
      </w:r>
      <w:r>
        <w:rPr>
          <w:rFonts w:hint="eastAsia" w:ascii="宋体" w:hAnsi="宋体" w:eastAsia="宋体" w:cs="宋体"/>
          <w:spacing w:val="15"/>
          <w:sz w:val="21"/>
          <w:szCs w:val="21"/>
        </w:rPr>
        <w:t>理、坚守理想”的具体案例为学生掌握理论知识提供了生动鲜活的实践证明,也</w:t>
      </w:r>
      <w:r>
        <w:rPr>
          <w:rFonts w:hint="eastAsia" w:ascii="宋体" w:hAnsi="宋体" w:eastAsia="宋体" w:cs="宋体"/>
          <w:spacing w:val="19"/>
          <w:sz w:val="21"/>
          <w:szCs w:val="21"/>
        </w:rPr>
        <w:t>为学生的人格培养、品德塑造提供了可以学习的榜样。有坚守马克思主义真理,</w:t>
      </w:r>
      <w:r>
        <w:rPr>
          <w:rFonts w:hint="eastAsia" w:ascii="宋体" w:hAnsi="宋体" w:eastAsia="宋体" w:cs="宋体"/>
          <w:spacing w:val="9"/>
          <w:sz w:val="21"/>
          <w:szCs w:val="21"/>
        </w:rPr>
        <w:t>完成“两个结合”的新中国的缔造者毛泽东;有“遵从马列无不胜,深信前途会</w:t>
      </w:r>
      <w:r>
        <w:rPr>
          <w:rFonts w:hint="eastAsia" w:ascii="宋体" w:hAnsi="宋体" w:eastAsia="宋体" w:cs="宋体"/>
          <w:spacing w:val="12"/>
          <w:sz w:val="21"/>
          <w:szCs w:val="21"/>
        </w:rPr>
        <w:t>伐柯”的董必武,血洒疆场志未酬的何叔衡、邓恩铭、陈潭秋;有坚持马克思主</w:t>
      </w:r>
      <w:r>
        <w:rPr>
          <w:rFonts w:hint="eastAsia" w:ascii="宋体" w:hAnsi="宋体" w:eastAsia="宋体" w:cs="宋体"/>
          <w:spacing w:val="16"/>
          <w:sz w:val="21"/>
          <w:szCs w:val="21"/>
        </w:rPr>
        <w:t>义信仰,从事党的理论研究和开办学校的马克思主义理论家李达;有鞠躬尽瘁,死而后已,英年病逝的王尽美。这些鲜活的人物形象、独特的性格特征以</w:t>
      </w:r>
      <w:r>
        <w:rPr>
          <w:rFonts w:hint="eastAsia" w:ascii="宋体" w:hAnsi="宋体" w:eastAsia="宋体" w:cs="宋体"/>
          <w:spacing w:val="15"/>
          <w:sz w:val="21"/>
          <w:szCs w:val="21"/>
        </w:rPr>
        <w:t>及艰苦</w:t>
      </w:r>
      <w:r>
        <w:rPr>
          <w:rFonts w:hint="eastAsia" w:ascii="宋体" w:hAnsi="宋体" w:eastAsia="宋体" w:cs="宋体"/>
          <w:spacing w:val="17"/>
          <w:sz w:val="21"/>
          <w:szCs w:val="21"/>
        </w:rPr>
        <w:t>的斗争历史是弘扬坚持真理、坚守理想的伟大建党精神的最好范例。</w:t>
      </w:r>
    </w:p>
    <w:p w14:paraId="383EB45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5"/>
          <w:sz w:val="21"/>
          <w:szCs w:val="21"/>
        </w:rPr>
        <w:t>其二,从高校思想政治理论课的价值目标</w:t>
      </w:r>
      <w:r>
        <w:rPr>
          <w:rFonts w:hint="eastAsia" w:ascii="宋体" w:hAnsi="宋体" w:eastAsia="宋体" w:cs="宋体"/>
          <w:spacing w:val="14"/>
          <w:sz w:val="21"/>
          <w:szCs w:val="21"/>
        </w:rPr>
        <w:t>来看,中国共产党伟大建党精神中</w:t>
      </w:r>
      <w:r>
        <w:rPr>
          <w:rFonts w:hint="eastAsia" w:ascii="宋体" w:hAnsi="宋体" w:eastAsia="宋体" w:cs="宋体"/>
          <w:spacing w:val="15"/>
          <w:sz w:val="21"/>
          <w:szCs w:val="21"/>
        </w:rPr>
        <w:t>的“践行初心、担当使命”体现了以人民为中心的初心使命的价值取向。这一价</w:t>
      </w:r>
      <w:r>
        <w:rPr>
          <w:rFonts w:hint="eastAsia" w:ascii="宋体" w:hAnsi="宋体" w:eastAsia="宋体" w:cs="宋体"/>
          <w:spacing w:val="1"/>
          <w:sz w:val="21"/>
          <w:szCs w:val="21"/>
        </w:rPr>
        <w:t>值取向既是思想政治理论课的内容,也是思想政治</w:t>
      </w:r>
      <w:r>
        <w:rPr>
          <w:rFonts w:hint="eastAsia" w:ascii="宋体" w:hAnsi="宋体" w:eastAsia="宋体" w:cs="宋体"/>
          <w:sz w:val="21"/>
          <w:szCs w:val="21"/>
        </w:rPr>
        <w:t>理论课的培养目标之一。例</w:t>
      </w:r>
      <w:r>
        <w:rPr>
          <w:rFonts w:hint="eastAsia" w:ascii="宋体" w:hAnsi="宋体" w:eastAsia="宋体" w:cs="宋体"/>
          <w:spacing w:val="12"/>
          <w:sz w:val="21"/>
          <w:szCs w:val="21"/>
        </w:rPr>
        <w:t>如,在思想道德与法治课“社会主义核心价值观”一章的讲解中,就有关于价值</w:t>
      </w:r>
      <w:r>
        <w:rPr>
          <w:rFonts w:hint="eastAsia" w:ascii="宋体" w:hAnsi="宋体" w:eastAsia="宋体" w:cs="宋体"/>
          <w:spacing w:val="16"/>
          <w:sz w:val="21"/>
          <w:szCs w:val="21"/>
        </w:rPr>
        <w:t>观所体现的价值取向的教学内容;而在思想</w:t>
      </w:r>
      <w:r>
        <w:rPr>
          <w:rFonts w:hint="eastAsia" w:ascii="宋体" w:hAnsi="宋体" w:eastAsia="宋体" w:cs="宋体"/>
          <w:spacing w:val="15"/>
          <w:sz w:val="21"/>
          <w:szCs w:val="21"/>
        </w:rPr>
        <w:t>政治理论课的教学与实践中,培养人</w:t>
      </w:r>
      <w:r>
        <w:rPr>
          <w:rFonts w:hint="eastAsia" w:ascii="宋体" w:hAnsi="宋体" w:eastAsia="宋体" w:cs="宋体"/>
          <w:spacing w:val="16"/>
          <w:sz w:val="21"/>
          <w:szCs w:val="21"/>
        </w:rPr>
        <w:t>民至上的初心使命也是高校思想政治理论课的价值目标之一。再比如,在马克思</w:t>
      </w:r>
      <w:r>
        <w:rPr>
          <w:rFonts w:hint="eastAsia" w:ascii="宋体" w:hAnsi="宋体" w:eastAsia="宋体" w:cs="宋体"/>
          <w:spacing w:val="14"/>
          <w:sz w:val="21"/>
          <w:szCs w:val="21"/>
        </w:rPr>
        <w:t>主义基本原理课“真理与价值”一章的教学中,以人民为中心的价值取向是中国</w:t>
      </w:r>
      <w:r>
        <w:rPr>
          <w:rFonts w:hint="eastAsia" w:ascii="宋体" w:hAnsi="宋体" w:eastAsia="宋体" w:cs="宋体"/>
          <w:spacing w:val="16"/>
          <w:sz w:val="21"/>
          <w:szCs w:val="21"/>
        </w:rPr>
        <w:t>共产党的初心使命,也是新时代中国特色社会</w:t>
      </w:r>
      <w:r>
        <w:rPr>
          <w:rFonts w:hint="eastAsia" w:ascii="宋体" w:hAnsi="宋体" w:eastAsia="宋体" w:cs="宋体"/>
          <w:spacing w:val="15"/>
          <w:sz w:val="21"/>
          <w:szCs w:val="21"/>
        </w:rPr>
        <w:t>主义实践的价值尺度。</w:t>
      </w:r>
    </w:p>
    <w:p w14:paraId="64B389E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3"/>
          <w:sz w:val="21"/>
          <w:szCs w:val="21"/>
        </w:rPr>
        <w:t>其三,从高校思想政治理论课的能力目标来看,中国共产党伟大建</w:t>
      </w:r>
      <w:r>
        <w:rPr>
          <w:rFonts w:hint="eastAsia" w:ascii="宋体" w:hAnsi="宋体" w:eastAsia="宋体" w:cs="宋体"/>
          <w:spacing w:val="12"/>
          <w:sz w:val="21"/>
          <w:szCs w:val="21"/>
        </w:rPr>
        <w:t>党精神中</w:t>
      </w:r>
      <w:r>
        <w:rPr>
          <w:rFonts w:hint="eastAsia" w:ascii="宋体" w:hAnsi="宋体" w:eastAsia="宋体" w:cs="宋体"/>
          <w:spacing w:val="15"/>
          <w:sz w:val="21"/>
          <w:szCs w:val="21"/>
        </w:rPr>
        <w:t>敢于斗争的英雄气概、实事求是的真理追求,</w:t>
      </w:r>
      <w:r>
        <w:rPr>
          <w:rFonts w:hint="eastAsia" w:ascii="宋体" w:hAnsi="宋体" w:eastAsia="宋体" w:cs="宋体"/>
          <w:spacing w:val="14"/>
          <w:sz w:val="21"/>
          <w:szCs w:val="21"/>
        </w:rPr>
        <w:t>为学生坚持不断革新精神,培养敢</w:t>
      </w:r>
      <w:r>
        <w:rPr>
          <w:rFonts w:hint="eastAsia" w:ascii="宋体" w:hAnsi="宋体" w:eastAsia="宋体" w:cs="宋体"/>
          <w:spacing w:val="17"/>
          <w:sz w:val="21"/>
          <w:szCs w:val="21"/>
        </w:rPr>
        <w:t>于斗争、善于斗争的能力提供了学习和效仿的素材</w:t>
      </w:r>
      <w:r>
        <w:rPr>
          <w:rFonts w:hint="eastAsia" w:ascii="宋体" w:hAnsi="宋体" w:eastAsia="宋体" w:cs="宋体"/>
          <w:spacing w:val="16"/>
          <w:sz w:val="21"/>
          <w:szCs w:val="21"/>
        </w:rPr>
        <w:t>,也指导学生掌握理论联系实际、具体问题具体分析的能力。反思与批判是哲学的特征,也是马克思主义的特征,实践中的革命性更是马克思主义鲜明的理论品质和学说特</w:t>
      </w:r>
      <w:r>
        <w:rPr>
          <w:rFonts w:hint="eastAsia" w:ascii="宋体" w:hAnsi="宋体" w:eastAsia="宋体" w:cs="宋体"/>
          <w:spacing w:val="15"/>
          <w:sz w:val="21"/>
          <w:szCs w:val="21"/>
        </w:rPr>
        <w:t>征。以马克思主义</w:t>
      </w:r>
      <w:r>
        <w:rPr>
          <w:rFonts w:hint="eastAsia" w:ascii="宋体" w:hAnsi="宋体" w:eastAsia="宋体" w:cs="宋体"/>
          <w:spacing w:val="19"/>
          <w:sz w:val="21"/>
          <w:szCs w:val="21"/>
        </w:rPr>
        <w:t>及其中国化理论为主要内容的高校思想政治理论课是培养学生反思、批</w:t>
      </w:r>
      <w:r>
        <w:rPr>
          <w:rFonts w:hint="eastAsia" w:ascii="宋体" w:hAnsi="宋体" w:eastAsia="宋体" w:cs="宋体"/>
          <w:spacing w:val="18"/>
          <w:sz w:val="21"/>
          <w:szCs w:val="21"/>
        </w:rPr>
        <w:t>判能力的重要课程。敢于斗争、实事求是的伟大建党精神为学生相关能力的培养提供了素</w:t>
      </w:r>
      <w:r>
        <w:rPr>
          <w:rFonts w:hint="eastAsia" w:ascii="宋体" w:hAnsi="宋体" w:eastAsia="宋体" w:cs="宋体"/>
          <w:spacing w:val="17"/>
          <w:sz w:val="21"/>
          <w:szCs w:val="21"/>
        </w:rPr>
        <w:t>材。敢于斗争、实事求是是中国共产党在革命实践、社会主义建设实践以及新时</w:t>
      </w:r>
      <w:r>
        <w:rPr>
          <w:rFonts w:hint="eastAsia" w:ascii="宋体" w:hAnsi="宋体" w:eastAsia="宋体" w:cs="宋体"/>
          <w:spacing w:val="16"/>
          <w:sz w:val="21"/>
          <w:szCs w:val="21"/>
        </w:rPr>
        <w:t>代中国特色社会主义建设实践中的制胜法宝。所以说,敢于斗争的英雄气概、实事求是的真理追求,既实现了高校思想政治</w:t>
      </w:r>
      <w:r>
        <w:rPr>
          <w:rFonts w:hint="eastAsia" w:ascii="宋体" w:hAnsi="宋体" w:eastAsia="宋体" w:cs="宋体"/>
          <w:spacing w:val="15"/>
          <w:sz w:val="21"/>
          <w:szCs w:val="21"/>
        </w:rPr>
        <w:t>理论课的价值目标,也为培养学生坚</w:t>
      </w:r>
      <w:r>
        <w:rPr>
          <w:rFonts w:hint="eastAsia" w:ascii="宋体" w:hAnsi="宋体" w:eastAsia="宋体" w:cs="宋体"/>
          <w:spacing w:val="18"/>
          <w:sz w:val="21"/>
          <w:szCs w:val="21"/>
        </w:rPr>
        <w:t>持斗争的能力以及实事求是的真理追求提供了可行的路径。</w:t>
      </w:r>
    </w:p>
    <w:p w14:paraId="0D9418C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0"/>
          <w:position w:val="1"/>
          <w:sz w:val="21"/>
          <w:szCs w:val="21"/>
        </w:rPr>
        <w:t>(二)大学文化培育</w:t>
      </w:r>
    </w:p>
    <w:p w14:paraId="56F257D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伟大建党精神不仅要通过高校思想政治理论课教学的方式直接融入,还要通</w:t>
      </w:r>
      <w:r>
        <w:rPr>
          <w:rFonts w:hint="eastAsia" w:ascii="宋体" w:hAnsi="宋体" w:eastAsia="宋体" w:cs="宋体"/>
          <w:spacing w:val="19"/>
          <w:sz w:val="21"/>
          <w:szCs w:val="21"/>
        </w:rPr>
        <w:t>过润物细无声的沁润与熏陶使思想政治教育更具持久性与有效性。在大学文化的</w:t>
      </w:r>
      <w:r>
        <w:rPr>
          <w:rFonts w:hint="eastAsia" w:ascii="宋体" w:hAnsi="宋体" w:eastAsia="宋体" w:cs="宋体"/>
          <w:spacing w:val="14"/>
          <w:sz w:val="21"/>
          <w:szCs w:val="21"/>
        </w:rPr>
        <w:t>培育过程中,第一,通过校园文化活动将伟大建党精神融入校园文化。伟大建党</w:t>
      </w:r>
      <w:r>
        <w:rPr>
          <w:rFonts w:hint="eastAsia" w:ascii="宋体" w:hAnsi="宋体" w:eastAsia="宋体" w:cs="宋体"/>
          <w:spacing w:val="15"/>
          <w:sz w:val="21"/>
          <w:szCs w:val="21"/>
        </w:rPr>
        <w:t>精神是红色文化的重要组成部分。文化的“以文化人”功能的内在基础是文化所</w:t>
      </w:r>
      <w:r>
        <w:rPr>
          <w:rFonts w:hint="eastAsia" w:ascii="宋体" w:hAnsi="宋体" w:eastAsia="宋体" w:cs="宋体"/>
          <w:spacing w:val="16"/>
          <w:sz w:val="21"/>
          <w:szCs w:val="21"/>
        </w:rPr>
        <w:t>蕴含的价值观,一定的文化形式和表现空</w:t>
      </w:r>
      <w:r>
        <w:rPr>
          <w:rFonts w:hint="eastAsia" w:ascii="宋体" w:hAnsi="宋体" w:eastAsia="宋体" w:cs="宋体"/>
          <w:spacing w:val="15"/>
          <w:sz w:val="21"/>
          <w:szCs w:val="21"/>
        </w:rPr>
        <w:t>间是文化得以表现的载体,人的社会属</w:t>
      </w:r>
      <w:r>
        <w:rPr>
          <w:rFonts w:hint="eastAsia" w:ascii="宋体" w:hAnsi="宋体" w:eastAsia="宋体" w:cs="宋体"/>
          <w:spacing w:val="13"/>
          <w:sz w:val="21"/>
          <w:szCs w:val="21"/>
        </w:rPr>
        <w:t>性是“以文化人”实现的条件,而文化所体现的知、情、</w:t>
      </w:r>
      <w:r>
        <w:rPr>
          <w:rFonts w:hint="eastAsia" w:ascii="宋体" w:hAnsi="宋体" w:eastAsia="宋体" w:cs="宋体"/>
          <w:spacing w:val="12"/>
          <w:sz w:val="21"/>
          <w:szCs w:val="21"/>
        </w:rPr>
        <w:t>意的内涵是文化功能得</w:t>
      </w:r>
      <w:r>
        <w:rPr>
          <w:rFonts w:hint="eastAsia" w:ascii="宋体" w:hAnsi="宋体" w:eastAsia="宋体" w:cs="宋体"/>
          <w:spacing w:val="14"/>
          <w:sz w:val="21"/>
          <w:szCs w:val="21"/>
        </w:rPr>
        <w:t>以实现的有效途径。例如,通过一些活动</w:t>
      </w:r>
      <w:r>
        <w:rPr>
          <w:rFonts w:hint="eastAsia" w:ascii="宋体" w:hAnsi="宋体" w:eastAsia="宋体" w:cs="宋体"/>
          <w:spacing w:val="13"/>
          <w:sz w:val="21"/>
          <w:szCs w:val="21"/>
        </w:rPr>
        <w:t>(舞台上各种艺术形式的表演等)艺术</w:t>
      </w:r>
      <w:r>
        <w:rPr>
          <w:rFonts w:hint="eastAsia" w:ascii="宋体" w:hAnsi="宋体" w:eastAsia="宋体" w:cs="宋体"/>
          <w:spacing w:val="16"/>
          <w:sz w:val="21"/>
          <w:szCs w:val="21"/>
        </w:rPr>
        <w:t>地再现中国共产党的历史,让大学生在艺术熏陶中自觉自愿地接受伟大建</w:t>
      </w:r>
      <w:r>
        <w:rPr>
          <w:rFonts w:hint="eastAsia" w:ascii="宋体" w:hAnsi="宋体" w:eastAsia="宋体" w:cs="宋体"/>
          <w:spacing w:val="15"/>
          <w:sz w:val="21"/>
          <w:szCs w:val="21"/>
        </w:rPr>
        <w:t>党精神教育。第二,通过建筑、景观、教育资源等建设将伟大建党精神融入校</w:t>
      </w:r>
      <w:r>
        <w:rPr>
          <w:rFonts w:hint="eastAsia" w:ascii="宋体" w:hAnsi="宋体" w:eastAsia="宋体" w:cs="宋体"/>
          <w:spacing w:val="14"/>
          <w:sz w:val="21"/>
          <w:szCs w:val="21"/>
        </w:rPr>
        <w:t>园文化的</w:t>
      </w:r>
      <w:r>
        <w:rPr>
          <w:rFonts w:hint="eastAsia" w:ascii="宋体" w:hAnsi="宋体" w:eastAsia="宋体" w:cs="宋体"/>
          <w:spacing w:val="15"/>
          <w:sz w:val="21"/>
          <w:szCs w:val="21"/>
        </w:rPr>
        <w:t>建设。在大学校园规划中,通过整体风格的设计,在校园标志性建筑中</w:t>
      </w:r>
      <w:r>
        <w:rPr>
          <w:rFonts w:hint="eastAsia" w:ascii="宋体" w:hAnsi="宋体" w:eastAsia="宋体" w:cs="宋体"/>
          <w:spacing w:val="14"/>
          <w:sz w:val="21"/>
          <w:szCs w:val="21"/>
        </w:rPr>
        <w:t>融入伟大</w:t>
      </w:r>
      <w:r>
        <w:rPr>
          <w:rFonts w:hint="eastAsia" w:ascii="宋体" w:hAnsi="宋体" w:eastAsia="宋体" w:cs="宋体"/>
          <w:spacing w:val="15"/>
          <w:sz w:val="21"/>
          <w:szCs w:val="21"/>
        </w:rPr>
        <w:t>建党精神的元素,让无声的建筑景观起到有声教育的作用。第三,将伟</w:t>
      </w:r>
      <w:r>
        <w:rPr>
          <w:rFonts w:hint="eastAsia" w:ascii="宋体" w:hAnsi="宋体" w:eastAsia="宋体" w:cs="宋体"/>
          <w:spacing w:val="14"/>
          <w:sz w:val="21"/>
          <w:szCs w:val="21"/>
        </w:rPr>
        <w:t>大建党精</w:t>
      </w:r>
      <w:r>
        <w:rPr>
          <w:rFonts w:hint="eastAsia" w:ascii="宋体" w:hAnsi="宋体" w:eastAsia="宋体" w:cs="宋体"/>
          <w:spacing w:val="17"/>
          <w:sz w:val="21"/>
          <w:szCs w:val="21"/>
        </w:rPr>
        <w:t>神的思想内涵融入制度文化。利用制度建设与制度文化的引导规范作用,为其提</w:t>
      </w:r>
      <w:r>
        <w:rPr>
          <w:rFonts w:hint="eastAsia" w:ascii="宋体" w:hAnsi="宋体" w:eastAsia="宋体" w:cs="宋体"/>
          <w:spacing w:val="16"/>
          <w:sz w:val="21"/>
          <w:szCs w:val="21"/>
        </w:rPr>
        <w:t>供保障,通过相应的制度规范引导学生坚</w:t>
      </w:r>
      <w:r>
        <w:rPr>
          <w:rFonts w:hint="eastAsia" w:ascii="宋体" w:hAnsi="宋体" w:eastAsia="宋体" w:cs="宋体"/>
          <w:spacing w:val="15"/>
          <w:sz w:val="21"/>
          <w:szCs w:val="21"/>
        </w:rPr>
        <w:t>定理想信念、坚持奋斗精神、践行初心使命、培养忠于党和人民的思想情怀。</w:t>
      </w:r>
    </w:p>
    <w:p w14:paraId="45C1E06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9"/>
          <w:position w:val="1"/>
          <w:sz w:val="21"/>
          <w:szCs w:val="21"/>
        </w:rPr>
        <w:t>(三)网络空间建设</w:t>
      </w:r>
    </w:p>
    <w:p w14:paraId="5400279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网络空间是影响当代大学生思维方式、行为习惯的重要场所,也是</w:t>
      </w:r>
      <w:r>
        <w:rPr>
          <w:rFonts w:hint="eastAsia" w:ascii="宋体" w:hAnsi="宋体" w:eastAsia="宋体" w:cs="宋体"/>
          <w:spacing w:val="15"/>
          <w:sz w:val="21"/>
          <w:szCs w:val="21"/>
        </w:rPr>
        <w:t>引领大学</w:t>
      </w:r>
      <w:r>
        <w:rPr>
          <w:rFonts w:hint="eastAsia" w:ascii="宋体" w:hAnsi="宋体" w:eastAsia="宋体" w:cs="宋体"/>
          <w:spacing w:val="16"/>
          <w:sz w:val="21"/>
          <w:szCs w:val="21"/>
        </w:rPr>
        <w:t>生形成正确价值观的“重要课堂”,伟大建党精神可以通过网络空间的融入对青</w:t>
      </w:r>
      <w:r>
        <w:rPr>
          <w:rFonts w:hint="eastAsia" w:ascii="宋体" w:hAnsi="宋体" w:eastAsia="宋体" w:cs="宋体"/>
          <w:spacing w:val="15"/>
          <w:sz w:val="21"/>
          <w:szCs w:val="21"/>
        </w:rPr>
        <w:t>年大学生进行思想政治教育。长期以来,意识形态终结论、历史虚无主义</w:t>
      </w:r>
      <w:r>
        <w:rPr>
          <w:rFonts w:hint="eastAsia" w:ascii="宋体" w:hAnsi="宋体" w:eastAsia="宋体" w:cs="宋体"/>
          <w:spacing w:val="14"/>
          <w:sz w:val="21"/>
          <w:szCs w:val="21"/>
        </w:rPr>
        <w:t>、新自</w:t>
      </w:r>
      <w:r>
        <w:rPr>
          <w:rFonts w:hint="eastAsia" w:ascii="宋体" w:hAnsi="宋体" w:eastAsia="宋体" w:cs="宋体"/>
          <w:spacing w:val="18"/>
          <w:sz w:val="21"/>
          <w:szCs w:val="21"/>
        </w:rPr>
        <w:t>由主义等错误的价值观在网络盛行,这就需要各种</w:t>
      </w:r>
      <w:r>
        <w:rPr>
          <w:rFonts w:hint="eastAsia" w:ascii="宋体" w:hAnsi="宋体" w:eastAsia="宋体" w:cs="宋体"/>
          <w:spacing w:val="17"/>
          <w:sz w:val="21"/>
          <w:szCs w:val="21"/>
        </w:rPr>
        <w:t>形式和内容的思想政治教育元</w:t>
      </w:r>
      <w:r>
        <w:rPr>
          <w:rFonts w:hint="eastAsia" w:ascii="宋体" w:hAnsi="宋体" w:eastAsia="宋体" w:cs="宋体"/>
          <w:spacing w:val="13"/>
          <w:sz w:val="21"/>
          <w:szCs w:val="21"/>
        </w:rPr>
        <w:t>素的融入,引导学生树立正确的世界观、人生观与价值观。第一,将以伟大建党</w:t>
      </w:r>
      <w:r>
        <w:rPr>
          <w:rFonts w:hint="eastAsia" w:ascii="宋体" w:hAnsi="宋体" w:eastAsia="宋体" w:cs="宋体"/>
          <w:spacing w:val="18"/>
          <w:sz w:val="21"/>
          <w:szCs w:val="21"/>
        </w:rPr>
        <w:t>精神为主要内容的红色文化元素融入网络空间建设,</w:t>
      </w:r>
      <w:r>
        <w:rPr>
          <w:rFonts w:hint="eastAsia" w:ascii="宋体" w:hAnsi="宋体" w:eastAsia="宋体" w:cs="宋体"/>
          <w:spacing w:val="17"/>
          <w:sz w:val="21"/>
          <w:szCs w:val="21"/>
        </w:rPr>
        <w:t>通过网络传播体系强化伟大</w:t>
      </w:r>
      <w:r>
        <w:rPr>
          <w:rFonts w:hint="eastAsia" w:ascii="宋体" w:hAnsi="宋体" w:eastAsia="宋体" w:cs="宋体"/>
          <w:spacing w:val="15"/>
          <w:sz w:val="21"/>
          <w:szCs w:val="21"/>
        </w:rPr>
        <w:t>建党精神相关的思想内容。例如,通过学校媒体进行伟大建党精神的宣传,</w:t>
      </w:r>
      <w:r>
        <w:rPr>
          <w:rFonts w:hint="eastAsia" w:ascii="宋体" w:hAnsi="宋体" w:eastAsia="宋体" w:cs="宋体"/>
          <w:spacing w:val="14"/>
          <w:sz w:val="21"/>
          <w:szCs w:val="21"/>
        </w:rPr>
        <w:t>使其</w:t>
      </w:r>
      <w:r>
        <w:rPr>
          <w:rFonts w:hint="eastAsia" w:ascii="宋体" w:hAnsi="宋体" w:eastAsia="宋体" w:cs="宋体"/>
          <w:spacing w:val="17"/>
          <w:sz w:val="21"/>
          <w:szCs w:val="21"/>
        </w:rPr>
        <w:t>成为网络舆论、思想观念的领跑者,提升大学</w:t>
      </w:r>
      <w:r>
        <w:rPr>
          <w:rFonts w:hint="eastAsia" w:ascii="宋体" w:hAnsi="宋体" w:eastAsia="宋体" w:cs="宋体"/>
          <w:spacing w:val="16"/>
          <w:sz w:val="21"/>
          <w:szCs w:val="21"/>
        </w:rPr>
        <w:t>生骨干在网络空间的信任度和影响</w:t>
      </w:r>
      <w:r>
        <w:rPr>
          <w:rFonts w:hint="eastAsia" w:ascii="宋体" w:hAnsi="宋体" w:eastAsia="宋体" w:cs="宋体"/>
          <w:spacing w:val="13"/>
          <w:sz w:val="21"/>
          <w:szCs w:val="21"/>
        </w:rPr>
        <w:t>力。第二,提高网络内容的质量。网络建设可以根据学生的不同偏好,用大学生</w:t>
      </w:r>
      <w:r>
        <w:rPr>
          <w:rFonts w:hint="eastAsia" w:ascii="宋体" w:hAnsi="宋体" w:eastAsia="宋体" w:cs="宋体"/>
          <w:spacing w:val="16"/>
          <w:sz w:val="21"/>
          <w:szCs w:val="21"/>
        </w:rPr>
        <w:t>喜闻乐见的内容形式与伟大建党精神的宣传、阐</w:t>
      </w:r>
      <w:r>
        <w:rPr>
          <w:rFonts w:hint="eastAsia" w:ascii="宋体" w:hAnsi="宋体" w:eastAsia="宋体" w:cs="宋体"/>
          <w:spacing w:val="15"/>
          <w:sz w:val="21"/>
          <w:szCs w:val="21"/>
        </w:rPr>
        <w:t>释紧密结合起来;利用能够反映</w:t>
      </w:r>
      <w:r>
        <w:rPr>
          <w:rFonts w:hint="eastAsia" w:ascii="宋体" w:hAnsi="宋体" w:eastAsia="宋体" w:cs="宋体"/>
          <w:spacing w:val="16"/>
          <w:sz w:val="21"/>
          <w:szCs w:val="21"/>
        </w:rPr>
        <w:t>大学生思想动态的大数据,增强大学生对伟</w:t>
      </w:r>
      <w:r>
        <w:rPr>
          <w:rFonts w:hint="eastAsia" w:ascii="宋体" w:hAnsi="宋体" w:eastAsia="宋体" w:cs="宋体"/>
          <w:spacing w:val="15"/>
          <w:sz w:val="21"/>
          <w:szCs w:val="21"/>
        </w:rPr>
        <w:t>大建党精神的价值认同;创作更多能</w:t>
      </w:r>
      <w:r>
        <w:rPr>
          <w:rFonts w:hint="eastAsia" w:ascii="宋体" w:hAnsi="宋体" w:eastAsia="宋体" w:cs="宋体"/>
          <w:spacing w:val="-2"/>
          <w:sz w:val="21"/>
          <w:szCs w:val="21"/>
        </w:rPr>
        <w:t>够吸引大学生的作品,增强作品的吸引力、感染力,实现思想教育的目标。第</w:t>
      </w:r>
      <w:r>
        <w:rPr>
          <w:rFonts w:hint="eastAsia" w:ascii="宋体" w:hAnsi="宋体" w:eastAsia="宋体" w:cs="宋体"/>
          <w:spacing w:val="15"/>
          <w:sz w:val="21"/>
          <w:szCs w:val="21"/>
        </w:rPr>
        <w:t>三,增强大学生对网络信息的鉴别水平。调动大学生信息鉴别的主动性,</w:t>
      </w:r>
      <w:r>
        <w:rPr>
          <w:rFonts w:hint="eastAsia" w:ascii="宋体" w:hAnsi="宋体" w:eastAsia="宋体" w:cs="宋体"/>
          <w:spacing w:val="14"/>
          <w:sz w:val="21"/>
          <w:szCs w:val="21"/>
        </w:rPr>
        <w:t>引导大</w:t>
      </w:r>
      <w:r>
        <w:rPr>
          <w:rFonts w:hint="eastAsia" w:ascii="宋体" w:hAnsi="宋体" w:eastAsia="宋体" w:cs="宋体"/>
          <w:spacing w:val="13"/>
          <w:sz w:val="21"/>
          <w:szCs w:val="21"/>
        </w:rPr>
        <w:t>学生牢固树立正确思维,辨别是非曲直。第四,丰富数字化文化资源,创新高校</w:t>
      </w:r>
      <w:r>
        <w:rPr>
          <w:rFonts w:hint="eastAsia" w:ascii="宋体" w:hAnsi="宋体" w:eastAsia="宋体" w:cs="宋体"/>
          <w:spacing w:val="16"/>
          <w:sz w:val="21"/>
          <w:szCs w:val="21"/>
        </w:rPr>
        <w:t>思想政治理论课的教学方式,增强高校思想</w:t>
      </w:r>
      <w:r>
        <w:rPr>
          <w:rFonts w:hint="eastAsia" w:ascii="宋体" w:hAnsi="宋体" w:eastAsia="宋体" w:cs="宋体"/>
          <w:spacing w:val="15"/>
          <w:sz w:val="21"/>
          <w:szCs w:val="21"/>
        </w:rPr>
        <w:t>政治理论课的教学效果,利用数字化</w:t>
      </w:r>
      <w:r>
        <w:rPr>
          <w:rFonts w:hint="eastAsia" w:ascii="宋体" w:hAnsi="宋体" w:eastAsia="宋体" w:cs="宋体"/>
          <w:spacing w:val="14"/>
          <w:sz w:val="21"/>
          <w:szCs w:val="21"/>
        </w:rPr>
        <w:t>新技术,发挥数字媒介优势,搭建数字共享平台</w:t>
      </w:r>
      <w:r>
        <w:rPr>
          <w:rFonts w:hint="eastAsia" w:ascii="宋体" w:hAnsi="宋体" w:eastAsia="宋体" w:cs="宋体"/>
          <w:spacing w:val="13"/>
          <w:sz w:val="21"/>
          <w:szCs w:val="21"/>
        </w:rPr>
        <w:t>,形成数字化时代思想政治教育</w:t>
      </w:r>
      <w:r>
        <w:rPr>
          <w:rFonts w:hint="eastAsia" w:ascii="宋体" w:hAnsi="宋体" w:eastAsia="宋体" w:cs="宋体"/>
          <w:spacing w:val="-9"/>
          <w:sz w:val="21"/>
          <w:szCs w:val="21"/>
        </w:rPr>
        <w:t>新模式。</w:t>
      </w:r>
      <w:r>
        <w:rPr>
          <w:rStyle w:val="20"/>
          <w:rFonts w:hint="eastAsia" w:ascii="宋体" w:hAnsi="宋体" w:eastAsia="宋体" w:cs="宋体"/>
          <w:spacing w:val="-9"/>
          <w:sz w:val="21"/>
          <w:szCs w:val="21"/>
        </w:rPr>
        <w:footnoteReference w:id="1491"/>
      </w:r>
    </w:p>
    <w:p w14:paraId="173456C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0" w:firstLineChars="200"/>
        <w:jc w:val="both"/>
        <w:textAlignment w:val="baseline"/>
        <w:outlineLvl w:val="9"/>
        <w:rPr>
          <w:rFonts w:hint="eastAsia" w:ascii="宋体" w:hAnsi="宋体" w:eastAsia="宋体" w:cs="宋体"/>
          <w:b/>
          <w:bCs/>
          <w:sz w:val="21"/>
          <w:szCs w:val="21"/>
        </w:rPr>
      </w:pPr>
      <w:r>
        <w:rPr>
          <w:rFonts w:hint="eastAsia" w:ascii="宋体" w:hAnsi="宋体" w:eastAsia="宋体" w:cs="宋体"/>
          <w:b/>
          <w:bCs/>
          <w:spacing w:val="10"/>
          <w:position w:val="1"/>
          <w:sz w:val="21"/>
          <w:szCs w:val="21"/>
        </w:rPr>
        <w:t>(四)师资素质提升</w:t>
      </w:r>
    </w:p>
    <w:p w14:paraId="5BA0ED1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7"/>
          <w:sz w:val="21"/>
          <w:szCs w:val="21"/>
        </w:rPr>
        <w:t>教师是课程设计与方案实施的主要执行者,是思想政治教育的教学理论与教学实践取得成效的关键因素。首先,教师是伟大建党精神的阐释者和践行者,只</w:t>
      </w:r>
      <w:r>
        <w:rPr>
          <w:rFonts w:hint="eastAsia" w:ascii="宋体" w:hAnsi="宋体" w:eastAsia="宋体" w:cs="宋体"/>
          <w:spacing w:val="19"/>
          <w:sz w:val="21"/>
          <w:szCs w:val="21"/>
        </w:rPr>
        <w:t>有教师理解和践行伟大建党精神,才能引导学生去学习、理解和运用伟大建党精</w:t>
      </w:r>
      <w:r>
        <w:rPr>
          <w:rFonts w:hint="eastAsia" w:ascii="宋体" w:hAnsi="宋体" w:eastAsia="宋体" w:cs="宋体"/>
          <w:spacing w:val="14"/>
          <w:sz w:val="21"/>
          <w:szCs w:val="21"/>
        </w:rPr>
        <w:t>神。其次,教师要提升理论素养,具备扎</w:t>
      </w:r>
      <w:r>
        <w:rPr>
          <w:rFonts w:hint="eastAsia" w:ascii="宋体" w:hAnsi="宋体" w:eastAsia="宋体" w:cs="宋体"/>
          <w:spacing w:val="13"/>
          <w:sz w:val="21"/>
          <w:szCs w:val="21"/>
        </w:rPr>
        <w:t>实的马克思主义理论基本功。把“坚持</w:t>
      </w:r>
      <w:r>
        <w:rPr>
          <w:rFonts w:hint="eastAsia" w:ascii="宋体" w:hAnsi="宋体" w:eastAsia="宋体" w:cs="宋体"/>
          <w:spacing w:val="17"/>
          <w:sz w:val="21"/>
          <w:szCs w:val="21"/>
        </w:rPr>
        <w:t>真理、坚守理想”摆在首位,并阐释理想信念的重要性;具有扎实的理论基础,</w:t>
      </w:r>
      <w:r>
        <w:rPr>
          <w:rFonts w:hint="eastAsia" w:ascii="宋体" w:hAnsi="宋体" w:eastAsia="宋体" w:cs="宋体"/>
          <w:spacing w:val="4"/>
          <w:sz w:val="21"/>
          <w:szCs w:val="21"/>
        </w:rPr>
        <w:t>在工作中理论联系实际。再次,开展“四史”学习教育。把伟大建党精神置于</w:t>
      </w:r>
      <w:r>
        <w:rPr>
          <w:rFonts w:hint="eastAsia" w:ascii="宋体" w:hAnsi="宋体" w:eastAsia="宋体" w:cs="宋体"/>
          <w:spacing w:val="16"/>
          <w:sz w:val="21"/>
          <w:szCs w:val="21"/>
        </w:rPr>
        <w:t>“四史”中,准确把握伟大建党精神的丰富内涵。最后,</w:t>
      </w:r>
      <w:r>
        <w:rPr>
          <w:rFonts w:hint="eastAsia" w:ascii="宋体" w:hAnsi="宋体" w:eastAsia="宋体" w:cs="宋体"/>
          <w:spacing w:val="15"/>
          <w:sz w:val="21"/>
          <w:szCs w:val="21"/>
        </w:rPr>
        <w:t>教师要具有培养社会主</w:t>
      </w:r>
      <w:r>
        <w:rPr>
          <w:rFonts w:hint="eastAsia" w:ascii="宋体" w:hAnsi="宋体" w:eastAsia="宋体" w:cs="宋体"/>
          <w:spacing w:val="19"/>
          <w:sz w:val="21"/>
          <w:szCs w:val="21"/>
        </w:rPr>
        <w:t>义建设者和接班人的能力。根据学校思想政治教育立德树人根本任务要求,教师</w:t>
      </w:r>
      <w:r>
        <w:rPr>
          <w:rFonts w:hint="eastAsia" w:ascii="宋体" w:hAnsi="宋体" w:eastAsia="宋体" w:cs="宋体"/>
          <w:spacing w:val="20"/>
          <w:sz w:val="21"/>
          <w:szCs w:val="21"/>
        </w:rPr>
        <w:t>需要不断地提升思想政治教育相关的能力、网络思想的价值引导能力、进行思想</w:t>
      </w:r>
      <w:r>
        <w:rPr>
          <w:rFonts w:hint="eastAsia" w:ascii="宋体" w:hAnsi="宋体" w:eastAsia="宋体" w:cs="宋体"/>
          <w:spacing w:val="17"/>
          <w:sz w:val="21"/>
          <w:szCs w:val="21"/>
        </w:rPr>
        <w:t>宣传的工作能力等,避免出现能力不足。</w:t>
      </w:r>
    </w:p>
    <w:p w14:paraId="1D4E8FB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1"/>
          <w:position w:val="1"/>
          <w:sz w:val="21"/>
          <w:szCs w:val="21"/>
        </w:rPr>
        <w:t>(五)教学方法创新</w:t>
      </w:r>
    </w:p>
    <w:p w14:paraId="1B707DC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6"/>
          <w:sz w:val="21"/>
          <w:szCs w:val="21"/>
        </w:rPr>
        <w:t>在高校思想政治理论课教学过程中,提高教学实效</w:t>
      </w:r>
      <w:r>
        <w:rPr>
          <w:rFonts w:hint="eastAsia" w:ascii="宋体" w:hAnsi="宋体" w:eastAsia="宋体" w:cs="宋体"/>
          <w:spacing w:val="15"/>
          <w:sz w:val="21"/>
          <w:szCs w:val="21"/>
        </w:rPr>
        <w:t>性也是重要的目标和举措</w:t>
      </w:r>
      <w:r>
        <w:rPr>
          <w:rFonts w:hint="eastAsia" w:ascii="宋体" w:hAnsi="宋体" w:eastAsia="宋体" w:cs="宋体"/>
          <w:spacing w:val="17"/>
          <w:sz w:val="21"/>
          <w:szCs w:val="21"/>
        </w:rPr>
        <w:t>之一。在具体实施过程中可以通过课堂教学创新、实践育人拓展、课程资源整合</w:t>
      </w:r>
      <w:r>
        <w:rPr>
          <w:rFonts w:hint="eastAsia" w:ascii="宋体" w:hAnsi="宋体" w:eastAsia="宋体" w:cs="宋体"/>
          <w:spacing w:val="13"/>
          <w:sz w:val="21"/>
          <w:szCs w:val="21"/>
        </w:rPr>
        <w:t>等途径,提高学生学习的主动性、积极性。首先,创新教学方法。在伟大建党精</w:t>
      </w:r>
      <w:r>
        <w:rPr>
          <w:rFonts w:hint="eastAsia" w:ascii="宋体" w:hAnsi="宋体" w:eastAsia="宋体" w:cs="宋体"/>
          <w:spacing w:val="15"/>
          <w:sz w:val="21"/>
          <w:szCs w:val="21"/>
        </w:rPr>
        <w:t>神融入高校思想政治理论课的过程中,利用案</w:t>
      </w:r>
      <w:r>
        <w:rPr>
          <w:rFonts w:hint="eastAsia" w:ascii="宋体" w:hAnsi="宋体" w:eastAsia="宋体" w:cs="宋体"/>
          <w:spacing w:val="14"/>
          <w:sz w:val="21"/>
          <w:szCs w:val="21"/>
        </w:rPr>
        <w:t>例教学法、情境教学法等,创新课</w:t>
      </w:r>
      <w:r>
        <w:rPr>
          <w:rFonts w:hint="eastAsia" w:ascii="宋体" w:hAnsi="宋体" w:eastAsia="宋体" w:cs="宋体"/>
          <w:spacing w:val="13"/>
          <w:sz w:val="21"/>
          <w:szCs w:val="21"/>
        </w:rPr>
        <w:t>堂教学方法。例如,借助影视资源具象化伟大建党精神内涵,增强感染力;通过</w:t>
      </w:r>
      <w:r>
        <w:rPr>
          <w:rFonts w:hint="eastAsia" w:ascii="宋体" w:hAnsi="宋体" w:eastAsia="宋体" w:cs="宋体"/>
          <w:spacing w:val="15"/>
          <w:sz w:val="21"/>
          <w:szCs w:val="21"/>
        </w:rPr>
        <w:t>红色故事创演、历史场景还原,增强学生情感</w:t>
      </w:r>
      <w:r>
        <w:rPr>
          <w:rFonts w:hint="eastAsia" w:ascii="宋体" w:hAnsi="宋体" w:eastAsia="宋体" w:cs="宋体"/>
          <w:spacing w:val="14"/>
          <w:sz w:val="21"/>
          <w:szCs w:val="21"/>
        </w:rPr>
        <w:t>共鸣;结合伟大建党精神设计议题</w:t>
      </w:r>
      <w:r>
        <w:rPr>
          <w:rFonts w:hint="eastAsia" w:ascii="宋体" w:hAnsi="宋体" w:eastAsia="宋体" w:cs="宋体"/>
          <w:spacing w:val="13"/>
          <w:sz w:val="21"/>
          <w:szCs w:val="21"/>
        </w:rPr>
        <w:t>讨论,促进知行转化。其次,实践育人拓展。通过组织红色基地研学、党史宣讲</w:t>
      </w:r>
      <w:r>
        <w:rPr>
          <w:rFonts w:hint="eastAsia" w:ascii="宋体" w:hAnsi="宋体" w:eastAsia="宋体" w:cs="宋体"/>
          <w:spacing w:val="-1"/>
          <w:sz w:val="21"/>
          <w:szCs w:val="21"/>
        </w:rPr>
        <w:t>等实践活动,将伟大建党精神内化于心、外化于行;开发“行走的课</w:t>
      </w:r>
      <w:r>
        <w:rPr>
          <w:rFonts w:hint="eastAsia" w:ascii="宋体" w:hAnsi="宋体" w:eastAsia="宋体" w:cs="宋体"/>
          <w:spacing w:val="-2"/>
          <w:sz w:val="21"/>
          <w:szCs w:val="21"/>
        </w:rPr>
        <w:t>堂”,在实</w:t>
      </w:r>
      <w:r>
        <w:rPr>
          <w:rFonts w:hint="eastAsia" w:ascii="宋体" w:hAnsi="宋体" w:eastAsia="宋体" w:cs="宋体"/>
          <w:spacing w:val="16"/>
          <w:sz w:val="21"/>
          <w:szCs w:val="21"/>
        </w:rPr>
        <w:t>景中深化伟大建党精神体悟。最后,课程资源整合。通过建设数字化红色文化素材库,推动伟大建党精神资源与现代教学技术</w:t>
      </w:r>
      <w:r>
        <w:rPr>
          <w:rFonts w:hint="eastAsia" w:ascii="宋体" w:hAnsi="宋体" w:eastAsia="宋体" w:cs="宋体"/>
          <w:spacing w:val="15"/>
          <w:sz w:val="21"/>
          <w:szCs w:val="21"/>
        </w:rPr>
        <w:t>融合;编写融入伟大建党精神的特色教材与实践指南等。</w:t>
      </w:r>
    </w:p>
    <w:p w14:paraId="4282315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52" w:firstLineChars="200"/>
        <w:jc w:val="both"/>
        <w:textAlignment w:val="baseline"/>
        <w:outlineLvl w:val="9"/>
        <w:rPr>
          <w:rFonts w:hint="eastAsia" w:ascii="宋体" w:hAnsi="宋体" w:eastAsia="宋体" w:cs="宋体"/>
          <w:b/>
          <w:bCs/>
          <w:spacing w:val="18"/>
          <w:sz w:val="24"/>
          <w:szCs w:val="24"/>
        </w:rPr>
      </w:pPr>
      <w:r>
        <w:rPr>
          <w:rFonts w:hint="eastAsia" w:ascii="宋体" w:hAnsi="宋体" w:eastAsia="宋体" w:cs="宋体"/>
          <w:b/>
          <w:bCs/>
          <w:spacing w:val="18"/>
          <w:sz w:val="24"/>
          <w:szCs w:val="24"/>
        </w:rPr>
        <w:t>四、结语</w:t>
      </w:r>
    </w:p>
    <w:p w14:paraId="6A8BD72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4918561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outlineLvl w:val="9"/>
        <w:rPr>
          <w:rFonts w:hint="eastAsia" w:ascii="宋体" w:hAnsi="宋体" w:eastAsia="宋体" w:cs="宋体"/>
          <w:sz w:val="21"/>
          <w:szCs w:val="21"/>
        </w:rPr>
      </w:pPr>
      <w:r>
        <w:rPr>
          <w:rFonts w:hint="eastAsia" w:ascii="宋体" w:hAnsi="宋体" w:eastAsia="宋体" w:cs="宋体"/>
          <w:spacing w:val="1"/>
          <w:sz w:val="21"/>
          <w:szCs w:val="21"/>
        </w:rPr>
        <w:t>党的二十届四中全会指出:“文化繁荣兴盛是中国式现代化的</w:t>
      </w:r>
      <w:r>
        <w:rPr>
          <w:rFonts w:hint="eastAsia" w:ascii="宋体" w:hAnsi="宋体" w:eastAsia="宋体" w:cs="宋体"/>
          <w:sz w:val="21"/>
          <w:szCs w:val="21"/>
        </w:rPr>
        <w:t>重要标志。坚</w:t>
      </w:r>
      <w:r>
        <w:rPr>
          <w:rFonts w:hint="eastAsia" w:ascii="宋体" w:hAnsi="宋体" w:eastAsia="宋体" w:cs="宋体"/>
          <w:spacing w:val="16"/>
          <w:sz w:val="21"/>
          <w:szCs w:val="21"/>
        </w:rPr>
        <w:t>持马克思主义在意识形态领域的指导地位,</w:t>
      </w:r>
      <w:r>
        <w:rPr>
          <w:rFonts w:hint="eastAsia" w:ascii="宋体" w:hAnsi="宋体" w:eastAsia="宋体" w:cs="宋体"/>
          <w:spacing w:val="15"/>
          <w:sz w:val="21"/>
          <w:szCs w:val="21"/>
        </w:rPr>
        <w:t>植根博大精深的中华文明,顺应信息</w:t>
      </w:r>
      <w:r>
        <w:rPr>
          <w:rFonts w:hint="eastAsia" w:ascii="宋体" w:hAnsi="宋体" w:eastAsia="宋体" w:cs="宋体"/>
          <w:spacing w:val="13"/>
          <w:sz w:val="21"/>
          <w:szCs w:val="21"/>
        </w:rPr>
        <w:t>技术发展潮流,发展具有强大思想引领力、精神凝聚力、价值感召力、国际影响</w:t>
      </w:r>
      <w:r>
        <w:rPr>
          <w:rFonts w:hint="eastAsia" w:ascii="宋体" w:hAnsi="宋体" w:eastAsia="宋体" w:cs="宋体"/>
          <w:spacing w:val="-3"/>
          <w:sz w:val="21"/>
          <w:szCs w:val="21"/>
        </w:rPr>
        <w:t>力的新时代中国特色社会主义文化,扎实推进文化强国建设。”</w:t>
      </w:r>
      <w:r>
        <w:rPr>
          <w:rStyle w:val="20"/>
          <w:rFonts w:hint="eastAsia" w:ascii="宋体" w:hAnsi="宋体" w:eastAsia="宋体" w:cs="宋体"/>
          <w:spacing w:val="-3"/>
          <w:sz w:val="21"/>
          <w:szCs w:val="21"/>
        </w:rPr>
        <w:footnoteReference w:id="1492"/>
      </w:r>
      <w:r>
        <w:rPr>
          <w:rFonts w:hint="eastAsia" w:ascii="宋体" w:hAnsi="宋体" w:eastAsia="宋体" w:cs="宋体"/>
          <w:spacing w:val="-3"/>
          <w:sz w:val="21"/>
          <w:szCs w:val="21"/>
        </w:rPr>
        <w:t>新时代,中国</w:t>
      </w:r>
      <w:r>
        <w:rPr>
          <w:rFonts w:hint="eastAsia" w:ascii="宋体" w:hAnsi="宋体" w:eastAsia="宋体" w:cs="宋体"/>
          <w:spacing w:val="18"/>
          <w:sz w:val="21"/>
          <w:szCs w:val="21"/>
        </w:rPr>
        <w:t>共产党将马克思主义、中华优秀传统文化与中国的具体现</w:t>
      </w:r>
      <w:r>
        <w:rPr>
          <w:rFonts w:hint="eastAsia" w:ascii="宋体" w:hAnsi="宋体" w:eastAsia="宋体" w:cs="宋体"/>
          <w:spacing w:val="17"/>
          <w:sz w:val="21"/>
          <w:szCs w:val="21"/>
        </w:rPr>
        <w:t>实相结合而形成的中国共产党人精神谱系是革命文化的重要组成部分,也是文化自信的重要内容。高校学生是未来各项事业的主力军,是中国特色社会主义的接班人。伟大建党精神将</w:t>
      </w:r>
      <w:r>
        <w:rPr>
          <w:rFonts w:hint="eastAsia" w:ascii="宋体" w:hAnsi="宋体" w:eastAsia="宋体" w:cs="宋体"/>
          <w:spacing w:val="19"/>
          <w:sz w:val="21"/>
          <w:szCs w:val="21"/>
        </w:rPr>
        <w:t>以中国共产党人精神谱系、不同时代不同行业所表现出的时代精神融</w:t>
      </w:r>
      <w:r>
        <w:rPr>
          <w:rFonts w:hint="eastAsia" w:ascii="宋体" w:hAnsi="宋体" w:eastAsia="宋体" w:cs="宋体"/>
          <w:spacing w:val="18"/>
          <w:sz w:val="21"/>
          <w:szCs w:val="21"/>
        </w:rPr>
        <w:t>入高校思想</w:t>
      </w:r>
      <w:r>
        <w:rPr>
          <w:rFonts w:hint="eastAsia" w:ascii="宋体" w:hAnsi="宋体" w:eastAsia="宋体" w:cs="宋体"/>
          <w:spacing w:val="13"/>
          <w:sz w:val="21"/>
          <w:szCs w:val="21"/>
        </w:rPr>
        <w:t>政治理论课教学,具有紧迫的现实意义。</w:t>
      </w:r>
    </w:p>
    <w:p w14:paraId="5FAAB70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3D34204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67CCBE1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outlineLvl w:val="9"/>
        <w:rPr>
          <w:rFonts w:hint="eastAsia" w:ascii="宋体" w:hAnsi="宋体" w:eastAsia="宋体" w:cs="宋体"/>
          <w:sz w:val="21"/>
          <w:szCs w:val="21"/>
        </w:rPr>
      </w:pPr>
    </w:p>
    <w:p w14:paraId="440F8A43">
      <w:pPr>
        <w:pageBreakBefore w:val="0"/>
        <w:widowControl w:val="0"/>
        <w:kinsoku/>
        <w:wordWrap/>
        <w:overflowPunct/>
        <w:topLinePunct w:val="0"/>
        <w:autoSpaceDE/>
        <w:autoSpaceDN/>
        <w:bidi w:val="0"/>
        <w:adjustRightInd w:val="0"/>
        <w:snapToGrid w:val="0"/>
        <w:spacing w:line="360" w:lineRule="auto"/>
        <w:ind w:left="0" w:leftChars="0" w:firstLine="0" w:firstLineChars="0"/>
        <w:jc w:val="both"/>
        <w:textAlignment w:val="auto"/>
        <w:rPr>
          <w:rFonts w:hint="eastAsia" w:ascii="Times New Roman" w:hAnsi="Times New Roman" w:eastAsia="宋体"/>
          <w:szCs w:val="21"/>
          <w:lang w:val="en-US" w:eastAsia="zh-CN"/>
        </w:rPr>
      </w:pPr>
    </w:p>
    <w:p w14:paraId="54450D6D">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50E06C4A">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szCs w:val="21"/>
          <w:lang w:val="en-US" w:eastAsia="zh-CN"/>
        </w:rPr>
      </w:pPr>
      <w:r>
        <w:rPr>
          <w:rFonts w:hint="eastAsia" w:ascii="Times New Roman" w:hAnsi="Times New Roman"/>
          <w:szCs w:val="21"/>
          <w:lang w:val="en-US" w:eastAsia="zh-CN"/>
        </w:rPr>
        <w:t>（原载</w:t>
      </w:r>
      <w:r>
        <w:rPr>
          <w:rFonts w:hint="eastAsia" w:ascii="Times New Roman" w:hAnsi="Times New Roman" w:eastAsia="宋体"/>
          <w:szCs w:val="21"/>
          <w:lang w:val="en-US" w:eastAsia="zh-CN"/>
        </w:rPr>
        <w:t>《马克思主义文化研究》2026年第1期</w:t>
      </w:r>
      <w:r>
        <w:rPr>
          <w:rFonts w:hint="eastAsia" w:ascii="Times New Roman" w:hAnsi="Times New Roman"/>
          <w:szCs w:val="21"/>
          <w:lang w:val="en-US" w:eastAsia="zh-CN"/>
        </w:rPr>
        <w:t>，第一作者为李立男。）</w:t>
      </w:r>
    </w:p>
    <w:p w14:paraId="69B01F9F">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7404F13E">
      <w:pPr>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szCs w:val="21"/>
          <w:lang w:val="en-US" w:eastAsia="zh-CN"/>
        </w:rPr>
      </w:pPr>
    </w:p>
    <w:p w14:paraId="3D29810A">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Times New Roman" w:hAnsi="Times New Roman" w:eastAsia="宋体"/>
          <w:b/>
          <w:bCs/>
          <w:sz w:val="28"/>
          <w:szCs w:val="28"/>
          <w:lang w:val="en-US" w:eastAsia="zh-CN"/>
        </w:rPr>
      </w:pPr>
      <w:bookmarkStart w:id="1034" w:name="_Toc1236046993"/>
      <w:bookmarkStart w:id="1035" w:name="_Toc653712616"/>
      <w:bookmarkStart w:id="1036" w:name="_Toc20886"/>
      <w:bookmarkStart w:id="1037" w:name="_Toc1864356848"/>
      <w:bookmarkStart w:id="1038" w:name="_Toc94559849"/>
      <w:bookmarkStart w:id="1039" w:name="_Toc2115148232"/>
      <w:r>
        <w:rPr>
          <w:rFonts w:hint="eastAsia" w:ascii="Times New Roman" w:hAnsi="Times New Roman" w:eastAsia="宋体"/>
          <w:b/>
          <w:bCs/>
          <w:sz w:val="28"/>
          <w:szCs w:val="28"/>
          <w:lang w:val="en-US" w:eastAsia="zh-CN"/>
        </w:rPr>
        <w:t>15</w:t>
      </w:r>
      <w:r>
        <w:rPr>
          <w:rFonts w:hint="default" w:ascii="Times New Roman" w:hAnsi="Times New Roman" w:eastAsia="宋体"/>
          <w:b/>
          <w:bCs/>
          <w:sz w:val="28"/>
          <w:szCs w:val="28"/>
          <w:lang w:val="en-US" w:eastAsia="zh-CN"/>
        </w:rPr>
        <w:t>新法西斯主义滋长及其危害论析</w:t>
      </w:r>
      <w:bookmarkEnd w:id="1034"/>
      <w:bookmarkEnd w:id="1035"/>
      <w:bookmarkEnd w:id="1036"/>
      <w:bookmarkEnd w:id="1037"/>
      <w:bookmarkEnd w:id="1038"/>
      <w:bookmarkEnd w:id="1039"/>
    </w:p>
    <w:p w14:paraId="7F8A746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3E55309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3"/>
          <w:sz w:val="21"/>
          <w:szCs w:val="21"/>
        </w:rPr>
        <w:t>[摘要]进入21世纪以来，伴随世界资本主义长期结构性危机，新法西斯主义在美西方</w:t>
      </w:r>
      <w:r>
        <w:rPr>
          <w:rFonts w:hint="eastAsia" w:ascii="宋体" w:hAnsi="宋体" w:eastAsia="宋体" w:cs="宋体"/>
          <w:color w:val="231F20"/>
          <w:spacing w:val="12"/>
          <w:sz w:val="21"/>
          <w:szCs w:val="21"/>
        </w:rPr>
        <w:t>国家呈现滋长态势，主要表现为民主表象下的极权专制、制度化的暴力恐怖、全</w:t>
      </w:r>
      <w:r>
        <w:rPr>
          <w:rFonts w:hint="eastAsia" w:ascii="宋体" w:hAnsi="宋体" w:eastAsia="宋体" w:cs="宋体"/>
          <w:color w:val="231F20"/>
          <w:spacing w:val="11"/>
          <w:sz w:val="21"/>
          <w:szCs w:val="21"/>
        </w:rPr>
        <w:t>方位的侵略扩张以及极端种族主义。</w:t>
      </w:r>
      <w:r>
        <w:rPr>
          <w:rFonts w:hint="eastAsia" w:ascii="宋体" w:hAnsi="宋体" w:eastAsia="宋体" w:cs="宋体"/>
          <w:color w:val="231F20"/>
          <w:spacing w:val="14"/>
          <w:sz w:val="21"/>
          <w:szCs w:val="21"/>
        </w:rPr>
        <w:t>新法西斯主义滋长，不仅加剧了全球两极分化与民主倒</w:t>
      </w:r>
      <w:r>
        <w:rPr>
          <w:rFonts w:hint="eastAsia" w:ascii="宋体" w:hAnsi="宋体" w:eastAsia="宋体" w:cs="宋体"/>
          <w:color w:val="231F20"/>
          <w:spacing w:val="13"/>
          <w:sz w:val="21"/>
          <w:szCs w:val="21"/>
        </w:rPr>
        <w:t>退，更把世界推向爆发新世界大战的边缘。面</w:t>
      </w:r>
      <w:r>
        <w:rPr>
          <w:rFonts w:hint="eastAsia" w:ascii="宋体" w:hAnsi="宋体" w:eastAsia="宋体" w:cs="宋体"/>
          <w:color w:val="231F20"/>
          <w:spacing w:val="11"/>
          <w:sz w:val="21"/>
          <w:szCs w:val="21"/>
        </w:rPr>
        <w:t>对这一严峻挑战，各国共产党、进步力量、全球南方国家及爱好和</w:t>
      </w:r>
      <w:r>
        <w:rPr>
          <w:rFonts w:hint="eastAsia" w:ascii="宋体" w:hAnsi="宋体" w:eastAsia="宋体" w:cs="宋体"/>
          <w:color w:val="231F20"/>
          <w:spacing w:val="10"/>
          <w:sz w:val="21"/>
          <w:szCs w:val="21"/>
        </w:rPr>
        <w:t>平的民众，亟需以人类命运共同体理</w:t>
      </w:r>
      <w:r>
        <w:rPr>
          <w:rFonts w:hint="eastAsia" w:ascii="宋体" w:hAnsi="宋体" w:eastAsia="宋体" w:cs="宋体"/>
          <w:color w:val="231F20"/>
          <w:spacing w:val="13"/>
          <w:sz w:val="21"/>
          <w:szCs w:val="21"/>
        </w:rPr>
        <w:t>念为指引，结成广泛的国际反法西斯统一战线，共同推动建立更</w:t>
      </w:r>
      <w:r>
        <w:rPr>
          <w:rFonts w:hint="eastAsia" w:ascii="宋体" w:hAnsi="宋体" w:eastAsia="宋体" w:cs="宋体"/>
          <w:color w:val="231F20"/>
          <w:spacing w:val="12"/>
          <w:sz w:val="21"/>
          <w:szCs w:val="21"/>
        </w:rPr>
        <w:t>加公正合理的国际政治经济新秩序。</w:t>
      </w:r>
    </w:p>
    <w:p w14:paraId="1A01555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rPr>
          <w:rFonts w:hint="eastAsia" w:ascii="宋体" w:hAnsi="宋体" w:eastAsia="宋体" w:cs="宋体"/>
          <w:color w:val="231F20"/>
          <w:spacing w:val="-3"/>
          <w:sz w:val="21"/>
          <w:szCs w:val="21"/>
        </w:rPr>
      </w:pPr>
      <w:r>
        <w:rPr>
          <w:rFonts w:hint="eastAsia" w:ascii="宋体" w:hAnsi="宋体" w:eastAsia="宋体" w:cs="宋体"/>
          <w:color w:val="231F20"/>
          <w:spacing w:val="-3"/>
          <w:sz w:val="21"/>
          <w:szCs w:val="21"/>
        </w:rPr>
        <w:t>[关键词]新法西斯主义；新自由主义；人类命运共同体</w:t>
      </w:r>
    </w:p>
    <w:p w14:paraId="4692C71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9"/>
          <w:sz w:val="21"/>
          <w:szCs w:val="21"/>
        </w:rPr>
        <w:t>2025年5月，中华人民共和国和俄罗斯联</w:t>
      </w:r>
      <w:r>
        <w:rPr>
          <w:rFonts w:hint="eastAsia" w:ascii="宋体" w:hAnsi="宋体" w:eastAsia="宋体" w:cs="宋体"/>
          <w:color w:val="231F20"/>
          <w:spacing w:val="18"/>
          <w:sz w:val="21"/>
          <w:szCs w:val="21"/>
        </w:rPr>
        <w:t>邦在纪念中国人民抗日战争、苏联伟大卫国</w:t>
      </w:r>
      <w:r>
        <w:rPr>
          <w:rFonts w:hint="eastAsia" w:ascii="宋体" w:hAnsi="宋体" w:eastAsia="宋体" w:cs="宋体"/>
          <w:color w:val="231F20"/>
          <w:spacing w:val="12"/>
          <w:sz w:val="21"/>
          <w:szCs w:val="21"/>
        </w:rPr>
        <w:t>战争胜利和联合国成立80周年之际发表《关</w:t>
      </w:r>
      <w:r>
        <w:rPr>
          <w:rFonts w:hint="eastAsia" w:ascii="宋体" w:hAnsi="宋体" w:eastAsia="宋体" w:cs="宋体"/>
          <w:color w:val="231F20"/>
          <w:spacing w:val="18"/>
          <w:sz w:val="21"/>
          <w:szCs w:val="21"/>
        </w:rPr>
        <w:t>于进一步深化中俄新时代全面战略协作伙伴</w:t>
      </w:r>
      <w:r>
        <w:rPr>
          <w:rFonts w:hint="eastAsia" w:ascii="宋体" w:hAnsi="宋体" w:eastAsia="宋体" w:cs="宋体"/>
          <w:color w:val="231F20"/>
          <w:spacing w:val="-3"/>
          <w:sz w:val="21"/>
          <w:szCs w:val="21"/>
        </w:rPr>
        <w:t>关系的联合声明》，指出：“中国和苏联分别作</w:t>
      </w:r>
      <w:r>
        <w:rPr>
          <w:rFonts w:hint="eastAsia" w:ascii="宋体" w:hAnsi="宋体" w:eastAsia="宋体" w:cs="宋体"/>
          <w:color w:val="231F20"/>
          <w:spacing w:val="18"/>
          <w:sz w:val="21"/>
          <w:szCs w:val="21"/>
        </w:rPr>
        <w:t>为亚洲和欧洲主战场，站在抵御日本军国主义和纳粹德国及其仆从国进攻的最前线，是</w:t>
      </w:r>
      <w:r>
        <w:rPr>
          <w:rFonts w:hint="eastAsia" w:ascii="宋体" w:hAnsi="宋体" w:eastAsia="宋体" w:cs="宋体"/>
          <w:color w:val="231F20"/>
          <w:spacing w:val="30"/>
          <w:sz w:val="21"/>
          <w:szCs w:val="21"/>
        </w:rPr>
        <w:t>抗击军国主义和法西斯主义的两支中坚力</w:t>
      </w:r>
      <w:r>
        <w:rPr>
          <w:rFonts w:hint="eastAsia" w:ascii="宋体" w:hAnsi="宋体" w:eastAsia="宋体" w:cs="宋体"/>
          <w:color w:val="231F20"/>
          <w:spacing w:val="-19"/>
          <w:sz w:val="21"/>
          <w:szCs w:val="21"/>
        </w:rPr>
        <w:t>量。”</w:t>
      </w:r>
      <w:r>
        <w:rPr>
          <w:rFonts w:hint="eastAsia" w:ascii="宋体" w:hAnsi="宋体" w:eastAsia="宋体" w:cs="宋体"/>
          <w:color w:val="231F20"/>
          <w:spacing w:val="7"/>
          <w:position w:val="7"/>
          <w:sz w:val="21"/>
          <w:szCs w:val="21"/>
        </w:rPr>
        <w:t>[1]</w:t>
      </w:r>
      <w:r>
        <w:rPr>
          <w:rFonts w:hint="eastAsia" w:ascii="宋体" w:hAnsi="宋体" w:eastAsia="宋体" w:cs="宋体"/>
          <w:color w:val="231F20"/>
          <w:spacing w:val="7"/>
          <w:sz w:val="21"/>
          <w:szCs w:val="21"/>
        </w:rPr>
        <w:t>九一八事变是日本连续14年全面侵华</w:t>
      </w:r>
      <w:r>
        <w:rPr>
          <w:rFonts w:hint="eastAsia" w:ascii="宋体" w:hAnsi="宋体" w:eastAsia="宋体" w:cs="宋体"/>
          <w:color w:val="231F20"/>
          <w:spacing w:val="10"/>
          <w:sz w:val="21"/>
          <w:szCs w:val="21"/>
        </w:rPr>
        <w:t>的开始，标志着中国和世界反法西斯的开端，</w:t>
      </w:r>
      <w:r>
        <w:rPr>
          <w:rFonts w:hint="eastAsia" w:ascii="宋体" w:hAnsi="宋体" w:eastAsia="宋体" w:cs="宋体"/>
          <w:color w:val="231F20"/>
          <w:spacing w:val="16"/>
          <w:sz w:val="21"/>
          <w:szCs w:val="21"/>
        </w:rPr>
        <w:t>中国成为东方战场第一主力。世界大战的惨</w:t>
      </w:r>
      <w:r>
        <w:rPr>
          <w:rFonts w:hint="eastAsia" w:ascii="宋体" w:hAnsi="宋体" w:eastAsia="宋体" w:cs="宋体"/>
          <w:color w:val="231F20"/>
          <w:spacing w:val="6"/>
          <w:sz w:val="21"/>
          <w:szCs w:val="21"/>
        </w:rPr>
        <w:t>痛教训必须吸取，历史悲剧不能重演。</w:t>
      </w:r>
    </w:p>
    <w:p w14:paraId="0A0E7D0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第二次世界大战后虽然德、意、日法西斯</w:t>
      </w:r>
      <w:r>
        <w:rPr>
          <w:rFonts w:hint="eastAsia" w:ascii="宋体" w:hAnsi="宋体" w:eastAsia="宋体" w:cs="宋体"/>
          <w:color w:val="231F20"/>
          <w:spacing w:val="11"/>
          <w:sz w:val="21"/>
          <w:szCs w:val="21"/>
        </w:rPr>
        <w:t>国家已经覆灭，但法西斯主义并未随之消亡。</w:t>
      </w:r>
      <w:r>
        <w:rPr>
          <w:rFonts w:hint="eastAsia" w:ascii="宋体" w:hAnsi="宋体" w:eastAsia="宋体" w:cs="宋体"/>
          <w:color w:val="231F20"/>
          <w:spacing w:val="5"/>
          <w:sz w:val="21"/>
          <w:szCs w:val="21"/>
        </w:rPr>
        <w:t>进入21世纪，旧法西斯主义与新帝国主义、新</w:t>
      </w:r>
      <w:r>
        <w:rPr>
          <w:rFonts w:hint="eastAsia" w:ascii="宋体" w:hAnsi="宋体" w:eastAsia="宋体" w:cs="宋体"/>
          <w:color w:val="231F20"/>
          <w:spacing w:val="-3"/>
          <w:sz w:val="21"/>
          <w:szCs w:val="21"/>
        </w:rPr>
        <w:t>霸权主义、新殖民主义、新种族主义、新自由主</w:t>
      </w:r>
      <w:r>
        <w:rPr>
          <w:rFonts w:hint="eastAsia" w:ascii="宋体" w:hAnsi="宋体" w:eastAsia="宋体" w:cs="宋体"/>
          <w:color w:val="231F20"/>
          <w:spacing w:val="7"/>
          <w:sz w:val="21"/>
          <w:szCs w:val="21"/>
        </w:rPr>
        <w:t>义相互结合，形成的新法西斯主义雏形“已在</w:t>
      </w:r>
      <w:r>
        <w:rPr>
          <w:rFonts w:hint="eastAsia" w:ascii="宋体" w:hAnsi="宋体" w:eastAsia="宋体" w:cs="宋体"/>
          <w:color w:val="231F20"/>
          <w:spacing w:val="-1"/>
          <w:sz w:val="21"/>
          <w:szCs w:val="21"/>
        </w:rPr>
        <w:t>西方、东方和南方复辟”。</w:t>
      </w:r>
      <w:r>
        <w:rPr>
          <w:rFonts w:hint="eastAsia" w:ascii="宋体" w:hAnsi="宋体" w:eastAsia="宋体" w:cs="宋体"/>
          <w:color w:val="231F20"/>
          <w:spacing w:val="-1"/>
          <w:position w:val="7"/>
          <w:sz w:val="21"/>
          <w:szCs w:val="21"/>
        </w:rPr>
        <w:t>[2]</w:t>
      </w:r>
      <w:r>
        <w:rPr>
          <w:rFonts w:hint="eastAsia" w:ascii="宋体" w:hAnsi="宋体" w:eastAsia="宋体" w:cs="宋体"/>
          <w:color w:val="231F20"/>
          <w:spacing w:val="-1"/>
          <w:sz w:val="21"/>
          <w:szCs w:val="21"/>
        </w:rPr>
        <w:t>随着世界资本主义</w:t>
      </w:r>
      <w:r>
        <w:rPr>
          <w:rFonts w:hint="eastAsia" w:ascii="宋体" w:hAnsi="宋体" w:eastAsia="宋体" w:cs="宋体"/>
          <w:color w:val="231F20"/>
          <w:spacing w:val="7"/>
          <w:sz w:val="21"/>
          <w:szCs w:val="21"/>
        </w:rPr>
        <w:t>陷入长期结构性困境，新法西斯主义在美西方</w:t>
      </w:r>
      <w:r>
        <w:rPr>
          <w:rFonts w:hint="eastAsia" w:ascii="宋体" w:hAnsi="宋体" w:eastAsia="宋体" w:cs="宋体"/>
          <w:color w:val="231F20"/>
          <w:spacing w:val="15"/>
          <w:sz w:val="21"/>
          <w:szCs w:val="21"/>
        </w:rPr>
        <w:t>国家滋长态势更加显著。在多个地区战争阴</w:t>
      </w:r>
      <w:r>
        <w:rPr>
          <w:rFonts w:hint="eastAsia" w:ascii="宋体" w:hAnsi="宋体" w:eastAsia="宋体" w:cs="宋体"/>
          <w:color w:val="231F20"/>
          <w:spacing w:val="7"/>
          <w:sz w:val="21"/>
          <w:szCs w:val="21"/>
        </w:rPr>
        <w:t>云再次笼罩人类的背景下，各国共产党、进步</w:t>
      </w:r>
      <w:r>
        <w:rPr>
          <w:rFonts w:hint="eastAsia" w:ascii="宋体" w:hAnsi="宋体" w:eastAsia="宋体" w:cs="宋体"/>
          <w:color w:val="231F20"/>
          <w:spacing w:val="11"/>
          <w:sz w:val="21"/>
          <w:szCs w:val="21"/>
        </w:rPr>
        <w:t>政党、全球南方国家和一切爱好和平的人们，</w:t>
      </w:r>
      <w:r>
        <w:rPr>
          <w:rFonts w:hint="eastAsia" w:ascii="宋体" w:hAnsi="宋体" w:eastAsia="宋体" w:cs="宋体"/>
          <w:color w:val="231F20"/>
          <w:spacing w:val="18"/>
          <w:sz w:val="21"/>
          <w:szCs w:val="21"/>
        </w:rPr>
        <w:t>有责任团结起来，共同抵抗新法西斯主义威</w:t>
      </w:r>
      <w:r>
        <w:rPr>
          <w:rFonts w:hint="eastAsia" w:ascii="宋体" w:hAnsi="宋体" w:eastAsia="宋体" w:cs="宋体"/>
          <w:color w:val="231F20"/>
          <w:spacing w:val="1"/>
          <w:sz w:val="21"/>
          <w:szCs w:val="21"/>
        </w:rPr>
        <w:t>胁，推动构建人类命运共同体。</w:t>
      </w:r>
    </w:p>
    <w:p w14:paraId="2A3F55F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5807613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宋体" w:hAnsi="宋体" w:eastAsia="宋体" w:cs="宋体"/>
          <w:b/>
          <w:bCs/>
          <w:color w:val="231F20"/>
          <w:spacing w:val="-3"/>
          <w:sz w:val="24"/>
          <w:szCs w:val="24"/>
        </w:rPr>
      </w:pPr>
      <w:r>
        <w:rPr>
          <w:rFonts w:hint="eastAsia" w:ascii="宋体" w:hAnsi="宋体" w:eastAsia="宋体" w:cs="宋体"/>
          <w:b/>
          <w:bCs/>
          <w:color w:val="231F20"/>
          <w:spacing w:val="-3"/>
          <w:sz w:val="24"/>
          <w:szCs w:val="24"/>
        </w:rPr>
        <w:t>一、新法西斯主义滋长的主要表现</w:t>
      </w:r>
    </w:p>
    <w:p w14:paraId="60D9E55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1584757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近年来，新法西斯主义已通过与新自由主</w:t>
      </w:r>
      <w:r>
        <w:rPr>
          <w:rFonts w:hint="eastAsia" w:ascii="宋体" w:hAnsi="宋体" w:eastAsia="宋体" w:cs="宋体"/>
          <w:color w:val="231F20"/>
          <w:spacing w:val="18"/>
          <w:sz w:val="21"/>
          <w:szCs w:val="21"/>
        </w:rPr>
        <w:t>义相结合，“产生了一种独特的经济政治形</w:t>
      </w:r>
      <w:r>
        <w:rPr>
          <w:rFonts w:hint="eastAsia" w:ascii="宋体" w:hAnsi="宋体" w:eastAsia="宋体" w:cs="宋体"/>
          <w:color w:val="231F20"/>
          <w:spacing w:val="-2"/>
          <w:sz w:val="21"/>
          <w:szCs w:val="21"/>
        </w:rPr>
        <w:t>态”，即新自由主义法西斯主义。“新自由</w:t>
      </w:r>
      <w:r>
        <w:rPr>
          <w:rFonts w:hint="eastAsia" w:ascii="宋体" w:hAnsi="宋体" w:eastAsia="宋体" w:cs="宋体"/>
          <w:color w:val="231F20"/>
          <w:spacing w:val="-3"/>
          <w:sz w:val="21"/>
          <w:szCs w:val="21"/>
        </w:rPr>
        <w:t>主义</w:t>
      </w:r>
      <w:r>
        <w:rPr>
          <w:rFonts w:hint="eastAsia" w:ascii="宋体" w:hAnsi="宋体" w:eastAsia="宋体" w:cs="宋体"/>
          <w:color w:val="231F20"/>
          <w:spacing w:val="7"/>
          <w:sz w:val="21"/>
          <w:szCs w:val="21"/>
        </w:rPr>
        <w:t>对民主、共同利益和社会契约的憎恨释放了过</w:t>
      </w:r>
      <w:r>
        <w:rPr>
          <w:rFonts w:hint="eastAsia" w:ascii="宋体" w:hAnsi="宋体" w:eastAsia="宋体" w:cs="宋体"/>
          <w:color w:val="231F20"/>
          <w:spacing w:val="18"/>
          <w:sz w:val="21"/>
          <w:szCs w:val="21"/>
        </w:rPr>
        <w:t>去法西斯主义中的一般元素，如白人至上主</w:t>
      </w:r>
      <w:r>
        <w:rPr>
          <w:rFonts w:hint="eastAsia" w:ascii="宋体" w:hAnsi="宋体" w:eastAsia="宋体" w:cs="宋体"/>
          <w:color w:val="231F20"/>
          <w:spacing w:val="-2"/>
          <w:sz w:val="21"/>
          <w:szCs w:val="21"/>
        </w:rPr>
        <w:t>义、极端民族主义、强烈的厌女主义、反移</w:t>
      </w:r>
      <w:r>
        <w:rPr>
          <w:rFonts w:hint="eastAsia" w:ascii="宋体" w:hAnsi="宋体" w:eastAsia="宋体" w:cs="宋体"/>
          <w:color w:val="231F20"/>
          <w:spacing w:val="-3"/>
          <w:sz w:val="21"/>
          <w:szCs w:val="21"/>
        </w:rPr>
        <w:t>民狂</w:t>
      </w:r>
      <w:r>
        <w:rPr>
          <w:rFonts w:hint="eastAsia" w:ascii="宋体" w:hAnsi="宋体" w:eastAsia="宋体" w:cs="宋体"/>
          <w:color w:val="231F20"/>
          <w:spacing w:val="8"/>
          <w:sz w:val="21"/>
          <w:szCs w:val="21"/>
        </w:rPr>
        <w:t>热”。</w:t>
      </w:r>
      <w:r>
        <w:rPr>
          <w:rFonts w:hint="eastAsia" w:ascii="宋体" w:hAnsi="宋体" w:eastAsia="宋体" w:cs="宋体"/>
          <w:color w:val="231F20"/>
          <w:spacing w:val="8"/>
          <w:position w:val="7"/>
          <w:sz w:val="21"/>
          <w:szCs w:val="21"/>
        </w:rPr>
        <w:t>[3]</w:t>
      </w:r>
      <w:r>
        <w:rPr>
          <w:rFonts w:hint="eastAsia" w:ascii="宋体" w:hAnsi="宋体" w:eastAsia="宋体" w:cs="宋体"/>
          <w:color w:val="231F20"/>
          <w:spacing w:val="8"/>
          <w:sz w:val="21"/>
          <w:szCs w:val="21"/>
        </w:rPr>
        <w:t>作为法西斯主义与新自由主义的结合</w:t>
      </w:r>
      <w:r>
        <w:rPr>
          <w:rFonts w:hint="eastAsia" w:ascii="宋体" w:hAnsi="宋体" w:eastAsia="宋体" w:cs="宋体"/>
          <w:color w:val="231F20"/>
          <w:spacing w:val="7"/>
          <w:sz w:val="21"/>
          <w:szCs w:val="21"/>
        </w:rPr>
        <w:t>体，新法西斯主义通过专制、暴力为新自由主</w:t>
      </w:r>
      <w:r>
        <w:rPr>
          <w:rFonts w:hint="eastAsia" w:ascii="宋体" w:hAnsi="宋体" w:eastAsia="宋体" w:cs="宋体"/>
          <w:color w:val="231F20"/>
          <w:spacing w:val="3"/>
          <w:sz w:val="21"/>
          <w:szCs w:val="21"/>
        </w:rPr>
        <w:t>义全球扩张创造了条件，开辟了路径。</w:t>
      </w:r>
    </w:p>
    <w:p w14:paraId="16AAADE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第一，民主政治上极权专制。与旧法西斯</w:t>
      </w:r>
      <w:r>
        <w:rPr>
          <w:rFonts w:hint="eastAsia" w:ascii="宋体" w:hAnsi="宋体" w:eastAsia="宋体" w:cs="宋体"/>
          <w:color w:val="231F20"/>
          <w:spacing w:val="7"/>
          <w:sz w:val="21"/>
          <w:szCs w:val="21"/>
        </w:rPr>
        <w:t>主义主张领袖独裁、一党专制不同，新法西斯</w:t>
      </w:r>
      <w:r>
        <w:rPr>
          <w:rFonts w:hint="eastAsia" w:ascii="宋体" w:hAnsi="宋体" w:eastAsia="宋体" w:cs="宋体"/>
          <w:color w:val="231F20"/>
          <w:spacing w:val="22"/>
          <w:sz w:val="21"/>
          <w:szCs w:val="21"/>
        </w:rPr>
        <w:t>主义将极权专制掩藏于民主政治表象之下。</w:t>
      </w:r>
      <w:r>
        <w:rPr>
          <w:rFonts w:hint="eastAsia" w:ascii="宋体" w:hAnsi="宋体" w:eastAsia="宋体" w:cs="宋体"/>
          <w:color w:val="231F20"/>
          <w:spacing w:val="7"/>
          <w:sz w:val="21"/>
          <w:szCs w:val="21"/>
        </w:rPr>
        <w:t>第二次世界大战结束后，美西方垄断资本为避免爆发社会主义革命，不得不对劳动阶级做出</w:t>
      </w:r>
      <w:r>
        <w:rPr>
          <w:rFonts w:hint="eastAsia" w:ascii="宋体" w:hAnsi="宋体" w:eastAsia="宋体" w:cs="宋体"/>
          <w:color w:val="231F20"/>
          <w:spacing w:val="15"/>
          <w:sz w:val="21"/>
          <w:szCs w:val="21"/>
        </w:rPr>
        <w:t>策略性让步。劳动阶级经济地位和政治地位</w:t>
      </w:r>
      <w:r>
        <w:rPr>
          <w:rFonts w:hint="eastAsia" w:ascii="宋体" w:hAnsi="宋体" w:eastAsia="宋体" w:cs="宋体"/>
          <w:color w:val="231F20"/>
          <w:spacing w:val="7"/>
          <w:sz w:val="21"/>
          <w:szCs w:val="21"/>
        </w:rPr>
        <w:t>获得较大改善。然而，20世纪80年代新自由主义崛起，西方民主政治愈发走向私人垄断资</w:t>
      </w:r>
      <w:r>
        <w:rPr>
          <w:rFonts w:hint="eastAsia" w:ascii="宋体" w:hAnsi="宋体" w:eastAsia="宋体" w:cs="宋体"/>
          <w:color w:val="231F20"/>
          <w:spacing w:val="4"/>
          <w:sz w:val="21"/>
          <w:szCs w:val="21"/>
        </w:rPr>
        <w:t>本专制。20世纪90年代，美国总统克林顿、英</w:t>
      </w:r>
      <w:r>
        <w:rPr>
          <w:rFonts w:hint="eastAsia" w:ascii="宋体" w:hAnsi="宋体" w:eastAsia="宋体" w:cs="宋体"/>
          <w:color w:val="231F20"/>
          <w:spacing w:val="7"/>
          <w:sz w:val="21"/>
          <w:szCs w:val="21"/>
        </w:rPr>
        <w:t>国首相布莱尔、德国总理施罗德、法国总理若</w:t>
      </w:r>
      <w:r>
        <w:rPr>
          <w:rFonts w:hint="eastAsia" w:ascii="宋体" w:hAnsi="宋体" w:eastAsia="宋体" w:cs="宋体"/>
          <w:color w:val="231F20"/>
          <w:spacing w:val="-3"/>
          <w:sz w:val="21"/>
          <w:szCs w:val="21"/>
        </w:rPr>
        <w:t>斯潘等鼓吹的“新第三条道路”运动，又带有明</w:t>
      </w:r>
      <w:r>
        <w:rPr>
          <w:rFonts w:hint="eastAsia" w:ascii="宋体" w:hAnsi="宋体" w:eastAsia="宋体" w:cs="宋体"/>
          <w:color w:val="231F20"/>
          <w:spacing w:val="7"/>
          <w:sz w:val="21"/>
          <w:szCs w:val="21"/>
        </w:rPr>
        <w:t>显的新自由主义色彩，美西方工党、社会党等传统资产阶级左翼政党因此集体性右转，事实</w:t>
      </w:r>
      <w:r>
        <w:rPr>
          <w:rFonts w:hint="eastAsia" w:ascii="宋体" w:hAnsi="宋体" w:eastAsia="宋体" w:cs="宋体"/>
          <w:color w:val="231F20"/>
          <w:spacing w:val="21"/>
          <w:sz w:val="21"/>
          <w:szCs w:val="21"/>
        </w:rPr>
        <w:t>上彻底放弃了以公有制为基础的奋斗目标</w:t>
      </w:r>
    </w:p>
    <w:p w14:paraId="2DCEA31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结果是，在美西方国家垄断资本专制打压下，</w:t>
      </w:r>
      <w:r>
        <w:rPr>
          <w:rFonts w:hint="eastAsia" w:ascii="宋体" w:hAnsi="宋体" w:eastAsia="宋体" w:cs="宋体"/>
          <w:color w:val="231F20"/>
          <w:spacing w:val="24"/>
          <w:sz w:val="21"/>
          <w:szCs w:val="21"/>
        </w:rPr>
        <w:t>劳动阶级政党力量很弱，迫使劳动阶级不得</w:t>
      </w:r>
      <w:r>
        <w:rPr>
          <w:rFonts w:hint="eastAsia" w:ascii="宋体" w:hAnsi="宋体" w:eastAsia="宋体" w:cs="宋体"/>
          <w:color w:val="231F20"/>
          <w:spacing w:val="6"/>
          <w:sz w:val="21"/>
          <w:szCs w:val="21"/>
        </w:rPr>
        <w:t>不在若干资产阶级政党间“两害相权取其</w:t>
      </w:r>
      <w:r>
        <w:rPr>
          <w:rFonts w:hint="eastAsia" w:ascii="宋体" w:hAnsi="宋体" w:eastAsia="宋体" w:cs="宋体"/>
          <w:color w:val="231F20"/>
          <w:spacing w:val="24"/>
          <w:sz w:val="21"/>
          <w:szCs w:val="21"/>
        </w:rPr>
        <w:t>轻”。正如美国著名经济学家斯蒂格利茨所</w:t>
      </w:r>
      <w:r>
        <w:rPr>
          <w:rFonts w:hint="eastAsia" w:ascii="宋体" w:hAnsi="宋体" w:eastAsia="宋体" w:cs="宋体"/>
          <w:color w:val="231F20"/>
          <w:spacing w:val="11"/>
          <w:sz w:val="21"/>
          <w:szCs w:val="21"/>
        </w:rPr>
        <w:t>言，美国的民主政治，不过是1%富人的民有、</w:t>
      </w:r>
      <w:r>
        <w:rPr>
          <w:rFonts w:hint="eastAsia" w:ascii="宋体" w:hAnsi="宋体" w:eastAsia="宋体" w:cs="宋体"/>
          <w:color w:val="231F20"/>
          <w:spacing w:val="13"/>
          <w:sz w:val="21"/>
          <w:szCs w:val="21"/>
        </w:rPr>
        <w:t>民治、民享。“所有美国参议员和大多数众议</w:t>
      </w:r>
      <w:r>
        <w:rPr>
          <w:rFonts w:hint="eastAsia" w:ascii="宋体" w:hAnsi="宋体" w:eastAsia="宋体" w:cs="宋体"/>
          <w:color w:val="231F20"/>
          <w:spacing w:val="10"/>
          <w:sz w:val="21"/>
          <w:szCs w:val="21"/>
        </w:rPr>
        <w:t>员赴任时都属于金字塔尖1%者的跟班。”</w:t>
      </w:r>
      <w:r>
        <w:rPr>
          <w:rFonts w:hint="eastAsia" w:ascii="宋体" w:hAnsi="宋体" w:eastAsia="宋体" w:cs="宋体"/>
          <w:color w:val="231F20"/>
          <w:spacing w:val="10"/>
          <w:position w:val="8"/>
          <w:sz w:val="21"/>
          <w:szCs w:val="21"/>
        </w:rPr>
        <w:t>[4]</w:t>
      </w:r>
      <w:r>
        <w:rPr>
          <w:rFonts w:hint="eastAsia" w:ascii="宋体" w:hAnsi="宋体" w:eastAsia="宋体" w:cs="宋体"/>
          <w:color w:val="231F20"/>
          <w:spacing w:val="10"/>
          <w:sz w:val="21"/>
          <w:szCs w:val="21"/>
        </w:rPr>
        <w:t>垄</w:t>
      </w:r>
      <w:r>
        <w:rPr>
          <w:rFonts w:hint="eastAsia" w:ascii="宋体" w:hAnsi="宋体" w:eastAsia="宋体" w:cs="宋体"/>
          <w:color w:val="231F20"/>
          <w:spacing w:val="28"/>
          <w:sz w:val="21"/>
          <w:szCs w:val="21"/>
        </w:rPr>
        <w:t>断资本对于选举的操控多样化且组织严密，</w:t>
      </w:r>
      <w:r>
        <w:rPr>
          <w:rFonts w:hint="eastAsia" w:ascii="宋体" w:hAnsi="宋体" w:eastAsia="宋体" w:cs="宋体"/>
          <w:color w:val="231F20"/>
          <w:spacing w:val="22"/>
          <w:sz w:val="21"/>
          <w:szCs w:val="21"/>
        </w:rPr>
        <w:t>政治权力越来越集中到寡头资本手中。寡头</w:t>
      </w:r>
      <w:r>
        <w:rPr>
          <w:rFonts w:hint="eastAsia" w:ascii="宋体" w:hAnsi="宋体" w:eastAsia="宋体" w:cs="宋体"/>
          <w:color w:val="231F20"/>
          <w:spacing w:val="24"/>
          <w:sz w:val="21"/>
          <w:szCs w:val="21"/>
        </w:rPr>
        <w:t>资本通过选派代言人、双向资助候选人甚至</w:t>
      </w:r>
      <w:r>
        <w:rPr>
          <w:rFonts w:hint="eastAsia" w:ascii="宋体" w:hAnsi="宋体" w:eastAsia="宋体" w:cs="宋体"/>
          <w:color w:val="231F20"/>
          <w:spacing w:val="13"/>
          <w:sz w:val="21"/>
          <w:szCs w:val="21"/>
        </w:rPr>
        <w:t>亲自出马等方式，确保不论谁当选，都充分保</w:t>
      </w:r>
      <w:r>
        <w:rPr>
          <w:rFonts w:hint="eastAsia" w:ascii="宋体" w:hAnsi="宋体" w:eastAsia="宋体" w:cs="宋体"/>
          <w:color w:val="231F20"/>
          <w:spacing w:val="20"/>
          <w:sz w:val="21"/>
          <w:szCs w:val="21"/>
        </w:rPr>
        <w:t>证自己利益最大化。在寡头资本操作下，多</w:t>
      </w:r>
      <w:r>
        <w:rPr>
          <w:rFonts w:hint="eastAsia" w:ascii="宋体" w:hAnsi="宋体" w:eastAsia="宋体" w:cs="宋体"/>
          <w:color w:val="231F20"/>
          <w:spacing w:val="21"/>
          <w:sz w:val="21"/>
          <w:szCs w:val="21"/>
        </w:rPr>
        <w:t>党竞选成为欺骗民众的假戏。正如美国学者</w:t>
      </w:r>
      <w:r>
        <w:rPr>
          <w:rFonts w:hint="eastAsia" w:ascii="宋体" w:hAnsi="宋体" w:eastAsia="宋体" w:cs="宋体"/>
          <w:color w:val="231F20"/>
          <w:spacing w:val="13"/>
          <w:sz w:val="21"/>
          <w:szCs w:val="21"/>
        </w:rPr>
        <w:t>谢尔登·沃林在《民主大公司——被管制的民主和反向极权主义的幽灵》一书中所说，垄断</w:t>
      </w:r>
      <w:r>
        <w:rPr>
          <w:rFonts w:hint="eastAsia" w:ascii="宋体" w:hAnsi="宋体" w:eastAsia="宋体" w:cs="宋体"/>
          <w:color w:val="231F20"/>
          <w:spacing w:val="28"/>
          <w:sz w:val="21"/>
          <w:szCs w:val="21"/>
        </w:rPr>
        <w:t>资本控制下的民主是一种颠倒的极权主义。</w:t>
      </w:r>
      <w:r>
        <w:rPr>
          <w:rFonts w:hint="eastAsia" w:ascii="宋体" w:hAnsi="宋体" w:eastAsia="宋体" w:cs="宋体"/>
          <w:color w:val="231F20"/>
          <w:spacing w:val="10"/>
          <w:sz w:val="21"/>
          <w:szCs w:val="21"/>
        </w:rPr>
        <w:t>“‘颠倒极权主义’的主要目标不是保障公民</w:t>
      </w:r>
      <w:r>
        <w:rPr>
          <w:rFonts w:hint="eastAsia" w:ascii="宋体" w:hAnsi="宋体" w:eastAsia="宋体" w:cs="宋体"/>
          <w:color w:val="231F20"/>
          <w:spacing w:val="13"/>
          <w:sz w:val="21"/>
          <w:szCs w:val="21"/>
        </w:rPr>
        <w:t>利益，它掏空了民主的实质，制造出一个个民</w:t>
      </w:r>
      <w:r>
        <w:rPr>
          <w:rFonts w:hint="eastAsia" w:ascii="宋体" w:hAnsi="宋体" w:eastAsia="宋体" w:cs="宋体"/>
          <w:color w:val="231F20"/>
          <w:sz w:val="21"/>
          <w:szCs w:val="21"/>
        </w:rPr>
        <w:t>主神话，以此掩盖自己的权力扩张。”</w:t>
      </w:r>
      <w:r>
        <w:rPr>
          <w:rFonts w:hint="eastAsia" w:ascii="宋体" w:hAnsi="宋体" w:eastAsia="宋体" w:cs="宋体"/>
          <w:color w:val="231F20"/>
          <w:position w:val="7"/>
          <w:sz w:val="21"/>
          <w:szCs w:val="21"/>
        </w:rPr>
        <w:t>[5]</w:t>
      </w:r>
    </w:p>
    <w:p w14:paraId="265C094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第二，统治手段暴力恐怖。无论新旧法西斯主义，都始终与暴力恐怖紧密相连。暴力镇</w:t>
      </w:r>
      <w:r>
        <w:rPr>
          <w:rFonts w:hint="eastAsia" w:ascii="宋体" w:hAnsi="宋体" w:eastAsia="宋体" w:cs="宋体"/>
          <w:color w:val="231F20"/>
          <w:spacing w:val="-2"/>
          <w:sz w:val="21"/>
          <w:szCs w:val="21"/>
        </w:rPr>
        <w:t>压、暗杀行刺、全面监控等法西斯手段，不但被</w:t>
      </w:r>
      <w:r>
        <w:rPr>
          <w:rFonts w:hint="eastAsia" w:ascii="宋体" w:hAnsi="宋体" w:eastAsia="宋体" w:cs="宋体"/>
          <w:color w:val="231F20"/>
          <w:spacing w:val="7"/>
          <w:sz w:val="21"/>
          <w:szCs w:val="21"/>
        </w:rPr>
        <w:t>垄断资本用来对付劳动人民、左翼人士、被压迫民族和国家，而且被用来对付资产阶级内部</w:t>
      </w:r>
      <w:r>
        <w:rPr>
          <w:rFonts w:hint="eastAsia" w:ascii="宋体" w:hAnsi="宋体" w:eastAsia="宋体" w:cs="宋体"/>
          <w:color w:val="231F20"/>
          <w:spacing w:val="12"/>
          <w:sz w:val="21"/>
          <w:szCs w:val="21"/>
        </w:rPr>
        <w:t>不同政见者。无论20世纪80年代英国煤炭工</w:t>
      </w:r>
      <w:r>
        <w:rPr>
          <w:rFonts w:hint="eastAsia" w:ascii="宋体" w:hAnsi="宋体" w:eastAsia="宋体" w:cs="宋体"/>
          <w:color w:val="231F20"/>
          <w:spacing w:val="5"/>
          <w:sz w:val="21"/>
          <w:szCs w:val="21"/>
        </w:rPr>
        <w:t>人大罢工、2011年美国占领华尔街运动，还是</w:t>
      </w:r>
      <w:r>
        <w:rPr>
          <w:rFonts w:hint="eastAsia" w:ascii="宋体" w:hAnsi="宋体" w:eastAsia="宋体" w:cs="宋体"/>
          <w:color w:val="231F20"/>
          <w:spacing w:val="7"/>
          <w:sz w:val="21"/>
          <w:szCs w:val="21"/>
        </w:rPr>
        <w:t>2018年法国黄马甲运动，最终无不遭军警暴力</w:t>
      </w:r>
      <w:r>
        <w:rPr>
          <w:rFonts w:hint="eastAsia" w:ascii="宋体" w:hAnsi="宋体" w:eastAsia="宋体" w:cs="宋体"/>
          <w:color w:val="231F20"/>
          <w:spacing w:val="15"/>
          <w:sz w:val="21"/>
          <w:szCs w:val="21"/>
        </w:rPr>
        <w:t>镇压而失败。暗杀行刺等恐怖主义行为也从</w:t>
      </w:r>
      <w:r>
        <w:rPr>
          <w:rFonts w:hint="eastAsia" w:ascii="宋体" w:hAnsi="宋体" w:eastAsia="宋体" w:cs="宋体"/>
          <w:color w:val="231F20"/>
          <w:spacing w:val="17"/>
          <w:sz w:val="21"/>
          <w:szCs w:val="21"/>
        </w:rPr>
        <w:t>未被排除在新法西斯主义工具箱之外。美西</w:t>
      </w:r>
      <w:r>
        <w:rPr>
          <w:rFonts w:hint="eastAsia" w:ascii="宋体" w:hAnsi="宋体" w:eastAsia="宋体" w:cs="宋体"/>
          <w:color w:val="231F20"/>
          <w:spacing w:val="18"/>
          <w:sz w:val="21"/>
          <w:szCs w:val="21"/>
        </w:rPr>
        <w:t>方霸权国家长期对社会主义国家领导人和左</w:t>
      </w:r>
      <w:r>
        <w:rPr>
          <w:rFonts w:hint="eastAsia" w:ascii="宋体" w:hAnsi="宋体" w:eastAsia="宋体" w:cs="宋体"/>
          <w:color w:val="231F20"/>
          <w:spacing w:val="4"/>
          <w:sz w:val="21"/>
          <w:szCs w:val="21"/>
        </w:rPr>
        <w:t>翼领导人开展投毒、暗杀等活动。1986年基金</w:t>
      </w:r>
      <w:r>
        <w:rPr>
          <w:rFonts w:hint="eastAsia" w:ascii="宋体" w:hAnsi="宋体" w:eastAsia="宋体" w:cs="宋体"/>
          <w:color w:val="231F20"/>
          <w:spacing w:val="7"/>
          <w:sz w:val="21"/>
          <w:szCs w:val="21"/>
        </w:rPr>
        <w:t>社会主义重要倡导者、瑞典首相帕尔梅因触动</w:t>
      </w:r>
      <w:r>
        <w:rPr>
          <w:rFonts w:hint="eastAsia" w:ascii="宋体" w:hAnsi="宋体" w:eastAsia="宋体" w:cs="宋体"/>
          <w:color w:val="231F20"/>
          <w:spacing w:val="17"/>
          <w:sz w:val="21"/>
          <w:szCs w:val="21"/>
        </w:rPr>
        <w:t>垄断资本利益而遇刺身亡。他生前主张并在</w:t>
      </w:r>
      <w:r>
        <w:rPr>
          <w:rFonts w:hint="eastAsia" w:ascii="宋体" w:hAnsi="宋体" w:eastAsia="宋体" w:cs="宋体"/>
          <w:color w:val="231F20"/>
          <w:spacing w:val="11"/>
          <w:sz w:val="21"/>
          <w:szCs w:val="21"/>
        </w:rPr>
        <w:t>议会通过组建工人基金收购公司股份的议案，</w:t>
      </w:r>
      <w:r>
        <w:rPr>
          <w:rFonts w:hint="eastAsia" w:ascii="宋体" w:hAnsi="宋体" w:eastAsia="宋体" w:cs="宋体"/>
          <w:color w:val="231F20"/>
          <w:spacing w:val="12"/>
          <w:sz w:val="21"/>
          <w:szCs w:val="21"/>
        </w:rPr>
        <w:t>无人再敢提出实施。2011年美国占领华尔街</w:t>
      </w:r>
      <w:r>
        <w:rPr>
          <w:rFonts w:hint="eastAsia" w:ascii="宋体" w:hAnsi="宋体" w:eastAsia="宋体" w:cs="宋体"/>
          <w:color w:val="231F20"/>
          <w:spacing w:val="7"/>
          <w:sz w:val="21"/>
          <w:szCs w:val="21"/>
        </w:rPr>
        <w:t>运动，多名领导者更是死于非命，成了无头悬</w:t>
      </w:r>
      <w:r>
        <w:rPr>
          <w:rFonts w:hint="eastAsia" w:ascii="宋体" w:hAnsi="宋体" w:eastAsia="宋体" w:cs="宋体"/>
          <w:color w:val="231F20"/>
          <w:spacing w:val="-16"/>
          <w:sz w:val="21"/>
          <w:szCs w:val="21"/>
        </w:rPr>
        <w:t>案。“911事件”后，美国通过《爱国者法》，赋予</w:t>
      </w:r>
      <w:r>
        <w:rPr>
          <w:rFonts w:hint="eastAsia" w:ascii="宋体" w:hAnsi="宋体" w:eastAsia="宋体" w:cs="宋体"/>
          <w:color w:val="231F20"/>
          <w:spacing w:val="7"/>
          <w:sz w:val="21"/>
          <w:szCs w:val="21"/>
        </w:rPr>
        <w:t>政府对电话、邮件等公民隐私实行全面监控权</w:t>
      </w:r>
      <w:r>
        <w:rPr>
          <w:rFonts w:hint="eastAsia" w:ascii="宋体" w:hAnsi="宋体" w:eastAsia="宋体" w:cs="宋体"/>
          <w:color w:val="231F20"/>
          <w:spacing w:val="6"/>
          <w:sz w:val="21"/>
          <w:szCs w:val="21"/>
        </w:rPr>
        <w:t>利。美国《涉外情报监视法》允许本国执法人</w:t>
      </w:r>
      <w:r>
        <w:rPr>
          <w:rFonts w:hint="eastAsia" w:ascii="宋体" w:hAnsi="宋体" w:eastAsia="宋体" w:cs="宋体"/>
          <w:color w:val="231F20"/>
          <w:spacing w:val="7"/>
          <w:sz w:val="21"/>
          <w:szCs w:val="21"/>
        </w:rPr>
        <w:t>员在未经法院许可情况下，对外国目标实施监</w:t>
      </w:r>
      <w:r>
        <w:rPr>
          <w:rFonts w:hint="eastAsia" w:ascii="宋体" w:hAnsi="宋体" w:eastAsia="宋体" w:cs="宋体"/>
          <w:color w:val="231F20"/>
          <w:spacing w:val="6"/>
          <w:sz w:val="21"/>
          <w:szCs w:val="21"/>
        </w:rPr>
        <w:t>控。美国对外国公民，特别是对外国国家领导</w:t>
      </w:r>
      <w:r>
        <w:rPr>
          <w:rFonts w:hint="eastAsia" w:ascii="宋体" w:hAnsi="宋体" w:eastAsia="宋体" w:cs="宋体"/>
          <w:color w:val="231F20"/>
          <w:spacing w:val="7"/>
          <w:sz w:val="21"/>
          <w:szCs w:val="21"/>
        </w:rPr>
        <w:t>人的监控，甚至达到肆无忌惮地步，即便一些</w:t>
      </w:r>
      <w:r>
        <w:rPr>
          <w:rFonts w:hint="eastAsia" w:ascii="宋体" w:hAnsi="宋体" w:eastAsia="宋体" w:cs="宋体"/>
          <w:color w:val="231F20"/>
          <w:spacing w:val="33"/>
          <w:sz w:val="21"/>
          <w:szCs w:val="21"/>
        </w:rPr>
        <w:t>盟国政府首脑也未能幸免于被监听命运。</w:t>
      </w:r>
      <w:r>
        <w:rPr>
          <w:rFonts w:hint="eastAsia" w:ascii="宋体" w:hAnsi="宋体" w:eastAsia="宋体" w:cs="宋体"/>
          <w:color w:val="231F20"/>
          <w:spacing w:val="5"/>
          <w:sz w:val="21"/>
          <w:szCs w:val="21"/>
        </w:rPr>
        <w:t>2024年9月，以色列通过遥控引爆寻呼机、对</w:t>
      </w:r>
      <w:r>
        <w:rPr>
          <w:rFonts w:hint="eastAsia" w:ascii="宋体" w:hAnsi="宋体" w:eastAsia="宋体" w:cs="宋体"/>
          <w:color w:val="231F20"/>
          <w:spacing w:val="11"/>
          <w:sz w:val="21"/>
          <w:szCs w:val="21"/>
        </w:rPr>
        <w:t>讲机方式，在黎巴嫩造成数以千计平民伤亡。</w:t>
      </w:r>
      <w:r>
        <w:rPr>
          <w:rFonts w:hint="eastAsia" w:ascii="宋体" w:hAnsi="宋体" w:eastAsia="宋体" w:cs="宋体"/>
          <w:color w:val="231F20"/>
          <w:spacing w:val="7"/>
          <w:sz w:val="21"/>
          <w:szCs w:val="21"/>
        </w:rPr>
        <w:t>如此向民用设施、无差别人群实施暴力恐怖活</w:t>
      </w:r>
      <w:r>
        <w:rPr>
          <w:rFonts w:hint="eastAsia" w:ascii="宋体" w:hAnsi="宋体" w:eastAsia="宋体" w:cs="宋体"/>
          <w:color w:val="231F20"/>
          <w:spacing w:val="2"/>
          <w:sz w:val="21"/>
          <w:szCs w:val="21"/>
        </w:rPr>
        <w:t>动，展示了赤裸裸的国家恐怖主义。</w:t>
      </w:r>
    </w:p>
    <w:p w14:paraId="5143B0D4">
      <w:pPr>
        <w:pStyle w:val="6"/>
        <w:keepNext w:val="0"/>
        <w:keepLines w:val="0"/>
        <w:pageBreakBefore w:val="0"/>
        <w:widowControl/>
        <w:tabs>
          <w:tab w:val="left" w:pos="1651"/>
        </w:tabs>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第三，对外关系上侵略扩张。法西斯主义</w:t>
      </w:r>
      <w:r>
        <w:rPr>
          <w:rFonts w:hint="eastAsia" w:ascii="宋体" w:hAnsi="宋体" w:eastAsia="宋体" w:cs="宋体"/>
          <w:color w:val="231F20"/>
          <w:spacing w:val="18"/>
          <w:sz w:val="21"/>
          <w:szCs w:val="21"/>
        </w:rPr>
        <w:t>一贯与军国主义紧密相连，主张通过侵略扩</w:t>
      </w:r>
      <w:r>
        <w:rPr>
          <w:rFonts w:hint="eastAsia" w:ascii="宋体" w:hAnsi="宋体" w:eastAsia="宋体" w:cs="宋体"/>
          <w:color w:val="231F20"/>
          <w:spacing w:val="6"/>
          <w:sz w:val="21"/>
          <w:szCs w:val="21"/>
        </w:rPr>
        <w:t>张，赢得所谓生存空间。新法西斯主义采取包</w:t>
      </w:r>
      <w:r>
        <w:rPr>
          <w:rFonts w:hint="eastAsia" w:ascii="宋体" w:hAnsi="宋体" w:eastAsia="宋体" w:cs="宋体"/>
          <w:color w:val="231F20"/>
          <w:spacing w:val="1"/>
          <w:sz w:val="21"/>
          <w:szCs w:val="21"/>
        </w:rPr>
        <w:t>括政变颠覆、军事打击、金融掠夺等多种手段，</w:t>
      </w:r>
      <w:r>
        <w:rPr>
          <w:rFonts w:hint="eastAsia" w:ascii="宋体" w:hAnsi="宋体" w:eastAsia="宋体" w:cs="宋体"/>
          <w:color w:val="231F20"/>
          <w:spacing w:val="4"/>
          <w:sz w:val="21"/>
          <w:szCs w:val="21"/>
        </w:rPr>
        <w:t>对他国实行多方位侵略和掠夺。1973年，美国</w:t>
      </w:r>
      <w:r>
        <w:rPr>
          <w:rFonts w:hint="eastAsia" w:ascii="宋体" w:hAnsi="宋体" w:eastAsia="宋体" w:cs="宋体"/>
          <w:color w:val="231F20"/>
          <w:spacing w:val="7"/>
          <w:sz w:val="21"/>
          <w:szCs w:val="21"/>
        </w:rPr>
        <w:t>通过支持皮诺切特发动军事政变，颠覆了智利</w:t>
      </w:r>
      <w:r>
        <w:rPr>
          <w:rFonts w:hint="eastAsia" w:ascii="宋体" w:hAnsi="宋体" w:eastAsia="宋体" w:cs="宋体"/>
          <w:color w:val="231F20"/>
          <w:spacing w:val="6"/>
          <w:sz w:val="21"/>
          <w:szCs w:val="21"/>
        </w:rPr>
        <w:t>阿连德政府。皮诺切特上台后，一方面对左翼</w:t>
      </w:r>
      <w:r>
        <w:rPr>
          <w:rFonts w:hint="eastAsia" w:ascii="宋体" w:hAnsi="宋体" w:eastAsia="宋体" w:cs="宋体"/>
          <w:color w:val="231F20"/>
          <w:spacing w:val="7"/>
          <w:sz w:val="21"/>
          <w:szCs w:val="21"/>
        </w:rPr>
        <w:t>进步势力大开杀戒，杀害了数万左翼人士；另</w:t>
      </w:r>
      <w:r>
        <w:rPr>
          <w:rFonts w:hint="eastAsia" w:ascii="宋体" w:hAnsi="宋体" w:eastAsia="宋体" w:cs="宋体"/>
          <w:color w:val="231F20"/>
          <w:spacing w:val="11"/>
          <w:sz w:val="21"/>
          <w:szCs w:val="21"/>
        </w:rPr>
        <w:t>一方面积极配合美国，推进新自由主义改革。</w:t>
      </w:r>
      <w:r>
        <w:rPr>
          <w:rFonts w:hint="eastAsia" w:ascii="宋体" w:hAnsi="宋体" w:eastAsia="宋体" w:cs="宋体"/>
          <w:color w:val="231F20"/>
          <w:spacing w:val="18"/>
          <w:sz w:val="21"/>
          <w:szCs w:val="21"/>
        </w:rPr>
        <w:t>皮诺切特独裁统治凸显了新法西斯主义残酷</w:t>
      </w:r>
      <w:r>
        <w:rPr>
          <w:rFonts w:hint="eastAsia" w:ascii="宋体" w:hAnsi="宋体" w:eastAsia="宋体" w:cs="宋体"/>
          <w:color w:val="231F20"/>
          <w:spacing w:val="11"/>
          <w:sz w:val="21"/>
          <w:szCs w:val="21"/>
        </w:rPr>
        <w:t>本质。1983年美国悍然入侵主权国家格林纳</w:t>
      </w:r>
      <w:r>
        <w:rPr>
          <w:rFonts w:hint="eastAsia" w:ascii="宋体" w:hAnsi="宋体" w:eastAsia="宋体" w:cs="宋体"/>
          <w:color w:val="231F20"/>
          <w:spacing w:val="3"/>
          <w:sz w:val="21"/>
          <w:szCs w:val="21"/>
        </w:rPr>
        <w:t>达，使其成为“被保护国”。20世纪9</w:t>
      </w:r>
      <w:r>
        <w:rPr>
          <w:rFonts w:hint="eastAsia" w:ascii="宋体" w:hAnsi="宋体" w:eastAsia="宋体" w:cs="宋体"/>
          <w:color w:val="231F20"/>
          <w:spacing w:val="2"/>
          <w:sz w:val="21"/>
          <w:szCs w:val="21"/>
        </w:rPr>
        <w:t>0年代以</w:t>
      </w:r>
      <w:r>
        <w:rPr>
          <w:rFonts w:hint="eastAsia" w:ascii="宋体" w:hAnsi="宋体" w:eastAsia="宋体" w:cs="宋体"/>
          <w:color w:val="231F20"/>
          <w:spacing w:val="-2"/>
          <w:sz w:val="21"/>
          <w:szCs w:val="21"/>
        </w:rPr>
        <w:t>来，美国先后发动了海湾战争、利比亚战争、阿富汗战争、科索沃战争、叙利亚战争、伊拉克战</w:t>
      </w:r>
      <w:r>
        <w:rPr>
          <w:rFonts w:hint="eastAsia" w:ascii="宋体" w:hAnsi="宋体" w:eastAsia="宋体" w:cs="宋体"/>
          <w:color w:val="231F20"/>
          <w:spacing w:val="4"/>
          <w:sz w:val="21"/>
          <w:szCs w:val="21"/>
        </w:rPr>
        <w:t>争、伊朗战争等一系列局部战争。仅2001年至</w:t>
      </w:r>
      <w:r>
        <w:rPr>
          <w:rFonts w:hint="eastAsia" w:ascii="宋体" w:hAnsi="宋体" w:eastAsia="宋体" w:cs="宋体"/>
          <w:color w:val="231F20"/>
          <w:spacing w:val="5"/>
          <w:sz w:val="21"/>
          <w:szCs w:val="21"/>
        </w:rPr>
        <w:t>2023年间，“美国以反恐之名发动的战争和军</w:t>
      </w:r>
      <w:r>
        <w:rPr>
          <w:rFonts w:hint="eastAsia" w:ascii="宋体" w:hAnsi="宋体" w:eastAsia="宋体" w:cs="宋体"/>
          <w:color w:val="231F20"/>
          <w:spacing w:val="3"/>
          <w:sz w:val="21"/>
          <w:szCs w:val="21"/>
        </w:rPr>
        <w:t>事行动已造成超过90万人死亡，其中约有33.5</w:t>
      </w:r>
      <w:r>
        <w:rPr>
          <w:rFonts w:hint="eastAsia" w:ascii="宋体" w:hAnsi="宋体" w:eastAsia="宋体" w:cs="宋体"/>
          <w:color w:val="231F20"/>
          <w:spacing w:val="16"/>
          <w:sz w:val="21"/>
          <w:szCs w:val="21"/>
        </w:rPr>
        <w:t>万是平民，数百万人受伤，数千万人流离失</w:t>
      </w:r>
      <w:r>
        <w:rPr>
          <w:rFonts w:hint="eastAsia" w:ascii="宋体" w:hAnsi="宋体" w:eastAsia="宋体" w:cs="宋体"/>
          <w:color w:val="231F20"/>
          <w:spacing w:val="-1"/>
          <w:sz w:val="21"/>
          <w:szCs w:val="21"/>
        </w:rPr>
        <w:t>所”。</w:t>
      </w:r>
      <w:r>
        <w:rPr>
          <w:rFonts w:hint="eastAsia" w:ascii="宋体" w:hAnsi="宋体" w:eastAsia="宋体" w:cs="宋体"/>
          <w:color w:val="231F20"/>
          <w:spacing w:val="-1"/>
          <w:position w:val="7"/>
          <w:sz w:val="21"/>
          <w:szCs w:val="21"/>
        </w:rPr>
        <w:t>[6]</w:t>
      </w:r>
      <w:r>
        <w:rPr>
          <w:rFonts w:hint="eastAsia" w:ascii="宋体" w:hAnsi="宋体" w:eastAsia="宋体" w:cs="宋体"/>
          <w:color w:val="231F20"/>
          <w:spacing w:val="-1"/>
          <w:sz w:val="21"/>
          <w:szCs w:val="21"/>
        </w:rPr>
        <w:t>美国不仅从侵略战争中大发横财，而且</w:t>
      </w:r>
      <w:r>
        <w:rPr>
          <w:rFonts w:hint="eastAsia" w:ascii="宋体" w:hAnsi="宋体" w:eastAsia="宋体" w:cs="宋体"/>
          <w:color w:val="231F20"/>
          <w:spacing w:val="7"/>
          <w:sz w:val="21"/>
          <w:szCs w:val="21"/>
        </w:rPr>
        <w:t>通过军事恐吓，为新自由主义全球推广打开了</w:t>
      </w:r>
      <w:r>
        <w:rPr>
          <w:rFonts w:hint="eastAsia" w:ascii="宋体" w:hAnsi="宋体" w:eastAsia="宋体" w:cs="宋体"/>
          <w:color w:val="231F20"/>
          <w:spacing w:val="5"/>
          <w:sz w:val="21"/>
          <w:szCs w:val="21"/>
        </w:rPr>
        <w:t>方便之门。除军事侵略外，国际垄断资本还通</w:t>
      </w:r>
      <w:r>
        <w:rPr>
          <w:rFonts w:hint="eastAsia" w:ascii="宋体" w:hAnsi="宋体" w:eastAsia="宋体" w:cs="宋体"/>
          <w:color w:val="231F20"/>
          <w:spacing w:val="2"/>
          <w:sz w:val="21"/>
          <w:szCs w:val="21"/>
        </w:rPr>
        <w:t>过经济、金融霸权大肆掠夺他国财富。自20世</w:t>
      </w:r>
      <w:r>
        <w:rPr>
          <w:rFonts w:hint="eastAsia" w:ascii="宋体" w:hAnsi="宋体" w:eastAsia="宋体" w:cs="宋体"/>
          <w:color w:val="231F20"/>
          <w:spacing w:val="5"/>
          <w:sz w:val="21"/>
          <w:szCs w:val="21"/>
        </w:rPr>
        <w:t>纪80年代以来，新自由主义全球扩张接连引发</w:t>
      </w:r>
      <w:r>
        <w:rPr>
          <w:rFonts w:hint="eastAsia" w:ascii="宋体" w:hAnsi="宋体" w:eastAsia="宋体" w:cs="宋体"/>
          <w:color w:val="231F20"/>
          <w:spacing w:val="8"/>
          <w:sz w:val="21"/>
          <w:szCs w:val="21"/>
        </w:rPr>
        <w:t>了包括拉美金融危机、东南亚金融危机、俄罗</w:t>
      </w:r>
      <w:r>
        <w:rPr>
          <w:rFonts w:hint="eastAsia" w:ascii="宋体" w:hAnsi="宋体" w:eastAsia="宋体" w:cs="宋体"/>
          <w:color w:val="231F20"/>
          <w:spacing w:val="5"/>
          <w:sz w:val="21"/>
          <w:szCs w:val="21"/>
        </w:rPr>
        <w:t>斯金融危机、纳斯达克股灾、2008年美西方金</w:t>
      </w:r>
      <w:r>
        <w:rPr>
          <w:rFonts w:hint="eastAsia" w:ascii="宋体" w:hAnsi="宋体" w:eastAsia="宋体" w:cs="宋体"/>
          <w:color w:val="231F20"/>
          <w:spacing w:val="16"/>
          <w:sz w:val="21"/>
          <w:szCs w:val="21"/>
        </w:rPr>
        <w:t>融危机等在内的多次金融危机。在每次金融</w:t>
      </w:r>
      <w:r>
        <w:rPr>
          <w:rFonts w:hint="eastAsia" w:ascii="宋体" w:hAnsi="宋体" w:eastAsia="宋体" w:cs="宋体"/>
          <w:color w:val="231F20"/>
          <w:spacing w:val="8"/>
          <w:sz w:val="21"/>
          <w:szCs w:val="21"/>
        </w:rPr>
        <w:t>危机中，以索罗斯为代表的西方金融投机资本赚得盆满钵满，而危机发生国政府则不得不以经济主权、政治主权为代价，换取美西方国家所谓金融援助。</w:t>
      </w:r>
    </w:p>
    <w:p w14:paraId="043E998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21"/>
          <w:sz w:val="21"/>
          <w:szCs w:val="21"/>
        </w:rPr>
        <w:t>第四，民族关系上极端化与种族主义。</w:t>
      </w:r>
      <w:r>
        <w:rPr>
          <w:rFonts w:hint="eastAsia" w:ascii="宋体" w:hAnsi="宋体" w:eastAsia="宋体" w:cs="宋体"/>
          <w:color w:val="231F20"/>
          <w:spacing w:val="24"/>
          <w:sz w:val="21"/>
          <w:szCs w:val="21"/>
        </w:rPr>
        <w:t>新法西斯主义与旧法西斯主义一样奉行极端</w:t>
      </w:r>
      <w:r>
        <w:rPr>
          <w:rFonts w:hint="eastAsia" w:ascii="宋体" w:hAnsi="宋体" w:eastAsia="宋体" w:cs="宋体"/>
          <w:color w:val="231F20"/>
          <w:spacing w:val="13"/>
          <w:sz w:val="21"/>
          <w:szCs w:val="21"/>
        </w:rPr>
        <w:t>民族主义、种族主义，且采取的方式更加隐蔽</w:t>
      </w:r>
      <w:r>
        <w:rPr>
          <w:rFonts w:hint="eastAsia" w:ascii="宋体" w:hAnsi="宋体" w:eastAsia="宋体" w:cs="宋体"/>
          <w:color w:val="231F20"/>
          <w:spacing w:val="14"/>
          <w:sz w:val="21"/>
          <w:szCs w:val="21"/>
        </w:rPr>
        <w:t>和多样。在美国，虽然平权法案已颁布多年，</w:t>
      </w:r>
      <w:r>
        <w:rPr>
          <w:rFonts w:hint="eastAsia" w:ascii="宋体" w:hAnsi="宋体" w:eastAsia="宋体" w:cs="宋体"/>
          <w:color w:val="231F20"/>
          <w:spacing w:val="24"/>
          <w:sz w:val="21"/>
          <w:szCs w:val="21"/>
        </w:rPr>
        <w:t>但黑人和非白种裔人至今无法真正享有与白</w:t>
      </w:r>
      <w:r>
        <w:rPr>
          <w:rFonts w:hint="eastAsia" w:ascii="宋体" w:hAnsi="宋体" w:eastAsia="宋体" w:cs="宋体"/>
          <w:color w:val="231F20"/>
          <w:spacing w:val="32"/>
          <w:sz w:val="21"/>
          <w:szCs w:val="21"/>
        </w:rPr>
        <w:t>人相同的公民权利。黑人随时有被警察审</w:t>
      </w:r>
      <w:r>
        <w:rPr>
          <w:rFonts w:hint="eastAsia" w:ascii="宋体" w:hAnsi="宋体" w:eastAsia="宋体" w:cs="宋体"/>
          <w:color w:val="231F20"/>
          <w:spacing w:val="21"/>
          <w:sz w:val="21"/>
          <w:szCs w:val="21"/>
        </w:rPr>
        <w:t>查、扣押甚至击毙的危险，因此爆发了包括</w:t>
      </w:r>
      <w:r>
        <w:rPr>
          <w:rFonts w:hint="eastAsia" w:ascii="宋体" w:hAnsi="宋体" w:eastAsia="宋体" w:cs="宋体"/>
          <w:color w:val="231F20"/>
          <w:spacing w:val="11"/>
          <w:sz w:val="21"/>
          <w:szCs w:val="21"/>
        </w:rPr>
        <w:t>“黑人的命也是命”在内多起全国范围黑人大</w:t>
      </w:r>
      <w:r>
        <w:rPr>
          <w:rFonts w:hint="eastAsia" w:ascii="宋体" w:hAnsi="宋体" w:eastAsia="宋体" w:cs="宋体"/>
          <w:color w:val="231F20"/>
          <w:spacing w:val="20"/>
          <w:sz w:val="21"/>
          <w:szCs w:val="21"/>
        </w:rPr>
        <w:t>规模抗议活动。除种族歧视外，新法西斯主</w:t>
      </w:r>
      <w:r>
        <w:rPr>
          <w:rFonts w:hint="eastAsia" w:ascii="宋体" w:hAnsi="宋体" w:eastAsia="宋体" w:cs="宋体"/>
          <w:color w:val="231F20"/>
          <w:spacing w:val="13"/>
          <w:sz w:val="21"/>
          <w:szCs w:val="21"/>
        </w:rPr>
        <w:t>义还利用农业转基因技术、疫苗、生化武器等</w:t>
      </w:r>
      <w:r>
        <w:rPr>
          <w:rFonts w:hint="eastAsia" w:ascii="宋体" w:hAnsi="宋体" w:eastAsia="宋体" w:cs="宋体"/>
          <w:color w:val="231F20"/>
          <w:spacing w:val="19"/>
          <w:sz w:val="21"/>
          <w:szCs w:val="21"/>
        </w:rPr>
        <w:t>隐蔽方式，达到削减和控制人口目的。以美</w:t>
      </w:r>
      <w:r>
        <w:rPr>
          <w:rFonts w:hint="eastAsia" w:ascii="宋体" w:hAnsi="宋体" w:eastAsia="宋体" w:cs="宋体"/>
          <w:color w:val="231F20"/>
          <w:spacing w:val="24"/>
          <w:sz w:val="21"/>
          <w:szCs w:val="21"/>
        </w:rPr>
        <w:t>国孟山都为代表的转基因公司，几十年来在</w:t>
      </w:r>
      <w:r>
        <w:rPr>
          <w:rFonts w:hint="eastAsia" w:ascii="宋体" w:hAnsi="宋体" w:eastAsia="宋体" w:cs="宋体"/>
          <w:color w:val="231F20"/>
          <w:spacing w:val="28"/>
          <w:sz w:val="21"/>
          <w:szCs w:val="21"/>
        </w:rPr>
        <w:t>全球大力推广存在安全隐患的转基因作物。</w:t>
      </w:r>
      <w:r>
        <w:rPr>
          <w:rFonts w:hint="eastAsia" w:ascii="宋体" w:hAnsi="宋体" w:eastAsia="宋体" w:cs="宋体"/>
          <w:color w:val="231F20"/>
          <w:spacing w:val="24"/>
          <w:sz w:val="21"/>
          <w:szCs w:val="21"/>
        </w:rPr>
        <w:t>在阿根廷，大规模生产转基因大豆导致土地</w:t>
      </w:r>
      <w:r>
        <w:rPr>
          <w:rFonts w:hint="eastAsia" w:ascii="宋体" w:hAnsi="宋体" w:eastAsia="宋体" w:cs="宋体"/>
          <w:color w:val="231F20"/>
          <w:spacing w:val="-1"/>
          <w:sz w:val="21"/>
          <w:szCs w:val="21"/>
        </w:rPr>
        <w:t>兼并、生态退化和饥荒，使贫困人口激增。</w:t>
      </w:r>
      <w:r>
        <w:rPr>
          <w:rFonts w:hint="eastAsia" w:ascii="宋体" w:hAnsi="宋体" w:eastAsia="宋体" w:cs="宋体"/>
          <w:color w:val="231F20"/>
          <w:spacing w:val="9"/>
          <w:sz w:val="21"/>
          <w:szCs w:val="21"/>
        </w:rPr>
        <w:t>“1970年，阿根廷贫困线以下的人口仅占5%，</w:t>
      </w:r>
      <w:r>
        <w:rPr>
          <w:rFonts w:hint="eastAsia" w:ascii="宋体" w:hAnsi="宋体" w:eastAsia="宋体" w:cs="宋体"/>
          <w:color w:val="231F20"/>
          <w:spacing w:val="6"/>
          <w:sz w:val="21"/>
          <w:szCs w:val="21"/>
        </w:rPr>
        <w:t>但到2002年上升至51%。”</w:t>
      </w:r>
      <w:r>
        <w:rPr>
          <w:rFonts w:hint="eastAsia" w:ascii="宋体" w:hAnsi="宋体" w:eastAsia="宋体" w:cs="宋体"/>
          <w:color w:val="231F20"/>
          <w:spacing w:val="6"/>
          <w:position w:val="7"/>
          <w:sz w:val="21"/>
          <w:szCs w:val="21"/>
        </w:rPr>
        <w:t>[7]</w:t>
      </w:r>
    </w:p>
    <w:p w14:paraId="07843C0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1DB9036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宋体" w:hAnsi="宋体" w:eastAsia="宋体" w:cs="宋体"/>
          <w:b/>
          <w:bCs/>
          <w:color w:val="231F20"/>
          <w:spacing w:val="-3"/>
          <w:sz w:val="24"/>
          <w:szCs w:val="24"/>
        </w:rPr>
      </w:pPr>
      <w:r>
        <w:rPr>
          <w:rFonts w:hint="eastAsia" w:ascii="宋体" w:hAnsi="宋体" w:eastAsia="宋体" w:cs="宋体"/>
          <w:b/>
          <w:bCs/>
          <w:color w:val="231F20"/>
          <w:spacing w:val="-3"/>
          <w:sz w:val="24"/>
          <w:szCs w:val="24"/>
        </w:rPr>
        <w:t>二、新法西斯主义滋长的原因</w:t>
      </w:r>
    </w:p>
    <w:p w14:paraId="48B3EFB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5F7085A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学界普遍认为，新自由主义的失败为法西</w:t>
      </w:r>
      <w:r>
        <w:rPr>
          <w:rFonts w:hint="eastAsia" w:ascii="宋体" w:hAnsi="宋体" w:eastAsia="宋体" w:cs="宋体"/>
          <w:color w:val="231F20"/>
          <w:spacing w:val="6"/>
          <w:sz w:val="21"/>
          <w:szCs w:val="21"/>
        </w:rPr>
        <w:t>斯主义崛起创造了社会条件。然而，新法西斯</w:t>
      </w:r>
      <w:r>
        <w:rPr>
          <w:rFonts w:hint="eastAsia" w:ascii="宋体" w:hAnsi="宋体" w:eastAsia="宋体" w:cs="宋体"/>
          <w:color w:val="231F20"/>
          <w:spacing w:val="7"/>
          <w:sz w:val="21"/>
          <w:szCs w:val="21"/>
        </w:rPr>
        <w:t>主义滋长，不仅与新自由主义失败，更与新自</w:t>
      </w:r>
      <w:r>
        <w:rPr>
          <w:rFonts w:hint="eastAsia" w:ascii="宋体" w:hAnsi="宋体" w:eastAsia="宋体" w:cs="宋体"/>
          <w:color w:val="231F20"/>
          <w:spacing w:val="6"/>
          <w:sz w:val="21"/>
          <w:szCs w:val="21"/>
        </w:rPr>
        <w:t>由主义全球横行有关。在本质上，法西斯主义</w:t>
      </w:r>
      <w:r>
        <w:rPr>
          <w:rFonts w:hint="eastAsia" w:ascii="宋体" w:hAnsi="宋体" w:eastAsia="宋体" w:cs="宋体"/>
          <w:color w:val="231F20"/>
          <w:spacing w:val="18"/>
          <w:sz w:val="21"/>
          <w:szCs w:val="21"/>
        </w:rPr>
        <w:t>与新自由主义都是服务于垄断资本的统治工</w:t>
      </w:r>
      <w:r>
        <w:rPr>
          <w:rFonts w:hint="eastAsia" w:ascii="宋体" w:hAnsi="宋体" w:eastAsia="宋体" w:cs="宋体"/>
          <w:color w:val="231F20"/>
          <w:spacing w:val="6"/>
          <w:sz w:val="21"/>
          <w:szCs w:val="21"/>
        </w:rPr>
        <w:t>具。法西斯主义“是以极权制取代民主制的反</w:t>
      </w:r>
      <w:r>
        <w:rPr>
          <w:rFonts w:hint="eastAsia" w:ascii="宋体" w:hAnsi="宋体" w:eastAsia="宋体" w:cs="宋体"/>
          <w:color w:val="231F20"/>
          <w:spacing w:val="1"/>
          <w:sz w:val="21"/>
          <w:szCs w:val="21"/>
        </w:rPr>
        <w:t>共、反社会主义、反民主主义的恐怖独裁统治，</w:t>
      </w:r>
      <w:r>
        <w:rPr>
          <w:rFonts w:hint="eastAsia" w:ascii="宋体" w:hAnsi="宋体" w:eastAsia="宋体" w:cs="宋体"/>
          <w:color w:val="231F20"/>
          <w:spacing w:val="2"/>
          <w:position w:val="-1"/>
          <w:sz w:val="21"/>
          <w:szCs w:val="21"/>
        </w:rPr>
        <w:t>是资产阶级专政的极端形式”。</w:t>
      </w:r>
      <w:r>
        <w:rPr>
          <w:rFonts w:hint="eastAsia" w:ascii="宋体" w:hAnsi="宋体" w:eastAsia="宋体" w:cs="宋体"/>
          <w:color w:val="231F20"/>
          <w:spacing w:val="2"/>
          <w:position w:val="7"/>
          <w:sz w:val="21"/>
          <w:szCs w:val="21"/>
        </w:rPr>
        <w:t>[8](p.10)</w:t>
      </w:r>
      <w:r>
        <w:rPr>
          <w:rFonts w:hint="eastAsia" w:ascii="宋体" w:hAnsi="宋体" w:eastAsia="宋体" w:cs="宋体"/>
          <w:color w:val="231F20"/>
          <w:spacing w:val="2"/>
          <w:position w:val="-1"/>
          <w:sz w:val="21"/>
          <w:szCs w:val="21"/>
        </w:rPr>
        <w:t>阶级利益</w:t>
      </w:r>
      <w:r>
        <w:rPr>
          <w:rFonts w:hint="eastAsia" w:ascii="宋体" w:hAnsi="宋体" w:eastAsia="宋体" w:cs="宋体"/>
          <w:color w:val="231F20"/>
          <w:spacing w:val="18"/>
          <w:sz w:val="21"/>
          <w:szCs w:val="21"/>
        </w:rPr>
        <w:t>的一致性使新法西斯主义得到垄断资本“青</w:t>
      </w:r>
      <w:r>
        <w:rPr>
          <w:rFonts w:hint="eastAsia" w:ascii="宋体" w:hAnsi="宋体" w:eastAsia="宋体" w:cs="宋体"/>
          <w:color w:val="231F20"/>
          <w:spacing w:val="7"/>
          <w:sz w:val="21"/>
          <w:szCs w:val="21"/>
        </w:rPr>
        <w:t>睐”，因而得到代表垄断资本利益的新自由主</w:t>
      </w:r>
      <w:r>
        <w:rPr>
          <w:rFonts w:hint="eastAsia" w:ascii="宋体" w:hAnsi="宋体" w:eastAsia="宋体" w:cs="宋体"/>
          <w:color w:val="231F20"/>
          <w:spacing w:val="6"/>
          <w:sz w:val="21"/>
          <w:szCs w:val="21"/>
        </w:rPr>
        <w:t>义支持。米尔顿·弗里德曼曾对智利独裁统治</w:t>
      </w:r>
      <w:r>
        <w:rPr>
          <w:rFonts w:hint="eastAsia" w:ascii="宋体" w:hAnsi="宋体" w:eastAsia="宋体" w:cs="宋体"/>
          <w:color w:val="231F20"/>
          <w:spacing w:val="7"/>
          <w:sz w:val="21"/>
          <w:szCs w:val="21"/>
        </w:rPr>
        <w:t>者皮诺切特推行新自由主义给予高度评价，认</w:t>
      </w:r>
      <w:r>
        <w:rPr>
          <w:rFonts w:hint="eastAsia" w:ascii="宋体" w:hAnsi="宋体" w:eastAsia="宋体" w:cs="宋体"/>
          <w:color w:val="231F20"/>
          <w:spacing w:val="6"/>
          <w:sz w:val="21"/>
          <w:szCs w:val="21"/>
        </w:rPr>
        <w:t>为其创造了“智利奇迹”。哈耶克将《自由宪</w:t>
      </w:r>
      <w:r>
        <w:rPr>
          <w:rFonts w:hint="eastAsia" w:ascii="宋体" w:hAnsi="宋体" w:eastAsia="宋体" w:cs="宋体"/>
          <w:color w:val="231F20"/>
          <w:spacing w:val="7"/>
          <w:sz w:val="21"/>
          <w:szCs w:val="21"/>
        </w:rPr>
        <w:t>章》送给西班牙独裁统治者安东尼奥·萨拉查并附言：“这本关于宪法新原则的导言性随笔可以助你一臂之力，制定出一部能抵制滥用民</w:t>
      </w:r>
      <w:r>
        <w:rPr>
          <w:rFonts w:hint="eastAsia" w:ascii="宋体" w:hAnsi="宋体" w:eastAsia="宋体" w:cs="宋体"/>
          <w:color w:val="231F20"/>
          <w:spacing w:val="-8"/>
          <w:sz w:val="21"/>
          <w:szCs w:val="21"/>
        </w:rPr>
        <w:t>主的宪法。”</w:t>
      </w:r>
      <w:r>
        <w:rPr>
          <w:rFonts w:hint="eastAsia" w:ascii="宋体" w:hAnsi="宋体" w:eastAsia="宋体" w:cs="宋体"/>
          <w:color w:val="231F20"/>
          <w:spacing w:val="-4"/>
          <w:position w:val="7"/>
          <w:sz w:val="21"/>
          <w:szCs w:val="21"/>
        </w:rPr>
        <w:t>[9](p.52)</w:t>
      </w:r>
      <w:r>
        <w:rPr>
          <w:rFonts w:hint="eastAsia" w:ascii="宋体" w:hAnsi="宋体" w:eastAsia="宋体" w:cs="宋体"/>
          <w:color w:val="231F20"/>
          <w:spacing w:val="-4"/>
          <w:sz w:val="21"/>
          <w:szCs w:val="21"/>
        </w:rPr>
        <w:t>这两位新自由主义重要</w:t>
      </w:r>
      <w:r>
        <w:rPr>
          <w:rFonts w:hint="eastAsia" w:ascii="宋体" w:hAnsi="宋体" w:eastAsia="宋体" w:cs="宋体"/>
          <w:color w:val="231F20"/>
          <w:spacing w:val="-5"/>
          <w:sz w:val="21"/>
          <w:szCs w:val="21"/>
        </w:rPr>
        <w:t>代表人</w:t>
      </w:r>
      <w:r>
        <w:rPr>
          <w:rFonts w:hint="eastAsia" w:ascii="宋体" w:hAnsi="宋体" w:eastAsia="宋体" w:cs="宋体"/>
          <w:color w:val="231F20"/>
          <w:spacing w:val="7"/>
          <w:sz w:val="21"/>
          <w:szCs w:val="21"/>
        </w:rPr>
        <w:t>物对法西斯主义独裁者赞美有加，充分体现了</w:t>
      </w:r>
      <w:r>
        <w:rPr>
          <w:rFonts w:hint="eastAsia" w:ascii="宋体" w:hAnsi="宋体" w:eastAsia="宋体" w:cs="宋体"/>
          <w:color w:val="231F20"/>
          <w:spacing w:val="15"/>
          <w:sz w:val="21"/>
          <w:szCs w:val="21"/>
        </w:rPr>
        <w:t>新自由主义与新法西斯主义的勾连。这正是</w:t>
      </w:r>
      <w:r>
        <w:rPr>
          <w:rFonts w:hint="eastAsia" w:ascii="宋体" w:hAnsi="宋体" w:eastAsia="宋体" w:cs="宋体"/>
          <w:color w:val="231F20"/>
          <w:spacing w:val="9"/>
          <w:sz w:val="21"/>
          <w:szCs w:val="21"/>
        </w:rPr>
        <w:t>新法西斯主义滋长的根本原因。</w:t>
      </w:r>
    </w:p>
    <w:p w14:paraId="04A504E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第一，打击社会主义运动。20世纪70年代末，随着经济实力恢复和增长，战后美西方</w:t>
      </w:r>
      <w:r>
        <w:rPr>
          <w:rFonts w:hint="eastAsia" w:ascii="宋体" w:hAnsi="宋体" w:eastAsia="宋体" w:cs="宋体"/>
          <w:color w:val="231F20"/>
          <w:spacing w:val="18"/>
          <w:sz w:val="21"/>
          <w:szCs w:val="21"/>
        </w:rPr>
        <w:t>垄断资本越来越无法忍受政府对资本和市场</w:t>
      </w:r>
      <w:r>
        <w:rPr>
          <w:rFonts w:hint="eastAsia" w:ascii="宋体" w:hAnsi="宋体" w:eastAsia="宋体" w:cs="宋体"/>
          <w:color w:val="231F20"/>
          <w:spacing w:val="15"/>
          <w:sz w:val="21"/>
          <w:szCs w:val="21"/>
        </w:rPr>
        <w:t>的管制。它们既需在理论上用新自由主义替</w:t>
      </w:r>
      <w:r>
        <w:rPr>
          <w:rFonts w:hint="eastAsia" w:ascii="宋体" w:hAnsi="宋体" w:eastAsia="宋体" w:cs="宋体"/>
          <w:color w:val="231F20"/>
          <w:spacing w:val="7"/>
          <w:sz w:val="21"/>
          <w:szCs w:val="21"/>
        </w:rPr>
        <w:t>换掉凯恩斯主义，又要在行动上打击劳动组织</w:t>
      </w:r>
      <w:r>
        <w:rPr>
          <w:rFonts w:hint="eastAsia" w:ascii="宋体" w:hAnsi="宋体" w:eastAsia="宋体" w:cs="宋体"/>
          <w:color w:val="231F20"/>
          <w:spacing w:val="6"/>
          <w:sz w:val="21"/>
          <w:szCs w:val="21"/>
        </w:rPr>
        <w:t>和劳动运动。在这样的背景下，新自由主义强势崛起，逐渐成为美西方主流意识形态。新自</w:t>
      </w:r>
      <w:r>
        <w:rPr>
          <w:rFonts w:hint="eastAsia" w:ascii="宋体" w:hAnsi="宋体" w:eastAsia="宋体" w:cs="宋体"/>
          <w:color w:val="231F20"/>
          <w:spacing w:val="7"/>
          <w:sz w:val="21"/>
          <w:szCs w:val="21"/>
        </w:rPr>
        <w:t>由主义改变了资本积累模式，加速了垄断资本</w:t>
      </w:r>
      <w:r>
        <w:rPr>
          <w:rFonts w:hint="eastAsia" w:ascii="宋体" w:hAnsi="宋体" w:eastAsia="宋体" w:cs="宋体"/>
          <w:color w:val="231F20"/>
          <w:spacing w:val="12"/>
          <w:sz w:val="21"/>
          <w:szCs w:val="21"/>
        </w:rPr>
        <w:t>积累进程。新自由主义主张“小政府、大市</w:t>
      </w:r>
      <w:r>
        <w:rPr>
          <w:rFonts w:hint="eastAsia" w:ascii="宋体" w:hAnsi="宋体" w:eastAsia="宋体" w:cs="宋体"/>
          <w:color w:val="231F20"/>
          <w:spacing w:val="7"/>
          <w:sz w:val="21"/>
          <w:szCs w:val="21"/>
        </w:rPr>
        <w:t>场”，一方面通过大幅度削减税收让利于资本家，另一方面削减公共福利待遇、逃避社会责</w:t>
      </w:r>
      <w:r>
        <w:rPr>
          <w:rFonts w:hint="eastAsia" w:ascii="宋体" w:hAnsi="宋体" w:eastAsia="宋体" w:cs="宋体"/>
          <w:color w:val="231F20"/>
          <w:spacing w:val="5"/>
          <w:sz w:val="21"/>
          <w:szCs w:val="21"/>
        </w:rPr>
        <w:t>任。新自由主义“劫贫济富”的做法进一步加</w:t>
      </w:r>
      <w:r>
        <w:rPr>
          <w:rFonts w:hint="eastAsia" w:ascii="宋体" w:hAnsi="宋体" w:eastAsia="宋体" w:cs="宋体"/>
          <w:color w:val="231F20"/>
          <w:spacing w:val="7"/>
          <w:sz w:val="21"/>
          <w:szCs w:val="21"/>
        </w:rPr>
        <w:t>大了资本主义社会的贫富两极分化，引发劳动</w:t>
      </w:r>
      <w:r>
        <w:rPr>
          <w:rFonts w:hint="eastAsia" w:ascii="宋体" w:hAnsi="宋体" w:eastAsia="宋体" w:cs="宋体"/>
          <w:color w:val="231F20"/>
          <w:spacing w:val="15"/>
          <w:sz w:val="21"/>
          <w:szCs w:val="21"/>
        </w:rPr>
        <w:t>阶级强烈反对。面对劳动阶级日益高涨的反</w:t>
      </w:r>
      <w:r>
        <w:rPr>
          <w:rFonts w:hint="eastAsia" w:ascii="宋体" w:hAnsi="宋体" w:eastAsia="宋体" w:cs="宋体"/>
          <w:color w:val="231F20"/>
          <w:spacing w:val="-18"/>
          <w:sz w:val="21"/>
          <w:szCs w:val="21"/>
        </w:rPr>
        <w:t>抗情绪，垄断资本撕下“民主”“自由”的假面具，</w:t>
      </w:r>
      <w:r>
        <w:rPr>
          <w:rFonts w:hint="eastAsia" w:ascii="宋体" w:hAnsi="宋体" w:eastAsia="宋体" w:cs="宋体"/>
          <w:color w:val="231F20"/>
          <w:spacing w:val="6"/>
          <w:sz w:val="21"/>
          <w:szCs w:val="21"/>
        </w:rPr>
        <w:t>露出法西斯主义暴力真面目。在新法西斯主义</w:t>
      </w:r>
      <w:r>
        <w:rPr>
          <w:rFonts w:hint="eastAsia" w:ascii="宋体" w:hAnsi="宋体" w:eastAsia="宋体" w:cs="宋体"/>
          <w:color w:val="231F20"/>
          <w:spacing w:val="-2"/>
          <w:sz w:val="21"/>
          <w:szCs w:val="21"/>
        </w:rPr>
        <w:t>打击下，劳动组织、劳动运动遭到严重削弱，社</w:t>
      </w:r>
      <w:r>
        <w:rPr>
          <w:rFonts w:hint="eastAsia" w:ascii="宋体" w:hAnsi="宋体" w:eastAsia="宋体" w:cs="宋体"/>
          <w:color w:val="231F20"/>
          <w:spacing w:val="6"/>
          <w:sz w:val="21"/>
          <w:szCs w:val="21"/>
        </w:rPr>
        <w:t>会主义运动遭遇严重挫折。新法西斯主义通过</w:t>
      </w:r>
      <w:r>
        <w:rPr>
          <w:rFonts w:hint="eastAsia" w:ascii="宋体" w:hAnsi="宋体" w:eastAsia="宋体" w:cs="宋体"/>
          <w:color w:val="231F20"/>
          <w:spacing w:val="7"/>
          <w:sz w:val="21"/>
          <w:szCs w:val="21"/>
        </w:rPr>
        <w:t>专制手段，强行减少政府对市场管制和削减公</w:t>
      </w:r>
      <w:r>
        <w:rPr>
          <w:rFonts w:hint="eastAsia" w:ascii="宋体" w:hAnsi="宋体" w:eastAsia="宋体" w:cs="宋体"/>
          <w:color w:val="231F20"/>
          <w:spacing w:val="-10"/>
          <w:sz w:val="21"/>
          <w:szCs w:val="21"/>
        </w:rPr>
        <w:t>共开支，实现了“强大资本利益的‘自由’”。</w:t>
      </w:r>
      <w:r>
        <w:rPr>
          <w:rFonts w:hint="eastAsia" w:ascii="宋体" w:hAnsi="宋体" w:eastAsia="宋体" w:cs="宋体"/>
          <w:color w:val="231F20"/>
          <w:spacing w:val="-10"/>
          <w:position w:val="7"/>
          <w:sz w:val="21"/>
          <w:szCs w:val="21"/>
        </w:rPr>
        <w:t>[10]</w:t>
      </w:r>
    </w:p>
    <w:p w14:paraId="37250A8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正是在新法西斯主义助力下，新自由主义在过</w:t>
      </w:r>
      <w:r>
        <w:rPr>
          <w:rFonts w:hint="eastAsia" w:ascii="宋体" w:hAnsi="宋体" w:eastAsia="宋体" w:cs="宋体"/>
          <w:color w:val="231F20"/>
          <w:spacing w:val="6"/>
          <w:sz w:val="21"/>
          <w:szCs w:val="21"/>
        </w:rPr>
        <w:t>往40年中横行于世，世界社会主义与国际共产</w:t>
      </w:r>
      <w:r>
        <w:rPr>
          <w:rFonts w:hint="eastAsia" w:ascii="宋体" w:hAnsi="宋体" w:eastAsia="宋体" w:cs="宋体"/>
          <w:color w:val="231F20"/>
          <w:spacing w:val="8"/>
          <w:sz w:val="21"/>
          <w:szCs w:val="21"/>
        </w:rPr>
        <w:t>主义运动遭受空前挫折。</w:t>
      </w:r>
    </w:p>
    <w:p w14:paraId="28ACCD0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第二，转移社会矛盾焦点。新自由主义的</w:t>
      </w:r>
      <w:r>
        <w:rPr>
          <w:rFonts w:hint="eastAsia" w:ascii="宋体" w:hAnsi="宋体" w:eastAsia="宋体" w:cs="宋体"/>
          <w:color w:val="231F20"/>
          <w:spacing w:val="7"/>
          <w:sz w:val="21"/>
          <w:szCs w:val="21"/>
        </w:rPr>
        <w:t>全球化政策，不但加深了不同国家、不同民族间的矛盾，而且加剧了美西方霸权国家内部劳</w:t>
      </w:r>
      <w:r>
        <w:rPr>
          <w:rFonts w:hint="eastAsia" w:ascii="宋体" w:hAnsi="宋体" w:eastAsia="宋体" w:cs="宋体"/>
          <w:color w:val="231F20"/>
          <w:spacing w:val="6"/>
          <w:sz w:val="21"/>
          <w:szCs w:val="21"/>
        </w:rPr>
        <w:t>资矛盾。大量海外廉价商品涌入，严重冲击了</w:t>
      </w:r>
      <w:r>
        <w:rPr>
          <w:rFonts w:hint="eastAsia" w:ascii="宋体" w:hAnsi="宋体" w:eastAsia="宋体" w:cs="宋体"/>
          <w:color w:val="231F20"/>
          <w:spacing w:val="18"/>
          <w:sz w:val="21"/>
          <w:szCs w:val="21"/>
        </w:rPr>
        <w:t>美西方国家原有相关产业，导致大量企业停</w:t>
      </w:r>
      <w:r>
        <w:rPr>
          <w:rFonts w:hint="eastAsia" w:ascii="宋体" w:hAnsi="宋体" w:eastAsia="宋体" w:cs="宋体"/>
          <w:color w:val="231F20"/>
          <w:spacing w:val="6"/>
          <w:sz w:val="21"/>
          <w:szCs w:val="21"/>
        </w:rPr>
        <w:t>产、工人失业。海外投资和产业转移，减少了</w:t>
      </w:r>
      <w:r>
        <w:rPr>
          <w:rFonts w:hint="eastAsia" w:ascii="宋体" w:hAnsi="宋体" w:eastAsia="宋体" w:cs="宋体"/>
          <w:color w:val="231F20"/>
          <w:spacing w:val="17"/>
          <w:sz w:val="21"/>
          <w:szCs w:val="21"/>
        </w:rPr>
        <w:t>本国就业供给和政府财政税收。美西方策动</w:t>
      </w:r>
      <w:r>
        <w:rPr>
          <w:rFonts w:hint="eastAsia" w:ascii="宋体" w:hAnsi="宋体" w:eastAsia="宋体" w:cs="宋体"/>
          <w:color w:val="231F20"/>
          <w:spacing w:val="7"/>
          <w:sz w:val="21"/>
          <w:szCs w:val="21"/>
        </w:rPr>
        <w:t>的战争导致大量外来难民和移民迁入，降低了</w:t>
      </w:r>
      <w:r>
        <w:rPr>
          <w:rFonts w:hint="eastAsia" w:ascii="宋体" w:hAnsi="宋体" w:eastAsia="宋体" w:cs="宋体"/>
          <w:color w:val="231F20"/>
          <w:spacing w:val="6"/>
          <w:sz w:val="21"/>
          <w:szCs w:val="21"/>
        </w:rPr>
        <w:t>原居民的就业机会、工资水平和福利待遇。经</w:t>
      </w:r>
      <w:r>
        <w:rPr>
          <w:rFonts w:hint="eastAsia" w:ascii="宋体" w:hAnsi="宋体" w:eastAsia="宋体" w:cs="宋体"/>
          <w:color w:val="231F20"/>
          <w:spacing w:val="18"/>
          <w:sz w:val="21"/>
          <w:szCs w:val="21"/>
        </w:rPr>
        <w:t>济全球化间接导致美西方霸权国家大量原中</w:t>
      </w:r>
      <w:r>
        <w:rPr>
          <w:rFonts w:hint="eastAsia" w:ascii="宋体" w:hAnsi="宋体" w:eastAsia="宋体" w:cs="宋体"/>
          <w:color w:val="231F20"/>
          <w:spacing w:val="17"/>
          <w:sz w:val="21"/>
          <w:szCs w:val="21"/>
        </w:rPr>
        <w:t>等收入阶层陷入贫困化陷阱。垄断资本寡头</w:t>
      </w:r>
      <w:r>
        <w:rPr>
          <w:rFonts w:hint="eastAsia" w:ascii="宋体" w:hAnsi="宋体" w:eastAsia="宋体" w:cs="宋体"/>
          <w:color w:val="231F20"/>
          <w:spacing w:val="7"/>
          <w:sz w:val="21"/>
          <w:szCs w:val="21"/>
        </w:rPr>
        <w:t>是新自由主义全球化政策制定者、执行者，也</w:t>
      </w:r>
      <w:r>
        <w:rPr>
          <w:rFonts w:hint="eastAsia" w:ascii="宋体" w:hAnsi="宋体" w:eastAsia="宋体" w:cs="宋体"/>
          <w:color w:val="231F20"/>
          <w:spacing w:val="4"/>
          <w:sz w:val="21"/>
          <w:szCs w:val="21"/>
        </w:rPr>
        <w:t>是最终受益者。因而，经济全球化给普通民众</w:t>
      </w:r>
      <w:r>
        <w:rPr>
          <w:rFonts w:hint="eastAsia" w:ascii="宋体" w:hAnsi="宋体" w:eastAsia="宋体" w:cs="宋体"/>
          <w:color w:val="231F20"/>
          <w:spacing w:val="6"/>
          <w:sz w:val="21"/>
          <w:szCs w:val="21"/>
        </w:rPr>
        <w:t>带来的损失，理应由垄断资本予以补偿。但对</w:t>
      </w:r>
      <w:r>
        <w:rPr>
          <w:rFonts w:hint="eastAsia" w:ascii="宋体" w:hAnsi="宋体" w:eastAsia="宋体" w:cs="宋体"/>
          <w:color w:val="231F20"/>
          <w:spacing w:val="18"/>
          <w:sz w:val="21"/>
          <w:szCs w:val="21"/>
        </w:rPr>
        <w:t>于垄断资本而言，与其损害自身利益补偿民</w:t>
      </w:r>
      <w:r>
        <w:rPr>
          <w:rFonts w:hint="eastAsia" w:ascii="宋体" w:hAnsi="宋体" w:eastAsia="宋体" w:cs="宋体"/>
          <w:color w:val="231F20"/>
          <w:spacing w:val="7"/>
          <w:sz w:val="21"/>
          <w:szCs w:val="21"/>
        </w:rPr>
        <w:t>众，不如将民众的不满引向移民和其他国家与</w:t>
      </w:r>
      <w:r>
        <w:rPr>
          <w:rFonts w:hint="eastAsia" w:ascii="宋体" w:hAnsi="宋体" w:eastAsia="宋体" w:cs="宋体"/>
          <w:color w:val="231F20"/>
          <w:spacing w:val="17"/>
          <w:sz w:val="21"/>
          <w:szCs w:val="21"/>
        </w:rPr>
        <w:t>民族。排外主义历来是法西斯主义的重要组成部分。德国法西斯主义就是将德国民众的</w:t>
      </w:r>
      <w:r>
        <w:rPr>
          <w:rFonts w:hint="eastAsia" w:ascii="宋体" w:hAnsi="宋体" w:eastAsia="宋体" w:cs="宋体"/>
          <w:color w:val="231F20"/>
          <w:spacing w:val="18"/>
          <w:sz w:val="21"/>
          <w:szCs w:val="21"/>
        </w:rPr>
        <w:t>困境，完全归咎于英法等国和犹太人等外来</w:t>
      </w:r>
      <w:r>
        <w:rPr>
          <w:rFonts w:hint="eastAsia" w:ascii="宋体" w:hAnsi="宋体" w:eastAsia="宋体" w:cs="宋体"/>
          <w:color w:val="231F20"/>
          <w:spacing w:val="11"/>
          <w:sz w:val="21"/>
          <w:szCs w:val="21"/>
        </w:rPr>
        <w:t>民族，从而引发民众对外国和犹太人的仇恨。</w:t>
      </w:r>
      <w:r>
        <w:rPr>
          <w:rFonts w:hint="eastAsia" w:ascii="宋体" w:hAnsi="宋体" w:eastAsia="宋体" w:cs="宋体"/>
          <w:color w:val="231F20"/>
          <w:spacing w:val="18"/>
          <w:sz w:val="21"/>
          <w:szCs w:val="21"/>
        </w:rPr>
        <w:t>垄断资本利用法西斯主义宣扬排外主义，不但可以将劳资阶级矛盾转化为民族矛盾、国</w:t>
      </w:r>
      <w:r>
        <w:rPr>
          <w:rFonts w:hint="eastAsia" w:ascii="宋体" w:hAnsi="宋体" w:eastAsia="宋体" w:cs="宋体"/>
          <w:color w:val="231F20"/>
          <w:spacing w:val="7"/>
          <w:sz w:val="21"/>
          <w:szCs w:val="21"/>
        </w:rPr>
        <w:t>家矛盾，而且可造成不同民族、种族、宗教信</w:t>
      </w:r>
      <w:r>
        <w:rPr>
          <w:rFonts w:hint="eastAsia" w:ascii="宋体" w:hAnsi="宋体" w:eastAsia="宋体" w:cs="宋体"/>
          <w:color w:val="231F20"/>
          <w:spacing w:val="18"/>
          <w:sz w:val="21"/>
          <w:szCs w:val="21"/>
        </w:rPr>
        <w:t>仰民众的隔阂与分裂，从而避免民众团结起</w:t>
      </w:r>
      <w:r>
        <w:rPr>
          <w:rFonts w:hint="eastAsia" w:ascii="宋体" w:hAnsi="宋体" w:eastAsia="宋体" w:cs="宋体"/>
          <w:color w:val="231F20"/>
          <w:spacing w:val="15"/>
          <w:sz w:val="21"/>
          <w:szCs w:val="21"/>
        </w:rPr>
        <w:t>来，形成反抗垄断资本的合力。美西方国家</w:t>
      </w:r>
      <w:r>
        <w:rPr>
          <w:rFonts w:hint="eastAsia" w:ascii="宋体" w:hAnsi="宋体" w:eastAsia="宋体" w:cs="宋体"/>
          <w:color w:val="231F20"/>
          <w:spacing w:val="-12"/>
          <w:sz w:val="21"/>
          <w:szCs w:val="21"/>
        </w:rPr>
        <w:t>普通民众，特别是“老白穷”“红脖子”，</w:t>
      </w:r>
      <w:r>
        <w:rPr>
          <w:rFonts w:hint="eastAsia" w:ascii="宋体" w:hAnsi="宋体" w:eastAsia="宋体" w:cs="宋体"/>
          <w:color w:val="231F20"/>
          <w:spacing w:val="-13"/>
          <w:sz w:val="21"/>
          <w:szCs w:val="21"/>
        </w:rPr>
        <w:t>对外来</w:t>
      </w:r>
      <w:r>
        <w:rPr>
          <w:rFonts w:hint="eastAsia" w:ascii="宋体" w:hAnsi="宋体" w:eastAsia="宋体" w:cs="宋体"/>
          <w:color w:val="231F20"/>
          <w:spacing w:val="7"/>
          <w:sz w:val="21"/>
          <w:szCs w:val="21"/>
        </w:rPr>
        <w:t>移民、其他种族的仇视度不断上升，却忽略了</w:t>
      </w:r>
      <w:r>
        <w:rPr>
          <w:rFonts w:hint="eastAsia" w:ascii="宋体" w:hAnsi="宋体" w:eastAsia="宋体" w:cs="宋体"/>
          <w:color w:val="231F20"/>
          <w:spacing w:val="12"/>
          <w:sz w:val="21"/>
          <w:szCs w:val="21"/>
        </w:rPr>
        <w:t>导致他们困境的根本社会阶级原因。</w:t>
      </w:r>
    </w:p>
    <w:p w14:paraId="319C67F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96" w:firstLineChars="200"/>
        <w:jc w:val="both"/>
        <w:textAlignment w:val="baseline"/>
        <w:rPr>
          <w:rFonts w:hint="eastAsia" w:ascii="宋体" w:hAnsi="宋体" w:eastAsia="宋体" w:cs="宋体"/>
          <w:color w:val="231F20"/>
          <w:spacing w:val="19"/>
          <w:sz w:val="21"/>
          <w:szCs w:val="21"/>
        </w:rPr>
      </w:pPr>
      <w:r>
        <w:rPr>
          <w:rFonts w:hint="eastAsia" w:ascii="宋体" w:hAnsi="宋体" w:eastAsia="宋体" w:cs="宋体"/>
          <w:color w:val="231F20"/>
          <w:spacing w:val="-6"/>
          <w:sz w:val="21"/>
          <w:szCs w:val="21"/>
        </w:rPr>
        <w:t>第三，维护“白人至上”优越地位。种族主</w:t>
      </w:r>
      <w:r>
        <w:rPr>
          <w:rFonts w:hint="eastAsia" w:ascii="宋体" w:hAnsi="宋体" w:eastAsia="宋体" w:cs="宋体"/>
          <w:color w:val="231F20"/>
          <w:spacing w:val="18"/>
          <w:sz w:val="21"/>
          <w:szCs w:val="21"/>
        </w:rPr>
        <w:t>义理论是欧洲殖民主义者推行民族压迫的重</w:t>
      </w:r>
      <w:r>
        <w:rPr>
          <w:rFonts w:hint="eastAsia" w:ascii="宋体" w:hAnsi="宋体" w:eastAsia="宋体" w:cs="宋体"/>
          <w:color w:val="231F20"/>
          <w:spacing w:val="6"/>
          <w:sz w:val="21"/>
          <w:szCs w:val="21"/>
        </w:rPr>
        <w:t>要思想工具。近代以来，美西方资产阶级在宣</w:t>
      </w:r>
      <w:r>
        <w:rPr>
          <w:rFonts w:hint="eastAsia" w:ascii="宋体" w:hAnsi="宋体" w:eastAsia="宋体" w:cs="宋体"/>
          <w:color w:val="231F20"/>
          <w:spacing w:val="-4"/>
          <w:sz w:val="21"/>
          <w:szCs w:val="21"/>
        </w:rPr>
        <w:t>扬自由、民主、平等思想的同时，构建起以“白</w:t>
      </w:r>
      <w:r>
        <w:rPr>
          <w:rFonts w:hint="eastAsia" w:ascii="宋体" w:hAnsi="宋体" w:eastAsia="宋体" w:cs="宋体"/>
          <w:color w:val="231F20"/>
          <w:spacing w:val="-5"/>
          <w:sz w:val="21"/>
          <w:szCs w:val="21"/>
        </w:rPr>
        <w:t>人至上”为标志的种族主义。洛克、休谟、伏尔</w:t>
      </w:r>
      <w:r>
        <w:rPr>
          <w:rFonts w:hint="eastAsia" w:ascii="宋体" w:hAnsi="宋体" w:eastAsia="宋体" w:cs="宋体"/>
          <w:color w:val="231F20"/>
          <w:spacing w:val="11"/>
          <w:sz w:val="21"/>
          <w:szCs w:val="21"/>
        </w:rPr>
        <w:t>泰、康德等都曾不加掩饰地表达了“白人至上”</w:t>
      </w:r>
      <w:r>
        <w:rPr>
          <w:rFonts w:hint="eastAsia" w:ascii="宋体" w:hAnsi="宋体" w:eastAsia="宋体" w:cs="宋体"/>
          <w:color w:val="231F20"/>
          <w:spacing w:val="10"/>
          <w:sz w:val="21"/>
          <w:szCs w:val="21"/>
        </w:rPr>
        <w:t>的种族主义倾向。康德甚至在“退化论”基础</w:t>
      </w:r>
      <w:r>
        <w:rPr>
          <w:rFonts w:hint="eastAsia" w:ascii="宋体" w:hAnsi="宋体" w:eastAsia="宋体" w:cs="宋体"/>
          <w:color w:val="231F20"/>
          <w:spacing w:val="11"/>
          <w:sz w:val="21"/>
          <w:szCs w:val="21"/>
        </w:rPr>
        <w:t>上，把人类直接区分为高低贵贱四个等级。依</w:t>
      </w:r>
      <w:r>
        <w:rPr>
          <w:rFonts w:hint="eastAsia" w:ascii="宋体" w:hAnsi="宋体" w:eastAsia="宋体" w:cs="宋体"/>
          <w:color w:val="231F20"/>
          <w:spacing w:val="16"/>
          <w:sz w:val="21"/>
          <w:szCs w:val="21"/>
        </w:rPr>
        <w:t>据种族主义，优秀种族有权利统治落后种族，</w:t>
      </w:r>
      <w:r>
        <w:rPr>
          <w:rFonts w:hint="eastAsia" w:ascii="宋体" w:hAnsi="宋体" w:eastAsia="宋体" w:cs="宋体"/>
          <w:color w:val="231F20"/>
          <w:spacing w:val="10"/>
          <w:sz w:val="21"/>
          <w:szCs w:val="21"/>
        </w:rPr>
        <w:t>而劣等种族则应被无情消灭。因而，种族主义</w:t>
      </w:r>
      <w:r>
        <w:rPr>
          <w:rFonts w:hint="eastAsia" w:ascii="宋体" w:hAnsi="宋体" w:eastAsia="宋体" w:cs="宋体"/>
          <w:color w:val="231F20"/>
          <w:spacing w:val="13"/>
          <w:sz w:val="21"/>
          <w:szCs w:val="21"/>
        </w:rPr>
        <w:t>深得法西斯主义推崇，成为其侵略扩张、种族</w:t>
      </w:r>
      <w:r>
        <w:rPr>
          <w:rFonts w:hint="eastAsia" w:ascii="宋体" w:hAnsi="宋体" w:eastAsia="宋体" w:cs="宋体"/>
          <w:color w:val="231F20"/>
          <w:spacing w:val="20"/>
          <w:sz w:val="21"/>
          <w:szCs w:val="21"/>
        </w:rPr>
        <w:t>灭绝的重要理论依据。随着新自由主义全球</w:t>
      </w:r>
      <w:r>
        <w:rPr>
          <w:rFonts w:hint="eastAsia" w:ascii="宋体" w:hAnsi="宋体" w:eastAsia="宋体" w:cs="宋体"/>
          <w:color w:val="231F20"/>
          <w:spacing w:val="13"/>
          <w:sz w:val="21"/>
          <w:szCs w:val="21"/>
        </w:rPr>
        <w:t>化导致的人口大迁移，美西方国家非洲裔、亚洲裔等非白人人口急剧增加，增长趋势甚至超</w:t>
      </w:r>
      <w:r>
        <w:rPr>
          <w:rFonts w:hint="eastAsia" w:ascii="宋体" w:hAnsi="宋体" w:eastAsia="宋体" w:cs="宋体"/>
          <w:color w:val="231F20"/>
          <w:sz w:val="21"/>
          <w:szCs w:val="21"/>
        </w:rPr>
        <w:t>过白人。这引发了“白人至上主义”者对“大置</w:t>
      </w:r>
      <w:r>
        <w:rPr>
          <w:rFonts w:hint="eastAsia" w:ascii="宋体" w:hAnsi="宋体" w:eastAsia="宋体" w:cs="宋体"/>
          <w:color w:val="231F20"/>
          <w:spacing w:val="10"/>
          <w:sz w:val="21"/>
          <w:szCs w:val="21"/>
        </w:rPr>
        <w:t>换”的普遍担忧。种族主义以肤色作为区分文</w:t>
      </w:r>
      <w:r>
        <w:rPr>
          <w:rFonts w:hint="eastAsia" w:ascii="宋体" w:hAnsi="宋体" w:eastAsia="宋体" w:cs="宋体"/>
          <w:color w:val="231F20"/>
          <w:spacing w:val="13"/>
          <w:sz w:val="21"/>
          <w:szCs w:val="21"/>
        </w:rPr>
        <w:t>明与野蛮的标识和打造白人特权的做法，极大</w:t>
      </w:r>
      <w:r>
        <w:rPr>
          <w:rFonts w:hint="eastAsia" w:ascii="宋体" w:hAnsi="宋体" w:eastAsia="宋体" w:cs="宋体"/>
          <w:color w:val="231F20"/>
          <w:spacing w:val="24"/>
          <w:sz w:val="21"/>
          <w:szCs w:val="21"/>
        </w:rPr>
        <w:t>迎合了新自由主义全球扩张、文化殖民的需</w:t>
      </w:r>
      <w:r>
        <w:rPr>
          <w:rFonts w:hint="eastAsia" w:ascii="宋体" w:hAnsi="宋体" w:eastAsia="宋体" w:cs="宋体"/>
          <w:color w:val="231F20"/>
          <w:spacing w:val="11"/>
          <w:sz w:val="21"/>
          <w:szCs w:val="21"/>
        </w:rPr>
        <w:t>要。垄断资本借助法西斯主义种族优越论，既</w:t>
      </w:r>
      <w:r>
        <w:rPr>
          <w:rFonts w:hint="eastAsia" w:ascii="宋体" w:hAnsi="宋体" w:eastAsia="宋体" w:cs="宋体"/>
          <w:color w:val="231F20"/>
          <w:spacing w:val="24"/>
          <w:sz w:val="21"/>
          <w:szCs w:val="21"/>
        </w:rPr>
        <w:t>可巩固自身统治地位，又可进一步对其他国</w:t>
      </w:r>
      <w:r>
        <w:rPr>
          <w:rFonts w:hint="eastAsia" w:ascii="宋体" w:hAnsi="宋体" w:eastAsia="宋体" w:cs="宋体"/>
          <w:color w:val="231F20"/>
          <w:spacing w:val="11"/>
          <w:sz w:val="21"/>
          <w:szCs w:val="21"/>
        </w:rPr>
        <w:t>家、民族开展精神文化殖民。尽管新自由主义</w:t>
      </w:r>
      <w:r>
        <w:rPr>
          <w:rFonts w:hint="eastAsia" w:ascii="宋体" w:hAnsi="宋体" w:eastAsia="宋体" w:cs="宋体"/>
          <w:color w:val="231F20"/>
          <w:spacing w:val="24"/>
          <w:sz w:val="21"/>
          <w:szCs w:val="21"/>
        </w:rPr>
        <w:t>自称是一种非种族主义的政治经济理论，但</w:t>
      </w:r>
      <w:r>
        <w:rPr>
          <w:rFonts w:hint="eastAsia" w:ascii="宋体" w:hAnsi="宋体" w:eastAsia="宋体" w:cs="宋体"/>
          <w:color w:val="231F20"/>
          <w:spacing w:val="13"/>
          <w:sz w:val="21"/>
          <w:szCs w:val="21"/>
        </w:rPr>
        <w:t>“社会成员资格和社会参与权利与白人的种族</w:t>
      </w:r>
      <w:r>
        <w:rPr>
          <w:rFonts w:hint="eastAsia" w:ascii="宋体" w:hAnsi="宋体" w:eastAsia="宋体" w:cs="宋体"/>
          <w:color w:val="231F20"/>
          <w:spacing w:val="2"/>
          <w:sz w:val="21"/>
          <w:szCs w:val="21"/>
        </w:rPr>
        <w:t>化属性密切相关”，使“新自由主义在认识论和</w:t>
      </w:r>
      <w:r>
        <w:rPr>
          <w:rFonts w:hint="eastAsia" w:ascii="宋体" w:hAnsi="宋体" w:eastAsia="宋体" w:cs="宋体"/>
          <w:color w:val="231F20"/>
          <w:spacing w:val="24"/>
          <w:sz w:val="21"/>
          <w:szCs w:val="21"/>
        </w:rPr>
        <w:t>本体论维度上导致了潜在的种族主义行为持</w:t>
      </w:r>
      <w:r>
        <w:rPr>
          <w:rFonts w:hint="eastAsia" w:ascii="宋体" w:hAnsi="宋体" w:eastAsia="宋体" w:cs="宋体"/>
          <w:color w:val="231F20"/>
          <w:spacing w:val="10"/>
          <w:sz w:val="21"/>
          <w:szCs w:val="21"/>
        </w:rPr>
        <w:t>续存在这一严重后果”。</w:t>
      </w:r>
      <w:r>
        <w:rPr>
          <w:rFonts w:hint="eastAsia" w:ascii="宋体" w:hAnsi="宋体" w:eastAsia="宋体" w:cs="宋体"/>
          <w:color w:val="231F20"/>
          <w:spacing w:val="10"/>
          <w:position w:val="7"/>
          <w:sz w:val="21"/>
          <w:szCs w:val="21"/>
        </w:rPr>
        <w:t>[11]</w:t>
      </w:r>
      <w:r>
        <w:rPr>
          <w:rFonts w:hint="eastAsia" w:ascii="宋体" w:hAnsi="宋体" w:eastAsia="宋体" w:cs="宋体"/>
          <w:color w:val="231F20"/>
          <w:spacing w:val="10"/>
          <w:sz w:val="21"/>
          <w:szCs w:val="21"/>
        </w:rPr>
        <w:t>因而，种族主义得</w:t>
      </w:r>
      <w:r>
        <w:rPr>
          <w:rFonts w:hint="eastAsia" w:ascii="宋体" w:hAnsi="宋体" w:eastAsia="宋体" w:cs="宋体"/>
          <w:color w:val="231F20"/>
          <w:spacing w:val="-10"/>
          <w:sz w:val="21"/>
          <w:szCs w:val="21"/>
        </w:rPr>
        <w:t>以在“民主”“自由”等语词掩盖下，随着新自由</w:t>
      </w:r>
      <w:r>
        <w:rPr>
          <w:rFonts w:hint="eastAsia" w:ascii="宋体" w:hAnsi="宋体" w:eastAsia="宋体" w:cs="宋体"/>
          <w:color w:val="231F20"/>
          <w:spacing w:val="19"/>
          <w:sz w:val="21"/>
          <w:szCs w:val="21"/>
        </w:rPr>
        <w:t>主义全球化大行其道。</w:t>
      </w:r>
    </w:p>
    <w:p w14:paraId="1C1A62C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rPr>
          <w:rFonts w:hint="eastAsia" w:ascii="宋体" w:hAnsi="宋体" w:eastAsia="宋体" w:cs="宋体"/>
          <w:color w:val="231F20"/>
          <w:spacing w:val="19"/>
          <w:sz w:val="21"/>
          <w:szCs w:val="21"/>
        </w:rPr>
      </w:pPr>
    </w:p>
    <w:p w14:paraId="5F9827F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宋体" w:hAnsi="宋体" w:eastAsia="宋体" w:cs="宋体"/>
          <w:b/>
          <w:bCs/>
          <w:sz w:val="24"/>
          <w:szCs w:val="24"/>
        </w:rPr>
      </w:pPr>
      <w:r>
        <w:rPr>
          <w:rFonts w:hint="eastAsia" w:ascii="宋体" w:hAnsi="宋体" w:eastAsia="宋体" w:cs="宋体"/>
          <w:b/>
          <w:bCs/>
          <w:color w:val="231F20"/>
          <w:spacing w:val="-3"/>
          <w:sz w:val="24"/>
          <w:szCs w:val="24"/>
        </w:rPr>
        <w:t>三、新法西斯主义的战争威胁</w:t>
      </w:r>
    </w:p>
    <w:p w14:paraId="642ECC6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29B848E5">
      <w:pPr>
        <w:pStyle w:val="6"/>
        <w:keepNext w:val="0"/>
        <w:keepLines w:val="0"/>
        <w:pageBreakBefore w:val="0"/>
        <w:widowControl/>
        <w:tabs>
          <w:tab w:val="left" w:pos="1651"/>
        </w:tabs>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新法西斯主义滋长，加剧了世界两极分化和民主自由的倒退，为本已动荡交织的世界再</w:t>
      </w:r>
      <w:r>
        <w:rPr>
          <w:rFonts w:hint="eastAsia" w:ascii="宋体" w:hAnsi="宋体" w:eastAsia="宋体" w:cs="宋体"/>
          <w:color w:val="231F20"/>
          <w:spacing w:val="6"/>
          <w:sz w:val="21"/>
          <w:szCs w:val="21"/>
        </w:rPr>
        <w:t>添战争阴云。历史表明，法西斯主义猖獗必然</w:t>
      </w:r>
      <w:r>
        <w:rPr>
          <w:rFonts w:hint="eastAsia" w:ascii="宋体" w:hAnsi="宋体" w:eastAsia="宋体" w:cs="宋体"/>
          <w:color w:val="231F20"/>
          <w:spacing w:val="15"/>
          <w:sz w:val="21"/>
          <w:szCs w:val="21"/>
        </w:rPr>
        <w:t>导致战争。正是法西斯主义在德意日等国崛</w:t>
      </w:r>
      <w:r>
        <w:rPr>
          <w:rFonts w:hint="eastAsia" w:ascii="宋体" w:hAnsi="宋体" w:eastAsia="宋体" w:cs="宋体"/>
          <w:color w:val="231F20"/>
          <w:spacing w:val="6"/>
          <w:sz w:val="21"/>
          <w:szCs w:val="21"/>
        </w:rPr>
        <w:t>起，最终导致了第二次世界大战爆发。2022年</w:t>
      </w:r>
      <w:r>
        <w:rPr>
          <w:rFonts w:hint="eastAsia" w:ascii="宋体" w:hAnsi="宋体" w:eastAsia="宋体" w:cs="宋体"/>
          <w:color w:val="231F20"/>
          <w:spacing w:val="7"/>
          <w:sz w:val="21"/>
          <w:szCs w:val="21"/>
        </w:rPr>
        <w:t>以来美西方霸权国家引发的巴以冲突、美以伊等局部战争，以及在南海和中国台湾地区等的</w:t>
      </w:r>
      <w:r>
        <w:rPr>
          <w:rFonts w:hint="eastAsia" w:ascii="宋体" w:hAnsi="宋体" w:eastAsia="宋体" w:cs="宋体"/>
          <w:color w:val="231F20"/>
          <w:spacing w:val="18"/>
          <w:sz w:val="21"/>
          <w:szCs w:val="21"/>
        </w:rPr>
        <w:t>军事挑衅，均凸显了新法西斯主义的好战本</w:t>
      </w:r>
      <w:r>
        <w:rPr>
          <w:rFonts w:hint="eastAsia" w:ascii="宋体" w:hAnsi="宋体" w:eastAsia="宋体" w:cs="宋体"/>
          <w:color w:val="231F20"/>
          <w:spacing w:val="15"/>
          <w:sz w:val="21"/>
          <w:szCs w:val="21"/>
        </w:rPr>
        <w:t>性。无论是俄美还是中美，一旦爆发直接战</w:t>
      </w:r>
      <w:r>
        <w:rPr>
          <w:rFonts w:hint="eastAsia" w:ascii="宋体" w:hAnsi="宋体" w:eastAsia="宋体" w:cs="宋体"/>
          <w:color w:val="231F20"/>
          <w:spacing w:val="9"/>
          <w:sz w:val="21"/>
          <w:szCs w:val="21"/>
        </w:rPr>
        <w:t>争，必将是世界大战的重演。令人遗憾的是，</w:t>
      </w:r>
      <w:r>
        <w:rPr>
          <w:rFonts w:hint="eastAsia" w:ascii="宋体" w:hAnsi="宋体" w:eastAsia="宋体" w:cs="宋体"/>
          <w:color w:val="231F20"/>
          <w:spacing w:val="11"/>
          <w:sz w:val="21"/>
          <w:szCs w:val="21"/>
        </w:rPr>
        <w:t>联合国作为当今世界最重要的多边协调机构，</w:t>
      </w:r>
      <w:r>
        <w:rPr>
          <w:rFonts w:hint="eastAsia" w:ascii="宋体" w:hAnsi="宋体" w:eastAsia="宋体" w:cs="宋体"/>
          <w:color w:val="231F20"/>
          <w:spacing w:val="7"/>
          <w:sz w:val="21"/>
          <w:szCs w:val="21"/>
        </w:rPr>
        <w:t>其维护和平、制止战争的能力在美西方霸权国</w:t>
      </w:r>
      <w:r>
        <w:rPr>
          <w:rFonts w:hint="eastAsia" w:ascii="宋体" w:hAnsi="宋体" w:eastAsia="宋体" w:cs="宋体"/>
          <w:color w:val="231F20"/>
          <w:spacing w:val="4"/>
          <w:sz w:val="21"/>
          <w:szCs w:val="21"/>
        </w:rPr>
        <w:t>家阻碍下已大打折扣。因而，俄罗斯总统普京</w:t>
      </w:r>
      <w:r>
        <w:rPr>
          <w:rFonts w:hint="eastAsia" w:ascii="宋体" w:hAnsi="宋体" w:eastAsia="宋体" w:cs="宋体"/>
          <w:color w:val="231F20"/>
          <w:spacing w:val="-3"/>
          <w:sz w:val="21"/>
          <w:szCs w:val="21"/>
        </w:rPr>
        <w:t>等人发出新世界大战“一步之遥”的预警，绝非</w:t>
      </w:r>
      <w:r>
        <w:rPr>
          <w:rFonts w:hint="eastAsia" w:ascii="宋体" w:hAnsi="宋体" w:eastAsia="宋体" w:cs="宋体"/>
          <w:color w:val="231F20"/>
          <w:spacing w:val="7"/>
          <w:sz w:val="21"/>
          <w:szCs w:val="21"/>
        </w:rPr>
        <w:t>危言耸听。</w:t>
      </w:r>
    </w:p>
    <w:p w14:paraId="3228CEC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第一，资本主义大国间力量平衡被打破。</w:t>
      </w:r>
      <w:r>
        <w:rPr>
          <w:rFonts w:hint="eastAsia" w:ascii="宋体" w:hAnsi="宋体" w:eastAsia="宋体" w:cs="宋体"/>
          <w:color w:val="231F20"/>
          <w:spacing w:val="8"/>
          <w:sz w:val="21"/>
          <w:szCs w:val="21"/>
        </w:rPr>
        <w:t>第二次世界大战后，世界之所以能够长期保持整体和平态势，大国间力量相对平衡是重要原</w:t>
      </w:r>
      <w:r>
        <w:rPr>
          <w:rFonts w:hint="eastAsia" w:ascii="宋体" w:hAnsi="宋体" w:eastAsia="宋体" w:cs="宋体"/>
          <w:color w:val="231F20"/>
          <w:spacing w:val="9"/>
          <w:sz w:val="21"/>
          <w:szCs w:val="21"/>
        </w:rPr>
        <w:t>因之一。特别是苏联、中国等社会主义国家，</w:t>
      </w:r>
      <w:r>
        <w:rPr>
          <w:rFonts w:hint="eastAsia" w:ascii="宋体" w:hAnsi="宋体" w:eastAsia="宋体" w:cs="宋体"/>
          <w:color w:val="231F20"/>
          <w:spacing w:val="18"/>
          <w:sz w:val="21"/>
          <w:szCs w:val="21"/>
        </w:rPr>
        <w:t>对美西方国家的战争图谋发挥了强大制衡作</w:t>
      </w:r>
      <w:r>
        <w:rPr>
          <w:rFonts w:hint="eastAsia" w:ascii="宋体" w:hAnsi="宋体" w:eastAsia="宋体" w:cs="宋体"/>
          <w:color w:val="231F20"/>
          <w:spacing w:val="8"/>
          <w:sz w:val="21"/>
          <w:szCs w:val="21"/>
        </w:rPr>
        <w:t>用。随着20世纪90年代苏东剧变，战后大国</w:t>
      </w:r>
      <w:r>
        <w:rPr>
          <w:rFonts w:hint="eastAsia" w:ascii="宋体" w:hAnsi="宋体" w:eastAsia="宋体" w:cs="宋体"/>
          <w:color w:val="231F20"/>
          <w:spacing w:val="-2"/>
          <w:sz w:val="21"/>
          <w:szCs w:val="21"/>
        </w:rPr>
        <w:t>间原有力量平衡被打破，“帝国主义战争，即争</w:t>
      </w:r>
      <w:r>
        <w:rPr>
          <w:rFonts w:hint="eastAsia" w:ascii="宋体" w:hAnsi="宋体" w:eastAsia="宋体" w:cs="宋体"/>
          <w:color w:val="231F20"/>
          <w:spacing w:val="8"/>
          <w:sz w:val="21"/>
          <w:szCs w:val="21"/>
        </w:rPr>
        <w:t>夺世界霸权、争夺银行资本的市场和扼杀弱小</w:t>
      </w:r>
      <w:r>
        <w:rPr>
          <w:rFonts w:hint="eastAsia" w:ascii="宋体" w:hAnsi="宋体" w:eastAsia="宋体" w:cs="宋体"/>
          <w:color w:val="231F20"/>
          <w:spacing w:val="-2"/>
          <w:position w:val="-1"/>
          <w:sz w:val="21"/>
          <w:szCs w:val="21"/>
        </w:rPr>
        <w:t>民族的战争是不可避免的”。</w:t>
      </w:r>
      <w:r>
        <w:rPr>
          <w:rFonts w:hint="eastAsia" w:ascii="宋体" w:hAnsi="宋体" w:eastAsia="宋体" w:cs="宋体"/>
          <w:color w:val="231F20"/>
          <w:spacing w:val="-2"/>
          <w:position w:val="7"/>
          <w:sz w:val="21"/>
          <w:szCs w:val="21"/>
        </w:rPr>
        <w:t>[12](p.294)</w:t>
      </w:r>
      <w:r>
        <w:rPr>
          <w:rFonts w:hint="eastAsia" w:ascii="宋体" w:hAnsi="宋体" w:eastAsia="宋体" w:cs="宋体"/>
          <w:color w:val="231F20"/>
          <w:spacing w:val="-2"/>
          <w:position w:val="-1"/>
          <w:sz w:val="21"/>
          <w:szCs w:val="21"/>
        </w:rPr>
        <w:t>随着俄罗斯</w:t>
      </w:r>
      <w:r>
        <w:rPr>
          <w:rFonts w:hint="eastAsia" w:ascii="宋体" w:hAnsi="宋体" w:eastAsia="宋体" w:cs="宋体"/>
          <w:color w:val="231F20"/>
          <w:spacing w:val="8"/>
          <w:sz w:val="21"/>
          <w:szCs w:val="21"/>
        </w:rPr>
        <w:t>国力相对衰落，美西方国家趁机全面扩张，抢</w:t>
      </w:r>
      <w:r>
        <w:rPr>
          <w:rFonts w:hint="eastAsia" w:ascii="宋体" w:hAnsi="宋体" w:eastAsia="宋体" w:cs="宋体"/>
          <w:color w:val="231F20"/>
          <w:spacing w:val="17"/>
          <w:sz w:val="21"/>
          <w:szCs w:val="21"/>
        </w:rPr>
        <w:t>夺苏联解体后留下的权力真空。从海湾战争</w:t>
      </w:r>
      <w:r>
        <w:rPr>
          <w:rFonts w:hint="eastAsia" w:ascii="宋体" w:hAnsi="宋体" w:eastAsia="宋体" w:cs="宋体"/>
          <w:color w:val="231F20"/>
          <w:spacing w:val="8"/>
          <w:sz w:val="21"/>
          <w:szCs w:val="21"/>
        </w:rPr>
        <w:t>到车臣战争、格鲁吉亚战争，美西方军事势力</w:t>
      </w:r>
      <w:r>
        <w:rPr>
          <w:rFonts w:hint="eastAsia" w:ascii="宋体" w:hAnsi="宋体" w:eastAsia="宋体" w:cs="宋体"/>
          <w:color w:val="231F20"/>
          <w:spacing w:val="6"/>
          <w:sz w:val="21"/>
          <w:szCs w:val="21"/>
        </w:rPr>
        <w:t>一步步逼近俄罗斯本土。2014年，乌克兰亲俄</w:t>
      </w:r>
      <w:r>
        <w:rPr>
          <w:rFonts w:hint="eastAsia" w:ascii="宋体" w:hAnsi="宋体" w:eastAsia="宋体" w:cs="宋体"/>
          <w:color w:val="231F20"/>
          <w:spacing w:val="18"/>
          <w:sz w:val="21"/>
          <w:szCs w:val="21"/>
        </w:rPr>
        <w:t>罗斯的亚努科维奇政府被美西方通过街头革</w:t>
      </w:r>
      <w:r>
        <w:rPr>
          <w:rFonts w:hint="eastAsia" w:ascii="宋体" w:hAnsi="宋体" w:eastAsia="宋体" w:cs="宋体"/>
          <w:color w:val="231F20"/>
          <w:spacing w:val="6"/>
          <w:sz w:val="21"/>
          <w:szCs w:val="21"/>
        </w:rPr>
        <w:t>命颠覆。2022年美西方国家违背诺言，拉拢乌</w:t>
      </w:r>
      <w:r>
        <w:rPr>
          <w:rFonts w:hint="eastAsia" w:ascii="宋体" w:hAnsi="宋体" w:eastAsia="宋体" w:cs="宋体"/>
          <w:color w:val="231F20"/>
          <w:spacing w:val="8"/>
          <w:sz w:val="21"/>
          <w:szCs w:val="21"/>
        </w:rPr>
        <w:t>克兰加入北约，俄乌冲突爆发，包括美国、法国、德国、英国等西方国家已通过提供武器装</w:t>
      </w:r>
      <w:r>
        <w:rPr>
          <w:rFonts w:hint="eastAsia" w:ascii="宋体" w:hAnsi="宋体" w:eastAsia="宋体" w:cs="宋体"/>
          <w:color w:val="231F20"/>
          <w:spacing w:val="11"/>
          <w:sz w:val="21"/>
          <w:szCs w:val="21"/>
        </w:rPr>
        <w:t>备、军事信息、志愿者等方式参与俄乌冲突。</w:t>
      </w:r>
      <w:r>
        <w:rPr>
          <w:rFonts w:hint="eastAsia" w:ascii="宋体" w:hAnsi="宋体" w:eastAsia="宋体" w:cs="宋体"/>
          <w:color w:val="231F20"/>
          <w:spacing w:val="8"/>
          <w:sz w:val="21"/>
          <w:szCs w:val="21"/>
        </w:rPr>
        <w:t>一旦北约国家公开宣战，极可能引发第三次世</w:t>
      </w:r>
      <w:r>
        <w:rPr>
          <w:rFonts w:hint="eastAsia" w:ascii="宋体" w:hAnsi="宋体" w:eastAsia="宋体" w:cs="宋体"/>
          <w:color w:val="231F20"/>
          <w:spacing w:val="7"/>
          <w:sz w:val="21"/>
          <w:szCs w:val="21"/>
        </w:rPr>
        <w:t>界大战。</w:t>
      </w:r>
    </w:p>
    <w:p w14:paraId="1665753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9"/>
          <w:sz w:val="21"/>
          <w:szCs w:val="21"/>
        </w:rPr>
        <w:t>第二，世界资本主义深陷长期结构性危</w:t>
      </w:r>
      <w:r>
        <w:rPr>
          <w:rFonts w:hint="eastAsia" w:ascii="宋体" w:hAnsi="宋体" w:eastAsia="宋体" w:cs="宋体"/>
          <w:color w:val="231F20"/>
          <w:spacing w:val="15"/>
          <w:sz w:val="21"/>
          <w:szCs w:val="21"/>
        </w:rPr>
        <w:t>机。资本主义危机是促使资本主义国家法西</w:t>
      </w:r>
      <w:r>
        <w:rPr>
          <w:rFonts w:hint="eastAsia" w:ascii="宋体" w:hAnsi="宋体" w:eastAsia="宋体" w:cs="宋体"/>
          <w:color w:val="231F20"/>
          <w:spacing w:val="17"/>
          <w:sz w:val="21"/>
          <w:szCs w:val="21"/>
        </w:rPr>
        <w:t>斯化进而军国主义化的催化剂。斯大林早在</w:t>
      </w:r>
      <w:r>
        <w:rPr>
          <w:rFonts w:hint="eastAsia" w:ascii="宋体" w:hAnsi="宋体" w:eastAsia="宋体" w:cs="宋体"/>
          <w:color w:val="231F20"/>
          <w:spacing w:val="5"/>
          <w:sz w:val="21"/>
          <w:szCs w:val="21"/>
        </w:rPr>
        <w:t>1934年1月在联共（布）第十七次代表大会上</w:t>
      </w:r>
      <w:r>
        <w:rPr>
          <w:rFonts w:hint="eastAsia" w:ascii="宋体" w:hAnsi="宋体" w:eastAsia="宋体" w:cs="宋体"/>
          <w:color w:val="231F20"/>
          <w:spacing w:val="7"/>
          <w:sz w:val="21"/>
          <w:szCs w:val="21"/>
        </w:rPr>
        <w:t>的总结报告就明确指出：“持久的经济危机的</w:t>
      </w:r>
      <w:r>
        <w:rPr>
          <w:rFonts w:hint="eastAsia" w:ascii="宋体" w:hAnsi="宋体" w:eastAsia="宋体" w:cs="宋体"/>
          <w:color w:val="231F20"/>
          <w:spacing w:val="18"/>
          <w:sz w:val="21"/>
          <w:szCs w:val="21"/>
        </w:rPr>
        <w:t>结果是资本主义国家内部和它们彼此之间的</w:t>
      </w:r>
      <w:r>
        <w:rPr>
          <w:rFonts w:hint="eastAsia" w:ascii="宋体" w:hAnsi="宋体" w:eastAsia="宋体" w:cs="宋体"/>
          <w:color w:val="231F20"/>
          <w:spacing w:val="-2"/>
          <w:position w:val="-1"/>
          <w:sz w:val="21"/>
          <w:szCs w:val="21"/>
        </w:rPr>
        <w:t>政治状况的空前尖锐化。”</w:t>
      </w:r>
      <w:r>
        <w:rPr>
          <w:rFonts w:hint="eastAsia" w:ascii="宋体" w:hAnsi="宋体" w:eastAsia="宋体" w:cs="宋体"/>
          <w:color w:val="231F20"/>
          <w:spacing w:val="-2"/>
          <w:position w:val="7"/>
          <w:sz w:val="21"/>
          <w:szCs w:val="21"/>
        </w:rPr>
        <w:t>[13](p.513)</w:t>
      </w:r>
      <w:r>
        <w:rPr>
          <w:rFonts w:hint="eastAsia" w:ascii="宋体" w:hAnsi="宋体" w:eastAsia="宋体" w:cs="宋体"/>
          <w:color w:val="231F20"/>
          <w:spacing w:val="-2"/>
          <w:position w:val="-1"/>
          <w:sz w:val="21"/>
          <w:szCs w:val="21"/>
        </w:rPr>
        <w:t>资本主义各国</w:t>
      </w:r>
      <w:r>
        <w:rPr>
          <w:rFonts w:hint="eastAsia" w:ascii="宋体" w:hAnsi="宋体" w:eastAsia="宋体" w:cs="宋体"/>
          <w:color w:val="231F20"/>
          <w:spacing w:val="7"/>
          <w:sz w:val="21"/>
          <w:szCs w:val="21"/>
        </w:rPr>
        <w:t>内部以及彼此关系尖锐化，最终必然导致全面</w:t>
      </w:r>
      <w:r>
        <w:rPr>
          <w:rFonts w:hint="eastAsia" w:ascii="宋体" w:hAnsi="宋体" w:eastAsia="宋体" w:cs="宋体"/>
          <w:color w:val="231F20"/>
          <w:spacing w:val="11"/>
          <w:sz w:val="21"/>
          <w:szCs w:val="21"/>
        </w:rPr>
        <w:t>战争爆发。2008年美西方金融危机彻底粉碎</w:t>
      </w:r>
      <w:r>
        <w:rPr>
          <w:rFonts w:hint="eastAsia" w:ascii="宋体" w:hAnsi="宋体" w:eastAsia="宋体" w:cs="宋体"/>
          <w:color w:val="231F20"/>
          <w:spacing w:val="7"/>
          <w:sz w:val="21"/>
          <w:szCs w:val="21"/>
        </w:rPr>
        <w:t>了新自由主义神话，世界资本主义长期陷入结</w:t>
      </w:r>
      <w:r>
        <w:rPr>
          <w:rFonts w:hint="eastAsia" w:ascii="宋体" w:hAnsi="宋体" w:eastAsia="宋体" w:cs="宋体"/>
          <w:color w:val="231F20"/>
          <w:spacing w:val="6"/>
          <w:sz w:val="21"/>
          <w:szCs w:val="21"/>
        </w:rPr>
        <w:t>构性危机。在后新自由主义危机时代，西方主</w:t>
      </w:r>
      <w:r>
        <w:rPr>
          <w:rFonts w:hint="eastAsia" w:ascii="宋体" w:hAnsi="宋体" w:eastAsia="宋体" w:cs="宋体"/>
          <w:color w:val="231F20"/>
          <w:spacing w:val="7"/>
          <w:sz w:val="21"/>
          <w:szCs w:val="21"/>
        </w:rPr>
        <w:t>要国家虽几经自我调节，但始终没有找到彻底</w:t>
      </w:r>
      <w:r>
        <w:rPr>
          <w:rFonts w:hint="eastAsia" w:ascii="宋体" w:hAnsi="宋体" w:eastAsia="宋体" w:cs="宋体"/>
          <w:color w:val="231F20"/>
          <w:spacing w:val="17"/>
          <w:sz w:val="21"/>
          <w:szCs w:val="21"/>
        </w:rPr>
        <w:t>摆脱困境的有效方案。美西方国家原本寄希</w:t>
      </w:r>
      <w:r>
        <w:rPr>
          <w:rFonts w:hint="eastAsia" w:ascii="宋体" w:hAnsi="宋体" w:eastAsia="宋体" w:cs="宋体"/>
          <w:color w:val="231F20"/>
          <w:spacing w:val="18"/>
          <w:sz w:val="21"/>
          <w:szCs w:val="21"/>
        </w:rPr>
        <w:t>望于通过量化宽松等政策解决金融危机留下的巨额金融债务，结果反倒深陷政府债务危</w:t>
      </w:r>
      <w:r>
        <w:rPr>
          <w:rFonts w:hint="eastAsia" w:ascii="宋体" w:hAnsi="宋体" w:eastAsia="宋体" w:cs="宋体"/>
          <w:color w:val="231F20"/>
          <w:spacing w:val="5"/>
          <w:sz w:val="21"/>
          <w:szCs w:val="21"/>
        </w:rPr>
        <w:t>机。截至2026年3月，美国国债已经高达39万</w:t>
      </w:r>
      <w:r>
        <w:rPr>
          <w:rFonts w:hint="eastAsia" w:ascii="宋体" w:hAnsi="宋体" w:eastAsia="宋体" w:cs="宋体"/>
          <w:color w:val="231F20"/>
          <w:spacing w:val="6"/>
          <w:sz w:val="21"/>
          <w:szCs w:val="21"/>
        </w:rPr>
        <w:t>亿美元。过量发行美元，加剧了美国持续通货</w:t>
      </w:r>
      <w:r>
        <w:rPr>
          <w:rFonts w:hint="eastAsia" w:ascii="宋体" w:hAnsi="宋体" w:eastAsia="宋体" w:cs="宋体"/>
          <w:color w:val="231F20"/>
          <w:spacing w:val="4"/>
          <w:sz w:val="21"/>
          <w:szCs w:val="21"/>
        </w:rPr>
        <w:t>膨胀。为舒缓通货膨胀压力，美联储2023年后</w:t>
      </w:r>
      <w:r>
        <w:rPr>
          <w:rFonts w:hint="eastAsia" w:ascii="宋体" w:hAnsi="宋体" w:eastAsia="宋体" w:cs="宋体"/>
          <w:color w:val="231F20"/>
          <w:spacing w:val="17"/>
          <w:sz w:val="21"/>
          <w:szCs w:val="21"/>
        </w:rPr>
        <w:t>不得不采取连续加息政策。美国连续加息政</w:t>
      </w:r>
      <w:r>
        <w:rPr>
          <w:rFonts w:hint="eastAsia" w:ascii="宋体" w:hAnsi="宋体" w:eastAsia="宋体" w:cs="宋体"/>
          <w:color w:val="231F20"/>
          <w:spacing w:val="7"/>
          <w:sz w:val="21"/>
          <w:szCs w:val="21"/>
        </w:rPr>
        <w:t>策导致美元暴涨，极大增加了政府还本付息难</w:t>
      </w:r>
      <w:r>
        <w:rPr>
          <w:rFonts w:hint="eastAsia" w:ascii="宋体" w:hAnsi="宋体" w:eastAsia="宋体" w:cs="宋体"/>
          <w:color w:val="231F20"/>
          <w:spacing w:val="17"/>
          <w:sz w:val="21"/>
          <w:szCs w:val="21"/>
        </w:rPr>
        <w:t>度。美国政府现在每年需要支付国债利息就</w:t>
      </w:r>
      <w:r>
        <w:rPr>
          <w:rFonts w:hint="eastAsia" w:ascii="宋体" w:hAnsi="宋体" w:eastAsia="宋体" w:cs="宋体"/>
          <w:color w:val="231F20"/>
          <w:spacing w:val="7"/>
          <w:sz w:val="21"/>
          <w:szCs w:val="21"/>
        </w:rPr>
        <w:t>将超过1万亿美元。同样的政府债务危机也发</w:t>
      </w:r>
      <w:r>
        <w:rPr>
          <w:rFonts w:hint="eastAsia" w:ascii="宋体" w:hAnsi="宋体" w:eastAsia="宋体" w:cs="宋体"/>
          <w:color w:val="231F20"/>
          <w:spacing w:val="6"/>
          <w:sz w:val="21"/>
          <w:szCs w:val="21"/>
        </w:rPr>
        <w:t>生在英法德日等国。俄乌冲突后，欧洲国家失</w:t>
      </w:r>
      <w:r>
        <w:rPr>
          <w:rFonts w:hint="eastAsia" w:ascii="宋体" w:hAnsi="宋体" w:eastAsia="宋体" w:cs="宋体"/>
          <w:color w:val="231F20"/>
          <w:spacing w:val="7"/>
          <w:sz w:val="21"/>
          <w:szCs w:val="21"/>
        </w:rPr>
        <w:t>去了俄罗斯相对廉价的石油、天然气供给，政</w:t>
      </w:r>
      <w:r>
        <w:rPr>
          <w:rFonts w:hint="eastAsia" w:ascii="宋体" w:hAnsi="宋体" w:eastAsia="宋体" w:cs="宋体"/>
          <w:color w:val="231F20"/>
          <w:spacing w:val="10"/>
          <w:sz w:val="21"/>
          <w:szCs w:val="21"/>
        </w:rPr>
        <w:t>府财政危机呈进一步恶化趋势。在经济危机、</w:t>
      </w:r>
      <w:r>
        <w:rPr>
          <w:rFonts w:hint="eastAsia" w:ascii="宋体" w:hAnsi="宋体" w:eastAsia="宋体" w:cs="宋体"/>
          <w:color w:val="231F20"/>
          <w:spacing w:val="7"/>
          <w:sz w:val="21"/>
          <w:szCs w:val="21"/>
        </w:rPr>
        <w:t>财政危机逼迫下，美西方国家急需通过战争强</w:t>
      </w:r>
      <w:r>
        <w:rPr>
          <w:rFonts w:hint="eastAsia" w:ascii="宋体" w:hAnsi="宋体" w:eastAsia="宋体" w:cs="宋体"/>
          <w:color w:val="231F20"/>
          <w:spacing w:val="6"/>
          <w:sz w:val="21"/>
          <w:szCs w:val="21"/>
        </w:rPr>
        <w:t>行转嫁危机，维护其统治地位。这也是近年美</w:t>
      </w:r>
      <w:r>
        <w:rPr>
          <w:rFonts w:hint="eastAsia" w:ascii="宋体" w:hAnsi="宋体" w:eastAsia="宋体" w:cs="宋体"/>
          <w:color w:val="231F20"/>
          <w:spacing w:val="18"/>
          <w:sz w:val="21"/>
          <w:szCs w:val="21"/>
        </w:rPr>
        <w:t>西方国家极右翼势力崛起的重要政治经济原</w:t>
      </w:r>
      <w:r>
        <w:rPr>
          <w:rFonts w:hint="eastAsia" w:ascii="宋体" w:hAnsi="宋体" w:eastAsia="宋体" w:cs="宋体"/>
          <w:color w:val="231F20"/>
          <w:spacing w:val="-2"/>
          <w:sz w:val="21"/>
          <w:szCs w:val="21"/>
        </w:rPr>
        <w:t>因。“历史已经表明，法西斯主义是资本主义危</w:t>
      </w:r>
      <w:r>
        <w:rPr>
          <w:rFonts w:hint="eastAsia" w:ascii="宋体" w:hAnsi="宋体" w:eastAsia="宋体" w:cs="宋体"/>
          <w:color w:val="231F20"/>
          <w:spacing w:val="7"/>
          <w:sz w:val="21"/>
          <w:szCs w:val="21"/>
        </w:rPr>
        <w:t>机严重到了垄断资本无法正常统治的产物，而</w:t>
      </w:r>
      <w:r>
        <w:rPr>
          <w:rFonts w:hint="eastAsia" w:ascii="宋体" w:hAnsi="宋体" w:eastAsia="宋体" w:cs="宋体"/>
          <w:color w:val="231F20"/>
          <w:spacing w:val="18"/>
          <w:sz w:val="21"/>
          <w:szCs w:val="21"/>
        </w:rPr>
        <w:t>一旦法西斯主义成为一个国家的主流意识形</w:t>
      </w:r>
      <w:r>
        <w:rPr>
          <w:rFonts w:hint="eastAsia" w:ascii="宋体" w:hAnsi="宋体" w:eastAsia="宋体" w:cs="宋体"/>
          <w:color w:val="231F20"/>
          <w:spacing w:val="-8"/>
          <w:sz w:val="21"/>
          <w:szCs w:val="21"/>
        </w:rPr>
        <w:t>态……发生侵略战争的风险也会急剧加大。”</w:t>
      </w:r>
      <w:r>
        <w:rPr>
          <w:rFonts w:hint="eastAsia" w:ascii="宋体" w:hAnsi="宋体" w:eastAsia="宋体" w:cs="宋体"/>
          <w:color w:val="231F20"/>
          <w:spacing w:val="-8"/>
          <w:position w:val="7"/>
          <w:sz w:val="21"/>
          <w:szCs w:val="21"/>
        </w:rPr>
        <w:t>[</w:t>
      </w:r>
      <w:r>
        <w:rPr>
          <w:rFonts w:hint="eastAsia" w:ascii="宋体" w:hAnsi="宋体" w:eastAsia="宋体" w:cs="宋体"/>
          <w:color w:val="231F20"/>
          <w:spacing w:val="-9"/>
          <w:position w:val="7"/>
          <w:sz w:val="21"/>
          <w:szCs w:val="21"/>
        </w:rPr>
        <w:t>14]</w:t>
      </w:r>
      <w:r>
        <w:rPr>
          <w:rFonts w:hint="eastAsia" w:ascii="宋体" w:hAnsi="宋体" w:eastAsia="宋体" w:cs="宋体"/>
          <w:color w:val="231F20"/>
          <w:spacing w:val="7"/>
          <w:sz w:val="21"/>
          <w:szCs w:val="21"/>
        </w:rPr>
        <w:t>第三，美西方霸权国家正在为新的战争做</w:t>
      </w:r>
    </w:p>
    <w:p w14:paraId="53750D3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实质性准备。在美西方敌对势力眼中，中国是</w:t>
      </w:r>
      <w:r>
        <w:rPr>
          <w:rFonts w:hint="eastAsia" w:ascii="宋体" w:hAnsi="宋体" w:eastAsia="宋体" w:cs="宋体"/>
          <w:color w:val="231F20"/>
          <w:spacing w:val="21"/>
          <w:sz w:val="21"/>
          <w:szCs w:val="21"/>
        </w:rPr>
        <w:t>唯一战略竞争对手。如果他们不能通过所谓</w:t>
      </w:r>
      <w:r>
        <w:rPr>
          <w:rFonts w:hint="eastAsia" w:ascii="宋体" w:hAnsi="宋体" w:eastAsia="宋体" w:cs="宋体"/>
          <w:color w:val="231F20"/>
          <w:spacing w:val="-10"/>
          <w:sz w:val="21"/>
          <w:szCs w:val="21"/>
        </w:rPr>
        <w:t>“小院高墙”“脱钩断链”“关税战”等方式搞垮</w:t>
      </w:r>
      <w:r>
        <w:rPr>
          <w:rFonts w:hint="eastAsia" w:ascii="宋体" w:hAnsi="宋体" w:eastAsia="宋体" w:cs="宋体"/>
          <w:color w:val="231F20"/>
          <w:spacing w:val="1"/>
          <w:sz w:val="21"/>
          <w:szCs w:val="21"/>
        </w:rPr>
        <w:t>中国，不排除最终采取战争方式达到“扳倒”中</w:t>
      </w:r>
      <w:r>
        <w:rPr>
          <w:rFonts w:hint="eastAsia" w:ascii="宋体" w:hAnsi="宋体" w:eastAsia="宋体" w:cs="宋体"/>
          <w:color w:val="231F20"/>
          <w:spacing w:val="10"/>
          <w:sz w:val="21"/>
          <w:szCs w:val="21"/>
        </w:rPr>
        <w:t>国的目的。为此，他们一方面炒作中国“产能</w:t>
      </w:r>
      <w:r>
        <w:rPr>
          <w:rFonts w:hint="eastAsia" w:ascii="宋体" w:hAnsi="宋体" w:eastAsia="宋体" w:cs="宋体"/>
          <w:color w:val="231F20"/>
          <w:spacing w:val="-10"/>
          <w:sz w:val="21"/>
          <w:szCs w:val="21"/>
        </w:rPr>
        <w:t>过剩论”“科技剽窃论”“安全威胁论”等，企图</w:t>
      </w:r>
      <w:r>
        <w:rPr>
          <w:rFonts w:hint="eastAsia" w:ascii="宋体" w:hAnsi="宋体" w:eastAsia="宋体" w:cs="宋体"/>
          <w:color w:val="231F20"/>
          <w:spacing w:val="13"/>
          <w:sz w:val="21"/>
          <w:szCs w:val="21"/>
        </w:rPr>
        <w:t>抹黑中国形象，煽动民众对华仇恨；另一方面加紧军事部署，意欲在台海、朝鲜半岛等地挑</w:t>
      </w:r>
      <w:r>
        <w:rPr>
          <w:rFonts w:hint="eastAsia" w:ascii="宋体" w:hAnsi="宋体" w:eastAsia="宋体" w:cs="宋体"/>
          <w:color w:val="231F20"/>
          <w:spacing w:val="10"/>
          <w:sz w:val="21"/>
          <w:szCs w:val="21"/>
        </w:rPr>
        <w:t>起事端。在整体战略上，特朗普上台后，推出</w:t>
      </w:r>
      <w:r>
        <w:rPr>
          <w:rFonts w:hint="eastAsia" w:ascii="宋体" w:hAnsi="宋体" w:eastAsia="宋体" w:cs="宋体"/>
          <w:color w:val="231F20"/>
          <w:spacing w:val="7"/>
          <w:sz w:val="21"/>
          <w:szCs w:val="21"/>
        </w:rPr>
        <w:t>主要针对中国的印太战略计划，为全方位遏制</w:t>
      </w:r>
      <w:r>
        <w:rPr>
          <w:rFonts w:hint="eastAsia" w:ascii="宋体" w:hAnsi="宋体" w:eastAsia="宋体" w:cs="宋体"/>
          <w:color w:val="231F20"/>
          <w:spacing w:val="6"/>
          <w:sz w:val="21"/>
          <w:szCs w:val="21"/>
        </w:rPr>
        <w:t>中国制定了总体方案。在军事联盟上，美国联</w:t>
      </w:r>
      <w:r>
        <w:rPr>
          <w:rFonts w:hint="eastAsia" w:ascii="宋体" w:hAnsi="宋体" w:eastAsia="宋体" w:cs="宋体"/>
          <w:color w:val="231F20"/>
          <w:spacing w:val="7"/>
          <w:sz w:val="21"/>
          <w:szCs w:val="21"/>
        </w:rPr>
        <w:t>合日本、澳大利亚等国拼凑起所谓亚洲版北约</w:t>
      </w:r>
      <w:r>
        <w:rPr>
          <w:rFonts w:hint="eastAsia" w:ascii="宋体" w:hAnsi="宋体" w:eastAsia="宋体" w:cs="宋体"/>
          <w:color w:val="231F20"/>
          <w:spacing w:val="18"/>
          <w:sz w:val="21"/>
          <w:szCs w:val="21"/>
        </w:rPr>
        <w:t>奥库斯，并不断在中国周边部署包括萨德雷</w:t>
      </w:r>
      <w:r>
        <w:rPr>
          <w:rFonts w:hint="eastAsia" w:ascii="宋体" w:hAnsi="宋体" w:eastAsia="宋体" w:cs="宋体"/>
          <w:color w:val="231F20"/>
          <w:spacing w:val="4"/>
          <w:sz w:val="21"/>
          <w:szCs w:val="21"/>
        </w:rPr>
        <w:t>达、堤丰中程导弹、F22飞机等先进武器系统。</w:t>
      </w:r>
      <w:r>
        <w:rPr>
          <w:rFonts w:hint="eastAsia" w:ascii="宋体" w:hAnsi="宋体" w:eastAsia="宋体" w:cs="宋体"/>
          <w:color w:val="231F20"/>
          <w:spacing w:val="7"/>
          <w:sz w:val="21"/>
          <w:szCs w:val="21"/>
        </w:rPr>
        <w:t>在台湾问题上，美国不断加大军售力度，增派</w:t>
      </w:r>
      <w:r>
        <w:rPr>
          <w:rFonts w:hint="eastAsia" w:ascii="宋体" w:hAnsi="宋体" w:eastAsia="宋体" w:cs="宋体"/>
          <w:color w:val="231F20"/>
          <w:spacing w:val="6"/>
          <w:sz w:val="21"/>
          <w:szCs w:val="21"/>
        </w:rPr>
        <w:t>军事力量常驻台湾，为台独势力撑腰打气。在</w:t>
      </w:r>
      <w:r>
        <w:rPr>
          <w:rFonts w:hint="eastAsia" w:ascii="宋体" w:hAnsi="宋体" w:eastAsia="宋体" w:cs="宋体"/>
          <w:color w:val="231F20"/>
          <w:spacing w:val="13"/>
          <w:sz w:val="21"/>
          <w:szCs w:val="21"/>
        </w:rPr>
        <w:t>国防预算上，2024年美国国防预算高达8863</w:t>
      </w:r>
      <w:r>
        <w:rPr>
          <w:rFonts w:hint="eastAsia" w:ascii="宋体" w:hAnsi="宋体" w:eastAsia="宋体" w:cs="宋体"/>
          <w:color w:val="231F20"/>
          <w:spacing w:val="4"/>
          <w:sz w:val="21"/>
          <w:szCs w:val="21"/>
        </w:rPr>
        <w:t>亿美元，占国民生产总值3.2%，创冷战后美国</w:t>
      </w:r>
      <w:r>
        <w:rPr>
          <w:rFonts w:hint="eastAsia" w:ascii="宋体" w:hAnsi="宋体" w:eastAsia="宋体" w:cs="宋体"/>
          <w:color w:val="231F20"/>
          <w:spacing w:val="16"/>
          <w:sz w:val="21"/>
          <w:szCs w:val="21"/>
        </w:rPr>
        <w:t>和平年代比值之最。最近美国特朗普政府提</w:t>
      </w:r>
      <w:r>
        <w:rPr>
          <w:rFonts w:hint="eastAsia" w:ascii="宋体" w:hAnsi="宋体" w:eastAsia="宋体" w:cs="宋体"/>
          <w:color w:val="231F20"/>
          <w:spacing w:val="9"/>
          <w:sz w:val="21"/>
          <w:szCs w:val="21"/>
        </w:rPr>
        <w:t>出2027财年军费预算高达1.5万亿美元，较</w:t>
      </w:r>
      <w:r>
        <w:rPr>
          <w:rFonts w:hint="eastAsia" w:ascii="宋体" w:hAnsi="宋体" w:eastAsia="宋体" w:cs="宋体"/>
          <w:color w:val="231F20"/>
          <w:spacing w:val="10"/>
          <w:sz w:val="21"/>
          <w:szCs w:val="21"/>
        </w:rPr>
        <w:t>2026财年9010亿美元暴涨50%，创下历史最</w:t>
      </w:r>
      <w:r>
        <w:rPr>
          <w:rFonts w:hint="eastAsia" w:ascii="宋体" w:hAnsi="宋体" w:eastAsia="宋体" w:cs="宋体"/>
          <w:color w:val="231F20"/>
          <w:spacing w:val="8"/>
          <w:sz w:val="21"/>
          <w:szCs w:val="21"/>
        </w:rPr>
        <w:t>大增幅纪录。2024年6月，拜登签署美国最新</w:t>
      </w:r>
      <w:r>
        <w:rPr>
          <w:rFonts w:hint="eastAsia" w:ascii="宋体" w:hAnsi="宋体" w:eastAsia="宋体" w:cs="宋体"/>
          <w:color w:val="231F20"/>
          <w:spacing w:val="7"/>
          <w:sz w:val="21"/>
          <w:szCs w:val="21"/>
        </w:rPr>
        <w:t>核武器使用条件指令，明确将矛头指向中俄等</w:t>
      </w:r>
      <w:r>
        <w:rPr>
          <w:rFonts w:hint="eastAsia" w:ascii="宋体" w:hAnsi="宋体" w:eastAsia="宋体" w:cs="宋体"/>
          <w:color w:val="231F20"/>
          <w:spacing w:val="3"/>
          <w:sz w:val="21"/>
          <w:szCs w:val="21"/>
        </w:rPr>
        <w:t>国。2021年以来，日本突破和平宪法，不断提</w:t>
      </w:r>
      <w:r>
        <w:rPr>
          <w:rFonts w:hint="eastAsia" w:ascii="宋体" w:hAnsi="宋体" w:eastAsia="宋体" w:cs="宋体"/>
          <w:color w:val="231F20"/>
          <w:spacing w:val="7"/>
          <w:sz w:val="21"/>
          <w:szCs w:val="21"/>
        </w:rPr>
        <w:t>高军费开支，向国外出售武器，购买美国进攻性先进武器，成立联合舰队（类似偷袭甲午海</w:t>
      </w:r>
      <w:r>
        <w:rPr>
          <w:rFonts w:hint="eastAsia" w:ascii="宋体" w:hAnsi="宋体" w:eastAsia="宋体" w:cs="宋体"/>
          <w:color w:val="231F20"/>
          <w:spacing w:val="8"/>
          <w:sz w:val="21"/>
          <w:szCs w:val="21"/>
        </w:rPr>
        <w:t>战、日俄战争、美军珍珠港的混合部队</w:t>
      </w:r>
      <w:r>
        <w:rPr>
          <w:rFonts w:hint="eastAsia" w:ascii="宋体" w:hAnsi="宋体" w:eastAsia="宋体" w:cs="宋体"/>
          <w:color w:val="231F20"/>
          <w:spacing w:val="-82"/>
          <w:w w:val="92"/>
          <w:sz w:val="21"/>
          <w:szCs w:val="21"/>
        </w:rPr>
        <w:t>），</w:t>
      </w:r>
      <w:r>
        <w:rPr>
          <w:rFonts w:hint="eastAsia" w:ascii="宋体" w:hAnsi="宋体" w:eastAsia="宋体" w:cs="宋体"/>
          <w:color w:val="231F20"/>
          <w:spacing w:val="8"/>
          <w:sz w:val="21"/>
          <w:szCs w:val="21"/>
        </w:rPr>
        <w:t>多次</w:t>
      </w:r>
      <w:r>
        <w:rPr>
          <w:rFonts w:hint="eastAsia" w:ascii="宋体" w:hAnsi="宋体" w:eastAsia="宋体" w:cs="宋体"/>
          <w:color w:val="231F20"/>
          <w:spacing w:val="-2"/>
          <w:sz w:val="21"/>
          <w:szCs w:val="21"/>
        </w:rPr>
        <w:t>宣称“台湾有事就是日本有事”，日本军国主义全面复活。2025年3月17日和27日，中国外</w:t>
      </w:r>
      <w:r>
        <w:rPr>
          <w:rFonts w:hint="eastAsia" w:ascii="宋体" w:hAnsi="宋体" w:eastAsia="宋体" w:cs="宋体"/>
          <w:color w:val="231F20"/>
          <w:spacing w:val="7"/>
          <w:sz w:val="21"/>
          <w:szCs w:val="21"/>
        </w:rPr>
        <w:t>交部、国防部发言人分别表示：近日七国集团</w:t>
      </w:r>
      <w:r>
        <w:rPr>
          <w:rFonts w:hint="eastAsia" w:ascii="宋体" w:hAnsi="宋体" w:eastAsia="宋体" w:cs="宋体"/>
          <w:color w:val="231F20"/>
          <w:spacing w:val="11"/>
          <w:sz w:val="21"/>
          <w:szCs w:val="21"/>
        </w:rPr>
        <w:t>外长会联合声明及有关宣言，诬蔑抹黑中国，</w:t>
      </w:r>
      <w:r>
        <w:rPr>
          <w:rFonts w:hint="eastAsia" w:ascii="宋体" w:hAnsi="宋体" w:eastAsia="宋体" w:cs="宋体"/>
          <w:color w:val="231F20"/>
          <w:spacing w:val="-2"/>
          <w:sz w:val="21"/>
          <w:szCs w:val="21"/>
        </w:rPr>
        <w:t>干涉中国内政，中方强烈不满、坚决反对，已向</w:t>
      </w:r>
      <w:r>
        <w:rPr>
          <w:rFonts w:hint="eastAsia" w:ascii="宋体" w:hAnsi="宋体" w:eastAsia="宋体" w:cs="宋体"/>
          <w:color w:val="231F20"/>
          <w:spacing w:val="7"/>
          <w:sz w:val="21"/>
          <w:szCs w:val="21"/>
        </w:rPr>
        <w:t>有关国家提出严正交涉；在涉核领域，七国集</w:t>
      </w:r>
      <w:r>
        <w:rPr>
          <w:rFonts w:hint="eastAsia" w:ascii="宋体" w:hAnsi="宋体" w:eastAsia="宋体" w:cs="宋体"/>
          <w:color w:val="231F20"/>
          <w:spacing w:val="11"/>
          <w:sz w:val="21"/>
          <w:szCs w:val="21"/>
        </w:rPr>
        <w:t>团应切实反躬自省，没资格对中国说三道四；</w:t>
      </w:r>
      <w:r>
        <w:rPr>
          <w:rFonts w:hint="eastAsia" w:ascii="宋体" w:hAnsi="宋体" w:eastAsia="宋体" w:cs="宋体"/>
          <w:color w:val="231F20"/>
          <w:spacing w:val="7"/>
          <w:sz w:val="21"/>
          <w:szCs w:val="21"/>
        </w:rPr>
        <w:t>在东海南海问题上，中方正同相关国家通过对话磋商和平解决争议，同时坚定维护自身领土</w:t>
      </w:r>
      <w:r>
        <w:rPr>
          <w:rFonts w:hint="eastAsia" w:ascii="宋体" w:hAnsi="宋体" w:eastAsia="宋体" w:cs="宋体"/>
          <w:color w:val="231F20"/>
          <w:spacing w:val="18"/>
          <w:sz w:val="21"/>
          <w:szCs w:val="21"/>
        </w:rPr>
        <w:t>主权和海洋权益，坚决反对域外国家挑衅滋</w:t>
      </w:r>
      <w:r>
        <w:rPr>
          <w:rFonts w:hint="eastAsia" w:ascii="宋体" w:hAnsi="宋体" w:eastAsia="宋体" w:cs="宋体"/>
          <w:color w:val="231F20"/>
          <w:spacing w:val="1"/>
          <w:sz w:val="21"/>
          <w:szCs w:val="21"/>
        </w:rPr>
        <w:t>事、破坏地区和平稳定；台湾是中国的一部分，</w:t>
      </w:r>
      <w:r>
        <w:rPr>
          <w:rFonts w:hint="eastAsia" w:ascii="宋体" w:hAnsi="宋体" w:eastAsia="宋体" w:cs="宋体"/>
          <w:color w:val="231F20"/>
          <w:spacing w:val="5"/>
          <w:sz w:val="21"/>
          <w:szCs w:val="21"/>
        </w:rPr>
        <w:t>台湾问题不容任何外来干涉。</w:t>
      </w:r>
    </w:p>
    <w:p w14:paraId="0D8BA4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6"/>
          <w:sz w:val="21"/>
          <w:szCs w:val="21"/>
        </w:rPr>
        <w:t>第四，国际治理机制无力和失能。新老帝</w:t>
      </w:r>
      <w:r>
        <w:rPr>
          <w:rFonts w:hint="eastAsia" w:ascii="宋体" w:hAnsi="宋体" w:eastAsia="宋体" w:cs="宋体"/>
          <w:color w:val="231F20"/>
          <w:spacing w:val="18"/>
          <w:sz w:val="21"/>
          <w:szCs w:val="21"/>
        </w:rPr>
        <w:t>国主义列强争霸导致国际治理机制的无力失</w:t>
      </w:r>
      <w:r>
        <w:rPr>
          <w:rFonts w:hint="eastAsia" w:ascii="宋体" w:hAnsi="宋体" w:eastAsia="宋体" w:cs="宋体"/>
          <w:color w:val="231F20"/>
          <w:spacing w:val="7"/>
          <w:sz w:val="21"/>
          <w:szCs w:val="21"/>
        </w:rPr>
        <w:t>能，是世界大战和局部战争爆发的另一重要因</w:t>
      </w:r>
      <w:r>
        <w:rPr>
          <w:rFonts w:hint="eastAsia" w:ascii="宋体" w:hAnsi="宋体" w:eastAsia="宋体" w:cs="宋体"/>
          <w:color w:val="231F20"/>
          <w:spacing w:val="15"/>
          <w:sz w:val="21"/>
          <w:szCs w:val="21"/>
        </w:rPr>
        <w:t>素。一战、二战前的维也纳条约和凡尔赛条</w:t>
      </w:r>
      <w:r>
        <w:rPr>
          <w:rFonts w:hint="eastAsia" w:ascii="宋体" w:hAnsi="宋体" w:eastAsia="宋体" w:cs="宋体"/>
          <w:color w:val="231F20"/>
          <w:spacing w:val="7"/>
          <w:sz w:val="21"/>
          <w:szCs w:val="21"/>
        </w:rPr>
        <w:t>约，在维护欧洲列强平衡、避免大国战争中都</w:t>
      </w:r>
      <w:r>
        <w:rPr>
          <w:rFonts w:hint="eastAsia" w:ascii="宋体" w:hAnsi="宋体" w:eastAsia="宋体" w:cs="宋体"/>
          <w:color w:val="231F20"/>
          <w:spacing w:val="6"/>
          <w:sz w:val="21"/>
          <w:szCs w:val="21"/>
        </w:rPr>
        <w:t>曾发挥重要作用。二战后成立的联合国，是为</w:t>
      </w:r>
      <w:r>
        <w:rPr>
          <w:rFonts w:hint="eastAsia" w:ascii="宋体" w:hAnsi="宋体" w:eastAsia="宋体" w:cs="宋体"/>
          <w:color w:val="231F20"/>
          <w:spacing w:val="18"/>
          <w:sz w:val="21"/>
          <w:szCs w:val="21"/>
        </w:rPr>
        <w:t>避免再次爆发世界大战而设立的最重要国际</w:t>
      </w:r>
      <w:r>
        <w:rPr>
          <w:rFonts w:hint="eastAsia" w:ascii="宋体" w:hAnsi="宋体" w:eastAsia="宋体" w:cs="宋体"/>
          <w:color w:val="231F20"/>
          <w:spacing w:val="17"/>
          <w:sz w:val="21"/>
          <w:szCs w:val="21"/>
        </w:rPr>
        <w:t>多边协调机构。其权威性理应得到成员国广</w:t>
      </w:r>
      <w:r>
        <w:rPr>
          <w:rFonts w:hint="eastAsia" w:ascii="宋体" w:hAnsi="宋体" w:eastAsia="宋体" w:cs="宋体"/>
          <w:color w:val="231F20"/>
          <w:spacing w:val="5"/>
          <w:sz w:val="21"/>
          <w:szCs w:val="21"/>
        </w:rPr>
        <w:t>泛尊重。然而，在美西方国家合则用、不合则</w:t>
      </w:r>
      <w:r>
        <w:rPr>
          <w:rFonts w:hint="eastAsia" w:ascii="宋体" w:hAnsi="宋体" w:eastAsia="宋体" w:cs="宋体"/>
          <w:color w:val="231F20"/>
          <w:spacing w:val="7"/>
          <w:sz w:val="21"/>
          <w:szCs w:val="21"/>
        </w:rPr>
        <w:t>弃的实用主义原则影响下，联合国坚持公平正</w:t>
      </w:r>
      <w:r>
        <w:rPr>
          <w:rFonts w:hint="eastAsia" w:ascii="宋体" w:hAnsi="宋体" w:eastAsia="宋体" w:cs="宋体"/>
          <w:color w:val="231F20"/>
          <w:spacing w:val="5"/>
          <w:sz w:val="21"/>
          <w:szCs w:val="21"/>
        </w:rPr>
        <w:t>义、维护世界和平的能力大打折扣。1999年，</w:t>
      </w:r>
      <w:r>
        <w:rPr>
          <w:rFonts w:hint="eastAsia" w:ascii="宋体" w:hAnsi="宋体" w:eastAsia="宋体" w:cs="宋体"/>
          <w:color w:val="231F20"/>
          <w:spacing w:val="7"/>
          <w:sz w:val="21"/>
          <w:szCs w:val="21"/>
        </w:rPr>
        <w:t>以美国为首的北约军队，在没有获得联合国授</w:t>
      </w:r>
      <w:r>
        <w:rPr>
          <w:rFonts w:hint="eastAsia" w:ascii="宋体" w:hAnsi="宋体" w:eastAsia="宋体" w:cs="宋体"/>
          <w:color w:val="231F20"/>
          <w:spacing w:val="18"/>
          <w:sz w:val="21"/>
          <w:szCs w:val="21"/>
        </w:rPr>
        <w:t>权的情况下，悍然对主权国家南联盟实施空</w:t>
      </w:r>
      <w:r>
        <w:rPr>
          <w:rFonts w:hint="eastAsia" w:ascii="宋体" w:hAnsi="宋体" w:eastAsia="宋体" w:cs="宋体"/>
          <w:color w:val="231F20"/>
          <w:spacing w:val="15"/>
          <w:sz w:val="21"/>
          <w:szCs w:val="21"/>
        </w:rPr>
        <w:t>袭。北约这一行动，严重损害了联合国的权</w:t>
      </w:r>
      <w:r>
        <w:rPr>
          <w:rFonts w:hint="eastAsia" w:ascii="宋体" w:hAnsi="宋体" w:eastAsia="宋体" w:cs="宋体"/>
          <w:color w:val="231F20"/>
          <w:spacing w:val="8"/>
          <w:sz w:val="21"/>
          <w:szCs w:val="21"/>
        </w:rPr>
        <w:t>威，在国际关系史上开创了恶劣先例。又如，</w:t>
      </w:r>
      <w:r>
        <w:rPr>
          <w:rFonts w:hint="eastAsia" w:ascii="宋体" w:hAnsi="宋体" w:eastAsia="宋体" w:cs="宋体"/>
          <w:color w:val="231F20"/>
          <w:spacing w:val="10"/>
          <w:sz w:val="21"/>
          <w:szCs w:val="21"/>
        </w:rPr>
        <w:t>当前俄乌冲突已将近3年，双方死伤人数远超</w:t>
      </w:r>
      <w:r>
        <w:rPr>
          <w:rFonts w:hint="eastAsia" w:ascii="宋体" w:hAnsi="宋体" w:eastAsia="宋体" w:cs="宋体"/>
          <w:color w:val="231F20"/>
          <w:spacing w:val="7"/>
          <w:sz w:val="21"/>
          <w:szCs w:val="21"/>
        </w:rPr>
        <w:t>百万。2023年10月以来，以色列在</w:t>
      </w:r>
      <w:r>
        <w:rPr>
          <w:rFonts w:hint="eastAsia" w:ascii="宋体" w:hAnsi="宋体" w:eastAsia="宋体" w:cs="宋体"/>
          <w:color w:val="231F20"/>
          <w:spacing w:val="6"/>
          <w:sz w:val="21"/>
          <w:szCs w:val="21"/>
        </w:rPr>
        <w:t>加沙地带</w:t>
      </w:r>
      <w:r>
        <w:rPr>
          <w:rFonts w:hint="eastAsia" w:ascii="宋体" w:hAnsi="宋体" w:eastAsia="宋体" w:cs="宋体"/>
          <w:color w:val="231F20"/>
          <w:spacing w:val="7"/>
          <w:sz w:val="21"/>
          <w:szCs w:val="21"/>
        </w:rPr>
        <w:t>对巴勒斯坦民众实施种族灭绝政策，已至少导</w:t>
      </w:r>
      <w:r>
        <w:rPr>
          <w:rFonts w:hint="eastAsia" w:ascii="宋体" w:hAnsi="宋体" w:eastAsia="宋体" w:cs="宋体"/>
          <w:color w:val="231F20"/>
          <w:spacing w:val="11"/>
          <w:sz w:val="21"/>
          <w:szCs w:val="21"/>
        </w:rPr>
        <w:t>致4万平民死亡和10万民众受伤。加沙基础</w:t>
      </w:r>
      <w:r>
        <w:rPr>
          <w:rFonts w:hint="eastAsia" w:ascii="宋体" w:hAnsi="宋体" w:eastAsia="宋体" w:cs="宋体"/>
          <w:color w:val="231F20"/>
          <w:spacing w:val="7"/>
          <w:sz w:val="21"/>
          <w:szCs w:val="21"/>
        </w:rPr>
        <w:t>实施几乎被夷为平地，百万平民面临断水断粮</w:t>
      </w:r>
      <w:r>
        <w:rPr>
          <w:rFonts w:hint="eastAsia" w:ascii="宋体" w:hAnsi="宋体" w:eastAsia="宋体" w:cs="宋体"/>
          <w:color w:val="231F20"/>
          <w:spacing w:val="5"/>
          <w:sz w:val="21"/>
          <w:szCs w:val="21"/>
        </w:rPr>
        <w:t>威胁。面对巴以冲突，美以侵略伊朗等严重违</w:t>
      </w:r>
      <w:r>
        <w:rPr>
          <w:rFonts w:hint="eastAsia" w:ascii="宋体" w:hAnsi="宋体" w:eastAsia="宋体" w:cs="宋体"/>
          <w:color w:val="231F20"/>
          <w:spacing w:val="7"/>
          <w:sz w:val="21"/>
          <w:szCs w:val="21"/>
        </w:rPr>
        <w:t>反联合国宪章和国际法的行径，联合国安理会</w:t>
      </w:r>
      <w:r>
        <w:rPr>
          <w:rFonts w:hint="eastAsia" w:ascii="宋体" w:hAnsi="宋体" w:eastAsia="宋体" w:cs="宋体"/>
          <w:color w:val="231F20"/>
          <w:spacing w:val="18"/>
          <w:sz w:val="21"/>
          <w:szCs w:val="21"/>
        </w:rPr>
        <w:t>却始终无法就停战达成一致并采取有效措施</w:t>
      </w:r>
      <w:r>
        <w:rPr>
          <w:rFonts w:hint="eastAsia" w:ascii="宋体" w:hAnsi="宋体" w:eastAsia="宋体" w:cs="宋体"/>
          <w:color w:val="231F20"/>
          <w:spacing w:val="5"/>
          <w:sz w:val="21"/>
          <w:szCs w:val="21"/>
        </w:rPr>
        <w:t>立刻制止战争。2024年9月18日，联合国大会</w:t>
      </w:r>
      <w:r>
        <w:rPr>
          <w:rFonts w:hint="eastAsia" w:ascii="宋体" w:hAnsi="宋体" w:eastAsia="宋体" w:cs="宋体"/>
          <w:color w:val="231F20"/>
          <w:spacing w:val="4"/>
          <w:sz w:val="21"/>
          <w:szCs w:val="21"/>
        </w:rPr>
        <w:t>以压倒性多数通过决议，要求以色列在12个月</w:t>
      </w:r>
      <w:r>
        <w:rPr>
          <w:rFonts w:hint="eastAsia" w:ascii="宋体" w:hAnsi="宋体" w:eastAsia="宋体" w:cs="宋体"/>
          <w:color w:val="231F20"/>
          <w:spacing w:val="6"/>
          <w:sz w:val="21"/>
          <w:szCs w:val="21"/>
        </w:rPr>
        <w:t>内结束对巴勒斯坦非法占领。美国、以色列等</w:t>
      </w:r>
      <w:r>
        <w:rPr>
          <w:rFonts w:hint="eastAsia" w:ascii="宋体" w:hAnsi="宋体" w:eastAsia="宋体" w:cs="宋体"/>
          <w:color w:val="231F20"/>
          <w:spacing w:val="13"/>
          <w:sz w:val="21"/>
          <w:szCs w:val="21"/>
        </w:rPr>
        <w:t>14国对此投了反对票。美西方国家霸权行径</w:t>
      </w:r>
      <w:r>
        <w:rPr>
          <w:rFonts w:hint="eastAsia" w:ascii="宋体" w:hAnsi="宋体" w:eastAsia="宋体" w:cs="宋体"/>
          <w:color w:val="231F20"/>
          <w:spacing w:val="7"/>
          <w:sz w:val="21"/>
          <w:szCs w:val="21"/>
        </w:rPr>
        <w:t>和双标做派，使联合国维护世界和平、制止战争的权威性受到极大挑战，凸显当前国际治理</w:t>
      </w:r>
      <w:r>
        <w:rPr>
          <w:rFonts w:hint="eastAsia" w:ascii="宋体" w:hAnsi="宋体" w:eastAsia="宋体" w:cs="宋体"/>
          <w:color w:val="231F20"/>
          <w:spacing w:val="8"/>
          <w:sz w:val="21"/>
          <w:szCs w:val="21"/>
        </w:rPr>
        <w:t>的无力和失能。</w:t>
      </w:r>
    </w:p>
    <w:p w14:paraId="0773553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7"/>
          <w:sz w:val="21"/>
          <w:szCs w:val="21"/>
        </w:rPr>
        <w:t>在百年未有大变局背景下，新法西斯主义势力在美西方国家加速滋长，全球人民必须保</w:t>
      </w:r>
      <w:r>
        <w:rPr>
          <w:rFonts w:hint="eastAsia" w:ascii="宋体" w:hAnsi="宋体" w:eastAsia="宋体" w:cs="宋体"/>
          <w:color w:val="231F20"/>
          <w:spacing w:val="6"/>
          <w:sz w:val="21"/>
          <w:szCs w:val="21"/>
        </w:rPr>
        <w:t>持高度警惕。选择和平还是战争、多极还是独</w:t>
      </w:r>
      <w:r>
        <w:rPr>
          <w:rFonts w:hint="eastAsia" w:ascii="宋体" w:hAnsi="宋体" w:eastAsia="宋体" w:cs="宋体"/>
          <w:color w:val="231F20"/>
          <w:spacing w:val="-3"/>
          <w:sz w:val="21"/>
          <w:szCs w:val="21"/>
        </w:rPr>
        <w:t>霸、民主还是专制、合作还是制裁，这是当今世界无法回避的现实问题。“偏见和歧视、仇恨和</w:t>
      </w:r>
      <w:r>
        <w:rPr>
          <w:rFonts w:hint="eastAsia" w:ascii="宋体" w:hAnsi="宋体" w:eastAsia="宋体" w:cs="宋体"/>
          <w:color w:val="231F20"/>
          <w:spacing w:val="6"/>
          <w:sz w:val="21"/>
          <w:szCs w:val="21"/>
        </w:rPr>
        <w:t>战争，只会带来灾难和痛苦。相互尊重、平等</w:t>
      </w:r>
      <w:r>
        <w:rPr>
          <w:rFonts w:hint="eastAsia" w:ascii="宋体" w:hAnsi="宋体" w:eastAsia="宋体" w:cs="宋体"/>
          <w:color w:val="231F20"/>
          <w:spacing w:val="23"/>
          <w:sz w:val="21"/>
          <w:szCs w:val="21"/>
        </w:rPr>
        <w:t>相处、和平发展、共同繁荣，才是人间正</w:t>
      </w:r>
      <w:r>
        <w:rPr>
          <w:rFonts w:hint="eastAsia" w:ascii="宋体" w:hAnsi="宋体" w:eastAsia="宋体" w:cs="宋体"/>
          <w:color w:val="231F20"/>
          <w:spacing w:val="-17"/>
          <w:position w:val="-1"/>
          <w:sz w:val="21"/>
          <w:szCs w:val="21"/>
        </w:rPr>
        <w:t>道。”</w:t>
      </w:r>
      <w:r>
        <w:rPr>
          <w:rFonts w:hint="eastAsia" w:ascii="宋体" w:hAnsi="宋体" w:eastAsia="宋体" w:cs="宋体"/>
          <w:color w:val="231F20"/>
          <w:spacing w:val="-4"/>
          <w:position w:val="7"/>
          <w:sz w:val="21"/>
          <w:szCs w:val="21"/>
        </w:rPr>
        <w:t>[15](p.4)</w:t>
      </w:r>
      <w:r>
        <w:rPr>
          <w:rFonts w:hint="eastAsia" w:ascii="宋体" w:hAnsi="宋体" w:eastAsia="宋体" w:cs="宋体"/>
          <w:color w:val="231F20"/>
          <w:spacing w:val="-4"/>
          <w:position w:val="-1"/>
          <w:sz w:val="21"/>
          <w:szCs w:val="21"/>
        </w:rPr>
        <w:t>全球共产党、左翼政治力量、南方国</w:t>
      </w:r>
      <w:r>
        <w:rPr>
          <w:rFonts w:hint="eastAsia" w:ascii="宋体" w:hAnsi="宋体" w:eastAsia="宋体" w:cs="宋体"/>
          <w:color w:val="231F20"/>
          <w:spacing w:val="-3"/>
          <w:sz w:val="21"/>
          <w:szCs w:val="21"/>
        </w:rPr>
        <w:t>家、一切爱好和平的人们，应从全球解决主要矛盾的大局出发，达成共识，团结起来，与之展开</w:t>
      </w:r>
      <w:r>
        <w:rPr>
          <w:rFonts w:hint="eastAsia" w:ascii="宋体" w:hAnsi="宋体" w:eastAsia="宋体" w:cs="宋体"/>
          <w:color w:val="231F20"/>
          <w:spacing w:val="4"/>
          <w:sz w:val="21"/>
          <w:szCs w:val="21"/>
        </w:rPr>
        <w:t>最坚决斗争。</w:t>
      </w:r>
    </w:p>
    <w:p w14:paraId="42AEB2B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p>
    <w:p w14:paraId="77E83FD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3"/>
          <w:position w:val="1"/>
          <w:sz w:val="21"/>
          <w:szCs w:val="21"/>
        </w:rPr>
        <w:t>[参考文献]</w:t>
      </w:r>
    </w:p>
    <w:p w14:paraId="241DB48C">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8"/>
          <w:sz w:val="21"/>
          <w:szCs w:val="21"/>
        </w:rPr>
        <w:t>[1]中华人民共和国和俄罗斯联邦在纪念中国人民抗日战争、</w:t>
      </w:r>
      <w:r>
        <w:rPr>
          <w:rFonts w:hint="eastAsia" w:ascii="宋体" w:hAnsi="宋体" w:eastAsia="宋体" w:cs="宋体"/>
          <w:color w:val="231F20"/>
          <w:spacing w:val="13"/>
          <w:sz w:val="21"/>
          <w:szCs w:val="21"/>
        </w:rPr>
        <w:t>苏联伟大卫国战争胜利和联合国成立80周年之际关于进</w:t>
      </w:r>
      <w:r>
        <w:rPr>
          <w:rFonts w:hint="eastAsia" w:ascii="宋体" w:hAnsi="宋体" w:eastAsia="宋体" w:cs="宋体"/>
          <w:color w:val="231F20"/>
          <w:spacing w:val="16"/>
          <w:sz w:val="21"/>
          <w:szCs w:val="21"/>
        </w:rPr>
        <w:t>一步深化中俄新时代全面战略协作伙伴关系的联合声明</w:t>
      </w:r>
      <w:r>
        <w:rPr>
          <w:rFonts w:hint="eastAsia" w:ascii="宋体" w:hAnsi="宋体" w:eastAsia="宋体" w:cs="宋体"/>
          <w:color w:val="231F20"/>
          <w:sz w:val="21"/>
          <w:szCs w:val="21"/>
        </w:rPr>
        <w:t>[N].人民日报海外版，2025-05-09.</w:t>
      </w:r>
    </w:p>
    <w:p w14:paraId="0EDB0BF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2"/>
          <w:sz w:val="21"/>
          <w:szCs w:val="21"/>
        </w:rPr>
        <w:t>[2][埃]萨米尔·阿明，宾建成.法西斯主义在当代资本主义的</w:t>
      </w:r>
      <w:r>
        <w:rPr>
          <w:rFonts w:hint="eastAsia" w:ascii="宋体" w:hAnsi="宋体" w:eastAsia="宋体" w:cs="宋体"/>
          <w:color w:val="231F20"/>
          <w:spacing w:val="-11"/>
          <w:sz w:val="21"/>
          <w:szCs w:val="21"/>
        </w:rPr>
        <w:t>复辟[J].国外理论动态，2022，(9).</w:t>
      </w:r>
    </w:p>
    <w:p w14:paraId="1F21B9C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r>
        <w:rPr>
          <w:rFonts w:hint="eastAsia" w:ascii="宋体" w:hAnsi="宋体" w:eastAsia="宋体" w:cs="宋体"/>
          <w:color w:val="231F20"/>
          <w:sz w:val="21"/>
          <w:szCs w:val="21"/>
        </w:rPr>
        <w:t>[3][美]亨利·吉鲁,吴万伟，张琪.新</w:t>
      </w:r>
      <w:r>
        <w:rPr>
          <w:rFonts w:hint="eastAsia" w:ascii="宋体" w:hAnsi="宋体" w:eastAsia="宋体" w:cs="宋体"/>
          <w:color w:val="231F20"/>
          <w:spacing w:val="-1"/>
          <w:sz w:val="21"/>
          <w:szCs w:val="21"/>
        </w:rPr>
        <w:t>自由主义的法西斯主义批</w:t>
      </w:r>
      <w:r>
        <w:rPr>
          <w:rFonts w:hint="eastAsia" w:ascii="宋体" w:hAnsi="宋体" w:eastAsia="宋体" w:cs="宋体"/>
          <w:color w:val="231F20"/>
          <w:spacing w:val="-11"/>
          <w:sz w:val="21"/>
          <w:szCs w:val="21"/>
        </w:rPr>
        <w:t>判[J].国外理论动态，2018，(12).</w:t>
      </w:r>
    </w:p>
    <w:p w14:paraId="0CBA7BA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[4]Stiglitz,JosephE.Ofthe1%,bythe1%,forthe1%[J</w:t>
      </w:r>
      <w:r>
        <w:rPr>
          <w:rFonts w:hint="eastAsia" w:ascii="宋体" w:hAnsi="宋体" w:eastAsia="宋体" w:cs="宋体"/>
          <w:color w:val="231F20"/>
          <w:spacing w:val="-11"/>
          <w:sz w:val="21"/>
          <w:szCs w:val="21"/>
        </w:rPr>
        <w:t>].Vanity</w:t>
      </w:r>
      <w:r>
        <w:rPr>
          <w:rFonts w:hint="eastAsia" w:ascii="宋体" w:hAnsi="宋体" w:eastAsia="宋体" w:cs="宋体"/>
          <w:color w:val="231F20"/>
          <w:spacing w:val="-14"/>
          <w:sz w:val="21"/>
          <w:szCs w:val="21"/>
        </w:rPr>
        <w:t>Fair,2011，(5).</w:t>
      </w:r>
    </w:p>
    <w:p w14:paraId="4CB0F1C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[5]蒲俊杰.政治性、自由主义、颠倒极权主义——谢尔登·沃</w:t>
      </w:r>
      <w:r>
        <w:rPr>
          <w:rFonts w:hint="eastAsia" w:ascii="宋体" w:hAnsi="宋体" w:eastAsia="宋体" w:cs="宋体"/>
          <w:color w:val="231F20"/>
          <w:spacing w:val="-5"/>
          <w:sz w:val="21"/>
          <w:szCs w:val="21"/>
        </w:rPr>
        <w:t>林政治哲学述评[J].国外社会科学，2</w:t>
      </w:r>
      <w:r>
        <w:rPr>
          <w:rFonts w:hint="eastAsia" w:ascii="宋体" w:hAnsi="宋体" w:eastAsia="宋体" w:cs="宋体"/>
          <w:color w:val="231F20"/>
          <w:spacing w:val="-6"/>
          <w:sz w:val="21"/>
          <w:szCs w:val="21"/>
        </w:rPr>
        <w:t>015，(5).</w:t>
      </w:r>
    </w:p>
    <w:p w14:paraId="63555189">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4"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[6]美国的霸权霸道霸凌及其危害[N].人民日报，2023-02-2</w:t>
      </w:r>
      <w:r>
        <w:rPr>
          <w:rFonts w:hint="eastAsia" w:ascii="宋体" w:hAnsi="宋体" w:eastAsia="宋体" w:cs="宋体"/>
          <w:color w:val="231F20"/>
          <w:sz w:val="21"/>
          <w:szCs w:val="21"/>
        </w:rPr>
        <w:t>1.</w:t>
      </w:r>
    </w:p>
    <w:p w14:paraId="2B5A6C8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hint="eastAsia" w:ascii="宋体" w:hAnsi="宋体" w:eastAsia="宋体" w:cs="宋体"/>
          <w:sz w:val="21"/>
          <w:szCs w:val="21"/>
        </w:rPr>
      </w:pPr>
      <w:r>
        <w:rPr>
          <w:rFonts w:hint="eastAsia" w:ascii="宋体" w:hAnsi="宋体" w:eastAsia="宋体" w:cs="宋体"/>
          <w:color w:val="231F20"/>
          <w:sz w:val="21"/>
          <w:szCs w:val="21"/>
        </w:rPr>
        <w:t>[7]徐振伟，霍特.阿根廷“转基因悲剧”的话语垄断及其中国</w:t>
      </w:r>
      <w:r>
        <w:rPr>
          <w:rFonts w:hint="eastAsia" w:ascii="宋体" w:hAnsi="宋体" w:eastAsia="宋体" w:cs="宋体"/>
          <w:color w:val="231F20"/>
          <w:spacing w:val="-9"/>
          <w:sz w:val="21"/>
          <w:szCs w:val="21"/>
        </w:rPr>
        <w:t>反思[J].国外社会科学前沿，2021，(4).</w:t>
      </w:r>
    </w:p>
    <w:p w14:paraId="66BECD97">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3"/>
          <w:position w:val="2"/>
          <w:sz w:val="21"/>
          <w:szCs w:val="21"/>
        </w:rPr>
        <w:t>[8]朱庭光主编.法西斯新论[M].重庆：重庆出版社，1991.</w:t>
      </w:r>
    </w:p>
    <w:p w14:paraId="154CDBC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2"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2"/>
          <w:sz w:val="21"/>
          <w:szCs w:val="21"/>
        </w:rPr>
        <w:t>[9][德]格尔哈德·帕普克.知识、自由与秩序[M].黄冰源等译，北京：中国社会科学出版社，2001.</w:t>
      </w:r>
    </w:p>
    <w:p w14:paraId="0207A78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5"/>
          <w:sz w:val="21"/>
          <w:szCs w:val="21"/>
        </w:rPr>
        <w:t>[10]罗纳德·W.考克斯，丹尼尔·斯基德莫尔·赫斯，周长民.新</w:t>
      </w:r>
      <w:r>
        <w:rPr>
          <w:rFonts w:hint="eastAsia" w:ascii="宋体" w:hAnsi="宋体" w:eastAsia="宋体" w:cs="宋体"/>
          <w:color w:val="231F20"/>
          <w:spacing w:val="6"/>
          <w:sz w:val="21"/>
          <w:szCs w:val="21"/>
        </w:rPr>
        <w:t>法西斯主义如何从新自由资本主义中崛起[J].马克思主义</w:t>
      </w:r>
      <w:r>
        <w:rPr>
          <w:rFonts w:hint="eastAsia" w:ascii="宋体" w:hAnsi="宋体" w:eastAsia="宋体" w:cs="宋体"/>
          <w:color w:val="231F20"/>
          <w:spacing w:val="-7"/>
          <w:sz w:val="21"/>
          <w:szCs w:val="21"/>
        </w:rPr>
        <w:t>理论教学与研究，2023，(3).</w:t>
      </w:r>
    </w:p>
    <w:p w14:paraId="1929354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3"/>
          <w:sz w:val="21"/>
          <w:szCs w:val="21"/>
        </w:rPr>
        <w:t>[11]尼尔·戴维森，理查德·萨鲁,杨颖等.新自由主义与极右翼</w:t>
      </w:r>
      <w:r>
        <w:rPr>
          <w:rFonts w:hint="eastAsia" w:ascii="宋体" w:hAnsi="宋体" w:eastAsia="宋体" w:cs="宋体"/>
          <w:color w:val="231F20"/>
          <w:spacing w:val="-6"/>
          <w:sz w:val="21"/>
          <w:szCs w:val="21"/>
        </w:rPr>
        <w:t>联姻：一个充满矛盾的组合[J].国外理论动态，2018，(1).</w:t>
      </w:r>
    </w:p>
    <w:p w14:paraId="22CC5F6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9"/>
          <w:sz w:val="21"/>
          <w:szCs w:val="21"/>
        </w:rPr>
        <w:t>[12]中共中央马克思恩格斯列宁斯大林著作编译局编.</w:t>
      </w:r>
      <w:r>
        <w:rPr>
          <w:rFonts w:hint="eastAsia" w:ascii="宋体" w:hAnsi="宋体" w:eastAsia="宋体" w:cs="宋体"/>
          <w:color w:val="231F20"/>
          <w:spacing w:val="8"/>
          <w:sz w:val="21"/>
          <w:szCs w:val="21"/>
        </w:rPr>
        <w:t>列宁</w:t>
      </w:r>
      <w:r>
        <w:rPr>
          <w:rFonts w:hint="eastAsia" w:ascii="宋体" w:hAnsi="宋体" w:eastAsia="宋体" w:cs="宋体"/>
          <w:color w:val="231F20"/>
          <w:spacing w:val="-5"/>
          <w:sz w:val="21"/>
          <w:szCs w:val="21"/>
        </w:rPr>
        <w:t>专题文集（论资本主义）[M].北京：人民出版社，</w:t>
      </w:r>
      <w:r>
        <w:rPr>
          <w:rFonts w:hint="eastAsia" w:ascii="宋体" w:hAnsi="宋体" w:eastAsia="宋体" w:cs="宋体"/>
          <w:color w:val="231F20"/>
          <w:spacing w:val="-6"/>
          <w:sz w:val="21"/>
          <w:szCs w:val="21"/>
        </w:rPr>
        <w:t>2009.</w:t>
      </w:r>
    </w:p>
    <w:p w14:paraId="60215DA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08"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3"/>
          <w:position w:val="2"/>
          <w:sz w:val="21"/>
          <w:szCs w:val="21"/>
        </w:rPr>
        <w:t>[13]斯大林.列宁主义问题[M].北京：人民出版社，1964.</w:t>
      </w:r>
    </w:p>
    <w:p w14:paraId="17E98B0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5"/>
          <w:sz w:val="21"/>
          <w:szCs w:val="21"/>
        </w:rPr>
        <w:t>[14]朱安东.危机中的资本主义：新</w:t>
      </w:r>
      <w:r>
        <w:rPr>
          <w:rFonts w:hint="eastAsia" w:ascii="宋体" w:hAnsi="宋体" w:eastAsia="宋体" w:cs="宋体"/>
          <w:color w:val="231F20"/>
          <w:spacing w:val="4"/>
          <w:sz w:val="21"/>
          <w:szCs w:val="21"/>
        </w:rPr>
        <w:t>自由主义、民粹主义和法</w:t>
      </w:r>
      <w:r>
        <w:rPr>
          <w:rFonts w:hint="eastAsia" w:ascii="宋体" w:hAnsi="宋体" w:eastAsia="宋体" w:cs="宋体"/>
          <w:color w:val="231F20"/>
          <w:spacing w:val="-6"/>
          <w:sz w:val="21"/>
          <w:szCs w:val="21"/>
        </w:rPr>
        <w:t>西斯主义[J].马克思主义与现实，2019，(5).</w:t>
      </w:r>
    </w:p>
    <w:p w14:paraId="23B8B0C4">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9"/>
          <w:sz w:val="21"/>
          <w:szCs w:val="21"/>
        </w:rPr>
        <w:t>[15]习近平在纪念中国人民抗日战争暨世界反法西斯战争胜</w:t>
      </w:r>
      <w:r>
        <w:rPr>
          <w:rFonts w:hint="eastAsia" w:ascii="宋体" w:hAnsi="宋体" w:eastAsia="宋体" w:cs="宋体"/>
          <w:color w:val="231F20"/>
          <w:spacing w:val="1"/>
          <w:sz w:val="21"/>
          <w:szCs w:val="21"/>
        </w:rPr>
        <w:t>利70周年系列活动上的讲话[M].北京：人民出版社，2015.</w:t>
      </w:r>
    </w:p>
    <w:p w14:paraId="4E6415D4">
      <w:pPr>
        <w:bidi w:val="0"/>
        <w:rPr>
          <w:rFonts w:hint="eastAsia"/>
          <w:lang w:val="en-US" w:eastAsia="zh-CN"/>
        </w:rPr>
      </w:pPr>
    </w:p>
    <w:p w14:paraId="3A1ECEEF">
      <w:pPr>
        <w:bidi w:val="0"/>
        <w:rPr>
          <w:rFonts w:hint="eastAsia"/>
          <w:lang w:val="en-US" w:eastAsia="zh-CN"/>
        </w:rPr>
      </w:pPr>
    </w:p>
    <w:p w14:paraId="4BADB90C">
      <w:pPr>
        <w:bidi w:val="0"/>
        <w:rPr>
          <w:rFonts w:hint="eastAsia"/>
          <w:lang w:val="en-US" w:eastAsia="zh-CN"/>
        </w:rPr>
      </w:pPr>
      <w:r>
        <w:rPr>
          <w:rFonts w:hint="eastAsia"/>
          <w:lang w:val="en-US" w:eastAsia="zh-CN"/>
        </w:rPr>
        <w:t>（原载《毛泽东邓小平理论研究》2026年第4期，第二作者为王学军。）</w:t>
      </w:r>
    </w:p>
    <w:p w14:paraId="23F451EA">
      <w:pPr>
        <w:bidi w:val="0"/>
        <w:rPr>
          <w:rFonts w:hint="eastAsia"/>
          <w:lang w:val="en-US" w:eastAsia="zh-CN"/>
        </w:rPr>
      </w:pPr>
    </w:p>
    <w:p w14:paraId="4AC85D0C">
      <w:pPr>
        <w:keepNext w:val="0"/>
        <w:keepLines w:val="0"/>
        <w:pageBreakBefore w:val="0"/>
        <w:widowControl w:val="0"/>
        <w:kinsoku/>
        <w:wordWrap/>
        <w:overflowPunct/>
        <w:topLinePunct w:val="0"/>
        <w:autoSpaceDE/>
        <w:autoSpaceDN/>
        <w:bidi w:val="0"/>
        <w:adjustRightInd w:val="0"/>
        <w:snapToGrid w:val="0"/>
        <w:spacing w:line="360" w:lineRule="auto"/>
        <w:ind w:firstLine="561" w:firstLineChars="200"/>
        <w:jc w:val="both"/>
        <w:textAlignment w:val="auto"/>
        <w:outlineLvl w:val="0"/>
        <w:rPr>
          <w:rFonts w:hint="eastAsia" w:ascii="宋体" w:hAnsi="宋体" w:eastAsia="宋体" w:cs="宋体"/>
          <w:sz w:val="21"/>
          <w:szCs w:val="21"/>
        </w:rPr>
      </w:pPr>
      <w:bookmarkStart w:id="1040" w:name="_Toc9205"/>
      <w:bookmarkStart w:id="1041" w:name="_Toc311650959"/>
      <w:bookmarkStart w:id="1042" w:name="_Toc421599060"/>
      <w:bookmarkStart w:id="1043" w:name="_Toc129483363"/>
      <w:bookmarkStart w:id="1044" w:name="_Toc1632493920"/>
      <w:bookmarkStart w:id="1045" w:name="_Toc1999526433"/>
      <w:r>
        <w:rPr>
          <w:rFonts w:hint="eastAsia" w:ascii="Times New Roman" w:hAnsi="Times New Roman" w:eastAsia="宋体"/>
          <w:b/>
          <w:bCs/>
          <w:sz w:val="28"/>
          <w:szCs w:val="28"/>
          <w:lang w:val="en-US" w:eastAsia="zh-CN"/>
        </w:rPr>
        <w:t>16</w:t>
      </w:r>
      <w:r>
        <w:rPr>
          <w:rFonts w:hint="default" w:ascii="Times New Roman" w:hAnsi="Times New Roman" w:eastAsia="宋体"/>
          <w:b/>
          <w:bCs/>
          <w:sz w:val="28"/>
          <w:szCs w:val="28"/>
          <w:lang w:val="en-US" w:eastAsia="zh-CN"/>
        </w:rPr>
        <w:t>高质量调查研究保障</w:t>
      </w:r>
      <w:r>
        <w:rPr>
          <w:rFonts w:hint="eastAsia" w:ascii="Times New Roman" w:hAnsi="Times New Roman" w:eastAsia="宋体"/>
          <w:b/>
          <w:bCs/>
          <w:sz w:val="28"/>
          <w:szCs w:val="28"/>
          <w:lang w:val="en-US" w:eastAsia="zh-CN"/>
        </w:rPr>
        <w:t>“十五五”</w:t>
      </w:r>
      <w:r>
        <w:rPr>
          <w:rFonts w:hint="default" w:ascii="Times New Roman" w:hAnsi="Times New Roman" w:eastAsia="宋体"/>
          <w:b/>
          <w:bCs/>
          <w:sz w:val="28"/>
          <w:szCs w:val="28"/>
          <w:lang w:val="en-US" w:eastAsia="zh-CN"/>
        </w:rPr>
        <w:t>规划科学制定</w:t>
      </w:r>
      <w:bookmarkEnd w:id="1040"/>
      <w:bookmarkEnd w:id="1041"/>
      <w:bookmarkEnd w:id="1042"/>
      <w:bookmarkEnd w:id="1043"/>
      <w:bookmarkEnd w:id="1044"/>
      <w:bookmarkEnd w:id="1045"/>
    </w:p>
    <w:p w14:paraId="1B85AE0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p>
    <w:p w14:paraId="3E5A7858">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20" w:firstLineChars="0"/>
        <w:jc w:val="both"/>
        <w:textAlignment w:val="baseline"/>
        <w:rPr>
          <w:rFonts w:hint="eastAsia" w:ascii="宋体" w:hAnsi="宋体" w:eastAsia="宋体" w:cs="宋体"/>
          <w:sz w:val="21"/>
          <w:szCs w:val="21"/>
        </w:rPr>
      </w:pPr>
      <w:r>
        <w:rPr>
          <w:rFonts w:hint="eastAsia" w:ascii="宋体" w:hAnsi="宋体" w:eastAsia="宋体" w:cs="宋体"/>
          <w:color w:val="231F20"/>
          <w:spacing w:val="-2"/>
          <w:sz w:val="21"/>
          <w:szCs w:val="21"/>
        </w:rPr>
        <w:t>调查研究是谋事之基、成事之道。党的二十届</w:t>
      </w:r>
      <w:r>
        <w:rPr>
          <w:rFonts w:hint="eastAsia" w:ascii="宋体" w:hAnsi="宋体" w:eastAsia="宋体" w:cs="宋体"/>
          <w:color w:val="231F20"/>
          <w:spacing w:val="3"/>
          <w:sz w:val="21"/>
          <w:szCs w:val="21"/>
        </w:rPr>
        <w:t>四中全会审议通过了《中共中央关于制定国民经济</w:t>
      </w:r>
      <w:r>
        <w:rPr>
          <w:rFonts w:hint="eastAsia" w:ascii="宋体" w:hAnsi="宋体" w:eastAsia="宋体" w:cs="宋体"/>
          <w:color w:val="231F20"/>
          <w:spacing w:val="-6"/>
          <w:sz w:val="21"/>
          <w:szCs w:val="21"/>
        </w:rPr>
        <w:t>和社会发展第十五个五年规划的建议》，为科学制定</w:t>
      </w:r>
      <w:r>
        <w:rPr>
          <w:rFonts w:hint="eastAsia" w:ascii="宋体" w:hAnsi="宋体" w:eastAsia="宋体" w:cs="宋体"/>
          <w:color w:val="231F20"/>
          <w:spacing w:val="2"/>
          <w:sz w:val="21"/>
          <w:szCs w:val="21"/>
        </w:rPr>
        <w:t>“十五五”规划提供了根本遵循。谋划制定好国家</w:t>
      </w:r>
      <w:r>
        <w:rPr>
          <w:rFonts w:hint="eastAsia" w:ascii="宋体" w:hAnsi="宋体" w:eastAsia="宋体" w:cs="宋体"/>
          <w:color w:val="231F20"/>
          <w:spacing w:val="3"/>
          <w:sz w:val="21"/>
          <w:szCs w:val="21"/>
        </w:rPr>
        <w:t>和地方“十五五”规划纲要和专项规划是当前的一项重要任务，也是把党的二十届四中全会精神落到实处的具体体现。高质量调查研究既是把握事物本</w:t>
      </w:r>
      <w:r>
        <w:rPr>
          <w:rFonts w:hint="eastAsia" w:ascii="宋体" w:hAnsi="宋体" w:eastAsia="宋体" w:cs="宋体"/>
          <w:color w:val="231F20"/>
          <w:spacing w:val="-8"/>
          <w:w w:val="98"/>
          <w:sz w:val="21"/>
          <w:szCs w:val="21"/>
        </w:rPr>
        <w:t>质、破解发展难题的“金钥匙”，也是检验工作作风、</w:t>
      </w:r>
      <w:r>
        <w:rPr>
          <w:rFonts w:hint="eastAsia" w:ascii="宋体" w:hAnsi="宋体" w:eastAsia="宋体" w:cs="宋体"/>
          <w:color w:val="231F20"/>
          <w:spacing w:val="-6"/>
          <w:sz w:val="21"/>
          <w:szCs w:val="21"/>
        </w:rPr>
        <w:t>密切联系群众的“试金石”，在科学制定五年规划中</w:t>
      </w:r>
      <w:r>
        <w:rPr>
          <w:rFonts w:hint="eastAsia" w:ascii="宋体" w:hAnsi="宋体" w:eastAsia="宋体" w:cs="宋体"/>
          <w:color w:val="231F20"/>
          <w:spacing w:val="1"/>
          <w:sz w:val="21"/>
          <w:szCs w:val="21"/>
        </w:rPr>
        <w:t>显得尤为重要。本文基于“选题—解题—破题—结</w:t>
      </w:r>
      <w:r>
        <w:rPr>
          <w:rFonts w:hint="eastAsia" w:ascii="宋体" w:hAnsi="宋体" w:eastAsia="宋体" w:cs="宋体"/>
          <w:color w:val="231F20"/>
          <w:spacing w:val="-12"/>
          <w:sz w:val="21"/>
          <w:szCs w:val="21"/>
        </w:rPr>
        <w:t>题”的逻辑线索，从问题意识、创新意识、质量意识、</w:t>
      </w:r>
      <w:r>
        <w:rPr>
          <w:rFonts w:hint="eastAsia" w:ascii="宋体" w:hAnsi="宋体" w:eastAsia="宋体" w:cs="宋体"/>
          <w:color w:val="231F20"/>
          <w:spacing w:val="3"/>
          <w:sz w:val="21"/>
          <w:szCs w:val="21"/>
        </w:rPr>
        <w:t>协作意识四个方面分析阐释，着力构建全流程调研</w:t>
      </w:r>
      <w:r>
        <w:rPr>
          <w:rFonts w:hint="eastAsia" w:ascii="宋体" w:hAnsi="宋体" w:eastAsia="宋体" w:cs="宋体"/>
          <w:color w:val="231F20"/>
          <w:spacing w:val="-6"/>
          <w:sz w:val="21"/>
          <w:szCs w:val="21"/>
        </w:rPr>
        <w:t>体系，为提升调查研究质效，科学制定发展规划提供</w:t>
      </w:r>
      <w:r>
        <w:rPr>
          <w:rFonts w:hint="eastAsia" w:ascii="宋体" w:hAnsi="宋体" w:eastAsia="宋体" w:cs="宋体"/>
          <w:color w:val="231F20"/>
          <w:spacing w:val="3"/>
          <w:sz w:val="21"/>
          <w:szCs w:val="21"/>
        </w:rPr>
        <w:t>理论支撑和实践路径。</w:t>
      </w:r>
    </w:p>
    <w:p w14:paraId="42B6535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4" w:firstLineChars="200"/>
        <w:textAlignment w:val="baseline"/>
        <w:rPr>
          <w:rFonts w:hint="eastAsia" w:ascii="宋体" w:hAnsi="宋体" w:eastAsia="宋体" w:cs="宋体"/>
          <w:b/>
          <w:bCs/>
          <w:color w:val="231F20"/>
          <w:spacing w:val="-9"/>
          <w:w w:val="98"/>
          <w:sz w:val="24"/>
          <w:szCs w:val="24"/>
        </w:rPr>
      </w:pPr>
      <w:r>
        <w:rPr>
          <w:rFonts w:hint="eastAsia" w:ascii="宋体" w:hAnsi="宋体" w:eastAsia="宋体" w:cs="宋体"/>
          <w:b/>
          <w:bCs/>
          <w:color w:val="231F20"/>
          <w:spacing w:val="-9"/>
          <w:w w:val="98"/>
          <w:sz w:val="24"/>
          <w:szCs w:val="24"/>
        </w:rPr>
        <w:t>一、强化问题意识，三维聚焦精心选题</w:t>
      </w:r>
    </w:p>
    <w:p w14:paraId="6D4539D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选题是调查研究的起点，更是决定调研价值的基础。以强烈的问题意识为导向精心选题，做到方</w:t>
      </w:r>
      <w:r>
        <w:rPr>
          <w:rFonts w:hint="eastAsia" w:ascii="宋体" w:hAnsi="宋体" w:eastAsia="宋体" w:cs="宋体"/>
          <w:color w:val="231F20"/>
          <w:spacing w:val="-13"/>
          <w:w w:val="98"/>
          <w:sz w:val="21"/>
          <w:szCs w:val="21"/>
        </w:rPr>
        <w:t>向明、立意高、切口小，为科学制定“十五五”</w:t>
      </w:r>
      <w:r>
        <w:rPr>
          <w:rFonts w:hint="eastAsia" w:ascii="宋体" w:hAnsi="宋体" w:eastAsia="宋体" w:cs="宋体"/>
          <w:color w:val="231F20"/>
          <w:spacing w:val="-14"/>
          <w:w w:val="98"/>
          <w:sz w:val="21"/>
          <w:szCs w:val="21"/>
        </w:rPr>
        <w:t>规划筑</w:t>
      </w:r>
      <w:r>
        <w:rPr>
          <w:rFonts w:hint="eastAsia" w:ascii="宋体" w:hAnsi="宋体" w:eastAsia="宋体" w:cs="宋体"/>
          <w:color w:val="231F20"/>
          <w:spacing w:val="-7"/>
          <w:sz w:val="21"/>
          <w:szCs w:val="21"/>
        </w:rPr>
        <w:t>牢调研根基。</w:t>
      </w:r>
    </w:p>
    <w:p w14:paraId="44B90E1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选题方向要“明”。方向明则思路清，选题方向</w:t>
      </w:r>
      <w:r>
        <w:rPr>
          <w:rFonts w:hint="eastAsia" w:ascii="宋体" w:hAnsi="宋体" w:eastAsia="宋体" w:cs="宋体"/>
          <w:color w:val="231F20"/>
          <w:spacing w:val="3"/>
          <w:sz w:val="21"/>
          <w:szCs w:val="21"/>
        </w:rPr>
        <w:t>直接关系到调研的政治站位和实践价值。只有既接</w:t>
      </w:r>
      <w:r>
        <w:rPr>
          <w:rFonts w:hint="eastAsia" w:ascii="宋体" w:hAnsi="宋体" w:eastAsia="宋体" w:cs="宋体"/>
          <w:color w:val="231F20"/>
          <w:spacing w:val="-6"/>
          <w:sz w:val="21"/>
          <w:szCs w:val="21"/>
        </w:rPr>
        <w:t>天线，又接地气，还扣要点的选题，才能避免无的放矢或隔靴搔痒，真正把调研工作落脚到服务战略、服务发展、造福人民上来。一是胸怀“国之大者”。深</w:t>
      </w:r>
      <w:r>
        <w:rPr>
          <w:rFonts w:hint="eastAsia" w:ascii="宋体" w:hAnsi="宋体" w:eastAsia="宋体" w:cs="宋体"/>
          <w:color w:val="231F20"/>
          <w:spacing w:val="3"/>
          <w:sz w:val="21"/>
          <w:szCs w:val="21"/>
        </w:rPr>
        <w:t>刻认识“十五五”时期在基本实现社会主义现代化进程中承前启后的重要地位，紧扣党中央统筹推进</w:t>
      </w:r>
      <w:r>
        <w:rPr>
          <w:rFonts w:hint="eastAsia" w:ascii="宋体" w:hAnsi="宋体" w:eastAsia="宋体" w:cs="宋体"/>
          <w:color w:val="231F20"/>
          <w:spacing w:val="-6"/>
          <w:sz w:val="21"/>
          <w:szCs w:val="21"/>
        </w:rPr>
        <w:t>“五位一体”总体布局，协调推进“四个全面”战略布局，统筹国内国际两个大局等指导方针，确保调查研究与强国建设、民族复兴同频共振。二是紧抓“发</w:t>
      </w:r>
      <w:r>
        <w:rPr>
          <w:rFonts w:hint="eastAsia" w:ascii="宋体" w:hAnsi="宋体" w:eastAsia="宋体" w:cs="宋体"/>
          <w:color w:val="231F20"/>
          <w:spacing w:val="2"/>
          <w:sz w:val="21"/>
          <w:szCs w:val="21"/>
        </w:rPr>
        <w:t>展之要”。高质量发展是全面建设社会主义现代化</w:t>
      </w:r>
      <w:r>
        <w:rPr>
          <w:rFonts w:hint="eastAsia" w:ascii="宋体" w:hAnsi="宋体" w:eastAsia="宋体" w:cs="宋体"/>
          <w:color w:val="231F20"/>
          <w:spacing w:val="-10"/>
          <w:sz w:val="21"/>
          <w:szCs w:val="21"/>
        </w:rPr>
        <w:t>国家的首要任务，“十五五”时期必须坚持以推动高</w:t>
      </w:r>
      <w:r>
        <w:rPr>
          <w:rFonts w:hint="eastAsia" w:ascii="宋体" w:hAnsi="宋体" w:eastAsia="宋体" w:cs="宋体"/>
          <w:color w:val="231F20"/>
          <w:spacing w:val="-1"/>
          <w:sz w:val="21"/>
          <w:szCs w:val="21"/>
        </w:rPr>
        <w:t>质量发展为主题。调查研究围绕如何建设现代化产</w:t>
      </w:r>
      <w:r>
        <w:rPr>
          <w:rFonts w:hint="eastAsia" w:ascii="宋体" w:hAnsi="宋体" w:eastAsia="宋体" w:cs="宋体"/>
          <w:color w:val="231F20"/>
          <w:spacing w:val="-9"/>
          <w:sz w:val="21"/>
          <w:szCs w:val="21"/>
        </w:rPr>
        <w:t>业体系、加快高水平科技自立自强、建设强大国</w:t>
      </w:r>
      <w:r>
        <w:rPr>
          <w:rFonts w:hint="eastAsia" w:ascii="宋体" w:hAnsi="宋体" w:eastAsia="宋体" w:cs="宋体"/>
          <w:color w:val="231F20"/>
          <w:spacing w:val="-10"/>
          <w:sz w:val="21"/>
          <w:szCs w:val="21"/>
        </w:rPr>
        <w:t>内市</w:t>
      </w:r>
      <w:r>
        <w:rPr>
          <w:rFonts w:hint="eastAsia" w:ascii="宋体" w:hAnsi="宋体" w:eastAsia="宋体" w:cs="宋体"/>
          <w:color w:val="231F20"/>
          <w:spacing w:val="-9"/>
          <w:sz w:val="21"/>
          <w:szCs w:val="21"/>
        </w:rPr>
        <w:t>场、扩大高水平对外开放等方向，找问题查原因</w:t>
      </w:r>
      <w:r>
        <w:rPr>
          <w:rFonts w:hint="eastAsia" w:ascii="宋体" w:hAnsi="宋体" w:eastAsia="宋体" w:cs="宋体"/>
          <w:color w:val="231F20"/>
          <w:spacing w:val="-10"/>
          <w:sz w:val="21"/>
          <w:szCs w:val="21"/>
        </w:rPr>
        <w:t>寻对</w:t>
      </w:r>
      <w:r>
        <w:rPr>
          <w:rFonts w:hint="eastAsia" w:ascii="宋体" w:hAnsi="宋体" w:eastAsia="宋体" w:cs="宋体"/>
          <w:color w:val="231F20"/>
          <w:spacing w:val="-1"/>
          <w:sz w:val="21"/>
          <w:szCs w:val="21"/>
        </w:rPr>
        <w:t>策。三是心系“民之关切”。满足人民日益</w:t>
      </w:r>
      <w:r>
        <w:rPr>
          <w:rFonts w:hint="eastAsia" w:ascii="宋体" w:hAnsi="宋体" w:eastAsia="宋体" w:cs="宋体"/>
          <w:color w:val="231F20"/>
          <w:spacing w:val="-2"/>
          <w:sz w:val="21"/>
          <w:szCs w:val="21"/>
        </w:rPr>
        <w:t>增长的</w:t>
      </w:r>
      <w:r>
        <w:rPr>
          <w:rFonts w:hint="eastAsia" w:ascii="宋体" w:hAnsi="宋体" w:eastAsia="宋体" w:cs="宋体"/>
          <w:color w:val="231F20"/>
          <w:spacing w:val="-1"/>
          <w:sz w:val="21"/>
          <w:szCs w:val="21"/>
        </w:rPr>
        <w:t>美好生活需要是高质量发展的出发点和落脚点。聚</w:t>
      </w:r>
      <w:r>
        <w:rPr>
          <w:rFonts w:hint="eastAsia" w:ascii="宋体" w:hAnsi="宋体" w:eastAsia="宋体" w:cs="宋体"/>
          <w:color w:val="231F20"/>
          <w:spacing w:val="-9"/>
          <w:w w:val="97"/>
          <w:sz w:val="21"/>
          <w:szCs w:val="21"/>
        </w:rPr>
        <w:t>焦人民群众在就业、教育、社保、住房、医疗、养老、</w:t>
      </w:r>
      <w:r>
        <w:rPr>
          <w:rFonts w:hint="eastAsia" w:ascii="宋体" w:hAnsi="宋体" w:eastAsia="宋体" w:cs="宋体"/>
          <w:color w:val="231F20"/>
          <w:spacing w:val="-9"/>
          <w:sz w:val="21"/>
          <w:szCs w:val="21"/>
        </w:rPr>
        <w:t>婚嫁、生育、托幼等民生领域的急难愁盼问题</w:t>
      </w:r>
      <w:r>
        <w:rPr>
          <w:rFonts w:hint="eastAsia" w:ascii="宋体" w:hAnsi="宋体" w:eastAsia="宋体" w:cs="宋体"/>
          <w:color w:val="231F20"/>
          <w:spacing w:val="-10"/>
          <w:sz w:val="21"/>
          <w:szCs w:val="21"/>
        </w:rPr>
        <w:t>，把群</w:t>
      </w:r>
      <w:r>
        <w:rPr>
          <w:rFonts w:hint="eastAsia" w:ascii="宋体" w:hAnsi="宋体" w:eastAsia="宋体" w:cs="宋体"/>
          <w:color w:val="231F20"/>
          <w:spacing w:val="-1"/>
          <w:sz w:val="21"/>
          <w:szCs w:val="21"/>
        </w:rPr>
        <w:t>众呼声作为调研哨声，让调研成果真正服务于群众</w:t>
      </w:r>
      <w:r>
        <w:rPr>
          <w:rFonts w:hint="eastAsia" w:ascii="宋体" w:hAnsi="宋体" w:eastAsia="宋体" w:cs="宋体"/>
          <w:color w:val="231F20"/>
          <w:spacing w:val="-11"/>
          <w:sz w:val="21"/>
          <w:szCs w:val="21"/>
        </w:rPr>
        <w:t>需求。</w:t>
      </w:r>
    </w:p>
    <w:p w14:paraId="79759FB1">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选题立意要“高”。立意高则格局大，选题立意</w:t>
      </w:r>
      <w:r>
        <w:rPr>
          <w:rFonts w:hint="eastAsia" w:ascii="宋体" w:hAnsi="宋体" w:eastAsia="宋体" w:cs="宋体"/>
          <w:color w:val="231F20"/>
          <w:spacing w:val="-1"/>
          <w:sz w:val="21"/>
          <w:szCs w:val="21"/>
        </w:rPr>
        <w:t>的高度决定调研成果的影响力。部分调研工作之所以成效不显著，关键在于立意局限于局部利益或短</w:t>
      </w:r>
      <w:r>
        <w:rPr>
          <w:rFonts w:hint="eastAsia" w:ascii="宋体" w:hAnsi="宋体" w:eastAsia="宋体" w:cs="宋体"/>
          <w:color w:val="231F20"/>
          <w:spacing w:val="-2"/>
          <w:sz w:val="21"/>
          <w:szCs w:val="21"/>
        </w:rPr>
        <w:t>期问题，未能从全局和长远视角分析问题。</w:t>
      </w:r>
      <w:r>
        <w:rPr>
          <w:rFonts w:hint="eastAsia" w:ascii="宋体" w:hAnsi="宋体" w:eastAsia="宋体" w:cs="宋体"/>
          <w:color w:val="231F20"/>
          <w:spacing w:val="-23"/>
          <w:sz w:val="21"/>
          <w:szCs w:val="21"/>
        </w:rPr>
        <w:t xml:space="preserve"> </w:t>
      </w:r>
      <w:r>
        <w:rPr>
          <w:rFonts w:hint="eastAsia" w:ascii="宋体" w:hAnsi="宋体" w:eastAsia="宋体" w:cs="宋体"/>
          <w:color w:val="231F20"/>
          <w:spacing w:val="-2"/>
          <w:sz w:val="21"/>
          <w:szCs w:val="21"/>
        </w:rPr>
        <w:t>一要树</w:t>
      </w:r>
      <w:r>
        <w:rPr>
          <w:rFonts w:hint="eastAsia" w:ascii="宋体" w:hAnsi="宋体" w:eastAsia="宋体" w:cs="宋体"/>
          <w:color w:val="231F20"/>
          <w:sz w:val="21"/>
          <w:szCs w:val="21"/>
        </w:rPr>
        <w:t>立“全局视野”。不谋全局者 , 不足以谋一域。跳</w:t>
      </w:r>
      <w:r>
        <w:rPr>
          <w:rFonts w:hint="eastAsia" w:ascii="宋体" w:hAnsi="宋体" w:eastAsia="宋体" w:cs="宋体"/>
          <w:color w:val="231F20"/>
          <w:spacing w:val="-15"/>
          <w:sz w:val="21"/>
          <w:szCs w:val="21"/>
        </w:rPr>
        <w:t>出本地区、本部门的“一亩三分地”，从全市、全省、</w:t>
      </w:r>
      <w:r>
        <w:rPr>
          <w:rFonts w:hint="eastAsia" w:ascii="宋体" w:hAnsi="宋体" w:eastAsia="宋体" w:cs="宋体"/>
          <w:color w:val="231F20"/>
          <w:spacing w:val="-7"/>
          <w:sz w:val="21"/>
          <w:szCs w:val="21"/>
        </w:rPr>
        <w:t>全国乃至全球发展的大背景下登高望远，审视问题，分析局部问题与全局发展的关系，避免“只见树木、</w:t>
      </w:r>
      <w:r>
        <w:rPr>
          <w:rFonts w:hint="eastAsia" w:ascii="宋体" w:hAnsi="宋体" w:eastAsia="宋体" w:cs="宋体"/>
          <w:color w:val="231F20"/>
          <w:spacing w:val="-5"/>
          <w:sz w:val="21"/>
          <w:szCs w:val="21"/>
        </w:rPr>
        <w:t>不见森林”。二要着眼“长远发展”。不谋万世者 ,</w:t>
      </w:r>
      <w:r>
        <w:rPr>
          <w:rFonts w:hint="eastAsia" w:ascii="宋体" w:hAnsi="宋体" w:eastAsia="宋体" w:cs="宋体"/>
          <w:color w:val="231F20"/>
          <w:spacing w:val="-1"/>
          <w:sz w:val="21"/>
          <w:szCs w:val="21"/>
        </w:rPr>
        <w:t>不足以谋一时。“十五五”规划是今后五年乃至更长时期我国经济社会发展的行动指南，调查研究不仅要关注当前面临的现实问题，也要预判未来的发展趋势，既要研究显性的机遇，也要研究潜在的风</w:t>
      </w:r>
      <w:r>
        <w:rPr>
          <w:rFonts w:hint="eastAsia" w:ascii="宋体" w:hAnsi="宋体" w:eastAsia="宋体" w:cs="宋体"/>
          <w:color w:val="231F20"/>
          <w:spacing w:val="-9"/>
          <w:sz w:val="21"/>
          <w:szCs w:val="21"/>
        </w:rPr>
        <w:t>险。比如，人工智能对传统产业的影响、人口结构变</w:t>
      </w:r>
      <w:r>
        <w:rPr>
          <w:rFonts w:hint="eastAsia" w:ascii="宋体" w:hAnsi="宋体" w:eastAsia="宋体" w:cs="宋体"/>
          <w:color w:val="231F20"/>
          <w:spacing w:val="-1"/>
          <w:sz w:val="21"/>
          <w:szCs w:val="21"/>
        </w:rPr>
        <w:t>化对社会治理的挑战等，让调研成果既解决当下问</w:t>
      </w:r>
      <w:r>
        <w:rPr>
          <w:rFonts w:hint="eastAsia" w:ascii="宋体" w:hAnsi="宋体" w:eastAsia="宋体" w:cs="宋体"/>
          <w:color w:val="231F20"/>
          <w:spacing w:val="-9"/>
          <w:w w:val="97"/>
          <w:sz w:val="21"/>
          <w:szCs w:val="21"/>
        </w:rPr>
        <w:t>题，又为长远发展提供支撑。三要立足“本地实际”。</w:t>
      </w:r>
      <w:r>
        <w:rPr>
          <w:rFonts w:hint="eastAsia" w:ascii="宋体" w:hAnsi="宋体" w:eastAsia="宋体" w:cs="宋体"/>
          <w:color w:val="231F20"/>
          <w:spacing w:val="-2"/>
          <w:sz w:val="21"/>
          <w:szCs w:val="21"/>
        </w:rPr>
        <w:t>不察实情者，不足以谋实效。调查研究不能脱离自</w:t>
      </w:r>
      <w:r>
        <w:rPr>
          <w:rFonts w:hint="eastAsia" w:ascii="宋体" w:hAnsi="宋体" w:eastAsia="宋体" w:cs="宋体"/>
          <w:color w:val="231F20"/>
          <w:spacing w:val="-7"/>
          <w:sz w:val="21"/>
          <w:szCs w:val="21"/>
        </w:rPr>
        <w:t>身资源禀赋、产业基础和群众诉求，避免纸上谈兵。</w:t>
      </w:r>
      <w:r>
        <w:rPr>
          <w:rFonts w:hint="eastAsia" w:ascii="宋体" w:hAnsi="宋体" w:eastAsia="宋体" w:cs="宋体"/>
          <w:color w:val="231F20"/>
          <w:spacing w:val="-1"/>
          <w:sz w:val="21"/>
          <w:szCs w:val="21"/>
        </w:rPr>
        <w:t>要把上级战略部署与本地发展实际结合，既不盲目跟风照搬，也不固步自封守旧。只有以高立意引领</w:t>
      </w:r>
      <w:r>
        <w:rPr>
          <w:rFonts w:hint="eastAsia" w:ascii="宋体" w:hAnsi="宋体" w:eastAsia="宋体" w:cs="宋体"/>
          <w:color w:val="231F20"/>
          <w:spacing w:val="-9"/>
          <w:sz w:val="21"/>
          <w:szCs w:val="21"/>
        </w:rPr>
        <w:t>选题，才能让调研更具战略性、前瞻性，为决策提供</w:t>
      </w:r>
      <w:r>
        <w:rPr>
          <w:rFonts w:hint="eastAsia" w:ascii="宋体" w:hAnsi="宋体" w:eastAsia="宋体" w:cs="宋体"/>
          <w:color w:val="231F20"/>
          <w:spacing w:val="-10"/>
          <w:sz w:val="21"/>
          <w:szCs w:val="21"/>
        </w:rPr>
        <w:t>更有价值的参考，以一域之光为全局添彩，以当下之</w:t>
      </w:r>
      <w:r>
        <w:rPr>
          <w:rFonts w:hint="eastAsia" w:ascii="宋体" w:hAnsi="宋体" w:eastAsia="宋体" w:cs="宋体"/>
          <w:color w:val="231F20"/>
          <w:spacing w:val="-7"/>
          <w:sz w:val="21"/>
          <w:szCs w:val="21"/>
        </w:rPr>
        <w:t>实为未来奠基。</w:t>
      </w:r>
    </w:p>
    <w:p w14:paraId="0B2811E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选题切口要“小”。切口小则挖得深，选题切口</w:t>
      </w:r>
      <w:r>
        <w:rPr>
          <w:rFonts w:hint="eastAsia" w:ascii="宋体" w:hAnsi="宋体" w:eastAsia="宋体" w:cs="宋体"/>
          <w:color w:val="231F20"/>
          <w:spacing w:val="-1"/>
          <w:sz w:val="21"/>
          <w:szCs w:val="21"/>
        </w:rPr>
        <w:t>直接影响调研深度和精度。部分调研存在贪大求全</w:t>
      </w:r>
      <w:r>
        <w:rPr>
          <w:rFonts w:hint="eastAsia" w:ascii="宋体" w:hAnsi="宋体" w:eastAsia="宋体" w:cs="宋体"/>
          <w:color w:val="231F20"/>
          <w:spacing w:val="-7"/>
          <w:sz w:val="21"/>
          <w:szCs w:val="21"/>
        </w:rPr>
        <w:t>的误区，选题过于宽泛，导致调研过程中精力分散，</w:t>
      </w:r>
      <w:r>
        <w:rPr>
          <w:rFonts w:hint="eastAsia" w:ascii="宋体" w:hAnsi="宋体" w:eastAsia="宋体" w:cs="宋体"/>
          <w:color w:val="231F20"/>
          <w:spacing w:val="-1"/>
          <w:sz w:val="21"/>
          <w:szCs w:val="21"/>
        </w:rPr>
        <w:t>重点不突出，最终难以形成有价值的结论。要提升</w:t>
      </w:r>
      <w:r>
        <w:rPr>
          <w:rFonts w:hint="eastAsia" w:ascii="宋体" w:hAnsi="宋体" w:eastAsia="宋体" w:cs="宋体"/>
          <w:color w:val="231F20"/>
          <w:spacing w:val="2"/>
          <w:sz w:val="21"/>
          <w:szCs w:val="21"/>
        </w:rPr>
        <w:t>选题精准度，找准具体问题与深度研究的切入点。</w:t>
      </w:r>
      <w:r>
        <w:rPr>
          <w:rFonts w:hint="eastAsia" w:ascii="宋体" w:hAnsi="宋体" w:eastAsia="宋体" w:cs="宋体"/>
          <w:color w:val="231F20"/>
          <w:spacing w:val="-10"/>
          <w:sz w:val="21"/>
          <w:szCs w:val="21"/>
        </w:rPr>
        <w:t>一方面，避免“大题目小文章”。将宽泛的主题细化</w:t>
      </w:r>
      <w:r>
        <w:rPr>
          <w:rFonts w:hint="eastAsia" w:ascii="宋体" w:hAnsi="宋体" w:eastAsia="宋体" w:cs="宋体"/>
          <w:color w:val="231F20"/>
          <w:spacing w:val="-9"/>
          <w:sz w:val="21"/>
          <w:szCs w:val="21"/>
        </w:rPr>
        <w:t>为具体问题，如将“乡村振兴”细化为“农村电商发</w:t>
      </w:r>
      <w:r>
        <w:rPr>
          <w:rFonts w:hint="eastAsia" w:ascii="宋体" w:hAnsi="宋体" w:eastAsia="宋体" w:cs="宋体"/>
          <w:color w:val="231F20"/>
          <w:spacing w:val="-1"/>
          <w:sz w:val="21"/>
          <w:szCs w:val="21"/>
        </w:rPr>
        <w:t>展中的物流短板问题”“乡村人才流失的原因及对</w:t>
      </w:r>
      <w:r>
        <w:rPr>
          <w:rFonts w:hint="eastAsia" w:ascii="宋体" w:hAnsi="宋体" w:eastAsia="宋体" w:cs="宋体"/>
          <w:color w:val="231F20"/>
          <w:spacing w:val="-15"/>
          <w:sz w:val="21"/>
          <w:szCs w:val="21"/>
        </w:rPr>
        <w:t>策”等具体切口。另一方面，力求“小切口高价值”。</w:t>
      </w:r>
      <w:r>
        <w:rPr>
          <w:rFonts w:hint="eastAsia" w:ascii="宋体" w:hAnsi="宋体" w:eastAsia="宋体" w:cs="宋体"/>
          <w:color w:val="231F20"/>
          <w:spacing w:val="-1"/>
          <w:sz w:val="21"/>
          <w:szCs w:val="21"/>
        </w:rPr>
        <w:t>所选具体问题必须是全局工作中的关键环节或群众</w:t>
      </w:r>
      <w:r>
        <w:rPr>
          <w:rFonts w:hint="eastAsia" w:ascii="宋体" w:hAnsi="宋体" w:eastAsia="宋体" w:cs="宋体"/>
          <w:color w:val="231F20"/>
          <w:spacing w:val="-9"/>
          <w:sz w:val="21"/>
          <w:szCs w:val="21"/>
        </w:rPr>
        <w:t>关切的核心问题，通过对具体问题的深度研究，</w:t>
      </w:r>
      <w:r>
        <w:rPr>
          <w:rFonts w:hint="eastAsia" w:ascii="宋体" w:hAnsi="宋体" w:eastAsia="宋体" w:cs="宋体"/>
          <w:color w:val="231F20"/>
          <w:spacing w:val="-10"/>
          <w:sz w:val="21"/>
          <w:szCs w:val="21"/>
        </w:rPr>
        <w:t>揭示</w:t>
      </w:r>
      <w:r>
        <w:rPr>
          <w:rFonts w:hint="eastAsia" w:ascii="宋体" w:hAnsi="宋体" w:eastAsia="宋体" w:cs="宋体"/>
          <w:color w:val="231F20"/>
          <w:spacing w:val="-9"/>
          <w:sz w:val="21"/>
          <w:szCs w:val="21"/>
        </w:rPr>
        <w:t>背后的普遍性规律，形成“小切口解决大问题”</w:t>
      </w:r>
      <w:r>
        <w:rPr>
          <w:rFonts w:hint="eastAsia" w:ascii="宋体" w:hAnsi="宋体" w:eastAsia="宋体" w:cs="宋体"/>
          <w:color w:val="231F20"/>
          <w:spacing w:val="-10"/>
          <w:sz w:val="21"/>
          <w:szCs w:val="21"/>
        </w:rPr>
        <w:t>的效</w:t>
      </w:r>
      <w:r>
        <w:rPr>
          <w:rFonts w:hint="eastAsia" w:ascii="宋体" w:hAnsi="宋体" w:eastAsia="宋体" w:cs="宋体"/>
          <w:color w:val="231F20"/>
          <w:spacing w:val="-1"/>
          <w:sz w:val="21"/>
          <w:szCs w:val="21"/>
        </w:rPr>
        <w:t>果。比如，可以把老旧小区物业管理作为破解城市</w:t>
      </w:r>
      <w:r>
        <w:rPr>
          <w:rFonts w:hint="eastAsia" w:ascii="宋体" w:hAnsi="宋体" w:eastAsia="宋体" w:cs="宋体"/>
          <w:color w:val="231F20"/>
          <w:spacing w:val="1"/>
          <w:sz w:val="21"/>
          <w:szCs w:val="21"/>
        </w:rPr>
        <w:t>基层治理难题的切入口。只有以小切口为突破口，</w:t>
      </w:r>
      <w:r>
        <w:rPr>
          <w:rFonts w:hint="eastAsia" w:ascii="宋体" w:hAnsi="宋体" w:eastAsia="宋体" w:cs="宋体"/>
          <w:color w:val="231F20"/>
          <w:spacing w:val="-9"/>
          <w:sz w:val="21"/>
          <w:szCs w:val="21"/>
        </w:rPr>
        <w:t>才能让调研聚焦重点难点、堵点痛点，实现以点</w:t>
      </w:r>
      <w:r>
        <w:rPr>
          <w:rFonts w:hint="eastAsia" w:ascii="宋体" w:hAnsi="宋体" w:eastAsia="宋体" w:cs="宋体"/>
          <w:color w:val="231F20"/>
          <w:spacing w:val="-10"/>
          <w:sz w:val="21"/>
          <w:szCs w:val="21"/>
        </w:rPr>
        <w:t>带面</w:t>
      </w:r>
      <w:r>
        <w:rPr>
          <w:rFonts w:hint="eastAsia" w:ascii="宋体" w:hAnsi="宋体" w:eastAsia="宋体" w:cs="宋体"/>
          <w:color w:val="231F20"/>
          <w:spacing w:val="-10"/>
          <w:w w:val="97"/>
          <w:sz w:val="21"/>
          <w:szCs w:val="21"/>
        </w:rPr>
        <w:t>的效果，避免蜻蜓点水、泛泛而谈。</w:t>
      </w:r>
    </w:p>
    <w:p w14:paraId="1D6D2CA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4" w:firstLineChars="200"/>
        <w:textAlignment w:val="baseline"/>
        <w:rPr>
          <w:rFonts w:hint="eastAsia" w:ascii="宋体" w:hAnsi="宋体" w:eastAsia="宋体" w:cs="宋体"/>
          <w:b/>
          <w:bCs/>
          <w:color w:val="231F20"/>
          <w:spacing w:val="-9"/>
          <w:w w:val="98"/>
          <w:sz w:val="24"/>
          <w:szCs w:val="24"/>
        </w:rPr>
      </w:pPr>
      <w:r>
        <w:rPr>
          <w:rFonts w:hint="eastAsia" w:ascii="宋体" w:hAnsi="宋体" w:eastAsia="宋体" w:cs="宋体"/>
          <w:b/>
          <w:bCs/>
          <w:color w:val="231F20"/>
          <w:spacing w:val="-9"/>
          <w:w w:val="98"/>
          <w:sz w:val="24"/>
          <w:szCs w:val="24"/>
        </w:rPr>
        <w:t>二、强化创新意识，三措并举细心解题</w:t>
      </w:r>
    </w:p>
    <w:p w14:paraId="702ED78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解题是调查研究的核心环节，是将问题转化为解决方案的关键过程。在新形势下，传统的调研方法和思路已难以适应复杂问题的研究需求，必须强</w:t>
      </w:r>
      <w:r>
        <w:rPr>
          <w:rFonts w:hint="eastAsia" w:ascii="宋体" w:hAnsi="宋体" w:eastAsia="宋体" w:cs="宋体"/>
          <w:color w:val="231F20"/>
          <w:spacing w:val="-9"/>
          <w:w w:val="96"/>
          <w:sz w:val="21"/>
          <w:szCs w:val="21"/>
        </w:rPr>
        <w:t>化创新意识，以宽思路、活方法、强能力破解难</w:t>
      </w:r>
      <w:r>
        <w:rPr>
          <w:rFonts w:hint="eastAsia" w:ascii="宋体" w:hAnsi="宋体" w:eastAsia="宋体" w:cs="宋体"/>
          <w:color w:val="231F20"/>
          <w:spacing w:val="-10"/>
          <w:w w:val="96"/>
          <w:sz w:val="21"/>
          <w:szCs w:val="21"/>
        </w:rPr>
        <w:t>题，让</w:t>
      </w:r>
      <w:r>
        <w:rPr>
          <w:rFonts w:hint="eastAsia" w:ascii="宋体" w:hAnsi="宋体" w:eastAsia="宋体" w:cs="宋体"/>
          <w:color w:val="231F20"/>
          <w:spacing w:val="-7"/>
          <w:w w:val="98"/>
          <w:sz w:val="21"/>
          <w:szCs w:val="21"/>
        </w:rPr>
        <w:t>调研工作更具科学性、有效性。</w:t>
      </w:r>
    </w:p>
    <w:p w14:paraId="403ED02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解题思路要“宽”。思路宽则办法多，解题思路</w:t>
      </w:r>
      <w:r>
        <w:rPr>
          <w:rFonts w:hint="eastAsia" w:ascii="宋体" w:hAnsi="宋体" w:eastAsia="宋体" w:cs="宋体"/>
          <w:color w:val="231F20"/>
          <w:spacing w:val="12"/>
          <w:sz w:val="21"/>
          <w:szCs w:val="21"/>
        </w:rPr>
        <w:t>的广度决定调研方法的丰富性和解决方案的创新</w:t>
      </w:r>
      <w:r>
        <w:rPr>
          <w:rFonts w:hint="eastAsia" w:ascii="宋体" w:hAnsi="宋体" w:eastAsia="宋体" w:cs="宋体"/>
          <w:color w:val="231F20"/>
          <w:spacing w:val="3"/>
          <w:sz w:val="21"/>
          <w:szCs w:val="21"/>
        </w:rPr>
        <w:t>性。部分调研工作之所以遇到瓶颈，在于受路径依</w:t>
      </w:r>
      <w:r>
        <w:rPr>
          <w:rFonts w:hint="eastAsia" w:ascii="宋体" w:hAnsi="宋体" w:eastAsia="宋体" w:cs="宋体"/>
          <w:color w:val="231F20"/>
          <w:spacing w:val="-3"/>
          <w:sz w:val="21"/>
          <w:szCs w:val="21"/>
        </w:rPr>
        <w:t>赖和思维定式影响，习惯于用传统经验分析新问题，</w:t>
      </w:r>
      <w:r>
        <w:rPr>
          <w:rFonts w:hint="eastAsia" w:ascii="宋体" w:hAnsi="宋体" w:eastAsia="宋体" w:cs="宋体"/>
          <w:color w:val="231F20"/>
          <w:spacing w:val="2"/>
          <w:sz w:val="21"/>
          <w:szCs w:val="21"/>
        </w:rPr>
        <w:t>导致思路僵化、方法单一。拓宽解题思路必须敢于</w:t>
      </w:r>
      <w:r>
        <w:rPr>
          <w:rFonts w:hint="eastAsia" w:ascii="宋体" w:hAnsi="宋体" w:eastAsia="宋体" w:cs="宋体"/>
          <w:color w:val="231F20"/>
          <w:spacing w:val="11"/>
          <w:sz w:val="21"/>
          <w:szCs w:val="21"/>
        </w:rPr>
        <w:t>打破路径依赖与思维定式的束缚。</w:t>
      </w:r>
      <w:r>
        <w:rPr>
          <w:rFonts w:hint="eastAsia" w:ascii="宋体" w:hAnsi="宋体" w:eastAsia="宋体" w:cs="宋体"/>
          <w:color w:val="231F20"/>
          <w:spacing w:val="-20"/>
          <w:sz w:val="21"/>
          <w:szCs w:val="21"/>
        </w:rPr>
        <w:t xml:space="preserve"> </w:t>
      </w:r>
      <w:r>
        <w:rPr>
          <w:rFonts w:hint="eastAsia" w:ascii="宋体" w:hAnsi="宋体" w:eastAsia="宋体" w:cs="宋体"/>
          <w:color w:val="231F20"/>
          <w:spacing w:val="11"/>
          <w:sz w:val="21"/>
          <w:szCs w:val="21"/>
        </w:rPr>
        <w:t>一要打破“经</w:t>
      </w:r>
      <w:r>
        <w:rPr>
          <w:rFonts w:hint="eastAsia" w:ascii="宋体" w:hAnsi="宋体" w:eastAsia="宋体" w:cs="宋体"/>
          <w:color w:val="231F20"/>
          <w:spacing w:val="-6"/>
          <w:sz w:val="21"/>
          <w:szCs w:val="21"/>
        </w:rPr>
        <w:t>验主义”，不宜用过去的办法解决现在的问题，避免</w:t>
      </w:r>
      <w:r>
        <w:rPr>
          <w:rFonts w:hint="eastAsia" w:ascii="宋体" w:hAnsi="宋体" w:eastAsia="宋体" w:cs="宋体"/>
          <w:color w:val="231F20"/>
          <w:spacing w:val="-11"/>
          <w:sz w:val="21"/>
          <w:szCs w:val="21"/>
        </w:rPr>
        <w:t>“新瓶装旧酒”，主动学习新知识、新理论</w:t>
      </w:r>
      <w:r>
        <w:rPr>
          <w:rFonts w:hint="eastAsia" w:ascii="宋体" w:hAnsi="宋体" w:eastAsia="宋体" w:cs="宋体"/>
          <w:color w:val="231F20"/>
          <w:spacing w:val="-12"/>
          <w:sz w:val="21"/>
          <w:szCs w:val="21"/>
        </w:rPr>
        <w:t>、新视角。</w:t>
      </w:r>
      <w:r>
        <w:rPr>
          <w:rFonts w:hint="eastAsia" w:ascii="宋体" w:hAnsi="宋体" w:eastAsia="宋体" w:cs="宋体"/>
          <w:color w:val="231F20"/>
          <w:spacing w:val="-6"/>
          <w:sz w:val="21"/>
          <w:szCs w:val="21"/>
        </w:rPr>
        <w:t>如运用系统思维、辩证思维、底线思维、极限思维等</w:t>
      </w:r>
      <w:r>
        <w:rPr>
          <w:rFonts w:hint="eastAsia" w:ascii="宋体" w:hAnsi="宋体" w:eastAsia="宋体" w:cs="宋体"/>
          <w:color w:val="231F20"/>
          <w:spacing w:val="2"/>
          <w:sz w:val="21"/>
          <w:szCs w:val="21"/>
        </w:rPr>
        <w:t>分析问题，从不同角度审视问题的本质。二要善于</w:t>
      </w:r>
      <w:r>
        <w:rPr>
          <w:rFonts w:hint="eastAsia" w:ascii="宋体" w:hAnsi="宋体" w:eastAsia="宋体" w:cs="宋体"/>
          <w:color w:val="231F20"/>
          <w:spacing w:val="-11"/>
          <w:sz w:val="21"/>
          <w:szCs w:val="21"/>
        </w:rPr>
        <w:t>“跨界融合”，借鉴先进地区、其他领域的</w:t>
      </w:r>
      <w:r>
        <w:rPr>
          <w:rFonts w:hint="eastAsia" w:ascii="宋体" w:hAnsi="宋体" w:eastAsia="宋体" w:cs="宋体"/>
          <w:color w:val="231F20"/>
          <w:spacing w:val="-12"/>
          <w:sz w:val="21"/>
          <w:szCs w:val="21"/>
        </w:rPr>
        <w:t>成功经验，</w:t>
      </w:r>
      <w:r>
        <w:rPr>
          <w:rFonts w:hint="eastAsia" w:ascii="宋体" w:hAnsi="宋体" w:eastAsia="宋体" w:cs="宋体"/>
          <w:color w:val="231F20"/>
          <w:spacing w:val="12"/>
          <w:sz w:val="21"/>
          <w:szCs w:val="21"/>
        </w:rPr>
        <w:t>如将企业管理中的精益生产理念引入基层治理调</w:t>
      </w:r>
      <w:r>
        <w:rPr>
          <w:rFonts w:hint="eastAsia" w:ascii="宋体" w:hAnsi="宋体" w:eastAsia="宋体" w:cs="宋体"/>
          <w:color w:val="231F20"/>
          <w:spacing w:val="-6"/>
          <w:sz w:val="21"/>
          <w:szCs w:val="21"/>
        </w:rPr>
        <w:t>研，将互联网领域的用户思维融入营商环境研究，通</w:t>
      </w:r>
      <w:r>
        <w:rPr>
          <w:rFonts w:hint="eastAsia" w:ascii="宋体" w:hAnsi="宋体" w:eastAsia="宋体" w:cs="宋体"/>
          <w:color w:val="231F20"/>
          <w:spacing w:val="-3"/>
          <w:sz w:val="21"/>
          <w:szCs w:val="21"/>
        </w:rPr>
        <w:t>过跨界思维激发创新灵感。三要注重“逆向思考”。</w:t>
      </w:r>
      <w:r>
        <w:rPr>
          <w:rFonts w:hint="eastAsia" w:ascii="宋体" w:hAnsi="宋体" w:eastAsia="宋体" w:cs="宋体"/>
          <w:color w:val="231F20"/>
          <w:spacing w:val="-6"/>
          <w:sz w:val="21"/>
          <w:szCs w:val="21"/>
        </w:rPr>
        <w:t>不仅从“如何解决问题”的角度思考，更要从“问题</w:t>
      </w:r>
      <w:r>
        <w:rPr>
          <w:rFonts w:hint="eastAsia" w:ascii="宋体" w:hAnsi="宋体" w:eastAsia="宋体" w:cs="宋体"/>
          <w:color w:val="231F20"/>
          <w:spacing w:val="3"/>
          <w:sz w:val="21"/>
          <w:szCs w:val="21"/>
        </w:rPr>
        <w:t>为何产生”“现有方案为何失效”“如何避免问题</w:t>
      </w:r>
      <w:r>
        <w:rPr>
          <w:rFonts w:hint="eastAsia" w:ascii="宋体" w:hAnsi="宋体" w:eastAsia="宋体" w:cs="宋体"/>
          <w:color w:val="231F20"/>
          <w:spacing w:val="-3"/>
          <w:sz w:val="21"/>
          <w:szCs w:val="21"/>
        </w:rPr>
        <w:t>再次发生”等角度反向分析，找出问题的根源所在。</w:t>
      </w:r>
    </w:p>
    <w:p w14:paraId="0F9F232D">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如应急管理的最高境界是“无急可应”。只有以宽</w:t>
      </w:r>
      <w:r>
        <w:rPr>
          <w:rFonts w:hint="eastAsia" w:ascii="宋体" w:hAnsi="宋体" w:eastAsia="宋体" w:cs="宋体"/>
          <w:color w:val="231F20"/>
          <w:spacing w:val="-10"/>
          <w:sz w:val="21"/>
          <w:szCs w:val="21"/>
        </w:rPr>
        <w:t>思路引领解题，才能避免“一条道走到黑”，为解决</w:t>
      </w:r>
      <w:r>
        <w:rPr>
          <w:rFonts w:hint="eastAsia" w:ascii="宋体" w:hAnsi="宋体" w:eastAsia="宋体" w:cs="宋体"/>
          <w:color w:val="231F20"/>
          <w:spacing w:val="-5"/>
          <w:sz w:val="21"/>
          <w:szCs w:val="21"/>
        </w:rPr>
        <w:t>问题提供更多可能性。</w:t>
      </w:r>
    </w:p>
    <w:p w14:paraId="4443B24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解题方法要“活”。方法活则效率高，解题方法</w:t>
      </w:r>
      <w:r>
        <w:rPr>
          <w:rFonts w:hint="eastAsia" w:ascii="宋体" w:hAnsi="宋体" w:eastAsia="宋体" w:cs="宋体"/>
          <w:color w:val="231F20"/>
          <w:spacing w:val="-1"/>
          <w:sz w:val="21"/>
          <w:szCs w:val="21"/>
        </w:rPr>
        <w:t>的灵活性直接影响调研成效。随着互联网信息技术</w:t>
      </w:r>
      <w:r>
        <w:rPr>
          <w:rFonts w:hint="eastAsia" w:ascii="宋体" w:hAnsi="宋体" w:eastAsia="宋体" w:cs="宋体"/>
          <w:color w:val="231F20"/>
          <w:spacing w:val="-9"/>
          <w:sz w:val="21"/>
          <w:szCs w:val="21"/>
        </w:rPr>
        <w:t>的快速发展，调研已从听汇报、看材料、开座谈</w:t>
      </w:r>
      <w:r>
        <w:rPr>
          <w:rFonts w:hint="eastAsia" w:ascii="宋体" w:hAnsi="宋体" w:eastAsia="宋体" w:cs="宋体"/>
          <w:color w:val="231F20"/>
          <w:spacing w:val="-10"/>
          <w:sz w:val="21"/>
          <w:szCs w:val="21"/>
        </w:rPr>
        <w:t>会等</w:t>
      </w:r>
      <w:r>
        <w:rPr>
          <w:rFonts w:hint="eastAsia" w:ascii="宋体" w:hAnsi="宋体" w:eastAsia="宋体" w:cs="宋体"/>
          <w:color w:val="231F20"/>
          <w:spacing w:val="-3"/>
          <w:sz w:val="21"/>
          <w:szCs w:val="21"/>
        </w:rPr>
        <w:t>传统方法向“传统 + 现代”融合的方向转变</w:t>
      </w:r>
      <w:r>
        <w:rPr>
          <w:rFonts w:hint="eastAsia" w:ascii="宋体" w:hAnsi="宋体" w:eastAsia="宋体" w:cs="宋体"/>
          <w:color w:val="231F20"/>
          <w:spacing w:val="-4"/>
          <w:sz w:val="21"/>
          <w:szCs w:val="21"/>
        </w:rPr>
        <w:t>，提升</w:t>
      </w:r>
      <w:r>
        <w:rPr>
          <w:rFonts w:hint="eastAsia" w:ascii="宋体" w:hAnsi="宋体" w:eastAsia="宋体" w:cs="宋体"/>
          <w:color w:val="231F20"/>
          <w:spacing w:val="-9"/>
          <w:sz w:val="21"/>
          <w:szCs w:val="21"/>
        </w:rPr>
        <w:t>方法灵活性，不拘一格做调研。一方面，用好传统方</w:t>
      </w:r>
      <w:r>
        <w:rPr>
          <w:rFonts w:hint="eastAsia" w:ascii="宋体" w:hAnsi="宋体" w:eastAsia="宋体" w:cs="宋体"/>
          <w:color w:val="231F20"/>
          <w:spacing w:val="-7"/>
          <w:sz w:val="21"/>
          <w:szCs w:val="21"/>
        </w:rPr>
        <w:t>法。深入基层一线开展“蹲点调研”“随机走访”，与群众面对面交流，倾听真实声音，获取一手资料，</w:t>
      </w:r>
      <w:r>
        <w:rPr>
          <w:rFonts w:hint="eastAsia" w:ascii="宋体" w:hAnsi="宋体" w:eastAsia="宋体" w:cs="宋体"/>
          <w:color w:val="231F20"/>
          <w:spacing w:val="-11"/>
          <w:w w:val="98"/>
          <w:sz w:val="21"/>
          <w:szCs w:val="21"/>
        </w:rPr>
        <w:t>避免“纸上调研”“网络调研”的局限性。另一方面，</w:t>
      </w:r>
      <w:r>
        <w:rPr>
          <w:rFonts w:hint="eastAsia" w:ascii="宋体" w:hAnsi="宋体" w:eastAsia="宋体" w:cs="宋体"/>
          <w:color w:val="231F20"/>
          <w:spacing w:val="-7"/>
          <w:w w:val="99"/>
          <w:sz w:val="21"/>
          <w:szCs w:val="21"/>
        </w:rPr>
        <w:t>善用现代技术。借助大数据、人工智能、云计算等</w:t>
      </w:r>
      <w:r>
        <w:rPr>
          <w:rFonts w:hint="eastAsia" w:ascii="宋体" w:hAnsi="宋体" w:eastAsia="宋体" w:cs="宋体"/>
          <w:color w:val="231F20"/>
          <w:spacing w:val="-8"/>
          <w:w w:val="99"/>
          <w:sz w:val="21"/>
          <w:szCs w:val="21"/>
        </w:rPr>
        <w:t>技</w:t>
      </w:r>
      <w:r>
        <w:rPr>
          <w:rFonts w:hint="eastAsia" w:ascii="宋体" w:hAnsi="宋体" w:eastAsia="宋体" w:cs="宋体"/>
          <w:color w:val="231F20"/>
          <w:spacing w:val="-5"/>
          <w:sz w:val="21"/>
          <w:szCs w:val="21"/>
        </w:rPr>
        <w:t>术手段，整合分析各类数据资源，如通过 12345 政</w:t>
      </w:r>
      <w:r>
        <w:rPr>
          <w:rFonts w:hint="eastAsia" w:ascii="宋体" w:hAnsi="宋体" w:eastAsia="宋体" w:cs="宋体"/>
          <w:color w:val="231F20"/>
          <w:spacing w:val="-9"/>
          <w:sz w:val="21"/>
          <w:szCs w:val="21"/>
        </w:rPr>
        <w:t>务服务平台数据、互联网数据等挖掘问题规律，通过问卷调查系统、在线访谈平台扩大调研覆盖面，通过</w:t>
      </w:r>
      <w:r>
        <w:rPr>
          <w:rFonts w:hint="eastAsia" w:ascii="宋体" w:hAnsi="宋体" w:eastAsia="宋体" w:cs="宋体"/>
          <w:color w:val="231F20"/>
          <w:spacing w:val="-1"/>
          <w:sz w:val="21"/>
          <w:szCs w:val="21"/>
        </w:rPr>
        <w:t>数据分析模型提升结论的科学性，实现定性研究与定量研究有机结合。只有让传统方法与现代技术相</w:t>
      </w:r>
      <w:r>
        <w:rPr>
          <w:rFonts w:hint="eastAsia" w:ascii="宋体" w:hAnsi="宋体" w:eastAsia="宋体" w:cs="宋体"/>
          <w:color w:val="231F20"/>
          <w:spacing w:val="-8"/>
          <w:sz w:val="21"/>
          <w:szCs w:val="21"/>
        </w:rPr>
        <w:t>得益彰，才能为有效解题提供有力支撑。</w:t>
      </w:r>
    </w:p>
    <w:p w14:paraId="7E61F923">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解题能力要“强”。能力强则成果实，解题能力</w:t>
      </w:r>
      <w:r>
        <w:rPr>
          <w:rFonts w:hint="eastAsia" w:ascii="宋体" w:hAnsi="宋体" w:eastAsia="宋体" w:cs="宋体"/>
          <w:color w:val="231F20"/>
          <w:spacing w:val="8"/>
          <w:sz w:val="21"/>
          <w:szCs w:val="21"/>
        </w:rPr>
        <w:t>的强弱直接决定调研成果的质量和转化效果。</w:t>
      </w:r>
      <w:r>
        <w:rPr>
          <w:rFonts w:hint="eastAsia" w:ascii="宋体" w:hAnsi="宋体" w:eastAsia="宋体" w:cs="宋体"/>
          <w:color w:val="231F20"/>
          <w:spacing w:val="-31"/>
          <w:sz w:val="21"/>
          <w:szCs w:val="21"/>
        </w:rPr>
        <w:t xml:space="preserve"> </w:t>
      </w:r>
      <w:r>
        <w:rPr>
          <w:rFonts w:hint="eastAsia" w:ascii="宋体" w:hAnsi="宋体" w:eastAsia="宋体" w:cs="宋体"/>
          <w:color w:val="231F20"/>
          <w:spacing w:val="8"/>
          <w:sz w:val="21"/>
          <w:szCs w:val="21"/>
        </w:rPr>
        <w:t>一</w:t>
      </w:r>
      <w:r>
        <w:rPr>
          <w:rFonts w:hint="eastAsia" w:ascii="宋体" w:hAnsi="宋体" w:eastAsia="宋体" w:cs="宋体"/>
          <w:color w:val="231F20"/>
          <w:spacing w:val="-9"/>
          <w:sz w:val="21"/>
          <w:szCs w:val="21"/>
        </w:rPr>
        <w:t>要提高脑力。部分调研工作之所以“虎头蛇尾”，关</w:t>
      </w:r>
      <w:r>
        <w:rPr>
          <w:rFonts w:hint="eastAsia" w:ascii="宋体" w:hAnsi="宋体" w:eastAsia="宋体" w:cs="宋体"/>
          <w:color w:val="231F20"/>
          <w:spacing w:val="-1"/>
          <w:sz w:val="21"/>
          <w:szCs w:val="21"/>
        </w:rPr>
        <w:t>键在于调研人员缺乏较强的分析研判和成果转化能</w:t>
      </w:r>
      <w:r>
        <w:rPr>
          <w:rFonts w:hint="eastAsia" w:ascii="宋体" w:hAnsi="宋体" w:eastAsia="宋体" w:cs="宋体"/>
          <w:color w:val="231F20"/>
          <w:spacing w:val="-9"/>
          <w:sz w:val="21"/>
          <w:szCs w:val="21"/>
        </w:rPr>
        <w:t>力，导致调研数据无法转化为有效结论，调研结论无</w:t>
      </w:r>
      <w:r>
        <w:rPr>
          <w:rFonts w:hint="eastAsia" w:ascii="宋体" w:hAnsi="宋体" w:eastAsia="宋体" w:cs="宋体"/>
          <w:color w:val="231F20"/>
          <w:spacing w:val="-7"/>
          <w:sz w:val="21"/>
          <w:szCs w:val="21"/>
        </w:rPr>
        <w:t>法转化为实际举措。调研人员要不断学习政策理论、</w:t>
      </w:r>
      <w:r>
        <w:rPr>
          <w:rFonts w:hint="eastAsia" w:ascii="宋体" w:hAnsi="宋体" w:eastAsia="宋体" w:cs="宋体"/>
          <w:color w:val="231F20"/>
          <w:spacing w:val="-9"/>
          <w:sz w:val="21"/>
          <w:szCs w:val="21"/>
        </w:rPr>
        <w:t>业务知识和调研方法，提升自身的综合素质，适应不</w:t>
      </w:r>
      <w:r>
        <w:rPr>
          <w:rFonts w:hint="eastAsia" w:ascii="宋体" w:hAnsi="宋体" w:eastAsia="宋体" w:cs="宋体"/>
          <w:color w:val="231F20"/>
          <w:spacing w:val="-1"/>
          <w:sz w:val="21"/>
          <w:szCs w:val="21"/>
        </w:rPr>
        <w:t>同类型问题的研究要求。二要提高眼力。强化分析</w:t>
      </w:r>
      <w:r>
        <w:rPr>
          <w:rFonts w:hint="eastAsia" w:ascii="宋体" w:hAnsi="宋体" w:eastAsia="宋体" w:cs="宋体"/>
          <w:color w:val="231F20"/>
          <w:spacing w:val="-9"/>
          <w:sz w:val="21"/>
          <w:szCs w:val="21"/>
        </w:rPr>
        <w:t>研判能力，学会从调研获取的资料中去粗取精、去伪存真、由表及里进行分析，既要发现数据背后的客观规律，也要识别问题背后的深层原因，避免浅尝辄止</w:t>
      </w:r>
      <w:r>
        <w:rPr>
          <w:rFonts w:hint="eastAsia" w:ascii="宋体" w:hAnsi="宋体" w:eastAsia="宋体" w:cs="宋体"/>
          <w:color w:val="231F20"/>
          <w:spacing w:val="-1"/>
          <w:sz w:val="21"/>
          <w:szCs w:val="21"/>
        </w:rPr>
        <w:t>或主观臆断。三要提高笔力。提升调研报告写作能</w:t>
      </w:r>
      <w:r>
        <w:rPr>
          <w:rFonts w:hint="eastAsia" w:ascii="宋体" w:hAnsi="宋体" w:eastAsia="宋体" w:cs="宋体"/>
          <w:color w:val="231F20"/>
          <w:spacing w:val="-9"/>
          <w:sz w:val="21"/>
          <w:szCs w:val="21"/>
        </w:rPr>
        <w:t>力，将分析结论转化为具体的解决方案，既要确保方案的科学性、可行性，又要考虑方案的落地条件和实</w:t>
      </w:r>
      <w:r>
        <w:rPr>
          <w:rFonts w:hint="eastAsia" w:ascii="宋体" w:hAnsi="宋体" w:eastAsia="宋体" w:cs="宋体"/>
          <w:color w:val="231F20"/>
          <w:spacing w:val="-1"/>
          <w:sz w:val="21"/>
          <w:szCs w:val="21"/>
        </w:rPr>
        <w:t>施步骤，避免空中楼阁式建议。只有以强能力支撑</w:t>
      </w:r>
      <w:r>
        <w:rPr>
          <w:rFonts w:hint="eastAsia" w:ascii="宋体" w:hAnsi="宋体" w:eastAsia="宋体" w:cs="宋体"/>
          <w:color w:val="231F20"/>
          <w:spacing w:val="-11"/>
          <w:w w:val="97"/>
          <w:sz w:val="21"/>
          <w:szCs w:val="21"/>
        </w:rPr>
        <w:t>解题，才能让调研成果真正管用、好用、能用，避免调</w:t>
      </w:r>
      <w:r>
        <w:rPr>
          <w:rFonts w:hint="eastAsia" w:ascii="宋体" w:hAnsi="宋体" w:eastAsia="宋体" w:cs="宋体"/>
          <w:color w:val="231F20"/>
          <w:spacing w:val="-8"/>
          <w:sz w:val="21"/>
          <w:szCs w:val="21"/>
        </w:rPr>
        <w:t>研与应用“两张皮”。</w:t>
      </w:r>
    </w:p>
    <w:p w14:paraId="28DA8B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4" w:firstLineChars="200"/>
        <w:textAlignment w:val="baseline"/>
        <w:rPr>
          <w:rFonts w:hint="eastAsia" w:ascii="宋体" w:hAnsi="宋体" w:eastAsia="宋体" w:cs="宋体"/>
          <w:b/>
          <w:bCs/>
          <w:color w:val="231F20"/>
          <w:spacing w:val="-9"/>
          <w:w w:val="98"/>
          <w:sz w:val="24"/>
          <w:szCs w:val="24"/>
        </w:rPr>
      </w:pPr>
      <w:r>
        <w:rPr>
          <w:rFonts w:hint="eastAsia" w:ascii="宋体" w:hAnsi="宋体" w:eastAsia="宋体" w:cs="宋体"/>
          <w:b/>
          <w:bCs/>
          <w:color w:val="231F20"/>
          <w:spacing w:val="-9"/>
          <w:w w:val="98"/>
          <w:sz w:val="24"/>
          <w:szCs w:val="24"/>
        </w:rPr>
        <w:t>三、强化质量意识，三向发力专心破题</w:t>
      </w:r>
    </w:p>
    <w:p w14:paraId="1DC9F142">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破题是调查研究的关键阶段，是从“发现问题”到“解决问题”的桥梁，直接关系到调研成果的实</w:t>
      </w:r>
      <w:r>
        <w:rPr>
          <w:rFonts w:hint="eastAsia" w:ascii="宋体" w:hAnsi="宋体" w:eastAsia="宋体" w:cs="宋体"/>
          <w:color w:val="231F20"/>
          <w:spacing w:val="2"/>
          <w:sz w:val="21"/>
          <w:szCs w:val="21"/>
        </w:rPr>
        <w:t xml:space="preserve"> </w:t>
      </w:r>
      <w:r>
        <w:rPr>
          <w:rFonts w:hint="eastAsia" w:ascii="宋体" w:hAnsi="宋体" w:eastAsia="宋体" w:cs="宋体"/>
          <w:color w:val="231F20"/>
          <w:spacing w:val="-1"/>
          <w:sz w:val="21"/>
          <w:szCs w:val="21"/>
        </w:rPr>
        <w:t>用性和决策的科学性。立足研以致用，让调研成果</w:t>
      </w:r>
      <w:r>
        <w:rPr>
          <w:rFonts w:hint="eastAsia" w:ascii="宋体" w:hAnsi="宋体" w:eastAsia="宋体" w:cs="宋体"/>
          <w:color w:val="231F20"/>
          <w:spacing w:val="2"/>
          <w:sz w:val="21"/>
          <w:szCs w:val="21"/>
        </w:rPr>
        <w:t xml:space="preserve"> </w:t>
      </w:r>
      <w:r>
        <w:rPr>
          <w:rFonts w:hint="eastAsia" w:ascii="宋体" w:hAnsi="宋体" w:eastAsia="宋体" w:cs="宋体"/>
          <w:color w:val="231F20"/>
          <w:spacing w:val="-1"/>
          <w:sz w:val="21"/>
          <w:szCs w:val="21"/>
        </w:rPr>
        <w:t>真正成为辅助决策的“先手棋”和推动落实的“助</w:t>
      </w:r>
      <w:r>
        <w:rPr>
          <w:rFonts w:hint="eastAsia" w:ascii="宋体" w:hAnsi="宋体" w:eastAsia="宋体" w:cs="宋体"/>
          <w:color w:val="231F20"/>
          <w:spacing w:val="2"/>
          <w:sz w:val="21"/>
          <w:szCs w:val="21"/>
        </w:rPr>
        <w:t xml:space="preserve"> </w:t>
      </w:r>
      <w:r>
        <w:rPr>
          <w:rFonts w:hint="eastAsia" w:ascii="宋体" w:hAnsi="宋体" w:eastAsia="宋体" w:cs="宋体"/>
          <w:color w:val="231F20"/>
          <w:spacing w:val="-13"/>
          <w:w w:val="95"/>
          <w:sz w:val="21"/>
          <w:szCs w:val="21"/>
        </w:rPr>
        <w:t>推器”。</w:t>
      </w:r>
      <w:r>
        <w:rPr>
          <w:rFonts w:hint="eastAsia" w:ascii="宋体" w:hAnsi="宋体" w:eastAsia="宋体" w:cs="宋体"/>
          <w:color w:val="231F20"/>
          <w:spacing w:val="-12"/>
          <w:sz w:val="21"/>
          <w:szCs w:val="21"/>
        </w:rPr>
        <w:t>了解情况要“清”。情况清，则底数明，了解情</w:t>
      </w:r>
      <w:r>
        <w:rPr>
          <w:rFonts w:hint="eastAsia" w:ascii="宋体" w:hAnsi="宋体" w:eastAsia="宋体" w:cs="宋体"/>
          <w:color w:val="231F20"/>
          <w:spacing w:val="12"/>
          <w:sz w:val="21"/>
          <w:szCs w:val="21"/>
        </w:rPr>
        <w:t>况的全面性和真实性是破题前提。部分调研工作</w:t>
      </w:r>
      <w:r>
        <w:rPr>
          <w:rFonts w:hint="eastAsia" w:ascii="宋体" w:hAnsi="宋体" w:eastAsia="宋体" w:cs="宋体"/>
          <w:color w:val="231F20"/>
          <w:spacing w:val="6"/>
          <w:sz w:val="21"/>
          <w:szCs w:val="21"/>
        </w:rPr>
        <w:t>之所以出现偏差，关键在于对情况了解得不全面、</w:t>
      </w:r>
      <w:r>
        <w:rPr>
          <w:rFonts w:hint="eastAsia" w:ascii="宋体" w:hAnsi="宋体" w:eastAsia="宋体" w:cs="宋体"/>
          <w:color w:val="231F20"/>
          <w:spacing w:val="2"/>
          <w:sz w:val="21"/>
          <w:szCs w:val="21"/>
        </w:rPr>
        <w:t>不准确，导致后续分析和建议偏离实际。</w:t>
      </w:r>
      <w:r>
        <w:rPr>
          <w:rFonts w:hint="eastAsia" w:ascii="宋体" w:hAnsi="宋体" w:eastAsia="宋体" w:cs="宋体"/>
          <w:color w:val="231F20"/>
          <w:spacing w:val="-34"/>
          <w:sz w:val="21"/>
          <w:szCs w:val="21"/>
        </w:rPr>
        <w:t xml:space="preserve"> </w:t>
      </w:r>
      <w:r>
        <w:rPr>
          <w:rFonts w:hint="eastAsia" w:ascii="宋体" w:hAnsi="宋体" w:eastAsia="宋体" w:cs="宋体"/>
          <w:color w:val="231F20"/>
          <w:spacing w:val="2"/>
          <w:sz w:val="21"/>
          <w:szCs w:val="21"/>
        </w:rPr>
        <w:t>一要吃透</w:t>
      </w:r>
      <w:r>
        <w:rPr>
          <w:rFonts w:hint="eastAsia" w:ascii="宋体" w:hAnsi="宋体" w:eastAsia="宋体" w:cs="宋体"/>
          <w:color w:val="231F20"/>
          <w:spacing w:val="-6"/>
          <w:sz w:val="21"/>
          <w:szCs w:val="21"/>
        </w:rPr>
        <w:t>上情。始终“上接天线”，全面掌握党和国家大政方</w:t>
      </w:r>
      <w:r>
        <w:rPr>
          <w:rFonts w:hint="eastAsia" w:ascii="宋体" w:hAnsi="宋体" w:eastAsia="宋体" w:cs="宋体"/>
          <w:color w:val="231F20"/>
          <w:spacing w:val="-3"/>
          <w:sz w:val="21"/>
          <w:szCs w:val="21"/>
        </w:rPr>
        <w:t>针，精准把握上级政策导向、战略意图和工作要求，</w:t>
      </w:r>
      <w:r>
        <w:rPr>
          <w:rFonts w:hint="eastAsia" w:ascii="宋体" w:hAnsi="宋体" w:eastAsia="宋体" w:cs="宋体"/>
          <w:color w:val="231F20"/>
          <w:spacing w:val="-6"/>
          <w:sz w:val="21"/>
          <w:szCs w:val="21"/>
        </w:rPr>
        <w:t>让调研始终与全局同频，跟上级同向，确保调研提出</w:t>
      </w:r>
      <w:r>
        <w:rPr>
          <w:rFonts w:hint="eastAsia" w:ascii="宋体" w:hAnsi="宋体" w:eastAsia="宋体" w:cs="宋体"/>
          <w:color w:val="231F20"/>
          <w:spacing w:val="3"/>
          <w:sz w:val="21"/>
          <w:szCs w:val="21"/>
        </w:rPr>
        <w:t>的对策建议与上级政策不冲突。比如，要深刻领会“十五五”时期经济社会发展的指导方针和主要目标。二要摸清下情。坚持实事求是原则，不仅要了</w:t>
      </w:r>
      <w:r>
        <w:rPr>
          <w:rFonts w:hint="eastAsia" w:ascii="宋体" w:hAnsi="宋体" w:eastAsia="宋体" w:cs="宋体"/>
          <w:color w:val="231F20"/>
          <w:spacing w:val="-6"/>
          <w:sz w:val="21"/>
          <w:szCs w:val="21"/>
        </w:rPr>
        <w:t>解正面情况，也要了解负面情况，不回避问题，不夸大成绩，通过“随机抽查”“暗访调研”等方式获取</w:t>
      </w:r>
      <w:r>
        <w:rPr>
          <w:rFonts w:hint="eastAsia" w:ascii="宋体" w:hAnsi="宋体" w:eastAsia="宋体" w:cs="宋体"/>
          <w:color w:val="231F20"/>
          <w:spacing w:val="-11"/>
          <w:w w:val="96"/>
          <w:sz w:val="21"/>
          <w:szCs w:val="21"/>
        </w:rPr>
        <w:t>基层真实信息，避免“被安排”“被包装”的调研陷阱。</w:t>
      </w:r>
      <w:r>
        <w:rPr>
          <w:rFonts w:hint="eastAsia" w:ascii="宋体" w:hAnsi="宋体" w:eastAsia="宋体" w:cs="宋体"/>
          <w:color w:val="231F20"/>
          <w:spacing w:val="-3"/>
          <w:sz w:val="21"/>
          <w:szCs w:val="21"/>
        </w:rPr>
        <w:t>比如，调研经济发展就要走进行业协会、企业车间；</w:t>
      </w:r>
      <w:r>
        <w:rPr>
          <w:rFonts w:hint="eastAsia" w:ascii="宋体" w:hAnsi="宋体" w:eastAsia="宋体" w:cs="宋体"/>
          <w:color w:val="231F20"/>
          <w:spacing w:val="-6"/>
          <w:sz w:val="21"/>
          <w:szCs w:val="21"/>
        </w:rPr>
        <w:t>调研基层治理就要走进社区小区、居民家里；调研高质量充分就业，就要了解大学生、退役军人等重点人</w:t>
      </w:r>
      <w:r>
        <w:rPr>
          <w:rFonts w:hint="eastAsia" w:ascii="宋体" w:hAnsi="宋体" w:eastAsia="宋体" w:cs="宋体"/>
          <w:color w:val="231F20"/>
          <w:spacing w:val="4"/>
          <w:sz w:val="21"/>
          <w:szCs w:val="21"/>
        </w:rPr>
        <w:t>群。三要把准行情。兼听则明 , 偏信则暗。</w:t>
      </w:r>
      <w:r>
        <w:rPr>
          <w:rFonts w:hint="eastAsia" w:ascii="宋体" w:hAnsi="宋体" w:eastAsia="宋体" w:cs="宋体"/>
          <w:color w:val="231F20"/>
          <w:spacing w:val="3"/>
          <w:sz w:val="21"/>
          <w:szCs w:val="21"/>
        </w:rPr>
        <w:t>不仅要</w:t>
      </w:r>
      <w:r>
        <w:rPr>
          <w:rFonts w:hint="eastAsia" w:ascii="宋体" w:hAnsi="宋体" w:eastAsia="宋体" w:cs="宋体"/>
          <w:color w:val="231F20"/>
          <w:spacing w:val="-6"/>
          <w:sz w:val="21"/>
          <w:szCs w:val="21"/>
        </w:rPr>
        <w:t>调研先进地区，也要走访落后地区，全面了解不同地</w:t>
      </w:r>
      <w:r>
        <w:rPr>
          <w:rFonts w:hint="eastAsia" w:ascii="宋体" w:hAnsi="宋体" w:eastAsia="宋体" w:cs="宋体"/>
          <w:color w:val="231F20"/>
          <w:spacing w:val="3"/>
          <w:sz w:val="21"/>
          <w:szCs w:val="21"/>
        </w:rPr>
        <w:t>区的成功经验和失败教训，避免选择性调研或片面</w:t>
      </w:r>
      <w:r>
        <w:rPr>
          <w:rFonts w:hint="eastAsia" w:ascii="宋体" w:hAnsi="宋体" w:eastAsia="宋体" w:cs="宋体"/>
          <w:color w:val="231F20"/>
          <w:spacing w:val="2"/>
          <w:sz w:val="21"/>
          <w:szCs w:val="21"/>
        </w:rPr>
        <w:t>性调研，掉入以偏概全的陷阱。只有全面客观地了</w:t>
      </w:r>
      <w:r>
        <w:rPr>
          <w:rFonts w:hint="eastAsia" w:ascii="宋体" w:hAnsi="宋体" w:eastAsia="宋体" w:cs="宋体"/>
          <w:color w:val="231F20"/>
          <w:spacing w:val="3"/>
          <w:sz w:val="21"/>
          <w:szCs w:val="21"/>
        </w:rPr>
        <w:t>解情况，才能为后续原因分析和对策建议奠定坚实</w:t>
      </w:r>
      <w:r>
        <w:rPr>
          <w:rFonts w:hint="eastAsia" w:ascii="宋体" w:hAnsi="宋体" w:eastAsia="宋体" w:cs="宋体"/>
          <w:color w:val="231F20"/>
          <w:spacing w:val="-11"/>
          <w:sz w:val="21"/>
          <w:szCs w:val="21"/>
        </w:rPr>
        <w:t>基础，防止盲人摸象，出现误判。</w:t>
      </w:r>
    </w:p>
    <w:p w14:paraId="023E01C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分析原因要“透”。原因透则靶向准，查找原因</w:t>
      </w:r>
      <w:r>
        <w:rPr>
          <w:rFonts w:hint="eastAsia" w:ascii="宋体" w:hAnsi="宋体" w:eastAsia="宋体" w:cs="宋体"/>
          <w:color w:val="231F20"/>
          <w:spacing w:val="1"/>
          <w:sz w:val="21"/>
          <w:szCs w:val="21"/>
        </w:rPr>
        <w:t>的透彻程度直接决定对策建议的针对性和有效性。</w:t>
      </w:r>
      <w:r>
        <w:rPr>
          <w:rFonts w:hint="eastAsia" w:ascii="宋体" w:hAnsi="宋体" w:eastAsia="宋体" w:cs="宋体"/>
          <w:color w:val="231F20"/>
          <w:spacing w:val="-8"/>
          <w:w w:val="99"/>
          <w:sz w:val="21"/>
          <w:szCs w:val="21"/>
        </w:rPr>
        <w:t>部分调研工作之所以“治标不治本”，关键在于只停</w:t>
      </w:r>
      <w:r>
        <w:rPr>
          <w:rFonts w:hint="eastAsia" w:ascii="宋体" w:hAnsi="宋体" w:eastAsia="宋体" w:cs="宋体"/>
          <w:color w:val="231F20"/>
          <w:spacing w:val="-1"/>
          <w:sz w:val="21"/>
          <w:szCs w:val="21"/>
        </w:rPr>
        <w:t>留在表面现象分析，未能挖掘问题的深层根源。原</w:t>
      </w:r>
      <w:r>
        <w:rPr>
          <w:rFonts w:hint="eastAsia" w:ascii="宋体" w:hAnsi="宋体" w:eastAsia="宋体" w:cs="宋体"/>
          <w:color w:val="231F20"/>
          <w:spacing w:val="-7"/>
          <w:sz w:val="21"/>
          <w:szCs w:val="21"/>
        </w:rPr>
        <w:t>因分析要透过现象看本质：一要避免“就事论事”。</w:t>
      </w:r>
      <w:r>
        <w:rPr>
          <w:rFonts w:hint="eastAsia" w:ascii="宋体" w:hAnsi="宋体" w:eastAsia="宋体" w:cs="宋体"/>
          <w:color w:val="231F20"/>
          <w:spacing w:val="-1"/>
          <w:sz w:val="21"/>
          <w:szCs w:val="21"/>
        </w:rPr>
        <w:t>不能将问题简单归咎于个别因素或偶然现象，而要</w:t>
      </w:r>
      <w:r>
        <w:rPr>
          <w:rFonts w:hint="eastAsia" w:ascii="宋体" w:hAnsi="宋体" w:eastAsia="宋体" w:cs="宋体"/>
          <w:color w:val="231F20"/>
          <w:spacing w:val="-9"/>
          <w:w w:val="96"/>
          <w:sz w:val="21"/>
          <w:szCs w:val="21"/>
        </w:rPr>
        <w:t>从制度、机制、文化、环境等多个层面分析原因，如</w:t>
      </w:r>
      <w:r>
        <w:rPr>
          <w:rFonts w:hint="eastAsia" w:ascii="宋体" w:hAnsi="宋体" w:eastAsia="宋体" w:cs="宋体"/>
          <w:color w:val="231F20"/>
          <w:spacing w:val="-10"/>
          <w:w w:val="96"/>
          <w:sz w:val="21"/>
          <w:szCs w:val="21"/>
        </w:rPr>
        <w:t>分</w:t>
      </w:r>
      <w:r>
        <w:rPr>
          <w:rFonts w:hint="eastAsia" w:ascii="宋体" w:hAnsi="宋体" w:eastAsia="宋体" w:cs="宋体"/>
          <w:color w:val="231F20"/>
          <w:spacing w:val="-9"/>
          <w:sz w:val="21"/>
          <w:szCs w:val="21"/>
        </w:rPr>
        <w:t>析基层治理难题时，既要考虑干部能力因素，也</w:t>
      </w:r>
      <w:r>
        <w:rPr>
          <w:rFonts w:hint="eastAsia" w:ascii="宋体" w:hAnsi="宋体" w:eastAsia="宋体" w:cs="宋体"/>
          <w:color w:val="231F20"/>
          <w:spacing w:val="-10"/>
          <w:sz w:val="21"/>
          <w:szCs w:val="21"/>
        </w:rPr>
        <w:t>要研</w:t>
      </w:r>
      <w:r>
        <w:rPr>
          <w:rFonts w:hint="eastAsia" w:ascii="宋体" w:hAnsi="宋体" w:eastAsia="宋体" w:cs="宋体"/>
          <w:color w:val="231F20"/>
          <w:spacing w:val="-1"/>
          <w:sz w:val="21"/>
          <w:szCs w:val="21"/>
        </w:rPr>
        <w:t>究制度设计、资源配置等深层问题。二要避免“归</w:t>
      </w:r>
      <w:r>
        <w:rPr>
          <w:rFonts w:hint="eastAsia" w:ascii="宋体" w:hAnsi="宋体" w:eastAsia="宋体" w:cs="宋体"/>
          <w:color w:val="231F20"/>
          <w:spacing w:val="-13"/>
          <w:w w:val="98"/>
          <w:sz w:val="21"/>
          <w:szCs w:val="21"/>
        </w:rPr>
        <w:t>因混乱”。要运用因果分析方法，通过“问题树”“鱼</w:t>
      </w:r>
      <w:r>
        <w:rPr>
          <w:rFonts w:hint="eastAsia" w:ascii="宋体" w:hAnsi="宋体" w:eastAsia="宋体" w:cs="宋体"/>
          <w:color w:val="231F20"/>
          <w:spacing w:val="-9"/>
          <w:sz w:val="21"/>
          <w:szCs w:val="21"/>
        </w:rPr>
        <w:t>骨图”等分析工具，梳理问题的直接原因、间</w:t>
      </w:r>
      <w:r>
        <w:rPr>
          <w:rFonts w:hint="eastAsia" w:ascii="宋体" w:hAnsi="宋体" w:eastAsia="宋体" w:cs="宋体"/>
          <w:color w:val="231F20"/>
          <w:spacing w:val="-10"/>
          <w:sz w:val="21"/>
          <w:szCs w:val="21"/>
        </w:rPr>
        <w:t>接原因</w:t>
      </w:r>
      <w:r>
        <w:rPr>
          <w:rFonts w:hint="eastAsia" w:ascii="宋体" w:hAnsi="宋体" w:eastAsia="宋体" w:cs="宋体"/>
          <w:color w:val="231F20"/>
          <w:spacing w:val="-9"/>
          <w:sz w:val="21"/>
          <w:szCs w:val="21"/>
        </w:rPr>
        <w:t>和根本原因，明确原因之间的逻辑关系，找到问</w:t>
      </w:r>
      <w:r>
        <w:rPr>
          <w:rFonts w:hint="eastAsia" w:ascii="宋体" w:hAnsi="宋体" w:eastAsia="宋体" w:cs="宋体"/>
          <w:color w:val="231F20"/>
          <w:spacing w:val="-10"/>
          <w:sz w:val="21"/>
          <w:szCs w:val="21"/>
        </w:rPr>
        <w:t>题的</w:t>
      </w:r>
      <w:r>
        <w:rPr>
          <w:rFonts w:hint="eastAsia" w:ascii="宋体" w:hAnsi="宋体" w:eastAsia="宋体" w:cs="宋体"/>
          <w:color w:val="231F20"/>
          <w:spacing w:val="-7"/>
          <w:sz w:val="21"/>
          <w:szCs w:val="21"/>
        </w:rPr>
        <w:t>症结所在。三要避免“自以为是”。注重换位思考，</w:t>
      </w:r>
      <w:r>
        <w:rPr>
          <w:rFonts w:hint="eastAsia" w:ascii="宋体" w:hAnsi="宋体" w:eastAsia="宋体" w:cs="宋体"/>
          <w:color w:val="231F20"/>
          <w:spacing w:val="-9"/>
          <w:sz w:val="21"/>
          <w:szCs w:val="21"/>
        </w:rPr>
        <w:t>从政府、企业、群众等不同主体的角度分析问题</w:t>
      </w:r>
      <w:r>
        <w:rPr>
          <w:rFonts w:hint="eastAsia" w:ascii="宋体" w:hAnsi="宋体" w:eastAsia="宋体" w:cs="宋体"/>
          <w:color w:val="231F20"/>
          <w:spacing w:val="-10"/>
          <w:sz w:val="21"/>
          <w:szCs w:val="21"/>
        </w:rPr>
        <w:t>产生</w:t>
      </w:r>
      <w:r>
        <w:rPr>
          <w:rFonts w:hint="eastAsia" w:ascii="宋体" w:hAnsi="宋体" w:eastAsia="宋体" w:cs="宋体"/>
          <w:color w:val="231F20"/>
          <w:spacing w:val="-9"/>
          <w:sz w:val="21"/>
          <w:szCs w:val="21"/>
        </w:rPr>
        <w:t>的原因、审视政策执行中的问题，找出矛盾焦点</w:t>
      </w:r>
      <w:r>
        <w:rPr>
          <w:rFonts w:hint="eastAsia" w:ascii="宋体" w:hAnsi="宋体" w:eastAsia="宋体" w:cs="宋体"/>
          <w:color w:val="231F20"/>
          <w:spacing w:val="-10"/>
          <w:sz w:val="21"/>
          <w:szCs w:val="21"/>
        </w:rPr>
        <w:t>和多</w:t>
      </w:r>
      <w:r>
        <w:rPr>
          <w:rFonts w:hint="eastAsia" w:ascii="宋体" w:hAnsi="宋体" w:eastAsia="宋体" w:cs="宋体"/>
          <w:color w:val="231F20"/>
          <w:spacing w:val="-7"/>
          <w:sz w:val="21"/>
          <w:szCs w:val="21"/>
        </w:rPr>
        <w:t>方利益平衡点。只有穿透表面现象，挖掘深层根源，</w:t>
      </w:r>
      <w:r>
        <w:rPr>
          <w:rFonts w:hint="eastAsia" w:ascii="宋体" w:hAnsi="宋体" w:eastAsia="宋体" w:cs="宋体"/>
          <w:color w:val="231F20"/>
          <w:spacing w:val="-9"/>
          <w:sz w:val="21"/>
          <w:szCs w:val="21"/>
        </w:rPr>
        <w:t>才能为对策建议提供精准靶向，避免头痛医头、</w:t>
      </w:r>
      <w:r>
        <w:rPr>
          <w:rFonts w:hint="eastAsia" w:ascii="宋体" w:hAnsi="宋体" w:eastAsia="宋体" w:cs="宋体"/>
          <w:color w:val="231F20"/>
          <w:spacing w:val="-10"/>
          <w:sz w:val="21"/>
          <w:szCs w:val="21"/>
        </w:rPr>
        <w:t>脚痛</w:t>
      </w:r>
      <w:r>
        <w:rPr>
          <w:rFonts w:hint="eastAsia" w:ascii="宋体" w:hAnsi="宋体" w:eastAsia="宋体" w:cs="宋体"/>
          <w:color w:val="231F20"/>
          <w:spacing w:val="-11"/>
          <w:sz w:val="21"/>
          <w:szCs w:val="21"/>
        </w:rPr>
        <w:t>医脚。</w:t>
      </w:r>
    </w:p>
    <w:p w14:paraId="6A26701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对策建议要“准”。建议准则效果好，对策建议</w:t>
      </w:r>
      <w:r>
        <w:rPr>
          <w:rFonts w:hint="eastAsia" w:ascii="宋体" w:hAnsi="宋体" w:eastAsia="宋体" w:cs="宋体"/>
          <w:color w:val="231F20"/>
          <w:spacing w:val="-1"/>
          <w:sz w:val="21"/>
          <w:szCs w:val="21"/>
        </w:rPr>
        <w:t>的精准性和可行性是破题的核心目标。部分调研成</w:t>
      </w:r>
      <w:r>
        <w:rPr>
          <w:rFonts w:hint="eastAsia" w:ascii="宋体" w:hAnsi="宋体" w:eastAsia="宋体" w:cs="宋体"/>
          <w:color w:val="231F20"/>
          <w:spacing w:val="-7"/>
          <w:sz w:val="21"/>
          <w:szCs w:val="21"/>
        </w:rPr>
        <w:t>果之所以难以落地，关键在于对策建议中看不中用，</w:t>
      </w:r>
      <w:r>
        <w:rPr>
          <w:rFonts w:hint="eastAsia" w:ascii="宋体" w:hAnsi="宋体" w:eastAsia="宋体" w:cs="宋体"/>
          <w:color w:val="231F20"/>
          <w:spacing w:val="-2"/>
          <w:sz w:val="21"/>
          <w:szCs w:val="21"/>
        </w:rPr>
        <w:t>要么过于理想化，要么缺乏针对性。</w:t>
      </w:r>
      <w:r>
        <w:rPr>
          <w:rFonts w:hint="eastAsia" w:ascii="宋体" w:hAnsi="宋体" w:eastAsia="宋体" w:cs="宋体"/>
          <w:color w:val="231F20"/>
          <w:spacing w:val="-25"/>
          <w:sz w:val="21"/>
          <w:szCs w:val="21"/>
        </w:rPr>
        <w:t xml:space="preserve"> </w:t>
      </w:r>
      <w:r>
        <w:rPr>
          <w:rFonts w:hint="eastAsia" w:ascii="宋体" w:hAnsi="宋体" w:eastAsia="宋体" w:cs="宋体"/>
          <w:color w:val="231F20"/>
          <w:spacing w:val="-2"/>
          <w:sz w:val="21"/>
          <w:szCs w:val="21"/>
        </w:rPr>
        <w:t>一要力求“务</w:t>
      </w:r>
      <w:r>
        <w:rPr>
          <w:rFonts w:hint="eastAsia" w:ascii="宋体" w:hAnsi="宋体" w:eastAsia="宋体" w:cs="宋体"/>
          <w:color w:val="231F20"/>
          <w:spacing w:val="-6"/>
          <w:w w:val="98"/>
          <w:sz w:val="21"/>
          <w:szCs w:val="21"/>
        </w:rPr>
        <w:t>实可行”。充分考虑政策环境、资源条件、群众接受</w:t>
      </w:r>
      <w:r>
        <w:rPr>
          <w:rFonts w:hint="eastAsia" w:ascii="宋体" w:hAnsi="宋体" w:eastAsia="宋体" w:cs="宋体"/>
          <w:color w:val="231F20"/>
          <w:spacing w:val="-8"/>
          <w:sz w:val="21"/>
          <w:szCs w:val="21"/>
        </w:rPr>
        <w:t>度等实际因素，避免提出不具有可操作性的建议，同</w:t>
      </w:r>
      <w:r>
        <w:rPr>
          <w:rFonts w:hint="eastAsia" w:ascii="宋体" w:hAnsi="宋体" w:eastAsia="宋体" w:cs="宋体"/>
          <w:color w:val="231F20"/>
          <w:spacing w:val="-10"/>
          <w:sz w:val="21"/>
          <w:szCs w:val="21"/>
        </w:rPr>
        <w:t>时借鉴国内外成功经验，结合本地实际进行创新，确</w:t>
      </w:r>
      <w:r>
        <w:rPr>
          <w:rFonts w:hint="eastAsia" w:ascii="宋体" w:hAnsi="宋体" w:eastAsia="宋体" w:cs="宋体"/>
          <w:color w:val="231F20"/>
          <w:spacing w:val="-7"/>
          <w:sz w:val="21"/>
          <w:szCs w:val="21"/>
        </w:rPr>
        <w:t>保建议的科学性和前瞻性。二要做到“精准有效”。针对问题的深层根源提出“对症下药”的对策建议，</w:t>
      </w:r>
      <w:r>
        <w:rPr>
          <w:rFonts w:hint="eastAsia" w:ascii="宋体" w:hAnsi="宋体" w:eastAsia="宋体" w:cs="宋体"/>
          <w:color w:val="231F20"/>
          <w:spacing w:val="-9"/>
          <w:sz w:val="21"/>
          <w:szCs w:val="21"/>
        </w:rPr>
        <w:t>如针对人才流失问题，既要提出引才举措，也要</w:t>
      </w:r>
      <w:r>
        <w:rPr>
          <w:rFonts w:hint="eastAsia" w:ascii="宋体" w:hAnsi="宋体" w:eastAsia="宋体" w:cs="宋体"/>
          <w:color w:val="231F20"/>
          <w:spacing w:val="-10"/>
          <w:sz w:val="21"/>
          <w:szCs w:val="21"/>
        </w:rPr>
        <w:t>制定</w:t>
      </w:r>
      <w:r>
        <w:rPr>
          <w:rFonts w:hint="eastAsia" w:ascii="宋体" w:hAnsi="宋体" w:eastAsia="宋体" w:cs="宋体"/>
          <w:color w:val="231F20"/>
          <w:spacing w:val="-9"/>
          <w:sz w:val="21"/>
          <w:szCs w:val="21"/>
        </w:rPr>
        <w:t>用才、留才的机制，确保人才引得进、用得好、留得</w:t>
      </w:r>
      <w:r>
        <w:rPr>
          <w:rFonts w:hint="eastAsia" w:ascii="宋体" w:hAnsi="宋体" w:eastAsia="宋体" w:cs="宋体"/>
          <w:color w:val="231F20"/>
          <w:spacing w:val="-1"/>
          <w:sz w:val="21"/>
          <w:szCs w:val="21"/>
        </w:rPr>
        <w:t>下。三要坚持“分类施策”。把握主次矛盾和矛盾</w:t>
      </w:r>
      <w:r>
        <w:rPr>
          <w:rFonts w:hint="eastAsia" w:ascii="宋体" w:hAnsi="宋体" w:eastAsia="宋体" w:cs="宋体"/>
          <w:color w:val="231F20"/>
          <w:spacing w:val="-9"/>
          <w:sz w:val="21"/>
          <w:szCs w:val="21"/>
        </w:rPr>
        <w:t>的主次方面，根据问题的不同类型、不同地区的</w:t>
      </w:r>
      <w:r>
        <w:rPr>
          <w:rFonts w:hint="eastAsia" w:ascii="宋体" w:hAnsi="宋体" w:eastAsia="宋体" w:cs="宋体"/>
          <w:color w:val="231F20"/>
          <w:spacing w:val="-10"/>
          <w:sz w:val="21"/>
          <w:szCs w:val="21"/>
        </w:rPr>
        <w:t>实际情况，提出差异化的解决方案，避免“一刀切”。只</w:t>
      </w:r>
      <w:r>
        <w:rPr>
          <w:rFonts w:hint="eastAsia" w:ascii="宋体" w:hAnsi="宋体" w:eastAsia="宋体" w:cs="宋体"/>
          <w:color w:val="231F20"/>
          <w:spacing w:val="-1"/>
          <w:sz w:val="21"/>
          <w:szCs w:val="21"/>
        </w:rPr>
        <w:t>有以精准可行的对策建议破题，才能让调研成果真</w:t>
      </w:r>
      <w:r>
        <w:rPr>
          <w:rFonts w:hint="eastAsia" w:ascii="宋体" w:hAnsi="宋体" w:eastAsia="宋体" w:cs="宋体"/>
          <w:color w:val="231F20"/>
          <w:spacing w:val="-8"/>
          <w:sz w:val="21"/>
          <w:szCs w:val="21"/>
        </w:rPr>
        <w:t>正转化为解决问题、推动发展的实际成效。</w:t>
      </w:r>
    </w:p>
    <w:p w14:paraId="2C31B52A">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4" w:firstLineChars="200"/>
        <w:textAlignment w:val="baseline"/>
        <w:rPr>
          <w:rFonts w:hint="eastAsia" w:ascii="宋体" w:hAnsi="宋体" w:eastAsia="宋体" w:cs="宋体"/>
          <w:b/>
          <w:bCs/>
          <w:sz w:val="24"/>
          <w:szCs w:val="24"/>
        </w:rPr>
      </w:pPr>
      <w:r>
        <w:rPr>
          <w:rFonts w:hint="eastAsia" w:ascii="宋体" w:hAnsi="宋体" w:eastAsia="宋体" w:cs="宋体"/>
          <w:b/>
          <w:bCs/>
          <w:color w:val="231F20"/>
          <w:spacing w:val="-9"/>
          <w:w w:val="98"/>
          <w:sz w:val="24"/>
          <w:szCs w:val="24"/>
        </w:rPr>
        <w:t>四、强化协作意识，三管齐下耐心结题</w:t>
      </w:r>
    </w:p>
    <w:p w14:paraId="6320C5D5">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1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
          <w:sz w:val="21"/>
          <w:szCs w:val="21"/>
        </w:rPr>
        <w:t>结题是调查研究的收尾阶段，也是确保调研成果落地见效的关键环节。部分调研工作之所以“不</w:t>
      </w:r>
      <w:r>
        <w:rPr>
          <w:rFonts w:hint="eastAsia" w:ascii="宋体" w:hAnsi="宋体" w:eastAsia="宋体" w:cs="宋体"/>
          <w:color w:val="231F20"/>
          <w:spacing w:val="-11"/>
          <w:w w:val="97"/>
          <w:sz w:val="21"/>
          <w:szCs w:val="21"/>
        </w:rPr>
        <w:t>了了之”，调研成果“束之高阁”，关键在于缺乏有</w:t>
      </w:r>
      <w:r>
        <w:rPr>
          <w:rFonts w:hint="eastAsia" w:ascii="宋体" w:hAnsi="宋体" w:eastAsia="宋体" w:cs="宋体"/>
          <w:color w:val="231F20"/>
          <w:spacing w:val="-12"/>
          <w:w w:val="97"/>
          <w:sz w:val="21"/>
          <w:szCs w:val="21"/>
        </w:rPr>
        <w:t>效</w:t>
      </w:r>
      <w:r>
        <w:rPr>
          <w:rFonts w:hint="eastAsia" w:ascii="宋体" w:hAnsi="宋体" w:eastAsia="宋体" w:cs="宋体"/>
          <w:color w:val="231F20"/>
          <w:spacing w:val="-7"/>
          <w:sz w:val="21"/>
          <w:szCs w:val="21"/>
        </w:rPr>
        <w:t>的过程管控、协作配合和保障措施。强化协作意识，</w:t>
      </w:r>
      <w:r>
        <w:rPr>
          <w:rFonts w:hint="eastAsia" w:ascii="宋体" w:hAnsi="宋体" w:eastAsia="宋体" w:cs="宋体"/>
          <w:color w:val="231F20"/>
          <w:spacing w:val="-9"/>
          <w:sz w:val="21"/>
          <w:szCs w:val="21"/>
        </w:rPr>
        <w:t>必须做到过程管控严、协作配合紧、保障措</w:t>
      </w:r>
      <w:r>
        <w:rPr>
          <w:rFonts w:hint="eastAsia" w:ascii="宋体" w:hAnsi="宋体" w:eastAsia="宋体" w:cs="宋体"/>
          <w:color w:val="231F20"/>
          <w:spacing w:val="-10"/>
          <w:sz w:val="21"/>
          <w:szCs w:val="21"/>
        </w:rPr>
        <w:t>施实，让</w:t>
      </w:r>
      <w:r>
        <w:rPr>
          <w:rFonts w:hint="eastAsia" w:ascii="宋体" w:hAnsi="宋体" w:eastAsia="宋体" w:cs="宋体"/>
          <w:color w:val="231F20"/>
          <w:spacing w:val="-6"/>
          <w:w w:val="98"/>
          <w:sz w:val="21"/>
          <w:szCs w:val="21"/>
        </w:rPr>
        <w:t>调研成果真正落地生根、开花结果。</w:t>
      </w:r>
    </w:p>
    <w:p w14:paraId="66F9AF96">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过程管控要“严”。管控严则质量优，严格的过</w:t>
      </w:r>
      <w:r>
        <w:rPr>
          <w:rFonts w:hint="eastAsia" w:ascii="宋体" w:hAnsi="宋体" w:eastAsia="宋体" w:cs="宋体"/>
          <w:color w:val="231F20"/>
          <w:spacing w:val="-1"/>
          <w:sz w:val="21"/>
          <w:szCs w:val="21"/>
        </w:rPr>
        <w:t>程管控是确保调研工作有序推进的重要保障。部分</w:t>
      </w:r>
      <w:r>
        <w:rPr>
          <w:rFonts w:hint="eastAsia" w:ascii="宋体" w:hAnsi="宋体" w:eastAsia="宋体" w:cs="宋体"/>
          <w:color w:val="231F20"/>
          <w:spacing w:val="-9"/>
          <w:sz w:val="21"/>
          <w:szCs w:val="21"/>
        </w:rPr>
        <w:t>调研工作之所以出现“拖延”“敷衍”等问题，关键</w:t>
      </w:r>
      <w:r>
        <w:rPr>
          <w:rFonts w:hint="eastAsia" w:ascii="宋体" w:hAnsi="宋体" w:eastAsia="宋体" w:cs="宋体"/>
          <w:color w:val="231F20"/>
          <w:spacing w:val="-1"/>
          <w:sz w:val="21"/>
          <w:szCs w:val="21"/>
        </w:rPr>
        <w:t>在于缺乏有效的过程管理。加强过程管控，一要全</w:t>
      </w:r>
      <w:r>
        <w:rPr>
          <w:rFonts w:hint="eastAsia" w:ascii="宋体" w:hAnsi="宋体" w:eastAsia="宋体" w:cs="宋体"/>
          <w:color w:val="231F20"/>
          <w:spacing w:val="-9"/>
          <w:sz w:val="21"/>
          <w:szCs w:val="21"/>
        </w:rPr>
        <w:t>流程闭环。明确调研选题、方案制订、数据采集、分</w:t>
      </w:r>
      <w:r>
        <w:rPr>
          <w:rFonts w:hint="eastAsia" w:ascii="宋体" w:hAnsi="宋体" w:eastAsia="宋体" w:cs="宋体"/>
          <w:color w:val="231F20"/>
          <w:spacing w:val="-7"/>
          <w:sz w:val="21"/>
          <w:szCs w:val="21"/>
        </w:rPr>
        <w:t>析研究、报告撰写、成果转化等各环节的责任主体、</w:t>
      </w:r>
      <w:r>
        <w:rPr>
          <w:rFonts w:hint="eastAsia" w:ascii="宋体" w:hAnsi="宋体" w:eastAsia="宋体" w:cs="宋体"/>
          <w:color w:val="231F20"/>
          <w:spacing w:val="-11"/>
          <w:w w:val="98"/>
          <w:sz w:val="21"/>
          <w:szCs w:val="21"/>
        </w:rPr>
        <w:t>时间节点和质量标准，避免“责任不清、进度不明”。</w:t>
      </w:r>
      <w:r>
        <w:rPr>
          <w:rFonts w:hint="eastAsia" w:ascii="宋体" w:hAnsi="宋体" w:eastAsia="宋体" w:cs="宋体"/>
          <w:color w:val="231F20"/>
          <w:spacing w:val="-7"/>
          <w:sz w:val="21"/>
          <w:szCs w:val="21"/>
        </w:rPr>
        <w:t>二要全要素审核。在调研方案阶段进行可行性论证，</w:t>
      </w:r>
      <w:r>
        <w:rPr>
          <w:rFonts w:hint="eastAsia" w:ascii="宋体" w:hAnsi="宋体" w:eastAsia="宋体" w:cs="宋体"/>
          <w:color w:val="231F20"/>
          <w:spacing w:val="-1"/>
          <w:sz w:val="21"/>
          <w:szCs w:val="21"/>
        </w:rPr>
        <w:t>在数据采集阶段进行真实性核查，在报告撰写阶段</w:t>
      </w:r>
      <w:r>
        <w:rPr>
          <w:rFonts w:hint="eastAsia" w:ascii="宋体" w:hAnsi="宋体" w:eastAsia="宋体" w:cs="宋体"/>
          <w:color w:val="231F20"/>
          <w:spacing w:val="-9"/>
          <w:sz w:val="21"/>
          <w:szCs w:val="21"/>
        </w:rPr>
        <w:t>进行科学性评审，对调研数据进行严格审核，确保每</w:t>
      </w:r>
      <w:r>
        <w:rPr>
          <w:rFonts w:hint="eastAsia" w:ascii="宋体" w:hAnsi="宋体" w:eastAsia="宋体" w:cs="宋体"/>
          <w:color w:val="231F20"/>
          <w:spacing w:val="-1"/>
          <w:sz w:val="21"/>
          <w:szCs w:val="21"/>
        </w:rPr>
        <w:t>个数据准确可靠，每个环节都符合质量要求。三要全方位优化。根据调研过程中发现的新情况、新问</w:t>
      </w:r>
      <w:r>
        <w:rPr>
          <w:rFonts w:hint="eastAsia" w:ascii="宋体" w:hAnsi="宋体" w:eastAsia="宋体" w:cs="宋体"/>
          <w:color w:val="231F20"/>
          <w:spacing w:val="-9"/>
          <w:sz w:val="21"/>
          <w:szCs w:val="21"/>
        </w:rPr>
        <w:t>题，及时调整调研方案和思路，避免按部就班导致调</w:t>
      </w:r>
      <w:r>
        <w:rPr>
          <w:rFonts w:hint="eastAsia" w:ascii="宋体" w:hAnsi="宋体" w:eastAsia="宋体" w:cs="宋体"/>
          <w:color w:val="231F20"/>
          <w:spacing w:val="-1"/>
          <w:sz w:val="21"/>
          <w:szCs w:val="21"/>
        </w:rPr>
        <w:t>研脱离实际。只有通过严管控实现全流程闭环，才</w:t>
      </w:r>
      <w:r>
        <w:rPr>
          <w:rFonts w:hint="eastAsia" w:ascii="宋体" w:hAnsi="宋体" w:eastAsia="宋体" w:cs="宋体"/>
          <w:color w:val="231F20"/>
          <w:spacing w:val="-9"/>
          <w:sz w:val="21"/>
          <w:szCs w:val="21"/>
        </w:rPr>
        <w:t>能确保调研工作有序推进，质量可控，避免“半途而</w:t>
      </w:r>
      <w:r>
        <w:rPr>
          <w:rFonts w:hint="eastAsia" w:ascii="宋体" w:hAnsi="宋体" w:eastAsia="宋体" w:cs="宋体"/>
          <w:color w:val="231F20"/>
          <w:spacing w:val="-14"/>
          <w:sz w:val="21"/>
          <w:szCs w:val="21"/>
        </w:rPr>
        <w:t>废”或“应付了事”。</w:t>
      </w:r>
    </w:p>
    <w:p w14:paraId="34EFD60F">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协作配合要“紧”。配合紧，则效率高，密切协</w:t>
      </w:r>
      <w:r>
        <w:rPr>
          <w:rFonts w:hint="eastAsia" w:ascii="宋体" w:hAnsi="宋体" w:eastAsia="宋体" w:cs="宋体"/>
          <w:color w:val="231F20"/>
          <w:spacing w:val="-1"/>
          <w:sz w:val="21"/>
          <w:szCs w:val="21"/>
        </w:rPr>
        <w:t>作配合是提升调研工作效率和质量的重要支撑。调</w:t>
      </w:r>
      <w:r>
        <w:rPr>
          <w:rFonts w:hint="eastAsia" w:ascii="宋体" w:hAnsi="宋体" w:eastAsia="宋体" w:cs="宋体"/>
          <w:color w:val="231F20"/>
          <w:spacing w:val="-9"/>
          <w:sz w:val="21"/>
          <w:szCs w:val="21"/>
        </w:rPr>
        <w:t>查研究往往涉及多个部门、多个领域，单靠</w:t>
      </w:r>
      <w:r>
        <w:rPr>
          <w:rFonts w:hint="eastAsia" w:ascii="宋体" w:hAnsi="宋体" w:eastAsia="宋体" w:cs="宋体"/>
          <w:color w:val="231F20"/>
          <w:spacing w:val="-10"/>
          <w:sz w:val="21"/>
          <w:szCs w:val="21"/>
        </w:rPr>
        <w:t>一个单位</w:t>
      </w:r>
      <w:r>
        <w:rPr>
          <w:rFonts w:hint="eastAsia" w:ascii="宋体" w:hAnsi="宋体" w:eastAsia="宋体" w:cs="宋体"/>
          <w:color w:val="231F20"/>
          <w:spacing w:val="-9"/>
          <w:sz w:val="21"/>
          <w:szCs w:val="21"/>
        </w:rPr>
        <w:t>或个人单兵作战难以完成，必须强化协作意</w:t>
      </w:r>
      <w:r>
        <w:rPr>
          <w:rFonts w:hint="eastAsia" w:ascii="宋体" w:hAnsi="宋体" w:eastAsia="宋体" w:cs="宋体"/>
          <w:color w:val="231F20"/>
          <w:spacing w:val="-10"/>
          <w:sz w:val="21"/>
          <w:szCs w:val="21"/>
        </w:rPr>
        <w:t>识，形成</w:t>
      </w:r>
      <w:r>
        <w:rPr>
          <w:rFonts w:hint="eastAsia" w:ascii="宋体" w:hAnsi="宋体" w:eastAsia="宋体" w:cs="宋体"/>
          <w:color w:val="231F20"/>
          <w:spacing w:val="-1"/>
          <w:sz w:val="21"/>
          <w:szCs w:val="21"/>
        </w:rPr>
        <w:t>工作合力。组建多方参与的调研团队。根据实际需</w:t>
      </w:r>
      <w:r>
        <w:rPr>
          <w:rFonts w:hint="eastAsia" w:ascii="宋体" w:hAnsi="宋体" w:eastAsia="宋体" w:cs="宋体"/>
          <w:color w:val="231F20"/>
          <w:spacing w:val="-9"/>
          <w:w w:val="97"/>
          <w:sz w:val="21"/>
          <w:szCs w:val="21"/>
        </w:rPr>
        <w:t>要，整合党委政府、人大政协、群团组织、科研院所、</w:t>
      </w:r>
      <w:r>
        <w:rPr>
          <w:rFonts w:hint="eastAsia" w:ascii="宋体" w:hAnsi="宋体" w:eastAsia="宋体" w:cs="宋体"/>
          <w:color w:val="231F20"/>
          <w:spacing w:val="-10"/>
          <w:sz w:val="21"/>
          <w:szCs w:val="21"/>
        </w:rPr>
        <w:t>智库机构、企业群众等各方力量，发挥各自优势，避</w:t>
      </w:r>
      <w:r>
        <w:rPr>
          <w:rFonts w:hint="eastAsia" w:ascii="宋体" w:hAnsi="宋体" w:eastAsia="宋体" w:cs="宋体"/>
          <w:color w:val="231F20"/>
          <w:spacing w:val="-9"/>
          <w:sz w:val="21"/>
          <w:szCs w:val="21"/>
        </w:rPr>
        <w:t>免单打独斗。比如，政府部门提供政策支持，科研院</w:t>
      </w:r>
      <w:r>
        <w:rPr>
          <w:rFonts w:hint="eastAsia" w:ascii="宋体" w:hAnsi="宋体" w:eastAsia="宋体" w:cs="宋体"/>
          <w:color w:val="231F20"/>
          <w:spacing w:val="-8"/>
          <w:w w:val="99"/>
          <w:sz w:val="21"/>
          <w:szCs w:val="21"/>
        </w:rPr>
        <w:t>所提供专业分析，智库机构提供决策建议，群众反馈</w:t>
      </w:r>
      <w:r>
        <w:rPr>
          <w:rFonts w:hint="eastAsia" w:ascii="宋体" w:hAnsi="宋体" w:eastAsia="宋体" w:cs="宋体"/>
          <w:color w:val="231F20"/>
          <w:spacing w:val="-1"/>
          <w:sz w:val="21"/>
          <w:szCs w:val="21"/>
        </w:rPr>
        <w:t>基层声音。构建各负其责的责任体系。明确各参与</w:t>
      </w:r>
      <w:r>
        <w:rPr>
          <w:rFonts w:hint="eastAsia" w:ascii="宋体" w:hAnsi="宋体" w:eastAsia="宋体" w:cs="宋体"/>
          <w:color w:val="231F20"/>
          <w:spacing w:val="-9"/>
          <w:sz w:val="21"/>
          <w:szCs w:val="21"/>
        </w:rPr>
        <w:t>方的职责分工，加强沟通协调，如通过定期召开</w:t>
      </w:r>
      <w:r>
        <w:rPr>
          <w:rFonts w:hint="eastAsia" w:ascii="宋体" w:hAnsi="宋体" w:eastAsia="宋体" w:cs="宋体"/>
          <w:color w:val="231F20"/>
          <w:spacing w:val="-10"/>
          <w:sz w:val="21"/>
          <w:szCs w:val="21"/>
        </w:rPr>
        <w:t>协调</w:t>
      </w:r>
      <w:r>
        <w:rPr>
          <w:rFonts w:hint="eastAsia" w:ascii="宋体" w:hAnsi="宋体" w:eastAsia="宋体" w:cs="宋体"/>
          <w:color w:val="231F20"/>
          <w:spacing w:val="-9"/>
          <w:sz w:val="21"/>
          <w:szCs w:val="21"/>
        </w:rPr>
        <w:t>会、建立信息共享平台等方式，及时解决调研过</w:t>
      </w:r>
      <w:r>
        <w:rPr>
          <w:rFonts w:hint="eastAsia" w:ascii="宋体" w:hAnsi="宋体" w:eastAsia="宋体" w:cs="宋体"/>
          <w:color w:val="231F20"/>
          <w:spacing w:val="-10"/>
          <w:sz w:val="21"/>
          <w:szCs w:val="21"/>
        </w:rPr>
        <w:t>程中</w:t>
      </w:r>
      <w:r>
        <w:rPr>
          <w:rFonts w:hint="eastAsia" w:ascii="宋体" w:hAnsi="宋体" w:eastAsia="宋体" w:cs="宋体"/>
          <w:color w:val="231F20"/>
          <w:spacing w:val="-7"/>
          <w:sz w:val="21"/>
          <w:szCs w:val="21"/>
        </w:rPr>
        <w:t>的问题，避免各自为政。建立上下联动的协同机制。</w:t>
      </w:r>
      <w:r>
        <w:rPr>
          <w:rFonts w:hint="eastAsia" w:ascii="宋体" w:hAnsi="宋体" w:eastAsia="宋体" w:cs="宋体"/>
          <w:color w:val="231F20"/>
          <w:spacing w:val="-1"/>
          <w:sz w:val="21"/>
          <w:szCs w:val="21"/>
        </w:rPr>
        <w:t>既要发挥上级部门的统筹指导作用，也要调动基层</w:t>
      </w:r>
      <w:r>
        <w:rPr>
          <w:rFonts w:hint="eastAsia" w:ascii="宋体" w:hAnsi="宋体" w:eastAsia="宋体" w:cs="宋体"/>
          <w:color w:val="231F20"/>
          <w:spacing w:val="-9"/>
          <w:sz w:val="21"/>
          <w:szCs w:val="21"/>
        </w:rPr>
        <w:t>单位的积极性，确保调研工作既符合上级要求，</w:t>
      </w:r>
      <w:r>
        <w:rPr>
          <w:rFonts w:hint="eastAsia" w:ascii="宋体" w:hAnsi="宋体" w:eastAsia="宋体" w:cs="宋体"/>
          <w:color w:val="231F20"/>
          <w:spacing w:val="-10"/>
          <w:sz w:val="21"/>
          <w:szCs w:val="21"/>
        </w:rPr>
        <w:t>又贴</w:t>
      </w:r>
      <w:r>
        <w:rPr>
          <w:rFonts w:hint="eastAsia" w:ascii="宋体" w:hAnsi="宋体" w:eastAsia="宋体" w:cs="宋体"/>
          <w:color w:val="231F20"/>
          <w:spacing w:val="-1"/>
          <w:sz w:val="21"/>
          <w:szCs w:val="21"/>
        </w:rPr>
        <w:t>近基层实际，避免上下脱节。只有通过紧配合形成</w:t>
      </w:r>
      <w:r>
        <w:rPr>
          <w:rFonts w:hint="eastAsia" w:ascii="宋体" w:hAnsi="宋体" w:eastAsia="宋体" w:cs="宋体"/>
          <w:color w:val="231F20"/>
          <w:spacing w:val="-9"/>
          <w:sz w:val="21"/>
          <w:szCs w:val="21"/>
        </w:rPr>
        <w:t>工作合力，才能避免资源浪费，提升调研工作的</w:t>
      </w:r>
      <w:r>
        <w:rPr>
          <w:rFonts w:hint="eastAsia" w:ascii="宋体" w:hAnsi="宋体" w:eastAsia="宋体" w:cs="宋体"/>
          <w:color w:val="231F20"/>
          <w:spacing w:val="-10"/>
          <w:sz w:val="21"/>
          <w:szCs w:val="21"/>
        </w:rPr>
        <w:t>效率</w:t>
      </w:r>
      <w:r>
        <w:rPr>
          <w:rFonts w:hint="eastAsia" w:ascii="宋体" w:hAnsi="宋体" w:eastAsia="宋体" w:cs="宋体"/>
          <w:color w:val="231F20"/>
          <w:spacing w:val="-9"/>
          <w:sz w:val="21"/>
          <w:szCs w:val="21"/>
        </w:rPr>
        <w:t>和质量。</w:t>
      </w:r>
    </w:p>
    <w:p w14:paraId="295E0350">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80"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0"/>
          <w:sz w:val="21"/>
          <w:szCs w:val="21"/>
        </w:rPr>
        <w:t>保障措施要“实”。措施实则成果稳，扎实的保</w:t>
      </w:r>
      <w:r>
        <w:rPr>
          <w:rFonts w:hint="eastAsia" w:ascii="宋体" w:hAnsi="宋体" w:eastAsia="宋体" w:cs="宋体"/>
          <w:color w:val="231F20"/>
          <w:spacing w:val="-1"/>
          <w:sz w:val="21"/>
          <w:szCs w:val="21"/>
        </w:rPr>
        <w:t>障措施是确保调研成果落地见效的重要基础。部分调研成果之所以难以转化，关键在于缺乏有效的制度保障和资源支持。一是完善制度保障。建立调研</w:t>
      </w:r>
      <w:r>
        <w:rPr>
          <w:rFonts w:hint="eastAsia" w:ascii="宋体" w:hAnsi="宋体" w:eastAsia="宋体" w:cs="宋体"/>
          <w:color w:val="231F20"/>
          <w:spacing w:val="-9"/>
          <w:sz w:val="21"/>
          <w:szCs w:val="21"/>
        </w:rPr>
        <w:t>成果转化机制，明确调研报告的审议、采纳、反馈等</w:t>
      </w:r>
      <w:r>
        <w:rPr>
          <w:rFonts w:hint="eastAsia" w:ascii="宋体" w:hAnsi="宋体" w:eastAsia="宋体" w:cs="宋体"/>
          <w:color w:val="231F20"/>
          <w:spacing w:val="-1"/>
          <w:sz w:val="21"/>
          <w:szCs w:val="21"/>
        </w:rPr>
        <w:t>流程，将调研成果纳入决策参考体系。建立调研成</w:t>
      </w:r>
      <w:r>
        <w:rPr>
          <w:rFonts w:hint="eastAsia" w:ascii="宋体" w:hAnsi="宋体" w:eastAsia="宋体" w:cs="宋体"/>
          <w:color w:val="231F20"/>
          <w:spacing w:val="-9"/>
          <w:sz w:val="21"/>
          <w:szCs w:val="21"/>
        </w:rPr>
        <w:t>果应用评估机制，定期评估调研成果的应用效果，确</w:t>
      </w:r>
      <w:r>
        <w:rPr>
          <w:rFonts w:hint="eastAsia" w:ascii="宋体" w:hAnsi="宋体" w:eastAsia="宋体" w:cs="宋体"/>
          <w:color w:val="231F20"/>
          <w:spacing w:val="-1"/>
          <w:sz w:val="21"/>
          <w:szCs w:val="21"/>
        </w:rPr>
        <w:t>保调研成果真正发挥作用，成为把握规律、破解难</w:t>
      </w:r>
      <w:r>
        <w:rPr>
          <w:rFonts w:hint="eastAsia" w:ascii="宋体" w:hAnsi="宋体" w:eastAsia="宋体" w:cs="宋体"/>
          <w:color w:val="231F20"/>
          <w:spacing w:val="-7"/>
          <w:sz w:val="21"/>
          <w:szCs w:val="21"/>
        </w:rPr>
        <w:t>题、推动发展的利器。二是加强资源保障。在人力、</w:t>
      </w:r>
      <w:r>
        <w:rPr>
          <w:rFonts w:hint="eastAsia" w:ascii="宋体" w:hAnsi="宋体" w:eastAsia="宋体" w:cs="宋体"/>
          <w:color w:val="231F20"/>
          <w:spacing w:val="-1"/>
          <w:sz w:val="21"/>
          <w:szCs w:val="21"/>
        </w:rPr>
        <w:t>物力、财力等方面给予支持，如配备专业的调研人</w:t>
      </w:r>
      <w:r>
        <w:rPr>
          <w:rFonts w:hint="eastAsia" w:ascii="宋体" w:hAnsi="宋体" w:eastAsia="宋体" w:cs="宋体"/>
          <w:color w:val="231F20"/>
          <w:spacing w:val="-9"/>
          <w:sz w:val="21"/>
          <w:szCs w:val="21"/>
        </w:rPr>
        <w:t>员，选拔政治素质好、调研水平高的工作人员充实到</w:t>
      </w:r>
      <w:r>
        <w:rPr>
          <w:rFonts w:hint="eastAsia" w:ascii="宋体" w:hAnsi="宋体" w:eastAsia="宋体" w:cs="宋体"/>
          <w:color w:val="231F20"/>
          <w:spacing w:val="-1"/>
          <w:sz w:val="21"/>
          <w:szCs w:val="21"/>
        </w:rPr>
        <w:t>调研队伍中，鼓励优秀年轻干部通过调研提升基本</w:t>
      </w:r>
      <w:r>
        <w:rPr>
          <w:rFonts w:hint="eastAsia" w:ascii="宋体" w:hAnsi="宋体" w:eastAsia="宋体" w:cs="宋体"/>
          <w:color w:val="231F20"/>
          <w:spacing w:val="-9"/>
          <w:sz w:val="21"/>
          <w:szCs w:val="21"/>
        </w:rPr>
        <w:t>功，提供必要的调研经费和技术设备，为调研工作顺</w:t>
      </w:r>
      <w:r>
        <w:rPr>
          <w:rFonts w:hint="eastAsia" w:ascii="宋体" w:hAnsi="宋体" w:eastAsia="宋体" w:cs="宋体"/>
          <w:color w:val="231F20"/>
          <w:spacing w:val="-1"/>
          <w:sz w:val="21"/>
          <w:szCs w:val="21"/>
        </w:rPr>
        <w:t>利开展创造条件。三是注重激励保障。建立调研工作正向激励机制，对高质量的调研成果和表现突出的调研人员给予表彰奖励，激发调研人员的积极性</w:t>
      </w:r>
      <w:r>
        <w:rPr>
          <w:rFonts w:hint="eastAsia" w:ascii="宋体" w:hAnsi="宋体" w:eastAsia="宋体" w:cs="宋体"/>
          <w:color w:val="231F20"/>
          <w:spacing w:val="-7"/>
          <w:sz w:val="21"/>
          <w:szCs w:val="21"/>
        </w:rPr>
        <w:t>和主动性，避免干与不干一个样、干好干坏一个样。</w:t>
      </w:r>
      <w:r>
        <w:rPr>
          <w:rFonts w:hint="eastAsia" w:ascii="宋体" w:hAnsi="宋体" w:eastAsia="宋体" w:cs="宋体"/>
          <w:color w:val="231F20"/>
          <w:spacing w:val="-1"/>
          <w:sz w:val="21"/>
          <w:szCs w:val="21"/>
        </w:rPr>
        <w:t>只有通过务实措施构建保障体系，才能确保调研成</w:t>
      </w:r>
      <w:r>
        <w:rPr>
          <w:rFonts w:hint="eastAsia" w:ascii="宋体" w:hAnsi="宋体" w:eastAsia="宋体" w:cs="宋体"/>
          <w:color w:val="231F20"/>
          <w:spacing w:val="-8"/>
          <w:w w:val="95"/>
          <w:sz w:val="21"/>
          <w:szCs w:val="21"/>
        </w:rPr>
        <w:t>果落地见效，有效避免“调研一阵风、过后一场空”。</w:t>
      </w:r>
    </w:p>
    <w:p w14:paraId="12A7719E">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376" w:firstLineChars="200"/>
        <w:jc w:val="both"/>
        <w:textAlignment w:val="baseline"/>
        <w:rPr>
          <w:rFonts w:hint="eastAsia" w:ascii="宋体" w:hAnsi="宋体" w:eastAsia="宋体" w:cs="宋体"/>
          <w:sz w:val="21"/>
          <w:szCs w:val="21"/>
        </w:rPr>
      </w:pPr>
      <w:r>
        <w:rPr>
          <w:rFonts w:hint="eastAsia" w:ascii="宋体" w:hAnsi="宋体" w:eastAsia="宋体" w:cs="宋体"/>
          <w:color w:val="231F20"/>
          <w:spacing w:val="-11"/>
          <w:sz w:val="21"/>
          <w:szCs w:val="21"/>
        </w:rPr>
        <w:t>总之，调查研究是一项系统工程，需要强化问题</w:t>
      </w:r>
      <w:r>
        <w:rPr>
          <w:rFonts w:hint="eastAsia" w:ascii="宋体" w:hAnsi="宋体" w:eastAsia="宋体" w:cs="宋体"/>
          <w:color w:val="231F20"/>
          <w:spacing w:val="-7"/>
          <w:w w:val="96"/>
          <w:sz w:val="21"/>
          <w:szCs w:val="21"/>
        </w:rPr>
        <w:t>意识、创新意识、质量意识、协作意识，在精心选题、</w:t>
      </w:r>
      <w:r>
        <w:rPr>
          <w:rFonts w:hint="eastAsia" w:ascii="宋体" w:hAnsi="宋体" w:eastAsia="宋体" w:cs="宋体"/>
          <w:color w:val="231F20"/>
          <w:spacing w:val="-5"/>
          <w:w w:val="98"/>
          <w:sz w:val="21"/>
          <w:szCs w:val="21"/>
        </w:rPr>
        <w:t>细心解题、专心破题、耐心结题中着力构建全流程</w:t>
      </w:r>
      <w:r>
        <w:rPr>
          <w:rFonts w:hint="eastAsia" w:ascii="宋体" w:hAnsi="宋体" w:eastAsia="宋体" w:cs="宋体"/>
          <w:color w:val="231F20"/>
          <w:spacing w:val="-6"/>
          <w:w w:val="98"/>
          <w:sz w:val="21"/>
          <w:szCs w:val="21"/>
        </w:rPr>
        <w:t>调</w:t>
      </w:r>
      <w:r>
        <w:rPr>
          <w:rFonts w:hint="eastAsia" w:ascii="宋体" w:hAnsi="宋体" w:eastAsia="宋体" w:cs="宋体"/>
          <w:color w:val="231F20"/>
          <w:spacing w:val="-1"/>
          <w:sz w:val="21"/>
          <w:szCs w:val="21"/>
        </w:rPr>
        <w:t>研工作体系。新时代新征程，只有持续提升调查研</w:t>
      </w:r>
      <w:r>
        <w:rPr>
          <w:rFonts w:hint="eastAsia" w:ascii="宋体" w:hAnsi="宋体" w:eastAsia="宋体" w:cs="宋体"/>
          <w:color w:val="231F20"/>
          <w:spacing w:val="-7"/>
          <w:sz w:val="21"/>
          <w:szCs w:val="21"/>
        </w:rPr>
        <w:t>究质效，才能让调研工作成为科学决策、破解难题、</w:t>
      </w:r>
      <w:r>
        <w:rPr>
          <w:rFonts w:hint="eastAsia" w:ascii="宋体" w:hAnsi="宋体" w:eastAsia="宋体" w:cs="宋体"/>
          <w:color w:val="231F20"/>
          <w:spacing w:val="-1"/>
          <w:sz w:val="21"/>
          <w:szCs w:val="21"/>
        </w:rPr>
        <w:t>推动发展的利器，为推进中国式现代化建设提供坚实的决策支撑和实践保障。</w:t>
      </w:r>
    </w:p>
    <w:p w14:paraId="30A85CBA">
      <w:pPr>
        <w:bidi w:val="0"/>
        <w:rPr>
          <w:rFonts w:hint="eastAsia"/>
          <w:lang w:val="en-US" w:eastAsia="zh-CN"/>
        </w:rPr>
      </w:pPr>
    </w:p>
    <w:p w14:paraId="47F5D64D">
      <w:pPr>
        <w:pStyle w:val="6"/>
        <w:spacing w:before="145" w:line="217" w:lineRule="auto"/>
        <w:ind w:left="389"/>
        <w:rPr>
          <w:rFonts w:hint="eastAsia" w:ascii="宋体" w:hAnsi="宋体" w:eastAsia="宋体" w:cs="宋体"/>
          <w:sz w:val="21"/>
          <w:szCs w:val="21"/>
          <w:lang w:eastAsia="zh-CN"/>
        </w:rPr>
      </w:pPr>
      <w:r>
        <w:rPr>
          <w:rFonts w:hint="eastAsia" w:eastAsia="宋体"/>
          <w:lang w:val="en-US" w:eastAsia="zh-CN"/>
        </w:rPr>
        <w:t>（原载《唯实》2026年第5期，第二作者为</w:t>
      </w:r>
      <w:r>
        <w:rPr>
          <w:rFonts w:hint="default" w:eastAsia="宋体"/>
          <w:lang w:val="en-US" w:eastAsia="zh-CN"/>
        </w:rPr>
        <w:t>邹家峰</w:t>
      </w:r>
      <w:r>
        <w:rPr>
          <w:rFonts w:hint="eastAsia" w:eastAsia="宋体"/>
          <w:lang w:val="en-US" w:eastAsia="zh-CN"/>
        </w:rPr>
        <w:t>。）</w:t>
      </w:r>
    </w:p>
    <w:p w14:paraId="5E867C91"/>
    <w:p w14:paraId="4B0E292E"/>
    <w:sectPr>
      <w:pgSz w:w="11906" w:h="16838"/>
      <w:pgMar w:top="1440" w:right="1800" w:bottom="1440" w:left="180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Cambria">
    <w:altName w:val="苹方-简"/>
    <w:panose1 w:val="02040503050406030204"/>
    <w:charset w:val="00"/>
    <w:family w:val="roman"/>
    <w:pitch w:val="default"/>
    <w:sig w:usb0="00000000" w:usb1="00000000" w:usb2="02000000" w:usb3="00000000" w:csb0="2000019F" w:csb1="00000000"/>
  </w:font>
  <w:font w:name="华光书宋_CNKI">
    <w:altName w:val="华文宋体"/>
    <w:panose1 w:val="02000500000000000000"/>
    <w:charset w:val="86"/>
    <w:family w:val="auto"/>
    <w:pitch w:val="default"/>
    <w:sig w:usb0="00000000" w:usb1="00000000" w:usb2="00000016" w:usb3="00000000" w:csb0="0004000F" w:csb1="00000000"/>
  </w:font>
  <w:font w:name="Code">
    <w:altName w:val="苹方-简"/>
    <w:panose1 w:val="00000000000000000000"/>
    <w:charset w:val="86"/>
    <w:family w:val="swiss"/>
    <w:pitch w:val="default"/>
    <w:sig w:usb0="00000000" w:usb1="00000000" w:usb2="00000010" w:usb3="00000000" w:csb0="00040000" w:csb1="00000000"/>
  </w:font>
  <w:font w:name="楷体">
    <w:altName w:val="汉仪楷体KW"/>
    <w:panose1 w:val="02010609060101010101"/>
    <w:charset w:val="86"/>
    <w:family w:val="modern"/>
    <w:pitch w:val="default"/>
    <w:sig w:usb0="00000000" w:usb1="00000000" w:usb2="00000016" w:usb3="00000000" w:csb0="00040001" w:csb1="00000000"/>
  </w:font>
  <w:font w:name="MS Gothic">
    <w:altName w:val="Hiragino Sans"/>
    <w:panose1 w:val="020B0609070205080204"/>
    <w:charset w:val="80"/>
    <w:family w:val="modern"/>
    <w:pitch w:val="default"/>
    <w:sig w:usb0="00000000" w:usb1="00000000" w:usb2="08000012" w:usb3="00000000" w:csb0="4002009F" w:csb1="DFD70000"/>
  </w:font>
  <w:font w:name="华文中宋">
    <w:altName w:val="汉仪书宋二KW"/>
    <w:panose1 w:val="02010600040101010101"/>
    <w:charset w:val="86"/>
    <w:family w:val="auto"/>
    <w:pitch w:val="default"/>
    <w:sig w:usb0="00000000" w:usb1="00000000" w:usb2="00000000" w:usb3="00000000" w:csb0="0004009F" w:csb1="DFD70000"/>
  </w:font>
  <w:font w:name="方正书宋_GBK">
    <w:altName w:val="汉仪书宋二KW"/>
    <w:panose1 w:val="03000509000000000000"/>
    <w:charset w:val="86"/>
    <w:family w:val="auto"/>
    <w:pitch w:val="default"/>
    <w:sig w:usb0="00000000" w:usb1="00000000" w:usb2="00000000" w:usb3="00000000" w:csb0="00040000" w:csb1="00000000"/>
  </w:font>
  <w:font w:name="Helvetica">
    <w:panose1 w:val="00000000000000000000"/>
    <w:charset w:val="00"/>
    <w:family w:val="swiss"/>
    <w:pitch w:val="default"/>
    <w:sig w:usb0="E00002FF" w:usb1="5000785B" w:usb2="00000000" w:usb3="00000000" w:csb0="2000019F" w:csb1="4F010000"/>
  </w:font>
  <w:font w:name="AdobeHeitiStd-Regular">
    <w:altName w:val="苹方-简"/>
    <w:panose1 w:val="00000000000000000000"/>
    <w:charset w:val="86"/>
    <w:family w:val="auto"/>
    <w:pitch w:val="default"/>
    <w:sig w:usb0="00000000" w:usb1="00000000" w:usb2="00000000" w:usb3="00000000" w:csb0="00040000" w:csb1="00000000"/>
  </w:font>
  <w:font w:name="SSJ0+ZKRHnk-7">
    <w:altName w:val="苹方-简"/>
    <w:panose1 w:val="00000000000000000000"/>
    <w:charset w:val="86"/>
    <w:family w:val="auto"/>
    <w:pitch w:val="default"/>
    <w:sig w:usb0="00000000" w:usb1="00000000" w:usb2="00000010" w:usb3="00000000" w:csb0="00040000" w:csb1="00000000"/>
  </w:font>
  <w:font w:name="HTJ0+ZKRHnj-2">
    <w:altName w:val="苹方-简"/>
    <w:panose1 w:val="00000000000000000000"/>
    <w:charset w:val="86"/>
    <w:family w:val="auto"/>
    <w:pitch w:val="default"/>
    <w:sig w:usb0="00000000" w:usb1="00000000" w:usb2="00000010" w:usb3="00000000" w:csb0="00040000" w:csb1="00000000"/>
  </w:font>
  <w:font w:name="Arial">
    <w:panose1 w:val="020B0604020202090204"/>
    <w:charset w:val="00"/>
    <w:family w:val="swiss"/>
    <w:pitch w:val="default"/>
    <w:sig w:usb0="E0000AFF" w:usb1="00007843" w:usb2="00000001" w:usb3="00000000" w:csb0="400001BF" w:csb1="DFF70000"/>
  </w:font>
  <w:font w:name="等线">
    <w:altName w:val="汉仪中等线KW"/>
    <w:panose1 w:val="02010600030101010101"/>
    <w:charset w:val="86"/>
    <w:family w:val="auto"/>
    <w:pitch w:val="default"/>
    <w:sig w:usb0="00000000" w:usb1="00000000" w:usb2="00000016" w:usb3="00000000" w:csb0="0004000F" w:csb1="00000000"/>
  </w:font>
  <w:font w:name="Tahoma">
    <w:panose1 w:val="020B0604030504040204"/>
    <w:charset w:val="00"/>
    <w:family w:val="auto"/>
    <w:pitch w:val="default"/>
    <w:sig w:usb0="E1002AFF" w:usb1="C000605B" w:usb2="00000029" w:usb3="00000000" w:csb0="200101FF" w:csb1="20280000"/>
  </w:font>
  <w:font w:name="仿宋">
    <w:altName w:val="仿宋-简"/>
    <w:panose1 w:val="02010609060101010101"/>
    <w:charset w:val="86"/>
    <w:family w:val="modern"/>
    <w:pitch w:val="default"/>
    <w:sig w:usb0="00000000" w:usb1="00000000" w:usb2="00000016" w:usb3="00000000" w:csb0="00040001" w:csb1="00000000"/>
  </w:font>
  <w:font w:name="MS PGothic">
    <w:altName w:val="Hiragino Sans"/>
    <w:panose1 w:val="020B0600070205080204"/>
    <w:charset w:val="80"/>
    <w:family w:val="auto"/>
    <w:pitch w:val="default"/>
    <w:sig w:usb0="00000000" w:usb1="00000000" w:usb2="08000012" w:usb3="00000000" w:csb0="4002009F" w:csb1="DFD70000"/>
  </w:font>
  <w:font w:name="微软雅黑">
    <w:altName w:val="汉仪旗黑"/>
    <w:panose1 w:val="020B0503020204020204"/>
    <w:charset w:val="86"/>
    <w:family w:val="auto"/>
    <w:pitch w:val="default"/>
    <w:sig w:usb0="00000000" w:usb1="00000000" w:usb2="00000016" w:usb3="00000000" w:csb0="0004001F" w:csb1="00000000"/>
  </w:font>
  <w:font w:name="Yu Gothic">
    <w:altName w:val="Hiragino Sans"/>
    <w:panose1 w:val="020B0400000000000000"/>
    <w:charset w:val="80"/>
    <w:family w:val="swiss"/>
    <w:pitch w:val="default"/>
    <w:sig w:usb0="00000000" w:usb1="00000000" w:usb2="00000016" w:usb3="00000000" w:csb0="2002009F" w:csb1="00000000"/>
  </w:font>
  <w:font w:name="HiddenHorzOCR">
    <w:altName w:val="苹方-简"/>
    <w:panose1 w:val="00000000000000000000"/>
    <w:charset w:val="00"/>
    <w:family w:val="roman"/>
    <w:pitch w:val="default"/>
    <w:sig w:usb0="00000000" w:usb1="00000000" w:usb2="00000000" w:usb3="00000000" w:csb0="00000000" w:csb1="00000000"/>
  </w:font>
  <w:font w:name="Cambria Math">
    <w:altName w:val="Kingsoft Math"/>
    <w:panose1 w:val="02040503050406030204"/>
    <w:charset w:val="00"/>
    <w:family w:val="roman"/>
    <w:pitch w:val="default"/>
    <w:sig w:usb0="00000000" w:usb1="00000000" w:usb2="02000000" w:usb3="00000000" w:csb0="2000019F" w:csb1="00000000"/>
  </w:font>
  <w:font w:name="Times New Roman Regular">
    <w:panose1 w:val="02020503050405090304"/>
    <w:charset w:val="00"/>
    <w:family w:val="auto"/>
    <w:pitch w:val="default"/>
    <w:sig w:usb0="E0000AFF" w:usb1="00007843" w:usb2="00000001" w:usb3="00000000" w:csb0="400001BF" w:csb1="DFF70000"/>
  </w:font>
  <w:font w:name="Mongolian Baiti">
    <w:altName w:val="苹方-简"/>
    <w:panose1 w:val="03000500000000000000"/>
    <w:charset w:val="00"/>
    <w:family w:val="script"/>
    <w:pitch w:val="default"/>
    <w:sig w:usb0="00000000" w:usb1="00000000" w:usb2="00020000" w:usb3="00000000" w:csb0="00000001" w:csb1="00000000"/>
  </w:font>
  <w:font w:name="方正书宋简体">
    <w:altName w:val="冬青黑体简体中文"/>
    <w:panose1 w:val="02000000000000000000"/>
    <w:charset w:val="86"/>
    <w:family w:val="auto"/>
    <w:pitch w:val="default"/>
    <w:sig w:usb0="00000000" w:usb1="00000000" w:usb2="00000012" w:usb3="00000000" w:csb0="00040001" w:csb1="00000000"/>
  </w:font>
  <w:font w:name="仿宋_GB2312">
    <w:altName w:val="仿宋-简"/>
    <w:panose1 w:val="02010609030101010101"/>
    <w:charset w:val="86"/>
    <w:family w:val="modern"/>
    <w:pitch w:val="default"/>
    <w:sig w:usb0="00000000" w:usb1="00000000" w:usb2="00000000" w:usb3="00000000" w:csb0="00040000" w:csb1="00000000"/>
  </w:font>
  <w:font w:name="方正楷体_GBK">
    <w:altName w:val="汉仪楷体简"/>
    <w:panose1 w:val="02000000000000000000"/>
    <w:charset w:val="86"/>
    <w:family w:val="auto"/>
    <w:pitch w:val="default"/>
    <w:sig w:usb0="00000000" w:usb1="00000000" w:usb2="00000016" w:usb3="00000000" w:csb0="00040000" w:csb1="00000000"/>
  </w:font>
  <w:font w:name="新宋体">
    <w:altName w:val="书宋-简"/>
    <w:panose1 w:val="02010609030101010101"/>
    <w:charset w:val="86"/>
    <w:family w:val="auto"/>
    <w:pitch w:val="default"/>
    <w:sig w:usb0="00000000" w:usb1="00000000" w:usb2="00000006" w:usb3="00000000" w:csb0="00040001" w:csb1="00000000"/>
  </w:font>
  <w:font w:name="苹方-简">
    <w:panose1 w:val="020B0400000000000000"/>
    <w:charset w:val="86"/>
    <w:family w:val="auto"/>
    <w:pitch w:val="default"/>
    <w:sig w:usb0="A00002FF" w:usb1="7ACFFDFB" w:usb2="00000017" w:usb3="00000000" w:csb0="00040001" w:csb1="00000000"/>
  </w:font>
  <w:font w:name="Hiragino Sans">
    <w:panose1 w:val="020B0300000000000000"/>
    <w:charset w:val="80"/>
    <w:family w:val="auto"/>
    <w:pitch w:val="default"/>
    <w:sig w:usb0="E00002FF" w:usb1="7AE7FFFF" w:usb2="00000012" w:usb3="00000000" w:csb0="0002000D" w:csb1="00000000"/>
  </w:font>
  <w:font w:name="Arial Unicode MS">
    <w:panose1 w:val="020B0604020202020204"/>
    <w:charset w:val="86"/>
    <w:family w:val="auto"/>
    <w:pitch w:val="default"/>
    <w:sig w:usb0="FFFFFFFF" w:usb1="E9FFFFFF" w:usb2="0000003F" w:usb3="00000000" w:csb0="603F01FF" w:csb1="FFFF0000"/>
  </w:font>
  <w:font w:name="宋体-简">
    <w:panose1 w:val="02010800040101010101"/>
    <w:charset w:val="86"/>
    <w:family w:val="auto"/>
    <w:pitch w:val="default"/>
    <w:sig w:usb0="00000001" w:usb1="080F0000"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华文宋体">
    <w:panose1 w:val="02010600040101010101"/>
    <w:charset w:val="86"/>
    <w:family w:val="auto"/>
    <w:pitch w:val="default"/>
    <w:sig w:usb0="80000287" w:usb1="280F3C52" w:usb2="00000016" w:usb3="00000000" w:csb0="0004001F" w:csb1="00000000"/>
  </w:font>
  <w:font w:name="汉仪中等线KW">
    <w:panose1 w:val="01010104010101010101"/>
    <w:charset w:val="86"/>
    <w:family w:val="auto"/>
    <w:pitch w:val="default"/>
    <w:sig w:usb0="800002BF" w:usb1="004F7CFA" w:usb2="00000000" w:usb3="00000000" w:csb0="00040001" w:csb1="00000000"/>
  </w:font>
  <w:font w:name="Nanum Myeongjo">
    <w:panose1 w:val="02020603020101020101"/>
    <w:charset w:val="81"/>
    <w:family w:val="auto"/>
    <w:pitch w:val="default"/>
    <w:sig w:usb0="800002A7" w:usb1="01D7FCFB" w:usb2="00000010" w:usb3="00000000" w:csb0="00080001" w:csb1="00000000"/>
  </w:font>
  <w:font w:name="仿宋-简">
    <w:panose1 w:val="02010609060101010101"/>
    <w:charset w:val="86"/>
    <w:family w:val="auto"/>
    <w:pitch w:val="default"/>
    <w:sig w:usb0="A00002BF" w:usb1="3ACF7CFA" w:usb2="00000016" w:usb3="00000000" w:csb0="00040001"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汉仪旗黑">
    <w:panose1 w:val="00020600040101010101"/>
    <w:charset w:val="86"/>
    <w:family w:val="auto"/>
    <w:pitch w:val="default"/>
    <w:sig w:usb0="A00002BF" w:usb1="1ACF7CFA" w:usb2="00000016" w:usb3="00000000" w:csb0="0004009F" w:csb1="DFD70000"/>
  </w:font>
  <w:font w:name="冬青黑体简体中文">
    <w:panose1 w:val="020B0300000000000000"/>
    <w:charset w:val="86"/>
    <w:family w:val="auto"/>
    <w:pitch w:val="default"/>
    <w:sig w:usb0="A00002BF" w:usb1="1ACF7CFA" w:usb2="00000016" w:usb3="00000000" w:csb0="00060007" w:csb1="00000000"/>
  </w:font>
  <w:font w:name="汉仪楷体简">
    <w:panose1 w:val="02010600000101010101"/>
    <w:charset w:val="86"/>
    <w:family w:val="auto"/>
    <w:pitch w:val="default"/>
    <w:sig w:usb0="00000001" w:usb1="080E0800" w:usb2="00000002" w:usb3="00000000" w:csb0="00040000" w:csb1="00000000"/>
  </w:font>
  <w:font w:name="书宋-简">
    <w:panose1 w:val="02010600030101010101"/>
    <w:charset w:val="86"/>
    <w:family w:val="auto"/>
    <w:pitch w:val="default"/>
    <w:sig w:usb0="A00002BF" w:usb1="3ACF7CFA" w:usb2="00000016" w:usb3="00000000" w:csb0="00040001" w:csb1="00000000"/>
  </w:font>
  <w:font w:name="儷宋 Pro">
    <w:panose1 w:val="02020300000000000000"/>
    <w:charset w:val="88"/>
    <w:family w:val="auto"/>
    <w:pitch w:val="default"/>
    <w:sig w:usb0="80000001" w:usb1="28091800" w:usb2="00000016"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08F9B">
    <w:pPr>
      <w:pStyle w:val="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A8B31C">
    <w:pPr>
      <w:spacing w:line="213" w:lineRule="exact"/>
      <w:ind w:left="1240"/>
      <w:rPr>
        <w:rFonts w:ascii="微软雅黑" w:hAnsi="微软雅黑" w:eastAsia="微软雅黑" w:cs="微软雅黑"/>
        <w:sz w:val="19"/>
        <w:szCs w:val="19"/>
      </w:rPr>
    </w:pPr>
    <w:r>
      <w:rPr>
        <w:sz w:val="19"/>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BB05A23">
                          <w:pPr>
                            <w:pStyle w:val="8"/>
                          </w:pPr>
                          <w:r>
                            <w:fldChar w:fldCharType="begin"/>
                          </w:r>
                          <w:r>
                            <w:instrText xml:space="preserve"> PAGE  \* MERGEFORMAT </w:instrText>
                          </w:r>
                          <w:r>
                            <w:fldChar w:fldCharType="separate"/>
                          </w:r>
                          <w:r>
                            <w:t>832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RbjTbd0CAAAmBgAADgAAAAAAAAABACAAAAAfAQAAZHJzL2Uyb0RvYy54bWxQSwUG&#10;AAAAAAYABgBZAQAAbgYAAAAA&#10;">
              <v:fill on="f" focussize="0,0"/>
              <v:stroke on="f" weight="0.5pt"/>
              <v:imagedata o:title=""/>
              <o:lock v:ext="edit" aspectratio="f"/>
              <v:textbox inset="0mm,0mm,0mm,0mm" style="mso-fit-shape-to-text:t;">
                <w:txbxContent>
                  <w:p w14:paraId="7BB05A23">
                    <w:pPr>
                      <w:pStyle w:val="8"/>
                    </w:pPr>
                    <w:r>
                      <w:fldChar w:fldCharType="begin"/>
                    </w:r>
                    <w:r>
                      <w:instrText xml:space="preserve"> PAGE  \* MERGEFORMAT </w:instrText>
                    </w:r>
                    <w:r>
                      <w:fldChar w:fldCharType="separate"/>
                    </w:r>
                    <w:r>
                      <w:t>832</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F2FCEF">
    <w:pPr>
      <w:pStyle w:val="6"/>
      <w:spacing w:line="158" w:lineRule="auto"/>
      <w:ind w:left="9971"/>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BD3165E">
                          <w:pPr>
                            <w:pStyle w:val="8"/>
                          </w:pPr>
                          <w:r>
                            <w:fldChar w:fldCharType="begin"/>
                          </w:r>
                          <w:r>
                            <w:instrText xml:space="preserve"> PAGE  \* MERGEFORMAT </w:instrText>
                          </w:r>
                          <w:r>
                            <w:fldChar w:fldCharType="separate"/>
                          </w:r>
                          <w:r>
                            <w:t>845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jA3uLeAgAAJg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KjA3uLeAgAAJgYAAA4AAAAAAAAAAQAgAAAAHwEAAGRycy9lMm9Eb2MueG1sUEsF&#10;BgAAAAAGAAYAWQEAAG8GAAAAAA==&#10;">
              <v:fill on="f" focussize="0,0"/>
              <v:stroke on="f" weight="0.5pt"/>
              <v:imagedata o:title=""/>
              <o:lock v:ext="edit" aspectratio="f"/>
              <v:textbox inset="0mm,0mm,0mm,0mm" style="mso-fit-shape-to-text:t;">
                <w:txbxContent>
                  <w:p w14:paraId="4BD3165E">
                    <w:pPr>
                      <w:pStyle w:val="8"/>
                    </w:pPr>
                    <w:r>
                      <w:fldChar w:fldCharType="begin"/>
                    </w:r>
                    <w:r>
                      <w:instrText xml:space="preserve"> PAGE  \* MERGEFORMAT </w:instrText>
                    </w:r>
                    <w:r>
                      <w:fldChar w:fldCharType="separate"/>
                    </w:r>
                    <w:r>
                      <w:t>845</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AA10A">
    <w:pPr>
      <w:pStyle w:val="6"/>
      <w:spacing w:before="1" w:line="211" w:lineRule="auto"/>
      <w:ind w:left="813"/>
      <w:rPr>
        <w:rFonts w:ascii="方正书宋_GBK" w:hAnsi="方正书宋_GBK" w:eastAsia="方正书宋_GBK" w:cs="方正书宋_GBK"/>
        <w:sz w:val="20"/>
        <w:szCs w:val="20"/>
      </w:rPr>
    </w:pPr>
    <w:r>
      <w:rPr>
        <w:sz w:val="20"/>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6591939">
                          <w:pPr>
                            <w:pStyle w:val="8"/>
                          </w:pPr>
                          <w:r>
                            <w:fldChar w:fldCharType="begin"/>
                          </w:r>
                          <w:r>
                            <w:instrText xml:space="preserve"> PAGE  \* MERGEFORMAT </w:instrText>
                          </w:r>
                          <w:r>
                            <w:fldChar w:fldCharType="separate"/>
                          </w:r>
                          <w:r>
                            <w:t>870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hwhgL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iHCGAt0CAAAmBgAADgAAAAAAAAABACAAAAAfAQAAZHJzL2Uyb0RvYy54bWxQSwUG&#10;AAAAAAYABgBZAQAAbgYAAAAA&#10;">
              <v:fill on="f" focussize="0,0"/>
              <v:stroke on="f" weight="0.5pt"/>
              <v:imagedata o:title=""/>
              <o:lock v:ext="edit" aspectratio="f"/>
              <v:textbox inset="0mm,0mm,0mm,0mm" style="mso-fit-shape-to-text:t;">
                <w:txbxContent>
                  <w:p w14:paraId="36591939">
                    <w:pPr>
                      <w:pStyle w:val="8"/>
                    </w:pPr>
                    <w:r>
                      <w:fldChar w:fldCharType="begin"/>
                    </w:r>
                    <w:r>
                      <w:instrText xml:space="preserve"> PAGE  \* MERGEFORMAT </w:instrText>
                    </w:r>
                    <w:r>
                      <w:fldChar w:fldCharType="separate"/>
                    </w:r>
                    <w:r>
                      <w:t>870</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F72E26">
    <w:pPr>
      <w:spacing w:before="1" w:line="178" w:lineRule="auto"/>
      <w:jc w:val="right"/>
      <w:rPr>
        <w:rFonts w:ascii="方正书宋_GBK" w:hAnsi="方正书宋_GBK" w:eastAsia="方正书宋_GBK" w:cs="方正书宋_GBK"/>
        <w:sz w:val="20"/>
        <w:szCs w:val="20"/>
      </w:rPr>
    </w:pPr>
    <w:r>
      <w:rPr>
        <w:sz w:val="20"/>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DF00296">
                          <w:pPr>
                            <w:pStyle w:val="8"/>
                          </w:pPr>
                          <w:r>
                            <w:fldChar w:fldCharType="begin"/>
                          </w:r>
                          <w:r>
                            <w:instrText xml:space="preserve"> PAGE  \* MERGEFORMAT </w:instrText>
                          </w:r>
                          <w:r>
                            <w:fldChar w:fldCharType="separate"/>
                          </w:r>
                          <w:r>
                            <w:t>883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5PuKjdAgAAJgYAAA4AAABkcnMvZTJvRG9jLnhtbK1US27bMBDdF+gd&#10;CO4VSY7s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krohCFGgrRQ&#10;8ftvX++//7z/8QXBHgi0VWYCcbcKIu3uUu4guN83sOl47yrdun9ghMAP8t4d5GU7i6g7lA7SNAIX&#10;BV+/APzweFxpY18x2SJnZFhD/bysZLMwtgvtQ9xtQhYN576GXKBthkenw8gfOHgAnAsXC1kAxt7q&#10;avNpHI2v0qs0CZLB6CpIojwPZsU8CUZFfDbMT/P5PI8/O7w4mdRNWTLh7uv7JE6eV4d9r3QVPnSK&#10;kbwpHZxLyejVcs412hDo08L/nMKQ/IOw8HEa3g2snlCKB0l0ORgHxSg9C5IiGQbjsygNonh8OR5F&#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3k+4qN0CAAAmBgAADgAAAAAAAAABACAAAAAfAQAAZHJzL2Uyb0RvYy54bWxQSwUG&#10;AAAAAAYABgBZAQAAbgYAAAAA&#10;">
              <v:fill on="f" focussize="0,0"/>
              <v:stroke on="f" weight="0.5pt"/>
              <v:imagedata o:title=""/>
              <o:lock v:ext="edit" aspectratio="f"/>
              <v:textbox inset="0mm,0mm,0mm,0mm" style="mso-fit-shape-to-text:t;">
                <w:txbxContent>
                  <w:p w14:paraId="3DF00296">
                    <w:pPr>
                      <w:pStyle w:val="8"/>
                    </w:pPr>
                    <w:r>
                      <w:fldChar w:fldCharType="begin"/>
                    </w:r>
                    <w:r>
                      <w:instrText xml:space="preserve"> PAGE  \* MERGEFORMAT </w:instrText>
                    </w:r>
                    <w:r>
                      <w:fldChar w:fldCharType="separate"/>
                    </w:r>
                    <w:r>
                      <w:t>883</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0A949">
    <w:pPr>
      <w:spacing w:line="270" w:lineRule="exact"/>
      <w:ind w:left="727"/>
      <w:rPr>
        <w:rFonts w:ascii="新宋体" w:hAnsi="新宋体" w:eastAsia="新宋体" w:cs="新宋体"/>
        <w:sz w:val="20"/>
        <w:szCs w:val="20"/>
      </w:rPr>
    </w:pPr>
    <w:r>
      <w:rPr>
        <w:sz w:val="20"/>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3FD3962">
                          <w:pPr>
                            <w:pStyle w:val="8"/>
                          </w:pPr>
                          <w:r>
                            <w:fldChar w:fldCharType="begin"/>
                          </w:r>
                          <w:r>
                            <w:instrText xml:space="preserve"> PAGE  \* MERGEFORMAT </w:instrText>
                          </w:r>
                          <w:r>
                            <w:fldChar w:fldCharType="separate"/>
                          </w:r>
                          <w:r>
                            <w:t>885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Ii43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ZQiLjd0CAAAmBgAADgAAAAAAAAABACAAAAAfAQAAZHJzL2Uyb0RvYy54bWxQSwUG&#10;AAAAAAYABgBZAQAAbgYAAAAA&#10;">
              <v:fill on="f" focussize="0,0"/>
              <v:stroke on="f" weight="0.5pt"/>
              <v:imagedata o:title=""/>
              <o:lock v:ext="edit" aspectratio="f"/>
              <v:textbox inset="0mm,0mm,0mm,0mm" style="mso-fit-shape-to-text:t;">
                <w:txbxContent>
                  <w:p w14:paraId="43FD3962">
                    <w:pPr>
                      <w:pStyle w:val="8"/>
                    </w:pPr>
                    <w:r>
                      <w:fldChar w:fldCharType="begin"/>
                    </w:r>
                    <w:r>
                      <w:instrText xml:space="preserve"> PAGE  \* MERGEFORMAT </w:instrText>
                    </w:r>
                    <w:r>
                      <w:fldChar w:fldCharType="separate"/>
                    </w:r>
                    <w:r>
                      <w:t>885</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30C5B">
    <w:pPr>
      <w:spacing w:line="230" w:lineRule="exact"/>
      <w:rPr>
        <w:rFonts w:ascii="Arial" w:hAnsi="Arial" w:eastAsia="Arial" w:cs="Arial"/>
        <w:sz w:val="22"/>
        <w:szCs w:val="22"/>
      </w:rPr>
    </w:pPr>
    <w:r>
      <w:rPr>
        <w:sz w:val="22"/>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1430AFE">
                          <w:pPr>
                            <w:pStyle w:val="8"/>
                          </w:pPr>
                          <w:r>
                            <w:fldChar w:fldCharType="begin"/>
                          </w:r>
                          <w:r>
                            <w:instrText xml:space="preserve"> PAGE  \* MERGEFORMAT </w:instrText>
                          </w:r>
                          <w:r>
                            <w:fldChar w:fldCharType="separate"/>
                          </w:r>
                          <w:r>
                            <w:t>922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&#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ze1J90CAAAmBgAADgAAAAAAAAABACAAAAAfAQAAZHJzL2Uyb0RvYy54bWxQSwUG&#10;AAAAAAYABgBZAQAAbgYAAAAA&#10;">
              <v:fill on="f" focussize="0,0"/>
              <v:stroke on="f" weight="0.5pt"/>
              <v:imagedata o:title=""/>
              <o:lock v:ext="edit" aspectratio="f"/>
              <v:textbox inset="0mm,0mm,0mm,0mm" style="mso-fit-shape-to-text:t;">
                <w:txbxContent>
                  <w:p w14:paraId="41430AFE">
                    <w:pPr>
                      <w:pStyle w:val="8"/>
                    </w:pPr>
                    <w:r>
                      <w:fldChar w:fldCharType="begin"/>
                    </w:r>
                    <w:r>
                      <w:instrText xml:space="preserve"> PAGE  \* MERGEFORMAT </w:instrText>
                    </w:r>
                    <w:r>
                      <w:fldChar w:fldCharType="separate"/>
                    </w:r>
                    <w:r>
                      <w:t>922</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137FF">
    <w:pPr>
      <w:spacing w:line="46" w:lineRule="exact"/>
    </w:pPr>
    <w:r>
      <w:rPr>
        <w:sz w:val="21"/>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4621E06">
                          <w:pPr>
                            <w:pStyle w:val="8"/>
                          </w:pPr>
                          <w:r>
                            <w:fldChar w:fldCharType="begin"/>
                          </w:r>
                          <w:r>
                            <w:instrText xml:space="preserve"> PAGE  \* MERGEFORMAT </w:instrText>
                          </w:r>
                          <w:r>
                            <w:fldChar w:fldCharType="separate"/>
                          </w:r>
                          <w:r>
                            <w:t>923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RuS5b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ZG5Llt0CAAAmBgAADgAAAAAAAAABACAAAAAfAQAAZHJzL2Uyb0RvYy54bWxQSwUG&#10;AAAAAAYABgBZAQAAbgYAAAAA&#10;">
              <v:fill on="f" focussize="0,0"/>
              <v:stroke on="f" weight="0.5pt"/>
              <v:imagedata o:title=""/>
              <o:lock v:ext="edit" aspectratio="f"/>
              <v:textbox inset="0mm,0mm,0mm,0mm" style="mso-fit-shape-to-text:t;">
                <w:txbxContent>
                  <w:p w14:paraId="34621E06">
                    <w:pPr>
                      <w:pStyle w:val="8"/>
                    </w:pPr>
                    <w:r>
                      <w:fldChar w:fldCharType="begin"/>
                    </w:r>
                    <w:r>
                      <w:instrText xml:space="preserve"> PAGE  \* MERGEFORMAT </w:instrText>
                    </w:r>
                    <w:r>
                      <w:fldChar w:fldCharType="separate"/>
                    </w:r>
                    <w:r>
                      <w:t>923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D1467">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525355D">
                          <w:pPr>
                            <w:pStyle w:val="8"/>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14:paraId="2525355D">
                    <w:pPr>
                      <w:pStyle w:val="8"/>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6444E">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76BF967">
                          <w:pPr>
                            <w:pStyle w:val="8"/>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fyKa93AIAACQGAAAOAAAAAAAAAAEAIAAAAB8BAABkcnMvZTJvRG9jLnhtbFBLBQYA&#10;AAAABgAGAFkBAABtBgAAAAA=&#10;">
              <v:fill on="f" focussize="0,0"/>
              <v:stroke on="f" weight="0.5pt"/>
              <v:imagedata o:title=""/>
              <o:lock v:ext="edit" aspectratio="f"/>
              <v:textbox inset="0mm,0mm,0mm,0mm" style="mso-fit-shape-to-text:t;">
                <w:txbxContent>
                  <w:p w14:paraId="576BF967">
                    <w:pPr>
                      <w:pStyle w:val="8"/>
                    </w:pPr>
                    <w:r>
                      <w:fldChar w:fldCharType="begin"/>
                    </w:r>
                    <w:r>
                      <w:instrText xml:space="preserve"> PAGE  \* MERGEFORMAT </w:instrText>
                    </w:r>
                    <w:r>
                      <w:fldChar w:fldCharType="separate"/>
                    </w:r>
                    <w:r>
                      <w:t>36</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3EB319">
    <w:pPr>
      <w:pStyle w:val="8"/>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CA31263">
                          <w:pPr>
                            <w:pStyle w:val="8"/>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0CA31263">
                    <w:pPr>
                      <w:pStyle w:val="8"/>
                    </w:pPr>
                    <w:r>
                      <w:fldChar w:fldCharType="begin"/>
                    </w:r>
                    <w:r>
                      <w:instrText xml:space="preserve"> PAGE  \* MERGEFORMAT </w:instrText>
                    </w:r>
                    <w:r>
                      <w:fldChar w:fldCharType="separate"/>
                    </w:r>
                    <w:r>
                      <w:t>40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34531">
    <w:pPr>
      <w:pStyle w:val="8"/>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1553F06">
                          <w:pPr>
                            <w:pStyle w:val="8"/>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Ayd1Ld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DJ3Ut0CAAAkBgAADgAAAAAAAAABACAAAAAfAQAAZHJzL2Uyb0RvYy54bWxQSwUG&#10;AAAAAAYABgBZAQAAbgYAAAAA&#10;">
              <v:fill on="f" focussize="0,0"/>
              <v:stroke on="f" weight="0.5pt"/>
              <v:imagedata o:title=""/>
              <o:lock v:ext="edit" aspectratio="f"/>
              <v:textbox inset="0mm,0mm,0mm,0mm" style="mso-fit-shape-to-text:t;">
                <w:txbxContent>
                  <w:p w14:paraId="61553F06">
                    <w:pPr>
                      <w:pStyle w:val="8"/>
                    </w:pPr>
                    <w:r>
                      <w:fldChar w:fldCharType="begin"/>
                    </w:r>
                    <w:r>
                      <w:instrText xml:space="preserve"> PAGE  \* MERGEFORMAT </w:instrText>
                    </w:r>
                    <w:r>
                      <w:fldChar w:fldCharType="separate"/>
                    </w:r>
                    <w:r>
                      <w:t>86</w:t>
                    </w:r>
                    <w:r>
                      <w:fldChar w:fldCharType="end"/>
                    </w:r>
                  </w:p>
                </w:txbxContent>
              </v:textbox>
            </v:shape>
          </w:pict>
        </mc:Fallback>
      </mc:AlternateContent>
    </w:r>
  </w:p>
  <w:p w14:paraId="62E7BF88">
    <w:pPr>
      <w:pStyle w:val="8"/>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52DA7">
    <w:pPr>
      <w:pStyle w:val="8"/>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089C2C7">
                          <w:pPr>
                            <w:pStyle w:val="8"/>
                          </w:pPr>
                          <w:r>
                            <w:fldChar w:fldCharType="begin"/>
                          </w:r>
                          <w:r>
                            <w:instrText xml:space="preserve"> PAGE  \* MERGEFORMAT </w:instrText>
                          </w:r>
                          <w:r>
                            <w:fldChar w:fldCharType="separate"/>
                          </w:r>
                          <w:r>
                            <w:t>200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PRhHJN0CAAAkBgAADgAAAAAAAAABACAAAAAfAQAAZHJzL2Uyb0RvYy54bWxQSwUG&#10;AAAAAAYABgBZAQAAbgYAAAAA&#10;">
              <v:fill on="f" focussize="0,0"/>
              <v:stroke on="f" weight="0.5pt"/>
              <v:imagedata o:title=""/>
              <o:lock v:ext="edit" aspectratio="f"/>
              <v:textbox inset="0mm,0mm,0mm,0mm" style="mso-fit-shape-to-text:t;">
                <w:txbxContent>
                  <w:p w14:paraId="1089C2C7">
                    <w:pPr>
                      <w:pStyle w:val="8"/>
                    </w:pPr>
                    <w:r>
                      <w:fldChar w:fldCharType="begin"/>
                    </w:r>
                    <w:r>
                      <w:instrText xml:space="preserve"> PAGE  \* MERGEFORMAT </w:instrText>
                    </w:r>
                    <w:r>
                      <w:fldChar w:fldCharType="separate"/>
                    </w:r>
                    <w:r>
                      <w:t>200</w:t>
                    </w:r>
                    <w:r>
                      <w:fldChar w:fldCharType="end"/>
                    </w:r>
                  </w:p>
                </w:txbxContent>
              </v:textbox>
            </v:shape>
          </w:pict>
        </mc:Fallback>
      </mc:AlternateContent>
    </w:r>
  </w:p>
  <w:p w14:paraId="0A361756">
    <w:pPr>
      <w:pStyle w:val="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F06272">
    <w:pPr>
      <w:pStyle w:val="8"/>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3511432">
                          <w:pPr>
                            <w:pStyle w:val="8"/>
                          </w:pPr>
                          <w:r>
                            <w:fldChar w:fldCharType="begin"/>
                          </w:r>
                          <w:r>
                            <w:instrText xml:space="preserve"> PAGE  \* MERGEFORMAT </w:instrText>
                          </w:r>
                          <w:r>
                            <w:fldChar w:fldCharType="separate"/>
                          </w:r>
                          <w:r>
                            <w:t>247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pmF77c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AqZhe+3AIAACQGAAAOAAAAAAAAAAEAIAAAAB8BAABkcnMvZTJvRG9jLnhtbFBLBQYA&#10;AAAABgAGAFkBAABtBgAAAAA=&#10;">
              <v:fill on="f" focussize="0,0"/>
              <v:stroke on="f" weight="0.5pt"/>
              <v:imagedata o:title=""/>
              <o:lock v:ext="edit" aspectratio="f"/>
              <v:textbox inset="0mm,0mm,0mm,0mm" style="mso-fit-shape-to-text:t;">
                <w:txbxContent>
                  <w:p w14:paraId="23511432">
                    <w:pPr>
                      <w:pStyle w:val="8"/>
                    </w:pPr>
                    <w:r>
                      <w:fldChar w:fldCharType="begin"/>
                    </w:r>
                    <w:r>
                      <w:instrText xml:space="preserve"> PAGE  \* MERGEFORMAT </w:instrText>
                    </w:r>
                    <w:r>
                      <w:fldChar w:fldCharType="separate"/>
                    </w:r>
                    <w:r>
                      <w:t>247</w:t>
                    </w:r>
                    <w:r>
                      <w:fldChar w:fldCharType="end"/>
                    </w:r>
                  </w:p>
                </w:txbxContent>
              </v:textbox>
            </v:shape>
          </w:pict>
        </mc:Fallback>
      </mc:AlternateContent>
    </w:r>
  </w:p>
  <w:p w14:paraId="4F00238A">
    <w:pPr>
      <w:pStyle w:val="8"/>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669FA5">
    <w:pPr>
      <w:pStyle w:val="8"/>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5B5DE66">
                          <w:pPr>
                            <w:pStyle w:val="8"/>
                          </w:pPr>
                          <w:r>
                            <w:fldChar w:fldCharType="begin"/>
                          </w:r>
                          <w:r>
                            <w:instrText xml:space="preserve"> PAGE  \* MERGEFORMAT </w:instrText>
                          </w:r>
                          <w:r>
                            <w:fldChar w:fldCharType="separate"/>
                          </w:r>
                          <w:r>
                            <w:t>292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J0wnyN0CAAAkBgAADgAAAAAAAAABACAAAAAfAQAAZHJzL2Uyb0RvYy54bWxQSwUG&#10;AAAAAAYABgBZAQAAbgYAAAAA&#10;">
              <v:fill on="f" focussize="0,0"/>
              <v:stroke on="f" weight="0.5pt"/>
              <v:imagedata o:title=""/>
              <o:lock v:ext="edit" aspectratio="f"/>
              <v:textbox inset="0mm,0mm,0mm,0mm" style="mso-fit-shape-to-text:t;">
                <w:txbxContent>
                  <w:p w14:paraId="55B5DE66">
                    <w:pPr>
                      <w:pStyle w:val="8"/>
                    </w:pPr>
                    <w:r>
                      <w:fldChar w:fldCharType="begin"/>
                    </w:r>
                    <w:r>
                      <w:instrText xml:space="preserve"> PAGE  \* MERGEFORMAT </w:instrText>
                    </w:r>
                    <w:r>
                      <w:fldChar w:fldCharType="separate"/>
                    </w:r>
                    <w:r>
                      <w:t>292</w:t>
                    </w:r>
                    <w:r>
                      <w:fldChar w:fldCharType="end"/>
                    </w:r>
                  </w:p>
                </w:txbxContent>
              </v:textbox>
            </v:shape>
          </w:pict>
        </mc:Fallback>
      </mc:AlternateContent>
    </w:r>
  </w:p>
  <w:p w14:paraId="6A0769F6">
    <w:pPr>
      <w:pStyle w:val="8"/>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2B56E8">
    <w:pPr>
      <w:spacing w:line="14" w:lineRule="auto"/>
      <w:rPr>
        <w:rFonts w:ascii="Arial"/>
        <w:sz w:val="2"/>
      </w:rPr>
    </w:pPr>
    <w:r>
      <w:rPr>
        <w:sz w:val="2"/>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A16E5BB">
                          <w:pPr>
                            <w:pStyle w:val="8"/>
                          </w:pPr>
                          <w:r>
                            <w:fldChar w:fldCharType="begin"/>
                          </w:r>
                          <w:r>
                            <w:instrText xml:space="preserve"> PAGE  \* MERGEFORMAT </w:instrText>
                          </w:r>
                          <w:r>
                            <w:fldChar w:fldCharType="separate"/>
                          </w:r>
                          <w:r>
                            <w:t>591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ApVbcAgAAJA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vwKVW3AIAACQGAAAOAAAAAAAAAAEAIAAAAB8BAABkcnMvZTJvRG9jLnhtbFBLBQYA&#10;AAAABgAGAFkBAABtBgAAAAA=&#10;">
              <v:fill on="f" focussize="0,0"/>
              <v:stroke on="f" weight="0.5pt"/>
              <v:imagedata o:title=""/>
              <o:lock v:ext="edit" aspectratio="f"/>
              <v:textbox inset="0mm,0mm,0mm,0mm" style="mso-fit-shape-to-text:t;">
                <w:txbxContent>
                  <w:p w14:paraId="5A16E5BB">
                    <w:pPr>
                      <w:pStyle w:val="8"/>
                    </w:pPr>
                    <w:r>
                      <w:fldChar w:fldCharType="begin"/>
                    </w:r>
                    <w:r>
                      <w:instrText xml:space="preserve"> PAGE  \* MERGEFORMAT </w:instrText>
                    </w:r>
                    <w:r>
                      <w:fldChar w:fldCharType="separate"/>
                    </w:r>
                    <w:r>
                      <w:t>591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986">
    <w:p>
      <w:pPr>
        <w:spacing w:line="360" w:lineRule="auto"/>
        <w:ind w:firstLine="420"/>
      </w:pPr>
      <w:r>
        <w:separator/>
      </w:r>
    </w:p>
  </w:footnote>
  <w:footnote w:type="continuationSeparator" w:id="2987">
    <w:p>
      <w:pPr>
        <w:spacing w:line="360" w:lineRule="auto"/>
        <w:ind w:firstLine="420"/>
      </w:pPr>
      <w:r>
        <w:continuationSeparator/>
      </w:r>
    </w:p>
  </w:footnote>
  <w:footnote w:id="0">
    <w:p w14:paraId="6744042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b/>
          <w:bCs/>
          <w:sz w:val="21"/>
          <w:szCs w:val="21"/>
        </w:rPr>
        <w:t>作者简介：</w:t>
      </w:r>
      <w:r>
        <w:rPr>
          <w:rFonts w:hint="eastAsia" w:ascii="宋体" w:hAnsi="宋体" w:eastAsia="宋体" w:cs="宋体"/>
          <w:sz w:val="21"/>
          <w:szCs w:val="21"/>
        </w:rPr>
        <w:t>程恩富，西北工业大学创新马克思主义研究中心主任、特聘教授，中国社会科学院大学首席教授；世界政治经济学学会会长。</w:t>
      </w:r>
    </w:p>
  </w:footnote>
  <w:footnote w:id="1">
    <w:p w14:paraId="3D8DCB4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《马克思恩格斯全集》第4卷，北京：人民出版社，1958年，第357页。</w:t>
      </w:r>
    </w:p>
  </w:footnote>
  <w:footnote w:id="2">
    <w:p w14:paraId="4EF7B15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《列宁选集》第4卷，北京：人民出版社，1992年，第11页。</w:t>
      </w:r>
    </w:p>
  </w:footnote>
  <w:footnote w:id="3">
    <w:p w14:paraId="5E0874F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笔者赞成中国鲁品越教授在互通微信时关于经济权力角度的这一阶级定义。</w:t>
      </w:r>
    </w:p>
  </w:footnote>
  <w:footnote w:id="4">
    <w:p w14:paraId="3972B35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《马克思恩格斯文集》第2卷，北京：人民出版社，2009年，第175—176页。</w:t>
      </w:r>
    </w:p>
  </w:footnote>
  <w:footnote w:id="5">
    <w:p w14:paraId="70FA4C1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《列宁全集》第29卷，北京：人民出版社，2017年，第69页。</w:t>
      </w:r>
    </w:p>
  </w:footnote>
  <w:footnote w:id="6">
    <w:p w14:paraId="57C8067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Style w:val="20"/>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程恩富，鲁保林，俞使超：《论新帝国主义的五大特征和特性——以列宁的帝国主义理论为基础》，《马克思主义研究》2019年第5期。</w:t>
      </w:r>
    </w:p>
  </w:footnote>
  <w:footnote w:id="7">
    <w:p w14:paraId="4680CBB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例如，立法取消私人和私有企业捐款资助议员和首脑选举的制度，改为国家财政按照统一标准平均支付所有候选人所必需的活动经费（统一组织候选人的演说和宣传等费用）。这是美国等国家垄断资产阶级最不愿意实行的革命性改革，因为取消这一金钱主导的选举制度后，真正代表广大人民意愿和利益的左翼政党就较容易通过公平公正公开的选举而执政。而在资本主义金钱选举和金钱政治制度下，广大人民只有少参与、甚至干脆“躺平”不参与各类金钱政治的游戏活动了。</w:t>
      </w:r>
    </w:p>
  </w:footnote>
  <w:footnote w:id="8">
    <w:p w14:paraId="06F5E7D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美国YouGov一项民调显示，2015-2018年间，30岁以下美国人对资本主义的支持率从39%降至30%，比平均水平低14个百分点，比老年人的支持率低26个百分点。2016年哈佛大学对“千禧一代”的调查发现，51%的受访者不支持资本主义。引自：Pembroke Robert，“Would elimination of regulations return governance to the people?” The Enterprise， Vol 48， No.26， 2019。尽管“千禧社会主义”不同于马克思主义理论话语中的社会主义，但在美国垄断资产阶级精英的金钱和高压统治下，广大人民如此认识已实属不易。</w:t>
      </w:r>
    </w:p>
  </w:footnote>
  <w:footnote w:id="9">
    <w:p w14:paraId="0D649DF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《帝国主义是资本主义的最高阶段》，北京：人民出版社，1959年，第114页。</w:t>
      </w:r>
    </w:p>
  </w:footnote>
  <w:footnote w:id="10">
    <w:p w14:paraId="20C3C47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《帝国主义是资本主义的最高阶段》，北京：人民出版社，1959年，第116页。</w:t>
      </w:r>
    </w:p>
  </w:footnote>
  <w:footnote w:id="11">
    <w:p w14:paraId="7E99674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数据来源：数据银行世界发展指标（英文标题为：DataBank World Development Indicators）；</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"https://databank.shihang.org/reports.aspx?source=2&amp;type=metadata&amp;series=NY.GNP.PCAP.CD#" </w:instrText>
      </w:r>
      <w:r>
        <w:rPr>
          <w:rFonts w:hint="eastAsia" w:ascii="宋体" w:hAnsi="宋体" w:eastAsia="宋体" w:cs="宋体"/>
          <w:sz w:val="21"/>
          <w:szCs w:val="21"/>
        </w:rPr>
        <w:fldChar w:fldCharType="separate"/>
      </w:r>
      <w:r>
        <w:rPr>
          <w:rStyle w:val="19"/>
          <w:rFonts w:hint="eastAsia" w:ascii="宋体" w:hAnsi="宋体" w:eastAsia="宋体" w:cs="宋体"/>
          <w:sz w:val="21"/>
          <w:szCs w:val="21"/>
        </w:rPr>
        <w:t>https://databank.shihang.org/reports.aspx?source=2&amp;type=metadata&amp;series=NY.GNP.PCAP.CD#</w:t>
      </w:r>
      <w:r>
        <w:rPr>
          <w:rStyle w:val="19"/>
          <w:rFonts w:hint="eastAsia" w:ascii="宋体" w:hAnsi="宋体" w:eastAsia="宋体" w:cs="宋体"/>
          <w:sz w:val="21"/>
          <w:szCs w:val="21"/>
        </w:rPr>
        <w:fldChar w:fldCharType="end"/>
      </w:r>
      <w:r>
        <w:rPr>
          <w:rFonts w:hint="eastAsia" w:ascii="宋体" w:hAnsi="宋体" w:eastAsia="宋体" w:cs="宋体"/>
          <w:sz w:val="21"/>
          <w:szCs w:val="21"/>
        </w:rPr>
        <w:t>.2021年9月15日</w:t>
      </w:r>
      <w:r>
        <w:rPr>
          <w:rFonts w:hint="eastAsia" w:ascii="宋体" w:hAnsi="宋体" w:eastAsia="宋体" w:cs="宋体"/>
          <w:sz w:val="21"/>
          <w:szCs w:val="21"/>
          <w:lang w:eastAsia="zh-CN"/>
        </w:rPr>
        <w:t>。</w:t>
      </w:r>
      <w:r>
        <w:rPr>
          <w:rFonts w:hint="eastAsia" w:ascii="宋体" w:hAnsi="宋体" w:eastAsia="宋体" w:cs="宋体"/>
          <w:sz w:val="21"/>
          <w:szCs w:val="21"/>
        </w:rPr>
        <w:t> </w:t>
      </w:r>
    </w:p>
  </w:footnote>
  <w:footnote w:id="12">
    <w:p w14:paraId="22D2E56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《中共中央关于党的百年奋斗重大成就和历史经验的决议》，北京：人民出版社，2021年，第69页。</w:t>
      </w:r>
    </w:p>
  </w:footnote>
  <w:footnote w:id="13">
    <w:p w14:paraId="09EAE5C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《马克思恩格斯文集》（第10卷），北京：人民出版社，2009年，第691页。</w:t>
      </w:r>
    </w:p>
  </w:footnote>
  <w:footnote w:id="14">
    <w:p w14:paraId="0F25F3B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《习近平谈治国理政》（第3卷），北京：外文出版社，2020年，第127页。</w:t>
      </w:r>
    </w:p>
  </w:footnote>
  <w:footnote w:id="15">
    <w:p w14:paraId="207A3AA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《习近平谈治国理政》，北京：外文出版社，2014年，第10页。</w:t>
      </w:r>
    </w:p>
  </w:footnote>
  <w:footnote w:id="16">
    <w:p w14:paraId="5360BE1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《习近平谈治国理政》（第3卷），北京：外文出版社，2020年，第128页。</w:t>
      </w:r>
    </w:p>
  </w:footnote>
  <w:footnote w:id="17">
    <w:p w14:paraId="2CE80B7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《十六大以来重要文献选编》（中），北京：中央文献出版社，2006年，第159页。</w:t>
      </w:r>
    </w:p>
  </w:footnote>
  <w:footnote w:id="18">
    <w:p w14:paraId="6A63927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《十八大以来重要文献选编》（中），北京：中央文献出版社，2016年，第790页。</w:t>
      </w:r>
    </w:p>
  </w:footnote>
  <w:footnote w:id="19">
    <w:p w14:paraId="645D0246">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rPr>
        <w:t>《马克思恩格斯全集》第4卷，北京：人民出版社，1958年，第357页。</w:t>
      </w:r>
    </w:p>
  </w:footnote>
  <w:footnote w:id="20">
    <w:p w14:paraId="3FDFC3F2">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《列宁选集》第4卷，北京：人民出版社，1992年，第11页。</w:t>
      </w:r>
    </w:p>
  </w:footnote>
  <w:footnote w:id="21">
    <w:p w14:paraId="028CFF54">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笔者赞成中国鲁品越教授在互通微信时关于经济权力角度的这一阶级定义。</w:t>
      </w:r>
    </w:p>
  </w:footnote>
  <w:footnote w:id="22">
    <w:p w14:paraId="3FE2DC88">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rPr>
        <w:t>《</w:t>
      </w:r>
      <w:r>
        <w:rPr>
          <w:rFonts w:ascii="宋体" w:hAnsi="宋体" w:eastAsia="宋体" w:cs="宋体"/>
        </w:rPr>
        <w:t>马克思恩格斯文集</w:t>
      </w:r>
      <w:r>
        <w:rPr>
          <w:rFonts w:hint="eastAsia" w:ascii="宋体" w:hAnsi="宋体" w:eastAsia="宋体" w:cs="宋体"/>
        </w:rPr>
        <w:t>》</w:t>
      </w:r>
      <w:r>
        <w:rPr>
          <w:rFonts w:ascii="宋体" w:hAnsi="宋体" w:eastAsia="宋体" w:cs="宋体"/>
        </w:rPr>
        <w:t>第2卷</w:t>
      </w:r>
      <w:r>
        <w:rPr>
          <w:rFonts w:hint="eastAsia" w:ascii="宋体" w:hAnsi="宋体" w:eastAsia="宋体" w:cs="宋体"/>
        </w:rPr>
        <w:t>，</w:t>
      </w:r>
      <w:r>
        <w:rPr>
          <w:rFonts w:ascii="宋体" w:hAnsi="宋体" w:eastAsia="宋体" w:cs="宋体"/>
        </w:rPr>
        <w:t>北京：人民出版社，2009</w:t>
      </w:r>
      <w:r>
        <w:rPr>
          <w:rFonts w:hint="eastAsia" w:ascii="宋体" w:hAnsi="宋体" w:eastAsia="宋体" w:cs="宋体"/>
        </w:rPr>
        <w:t>年，第17</w:t>
      </w:r>
      <w:r>
        <w:rPr>
          <w:rFonts w:ascii="宋体" w:hAnsi="宋体" w:eastAsia="宋体" w:cs="宋体"/>
        </w:rPr>
        <w:t>5</w:t>
      </w:r>
      <w:r>
        <w:rPr>
          <w:rFonts w:hint="eastAsia" w:ascii="宋体" w:hAnsi="宋体" w:eastAsia="宋体" w:cs="宋体"/>
        </w:rPr>
        <w:t>—176页。</w:t>
      </w:r>
    </w:p>
  </w:footnote>
  <w:footnote w:id="23">
    <w:p w14:paraId="7CFB45B6">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rPr>
        <w:t>《列宁全集》第29卷，北京：人民出版社，2017年，第69页。</w:t>
      </w:r>
    </w:p>
  </w:footnote>
  <w:footnote w:id="24">
    <w:p w14:paraId="72ED4744">
      <w:pPr>
        <w:pStyle w:val="11"/>
        <w:ind w:firstLine="360" w:firstLineChars="200"/>
        <w:rPr>
          <w:rFonts w:ascii="宋体" w:hAnsi="宋体" w:eastAsia="宋体" w:cs="宋体"/>
        </w:rPr>
      </w:pPr>
      <w:r>
        <w:rPr>
          <w:rFonts w:hint="eastAsia" w:ascii="宋体" w:hAnsi="宋体" w:eastAsia="宋体" w:cs="宋体"/>
        </w:rPr>
        <w:footnoteRef/>
      </w:r>
      <w:r>
        <w:rPr>
          <w:rStyle w:val="20"/>
        </w:rPr>
        <w:t xml:space="preserve"> </w:t>
      </w:r>
      <w:r>
        <w:rPr>
          <w:rFonts w:hint="eastAsia"/>
          <w:lang w:val="en-US" w:eastAsia="zh-CN"/>
        </w:rPr>
        <w:t xml:space="preserve"> </w:t>
      </w:r>
      <w:r>
        <w:rPr>
          <w:rFonts w:hint="eastAsia" w:ascii="宋体" w:hAnsi="宋体" w:eastAsia="宋体" w:cs="宋体"/>
        </w:rPr>
        <w:t>程恩富，鲁保林，俞使超：《论新帝国主义的五大特征和特性——以列宁的帝国主义理论为基础》，《马克思主义研究》2019年第5期。</w:t>
      </w:r>
    </w:p>
  </w:footnote>
  <w:footnote w:id="25">
    <w:p w14:paraId="1F0D2868">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例如，立法取消私人和私有企业捐款资助议员和首脑选举的制度，改为国家财政按照统一标准平均支付所有候选人所必需的活动经费（统一组织候选人的演说和宣传等费用）。这是美国等国家垄断资产阶级最不愿意实行的革命性改革，因为取消这一金钱主导的选举制度后，真正代表广大人民意愿和利益的左翼政党就较容易通过公平公正公开的选举而执政。而在资本主义金钱选举和金钱政治制度下，广大人民只有少参与、甚至干脆“躺平”不参与各类金钱政治的游戏活动了。</w:t>
      </w:r>
    </w:p>
  </w:footnote>
  <w:footnote w:id="26">
    <w:p w14:paraId="7DC61424">
      <w:pPr>
        <w:pStyle w:val="11"/>
        <w:ind w:firstLine="360" w:firstLineChars="200"/>
        <w:rPr>
          <w:rFonts w:ascii="宋体" w:hAnsi="宋体" w:eastAsia="宋体" w:cs="宋体"/>
        </w:rPr>
      </w:pPr>
      <w:r>
        <w:rPr>
          <w:rFonts w:ascii="宋体" w:hAnsi="宋体" w:eastAsia="宋体" w:cs="宋体"/>
        </w:rPr>
        <w:footnoteRef/>
      </w: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美国</w:t>
      </w:r>
      <w:r>
        <w:rPr>
          <w:rFonts w:ascii="宋体" w:hAnsi="宋体" w:eastAsia="宋体" w:cs="宋体"/>
        </w:rPr>
        <w:t>YouGov一项民调显示，2015-2018年间，30岁以下美国人对资本主义的支持率从39%</w:t>
      </w:r>
      <w:r>
        <w:rPr>
          <w:rFonts w:hint="eastAsia" w:ascii="宋体" w:hAnsi="宋体" w:eastAsia="宋体" w:cs="宋体"/>
        </w:rPr>
        <w:t>降至</w:t>
      </w:r>
      <w:r>
        <w:rPr>
          <w:rFonts w:ascii="宋体" w:hAnsi="宋体" w:eastAsia="宋体" w:cs="宋体"/>
        </w:rPr>
        <w:t>30%，比平均水平低14个百分点，比老年人的支持率低26个百分点。2016年哈佛大学对</w:t>
      </w:r>
      <w:r>
        <w:rPr>
          <w:rFonts w:hint="eastAsia" w:ascii="宋体" w:hAnsi="宋体" w:eastAsia="宋体" w:cs="宋体"/>
        </w:rPr>
        <w:t>“</w:t>
      </w:r>
      <w:r>
        <w:rPr>
          <w:rFonts w:ascii="宋体" w:hAnsi="宋体" w:eastAsia="宋体" w:cs="宋体"/>
        </w:rPr>
        <w:t>千禧一代</w:t>
      </w:r>
      <w:r>
        <w:rPr>
          <w:rFonts w:hint="eastAsia" w:ascii="宋体" w:hAnsi="宋体" w:eastAsia="宋体" w:cs="宋体"/>
        </w:rPr>
        <w:t>”</w:t>
      </w:r>
      <w:r>
        <w:rPr>
          <w:rFonts w:ascii="宋体" w:hAnsi="宋体" w:eastAsia="宋体" w:cs="宋体"/>
        </w:rPr>
        <w:t>的调查发现，51%的受访者不支持资本主义。</w:t>
      </w:r>
      <w:r>
        <w:rPr>
          <w:rFonts w:hint="eastAsia" w:ascii="宋体" w:hAnsi="宋体" w:eastAsia="宋体" w:cs="宋体"/>
        </w:rPr>
        <w:t>引自：</w:t>
      </w:r>
      <w:bookmarkStart w:id="1046" w:name="_Hlk45012048"/>
      <w:r>
        <w:rPr>
          <w:rFonts w:ascii="宋体" w:hAnsi="宋体" w:eastAsia="宋体" w:cs="宋体"/>
        </w:rPr>
        <w:t>Pembroke Robert</w:t>
      </w:r>
      <w:r>
        <w:rPr>
          <w:rFonts w:hint="eastAsia" w:ascii="宋体" w:hAnsi="宋体" w:eastAsia="宋体" w:cs="宋体"/>
        </w:rPr>
        <w:t>，</w:t>
      </w:r>
      <w:r>
        <w:rPr>
          <w:rFonts w:ascii="宋体" w:hAnsi="宋体" w:eastAsia="宋体" w:cs="宋体"/>
        </w:rPr>
        <w:t>“Would elimination of regulations return governance to the people?” The Enterprise</w:t>
      </w:r>
      <w:r>
        <w:rPr>
          <w:rFonts w:hint="eastAsia" w:ascii="宋体" w:hAnsi="宋体" w:eastAsia="宋体" w:cs="宋体"/>
        </w:rPr>
        <w:t>，</w:t>
      </w:r>
      <w:r>
        <w:rPr>
          <w:rFonts w:ascii="宋体" w:hAnsi="宋体" w:eastAsia="宋体" w:cs="宋体"/>
        </w:rPr>
        <w:t xml:space="preserve"> Vol 48</w:t>
      </w:r>
      <w:r>
        <w:rPr>
          <w:rFonts w:hint="eastAsia" w:ascii="宋体" w:hAnsi="宋体" w:eastAsia="宋体" w:cs="宋体"/>
        </w:rPr>
        <w:t>，</w:t>
      </w:r>
      <w:r>
        <w:rPr>
          <w:rFonts w:ascii="宋体" w:hAnsi="宋体" w:eastAsia="宋体" w:cs="宋体"/>
        </w:rPr>
        <w:t xml:space="preserve"> No.26</w:t>
      </w:r>
      <w:r>
        <w:rPr>
          <w:rFonts w:hint="eastAsia" w:ascii="宋体" w:hAnsi="宋体" w:eastAsia="宋体" w:cs="宋体"/>
        </w:rPr>
        <w:t>，</w:t>
      </w:r>
      <w:r>
        <w:rPr>
          <w:rFonts w:ascii="宋体" w:hAnsi="宋体" w:eastAsia="宋体" w:cs="宋体"/>
        </w:rPr>
        <w:t xml:space="preserve"> 2019</w:t>
      </w:r>
      <w:bookmarkEnd w:id="1046"/>
      <w:r>
        <w:rPr>
          <w:rFonts w:hint="eastAsia" w:ascii="宋体" w:hAnsi="宋体" w:eastAsia="宋体" w:cs="宋体"/>
        </w:rPr>
        <w:t>。尽管</w:t>
      </w:r>
      <w:r>
        <w:rPr>
          <w:rFonts w:ascii="宋体" w:hAnsi="宋体" w:eastAsia="宋体" w:cs="宋体"/>
        </w:rPr>
        <w:t>“千禧社会主义”</w:t>
      </w:r>
      <w:r>
        <w:rPr>
          <w:rFonts w:hint="eastAsia" w:ascii="宋体" w:hAnsi="宋体" w:eastAsia="宋体" w:cs="宋体"/>
        </w:rPr>
        <w:t>不同于马克思主义理论话语中的</w:t>
      </w:r>
      <w:r>
        <w:rPr>
          <w:rFonts w:ascii="宋体" w:hAnsi="宋体" w:eastAsia="宋体" w:cs="宋体"/>
        </w:rPr>
        <w:t>社会主义</w:t>
      </w:r>
      <w:r>
        <w:rPr>
          <w:rFonts w:hint="eastAsia" w:ascii="宋体" w:hAnsi="宋体" w:eastAsia="宋体" w:cs="宋体"/>
        </w:rPr>
        <w:t>，但在美国垄断资产阶级精英的金钱和高压统治下，广大人民如此认识已实属不易</w:t>
      </w:r>
      <w:r>
        <w:rPr>
          <w:rFonts w:ascii="宋体" w:hAnsi="宋体" w:eastAsia="宋体" w:cs="宋体"/>
        </w:rPr>
        <w:t>。</w:t>
      </w:r>
    </w:p>
  </w:footnote>
  <w:footnote w:id="27">
    <w:p w14:paraId="6056D018">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《帝国主义是资本主义的最高阶段》，北京：人民出版社，</w:t>
      </w:r>
      <w:r>
        <w:rPr>
          <w:rFonts w:ascii="宋体" w:hAnsi="宋体" w:eastAsia="宋体" w:cs="宋体"/>
        </w:rPr>
        <w:t>1959</w:t>
      </w:r>
      <w:r>
        <w:rPr>
          <w:rFonts w:hint="eastAsia" w:ascii="宋体" w:hAnsi="宋体" w:eastAsia="宋体" w:cs="宋体"/>
        </w:rPr>
        <w:t>年，第</w:t>
      </w:r>
      <w:r>
        <w:rPr>
          <w:rFonts w:ascii="宋体" w:hAnsi="宋体" w:eastAsia="宋体" w:cs="宋体"/>
        </w:rPr>
        <w:t>114</w:t>
      </w:r>
      <w:r>
        <w:rPr>
          <w:rFonts w:hint="eastAsia" w:ascii="宋体" w:hAnsi="宋体" w:eastAsia="宋体" w:cs="宋体"/>
        </w:rPr>
        <w:t>页。</w:t>
      </w:r>
    </w:p>
  </w:footnote>
  <w:footnote w:id="28">
    <w:p w14:paraId="51C9F175">
      <w:pPr>
        <w:pStyle w:val="11"/>
        <w:ind w:firstLine="360" w:firstLineChars="200"/>
        <w:rPr>
          <w:rFonts w:ascii="宋体" w:hAnsi="宋体" w:eastAsia="宋体" w:cs="宋体"/>
        </w:rPr>
      </w:pPr>
      <w:r>
        <w:rPr>
          <w:rFonts w:ascii="宋体" w:hAnsi="宋体" w:eastAsia="宋体" w:cs="宋体"/>
        </w:rPr>
        <w:footnoteRef/>
      </w: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《帝国主义是资本主义的最高阶段》，北京：人民出版社，</w:t>
      </w:r>
      <w:r>
        <w:rPr>
          <w:rFonts w:ascii="宋体" w:hAnsi="宋体" w:eastAsia="宋体" w:cs="宋体"/>
        </w:rPr>
        <w:t>1959</w:t>
      </w:r>
      <w:r>
        <w:rPr>
          <w:rFonts w:hint="eastAsia" w:ascii="宋体" w:hAnsi="宋体" w:eastAsia="宋体" w:cs="宋体"/>
        </w:rPr>
        <w:t>年，第</w:t>
      </w:r>
      <w:r>
        <w:rPr>
          <w:rFonts w:ascii="宋体" w:hAnsi="宋体" w:eastAsia="宋体" w:cs="宋体"/>
        </w:rPr>
        <w:t>116</w:t>
      </w:r>
      <w:r>
        <w:rPr>
          <w:rFonts w:hint="eastAsia" w:ascii="宋体" w:hAnsi="宋体" w:eastAsia="宋体" w:cs="宋体"/>
        </w:rPr>
        <w:t>页。</w:t>
      </w:r>
    </w:p>
  </w:footnote>
  <w:footnote w:id="29">
    <w:p w14:paraId="001355C6">
      <w:pPr>
        <w:pStyle w:val="11"/>
        <w:ind w:firstLine="360" w:firstLineChars="200"/>
        <w:rPr>
          <w:rFonts w:ascii="宋体" w:hAnsi="宋体" w:eastAsia="宋体" w:cs="宋体"/>
        </w:rPr>
      </w:pPr>
      <w:r>
        <w:rPr>
          <w:rFonts w:ascii="宋体" w:hAnsi="宋体" w:eastAsia="宋体" w:cs="宋体"/>
        </w:rPr>
        <w:footnoteRef/>
      </w:r>
      <w:r>
        <w:rPr>
          <w:rFonts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数据来源：</w:t>
      </w:r>
      <w:r>
        <w:rPr>
          <w:rFonts w:ascii="宋体" w:hAnsi="宋体" w:eastAsia="宋体" w:cs="宋体"/>
        </w:rPr>
        <w:t>数据银行世界发展指标（英文标题为：DataBank World Development Indicators）</w:t>
      </w:r>
      <w:r>
        <w:rPr>
          <w:rFonts w:hint="eastAsia" w:ascii="宋体" w:hAnsi="宋体" w:eastAsia="宋体" w:cs="宋体"/>
        </w:rPr>
        <w:t>；</w:t>
      </w:r>
      <w:r>
        <w:fldChar w:fldCharType="begin"/>
      </w:r>
      <w:r>
        <w:instrText xml:space="preserve"> HYPERLINK "https://databank.shihang.org/reports.aspx?source=2&amp;type=metadata&amp;series=NY.GNP.PCAP.CD#" </w:instrText>
      </w:r>
      <w:r>
        <w:fldChar w:fldCharType="separate"/>
      </w:r>
      <w:r>
        <w:rPr>
          <w:rStyle w:val="19"/>
          <w:rFonts w:ascii="宋体" w:hAnsi="宋体" w:eastAsia="宋体" w:cs="宋体"/>
        </w:rPr>
        <w:t>https://databank.shihang.org/reports.aspx?source=2&amp;type=metadata&amp;series=NY.GNP.PCAP.CD#</w:t>
      </w:r>
      <w:r>
        <w:rPr>
          <w:rStyle w:val="19"/>
          <w:rFonts w:ascii="宋体" w:hAnsi="宋体" w:eastAsia="宋体" w:cs="宋体"/>
        </w:rPr>
        <w:fldChar w:fldCharType="end"/>
      </w:r>
      <w:r>
        <w:rPr>
          <w:rFonts w:hint="eastAsia" w:ascii="宋体" w:hAnsi="宋体" w:eastAsia="宋体" w:cs="宋体"/>
        </w:rPr>
        <w:t>.2021年9月15日</w:t>
      </w:r>
      <w:r>
        <w:rPr>
          <w:rFonts w:hint="eastAsia" w:ascii="宋体" w:hAnsi="宋体" w:eastAsia="宋体" w:cs="宋体"/>
          <w:lang w:eastAsia="zh-CN"/>
        </w:rPr>
        <w:t>。</w:t>
      </w:r>
      <w:r>
        <w:rPr>
          <w:rFonts w:ascii="宋体" w:hAnsi="宋体" w:eastAsia="宋体" w:cs="宋体"/>
        </w:rPr>
        <w:t> </w:t>
      </w:r>
    </w:p>
  </w:footnote>
  <w:footnote w:id="30">
    <w:p w14:paraId="02A76E61">
      <w:pPr>
        <w:pStyle w:val="11"/>
        <w:snapToGrid w:val="0"/>
        <w:rPr>
          <w:rFonts w:hint="eastAsia"/>
        </w:rPr>
      </w:pPr>
      <w:r>
        <w:rPr>
          <w:rFonts w:hint="eastAsia"/>
        </w:rPr>
        <w:footnoteRef/>
      </w:r>
      <w:r>
        <w:rPr>
          <w:rFonts w:hint="eastAsia"/>
        </w:rPr>
        <w:t>中共中央马克思恩格斯列宁斯大林著作编译局．马克思恩格斯选集：第1卷[M].北京：人民出版社，2012:222.</w:t>
      </w:r>
    </w:p>
  </w:footnote>
  <w:footnote w:id="31">
    <w:p w14:paraId="6FD424E7">
      <w:pPr>
        <w:pStyle w:val="11"/>
        <w:snapToGrid w:val="0"/>
        <w:rPr>
          <w:rFonts w:hint="eastAsia"/>
        </w:rPr>
      </w:pPr>
      <w:r>
        <w:rPr>
          <w:rFonts w:hint="eastAsia"/>
        </w:rPr>
        <w:footnoteRef/>
      </w:r>
      <w:r>
        <w:rPr>
          <w:rFonts w:hint="eastAsia"/>
        </w:rPr>
        <w:t>“四个面向”即面向世界科技前沿</w:t>
      </w:r>
      <w:r>
        <w:rPr>
          <w:rFonts w:hint="eastAsia" w:eastAsia="宋体"/>
          <w:lang w:eastAsia="zh-CN"/>
        </w:rPr>
        <w:t>、</w:t>
      </w:r>
      <w:r>
        <w:rPr>
          <w:rFonts w:hint="eastAsia"/>
        </w:rPr>
        <w:t>面向经济主战场</w:t>
      </w:r>
      <w:r>
        <w:rPr>
          <w:rFonts w:hint="eastAsia" w:eastAsia="宋体"/>
          <w:lang w:eastAsia="zh-CN"/>
        </w:rPr>
        <w:t>、</w:t>
      </w:r>
      <w:r>
        <w:rPr>
          <w:rFonts w:hint="eastAsia"/>
        </w:rPr>
        <w:t>面向国家重大需求</w:t>
      </w:r>
      <w:r>
        <w:rPr>
          <w:rFonts w:hint="eastAsia" w:eastAsia="宋体"/>
          <w:lang w:eastAsia="zh-CN"/>
        </w:rPr>
        <w:t>、</w:t>
      </w:r>
      <w:r>
        <w:rPr>
          <w:rFonts w:hint="eastAsia"/>
        </w:rPr>
        <w:t>面向人民生命健康。</w:t>
      </w:r>
    </w:p>
  </w:footnote>
  <w:footnote w:id="32">
    <w:p w14:paraId="7FB6F347">
      <w:pPr>
        <w:pStyle w:val="11"/>
        <w:snapToGrid w:val="0"/>
        <w:rPr>
          <w:rFonts w:hint="eastAsia"/>
        </w:rPr>
      </w:pPr>
      <w:r>
        <w:rPr>
          <w:rFonts w:hint="eastAsia"/>
        </w:rPr>
        <w:footnoteRef/>
      </w:r>
      <w:r>
        <w:rPr>
          <w:rFonts w:hint="eastAsia"/>
        </w:rPr>
        <w:t>习近平．在科学家座谈会上的讲话[N].人民日报，2020-9-12(2).</w:t>
      </w:r>
    </w:p>
  </w:footnote>
  <w:footnote w:id="33">
    <w:p w14:paraId="2AF6FE2A">
      <w:pPr>
        <w:pStyle w:val="11"/>
        <w:snapToGrid w:val="0"/>
        <w:rPr>
          <w:rFonts w:hint="eastAsia"/>
        </w:rPr>
      </w:pPr>
      <w:r>
        <w:rPr>
          <w:rFonts w:hint="eastAsia"/>
        </w:rPr>
        <w:footnoteRef/>
      </w:r>
      <w:r>
        <w:rPr>
          <w:rFonts w:hint="eastAsia"/>
        </w:rPr>
        <w:t>中办国办印发《关于进一步弘扬科学家精神加强作风和学风建设的意见》[N].光明日报，2019-6-12(1).</w:t>
      </w:r>
    </w:p>
  </w:footnote>
  <w:footnote w:id="34">
    <w:p w14:paraId="7D445028">
      <w:pPr>
        <w:pStyle w:val="11"/>
        <w:snapToGrid w:val="0"/>
        <w:rPr>
          <w:rFonts w:hint="eastAsia"/>
        </w:rPr>
      </w:pPr>
      <w:r>
        <w:rPr>
          <w:rFonts w:hint="eastAsia"/>
        </w:rPr>
        <w:footnoteRef/>
      </w:r>
      <w:r>
        <w:rPr>
          <w:rFonts w:hint="eastAsia"/>
        </w:rPr>
        <w:t>孙炜，史玉民．秉志论“科学家之精神”及其现代价值[J].科学学研究，2020(10):17291734.</w:t>
      </w:r>
    </w:p>
  </w:footnote>
  <w:footnote w:id="35">
    <w:p w14:paraId="020BEE0E">
      <w:pPr>
        <w:pStyle w:val="11"/>
        <w:snapToGrid w:val="0"/>
        <w:rPr>
          <w:rFonts w:hint="eastAsia"/>
        </w:rPr>
      </w:pPr>
      <w:r>
        <w:rPr>
          <w:rFonts w:hint="eastAsia"/>
        </w:rPr>
        <w:footnoteRef/>
      </w:r>
      <w:r>
        <w:rPr>
          <w:rFonts w:hint="eastAsia"/>
        </w:rPr>
        <w:t>丁俊萍，李庆.20世纪五六十年代中国科学家精神及其价值[J].思想理论教育导刊，2020(3):6672.</w:t>
      </w:r>
    </w:p>
  </w:footnote>
  <w:footnote w:id="36">
    <w:p w14:paraId="5C5F7C41">
      <w:pPr>
        <w:pStyle w:val="11"/>
        <w:snapToGrid w:val="0"/>
        <w:rPr>
          <w:rFonts w:hint="eastAsia"/>
        </w:rPr>
      </w:pPr>
      <w:r>
        <w:rPr>
          <w:rFonts w:hint="eastAsia"/>
        </w:rPr>
        <w:footnoteRef/>
      </w:r>
      <w:r>
        <w:rPr>
          <w:rFonts w:hint="eastAsia"/>
        </w:rPr>
        <w:t>潜伟．科学文化</w:t>
      </w:r>
      <w:r>
        <w:rPr>
          <w:rFonts w:hint="eastAsia" w:eastAsia="宋体"/>
          <w:lang w:eastAsia="zh-CN"/>
        </w:rPr>
        <w:t>、</w:t>
      </w:r>
      <w:r>
        <w:rPr>
          <w:rFonts w:hint="eastAsia"/>
        </w:rPr>
        <w:t>科学精神与科学家精神[J].科学学研究，2019(1):12.</w:t>
      </w:r>
    </w:p>
  </w:footnote>
  <w:footnote w:id="37">
    <w:p w14:paraId="72DEAC9A">
      <w:pPr>
        <w:pStyle w:val="11"/>
        <w:snapToGrid w:val="0"/>
        <w:rPr>
          <w:rFonts w:hint="eastAsia"/>
        </w:rPr>
      </w:pPr>
      <w:r>
        <w:rPr>
          <w:rFonts w:hint="eastAsia"/>
        </w:rPr>
        <w:footnoteRef/>
      </w:r>
      <w:r>
        <w:rPr>
          <w:rFonts w:hint="eastAsia"/>
        </w:rPr>
        <w:t>彭青龙，易文娟．科技人文</w:t>
      </w:r>
      <w:r>
        <w:rPr>
          <w:rFonts w:hint="eastAsia" w:eastAsia="宋体"/>
          <w:lang w:eastAsia="zh-CN"/>
        </w:rPr>
        <w:t>、</w:t>
      </w:r>
      <w:r>
        <w:rPr>
          <w:rFonts w:hint="eastAsia"/>
        </w:rPr>
        <w:t>思维比较和人类精神：访谈钱旭红院士[J].上海交通大学学报（哲学社会科学版），2020(2):18.</w:t>
      </w:r>
    </w:p>
  </w:footnote>
  <w:footnote w:id="38">
    <w:p w14:paraId="79AB1B3C">
      <w:pPr>
        <w:pStyle w:val="11"/>
        <w:snapToGrid w:val="0"/>
        <w:rPr>
          <w:rFonts w:hint="eastAsia"/>
        </w:rPr>
      </w:pPr>
      <w:r>
        <w:rPr>
          <w:rFonts w:hint="eastAsia"/>
        </w:rPr>
        <w:footnoteRef/>
      </w:r>
      <w:r>
        <w:rPr>
          <w:rFonts w:hint="eastAsia"/>
        </w:rPr>
        <w:t>胡祥明．中国科学家精神时代内涵的凝练及塑造[J].科协论坛，2018(12):811.</w:t>
      </w:r>
    </w:p>
  </w:footnote>
  <w:footnote w:id="39">
    <w:p w14:paraId="0F0F8B89">
      <w:pPr>
        <w:pStyle w:val="11"/>
        <w:snapToGrid w:val="0"/>
        <w:rPr>
          <w:rFonts w:hint="eastAsia"/>
        </w:rPr>
      </w:pPr>
      <w:r>
        <w:rPr>
          <w:rFonts w:hint="eastAsia"/>
        </w:rPr>
        <w:footnoteRef/>
      </w:r>
      <w:r>
        <w:rPr>
          <w:rFonts w:hint="eastAsia"/>
        </w:rPr>
        <w:t>余德刚，龚松柏，余周唱晚．论我国科学家精神的时代价值[J].毛泽东思想研究，2018(6):151155.</w:t>
      </w:r>
    </w:p>
  </w:footnote>
  <w:footnote w:id="40">
    <w:p w14:paraId="3D164F36">
      <w:pPr>
        <w:pStyle w:val="11"/>
        <w:snapToGrid w:val="0"/>
        <w:rPr>
          <w:rFonts w:hint="eastAsia"/>
        </w:rPr>
      </w:pPr>
      <w:r>
        <w:rPr>
          <w:rFonts w:hint="eastAsia"/>
        </w:rPr>
        <w:footnoteRef/>
      </w:r>
      <w:r>
        <w:rPr>
          <w:rFonts w:hint="eastAsia"/>
        </w:rPr>
        <w:t>徐祥运，张童阔．科学家社会责任感面临的新挑战及其重建途径[J].自然辩证法研究，2018(3):4955.</w:t>
      </w:r>
    </w:p>
  </w:footnote>
  <w:footnote w:id="41">
    <w:p w14:paraId="6B4619BB">
      <w:pPr>
        <w:pStyle w:val="11"/>
        <w:snapToGrid w:val="0"/>
        <w:rPr>
          <w:rFonts w:hint="eastAsia"/>
        </w:rPr>
      </w:pPr>
      <w:r>
        <w:rPr>
          <w:rFonts w:hint="eastAsia"/>
        </w:rPr>
        <w:footnoteRef/>
      </w:r>
      <w:r>
        <w:rPr>
          <w:rFonts w:hint="eastAsia"/>
        </w:rPr>
        <w:t>李波，陈传军，孙丰云．将科学家的强国精神和爱国情怀融入课堂教学[J].产业与科技论坛，2019(16):199200.</w:t>
      </w:r>
    </w:p>
  </w:footnote>
  <w:footnote w:id="42">
    <w:p w14:paraId="2CA4FB31">
      <w:pPr>
        <w:pStyle w:val="11"/>
        <w:snapToGrid w:val="0"/>
        <w:rPr>
          <w:rFonts w:hint="eastAsia"/>
        </w:rPr>
      </w:pPr>
      <w:r>
        <w:rPr>
          <w:rFonts w:hint="eastAsia"/>
        </w:rPr>
        <w:footnoteRef/>
      </w:r>
      <w:r>
        <w:rPr>
          <w:rFonts w:hint="eastAsia"/>
        </w:rPr>
        <w:t>刘长明．论科学三维[J].烟台大学学报（哲学社会科学版），2018(5):111.</w:t>
      </w:r>
    </w:p>
  </w:footnote>
  <w:footnote w:id="43">
    <w:p w14:paraId="12706353">
      <w:pPr>
        <w:pStyle w:val="11"/>
        <w:snapToGrid w:val="0"/>
        <w:rPr>
          <w:rFonts w:hint="eastAsia"/>
        </w:rPr>
      </w:pPr>
      <w:r>
        <w:rPr>
          <w:rFonts w:hint="eastAsia"/>
        </w:rPr>
        <w:footnoteRef/>
      </w:r>
      <w:r>
        <w:rPr>
          <w:rFonts w:hint="eastAsia"/>
        </w:rPr>
        <w:t>KurbanC,Peña-LópezI,HabererM.WhatIsTechnopolitics?AConceptualSchemaforUnderstandingPoliticsintheDigitalAge[J].IDP.RevistadeInternet,DerechoyPolitica,2017(24):320.</w:t>
      </w:r>
    </w:p>
  </w:footnote>
  <w:footnote w:id="44">
    <w:p w14:paraId="44AA18E2">
      <w:pPr>
        <w:pStyle w:val="11"/>
        <w:snapToGrid w:val="0"/>
        <w:rPr>
          <w:rFonts w:hint="eastAsia"/>
        </w:rPr>
      </w:pPr>
      <w:r>
        <w:rPr>
          <w:rFonts w:hint="eastAsia"/>
        </w:rPr>
        <w:footnoteRef/>
      </w:r>
      <w:r>
        <w:rPr>
          <w:rFonts w:hint="eastAsia"/>
        </w:rPr>
        <w:t>中共中央马克思恩格斯列宁斯大林著作编译局．马克思恩格斯选集：第1卷[M].北京：人民出版社，2012:416.</w:t>
      </w:r>
    </w:p>
  </w:footnote>
  <w:footnote w:id="45">
    <w:p w14:paraId="05E37831">
      <w:pPr>
        <w:pStyle w:val="6"/>
        <w:spacing w:before="69" w:line="172" w:lineRule="auto"/>
        <w:rPr>
          <w:rFonts w:hint="eastAsia" w:ascii="Arial" w:hAnsi="Arial" w:eastAsia="Arial" w:cs="Arial"/>
          <w:snapToGrid w:val="0"/>
          <w:color w:val="000000"/>
          <w:kern w:val="0"/>
          <w:sz w:val="18"/>
          <w:szCs w:val="21"/>
          <w:lang w:val="en-US" w:eastAsia="en-US" w:bidi="ar-SA"/>
        </w:rPr>
      </w:pPr>
      <w:r>
        <w:rPr>
          <w:rFonts w:hint="eastAsia" w:ascii="Arial" w:hAnsi="Arial" w:eastAsia="Arial" w:cs="Arial"/>
          <w:snapToGrid w:val="0"/>
          <w:color w:val="000000"/>
          <w:kern w:val="0"/>
          <w:sz w:val="18"/>
          <w:szCs w:val="21"/>
          <w:lang w:val="en-US" w:eastAsia="en-US" w:bidi="ar-SA"/>
        </w:rPr>
        <w:footnoteRef/>
      </w:r>
      <w:r>
        <w:rPr>
          <w:rFonts w:hint="eastAsia" w:ascii="Arial" w:hAnsi="Arial" w:eastAsia="Arial" w:cs="Arial"/>
          <w:snapToGrid w:val="0"/>
          <w:color w:val="000000"/>
          <w:kern w:val="0"/>
          <w:sz w:val="18"/>
          <w:szCs w:val="21"/>
          <w:lang w:val="en-US" w:eastAsia="en-US" w:bidi="ar-SA"/>
        </w:rPr>
        <w:t>程恩富，伍山林．促使社会各阶层共同富裕的若干政策思路[J].政治经济学研究，2021(2):511.</w:t>
      </w:r>
    </w:p>
  </w:footnote>
  <w:footnote w:id="46">
    <w:p w14:paraId="68440CAD">
      <w:pPr>
        <w:pStyle w:val="11"/>
        <w:snapToGrid w:val="0"/>
        <w:rPr>
          <w:rFonts w:hint="eastAsia" w:ascii="Arial" w:hAnsi="Arial" w:eastAsia="Arial" w:cs="Arial"/>
          <w:snapToGrid w:val="0"/>
          <w:color w:val="000000"/>
          <w:kern w:val="0"/>
          <w:sz w:val="18"/>
          <w:szCs w:val="21"/>
          <w:lang w:val="en-US" w:eastAsia="en-US" w:bidi="ar-SA"/>
        </w:rPr>
      </w:pPr>
      <w:r>
        <w:rPr>
          <w:rFonts w:hint="eastAsia" w:ascii="Arial" w:hAnsi="Arial" w:eastAsia="Arial" w:cs="Arial"/>
          <w:snapToGrid w:val="0"/>
          <w:color w:val="000000"/>
          <w:kern w:val="0"/>
          <w:sz w:val="18"/>
          <w:szCs w:val="21"/>
          <w:lang w:val="en-US" w:eastAsia="en-US" w:bidi="ar-SA"/>
        </w:rPr>
        <w:footnoteRef/>
      </w:r>
      <w:r>
        <w:rPr>
          <w:rFonts w:hint="eastAsia" w:ascii="Arial" w:hAnsi="Arial" w:eastAsia="Arial" w:cs="Arial"/>
          <w:snapToGrid w:val="0"/>
          <w:color w:val="000000"/>
          <w:kern w:val="0"/>
          <w:sz w:val="18"/>
          <w:szCs w:val="21"/>
          <w:lang w:val="en-US" w:eastAsia="en-US" w:bidi="ar-SA"/>
        </w:rPr>
        <w:t>自然科学家关注马克思主义的社会科学，马克思主义社会科学家关注自然科学，这是思想境界更高的科学家精神。钱学森就是榜样。程恩富教授在给中组部一位研究者写的《缔造大同：钱学森“世界大同＋共产主义”理想新论》一书的推荐语中评论道：“钱学森的世界大同共产主义思想弥足珍贵。”参见李曦恒．缔造大同：钱学森“世界大同＋共产主义”理想新论[M].北京：社会科学文献出版社，2017.钱学森关于社会主义初级</w:t>
      </w:r>
      <w:r>
        <w:rPr>
          <w:rFonts w:hint="eastAsia" w:eastAsia="宋体" w:cs="Arial"/>
          <w:snapToGrid w:val="0"/>
          <w:color w:val="000000"/>
          <w:kern w:val="0"/>
          <w:sz w:val="18"/>
          <w:szCs w:val="21"/>
          <w:lang w:val="en-US" w:eastAsia="zh-CN" w:bidi="ar-SA"/>
        </w:rPr>
        <w:t>、</w:t>
      </w:r>
      <w:r>
        <w:rPr>
          <w:rFonts w:hint="eastAsia" w:ascii="Arial" w:hAnsi="Arial" w:eastAsia="Arial" w:cs="Arial"/>
          <w:snapToGrid w:val="0"/>
          <w:color w:val="000000"/>
          <w:kern w:val="0"/>
          <w:sz w:val="18"/>
          <w:szCs w:val="21"/>
          <w:lang w:val="en-US" w:eastAsia="en-US" w:bidi="ar-SA"/>
        </w:rPr>
        <w:t>中级</w:t>
      </w:r>
      <w:r>
        <w:rPr>
          <w:rFonts w:hint="eastAsia" w:eastAsia="宋体" w:cs="Arial"/>
          <w:snapToGrid w:val="0"/>
          <w:color w:val="000000"/>
          <w:kern w:val="0"/>
          <w:sz w:val="18"/>
          <w:szCs w:val="21"/>
          <w:lang w:val="en-US" w:eastAsia="zh-CN" w:bidi="ar-SA"/>
        </w:rPr>
        <w:t>、</w:t>
      </w:r>
      <w:r>
        <w:rPr>
          <w:rFonts w:hint="eastAsia" w:ascii="Arial" w:hAnsi="Arial" w:eastAsia="Arial" w:cs="Arial"/>
          <w:snapToGrid w:val="0"/>
          <w:color w:val="000000"/>
          <w:kern w:val="0"/>
          <w:sz w:val="18"/>
          <w:szCs w:val="21"/>
          <w:lang w:val="en-US" w:eastAsia="en-US" w:bidi="ar-SA"/>
        </w:rPr>
        <w:t>高级三阶段等思想具有理论的前瞻性和科学性。此外，众所周知，钱学森曾强调中国不能丢掉毛泽东思想和公有制。这些均表明钱学森具有战略性和高层次的科学家精神</w:t>
      </w:r>
    </w:p>
  </w:footnote>
  <w:footnote w:id="47">
    <w:p w14:paraId="04B15FE0">
      <w:pPr>
        <w:pStyle w:val="11"/>
        <w:snapToGrid w:val="0"/>
        <w:rPr>
          <w:rFonts w:hint="eastAsia" w:ascii="Arial" w:hAnsi="Arial" w:eastAsia="宋体" w:cs="Arial"/>
          <w:snapToGrid w:val="0"/>
          <w:color w:val="000000"/>
          <w:kern w:val="0"/>
          <w:sz w:val="18"/>
          <w:szCs w:val="21"/>
          <w:lang w:val="en-US" w:eastAsia="zh-CN" w:bidi="ar-SA"/>
        </w:rPr>
      </w:pPr>
      <w:r>
        <w:rPr>
          <w:rFonts w:hint="eastAsia" w:ascii="Arial" w:hAnsi="Arial" w:eastAsia="Arial" w:cs="Arial"/>
          <w:snapToGrid w:val="0"/>
          <w:color w:val="000000"/>
          <w:kern w:val="0"/>
          <w:sz w:val="18"/>
          <w:szCs w:val="21"/>
          <w:lang w:val="en-US" w:eastAsia="en-US" w:bidi="ar-SA"/>
        </w:rPr>
        <w:footnoteRef/>
      </w:r>
      <w:r>
        <w:rPr>
          <w:rFonts w:hint="eastAsia" w:ascii="Arial" w:hAnsi="Arial" w:eastAsia="Arial" w:cs="Arial"/>
          <w:snapToGrid w:val="0"/>
          <w:color w:val="000000"/>
          <w:kern w:val="0"/>
          <w:sz w:val="18"/>
          <w:szCs w:val="21"/>
          <w:lang w:val="en-US" w:eastAsia="en-US" w:bidi="ar-SA"/>
        </w:rPr>
        <w:t>程恩富．程恩富选集[M].北京：中国社会科学出版社，2010:17.</w:t>
      </w:r>
    </w:p>
  </w:footnote>
  <w:footnote w:id="48">
    <w:p w14:paraId="1F080956">
      <w:pPr>
        <w:pStyle w:val="11"/>
        <w:snapToGrid w:val="0"/>
        <w:rPr>
          <w:rFonts w:hint="eastAsia" w:ascii="Arial" w:hAnsi="Arial" w:eastAsia="Arial" w:cs="Arial"/>
          <w:snapToGrid w:val="0"/>
          <w:color w:val="000000"/>
          <w:kern w:val="0"/>
          <w:sz w:val="18"/>
          <w:szCs w:val="21"/>
          <w:lang w:val="en-US" w:eastAsia="en-US" w:bidi="ar-SA"/>
        </w:rPr>
      </w:pPr>
      <w:r>
        <w:rPr>
          <w:rFonts w:hint="eastAsia" w:ascii="Arial" w:hAnsi="Arial" w:eastAsia="Arial" w:cs="Arial"/>
          <w:snapToGrid w:val="0"/>
          <w:color w:val="000000"/>
          <w:kern w:val="0"/>
          <w:sz w:val="18"/>
          <w:szCs w:val="21"/>
          <w:lang w:val="en-US" w:eastAsia="en-US" w:bidi="ar-SA"/>
        </w:rPr>
        <w:footnoteRef/>
      </w:r>
      <w:r>
        <w:rPr>
          <w:rFonts w:hint="eastAsia" w:ascii="Arial" w:hAnsi="Arial" w:eastAsia="Arial" w:cs="Arial"/>
          <w:snapToGrid w:val="0"/>
          <w:color w:val="000000"/>
          <w:kern w:val="0"/>
          <w:sz w:val="18"/>
          <w:szCs w:val="21"/>
          <w:lang w:val="en-US" w:eastAsia="en-US" w:bidi="ar-SA"/>
        </w:rPr>
        <w:t>“五唯”即唯论文</w:t>
      </w:r>
      <w:r>
        <w:rPr>
          <w:rFonts w:hint="eastAsia" w:eastAsia="宋体" w:cs="Arial"/>
          <w:snapToGrid w:val="0"/>
          <w:color w:val="000000"/>
          <w:kern w:val="0"/>
          <w:sz w:val="18"/>
          <w:szCs w:val="21"/>
          <w:lang w:val="en-US" w:eastAsia="zh-CN" w:bidi="ar-SA"/>
        </w:rPr>
        <w:t>、</w:t>
      </w:r>
      <w:r>
        <w:rPr>
          <w:rFonts w:hint="eastAsia" w:ascii="Arial" w:hAnsi="Arial" w:eastAsia="Arial" w:cs="Arial"/>
          <w:snapToGrid w:val="0"/>
          <w:color w:val="000000"/>
          <w:kern w:val="0"/>
          <w:sz w:val="18"/>
          <w:szCs w:val="21"/>
          <w:lang w:val="en-US" w:eastAsia="en-US" w:bidi="ar-SA"/>
        </w:rPr>
        <w:t>唯帽子</w:t>
      </w:r>
      <w:r>
        <w:rPr>
          <w:rFonts w:hint="eastAsia" w:eastAsia="宋体" w:cs="Arial"/>
          <w:snapToGrid w:val="0"/>
          <w:color w:val="000000"/>
          <w:kern w:val="0"/>
          <w:sz w:val="18"/>
          <w:szCs w:val="21"/>
          <w:lang w:val="en-US" w:eastAsia="zh-CN" w:bidi="ar-SA"/>
        </w:rPr>
        <w:t>、</w:t>
      </w:r>
      <w:r>
        <w:rPr>
          <w:rFonts w:hint="eastAsia" w:ascii="Arial" w:hAnsi="Arial" w:eastAsia="Arial" w:cs="Arial"/>
          <w:snapToGrid w:val="0"/>
          <w:color w:val="000000"/>
          <w:kern w:val="0"/>
          <w:sz w:val="18"/>
          <w:szCs w:val="21"/>
          <w:lang w:val="en-US" w:eastAsia="en-US" w:bidi="ar-SA"/>
        </w:rPr>
        <w:t>唯职称</w:t>
      </w:r>
      <w:r>
        <w:rPr>
          <w:rFonts w:hint="eastAsia" w:eastAsia="宋体" w:cs="Arial"/>
          <w:snapToGrid w:val="0"/>
          <w:color w:val="000000"/>
          <w:kern w:val="0"/>
          <w:sz w:val="18"/>
          <w:szCs w:val="21"/>
          <w:lang w:val="en-US" w:eastAsia="zh-CN" w:bidi="ar-SA"/>
        </w:rPr>
        <w:t>、</w:t>
      </w:r>
      <w:r>
        <w:rPr>
          <w:rFonts w:hint="eastAsia" w:ascii="Arial" w:hAnsi="Arial" w:eastAsia="Arial" w:cs="Arial"/>
          <w:snapToGrid w:val="0"/>
          <w:color w:val="000000"/>
          <w:kern w:val="0"/>
          <w:sz w:val="18"/>
          <w:szCs w:val="21"/>
          <w:lang w:val="en-US" w:eastAsia="en-US" w:bidi="ar-SA"/>
        </w:rPr>
        <w:t>唯学历</w:t>
      </w:r>
      <w:r>
        <w:rPr>
          <w:rFonts w:hint="eastAsia" w:eastAsia="宋体" w:cs="Arial"/>
          <w:snapToGrid w:val="0"/>
          <w:color w:val="000000"/>
          <w:kern w:val="0"/>
          <w:sz w:val="18"/>
          <w:szCs w:val="21"/>
          <w:lang w:val="en-US" w:eastAsia="zh-CN" w:bidi="ar-SA"/>
        </w:rPr>
        <w:t>、</w:t>
      </w:r>
      <w:r>
        <w:rPr>
          <w:rFonts w:hint="eastAsia" w:ascii="Arial" w:hAnsi="Arial" w:eastAsia="Arial" w:cs="Arial"/>
          <w:snapToGrid w:val="0"/>
          <w:color w:val="000000"/>
          <w:kern w:val="0"/>
          <w:sz w:val="18"/>
          <w:szCs w:val="21"/>
          <w:lang w:val="en-US" w:eastAsia="en-US" w:bidi="ar-SA"/>
        </w:rPr>
        <w:t>唯奖项。</w:t>
      </w:r>
    </w:p>
  </w:footnote>
  <w:footnote w:id="49">
    <w:p w14:paraId="255A4254">
      <w:pPr>
        <w:pStyle w:val="11"/>
        <w:snapToGrid w:val="0"/>
        <w:rPr>
          <w:rFonts w:hint="eastAsia" w:ascii="Arial" w:hAnsi="Arial" w:eastAsia="Arial" w:cs="Arial"/>
          <w:snapToGrid w:val="0"/>
          <w:color w:val="000000"/>
          <w:kern w:val="0"/>
          <w:sz w:val="18"/>
          <w:szCs w:val="21"/>
          <w:lang w:val="en-US" w:eastAsia="en-US" w:bidi="ar-SA"/>
        </w:rPr>
      </w:pPr>
      <w:r>
        <w:rPr>
          <w:rFonts w:hint="eastAsia" w:ascii="Arial" w:hAnsi="Arial" w:eastAsia="Arial" w:cs="Arial"/>
          <w:snapToGrid w:val="0"/>
          <w:color w:val="000000"/>
          <w:kern w:val="0"/>
          <w:sz w:val="18"/>
          <w:szCs w:val="21"/>
          <w:lang w:val="en-US" w:eastAsia="en-US" w:bidi="ar-SA"/>
        </w:rPr>
        <w:footnoteRef/>
      </w:r>
      <w:r>
        <w:rPr>
          <w:rFonts w:hint="eastAsia" w:ascii="Arial" w:hAnsi="Arial" w:eastAsia="Arial" w:cs="Arial"/>
          <w:snapToGrid w:val="0"/>
          <w:color w:val="000000"/>
          <w:kern w:val="0"/>
          <w:sz w:val="18"/>
          <w:szCs w:val="21"/>
          <w:lang w:val="en-US" w:eastAsia="en-US" w:bidi="ar-SA"/>
        </w:rPr>
        <w:t>马云华．科学技术与伦理道德互动的内在动因[J].自然辩证法研究，2003(10):8283.</w:t>
      </w:r>
    </w:p>
  </w:footnote>
  <w:footnote w:id="50">
    <w:p w14:paraId="331C5AF8">
      <w:pPr>
        <w:pStyle w:val="11"/>
        <w:snapToGrid w:val="0"/>
        <w:rPr>
          <w:rFonts w:hint="eastAsia"/>
        </w:rPr>
      </w:pPr>
      <w:r>
        <w:rPr>
          <w:rFonts w:hint="eastAsia" w:ascii="Arial" w:hAnsi="Arial" w:eastAsia="Arial" w:cs="Arial"/>
          <w:snapToGrid w:val="0"/>
          <w:color w:val="000000"/>
          <w:kern w:val="0"/>
          <w:sz w:val="18"/>
          <w:szCs w:val="21"/>
          <w:lang w:val="en-US" w:eastAsia="en-US" w:bidi="ar-SA"/>
        </w:rPr>
        <w:footnoteRef/>
      </w:r>
      <w:r>
        <w:rPr>
          <w:rFonts w:hint="eastAsia"/>
        </w:rPr>
        <w:t>托马斯·达文波特，茱莉娅·柯尔比．人机共生[M].李盼，译．杭州：浙江人民出版社，2018:10.</w:t>
      </w:r>
    </w:p>
  </w:footnote>
  <w:footnote w:id="51">
    <w:p w14:paraId="0E64329A">
      <w:pPr>
        <w:pStyle w:val="11"/>
        <w:snapToGrid w:val="0"/>
        <w:rPr>
          <w:rFonts w:hint="eastAsia"/>
        </w:rPr>
      </w:pPr>
      <w:r>
        <w:rPr>
          <w:rFonts w:hint="eastAsia"/>
        </w:rPr>
        <w:footnoteRef/>
      </w:r>
      <w:r>
        <w:rPr>
          <w:rFonts w:hint="eastAsia"/>
        </w:rPr>
        <w:t>孙伟平．人工智能与人的“新异化”[J].中国社会科学，2020(12):119139.</w:t>
      </w:r>
    </w:p>
  </w:footnote>
  <w:footnote w:id="52">
    <w:p w14:paraId="01BAD950">
      <w:pPr>
        <w:pStyle w:val="11"/>
        <w:snapToGrid w:val="0"/>
        <w:rPr>
          <w:rFonts w:hint="eastAsia"/>
        </w:rPr>
      </w:pPr>
      <w:r>
        <w:rPr>
          <w:rFonts w:hint="eastAsia"/>
        </w:rPr>
        <w:footnoteRef/>
      </w:r>
      <w:r>
        <w:rPr>
          <w:rFonts w:hint="eastAsia"/>
        </w:rPr>
        <w:t>高奇琦．智能革命与国家治理现代化初探[J].中国社会科学，2020(7):81103.</w:t>
      </w:r>
    </w:p>
  </w:footnote>
  <w:footnote w:id="53">
    <w:p w14:paraId="0EF09B09">
      <w:pPr>
        <w:pStyle w:val="11"/>
        <w:snapToGrid w:val="0"/>
        <w:rPr>
          <w:rFonts w:hint="eastAsia"/>
        </w:rPr>
      </w:pPr>
      <w:r>
        <w:rPr>
          <w:rFonts w:hint="eastAsia"/>
        </w:rPr>
        <w:footnoteRef/>
      </w:r>
      <w:r>
        <w:rPr>
          <w:rFonts w:hint="eastAsia"/>
        </w:rPr>
        <w:t>张永祥，肖霞．墨子译注[M].上海：上海古籍出版社，2015:47.</w:t>
      </w:r>
    </w:p>
  </w:footnote>
  <w:footnote w:id="54">
    <w:p w14:paraId="31D3B72A">
      <w:pPr>
        <w:pStyle w:val="11"/>
        <w:snapToGrid w:val="0"/>
        <w:rPr>
          <w:rFonts w:hint="eastAsia"/>
        </w:rPr>
      </w:pPr>
      <w:r>
        <w:rPr>
          <w:rFonts w:hint="eastAsia"/>
        </w:rPr>
        <w:footnoteRef/>
      </w:r>
      <w:r>
        <w:rPr>
          <w:rFonts w:hint="eastAsia"/>
        </w:rPr>
        <w:t>张永祥，肖霞．墨子译注[M].上海：上海古籍出版社，2015:418.</w:t>
      </w:r>
    </w:p>
  </w:footnote>
  <w:footnote w:id="55">
    <w:p w14:paraId="732255B4">
      <w:pPr>
        <w:pStyle w:val="11"/>
        <w:snapToGrid w:val="0"/>
        <w:rPr>
          <w:rFonts w:hint="eastAsia"/>
        </w:rPr>
      </w:pPr>
      <w:r>
        <w:rPr>
          <w:rFonts w:hint="eastAsia"/>
        </w:rPr>
        <w:footnoteRef/>
      </w:r>
      <w:r>
        <w:rPr>
          <w:rFonts w:hint="eastAsia"/>
        </w:rPr>
        <w:t>王祯．农书译注：下[M].缪启愉，缪桂龙，译．济南：齐鲁书社，2009:694.</w:t>
      </w:r>
    </w:p>
  </w:footnote>
  <w:footnote w:id="56">
    <w:p w14:paraId="535410FE">
      <w:pPr>
        <w:pStyle w:val="11"/>
        <w:snapToGrid w:val="0"/>
        <w:rPr>
          <w:rFonts w:hint="eastAsia"/>
        </w:rPr>
      </w:pPr>
      <w:r>
        <w:rPr>
          <w:rFonts w:hint="eastAsia"/>
        </w:rPr>
        <w:footnoteRef/>
      </w:r>
      <w:r>
        <w:rPr>
          <w:rFonts w:hint="eastAsia"/>
        </w:rPr>
        <w:t>彭青龙，廖静．科技文明</w:t>
      </w:r>
      <w:r>
        <w:rPr>
          <w:rFonts w:hint="eastAsia" w:eastAsia="宋体"/>
          <w:lang w:eastAsia="zh-CN"/>
        </w:rPr>
        <w:t>、</w:t>
      </w:r>
      <w:r>
        <w:rPr>
          <w:rFonts w:hint="eastAsia"/>
        </w:rPr>
        <w:t>生态文明与思维教育：访谈谢和平院士[J].上海交通大学学报（哲学社会科学版），2021</w:t>
      </w:r>
    </w:p>
    <w:p w14:paraId="4027547F">
      <w:pPr>
        <w:pStyle w:val="11"/>
        <w:snapToGrid w:val="0"/>
        <w:rPr>
          <w:rFonts w:hint="eastAsia"/>
        </w:rPr>
      </w:pPr>
      <w:r>
        <w:rPr>
          <w:rFonts w:hint="eastAsia"/>
        </w:rPr>
        <w:t>(2):110.</w:t>
      </w:r>
    </w:p>
  </w:footnote>
  <w:footnote w:id="57">
    <w:p w14:paraId="4354C241">
      <w:pPr>
        <w:pStyle w:val="11"/>
        <w:snapToGrid w:val="0"/>
        <w:rPr>
          <w:rFonts w:hint="eastAsia"/>
        </w:rPr>
      </w:pPr>
      <w:r>
        <w:rPr>
          <w:rFonts w:hint="eastAsia"/>
        </w:rPr>
        <w:footnoteRef/>
      </w:r>
      <w:r>
        <w:rPr>
          <w:rFonts w:hint="eastAsia"/>
        </w:rPr>
        <w:t>习近平主持召开中央全面深化改革委员会第九次会议[N].人民日报，2019-7-25(1).</w:t>
      </w:r>
    </w:p>
  </w:footnote>
  <w:footnote w:id="58">
    <w:p w14:paraId="44D9182B">
      <w:pPr>
        <w:pStyle w:val="11"/>
        <w:snapToGrid w:val="0"/>
      </w:pPr>
      <w:r>
        <w:rPr>
          <w:rFonts w:hint="eastAsia"/>
        </w:rPr>
        <w:footnoteRef/>
      </w:r>
      <w:r>
        <w:rPr>
          <w:rFonts w:hint="eastAsia"/>
        </w:rPr>
        <w:t>中共中央马克思恩格斯列宁斯大林著作编译局．马克思恩格斯选集：第1卷[M].北京：人民出版社，2012:152.</w:t>
      </w:r>
    </w:p>
  </w:footnote>
  <w:footnote w:id="59">
    <w:p w14:paraId="0908E764">
      <w:pPr>
        <w:pStyle w:val="11"/>
        <w:snapToGrid w:val="0"/>
        <w:rPr>
          <w:rFonts w:hint="eastAsia"/>
        </w:rPr>
      </w:pPr>
      <w:r>
        <w:rPr>
          <w:rFonts w:hint="eastAsia"/>
        </w:rPr>
        <w:footnoteRef/>
      </w:r>
      <w:r>
        <w:rPr>
          <w:rFonts w:hint="eastAsia"/>
        </w:rPr>
        <w:t>武建奇．共同富裕：从远大理想到战略实施的历史性转变[J].政治经济学研究，2021(2):1721.</w:t>
      </w:r>
    </w:p>
  </w:footnote>
  <w:footnote w:id="60">
    <w:p w14:paraId="32BD7EFF">
      <w:pPr>
        <w:pStyle w:val="11"/>
        <w:snapToGrid w:val="0"/>
        <w:rPr>
          <w:rFonts w:hint="eastAsia" w:eastAsia="宋体"/>
          <w:lang w:eastAsia="zh-CN"/>
        </w:rPr>
      </w:pPr>
      <w:r>
        <w:rPr>
          <w:rFonts w:hint="eastAsia"/>
        </w:rPr>
        <w:footnoteRef/>
      </w:r>
      <w:r>
        <w:rPr>
          <w:rFonts w:hint="eastAsia"/>
        </w:rPr>
        <w:t>Mark</w:t>
      </w:r>
      <w:r>
        <w:rPr>
          <w:rFonts w:hint="eastAsia" w:eastAsia="宋体"/>
          <w:lang w:val="en-US" w:eastAsia="zh-CN"/>
        </w:rPr>
        <w:t xml:space="preserve"> </w:t>
      </w:r>
      <w:r>
        <w:rPr>
          <w:rFonts w:hint="eastAsia"/>
        </w:rPr>
        <w:t>Andrejevic.The</w:t>
      </w:r>
      <w:r>
        <w:rPr>
          <w:rFonts w:hint="eastAsia" w:eastAsia="宋体"/>
          <w:lang w:val="en-US" w:eastAsia="zh-CN"/>
        </w:rPr>
        <w:t xml:space="preserve"> </w:t>
      </w:r>
      <w:r>
        <w:rPr>
          <w:rFonts w:hint="eastAsia"/>
        </w:rPr>
        <w:t>Big</w:t>
      </w:r>
      <w:r>
        <w:rPr>
          <w:rFonts w:hint="eastAsia" w:eastAsia="宋体"/>
          <w:lang w:val="en-US" w:eastAsia="zh-CN"/>
        </w:rPr>
        <w:t xml:space="preserve"> </w:t>
      </w:r>
      <w:r>
        <w:rPr>
          <w:rFonts w:hint="eastAsia"/>
        </w:rPr>
        <w:t>Data</w:t>
      </w:r>
      <w:r>
        <w:rPr>
          <w:rFonts w:hint="eastAsia" w:eastAsia="宋体"/>
          <w:lang w:val="en-US" w:eastAsia="zh-CN"/>
        </w:rPr>
        <w:t xml:space="preserve"> </w:t>
      </w:r>
      <w:r>
        <w:rPr>
          <w:rFonts w:hint="eastAsia"/>
        </w:rPr>
        <w:t>Divide[J].International</w:t>
      </w:r>
      <w:r>
        <w:rPr>
          <w:rFonts w:hint="eastAsia" w:eastAsia="宋体"/>
          <w:lang w:val="en-US" w:eastAsia="zh-CN"/>
        </w:rPr>
        <w:t xml:space="preserve"> </w:t>
      </w:r>
      <w:r>
        <w:rPr>
          <w:rFonts w:hint="eastAsia"/>
        </w:rPr>
        <w:t>Journal</w:t>
      </w:r>
      <w:r>
        <w:rPr>
          <w:rFonts w:hint="eastAsia" w:eastAsia="宋体"/>
          <w:lang w:val="en-US" w:eastAsia="zh-CN"/>
        </w:rPr>
        <w:t xml:space="preserve"> </w:t>
      </w:r>
      <w:r>
        <w:rPr>
          <w:rFonts w:hint="eastAsia"/>
        </w:rPr>
        <w:t>of</w:t>
      </w:r>
      <w:r>
        <w:rPr>
          <w:rFonts w:hint="eastAsia" w:eastAsia="宋体"/>
          <w:lang w:val="en-US" w:eastAsia="zh-CN"/>
        </w:rPr>
        <w:t xml:space="preserve"> </w:t>
      </w:r>
      <w:r>
        <w:rPr>
          <w:rFonts w:hint="eastAsia"/>
        </w:rPr>
        <w:t>Communication,2014(8):16731689.</w:t>
      </w:r>
    </w:p>
  </w:footnote>
  <w:footnote w:id="61">
    <w:p w14:paraId="7163C85A">
      <w:pPr>
        <w:pStyle w:val="11"/>
        <w:snapToGrid w:val="0"/>
        <w:rPr>
          <w:rFonts w:hint="eastAsia"/>
        </w:rPr>
      </w:pPr>
      <w:r>
        <w:rPr>
          <w:rFonts w:hint="eastAsia"/>
        </w:rPr>
        <w:footnoteRef/>
      </w:r>
      <w:r>
        <w:rPr>
          <w:rFonts w:hint="eastAsia"/>
        </w:rPr>
        <w:t>孙伟平．人工智能与人的“新异化”[J].中国社会科学，2020(12):119139.</w:t>
      </w:r>
    </w:p>
  </w:footnote>
  <w:footnote w:id="62">
    <w:p w14:paraId="034C77F6">
      <w:pPr>
        <w:pStyle w:val="11"/>
        <w:snapToGrid w:val="0"/>
      </w:pPr>
      <w:r>
        <w:rPr>
          <w:rFonts w:hint="eastAsia"/>
        </w:rPr>
        <w:footnoteRef/>
      </w:r>
      <w:r>
        <w:rPr>
          <w:rFonts w:hint="eastAsia"/>
        </w:rPr>
        <w:t>彭青龙．石墨烯</w:t>
      </w:r>
      <w:r>
        <w:rPr>
          <w:rFonts w:hint="eastAsia" w:eastAsia="宋体"/>
          <w:lang w:eastAsia="zh-CN"/>
        </w:rPr>
        <w:t>、</w:t>
      </w:r>
      <w:r>
        <w:rPr>
          <w:rFonts w:hint="eastAsia"/>
        </w:rPr>
        <w:t>科学文化与学术评价：访谈刘忠范院士[J].上海交通大学学报（哲学社会科学版），2021(5):111.</w:t>
      </w:r>
    </w:p>
  </w:footnote>
  <w:footnote w:id="63">
    <w:p w14:paraId="2EFCC004">
      <w:pPr>
        <w:pStyle w:val="11"/>
        <w:snapToGrid w:val="0"/>
        <w:rPr>
          <w:rFonts w:hint="eastAsia"/>
        </w:rPr>
      </w:pPr>
      <w:r>
        <w:rPr>
          <w:rFonts w:hint="eastAsia"/>
        </w:rPr>
        <w:footnoteRef/>
      </w:r>
      <w:r>
        <w:rPr>
          <w:rFonts w:hint="eastAsia"/>
        </w:rPr>
        <w:t>习近平．在中国科学院第十九次院士大会</w:t>
      </w:r>
      <w:r>
        <w:rPr>
          <w:rFonts w:hint="eastAsia" w:eastAsia="宋体"/>
          <w:lang w:eastAsia="zh-CN"/>
        </w:rPr>
        <w:t>、</w:t>
      </w:r>
      <w:r>
        <w:rPr>
          <w:rFonts w:hint="eastAsia"/>
        </w:rPr>
        <w:t>中国工程院第十四次院士大会上的讲话[N].光明日报，20180529(2).</w:t>
      </w:r>
    </w:p>
  </w:footnote>
  <w:footnote w:id="64">
    <w:p w14:paraId="414F3219">
      <w:pPr>
        <w:pStyle w:val="11"/>
        <w:snapToGrid w:val="0"/>
        <w:rPr>
          <w:rFonts w:hint="eastAsia"/>
        </w:rPr>
      </w:pPr>
      <w:r>
        <w:rPr>
          <w:rFonts w:hint="eastAsia"/>
        </w:rPr>
        <w:footnoteRef/>
      </w:r>
      <w:r>
        <w:rPr>
          <w:rFonts w:hint="eastAsia"/>
        </w:rPr>
        <w:t>彭青龙．绿色发展</w:t>
      </w:r>
      <w:r>
        <w:rPr>
          <w:rFonts w:hint="eastAsia" w:eastAsia="宋体"/>
          <w:lang w:eastAsia="zh-CN"/>
        </w:rPr>
        <w:t>、</w:t>
      </w:r>
      <w:r>
        <w:rPr>
          <w:rFonts w:hint="eastAsia"/>
        </w:rPr>
        <w:t>科技人文与跨学科思维：访谈金涌院士[J].上海交通大学学报（哲学社会科学版），2021(4):</w:t>
      </w:r>
    </w:p>
    <w:p w14:paraId="4C9C537C">
      <w:pPr>
        <w:pStyle w:val="11"/>
        <w:snapToGrid w:val="0"/>
        <w:rPr>
          <w:rFonts w:hint="eastAsia"/>
        </w:rPr>
      </w:pPr>
      <w:r>
        <w:rPr>
          <w:rFonts w:hint="eastAsia"/>
        </w:rPr>
        <w:t>111.</w:t>
      </w:r>
    </w:p>
  </w:footnote>
  <w:footnote w:id="65">
    <w:p w14:paraId="296866F1">
      <w:pPr>
        <w:pStyle w:val="11"/>
        <w:snapToGrid w:val="0"/>
        <w:rPr>
          <w:rFonts w:hint="eastAsia"/>
        </w:rPr>
      </w:pPr>
      <w:r>
        <w:rPr>
          <w:rFonts w:hint="eastAsia"/>
        </w:rPr>
        <w:footnoteRef/>
      </w:r>
      <w:r>
        <w:rPr>
          <w:rFonts w:hint="eastAsia"/>
        </w:rPr>
        <w:t>刘大椿．科学客观性与创新性的统一[J].山西师大学报（社会科学版），2021(2):110.</w:t>
      </w:r>
    </w:p>
  </w:footnote>
  <w:footnote w:id="66">
    <w:p w14:paraId="14F7148B">
      <w:pPr>
        <w:pStyle w:val="11"/>
        <w:snapToGrid w:val="0"/>
        <w:rPr>
          <w:rFonts w:hint="eastAsia" w:eastAsia="宋体"/>
          <w:lang w:eastAsia="zh-CN"/>
        </w:rPr>
      </w:pPr>
      <w:r>
        <w:rPr>
          <w:rFonts w:hint="eastAsia"/>
        </w:rPr>
        <w:footnoteRef/>
      </w:r>
      <w:r>
        <w:rPr>
          <w:rFonts w:hint="eastAsia"/>
        </w:rPr>
        <w:t>中共中央马克思恩格斯列宁斯大林著作编译局．马克思恩格斯选集：第4卷[M].北京：人民出版社，2012:648.</w:t>
      </w:r>
    </w:p>
  </w:footnote>
  <w:footnote w:id="67">
    <w:p w14:paraId="02160ACC">
      <w:pPr>
        <w:pStyle w:val="11"/>
        <w:snapToGrid w:val="0"/>
        <w:rPr>
          <w:rFonts w:hint="eastAsia"/>
        </w:rPr>
      </w:pPr>
      <w:r>
        <w:rPr>
          <w:rFonts w:hint="eastAsia"/>
        </w:rPr>
        <w:footnoteRef/>
      </w:r>
      <w:r>
        <w:rPr>
          <w:rFonts w:hint="eastAsia"/>
        </w:rPr>
        <w:t>陈卫平．构建寓价值观于其中的哲学社会科学知识体系[J].上海交通大学学报（哲学社会科学版），2021(4):</w:t>
      </w:r>
    </w:p>
    <w:p w14:paraId="5671ED0C">
      <w:pPr>
        <w:pStyle w:val="11"/>
        <w:snapToGrid w:val="0"/>
        <w:rPr>
          <w:rFonts w:hint="eastAsia"/>
        </w:rPr>
      </w:pPr>
      <w:r>
        <w:rPr>
          <w:rFonts w:hint="eastAsia"/>
        </w:rPr>
        <w:t>1220.</w:t>
      </w:r>
    </w:p>
    <w:p w14:paraId="7F97A502">
      <w:pPr>
        <w:pStyle w:val="11"/>
        <w:snapToGrid w:val="0"/>
      </w:pPr>
    </w:p>
  </w:footnote>
  <w:footnote w:id="68">
    <w:p w14:paraId="08233D71">
      <w:pPr>
        <w:pStyle w:val="11"/>
        <w:snapToGrid w:val="0"/>
        <w:rPr>
          <w:rFonts w:hint="eastAsia"/>
        </w:rPr>
      </w:pPr>
      <w:r>
        <w:rPr>
          <w:rFonts w:hint="eastAsia"/>
        </w:rPr>
        <w:footnoteRef/>
      </w:r>
      <w:r>
        <w:rPr>
          <w:rFonts w:hint="eastAsia"/>
        </w:rPr>
        <w:t>朱熹．周易[M].上海：上海古籍出版社，1995:26.</w:t>
      </w:r>
    </w:p>
  </w:footnote>
  <w:footnote w:id="69">
    <w:p w14:paraId="39BE01A8">
      <w:pPr>
        <w:pStyle w:val="11"/>
        <w:snapToGrid w:val="0"/>
        <w:rPr>
          <w:rFonts w:hint="eastAsia"/>
        </w:rPr>
      </w:pPr>
      <w:r>
        <w:rPr>
          <w:rFonts w:hint="eastAsia"/>
        </w:rPr>
        <w:footnoteRef/>
      </w:r>
      <w:r>
        <w:rPr>
          <w:rFonts w:hint="eastAsia"/>
        </w:rPr>
        <w:t>冯道杰，王蔚．中国传统治国智慧：女性</w:t>
      </w:r>
      <w:r>
        <w:rPr>
          <w:rFonts w:hint="eastAsia" w:eastAsia="宋体"/>
          <w:lang w:eastAsia="zh-CN"/>
        </w:rPr>
        <w:t>、</w:t>
      </w:r>
      <w:r>
        <w:rPr>
          <w:rFonts w:hint="eastAsia"/>
        </w:rPr>
        <w:t>市场和相权———基于国家治理的视角[J].海派经济学，2020(3):194207.</w:t>
      </w:r>
    </w:p>
  </w:footnote>
  <w:footnote w:id="70">
    <w:p w14:paraId="2ABF703A">
      <w:pPr>
        <w:pStyle w:val="11"/>
        <w:tabs>
          <w:tab w:val="left" w:pos="9061"/>
        </w:tabs>
        <w:snapToGrid w:val="0"/>
        <w:rPr>
          <w:rFonts w:hint="eastAsia" w:eastAsia="宋体"/>
          <w:lang w:eastAsia="zh-CN"/>
        </w:rPr>
      </w:pPr>
      <w:r>
        <w:rPr>
          <w:rFonts w:hint="eastAsia"/>
        </w:rPr>
        <w:footnoteRef/>
      </w:r>
      <w:r>
        <w:rPr>
          <w:rFonts w:hint="eastAsia"/>
        </w:rPr>
        <w:t>何成洲．人文之“用”与科学之“诗性”[J].上海交通大学学报（哲学社会科学版），2021(2):1721.</w:t>
      </w:r>
      <w:r>
        <w:rPr>
          <w:rFonts w:hint="eastAsia" w:eastAsia="宋体"/>
          <w:lang w:eastAsia="zh-CN"/>
        </w:rPr>
        <w:tab/>
      </w:r>
    </w:p>
  </w:footnote>
  <w:footnote w:id="71">
    <w:p w14:paraId="0819BDFB">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Style w:val="34"/>
          <w:sz w:val="21"/>
          <w:szCs w:val="21"/>
        </w:rPr>
        <w:t>在中央和国家机关党的建设工作会议上</w:t>
      </w:r>
      <w:r>
        <w:rPr>
          <w:rStyle w:val="34"/>
          <w:rFonts w:hint="eastAsia"/>
          <w:sz w:val="21"/>
          <w:szCs w:val="21"/>
        </w:rPr>
        <w:t>的讲话</w:t>
      </w:r>
      <w:r>
        <w:rPr>
          <w:rStyle w:val="34"/>
          <w:sz w:val="21"/>
          <w:szCs w:val="21"/>
        </w:rPr>
        <w:t>》，《</w:t>
      </w:r>
      <w:r>
        <w:rPr>
          <w:rStyle w:val="34"/>
          <w:rFonts w:hint="eastAsia"/>
          <w:sz w:val="21"/>
          <w:szCs w:val="21"/>
        </w:rPr>
        <w:t>人民日报</w:t>
      </w:r>
      <w:r>
        <w:rPr>
          <w:rStyle w:val="34"/>
          <w:sz w:val="21"/>
          <w:szCs w:val="21"/>
        </w:rPr>
        <w:t>》2019</w:t>
      </w:r>
      <w:r>
        <w:rPr>
          <w:rStyle w:val="34"/>
          <w:rFonts w:hint="eastAsia"/>
          <w:sz w:val="21"/>
          <w:szCs w:val="21"/>
        </w:rPr>
        <w:t>年</w:t>
      </w:r>
      <w:r>
        <w:rPr>
          <w:rStyle w:val="34"/>
          <w:sz w:val="21"/>
          <w:szCs w:val="21"/>
        </w:rPr>
        <w:t>7</w:t>
      </w:r>
      <w:r>
        <w:rPr>
          <w:rStyle w:val="34"/>
          <w:rFonts w:hint="eastAsia"/>
          <w:sz w:val="21"/>
          <w:szCs w:val="21"/>
        </w:rPr>
        <w:t>月</w:t>
      </w:r>
      <w:r>
        <w:rPr>
          <w:rStyle w:val="34"/>
          <w:sz w:val="21"/>
          <w:szCs w:val="21"/>
        </w:rPr>
        <w:t>18</w:t>
      </w:r>
      <w:r>
        <w:rPr>
          <w:rStyle w:val="34"/>
          <w:rFonts w:hint="eastAsia"/>
          <w:sz w:val="21"/>
          <w:szCs w:val="21"/>
        </w:rPr>
        <w:t>日</w:t>
      </w:r>
      <w:r>
        <w:rPr>
          <w:rStyle w:val="34"/>
          <w:sz w:val="21"/>
          <w:szCs w:val="21"/>
        </w:rPr>
        <w:t>。</w:t>
      </w:r>
    </w:p>
  </w:footnote>
  <w:footnote w:id="72">
    <w:p w14:paraId="3DE59270">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Style w:val="34"/>
          <w:sz w:val="21"/>
          <w:szCs w:val="21"/>
        </w:rPr>
        <w:t>在同中央党校县委书记研修班学员座谈</w:t>
      </w:r>
      <w:r>
        <w:rPr>
          <w:rStyle w:val="34"/>
          <w:rFonts w:hint="eastAsia"/>
          <w:sz w:val="21"/>
          <w:szCs w:val="21"/>
        </w:rPr>
        <w:t>上的讲话</w:t>
      </w:r>
      <w:r>
        <w:rPr>
          <w:rStyle w:val="34"/>
          <w:sz w:val="21"/>
          <w:szCs w:val="21"/>
        </w:rPr>
        <w:t>》，《</w:t>
      </w:r>
      <w:r>
        <w:rPr>
          <w:rStyle w:val="34"/>
          <w:rFonts w:hint="eastAsia"/>
          <w:sz w:val="21"/>
          <w:szCs w:val="21"/>
        </w:rPr>
        <w:t>人民日报</w:t>
      </w:r>
      <w:r>
        <w:rPr>
          <w:rStyle w:val="34"/>
          <w:sz w:val="21"/>
          <w:szCs w:val="21"/>
        </w:rPr>
        <w:t>》2015</w:t>
      </w:r>
      <w:r>
        <w:rPr>
          <w:rStyle w:val="34"/>
          <w:rFonts w:hint="eastAsia"/>
          <w:sz w:val="21"/>
          <w:szCs w:val="21"/>
        </w:rPr>
        <w:t>年</w:t>
      </w:r>
      <w:r>
        <w:rPr>
          <w:rStyle w:val="34"/>
          <w:sz w:val="21"/>
          <w:szCs w:val="21"/>
        </w:rPr>
        <w:t>1</w:t>
      </w:r>
      <w:r>
        <w:rPr>
          <w:rStyle w:val="34"/>
          <w:rFonts w:hint="eastAsia"/>
          <w:sz w:val="21"/>
          <w:szCs w:val="21"/>
        </w:rPr>
        <w:t>月</w:t>
      </w:r>
      <w:r>
        <w:rPr>
          <w:rStyle w:val="34"/>
          <w:sz w:val="21"/>
          <w:szCs w:val="21"/>
        </w:rPr>
        <w:t>12</w:t>
      </w:r>
      <w:r>
        <w:rPr>
          <w:rStyle w:val="34"/>
          <w:rFonts w:hint="eastAsia"/>
          <w:sz w:val="21"/>
          <w:szCs w:val="21"/>
        </w:rPr>
        <w:t>日</w:t>
      </w:r>
      <w:r>
        <w:rPr>
          <w:rStyle w:val="34"/>
          <w:sz w:val="21"/>
          <w:szCs w:val="21"/>
        </w:rPr>
        <w:t>。</w:t>
      </w:r>
    </w:p>
  </w:footnote>
  <w:footnote w:id="73">
    <w:p w14:paraId="32973381">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sz w:val="21"/>
          <w:szCs w:val="21"/>
        </w:rPr>
        <w:t>《</w:t>
      </w:r>
      <w:r>
        <w:rPr>
          <w:rFonts w:hint="eastAsia"/>
          <w:sz w:val="21"/>
          <w:szCs w:val="21"/>
        </w:rPr>
        <w:t>毛泽东选集</w:t>
      </w:r>
      <w:r>
        <w:rPr>
          <w:sz w:val="21"/>
          <w:szCs w:val="21"/>
        </w:rPr>
        <w:t>》</w:t>
      </w:r>
      <w:r>
        <w:rPr>
          <w:rFonts w:hint="eastAsia"/>
          <w:sz w:val="21"/>
          <w:szCs w:val="21"/>
        </w:rPr>
        <w:t>第</w:t>
      </w:r>
      <w:r>
        <w:rPr>
          <w:sz w:val="21"/>
          <w:szCs w:val="21"/>
        </w:rPr>
        <w:t>2</w:t>
      </w:r>
      <w:r>
        <w:rPr>
          <w:rFonts w:hint="eastAsia"/>
          <w:sz w:val="21"/>
          <w:szCs w:val="21"/>
        </w:rPr>
        <w:t>卷</w:t>
      </w:r>
      <w:r>
        <w:rPr>
          <w:sz w:val="21"/>
          <w:szCs w:val="21"/>
        </w:rPr>
        <w:t>，</w:t>
      </w:r>
      <w:r>
        <w:rPr>
          <w:rFonts w:hint="eastAsia"/>
          <w:sz w:val="21"/>
          <w:szCs w:val="21"/>
        </w:rPr>
        <w:t>人民出版社</w:t>
      </w:r>
      <w:r>
        <w:rPr>
          <w:sz w:val="21"/>
          <w:szCs w:val="21"/>
        </w:rPr>
        <w:t>1991</w:t>
      </w:r>
      <w:r>
        <w:rPr>
          <w:rFonts w:hint="eastAsia"/>
          <w:sz w:val="21"/>
          <w:szCs w:val="21"/>
        </w:rPr>
        <w:t>年版</w:t>
      </w:r>
      <w:r>
        <w:rPr>
          <w:sz w:val="21"/>
          <w:szCs w:val="21"/>
        </w:rPr>
        <w:t>，</w:t>
      </w:r>
      <w:r>
        <w:rPr>
          <w:rFonts w:hint="eastAsia"/>
          <w:sz w:val="21"/>
          <w:szCs w:val="21"/>
        </w:rPr>
        <w:t>第</w:t>
      </w:r>
      <w:r>
        <w:rPr>
          <w:sz w:val="21"/>
          <w:szCs w:val="21"/>
        </w:rPr>
        <w:t>522</w:t>
      </w:r>
      <w:r>
        <w:rPr>
          <w:rFonts w:hint="eastAsia"/>
          <w:sz w:val="21"/>
          <w:szCs w:val="21"/>
        </w:rPr>
        <w:t>页</w:t>
      </w:r>
      <w:r>
        <w:rPr>
          <w:sz w:val="21"/>
          <w:szCs w:val="21"/>
        </w:rPr>
        <w:t>。</w:t>
      </w:r>
    </w:p>
  </w:footnote>
  <w:footnote w:id="74">
    <w:p w14:paraId="68D2BB1D">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w:t>
      </w:r>
      <w:r>
        <w:rPr>
          <w:rStyle w:val="34"/>
          <w:sz w:val="21"/>
          <w:szCs w:val="21"/>
        </w:rPr>
        <w:t>党的十九届六中全会第二次全体会议</w:t>
      </w:r>
      <w:r>
        <w:rPr>
          <w:rStyle w:val="34"/>
          <w:rFonts w:hint="eastAsia"/>
          <w:sz w:val="21"/>
          <w:szCs w:val="21"/>
        </w:rPr>
        <w:t>的讲话</w:t>
      </w:r>
      <w:r>
        <w:rPr>
          <w:rStyle w:val="34"/>
          <w:sz w:val="21"/>
          <w:szCs w:val="21"/>
        </w:rPr>
        <w:t>》，《</w:t>
      </w:r>
      <w:r>
        <w:rPr>
          <w:rStyle w:val="34"/>
          <w:rFonts w:hint="eastAsia"/>
          <w:sz w:val="21"/>
          <w:szCs w:val="21"/>
        </w:rPr>
        <w:t>人民日报</w:t>
      </w:r>
      <w:r>
        <w:rPr>
          <w:rStyle w:val="34"/>
          <w:sz w:val="21"/>
          <w:szCs w:val="21"/>
        </w:rPr>
        <w:t>》2021</w:t>
      </w:r>
      <w:r>
        <w:rPr>
          <w:rStyle w:val="34"/>
          <w:rFonts w:hint="eastAsia"/>
          <w:sz w:val="21"/>
          <w:szCs w:val="21"/>
        </w:rPr>
        <w:t>年</w:t>
      </w:r>
      <w:r>
        <w:rPr>
          <w:rStyle w:val="34"/>
          <w:sz w:val="21"/>
          <w:szCs w:val="21"/>
        </w:rPr>
        <w:t>11</w:t>
      </w:r>
      <w:r>
        <w:rPr>
          <w:rStyle w:val="34"/>
          <w:rFonts w:hint="eastAsia"/>
          <w:sz w:val="21"/>
          <w:szCs w:val="21"/>
        </w:rPr>
        <w:t>月</w:t>
      </w:r>
      <w:r>
        <w:rPr>
          <w:rStyle w:val="34"/>
          <w:sz w:val="21"/>
          <w:szCs w:val="21"/>
        </w:rPr>
        <w:t>11</w:t>
      </w:r>
      <w:r>
        <w:rPr>
          <w:rStyle w:val="34"/>
          <w:rFonts w:hint="eastAsia"/>
          <w:sz w:val="21"/>
          <w:szCs w:val="21"/>
        </w:rPr>
        <w:t>日</w:t>
      </w:r>
      <w:r>
        <w:rPr>
          <w:rStyle w:val="34"/>
          <w:sz w:val="21"/>
          <w:szCs w:val="21"/>
        </w:rPr>
        <w:t>。</w:t>
      </w:r>
    </w:p>
  </w:footnote>
  <w:footnote w:id="75">
    <w:p w14:paraId="265F4C7C">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在中央政治局民主生活会上的讲话</w:t>
      </w:r>
      <w:r>
        <w:rPr>
          <w:sz w:val="21"/>
          <w:szCs w:val="21"/>
        </w:rPr>
        <w:t>》，《</w:t>
      </w:r>
      <w:r>
        <w:rPr>
          <w:rFonts w:hint="eastAsia"/>
          <w:sz w:val="21"/>
          <w:szCs w:val="21"/>
        </w:rPr>
        <w:t>人民日报</w:t>
      </w:r>
      <w:r>
        <w:rPr>
          <w:sz w:val="21"/>
          <w:szCs w:val="21"/>
        </w:rPr>
        <w:t>》</w:t>
      </w:r>
      <w:r>
        <w:rPr>
          <w:rFonts w:hint="eastAsia"/>
          <w:sz w:val="21"/>
          <w:szCs w:val="21"/>
        </w:rPr>
        <w:t>2017年12月25日至26日</w:t>
      </w:r>
      <w:r>
        <w:rPr>
          <w:sz w:val="21"/>
          <w:szCs w:val="21"/>
        </w:rPr>
        <w:t>。</w:t>
      </w:r>
    </w:p>
  </w:footnote>
  <w:footnote w:id="76">
    <w:p w14:paraId="69DF7F2E">
      <w:pPr>
        <w:keepNext w:val="0"/>
        <w:keepLines w:val="0"/>
        <w:pageBreakBefore w:val="0"/>
        <w:widowControl/>
        <w:kinsoku/>
        <w:wordWrap/>
        <w:overflowPunct/>
        <w:topLinePunct w:val="0"/>
        <w:autoSpaceDE/>
        <w:autoSpaceDN/>
        <w:bidi w:val="0"/>
        <w:adjustRightInd/>
        <w:ind w:firstLine="420" w:firstLineChars="200"/>
        <w:jc w:val="left"/>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在河北调研指导党的群众路线教育实践活动时的讲话》</w:t>
      </w:r>
      <w:r>
        <w:rPr>
          <w:sz w:val="21"/>
          <w:szCs w:val="21"/>
        </w:rPr>
        <w:t>，《</w:t>
      </w:r>
      <w:r>
        <w:rPr>
          <w:rFonts w:hint="eastAsia"/>
          <w:sz w:val="21"/>
          <w:szCs w:val="21"/>
        </w:rPr>
        <w:t>人民日报</w:t>
      </w:r>
      <w:r>
        <w:rPr>
          <w:sz w:val="21"/>
          <w:szCs w:val="21"/>
        </w:rPr>
        <w:t>》</w:t>
      </w:r>
      <w:r>
        <w:rPr>
          <w:rFonts w:hint="eastAsia"/>
          <w:sz w:val="21"/>
          <w:szCs w:val="21"/>
        </w:rPr>
        <w:t>2013年7月11日</w:t>
      </w:r>
      <w:r>
        <w:rPr>
          <w:sz w:val="21"/>
          <w:szCs w:val="21"/>
        </w:rPr>
        <w:t>-</w:t>
      </w:r>
      <w:r>
        <w:rPr>
          <w:rFonts w:hint="eastAsia"/>
          <w:sz w:val="21"/>
          <w:szCs w:val="21"/>
        </w:rPr>
        <w:t>12日</w:t>
      </w:r>
      <w:r>
        <w:rPr>
          <w:sz w:val="21"/>
          <w:szCs w:val="21"/>
        </w:rPr>
        <w:t>。</w:t>
      </w:r>
    </w:p>
  </w:footnote>
  <w:footnote w:id="77">
    <w:p w14:paraId="25BAF1AC">
      <w:pPr>
        <w:pStyle w:val="11"/>
        <w:keepNext w:val="0"/>
        <w:keepLines w:val="0"/>
        <w:pageBreakBefore w:val="0"/>
        <w:kinsoku/>
        <w:wordWrap/>
        <w:overflowPunct/>
        <w:topLinePunct w:val="0"/>
        <w:autoSpaceDE/>
        <w:autoSpaceDN/>
        <w:bidi w:val="0"/>
        <w:adjustRightInd/>
        <w:ind w:firstLine="420" w:firstLineChars="200"/>
        <w:textAlignment w:val="auto"/>
      </w:pPr>
      <w:r>
        <w:rPr>
          <w:sz w:val="21"/>
          <w:szCs w:val="21"/>
          <w:vertAlign w:val="superscript"/>
        </w:rPr>
        <w:footnoteRef/>
      </w:r>
      <w:r>
        <w:rPr>
          <w:rFonts w:hint="eastAsia"/>
          <w:sz w:val="21"/>
          <w:szCs w:val="21"/>
          <w:lang w:val="en-US" w:eastAsia="zh-CN"/>
        </w:rPr>
        <w:t xml:space="preserve"> </w:t>
      </w:r>
      <w:r>
        <w:rPr>
          <w:rFonts w:hint="eastAsia"/>
          <w:sz w:val="21"/>
          <w:szCs w:val="21"/>
        </w:rPr>
        <w:t>毛泽东：《一九五七年夏季的形势》（1957年7月），《建国以来毛泽东文稿》第6册，中央文献出版社1992年版，第547页</w:t>
      </w:r>
    </w:p>
  </w:footnote>
  <w:footnote w:id="78">
    <w:p w14:paraId="68C7835B">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《调研工作务求“深、实、细、准、效”》（2003年2月25日），《之江新语》，浙江人民出版社，第1页</w:t>
      </w:r>
      <w:r>
        <w:rPr>
          <w:sz w:val="21"/>
          <w:szCs w:val="21"/>
        </w:rPr>
        <w:t>。</w:t>
      </w:r>
    </w:p>
  </w:footnote>
  <w:footnote w:id="79">
    <w:p w14:paraId="2249C5BF">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在中央党校建校80周年庆祝大会暨2013年春季学期开学典礼上的讲话</w:t>
      </w:r>
      <w:r>
        <w:rPr>
          <w:sz w:val="21"/>
          <w:szCs w:val="21"/>
        </w:rPr>
        <w:t>》，《</w:t>
      </w:r>
      <w:r>
        <w:rPr>
          <w:rFonts w:hint="eastAsia"/>
          <w:sz w:val="21"/>
          <w:szCs w:val="21"/>
        </w:rPr>
        <w:t>人民日报</w:t>
      </w:r>
      <w:r>
        <w:rPr>
          <w:sz w:val="21"/>
          <w:szCs w:val="21"/>
        </w:rPr>
        <w:t>》2013</w:t>
      </w:r>
      <w:r>
        <w:rPr>
          <w:rFonts w:hint="eastAsia"/>
          <w:sz w:val="21"/>
          <w:szCs w:val="21"/>
        </w:rPr>
        <w:t>年</w:t>
      </w:r>
      <w:r>
        <w:rPr>
          <w:sz w:val="21"/>
          <w:szCs w:val="21"/>
        </w:rPr>
        <w:t>3</w:t>
      </w:r>
      <w:r>
        <w:rPr>
          <w:rFonts w:hint="eastAsia"/>
          <w:sz w:val="21"/>
          <w:szCs w:val="21"/>
        </w:rPr>
        <w:t>月</w:t>
      </w:r>
      <w:r>
        <w:rPr>
          <w:sz w:val="21"/>
          <w:szCs w:val="21"/>
        </w:rPr>
        <w:t>1</w:t>
      </w:r>
      <w:r>
        <w:rPr>
          <w:rFonts w:hint="eastAsia"/>
          <w:sz w:val="21"/>
          <w:szCs w:val="21"/>
        </w:rPr>
        <w:t>日</w:t>
      </w:r>
      <w:r>
        <w:rPr>
          <w:sz w:val="21"/>
          <w:szCs w:val="21"/>
        </w:rPr>
        <w:t>。</w:t>
      </w:r>
    </w:p>
  </w:footnote>
  <w:footnote w:id="80">
    <w:p w14:paraId="7EAC83C7">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在纪念马克思诞辰200周年大会上的讲话</w:t>
      </w:r>
      <w:r>
        <w:rPr>
          <w:sz w:val="21"/>
          <w:szCs w:val="21"/>
        </w:rPr>
        <w:t>》，《</w:t>
      </w:r>
      <w:r>
        <w:rPr>
          <w:rFonts w:hint="eastAsia"/>
          <w:sz w:val="21"/>
          <w:szCs w:val="21"/>
        </w:rPr>
        <w:t>人民日报</w:t>
      </w:r>
      <w:r>
        <w:rPr>
          <w:sz w:val="21"/>
          <w:szCs w:val="21"/>
        </w:rPr>
        <w:t>》2018</w:t>
      </w:r>
      <w:r>
        <w:rPr>
          <w:rFonts w:hint="eastAsia"/>
          <w:sz w:val="21"/>
          <w:szCs w:val="21"/>
        </w:rPr>
        <w:t>年</w:t>
      </w:r>
      <w:r>
        <w:rPr>
          <w:sz w:val="21"/>
          <w:szCs w:val="21"/>
        </w:rPr>
        <w:t>5</w:t>
      </w:r>
      <w:r>
        <w:rPr>
          <w:rFonts w:hint="eastAsia"/>
          <w:sz w:val="21"/>
          <w:szCs w:val="21"/>
        </w:rPr>
        <w:t>月</w:t>
      </w:r>
      <w:r>
        <w:rPr>
          <w:sz w:val="21"/>
          <w:szCs w:val="21"/>
        </w:rPr>
        <w:t>4</w:t>
      </w:r>
      <w:r>
        <w:rPr>
          <w:rFonts w:hint="eastAsia"/>
          <w:sz w:val="21"/>
          <w:szCs w:val="21"/>
        </w:rPr>
        <w:t>日</w:t>
      </w:r>
      <w:r>
        <w:rPr>
          <w:sz w:val="21"/>
          <w:szCs w:val="21"/>
        </w:rPr>
        <w:t>。</w:t>
      </w:r>
    </w:p>
  </w:footnote>
  <w:footnote w:id="81">
    <w:p w14:paraId="7F58EC42">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《学习马克思主义基本理论是共产党人的必修课》</w:t>
      </w:r>
      <w:r>
        <w:rPr>
          <w:sz w:val="21"/>
          <w:szCs w:val="21"/>
        </w:rPr>
        <w:t>，《</w:t>
      </w:r>
      <w:r>
        <w:rPr>
          <w:rFonts w:hint="eastAsia"/>
          <w:sz w:val="21"/>
          <w:szCs w:val="21"/>
        </w:rPr>
        <w:t>求是</w:t>
      </w:r>
      <w:r>
        <w:rPr>
          <w:sz w:val="21"/>
          <w:szCs w:val="21"/>
        </w:rPr>
        <w:t>》2019</w:t>
      </w:r>
      <w:r>
        <w:rPr>
          <w:rFonts w:hint="eastAsia"/>
          <w:sz w:val="21"/>
          <w:szCs w:val="21"/>
        </w:rPr>
        <w:t>年第</w:t>
      </w:r>
      <w:r>
        <w:rPr>
          <w:sz w:val="21"/>
          <w:szCs w:val="21"/>
        </w:rPr>
        <w:t>22</w:t>
      </w:r>
      <w:r>
        <w:rPr>
          <w:rFonts w:hint="eastAsia"/>
          <w:sz w:val="21"/>
          <w:szCs w:val="21"/>
        </w:rPr>
        <w:t>期</w:t>
      </w:r>
      <w:r>
        <w:rPr>
          <w:sz w:val="21"/>
          <w:szCs w:val="21"/>
        </w:rPr>
        <w:t>。</w:t>
      </w:r>
    </w:p>
  </w:footnote>
  <w:footnote w:id="82">
    <w:p w14:paraId="63BB250C">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《在河北调研指导党的群众路线教育实践活动时的讲话》</w:t>
      </w:r>
      <w:r>
        <w:rPr>
          <w:sz w:val="21"/>
          <w:szCs w:val="21"/>
        </w:rPr>
        <w:t>，《</w:t>
      </w:r>
      <w:r>
        <w:rPr>
          <w:rFonts w:hint="eastAsia"/>
          <w:sz w:val="21"/>
          <w:szCs w:val="21"/>
        </w:rPr>
        <w:t>人民日报</w:t>
      </w:r>
      <w:r>
        <w:rPr>
          <w:sz w:val="21"/>
          <w:szCs w:val="21"/>
        </w:rPr>
        <w:t>》</w:t>
      </w:r>
      <w:r>
        <w:rPr>
          <w:rFonts w:hint="eastAsia"/>
          <w:sz w:val="21"/>
          <w:szCs w:val="21"/>
        </w:rPr>
        <w:t>2013年7月11日</w:t>
      </w:r>
      <w:r>
        <w:rPr>
          <w:sz w:val="21"/>
          <w:szCs w:val="21"/>
        </w:rPr>
        <w:t>—</w:t>
      </w:r>
      <w:r>
        <w:rPr>
          <w:rFonts w:hint="eastAsia"/>
          <w:sz w:val="21"/>
          <w:szCs w:val="21"/>
        </w:rPr>
        <w:t>12日</w:t>
      </w:r>
      <w:r>
        <w:rPr>
          <w:sz w:val="21"/>
          <w:szCs w:val="21"/>
        </w:rPr>
        <w:t>。</w:t>
      </w:r>
    </w:p>
  </w:footnote>
  <w:footnote w:id="83">
    <w:p w14:paraId="5FA2FFAF">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《准确把握党的群众路线教育实践活动的指导思想和目标要求》（2013年6月18日），《习近平谈治国理政》第一卷，外文出版社2018年版，第374-375页</w:t>
      </w:r>
      <w:r>
        <w:rPr>
          <w:sz w:val="21"/>
          <w:szCs w:val="21"/>
        </w:rPr>
        <w:t>。</w:t>
      </w:r>
    </w:p>
  </w:footnote>
  <w:footnote w:id="84">
    <w:p w14:paraId="31693CB9">
      <w:pPr>
        <w:keepNext w:val="0"/>
        <w:keepLines w:val="0"/>
        <w:pageBreakBefore w:val="0"/>
        <w:widowControl/>
        <w:kinsoku/>
        <w:wordWrap/>
        <w:overflowPunct/>
        <w:topLinePunct w:val="0"/>
        <w:autoSpaceDE/>
        <w:autoSpaceDN/>
        <w:bidi w:val="0"/>
        <w:adjustRightInd/>
        <w:ind w:firstLine="420" w:firstLineChars="200"/>
        <w:jc w:val="left"/>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在2021年春季学期中央党校（国家行政学院）中青年干部培训班开班式上的讲话</w:t>
      </w:r>
      <w:r>
        <w:rPr>
          <w:sz w:val="21"/>
          <w:szCs w:val="21"/>
        </w:rPr>
        <w:t>》，《</w:t>
      </w:r>
      <w:r>
        <w:rPr>
          <w:rFonts w:hint="eastAsia"/>
          <w:sz w:val="21"/>
          <w:szCs w:val="21"/>
        </w:rPr>
        <w:t>人民日报</w:t>
      </w:r>
      <w:r>
        <w:rPr>
          <w:sz w:val="21"/>
          <w:szCs w:val="21"/>
        </w:rPr>
        <w:t>》2021</w:t>
      </w:r>
      <w:r>
        <w:rPr>
          <w:rFonts w:hint="eastAsia"/>
          <w:sz w:val="21"/>
          <w:szCs w:val="21"/>
        </w:rPr>
        <w:t>年</w:t>
      </w:r>
      <w:r>
        <w:rPr>
          <w:sz w:val="21"/>
          <w:szCs w:val="21"/>
        </w:rPr>
        <w:t>3</w:t>
      </w:r>
      <w:r>
        <w:rPr>
          <w:rFonts w:hint="eastAsia"/>
          <w:sz w:val="21"/>
          <w:szCs w:val="21"/>
        </w:rPr>
        <w:t>月</w:t>
      </w:r>
      <w:r>
        <w:rPr>
          <w:sz w:val="21"/>
          <w:szCs w:val="21"/>
        </w:rPr>
        <w:t>1</w:t>
      </w:r>
      <w:r>
        <w:rPr>
          <w:rFonts w:hint="eastAsia"/>
          <w:sz w:val="21"/>
          <w:szCs w:val="21"/>
        </w:rPr>
        <w:t>日</w:t>
      </w:r>
      <w:r>
        <w:rPr>
          <w:sz w:val="21"/>
          <w:szCs w:val="21"/>
        </w:rPr>
        <w:t>。</w:t>
      </w:r>
    </w:p>
  </w:footnote>
  <w:footnote w:id="85">
    <w:p w14:paraId="78917379">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中共中央文献研究室编：《毛泽东文集》第7卷，北京：人民出版社1</w:t>
      </w:r>
      <w:r>
        <w:rPr>
          <w:sz w:val="21"/>
          <w:szCs w:val="21"/>
        </w:rPr>
        <w:t>999</w:t>
      </w:r>
      <w:r>
        <w:rPr>
          <w:rFonts w:hint="eastAsia"/>
          <w:sz w:val="21"/>
          <w:szCs w:val="21"/>
        </w:rPr>
        <w:t>年版，第2</w:t>
      </w:r>
      <w:r>
        <w:rPr>
          <w:sz w:val="21"/>
          <w:szCs w:val="21"/>
        </w:rPr>
        <w:t>10</w:t>
      </w:r>
      <w:r>
        <w:rPr>
          <w:rFonts w:hint="eastAsia"/>
          <w:sz w:val="21"/>
          <w:szCs w:val="21"/>
        </w:rPr>
        <w:t>页。</w:t>
      </w:r>
    </w:p>
  </w:footnote>
  <w:footnote w:id="86">
    <w:p w14:paraId="7BE3918C">
      <w:pPr>
        <w:pStyle w:val="11"/>
        <w:keepNext w:val="0"/>
        <w:keepLines w:val="0"/>
        <w:pageBreakBefore w:val="0"/>
        <w:kinsoku/>
        <w:wordWrap/>
        <w:overflowPunct/>
        <w:topLinePunct w:val="0"/>
        <w:autoSpaceDE/>
        <w:autoSpaceDN/>
        <w:bidi w:val="0"/>
        <w:adjustRightInd/>
        <w:ind w:firstLine="420" w:firstLineChars="200"/>
        <w:textAlignment w:val="auto"/>
      </w:pPr>
      <w:r>
        <w:rPr>
          <w:rStyle w:val="20"/>
          <w:sz w:val="21"/>
          <w:szCs w:val="21"/>
        </w:rPr>
        <w:footnoteRef/>
      </w:r>
      <w:r>
        <w:rPr>
          <w:rFonts w:hint="eastAsia"/>
          <w:sz w:val="21"/>
          <w:szCs w:val="21"/>
          <w:lang w:val="en-US" w:eastAsia="zh-CN"/>
        </w:rPr>
        <w:t xml:space="preserve"> </w:t>
      </w:r>
      <w:r>
        <w:rPr>
          <w:rFonts w:hint="eastAsia"/>
          <w:sz w:val="21"/>
          <w:szCs w:val="21"/>
        </w:rPr>
        <w:t>习近平</w:t>
      </w:r>
      <w:r>
        <w:rPr>
          <w:sz w:val="21"/>
          <w:szCs w:val="21"/>
        </w:rPr>
        <w:t>：《</w:t>
      </w:r>
      <w:r>
        <w:rPr>
          <w:rFonts w:hint="eastAsia"/>
          <w:sz w:val="21"/>
          <w:szCs w:val="21"/>
        </w:rPr>
        <w:t>在党的十九届六中全会第二次全体会议上的讲话</w:t>
      </w:r>
      <w:r>
        <w:rPr>
          <w:sz w:val="21"/>
          <w:szCs w:val="21"/>
        </w:rPr>
        <w:t>》，《</w:t>
      </w:r>
      <w:r>
        <w:rPr>
          <w:rFonts w:hint="eastAsia"/>
          <w:sz w:val="21"/>
          <w:szCs w:val="21"/>
        </w:rPr>
        <w:t>人民日报</w:t>
      </w:r>
      <w:r>
        <w:rPr>
          <w:sz w:val="21"/>
          <w:szCs w:val="21"/>
        </w:rPr>
        <w:t>》，2021</w:t>
      </w:r>
      <w:r>
        <w:rPr>
          <w:rFonts w:hint="eastAsia"/>
          <w:sz w:val="21"/>
          <w:szCs w:val="21"/>
        </w:rPr>
        <w:t>年</w:t>
      </w:r>
      <w:r>
        <w:rPr>
          <w:sz w:val="21"/>
          <w:szCs w:val="21"/>
        </w:rPr>
        <w:t>11</w:t>
      </w:r>
      <w:r>
        <w:rPr>
          <w:rFonts w:hint="eastAsia"/>
          <w:sz w:val="21"/>
          <w:szCs w:val="21"/>
        </w:rPr>
        <w:t>月</w:t>
      </w:r>
      <w:r>
        <w:rPr>
          <w:sz w:val="21"/>
          <w:szCs w:val="21"/>
        </w:rPr>
        <w:t>11</w:t>
      </w:r>
      <w:r>
        <w:rPr>
          <w:rFonts w:hint="eastAsia"/>
          <w:sz w:val="21"/>
          <w:szCs w:val="21"/>
        </w:rPr>
        <w:t>日</w:t>
      </w:r>
      <w:r>
        <w:rPr>
          <w:sz w:val="21"/>
          <w:szCs w:val="21"/>
        </w:rPr>
        <w:t>。</w:t>
      </w:r>
    </w:p>
  </w:footnote>
  <w:footnote w:id="87">
    <w:p w14:paraId="6975226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《列宁选集》第4卷，北京:人民出版社，2012年，第299页。</w:t>
      </w:r>
    </w:p>
  </w:footnote>
  <w:footnote w:id="88">
    <w:p w14:paraId="5786CDA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习近平:《辩证唯物主义是中国共产党人的世界观和方法论》，《求是》201</w:t>
      </w:r>
      <w:r>
        <w:rPr>
          <w:rFonts w:hint="default" w:ascii="Times New Roman" w:hAnsi="Times New Roman" w:eastAsia="宋体" w:cs="Times New Roman"/>
          <w:sz w:val="21"/>
          <w:szCs w:val="21"/>
        </w:rPr>
        <w:t>9年第1期。</w:t>
      </w:r>
    </w:p>
  </w:footnote>
  <w:footnote w:id="89">
    <w:p w14:paraId="480538E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中共中央宣传部:《习近平总书记系列重要讲话读本》，北京:人</w:t>
      </w:r>
      <w:r>
        <w:rPr>
          <w:rFonts w:hint="default" w:ascii="Times New Roman" w:hAnsi="Times New Roman" w:eastAsia="宋体" w:cs="Times New Roman"/>
          <w:spacing w:val="1"/>
          <w:sz w:val="21"/>
          <w:szCs w:val="21"/>
        </w:rPr>
        <w:t>民出版社、学习出版社，2014年，第175页。</w:t>
      </w:r>
    </w:p>
  </w:footnote>
  <w:footnote w:id="90">
    <w:p w14:paraId="537D2D8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习近平:《辩证唯物主义是中国共产党人的世界观和方法论》，《求是》201</w:t>
      </w:r>
      <w:r>
        <w:rPr>
          <w:rFonts w:hint="default" w:ascii="Times New Roman" w:hAnsi="Times New Roman" w:eastAsia="宋体" w:cs="Times New Roman"/>
          <w:sz w:val="21"/>
          <w:szCs w:val="21"/>
        </w:rPr>
        <w:t>9年第1期</w:t>
      </w:r>
    </w:p>
  </w:footnote>
  <w:footnote w:id="91">
    <w:p w14:paraId="3D4BA4B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3"/>
          <w:sz w:val="21"/>
          <w:szCs w:val="21"/>
        </w:rPr>
        <w:t>代表大会上的报告》，北京:人民出版社，2022年，第17、18－19页。</w:t>
      </w:r>
    </w:p>
  </w:footnote>
  <w:footnote w:id="92">
    <w:p w14:paraId="376A352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《马克思恩格斯选集》第1卷，北京:人民出版社，20</w:t>
      </w:r>
      <w:r>
        <w:rPr>
          <w:rFonts w:hint="default" w:ascii="Times New Roman" w:hAnsi="Times New Roman" w:eastAsia="宋体" w:cs="Times New Roman"/>
          <w:spacing w:val="-1"/>
          <w:sz w:val="21"/>
          <w:szCs w:val="21"/>
        </w:rPr>
        <w:t>12年，第413页。</w:t>
      </w:r>
    </w:p>
  </w:footnote>
  <w:footnote w:id="93">
    <w:p w14:paraId="405EEE9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习近平:《在纪念马克思诞辰200周年大会上的讲话》，北京:人民出版社，2018年，第8页。</w:t>
      </w:r>
    </w:p>
    <w:p w14:paraId="235CF9D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p>
  </w:footnote>
  <w:footnote w:id="94">
    <w:p w14:paraId="29A58A4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《习近平关于社会主义经济建设论述摘编》，北京:中央文献出版社，2017年，第19页。</w:t>
      </w:r>
    </w:p>
  </w:footnote>
  <w:footnote w:id="95">
    <w:p w14:paraId="32C1600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习近平:《在庆祝中国共产</w:t>
      </w:r>
      <w:r>
        <w:rPr>
          <w:rFonts w:hint="default" w:ascii="Times New Roman" w:hAnsi="Times New Roman" w:eastAsia="宋体" w:cs="Times New Roman"/>
          <w:sz w:val="21"/>
          <w:szCs w:val="21"/>
        </w:rPr>
        <w:t>党成立95周年大会上的讲话》，北京:人民出版社，2016年，第18页。</w:t>
      </w:r>
    </w:p>
  </w:footnote>
  <w:footnote w:id="96">
    <w:p w14:paraId="582B28C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《习近平谈治国理政》第4卷，北京:外文出版社，2022年，</w:t>
      </w:r>
      <w:r>
        <w:rPr>
          <w:rFonts w:hint="default" w:ascii="Times New Roman" w:hAnsi="Times New Roman" w:eastAsia="宋体" w:cs="Times New Roman"/>
          <w:spacing w:val="-1"/>
          <w:sz w:val="21"/>
          <w:szCs w:val="21"/>
        </w:rPr>
        <w:t>第171页。</w:t>
      </w:r>
    </w:p>
  </w:footnote>
  <w:footnote w:id="97">
    <w:p w14:paraId="323BFB9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z w:val="21"/>
          <w:szCs w:val="21"/>
        </w:rPr>
        <w:t>代表大会上的报告》，北京:人民出版社，2022年，第21页。</w:t>
      </w:r>
    </w:p>
  </w:footnote>
  <w:footnote w:id="98">
    <w:p w14:paraId="7F967E6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习近平:《辩证唯物主义是中国共产党人的世界观和方法论》，《求是》201</w:t>
      </w:r>
      <w:r>
        <w:rPr>
          <w:rFonts w:hint="default" w:ascii="Times New Roman" w:hAnsi="Times New Roman" w:eastAsia="宋体" w:cs="Times New Roman"/>
          <w:sz w:val="21"/>
          <w:szCs w:val="21"/>
        </w:rPr>
        <w:t>9年第1期。</w:t>
      </w:r>
    </w:p>
  </w:footnote>
  <w:footnote w:id="99">
    <w:p w14:paraId="11EF791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《习近平关于全面深化改革论述摘编》，北京:中央文献出版社，2014年，第48页。</w:t>
      </w:r>
    </w:p>
  </w:footnote>
  <w:footnote w:id="100">
    <w:p w14:paraId="55E6137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《列宁专题文集·论辩证唯物主义和历史唯物主义》，北京:人民出版社，2009年，</w:t>
      </w:r>
      <w:r>
        <w:rPr>
          <w:rFonts w:hint="default" w:ascii="Times New Roman" w:hAnsi="Times New Roman" w:eastAsia="宋体" w:cs="Times New Roman"/>
          <w:spacing w:val="1"/>
          <w:sz w:val="21"/>
          <w:szCs w:val="21"/>
        </w:rPr>
        <w:t>第209页。</w:t>
      </w:r>
    </w:p>
  </w:footnote>
  <w:footnote w:id="101">
    <w:p w14:paraId="01D0695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《习近平关于全面深化改革论述摘编》</w:t>
      </w:r>
      <w:r>
        <w:rPr>
          <w:rFonts w:hint="default" w:ascii="Times New Roman" w:hAnsi="Times New Roman" w:eastAsia="宋体" w:cs="Times New Roman"/>
          <w:sz w:val="21"/>
          <w:szCs w:val="21"/>
        </w:rPr>
        <w:t>，北京:中央文献出版社，2014年，第33、38页。</w:t>
      </w:r>
    </w:p>
  </w:footnote>
  <w:footnote w:id="102">
    <w:p w14:paraId="4DD293B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习近平:《辩证唯物主义是中国共产党人的世界观和方法论》，《求是》201</w:t>
      </w:r>
      <w:r>
        <w:rPr>
          <w:rFonts w:hint="default" w:ascii="Times New Roman" w:hAnsi="Times New Roman" w:eastAsia="宋体" w:cs="Times New Roman"/>
          <w:sz w:val="21"/>
          <w:szCs w:val="21"/>
        </w:rPr>
        <w:t>9年第1期。</w:t>
      </w:r>
    </w:p>
  </w:footnote>
  <w:footnote w:id="103">
    <w:p w14:paraId="206D40AD">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z w:val="21"/>
          <w:szCs w:val="21"/>
        </w:rPr>
        <w:t>代表大会上的报告》，北京:人民出版社，2022年，第21页。</w:t>
      </w:r>
    </w:p>
    <w:p w14:paraId="4D093C7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p>
  </w:footnote>
  <w:footnote w:id="104">
    <w:p w14:paraId="123F92F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《马克思恩格斯文集》第3卷，北京:人民出版社，2009年，第433页。</w:t>
      </w:r>
    </w:p>
  </w:footnote>
  <w:footnote w:id="105">
    <w:p w14:paraId="50E62A3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《马克思恩格斯文集》第10卷</w:t>
      </w:r>
      <w:r>
        <w:rPr>
          <w:rFonts w:hint="default" w:ascii="Times New Roman" w:hAnsi="Times New Roman" w:eastAsia="宋体" w:cs="Times New Roman"/>
          <w:spacing w:val="-1"/>
          <w:sz w:val="21"/>
          <w:szCs w:val="21"/>
        </w:rPr>
        <w:t>，北京:人民出版社，2009年，第588页。</w:t>
      </w:r>
    </w:p>
  </w:footnote>
  <w:footnote w:id="106">
    <w:p w14:paraId="2324D3A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2"/>
          <w:sz w:val="21"/>
          <w:szCs w:val="21"/>
        </w:rPr>
        <w:t>代表大会上的报告》，北京:人民出版社，2022年，第10、27、19</w:t>
      </w:r>
      <w:r>
        <w:rPr>
          <w:rFonts w:hint="default" w:ascii="Times New Roman" w:hAnsi="Times New Roman" w:eastAsia="宋体" w:cs="Times New Roman"/>
          <w:spacing w:val="-3"/>
          <w:sz w:val="21"/>
          <w:szCs w:val="21"/>
        </w:rPr>
        <w:t>页。</w:t>
      </w:r>
    </w:p>
  </w:footnote>
  <w:footnote w:id="107">
    <w:p w14:paraId="08E295C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1"/>
          <w:sz w:val="21"/>
          <w:szCs w:val="21"/>
        </w:rPr>
        <w:t>代表大会上的报告》，北京:人民出版社，2022年，第29、31页。</w:t>
      </w:r>
    </w:p>
  </w:footnote>
  <w:footnote w:id="108">
    <w:p w14:paraId="2F0CD5E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7"/>
          <w:sz w:val="21"/>
          <w:szCs w:val="21"/>
        </w:rPr>
        <w:t>党的十九大报告只提到做强做优做大国有资本。</w:t>
      </w:r>
    </w:p>
  </w:footnote>
  <w:footnote w:id="109">
    <w:p w14:paraId="5225AF9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1"/>
          <w:sz w:val="21"/>
          <w:szCs w:val="21"/>
        </w:rPr>
        <w:t>代表大会上的报告》，北京:人民出版社，2022年，第28、29页。</w:t>
      </w:r>
    </w:p>
  </w:footnote>
  <w:footnote w:id="110">
    <w:p w14:paraId="1DC45C5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参见鲁保林:《实现共同富裕要坚持什么样的理论———访著名</w:t>
      </w:r>
      <w:r>
        <w:rPr>
          <w:rFonts w:hint="default" w:ascii="Times New Roman" w:hAnsi="Times New Roman" w:eastAsia="宋体" w:cs="Times New Roman"/>
          <w:spacing w:val="-3"/>
          <w:sz w:val="21"/>
          <w:szCs w:val="21"/>
        </w:rPr>
        <w:t>经济学家刘国光学部委员》，《政治经济学研究》2022年第2期。</w:t>
      </w:r>
    </w:p>
  </w:footnote>
  <w:footnote w:id="111">
    <w:p w14:paraId="7F7E9ED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习近平:《在庆祝中国共产党成立100</w:t>
      </w:r>
      <w:r>
        <w:rPr>
          <w:rFonts w:hint="default" w:ascii="Times New Roman" w:hAnsi="Times New Roman" w:eastAsia="宋体" w:cs="Times New Roman"/>
          <w:sz w:val="21"/>
          <w:szCs w:val="21"/>
        </w:rPr>
        <w:t>周年大会上的讲话》，北京:人民出版社，2021年，第12页。</w:t>
      </w:r>
    </w:p>
  </w:footnote>
  <w:footnote w:id="112">
    <w:p w14:paraId="1D22092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2"/>
          <w:sz w:val="21"/>
          <w:szCs w:val="21"/>
        </w:rPr>
        <w:t>代表大会上的报告》，北京:人民出版社，2022年</w:t>
      </w:r>
      <w:r>
        <w:rPr>
          <w:rFonts w:hint="default" w:ascii="Times New Roman" w:hAnsi="Times New Roman" w:eastAsia="宋体" w:cs="Times New Roman"/>
          <w:spacing w:val="-3"/>
          <w:sz w:val="21"/>
          <w:szCs w:val="21"/>
        </w:rPr>
        <w:t>，第22、46－47页。</w:t>
      </w:r>
    </w:p>
  </w:footnote>
  <w:footnote w:id="113">
    <w:p w14:paraId="05405CC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《列宁全集》第42卷，北京:人民出版社，2017年，第381页。</w:t>
      </w:r>
    </w:p>
  </w:footnote>
  <w:footnote w:id="114">
    <w:p w14:paraId="38DFE37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《马克思恩格斯文集》第2卷，北京</w:t>
      </w:r>
      <w:r>
        <w:rPr>
          <w:rFonts w:hint="default" w:ascii="Times New Roman" w:hAnsi="Times New Roman" w:eastAsia="宋体" w:cs="Times New Roman"/>
          <w:sz w:val="21"/>
          <w:szCs w:val="21"/>
        </w:rPr>
        <w:t>:人民出版社，2009年，第52页。</w:t>
      </w:r>
    </w:p>
  </w:footnote>
  <w:footnote w:id="115">
    <w:p w14:paraId="08A37A4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《列宁选集》第3卷，北京:人民出版社，2012年，第605页。</w:t>
      </w:r>
    </w:p>
  </w:footnote>
  <w:footnote w:id="116">
    <w:p w14:paraId="1BBCA4E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《列宁全集》第12卷，北京:人民出</w:t>
      </w:r>
      <w:r>
        <w:rPr>
          <w:rFonts w:hint="default" w:ascii="Times New Roman" w:hAnsi="Times New Roman" w:eastAsia="宋体" w:cs="Times New Roman"/>
          <w:spacing w:val="-2"/>
          <w:sz w:val="21"/>
          <w:szCs w:val="21"/>
        </w:rPr>
        <w:t>版社，2017年，第214页。</w:t>
      </w:r>
    </w:p>
  </w:footnote>
  <w:footnote w:id="117">
    <w:p w14:paraId="073B3D9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《马克思恩格斯全集》第16卷，北京:人民出版社，1964年，第</w:t>
      </w:r>
      <w:r>
        <w:rPr>
          <w:rFonts w:hint="default" w:ascii="Times New Roman" w:hAnsi="Times New Roman" w:eastAsia="宋体" w:cs="Times New Roman"/>
          <w:spacing w:val="-1"/>
          <w:sz w:val="21"/>
          <w:szCs w:val="21"/>
        </w:rPr>
        <w:t>219页。</w:t>
      </w:r>
    </w:p>
  </w:footnote>
  <w:footnote w:id="118">
    <w:p w14:paraId="3952D09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《马克思恩格斯全集》第46卷(下)，北京:人民出版社，1980年，第222页。</w:t>
      </w:r>
    </w:p>
  </w:footnote>
  <w:footnote w:id="119">
    <w:p w14:paraId="5016FC16">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3"/>
          <w:sz w:val="21"/>
          <w:szCs w:val="21"/>
        </w:rPr>
        <w:t>《马克思恩格斯选集》第1卷</w:t>
      </w:r>
      <w:r>
        <w:rPr>
          <w:rFonts w:hint="default" w:ascii="Times New Roman" w:hAnsi="Times New Roman" w:eastAsia="宋体" w:cs="Times New Roman"/>
          <w:spacing w:val="-4"/>
          <w:sz w:val="21"/>
          <w:szCs w:val="21"/>
        </w:rPr>
        <w:t>，北京:人民出版社，2012年，第308页。</w:t>
      </w:r>
    </w:p>
  </w:footnote>
  <w:footnote w:id="120">
    <w:p w14:paraId="564794A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《马克思恩格斯文集》第9卷，北京:人民出版社，2009年，第100页。</w:t>
      </w:r>
    </w:p>
  </w:footnote>
  <w:footnote w:id="121">
    <w:p w14:paraId="7B10386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习近平:《关于坚持和发展中国特色社会主义的几个问题》，《求是》2019年第7期。</w:t>
      </w:r>
    </w:p>
  </w:footnote>
  <w:footnote w:id="122">
    <w:p w14:paraId="53F65DF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《习近平关于全面从严治党论述摘编》，北京:中央文献出版</w:t>
      </w:r>
      <w:r>
        <w:rPr>
          <w:rFonts w:hint="default" w:ascii="Times New Roman" w:hAnsi="Times New Roman" w:eastAsia="宋体" w:cs="Times New Roman"/>
          <w:sz w:val="21"/>
          <w:szCs w:val="21"/>
        </w:rPr>
        <w:t>社，2021年，第11页。</w:t>
      </w:r>
    </w:p>
  </w:footnote>
  <w:footnote w:id="123">
    <w:p w14:paraId="3C55160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z w:val="21"/>
          <w:szCs w:val="21"/>
        </w:rPr>
        <w:t>代表大会上的报告》，北京:人民出版社，2022年，第6页。</w:t>
      </w:r>
    </w:p>
  </w:footnote>
  <w:footnote w:id="124">
    <w:p w14:paraId="7502F3F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1"/>
          <w:sz w:val="21"/>
          <w:szCs w:val="21"/>
        </w:rPr>
        <w:t>代表大会上的报告》，北京:人民出版社，2022年，第66、65页。</w:t>
      </w:r>
    </w:p>
  </w:footnote>
  <w:footnote w:id="125">
    <w:p w14:paraId="40D195A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z w:val="21"/>
          <w:szCs w:val="21"/>
        </w:rPr>
        <w:t>代表大会上的报告》，北京:人民出版社，2022年，第46页。</w:t>
      </w:r>
    </w:p>
  </w:footnote>
  <w:footnote w:id="126">
    <w:p w14:paraId="5EF3915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2"/>
          <w:sz w:val="21"/>
          <w:szCs w:val="21"/>
        </w:rPr>
        <w:t>代表大会上的报告》，北京:人民出版社，2022年，第48－49页。</w:t>
      </w:r>
    </w:p>
  </w:footnote>
  <w:footnote w:id="127">
    <w:p w14:paraId="4CA65AE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z w:val="21"/>
          <w:szCs w:val="21"/>
        </w:rPr>
        <w:t>代表大会上的报告》，北京:人民出版社，2022年，第54页。</w:t>
      </w:r>
    </w:p>
  </w:footnote>
  <w:footnote w:id="128">
    <w:p w14:paraId="6A8E4C0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《马克思恩格斯文集》第1卷，北京:人民出版社，2009年，第63页。</w:t>
      </w:r>
    </w:p>
  </w:footnote>
  <w:footnote w:id="129">
    <w:p w14:paraId="3826275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习近平:《高举中国特色社会主义伟大旗帜为全面建设社会主义现代化国家而团结奋斗———在中国共产党第二十</w:t>
      </w:r>
      <w:r>
        <w:rPr>
          <w:rFonts w:hint="default" w:ascii="Times New Roman" w:hAnsi="Times New Roman" w:eastAsia="宋体" w:cs="Times New Roman"/>
          <w:spacing w:val="5"/>
          <w:sz w:val="21"/>
          <w:szCs w:val="21"/>
        </w:rPr>
        <w:t>次全国</w:t>
      </w:r>
      <w:r>
        <w:rPr>
          <w:rFonts w:hint="default" w:ascii="Times New Roman" w:hAnsi="Times New Roman" w:eastAsia="宋体" w:cs="Times New Roman"/>
          <w:spacing w:val="-1"/>
          <w:sz w:val="21"/>
          <w:szCs w:val="21"/>
        </w:rPr>
        <w:t>代表大会上的报告》，北京:人民出版社，2022年，第16页。</w:t>
      </w:r>
    </w:p>
  </w:footnote>
  <w:footnote w:id="130">
    <w:p w14:paraId="0EA5557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习近平:《更好把握和运用党的百年奋斗历史经验》，《求是》2022年第1</w:t>
      </w:r>
      <w:r>
        <w:rPr>
          <w:rFonts w:hint="default" w:ascii="Times New Roman" w:hAnsi="Times New Roman" w:eastAsia="宋体" w:cs="Times New Roman"/>
          <w:spacing w:val="-1"/>
          <w:sz w:val="21"/>
          <w:szCs w:val="21"/>
        </w:rPr>
        <w:t>3期。</w:t>
      </w:r>
    </w:p>
  </w:footnote>
  <w:footnote w:id="131">
    <w:p w14:paraId="635988B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7"/>
          <w:sz w:val="21"/>
          <w:szCs w:val="21"/>
        </w:rPr>
        <w:t>习近平</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习近平谈治国理政:第</w:t>
      </w:r>
      <w:r>
        <w:rPr>
          <w:rFonts w:hint="eastAsia" w:ascii="宋体" w:hAnsi="宋体" w:eastAsia="宋体" w:cs="宋体"/>
          <w:spacing w:val="7"/>
          <w:position w:val="-1"/>
          <w:sz w:val="21"/>
          <w:szCs w:val="21"/>
        </w:rPr>
        <w:t>1</w:t>
      </w:r>
      <w:r>
        <w:rPr>
          <w:rFonts w:hint="eastAsia" w:ascii="宋体" w:hAnsi="宋体" w:eastAsia="宋体" w:cs="宋体"/>
          <w:spacing w:val="7"/>
          <w:sz w:val="21"/>
          <w:szCs w:val="21"/>
        </w:rPr>
        <w:t>卷[</w:t>
      </w:r>
      <w:r>
        <w:rPr>
          <w:rFonts w:hint="eastAsia" w:ascii="宋体" w:hAnsi="宋体" w:eastAsia="宋体" w:cs="宋体"/>
          <w:sz w:val="21"/>
          <w:szCs w:val="21"/>
        </w:rPr>
        <w:t>M</w:t>
      </w:r>
      <w:r>
        <w:rPr>
          <w:rFonts w:hint="eastAsia" w:ascii="宋体" w:hAnsi="宋体" w:eastAsia="宋体" w:cs="宋体"/>
          <w:spacing w:val="7"/>
          <w:sz w:val="21"/>
          <w:szCs w:val="21"/>
        </w:rPr>
        <w:t>]</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北京:外文出版社,</w:t>
      </w:r>
      <w:r>
        <w:rPr>
          <w:rFonts w:hint="eastAsia" w:ascii="宋体" w:hAnsi="宋体" w:eastAsia="宋体" w:cs="宋体"/>
          <w:spacing w:val="7"/>
          <w:position w:val="-1"/>
          <w:sz w:val="21"/>
          <w:szCs w:val="21"/>
        </w:rPr>
        <w:t>2018</w:t>
      </w:r>
      <w:r>
        <w:rPr>
          <w:rFonts w:hint="eastAsia" w:ascii="宋体" w:hAnsi="宋体" w:eastAsia="宋体" w:cs="宋体"/>
          <w:spacing w:val="7"/>
          <w:sz w:val="21"/>
          <w:szCs w:val="21"/>
        </w:rPr>
        <w:t>:</w:t>
      </w:r>
      <w:r>
        <w:rPr>
          <w:rFonts w:hint="eastAsia" w:ascii="宋体" w:hAnsi="宋体" w:eastAsia="宋体" w:cs="宋体"/>
          <w:spacing w:val="7"/>
          <w:position w:val="-1"/>
          <w:sz w:val="21"/>
          <w:szCs w:val="21"/>
        </w:rPr>
        <w:t>258.</w:t>
      </w:r>
    </w:p>
  </w:footnote>
  <w:footnote w:id="132">
    <w:p w14:paraId="66424DE0">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8"/>
          <w:sz w:val="21"/>
          <w:szCs w:val="21"/>
        </w:rPr>
        <w:t>马</w:t>
      </w:r>
      <w:r>
        <w:rPr>
          <w:rFonts w:hint="eastAsia" w:ascii="宋体" w:hAnsi="宋体" w:eastAsia="宋体" w:cs="宋体"/>
          <w:spacing w:val="7"/>
          <w:sz w:val="21"/>
          <w:szCs w:val="21"/>
        </w:rPr>
        <w:t>克思,恩格斯</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马克思恩格斯选集:第</w:t>
      </w:r>
      <w:r>
        <w:rPr>
          <w:rFonts w:hint="eastAsia" w:ascii="宋体" w:hAnsi="宋体" w:eastAsia="宋体" w:cs="宋体"/>
          <w:spacing w:val="7"/>
          <w:position w:val="-1"/>
          <w:sz w:val="21"/>
          <w:szCs w:val="21"/>
        </w:rPr>
        <w:t>1</w:t>
      </w:r>
      <w:r>
        <w:rPr>
          <w:rFonts w:hint="eastAsia" w:ascii="宋体" w:hAnsi="宋体" w:eastAsia="宋体" w:cs="宋体"/>
          <w:spacing w:val="7"/>
          <w:sz w:val="21"/>
          <w:szCs w:val="21"/>
        </w:rPr>
        <w:t>卷[</w:t>
      </w:r>
      <w:r>
        <w:rPr>
          <w:rFonts w:hint="eastAsia" w:ascii="宋体" w:hAnsi="宋体" w:eastAsia="宋体" w:cs="宋体"/>
          <w:sz w:val="21"/>
          <w:szCs w:val="21"/>
        </w:rPr>
        <w:t>M</w:t>
      </w:r>
      <w:r>
        <w:rPr>
          <w:rFonts w:hint="eastAsia" w:ascii="宋体" w:hAnsi="宋体" w:eastAsia="宋体" w:cs="宋体"/>
          <w:spacing w:val="7"/>
          <w:sz w:val="21"/>
          <w:szCs w:val="21"/>
        </w:rPr>
        <w:t>]</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北京:人民出版社,</w:t>
      </w:r>
      <w:r>
        <w:rPr>
          <w:rFonts w:hint="eastAsia" w:ascii="宋体" w:hAnsi="宋体" w:eastAsia="宋体" w:cs="宋体"/>
          <w:spacing w:val="7"/>
          <w:position w:val="-1"/>
          <w:sz w:val="21"/>
          <w:szCs w:val="21"/>
        </w:rPr>
        <w:t>2012</w:t>
      </w:r>
      <w:r>
        <w:rPr>
          <w:rFonts w:hint="eastAsia" w:ascii="宋体" w:hAnsi="宋体" w:eastAsia="宋体" w:cs="宋体"/>
          <w:spacing w:val="7"/>
          <w:sz w:val="21"/>
          <w:szCs w:val="21"/>
        </w:rPr>
        <w:t>:</w:t>
      </w:r>
      <w:r>
        <w:rPr>
          <w:rFonts w:hint="eastAsia" w:ascii="宋体" w:hAnsi="宋体" w:eastAsia="宋体" w:cs="宋体"/>
          <w:spacing w:val="7"/>
          <w:position w:val="-1"/>
          <w:sz w:val="21"/>
          <w:szCs w:val="21"/>
        </w:rPr>
        <w:t>222.</w:t>
      </w:r>
    </w:p>
  </w:footnote>
  <w:footnote w:id="133">
    <w:p w14:paraId="3FE0A59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7"/>
          <w:sz w:val="21"/>
          <w:szCs w:val="21"/>
        </w:rPr>
        <w:t>列宁</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列宁全集:第</w:t>
      </w:r>
      <w:r>
        <w:rPr>
          <w:rFonts w:hint="eastAsia" w:ascii="宋体" w:hAnsi="宋体" w:eastAsia="宋体" w:cs="宋体"/>
          <w:spacing w:val="7"/>
          <w:position w:val="-1"/>
          <w:sz w:val="21"/>
          <w:szCs w:val="21"/>
        </w:rPr>
        <w:t>38</w:t>
      </w:r>
      <w:r>
        <w:rPr>
          <w:rFonts w:hint="eastAsia" w:ascii="宋体" w:hAnsi="宋体" w:eastAsia="宋体" w:cs="宋体"/>
          <w:spacing w:val="7"/>
          <w:sz w:val="21"/>
          <w:szCs w:val="21"/>
        </w:rPr>
        <w:t>卷[</w:t>
      </w:r>
      <w:r>
        <w:rPr>
          <w:rFonts w:hint="eastAsia" w:ascii="宋体" w:hAnsi="宋体" w:eastAsia="宋体" w:cs="宋体"/>
          <w:sz w:val="21"/>
          <w:szCs w:val="21"/>
        </w:rPr>
        <w:t>M</w:t>
      </w:r>
      <w:r>
        <w:rPr>
          <w:rFonts w:hint="eastAsia" w:ascii="宋体" w:hAnsi="宋体" w:eastAsia="宋体" w:cs="宋体"/>
          <w:spacing w:val="7"/>
          <w:sz w:val="21"/>
          <w:szCs w:val="21"/>
        </w:rPr>
        <w:t>]</w:t>
      </w:r>
      <w:r>
        <w:rPr>
          <w:rFonts w:hint="eastAsia" w:ascii="宋体" w:hAnsi="宋体" w:eastAsia="宋体" w:cs="宋体"/>
          <w:spacing w:val="7"/>
          <w:position w:val="-1"/>
          <w:sz w:val="21"/>
          <w:szCs w:val="21"/>
        </w:rPr>
        <w:t>.</w:t>
      </w:r>
      <w:r>
        <w:rPr>
          <w:rFonts w:hint="eastAsia" w:ascii="宋体" w:hAnsi="宋体" w:eastAsia="宋体" w:cs="宋体"/>
          <w:spacing w:val="7"/>
          <w:sz w:val="21"/>
          <w:szCs w:val="21"/>
        </w:rPr>
        <w:t>北京:人民出版社,</w:t>
      </w:r>
      <w:r>
        <w:rPr>
          <w:rFonts w:hint="eastAsia" w:ascii="宋体" w:hAnsi="宋体" w:eastAsia="宋体" w:cs="宋体"/>
          <w:spacing w:val="7"/>
          <w:position w:val="-1"/>
          <w:sz w:val="21"/>
          <w:szCs w:val="21"/>
        </w:rPr>
        <w:t>2017</w:t>
      </w:r>
      <w:r>
        <w:rPr>
          <w:rFonts w:hint="eastAsia" w:ascii="宋体" w:hAnsi="宋体" w:eastAsia="宋体" w:cs="宋体"/>
          <w:spacing w:val="7"/>
          <w:sz w:val="21"/>
          <w:szCs w:val="21"/>
        </w:rPr>
        <w:t>:</w:t>
      </w:r>
      <w:r>
        <w:rPr>
          <w:rFonts w:hint="eastAsia" w:ascii="宋体" w:hAnsi="宋体" w:eastAsia="宋体" w:cs="宋体"/>
          <w:spacing w:val="7"/>
          <w:position w:val="-1"/>
          <w:sz w:val="21"/>
          <w:szCs w:val="21"/>
        </w:rPr>
        <w:t>124</w:t>
      </w:r>
      <w:r>
        <w:rPr>
          <w:rFonts w:hint="eastAsia" w:ascii="宋体" w:hAnsi="宋体" w:eastAsia="宋体" w:cs="宋体"/>
          <w:spacing w:val="2"/>
          <w:position w:val="-1"/>
          <w:sz w:val="21"/>
          <w:szCs w:val="21"/>
        </w:rPr>
        <w:t>.</w:t>
      </w:r>
    </w:p>
  </w:footnote>
  <w:footnote w:id="134">
    <w:p w14:paraId="443A0CDA">
      <w:pPr>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14"/>
          <w:sz w:val="21"/>
          <w:szCs w:val="21"/>
        </w:rPr>
        <w:t>参见:程恩富,周环</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关于划分社会经济形态和社会发展阶段的基本标志</w:t>
      </w:r>
      <w:r>
        <w:rPr>
          <w:rFonts w:hint="eastAsia" w:ascii="宋体" w:hAnsi="宋体" w:eastAsia="宋体" w:cs="宋体"/>
          <w:b/>
          <w:bCs/>
          <w:spacing w:val="14"/>
          <w:sz w:val="21"/>
          <w:szCs w:val="21"/>
        </w:rPr>
        <w:t>—</w:t>
      </w:r>
      <w:r>
        <w:rPr>
          <w:rFonts w:hint="eastAsia" w:ascii="宋体" w:hAnsi="宋体" w:eastAsia="宋体" w:cs="宋体"/>
          <w:spacing w:val="14"/>
          <w:sz w:val="21"/>
          <w:szCs w:val="21"/>
        </w:rPr>
        <w:t>兼论我国社会主义社会初级阶段的经济特征[</w:t>
      </w:r>
      <w:r>
        <w:rPr>
          <w:rFonts w:hint="eastAsia" w:ascii="宋体" w:hAnsi="宋体" w:eastAsia="宋体" w:cs="宋体"/>
          <w:sz w:val="21"/>
          <w:szCs w:val="21"/>
        </w:rPr>
        <w:t>J</w:t>
      </w:r>
      <w:r>
        <w:rPr>
          <w:rFonts w:hint="eastAsia" w:ascii="宋体" w:hAnsi="宋体" w:eastAsia="宋体" w:cs="宋体"/>
          <w:spacing w:val="14"/>
          <w:sz w:val="21"/>
          <w:szCs w:val="21"/>
        </w:rPr>
        <w:t>]</w:t>
      </w:r>
      <w:r>
        <w:rPr>
          <w:rFonts w:hint="eastAsia" w:ascii="宋体" w:hAnsi="宋体" w:eastAsia="宋体" w:cs="宋体"/>
          <w:spacing w:val="14"/>
          <w:position w:val="-1"/>
          <w:sz w:val="21"/>
          <w:szCs w:val="21"/>
        </w:rPr>
        <w:t>.</w:t>
      </w:r>
      <w:r>
        <w:rPr>
          <w:rFonts w:hint="eastAsia" w:ascii="宋体" w:hAnsi="宋体" w:eastAsia="宋体" w:cs="宋体"/>
          <w:spacing w:val="14"/>
          <w:sz w:val="21"/>
          <w:szCs w:val="21"/>
        </w:rPr>
        <w:t>复旦学</w:t>
      </w:r>
      <w:r>
        <w:rPr>
          <w:rFonts w:hint="eastAsia" w:ascii="宋体" w:hAnsi="宋体" w:eastAsia="宋体" w:cs="宋体"/>
          <w:spacing w:val="10"/>
          <w:sz w:val="21"/>
          <w:szCs w:val="21"/>
        </w:rPr>
        <w:t>报(社会科学版)</w:t>
      </w:r>
      <w:r>
        <w:rPr>
          <w:rFonts w:hint="eastAsia" w:ascii="宋体" w:hAnsi="宋体" w:eastAsia="宋体" w:cs="宋体"/>
          <w:spacing w:val="10"/>
          <w:position w:val="1"/>
          <w:sz w:val="21"/>
          <w:szCs w:val="21"/>
        </w:rPr>
        <w:t>,</w:t>
      </w:r>
      <w:r>
        <w:rPr>
          <w:rFonts w:hint="eastAsia" w:ascii="宋体" w:hAnsi="宋体" w:eastAsia="宋体" w:cs="宋体"/>
          <w:spacing w:val="10"/>
          <w:sz w:val="21"/>
          <w:szCs w:val="21"/>
        </w:rPr>
        <w:t>1988(1)</w:t>
      </w:r>
      <w:r>
        <w:rPr>
          <w:rFonts w:hint="eastAsia" w:ascii="宋体" w:hAnsi="宋体" w:eastAsia="宋体" w:cs="宋体"/>
          <w:spacing w:val="10"/>
          <w:position w:val="1"/>
          <w:sz w:val="21"/>
          <w:szCs w:val="21"/>
        </w:rPr>
        <w:t>:</w:t>
      </w:r>
      <w:r>
        <w:rPr>
          <w:rFonts w:hint="eastAsia" w:ascii="宋体" w:hAnsi="宋体" w:eastAsia="宋体" w:cs="宋体"/>
          <w:spacing w:val="10"/>
          <w:position w:val="-1"/>
          <w:sz w:val="21"/>
          <w:szCs w:val="21"/>
        </w:rPr>
        <w:t>15-20</w:t>
      </w:r>
      <w:r>
        <w:rPr>
          <w:rFonts w:hint="eastAsia" w:ascii="宋体" w:hAnsi="宋体" w:eastAsia="宋体" w:cs="宋体"/>
          <w:spacing w:val="5"/>
          <w:position w:val="-1"/>
          <w:sz w:val="21"/>
          <w:szCs w:val="21"/>
        </w:rPr>
        <w:t>.</w:t>
      </w:r>
    </w:p>
  </w:footnote>
  <w:footnote w:id="135">
    <w:p w14:paraId="268560E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8"/>
          <w:sz w:val="21"/>
          <w:szCs w:val="21"/>
        </w:rPr>
        <w:t>戴圣鹏</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马克思主义文明观研究[</w:t>
      </w:r>
      <w:r>
        <w:rPr>
          <w:rFonts w:hint="eastAsia" w:ascii="宋体" w:hAnsi="宋体" w:eastAsia="宋体" w:cs="宋体"/>
          <w:sz w:val="21"/>
          <w:szCs w:val="21"/>
        </w:rPr>
        <w:t>M</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北京:中国社会科学出版社,</w:t>
      </w:r>
      <w:r>
        <w:rPr>
          <w:rFonts w:hint="eastAsia" w:ascii="宋体" w:hAnsi="宋体" w:eastAsia="宋体" w:cs="宋体"/>
          <w:spacing w:val="8"/>
          <w:position w:val="-1"/>
          <w:sz w:val="21"/>
          <w:szCs w:val="21"/>
        </w:rPr>
        <w:t>2020</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27.</w:t>
      </w:r>
    </w:p>
  </w:footnote>
  <w:footnote w:id="136">
    <w:p w14:paraId="302D81CB">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9"/>
          <w:sz w:val="21"/>
          <w:szCs w:val="21"/>
        </w:rPr>
        <w:t>马克思,恩格斯</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马克思恩格斯全集:第</w:t>
      </w:r>
      <w:r>
        <w:rPr>
          <w:rFonts w:hint="eastAsia" w:ascii="宋体" w:hAnsi="宋体" w:eastAsia="宋体" w:cs="宋体"/>
          <w:spacing w:val="9"/>
          <w:position w:val="-1"/>
          <w:sz w:val="21"/>
          <w:szCs w:val="21"/>
        </w:rPr>
        <w:t>46</w:t>
      </w:r>
      <w:r>
        <w:rPr>
          <w:rFonts w:hint="eastAsia" w:ascii="宋体" w:hAnsi="宋体" w:eastAsia="宋体" w:cs="宋体"/>
          <w:spacing w:val="9"/>
          <w:sz w:val="21"/>
          <w:szCs w:val="21"/>
        </w:rPr>
        <w:t>卷上册[</w:t>
      </w:r>
      <w:r>
        <w:rPr>
          <w:rFonts w:hint="eastAsia" w:ascii="宋体" w:hAnsi="宋体" w:eastAsia="宋体" w:cs="宋体"/>
          <w:sz w:val="21"/>
          <w:szCs w:val="21"/>
        </w:rPr>
        <w:t>M</w:t>
      </w:r>
      <w:r>
        <w:rPr>
          <w:rFonts w:hint="eastAsia" w:ascii="宋体" w:hAnsi="宋体" w:eastAsia="宋体" w:cs="宋体"/>
          <w:spacing w:val="9"/>
          <w:sz w:val="21"/>
          <w:szCs w:val="21"/>
        </w:rPr>
        <w:t>]</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北京:人民出版社,</w:t>
      </w:r>
      <w:r>
        <w:rPr>
          <w:rFonts w:hint="eastAsia" w:ascii="宋体" w:hAnsi="宋体" w:eastAsia="宋体" w:cs="宋体"/>
          <w:spacing w:val="9"/>
          <w:position w:val="-1"/>
          <w:sz w:val="21"/>
          <w:szCs w:val="21"/>
        </w:rPr>
        <w:t>1979</w:t>
      </w:r>
      <w:r>
        <w:rPr>
          <w:rFonts w:hint="eastAsia" w:ascii="宋体" w:hAnsi="宋体" w:eastAsia="宋体" w:cs="宋体"/>
          <w:spacing w:val="9"/>
          <w:sz w:val="21"/>
          <w:szCs w:val="21"/>
        </w:rPr>
        <w:t>:</w:t>
      </w:r>
      <w:r>
        <w:rPr>
          <w:rFonts w:hint="eastAsia" w:ascii="宋体" w:hAnsi="宋体" w:eastAsia="宋体" w:cs="宋体"/>
          <w:spacing w:val="9"/>
          <w:position w:val="-1"/>
          <w:sz w:val="21"/>
          <w:szCs w:val="21"/>
        </w:rPr>
        <w:t>26</w:t>
      </w:r>
      <w:r>
        <w:rPr>
          <w:rFonts w:hint="eastAsia" w:ascii="宋体" w:hAnsi="宋体" w:eastAsia="宋体" w:cs="宋体"/>
          <w:spacing w:val="7"/>
          <w:position w:val="-1"/>
          <w:sz w:val="21"/>
          <w:szCs w:val="21"/>
        </w:rPr>
        <w:t>8</w:t>
      </w:r>
      <w:r>
        <w:rPr>
          <w:rFonts w:hint="eastAsia" w:ascii="宋体" w:hAnsi="宋体" w:eastAsia="宋体" w:cs="宋体"/>
          <w:position w:val="-1"/>
          <w:sz w:val="21"/>
          <w:szCs w:val="21"/>
        </w:rPr>
        <w:t>.</w:t>
      </w:r>
    </w:p>
  </w:footnote>
  <w:footnote w:id="137">
    <w:p w14:paraId="443C8F6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9"/>
          <w:sz w:val="21"/>
          <w:szCs w:val="21"/>
        </w:rPr>
        <w:t>马克思,恩格斯</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马克思恩格斯全集:第</w:t>
      </w:r>
      <w:r>
        <w:rPr>
          <w:rFonts w:hint="eastAsia" w:ascii="宋体" w:hAnsi="宋体" w:eastAsia="宋体" w:cs="宋体"/>
          <w:spacing w:val="9"/>
          <w:position w:val="-1"/>
          <w:sz w:val="21"/>
          <w:szCs w:val="21"/>
        </w:rPr>
        <w:t>46</w:t>
      </w:r>
      <w:r>
        <w:rPr>
          <w:rFonts w:hint="eastAsia" w:ascii="宋体" w:hAnsi="宋体" w:eastAsia="宋体" w:cs="宋体"/>
          <w:spacing w:val="9"/>
          <w:sz w:val="21"/>
          <w:szCs w:val="21"/>
        </w:rPr>
        <w:t>卷上册[</w:t>
      </w:r>
      <w:r>
        <w:rPr>
          <w:rFonts w:hint="eastAsia" w:ascii="宋体" w:hAnsi="宋体" w:eastAsia="宋体" w:cs="宋体"/>
          <w:sz w:val="21"/>
          <w:szCs w:val="21"/>
        </w:rPr>
        <w:t>M</w:t>
      </w:r>
      <w:r>
        <w:rPr>
          <w:rFonts w:hint="eastAsia" w:ascii="宋体" w:hAnsi="宋体" w:eastAsia="宋体" w:cs="宋体"/>
          <w:spacing w:val="9"/>
          <w:sz w:val="21"/>
          <w:szCs w:val="21"/>
        </w:rPr>
        <w:t>]</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北京:人民出版社,</w:t>
      </w:r>
      <w:r>
        <w:rPr>
          <w:rFonts w:hint="eastAsia" w:ascii="宋体" w:hAnsi="宋体" w:eastAsia="宋体" w:cs="宋体"/>
          <w:spacing w:val="9"/>
          <w:position w:val="-1"/>
          <w:sz w:val="21"/>
          <w:szCs w:val="21"/>
        </w:rPr>
        <w:t>1979</w:t>
      </w:r>
      <w:r>
        <w:rPr>
          <w:rFonts w:hint="eastAsia" w:ascii="宋体" w:hAnsi="宋体" w:eastAsia="宋体" w:cs="宋体"/>
          <w:spacing w:val="9"/>
          <w:sz w:val="21"/>
          <w:szCs w:val="21"/>
        </w:rPr>
        <w:t>:</w:t>
      </w:r>
      <w:r>
        <w:rPr>
          <w:rFonts w:hint="eastAsia" w:ascii="宋体" w:hAnsi="宋体" w:eastAsia="宋体" w:cs="宋体"/>
          <w:spacing w:val="9"/>
          <w:position w:val="-1"/>
          <w:sz w:val="21"/>
          <w:szCs w:val="21"/>
        </w:rPr>
        <w:t>26</w:t>
      </w:r>
      <w:r>
        <w:rPr>
          <w:rFonts w:hint="eastAsia" w:ascii="宋体" w:hAnsi="宋体" w:eastAsia="宋体" w:cs="宋体"/>
          <w:spacing w:val="7"/>
          <w:position w:val="-1"/>
          <w:sz w:val="21"/>
          <w:szCs w:val="21"/>
        </w:rPr>
        <w:t>8</w:t>
      </w:r>
      <w:r>
        <w:rPr>
          <w:rFonts w:hint="eastAsia" w:ascii="宋体" w:hAnsi="宋体" w:eastAsia="宋体" w:cs="宋体"/>
          <w:position w:val="-1"/>
          <w:sz w:val="21"/>
          <w:szCs w:val="21"/>
        </w:rPr>
        <w:t>.</w:t>
      </w:r>
    </w:p>
  </w:footnote>
  <w:footnote w:id="138">
    <w:p w14:paraId="1F9E9604">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12"/>
          <w:sz w:val="21"/>
          <w:szCs w:val="21"/>
        </w:rPr>
        <w:t>程恩富在</w:t>
      </w:r>
      <w:r>
        <w:rPr>
          <w:rFonts w:hint="eastAsia" w:ascii="宋体" w:hAnsi="宋体" w:eastAsia="宋体" w:cs="宋体"/>
          <w:spacing w:val="12"/>
          <w:position w:val="-1"/>
          <w:sz w:val="21"/>
          <w:szCs w:val="21"/>
        </w:rPr>
        <w:t>1996</w:t>
      </w:r>
      <w:r>
        <w:rPr>
          <w:rFonts w:hint="eastAsia" w:ascii="宋体" w:hAnsi="宋体" w:eastAsia="宋体" w:cs="宋体"/>
          <w:spacing w:val="12"/>
          <w:sz w:val="21"/>
          <w:szCs w:val="21"/>
        </w:rPr>
        <w:t>年批判张五常的论文中首先使用了“经济文明”一词,参见:程恩富</w:t>
      </w:r>
      <w:r>
        <w:rPr>
          <w:rFonts w:hint="eastAsia" w:ascii="宋体" w:hAnsi="宋体" w:eastAsia="宋体" w:cs="宋体"/>
          <w:spacing w:val="12"/>
          <w:position w:val="-1"/>
          <w:sz w:val="21"/>
          <w:szCs w:val="21"/>
        </w:rPr>
        <w:t>.</w:t>
      </w:r>
      <w:r>
        <w:rPr>
          <w:rFonts w:hint="eastAsia" w:ascii="宋体" w:hAnsi="宋体" w:eastAsia="宋体" w:cs="宋体"/>
          <w:spacing w:val="12"/>
          <w:sz w:val="21"/>
          <w:szCs w:val="21"/>
        </w:rPr>
        <w:t>公平、效率与经济人分析</w:t>
      </w:r>
      <w:r>
        <w:rPr>
          <w:rFonts w:hint="eastAsia" w:ascii="宋体" w:hAnsi="宋体" w:eastAsia="宋体" w:cs="宋体"/>
          <w:b/>
          <w:bCs/>
          <w:spacing w:val="12"/>
          <w:sz w:val="21"/>
          <w:szCs w:val="21"/>
        </w:rPr>
        <w:t>—</w:t>
      </w:r>
      <w:r>
        <w:rPr>
          <w:rFonts w:hint="eastAsia" w:ascii="宋体" w:hAnsi="宋体" w:eastAsia="宋体" w:cs="宋体"/>
          <w:spacing w:val="12"/>
          <w:sz w:val="21"/>
          <w:szCs w:val="21"/>
        </w:rPr>
        <w:t>与张五常先生商榷</w:t>
      </w:r>
      <w:r>
        <w:rPr>
          <w:rFonts w:hint="eastAsia" w:ascii="宋体" w:hAnsi="宋体" w:eastAsia="宋体" w:cs="宋体"/>
          <w:spacing w:val="11"/>
          <w:sz w:val="21"/>
          <w:szCs w:val="21"/>
        </w:rPr>
        <w:t>之</w:t>
      </w:r>
      <w:r>
        <w:rPr>
          <w:rFonts w:hint="eastAsia" w:ascii="宋体" w:hAnsi="宋体" w:eastAsia="宋体" w:cs="宋体"/>
          <w:spacing w:val="12"/>
          <w:sz w:val="21"/>
          <w:szCs w:val="21"/>
        </w:rPr>
        <w:t>二</w:t>
      </w:r>
      <w:r>
        <w:rPr>
          <w:rFonts w:hint="eastAsia" w:ascii="宋体" w:hAnsi="宋体" w:eastAsia="宋体" w:cs="宋体"/>
          <w:spacing w:val="8"/>
          <w:sz w:val="21"/>
          <w:szCs w:val="21"/>
        </w:rPr>
        <w:t>[</w:t>
      </w:r>
      <w:r>
        <w:rPr>
          <w:rFonts w:hint="eastAsia" w:ascii="宋体" w:hAnsi="宋体" w:eastAsia="宋体" w:cs="宋体"/>
          <w:sz w:val="21"/>
          <w:szCs w:val="21"/>
        </w:rPr>
        <w:t>J</w:t>
      </w:r>
      <w:r>
        <w:rPr>
          <w:rFonts w:hint="eastAsia" w:ascii="宋体" w:hAnsi="宋体" w:eastAsia="宋体" w:cs="宋体"/>
          <w:spacing w:val="6"/>
          <w:sz w:val="21"/>
          <w:szCs w:val="21"/>
        </w:rPr>
        <w:t>]</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学术月刊</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1996(1)</w:t>
      </w:r>
      <w:r>
        <w:rPr>
          <w:rFonts w:hint="eastAsia" w:ascii="宋体" w:hAnsi="宋体" w:eastAsia="宋体" w:cs="宋体"/>
          <w:spacing w:val="6"/>
          <w:position w:val="1"/>
          <w:sz w:val="21"/>
          <w:szCs w:val="21"/>
        </w:rPr>
        <w:t>:</w:t>
      </w:r>
      <w:r>
        <w:rPr>
          <w:rFonts w:hint="eastAsia" w:ascii="宋体" w:hAnsi="宋体" w:eastAsia="宋体" w:cs="宋体"/>
          <w:spacing w:val="6"/>
          <w:position w:val="-1"/>
          <w:sz w:val="21"/>
          <w:szCs w:val="21"/>
        </w:rPr>
        <w:t>40-49.</w:t>
      </w:r>
    </w:p>
  </w:footnote>
  <w:footnote w:id="139">
    <w:p w14:paraId="391F9DF4">
      <w:pPr>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18"/>
          <w:sz w:val="21"/>
          <w:szCs w:val="21"/>
        </w:rPr>
        <w:t>参见:武装力量与军事文明</w:t>
      </w:r>
      <w:r>
        <w:rPr>
          <w:rFonts w:hint="eastAsia" w:ascii="宋体" w:hAnsi="宋体" w:eastAsia="宋体" w:cs="宋体"/>
          <w:b/>
          <w:bCs/>
          <w:spacing w:val="18"/>
          <w:sz w:val="21"/>
          <w:szCs w:val="21"/>
        </w:rPr>
        <w:t>—</w:t>
      </w:r>
      <w:r>
        <w:rPr>
          <w:rFonts w:hint="eastAsia" w:ascii="宋体" w:hAnsi="宋体" w:eastAsia="宋体" w:cs="宋体"/>
          <w:spacing w:val="18"/>
          <w:sz w:val="21"/>
          <w:szCs w:val="21"/>
        </w:rPr>
        <w:t>庆祝中国人民解放军建军</w:t>
      </w:r>
      <w:r>
        <w:rPr>
          <w:rFonts w:hint="eastAsia" w:ascii="宋体" w:hAnsi="宋体" w:eastAsia="宋体" w:cs="宋体"/>
          <w:spacing w:val="18"/>
          <w:position w:val="-1"/>
          <w:sz w:val="21"/>
          <w:szCs w:val="21"/>
        </w:rPr>
        <w:t>95</w:t>
      </w:r>
      <w:r>
        <w:rPr>
          <w:rFonts w:hint="eastAsia" w:ascii="宋体" w:hAnsi="宋体" w:eastAsia="宋体" w:cs="宋体"/>
          <w:spacing w:val="18"/>
          <w:sz w:val="21"/>
          <w:szCs w:val="21"/>
        </w:rPr>
        <w:t>周年暨军事政治学专家论坛(2022)在国防大学政治学院召开[</w:t>
      </w:r>
      <w:r>
        <w:rPr>
          <w:rFonts w:hint="eastAsia" w:ascii="宋体" w:hAnsi="宋体" w:eastAsia="宋体" w:cs="宋体"/>
          <w:sz w:val="21"/>
          <w:szCs w:val="21"/>
        </w:rPr>
        <w:t>EB</w:t>
      </w:r>
      <w:r>
        <w:rPr>
          <w:rFonts w:hint="eastAsia" w:ascii="宋体" w:hAnsi="宋体" w:eastAsia="宋体" w:cs="宋体"/>
          <w:spacing w:val="18"/>
          <w:sz w:val="21"/>
          <w:szCs w:val="21"/>
        </w:rPr>
        <w:t>/</w:t>
      </w:r>
      <w:r>
        <w:rPr>
          <w:rFonts w:hint="eastAsia" w:ascii="宋体" w:hAnsi="宋体" w:eastAsia="宋体" w:cs="宋体"/>
          <w:sz w:val="21"/>
          <w:szCs w:val="21"/>
        </w:rPr>
        <w:t>OL</w:t>
      </w:r>
      <w:r>
        <w:rPr>
          <w:rFonts w:hint="eastAsia" w:ascii="宋体" w:hAnsi="宋体" w:eastAsia="宋体" w:cs="宋体"/>
          <w:spacing w:val="18"/>
          <w:sz w:val="21"/>
          <w:szCs w:val="21"/>
        </w:rPr>
        <w:t>]</w:t>
      </w:r>
      <w:r>
        <w:rPr>
          <w:rFonts w:hint="eastAsia" w:ascii="宋体" w:hAnsi="宋体" w:eastAsia="宋体" w:cs="宋体"/>
          <w:spacing w:val="18"/>
          <w:position w:val="-1"/>
          <w:sz w:val="21"/>
          <w:szCs w:val="21"/>
        </w:rPr>
        <w:t>.</w:t>
      </w:r>
      <w:r>
        <w:rPr>
          <w:rFonts w:hint="eastAsia" w:ascii="宋体" w:hAnsi="宋体" w:eastAsia="宋体" w:cs="宋体"/>
          <w:spacing w:val="4"/>
          <w:sz w:val="21"/>
          <w:szCs w:val="21"/>
        </w:rPr>
        <w:t>(2022-09-09)[2022-1</w:t>
      </w:r>
      <w:r>
        <w:rPr>
          <w:rFonts w:hint="eastAsia" w:ascii="宋体" w:hAnsi="宋体" w:eastAsia="宋体" w:cs="宋体"/>
          <w:spacing w:val="3"/>
          <w:sz w:val="21"/>
          <w:szCs w:val="21"/>
        </w:rPr>
        <w:t>2</w:t>
      </w:r>
      <w:r>
        <w:rPr>
          <w:rFonts w:hint="eastAsia" w:ascii="宋体" w:hAnsi="宋体" w:eastAsia="宋体" w:cs="宋体"/>
          <w:spacing w:val="2"/>
          <w:sz w:val="21"/>
          <w:szCs w:val="21"/>
        </w:rPr>
        <w:t>-08].</w:t>
      </w:r>
      <w:r>
        <w:rPr>
          <w:rFonts w:hint="eastAsia" w:ascii="宋体" w:hAnsi="宋体" w:eastAsia="宋体" w:cs="宋体"/>
          <w:sz w:val="21"/>
          <w:szCs w:val="21"/>
        </w:rPr>
        <w:t>h</w:t>
      </w:r>
      <w:r>
        <w:rPr>
          <w:rFonts w:hint="eastAsia" w:ascii="宋体" w:hAnsi="宋体" w:eastAsia="宋体" w:cs="宋体"/>
          <w:b/>
          <w:bCs/>
          <w:sz w:val="21"/>
          <w:szCs w:val="21"/>
        </w:rPr>
        <w:t>t</w:t>
      </w:r>
      <w:r>
        <w:rPr>
          <w:rFonts w:hint="eastAsia" w:ascii="宋体" w:hAnsi="宋体" w:eastAsia="宋体" w:cs="宋体"/>
          <w:position w:val="-1"/>
          <w:sz w:val="21"/>
          <w:szCs w:val="21"/>
        </w:rPr>
        <w:t>p</w:t>
      </w:r>
      <w:r>
        <w:rPr>
          <w:rFonts w:hint="eastAsia" w:ascii="宋体" w:hAnsi="宋体" w:eastAsia="宋体" w:cs="宋体"/>
          <w:spacing w:val="2"/>
          <w:position w:val="1"/>
          <w:sz w:val="21"/>
          <w:szCs w:val="21"/>
        </w:rPr>
        <w:t>://</w:t>
      </w:r>
      <w:r>
        <w:rPr>
          <w:rFonts w:hint="eastAsia" w:ascii="宋体" w:hAnsi="宋体" w:eastAsia="宋体" w:cs="宋体"/>
          <w:sz w:val="21"/>
          <w:szCs w:val="21"/>
        </w:rPr>
        <w:t>www</w:t>
      </w:r>
      <w:r>
        <w:rPr>
          <w:rFonts w:hint="eastAsia" w:ascii="宋体" w:hAnsi="宋体" w:eastAsia="宋体" w:cs="宋体"/>
          <w:spacing w:val="2"/>
          <w:sz w:val="21"/>
          <w:szCs w:val="21"/>
        </w:rPr>
        <w:t>.</w:t>
      </w:r>
      <w:r>
        <w:rPr>
          <w:rFonts w:hint="eastAsia" w:ascii="宋体" w:hAnsi="宋体" w:eastAsia="宋体" w:cs="宋体"/>
          <w:sz w:val="21"/>
          <w:szCs w:val="21"/>
        </w:rPr>
        <w:t>c</w:t>
      </w:r>
      <w:r>
        <w:rPr>
          <w:rFonts w:hint="eastAsia" w:ascii="宋体" w:hAnsi="宋体" w:eastAsia="宋体" w:cs="宋体"/>
          <w:b/>
          <w:bCs/>
          <w:sz w:val="21"/>
          <w:szCs w:val="21"/>
        </w:rPr>
        <w:t>s</w:t>
      </w:r>
      <w:r>
        <w:rPr>
          <w:rFonts w:hint="eastAsia" w:ascii="宋体" w:hAnsi="宋体" w:eastAsia="宋体" w:cs="宋体"/>
          <w:sz w:val="21"/>
          <w:szCs w:val="21"/>
        </w:rPr>
        <w:t>n</w:t>
      </w:r>
      <w:r>
        <w:rPr>
          <w:rFonts w:hint="eastAsia" w:ascii="宋体" w:hAnsi="宋体" w:eastAsia="宋体" w:cs="宋体"/>
          <w:spacing w:val="2"/>
          <w:sz w:val="21"/>
          <w:szCs w:val="21"/>
        </w:rPr>
        <w:t>.</w:t>
      </w:r>
      <w:r>
        <w:rPr>
          <w:rFonts w:hint="eastAsia" w:ascii="宋体" w:hAnsi="宋体" w:eastAsia="宋体" w:cs="宋体"/>
          <w:sz w:val="21"/>
          <w:szCs w:val="21"/>
        </w:rPr>
        <w:t>cn</w:t>
      </w:r>
      <w:r>
        <w:rPr>
          <w:rFonts w:hint="eastAsia" w:ascii="宋体" w:hAnsi="宋体" w:eastAsia="宋体" w:cs="宋体"/>
          <w:spacing w:val="2"/>
          <w:sz w:val="21"/>
          <w:szCs w:val="21"/>
        </w:rPr>
        <w:t>/</w:t>
      </w:r>
      <w:r>
        <w:rPr>
          <w:rFonts w:hint="eastAsia" w:ascii="宋体" w:hAnsi="宋体" w:eastAsia="宋体" w:cs="宋体"/>
          <w:sz w:val="21"/>
          <w:szCs w:val="21"/>
        </w:rPr>
        <w:t>zx</w:t>
      </w:r>
      <w:r>
        <w:rPr>
          <w:rFonts w:hint="eastAsia" w:ascii="宋体" w:hAnsi="宋体" w:eastAsia="宋体" w:cs="宋体"/>
          <w:spacing w:val="2"/>
          <w:sz w:val="21"/>
          <w:szCs w:val="21"/>
        </w:rPr>
        <w:t>/</w:t>
      </w:r>
      <w:r>
        <w:rPr>
          <w:rFonts w:hint="eastAsia" w:ascii="宋体" w:hAnsi="宋体" w:eastAsia="宋体" w:cs="宋体"/>
          <w:sz w:val="21"/>
          <w:szCs w:val="21"/>
        </w:rPr>
        <w:t>bwyc</w:t>
      </w:r>
      <w:r>
        <w:rPr>
          <w:rFonts w:hint="eastAsia" w:ascii="宋体" w:hAnsi="宋体" w:eastAsia="宋体" w:cs="宋体"/>
          <w:spacing w:val="2"/>
          <w:sz w:val="21"/>
          <w:szCs w:val="21"/>
        </w:rPr>
        <w:t>/202209/</w:t>
      </w:r>
      <w:r>
        <w:rPr>
          <w:rFonts w:hint="eastAsia" w:ascii="宋体" w:hAnsi="宋体" w:eastAsia="宋体" w:cs="宋体"/>
          <w:sz w:val="21"/>
          <w:szCs w:val="21"/>
        </w:rPr>
        <w:t>t</w:t>
      </w:r>
      <w:r>
        <w:rPr>
          <w:rFonts w:hint="eastAsia" w:ascii="宋体" w:hAnsi="宋体" w:eastAsia="宋体" w:cs="宋体"/>
          <w:spacing w:val="2"/>
          <w:sz w:val="21"/>
          <w:szCs w:val="21"/>
        </w:rPr>
        <w:t>20220909</w:t>
      </w:r>
      <w:r>
        <w:rPr>
          <w:rFonts w:hint="eastAsia" w:ascii="宋体" w:hAnsi="宋体" w:eastAsia="宋体" w:cs="宋体"/>
          <w:spacing w:val="2"/>
          <w:position w:val="1"/>
          <w:sz w:val="21"/>
          <w:szCs w:val="21"/>
        </w:rPr>
        <w:t>_</w:t>
      </w:r>
      <w:r>
        <w:rPr>
          <w:rFonts w:hint="eastAsia" w:ascii="宋体" w:hAnsi="宋体" w:eastAsia="宋体" w:cs="宋体"/>
          <w:spacing w:val="2"/>
          <w:sz w:val="21"/>
          <w:szCs w:val="21"/>
        </w:rPr>
        <w:t>5491963.</w:t>
      </w:r>
      <w:r>
        <w:rPr>
          <w:rFonts w:hint="eastAsia" w:ascii="宋体" w:hAnsi="宋体" w:eastAsia="宋体" w:cs="宋体"/>
          <w:sz w:val="21"/>
          <w:szCs w:val="21"/>
        </w:rPr>
        <w:t>shtml</w:t>
      </w:r>
      <w:r>
        <w:rPr>
          <w:rFonts w:hint="eastAsia" w:ascii="宋体" w:hAnsi="宋体" w:eastAsia="宋体" w:cs="宋体"/>
          <w:spacing w:val="2"/>
          <w:sz w:val="21"/>
          <w:szCs w:val="21"/>
        </w:rPr>
        <w:t>.</w:t>
      </w:r>
    </w:p>
  </w:footnote>
  <w:footnote w:id="140">
    <w:p w14:paraId="27027DB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8"/>
          <w:sz w:val="21"/>
          <w:szCs w:val="21"/>
        </w:rPr>
        <w:t>马克思,恩格斯</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马克思恩格斯全集:第</w:t>
      </w:r>
      <w:r>
        <w:rPr>
          <w:rFonts w:hint="eastAsia" w:ascii="宋体" w:hAnsi="宋体" w:eastAsia="宋体" w:cs="宋体"/>
          <w:spacing w:val="8"/>
          <w:position w:val="-1"/>
          <w:sz w:val="21"/>
          <w:szCs w:val="21"/>
        </w:rPr>
        <w:t>47</w:t>
      </w:r>
      <w:r>
        <w:rPr>
          <w:rFonts w:hint="eastAsia" w:ascii="宋体" w:hAnsi="宋体" w:eastAsia="宋体" w:cs="宋体"/>
          <w:spacing w:val="8"/>
          <w:sz w:val="21"/>
          <w:szCs w:val="21"/>
        </w:rPr>
        <w:t>卷[</w:t>
      </w:r>
      <w:r>
        <w:rPr>
          <w:rFonts w:hint="eastAsia" w:ascii="宋体" w:hAnsi="宋体" w:eastAsia="宋体" w:cs="宋体"/>
          <w:sz w:val="21"/>
          <w:szCs w:val="21"/>
        </w:rPr>
        <w:t>M</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北京:人民出版社,</w:t>
      </w:r>
      <w:r>
        <w:rPr>
          <w:rFonts w:hint="eastAsia" w:ascii="宋体" w:hAnsi="宋体" w:eastAsia="宋体" w:cs="宋体"/>
          <w:spacing w:val="8"/>
          <w:position w:val="-1"/>
          <w:sz w:val="21"/>
          <w:szCs w:val="21"/>
        </w:rPr>
        <w:t>2004</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441.</w:t>
      </w:r>
    </w:p>
  </w:footnote>
  <w:footnote w:id="141">
    <w:p w14:paraId="15D8B42D">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9"/>
          <w:sz w:val="21"/>
          <w:szCs w:val="21"/>
        </w:rPr>
        <w:t>习近平</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学习马克思主义基本理论是共产党人的必修课[</w:t>
      </w:r>
      <w:r>
        <w:rPr>
          <w:rFonts w:hint="eastAsia" w:ascii="宋体" w:hAnsi="宋体" w:eastAsia="宋体" w:cs="宋体"/>
          <w:sz w:val="21"/>
          <w:szCs w:val="21"/>
        </w:rPr>
        <w:t>J</w:t>
      </w:r>
      <w:r>
        <w:rPr>
          <w:rFonts w:hint="eastAsia" w:ascii="宋体" w:hAnsi="宋体" w:eastAsia="宋体" w:cs="宋体"/>
          <w:spacing w:val="9"/>
          <w:sz w:val="21"/>
          <w:szCs w:val="21"/>
        </w:rPr>
        <w:t>]</w:t>
      </w:r>
      <w:r>
        <w:rPr>
          <w:rFonts w:hint="eastAsia" w:ascii="宋体" w:hAnsi="宋体" w:eastAsia="宋体" w:cs="宋体"/>
          <w:spacing w:val="9"/>
          <w:position w:val="-1"/>
          <w:sz w:val="21"/>
          <w:szCs w:val="21"/>
        </w:rPr>
        <w:t>.</w:t>
      </w:r>
      <w:r>
        <w:rPr>
          <w:rFonts w:hint="eastAsia" w:ascii="宋体" w:hAnsi="宋体" w:eastAsia="宋体" w:cs="宋体"/>
          <w:spacing w:val="9"/>
          <w:sz w:val="21"/>
          <w:szCs w:val="21"/>
        </w:rPr>
        <w:t>求是,2019(22):</w:t>
      </w:r>
      <w:r>
        <w:rPr>
          <w:rFonts w:hint="eastAsia" w:ascii="宋体" w:hAnsi="宋体" w:eastAsia="宋体" w:cs="宋体"/>
          <w:spacing w:val="9"/>
          <w:position w:val="-1"/>
          <w:sz w:val="21"/>
          <w:szCs w:val="21"/>
        </w:rPr>
        <w:t>6.</w:t>
      </w:r>
    </w:p>
  </w:footnote>
  <w:footnote w:id="142">
    <w:p w14:paraId="2F46617F">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8"/>
          <w:sz w:val="21"/>
          <w:szCs w:val="21"/>
        </w:rPr>
        <w:t>马克思,恩格斯</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马克思恩格斯全集:第</w:t>
      </w:r>
      <w:r>
        <w:rPr>
          <w:rFonts w:hint="eastAsia" w:ascii="宋体" w:hAnsi="宋体" w:eastAsia="宋体" w:cs="宋体"/>
          <w:spacing w:val="8"/>
          <w:position w:val="-1"/>
          <w:sz w:val="21"/>
          <w:szCs w:val="21"/>
        </w:rPr>
        <w:t>21</w:t>
      </w:r>
      <w:r>
        <w:rPr>
          <w:rFonts w:hint="eastAsia" w:ascii="宋体" w:hAnsi="宋体" w:eastAsia="宋体" w:cs="宋体"/>
          <w:spacing w:val="8"/>
          <w:sz w:val="21"/>
          <w:szCs w:val="21"/>
        </w:rPr>
        <w:t>卷[</w:t>
      </w:r>
      <w:r>
        <w:rPr>
          <w:rFonts w:hint="eastAsia" w:ascii="宋体" w:hAnsi="宋体" w:eastAsia="宋体" w:cs="宋体"/>
          <w:sz w:val="21"/>
          <w:szCs w:val="21"/>
        </w:rPr>
        <w:t>M</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北京:人民出版社,</w:t>
      </w:r>
      <w:r>
        <w:rPr>
          <w:rFonts w:hint="eastAsia" w:ascii="宋体" w:hAnsi="宋体" w:eastAsia="宋体" w:cs="宋体"/>
          <w:spacing w:val="8"/>
          <w:position w:val="-1"/>
          <w:sz w:val="21"/>
          <w:szCs w:val="21"/>
        </w:rPr>
        <w:t>1965</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113.</w:t>
      </w:r>
    </w:p>
  </w:footnote>
  <w:footnote w:id="143">
    <w:p w14:paraId="0041F7FA">
      <w:pPr>
        <w:pStyle w:val="11"/>
        <w:keepNext w:val="0"/>
        <w:pageBreakBefore w:val="0"/>
        <w:tabs>
          <w:tab w:val="left" w:pos="835"/>
        </w:tabs>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pacing w:val="8"/>
          <w:sz w:val="21"/>
          <w:szCs w:val="21"/>
        </w:rPr>
        <w:t>马克思,恩格斯</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马克思恩格斯全集:第</w:t>
      </w:r>
      <w:r>
        <w:rPr>
          <w:rFonts w:hint="eastAsia" w:ascii="宋体" w:hAnsi="宋体" w:eastAsia="宋体" w:cs="宋体"/>
          <w:spacing w:val="8"/>
          <w:position w:val="-1"/>
          <w:sz w:val="21"/>
          <w:szCs w:val="21"/>
        </w:rPr>
        <w:t>25</w:t>
      </w:r>
      <w:r>
        <w:rPr>
          <w:rFonts w:hint="eastAsia" w:ascii="宋体" w:hAnsi="宋体" w:eastAsia="宋体" w:cs="宋体"/>
          <w:spacing w:val="8"/>
          <w:sz w:val="21"/>
          <w:szCs w:val="21"/>
        </w:rPr>
        <w:t>卷[</w:t>
      </w:r>
      <w:r>
        <w:rPr>
          <w:rFonts w:hint="eastAsia" w:ascii="宋体" w:hAnsi="宋体" w:eastAsia="宋体" w:cs="宋体"/>
          <w:sz w:val="21"/>
          <w:szCs w:val="21"/>
        </w:rPr>
        <w:t>M</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北京:人民出版社,</w:t>
      </w:r>
      <w:r>
        <w:rPr>
          <w:rFonts w:hint="eastAsia" w:ascii="宋体" w:hAnsi="宋体" w:eastAsia="宋体" w:cs="宋体"/>
          <w:spacing w:val="8"/>
          <w:position w:val="-1"/>
          <w:sz w:val="21"/>
          <w:szCs w:val="21"/>
        </w:rPr>
        <w:t>2001</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380.</w:t>
      </w:r>
    </w:p>
  </w:footnote>
  <w:footnote w:id="144">
    <w:p w14:paraId="75DDD77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8"/>
          <w:sz w:val="21"/>
          <w:szCs w:val="21"/>
        </w:rPr>
        <w:t>马克思,恩格斯</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马克思恩格斯全集:第</w:t>
      </w:r>
      <w:r>
        <w:rPr>
          <w:rFonts w:hint="eastAsia" w:ascii="宋体" w:hAnsi="宋体" w:eastAsia="宋体" w:cs="宋体"/>
          <w:spacing w:val="8"/>
          <w:position w:val="-1"/>
          <w:sz w:val="21"/>
          <w:szCs w:val="21"/>
        </w:rPr>
        <w:t>25</w:t>
      </w:r>
      <w:r>
        <w:rPr>
          <w:rFonts w:hint="eastAsia" w:ascii="宋体" w:hAnsi="宋体" w:eastAsia="宋体" w:cs="宋体"/>
          <w:spacing w:val="8"/>
          <w:sz w:val="21"/>
          <w:szCs w:val="21"/>
        </w:rPr>
        <w:t>卷[</w:t>
      </w:r>
      <w:r>
        <w:rPr>
          <w:rFonts w:hint="eastAsia" w:ascii="宋体" w:hAnsi="宋体" w:eastAsia="宋体" w:cs="宋体"/>
          <w:sz w:val="21"/>
          <w:szCs w:val="21"/>
        </w:rPr>
        <w:t>M</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w:t>
      </w:r>
      <w:r>
        <w:rPr>
          <w:rFonts w:hint="eastAsia" w:ascii="宋体" w:hAnsi="宋体" w:eastAsia="宋体" w:cs="宋体"/>
          <w:spacing w:val="8"/>
          <w:sz w:val="21"/>
          <w:szCs w:val="21"/>
        </w:rPr>
        <w:t>北京:人民出版社,</w:t>
      </w:r>
      <w:r>
        <w:rPr>
          <w:rFonts w:hint="eastAsia" w:ascii="宋体" w:hAnsi="宋体" w:eastAsia="宋体" w:cs="宋体"/>
          <w:spacing w:val="8"/>
          <w:position w:val="-1"/>
          <w:sz w:val="21"/>
          <w:szCs w:val="21"/>
        </w:rPr>
        <w:t>2001</w:t>
      </w:r>
      <w:r>
        <w:rPr>
          <w:rFonts w:hint="eastAsia" w:ascii="宋体" w:hAnsi="宋体" w:eastAsia="宋体" w:cs="宋体"/>
          <w:spacing w:val="8"/>
          <w:sz w:val="21"/>
          <w:szCs w:val="21"/>
        </w:rPr>
        <w:t>:</w:t>
      </w:r>
      <w:r>
        <w:rPr>
          <w:rFonts w:hint="eastAsia" w:ascii="宋体" w:hAnsi="宋体" w:eastAsia="宋体" w:cs="宋体"/>
          <w:spacing w:val="8"/>
          <w:position w:val="-1"/>
          <w:sz w:val="21"/>
          <w:szCs w:val="21"/>
        </w:rPr>
        <w:t>379.</w:t>
      </w:r>
    </w:p>
  </w:footnote>
  <w:footnote w:id="145">
    <w:p w14:paraId="6945B824">
      <w:pPr>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6"/>
          <w:sz w:val="21"/>
          <w:szCs w:val="21"/>
        </w:rPr>
        <w:t>参见:淼森</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马克思恩格斯的文明观[</w:t>
      </w:r>
      <w:r>
        <w:rPr>
          <w:rFonts w:hint="eastAsia" w:ascii="宋体" w:hAnsi="宋体" w:eastAsia="宋体" w:cs="宋体"/>
          <w:sz w:val="21"/>
          <w:szCs w:val="21"/>
        </w:rPr>
        <w:t>N</w:t>
      </w:r>
      <w:r>
        <w:rPr>
          <w:rFonts w:hint="eastAsia" w:ascii="宋体" w:hAnsi="宋体" w:eastAsia="宋体" w:cs="宋体"/>
          <w:spacing w:val="6"/>
          <w:sz w:val="21"/>
          <w:szCs w:val="21"/>
        </w:rPr>
        <w:t>]</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中国纪检监察报,</w:t>
      </w:r>
      <w:r>
        <w:rPr>
          <w:rFonts w:hint="eastAsia" w:ascii="宋体" w:hAnsi="宋体" w:eastAsia="宋体" w:cs="宋体"/>
          <w:spacing w:val="6"/>
          <w:position w:val="-1"/>
          <w:sz w:val="21"/>
          <w:szCs w:val="21"/>
        </w:rPr>
        <w:t>2020-11-</w:t>
      </w:r>
      <w:r>
        <w:rPr>
          <w:rFonts w:hint="eastAsia" w:ascii="宋体" w:hAnsi="宋体" w:eastAsia="宋体" w:cs="宋体"/>
          <w:spacing w:val="6"/>
          <w:sz w:val="21"/>
          <w:szCs w:val="21"/>
        </w:rPr>
        <w:t>24(6)</w:t>
      </w:r>
      <w:r>
        <w:rPr>
          <w:rFonts w:hint="eastAsia" w:ascii="宋体" w:hAnsi="宋体" w:eastAsia="宋体" w:cs="宋体"/>
          <w:spacing w:val="6"/>
          <w:position w:val="-1"/>
          <w:sz w:val="21"/>
          <w:szCs w:val="21"/>
        </w:rPr>
        <w:t>.</w:t>
      </w:r>
    </w:p>
    <w:p w14:paraId="5386C59A">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p>
  </w:footnote>
  <w:footnote w:id="146">
    <w:p w14:paraId="356794CA">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1"/>
          <w:sz w:val="21"/>
          <w:szCs w:val="21"/>
        </w:rPr>
        <w:t>参见</w:t>
      </w:r>
      <w:r>
        <w:rPr>
          <w:rFonts w:hint="eastAsia" w:ascii="宋体" w:hAnsi="宋体" w:eastAsia="宋体" w:cs="宋体"/>
          <w:sz w:val="21"/>
          <w:szCs w:val="21"/>
        </w:rPr>
        <w:t>:程恩富,等</w:t>
      </w:r>
      <w:r>
        <w:rPr>
          <w:rFonts w:hint="eastAsia" w:ascii="宋体" w:hAnsi="宋体" w:eastAsia="宋体" w:cs="宋体"/>
          <w:position w:val="-1"/>
          <w:sz w:val="21"/>
          <w:szCs w:val="21"/>
        </w:rPr>
        <w:t>.</w:t>
      </w:r>
      <w:r>
        <w:rPr>
          <w:rFonts w:hint="eastAsia" w:ascii="宋体" w:hAnsi="宋体" w:eastAsia="宋体" w:cs="宋体"/>
          <w:sz w:val="21"/>
          <w:szCs w:val="21"/>
        </w:rPr>
        <w:t>苏联与美国综合国力发展比较:“两个如果”的历史假设分析</w:t>
      </w:r>
      <w:r>
        <w:rPr>
          <w:rFonts w:hint="eastAsia" w:ascii="宋体" w:hAnsi="宋体" w:eastAsia="宋体" w:cs="宋体"/>
          <w:b/>
          <w:bCs/>
          <w:sz w:val="21"/>
          <w:szCs w:val="21"/>
        </w:rPr>
        <w:t>—</w:t>
      </w:r>
      <w:r>
        <w:rPr>
          <w:rFonts w:hint="eastAsia" w:ascii="宋体" w:hAnsi="宋体" w:eastAsia="宋体" w:cs="宋体"/>
          <w:sz w:val="21"/>
          <w:szCs w:val="21"/>
        </w:rPr>
        <w:t>兼论苏联被摧毁的国内外主因[J]</w:t>
      </w:r>
      <w:r>
        <w:rPr>
          <w:rFonts w:hint="eastAsia" w:ascii="宋体" w:hAnsi="宋体" w:eastAsia="宋体" w:cs="宋体"/>
          <w:position w:val="-1"/>
          <w:sz w:val="21"/>
          <w:szCs w:val="21"/>
        </w:rPr>
        <w:t>.</w:t>
      </w:r>
      <w:r>
        <w:rPr>
          <w:rFonts w:hint="eastAsia" w:ascii="宋体" w:hAnsi="宋体" w:eastAsia="宋体" w:cs="宋体"/>
          <w:sz w:val="21"/>
          <w:szCs w:val="21"/>
        </w:rPr>
        <w:t>政治经济学研</w:t>
      </w:r>
      <w:r>
        <w:rPr>
          <w:rFonts w:hint="eastAsia" w:ascii="宋体" w:hAnsi="宋体" w:eastAsia="宋体" w:cs="宋体"/>
          <w:spacing w:val="8"/>
          <w:position w:val="1"/>
          <w:sz w:val="21"/>
          <w:szCs w:val="21"/>
        </w:rPr>
        <w:t>究</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2022</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4</w:t>
      </w:r>
      <w:r>
        <w:rPr>
          <w:rFonts w:hint="eastAsia" w:ascii="宋体" w:hAnsi="宋体" w:eastAsia="宋体" w:cs="宋体"/>
          <w:spacing w:val="4"/>
          <w:position w:val="1"/>
          <w:sz w:val="21"/>
          <w:szCs w:val="21"/>
        </w:rPr>
        <w:t>):</w:t>
      </w:r>
      <w:r>
        <w:rPr>
          <w:rFonts w:hint="eastAsia" w:ascii="宋体" w:hAnsi="宋体" w:eastAsia="宋体" w:cs="宋体"/>
          <w:spacing w:val="4"/>
          <w:sz w:val="21"/>
          <w:szCs w:val="21"/>
        </w:rPr>
        <w:t>95-118.</w:t>
      </w:r>
    </w:p>
  </w:footnote>
  <w:footnote w:id="147">
    <w:p w14:paraId="4FEBFCB1">
      <w:pPr>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pacing w:val="6"/>
          <w:sz w:val="21"/>
          <w:szCs w:val="21"/>
        </w:rPr>
        <w:t>习近平</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习近平谈治国理政:第</w:t>
      </w:r>
      <w:r>
        <w:rPr>
          <w:rFonts w:hint="eastAsia" w:ascii="宋体" w:hAnsi="宋体" w:eastAsia="宋体" w:cs="宋体"/>
          <w:spacing w:val="6"/>
          <w:position w:val="-1"/>
          <w:sz w:val="21"/>
          <w:szCs w:val="21"/>
        </w:rPr>
        <w:t>3</w:t>
      </w:r>
      <w:r>
        <w:rPr>
          <w:rFonts w:hint="eastAsia" w:ascii="宋体" w:hAnsi="宋体" w:eastAsia="宋体" w:cs="宋体"/>
          <w:spacing w:val="6"/>
          <w:sz w:val="21"/>
          <w:szCs w:val="21"/>
        </w:rPr>
        <w:t>卷[</w:t>
      </w:r>
      <w:r>
        <w:rPr>
          <w:rFonts w:hint="eastAsia" w:ascii="宋体" w:hAnsi="宋体" w:eastAsia="宋体" w:cs="宋体"/>
          <w:sz w:val="21"/>
          <w:szCs w:val="21"/>
        </w:rPr>
        <w:t>M</w:t>
      </w:r>
      <w:r>
        <w:rPr>
          <w:rFonts w:hint="eastAsia" w:ascii="宋体" w:hAnsi="宋体" w:eastAsia="宋体" w:cs="宋体"/>
          <w:spacing w:val="6"/>
          <w:sz w:val="21"/>
          <w:szCs w:val="21"/>
        </w:rPr>
        <w:t>]</w:t>
      </w:r>
      <w:r>
        <w:rPr>
          <w:rFonts w:hint="eastAsia" w:ascii="宋体" w:hAnsi="宋体" w:eastAsia="宋体" w:cs="宋体"/>
          <w:spacing w:val="6"/>
          <w:position w:val="-1"/>
          <w:sz w:val="21"/>
          <w:szCs w:val="21"/>
        </w:rPr>
        <w:t>.</w:t>
      </w:r>
      <w:r>
        <w:rPr>
          <w:rFonts w:hint="eastAsia" w:ascii="宋体" w:hAnsi="宋体" w:eastAsia="宋体" w:cs="宋体"/>
          <w:spacing w:val="6"/>
          <w:sz w:val="21"/>
          <w:szCs w:val="21"/>
        </w:rPr>
        <w:t>北京:外文出版社,</w:t>
      </w:r>
      <w:r>
        <w:rPr>
          <w:rFonts w:hint="eastAsia" w:ascii="宋体" w:hAnsi="宋体" w:eastAsia="宋体" w:cs="宋体"/>
          <w:spacing w:val="6"/>
          <w:position w:val="-1"/>
          <w:sz w:val="21"/>
          <w:szCs w:val="21"/>
        </w:rPr>
        <w:t>2020</w:t>
      </w:r>
      <w:r>
        <w:rPr>
          <w:rFonts w:hint="eastAsia" w:ascii="宋体" w:hAnsi="宋体" w:eastAsia="宋体" w:cs="宋体"/>
          <w:spacing w:val="6"/>
          <w:sz w:val="21"/>
          <w:szCs w:val="21"/>
        </w:rPr>
        <w:t>:</w:t>
      </w:r>
      <w:r>
        <w:rPr>
          <w:rFonts w:hint="eastAsia" w:ascii="宋体" w:hAnsi="宋体" w:eastAsia="宋体" w:cs="宋体"/>
          <w:spacing w:val="6"/>
          <w:position w:val="-1"/>
          <w:sz w:val="21"/>
          <w:szCs w:val="21"/>
        </w:rPr>
        <w:t>469-470.</w:t>
      </w:r>
    </w:p>
    <w:p w14:paraId="3055DC98">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p>
  </w:footnote>
  <w:footnote w:id="148">
    <w:p w14:paraId="2DF4984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黄硕风：《综合国力论》，北京：中国社会科学出版社，1992，第102页。</w:t>
      </w:r>
    </w:p>
  </w:footnote>
  <w:footnote w:id="149">
    <w:p w14:paraId="052910B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江泽民：《在中国科学技术协会第四次全国代表大会上的讲话》，《人民日报》1991-05-24。</w:t>
      </w:r>
    </w:p>
  </w:footnote>
  <w:footnote w:id="150">
    <w:p w14:paraId="0D61D65F">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Г.А. Зюганов.Политический отчёт Центрального Комитета КПРФ </w:t>
      </w:r>
      <w:r>
        <w:rPr>
          <w:rFonts w:hint="eastAsia" w:ascii="宋体" w:hAnsi="宋体" w:eastAsia="宋体" w:cs="宋体"/>
          <w:sz w:val="21"/>
          <w:szCs w:val="21"/>
        </w:rPr>
        <w:t>XVIII</w:t>
      </w:r>
      <w:r>
        <w:rPr>
          <w:rFonts w:hint="eastAsia" w:ascii="宋体" w:hAnsi="宋体" w:eastAsia="宋体" w:cs="宋体"/>
          <w:sz w:val="21"/>
          <w:szCs w:val="21"/>
          <w:lang w:val="ru-RU"/>
        </w:rPr>
        <w:t xml:space="preserve"> съезду партии. </w:t>
      </w:r>
      <w:r>
        <w:rPr>
          <w:rFonts w:hint="eastAsia" w:ascii="宋体" w:hAnsi="宋体" w:eastAsia="宋体" w:cs="宋体"/>
          <w:sz w:val="21"/>
          <w:szCs w:val="21"/>
        </w:rPr>
        <w:t>URL: https://kprf.ru/party-live/cknews/201822.html?ysclid=l96s99pn6h491155600</w:t>
      </w:r>
    </w:p>
  </w:footnote>
  <w:footnote w:id="151">
    <w:p w14:paraId="79F40E2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李伟：《否定斯大林是苏联亡国的根本原因》，《探索》2010年第1期。</w:t>
      </w:r>
    </w:p>
  </w:footnote>
  <w:footnote w:id="152">
    <w:p w14:paraId="4A0AA37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李燕：《苏联解体不能归因于社会主义经济制度》，《历史评论》2021年第6期。</w:t>
      </w:r>
    </w:p>
  </w:footnote>
  <w:footnote w:id="153">
    <w:p w14:paraId="775AF4A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程恩富：《论马克思主义研究的整体观——基于十二个视角的全方位分析》，《马克思主义研究》2021年第11期。</w:t>
      </w:r>
    </w:p>
  </w:footnote>
  <w:footnote w:id="154">
    <w:p w14:paraId="14BA0D8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以1917年工业生产总值为100。</w:t>
      </w:r>
    </w:p>
  </w:footnote>
  <w:footnote w:id="155">
    <w:p w14:paraId="120038C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bCs/>
          <w:spacing w:val="8"/>
          <w:kern w:val="0"/>
          <w:sz w:val="21"/>
          <w:szCs w:val="21"/>
        </w:rPr>
        <w:t>ИоффеЯ.Основная экономическая задача//Плановое хозяйство,1939,No 3.С.29.</w:t>
      </w:r>
    </w:p>
  </w:footnote>
  <w:footnote w:id="156">
    <w:p w14:paraId="4B70EC2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李燕：《苏联解体不能归因于社会主义经济制度》，《历史评论》2021年第6期。</w:t>
      </w:r>
    </w:p>
  </w:footnote>
  <w:footnote w:id="157">
    <w:p w14:paraId="6CB66C9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《联共（布）党史简明教程》，北京：人民出版社，1975，第392页。</w:t>
      </w:r>
    </w:p>
  </w:footnote>
  <w:footnote w:id="158">
    <w:p w14:paraId="04EC498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李慎明：《苏共领导集体的蜕化变质是苏联亡党亡国的根本原因》，昆仑策网2021-10-09.</w:t>
      </w:r>
    </w:p>
  </w:footnote>
  <w:footnote w:id="159">
    <w:p w14:paraId="2999E354">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Донскова Л.А. цена победы: о материальном ущербе и демографических потерях ссср в годы великой отечественной войны (общесоюзный и региональный аспекты). Вестник таганрогского государственного педагогического института . 2010(</w:t>
      </w:r>
      <w:r>
        <w:rPr>
          <w:rFonts w:hint="eastAsia" w:ascii="宋体" w:hAnsi="宋体" w:eastAsia="宋体" w:cs="宋体"/>
          <w:sz w:val="21"/>
          <w:szCs w:val="21"/>
        </w:rPr>
        <w:t>S</w:t>
      </w:r>
      <w:r>
        <w:rPr>
          <w:rFonts w:hint="eastAsia" w:ascii="宋体" w:hAnsi="宋体" w:eastAsia="宋体" w:cs="宋体"/>
          <w:sz w:val="21"/>
          <w:szCs w:val="21"/>
          <w:lang w:val="ru-RU"/>
        </w:rPr>
        <w:t xml:space="preserve">2). </w:t>
      </w:r>
    </w:p>
  </w:footnote>
  <w:footnote w:id="160">
    <w:p w14:paraId="22D733D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Попов, Г.Г. (2021). Новые подходы к оценке ВВП СССР в период Великой Отечественной войны // Journal of Institutional Studies 13(2): 53–67. DOI: 10.17835/2076- 6297.2021.13.2.053-067.</w:t>
      </w:r>
    </w:p>
  </w:footnote>
  <w:footnote w:id="161">
    <w:p w14:paraId="679884B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李燕：《苏联解体不能归因于社会主义经济制度》，《历史评论》2021年第6期。</w:t>
      </w:r>
    </w:p>
  </w:footnote>
  <w:footnote w:id="162">
    <w:p w14:paraId="739C64F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（苏）基姆主编：《社会主义时期苏联史（1917—1957年）》，北京：生活•读书•新知三联书店，1960，第750-752页。</w:t>
      </w:r>
    </w:p>
  </w:footnote>
  <w:footnote w:id="163">
    <w:p w14:paraId="1506ED1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（苏）波诺马廖夫主编：《苏联共产党历史》，北京：人民出版社，1960，第652页。</w:t>
      </w:r>
    </w:p>
  </w:footnote>
  <w:footnote w:id="164">
    <w:p w14:paraId="420CDF0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《联共（布）党史简明教程》，北京：人民出版社，1975，第303页。</w:t>
      </w:r>
    </w:p>
  </w:footnote>
  <w:footnote w:id="165">
    <w:p w14:paraId="6991C93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（苏）</w:t>
      </w:r>
      <w:r>
        <w:rPr>
          <w:rFonts w:hint="eastAsia" w:ascii="宋体" w:hAnsi="宋体" w:eastAsia="宋体" w:cs="宋体"/>
          <w:color w:val="000000"/>
          <w:sz w:val="21"/>
          <w:szCs w:val="21"/>
        </w:rPr>
        <w:t>苏联部长会议中央统计局主编：《苏联国民经济六十年纪念统计年鉴》，陆南泉等译，北京：生活·读书·新知三联书店，1979，第88页。</w:t>
      </w:r>
    </w:p>
  </w:footnote>
  <w:footnote w:id="166">
    <w:p w14:paraId="15C49CD6">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Суслов М.А. Марксизм- Ленинизм современная эпоха. М.: Издательство Политической Литературы,1980., С. 18.</w:t>
      </w:r>
    </w:p>
  </w:footnote>
  <w:footnote w:id="167">
    <w:p w14:paraId="479BB8B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FF0000"/>
          <w:sz w:val="21"/>
          <w:szCs w:val="21"/>
        </w:rPr>
        <w:t xml:space="preserve"> 《苏联国民经济统计年鉴1922-1982》，莫斯科国家统计出版社，1983年版，第59页。</w:t>
      </w:r>
    </w:p>
  </w:footnote>
  <w:footnote w:id="168">
    <w:p w14:paraId="646B9E6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金挥，陆南泉：《战后苏联经济》，北京：时事出版社，1985，第438页。</w:t>
      </w:r>
    </w:p>
  </w:footnote>
  <w:footnote w:id="169">
    <w:p w14:paraId="3F44636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color w:val="FF0000"/>
          <w:sz w:val="21"/>
          <w:szCs w:val="21"/>
        </w:rPr>
        <w:t>《苏联国民经济统计年鉴1989》，莫斯科国家统计出版社，1990年版，第6页。</w:t>
      </w:r>
    </w:p>
  </w:footnote>
  <w:footnote w:id="170">
    <w:p w14:paraId="2ADDFFD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年均增长率是指本行年份与上一行有数据的年份之间的年均增长率。</w:t>
      </w:r>
    </w:p>
  </w:footnote>
  <w:footnote w:id="171">
    <w:p w14:paraId="3DD2D0C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color w:val="FF0000"/>
          <w:sz w:val="21"/>
          <w:szCs w:val="21"/>
        </w:rPr>
        <w:t>《苏联国民经济统计年鉴1980》，莫斯科国家统计出版社，1981年版，第59页。</w:t>
      </w:r>
    </w:p>
  </w:footnote>
  <w:footnote w:id="172">
    <w:p w14:paraId="2CB36A0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美国商务部经济分析局，https://apps.bea.gov/scb/account_articles/national/0896gpo/table3.htm.</w:t>
      </w:r>
    </w:p>
  </w:footnote>
  <w:footnote w:id="173">
    <w:p w14:paraId="4278882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联合国统计司，https://unstats.un.org/unsd/snaama/Basic.</w:t>
      </w:r>
    </w:p>
  </w:footnote>
  <w:footnote w:id="174">
    <w:p w14:paraId="0D22870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从概念和核算过程看，国内生产总值GDP是核算国民收入GNI的基础，先核算GDP，才能核算出GNI。两者的关系可用下列公式表示：GNI=GDP+来自国外的要素收入净额。二者略有差异，将GDP中非生产领域的服务业的占比应用在GNI中并不影响最终结果。</w:t>
      </w:r>
    </w:p>
  </w:footnote>
  <w:footnote w:id="175">
    <w:p w14:paraId="0B7DBAC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（苏）苏联部长会议中央统计局主编：《苏联国民经济六十年纪念统计年鉴》，陆南泉等译，北京：生活·读书·新知三联书店，1979，第89页。</w:t>
      </w:r>
    </w:p>
  </w:footnote>
  <w:footnote w:id="176">
    <w:p w14:paraId="5DFEAAE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ru-RU"/>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黄硕风：《综合国力论》，北京：中国社会科学出版社，1992，第24页。</w:t>
      </w:r>
    </w:p>
  </w:footnote>
  <w:footnote w:id="177">
    <w:p w14:paraId="1ABC8E5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黄硕风：《综合国力论》，北京：中国社会科学出版社，1992，第25页。</w:t>
      </w:r>
    </w:p>
  </w:footnote>
  <w:footnote w:id="178">
    <w:p w14:paraId="08DAE1F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（美）克莱因：《80年代世界权力趋势及美国外交政策》，台北：台北黎明文化事业股份有限公司，1982，第166-168页。</w:t>
      </w:r>
    </w:p>
  </w:footnote>
  <w:footnote w:id="179">
    <w:p w14:paraId="71329D8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黄硕风：《综合国力论》，北京：中国社会科学出版社，1992，第219页。</w:t>
      </w:r>
    </w:p>
  </w:footnote>
  <w:footnote w:id="180">
    <w:p w14:paraId="12FBB48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李慎明，陈之骅：《居安思危—苏共亡党二十年的思考》，北京：社会科学文献出版社，2011，第9页。</w:t>
      </w:r>
    </w:p>
  </w:footnote>
  <w:footnote w:id="181">
    <w:p w14:paraId="3AEAF4C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（俄）帕•波•鲁齐利娜：《90年代独联体国家的经济发展状况（摘要）》，《黑河学刊》1995年第2-3期。</w:t>
      </w:r>
    </w:p>
  </w:footnote>
  <w:footnote w:id="182">
    <w:p w14:paraId="0A91604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李慎明：《苏共领导集体的蜕化变质是苏联亡党亡国的根本原因》，昆仑策网2021-10-09.</w:t>
      </w:r>
    </w:p>
  </w:footnote>
  <w:footnote w:id="183">
    <w:p w14:paraId="19E47C15">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《论据与事实||专访巴尼切夫：我从不住五星级酒店》，URL: https://www.bilibili.com/read/cv4566819/</w:t>
      </w:r>
    </w:p>
  </w:footnote>
  <w:footnote w:id="184">
    <w:p w14:paraId="72FCC06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王新颖.独联体国家的腐败与反腐败[J].中国监察,2002(12):61.</w:t>
      </w:r>
    </w:p>
  </w:footnote>
  <w:footnote w:id="185">
    <w:p w14:paraId="5401348A">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Брежнев Л.И. Ленинским курсом. Речи и статьи. Том четвертый. -М:. Издательство Политической Литературы,1974. С.96</w:t>
      </w:r>
    </w:p>
  </w:footnote>
  <w:footnote w:id="186">
    <w:p w14:paraId="139F91D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（俄）帕•波•鲁齐利娜：《90年代独联体国家的经济发展状况（摘要）》，《黑河学刊》1995年第2-3期。</w:t>
      </w:r>
    </w:p>
  </w:footnote>
  <w:footnote w:id="187">
    <w:p w14:paraId="1A1DF2DC">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李卓儒，李佳明：《当前俄罗斯联邦共产党关注的党内、国内和国际重点议题》，《世界马克思主义研究》2021年第1期。</w:t>
      </w:r>
    </w:p>
  </w:footnote>
  <w:footnote w:id="188">
    <w:p w14:paraId="1062713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（苏）尼•伊•雷日科夫：《大国悲剧》，徐昌翰，等译.北京：新华出版社，2008，第374页。</w:t>
      </w:r>
    </w:p>
  </w:footnote>
  <w:footnote w:id="189">
    <w:p w14:paraId="3F09098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李慎明：《十月革命距离愈远 愈使人们认识其道路的正确》，《前线》2016年第9期。</w:t>
      </w:r>
    </w:p>
  </w:footnote>
  <w:footnote w:id="190">
    <w:p w14:paraId="1D1050D5">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«Когда все застаивается, зовут либералов».</w:t>
      </w:r>
      <w:r>
        <w:rPr>
          <w:rFonts w:hint="eastAsia" w:ascii="宋体" w:hAnsi="宋体" w:eastAsia="宋体" w:cs="宋体"/>
          <w:sz w:val="21"/>
          <w:szCs w:val="21"/>
        </w:rPr>
        <w:t>URL</w:t>
      </w:r>
      <w:r>
        <w:rPr>
          <w:rFonts w:hint="eastAsia" w:ascii="宋体" w:hAnsi="宋体" w:eastAsia="宋体" w:cs="宋体"/>
          <w:sz w:val="21"/>
          <w:szCs w:val="21"/>
          <w:lang w:val="ru-RU"/>
        </w:rPr>
        <w:t xml:space="preserve">: </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www</w:t>
      </w:r>
      <w:r>
        <w:rPr>
          <w:rFonts w:hint="eastAsia" w:ascii="宋体" w:hAnsi="宋体" w:eastAsia="宋体" w:cs="宋体"/>
          <w:sz w:val="21"/>
          <w:szCs w:val="21"/>
          <w:lang w:val="ru-RU"/>
        </w:rPr>
        <w:t>.</w:t>
      </w:r>
      <w:r>
        <w:rPr>
          <w:rFonts w:hint="eastAsia" w:ascii="宋体" w:hAnsi="宋体" w:eastAsia="宋体" w:cs="宋体"/>
          <w:sz w:val="21"/>
          <w:szCs w:val="21"/>
        </w:rPr>
        <w:t>kommersant</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doc</w:t>
      </w:r>
      <w:r>
        <w:rPr>
          <w:rFonts w:hint="eastAsia" w:ascii="宋体" w:hAnsi="宋体" w:eastAsia="宋体" w:cs="宋体"/>
          <w:sz w:val="21"/>
          <w:szCs w:val="21"/>
          <w:lang w:val="ru-RU"/>
        </w:rPr>
        <w:t>/4898660</w:t>
      </w:r>
    </w:p>
  </w:footnote>
  <w:footnote w:id="191">
    <w:p w14:paraId="31C9CC56">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李卓儒译：俄罗斯《俄罗斯的经济复苏》杂志（Экономическое Возрождение России）2022年第1期（总第71期）</w:t>
      </w:r>
    </w:p>
  </w:footnote>
  <w:footnote w:id="192">
    <w:p w14:paraId="79221430">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（俄）Г.А. 久加诺夫：《共同携手，为人类走向美好未来铺平道路》，《马克思主义与现实》2021年第4期。</w:t>
      </w:r>
    </w:p>
  </w:footnote>
  <w:footnote w:id="193">
    <w:p w14:paraId="6FC7BF8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FF0000"/>
          <w:sz w:val="21"/>
          <w:szCs w:val="21"/>
        </w:rPr>
        <w:t xml:space="preserve"> </w:t>
      </w:r>
      <w:r>
        <w:rPr>
          <w:rFonts w:hint="eastAsia" w:ascii="宋体" w:hAnsi="宋体" w:eastAsia="宋体" w:cs="宋体"/>
          <w:sz w:val="21"/>
          <w:szCs w:val="21"/>
        </w:rPr>
        <w:t>（苏）</w:t>
      </w:r>
      <w:r>
        <w:rPr>
          <w:rFonts w:hint="eastAsia" w:ascii="宋体" w:hAnsi="宋体" w:eastAsia="宋体" w:cs="宋体"/>
          <w:color w:val="000000"/>
          <w:sz w:val="21"/>
          <w:szCs w:val="21"/>
        </w:rPr>
        <w:t>苏联部长会议中央统计局主编：《苏联国民经济六十年纪念统计年鉴》，陆南泉等译，北京：生活·读书·新知三联书店，1979，第89页。</w:t>
      </w:r>
    </w:p>
  </w:footnote>
  <w:footnote w:id="194">
    <w:p w14:paraId="3A7DEA1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color w:val="FF0000"/>
          <w:sz w:val="21"/>
          <w:szCs w:val="21"/>
        </w:rPr>
        <w:t>《苏联国民经济统计年鉴1980年》第43页，《苏联国民经济统计年鉴1987年》第5页。</w:t>
      </w:r>
    </w:p>
  </w:footnote>
  <w:footnote w:id="195">
    <w:p w14:paraId="459283D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FF0000"/>
          <w:sz w:val="21"/>
          <w:szCs w:val="21"/>
        </w:rPr>
        <w:t xml:space="preserve"> 《苏联国民经济统计年鉴1985》，第582页。</w:t>
      </w:r>
    </w:p>
  </w:footnote>
  <w:footnote w:id="196">
    <w:p w14:paraId="40C64F4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联合国统计司，https://unstats.un.org/unsd/snaama/Basic.</w:t>
      </w:r>
    </w:p>
  </w:footnote>
  <w:footnote w:id="197">
    <w:p w14:paraId="69703A9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根据美国商务部经济分析局公布数据计算而得，涉及生产领域的某些服务业的占比为估算值，https://www.bea.gov/sites/default/files/2021-03/gdp4q20_3rd.pdf. </w:t>
      </w:r>
    </w:p>
  </w:footnote>
  <w:footnote w:id="198">
    <w:p w14:paraId="639E301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《Инфляция в СССР》，http://su90.ru/inflation.html#g1.</w:t>
      </w:r>
    </w:p>
  </w:footnote>
  <w:footnote w:id="199">
    <w:p w14:paraId="51B1E6B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苏联的国民收入统计相较于资本主义国家的生产总值统计更为科学，同时也为与前文保持一致，故统一采用国民收入数据。</w:t>
      </w:r>
    </w:p>
  </w:footnote>
  <w:footnote w:id="200">
    <w:p w14:paraId="3FD75EE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根据克莱因的测算，1978年，美国产业结构得分为46 ，苏联为36。</w:t>
      </w:r>
    </w:p>
  </w:footnote>
  <w:footnote w:id="201">
    <w:p w14:paraId="047E4A2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这里美国的综合国力值采用预测值而非根据公布值计算，其原因一方面是黄硕风给出的预测速度较为客观，另一方面是美国公布的数值存在问题，且难以与苏联统一口径。综合国力的计算涉及大量指标，文章篇幅有限且受制于数据获取，使用公布数据重新计算两国综合国力可行性不高。</w:t>
      </w:r>
    </w:p>
  </w:footnote>
  <w:footnote w:id="202">
    <w:p w14:paraId="61827C5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宋则行，樊亢：《世界经济史》下，北京：经济科学出版社，1997，第100-111页。</w:t>
      </w:r>
    </w:p>
  </w:footnote>
  <w:footnote w:id="203">
    <w:p w14:paraId="47068FD1">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学术界俗称的“156项”重点建设项目，指的是中国“一五”时期在前苏联帮助下启动的150项重点建设工程。1955年颁布第一个五年计划时，中央政府确定了156项重点建设项目，但在实施过程中，有的项目被合并，有的项目被撤销，最后实际完成了 150项，而人们已习惯上通称为“156项”重点建设项目。参见董志凯：《关于“156项”的确立》，《中国经济史研究》1999年第4期。</w:t>
      </w:r>
    </w:p>
  </w:footnote>
  <w:footnote w:id="204">
    <w:p w14:paraId="6FED03B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（苏）尼•伊•雷日科夫：《大国悲剧》，徐昌翰，等译.北京：新华出版社，2008，第166页。</w:t>
      </w:r>
    </w:p>
  </w:footnote>
  <w:footnote w:id="205">
    <w:p w14:paraId="7DDA24B9">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w:t>
      </w:r>
      <w:r>
        <w:rPr>
          <w:rFonts w:hint="eastAsia" w:ascii="宋体" w:hAnsi="宋体" w:eastAsia="宋体" w:cs="宋体"/>
          <w:sz w:val="21"/>
          <w:szCs w:val="21"/>
          <w:lang w:val="ru-RU"/>
        </w:rPr>
        <w:t>Катастрофа. От Хрущева до Горбачева</w:t>
      </w:r>
      <w:r>
        <w:rPr>
          <w:rFonts w:hint="eastAsia" w:ascii="宋体" w:hAnsi="宋体" w:eastAsia="宋体" w:cs="宋体"/>
          <w:sz w:val="21"/>
          <w:szCs w:val="21"/>
        </w:rPr>
        <w:t>》</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topliba</w:t>
      </w:r>
      <w:r>
        <w:rPr>
          <w:rFonts w:hint="eastAsia" w:ascii="宋体" w:hAnsi="宋体" w:eastAsia="宋体" w:cs="宋体"/>
          <w:sz w:val="21"/>
          <w:szCs w:val="21"/>
          <w:lang w:val="ru-RU"/>
        </w:rPr>
        <w:t>.</w:t>
      </w:r>
      <w:r>
        <w:rPr>
          <w:rFonts w:hint="eastAsia" w:ascii="宋体" w:hAnsi="宋体" w:eastAsia="宋体" w:cs="宋体"/>
          <w:sz w:val="21"/>
          <w:szCs w:val="21"/>
        </w:rPr>
        <w:t>com</w:t>
      </w:r>
      <w:r>
        <w:rPr>
          <w:rFonts w:hint="eastAsia" w:ascii="宋体" w:hAnsi="宋体" w:eastAsia="宋体" w:cs="宋体"/>
          <w:sz w:val="21"/>
          <w:szCs w:val="21"/>
          <w:lang w:val="ru-RU"/>
        </w:rPr>
        <w:t>/</w:t>
      </w:r>
      <w:r>
        <w:rPr>
          <w:rFonts w:hint="eastAsia" w:ascii="宋体" w:hAnsi="宋体" w:eastAsia="宋体" w:cs="宋体"/>
          <w:sz w:val="21"/>
          <w:szCs w:val="21"/>
        </w:rPr>
        <w:t>books</w:t>
      </w:r>
      <w:r>
        <w:rPr>
          <w:rFonts w:hint="eastAsia" w:ascii="宋体" w:hAnsi="宋体" w:eastAsia="宋体" w:cs="宋体"/>
          <w:sz w:val="21"/>
          <w:szCs w:val="21"/>
          <w:lang w:val="ru-RU"/>
        </w:rPr>
        <w:t>/434278</w:t>
      </w:r>
    </w:p>
  </w:footnote>
  <w:footnote w:id="206">
    <w:p w14:paraId="23514947">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作者注：8月23日，鲁比克斯被捕。</w:t>
      </w:r>
    </w:p>
  </w:footnote>
  <w:footnote w:id="207">
    <w:p w14:paraId="2A5A86E9">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w:t>
      </w:r>
      <w:r>
        <w:rPr>
          <w:rFonts w:hint="eastAsia" w:ascii="宋体" w:hAnsi="宋体" w:eastAsia="宋体" w:cs="宋体"/>
          <w:sz w:val="21"/>
          <w:szCs w:val="21"/>
          <w:lang w:val="ru-RU"/>
        </w:rPr>
        <w:t>Последний лидер Компартии Латвии заявил, что СССР не был обречен</w:t>
      </w:r>
      <w:r>
        <w:rPr>
          <w:rFonts w:hint="eastAsia" w:ascii="宋体" w:hAnsi="宋体" w:eastAsia="宋体" w:cs="宋体"/>
          <w:sz w:val="21"/>
          <w:szCs w:val="21"/>
        </w:rPr>
        <w:t>》</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yandex</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turbo</w:t>
      </w:r>
      <w:r>
        <w:rPr>
          <w:rFonts w:hint="eastAsia" w:ascii="宋体" w:hAnsi="宋体" w:eastAsia="宋体" w:cs="宋体"/>
          <w:sz w:val="21"/>
          <w:szCs w:val="21"/>
          <w:lang w:val="ru-RU"/>
        </w:rPr>
        <w:t>?</w:t>
      </w:r>
      <w:r>
        <w:rPr>
          <w:rFonts w:hint="eastAsia" w:ascii="宋体" w:hAnsi="宋体" w:eastAsia="宋体" w:cs="宋体"/>
          <w:sz w:val="21"/>
          <w:szCs w:val="21"/>
        </w:rPr>
        <w:t>text</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%3</w:t>
      </w:r>
      <w:r>
        <w:rPr>
          <w:rFonts w:hint="eastAsia" w:ascii="宋体" w:hAnsi="宋体" w:eastAsia="宋体" w:cs="宋体"/>
          <w:sz w:val="21"/>
          <w:szCs w:val="21"/>
        </w:rPr>
        <w:t>A</w:t>
      </w:r>
      <w:r>
        <w:rPr>
          <w:rFonts w:hint="eastAsia" w:ascii="宋体" w:hAnsi="宋体" w:eastAsia="宋体" w:cs="宋体"/>
          <w:sz w:val="21"/>
          <w:szCs w:val="21"/>
          <w:lang w:val="ru-RU"/>
        </w:rPr>
        <w:t>%2</w:t>
      </w:r>
      <w:r>
        <w:rPr>
          <w:rFonts w:hint="eastAsia" w:ascii="宋体" w:hAnsi="宋体" w:eastAsia="宋体" w:cs="宋体"/>
          <w:sz w:val="21"/>
          <w:szCs w:val="21"/>
        </w:rPr>
        <w:t>F</w:t>
      </w:r>
      <w:r>
        <w:rPr>
          <w:rFonts w:hint="eastAsia" w:ascii="宋体" w:hAnsi="宋体" w:eastAsia="宋体" w:cs="宋体"/>
          <w:sz w:val="21"/>
          <w:szCs w:val="21"/>
          <w:lang w:val="ru-RU"/>
        </w:rPr>
        <w:t>%2</w:t>
      </w:r>
      <w:r>
        <w:rPr>
          <w:rFonts w:hint="eastAsia" w:ascii="宋体" w:hAnsi="宋体" w:eastAsia="宋体" w:cs="宋体"/>
          <w:sz w:val="21"/>
          <w:szCs w:val="21"/>
        </w:rPr>
        <w:t>Friafan</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%2</w:t>
      </w:r>
      <w:r>
        <w:rPr>
          <w:rFonts w:hint="eastAsia" w:ascii="宋体" w:hAnsi="宋体" w:eastAsia="宋体" w:cs="宋体"/>
          <w:sz w:val="21"/>
          <w:szCs w:val="21"/>
        </w:rPr>
        <w:t>F</w:t>
      </w:r>
      <w:r>
        <w:rPr>
          <w:rFonts w:hint="eastAsia" w:ascii="宋体" w:hAnsi="宋体" w:eastAsia="宋体" w:cs="宋体"/>
          <w:sz w:val="21"/>
          <w:szCs w:val="21"/>
          <w:lang w:val="ru-RU"/>
        </w:rPr>
        <w:t>1207602-</w:t>
      </w:r>
      <w:r>
        <w:rPr>
          <w:rFonts w:hint="eastAsia" w:ascii="宋体" w:hAnsi="宋体" w:eastAsia="宋体" w:cs="宋体"/>
          <w:sz w:val="21"/>
          <w:szCs w:val="21"/>
        </w:rPr>
        <w:t>poslednii</w:t>
      </w:r>
      <w:r>
        <w:rPr>
          <w:rFonts w:hint="eastAsia" w:ascii="宋体" w:hAnsi="宋体" w:eastAsia="宋体" w:cs="宋体"/>
          <w:sz w:val="21"/>
          <w:szCs w:val="21"/>
          <w:lang w:val="ru-RU"/>
        </w:rPr>
        <w:t>-</w:t>
      </w:r>
      <w:r>
        <w:rPr>
          <w:rFonts w:hint="eastAsia" w:ascii="宋体" w:hAnsi="宋体" w:eastAsia="宋体" w:cs="宋体"/>
          <w:sz w:val="21"/>
          <w:szCs w:val="21"/>
        </w:rPr>
        <w:t>lider</w:t>
      </w:r>
      <w:r>
        <w:rPr>
          <w:rFonts w:hint="eastAsia" w:ascii="宋体" w:hAnsi="宋体" w:eastAsia="宋体" w:cs="宋体"/>
          <w:sz w:val="21"/>
          <w:szCs w:val="21"/>
          <w:lang w:val="ru-RU"/>
        </w:rPr>
        <w:t>-</w:t>
      </w:r>
      <w:r>
        <w:rPr>
          <w:rFonts w:hint="eastAsia" w:ascii="宋体" w:hAnsi="宋体" w:eastAsia="宋体" w:cs="宋体"/>
          <w:sz w:val="21"/>
          <w:szCs w:val="21"/>
        </w:rPr>
        <w:t>kompartii</w:t>
      </w:r>
      <w:r>
        <w:rPr>
          <w:rFonts w:hint="eastAsia" w:ascii="宋体" w:hAnsi="宋体" w:eastAsia="宋体" w:cs="宋体"/>
          <w:sz w:val="21"/>
          <w:szCs w:val="21"/>
          <w:lang w:val="ru-RU"/>
        </w:rPr>
        <w:t>-</w:t>
      </w:r>
      <w:r>
        <w:rPr>
          <w:rFonts w:hint="eastAsia" w:ascii="宋体" w:hAnsi="宋体" w:eastAsia="宋体" w:cs="宋体"/>
          <w:sz w:val="21"/>
          <w:szCs w:val="21"/>
        </w:rPr>
        <w:t>latvii</w:t>
      </w:r>
      <w:r>
        <w:rPr>
          <w:rFonts w:hint="eastAsia" w:ascii="宋体" w:hAnsi="宋体" w:eastAsia="宋体" w:cs="宋体"/>
          <w:sz w:val="21"/>
          <w:szCs w:val="21"/>
          <w:lang w:val="ru-RU"/>
        </w:rPr>
        <w:t>-</w:t>
      </w:r>
      <w:r>
        <w:rPr>
          <w:rFonts w:hint="eastAsia" w:ascii="宋体" w:hAnsi="宋体" w:eastAsia="宋体" w:cs="宋体"/>
          <w:sz w:val="21"/>
          <w:szCs w:val="21"/>
        </w:rPr>
        <w:t>zayavil</w:t>
      </w:r>
      <w:r>
        <w:rPr>
          <w:rFonts w:hint="eastAsia" w:ascii="宋体" w:hAnsi="宋体" w:eastAsia="宋体" w:cs="宋体"/>
          <w:sz w:val="21"/>
          <w:szCs w:val="21"/>
          <w:lang w:val="ru-RU"/>
        </w:rPr>
        <w:t>-</w:t>
      </w:r>
      <w:r>
        <w:rPr>
          <w:rFonts w:hint="eastAsia" w:ascii="宋体" w:hAnsi="宋体" w:eastAsia="宋体" w:cs="宋体"/>
          <w:sz w:val="21"/>
          <w:szCs w:val="21"/>
        </w:rPr>
        <w:t>chto</w:t>
      </w:r>
      <w:r>
        <w:rPr>
          <w:rFonts w:hint="eastAsia" w:ascii="宋体" w:hAnsi="宋体" w:eastAsia="宋体" w:cs="宋体"/>
          <w:sz w:val="21"/>
          <w:szCs w:val="21"/>
          <w:lang w:val="ru-RU"/>
        </w:rPr>
        <w:t>-</w:t>
      </w:r>
      <w:r>
        <w:rPr>
          <w:rFonts w:hint="eastAsia" w:ascii="宋体" w:hAnsi="宋体" w:eastAsia="宋体" w:cs="宋体"/>
          <w:sz w:val="21"/>
          <w:szCs w:val="21"/>
        </w:rPr>
        <w:t>sssr</w:t>
      </w:r>
      <w:r>
        <w:rPr>
          <w:rFonts w:hint="eastAsia" w:ascii="宋体" w:hAnsi="宋体" w:eastAsia="宋体" w:cs="宋体"/>
          <w:sz w:val="21"/>
          <w:szCs w:val="21"/>
          <w:lang w:val="ru-RU"/>
        </w:rPr>
        <w:t>-</w:t>
      </w:r>
      <w:r>
        <w:rPr>
          <w:rFonts w:hint="eastAsia" w:ascii="宋体" w:hAnsi="宋体" w:eastAsia="宋体" w:cs="宋体"/>
          <w:sz w:val="21"/>
          <w:szCs w:val="21"/>
        </w:rPr>
        <w:t>ne</w:t>
      </w:r>
      <w:r>
        <w:rPr>
          <w:rFonts w:hint="eastAsia" w:ascii="宋体" w:hAnsi="宋体" w:eastAsia="宋体" w:cs="宋体"/>
          <w:sz w:val="21"/>
          <w:szCs w:val="21"/>
          <w:lang w:val="ru-RU"/>
        </w:rPr>
        <w:t>-</w:t>
      </w:r>
      <w:r>
        <w:rPr>
          <w:rFonts w:hint="eastAsia" w:ascii="宋体" w:hAnsi="宋体" w:eastAsia="宋体" w:cs="宋体"/>
          <w:sz w:val="21"/>
          <w:szCs w:val="21"/>
        </w:rPr>
        <w:t>byl</w:t>
      </w:r>
      <w:r>
        <w:rPr>
          <w:rFonts w:hint="eastAsia" w:ascii="宋体" w:hAnsi="宋体" w:eastAsia="宋体" w:cs="宋体"/>
          <w:sz w:val="21"/>
          <w:szCs w:val="21"/>
          <w:lang w:val="ru-RU"/>
        </w:rPr>
        <w:t>-</w:t>
      </w:r>
      <w:r>
        <w:rPr>
          <w:rFonts w:hint="eastAsia" w:ascii="宋体" w:hAnsi="宋体" w:eastAsia="宋体" w:cs="宋体"/>
          <w:sz w:val="21"/>
          <w:szCs w:val="21"/>
        </w:rPr>
        <w:t>obrechen</w:t>
      </w:r>
      <w:r>
        <w:rPr>
          <w:rFonts w:hint="eastAsia" w:ascii="宋体" w:hAnsi="宋体" w:eastAsia="宋体" w:cs="宋体"/>
          <w:sz w:val="21"/>
          <w:szCs w:val="21"/>
          <w:lang w:val="ru-RU"/>
        </w:rPr>
        <w:t>&amp;</w:t>
      </w:r>
      <w:r>
        <w:rPr>
          <w:rFonts w:hint="eastAsia" w:ascii="宋体" w:hAnsi="宋体" w:eastAsia="宋体" w:cs="宋体"/>
          <w:sz w:val="21"/>
          <w:szCs w:val="21"/>
        </w:rPr>
        <w:t>d</w:t>
      </w:r>
      <w:r>
        <w:rPr>
          <w:rFonts w:hint="eastAsia" w:ascii="宋体" w:hAnsi="宋体" w:eastAsia="宋体" w:cs="宋体"/>
          <w:sz w:val="21"/>
          <w:szCs w:val="21"/>
          <w:lang w:val="ru-RU"/>
        </w:rPr>
        <w:t>=1</w:t>
      </w:r>
    </w:p>
  </w:footnote>
  <w:footnote w:id="208">
    <w:p w14:paraId="3C761123">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w:t>
      </w:r>
      <w:r>
        <w:rPr>
          <w:rFonts w:hint="eastAsia" w:ascii="宋体" w:hAnsi="宋体" w:eastAsia="宋体" w:cs="宋体"/>
          <w:sz w:val="21"/>
          <w:szCs w:val="21"/>
          <w:lang w:val="ru-RU"/>
        </w:rPr>
        <w:t>Горбачёв. соратники и подельники. Как продавали СССР</w:t>
      </w:r>
      <w:r>
        <w:rPr>
          <w:rFonts w:hint="eastAsia" w:ascii="宋体" w:hAnsi="宋体" w:eastAsia="宋体" w:cs="宋体"/>
          <w:sz w:val="21"/>
          <w:szCs w:val="21"/>
        </w:rPr>
        <w:t>》</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topwar</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/41723-</w:t>
      </w:r>
      <w:r>
        <w:rPr>
          <w:rFonts w:hint="eastAsia" w:ascii="宋体" w:hAnsi="宋体" w:eastAsia="宋体" w:cs="宋体"/>
          <w:sz w:val="21"/>
          <w:szCs w:val="21"/>
        </w:rPr>
        <w:t>gorbachev</w:t>
      </w:r>
      <w:r>
        <w:rPr>
          <w:rFonts w:hint="eastAsia" w:ascii="宋体" w:hAnsi="宋体" w:eastAsia="宋体" w:cs="宋体"/>
          <w:sz w:val="21"/>
          <w:szCs w:val="21"/>
          <w:lang w:val="ru-RU"/>
        </w:rPr>
        <w:t>-</w:t>
      </w:r>
      <w:r>
        <w:rPr>
          <w:rFonts w:hint="eastAsia" w:ascii="宋体" w:hAnsi="宋体" w:eastAsia="宋体" w:cs="宋体"/>
          <w:sz w:val="21"/>
          <w:szCs w:val="21"/>
        </w:rPr>
        <w:t>soratniki</w:t>
      </w:r>
      <w:r>
        <w:rPr>
          <w:rFonts w:hint="eastAsia" w:ascii="宋体" w:hAnsi="宋体" w:eastAsia="宋体" w:cs="宋体"/>
          <w:sz w:val="21"/>
          <w:szCs w:val="21"/>
          <w:lang w:val="ru-RU"/>
        </w:rPr>
        <w:t>-</w:t>
      </w:r>
      <w:r>
        <w:rPr>
          <w:rFonts w:hint="eastAsia" w:ascii="宋体" w:hAnsi="宋体" w:eastAsia="宋体" w:cs="宋体"/>
          <w:sz w:val="21"/>
          <w:szCs w:val="21"/>
        </w:rPr>
        <w:t>i</w:t>
      </w:r>
      <w:r>
        <w:rPr>
          <w:rFonts w:hint="eastAsia" w:ascii="宋体" w:hAnsi="宋体" w:eastAsia="宋体" w:cs="宋体"/>
          <w:sz w:val="21"/>
          <w:szCs w:val="21"/>
          <w:lang w:val="ru-RU"/>
        </w:rPr>
        <w:t>-</w:t>
      </w:r>
      <w:r>
        <w:rPr>
          <w:rFonts w:hint="eastAsia" w:ascii="宋体" w:hAnsi="宋体" w:eastAsia="宋体" w:cs="宋体"/>
          <w:sz w:val="21"/>
          <w:szCs w:val="21"/>
        </w:rPr>
        <w:t>podelnikikak</w:t>
      </w:r>
      <w:r>
        <w:rPr>
          <w:rFonts w:hint="eastAsia" w:ascii="宋体" w:hAnsi="宋体" w:eastAsia="宋体" w:cs="宋体"/>
          <w:sz w:val="21"/>
          <w:szCs w:val="21"/>
          <w:lang w:val="ru-RU"/>
        </w:rPr>
        <w:t>-</w:t>
      </w:r>
      <w:r>
        <w:rPr>
          <w:rFonts w:hint="eastAsia" w:ascii="宋体" w:hAnsi="宋体" w:eastAsia="宋体" w:cs="宋体"/>
          <w:sz w:val="21"/>
          <w:szCs w:val="21"/>
        </w:rPr>
        <w:t>prodavali</w:t>
      </w:r>
      <w:r>
        <w:rPr>
          <w:rFonts w:hint="eastAsia" w:ascii="宋体" w:hAnsi="宋体" w:eastAsia="宋体" w:cs="宋体"/>
          <w:sz w:val="21"/>
          <w:szCs w:val="21"/>
          <w:lang w:val="ru-RU"/>
        </w:rPr>
        <w:t>-</w:t>
      </w:r>
      <w:r>
        <w:rPr>
          <w:rFonts w:hint="eastAsia" w:ascii="宋体" w:hAnsi="宋体" w:eastAsia="宋体" w:cs="宋体"/>
          <w:sz w:val="21"/>
          <w:szCs w:val="21"/>
        </w:rPr>
        <w:t>sssr</w:t>
      </w:r>
      <w:r>
        <w:rPr>
          <w:rFonts w:hint="eastAsia" w:ascii="宋体" w:hAnsi="宋体" w:eastAsia="宋体" w:cs="宋体"/>
          <w:sz w:val="21"/>
          <w:szCs w:val="21"/>
          <w:lang w:val="ru-RU"/>
        </w:rPr>
        <w:t>.</w:t>
      </w:r>
      <w:r>
        <w:rPr>
          <w:rFonts w:hint="eastAsia" w:ascii="宋体" w:hAnsi="宋体" w:eastAsia="宋体" w:cs="宋体"/>
          <w:sz w:val="21"/>
          <w:szCs w:val="21"/>
        </w:rPr>
        <w:t>html</w:t>
      </w:r>
    </w:p>
  </w:footnote>
  <w:footnote w:id="209">
    <w:p w14:paraId="1B672462">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w:t>
      </w:r>
      <w:r>
        <w:rPr>
          <w:rFonts w:hint="eastAsia" w:ascii="宋体" w:hAnsi="宋体" w:eastAsia="宋体" w:cs="宋体"/>
          <w:sz w:val="21"/>
          <w:szCs w:val="21"/>
          <w:lang w:val="ru-RU"/>
        </w:rPr>
        <w:t>Горбачёв без грима и помады</w:t>
      </w:r>
      <w:r>
        <w:rPr>
          <w:rFonts w:hint="eastAsia" w:ascii="宋体" w:hAnsi="宋体" w:eastAsia="宋体" w:cs="宋体"/>
          <w:sz w:val="21"/>
          <w:szCs w:val="21"/>
        </w:rPr>
        <w:t>》</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gazeta</w:t>
      </w:r>
      <w:r>
        <w:rPr>
          <w:rFonts w:hint="eastAsia" w:ascii="宋体" w:hAnsi="宋体" w:eastAsia="宋体" w:cs="宋体"/>
          <w:sz w:val="21"/>
          <w:szCs w:val="21"/>
          <w:lang w:val="ru-RU"/>
        </w:rPr>
        <w:t>-</w:t>
      </w:r>
      <w:r>
        <w:rPr>
          <w:rFonts w:hint="eastAsia" w:ascii="宋体" w:hAnsi="宋体" w:eastAsia="宋体" w:cs="宋体"/>
          <w:sz w:val="21"/>
          <w:szCs w:val="21"/>
        </w:rPr>
        <w:t>pravda</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issue</w:t>
      </w:r>
      <w:r>
        <w:rPr>
          <w:rFonts w:hint="eastAsia" w:ascii="宋体" w:hAnsi="宋体" w:eastAsia="宋体" w:cs="宋体"/>
          <w:sz w:val="21"/>
          <w:szCs w:val="21"/>
          <w:lang w:val="ru-RU"/>
        </w:rPr>
        <w:t>/20-31080-26-</w:t>
      </w:r>
      <w:r>
        <w:rPr>
          <w:rFonts w:hint="eastAsia" w:ascii="宋体" w:hAnsi="宋体" w:eastAsia="宋体" w:cs="宋体"/>
          <w:sz w:val="21"/>
          <w:szCs w:val="21"/>
        </w:rPr>
        <w:t>fevralya</w:t>
      </w:r>
      <w:r>
        <w:rPr>
          <w:rFonts w:hint="eastAsia" w:ascii="宋体" w:hAnsi="宋体" w:eastAsia="宋体" w:cs="宋体"/>
          <w:sz w:val="21"/>
          <w:szCs w:val="21"/>
          <w:lang w:val="ru-RU"/>
        </w:rPr>
        <w:t>-1-</w:t>
      </w:r>
      <w:r>
        <w:rPr>
          <w:rFonts w:hint="eastAsia" w:ascii="宋体" w:hAnsi="宋体" w:eastAsia="宋体" w:cs="宋体"/>
          <w:sz w:val="21"/>
          <w:szCs w:val="21"/>
        </w:rPr>
        <w:t>marta</w:t>
      </w:r>
      <w:r>
        <w:rPr>
          <w:rFonts w:hint="eastAsia" w:ascii="宋体" w:hAnsi="宋体" w:eastAsia="宋体" w:cs="宋体"/>
          <w:sz w:val="21"/>
          <w:szCs w:val="21"/>
          <w:lang w:val="ru-RU"/>
        </w:rPr>
        <w:t>-2021-</w:t>
      </w:r>
      <w:r>
        <w:rPr>
          <w:rFonts w:hint="eastAsia" w:ascii="宋体" w:hAnsi="宋体" w:eastAsia="宋体" w:cs="宋体"/>
          <w:sz w:val="21"/>
          <w:szCs w:val="21"/>
        </w:rPr>
        <w:t>goda</w:t>
      </w:r>
      <w:r>
        <w:rPr>
          <w:rFonts w:hint="eastAsia" w:ascii="宋体" w:hAnsi="宋体" w:eastAsia="宋体" w:cs="宋体"/>
          <w:sz w:val="21"/>
          <w:szCs w:val="21"/>
          <w:lang w:val="ru-RU"/>
        </w:rPr>
        <w:t>/</w:t>
      </w:r>
      <w:r>
        <w:rPr>
          <w:rFonts w:hint="eastAsia" w:ascii="宋体" w:hAnsi="宋体" w:eastAsia="宋体" w:cs="宋体"/>
          <w:sz w:val="21"/>
          <w:szCs w:val="21"/>
        </w:rPr>
        <w:t>gorbachyev</w:t>
      </w:r>
      <w:r>
        <w:rPr>
          <w:rFonts w:hint="eastAsia" w:ascii="宋体" w:hAnsi="宋体" w:eastAsia="宋体" w:cs="宋体"/>
          <w:sz w:val="21"/>
          <w:szCs w:val="21"/>
          <w:lang w:val="ru-RU"/>
        </w:rPr>
        <w:t>-</w:t>
      </w:r>
      <w:r>
        <w:rPr>
          <w:rFonts w:hint="eastAsia" w:ascii="宋体" w:hAnsi="宋体" w:eastAsia="宋体" w:cs="宋体"/>
          <w:sz w:val="21"/>
          <w:szCs w:val="21"/>
        </w:rPr>
        <w:t>bez</w:t>
      </w:r>
      <w:r>
        <w:rPr>
          <w:rFonts w:hint="eastAsia" w:ascii="宋体" w:hAnsi="宋体" w:eastAsia="宋体" w:cs="宋体"/>
          <w:sz w:val="21"/>
          <w:szCs w:val="21"/>
          <w:lang w:val="ru-RU"/>
        </w:rPr>
        <w:t>-</w:t>
      </w:r>
      <w:r>
        <w:rPr>
          <w:rFonts w:hint="eastAsia" w:ascii="宋体" w:hAnsi="宋体" w:eastAsia="宋体" w:cs="宋体"/>
          <w:sz w:val="21"/>
          <w:szCs w:val="21"/>
        </w:rPr>
        <w:t>grima</w:t>
      </w:r>
      <w:r>
        <w:rPr>
          <w:rFonts w:hint="eastAsia" w:ascii="宋体" w:hAnsi="宋体" w:eastAsia="宋体" w:cs="宋体"/>
          <w:sz w:val="21"/>
          <w:szCs w:val="21"/>
          <w:lang w:val="ru-RU"/>
        </w:rPr>
        <w:t>-</w:t>
      </w:r>
      <w:r>
        <w:rPr>
          <w:rFonts w:hint="eastAsia" w:ascii="宋体" w:hAnsi="宋体" w:eastAsia="宋体" w:cs="宋体"/>
          <w:sz w:val="21"/>
          <w:szCs w:val="21"/>
        </w:rPr>
        <w:t>i</w:t>
      </w:r>
      <w:r>
        <w:rPr>
          <w:rFonts w:hint="eastAsia" w:ascii="宋体" w:hAnsi="宋体" w:eastAsia="宋体" w:cs="宋体"/>
          <w:sz w:val="21"/>
          <w:szCs w:val="21"/>
          <w:lang w:val="ru-RU"/>
        </w:rPr>
        <w:t>-</w:t>
      </w:r>
      <w:r>
        <w:rPr>
          <w:rFonts w:hint="eastAsia" w:ascii="宋体" w:hAnsi="宋体" w:eastAsia="宋体" w:cs="宋体"/>
          <w:sz w:val="21"/>
          <w:szCs w:val="21"/>
        </w:rPr>
        <w:t>pomady</w:t>
      </w:r>
      <w:r>
        <w:rPr>
          <w:rFonts w:hint="eastAsia" w:ascii="宋体" w:hAnsi="宋体" w:eastAsia="宋体" w:cs="宋体"/>
          <w:sz w:val="21"/>
          <w:szCs w:val="21"/>
          <w:lang w:val="ru-RU"/>
        </w:rPr>
        <w:t>/?</w:t>
      </w:r>
      <w:r>
        <w:rPr>
          <w:rFonts w:hint="eastAsia" w:ascii="宋体" w:hAnsi="宋体" w:eastAsia="宋体" w:cs="宋体"/>
          <w:sz w:val="21"/>
          <w:szCs w:val="21"/>
        </w:rPr>
        <w:t>sphrase</w:t>
      </w:r>
      <w:r>
        <w:rPr>
          <w:rFonts w:hint="eastAsia" w:ascii="宋体" w:hAnsi="宋体" w:eastAsia="宋体" w:cs="宋体"/>
          <w:sz w:val="21"/>
          <w:szCs w:val="21"/>
          <w:lang w:val="ru-RU"/>
        </w:rPr>
        <w:t>_</w:t>
      </w:r>
      <w:r>
        <w:rPr>
          <w:rFonts w:hint="eastAsia" w:ascii="宋体" w:hAnsi="宋体" w:eastAsia="宋体" w:cs="宋体"/>
          <w:sz w:val="21"/>
          <w:szCs w:val="21"/>
        </w:rPr>
        <w:t>id</w:t>
      </w:r>
      <w:r>
        <w:rPr>
          <w:rFonts w:hint="eastAsia" w:ascii="宋体" w:hAnsi="宋体" w:eastAsia="宋体" w:cs="宋体"/>
          <w:sz w:val="21"/>
          <w:szCs w:val="21"/>
          <w:lang w:val="ru-RU"/>
        </w:rPr>
        <w:t>=105051</w:t>
      </w:r>
    </w:p>
  </w:footnote>
  <w:footnote w:id="210">
    <w:p w14:paraId="75A0CDA4">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w:t>
      </w:r>
      <w:r>
        <w:rPr>
          <w:rFonts w:hint="eastAsia" w:ascii="宋体" w:hAnsi="宋体" w:eastAsia="宋体" w:cs="宋体"/>
          <w:sz w:val="21"/>
          <w:szCs w:val="21"/>
          <w:lang w:val="ru-RU"/>
        </w:rPr>
        <w:t>Назарбаев говорит о причинах распада Советского Союза</w:t>
      </w:r>
      <w:r>
        <w:rPr>
          <w:rFonts w:hint="eastAsia" w:ascii="宋体" w:hAnsi="宋体" w:eastAsia="宋体" w:cs="宋体"/>
          <w:sz w:val="21"/>
          <w:szCs w:val="21"/>
        </w:rPr>
        <w:t>》</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newsland</w:t>
      </w:r>
      <w:r>
        <w:rPr>
          <w:rFonts w:hint="eastAsia" w:ascii="宋体" w:hAnsi="宋体" w:eastAsia="宋体" w:cs="宋体"/>
          <w:sz w:val="21"/>
          <w:szCs w:val="21"/>
          <w:lang w:val="ru-RU"/>
        </w:rPr>
        <w:t>.</w:t>
      </w:r>
      <w:r>
        <w:rPr>
          <w:rFonts w:hint="eastAsia" w:ascii="宋体" w:hAnsi="宋体" w:eastAsia="宋体" w:cs="宋体"/>
          <w:sz w:val="21"/>
          <w:szCs w:val="21"/>
        </w:rPr>
        <w:t>com</w:t>
      </w:r>
      <w:r>
        <w:rPr>
          <w:rFonts w:hint="eastAsia" w:ascii="宋体" w:hAnsi="宋体" w:eastAsia="宋体" w:cs="宋体"/>
          <w:sz w:val="21"/>
          <w:szCs w:val="21"/>
          <w:lang w:val="ru-RU"/>
        </w:rPr>
        <w:t>/</w:t>
      </w:r>
      <w:r>
        <w:rPr>
          <w:rFonts w:hint="eastAsia" w:ascii="宋体" w:hAnsi="宋体" w:eastAsia="宋体" w:cs="宋体"/>
          <w:sz w:val="21"/>
          <w:szCs w:val="21"/>
        </w:rPr>
        <w:t>community</w:t>
      </w:r>
      <w:r>
        <w:rPr>
          <w:rFonts w:hint="eastAsia" w:ascii="宋体" w:hAnsi="宋体" w:eastAsia="宋体" w:cs="宋体"/>
          <w:sz w:val="21"/>
          <w:szCs w:val="21"/>
          <w:lang w:val="ru-RU"/>
        </w:rPr>
        <w:t>/8521/</w:t>
      </w:r>
      <w:r>
        <w:rPr>
          <w:rFonts w:hint="eastAsia" w:ascii="宋体" w:hAnsi="宋体" w:eastAsia="宋体" w:cs="宋体"/>
          <w:sz w:val="21"/>
          <w:szCs w:val="21"/>
        </w:rPr>
        <w:t>content</w:t>
      </w:r>
      <w:r>
        <w:rPr>
          <w:rFonts w:hint="eastAsia" w:ascii="宋体" w:hAnsi="宋体" w:eastAsia="宋体" w:cs="宋体"/>
          <w:sz w:val="21"/>
          <w:szCs w:val="21"/>
          <w:lang w:val="ru-RU"/>
        </w:rPr>
        <w:t>/</w:t>
      </w:r>
      <w:r>
        <w:rPr>
          <w:rFonts w:hint="eastAsia" w:ascii="宋体" w:hAnsi="宋体" w:eastAsia="宋体" w:cs="宋体"/>
          <w:sz w:val="21"/>
          <w:szCs w:val="21"/>
        </w:rPr>
        <w:t>nazarbaev</w:t>
      </w:r>
      <w:r>
        <w:rPr>
          <w:rFonts w:hint="eastAsia" w:ascii="宋体" w:hAnsi="宋体" w:eastAsia="宋体" w:cs="宋体"/>
          <w:sz w:val="21"/>
          <w:szCs w:val="21"/>
          <w:lang w:val="ru-RU"/>
        </w:rPr>
        <w:t>-</w:t>
      </w:r>
      <w:r>
        <w:rPr>
          <w:rFonts w:hint="eastAsia" w:ascii="宋体" w:hAnsi="宋体" w:eastAsia="宋体" w:cs="宋体"/>
          <w:sz w:val="21"/>
          <w:szCs w:val="21"/>
        </w:rPr>
        <w:t>govorit</w:t>
      </w:r>
      <w:r>
        <w:rPr>
          <w:rFonts w:hint="eastAsia" w:ascii="宋体" w:hAnsi="宋体" w:eastAsia="宋体" w:cs="宋体"/>
          <w:sz w:val="21"/>
          <w:szCs w:val="21"/>
          <w:lang w:val="ru-RU"/>
        </w:rPr>
        <w:t>-</w:t>
      </w:r>
      <w:r>
        <w:rPr>
          <w:rFonts w:hint="eastAsia" w:ascii="宋体" w:hAnsi="宋体" w:eastAsia="宋体" w:cs="宋体"/>
          <w:sz w:val="21"/>
          <w:szCs w:val="21"/>
        </w:rPr>
        <w:t>o</w:t>
      </w:r>
      <w:r>
        <w:rPr>
          <w:rFonts w:hint="eastAsia" w:ascii="宋体" w:hAnsi="宋体" w:eastAsia="宋体" w:cs="宋体"/>
          <w:sz w:val="21"/>
          <w:szCs w:val="21"/>
          <w:lang w:val="ru-RU"/>
        </w:rPr>
        <w:t>-</w:t>
      </w:r>
      <w:r>
        <w:rPr>
          <w:rFonts w:hint="eastAsia" w:ascii="宋体" w:hAnsi="宋体" w:eastAsia="宋体" w:cs="宋体"/>
          <w:sz w:val="21"/>
          <w:szCs w:val="21"/>
        </w:rPr>
        <w:t>prichinakh</w:t>
      </w:r>
      <w:r>
        <w:rPr>
          <w:rFonts w:hint="eastAsia" w:ascii="宋体" w:hAnsi="宋体" w:eastAsia="宋体" w:cs="宋体"/>
          <w:sz w:val="21"/>
          <w:szCs w:val="21"/>
          <w:lang w:val="ru-RU"/>
        </w:rPr>
        <w:t>-</w:t>
      </w:r>
      <w:r>
        <w:rPr>
          <w:rFonts w:hint="eastAsia" w:ascii="宋体" w:hAnsi="宋体" w:eastAsia="宋体" w:cs="宋体"/>
          <w:sz w:val="21"/>
          <w:szCs w:val="21"/>
        </w:rPr>
        <w:t>raspada</w:t>
      </w:r>
      <w:r>
        <w:rPr>
          <w:rFonts w:hint="eastAsia" w:ascii="宋体" w:hAnsi="宋体" w:eastAsia="宋体" w:cs="宋体"/>
          <w:sz w:val="21"/>
          <w:szCs w:val="21"/>
          <w:lang w:val="ru-RU"/>
        </w:rPr>
        <w:t>-</w:t>
      </w:r>
      <w:r>
        <w:rPr>
          <w:rFonts w:hint="eastAsia" w:ascii="宋体" w:hAnsi="宋体" w:eastAsia="宋体" w:cs="宋体"/>
          <w:sz w:val="21"/>
          <w:szCs w:val="21"/>
        </w:rPr>
        <w:t>sovetskogo</w:t>
      </w:r>
      <w:r>
        <w:rPr>
          <w:rFonts w:hint="eastAsia" w:ascii="宋体" w:hAnsi="宋体" w:eastAsia="宋体" w:cs="宋体"/>
          <w:sz w:val="21"/>
          <w:szCs w:val="21"/>
          <w:lang w:val="ru-RU"/>
        </w:rPr>
        <w:t>-</w:t>
      </w:r>
      <w:r>
        <w:rPr>
          <w:rFonts w:hint="eastAsia" w:ascii="宋体" w:hAnsi="宋体" w:eastAsia="宋体" w:cs="宋体"/>
          <w:sz w:val="21"/>
          <w:szCs w:val="21"/>
        </w:rPr>
        <w:t>soiuza</w:t>
      </w:r>
      <w:r>
        <w:rPr>
          <w:rFonts w:hint="eastAsia" w:ascii="宋体" w:hAnsi="宋体" w:eastAsia="宋体" w:cs="宋体"/>
          <w:sz w:val="21"/>
          <w:szCs w:val="21"/>
          <w:lang w:val="ru-RU"/>
        </w:rPr>
        <w:t>/7492527</w:t>
      </w:r>
    </w:p>
  </w:footnote>
  <w:footnote w:id="211">
    <w:p w14:paraId="0D3BD3A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《中国共产党的一百年：改革开放和社会主义现代化建设新时期》，北京：中共党史出版社，2022，第755页。</w:t>
      </w:r>
    </w:p>
  </w:footnote>
  <w:footnote w:id="212">
    <w:p w14:paraId="55263E6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李慎明.《居安思危——苏共亡党的历史教训》电视政论片解说词，2006.</w:t>
      </w:r>
    </w:p>
  </w:footnote>
  <w:footnote w:id="213">
    <w:p w14:paraId="6B30C4C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李慎明.《居安思危——苏共亡党的历史教训》电视政论片解说词，2006.</w:t>
      </w:r>
    </w:p>
  </w:footnote>
  <w:footnote w:id="214">
    <w:p w14:paraId="4736C226">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习近平：《坚持和发展中国特色社会主义要一以贯之》，《求是》2022年第18期。</w:t>
      </w:r>
    </w:p>
  </w:footnote>
  <w:footnote w:id="215">
    <w:p w14:paraId="59BEFB8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谭索：《戈尔巴乔夫的改革与苏联的毁灭》，北京：社会科学文献出版社，2006，第449页。</w:t>
      </w:r>
    </w:p>
  </w:footnote>
  <w:footnote w:id="216">
    <w:p w14:paraId="09EBC30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吴恩远：《苏联解体主要原因是“不能与时俱进”吗？——兼与郑永年先生商榷》，《</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"https://mp.weixin.qq.com/javascript:void(0);" </w:instrText>
      </w:r>
      <w:r>
        <w:rPr>
          <w:rFonts w:hint="eastAsia" w:ascii="宋体" w:hAnsi="宋体" w:eastAsia="宋体" w:cs="宋体"/>
          <w:sz w:val="21"/>
          <w:szCs w:val="21"/>
        </w:rPr>
        <w:fldChar w:fldCharType="separate"/>
      </w:r>
      <w:r>
        <w:rPr>
          <w:rFonts w:hint="eastAsia" w:ascii="宋体" w:hAnsi="宋体" w:eastAsia="宋体" w:cs="宋体"/>
          <w:sz w:val="21"/>
          <w:szCs w:val="21"/>
        </w:rPr>
        <w:t>世界社会主义研究</w:t>
      </w:r>
      <w:r>
        <w:rPr>
          <w:rFonts w:hint="eastAsia" w:ascii="宋体" w:hAnsi="宋体" w:eastAsia="宋体" w:cs="宋体"/>
          <w:sz w:val="21"/>
          <w:szCs w:val="21"/>
        </w:rPr>
        <w:fldChar w:fldCharType="end"/>
      </w:r>
      <w:r>
        <w:rPr>
          <w:rFonts w:hint="eastAsia" w:ascii="宋体" w:hAnsi="宋体" w:eastAsia="宋体" w:cs="宋体"/>
          <w:sz w:val="21"/>
          <w:szCs w:val="21"/>
        </w:rPr>
        <w:t>》2022年第2期。</w:t>
      </w:r>
    </w:p>
  </w:footnote>
  <w:footnote w:id="217">
    <w:p w14:paraId="576E26D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转引自李慎明：《世界社会主义跟踪研究报告（2010～2011）》，北京：社会科学文献出版社，2011，第424页。</w:t>
      </w:r>
    </w:p>
  </w:footnote>
  <w:footnote w:id="218">
    <w:p w14:paraId="78803A3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（苏）瓦•博尔金：《戈尔巴乔夫沉浮录》，</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"http://search.dangdang.com/?key2=%C0%EE%D3%C0%C8%AB&amp;medium=01&amp;category_path=01.00.00.00.00.00" \t "http://product.dangdang.com/_blank" </w:instrText>
      </w:r>
      <w:r>
        <w:rPr>
          <w:rFonts w:hint="eastAsia" w:ascii="宋体" w:hAnsi="宋体" w:eastAsia="宋体" w:cs="宋体"/>
          <w:sz w:val="21"/>
          <w:szCs w:val="21"/>
        </w:rPr>
        <w:fldChar w:fldCharType="separate"/>
      </w:r>
      <w:r>
        <w:rPr>
          <w:rFonts w:hint="eastAsia" w:ascii="宋体" w:hAnsi="宋体" w:eastAsia="宋体" w:cs="宋体"/>
          <w:sz w:val="21"/>
          <w:szCs w:val="21"/>
        </w:rPr>
        <w:t>李永全</w:t>
      </w:r>
      <w:r>
        <w:rPr>
          <w:rFonts w:hint="eastAsia" w:ascii="宋体" w:hAnsi="宋体" w:eastAsia="宋体" w:cs="宋体"/>
          <w:sz w:val="21"/>
          <w:szCs w:val="21"/>
        </w:rPr>
        <w:fldChar w:fldCharType="end"/>
      </w:r>
      <w:r>
        <w:rPr>
          <w:rFonts w:hint="eastAsia" w:ascii="宋体" w:hAnsi="宋体" w:eastAsia="宋体" w:cs="宋体"/>
          <w:sz w:val="21"/>
          <w:szCs w:val="21"/>
        </w:rPr>
        <w:t>，等译.北京：中央编译出版社，1996，第4页。</w:t>
      </w:r>
    </w:p>
  </w:footnote>
  <w:footnote w:id="219">
    <w:p w14:paraId="6F1B9CD0">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《Экс-глава КГБ Крючков: Американцы будут разваливать Россию с помощью доллара, глобализации и «утечки» ядерных материалов》,</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www</w:t>
      </w:r>
      <w:r>
        <w:rPr>
          <w:rFonts w:hint="eastAsia" w:ascii="宋体" w:hAnsi="宋体" w:eastAsia="宋体" w:cs="宋体"/>
          <w:sz w:val="21"/>
          <w:szCs w:val="21"/>
          <w:lang w:val="ru-RU"/>
        </w:rPr>
        <w:t>.</w:t>
      </w:r>
      <w:r>
        <w:rPr>
          <w:rFonts w:hint="eastAsia" w:ascii="宋体" w:hAnsi="宋体" w:eastAsia="宋体" w:cs="宋体"/>
          <w:sz w:val="21"/>
          <w:szCs w:val="21"/>
        </w:rPr>
        <w:t>kp</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daily</w:t>
      </w:r>
      <w:r>
        <w:rPr>
          <w:rFonts w:hint="eastAsia" w:ascii="宋体" w:hAnsi="宋体" w:eastAsia="宋体" w:cs="宋体"/>
          <w:sz w:val="21"/>
          <w:szCs w:val="21"/>
          <w:lang w:val="ru-RU"/>
        </w:rPr>
        <w:t>/23961/72536/</w:t>
      </w:r>
    </w:p>
  </w:footnote>
  <w:footnote w:id="220">
    <w:p w14:paraId="5B020338">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Сталин-центр и памятник сталину.</w:t>
      </w:r>
      <w:r>
        <w:rPr>
          <w:rFonts w:hint="eastAsia" w:ascii="宋体" w:hAnsi="宋体" w:eastAsia="宋体" w:cs="宋体"/>
          <w:sz w:val="21"/>
          <w:szCs w:val="21"/>
        </w:rPr>
        <w:t>url</w:t>
      </w:r>
      <w:r>
        <w:rPr>
          <w:rFonts w:hint="eastAsia" w:ascii="宋体" w:hAnsi="宋体" w:eastAsia="宋体" w:cs="宋体"/>
          <w:sz w:val="21"/>
          <w:szCs w:val="21"/>
          <w:lang w:val="ru-RU"/>
        </w:rPr>
        <w:t xml:space="preserve">: </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www</w:t>
      </w:r>
      <w:r>
        <w:rPr>
          <w:rFonts w:hint="eastAsia" w:ascii="宋体" w:hAnsi="宋体" w:eastAsia="宋体" w:cs="宋体"/>
          <w:sz w:val="21"/>
          <w:szCs w:val="21"/>
          <w:lang w:val="ru-RU"/>
        </w:rPr>
        <w:t>.</w:t>
      </w:r>
      <w:r>
        <w:rPr>
          <w:rFonts w:hint="eastAsia" w:ascii="宋体" w:hAnsi="宋体" w:eastAsia="宋体" w:cs="宋体"/>
          <w:sz w:val="21"/>
          <w:szCs w:val="21"/>
        </w:rPr>
        <w:t>levada</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/2021/08/04/</w:t>
      </w:r>
      <w:r>
        <w:rPr>
          <w:rFonts w:hint="eastAsia" w:ascii="宋体" w:hAnsi="宋体" w:eastAsia="宋体" w:cs="宋体"/>
          <w:sz w:val="21"/>
          <w:szCs w:val="21"/>
        </w:rPr>
        <w:t>stalin</w:t>
      </w:r>
      <w:r>
        <w:rPr>
          <w:rFonts w:hint="eastAsia" w:ascii="宋体" w:hAnsi="宋体" w:eastAsia="宋体" w:cs="宋体"/>
          <w:sz w:val="21"/>
          <w:szCs w:val="21"/>
          <w:lang w:val="ru-RU"/>
        </w:rPr>
        <w:t>-</w:t>
      </w:r>
      <w:r>
        <w:rPr>
          <w:rFonts w:hint="eastAsia" w:ascii="宋体" w:hAnsi="宋体" w:eastAsia="宋体" w:cs="宋体"/>
          <w:sz w:val="21"/>
          <w:szCs w:val="21"/>
        </w:rPr>
        <w:t>tsentr</w:t>
      </w:r>
      <w:r>
        <w:rPr>
          <w:rFonts w:hint="eastAsia" w:ascii="宋体" w:hAnsi="宋体" w:eastAsia="宋体" w:cs="宋体"/>
          <w:sz w:val="21"/>
          <w:szCs w:val="21"/>
          <w:lang w:val="ru-RU"/>
        </w:rPr>
        <w:t>-</w:t>
      </w:r>
      <w:r>
        <w:rPr>
          <w:rFonts w:hint="eastAsia" w:ascii="宋体" w:hAnsi="宋体" w:eastAsia="宋体" w:cs="宋体"/>
          <w:sz w:val="21"/>
          <w:szCs w:val="21"/>
        </w:rPr>
        <w:t>i</w:t>
      </w:r>
      <w:r>
        <w:rPr>
          <w:rFonts w:hint="eastAsia" w:ascii="宋体" w:hAnsi="宋体" w:eastAsia="宋体" w:cs="宋体"/>
          <w:sz w:val="21"/>
          <w:szCs w:val="21"/>
          <w:lang w:val="ru-RU"/>
        </w:rPr>
        <w:t>-</w:t>
      </w:r>
      <w:r>
        <w:rPr>
          <w:rFonts w:hint="eastAsia" w:ascii="宋体" w:hAnsi="宋体" w:eastAsia="宋体" w:cs="宋体"/>
          <w:sz w:val="21"/>
          <w:szCs w:val="21"/>
        </w:rPr>
        <w:t>pamyatnik</w:t>
      </w:r>
      <w:r>
        <w:rPr>
          <w:rFonts w:hint="eastAsia" w:ascii="宋体" w:hAnsi="宋体" w:eastAsia="宋体" w:cs="宋体"/>
          <w:sz w:val="21"/>
          <w:szCs w:val="21"/>
          <w:lang w:val="ru-RU"/>
        </w:rPr>
        <w:t>-</w:t>
      </w:r>
      <w:r>
        <w:rPr>
          <w:rFonts w:hint="eastAsia" w:ascii="宋体" w:hAnsi="宋体" w:eastAsia="宋体" w:cs="宋体"/>
          <w:sz w:val="21"/>
          <w:szCs w:val="21"/>
        </w:rPr>
        <w:t>stalinu</w:t>
      </w:r>
      <w:r>
        <w:rPr>
          <w:rFonts w:hint="eastAsia" w:ascii="宋体" w:hAnsi="宋体" w:eastAsia="宋体" w:cs="宋体"/>
          <w:sz w:val="21"/>
          <w:szCs w:val="21"/>
          <w:lang w:val="ru-RU"/>
        </w:rPr>
        <w:t>/</w:t>
      </w:r>
    </w:p>
  </w:footnote>
  <w:footnote w:id="221">
    <w:p w14:paraId="7ADCF03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（俄）费·丘耶夫：《莫洛托夫——掌握一半权力的统治者》，莫斯科：2000年俄文版，第396页。</w:t>
      </w:r>
    </w:p>
  </w:footnote>
  <w:footnote w:id="222">
    <w:p w14:paraId="34E85D0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李伟：《否定斯大林是苏联亡国的根本原因》，《探索》2010年第1期。</w:t>
      </w:r>
    </w:p>
  </w:footnote>
  <w:footnote w:id="223">
    <w:p w14:paraId="2823A57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刘书林：《反对历史虚无主义 还历史本来面目——&lt;俄罗斯现代史（1945-2006）&gt;书评》，《经济导刊》2021年第12期。</w:t>
      </w:r>
    </w:p>
  </w:footnote>
  <w:footnote w:id="224">
    <w:p w14:paraId="73AD9464">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王伟光.正确认识斯大林科学评价斯大林（下）[J].世界社会主义研究，2022（7）。</w:t>
      </w:r>
    </w:p>
  </w:footnote>
  <w:footnote w:id="225">
    <w:p w14:paraId="71C6610D">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w:t>
      </w:r>
      <w:r>
        <w:rPr>
          <w:rFonts w:hint="eastAsia" w:ascii="宋体" w:hAnsi="宋体" w:eastAsia="宋体" w:cs="宋体"/>
          <w:sz w:val="21"/>
          <w:szCs w:val="21"/>
        </w:rPr>
        <w:t>王伟光.正确认识斯大林科学评价斯大林（下）[J].世界社会主义研究，2022（7）。</w:t>
      </w:r>
    </w:p>
  </w:footnote>
  <w:footnote w:id="226">
    <w:p w14:paraId="09562B1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Ли Чжожу. Китаизация марксизма и новая эпоха: политика, общество, культура и идеология. – М.: Родина, 2022. С.367</w:t>
      </w:r>
    </w:p>
  </w:footnote>
  <w:footnote w:id="227">
    <w:p w14:paraId="6F38BB4B">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«Не видя во власти воли преодолеть нынешние мерзости, многие обращаются к образу Сталина».</w:t>
      </w:r>
      <w:r>
        <w:rPr>
          <w:rFonts w:hint="eastAsia" w:ascii="宋体" w:hAnsi="宋体" w:eastAsia="宋体" w:cs="宋体"/>
          <w:sz w:val="21"/>
          <w:szCs w:val="21"/>
        </w:rPr>
        <w:t>URL</w:t>
      </w:r>
      <w:r>
        <w:rPr>
          <w:rFonts w:hint="eastAsia" w:ascii="宋体" w:hAnsi="宋体" w:eastAsia="宋体" w:cs="宋体"/>
          <w:sz w:val="21"/>
          <w:szCs w:val="21"/>
          <w:lang w:val="ru-RU"/>
        </w:rPr>
        <w:t xml:space="preserve">: </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www</w:t>
      </w:r>
      <w:r>
        <w:rPr>
          <w:rFonts w:hint="eastAsia" w:ascii="宋体" w:hAnsi="宋体" w:eastAsia="宋体" w:cs="宋体"/>
          <w:sz w:val="21"/>
          <w:szCs w:val="21"/>
          <w:lang w:val="ru-RU"/>
        </w:rPr>
        <w:t>.</w:t>
      </w:r>
      <w:r>
        <w:rPr>
          <w:rFonts w:hint="eastAsia" w:ascii="宋体" w:hAnsi="宋体" w:eastAsia="宋体" w:cs="宋体"/>
          <w:sz w:val="21"/>
          <w:szCs w:val="21"/>
        </w:rPr>
        <w:t>business</w:t>
      </w:r>
      <w:r>
        <w:rPr>
          <w:rFonts w:hint="eastAsia" w:ascii="宋体" w:hAnsi="宋体" w:eastAsia="宋体" w:cs="宋体"/>
          <w:sz w:val="21"/>
          <w:szCs w:val="21"/>
          <w:lang w:val="ru-RU"/>
        </w:rPr>
        <w:t>-</w:t>
      </w:r>
      <w:r>
        <w:rPr>
          <w:rFonts w:hint="eastAsia" w:ascii="宋体" w:hAnsi="宋体" w:eastAsia="宋体" w:cs="宋体"/>
          <w:sz w:val="21"/>
          <w:szCs w:val="21"/>
        </w:rPr>
        <w:t>gazeta</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article</w:t>
      </w:r>
      <w:r>
        <w:rPr>
          <w:rFonts w:hint="eastAsia" w:ascii="宋体" w:hAnsi="宋体" w:eastAsia="宋体" w:cs="宋体"/>
          <w:sz w:val="21"/>
          <w:szCs w:val="21"/>
          <w:lang w:val="ru-RU"/>
        </w:rPr>
        <w:t>/318437</w:t>
      </w:r>
    </w:p>
  </w:footnote>
  <w:footnote w:id="228">
    <w:p w14:paraId="24B5D7B9">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Минпромторг и Минфин поддержат форум о достижениях СССР.</w:t>
      </w:r>
      <w:r>
        <w:rPr>
          <w:rFonts w:hint="eastAsia" w:ascii="宋体" w:hAnsi="宋体" w:eastAsia="宋体" w:cs="宋体"/>
          <w:sz w:val="21"/>
          <w:szCs w:val="21"/>
        </w:rPr>
        <w:t>URL</w:t>
      </w:r>
      <w:r>
        <w:rPr>
          <w:rFonts w:hint="eastAsia" w:ascii="宋体" w:hAnsi="宋体" w:eastAsia="宋体" w:cs="宋体"/>
          <w:sz w:val="21"/>
          <w:szCs w:val="21"/>
          <w:lang w:val="ru-RU"/>
        </w:rPr>
        <w:t xml:space="preserve">： </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www</w:t>
      </w:r>
      <w:r>
        <w:rPr>
          <w:rFonts w:hint="eastAsia" w:ascii="宋体" w:hAnsi="宋体" w:eastAsia="宋体" w:cs="宋体"/>
          <w:sz w:val="21"/>
          <w:szCs w:val="21"/>
          <w:lang w:val="ru-RU"/>
        </w:rPr>
        <w:t>.</w:t>
      </w:r>
      <w:r>
        <w:rPr>
          <w:rFonts w:hint="eastAsia" w:ascii="宋体" w:hAnsi="宋体" w:eastAsia="宋体" w:cs="宋体"/>
          <w:sz w:val="21"/>
          <w:szCs w:val="21"/>
        </w:rPr>
        <w:t>nakanune</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news</w:t>
      </w:r>
      <w:r>
        <w:rPr>
          <w:rFonts w:hint="eastAsia" w:ascii="宋体" w:hAnsi="宋体" w:eastAsia="宋体" w:cs="宋体"/>
          <w:sz w:val="21"/>
          <w:szCs w:val="21"/>
          <w:lang w:val="ru-RU"/>
        </w:rPr>
        <w:t>/2022/01/10/22636835/?</w:t>
      </w:r>
      <w:r>
        <w:rPr>
          <w:rFonts w:hint="eastAsia" w:ascii="宋体" w:hAnsi="宋体" w:eastAsia="宋体" w:cs="宋体"/>
          <w:sz w:val="21"/>
          <w:szCs w:val="21"/>
        </w:rPr>
        <w:t>utm</w:t>
      </w:r>
      <w:r>
        <w:rPr>
          <w:rFonts w:hint="eastAsia" w:ascii="宋体" w:hAnsi="宋体" w:eastAsia="宋体" w:cs="宋体"/>
          <w:sz w:val="21"/>
          <w:szCs w:val="21"/>
          <w:lang w:val="ru-RU"/>
        </w:rPr>
        <w:t>_</w:t>
      </w:r>
      <w:r>
        <w:rPr>
          <w:rFonts w:hint="eastAsia" w:ascii="宋体" w:hAnsi="宋体" w:eastAsia="宋体" w:cs="宋体"/>
          <w:sz w:val="21"/>
          <w:szCs w:val="21"/>
        </w:rPr>
        <w:t>source</w:t>
      </w:r>
      <w:r>
        <w:rPr>
          <w:rFonts w:hint="eastAsia" w:ascii="宋体" w:hAnsi="宋体" w:eastAsia="宋体" w:cs="宋体"/>
          <w:sz w:val="21"/>
          <w:szCs w:val="21"/>
          <w:lang w:val="ru-RU"/>
        </w:rPr>
        <w:t>=</w:t>
      </w:r>
      <w:r>
        <w:rPr>
          <w:rFonts w:hint="eastAsia" w:ascii="宋体" w:hAnsi="宋体" w:eastAsia="宋体" w:cs="宋体"/>
          <w:sz w:val="21"/>
          <w:szCs w:val="21"/>
        </w:rPr>
        <w:t>yxnews</w:t>
      </w:r>
      <w:r>
        <w:rPr>
          <w:rFonts w:hint="eastAsia" w:ascii="宋体" w:hAnsi="宋体" w:eastAsia="宋体" w:cs="宋体"/>
          <w:sz w:val="21"/>
          <w:szCs w:val="21"/>
          <w:lang w:val="ru-RU"/>
        </w:rPr>
        <w:t>&amp;</w:t>
      </w:r>
      <w:r>
        <w:rPr>
          <w:rFonts w:hint="eastAsia" w:ascii="宋体" w:hAnsi="宋体" w:eastAsia="宋体" w:cs="宋体"/>
          <w:sz w:val="21"/>
          <w:szCs w:val="21"/>
        </w:rPr>
        <w:t>utm</w:t>
      </w:r>
      <w:r>
        <w:rPr>
          <w:rFonts w:hint="eastAsia" w:ascii="宋体" w:hAnsi="宋体" w:eastAsia="宋体" w:cs="宋体"/>
          <w:sz w:val="21"/>
          <w:szCs w:val="21"/>
          <w:lang w:val="ru-RU"/>
        </w:rPr>
        <w:t>_</w:t>
      </w:r>
      <w:r>
        <w:rPr>
          <w:rFonts w:hint="eastAsia" w:ascii="宋体" w:hAnsi="宋体" w:eastAsia="宋体" w:cs="宋体"/>
          <w:sz w:val="21"/>
          <w:szCs w:val="21"/>
        </w:rPr>
        <w:t>medium</w:t>
      </w:r>
      <w:r>
        <w:rPr>
          <w:rFonts w:hint="eastAsia" w:ascii="宋体" w:hAnsi="宋体" w:eastAsia="宋体" w:cs="宋体"/>
          <w:sz w:val="21"/>
          <w:szCs w:val="21"/>
          <w:lang w:val="ru-RU"/>
        </w:rPr>
        <w:t>=</w:t>
      </w:r>
      <w:r>
        <w:rPr>
          <w:rFonts w:hint="eastAsia" w:ascii="宋体" w:hAnsi="宋体" w:eastAsia="宋体" w:cs="宋体"/>
          <w:sz w:val="21"/>
          <w:szCs w:val="21"/>
        </w:rPr>
        <w:t>desktop</w:t>
      </w:r>
      <w:r>
        <w:rPr>
          <w:rFonts w:hint="eastAsia" w:ascii="宋体" w:hAnsi="宋体" w:eastAsia="宋体" w:cs="宋体"/>
          <w:sz w:val="21"/>
          <w:szCs w:val="21"/>
          <w:lang w:val="ru-RU"/>
        </w:rPr>
        <w:t>&amp;</w:t>
      </w:r>
      <w:r>
        <w:rPr>
          <w:rFonts w:hint="eastAsia" w:ascii="宋体" w:hAnsi="宋体" w:eastAsia="宋体" w:cs="宋体"/>
          <w:sz w:val="21"/>
          <w:szCs w:val="21"/>
        </w:rPr>
        <w:t>utm</w:t>
      </w:r>
      <w:r>
        <w:rPr>
          <w:rFonts w:hint="eastAsia" w:ascii="宋体" w:hAnsi="宋体" w:eastAsia="宋体" w:cs="宋体"/>
          <w:sz w:val="21"/>
          <w:szCs w:val="21"/>
          <w:lang w:val="ru-RU"/>
        </w:rPr>
        <w:t>_</w:t>
      </w:r>
      <w:r>
        <w:rPr>
          <w:rFonts w:hint="eastAsia" w:ascii="宋体" w:hAnsi="宋体" w:eastAsia="宋体" w:cs="宋体"/>
          <w:sz w:val="21"/>
          <w:szCs w:val="21"/>
        </w:rPr>
        <w:t>referrer</w:t>
      </w:r>
      <w:r>
        <w:rPr>
          <w:rFonts w:hint="eastAsia" w:ascii="宋体" w:hAnsi="宋体" w:eastAsia="宋体" w:cs="宋体"/>
          <w:sz w:val="21"/>
          <w:szCs w:val="21"/>
          <w:lang w:val="ru-RU"/>
        </w:rPr>
        <w:t>=</w:t>
      </w:r>
      <w:r>
        <w:rPr>
          <w:rFonts w:hint="eastAsia" w:ascii="宋体" w:hAnsi="宋体" w:eastAsia="宋体" w:cs="宋体"/>
          <w:sz w:val="21"/>
          <w:szCs w:val="21"/>
        </w:rPr>
        <w:t>https</w:t>
      </w:r>
      <w:r>
        <w:rPr>
          <w:rFonts w:hint="eastAsia" w:ascii="宋体" w:hAnsi="宋体" w:eastAsia="宋体" w:cs="宋体"/>
          <w:sz w:val="21"/>
          <w:szCs w:val="21"/>
          <w:lang w:val="ru-RU"/>
        </w:rPr>
        <w:t>%3</w:t>
      </w:r>
      <w:r>
        <w:rPr>
          <w:rFonts w:hint="eastAsia" w:ascii="宋体" w:hAnsi="宋体" w:eastAsia="宋体" w:cs="宋体"/>
          <w:sz w:val="21"/>
          <w:szCs w:val="21"/>
        </w:rPr>
        <w:t>A</w:t>
      </w:r>
      <w:r>
        <w:rPr>
          <w:rFonts w:hint="eastAsia" w:ascii="宋体" w:hAnsi="宋体" w:eastAsia="宋体" w:cs="宋体"/>
          <w:sz w:val="21"/>
          <w:szCs w:val="21"/>
          <w:lang w:val="ru-RU"/>
        </w:rPr>
        <w:t>%2</w:t>
      </w:r>
      <w:r>
        <w:rPr>
          <w:rFonts w:hint="eastAsia" w:ascii="宋体" w:hAnsi="宋体" w:eastAsia="宋体" w:cs="宋体"/>
          <w:sz w:val="21"/>
          <w:szCs w:val="21"/>
        </w:rPr>
        <w:t>F</w:t>
      </w:r>
      <w:r>
        <w:rPr>
          <w:rFonts w:hint="eastAsia" w:ascii="宋体" w:hAnsi="宋体" w:eastAsia="宋体" w:cs="宋体"/>
          <w:sz w:val="21"/>
          <w:szCs w:val="21"/>
          <w:lang w:val="ru-RU"/>
        </w:rPr>
        <w:t>%2</w:t>
      </w:r>
      <w:r>
        <w:rPr>
          <w:rFonts w:hint="eastAsia" w:ascii="宋体" w:hAnsi="宋体" w:eastAsia="宋体" w:cs="宋体"/>
          <w:sz w:val="21"/>
          <w:szCs w:val="21"/>
        </w:rPr>
        <w:t>Fyandex</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%2</w:t>
      </w:r>
      <w:r>
        <w:rPr>
          <w:rFonts w:hint="eastAsia" w:ascii="宋体" w:hAnsi="宋体" w:eastAsia="宋体" w:cs="宋体"/>
          <w:sz w:val="21"/>
          <w:szCs w:val="21"/>
        </w:rPr>
        <w:t>Fnews</w:t>
      </w:r>
      <w:r>
        <w:rPr>
          <w:rFonts w:hint="eastAsia" w:ascii="宋体" w:hAnsi="宋体" w:eastAsia="宋体" w:cs="宋体"/>
          <w:sz w:val="21"/>
          <w:szCs w:val="21"/>
          <w:lang w:val="ru-RU"/>
        </w:rPr>
        <w:t>%2</w:t>
      </w:r>
      <w:r>
        <w:rPr>
          <w:rFonts w:hint="eastAsia" w:ascii="宋体" w:hAnsi="宋体" w:eastAsia="宋体" w:cs="宋体"/>
          <w:sz w:val="21"/>
          <w:szCs w:val="21"/>
        </w:rPr>
        <w:t>Fsearch</w:t>
      </w:r>
      <w:r>
        <w:rPr>
          <w:rFonts w:hint="eastAsia" w:ascii="宋体" w:hAnsi="宋体" w:eastAsia="宋体" w:cs="宋体"/>
          <w:sz w:val="21"/>
          <w:szCs w:val="21"/>
          <w:lang w:val="ru-RU"/>
        </w:rPr>
        <w:t>%3</w:t>
      </w:r>
      <w:r>
        <w:rPr>
          <w:rFonts w:hint="eastAsia" w:ascii="宋体" w:hAnsi="宋体" w:eastAsia="宋体" w:cs="宋体"/>
          <w:sz w:val="21"/>
          <w:szCs w:val="21"/>
        </w:rPr>
        <w:t>Ftext</w:t>
      </w:r>
      <w:r>
        <w:rPr>
          <w:rFonts w:hint="eastAsia" w:ascii="宋体" w:hAnsi="宋体" w:eastAsia="宋体" w:cs="宋体"/>
          <w:sz w:val="21"/>
          <w:szCs w:val="21"/>
          <w:lang w:val="ru-RU"/>
        </w:rPr>
        <w:t>%3</w:t>
      </w:r>
      <w:r>
        <w:rPr>
          <w:rFonts w:hint="eastAsia" w:ascii="宋体" w:hAnsi="宋体" w:eastAsia="宋体" w:cs="宋体"/>
          <w:sz w:val="21"/>
          <w:szCs w:val="21"/>
        </w:rPr>
        <w:t>D</w:t>
      </w:r>
    </w:p>
  </w:footnote>
  <w:footnote w:id="229">
    <w:p w14:paraId="6102CBE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李慎明：《十月革命距离愈远 愈使人们认识其道路的正确》，《前线》2016年第9期。</w:t>
      </w:r>
    </w:p>
  </w:footnote>
  <w:footnote w:id="230">
    <w:p w14:paraId="6EC6CA2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李慎明：《十月革命距离愈远 愈使人们认识其道路的正确》，《前线》2016年第9期。</w:t>
      </w:r>
    </w:p>
  </w:footnote>
  <w:footnote w:id="231">
    <w:p w14:paraId="29DB744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李慎明：《十月革命距离愈远 愈使人们认识其道路的正确》，《前线》2016年第9期。</w:t>
      </w:r>
    </w:p>
  </w:footnote>
  <w:footnote w:id="232">
    <w:p w14:paraId="4ADF35B8">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（俄）Г.А.久加诺夫：《国家动荡的危机需要采取协调一致的行动》，URL： https://www.bilibili.com/read/cv6523634/</w:t>
      </w:r>
    </w:p>
  </w:footnote>
  <w:footnote w:id="233">
    <w:p w14:paraId="47CF803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邓小平曾针对苏东社会主义国家剧变时提出：“从一定意义上说，某种暂时复辟也是难以完全避免的规律性现象。一些国家出现严重曲折，社会主义好像被削弱了，但人民经受锻炼，从中吸收教训，将促使社会主义向着更加健康的方向发展。因此，不要惊慌失措，不要认为马克思主义就消失了，没用了，失败了。哪有这回事！”（《邓小平文选》第3卷，北京：人民出版社，1993，第383页）。</w:t>
      </w:r>
    </w:p>
  </w:footnote>
  <w:footnote w:id="234">
    <w:p w14:paraId="14BC54D5">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Андропов Ю.В. Избранные речи и статьи. М.; Издательство Политической Литературы,1983., С.91.</w:t>
      </w:r>
    </w:p>
  </w:footnote>
  <w:footnote w:id="235">
    <w:p w14:paraId="72D6B66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中共中央文献研究室编：《十八大以来重要文献选编》上，北京：中央文献出版社，2014，第113页。</w:t>
      </w:r>
    </w:p>
  </w:footnote>
  <w:footnote w:id="236">
    <w:p w14:paraId="4A1FE67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习近平：《推进党的建设新的伟大工程要一以贯之》，《求是》2019第19期。</w:t>
      </w:r>
    </w:p>
  </w:footnote>
  <w:footnote w:id="237">
    <w:p w14:paraId="334D4F3C">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Академик КАОН Чен Эньфу ：Анализ экономического развития СССР и причин его драматического распада.URL: https://msk.kprf.ru/2021/08/31/166904/?ysclid=l96qtzhubk40644149</w:t>
      </w:r>
    </w:p>
  </w:footnote>
  <w:footnote w:id="238">
    <w:p w14:paraId="2F61EE3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Пихоя Р.Г. Почему распался Советский Союза: сб. докладов и материалов международной научной конференции, Москва, сентябрь 2004 г. / сост. С.М.Исхаков; отв. ред. Г.Н.Севостьянов // Трагедия великой державы.Национальный вопрос и распад Советского Союза. М., 2005. С. 422.</w:t>
      </w:r>
    </w:p>
  </w:footnote>
  <w:footnote w:id="239">
    <w:p w14:paraId="3B31F3E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Национальные истории в советском и постсоветских государствах / под ред. К.Аймермахера, Г.Бордюгова. М., 2003; Симонян Р.Ч. Страны Балтии и распад СССР: о некоторых мифах и стереотипах массового сознания // Вопросы истории. 2002. </w:t>
      </w:r>
      <w:r>
        <w:rPr>
          <w:rFonts w:hint="eastAsia" w:ascii="宋体" w:hAnsi="宋体" w:eastAsia="宋体" w:cs="宋体"/>
          <w:sz w:val="21"/>
          <w:szCs w:val="21"/>
        </w:rPr>
        <w:t>No</w:t>
      </w:r>
      <w:r>
        <w:rPr>
          <w:rFonts w:hint="eastAsia" w:ascii="宋体" w:hAnsi="宋体" w:eastAsia="宋体" w:cs="宋体"/>
          <w:sz w:val="21"/>
          <w:szCs w:val="21"/>
          <w:lang w:val="ru-RU"/>
        </w:rPr>
        <w:t xml:space="preserve"> 12. С. 34–37.</w:t>
      </w:r>
    </w:p>
  </w:footnote>
  <w:footnote w:id="240">
    <w:p w14:paraId="3CF81E4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Хлестов О.Н.Что произошло с СССР: он распался или его развалили?.</w:t>
      </w:r>
      <w:r>
        <w:rPr>
          <w:rFonts w:hint="eastAsia" w:ascii="宋体" w:hAnsi="宋体" w:eastAsia="宋体" w:cs="宋体"/>
          <w:sz w:val="21"/>
          <w:szCs w:val="21"/>
        </w:rPr>
        <w:t>URL</w:t>
      </w:r>
      <w:r>
        <w:rPr>
          <w:rFonts w:hint="eastAsia" w:ascii="宋体" w:hAnsi="宋体" w:eastAsia="宋体" w:cs="宋体"/>
          <w:sz w:val="21"/>
          <w:szCs w:val="21"/>
          <w:lang w:val="ru-RU"/>
        </w:rPr>
        <w:t>:</w:t>
      </w:r>
      <w:r>
        <w:rPr>
          <w:rFonts w:hint="eastAsia" w:ascii="宋体" w:hAnsi="宋体" w:eastAsia="宋体" w:cs="宋体"/>
          <w:sz w:val="21"/>
          <w:szCs w:val="21"/>
        </w:rPr>
        <w:t>http</w:t>
      </w:r>
      <w:r>
        <w:rPr>
          <w:rFonts w:hint="eastAsia" w:ascii="宋体" w:hAnsi="宋体" w:eastAsia="宋体" w:cs="宋体"/>
          <w:sz w:val="21"/>
          <w:szCs w:val="21"/>
          <w:lang w:val="ru-RU"/>
        </w:rPr>
        <w:t>://</w:t>
      </w:r>
      <w:r>
        <w:rPr>
          <w:rFonts w:hint="eastAsia" w:ascii="宋体" w:hAnsi="宋体" w:eastAsia="宋体" w:cs="宋体"/>
          <w:sz w:val="21"/>
          <w:szCs w:val="21"/>
        </w:rPr>
        <w:t>inter</w:t>
      </w:r>
      <w:r>
        <w:rPr>
          <w:rFonts w:hint="eastAsia" w:ascii="宋体" w:hAnsi="宋体" w:eastAsia="宋体" w:cs="宋体"/>
          <w:sz w:val="21"/>
          <w:szCs w:val="21"/>
          <w:lang w:val="ru-RU"/>
        </w:rPr>
        <w:t>-</w:t>
      </w:r>
      <w:r>
        <w:rPr>
          <w:rFonts w:hint="eastAsia" w:ascii="宋体" w:hAnsi="宋体" w:eastAsia="宋体" w:cs="宋体"/>
          <w:sz w:val="21"/>
          <w:szCs w:val="21"/>
        </w:rPr>
        <w:t>legal</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chto</w:t>
      </w:r>
      <w:r>
        <w:rPr>
          <w:rFonts w:hint="eastAsia" w:ascii="宋体" w:hAnsi="宋体" w:eastAsia="宋体" w:cs="宋体"/>
          <w:sz w:val="21"/>
          <w:szCs w:val="21"/>
          <w:lang w:val="ru-RU"/>
        </w:rPr>
        <w:t>-</w:t>
      </w:r>
      <w:r>
        <w:rPr>
          <w:rFonts w:hint="eastAsia" w:ascii="宋体" w:hAnsi="宋体" w:eastAsia="宋体" w:cs="宋体"/>
          <w:sz w:val="21"/>
          <w:szCs w:val="21"/>
        </w:rPr>
        <w:t>proizoshlo</w:t>
      </w:r>
      <w:r>
        <w:rPr>
          <w:rFonts w:hint="eastAsia" w:ascii="宋体" w:hAnsi="宋体" w:eastAsia="宋体" w:cs="宋体"/>
          <w:sz w:val="21"/>
          <w:szCs w:val="21"/>
          <w:lang w:val="ru-RU"/>
        </w:rPr>
        <w:t>-</w:t>
      </w:r>
      <w:r>
        <w:rPr>
          <w:rFonts w:hint="eastAsia" w:ascii="宋体" w:hAnsi="宋体" w:eastAsia="宋体" w:cs="宋体"/>
          <w:sz w:val="21"/>
          <w:szCs w:val="21"/>
        </w:rPr>
        <w:t>s</w:t>
      </w:r>
      <w:r>
        <w:rPr>
          <w:rFonts w:hint="eastAsia" w:ascii="宋体" w:hAnsi="宋体" w:eastAsia="宋体" w:cs="宋体"/>
          <w:sz w:val="21"/>
          <w:szCs w:val="21"/>
          <w:lang w:val="ru-RU"/>
        </w:rPr>
        <w:t>-</w:t>
      </w:r>
      <w:r>
        <w:rPr>
          <w:rFonts w:hint="eastAsia" w:ascii="宋体" w:hAnsi="宋体" w:eastAsia="宋体" w:cs="宋体"/>
          <w:sz w:val="21"/>
          <w:szCs w:val="21"/>
        </w:rPr>
        <w:t>sssr</w:t>
      </w:r>
      <w:r>
        <w:rPr>
          <w:rFonts w:hint="eastAsia" w:ascii="宋体" w:hAnsi="宋体" w:eastAsia="宋体" w:cs="宋体"/>
          <w:sz w:val="21"/>
          <w:szCs w:val="21"/>
          <w:lang w:val="ru-RU"/>
        </w:rPr>
        <w:t>-</w:t>
      </w:r>
      <w:r>
        <w:rPr>
          <w:rFonts w:hint="eastAsia" w:ascii="宋体" w:hAnsi="宋体" w:eastAsia="宋体" w:cs="宋体"/>
          <w:sz w:val="21"/>
          <w:szCs w:val="21"/>
        </w:rPr>
        <w:t>on</w:t>
      </w:r>
      <w:r>
        <w:rPr>
          <w:rFonts w:hint="eastAsia" w:ascii="宋体" w:hAnsi="宋体" w:eastAsia="宋体" w:cs="宋体"/>
          <w:sz w:val="21"/>
          <w:szCs w:val="21"/>
          <w:lang w:val="ru-RU"/>
        </w:rPr>
        <w:t>-</w:t>
      </w:r>
      <w:r>
        <w:rPr>
          <w:rFonts w:hint="eastAsia" w:ascii="宋体" w:hAnsi="宋体" w:eastAsia="宋体" w:cs="宋体"/>
          <w:sz w:val="21"/>
          <w:szCs w:val="21"/>
        </w:rPr>
        <w:t>raspalsya</w:t>
      </w:r>
      <w:r>
        <w:rPr>
          <w:rFonts w:hint="eastAsia" w:ascii="宋体" w:hAnsi="宋体" w:eastAsia="宋体" w:cs="宋体"/>
          <w:sz w:val="21"/>
          <w:szCs w:val="21"/>
          <w:lang w:val="ru-RU"/>
        </w:rPr>
        <w:t>-</w:t>
      </w:r>
      <w:r>
        <w:rPr>
          <w:rFonts w:hint="eastAsia" w:ascii="宋体" w:hAnsi="宋体" w:eastAsia="宋体" w:cs="宋体"/>
          <w:sz w:val="21"/>
          <w:szCs w:val="21"/>
        </w:rPr>
        <w:t>ili</w:t>
      </w:r>
      <w:r>
        <w:rPr>
          <w:rFonts w:hint="eastAsia" w:ascii="宋体" w:hAnsi="宋体" w:eastAsia="宋体" w:cs="宋体"/>
          <w:sz w:val="21"/>
          <w:szCs w:val="21"/>
          <w:lang w:val="ru-RU"/>
        </w:rPr>
        <w:t>-</w:t>
      </w:r>
      <w:r>
        <w:rPr>
          <w:rFonts w:hint="eastAsia" w:ascii="宋体" w:hAnsi="宋体" w:eastAsia="宋体" w:cs="宋体"/>
          <w:sz w:val="21"/>
          <w:szCs w:val="21"/>
        </w:rPr>
        <w:t>ego</w:t>
      </w:r>
      <w:r>
        <w:rPr>
          <w:rFonts w:hint="eastAsia" w:ascii="宋体" w:hAnsi="宋体" w:eastAsia="宋体" w:cs="宋体"/>
          <w:sz w:val="21"/>
          <w:szCs w:val="21"/>
          <w:lang w:val="ru-RU"/>
        </w:rPr>
        <w:t>-</w:t>
      </w:r>
      <w:r>
        <w:rPr>
          <w:rFonts w:hint="eastAsia" w:ascii="宋体" w:hAnsi="宋体" w:eastAsia="宋体" w:cs="宋体"/>
          <w:sz w:val="21"/>
          <w:szCs w:val="21"/>
        </w:rPr>
        <w:t>razvalili</w:t>
      </w:r>
    </w:p>
  </w:footnote>
  <w:footnote w:id="241">
    <w:p w14:paraId="2859519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Геннадий Зюганов.СВО на Украине превращается еще в одну Отечественную кампанию. </w:t>
      </w:r>
      <w:r>
        <w:rPr>
          <w:rFonts w:hint="eastAsia" w:ascii="宋体" w:hAnsi="宋体" w:eastAsia="宋体" w:cs="宋体"/>
          <w:sz w:val="21"/>
          <w:szCs w:val="21"/>
        </w:rPr>
        <w:t>URL</w:t>
      </w:r>
      <w:r>
        <w:rPr>
          <w:rFonts w:hint="eastAsia" w:ascii="宋体" w:hAnsi="宋体" w:eastAsia="宋体" w:cs="宋体"/>
          <w:sz w:val="21"/>
          <w:szCs w:val="21"/>
          <w:lang w:val="ru-RU"/>
        </w:rPr>
        <w:t xml:space="preserve">: </w:t>
      </w:r>
      <w:r>
        <w:rPr>
          <w:rFonts w:hint="eastAsia" w:ascii="宋体" w:hAnsi="宋体" w:eastAsia="宋体" w:cs="宋体"/>
          <w:sz w:val="21"/>
          <w:szCs w:val="21"/>
        </w:rPr>
        <w:t>https</w:t>
      </w:r>
      <w:r>
        <w:rPr>
          <w:rFonts w:hint="eastAsia" w:ascii="宋体" w:hAnsi="宋体" w:eastAsia="宋体" w:cs="宋体"/>
          <w:sz w:val="21"/>
          <w:szCs w:val="21"/>
          <w:lang w:val="ru-RU"/>
        </w:rPr>
        <w:t>://</w:t>
      </w:r>
      <w:r>
        <w:rPr>
          <w:rFonts w:hint="eastAsia" w:ascii="宋体" w:hAnsi="宋体" w:eastAsia="宋体" w:cs="宋体"/>
          <w:sz w:val="21"/>
          <w:szCs w:val="21"/>
        </w:rPr>
        <w:t>kprf</w:t>
      </w:r>
      <w:r>
        <w:rPr>
          <w:rFonts w:hint="eastAsia" w:ascii="宋体" w:hAnsi="宋体" w:eastAsia="宋体" w:cs="宋体"/>
          <w:sz w:val="21"/>
          <w:szCs w:val="21"/>
          <w:lang w:val="ru-RU"/>
        </w:rPr>
        <w:t>.</w:t>
      </w:r>
      <w:r>
        <w:rPr>
          <w:rFonts w:hint="eastAsia" w:ascii="宋体" w:hAnsi="宋体" w:eastAsia="宋体" w:cs="宋体"/>
          <w:sz w:val="21"/>
          <w:szCs w:val="21"/>
        </w:rPr>
        <w:t>ru</w:t>
      </w:r>
      <w:r>
        <w:rPr>
          <w:rFonts w:hint="eastAsia" w:ascii="宋体" w:hAnsi="宋体" w:eastAsia="宋体" w:cs="宋体"/>
          <w:sz w:val="21"/>
          <w:szCs w:val="21"/>
          <w:lang w:val="ru-RU"/>
        </w:rPr>
        <w:t>/</w:t>
      </w:r>
      <w:r>
        <w:rPr>
          <w:rFonts w:hint="eastAsia" w:ascii="宋体" w:hAnsi="宋体" w:eastAsia="宋体" w:cs="宋体"/>
          <w:sz w:val="21"/>
          <w:szCs w:val="21"/>
        </w:rPr>
        <w:t>party</w:t>
      </w:r>
      <w:r>
        <w:rPr>
          <w:rFonts w:hint="eastAsia" w:ascii="宋体" w:hAnsi="宋体" w:eastAsia="宋体" w:cs="宋体"/>
          <w:sz w:val="21"/>
          <w:szCs w:val="21"/>
          <w:lang w:val="ru-RU"/>
        </w:rPr>
        <w:t>-</w:t>
      </w:r>
      <w:r>
        <w:rPr>
          <w:rFonts w:hint="eastAsia" w:ascii="宋体" w:hAnsi="宋体" w:eastAsia="宋体" w:cs="宋体"/>
          <w:sz w:val="21"/>
          <w:szCs w:val="21"/>
        </w:rPr>
        <w:t>live</w:t>
      </w:r>
      <w:r>
        <w:rPr>
          <w:rFonts w:hint="eastAsia" w:ascii="宋体" w:hAnsi="宋体" w:eastAsia="宋体" w:cs="宋体"/>
          <w:sz w:val="21"/>
          <w:szCs w:val="21"/>
          <w:lang w:val="ru-RU"/>
        </w:rPr>
        <w:t>/</w:t>
      </w:r>
      <w:r>
        <w:rPr>
          <w:rFonts w:hint="eastAsia" w:ascii="宋体" w:hAnsi="宋体" w:eastAsia="宋体" w:cs="宋体"/>
          <w:sz w:val="21"/>
          <w:szCs w:val="21"/>
        </w:rPr>
        <w:t>cknews</w:t>
      </w:r>
      <w:r>
        <w:rPr>
          <w:rFonts w:hint="eastAsia" w:ascii="宋体" w:hAnsi="宋体" w:eastAsia="宋体" w:cs="宋体"/>
          <w:sz w:val="21"/>
          <w:szCs w:val="21"/>
          <w:lang w:val="ru-RU"/>
        </w:rPr>
        <w:t>/213613.</w:t>
      </w:r>
      <w:r>
        <w:rPr>
          <w:rFonts w:hint="eastAsia" w:ascii="宋体" w:hAnsi="宋体" w:eastAsia="宋体" w:cs="宋体"/>
          <w:sz w:val="21"/>
          <w:szCs w:val="21"/>
        </w:rPr>
        <w:t>html</w:t>
      </w:r>
    </w:p>
  </w:footnote>
  <w:footnote w:id="242">
    <w:p w14:paraId="7F8F7EF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ru-RU"/>
        </w:rPr>
      </w:pPr>
      <w:r>
        <w:rPr>
          <w:rStyle w:val="20"/>
          <w:rFonts w:hint="eastAsia" w:ascii="宋体" w:hAnsi="宋体" w:eastAsia="宋体" w:cs="宋体"/>
          <w:sz w:val="21"/>
          <w:szCs w:val="21"/>
        </w:rPr>
        <w:footnoteRef/>
      </w:r>
      <w:r>
        <w:rPr>
          <w:rFonts w:hint="eastAsia" w:ascii="宋体" w:hAnsi="宋体" w:eastAsia="宋体" w:cs="宋体"/>
          <w:sz w:val="21"/>
          <w:szCs w:val="21"/>
          <w:lang w:val="ru-RU"/>
        </w:rPr>
        <w:t xml:space="preserve"> «Полный текст обращения Владимира Путина 30 сентября 2022: Стенограмма выступления», </w:t>
      </w:r>
      <w:r>
        <w:rPr>
          <w:rFonts w:hint="eastAsia" w:ascii="宋体" w:hAnsi="宋体" w:eastAsia="宋体" w:cs="宋体"/>
          <w:sz w:val="21"/>
          <w:szCs w:val="21"/>
        </w:rPr>
        <w:t>URL</w:t>
      </w:r>
      <w:r>
        <w:rPr>
          <w:rFonts w:hint="eastAsia" w:ascii="宋体" w:hAnsi="宋体" w:eastAsia="宋体" w:cs="宋体"/>
          <w:sz w:val="21"/>
          <w:szCs w:val="21"/>
          <w:lang w:val="ru-RU"/>
        </w:rPr>
        <w:t xml:space="preserve">: </w:t>
      </w:r>
      <w:r>
        <w:rPr>
          <w:rFonts w:hint="eastAsia" w:ascii="宋体" w:hAnsi="宋体" w:eastAsia="宋体" w:cs="宋体"/>
          <w:sz w:val="21"/>
          <w:szCs w:val="21"/>
        </w:rPr>
        <w:fldChar w:fldCharType="begin"/>
      </w:r>
      <w:r>
        <w:rPr>
          <w:rFonts w:hint="eastAsia" w:ascii="宋体" w:hAnsi="宋体" w:eastAsia="宋体" w:cs="宋体"/>
          <w:sz w:val="21"/>
          <w:szCs w:val="21"/>
          <w:lang w:val="ru-RU"/>
        </w:rPr>
        <w:instrText xml:space="preserve"> </w:instrText>
      </w:r>
      <w:r>
        <w:rPr>
          <w:rFonts w:hint="eastAsia" w:ascii="宋体" w:hAnsi="宋体" w:eastAsia="宋体" w:cs="宋体"/>
          <w:sz w:val="21"/>
          <w:szCs w:val="21"/>
        </w:rPr>
        <w:instrText xml:space="preserve">HYPERLINK</w:instrText>
      </w:r>
      <w:r>
        <w:rPr>
          <w:rFonts w:hint="eastAsia" w:ascii="宋体" w:hAnsi="宋体" w:eastAsia="宋体" w:cs="宋体"/>
          <w:sz w:val="21"/>
          <w:szCs w:val="21"/>
          <w:lang w:val="ru-RU"/>
        </w:rPr>
        <w:instrText xml:space="preserve"> "</w:instrText>
      </w:r>
      <w:r>
        <w:rPr>
          <w:rFonts w:hint="eastAsia" w:ascii="宋体" w:hAnsi="宋体" w:eastAsia="宋体" w:cs="宋体"/>
          <w:sz w:val="21"/>
          <w:szCs w:val="21"/>
        </w:rPr>
        <w:instrText xml:space="preserve">https</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kp</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ru</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turbopages</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org</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turbo</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kp</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ru</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s</w:instrText>
      </w:r>
      <w:r>
        <w:rPr>
          <w:rFonts w:hint="eastAsia" w:ascii="宋体" w:hAnsi="宋体" w:eastAsia="宋体" w:cs="宋体"/>
          <w:sz w:val="21"/>
          <w:szCs w:val="21"/>
          <w:lang w:val="ru-RU"/>
        </w:rPr>
        <w:instrText xml:space="preserve">/</w:instrText>
      </w:r>
      <w:r>
        <w:rPr>
          <w:rFonts w:hint="eastAsia" w:ascii="宋体" w:hAnsi="宋体" w:eastAsia="宋体" w:cs="宋体"/>
          <w:sz w:val="21"/>
          <w:szCs w:val="21"/>
        </w:rPr>
        <w:instrText xml:space="preserve">daily</w:instrText>
      </w:r>
      <w:r>
        <w:rPr>
          <w:rFonts w:hint="eastAsia" w:ascii="宋体" w:hAnsi="宋体" w:eastAsia="宋体" w:cs="宋体"/>
          <w:sz w:val="21"/>
          <w:szCs w:val="21"/>
          <w:lang w:val="ru-RU"/>
        </w:rPr>
        <w:instrText xml:space="preserve">/27452.5/4655517/(</w:instrText>
      </w:r>
      <w:r>
        <w:rPr>
          <w:rFonts w:hint="eastAsia" w:ascii="宋体" w:hAnsi="宋体" w:eastAsia="宋体" w:cs="宋体"/>
          <w:sz w:val="21"/>
          <w:szCs w:val="21"/>
        </w:rPr>
        <w:instrText xml:space="preserve">俄罗斯《共青团真理报》</w:instrText>
      </w:r>
      <w:r>
        <w:rPr>
          <w:rFonts w:hint="eastAsia" w:ascii="宋体" w:hAnsi="宋体" w:eastAsia="宋体" w:cs="宋体"/>
          <w:sz w:val="21"/>
          <w:szCs w:val="21"/>
          <w:lang w:val="ru-RU"/>
        </w:rPr>
        <w:instrText xml:space="preserve">2022</w:instrText>
      </w:r>
      <w:r>
        <w:rPr>
          <w:rFonts w:hint="eastAsia" w:ascii="宋体" w:hAnsi="宋体" w:eastAsia="宋体" w:cs="宋体"/>
          <w:sz w:val="21"/>
          <w:szCs w:val="21"/>
        </w:rPr>
        <w:instrText xml:space="preserve">年</w:instrText>
      </w:r>
      <w:r>
        <w:rPr>
          <w:rFonts w:hint="eastAsia" w:ascii="宋体" w:hAnsi="宋体" w:eastAsia="宋体" w:cs="宋体"/>
          <w:sz w:val="21"/>
          <w:szCs w:val="21"/>
          <w:lang w:val="ru-RU"/>
        </w:rPr>
        <w:instrText xml:space="preserve">9</w:instrText>
      </w:r>
      <w:r>
        <w:rPr>
          <w:rFonts w:hint="eastAsia" w:ascii="宋体" w:hAnsi="宋体" w:eastAsia="宋体" w:cs="宋体"/>
          <w:sz w:val="21"/>
          <w:szCs w:val="21"/>
        </w:rPr>
        <w:instrText xml:space="preserve">月</w:instrText>
      </w:r>
      <w:r>
        <w:rPr>
          <w:rFonts w:hint="eastAsia" w:ascii="宋体" w:hAnsi="宋体" w:eastAsia="宋体" w:cs="宋体"/>
          <w:sz w:val="21"/>
          <w:szCs w:val="21"/>
          <w:lang w:val="ru-RU"/>
        </w:rPr>
        <w:instrText xml:space="preserve">30" </w:instrText>
      </w:r>
      <w:r>
        <w:rPr>
          <w:rFonts w:hint="eastAsia" w:ascii="宋体" w:hAnsi="宋体" w:eastAsia="宋体" w:cs="宋体"/>
          <w:sz w:val="21"/>
          <w:szCs w:val="21"/>
        </w:rPr>
        <w:fldChar w:fldCharType="separate"/>
      </w:r>
      <w:r>
        <w:rPr>
          <w:rStyle w:val="19"/>
          <w:rFonts w:hint="eastAsia" w:ascii="宋体" w:hAnsi="宋体" w:eastAsia="宋体" w:cs="宋体"/>
          <w:color w:val="auto"/>
          <w:sz w:val="21"/>
          <w:szCs w:val="21"/>
        </w:rPr>
        <w:t>https</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kp</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ru</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turbopages</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org</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turbo</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kp</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ru</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s</w:t>
      </w:r>
      <w:r>
        <w:rPr>
          <w:rStyle w:val="19"/>
          <w:rFonts w:hint="eastAsia" w:ascii="宋体" w:hAnsi="宋体" w:eastAsia="宋体" w:cs="宋体"/>
          <w:color w:val="auto"/>
          <w:sz w:val="21"/>
          <w:szCs w:val="21"/>
          <w:lang w:val="ru-RU"/>
        </w:rPr>
        <w:t>/</w:t>
      </w:r>
      <w:r>
        <w:rPr>
          <w:rStyle w:val="19"/>
          <w:rFonts w:hint="eastAsia" w:ascii="宋体" w:hAnsi="宋体" w:eastAsia="宋体" w:cs="宋体"/>
          <w:color w:val="auto"/>
          <w:sz w:val="21"/>
          <w:szCs w:val="21"/>
        </w:rPr>
        <w:t>daily</w:t>
      </w:r>
      <w:r>
        <w:rPr>
          <w:rStyle w:val="19"/>
          <w:rFonts w:hint="eastAsia" w:ascii="宋体" w:hAnsi="宋体" w:eastAsia="宋体" w:cs="宋体"/>
          <w:color w:val="auto"/>
          <w:sz w:val="21"/>
          <w:szCs w:val="21"/>
          <w:lang w:val="ru-RU"/>
        </w:rPr>
        <w:t>/27452.5/4655517/(</w:t>
      </w:r>
      <w:r>
        <w:rPr>
          <w:rStyle w:val="19"/>
          <w:rFonts w:hint="eastAsia" w:ascii="宋体" w:hAnsi="宋体" w:eastAsia="宋体" w:cs="宋体"/>
          <w:color w:val="auto"/>
          <w:sz w:val="21"/>
          <w:szCs w:val="21"/>
        </w:rPr>
        <w:t>俄罗斯《共青团真理报》</w:t>
      </w:r>
      <w:r>
        <w:rPr>
          <w:rStyle w:val="19"/>
          <w:rFonts w:hint="eastAsia" w:ascii="宋体" w:hAnsi="宋体" w:eastAsia="宋体" w:cs="宋体"/>
          <w:color w:val="auto"/>
          <w:sz w:val="21"/>
          <w:szCs w:val="21"/>
          <w:lang w:val="ru-RU"/>
        </w:rPr>
        <w:t>2022</w:t>
      </w:r>
      <w:r>
        <w:rPr>
          <w:rStyle w:val="19"/>
          <w:rFonts w:hint="eastAsia" w:ascii="宋体" w:hAnsi="宋体" w:eastAsia="宋体" w:cs="宋体"/>
          <w:color w:val="auto"/>
          <w:sz w:val="21"/>
          <w:szCs w:val="21"/>
        </w:rPr>
        <w:t>年</w:t>
      </w:r>
      <w:r>
        <w:rPr>
          <w:rStyle w:val="19"/>
          <w:rFonts w:hint="eastAsia" w:ascii="宋体" w:hAnsi="宋体" w:eastAsia="宋体" w:cs="宋体"/>
          <w:color w:val="auto"/>
          <w:sz w:val="21"/>
          <w:szCs w:val="21"/>
          <w:lang w:val="ru-RU"/>
        </w:rPr>
        <w:t>9</w:t>
      </w:r>
      <w:r>
        <w:rPr>
          <w:rStyle w:val="19"/>
          <w:rFonts w:hint="eastAsia" w:ascii="宋体" w:hAnsi="宋体" w:eastAsia="宋体" w:cs="宋体"/>
          <w:color w:val="auto"/>
          <w:sz w:val="21"/>
          <w:szCs w:val="21"/>
        </w:rPr>
        <w:t>月</w:t>
      </w:r>
      <w:r>
        <w:rPr>
          <w:rStyle w:val="19"/>
          <w:rFonts w:hint="eastAsia" w:ascii="宋体" w:hAnsi="宋体" w:eastAsia="宋体" w:cs="宋体"/>
          <w:color w:val="auto"/>
          <w:sz w:val="21"/>
          <w:szCs w:val="21"/>
          <w:lang w:val="ru-RU"/>
        </w:rPr>
        <w:t>30</w:t>
      </w:r>
      <w:r>
        <w:rPr>
          <w:rFonts w:hint="eastAsia" w:ascii="宋体" w:hAnsi="宋体" w:eastAsia="宋体" w:cs="宋体"/>
          <w:sz w:val="21"/>
          <w:szCs w:val="21"/>
        </w:rPr>
        <w:fldChar w:fldCharType="end"/>
      </w:r>
      <w:r>
        <w:rPr>
          <w:rFonts w:hint="eastAsia" w:ascii="宋体" w:hAnsi="宋体" w:eastAsia="宋体" w:cs="宋体"/>
          <w:sz w:val="21"/>
          <w:szCs w:val="21"/>
        </w:rPr>
        <w:t>日</w:t>
      </w:r>
      <w:r>
        <w:rPr>
          <w:rFonts w:hint="eastAsia" w:ascii="宋体" w:hAnsi="宋体" w:eastAsia="宋体" w:cs="宋体"/>
          <w:sz w:val="21"/>
          <w:szCs w:val="21"/>
          <w:lang w:val="ru-RU"/>
        </w:rPr>
        <w:t>)</w:t>
      </w:r>
    </w:p>
  </w:footnote>
  <w:footnote w:id="243">
    <w:p w14:paraId="6FDF241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程恩富：《列宁主义有何科学性和当代价值？——与英国大卫·莱恩院士商榷》，《政治经济学研究》2022年第1期。</w:t>
      </w:r>
    </w:p>
  </w:footnote>
  <w:footnote w:id="244">
    <w:p w14:paraId="1028DE3A">
      <w:pPr>
        <w:pStyle w:val="2"/>
        <w:pageBreakBefore w:val="0"/>
        <w:kinsoku/>
        <w:wordWrap/>
        <w:overflowPunct/>
        <w:topLinePunct w:val="0"/>
        <w:bidi w:val="0"/>
        <w:spacing w:before="0" w:beforeAutospacing="0" w:after="0" w:afterAutospacing="0" w:line="240" w:lineRule="auto"/>
        <w:ind w:left="0"/>
        <w:jc w:val="both"/>
        <w:textAlignment w:val="auto"/>
        <w:rPr>
          <w:rFonts w:hint="default" w:eastAsiaTheme="minorEastAsia"/>
          <w:b/>
          <w:bCs/>
          <w:color w:val="auto"/>
          <w:sz w:val="18"/>
          <w:szCs w:val="18"/>
          <w:lang w:val="en-US" w:eastAsia="zh-CN"/>
        </w:rPr>
      </w:pPr>
      <w:bookmarkStart w:id="1047" w:name="_Toc269310256"/>
      <w:r>
        <w:rPr>
          <w:rFonts w:hint="eastAsia"/>
          <w:b/>
          <w:bCs/>
          <w:color w:val="auto"/>
          <w:sz w:val="18"/>
          <w:szCs w:val="18"/>
          <w:lang w:val="en-US" w:eastAsia="zh-CN"/>
        </w:rPr>
        <w:t>1《马克思恩格斯全集》</w:t>
      </w:r>
      <w:r>
        <w:rPr>
          <w:rFonts w:hint="eastAsia"/>
          <w:b/>
          <w:bCs/>
          <w:color w:val="auto"/>
          <w:sz w:val="18"/>
          <w:szCs w:val="18"/>
        </w:rPr>
        <w:t>第4卷</w:t>
      </w:r>
      <w:bookmarkEnd w:id="1047"/>
      <w:bookmarkStart w:id="1048" w:name="_Hlt269310126"/>
      <w:bookmarkEnd w:id="1048"/>
      <w:r>
        <w:rPr>
          <w:rFonts w:hint="eastAsia"/>
          <w:b/>
          <w:bCs/>
          <w:color w:val="auto"/>
          <w:sz w:val="18"/>
          <w:szCs w:val="18"/>
          <w:lang w:eastAsia="zh-CN"/>
        </w:rPr>
        <w:t>，</w:t>
      </w:r>
      <w:r>
        <w:rPr>
          <w:rFonts w:hint="eastAsia"/>
          <w:b/>
          <w:bCs/>
          <w:color w:val="auto"/>
          <w:sz w:val="18"/>
          <w:szCs w:val="18"/>
        </w:rPr>
        <w:t>人民出版社1958年版</w:t>
      </w:r>
      <w:r>
        <w:rPr>
          <w:rFonts w:hint="eastAsia"/>
          <w:b/>
          <w:bCs/>
          <w:color w:val="auto"/>
          <w:sz w:val="18"/>
          <w:szCs w:val="18"/>
          <w:lang w:eastAsia="zh-CN"/>
        </w:rPr>
        <w:t>，</w:t>
      </w:r>
      <w:r>
        <w:rPr>
          <w:rFonts w:hint="eastAsia"/>
          <w:b/>
          <w:bCs/>
          <w:color w:val="auto"/>
          <w:sz w:val="18"/>
          <w:szCs w:val="18"/>
          <w:lang w:val="en-US" w:eastAsia="zh-CN"/>
        </w:rPr>
        <w:t>第357页。</w:t>
      </w:r>
    </w:p>
  </w:footnote>
  <w:footnote w:id="245">
    <w:p w14:paraId="1A46D4A6">
      <w:pPr>
        <w:pStyle w:val="11"/>
        <w:pageBreakBefore w:val="0"/>
        <w:kinsoku/>
        <w:wordWrap/>
        <w:overflowPunct/>
        <w:topLinePunct w:val="0"/>
        <w:bidi w:val="0"/>
        <w:snapToGrid w:val="0"/>
        <w:spacing w:beforeAutospacing="0" w:afterAutospacing="0" w:line="240" w:lineRule="auto"/>
        <w:ind w:left="0"/>
        <w:textAlignment w:val="auto"/>
        <w:rPr>
          <w:rFonts w:hint="default" w:eastAsiaTheme="minorEastAsia"/>
          <w:b/>
          <w:bCs/>
          <w:color w:val="auto"/>
          <w:sz w:val="18"/>
          <w:szCs w:val="18"/>
          <w:lang w:val="en-US" w:eastAsia="zh-CN"/>
        </w:rPr>
      </w:pPr>
      <w:r>
        <w:rPr>
          <w:rStyle w:val="20"/>
          <w:b/>
          <w:bCs/>
          <w:color w:val="auto"/>
          <w:sz w:val="18"/>
          <w:szCs w:val="18"/>
        </w:rPr>
        <w:footnoteRef/>
      </w:r>
      <w:r>
        <w:rPr>
          <w:b/>
          <w:bCs/>
          <w:color w:val="auto"/>
          <w:sz w:val="18"/>
          <w:szCs w:val="18"/>
        </w:rPr>
        <w:t xml:space="preserve"> </w:t>
      </w:r>
      <w:r>
        <w:rPr>
          <w:rFonts w:hint="eastAsia"/>
          <w:b/>
          <w:bCs/>
          <w:color w:val="auto"/>
          <w:sz w:val="18"/>
          <w:szCs w:val="18"/>
          <w:lang w:eastAsia="zh-CN"/>
        </w:rPr>
        <w:t>《</w:t>
      </w:r>
      <w:r>
        <w:rPr>
          <w:rFonts w:hint="eastAsia"/>
          <w:b/>
          <w:bCs/>
          <w:color w:val="auto"/>
          <w:sz w:val="18"/>
          <w:szCs w:val="18"/>
          <w:lang w:val="en-US" w:eastAsia="zh-CN"/>
        </w:rPr>
        <w:t>列宁选集</w:t>
      </w:r>
      <w:r>
        <w:rPr>
          <w:rFonts w:hint="eastAsia"/>
          <w:b/>
          <w:bCs/>
          <w:color w:val="auto"/>
          <w:sz w:val="18"/>
          <w:szCs w:val="18"/>
          <w:lang w:eastAsia="zh-CN"/>
        </w:rPr>
        <w:t>》</w:t>
      </w:r>
      <w:r>
        <w:rPr>
          <w:rFonts w:hint="eastAsia"/>
          <w:b/>
          <w:bCs/>
          <w:color w:val="auto"/>
          <w:sz w:val="18"/>
          <w:szCs w:val="18"/>
          <w:lang w:val="en-US" w:eastAsia="zh-CN"/>
        </w:rPr>
        <w:t>第4卷，人民出版社1992年，第11页。</w:t>
      </w:r>
    </w:p>
  </w:footnote>
  <w:footnote w:id="246">
    <w:p w14:paraId="4536F0E9">
      <w:pPr>
        <w:pStyle w:val="11"/>
        <w:pageBreakBefore w:val="0"/>
        <w:kinsoku/>
        <w:wordWrap/>
        <w:overflowPunct/>
        <w:topLinePunct w:val="0"/>
        <w:bidi w:val="0"/>
        <w:snapToGrid w:val="0"/>
        <w:spacing w:beforeAutospacing="0" w:afterAutospacing="0" w:line="240" w:lineRule="auto"/>
        <w:ind w:left="0"/>
        <w:textAlignment w:val="auto"/>
        <w:rPr>
          <w:rFonts w:hint="default" w:eastAsiaTheme="minorEastAsia"/>
          <w:b/>
          <w:bCs/>
          <w:sz w:val="18"/>
          <w:szCs w:val="18"/>
          <w:lang w:val="en-US" w:eastAsia="zh-CN"/>
        </w:rPr>
      </w:pPr>
      <w:r>
        <w:rPr>
          <w:rStyle w:val="20"/>
          <w:b/>
          <w:bCs/>
          <w:sz w:val="18"/>
          <w:szCs w:val="18"/>
        </w:rPr>
        <w:footnoteRef/>
      </w:r>
      <w:r>
        <w:rPr>
          <w:b/>
          <w:bCs/>
          <w:sz w:val="18"/>
          <w:szCs w:val="18"/>
        </w:rPr>
        <w:t xml:space="preserve"> </w:t>
      </w:r>
      <w:r>
        <w:rPr>
          <w:rFonts w:hint="eastAsia"/>
          <w:b/>
          <w:bCs/>
          <w:sz w:val="18"/>
          <w:szCs w:val="18"/>
          <w:lang w:val="en-US" w:eastAsia="zh-CN"/>
        </w:rPr>
        <w:t>笔者赞成中国鲁品越教授在互通微信时关于经济权力角度的这一阶级定义。</w:t>
      </w:r>
    </w:p>
  </w:footnote>
  <w:footnote w:id="247">
    <w:p w14:paraId="66A291DD">
      <w:pPr>
        <w:pStyle w:val="11"/>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w:t>
      </w:r>
      <w:r>
        <w:t>马克思恩格斯文集</w:t>
      </w:r>
      <w:r>
        <w:rPr>
          <w:rFonts w:hint="eastAsia"/>
        </w:rPr>
        <w:t>》</w:t>
      </w:r>
      <w:r>
        <w:t>第2卷</w:t>
      </w:r>
      <w:r>
        <w:rPr>
          <w:rFonts w:hint="eastAsia"/>
        </w:rPr>
        <w:t>，</w:t>
      </w:r>
      <w:r>
        <w:t>北京：人民出版社，2009</w:t>
      </w:r>
      <w:r>
        <w:rPr>
          <w:rFonts w:hint="eastAsia"/>
        </w:rPr>
        <w:t>年，第17</w:t>
      </w:r>
      <w:r>
        <w:t>5</w:t>
      </w:r>
      <w:r>
        <w:rPr>
          <w:rFonts w:hint="eastAsia"/>
        </w:rPr>
        <w:t>—176页。</w:t>
      </w:r>
    </w:p>
  </w:footnote>
  <w:footnote w:id="248">
    <w:p w14:paraId="1AE4A1A7">
      <w:pPr>
        <w:pStyle w:val="11"/>
        <w:pageBreakBefore w:val="0"/>
        <w:kinsoku/>
        <w:wordWrap/>
        <w:overflowPunct/>
        <w:topLinePunct w:val="0"/>
        <w:bidi w:val="0"/>
        <w:spacing w:beforeAutospacing="0" w:afterAutospacing="0" w:line="240" w:lineRule="auto"/>
        <w:ind w:left="0"/>
        <w:textAlignment w:val="auto"/>
        <w:rPr>
          <w:rFonts w:hint="eastAsia" w:ascii="宋体" w:hAnsi="宋体" w:eastAsia="宋体" w:cs="宋体"/>
          <w:b/>
          <w:bCs/>
        </w:rPr>
      </w:pPr>
      <w:r>
        <w:rPr>
          <w:rStyle w:val="20"/>
        </w:rPr>
        <w:footnoteRef/>
      </w:r>
      <w:r>
        <w:t xml:space="preserve"> </w:t>
      </w:r>
      <w:r>
        <w:rPr>
          <w:rFonts w:hint="eastAsia" w:ascii="宋体" w:hAnsi="宋体" w:eastAsia="宋体" w:cs="宋体"/>
          <w:b/>
          <w:bCs/>
        </w:rPr>
        <w:t>《列宁全集》第29卷，北京：人民出版社2017年版，第69页。</w:t>
      </w:r>
    </w:p>
  </w:footnote>
  <w:footnote w:id="249">
    <w:p w14:paraId="2443D5B3">
      <w:pPr>
        <w:pageBreakBefore w:val="0"/>
        <w:widowControl/>
        <w:kinsoku/>
        <w:wordWrap/>
        <w:overflowPunct/>
        <w:topLinePunct w:val="0"/>
        <w:bidi w:val="0"/>
        <w:spacing w:beforeAutospacing="0" w:afterAutospacing="0" w:line="240" w:lineRule="auto"/>
        <w:ind w:left="0" w:firstLine="0" w:firstLineChars="0"/>
        <w:jc w:val="left"/>
        <w:textAlignment w:val="auto"/>
        <w:rPr>
          <w:rFonts w:hint="eastAsia" w:ascii="宋体" w:hAnsi="宋体" w:eastAsia="宋体" w:cs="宋体"/>
          <w:b/>
          <w:bCs/>
          <w:color w:val="000000"/>
          <w:kern w:val="0"/>
          <w:sz w:val="18"/>
          <w:szCs w:val="18"/>
        </w:rPr>
      </w:pPr>
      <w:r>
        <w:rPr>
          <w:rStyle w:val="20"/>
          <w:rFonts w:hint="eastAsia" w:ascii="宋体" w:hAnsi="宋体" w:eastAsia="宋体" w:cs="宋体"/>
          <w:b/>
          <w:bCs/>
          <w:sz w:val="18"/>
          <w:szCs w:val="18"/>
        </w:rPr>
        <w:footnoteRef/>
      </w:r>
      <w:r>
        <w:rPr>
          <w:rFonts w:hint="eastAsia" w:ascii="宋体" w:hAnsi="宋体" w:eastAsia="宋体" w:cs="宋体"/>
          <w:b/>
          <w:bCs/>
          <w:lang w:val="en-US" w:eastAsia="zh-CN"/>
        </w:rPr>
        <w:t xml:space="preserve"> 详见</w:t>
      </w:r>
      <w:r>
        <w:rPr>
          <w:rFonts w:hint="eastAsia" w:ascii="宋体" w:hAnsi="宋体" w:eastAsia="宋体" w:cs="宋体"/>
          <w:b/>
          <w:bCs/>
          <w:color w:val="000000"/>
          <w:kern w:val="0"/>
          <w:sz w:val="18"/>
          <w:szCs w:val="18"/>
        </w:rPr>
        <w:t>程恩富</w:t>
      </w:r>
      <w:r>
        <w:rPr>
          <w:rFonts w:hint="eastAsia" w:ascii="宋体" w:hAnsi="宋体" w:eastAsia="宋体" w:cs="宋体"/>
          <w:b/>
          <w:bCs/>
          <w:color w:val="000000"/>
          <w:kern w:val="0"/>
          <w:sz w:val="18"/>
          <w:szCs w:val="18"/>
          <w:lang w:eastAsia="zh-CN"/>
        </w:rPr>
        <w:t>、</w:t>
      </w:r>
      <w:r>
        <w:rPr>
          <w:rFonts w:hint="eastAsia" w:ascii="宋体" w:hAnsi="宋体" w:eastAsia="宋体" w:cs="宋体"/>
          <w:b/>
          <w:bCs/>
          <w:color w:val="000000"/>
          <w:kern w:val="0"/>
          <w:sz w:val="18"/>
          <w:szCs w:val="18"/>
        </w:rPr>
        <w:t>鲁保林</w:t>
      </w:r>
      <w:r>
        <w:rPr>
          <w:rFonts w:hint="eastAsia" w:ascii="宋体" w:hAnsi="宋体" w:eastAsia="宋体" w:cs="宋体"/>
          <w:b/>
          <w:bCs/>
          <w:color w:val="000000"/>
          <w:kern w:val="0"/>
          <w:sz w:val="18"/>
          <w:szCs w:val="18"/>
          <w:lang w:val="en-US" w:eastAsia="zh-CN"/>
        </w:rPr>
        <w:t>：《</w:t>
      </w:r>
      <w:r>
        <w:rPr>
          <w:rFonts w:hint="eastAsia" w:ascii="宋体" w:hAnsi="宋体" w:eastAsia="宋体" w:cs="宋体"/>
          <w:b/>
          <w:bCs/>
          <w:color w:val="000000"/>
          <w:kern w:val="0"/>
          <w:sz w:val="18"/>
          <w:szCs w:val="18"/>
        </w:rPr>
        <w:t>论新帝国主义的五大特征和特性——以列宁的帝国主义理论为基础</w:t>
      </w:r>
      <w:r>
        <w:rPr>
          <w:rFonts w:hint="eastAsia" w:ascii="宋体" w:hAnsi="宋体" w:eastAsia="宋体" w:cs="宋体"/>
          <w:b/>
          <w:bCs/>
          <w:color w:val="000000"/>
          <w:kern w:val="0"/>
          <w:sz w:val="18"/>
          <w:szCs w:val="18"/>
          <w:lang w:val="en-US" w:eastAsia="zh-CN"/>
        </w:rPr>
        <w:t>》，《马克思主义研究》2019年第5期。</w:t>
      </w:r>
    </w:p>
    <w:p w14:paraId="78728DC6">
      <w:pPr>
        <w:pageBreakBefore w:val="0"/>
        <w:widowControl/>
        <w:kinsoku/>
        <w:wordWrap/>
        <w:overflowPunct/>
        <w:topLinePunct w:val="0"/>
        <w:bidi w:val="0"/>
        <w:spacing w:beforeAutospacing="0" w:afterAutospacing="0" w:line="240" w:lineRule="auto"/>
        <w:ind w:left="0" w:firstLine="1802" w:firstLineChars="1000"/>
        <w:jc w:val="left"/>
        <w:textAlignment w:val="auto"/>
        <w:rPr>
          <w:rFonts w:ascii="华文中宋" w:hAnsi="华文中宋" w:eastAsia="华文中宋" w:cs="Arial"/>
          <w:b/>
          <w:kern w:val="0"/>
          <w:sz w:val="18"/>
          <w:szCs w:val="18"/>
        </w:rPr>
      </w:pPr>
      <w:r>
        <w:rPr>
          <w:rFonts w:hint="eastAsia" w:ascii="华文中宋" w:hAnsi="华文中宋" w:eastAsia="华文中宋" w:cs="Arial"/>
          <w:b/>
          <w:color w:val="000000"/>
          <w:kern w:val="0"/>
          <w:sz w:val="18"/>
          <w:szCs w:val="18"/>
        </w:rPr>
        <w:t xml:space="preserve"> </w:t>
      </w:r>
    </w:p>
    <w:p w14:paraId="412AC75F">
      <w:pPr>
        <w:pStyle w:val="11"/>
        <w:pageBreakBefore w:val="0"/>
        <w:kinsoku/>
        <w:wordWrap/>
        <w:overflowPunct/>
        <w:topLinePunct w:val="0"/>
        <w:bidi w:val="0"/>
        <w:snapToGrid w:val="0"/>
        <w:spacing w:beforeAutospacing="0" w:afterAutospacing="0" w:line="240" w:lineRule="auto"/>
        <w:ind w:left="0"/>
        <w:textAlignment w:val="auto"/>
      </w:pPr>
    </w:p>
  </w:footnote>
  <w:footnote w:id="250">
    <w:p w14:paraId="3AD16585">
      <w:pPr>
        <w:pStyle w:val="11"/>
        <w:pageBreakBefore w:val="0"/>
        <w:kinsoku/>
        <w:wordWrap/>
        <w:overflowPunct/>
        <w:topLinePunct w:val="0"/>
        <w:bidi w:val="0"/>
        <w:spacing w:beforeAutospacing="0" w:afterAutospacing="0" w:line="240" w:lineRule="auto"/>
        <w:ind w:left="0" w:hanging="180" w:hangingChars="100"/>
        <w:textAlignment w:val="auto"/>
        <w:rPr>
          <w:rFonts w:hint="default" w:ascii="Times New Roman" w:hAnsi="Times New Roman" w:cs="Times New Roman" w:eastAsiaTheme="minorEastAsia"/>
          <w:color w:val="000000" w:themeColor="text1"/>
          <w:shd w:val="clear" w:color="auto" w:fill="FFFFFF"/>
          <w:lang w:val="en-US" w:eastAsia="zh-CN"/>
          <w14:textFill>
            <w14:solidFill>
              <w14:schemeClr w14:val="tx1"/>
            </w14:solidFill>
          </w14:textFill>
        </w:rPr>
      </w:pPr>
      <w:r>
        <w:rPr>
          <w:rStyle w:val="20"/>
        </w:rPr>
        <w:footnoteRef/>
      </w:r>
      <w:r>
        <w:rPr>
          <w:rFonts w:hint="eastAsia"/>
          <w:sz w:val="21"/>
          <w:szCs w:val="21"/>
          <w:lang w:val="en-US" w:eastAsia="zh-CN"/>
        </w:rPr>
        <w:t>美国</w:t>
      </w:r>
      <w:r>
        <w:rPr>
          <w:rFonts w:ascii="宋体" w:hAnsi="宋体" w:eastAsia="宋体"/>
          <w:sz w:val="21"/>
          <w:szCs w:val="21"/>
        </w:rPr>
        <w:t>YouGov一项民调显示，2015-2018年间，30岁以下美国人对资本主义的支持率从39%</w:t>
      </w:r>
      <w:r>
        <w:rPr>
          <w:rFonts w:hint="eastAsia" w:ascii="宋体" w:hAnsi="宋体" w:eastAsia="宋体"/>
          <w:sz w:val="21"/>
          <w:szCs w:val="21"/>
        </w:rPr>
        <w:t>降至</w:t>
      </w:r>
      <w:r>
        <w:rPr>
          <w:rFonts w:ascii="宋体" w:hAnsi="宋体" w:eastAsia="宋体"/>
          <w:sz w:val="21"/>
          <w:szCs w:val="21"/>
        </w:rPr>
        <w:t>30%，比平均水平低14个百分点，比老年人的支持率低26个百分点。</w:t>
      </w:r>
      <w:r>
        <w:rPr>
          <w:rFonts w:ascii="宋体" w:hAnsi="宋体" w:eastAsia="宋体" w:cs="Arial"/>
          <w:color w:val="000000" w:themeColor="text1"/>
          <w:kern w:val="0"/>
          <w:sz w:val="21"/>
          <w:szCs w:val="21"/>
          <w14:textFill>
            <w14:solidFill>
              <w14:schemeClr w14:val="tx1"/>
            </w14:solidFill>
          </w14:textFill>
        </w:rPr>
        <w:t>2016年哈佛大学对</w:t>
      </w:r>
      <w:r>
        <w:rPr>
          <w:rFonts w:hint="eastAsia" w:ascii="宋体" w:hAnsi="宋体" w:eastAsia="宋体" w:cs="Arial"/>
          <w:color w:val="000000" w:themeColor="text1"/>
          <w:kern w:val="0"/>
          <w:sz w:val="21"/>
          <w:szCs w:val="21"/>
          <w:lang w:eastAsia="zh-CN"/>
          <w14:textFill>
            <w14:solidFill>
              <w14:schemeClr w14:val="tx1"/>
            </w14:solidFill>
          </w14:textFill>
        </w:rPr>
        <w:t>“</w:t>
      </w:r>
      <w:r>
        <w:rPr>
          <w:rFonts w:ascii="宋体" w:hAnsi="宋体" w:eastAsia="宋体" w:cs="Arial"/>
          <w:color w:val="000000" w:themeColor="text1"/>
          <w:kern w:val="0"/>
          <w:sz w:val="21"/>
          <w:szCs w:val="21"/>
          <w14:textFill>
            <w14:solidFill>
              <w14:schemeClr w14:val="tx1"/>
            </w14:solidFill>
          </w14:textFill>
        </w:rPr>
        <w:t>千禧一代</w:t>
      </w:r>
      <w:r>
        <w:rPr>
          <w:rFonts w:hint="eastAsia" w:ascii="宋体" w:hAnsi="宋体" w:eastAsia="宋体" w:cs="Arial"/>
          <w:color w:val="000000" w:themeColor="text1"/>
          <w:kern w:val="0"/>
          <w:sz w:val="21"/>
          <w:szCs w:val="21"/>
          <w:lang w:eastAsia="zh-CN"/>
          <w14:textFill>
            <w14:solidFill>
              <w14:schemeClr w14:val="tx1"/>
            </w14:solidFill>
          </w14:textFill>
        </w:rPr>
        <w:t>”</w:t>
      </w:r>
      <w:r>
        <w:rPr>
          <w:rFonts w:ascii="宋体" w:hAnsi="宋体" w:eastAsia="宋体" w:cs="Arial"/>
          <w:color w:val="000000" w:themeColor="text1"/>
          <w:kern w:val="0"/>
          <w:sz w:val="21"/>
          <w:szCs w:val="21"/>
          <w14:textFill>
            <w14:solidFill>
              <w14:schemeClr w14:val="tx1"/>
            </w14:solidFill>
          </w14:textFill>
        </w:rPr>
        <w:t>的调查发现，51%的受访者不支持资本主义。</w:t>
      </w:r>
      <w:r>
        <w:rPr>
          <w:rFonts w:hint="eastAsia" w:ascii="宋体" w:hAnsi="宋体" w:eastAsia="宋体" w:cs="Arial"/>
          <w:color w:val="000000" w:themeColor="text1"/>
          <w:kern w:val="0"/>
          <w:sz w:val="21"/>
          <w:szCs w:val="21"/>
          <w:lang w:val="en-US" w:eastAsia="zh-CN"/>
          <w14:textFill>
            <w14:solidFill>
              <w14:schemeClr w14:val="tx1"/>
            </w14:solidFill>
          </w14:textFill>
        </w:rPr>
        <w:t>引自：</w:t>
      </w:r>
      <w:r>
        <w:rPr>
          <w:rFonts w:ascii="Times New Roman" w:hAnsi="Times New Roman" w:cs="Times New Roman"/>
          <w:color w:val="000000" w:themeColor="text1"/>
          <w:sz w:val="21"/>
          <w:szCs w:val="21"/>
          <w:shd w:val="clear" w:color="auto" w:fill="FFFFFF"/>
          <w14:textFill>
            <w14:solidFill>
              <w14:schemeClr w14:val="tx1"/>
            </w14:solidFill>
          </w14:textFill>
        </w:rPr>
        <w:t>Pembroke Robert</w:t>
      </w:r>
      <w:r>
        <w:rPr>
          <w:rFonts w:hint="eastAsia" w:ascii="Times New Roman" w:hAnsi="Times New Roman" w:cs="Times New Roman"/>
          <w:color w:val="000000" w:themeColor="text1"/>
          <w:sz w:val="21"/>
          <w:szCs w:val="21"/>
          <w:shd w:val="clear" w:color="auto" w:fill="FFFFFF"/>
          <w:lang w:eastAsia="zh-CN"/>
          <w14:textFill>
            <w14:solidFill>
              <w14:schemeClr w14:val="tx1"/>
            </w14:solidFill>
          </w14:textFill>
        </w:rPr>
        <w:t>，</w:t>
      </w:r>
      <w:r>
        <w:rPr>
          <w:rFonts w:ascii="Times New Roman" w:hAnsi="Times New Roman" w:cs="Times New Roman"/>
          <w:color w:val="000000" w:themeColor="text1"/>
          <w:sz w:val="21"/>
          <w:szCs w:val="21"/>
          <w:shd w:val="clear" w:color="auto" w:fill="FFFFFF"/>
          <w14:textFill>
            <w14:solidFill>
              <w14:schemeClr w14:val="tx1"/>
            </w14:solidFill>
          </w14:textFill>
        </w:rPr>
        <w:t xml:space="preserve"> “Would elimination of regulations return governance to the people?”</w:t>
      </w:r>
      <w:r>
        <w:rPr>
          <w:rFonts w:ascii="Times New Roman" w:hAnsi="Times New Roman" w:cs="Times New Roman"/>
          <w:i/>
          <w:iCs/>
          <w:color w:val="000000" w:themeColor="text1"/>
          <w:sz w:val="21"/>
          <w:szCs w:val="21"/>
          <w14:textFill>
            <w14:solidFill>
              <w14:schemeClr w14:val="tx1"/>
            </w14:solidFill>
          </w14:textFill>
        </w:rPr>
        <w:t xml:space="preserve"> The Enterprise</w:t>
      </w:r>
      <w:r>
        <w:rPr>
          <w:rFonts w:hint="eastAsia" w:ascii="Times New Roman" w:hAnsi="Times New Roman" w:cs="Times New Roman"/>
          <w:i/>
          <w:iCs/>
          <w:color w:val="000000" w:themeColor="text1"/>
          <w:sz w:val="21"/>
          <w:szCs w:val="21"/>
          <w:lang w:eastAsia="zh-CN"/>
          <w14:textFill>
            <w14:solidFill>
              <w14:schemeClr w14:val="tx1"/>
            </w14:solidFill>
          </w14:textFill>
        </w:rPr>
        <w:t>，</w:t>
      </w:r>
      <w:r>
        <w:rPr>
          <w:rFonts w:ascii="Times New Roman" w:hAnsi="Times New Roman" w:cs="Times New Roman"/>
          <w:i/>
          <w:iCs/>
          <w:color w:val="000000" w:themeColor="text1"/>
          <w:sz w:val="21"/>
          <w:szCs w:val="21"/>
          <w14:textFill>
            <w14:solidFill>
              <w14:schemeClr w14:val="tx1"/>
            </w14:solidFill>
          </w14:textFill>
        </w:rPr>
        <w:t xml:space="preserve"> </w:t>
      </w:r>
      <w:r>
        <w:rPr>
          <w:rFonts w:ascii="Times New Roman" w:hAnsi="Times New Roman" w:cs="Times New Roman"/>
          <w:iCs/>
          <w:color w:val="000000" w:themeColor="text1"/>
          <w:sz w:val="21"/>
          <w:szCs w:val="21"/>
          <w14:textFill>
            <w14:solidFill>
              <w14:schemeClr w14:val="tx1"/>
            </w14:solidFill>
          </w14:textFill>
        </w:rPr>
        <w:t>Vol 48</w:t>
      </w:r>
      <w:r>
        <w:rPr>
          <w:rFonts w:hint="eastAsia" w:ascii="Times New Roman" w:hAnsi="Times New Roman" w:cs="Times New Roman"/>
          <w:iCs/>
          <w:color w:val="000000" w:themeColor="text1"/>
          <w:sz w:val="21"/>
          <w:szCs w:val="21"/>
          <w:lang w:eastAsia="zh-CN"/>
          <w14:textFill>
            <w14:solidFill>
              <w14:schemeClr w14:val="tx1"/>
            </w14:solidFill>
          </w14:textFill>
        </w:rPr>
        <w:t>，</w:t>
      </w:r>
      <w:r>
        <w:rPr>
          <w:rFonts w:ascii="Times New Roman" w:hAnsi="Times New Roman" w:cs="Times New Roman"/>
          <w:iCs/>
          <w:color w:val="000000" w:themeColor="text1"/>
          <w:sz w:val="21"/>
          <w:szCs w:val="21"/>
          <w14:textFill>
            <w14:solidFill>
              <w14:schemeClr w14:val="tx1"/>
            </w14:solidFill>
          </w14:textFill>
        </w:rPr>
        <w:t xml:space="preserve"> No.26</w:t>
      </w:r>
      <w:r>
        <w:rPr>
          <w:rFonts w:hint="eastAsia" w:ascii="Times New Roman" w:hAnsi="Times New Roman" w:cs="Times New Roman"/>
          <w:color w:val="000000" w:themeColor="text1"/>
          <w:sz w:val="21"/>
          <w:szCs w:val="21"/>
          <w:shd w:val="clear" w:color="auto" w:fill="FFFFFF"/>
          <w:lang w:eastAsia="zh-CN"/>
          <w14:textFill>
            <w14:solidFill>
              <w14:schemeClr w14:val="tx1"/>
            </w14:solidFill>
          </w14:textFill>
        </w:rPr>
        <w:t>，</w:t>
      </w:r>
      <w:r>
        <w:rPr>
          <w:rFonts w:ascii="Times New Roman" w:hAnsi="Times New Roman" w:cs="Times New Roman"/>
          <w:color w:val="000000" w:themeColor="text1"/>
          <w:sz w:val="21"/>
          <w:szCs w:val="21"/>
          <w:shd w:val="clear" w:color="auto" w:fill="FFFFFF"/>
          <w14:textFill>
            <w14:solidFill>
              <w14:schemeClr w14:val="tx1"/>
            </w14:solidFill>
          </w14:textFill>
        </w:rPr>
        <w:t xml:space="preserve"> 2019</w:t>
      </w:r>
      <w:r>
        <w:rPr>
          <w:rFonts w:hint="eastAsia" w:ascii="Times New Roman" w:hAnsi="Times New Roman" w:cs="Times New Roman"/>
          <w:color w:val="000000" w:themeColor="text1"/>
          <w:sz w:val="21"/>
          <w:szCs w:val="21"/>
          <w:shd w:val="clear" w:color="auto" w:fill="FFFFFF"/>
          <w:lang w:eastAsia="zh-CN"/>
          <w14:textFill>
            <w14:solidFill>
              <w14:schemeClr w14:val="tx1"/>
            </w14:solidFill>
          </w14:textFill>
        </w:rPr>
        <w:t>。</w:t>
      </w:r>
      <w:r>
        <w:rPr>
          <w:rFonts w:hint="eastAsia" w:ascii="Times New Roman" w:hAnsi="Times New Roman" w:cs="Times New Roman"/>
          <w:color w:val="000000" w:themeColor="text1"/>
          <w:sz w:val="21"/>
          <w:szCs w:val="21"/>
          <w:shd w:val="clear" w:color="auto" w:fill="FFFFFF"/>
          <w:lang w:val="en-US" w:eastAsia="zh-CN"/>
          <w14:textFill>
            <w14:solidFill>
              <w14:schemeClr w14:val="tx1"/>
            </w14:solidFill>
          </w14:textFill>
        </w:rPr>
        <w:t>尽管</w:t>
      </w:r>
      <w:r>
        <w:rPr>
          <w:rFonts w:ascii="宋体" w:hAnsi="宋体" w:eastAsia="宋体" w:cs="Times New Roman"/>
          <w:sz w:val="21"/>
          <w:szCs w:val="21"/>
        </w:rPr>
        <w:t>“千禧社会主义”</w:t>
      </w:r>
      <w:r>
        <w:rPr>
          <w:rFonts w:hint="eastAsia" w:ascii="宋体" w:hAnsi="宋体" w:eastAsia="宋体" w:cs="Times New Roman"/>
          <w:sz w:val="21"/>
          <w:szCs w:val="21"/>
        </w:rPr>
        <w:t>不同于马克思主义理论话语中的</w:t>
      </w:r>
      <w:r>
        <w:rPr>
          <w:rFonts w:ascii="宋体" w:hAnsi="宋体" w:eastAsia="宋体" w:cs="Times New Roman"/>
          <w:sz w:val="21"/>
          <w:szCs w:val="21"/>
        </w:rPr>
        <w:t>社会主义</w:t>
      </w:r>
      <w:r>
        <w:rPr>
          <w:rFonts w:hint="eastAsia" w:ascii="宋体" w:hAnsi="宋体" w:eastAsia="宋体" w:cs="Times New Roman"/>
          <w:sz w:val="21"/>
          <w:szCs w:val="21"/>
          <w:lang w:eastAsia="zh-CN"/>
        </w:rPr>
        <w:t>，</w:t>
      </w:r>
      <w:r>
        <w:rPr>
          <w:rFonts w:hint="eastAsia" w:ascii="宋体" w:hAnsi="宋体" w:eastAsia="宋体" w:cs="Times New Roman"/>
          <w:sz w:val="21"/>
          <w:szCs w:val="21"/>
          <w:lang w:val="en-US" w:eastAsia="zh-CN"/>
        </w:rPr>
        <w:t>但在美国垄断资产阶级的高压统治下，广大人民如此认识已实属不易</w:t>
      </w:r>
      <w:r>
        <w:rPr>
          <w:rFonts w:ascii="宋体" w:hAnsi="宋体" w:eastAsia="宋体" w:cs="Times New Roman"/>
          <w:sz w:val="21"/>
          <w:szCs w:val="21"/>
        </w:rPr>
        <w:t>。</w:t>
      </w:r>
    </w:p>
    <w:p w14:paraId="2D7B55D5">
      <w:pPr>
        <w:pStyle w:val="11"/>
        <w:pageBreakBefore w:val="0"/>
        <w:kinsoku/>
        <w:wordWrap/>
        <w:overflowPunct/>
        <w:topLinePunct w:val="0"/>
        <w:bidi w:val="0"/>
        <w:snapToGrid w:val="0"/>
        <w:spacing w:beforeAutospacing="0" w:afterAutospacing="0" w:line="240" w:lineRule="auto"/>
        <w:ind w:left="0"/>
        <w:textAlignment w:val="auto"/>
      </w:pPr>
      <w:r>
        <w:t xml:space="preserve"> </w:t>
      </w:r>
    </w:p>
  </w:footnote>
  <w:footnote w:id="251">
    <w:p w14:paraId="5A95304D">
      <w:pPr>
        <w:pStyle w:val="11"/>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16"/>
        </w:rPr>
        <w:t>《帝国主义是资本主义的最高阶段》</w:t>
      </w:r>
      <w:r>
        <w:rPr>
          <w:rFonts w:hint="eastAsia" w:ascii="方正书宋_GBK" w:hAnsi="方正书宋_GBK"/>
          <w:sz w:val="16"/>
          <w:lang w:eastAsia="zh-CN"/>
        </w:rPr>
        <w:t>，</w:t>
      </w:r>
      <w:r>
        <w:rPr>
          <w:rFonts w:hint="eastAsia"/>
          <w:sz w:val="16"/>
        </w:rPr>
        <w:t>人民出版社</w:t>
      </w:r>
      <w:r>
        <w:rPr>
          <w:sz w:val="16"/>
        </w:rPr>
        <w:t>1959</w:t>
      </w:r>
      <w:r>
        <w:rPr>
          <w:rFonts w:hint="eastAsia"/>
          <w:sz w:val="16"/>
        </w:rPr>
        <w:t>年版</w:t>
      </w:r>
      <w:r>
        <w:rPr>
          <w:rFonts w:hint="eastAsia" w:ascii="方正书宋_GBK" w:hAnsi="方正书宋_GBK"/>
          <w:sz w:val="16"/>
          <w:lang w:eastAsia="zh-CN"/>
        </w:rPr>
        <w:t>，</w:t>
      </w:r>
      <w:r>
        <w:rPr>
          <w:rFonts w:hint="eastAsia"/>
          <w:sz w:val="16"/>
        </w:rPr>
        <w:t>第</w:t>
      </w:r>
      <w:r>
        <w:rPr>
          <w:sz w:val="16"/>
        </w:rPr>
        <w:t>114</w:t>
      </w:r>
      <w:r>
        <w:rPr>
          <w:rFonts w:hint="eastAsia"/>
          <w:sz w:val="16"/>
        </w:rPr>
        <w:t>页。</w:t>
      </w:r>
    </w:p>
  </w:footnote>
  <w:footnote w:id="252">
    <w:p w14:paraId="0B55DA18">
      <w:pPr>
        <w:pStyle w:val="11"/>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16"/>
        </w:rPr>
        <w:t>《帝国主义是资本主义的最高阶段》</w:t>
      </w:r>
      <w:r>
        <w:rPr>
          <w:rFonts w:hint="eastAsia" w:ascii="方正书宋_GBK" w:hAnsi="方正书宋_GBK"/>
          <w:sz w:val="16"/>
          <w:lang w:eastAsia="zh-CN"/>
        </w:rPr>
        <w:t>，</w:t>
      </w:r>
      <w:r>
        <w:rPr>
          <w:rFonts w:hint="eastAsia"/>
          <w:sz w:val="16"/>
        </w:rPr>
        <w:t>人民出版社</w:t>
      </w:r>
      <w:r>
        <w:rPr>
          <w:sz w:val="16"/>
        </w:rPr>
        <w:t>1959</w:t>
      </w:r>
      <w:r>
        <w:rPr>
          <w:rFonts w:hint="eastAsia"/>
          <w:sz w:val="16"/>
        </w:rPr>
        <w:t>年版</w:t>
      </w:r>
      <w:r>
        <w:rPr>
          <w:rFonts w:hint="eastAsia" w:ascii="方正书宋_GBK" w:hAnsi="方正书宋_GBK"/>
          <w:sz w:val="16"/>
          <w:lang w:eastAsia="zh-CN"/>
        </w:rPr>
        <w:t>，</w:t>
      </w:r>
      <w:r>
        <w:rPr>
          <w:rFonts w:hint="eastAsia"/>
          <w:sz w:val="16"/>
        </w:rPr>
        <w:t>第</w:t>
      </w:r>
      <w:r>
        <w:rPr>
          <w:sz w:val="16"/>
        </w:rPr>
        <w:t>116</w:t>
      </w:r>
      <w:r>
        <w:rPr>
          <w:rFonts w:hint="eastAsia"/>
          <w:sz w:val="16"/>
        </w:rPr>
        <w:t>页。</w:t>
      </w:r>
    </w:p>
  </w:footnote>
  <w:footnote w:id="253">
    <w:p w14:paraId="12533B71">
      <w:pPr>
        <w:pStyle w:val="11"/>
        <w:pageBreakBefore w:val="0"/>
        <w:kinsoku/>
        <w:wordWrap/>
        <w:overflowPunct/>
        <w:topLinePunct w:val="0"/>
        <w:bidi w:val="0"/>
        <w:snapToGrid w:val="0"/>
        <w:spacing w:beforeAutospacing="0" w:afterAutospacing="0" w:line="240" w:lineRule="auto"/>
        <w:ind w:left="0"/>
        <w:textAlignment w:val="auto"/>
      </w:pPr>
      <w:r>
        <w:rPr>
          <w:rStyle w:val="20"/>
        </w:rPr>
        <w:footnoteRef/>
      </w:r>
      <w:r>
        <w:t xml:space="preserve"> </w:t>
      </w:r>
      <w:r>
        <w:rPr>
          <w:rFonts w:hint="eastAsia" w:ascii="楷体" w:hAnsi="楷体" w:eastAsia="楷体"/>
          <w:sz w:val="21"/>
          <w:szCs w:val="21"/>
        </w:rPr>
        <w:t>数据来源：</w:t>
      </w:r>
      <w:r>
        <w:rPr>
          <w:rFonts w:hint="default" w:ascii="Helvetica" w:hAnsi="Helvetica" w:eastAsia="Helvetica" w:cs="Helvetica"/>
          <w:i w:val="0"/>
          <w:iCs w:val="0"/>
          <w:caps w:val="0"/>
          <w:color w:val="000000"/>
          <w:spacing w:val="0"/>
          <w:sz w:val="21"/>
          <w:szCs w:val="21"/>
        </w:rPr>
        <w:t>数据银行 世界发展指标（英文标题为：DataBank World Development Indicators）</w:t>
      </w:r>
      <w:r>
        <w:rPr>
          <w:rFonts w:hint="eastAsia" w:ascii="Helvetica" w:hAnsi="Helvetica" w:eastAsia="宋体" w:cs="Helvetica"/>
          <w:i w:val="0"/>
          <w:iCs w:val="0"/>
          <w:caps w:val="0"/>
          <w:color w:val="000000"/>
          <w:spacing w:val="0"/>
          <w:sz w:val="21"/>
          <w:szCs w:val="21"/>
          <w:lang w:eastAsia="zh-CN"/>
        </w:rPr>
        <w:t>；</w:t>
      </w:r>
      <w:r>
        <w:rPr>
          <w:rFonts w:hint="default" w:ascii="Helvetica" w:hAnsi="Helvetica" w:eastAsia="Helvetica" w:cs="Helvetica"/>
          <w:i w:val="0"/>
          <w:iCs w:val="0"/>
          <w:caps w:val="0"/>
          <w:color w:val="000000"/>
          <w:spacing w:val="0"/>
          <w:sz w:val="21"/>
          <w:szCs w:val="21"/>
        </w:rPr>
        <w:t>更新日期:2021</w:t>
      </w:r>
      <w:r>
        <w:rPr>
          <w:rFonts w:hint="eastAsia" w:ascii="Helvetica" w:hAnsi="Helvetica" w:eastAsia="宋体" w:cs="Helvetica"/>
          <w:i w:val="0"/>
          <w:iCs w:val="0"/>
          <w:caps w:val="0"/>
          <w:color w:val="000000"/>
          <w:spacing w:val="0"/>
          <w:sz w:val="21"/>
          <w:szCs w:val="21"/>
          <w:lang w:val="en-US" w:eastAsia="zh-CN"/>
        </w:rPr>
        <w:t>年</w:t>
      </w:r>
      <w:r>
        <w:rPr>
          <w:rFonts w:hint="default" w:ascii="Helvetica" w:hAnsi="Helvetica" w:eastAsia="Helvetica" w:cs="Helvetica"/>
          <w:i w:val="0"/>
          <w:iCs w:val="0"/>
          <w:caps w:val="0"/>
          <w:color w:val="000000"/>
          <w:spacing w:val="0"/>
          <w:sz w:val="21"/>
          <w:szCs w:val="21"/>
        </w:rPr>
        <w:t>9</w:t>
      </w:r>
      <w:r>
        <w:rPr>
          <w:rFonts w:hint="eastAsia" w:ascii="Helvetica" w:hAnsi="Helvetica" w:eastAsia="宋体" w:cs="Helvetica"/>
          <w:i w:val="0"/>
          <w:iCs w:val="0"/>
          <w:caps w:val="0"/>
          <w:color w:val="000000"/>
          <w:spacing w:val="0"/>
          <w:sz w:val="21"/>
          <w:szCs w:val="21"/>
          <w:lang w:val="en-US" w:eastAsia="zh-CN"/>
        </w:rPr>
        <w:t>月</w:t>
      </w:r>
      <w:r>
        <w:rPr>
          <w:rFonts w:hint="default" w:ascii="Helvetica" w:hAnsi="Helvetica" w:eastAsia="Helvetica" w:cs="Helvetica"/>
          <w:i w:val="0"/>
          <w:iCs w:val="0"/>
          <w:caps w:val="0"/>
          <w:color w:val="000000"/>
          <w:spacing w:val="0"/>
          <w:sz w:val="21"/>
          <w:szCs w:val="21"/>
        </w:rPr>
        <w:t>15</w:t>
      </w:r>
      <w:r>
        <w:rPr>
          <w:rFonts w:hint="eastAsia" w:ascii="Helvetica" w:hAnsi="Helvetica" w:eastAsia="宋体" w:cs="Helvetica"/>
          <w:i w:val="0"/>
          <w:iCs w:val="0"/>
          <w:caps w:val="0"/>
          <w:color w:val="000000"/>
          <w:spacing w:val="0"/>
          <w:sz w:val="21"/>
          <w:szCs w:val="21"/>
          <w:lang w:val="en-US" w:eastAsia="zh-CN"/>
        </w:rPr>
        <w:t>日</w:t>
      </w:r>
      <w:r>
        <w:rPr>
          <w:rFonts w:hint="eastAsia" w:ascii="Helvetica" w:hAnsi="Helvetica" w:eastAsia="宋体" w:cs="Helvetica"/>
          <w:i w:val="0"/>
          <w:iCs w:val="0"/>
          <w:caps w:val="0"/>
          <w:color w:val="000000"/>
          <w:spacing w:val="0"/>
          <w:sz w:val="21"/>
          <w:szCs w:val="21"/>
          <w:lang w:eastAsia="zh-CN"/>
        </w:rPr>
        <w:t>；</w:t>
      </w:r>
      <w:r>
        <w:rPr>
          <w:rFonts w:ascii="Helvetica" w:hAnsi="Helvetica" w:eastAsia="Helvetica" w:cs="Helvetica"/>
          <w:i w:val="0"/>
          <w:iCs w:val="0"/>
          <w:caps w:val="0"/>
          <w:color w:val="000000"/>
          <w:spacing w:val="0"/>
          <w:sz w:val="21"/>
          <w:szCs w:val="21"/>
        </w:rPr>
        <w:t>网址：</w:t>
      </w:r>
      <w:r>
        <w:rPr>
          <w:rFonts w:hint="default" w:ascii="Helvetica" w:hAnsi="Helvetica" w:eastAsia="Helvetica" w:cs="Helvetica"/>
          <w:i w:val="0"/>
          <w:iCs w:val="0"/>
          <w:caps w:val="0"/>
          <w:color w:val="0AA788"/>
          <w:spacing w:val="0"/>
          <w:sz w:val="21"/>
          <w:szCs w:val="21"/>
        </w:rPr>
        <w:fldChar w:fldCharType="begin"/>
      </w:r>
      <w:r>
        <w:rPr>
          <w:rFonts w:hint="default" w:ascii="Helvetica" w:hAnsi="Helvetica" w:eastAsia="Helvetica" w:cs="Helvetica"/>
          <w:i w:val="0"/>
          <w:iCs w:val="0"/>
          <w:caps w:val="0"/>
          <w:color w:val="0AA788"/>
          <w:spacing w:val="0"/>
          <w:sz w:val="21"/>
          <w:szCs w:val="21"/>
        </w:rPr>
        <w:instrText xml:space="preserve"> HYPERLINK "https://databank.shihang.org/reports.aspx?source=2&amp;type=metadata&amp;series=NY.GNP.PCAP.CD" </w:instrText>
      </w:r>
      <w:r>
        <w:rPr>
          <w:rFonts w:hint="default" w:ascii="Helvetica" w:hAnsi="Helvetica" w:eastAsia="Helvetica" w:cs="Helvetica"/>
          <w:i w:val="0"/>
          <w:iCs w:val="0"/>
          <w:caps w:val="0"/>
          <w:color w:val="0AA788"/>
          <w:spacing w:val="0"/>
          <w:sz w:val="21"/>
          <w:szCs w:val="21"/>
        </w:rPr>
        <w:fldChar w:fldCharType="separate"/>
      </w:r>
      <w:r>
        <w:rPr>
          <w:rStyle w:val="19"/>
          <w:rFonts w:hint="default" w:ascii="Helvetica" w:hAnsi="Helvetica" w:eastAsia="Helvetica" w:cs="Helvetica"/>
          <w:i w:val="0"/>
          <w:iCs w:val="0"/>
          <w:caps w:val="0"/>
          <w:color w:val="0AA788"/>
          <w:spacing w:val="0"/>
          <w:sz w:val="21"/>
          <w:szCs w:val="21"/>
        </w:rPr>
        <w:t>https://databank.shihang.org/reports.aspx?source=2&amp;type=metadata&amp;series=NY.GNP.PCAP.CD#</w:t>
      </w:r>
      <w:r>
        <w:rPr>
          <w:rFonts w:hint="default" w:ascii="Helvetica" w:hAnsi="Helvetica" w:eastAsia="Helvetica" w:cs="Helvetica"/>
          <w:i w:val="0"/>
          <w:iCs w:val="0"/>
          <w:caps w:val="0"/>
          <w:color w:val="0AA788"/>
          <w:spacing w:val="0"/>
          <w:sz w:val="21"/>
          <w:szCs w:val="21"/>
        </w:rPr>
        <w:fldChar w:fldCharType="end"/>
      </w:r>
      <w:r>
        <w:rPr>
          <w:rFonts w:hint="default" w:ascii="Helvetica" w:hAnsi="Helvetica" w:eastAsia="Helvetica" w:cs="Helvetica"/>
          <w:i w:val="0"/>
          <w:iCs w:val="0"/>
          <w:caps w:val="0"/>
          <w:color w:val="000000"/>
          <w:spacing w:val="0"/>
          <w:sz w:val="21"/>
          <w:szCs w:val="21"/>
        </w:rPr>
        <w:t> </w:t>
      </w:r>
    </w:p>
  </w:footnote>
  <w:footnote w:id="254">
    <w:p w14:paraId="7A7E29B4">
      <w:pPr>
        <w:pStyle w:val="11"/>
        <w:pageBreakBefore w:val="0"/>
        <w:kinsoku/>
        <w:wordWrap/>
        <w:overflowPunct/>
        <w:topLinePunct w:val="0"/>
        <w:bidi w:val="0"/>
        <w:spacing w:beforeAutospacing="0" w:afterAutospacing="0" w:line="240" w:lineRule="auto"/>
        <w:ind w:left="0"/>
        <w:textAlignment w:val="auto"/>
        <w:rPr>
          <w:rFonts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程恩富、李燕：《</w:t>
      </w:r>
      <w:r>
        <w:rPr>
          <w:rFonts w:hint="eastAsia" w:ascii="宋体" w:hAnsi="宋体" w:eastAsia="宋体" w:cs="宋体"/>
          <w:b/>
          <w:bCs/>
          <w:sz w:val="21"/>
          <w:szCs w:val="21"/>
        </w:rPr>
        <w:t>白俄罗斯的市场社会主义模式</w:t>
      </w:r>
      <w:r>
        <w:rPr>
          <w:rFonts w:hint="eastAsia" w:ascii="宋体" w:hAnsi="宋体" w:eastAsia="宋体" w:cs="宋体"/>
          <w:sz w:val="21"/>
          <w:szCs w:val="21"/>
        </w:rPr>
        <w:t>》，《经济社会体制比较》2021年第1期。</w:t>
      </w:r>
    </w:p>
  </w:footnote>
  <w:footnote w:id="255">
    <w:p w14:paraId="64837CFA">
      <w:pPr>
        <w:keepNext/>
        <w:keepLines/>
        <w:pageBreakBefore w:val="0"/>
        <w:kinsoku/>
        <w:wordWrap/>
        <w:overflowPunct/>
        <w:topLinePunct w:val="0"/>
        <w:bidi w:val="0"/>
        <w:spacing w:beforeAutospacing="0" w:afterAutospacing="0" w:line="240" w:lineRule="auto"/>
        <w:ind w:left="0"/>
        <w:jc w:val="center"/>
        <w:textAlignment w:val="auto"/>
        <w:outlineLvl w:val="1"/>
        <w:rPr>
          <w:rFonts w:ascii="宋体" w:hAnsi="宋体" w:eastAsia="宋体" w:cs="宋体"/>
          <w:szCs w:val="21"/>
        </w:rPr>
      </w:pPr>
      <w:r>
        <w:rPr>
          <w:rStyle w:val="20"/>
          <w:rFonts w:hint="eastAsia" w:ascii="宋体" w:hAnsi="宋体" w:eastAsia="宋体" w:cs="宋体"/>
          <w:szCs w:val="21"/>
        </w:rPr>
        <w:footnoteRef/>
      </w:r>
      <w:r>
        <w:rPr>
          <w:rFonts w:hint="eastAsia" w:ascii="宋体" w:hAnsi="宋体" w:eastAsia="宋体" w:cs="宋体"/>
          <w:sz w:val="21"/>
          <w:szCs w:val="21"/>
        </w:rPr>
        <w:t>蒙德拉贡已成为西班牙集工业、贸易、金融、科研、服务为一体的综合性的合作制企业集团，在西班牙大企业集团中排名第七。它的体制充分体现了“互助、合作、民主、平等”的合作制基本原则。同时也发展了国际公认的“罗虚戴尔原则”。参见程恩富、谭扬芳：《</w:t>
      </w:r>
      <w:r>
        <w:rPr>
          <w:rFonts w:hint="eastAsia" w:ascii="宋体" w:hAnsi="宋体" w:eastAsia="宋体" w:cs="宋体"/>
          <w:bCs/>
          <w:kern w:val="0"/>
          <w:sz w:val="21"/>
          <w:szCs w:val="21"/>
        </w:rPr>
        <w:t>蒙德拉贡合作经济模式的经验及其启示</w:t>
      </w:r>
      <w:r>
        <w:rPr>
          <w:rFonts w:hint="eastAsia" w:ascii="宋体" w:hAnsi="宋体" w:eastAsia="宋体" w:cs="宋体"/>
          <w:sz w:val="21"/>
          <w:szCs w:val="21"/>
        </w:rPr>
        <w:t>》，</w:t>
      </w:r>
    </w:p>
    <w:p w14:paraId="272DEE81">
      <w:pPr>
        <w:keepNext/>
        <w:keepLines/>
        <w:pageBreakBefore w:val="0"/>
        <w:kinsoku/>
        <w:wordWrap/>
        <w:overflowPunct/>
        <w:topLinePunct w:val="0"/>
        <w:bidi w:val="0"/>
        <w:spacing w:beforeAutospacing="0" w:afterAutospacing="0" w:line="240" w:lineRule="auto"/>
        <w:ind w:left="0"/>
        <w:textAlignment w:val="auto"/>
        <w:outlineLvl w:val="1"/>
        <w:rPr>
          <w:rFonts w:ascii="宋体" w:hAnsi="宋体" w:eastAsia="宋体" w:cs="宋体"/>
          <w:szCs w:val="21"/>
        </w:rPr>
      </w:pPr>
      <w:r>
        <w:rPr>
          <w:rFonts w:hint="eastAsia" w:ascii="宋体" w:hAnsi="宋体" w:eastAsia="宋体" w:cs="宋体"/>
          <w:sz w:val="21"/>
          <w:szCs w:val="21"/>
        </w:rPr>
        <w:t>《世界政治经济学评论》年第期。</w:t>
      </w:r>
    </w:p>
  </w:footnote>
  <w:footnote w:id="256">
    <w:p w14:paraId="4B11F69E">
      <w:pPr>
        <w:pStyle w:val="11"/>
        <w:pageBreakBefore w:val="0"/>
        <w:kinsoku/>
        <w:wordWrap/>
        <w:overflowPunct/>
        <w:topLinePunct w:val="0"/>
        <w:bidi w:val="0"/>
        <w:spacing w:beforeAutospacing="0" w:afterAutospacing="0" w:line="240" w:lineRule="auto"/>
        <w:ind w:left="0"/>
        <w:textAlignment w:val="auto"/>
        <w:rPr>
          <w:rFonts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初级阶段实行“市场型按劳分配”，是指在市场经济条件下，各类公有企业与个体员工或集体员工（如工会、职工代表大会或部分员工联合提出）可以谈判和协商本企业内部的工资、奖金、津贴和福利的分配标准和水平，且基本采取货币支付方式。而本文提到中级阶段实行“多种商品型按劳分配”，是指国有企业实行政府统一制定各行各业的分配标准和水平，而集体企业和合作企业自行决定本企业的分配标准和水平，且采取货币支付的程度低于“市场型按劳分配”，非商品货币关系来分配的各种企业福利相对较多。</w:t>
      </w:r>
    </w:p>
  </w:footnote>
  <w:footnote w:id="257">
    <w:p w14:paraId="40B00D89">
      <w:pPr>
        <w:pStyle w:val="11"/>
        <w:pageBreakBefore w:val="0"/>
        <w:kinsoku/>
        <w:wordWrap/>
        <w:overflowPunct/>
        <w:topLinePunct w:val="0"/>
        <w:bidi w:val="0"/>
        <w:spacing w:beforeAutospacing="0" w:afterAutospacing="0" w:line="240" w:lineRule="auto"/>
        <w:ind w:left="0"/>
        <w:textAlignment w:val="auto"/>
        <w:rPr>
          <w:rFonts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中国实行市场经济体制以后，</w:t>
      </w:r>
      <w:r>
        <w:rPr>
          <w:rFonts w:hint="eastAsia" w:ascii="宋体" w:hAnsi="宋体" w:eastAsia="宋体" w:cs="宋体"/>
          <w:color w:val="666666"/>
          <w:sz w:val="21"/>
          <w:szCs w:val="21"/>
        </w:rPr>
        <w:t>金融行业员工、特别是企业高管的收入长期畸高，国有银行柜台营业员的收入也高于大学教授，导致人才在市场流动的混乱和社会总体效率的下降。</w:t>
      </w:r>
    </w:p>
  </w:footnote>
  <w:footnote w:id="258">
    <w:p w14:paraId="23371A6D">
      <w:pPr>
        <w:pStyle w:val="11"/>
        <w:pageBreakBefore w:val="0"/>
        <w:kinsoku/>
        <w:wordWrap/>
        <w:overflowPunct/>
        <w:topLinePunct w:val="0"/>
        <w:bidi w:val="0"/>
        <w:spacing w:beforeAutospacing="0" w:afterAutospacing="0" w:line="240" w:lineRule="auto"/>
        <w:ind w:left="0"/>
        <w:textAlignment w:val="auto"/>
        <w:rPr>
          <w:rFonts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正在请王中保查告我在英文杂志的一文信息。 </w:t>
      </w:r>
    </w:p>
  </w:footnote>
  <w:footnote w:id="259">
    <w:p w14:paraId="0F86BD14">
      <w:pPr>
        <w:pStyle w:val="11"/>
        <w:pageBreakBefore w:val="0"/>
        <w:kinsoku/>
        <w:wordWrap/>
        <w:overflowPunct/>
        <w:topLinePunct w:val="0"/>
        <w:bidi w:val="0"/>
        <w:spacing w:beforeAutospacing="0" w:afterAutospacing="0" w:line="240" w:lineRule="auto"/>
        <w:ind w:left="0"/>
        <w:textAlignment w:val="auto"/>
        <w:rPr>
          <w:rFonts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西方主流经济学教科书只谈微观经济和宏观经济，而德国学者首先把产业经济和地区经济称之为中观经济，中国学者广泛使用了这一概念。 </w:t>
      </w:r>
    </w:p>
  </w:footnote>
  <w:footnote w:id="260">
    <w:p w14:paraId="3F6D6FE2">
      <w:pPr>
        <w:pStyle w:val="11"/>
        <w:pageBreakBefore w:val="0"/>
        <w:kinsoku/>
        <w:wordWrap/>
        <w:overflowPunct/>
        <w:topLinePunct w:val="0"/>
        <w:bidi w:val="0"/>
        <w:spacing w:beforeAutospacing="0" w:afterAutospacing="0" w:line="240" w:lineRule="auto"/>
        <w:ind w:left="0"/>
        <w:textAlignment w:val="auto"/>
        <w:rPr>
          <w:rFonts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详见程恩富、胡乐明主编：《当代国外马克思主义经济学基本理论研究》，中国社会科学出版2018年版。</w:t>
      </w:r>
    </w:p>
  </w:footnote>
  <w:footnote w:id="261">
    <w:p w14:paraId="0C1185CD">
      <w:pPr>
        <w:pStyle w:val="11"/>
        <w:pageBreakBefore w:val="0"/>
        <w:wordWrap/>
        <w:overflowPunct/>
        <w:topLinePunct w:val="0"/>
        <w:bidi w:val="0"/>
        <w:snapToGrid w:val="0"/>
        <w:spacing w:line="240" w:lineRule="auto"/>
        <w:ind w:left="0" w:leftChars="0" w:firstLine="0" w:firstLineChars="0"/>
      </w:pPr>
      <w:r>
        <w:rPr>
          <w:rStyle w:val="20"/>
        </w:rPr>
        <w:footnoteRef/>
      </w:r>
      <w:r>
        <w:rPr>
          <w:rStyle w:val="20"/>
        </w:rPr>
        <w:t>]</w:t>
      </w:r>
      <w:r>
        <w:rPr>
          <w:rFonts w:hint="default" w:ascii="Times New Roman" w:hAnsi="Times New Roman" w:eastAsia="宋体" w:cs="Times New Roman"/>
          <w:color w:val="auto"/>
          <w:sz w:val="18"/>
          <w:szCs w:val="18"/>
        </w:rPr>
        <w:t>胡凌啸</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武舜臣</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土地托管的内涵与实现：理论剖析与实践归纳</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经济学家</w:t>
      </w:r>
      <w:r>
        <w:rPr>
          <w:rFonts w:hint="eastAsia" w:ascii="Times New Roman" w:hAnsi="Times New Roman" w:cs="Times New Roman"/>
          <w:color w:val="auto"/>
          <w:sz w:val="18"/>
          <w:szCs w:val="18"/>
          <w:lang w:eastAsia="zh-CN"/>
        </w:rPr>
        <w:t>，</w:t>
      </w:r>
      <w:r>
        <w:rPr>
          <w:rFonts w:hint="eastAsia" w:ascii="Times New Roman" w:hAnsi="Times New Roman" w:cs="Times New Roman"/>
          <w:color w:val="auto"/>
          <w:sz w:val="18"/>
          <w:szCs w:val="18"/>
          <w:lang w:val="en-US" w:eastAsia="zh-CN"/>
        </w:rPr>
        <w:t>2019，(1</w:t>
      </w:r>
      <w:r>
        <w:rPr>
          <w:rFonts w:hint="default" w:ascii="Times New Roman" w:hAnsi="Times New Roman" w:eastAsia="宋体" w:cs="Times New Roman"/>
          <w:color w:val="auto"/>
          <w:sz w:val="18"/>
          <w:szCs w:val="18"/>
        </w:rPr>
        <w:t>2</w:t>
      </w:r>
      <w:r>
        <w:rPr>
          <w:rFonts w:hint="eastAsia" w:ascii="Times New Roman" w:hAnsi="Times New Roman" w:cs="Times New Roman"/>
          <w:color w:val="auto"/>
          <w:sz w:val="18"/>
          <w:szCs w:val="18"/>
          <w:lang w:val="en-US" w:eastAsia="zh-CN"/>
        </w:rPr>
        <w:t>).</w:t>
      </w:r>
    </w:p>
  </w:footnote>
  <w:footnote w:id="262">
    <w:p w14:paraId="5A2223E9">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王颜齐</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rPr>
        <w:t>史修艺</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土地托管的形成机制、存在问题及对策建议——基于黑龙江省的实践案例</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中州学刊</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lang w:val="en-US" w:eastAsia="zh-CN"/>
        </w:rPr>
        <w:t>2021，</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2</w:t>
      </w:r>
      <w:r>
        <w:rPr>
          <w:rFonts w:hint="eastAsia" w:ascii="Times New Roman" w:hAnsi="Times New Roman" w:cs="Times New Roman"/>
          <w:color w:val="auto"/>
          <w:sz w:val="18"/>
          <w:szCs w:val="18"/>
          <w:lang w:val="en-US" w:eastAsia="zh-CN"/>
        </w:rPr>
        <w:t>).</w:t>
      </w:r>
    </w:p>
  </w:footnote>
  <w:footnote w:id="263">
    <w:p w14:paraId="46BA1FEC">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何宇鹏</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rPr>
        <w:t>武舜臣</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连接就是赋能</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小农户与现代农业衔接的实践与思考</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中国农村经济</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lang w:val="en-US" w:eastAsia="zh-CN"/>
        </w:rPr>
        <w:t>2019</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6</w:t>
      </w:r>
      <w:r>
        <w:rPr>
          <w:rFonts w:hint="eastAsia" w:ascii="Times New Roman" w:hAnsi="Times New Roman" w:cs="Times New Roman"/>
          <w:color w:val="auto"/>
          <w:sz w:val="18"/>
          <w:szCs w:val="18"/>
          <w:lang w:val="en-US" w:eastAsia="zh-CN"/>
        </w:rPr>
        <w:t>).</w:t>
      </w:r>
    </w:p>
  </w:footnote>
  <w:footnote w:id="264">
    <w:p w14:paraId="2B23AB5F">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孙新华</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村社主导、农民组织化与农业服务规模化——基于土地托管和联耕联种实践的分析</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南京农业大学学报(社会科学版)</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lang w:val="en-US" w:eastAsia="zh-CN"/>
        </w:rPr>
        <w:t>2017</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lang w:val="en-US" w:eastAsia="zh-CN"/>
        </w:rPr>
        <w:t>6</w:t>
      </w:r>
      <w:r>
        <w:rPr>
          <w:rFonts w:hint="eastAsia" w:ascii="Times New Roman" w:hAnsi="Times New Roman" w:cs="Times New Roman"/>
          <w:color w:val="auto"/>
          <w:sz w:val="18"/>
          <w:szCs w:val="18"/>
          <w:lang w:val="en-US" w:eastAsia="zh-CN"/>
        </w:rPr>
        <w:t>).</w:t>
      </w:r>
      <w:r>
        <w:t xml:space="preserve"> </w:t>
      </w:r>
    </w:p>
  </w:footnote>
  <w:footnote w:id="265">
    <w:p w14:paraId="1ED46B91">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韩庆龄</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小农户经营与农业社会化服务的衔接困境——以山东省M县土地托管为例</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南京农业大学学报</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lang w:val="en-US" w:eastAsia="zh-CN"/>
        </w:rPr>
        <w:t>2019</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2</w:t>
      </w:r>
      <w:r>
        <w:rPr>
          <w:rFonts w:hint="eastAsia" w:ascii="Times New Roman" w:hAnsi="Times New Roman" w:cs="Times New Roman"/>
          <w:color w:val="auto"/>
          <w:sz w:val="18"/>
          <w:szCs w:val="18"/>
          <w:lang w:val="en-US" w:eastAsia="zh-CN"/>
        </w:rPr>
        <w:t>).</w:t>
      </w:r>
      <w:r>
        <w:t xml:space="preserve"> </w:t>
      </w:r>
    </w:p>
  </w:footnote>
  <w:footnote w:id="266">
    <w:p w14:paraId="37733C4D">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eastAsia" w:ascii="Times New Roman" w:hAnsi="Times New Roman" w:eastAsia="宋体" w:cs="Times New Roman"/>
          <w:color w:val="auto"/>
          <w:sz w:val="18"/>
          <w:szCs w:val="18"/>
          <w:lang w:val="en-US" w:eastAsia="zh-CN"/>
        </w:rPr>
        <w:t>冯道杰</w:t>
      </w:r>
      <w:r>
        <w:rPr>
          <w:rFonts w:hint="eastAsia" w:ascii="Times New Roman" w:hAnsi="Times New Roman" w:cs="Times New Roman"/>
          <w:color w:val="auto"/>
          <w:sz w:val="18"/>
          <w:szCs w:val="18"/>
          <w:lang w:val="en-US" w:eastAsia="zh-CN"/>
        </w:rPr>
        <w:t>，</w:t>
      </w:r>
      <w:r>
        <w:rPr>
          <w:rFonts w:hint="eastAsia" w:ascii="Times New Roman" w:hAnsi="Times New Roman" w:eastAsia="宋体" w:cs="Times New Roman"/>
          <w:color w:val="auto"/>
          <w:sz w:val="18"/>
          <w:szCs w:val="18"/>
          <w:lang w:val="en-US" w:eastAsia="zh-CN"/>
        </w:rPr>
        <w:t>徐光平</w:t>
      </w:r>
      <w:r>
        <w:rPr>
          <w:rFonts w:hint="eastAsia" w:ascii="Times New Roman" w:hAnsi="Times New Roman" w:cs="Times New Roman"/>
          <w:color w:val="auto"/>
          <w:sz w:val="18"/>
          <w:szCs w:val="18"/>
          <w:lang w:val="en-US" w:eastAsia="zh-CN"/>
        </w:rPr>
        <w:t>.</w:t>
      </w:r>
      <w:r>
        <w:rPr>
          <w:rFonts w:hint="eastAsia" w:ascii="Times New Roman" w:hAnsi="Times New Roman" w:eastAsia="宋体" w:cs="Times New Roman"/>
          <w:color w:val="auto"/>
          <w:sz w:val="18"/>
          <w:szCs w:val="18"/>
          <w:lang w:val="en-US" w:eastAsia="zh-CN"/>
        </w:rPr>
        <w:t>乡村社区发展力的要素解构及其衡量标准研究</w:t>
      </w:r>
      <w:r>
        <w:rPr>
          <w:rFonts w:hint="eastAsia" w:ascii="Times New Roman" w:hAnsi="Times New Roman" w:cs="Times New Roman"/>
          <w:color w:val="auto"/>
          <w:sz w:val="18"/>
          <w:szCs w:val="18"/>
          <w:lang w:val="en-US" w:eastAsia="zh-CN"/>
        </w:rPr>
        <w:t>[J].</w:t>
      </w:r>
      <w:r>
        <w:rPr>
          <w:rFonts w:hint="eastAsia" w:ascii="Times New Roman" w:hAnsi="Times New Roman" w:eastAsia="宋体" w:cs="Times New Roman"/>
          <w:color w:val="auto"/>
          <w:sz w:val="18"/>
          <w:szCs w:val="18"/>
          <w:lang w:val="en-US" w:eastAsia="zh-CN"/>
        </w:rPr>
        <w:t>东岳论丛</w:t>
      </w:r>
      <w:r>
        <w:rPr>
          <w:rFonts w:hint="eastAsia" w:ascii="Times New Roman" w:hAnsi="Times New Roman" w:cs="Times New Roman"/>
          <w:color w:val="auto"/>
          <w:sz w:val="18"/>
          <w:szCs w:val="18"/>
          <w:lang w:val="en-US" w:eastAsia="zh-CN"/>
        </w:rPr>
        <w:t>，</w:t>
      </w:r>
      <w:r>
        <w:rPr>
          <w:rFonts w:hint="eastAsia" w:ascii="Times New Roman" w:hAnsi="Times New Roman" w:eastAsia="宋体" w:cs="Times New Roman"/>
          <w:color w:val="auto"/>
          <w:sz w:val="18"/>
          <w:szCs w:val="18"/>
          <w:lang w:val="en-US" w:eastAsia="zh-CN"/>
        </w:rPr>
        <w:t>2021</w:t>
      </w:r>
      <w:r>
        <w:rPr>
          <w:rFonts w:hint="eastAsia" w:ascii="Times New Roman" w:hAnsi="Times New Roman" w:cs="Times New Roman"/>
          <w:color w:val="auto"/>
          <w:sz w:val="18"/>
          <w:szCs w:val="18"/>
          <w:lang w:val="en-US" w:eastAsia="zh-CN"/>
        </w:rPr>
        <w:t>，(</w:t>
      </w:r>
      <w:r>
        <w:rPr>
          <w:rFonts w:hint="eastAsia" w:ascii="Times New Roman" w:hAnsi="Times New Roman" w:eastAsia="宋体" w:cs="Times New Roman"/>
          <w:color w:val="auto"/>
          <w:sz w:val="18"/>
          <w:szCs w:val="18"/>
          <w:lang w:val="en-US" w:eastAsia="zh-CN"/>
        </w:rPr>
        <w:t>11</w:t>
      </w:r>
      <w:r>
        <w:rPr>
          <w:rFonts w:hint="eastAsia" w:ascii="Times New Roman" w:hAnsi="Times New Roman" w:cs="Times New Roman"/>
          <w:color w:val="auto"/>
          <w:sz w:val="18"/>
          <w:szCs w:val="18"/>
          <w:lang w:val="en-US" w:eastAsia="zh-CN"/>
        </w:rPr>
        <w:t>).</w:t>
      </w:r>
    </w:p>
  </w:footnote>
  <w:footnote w:id="267">
    <w:p w14:paraId="6CFB6E95">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转引自丁泽霁：《马克思恩格斯关于社会主义农业的思想》，农业出版社</w:t>
      </w:r>
      <w:r>
        <w:rPr>
          <w:rFonts w:hint="eastAsia" w:ascii="宋体" w:hAnsi="宋体" w:eastAsia="宋体" w:cs="宋体"/>
          <w:sz w:val="21"/>
          <w:szCs w:val="21"/>
          <w:lang w:val="en-US" w:eastAsia="zh-CN"/>
        </w:rPr>
        <w:t>1987年版</w:t>
      </w:r>
      <w:r>
        <w:rPr>
          <w:rFonts w:hint="eastAsia" w:ascii="宋体" w:hAnsi="宋体" w:eastAsia="宋体" w:cs="宋体"/>
          <w:sz w:val="21"/>
          <w:szCs w:val="21"/>
        </w:rPr>
        <w:t>，第18-19页。</w:t>
      </w:r>
    </w:p>
  </w:footnote>
  <w:footnote w:id="268">
    <w:p w14:paraId="0CD30163">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源自于马克思在《路易·波拿巴的雾月十八日》中对法国小农的描述：“小农人数众多，他们的生活条件相同，但是彼此间并没有发生多种多样的关系。他们的生产方式不是使他们互相交往，而是使他们互相隔离。……一小块土地，一个农民和一个家庭；旁边是另一小块土地，另一个农民和另一个家庭。一批这样的单位就形成一个村子；一批这样的村子就形成一个省……就像一袋马铃薯是由袋中的一个个马铃薯汇集而成的那样。”（摘自：马克思、恩格斯：《马克思恩格斯选集（第1卷）》，人民出版社2012年版，第762页）。</w:t>
      </w:r>
    </w:p>
  </w:footnote>
  <w:footnote w:id="269">
    <w:p w14:paraId="1AB6AAAC">
      <w:pPr>
        <w:pStyle w:val="11"/>
        <w:pageBreakBefore w:val="0"/>
        <w:wordWrap/>
        <w:overflowPunct/>
        <w:topLinePunct w:val="0"/>
        <w:bidi w:val="0"/>
        <w:snapToGrid w:val="0"/>
        <w:spacing w:line="240" w:lineRule="auto"/>
        <w:ind w:left="0" w:firstLine="0" w:firstLineChars="0"/>
      </w:pPr>
      <w:r>
        <w:rPr>
          <w:rStyle w:val="20"/>
          <w:rFonts w:hint="eastAsia" w:asciiTheme="minorHAnsi" w:hAnsiTheme="minorHAnsi" w:eastAsiaTheme="minorEastAsia" w:cstheme="minorBidi"/>
        </w:rPr>
        <w:t>[</w:t>
      </w:r>
      <w:r>
        <w:rPr>
          <w:rStyle w:val="20"/>
          <w:rFonts w:hint="eastAsia" w:asciiTheme="minorHAnsi" w:hAnsiTheme="minorHAnsi" w:eastAsiaTheme="minorEastAsia" w:cstheme="minorBidi"/>
        </w:rPr>
        <w:footnoteRef/>
      </w:r>
      <w:r>
        <w:rPr>
          <w:rStyle w:val="20"/>
          <w:rFonts w:hint="eastAsia" w:asciiTheme="minorHAnsi" w:hAnsiTheme="minorHAnsi" w:eastAsiaTheme="minorEastAsia" w:cstheme="minorBidi"/>
        </w:rPr>
        <w:t>]</w:t>
      </w:r>
      <w:r>
        <w:rPr>
          <w:rFonts w:hint="eastAsia" w:ascii="宋体" w:hAnsi="宋体" w:eastAsia="宋体" w:cs="宋体"/>
          <w:color w:val="auto"/>
          <w:sz w:val="18"/>
          <w:szCs w:val="18"/>
        </w:rPr>
        <w:t>程恩富</w:t>
      </w:r>
      <w:r>
        <w:rPr>
          <w:rFonts w:hint="eastAsia" w:ascii="宋体" w:hAnsi="宋体" w:cs="宋体"/>
          <w:color w:val="auto"/>
          <w:sz w:val="18"/>
          <w:szCs w:val="18"/>
          <w:lang w:val="en-US" w:eastAsia="zh-CN"/>
        </w:rPr>
        <w:t>,</w:t>
      </w:r>
      <w:r>
        <w:rPr>
          <w:rFonts w:hint="eastAsia" w:ascii="宋体" w:hAnsi="宋体" w:eastAsia="宋体" w:cs="宋体"/>
          <w:color w:val="auto"/>
          <w:sz w:val="18"/>
          <w:szCs w:val="18"/>
        </w:rPr>
        <w:t>张杨</w:t>
      </w:r>
      <w:r>
        <w:rPr>
          <w:rFonts w:hint="eastAsia" w:ascii="宋体" w:hAnsi="宋体" w:eastAsia="宋体" w:cs="宋体"/>
          <w:color w:val="auto"/>
          <w:sz w:val="18"/>
          <w:szCs w:val="18"/>
          <w:lang w:val="en-US" w:eastAsia="zh-CN"/>
        </w:rPr>
        <w:t>.</w:t>
      </w:r>
      <w:r>
        <w:rPr>
          <w:rFonts w:hint="eastAsia" w:ascii="宋体" w:hAnsi="宋体" w:eastAsia="宋体" w:cs="宋体"/>
          <w:color w:val="auto"/>
          <w:sz w:val="18"/>
          <w:szCs w:val="18"/>
        </w:rPr>
        <w:t>坚持社会主义农村土地集体所有的大方向——评析土地私有化的四个错误观点</w:t>
      </w:r>
      <w:r>
        <w:rPr>
          <w:rFonts w:hint="eastAsia" w:ascii="宋体" w:hAnsi="宋体" w:eastAsia="宋体" w:cs="宋体"/>
          <w:color w:val="auto"/>
          <w:sz w:val="18"/>
          <w:szCs w:val="18"/>
          <w:lang w:val="en-US" w:eastAsia="zh-CN"/>
        </w:rPr>
        <w:t>[J].</w:t>
      </w:r>
      <w:r>
        <w:rPr>
          <w:rFonts w:hint="eastAsia" w:ascii="宋体" w:hAnsi="宋体" w:eastAsia="宋体" w:cs="宋体"/>
          <w:color w:val="auto"/>
          <w:sz w:val="18"/>
          <w:szCs w:val="18"/>
        </w:rPr>
        <w:t>中国农村</w:t>
      </w:r>
      <w:r>
        <w:rPr>
          <w:rFonts w:hint="eastAsia"/>
          <w:sz w:val="18"/>
          <w:szCs w:val="18"/>
        </w:rPr>
        <w:t>经济</w:t>
      </w:r>
      <w:r>
        <w:rPr>
          <w:rFonts w:hint="default" w:ascii="Times New Roman" w:hAnsi="Times New Roman" w:cs="Times New Roman"/>
          <w:sz w:val="18"/>
          <w:szCs w:val="18"/>
          <w:lang w:eastAsia="zh-CN"/>
        </w:rPr>
        <w:t>，</w:t>
      </w:r>
      <w:r>
        <w:rPr>
          <w:rFonts w:hint="default" w:ascii="Times New Roman" w:hAnsi="Times New Roman" w:cs="Times New Roman"/>
          <w:sz w:val="18"/>
          <w:szCs w:val="18"/>
          <w:lang w:val="en-US" w:eastAsia="zh-CN"/>
        </w:rPr>
        <w:t>2020，(2)</w:t>
      </w:r>
      <w:r>
        <w:rPr>
          <w:rFonts w:hint="default" w:ascii="Times New Roman" w:hAnsi="Times New Roman" w:cs="Times New Roman"/>
          <w:color w:val="auto"/>
          <w:sz w:val="18"/>
          <w:szCs w:val="18"/>
          <w:lang w:val="en-US" w:eastAsia="zh-CN"/>
        </w:rPr>
        <w:t>.</w:t>
      </w:r>
    </w:p>
  </w:footnote>
  <w:footnote w:id="270">
    <w:p w14:paraId="120D573B">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习近平</w:t>
      </w:r>
      <w:r>
        <w:rPr>
          <w:rFonts w:hint="eastAsia" w:ascii="宋体" w:hAnsi="宋体" w:eastAsia="宋体" w:cs="宋体"/>
          <w:sz w:val="21"/>
          <w:szCs w:val="21"/>
          <w:lang w:val="en-US" w:eastAsia="zh-CN"/>
        </w:rPr>
        <w:t>：《</w:t>
      </w:r>
      <w:r>
        <w:rPr>
          <w:rFonts w:hint="eastAsia" w:ascii="宋体" w:hAnsi="宋体" w:eastAsia="宋体" w:cs="宋体"/>
          <w:sz w:val="21"/>
          <w:szCs w:val="21"/>
        </w:rPr>
        <w:t>摆脱贫困</w:t>
      </w:r>
      <w:r>
        <w:rPr>
          <w:rFonts w:hint="eastAsia" w:ascii="宋体" w:hAnsi="宋体" w:eastAsia="宋体" w:cs="宋体"/>
          <w:sz w:val="21"/>
          <w:szCs w:val="21"/>
          <w:lang w:val="en-US" w:eastAsia="zh-CN"/>
        </w:rPr>
        <w:t>》，</w:t>
      </w:r>
      <w:r>
        <w:rPr>
          <w:rFonts w:hint="eastAsia" w:ascii="宋体" w:hAnsi="宋体" w:eastAsia="宋体" w:cs="宋体"/>
          <w:sz w:val="21"/>
          <w:szCs w:val="21"/>
        </w:rPr>
        <w:t>福建人民出版社</w:t>
      </w:r>
      <w:r>
        <w:rPr>
          <w:rFonts w:hint="eastAsia" w:ascii="宋体" w:hAnsi="宋体" w:eastAsia="宋体" w:cs="宋体"/>
          <w:sz w:val="21"/>
          <w:szCs w:val="21"/>
          <w:lang w:val="en-US" w:eastAsia="zh-CN"/>
        </w:rPr>
        <w:t>2022年版</w:t>
      </w:r>
      <w:r>
        <w:rPr>
          <w:rFonts w:hint="eastAsia" w:ascii="宋体" w:hAnsi="宋体" w:eastAsia="宋体" w:cs="宋体"/>
          <w:sz w:val="21"/>
          <w:szCs w:val="21"/>
        </w:rPr>
        <w:t>，</w:t>
      </w:r>
      <w:r>
        <w:rPr>
          <w:rFonts w:hint="eastAsia" w:ascii="宋体" w:hAnsi="宋体" w:eastAsia="宋体" w:cs="宋体"/>
          <w:sz w:val="21"/>
          <w:szCs w:val="21"/>
          <w:lang w:val="en-US" w:eastAsia="zh-CN"/>
        </w:rPr>
        <w:t>第</w:t>
      </w:r>
      <w:r>
        <w:rPr>
          <w:rFonts w:hint="eastAsia" w:ascii="宋体" w:hAnsi="宋体" w:eastAsia="宋体" w:cs="宋体"/>
          <w:sz w:val="21"/>
          <w:szCs w:val="21"/>
        </w:rPr>
        <w:t>18</w:t>
      </w:r>
      <w:r>
        <w:rPr>
          <w:rFonts w:hint="eastAsia" w:ascii="宋体" w:hAnsi="宋体" w:eastAsia="宋体" w:cs="宋体"/>
          <w:sz w:val="21"/>
          <w:szCs w:val="21"/>
          <w:lang w:val="en-US" w:eastAsia="zh-CN"/>
        </w:rPr>
        <w:t>2页。</w:t>
      </w:r>
    </w:p>
  </w:footnote>
  <w:footnote w:id="271">
    <w:p w14:paraId="277AEE04">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习近平</w:t>
      </w:r>
      <w:r>
        <w:rPr>
          <w:rFonts w:hint="eastAsia" w:ascii="宋体" w:hAnsi="宋体" w:eastAsia="宋体" w:cs="宋体"/>
          <w:sz w:val="21"/>
          <w:szCs w:val="21"/>
          <w:lang w:val="en-US" w:eastAsia="zh-CN"/>
        </w:rPr>
        <w:t>：《</w:t>
      </w:r>
      <w:r>
        <w:rPr>
          <w:rFonts w:hint="eastAsia" w:ascii="宋体" w:hAnsi="宋体" w:eastAsia="宋体" w:cs="宋体"/>
          <w:sz w:val="21"/>
          <w:szCs w:val="21"/>
        </w:rPr>
        <w:t>摆脱贫困</w:t>
      </w:r>
      <w:r>
        <w:rPr>
          <w:rFonts w:hint="eastAsia" w:ascii="宋体" w:hAnsi="宋体" w:eastAsia="宋体" w:cs="宋体"/>
          <w:sz w:val="21"/>
          <w:szCs w:val="21"/>
          <w:lang w:val="en-US" w:eastAsia="zh-CN"/>
        </w:rPr>
        <w:t>》，</w:t>
      </w:r>
      <w:r>
        <w:rPr>
          <w:rFonts w:hint="eastAsia" w:ascii="宋体" w:hAnsi="宋体" w:eastAsia="宋体" w:cs="宋体"/>
          <w:sz w:val="21"/>
          <w:szCs w:val="21"/>
        </w:rPr>
        <w:t>福建人民出版社</w:t>
      </w:r>
      <w:r>
        <w:rPr>
          <w:rFonts w:hint="eastAsia" w:ascii="宋体" w:hAnsi="宋体" w:eastAsia="宋体" w:cs="宋体"/>
          <w:sz w:val="21"/>
          <w:szCs w:val="21"/>
          <w:lang w:val="en-US" w:eastAsia="zh-CN"/>
        </w:rPr>
        <w:t>2022年版</w:t>
      </w:r>
      <w:r>
        <w:rPr>
          <w:rFonts w:hint="eastAsia" w:ascii="宋体" w:hAnsi="宋体" w:eastAsia="宋体" w:cs="宋体"/>
          <w:sz w:val="21"/>
          <w:szCs w:val="21"/>
        </w:rPr>
        <w:t>，</w:t>
      </w:r>
      <w:r>
        <w:rPr>
          <w:rFonts w:hint="eastAsia" w:ascii="宋体" w:hAnsi="宋体" w:eastAsia="宋体" w:cs="宋体"/>
          <w:sz w:val="21"/>
          <w:szCs w:val="21"/>
          <w:lang w:val="en-US" w:eastAsia="zh-CN"/>
        </w:rPr>
        <w:t>第</w:t>
      </w:r>
      <w:r>
        <w:rPr>
          <w:rFonts w:hint="eastAsia" w:ascii="宋体" w:hAnsi="宋体" w:eastAsia="宋体" w:cs="宋体"/>
          <w:sz w:val="21"/>
          <w:szCs w:val="21"/>
        </w:rPr>
        <w:t>18</w:t>
      </w:r>
      <w:r>
        <w:rPr>
          <w:rFonts w:hint="eastAsia" w:ascii="宋体" w:hAnsi="宋体" w:eastAsia="宋体" w:cs="宋体"/>
          <w:sz w:val="21"/>
          <w:szCs w:val="21"/>
          <w:lang w:val="en-US" w:eastAsia="zh-CN"/>
        </w:rPr>
        <w:t>2-183页。</w:t>
      </w:r>
    </w:p>
  </w:footnote>
  <w:footnote w:id="272">
    <w:p w14:paraId="74E65004">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习近平</w:t>
      </w:r>
      <w:r>
        <w:rPr>
          <w:rFonts w:hint="eastAsia" w:ascii="宋体" w:hAnsi="宋体" w:eastAsia="宋体" w:cs="宋体"/>
          <w:sz w:val="21"/>
          <w:szCs w:val="21"/>
          <w:lang w:val="en-US" w:eastAsia="zh-CN"/>
        </w:rPr>
        <w:t>：《</w:t>
      </w:r>
      <w:r>
        <w:rPr>
          <w:rFonts w:hint="eastAsia" w:ascii="宋体" w:hAnsi="宋体" w:eastAsia="宋体" w:cs="宋体"/>
          <w:sz w:val="21"/>
          <w:szCs w:val="21"/>
        </w:rPr>
        <w:t>摆脱贫困</w:t>
      </w:r>
      <w:r>
        <w:rPr>
          <w:rFonts w:hint="eastAsia" w:ascii="宋体" w:hAnsi="宋体" w:eastAsia="宋体" w:cs="宋体"/>
          <w:sz w:val="21"/>
          <w:szCs w:val="21"/>
          <w:lang w:val="en-US" w:eastAsia="zh-CN"/>
        </w:rPr>
        <w:t>》，</w:t>
      </w:r>
      <w:r>
        <w:rPr>
          <w:rFonts w:hint="eastAsia" w:ascii="宋体" w:hAnsi="宋体" w:eastAsia="宋体" w:cs="宋体"/>
          <w:sz w:val="21"/>
          <w:szCs w:val="21"/>
        </w:rPr>
        <w:t>福建人民出版社</w:t>
      </w:r>
      <w:r>
        <w:rPr>
          <w:rFonts w:hint="eastAsia" w:ascii="宋体" w:hAnsi="宋体" w:eastAsia="宋体" w:cs="宋体"/>
          <w:sz w:val="21"/>
          <w:szCs w:val="21"/>
          <w:lang w:val="en-US" w:eastAsia="zh-CN"/>
        </w:rPr>
        <w:t>2022年版</w:t>
      </w:r>
      <w:r>
        <w:rPr>
          <w:rFonts w:hint="eastAsia" w:ascii="宋体" w:hAnsi="宋体" w:eastAsia="宋体" w:cs="宋体"/>
          <w:sz w:val="21"/>
          <w:szCs w:val="21"/>
        </w:rPr>
        <w:t>，</w:t>
      </w:r>
      <w:r>
        <w:rPr>
          <w:rFonts w:hint="eastAsia" w:ascii="宋体" w:hAnsi="宋体" w:eastAsia="宋体" w:cs="宋体"/>
          <w:sz w:val="21"/>
          <w:szCs w:val="21"/>
          <w:lang w:val="en-US" w:eastAsia="zh-CN"/>
        </w:rPr>
        <w:t>第183页。</w:t>
      </w:r>
    </w:p>
  </w:footnote>
  <w:footnote w:id="273">
    <w:p w14:paraId="7DA930DD">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习近平</w:t>
      </w:r>
      <w:r>
        <w:rPr>
          <w:rFonts w:hint="eastAsia" w:ascii="宋体" w:hAnsi="宋体" w:eastAsia="宋体" w:cs="宋体"/>
          <w:sz w:val="21"/>
          <w:szCs w:val="21"/>
          <w:lang w:val="en-US" w:eastAsia="zh-CN"/>
        </w:rPr>
        <w:t>：《</w:t>
      </w:r>
      <w:r>
        <w:rPr>
          <w:rFonts w:hint="eastAsia" w:ascii="宋体" w:hAnsi="宋体" w:eastAsia="宋体" w:cs="宋体"/>
          <w:sz w:val="21"/>
          <w:szCs w:val="21"/>
        </w:rPr>
        <w:t>摆脱贫困</w:t>
      </w:r>
      <w:r>
        <w:rPr>
          <w:rFonts w:hint="eastAsia" w:ascii="宋体" w:hAnsi="宋体" w:eastAsia="宋体" w:cs="宋体"/>
          <w:sz w:val="21"/>
          <w:szCs w:val="21"/>
          <w:lang w:val="en-US" w:eastAsia="zh-CN"/>
        </w:rPr>
        <w:t>》，</w:t>
      </w:r>
      <w:r>
        <w:rPr>
          <w:rFonts w:hint="eastAsia" w:ascii="宋体" w:hAnsi="宋体" w:eastAsia="宋体" w:cs="宋体"/>
          <w:sz w:val="21"/>
          <w:szCs w:val="21"/>
        </w:rPr>
        <w:t>福建人民出版社</w:t>
      </w:r>
      <w:r>
        <w:rPr>
          <w:rFonts w:hint="eastAsia" w:ascii="宋体" w:hAnsi="宋体" w:eastAsia="宋体" w:cs="宋体"/>
          <w:sz w:val="21"/>
          <w:szCs w:val="21"/>
          <w:lang w:val="en-US" w:eastAsia="zh-CN"/>
        </w:rPr>
        <w:t>2022年版</w:t>
      </w:r>
      <w:r>
        <w:rPr>
          <w:rFonts w:hint="eastAsia" w:ascii="宋体" w:hAnsi="宋体" w:eastAsia="宋体" w:cs="宋体"/>
          <w:sz w:val="21"/>
          <w:szCs w:val="21"/>
        </w:rPr>
        <w:t>，</w:t>
      </w:r>
      <w:r>
        <w:rPr>
          <w:rFonts w:hint="eastAsia" w:ascii="宋体" w:hAnsi="宋体" w:eastAsia="宋体" w:cs="宋体"/>
          <w:sz w:val="21"/>
          <w:szCs w:val="21"/>
          <w:lang w:val="en-US" w:eastAsia="zh-CN"/>
        </w:rPr>
        <w:t>第</w:t>
      </w:r>
      <w:r>
        <w:rPr>
          <w:rFonts w:hint="eastAsia" w:ascii="宋体" w:hAnsi="宋体" w:eastAsia="宋体" w:cs="宋体"/>
          <w:sz w:val="21"/>
          <w:szCs w:val="21"/>
        </w:rPr>
        <w:t>1</w:t>
      </w:r>
      <w:r>
        <w:rPr>
          <w:rFonts w:hint="eastAsia" w:ascii="宋体" w:hAnsi="宋体" w:eastAsia="宋体" w:cs="宋体"/>
          <w:sz w:val="21"/>
          <w:szCs w:val="21"/>
          <w:lang w:val="en-US" w:eastAsia="zh-CN"/>
        </w:rPr>
        <w:t>7</w:t>
      </w:r>
      <w:r>
        <w:rPr>
          <w:rFonts w:hint="eastAsia" w:ascii="宋体" w:hAnsi="宋体" w:eastAsia="宋体" w:cs="宋体"/>
          <w:sz w:val="21"/>
          <w:szCs w:val="21"/>
        </w:rPr>
        <w:t>8</w:t>
      </w:r>
      <w:r>
        <w:rPr>
          <w:rFonts w:hint="eastAsia" w:ascii="宋体" w:hAnsi="宋体" w:eastAsia="宋体" w:cs="宋体"/>
          <w:sz w:val="21"/>
          <w:szCs w:val="21"/>
          <w:lang w:val="en-US" w:eastAsia="zh-CN"/>
        </w:rPr>
        <w:t>页。</w:t>
      </w:r>
    </w:p>
  </w:footnote>
  <w:footnote w:id="274">
    <w:p w14:paraId="4B223C0C">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习近平</w:t>
      </w:r>
      <w:r>
        <w:rPr>
          <w:rFonts w:hint="eastAsia" w:ascii="宋体" w:hAnsi="宋体" w:eastAsia="宋体" w:cs="宋体"/>
          <w:sz w:val="21"/>
          <w:szCs w:val="21"/>
          <w:lang w:val="en-US" w:eastAsia="zh-CN"/>
        </w:rPr>
        <w:t>：《</w:t>
      </w:r>
      <w:r>
        <w:rPr>
          <w:rFonts w:hint="eastAsia" w:ascii="宋体" w:hAnsi="宋体" w:eastAsia="宋体" w:cs="宋体"/>
          <w:sz w:val="21"/>
          <w:szCs w:val="21"/>
        </w:rPr>
        <w:t>习近平谈治国理政</w:t>
      </w:r>
      <w:r>
        <w:rPr>
          <w:rFonts w:hint="eastAsia" w:ascii="宋体" w:hAnsi="宋体" w:eastAsia="宋体" w:cs="宋体"/>
          <w:sz w:val="21"/>
          <w:szCs w:val="21"/>
          <w:lang w:val="en-US" w:eastAsia="zh-CN"/>
        </w:rPr>
        <w:t>》（</w:t>
      </w:r>
      <w:r>
        <w:rPr>
          <w:rFonts w:hint="eastAsia" w:ascii="宋体" w:hAnsi="宋体" w:eastAsia="宋体" w:cs="宋体"/>
          <w:sz w:val="21"/>
          <w:szCs w:val="21"/>
        </w:rPr>
        <w:t>第</w:t>
      </w:r>
      <w:r>
        <w:rPr>
          <w:rFonts w:hint="eastAsia" w:ascii="宋体" w:hAnsi="宋体" w:eastAsia="宋体" w:cs="宋体"/>
          <w:sz w:val="21"/>
          <w:szCs w:val="21"/>
          <w:lang w:val="en-US" w:eastAsia="zh-CN"/>
        </w:rPr>
        <w:t>3</w:t>
      </w:r>
      <w:r>
        <w:rPr>
          <w:rFonts w:hint="eastAsia" w:ascii="宋体" w:hAnsi="宋体" w:eastAsia="宋体" w:cs="宋体"/>
          <w:sz w:val="21"/>
          <w:szCs w:val="21"/>
        </w:rPr>
        <w:t>卷</w:t>
      </w:r>
      <w:r>
        <w:rPr>
          <w:rFonts w:hint="eastAsia" w:ascii="宋体" w:hAnsi="宋体" w:eastAsia="宋体" w:cs="宋体"/>
          <w:sz w:val="21"/>
          <w:szCs w:val="21"/>
          <w:lang w:eastAsia="zh-CN"/>
        </w:rPr>
        <w:t>）</w:t>
      </w:r>
      <w:r>
        <w:rPr>
          <w:rFonts w:hint="eastAsia" w:ascii="宋体" w:hAnsi="宋体" w:eastAsia="宋体" w:cs="宋体"/>
          <w:sz w:val="21"/>
          <w:szCs w:val="21"/>
        </w:rPr>
        <w:t>，外文出版社</w:t>
      </w:r>
      <w:r>
        <w:rPr>
          <w:rFonts w:hint="eastAsia" w:ascii="宋体" w:hAnsi="宋体" w:eastAsia="宋体" w:cs="宋体"/>
          <w:sz w:val="21"/>
          <w:szCs w:val="21"/>
          <w:lang w:val="en-US" w:eastAsia="zh-CN"/>
        </w:rPr>
        <w:t>2020年版</w:t>
      </w:r>
      <w:r>
        <w:rPr>
          <w:rFonts w:hint="eastAsia" w:ascii="宋体" w:hAnsi="宋体" w:eastAsia="宋体" w:cs="宋体"/>
          <w:sz w:val="21"/>
          <w:szCs w:val="21"/>
          <w:lang w:eastAsia="zh-CN"/>
        </w:rPr>
        <w:t>，</w:t>
      </w:r>
      <w:r>
        <w:rPr>
          <w:rFonts w:hint="eastAsia" w:ascii="宋体" w:hAnsi="宋体" w:eastAsia="宋体" w:cs="宋体"/>
          <w:sz w:val="21"/>
          <w:szCs w:val="21"/>
        </w:rPr>
        <w:t>第</w:t>
      </w:r>
      <w:r>
        <w:rPr>
          <w:rFonts w:hint="eastAsia" w:ascii="宋体" w:hAnsi="宋体" w:eastAsia="宋体" w:cs="宋体"/>
          <w:sz w:val="21"/>
          <w:szCs w:val="21"/>
          <w:lang w:val="en-US" w:eastAsia="zh-CN"/>
        </w:rPr>
        <w:t>261</w:t>
      </w:r>
      <w:r>
        <w:rPr>
          <w:rFonts w:hint="eastAsia" w:ascii="宋体" w:hAnsi="宋体" w:eastAsia="宋体" w:cs="宋体"/>
          <w:sz w:val="21"/>
          <w:szCs w:val="21"/>
        </w:rPr>
        <w:t>页。</w:t>
      </w:r>
    </w:p>
  </w:footnote>
  <w:footnote w:id="275">
    <w:p w14:paraId="183ECAC3">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以村两委成员代表村集体，联合农民一起注册组建合作社。</w:t>
      </w:r>
    </w:p>
  </w:footnote>
  <w:footnote w:id="276">
    <w:p w14:paraId="1D25767B">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江宇</w:t>
      </w:r>
      <w:r>
        <w:rPr>
          <w:rFonts w:hint="eastAsia" w:ascii="Times New Roman" w:hAnsi="Times New Roman" w:cs="Times New Roman"/>
          <w:color w:val="auto"/>
          <w:sz w:val="18"/>
          <w:szCs w:val="18"/>
          <w:lang w:val="en-US" w:eastAsia="zh-CN"/>
        </w:rPr>
        <w:t>.</w:t>
      </w:r>
      <w:r>
        <w:rPr>
          <w:rFonts w:hint="eastAsia" w:ascii="宋体" w:hAnsi="宋体" w:eastAsia="宋体" w:cs="宋体"/>
          <w:color w:val="auto"/>
          <w:sz w:val="18"/>
          <w:szCs w:val="18"/>
        </w:rPr>
        <w:t>“烟台经验”的</w:t>
      </w:r>
      <w:r>
        <w:rPr>
          <w:rFonts w:hint="default" w:ascii="Times New Roman" w:hAnsi="Times New Roman" w:eastAsia="宋体" w:cs="Times New Roman"/>
          <w:color w:val="auto"/>
          <w:sz w:val="18"/>
          <w:szCs w:val="18"/>
        </w:rPr>
        <w:t>普遍意义</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开放时代</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lang w:val="en-US" w:eastAsia="zh-CN"/>
        </w:rPr>
        <w:t>2020</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6</w:t>
      </w:r>
      <w:r>
        <w:rPr>
          <w:rFonts w:hint="eastAsia" w:ascii="Times New Roman" w:hAnsi="Times New Roman" w:cs="Times New Roman"/>
          <w:color w:val="auto"/>
          <w:sz w:val="18"/>
          <w:szCs w:val="18"/>
          <w:lang w:val="en-US" w:eastAsia="zh-CN"/>
        </w:rPr>
        <w:t>).</w:t>
      </w:r>
    </w:p>
  </w:footnote>
  <w:footnote w:id="277">
    <w:p w14:paraId="6C261CEF">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eastAsia" w:ascii="宋体" w:hAnsi="宋体" w:eastAsia="宋体" w:cs="宋体"/>
          <w:color w:val="auto"/>
          <w:sz w:val="18"/>
          <w:szCs w:val="18"/>
        </w:rPr>
        <w:t>彭海红.中国共产党发展农村集体经济的实践历程和历史经验</w:t>
      </w:r>
      <w:r>
        <w:rPr>
          <w:rFonts w:hint="eastAsia" w:ascii="Times New Roman" w:hAnsi="Times New Roman" w:cs="Times New Roman"/>
          <w:color w:val="auto"/>
          <w:sz w:val="18"/>
          <w:szCs w:val="18"/>
          <w:lang w:val="en-US" w:eastAsia="zh-CN"/>
        </w:rPr>
        <w:t>[J].</w:t>
      </w:r>
      <w:r>
        <w:rPr>
          <w:rFonts w:hint="eastAsia" w:ascii="宋体" w:hAnsi="宋体" w:eastAsia="宋体" w:cs="宋体"/>
          <w:color w:val="auto"/>
          <w:sz w:val="18"/>
          <w:szCs w:val="18"/>
        </w:rPr>
        <w:t>毛泽东邓小平理论研究</w:t>
      </w:r>
      <w:r>
        <w:rPr>
          <w:rFonts w:hint="eastAsia" w:ascii="宋体" w:hAnsi="宋体" w:cs="宋体"/>
          <w:color w:val="auto"/>
          <w:sz w:val="18"/>
          <w:szCs w:val="18"/>
          <w:lang w:eastAsia="zh-CN"/>
        </w:rPr>
        <w:t>，</w:t>
      </w:r>
      <w:r>
        <w:rPr>
          <w:rFonts w:hint="default" w:ascii="Times New Roman" w:hAnsi="Times New Roman" w:eastAsia="宋体" w:cs="Times New Roman"/>
          <w:color w:val="auto"/>
          <w:sz w:val="18"/>
          <w:szCs w:val="18"/>
        </w:rPr>
        <w:t>2023</w:t>
      </w:r>
      <w:r>
        <w:rPr>
          <w:rFonts w:hint="eastAsia" w:ascii="Times New Roman" w:hAnsi="Times New Roman" w:cs="Times New Roman"/>
          <w:color w:val="auto"/>
          <w:sz w:val="18"/>
          <w:szCs w:val="18"/>
          <w:lang w:val="en-US" w:eastAsia="zh-CN"/>
        </w:rPr>
        <w:t>，</w:t>
      </w:r>
      <w:r>
        <w:rPr>
          <w:rFonts w:hint="default"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5</w:t>
      </w:r>
      <w:r>
        <w:rPr>
          <w:rFonts w:hint="default"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w:t>
      </w:r>
    </w:p>
  </w:footnote>
  <w:footnote w:id="278">
    <w:p w14:paraId="301E9AD6">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val="en-US" w:eastAsia="zh-CN"/>
        </w:rPr>
        <w:t>资料来源：</w:t>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rPr>
        <w:t>习近平对供销合作社工作作出重要指示强调 牢记为农服务根本宗旨 持续深化综合改革 努力为推进乡村振兴贡献力量 李克强作出批示</w:t>
      </w:r>
      <w:r>
        <w:rPr>
          <w:rFonts w:hint="eastAsia" w:ascii="宋体" w:hAnsi="宋体" w:eastAsia="宋体" w:cs="宋体"/>
          <w:sz w:val="21"/>
          <w:szCs w:val="21"/>
          <w:lang w:eastAsia="zh-CN"/>
        </w:rPr>
        <w:t>》，《</w:t>
      </w:r>
      <w:r>
        <w:rPr>
          <w:rFonts w:hint="eastAsia" w:ascii="宋体" w:hAnsi="宋体" w:eastAsia="宋体" w:cs="宋体"/>
          <w:sz w:val="21"/>
          <w:szCs w:val="21"/>
        </w:rPr>
        <w:t>中国合作经济</w:t>
      </w:r>
      <w:r>
        <w:rPr>
          <w:rFonts w:hint="eastAsia" w:ascii="宋体" w:hAnsi="宋体" w:eastAsia="宋体" w:cs="宋体"/>
          <w:sz w:val="21"/>
          <w:szCs w:val="21"/>
          <w:lang w:eastAsia="zh-CN"/>
        </w:rPr>
        <w:t>》</w:t>
      </w:r>
      <w:r>
        <w:rPr>
          <w:rFonts w:hint="eastAsia" w:ascii="宋体" w:hAnsi="宋体" w:eastAsia="宋体" w:cs="宋体"/>
          <w:sz w:val="21"/>
          <w:szCs w:val="21"/>
        </w:rPr>
        <w:t>2021(S1)</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第</w:t>
      </w:r>
      <w:r>
        <w:rPr>
          <w:rFonts w:hint="eastAsia" w:ascii="宋体" w:hAnsi="宋体" w:eastAsia="宋体" w:cs="宋体"/>
          <w:sz w:val="21"/>
          <w:szCs w:val="21"/>
        </w:rPr>
        <w:t>122</w:t>
      </w:r>
      <w:r>
        <w:rPr>
          <w:rFonts w:hint="eastAsia" w:ascii="宋体" w:hAnsi="宋体" w:eastAsia="宋体" w:cs="宋体"/>
          <w:sz w:val="21"/>
          <w:szCs w:val="21"/>
          <w:lang w:val="en-US" w:eastAsia="zh-CN"/>
        </w:rPr>
        <w:t>页。</w:t>
      </w:r>
    </w:p>
  </w:footnote>
  <w:footnote w:id="279">
    <w:p w14:paraId="591D76BD">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sz w:val="21"/>
          <w:szCs w:val="21"/>
        </w:rPr>
        <w:t>山东省人民政府办公厅 关于支持供销合作社深化土地托管服务增强为农服务能力的指导意见</w:t>
      </w:r>
      <w:r>
        <w:rPr>
          <w:rFonts w:hint="eastAsia" w:ascii="宋体" w:hAnsi="宋体" w:eastAsia="宋体" w:cs="宋体"/>
          <w:sz w:val="21"/>
          <w:szCs w:val="21"/>
          <w:lang w:val="en-US" w:eastAsia="zh-CN"/>
        </w:rPr>
        <w:t>》，</w:t>
      </w:r>
      <w:r>
        <w:rPr>
          <w:rFonts w:hint="eastAsia" w:ascii="宋体" w:hAnsi="宋体" w:eastAsia="宋体" w:cs="宋体"/>
          <w:sz w:val="21"/>
          <w:szCs w:val="21"/>
        </w:rPr>
        <w:t>2021年2月5日</w:t>
      </w:r>
      <w:r>
        <w:rPr>
          <w:rFonts w:hint="eastAsia" w:ascii="宋体" w:hAnsi="宋体" w:eastAsia="宋体" w:cs="宋体"/>
          <w:sz w:val="21"/>
          <w:szCs w:val="21"/>
          <w:lang w:eastAsia="zh-CN"/>
        </w:rPr>
        <w:t>，</w:t>
      </w:r>
      <w:r>
        <w:rPr>
          <w:rFonts w:hint="eastAsia" w:ascii="宋体" w:hAnsi="宋体" w:eastAsia="宋体" w:cs="宋体"/>
          <w:sz w:val="21"/>
          <w:szCs w:val="21"/>
        </w:rPr>
        <w:t>http://www.shandong.gov.cn/art/2021/2/5/art_107851_110578.html</w:t>
      </w:r>
    </w:p>
  </w:footnote>
  <w:footnote w:id="280">
    <w:p w14:paraId="6B5E2E34">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企业化运营、规范化管理、标准化服务，统一运作方式、统一整合资源、统一农资供应、统一销售加工、统一融资保险，统筹推进种肥供应、深耕深松、机种机收、划片管理（田间管理）、统防统治、节水灌溉、秸秆利用、粮食烘干、产销对接、技术培训等服务</w:t>
      </w:r>
      <w:r>
        <w:rPr>
          <w:rFonts w:hint="eastAsia" w:ascii="宋体" w:hAnsi="宋体" w:eastAsia="宋体" w:cs="宋体"/>
          <w:sz w:val="21"/>
          <w:szCs w:val="21"/>
          <w:lang w:eastAsia="zh-CN"/>
        </w:rPr>
        <w:t>。</w:t>
      </w:r>
    </w:p>
  </w:footnote>
  <w:footnote w:id="281">
    <w:p w14:paraId="5CA58634">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sz w:val="21"/>
          <w:szCs w:val="21"/>
        </w:rPr>
        <w:t>山东省人民政府新闻办公室 山东举行深化土地托管服务促进农业适度规模经营发布会</w:t>
      </w:r>
      <w:r>
        <w:rPr>
          <w:rFonts w:hint="eastAsia" w:ascii="宋体" w:hAnsi="宋体" w:eastAsia="宋体" w:cs="宋体"/>
          <w:sz w:val="21"/>
          <w:szCs w:val="21"/>
          <w:lang w:val="en-US" w:eastAsia="zh-CN"/>
        </w:rPr>
        <w:t>》，</w:t>
      </w:r>
      <w:r>
        <w:rPr>
          <w:rFonts w:hint="eastAsia" w:ascii="宋体" w:hAnsi="宋体" w:eastAsia="宋体" w:cs="宋体"/>
          <w:sz w:val="21"/>
          <w:szCs w:val="21"/>
        </w:rPr>
        <w:t>国务院新闻办公室网站</w:t>
      </w:r>
      <w:r>
        <w:rPr>
          <w:rFonts w:hint="eastAsia" w:ascii="宋体" w:hAnsi="宋体" w:eastAsia="宋体" w:cs="宋体"/>
          <w:sz w:val="21"/>
          <w:szCs w:val="21"/>
          <w:lang w:eastAsia="zh-CN"/>
        </w:rPr>
        <w:t>，</w:t>
      </w:r>
      <w:r>
        <w:rPr>
          <w:rFonts w:hint="eastAsia" w:ascii="宋体" w:hAnsi="宋体" w:eastAsia="宋体" w:cs="宋体"/>
          <w:sz w:val="21"/>
          <w:szCs w:val="21"/>
        </w:rPr>
        <w:t>2021-07-07</w:t>
      </w:r>
      <w:r>
        <w:rPr>
          <w:rFonts w:hint="eastAsia" w:ascii="宋体" w:hAnsi="宋体" w:eastAsia="宋体" w:cs="宋体"/>
          <w:sz w:val="21"/>
          <w:szCs w:val="21"/>
          <w:lang w:eastAsia="zh-CN"/>
        </w:rPr>
        <w:t>，</w:t>
      </w:r>
    </w:p>
    <w:p w14:paraId="0F13BC51">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http://www.scio.gov.cn/xwfbh/gssxwfbh/xwfbh/shandong/Document/1708571/1708571.htm</w:t>
      </w:r>
    </w:p>
  </w:footnote>
  <w:footnote w:id="282">
    <w:p w14:paraId="03694EA1">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sz w:val="21"/>
          <w:szCs w:val="21"/>
        </w:rPr>
        <w:t>山东省人民政府新闻办公室 山东举行深化土地托管服务促进农业适度规模经营发布会</w:t>
      </w:r>
      <w:r>
        <w:rPr>
          <w:rFonts w:hint="eastAsia" w:ascii="宋体" w:hAnsi="宋体" w:eastAsia="宋体" w:cs="宋体"/>
          <w:sz w:val="21"/>
          <w:szCs w:val="21"/>
          <w:lang w:val="en-US" w:eastAsia="zh-CN"/>
        </w:rPr>
        <w:t>》，</w:t>
      </w:r>
      <w:r>
        <w:rPr>
          <w:rFonts w:hint="eastAsia" w:ascii="宋体" w:hAnsi="宋体" w:eastAsia="宋体" w:cs="宋体"/>
          <w:sz w:val="21"/>
          <w:szCs w:val="21"/>
        </w:rPr>
        <w:t>国务院新闻办公室网站</w:t>
      </w:r>
      <w:r>
        <w:rPr>
          <w:rFonts w:hint="eastAsia" w:ascii="宋体" w:hAnsi="宋体" w:eastAsia="宋体" w:cs="宋体"/>
          <w:sz w:val="21"/>
          <w:szCs w:val="21"/>
          <w:lang w:eastAsia="zh-CN"/>
        </w:rPr>
        <w:t>，</w:t>
      </w:r>
      <w:r>
        <w:rPr>
          <w:rFonts w:hint="eastAsia" w:ascii="宋体" w:hAnsi="宋体" w:eastAsia="宋体" w:cs="宋体"/>
          <w:sz w:val="21"/>
          <w:szCs w:val="21"/>
        </w:rPr>
        <w:t>2021-07-07</w:t>
      </w:r>
      <w:r>
        <w:rPr>
          <w:rFonts w:hint="eastAsia" w:ascii="宋体" w:hAnsi="宋体" w:eastAsia="宋体" w:cs="宋体"/>
          <w:sz w:val="21"/>
          <w:szCs w:val="21"/>
          <w:lang w:eastAsia="zh-CN"/>
        </w:rPr>
        <w:t>，</w:t>
      </w:r>
    </w:p>
    <w:p w14:paraId="6AFE0A1F">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http://www.scio.gov.cn/xwfbh/gssxwfbh/xwfbh/shandong/Document/1708571/1708571.htm</w:t>
      </w:r>
    </w:p>
  </w:footnote>
  <w:footnote w:id="283">
    <w:p w14:paraId="13919EC4">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孔祥智</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农民合作、土地托管与乡村振兴——山东省供销社综合改革再探索</w:t>
      </w:r>
      <w:r>
        <w:rPr>
          <w:rFonts w:hint="eastAsia" w:ascii="Times New Roman" w:hAnsi="Times New Roman" w:cs="Times New Roman"/>
          <w:color w:val="auto"/>
          <w:sz w:val="18"/>
          <w:szCs w:val="18"/>
          <w:lang w:val="en-US" w:eastAsia="zh-CN"/>
        </w:rPr>
        <w:t>[J].</w:t>
      </w:r>
      <w:r>
        <w:rPr>
          <w:rFonts w:hint="default" w:ascii="Times New Roman" w:hAnsi="Times New Roman" w:eastAsia="宋体" w:cs="Times New Roman"/>
          <w:color w:val="auto"/>
          <w:sz w:val="18"/>
          <w:szCs w:val="18"/>
        </w:rPr>
        <w:t>东岳论</w:t>
      </w:r>
      <w:r>
        <w:rPr>
          <w:rFonts w:hint="default" w:ascii="Times New Roman" w:hAnsi="Times New Roman" w:eastAsia="宋体" w:cs="Times New Roman"/>
          <w:color w:val="auto"/>
          <w:sz w:val="18"/>
          <w:szCs w:val="18"/>
          <w:lang w:val="en-US" w:eastAsia="zh-CN"/>
        </w:rPr>
        <w:t>丛</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lang w:val="en-US" w:eastAsia="zh-CN"/>
        </w:rPr>
        <w:t>201</w:t>
      </w:r>
      <w:r>
        <w:rPr>
          <w:rFonts w:hint="eastAsia" w:ascii="Times New Roman" w:hAnsi="Times New Roman" w:cs="Times New Roman"/>
          <w:color w:val="auto"/>
          <w:sz w:val="18"/>
          <w:szCs w:val="18"/>
          <w:lang w:val="en-US" w:eastAsia="zh-CN"/>
        </w:rPr>
        <w:t>8，(1</w:t>
      </w:r>
      <w:r>
        <w:rPr>
          <w:rFonts w:hint="default" w:ascii="Times New Roman" w:hAnsi="Times New Roman" w:eastAsia="宋体" w:cs="Times New Roman"/>
          <w:color w:val="auto"/>
          <w:sz w:val="18"/>
          <w:szCs w:val="18"/>
        </w:rPr>
        <w:t>0</w:t>
      </w:r>
      <w:r>
        <w:rPr>
          <w:rFonts w:hint="eastAsia" w:ascii="Times New Roman" w:hAnsi="Times New Roman" w:cs="Times New Roman"/>
          <w:color w:val="auto"/>
          <w:sz w:val="18"/>
          <w:szCs w:val="18"/>
          <w:lang w:val="en-US" w:eastAsia="zh-CN"/>
        </w:rPr>
        <w:t>).</w:t>
      </w:r>
      <w:r>
        <w:t xml:space="preserve"> </w:t>
      </w:r>
    </w:p>
  </w:footnote>
  <w:footnote w:id="284">
    <w:p w14:paraId="7885EFC9">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sz w:val="21"/>
          <w:szCs w:val="21"/>
          <w:lang w:eastAsia="zh-CN"/>
        </w:rPr>
        <w:t>《</w:t>
      </w:r>
      <w:r>
        <w:rPr>
          <w:rFonts w:hint="eastAsia" w:ascii="宋体" w:hAnsi="宋体" w:eastAsia="宋体" w:cs="宋体"/>
          <w:sz w:val="21"/>
          <w:szCs w:val="21"/>
        </w:rPr>
        <w:t>黑龙江：垦地合作种出好粮食</w:t>
      </w:r>
      <w:r>
        <w:rPr>
          <w:rFonts w:hint="eastAsia" w:ascii="宋体" w:hAnsi="宋体" w:eastAsia="宋体" w:cs="宋体"/>
          <w:sz w:val="21"/>
          <w:szCs w:val="21"/>
          <w:lang w:eastAsia="zh-CN"/>
        </w:rPr>
        <w:t>》</w:t>
      </w:r>
      <w:r>
        <w:rPr>
          <w:rFonts w:hint="eastAsia" w:ascii="宋体" w:hAnsi="宋体" w:eastAsia="宋体" w:cs="宋体"/>
          <w:sz w:val="21"/>
          <w:szCs w:val="21"/>
        </w:rPr>
        <w:t>，央视网，2022年07月11日，</w:t>
      </w:r>
    </w:p>
    <w:p w14:paraId="59230482">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http://xczx.cctv.com/2022/07/11/ARTIwR0rFgjgwlcl7YT8x6dH220711.shtml</w:t>
      </w:r>
    </w:p>
  </w:footnote>
  <w:footnote w:id="285">
    <w:p w14:paraId="5320C208">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sz w:val="21"/>
          <w:szCs w:val="21"/>
          <w:lang w:eastAsia="zh-CN"/>
        </w:rPr>
        <w:t>《</w:t>
      </w:r>
      <w:r>
        <w:rPr>
          <w:rFonts w:hint="eastAsia" w:ascii="宋体" w:hAnsi="宋体" w:eastAsia="宋体" w:cs="宋体"/>
          <w:sz w:val="21"/>
          <w:szCs w:val="21"/>
        </w:rPr>
        <w:t>小岗村“拜师”北大荒</w:t>
      </w:r>
      <w:r>
        <w:rPr>
          <w:rFonts w:hint="eastAsia" w:ascii="宋体" w:hAnsi="宋体" w:eastAsia="宋体" w:cs="宋体"/>
          <w:sz w:val="21"/>
          <w:szCs w:val="21"/>
          <w:lang w:eastAsia="zh-CN"/>
        </w:rPr>
        <w:t>》</w:t>
      </w:r>
      <w:r>
        <w:rPr>
          <w:rFonts w:hint="eastAsia" w:ascii="宋体" w:hAnsi="宋体" w:eastAsia="宋体" w:cs="宋体"/>
          <w:sz w:val="21"/>
          <w:szCs w:val="21"/>
        </w:rPr>
        <w:t>，央视网，2018年09月23日</w:t>
      </w:r>
      <w:r>
        <w:rPr>
          <w:rFonts w:hint="eastAsia" w:ascii="宋体" w:hAnsi="宋体" w:eastAsia="宋体" w:cs="宋体"/>
          <w:sz w:val="21"/>
          <w:szCs w:val="21"/>
          <w:lang w:eastAsia="zh-CN"/>
        </w:rPr>
        <w:t>，</w:t>
      </w:r>
    </w:p>
    <w:p w14:paraId="56AA0D4F">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http://news.cctv.com/2018/09/23/VIDEZoVmHr4PGuDoyHQiNNCf180923.shtml</w:t>
      </w:r>
    </w:p>
  </w:footnote>
  <w:footnote w:id="286">
    <w:p w14:paraId="6450F598">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color w:val="auto"/>
          <w:sz w:val="21"/>
          <w:szCs w:val="21"/>
        </w:rPr>
        <w:t>王军</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张元强</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2018：《</w:t>
      </w:r>
      <w:r>
        <w:rPr>
          <w:rFonts w:hint="eastAsia" w:ascii="宋体" w:hAnsi="宋体" w:eastAsia="宋体" w:cs="宋体"/>
          <w:color w:val="auto"/>
          <w:sz w:val="21"/>
          <w:szCs w:val="21"/>
        </w:rPr>
        <w:t>北大荒“稻花香”种进小岗村</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黑龙江日报</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10月12日第1版。</w:t>
      </w:r>
    </w:p>
  </w:footnote>
  <w:footnote w:id="287">
    <w:p w14:paraId="4596307A">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w:t>
      </w:r>
      <w:r>
        <w:rPr>
          <w:rFonts w:hint="eastAsia" w:ascii="宋体" w:hAnsi="宋体" w:eastAsia="宋体" w:cs="宋体"/>
          <w:sz w:val="21"/>
          <w:szCs w:val="21"/>
        </w:rPr>
        <w:t>《焦点访谈</w:t>
      </w:r>
      <w:r>
        <w:rPr>
          <w:rFonts w:hint="eastAsia" w:ascii="宋体" w:hAnsi="宋体" w:eastAsia="宋体" w:cs="宋体"/>
          <w:sz w:val="21"/>
          <w:szCs w:val="21"/>
          <w:lang w:eastAsia="zh-CN"/>
        </w:rPr>
        <w:t>：</w:t>
      </w:r>
      <w:r>
        <w:rPr>
          <w:rFonts w:hint="eastAsia" w:ascii="宋体" w:hAnsi="宋体" w:eastAsia="宋体" w:cs="宋体"/>
          <w:sz w:val="21"/>
          <w:szCs w:val="21"/>
        </w:rPr>
        <w:t>小岗村：四十年的变迁》</w:t>
      </w:r>
      <w:r>
        <w:rPr>
          <w:rFonts w:hint="eastAsia" w:ascii="宋体" w:hAnsi="宋体" w:eastAsia="宋体" w:cs="宋体"/>
          <w:sz w:val="21"/>
          <w:szCs w:val="21"/>
          <w:lang w:eastAsia="zh-CN"/>
        </w:rPr>
        <w:t>，</w:t>
      </w:r>
      <w:r>
        <w:rPr>
          <w:rFonts w:hint="eastAsia" w:ascii="宋体" w:hAnsi="宋体" w:eastAsia="宋体" w:cs="宋体"/>
          <w:sz w:val="21"/>
          <w:szCs w:val="21"/>
        </w:rPr>
        <w:t>央视网</w:t>
      </w:r>
      <w:r>
        <w:rPr>
          <w:rFonts w:hint="eastAsia" w:ascii="宋体" w:hAnsi="宋体" w:eastAsia="宋体" w:cs="宋体"/>
          <w:sz w:val="21"/>
          <w:szCs w:val="21"/>
          <w:lang w:eastAsia="zh-CN"/>
        </w:rPr>
        <w:t>，</w:t>
      </w:r>
      <w:r>
        <w:rPr>
          <w:rFonts w:hint="eastAsia" w:ascii="宋体" w:hAnsi="宋体" w:eastAsia="宋体" w:cs="宋体"/>
          <w:sz w:val="21"/>
          <w:szCs w:val="21"/>
        </w:rPr>
        <w:t>2018年10月18日</w:t>
      </w:r>
      <w:r>
        <w:rPr>
          <w:rFonts w:hint="eastAsia" w:ascii="宋体" w:hAnsi="宋体" w:eastAsia="宋体" w:cs="宋体"/>
          <w:sz w:val="21"/>
          <w:szCs w:val="21"/>
          <w:lang w:eastAsia="zh-CN"/>
        </w:rPr>
        <w:t>，</w:t>
      </w:r>
    </w:p>
    <w:p w14:paraId="04CA8446">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https://tv.cctv.com/2018/10/18/VIDEsxR94bInUHWqCFw8bKz6181018.shtml</w:t>
      </w:r>
    </w:p>
  </w:footnote>
  <w:footnote w:id="288">
    <w:p w14:paraId="463895D1">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中央农村工作领导小组办公室</w:t>
      </w:r>
      <w:r>
        <w:rPr>
          <w:rFonts w:hint="eastAsia" w:ascii="宋体" w:hAnsi="宋体" w:eastAsia="宋体" w:cs="宋体"/>
          <w:sz w:val="21"/>
          <w:szCs w:val="21"/>
          <w:lang w:eastAsia="zh-CN"/>
        </w:rPr>
        <w:t>：《</w:t>
      </w:r>
      <w:r>
        <w:rPr>
          <w:rFonts w:hint="eastAsia" w:ascii="宋体" w:hAnsi="宋体" w:eastAsia="宋体" w:cs="宋体"/>
          <w:sz w:val="21"/>
          <w:szCs w:val="21"/>
        </w:rPr>
        <w:t>习近平关于“三农”工作的重要论述学习读本</w:t>
      </w:r>
      <w:r>
        <w:rPr>
          <w:rFonts w:hint="eastAsia" w:ascii="宋体" w:hAnsi="宋体" w:eastAsia="宋体" w:cs="宋体"/>
          <w:sz w:val="21"/>
          <w:szCs w:val="21"/>
          <w:lang w:val="en-US" w:eastAsia="zh-CN"/>
        </w:rPr>
        <w:t>》，</w:t>
      </w:r>
      <w:r>
        <w:rPr>
          <w:rFonts w:hint="eastAsia" w:ascii="宋体" w:hAnsi="宋体" w:eastAsia="宋体" w:cs="宋体"/>
          <w:sz w:val="21"/>
          <w:szCs w:val="21"/>
        </w:rPr>
        <w:t>人民出版社，中国农业出版社2023</w:t>
      </w:r>
      <w:r>
        <w:rPr>
          <w:rFonts w:hint="eastAsia" w:ascii="宋体" w:hAnsi="宋体" w:eastAsia="宋体" w:cs="宋体"/>
          <w:sz w:val="21"/>
          <w:szCs w:val="21"/>
          <w:lang w:val="en-US" w:eastAsia="zh-CN"/>
        </w:rPr>
        <w:t>年版，第</w:t>
      </w:r>
      <w:r>
        <w:rPr>
          <w:rFonts w:hint="eastAsia" w:ascii="宋体" w:hAnsi="宋体" w:eastAsia="宋体" w:cs="宋体"/>
          <w:sz w:val="21"/>
          <w:szCs w:val="21"/>
        </w:rPr>
        <w:t>133、134</w:t>
      </w:r>
      <w:r>
        <w:rPr>
          <w:rFonts w:hint="eastAsia" w:ascii="宋体" w:hAnsi="宋体" w:eastAsia="宋体" w:cs="宋体"/>
          <w:sz w:val="21"/>
          <w:szCs w:val="21"/>
          <w:lang w:val="en-US" w:eastAsia="zh-CN"/>
        </w:rPr>
        <w:t>页。</w:t>
      </w:r>
    </w:p>
  </w:footnote>
  <w:footnote w:id="289">
    <w:p w14:paraId="5B055D82">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中央农村工作领导小组办公室</w:t>
      </w:r>
      <w:r>
        <w:rPr>
          <w:rFonts w:hint="eastAsia" w:ascii="宋体" w:hAnsi="宋体" w:eastAsia="宋体" w:cs="宋体"/>
          <w:sz w:val="21"/>
          <w:szCs w:val="21"/>
          <w:lang w:eastAsia="zh-CN"/>
        </w:rPr>
        <w:t>：《</w:t>
      </w:r>
      <w:r>
        <w:rPr>
          <w:rFonts w:hint="eastAsia" w:ascii="宋体" w:hAnsi="宋体" w:eastAsia="宋体" w:cs="宋体"/>
          <w:sz w:val="21"/>
          <w:szCs w:val="21"/>
        </w:rPr>
        <w:t>习近平关于“三农”工作的重要论述学习读本</w:t>
      </w:r>
      <w:r>
        <w:rPr>
          <w:rFonts w:hint="eastAsia" w:ascii="宋体" w:hAnsi="宋体" w:eastAsia="宋体" w:cs="宋体"/>
          <w:sz w:val="21"/>
          <w:szCs w:val="21"/>
          <w:lang w:val="en-US" w:eastAsia="zh-CN"/>
        </w:rPr>
        <w:t>》，</w:t>
      </w:r>
      <w:r>
        <w:rPr>
          <w:rFonts w:hint="eastAsia" w:ascii="宋体" w:hAnsi="宋体" w:eastAsia="宋体" w:cs="宋体"/>
          <w:sz w:val="21"/>
          <w:szCs w:val="21"/>
        </w:rPr>
        <w:t>人民出版社，中国农业出版社2023</w:t>
      </w:r>
      <w:r>
        <w:rPr>
          <w:rFonts w:hint="eastAsia" w:ascii="宋体" w:hAnsi="宋体" w:eastAsia="宋体" w:cs="宋体"/>
          <w:sz w:val="21"/>
          <w:szCs w:val="21"/>
          <w:lang w:val="en-US" w:eastAsia="zh-CN"/>
        </w:rPr>
        <w:t>年版，第136页。</w:t>
      </w:r>
    </w:p>
  </w:footnote>
  <w:footnote w:id="290">
    <w:p w14:paraId="657C161C">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lang w:val="en-US" w:eastAsia="zh-CN"/>
        </w:rPr>
        <w:t>资料来源：人民网济南，2023年3月9日，https://baijiahao.baidu.com/s?id=1759880069794833495&amp;wfr=spider&amp;for=</w:t>
      </w:r>
    </w:p>
  </w:footnote>
  <w:footnote w:id="291">
    <w:p w14:paraId="6FA3CCD3">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钟卫华</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rPr>
        <w:t>石雪梅</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新型农村集体经济促进乡村振兴的内在机理分析</w:t>
      </w:r>
      <w:r>
        <w:rPr>
          <w:rFonts w:hint="eastAsia" w:ascii="Times New Roman" w:hAnsi="Times New Roman" w:cs="Times New Roman"/>
          <w:color w:val="auto"/>
          <w:sz w:val="18"/>
          <w:szCs w:val="18"/>
          <w:lang w:val="en-US" w:eastAsia="zh-CN"/>
        </w:rPr>
        <w:t>[J].</w:t>
      </w:r>
      <w:r>
        <w:rPr>
          <w:rFonts w:hint="eastAsia" w:ascii="Times New Roman" w:hAnsi="Times New Roman" w:eastAsia="宋体" w:cs="Times New Roman"/>
          <w:color w:val="auto"/>
          <w:sz w:val="18"/>
          <w:szCs w:val="18"/>
          <w:lang w:val="en-US" w:eastAsia="zh-CN"/>
        </w:rPr>
        <w:t>海派经济学</w:t>
      </w:r>
      <w:r>
        <w:rPr>
          <w:rFonts w:hint="eastAsia" w:ascii="Times New Roman" w:hAnsi="Times New Roman" w:cs="Times New Roman"/>
          <w:color w:val="auto"/>
          <w:sz w:val="18"/>
          <w:szCs w:val="18"/>
          <w:lang w:val="en-US" w:eastAsia="zh-CN"/>
        </w:rPr>
        <w:t>，</w:t>
      </w:r>
      <w:r>
        <w:rPr>
          <w:rFonts w:hint="eastAsia" w:ascii="Times New Roman" w:hAnsi="Times New Roman" w:eastAsia="宋体" w:cs="Times New Roman"/>
          <w:color w:val="auto"/>
          <w:sz w:val="18"/>
          <w:szCs w:val="18"/>
          <w:lang w:val="en-US" w:eastAsia="zh-CN"/>
        </w:rPr>
        <w:t>2022</w:t>
      </w:r>
      <w:r>
        <w:rPr>
          <w:rFonts w:hint="eastAsia" w:ascii="Times New Roman" w:hAnsi="Times New Roman" w:cs="Times New Roman"/>
          <w:color w:val="auto"/>
          <w:sz w:val="18"/>
          <w:szCs w:val="18"/>
          <w:lang w:val="en-US" w:eastAsia="zh-CN"/>
        </w:rPr>
        <w:t>，(3).</w:t>
      </w:r>
      <w:r>
        <w:t xml:space="preserve"> </w:t>
      </w:r>
    </w:p>
  </w:footnote>
  <w:footnote w:id="292">
    <w:p w14:paraId="77A53668">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资料来源：https://baijiahao.baidu.com/s?id=1767216473703325418&amp;wfr=spider&amp;for=pc</w:t>
      </w:r>
    </w:p>
  </w:footnote>
  <w:footnote w:id="293">
    <w:p w14:paraId="49292146">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烟台广播电视台官方百家号</w:t>
      </w:r>
      <w:r>
        <w:rPr>
          <w:rFonts w:hint="eastAsia" w:ascii="宋体" w:hAnsi="宋体" w:eastAsia="宋体" w:cs="宋体"/>
          <w:sz w:val="21"/>
          <w:szCs w:val="21"/>
          <w:lang w:eastAsia="zh-CN"/>
        </w:rPr>
        <w:t>，</w:t>
      </w:r>
      <w:r>
        <w:rPr>
          <w:rFonts w:hint="eastAsia" w:ascii="宋体" w:hAnsi="宋体" w:eastAsia="宋体" w:cs="宋体"/>
          <w:sz w:val="21"/>
          <w:szCs w:val="21"/>
        </w:rPr>
        <w:t>2022-07-07</w:t>
      </w:r>
      <w:r>
        <w:rPr>
          <w:rFonts w:hint="eastAsia" w:ascii="宋体" w:hAnsi="宋体" w:eastAsia="宋体" w:cs="宋体"/>
          <w:sz w:val="21"/>
          <w:szCs w:val="21"/>
          <w:lang w:eastAsia="zh-CN"/>
        </w:rPr>
        <w:t>。</w:t>
      </w:r>
    </w:p>
    <w:p w14:paraId="66DED325">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https://baijiahao.baidu.com/s?id=1737675285073444736&amp;wfr=spider&amp;for=pc</w:t>
      </w:r>
    </w:p>
  </w:footnote>
  <w:footnote w:id="294">
    <w:p w14:paraId="265BFE88">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val="en-US" w:eastAsia="zh-CN"/>
        </w:rPr>
        <w:t xml:space="preserve"> 参见</w:t>
      </w:r>
      <w:r>
        <w:rPr>
          <w:rFonts w:hint="eastAsia" w:ascii="宋体" w:hAnsi="宋体" w:eastAsia="宋体" w:cs="宋体"/>
          <w:sz w:val="21"/>
          <w:szCs w:val="21"/>
          <w:lang w:eastAsia="zh-CN"/>
        </w:rPr>
        <w:t>《习近平在会见全国优秀县委书记时的讲话》，《</w:t>
      </w:r>
      <w:r>
        <w:rPr>
          <w:rFonts w:hint="eastAsia" w:ascii="宋体" w:hAnsi="宋体" w:eastAsia="宋体" w:cs="宋体"/>
          <w:sz w:val="21"/>
          <w:szCs w:val="21"/>
          <w:lang w:val="en-US" w:eastAsia="zh-CN"/>
        </w:rPr>
        <w:t>人民日报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2015年9月1日第02版。</w:t>
      </w:r>
    </w:p>
  </w:footnote>
  <w:footnote w:id="295">
    <w:p w14:paraId="4C3A6A9B">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中共中央党史和文献研究院</w:t>
      </w:r>
      <w:r>
        <w:rPr>
          <w:rFonts w:hint="eastAsia" w:ascii="宋体" w:hAnsi="宋体" w:eastAsia="宋体" w:cs="宋体"/>
          <w:sz w:val="21"/>
          <w:szCs w:val="21"/>
          <w:lang w:eastAsia="zh-CN"/>
        </w:rPr>
        <w:t>：</w:t>
      </w:r>
      <w:r>
        <w:rPr>
          <w:rFonts w:hint="eastAsia" w:ascii="宋体" w:hAnsi="宋体" w:eastAsia="宋体" w:cs="宋体"/>
          <w:sz w:val="21"/>
          <w:szCs w:val="21"/>
        </w:rPr>
        <w:t>《习近平关于“三农”工作论述摘编》，中央文献出版社</w:t>
      </w:r>
      <w:r>
        <w:rPr>
          <w:rFonts w:hint="eastAsia" w:ascii="宋体" w:hAnsi="宋体" w:eastAsia="宋体" w:cs="宋体"/>
          <w:sz w:val="21"/>
          <w:szCs w:val="21"/>
          <w:lang w:val="en-US" w:eastAsia="zh-CN"/>
        </w:rPr>
        <w:t>2019年版</w:t>
      </w:r>
      <w:r>
        <w:rPr>
          <w:rFonts w:hint="eastAsia" w:ascii="宋体" w:hAnsi="宋体" w:eastAsia="宋体" w:cs="宋体"/>
          <w:sz w:val="21"/>
          <w:szCs w:val="21"/>
        </w:rPr>
        <w:t>，</w:t>
      </w:r>
      <w:r>
        <w:rPr>
          <w:rFonts w:hint="eastAsia" w:ascii="宋体" w:hAnsi="宋体" w:eastAsia="宋体" w:cs="宋体"/>
          <w:sz w:val="21"/>
          <w:szCs w:val="21"/>
          <w:lang w:val="en-US" w:eastAsia="zh-CN"/>
        </w:rPr>
        <w:t>第24页。</w:t>
      </w:r>
    </w:p>
  </w:footnote>
  <w:footnote w:id="296">
    <w:p w14:paraId="39627BE5">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中共中央党史和文献研究院</w:t>
      </w:r>
      <w:r>
        <w:rPr>
          <w:rFonts w:hint="eastAsia" w:ascii="宋体" w:hAnsi="宋体" w:eastAsia="宋体" w:cs="宋体"/>
          <w:sz w:val="21"/>
          <w:szCs w:val="21"/>
          <w:lang w:eastAsia="zh-CN"/>
        </w:rPr>
        <w:t>：</w:t>
      </w:r>
      <w:r>
        <w:rPr>
          <w:rFonts w:hint="eastAsia" w:ascii="宋体" w:hAnsi="宋体" w:eastAsia="宋体" w:cs="宋体"/>
          <w:sz w:val="21"/>
          <w:szCs w:val="21"/>
        </w:rPr>
        <w:t>《习近平关于“三农”工作论述摘编》，中央文献出版社</w:t>
      </w:r>
      <w:r>
        <w:rPr>
          <w:rFonts w:hint="eastAsia" w:ascii="宋体" w:hAnsi="宋体" w:eastAsia="宋体" w:cs="宋体"/>
          <w:sz w:val="21"/>
          <w:szCs w:val="21"/>
          <w:lang w:val="en-US" w:eastAsia="zh-CN"/>
        </w:rPr>
        <w:t>2019年版</w:t>
      </w:r>
      <w:r>
        <w:rPr>
          <w:rFonts w:hint="eastAsia" w:ascii="宋体" w:hAnsi="宋体" w:eastAsia="宋体" w:cs="宋体"/>
          <w:sz w:val="21"/>
          <w:szCs w:val="21"/>
        </w:rPr>
        <w:t>，</w:t>
      </w:r>
      <w:r>
        <w:rPr>
          <w:rFonts w:hint="eastAsia" w:ascii="宋体" w:hAnsi="宋体" w:eastAsia="宋体" w:cs="宋体"/>
          <w:sz w:val="21"/>
          <w:szCs w:val="21"/>
          <w:lang w:val="en-US" w:eastAsia="zh-CN"/>
        </w:rPr>
        <w:t>第100页。</w:t>
      </w:r>
    </w:p>
  </w:footnote>
  <w:footnote w:id="297">
    <w:p w14:paraId="684C0562">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eastAsia" w:ascii="Times New Roman" w:hAnsi="Times New Roman" w:cs="Times New Roman"/>
          <w:color w:val="auto"/>
          <w:sz w:val="18"/>
          <w:szCs w:val="18"/>
          <w:lang w:eastAsia="zh-CN"/>
        </w:rPr>
        <w:t>王会.我国农村集体经济优越性探析[J].毛泽东邓小平理论研究，2022，(8)</w:t>
      </w:r>
      <w:r>
        <w:rPr>
          <w:rFonts w:hint="eastAsia" w:ascii="Times New Roman" w:hAnsi="Times New Roman" w:cs="Times New Roman"/>
          <w:color w:val="auto"/>
          <w:sz w:val="18"/>
          <w:szCs w:val="18"/>
          <w:lang w:val="en-US" w:eastAsia="zh-CN"/>
        </w:rPr>
        <w:t>.</w:t>
      </w:r>
      <w:r>
        <w:rPr>
          <w:rFonts w:hint="eastAsia" w:ascii="Times New Roman" w:hAnsi="Times New Roman" w:cs="Times New Roman"/>
          <w:color w:val="auto"/>
          <w:sz w:val="18"/>
          <w:szCs w:val="18"/>
          <w:lang w:eastAsia="zh-CN"/>
        </w:rPr>
        <w:t xml:space="preserve"> </w:t>
      </w:r>
    </w:p>
  </w:footnote>
  <w:footnote w:id="298">
    <w:p w14:paraId="23430A2D">
      <w:pPr>
        <w:pStyle w:val="11"/>
        <w:pageBreakBefore w:val="0"/>
        <w:wordWrap/>
        <w:overflowPunct/>
        <w:topLinePunct w:val="0"/>
        <w:bidi w:val="0"/>
        <w:snapToGrid w:val="0"/>
        <w:spacing w:line="240" w:lineRule="auto"/>
        <w:ind w:left="0" w:firstLine="0" w:firstLineChars="0"/>
      </w:pPr>
      <w:r>
        <w:rPr>
          <w:rStyle w:val="20"/>
        </w:rPr>
        <w:t>[</w:t>
      </w:r>
      <w:r>
        <w:rPr>
          <w:rStyle w:val="20"/>
        </w:rPr>
        <w:footnoteRef/>
      </w:r>
      <w:r>
        <w:rPr>
          <w:rStyle w:val="20"/>
        </w:rPr>
        <w:t>]</w:t>
      </w:r>
      <w:r>
        <w:rPr>
          <w:rFonts w:hint="default" w:ascii="Times New Roman" w:hAnsi="Times New Roman" w:eastAsia="宋体" w:cs="Times New Roman"/>
          <w:color w:val="auto"/>
          <w:sz w:val="18"/>
          <w:szCs w:val="18"/>
        </w:rPr>
        <w:t>于鸿君</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乡村振兴的战略选择</w:t>
      </w:r>
      <w:r>
        <w:rPr>
          <w:rFonts w:hint="eastAsia" w:ascii="Times New Roman" w:hAnsi="Times New Roman" w:cs="Times New Roman"/>
          <w:color w:val="auto"/>
          <w:sz w:val="18"/>
          <w:szCs w:val="18"/>
          <w:lang w:eastAsia="zh-CN"/>
        </w:rPr>
        <w:t>[J].</w:t>
      </w:r>
      <w:r>
        <w:rPr>
          <w:rFonts w:hint="default" w:ascii="Times New Roman" w:hAnsi="Times New Roman" w:eastAsia="宋体" w:cs="Times New Roman"/>
          <w:color w:val="auto"/>
          <w:sz w:val="18"/>
          <w:szCs w:val="18"/>
        </w:rPr>
        <w:t>北京大学学报(哲学社会科学版)</w:t>
      </w:r>
      <w:r>
        <w:rPr>
          <w:rFonts w:hint="eastAsia" w:ascii="Times New Roman" w:hAnsi="Times New Roman" w:cs="Times New Roman"/>
          <w:color w:val="auto"/>
          <w:sz w:val="18"/>
          <w:szCs w:val="18"/>
          <w:lang w:eastAsia="zh-CN"/>
        </w:rPr>
        <w:t>，</w:t>
      </w:r>
      <w:r>
        <w:rPr>
          <w:rFonts w:hint="default" w:ascii="Times New Roman" w:hAnsi="Times New Roman" w:eastAsia="宋体" w:cs="Times New Roman"/>
          <w:color w:val="auto"/>
          <w:sz w:val="18"/>
          <w:szCs w:val="18"/>
          <w:lang w:val="en-US" w:eastAsia="zh-CN"/>
        </w:rPr>
        <w:t>2022</w:t>
      </w:r>
      <w:r>
        <w:rPr>
          <w:rFonts w:hint="eastAsia" w:ascii="Times New Roman" w:hAnsi="Times New Roman" w:cs="Times New Roman"/>
          <w:color w:val="auto"/>
          <w:sz w:val="18"/>
          <w:szCs w:val="18"/>
          <w:lang w:val="en-US" w:eastAsia="zh-CN"/>
        </w:rPr>
        <w:t>，(</w:t>
      </w:r>
      <w:r>
        <w:rPr>
          <w:rFonts w:hint="default" w:ascii="Times New Roman" w:hAnsi="Times New Roman" w:eastAsia="宋体" w:cs="Times New Roman"/>
          <w:color w:val="auto"/>
          <w:sz w:val="18"/>
          <w:szCs w:val="18"/>
        </w:rPr>
        <w:t>6</w:t>
      </w:r>
      <w:r>
        <w:rPr>
          <w:rFonts w:hint="eastAsia" w:ascii="Times New Roman" w:hAnsi="Times New Roman" w:cs="Times New Roman"/>
          <w:color w:val="auto"/>
          <w:sz w:val="18"/>
          <w:szCs w:val="18"/>
          <w:lang w:val="en-US" w:eastAsia="zh-CN"/>
        </w:rPr>
        <w:t>).</w:t>
      </w:r>
      <w:r>
        <w:t xml:space="preserve"> </w:t>
      </w:r>
    </w:p>
  </w:footnote>
  <w:footnote w:id="299">
    <w:p w14:paraId="15526248">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参见</w:t>
      </w:r>
      <w:r>
        <w:rPr>
          <w:rFonts w:hint="eastAsia" w:ascii="宋体" w:hAnsi="宋体" w:eastAsia="宋体" w:cs="宋体"/>
          <w:sz w:val="21"/>
          <w:szCs w:val="21"/>
        </w:rPr>
        <w:t>习近平</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w:t>
      </w:r>
      <w:r>
        <w:rPr>
          <w:rFonts w:hint="eastAsia" w:ascii="宋体" w:hAnsi="宋体" w:eastAsia="宋体" w:cs="宋体"/>
          <w:sz w:val="21"/>
          <w:szCs w:val="21"/>
        </w:rPr>
        <w:t>高举中国特色社会主义伟大旗帜 为全面建设社会主义现代化国家而团结奋斗——在中国共产党第二十次全国代表大会上的报告</w:t>
      </w:r>
      <w:r>
        <w:rPr>
          <w:rFonts w:hint="eastAsia" w:ascii="宋体" w:hAnsi="宋体" w:eastAsia="宋体" w:cs="宋体"/>
          <w:sz w:val="21"/>
          <w:szCs w:val="21"/>
          <w:lang w:eastAsia="zh-CN"/>
        </w:rPr>
        <w:t>》，</w:t>
      </w:r>
      <w:r>
        <w:rPr>
          <w:rFonts w:hint="eastAsia" w:ascii="宋体" w:hAnsi="宋体" w:eastAsia="宋体" w:cs="宋体"/>
          <w:sz w:val="21"/>
          <w:szCs w:val="21"/>
        </w:rPr>
        <w:t>人民出版社</w:t>
      </w:r>
      <w:r>
        <w:rPr>
          <w:rFonts w:hint="eastAsia" w:ascii="宋体" w:hAnsi="宋体" w:eastAsia="宋体" w:cs="宋体"/>
          <w:sz w:val="21"/>
          <w:szCs w:val="21"/>
          <w:lang w:val="en-US" w:eastAsia="zh-CN"/>
        </w:rPr>
        <w:t>2022年版</w:t>
      </w:r>
      <w:r>
        <w:rPr>
          <w:rFonts w:hint="eastAsia" w:ascii="宋体" w:hAnsi="宋体" w:eastAsia="宋体" w:cs="宋体"/>
          <w:sz w:val="21"/>
          <w:szCs w:val="21"/>
        </w:rPr>
        <w:t>，</w:t>
      </w:r>
      <w:r>
        <w:rPr>
          <w:rFonts w:hint="eastAsia" w:ascii="宋体" w:hAnsi="宋体" w:eastAsia="宋体" w:cs="宋体"/>
          <w:sz w:val="21"/>
          <w:szCs w:val="21"/>
          <w:lang w:val="en-US" w:eastAsia="zh-CN"/>
        </w:rPr>
        <w:t>第31页。</w:t>
      </w:r>
    </w:p>
  </w:footnote>
  <w:footnote w:id="300">
    <w:p w14:paraId="3128DC0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樊鹏:《全过程人民民主:具有显著制度优势的高质量民主》,《政治学研究》2021年第4期。</w:t>
      </w:r>
    </w:p>
  </w:footnote>
  <w:footnote w:id="301">
    <w:p w14:paraId="775C79A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许耀桐:《当代中国全过程人民民主的汲古通今与守正创新》,《东南学术》</w:t>
      </w:r>
      <w:r>
        <w:rPr>
          <w:rFonts w:hint="default" w:ascii="Times New Roman" w:hAnsi="Times New Roman" w:eastAsia="宋体" w:cs="Times New Roman"/>
          <w:sz w:val="21"/>
          <w:szCs w:val="21"/>
        </w:rPr>
        <w:t>2023年第1期。</w:t>
      </w:r>
    </w:p>
  </w:footnote>
  <w:footnote w:id="302">
    <w:p w14:paraId="7BA37D3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张国献、李玉华:《乡村协商民主的现实困境与化解路径》,《中州学刊》2014年第3期。</w:t>
      </w:r>
    </w:p>
  </w:footnote>
  <w:footnote w:id="303">
    <w:p w14:paraId="40CB697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张君:《全过程人民民主:新时代人民民主的新形态》,《政治学研</w:t>
      </w:r>
      <w:r>
        <w:rPr>
          <w:rFonts w:hint="default" w:ascii="Times New Roman" w:hAnsi="Times New Roman" w:eastAsia="宋体" w:cs="Times New Roman"/>
          <w:spacing w:val="1"/>
          <w:sz w:val="21"/>
          <w:szCs w:val="21"/>
        </w:rPr>
        <w:t>究》2021年第4期。</w:t>
      </w:r>
    </w:p>
  </w:footnote>
  <w:footnote w:id="304">
    <w:p w14:paraId="75276EA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毕朝文:《基层协商民主主体意识培育研究》,《辽宁省社会主义学院学报》2018年第</w:t>
      </w:r>
      <w:r>
        <w:rPr>
          <w:rFonts w:hint="default" w:ascii="Times New Roman" w:hAnsi="Times New Roman" w:eastAsia="宋体" w:cs="Times New Roman"/>
          <w:spacing w:val="1"/>
          <w:sz w:val="21"/>
          <w:szCs w:val="21"/>
        </w:rPr>
        <w:t>2期。</w:t>
      </w:r>
    </w:p>
  </w:footnote>
  <w:footnote w:id="305">
    <w:p w14:paraId="7E808F9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《马克思恩格斯全集》第2卷,人民出版</w:t>
      </w:r>
      <w:r>
        <w:rPr>
          <w:rFonts w:hint="default" w:ascii="Times New Roman" w:hAnsi="Times New Roman" w:eastAsia="宋体" w:cs="Times New Roman"/>
          <w:sz w:val="21"/>
          <w:szCs w:val="21"/>
        </w:rPr>
        <w:t>社1995年版,第48页。</w:t>
      </w:r>
    </w:p>
  </w:footnote>
  <w:footnote w:id="306">
    <w:p w14:paraId="60B9449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1"/>
          <w:sz w:val="21"/>
          <w:szCs w:val="21"/>
        </w:rPr>
        <w:t>阙天舒、方彪:《国家治理场域中全过程民主与新型政党制度</w:t>
      </w:r>
      <w:r>
        <w:rPr>
          <w:rFonts w:hint="default" w:ascii="Times New Roman" w:hAnsi="Times New Roman" w:eastAsia="宋体" w:cs="Times New Roman"/>
          <w:b/>
          <w:bCs/>
          <w:spacing w:val="11"/>
          <w:sz w:val="21"/>
          <w:szCs w:val="21"/>
        </w:rPr>
        <w:t>—</w:t>
      </w:r>
      <w:r>
        <w:rPr>
          <w:rFonts w:hint="default" w:ascii="Times New Roman" w:hAnsi="Times New Roman" w:eastAsia="宋体" w:cs="Times New Roman"/>
          <w:spacing w:val="11"/>
          <w:sz w:val="21"/>
          <w:szCs w:val="21"/>
        </w:rPr>
        <w:t>基于新时代中国话语建构的视角》,《社会</w:t>
      </w:r>
      <w:r>
        <w:rPr>
          <w:rFonts w:hint="default" w:ascii="Times New Roman" w:hAnsi="Times New Roman" w:eastAsia="宋体" w:cs="Times New Roman"/>
          <w:spacing w:val="10"/>
          <w:sz w:val="21"/>
          <w:szCs w:val="21"/>
        </w:rPr>
        <w:t>主义研</w:t>
      </w:r>
      <w:r>
        <w:rPr>
          <w:rFonts w:hint="default" w:ascii="Times New Roman" w:hAnsi="Times New Roman" w:eastAsia="宋体" w:cs="Times New Roman"/>
          <w:spacing w:val="-7"/>
          <w:sz w:val="21"/>
          <w:szCs w:val="21"/>
        </w:rPr>
        <w:t>究》2021年第4期。</w:t>
      </w:r>
    </w:p>
  </w:footnote>
  <w:footnote w:id="307">
    <w:p w14:paraId="7D7B657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5"/>
          <w:sz w:val="21"/>
          <w:szCs w:val="21"/>
        </w:rPr>
        <w:t>渠敬东、周飞舟、应星:《从总体支配到技术治理</w:t>
      </w:r>
      <w:r>
        <w:rPr>
          <w:rFonts w:hint="default" w:ascii="Times New Roman" w:hAnsi="Times New Roman" w:eastAsia="宋体" w:cs="Times New Roman"/>
          <w:b/>
          <w:bCs/>
          <w:spacing w:val="5"/>
          <w:sz w:val="21"/>
          <w:szCs w:val="21"/>
        </w:rPr>
        <w:t>—</w:t>
      </w:r>
      <w:r>
        <w:rPr>
          <w:rFonts w:hint="default" w:ascii="Times New Roman" w:hAnsi="Times New Roman" w:eastAsia="宋体" w:cs="Times New Roman"/>
          <w:spacing w:val="5"/>
          <w:sz w:val="21"/>
          <w:szCs w:val="21"/>
        </w:rPr>
        <w:t>基于中国30年改革经验的社会</w:t>
      </w:r>
      <w:r>
        <w:rPr>
          <w:rFonts w:hint="default" w:ascii="Times New Roman" w:hAnsi="Times New Roman" w:eastAsia="宋体" w:cs="Times New Roman"/>
          <w:spacing w:val="4"/>
          <w:sz w:val="21"/>
          <w:szCs w:val="21"/>
        </w:rPr>
        <w:t>学分析》,《中国社会科学》2009</w:t>
      </w:r>
      <w:r>
        <w:rPr>
          <w:rFonts w:hint="default" w:ascii="Times New Roman" w:hAnsi="Times New Roman" w:eastAsia="宋体" w:cs="Times New Roman"/>
          <w:spacing w:val="-1"/>
          <w:sz w:val="21"/>
          <w:szCs w:val="21"/>
        </w:rPr>
        <w:t>年第6期。</w:t>
      </w:r>
    </w:p>
  </w:footnote>
  <w:footnote w:id="308">
    <w:p w14:paraId="730391D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程美东:《社会治理视角下的当前中国弱势群体问题》,《</w:t>
      </w:r>
      <w:r>
        <w:rPr>
          <w:rFonts w:hint="default" w:ascii="Times New Roman" w:hAnsi="Times New Roman" w:eastAsia="宋体" w:cs="Times New Roman"/>
          <w:spacing w:val="1"/>
          <w:sz w:val="21"/>
          <w:szCs w:val="21"/>
        </w:rPr>
        <w:t>海派经济学》2020年第2期。</w:t>
      </w:r>
    </w:p>
  </w:footnote>
  <w:footnote w:id="309">
    <w:p w14:paraId="38F7633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rPr>
        <w:t>曲延春:《中国乡村治理中的协商民主:发展逻辑与推进对策》,《农村经济》2011年第11</w:t>
      </w:r>
      <w:r>
        <w:rPr>
          <w:rFonts w:hint="default" w:ascii="Times New Roman" w:hAnsi="Times New Roman" w:eastAsia="宋体" w:cs="Times New Roman"/>
          <w:sz w:val="21"/>
          <w:szCs w:val="21"/>
        </w:rPr>
        <w:t>期。</w:t>
      </w:r>
    </w:p>
  </w:footnote>
  <w:footnote w:id="310">
    <w:p w14:paraId="39AFB36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“四议两公开”其中的“四议”,是指村党支部会提议、村“两委”会商议、党员大会审议、村民代表会</w:t>
      </w:r>
      <w:r>
        <w:rPr>
          <w:rFonts w:hint="default" w:ascii="Times New Roman" w:hAnsi="Times New Roman" w:eastAsia="宋体" w:cs="Times New Roman"/>
          <w:spacing w:val="1"/>
          <w:sz w:val="21"/>
          <w:szCs w:val="21"/>
        </w:rPr>
        <w:t>议或村民会议决</w:t>
      </w:r>
      <w:r>
        <w:rPr>
          <w:rFonts w:hint="default" w:ascii="Times New Roman" w:hAnsi="Times New Roman" w:eastAsia="宋体" w:cs="Times New Roman"/>
          <w:spacing w:val="-2"/>
          <w:sz w:val="21"/>
          <w:szCs w:val="21"/>
        </w:rPr>
        <w:t>议;“两公开”是指决议公开、实施结果公开。</w:t>
      </w:r>
    </w:p>
  </w:footnote>
  <w:footnote w:id="311">
    <w:p w14:paraId="638C6DD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rPr>
        <w:t>李笑宇:《全过程人民民主:运行机制与显著优势》,《科学社会主</w:t>
      </w:r>
      <w:r>
        <w:rPr>
          <w:rFonts w:hint="default" w:ascii="Times New Roman" w:hAnsi="Times New Roman" w:eastAsia="宋体" w:cs="Times New Roman"/>
          <w:spacing w:val="1"/>
          <w:sz w:val="21"/>
          <w:szCs w:val="21"/>
        </w:rPr>
        <w:t>义》2021年第6期。</w:t>
      </w:r>
    </w:p>
  </w:footnote>
  <w:footnote w:id="312">
    <w:p w14:paraId="5A37BD5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徐敏宁、陈安国:《民生政策制定中更应突出协商民主制度建设》,《行政论坛》2013年第5期。</w:t>
      </w:r>
    </w:p>
  </w:footnote>
  <w:footnote w:id="313">
    <w:p w14:paraId="4501F9A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0"/>
          <w:sz w:val="21"/>
          <w:szCs w:val="21"/>
          <w:lang w:eastAsia="zh-CN"/>
        </w:rPr>
        <w:t>公元前四世纪许多重要的希腊哲</w:t>
      </w:r>
      <w:r>
        <w:rPr>
          <w:rFonts w:hint="default" w:ascii="Times New Roman" w:hAnsi="Times New Roman" w:eastAsia="宋体" w:cs="Times New Roman"/>
          <w:spacing w:val="9"/>
          <w:sz w:val="21"/>
          <w:szCs w:val="21"/>
          <w:lang w:eastAsia="zh-CN"/>
        </w:rPr>
        <w:t>学家,特别是柏拉图(</w:t>
      </w:r>
      <w:r>
        <w:rPr>
          <w:rFonts w:hint="default" w:ascii="Times New Roman" w:hAnsi="Times New Roman" w:eastAsia="宋体" w:cs="Times New Roman"/>
          <w:sz w:val="21"/>
          <w:szCs w:val="21"/>
          <w:lang w:eastAsia="zh-CN"/>
        </w:rPr>
        <w:t>Pl</w:t>
      </w:r>
      <w:r>
        <w:rPr>
          <w:rFonts w:hint="default" w:ascii="Times New Roman" w:hAnsi="Times New Roman" w:eastAsia="宋体" w:cs="Times New Roman"/>
          <w:position w:val="-1"/>
          <w:sz w:val="21"/>
          <w:szCs w:val="21"/>
          <w:lang w:eastAsia="zh-CN"/>
        </w:rPr>
        <w:t>ato</w:t>
      </w:r>
      <w:r>
        <w:rPr>
          <w:rFonts w:hint="default" w:ascii="Times New Roman" w:hAnsi="Times New Roman" w:eastAsia="宋体" w:cs="Times New Roman"/>
          <w:spacing w:val="9"/>
          <w:sz w:val="21"/>
          <w:szCs w:val="21"/>
          <w:lang w:eastAsia="zh-CN"/>
        </w:rPr>
        <w:t>)和色诺芬(</w:t>
      </w:r>
      <w:r>
        <w:rPr>
          <w:rFonts w:hint="default" w:ascii="Times New Roman" w:hAnsi="Times New Roman" w:eastAsia="宋体" w:cs="Times New Roman"/>
          <w:sz w:val="21"/>
          <w:szCs w:val="21"/>
          <w:lang w:eastAsia="zh-CN"/>
        </w:rPr>
        <w:t>X</w:t>
      </w:r>
      <w:r>
        <w:rPr>
          <w:rFonts w:hint="default" w:ascii="Times New Roman" w:hAnsi="Times New Roman" w:eastAsia="宋体" w:cs="Times New Roman"/>
          <w:position w:val="-1"/>
          <w:sz w:val="21"/>
          <w:szCs w:val="21"/>
          <w:lang w:eastAsia="zh-CN"/>
        </w:rPr>
        <w:t>enophon</w:t>
      </w:r>
      <w:r>
        <w:rPr>
          <w:rFonts w:hint="default" w:ascii="Times New Roman" w:hAnsi="Times New Roman" w:eastAsia="宋体" w:cs="Times New Roman"/>
          <w:spacing w:val="9"/>
          <w:sz w:val="21"/>
          <w:szCs w:val="21"/>
          <w:lang w:eastAsia="zh-CN"/>
        </w:rPr>
        <w:t>),在他们的</w:t>
      </w:r>
      <w:r>
        <w:rPr>
          <w:rFonts w:hint="default" w:ascii="Times New Roman" w:hAnsi="Times New Roman" w:eastAsia="宋体" w:cs="Times New Roman"/>
          <w:spacing w:val="5"/>
          <w:sz w:val="21"/>
          <w:szCs w:val="21"/>
          <w:lang w:eastAsia="zh-CN"/>
        </w:rPr>
        <w:t>著作中讨论了分工的不同方面。</w:t>
      </w:r>
    </w:p>
  </w:footnote>
  <w:footnote w:id="314">
    <w:p w14:paraId="3D25C180">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4"/>
          <w:sz w:val="21"/>
          <w:szCs w:val="21"/>
        </w:rPr>
        <w:t>主要指杨格(</w:t>
      </w:r>
      <w:r>
        <w:rPr>
          <w:rFonts w:hint="default" w:ascii="Times New Roman" w:hAnsi="Times New Roman" w:eastAsia="宋体" w:cs="Times New Roman"/>
          <w:sz w:val="21"/>
          <w:szCs w:val="21"/>
        </w:rPr>
        <w:t>Allyn</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position w:val="-1"/>
          <w:sz w:val="21"/>
          <w:szCs w:val="21"/>
        </w:rPr>
        <w:t>Abb</w:t>
      </w:r>
      <w:r>
        <w:rPr>
          <w:rFonts w:hint="default" w:ascii="Times New Roman" w:hAnsi="Times New Roman" w:eastAsia="宋体" w:cs="Times New Roman"/>
          <w:sz w:val="21"/>
          <w:szCs w:val="21"/>
        </w:rPr>
        <w:t>ott</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Young</w:t>
      </w:r>
      <w:r>
        <w:rPr>
          <w:rFonts w:hint="default" w:ascii="Times New Roman" w:hAnsi="Times New Roman" w:eastAsia="宋体" w:cs="Times New Roman"/>
          <w:spacing w:val="4"/>
          <w:sz w:val="21"/>
          <w:szCs w:val="21"/>
        </w:rPr>
        <w:t>)</w:t>
      </w:r>
      <w:r>
        <w:rPr>
          <w:rFonts w:hint="default" w:ascii="Times New Roman" w:hAnsi="Times New Roman" w:eastAsia="宋体" w:cs="Times New Roman"/>
          <w:spacing w:val="4"/>
          <w:position w:val="1"/>
          <w:sz w:val="21"/>
          <w:szCs w:val="21"/>
        </w:rPr>
        <w:t>、</w:t>
      </w:r>
      <w:r>
        <w:rPr>
          <w:rFonts w:hint="default" w:ascii="Times New Roman" w:hAnsi="Times New Roman" w:eastAsia="宋体" w:cs="Times New Roman"/>
          <w:spacing w:val="4"/>
          <w:sz w:val="21"/>
          <w:szCs w:val="21"/>
        </w:rPr>
        <w:t>卡尔多(</w:t>
      </w:r>
      <w:r>
        <w:rPr>
          <w:rFonts w:hint="default" w:ascii="Times New Roman" w:hAnsi="Times New Roman" w:eastAsia="宋体" w:cs="Times New Roman"/>
          <w:sz w:val="21"/>
          <w:szCs w:val="21"/>
        </w:rPr>
        <w:t>Nic</w:t>
      </w:r>
      <w:r>
        <w:rPr>
          <w:rFonts w:hint="default" w:ascii="Times New Roman" w:hAnsi="Times New Roman" w:eastAsia="宋体" w:cs="Times New Roman"/>
          <w:position w:val="-1"/>
          <w:sz w:val="21"/>
          <w:szCs w:val="21"/>
        </w:rPr>
        <w:t>holas</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1"/>
          <w:sz w:val="21"/>
          <w:szCs w:val="21"/>
        </w:rPr>
        <w:t>Kaldor</w:t>
      </w:r>
      <w:r>
        <w:rPr>
          <w:rFonts w:hint="default" w:ascii="Times New Roman" w:hAnsi="Times New Roman" w:eastAsia="宋体" w:cs="Times New Roman"/>
          <w:spacing w:val="4"/>
          <w:position w:val="1"/>
          <w:sz w:val="21"/>
          <w:szCs w:val="21"/>
        </w:rPr>
        <w:t>)、</w:t>
      </w:r>
      <w:r>
        <w:rPr>
          <w:rFonts w:hint="default" w:ascii="Times New Roman" w:hAnsi="Times New Roman" w:eastAsia="宋体" w:cs="Times New Roman"/>
          <w:spacing w:val="4"/>
          <w:sz w:val="21"/>
          <w:szCs w:val="21"/>
        </w:rPr>
        <w:t>杨小凯等学者</w:t>
      </w:r>
      <w:r>
        <w:rPr>
          <w:rFonts w:hint="default" w:ascii="Times New Roman" w:hAnsi="Times New Roman" w:eastAsia="宋体" w:cs="Times New Roman"/>
          <w:spacing w:val="4"/>
          <w:position w:val="1"/>
          <w:sz w:val="21"/>
          <w:szCs w:val="21"/>
        </w:rPr>
        <w:t>。</w:t>
      </w:r>
    </w:p>
    <w:p w14:paraId="041BCD7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p>
  </w:footnote>
  <w:footnote w:id="315">
    <w:p w14:paraId="2F0923D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rPr>
        <w:t>《马克思恩格斯文集》第</w:t>
      </w:r>
      <w:r>
        <w:rPr>
          <w:rFonts w:hint="default" w:ascii="Times New Roman" w:hAnsi="Times New Roman" w:eastAsia="宋体" w:cs="Times New Roman"/>
          <w:spacing w:val="9"/>
          <w:position w:val="-1"/>
          <w:sz w:val="21"/>
          <w:szCs w:val="21"/>
        </w:rPr>
        <w:t>5</w:t>
      </w:r>
      <w:r>
        <w:rPr>
          <w:rFonts w:hint="default" w:ascii="Times New Roman" w:hAnsi="Times New Roman" w:eastAsia="宋体" w:cs="Times New Roman"/>
          <w:spacing w:val="9"/>
          <w:sz w:val="21"/>
          <w:szCs w:val="21"/>
        </w:rPr>
        <w:t>卷,北京:人民出版社,</w:t>
      </w:r>
      <w:r>
        <w:rPr>
          <w:rFonts w:hint="default" w:ascii="Times New Roman" w:hAnsi="Times New Roman" w:eastAsia="宋体" w:cs="Times New Roman"/>
          <w:spacing w:val="9"/>
          <w:position w:val="-1"/>
          <w:sz w:val="21"/>
          <w:szCs w:val="21"/>
        </w:rPr>
        <w:t>2009</w:t>
      </w:r>
      <w:r>
        <w:rPr>
          <w:rFonts w:hint="default" w:ascii="Times New Roman" w:hAnsi="Times New Roman" w:eastAsia="宋体" w:cs="Times New Roman"/>
          <w:spacing w:val="9"/>
          <w:sz w:val="21"/>
          <w:szCs w:val="21"/>
        </w:rPr>
        <w:t>年,第</w:t>
      </w:r>
      <w:r>
        <w:rPr>
          <w:rFonts w:hint="default" w:ascii="Times New Roman" w:hAnsi="Times New Roman" w:eastAsia="宋体" w:cs="Times New Roman"/>
          <w:spacing w:val="9"/>
          <w:position w:val="-1"/>
          <w:sz w:val="21"/>
          <w:szCs w:val="21"/>
        </w:rPr>
        <w:t>56</w:t>
      </w:r>
      <w:r>
        <w:rPr>
          <w:rFonts w:hint="default" w:ascii="Times New Roman" w:hAnsi="Times New Roman" w:eastAsia="宋体" w:cs="Times New Roman"/>
          <w:spacing w:val="8"/>
          <w:sz w:val="21"/>
          <w:szCs w:val="21"/>
        </w:rPr>
        <w:t>页。</w:t>
      </w:r>
    </w:p>
  </w:footnote>
  <w:footnote w:id="316">
    <w:p w14:paraId="5FCA5FF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3"/>
          <w:sz w:val="21"/>
          <w:szCs w:val="21"/>
          <w:lang w:eastAsia="zh-CN"/>
        </w:rPr>
        <w:t>《马克思恩格斯文集》第</w:t>
      </w:r>
      <w:r>
        <w:rPr>
          <w:rFonts w:hint="default" w:ascii="Times New Roman" w:hAnsi="Times New Roman" w:eastAsia="宋体" w:cs="Times New Roman"/>
          <w:spacing w:val="3"/>
          <w:position w:val="-1"/>
          <w:sz w:val="21"/>
          <w:szCs w:val="21"/>
          <w:lang w:eastAsia="zh-CN"/>
        </w:rPr>
        <w:t>4</w:t>
      </w:r>
      <w:r>
        <w:rPr>
          <w:rFonts w:hint="default" w:ascii="Times New Roman" w:hAnsi="Times New Roman" w:eastAsia="宋体" w:cs="Times New Roman"/>
          <w:spacing w:val="3"/>
          <w:sz w:val="21"/>
          <w:szCs w:val="21"/>
          <w:lang w:eastAsia="zh-CN"/>
        </w:rPr>
        <w:t>卷,北京:人民出版社,</w:t>
      </w:r>
      <w:r>
        <w:rPr>
          <w:rFonts w:hint="default" w:ascii="Times New Roman" w:hAnsi="Times New Roman" w:eastAsia="宋体" w:cs="Times New Roman"/>
          <w:spacing w:val="3"/>
          <w:position w:val="-1"/>
          <w:sz w:val="21"/>
          <w:szCs w:val="21"/>
          <w:lang w:eastAsia="zh-CN"/>
        </w:rPr>
        <w:t>2009</w:t>
      </w:r>
      <w:r>
        <w:rPr>
          <w:rFonts w:hint="default" w:ascii="Times New Roman" w:hAnsi="Times New Roman" w:eastAsia="宋体" w:cs="Times New Roman"/>
          <w:spacing w:val="3"/>
          <w:sz w:val="21"/>
          <w:szCs w:val="21"/>
          <w:lang w:eastAsia="zh-CN"/>
        </w:rPr>
        <w:t>年,第</w:t>
      </w:r>
      <w:r>
        <w:rPr>
          <w:rFonts w:hint="default" w:ascii="Times New Roman" w:hAnsi="Times New Roman" w:eastAsia="宋体" w:cs="Times New Roman"/>
          <w:spacing w:val="3"/>
          <w:position w:val="-1"/>
          <w:sz w:val="21"/>
          <w:szCs w:val="21"/>
          <w:lang w:eastAsia="zh-CN"/>
        </w:rPr>
        <w:t>179</w:t>
      </w:r>
      <w:r>
        <w:rPr>
          <w:rFonts w:hint="default" w:ascii="Times New Roman" w:hAnsi="Times New Roman" w:eastAsia="宋体" w:cs="Times New Roman"/>
          <w:spacing w:val="3"/>
          <w:sz w:val="21"/>
          <w:szCs w:val="21"/>
          <w:lang w:eastAsia="zh-CN"/>
        </w:rPr>
        <w:t>、</w:t>
      </w:r>
      <w:r>
        <w:rPr>
          <w:rFonts w:hint="default" w:ascii="Times New Roman" w:hAnsi="Times New Roman" w:eastAsia="宋体" w:cs="Times New Roman"/>
          <w:spacing w:val="3"/>
          <w:position w:val="-1"/>
          <w:sz w:val="21"/>
          <w:szCs w:val="21"/>
          <w:lang w:eastAsia="zh-CN"/>
        </w:rPr>
        <w:t>182</w:t>
      </w:r>
      <w:r>
        <w:rPr>
          <w:rFonts w:hint="default" w:ascii="Times New Roman" w:hAnsi="Times New Roman" w:eastAsia="宋体" w:cs="Times New Roman"/>
          <w:spacing w:val="3"/>
          <w:sz w:val="21"/>
          <w:szCs w:val="21"/>
          <w:lang w:eastAsia="zh-CN"/>
        </w:rPr>
        <w:t>、</w:t>
      </w:r>
      <w:r>
        <w:rPr>
          <w:rFonts w:hint="default" w:ascii="Times New Roman" w:hAnsi="Times New Roman" w:eastAsia="宋体" w:cs="Times New Roman"/>
          <w:spacing w:val="3"/>
          <w:position w:val="-1"/>
          <w:sz w:val="21"/>
          <w:szCs w:val="21"/>
          <w:lang w:eastAsia="zh-CN"/>
        </w:rPr>
        <w:t>185</w:t>
      </w:r>
      <w:r>
        <w:rPr>
          <w:rFonts w:hint="default" w:ascii="Times New Roman" w:hAnsi="Times New Roman" w:eastAsia="宋体" w:cs="Times New Roman"/>
          <w:spacing w:val="3"/>
          <w:sz w:val="21"/>
          <w:szCs w:val="21"/>
          <w:lang w:eastAsia="zh-CN"/>
        </w:rPr>
        <w:t>页。</w:t>
      </w:r>
    </w:p>
  </w:footnote>
  <w:footnote w:id="317">
    <w:p w14:paraId="5BBC58C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1</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627</w:t>
      </w:r>
      <w:r>
        <w:rPr>
          <w:rFonts w:hint="default" w:ascii="Times New Roman" w:hAnsi="Times New Roman" w:eastAsia="宋体" w:cs="Times New Roman"/>
          <w:spacing w:val="8"/>
          <w:sz w:val="21"/>
          <w:szCs w:val="21"/>
          <w:lang w:eastAsia="zh-CN"/>
        </w:rPr>
        <w:t>页。</w:t>
      </w:r>
    </w:p>
  </w:footnote>
  <w:footnote w:id="318">
    <w:p w14:paraId="2A27CA0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512</w:t>
      </w:r>
      <w:r>
        <w:rPr>
          <w:rFonts w:hint="default" w:ascii="Times New Roman" w:hAnsi="Times New Roman" w:eastAsia="宋体" w:cs="Times New Roman"/>
          <w:spacing w:val="8"/>
          <w:sz w:val="21"/>
          <w:szCs w:val="21"/>
          <w:lang w:eastAsia="zh-CN"/>
        </w:rPr>
        <w:t>页。</w:t>
      </w:r>
    </w:p>
  </w:footnote>
  <w:footnote w:id="319">
    <w:p w14:paraId="49A50E1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卷,北京:人民出版社,</w:t>
      </w:r>
      <w:r>
        <w:rPr>
          <w:rFonts w:hint="default" w:ascii="Times New Roman" w:hAnsi="Times New Roman" w:eastAsia="宋体" w:cs="Times New Roman"/>
          <w:spacing w:val="9"/>
          <w:position w:val="-1"/>
          <w:sz w:val="21"/>
          <w:szCs w:val="21"/>
          <w:lang w:eastAsia="zh-CN"/>
        </w:rPr>
        <w:t>2009</w:t>
      </w:r>
      <w:r>
        <w:rPr>
          <w:rFonts w:hint="default" w:ascii="Times New Roman" w:hAnsi="Times New Roman" w:eastAsia="宋体" w:cs="Times New Roman"/>
          <w:spacing w:val="9"/>
          <w:sz w:val="21"/>
          <w:szCs w:val="21"/>
          <w:lang w:eastAsia="zh-CN"/>
        </w:rPr>
        <w:t>年,第</w:t>
      </w:r>
      <w:r>
        <w:rPr>
          <w:rFonts w:hint="default" w:ascii="Times New Roman" w:hAnsi="Times New Roman" w:eastAsia="宋体" w:cs="Times New Roman"/>
          <w:spacing w:val="9"/>
          <w:position w:val="-1"/>
          <w:sz w:val="21"/>
          <w:szCs w:val="21"/>
          <w:lang w:eastAsia="zh-CN"/>
        </w:rPr>
        <w:t>519-520</w:t>
      </w:r>
      <w:r>
        <w:rPr>
          <w:rFonts w:hint="default" w:ascii="Times New Roman" w:hAnsi="Times New Roman" w:eastAsia="宋体" w:cs="Times New Roman"/>
          <w:spacing w:val="9"/>
          <w:sz w:val="21"/>
          <w:szCs w:val="21"/>
          <w:lang w:eastAsia="zh-CN"/>
        </w:rPr>
        <w:t>页。</w:t>
      </w:r>
    </w:p>
  </w:footnote>
  <w:footnote w:id="320">
    <w:p w14:paraId="3ED09BA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《列宁全集》第</w:t>
      </w:r>
      <w:r>
        <w:rPr>
          <w:rFonts w:hint="default" w:ascii="Times New Roman" w:hAnsi="Times New Roman" w:eastAsia="宋体" w:cs="Times New Roman"/>
          <w:spacing w:val="8"/>
          <w:position w:val="-1"/>
          <w:sz w:val="21"/>
          <w:szCs w:val="21"/>
          <w:lang w:eastAsia="zh-CN"/>
        </w:rPr>
        <w:t>3</w:t>
      </w:r>
      <w:r>
        <w:rPr>
          <w:rFonts w:hint="default" w:ascii="Times New Roman" w:hAnsi="Times New Roman" w:eastAsia="宋体" w:cs="Times New Roman"/>
          <w:spacing w:val="8"/>
          <w:sz w:val="21"/>
          <w:szCs w:val="21"/>
          <w:lang w:eastAsia="zh-CN"/>
        </w:rPr>
        <w:t>卷,北京:人民出版社,</w:t>
      </w:r>
      <w:r>
        <w:rPr>
          <w:rFonts w:hint="default" w:ascii="Times New Roman" w:hAnsi="Times New Roman" w:eastAsia="宋体" w:cs="Times New Roman"/>
          <w:spacing w:val="8"/>
          <w:position w:val="-1"/>
          <w:sz w:val="21"/>
          <w:szCs w:val="21"/>
          <w:lang w:eastAsia="zh-CN"/>
        </w:rPr>
        <w:t>2013</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19</w:t>
      </w:r>
      <w:r>
        <w:rPr>
          <w:rFonts w:hint="default" w:ascii="Times New Roman" w:hAnsi="Times New Roman" w:eastAsia="宋体" w:cs="Times New Roman"/>
          <w:spacing w:val="8"/>
          <w:sz w:val="21"/>
          <w:szCs w:val="21"/>
          <w:lang w:eastAsia="zh-CN"/>
        </w:rPr>
        <w:t>页。</w:t>
      </w:r>
    </w:p>
  </w:footnote>
  <w:footnote w:id="321">
    <w:p w14:paraId="4E3B49D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0"/>
          <w:sz w:val="21"/>
          <w:szCs w:val="21"/>
          <w:lang w:eastAsia="zh-CN"/>
        </w:rPr>
        <w:t>《列宁全集》第</w:t>
      </w:r>
      <w:r>
        <w:rPr>
          <w:rFonts w:hint="default" w:ascii="Times New Roman" w:hAnsi="Times New Roman" w:eastAsia="宋体" w:cs="Times New Roman"/>
          <w:spacing w:val="10"/>
          <w:position w:val="-1"/>
          <w:sz w:val="21"/>
          <w:szCs w:val="21"/>
          <w:lang w:eastAsia="zh-CN"/>
        </w:rPr>
        <w:t>1</w:t>
      </w:r>
      <w:r>
        <w:rPr>
          <w:rFonts w:hint="default" w:ascii="Times New Roman" w:hAnsi="Times New Roman" w:eastAsia="宋体" w:cs="Times New Roman"/>
          <w:spacing w:val="10"/>
          <w:sz w:val="21"/>
          <w:szCs w:val="21"/>
          <w:lang w:eastAsia="zh-CN"/>
        </w:rPr>
        <w:t>卷,北京:人民出版社,</w:t>
      </w:r>
      <w:r>
        <w:rPr>
          <w:rFonts w:hint="default" w:ascii="Times New Roman" w:hAnsi="Times New Roman" w:eastAsia="宋体" w:cs="Times New Roman"/>
          <w:spacing w:val="10"/>
          <w:position w:val="-1"/>
          <w:sz w:val="21"/>
          <w:szCs w:val="21"/>
          <w:lang w:eastAsia="zh-CN"/>
        </w:rPr>
        <w:t>2013</w:t>
      </w:r>
      <w:r>
        <w:rPr>
          <w:rFonts w:hint="default" w:ascii="Times New Roman" w:hAnsi="Times New Roman" w:eastAsia="宋体" w:cs="Times New Roman"/>
          <w:spacing w:val="10"/>
          <w:sz w:val="21"/>
          <w:szCs w:val="21"/>
          <w:lang w:eastAsia="zh-CN"/>
        </w:rPr>
        <w:t>年,第</w:t>
      </w:r>
      <w:r>
        <w:rPr>
          <w:rFonts w:hint="default" w:ascii="Times New Roman" w:hAnsi="Times New Roman" w:eastAsia="宋体" w:cs="Times New Roman"/>
          <w:spacing w:val="10"/>
          <w:position w:val="-1"/>
          <w:sz w:val="21"/>
          <w:szCs w:val="21"/>
          <w:lang w:eastAsia="zh-CN"/>
        </w:rPr>
        <w:t>78-79</w:t>
      </w:r>
      <w:r>
        <w:rPr>
          <w:rFonts w:hint="default" w:ascii="Times New Roman" w:hAnsi="Times New Roman" w:eastAsia="宋体" w:cs="Times New Roman"/>
          <w:spacing w:val="10"/>
          <w:sz w:val="21"/>
          <w:szCs w:val="21"/>
          <w:lang w:eastAsia="zh-CN"/>
        </w:rPr>
        <w:t>页。</w:t>
      </w:r>
    </w:p>
  </w:footnote>
  <w:footnote w:id="322">
    <w:p w14:paraId="3730564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卷,北京:人民出版社,</w:t>
      </w:r>
      <w:r>
        <w:rPr>
          <w:rFonts w:hint="default" w:ascii="Times New Roman" w:hAnsi="Times New Roman" w:eastAsia="宋体" w:cs="Times New Roman"/>
          <w:spacing w:val="9"/>
          <w:position w:val="-1"/>
          <w:sz w:val="21"/>
          <w:szCs w:val="21"/>
          <w:lang w:eastAsia="zh-CN"/>
        </w:rPr>
        <w:t>2009</w:t>
      </w:r>
      <w:r>
        <w:rPr>
          <w:rFonts w:hint="default" w:ascii="Times New Roman" w:hAnsi="Times New Roman" w:eastAsia="宋体" w:cs="Times New Roman"/>
          <w:spacing w:val="9"/>
          <w:sz w:val="21"/>
          <w:szCs w:val="21"/>
          <w:lang w:eastAsia="zh-CN"/>
        </w:rPr>
        <w:t>年,第</w:t>
      </w:r>
      <w:r>
        <w:rPr>
          <w:rFonts w:hint="default" w:ascii="Times New Roman" w:hAnsi="Times New Roman" w:eastAsia="宋体" w:cs="Times New Roman"/>
          <w:spacing w:val="9"/>
          <w:position w:val="-1"/>
          <w:sz w:val="21"/>
          <w:szCs w:val="21"/>
          <w:lang w:eastAsia="zh-CN"/>
        </w:rPr>
        <w:t>410-411</w:t>
      </w:r>
      <w:r>
        <w:rPr>
          <w:rFonts w:hint="default" w:ascii="Times New Roman" w:hAnsi="Times New Roman" w:eastAsia="宋体" w:cs="Times New Roman"/>
          <w:spacing w:val="9"/>
          <w:sz w:val="21"/>
          <w:szCs w:val="21"/>
          <w:lang w:eastAsia="zh-CN"/>
        </w:rPr>
        <w:t>页。</w:t>
      </w:r>
    </w:p>
  </w:footnote>
  <w:footnote w:id="323">
    <w:p w14:paraId="4D3290B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《马克思恩格斯全集》第</w:t>
      </w:r>
      <w:r>
        <w:rPr>
          <w:rFonts w:hint="default" w:ascii="Times New Roman" w:hAnsi="Times New Roman" w:eastAsia="宋体" w:cs="Times New Roman"/>
          <w:spacing w:val="8"/>
          <w:position w:val="-1"/>
          <w:sz w:val="21"/>
          <w:szCs w:val="21"/>
          <w:lang w:eastAsia="zh-CN"/>
        </w:rPr>
        <w:t>32</w:t>
      </w:r>
      <w:r>
        <w:rPr>
          <w:rFonts w:hint="default" w:ascii="Times New Roman" w:hAnsi="Times New Roman" w:eastAsia="宋体" w:cs="Times New Roman"/>
          <w:spacing w:val="8"/>
          <w:sz w:val="21"/>
          <w:szCs w:val="21"/>
          <w:lang w:eastAsia="zh-CN"/>
        </w:rPr>
        <w:t>卷,北京:人民出版社,1998年,第</w:t>
      </w:r>
      <w:r>
        <w:rPr>
          <w:rFonts w:hint="default" w:ascii="Times New Roman" w:hAnsi="Times New Roman" w:eastAsia="宋体" w:cs="Times New Roman"/>
          <w:spacing w:val="8"/>
          <w:position w:val="-1"/>
          <w:sz w:val="21"/>
          <w:szCs w:val="21"/>
          <w:lang w:eastAsia="zh-CN"/>
        </w:rPr>
        <w:t>304</w:t>
      </w:r>
      <w:r>
        <w:rPr>
          <w:rFonts w:hint="default" w:ascii="Times New Roman" w:hAnsi="Times New Roman" w:eastAsia="宋体" w:cs="Times New Roman"/>
          <w:spacing w:val="8"/>
          <w:sz w:val="21"/>
          <w:szCs w:val="21"/>
          <w:lang w:eastAsia="zh-CN"/>
        </w:rPr>
        <w:t>页。</w:t>
      </w:r>
    </w:p>
  </w:footnote>
  <w:footnote w:id="324">
    <w:p w14:paraId="7E7F3C33">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《马克思恩格斯全集》第</w:t>
      </w:r>
      <w:r>
        <w:rPr>
          <w:rFonts w:hint="default" w:ascii="Times New Roman" w:hAnsi="Times New Roman" w:eastAsia="宋体" w:cs="Times New Roman"/>
          <w:spacing w:val="8"/>
          <w:position w:val="-1"/>
          <w:sz w:val="21"/>
          <w:szCs w:val="21"/>
          <w:lang w:eastAsia="zh-CN"/>
        </w:rPr>
        <w:t>32</w:t>
      </w:r>
      <w:r>
        <w:rPr>
          <w:rFonts w:hint="default" w:ascii="Times New Roman" w:hAnsi="Times New Roman" w:eastAsia="宋体" w:cs="Times New Roman"/>
          <w:spacing w:val="8"/>
          <w:sz w:val="21"/>
          <w:szCs w:val="21"/>
          <w:lang w:eastAsia="zh-CN"/>
        </w:rPr>
        <w:t>卷,北京:人民出版社,1998年,第</w:t>
      </w:r>
      <w:r>
        <w:rPr>
          <w:rFonts w:hint="default" w:ascii="Times New Roman" w:hAnsi="Times New Roman" w:eastAsia="宋体" w:cs="Times New Roman"/>
          <w:spacing w:val="8"/>
          <w:position w:val="-1"/>
          <w:sz w:val="21"/>
          <w:szCs w:val="21"/>
          <w:lang w:eastAsia="zh-CN"/>
        </w:rPr>
        <w:t>308</w:t>
      </w:r>
      <w:r>
        <w:rPr>
          <w:rFonts w:hint="default" w:ascii="Times New Roman" w:hAnsi="Times New Roman" w:eastAsia="宋体" w:cs="Times New Roman"/>
          <w:spacing w:val="8"/>
          <w:sz w:val="21"/>
          <w:szCs w:val="21"/>
          <w:lang w:eastAsia="zh-CN"/>
        </w:rPr>
        <w:t>页。</w:t>
      </w:r>
    </w:p>
  </w:footnote>
  <w:footnote w:id="325">
    <w:p w14:paraId="7D8E922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lang w:eastAsia="zh-CN"/>
        </w:rPr>
        <w:t>李琼:《劳动分工与企业起源》,《教学与研究》2001年第</w:t>
      </w:r>
      <w:r>
        <w:rPr>
          <w:rFonts w:hint="default" w:ascii="Times New Roman" w:hAnsi="Times New Roman" w:eastAsia="宋体" w:cs="Times New Roman"/>
          <w:spacing w:val="-1"/>
          <w:position w:val="-1"/>
          <w:sz w:val="21"/>
          <w:szCs w:val="21"/>
          <w:lang w:eastAsia="zh-CN"/>
        </w:rPr>
        <w:t>2</w:t>
      </w:r>
      <w:r>
        <w:rPr>
          <w:rFonts w:hint="default" w:ascii="Times New Roman" w:hAnsi="Times New Roman" w:eastAsia="宋体" w:cs="Times New Roman"/>
          <w:spacing w:val="-1"/>
          <w:sz w:val="21"/>
          <w:szCs w:val="21"/>
          <w:lang w:eastAsia="zh-CN"/>
        </w:rPr>
        <w:t>期。</w:t>
      </w:r>
    </w:p>
  </w:footnote>
  <w:footnote w:id="326">
    <w:p w14:paraId="5368891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1</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520</w:t>
      </w:r>
      <w:r>
        <w:rPr>
          <w:rFonts w:hint="default" w:ascii="Times New Roman" w:hAnsi="Times New Roman" w:eastAsia="宋体" w:cs="Times New Roman"/>
          <w:spacing w:val="8"/>
          <w:sz w:val="21"/>
          <w:szCs w:val="21"/>
          <w:lang w:eastAsia="zh-CN"/>
        </w:rPr>
        <w:t>页。</w:t>
      </w:r>
    </w:p>
  </w:footnote>
  <w:footnote w:id="327">
    <w:p w14:paraId="1E7B724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《马克思恩格斯文集》第</w:t>
      </w:r>
      <w:r>
        <w:rPr>
          <w:rFonts w:hint="default" w:ascii="Times New Roman" w:hAnsi="Times New Roman" w:eastAsia="宋体" w:cs="Times New Roman"/>
          <w:spacing w:val="8"/>
          <w:position w:val="-1"/>
          <w:sz w:val="21"/>
          <w:szCs w:val="21"/>
          <w:lang w:eastAsia="zh-CN"/>
        </w:rPr>
        <w:t>10</w:t>
      </w:r>
      <w:r>
        <w:rPr>
          <w:rFonts w:hint="default" w:ascii="Times New Roman" w:hAnsi="Times New Roman" w:eastAsia="宋体" w:cs="Times New Roman"/>
          <w:spacing w:val="8"/>
          <w:sz w:val="21"/>
          <w:szCs w:val="21"/>
          <w:lang w:eastAsia="zh-CN"/>
        </w:rPr>
        <w:t>卷,北京:人民出版社,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596</w:t>
      </w:r>
      <w:r>
        <w:rPr>
          <w:rFonts w:hint="default" w:ascii="Times New Roman" w:hAnsi="Times New Roman" w:eastAsia="宋体" w:cs="Times New Roman"/>
          <w:spacing w:val="8"/>
          <w:sz w:val="21"/>
          <w:szCs w:val="21"/>
          <w:lang w:eastAsia="zh-CN"/>
        </w:rPr>
        <w:t>页。</w:t>
      </w:r>
    </w:p>
  </w:footnote>
  <w:footnote w:id="328">
    <w:p w14:paraId="221A9CE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1</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520</w:t>
      </w:r>
      <w:r>
        <w:rPr>
          <w:rFonts w:hint="default" w:ascii="Times New Roman" w:hAnsi="Times New Roman" w:eastAsia="宋体" w:cs="Times New Roman"/>
          <w:spacing w:val="8"/>
          <w:sz w:val="21"/>
          <w:szCs w:val="21"/>
          <w:lang w:eastAsia="zh-CN"/>
        </w:rPr>
        <w:t>页。</w:t>
      </w:r>
    </w:p>
  </w:footnote>
  <w:footnote w:id="329">
    <w:p w14:paraId="38636B4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卷,北京:人民出版社,</w:t>
      </w:r>
      <w:r>
        <w:rPr>
          <w:rFonts w:hint="default" w:ascii="Times New Roman" w:hAnsi="Times New Roman" w:eastAsia="宋体" w:cs="Times New Roman"/>
          <w:spacing w:val="9"/>
          <w:position w:val="-1"/>
          <w:sz w:val="21"/>
          <w:szCs w:val="21"/>
          <w:lang w:eastAsia="zh-CN"/>
        </w:rPr>
        <w:t>2009</w:t>
      </w:r>
      <w:r>
        <w:rPr>
          <w:rFonts w:hint="default" w:ascii="Times New Roman" w:hAnsi="Times New Roman" w:eastAsia="宋体" w:cs="Times New Roman"/>
          <w:spacing w:val="9"/>
          <w:sz w:val="21"/>
          <w:szCs w:val="21"/>
          <w:lang w:eastAsia="zh-CN"/>
        </w:rPr>
        <w:t>年,第</w:t>
      </w:r>
      <w:r>
        <w:rPr>
          <w:rFonts w:hint="default" w:ascii="Times New Roman" w:hAnsi="Times New Roman" w:eastAsia="宋体" w:cs="Times New Roman"/>
          <w:spacing w:val="9"/>
          <w:position w:val="-1"/>
          <w:sz w:val="21"/>
          <w:szCs w:val="21"/>
          <w:lang w:eastAsia="zh-CN"/>
        </w:rPr>
        <w:t>393-394</w:t>
      </w:r>
      <w:r>
        <w:rPr>
          <w:rFonts w:hint="default" w:ascii="Times New Roman" w:hAnsi="Times New Roman" w:eastAsia="宋体" w:cs="Times New Roman"/>
          <w:spacing w:val="9"/>
          <w:sz w:val="21"/>
          <w:szCs w:val="21"/>
          <w:lang w:eastAsia="zh-CN"/>
        </w:rPr>
        <w:t>页</w:t>
      </w:r>
    </w:p>
  </w:footnote>
  <w:footnote w:id="330">
    <w:p w14:paraId="754DF9A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卷,北京:人民出版社,</w:t>
      </w:r>
      <w:r>
        <w:rPr>
          <w:rFonts w:hint="default" w:ascii="Times New Roman" w:hAnsi="Times New Roman" w:eastAsia="宋体" w:cs="Times New Roman"/>
          <w:spacing w:val="9"/>
          <w:position w:val="-1"/>
          <w:sz w:val="21"/>
          <w:szCs w:val="21"/>
          <w:lang w:eastAsia="zh-CN"/>
        </w:rPr>
        <w:t>2009</w:t>
      </w:r>
      <w:r>
        <w:rPr>
          <w:rFonts w:hint="default" w:ascii="Times New Roman" w:hAnsi="Times New Roman" w:eastAsia="宋体" w:cs="Times New Roman"/>
          <w:spacing w:val="9"/>
          <w:sz w:val="21"/>
          <w:szCs w:val="21"/>
          <w:lang w:eastAsia="zh-CN"/>
        </w:rPr>
        <w:t>年,第</w:t>
      </w:r>
      <w:r>
        <w:rPr>
          <w:rFonts w:hint="default" w:ascii="Times New Roman" w:hAnsi="Times New Roman" w:eastAsia="宋体" w:cs="Times New Roman"/>
          <w:spacing w:val="9"/>
          <w:position w:val="-1"/>
          <w:sz w:val="21"/>
          <w:szCs w:val="21"/>
          <w:lang w:eastAsia="zh-CN"/>
        </w:rPr>
        <w:t>381-382</w:t>
      </w:r>
      <w:r>
        <w:rPr>
          <w:rFonts w:hint="default" w:ascii="Times New Roman" w:hAnsi="Times New Roman" w:eastAsia="宋体" w:cs="Times New Roman"/>
          <w:spacing w:val="9"/>
          <w:sz w:val="21"/>
          <w:szCs w:val="21"/>
          <w:lang w:eastAsia="zh-CN"/>
        </w:rPr>
        <w:t>页</w:t>
      </w:r>
    </w:p>
  </w:footnote>
  <w:footnote w:id="331">
    <w:p w14:paraId="4B2CEB3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393</w:t>
      </w:r>
      <w:r>
        <w:rPr>
          <w:rFonts w:hint="default" w:ascii="Times New Roman" w:hAnsi="Times New Roman" w:eastAsia="宋体" w:cs="Times New Roman"/>
          <w:spacing w:val="8"/>
          <w:sz w:val="21"/>
          <w:szCs w:val="21"/>
          <w:lang w:eastAsia="zh-CN"/>
        </w:rPr>
        <w:t>页。</w:t>
      </w:r>
    </w:p>
  </w:footnote>
  <w:footnote w:id="332">
    <w:p w14:paraId="4FBFA49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395</w:t>
      </w:r>
      <w:r>
        <w:rPr>
          <w:rFonts w:hint="default" w:ascii="Times New Roman" w:hAnsi="Times New Roman" w:eastAsia="宋体" w:cs="Times New Roman"/>
          <w:spacing w:val="8"/>
          <w:sz w:val="21"/>
          <w:szCs w:val="21"/>
          <w:lang w:eastAsia="zh-CN"/>
        </w:rPr>
        <w:t>页。</w:t>
      </w:r>
    </w:p>
  </w:footnote>
  <w:footnote w:id="333">
    <w:p w14:paraId="75BBD6B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1</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521</w:t>
      </w:r>
      <w:r>
        <w:rPr>
          <w:rFonts w:hint="default" w:ascii="Times New Roman" w:hAnsi="Times New Roman" w:eastAsia="宋体" w:cs="Times New Roman"/>
          <w:spacing w:val="8"/>
          <w:sz w:val="21"/>
          <w:szCs w:val="21"/>
          <w:lang w:eastAsia="zh-CN"/>
        </w:rPr>
        <w:t>页。</w:t>
      </w:r>
    </w:p>
  </w:footnote>
  <w:footnote w:id="334">
    <w:p w14:paraId="5DCCEAC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417</w:t>
      </w:r>
      <w:r>
        <w:rPr>
          <w:rFonts w:hint="default" w:ascii="Times New Roman" w:hAnsi="Times New Roman" w:eastAsia="宋体" w:cs="Times New Roman"/>
          <w:spacing w:val="8"/>
          <w:sz w:val="21"/>
          <w:szCs w:val="21"/>
          <w:lang w:eastAsia="zh-CN"/>
        </w:rPr>
        <w:t>页。</w:t>
      </w:r>
    </w:p>
  </w:footnote>
  <w:footnote w:id="335">
    <w:p w14:paraId="7213F54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《马克思恩格斯文集》第8卷,北京:人民出版社,</w:t>
      </w:r>
      <w:r>
        <w:rPr>
          <w:rFonts w:hint="default" w:ascii="Times New Roman" w:hAnsi="Times New Roman" w:eastAsia="宋体" w:cs="Times New Roman"/>
          <w:spacing w:val="9"/>
          <w:position w:val="-1"/>
          <w:sz w:val="21"/>
          <w:szCs w:val="21"/>
          <w:lang w:eastAsia="zh-CN"/>
        </w:rPr>
        <w:t>2009</w:t>
      </w:r>
      <w:r>
        <w:rPr>
          <w:rFonts w:hint="default" w:ascii="Times New Roman" w:hAnsi="Times New Roman" w:eastAsia="宋体" w:cs="Times New Roman"/>
          <w:spacing w:val="9"/>
          <w:sz w:val="21"/>
          <w:szCs w:val="21"/>
          <w:lang w:eastAsia="zh-CN"/>
        </w:rPr>
        <w:t>年,第</w:t>
      </w:r>
      <w:r>
        <w:rPr>
          <w:rFonts w:hint="default" w:ascii="Times New Roman" w:hAnsi="Times New Roman" w:eastAsia="宋体" w:cs="Times New Roman"/>
          <w:spacing w:val="9"/>
          <w:position w:val="-1"/>
          <w:sz w:val="21"/>
          <w:szCs w:val="21"/>
          <w:lang w:eastAsia="zh-CN"/>
        </w:rPr>
        <w:t>33</w:t>
      </w:r>
      <w:r>
        <w:rPr>
          <w:rFonts w:hint="default" w:ascii="Times New Roman" w:hAnsi="Times New Roman" w:eastAsia="宋体" w:cs="Times New Roman"/>
          <w:spacing w:val="8"/>
          <w:sz w:val="21"/>
          <w:szCs w:val="21"/>
          <w:lang w:eastAsia="zh-CN"/>
        </w:rPr>
        <w:t>页。</w:t>
      </w:r>
    </w:p>
  </w:footnote>
  <w:footnote w:id="336">
    <w:p w14:paraId="117E1A2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645</w:t>
      </w:r>
      <w:r>
        <w:rPr>
          <w:rFonts w:hint="default" w:ascii="Times New Roman" w:hAnsi="Times New Roman" w:eastAsia="宋体" w:cs="Times New Roman"/>
          <w:spacing w:val="8"/>
          <w:sz w:val="21"/>
          <w:szCs w:val="21"/>
          <w:lang w:eastAsia="zh-CN"/>
        </w:rPr>
        <w:t>页。</w:t>
      </w:r>
    </w:p>
  </w:footnote>
  <w:footnote w:id="337">
    <w:p w14:paraId="6351D5FF">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《马克思恩格斯文集》第</w:t>
      </w:r>
      <w:r>
        <w:rPr>
          <w:rFonts w:hint="default" w:ascii="Times New Roman" w:hAnsi="Times New Roman" w:eastAsia="宋体" w:cs="Times New Roman"/>
          <w:spacing w:val="9"/>
          <w:position w:val="-1"/>
          <w:sz w:val="21"/>
          <w:szCs w:val="21"/>
          <w:lang w:eastAsia="zh-CN"/>
        </w:rPr>
        <w:t>5</w:t>
      </w:r>
      <w:r>
        <w:rPr>
          <w:rFonts w:hint="default" w:ascii="Times New Roman" w:hAnsi="Times New Roman" w:eastAsia="宋体" w:cs="Times New Roman"/>
          <w:spacing w:val="9"/>
          <w:sz w:val="21"/>
          <w:szCs w:val="21"/>
          <w:lang w:eastAsia="zh-CN"/>
        </w:rPr>
        <w:t>卷,北京</w:t>
      </w:r>
      <w:r>
        <w:rPr>
          <w:rFonts w:hint="default" w:ascii="Times New Roman" w:hAnsi="Times New Roman" w:eastAsia="宋体" w:cs="Times New Roman"/>
          <w:spacing w:val="8"/>
          <w:sz w:val="21"/>
          <w:szCs w:val="21"/>
          <w:lang w:eastAsia="zh-CN"/>
        </w:rPr>
        <w:t>:人民出版社,</w:t>
      </w:r>
      <w:r>
        <w:rPr>
          <w:rFonts w:hint="default" w:ascii="Times New Roman" w:hAnsi="Times New Roman" w:eastAsia="宋体" w:cs="Times New Roman"/>
          <w:spacing w:val="8"/>
          <w:position w:val="-1"/>
          <w:sz w:val="21"/>
          <w:szCs w:val="21"/>
          <w:lang w:eastAsia="zh-CN"/>
        </w:rPr>
        <w:t>2009</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645</w:t>
      </w:r>
      <w:r>
        <w:rPr>
          <w:rFonts w:hint="default" w:ascii="Times New Roman" w:hAnsi="Times New Roman" w:eastAsia="宋体" w:cs="Times New Roman"/>
          <w:spacing w:val="8"/>
          <w:sz w:val="21"/>
          <w:szCs w:val="21"/>
          <w:lang w:eastAsia="zh-CN"/>
        </w:rPr>
        <w:t>页。</w:t>
      </w:r>
    </w:p>
  </w:footnote>
  <w:footnote w:id="338">
    <w:p w14:paraId="3CE840C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《列宁全集》第</w:t>
      </w:r>
      <w:r>
        <w:rPr>
          <w:rFonts w:hint="default" w:ascii="Times New Roman" w:hAnsi="Times New Roman" w:eastAsia="宋体" w:cs="Times New Roman"/>
          <w:spacing w:val="8"/>
          <w:position w:val="-1"/>
          <w:sz w:val="21"/>
          <w:szCs w:val="21"/>
          <w:lang w:eastAsia="zh-CN"/>
        </w:rPr>
        <w:t>27</w:t>
      </w:r>
      <w:r>
        <w:rPr>
          <w:rFonts w:hint="default" w:ascii="Times New Roman" w:hAnsi="Times New Roman" w:eastAsia="宋体" w:cs="Times New Roman"/>
          <w:spacing w:val="8"/>
          <w:sz w:val="21"/>
          <w:szCs w:val="21"/>
          <w:lang w:eastAsia="zh-CN"/>
        </w:rPr>
        <w:t>卷,北京:人民出版社,</w:t>
      </w:r>
      <w:r>
        <w:rPr>
          <w:rFonts w:hint="default" w:ascii="Times New Roman" w:hAnsi="Times New Roman" w:eastAsia="宋体" w:cs="Times New Roman"/>
          <w:spacing w:val="8"/>
          <w:position w:val="-1"/>
          <w:sz w:val="21"/>
          <w:szCs w:val="21"/>
          <w:lang w:eastAsia="zh-CN"/>
        </w:rPr>
        <w:t>2017</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376</w:t>
      </w:r>
      <w:r>
        <w:rPr>
          <w:rFonts w:hint="default" w:ascii="Times New Roman" w:hAnsi="Times New Roman" w:eastAsia="宋体" w:cs="Times New Roman"/>
          <w:spacing w:val="8"/>
          <w:sz w:val="21"/>
          <w:szCs w:val="21"/>
          <w:lang w:eastAsia="zh-CN"/>
        </w:rPr>
        <w:t>页。</w:t>
      </w:r>
    </w:p>
  </w:footnote>
  <w:footnote w:id="339">
    <w:p w14:paraId="0D41A1F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《列宁全集》第</w:t>
      </w:r>
      <w:r>
        <w:rPr>
          <w:rFonts w:hint="default" w:ascii="Times New Roman" w:hAnsi="Times New Roman" w:eastAsia="宋体" w:cs="Times New Roman"/>
          <w:spacing w:val="8"/>
          <w:position w:val="-1"/>
          <w:sz w:val="21"/>
          <w:szCs w:val="21"/>
          <w:lang w:eastAsia="zh-CN"/>
        </w:rPr>
        <w:t>27</w:t>
      </w:r>
      <w:r>
        <w:rPr>
          <w:rFonts w:hint="default" w:ascii="Times New Roman" w:hAnsi="Times New Roman" w:eastAsia="宋体" w:cs="Times New Roman"/>
          <w:spacing w:val="8"/>
          <w:sz w:val="21"/>
          <w:szCs w:val="21"/>
          <w:lang w:eastAsia="zh-CN"/>
        </w:rPr>
        <w:t>卷,北京:人民出版社,</w:t>
      </w:r>
      <w:r>
        <w:rPr>
          <w:rFonts w:hint="default" w:ascii="Times New Roman" w:hAnsi="Times New Roman" w:eastAsia="宋体" w:cs="Times New Roman"/>
          <w:spacing w:val="8"/>
          <w:position w:val="-1"/>
          <w:sz w:val="21"/>
          <w:szCs w:val="21"/>
          <w:lang w:eastAsia="zh-CN"/>
        </w:rPr>
        <w:t>2017</w:t>
      </w:r>
      <w:r>
        <w:rPr>
          <w:rFonts w:hint="default" w:ascii="Times New Roman" w:hAnsi="Times New Roman" w:eastAsia="宋体" w:cs="Times New Roman"/>
          <w:spacing w:val="8"/>
          <w:sz w:val="21"/>
          <w:szCs w:val="21"/>
          <w:lang w:eastAsia="zh-CN"/>
        </w:rPr>
        <w:t>年,第</w:t>
      </w:r>
      <w:r>
        <w:rPr>
          <w:rFonts w:hint="default" w:ascii="Times New Roman" w:hAnsi="Times New Roman" w:eastAsia="宋体" w:cs="Times New Roman"/>
          <w:spacing w:val="8"/>
          <w:position w:val="-1"/>
          <w:sz w:val="21"/>
          <w:szCs w:val="21"/>
          <w:lang w:eastAsia="zh-CN"/>
        </w:rPr>
        <w:t>381</w:t>
      </w:r>
      <w:r>
        <w:rPr>
          <w:rFonts w:hint="default" w:ascii="Times New Roman" w:hAnsi="Times New Roman" w:eastAsia="宋体" w:cs="Times New Roman"/>
          <w:spacing w:val="8"/>
          <w:sz w:val="21"/>
          <w:szCs w:val="21"/>
          <w:lang w:eastAsia="zh-CN"/>
        </w:rPr>
        <w:t>页。</w:t>
      </w:r>
    </w:p>
  </w:footnote>
  <w:footnote w:id="340">
    <w:p w14:paraId="39D2B6C8">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9"/>
          <w:sz w:val="21"/>
          <w:szCs w:val="21"/>
          <w:lang w:eastAsia="zh-CN"/>
        </w:rPr>
        <w:t>《马克思恩格斯全集》第</w:t>
      </w:r>
      <w:r>
        <w:rPr>
          <w:rFonts w:hint="default" w:ascii="Times New Roman" w:hAnsi="Times New Roman" w:eastAsia="宋体" w:cs="Times New Roman"/>
          <w:spacing w:val="9"/>
          <w:position w:val="-1"/>
          <w:sz w:val="21"/>
          <w:szCs w:val="21"/>
          <w:lang w:eastAsia="zh-CN"/>
        </w:rPr>
        <w:t>31</w:t>
      </w:r>
      <w:r>
        <w:rPr>
          <w:rFonts w:hint="default" w:ascii="Times New Roman" w:hAnsi="Times New Roman" w:eastAsia="宋体" w:cs="Times New Roman"/>
          <w:spacing w:val="9"/>
          <w:sz w:val="21"/>
          <w:szCs w:val="21"/>
          <w:lang w:eastAsia="zh-CN"/>
        </w:rPr>
        <w:t>卷,北</w:t>
      </w:r>
      <w:r>
        <w:rPr>
          <w:rFonts w:hint="default" w:ascii="Times New Roman" w:hAnsi="Times New Roman" w:eastAsia="宋体" w:cs="Times New Roman"/>
          <w:spacing w:val="8"/>
          <w:sz w:val="21"/>
          <w:szCs w:val="21"/>
          <w:lang w:eastAsia="zh-CN"/>
        </w:rPr>
        <w:t>京:人民出版社,1998年,第</w:t>
      </w:r>
      <w:r>
        <w:rPr>
          <w:rFonts w:hint="default" w:ascii="Times New Roman" w:hAnsi="Times New Roman" w:eastAsia="宋体" w:cs="Times New Roman"/>
          <w:spacing w:val="8"/>
          <w:position w:val="-1"/>
          <w:sz w:val="21"/>
          <w:szCs w:val="21"/>
          <w:lang w:eastAsia="zh-CN"/>
        </w:rPr>
        <w:t>21</w:t>
      </w:r>
      <w:r>
        <w:rPr>
          <w:rFonts w:hint="default" w:ascii="Times New Roman" w:hAnsi="Times New Roman" w:eastAsia="宋体" w:cs="Times New Roman"/>
          <w:spacing w:val="8"/>
          <w:sz w:val="21"/>
          <w:szCs w:val="21"/>
          <w:lang w:eastAsia="zh-CN"/>
        </w:rPr>
        <w:t>页。</w:t>
      </w:r>
    </w:p>
  </w:footnote>
  <w:footnote w:id="341">
    <w:p w14:paraId="6DB84DB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lang w:eastAsia="zh-CN"/>
        </w:rPr>
        <w:t>参见:王虎学:《“真正的分工”的历史生成及其内在意蕴</w:t>
      </w:r>
      <w:r>
        <w:rPr>
          <w:rFonts w:hint="default" w:ascii="Times New Roman" w:hAnsi="Times New Roman" w:eastAsia="宋体" w:cs="Times New Roman"/>
          <w:b/>
          <w:bCs/>
          <w:spacing w:val="6"/>
          <w:sz w:val="21"/>
          <w:szCs w:val="21"/>
          <w:lang w:eastAsia="zh-CN"/>
        </w:rPr>
        <w:t>—</w:t>
      </w:r>
      <w:r>
        <w:rPr>
          <w:rFonts w:hint="default" w:ascii="Times New Roman" w:hAnsi="Times New Roman" w:eastAsia="宋体" w:cs="Times New Roman"/>
          <w:spacing w:val="6"/>
          <w:sz w:val="21"/>
          <w:szCs w:val="21"/>
          <w:lang w:eastAsia="zh-CN"/>
        </w:rPr>
        <w:t>基于&lt;德意志意识形态&gt;的文</w:t>
      </w:r>
      <w:r>
        <w:rPr>
          <w:rFonts w:hint="default" w:ascii="Times New Roman" w:hAnsi="Times New Roman" w:eastAsia="宋体" w:cs="Times New Roman"/>
          <w:spacing w:val="5"/>
          <w:sz w:val="21"/>
          <w:szCs w:val="21"/>
          <w:lang w:eastAsia="zh-CN"/>
        </w:rPr>
        <w:t>本考</w:t>
      </w:r>
      <w:r>
        <w:rPr>
          <w:rFonts w:hint="default" w:ascii="Times New Roman" w:hAnsi="Times New Roman" w:eastAsia="宋体" w:cs="Times New Roman"/>
          <w:spacing w:val="3"/>
          <w:sz w:val="21"/>
          <w:szCs w:val="21"/>
          <w:lang w:eastAsia="zh-CN"/>
        </w:rPr>
        <w:t>察》,《哲学研究》2016年第</w:t>
      </w:r>
      <w:r>
        <w:rPr>
          <w:rFonts w:hint="default" w:ascii="Times New Roman" w:hAnsi="Times New Roman" w:eastAsia="宋体" w:cs="Times New Roman"/>
          <w:spacing w:val="3"/>
          <w:position w:val="-1"/>
          <w:sz w:val="21"/>
          <w:szCs w:val="21"/>
          <w:lang w:eastAsia="zh-CN"/>
        </w:rPr>
        <w:t>11</w:t>
      </w:r>
      <w:r>
        <w:rPr>
          <w:rFonts w:hint="default" w:ascii="Times New Roman" w:hAnsi="Times New Roman" w:eastAsia="宋体" w:cs="Times New Roman"/>
          <w:spacing w:val="3"/>
          <w:sz w:val="21"/>
          <w:szCs w:val="21"/>
          <w:lang w:eastAsia="zh-CN"/>
        </w:rPr>
        <w:t>期;柯萌:《马克思分工理论的两重语境及其生成逻辑》,《高校马克思主</w:t>
      </w:r>
      <w:r>
        <w:rPr>
          <w:rFonts w:hint="default" w:ascii="Times New Roman" w:hAnsi="Times New Roman" w:eastAsia="宋体" w:cs="Times New Roman"/>
          <w:spacing w:val="1"/>
          <w:sz w:val="21"/>
          <w:szCs w:val="21"/>
          <w:lang w:eastAsia="zh-CN"/>
        </w:rPr>
        <w:t>义理论研究》2017年第</w:t>
      </w:r>
      <w:r>
        <w:rPr>
          <w:rFonts w:hint="default" w:ascii="Times New Roman" w:hAnsi="Times New Roman" w:eastAsia="宋体" w:cs="Times New Roman"/>
          <w:spacing w:val="1"/>
          <w:position w:val="-1"/>
          <w:sz w:val="21"/>
          <w:szCs w:val="21"/>
          <w:lang w:eastAsia="zh-CN"/>
        </w:rPr>
        <w:t>2</w:t>
      </w:r>
      <w:r>
        <w:rPr>
          <w:rFonts w:hint="default" w:ascii="Times New Roman" w:hAnsi="Times New Roman" w:eastAsia="宋体" w:cs="Times New Roman"/>
          <w:spacing w:val="1"/>
          <w:sz w:val="21"/>
          <w:szCs w:val="21"/>
          <w:lang w:eastAsia="zh-CN"/>
        </w:rPr>
        <w:t>期。</w:t>
      </w:r>
    </w:p>
  </w:footnote>
  <w:footnote w:id="342">
    <w:p w14:paraId="37D8B7A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参见:刘明国:《分工-交换文献综述基于经济史和经济思想史演</w:t>
      </w:r>
      <w:r>
        <w:rPr>
          <w:rFonts w:hint="default" w:ascii="Times New Roman" w:hAnsi="Times New Roman" w:eastAsia="宋体" w:cs="Times New Roman"/>
          <w:spacing w:val="7"/>
          <w:sz w:val="21"/>
          <w:szCs w:val="21"/>
          <w:lang w:eastAsia="zh-CN"/>
        </w:rPr>
        <w:t>变视角》,《上海商学院</w:t>
      </w:r>
      <w:r>
        <w:rPr>
          <w:rFonts w:hint="default" w:ascii="Times New Roman" w:hAnsi="Times New Roman" w:eastAsia="宋体" w:cs="Times New Roman"/>
          <w:spacing w:val="5"/>
          <w:sz w:val="21"/>
          <w:szCs w:val="21"/>
          <w:lang w:eastAsia="zh-CN"/>
        </w:rPr>
        <w:t>学报》2019年第</w:t>
      </w:r>
      <w:r>
        <w:rPr>
          <w:rFonts w:hint="default" w:ascii="Times New Roman" w:hAnsi="Times New Roman" w:eastAsia="宋体" w:cs="Times New Roman"/>
          <w:spacing w:val="5"/>
          <w:position w:val="-1"/>
          <w:sz w:val="21"/>
          <w:szCs w:val="21"/>
          <w:lang w:eastAsia="zh-CN"/>
        </w:rPr>
        <w:t>5</w:t>
      </w:r>
      <w:r>
        <w:rPr>
          <w:rFonts w:hint="default" w:ascii="Times New Roman" w:hAnsi="Times New Roman" w:eastAsia="宋体" w:cs="Times New Roman"/>
          <w:spacing w:val="5"/>
          <w:sz w:val="21"/>
          <w:szCs w:val="21"/>
          <w:lang w:eastAsia="zh-CN"/>
        </w:rPr>
        <w:t>期;赵明亮:《分工理论:从古</w:t>
      </w:r>
      <w:r>
        <w:rPr>
          <w:rFonts w:hint="default" w:ascii="Times New Roman" w:hAnsi="Times New Roman" w:eastAsia="宋体" w:cs="Times New Roman"/>
          <w:spacing w:val="4"/>
          <w:sz w:val="21"/>
          <w:szCs w:val="21"/>
          <w:lang w:eastAsia="zh-CN"/>
        </w:rPr>
        <w:t>希腊思想到新国际体系的研究述评》,《产经评论》2010</w:t>
      </w:r>
      <w:r>
        <w:rPr>
          <w:rFonts w:hint="default" w:ascii="Times New Roman" w:hAnsi="Times New Roman" w:eastAsia="宋体" w:cs="Times New Roman"/>
          <w:spacing w:val="9"/>
          <w:sz w:val="21"/>
          <w:szCs w:val="21"/>
          <w:lang w:eastAsia="zh-CN"/>
        </w:rPr>
        <w:t>年第</w:t>
      </w:r>
      <w:r>
        <w:rPr>
          <w:rFonts w:hint="default" w:ascii="Times New Roman" w:hAnsi="Times New Roman" w:eastAsia="宋体" w:cs="Times New Roman"/>
          <w:spacing w:val="9"/>
          <w:position w:val="-1"/>
          <w:sz w:val="21"/>
          <w:szCs w:val="21"/>
          <w:lang w:eastAsia="zh-CN"/>
        </w:rPr>
        <w:t>3</w:t>
      </w:r>
      <w:r>
        <w:rPr>
          <w:rFonts w:hint="default" w:ascii="Times New Roman" w:hAnsi="Times New Roman" w:eastAsia="宋体" w:cs="Times New Roman"/>
          <w:spacing w:val="9"/>
          <w:sz w:val="21"/>
          <w:szCs w:val="21"/>
          <w:lang w:eastAsia="zh-CN"/>
        </w:rPr>
        <w:t>期;林金忠:《分工理论的历史演</w:t>
      </w:r>
      <w:r>
        <w:rPr>
          <w:rFonts w:hint="default" w:ascii="Times New Roman" w:hAnsi="Times New Roman" w:eastAsia="宋体" w:cs="Times New Roman"/>
          <w:spacing w:val="8"/>
          <w:sz w:val="21"/>
          <w:szCs w:val="21"/>
          <w:lang w:eastAsia="zh-CN"/>
        </w:rPr>
        <w:t>变与消失</w:t>
      </w:r>
      <w:r>
        <w:rPr>
          <w:rFonts w:hint="default" w:ascii="Times New Roman" w:hAnsi="Times New Roman" w:eastAsia="宋体" w:cs="Times New Roman"/>
          <w:b/>
          <w:bCs/>
          <w:spacing w:val="8"/>
          <w:sz w:val="21"/>
          <w:szCs w:val="21"/>
          <w:lang w:eastAsia="zh-CN"/>
        </w:rPr>
        <w:t>—</w:t>
      </w:r>
      <w:r>
        <w:rPr>
          <w:rFonts w:hint="default" w:ascii="Times New Roman" w:hAnsi="Times New Roman" w:eastAsia="宋体" w:cs="Times New Roman"/>
          <w:spacing w:val="8"/>
          <w:sz w:val="21"/>
          <w:szCs w:val="21"/>
          <w:lang w:eastAsia="zh-CN"/>
        </w:rPr>
        <w:t>兼论马克思对分工理论的贡献》,《中国经济问题》</w:t>
      </w:r>
      <w:r>
        <w:rPr>
          <w:rFonts w:hint="default" w:ascii="Times New Roman" w:hAnsi="Times New Roman" w:eastAsia="宋体" w:cs="Times New Roman"/>
          <w:spacing w:val="4"/>
          <w:position w:val="-1"/>
          <w:sz w:val="21"/>
          <w:szCs w:val="21"/>
          <w:lang w:eastAsia="zh-CN"/>
        </w:rPr>
        <w:t>2007</w:t>
      </w:r>
      <w:r>
        <w:rPr>
          <w:rFonts w:hint="default" w:ascii="Times New Roman" w:hAnsi="Times New Roman" w:eastAsia="宋体" w:cs="Times New Roman"/>
          <w:spacing w:val="4"/>
          <w:sz w:val="21"/>
          <w:szCs w:val="21"/>
          <w:lang w:eastAsia="zh-CN"/>
        </w:rPr>
        <w:t>年第</w:t>
      </w:r>
      <w:r>
        <w:rPr>
          <w:rFonts w:hint="default" w:ascii="Times New Roman" w:hAnsi="Times New Roman" w:eastAsia="宋体" w:cs="Times New Roman"/>
          <w:spacing w:val="4"/>
          <w:position w:val="-1"/>
          <w:sz w:val="21"/>
          <w:szCs w:val="21"/>
          <w:lang w:eastAsia="zh-CN"/>
        </w:rPr>
        <w:t>2</w:t>
      </w:r>
      <w:r>
        <w:rPr>
          <w:rFonts w:hint="default" w:ascii="Times New Roman" w:hAnsi="Times New Roman" w:eastAsia="宋体" w:cs="Times New Roman"/>
          <w:spacing w:val="4"/>
          <w:sz w:val="21"/>
          <w:szCs w:val="21"/>
          <w:lang w:eastAsia="zh-CN"/>
        </w:rPr>
        <w:t>期</w:t>
      </w:r>
      <w:r>
        <w:rPr>
          <w:rFonts w:hint="default" w:ascii="Times New Roman" w:hAnsi="Times New Roman" w:eastAsia="宋体" w:cs="Times New Roman"/>
          <w:spacing w:val="4"/>
          <w:position w:val="1"/>
          <w:sz w:val="21"/>
          <w:szCs w:val="21"/>
          <w:lang w:eastAsia="zh-CN"/>
        </w:rPr>
        <w:t>。</w:t>
      </w:r>
    </w:p>
  </w:footnote>
  <w:footnote w:id="343">
    <w:p w14:paraId="3FD943D4">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position w:val="3"/>
          <w:sz w:val="21"/>
          <w:szCs w:val="21"/>
        </w:rPr>
        <w:t>Giovanni</w:t>
      </w:r>
      <w:r>
        <w:rPr>
          <w:rFonts w:hint="eastAsia" w:ascii="Times New Roman" w:hAnsi="Times New Roman" w:eastAsia="宋体" w:cs="Times New Roman"/>
          <w:position w:val="3"/>
          <w:sz w:val="21"/>
          <w:szCs w:val="21"/>
          <w:lang w:val="en-US" w:eastAsia="zh-CN"/>
        </w:rPr>
        <w:t xml:space="preserve"> </w:t>
      </w:r>
      <w:r>
        <w:rPr>
          <w:rFonts w:hint="default" w:ascii="Times New Roman" w:hAnsi="Times New Roman" w:eastAsia="宋体" w:cs="Times New Roman"/>
          <w:position w:val="3"/>
          <w:sz w:val="21"/>
          <w:szCs w:val="21"/>
        </w:rPr>
        <w:t>Bonifati</w:t>
      </w:r>
      <w:r>
        <w:rPr>
          <w:rFonts w:hint="default" w:ascii="Times New Roman" w:hAnsi="Times New Roman" w:eastAsia="宋体" w:cs="Times New Roman"/>
          <w:spacing w:val="5"/>
          <w:position w:val="5"/>
          <w:sz w:val="21"/>
          <w:szCs w:val="21"/>
        </w:rPr>
        <w:t>,</w:t>
      </w:r>
      <w:r>
        <w:rPr>
          <w:rFonts w:hint="default" w:ascii="Times New Roman" w:hAnsi="Times New Roman" w:eastAsia="宋体" w:cs="Times New Roman"/>
          <w:position w:val="3"/>
          <w:sz w:val="21"/>
          <w:szCs w:val="21"/>
        </w:rPr>
        <w:t>TowardsaCriticalOntologyofSocioeconomicTransformationProcesses</w:t>
      </w:r>
      <w:r>
        <w:rPr>
          <w:rFonts w:hint="default" w:ascii="Times New Roman" w:hAnsi="Times New Roman" w:eastAsia="宋体" w:cs="Times New Roman"/>
          <w:spacing w:val="5"/>
          <w:position w:val="5"/>
          <w:sz w:val="21"/>
          <w:szCs w:val="21"/>
        </w:rPr>
        <w:t>:</w:t>
      </w:r>
      <w:r>
        <w:rPr>
          <w:rFonts w:hint="default" w:ascii="Times New Roman" w:hAnsi="Times New Roman" w:eastAsia="宋体" w:cs="Times New Roman"/>
          <w:position w:val="1"/>
          <w:sz w:val="21"/>
          <w:szCs w:val="21"/>
        </w:rPr>
        <w:t>Marx</w:t>
      </w:r>
      <w:r>
        <w:rPr>
          <w:rFonts w:hint="default" w:ascii="Times New Roman" w:hAnsi="Times New Roman" w:eastAsia="宋体" w:cs="Times New Roman"/>
          <w:spacing w:val="10"/>
          <w:position w:val="3"/>
          <w:sz w:val="21"/>
          <w:szCs w:val="21"/>
        </w:rPr>
        <w:t>’</w:t>
      </w:r>
      <w:r>
        <w:rPr>
          <w:rFonts w:hint="default" w:ascii="Times New Roman" w:hAnsi="Times New Roman" w:eastAsia="宋体" w:cs="Times New Roman"/>
          <w:position w:val="1"/>
          <w:sz w:val="21"/>
          <w:szCs w:val="21"/>
        </w:rPr>
        <w:t>s</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1"/>
          <w:sz w:val="21"/>
          <w:szCs w:val="21"/>
        </w:rPr>
        <w:t>Contribution</w:t>
      </w:r>
      <w:r>
        <w:rPr>
          <w:rFonts w:hint="default" w:ascii="Times New Roman" w:hAnsi="Times New Roman" w:eastAsia="宋体" w:cs="Times New Roman"/>
          <w:spacing w:val="10"/>
          <w:position w:val="3"/>
          <w:sz w:val="21"/>
          <w:szCs w:val="21"/>
        </w:rPr>
        <w:t>,</w:t>
      </w:r>
      <w:r>
        <w:rPr>
          <w:rFonts w:hint="default" w:ascii="Times New Roman" w:hAnsi="Times New Roman" w:eastAsia="宋体" w:cs="Times New Roman"/>
          <w:position w:val="1"/>
          <w:sz w:val="21"/>
          <w:szCs w:val="21"/>
        </w:rPr>
        <w:t>Cambridge</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1"/>
          <w:sz w:val="21"/>
          <w:szCs w:val="21"/>
        </w:rPr>
        <w:t>Journal</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1"/>
          <w:sz w:val="21"/>
          <w:szCs w:val="21"/>
        </w:rPr>
        <w:t>of</w:t>
      </w:r>
      <w:r>
        <w:rPr>
          <w:rFonts w:hint="eastAsia" w:ascii="Times New Roman" w:hAnsi="Times New Roman" w:eastAsia="宋体" w:cs="Times New Roman"/>
          <w:position w:val="1"/>
          <w:sz w:val="21"/>
          <w:szCs w:val="21"/>
          <w:lang w:val="en-US" w:eastAsia="zh-CN"/>
        </w:rPr>
        <w:t xml:space="preserve"> </w:t>
      </w:r>
      <w:r>
        <w:rPr>
          <w:rFonts w:hint="default" w:ascii="Times New Roman" w:hAnsi="Times New Roman" w:eastAsia="宋体" w:cs="Times New Roman"/>
          <w:position w:val="1"/>
          <w:sz w:val="21"/>
          <w:szCs w:val="21"/>
        </w:rPr>
        <w:t>Economics</w:t>
      </w:r>
      <w:r>
        <w:rPr>
          <w:rFonts w:hint="default" w:ascii="Times New Roman" w:hAnsi="Times New Roman" w:eastAsia="宋体" w:cs="Times New Roman"/>
          <w:spacing w:val="10"/>
          <w:position w:val="3"/>
          <w:sz w:val="21"/>
          <w:szCs w:val="21"/>
        </w:rPr>
        <w:t>,</w:t>
      </w:r>
      <w:r>
        <w:rPr>
          <w:rFonts w:hint="default" w:ascii="Times New Roman" w:hAnsi="Times New Roman" w:eastAsia="宋体" w:cs="Times New Roman"/>
          <w:spacing w:val="10"/>
          <w:position w:val="1"/>
          <w:sz w:val="21"/>
          <w:szCs w:val="21"/>
        </w:rPr>
        <w:t>2020</w:t>
      </w:r>
      <w:r>
        <w:rPr>
          <w:rFonts w:hint="default" w:ascii="Times New Roman" w:hAnsi="Times New Roman" w:eastAsia="宋体" w:cs="Times New Roman"/>
          <w:spacing w:val="10"/>
          <w:position w:val="3"/>
          <w:sz w:val="21"/>
          <w:szCs w:val="21"/>
        </w:rPr>
        <w:t>,</w:t>
      </w:r>
      <w:r>
        <w:rPr>
          <w:rFonts w:hint="default" w:ascii="Times New Roman" w:hAnsi="Times New Roman" w:eastAsia="宋体" w:cs="Times New Roman"/>
          <w:position w:val="1"/>
          <w:sz w:val="21"/>
          <w:szCs w:val="21"/>
        </w:rPr>
        <w:t>Vol</w:t>
      </w:r>
      <w:r>
        <w:rPr>
          <w:rFonts w:hint="default" w:ascii="Times New Roman" w:hAnsi="Times New Roman" w:eastAsia="宋体" w:cs="Times New Roman"/>
          <w:spacing w:val="10"/>
          <w:position w:val="1"/>
          <w:sz w:val="21"/>
          <w:szCs w:val="21"/>
        </w:rPr>
        <w:t>.44</w:t>
      </w:r>
      <w:r>
        <w:rPr>
          <w:rFonts w:hint="default" w:ascii="Times New Roman" w:hAnsi="Times New Roman" w:eastAsia="宋体" w:cs="Times New Roman"/>
          <w:spacing w:val="10"/>
          <w:position w:val="3"/>
          <w:sz w:val="21"/>
          <w:szCs w:val="21"/>
        </w:rPr>
        <w:t>,</w:t>
      </w:r>
      <w:r>
        <w:rPr>
          <w:rFonts w:hint="default" w:ascii="Times New Roman" w:hAnsi="Times New Roman" w:eastAsia="宋体" w:cs="Times New Roman"/>
          <w:position w:val="1"/>
          <w:sz w:val="21"/>
          <w:szCs w:val="21"/>
        </w:rPr>
        <w:t>No</w:t>
      </w:r>
      <w:r>
        <w:rPr>
          <w:rFonts w:hint="default" w:ascii="Times New Roman" w:hAnsi="Times New Roman" w:eastAsia="宋体" w:cs="Times New Roman"/>
          <w:spacing w:val="10"/>
          <w:position w:val="1"/>
          <w:sz w:val="21"/>
          <w:szCs w:val="21"/>
        </w:rPr>
        <w:t>.5.</w:t>
      </w:r>
    </w:p>
    <w:p w14:paraId="073F5D3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p>
  </w:footnote>
  <w:footnote w:id="344">
    <w:p w14:paraId="6A77E06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4"/>
          <w:sz w:val="21"/>
          <w:szCs w:val="21"/>
          <w:lang w:eastAsia="zh-CN"/>
        </w:rPr>
        <w:t>参见:谢长安、程恩富:《分工深化论:五次社会大分工与部门内分工探</w:t>
      </w:r>
      <w:r>
        <w:rPr>
          <w:rFonts w:hint="default" w:ascii="Times New Roman" w:hAnsi="Times New Roman" w:eastAsia="宋体" w:cs="Times New Roman"/>
          <w:spacing w:val="3"/>
          <w:sz w:val="21"/>
          <w:szCs w:val="21"/>
          <w:lang w:eastAsia="zh-CN"/>
        </w:rPr>
        <w:t>析》,《马克思主义研究》</w:t>
      </w:r>
      <w:r>
        <w:rPr>
          <w:rFonts w:hint="default" w:ascii="Times New Roman" w:hAnsi="Times New Roman" w:eastAsia="宋体" w:cs="Times New Roman"/>
          <w:spacing w:val="2"/>
          <w:position w:val="-1"/>
          <w:sz w:val="21"/>
          <w:szCs w:val="21"/>
          <w:lang w:eastAsia="zh-CN"/>
        </w:rPr>
        <w:t>2016</w:t>
      </w:r>
      <w:r>
        <w:rPr>
          <w:rFonts w:hint="default" w:ascii="Times New Roman" w:hAnsi="Times New Roman" w:eastAsia="宋体" w:cs="Times New Roman"/>
          <w:spacing w:val="2"/>
          <w:sz w:val="21"/>
          <w:szCs w:val="21"/>
          <w:lang w:eastAsia="zh-CN"/>
        </w:rPr>
        <w:t>年第</w:t>
      </w:r>
      <w:r>
        <w:rPr>
          <w:rFonts w:hint="default" w:ascii="Times New Roman" w:hAnsi="Times New Roman" w:eastAsia="宋体" w:cs="Times New Roman"/>
          <w:spacing w:val="2"/>
          <w:position w:val="-1"/>
          <w:sz w:val="21"/>
          <w:szCs w:val="21"/>
          <w:lang w:eastAsia="zh-CN"/>
        </w:rPr>
        <w:t>12</w:t>
      </w:r>
      <w:r>
        <w:rPr>
          <w:rFonts w:hint="default" w:ascii="Times New Roman" w:hAnsi="Times New Roman" w:eastAsia="宋体" w:cs="Times New Roman"/>
          <w:spacing w:val="2"/>
          <w:sz w:val="21"/>
          <w:szCs w:val="21"/>
          <w:lang w:eastAsia="zh-CN"/>
        </w:rPr>
        <w:t>期;王虎学、万资姿:《马克思分工思想的双重逻辑》,《学</w:t>
      </w:r>
      <w:r>
        <w:rPr>
          <w:rFonts w:hint="default" w:ascii="Times New Roman" w:hAnsi="Times New Roman" w:eastAsia="宋体" w:cs="Times New Roman"/>
          <w:spacing w:val="1"/>
          <w:sz w:val="21"/>
          <w:szCs w:val="21"/>
          <w:lang w:eastAsia="zh-CN"/>
        </w:rPr>
        <w:t>术研究》2012年第</w:t>
      </w:r>
      <w:r>
        <w:rPr>
          <w:rFonts w:hint="default" w:ascii="Times New Roman" w:hAnsi="Times New Roman" w:eastAsia="宋体" w:cs="Times New Roman"/>
          <w:spacing w:val="1"/>
          <w:position w:val="-1"/>
          <w:sz w:val="21"/>
          <w:szCs w:val="21"/>
          <w:lang w:eastAsia="zh-CN"/>
        </w:rPr>
        <w:t>6</w:t>
      </w:r>
      <w:r>
        <w:rPr>
          <w:rFonts w:hint="default" w:ascii="Times New Roman" w:hAnsi="Times New Roman" w:eastAsia="宋体" w:cs="Times New Roman"/>
          <w:spacing w:val="1"/>
          <w:sz w:val="21"/>
          <w:szCs w:val="21"/>
          <w:lang w:eastAsia="zh-CN"/>
        </w:rPr>
        <w:t>期;钱书法、</w:t>
      </w:r>
      <w:r>
        <w:rPr>
          <w:rFonts w:hint="default" w:ascii="Times New Roman" w:hAnsi="Times New Roman" w:eastAsia="宋体" w:cs="Times New Roman"/>
          <w:spacing w:val="2"/>
          <w:sz w:val="21"/>
          <w:szCs w:val="21"/>
          <w:lang w:eastAsia="zh-CN"/>
        </w:rPr>
        <w:t>李炳炎、崔向阳:《马克思社会分工制度理论研析:一个视角和两个维度》</w:t>
      </w:r>
      <w:r>
        <w:rPr>
          <w:rFonts w:hint="default" w:ascii="Times New Roman" w:hAnsi="Times New Roman" w:eastAsia="宋体" w:cs="Times New Roman"/>
          <w:spacing w:val="1"/>
          <w:sz w:val="21"/>
          <w:szCs w:val="21"/>
          <w:lang w:eastAsia="zh-CN"/>
        </w:rPr>
        <w:t>,《经济学家》2011年第</w:t>
      </w:r>
      <w:r>
        <w:rPr>
          <w:rFonts w:hint="default" w:ascii="Times New Roman" w:hAnsi="Times New Roman" w:eastAsia="宋体" w:cs="Times New Roman"/>
          <w:spacing w:val="1"/>
          <w:position w:val="-1"/>
          <w:sz w:val="21"/>
          <w:szCs w:val="21"/>
          <w:lang w:eastAsia="zh-CN"/>
        </w:rPr>
        <w:t>6</w:t>
      </w:r>
      <w:r>
        <w:rPr>
          <w:rFonts w:hint="default" w:ascii="Times New Roman" w:hAnsi="Times New Roman" w:eastAsia="宋体" w:cs="Times New Roman"/>
          <w:spacing w:val="1"/>
          <w:sz w:val="21"/>
          <w:szCs w:val="21"/>
          <w:lang w:eastAsia="zh-CN"/>
        </w:rPr>
        <w:t>期。</w:t>
      </w:r>
    </w:p>
  </w:footnote>
  <w:footnote w:id="345">
    <w:p w14:paraId="03C7EC2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3"/>
          <w:sz w:val="21"/>
          <w:szCs w:val="21"/>
          <w:lang w:eastAsia="zh-CN"/>
        </w:rPr>
        <w:t>参见:李翀:《马克思分工理论争议问题研究》,《政治经济学报》2020年第</w:t>
      </w:r>
      <w:r>
        <w:rPr>
          <w:rFonts w:hint="default" w:ascii="Times New Roman" w:hAnsi="Times New Roman" w:eastAsia="宋体" w:cs="Times New Roman"/>
          <w:spacing w:val="3"/>
          <w:position w:val="-1"/>
          <w:sz w:val="21"/>
          <w:szCs w:val="21"/>
          <w:lang w:eastAsia="zh-CN"/>
        </w:rPr>
        <w:t>3</w:t>
      </w:r>
      <w:r>
        <w:rPr>
          <w:rFonts w:hint="default" w:ascii="Times New Roman" w:hAnsi="Times New Roman" w:eastAsia="宋体" w:cs="Times New Roman"/>
          <w:spacing w:val="3"/>
          <w:sz w:val="21"/>
          <w:szCs w:val="21"/>
          <w:lang w:eastAsia="zh-CN"/>
        </w:rPr>
        <w:t>期;尹才祥:《马克</w:t>
      </w:r>
      <w:r>
        <w:rPr>
          <w:rFonts w:hint="default" w:ascii="Times New Roman" w:hAnsi="Times New Roman" w:eastAsia="宋体" w:cs="Times New Roman"/>
          <w:spacing w:val="4"/>
          <w:sz w:val="21"/>
          <w:szCs w:val="21"/>
          <w:lang w:eastAsia="zh-CN"/>
        </w:rPr>
        <w:t>思主义分工理论的思想精髓及其时代价值》,《南京师大学报(社会科学版)》2016年第</w:t>
      </w:r>
      <w:r>
        <w:rPr>
          <w:rFonts w:hint="default" w:ascii="Times New Roman" w:hAnsi="Times New Roman" w:eastAsia="宋体" w:cs="Times New Roman"/>
          <w:spacing w:val="4"/>
          <w:position w:val="-1"/>
          <w:sz w:val="21"/>
          <w:szCs w:val="21"/>
          <w:lang w:eastAsia="zh-CN"/>
        </w:rPr>
        <w:t>6</w:t>
      </w:r>
      <w:r>
        <w:rPr>
          <w:rFonts w:hint="default" w:ascii="Times New Roman" w:hAnsi="Times New Roman" w:eastAsia="宋体" w:cs="Times New Roman"/>
          <w:spacing w:val="4"/>
          <w:sz w:val="21"/>
          <w:szCs w:val="21"/>
          <w:lang w:eastAsia="zh-CN"/>
        </w:rPr>
        <w:t>期。</w:t>
      </w:r>
    </w:p>
  </w:footnote>
  <w:footnote w:id="346">
    <w:p w14:paraId="34230D6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6"/>
          <w:sz w:val="21"/>
          <w:szCs w:val="21"/>
        </w:rPr>
        <w:t>参见:朱富强:《如何看待异化与分工之关系:基于马克思异化观的四层次分析框架》</w:t>
      </w:r>
      <w:r>
        <w:rPr>
          <w:rFonts w:hint="default" w:ascii="Times New Roman" w:hAnsi="Times New Roman" w:eastAsia="宋体" w:cs="Times New Roman"/>
          <w:spacing w:val="5"/>
          <w:sz w:val="21"/>
          <w:szCs w:val="21"/>
        </w:rPr>
        <w:t>,《天津社</w:t>
      </w:r>
      <w:r>
        <w:rPr>
          <w:rFonts w:hint="default" w:ascii="Times New Roman" w:hAnsi="Times New Roman" w:eastAsia="宋体" w:cs="Times New Roman"/>
          <w:sz w:val="21"/>
          <w:szCs w:val="21"/>
        </w:rPr>
        <w:t>会科学》2018年第</w:t>
      </w:r>
      <w:r>
        <w:rPr>
          <w:rFonts w:hint="default" w:ascii="Times New Roman" w:hAnsi="Times New Roman" w:eastAsia="宋体" w:cs="Times New Roman"/>
          <w:position w:val="-1"/>
          <w:sz w:val="21"/>
          <w:szCs w:val="21"/>
        </w:rPr>
        <w:t>5</w:t>
      </w:r>
      <w:r>
        <w:rPr>
          <w:rFonts w:hint="default" w:ascii="Times New Roman" w:hAnsi="Times New Roman" w:eastAsia="宋体" w:cs="Times New Roman"/>
          <w:sz w:val="21"/>
          <w:szCs w:val="21"/>
        </w:rPr>
        <w:t>期;宣杰、吴大华:《分工、劳动异化</w:t>
      </w:r>
      <w:r>
        <w:rPr>
          <w:rFonts w:hint="default" w:ascii="Times New Roman" w:hAnsi="Times New Roman" w:eastAsia="宋体" w:cs="Times New Roman"/>
          <w:spacing w:val="-1"/>
          <w:sz w:val="21"/>
          <w:szCs w:val="21"/>
        </w:rPr>
        <w:t>与制度批判》,《宁夏社会科学》2017年第</w:t>
      </w:r>
      <w:r>
        <w:rPr>
          <w:rFonts w:hint="default" w:ascii="Times New Roman" w:hAnsi="Times New Roman" w:eastAsia="宋体" w:cs="Times New Roman"/>
          <w:spacing w:val="-1"/>
          <w:position w:val="-1"/>
          <w:sz w:val="21"/>
          <w:szCs w:val="21"/>
        </w:rPr>
        <w:t>1</w:t>
      </w:r>
      <w:r>
        <w:rPr>
          <w:rFonts w:hint="default" w:ascii="Times New Roman" w:hAnsi="Times New Roman" w:eastAsia="宋体" w:cs="Times New Roman"/>
          <w:spacing w:val="-1"/>
          <w:sz w:val="21"/>
          <w:szCs w:val="21"/>
        </w:rPr>
        <w:t>期;</w:t>
      </w:r>
      <w:r>
        <w:rPr>
          <w:rFonts w:hint="default" w:ascii="Times New Roman" w:hAnsi="Times New Roman" w:eastAsia="宋体" w:cs="Times New Roman"/>
          <w:spacing w:val="17"/>
          <w:sz w:val="21"/>
          <w:szCs w:val="21"/>
        </w:rPr>
        <w:t>Gö</w:t>
      </w:r>
      <w:r>
        <w:rPr>
          <w:rFonts w:hint="default" w:ascii="Times New Roman" w:hAnsi="Times New Roman" w:eastAsia="宋体" w:cs="Times New Roman"/>
          <w:sz w:val="21"/>
          <w:szCs w:val="21"/>
        </w:rPr>
        <w:t>rkem</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Giray</w:t>
      </w:r>
      <w:r>
        <w:rPr>
          <w:rFonts w:hint="default" w:ascii="Times New Roman" w:hAnsi="Times New Roman" w:eastAsia="宋体" w:cs="Times New Roman"/>
          <w:spacing w:val="17"/>
          <w:sz w:val="21"/>
          <w:szCs w:val="21"/>
        </w:rPr>
        <w:t>,</w:t>
      </w:r>
      <w:r>
        <w:rPr>
          <w:rFonts w:hint="default" w:ascii="Times New Roman" w:hAnsi="Times New Roman" w:eastAsia="宋体" w:cs="Times New Roman"/>
          <w:sz w:val="21"/>
          <w:szCs w:val="21"/>
        </w:rPr>
        <w:t>The</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Foundations</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of</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Marx</w:t>
      </w:r>
      <w:r>
        <w:rPr>
          <w:rFonts w:hint="default" w:ascii="Times New Roman" w:hAnsi="Times New Roman" w:eastAsia="宋体" w:cs="Times New Roman"/>
          <w:spacing w:val="17"/>
          <w:position w:val="2"/>
          <w:sz w:val="21"/>
          <w:szCs w:val="21"/>
        </w:rPr>
        <w:t>’</w:t>
      </w:r>
      <w:r>
        <w:rPr>
          <w:rFonts w:hint="default" w:ascii="Times New Roman" w:hAnsi="Times New Roman" w:eastAsia="宋体" w:cs="Times New Roman"/>
          <w:sz w:val="21"/>
          <w:szCs w:val="21"/>
        </w:rPr>
        <w:t>s</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Theory</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of</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Alienation</w:t>
      </w:r>
      <w:r>
        <w:rPr>
          <w:rFonts w:hint="default" w:ascii="Times New Roman" w:hAnsi="Times New Roman" w:eastAsia="宋体" w:cs="Times New Roman"/>
          <w:spacing w:val="17"/>
          <w:position w:val="2"/>
          <w:sz w:val="21"/>
          <w:szCs w:val="21"/>
        </w:rPr>
        <w:t>:</w:t>
      </w:r>
      <w:r>
        <w:rPr>
          <w:rFonts w:hint="default" w:ascii="Times New Roman" w:hAnsi="Times New Roman" w:eastAsia="宋体" w:cs="Times New Roman"/>
          <w:sz w:val="21"/>
          <w:szCs w:val="21"/>
        </w:rPr>
        <w:t>Marx</w:t>
      </w:r>
      <w:r>
        <w:rPr>
          <w:rFonts w:hint="default" w:ascii="Times New Roman" w:hAnsi="Times New Roman" w:eastAsia="宋体" w:cs="Times New Roman"/>
          <w:spacing w:val="17"/>
          <w:position w:val="2"/>
          <w:sz w:val="21"/>
          <w:szCs w:val="21"/>
        </w:rPr>
        <w:t>’</w:t>
      </w:r>
      <w:r>
        <w:rPr>
          <w:rFonts w:hint="default" w:ascii="Times New Roman" w:hAnsi="Times New Roman" w:eastAsia="宋体" w:cs="Times New Roman"/>
          <w:sz w:val="21"/>
          <w:szCs w:val="21"/>
        </w:rPr>
        <w:t>sCritiqueofHisPredecessors</w:t>
      </w:r>
      <w:r>
        <w:rPr>
          <w:rFonts w:hint="default" w:ascii="Times New Roman" w:hAnsi="Times New Roman" w:eastAsia="宋体" w:cs="Times New Roman"/>
          <w:spacing w:val="6"/>
          <w:sz w:val="21"/>
          <w:szCs w:val="21"/>
        </w:rPr>
        <w:t>andAlienationLabor</w:t>
      </w:r>
      <w:r>
        <w:rPr>
          <w:rFonts w:hint="default" w:ascii="Times New Roman" w:hAnsi="Times New Roman" w:eastAsia="宋体" w:cs="Times New Roman"/>
          <w:spacing w:val="6"/>
          <w:position w:val="2"/>
          <w:sz w:val="21"/>
          <w:szCs w:val="21"/>
        </w:rPr>
        <w:t>,</w:t>
      </w:r>
      <w:r>
        <w:rPr>
          <w:rFonts w:hint="default" w:ascii="Times New Roman" w:hAnsi="Times New Roman" w:eastAsia="宋体" w:cs="Times New Roman"/>
          <w:spacing w:val="6"/>
          <w:sz w:val="21"/>
          <w:szCs w:val="21"/>
        </w:rPr>
        <w:t>DokuzEylulUniversityJournalofGraduateSchoolofSocialSciences</w:t>
      </w:r>
      <w:r>
        <w:rPr>
          <w:rFonts w:hint="default" w:ascii="Times New Roman" w:hAnsi="Times New Roman" w:eastAsia="宋体" w:cs="Times New Roman"/>
          <w:spacing w:val="6"/>
          <w:position w:val="2"/>
          <w:sz w:val="21"/>
          <w:szCs w:val="21"/>
        </w:rPr>
        <w:t>,</w:t>
      </w:r>
      <w:r>
        <w:rPr>
          <w:rFonts w:hint="default" w:ascii="Times New Roman" w:hAnsi="Times New Roman" w:eastAsia="宋体" w:cs="Times New Roman"/>
          <w:spacing w:val="6"/>
          <w:sz w:val="21"/>
          <w:szCs w:val="21"/>
        </w:rPr>
        <w:t>2022</w:t>
      </w:r>
      <w:r>
        <w:rPr>
          <w:rFonts w:hint="default" w:ascii="Times New Roman" w:hAnsi="Times New Roman" w:eastAsia="宋体" w:cs="Times New Roman"/>
          <w:spacing w:val="6"/>
          <w:position w:val="2"/>
          <w:sz w:val="21"/>
          <w:szCs w:val="21"/>
        </w:rPr>
        <w:t>,</w:t>
      </w:r>
      <w:r>
        <w:rPr>
          <w:rFonts w:hint="default" w:ascii="Times New Roman" w:hAnsi="Times New Roman" w:eastAsia="宋体" w:cs="Times New Roman"/>
          <w:sz w:val="21"/>
          <w:szCs w:val="21"/>
        </w:rPr>
        <w:t>Vol</w:t>
      </w:r>
      <w:r>
        <w:rPr>
          <w:rFonts w:hint="default" w:ascii="Times New Roman" w:hAnsi="Times New Roman" w:eastAsia="宋体" w:cs="Times New Roman"/>
          <w:spacing w:val="8"/>
          <w:sz w:val="21"/>
          <w:szCs w:val="21"/>
        </w:rPr>
        <w:t>.24</w:t>
      </w:r>
      <w:r>
        <w:rPr>
          <w:rFonts w:hint="default" w:ascii="Times New Roman" w:hAnsi="Times New Roman" w:eastAsia="宋体" w:cs="Times New Roman"/>
          <w:spacing w:val="8"/>
          <w:position w:val="2"/>
          <w:sz w:val="21"/>
          <w:szCs w:val="21"/>
        </w:rPr>
        <w:t>,</w:t>
      </w:r>
      <w:r>
        <w:rPr>
          <w:rFonts w:hint="default" w:ascii="Times New Roman" w:hAnsi="Times New Roman" w:eastAsia="宋体" w:cs="Times New Roman"/>
          <w:sz w:val="21"/>
          <w:szCs w:val="21"/>
        </w:rPr>
        <w:t>No</w:t>
      </w:r>
      <w:r>
        <w:rPr>
          <w:rFonts w:hint="default" w:ascii="Times New Roman" w:hAnsi="Times New Roman" w:eastAsia="宋体" w:cs="Times New Roman"/>
          <w:spacing w:val="8"/>
          <w:sz w:val="21"/>
          <w:szCs w:val="21"/>
        </w:rPr>
        <w:t>.4.</w:t>
      </w:r>
    </w:p>
  </w:footnote>
  <w:footnote w:id="347">
    <w:p w14:paraId="59DF8F9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5"/>
          <w:sz w:val="21"/>
          <w:szCs w:val="21"/>
          <w:lang w:eastAsia="zh-CN"/>
        </w:rPr>
        <w:t>参见:王芳、于少青:《“互联网+”的逻辑转变与共产主义道路旨向</w:t>
      </w:r>
      <w:r>
        <w:rPr>
          <w:rFonts w:hint="default" w:ascii="Times New Roman" w:hAnsi="Times New Roman" w:eastAsia="宋体" w:cs="Times New Roman"/>
          <w:b/>
          <w:bCs/>
          <w:spacing w:val="5"/>
          <w:sz w:val="21"/>
          <w:szCs w:val="21"/>
          <w:lang w:eastAsia="zh-CN"/>
        </w:rPr>
        <w:t>—</w:t>
      </w:r>
      <w:r>
        <w:rPr>
          <w:rFonts w:hint="default" w:ascii="Times New Roman" w:hAnsi="Times New Roman" w:eastAsia="宋体" w:cs="Times New Roman"/>
          <w:spacing w:val="5"/>
          <w:sz w:val="21"/>
          <w:szCs w:val="21"/>
          <w:lang w:eastAsia="zh-CN"/>
        </w:rPr>
        <w:t>对&lt;德意志意识形态&gt;</w:t>
      </w:r>
      <w:r>
        <w:rPr>
          <w:rFonts w:hint="default" w:ascii="Times New Roman" w:hAnsi="Times New Roman" w:eastAsia="宋体" w:cs="Times New Roman"/>
          <w:sz w:val="21"/>
          <w:szCs w:val="21"/>
          <w:lang w:eastAsia="zh-CN"/>
        </w:rPr>
        <w:t>中分工与人的发展理论的思考》,《毛泽东邓小平理论研究》2018年第</w:t>
      </w:r>
      <w:r>
        <w:rPr>
          <w:rFonts w:hint="default" w:ascii="Times New Roman" w:hAnsi="Times New Roman" w:eastAsia="宋体" w:cs="Times New Roman"/>
          <w:position w:val="-1"/>
          <w:sz w:val="21"/>
          <w:szCs w:val="21"/>
          <w:lang w:eastAsia="zh-CN"/>
        </w:rPr>
        <w:t>2</w:t>
      </w:r>
      <w:r>
        <w:rPr>
          <w:rFonts w:hint="default" w:ascii="Times New Roman" w:hAnsi="Times New Roman" w:eastAsia="宋体" w:cs="Times New Roman"/>
          <w:sz w:val="21"/>
          <w:szCs w:val="21"/>
          <w:lang w:eastAsia="zh-CN"/>
        </w:rPr>
        <w:t>期;张爱华、邓小伟:《</w:t>
      </w:r>
      <w:r>
        <w:rPr>
          <w:rFonts w:hint="default" w:ascii="Times New Roman" w:hAnsi="Times New Roman" w:eastAsia="宋体" w:cs="Times New Roman"/>
          <w:spacing w:val="-1"/>
          <w:sz w:val="21"/>
          <w:szCs w:val="21"/>
          <w:lang w:eastAsia="zh-CN"/>
        </w:rPr>
        <w:t>&lt;资本论&gt;</w:t>
      </w:r>
      <w:r>
        <w:rPr>
          <w:rFonts w:hint="default" w:ascii="Times New Roman" w:hAnsi="Times New Roman" w:eastAsia="宋体" w:cs="Times New Roman"/>
          <w:spacing w:val="1"/>
          <w:sz w:val="21"/>
          <w:szCs w:val="21"/>
          <w:lang w:eastAsia="zh-CN"/>
        </w:rPr>
        <w:t>中的分工与人的发展思想探析》,《马克思主义与现实》</w:t>
      </w:r>
      <w:r>
        <w:rPr>
          <w:rFonts w:hint="default" w:ascii="Times New Roman" w:hAnsi="Times New Roman" w:eastAsia="宋体" w:cs="Times New Roman"/>
          <w:sz w:val="21"/>
          <w:szCs w:val="21"/>
          <w:lang w:eastAsia="zh-CN"/>
        </w:rPr>
        <w:t>2010年第</w:t>
      </w:r>
      <w:r>
        <w:rPr>
          <w:rFonts w:hint="default" w:ascii="Times New Roman" w:hAnsi="Times New Roman" w:eastAsia="宋体" w:cs="Times New Roman"/>
          <w:position w:val="-1"/>
          <w:sz w:val="21"/>
          <w:szCs w:val="21"/>
          <w:lang w:eastAsia="zh-CN"/>
        </w:rPr>
        <w:t>4</w:t>
      </w:r>
      <w:r>
        <w:rPr>
          <w:rFonts w:hint="default" w:ascii="Times New Roman" w:hAnsi="Times New Roman" w:eastAsia="宋体" w:cs="Times New Roman"/>
          <w:sz w:val="21"/>
          <w:szCs w:val="21"/>
          <w:lang w:eastAsia="zh-CN"/>
        </w:rPr>
        <w:t>期。</w:t>
      </w:r>
    </w:p>
  </w:footnote>
  <w:footnote w:id="348">
    <w:p w14:paraId="1B341EE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参见:兰洋:《重思马克思思想中的“斯密阶段”</w:t>
      </w:r>
      <w:r>
        <w:rPr>
          <w:rFonts w:hint="default" w:ascii="Times New Roman" w:hAnsi="Times New Roman" w:eastAsia="宋体" w:cs="Times New Roman"/>
          <w:b/>
          <w:bCs/>
          <w:sz w:val="21"/>
          <w:szCs w:val="21"/>
        </w:rPr>
        <w:t>—</w:t>
      </w:r>
      <w:r>
        <w:rPr>
          <w:rFonts w:hint="default" w:ascii="Times New Roman" w:hAnsi="Times New Roman" w:eastAsia="宋体" w:cs="Times New Roman"/>
          <w:sz w:val="21"/>
          <w:szCs w:val="21"/>
        </w:rPr>
        <w:t>从“自然秩序”到“资本逻辑”》,《教学与研</w:t>
      </w:r>
      <w:r>
        <w:rPr>
          <w:rFonts w:hint="default" w:ascii="Times New Roman" w:hAnsi="Times New Roman" w:eastAsia="宋体" w:cs="Times New Roman"/>
          <w:spacing w:val="4"/>
          <w:sz w:val="21"/>
          <w:szCs w:val="21"/>
        </w:rPr>
        <w:t>究》2021年第</w:t>
      </w:r>
      <w:r>
        <w:rPr>
          <w:rFonts w:hint="default" w:ascii="Times New Roman" w:hAnsi="Times New Roman" w:eastAsia="宋体" w:cs="Times New Roman"/>
          <w:spacing w:val="4"/>
          <w:position w:val="-1"/>
          <w:sz w:val="21"/>
          <w:szCs w:val="21"/>
        </w:rPr>
        <w:t>10</w:t>
      </w:r>
      <w:r>
        <w:rPr>
          <w:rFonts w:hint="default" w:ascii="Times New Roman" w:hAnsi="Times New Roman" w:eastAsia="宋体" w:cs="Times New Roman"/>
          <w:spacing w:val="4"/>
          <w:sz w:val="21"/>
          <w:szCs w:val="21"/>
        </w:rPr>
        <w:t>期;丁忠锋、张正萍:《亚当·斯密与卡尔·马克思:劳动分工学说之比较》,《浙江社会</w:t>
      </w:r>
      <w:r>
        <w:rPr>
          <w:rFonts w:hint="default" w:ascii="Times New Roman" w:hAnsi="Times New Roman" w:eastAsia="宋体" w:cs="Times New Roman"/>
          <w:spacing w:val="14"/>
          <w:sz w:val="21"/>
          <w:szCs w:val="21"/>
        </w:rPr>
        <w:t>科学》2016</w:t>
      </w:r>
      <w:r>
        <w:rPr>
          <w:rFonts w:hint="default" w:ascii="Times New Roman" w:hAnsi="Times New Roman" w:eastAsia="宋体" w:cs="Times New Roman"/>
          <w:spacing w:val="14"/>
          <w:position w:val="1"/>
          <w:sz w:val="21"/>
          <w:szCs w:val="21"/>
        </w:rPr>
        <w:t>年第</w:t>
      </w:r>
      <w:r>
        <w:rPr>
          <w:rFonts w:hint="default" w:ascii="Times New Roman" w:hAnsi="Times New Roman" w:eastAsia="宋体" w:cs="Times New Roman"/>
          <w:spacing w:val="14"/>
          <w:sz w:val="21"/>
          <w:szCs w:val="21"/>
        </w:rPr>
        <w:t>5</w:t>
      </w:r>
      <w:r>
        <w:rPr>
          <w:rFonts w:hint="default" w:ascii="Times New Roman" w:hAnsi="Times New Roman" w:eastAsia="宋体" w:cs="Times New Roman"/>
          <w:spacing w:val="14"/>
          <w:position w:val="1"/>
          <w:sz w:val="21"/>
          <w:szCs w:val="21"/>
        </w:rPr>
        <w:t>期</w:t>
      </w:r>
      <w:r>
        <w:rPr>
          <w:rFonts w:hint="default" w:ascii="Times New Roman" w:hAnsi="Times New Roman" w:eastAsia="宋体" w:cs="Times New Roman"/>
          <w:spacing w:val="14"/>
          <w:sz w:val="21"/>
          <w:szCs w:val="21"/>
        </w:rPr>
        <w:t>;</w:t>
      </w:r>
      <w:r>
        <w:rPr>
          <w:rFonts w:hint="default" w:ascii="Times New Roman" w:hAnsi="Times New Roman" w:eastAsia="宋体" w:cs="Times New Roman"/>
          <w:spacing w:val="14"/>
          <w:sz w:val="21"/>
          <w:szCs w:val="21"/>
          <w:lang w:val="en-US"/>
        </w:rPr>
        <w:t>P. Sai-wing Ho, Linking the Insights of Smith, Marx, Young and Hirschman on the Division of Labour: Implications for Economic Integration and Uneven Development, Cambridge Journal of Economics, 2016, Vol. 40, No. 3.</w:t>
      </w:r>
    </w:p>
  </w:footnote>
  <w:footnote w:id="349">
    <w:p w14:paraId="568F3F9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3"/>
          <w:sz w:val="21"/>
          <w:szCs w:val="21"/>
          <w:lang w:eastAsia="zh-CN"/>
        </w:rPr>
        <w:t>乔翔:《马克思与杨小凯分工理论的简要</w:t>
      </w:r>
      <w:r>
        <w:rPr>
          <w:rFonts w:hint="default" w:ascii="Times New Roman" w:hAnsi="Times New Roman" w:eastAsia="宋体" w:cs="Times New Roman"/>
          <w:spacing w:val="2"/>
          <w:sz w:val="21"/>
          <w:szCs w:val="21"/>
          <w:lang w:eastAsia="zh-CN"/>
        </w:rPr>
        <w:t>比较与启示》,《现代经济探讨》2011年第</w:t>
      </w:r>
      <w:r>
        <w:rPr>
          <w:rFonts w:hint="default" w:ascii="Times New Roman" w:hAnsi="Times New Roman" w:eastAsia="宋体" w:cs="Times New Roman"/>
          <w:spacing w:val="2"/>
          <w:position w:val="-1"/>
          <w:sz w:val="21"/>
          <w:szCs w:val="21"/>
          <w:lang w:eastAsia="zh-CN"/>
        </w:rPr>
        <w:t>4</w:t>
      </w:r>
      <w:r>
        <w:rPr>
          <w:rFonts w:hint="default" w:ascii="Times New Roman" w:hAnsi="Times New Roman" w:eastAsia="宋体" w:cs="Times New Roman"/>
          <w:spacing w:val="2"/>
          <w:sz w:val="21"/>
          <w:szCs w:val="21"/>
          <w:lang w:eastAsia="zh-CN"/>
        </w:rPr>
        <w:t>期。</w:t>
      </w:r>
    </w:p>
  </w:footnote>
  <w:footnote w:id="350">
    <w:p w14:paraId="641485C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lang w:val="en-US"/>
        </w:rPr>
        <w:t>Luiz Gustavo da Cunha de Souza, Division of Labour in Durkheim, Marx and Honneth, Civitas - Revista de Ciências Sociais, 2018, Vol. 18, No. 3</w:t>
      </w:r>
      <w:r>
        <w:rPr>
          <w:rFonts w:hint="default" w:ascii="Times New Roman" w:hAnsi="Times New Roman" w:eastAsia="宋体" w:cs="Times New Roman"/>
          <w:spacing w:val="8"/>
          <w:position w:val="1"/>
          <w:sz w:val="21"/>
          <w:szCs w:val="21"/>
          <w:lang w:eastAsia="zh-CN"/>
        </w:rPr>
        <w:t>;</w:t>
      </w:r>
      <w:r>
        <w:rPr>
          <w:rFonts w:hint="default" w:ascii="Times New Roman" w:hAnsi="Times New Roman" w:eastAsia="宋体" w:cs="Times New Roman"/>
          <w:spacing w:val="8"/>
          <w:sz w:val="21"/>
          <w:szCs w:val="21"/>
          <w:lang w:eastAsia="zh-CN"/>
        </w:rPr>
        <w:t>于琳</w:t>
      </w:r>
      <w:r>
        <w:rPr>
          <w:rFonts w:hint="default" w:ascii="Times New Roman" w:hAnsi="Times New Roman" w:eastAsia="宋体" w:cs="Times New Roman"/>
          <w:spacing w:val="8"/>
          <w:position w:val="1"/>
          <w:sz w:val="21"/>
          <w:szCs w:val="21"/>
          <w:lang w:eastAsia="zh-CN"/>
        </w:rPr>
        <w:t>、</w:t>
      </w:r>
      <w:r>
        <w:rPr>
          <w:rFonts w:hint="default" w:ascii="Times New Roman" w:hAnsi="Times New Roman" w:eastAsia="宋体" w:cs="Times New Roman"/>
          <w:spacing w:val="8"/>
          <w:sz w:val="21"/>
          <w:szCs w:val="21"/>
          <w:lang w:eastAsia="zh-CN"/>
        </w:rPr>
        <w:t>丁社教:《马克思与涂尔干社会分工思想谱系的</w:t>
      </w:r>
      <w:r>
        <w:rPr>
          <w:rFonts w:hint="default" w:ascii="Times New Roman" w:hAnsi="Times New Roman" w:eastAsia="宋体" w:cs="Times New Roman"/>
          <w:spacing w:val="6"/>
          <w:sz w:val="21"/>
          <w:szCs w:val="21"/>
          <w:lang w:eastAsia="zh-CN"/>
        </w:rPr>
        <w:t>异同与会通》,《江西社会科学》2020年第</w:t>
      </w:r>
      <w:r>
        <w:rPr>
          <w:rFonts w:hint="default" w:ascii="Times New Roman" w:hAnsi="Times New Roman" w:eastAsia="宋体" w:cs="Times New Roman"/>
          <w:spacing w:val="6"/>
          <w:position w:val="-1"/>
          <w:sz w:val="21"/>
          <w:szCs w:val="21"/>
          <w:lang w:eastAsia="zh-CN"/>
        </w:rPr>
        <w:t>2</w:t>
      </w:r>
      <w:r>
        <w:rPr>
          <w:rFonts w:hint="default" w:ascii="Times New Roman" w:hAnsi="Times New Roman" w:eastAsia="宋体" w:cs="Times New Roman"/>
          <w:spacing w:val="6"/>
          <w:sz w:val="21"/>
          <w:szCs w:val="21"/>
          <w:lang w:eastAsia="zh-CN"/>
        </w:rPr>
        <w:t>期。这里需要说明的是,涂尔干对分工的理解主要聚焦于</w:t>
      </w:r>
      <w:r>
        <w:rPr>
          <w:rFonts w:hint="default" w:ascii="Times New Roman" w:hAnsi="Times New Roman" w:eastAsia="宋体" w:cs="Times New Roman"/>
          <w:spacing w:val="10"/>
          <w:sz w:val="21"/>
          <w:szCs w:val="21"/>
          <w:lang w:eastAsia="zh-CN"/>
        </w:rPr>
        <w:t>社会道德维度,对马克思与涂尔干比较文献的提及主要是为了更全面地</w:t>
      </w:r>
      <w:r>
        <w:rPr>
          <w:rFonts w:hint="default" w:ascii="Times New Roman" w:hAnsi="Times New Roman" w:eastAsia="宋体" w:cs="Times New Roman"/>
          <w:spacing w:val="9"/>
          <w:sz w:val="21"/>
          <w:szCs w:val="21"/>
          <w:lang w:eastAsia="zh-CN"/>
        </w:rPr>
        <w:t>理解马克思主义的分工理论。</w:t>
      </w:r>
    </w:p>
  </w:footnote>
  <w:footnote w:id="351">
    <w:p w14:paraId="0E4FC30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5"/>
          <w:sz w:val="21"/>
          <w:szCs w:val="21"/>
          <w:lang w:eastAsia="zh-CN"/>
        </w:rPr>
        <w:t>谢富胜:《分工、技术与生产组织</w:t>
      </w:r>
      <w:r>
        <w:rPr>
          <w:rFonts w:hint="default" w:ascii="Times New Roman" w:hAnsi="Times New Roman" w:eastAsia="宋体" w:cs="Times New Roman"/>
          <w:spacing w:val="4"/>
          <w:sz w:val="21"/>
          <w:szCs w:val="21"/>
          <w:lang w:eastAsia="zh-CN"/>
        </w:rPr>
        <w:t>变迁资本主义生产组织演变的马克思主义经济学阐释》,</w:t>
      </w:r>
      <w:r>
        <w:rPr>
          <w:rFonts w:hint="default" w:ascii="Times New Roman" w:hAnsi="Times New Roman" w:eastAsia="宋体" w:cs="Times New Roman"/>
          <w:spacing w:val="9"/>
          <w:sz w:val="21"/>
          <w:szCs w:val="21"/>
          <w:lang w:eastAsia="zh-CN"/>
        </w:rPr>
        <w:t>北京:经济科学出版社,</w:t>
      </w:r>
      <w:r>
        <w:rPr>
          <w:rFonts w:hint="default" w:ascii="Times New Roman" w:hAnsi="Times New Roman" w:eastAsia="宋体" w:cs="Times New Roman"/>
          <w:spacing w:val="9"/>
          <w:position w:val="-1"/>
          <w:sz w:val="21"/>
          <w:szCs w:val="21"/>
          <w:lang w:eastAsia="zh-CN"/>
        </w:rPr>
        <w:t>2005</w:t>
      </w:r>
      <w:r>
        <w:rPr>
          <w:rFonts w:hint="default" w:ascii="Times New Roman" w:hAnsi="Times New Roman" w:eastAsia="宋体" w:cs="Times New Roman"/>
          <w:spacing w:val="9"/>
          <w:sz w:val="21"/>
          <w:szCs w:val="21"/>
          <w:lang w:eastAsia="zh-CN"/>
        </w:rPr>
        <w:t>年。</w:t>
      </w:r>
    </w:p>
  </w:footnote>
  <w:footnote w:id="352">
    <w:p w14:paraId="6EAE1F0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Christian</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Fuchs</w:t>
      </w:r>
      <w:r>
        <w:rPr>
          <w:rFonts w:hint="default" w:ascii="Times New Roman" w:hAnsi="Times New Roman" w:eastAsia="宋体" w:cs="Times New Roman"/>
          <w:spacing w:val="11"/>
          <w:position w:val="2"/>
          <w:sz w:val="21"/>
          <w:szCs w:val="21"/>
        </w:rPr>
        <w:t>,</w:t>
      </w:r>
      <w:r>
        <w:rPr>
          <w:rFonts w:hint="default" w:ascii="Times New Roman" w:hAnsi="Times New Roman" w:eastAsia="宋体" w:cs="Times New Roman"/>
          <w:sz w:val="21"/>
          <w:szCs w:val="21"/>
        </w:rPr>
        <w:t>Digital</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Labor</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and</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Imperialism</w:t>
      </w:r>
      <w:r>
        <w:rPr>
          <w:rFonts w:hint="default" w:ascii="Times New Roman" w:hAnsi="Times New Roman" w:eastAsia="宋体" w:cs="Times New Roman"/>
          <w:spacing w:val="11"/>
          <w:position w:val="2"/>
          <w:sz w:val="21"/>
          <w:szCs w:val="21"/>
        </w:rPr>
        <w:t>,</w:t>
      </w:r>
      <w:r>
        <w:rPr>
          <w:rFonts w:hint="default" w:ascii="Times New Roman" w:hAnsi="Times New Roman" w:eastAsia="宋体" w:cs="Times New Roman"/>
          <w:sz w:val="21"/>
          <w:szCs w:val="21"/>
        </w:rPr>
        <w:t>Monthly</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Review</w:t>
      </w:r>
      <w:r>
        <w:rPr>
          <w:rFonts w:hint="default" w:ascii="Times New Roman" w:hAnsi="Times New Roman" w:eastAsia="宋体" w:cs="Times New Roman"/>
          <w:spacing w:val="11"/>
          <w:position w:val="2"/>
          <w:sz w:val="21"/>
          <w:szCs w:val="21"/>
        </w:rPr>
        <w:t>,</w:t>
      </w:r>
      <w:r>
        <w:rPr>
          <w:rFonts w:hint="default" w:ascii="Times New Roman" w:hAnsi="Times New Roman" w:eastAsia="宋体" w:cs="Times New Roman"/>
          <w:spacing w:val="11"/>
          <w:sz w:val="21"/>
          <w:szCs w:val="21"/>
        </w:rPr>
        <w:t>2016</w:t>
      </w:r>
      <w:r>
        <w:rPr>
          <w:rFonts w:hint="default" w:ascii="Times New Roman" w:hAnsi="Times New Roman" w:eastAsia="宋体" w:cs="Times New Roman"/>
          <w:spacing w:val="11"/>
          <w:position w:val="2"/>
          <w:sz w:val="21"/>
          <w:szCs w:val="21"/>
        </w:rPr>
        <w:t>,</w:t>
      </w:r>
      <w:r>
        <w:rPr>
          <w:rFonts w:hint="default" w:ascii="Times New Roman" w:hAnsi="Times New Roman" w:eastAsia="宋体" w:cs="Times New Roman"/>
          <w:sz w:val="21"/>
          <w:szCs w:val="21"/>
        </w:rPr>
        <w:t>Vol</w:t>
      </w:r>
      <w:r>
        <w:rPr>
          <w:rFonts w:hint="default" w:ascii="Times New Roman" w:hAnsi="Times New Roman" w:eastAsia="宋体" w:cs="Times New Roman"/>
          <w:spacing w:val="11"/>
          <w:sz w:val="21"/>
          <w:szCs w:val="21"/>
        </w:rPr>
        <w:t>.67</w:t>
      </w:r>
      <w:r>
        <w:rPr>
          <w:rFonts w:hint="default" w:ascii="Times New Roman" w:hAnsi="Times New Roman" w:eastAsia="宋体" w:cs="Times New Roman"/>
          <w:spacing w:val="11"/>
          <w:position w:val="2"/>
          <w:sz w:val="21"/>
          <w:szCs w:val="21"/>
        </w:rPr>
        <w:t>,</w:t>
      </w:r>
      <w:r>
        <w:rPr>
          <w:rFonts w:hint="default" w:ascii="Times New Roman" w:hAnsi="Times New Roman" w:eastAsia="宋体" w:cs="Times New Roman"/>
          <w:sz w:val="21"/>
          <w:szCs w:val="21"/>
        </w:rPr>
        <w:t>No</w:t>
      </w:r>
      <w:r>
        <w:rPr>
          <w:rFonts w:hint="default" w:ascii="Times New Roman" w:hAnsi="Times New Roman" w:eastAsia="宋体" w:cs="Times New Roman"/>
          <w:spacing w:val="11"/>
          <w:sz w:val="21"/>
          <w:szCs w:val="21"/>
        </w:rPr>
        <w:t>.8</w:t>
      </w:r>
      <w:r>
        <w:rPr>
          <w:rFonts w:hint="default" w:ascii="Times New Roman" w:hAnsi="Times New Roman" w:eastAsia="宋体" w:cs="Times New Roman"/>
          <w:spacing w:val="11"/>
          <w:position w:val="2"/>
          <w:sz w:val="21"/>
          <w:szCs w:val="21"/>
        </w:rPr>
        <w:t>;</w:t>
      </w:r>
      <w:r>
        <w:rPr>
          <w:rFonts w:hint="default" w:ascii="Times New Roman" w:hAnsi="Times New Roman" w:eastAsia="宋体" w:cs="Times New Roman"/>
          <w:spacing w:val="11"/>
          <w:position w:val="1"/>
          <w:sz w:val="21"/>
          <w:szCs w:val="21"/>
        </w:rPr>
        <w:t>李春</w:t>
      </w:r>
      <w:r>
        <w:rPr>
          <w:rFonts w:hint="default" w:ascii="Times New Roman" w:hAnsi="Times New Roman" w:eastAsia="宋体" w:cs="Times New Roman"/>
          <w:sz w:val="21"/>
          <w:szCs w:val="21"/>
        </w:rPr>
        <w:t>利、高良谋、安岗:《数字平台组织的本质及演进</w:t>
      </w:r>
      <w:r>
        <w:rPr>
          <w:rFonts w:hint="default" w:ascii="Times New Roman" w:hAnsi="Times New Roman" w:eastAsia="宋体" w:cs="Times New Roman"/>
          <w:spacing w:val="-1"/>
          <w:sz w:val="21"/>
          <w:szCs w:val="21"/>
        </w:rPr>
        <w:t>:基于分工视角》,《产经评论》2021年第</w:t>
      </w:r>
      <w:r>
        <w:rPr>
          <w:rFonts w:hint="default" w:ascii="Times New Roman" w:hAnsi="Times New Roman" w:eastAsia="宋体" w:cs="Times New Roman"/>
          <w:spacing w:val="-1"/>
          <w:position w:val="-1"/>
          <w:sz w:val="21"/>
          <w:szCs w:val="21"/>
        </w:rPr>
        <w:t>6</w:t>
      </w:r>
      <w:r>
        <w:rPr>
          <w:rFonts w:hint="default" w:ascii="Times New Roman" w:hAnsi="Times New Roman" w:eastAsia="宋体" w:cs="Times New Roman"/>
          <w:spacing w:val="-1"/>
          <w:sz w:val="21"/>
          <w:szCs w:val="21"/>
        </w:rPr>
        <w:t>期。</w:t>
      </w:r>
    </w:p>
  </w:footnote>
  <w:footnote w:id="353">
    <w:p w14:paraId="12EDEF47">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position w:val="3"/>
          <w:sz w:val="21"/>
          <w:szCs w:val="21"/>
        </w:rPr>
        <w:t>FionaTregenna</w:t>
      </w:r>
      <w:r>
        <w:rPr>
          <w:rFonts w:hint="default" w:ascii="Times New Roman" w:hAnsi="Times New Roman" w:eastAsia="宋体" w:cs="Times New Roman"/>
          <w:spacing w:val="12"/>
          <w:position w:val="5"/>
          <w:sz w:val="21"/>
          <w:szCs w:val="21"/>
        </w:rPr>
        <w:t>,</w:t>
      </w:r>
      <w:r>
        <w:rPr>
          <w:rFonts w:hint="default" w:ascii="Times New Roman" w:hAnsi="Times New Roman" w:eastAsia="宋体" w:cs="Times New Roman"/>
          <w:position w:val="3"/>
          <w:sz w:val="21"/>
          <w:szCs w:val="21"/>
        </w:rPr>
        <w:t>TheSpecificityofManufacturinginMarx</w:t>
      </w:r>
      <w:r>
        <w:rPr>
          <w:rFonts w:hint="default" w:ascii="Times New Roman" w:hAnsi="Times New Roman" w:eastAsia="宋体" w:cs="Times New Roman"/>
          <w:spacing w:val="12"/>
          <w:position w:val="5"/>
          <w:sz w:val="21"/>
          <w:szCs w:val="21"/>
        </w:rPr>
        <w:t>’</w:t>
      </w:r>
      <w:r>
        <w:rPr>
          <w:rFonts w:hint="default" w:ascii="Times New Roman" w:hAnsi="Times New Roman" w:eastAsia="宋体" w:cs="Times New Roman"/>
          <w:position w:val="3"/>
          <w:sz w:val="21"/>
          <w:szCs w:val="21"/>
        </w:rPr>
        <w:t>sEconomicThought</w:t>
      </w:r>
      <w:r>
        <w:rPr>
          <w:rFonts w:hint="default" w:ascii="Times New Roman" w:hAnsi="Times New Roman" w:eastAsia="宋体" w:cs="Times New Roman"/>
          <w:spacing w:val="12"/>
          <w:position w:val="5"/>
          <w:sz w:val="21"/>
          <w:szCs w:val="21"/>
        </w:rPr>
        <w:t>,</w:t>
      </w:r>
      <w:r>
        <w:rPr>
          <w:rFonts w:hint="default" w:ascii="Times New Roman" w:hAnsi="Times New Roman" w:eastAsia="宋体" w:cs="Times New Roman"/>
          <w:position w:val="3"/>
          <w:sz w:val="21"/>
          <w:szCs w:val="21"/>
        </w:rPr>
        <w:t>European</w:t>
      </w:r>
      <w:r>
        <w:rPr>
          <w:rFonts w:hint="eastAsia" w:ascii="Times New Roman" w:hAnsi="Times New Roman" w:eastAsia="宋体" w:cs="Times New Roman"/>
          <w:position w:val="3"/>
          <w:sz w:val="21"/>
          <w:szCs w:val="21"/>
          <w:lang w:val="en-US" w:eastAsia="zh-CN"/>
        </w:rPr>
        <w:t xml:space="preserve"> </w:t>
      </w:r>
      <w:r>
        <w:rPr>
          <w:rFonts w:hint="default" w:ascii="Times New Roman" w:hAnsi="Times New Roman" w:eastAsia="宋体" w:cs="Times New Roman"/>
          <w:spacing w:val="8"/>
          <w:position w:val="2"/>
          <w:sz w:val="21"/>
          <w:szCs w:val="21"/>
        </w:rPr>
        <w:t>Journal</w:t>
      </w:r>
      <w:r>
        <w:rPr>
          <w:rFonts w:hint="eastAsia" w:ascii="Times New Roman" w:hAnsi="Times New Roman" w:eastAsia="宋体" w:cs="Times New Roman"/>
          <w:spacing w:val="8"/>
          <w:position w:val="2"/>
          <w:sz w:val="21"/>
          <w:szCs w:val="21"/>
          <w:lang w:val="en-US" w:eastAsia="zh-CN"/>
        </w:rPr>
        <w:t xml:space="preserve"> </w:t>
      </w:r>
      <w:r>
        <w:rPr>
          <w:rFonts w:hint="default" w:ascii="Times New Roman" w:hAnsi="Times New Roman" w:eastAsia="宋体" w:cs="Times New Roman"/>
          <w:spacing w:val="8"/>
          <w:position w:val="2"/>
          <w:sz w:val="21"/>
          <w:szCs w:val="21"/>
        </w:rPr>
        <w:t>of</w:t>
      </w:r>
      <w:r>
        <w:rPr>
          <w:rFonts w:hint="eastAsia" w:ascii="Times New Roman" w:hAnsi="Times New Roman" w:eastAsia="宋体" w:cs="Times New Roman"/>
          <w:spacing w:val="8"/>
          <w:position w:val="2"/>
          <w:sz w:val="21"/>
          <w:szCs w:val="21"/>
          <w:lang w:val="en-US" w:eastAsia="zh-CN"/>
        </w:rPr>
        <w:t xml:space="preserve"> </w:t>
      </w:r>
      <w:r>
        <w:rPr>
          <w:rFonts w:hint="default" w:ascii="Times New Roman" w:hAnsi="Times New Roman" w:eastAsia="宋体" w:cs="Times New Roman"/>
          <w:spacing w:val="8"/>
          <w:position w:val="2"/>
          <w:sz w:val="21"/>
          <w:szCs w:val="21"/>
        </w:rPr>
        <w:t>the</w:t>
      </w:r>
      <w:r>
        <w:rPr>
          <w:rFonts w:hint="eastAsia" w:ascii="Times New Roman" w:hAnsi="Times New Roman" w:eastAsia="宋体" w:cs="Times New Roman"/>
          <w:spacing w:val="8"/>
          <w:position w:val="2"/>
          <w:sz w:val="21"/>
          <w:szCs w:val="21"/>
          <w:lang w:val="en-US" w:eastAsia="zh-CN"/>
        </w:rPr>
        <w:t xml:space="preserve"> </w:t>
      </w:r>
      <w:r>
        <w:rPr>
          <w:rFonts w:hint="default" w:ascii="Times New Roman" w:hAnsi="Times New Roman" w:eastAsia="宋体" w:cs="Times New Roman"/>
          <w:spacing w:val="8"/>
          <w:position w:val="2"/>
          <w:sz w:val="21"/>
          <w:szCs w:val="21"/>
        </w:rPr>
        <w:t>History</w:t>
      </w:r>
      <w:r>
        <w:rPr>
          <w:rFonts w:hint="eastAsia" w:ascii="Times New Roman" w:hAnsi="Times New Roman" w:eastAsia="宋体" w:cs="Times New Roman"/>
          <w:spacing w:val="8"/>
          <w:position w:val="2"/>
          <w:sz w:val="21"/>
          <w:szCs w:val="21"/>
          <w:lang w:val="en-US" w:eastAsia="zh-CN"/>
        </w:rPr>
        <w:t xml:space="preserve"> </w:t>
      </w:r>
      <w:r>
        <w:rPr>
          <w:rFonts w:hint="default" w:ascii="Times New Roman" w:hAnsi="Times New Roman" w:eastAsia="宋体" w:cs="Times New Roman"/>
          <w:spacing w:val="8"/>
          <w:position w:val="2"/>
          <w:sz w:val="21"/>
          <w:szCs w:val="21"/>
        </w:rPr>
        <w:t>of</w:t>
      </w:r>
      <w:r>
        <w:rPr>
          <w:rFonts w:hint="eastAsia" w:ascii="Times New Roman" w:hAnsi="Times New Roman" w:eastAsia="宋体" w:cs="Times New Roman"/>
          <w:spacing w:val="8"/>
          <w:position w:val="2"/>
          <w:sz w:val="21"/>
          <w:szCs w:val="21"/>
          <w:lang w:val="en-US" w:eastAsia="zh-CN"/>
        </w:rPr>
        <w:t xml:space="preserve"> </w:t>
      </w:r>
      <w:r>
        <w:rPr>
          <w:rFonts w:hint="default" w:ascii="Times New Roman" w:hAnsi="Times New Roman" w:eastAsia="宋体" w:cs="Times New Roman"/>
          <w:spacing w:val="8"/>
          <w:position w:val="2"/>
          <w:sz w:val="21"/>
          <w:szCs w:val="21"/>
        </w:rPr>
        <w:t>Economi</w:t>
      </w:r>
      <w:r>
        <w:rPr>
          <w:rFonts w:hint="default" w:ascii="Times New Roman" w:hAnsi="Times New Roman" w:eastAsia="宋体" w:cs="Times New Roman"/>
          <w:spacing w:val="7"/>
          <w:position w:val="2"/>
          <w:sz w:val="21"/>
          <w:szCs w:val="21"/>
        </w:rPr>
        <w:t>c</w:t>
      </w:r>
      <w:r>
        <w:rPr>
          <w:rFonts w:hint="eastAsia" w:ascii="Times New Roman" w:hAnsi="Times New Roman" w:eastAsia="宋体" w:cs="Times New Roman"/>
          <w:spacing w:val="7"/>
          <w:position w:val="2"/>
          <w:sz w:val="21"/>
          <w:szCs w:val="21"/>
          <w:lang w:val="en-US" w:eastAsia="zh-CN"/>
        </w:rPr>
        <w:t xml:space="preserve"> </w:t>
      </w:r>
      <w:r>
        <w:rPr>
          <w:rFonts w:hint="default" w:ascii="Times New Roman" w:hAnsi="Times New Roman" w:eastAsia="宋体" w:cs="Times New Roman"/>
          <w:spacing w:val="7"/>
          <w:position w:val="2"/>
          <w:sz w:val="21"/>
          <w:szCs w:val="21"/>
        </w:rPr>
        <w:t>Thought</w:t>
      </w:r>
      <w:r>
        <w:rPr>
          <w:rFonts w:hint="default" w:ascii="Times New Roman" w:hAnsi="Times New Roman" w:eastAsia="宋体" w:cs="Times New Roman"/>
          <w:spacing w:val="7"/>
          <w:position w:val="4"/>
          <w:sz w:val="21"/>
          <w:szCs w:val="21"/>
        </w:rPr>
        <w:t>,</w:t>
      </w:r>
      <w:r>
        <w:rPr>
          <w:rFonts w:hint="default" w:ascii="Times New Roman" w:hAnsi="Times New Roman" w:eastAsia="宋体" w:cs="Times New Roman"/>
          <w:spacing w:val="7"/>
          <w:position w:val="2"/>
          <w:sz w:val="21"/>
          <w:szCs w:val="21"/>
        </w:rPr>
        <w:t>2013</w:t>
      </w:r>
      <w:r>
        <w:rPr>
          <w:rFonts w:hint="default" w:ascii="Times New Roman" w:hAnsi="Times New Roman" w:eastAsia="宋体" w:cs="Times New Roman"/>
          <w:spacing w:val="7"/>
          <w:position w:val="4"/>
          <w:sz w:val="21"/>
          <w:szCs w:val="21"/>
        </w:rPr>
        <w:t>,</w:t>
      </w:r>
      <w:r>
        <w:rPr>
          <w:rFonts w:hint="default" w:ascii="Times New Roman" w:hAnsi="Times New Roman" w:eastAsia="宋体" w:cs="Times New Roman"/>
          <w:spacing w:val="7"/>
          <w:position w:val="2"/>
          <w:sz w:val="21"/>
          <w:szCs w:val="21"/>
        </w:rPr>
        <w:t>Vol.20</w:t>
      </w:r>
      <w:r>
        <w:rPr>
          <w:rFonts w:hint="default" w:ascii="Times New Roman" w:hAnsi="Times New Roman" w:eastAsia="宋体" w:cs="Times New Roman"/>
          <w:spacing w:val="7"/>
          <w:position w:val="4"/>
          <w:sz w:val="21"/>
          <w:szCs w:val="21"/>
        </w:rPr>
        <w:t>,</w:t>
      </w:r>
      <w:r>
        <w:rPr>
          <w:rFonts w:hint="default" w:ascii="Times New Roman" w:hAnsi="Times New Roman" w:eastAsia="宋体" w:cs="Times New Roman"/>
          <w:spacing w:val="7"/>
          <w:position w:val="2"/>
          <w:sz w:val="21"/>
          <w:szCs w:val="21"/>
        </w:rPr>
        <w:t>No.4.</w:t>
      </w:r>
    </w:p>
    <w:p w14:paraId="0B8104B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p>
  </w:footnote>
  <w:footnote w:id="354">
    <w:p w14:paraId="0FBAB752">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lang w:eastAsia="zh-CN"/>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4"/>
          <w:sz w:val="21"/>
          <w:szCs w:val="21"/>
          <w:lang w:eastAsia="zh-CN"/>
        </w:rPr>
        <w:t>李新瑜:《马克思主义理论视域下的中国制造业价值链升级研究》,《经济</w:t>
      </w:r>
      <w:r>
        <w:rPr>
          <w:rFonts w:hint="default" w:ascii="Times New Roman" w:hAnsi="Times New Roman" w:eastAsia="宋体" w:cs="Times New Roman"/>
          <w:spacing w:val="3"/>
          <w:sz w:val="21"/>
          <w:szCs w:val="21"/>
          <w:lang w:eastAsia="zh-CN"/>
        </w:rPr>
        <w:t>研究导刊</w:t>
      </w:r>
      <w:r>
        <w:rPr>
          <w:rFonts w:hint="default" w:ascii="Times New Roman" w:hAnsi="Times New Roman" w:eastAsia="宋体" w:cs="Times New Roman"/>
          <w:spacing w:val="3"/>
          <w:position w:val="-1"/>
          <w:sz w:val="21"/>
          <w:szCs w:val="21"/>
          <w:lang w:eastAsia="zh-CN"/>
        </w:rPr>
        <w:t>》2019</w:t>
      </w:r>
      <w:r>
        <w:rPr>
          <w:rFonts w:hint="default" w:ascii="Times New Roman" w:hAnsi="Times New Roman" w:eastAsia="宋体" w:cs="Times New Roman"/>
          <w:spacing w:val="3"/>
          <w:sz w:val="21"/>
          <w:szCs w:val="21"/>
          <w:lang w:eastAsia="zh-CN"/>
        </w:rPr>
        <w:t>年第</w:t>
      </w:r>
      <w:r>
        <w:rPr>
          <w:rFonts w:hint="default" w:ascii="Times New Roman" w:hAnsi="Times New Roman" w:eastAsia="宋体" w:cs="Times New Roman"/>
          <w:spacing w:val="3"/>
          <w:position w:val="-1"/>
          <w:sz w:val="21"/>
          <w:szCs w:val="21"/>
          <w:lang w:eastAsia="zh-CN"/>
        </w:rPr>
        <w:t>13</w:t>
      </w:r>
      <w:r>
        <w:rPr>
          <w:rFonts w:hint="default" w:ascii="Times New Roman" w:hAnsi="Times New Roman" w:eastAsia="宋体" w:cs="Times New Roman"/>
          <w:spacing w:val="3"/>
          <w:sz w:val="21"/>
          <w:szCs w:val="21"/>
          <w:lang w:eastAsia="zh-CN"/>
        </w:rPr>
        <w:t>期</w:t>
      </w:r>
      <w:r>
        <w:rPr>
          <w:rFonts w:hint="default" w:ascii="Times New Roman" w:hAnsi="Times New Roman" w:eastAsia="宋体" w:cs="Times New Roman"/>
          <w:spacing w:val="3"/>
          <w:position w:val="1"/>
          <w:sz w:val="21"/>
          <w:szCs w:val="21"/>
          <w:lang w:eastAsia="zh-CN"/>
        </w:rPr>
        <w:t>。</w:t>
      </w:r>
    </w:p>
    <w:p w14:paraId="3E72B90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p>
  </w:footnote>
  <w:footnote w:id="355">
    <w:p w14:paraId="4E533E4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lang w:eastAsia="zh-CN"/>
        </w:rPr>
        <w:t>李松龄:《马克思社会分工理论与区域平衡充分发展》,《学术探索》2021年第</w:t>
      </w:r>
      <w:r>
        <w:rPr>
          <w:rFonts w:hint="default" w:ascii="Times New Roman" w:hAnsi="Times New Roman" w:eastAsia="宋体" w:cs="Times New Roman"/>
          <w:spacing w:val="2"/>
          <w:position w:val="-1"/>
          <w:sz w:val="21"/>
          <w:szCs w:val="21"/>
          <w:lang w:eastAsia="zh-CN"/>
        </w:rPr>
        <w:t>4</w:t>
      </w:r>
      <w:r>
        <w:rPr>
          <w:rFonts w:hint="default" w:ascii="Times New Roman" w:hAnsi="Times New Roman" w:eastAsia="宋体" w:cs="Times New Roman"/>
          <w:spacing w:val="2"/>
          <w:sz w:val="21"/>
          <w:szCs w:val="21"/>
          <w:lang w:eastAsia="zh-CN"/>
        </w:rPr>
        <w:t>期。</w:t>
      </w:r>
    </w:p>
  </w:footnote>
  <w:footnote w:id="356">
    <w:p w14:paraId="66AA997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7"/>
          <w:sz w:val="21"/>
          <w:szCs w:val="21"/>
          <w:lang w:eastAsia="zh-CN"/>
        </w:rPr>
        <w:t>〔英〕多琳·马西:《劳动的空间分工:社会结构与生产地理学》,梁光严译,北京:北京师</w:t>
      </w:r>
      <w:r>
        <w:rPr>
          <w:rFonts w:hint="default" w:ascii="Times New Roman" w:hAnsi="Times New Roman" w:eastAsia="宋体" w:cs="Times New Roman"/>
          <w:spacing w:val="6"/>
          <w:sz w:val="21"/>
          <w:szCs w:val="21"/>
          <w:lang w:eastAsia="zh-CN"/>
        </w:rPr>
        <w:t>范大学</w:t>
      </w:r>
      <w:r>
        <w:rPr>
          <w:rFonts w:hint="default" w:ascii="Times New Roman" w:hAnsi="Times New Roman" w:eastAsia="宋体" w:cs="Times New Roman"/>
          <w:spacing w:val="5"/>
          <w:sz w:val="21"/>
          <w:szCs w:val="21"/>
          <w:lang w:eastAsia="zh-CN"/>
        </w:rPr>
        <w:t>出版社,</w:t>
      </w:r>
      <w:r>
        <w:rPr>
          <w:rFonts w:hint="default" w:ascii="Times New Roman" w:hAnsi="Times New Roman" w:eastAsia="宋体" w:cs="Times New Roman"/>
          <w:spacing w:val="5"/>
          <w:position w:val="-1"/>
          <w:sz w:val="21"/>
          <w:szCs w:val="21"/>
          <w:lang w:eastAsia="zh-CN"/>
        </w:rPr>
        <w:t>2010</w:t>
      </w:r>
      <w:r>
        <w:rPr>
          <w:rFonts w:hint="default" w:ascii="Times New Roman" w:hAnsi="Times New Roman" w:eastAsia="宋体" w:cs="Times New Roman"/>
          <w:spacing w:val="5"/>
          <w:sz w:val="21"/>
          <w:szCs w:val="21"/>
          <w:lang w:eastAsia="zh-CN"/>
        </w:rPr>
        <w:t>年</w:t>
      </w:r>
      <w:r>
        <w:rPr>
          <w:rFonts w:hint="default" w:ascii="Times New Roman" w:hAnsi="Times New Roman" w:eastAsia="宋体" w:cs="Times New Roman"/>
          <w:spacing w:val="5"/>
          <w:position w:val="1"/>
          <w:sz w:val="21"/>
          <w:szCs w:val="21"/>
          <w:lang w:eastAsia="zh-CN"/>
        </w:rPr>
        <w:t>。</w:t>
      </w:r>
    </w:p>
  </w:footnote>
  <w:footnote w:id="357">
    <w:p w14:paraId="0D7D84D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DuncanFoley</w:t>
      </w:r>
      <w:r>
        <w:rPr>
          <w:rFonts w:hint="default" w:ascii="Times New Roman" w:hAnsi="Times New Roman" w:eastAsia="宋体" w:cs="Times New Roman"/>
          <w:spacing w:val="15"/>
          <w:sz w:val="21"/>
          <w:szCs w:val="21"/>
        </w:rPr>
        <w:t>,</w:t>
      </w:r>
      <w:r>
        <w:rPr>
          <w:rFonts w:hint="default" w:ascii="Times New Roman" w:hAnsi="Times New Roman" w:eastAsia="宋体" w:cs="Times New Roman"/>
          <w:sz w:val="21"/>
          <w:szCs w:val="21"/>
        </w:rPr>
        <w:t>SocialCoordinationProblemsinClassicalandMarxianPoliticalEconomy</w:t>
      </w:r>
      <w:r>
        <w:rPr>
          <w:rFonts w:hint="default" w:ascii="Times New Roman" w:hAnsi="Times New Roman" w:eastAsia="宋体" w:cs="Times New Roman"/>
          <w:spacing w:val="15"/>
          <w:sz w:val="21"/>
          <w:szCs w:val="21"/>
        </w:rPr>
        <w:t>,</w:t>
      </w:r>
      <w:r>
        <w:rPr>
          <w:rFonts w:hint="default" w:ascii="Times New Roman" w:hAnsi="Times New Roman" w:eastAsia="宋体" w:cs="Times New Roman"/>
          <w:sz w:val="21"/>
          <w:szCs w:val="21"/>
        </w:rPr>
        <w:t>Re</w:t>
      </w:r>
      <w:r>
        <w:rPr>
          <w:rFonts w:hint="default" w:ascii="Times New Roman" w:hAnsi="Times New Roman" w:eastAsia="宋体" w:cs="Times New Roman"/>
          <w:spacing w:val="15"/>
          <w:sz w:val="21"/>
          <w:szCs w:val="21"/>
        </w:rPr>
        <w:t>-</w:t>
      </w:r>
      <w:r>
        <w:rPr>
          <w:rFonts w:hint="default" w:ascii="Times New Roman" w:hAnsi="Times New Roman" w:eastAsia="宋体" w:cs="Times New Roman"/>
          <w:sz w:val="21"/>
          <w:szCs w:val="21"/>
        </w:rPr>
        <w:t>viewofSocialEconomy</w:t>
      </w:r>
      <w:r>
        <w:rPr>
          <w:rFonts w:hint="default" w:ascii="Times New Roman" w:hAnsi="Times New Roman" w:eastAsia="宋体" w:cs="Times New Roman"/>
          <w:spacing w:val="17"/>
          <w:sz w:val="21"/>
          <w:szCs w:val="21"/>
        </w:rPr>
        <w:t>,2020</w:t>
      </w:r>
      <w:r>
        <w:rPr>
          <w:rFonts w:hint="default" w:ascii="Times New Roman" w:hAnsi="Times New Roman" w:eastAsia="宋体" w:cs="Times New Roman"/>
          <w:spacing w:val="17"/>
          <w:position w:val="2"/>
          <w:sz w:val="21"/>
          <w:szCs w:val="21"/>
        </w:rPr>
        <w:t>,</w:t>
      </w:r>
      <w:r>
        <w:rPr>
          <w:rFonts w:hint="default" w:ascii="Times New Roman" w:hAnsi="Times New Roman" w:eastAsia="宋体" w:cs="Times New Roman"/>
          <w:sz w:val="21"/>
          <w:szCs w:val="21"/>
        </w:rPr>
        <w:t>Vol</w:t>
      </w:r>
      <w:r>
        <w:rPr>
          <w:rFonts w:hint="default" w:ascii="Times New Roman" w:hAnsi="Times New Roman" w:eastAsia="宋体" w:cs="Times New Roman"/>
          <w:spacing w:val="17"/>
          <w:sz w:val="21"/>
          <w:szCs w:val="21"/>
        </w:rPr>
        <w:t>.78</w:t>
      </w:r>
      <w:r>
        <w:rPr>
          <w:rFonts w:hint="default" w:ascii="Times New Roman" w:hAnsi="Times New Roman" w:eastAsia="宋体" w:cs="Times New Roman"/>
          <w:spacing w:val="17"/>
          <w:position w:val="2"/>
          <w:sz w:val="21"/>
          <w:szCs w:val="21"/>
        </w:rPr>
        <w:t>,</w:t>
      </w:r>
      <w:r>
        <w:rPr>
          <w:rFonts w:hint="default" w:ascii="Times New Roman" w:hAnsi="Times New Roman" w:eastAsia="宋体" w:cs="Times New Roman"/>
          <w:sz w:val="21"/>
          <w:szCs w:val="21"/>
        </w:rPr>
        <w:t>No</w:t>
      </w:r>
      <w:r>
        <w:rPr>
          <w:rFonts w:hint="default" w:ascii="Times New Roman" w:hAnsi="Times New Roman" w:eastAsia="宋体" w:cs="Times New Roman"/>
          <w:spacing w:val="17"/>
          <w:sz w:val="21"/>
          <w:szCs w:val="21"/>
        </w:rPr>
        <w:t>.1.</w:t>
      </w:r>
    </w:p>
  </w:footnote>
  <w:footnote w:id="358">
    <w:p w14:paraId="1D40F86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3"/>
          <w:sz w:val="21"/>
          <w:szCs w:val="21"/>
        </w:rPr>
        <w:t>CarlosJ.Ricoy,M</w:t>
      </w:r>
      <w:r>
        <w:rPr>
          <w:rFonts w:hint="default" w:ascii="Times New Roman" w:hAnsi="Times New Roman" w:eastAsia="宋体" w:cs="Times New Roman"/>
          <w:spacing w:val="2"/>
          <w:sz w:val="21"/>
          <w:szCs w:val="21"/>
        </w:rPr>
        <w:t>arx</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2"/>
          <w:sz w:val="21"/>
          <w:szCs w:val="21"/>
        </w:rPr>
        <w:t>on</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2"/>
          <w:sz w:val="21"/>
          <w:szCs w:val="21"/>
        </w:rPr>
        <w:t>Division</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2"/>
          <w:sz w:val="21"/>
          <w:szCs w:val="21"/>
        </w:rPr>
        <w:t>of</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2"/>
          <w:sz w:val="21"/>
          <w:szCs w:val="21"/>
        </w:rPr>
        <w:t>Labour</w:t>
      </w:r>
      <w:r>
        <w:rPr>
          <w:rFonts w:hint="default" w:ascii="Times New Roman" w:hAnsi="Times New Roman" w:eastAsia="宋体" w:cs="Times New Roman"/>
          <w:spacing w:val="2"/>
          <w:position w:val="2"/>
          <w:sz w:val="21"/>
          <w:szCs w:val="21"/>
        </w:rPr>
        <w:t>,</w:t>
      </w:r>
      <w:r>
        <w:rPr>
          <w:rFonts w:hint="default" w:ascii="Times New Roman" w:hAnsi="Times New Roman" w:eastAsia="宋体" w:cs="Times New Roman"/>
          <w:spacing w:val="2"/>
          <w:sz w:val="21"/>
          <w:szCs w:val="21"/>
        </w:rPr>
        <w:t>Mechanization</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2"/>
          <w:sz w:val="21"/>
          <w:szCs w:val="21"/>
        </w:rPr>
        <w:t>and</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2"/>
          <w:sz w:val="21"/>
          <w:szCs w:val="21"/>
        </w:rPr>
        <w:t>Technic</w:t>
      </w:r>
      <w:r>
        <w:rPr>
          <w:rFonts w:hint="default" w:ascii="Times New Roman" w:hAnsi="Times New Roman" w:eastAsia="宋体" w:cs="Times New Roman"/>
          <w:spacing w:val="2"/>
          <w:sz w:val="21"/>
          <w:szCs w:val="21"/>
          <w:lang w:val="en-US" w:eastAsia="zh-CN"/>
        </w:rPr>
        <w:t xml:space="preserve">al </w:t>
      </w:r>
      <w:r>
        <w:rPr>
          <w:rFonts w:hint="default" w:ascii="Times New Roman" w:hAnsi="Times New Roman" w:eastAsia="宋体" w:cs="Times New Roman"/>
          <w:spacing w:val="2"/>
          <w:sz w:val="21"/>
          <w:szCs w:val="21"/>
        </w:rPr>
        <w:t>Progress</w:t>
      </w:r>
      <w:r>
        <w:rPr>
          <w:rFonts w:hint="default" w:ascii="Times New Roman" w:hAnsi="Times New Roman" w:eastAsia="宋体" w:cs="Times New Roman"/>
          <w:spacing w:val="2"/>
          <w:position w:val="2"/>
          <w:sz w:val="21"/>
          <w:szCs w:val="21"/>
        </w:rPr>
        <w:t>,</w:t>
      </w:r>
      <w:r>
        <w:rPr>
          <w:rFonts w:hint="default" w:ascii="Times New Roman" w:hAnsi="Times New Roman" w:eastAsia="宋体" w:cs="Times New Roman"/>
          <w:spacing w:val="2"/>
          <w:sz w:val="21"/>
          <w:szCs w:val="21"/>
        </w:rPr>
        <w:t>European</w:t>
      </w:r>
      <w:r>
        <w:rPr>
          <w:rFonts w:hint="default" w:ascii="Times New Roman" w:hAnsi="Times New Roman" w:eastAsia="宋体" w:cs="Times New Roman"/>
          <w:spacing w:val="2"/>
          <w:sz w:val="21"/>
          <w:szCs w:val="21"/>
          <w:lang w:val="en-US" w:eastAsia="zh-CN"/>
        </w:rPr>
        <w:t xml:space="preserve"> </w:t>
      </w:r>
      <w:r>
        <w:rPr>
          <w:rFonts w:hint="default" w:ascii="Times New Roman" w:hAnsi="Times New Roman" w:eastAsia="宋体" w:cs="Times New Roman"/>
          <w:spacing w:val="9"/>
          <w:sz w:val="21"/>
          <w:szCs w:val="21"/>
        </w:rPr>
        <w:t>Journal</w:t>
      </w:r>
      <w:r>
        <w:rPr>
          <w:rFonts w:hint="default" w:ascii="Times New Roman" w:hAnsi="Times New Roman" w:eastAsia="宋体" w:cs="Times New Roman"/>
          <w:spacing w:val="9"/>
          <w:sz w:val="21"/>
          <w:szCs w:val="21"/>
          <w:lang w:val="en-US" w:eastAsia="zh-CN"/>
        </w:rPr>
        <w:t xml:space="preserve"> </w:t>
      </w:r>
      <w:r>
        <w:rPr>
          <w:rFonts w:hint="default" w:ascii="Times New Roman" w:hAnsi="Times New Roman" w:eastAsia="宋体" w:cs="Times New Roman"/>
          <w:spacing w:val="9"/>
          <w:sz w:val="21"/>
          <w:szCs w:val="21"/>
        </w:rPr>
        <w:t>of</w:t>
      </w:r>
      <w:r>
        <w:rPr>
          <w:rFonts w:hint="default" w:ascii="Times New Roman" w:hAnsi="Times New Roman" w:eastAsia="宋体" w:cs="Times New Roman"/>
          <w:spacing w:val="9"/>
          <w:sz w:val="21"/>
          <w:szCs w:val="21"/>
          <w:lang w:val="en-US" w:eastAsia="zh-CN"/>
        </w:rPr>
        <w:t xml:space="preserve"> </w:t>
      </w:r>
      <w:r>
        <w:rPr>
          <w:rFonts w:hint="default" w:ascii="Times New Roman" w:hAnsi="Times New Roman" w:eastAsia="宋体" w:cs="Times New Roman"/>
          <w:spacing w:val="9"/>
          <w:sz w:val="21"/>
          <w:szCs w:val="21"/>
        </w:rPr>
        <w:t>the</w:t>
      </w:r>
      <w:r>
        <w:rPr>
          <w:rFonts w:hint="default" w:ascii="Times New Roman" w:hAnsi="Times New Roman" w:eastAsia="宋体" w:cs="Times New Roman"/>
          <w:spacing w:val="9"/>
          <w:sz w:val="21"/>
          <w:szCs w:val="21"/>
          <w:lang w:val="en-US" w:eastAsia="zh-CN"/>
        </w:rPr>
        <w:t xml:space="preserve"> </w:t>
      </w:r>
      <w:r>
        <w:rPr>
          <w:rFonts w:hint="default" w:ascii="Times New Roman" w:hAnsi="Times New Roman" w:eastAsia="宋体" w:cs="Times New Roman"/>
          <w:spacing w:val="9"/>
          <w:sz w:val="21"/>
          <w:szCs w:val="21"/>
        </w:rPr>
        <w:t>History</w:t>
      </w:r>
      <w:r>
        <w:rPr>
          <w:rFonts w:hint="default" w:ascii="Times New Roman" w:hAnsi="Times New Roman" w:eastAsia="宋体" w:cs="Times New Roman"/>
          <w:spacing w:val="9"/>
          <w:sz w:val="21"/>
          <w:szCs w:val="21"/>
          <w:lang w:val="en-US" w:eastAsia="zh-CN"/>
        </w:rPr>
        <w:t xml:space="preserve"> </w:t>
      </w:r>
      <w:r>
        <w:rPr>
          <w:rFonts w:hint="default" w:ascii="Times New Roman" w:hAnsi="Times New Roman" w:eastAsia="宋体" w:cs="Times New Roman"/>
          <w:spacing w:val="9"/>
          <w:sz w:val="21"/>
          <w:szCs w:val="21"/>
        </w:rPr>
        <w:t>of</w:t>
      </w:r>
      <w:r>
        <w:rPr>
          <w:rFonts w:hint="default" w:ascii="Times New Roman" w:hAnsi="Times New Roman" w:eastAsia="宋体" w:cs="Times New Roman"/>
          <w:spacing w:val="9"/>
          <w:sz w:val="21"/>
          <w:szCs w:val="21"/>
          <w:lang w:val="en-US" w:eastAsia="zh-CN"/>
        </w:rPr>
        <w:t xml:space="preserve"> </w:t>
      </w:r>
      <w:r>
        <w:rPr>
          <w:rFonts w:hint="default" w:ascii="Times New Roman" w:hAnsi="Times New Roman" w:eastAsia="宋体" w:cs="Times New Roman"/>
          <w:spacing w:val="9"/>
          <w:sz w:val="21"/>
          <w:szCs w:val="21"/>
        </w:rPr>
        <w:t>Economic</w:t>
      </w:r>
      <w:r>
        <w:rPr>
          <w:rFonts w:hint="default" w:ascii="Times New Roman" w:hAnsi="Times New Roman" w:eastAsia="宋体" w:cs="Times New Roman"/>
          <w:spacing w:val="9"/>
          <w:sz w:val="21"/>
          <w:szCs w:val="21"/>
          <w:lang w:val="en-US" w:eastAsia="zh-CN"/>
        </w:rPr>
        <w:t xml:space="preserve"> </w:t>
      </w:r>
      <w:r>
        <w:rPr>
          <w:rFonts w:hint="default" w:ascii="Times New Roman" w:hAnsi="Times New Roman" w:eastAsia="宋体" w:cs="Times New Roman"/>
          <w:spacing w:val="9"/>
          <w:sz w:val="21"/>
          <w:szCs w:val="21"/>
        </w:rPr>
        <w:t>Thought</w:t>
      </w:r>
      <w:r>
        <w:rPr>
          <w:rFonts w:hint="default" w:ascii="Times New Roman" w:hAnsi="Times New Roman" w:eastAsia="宋体" w:cs="Times New Roman"/>
          <w:spacing w:val="9"/>
          <w:position w:val="2"/>
          <w:sz w:val="21"/>
          <w:szCs w:val="21"/>
        </w:rPr>
        <w:t>,</w:t>
      </w:r>
      <w:r>
        <w:rPr>
          <w:rFonts w:hint="default" w:ascii="Times New Roman" w:hAnsi="Times New Roman" w:eastAsia="宋体" w:cs="Times New Roman"/>
          <w:spacing w:val="9"/>
          <w:sz w:val="21"/>
          <w:szCs w:val="21"/>
        </w:rPr>
        <w:t>2003</w:t>
      </w:r>
      <w:r>
        <w:rPr>
          <w:rFonts w:hint="default" w:ascii="Times New Roman" w:hAnsi="Times New Roman" w:eastAsia="宋体" w:cs="Times New Roman"/>
          <w:spacing w:val="9"/>
          <w:position w:val="2"/>
          <w:sz w:val="21"/>
          <w:szCs w:val="21"/>
        </w:rPr>
        <w:t>,</w:t>
      </w:r>
      <w:r>
        <w:rPr>
          <w:rFonts w:hint="default" w:ascii="Times New Roman" w:hAnsi="Times New Roman" w:eastAsia="宋体" w:cs="Times New Roman"/>
          <w:spacing w:val="9"/>
          <w:sz w:val="21"/>
          <w:szCs w:val="21"/>
        </w:rPr>
        <w:t>Vol.10</w:t>
      </w:r>
      <w:r>
        <w:rPr>
          <w:rFonts w:hint="default" w:ascii="Times New Roman" w:hAnsi="Times New Roman" w:eastAsia="宋体" w:cs="Times New Roman"/>
          <w:spacing w:val="9"/>
          <w:position w:val="2"/>
          <w:sz w:val="21"/>
          <w:szCs w:val="21"/>
        </w:rPr>
        <w:t>,</w:t>
      </w:r>
      <w:r>
        <w:rPr>
          <w:rFonts w:hint="default" w:ascii="Times New Roman" w:hAnsi="Times New Roman" w:eastAsia="宋体" w:cs="Times New Roman"/>
          <w:spacing w:val="9"/>
          <w:sz w:val="21"/>
          <w:szCs w:val="21"/>
        </w:rPr>
        <w:t>No.1.</w:t>
      </w:r>
    </w:p>
  </w:footnote>
  <w:footnote w:id="359">
    <w:p w14:paraId="468A460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3"/>
          <w:sz w:val="21"/>
          <w:szCs w:val="21"/>
          <w:lang w:eastAsia="zh-CN"/>
        </w:rPr>
        <w:t>李直、刘越:《马克思主义视角下的当代国际</w:t>
      </w:r>
      <w:r>
        <w:rPr>
          <w:rFonts w:hint="default" w:ascii="Times New Roman" w:hAnsi="Times New Roman" w:eastAsia="宋体" w:cs="Times New Roman"/>
          <w:spacing w:val="2"/>
          <w:sz w:val="21"/>
          <w:szCs w:val="21"/>
          <w:lang w:eastAsia="zh-CN"/>
        </w:rPr>
        <w:t>分工理论:缺失、复归与融合》,《政治经济学评论》</w:t>
      </w:r>
      <w:r>
        <w:rPr>
          <w:rFonts w:hint="default" w:ascii="Times New Roman" w:hAnsi="Times New Roman" w:eastAsia="宋体" w:cs="Times New Roman"/>
          <w:spacing w:val="4"/>
          <w:position w:val="-1"/>
          <w:sz w:val="21"/>
          <w:szCs w:val="21"/>
          <w:lang w:eastAsia="zh-CN"/>
        </w:rPr>
        <w:t>2022</w:t>
      </w:r>
      <w:r>
        <w:rPr>
          <w:rFonts w:hint="default" w:ascii="Times New Roman" w:hAnsi="Times New Roman" w:eastAsia="宋体" w:cs="Times New Roman"/>
          <w:spacing w:val="4"/>
          <w:sz w:val="21"/>
          <w:szCs w:val="21"/>
          <w:lang w:eastAsia="zh-CN"/>
        </w:rPr>
        <w:t>年第</w:t>
      </w:r>
      <w:r>
        <w:rPr>
          <w:rFonts w:hint="default" w:ascii="Times New Roman" w:hAnsi="Times New Roman" w:eastAsia="宋体" w:cs="Times New Roman"/>
          <w:spacing w:val="4"/>
          <w:position w:val="-1"/>
          <w:sz w:val="21"/>
          <w:szCs w:val="21"/>
          <w:lang w:eastAsia="zh-CN"/>
        </w:rPr>
        <w:t>5</w:t>
      </w:r>
      <w:r>
        <w:rPr>
          <w:rFonts w:hint="default" w:ascii="Times New Roman" w:hAnsi="Times New Roman" w:eastAsia="宋体" w:cs="Times New Roman"/>
          <w:spacing w:val="4"/>
          <w:sz w:val="21"/>
          <w:szCs w:val="21"/>
          <w:lang w:eastAsia="zh-CN"/>
        </w:rPr>
        <w:t>期</w:t>
      </w:r>
      <w:r>
        <w:rPr>
          <w:rFonts w:hint="default" w:ascii="Times New Roman" w:hAnsi="Times New Roman" w:eastAsia="宋体" w:cs="Times New Roman"/>
          <w:spacing w:val="4"/>
          <w:position w:val="1"/>
          <w:sz w:val="21"/>
          <w:szCs w:val="21"/>
          <w:lang w:eastAsia="zh-CN"/>
        </w:rPr>
        <w:t>。</w:t>
      </w:r>
    </w:p>
  </w:footnote>
  <w:footnote w:id="360">
    <w:p w14:paraId="7BF389A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5"/>
          <w:sz w:val="21"/>
          <w:szCs w:val="21"/>
          <w:lang w:eastAsia="zh-CN"/>
        </w:rPr>
        <w:t>朱燕:《马克思主义分工理论视角下两种经济全球化模式</w:t>
      </w:r>
      <w:r>
        <w:rPr>
          <w:rFonts w:hint="default" w:ascii="Times New Roman" w:hAnsi="Times New Roman" w:eastAsia="宋体" w:cs="Times New Roman"/>
          <w:spacing w:val="4"/>
          <w:sz w:val="21"/>
          <w:szCs w:val="21"/>
          <w:lang w:eastAsia="zh-CN"/>
        </w:rPr>
        <w:t>比较研究》,《马克思主义研究》2017</w:t>
      </w:r>
      <w:r>
        <w:rPr>
          <w:rFonts w:hint="default" w:ascii="Times New Roman" w:hAnsi="Times New Roman" w:eastAsia="宋体" w:cs="Times New Roman"/>
          <w:spacing w:val="3"/>
          <w:sz w:val="21"/>
          <w:szCs w:val="21"/>
          <w:lang w:eastAsia="zh-CN"/>
        </w:rPr>
        <w:t>年第</w:t>
      </w:r>
      <w:r>
        <w:rPr>
          <w:rFonts w:hint="default" w:ascii="Times New Roman" w:hAnsi="Times New Roman" w:eastAsia="宋体" w:cs="Times New Roman"/>
          <w:spacing w:val="3"/>
          <w:position w:val="-1"/>
          <w:sz w:val="21"/>
          <w:szCs w:val="21"/>
          <w:lang w:eastAsia="zh-CN"/>
        </w:rPr>
        <w:t>10</w:t>
      </w:r>
      <w:r>
        <w:rPr>
          <w:rFonts w:hint="default" w:ascii="Times New Roman" w:hAnsi="Times New Roman" w:eastAsia="宋体" w:cs="Times New Roman"/>
          <w:spacing w:val="3"/>
          <w:sz w:val="21"/>
          <w:szCs w:val="21"/>
          <w:lang w:eastAsia="zh-CN"/>
        </w:rPr>
        <w:t>期。</w:t>
      </w:r>
    </w:p>
  </w:footnote>
  <w:footnote w:id="361">
    <w:p w14:paraId="4C136FF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〔埃及〕萨米尔·阿明:《世界规模的积累:欠发达理论批判》,杨明柱等译,北京:社会科学文献</w:t>
      </w:r>
      <w:r>
        <w:rPr>
          <w:rFonts w:hint="default" w:ascii="Times New Roman" w:hAnsi="Times New Roman" w:eastAsia="宋体" w:cs="Times New Roman"/>
          <w:spacing w:val="7"/>
          <w:sz w:val="21"/>
          <w:szCs w:val="21"/>
          <w:lang w:eastAsia="zh-CN"/>
        </w:rPr>
        <w:t>出版社,</w:t>
      </w:r>
      <w:r>
        <w:rPr>
          <w:rFonts w:hint="default" w:ascii="Times New Roman" w:hAnsi="Times New Roman" w:eastAsia="宋体" w:cs="Times New Roman"/>
          <w:spacing w:val="7"/>
          <w:position w:val="-1"/>
          <w:sz w:val="21"/>
          <w:szCs w:val="21"/>
          <w:lang w:eastAsia="zh-CN"/>
        </w:rPr>
        <w:t>2016</w:t>
      </w:r>
      <w:r>
        <w:rPr>
          <w:rFonts w:hint="default" w:ascii="Times New Roman" w:hAnsi="Times New Roman" w:eastAsia="宋体" w:cs="Times New Roman"/>
          <w:spacing w:val="7"/>
          <w:sz w:val="21"/>
          <w:szCs w:val="21"/>
          <w:lang w:eastAsia="zh-CN"/>
        </w:rPr>
        <w:t>年,第</w:t>
      </w:r>
      <w:r>
        <w:rPr>
          <w:rFonts w:hint="default" w:ascii="Times New Roman" w:hAnsi="Times New Roman" w:eastAsia="宋体" w:cs="Times New Roman"/>
          <w:spacing w:val="7"/>
          <w:position w:val="-1"/>
          <w:sz w:val="21"/>
          <w:szCs w:val="21"/>
          <w:lang w:eastAsia="zh-CN"/>
        </w:rPr>
        <w:t>7</w:t>
      </w:r>
      <w:r>
        <w:rPr>
          <w:rFonts w:hint="default" w:ascii="Times New Roman" w:hAnsi="Times New Roman" w:eastAsia="宋体" w:cs="Times New Roman"/>
          <w:spacing w:val="7"/>
          <w:sz w:val="21"/>
          <w:szCs w:val="21"/>
          <w:lang w:eastAsia="zh-CN"/>
        </w:rPr>
        <w:t>页</w:t>
      </w:r>
      <w:r>
        <w:rPr>
          <w:rFonts w:hint="default" w:ascii="Times New Roman" w:hAnsi="Times New Roman" w:eastAsia="宋体" w:cs="Times New Roman"/>
          <w:spacing w:val="7"/>
          <w:position w:val="1"/>
          <w:sz w:val="21"/>
          <w:szCs w:val="21"/>
          <w:lang w:eastAsia="zh-CN"/>
        </w:rPr>
        <w:t>。</w:t>
      </w:r>
    </w:p>
  </w:footnote>
  <w:footnote w:id="362">
    <w:p w14:paraId="05DCEFC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8"/>
          <w:sz w:val="21"/>
          <w:szCs w:val="21"/>
          <w:lang w:eastAsia="zh-CN"/>
        </w:rPr>
        <w:t>参见〔阿根廷〕劳尔·普雷维什:《外围资本主义:危机与改造》,苏振兴等译,北京:商务印书</w:t>
      </w:r>
      <w:r>
        <w:rPr>
          <w:rFonts w:hint="default" w:ascii="Times New Roman" w:hAnsi="Times New Roman" w:eastAsia="宋体" w:cs="Times New Roman"/>
          <w:spacing w:val="7"/>
          <w:sz w:val="21"/>
          <w:szCs w:val="21"/>
          <w:lang w:eastAsia="zh-CN"/>
        </w:rPr>
        <w:t>馆,</w:t>
      </w:r>
      <w:r>
        <w:rPr>
          <w:rFonts w:hint="default" w:ascii="Times New Roman" w:hAnsi="Times New Roman" w:eastAsia="宋体" w:cs="Times New Roman"/>
          <w:spacing w:val="7"/>
          <w:position w:val="-1"/>
          <w:sz w:val="21"/>
          <w:szCs w:val="21"/>
          <w:lang w:eastAsia="zh-CN"/>
        </w:rPr>
        <w:t>2015</w:t>
      </w:r>
      <w:r>
        <w:rPr>
          <w:rFonts w:hint="default" w:ascii="Times New Roman" w:hAnsi="Times New Roman" w:eastAsia="宋体" w:cs="Times New Roman"/>
          <w:spacing w:val="7"/>
          <w:sz w:val="21"/>
          <w:szCs w:val="21"/>
          <w:lang w:eastAsia="zh-CN"/>
        </w:rPr>
        <w:t>年;〔巴西〕特奥托尼奥·多斯桑托斯:《帝国主义与</w:t>
      </w:r>
      <w:r>
        <w:rPr>
          <w:rFonts w:hint="default" w:ascii="Times New Roman" w:hAnsi="Times New Roman" w:eastAsia="宋体" w:cs="Times New Roman"/>
          <w:spacing w:val="6"/>
          <w:sz w:val="21"/>
          <w:szCs w:val="21"/>
          <w:lang w:eastAsia="zh-CN"/>
        </w:rPr>
        <w:t>依附》,杨衍永等译,北京:社会科学文献出版社,</w:t>
      </w:r>
      <w:r>
        <w:rPr>
          <w:rFonts w:hint="default" w:ascii="Times New Roman" w:hAnsi="Times New Roman" w:eastAsia="宋体" w:cs="Times New Roman"/>
          <w:spacing w:val="6"/>
          <w:position w:val="-1"/>
          <w:sz w:val="21"/>
          <w:szCs w:val="21"/>
          <w:lang w:eastAsia="zh-CN"/>
        </w:rPr>
        <w:t>2017</w:t>
      </w:r>
      <w:r>
        <w:rPr>
          <w:rFonts w:hint="default" w:ascii="Times New Roman" w:hAnsi="Times New Roman" w:eastAsia="宋体" w:cs="Times New Roman"/>
          <w:spacing w:val="6"/>
          <w:sz w:val="21"/>
          <w:szCs w:val="21"/>
          <w:lang w:eastAsia="zh-CN"/>
        </w:rPr>
        <w:t>年;〔美〕伊曼纽尔·沃勒斯坦:《现代世界体系》(四卷本),吴英译,北京:社会科学文献出版社,</w:t>
      </w:r>
      <w:r>
        <w:rPr>
          <w:rFonts w:hint="default" w:ascii="Times New Roman" w:hAnsi="Times New Roman" w:eastAsia="宋体" w:cs="Times New Roman"/>
          <w:spacing w:val="6"/>
          <w:position w:val="-1"/>
          <w:sz w:val="21"/>
          <w:szCs w:val="21"/>
          <w:lang w:eastAsia="zh-CN"/>
        </w:rPr>
        <w:t>2013</w:t>
      </w:r>
      <w:r>
        <w:rPr>
          <w:rFonts w:hint="default" w:ascii="Times New Roman" w:hAnsi="Times New Roman" w:eastAsia="宋体" w:cs="Times New Roman"/>
          <w:spacing w:val="6"/>
          <w:sz w:val="21"/>
          <w:szCs w:val="21"/>
          <w:lang w:eastAsia="zh-CN"/>
        </w:rPr>
        <w:t>年</w:t>
      </w:r>
      <w:r>
        <w:rPr>
          <w:rFonts w:hint="default" w:ascii="Times New Roman" w:hAnsi="Times New Roman" w:eastAsia="宋体" w:cs="Times New Roman"/>
          <w:spacing w:val="6"/>
          <w:position w:val="1"/>
          <w:sz w:val="21"/>
          <w:szCs w:val="21"/>
          <w:lang w:eastAsia="zh-CN"/>
        </w:rPr>
        <w:t>。</w:t>
      </w:r>
    </w:p>
  </w:footnote>
  <w:footnote w:id="363">
    <w:p w14:paraId="6C707DC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1"/>
          <w:sz w:val="21"/>
          <w:szCs w:val="21"/>
          <w:lang w:eastAsia="zh-CN"/>
        </w:rPr>
        <w:t>卢锋:《产品内分工》,《经济学季刊》2004年第</w:t>
      </w:r>
      <w:r>
        <w:rPr>
          <w:rFonts w:hint="default" w:ascii="Times New Roman" w:hAnsi="Times New Roman" w:eastAsia="宋体" w:cs="Times New Roman"/>
          <w:spacing w:val="-1"/>
          <w:position w:val="-1"/>
          <w:sz w:val="21"/>
          <w:szCs w:val="21"/>
          <w:lang w:eastAsia="zh-CN"/>
        </w:rPr>
        <w:t>1</w:t>
      </w:r>
      <w:r>
        <w:rPr>
          <w:rFonts w:hint="default" w:ascii="Times New Roman" w:hAnsi="Times New Roman" w:eastAsia="宋体" w:cs="Times New Roman"/>
          <w:spacing w:val="-1"/>
          <w:sz w:val="21"/>
          <w:szCs w:val="21"/>
          <w:lang w:eastAsia="zh-CN"/>
        </w:rPr>
        <w:t>期。</w:t>
      </w:r>
    </w:p>
  </w:footnote>
  <w:footnote w:id="364">
    <w:p w14:paraId="5F99BE1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5"/>
          <w:sz w:val="21"/>
          <w:szCs w:val="21"/>
          <w:lang w:eastAsia="zh-CN"/>
        </w:rPr>
        <w:t>宋宪萍、贾芸菲:《全球价值链的深度嵌入与技术进步</w:t>
      </w:r>
      <w:r>
        <w:rPr>
          <w:rFonts w:hint="default" w:ascii="Times New Roman" w:hAnsi="Times New Roman" w:eastAsia="宋体" w:cs="Times New Roman"/>
          <w:spacing w:val="4"/>
          <w:sz w:val="21"/>
          <w:szCs w:val="21"/>
          <w:lang w:eastAsia="zh-CN"/>
        </w:rPr>
        <w:t>关系的机理与测算》,《经济纵横》2019</w:t>
      </w:r>
      <w:r>
        <w:rPr>
          <w:rFonts w:hint="default" w:ascii="Times New Roman" w:hAnsi="Times New Roman" w:eastAsia="宋体" w:cs="Times New Roman"/>
          <w:spacing w:val="3"/>
          <w:sz w:val="21"/>
          <w:szCs w:val="21"/>
          <w:lang w:eastAsia="zh-CN"/>
        </w:rPr>
        <w:t>年第</w:t>
      </w:r>
      <w:r>
        <w:rPr>
          <w:rFonts w:hint="default" w:ascii="Times New Roman" w:hAnsi="Times New Roman" w:eastAsia="宋体" w:cs="Times New Roman"/>
          <w:spacing w:val="3"/>
          <w:position w:val="-1"/>
          <w:sz w:val="21"/>
          <w:szCs w:val="21"/>
          <w:lang w:eastAsia="zh-CN"/>
        </w:rPr>
        <w:t>12</w:t>
      </w:r>
      <w:r>
        <w:rPr>
          <w:rFonts w:hint="default" w:ascii="Times New Roman" w:hAnsi="Times New Roman" w:eastAsia="宋体" w:cs="Times New Roman"/>
          <w:spacing w:val="3"/>
          <w:sz w:val="21"/>
          <w:szCs w:val="21"/>
          <w:lang w:eastAsia="zh-CN"/>
        </w:rPr>
        <w:t>期。</w:t>
      </w:r>
    </w:p>
  </w:footnote>
  <w:footnote w:id="365">
    <w:p w14:paraId="5752FE9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default" w:ascii="Times New Roman" w:hAnsi="Times New Roman" w:eastAsia="宋体" w:cs="Times New Roman"/>
          <w:sz w:val="21"/>
          <w:szCs w:val="21"/>
        </w:rPr>
      </w:pPr>
      <w:r>
        <w:rPr>
          <w:rStyle w:val="20"/>
          <w:rFonts w:hint="default" w:ascii="Times New Roman" w:hAnsi="Times New Roman" w:eastAsia="宋体" w:cs="Times New Roman"/>
          <w:sz w:val="21"/>
          <w:szCs w:val="21"/>
        </w:rPr>
        <w:footnoteRef/>
      </w:r>
      <w:r>
        <w:rPr>
          <w:rFonts w:hint="default" w:ascii="Times New Roman" w:hAnsi="Times New Roman" w:eastAsia="宋体" w:cs="Times New Roman"/>
          <w:spacing w:val="2"/>
          <w:sz w:val="21"/>
          <w:szCs w:val="21"/>
          <w:lang w:eastAsia="zh-CN"/>
        </w:rPr>
        <w:t>宋宪萍:《数据资本的利润来源及其极化效应》,《马克思主义研究》2022年第</w:t>
      </w:r>
      <w:r>
        <w:rPr>
          <w:rFonts w:hint="default" w:ascii="Times New Roman" w:hAnsi="Times New Roman" w:eastAsia="宋体" w:cs="Times New Roman"/>
          <w:spacing w:val="2"/>
          <w:position w:val="-1"/>
          <w:sz w:val="21"/>
          <w:szCs w:val="21"/>
          <w:lang w:eastAsia="zh-CN"/>
        </w:rPr>
        <w:t>5</w:t>
      </w:r>
      <w:r>
        <w:rPr>
          <w:rFonts w:hint="default" w:ascii="Times New Roman" w:hAnsi="Times New Roman" w:eastAsia="宋体" w:cs="Times New Roman"/>
          <w:spacing w:val="2"/>
          <w:sz w:val="21"/>
          <w:szCs w:val="21"/>
          <w:lang w:eastAsia="zh-CN"/>
        </w:rPr>
        <w:t>期。</w:t>
      </w:r>
    </w:p>
  </w:footnote>
  <w:footnote w:id="366">
    <w:p w14:paraId="3DD174D2">
      <w:pPr>
        <w:pStyle w:val="11"/>
        <w:keepNext w:val="0"/>
        <w:pageBreakBefore w:val="0"/>
        <w:wordWrap/>
        <w:overflowPunct/>
        <w:topLinePunct w:val="0"/>
        <w:bidi w:val="0"/>
        <w:spacing w:line="240" w:lineRule="auto"/>
        <w:ind w:left="0" w:firstLine="0" w:firstLineChars="0"/>
        <w:rPr>
          <w:color w:val="000000" w:themeColor="text1"/>
          <w:sz w:val="21"/>
          <w:szCs w:val="21"/>
          <w14:textFill>
            <w14:solidFill>
              <w14:schemeClr w14:val="tx1"/>
            </w14:solidFill>
          </w14:textFill>
        </w:rPr>
      </w:pPr>
      <w:r>
        <w:rPr>
          <w:rStyle w:val="20"/>
        </w:rPr>
        <w:footnoteRef/>
      </w:r>
      <w:r>
        <w:rPr>
          <w:rFonts w:hint="eastAsia"/>
        </w:rPr>
        <w:t xml:space="preserve"> </w:t>
      </w:r>
      <w:r>
        <w:rPr>
          <w:rFonts w:ascii="宋体" w:hAnsi="宋体" w:eastAsia="宋体" w:cs="Times New Roman"/>
          <w:color w:val="000000" w:themeColor="text1"/>
          <w:sz w:val="21"/>
          <w:szCs w:val="21"/>
          <w14:textFill>
            <w14:solidFill>
              <w14:schemeClr w14:val="tx1"/>
            </w14:solidFill>
          </w14:textFill>
        </w:rPr>
        <w:t>国际货币经济组织</w:t>
      </w:r>
      <w:r>
        <w:rPr>
          <w:rFonts w:ascii="Times New Roman" w:hAnsi="Times New Roman" w:cs="Times New Roman"/>
          <w:color w:val="000000" w:themeColor="text1"/>
          <w:sz w:val="21"/>
          <w:szCs w:val="21"/>
          <w14:textFill>
            <w14:solidFill>
              <w14:schemeClr w14:val="tx1"/>
            </w14:solidFill>
          </w14:textFill>
        </w:rPr>
        <w:t xml:space="preserve">： </w:t>
      </w:r>
      <w:r>
        <w:fldChar w:fldCharType="begin"/>
      </w:r>
      <w:r>
        <w:instrText xml:space="preserve"> HYPERLINK "https://www.imf.org/en/Publications/WEO/Issues/2023/01/31/world-economic-outlook-update-january-2023" </w:instrText>
      </w:r>
      <w:r>
        <w:fldChar w:fldCharType="separate"/>
      </w:r>
      <w:r>
        <w:rPr>
          <w:rStyle w:val="19"/>
          <w:rFonts w:ascii="Times New Roman" w:hAnsi="Times New Roman" w:cs="Times New Roman"/>
          <w:color w:val="000000" w:themeColor="text1"/>
          <w:sz w:val="21"/>
          <w:szCs w:val="21"/>
          <w14:textFill>
            <w14:solidFill>
              <w14:schemeClr w14:val="tx1"/>
            </w14:solidFill>
          </w14:textFill>
        </w:rPr>
        <w:t>https://www.imf.org/en/Publications/WEO/Issues/2023/01/31/world-economic-outlook-update-january-2023</w:t>
      </w:r>
      <w:r>
        <w:rPr>
          <w:rStyle w:val="19"/>
          <w:rFonts w:ascii="Times New Roman" w:hAnsi="Times New Roman" w:cs="Times New Roman"/>
          <w:color w:val="000000" w:themeColor="text1"/>
          <w:sz w:val="21"/>
          <w:szCs w:val="21"/>
          <w14:textFill>
            <w14:solidFill>
              <w14:schemeClr w14:val="tx1"/>
            </w14:solidFill>
          </w14:textFill>
        </w:rPr>
        <w:fldChar w:fldCharType="end"/>
      </w:r>
      <w:r>
        <w:rPr>
          <w:rFonts w:ascii="Times New Roman" w:hAnsi="Times New Roman" w:cs="Times New Roman"/>
          <w:color w:val="000000" w:themeColor="text1"/>
          <w:sz w:val="21"/>
          <w:szCs w:val="21"/>
          <w14:textFill>
            <w14:solidFill>
              <w14:schemeClr w14:val="tx1"/>
            </w14:solidFill>
          </w14:textFill>
        </w:rPr>
        <w:t>，</w:t>
      </w:r>
      <w:r>
        <w:rPr>
          <w:rFonts w:ascii="宋体" w:hAnsi="宋体" w:eastAsia="宋体" w:cs="Times New Roman"/>
          <w:color w:val="000000" w:themeColor="text1"/>
          <w:sz w:val="21"/>
          <w:szCs w:val="21"/>
          <w14:textFill>
            <w14:solidFill>
              <w14:schemeClr w14:val="tx1"/>
            </w14:solidFill>
          </w14:textFill>
        </w:rPr>
        <w:t>访问时间</w:t>
      </w:r>
      <w:r>
        <w:rPr>
          <w:rFonts w:ascii="Times New Roman" w:hAnsi="Times New Roman" w:cs="Times New Roman"/>
          <w:color w:val="000000" w:themeColor="text1"/>
          <w:sz w:val="21"/>
          <w:szCs w:val="21"/>
          <w14:textFill>
            <w14:solidFill>
              <w14:schemeClr w14:val="tx1"/>
            </w14:solidFill>
          </w14:textFill>
        </w:rPr>
        <w:t>：2023-02-10</w:t>
      </w:r>
      <w:r>
        <w:rPr>
          <w:rFonts w:hint="eastAsia"/>
          <w:color w:val="000000" w:themeColor="text1"/>
          <w:sz w:val="21"/>
          <w:szCs w:val="21"/>
          <w14:textFill>
            <w14:solidFill>
              <w14:schemeClr w14:val="tx1"/>
            </w14:solidFill>
          </w14:textFill>
        </w:rPr>
        <w:t>。</w:t>
      </w:r>
    </w:p>
  </w:footnote>
  <w:footnote w:id="367">
    <w:p w14:paraId="54E0EE12">
      <w:pPr>
        <w:pStyle w:val="11"/>
        <w:keepNext w:val="0"/>
        <w:pageBreakBefore w:val="0"/>
        <w:wordWrap/>
        <w:overflowPunct/>
        <w:topLinePunct w:val="0"/>
        <w:bidi w:val="0"/>
        <w:spacing w:line="240" w:lineRule="auto"/>
        <w:ind w:left="0" w:firstLine="0" w:firstLineChars="0"/>
        <w:rPr>
          <w:color w:val="000000" w:themeColor="text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宋体" w:hAnsi="宋体" w:eastAsia="宋体" w:cs="Times New Roman"/>
          <w:color w:val="000000" w:themeColor="text1"/>
          <w:sz w:val="21"/>
          <w:szCs w:val="21"/>
          <w14:textFill>
            <w14:solidFill>
              <w14:schemeClr w14:val="tx1"/>
            </w14:solidFill>
          </w14:textFill>
        </w:rPr>
        <w:t>联合国</w:t>
      </w:r>
      <w:r>
        <w:rPr>
          <w:rFonts w:ascii="Times New Roman" w:hAnsi="Times New Roman" w:cs="Times New Roman"/>
          <w:color w:val="000000" w:themeColor="text1"/>
          <w:sz w:val="21"/>
          <w:szCs w:val="21"/>
          <w14:textFill>
            <w14:solidFill>
              <w14:schemeClr w14:val="tx1"/>
            </w14:solidFill>
          </w14:textFill>
        </w:rPr>
        <w:t>：</w:t>
      </w:r>
      <w:r>
        <w:fldChar w:fldCharType="begin"/>
      </w:r>
      <w:r>
        <w:instrText xml:space="preserve"> HYPERLINK "https://www.un.org/zh/202114" </w:instrText>
      </w:r>
      <w:r>
        <w:fldChar w:fldCharType="separate"/>
      </w:r>
      <w:r>
        <w:rPr>
          <w:rStyle w:val="19"/>
          <w:rFonts w:ascii="Times New Roman" w:hAnsi="Times New Roman" w:cs="Times New Roman"/>
          <w:color w:val="000000" w:themeColor="text1"/>
          <w:sz w:val="21"/>
          <w:szCs w:val="21"/>
          <w14:textFill>
            <w14:solidFill>
              <w14:schemeClr w14:val="tx1"/>
            </w14:solidFill>
          </w14:textFill>
        </w:rPr>
        <w:t>https://www.un.org/zh/202114</w:t>
      </w:r>
      <w:r>
        <w:rPr>
          <w:rStyle w:val="19"/>
          <w:rFonts w:ascii="Times New Roman" w:hAnsi="Times New Roman" w:cs="Times New Roman"/>
          <w:color w:val="000000" w:themeColor="text1"/>
          <w:sz w:val="21"/>
          <w:szCs w:val="21"/>
          <w14:textFill>
            <w14:solidFill>
              <w14:schemeClr w14:val="tx1"/>
            </w14:solidFill>
          </w14:textFill>
        </w:rPr>
        <w:fldChar w:fldCharType="end"/>
      </w:r>
      <w:r>
        <w:rPr>
          <w:rFonts w:ascii="Times New Roman" w:hAnsi="Times New Roman" w:cs="Times New Roman"/>
          <w:color w:val="000000" w:themeColor="text1"/>
          <w:sz w:val="21"/>
          <w:szCs w:val="21"/>
          <w14:textFill>
            <w14:solidFill>
              <w14:schemeClr w14:val="tx1"/>
            </w14:solidFill>
          </w14:textFill>
        </w:rPr>
        <w:t>，</w:t>
      </w:r>
      <w:r>
        <w:rPr>
          <w:rFonts w:ascii="宋体" w:hAnsi="宋体" w:eastAsia="宋体" w:cs="Times New Roman"/>
          <w:color w:val="000000" w:themeColor="text1"/>
          <w:sz w:val="21"/>
          <w:szCs w:val="21"/>
          <w14:textFill>
            <w14:solidFill>
              <w14:schemeClr w14:val="tx1"/>
            </w14:solidFill>
          </w14:textFill>
        </w:rPr>
        <w:t>访问时间</w:t>
      </w:r>
      <w:r>
        <w:rPr>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2023-02-10</w:t>
      </w:r>
      <w:r>
        <w:rPr>
          <w:rFonts w:hint="eastAsia"/>
          <w:color w:val="000000" w:themeColor="text1"/>
          <w:sz w:val="21"/>
          <w:szCs w:val="21"/>
          <w14:textFill>
            <w14:solidFill>
              <w14:schemeClr w14:val="tx1"/>
            </w14:solidFill>
          </w14:textFill>
        </w:rPr>
        <w:t>。</w:t>
      </w:r>
    </w:p>
  </w:footnote>
  <w:footnote w:id="368">
    <w:p w14:paraId="7EB136BD">
      <w:pPr>
        <w:pStyle w:val="11"/>
        <w:keepNext w:val="0"/>
        <w:pageBreakBefore w:val="0"/>
        <w:wordWrap/>
        <w:overflowPunct/>
        <w:topLinePunct w:val="0"/>
        <w:bidi w:val="0"/>
        <w:spacing w:line="240" w:lineRule="auto"/>
        <w:ind w:left="0" w:firstLine="0" w:firstLineChars="0"/>
        <w:jc w:val="both"/>
        <w:rPr>
          <w:rFonts w:ascii="Times New Roman" w:hAnsi="Times New Roman" w:cs="Times New Roman"/>
          <w:color w:val="000000" w:themeColor="text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hint="eastAsia" w:ascii="宋体" w:hAnsi="宋体" w:eastAsia="宋体"/>
          <w:color w:val="000000" w:themeColor="text1"/>
          <w:sz w:val="21"/>
          <w:szCs w:val="21"/>
          <w14:textFill>
            <w14:solidFill>
              <w14:schemeClr w14:val="tx1"/>
            </w14:solidFill>
          </w14:textFill>
        </w:rPr>
        <w:t>世界</w:t>
      </w:r>
      <w:r>
        <w:rPr>
          <w:rFonts w:ascii="宋体" w:hAnsi="宋体" w:eastAsia="宋体"/>
          <w:color w:val="000000" w:themeColor="text1"/>
          <w:sz w:val="21"/>
          <w:szCs w:val="21"/>
          <w14:textFill>
            <w14:solidFill>
              <w14:schemeClr w14:val="tx1"/>
            </w14:solidFill>
          </w14:textFill>
        </w:rPr>
        <w:t>银行</w:t>
      </w:r>
      <w:r>
        <w:rPr>
          <w:rFonts w:ascii="Times New Roman" w:hAnsi="Times New Roman" w:cs="Times New Roman"/>
          <w:color w:val="000000" w:themeColor="text1"/>
          <w:sz w:val="21"/>
          <w:szCs w:val="21"/>
          <w14:textFill>
            <w14:solidFill>
              <w14:schemeClr w14:val="tx1"/>
            </w14:solidFill>
          </w14:textFill>
        </w:rPr>
        <w:t>：https://www.worldbank.org/en/publication/global-economic-prospects，</w:t>
      </w:r>
      <w:r>
        <w:rPr>
          <w:rFonts w:ascii="宋体" w:hAnsi="宋体" w:eastAsia="宋体" w:cs="Times New Roman"/>
          <w:color w:val="000000" w:themeColor="text1"/>
          <w:sz w:val="21"/>
          <w:szCs w:val="21"/>
          <w14:textFill>
            <w14:solidFill>
              <w14:schemeClr w14:val="tx1"/>
            </w14:solidFill>
          </w14:textFill>
        </w:rPr>
        <w:t>访问时间</w:t>
      </w:r>
      <w:r>
        <w:rPr>
          <w:rFonts w:ascii="Times New Roman" w:hAnsi="Times New Roman" w:cs="Times New Roman"/>
          <w:color w:val="000000" w:themeColor="text1"/>
          <w:sz w:val="21"/>
          <w:szCs w:val="21"/>
          <w14:textFill>
            <w14:solidFill>
              <w14:schemeClr w14:val="tx1"/>
            </w14:solidFill>
          </w14:textFill>
        </w:rPr>
        <w:t>：2023-02-10。</w:t>
      </w:r>
    </w:p>
  </w:footnote>
  <w:footnote w:id="369">
    <w:p w14:paraId="3A496FA0">
      <w:pPr>
        <w:pStyle w:val="11"/>
        <w:keepNext w:val="0"/>
        <w:pageBreakBefore w:val="0"/>
        <w:wordWrap/>
        <w:overflowPunct/>
        <w:topLinePunct w:val="0"/>
        <w:bidi w:val="0"/>
        <w:spacing w:line="240" w:lineRule="auto"/>
        <w:ind w:left="0" w:firstLine="0" w:firstLineChars="0"/>
        <w:jc w:val="both"/>
        <w:rPr>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hint="eastAsia" w:ascii="宋体" w:hAnsi="宋体" w:eastAsia="宋体"/>
          <w:color w:val="000000" w:themeColor="text1"/>
          <w:sz w:val="21"/>
          <w:szCs w:val="21"/>
          <w14:textFill>
            <w14:solidFill>
              <w14:schemeClr w14:val="tx1"/>
            </w14:solidFill>
          </w14:textFill>
        </w:rPr>
        <w:t>刘露馨：《</w:t>
      </w:r>
      <w:r>
        <w:rPr>
          <w:rFonts w:ascii="宋体" w:hAnsi="宋体" w:eastAsia="宋体"/>
          <w:color w:val="000000" w:themeColor="text1"/>
          <w:sz w:val="21"/>
          <w:szCs w:val="21"/>
          <w14:textFill>
            <w14:solidFill>
              <w14:schemeClr w14:val="tx1"/>
            </w14:solidFill>
          </w14:textFill>
        </w:rPr>
        <w:t>重塑“利维坦”——大国竞争与美国式发展型国家的建构</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世界经济与政治</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2022</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第10</w:t>
      </w:r>
      <w:r>
        <w:rPr>
          <w:rFonts w:hint="eastAsia" w:ascii="宋体" w:hAnsi="宋体" w:eastAsia="宋体"/>
          <w:color w:val="000000" w:themeColor="text1"/>
          <w:sz w:val="21"/>
          <w:szCs w:val="21"/>
          <w14:textFill>
            <w14:solidFill>
              <w14:schemeClr w14:val="tx1"/>
            </w14:solidFill>
          </w14:textFill>
        </w:rPr>
        <w:t>期。</w:t>
      </w:r>
    </w:p>
  </w:footnote>
  <w:footnote w:id="370">
    <w:p w14:paraId="4A45F120">
      <w:pPr>
        <w:pStyle w:val="11"/>
        <w:keepNext w:val="0"/>
        <w:pageBreakBefore w:val="0"/>
        <w:wordWrap/>
        <w:overflowPunct/>
        <w:topLinePunct w:val="0"/>
        <w:bidi w:val="0"/>
        <w:spacing w:line="240" w:lineRule="auto"/>
        <w:ind w:left="0" w:firstLine="0" w:firstLineChars="0"/>
        <w:jc w:val="both"/>
        <w:rPr>
          <w:rFonts w:ascii="Times New Roman" w:hAnsi="Times New Roman" w:cs="Times New Roman"/>
          <w:color w:val="00B050"/>
          <w:sz w:val="21"/>
          <w:szCs w:val="21"/>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Times New Roman" w:hAnsi="Times New Roman" w:cs="Times New Roman"/>
          <w:color w:val="000000" w:themeColor="text1"/>
          <w:sz w:val="21"/>
          <w:szCs w:val="21"/>
          <w14:textFill>
            <w14:solidFill>
              <w14:schemeClr w14:val="tx1"/>
            </w14:solidFill>
          </w14:textFill>
        </w:rPr>
        <w:t>M. Ayhan Kose et al.</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“The Aftermath of Debt Surges”</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w:t>
      </w:r>
      <w:r>
        <w:rPr>
          <w:rFonts w:ascii="Times New Roman" w:hAnsi="Times New Roman" w:cs="Times New Roman"/>
          <w:i/>
          <w:color w:val="000000" w:themeColor="text1"/>
          <w:sz w:val="21"/>
          <w:szCs w:val="21"/>
          <w14:textFill>
            <w14:solidFill>
              <w14:schemeClr w14:val="tx1"/>
            </w14:solidFill>
          </w14:textFill>
        </w:rPr>
        <w:t>Annual Review of Economics</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w:t>
      </w:r>
      <w:r>
        <w:rPr>
          <w:rFonts w:ascii="Times New Roman" w:hAnsi="Times New Roman" w:cs="Times New Roman"/>
          <w:sz w:val="21"/>
          <w:szCs w:val="21"/>
        </w:rPr>
        <w:t>vol.</w:t>
      </w:r>
      <w:r>
        <w:rPr>
          <w:rFonts w:ascii="Times New Roman" w:hAnsi="Times New Roman" w:cs="Times New Roman"/>
          <w:color w:val="000000" w:themeColor="text1"/>
          <w:sz w:val="21"/>
          <w:szCs w:val="21"/>
          <w14:textFill>
            <w14:solidFill>
              <w14:schemeClr w14:val="tx1"/>
            </w14:solidFill>
          </w14:textFill>
        </w:rPr>
        <w:t>14</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w:t>
      </w:r>
      <w:r>
        <w:rPr>
          <w:rFonts w:hint="eastAsia" w:ascii="Times New Roman" w:hAnsi="Times New Roman" w:cs="Times New Roman"/>
          <w:color w:val="000000" w:themeColor="text1"/>
          <w:sz w:val="21"/>
          <w:szCs w:val="21"/>
          <w14:textFill>
            <w14:solidFill>
              <w14:schemeClr w14:val="tx1"/>
            </w14:solidFill>
          </w14:textFill>
        </w:rPr>
        <w:t>(20</w:t>
      </w:r>
      <w:r>
        <w:rPr>
          <w:rFonts w:ascii="Times New Roman" w:hAnsi="Times New Roman" w:cs="Times New Roman"/>
          <w:color w:val="000000" w:themeColor="text1"/>
          <w:sz w:val="21"/>
          <w:szCs w:val="21"/>
          <w14:textFill>
            <w14:solidFill>
              <w14:schemeClr w14:val="tx1"/>
            </w14:solidFill>
          </w14:textFill>
        </w:rPr>
        <w:t>22</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w:t>
      </w:r>
      <w:r>
        <w:rPr>
          <w:rFonts w:hint="eastAsia" w:ascii="Times New Roman" w:hAnsi="Times New Roman" w:cs="Times New Roman"/>
          <w:color w:val="000000" w:themeColor="text1"/>
          <w:sz w:val="21"/>
          <w:szCs w:val="21"/>
          <w14:textFill>
            <w14:solidFill>
              <w14:schemeClr w14:val="tx1"/>
            </w14:solidFill>
          </w14:textFill>
        </w:rPr>
        <w:t>pp.</w:t>
      </w:r>
      <w:r>
        <w:rPr>
          <w:rFonts w:ascii="Times New Roman" w:hAnsi="Times New Roman" w:cs="Times New Roman"/>
          <w:color w:val="000000" w:themeColor="text1"/>
          <w:sz w:val="21"/>
          <w:szCs w:val="21"/>
          <w14:textFill>
            <w14:solidFill>
              <w14:schemeClr w14:val="tx1"/>
            </w14:solidFill>
          </w14:textFill>
        </w:rPr>
        <w:t>637-663.</w:t>
      </w:r>
    </w:p>
  </w:footnote>
  <w:footnote w:id="371">
    <w:p w14:paraId="1883D0B9">
      <w:pPr>
        <w:pStyle w:val="11"/>
        <w:keepNext w:val="0"/>
        <w:pageBreakBefore w:val="0"/>
        <w:wordWrap/>
        <w:overflowPunct/>
        <w:topLinePunct w:val="0"/>
        <w:bidi w:val="0"/>
        <w:spacing w:line="240" w:lineRule="auto"/>
        <w:ind w:left="0" w:firstLine="0" w:firstLineChars="0"/>
        <w:jc w:val="both"/>
        <w:rPr>
          <w:rFonts w:ascii="Times New Roman" w:hAnsi="Times New Roman" w:cs="Times New Roman"/>
          <w:sz w:val="21"/>
          <w:szCs w:val="21"/>
        </w:rPr>
      </w:pPr>
      <w:r>
        <w:rPr>
          <w:rStyle w:val="20"/>
          <w:rFonts w:ascii="Times New Roman" w:hAnsi="Times New Roman" w:cs="Times New Roman"/>
          <w:sz w:val="21"/>
          <w:szCs w:val="21"/>
        </w:rPr>
        <w:footnoteRef/>
      </w:r>
      <w:r>
        <w:rPr>
          <w:rFonts w:ascii="Times New Roman" w:hAnsi="Times New Roman" w:cs="Times New Roman"/>
          <w:sz w:val="21"/>
          <w:szCs w:val="21"/>
        </w:rPr>
        <w:t xml:space="preserve"> Donald Chiuba Okeke, Juanee Cilliers and Carel Schoeman,“Neomercantilism as Development Ideology: A Conceptual Approach to Rethink the Space Economy in Africa”，</w:t>
      </w:r>
      <w:r>
        <w:rPr>
          <w:rFonts w:ascii="Times New Roman" w:hAnsi="Times New Roman" w:cs="Times New Roman"/>
          <w:i/>
          <w:sz w:val="21"/>
          <w:szCs w:val="21"/>
        </w:rPr>
        <w:t>African Studies</w:t>
      </w:r>
      <w:r>
        <w:rPr>
          <w:rFonts w:ascii="Times New Roman" w:hAnsi="Times New Roman" w:cs="Times New Roman"/>
          <w:sz w:val="21"/>
          <w:szCs w:val="21"/>
        </w:rPr>
        <w:t>, vol.77, no.1,</w:t>
      </w:r>
      <w:r>
        <w:rPr>
          <w:rFonts w:hint="eastAsia" w:ascii="Times New Roman" w:hAnsi="Times New Roman" w:cs="Times New Roman"/>
          <w:sz w:val="21"/>
          <w:szCs w:val="21"/>
        </w:rPr>
        <w:t>(</w:t>
      </w:r>
      <w:r>
        <w:rPr>
          <w:rFonts w:ascii="Times New Roman" w:hAnsi="Times New Roman" w:cs="Times New Roman"/>
          <w:sz w:val="21"/>
          <w:szCs w:val="21"/>
        </w:rPr>
        <w:t>2018</w:t>
      </w:r>
      <w:r>
        <w:rPr>
          <w:rFonts w:hint="eastAsia" w:ascii="Times New Roman" w:hAnsi="Times New Roman" w:cs="Times New Roman"/>
          <w:sz w:val="21"/>
          <w:szCs w:val="21"/>
        </w:rPr>
        <w:t>)</w:t>
      </w:r>
      <w:r>
        <w:rPr>
          <w:rFonts w:ascii="Times New Roman" w:hAnsi="Times New Roman" w:cs="Times New Roman"/>
          <w:sz w:val="21"/>
          <w:szCs w:val="21"/>
        </w:rPr>
        <w:t>, pp.23-52.</w:t>
      </w:r>
    </w:p>
  </w:footnote>
  <w:footnote w:id="372">
    <w:p w14:paraId="3C6309C9">
      <w:pPr>
        <w:pStyle w:val="11"/>
        <w:keepNext w:val="0"/>
        <w:pageBreakBefore w:val="0"/>
        <w:wordWrap/>
        <w:overflowPunct/>
        <w:topLinePunct w:val="0"/>
        <w:bidi w:val="0"/>
        <w:spacing w:line="240" w:lineRule="auto"/>
        <w:ind w:left="0" w:firstLine="0" w:firstLineChars="0"/>
        <w:rPr>
          <w:sz w:val="21"/>
          <w:szCs w:val="21"/>
        </w:rPr>
      </w:pPr>
      <w:r>
        <w:rPr>
          <w:rStyle w:val="20"/>
        </w:rPr>
        <w:footnoteRef/>
      </w:r>
      <w:r>
        <w:t xml:space="preserve"> </w:t>
      </w:r>
      <w:r>
        <w:rPr>
          <w:rFonts w:hint="eastAsia" w:ascii="宋体" w:hAnsi="宋体" w:eastAsia="宋体" w:cs="AdobeHeitiStd-Regular"/>
          <w:kern w:val="0"/>
          <w:sz w:val="21"/>
          <w:szCs w:val="21"/>
        </w:rPr>
        <w:t>数据来自全球贸易预警数据库，</w:t>
      </w:r>
      <w:r>
        <w:rPr>
          <w:rFonts w:ascii="Times New Roman" w:hAnsi="Times New Roman" w:eastAsia="宋体" w:cs="Times New Roman"/>
          <w:kern w:val="0"/>
          <w:sz w:val="21"/>
          <w:szCs w:val="21"/>
        </w:rPr>
        <w:t>https://www.globaltradealert.org/global_dynamics</w:t>
      </w:r>
      <w:r>
        <w:rPr>
          <w:rFonts w:hint="eastAsia" w:ascii="宋体" w:hAnsi="宋体" w:eastAsia="宋体" w:cs="AdobeHeitiStd-Regular"/>
          <w:kern w:val="0"/>
          <w:sz w:val="21"/>
          <w:szCs w:val="21"/>
        </w:rPr>
        <w:t>，访问时间</w:t>
      </w:r>
      <w:r>
        <w:rPr>
          <w:rFonts w:ascii="宋体" w:hAnsi="宋体" w:eastAsia="宋体" w:cs="AdobeHeitiStd-Regular"/>
          <w:kern w:val="0"/>
          <w:sz w:val="21"/>
          <w:szCs w:val="21"/>
        </w:rPr>
        <w:t xml:space="preserve">: </w:t>
      </w:r>
      <w:r>
        <w:rPr>
          <w:rFonts w:ascii="宋体" w:hAnsi="宋体" w:eastAsia="宋体" w:cs="Times New Roman"/>
          <w:kern w:val="0"/>
          <w:sz w:val="21"/>
          <w:szCs w:val="21"/>
        </w:rPr>
        <w:t>2023 年2 月10 日</w:t>
      </w:r>
      <w:r>
        <w:rPr>
          <w:rFonts w:hint="eastAsia" w:ascii="宋体" w:hAnsi="宋体" w:eastAsia="宋体" w:cs="HTJ0+ZKRHnj-2"/>
          <w:kern w:val="0"/>
          <w:sz w:val="21"/>
          <w:szCs w:val="21"/>
        </w:rPr>
        <w:t>。</w:t>
      </w:r>
    </w:p>
  </w:footnote>
  <w:footnote w:id="373">
    <w:p w14:paraId="6A452A85">
      <w:pPr>
        <w:pStyle w:val="11"/>
        <w:keepNext w:val="0"/>
        <w:pageBreakBefore w:val="0"/>
        <w:wordWrap/>
        <w:overflowPunct/>
        <w:topLinePunct w:val="0"/>
        <w:bidi w:val="0"/>
        <w:spacing w:line="240" w:lineRule="auto"/>
        <w:ind w:left="0" w:firstLine="0" w:firstLineChars="0"/>
        <w:rPr>
          <w:rFonts w:ascii="宋体" w:hAnsi="宋体" w:eastAsia="宋体"/>
          <w:sz w:val="21"/>
          <w:szCs w:val="21"/>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宋体" w:hAnsi="宋体" w:eastAsia="宋体" w:cs="Arial"/>
          <w:color w:val="000000" w:themeColor="text1"/>
          <w:sz w:val="21"/>
          <w:szCs w:val="21"/>
          <w:shd w:val="clear" w:color="auto" w:fill="FFFFFF"/>
          <w14:textFill>
            <w14:solidFill>
              <w14:schemeClr w14:val="tx1"/>
            </w14:solidFill>
          </w14:textFill>
        </w:rPr>
        <w:t>王孝松,张瑜</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美国贸易保护政策对全球化的影响探究</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《经济学家》2022</w:t>
      </w:r>
      <w:r>
        <w:rPr>
          <w:rFonts w:hint="eastAsia" w:ascii="宋体" w:hAnsi="宋体" w:eastAsia="宋体" w:cs="Arial"/>
          <w:color w:val="000000" w:themeColor="text1"/>
          <w:sz w:val="21"/>
          <w:szCs w:val="21"/>
          <w:shd w:val="clear" w:color="auto" w:fill="FFFFFF"/>
          <w14:textFill>
            <w14:solidFill>
              <w14:schemeClr w14:val="tx1"/>
            </w14:solidFill>
          </w14:textFill>
        </w:rPr>
        <w:t>年第5期</w:t>
      </w:r>
      <w:r>
        <w:rPr>
          <w:rFonts w:ascii="宋体" w:hAnsi="宋体" w:eastAsia="宋体" w:cs="Arial"/>
          <w:color w:val="000000" w:themeColor="text1"/>
          <w:sz w:val="21"/>
          <w:szCs w:val="21"/>
          <w:shd w:val="clear" w:color="auto" w:fill="FFFFFF"/>
          <w14:textFill>
            <w14:solidFill>
              <w14:schemeClr w14:val="tx1"/>
            </w14:solidFill>
          </w14:textFill>
        </w:rPr>
        <w:t>。</w:t>
      </w:r>
    </w:p>
  </w:footnote>
  <w:footnote w:id="374">
    <w:p w14:paraId="1D483182">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rPr>
        <w:footnoteRef/>
      </w:r>
      <w:r>
        <w:t xml:space="preserve"> </w:t>
      </w:r>
      <w:r>
        <w:rPr>
          <w:rFonts w:hint="eastAsia" w:ascii="宋体" w:hAnsi="宋体" w:eastAsia="宋体"/>
          <w:color w:val="000000" w:themeColor="text1"/>
          <w:sz w:val="21"/>
          <w:szCs w:val="21"/>
          <w14:textFill>
            <w14:solidFill>
              <w14:schemeClr w14:val="tx1"/>
            </w14:solidFill>
          </w14:textFill>
        </w:rPr>
        <w:t>任琳：</w:t>
      </w:r>
      <w:r>
        <w:rPr>
          <w:rFonts w:ascii="宋体" w:hAnsi="宋体" w:eastAsia="宋体"/>
          <w:color w:val="000000" w:themeColor="text1"/>
          <w:sz w:val="21"/>
          <w:szCs w:val="21"/>
          <w14:textFill>
            <w14:solidFill>
              <w14:schemeClr w14:val="tx1"/>
            </w14:solidFill>
          </w14:textFill>
        </w:rPr>
        <w:t>《后疫情时代的全球治理秩序与中国应对》</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国际问题研究</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2021</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1期</w:t>
      </w:r>
      <w:r>
        <w:rPr>
          <w:rFonts w:ascii="宋体" w:hAnsi="宋体" w:eastAsia="宋体"/>
          <w:color w:val="000000" w:themeColor="text1"/>
          <w:sz w:val="21"/>
          <w:szCs w:val="21"/>
          <w14:textFill>
            <w14:solidFill>
              <w14:schemeClr w14:val="tx1"/>
            </w14:solidFill>
          </w14:textFill>
        </w:rPr>
        <w:t>。</w:t>
      </w:r>
    </w:p>
  </w:footnote>
  <w:footnote w:id="375">
    <w:p w14:paraId="50CA228A">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rFonts w:ascii="宋体" w:hAnsi="宋体" w:eastAsia="宋体"/>
          <w:color w:val="000000" w:themeColor="text1"/>
          <w:sz w:val="21"/>
          <w:szCs w:val="21"/>
          <w14:textFill>
            <w14:solidFill>
              <w14:schemeClr w14:val="tx1"/>
            </w14:solidFill>
          </w14:textFill>
        </w:rPr>
        <w:t xml:space="preserve"> </w:t>
      </w:r>
      <w:r>
        <w:rPr>
          <w:rFonts w:hint="eastAsia" w:ascii="宋体" w:hAnsi="宋体" w:eastAsia="宋体"/>
          <w:color w:val="000000" w:themeColor="text1"/>
          <w:sz w:val="21"/>
          <w:szCs w:val="21"/>
          <w14:textFill>
            <w14:solidFill>
              <w14:schemeClr w14:val="tx1"/>
            </w14:solidFill>
          </w14:textFill>
        </w:rPr>
        <w:t>杰里米·里夫金：《零边际成本的社会：一个物联网、合作共赢的新经济时代》，赛迪研究院专家组译，北京</w:t>
      </w:r>
      <w:r>
        <w:rPr>
          <w:rFonts w:ascii="宋体" w:hAnsi="宋体" w:eastAsia="宋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中信出版社2</w:t>
      </w:r>
      <w:r>
        <w:rPr>
          <w:rFonts w:ascii="宋体" w:hAnsi="宋体" w:eastAsia="宋体"/>
          <w:color w:val="000000" w:themeColor="text1"/>
          <w:sz w:val="21"/>
          <w:szCs w:val="21"/>
          <w14:textFill>
            <w14:solidFill>
              <w14:schemeClr w14:val="tx1"/>
            </w14:solidFill>
          </w14:textFill>
        </w:rPr>
        <w:t>014</w:t>
      </w:r>
      <w:r>
        <w:rPr>
          <w:rFonts w:hint="eastAsia" w:ascii="宋体" w:hAnsi="宋体" w:eastAsia="宋体"/>
          <w:color w:val="000000" w:themeColor="text1"/>
          <w:sz w:val="21"/>
          <w:szCs w:val="21"/>
          <w14:textFill>
            <w14:solidFill>
              <w14:schemeClr w14:val="tx1"/>
            </w14:solidFill>
          </w14:textFill>
        </w:rPr>
        <w:t>年，第2</w:t>
      </w:r>
      <w:r>
        <w:rPr>
          <w:rFonts w:ascii="宋体" w:hAnsi="宋体" w:eastAsia="宋体"/>
          <w:color w:val="000000" w:themeColor="text1"/>
          <w:sz w:val="21"/>
          <w:szCs w:val="21"/>
          <w14:textFill>
            <w14:solidFill>
              <w14:schemeClr w14:val="tx1"/>
            </w14:solidFill>
          </w14:textFill>
        </w:rPr>
        <w:t>3</w:t>
      </w:r>
      <w:r>
        <w:rPr>
          <w:rFonts w:hint="eastAsia" w:ascii="宋体" w:hAnsi="宋体" w:eastAsia="宋体"/>
          <w:color w:val="000000" w:themeColor="text1"/>
          <w:sz w:val="21"/>
          <w:szCs w:val="21"/>
          <w14:textFill>
            <w14:solidFill>
              <w14:schemeClr w14:val="tx1"/>
            </w14:solidFill>
          </w14:textFill>
        </w:rPr>
        <w:t>页。</w:t>
      </w:r>
    </w:p>
  </w:footnote>
  <w:footnote w:id="376">
    <w:p w14:paraId="5EDA51AA">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rFonts w:ascii="宋体" w:hAnsi="宋体" w:eastAsia="宋体"/>
          <w:color w:val="000000" w:themeColor="text1"/>
          <w:sz w:val="21"/>
          <w:szCs w:val="21"/>
          <w14:textFill>
            <w14:solidFill>
              <w14:schemeClr w14:val="tx1"/>
            </w14:solidFill>
          </w14:textFill>
        </w:rPr>
        <w:t xml:space="preserve"> </w:t>
      </w:r>
      <w:r>
        <w:rPr>
          <w:rFonts w:ascii="宋体" w:hAnsi="宋体" w:eastAsia="宋体" w:cs="Arial"/>
          <w:color w:val="000000" w:themeColor="text1"/>
          <w:sz w:val="21"/>
          <w:szCs w:val="21"/>
          <w:shd w:val="clear" w:color="auto" w:fill="FFFFFF"/>
          <w14:textFill>
            <w14:solidFill>
              <w14:schemeClr w14:val="tx1"/>
            </w14:solidFill>
          </w14:textFill>
        </w:rPr>
        <w:t>贺俊</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“十四五”全球供应链调整与中国应对战略</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中国经济评论</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2021</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1期</w:t>
      </w:r>
      <w:r>
        <w:rPr>
          <w:rFonts w:ascii="宋体" w:hAnsi="宋体" w:eastAsia="宋体"/>
          <w:color w:val="000000" w:themeColor="text1"/>
          <w:sz w:val="21"/>
          <w:szCs w:val="21"/>
          <w14:textFill>
            <w14:solidFill>
              <w14:schemeClr w14:val="tx1"/>
            </w14:solidFill>
          </w14:textFill>
        </w:rPr>
        <w:t>。</w:t>
      </w:r>
    </w:p>
  </w:footnote>
  <w:footnote w:id="377">
    <w:p w14:paraId="7138F8EC">
      <w:pPr>
        <w:pStyle w:val="11"/>
        <w:keepNext w:val="0"/>
        <w:pageBreakBefore w:val="0"/>
        <w:wordWrap/>
        <w:overflowPunct/>
        <w:topLinePunct w:val="0"/>
        <w:bidi w:val="0"/>
        <w:adjustRightInd w:val="0"/>
        <w:spacing w:line="240" w:lineRule="auto"/>
        <w:ind w:left="0" w:firstLine="0" w:firstLineChars="0"/>
        <w:jc w:val="both"/>
        <w:rPr>
          <w:rFonts w:ascii="Times New Roman" w:hAnsi="Times New Roman" w:cs="Times New Roman"/>
          <w:color w:val="000000" w:themeColor="text1"/>
          <w:sz w:val="21"/>
          <w:szCs w:val="21"/>
          <w14:textFill>
            <w14:solidFill>
              <w14:schemeClr w14:val="tx1"/>
            </w14:solidFill>
          </w14:textFill>
        </w:rPr>
      </w:pPr>
      <w:r>
        <w:rPr>
          <w:rStyle w:val="20"/>
          <w:rFonts w:ascii="Times New Roman" w:hAnsi="Times New Roman" w:cs="Times New Roman"/>
          <w:color w:val="000000" w:themeColor="text1"/>
          <w:sz w:val="21"/>
          <w:szCs w:val="21"/>
          <w14:textFill>
            <w14:solidFill>
              <w14:schemeClr w14:val="tx1"/>
            </w14:solidFill>
          </w14:textFill>
        </w:rPr>
        <w:footnoteRef/>
      </w:r>
      <w:r>
        <w:rPr>
          <w:rFonts w:ascii="Times New Roman" w:hAnsi="Times New Roman" w:cs="Times New Roman"/>
          <w:color w:val="000000" w:themeColor="text1"/>
          <w:sz w:val="21"/>
          <w:szCs w:val="21"/>
          <w14:textFill>
            <w14:solidFill>
              <w14:schemeClr w14:val="tx1"/>
            </w14:solidFill>
          </w14:textFill>
        </w:rPr>
        <w:t xml:space="preserve"> Robert E. Lucas Jr.</w:t>
      </w:r>
      <w:r>
        <w:rPr>
          <w:rFonts w:hint="eastAsia" w:ascii="Times New Roman" w:hAnsi="Times New Roman" w:cs="Times New Roman"/>
          <w:color w:val="000000" w:themeColor="text1"/>
          <w:sz w:val="21"/>
          <w:szCs w:val="21"/>
          <w14:textFill>
            <w14:solidFill>
              <w14:schemeClr w14:val="tx1"/>
            </w14:solidFill>
          </w14:textFill>
        </w:rPr>
        <w:t xml:space="preserve">, </w:t>
      </w:r>
      <w:r>
        <w:rPr>
          <w:rFonts w:ascii="Times New Roman" w:hAnsi="Times New Roman" w:cs="Times New Roman"/>
          <w:color w:val="000000" w:themeColor="text1"/>
          <w:sz w:val="21"/>
          <w:szCs w:val="21"/>
          <w14:textFill>
            <w14:solidFill>
              <w14:schemeClr w14:val="tx1"/>
            </w14:solidFill>
          </w14:textFill>
        </w:rPr>
        <w:t>“Macroeconomic Priorities”</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i/>
          <w:iCs/>
          <w:color w:val="000000" w:themeColor="text1"/>
          <w:sz w:val="21"/>
          <w:szCs w:val="21"/>
          <w14:textFill>
            <w14:solidFill>
              <w14:schemeClr w14:val="tx1"/>
            </w14:solidFill>
          </w14:textFill>
        </w:rPr>
        <w:t xml:space="preserve"> American Economic Review</w:t>
      </w:r>
      <w:r>
        <w:rPr>
          <w:rFonts w:ascii="Times New Roman" w:hAnsi="Times New Roman" w:cs="Times New Roman"/>
          <w:color w:val="000000" w:themeColor="text1"/>
          <w:sz w:val="21"/>
          <w:szCs w:val="21"/>
          <w14:textFill>
            <w14:solidFill>
              <w14:schemeClr w14:val="tx1"/>
            </w14:solidFill>
          </w14:textFill>
        </w:rPr>
        <w:t>, vol.93, no.1, (2003), pp.1-14.</w:t>
      </w:r>
    </w:p>
  </w:footnote>
  <w:footnote w:id="378">
    <w:p w14:paraId="04F36CE2">
      <w:pPr>
        <w:pStyle w:val="11"/>
        <w:keepNext w:val="0"/>
        <w:pageBreakBefore w:val="0"/>
        <w:wordWrap/>
        <w:overflowPunct/>
        <w:topLinePunct w:val="0"/>
        <w:bidi w:val="0"/>
        <w:adjustRightInd w:val="0"/>
        <w:spacing w:line="240" w:lineRule="auto"/>
        <w:ind w:left="0" w:firstLine="0" w:firstLineChars="0"/>
        <w:jc w:val="both"/>
        <w:rPr>
          <w:rFonts w:ascii="Times New Roman" w:hAnsi="Times New Roman" w:cs="Times New Roman"/>
          <w:color w:val="000000" w:themeColor="text1"/>
          <w:sz w:val="21"/>
          <w:szCs w:val="21"/>
          <w14:textFill>
            <w14:solidFill>
              <w14:schemeClr w14:val="tx1"/>
            </w14:solidFill>
          </w14:textFill>
        </w:rPr>
      </w:pPr>
      <w:r>
        <w:rPr>
          <w:rStyle w:val="20"/>
          <w:rFonts w:ascii="Times New Roman" w:hAnsi="Times New Roman" w:cs="Times New Roman"/>
          <w:color w:val="000000" w:themeColor="text1"/>
          <w:sz w:val="21"/>
          <w:szCs w:val="21"/>
          <w14:textFill>
            <w14:solidFill>
              <w14:schemeClr w14:val="tx1"/>
            </w14:solidFill>
          </w14:textFill>
        </w:rPr>
        <w:footnoteRef/>
      </w:r>
      <w:r>
        <w:rPr>
          <w:rFonts w:ascii="Times New Roman" w:hAnsi="Times New Roman" w:cs="Times New Roman"/>
          <w:color w:val="000000" w:themeColor="text1"/>
          <w:sz w:val="21"/>
          <w:szCs w:val="21"/>
          <w14:textFill>
            <w14:solidFill>
              <w14:schemeClr w14:val="tx1"/>
            </w14:solidFill>
          </w14:textFill>
        </w:rPr>
        <w:t xml:space="preserve"> Hiroshi Kurata, Ryoichi Nomura and Nobuhito</w:t>
      </w:r>
      <w:r>
        <w:rPr>
          <w:rFonts w:hint="eastAsia" w:ascii="Times New Roman" w:hAnsi="Times New Roman" w:cs="Times New Roman"/>
          <w:color w:val="000000" w:themeColor="text1"/>
          <w:sz w:val="21"/>
          <w:szCs w:val="21"/>
          <w14:textFill>
            <w14:solidFill>
              <w14:schemeClr w14:val="tx1"/>
            </w14:solidFill>
          </w14:textFill>
        </w:rPr>
        <w:t xml:space="preserve"> </w:t>
      </w:r>
      <w:r>
        <w:rPr>
          <w:rFonts w:ascii="Times New Roman" w:hAnsi="Times New Roman" w:cs="Times New Roman"/>
          <w:color w:val="000000" w:themeColor="text1"/>
          <w:sz w:val="21"/>
          <w:szCs w:val="21"/>
          <w14:textFill>
            <w14:solidFill>
              <w14:schemeClr w14:val="tx1"/>
            </w14:solidFill>
          </w14:textFill>
        </w:rPr>
        <w:t xml:space="preserve">Suga, “Vertical Specialization in North–South Trade: Industrial Relocation, Wage and Welfare”, </w:t>
      </w:r>
      <w:r>
        <w:rPr>
          <w:rFonts w:ascii="Times New Roman" w:hAnsi="Times New Roman" w:cs="Times New Roman"/>
          <w:i/>
          <w:color w:val="000000" w:themeColor="text1"/>
          <w:sz w:val="21"/>
          <w:szCs w:val="21"/>
          <w14:textFill>
            <w14:solidFill>
              <w14:schemeClr w14:val="tx1"/>
            </w14:solidFill>
          </w14:textFill>
        </w:rPr>
        <w:t>Review of International Economics</w:t>
      </w:r>
      <w:r>
        <w:rPr>
          <w:rFonts w:ascii="Times New Roman" w:hAnsi="Times New Roman" w:cs="Times New Roman"/>
          <w:color w:val="000000" w:themeColor="text1"/>
          <w:sz w:val="21"/>
          <w:szCs w:val="21"/>
          <w14:textFill>
            <w14:solidFill>
              <w14:schemeClr w14:val="tx1"/>
            </w14:solidFill>
          </w14:textFill>
        </w:rPr>
        <w:t>, vol.28, no.1, (2020), pp.119-137.</w:t>
      </w:r>
    </w:p>
  </w:footnote>
  <w:footnote w:id="379">
    <w:p w14:paraId="41F45B56">
      <w:pPr>
        <w:pStyle w:val="11"/>
        <w:keepNext w:val="0"/>
        <w:pageBreakBefore w:val="0"/>
        <w:wordWrap/>
        <w:overflowPunct/>
        <w:topLinePunct w:val="0"/>
        <w:bidi w:val="0"/>
        <w:spacing w:line="240" w:lineRule="auto"/>
        <w:ind w:left="0" w:firstLine="0" w:firstLineChars="0"/>
        <w:jc w:val="both"/>
        <w:rPr>
          <w:rFonts w:ascii="宋体" w:hAnsi="宋体" w:eastAsia="宋体"/>
          <w:color w:val="00B050"/>
          <w:sz w:val="21"/>
          <w:szCs w:val="21"/>
        </w:rPr>
      </w:pPr>
      <w:r>
        <w:rPr>
          <w:rStyle w:val="20"/>
        </w:rPr>
        <w:footnoteRef/>
      </w:r>
      <w:r>
        <w:t xml:space="preserve"> </w:t>
      </w:r>
      <w:r>
        <w:rPr>
          <w:rFonts w:hint="eastAsia" w:ascii="宋体" w:hAnsi="宋体" w:eastAsia="宋体"/>
          <w:color w:val="000000" w:themeColor="text1"/>
          <w:sz w:val="21"/>
          <w:szCs w:val="21"/>
          <w14:textFill>
            <w14:solidFill>
              <w14:schemeClr w14:val="tx1"/>
            </w14:solidFill>
          </w14:textFill>
        </w:rPr>
        <w:t>宋宪萍</w:t>
      </w:r>
      <w:r>
        <w:rPr>
          <w:rFonts w:ascii="宋体" w:hAnsi="宋体" w:eastAsia="宋体"/>
          <w:color w:val="000000" w:themeColor="text1"/>
          <w:sz w:val="21"/>
          <w:szCs w:val="21"/>
          <w14:textFill>
            <w14:solidFill>
              <w14:schemeClr w14:val="tx1"/>
            </w14:solidFill>
          </w14:textFill>
        </w:rPr>
        <w:t>,周钊宇</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全球价值链中风险的放大机制与根源——基于政治经济学视角</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经济纵横</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2022</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8期</w:t>
      </w:r>
      <w:r>
        <w:rPr>
          <w:rFonts w:ascii="宋体" w:hAnsi="宋体" w:eastAsia="宋体"/>
          <w:color w:val="000000" w:themeColor="text1"/>
          <w:sz w:val="21"/>
          <w:szCs w:val="21"/>
          <w14:textFill>
            <w14:solidFill>
              <w14:schemeClr w14:val="tx1"/>
            </w14:solidFill>
          </w14:textFill>
        </w:rPr>
        <w:t>。</w:t>
      </w:r>
    </w:p>
  </w:footnote>
  <w:footnote w:id="380">
    <w:p w14:paraId="0FB2290E">
      <w:pPr>
        <w:pStyle w:val="11"/>
        <w:keepNext w:val="0"/>
        <w:pageBreakBefore w:val="0"/>
        <w:wordWrap/>
        <w:overflowPunct/>
        <w:topLinePunct w:val="0"/>
        <w:bidi w:val="0"/>
        <w:spacing w:line="240" w:lineRule="auto"/>
        <w:ind w:left="0" w:firstLine="0" w:firstLineChars="0"/>
        <w:jc w:val="both"/>
        <w:rPr>
          <w:rFonts w:ascii="Times New Roman" w:hAnsi="Times New Roman" w:cs="Times New Roman"/>
          <w:color w:val="000000" w:themeColor="text1"/>
          <w14:textFill>
            <w14:solidFill>
              <w14:schemeClr w14:val="tx1"/>
            </w14:solidFill>
          </w14:textFill>
        </w:rPr>
      </w:pPr>
      <w:r>
        <w:rPr>
          <w:rStyle w:val="20"/>
        </w:rPr>
        <w:footnoteRef/>
      </w:r>
      <w:r>
        <w:t xml:space="preserve"> </w:t>
      </w:r>
      <w:r>
        <w:rPr>
          <w:rFonts w:ascii="Times New Roman" w:hAnsi="Times New Roman" w:cs="Times New Roman"/>
          <w:color w:val="000000" w:themeColor="text1"/>
          <w:sz w:val="21"/>
          <w:szCs w:val="21"/>
          <w14:textFill>
            <w14:solidFill>
              <w14:schemeClr w14:val="tx1"/>
            </w14:solidFill>
          </w14:textFill>
        </w:rPr>
        <w:t xml:space="preserve">Yuqing Xing, “Factoryless Manufacturers and International Trade in the Age of Global Value Chains”, </w:t>
      </w:r>
      <w:r>
        <w:rPr>
          <w:rFonts w:ascii="Times New Roman" w:hAnsi="Times New Roman" w:cs="Times New Roman"/>
          <w:i/>
          <w:color w:val="000000" w:themeColor="text1"/>
          <w:sz w:val="21"/>
          <w:szCs w:val="21"/>
          <w14:textFill>
            <w14:solidFill>
              <w14:schemeClr w14:val="tx1"/>
            </w14:solidFill>
          </w14:textFill>
        </w:rPr>
        <w:t xml:space="preserve">GRIPS </w:t>
      </w:r>
      <w:r>
        <w:rPr>
          <w:rFonts w:ascii="Times New Roman" w:hAnsi="Times New Roman" w:cs="Times New Roman"/>
          <w:i/>
          <w:color w:val="000000" w:themeColor="text1"/>
          <w:kern w:val="0"/>
          <w:sz w:val="21"/>
          <w:szCs w:val="21"/>
          <w14:textFill>
            <w14:solidFill>
              <w14:schemeClr w14:val="tx1"/>
            </w14:solidFill>
          </w14:textFill>
        </w:rPr>
        <w:t>Discussion Paper 21-02</w:t>
      </w:r>
      <w:r>
        <w:rPr>
          <w:rFonts w:ascii="Times New Roman" w:hAnsi="Times New Roman" w:cs="Times New Roman"/>
          <w:color w:val="000000" w:themeColor="text1"/>
          <w:sz w:val="21"/>
          <w:szCs w:val="21"/>
          <w14:textFill>
            <w14:solidFill>
              <w14:schemeClr w14:val="tx1"/>
            </w14:solidFill>
          </w14:textFill>
        </w:rPr>
        <w:t>, (2021),Tokyo: National Graduate Institute for Policy Studies.</w:t>
      </w:r>
    </w:p>
  </w:footnote>
  <w:footnote w:id="381">
    <w:p w14:paraId="42FA7A6A">
      <w:pPr>
        <w:pStyle w:val="11"/>
        <w:keepNext w:val="0"/>
        <w:pageBreakBefore w:val="0"/>
        <w:wordWrap/>
        <w:overflowPunct/>
        <w:topLinePunct w:val="0"/>
        <w:bidi w:val="0"/>
        <w:adjustRightInd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rFonts w:ascii="宋体" w:hAnsi="宋体" w:eastAsia="宋体"/>
          <w:color w:val="000000" w:themeColor="text1"/>
          <w:sz w:val="21"/>
          <w:szCs w:val="21"/>
          <w14:textFill>
            <w14:solidFill>
              <w14:schemeClr w14:val="tx1"/>
            </w14:solidFill>
          </w14:textFill>
        </w:rPr>
        <w:footnoteRef/>
      </w:r>
      <w:r>
        <w:rPr>
          <w:rFonts w:hint="eastAsia" w:ascii="宋体" w:hAnsi="宋体" w:eastAsia="宋体" w:cs="Arial"/>
          <w:color w:val="000000" w:themeColor="text1"/>
          <w:sz w:val="21"/>
          <w:szCs w:val="21"/>
          <w:shd w:val="clear" w:color="auto" w:fill="FFFFFF"/>
          <w14:textFill>
            <w14:solidFill>
              <w14:schemeClr w14:val="tx1"/>
            </w14:solidFill>
          </w14:textFill>
        </w:rPr>
        <w:t xml:space="preserve"> 宋宪萍</w:t>
      </w:r>
      <w:r>
        <w:rPr>
          <w:rFonts w:ascii="宋体" w:hAnsi="宋体" w:eastAsia="宋体" w:cs="Arial"/>
          <w:color w:val="000000" w:themeColor="text1"/>
          <w:sz w:val="21"/>
          <w:szCs w:val="21"/>
          <w:shd w:val="clear" w:color="auto" w:fill="FFFFFF"/>
          <w14:textFill>
            <w14:solidFill>
              <w14:schemeClr w14:val="tx1"/>
            </w14:solidFill>
          </w14:textFill>
        </w:rPr>
        <w:t>,贾芸菲</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全球价值链的深度嵌入与技术进步关系的机理与测算</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经济纵横</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 2019</w:t>
      </w:r>
      <w:r>
        <w:rPr>
          <w:rFonts w:hint="eastAsia" w:ascii="宋体" w:hAnsi="宋体" w:eastAsia="宋体" w:cs="Arial"/>
          <w:color w:val="000000" w:themeColor="text1"/>
          <w:sz w:val="21"/>
          <w:szCs w:val="21"/>
          <w:shd w:val="clear" w:color="auto" w:fill="FFFFFF"/>
          <w14:textFill>
            <w14:solidFill>
              <w14:schemeClr w14:val="tx1"/>
            </w14:solidFill>
          </w14:textFill>
        </w:rPr>
        <w:t>年</w:t>
      </w:r>
      <w:r>
        <w:rPr>
          <w:rFonts w:ascii="宋体" w:hAnsi="宋体" w:eastAsia="宋体" w:cs="Arial"/>
          <w:color w:val="000000" w:themeColor="text1"/>
          <w:sz w:val="21"/>
          <w:szCs w:val="21"/>
          <w:shd w:val="clear" w:color="auto" w:fill="FFFFFF"/>
          <w14:textFill>
            <w14:solidFill>
              <w14:schemeClr w14:val="tx1"/>
            </w14:solidFill>
          </w14:textFill>
        </w:rPr>
        <w:t>第</w:t>
      </w:r>
      <w:r>
        <w:rPr>
          <w:rFonts w:hint="eastAsia" w:ascii="宋体" w:hAnsi="宋体" w:eastAsia="宋体" w:cs="Arial"/>
          <w:color w:val="000000" w:themeColor="text1"/>
          <w:sz w:val="21"/>
          <w:szCs w:val="21"/>
          <w:shd w:val="clear" w:color="auto" w:fill="FFFFFF"/>
          <w14:textFill>
            <w14:solidFill>
              <w14:schemeClr w14:val="tx1"/>
            </w14:solidFill>
          </w14:textFill>
        </w:rPr>
        <w:t>12期</w:t>
      </w:r>
      <w:r>
        <w:rPr>
          <w:rFonts w:ascii="宋体" w:hAnsi="宋体" w:eastAsia="宋体" w:cs="Arial"/>
          <w:color w:val="000000" w:themeColor="text1"/>
          <w:sz w:val="21"/>
          <w:szCs w:val="21"/>
          <w:shd w:val="clear" w:color="auto" w:fill="FFFFFF"/>
          <w14:textFill>
            <w14:solidFill>
              <w14:schemeClr w14:val="tx1"/>
            </w14:solidFill>
          </w14:textFill>
        </w:rPr>
        <w:t>。</w:t>
      </w:r>
    </w:p>
  </w:footnote>
  <w:footnote w:id="382">
    <w:p w14:paraId="1B1B22D6">
      <w:pPr>
        <w:pStyle w:val="11"/>
        <w:keepNext w:val="0"/>
        <w:pageBreakBefore w:val="0"/>
        <w:wordWrap/>
        <w:overflowPunct/>
        <w:topLinePunct w:val="0"/>
        <w:bidi w:val="0"/>
        <w:spacing w:line="240" w:lineRule="auto"/>
        <w:ind w:left="0" w:firstLine="0" w:firstLineChars="0"/>
        <w:rPr>
          <w:rFonts w:ascii="Times New Roman" w:hAnsi="Times New Roman" w:cs="Times New Roman"/>
          <w:sz w:val="21"/>
          <w:szCs w:val="21"/>
        </w:rPr>
      </w:pPr>
      <w:r>
        <w:rPr>
          <w:rStyle w:val="20"/>
        </w:rPr>
        <w:footnoteRef/>
      </w:r>
      <w:r>
        <w:t xml:space="preserve"> </w:t>
      </w:r>
      <w:r>
        <w:rPr>
          <w:rFonts w:ascii="Times New Roman" w:hAnsi="Times New Roman" w:cs="Times New Roman"/>
          <w:sz w:val="21"/>
          <w:szCs w:val="21"/>
        </w:rPr>
        <w:t>Nicholas Kaldor, “Causes of the slow rate of economic growth in the United Kingdom”. The Essential Kaldor. Ed. by F. Targetti and A. P. Thirlwall. London:Duckworth, (1989), pp. 282–310.</w:t>
      </w:r>
    </w:p>
  </w:footnote>
  <w:footnote w:id="383">
    <w:p w14:paraId="3B233048">
      <w:pPr>
        <w:pStyle w:val="11"/>
        <w:keepNext w:val="0"/>
        <w:pageBreakBefore w:val="0"/>
        <w:wordWrap/>
        <w:overflowPunct/>
        <w:topLinePunct w:val="0"/>
        <w:bidi w:val="0"/>
        <w:spacing w:line="240" w:lineRule="auto"/>
        <w:ind w:left="0" w:firstLine="0" w:firstLineChars="0"/>
        <w:jc w:val="both"/>
        <w:rPr>
          <w:rFonts w:ascii="Times New Roman" w:hAnsi="Times New Roman" w:cs="Times New Roman"/>
          <w:sz w:val="21"/>
          <w:szCs w:val="21"/>
        </w:rPr>
      </w:pPr>
      <w:r>
        <w:rPr>
          <w:rStyle w:val="20"/>
        </w:rPr>
        <w:footnoteRef/>
      </w:r>
      <w:r>
        <w:rPr>
          <w:rFonts w:ascii="Times New Roman" w:hAnsi="Times New Roman" w:cs="Times New Roman"/>
          <w:sz w:val="21"/>
          <w:szCs w:val="21"/>
        </w:rPr>
        <w:t xml:space="preserve">Mary Hallward-Driemeier &amp; Gaurav Nayyar，“Trouble in the Making? : The Future of Manufacturing-Led Development”， </w:t>
      </w:r>
      <w:r>
        <w:fldChar w:fldCharType="begin"/>
      </w:r>
      <w:r>
        <w:instrText xml:space="preserve"> HYPERLINK "https://openknowledge.worldbank.org/handle/10986/27946" </w:instrText>
      </w:r>
      <w:r>
        <w:fldChar w:fldCharType="separate"/>
      </w:r>
      <w:r>
        <w:rPr>
          <w:rStyle w:val="19"/>
          <w:rFonts w:ascii="Times New Roman" w:hAnsi="Times New Roman" w:cs="Times New Roman"/>
          <w:sz w:val="21"/>
          <w:szCs w:val="21"/>
        </w:rPr>
        <w:t>https://openknowledge.worldbank.org/handle/10986/27946</w:t>
      </w:r>
      <w:r>
        <w:rPr>
          <w:rStyle w:val="19"/>
          <w:rFonts w:ascii="Times New Roman" w:hAnsi="Times New Roman" w:cs="Times New Roman"/>
          <w:sz w:val="21"/>
          <w:szCs w:val="21"/>
        </w:rPr>
        <w:fldChar w:fldCharType="end"/>
      </w:r>
      <w:r>
        <w:rPr>
          <w:rFonts w:ascii="Times New Roman" w:hAnsi="Times New Roman" w:cs="Times New Roman"/>
          <w:sz w:val="21"/>
          <w:szCs w:val="21"/>
        </w:rPr>
        <w:t>，</w:t>
      </w:r>
      <w:r>
        <w:rPr>
          <w:rFonts w:hint="eastAsia" w:ascii="Times New Roman" w:hAnsi="Times New Roman" w:cs="Times New Roman"/>
          <w:sz w:val="21"/>
          <w:szCs w:val="21"/>
        </w:rPr>
        <w:t>(</w:t>
      </w:r>
      <w:r>
        <w:rPr>
          <w:rFonts w:ascii="Times New Roman" w:hAnsi="Times New Roman" w:cs="Times New Roman"/>
          <w:sz w:val="21"/>
          <w:szCs w:val="21"/>
        </w:rPr>
        <w:t>2017). Washington, DC: World Bank.</w:t>
      </w:r>
    </w:p>
  </w:footnote>
  <w:footnote w:id="384">
    <w:p w14:paraId="09D0F013">
      <w:pPr>
        <w:pStyle w:val="11"/>
        <w:keepNext w:val="0"/>
        <w:pageBreakBefore w:val="0"/>
        <w:wordWrap/>
        <w:overflowPunct/>
        <w:topLinePunct w:val="0"/>
        <w:bidi w:val="0"/>
        <w:spacing w:line="240" w:lineRule="auto"/>
        <w:ind w:left="0" w:firstLine="0" w:firstLineChars="0"/>
        <w:jc w:val="both"/>
        <w:rPr>
          <w:rFonts w:ascii="宋体" w:hAnsi="宋体" w:eastAsia="宋体"/>
          <w:color w:val="00B050"/>
          <w:sz w:val="21"/>
          <w:szCs w:val="21"/>
        </w:rPr>
      </w:pPr>
      <w:r>
        <w:rPr>
          <w:rStyle w:val="20"/>
        </w:rPr>
        <w:footnoteRef/>
      </w:r>
      <w:r>
        <w:rPr>
          <w:sz w:val="21"/>
          <w:szCs w:val="21"/>
        </w:rPr>
        <w:t xml:space="preserve"> </w:t>
      </w:r>
      <w:r>
        <w:rPr>
          <w:rFonts w:hint="eastAsia" w:ascii="宋体" w:hAnsi="宋体" w:eastAsia="宋体"/>
          <w:color w:val="000000" w:themeColor="text1"/>
          <w:sz w:val="21"/>
          <w:szCs w:val="21"/>
          <w14:textFill>
            <w14:solidFill>
              <w14:schemeClr w14:val="tx1"/>
            </w14:solidFill>
          </w14:textFill>
        </w:rPr>
        <w:t>胡乐明</w:t>
      </w:r>
      <w:r>
        <w:rPr>
          <w:rFonts w:ascii="宋体" w:hAnsi="宋体" w:eastAsia="宋体"/>
          <w:color w:val="000000" w:themeColor="text1"/>
          <w:sz w:val="21"/>
          <w:szCs w:val="21"/>
          <w14:textFill>
            <w14:solidFill>
              <w14:schemeClr w14:val="tx1"/>
            </w14:solidFill>
          </w14:textFill>
        </w:rPr>
        <w:t>,杨虎涛</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产业发展战略选择的内在逻辑——一个连接演进的解析框架</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经济研究</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2022</w:t>
      </w:r>
      <w:r>
        <w:rPr>
          <w:rFonts w:hint="eastAsia" w:ascii="宋体" w:hAnsi="宋体" w:eastAsia="宋体"/>
          <w:color w:val="000000" w:themeColor="text1"/>
          <w:sz w:val="21"/>
          <w:szCs w:val="21"/>
          <w14:textFill>
            <w14:solidFill>
              <w14:schemeClr w14:val="tx1"/>
            </w14:solidFill>
          </w14:textFill>
        </w:rPr>
        <w:t>年第</w:t>
      </w:r>
      <w:r>
        <w:rPr>
          <w:rFonts w:ascii="宋体" w:hAnsi="宋体" w:eastAsia="宋体"/>
          <w:color w:val="000000" w:themeColor="text1"/>
          <w:sz w:val="21"/>
          <w:szCs w:val="21"/>
          <w14:textFill>
            <w14:solidFill>
              <w14:schemeClr w14:val="tx1"/>
            </w14:solidFill>
          </w14:textFill>
        </w:rPr>
        <w:t>6</w:t>
      </w:r>
      <w:r>
        <w:rPr>
          <w:rFonts w:hint="eastAsia" w:ascii="宋体" w:hAnsi="宋体" w:eastAsia="宋体"/>
          <w:color w:val="000000" w:themeColor="text1"/>
          <w:sz w:val="21"/>
          <w:szCs w:val="21"/>
          <w14:textFill>
            <w14:solidFill>
              <w14:schemeClr w14:val="tx1"/>
            </w14:solidFill>
          </w14:textFill>
        </w:rPr>
        <w:t>期。</w:t>
      </w:r>
    </w:p>
  </w:footnote>
  <w:footnote w:id="385">
    <w:p w14:paraId="6369122F">
      <w:pPr>
        <w:pStyle w:val="11"/>
        <w:keepNext w:val="0"/>
        <w:pageBreakBefore w:val="0"/>
        <w:wordWrap/>
        <w:overflowPunct/>
        <w:topLinePunct w:val="0"/>
        <w:bidi w:val="0"/>
        <w:spacing w:line="240" w:lineRule="auto"/>
        <w:ind w:left="0" w:firstLine="0" w:firstLineChars="0"/>
        <w:jc w:val="both"/>
        <w:rPr>
          <w:color w:val="000000" w:themeColor="text1"/>
          <w14:textFill>
            <w14:solidFill>
              <w14:schemeClr w14:val="tx1"/>
            </w14:solidFill>
          </w14:textFill>
        </w:rPr>
      </w:pPr>
      <w:r>
        <w:rPr>
          <w:rStyle w:val="20"/>
        </w:rPr>
        <w:footnoteRef/>
      </w:r>
      <w:r>
        <w:t xml:space="preserve"> </w:t>
      </w:r>
      <w:r>
        <w:rPr>
          <w:rFonts w:ascii="Times New Roman" w:hAnsi="Times New Roman" w:cs="Times New Roman"/>
          <w:color w:val="000000" w:themeColor="text1"/>
          <w:sz w:val="21"/>
          <w:szCs w:val="21"/>
          <w14:textFill>
            <w14:solidFill>
              <w14:schemeClr w14:val="tx1"/>
            </w14:solidFill>
          </w14:textFill>
        </w:rPr>
        <w:t>Margaret McMillan</w:t>
      </w:r>
      <w:r>
        <w:rPr>
          <w:rFonts w:hint="eastAsia" w:ascii="Times New Roman" w:hAnsi="Times New Roman" w:cs="Times New Roman"/>
          <w:color w:val="000000" w:themeColor="text1"/>
          <w:sz w:val="21"/>
          <w:szCs w:val="21"/>
          <w14:textFill>
            <w14:solidFill>
              <w14:schemeClr w14:val="tx1"/>
            </w14:solidFill>
          </w14:textFill>
        </w:rPr>
        <w:t xml:space="preserve">, </w:t>
      </w:r>
      <w:r>
        <w:rPr>
          <w:rFonts w:ascii="Times New Roman" w:hAnsi="Times New Roman" w:cs="Times New Roman"/>
          <w:color w:val="000000" w:themeColor="text1"/>
          <w:sz w:val="21"/>
          <w:szCs w:val="21"/>
          <w14:textFill>
            <w14:solidFill>
              <w14:schemeClr w14:val="tx1"/>
            </w14:solidFill>
          </w14:textFill>
        </w:rPr>
        <w:t>Dani Rodrik</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“Globalization, Structural Change and Productivity Growth”, </w:t>
      </w:r>
      <w:r>
        <w:rPr>
          <w:rFonts w:ascii="Times New Roman" w:hAnsi="Times New Roman" w:cs="Times New Roman"/>
          <w:i/>
          <w:color w:val="000000" w:themeColor="text1"/>
          <w:sz w:val="21"/>
          <w:szCs w:val="21"/>
          <w14:textFill>
            <w14:solidFill>
              <w14:schemeClr w14:val="tx1"/>
            </w14:solidFill>
          </w14:textFill>
        </w:rPr>
        <w:t>NBER Working Paper</w:t>
      </w:r>
      <w:r>
        <w:rPr>
          <w:rFonts w:hint="eastAsia" w:ascii="Times New Roman" w:hAnsi="Times New Roman" w:cs="Times New Roman"/>
          <w:color w:val="000000" w:themeColor="text1"/>
          <w:sz w:val="21"/>
          <w:szCs w:val="21"/>
          <w14:textFill>
            <w14:solidFill>
              <w14:schemeClr w14:val="tx1"/>
            </w14:solidFill>
          </w14:textFill>
        </w:rPr>
        <w:t>,</w:t>
      </w:r>
      <w:r>
        <w:rPr>
          <w:rFonts w:ascii="Times New Roman" w:hAnsi="Times New Roman" w:cs="Times New Roman"/>
          <w:color w:val="000000" w:themeColor="text1"/>
          <w:sz w:val="21"/>
          <w:szCs w:val="21"/>
          <w14:textFill>
            <w14:solidFill>
              <w14:schemeClr w14:val="tx1"/>
            </w14:solidFill>
          </w14:textFill>
        </w:rPr>
        <w:t xml:space="preserve"> 17143.</w:t>
      </w:r>
    </w:p>
  </w:footnote>
  <w:footnote w:id="386">
    <w:p w14:paraId="7B8CD414">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hint="eastAsia" w:ascii="宋体" w:hAnsi="宋体" w:eastAsia="宋体"/>
          <w:color w:val="000000" w:themeColor="text1"/>
          <w:sz w:val="21"/>
          <w:szCs w:val="21"/>
          <w14:textFill>
            <w14:solidFill>
              <w14:schemeClr w14:val="tx1"/>
            </w14:solidFill>
          </w14:textFill>
        </w:rPr>
        <w:t>《十六大以来重要文献选编》上，</w:t>
      </w:r>
      <w:r>
        <w:rPr>
          <w:rFonts w:ascii="宋体" w:hAnsi="宋体" w:eastAsia="宋体"/>
          <w:color w:val="000000" w:themeColor="text1"/>
          <w:sz w:val="21"/>
          <w:szCs w:val="21"/>
          <w14:textFill>
            <w14:solidFill>
              <w14:schemeClr w14:val="tx1"/>
            </w14:solidFill>
          </w14:textFill>
        </w:rPr>
        <w:t>北京：中央文献出版社，2005年</w:t>
      </w:r>
      <w:r>
        <w:rPr>
          <w:rFonts w:hint="eastAsia" w:ascii="宋体" w:hAnsi="宋体" w:eastAsia="宋体"/>
          <w:color w:val="000000" w:themeColor="text1"/>
          <w:sz w:val="21"/>
          <w:szCs w:val="21"/>
          <w14:textFill>
            <w14:solidFill>
              <w14:schemeClr w14:val="tx1"/>
            </w14:solidFill>
          </w14:textFill>
        </w:rPr>
        <w:t>，第</w:t>
      </w:r>
      <w:r>
        <w:rPr>
          <w:rFonts w:ascii="宋体" w:hAnsi="宋体" w:eastAsia="宋体"/>
          <w:color w:val="000000" w:themeColor="text1"/>
          <w:sz w:val="21"/>
          <w:szCs w:val="21"/>
          <w14:textFill>
            <w14:solidFill>
              <w14:schemeClr w14:val="tx1"/>
            </w14:solidFill>
          </w14:textFill>
        </w:rPr>
        <w:t>16页</w:t>
      </w:r>
      <w:r>
        <w:rPr>
          <w:rFonts w:hint="eastAsia" w:ascii="宋体" w:hAnsi="宋体" w:eastAsia="宋体"/>
          <w:color w:val="000000" w:themeColor="text1"/>
          <w:sz w:val="21"/>
          <w:szCs w:val="21"/>
          <w14:textFill>
            <w14:solidFill>
              <w14:schemeClr w14:val="tx1"/>
            </w14:solidFill>
          </w14:textFill>
        </w:rPr>
        <w:t>。</w:t>
      </w:r>
    </w:p>
  </w:footnote>
  <w:footnote w:id="387">
    <w:p w14:paraId="4CFBDC79">
      <w:pPr>
        <w:pStyle w:val="11"/>
        <w:keepNext w:val="0"/>
        <w:pageBreakBefore w:val="0"/>
        <w:wordWrap/>
        <w:overflowPunct/>
        <w:topLinePunct w:val="0"/>
        <w:bidi w:val="0"/>
        <w:spacing w:line="240" w:lineRule="auto"/>
        <w:ind w:left="0" w:firstLine="0" w:firstLineChars="0"/>
        <w:jc w:val="both"/>
        <w:rPr>
          <w:rFonts w:ascii="Times New Roman" w:hAnsi="Times New Roman" w:cs="Times New Roman"/>
          <w:color w:val="000000" w:themeColor="text1"/>
          <w14:textFill>
            <w14:solidFill>
              <w14:schemeClr w14:val="tx1"/>
            </w14:solidFill>
          </w14:textFill>
        </w:rPr>
      </w:pPr>
      <w:r>
        <w:rPr>
          <w:rStyle w:val="20"/>
        </w:rPr>
        <w:footnoteRef/>
      </w:r>
      <w:r>
        <w:t xml:space="preserve"> </w:t>
      </w:r>
      <w:r>
        <w:rPr>
          <w:rFonts w:ascii="Times New Roman" w:hAnsi="Times New Roman" w:cs="Times New Roman"/>
          <w:color w:val="000000" w:themeColor="text1"/>
          <w:sz w:val="21"/>
          <w:szCs w:val="21"/>
          <w14:textFill>
            <w14:solidFill>
              <w14:schemeClr w14:val="tx1"/>
            </w14:solidFill>
          </w14:textFill>
        </w:rPr>
        <w:t>Carlota Perez.Technological revolutions and techno-economic paradigms”,</w:t>
      </w:r>
      <w:r>
        <w:rPr>
          <w:rFonts w:ascii="Times New Roman" w:hAnsi="Times New Roman" w:cs="Times New Roman"/>
          <w:i/>
          <w:color w:val="000000" w:themeColor="text1"/>
          <w:sz w:val="21"/>
          <w:szCs w:val="21"/>
          <w14:textFill>
            <w14:solidFill>
              <w14:schemeClr w14:val="tx1"/>
            </w14:solidFill>
          </w14:textFill>
        </w:rPr>
        <w:t>Cambridge journal of economics</w:t>
      </w:r>
      <w:r>
        <w:rPr>
          <w:rFonts w:ascii="Times New Roman" w:hAnsi="Times New Roman" w:cs="Times New Roman"/>
          <w:color w:val="000000" w:themeColor="text1"/>
          <w:sz w:val="21"/>
          <w:szCs w:val="21"/>
          <w14:textFill>
            <w14:solidFill>
              <w14:schemeClr w14:val="tx1"/>
            </w14:solidFill>
          </w14:textFill>
        </w:rPr>
        <w:t>, vol.34,no.1, (2010), pp.185-202.</w:t>
      </w:r>
    </w:p>
  </w:footnote>
  <w:footnote w:id="388">
    <w:p w14:paraId="629826AC">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color w:val="000000" w:themeColor="text1"/>
          <w:sz w:val="21"/>
          <w:szCs w:val="21"/>
          <w14:textFill>
            <w14:solidFill>
              <w14:schemeClr w14:val="tx1"/>
            </w14:solidFill>
          </w14:textFill>
        </w:rPr>
        <w:footnoteRef/>
      </w:r>
      <w:r>
        <w:rPr>
          <w:color w:val="000000" w:themeColor="text1"/>
          <w:sz w:val="21"/>
          <w:szCs w:val="21"/>
          <w14:textFill>
            <w14:solidFill>
              <w14:schemeClr w14:val="tx1"/>
            </w14:solidFill>
          </w14:textFill>
        </w:rPr>
        <w:t xml:space="preserve"> </w:t>
      </w:r>
      <w:r>
        <w:rPr>
          <w:rFonts w:ascii="宋体" w:hAnsi="宋体" w:eastAsia="宋体" w:cs="Arial"/>
          <w:color w:val="000000" w:themeColor="text1"/>
          <w:sz w:val="21"/>
          <w:szCs w:val="21"/>
          <w:shd w:val="clear" w:color="auto" w:fill="FFFFFF"/>
          <w14:textFill>
            <w14:solidFill>
              <w14:schemeClr w14:val="tx1"/>
            </w14:solidFill>
          </w14:textFill>
        </w:rPr>
        <w:t>黄群慧</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2020年我国已经基本实现了工业化——中国共产党百年奋斗重大成就</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经济学动态</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2021</w:t>
      </w:r>
      <w:r>
        <w:rPr>
          <w:rFonts w:hint="eastAsia" w:ascii="宋体" w:hAnsi="宋体" w:eastAsia="宋体" w:cs="Arial"/>
          <w:color w:val="000000" w:themeColor="text1"/>
          <w:sz w:val="21"/>
          <w:szCs w:val="21"/>
          <w:shd w:val="clear" w:color="auto" w:fill="FFFFFF"/>
          <w14:textFill>
            <w14:solidFill>
              <w14:schemeClr w14:val="tx1"/>
            </w14:solidFill>
          </w14:textFill>
        </w:rPr>
        <w:t>年</w:t>
      </w:r>
      <w:r>
        <w:rPr>
          <w:rFonts w:ascii="宋体" w:hAnsi="宋体" w:eastAsia="宋体" w:cs="Arial"/>
          <w:color w:val="000000" w:themeColor="text1"/>
          <w:sz w:val="21"/>
          <w:szCs w:val="21"/>
          <w:shd w:val="clear" w:color="auto" w:fill="FFFFFF"/>
          <w14:textFill>
            <w14:solidFill>
              <w14:schemeClr w14:val="tx1"/>
            </w14:solidFill>
          </w14:textFill>
        </w:rPr>
        <w:t>第11</w:t>
      </w:r>
      <w:r>
        <w:rPr>
          <w:rFonts w:hint="eastAsia" w:ascii="宋体" w:hAnsi="宋体" w:eastAsia="宋体" w:cs="Arial"/>
          <w:color w:val="000000" w:themeColor="text1"/>
          <w:sz w:val="21"/>
          <w:szCs w:val="21"/>
          <w:shd w:val="clear" w:color="auto" w:fill="FFFFFF"/>
          <w14:textFill>
            <w14:solidFill>
              <w14:schemeClr w14:val="tx1"/>
            </w14:solidFill>
          </w14:textFill>
        </w:rPr>
        <w:t>期。</w:t>
      </w:r>
    </w:p>
  </w:footnote>
  <w:footnote w:id="389">
    <w:p w14:paraId="14DF8C7D">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宋体" w:hAnsi="宋体" w:eastAsia="宋体" w:cs="Arial"/>
          <w:color w:val="000000" w:themeColor="text1"/>
          <w:sz w:val="21"/>
          <w:szCs w:val="21"/>
          <w:shd w:val="clear" w:color="auto" w:fill="FFFFFF"/>
          <w14:textFill>
            <w14:solidFill>
              <w14:schemeClr w14:val="tx1"/>
            </w14:solidFill>
          </w14:textFill>
        </w:rPr>
        <w:t>黄群慧,黄阳华,贺俊,江飞涛</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面向中上等收入阶段的中国工业化战略研究</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中国社会科学</w:t>
      </w:r>
      <w:r>
        <w:rPr>
          <w:rFonts w:hint="eastAsia" w:ascii="宋体" w:hAnsi="宋体" w:eastAsia="宋体" w:cs="Arial"/>
          <w:color w:val="000000" w:themeColor="text1"/>
          <w:sz w:val="21"/>
          <w:szCs w:val="21"/>
          <w:shd w:val="clear" w:color="auto" w:fill="FFFFFF"/>
          <w14:textFill>
            <w14:solidFill>
              <w14:schemeClr w14:val="tx1"/>
            </w14:solidFill>
          </w14:textFill>
        </w:rPr>
        <w:t>》</w:t>
      </w:r>
      <w:r>
        <w:rPr>
          <w:rFonts w:ascii="宋体" w:hAnsi="宋体" w:eastAsia="宋体" w:cs="Arial"/>
          <w:color w:val="000000" w:themeColor="text1"/>
          <w:sz w:val="21"/>
          <w:szCs w:val="21"/>
          <w:shd w:val="clear" w:color="auto" w:fill="FFFFFF"/>
          <w14:textFill>
            <w14:solidFill>
              <w14:schemeClr w14:val="tx1"/>
            </w14:solidFill>
          </w14:textFill>
        </w:rPr>
        <w:t>2017</w:t>
      </w:r>
      <w:r>
        <w:rPr>
          <w:rFonts w:hint="eastAsia" w:ascii="宋体" w:hAnsi="宋体" w:eastAsia="宋体" w:cs="Arial"/>
          <w:color w:val="000000" w:themeColor="text1"/>
          <w:sz w:val="21"/>
          <w:szCs w:val="21"/>
          <w:shd w:val="clear" w:color="auto" w:fill="FFFFFF"/>
          <w14:textFill>
            <w14:solidFill>
              <w14:schemeClr w14:val="tx1"/>
            </w14:solidFill>
          </w14:textFill>
        </w:rPr>
        <w:t>年</w:t>
      </w:r>
      <w:r>
        <w:rPr>
          <w:rFonts w:ascii="宋体" w:hAnsi="宋体" w:eastAsia="宋体" w:cs="Arial"/>
          <w:color w:val="000000" w:themeColor="text1"/>
          <w:sz w:val="21"/>
          <w:szCs w:val="21"/>
          <w:shd w:val="clear" w:color="auto" w:fill="FFFFFF"/>
          <w14:textFill>
            <w14:solidFill>
              <w14:schemeClr w14:val="tx1"/>
            </w14:solidFill>
          </w14:textFill>
        </w:rPr>
        <w:t>第12</w:t>
      </w:r>
      <w:r>
        <w:rPr>
          <w:rFonts w:hint="eastAsia" w:ascii="宋体" w:hAnsi="宋体" w:eastAsia="宋体" w:cs="Arial"/>
          <w:color w:val="000000" w:themeColor="text1"/>
          <w:sz w:val="21"/>
          <w:szCs w:val="21"/>
          <w:shd w:val="clear" w:color="auto" w:fill="FFFFFF"/>
          <w14:textFill>
            <w14:solidFill>
              <w14:schemeClr w14:val="tx1"/>
            </w14:solidFill>
          </w14:textFill>
        </w:rPr>
        <w:t>期。</w:t>
      </w:r>
    </w:p>
  </w:footnote>
  <w:footnote w:id="390">
    <w:p w14:paraId="38D78455">
      <w:pPr>
        <w:pStyle w:val="11"/>
        <w:keepNext w:val="0"/>
        <w:pageBreakBefore w:val="0"/>
        <w:wordWrap/>
        <w:overflowPunct/>
        <w:topLinePunct w:val="0"/>
        <w:bidi w:val="0"/>
        <w:spacing w:line="240" w:lineRule="auto"/>
        <w:ind w:left="0" w:firstLine="0" w:firstLineChars="0"/>
        <w:rPr>
          <w:rFonts w:ascii="宋体" w:hAnsi="宋体" w:eastAsia="宋体"/>
          <w:color w:val="000000" w:themeColor="text1"/>
          <w:sz w:val="21"/>
          <w:szCs w:val="21"/>
          <w14:textFill>
            <w14:solidFill>
              <w14:schemeClr w14:val="tx1"/>
            </w14:solidFill>
          </w14:textFill>
        </w:rPr>
      </w:pPr>
      <w:r>
        <w:rPr>
          <w:rStyle w:val="20"/>
          <w:rFonts w:ascii="宋体" w:hAnsi="宋体" w:eastAsia="宋体"/>
          <w:color w:val="000000" w:themeColor="text1"/>
          <w:sz w:val="21"/>
          <w:szCs w:val="21"/>
          <w14:textFill>
            <w14:solidFill>
              <w14:schemeClr w14:val="tx1"/>
            </w14:solidFill>
          </w14:textFill>
        </w:rPr>
        <w:footnoteRef/>
      </w:r>
      <w:r>
        <w:rPr>
          <w:rFonts w:ascii="宋体" w:hAnsi="宋体" w:eastAsia="宋体"/>
          <w:color w:val="000000" w:themeColor="text1"/>
          <w:sz w:val="21"/>
          <w:szCs w:val="21"/>
          <w14:textFill>
            <w14:solidFill>
              <w14:schemeClr w14:val="tx1"/>
            </w14:solidFill>
          </w14:textFill>
        </w:rPr>
        <w:t xml:space="preserve"> </w:t>
      </w:r>
      <w:r>
        <w:rPr>
          <w:rFonts w:hint="eastAsia" w:ascii="宋体" w:hAnsi="宋体" w:eastAsia="宋体"/>
          <w:color w:val="000000" w:themeColor="text1"/>
          <w:sz w:val="21"/>
          <w:szCs w:val="21"/>
          <w14:textFill>
            <w14:solidFill>
              <w14:schemeClr w14:val="tx1"/>
            </w14:solidFill>
          </w14:textFill>
        </w:rPr>
        <w:t>丹尼·罗德里克：《</w:t>
      </w:r>
      <w:r>
        <w:rPr>
          <w:rFonts w:ascii="宋体" w:hAnsi="宋体" w:eastAsia="宋体"/>
          <w:color w:val="000000" w:themeColor="text1"/>
          <w:sz w:val="21"/>
          <w:szCs w:val="21"/>
          <w14:textFill>
            <w14:solidFill>
              <w14:schemeClr w14:val="tx1"/>
            </w14:solidFill>
          </w14:textFill>
        </w:rPr>
        <w:t>过早开始“去工业化”的危险</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南风窗</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2013</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22期</w:t>
      </w:r>
      <w:r>
        <w:rPr>
          <w:rFonts w:ascii="宋体" w:hAnsi="宋体" w:eastAsia="宋体"/>
          <w:color w:val="000000" w:themeColor="text1"/>
          <w:sz w:val="21"/>
          <w:szCs w:val="21"/>
          <w14:textFill>
            <w14:solidFill>
              <w14:schemeClr w14:val="tx1"/>
            </w14:solidFill>
          </w14:textFill>
        </w:rPr>
        <w:t>。</w:t>
      </w:r>
    </w:p>
  </w:footnote>
  <w:footnote w:id="391">
    <w:p w14:paraId="161B0FEE">
      <w:pPr>
        <w:pStyle w:val="11"/>
        <w:keepNext w:val="0"/>
        <w:pageBreakBefore w:val="0"/>
        <w:wordWrap/>
        <w:overflowPunct/>
        <w:topLinePunct w:val="0"/>
        <w:bidi w:val="0"/>
        <w:spacing w:line="240" w:lineRule="auto"/>
        <w:ind w:left="0" w:firstLine="0" w:firstLineChars="0"/>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Times New Roman" w:hAnsi="Times New Roman" w:eastAsia="宋体" w:cs="Times New Roman"/>
          <w:color w:val="000000" w:themeColor="text1"/>
          <w:sz w:val="21"/>
          <w:szCs w:val="21"/>
          <w14:textFill>
            <w14:solidFill>
              <w14:schemeClr w14:val="tx1"/>
            </w14:solidFill>
          </w14:textFill>
        </w:rPr>
        <w:t>根据GDP平减指数进行计算</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https://stats.areppim.com/calc/calc_usdlrxdeflator.php</w:t>
      </w:r>
    </w:p>
  </w:footnote>
  <w:footnote w:id="392">
    <w:p w14:paraId="305D3BF6">
      <w:pPr>
        <w:pStyle w:val="11"/>
        <w:keepNext w:val="0"/>
        <w:pageBreakBefore w:val="0"/>
        <w:wordWrap/>
        <w:overflowPunct/>
        <w:topLinePunct w:val="0"/>
        <w:bidi w:val="0"/>
        <w:spacing w:line="240" w:lineRule="auto"/>
        <w:ind w:left="0" w:firstLine="0" w:firstLineChars="0"/>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Times New Roman" w:hAnsi="Times New Roman" w:eastAsia="宋体" w:cs="Times New Roman"/>
          <w:color w:val="000000" w:themeColor="text1"/>
          <w:sz w:val="21"/>
          <w:szCs w:val="21"/>
          <w14:textFill>
            <w14:solidFill>
              <w14:schemeClr w14:val="tx1"/>
            </w14:solidFill>
          </w14:textFill>
        </w:rPr>
        <w:t>国家知识产权战略网：</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世界知识产权组织：2022年中国PCT国际专利量继续排行首位</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，http://www.nipso.cn/onewsn.asp?id=54236，2023/3/2。</w:t>
      </w:r>
    </w:p>
  </w:footnote>
  <w:footnote w:id="393">
    <w:p w14:paraId="09127F6F">
      <w:pPr>
        <w:pStyle w:val="11"/>
        <w:keepNext w:val="0"/>
        <w:pageBreakBefore w:val="0"/>
        <w:wordWrap/>
        <w:overflowPunct/>
        <w:topLinePunct w:val="0"/>
        <w:bidi w:val="0"/>
        <w:spacing w:line="240" w:lineRule="auto"/>
        <w:ind w:left="0" w:firstLine="0" w:firstLineChars="0"/>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rFonts w:ascii="宋体" w:hAnsi="宋体" w:eastAsia="宋体"/>
          <w:color w:val="000000" w:themeColor="text1"/>
          <w:sz w:val="21"/>
          <w:szCs w:val="21"/>
          <w14:textFill>
            <w14:solidFill>
              <w14:schemeClr w14:val="tx1"/>
            </w14:solidFill>
          </w14:textFill>
        </w:rPr>
        <w:t xml:space="preserve"> </w:t>
      </w:r>
      <w:r>
        <w:rPr>
          <w:rFonts w:hint="eastAsia" w:ascii="宋体" w:hAnsi="宋体" w:eastAsia="宋体"/>
          <w:color w:val="000000" w:themeColor="text1"/>
          <w:sz w:val="21"/>
          <w:szCs w:val="21"/>
          <w14:textFill>
            <w14:solidFill>
              <w14:schemeClr w14:val="tx1"/>
            </w14:solidFill>
          </w14:textFill>
        </w:rPr>
        <w:t>胡旭博</w:t>
      </w:r>
      <w:r>
        <w:rPr>
          <w:rFonts w:ascii="宋体" w:hAnsi="宋体" w:eastAsia="宋体"/>
          <w:color w:val="000000" w:themeColor="text1"/>
          <w:sz w:val="21"/>
          <w:szCs w:val="21"/>
          <w14:textFill>
            <w14:solidFill>
              <w14:schemeClr w14:val="tx1"/>
            </w14:solidFill>
          </w14:textFill>
        </w:rPr>
        <w:t>,原长弘</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关键核心技术：概念、特征与突破因素</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科学学研究</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2022</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1期</w:t>
      </w:r>
      <w:r>
        <w:rPr>
          <w:rFonts w:ascii="宋体" w:hAnsi="宋体" w:eastAsia="宋体"/>
          <w:color w:val="000000" w:themeColor="text1"/>
          <w:sz w:val="21"/>
          <w:szCs w:val="21"/>
          <w14:textFill>
            <w14:solidFill>
              <w14:schemeClr w14:val="tx1"/>
            </w14:solidFill>
          </w14:textFill>
        </w:rPr>
        <w:t>。</w:t>
      </w:r>
    </w:p>
  </w:footnote>
  <w:footnote w:id="394">
    <w:p w14:paraId="2F8EEE25">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rPr>
        <w:footnoteRef/>
      </w:r>
      <w:r>
        <w:t xml:space="preserve"> </w:t>
      </w:r>
      <w:r>
        <w:rPr>
          <w:rFonts w:hint="eastAsia" w:ascii="宋体" w:hAnsi="宋体" w:eastAsia="宋体"/>
          <w:color w:val="000000" w:themeColor="text1"/>
          <w:sz w:val="21"/>
          <w:szCs w:val="21"/>
          <w14:textFill>
            <w14:solidFill>
              <w14:schemeClr w14:val="tx1"/>
            </w14:solidFill>
          </w14:textFill>
        </w:rPr>
        <w:t>谢富胜</w:t>
      </w:r>
      <w:r>
        <w:rPr>
          <w:rFonts w:ascii="宋体" w:hAnsi="宋体" w:eastAsia="宋体"/>
          <w:color w:val="000000" w:themeColor="text1"/>
          <w:sz w:val="21"/>
          <w:szCs w:val="21"/>
          <w14:textFill>
            <w14:solidFill>
              <w14:schemeClr w14:val="tx1"/>
            </w14:solidFill>
          </w14:textFill>
        </w:rPr>
        <w:t>,匡晓璐</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以问题为导向构建新发展格局</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中国社会科学</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2022</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6期</w:t>
      </w:r>
      <w:r>
        <w:rPr>
          <w:rFonts w:ascii="宋体" w:hAnsi="宋体" w:eastAsia="宋体"/>
          <w:color w:val="000000" w:themeColor="text1"/>
          <w:sz w:val="21"/>
          <w:szCs w:val="21"/>
          <w14:textFill>
            <w14:solidFill>
              <w14:schemeClr w14:val="tx1"/>
            </w14:solidFill>
          </w14:textFill>
        </w:rPr>
        <w:t>。</w:t>
      </w:r>
    </w:p>
  </w:footnote>
  <w:footnote w:id="395">
    <w:p w14:paraId="2516ACB0">
      <w:pPr>
        <w:pStyle w:val="11"/>
        <w:keepNext w:val="0"/>
        <w:pageBreakBefore w:val="0"/>
        <w:wordWrap/>
        <w:overflowPunct/>
        <w:topLinePunct w:val="0"/>
        <w:bidi w:val="0"/>
        <w:spacing w:line="240" w:lineRule="auto"/>
        <w:ind w:left="0" w:firstLine="0" w:firstLineChars="0"/>
        <w:rPr>
          <w:sz w:val="21"/>
          <w:szCs w:val="21"/>
        </w:rPr>
      </w:pPr>
      <w:r>
        <w:rPr>
          <w:rStyle w:val="20"/>
          <w:sz w:val="21"/>
          <w:szCs w:val="21"/>
        </w:rPr>
        <w:footnoteRef/>
      </w:r>
      <w:r>
        <w:rPr>
          <w:sz w:val="21"/>
          <w:szCs w:val="21"/>
        </w:rPr>
        <w:t xml:space="preserve"> </w:t>
      </w:r>
      <w:r>
        <w:rPr>
          <w:rFonts w:hint="eastAsia" w:ascii="宋体" w:hAnsi="宋体" w:eastAsia="宋体"/>
          <w:sz w:val="21"/>
          <w:szCs w:val="21"/>
        </w:rPr>
        <w:t>谢伏瞻：《</w:t>
      </w:r>
      <w:r>
        <w:rPr>
          <w:rFonts w:ascii="宋体" w:hAnsi="宋体" w:eastAsia="宋体"/>
          <w:sz w:val="21"/>
          <w:szCs w:val="21"/>
        </w:rPr>
        <w:t>论新工业革命加速拓展与全球治理变革方向</w:t>
      </w:r>
      <w:r>
        <w:rPr>
          <w:rFonts w:hint="eastAsia" w:ascii="宋体" w:hAnsi="宋体" w:eastAsia="宋体"/>
          <w:sz w:val="21"/>
          <w:szCs w:val="21"/>
        </w:rPr>
        <w:t>》，《</w:t>
      </w:r>
      <w:r>
        <w:rPr>
          <w:rFonts w:ascii="宋体" w:hAnsi="宋体" w:eastAsia="宋体"/>
          <w:sz w:val="21"/>
          <w:szCs w:val="21"/>
        </w:rPr>
        <w:t>经济研究</w:t>
      </w:r>
      <w:r>
        <w:rPr>
          <w:rFonts w:hint="eastAsia" w:ascii="宋体" w:hAnsi="宋体" w:eastAsia="宋体"/>
          <w:sz w:val="21"/>
          <w:szCs w:val="21"/>
        </w:rPr>
        <w:t>》</w:t>
      </w:r>
      <w:r>
        <w:rPr>
          <w:rFonts w:ascii="宋体" w:hAnsi="宋体" w:eastAsia="宋体"/>
          <w:sz w:val="21"/>
          <w:szCs w:val="21"/>
        </w:rPr>
        <w:t>2019</w:t>
      </w:r>
      <w:r>
        <w:rPr>
          <w:rFonts w:hint="eastAsia" w:ascii="宋体" w:hAnsi="宋体" w:eastAsia="宋体"/>
          <w:sz w:val="21"/>
          <w:szCs w:val="21"/>
        </w:rPr>
        <w:t>年</w:t>
      </w:r>
      <w:r>
        <w:rPr>
          <w:rFonts w:ascii="宋体" w:hAnsi="宋体" w:eastAsia="宋体"/>
          <w:sz w:val="21"/>
          <w:szCs w:val="21"/>
        </w:rPr>
        <w:t>第</w:t>
      </w:r>
      <w:r>
        <w:rPr>
          <w:rFonts w:hint="eastAsia" w:ascii="宋体" w:hAnsi="宋体" w:eastAsia="宋体"/>
          <w:sz w:val="21"/>
          <w:szCs w:val="21"/>
        </w:rPr>
        <w:t>7期</w:t>
      </w:r>
      <w:r>
        <w:rPr>
          <w:rFonts w:ascii="宋体" w:hAnsi="宋体" w:eastAsia="宋体"/>
          <w:sz w:val="21"/>
          <w:szCs w:val="21"/>
        </w:rPr>
        <w:t>。</w:t>
      </w:r>
    </w:p>
  </w:footnote>
  <w:footnote w:id="396">
    <w:p w14:paraId="4EF97E55">
      <w:pPr>
        <w:pStyle w:val="11"/>
        <w:keepNext w:val="0"/>
        <w:pageBreakBefore w:val="0"/>
        <w:wordWrap/>
        <w:overflowPunct/>
        <w:topLinePunct w:val="0"/>
        <w:bidi w:val="0"/>
        <w:spacing w:line="240" w:lineRule="auto"/>
        <w:ind w:left="0" w:firstLine="0" w:firstLineChars="0"/>
        <w:jc w:val="both"/>
        <w:rPr>
          <w:rFonts w:ascii="宋体" w:hAnsi="宋体" w:eastAsia="宋体"/>
          <w:sz w:val="21"/>
          <w:szCs w:val="21"/>
        </w:rPr>
      </w:pPr>
      <w:r>
        <w:rPr>
          <w:rStyle w:val="20"/>
        </w:rPr>
        <w:footnoteRef/>
      </w:r>
      <w:r>
        <w:t xml:space="preserve"> </w:t>
      </w:r>
      <w:r>
        <w:rPr>
          <w:rFonts w:hint="eastAsia" w:ascii="宋体" w:hAnsi="宋体" w:eastAsia="宋体"/>
          <w:color w:val="000000" w:themeColor="text1"/>
          <w:sz w:val="21"/>
          <w:szCs w:val="21"/>
          <w14:textFill>
            <w14:solidFill>
              <w14:schemeClr w14:val="tx1"/>
            </w14:solidFill>
          </w14:textFill>
        </w:rPr>
        <w:t>杜海涛：《我国进出口规模首次突破</w:t>
      </w:r>
      <w:r>
        <w:rPr>
          <w:rFonts w:ascii="宋体" w:hAnsi="宋体" w:eastAsia="宋体"/>
          <w:color w:val="000000" w:themeColor="text1"/>
          <w:sz w:val="21"/>
          <w:szCs w:val="21"/>
          <w14:textFill>
            <w14:solidFill>
              <w14:schemeClr w14:val="tx1"/>
            </w14:solidFill>
          </w14:textFill>
        </w:rPr>
        <w:t>40万亿元</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人民日报 》2023年01月14日</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第 01 版</w:t>
      </w:r>
      <w:r>
        <w:rPr>
          <w:rFonts w:hint="eastAsia" w:ascii="宋体" w:hAnsi="宋体" w:eastAsia="宋体"/>
          <w:color w:val="000000" w:themeColor="text1"/>
          <w:sz w:val="21"/>
          <w:szCs w:val="21"/>
          <w14:textFill>
            <w14:solidFill>
              <w14:schemeClr w14:val="tx1"/>
            </w14:solidFill>
          </w14:textFill>
        </w:rPr>
        <w:t>。</w:t>
      </w:r>
    </w:p>
  </w:footnote>
  <w:footnote w:id="397">
    <w:p w14:paraId="6B52B3B5">
      <w:pPr>
        <w:pStyle w:val="11"/>
        <w:keepNext w:val="0"/>
        <w:pageBreakBefore w:val="0"/>
        <w:wordWrap/>
        <w:overflowPunct/>
        <w:topLinePunct w:val="0"/>
        <w:bidi w:val="0"/>
        <w:spacing w:line="240" w:lineRule="auto"/>
        <w:ind w:left="0" w:firstLine="0" w:firstLineChars="0"/>
        <w:jc w:val="both"/>
        <w:rPr>
          <w:rFonts w:ascii="宋体" w:hAnsi="宋体" w:eastAsia="宋体"/>
          <w:color w:val="000000" w:themeColor="text1"/>
          <w:sz w:val="21"/>
          <w:szCs w:val="21"/>
          <w14:textFill>
            <w14:solidFill>
              <w14:schemeClr w14:val="tx1"/>
            </w14:solidFill>
          </w14:textFill>
        </w:rPr>
      </w:pPr>
      <w:r>
        <w:rPr>
          <w:rStyle w:val="20"/>
        </w:rPr>
        <w:footnoteRef/>
      </w:r>
      <w:r>
        <w:t xml:space="preserve"> </w:t>
      </w:r>
      <w:r>
        <w:rPr>
          <w:rFonts w:hint="eastAsia" w:ascii="宋体" w:hAnsi="宋体" w:eastAsia="宋体"/>
          <w:color w:val="000000" w:themeColor="text1"/>
          <w:sz w:val="21"/>
          <w:szCs w:val="21"/>
          <w14:textFill>
            <w14:solidFill>
              <w14:schemeClr w14:val="tx1"/>
            </w14:solidFill>
          </w14:textFill>
        </w:rPr>
        <w:t>魏后凯</w:t>
      </w:r>
      <w:r>
        <w:rPr>
          <w:rFonts w:ascii="宋体" w:hAnsi="宋体" w:eastAsia="宋体"/>
          <w:color w:val="000000" w:themeColor="text1"/>
          <w:sz w:val="21"/>
          <w:szCs w:val="21"/>
          <w14:textFill>
            <w14:solidFill>
              <w14:schemeClr w14:val="tx1"/>
            </w14:solidFill>
          </w14:textFill>
        </w:rPr>
        <w:t>,王颂吉</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中国“过度去工业化”现象剖析与理论反思</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中国工业经济</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2019</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1期</w:t>
      </w:r>
      <w:r>
        <w:rPr>
          <w:rFonts w:ascii="宋体" w:hAnsi="宋体" w:eastAsia="宋体"/>
          <w:color w:val="000000" w:themeColor="text1"/>
          <w:sz w:val="21"/>
          <w:szCs w:val="21"/>
          <w14:textFill>
            <w14:solidFill>
              <w14:schemeClr w14:val="tx1"/>
            </w14:solidFill>
          </w14:textFill>
        </w:rPr>
        <w:t>。</w:t>
      </w:r>
    </w:p>
  </w:footnote>
  <w:footnote w:id="398">
    <w:p w14:paraId="70815B62">
      <w:pPr>
        <w:pStyle w:val="11"/>
        <w:keepNext w:val="0"/>
        <w:pageBreakBefore w:val="0"/>
        <w:wordWrap/>
        <w:overflowPunct/>
        <w:topLinePunct w:val="0"/>
        <w:bidi w:val="0"/>
        <w:spacing w:line="240" w:lineRule="auto"/>
        <w:ind w:left="0" w:firstLine="0" w:firstLineChars="0"/>
        <w:rPr>
          <w:rFonts w:ascii="宋体" w:hAnsi="宋体" w:eastAsia="宋体"/>
          <w:color w:val="000000" w:themeColor="text1"/>
          <w:sz w:val="21"/>
          <w:szCs w:val="21"/>
          <w14:textFill>
            <w14:solidFill>
              <w14:schemeClr w14:val="tx1"/>
            </w14:solidFill>
          </w14:textFill>
        </w:rPr>
      </w:pPr>
      <w:r>
        <w:rPr>
          <w:rStyle w:val="20"/>
          <w:color w:val="000000" w:themeColor="text1"/>
          <w14:textFill>
            <w14:solidFill>
              <w14:schemeClr w14:val="tx1"/>
            </w14:solidFill>
          </w14:textFill>
        </w:rPr>
        <w:footnoteRef/>
      </w:r>
      <w:r>
        <w:rPr>
          <w:color w:val="000000" w:themeColor="text1"/>
          <w14:textFill>
            <w14:solidFill>
              <w14:schemeClr w14:val="tx1"/>
            </w14:solidFill>
          </w14:textFill>
        </w:rPr>
        <w:t xml:space="preserve"> </w:t>
      </w:r>
      <w:r>
        <w:rPr>
          <w:rFonts w:ascii="宋体" w:hAnsi="宋体" w:eastAsia="宋体"/>
          <w:color w:val="000000" w:themeColor="text1"/>
          <w:sz w:val="21"/>
          <w:szCs w:val="21"/>
          <w14:textFill>
            <w14:solidFill>
              <w14:schemeClr w14:val="tx1"/>
            </w14:solidFill>
          </w14:textFill>
        </w:rPr>
        <w:t>程恩富,吴文新</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论自主创新的若干问题</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红旗文稿</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2019</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18期</w:t>
      </w:r>
      <w:r>
        <w:rPr>
          <w:rFonts w:ascii="宋体" w:hAnsi="宋体" w:eastAsia="宋体"/>
          <w:color w:val="000000" w:themeColor="text1"/>
          <w:sz w:val="21"/>
          <w:szCs w:val="21"/>
          <w14:textFill>
            <w14:solidFill>
              <w14:schemeClr w14:val="tx1"/>
            </w14:solidFill>
          </w14:textFill>
        </w:rPr>
        <w:t>。</w:t>
      </w:r>
    </w:p>
  </w:footnote>
  <w:footnote w:id="399">
    <w:p w14:paraId="18794713">
      <w:pPr>
        <w:pStyle w:val="11"/>
        <w:keepNext w:val="0"/>
        <w:pageBreakBefore w:val="0"/>
        <w:wordWrap/>
        <w:overflowPunct/>
        <w:topLinePunct w:val="0"/>
        <w:bidi w:val="0"/>
        <w:spacing w:line="240" w:lineRule="auto"/>
        <w:ind w:left="0" w:firstLine="0" w:firstLineChars="0"/>
        <w:rPr>
          <w:rFonts w:ascii="宋体" w:hAnsi="宋体" w:eastAsia="宋体"/>
          <w:sz w:val="21"/>
          <w:szCs w:val="21"/>
        </w:rPr>
      </w:pPr>
      <w:r>
        <w:rPr>
          <w:rStyle w:val="20"/>
        </w:rPr>
        <w:footnoteRef/>
      </w:r>
      <w:r>
        <w:t xml:space="preserve"> </w:t>
      </w:r>
      <w:r>
        <w:rPr>
          <w:rFonts w:hint="eastAsia" w:ascii="宋体" w:hAnsi="宋体" w:eastAsia="宋体"/>
          <w:sz w:val="21"/>
          <w:szCs w:val="21"/>
        </w:rPr>
        <w:t>周民良：《</w:t>
      </w:r>
      <w:r>
        <w:rPr>
          <w:rFonts w:ascii="宋体" w:hAnsi="宋体" w:eastAsia="宋体"/>
          <w:sz w:val="21"/>
          <w:szCs w:val="21"/>
        </w:rPr>
        <w:t>2.0版新型工业化初探</w:t>
      </w:r>
      <w:r>
        <w:rPr>
          <w:rFonts w:hint="eastAsia" w:ascii="宋体" w:hAnsi="宋体" w:eastAsia="宋体"/>
          <w:sz w:val="21"/>
          <w:szCs w:val="21"/>
        </w:rPr>
        <w:t>》，《</w:t>
      </w:r>
      <w:r>
        <w:rPr>
          <w:rFonts w:ascii="宋体" w:hAnsi="宋体" w:eastAsia="宋体"/>
          <w:sz w:val="21"/>
          <w:szCs w:val="21"/>
        </w:rPr>
        <w:t>中国发展观察</w:t>
      </w:r>
      <w:r>
        <w:rPr>
          <w:rFonts w:hint="eastAsia" w:ascii="宋体" w:hAnsi="宋体" w:eastAsia="宋体"/>
          <w:sz w:val="21"/>
          <w:szCs w:val="21"/>
        </w:rPr>
        <w:t>》</w:t>
      </w:r>
      <w:r>
        <w:rPr>
          <w:rFonts w:ascii="宋体" w:hAnsi="宋体" w:eastAsia="宋体"/>
          <w:sz w:val="21"/>
          <w:szCs w:val="21"/>
        </w:rPr>
        <w:t>2022</w:t>
      </w:r>
      <w:r>
        <w:rPr>
          <w:rFonts w:hint="eastAsia" w:ascii="宋体" w:hAnsi="宋体" w:eastAsia="宋体"/>
          <w:sz w:val="21"/>
          <w:szCs w:val="21"/>
        </w:rPr>
        <w:t>年</w:t>
      </w:r>
      <w:r>
        <w:rPr>
          <w:rFonts w:ascii="宋体" w:hAnsi="宋体" w:eastAsia="宋体"/>
          <w:sz w:val="21"/>
          <w:szCs w:val="21"/>
        </w:rPr>
        <w:t>第</w:t>
      </w:r>
      <w:r>
        <w:rPr>
          <w:rFonts w:hint="eastAsia" w:ascii="宋体" w:hAnsi="宋体" w:eastAsia="宋体"/>
          <w:sz w:val="21"/>
          <w:szCs w:val="21"/>
        </w:rPr>
        <w:t>8期</w:t>
      </w:r>
      <w:r>
        <w:rPr>
          <w:rFonts w:ascii="宋体" w:hAnsi="宋体" w:eastAsia="宋体"/>
          <w:sz w:val="21"/>
          <w:szCs w:val="21"/>
        </w:rPr>
        <w:t>。</w:t>
      </w:r>
    </w:p>
  </w:footnote>
  <w:footnote w:id="400">
    <w:p w14:paraId="66B918A3">
      <w:pPr>
        <w:pStyle w:val="11"/>
        <w:keepNext w:val="0"/>
        <w:pageBreakBefore w:val="0"/>
        <w:wordWrap/>
        <w:overflowPunct/>
        <w:topLinePunct w:val="0"/>
        <w:bidi w:val="0"/>
        <w:spacing w:line="240" w:lineRule="auto"/>
        <w:ind w:left="0" w:firstLine="0" w:firstLineChars="0"/>
        <w:rPr>
          <w:rFonts w:ascii="宋体" w:hAnsi="宋体" w:eastAsia="宋体"/>
          <w:sz w:val="21"/>
          <w:szCs w:val="21"/>
        </w:rPr>
      </w:pPr>
      <w:r>
        <w:rPr>
          <w:rStyle w:val="20"/>
        </w:rPr>
        <w:footnoteRef/>
      </w:r>
      <w:r>
        <w:t xml:space="preserve"> </w:t>
      </w:r>
      <w:r>
        <w:rPr>
          <w:rFonts w:hint="eastAsia" w:ascii="宋体" w:hAnsi="宋体" w:eastAsia="宋体"/>
          <w:sz w:val="21"/>
          <w:szCs w:val="21"/>
        </w:rPr>
        <w:t>国家</w:t>
      </w:r>
      <w:r>
        <w:rPr>
          <w:rFonts w:ascii="宋体" w:hAnsi="宋体" w:eastAsia="宋体"/>
          <w:sz w:val="21"/>
          <w:szCs w:val="21"/>
        </w:rPr>
        <w:t>统计局：《</w:t>
      </w:r>
      <w:r>
        <w:rPr>
          <w:rFonts w:hint="eastAsia" w:ascii="宋体" w:hAnsi="宋体" w:eastAsia="宋体"/>
          <w:sz w:val="21"/>
          <w:szCs w:val="21"/>
        </w:rPr>
        <w:t>中华人民共和国</w:t>
      </w:r>
      <w:r>
        <w:rPr>
          <w:rFonts w:ascii="宋体" w:hAnsi="宋体" w:eastAsia="宋体"/>
          <w:sz w:val="21"/>
          <w:szCs w:val="21"/>
        </w:rPr>
        <w:t>2022年国民经济和社会发展统计公报》</w:t>
      </w:r>
      <w:r>
        <w:rPr>
          <w:rFonts w:hint="eastAsia" w:ascii="宋体" w:hAnsi="宋体" w:eastAsia="宋体"/>
          <w:sz w:val="21"/>
          <w:szCs w:val="21"/>
        </w:rPr>
        <w:t>，</w:t>
      </w:r>
      <w:r>
        <w:rPr>
          <w:rFonts w:ascii="Times New Roman" w:hAnsi="Times New Roman" w:eastAsia="宋体" w:cs="Times New Roman"/>
          <w:sz w:val="21"/>
          <w:szCs w:val="21"/>
        </w:rPr>
        <w:t>http://www.stats.gov.cn/tjsj/zxfb/202302/t20230227_1918980.html</w:t>
      </w:r>
      <w:r>
        <w:rPr>
          <w:rFonts w:hint="eastAsia" w:ascii="宋体" w:hAnsi="宋体" w:eastAsia="宋体"/>
          <w:sz w:val="21"/>
          <w:szCs w:val="21"/>
        </w:rPr>
        <w:t>，访问</w:t>
      </w:r>
      <w:r>
        <w:rPr>
          <w:rFonts w:ascii="宋体" w:hAnsi="宋体" w:eastAsia="宋体"/>
          <w:sz w:val="21"/>
          <w:szCs w:val="21"/>
        </w:rPr>
        <w:t>时间：2023-02-28</w:t>
      </w:r>
      <w:r>
        <w:rPr>
          <w:rFonts w:hint="eastAsia" w:ascii="宋体" w:hAnsi="宋体" w:eastAsia="宋体"/>
          <w:sz w:val="21"/>
          <w:szCs w:val="21"/>
        </w:rPr>
        <w:t>。</w:t>
      </w:r>
    </w:p>
  </w:footnote>
  <w:footnote w:id="401">
    <w:p w14:paraId="43D2A7D3">
      <w:pPr>
        <w:pStyle w:val="11"/>
        <w:keepNext w:val="0"/>
        <w:pageBreakBefore w:val="0"/>
        <w:wordWrap/>
        <w:overflowPunct/>
        <w:topLinePunct w:val="0"/>
        <w:bidi w:val="0"/>
        <w:spacing w:line="240" w:lineRule="auto"/>
        <w:ind w:left="0" w:firstLine="0" w:firstLineChars="0"/>
        <w:jc w:val="both"/>
        <w:rPr>
          <w:rFonts w:ascii="宋体" w:hAnsi="宋体" w:eastAsia="宋体"/>
          <w:sz w:val="21"/>
          <w:szCs w:val="21"/>
        </w:rPr>
      </w:pPr>
      <w:r>
        <w:rPr>
          <w:rStyle w:val="20"/>
        </w:rPr>
        <w:footnoteRef/>
      </w:r>
      <w:r>
        <w:t xml:space="preserve"> </w:t>
      </w:r>
      <w:r>
        <w:rPr>
          <w:rFonts w:hint="eastAsia" w:ascii="宋体" w:hAnsi="宋体" w:eastAsia="宋体"/>
          <w:color w:val="000000" w:themeColor="text1"/>
          <w:sz w:val="21"/>
          <w:szCs w:val="21"/>
          <w14:textFill>
            <w14:solidFill>
              <w14:schemeClr w14:val="tx1"/>
            </w14:solidFill>
          </w14:textFill>
        </w:rPr>
        <w:t>卢江</w:t>
      </w:r>
      <w:r>
        <w:rPr>
          <w:rFonts w:ascii="宋体" w:hAnsi="宋体" w:eastAsia="宋体"/>
          <w:color w:val="000000" w:themeColor="text1"/>
          <w:sz w:val="21"/>
          <w:szCs w:val="21"/>
          <w14:textFill>
            <w14:solidFill>
              <w14:schemeClr w14:val="tx1"/>
            </w14:solidFill>
          </w14:textFill>
        </w:rPr>
        <w:t>,许凌云,梁梓璇</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世界经济格局新变化与全球经济治理模式创新研究</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政治经济学评论</w:t>
      </w:r>
      <w:r>
        <w:rPr>
          <w:rFonts w:hint="eastAsia" w:ascii="宋体" w:hAnsi="宋体" w:eastAsia="宋体"/>
          <w:color w:val="000000" w:themeColor="text1"/>
          <w:sz w:val="21"/>
          <w:szCs w:val="21"/>
          <w14:textFill>
            <w14:solidFill>
              <w14:schemeClr w14:val="tx1"/>
            </w14:solidFill>
          </w14:textFill>
        </w:rPr>
        <w:t>》</w:t>
      </w:r>
      <w:r>
        <w:rPr>
          <w:rFonts w:ascii="宋体" w:hAnsi="宋体" w:eastAsia="宋体"/>
          <w:color w:val="000000" w:themeColor="text1"/>
          <w:sz w:val="21"/>
          <w:szCs w:val="21"/>
          <w14:textFill>
            <w14:solidFill>
              <w14:schemeClr w14:val="tx1"/>
            </w14:solidFill>
          </w14:textFill>
        </w:rPr>
        <w:t>2022</w:t>
      </w:r>
      <w:r>
        <w:rPr>
          <w:rFonts w:hint="eastAsia" w:ascii="宋体" w:hAnsi="宋体" w:eastAsia="宋体"/>
          <w:color w:val="000000" w:themeColor="text1"/>
          <w:sz w:val="21"/>
          <w:szCs w:val="21"/>
          <w14:textFill>
            <w14:solidFill>
              <w14:schemeClr w14:val="tx1"/>
            </w14:solidFill>
          </w14:textFill>
        </w:rPr>
        <w:t>年</w:t>
      </w:r>
      <w:r>
        <w:rPr>
          <w:rFonts w:ascii="宋体" w:hAnsi="宋体" w:eastAsia="宋体"/>
          <w:color w:val="000000" w:themeColor="text1"/>
          <w:sz w:val="21"/>
          <w:szCs w:val="21"/>
          <w14:textFill>
            <w14:solidFill>
              <w14:schemeClr w14:val="tx1"/>
            </w14:solidFill>
          </w14:textFill>
        </w:rPr>
        <w:t>第</w:t>
      </w:r>
      <w:r>
        <w:rPr>
          <w:rFonts w:hint="eastAsia" w:ascii="宋体" w:hAnsi="宋体" w:eastAsia="宋体"/>
          <w:color w:val="000000" w:themeColor="text1"/>
          <w:sz w:val="21"/>
          <w:szCs w:val="21"/>
          <w14:textFill>
            <w14:solidFill>
              <w14:schemeClr w14:val="tx1"/>
            </w14:solidFill>
          </w14:textFill>
        </w:rPr>
        <w:t>3期</w:t>
      </w:r>
      <w:r>
        <w:rPr>
          <w:rFonts w:ascii="宋体" w:hAnsi="宋体" w:eastAsia="宋体"/>
          <w:color w:val="000000" w:themeColor="text1"/>
          <w:sz w:val="21"/>
          <w:szCs w:val="21"/>
          <w14:textFill>
            <w14:solidFill>
              <w14:schemeClr w14:val="tx1"/>
            </w14:solidFill>
          </w14:textFill>
        </w:rPr>
        <w:t>。</w:t>
      </w:r>
    </w:p>
  </w:footnote>
  <w:footnote w:id="402">
    <w:p w14:paraId="03BCA54C">
      <w:pPr>
        <w:pStyle w:val="11"/>
        <w:pageBreakBefore w:val="0"/>
        <w:wordWrap/>
        <w:overflowPunct/>
        <w:topLinePunct w:val="0"/>
        <w:bidi w:val="0"/>
        <w:spacing w:line="240" w:lineRule="auto"/>
        <w:ind w:left="0" w:firstLine="0" w:firstLineChars="0"/>
      </w:pPr>
      <w:r>
        <w:rPr>
          <w:rStyle w:val="20"/>
        </w:rPr>
        <w:footnoteRef/>
      </w:r>
      <w:r>
        <w:t xml:space="preserve"> </w:t>
      </w:r>
      <w:r>
        <w:rPr>
          <w:rFonts w:ascii="Times New Roman" w:hAnsi="Times New Roman" w:cs="Times New Roman"/>
        </w:rPr>
        <w:t>WorldBank, “World Development Report 2022 : Finance for an Equitable Recovery”, https://documents.worldbank.org/en/publication/documents-reports/documentdetail/408661644986413472/world-development-report-2022-finance-for-an-equitable-recovery</w:t>
      </w:r>
    </w:p>
  </w:footnote>
  <w:footnote w:id="403">
    <w:p w14:paraId="5267555F">
      <w:pPr>
        <w:pStyle w:val="11"/>
        <w:pageBreakBefore w:val="0"/>
        <w:wordWrap/>
        <w:overflowPunct/>
        <w:topLinePunct w:val="0"/>
        <w:bidi w:val="0"/>
        <w:spacing w:line="240" w:lineRule="auto"/>
        <w:ind w:left="0" w:firstLine="0" w:firstLineChars="0"/>
      </w:pPr>
      <w:r>
        <w:rPr>
          <w:rStyle w:val="20"/>
        </w:rPr>
        <w:footnoteRef/>
      </w:r>
      <w:r>
        <w:t xml:space="preserve"> </w:t>
      </w:r>
      <w:r>
        <w:rPr>
          <w:rFonts w:ascii="Times New Roman" w:hAnsi="Times New Roman" w:cs="Times New Roman"/>
        </w:rPr>
        <w:t>WorldBank, “Global Economy on Precarious Footing Amid High Interest Rates”, https://www.worldbank.org/en/news/press-release/2023/06/06/global-economy-on-precarious-footing-amid-high-interest-rates?intcid=ecr_hp_headerL_en_ext</w:t>
      </w:r>
    </w:p>
  </w:footnote>
  <w:footnote w:id="404">
    <w:p w14:paraId="71153504">
      <w:pPr>
        <w:pStyle w:val="11"/>
        <w:pageBreakBefore w:val="0"/>
        <w:wordWrap/>
        <w:overflowPunct/>
        <w:topLinePunct w:val="0"/>
        <w:bidi w:val="0"/>
        <w:spacing w:line="240" w:lineRule="auto"/>
        <w:ind w:left="0" w:firstLine="0" w:firstLineChars="0"/>
      </w:pPr>
      <w:r>
        <w:rPr>
          <w:rStyle w:val="20"/>
        </w:rPr>
        <w:footnoteRef/>
      </w:r>
      <w:r>
        <w:t xml:space="preserve"> </w:t>
      </w:r>
      <w:r>
        <w:rPr>
          <w:rFonts w:ascii="Times New Roman" w:hAnsi="Times New Roman" w:cs="Times New Roman"/>
        </w:rPr>
        <w:t>WTO, “WTO issues 2023 Annual Report”, https://www.wto.org/english/news_e/news23_e/anrp_20jul23_e.htm</w:t>
      </w:r>
    </w:p>
  </w:footnote>
  <w:footnote w:id="405">
    <w:p w14:paraId="3715A33C">
      <w:pPr>
        <w:pStyle w:val="11"/>
        <w:pageBreakBefore w:val="0"/>
        <w:wordWrap/>
        <w:overflowPunct/>
        <w:topLinePunct w:val="0"/>
        <w:bidi w:val="0"/>
        <w:spacing w:line="240" w:lineRule="auto"/>
        <w:ind w:left="0" w:firstLine="0" w:firstLineChars="0"/>
      </w:pPr>
      <w:r>
        <w:rPr>
          <w:rStyle w:val="20"/>
        </w:rPr>
        <w:footnoteRef/>
      </w:r>
      <w:r>
        <w:t xml:space="preserve"> </w:t>
      </w:r>
      <w:r>
        <w:rPr>
          <w:rFonts w:ascii="Times New Roman" w:hAnsi="Times New Roman" w:cs="Times New Roman"/>
        </w:rPr>
        <w:t>OECD, “Foreign Direct Investment Statistics: Data, Analysis and Forecasts”, https://www.oecd.org/investment/statistics.htm</w:t>
      </w:r>
    </w:p>
  </w:footnote>
  <w:footnote w:id="406">
    <w:p w14:paraId="14C95226">
      <w:pPr>
        <w:pStyle w:val="7"/>
        <w:pageBreakBefore w:val="0"/>
        <w:wordWrap/>
        <w:overflowPunct/>
        <w:topLinePunct w:val="0"/>
        <w:bidi w:val="0"/>
        <w:spacing w:line="240" w:lineRule="auto"/>
        <w:ind w:left="0" w:firstLine="0" w:firstLineChars="0"/>
        <w:rPr>
          <w:rFonts w:ascii="Times New Roman" w:hAnsi="Times New Roman" w:cs="Times New Roman"/>
        </w:rPr>
      </w:pPr>
      <w:r>
        <w:rPr>
          <w:rStyle w:val="20"/>
        </w:rPr>
        <w:footnoteRef/>
      </w:r>
      <w:r>
        <w:t xml:space="preserve"> </w:t>
      </w:r>
      <w:r>
        <w:rPr>
          <w:rFonts w:hint="eastAsia" w:ascii="Times New Roman" w:hAnsi="Times New Roman" w:cs="Times New Roman"/>
        </w:rPr>
        <w:t xml:space="preserve">IMF, </w:t>
      </w:r>
      <w:r>
        <w:rPr>
          <w:rFonts w:ascii="Times New Roman" w:hAnsi="Times New Roman" w:cs="Times New Roman"/>
        </w:rPr>
        <w:t>“</w:t>
      </w:r>
      <w:r>
        <w:rPr>
          <w:rFonts w:hint="eastAsia" w:ascii="Times New Roman" w:hAnsi="Times New Roman" w:cs="Times New Roman"/>
        </w:rPr>
        <w:t>World Economic Outlook Database</w:t>
      </w:r>
      <w:r>
        <w:rPr>
          <w:rFonts w:ascii="Times New Roman" w:hAnsi="Times New Roman" w:cs="Times New Roman"/>
        </w:rPr>
        <w:t>”</w:t>
      </w:r>
      <w:r>
        <w:rPr>
          <w:rFonts w:hint="eastAsia" w:ascii="Times New Roman" w:hAnsi="Times New Roman" w:cs="Times New Roman"/>
        </w:rPr>
        <w:t>, https://www.imf.org/en/Publications/WEO/weo-database/2022/</w:t>
      </w:r>
    </w:p>
    <w:p w14:paraId="60D2F40A">
      <w:pPr>
        <w:pStyle w:val="11"/>
        <w:pageBreakBefore w:val="0"/>
        <w:wordWrap/>
        <w:overflowPunct/>
        <w:topLinePunct w:val="0"/>
        <w:bidi w:val="0"/>
        <w:spacing w:line="240" w:lineRule="auto"/>
        <w:ind w:left="0" w:firstLine="0" w:firstLineChars="0"/>
      </w:pPr>
      <w:r>
        <w:rPr>
          <w:rFonts w:hint="eastAsia" w:ascii="Times New Roman" w:hAnsi="Times New Roman" w:cs="Times New Roman"/>
        </w:rPr>
        <w:t>October.</w:t>
      </w:r>
    </w:p>
  </w:footnote>
  <w:footnote w:id="407">
    <w:p w14:paraId="5D4F3B0A">
      <w:pPr>
        <w:pStyle w:val="11"/>
        <w:pageBreakBefore w:val="0"/>
        <w:wordWrap/>
        <w:overflowPunct/>
        <w:topLinePunct w:val="0"/>
        <w:bidi w:val="0"/>
        <w:adjustRightInd w:val="0"/>
        <w:spacing w:line="240" w:lineRule="auto"/>
        <w:ind w:left="0" w:firstLine="0" w:firstLineChars="0"/>
      </w:pPr>
      <w:r>
        <w:rPr>
          <w:rStyle w:val="20"/>
        </w:rPr>
        <w:footnoteRef/>
      </w:r>
      <w:r>
        <w:t xml:space="preserve"> </w:t>
      </w:r>
      <w:r>
        <w:rPr>
          <w:rFonts w:ascii="Times New Roman" w:hAnsi="Times New Roman" w:cs="Times New Roman"/>
        </w:rPr>
        <w:t>IMF</w:t>
      </w:r>
      <w:r>
        <w:rPr>
          <w:rFonts w:hint="eastAsia" w:ascii="Times New Roman" w:hAnsi="Times New Roman" w:cs="Times New Roman"/>
        </w:rPr>
        <w:t>,</w:t>
      </w:r>
      <w:r>
        <w:rPr>
          <w:rFonts w:ascii="Times New Roman" w:hAnsi="Times New Roman" w:cs="Times New Roman"/>
        </w:rPr>
        <w:t xml:space="preserve"> “World Economic Outlook: Countering the Cost-of-Living Crisis”</w:t>
      </w:r>
      <w:r>
        <w:rPr>
          <w:rFonts w:hint="eastAsia" w:ascii="Times New Roman" w:hAnsi="Times New Roman" w:cs="Times New Roman"/>
        </w:rPr>
        <w:t>,</w:t>
      </w:r>
      <w:r>
        <w:rPr>
          <w:rFonts w:ascii="Times New Roman" w:hAnsi="Times New Roman" w:cs="Times New Roman"/>
        </w:rPr>
        <w:t xml:space="preserve"> https://www.imf.org/en/Publications/WEO/Issues/2022/10/11/world-economic-outlook-october-2022</w:t>
      </w:r>
      <w:r>
        <w:rPr>
          <w:rFonts w:hint="eastAsia" w:ascii="Times New Roman" w:hAnsi="Times New Roman" w:cs="Times New Roman"/>
        </w:rPr>
        <w:t>.</w:t>
      </w:r>
    </w:p>
  </w:footnote>
  <w:footnote w:id="408">
    <w:p w14:paraId="7B0BADE4">
      <w:pPr>
        <w:pStyle w:val="11"/>
        <w:pageBreakBefore w:val="0"/>
        <w:wordWrap/>
        <w:overflowPunct/>
        <w:topLinePunct w:val="0"/>
        <w:bidi w:val="0"/>
        <w:adjustRightInd w:val="0"/>
        <w:spacing w:line="240" w:lineRule="auto"/>
        <w:ind w:left="0" w:firstLine="0" w:firstLineChars="0"/>
      </w:pPr>
      <w:r>
        <w:rPr>
          <w:rStyle w:val="20"/>
        </w:rPr>
        <w:footnoteRef/>
      </w:r>
      <w:r>
        <w:t xml:space="preserve"> </w:t>
      </w:r>
      <w:r>
        <w:rPr>
          <w:rFonts w:ascii="Times New Roman" w:hAnsi="Times New Roman" w:cs="Times New Roman"/>
        </w:rPr>
        <w:t>ABD</w:t>
      </w:r>
      <w:r>
        <w:rPr>
          <w:rFonts w:hint="eastAsia" w:ascii="Times New Roman" w:hAnsi="Times New Roman" w:cs="Times New Roman"/>
        </w:rPr>
        <w:t>,</w:t>
      </w:r>
      <w:r>
        <w:rPr>
          <w:rFonts w:ascii="Times New Roman" w:hAnsi="Times New Roman" w:cs="Times New Roman"/>
        </w:rPr>
        <w:t xml:space="preserve"> “Global Value Chain Development Report 2021</w:t>
      </w:r>
      <w:r>
        <w:rPr>
          <w:rFonts w:hint="eastAsia" w:ascii="Times New Roman" w:hAnsi="Times New Roman" w:cs="Times New Roman"/>
        </w:rPr>
        <w:t>: Beyond Production</w:t>
      </w:r>
      <w:r>
        <w:rPr>
          <w:rFonts w:ascii="Times New Roman" w:hAnsi="Times New Roman" w:cs="Times New Roman"/>
        </w:rPr>
        <w:t>”</w:t>
      </w:r>
      <w:r>
        <w:rPr>
          <w:rFonts w:hint="eastAsia" w:ascii="Times New Roman" w:hAnsi="Times New Roman" w:cs="Times New Roman"/>
        </w:rPr>
        <w:t>, December 2, 2021, https://www.adb.org/news/events/global-value-chain-development-report-</w:t>
      </w:r>
      <w:r>
        <w:rPr>
          <w:rFonts w:ascii="Times New Roman" w:hAnsi="Times New Roman" w:cs="Times New Roman"/>
        </w:rPr>
        <w:t>2021</w:t>
      </w:r>
      <w:r>
        <w:rPr>
          <w:rFonts w:hint="eastAsia" w:ascii="Times New Roman" w:hAnsi="Times New Roman" w:cs="Times New Roman"/>
        </w:rPr>
        <w:t>-beyond-production.</w:t>
      </w:r>
    </w:p>
  </w:footnote>
  <w:footnote w:id="409">
    <w:p w14:paraId="42D1A055">
      <w:pPr>
        <w:pageBreakBefore w:val="0"/>
        <w:widowControl/>
        <w:wordWrap/>
        <w:overflowPunct/>
        <w:topLinePunct w:val="0"/>
        <w:bidi w:val="0"/>
        <w:adjustRightInd w:val="0"/>
        <w:snapToGrid w:val="0"/>
        <w:spacing w:line="240" w:lineRule="auto"/>
        <w:ind w:left="0" w:firstLine="0" w:firstLineChars="0"/>
        <w:rPr>
          <w:rFonts w:ascii="宋体" w:hAnsi="宋体" w:eastAsia="宋体" w:cs="宋体"/>
          <w:kern w:val="0"/>
          <w:sz w:val="18"/>
          <w:szCs w:val="18"/>
        </w:rPr>
      </w:pPr>
      <w:r>
        <w:rPr>
          <w:rStyle w:val="20"/>
        </w:rPr>
        <w:footnoteRef/>
      </w:r>
      <w:r>
        <w:rPr>
          <w:rFonts w:hint="eastAsia" w:ascii="宋体" w:hAnsi="宋体" w:eastAsia="宋体" w:cs="宋体"/>
          <w:kern w:val="0"/>
          <w:sz w:val="18"/>
          <w:szCs w:val="18"/>
        </w:rPr>
        <w:t>中华人民共和国外交部：《美国的霸权霸道霸凌及其危害 》，2023 年 2 月 20 日，http://switzerlandemb.fmprc.</w:t>
      </w:r>
      <w:r>
        <w:rPr>
          <w:rFonts w:ascii="宋体" w:hAnsi="宋体" w:eastAsia="宋体" w:cs="宋体"/>
          <w:kern w:val="0"/>
          <w:sz w:val="18"/>
          <w:szCs w:val="18"/>
        </w:rPr>
        <w:t>gov.cn/web/wjbxw_new/202302/t20230220_11027619.</w:t>
      </w:r>
    </w:p>
    <w:p w14:paraId="0CF172BE">
      <w:pPr>
        <w:pageBreakBefore w:val="0"/>
        <w:widowControl/>
        <w:wordWrap/>
        <w:overflowPunct/>
        <w:topLinePunct w:val="0"/>
        <w:bidi w:val="0"/>
        <w:adjustRightInd w:val="0"/>
        <w:snapToGrid w:val="0"/>
        <w:spacing w:line="240" w:lineRule="auto"/>
        <w:ind w:left="0" w:firstLine="0" w:firstLineChars="0"/>
      </w:pPr>
      <w:r>
        <w:rPr>
          <w:rFonts w:hint="eastAsia" w:ascii="宋体" w:hAnsi="宋体" w:eastAsia="宋体" w:cs="宋体"/>
          <w:kern w:val="0"/>
          <w:sz w:val="18"/>
          <w:szCs w:val="18"/>
        </w:rPr>
        <w:t>shtml，访问时间：2023 年 7 月 18 日。</w:t>
      </w:r>
    </w:p>
  </w:footnote>
  <w:footnote w:id="410">
    <w:p w14:paraId="36FEF09D">
      <w:pPr>
        <w:pStyle w:val="13"/>
        <w:pageBreakBefore w:val="0"/>
        <w:shd w:val="clear" w:color="auto" w:fill="FFFFFF"/>
        <w:wordWrap/>
        <w:overflowPunct/>
        <w:topLinePunct w:val="0"/>
        <w:bidi w:val="0"/>
        <w:adjustRightInd w:val="0"/>
        <w:snapToGrid w:val="0"/>
        <w:spacing w:before="0" w:beforeAutospacing="0" w:after="0" w:afterAutospacing="0" w:line="240" w:lineRule="auto"/>
        <w:ind w:left="0" w:firstLine="0" w:firstLineChars="0"/>
        <w:textAlignment w:val="baseline"/>
      </w:pPr>
      <w:r>
        <w:rPr>
          <w:rStyle w:val="20"/>
          <w:sz w:val="18"/>
          <w:szCs w:val="18"/>
        </w:rPr>
        <w:footnoteRef/>
      </w:r>
      <w:r>
        <w:rPr>
          <w:sz w:val="18"/>
          <w:szCs w:val="18"/>
        </w:rPr>
        <w:t>马涛：《俄乌冲突下国际局势的变与不变》，《光明日报》</w:t>
      </w:r>
      <w:r>
        <w:rPr>
          <w:rFonts w:hint="eastAsia"/>
          <w:sz w:val="18"/>
          <w:szCs w:val="18"/>
        </w:rPr>
        <w:t>，</w:t>
      </w:r>
      <w:r>
        <w:rPr>
          <w:sz w:val="18"/>
          <w:szCs w:val="18"/>
        </w:rPr>
        <w:t>2022年7月2日。</w:t>
      </w:r>
    </w:p>
  </w:footnote>
  <w:footnote w:id="411">
    <w:p w14:paraId="648979D8">
      <w:pPr>
        <w:pStyle w:val="11"/>
        <w:pageBreakBefore w:val="0"/>
        <w:wordWrap/>
        <w:overflowPunct/>
        <w:topLinePunct w:val="0"/>
        <w:bidi w:val="0"/>
        <w:spacing w:line="240" w:lineRule="auto"/>
        <w:ind w:left="0" w:firstLine="0" w:firstLineChars="0"/>
      </w:pPr>
      <w:r>
        <w:rPr>
          <w:rStyle w:val="20"/>
        </w:rPr>
        <w:footnoteRef/>
      </w:r>
      <w:r>
        <w:t xml:space="preserve"> </w:t>
      </w:r>
      <w:r>
        <w:rPr>
          <w:rFonts w:hint="eastAsia" w:ascii="Times New Roman" w:hAnsi="Times New Roman" w:cs="Times New Roman"/>
        </w:rPr>
        <w:t>“</w:t>
      </w:r>
      <w:r>
        <w:rPr>
          <w:rFonts w:ascii="Times New Roman" w:hAnsi="Times New Roman" w:cs="Times New Roman"/>
        </w:rPr>
        <w:t>BRICS set to be bigger, stronger amid push for unity”,China Daily, 2023-04-27, https://www.chinadaily.com.</w:t>
      </w:r>
      <w:r>
        <w:rPr>
          <w:rFonts w:hint="eastAsia" w:ascii="Times New Roman" w:hAnsi="Times New Roman" w:cs="Times New Roman"/>
        </w:rPr>
        <w:t>cn/a/202304/27/WS6449cc4aa310b6054fad00c2.html，访问时间：2023 年 7 月 26 日。</w:t>
      </w:r>
    </w:p>
  </w:footnote>
  <w:footnote w:id="412">
    <w:p w14:paraId="0B998247">
      <w:pPr>
        <w:pStyle w:val="11"/>
        <w:pageBreakBefore w:val="0"/>
        <w:wordWrap/>
        <w:overflowPunct/>
        <w:topLinePunct w:val="0"/>
        <w:bidi w:val="0"/>
        <w:spacing w:line="240" w:lineRule="auto"/>
        <w:ind w:left="0" w:firstLine="0" w:firstLineChars="0"/>
      </w:pPr>
      <w:r>
        <w:rPr>
          <w:rStyle w:val="20"/>
        </w:rPr>
        <w:footnoteRef/>
      </w:r>
      <w:r>
        <w:t xml:space="preserve"> </w:t>
      </w:r>
      <w:r>
        <w:rPr>
          <w:rFonts w:cs="Times New Roman" w:asciiTheme="minorEastAsia" w:hAnsiTheme="minorEastAsia"/>
        </w:rPr>
        <w:t>王晓泉,丁晓星,毕洪业等：《中俄关系的历史逻辑、相处之道、内生动力与世界意义》，《俄罗斯研究》,</w:t>
      </w:r>
      <w:r>
        <w:rPr>
          <w:rFonts w:ascii="Times New Roman" w:hAnsi="Times New Roman" w:cs="Times New Roman"/>
        </w:rPr>
        <w:t>2023年第2期。</w:t>
      </w:r>
    </w:p>
  </w:footnote>
  <w:footnote w:id="413">
    <w:p w14:paraId="181547D8">
      <w:pPr>
        <w:pStyle w:val="11"/>
        <w:pageBreakBefore w:val="0"/>
        <w:wordWrap/>
        <w:overflowPunct/>
        <w:topLinePunct w:val="0"/>
        <w:bidi w:val="0"/>
        <w:spacing w:line="240" w:lineRule="auto"/>
        <w:ind w:left="0" w:firstLine="0" w:firstLineChars="0"/>
      </w:pPr>
      <w:r>
        <w:rPr>
          <w:rStyle w:val="20"/>
        </w:rPr>
        <w:footnoteRef/>
      </w:r>
      <w:r>
        <w:t xml:space="preserve"> </w:t>
      </w:r>
      <w:r>
        <w:rPr>
          <w:rFonts w:ascii="Times New Roman" w:hAnsi="Times New Roman" w:cs="Times New Roman"/>
        </w:rPr>
        <w:t>中华人民共和国海关总署</w:t>
      </w:r>
      <w:r>
        <w:rPr>
          <w:rFonts w:hint="eastAsia" w:ascii="Times New Roman" w:hAnsi="Times New Roman" w:cs="Times New Roman"/>
        </w:rPr>
        <w:t>数据：《2023年6月进出口商品主要国别（地区）总值表（人民币）》</w:t>
      </w:r>
      <w:r>
        <w:rPr>
          <w:rFonts w:ascii="Times New Roman" w:hAnsi="Times New Roman" w:cs="Times New Roman"/>
        </w:rPr>
        <w:t>http://www.customs.gov.cn/customs/302249/zfxxgk/2799825/302274/302275/5150496/index.html</w:t>
      </w:r>
    </w:p>
  </w:footnote>
  <w:footnote w:id="414">
    <w:p w14:paraId="2EAE4F72">
      <w:pPr>
        <w:pStyle w:val="11"/>
        <w:pageBreakBefore w:val="0"/>
        <w:wordWrap/>
        <w:overflowPunct/>
        <w:topLinePunct w:val="0"/>
        <w:bidi w:val="0"/>
        <w:spacing w:line="240" w:lineRule="auto"/>
        <w:ind w:left="0" w:firstLine="0" w:firstLineChars="0"/>
      </w:pPr>
      <w:r>
        <w:rPr>
          <w:rStyle w:val="20"/>
        </w:rPr>
        <w:footnoteRef/>
      </w:r>
      <w:r>
        <w:t xml:space="preserve"> </w:t>
      </w:r>
      <w:r>
        <w:rPr>
          <w:rFonts w:hint="eastAsia"/>
        </w:rPr>
        <w:t>《习近平同俄罗斯总统普京举行会谈</w:t>
      </w:r>
      <w:r>
        <w:rPr>
          <w:rFonts w:ascii="Times New Roman" w:hAnsi="Times New Roman" w:cs="Times New Roman"/>
        </w:rPr>
        <w:t>》，《人民日报》，2023</w:t>
      </w:r>
      <w:r>
        <w:rPr>
          <w:rFonts w:hint="eastAsia" w:ascii="Times New Roman" w:hAnsi="Times New Roman" w:cs="Times New Roman"/>
        </w:rPr>
        <w:t>年</w:t>
      </w:r>
      <w:r>
        <w:rPr>
          <w:rFonts w:ascii="Times New Roman" w:hAnsi="Times New Roman" w:cs="Times New Roman"/>
        </w:rPr>
        <w:t>3</w:t>
      </w:r>
      <w:r>
        <w:rPr>
          <w:rFonts w:hint="eastAsia" w:ascii="Times New Roman" w:hAnsi="Times New Roman" w:cs="Times New Roman"/>
        </w:rPr>
        <w:t>月</w:t>
      </w:r>
      <w:r>
        <w:rPr>
          <w:rFonts w:ascii="Times New Roman" w:hAnsi="Times New Roman" w:cs="Times New Roman"/>
        </w:rPr>
        <w:t>22</w:t>
      </w:r>
      <w:r>
        <w:rPr>
          <w:rFonts w:hint="eastAsia" w:ascii="Times New Roman" w:hAnsi="Times New Roman" w:cs="Times New Roman"/>
        </w:rPr>
        <w:t>日</w:t>
      </w:r>
      <w:r>
        <w:rPr>
          <w:rFonts w:ascii="Times New Roman" w:hAnsi="Times New Roman" w:cs="Times New Roman"/>
        </w:rPr>
        <w:t>。</w:t>
      </w:r>
    </w:p>
  </w:footnote>
  <w:footnote w:id="415">
    <w:p w14:paraId="143711F8">
      <w:pPr>
        <w:pStyle w:val="7"/>
        <w:pageBreakBefore w:val="0"/>
        <w:wordWrap/>
        <w:overflowPunct/>
        <w:topLinePunct w:val="0"/>
        <w:bidi w:val="0"/>
        <w:spacing w:line="240" w:lineRule="auto"/>
        <w:ind w:left="0" w:firstLine="0" w:firstLineChars="0"/>
        <w:rPr>
          <w:rFonts w:hint="eastAsia" w:ascii="Times New Roman" w:hAnsi="Times New Roman" w:cs="Times New Roman"/>
        </w:rPr>
      </w:pPr>
      <w:r>
        <w:rPr>
          <w:rStyle w:val="20"/>
        </w:rPr>
        <w:footnoteRef/>
      </w:r>
      <w:r>
        <w:t xml:space="preserve"> </w:t>
      </w:r>
      <w:r>
        <w:rPr>
          <w:rFonts w:hint="eastAsia"/>
        </w:rPr>
        <w:t>《</w:t>
      </w:r>
      <w:r>
        <w:rPr>
          <w:rFonts w:ascii="Times New Roman" w:hAnsi="Times New Roman" w:cs="Times New Roman"/>
        </w:rPr>
        <w:t>习近平同俄罗斯总统普京分别向中俄地方合作交流年开幕式致贺辞</w:t>
      </w:r>
      <w:r>
        <w:rPr>
          <w:rFonts w:hint="eastAsia"/>
        </w:rPr>
        <w:t>》</w:t>
      </w:r>
      <w:r>
        <w:rPr>
          <w:rFonts w:hint="eastAsia" w:ascii="Times New Roman" w:hAnsi="Times New Roman" w:cs="Times New Roman"/>
        </w:rPr>
        <w:t>，《</w:t>
      </w:r>
      <w:r>
        <w:rPr>
          <w:rFonts w:ascii="Times New Roman" w:hAnsi="Times New Roman" w:cs="Times New Roman"/>
        </w:rPr>
        <w:t>人民日报</w:t>
      </w:r>
      <w:r>
        <w:rPr>
          <w:rFonts w:hint="eastAsia" w:ascii="Times New Roman" w:hAnsi="Times New Roman" w:cs="Times New Roman"/>
        </w:rPr>
        <w:t>》，</w:t>
      </w:r>
      <w:r>
        <w:rPr>
          <w:rFonts w:ascii="Times New Roman" w:hAnsi="Times New Roman" w:cs="Times New Roman"/>
        </w:rPr>
        <w:t>2018</w:t>
      </w:r>
      <w:r>
        <w:rPr>
          <w:rFonts w:hint="eastAsia" w:ascii="Times New Roman" w:hAnsi="Times New Roman" w:cs="Times New Roman"/>
        </w:rPr>
        <w:t>年</w:t>
      </w:r>
      <w:r>
        <w:rPr>
          <w:rFonts w:ascii="Times New Roman" w:hAnsi="Times New Roman" w:cs="Times New Roman"/>
        </w:rPr>
        <w:t>2</w:t>
      </w:r>
      <w:r>
        <w:rPr>
          <w:rFonts w:hint="eastAsia" w:ascii="Times New Roman" w:hAnsi="Times New Roman" w:cs="Times New Roman"/>
        </w:rPr>
        <w:t>月</w:t>
      </w:r>
      <w:r>
        <w:rPr>
          <w:rFonts w:ascii="Times New Roman" w:hAnsi="Times New Roman" w:cs="Times New Roman"/>
        </w:rPr>
        <w:t>8</w:t>
      </w:r>
      <w:r>
        <w:rPr>
          <w:rFonts w:hint="eastAsia" w:ascii="Times New Roman" w:hAnsi="Times New Roman" w:cs="Times New Roman"/>
        </w:rPr>
        <w:t>日。</w:t>
      </w:r>
    </w:p>
    <w:p w14:paraId="6FA96794">
      <w:pPr>
        <w:pStyle w:val="7"/>
        <w:pageBreakBefore w:val="0"/>
        <w:wordWrap/>
        <w:overflowPunct/>
        <w:topLinePunct w:val="0"/>
        <w:bidi w:val="0"/>
        <w:spacing w:line="240" w:lineRule="auto"/>
        <w:ind w:left="0" w:firstLine="0" w:firstLineChars="0"/>
        <w:rPr>
          <w:rFonts w:hint="eastAsia" w:ascii="Times New Roman" w:hAnsi="Times New Roman" w:cs="Times New Roman"/>
        </w:rPr>
      </w:pPr>
    </w:p>
    <w:p w14:paraId="0A8177E3">
      <w:pPr>
        <w:pStyle w:val="11"/>
        <w:pageBreakBefore w:val="0"/>
        <w:wordWrap/>
        <w:overflowPunct/>
        <w:topLinePunct w:val="0"/>
        <w:bidi w:val="0"/>
        <w:spacing w:line="240" w:lineRule="auto"/>
        <w:ind w:left="0" w:firstLine="0" w:firstLineChars="0"/>
      </w:pPr>
      <w:r>
        <w:rPr>
          <w:rFonts w:hint="eastAsia" w:ascii="Times New Roman" w:hAnsi="Times New Roman" w:cs="Times New Roman"/>
          <w:lang w:val="en-US" w:eastAsia="zh-CN"/>
        </w:rPr>
        <w:t>原载《当代中国与世界》2023年第3期</w:t>
      </w:r>
    </w:p>
  </w:footnote>
  <w:footnote w:id="416">
    <w:p w14:paraId="1646EDCA">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国家统计局：《中国统计年鉴2022》。</w:t>
      </w:r>
    </w:p>
  </w:footnote>
  <w:footnote w:id="417">
    <w:p w14:paraId="17A6817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中国互联网络信息中心：《中国移动互联网发展报告（2022）》。</w:t>
      </w:r>
    </w:p>
  </w:footnote>
  <w:footnote w:id="418">
    <w:p w14:paraId="65401FC3">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19">
    <w:p w14:paraId="3CDFDFF6">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20">
    <w:p w14:paraId="7AF26D86">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21">
    <w:p w14:paraId="1C355A9E">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习近平：《在哲学社会科学工作座谈会上的讲话》，北京：人民出版社，2016年，第9页。</w:t>
      </w:r>
    </w:p>
  </w:footnote>
  <w:footnote w:id="422">
    <w:p w14:paraId="0978C9C1">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《毛泽东选集》（第1卷），北京：人民出版社，1991年，第286页。</w:t>
      </w:r>
    </w:p>
  </w:footnote>
  <w:footnote w:id="423">
    <w:p w14:paraId="58423AAA">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《毛泽东文集》（第6卷），北京：人民出版社，1999年，第430页。</w:t>
      </w:r>
    </w:p>
  </w:footnote>
  <w:footnote w:id="424">
    <w:p w14:paraId="784828A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《列宁全集》第2版第55卷，北京：人民出版社，2017年，第110页。</w:t>
      </w:r>
    </w:p>
  </w:footnote>
  <w:footnote w:id="425">
    <w:p w14:paraId="1EC63625">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《列宁全集》第2版第55卷，北京：人民出版社，2017年，第190—192页。</w:t>
      </w:r>
    </w:p>
  </w:footnote>
  <w:footnote w:id="426">
    <w:p w14:paraId="57FA726F">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《列宁全集》第2版第 55卷，北京：人民出版社，2017年，第190—192页。</w:t>
      </w:r>
    </w:p>
  </w:footnote>
  <w:footnote w:id="427">
    <w:p w14:paraId="32B91A5B">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《毛泽东选集》（第1卷），北京：人民出版社，1991年，第310页。</w:t>
      </w:r>
    </w:p>
  </w:footnote>
  <w:footnote w:id="428">
    <w:p w14:paraId="20927FA5">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《马克思恩格斯选集》第1卷，北京： 人民出版社，2012年，第135页。 </w:t>
      </w:r>
    </w:p>
  </w:footnote>
  <w:footnote w:id="429">
    <w:p w14:paraId="32EBD1C3">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30">
    <w:p w14:paraId="1E7A193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《马克思恩格斯文集》第2卷，北京：人民出版社，2009年，第9页。</w:t>
      </w:r>
    </w:p>
  </w:footnote>
  <w:footnote w:id="431">
    <w:p w14:paraId="30DA5A61">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《马克思恩格斯文集》第2卷，北京：人民出版社，2009年，第592页。</w:t>
      </w:r>
    </w:p>
  </w:footnote>
  <w:footnote w:id="432">
    <w:p w14:paraId="5E602FE3">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马克思：《资本论》，北京：人民出版社，2004年，第272页。</w:t>
      </w:r>
    </w:p>
  </w:footnote>
  <w:footnote w:id="433">
    <w:p w14:paraId="26D89A3D">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《邓小平文选》第3卷，北京： 人民出版社，1993年，第373页。</w:t>
      </w:r>
    </w:p>
  </w:footnote>
  <w:footnote w:id="434">
    <w:p w14:paraId="09E6B5E3">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《邓小平文选》第3卷，北京： 人民出版社，1993年，第142页。</w:t>
      </w:r>
    </w:p>
  </w:footnote>
  <w:footnote w:id="435">
    <w:p w14:paraId="2BE25B0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36">
    <w:p w14:paraId="74B7BF4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《习近平关于全面建成小康社会论述摘编》，北京：中央文献出版社，第46页。</w:t>
      </w:r>
    </w:p>
  </w:footnote>
  <w:footnote w:id="437">
    <w:p w14:paraId="061C4698">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《习近平谈治国理政》第2卷，北京： 人民出版社，2017年，第175页。</w:t>
      </w:r>
    </w:p>
  </w:footnote>
  <w:footnote w:id="438">
    <w:p w14:paraId="38C6A5F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程恩富，张杨：《深刻认识“三位一体”的中国特色社会主义本质内涵》，《广西日报》，2019年8月22日。</w:t>
      </w:r>
    </w:p>
  </w:footnote>
  <w:footnote w:id="439">
    <w:p w14:paraId="4607DF01">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习近平：《在河北省阜平县考察扶贫开发工作时的讲话》，《求是》，2021年第4期。</w:t>
      </w:r>
    </w:p>
  </w:footnote>
  <w:footnote w:id="440">
    <w:p w14:paraId="44C86331">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《习近平谈治国理政》第1卷，北京： 人民出版社，2014年，第13页。</w:t>
      </w:r>
    </w:p>
  </w:footnote>
  <w:footnote w:id="441">
    <w:p w14:paraId="39B9842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习近平：《关于&lt;中共中央关于制定国民经济和社会发展第十四个五年规划和二〇三五年远景目标的建议&gt;的说明》，《人民日报》，2020年11月4日。</w:t>
      </w:r>
    </w:p>
  </w:footnote>
  <w:footnote w:id="442">
    <w:p w14:paraId="2B060FA7">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习近平：《关于&lt;中共中央关于制定国民经济和社会发展第十四个五年规划和二〇三五年远景目标的建议&gt;的说明》，《人民日报》，2020年11月4日。</w:t>
      </w:r>
    </w:p>
  </w:footnote>
  <w:footnote w:id="443">
    <w:p w14:paraId="1487014D">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习近平：《决胜全面建成小康社会夺取新时代中国特色社会主义伟大胜利——在中国共产党第十九次全国代表大会上的报告》，《人民日报》，2017年10月28日。</w:t>
      </w:r>
    </w:p>
  </w:footnote>
  <w:footnote w:id="444">
    <w:p w14:paraId="5BB2D46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习近平：《在纪念马克思诞辰200周年大会上的讲话》，北京： 人民出版社，2018年，第18页。</w:t>
      </w:r>
    </w:p>
  </w:footnote>
  <w:footnote w:id="445">
    <w:p w14:paraId="271DFBCE">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《马克思恩格斯选集》（第3卷），北京：人民出版社，2012年，第173页。</w:t>
      </w:r>
    </w:p>
  </w:footnote>
  <w:footnote w:id="446">
    <w:p w14:paraId="719B9C72">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《列宁全集》（第4卷），北京：人民出版社，1995年，第624页。</w:t>
      </w:r>
    </w:p>
  </w:footnote>
  <w:footnote w:id="447">
    <w:p w14:paraId="5D51E662">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48">
    <w:p w14:paraId="3C1D2F03">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《习近平关于社会主义政治建设论述摘编》，北京：中央文献出版社，2017年，第8页。</w:t>
      </w:r>
    </w:p>
  </w:footnote>
  <w:footnote w:id="449">
    <w:p w14:paraId="021912E7">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习近平：《把握新发展阶段，贯彻新发展理念，构建新发展格局》，《求是》，2021年第09期。</w:t>
      </w:r>
    </w:p>
  </w:footnote>
  <w:footnote w:id="450">
    <w:p w14:paraId="2A0DC7AE">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《马克思恩格斯文集》（第2卷），人民出版社，2009年，第599页。</w:t>
      </w:r>
    </w:p>
  </w:footnote>
  <w:footnote w:id="451">
    <w:p w14:paraId="4A072087">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《毛泽东选集》（第2卷），人民出版社，北京：1991年，第697页。</w:t>
      </w:r>
    </w:p>
  </w:footnote>
  <w:footnote w:id="452">
    <w:p w14:paraId="1A1508B3">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《邓小平文选》第3卷，人民出版社，北京：1993年，第44页。</w:t>
      </w:r>
    </w:p>
  </w:footnote>
  <w:footnote w:id="453">
    <w:p w14:paraId="4A9F2F2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《邓小平文选》第3卷，人民出版社，北京：1993年，第46页。</w:t>
      </w:r>
    </w:p>
  </w:footnote>
  <w:footnote w:id="454">
    <w:p w14:paraId="3B1B9727">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55">
    <w:p w14:paraId="0B80C948">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《习近平关于社会主义文化建设论述摘编》，北京：中央文献出版社，2017年，第52页。</w:t>
      </w:r>
    </w:p>
  </w:footnote>
  <w:footnote w:id="456">
    <w:p w14:paraId="6BACD2DA">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习近平：《在哲学社会科学工作座谈会上的讲话》，《人民日报》2016年5月19日。</w:t>
      </w:r>
    </w:p>
  </w:footnote>
  <w:footnote w:id="457">
    <w:p w14:paraId="0E54C56B">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《马克思恩格斯文集》第3卷，北京：人民出版社，2009年，第563—564页。</w:t>
      </w:r>
    </w:p>
  </w:footnote>
  <w:footnote w:id="458">
    <w:p w14:paraId="3FE20CE6">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《列宁全集》第6卷，北京：人民出版社，1986年，第193页。</w:t>
      </w:r>
    </w:p>
  </w:footnote>
  <w:footnote w:id="459">
    <w:p w14:paraId="5189D527">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《列宁选集》第3卷，北京：人民出版社，2012年，第546页。</w:t>
      </w:r>
    </w:p>
  </w:footnote>
  <w:footnote w:id="460">
    <w:p w14:paraId="031C673E">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《习近平谈治国理政》第1卷，北京：人民出版社，2014年，第13页。</w:t>
      </w:r>
    </w:p>
  </w:footnote>
  <w:footnote w:id="461">
    <w:p w14:paraId="1F71A845">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《高举中国特色社会主义伟大旗帜 为全面建设社会主义现代化国家而团结奋斗——在中国共产党第二十次全国代表大会上的报告》，《人民日报》，2022年10月16日。</w:t>
      </w:r>
    </w:p>
  </w:footnote>
  <w:footnote w:id="462">
    <w:p w14:paraId="0444FE35">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000000"/>
          <w:sz w:val="21"/>
          <w:szCs w:val="21"/>
        </w:rPr>
        <w:t>《习近平谈治国理政》第1卷，北京： 人民出版社，2014年，第41页。</w:t>
      </w:r>
    </w:p>
  </w:footnote>
  <w:footnote w:id="463">
    <w:p w14:paraId="7FDBA6F7">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习近平：《在省部级主要领导干部学习贯彻党的十八届五中全会精神专题研讨班上的讲话》，（2016年1月18日），人民出版社单行本，第24－25页。</w:t>
      </w:r>
    </w:p>
  </w:footnote>
  <w:footnote w:id="464">
    <w:p w14:paraId="634BF199">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《马克思恩格斯文集》第9卷，北京：人民出版社，2009年，第560页。</w:t>
      </w:r>
    </w:p>
  </w:footnote>
  <w:footnote w:id="465">
    <w:p w14:paraId="4B17415E">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《马克思恩格斯文集》第9卷，北京：人民出版社，2009年，第559-560页。</w:t>
      </w:r>
    </w:p>
  </w:footnote>
  <w:footnote w:id="466">
    <w:p w14:paraId="5245E5D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 人民出版社，2020年，第360页。</w:t>
      </w:r>
    </w:p>
  </w:footnote>
  <w:footnote w:id="467">
    <w:p w14:paraId="46A35F31">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68">
    <w:p w14:paraId="4793C80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习近平：《推动我国生态文明建设迈上新台阶》，《求是》2019年第3期。</w:t>
      </w:r>
    </w:p>
  </w:footnote>
  <w:footnote w:id="469">
    <w:p w14:paraId="49FC92A9">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《习近平谈治国理政》第3卷，北京：人民出版社，2020年，第361页。</w:t>
      </w:r>
    </w:p>
  </w:footnote>
  <w:footnote w:id="470">
    <w:p w14:paraId="7695A9A3">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《习近平新时代中国特色社会主义思想学习纲要》，北京： 人民出版社，2019年，第169－170页。</w:t>
      </w:r>
    </w:p>
  </w:footnote>
  <w:footnote w:id="471">
    <w:p w14:paraId="4AAB2959">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《习近平谈治国理政》第3卷，北京： 人民出版社，2020年，第361页。 </w:t>
      </w:r>
    </w:p>
  </w:footnote>
  <w:footnote w:id="472">
    <w:p w14:paraId="2520C97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《习近平谈治国理政》第3卷，北京：人民出版社，2020年，第360页。</w:t>
      </w:r>
    </w:p>
  </w:footnote>
  <w:footnote w:id="473">
    <w:p w14:paraId="095D30D5">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《习近平在气候雄心峰会上发表重要讲话》，《人民日报》，2020年12月13日。</w:t>
      </w:r>
    </w:p>
  </w:footnote>
  <w:footnote w:id="474">
    <w:p w14:paraId="19CD484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《习近平谈治国理政》第3卷，北京：人民出版社，2020年，第375页。</w:t>
      </w:r>
    </w:p>
  </w:footnote>
  <w:footnote w:id="475">
    <w:p w14:paraId="2690F9DF">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《习近平出席领导人气候峰会并发表重要讲话》，《人民日报》，2021年04月23日。</w:t>
      </w:r>
    </w:p>
  </w:footnote>
  <w:footnote w:id="476">
    <w:p w14:paraId="27521AD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《马克思恩格斯文集》第9卷，北京：人民出版社，2009年，第540-541页。</w:t>
      </w:r>
    </w:p>
  </w:footnote>
  <w:footnote w:id="477">
    <w:p w14:paraId="254E2934">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《马克思恩格斯文集》第9卷，北京：人民出版社，2009年，第45页。</w:t>
      </w:r>
    </w:p>
  </w:footnote>
  <w:footnote w:id="478">
    <w:p w14:paraId="73184E8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《高举中国特色社会主义伟大旗帜 为全面建设社会主义现代化国家而团结奋斗——在中国共产党第二十次全国代表大会上的报告》，《人民日报》，2022年10月16日。</w:t>
      </w:r>
    </w:p>
  </w:footnote>
  <w:footnote w:id="479">
    <w:p w14:paraId="13FD15DA">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《习近平关于总体国家安全观论述摘编》，北京：中央文献出版社，2018 年，第 10 页。</w:t>
      </w:r>
    </w:p>
  </w:footnote>
  <w:footnote w:id="480">
    <w:p w14:paraId="32B5AD05">
      <w:pPr>
        <w:pStyle w:val="11"/>
        <w:keepNext w:val="0"/>
        <w:keepLines/>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习近平：《决胜全面建成小康社会 夺取新时代中国特色社会主义伟大胜利——在中国共产党第十九次全国代表大会上的报告》北京：人民出版社，2017年。</w:t>
      </w:r>
    </w:p>
  </w:footnote>
  <w:footnote w:id="481">
    <w:p w14:paraId="5A33699F">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《习近平谈治国理政》第2卷，北京： 人民出版社，2017年，第535页。</w:t>
      </w:r>
    </w:p>
  </w:footnote>
  <w:footnote w:id="482">
    <w:p w14:paraId="68C2493D">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《习近平谈治国理政》第3卷，北京：人民出版社，2020年，第19页。</w:t>
      </w:r>
    </w:p>
  </w:footnote>
  <w:footnote w:id="483">
    <w:p w14:paraId="5B6D4757">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习近平：《论坚持推动构建人类命运共同体》，北京：中央文献出版社 ，2018 年，第 112 页。　</w:t>
      </w:r>
    </w:p>
  </w:footnote>
  <w:footnote w:id="484">
    <w:p w14:paraId="79429CC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杨云成：《“国家安全是安邦定国的重要基石”——学习习近平关于国家安全工作的重要论述》，《党的文献》，2020年第5期。</w:t>
      </w:r>
    </w:p>
  </w:footnote>
  <w:footnote w:id="485">
    <w:p w14:paraId="2DB0E45D">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《习近平谈治国理政》第3卷，北京：人民出版社，2020年，第440页。</w:t>
      </w:r>
    </w:p>
  </w:footnote>
  <w:footnote w:id="486">
    <w:p w14:paraId="3FF4A94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《习近平谈治国理政》第3卷，北京：人民出版社，2020年，第445页。</w:t>
      </w:r>
    </w:p>
  </w:footnote>
  <w:footnote w:id="487">
    <w:p w14:paraId="71CF1D99">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《习近平谈治国理政》第3卷，北京：人民出版社，2020年，第456页。</w:t>
      </w:r>
    </w:p>
  </w:footnote>
  <w:footnote w:id="488">
    <w:p w14:paraId="51124E2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《习近平谈治国理政》第1卷，北京：人民出版社，2014年，第12-13页。</w:t>
      </w:r>
    </w:p>
  </w:footnote>
  <w:footnote w:id="489">
    <w:p w14:paraId="745BB50A">
      <w:pPr>
        <w:pStyle w:val="11"/>
        <w:pageBreakBefore w:val="0"/>
        <w:wordWrap/>
        <w:overflowPunct/>
        <w:topLinePunct w:val="0"/>
        <w:bidi w:val="0"/>
        <w:snapToGrid w:val="0"/>
        <w:spacing w:line="240" w:lineRule="auto"/>
        <w:ind w:left="0" w:firstLine="0" w:firstLineChars="0"/>
      </w:pPr>
    </w:p>
  </w:footnote>
  <w:footnote w:id="490">
    <w:p w14:paraId="634A0805">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2617EF7F">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47268491">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508C5456">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26CEC6AA">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619E90E6">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46ED8BE4">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29627568">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019E456B">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21270BCE">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09594504">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753948FC">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2EAC886D">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2E5EB436">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6D29EA8C">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62728E7C">
      <w:pPr>
        <w:keepNext w:val="0"/>
        <w:keepLines w:val="0"/>
        <w:pageBreakBefore w:val="0"/>
        <w:widowControl w:val="0"/>
        <w:suppressLineNumbers w:val="0"/>
        <w:wordWrap/>
        <w:overflowPunct/>
        <w:topLinePunct w:val="0"/>
        <w:bidi w:val="0"/>
        <w:spacing w:beforeAutospacing="0" w:afterAutospacing="0" w:line="240" w:lineRule="auto"/>
        <w:ind w:left="0" w:right="0" w:firstLine="0" w:firstLineChars="0"/>
        <w:jc w:val="center"/>
        <w:rPr>
          <w:rFonts w:hint="default" w:ascii="Times New Roman" w:hAnsi="Times New Roman" w:eastAsia="宋体" w:cs="Times New Roman"/>
          <w:b/>
          <w:bCs/>
          <w:kern w:val="2"/>
          <w:sz w:val="22"/>
          <w:szCs w:val="22"/>
          <w:lang w:val="en-US" w:eastAsia="zh-CN" w:bidi="ar"/>
        </w:rPr>
      </w:pPr>
    </w:p>
    <w:p w14:paraId="52243B9A">
      <w:pPr>
        <w:pStyle w:val="11"/>
        <w:pageBreakBefore w:val="0"/>
        <w:wordWrap/>
        <w:overflowPunct/>
        <w:topLinePunct w:val="0"/>
        <w:bidi w:val="0"/>
        <w:snapToGrid w:val="0"/>
        <w:spacing w:line="240" w:lineRule="auto"/>
        <w:ind w:left="0" w:firstLine="0" w:firstLineChars="0"/>
      </w:pPr>
    </w:p>
  </w:footnote>
  <w:footnote w:id="491">
    <w:p w14:paraId="72A651D2">
      <w:pPr>
        <w:pStyle w:val="11"/>
        <w:pageBreakBefore w:val="0"/>
        <w:wordWrap/>
        <w:overflowPunct/>
        <w:topLinePunct w:val="0"/>
        <w:bidi w:val="0"/>
        <w:snapToGrid w:val="0"/>
        <w:spacing w:line="240" w:lineRule="auto"/>
        <w:ind w:left="0" w:firstLine="0" w:firstLineChars="0"/>
      </w:pPr>
    </w:p>
  </w:footnote>
  <w:footnote w:id="492">
    <w:p w14:paraId="67620639">
      <w:pPr>
        <w:pStyle w:val="11"/>
        <w:pageBreakBefore w:val="0"/>
        <w:wordWrap/>
        <w:overflowPunct/>
        <w:topLinePunct w:val="0"/>
        <w:bidi w:val="0"/>
        <w:snapToGrid w:val="0"/>
        <w:spacing w:line="240" w:lineRule="auto"/>
        <w:ind w:left="0" w:firstLine="0" w:firstLineChars="0"/>
      </w:pPr>
    </w:p>
  </w:footnote>
  <w:footnote w:id="493">
    <w:p w14:paraId="245AB5E1">
      <w:pPr>
        <w:pStyle w:val="11"/>
        <w:pageBreakBefore w:val="0"/>
        <w:wordWrap/>
        <w:overflowPunct/>
        <w:topLinePunct w:val="0"/>
        <w:bidi w:val="0"/>
        <w:snapToGrid w:val="0"/>
        <w:spacing w:line="240" w:lineRule="auto"/>
        <w:ind w:left="0" w:firstLine="0" w:firstLineChars="0"/>
      </w:pPr>
    </w:p>
  </w:footnote>
  <w:footnote w:id="494">
    <w:p w14:paraId="6438C9F2">
      <w:pPr>
        <w:pStyle w:val="11"/>
        <w:pageBreakBefore w:val="0"/>
        <w:wordWrap/>
        <w:overflowPunct/>
        <w:topLinePunct w:val="0"/>
        <w:bidi w:val="0"/>
        <w:snapToGrid w:val="0"/>
        <w:spacing w:line="240" w:lineRule="auto"/>
        <w:ind w:left="0" w:firstLine="0" w:firstLineChars="0"/>
      </w:pPr>
    </w:p>
  </w:footnote>
  <w:footnote w:id="495">
    <w:p w14:paraId="1FAE6A74">
      <w:pPr>
        <w:pStyle w:val="11"/>
        <w:pageBreakBefore w:val="0"/>
        <w:wordWrap/>
        <w:overflowPunct/>
        <w:topLinePunct w:val="0"/>
        <w:bidi w:val="0"/>
        <w:snapToGrid w:val="0"/>
        <w:spacing w:line="240" w:lineRule="auto"/>
        <w:ind w:left="0" w:firstLine="0" w:firstLineChars="0"/>
      </w:pPr>
    </w:p>
  </w:footnote>
  <w:footnote w:id="496">
    <w:p w14:paraId="7FFF87AB">
      <w:pPr>
        <w:pStyle w:val="11"/>
        <w:pageBreakBefore w:val="0"/>
        <w:wordWrap/>
        <w:overflowPunct/>
        <w:topLinePunct w:val="0"/>
        <w:bidi w:val="0"/>
        <w:snapToGrid w:val="0"/>
        <w:spacing w:line="240" w:lineRule="auto"/>
        <w:ind w:left="0" w:firstLine="0" w:firstLineChars="0"/>
      </w:pPr>
    </w:p>
  </w:footnote>
  <w:footnote w:id="497">
    <w:p w14:paraId="1A1DA8AC">
      <w:pPr>
        <w:pStyle w:val="11"/>
        <w:pageBreakBefore w:val="0"/>
        <w:wordWrap/>
        <w:overflowPunct/>
        <w:topLinePunct w:val="0"/>
        <w:bidi w:val="0"/>
        <w:snapToGrid w:val="0"/>
        <w:spacing w:line="240" w:lineRule="auto"/>
        <w:ind w:left="0" w:firstLine="0" w:firstLineChars="0"/>
      </w:pPr>
    </w:p>
  </w:footnote>
  <w:footnote w:id="498">
    <w:p w14:paraId="17F22DF4">
      <w:pPr>
        <w:pStyle w:val="11"/>
        <w:pageBreakBefore w:val="0"/>
        <w:wordWrap/>
        <w:overflowPunct/>
        <w:topLinePunct w:val="0"/>
        <w:bidi w:val="0"/>
        <w:snapToGrid w:val="0"/>
        <w:spacing w:line="240" w:lineRule="auto"/>
        <w:ind w:left="0" w:firstLine="0" w:firstLineChars="0"/>
      </w:pPr>
    </w:p>
  </w:footnote>
  <w:footnote w:id="499">
    <w:p w14:paraId="2C04F341">
      <w:pPr>
        <w:pStyle w:val="11"/>
        <w:pageBreakBefore w:val="0"/>
        <w:wordWrap/>
        <w:overflowPunct/>
        <w:topLinePunct w:val="0"/>
        <w:bidi w:val="0"/>
        <w:snapToGrid w:val="0"/>
        <w:spacing w:line="240" w:lineRule="auto"/>
        <w:ind w:left="0" w:firstLine="0" w:firstLineChars="0"/>
      </w:pPr>
    </w:p>
  </w:footnote>
  <w:footnote w:id="500">
    <w:p w14:paraId="6CF0DFB2">
      <w:pPr>
        <w:pStyle w:val="11"/>
        <w:pageBreakBefore w:val="0"/>
        <w:wordWrap/>
        <w:overflowPunct/>
        <w:topLinePunct w:val="0"/>
        <w:bidi w:val="0"/>
        <w:snapToGrid w:val="0"/>
        <w:spacing w:line="240" w:lineRule="auto"/>
        <w:ind w:left="0" w:firstLine="0" w:firstLineChars="0"/>
      </w:pPr>
    </w:p>
  </w:footnote>
  <w:footnote w:id="501">
    <w:p w14:paraId="3090B049">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lang w:eastAsia="zh-CN"/>
        </w:rPr>
      </w:pPr>
      <w:r>
        <w:rPr>
          <w:rStyle w:val="21"/>
          <w:rFonts w:hint="eastAsia"/>
          <w:lang w:val="en-US" w:eastAsia="zh-CN"/>
        </w:rPr>
        <w:t>全面</w:t>
      </w:r>
      <w:r>
        <w:rPr>
          <w:rStyle w:val="21"/>
          <w:rFonts w:hint="eastAsia"/>
        </w:rPr>
        <w:t>深化改革</w:t>
      </w:r>
      <w:r>
        <w:rPr>
          <w:rStyle w:val="21"/>
          <w:rFonts w:hint="eastAsia"/>
          <w:lang w:val="en-US" w:eastAsia="zh-CN"/>
        </w:rPr>
        <w:t>开放若干焦点问题研究</w:t>
      </w:r>
      <w:r>
        <w:rPr>
          <w:rStyle w:val="21"/>
          <w:rFonts w:hint="eastAsia"/>
        </w:rPr>
        <w:t xml:space="preserve">   </w:t>
      </w:r>
      <w:r>
        <w:rPr>
          <w:rFonts w:hint="eastAsia"/>
          <w:sz w:val="24"/>
        </w:rPr>
        <w:t xml:space="preserve">                           </w:t>
      </w:r>
    </w:p>
    <w:p w14:paraId="1A02F3DE">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p>
    <w:p w14:paraId="7FC2D7F7">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b/>
          <w:bCs/>
          <w:sz w:val="24"/>
        </w:rPr>
      </w:pPr>
      <w:r>
        <w:rPr>
          <w:rFonts w:hint="eastAsia"/>
          <w:b/>
          <w:bCs/>
          <w:sz w:val="24"/>
        </w:rPr>
        <w:t>一、党的十八大以来取得的历史性成就，您认为全面深化改革在其中起到了什么样的作用？哪几项改革开放举措您认为进展最明显、成效最突出、获得感最强？</w:t>
      </w:r>
    </w:p>
    <w:p w14:paraId="3B40EF83">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 xml:space="preserve">1 十八大以来，我国社会主义现代化建设取得了历史性成就，其中加强党的全面领导和全面深化改革起到了重大作用。“改革开放是决定当代中国命运的关键一招，也是决定实现‘两个100年’奋斗目标、实现中华民族伟大复兴的关键一招。”党的十八届三中全会审议通过的《中共中央关于全面深化改革若干重大问题的决定》，提出了全面深化改革的指导思想、目标任务、重大原则，描绘了全面深化改革的新蓝图、新愿景。依据《决定》，党中央合理布局了深化改革的战略重点、优先顺序、主攻方向、工作机制、推进方式和时间表、路线图，紧紧围绕经济、政治、文化、社会、生态文明、党建等六大改革主线，全面增强改革的系统性、整体性和系统性。因而，全面深化改革对十八大以来取得的历史性成就起到了重大作用。 </w:t>
      </w:r>
    </w:p>
    <w:p w14:paraId="220671A0">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2在各项改革中，三大攻坚战中的消除绝对贫困、生态环境改善的举措成效最突出。十八大以来，党中央从“体现我国社会主义制度的优越性”高度，把脱贫攻坚摆在治国理政的突出位置，部署实施 “六个精准”“五个一批”， 脱贫攻坚取得了重大历史性成就。“小康不小康，关键看老乡。”我国农村贫困人口全部脱贫，为实现全面建成小康社会目标任务作出了关键性贡献。</w:t>
      </w:r>
    </w:p>
    <w:p w14:paraId="4C5F7119">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 xml:space="preserve">面对我国生态环境持续恶化态势，以习近平为核心的党中央，坚持绿水青山就是金山银山的理念，全方位、全地域、全过程加强生态环境保护。通过系统全面改革，破除地方保护主义，倡导绿色发展理念，使得生态文明制度体系更加健全。随着绿色生产、绿色消费、绿色文化的普及、推广和深入人心，我国生态环境保护发生历史性、转折性、全局性变化。以往频繁发生的雾霾、沙尘暴天气大幅下降，人民群众对生态环境满意度大幅提升。 </w:t>
      </w:r>
    </w:p>
    <w:p w14:paraId="5B6AF12E">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lang w:val="en-US" w:eastAsia="zh-CN"/>
        </w:rPr>
      </w:pPr>
      <w:r>
        <w:rPr>
          <w:rFonts w:hint="eastAsia"/>
          <w:sz w:val="24"/>
          <w:lang w:val="en-US" w:eastAsia="zh-CN"/>
        </w:rPr>
        <w:t>不过，三大攻坚战的金融改革发展很不理想。从蚂蚁集团、恒大集团等已暴露和更多未披露的情况来看，根本原因在于金融领域没有很好落实习近平经济思想，而受西方新自由主义影响，金融管理制度机制混乱，欺上瞒下，自觉或不自觉地支持私人资本垄断和无序扩张。</w:t>
      </w:r>
    </w:p>
    <w:p w14:paraId="4B075D90">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p>
    <w:p w14:paraId="700623A7">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b/>
          <w:bCs/>
          <w:sz w:val="24"/>
        </w:rPr>
      </w:pPr>
      <w:r>
        <w:rPr>
          <w:rFonts w:hint="eastAsia"/>
          <w:b/>
          <w:bCs/>
          <w:sz w:val="24"/>
        </w:rPr>
        <w:t>二、有人认为，当前改革的氛围似乎有所弱化，您是否觉得应大力重提改革的必要性和紧迫性？与十一届三中全会和十八届三中全会时期相比，您认为新一轮全面深化改革开放处于什么样的历史方位，承担的使命任务有什么不同？内部和外部形势发生了哪些新的变化？</w:t>
      </w:r>
    </w:p>
    <w:p w14:paraId="49D70480">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1 本人认为，党和政府不应大力重提改革的必要性和紧迫性。因为这样会给国内外造成一种错觉，似乎十八大以来各个领域的改革方向不够明确，力度不够有力，效果不够显著。事实上，十八大以来，在以习近平同志为核心的党中央领导下，全面深化改革持续推进，改革系统性、整体性、协调性不断优化，并取得了历史性成就。在这样背景下，重提改革的必要性和紧迫性，难免让人对近近十年改革方向、力度、成就怀疑与困惑。</w:t>
      </w:r>
    </w:p>
    <w:p w14:paraId="7673EDDE">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2与十一届三中全会、十八届三中全会相比，我们所处历史方位无疑发生了显著变化。例如在经济体量上，我国已经连续三年GDP超过100万亿人民币 ，成为世界公认的全球增长引擎。在新历史阶段，中国共产党的中心任务就是团结带领全国各族人民全面建成社会主义现代化强国、实现第二个百年奋斗目标，以中国式现代化全面推进中华民族伟大复兴。因而，新一轮全面深化改革必须要服务于这一中心任务。正如习近平总书记指出的那样，“ 后半程，我们的主要历史任务是完善和发展中国特色社会主义制度，为党和国家事业发展、为人民幸福安康、为社会和谐稳定、为国家长治久安提供一整套更完备、更稳定、更管用的制度体系”。通过不断深化改革，完善社会主义制度，实现</w:t>
      </w:r>
      <w:r>
        <w:rPr>
          <w:rFonts w:hint="eastAsia"/>
          <w:sz w:val="24"/>
          <w:lang w:val="en-US" w:eastAsia="zh-CN"/>
        </w:rPr>
        <w:t>以高科技为代表的</w:t>
      </w:r>
      <w:r>
        <w:rPr>
          <w:rFonts w:hint="eastAsia"/>
          <w:sz w:val="24"/>
        </w:rPr>
        <w:t xml:space="preserve">高质量发展，从而使得我国社会主义现代化事业行稳致远。 </w:t>
      </w:r>
    </w:p>
    <w:p w14:paraId="77DD39E0">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3 十八大以来，我国内部和外部形势都发生了诸多值得关注的新变化。例如，从国内经济看：一方面，我国社会主义基本经济制度得到巩固，“两个毫不动摇”得到明确和坚持，经济发展在克服疫情等不利因素情况下持续向好。但另一方面，我国所有制结构发生了重大变化。非公经济已经从社会主义经济的“有益补充”“重要组成部分”，发展至在GDP、就业、税收等领域处于完全主体地位。非公经济的大发展，一方面调动有利于调动社会各方积极性、增强市场活力，但也带来了</w:t>
      </w:r>
      <w:r>
        <w:rPr>
          <w:rFonts w:hint="eastAsia"/>
          <w:sz w:val="24"/>
          <w:lang w:val="en-US" w:eastAsia="zh-CN"/>
        </w:rPr>
        <w:t>私人</w:t>
      </w:r>
      <w:r>
        <w:rPr>
          <w:rFonts w:hint="eastAsia"/>
          <w:sz w:val="24"/>
        </w:rPr>
        <w:t>资本无序扩张、居民</w:t>
      </w:r>
      <w:r>
        <w:rPr>
          <w:rFonts w:hint="eastAsia"/>
          <w:sz w:val="24"/>
          <w:lang w:val="en-US" w:eastAsia="zh-CN"/>
        </w:rPr>
        <w:t>财富和</w:t>
      </w:r>
      <w:r>
        <w:rPr>
          <w:rFonts w:hint="eastAsia"/>
          <w:sz w:val="24"/>
        </w:rPr>
        <w:t>收入差距悬殊、</w:t>
      </w:r>
      <w:r>
        <w:rPr>
          <w:rFonts w:hint="eastAsia"/>
          <w:sz w:val="24"/>
          <w:lang w:val="en-US" w:eastAsia="zh-CN"/>
        </w:rPr>
        <w:t>私人</w:t>
      </w:r>
      <w:r>
        <w:rPr>
          <w:rFonts w:hint="eastAsia"/>
          <w:sz w:val="24"/>
        </w:rPr>
        <w:t>资本围猎干部等经济社会问题。导致居民</w:t>
      </w:r>
      <w:r>
        <w:rPr>
          <w:rFonts w:hint="eastAsia"/>
          <w:sz w:val="24"/>
          <w:lang w:val="en-US" w:eastAsia="zh-CN"/>
        </w:rPr>
        <w:t>财富和</w:t>
      </w:r>
      <w:r>
        <w:rPr>
          <w:rFonts w:hint="eastAsia"/>
          <w:sz w:val="24"/>
        </w:rPr>
        <w:t>收入差距悬殊进一步导致内需增长缓慢、民众生育愿望下降、劳资关系紧张等一系列社会问题。居民</w:t>
      </w:r>
      <w:r>
        <w:rPr>
          <w:rFonts w:hint="eastAsia"/>
          <w:sz w:val="24"/>
          <w:lang w:val="en-US" w:eastAsia="zh-CN"/>
        </w:rPr>
        <w:t>财富和</w:t>
      </w:r>
      <w:r>
        <w:rPr>
          <w:rFonts w:hint="eastAsia"/>
          <w:sz w:val="24"/>
        </w:rPr>
        <w:t>收入差距持续拉大情况没有出现根本性扭转。在此背景下，适婚青年结婚、生育意愿持续走低，社会老龄化趋势加重。这些问题长期存在，势必对我们党的群众基础和阶级基础产生负面影响。因而，从进一步改革方向看，应更强调以人民为中心、特别是以劳动人民为中心的深化改革和精准改革。</w:t>
      </w:r>
    </w:p>
    <w:p w14:paraId="244720E9">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4 我国外部国际环境也发生了重大改变。一方面，美西方国家加紧了对我国现代化发展的遏制。2017年以来，中美关系持续下滑，出现了建交以来未有之低点。美国通过长臂管辖、外交胁迫等方式肆意对我国以芯片为代表高新产业和以华为为代表的企业进行制裁。意图采取“小院高墙” “脱钩断链”、阵营对抗、制造台海、南海紧张局势等方式，加紧遏制中国全面发展。对于美西方的两手，我们也应采取斗争与合作的两手应对。在与美西方斗争中求合作，在斗争中争取包括美西方国家内积极力量的支持，加快我国社会主义现代化建设。同时，我们也应统筹发展与安全，做好应对极端情况准备，确保我国国家主权、领土完整和发展利益。另一方面，世界正在进入震荡变革期。受俄乌冲突和世纪疫情影响，百年未有大变局加速演进。中国在国际社会角色发生显著变化。中国正在从以往秩序的接受者、参与者，转变为引领者、推动者和维护者。中国提出的人类命运共同体理念和全人类共同价值得到国际社会广泛认同，“一带一路”倡议得到普遍支持，上海合作组织、金砖国家组织成员和影响力持续扩大。党中央筹中华民族伟大复兴大局和世界百年未有之大变局，充分发挥中国特色大国外交优势，坚持公平正义，不断推动世界治理体系向着各加公正合理方向发展。在变乱交织背景下，中国为世界和平发展注入了确定性和正能量。</w:t>
      </w:r>
    </w:p>
    <w:p w14:paraId="2CDA7B98">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p>
    <w:p w14:paraId="16F6BE8F">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b/>
          <w:bCs/>
          <w:sz w:val="24"/>
        </w:rPr>
      </w:pPr>
      <w:r>
        <w:rPr>
          <w:rFonts w:hint="eastAsia"/>
          <w:b/>
          <w:bCs/>
          <w:sz w:val="24"/>
        </w:rPr>
        <w:t>三、近年来，您感受过哪些基层改革出现异化变质的情况，请举例？（包括但不限于：以强化管理为名，走“回头路改革”；以强化监管为名，搞“甩锅改革”；以安全保密为名，搞“关门改革”；绕着核心矛盾走，搞“外围改革”； 以取消代替下放，搞“曲解改革”；以“政治正确”为名，搞一刀切改革；以发文件代替出实招，搞文件改革 等等）</w:t>
      </w:r>
    </w:p>
    <w:p w14:paraId="2A3119D8">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1 房地产业急需深化改革。当前，人民群众对住房商品化市场化严重不滿；对以恒大、碧桂园等为代表的房企接连爆雷高度焦虑和恐慌。政府房价调控已陷入两难困境。推动国民经济高质量发展，必须重新审视房地产业在国民经济与国际竞争中的地位作用，不能再盲目刺激房地产业。大力发展高科技产业和培植“新质生产力”和高质生产力，下决心转变以房地产支撑GDP增长，以“土地财政”支撑政府财政支出的传统发展模式。坚决打击非法经营、资金外流、骗贷逃税、行贿受贿、坑害消费者等行为。应将积压房源，转为由政府供应的廉租房、公共租赁房、定向安置房等保障性住房，以解决进城农民工和毕业大学生以及城镇新引进高层次人才等各类人员住房需求是取消商品住房预售，严禁房企不得在商品房尚未盖好前预售以集聚资本，全部实行现房销售，“所见即所得、交房即交证”。</w:t>
      </w:r>
    </w:p>
    <w:p w14:paraId="3C1B3C47">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 xml:space="preserve">     2 以安全保密为名，搞“关门改革”。 我国统计部门公布的经济社会发展统计数据，极不完整和连续。这种过度保密行为既不利于业界、学界依据我国真实经济社会发展数据做出合理分析、判断和建议，也徒增了社会民众对政府的不信任。例如我国长期不公布公有制企业、特别是国有企业资产价值总量、社会占比、损益变化等数据。这类数据对我国基本经济制度状况和社会主义公有制主体地位状态有着关键指示作用，理应向社会公布，接受社会监督。又如我国2022年公布了前十年的收入基尼系数，但没有同步公布财富基尼系数。在公布收入数据时，一般只公布居民平均收入、平均增幅，但很少或不公布更好反应收入水平的中位数。这样的结果，常常造成个体感受和国家公报数据存在巨大差异，降低了群众对数据的信任感和社会发展的获得感。 </w:t>
      </w:r>
    </w:p>
    <w:p w14:paraId="628FBF7C">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3绕着核心矛盾走，搞“外围改革”。长期以来，我国居民收入差距悬殊，</w:t>
      </w:r>
      <w:r>
        <w:rPr>
          <w:rFonts w:hint="eastAsia"/>
          <w:sz w:val="24"/>
          <w:lang w:val="en-US" w:eastAsia="zh-CN"/>
        </w:rPr>
        <w:t>财富和</w:t>
      </w:r>
      <w:r>
        <w:rPr>
          <w:rFonts w:hint="eastAsia"/>
          <w:sz w:val="24"/>
        </w:rPr>
        <w:t>收入拉大趋势长期没有得到根本性扭转。其根本原因在于，我国</w:t>
      </w:r>
      <w:r>
        <w:rPr>
          <w:rFonts w:hint="eastAsia"/>
          <w:sz w:val="24"/>
          <w:lang w:val="en-US" w:eastAsia="zh-CN"/>
        </w:rPr>
        <w:t>财富和</w:t>
      </w:r>
      <w:r>
        <w:rPr>
          <w:rFonts w:hint="eastAsia"/>
          <w:sz w:val="24"/>
        </w:rPr>
        <w:t xml:space="preserve">收入分配改革重点一直在分配领域，而没有进一步向扩大公有制经济所有制结构延伸。马克思主义认为，收入分配从根本上讲取决于所有制。在非公有制经济在就业、产值、税收等居于主体地位情况下， 市场经济势必导致收入上的两极分化。这既为马克思主义政治经济学所论证，也为近现代西方市场经济所实证。因而，中国特色社会主义市场经济，要避免两极分化，实现共同富裕，必须从根本上坚持社会主义公有制主体地位，为扎实推进共同富裕提供坚实经济基础和所有制基础。   </w:t>
      </w:r>
    </w:p>
    <w:p w14:paraId="33D55440">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 xml:space="preserve">4以取消代替下放，搞“曲解改革”。2003年非典疫情爆发以来，虽然我国医药改革取得了一定成绩，但群众看病难、看病贵现象依然存在，甚至部分群众医药负担不减反增。2014年以来，医药改革放开了非公立医疗机构医疗服务价格到放开医保目录内低价药品价格。其结果是药品价格大幅上升，而不赚钱的救命药时常出现供给短缺。原有的国家疫苗安全追踪码被取消，在发生长生制药假疫苗案后才得以恢复。国有药店在全国前20家大药店，仅有1家。国有药店在医药流通领域的支撑、引导作用不明显。医药改革不利是导致近年医患矛盾加剧和部分农民纷纷退保的重要因素。因而，新一轮医药改革务必坚持“以人民为中心”，充分考虑人民群众负担，切实增加人民群众在医疗健康领域的获得感和认同感。 </w:t>
      </w:r>
    </w:p>
    <w:p w14:paraId="4509789E">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5以发文件代替出实招，搞文件改革。金融市场健康稳定发展，是我国社会主义经济现代化的重要保障条件。但我国金融股票市场发展长期强差人意</w:t>
      </w:r>
      <w:r>
        <w:rPr>
          <w:rFonts w:hint="eastAsia"/>
          <w:sz w:val="24"/>
          <w:lang w:eastAsia="zh-CN"/>
        </w:rPr>
        <w:t>，</w:t>
      </w:r>
      <w:r>
        <w:rPr>
          <w:rFonts w:hint="eastAsia"/>
          <w:sz w:val="24"/>
          <w:lang w:val="en-US" w:eastAsia="zh-CN"/>
        </w:rPr>
        <w:t>管理体制机制问题不少</w:t>
      </w:r>
      <w:r>
        <w:rPr>
          <w:rFonts w:hint="eastAsia"/>
          <w:sz w:val="24"/>
        </w:rPr>
        <w:t>。 我国股票沪市A股市场综指自2007年达到3000点后，至今15年依然处于3000点附近。在这15年中，中国经济社会健康、持续发展，创造了“两个奇迹”。作为经济晴雨表的股市表现，却落后于某些经济发展缓慢、甚至完全停滞国家。这15年中，虽然股市改革文件接连出台，2023年还出台了注册制，但如何提高上市公司质量、促进上市企业稳定健康发展的根本问题依然没有得到实质解决。在5200多家上市公司中，有3800多家民营企业。受高市盈率、高发行价影响，其中欺骗上市者有，上市后大股东违规减持者有，财务报表造假者有。个别民营企业采取家族式一股独大，上市后不断圈钱、转移财产到海外，移民等方式，实现个人财产保全。 由于我国尚没有弃国税或弃籍税制度，一定程度上给这类资本外逃提供了条件。股市长期不振，致使投资者亏损累累，必然对我国经济持续健康发展产生严重消极影响，甚至引发社会群众对政府的严重不满。</w:t>
      </w:r>
    </w:p>
    <w:p w14:paraId="414D12E4">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p>
    <w:p w14:paraId="5A72B7CF">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b/>
          <w:bCs/>
          <w:sz w:val="24"/>
        </w:rPr>
      </w:pPr>
      <w:r>
        <w:rPr>
          <w:rFonts w:hint="eastAsia"/>
          <w:b/>
          <w:bCs/>
          <w:sz w:val="24"/>
        </w:rPr>
        <w:t>四、在新一轮全面深化改革中，如何进一步调动基层的积极性主动性？真正把自上而下的顶层设计和自下而上的基层探索结合起来？</w:t>
      </w:r>
    </w:p>
    <w:p w14:paraId="01AF864E">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1 新一轮全面深化改革必须进一步调动基层积极性。由于我国幅员辽阔，地区差异显著，因而发挥顶层设计对基层实践的引领、规划、指导作用的同时，应鼓励各地从当地从实际出发进行探索，形成鼓励基层改革创新的合力，最大限度调动地方、基层以及各方面的积极性、主动性、创造性。</w:t>
      </w:r>
    </w:p>
    <w:p w14:paraId="62486438">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2要完善基层改革创新考核评价机制和激励机制。鼓励基层改革创新，首先需要赋予基层改革所必须的人权、事权、财权。如果三者不能统一，往往导致基层改革积极性不高，甚至改革半途而废。人权、事权、财权下放，难免又会与上级部门利益产生一定矛盾。这也就是基层改革时常遭遇旋转门、弹簧门而受挫的症结所在。因而，要调动基层积极性，就应首先打破部门利益，解决好人权、财权、事权配套问题。其次，改革激励、约束机制。既鼓励创新、表扬先进，也允许试错、宽容失败的氛围。否则，难免出现改革成功了成就归上级领导，而失败了责任却由基层干部担的局面。</w:t>
      </w:r>
    </w:p>
    <w:p w14:paraId="14A54C89">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3 调查研究应倾听不同理论派别</w:t>
      </w:r>
      <w:r>
        <w:rPr>
          <w:rFonts w:hint="eastAsia"/>
          <w:sz w:val="24"/>
          <w:lang w:val="en-US" w:eastAsia="zh-CN"/>
        </w:rPr>
        <w:t>及其代表性学者</w:t>
      </w:r>
      <w:r>
        <w:rPr>
          <w:rFonts w:hint="eastAsia"/>
          <w:sz w:val="24"/>
        </w:rPr>
        <w:t>的声音。任何</w:t>
      </w:r>
      <w:r>
        <w:rPr>
          <w:rFonts w:hint="eastAsia"/>
          <w:sz w:val="24"/>
          <w:lang w:val="en-US" w:eastAsia="zh-CN"/>
        </w:rPr>
        <w:t>层次和领域的</w:t>
      </w:r>
      <w:r>
        <w:rPr>
          <w:rFonts w:hint="eastAsia"/>
          <w:sz w:val="24"/>
        </w:rPr>
        <w:t>改革创新要尽可能听取不同方面的声音，了解掌握不同利益主体的诉求。特别是关于国计民生、涉及百姓切身利益的重大改革，不宜由各部门未经全社会</w:t>
      </w:r>
      <w:r>
        <w:rPr>
          <w:rFonts w:hint="eastAsia"/>
          <w:sz w:val="24"/>
          <w:lang w:val="en-US" w:eastAsia="zh-CN"/>
        </w:rPr>
        <w:t>和理论界充分</w:t>
      </w:r>
      <w:r>
        <w:rPr>
          <w:rFonts w:hint="eastAsia"/>
          <w:sz w:val="24"/>
        </w:rPr>
        <w:t xml:space="preserve">讨论就做出决定。国家有关部门应在做出重大决定前，不应只邀请理论界某一方代表，而应邀请理论界各派代表性学者（特别要考虑代表工人、农民、中低收入者利益的学者）进行充分讨论和论证，之后再做出最后的决定。 </w:t>
      </w:r>
    </w:p>
    <w:p w14:paraId="42413673">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b/>
          <w:bCs/>
          <w:sz w:val="24"/>
        </w:rPr>
      </w:pPr>
      <w:r>
        <w:rPr>
          <w:rFonts w:hint="eastAsia"/>
          <w:b/>
          <w:bCs/>
          <w:sz w:val="24"/>
        </w:rPr>
        <w:t xml:space="preserve">五、 未来5—10年，您觉得实现高水平对外开放最需要在哪些方面或举措上取得突破？ </w:t>
      </w:r>
    </w:p>
    <w:p w14:paraId="1179088A">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1中国从2012年以来已处于世界经济体系的“准中心”地位，大约2035年将进入“中心”行列，2050 左右将成为数一数二的顶级“中心”国家。未来5-6年，是我国建设社会主义现代化的关键时期，也是我国从“准中心”向“中心”迈进的关键时期。因而，我国高水平对外开放应瞄准实现社会主义现代化这一中心任务，稳步实现从世界经济“准中心”向“中心”转化。</w:t>
      </w:r>
    </w:p>
    <w:p w14:paraId="355BA54B">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2 为此，我国应：确立知识产权优势理论和战略，加快提升创新型国家建设的科技体系；确立金融“脱虚向实”的理论和战略，加快提升人民币国际化的金融体系；确立公有制为主体的科学理论和战略，加快提升多种所有制协同发展的产权体系；确立高质量发展的理论和战略，加快提升全面对等开放和国内外经济高度协调的产业体系；确立引导公正经济全球化的理论和战略，加快提升国际经济新秩序和共同经济安全的制度体系。</w:t>
      </w:r>
    </w:p>
    <w:p w14:paraId="35202DE0">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lang w:eastAsia="zh-CN"/>
        </w:rPr>
      </w:pPr>
      <w:r>
        <w:rPr>
          <w:rFonts w:hint="eastAsia"/>
          <w:sz w:val="24"/>
          <w:lang w:val="en-US" w:eastAsia="zh-CN"/>
        </w:rPr>
        <w:t>2023年12月2日</w:t>
      </w:r>
      <w:r>
        <w:rPr>
          <w:rFonts w:hint="eastAsia"/>
          <w:sz w:val="24"/>
          <w:lang w:eastAsia="zh-CN"/>
        </w:rPr>
        <w:t>（</w:t>
      </w:r>
      <w:r>
        <w:rPr>
          <w:rFonts w:hint="eastAsia"/>
          <w:sz w:val="24"/>
          <w:lang w:val="en-US" w:eastAsia="zh-CN"/>
        </w:rPr>
        <w:t>新华社已开出重点采用的证明</w:t>
      </w:r>
      <w:r>
        <w:rPr>
          <w:rFonts w:hint="eastAsia"/>
          <w:sz w:val="24"/>
          <w:lang w:eastAsia="zh-CN"/>
        </w:rPr>
        <w:t>）</w:t>
      </w:r>
    </w:p>
    <w:p w14:paraId="5A9F0754">
      <w:pPr>
        <w:pStyle w:val="3"/>
        <w:pageBreakBefore w:val="0"/>
        <w:wordWrap/>
        <w:overflowPunct/>
        <w:topLinePunct w:val="0"/>
        <w:bidi w:val="0"/>
        <w:spacing w:before="0" w:beforeLines="0" w:after="0" w:afterLines="0" w:line="240" w:lineRule="auto"/>
        <w:ind w:left="0" w:firstLine="0" w:firstLineChars="0"/>
        <w:rPr>
          <w:rFonts w:hint="eastAsia"/>
          <w:lang w:val="en-US" w:eastAsia="zh-CN"/>
        </w:rPr>
      </w:pPr>
      <w:r>
        <w:rPr>
          <w:rFonts w:hint="eastAsia"/>
          <w:lang w:val="en-US" w:eastAsia="zh-CN"/>
        </w:rPr>
        <w:t>推动高质量发展</w:t>
      </w:r>
    </w:p>
    <w:p w14:paraId="22B7EB69">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lang w:val="en-US" w:eastAsia="zh-CN"/>
        </w:rPr>
      </w:pPr>
      <w:r>
        <w:rPr>
          <w:rFonts w:hint="eastAsia"/>
          <w:sz w:val="24"/>
          <w:lang w:val="en-US" w:eastAsia="zh-CN"/>
        </w:rPr>
        <w:t xml:space="preserve">           </w:t>
      </w:r>
    </w:p>
    <w:p w14:paraId="48D479AF">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新征程上，推动高质量发展是统筹好安全和发展的重要战略部署，需要在多个维度进行路径创新。</w:t>
      </w:r>
    </w:p>
    <w:p w14:paraId="43350E02">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第一，在构建高水平社会主义市场经济体制中推动高质量发展。</w:t>
      </w:r>
    </w:p>
    <w:p w14:paraId="7CCA97BB">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要坚持和完善社会主义基本经济制度，加大国有经济布局优化和结构调整，对标世界一流现代企业建设标准，加快完善中国特色现代企业制度，建立有利于国有资本保值增值的体制机制和政策体系。</w:t>
      </w:r>
    </w:p>
    <w:p w14:paraId="79943C12">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要通过制度创新，健全宏观经济治理新体系。在市场准入、产权保护、公平竞争、社会信用等方面进行制度优化，为打造凸显公平正义和效率的营商环境提供制度保障。同时，建立以不发生系统性风险为底线的金融监管制度体系，建立既能有效利用资本又能防范资本消极影响的政策制度体系。</w:t>
      </w:r>
    </w:p>
    <w:p w14:paraId="0477DAD4">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第二，在加快建设现代化产业体系中推动高质量发展。</w:t>
      </w:r>
    </w:p>
    <w:p w14:paraId="0A01B93D">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通过政策制度创新，建立有利于实体经济高质量发展的支撑体系。尤其要支持好制造业的发展，推动制造业绿色化、高端化和智能化发展。</w:t>
      </w:r>
    </w:p>
    <w:p w14:paraId="2986BEB4">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通过资金投入、财政补贴、政策制定等方式巩固优势产业地位，大力发展战略性新兴产业，维护国家战略安全，积极破解关键核心技术上的“卡脖子”问题。</w:t>
      </w:r>
    </w:p>
    <w:p w14:paraId="50E32D62">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同时，大力促进数字经济等新科技、新经济的产业化发展，并推动新科技、新经济与传统产业的融合性发展，实现传统产业的数字化发展；加快构建城乡一体的现代化物流体系，为打造畅通高效的国内大循环市场提供保障；加大现代服务业发展，构建现代化服务业新体系，为现代制造业、现代农业赋能。</w:t>
      </w:r>
    </w:p>
    <w:p w14:paraId="2915D983">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第三，在全面推进乡村振兴中推动高质量发展。</w:t>
      </w:r>
    </w:p>
    <w:p w14:paraId="49D970A7">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坚持农业农村优先发展，完善有利于城乡要素双向流动的体制机制，推动城乡融合发展；夯实粮食安全根基，拓宽粮食生产主渠道，实现种业生产安全可控，树立大粮食观。</w:t>
      </w:r>
    </w:p>
    <w:p w14:paraId="5778FD81">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各级地方政府应从政策、资金和贷款等方面，加大对乡村特色产业发展的支持力度，形成具有乡村特色的现代化产业发展集群，并建立乡村产业发展与农民利益联结的体制机制，进一步拓宽农民的增收渠道。</w:t>
      </w:r>
    </w:p>
    <w:p w14:paraId="405A8D1B">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第四，在推进高水平对外开放中推动高质量发展。</w:t>
      </w:r>
    </w:p>
    <w:p w14:paraId="605368AA">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深入挖掘大规模市场优势，发挥国内大市场对全球优质资源要素的虹吸效应，实现国内市场与国际市场的高质量协调联动。对标贸易强国建设目标，充分利用第四次科技革命的契机，大力发展数字贸易、大型电商，加快建立有利于货物贸易、服务贸易现代化发展的体制机制和政策体系，破解贸易“大而不强”等问题。</w:t>
      </w:r>
    </w:p>
    <w:p w14:paraId="05148161">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sz w:val="24"/>
        </w:rPr>
      </w:pPr>
      <w:r>
        <w:rPr>
          <w:rFonts w:hint="eastAsia"/>
          <w:sz w:val="24"/>
        </w:rPr>
        <w:t>要以“一带一路”高质量发展为抓手，高标准推进区域协调发展战略，优化生产力空间布局，推动东中西部地区之间在资源、交通、市场等各领域互联互通，助力改革开放的内陆地区变为新时代改革发展的前沿地带。</w:t>
      </w:r>
    </w:p>
    <w:p w14:paraId="3DC28769">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default"/>
          <w:sz w:val="24"/>
          <w:lang w:val="en-US" w:eastAsia="zh-CN"/>
        </w:rPr>
      </w:pPr>
      <w:r>
        <w:rPr>
          <w:rFonts w:hint="eastAsia"/>
          <w:sz w:val="24"/>
          <w:lang w:val="en-US" w:eastAsia="zh-CN"/>
        </w:rPr>
        <w:t>原载《解放日报》23年8月15日，第二作者为陈健</w:t>
      </w:r>
    </w:p>
    <w:p w14:paraId="68E4DE55">
      <w:pPr>
        <w:pStyle w:val="11"/>
        <w:pageBreakBefore w:val="0"/>
        <w:wordWrap/>
        <w:overflowPunct/>
        <w:topLinePunct w:val="0"/>
        <w:bidi w:val="0"/>
        <w:snapToGrid w:val="0"/>
        <w:spacing w:line="240" w:lineRule="auto"/>
        <w:ind w:left="0" w:firstLine="0" w:firstLineChars="0"/>
      </w:pPr>
    </w:p>
  </w:footnote>
  <w:footnote w:id="502">
    <w:p w14:paraId="1909CE7B">
      <w:pPr>
        <w:pStyle w:val="11"/>
        <w:pageBreakBefore w:val="0"/>
        <w:wordWrap/>
        <w:overflowPunct/>
        <w:topLinePunct w:val="0"/>
        <w:bidi w:val="0"/>
        <w:snapToGrid w:val="0"/>
        <w:spacing w:line="240" w:lineRule="auto"/>
        <w:ind w:left="0" w:firstLine="0" w:firstLineChars="0"/>
      </w:pPr>
    </w:p>
  </w:footnote>
  <w:footnote w:id="503">
    <w:p w14:paraId="278FA92D">
      <w:pPr>
        <w:pStyle w:val="7"/>
        <w:pageBreakBefore w:val="0"/>
        <w:wordWrap/>
        <w:overflowPunct/>
        <w:topLinePunct w:val="0"/>
        <w:bidi w:val="0"/>
        <w:snapToGrid w:val="0"/>
        <w:spacing w:line="240" w:lineRule="auto"/>
        <w:ind w:left="0" w:firstLine="0" w:firstLineChars="0"/>
        <w:rPr>
          <w:rFonts w:hint="eastAsia" w:ascii="仿宋" w:hAnsi="仿宋" w:eastAsia="仿宋" w:cs="仿宋"/>
          <w:sz w:val="18"/>
          <w:szCs w:val="18"/>
          <w:vertAlign w:val="baseline"/>
        </w:rPr>
      </w:pPr>
    </w:p>
    <w:p w14:paraId="7CAC5C61">
      <w:pPr>
        <w:pStyle w:val="13"/>
        <w:keepNext w:val="0"/>
        <w:keepLines w:val="0"/>
        <w:pageBreakBefore w:val="0"/>
        <w:widowControl/>
        <w:suppressLineNumbers w:val="0"/>
        <w:wordWrap/>
        <w:overflowPunct/>
        <w:topLinePunct w:val="0"/>
        <w:bidi w:val="0"/>
        <w:snapToGrid w:val="0"/>
        <w:spacing w:before="0" w:beforeAutospacing="0" w:after="0" w:afterAutospacing="0" w:line="240" w:lineRule="auto"/>
        <w:ind w:left="0" w:right="0" w:firstLine="0" w:firstLineChars="0"/>
        <w:jc w:val="left"/>
        <w:rPr>
          <w:rFonts w:hint="default" w:ascii="Times New Roman" w:hAnsi="Times New Roman" w:eastAsia="等线" w:cs="Times New Roman"/>
          <w:kern w:val="2"/>
          <w:sz w:val="21"/>
          <w:szCs w:val="21"/>
        </w:rPr>
      </w:pPr>
    </w:p>
    <w:p w14:paraId="1D9CA05B">
      <w:pPr>
        <w:pStyle w:val="11"/>
        <w:pageBreakBefore w:val="0"/>
        <w:wordWrap/>
        <w:overflowPunct/>
        <w:topLinePunct w:val="0"/>
        <w:bidi w:val="0"/>
        <w:snapToGrid w:val="0"/>
        <w:spacing w:line="240" w:lineRule="auto"/>
        <w:ind w:left="0" w:firstLine="0" w:firstLineChars="0"/>
      </w:pPr>
    </w:p>
  </w:footnote>
  <w:footnote w:id="504">
    <w:p w14:paraId="7E00F678">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Fonts w:hint="eastAsia" w:ascii="宋体" w:hAnsi="宋体" w:eastAsia="宋体" w:cs="宋体"/>
          <w:sz w:val="21"/>
          <w:szCs w:val="21"/>
        </w:rPr>
        <w:t>作者简介：</w:t>
      </w:r>
      <w:r>
        <w:rPr>
          <w:rFonts w:hint="eastAsia" w:ascii="宋体" w:hAnsi="宋体" w:eastAsia="宋体" w:cs="宋体"/>
          <w:sz w:val="21"/>
          <w:szCs w:val="21"/>
          <w:lang w:val="en-US" w:eastAsia="zh-CN"/>
        </w:rPr>
        <w:t>程恩富，男，南开大学·中国社会科学院大学21世纪马克思主义研究院研究员，中国社会科学院大学首席教授、博士研究生导师，中国社会科学院学部委员、经济与社会发展研究中心主任，上海财经大学海派经济学研究院院长，全国人大教科文卫委员会委员，</w:t>
      </w:r>
      <w:r>
        <w:rPr>
          <w:rFonts w:hint="eastAsia" w:ascii="宋体" w:hAnsi="宋体" w:eastAsia="宋体" w:cs="宋体"/>
          <w:sz w:val="21"/>
          <w:szCs w:val="21"/>
        </w:rPr>
        <w:t>世界政治经济学学会会长</w:t>
      </w:r>
      <w:r>
        <w:rPr>
          <w:rFonts w:hint="eastAsia" w:ascii="宋体" w:hAnsi="宋体" w:eastAsia="宋体" w:cs="宋体"/>
          <w:sz w:val="21"/>
          <w:szCs w:val="21"/>
          <w:lang w:eastAsia="zh-CN"/>
        </w:rPr>
        <w:t>。</w:t>
      </w:r>
    </w:p>
    <w:p w14:paraId="0ABCD3D2">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贾龙，男，法学博士，齐鲁师范学院马克思主义学院教授。</w:t>
      </w:r>
    </w:p>
  </w:footnote>
  <w:footnote w:id="505">
    <w:p w14:paraId="15230129">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val="en-US"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马克思、恩格斯：《共产党宣言》，人民出版社2018年版，第39页。</w:t>
      </w:r>
    </w:p>
  </w:footnote>
  <w:footnote w:id="506">
    <w:p w14:paraId="60BAB8F3">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《毛泽东选集》第1卷，人民出版社1991年版，第12-13页。</w:t>
      </w:r>
    </w:p>
  </w:footnote>
  <w:footnote w:id="507">
    <w:p w14:paraId="6B7D907E">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《毛泽东选集》第2卷，人民出版社1991年版，第511-512页。</w:t>
      </w:r>
    </w:p>
  </w:footnote>
  <w:footnote w:id="508">
    <w:p w14:paraId="168EC996">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《马克思恩格斯全集》第46卷（下），人民出版社1980年版，第222页。</w:t>
      </w:r>
    </w:p>
  </w:footnote>
  <w:footnote w:id="509">
    <w:p w14:paraId="4ED2DA4E">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《马克思恩格斯选集》第1卷，人民出版社2012年版，第308页。</w:t>
      </w:r>
    </w:p>
  </w:footnote>
  <w:footnote w:id="510">
    <w:p w14:paraId="4473EA62">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为全面建设社会主义现代化国家而团结奋斗——在中国共产党第二十次全国代表大会上的报告》，人民出版社2022年版，第22页。</w:t>
      </w:r>
    </w:p>
  </w:footnote>
  <w:footnote w:id="511">
    <w:p w14:paraId="10D4E55F">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《毛泽东选集》第2卷，人民出版社1991年版，第1031页。</w:t>
      </w:r>
    </w:p>
  </w:footnote>
  <w:footnote w:id="512">
    <w:p w14:paraId="7983636E">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为全面建设社会主义现代化国家而团结奋斗——在中国共产党第二十次全国代表大会上的报告》，人民出版社2022年版，第70页。</w:t>
      </w:r>
    </w:p>
  </w:footnote>
  <w:footnote w:id="513">
    <w:p w14:paraId="075C6496">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朱莹：《恩格斯早期反贫困思想及时代启示——基于&lt;英国工人阶级状况&gt;分析》，《海派经济学》2022年第2期。</w:t>
      </w:r>
    </w:p>
  </w:footnote>
  <w:footnote w:id="514">
    <w:p w14:paraId="15C4DA46">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马克思、恩格斯：《共产党宣言》，人民出版社2018年版，第41页。</w:t>
      </w:r>
    </w:p>
  </w:footnote>
  <w:footnote w:id="515">
    <w:p w14:paraId="5E644134">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val="en-US"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刘长明：《革命与执政的关系辨析——以毛泽东关于党的自我革命思想为中心的考察》，《政治经济学研究》2022年第2期。</w:t>
      </w:r>
    </w:p>
  </w:footnote>
  <w:footnote w:id="516">
    <w:p w14:paraId="5430AE1C">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程恩富：《中国特色社会主义政治经济学重大原则》，济南出版社2017年版，第5页。</w:t>
      </w:r>
    </w:p>
  </w:footnote>
  <w:footnote w:id="517">
    <w:p w14:paraId="6C94BA22">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为全面建设社会主义现代化国家而团结奋斗——在中国共产党第二十次全国代表大会上的报告》，人民出版社2022年版，第46页。</w:t>
      </w:r>
    </w:p>
  </w:footnote>
  <w:footnote w:id="518">
    <w:p w14:paraId="19BF4F8A">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为全面建设社会主义现代化国家而团结奋斗——在中国共产党第二十次全国代表大会上的报告》，人民出版社2022年版，第7页。</w:t>
      </w:r>
    </w:p>
  </w:footnote>
  <w:footnote w:id="519">
    <w:p w14:paraId="49B9AD3D">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为全面建设社会主义现代化国家而团结奋斗——在中国共产党第二十次全国代表大会上的报告》，人民出版社2022年版，第19页。</w:t>
      </w:r>
    </w:p>
  </w:footnote>
  <w:footnote w:id="520">
    <w:p w14:paraId="55C0F07D">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为全面建设社会主义现代化国家而团结奋斗——在中国共产党第二十次全国代表大会上的报告》，人民出版社2022年版，第19页。</w:t>
      </w:r>
    </w:p>
  </w:footnote>
  <w:footnote w:id="521">
    <w:p w14:paraId="37B3D310">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《列宁选集》第4卷，人民出版社2012年版，第299页。</w:t>
      </w:r>
    </w:p>
  </w:footnote>
  <w:footnote w:id="522">
    <w:p w14:paraId="6DC9D51E">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b w:val="0"/>
          <w:bCs w:val="0"/>
          <w:sz w:val="21"/>
          <w:szCs w:val="21"/>
          <w:lang w:eastAsia="zh-CN"/>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eastAsia="zh-CN"/>
        </w:rPr>
        <w:t>习近平：《坚持人民至上》，《求是》</w:t>
      </w:r>
      <w:r>
        <w:rPr>
          <w:rFonts w:hint="eastAsia" w:ascii="宋体" w:hAnsi="宋体" w:eastAsia="宋体" w:cs="宋体"/>
          <w:b w:val="0"/>
          <w:bCs w:val="0"/>
          <w:sz w:val="21"/>
          <w:szCs w:val="21"/>
          <w:lang w:val="en-US" w:eastAsia="zh-CN"/>
        </w:rPr>
        <w:t>2022年第20期。</w:t>
      </w:r>
    </w:p>
  </w:footnote>
  <w:footnote w:id="523">
    <w:p w14:paraId="7656FDC8">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为全面建设社会主义现代化国家而团结奋斗——在中国共产党第二十次全国代表大会上的报告》，人民出版社2022年版，第46页。</w:t>
      </w:r>
    </w:p>
  </w:footnote>
  <w:footnote w:id="524">
    <w:p w14:paraId="41126B7E">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为全面建设社会主义现代化国家而团结奋斗——在中国共产党第二十次全国代表大会上的报告》，人民出版社2022年版，第23-24页。</w:t>
      </w:r>
    </w:p>
  </w:footnote>
  <w:footnote w:id="525">
    <w:p w14:paraId="2F478D19">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  </w:t>
      </w: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b w:val="0"/>
          <w:bCs w:val="0"/>
          <w:sz w:val="21"/>
          <w:szCs w:val="21"/>
          <w:lang w:val="en-US" w:eastAsia="zh-CN"/>
        </w:rPr>
        <w:t>习近平：《高举中国特色社会主义伟大旗帜 为全面建设社会主义现代化国家而团结奋斗——在中国共产党第二十次全国代表大会上的报告》，人民出版社2022年版，第71页。</w:t>
      </w:r>
    </w:p>
  </w:footnote>
  <w:footnote w:id="526">
    <w:p w14:paraId="095EC010">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 xml:space="preserve"> </w:t>
      </w:r>
      <w:r>
        <w:rPr>
          <w:rFonts w:hint="eastAsia" w:ascii="宋体" w:hAnsi="宋体" w:eastAsia="宋体" w:cs="宋体"/>
          <w:sz w:val="21"/>
          <w:szCs w:val="21"/>
          <w:lang w:eastAsia="zh-Hans"/>
        </w:rPr>
        <w:t>这些国家包括</w:t>
      </w:r>
      <w:r>
        <w:rPr>
          <w:rFonts w:hint="eastAsia" w:ascii="宋体" w:hAnsi="宋体" w:eastAsia="宋体" w:cs="宋体"/>
          <w:spacing w:val="11"/>
          <w:sz w:val="21"/>
          <w:szCs w:val="21"/>
          <w:lang w:eastAsia="zh-CN"/>
        </w:rPr>
        <w:t>波兰、克罗地亚、土耳其、埃及、匈牙利、智利、墨西哥、以色列、白俄罗斯、秘鲁、罗马尼亚、阿尔巴尼亚</w:t>
      </w:r>
      <w:r>
        <w:rPr>
          <w:rFonts w:hint="eastAsia" w:ascii="宋体" w:hAnsi="宋体" w:eastAsia="宋体" w:cs="宋体"/>
          <w:spacing w:val="11"/>
          <w:sz w:val="21"/>
          <w:szCs w:val="21"/>
          <w:lang w:eastAsia="zh-Hans"/>
        </w:rPr>
        <w:t>等。</w:t>
      </w:r>
    </w:p>
  </w:footnote>
  <w:footnote w:id="527">
    <w:p w14:paraId="23A4315C">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 xml:space="preserve"> </w:t>
      </w:r>
      <w:r>
        <w:rPr>
          <w:rFonts w:hint="eastAsia" w:ascii="宋体" w:hAnsi="宋体" w:eastAsia="宋体" w:cs="宋体"/>
          <w:sz w:val="21"/>
          <w:szCs w:val="21"/>
          <w:lang w:eastAsia="zh-Hans"/>
        </w:rPr>
        <w:t>包括</w:t>
      </w:r>
      <w:r>
        <w:rPr>
          <w:rFonts w:hint="eastAsia" w:ascii="宋体" w:hAnsi="宋体" w:eastAsia="宋体" w:cs="宋体"/>
          <w:spacing w:val="11"/>
          <w:sz w:val="21"/>
          <w:szCs w:val="21"/>
          <w:lang w:eastAsia="zh-CN"/>
        </w:rPr>
        <w:t>柬埔寨、老挝、缅甸和越南</w:t>
      </w:r>
      <w:r>
        <w:rPr>
          <w:rFonts w:hint="eastAsia" w:ascii="宋体" w:hAnsi="宋体" w:eastAsia="宋体" w:cs="宋体"/>
          <w:spacing w:val="11"/>
          <w:sz w:val="21"/>
          <w:szCs w:val="21"/>
          <w:lang w:eastAsia="zh-Hans"/>
        </w:rPr>
        <w:t>等国家。</w:t>
      </w:r>
    </w:p>
  </w:footnote>
  <w:footnote w:id="528">
    <w:p w14:paraId="06B3F9BC">
      <w:pPr>
        <w:pStyle w:val="11"/>
        <w:keepNext w:val="0"/>
        <w:pageBreakBefore w:val="0"/>
        <w:kinsoku/>
        <w:wordWrap/>
        <w:overflowPunct/>
        <w:topLinePunct w:val="0"/>
        <w:bidi w:val="0"/>
        <w:snapToGrid w:val="0"/>
        <w:spacing w:line="240" w:lineRule="auto"/>
        <w:ind w:left="0" w:leftChars="0" w:right="0" w:firstLine="0" w:firstLineChars="0"/>
        <w:textAlignment w:val="auto"/>
        <w:rPr>
          <w:rFonts w:hint="eastAsia" w:ascii="宋体" w:hAnsi="宋体" w:eastAsia="宋体" w:cs="宋体"/>
          <w:color w:val="000000" w:themeColor="text1"/>
          <w:sz w:val="21"/>
          <w:szCs w:val="21"/>
          <w14:textFill>
            <w14:solidFill>
              <w14:schemeClr w14:val="tx1"/>
            </w14:solidFill>
          </w14:textFill>
        </w:rPr>
      </w:pPr>
      <w:r>
        <w:rPr>
          <w:rStyle w:val="20"/>
          <w:rFonts w:hint="eastAsia" w:ascii="宋体" w:hAnsi="宋体" w:eastAsia="宋体" w:cs="宋体"/>
          <w:color w:val="000000" w:themeColor="text1"/>
          <w:sz w:val="21"/>
          <w:szCs w:val="21"/>
          <w14:textFill>
            <w14:solidFill>
              <w14:schemeClr w14:val="tx1"/>
            </w14:solidFill>
          </w14:textFill>
        </w:rPr>
        <w:footnoteRef/>
      </w:r>
      <w:r>
        <w:rPr>
          <w:rFonts w:hint="eastAsia" w:ascii="宋体" w:hAnsi="宋体" w:eastAsia="宋体" w:cs="宋体"/>
          <w:color w:val="000000" w:themeColor="text1"/>
          <w:sz w:val="21"/>
          <w:szCs w:val="21"/>
          <w14:textFill>
            <w14:solidFill>
              <w14:schemeClr w14:val="tx1"/>
            </w14:solidFill>
          </w14:textFill>
        </w:rPr>
        <w:t xml:space="preserve"> </w:t>
      </w:r>
      <w:r>
        <w:rPr>
          <w:rFonts w:hint="eastAsia" w:ascii="宋体" w:hAnsi="宋体" w:eastAsia="宋体" w:cs="宋体"/>
          <w:color w:val="000000" w:themeColor="text1"/>
          <w:spacing w:val="11"/>
          <w:sz w:val="21"/>
          <w:szCs w:val="21"/>
          <w:lang w:eastAsia="zh-Hans"/>
          <w14:textFill>
            <w14:solidFill>
              <w14:schemeClr w14:val="tx1"/>
            </w14:solidFill>
          </w14:textFill>
        </w:rPr>
        <w:t>本刊记者.货币权力体系的发展与当代历史进程——访上海财经大学资深教授鲁品越[J].马克思主义研究,2018,(12):19-28.</w:t>
      </w:r>
    </w:p>
  </w:footnote>
  <w:footnote w:id="529">
    <w:p w14:paraId="70671B02">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 xml:space="preserve"> </w:t>
      </w:r>
      <w:r>
        <w:rPr>
          <w:rFonts w:hint="eastAsia" w:ascii="宋体" w:hAnsi="宋体" w:eastAsia="宋体" w:cs="宋体"/>
          <w:spacing w:val="11"/>
          <w:sz w:val="21"/>
          <w:szCs w:val="21"/>
          <w:lang w:eastAsia="zh-Hans"/>
        </w:rPr>
        <w:t>马克思恩格斯文集：第八卷[M].北京：人民出版社，2009:51.</w:t>
      </w:r>
    </w:p>
  </w:footnote>
  <w:footnote w:id="530">
    <w:p w14:paraId="530849DB">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color w:val="000000" w:themeColor="text1"/>
          <w:sz w:val="21"/>
          <w:szCs w:val="21"/>
          <w:lang w:eastAsia="zh-CN"/>
          <w14:textFill>
            <w14:solidFill>
              <w14:schemeClr w14:val="tx1"/>
            </w14:solidFill>
          </w14:textFill>
        </w:rPr>
        <w:t>1974年美国以保障沙特安全</w:t>
      </w:r>
      <w:r>
        <w:rPr>
          <w:rFonts w:hint="eastAsia" w:ascii="宋体" w:hAnsi="宋体" w:eastAsia="宋体" w:cs="宋体"/>
          <w:color w:val="000000" w:themeColor="text1"/>
          <w:sz w:val="21"/>
          <w:szCs w:val="21"/>
          <w:lang w:eastAsia="zh-Hans"/>
          <w14:textFill>
            <w14:solidFill>
              <w14:schemeClr w14:val="tx1"/>
            </w14:solidFill>
          </w14:textFill>
        </w:rPr>
        <w:t>为由与其签署</w:t>
      </w:r>
      <w:r>
        <w:rPr>
          <w:rFonts w:hint="eastAsia" w:ascii="宋体" w:hAnsi="宋体" w:eastAsia="宋体" w:cs="宋体"/>
          <w:color w:val="000000" w:themeColor="text1"/>
          <w:sz w:val="21"/>
          <w:szCs w:val="21"/>
          <w:lang w:eastAsia="zh-CN"/>
          <w14:textFill>
            <w14:solidFill>
              <w14:schemeClr w14:val="tx1"/>
            </w14:solidFill>
          </w14:textFill>
        </w:rPr>
        <w:t>“不可动摇协议”，</w:t>
      </w:r>
      <w:r>
        <w:rPr>
          <w:rFonts w:hint="eastAsia" w:ascii="宋体" w:hAnsi="宋体" w:eastAsia="宋体" w:cs="宋体"/>
          <w:color w:val="000000" w:themeColor="text1"/>
          <w:sz w:val="21"/>
          <w:szCs w:val="21"/>
          <w:lang w:eastAsia="zh-Hans"/>
          <w14:textFill>
            <w14:solidFill>
              <w14:schemeClr w14:val="tx1"/>
            </w14:solidFill>
          </w14:textFill>
        </w:rPr>
        <w:t>以此</w:t>
      </w:r>
      <w:r>
        <w:rPr>
          <w:rFonts w:hint="eastAsia" w:ascii="宋体" w:hAnsi="宋体" w:eastAsia="宋体" w:cs="宋体"/>
          <w:color w:val="000000" w:themeColor="text1"/>
          <w:sz w:val="21"/>
          <w:szCs w:val="21"/>
          <w:lang w:eastAsia="zh-CN"/>
          <w14:textFill>
            <w14:solidFill>
              <w14:schemeClr w14:val="tx1"/>
            </w14:solidFill>
          </w14:textFill>
        </w:rPr>
        <w:t>换取石油输出国组织（</w:t>
      </w:r>
      <w:r>
        <w:rPr>
          <w:rFonts w:hint="eastAsia" w:ascii="宋体" w:hAnsi="宋体" w:eastAsia="宋体" w:cs="宋体"/>
          <w:color w:val="000000" w:themeColor="text1"/>
          <w:sz w:val="21"/>
          <w:szCs w:val="21"/>
          <w:lang w:eastAsia="zh-Hans"/>
          <w14:textFill>
            <w14:solidFill>
              <w14:schemeClr w14:val="tx1"/>
            </w14:solidFill>
          </w14:textFill>
        </w:rPr>
        <w:t>OPEC</w:t>
      </w:r>
      <w:r>
        <w:rPr>
          <w:rFonts w:hint="eastAsia" w:ascii="宋体" w:hAnsi="宋体" w:eastAsia="宋体" w:cs="宋体"/>
          <w:color w:val="000000" w:themeColor="text1"/>
          <w:sz w:val="21"/>
          <w:szCs w:val="21"/>
          <w:lang w:eastAsia="zh-CN"/>
          <w14:textFill>
            <w14:solidFill>
              <w14:schemeClr w14:val="tx1"/>
            </w14:solidFill>
          </w14:textFill>
        </w:rPr>
        <w:t>）将美元作为石油定价和贸易结算</w:t>
      </w:r>
      <w:r>
        <w:rPr>
          <w:rFonts w:hint="eastAsia" w:ascii="宋体" w:hAnsi="宋体" w:eastAsia="宋体" w:cs="宋体"/>
          <w:color w:val="000000" w:themeColor="text1"/>
          <w:sz w:val="21"/>
          <w:szCs w:val="21"/>
          <w:lang w:eastAsia="zh-Hans"/>
          <w14:textFill>
            <w14:solidFill>
              <w14:schemeClr w14:val="tx1"/>
            </w14:solidFill>
          </w14:textFill>
        </w:rPr>
        <w:t>的</w:t>
      </w:r>
      <w:r>
        <w:rPr>
          <w:rFonts w:hint="eastAsia" w:ascii="宋体" w:hAnsi="宋体" w:eastAsia="宋体" w:cs="宋体"/>
          <w:color w:val="000000" w:themeColor="text1"/>
          <w:sz w:val="21"/>
          <w:szCs w:val="21"/>
          <w:lang w:eastAsia="zh-CN"/>
          <w14:textFill>
            <w14:solidFill>
              <w14:schemeClr w14:val="tx1"/>
            </w14:solidFill>
          </w14:textFill>
        </w:rPr>
        <w:t>唯一货币。</w:t>
      </w:r>
    </w:p>
  </w:footnote>
  <w:footnote w:id="531">
    <w:p w14:paraId="6641AE38">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color w:val="000000" w:themeColor="text1"/>
          <w:sz w:val="21"/>
          <w:szCs w:val="21"/>
          <w:lang w:eastAsia="zh-Hans"/>
          <w14:textFill>
            <w14:solidFill>
              <w14:schemeClr w14:val="tx1"/>
            </w14:solidFill>
          </w14:textFill>
        </w:rPr>
        <w:t>大规模大宗商品的期货化，是全球金融化体系形成的标志。</w:t>
      </w:r>
      <w:r>
        <w:rPr>
          <w:rFonts w:hint="eastAsia" w:ascii="宋体" w:hAnsi="宋体" w:eastAsia="宋体" w:cs="宋体"/>
          <w:color w:val="000000" w:themeColor="text1"/>
          <w:sz w:val="21"/>
          <w:szCs w:val="21"/>
          <w:lang w:eastAsia="zh-CN"/>
          <w14:textFill>
            <w14:solidFill>
              <w14:schemeClr w14:val="tx1"/>
            </w14:solidFill>
          </w14:textFill>
        </w:rPr>
        <w:t>能源</w:t>
      </w:r>
      <w:r>
        <w:rPr>
          <w:rFonts w:hint="eastAsia" w:ascii="宋体" w:hAnsi="宋体" w:eastAsia="宋体" w:cs="宋体"/>
          <w:color w:val="000000" w:themeColor="text1"/>
          <w:sz w:val="21"/>
          <w:szCs w:val="21"/>
          <w:lang w:eastAsia="zh-Hans"/>
          <w14:textFill>
            <w14:solidFill>
              <w14:schemeClr w14:val="tx1"/>
            </w14:solidFill>
          </w14:textFill>
        </w:rPr>
        <w:t>作为重要的大宗商品，其</w:t>
      </w:r>
      <w:r>
        <w:rPr>
          <w:rFonts w:hint="eastAsia" w:ascii="宋体" w:hAnsi="宋体" w:eastAsia="宋体" w:cs="宋体"/>
          <w:color w:val="000000" w:themeColor="text1"/>
          <w:sz w:val="21"/>
          <w:szCs w:val="21"/>
          <w:lang w:eastAsia="zh-CN"/>
          <w14:textFill>
            <w14:solidFill>
              <w14:schemeClr w14:val="tx1"/>
            </w14:solidFill>
          </w14:textFill>
        </w:rPr>
        <w:t>期货始于20世纪70年代，成熟20世纪80年代，</w:t>
      </w:r>
      <w:r>
        <w:rPr>
          <w:rFonts w:hint="eastAsia" w:ascii="宋体" w:hAnsi="宋体" w:eastAsia="宋体" w:cs="宋体"/>
          <w:color w:val="000000" w:themeColor="text1"/>
          <w:sz w:val="21"/>
          <w:szCs w:val="21"/>
          <w:lang w:eastAsia="zh-Hans"/>
          <w14:textFill>
            <w14:solidFill>
              <w14:schemeClr w14:val="tx1"/>
            </w14:solidFill>
          </w14:textFill>
        </w:rPr>
        <w:t>可见</w:t>
      </w:r>
      <w:r>
        <w:rPr>
          <w:rFonts w:hint="eastAsia" w:ascii="宋体" w:hAnsi="宋体" w:eastAsia="宋体" w:cs="宋体"/>
          <w:color w:val="000000" w:themeColor="text1"/>
          <w:sz w:val="21"/>
          <w:szCs w:val="21"/>
          <w:lang w:eastAsia="zh-CN"/>
          <w14:textFill>
            <w14:solidFill>
              <w14:schemeClr w14:val="tx1"/>
            </w14:solidFill>
          </w14:textFill>
        </w:rPr>
        <w:t>大规模商品金融化发生在20世纪80年代，</w:t>
      </w:r>
      <w:r>
        <w:rPr>
          <w:rFonts w:hint="eastAsia" w:ascii="宋体" w:hAnsi="宋体" w:eastAsia="宋体" w:cs="宋体"/>
          <w:color w:val="000000" w:themeColor="text1"/>
          <w:sz w:val="21"/>
          <w:szCs w:val="21"/>
          <w:lang w:eastAsia="zh-Hans"/>
          <w14:textFill>
            <w14:solidFill>
              <w14:schemeClr w14:val="tx1"/>
            </w14:solidFill>
          </w14:textFill>
        </w:rPr>
        <w:t>即</w:t>
      </w:r>
      <w:r>
        <w:rPr>
          <w:rFonts w:hint="eastAsia" w:ascii="宋体" w:hAnsi="宋体" w:eastAsia="宋体" w:cs="宋体"/>
          <w:color w:val="000000" w:themeColor="text1"/>
          <w:sz w:val="21"/>
          <w:szCs w:val="21"/>
          <w:lang w:eastAsia="zh-CN"/>
          <w14:textFill>
            <w14:solidFill>
              <w14:schemeClr w14:val="tx1"/>
            </w14:solidFill>
          </w14:textFill>
        </w:rPr>
        <w:t>华盛顿共识</w:t>
      </w:r>
      <w:r>
        <w:rPr>
          <w:rFonts w:hint="eastAsia" w:ascii="宋体" w:hAnsi="宋体" w:eastAsia="宋体" w:cs="宋体"/>
          <w:color w:val="000000" w:themeColor="text1"/>
          <w:sz w:val="21"/>
          <w:szCs w:val="21"/>
          <w:lang w:eastAsia="zh-Hans"/>
          <w14:textFill>
            <w14:solidFill>
              <w14:schemeClr w14:val="tx1"/>
            </w14:solidFill>
          </w14:textFill>
        </w:rPr>
        <w:t>形成前后。从后文分析可知全球金融化体系的形成以商品金融化为基础，以新自由主义制度为保证。</w:t>
      </w:r>
    </w:p>
  </w:footnote>
  <w:footnote w:id="532">
    <w:p w14:paraId="378FF212">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 xml:space="preserve"> </w:t>
      </w:r>
      <w:r>
        <w:rPr>
          <w:rFonts w:hint="eastAsia" w:ascii="宋体" w:hAnsi="宋体" w:eastAsia="宋体" w:cs="宋体"/>
          <w:sz w:val="21"/>
          <w:szCs w:val="21"/>
          <w:lang w:eastAsia="zh-Hans"/>
        </w:rPr>
        <w:t>商品金融化是在商品本身使用价值的基础上，挖掘出其可能的投资、融资等额外具备金融特性的功能。这些额外功能可类比货币，同时具备稀缺性、存储性与流动性的商品均可金融化，但无法再生的、稀缺性强的、流动性高的、方便存储的商品，金融属性更强。这些商品主要是与工业化密切相关的原油、有色金属、农产品、铁矿石、煤炭等全球需求量大的商品，即大宗商品。</w:t>
      </w:r>
    </w:p>
  </w:footnote>
  <w:footnote w:id="533">
    <w:p w14:paraId="51F7F5FD">
      <w:pPr>
        <w:pStyle w:val="11"/>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 xml:space="preserve"> </w:t>
      </w:r>
      <w:r>
        <w:rPr>
          <w:rFonts w:hint="eastAsia" w:ascii="宋体" w:hAnsi="宋体" w:eastAsia="宋体" w:cs="宋体"/>
          <w:spacing w:val="11"/>
          <w:sz w:val="21"/>
          <w:szCs w:val="21"/>
          <w:lang w:eastAsia="zh-Hans"/>
        </w:rPr>
        <w:t>全球金融化体系与其他货币体系的关键区别在于，其改变了传统流通领域中一国商品市场与金融市场分割的局面，打通了商品市场和金融市场，并通过一系列国际制度安排在国际金融市场中形成了商品—金融—美元—商品的闭环体系。</w:t>
      </w:r>
    </w:p>
  </w:footnote>
  <w:footnote w:id="534">
    <w:p w14:paraId="0AFF4A7B">
      <w:pPr>
        <w:keepNext w:val="0"/>
        <w:pageBreakBefore w:val="0"/>
        <w:kinsoku/>
        <w:wordWrap/>
        <w:overflowPunct/>
        <w:topLinePunct w:val="0"/>
        <w:bidi w:val="0"/>
        <w:spacing w:line="240" w:lineRule="auto"/>
        <w:ind w:left="0" w:leftChars="0" w:right="0" w:firstLine="0" w:firstLineChars="0"/>
        <w:textAlignment w:val="auto"/>
        <w:rPr>
          <w:rFonts w:hint="eastAsia" w:ascii="宋体" w:hAnsi="宋体" w:eastAsia="宋体" w:cs="宋体"/>
          <w:sz w:val="21"/>
          <w:szCs w:val="21"/>
          <w:lang w:eastAsia="zh-CN"/>
        </w:rPr>
      </w:pPr>
      <w:r>
        <w:rPr>
          <w:rStyle w:val="20"/>
          <w:rFonts w:hint="eastAsia" w:ascii="宋体" w:hAnsi="宋体" w:eastAsia="宋体" w:cs="宋体"/>
          <w:sz w:val="21"/>
          <w:szCs w:val="21"/>
        </w:rPr>
        <w:footnoteRef/>
      </w:r>
      <w:r>
        <w:rPr>
          <w:rFonts w:hint="eastAsia" w:ascii="宋体" w:hAnsi="宋体" w:eastAsia="宋体" w:cs="宋体"/>
          <w:sz w:val="21"/>
          <w:szCs w:val="21"/>
          <w:lang w:eastAsia="zh-CN"/>
        </w:rPr>
        <w:t xml:space="preserve"> 程恩富,孙业霞. “三元悖论”与我国资本项目开放的新考量[J]. 辽宁大学学报(哲学社会科学版),2015,43(05):1-7.</w:t>
      </w:r>
    </w:p>
  </w:footnote>
  <w:footnote w:id="535">
    <w:p w14:paraId="72096BB4">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习近平：《在哲学社会科学工作座谈会上的讲话》，北京：人民出版社，</w:t>
      </w:r>
      <w:r>
        <w:rPr>
          <w:rFonts w:ascii="宋体" w:hAnsi="宋体" w:eastAsia="宋体"/>
        </w:rPr>
        <w:t>2016</w:t>
      </w:r>
      <w:r>
        <w:rPr>
          <w:rFonts w:hint="eastAsia" w:ascii="宋体" w:hAnsi="宋体" w:eastAsia="宋体"/>
        </w:rPr>
        <w:t>年，第</w:t>
      </w:r>
      <w:r>
        <w:rPr>
          <w:rFonts w:ascii="宋体" w:hAnsi="宋体" w:eastAsia="宋体"/>
        </w:rPr>
        <w:t>9</w:t>
      </w:r>
      <w:r>
        <w:rPr>
          <w:rFonts w:hint="eastAsia" w:ascii="宋体" w:hAnsi="宋体" w:eastAsia="宋体"/>
        </w:rPr>
        <w:t>页。</w:t>
      </w:r>
    </w:p>
  </w:footnote>
  <w:footnote w:id="536">
    <w:p w14:paraId="6B9DAC63">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《毛泽东选集》（第</w:t>
      </w:r>
      <w:r>
        <w:rPr>
          <w:rFonts w:ascii="宋体" w:hAnsi="宋体" w:eastAsia="宋体"/>
        </w:rPr>
        <w:t>1</w:t>
      </w:r>
      <w:r>
        <w:rPr>
          <w:rFonts w:hint="eastAsia" w:ascii="宋体" w:hAnsi="宋体" w:eastAsia="宋体"/>
        </w:rPr>
        <w:t>卷），北京：人民出版社，</w:t>
      </w:r>
      <w:r>
        <w:rPr>
          <w:rFonts w:ascii="宋体" w:hAnsi="宋体" w:eastAsia="宋体"/>
        </w:rPr>
        <w:t>1991</w:t>
      </w:r>
      <w:r>
        <w:rPr>
          <w:rFonts w:hint="eastAsia" w:ascii="宋体" w:hAnsi="宋体" w:eastAsia="宋体"/>
        </w:rPr>
        <w:t>年，第</w:t>
      </w:r>
      <w:r>
        <w:rPr>
          <w:rFonts w:ascii="宋体" w:hAnsi="宋体" w:eastAsia="宋体"/>
        </w:rPr>
        <w:t>286</w:t>
      </w:r>
      <w:r>
        <w:rPr>
          <w:rFonts w:hint="eastAsia" w:ascii="宋体" w:hAnsi="宋体" w:eastAsia="宋体"/>
        </w:rPr>
        <w:t>页。</w:t>
      </w:r>
    </w:p>
  </w:footnote>
  <w:footnote w:id="537">
    <w:p w14:paraId="5D00EE52">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《毛泽东文集》（第</w:t>
      </w:r>
      <w:r>
        <w:rPr>
          <w:rFonts w:ascii="宋体" w:hAnsi="宋体" w:eastAsia="宋体"/>
        </w:rPr>
        <w:t>6</w:t>
      </w:r>
      <w:r>
        <w:rPr>
          <w:rFonts w:hint="eastAsia" w:ascii="宋体" w:hAnsi="宋体" w:eastAsia="宋体"/>
        </w:rPr>
        <w:t>卷），北京：人民出版社，</w:t>
      </w:r>
      <w:r>
        <w:rPr>
          <w:rFonts w:ascii="宋体" w:hAnsi="宋体" w:eastAsia="宋体"/>
        </w:rPr>
        <w:t>1999</w:t>
      </w:r>
      <w:r>
        <w:rPr>
          <w:rFonts w:hint="eastAsia" w:ascii="宋体" w:hAnsi="宋体" w:eastAsia="宋体"/>
        </w:rPr>
        <w:t>年，第</w:t>
      </w:r>
      <w:r>
        <w:rPr>
          <w:rFonts w:ascii="宋体" w:hAnsi="宋体" w:eastAsia="宋体"/>
        </w:rPr>
        <w:t>430</w:t>
      </w:r>
      <w:r>
        <w:rPr>
          <w:rFonts w:hint="eastAsia" w:ascii="宋体" w:hAnsi="宋体" w:eastAsia="宋体"/>
        </w:rPr>
        <w:t>页。</w:t>
      </w:r>
    </w:p>
  </w:footnote>
  <w:footnote w:id="538">
    <w:p w14:paraId="6134220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《列宁全集》第2版第</w:t>
      </w:r>
      <w:r>
        <w:rPr>
          <w:rFonts w:ascii="宋体" w:hAnsi="宋体" w:eastAsia="宋体"/>
        </w:rPr>
        <w:t>55</w:t>
      </w:r>
      <w:r>
        <w:rPr>
          <w:rFonts w:hint="eastAsia" w:ascii="宋体" w:hAnsi="宋体" w:eastAsia="宋体"/>
        </w:rPr>
        <w:t>卷，北京：人民出版社，</w:t>
      </w:r>
      <w:r>
        <w:rPr>
          <w:rFonts w:ascii="宋体" w:hAnsi="宋体" w:eastAsia="宋体"/>
        </w:rPr>
        <w:t>2017</w:t>
      </w:r>
      <w:r>
        <w:rPr>
          <w:rFonts w:hint="eastAsia" w:ascii="宋体" w:hAnsi="宋体" w:eastAsia="宋体"/>
        </w:rPr>
        <w:t>年，第</w:t>
      </w:r>
      <w:r>
        <w:rPr>
          <w:rFonts w:ascii="宋体" w:hAnsi="宋体" w:eastAsia="宋体"/>
        </w:rPr>
        <w:t>110</w:t>
      </w:r>
      <w:r>
        <w:rPr>
          <w:rFonts w:hint="eastAsia" w:ascii="宋体" w:hAnsi="宋体" w:eastAsia="宋体"/>
        </w:rPr>
        <w:t>页。</w:t>
      </w:r>
    </w:p>
  </w:footnote>
  <w:footnote w:id="539">
    <w:p w14:paraId="31B3A4E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《列宁全集》第2版第</w:t>
      </w:r>
      <w:r>
        <w:rPr>
          <w:rFonts w:ascii="宋体" w:hAnsi="宋体" w:eastAsia="宋体"/>
        </w:rPr>
        <w:t>55</w:t>
      </w:r>
      <w:r>
        <w:rPr>
          <w:rFonts w:hint="eastAsia" w:ascii="宋体" w:hAnsi="宋体" w:eastAsia="宋体"/>
        </w:rPr>
        <w:t>卷，北京：人民出版社，</w:t>
      </w:r>
      <w:r>
        <w:rPr>
          <w:rFonts w:ascii="宋体" w:hAnsi="宋体" w:eastAsia="宋体"/>
        </w:rPr>
        <w:t>2017</w:t>
      </w:r>
      <w:r>
        <w:rPr>
          <w:rFonts w:hint="eastAsia" w:ascii="宋体" w:hAnsi="宋体" w:eastAsia="宋体"/>
        </w:rPr>
        <w:t>年，第</w:t>
      </w:r>
      <w:r>
        <w:rPr>
          <w:rFonts w:ascii="宋体" w:hAnsi="宋体" w:eastAsia="宋体"/>
        </w:rPr>
        <w:t>190—192</w:t>
      </w:r>
      <w:r>
        <w:rPr>
          <w:rFonts w:hint="eastAsia" w:ascii="宋体" w:hAnsi="宋体" w:eastAsia="宋体"/>
        </w:rPr>
        <w:t>页。</w:t>
      </w:r>
    </w:p>
  </w:footnote>
  <w:footnote w:id="540">
    <w:p w14:paraId="49D10018">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《列宁全集》第2版第</w:t>
      </w:r>
      <w:r>
        <w:rPr>
          <w:rFonts w:ascii="宋体" w:hAnsi="宋体" w:eastAsia="宋体"/>
        </w:rPr>
        <w:t xml:space="preserve"> 55</w:t>
      </w:r>
      <w:r>
        <w:rPr>
          <w:rFonts w:hint="eastAsia" w:ascii="宋体" w:hAnsi="宋体" w:eastAsia="宋体"/>
        </w:rPr>
        <w:t>卷，北京：人民出版社，</w:t>
      </w:r>
      <w:r>
        <w:rPr>
          <w:rFonts w:ascii="宋体" w:hAnsi="宋体" w:eastAsia="宋体"/>
        </w:rPr>
        <w:t>2017</w:t>
      </w:r>
      <w:r>
        <w:rPr>
          <w:rFonts w:hint="eastAsia" w:ascii="宋体" w:hAnsi="宋体" w:eastAsia="宋体"/>
        </w:rPr>
        <w:t>年，第</w:t>
      </w:r>
      <w:r>
        <w:rPr>
          <w:rFonts w:ascii="宋体" w:hAnsi="宋体" w:eastAsia="宋体"/>
        </w:rPr>
        <w:t>190—192</w:t>
      </w:r>
      <w:r>
        <w:rPr>
          <w:rFonts w:hint="eastAsia" w:ascii="宋体" w:hAnsi="宋体" w:eastAsia="宋体"/>
        </w:rPr>
        <w:t>页。</w:t>
      </w:r>
    </w:p>
  </w:footnote>
  <w:footnote w:id="541">
    <w:p w14:paraId="3B68219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《毛泽东选集》（第</w:t>
      </w:r>
      <w:r>
        <w:rPr>
          <w:rFonts w:ascii="宋体" w:hAnsi="宋体" w:eastAsia="宋体"/>
        </w:rPr>
        <w:t>1</w:t>
      </w:r>
      <w:r>
        <w:rPr>
          <w:rFonts w:hint="eastAsia" w:ascii="宋体" w:hAnsi="宋体" w:eastAsia="宋体"/>
        </w:rPr>
        <w:t>卷），北京：人民出版社，</w:t>
      </w:r>
      <w:r>
        <w:rPr>
          <w:rFonts w:ascii="宋体" w:hAnsi="宋体" w:eastAsia="宋体"/>
        </w:rPr>
        <w:t>1991</w:t>
      </w:r>
      <w:r>
        <w:rPr>
          <w:rFonts w:hint="eastAsia" w:ascii="宋体" w:hAnsi="宋体" w:eastAsia="宋体"/>
        </w:rPr>
        <w:t>年，第</w:t>
      </w:r>
      <w:r>
        <w:rPr>
          <w:rFonts w:ascii="宋体" w:hAnsi="宋体" w:eastAsia="宋体"/>
        </w:rPr>
        <w:t>310</w:t>
      </w:r>
      <w:r>
        <w:rPr>
          <w:rFonts w:hint="eastAsia" w:ascii="宋体" w:hAnsi="宋体" w:eastAsia="宋体"/>
        </w:rPr>
        <w:t>页。</w:t>
      </w:r>
    </w:p>
  </w:footnote>
  <w:footnote w:id="542">
    <w:p w14:paraId="643FBA52">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《马克思恩格斯选集》第</w:t>
      </w:r>
      <w:r>
        <w:rPr>
          <w:rFonts w:ascii="宋体" w:hAnsi="宋体" w:eastAsia="宋体"/>
        </w:rPr>
        <w:t>1</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2012</w:t>
      </w:r>
      <w:r>
        <w:rPr>
          <w:rFonts w:hint="eastAsia" w:ascii="宋体" w:hAnsi="宋体" w:eastAsia="宋体"/>
        </w:rPr>
        <w:t>年，第</w:t>
      </w:r>
      <w:r>
        <w:rPr>
          <w:rFonts w:ascii="宋体" w:hAnsi="宋体" w:eastAsia="宋体"/>
        </w:rPr>
        <w:t>135</w:t>
      </w:r>
      <w:r>
        <w:rPr>
          <w:rFonts w:hint="eastAsia" w:ascii="宋体" w:hAnsi="宋体" w:eastAsia="宋体"/>
        </w:rPr>
        <w:t>页。</w:t>
      </w:r>
      <w:r>
        <w:rPr>
          <w:rFonts w:ascii="宋体" w:hAnsi="宋体" w:eastAsia="宋体"/>
        </w:rPr>
        <w:t xml:space="preserve"> </w:t>
      </w:r>
    </w:p>
  </w:footnote>
  <w:footnote w:id="543">
    <w:p w14:paraId="3B65F7AD">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bookmarkStart w:id="1049" w:name="OLE_LINK1"/>
      <w:r>
        <w:rPr>
          <w:rFonts w:hint="eastAsia" w:ascii="宋体" w:hAnsi="宋体" w:eastAsia="宋体"/>
        </w:rPr>
        <w:t>《马克思恩格斯文集》第</w:t>
      </w:r>
      <w:r>
        <w:rPr>
          <w:rFonts w:ascii="宋体" w:hAnsi="宋体" w:eastAsia="宋体"/>
        </w:rPr>
        <w:t>2</w:t>
      </w:r>
      <w:r>
        <w:rPr>
          <w:rFonts w:hint="eastAsia" w:ascii="宋体" w:hAnsi="宋体" w:eastAsia="宋体"/>
        </w:rPr>
        <w:t>卷，北京：人民出版社，</w:t>
      </w:r>
      <w:r>
        <w:rPr>
          <w:rFonts w:ascii="宋体" w:hAnsi="宋体" w:eastAsia="宋体"/>
        </w:rPr>
        <w:t>2009</w:t>
      </w:r>
      <w:r>
        <w:rPr>
          <w:rFonts w:hint="eastAsia" w:ascii="宋体" w:hAnsi="宋体" w:eastAsia="宋体"/>
        </w:rPr>
        <w:t>年，第</w:t>
      </w:r>
      <w:r>
        <w:rPr>
          <w:rFonts w:ascii="宋体" w:hAnsi="宋体" w:eastAsia="宋体"/>
        </w:rPr>
        <w:t>9</w:t>
      </w:r>
      <w:r>
        <w:rPr>
          <w:rFonts w:hint="eastAsia" w:ascii="宋体" w:hAnsi="宋体" w:eastAsia="宋体"/>
        </w:rPr>
        <w:t>页。</w:t>
      </w:r>
    </w:p>
    <w:bookmarkEnd w:id="1049"/>
  </w:footnote>
  <w:footnote w:id="544">
    <w:p w14:paraId="04F771E6">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《马克思恩格斯文集》第</w:t>
      </w:r>
      <w:r>
        <w:rPr>
          <w:rFonts w:ascii="宋体" w:hAnsi="宋体" w:eastAsia="宋体"/>
        </w:rPr>
        <w:t>2</w:t>
      </w:r>
      <w:r>
        <w:rPr>
          <w:rFonts w:hint="eastAsia" w:ascii="宋体" w:hAnsi="宋体" w:eastAsia="宋体"/>
        </w:rPr>
        <w:t>卷，北京：人民出版社，</w:t>
      </w:r>
      <w:r>
        <w:rPr>
          <w:rFonts w:ascii="宋体" w:hAnsi="宋体" w:eastAsia="宋体"/>
        </w:rPr>
        <w:t>2009</w:t>
      </w:r>
      <w:r>
        <w:rPr>
          <w:rFonts w:hint="eastAsia" w:ascii="宋体" w:hAnsi="宋体" w:eastAsia="宋体"/>
        </w:rPr>
        <w:t>年，第</w:t>
      </w:r>
      <w:r>
        <w:rPr>
          <w:rFonts w:ascii="宋体" w:hAnsi="宋体" w:eastAsia="宋体"/>
        </w:rPr>
        <w:t>592</w:t>
      </w:r>
      <w:r>
        <w:rPr>
          <w:rFonts w:hint="eastAsia" w:ascii="宋体" w:hAnsi="宋体" w:eastAsia="宋体"/>
        </w:rPr>
        <w:t>页。</w:t>
      </w:r>
    </w:p>
  </w:footnote>
  <w:footnote w:id="545">
    <w:p w14:paraId="5DEC2EE3">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马克思：《资本论》，北京：人民出版社，</w:t>
      </w:r>
      <w:r>
        <w:rPr>
          <w:rFonts w:ascii="宋体" w:hAnsi="宋体" w:eastAsia="宋体"/>
        </w:rPr>
        <w:t>2004</w:t>
      </w:r>
      <w:r>
        <w:rPr>
          <w:rFonts w:hint="eastAsia" w:ascii="宋体" w:hAnsi="宋体" w:eastAsia="宋体"/>
        </w:rPr>
        <w:t>年，第</w:t>
      </w:r>
      <w:r>
        <w:rPr>
          <w:rFonts w:ascii="宋体" w:hAnsi="宋体" w:eastAsia="宋体"/>
        </w:rPr>
        <w:t>272</w:t>
      </w:r>
      <w:r>
        <w:rPr>
          <w:rFonts w:hint="eastAsia" w:ascii="宋体" w:hAnsi="宋体" w:eastAsia="宋体"/>
        </w:rPr>
        <w:t>页。</w:t>
      </w:r>
    </w:p>
  </w:footnote>
  <w:footnote w:id="546">
    <w:p w14:paraId="25BAFDC2">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《邓小平文选》第</w:t>
      </w:r>
      <w:r>
        <w:rPr>
          <w:rFonts w:ascii="宋体" w:hAnsi="宋体" w:eastAsia="宋体"/>
        </w:rPr>
        <w:t>3</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1993</w:t>
      </w:r>
      <w:r>
        <w:rPr>
          <w:rFonts w:hint="eastAsia" w:ascii="宋体" w:hAnsi="宋体" w:eastAsia="宋体"/>
        </w:rPr>
        <w:t>年，第</w:t>
      </w:r>
      <w:r>
        <w:rPr>
          <w:rFonts w:ascii="宋体" w:hAnsi="宋体" w:eastAsia="宋体"/>
        </w:rPr>
        <w:t>373</w:t>
      </w:r>
      <w:r>
        <w:rPr>
          <w:rFonts w:hint="eastAsia" w:ascii="宋体" w:hAnsi="宋体" w:eastAsia="宋体"/>
        </w:rPr>
        <w:t>页。</w:t>
      </w:r>
    </w:p>
  </w:footnote>
  <w:footnote w:id="547">
    <w:p w14:paraId="79D629C1">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《邓小平文选》第</w:t>
      </w:r>
      <w:r>
        <w:rPr>
          <w:rFonts w:ascii="宋体" w:hAnsi="宋体" w:eastAsia="宋体"/>
        </w:rPr>
        <w:t>3</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1993</w:t>
      </w:r>
      <w:r>
        <w:rPr>
          <w:rFonts w:hint="eastAsia" w:ascii="宋体" w:hAnsi="宋体" w:eastAsia="宋体"/>
        </w:rPr>
        <w:t>年，第</w:t>
      </w:r>
      <w:r>
        <w:rPr>
          <w:rFonts w:ascii="宋体" w:hAnsi="宋体" w:eastAsia="宋体"/>
        </w:rPr>
        <w:t>142</w:t>
      </w:r>
      <w:r>
        <w:rPr>
          <w:rFonts w:hint="eastAsia" w:ascii="宋体" w:hAnsi="宋体" w:eastAsia="宋体"/>
        </w:rPr>
        <w:t>页。</w:t>
      </w:r>
    </w:p>
  </w:footnote>
  <w:footnote w:id="548">
    <w:p w14:paraId="304C40FA">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《习近平关于全面建成小康社会论述摘编》，北京：中央文献出版社，第</w:t>
      </w:r>
      <w:r>
        <w:rPr>
          <w:rFonts w:ascii="宋体" w:hAnsi="宋体" w:eastAsia="宋体"/>
        </w:rPr>
        <w:t>46</w:t>
      </w:r>
      <w:r>
        <w:rPr>
          <w:rFonts w:hint="eastAsia" w:ascii="宋体" w:hAnsi="宋体" w:eastAsia="宋体"/>
        </w:rPr>
        <w:t>页。</w:t>
      </w:r>
    </w:p>
  </w:footnote>
  <w:footnote w:id="549">
    <w:p w14:paraId="2BF431CD">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2</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2017</w:t>
      </w:r>
      <w:r>
        <w:rPr>
          <w:rFonts w:hint="eastAsia" w:ascii="宋体" w:hAnsi="宋体" w:eastAsia="宋体"/>
        </w:rPr>
        <w:t>年，第</w:t>
      </w:r>
      <w:r>
        <w:rPr>
          <w:rFonts w:ascii="宋体" w:hAnsi="宋体" w:eastAsia="宋体"/>
        </w:rPr>
        <w:t>175</w:t>
      </w:r>
      <w:r>
        <w:rPr>
          <w:rFonts w:hint="eastAsia" w:ascii="宋体" w:hAnsi="宋体" w:eastAsia="宋体"/>
        </w:rPr>
        <w:t>页。</w:t>
      </w:r>
    </w:p>
  </w:footnote>
  <w:footnote w:id="550">
    <w:p w14:paraId="2C1FC923">
      <w:pPr>
        <w:pStyle w:val="11"/>
        <w:pageBreakBefore w:val="0"/>
        <w:kinsoku/>
        <w:wordWrap/>
        <w:overflowPunct/>
        <w:topLinePunct w:val="0"/>
        <w:bidi w:val="0"/>
        <w:spacing w:beforeAutospacing="0" w:afterAutospacing="0" w:line="240" w:lineRule="auto"/>
        <w:ind w:left="0"/>
        <w:textAlignment w:val="auto"/>
        <w:rPr>
          <w:rFonts w:eastAsia="宋体"/>
        </w:rPr>
      </w:pPr>
      <w:r>
        <w:rPr>
          <w:rStyle w:val="20"/>
        </w:rPr>
        <w:footnoteRef/>
      </w:r>
      <w:r>
        <w:rPr>
          <w:rFonts w:hint="eastAsia" w:ascii="宋体" w:hAnsi="宋体" w:eastAsia="宋体"/>
        </w:rPr>
        <w:t>程恩富，张杨：《深刻认识“三位一体”的中国特色社会主义本质内涵》，《广西日报》，2019年8月22日。</w:t>
      </w:r>
    </w:p>
  </w:footnote>
  <w:footnote w:id="551">
    <w:p w14:paraId="180F94B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习近平：《在河北省阜平县考察扶贫开发工作时的讲话》，《求是》，</w:t>
      </w:r>
      <w:r>
        <w:rPr>
          <w:rFonts w:ascii="宋体" w:hAnsi="宋体" w:eastAsia="宋体"/>
        </w:rPr>
        <w:t>2021</w:t>
      </w:r>
      <w:r>
        <w:rPr>
          <w:rFonts w:hint="eastAsia" w:ascii="宋体" w:hAnsi="宋体" w:eastAsia="宋体"/>
        </w:rPr>
        <w:t>年第</w:t>
      </w:r>
      <w:r>
        <w:rPr>
          <w:rFonts w:ascii="宋体" w:hAnsi="宋体" w:eastAsia="宋体"/>
        </w:rPr>
        <w:t>4</w:t>
      </w:r>
      <w:r>
        <w:rPr>
          <w:rFonts w:hint="eastAsia" w:ascii="宋体" w:hAnsi="宋体" w:eastAsia="宋体"/>
        </w:rPr>
        <w:t>期。</w:t>
      </w:r>
    </w:p>
  </w:footnote>
  <w:footnote w:id="552">
    <w:p w14:paraId="1A98716B">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1</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2014</w:t>
      </w:r>
      <w:r>
        <w:rPr>
          <w:rFonts w:hint="eastAsia" w:ascii="宋体" w:hAnsi="宋体" w:eastAsia="宋体"/>
        </w:rPr>
        <w:t>年，第</w:t>
      </w:r>
      <w:r>
        <w:rPr>
          <w:rFonts w:ascii="宋体" w:hAnsi="宋体" w:eastAsia="宋体"/>
        </w:rPr>
        <w:t>13</w:t>
      </w:r>
      <w:r>
        <w:rPr>
          <w:rFonts w:hint="eastAsia" w:ascii="宋体" w:hAnsi="宋体" w:eastAsia="宋体"/>
        </w:rPr>
        <w:t>页。</w:t>
      </w:r>
    </w:p>
  </w:footnote>
  <w:footnote w:id="553">
    <w:p w14:paraId="13831F60">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习近平：《关于</w:t>
      </w:r>
      <w:r>
        <w:rPr>
          <w:rFonts w:ascii="宋体" w:hAnsi="宋体" w:eastAsia="宋体"/>
        </w:rPr>
        <w:t>&lt;</w:t>
      </w:r>
      <w:r>
        <w:rPr>
          <w:rFonts w:hint="eastAsia" w:ascii="宋体" w:hAnsi="宋体" w:eastAsia="宋体"/>
        </w:rPr>
        <w:t>中共中央关于制定国民经济和社会发展第十四个五年规划和二〇三五年远景目标的建议</w:t>
      </w:r>
      <w:r>
        <w:rPr>
          <w:rFonts w:ascii="宋体" w:hAnsi="宋体" w:eastAsia="宋体"/>
        </w:rPr>
        <w:t>&gt;</w:t>
      </w:r>
      <w:r>
        <w:rPr>
          <w:rFonts w:hint="eastAsia" w:ascii="宋体" w:hAnsi="宋体" w:eastAsia="宋体"/>
        </w:rPr>
        <w:t>的说明》，《人民日报》，</w:t>
      </w:r>
      <w:r>
        <w:rPr>
          <w:rFonts w:ascii="宋体" w:hAnsi="宋体" w:eastAsia="宋体"/>
        </w:rPr>
        <w:t>2020</w:t>
      </w:r>
      <w:r>
        <w:rPr>
          <w:rFonts w:hint="eastAsia" w:ascii="宋体" w:hAnsi="宋体" w:eastAsia="宋体"/>
        </w:rPr>
        <w:t>年</w:t>
      </w:r>
      <w:r>
        <w:rPr>
          <w:rFonts w:ascii="宋体" w:hAnsi="宋体" w:eastAsia="宋体"/>
        </w:rPr>
        <w:t>11</w:t>
      </w:r>
      <w:r>
        <w:rPr>
          <w:rFonts w:hint="eastAsia" w:ascii="宋体" w:hAnsi="宋体" w:eastAsia="宋体"/>
        </w:rPr>
        <w:t>月</w:t>
      </w:r>
      <w:r>
        <w:rPr>
          <w:rFonts w:ascii="宋体" w:hAnsi="宋体" w:eastAsia="宋体"/>
        </w:rPr>
        <w:t>4</w:t>
      </w:r>
      <w:r>
        <w:rPr>
          <w:rFonts w:hint="eastAsia" w:ascii="宋体" w:hAnsi="宋体" w:eastAsia="宋体"/>
        </w:rPr>
        <w:t>日。</w:t>
      </w:r>
    </w:p>
  </w:footnote>
  <w:footnote w:id="554">
    <w:p w14:paraId="24A06F0B">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习近平：《在纪念马克思诞辰</w:t>
      </w:r>
      <w:r>
        <w:rPr>
          <w:rFonts w:ascii="宋体" w:hAnsi="宋体" w:eastAsia="宋体"/>
        </w:rPr>
        <w:t>200</w:t>
      </w:r>
      <w:r>
        <w:rPr>
          <w:rFonts w:hint="eastAsia" w:ascii="宋体" w:hAnsi="宋体" w:eastAsia="宋体"/>
        </w:rPr>
        <w:t>周年大会上的讲话》，北京：</w:t>
      </w:r>
      <w:r>
        <w:rPr>
          <w:rFonts w:ascii="宋体" w:hAnsi="宋体" w:eastAsia="宋体"/>
        </w:rPr>
        <w:t xml:space="preserve"> </w:t>
      </w:r>
      <w:r>
        <w:rPr>
          <w:rFonts w:hint="eastAsia" w:ascii="宋体" w:hAnsi="宋体" w:eastAsia="宋体"/>
        </w:rPr>
        <w:t>人民出版社，</w:t>
      </w:r>
      <w:r>
        <w:rPr>
          <w:rFonts w:ascii="宋体" w:hAnsi="宋体" w:eastAsia="宋体"/>
        </w:rPr>
        <w:t>2018</w:t>
      </w:r>
      <w:r>
        <w:rPr>
          <w:rFonts w:hint="eastAsia" w:ascii="宋体" w:hAnsi="宋体" w:eastAsia="宋体"/>
        </w:rPr>
        <w:t>年，第</w:t>
      </w:r>
      <w:r>
        <w:rPr>
          <w:rFonts w:ascii="宋体" w:hAnsi="宋体" w:eastAsia="宋体"/>
        </w:rPr>
        <w:t>18</w:t>
      </w:r>
      <w:r>
        <w:rPr>
          <w:rFonts w:hint="eastAsia" w:ascii="宋体" w:hAnsi="宋体" w:eastAsia="宋体"/>
        </w:rPr>
        <w:t>页。</w:t>
      </w:r>
    </w:p>
  </w:footnote>
  <w:footnote w:id="555">
    <w:p w14:paraId="32A7D8DB">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《马克思恩格斯选集》（第</w:t>
      </w:r>
      <w:r>
        <w:rPr>
          <w:rFonts w:ascii="宋体" w:hAnsi="宋体" w:eastAsia="宋体"/>
        </w:rPr>
        <w:t>3</w:t>
      </w:r>
      <w:r>
        <w:rPr>
          <w:rFonts w:hint="eastAsia" w:ascii="宋体" w:hAnsi="宋体" w:eastAsia="宋体"/>
        </w:rPr>
        <w:t>卷），北京：人民出版社，</w:t>
      </w:r>
      <w:r>
        <w:rPr>
          <w:rFonts w:ascii="宋体" w:hAnsi="宋体" w:eastAsia="宋体"/>
        </w:rPr>
        <w:t>2012</w:t>
      </w:r>
      <w:r>
        <w:rPr>
          <w:rFonts w:hint="eastAsia" w:ascii="宋体" w:hAnsi="宋体" w:eastAsia="宋体"/>
        </w:rPr>
        <w:t>年，第</w:t>
      </w:r>
      <w:r>
        <w:rPr>
          <w:rFonts w:ascii="宋体" w:hAnsi="宋体" w:eastAsia="宋体"/>
        </w:rPr>
        <w:t>173</w:t>
      </w:r>
      <w:r>
        <w:rPr>
          <w:rFonts w:hint="eastAsia" w:ascii="宋体" w:hAnsi="宋体" w:eastAsia="宋体"/>
        </w:rPr>
        <w:t>页。</w:t>
      </w:r>
    </w:p>
  </w:footnote>
  <w:footnote w:id="556">
    <w:p w14:paraId="7CA11089">
      <w:pPr>
        <w:pageBreakBefore w:val="0"/>
        <w:kinsoku/>
        <w:wordWrap/>
        <w:overflowPunct/>
        <w:topLinePunct w:val="0"/>
        <w:bidi w:val="0"/>
        <w:spacing w:beforeAutospacing="0" w:afterAutospacing="0" w:line="240" w:lineRule="auto"/>
        <w:ind w:left="0"/>
        <w:textAlignment w:val="auto"/>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《列宁全集》（第</w:t>
      </w:r>
      <w:r>
        <w:rPr>
          <w:rFonts w:ascii="宋体" w:hAnsi="宋体" w:eastAsia="宋体"/>
          <w:sz w:val="18"/>
          <w:szCs w:val="18"/>
        </w:rPr>
        <w:t>4</w:t>
      </w:r>
      <w:r>
        <w:rPr>
          <w:rFonts w:hint="eastAsia" w:ascii="宋体" w:hAnsi="宋体" w:eastAsia="宋体"/>
          <w:sz w:val="18"/>
          <w:szCs w:val="18"/>
        </w:rPr>
        <w:t>卷），北京：</w:t>
      </w:r>
      <w:r>
        <w:rPr>
          <w:rFonts w:hint="eastAsia" w:ascii="宋体" w:hAnsi="宋体" w:eastAsia="宋体" w:cs="宋体"/>
          <w:sz w:val="18"/>
          <w:szCs w:val="18"/>
        </w:rPr>
        <w:t>人民出版社，</w:t>
      </w:r>
      <w:r>
        <w:rPr>
          <w:rFonts w:ascii="宋体" w:hAnsi="宋体" w:eastAsia="宋体"/>
          <w:sz w:val="18"/>
          <w:szCs w:val="18"/>
        </w:rPr>
        <w:t>1995</w:t>
      </w:r>
      <w:r>
        <w:rPr>
          <w:rFonts w:hint="eastAsia" w:ascii="宋体" w:hAnsi="宋体" w:eastAsia="宋体" w:cs="宋体"/>
          <w:sz w:val="18"/>
          <w:szCs w:val="18"/>
        </w:rPr>
        <w:t>年，第</w:t>
      </w:r>
      <w:r>
        <w:rPr>
          <w:rFonts w:ascii="宋体" w:hAnsi="宋体" w:eastAsia="宋体"/>
          <w:sz w:val="18"/>
          <w:szCs w:val="18"/>
        </w:rPr>
        <w:t>624</w:t>
      </w:r>
      <w:r>
        <w:rPr>
          <w:rFonts w:ascii="宋体" w:hAnsi="宋体" w:eastAsia="宋体" w:cs="宋体"/>
          <w:sz w:val="18"/>
          <w:szCs w:val="18"/>
        </w:rPr>
        <w:t>页。</w:t>
      </w:r>
    </w:p>
  </w:footnote>
  <w:footnote w:id="557">
    <w:p w14:paraId="18B3FA8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卷，北京：人民出版社，2020年，第</w:t>
      </w:r>
      <w:r>
        <w:rPr>
          <w:rFonts w:ascii="宋体" w:hAnsi="宋体" w:eastAsia="宋体"/>
        </w:rPr>
        <w:t>94</w:t>
      </w:r>
      <w:r>
        <w:rPr>
          <w:rFonts w:hint="eastAsia" w:ascii="宋体" w:hAnsi="宋体" w:eastAsia="宋体"/>
        </w:rPr>
        <w:t>页。</w:t>
      </w:r>
    </w:p>
  </w:footnote>
  <w:footnote w:id="558">
    <w:p w14:paraId="6A034061">
      <w:pPr>
        <w:pageBreakBefore w:val="0"/>
        <w:kinsoku/>
        <w:wordWrap/>
        <w:overflowPunct/>
        <w:topLinePunct w:val="0"/>
        <w:bidi w:val="0"/>
        <w:spacing w:beforeAutospacing="0" w:afterAutospacing="0" w:line="240" w:lineRule="auto"/>
        <w:ind w:left="0"/>
        <w:textAlignment w:val="auto"/>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《习近平关于社会主义政治建设论述摘编》，北京：中央文献出版社，</w:t>
      </w:r>
      <w:r>
        <w:rPr>
          <w:rFonts w:ascii="宋体" w:hAnsi="宋体" w:eastAsia="宋体"/>
          <w:sz w:val="18"/>
          <w:szCs w:val="18"/>
        </w:rPr>
        <w:t>2017</w:t>
      </w:r>
      <w:r>
        <w:rPr>
          <w:rFonts w:hint="eastAsia" w:ascii="宋体" w:hAnsi="宋体" w:eastAsia="宋体"/>
          <w:sz w:val="18"/>
          <w:szCs w:val="18"/>
        </w:rPr>
        <w:t>年，第</w:t>
      </w:r>
      <w:r>
        <w:rPr>
          <w:rFonts w:ascii="宋体" w:hAnsi="宋体" w:eastAsia="宋体"/>
          <w:sz w:val="18"/>
          <w:szCs w:val="18"/>
        </w:rPr>
        <w:t>8</w:t>
      </w:r>
      <w:r>
        <w:rPr>
          <w:rFonts w:hint="eastAsia" w:ascii="宋体" w:hAnsi="宋体" w:eastAsia="宋体"/>
          <w:sz w:val="18"/>
          <w:szCs w:val="18"/>
        </w:rPr>
        <w:t>页。</w:t>
      </w:r>
    </w:p>
    <w:p w14:paraId="2CDA178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p>
  </w:footnote>
  <w:footnote w:id="559">
    <w:p w14:paraId="1448161D">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ascii="宋体" w:hAnsi="宋体" w:eastAsia="宋体"/>
        </w:rPr>
        <w:t xml:space="preserve"> </w:t>
      </w:r>
      <w:r>
        <w:rPr>
          <w:rFonts w:hint="eastAsia" w:ascii="宋体" w:hAnsi="宋体" w:eastAsia="宋体"/>
        </w:rPr>
        <w:t>习近平：《把握新发展阶段，贯彻新发展理念，构建新发展格局》，《求是》，</w:t>
      </w:r>
      <w:r>
        <w:rPr>
          <w:rFonts w:ascii="宋体" w:hAnsi="宋体" w:eastAsia="宋体"/>
        </w:rPr>
        <w:t>2021</w:t>
      </w:r>
      <w:r>
        <w:rPr>
          <w:rFonts w:hint="eastAsia" w:ascii="宋体" w:hAnsi="宋体" w:eastAsia="宋体"/>
        </w:rPr>
        <w:t>年第09期。</w:t>
      </w:r>
    </w:p>
  </w:footnote>
  <w:footnote w:id="560">
    <w:p w14:paraId="44EC9976">
      <w:pPr>
        <w:pageBreakBefore w:val="0"/>
        <w:kinsoku/>
        <w:wordWrap/>
        <w:overflowPunct/>
        <w:topLinePunct w:val="0"/>
        <w:bidi w:val="0"/>
        <w:spacing w:beforeAutospacing="0" w:afterAutospacing="0" w:line="240" w:lineRule="auto"/>
        <w:ind w:left="0"/>
        <w:textAlignment w:val="auto"/>
        <w:rPr>
          <w:rFonts w:ascii="宋体" w:hAnsi="宋体" w:eastAsia="宋体" w:cs="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sz w:val="18"/>
          <w:szCs w:val="18"/>
        </w:rPr>
        <w:t>《</w:t>
      </w:r>
      <w:r>
        <w:rPr>
          <w:rFonts w:ascii="宋体" w:hAnsi="宋体" w:eastAsia="宋体" w:cs="宋体"/>
          <w:sz w:val="18"/>
          <w:szCs w:val="18"/>
        </w:rPr>
        <w:t>马克思恩格斯文集</w:t>
      </w:r>
      <w:r>
        <w:rPr>
          <w:rFonts w:hint="eastAsia" w:ascii="宋体" w:hAnsi="宋体" w:eastAsia="宋体"/>
          <w:sz w:val="18"/>
          <w:szCs w:val="18"/>
        </w:rPr>
        <w:t>》</w:t>
      </w:r>
      <w:r>
        <w:rPr>
          <w:rFonts w:hint="eastAsia" w:ascii="宋体" w:hAnsi="宋体" w:eastAsia="宋体" w:cs="宋体"/>
          <w:sz w:val="18"/>
          <w:szCs w:val="18"/>
        </w:rPr>
        <w:t>（第</w:t>
      </w:r>
      <w:r>
        <w:rPr>
          <w:rFonts w:ascii="宋体" w:hAnsi="宋体" w:eastAsia="宋体"/>
          <w:sz w:val="18"/>
          <w:szCs w:val="18"/>
        </w:rPr>
        <w:t>2</w:t>
      </w:r>
      <w:r>
        <w:rPr>
          <w:rFonts w:hint="eastAsia" w:ascii="宋体" w:hAnsi="宋体" w:eastAsia="宋体" w:cs="宋体"/>
          <w:sz w:val="18"/>
          <w:szCs w:val="18"/>
        </w:rPr>
        <w:t>卷），人民出版社，</w:t>
      </w:r>
      <w:r>
        <w:rPr>
          <w:rFonts w:ascii="宋体" w:hAnsi="宋体" w:eastAsia="宋体"/>
          <w:sz w:val="18"/>
          <w:szCs w:val="18"/>
        </w:rPr>
        <w:t>2009</w:t>
      </w:r>
      <w:r>
        <w:rPr>
          <w:rFonts w:hint="eastAsia" w:ascii="宋体" w:hAnsi="宋体" w:eastAsia="宋体"/>
          <w:sz w:val="18"/>
          <w:szCs w:val="18"/>
        </w:rPr>
        <w:t>年，第</w:t>
      </w:r>
      <w:r>
        <w:rPr>
          <w:rFonts w:ascii="宋体" w:hAnsi="宋体" w:eastAsia="宋体"/>
          <w:sz w:val="18"/>
          <w:szCs w:val="18"/>
        </w:rPr>
        <w:t>599</w:t>
      </w:r>
      <w:r>
        <w:rPr>
          <w:rFonts w:hint="eastAsia" w:ascii="宋体" w:hAnsi="宋体" w:eastAsia="宋体"/>
          <w:sz w:val="18"/>
          <w:szCs w:val="18"/>
        </w:rPr>
        <w:t>页。</w:t>
      </w:r>
    </w:p>
  </w:footnote>
  <w:footnote w:id="561">
    <w:p w14:paraId="410A3193">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ascii="宋体" w:hAnsi="宋体" w:eastAsia="宋体"/>
        </w:rPr>
        <w:t xml:space="preserve"> </w:t>
      </w:r>
      <w:r>
        <w:rPr>
          <w:rFonts w:hint="eastAsia" w:ascii="宋体" w:hAnsi="宋体" w:eastAsia="宋体"/>
        </w:rPr>
        <w:t>《毛泽东选集》（第</w:t>
      </w:r>
      <w:r>
        <w:rPr>
          <w:rFonts w:ascii="宋体" w:hAnsi="宋体" w:eastAsia="宋体"/>
        </w:rPr>
        <w:t>2</w:t>
      </w:r>
      <w:r>
        <w:rPr>
          <w:rFonts w:hint="eastAsia" w:ascii="宋体" w:hAnsi="宋体" w:eastAsia="宋体"/>
        </w:rPr>
        <w:t>卷），人民出版社，北京：</w:t>
      </w:r>
      <w:r>
        <w:rPr>
          <w:rFonts w:ascii="宋体" w:hAnsi="宋体" w:eastAsia="宋体"/>
        </w:rPr>
        <w:t>1991</w:t>
      </w:r>
      <w:r>
        <w:rPr>
          <w:rFonts w:hint="eastAsia" w:ascii="宋体" w:hAnsi="宋体" w:eastAsia="宋体"/>
        </w:rPr>
        <w:t>年，第</w:t>
      </w:r>
      <w:r>
        <w:rPr>
          <w:rFonts w:ascii="宋体" w:hAnsi="宋体" w:eastAsia="宋体"/>
        </w:rPr>
        <w:t>697</w:t>
      </w:r>
      <w:r>
        <w:rPr>
          <w:rFonts w:hint="eastAsia" w:ascii="宋体" w:hAnsi="宋体" w:eastAsia="宋体"/>
        </w:rPr>
        <w:t>页。</w:t>
      </w:r>
    </w:p>
  </w:footnote>
  <w:footnote w:id="562">
    <w:p w14:paraId="546C4F70">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ascii="宋体" w:hAnsi="宋体" w:eastAsia="宋体"/>
        </w:rPr>
        <w:t xml:space="preserve"> </w:t>
      </w:r>
      <w:r>
        <w:rPr>
          <w:rFonts w:hint="eastAsia" w:ascii="宋体" w:hAnsi="宋体" w:eastAsia="宋体"/>
        </w:rPr>
        <w:t>《邓小平文选》第</w:t>
      </w:r>
      <w:r>
        <w:rPr>
          <w:rFonts w:ascii="宋体" w:hAnsi="宋体" w:eastAsia="宋体"/>
        </w:rPr>
        <w:t>3</w:t>
      </w:r>
      <w:r>
        <w:rPr>
          <w:rFonts w:hint="eastAsia" w:ascii="宋体" w:hAnsi="宋体" w:eastAsia="宋体"/>
        </w:rPr>
        <w:t>卷，人民出版社，北京：</w:t>
      </w:r>
      <w:r>
        <w:rPr>
          <w:rFonts w:ascii="宋体" w:hAnsi="宋体" w:eastAsia="宋体"/>
        </w:rPr>
        <w:t>1993</w:t>
      </w:r>
      <w:r>
        <w:rPr>
          <w:rFonts w:hint="eastAsia" w:ascii="宋体" w:hAnsi="宋体" w:eastAsia="宋体"/>
        </w:rPr>
        <w:t>年，第</w:t>
      </w:r>
      <w:r>
        <w:rPr>
          <w:rFonts w:ascii="宋体" w:hAnsi="宋体" w:eastAsia="宋体"/>
        </w:rPr>
        <w:t>44</w:t>
      </w:r>
      <w:r>
        <w:rPr>
          <w:rFonts w:hint="eastAsia" w:ascii="宋体" w:hAnsi="宋体" w:eastAsia="宋体"/>
        </w:rPr>
        <w:t>页。</w:t>
      </w:r>
    </w:p>
  </w:footnote>
  <w:footnote w:id="563">
    <w:p w14:paraId="59E00E4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ascii="宋体" w:hAnsi="宋体" w:eastAsia="宋体"/>
        </w:rPr>
        <w:t xml:space="preserve"> </w:t>
      </w:r>
      <w:r>
        <w:rPr>
          <w:rFonts w:hint="eastAsia" w:ascii="宋体" w:hAnsi="宋体" w:eastAsia="宋体"/>
        </w:rPr>
        <w:t>《邓小平文选》第</w:t>
      </w:r>
      <w:r>
        <w:rPr>
          <w:rFonts w:ascii="宋体" w:hAnsi="宋体" w:eastAsia="宋体"/>
        </w:rPr>
        <w:t>3</w:t>
      </w:r>
      <w:r>
        <w:rPr>
          <w:rFonts w:hint="eastAsia" w:ascii="宋体" w:hAnsi="宋体" w:eastAsia="宋体"/>
        </w:rPr>
        <w:t>卷，人民出版社，北京：</w:t>
      </w:r>
      <w:r>
        <w:rPr>
          <w:rFonts w:ascii="宋体" w:hAnsi="宋体" w:eastAsia="宋体"/>
        </w:rPr>
        <w:t>1993</w:t>
      </w:r>
      <w:r>
        <w:rPr>
          <w:rFonts w:hint="eastAsia" w:ascii="宋体" w:hAnsi="宋体" w:eastAsia="宋体"/>
        </w:rPr>
        <w:t>年，第</w:t>
      </w:r>
      <w:r>
        <w:rPr>
          <w:rFonts w:ascii="宋体" w:hAnsi="宋体" w:eastAsia="宋体"/>
        </w:rPr>
        <w:t>46</w:t>
      </w:r>
      <w:r>
        <w:rPr>
          <w:rFonts w:hint="eastAsia" w:ascii="宋体" w:hAnsi="宋体" w:eastAsia="宋体"/>
        </w:rPr>
        <w:t>页。</w:t>
      </w:r>
    </w:p>
  </w:footnote>
  <w:footnote w:id="564">
    <w:p w14:paraId="421CABCC">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ascii="宋体" w:hAnsi="宋体" w:eastAsia="宋体"/>
        </w:rPr>
        <w:t xml:space="preserve"> </w:t>
      </w:r>
      <w:r>
        <w:rPr>
          <w:rFonts w:hint="eastAsia" w:ascii="宋体" w:hAnsi="宋体" w:eastAsia="宋体"/>
        </w:rPr>
        <w:t>《习近平关于社会主义文化建设论述摘编》，北京：中央文献出版社，</w:t>
      </w:r>
      <w:r>
        <w:rPr>
          <w:rFonts w:ascii="宋体" w:hAnsi="宋体" w:eastAsia="宋体"/>
        </w:rPr>
        <w:t>2017</w:t>
      </w:r>
      <w:r>
        <w:rPr>
          <w:rFonts w:hint="eastAsia" w:ascii="宋体" w:hAnsi="宋体" w:eastAsia="宋体"/>
        </w:rPr>
        <w:t>年，第</w:t>
      </w:r>
      <w:r>
        <w:rPr>
          <w:rFonts w:ascii="宋体" w:hAnsi="宋体" w:eastAsia="宋体"/>
        </w:rPr>
        <w:t>52</w:t>
      </w:r>
      <w:r>
        <w:rPr>
          <w:rFonts w:hint="eastAsia" w:ascii="宋体" w:hAnsi="宋体" w:eastAsia="宋体"/>
        </w:rPr>
        <w:t>页。</w:t>
      </w:r>
    </w:p>
  </w:footnote>
  <w:footnote w:id="565">
    <w:p w14:paraId="650F8CB9">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ascii="宋体" w:hAnsi="宋体" w:eastAsia="宋体"/>
        </w:rPr>
        <w:t xml:space="preserve"> </w:t>
      </w:r>
      <w:r>
        <w:rPr>
          <w:rFonts w:hint="eastAsia" w:ascii="宋体" w:hAnsi="宋体" w:eastAsia="宋体"/>
        </w:rPr>
        <w:t>习近平：《在哲学社会科学工作座谈会上的讲话》，《人民日报》</w:t>
      </w:r>
      <w:r>
        <w:rPr>
          <w:rFonts w:ascii="宋体" w:hAnsi="宋体" w:eastAsia="宋体"/>
        </w:rPr>
        <w:t>2016</w:t>
      </w:r>
      <w:r>
        <w:rPr>
          <w:rFonts w:hint="eastAsia" w:ascii="宋体" w:hAnsi="宋体" w:eastAsia="宋体"/>
        </w:rPr>
        <w:t>年5月19日。</w:t>
      </w:r>
    </w:p>
  </w:footnote>
  <w:footnote w:id="566">
    <w:p w14:paraId="414F0167">
      <w:pPr>
        <w:pageBreakBefore w:val="0"/>
        <w:kinsoku/>
        <w:wordWrap/>
        <w:overflowPunct/>
        <w:topLinePunct w:val="0"/>
        <w:bidi w:val="0"/>
        <w:spacing w:beforeAutospacing="0" w:afterAutospacing="0" w:line="240" w:lineRule="auto"/>
        <w:ind w:left="0"/>
        <w:textAlignment w:val="auto"/>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《马克思恩格斯文集》第</w:t>
      </w:r>
      <w:r>
        <w:rPr>
          <w:rFonts w:ascii="宋体" w:hAnsi="宋体" w:eastAsia="宋体"/>
          <w:sz w:val="18"/>
          <w:szCs w:val="18"/>
        </w:rPr>
        <w:t>3</w:t>
      </w:r>
      <w:r>
        <w:rPr>
          <w:rFonts w:hint="eastAsia" w:ascii="宋体" w:hAnsi="宋体" w:eastAsia="宋体"/>
          <w:sz w:val="18"/>
          <w:szCs w:val="18"/>
        </w:rPr>
        <w:t>卷，北京：人民出版社，</w:t>
      </w:r>
      <w:r>
        <w:rPr>
          <w:rFonts w:ascii="宋体" w:hAnsi="宋体" w:eastAsia="宋体"/>
          <w:sz w:val="18"/>
          <w:szCs w:val="18"/>
        </w:rPr>
        <w:t>2009</w:t>
      </w:r>
      <w:r>
        <w:rPr>
          <w:rFonts w:hint="eastAsia" w:ascii="宋体" w:hAnsi="宋体" w:eastAsia="宋体"/>
          <w:sz w:val="18"/>
          <w:szCs w:val="18"/>
        </w:rPr>
        <w:t>年，第</w:t>
      </w:r>
      <w:r>
        <w:rPr>
          <w:rFonts w:ascii="宋体" w:hAnsi="宋体" w:eastAsia="宋体"/>
          <w:sz w:val="18"/>
          <w:szCs w:val="18"/>
        </w:rPr>
        <w:t>563—564</w:t>
      </w:r>
      <w:r>
        <w:rPr>
          <w:rFonts w:hint="eastAsia" w:ascii="宋体" w:hAnsi="宋体" w:eastAsia="宋体"/>
          <w:sz w:val="18"/>
          <w:szCs w:val="18"/>
        </w:rPr>
        <w:t>页。</w:t>
      </w:r>
    </w:p>
  </w:footnote>
  <w:footnote w:id="567">
    <w:p w14:paraId="44235F35">
      <w:pPr>
        <w:pageBreakBefore w:val="0"/>
        <w:kinsoku/>
        <w:wordWrap/>
        <w:overflowPunct/>
        <w:topLinePunct w:val="0"/>
        <w:bidi w:val="0"/>
        <w:spacing w:beforeAutospacing="0" w:afterAutospacing="0" w:line="240" w:lineRule="auto"/>
        <w:ind w:left="0"/>
        <w:textAlignment w:val="auto"/>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《列宁全集》第</w:t>
      </w:r>
      <w:r>
        <w:rPr>
          <w:rFonts w:ascii="宋体" w:hAnsi="宋体" w:eastAsia="宋体"/>
          <w:sz w:val="18"/>
          <w:szCs w:val="18"/>
        </w:rPr>
        <w:t>6</w:t>
      </w:r>
      <w:r>
        <w:rPr>
          <w:rFonts w:hint="eastAsia" w:ascii="宋体" w:hAnsi="宋体" w:eastAsia="宋体"/>
          <w:sz w:val="18"/>
          <w:szCs w:val="18"/>
        </w:rPr>
        <w:t>卷，北京：人民出版社，</w:t>
      </w:r>
      <w:r>
        <w:rPr>
          <w:rFonts w:ascii="宋体" w:hAnsi="宋体" w:eastAsia="宋体"/>
          <w:sz w:val="18"/>
          <w:szCs w:val="18"/>
        </w:rPr>
        <w:t>1986</w:t>
      </w:r>
      <w:r>
        <w:rPr>
          <w:rFonts w:hint="eastAsia" w:ascii="宋体" w:hAnsi="宋体" w:eastAsia="宋体"/>
          <w:sz w:val="18"/>
          <w:szCs w:val="18"/>
        </w:rPr>
        <w:t>年，第</w:t>
      </w:r>
      <w:r>
        <w:rPr>
          <w:rFonts w:ascii="宋体" w:hAnsi="宋体" w:eastAsia="宋体"/>
          <w:sz w:val="18"/>
          <w:szCs w:val="18"/>
        </w:rPr>
        <w:t>193</w:t>
      </w:r>
      <w:r>
        <w:rPr>
          <w:rFonts w:hint="eastAsia" w:ascii="宋体" w:hAnsi="宋体" w:eastAsia="宋体"/>
          <w:sz w:val="18"/>
          <w:szCs w:val="18"/>
        </w:rPr>
        <w:t>页。</w:t>
      </w:r>
    </w:p>
  </w:footnote>
  <w:footnote w:id="568">
    <w:p w14:paraId="3E06747D">
      <w:pPr>
        <w:pageBreakBefore w:val="0"/>
        <w:kinsoku/>
        <w:wordWrap/>
        <w:overflowPunct/>
        <w:topLinePunct w:val="0"/>
        <w:bidi w:val="0"/>
        <w:spacing w:beforeAutospacing="0" w:afterAutospacing="0" w:line="240" w:lineRule="auto"/>
        <w:ind w:left="0"/>
        <w:textAlignment w:val="auto"/>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《列宁选集》第</w:t>
      </w:r>
      <w:r>
        <w:rPr>
          <w:rFonts w:ascii="宋体" w:hAnsi="宋体" w:eastAsia="宋体"/>
          <w:sz w:val="18"/>
          <w:szCs w:val="18"/>
        </w:rPr>
        <w:t>3</w:t>
      </w:r>
      <w:r>
        <w:rPr>
          <w:rFonts w:hint="eastAsia" w:ascii="宋体" w:hAnsi="宋体" w:eastAsia="宋体"/>
          <w:sz w:val="18"/>
          <w:szCs w:val="18"/>
        </w:rPr>
        <w:t>卷，北京：人民出版社，</w:t>
      </w:r>
      <w:r>
        <w:rPr>
          <w:rFonts w:ascii="宋体" w:hAnsi="宋体" w:eastAsia="宋体"/>
          <w:sz w:val="18"/>
          <w:szCs w:val="18"/>
        </w:rPr>
        <w:t>2012</w:t>
      </w:r>
      <w:r>
        <w:rPr>
          <w:rFonts w:hint="eastAsia" w:ascii="宋体" w:hAnsi="宋体" w:eastAsia="宋体"/>
          <w:sz w:val="18"/>
          <w:szCs w:val="18"/>
        </w:rPr>
        <w:t>年，第</w:t>
      </w:r>
      <w:r>
        <w:rPr>
          <w:rFonts w:ascii="宋体" w:hAnsi="宋体" w:eastAsia="宋体"/>
          <w:sz w:val="18"/>
          <w:szCs w:val="18"/>
        </w:rPr>
        <w:t>546</w:t>
      </w:r>
      <w:r>
        <w:rPr>
          <w:rFonts w:hint="eastAsia" w:ascii="宋体" w:hAnsi="宋体" w:eastAsia="宋体"/>
          <w:sz w:val="18"/>
          <w:szCs w:val="18"/>
        </w:rPr>
        <w:t>页。</w:t>
      </w:r>
    </w:p>
  </w:footnote>
  <w:footnote w:id="569">
    <w:p w14:paraId="2D31A5A6">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1</w:t>
      </w:r>
      <w:r>
        <w:rPr>
          <w:rFonts w:hint="eastAsia" w:ascii="宋体" w:hAnsi="宋体" w:eastAsia="宋体"/>
        </w:rPr>
        <w:t>卷，北京：人民出版社，2014年，第</w:t>
      </w:r>
      <w:r>
        <w:rPr>
          <w:rFonts w:ascii="宋体" w:hAnsi="宋体" w:eastAsia="宋体"/>
        </w:rPr>
        <w:t>13</w:t>
      </w:r>
      <w:r>
        <w:rPr>
          <w:rFonts w:hint="eastAsia" w:ascii="宋体" w:hAnsi="宋体" w:eastAsia="宋体"/>
        </w:rPr>
        <w:t>页。</w:t>
      </w:r>
    </w:p>
  </w:footnote>
  <w:footnote w:id="570">
    <w:p w14:paraId="0D00AF5A">
      <w:pPr>
        <w:pStyle w:val="11"/>
        <w:pageBreakBefore w:val="0"/>
        <w:kinsoku/>
        <w:wordWrap/>
        <w:overflowPunct/>
        <w:topLinePunct w:val="0"/>
        <w:bidi w:val="0"/>
        <w:spacing w:beforeAutospacing="0" w:afterAutospacing="0" w:line="240" w:lineRule="auto"/>
        <w:ind w:left="0"/>
        <w:textAlignment w:val="auto"/>
      </w:pPr>
      <w:r>
        <w:rPr>
          <w:rStyle w:val="20"/>
        </w:rPr>
        <w:footnoteRef/>
      </w:r>
      <w:r>
        <w:rPr>
          <w:rFonts w:ascii="Helvetica" w:hAnsi="Helvetica" w:eastAsia="Helvetica" w:cs="Helvetica"/>
          <w:color w:val="000000"/>
        </w:rPr>
        <w:t>《习近平谈治国理政》第1卷，北京： 人民出版社，2014年，第41页。</w:t>
      </w:r>
    </w:p>
  </w:footnote>
  <w:footnote w:id="571">
    <w:p w14:paraId="43AA5663">
      <w:pPr>
        <w:pageBreakBefore w:val="0"/>
        <w:kinsoku/>
        <w:wordWrap/>
        <w:overflowPunct/>
        <w:topLinePunct w:val="0"/>
        <w:bidi w:val="0"/>
        <w:spacing w:beforeAutospacing="0" w:afterAutospacing="0" w:line="240" w:lineRule="auto"/>
        <w:ind w:left="0"/>
        <w:textAlignment w:val="auto"/>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习近平：</w:t>
      </w:r>
      <w:r>
        <w:rPr>
          <w:rFonts w:ascii="宋体" w:hAnsi="宋体" w:eastAsia="宋体" w:cs="宋体"/>
          <w:sz w:val="18"/>
          <w:szCs w:val="18"/>
        </w:rPr>
        <w:t>《在省部级主要领导干部学习贯彻党的十八届五中全会精神专题研讨班上的讲话》，（</w:t>
      </w:r>
      <w:r>
        <w:rPr>
          <w:rFonts w:ascii="宋体" w:hAnsi="宋体" w:eastAsia="宋体"/>
          <w:sz w:val="18"/>
          <w:szCs w:val="18"/>
        </w:rPr>
        <w:t>2016</w:t>
      </w:r>
      <w:r>
        <w:rPr>
          <w:rFonts w:hint="eastAsia" w:ascii="宋体" w:hAnsi="宋体" w:eastAsia="宋体" w:cs="宋体"/>
          <w:sz w:val="18"/>
          <w:szCs w:val="18"/>
        </w:rPr>
        <w:t>年</w:t>
      </w:r>
      <w:r>
        <w:rPr>
          <w:rFonts w:ascii="宋体" w:hAnsi="宋体" w:eastAsia="宋体"/>
          <w:sz w:val="18"/>
          <w:szCs w:val="18"/>
        </w:rPr>
        <w:t>1</w:t>
      </w:r>
      <w:r>
        <w:rPr>
          <w:rFonts w:hint="eastAsia" w:ascii="宋体" w:hAnsi="宋体" w:eastAsia="宋体" w:cs="宋体"/>
          <w:sz w:val="18"/>
          <w:szCs w:val="18"/>
        </w:rPr>
        <w:t>月</w:t>
      </w:r>
      <w:r>
        <w:rPr>
          <w:rFonts w:ascii="宋体" w:hAnsi="宋体" w:eastAsia="宋体"/>
          <w:sz w:val="18"/>
          <w:szCs w:val="18"/>
        </w:rPr>
        <w:t>18</w:t>
      </w:r>
      <w:r>
        <w:rPr>
          <w:rFonts w:ascii="宋体" w:hAnsi="宋体" w:eastAsia="宋体" w:cs="宋体"/>
          <w:sz w:val="18"/>
          <w:szCs w:val="18"/>
        </w:rPr>
        <w:t>日），人民出版社单行本，第</w:t>
      </w:r>
      <w:r>
        <w:rPr>
          <w:rFonts w:hint="eastAsia" w:ascii="宋体" w:hAnsi="宋体" w:eastAsia="宋体"/>
          <w:sz w:val="18"/>
          <w:szCs w:val="18"/>
        </w:rPr>
        <w:t>24－25</w:t>
      </w:r>
      <w:r>
        <w:rPr>
          <w:rFonts w:ascii="宋体" w:hAnsi="宋体" w:eastAsia="宋体" w:cs="宋体"/>
          <w:sz w:val="18"/>
          <w:szCs w:val="18"/>
        </w:rPr>
        <w:t>页。</w:t>
      </w:r>
    </w:p>
  </w:footnote>
  <w:footnote w:id="572">
    <w:p w14:paraId="2E593DC4">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《马克思恩格斯文集》第</w:t>
      </w:r>
      <w:r>
        <w:rPr>
          <w:rFonts w:ascii="宋体" w:hAnsi="宋体" w:eastAsia="宋体"/>
        </w:rPr>
        <w:t>9</w:t>
      </w:r>
      <w:r>
        <w:rPr>
          <w:rFonts w:hint="eastAsia" w:ascii="宋体" w:hAnsi="宋体" w:eastAsia="宋体"/>
        </w:rPr>
        <w:t>卷，北京：人民出版社，</w:t>
      </w:r>
      <w:r>
        <w:rPr>
          <w:rFonts w:ascii="宋体" w:hAnsi="宋体" w:eastAsia="宋体"/>
        </w:rPr>
        <w:t>2009</w:t>
      </w:r>
      <w:r>
        <w:rPr>
          <w:rFonts w:hint="eastAsia" w:ascii="宋体" w:hAnsi="宋体" w:eastAsia="宋体"/>
        </w:rPr>
        <w:t>年，第</w:t>
      </w:r>
      <w:r>
        <w:rPr>
          <w:rFonts w:ascii="宋体" w:hAnsi="宋体" w:eastAsia="宋体"/>
        </w:rPr>
        <w:t>560</w:t>
      </w:r>
      <w:r>
        <w:rPr>
          <w:rFonts w:hint="eastAsia" w:ascii="宋体" w:hAnsi="宋体" w:eastAsia="宋体"/>
        </w:rPr>
        <w:t>页。</w:t>
      </w:r>
    </w:p>
  </w:footnote>
  <w:footnote w:id="573">
    <w:p w14:paraId="6F0A0CAC">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《马克思恩格斯文集》第</w:t>
      </w:r>
      <w:r>
        <w:rPr>
          <w:rFonts w:ascii="宋体" w:hAnsi="宋体" w:eastAsia="宋体"/>
        </w:rPr>
        <w:t>9</w:t>
      </w:r>
      <w:r>
        <w:rPr>
          <w:rFonts w:hint="eastAsia" w:ascii="宋体" w:hAnsi="宋体" w:eastAsia="宋体"/>
        </w:rPr>
        <w:t>卷，北京：人民出版社，</w:t>
      </w:r>
      <w:r>
        <w:rPr>
          <w:rFonts w:ascii="宋体" w:hAnsi="宋体" w:eastAsia="宋体"/>
        </w:rPr>
        <w:t>2009</w:t>
      </w:r>
      <w:r>
        <w:rPr>
          <w:rFonts w:hint="eastAsia" w:ascii="宋体" w:hAnsi="宋体" w:eastAsia="宋体"/>
        </w:rPr>
        <w:t>年，第</w:t>
      </w:r>
      <w:r>
        <w:rPr>
          <w:rFonts w:ascii="宋体" w:hAnsi="宋体" w:eastAsia="宋体"/>
        </w:rPr>
        <w:t>559-560</w:t>
      </w:r>
      <w:r>
        <w:rPr>
          <w:rFonts w:hint="eastAsia" w:ascii="宋体" w:hAnsi="宋体" w:eastAsia="宋体"/>
        </w:rPr>
        <w:t>页。</w:t>
      </w:r>
    </w:p>
  </w:footnote>
  <w:footnote w:id="574">
    <w:p w14:paraId="5645E74E">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2020</w:t>
      </w:r>
      <w:r>
        <w:rPr>
          <w:rFonts w:hint="eastAsia" w:ascii="宋体" w:hAnsi="宋体" w:eastAsia="宋体"/>
        </w:rPr>
        <w:t>年，第</w:t>
      </w:r>
      <w:r>
        <w:rPr>
          <w:rFonts w:ascii="宋体" w:hAnsi="宋体" w:eastAsia="宋体"/>
        </w:rPr>
        <w:t>360</w:t>
      </w:r>
      <w:r>
        <w:rPr>
          <w:rFonts w:hint="eastAsia" w:ascii="宋体" w:hAnsi="宋体" w:eastAsia="宋体"/>
        </w:rPr>
        <w:t>页。</w:t>
      </w:r>
    </w:p>
  </w:footnote>
  <w:footnote w:id="575">
    <w:p w14:paraId="3E628C1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习近平：《推动我国生态文明建设迈上新台阶》，《求是》</w:t>
      </w:r>
      <w:r>
        <w:rPr>
          <w:rFonts w:ascii="宋体" w:hAnsi="宋体" w:eastAsia="宋体"/>
        </w:rPr>
        <w:t>2019</w:t>
      </w:r>
      <w:r>
        <w:rPr>
          <w:rFonts w:hint="eastAsia" w:ascii="宋体" w:hAnsi="宋体" w:eastAsia="宋体"/>
        </w:rPr>
        <w:t>年第3期。</w:t>
      </w:r>
    </w:p>
  </w:footnote>
  <w:footnote w:id="576">
    <w:p w14:paraId="2837811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361</w:t>
      </w:r>
      <w:r>
        <w:rPr>
          <w:rFonts w:hint="eastAsia" w:ascii="宋体" w:hAnsi="宋体" w:eastAsia="宋体"/>
        </w:rPr>
        <w:t>页。</w:t>
      </w:r>
    </w:p>
  </w:footnote>
  <w:footnote w:id="577">
    <w:p w14:paraId="72564EE3">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《习近平新时代中国特色社会主义思想学习纲要》，北京：</w:t>
      </w:r>
      <w:r>
        <w:rPr>
          <w:rFonts w:ascii="宋体" w:hAnsi="宋体" w:eastAsia="宋体"/>
        </w:rPr>
        <w:t xml:space="preserve"> </w:t>
      </w:r>
      <w:r>
        <w:rPr>
          <w:rFonts w:hint="eastAsia" w:ascii="宋体" w:hAnsi="宋体" w:eastAsia="宋体"/>
        </w:rPr>
        <w:t>人民出版社，</w:t>
      </w:r>
      <w:r>
        <w:rPr>
          <w:rFonts w:ascii="宋体" w:hAnsi="宋体" w:eastAsia="宋体"/>
        </w:rPr>
        <w:t>2019</w:t>
      </w:r>
      <w:r>
        <w:rPr>
          <w:rFonts w:hint="eastAsia" w:ascii="宋体" w:hAnsi="宋体" w:eastAsia="宋体"/>
        </w:rPr>
        <w:t>年，第</w:t>
      </w:r>
      <w:r>
        <w:rPr>
          <w:rFonts w:ascii="宋体" w:hAnsi="宋体" w:eastAsia="宋体"/>
        </w:rPr>
        <w:t>169</w:t>
      </w:r>
      <w:r>
        <w:rPr>
          <w:rFonts w:hint="eastAsia" w:ascii="宋体" w:hAnsi="宋体" w:eastAsia="宋体"/>
        </w:rPr>
        <w:t>－</w:t>
      </w:r>
      <w:r>
        <w:rPr>
          <w:rFonts w:ascii="宋体" w:hAnsi="宋体" w:eastAsia="宋体"/>
        </w:rPr>
        <w:t>170</w:t>
      </w:r>
      <w:r>
        <w:rPr>
          <w:rFonts w:hint="eastAsia" w:ascii="宋体" w:hAnsi="宋体" w:eastAsia="宋体"/>
        </w:rPr>
        <w:t>页。</w:t>
      </w:r>
    </w:p>
  </w:footnote>
  <w:footnote w:id="578">
    <w:p w14:paraId="273E26D4">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2020</w:t>
      </w:r>
      <w:r>
        <w:rPr>
          <w:rFonts w:hint="eastAsia" w:ascii="宋体" w:hAnsi="宋体" w:eastAsia="宋体"/>
        </w:rPr>
        <w:t>年，第</w:t>
      </w:r>
      <w:r>
        <w:rPr>
          <w:rFonts w:ascii="宋体" w:hAnsi="宋体" w:eastAsia="宋体"/>
        </w:rPr>
        <w:t>361</w:t>
      </w:r>
      <w:r>
        <w:rPr>
          <w:rFonts w:hint="eastAsia" w:ascii="宋体" w:hAnsi="宋体" w:eastAsia="宋体"/>
        </w:rPr>
        <w:t>页。</w:t>
      </w:r>
      <w:r>
        <w:rPr>
          <w:rFonts w:ascii="宋体" w:hAnsi="宋体" w:eastAsia="宋体"/>
        </w:rPr>
        <w:t xml:space="preserve"> </w:t>
      </w:r>
    </w:p>
  </w:footnote>
  <w:footnote w:id="579">
    <w:p w14:paraId="42B27B8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360</w:t>
      </w:r>
      <w:r>
        <w:rPr>
          <w:rFonts w:hint="eastAsia" w:ascii="宋体" w:hAnsi="宋体" w:eastAsia="宋体"/>
        </w:rPr>
        <w:t>页。</w:t>
      </w:r>
    </w:p>
  </w:footnote>
  <w:footnote w:id="580">
    <w:p w14:paraId="67EC226B">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《习近平在气候雄心峰会上发表重要讲话》，《人民日报》，</w:t>
      </w:r>
      <w:r>
        <w:rPr>
          <w:rFonts w:ascii="宋体" w:hAnsi="宋体" w:eastAsia="宋体"/>
        </w:rPr>
        <w:t>2020</w:t>
      </w:r>
      <w:r>
        <w:rPr>
          <w:rFonts w:hint="eastAsia" w:ascii="宋体" w:hAnsi="宋体" w:eastAsia="宋体"/>
        </w:rPr>
        <w:t>年12月13日。</w:t>
      </w:r>
    </w:p>
  </w:footnote>
  <w:footnote w:id="581">
    <w:p w14:paraId="0721729A">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375</w:t>
      </w:r>
      <w:r>
        <w:rPr>
          <w:rFonts w:hint="eastAsia" w:ascii="宋体" w:hAnsi="宋体" w:eastAsia="宋体"/>
        </w:rPr>
        <w:t>页。</w:t>
      </w:r>
    </w:p>
  </w:footnote>
  <w:footnote w:id="582">
    <w:p w14:paraId="3419B8F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《习近平出席领导人气候峰会并发表重要讲话》，《人民日报》，</w:t>
      </w:r>
      <w:r>
        <w:rPr>
          <w:rFonts w:ascii="宋体" w:hAnsi="宋体" w:eastAsia="宋体"/>
        </w:rPr>
        <w:t>2021</w:t>
      </w:r>
      <w:r>
        <w:rPr>
          <w:rFonts w:hint="eastAsia" w:ascii="宋体" w:hAnsi="宋体" w:eastAsia="宋体"/>
        </w:rPr>
        <w:t>年04月23日。</w:t>
      </w:r>
    </w:p>
  </w:footnote>
  <w:footnote w:id="583">
    <w:p w14:paraId="5B32C3A6">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《马克思恩格斯文集》第</w:t>
      </w:r>
      <w:r>
        <w:rPr>
          <w:rFonts w:ascii="宋体" w:hAnsi="宋体" w:eastAsia="宋体"/>
        </w:rPr>
        <w:t>9</w:t>
      </w:r>
      <w:r>
        <w:rPr>
          <w:rFonts w:hint="eastAsia" w:ascii="宋体" w:hAnsi="宋体" w:eastAsia="宋体"/>
        </w:rPr>
        <w:t>卷，北京：人民出版社，</w:t>
      </w:r>
      <w:r>
        <w:rPr>
          <w:rFonts w:ascii="宋体" w:hAnsi="宋体" w:eastAsia="宋体"/>
        </w:rPr>
        <w:t>2009</w:t>
      </w:r>
      <w:r>
        <w:rPr>
          <w:rFonts w:hint="eastAsia" w:ascii="宋体" w:hAnsi="宋体" w:eastAsia="宋体"/>
        </w:rPr>
        <w:t>年，第</w:t>
      </w:r>
      <w:r>
        <w:rPr>
          <w:rFonts w:ascii="宋体" w:hAnsi="宋体" w:eastAsia="宋体"/>
        </w:rPr>
        <w:t>540-541</w:t>
      </w:r>
      <w:r>
        <w:rPr>
          <w:rFonts w:hint="eastAsia" w:ascii="宋体" w:hAnsi="宋体" w:eastAsia="宋体"/>
        </w:rPr>
        <w:t>页。</w:t>
      </w:r>
    </w:p>
  </w:footnote>
  <w:footnote w:id="584">
    <w:p w14:paraId="6824A500">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《马克思恩格斯文集》第</w:t>
      </w:r>
      <w:r>
        <w:rPr>
          <w:rFonts w:ascii="宋体" w:hAnsi="宋体" w:eastAsia="宋体"/>
        </w:rPr>
        <w:t>9</w:t>
      </w:r>
      <w:r>
        <w:rPr>
          <w:rFonts w:hint="eastAsia" w:ascii="宋体" w:hAnsi="宋体" w:eastAsia="宋体"/>
        </w:rPr>
        <w:t>卷，北京：人民出版社，</w:t>
      </w:r>
      <w:r>
        <w:rPr>
          <w:rFonts w:ascii="宋体" w:hAnsi="宋体" w:eastAsia="宋体"/>
        </w:rPr>
        <w:t>2009</w:t>
      </w:r>
      <w:r>
        <w:rPr>
          <w:rFonts w:hint="eastAsia" w:ascii="宋体" w:hAnsi="宋体" w:eastAsia="宋体"/>
        </w:rPr>
        <w:t>年，第</w:t>
      </w:r>
      <w:r>
        <w:rPr>
          <w:rFonts w:ascii="宋体" w:hAnsi="宋体" w:eastAsia="宋体"/>
        </w:rPr>
        <w:t>45</w:t>
      </w:r>
      <w:r>
        <w:rPr>
          <w:rFonts w:hint="eastAsia" w:ascii="宋体" w:hAnsi="宋体" w:eastAsia="宋体"/>
        </w:rPr>
        <w:t>页。</w:t>
      </w:r>
    </w:p>
  </w:footnote>
  <w:footnote w:id="585">
    <w:p w14:paraId="7058914C">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《习近平关于总体国家安全观论述摘编》，北京：中央文献出版社，</w:t>
      </w:r>
      <w:r>
        <w:rPr>
          <w:rFonts w:ascii="宋体" w:hAnsi="宋体" w:eastAsia="宋体"/>
        </w:rPr>
        <w:t xml:space="preserve">2018 </w:t>
      </w:r>
      <w:r>
        <w:rPr>
          <w:rFonts w:hint="eastAsia" w:ascii="宋体" w:hAnsi="宋体" w:eastAsia="宋体"/>
        </w:rPr>
        <w:t>年，第</w:t>
      </w:r>
      <w:r>
        <w:rPr>
          <w:rFonts w:ascii="宋体" w:hAnsi="宋体" w:eastAsia="宋体"/>
        </w:rPr>
        <w:t xml:space="preserve"> 10 </w:t>
      </w:r>
      <w:r>
        <w:rPr>
          <w:rFonts w:hint="eastAsia" w:ascii="宋体" w:hAnsi="宋体" w:eastAsia="宋体"/>
        </w:rPr>
        <w:t>页。</w:t>
      </w:r>
    </w:p>
  </w:footnote>
  <w:footnote w:id="586">
    <w:p w14:paraId="48C58205">
      <w:pPr>
        <w:pStyle w:val="11"/>
        <w:keepLines/>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习近平：《决胜全面建成小康社会</w:t>
      </w:r>
      <w:r>
        <w:rPr>
          <w:rFonts w:ascii="宋体" w:hAnsi="宋体" w:eastAsia="宋体"/>
        </w:rPr>
        <w:t xml:space="preserve"> </w:t>
      </w:r>
      <w:r>
        <w:rPr>
          <w:rFonts w:hint="eastAsia" w:ascii="宋体" w:hAnsi="宋体" w:eastAsia="宋体"/>
        </w:rPr>
        <w:t>夺取新时代中国特色社会主义伟大胜利——在中国共产党第十九次全国代表大会上的报告》北京：人民出版社，2017年。</w:t>
      </w:r>
    </w:p>
  </w:footnote>
  <w:footnote w:id="587">
    <w:p w14:paraId="27216D21">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2</w:t>
      </w:r>
      <w:r>
        <w:rPr>
          <w:rFonts w:hint="eastAsia" w:ascii="宋体" w:hAnsi="宋体" w:eastAsia="宋体"/>
        </w:rPr>
        <w:t>卷，北京：</w:t>
      </w:r>
      <w:r>
        <w:rPr>
          <w:rFonts w:ascii="宋体" w:hAnsi="宋体" w:eastAsia="宋体"/>
        </w:rPr>
        <w:t xml:space="preserve"> </w:t>
      </w:r>
      <w:r>
        <w:rPr>
          <w:rFonts w:hint="eastAsia" w:ascii="宋体" w:hAnsi="宋体" w:eastAsia="宋体"/>
        </w:rPr>
        <w:t>人民出版社，</w:t>
      </w:r>
      <w:r>
        <w:rPr>
          <w:rFonts w:ascii="宋体" w:hAnsi="宋体" w:eastAsia="宋体"/>
        </w:rPr>
        <w:t>2017</w:t>
      </w:r>
      <w:r>
        <w:rPr>
          <w:rFonts w:hint="eastAsia" w:ascii="宋体" w:hAnsi="宋体" w:eastAsia="宋体"/>
        </w:rPr>
        <w:t>年，第</w:t>
      </w:r>
      <w:r>
        <w:rPr>
          <w:rFonts w:ascii="宋体" w:hAnsi="宋体" w:eastAsia="宋体"/>
        </w:rPr>
        <w:t>535</w:t>
      </w:r>
      <w:r>
        <w:rPr>
          <w:rFonts w:hint="eastAsia" w:ascii="宋体" w:hAnsi="宋体" w:eastAsia="宋体"/>
        </w:rPr>
        <w:t>页。</w:t>
      </w:r>
    </w:p>
  </w:footnote>
  <w:footnote w:id="588">
    <w:p w14:paraId="35BD0F15">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19</w:t>
      </w:r>
      <w:r>
        <w:rPr>
          <w:rFonts w:hint="eastAsia" w:ascii="宋体" w:hAnsi="宋体" w:eastAsia="宋体"/>
        </w:rPr>
        <w:t>页。</w:t>
      </w:r>
    </w:p>
  </w:footnote>
  <w:footnote w:id="589">
    <w:p w14:paraId="17A5952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习近平：《论坚持推动构建人类命运共同体》，北京：中央文献出版社</w:t>
      </w:r>
      <w:r>
        <w:rPr>
          <w:rFonts w:ascii="宋体" w:hAnsi="宋体" w:eastAsia="宋体"/>
        </w:rPr>
        <w:t xml:space="preserve"> </w:t>
      </w:r>
      <w:r>
        <w:rPr>
          <w:rFonts w:hint="eastAsia" w:ascii="宋体" w:hAnsi="宋体" w:eastAsia="宋体"/>
        </w:rPr>
        <w:t>，</w:t>
      </w:r>
      <w:r>
        <w:rPr>
          <w:rFonts w:ascii="宋体" w:hAnsi="宋体" w:eastAsia="宋体"/>
        </w:rPr>
        <w:t xml:space="preserve">2018 </w:t>
      </w:r>
      <w:r>
        <w:rPr>
          <w:rFonts w:hint="eastAsia" w:ascii="宋体" w:hAnsi="宋体" w:eastAsia="宋体"/>
        </w:rPr>
        <w:t>年，第</w:t>
      </w:r>
      <w:r>
        <w:rPr>
          <w:rFonts w:ascii="宋体" w:hAnsi="宋体" w:eastAsia="宋体"/>
        </w:rPr>
        <w:t xml:space="preserve"> 112 </w:t>
      </w:r>
      <w:r>
        <w:rPr>
          <w:rFonts w:hint="eastAsia" w:ascii="宋体" w:hAnsi="宋体" w:eastAsia="宋体"/>
        </w:rPr>
        <w:t>页。　</w:t>
      </w:r>
    </w:p>
  </w:footnote>
  <w:footnote w:id="590">
    <w:p w14:paraId="03DDA3DA">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杨云成：《“国家安全是安邦定国的重要基石”——学习习近平关于国家安全工作的重要论述》，《党的文献》，2020年第5期。</w:t>
      </w:r>
    </w:p>
  </w:footnote>
  <w:footnote w:id="591">
    <w:p w14:paraId="24A309C1">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4</w:t>
      </w:r>
      <w:r>
        <w:rPr>
          <w:rFonts w:hint="eastAsia" w:ascii="宋体" w:hAnsi="宋体" w:eastAsia="宋体"/>
        </w:rPr>
        <w:t>40页。</w:t>
      </w:r>
    </w:p>
  </w:footnote>
  <w:footnote w:id="592">
    <w:p w14:paraId="218425AE">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4</w:t>
      </w:r>
      <w:r>
        <w:rPr>
          <w:rFonts w:hint="eastAsia" w:ascii="宋体" w:hAnsi="宋体" w:eastAsia="宋体"/>
        </w:rPr>
        <w:t>45页。</w:t>
      </w:r>
    </w:p>
  </w:footnote>
  <w:footnote w:id="593">
    <w:p w14:paraId="0AF44A67">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3</w:t>
      </w:r>
      <w:r>
        <w:rPr>
          <w:rFonts w:hint="eastAsia" w:ascii="宋体" w:hAnsi="宋体" w:eastAsia="宋体"/>
        </w:rPr>
        <w:t>卷，北京：人民出版社，</w:t>
      </w:r>
      <w:r>
        <w:rPr>
          <w:rFonts w:ascii="宋体" w:hAnsi="宋体" w:eastAsia="宋体"/>
        </w:rPr>
        <w:t>2020</w:t>
      </w:r>
      <w:r>
        <w:rPr>
          <w:rFonts w:hint="eastAsia" w:ascii="宋体" w:hAnsi="宋体" w:eastAsia="宋体"/>
        </w:rPr>
        <w:t>年，第</w:t>
      </w:r>
      <w:r>
        <w:rPr>
          <w:rFonts w:ascii="宋体" w:hAnsi="宋体" w:eastAsia="宋体"/>
        </w:rPr>
        <w:t>4</w:t>
      </w:r>
      <w:r>
        <w:rPr>
          <w:rFonts w:hint="eastAsia" w:ascii="宋体" w:hAnsi="宋体" w:eastAsia="宋体"/>
        </w:rPr>
        <w:t>56页。</w:t>
      </w:r>
    </w:p>
  </w:footnote>
  <w:footnote w:id="594">
    <w:p w14:paraId="716CDC11">
      <w:pPr>
        <w:pStyle w:val="11"/>
        <w:pageBreakBefore w:val="0"/>
        <w:kinsoku/>
        <w:wordWrap/>
        <w:overflowPunct/>
        <w:topLinePunct w:val="0"/>
        <w:bidi w:val="0"/>
        <w:spacing w:beforeAutospacing="0" w:afterAutospacing="0" w:line="240" w:lineRule="auto"/>
        <w:ind w:left="0"/>
        <w:textAlignment w:val="auto"/>
        <w:rPr>
          <w:rFonts w:ascii="宋体" w:hAnsi="宋体" w:eastAsia="宋体"/>
        </w:rPr>
      </w:pPr>
      <w:r>
        <w:rPr>
          <w:rStyle w:val="20"/>
          <w:rFonts w:ascii="宋体" w:hAnsi="宋体" w:eastAsia="宋体"/>
        </w:rPr>
        <w:footnoteRef/>
      </w:r>
      <w:r>
        <w:rPr>
          <w:rFonts w:hint="eastAsia" w:ascii="宋体" w:hAnsi="宋体" w:eastAsia="宋体"/>
        </w:rPr>
        <w:t>《习近平谈治国理政》第</w:t>
      </w:r>
      <w:r>
        <w:rPr>
          <w:rFonts w:ascii="宋体" w:hAnsi="宋体" w:eastAsia="宋体"/>
        </w:rPr>
        <w:t>1</w:t>
      </w:r>
      <w:r>
        <w:rPr>
          <w:rFonts w:hint="eastAsia" w:ascii="宋体" w:hAnsi="宋体" w:eastAsia="宋体"/>
        </w:rPr>
        <w:t>卷，北京：人民出版社，</w:t>
      </w:r>
      <w:r>
        <w:rPr>
          <w:rFonts w:ascii="宋体" w:hAnsi="宋体" w:eastAsia="宋体"/>
        </w:rPr>
        <w:t>2014</w:t>
      </w:r>
      <w:r>
        <w:rPr>
          <w:rFonts w:hint="eastAsia" w:ascii="宋体" w:hAnsi="宋体" w:eastAsia="宋体"/>
        </w:rPr>
        <w:t>年，第</w:t>
      </w:r>
      <w:r>
        <w:rPr>
          <w:rFonts w:ascii="宋体" w:hAnsi="宋体" w:eastAsia="宋体"/>
        </w:rPr>
        <w:t>12-13</w:t>
      </w:r>
      <w:r>
        <w:rPr>
          <w:rFonts w:hint="eastAsia" w:ascii="宋体" w:hAnsi="宋体" w:eastAsia="宋体"/>
        </w:rPr>
        <w:t>页。</w:t>
      </w:r>
    </w:p>
  </w:footnote>
  <w:footnote w:id="595">
    <w:p w14:paraId="0881D374">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NikilSaval:《全球化的自负与反全球化的逆袭》,https://www.sohu.com/a/162600351_313745.2017年8月6日。</w:t>
      </w:r>
    </w:p>
  </w:footnote>
  <w:footnote w:id="596">
    <w:p w14:paraId="121D290A">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任珂:《世界经济论坛把脉全球化面临的挑战与变革》,https://m.gmw.cn/baijia/2022-05/25/1302964176.html.2022年5月25日。</w:t>
      </w:r>
    </w:p>
  </w:footnote>
  <w:footnote w:id="597">
    <w:p w14:paraId="2B59779B">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pacing w:val="2"/>
          <w:position w:val="1"/>
          <w:sz w:val="21"/>
          <w:szCs w:val="21"/>
        </w:rPr>
      </w:pPr>
      <w:r>
        <w:rPr>
          <w:rFonts w:hint="default" w:ascii="Times New Roman" w:hAnsi="Times New Roman" w:eastAsia="宋体" w:cs="Times New Roman"/>
          <w:spacing w:val="2"/>
          <w:position w:val="1"/>
          <w:sz w:val="21"/>
          <w:szCs w:val="21"/>
        </w:rPr>
        <w:footnoteRef/>
      </w:r>
      <w:r>
        <w:rPr>
          <w:rFonts w:hint="default" w:ascii="Times New Roman" w:hAnsi="Times New Roman" w:eastAsia="宋体" w:cs="Times New Roman"/>
          <w:spacing w:val="2"/>
          <w:position w:val="1"/>
          <w:sz w:val="21"/>
          <w:szCs w:val="21"/>
        </w:rPr>
        <w:t>李志伟:《全球宏观经济不平衡加剧,联合国等国际机构呼吁—加强团结合作推动包容发展》,《人民日报》2022年2月3日。</w:t>
      </w:r>
    </w:p>
  </w:footnote>
  <w:footnote w:id="598">
    <w:p w14:paraId="598E122D">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pacing w:val="2"/>
          <w:position w:val="1"/>
          <w:sz w:val="21"/>
          <w:szCs w:val="21"/>
        </w:rPr>
      </w:pPr>
      <w:r>
        <w:rPr>
          <w:rFonts w:hint="default" w:ascii="Times New Roman" w:hAnsi="Times New Roman" w:eastAsia="宋体" w:cs="Times New Roman"/>
          <w:spacing w:val="2"/>
          <w:position w:val="1"/>
          <w:sz w:val="21"/>
          <w:szCs w:val="21"/>
        </w:rPr>
        <w:footnoteRef/>
      </w:r>
      <w:r>
        <w:rPr>
          <w:rFonts w:hint="default" w:ascii="Times New Roman" w:hAnsi="Times New Roman" w:eastAsia="宋体" w:cs="Times New Roman"/>
          <w:spacing w:val="2"/>
          <w:position w:val="1"/>
          <w:sz w:val="21"/>
          <w:szCs w:val="21"/>
        </w:rPr>
        <w:t>石尔:《美国务卿莱斯达沃斯:美经济仍是全球火车头》,http://finance.sina.com.cn/j/20080124/12064447997.shtml.2008年1月24日。</w:t>
      </w:r>
    </w:p>
  </w:footnote>
  <w:footnote w:id="599">
    <w:p w14:paraId="1C9D48A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pacing w:val="2"/>
          <w:position w:val="1"/>
          <w:sz w:val="21"/>
          <w:szCs w:val="21"/>
        </w:rPr>
      </w:pPr>
      <w:r>
        <w:rPr>
          <w:rFonts w:hint="default" w:ascii="Times New Roman" w:hAnsi="Times New Roman" w:eastAsia="宋体" w:cs="Times New Roman"/>
          <w:spacing w:val="2"/>
          <w:position w:val="1"/>
          <w:sz w:val="21"/>
          <w:szCs w:val="21"/>
        </w:rPr>
        <w:footnoteRef/>
      </w:r>
      <w:r>
        <w:rPr>
          <w:rFonts w:hint="default" w:ascii="Times New Roman" w:hAnsi="Times New Roman" w:eastAsia="宋体" w:cs="Times New Roman"/>
          <w:spacing w:val="2"/>
          <w:position w:val="1"/>
          <w:sz w:val="21"/>
          <w:szCs w:val="21"/>
        </w:rPr>
        <w:t>禹丽敏、颜欢、许海林:《世界经济论坛年会聚焦“重建信任”—“只有合作才能重新点燃解决问题的动力”》,《人民日报》2024年1月19日</w:t>
      </w:r>
    </w:p>
  </w:footnote>
  <w:footnote w:id="600">
    <w:p w14:paraId="2C3A5E83">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NikilSaval:《全球化的自负与反全球化的逆袭》,https://www.sohu.com/a/162600351_313745.2017年8月6日。</w:t>
      </w:r>
    </w:p>
  </w:footnote>
  <w:footnote w:id="601">
    <w:p w14:paraId="6E9E74F5">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从历史唯物主义来看,经济基础不仅是社会发展,更是社会组织存在的前提条件,所以,世界经济论坛的创始人施瓦布正是考虑到论坛资金的会费模式不稳定问题,才在论坛创办的第五年即1976年转变为会员费模式,并一直沿用至今,不可谓不成功。虽然两种模式只有一字之差,但是运行机制却是天壤之别,而最重要的不同在于论坛主办方对于论坛的独立决定权会受到论坛出资方的关联性影响。</w:t>
      </w:r>
    </w:p>
  </w:footnote>
  <w:footnote w:id="602">
    <w:p w14:paraId="392EB758">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新凯恩斯主义的现代太阳黑子均衡模型描述了人们的经济预期可以自我实现的一种理论,具体指像太阳黑子一样随机出现的任意非经济现象可以间接地影响大多数人的经济预期,而无论这种预期是否具有客观基础,都可能会通过影响这些人的共同行为,进而真的实现这些预期,也就是说,“心想”可以“事成”,比如17世纪的郁金香热和20世纪30年代的西方大萧条等历史现象都可以用黑子均衡来合乎逻辑地给予解释。推广来看,资本可以通过影响世界经济论坛的战略定位和发展方向来形成人们对未来世界经济的总体预期,由此引导人们的经济行为,推动政府政策的顶层设计和实施,以实现资本积累最大化的黑子均衡。其实,在历史唯物主义的视域下,“预期的自我实现”的历史前提是不违背社会存在决定社会意识的社会运动规律,也就是说社会经济运动规律不以人的意识为转移的历史事实,人的主观能动性才能充分发挥“预期”作用,推动社会经济向着“预期”运动,反之,若是脱离客观现实的“预期”或“提振信心”,就会成为不切实际的主观臆断和行为失策。</w:t>
      </w:r>
    </w:p>
  </w:footnote>
  <w:footnote w:id="603">
    <w:p w14:paraId="40152AC6">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无论是在马克思的政治经济学六册计划中,还是在《资本论》三卷的演绎论述中,对于资本性质的内生性关系基本是一致连贯的。具体来讲,资本主义的市场竞争决定了资本逐利以求存在的必要性,而扩大逐利性的唯一手段即是剥削剩余价值实现资本积累,而资本积累导致资本规模扩大形成垄断性,按照市场竞争的先易后难原则,先是垄断国内市场,达到市场饱和而利润率趋于下降后,再顺次转向世界市场,进一步扩大国际垄断,提升抑或延缓利润率下降的危机。</w:t>
      </w:r>
    </w:p>
  </w:footnote>
  <w:footnote w:id="604">
    <w:p w14:paraId="0C84FA3F">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无论是在马克思的政治经济学六册计划中,还是在《资本论》三卷的演绎论述中,对于资本性质的内生性关系基本是一致连贯的。具体来讲,资本主义的市场竞争决定了资本逐利以求存在的必要性,而扩大逐利性的唯一手段即是剥削剩余价值实现资本积累,而资本积累导致资本规模扩大形成垄断性,按照市场竞争的先易后难原则,先是垄断国内市场,达到市场饱和而利润率趋于下降后,再顺次转向世界市场,进一步扩大国际垄断,提升抑或延缓利润率下降的危机。</w:t>
      </w:r>
    </w:p>
    <w:p w14:paraId="782481AF">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《马克思恩格斯文集》第5卷,北京:人民出版社,2009年,第178页。</w:t>
      </w:r>
    </w:p>
  </w:footnote>
  <w:footnote w:id="605">
    <w:p w14:paraId="04E290DE">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《马克思恩格斯文集》第5卷,北京:人民出版社,2009年,第179页。</w:t>
      </w:r>
    </w:p>
  </w:footnote>
  <w:footnote w:id="606">
    <w:p w14:paraId="585C86A8">
      <w:pPr>
        <w:pStyle w:val="6"/>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napToGrid w:val="0"/>
          <w:color w:val="000000"/>
          <w:kern w:val="0"/>
          <w:sz w:val="21"/>
          <w:szCs w:val="21"/>
          <w:lang w:val="en-US" w:eastAsia="en-US" w:bidi="ar-SA"/>
        </w:rPr>
      </w:pPr>
      <w:r>
        <w:rPr>
          <w:rFonts w:hint="default" w:ascii="Times New Roman" w:hAnsi="Times New Roman" w:eastAsia="宋体" w:cs="Times New Roman"/>
          <w:snapToGrid w:val="0"/>
          <w:color w:val="000000"/>
          <w:kern w:val="0"/>
          <w:sz w:val="21"/>
          <w:szCs w:val="21"/>
          <w:lang w:val="en-US" w:eastAsia="en-US" w:bidi="ar-SA"/>
        </w:rPr>
        <w:footnoteRef/>
      </w:r>
      <w:r>
        <w:rPr>
          <w:rFonts w:hint="default" w:ascii="Times New Roman" w:hAnsi="Times New Roman" w:eastAsia="宋体" w:cs="Times New Roman"/>
          <w:snapToGrid w:val="0"/>
          <w:color w:val="000000"/>
          <w:kern w:val="0"/>
          <w:sz w:val="21"/>
          <w:szCs w:val="21"/>
          <w:lang w:val="en-US" w:eastAsia="en-US" w:bidi="ar-SA"/>
        </w:rPr>
        <w:t>《马克思恩格斯文集》第5卷,北京:人民出版社,2009年,第518页。</w:t>
      </w:r>
    </w:p>
    <w:p w14:paraId="5B1A512A">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p>
  </w:footnote>
  <w:footnote w:id="607">
    <w:p w14:paraId="515BAED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《马克思恩格斯文集》第5卷,北京:人民出版社,2009年,第179页。</w:t>
      </w:r>
    </w:p>
  </w:footnote>
  <w:footnote w:id="608">
    <w:p w14:paraId="4CF8A094">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〔法〕托马斯·皮凯蒂:《21世纪资本论》,巴曙松等译,北京:中信出版社,2014年,第275-309页。</w:t>
      </w:r>
    </w:p>
    <w:p w14:paraId="628F6BD3">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p>
  </w:footnote>
  <w:footnote w:id="609">
    <w:p w14:paraId="47D5E530">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〔美〕约瑟夫·斯蒂格利茨:《不平等与经济增长》,周建军、张晔译,《政治经济学季刊》2018年第2期。</w:t>
      </w:r>
    </w:p>
  </w:footnote>
  <w:footnote w:id="610">
    <w:p w14:paraId="3602E764">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《马克思恩格斯文集》第5卷,北京:人民出版社,2009年,第716页。</w:t>
      </w:r>
    </w:p>
  </w:footnote>
  <w:footnote w:id="611">
    <w:p w14:paraId="118B180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世界社会论坛(WSF)敢于“叫板”世界经济论坛,旗帜鲜明地批判资本主义全球化,且多年来取得了被萨米尔·阿明赞誉为“无可争辩”的成功,是适应了世界社会运动发展的客观需求,反映了资本主义基本矛盾在世界范围的进一步展开</w:t>
      </w:r>
    </w:p>
    <w:p w14:paraId="614D260D">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和深化,必然影响资本主义制度在新历史阶段的演化调整。</w:t>
      </w:r>
    </w:p>
  </w:footnote>
  <w:footnote w:id="612">
    <w:p w14:paraId="51AB98F9">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支柱”市场势力是现在对所在行业和区域具有规模经济和范围经济,可以产生扩散效应;“主导”市场势力是未来对所在行业和区域具有潜在的规模经济和范围经济,即未来的“支柱”市场势力,可以引领现在行业和区域的发展路径,故相应的行业也被称为支柱行业和主导行业。</w:t>
      </w:r>
    </w:p>
  </w:footnote>
  <w:footnote w:id="613">
    <w:p w14:paraId="1132B792">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值得注意,虽然世界经济论坛与主要来源于发达国家的私人资本存在一定的利益相关性,但是其全球化及对行业和区域发展的显著影响是资本积累的一种必然结果,亦反映了资本主义演化的历史阶段性。所以,其他国家及其私人资本抑或公有资本若要融入经济全球化的一般自由主义,以最大化各自的经济利益,进一步提升社会福利水平,有必要按照历史唯物主义发展逻辑,有条件参与论坛活动,加强互利互赢的合作。比如,我国自1979年开始就与世界经济论坛保持良好的合作关系,政府领导人应邀出席并积极倡议建构平等互利的新型国际经济关系,截至目前已经有超过100家中国企业成为论坛的会员及战略合作伙伴</w:t>
      </w:r>
      <w:r>
        <w:rPr>
          <w:rFonts w:hint="default" w:ascii="Times New Roman" w:hAnsi="Times New Roman" w:eastAsia="宋体" w:cs="Times New Roman"/>
          <w:sz w:val="21"/>
          <w:szCs w:val="21"/>
          <w:lang w:eastAsia="zh-CN"/>
        </w:rPr>
        <w:t>。</w:t>
      </w:r>
    </w:p>
  </w:footnote>
  <w:footnote w:id="614">
    <w:p w14:paraId="3FBEBB4F">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程恩富、鲁保林、俞使超:《论新帝国主义的五大特征和特性》,《马克思主义研究》2019年第5期。</w:t>
      </w:r>
    </w:p>
  </w:footnote>
  <w:footnote w:id="615">
    <w:p w14:paraId="0FD7D052">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《马克思恩格斯文集》第5卷,北京:人民出版社,2009年,第171页。</w:t>
      </w:r>
    </w:p>
  </w:footnote>
  <w:footnote w:id="616">
    <w:p w14:paraId="15C12354">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《马克思恩格斯文集》第7卷,北京:人民出版社,2009年,第126页。</w:t>
      </w:r>
    </w:p>
  </w:footnote>
  <w:footnote w:id="617">
    <w:p w14:paraId="2161559D">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《马克思恩格斯文集》第7卷,北京:人民出版社,2009年,第497页。</w:t>
      </w:r>
    </w:p>
  </w:footnote>
  <w:footnote w:id="618">
    <w:p w14:paraId="0CD6FCEC">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《马克思恩格斯文集》第5卷,北京:人民出版社,2009年,第722页。</w:t>
      </w:r>
    </w:p>
  </w:footnote>
  <w:footnote w:id="619">
    <w:p w14:paraId="64AE600F">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邓茜:英国首相表示支持自由贸易和全球规则体系,https://baijiahao.baidu.com/s?id=1590616767650066757&amp;wfr=spider&amp;for=pc.2018年1月26日。</w:t>
      </w:r>
    </w:p>
  </w:footnote>
  <w:footnote w:id="620">
    <w:p w14:paraId="4AF262D0">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《特朗普在达沃斯经济论坛上的演讲全文》,https://baijiahao.baidu.com/s?id=1591159764834688414&amp;wfr=</w:t>
      </w:r>
      <w:r>
        <w:rPr>
          <w:rFonts w:hint="default" w:ascii="Times New Roman" w:hAnsi="Times New Roman" w:eastAsia="宋体" w:cs="Times New Roman"/>
          <w:sz w:val="21"/>
          <w:szCs w:val="21"/>
          <w:lang w:val="en-US" w:eastAsia="zh-CN"/>
        </w:rPr>
        <w:t>spider&amp;.for=pc. 2018年2月1日。</w:t>
      </w:r>
    </w:p>
  </w:footnote>
  <w:footnote w:id="621">
    <w:p w14:paraId="7B236DBD">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w:t>
      </w:r>
      <w:r>
        <w:rPr>
          <w:rFonts w:hint="default" w:ascii="Times New Roman" w:hAnsi="Times New Roman" w:eastAsia="宋体" w:cs="Times New Roman"/>
          <w:sz w:val="21"/>
          <w:szCs w:val="21"/>
          <w:lang w:val="en-US" w:eastAsia="zh-CN"/>
        </w:rPr>
        <w:t>任珂：《专家热议全球化发展趋势：全球化在倒退，还是在重组？》，《参考消息》2022年5月27日</w:t>
      </w:r>
    </w:p>
  </w:footnote>
  <w:footnote w:id="622">
    <w:p w14:paraId="6565E7EE">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〔法〕托马斯皮凯蒂:《21世纪资本论》,巴曙松等译,北京:中信出版社,2014年,第275-309页。</w:t>
      </w:r>
    </w:p>
  </w:footnote>
  <w:footnote w:id="623">
    <w:p w14:paraId="7DE14D5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NikilSaval:《全球化的自负与反全球化的逆袭》,https://www.sohu.com/a/162600351_313745.2017年8月6日。</w:t>
      </w:r>
    </w:p>
  </w:footnote>
  <w:footnote w:id="624">
    <w:p w14:paraId="20879315">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〔美〕丹·希勒:《数字资本主义》,杨立平译,南昌:江西人民出版社,2001年,第275页。</w:t>
      </w:r>
    </w:p>
  </w:footnote>
  <w:footnote w:id="625">
    <w:p w14:paraId="46BD441A">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关于外围国家不发达问题的系统研究最早始于巴兰对罗斯托关于经济增长阶段论的质疑,其不平衡发展思想对后来的依附理论、世界体系分析论、不平衡地理发展论都产生了深刻影响,笔者程恩富等提出了“新中心世界体系论”。</w:t>
      </w:r>
    </w:p>
  </w:footnote>
  <w:footnote w:id="626">
    <w:p w14:paraId="4ADD1C50">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〔美〕安瓦尔·谢克:《新自由主义批判:经济学的神话》,孙小雨、赵准译,《政治经济学季刊》2021年第2期。</w:t>
      </w:r>
    </w:p>
  </w:footnote>
  <w:footnote w:id="627">
    <w:p w14:paraId="365DA9AC">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〔美〕查尔斯·威尔伯:《发达与不发达问题的政治经济学》,高铦、徐壮飞、涂光楠、黄苏译,北京:商务印书馆,2015年,第219页。</w:t>
      </w:r>
    </w:p>
  </w:footnote>
  <w:footnote w:id="628">
    <w:p w14:paraId="212C85FD">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〔美〕苏珊·伯杰、〔美〕罗纳德·多尔:《国家的多样性和全球的资本主义》,重庆:重庆出版社,2002年,第72-73页。</w:t>
      </w:r>
    </w:p>
  </w:footnote>
  <w:footnote w:id="629">
    <w:p w14:paraId="792BA2FB">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《2008世界经济论坛年会语录》,《新闻晨报》2008年1月25日。</w:t>
      </w:r>
    </w:p>
  </w:footnote>
  <w:footnote w:id="630">
    <w:p w14:paraId="572F2342">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《马克思恩格斯文集》第7卷,北京:人民出版社,2009年,第605页。</w:t>
      </w:r>
    </w:p>
  </w:footnote>
  <w:footnote w:id="631">
    <w:p w14:paraId="32D53C2A">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《马克思恩格斯文集》第7卷,北京:人民出版社,2009年,第23页。</w:t>
      </w:r>
    </w:p>
  </w:footnote>
  <w:footnote w:id="632">
    <w:p w14:paraId="2141176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《马克思恩格斯文集》第5卷,北京:人民出版社,2009年,第530页。</w:t>
      </w:r>
    </w:p>
  </w:footnote>
  <w:footnote w:id="633">
    <w:p w14:paraId="2AF48C8E">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何自力等对金融资本主义去工业化的发生机制和经济效应进行了较深入的探讨。</w:t>
      </w:r>
    </w:p>
  </w:footnote>
  <w:footnote w:id="634">
    <w:p w14:paraId="2CAB679D">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〔美〕哈里·马格多夫、〔美〕保罗·斯威齐:《生产与金融》,张雪琴译,《清华政治经济学报》2014年第3期。</w:t>
      </w:r>
    </w:p>
  </w:footnote>
  <w:footnote w:id="635">
    <w:p w14:paraId="2EF7674E">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不过,哈维认为资本积累的次级循环也创造价值,则是违反了马克思的活劳动创造价值一元论。</w:t>
      </w:r>
    </w:p>
  </w:footnote>
  <w:footnote w:id="636">
    <w:p w14:paraId="53FD015B">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〔美〕哈里·马格多夫、〔美〕保罗·斯威齐:《生产与金融》,张雪琴译,《清华政治经济学报》2014年第3期。</w:t>
      </w:r>
    </w:p>
  </w:footnote>
  <w:footnote w:id="637">
    <w:p w14:paraId="61098421">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《马克思恩格斯文集》第5卷,北京:人民出版社,2009年,第527页。</w:t>
      </w:r>
    </w:p>
  </w:footnote>
  <w:footnote w:id="638">
    <w:p w14:paraId="428EE25E">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《马克思恩格斯文集》第5卷,北京:人民出版社,2009年,第540页。</w:t>
      </w:r>
    </w:p>
  </w:footnote>
  <w:footnote w:id="639">
    <w:p w14:paraId="5F6C2CDC">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〔美〕弗雷德·马格多夫、〔美〕约翰·福斯特:《停滞与金融化:矛盾的本质》,周颖译,《政治经济学报》2015年第4期。</w:t>
      </w:r>
    </w:p>
  </w:footnote>
  <w:footnote w:id="640">
    <w:p w14:paraId="4851EFC1">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NikilSaval:《全球化的自负与反全球化的逆袭》,https://www.sohu.com/a/162600351_313745.2017年8月6日。</w:t>
      </w:r>
    </w:p>
  </w:footnote>
  <w:footnote w:id="641">
    <w:p w14:paraId="3359301A">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关于贸易强国的范式研究主要存在古典重商主义、自由主义和马克思主义三种相对独立且对立鲜明的理论学派,其中古典重商主义从资本原始积累上强调政府产业保护政策对于实现贸易强国的必要性,自由主义则从资本扩大化积累上更重视发挥市场价格机制的调节功能,反对政府对市场自由竞争的任意干预,而马克思主义主要从制度上批判了贸易强国过程中资本积累的不平等交换。但是,从荷兰、英国和美国的贸易霸权时代来看,它们发展为贸易强国具有一些共同性质,比如制度创新、技术创新、资源垄断和话语权力。</w:t>
      </w:r>
    </w:p>
  </w:footnote>
  <w:footnote w:id="642">
    <w:p w14:paraId="1884B98F">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〔英〕苏珊·斯特兰奇:《国家与市场》,杨宇光等译,上海:上海世纪出版集团,2006年,第209-210页。</w:t>
      </w:r>
    </w:p>
  </w:footnote>
  <w:footnote w:id="643">
    <w:p w14:paraId="5DACCB09">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《特朗普在达沃斯经济论坛上的演讲全文》,https://baijiahao.baidu.com/s?id=1591159764834688414&amp;wfr=spider&amp;.for=pc. 2018年2月1日。</w:t>
      </w:r>
    </w:p>
  </w:footnote>
  <w:footnote w:id="644">
    <w:p w14:paraId="5BC837B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lang w:val="en-US" w:eastAsia="zh-CN"/>
        </w:rPr>
        <w:t>贾根良：</w:t>
      </w:r>
      <w:r>
        <w:rPr>
          <w:rFonts w:hint="default" w:ascii="Times New Roman" w:hAnsi="Times New Roman" w:eastAsia="宋体" w:cs="Times New Roman"/>
          <w:sz w:val="21"/>
          <w:szCs w:val="21"/>
        </w:rPr>
        <w:t xml:space="preserve"> </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lang w:val="en-US" w:eastAsia="zh-CN"/>
        </w:rPr>
        <w:t>美国经济崛起时</w:t>
      </w:r>
      <w:r>
        <w:rPr>
          <w:rFonts w:hint="default" w:ascii="Times New Roman" w:hAnsi="Times New Roman" w:eastAsia="宋体" w:cs="Times New Roman"/>
          <w:sz w:val="21"/>
          <w:szCs w:val="21"/>
        </w:rPr>
        <w:t>期自主创新的成功经验与启示》,《教学与研究》2011年第8期。</w:t>
      </w:r>
    </w:p>
  </w:footnote>
  <w:footnote w:id="645">
    <w:p w14:paraId="44190147">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footnoteRef/>
      </w:r>
      <w:r>
        <w:rPr>
          <w:rFonts w:hint="default" w:ascii="Times New Roman" w:hAnsi="Times New Roman" w:eastAsia="宋体" w:cs="Times New Roman"/>
          <w:sz w:val="21"/>
          <w:szCs w:val="21"/>
        </w:rPr>
        <w:t xml:space="preserve"> 〔埃〕萨米尔·阿明:《世界社会论坛与世界社会运动》,邹之坤译,《国外理论动态》2007年第9期。</w:t>
      </w:r>
    </w:p>
  </w:footnote>
  <w:footnote w:id="646">
    <w:p w14:paraId="70FB6743">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刘文典撰：《淮南洪烈集解》卷二十一《要略》，北京：中华书局，1980年点校本下册，第710页。</w:t>
      </w:r>
    </w:p>
  </w:footnote>
  <w:footnote w:id="647">
    <w:p w14:paraId="2809D788">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刘长明：《哲学文化隆起带现象观止》，《东岳论丛》2018年第2期。</w:t>
      </w:r>
    </w:p>
  </w:footnote>
  <w:footnote w:id="648">
    <w:p w14:paraId="08AEC9F1">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刘长明：《管子的天下一统观探赜》，《管子学刊》2019年第3期。</w:t>
      </w:r>
    </w:p>
  </w:footnote>
  <w:footnote w:id="649">
    <w:p w14:paraId="2F1AB34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司马迁：《史记》卷三十二《齐太公世家》，北京：中华书局，1959年标点本第5册，第1480页。</w:t>
      </w:r>
    </w:p>
  </w:footnote>
  <w:footnote w:id="650">
    <w:p w14:paraId="391216F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本文所用《管子》原文均引自黎翔凤撰、梁运华整理：《管子校注》，北京：中华书局，2020年版，为便于行文，以下只注《管子》篇名。</w:t>
      </w:r>
    </w:p>
  </w:footnote>
  <w:footnote w:id="651">
    <w:p w14:paraId="520D0BF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刘向撰、向宗鲁校证：《说苑校证》，北京：中华书局，1987年，第72页。</w:t>
      </w:r>
    </w:p>
  </w:footnote>
  <w:footnote w:id="652">
    <w:p w14:paraId="04CC90C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司马迁：《史记》卷六十二《管晏列传》，北京：中华书局，1959年标点本第7册，第2132-2133页。</w:t>
      </w:r>
    </w:p>
  </w:footnote>
  <w:footnote w:id="653">
    <w:p w14:paraId="03EB47E0">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林光彬：《中华文化是中国政治经济学的源头活水》，《光明日报》2017年1月10日，第11版。</w:t>
      </w:r>
    </w:p>
  </w:footnote>
  <w:footnote w:id="654">
    <w:p w14:paraId="195C1DB4">
      <w:pPr>
        <w:pStyle w:val="6"/>
        <w:keepNext w:val="0"/>
        <w:pageBreakBefore w:val="0"/>
        <w:overflowPunct/>
        <w:topLinePunct w:val="0"/>
        <w:bidi w:val="0"/>
        <w:spacing w:line="240" w:lineRule="auto"/>
        <w:ind w:left="0" w:firstLine="0" w:firstLineChars="0"/>
        <w:rPr>
          <w:spacing w:val="-3"/>
        </w:rPr>
      </w:pPr>
      <w:r>
        <w:rPr>
          <w:spacing w:val="-3"/>
        </w:rPr>
        <w:footnoteRef/>
      </w:r>
      <w:r>
        <w:rPr>
          <w:spacing w:val="-3"/>
        </w:rPr>
        <w:t>司马迁：《史记》卷三十《平准书》，北京：中华书局，1959年标点本第4册，第1442页。</w:t>
      </w:r>
    </w:p>
    <w:p w14:paraId="225DBE55">
      <w:pPr>
        <w:pStyle w:val="11"/>
        <w:keepNext w:val="0"/>
        <w:pageBreakBefore w:val="0"/>
        <w:overflowPunct/>
        <w:topLinePunct w:val="0"/>
        <w:bidi w:val="0"/>
        <w:snapToGrid w:val="0"/>
        <w:spacing w:line="240" w:lineRule="auto"/>
        <w:ind w:left="0" w:firstLine="0" w:firstLineChars="0"/>
      </w:pPr>
    </w:p>
  </w:footnote>
  <w:footnote w:id="655">
    <w:p w14:paraId="77F90823">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《周易注》，《四库全书》卷二十一，北京：商务印书馆，2006年文津阁影印本，第126页。</w:t>
      </w:r>
    </w:p>
  </w:footnote>
  <w:footnote w:id="656">
    <w:p w14:paraId="62AF32D4">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司马迁：《史记》卷三十二《齐太公世家》，北京：中华书局，1959年标点本第5册，第1487页。</w:t>
      </w:r>
    </w:p>
  </w:footnote>
  <w:footnote w:id="657">
    <w:p w14:paraId="1DF16A8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司马迁：《史记》卷六十九《货殖列传序》，北京：中华书局，1959年标点本第10册，第3255页。</w:t>
      </w:r>
    </w:p>
  </w:footnote>
  <w:footnote w:id="658">
    <w:p w14:paraId="4250C0CA">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司马迁：《史记》卷六十二《管晏列传》，北京：中华书局，1959年标点本第7册，第2131页。</w:t>
      </w:r>
    </w:p>
  </w:footnote>
  <w:footnote w:id="659">
    <w:p w14:paraId="028AD1B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程恩富、宋宪萍：《全球经济治理重塑中的中国新型工业化完善建议》，《政治经济学研究》2023年第4期。</w:t>
      </w:r>
    </w:p>
  </w:footnote>
  <w:footnote w:id="660">
    <w:p w14:paraId="1A26B75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《马克思恩格斯选集》第2卷，北京：人民出版社，2012年版，第691页。</w:t>
      </w:r>
    </w:p>
  </w:footnote>
  <w:footnote w:id="661">
    <w:p w14:paraId="60938939">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《马克思恩格斯选集》第2卷，第693页。</w:t>
      </w:r>
    </w:p>
  </w:footnote>
  <w:footnote w:id="662">
    <w:p w14:paraId="01EC743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司马迁：《史记》卷六十二《管晏列传》，北京：中华书局，1959年标点本第7册，第2136页。</w:t>
      </w:r>
    </w:p>
  </w:footnote>
  <w:footnote w:id="663">
    <w:p w14:paraId="56AEE0DA">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lang w:val="en-US" w:eastAsia="zh-CN"/>
        </w:rPr>
        <w:t>司马迁：《史记》卷三十《平准书》，北京：中华书局，</w:t>
      </w:r>
      <w:r>
        <w:rPr>
          <w:rFonts w:hint="default"/>
          <w:lang w:val="en-US" w:eastAsia="zh-CN"/>
        </w:rPr>
        <w:t>1959年标点本第4册，第1443页。</w:t>
      </w:r>
    </w:p>
    <w:p w14:paraId="3F85B156">
      <w:pPr>
        <w:pStyle w:val="11"/>
        <w:keepNext w:val="0"/>
        <w:pageBreakBefore w:val="0"/>
        <w:overflowPunct/>
        <w:topLinePunct w:val="0"/>
        <w:bidi w:val="0"/>
        <w:snapToGrid w:val="0"/>
        <w:spacing w:line="240" w:lineRule="auto"/>
        <w:ind w:left="0" w:firstLine="0" w:firstLineChars="0"/>
        <w:rPr>
          <w:rFonts w:hint="eastAsia"/>
        </w:rPr>
      </w:pPr>
    </w:p>
  </w:footnote>
  <w:footnote w:id="664">
    <w:p w14:paraId="22886C02">
      <w:pPr>
        <w:pStyle w:val="7"/>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vertAlign w:val="baseline"/>
        </w:rPr>
        <w:footnoteRef/>
      </w:r>
      <w:r>
        <w:rPr>
          <w:rFonts w:hint="eastAsia" w:ascii="宋体" w:hAnsi="宋体" w:eastAsia="宋体" w:cs="宋体"/>
          <w:sz w:val="21"/>
          <w:szCs w:val="21"/>
        </w:rPr>
        <w:t xml:space="preserve"> Djoomart Otorbaev</w:t>
      </w:r>
      <w:r>
        <w:rPr>
          <w:rFonts w:hint="eastAsia" w:ascii="宋体" w:hAnsi="宋体" w:eastAsia="宋体" w:cs="宋体"/>
          <w:sz w:val="21"/>
          <w:szCs w:val="21"/>
          <w:lang w:val="en-US" w:eastAsia="zh-CN"/>
        </w:rPr>
        <w:t>, “</w:t>
      </w:r>
      <w:r>
        <w:rPr>
          <w:rFonts w:hint="eastAsia" w:ascii="宋体" w:hAnsi="宋体" w:eastAsia="宋体" w:cs="宋体"/>
          <w:sz w:val="21"/>
          <w:szCs w:val="21"/>
        </w:rPr>
        <w:t>BRICS set to be bigger, stronger amid push for unity</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https://www.chinadaily.com.cn/a/202304/27/WS6449cc4aa310b6054fad00c2.html</w:t>
      </w:r>
      <w:r>
        <w:rPr>
          <w:rFonts w:hint="eastAsia" w:ascii="宋体" w:hAnsi="宋体" w:eastAsia="宋体" w:cs="宋体"/>
          <w:sz w:val="21"/>
          <w:szCs w:val="21"/>
          <w:lang w:val="en-US" w:eastAsia="zh-CN"/>
        </w:rPr>
        <w:t>.</w:t>
      </w:r>
    </w:p>
  </w:footnote>
  <w:footnote w:id="665">
    <w:p w14:paraId="09D3974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vertAlign w:val="baseline"/>
        </w:rPr>
        <w:footnoteRef/>
      </w:r>
      <w:r>
        <w:rPr>
          <w:rStyle w:val="20"/>
          <w:rFonts w:hint="eastAsia" w:ascii="宋体" w:hAnsi="宋体" w:eastAsia="宋体" w:cs="宋体"/>
          <w:sz w:val="21"/>
          <w:szCs w:val="21"/>
        </w:rPr>
        <w:t xml:space="preserve"> </w:t>
      </w:r>
      <w:r>
        <w:rPr>
          <w:rFonts w:hint="eastAsia" w:ascii="宋体" w:hAnsi="宋体" w:eastAsia="宋体" w:cs="宋体"/>
          <w:sz w:val="21"/>
          <w:szCs w:val="21"/>
        </w:rPr>
        <w:t>Arendse Huld</w:t>
      </w:r>
      <w:r>
        <w:rPr>
          <w:rFonts w:hint="eastAsia" w:ascii="宋体" w:hAnsi="宋体" w:eastAsia="宋体" w:cs="宋体"/>
          <w:sz w:val="21"/>
          <w:szCs w:val="21"/>
          <w:lang w:val="en-US" w:eastAsia="zh-CN"/>
        </w:rPr>
        <w:t>, “</w:t>
      </w:r>
      <w:r>
        <w:rPr>
          <w:rFonts w:hint="eastAsia" w:ascii="宋体" w:hAnsi="宋体" w:eastAsia="宋体" w:cs="宋体"/>
          <w:sz w:val="21"/>
          <w:szCs w:val="21"/>
        </w:rPr>
        <w:t>GDP Expands 5.2% in 2023 – Analyzing China’s Key Economic Indicators</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https://www.china-briefing.com/news/chinas-gdp-in-2023/</w:t>
      </w:r>
      <w:r>
        <w:rPr>
          <w:rFonts w:hint="eastAsia" w:ascii="宋体" w:hAnsi="宋体" w:eastAsia="宋体" w:cs="宋体"/>
          <w:sz w:val="21"/>
          <w:szCs w:val="21"/>
          <w:lang w:val="en-US" w:eastAsia="zh-CN"/>
        </w:rPr>
        <w:t>.</w:t>
      </w:r>
    </w:p>
    <w:p w14:paraId="064FFC96">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p>
  </w:footnote>
  <w:footnote w:id="666">
    <w:p w14:paraId="40833A34">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程恩富、陈健：《评析美西方炒作的“中国产能过剩论”》，《政治经济学研究》2024年第2期。</w:t>
      </w:r>
    </w:p>
  </w:footnote>
  <w:footnote w:id="667">
    <w:p w14:paraId="6D0937B5">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孙寿涛、张朝阳：《美国保护主义回潮的本质、根源与后果》，《海派经济学》2024年第2期。</w:t>
      </w:r>
    </w:p>
  </w:footnote>
  <w:footnote w:id="668">
    <w:p w14:paraId="0E568856">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联合国官网会议报道（第七十七届会议，第22 次会议（下午）），具体地址：https://press.un.org/en/2022/gaef3577.doc.htm</w:t>
      </w:r>
    </w:p>
  </w:footnote>
  <w:footnote w:id="669">
    <w:p w14:paraId="6E325253">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b/>
          <w:sz w:val="21"/>
          <w:szCs w:val="21"/>
        </w:rPr>
        <w:t xml:space="preserve"> 作者简介</w:t>
      </w:r>
      <w:r>
        <w:rPr>
          <w:rFonts w:hint="eastAsia" w:ascii="宋体" w:hAnsi="宋体" w:eastAsia="宋体" w:cs="宋体"/>
          <w:sz w:val="21"/>
          <w:szCs w:val="21"/>
        </w:rPr>
        <w:t>：宋宪萍，北京理工大学人文与社会科学学院教授、博士生导师，主要研究方向为政治经济学。程恩富，</w:t>
      </w:r>
      <w:r>
        <w:rPr>
          <w:rFonts w:hint="eastAsia" w:ascii="宋体" w:hAnsi="宋体" w:eastAsia="宋体" w:cs="宋体"/>
          <w:color w:val="FF0000"/>
          <w:sz w:val="21"/>
          <w:szCs w:val="21"/>
        </w:rPr>
        <w:t>中国社会科学院大学首席教授、学部委员，世界政治经济学学会会长，中国政治经济学学会名誉会长，主要研究方向为马克思主义及其政治经济学</w:t>
      </w:r>
      <w:r>
        <w:rPr>
          <w:rFonts w:hint="eastAsia" w:ascii="宋体" w:hAnsi="宋体" w:eastAsia="宋体" w:cs="宋体"/>
          <w:sz w:val="21"/>
          <w:szCs w:val="21"/>
        </w:rPr>
        <w:t>。</w:t>
      </w:r>
    </w:p>
    <w:p w14:paraId="652BCF1E">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Fonts w:hint="eastAsia" w:ascii="宋体" w:hAnsi="宋体" w:eastAsia="宋体" w:cs="宋体"/>
          <w:b/>
          <w:sz w:val="21"/>
          <w:szCs w:val="21"/>
        </w:rPr>
        <w:t>基金项目</w:t>
      </w:r>
      <w:r>
        <w:rPr>
          <w:rFonts w:hint="eastAsia" w:ascii="宋体" w:hAnsi="宋体" w:eastAsia="宋体" w:cs="宋体"/>
          <w:sz w:val="21"/>
          <w:szCs w:val="21"/>
        </w:rPr>
        <w:t>：本文系国家社科基金重点项目“马克思主义视阈下全球价值链中风险的社会放大及其防控研究”（项目编号：18AJL003）的阶段性成果。</w:t>
      </w:r>
    </w:p>
  </w:footnote>
  <w:footnote w:id="670">
    <w:p w14:paraId="753BFFFD">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kern w:val="0"/>
          <w:sz w:val="21"/>
          <w:szCs w:val="21"/>
        </w:rPr>
        <w:t>公元前四世纪许多重要的希腊哲学家，特别是柏拉图(Plato)和色诺芬(Xenophon)，在他们的著作中讨论了分工的不同方面。</w:t>
      </w:r>
    </w:p>
  </w:footnote>
  <w:footnote w:id="671">
    <w:p w14:paraId="7E363DE1">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主要指杨格（Allyn Abbott Young）、卡尔多（Nicholas </w:t>
      </w:r>
      <w:r>
        <w:rPr>
          <w:rFonts w:hint="eastAsia" w:ascii="宋体" w:hAnsi="宋体" w:eastAsia="宋体" w:cs="宋体"/>
          <w:kern w:val="0"/>
          <w:sz w:val="21"/>
          <w:szCs w:val="21"/>
        </w:rPr>
        <w:t>Kaldor</w:t>
      </w:r>
      <w:r>
        <w:rPr>
          <w:rFonts w:hint="eastAsia" w:ascii="宋体" w:hAnsi="宋体" w:eastAsia="宋体" w:cs="宋体"/>
          <w:sz w:val="21"/>
          <w:szCs w:val="21"/>
        </w:rPr>
        <w:t>）、杨小凯等学者。</w:t>
      </w:r>
    </w:p>
  </w:footnote>
  <w:footnote w:id="672">
    <w:p w14:paraId="484F4B9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《马克思恩格斯文集》第5卷，北京：人民出版社，2009年，第56页。</w:t>
      </w:r>
    </w:p>
  </w:footnote>
  <w:footnote w:id="673">
    <w:p w14:paraId="2A29AEC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《马克思恩格斯文集》第4卷，北京：人民出版社，2009年，第179页、182页、185页。</w:t>
      </w:r>
    </w:p>
  </w:footnote>
  <w:footnote w:id="674">
    <w:p w14:paraId="3980079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《马克思恩格斯文集》第1卷，北京：人民出版社，2009年，第627页。</w:t>
      </w:r>
    </w:p>
  </w:footnote>
  <w:footnote w:id="675">
    <w:p w14:paraId="227EA32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《马克思恩格斯文集》第5卷，北京：人民出版社，2009年，第512页。</w:t>
      </w:r>
    </w:p>
  </w:footnote>
  <w:footnote w:id="676">
    <w:p w14:paraId="1028347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kern w:val="0"/>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《马克思恩格斯文集》第5卷，北京：人民出版社，2009年，第519-520页。</w:t>
      </w:r>
    </w:p>
  </w:footnote>
  <w:footnote w:id="677">
    <w:p w14:paraId="5BC3CB2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《列宁全集》第3卷，北京：人民出版社，2013年，第19 页。</w:t>
      </w:r>
    </w:p>
  </w:footnote>
  <w:footnote w:id="678">
    <w:p w14:paraId="317FF4D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highlight w:val="yellow"/>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《列宁全集》第1卷，北京：人民出版社，2013年，第78-79 页。</w:t>
      </w:r>
    </w:p>
  </w:footnote>
  <w:footnote w:id="679">
    <w:p w14:paraId="16BC9B23">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kern w:val="0"/>
          <w:sz w:val="21"/>
          <w:szCs w:val="21"/>
        </w:rPr>
      </w:pPr>
      <w:r>
        <w:rPr>
          <w:rStyle w:val="20"/>
          <w:rFonts w:hint="eastAsia" w:ascii="宋体" w:hAnsi="宋体" w:eastAsia="宋体" w:cs="宋体"/>
          <w:sz w:val="21"/>
          <w:szCs w:val="21"/>
        </w:rPr>
        <w:footnoteRef/>
      </w:r>
      <w:r>
        <w:rPr>
          <w:rFonts w:hint="eastAsia" w:ascii="宋体" w:hAnsi="宋体" w:eastAsia="宋体" w:cs="宋体"/>
          <w:kern w:val="0"/>
          <w:sz w:val="21"/>
          <w:szCs w:val="21"/>
        </w:rPr>
        <w:t xml:space="preserve"> </w:t>
      </w:r>
      <w:r>
        <w:rPr>
          <w:rFonts w:hint="eastAsia" w:ascii="宋体" w:hAnsi="宋体" w:eastAsia="宋体" w:cs="宋体"/>
          <w:sz w:val="21"/>
          <w:szCs w:val="21"/>
        </w:rPr>
        <w:t>《马克思恩格斯文集》</w:t>
      </w:r>
      <w:r>
        <w:rPr>
          <w:rFonts w:hint="eastAsia" w:ascii="宋体" w:hAnsi="宋体" w:eastAsia="宋体" w:cs="宋体"/>
          <w:kern w:val="0"/>
          <w:sz w:val="21"/>
          <w:szCs w:val="21"/>
        </w:rPr>
        <w:t>第5卷，北京：人民出版社，2009年，第410-411页。</w:t>
      </w:r>
    </w:p>
  </w:footnote>
  <w:footnote w:id="680">
    <w:p w14:paraId="6402659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《马克思恩格斯全集》第32卷，北京：人民出版社，1998年，第304页。</w:t>
      </w:r>
    </w:p>
  </w:footnote>
  <w:footnote w:id="681">
    <w:p w14:paraId="5D3997A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《马克思恩格斯全集》第32卷，北京：人民出版社，1998年，第308页。</w:t>
      </w:r>
    </w:p>
  </w:footnote>
  <w:footnote w:id="682">
    <w:p w14:paraId="082FD5D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李琼：《劳动分工与企业起源》，《教学与研究》2001年第2期。</w:t>
      </w:r>
    </w:p>
  </w:footnote>
  <w:footnote w:id="683">
    <w:p w14:paraId="610E48A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《马克思恩格斯文集》第1卷，北京：人民出版社，2009年，第520页。</w:t>
      </w:r>
    </w:p>
  </w:footnote>
  <w:footnote w:id="684">
    <w:p w14:paraId="3D3106B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《马克思恩格斯文集》第10卷，北京：人民出版社，2009年，第596页。</w:t>
      </w:r>
    </w:p>
  </w:footnote>
  <w:footnote w:id="685">
    <w:p w14:paraId="1B491D6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《马克思恩格斯文集》第1卷，北京：人民出版社，2009年，第520页。</w:t>
      </w:r>
    </w:p>
  </w:footnote>
  <w:footnote w:id="686">
    <w:p w14:paraId="10F21EF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《马克思恩格斯文集》第5卷，北京：人民出版社，2009年，第393-394页。</w:t>
      </w:r>
    </w:p>
  </w:footnote>
  <w:footnote w:id="687">
    <w:p w14:paraId="535F990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《马克思恩格斯文集》第5卷，北京：人民出版社，2009年，第381-382页。</w:t>
      </w:r>
    </w:p>
  </w:footnote>
  <w:footnote w:id="688">
    <w:p w14:paraId="22C392C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《马克思恩格斯文集》第5卷，北京：人民出版社，2009年，第393页。</w:t>
      </w:r>
    </w:p>
  </w:footnote>
  <w:footnote w:id="689">
    <w:p w14:paraId="5BD96722">
      <w:pPr>
        <w:pStyle w:val="11"/>
        <w:keepNext w:val="0"/>
        <w:pageBreakBefore w:val="0"/>
        <w:kinsoku/>
        <w:overflowPunct/>
        <w:topLinePunct w:val="0"/>
        <w:bidi w:val="0"/>
        <w:adjustRightIn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《马克思恩格斯文集》第5卷，北京：人民出版社，2009年，第395页。</w:t>
      </w:r>
    </w:p>
  </w:footnote>
  <w:footnote w:id="690">
    <w:p w14:paraId="0A0C0048">
      <w:pPr>
        <w:keepNext w:val="0"/>
        <w:pageBreakBefore w:val="0"/>
        <w:kinsoku/>
        <w:overflowPunct/>
        <w:topLinePunct w:val="0"/>
        <w:autoSpaceDE w:val="0"/>
        <w:autoSpaceDN w:val="0"/>
        <w:bidi w:val="0"/>
        <w:adjustRightInd w:val="0"/>
        <w:snapToGrid w:val="0"/>
        <w:spacing w:line="240" w:lineRule="auto"/>
        <w:ind w:left="0" w:leftChars="0" w:right="0" w:firstLine="0" w:firstLineChars="0"/>
        <w:jc w:val="left"/>
        <w:textAlignment w:val="auto"/>
        <w:rPr>
          <w:rFonts w:hint="eastAsia" w:ascii="宋体" w:hAnsi="宋体" w:eastAsia="宋体" w:cs="宋体"/>
          <w:kern w:val="0"/>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《马克思恩格斯文集》第1卷，北京：人民出版社，2009年，第521页。</w:t>
      </w:r>
    </w:p>
  </w:footnote>
  <w:footnote w:id="691">
    <w:p w14:paraId="29727293">
      <w:pPr>
        <w:pStyle w:val="11"/>
        <w:keepNext w:val="0"/>
        <w:pageBreakBefore w:val="0"/>
        <w:kinsoku/>
        <w:overflowPunct/>
        <w:topLinePunct w:val="0"/>
        <w:bidi w:val="0"/>
        <w:adjustRightIn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《马克思恩格斯文集》第5卷，北京：人民出版社，2009年，第417页。</w:t>
      </w:r>
    </w:p>
  </w:footnote>
  <w:footnote w:id="692">
    <w:p w14:paraId="01DC11E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《马克思恩格斯文集》第8卷，北京：人民出版社，2009年，第33页,。</w:t>
      </w:r>
    </w:p>
  </w:footnote>
  <w:footnote w:id="693">
    <w:p w14:paraId="0C43724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《马克思恩格斯文集》第5卷，北京：人民出版社，2009年，第645页。</w:t>
      </w:r>
    </w:p>
  </w:footnote>
  <w:footnote w:id="694">
    <w:p w14:paraId="74E3E22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《马克思恩格斯文集》第5卷，北京：人民出版社，2009年，第645页。</w:t>
      </w:r>
    </w:p>
  </w:footnote>
  <w:footnote w:id="695">
    <w:p w14:paraId="459FBEB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《列宁全集》第27卷，北京：人民出版社，2017年，第376页。</w:t>
      </w:r>
    </w:p>
  </w:footnote>
  <w:footnote w:id="696">
    <w:p w14:paraId="565C093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《列宁全集》第27卷，北京：人民出版社，2017年，第381页。</w:t>
      </w:r>
    </w:p>
  </w:footnote>
  <w:footnote w:id="697">
    <w:p w14:paraId="046ADC9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《马克思恩格斯全集》第31卷，北京：人民出版社，1998年，第21页。 </w:t>
      </w:r>
    </w:p>
  </w:footnote>
  <w:footnote w:id="698">
    <w:p w14:paraId="5CA62512">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333333"/>
          <w:sz w:val="21"/>
          <w:szCs w:val="21"/>
          <w:shd w:val="clear" w:color="auto" w:fill="FFFFFF"/>
        </w:rPr>
        <w:t xml:space="preserve"> 参见：王虎学：《“真正的分工”的历史生成及其内在意蕴——基于&lt;德意志意识形态&gt;的文本考察》，《哲学研究》2016年第11期；柯萌：《马克思分工理论的两重语境及其生成逻辑》，《高校马克思主义理论研究》2017年第2期。</w:t>
      </w:r>
    </w:p>
  </w:footnote>
  <w:footnote w:id="699">
    <w:p w14:paraId="51CF18AA">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333333"/>
          <w:sz w:val="21"/>
          <w:szCs w:val="21"/>
          <w:shd w:val="clear" w:color="auto" w:fill="FFFFFF"/>
        </w:rPr>
        <w:t xml:space="preserve"> 参见：刘明国：《分工-交换文献综述——基于经济史和经济思想史演变视角》，《上海商学院学报》2019年第5期</w:t>
      </w:r>
      <w:r>
        <w:rPr>
          <w:rFonts w:hint="eastAsia" w:ascii="宋体" w:hAnsi="宋体" w:eastAsia="宋体" w:cs="宋体"/>
          <w:sz w:val="21"/>
          <w:szCs w:val="21"/>
        </w:rPr>
        <w:t>；</w:t>
      </w:r>
      <w:r>
        <w:rPr>
          <w:rFonts w:hint="eastAsia" w:ascii="宋体" w:hAnsi="宋体" w:eastAsia="宋体" w:cs="宋体"/>
          <w:sz w:val="21"/>
          <w:szCs w:val="21"/>
          <w:shd w:val="clear" w:color="auto" w:fill="FFFFFF"/>
        </w:rPr>
        <w:t>赵明亮：《分工理论:从古希腊思想到新国际体系的研究述评》，《产经评论》2010年第3期；林金忠：《分工理论的历史演变与消失——兼论马克思对分工理论的贡献》，《中国经济问题》2007年第2期。</w:t>
      </w:r>
    </w:p>
  </w:footnote>
  <w:footnote w:id="700">
    <w:p w14:paraId="25B3D513">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Giovanni Bonifati, Towards a Critical Ontology of Socioeconomic Transformation Processes: Marx’s Contribution, </w:t>
      </w:r>
      <w:r>
        <w:rPr>
          <w:rFonts w:hint="eastAsia" w:ascii="宋体" w:hAnsi="宋体" w:eastAsia="宋体" w:cs="宋体"/>
          <w:i/>
          <w:sz w:val="21"/>
          <w:szCs w:val="21"/>
        </w:rPr>
        <w:t>Cambridge Journal of Economics</w:t>
      </w:r>
      <w:r>
        <w:rPr>
          <w:rFonts w:hint="eastAsia" w:ascii="宋体" w:hAnsi="宋体" w:eastAsia="宋体" w:cs="宋体"/>
          <w:sz w:val="21"/>
          <w:szCs w:val="21"/>
        </w:rPr>
        <w:t>, 2020, Vol. 44, No. 5.</w:t>
      </w:r>
    </w:p>
  </w:footnote>
  <w:footnote w:id="701">
    <w:p w14:paraId="7743EFF1">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参见：谢长安、程恩富：《分工深化论:五次社会大分工与部门内分工探析》，《马克思主义研究》2016年第12期。</w:t>
      </w:r>
      <w:r>
        <w:rPr>
          <w:rFonts w:hint="eastAsia" w:ascii="宋体" w:hAnsi="宋体" w:eastAsia="宋体" w:cs="宋体"/>
          <w:sz w:val="21"/>
          <w:szCs w:val="21"/>
          <w:shd w:val="clear" w:color="auto" w:fill="FFFFFF"/>
        </w:rPr>
        <w:t>王虎学、万资姿：《马克思分工思想的双重逻辑》，《学术研究》2012年第6期；钱书法、李炳炎、崔向阳：《马克思社会分工制度理论研析:一个视角和两个维度》，《经济学家》2011年第6期。</w:t>
      </w:r>
    </w:p>
  </w:footnote>
  <w:footnote w:id="702">
    <w:p w14:paraId="584D91C1">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shd w:val="clear" w:color="auto" w:fill="FFFFFF"/>
        </w:rPr>
        <w:t xml:space="preserve"> 参见：李翀：《马克思分工理论争议问题研究》，《政治经济学报》2020年第3期；尹才祥：《马克思主义分工理论的思想精髓及其时代价值》，《南京师大学报》(社会科学版)，2016年第6期。</w:t>
      </w:r>
    </w:p>
  </w:footnote>
  <w:footnote w:id="703">
    <w:p w14:paraId="36A9236C">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参见：</w:t>
      </w:r>
      <w:r>
        <w:rPr>
          <w:rFonts w:hint="eastAsia" w:ascii="宋体" w:hAnsi="宋体" w:eastAsia="宋体" w:cs="宋体"/>
          <w:sz w:val="21"/>
          <w:szCs w:val="21"/>
          <w:shd w:val="clear" w:color="auto" w:fill="FFFFFF"/>
        </w:rPr>
        <w:t xml:space="preserve">朱富强：《如何看待异化与分工之关系:基于马克思异化观的四层次分析框架》，《天津社会科学》2018年第5期；宣杰、吴大华：《分工、劳动异化与制度批判》，《宁夏社会科学》2017年第1期; </w:t>
      </w:r>
      <w:r>
        <w:rPr>
          <w:rFonts w:hint="eastAsia" w:ascii="宋体" w:hAnsi="宋体" w:eastAsia="宋体" w:cs="宋体"/>
          <w:sz w:val="21"/>
          <w:szCs w:val="21"/>
        </w:rPr>
        <w:t xml:space="preserve">Görkem GİRAY, </w:t>
      </w:r>
      <w:r>
        <w:rPr>
          <w:rFonts w:hint="eastAsia" w:ascii="宋体" w:hAnsi="宋体" w:eastAsia="宋体" w:cs="宋体"/>
          <w:sz w:val="21"/>
          <w:szCs w:val="21"/>
          <w:shd w:val="clear" w:color="auto" w:fill="FFFFFF"/>
        </w:rPr>
        <w:t xml:space="preserve">The Foundations of Marx's Theory of Alienation: Marx's Critique of his Predecessors and Alienation Labor, </w:t>
      </w:r>
      <w:r>
        <w:rPr>
          <w:rFonts w:hint="eastAsia" w:ascii="宋体" w:hAnsi="宋体" w:eastAsia="宋体" w:cs="宋体"/>
          <w:i/>
          <w:sz w:val="21"/>
          <w:szCs w:val="21"/>
          <w:shd w:val="clear" w:color="auto" w:fill="FFFFFF"/>
        </w:rPr>
        <w:t>Dokuz Eylul University Journal of Graduate School of Social Sciences</w:t>
      </w:r>
      <w:r>
        <w:rPr>
          <w:rFonts w:hint="eastAsia" w:ascii="宋体" w:hAnsi="宋体" w:eastAsia="宋体" w:cs="宋体"/>
          <w:sz w:val="21"/>
          <w:szCs w:val="21"/>
          <w:shd w:val="clear" w:color="auto" w:fill="FFFFFF"/>
        </w:rPr>
        <w:t>, 2022,Vol. 24, No. 4.</w:t>
      </w:r>
    </w:p>
  </w:footnote>
  <w:footnote w:id="704">
    <w:p w14:paraId="3E58D846">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参见：</w:t>
      </w:r>
      <w:r>
        <w:rPr>
          <w:rFonts w:hint="eastAsia" w:ascii="宋体" w:hAnsi="宋体" w:eastAsia="宋体" w:cs="宋体"/>
          <w:color w:val="333333"/>
          <w:sz w:val="21"/>
          <w:szCs w:val="21"/>
          <w:shd w:val="clear" w:color="auto" w:fill="FFFFFF"/>
        </w:rPr>
        <w:t>王芳、于少青：《“互联网+”的逻辑转变与共产主义道路旨向——对&lt;德意志意识形态&gt;中分工与人的发展理论的思考》，《</w:t>
      </w:r>
      <w:r>
        <w:rPr>
          <w:rFonts w:hint="eastAsia" w:ascii="宋体" w:hAnsi="宋体" w:eastAsia="宋体" w:cs="宋体"/>
          <w:sz w:val="21"/>
          <w:szCs w:val="21"/>
        </w:rPr>
        <w:t>毛泽东邓小平理论研究</w:t>
      </w:r>
      <w:r>
        <w:rPr>
          <w:rFonts w:hint="eastAsia" w:ascii="宋体" w:hAnsi="宋体" w:eastAsia="宋体" w:cs="宋体"/>
          <w:color w:val="333333"/>
          <w:sz w:val="21"/>
          <w:szCs w:val="21"/>
          <w:shd w:val="clear" w:color="auto" w:fill="FFFFFF"/>
        </w:rPr>
        <w:t>》</w:t>
      </w:r>
      <w:r>
        <w:rPr>
          <w:rFonts w:hint="eastAsia" w:ascii="宋体" w:hAnsi="宋体" w:eastAsia="宋体" w:cs="宋体"/>
          <w:sz w:val="21"/>
          <w:szCs w:val="21"/>
        </w:rPr>
        <w:t>2018年第2期；张爱华、邓小伟：《&lt;资本论&gt;中的分工与人的发展思想探析》，《马克思主义与现实》2010年第4期。</w:t>
      </w:r>
    </w:p>
  </w:footnote>
  <w:footnote w:id="705">
    <w:p w14:paraId="586FF37A">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shd w:val="clear" w:color="auto" w:fill="FFFFFF"/>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参见：</w:t>
      </w:r>
      <w:r>
        <w:rPr>
          <w:rFonts w:hint="eastAsia" w:ascii="宋体" w:hAnsi="宋体" w:eastAsia="宋体" w:cs="宋体"/>
          <w:color w:val="333333"/>
          <w:sz w:val="21"/>
          <w:szCs w:val="21"/>
          <w:shd w:val="clear" w:color="auto" w:fill="FFFFFF"/>
        </w:rPr>
        <w:t>兰洋：《重思马克思思想中的“斯密阶段”——从“自然秩序”到“资本逻辑”》，《教学与研究》</w:t>
      </w:r>
      <w:r>
        <w:rPr>
          <w:rFonts w:hint="eastAsia" w:ascii="宋体" w:hAnsi="宋体" w:eastAsia="宋体" w:cs="宋体"/>
          <w:sz w:val="21"/>
          <w:szCs w:val="21"/>
        </w:rPr>
        <w:t>2021年第10期；丁忠锋、张正萍：《亚当·斯密与卡尔·马克思:劳动分工学说之比较》，《浙江社会科学》，2016年第5期；</w:t>
      </w:r>
      <w:r>
        <w:rPr>
          <w:rFonts w:hint="eastAsia" w:ascii="宋体" w:hAnsi="宋体" w:eastAsia="宋体" w:cs="宋体"/>
          <w:sz w:val="21"/>
          <w:szCs w:val="21"/>
          <w:shd w:val="clear" w:color="auto" w:fill="FFFFFF"/>
        </w:rPr>
        <w:t xml:space="preserve">P. Sai-wing Ho, Linking the insights of Smith, Marx, Young and Hirschman on the division of labour: implications for economic integration and uneven development, </w:t>
      </w:r>
      <w:r>
        <w:rPr>
          <w:rFonts w:hint="eastAsia" w:ascii="宋体" w:hAnsi="宋体" w:eastAsia="宋体" w:cs="宋体"/>
          <w:i/>
          <w:sz w:val="21"/>
          <w:szCs w:val="21"/>
          <w:shd w:val="clear" w:color="auto" w:fill="FFFFFF"/>
        </w:rPr>
        <w:t>Cambridge Journal of Economics</w:t>
      </w:r>
      <w:r>
        <w:rPr>
          <w:rFonts w:hint="eastAsia" w:ascii="宋体" w:hAnsi="宋体" w:eastAsia="宋体" w:cs="宋体"/>
          <w:sz w:val="21"/>
          <w:szCs w:val="21"/>
          <w:shd w:val="clear" w:color="auto" w:fill="FFFFFF"/>
        </w:rPr>
        <w:t>, 2016, Vol. 40, No. 3.</w:t>
      </w:r>
    </w:p>
  </w:footnote>
  <w:footnote w:id="706">
    <w:p w14:paraId="7955F44D">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乔翔：《马克思与杨小凯分工理论的简要比较与启示》，《现代经济探讨》2011年第4期。</w:t>
      </w:r>
    </w:p>
  </w:footnote>
  <w:footnote w:id="707">
    <w:p w14:paraId="06C1F131">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shd w:val="clear" w:color="auto" w:fill="FFFFFF"/>
        </w:rPr>
      </w:pPr>
      <w:r>
        <w:rPr>
          <w:rStyle w:val="20"/>
          <w:rFonts w:hint="eastAsia" w:ascii="宋体" w:hAnsi="宋体" w:eastAsia="宋体" w:cs="宋体"/>
          <w:sz w:val="21"/>
          <w:szCs w:val="21"/>
        </w:rPr>
        <w:footnoteRef/>
      </w:r>
      <w:r>
        <w:rPr>
          <w:rFonts w:hint="eastAsia" w:ascii="宋体" w:hAnsi="宋体" w:eastAsia="宋体" w:cs="宋体"/>
          <w:sz w:val="21"/>
          <w:szCs w:val="21"/>
          <w:shd w:val="clear" w:color="auto" w:fill="FFFFFF"/>
        </w:rPr>
        <w:t xml:space="preserve"> Luiz Gustavo da Cunha de Souza, Division of labour in Durkheim, Marx and Honneth,</w:t>
      </w:r>
      <w:r>
        <w:rPr>
          <w:rFonts w:hint="eastAsia" w:ascii="宋体" w:hAnsi="宋体" w:eastAsia="宋体" w:cs="宋体"/>
          <w:sz w:val="21"/>
          <w:szCs w:val="21"/>
        </w:rPr>
        <w:t xml:space="preserve"> </w:t>
      </w:r>
      <w:r>
        <w:rPr>
          <w:rFonts w:hint="eastAsia" w:ascii="宋体" w:hAnsi="宋体" w:eastAsia="宋体" w:cs="宋体"/>
          <w:i/>
          <w:sz w:val="21"/>
          <w:szCs w:val="21"/>
          <w:shd w:val="clear" w:color="auto" w:fill="FFFFFF"/>
        </w:rPr>
        <w:t>Civitas - Revista de Ciências Sociai</w:t>
      </w:r>
      <w:r>
        <w:rPr>
          <w:rFonts w:hint="eastAsia" w:ascii="宋体" w:hAnsi="宋体" w:eastAsia="宋体" w:cs="宋体"/>
          <w:sz w:val="21"/>
          <w:szCs w:val="21"/>
          <w:shd w:val="clear" w:color="auto" w:fill="FFFFFF"/>
        </w:rPr>
        <w:t>, 2018, Vol. 18 No. 3; 于琳、丁社教：《马克思与涂尔干社会分工思想谱系的异同与会通》，《江西社会科学》2020年第2期。这里需要说明的是，涂尔干对分工</w:t>
      </w:r>
      <w:r>
        <w:rPr>
          <w:rFonts w:hint="eastAsia" w:ascii="宋体" w:hAnsi="宋体" w:eastAsia="宋体" w:cs="宋体"/>
          <w:sz w:val="21"/>
          <w:szCs w:val="21"/>
        </w:rPr>
        <w:t>的理解主要聚焦于社会道德维度，对马克思与涂尔干比较文献的提及主要是为了更全面地理解马克思主义的分工理论。</w:t>
      </w:r>
    </w:p>
  </w:footnote>
  <w:footnote w:id="708">
    <w:p w14:paraId="60DBF050">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kern w:val="0"/>
          <w:sz w:val="21"/>
          <w:szCs w:val="21"/>
        </w:rPr>
        <w:t>谢富胜：《分工、技术与生产组织变迁——资本主义生产组织演变的马克思主义经济学阐释》，北京：经济科学出版社，2005年。</w:t>
      </w:r>
    </w:p>
  </w:footnote>
  <w:footnote w:id="709">
    <w:p w14:paraId="6FCFF070">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shd w:val="clear" w:color="auto" w:fill="FFFFFF"/>
        </w:rPr>
        <w:t xml:space="preserve"> Christian Fuchs, Digital Labor and Imperialism,</w:t>
      </w:r>
      <w:r>
        <w:rPr>
          <w:rFonts w:hint="eastAsia" w:ascii="宋体" w:hAnsi="宋体" w:eastAsia="宋体" w:cs="宋体"/>
          <w:sz w:val="21"/>
          <w:szCs w:val="21"/>
        </w:rPr>
        <w:t xml:space="preserve"> </w:t>
      </w:r>
      <w:r>
        <w:rPr>
          <w:rFonts w:hint="eastAsia" w:ascii="宋体" w:hAnsi="宋体" w:eastAsia="宋体" w:cs="宋体"/>
          <w:i/>
          <w:sz w:val="21"/>
          <w:szCs w:val="21"/>
          <w:shd w:val="clear" w:color="auto" w:fill="FFFFFF"/>
        </w:rPr>
        <w:t>Monthly Review</w:t>
      </w:r>
      <w:r>
        <w:rPr>
          <w:rFonts w:hint="eastAsia" w:ascii="宋体" w:hAnsi="宋体" w:eastAsia="宋体" w:cs="宋体"/>
          <w:sz w:val="21"/>
          <w:szCs w:val="21"/>
          <w:shd w:val="clear" w:color="auto" w:fill="FFFFFF"/>
        </w:rPr>
        <w:t>, 2016,Vol. 67, No. 8; 李春利、高良谋、安岗：《数字平台组织的本质及演进：基于分工视角》，《产经评论》2021年第6期。</w:t>
      </w:r>
    </w:p>
  </w:footnote>
  <w:footnote w:id="710">
    <w:p w14:paraId="05D419E1">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shd w:val="clear" w:color="auto" w:fill="FFFFFF"/>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Fiona Tregenna, The Specificity of Manufacturing in Marx’s Economic Thought</w:t>
      </w:r>
      <w:r>
        <w:rPr>
          <w:rFonts w:hint="eastAsia" w:ascii="宋体" w:hAnsi="宋体" w:eastAsia="宋体" w:cs="宋体"/>
          <w:sz w:val="21"/>
          <w:szCs w:val="21"/>
          <w:shd w:val="clear" w:color="auto" w:fill="FFFFFF"/>
        </w:rPr>
        <w:t xml:space="preserve">, </w:t>
      </w:r>
      <w:r>
        <w:rPr>
          <w:rFonts w:hint="eastAsia" w:ascii="宋体" w:hAnsi="宋体" w:eastAsia="宋体" w:cs="宋体"/>
          <w:i/>
          <w:sz w:val="21"/>
          <w:szCs w:val="21"/>
        </w:rPr>
        <w:t>European Journal of the History of Economic Thought</w:t>
      </w:r>
      <w:r>
        <w:rPr>
          <w:rFonts w:hint="eastAsia" w:ascii="宋体" w:hAnsi="宋体" w:eastAsia="宋体" w:cs="宋体"/>
          <w:sz w:val="21"/>
          <w:szCs w:val="21"/>
          <w:shd w:val="clear" w:color="auto" w:fill="FFFFFF"/>
        </w:rPr>
        <w:t xml:space="preserve">, 2013,Vol. 20, No. </w:t>
      </w:r>
      <w:r>
        <w:rPr>
          <w:rFonts w:hint="eastAsia" w:ascii="宋体" w:hAnsi="宋体" w:eastAsia="宋体" w:cs="宋体"/>
          <w:kern w:val="0"/>
          <w:sz w:val="21"/>
          <w:szCs w:val="21"/>
        </w:rPr>
        <w:t>4.</w:t>
      </w:r>
    </w:p>
  </w:footnote>
  <w:footnote w:id="711">
    <w:p w14:paraId="3CA79E7B">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shd w:val="clear" w:color="auto" w:fill="FFFFFF"/>
        </w:rPr>
        <w:t xml:space="preserve"> 李新瑜：《马克思主义理论视域下的中国制造业价值链升级研究》</w:t>
      </w:r>
      <w:r>
        <w:rPr>
          <w:rFonts w:hint="eastAsia" w:ascii="宋体" w:hAnsi="宋体" w:eastAsia="宋体" w:cs="宋体"/>
          <w:color w:val="333333"/>
          <w:sz w:val="21"/>
          <w:szCs w:val="21"/>
          <w:shd w:val="clear" w:color="auto" w:fill="FFFFFF"/>
        </w:rPr>
        <w:t>，《经济研究导刊》2019年第13期。</w:t>
      </w:r>
    </w:p>
  </w:footnote>
  <w:footnote w:id="712">
    <w:p w14:paraId="7022CDA0">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333333"/>
          <w:sz w:val="21"/>
          <w:szCs w:val="21"/>
          <w:shd w:val="clear" w:color="auto" w:fill="FFFFFF"/>
        </w:rPr>
        <w:t xml:space="preserve"> 李松龄：《马克思社会分工理论与区域平衡充分发展》，《学术探索》2021年第4期。</w:t>
      </w:r>
    </w:p>
  </w:footnote>
  <w:footnote w:id="713">
    <w:p w14:paraId="7103D407">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FF0000"/>
          <w:sz w:val="21"/>
          <w:szCs w:val="21"/>
        </w:rPr>
        <w:t>〔英〕</w:t>
      </w:r>
      <w:r>
        <w:rPr>
          <w:rFonts w:hint="eastAsia" w:ascii="宋体" w:hAnsi="宋体" w:eastAsia="宋体" w:cs="宋体"/>
          <w:sz w:val="21"/>
          <w:szCs w:val="21"/>
        </w:rPr>
        <w:t>多琳·马西：《劳动的空间分工：社会结构与生产地理学》，梁光严译，北京：北京师范大学出版社，2010年。</w:t>
      </w:r>
    </w:p>
  </w:footnote>
  <w:footnote w:id="714">
    <w:p w14:paraId="159C75CC">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Duncan Foley, Social coordination problems in classical and Marxian political economy, </w:t>
      </w:r>
      <w:r>
        <w:rPr>
          <w:rFonts w:hint="eastAsia" w:ascii="宋体" w:hAnsi="宋体" w:eastAsia="宋体" w:cs="宋体"/>
          <w:i/>
          <w:sz w:val="21"/>
          <w:szCs w:val="21"/>
        </w:rPr>
        <w:t>Review of Social Economy</w:t>
      </w:r>
      <w:r>
        <w:rPr>
          <w:rFonts w:hint="eastAsia" w:ascii="宋体" w:hAnsi="宋体" w:eastAsia="宋体" w:cs="宋体"/>
          <w:sz w:val="21"/>
          <w:szCs w:val="21"/>
        </w:rPr>
        <w:t>, 2020, Vol. 78, No. 1.</w:t>
      </w:r>
    </w:p>
  </w:footnote>
  <w:footnote w:id="715">
    <w:p w14:paraId="7E7DC018">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Carlos J. Ricoy, Marx on division of labour, mechanization and technical progress, </w:t>
      </w:r>
      <w:r>
        <w:rPr>
          <w:rFonts w:hint="eastAsia" w:ascii="宋体" w:hAnsi="宋体" w:eastAsia="宋体" w:cs="宋体"/>
          <w:i/>
          <w:sz w:val="21"/>
          <w:szCs w:val="21"/>
        </w:rPr>
        <w:t>European Journal of the History of Economic Thought</w:t>
      </w:r>
      <w:r>
        <w:rPr>
          <w:rFonts w:hint="eastAsia" w:ascii="宋体" w:hAnsi="宋体" w:eastAsia="宋体" w:cs="宋体"/>
          <w:sz w:val="21"/>
          <w:szCs w:val="21"/>
        </w:rPr>
        <w:t>, 2003, Vol.10, No.1.</w:t>
      </w:r>
    </w:p>
  </w:footnote>
  <w:footnote w:id="716">
    <w:p w14:paraId="6F8EF1AD">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李直、刘越：《马克思主义视角下的当代国际分工理论：缺失、复归与融合》，《政治经济学评论》2022年第5期。</w:t>
      </w:r>
    </w:p>
  </w:footnote>
  <w:footnote w:id="717">
    <w:p w14:paraId="263611C4">
      <w:pPr>
        <w:keepNext w:val="0"/>
        <w:pageBreakBefore w:val="0"/>
        <w:kinsoku/>
        <w:overflowPunct/>
        <w:topLinePunct w:val="0"/>
        <w:bidi w:val="0"/>
        <w:adjustRightInd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Style w:val="20"/>
          <w:rFonts w:hint="eastAsia" w:ascii="宋体" w:hAnsi="宋体" w:eastAsia="宋体" w:cs="宋体"/>
          <w:sz w:val="21"/>
          <w:szCs w:val="21"/>
        </w:rPr>
        <w:t xml:space="preserve"> </w:t>
      </w:r>
      <w:r>
        <w:rPr>
          <w:rFonts w:hint="eastAsia" w:ascii="宋体" w:hAnsi="宋体" w:eastAsia="宋体" w:cs="宋体"/>
          <w:sz w:val="21"/>
          <w:szCs w:val="21"/>
          <w:shd w:val="clear" w:color="auto" w:fill="FFFFFF"/>
        </w:rPr>
        <w:t>朱燕：《马克思主义分工理论视角</w:t>
      </w:r>
      <w:r>
        <w:rPr>
          <w:rFonts w:hint="eastAsia" w:ascii="宋体" w:hAnsi="宋体" w:eastAsia="宋体" w:cs="宋体"/>
          <w:color w:val="333333"/>
          <w:sz w:val="21"/>
          <w:szCs w:val="21"/>
          <w:shd w:val="clear" w:color="auto" w:fill="FFFFFF"/>
        </w:rPr>
        <w:t>下两种经济全球化模式比较研究</w:t>
      </w:r>
      <w:r>
        <w:rPr>
          <w:rFonts w:hint="eastAsia" w:ascii="宋体" w:hAnsi="宋体" w:eastAsia="宋体" w:cs="宋体"/>
          <w:sz w:val="21"/>
          <w:szCs w:val="21"/>
          <w:shd w:val="clear" w:color="auto" w:fill="FFFFFF"/>
        </w:rPr>
        <w:t>》</w:t>
      </w:r>
      <w:r>
        <w:rPr>
          <w:rFonts w:hint="eastAsia" w:ascii="宋体" w:hAnsi="宋体" w:eastAsia="宋体" w:cs="宋体"/>
          <w:color w:val="333333"/>
          <w:sz w:val="21"/>
          <w:szCs w:val="21"/>
          <w:shd w:val="clear" w:color="auto" w:fill="FFFFFF"/>
        </w:rPr>
        <w:t>，《马克思主义研究》2017年第10期。</w:t>
      </w:r>
    </w:p>
  </w:footnote>
  <w:footnote w:id="718">
    <w:p w14:paraId="73E0D34A">
      <w:pPr>
        <w:keepNext w:val="0"/>
        <w:pageBreakBefore w:val="0"/>
        <w:kinsoku/>
        <w:overflowPunct/>
        <w:topLinePunct w:val="0"/>
        <w:autoSpaceDE w:val="0"/>
        <w:autoSpaceDN w:val="0"/>
        <w:bidi w:val="0"/>
        <w:adjustRightInd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000000"/>
          <w:spacing w:val="9"/>
          <w:sz w:val="21"/>
          <w:szCs w:val="21"/>
        </w:rPr>
        <w:t xml:space="preserve"> </w:t>
      </w:r>
      <w:r>
        <w:rPr>
          <w:rFonts w:hint="eastAsia" w:ascii="宋体" w:hAnsi="宋体" w:eastAsia="宋体" w:cs="宋体"/>
          <w:color w:val="FF0000"/>
          <w:spacing w:val="9"/>
          <w:sz w:val="21"/>
          <w:szCs w:val="21"/>
        </w:rPr>
        <w:t>〔</w:t>
      </w:r>
      <w:r>
        <w:rPr>
          <w:rFonts w:hint="eastAsia" w:ascii="宋体" w:hAnsi="宋体" w:eastAsia="宋体" w:cs="宋体"/>
          <w:color w:val="FF0000"/>
          <w:sz w:val="21"/>
          <w:szCs w:val="21"/>
        </w:rPr>
        <w:t>埃及</w:t>
      </w:r>
      <w:r>
        <w:rPr>
          <w:rFonts w:hint="eastAsia" w:ascii="宋体" w:hAnsi="宋体" w:eastAsia="宋体" w:cs="宋体"/>
          <w:color w:val="FF0000"/>
          <w:spacing w:val="9"/>
          <w:sz w:val="21"/>
          <w:szCs w:val="21"/>
        </w:rPr>
        <w:t>〕</w:t>
      </w:r>
      <w:r>
        <w:rPr>
          <w:rFonts w:hint="eastAsia" w:ascii="宋体" w:hAnsi="宋体" w:eastAsia="宋体" w:cs="宋体"/>
          <w:sz w:val="21"/>
          <w:szCs w:val="21"/>
        </w:rPr>
        <w:t>萨米尔·阿明：《世界规模的积累：欠发达理论批判》，杨明柱等译，北京：社会科学文献出版社，2016年，第7页。</w:t>
      </w:r>
    </w:p>
  </w:footnote>
  <w:footnote w:id="719">
    <w:p w14:paraId="1102990E">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参见</w:t>
      </w:r>
      <w:r>
        <w:rPr>
          <w:rFonts w:hint="eastAsia" w:ascii="宋体" w:hAnsi="宋体" w:eastAsia="宋体" w:cs="宋体"/>
          <w:color w:val="FF0000"/>
          <w:sz w:val="21"/>
          <w:szCs w:val="21"/>
        </w:rPr>
        <w:t>〔阿根廷〕</w:t>
      </w:r>
      <w:r>
        <w:rPr>
          <w:rFonts w:hint="eastAsia" w:ascii="宋体" w:hAnsi="宋体" w:eastAsia="宋体" w:cs="宋体"/>
          <w:sz w:val="21"/>
          <w:szCs w:val="21"/>
        </w:rPr>
        <w:t>劳尔·普雷维什：《外围资本主义：危机与改造》，苏振兴等译，北京：商务印书馆，2015年；</w:t>
      </w:r>
      <w:r>
        <w:rPr>
          <w:rFonts w:hint="eastAsia" w:ascii="宋体" w:hAnsi="宋体" w:eastAsia="宋体" w:cs="宋体"/>
          <w:color w:val="FF0000"/>
          <w:sz w:val="21"/>
          <w:szCs w:val="21"/>
        </w:rPr>
        <w:t>〔巴西〕</w:t>
      </w:r>
      <w:r>
        <w:rPr>
          <w:rFonts w:hint="eastAsia" w:ascii="宋体" w:hAnsi="宋体" w:eastAsia="宋体" w:cs="宋体"/>
          <w:sz w:val="21"/>
          <w:szCs w:val="21"/>
        </w:rPr>
        <w:t>特奥托尼奥·多斯桑托斯：《帝国主义与依附》，杨衍永等译，北京：社会科学文献出版社，2017年；</w:t>
      </w:r>
      <w:r>
        <w:rPr>
          <w:rFonts w:hint="eastAsia" w:ascii="宋体" w:hAnsi="宋体" w:eastAsia="宋体" w:cs="宋体"/>
          <w:color w:val="FF0000"/>
          <w:sz w:val="21"/>
          <w:szCs w:val="21"/>
        </w:rPr>
        <w:t>〔美〕</w:t>
      </w:r>
      <w:r>
        <w:rPr>
          <w:rFonts w:hint="eastAsia" w:ascii="宋体" w:hAnsi="宋体" w:eastAsia="宋体" w:cs="宋体"/>
          <w:sz w:val="21"/>
          <w:szCs w:val="21"/>
        </w:rPr>
        <w:t>伊曼纽尔·沃勒斯坦：《现代世界体系》（四卷本），吴英译，北京：社会科学文献出版社，2013年。</w:t>
      </w:r>
    </w:p>
  </w:footnote>
  <w:footnote w:id="720">
    <w:p w14:paraId="7257807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color w:val="000000"/>
          <w:spacing w:val="9"/>
          <w:sz w:val="21"/>
          <w:szCs w:val="21"/>
        </w:rPr>
        <w:t xml:space="preserve"> </w:t>
      </w:r>
      <w:r>
        <w:rPr>
          <w:rFonts w:hint="eastAsia" w:ascii="宋体" w:hAnsi="宋体" w:eastAsia="宋体" w:cs="宋体"/>
          <w:sz w:val="21"/>
          <w:szCs w:val="21"/>
        </w:rPr>
        <w:t>卢锋：《产品内分工》，《经济学季刊》2004年第1期。</w:t>
      </w:r>
    </w:p>
  </w:footnote>
  <w:footnote w:id="721">
    <w:p w14:paraId="25C4AD8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宋宪萍、贾芸菲：《全球价值链的深度嵌入与技术进步关系的机理与测算》，《经济纵横》2019年第12期。</w:t>
      </w:r>
    </w:p>
  </w:footnote>
  <w:footnote w:id="722">
    <w:p w14:paraId="7ACEF12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宋宪萍：《数据资本的利润来源及其极化效应》，《马克思主义研究》2022年第5期。</w:t>
      </w:r>
    </w:p>
  </w:footnote>
  <w:footnote w:id="723">
    <w:p w14:paraId="198A086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b/>
          <w:bCs/>
          <w:sz w:val="21"/>
          <w:szCs w:val="21"/>
        </w:rPr>
        <w:t>作者简介：</w:t>
      </w:r>
      <w:r>
        <w:rPr>
          <w:rFonts w:hint="eastAsia" w:ascii="宋体" w:hAnsi="宋体" w:eastAsia="宋体" w:cs="宋体"/>
          <w:sz w:val="21"/>
          <w:szCs w:val="21"/>
        </w:rPr>
        <w:t>程恩富，中国社会科学院学部委员、世界政治经济学学会会长；陈健，上海东华大学马克思主义学院副教授，中国社会科学院马克思主义研究院高级访问学者</w:t>
      </w:r>
    </w:p>
  </w:footnote>
  <w:footnote w:id="724">
    <w:p w14:paraId="1FB975A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美国财政部长珍妮特·耶伦在中华人民共和国北京举行的新闻发布会上的讲话》，美国驻华大使馆和领事馆，https://china.usembassy-china.org.cn/zh/remarks-by-secretary-of-the-treasury-janet-l-yellen-at-a-press-conference-in-beijing-the-peoples-republic-of-china/.2024年4月9 日。</w:t>
      </w:r>
    </w:p>
  </w:footnote>
  <w:footnote w:id="725">
    <w:p w14:paraId="064EFCB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《安东尼·布林肯国务卿在北京举行的记者会上发表讲话》，美国驻华大使馆和领事馆，https://china.usembassy-china.org.cn/zh/secretary-antony-j-blinken-at-a-press-availability-12/.2024年4月26日。</w:t>
      </w:r>
    </w:p>
  </w:footnote>
  <w:footnote w:id="726">
    <w:p w14:paraId="20AE5EF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董咏梅、陈颖婷：《什么是产能利用率》，国家统计局，https://www.stats.gov.cn/zs/tjws/tjzb/202301/t20230101_1903791.html.2023年1月1日。</w:t>
      </w:r>
    </w:p>
  </w:footnote>
  <w:footnote w:id="727">
    <w:p w14:paraId="6570E5FF">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仲音：《中国优质产能推动全球低碳转型——客观辩证看待产能问题之二》，《人民日报》2024年5 月4日。</w:t>
      </w:r>
    </w:p>
  </w:footnote>
  <w:footnote w:id="728">
    <w:p w14:paraId="11C3D07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《2024年4月9日外交部发言人毛宁主持例行记者会》，中国人民共和国外交部，</w:t>
      </w:r>
    </w:p>
    <w:p w14:paraId="2809A44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https://www.fmprc.gov.cn/fyrbt_673021/202404/t20240409_11278626.shtml. 2024年4月9日。</w:t>
      </w:r>
    </w:p>
  </w:footnote>
  <w:footnote w:id="729">
    <w:p w14:paraId="7F7CA1D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国家发展改革委微信公众号：《以“产能过剩”之名行贸易保护主义之实损害全球贸易和经济增长》，2024年5月3日。</w:t>
      </w:r>
    </w:p>
  </w:footnote>
  <w:footnote w:id="730">
    <w:p w14:paraId="690AA5D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仲音：《中国优质产能推动全球低碳转型——客观辩证看待产能问题之二》，《人民日报》2024年5 月4日。</w:t>
      </w:r>
    </w:p>
  </w:footnote>
  <w:footnote w:id="731">
    <w:p w14:paraId="0623D97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金观平：《“中国产能过剩论”实为贸易保护老调重弹》，《经济日报》2024年4月28日。</w:t>
      </w:r>
    </w:p>
  </w:footnote>
  <w:footnote w:id="732">
    <w:p w14:paraId="07941E7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《美西方指责中国“产能过剩”违背事实和产业逻辑》，新华网，http://www.news.cn/world/20240425/02ee0d5be1074e33855fa0f9bff9e9fa/c.html#.2024年4月25日。</w:t>
      </w:r>
    </w:p>
  </w:footnote>
  <w:footnote w:id="733">
    <w:p w14:paraId="5DB2A70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《国际人士驳斥“产能过剩论” 中国新能源产品为全球绿色转型贡献巨大》，央视网，https://news.cctv.com/2024/04/27/ARTIfTgwupaNJkotjwq6y2Fr240427.shtml. 2024年04月27日。</w:t>
      </w:r>
    </w:p>
  </w:footnote>
  <w:footnote w:id="734">
    <w:p w14:paraId="210B46BC">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《国际人士驳斥“产能过剩论” 中国新能源产品为全球绿色转型贡献巨大》，央视网，https://news.cctv.com/2024/04/27/ARTIfTgwupaNJkotjwq6y2Fr240427.shtml.2024年04月27日。</w:t>
      </w:r>
    </w:p>
  </w:footnote>
  <w:footnote w:id="735">
    <w:p w14:paraId="70FF49F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国家发展改革委微信公众号：《以“产能过剩”之名行贸易保护主义之实损害全球贸易和经济增长》，2024年5月3日。</w:t>
      </w:r>
    </w:p>
  </w:footnote>
  <w:footnote w:id="736">
    <w:p w14:paraId="281FAF5A">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《全球及我国新能源与智能网联汽车产业趋》，中国电动汽车百人会，势.https://www.chinaev100.com/index.php/focus/detail/1242. 2023年5月8日。</w:t>
      </w:r>
    </w:p>
  </w:footnote>
  <w:footnote w:id="737">
    <w:p w14:paraId="7C25D401">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国家发展改革委微信公众号：《以“产能过剩”之名行贸易保护主义之实损害全球贸易和经济增长》，2024年5月3日。</w:t>
      </w:r>
    </w:p>
  </w:footnote>
  <w:footnote w:id="738">
    <w:p w14:paraId="6DB08CA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《2023年我国汽车产销量首次突破3000万辆》，中华人民共和国中央人民政府，https://www.gov.cn/yaowen/liebiao/202401/content_6925448.htm#. 2024年1月11日。</w:t>
      </w:r>
    </w:p>
  </w:footnote>
  <w:footnote w:id="739">
    <w:p w14:paraId="7EC91B5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《自主品牌加速超越 重塑汽车产业格局》，新华网，http://www.news.cn/auto/20240202/50bdabc1922a44b49f3f3b3ccf2cdd41/c.html</w:t>
      </w:r>
      <w:bookmarkStart w:id="1050" w:name="_Hlk165791415"/>
      <w:r>
        <w:rPr>
          <w:rFonts w:hint="eastAsia" w:ascii="宋体" w:hAnsi="宋体" w:eastAsia="宋体" w:cs="宋体"/>
          <w:sz w:val="21"/>
          <w:szCs w:val="21"/>
        </w:rPr>
        <w:t>.</w:t>
      </w:r>
      <w:bookmarkEnd w:id="1050"/>
      <w:r>
        <w:rPr>
          <w:rFonts w:hint="eastAsia" w:ascii="宋体" w:hAnsi="宋体" w:eastAsia="宋体" w:cs="宋体"/>
          <w:sz w:val="21"/>
          <w:szCs w:val="21"/>
        </w:rPr>
        <w:t>2024年2月2日。</w:t>
      </w:r>
    </w:p>
  </w:footnote>
  <w:footnote w:id="740">
    <w:p w14:paraId="5B0636C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《外交部北美大洋洲司司长杨涛就美国国务卿布林肯访华向媒体吹风》，中国日报中文网，https://china.chinadaily.com.cn/a/202404/27/WS662c4242a3109f7860ddb447.html. 2024年4月27日。</w:t>
      </w:r>
    </w:p>
  </w:footnote>
  <w:footnote w:id="741">
    <w:p w14:paraId="6EA299D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《国际人士驳斥“产能过剩论” 中国新能源产品为全球绿色转型贡献巨大》，央视网，https://news.cctv.com/2024/04/27/ARTIfTgwupaNJkotjwq6y2Fr240427.shtml. 2024年4月27日。</w:t>
      </w:r>
    </w:p>
  </w:footnote>
  <w:footnote w:id="742">
    <w:p w14:paraId="1D33A764">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《中国优质产能让全球发展受益》，光明网，https://economy.gmw.cn/2024-04/28/content_37291013.htm. 2024年4月28日。</w:t>
      </w:r>
    </w:p>
  </w:footnote>
  <w:footnote w:id="743">
    <w:p w14:paraId="023F431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仲音：《中国优质产能推动全球低碳转型——客观辩证看待产能问题之二》，《人民日报》2024年5 月4日。</w:t>
      </w:r>
    </w:p>
  </w:footnote>
  <w:footnote w:id="744">
    <w:p w14:paraId="6122672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国务院发展研究中心课题组：《未来国际经济格局十大变化趋势》，《经济日报》2019年2月12日。</w:t>
      </w:r>
    </w:p>
  </w:footnote>
  <w:footnote w:id="745">
    <w:p w14:paraId="36391F26">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《瑞士媒体：抱怨中国“产能过剩”暴露西方的虚伪与短视》，中国新闻网，https://www.chinanews.com.cn/gj/2024/04-21/10203188.shtml. 2024年04月21日。</w:t>
      </w:r>
    </w:p>
  </w:footnote>
  <w:footnote w:id="746">
    <w:p w14:paraId="4DD7CC1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《美国又出新规：购买含中国组件电动汽车，无法享受联邦税收抵免》，观察者，https://www.guancha.cn/internation/2024_05_04_733640.shtml?s=zwyzxw.2024年5月4日。</w:t>
      </w:r>
    </w:p>
  </w:footnote>
  <w:footnote w:id="747">
    <w:p w14:paraId="5A8CB63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《美国从对华贸易战中得到了什么》，新华网，http://www.news.cn/world/20240327/d6873eb15a0f43edb3419331b3c8ea3b/c.html.2024年3月27日。</w:t>
      </w:r>
    </w:p>
  </w:footnote>
  <w:footnote w:id="748">
    <w:p w14:paraId="3130CEB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《2024年4月11日外交部发言人毛宁主持例行记者会》，中华人民共和国外交部，https://www.mfa.gov.cn/web/fyrbt_673021/jzhsl_673025/202404/t20240411_11280275.shtml.2024年4月11日。</w:t>
      </w:r>
    </w:p>
  </w:footnote>
  <w:footnote w:id="749">
    <w:p w14:paraId="32064D2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《“中国产能过剩论”为保护主义提供借口——访美国彼得森国际经济研究所高级研究员拉迪》，新华网，http://www.news.cn/world/20240420/d66fbebdbca142abad2d99b9761d1519/c.html. 2024年4月20日。</w:t>
      </w:r>
    </w:p>
  </w:footnote>
  <w:footnote w:id="750">
    <w:p w14:paraId="39D97BA0">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《国际人士驳斥“产能过剩论” 中国新能源产品为全球绿色转型贡献巨大》，央视网，https://news.cctv.com/2024/04/27/ARTIfTgwupaNJkotjwq6y2Fr240427.shtml. 2024年4月27日。</w:t>
      </w:r>
    </w:p>
  </w:footnote>
  <w:footnote w:id="751">
    <w:p w14:paraId="6FCC32D3">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国家发展改革委微信公众号：《以“产能过剩”之名行贸易保护主义之实损害全球贸易和经济增长》，2024年5月3日。</w:t>
      </w:r>
    </w:p>
  </w:footnote>
  <w:footnote w:id="752">
    <w:p w14:paraId="2CFEB4B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《美放宽电动车税收抵免限制 行业人士：拜登政府认清供应链现实》，凤凰网财经，https://finance.ifeng.com/c/8ZLxgifr3QC.2024年5月6日。</w:t>
      </w:r>
    </w:p>
  </w:footnote>
  <w:footnote w:id="753">
    <w:p w14:paraId="0955FEC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《美放宽电动车税收抵免限制 行业人士：拜登政府认清供应链现实》，凤凰网财经，https://finance.ifeng.com/c/8ZLxgifr3QC.2024年5月6日。</w:t>
      </w:r>
    </w:p>
  </w:footnote>
  <w:footnote w:id="754">
    <w:p w14:paraId="0E35DFD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shd w:val="clear" w:color="auto" w:fill="FFFFFF"/>
        </w:rPr>
        <w:t>埃里克·伯姆：《</w:t>
      </w:r>
      <w:r>
        <w:rPr>
          <w:rStyle w:val="17"/>
          <w:rFonts w:hint="eastAsia" w:ascii="宋体" w:hAnsi="宋体" w:eastAsia="宋体" w:cs="宋体"/>
          <w:b w:val="0"/>
          <w:sz w:val="21"/>
          <w:szCs w:val="21"/>
          <w:shd w:val="clear" w:color="auto" w:fill="FFFFFF"/>
        </w:rPr>
        <w:t>中国支付不到8%的关税成本，剩下的全由美方承担》，美国《理性》杂志2021年5月26日。</w:t>
      </w:r>
    </w:p>
  </w:footnote>
  <w:footnote w:id="755">
    <w:p w14:paraId="3D53E96F">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4"/>
        </w:rPr>
      </w:pPr>
      <w:r>
        <w:rPr>
          <w:rFonts w:hint="default" w:ascii="Times New Roman" w:hAnsi="Times New Roman" w:eastAsia="宋体" w:cs="Times New Roman"/>
          <w:sz w:val="21"/>
          <w:szCs w:val="24"/>
        </w:rPr>
        <w:footnoteRef/>
      </w:r>
      <w:r>
        <w:rPr>
          <w:rFonts w:hint="default" w:ascii="Times New Roman" w:hAnsi="Times New Roman" w:eastAsia="宋体" w:cs="Times New Roman"/>
          <w:sz w:val="21"/>
          <w:szCs w:val="24"/>
        </w:rPr>
        <w:t xml:space="preserve"> 本段数据来源参见国泰安（CSMAR）数据库，https://data.csmar.com/；世界不均等数据库（worldinequalitydatabase），https://wid.world/zh/data-cn/；《美国贫富差距持续扩大，基尼系数创新高》，https://cn.chinadaily.com.cn/a/202209/14/WS63218e62a310817f312edffb.html。</w:t>
      </w:r>
    </w:p>
  </w:footnote>
  <w:footnote w:id="756">
    <w:p w14:paraId="540E742C">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4"/>
        </w:rPr>
      </w:pPr>
      <w:r>
        <w:rPr>
          <w:rFonts w:hint="default" w:ascii="Times New Roman" w:hAnsi="Times New Roman" w:eastAsia="宋体" w:cs="Times New Roman"/>
          <w:sz w:val="21"/>
          <w:szCs w:val="24"/>
        </w:rPr>
        <w:footnoteRef/>
      </w:r>
      <w:r>
        <w:rPr>
          <w:rFonts w:hint="default" w:ascii="Times New Roman" w:hAnsi="Times New Roman" w:eastAsia="宋体" w:cs="Times New Roman"/>
          <w:sz w:val="21"/>
          <w:szCs w:val="24"/>
        </w:rPr>
        <w:t xml:space="preserve"> 本段数据来源参见国泰安（CSMAR）数据库，https://data.csmar.com/。</w:t>
      </w:r>
    </w:p>
  </w:footnote>
  <w:footnote w:id="757">
    <w:p w14:paraId="0C7D17E2">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4"/>
        </w:rPr>
      </w:pPr>
      <w:r>
        <w:rPr>
          <w:rFonts w:hint="default" w:ascii="Times New Roman" w:hAnsi="Times New Roman" w:eastAsia="宋体" w:cs="Times New Roman"/>
          <w:sz w:val="21"/>
          <w:szCs w:val="24"/>
        </w:rPr>
        <w:footnoteRef/>
      </w:r>
      <w:r>
        <w:rPr>
          <w:rFonts w:hint="default" w:ascii="Times New Roman" w:hAnsi="Times New Roman" w:eastAsia="宋体" w:cs="Times New Roman"/>
          <w:sz w:val="21"/>
          <w:szCs w:val="24"/>
        </w:rPr>
        <w:t xml:space="preserve"> 根据“东方财富Choice数据库”数据整理。</w:t>
      </w:r>
    </w:p>
  </w:footnote>
  <w:footnote w:id="758">
    <w:p w14:paraId="3DE05978">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4"/>
        </w:rPr>
      </w:pPr>
      <w:r>
        <w:rPr>
          <w:rFonts w:hint="default" w:ascii="Times New Roman" w:hAnsi="Times New Roman" w:eastAsia="宋体" w:cs="Times New Roman"/>
          <w:sz w:val="21"/>
          <w:szCs w:val="24"/>
        </w:rPr>
        <w:footnoteRef/>
      </w:r>
      <w:r>
        <w:rPr>
          <w:rFonts w:hint="default" w:ascii="Times New Roman" w:hAnsi="Times New Roman" w:eastAsia="宋体" w:cs="Times New Roman"/>
          <w:sz w:val="21"/>
          <w:szCs w:val="24"/>
        </w:rPr>
        <w:t xml:space="preserve"> 根据“东方财富Choice数据库”数据整理。</w:t>
      </w:r>
    </w:p>
  </w:footnote>
  <w:footnote w:id="759">
    <w:p w14:paraId="5E500C2B">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4"/>
          <w:lang w:eastAsia="zh-CN"/>
        </w:rPr>
      </w:pPr>
      <w:r>
        <w:rPr>
          <w:rFonts w:hint="default" w:ascii="Times New Roman" w:hAnsi="Times New Roman" w:eastAsia="宋体" w:cs="Times New Roman"/>
          <w:sz w:val="21"/>
          <w:szCs w:val="24"/>
        </w:rPr>
        <w:footnoteRef/>
      </w:r>
      <w:r>
        <w:rPr>
          <w:rFonts w:hint="default" w:ascii="Times New Roman" w:hAnsi="Times New Roman" w:eastAsia="宋体" w:cs="Times New Roman"/>
          <w:sz w:val="21"/>
          <w:szCs w:val="24"/>
        </w:rPr>
        <w:t>本段数据参见王守义：《经济金融化趋向及其对我国实体经济发展的启示——基于1973年—2017年美国经济发展数据的分析》，《马克思主义研究》2018年第10期；魏旭：《全球化分裂与产业链重置：动因、逻辑与中国应对》，《政治经济学研究》2023年第1期；王守义：《经济金融化趋向及其对我国实体经济发展的启示——基于1973年—2017年美国经济发展数据的分析》，《马克思主义研究》2018年第10期；国泰安数据库，https://data.csmar.com/。</w:t>
      </w:r>
    </w:p>
  </w:footnote>
  <w:footnote w:id="760">
    <w:p w14:paraId="2114F5D4">
      <w:pPr>
        <w:pStyle w:val="11"/>
        <w:keepNext w:val="0"/>
        <w:keepLines w:val="0"/>
        <w:pageBreakBefore w:val="0"/>
        <w:widowControl/>
        <w:kinsoku w:val="0"/>
        <w:wordWrap/>
        <w:overflowPunct/>
        <w:topLinePunct w:val="0"/>
        <w:bidi w:val="0"/>
        <w:adjustRightInd w:val="0"/>
        <w:snapToGrid w:val="0"/>
        <w:spacing w:line="240" w:lineRule="auto"/>
        <w:ind w:left="0" w:firstLine="0" w:firstLineChars="0"/>
        <w:textAlignment w:val="baseline"/>
        <w:rPr>
          <w:rFonts w:hint="default" w:ascii="Times New Roman" w:hAnsi="Times New Roman" w:eastAsia="宋体" w:cs="Times New Roman"/>
          <w:sz w:val="21"/>
          <w:szCs w:val="24"/>
        </w:rPr>
      </w:pPr>
      <w:r>
        <w:rPr>
          <w:rFonts w:hint="default" w:ascii="Times New Roman" w:hAnsi="Times New Roman" w:eastAsia="宋体" w:cs="Times New Roman"/>
          <w:sz w:val="21"/>
          <w:szCs w:val="24"/>
        </w:rPr>
        <w:footnoteRef/>
      </w:r>
      <w:r>
        <w:rPr>
          <w:rFonts w:hint="default" w:ascii="Times New Roman" w:hAnsi="Times New Roman" w:eastAsia="宋体" w:cs="Times New Roman"/>
          <w:sz w:val="21"/>
          <w:szCs w:val="24"/>
        </w:rPr>
        <w:t>自二战结束以来，美国、英国、日本、印度四国的GDP年均增长率（1946—2022年）分别是3.57%、2.52%、4.45%、5.26%。中国的GDP年均增长率（1953—2022年）为8.19%。数据来源：世界银行、中国国家统计局、美国经济分析局、英国统计局、经济合作与发展组织、日本内阁府。</w:t>
      </w:r>
    </w:p>
  </w:footnote>
  <w:footnote w:id="761">
    <w:p w14:paraId="4213FE71">
      <w:pPr>
        <w:pStyle w:val="11"/>
        <w:keepNext w:val="0"/>
        <w:pageBreakBefore w:val="0"/>
        <w:overflowPunct/>
        <w:topLinePunct w:val="0"/>
        <w:bidi w:val="0"/>
        <w:spacing w:line="240" w:lineRule="auto"/>
        <w:ind w:left="0" w:firstLine="0" w:firstLineChars="0"/>
      </w:pPr>
      <w:r>
        <w:rPr>
          <w:rStyle w:val="20"/>
          <w:rFonts w:ascii="宋体" w:hAnsi="宋体"/>
          <w:sz w:val="15"/>
          <w:szCs w:val="15"/>
        </w:rPr>
        <w:footnoteRef/>
      </w:r>
      <w:r>
        <w:rPr>
          <w:rFonts w:ascii="宋体" w:hAnsi="宋体"/>
          <w:sz w:val="15"/>
          <w:szCs w:val="15"/>
        </w:rPr>
        <w:t xml:space="preserve"> </w:t>
      </w:r>
      <w:r>
        <w:rPr>
          <w:rFonts w:ascii="Times New Roman" w:hAnsi="Times New Roman" w:cs="Times New Roman"/>
          <w:sz w:val="15"/>
          <w:szCs w:val="15"/>
          <w:lang w:eastAsia="zh-Hans"/>
        </w:rPr>
        <w:t>习近平：《把握新发展阶段，贯彻新发展理念，构建新发展格局》，《求是》</w:t>
      </w:r>
      <w:r>
        <w:rPr>
          <w:rFonts w:ascii="Times New Roman" w:hAnsi="Times New Roman" w:cs="Times New Roman"/>
          <w:sz w:val="15"/>
          <w:szCs w:val="15"/>
        </w:rPr>
        <w:t>，2021年</w:t>
      </w:r>
      <w:r>
        <w:rPr>
          <w:rFonts w:ascii="Times New Roman" w:hAnsi="Times New Roman" w:cs="Times New Roman"/>
          <w:sz w:val="15"/>
          <w:szCs w:val="15"/>
          <w:lang w:eastAsia="zh-Hans"/>
        </w:rPr>
        <w:t>第9期，第</w:t>
      </w:r>
      <w:r>
        <w:rPr>
          <w:rFonts w:ascii="Times New Roman" w:hAnsi="Times New Roman" w:cs="Times New Roman"/>
          <w:sz w:val="15"/>
          <w:szCs w:val="15"/>
        </w:rPr>
        <w:t>15页</w:t>
      </w:r>
      <w:r>
        <w:rPr>
          <w:rFonts w:ascii="Times New Roman" w:hAnsi="Times New Roman" w:cs="Times New Roman"/>
          <w:sz w:val="15"/>
          <w:szCs w:val="15"/>
          <w:lang w:eastAsia="zh-Hans"/>
        </w:rPr>
        <w:t>。</w:t>
      </w:r>
    </w:p>
  </w:footnote>
  <w:footnote w:id="762">
    <w:p w14:paraId="14151436">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 xml:space="preserve">如：Seton（1957），Samuelson（1971），Morishima（1973），斯蒂德曼（中译本，1991），Kliman </w:t>
      </w:r>
      <w:r>
        <w:rPr>
          <w:rFonts w:hint="eastAsia" w:ascii="Times New Roman" w:hAnsi="Times New Roman" w:cs="Times New Roman"/>
          <w:sz w:val="15"/>
          <w:szCs w:val="15"/>
        </w:rPr>
        <w:t>&amp;</w:t>
      </w:r>
      <w:r>
        <w:rPr>
          <w:rFonts w:ascii="Times New Roman" w:hAnsi="Times New Roman" w:cs="Times New Roman"/>
          <w:sz w:val="15"/>
          <w:szCs w:val="15"/>
        </w:rPr>
        <w:t xml:space="preserve"> McGlone（1999），丁堡骏（1999），白暴力（2006），荣兆梓和陈旸（2014），孟捷（2018）；Okishio（1961），Lebowitz（1976），Roemer（1977），孟捷和冯金华（2016）。</w:t>
      </w:r>
    </w:p>
  </w:footnote>
  <w:footnote w:id="763">
    <w:p w14:paraId="07B52952">
      <w:pPr>
        <w:pStyle w:val="11"/>
        <w:keepNext w:val="0"/>
        <w:pageBreakBefore w:val="0"/>
        <w:overflowPunct/>
        <w:topLinePunct w:val="0"/>
        <w:bidi w:val="0"/>
        <w:spacing w:line="240" w:lineRule="auto"/>
        <w:ind w:left="0" w:firstLine="0" w:firstLineChars="0"/>
        <w:rPr>
          <w:rFonts w:ascii="Times New Roman" w:hAnsi="Times New Roman" w:cs="Times New Roman"/>
          <w:sz w:val="15"/>
          <w:szCs w:val="15"/>
        </w:rPr>
      </w:pPr>
      <w:r>
        <w:rPr>
          <w:rStyle w:val="20"/>
          <w:rFonts w:ascii="宋体" w:hAnsi="宋体" w:cs="Times New Roman"/>
          <w:sz w:val="15"/>
          <w:szCs w:val="15"/>
        </w:rPr>
        <w:footnoteRef/>
      </w:r>
      <w:r>
        <w:rPr>
          <w:rFonts w:ascii="宋体" w:hAnsi="宋体" w:cs="Times New Roman"/>
          <w:sz w:val="15"/>
          <w:szCs w:val="15"/>
        </w:rPr>
        <w:t xml:space="preserve"> </w:t>
      </w:r>
      <w:r>
        <w:rPr>
          <w:rFonts w:ascii="Times New Roman" w:hAnsi="Times New Roman" w:cs="Times New Roman"/>
          <w:sz w:val="15"/>
          <w:szCs w:val="15"/>
        </w:rPr>
        <w:t>多马：《经济增长理论》</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，郭家麟译，北京：商务印书馆，1983年，第20页。</w:t>
      </w:r>
    </w:p>
  </w:footnote>
  <w:footnote w:id="764">
    <w:p w14:paraId="4BFEF020">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《资本论》第2卷</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北京</w:t>
      </w:r>
      <w:r>
        <w:rPr>
          <w:rFonts w:hint="eastAsia" w:ascii="Times New Roman" w:hAnsi="Times New Roman" w:cs="Times New Roman"/>
          <w:sz w:val="15"/>
          <w:szCs w:val="15"/>
        </w:rPr>
        <w:t>：</w:t>
      </w:r>
      <w:r>
        <w:rPr>
          <w:rFonts w:ascii="Times New Roman" w:hAnsi="Times New Roman" w:cs="Times New Roman"/>
          <w:sz w:val="15"/>
          <w:szCs w:val="15"/>
        </w:rPr>
        <w:t>人民出版社</w:t>
      </w:r>
      <w:r>
        <w:rPr>
          <w:rFonts w:hint="eastAsia" w:ascii="Times New Roman" w:hAnsi="Times New Roman" w:cs="Times New Roman"/>
          <w:sz w:val="15"/>
          <w:szCs w:val="15"/>
        </w:rPr>
        <w:t>，</w:t>
      </w:r>
      <w:r>
        <w:rPr>
          <w:rFonts w:ascii="Times New Roman" w:hAnsi="Times New Roman" w:cs="Times New Roman"/>
          <w:sz w:val="15"/>
          <w:szCs w:val="15"/>
        </w:rPr>
        <w:t>2004年，第557页。</w:t>
      </w:r>
    </w:p>
  </w:footnote>
  <w:footnote w:id="765">
    <w:p w14:paraId="0E4EE474">
      <w:pPr>
        <w:pStyle w:val="11"/>
        <w:keepNext w:val="0"/>
        <w:pageBreakBefore w:val="0"/>
        <w:overflowPunct/>
        <w:topLinePunct w:val="0"/>
        <w:bidi w:val="0"/>
        <w:spacing w:line="240" w:lineRule="auto"/>
        <w:ind w:left="0" w:firstLine="0" w:firstLineChars="0"/>
        <w:jc w:val="both"/>
        <w:rPr>
          <w:rFonts w:ascii="Times New Roman" w:hAnsi="Times New Roman" w:cs="Times New Roman"/>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《资本论》第2卷</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北京</w:t>
      </w:r>
      <w:r>
        <w:rPr>
          <w:rFonts w:hint="eastAsia" w:ascii="Times New Roman" w:hAnsi="Times New Roman" w:cs="Times New Roman"/>
          <w:sz w:val="15"/>
          <w:szCs w:val="15"/>
        </w:rPr>
        <w:t>：</w:t>
      </w:r>
      <w:r>
        <w:rPr>
          <w:rFonts w:ascii="Times New Roman" w:hAnsi="Times New Roman" w:cs="Times New Roman"/>
          <w:sz w:val="15"/>
          <w:szCs w:val="15"/>
        </w:rPr>
        <w:t>人民出版社</w:t>
      </w:r>
      <w:r>
        <w:rPr>
          <w:rFonts w:hint="eastAsia" w:ascii="Times New Roman" w:hAnsi="Times New Roman" w:cs="Times New Roman"/>
          <w:sz w:val="15"/>
          <w:szCs w:val="15"/>
        </w:rPr>
        <w:t>，</w:t>
      </w:r>
      <w:r>
        <w:rPr>
          <w:rFonts w:ascii="Times New Roman" w:hAnsi="Times New Roman" w:cs="Times New Roman"/>
          <w:sz w:val="15"/>
          <w:szCs w:val="15"/>
        </w:rPr>
        <w:t>2004年，第587页。</w:t>
      </w:r>
    </w:p>
  </w:footnote>
  <w:footnote w:id="766">
    <w:p w14:paraId="039EEE0B">
      <w:pPr>
        <w:pStyle w:val="11"/>
        <w:keepNext w:val="0"/>
        <w:pageBreakBefore w:val="0"/>
        <w:overflowPunct/>
        <w:topLinePunct w:val="0"/>
        <w:bidi w:val="0"/>
        <w:spacing w:line="240" w:lineRule="auto"/>
        <w:ind w:left="0" w:firstLine="0" w:firstLineChars="0"/>
        <w:jc w:val="both"/>
        <w:rPr>
          <w:rFonts w:ascii="宋体" w:hAnsi="宋体"/>
          <w:sz w:val="15"/>
          <w:szCs w:val="15"/>
        </w:rPr>
      </w:pPr>
      <w:r>
        <w:rPr>
          <w:rStyle w:val="20"/>
          <w:rFonts w:ascii="宋体" w:hAnsi="宋体" w:cs="Times New Roman"/>
          <w:sz w:val="15"/>
          <w:szCs w:val="15"/>
        </w:rPr>
        <w:footnoteRef/>
      </w:r>
      <w:r>
        <w:rPr>
          <w:rFonts w:ascii="宋体" w:hAnsi="宋体" w:cs="Times New Roman"/>
          <w:sz w:val="15"/>
          <w:szCs w:val="15"/>
        </w:rPr>
        <w:t xml:space="preserve"> </w:t>
      </w:r>
      <w:r>
        <w:rPr>
          <w:rFonts w:hint="eastAsia" w:ascii="宋体" w:hAnsi="宋体" w:cs="Times New Roman"/>
          <w:sz w:val="15"/>
          <w:szCs w:val="15"/>
        </w:rPr>
        <w:t>产能过剩或生产资本过剩和产品过剩或商品资本过剩是生产过剩的两种形式，并且生产过剩通常会以产能过剩的形式存在。</w:t>
      </w:r>
      <w:r>
        <w:rPr>
          <w:rFonts w:hint="eastAsia" w:ascii="宋体" w:hAnsi="宋体"/>
          <w:sz w:val="15"/>
          <w:szCs w:val="15"/>
        </w:rPr>
        <w:t>马克思指出，“</w:t>
      </w:r>
      <w:r>
        <w:rPr>
          <w:rFonts w:hint="eastAsia" w:ascii="宋体" w:hAnsi="宋体" w:cs="微软雅黑"/>
          <w:kern w:val="0"/>
          <w:sz w:val="15"/>
          <w:szCs w:val="15"/>
          <w:lang w:bidi="mn-Mong-CN"/>
        </w:rPr>
        <w:t>资</w:t>
      </w:r>
      <w:r>
        <w:rPr>
          <w:rFonts w:hint="eastAsia" w:ascii="宋体" w:hAnsi="宋体" w:cs="Yu Gothic"/>
          <w:kern w:val="0"/>
          <w:sz w:val="15"/>
          <w:szCs w:val="15"/>
          <w:lang w:bidi="mn-Mong-CN"/>
        </w:rPr>
        <w:t>本主</w:t>
      </w:r>
      <w:r>
        <w:rPr>
          <w:rFonts w:hint="eastAsia" w:ascii="宋体" w:hAnsi="宋体" w:cs="微软雅黑"/>
          <w:kern w:val="0"/>
          <w:sz w:val="15"/>
          <w:szCs w:val="15"/>
          <w:lang w:bidi="mn-Mong-CN"/>
        </w:rPr>
        <w:t>义</w:t>
      </w:r>
      <w:r>
        <w:rPr>
          <w:rFonts w:hint="eastAsia" w:ascii="宋体" w:hAnsi="宋体" w:cs="Yu Gothic"/>
          <w:kern w:val="0"/>
          <w:sz w:val="15"/>
          <w:szCs w:val="15"/>
          <w:lang w:bidi="mn-Mong-CN"/>
        </w:rPr>
        <w:t>生</w:t>
      </w:r>
      <w:r>
        <w:rPr>
          <w:rFonts w:hint="eastAsia" w:ascii="宋体" w:hAnsi="宋体" w:cs="微软雅黑"/>
          <w:kern w:val="0"/>
          <w:sz w:val="15"/>
          <w:szCs w:val="15"/>
          <w:lang w:bidi="mn-Mong-CN"/>
        </w:rPr>
        <w:t>产</w:t>
      </w:r>
      <w:r>
        <w:rPr>
          <w:rFonts w:hint="eastAsia" w:ascii="宋体" w:hAnsi="宋体" w:cs="Yu Gothic"/>
          <w:kern w:val="0"/>
          <w:sz w:val="15"/>
          <w:szCs w:val="15"/>
          <w:lang w:bidi="mn-Mong-CN"/>
        </w:rPr>
        <w:t>全力</w:t>
      </w:r>
      <w:r>
        <w:rPr>
          <w:rFonts w:hint="eastAsia" w:ascii="宋体" w:hAnsi="宋体" w:cs="微软雅黑"/>
          <w:kern w:val="0"/>
          <w:sz w:val="15"/>
          <w:szCs w:val="15"/>
          <w:lang w:bidi="mn-Mong-CN"/>
        </w:rPr>
        <w:t>扩张</w:t>
      </w:r>
      <w:r>
        <w:rPr>
          <w:rFonts w:hint="eastAsia" w:ascii="宋体" w:hAnsi="宋体" w:cs="Yu Gothic"/>
          <w:kern w:val="0"/>
          <w:sz w:val="15"/>
          <w:szCs w:val="15"/>
          <w:lang w:bidi="mn-Mong-CN"/>
        </w:rPr>
        <w:t>的</w:t>
      </w:r>
      <w:r>
        <w:rPr>
          <w:rFonts w:hint="eastAsia" w:ascii="宋体" w:hAnsi="宋体" w:cs="微软雅黑"/>
          <w:kern w:val="0"/>
          <w:sz w:val="15"/>
          <w:szCs w:val="15"/>
          <w:lang w:bidi="mn-Mong-CN"/>
        </w:rPr>
        <w:t>时</w:t>
      </w:r>
      <w:r>
        <w:rPr>
          <w:rFonts w:hint="eastAsia" w:ascii="宋体" w:hAnsi="宋体" w:cs="Yu Gothic"/>
          <w:kern w:val="0"/>
          <w:sz w:val="15"/>
          <w:szCs w:val="15"/>
          <w:lang w:bidi="mn-Mong-CN"/>
        </w:rPr>
        <w:t>期，通常就是生</w:t>
      </w:r>
      <w:r>
        <w:rPr>
          <w:rFonts w:hint="eastAsia" w:ascii="宋体" w:hAnsi="宋体" w:cs="微软雅黑"/>
          <w:kern w:val="0"/>
          <w:sz w:val="15"/>
          <w:szCs w:val="15"/>
          <w:lang w:bidi="mn-Mong-CN"/>
        </w:rPr>
        <w:t>产过</w:t>
      </w:r>
      <w:r>
        <w:rPr>
          <w:rFonts w:hint="eastAsia" w:ascii="宋体" w:hAnsi="宋体" w:cs="HiddenHorzOCR"/>
          <w:kern w:val="0"/>
          <w:sz w:val="15"/>
          <w:szCs w:val="15"/>
          <w:lang w:bidi="mn-Mong-CN"/>
        </w:rPr>
        <w:t>剩的</w:t>
      </w:r>
      <w:r>
        <w:rPr>
          <w:rFonts w:hint="eastAsia" w:ascii="宋体" w:hAnsi="宋体" w:cs="微软雅黑"/>
          <w:kern w:val="0"/>
          <w:sz w:val="15"/>
          <w:szCs w:val="15"/>
          <w:lang w:bidi="mn-Mong-CN"/>
        </w:rPr>
        <w:t>时</w:t>
      </w:r>
      <w:r>
        <w:rPr>
          <w:rFonts w:hint="eastAsia" w:ascii="宋体" w:hAnsi="宋体" w:cs="Yu Gothic"/>
          <w:kern w:val="0"/>
          <w:sz w:val="15"/>
          <w:szCs w:val="15"/>
          <w:lang w:bidi="mn-Mong-CN"/>
        </w:rPr>
        <w:t>期，因</w:t>
      </w:r>
      <w:r>
        <w:rPr>
          <w:rFonts w:hint="eastAsia" w:ascii="宋体" w:hAnsi="宋体" w:cs="微软雅黑"/>
          <w:kern w:val="0"/>
          <w:sz w:val="15"/>
          <w:szCs w:val="15"/>
          <w:lang w:bidi="mn-Mong-CN"/>
        </w:rPr>
        <w:t>为</w:t>
      </w:r>
      <w:r>
        <w:rPr>
          <w:rFonts w:hint="eastAsia" w:ascii="宋体" w:hAnsi="宋体" w:cs="Yu Gothic"/>
          <w:kern w:val="0"/>
          <w:sz w:val="15"/>
          <w:szCs w:val="15"/>
          <w:lang w:bidi="mn-Mong-CN"/>
        </w:rPr>
        <w:t>生</w:t>
      </w:r>
      <w:r>
        <w:rPr>
          <w:rFonts w:hint="eastAsia" w:ascii="宋体" w:hAnsi="宋体" w:cs="微软雅黑"/>
          <w:kern w:val="0"/>
          <w:sz w:val="15"/>
          <w:szCs w:val="15"/>
          <w:lang w:bidi="mn-Mong-CN"/>
        </w:rPr>
        <w:t>产</w:t>
      </w:r>
      <w:r>
        <w:rPr>
          <w:rFonts w:hint="eastAsia" w:ascii="宋体" w:hAnsi="宋体" w:cs="Yu Gothic"/>
          <w:kern w:val="0"/>
          <w:sz w:val="15"/>
          <w:szCs w:val="15"/>
          <w:lang w:bidi="mn-Mong-CN"/>
        </w:rPr>
        <w:t>能力从来没有能使用到</w:t>
      </w:r>
      <w:r>
        <w:rPr>
          <w:rFonts w:hint="eastAsia" w:ascii="宋体" w:hAnsi="宋体" w:cs="微软雅黑"/>
          <w:kern w:val="0"/>
          <w:sz w:val="15"/>
          <w:szCs w:val="15"/>
          <w:lang w:bidi="mn-Mong-CN"/>
        </w:rPr>
        <w:t>这</w:t>
      </w:r>
      <w:r>
        <w:rPr>
          <w:rFonts w:hint="eastAsia" w:ascii="宋体" w:hAnsi="宋体" w:cs="Yu Gothic"/>
          <w:kern w:val="0"/>
          <w:sz w:val="15"/>
          <w:szCs w:val="15"/>
          <w:lang w:bidi="mn-Mong-CN"/>
        </w:rPr>
        <w:t>个程度，以致它不</w:t>
      </w:r>
      <w:r>
        <w:rPr>
          <w:rFonts w:hint="eastAsia" w:ascii="宋体" w:hAnsi="宋体" w:cs="微软雅黑"/>
          <w:kern w:val="0"/>
          <w:sz w:val="15"/>
          <w:szCs w:val="15"/>
          <w:lang w:bidi="mn-Mong-CN"/>
        </w:rPr>
        <w:t>仅</w:t>
      </w:r>
      <w:r>
        <w:rPr>
          <w:rFonts w:hint="eastAsia" w:ascii="宋体" w:hAnsi="宋体" w:cs="Yu Gothic"/>
          <w:kern w:val="0"/>
          <w:sz w:val="15"/>
          <w:szCs w:val="15"/>
          <w:lang w:bidi="mn-Mong-CN"/>
        </w:rPr>
        <w:t>能够生</w:t>
      </w:r>
      <w:r>
        <w:rPr>
          <w:rFonts w:hint="eastAsia" w:ascii="宋体" w:hAnsi="宋体" w:cs="微软雅黑"/>
          <w:kern w:val="0"/>
          <w:sz w:val="15"/>
          <w:szCs w:val="15"/>
          <w:lang w:bidi="mn-Mong-CN"/>
        </w:rPr>
        <w:t>产</w:t>
      </w:r>
      <w:r>
        <w:rPr>
          <w:rFonts w:hint="eastAsia" w:ascii="宋体" w:hAnsi="宋体" w:cs="Yu Gothic"/>
          <w:kern w:val="0"/>
          <w:sz w:val="15"/>
          <w:szCs w:val="15"/>
          <w:lang w:bidi="mn-Mong-CN"/>
        </w:rPr>
        <w:t>更</w:t>
      </w:r>
      <w:r>
        <w:rPr>
          <w:rFonts w:hint="eastAsia" w:ascii="宋体" w:hAnsi="宋体" w:cs="HiddenHorzOCR"/>
          <w:kern w:val="0"/>
          <w:sz w:val="15"/>
          <w:szCs w:val="15"/>
          <w:lang w:bidi="mn-Mong-CN"/>
        </w:rPr>
        <w:t>多的价</w:t>
      </w:r>
      <w:r>
        <w:rPr>
          <w:rFonts w:hint="eastAsia" w:ascii="宋体" w:hAnsi="宋体" w:cs="微软雅黑"/>
          <w:kern w:val="0"/>
          <w:sz w:val="15"/>
          <w:szCs w:val="15"/>
          <w:lang w:bidi="mn-Mong-CN"/>
        </w:rPr>
        <w:t>值</w:t>
      </w:r>
      <w:r>
        <w:rPr>
          <w:rFonts w:hint="eastAsia" w:ascii="宋体" w:hAnsi="宋体" w:cs="Yu Gothic"/>
          <w:kern w:val="0"/>
          <w:sz w:val="15"/>
          <w:szCs w:val="15"/>
          <w:lang w:bidi="mn-Mong-CN"/>
        </w:rPr>
        <w:t>，而且</w:t>
      </w:r>
      <w:r>
        <w:rPr>
          <w:rFonts w:hint="eastAsia" w:ascii="宋体" w:hAnsi="宋体" w:cs="微软雅黑"/>
          <w:kern w:val="0"/>
          <w:sz w:val="15"/>
          <w:szCs w:val="15"/>
          <w:lang w:bidi="mn-Mong-CN"/>
        </w:rPr>
        <w:t>还</w:t>
      </w:r>
      <w:r>
        <w:rPr>
          <w:rFonts w:hint="eastAsia" w:ascii="宋体" w:hAnsi="宋体" w:cs="Yu Gothic"/>
          <w:kern w:val="0"/>
          <w:sz w:val="15"/>
          <w:szCs w:val="15"/>
          <w:lang w:bidi="mn-Mong-CN"/>
        </w:rPr>
        <w:t>能把它</w:t>
      </w:r>
      <w:r>
        <w:rPr>
          <w:rFonts w:hint="eastAsia" w:ascii="宋体" w:hAnsi="宋体" w:cs="微软雅黑"/>
          <w:kern w:val="0"/>
          <w:sz w:val="15"/>
          <w:szCs w:val="15"/>
          <w:lang w:bidi="mn-Mong-CN"/>
        </w:rPr>
        <w:t>实现。</w:t>
      </w:r>
      <w:r>
        <w:rPr>
          <w:rFonts w:hint="eastAsia" w:ascii="宋体" w:hAnsi="宋体"/>
          <w:sz w:val="15"/>
          <w:szCs w:val="15"/>
        </w:rPr>
        <w:t>”</w:t>
      </w:r>
      <w:r>
        <w:rPr>
          <w:rFonts w:ascii="宋体" w:hAnsi="宋体" w:cs="Times New Roman"/>
          <w:sz w:val="15"/>
          <w:szCs w:val="15"/>
        </w:rPr>
        <w:t>（</w:t>
      </w:r>
      <w:r>
        <w:rPr>
          <w:rFonts w:ascii="Times New Roman" w:hAnsi="Times New Roman" w:cs="Times New Roman"/>
          <w:sz w:val="15"/>
          <w:szCs w:val="15"/>
        </w:rPr>
        <w:t>马克思：《资本论》第2卷(中译本)，北京：人民出版社,2004年，第350页。</w:t>
      </w:r>
      <w:r>
        <w:rPr>
          <w:rFonts w:ascii="宋体" w:hAnsi="宋体" w:cs="Times New Roman"/>
          <w:sz w:val="15"/>
          <w:szCs w:val="15"/>
        </w:rPr>
        <w:t>）</w:t>
      </w:r>
      <w:r>
        <w:rPr>
          <w:rFonts w:hint="eastAsia" w:ascii="宋体" w:hAnsi="宋体"/>
          <w:sz w:val="15"/>
          <w:szCs w:val="15"/>
        </w:rPr>
        <w:t>假如生产能力使用到这个程度，那么生产过剩以产品过剩的形式存在。李嘉图的门徒们一方面接受李嘉图的论点，否认资本主义市场经济存在一种形式的生产过剩——产品过剩；另一方面却抛弃了李嘉图的论点，承认另一种形式的生产过剩——产能过剩。马克思在《资本论》第四卷（《剩余价值理论》）第十七章对此进行了批判。</w:t>
      </w:r>
    </w:p>
  </w:footnote>
  <w:footnote w:id="767">
    <w:p w14:paraId="031EBC72">
      <w:pPr>
        <w:pStyle w:val="11"/>
        <w:keepNext w:val="0"/>
        <w:pageBreakBefore w:val="0"/>
        <w:overflowPunct/>
        <w:topLinePunct w:val="0"/>
        <w:bidi w:val="0"/>
        <w:spacing w:line="240" w:lineRule="auto"/>
        <w:ind w:left="0" w:firstLine="0" w:firstLineChars="0"/>
        <w:jc w:val="both"/>
        <w:rPr>
          <w:rFonts w:ascii="Times New Roman" w:hAnsi="Times New Roman" w:cs="Times New Roman"/>
        </w:rPr>
      </w:pPr>
      <w:r>
        <w:rPr>
          <w:rStyle w:val="20"/>
          <w:rFonts w:ascii="宋体" w:hAnsi="宋体" w:cs="Times New Roman"/>
          <w:sz w:val="15"/>
          <w:szCs w:val="15"/>
        </w:rPr>
        <w:footnoteRef/>
      </w:r>
      <w:r>
        <w:rPr>
          <w:rFonts w:ascii="Times New Roman" w:hAnsi="Times New Roman" w:cs="Times New Roman"/>
          <w:sz w:val="15"/>
          <w:szCs w:val="15"/>
        </w:rPr>
        <w:t xml:space="preserve"> 国内学者（如</w:t>
      </w:r>
      <w:r>
        <w:rPr>
          <w:rFonts w:ascii="Times New Roman" w:hAnsi="Times New Roman" w:cs="Times New Roman"/>
          <w:kern w:val="0"/>
          <w:sz w:val="15"/>
          <w:szCs w:val="15"/>
          <w:lang w:bidi="mn-Mong-CN"/>
        </w:rPr>
        <w:t>刘航和孙早，2016；夏飞龙，2018</w:t>
      </w:r>
      <w:r>
        <w:rPr>
          <w:rFonts w:ascii="Times New Roman" w:hAnsi="Times New Roman" w:cs="Times New Roman"/>
          <w:sz w:val="15"/>
          <w:szCs w:val="15"/>
        </w:rPr>
        <w:t>）对国内外学者关于产能过剩的研究进行了详细全面地</w:t>
      </w:r>
      <w:r>
        <w:rPr>
          <w:rFonts w:hint="eastAsia" w:ascii="Times New Roman" w:hAnsi="Times New Roman" w:cs="Times New Roman"/>
          <w:sz w:val="15"/>
          <w:szCs w:val="15"/>
        </w:rPr>
        <w:t>介绍</w:t>
      </w:r>
      <w:r>
        <w:rPr>
          <w:rFonts w:ascii="Times New Roman" w:hAnsi="Times New Roman" w:cs="Times New Roman"/>
          <w:sz w:val="15"/>
          <w:szCs w:val="15"/>
        </w:rPr>
        <w:t>，本文不再赘述。</w:t>
      </w:r>
    </w:p>
  </w:footnote>
  <w:footnote w:id="768">
    <w:p w14:paraId="4D30077A">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《资本论》第2卷</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北京</w:t>
      </w:r>
      <w:r>
        <w:rPr>
          <w:rFonts w:hint="eastAsia" w:ascii="Times New Roman" w:hAnsi="Times New Roman" w:cs="Times New Roman"/>
          <w:sz w:val="15"/>
          <w:szCs w:val="15"/>
        </w:rPr>
        <w:t>：</w:t>
      </w:r>
      <w:r>
        <w:rPr>
          <w:rFonts w:ascii="Times New Roman" w:hAnsi="Times New Roman" w:cs="Times New Roman"/>
          <w:sz w:val="15"/>
          <w:szCs w:val="15"/>
        </w:rPr>
        <w:t>人民出版社</w:t>
      </w:r>
      <w:r>
        <w:rPr>
          <w:rFonts w:hint="eastAsia" w:ascii="Times New Roman" w:hAnsi="Times New Roman" w:cs="Times New Roman"/>
          <w:sz w:val="15"/>
          <w:szCs w:val="15"/>
        </w:rPr>
        <w:t>，</w:t>
      </w:r>
      <w:r>
        <w:rPr>
          <w:rFonts w:ascii="Times New Roman" w:hAnsi="Times New Roman" w:cs="Times New Roman"/>
          <w:sz w:val="15"/>
          <w:szCs w:val="15"/>
        </w:rPr>
        <w:t>2004年，第525页。</w:t>
      </w:r>
    </w:p>
  </w:footnote>
  <w:footnote w:id="769">
    <w:p w14:paraId="469BB7A7">
      <w:pPr>
        <w:pStyle w:val="11"/>
        <w:keepNext w:val="0"/>
        <w:pageBreakBefore w:val="0"/>
        <w:overflowPunct/>
        <w:topLinePunct w:val="0"/>
        <w:bidi w:val="0"/>
        <w:spacing w:line="240" w:lineRule="auto"/>
        <w:ind w:left="0" w:firstLine="0" w:firstLineChars="0"/>
        <w:jc w:val="both"/>
        <w:rPr>
          <w:rFonts w:ascii="宋体" w:hAnsi="宋体" w:cs="Times New Roman"/>
          <w:sz w:val="15"/>
          <w:szCs w:val="15"/>
        </w:rPr>
      </w:pPr>
      <w:r>
        <w:rPr>
          <w:rStyle w:val="20"/>
          <w:rFonts w:ascii="宋体" w:hAnsi="宋体" w:cs="Times New Roman"/>
          <w:sz w:val="15"/>
          <w:szCs w:val="15"/>
        </w:rPr>
        <w:footnoteRef/>
      </w:r>
      <w:r>
        <w:rPr>
          <w:rFonts w:ascii="宋体" w:hAnsi="宋体" w:cs="Times New Roman"/>
          <w:sz w:val="15"/>
          <w:szCs w:val="15"/>
        </w:rPr>
        <w:t xml:space="preserve"> </w:t>
      </w:r>
      <w:r>
        <w:rPr>
          <w:rFonts w:ascii="Times New Roman" w:hAnsi="Times New Roman" w:cs="Times New Roman"/>
          <w:sz w:val="15"/>
          <w:szCs w:val="15"/>
        </w:rPr>
        <w:t>马克思指出，第II部类的所有资本家的固定资本</w:t>
      </w:r>
      <w:r>
        <w:rPr>
          <w:rFonts w:ascii="Times New Roman" w:hAnsi="Times New Roman" w:cs="Times New Roman"/>
          <w:kern w:val="0"/>
          <w:sz w:val="15"/>
          <w:szCs w:val="15"/>
          <w:lang w:bidi="mn-Mong-CN"/>
        </w:rPr>
        <w:t>处在再生产的完全不同的期限中，对一部分资本家而言，固定资本已经到了必须全部用实物更新的期限，对另一部分资本家而言，它和这个阶段多少还有些距离。</w:t>
      </w:r>
      <w:r>
        <w:rPr>
          <w:rFonts w:ascii="Times New Roman" w:hAnsi="Times New Roman" w:cs="Times New Roman"/>
          <w:sz w:val="15"/>
          <w:szCs w:val="15"/>
        </w:rPr>
        <w:t>根据马克思的货币流回规律，流回到第I部类的货币额等于第II部类需要实物更新的固定资本的价值总额，而这部分货币额在第II部类的两部分资本家之间</w:t>
      </w:r>
      <w:r>
        <w:rPr>
          <w:rFonts w:ascii="宋体" w:hAnsi="宋体" w:cs="Times New Roman"/>
          <w:sz w:val="15"/>
          <w:szCs w:val="15"/>
        </w:rPr>
        <w:t>分配。（参见，</w:t>
      </w:r>
      <w:r>
        <w:rPr>
          <w:rFonts w:ascii="Times New Roman" w:hAnsi="Times New Roman" w:cs="Times New Roman"/>
          <w:sz w:val="15"/>
          <w:szCs w:val="15"/>
        </w:rPr>
        <w:t>马克思：《资本论》第2卷</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，北京:人民出版社</w:t>
      </w:r>
      <w:r>
        <w:rPr>
          <w:rFonts w:hint="eastAsia" w:ascii="Times New Roman" w:hAnsi="Times New Roman" w:cs="Times New Roman"/>
          <w:sz w:val="15"/>
          <w:szCs w:val="15"/>
        </w:rPr>
        <w:t>，</w:t>
      </w:r>
      <w:r>
        <w:rPr>
          <w:rFonts w:ascii="Times New Roman" w:hAnsi="Times New Roman" w:cs="Times New Roman"/>
          <w:sz w:val="15"/>
          <w:szCs w:val="15"/>
        </w:rPr>
        <w:t>2004年，第511-514页。</w:t>
      </w:r>
      <w:r>
        <w:rPr>
          <w:rFonts w:ascii="宋体" w:hAnsi="宋体" w:cs="Times New Roman"/>
          <w:sz w:val="15"/>
          <w:szCs w:val="15"/>
        </w:rPr>
        <w:t>）</w:t>
      </w:r>
    </w:p>
  </w:footnote>
  <w:footnote w:id="770">
    <w:p w14:paraId="5EE15476">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《资本论》第2卷</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北京：人民出版社，2004年，第511页。</w:t>
      </w:r>
    </w:p>
  </w:footnote>
  <w:footnote w:id="771">
    <w:p w14:paraId="07777E3A">
      <w:pPr>
        <w:pStyle w:val="11"/>
        <w:keepNext w:val="0"/>
        <w:pageBreakBefore w:val="0"/>
        <w:overflowPunct/>
        <w:topLinePunct w:val="0"/>
        <w:bidi w:val="0"/>
        <w:spacing w:line="240" w:lineRule="auto"/>
        <w:ind w:left="0" w:firstLine="0" w:firstLineChars="0"/>
        <w:rPr>
          <w:rFonts w:ascii="宋体" w:hAnsi="宋体" w:cs="Times New Roman"/>
          <w:sz w:val="15"/>
          <w:szCs w:val="15"/>
        </w:rPr>
      </w:pPr>
      <w:r>
        <w:rPr>
          <w:rStyle w:val="20"/>
          <w:rFonts w:ascii="宋体" w:hAnsi="宋体" w:cs="Times New Roman"/>
          <w:sz w:val="15"/>
          <w:szCs w:val="15"/>
        </w:rPr>
        <w:footnoteRef/>
      </w:r>
      <w:r>
        <w:rPr>
          <w:rFonts w:ascii="宋体" w:hAnsi="宋体" w:cs="Times New Roman"/>
          <w:sz w:val="15"/>
          <w:szCs w:val="15"/>
        </w:rPr>
        <w:t xml:space="preserve"> </w:t>
      </w:r>
      <w:r>
        <w:rPr>
          <w:rFonts w:ascii="Times New Roman" w:hAnsi="Times New Roman" w:cs="Times New Roman"/>
          <w:sz w:val="15"/>
          <w:szCs w:val="15"/>
        </w:rPr>
        <w:t>马克思：《资本论》第1卷（中译本），北京</w:t>
      </w:r>
      <w:r>
        <w:rPr>
          <w:rFonts w:hint="eastAsia" w:ascii="Times New Roman" w:hAnsi="Times New Roman" w:cs="Times New Roman"/>
          <w:sz w:val="15"/>
          <w:szCs w:val="15"/>
        </w:rPr>
        <w:t>：</w:t>
      </w:r>
      <w:r>
        <w:rPr>
          <w:rFonts w:ascii="Times New Roman" w:hAnsi="Times New Roman" w:cs="Times New Roman"/>
          <w:sz w:val="15"/>
          <w:szCs w:val="15"/>
        </w:rPr>
        <w:t>人民出版社</w:t>
      </w:r>
      <w:r>
        <w:rPr>
          <w:rFonts w:hint="eastAsia" w:ascii="Times New Roman" w:hAnsi="Times New Roman" w:cs="Times New Roman"/>
          <w:sz w:val="15"/>
          <w:szCs w:val="15"/>
        </w:rPr>
        <w:t>，</w:t>
      </w:r>
      <w:r>
        <w:rPr>
          <w:rFonts w:ascii="Times New Roman" w:hAnsi="Times New Roman" w:cs="Times New Roman"/>
          <w:sz w:val="15"/>
          <w:szCs w:val="15"/>
        </w:rPr>
        <w:t>2004年，第370-371页。</w:t>
      </w:r>
    </w:p>
  </w:footnote>
  <w:footnote w:id="772">
    <w:p w14:paraId="325E23A5">
      <w:pPr>
        <w:pStyle w:val="11"/>
        <w:keepNext w:val="0"/>
        <w:pageBreakBefore w:val="0"/>
        <w:overflowPunct/>
        <w:topLinePunct w:val="0"/>
        <w:bidi w:val="0"/>
        <w:spacing w:line="240" w:lineRule="auto"/>
        <w:ind w:left="0" w:firstLine="0" w:firstLineChars="0"/>
        <w:jc w:val="both"/>
        <w:rPr>
          <w:rFonts w:ascii="宋体" w:hAnsi="宋体"/>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hint="eastAsia" w:ascii="宋体" w:hAnsi="宋体" w:cs="Times New Roman"/>
          <w:sz w:val="15"/>
          <w:szCs w:val="15"/>
        </w:rPr>
        <w:t>这里抽象掉了四大部类的可变资本增长率的差异与实际资本积累率（</w:t>
      </w:r>
      <w:r>
        <w:rPr>
          <w:rFonts w:ascii="Times New Roman" w:hAnsi="Times New Roman" w:cs="Times New Roman"/>
          <w:i/>
          <w:iCs/>
          <w:sz w:val="15"/>
          <w:szCs w:val="15"/>
        </w:rPr>
        <w:t>ωθ</w:t>
      </w:r>
      <w:r>
        <w:rPr>
          <w:rFonts w:hint="eastAsia" w:ascii="宋体" w:hAnsi="宋体" w:cs="Times New Roman"/>
          <w:sz w:val="15"/>
          <w:szCs w:val="15"/>
        </w:rPr>
        <w:t>）的变动。竞争的强制规律带来的固定资本有机构成提高使得再生产失衡发生时</w:t>
      </w:r>
      <w:r>
        <w:rPr>
          <w:rFonts w:ascii="宋体" w:hAnsi="宋体" w:cs="Times New Roman"/>
          <w:sz w:val="15"/>
          <w:szCs w:val="15"/>
        </w:rPr>
        <w:t>1</w:t>
      </w:r>
      <w:r>
        <w:rPr>
          <w:rFonts w:hint="eastAsia" w:ascii="宋体" w:hAnsi="宋体" w:cs="Times New Roman"/>
          <w:sz w:val="15"/>
          <w:szCs w:val="15"/>
        </w:rPr>
        <w:t>部类再生产不足，</w:t>
      </w:r>
      <w:r>
        <w:rPr>
          <w:rFonts w:hint="eastAsia" w:ascii="宋体" w:hAnsi="宋体"/>
          <w:sz w:val="15"/>
          <w:szCs w:val="15"/>
        </w:rPr>
        <w:t>“同一劳动可以靠提高劳动生产率、增加劳动量或增加劳动强度提供更多的产品”，</w:t>
      </w:r>
      <w:r>
        <w:rPr>
          <w:rFonts w:ascii="宋体" w:hAnsi="宋体" w:cs="Times New Roman"/>
          <w:sz w:val="15"/>
          <w:szCs w:val="15"/>
        </w:rPr>
        <w:t>（</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《资本论》第2卷</w:t>
      </w:r>
      <w:r>
        <w:rPr>
          <w:rFonts w:hint="eastAsia" w:ascii="Times New Roman" w:hAnsi="Times New Roman" w:cs="Times New Roman"/>
          <w:sz w:val="15"/>
          <w:szCs w:val="15"/>
        </w:rPr>
        <w:t>（</w:t>
      </w:r>
      <w:r>
        <w:rPr>
          <w:rFonts w:ascii="Times New Roman" w:hAnsi="Times New Roman" w:cs="Times New Roman"/>
          <w:sz w:val="15"/>
          <w:szCs w:val="15"/>
        </w:rPr>
        <w:t>中译本</w:t>
      </w:r>
      <w:r>
        <w:rPr>
          <w:rFonts w:hint="eastAsia" w:ascii="Times New Roman" w:hAnsi="Times New Roman" w:cs="Times New Roman"/>
          <w:sz w:val="15"/>
          <w:szCs w:val="15"/>
        </w:rPr>
        <w:t>），</w:t>
      </w:r>
      <w:r>
        <w:rPr>
          <w:rFonts w:ascii="Times New Roman" w:hAnsi="Times New Roman" w:cs="Times New Roman"/>
          <w:sz w:val="15"/>
          <w:szCs w:val="15"/>
        </w:rPr>
        <w:t>北京</w:t>
      </w:r>
      <w:r>
        <w:rPr>
          <w:rFonts w:hint="eastAsia" w:ascii="Times New Roman" w:hAnsi="Times New Roman" w:cs="Times New Roman"/>
          <w:sz w:val="15"/>
          <w:szCs w:val="15"/>
        </w:rPr>
        <w:t>：</w:t>
      </w:r>
      <w:r>
        <w:rPr>
          <w:rFonts w:ascii="Times New Roman" w:hAnsi="Times New Roman" w:cs="Times New Roman"/>
          <w:sz w:val="15"/>
          <w:szCs w:val="15"/>
        </w:rPr>
        <w:t>人民出版社</w:t>
      </w:r>
      <w:r>
        <w:rPr>
          <w:rFonts w:hint="eastAsia" w:ascii="Times New Roman" w:hAnsi="Times New Roman" w:cs="Times New Roman"/>
          <w:sz w:val="15"/>
          <w:szCs w:val="15"/>
        </w:rPr>
        <w:t>，</w:t>
      </w:r>
      <w:r>
        <w:rPr>
          <w:rFonts w:ascii="Times New Roman" w:hAnsi="Times New Roman" w:cs="Times New Roman"/>
          <w:sz w:val="15"/>
          <w:szCs w:val="15"/>
        </w:rPr>
        <w:t>2004年，第525页</w:t>
      </w:r>
      <w:r>
        <w:rPr>
          <w:rFonts w:hint="eastAsia" w:ascii="Times New Roman" w:hAnsi="Times New Roman" w:cs="Times New Roman"/>
          <w:sz w:val="15"/>
          <w:szCs w:val="15"/>
        </w:rPr>
        <w:t>。</w:t>
      </w:r>
      <w:r>
        <w:rPr>
          <w:rFonts w:ascii="宋体" w:hAnsi="宋体" w:cs="Times New Roman"/>
          <w:sz w:val="15"/>
          <w:szCs w:val="15"/>
        </w:rPr>
        <w:t>）</w:t>
      </w:r>
      <w:r>
        <w:rPr>
          <w:rFonts w:hint="eastAsia" w:ascii="宋体" w:hAnsi="宋体"/>
          <w:sz w:val="15"/>
          <w:szCs w:val="15"/>
        </w:rPr>
        <w:t>这样可以弥补</w:t>
      </w:r>
      <w:r>
        <w:rPr>
          <w:rFonts w:ascii="宋体" w:hAnsi="宋体" w:cs="Times New Roman"/>
          <w:sz w:val="15"/>
          <w:szCs w:val="15"/>
        </w:rPr>
        <w:t>1部</w:t>
      </w:r>
      <w:r>
        <w:rPr>
          <w:rFonts w:hint="eastAsia" w:ascii="宋体" w:hAnsi="宋体"/>
          <w:sz w:val="15"/>
          <w:szCs w:val="15"/>
        </w:rPr>
        <w:t>类的再生产不足。通过这种方式</w:t>
      </w:r>
      <w:r>
        <w:rPr>
          <w:rFonts w:ascii="宋体" w:hAnsi="宋体" w:cs="Times New Roman"/>
          <w:sz w:val="15"/>
          <w:szCs w:val="15"/>
        </w:rPr>
        <w:t>弥补再生产不足</w:t>
      </w:r>
      <w:r>
        <w:rPr>
          <w:rFonts w:hint="eastAsia" w:ascii="宋体" w:hAnsi="宋体" w:cs="Times New Roman"/>
          <w:sz w:val="15"/>
          <w:szCs w:val="15"/>
        </w:rPr>
        <w:t>，</w:t>
      </w:r>
      <w:r>
        <w:rPr>
          <w:rFonts w:ascii="宋体" w:hAnsi="宋体" w:cs="Times New Roman"/>
          <w:sz w:val="15"/>
          <w:szCs w:val="15"/>
        </w:rPr>
        <w:t>1部</w:t>
      </w:r>
      <w:r>
        <w:rPr>
          <w:rFonts w:hint="eastAsia" w:ascii="宋体" w:hAnsi="宋体"/>
          <w:sz w:val="15"/>
          <w:szCs w:val="15"/>
        </w:rPr>
        <w:t>类的剩余价值率高于其他部类。当</w:t>
      </w:r>
      <w:r>
        <w:rPr>
          <w:rFonts w:hint="eastAsia" w:ascii="宋体" w:hAnsi="宋体" w:cs="Times New Roman"/>
          <w:sz w:val="15"/>
          <w:szCs w:val="15"/>
        </w:rPr>
        <w:t>2-</w:t>
      </w:r>
      <w:r>
        <w:rPr>
          <w:rFonts w:ascii="宋体" w:hAnsi="宋体" w:cs="Times New Roman"/>
          <w:sz w:val="15"/>
          <w:szCs w:val="15"/>
        </w:rPr>
        <w:t>4</w:t>
      </w:r>
      <w:r>
        <w:rPr>
          <w:rFonts w:hint="eastAsia" w:ascii="宋体" w:hAnsi="宋体" w:cs="Times New Roman"/>
          <w:sz w:val="15"/>
          <w:szCs w:val="15"/>
        </w:rPr>
        <w:t>部类的</w:t>
      </w:r>
      <w:r>
        <w:rPr>
          <w:rFonts w:hint="eastAsia" w:ascii="宋体" w:hAnsi="宋体"/>
          <w:sz w:val="15"/>
          <w:szCs w:val="15"/>
        </w:rPr>
        <w:t>产能过剩积累到一定程度、从而对固定资本需求产生的负效应大于固定资本有机构成提高对固定资本需求产生的正效应时，</w:t>
      </w:r>
      <w:r>
        <w:rPr>
          <w:rFonts w:ascii="宋体" w:hAnsi="宋体" w:cs="Times New Roman"/>
          <w:sz w:val="15"/>
          <w:szCs w:val="15"/>
        </w:rPr>
        <w:t>1</w:t>
      </w:r>
      <w:r>
        <w:rPr>
          <w:rFonts w:hint="eastAsia" w:ascii="宋体" w:hAnsi="宋体"/>
          <w:sz w:val="15"/>
          <w:szCs w:val="15"/>
        </w:rPr>
        <w:t>部类出现产品过剩，在这种情况下</w:t>
      </w:r>
      <w:r>
        <w:rPr>
          <w:rFonts w:ascii="宋体" w:hAnsi="宋体" w:cs="Times New Roman"/>
          <w:sz w:val="15"/>
          <w:szCs w:val="15"/>
        </w:rPr>
        <w:t>1</w:t>
      </w:r>
      <w:r>
        <w:rPr>
          <w:rFonts w:hint="eastAsia" w:ascii="宋体" w:hAnsi="宋体"/>
          <w:sz w:val="15"/>
          <w:szCs w:val="15"/>
        </w:rPr>
        <w:t>部类压缩自己的生产。</w:t>
      </w:r>
    </w:p>
  </w:footnote>
  <w:footnote w:id="773">
    <w:p w14:paraId="608A2DA2">
      <w:pPr>
        <w:pStyle w:val="11"/>
        <w:keepNext w:val="0"/>
        <w:pageBreakBefore w:val="0"/>
        <w:overflowPunct/>
        <w:topLinePunct w:val="0"/>
        <w:bidi w:val="0"/>
        <w:spacing w:line="240" w:lineRule="auto"/>
        <w:ind w:left="0" w:firstLine="0" w:firstLineChars="0"/>
        <w:jc w:val="both"/>
        <w:rPr>
          <w:rFonts w:ascii="宋体" w:hAnsi="宋体" w:cs="Times New Roman"/>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马克思、恩格斯</w:t>
      </w:r>
      <w:r>
        <w:rPr>
          <w:rFonts w:hint="eastAsia" w:ascii="Times New Roman" w:hAnsi="Times New Roman" w:cs="Times New Roman"/>
          <w:sz w:val="15"/>
          <w:szCs w:val="15"/>
        </w:rPr>
        <w:t>：</w:t>
      </w:r>
      <w:r>
        <w:rPr>
          <w:rFonts w:ascii="Times New Roman" w:hAnsi="Times New Roman" w:cs="Times New Roman"/>
          <w:sz w:val="15"/>
          <w:szCs w:val="15"/>
        </w:rPr>
        <w:t>《马克思恩格斯全集》第26卷（II），北京：人民出版社，1973年，第597页。</w:t>
      </w:r>
    </w:p>
  </w:footnote>
  <w:footnote w:id="774">
    <w:p w14:paraId="52009326">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《资本论》第2卷，北京：人民出版社，2004年，第525页。</w:t>
      </w:r>
    </w:p>
  </w:footnote>
  <w:footnote w:id="775">
    <w:p w14:paraId="28F2DD21">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Times New Roman" w:hAnsi="Times New Roman" w:cs="Times New Roman"/>
          <w:sz w:val="15"/>
          <w:szCs w:val="15"/>
        </w:rPr>
        <w:footnoteRef/>
      </w:r>
      <w:r>
        <w:rPr>
          <w:rFonts w:ascii="Times New Roman" w:hAnsi="Times New Roman" w:cs="Times New Roman"/>
          <w:sz w:val="15"/>
          <w:szCs w:val="15"/>
          <w:vertAlign w:val="superscript"/>
        </w:rPr>
        <w:t xml:space="preserve"> </w:t>
      </w:r>
      <w:r>
        <w:rPr>
          <w:rFonts w:ascii="Times New Roman" w:hAnsi="Times New Roman" w:cs="Times New Roman"/>
          <w:sz w:val="15"/>
          <w:szCs w:val="15"/>
        </w:rPr>
        <w:t>上标*表示</w:t>
      </w:r>
      <w:r>
        <w:rPr>
          <w:rFonts w:hint="eastAsia" w:ascii="Times New Roman" w:hAnsi="Times New Roman" w:cs="Times New Roman"/>
          <w:sz w:val="15"/>
          <w:szCs w:val="15"/>
        </w:rPr>
        <w:t>各变量的</w:t>
      </w:r>
      <w:r>
        <w:rPr>
          <w:rFonts w:ascii="Times New Roman" w:hAnsi="Times New Roman" w:cs="Times New Roman"/>
          <w:sz w:val="15"/>
          <w:szCs w:val="15"/>
        </w:rPr>
        <w:t>均衡值，</w:t>
      </w:r>
      <w:r>
        <w:rPr>
          <w:rFonts w:ascii="Times New Roman" w:hAnsi="Times New Roman" w:cs="Times New Roman"/>
          <w:i/>
          <w:iCs/>
          <w:sz w:val="15"/>
          <w:szCs w:val="15"/>
        </w:rPr>
        <w:t>σ</w:t>
      </w:r>
      <w:r>
        <w:rPr>
          <w:rFonts w:hint="eastAsia" w:ascii="Times New Roman" w:hAnsi="Times New Roman" w:cs="Times New Roman"/>
          <w:sz w:val="15"/>
          <w:szCs w:val="15"/>
          <w:vertAlign w:val="superscript"/>
        </w:rPr>
        <w:t>*</w:t>
      </w:r>
      <w:r>
        <w:rPr>
          <w:rFonts w:hint="eastAsia" w:ascii="Times New Roman" w:hAnsi="Times New Roman" w:cs="Times New Roman"/>
          <w:sz w:val="15"/>
          <w:szCs w:val="15"/>
        </w:rPr>
        <w:t>是固定资本利用率</w:t>
      </w:r>
      <w:r>
        <w:rPr>
          <w:rFonts w:ascii="Times New Roman" w:hAnsi="Times New Roman" w:cs="Times New Roman"/>
          <w:i/>
          <w:iCs/>
          <w:sz w:val="15"/>
          <w:szCs w:val="15"/>
        </w:rPr>
        <w:t>σ</w:t>
      </w:r>
      <w:r>
        <w:rPr>
          <w:rFonts w:hint="eastAsia" w:ascii="Times New Roman" w:hAnsi="Times New Roman" w:cs="Times New Roman"/>
          <w:sz w:val="15"/>
          <w:szCs w:val="15"/>
        </w:rPr>
        <w:t>的最大值，</w:t>
      </w:r>
      <w:r>
        <w:rPr>
          <w:rFonts w:hint="eastAsia" w:ascii="Times New Roman" w:hAnsi="Times New Roman" w:cs="Times New Roman"/>
          <w:i/>
          <w:iCs/>
          <w:sz w:val="15"/>
          <w:szCs w:val="15"/>
        </w:rPr>
        <w:t>y</w:t>
      </w:r>
      <w:r>
        <w:rPr>
          <w:rFonts w:ascii="Times New Roman" w:hAnsi="Times New Roman" w:cs="Times New Roman"/>
          <w:sz w:val="15"/>
          <w:szCs w:val="15"/>
          <w:vertAlign w:val="superscript"/>
        </w:rPr>
        <w:t>*</w:t>
      </w:r>
      <w:r>
        <w:rPr>
          <w:rFonts w:hint="eastAsia" w:ascii="Times New Roman" w:hAnsi="Times New Roman" w:cs="Times New Roman"/>
          <w:sz w:val="15"/>
          <w:szCs w:val="15"/>
        </w:rPr>
        <w:t>是总产品价值</w:t>
      </w:r>
      <w:r>
        <w:rPr>
          <w:rFonts w:hint="eastAsia" w:ascii="Times New Roman" w:hAnsi="Times New Roman" w:cs="Times New Roman"/>
          <w:i/>
          <w:iCs/>
          <w:sz w:val="15"/>
          <w:szCs w:val="15"/>
        </w:rPr>
        <w:t>y</w:t>
      </w:r>
      <w:r>
        <w:rPr>
          <w:rFonts w:ascii="Times New Roman" w:hAnsi="Times New Roman" w:cs="Times New Roman"/>
          <w:sz w:val="15"/>
          <w:szCs w:val="15"/>
          <w:vertAlign w:val="superscript"/>
        </w:rPr>
        <w:t>s</w:t>
      </w:r>
      <w:r>
        <w:rPr>
          <w:rFonts w:hint="eastAsia" w:ascii="Times New Roman" w:hAnsi="Times New Roman" w:cs="Times New Roman"/>
          <w:sz w:val="15"/>
          <w:szCs w:val="15"/>
        </w:rPr>
        <w:t>的最大值，但不一定是总需求</w:t>
      </w:r>
      <w:r>
        <w:rPr>
          <w:rFonts w:hint="eastAsia" w:ascii="Times New Roman" w:hAnsi="Times New Roman" w:cs="Times New Roman"/>
          <w:i/>
          <w:iCs/>
          <w:sz w:val="15"/>
          <w:szCs w:val="15"/>
        </w:rPr>
        <w:t>y</w:t>
      </w:r>
      <w:r>
        <w:rPr>
          <w:rFonts w:ascii="Times New Roman" w:hAnsi="Times New Roman" w:cs="Times New Roman"/>
          <w:sz w:val="15"/>
          <w:szCs w:val="15"/>
          <w:vertAlign w:val="superscript"/>
        </w:rPr>
        <w:t>d</w:t>
      </w:r>
      <w:r>
        <w:rPr>
          <w:rFonts w:hint="eastAsia" w:ascii="Times New Roman" w:hAnsi="Times New Roman" w:cs="Times New Roman"/>
          <w:sz w:val="15"/>
          <w:szCs w:val="15"/>
        </w:rPr>
        <w:t>的最大值，若</w:t>
      </w:r>
      <w:r>
        <w:rPr>
          <w:rFonts w:hint="eastAsia" w:ascii="Times New Roman" w:hAnsi="Times New Roman" w:cs="Times New Roman"/>
          <w:i/>
          <w:iCs/>
          <w:sz w:val="15"/>
          <w:szCs w:val="15"/>
        </w:rPr>
        <w:t>y</w:t>
      </w:r>
      <w:r>
        <w:rPr>
          <w:rFonts w:ascii="Times New Roman" w:hAnsi="Times New Roman" w:cs="Times New Roman"/>
          <w:sz w:val="15"/>
          <w:szCs w:val="15"/>
          <w:vertAlign w:val="superscript"/>
        </w:rPr>
        <w:t xml:space="preserve">d </w:t>
      </w:r>
      <w:r>
        <w:rPr>
          <w:rFonts w:ascii="Times New Roman" w:hAnsi="Times New Roman" w:cs="Times New Roman"/>
          <w:sz w:val="15"/>
          <w:szCs w:val="15"/>
        </w:rPr>
        <w:t>&gt;</w:t>
      </w:r>
      <w:r>
        <w:rPr>
          <w:rFonts w:hint="eastAsia" w:ascii="Times New Roman" w:hAnsi="Times New Roman" w:cs="Times New Roman"/>
          <w:i/>
          <w:iCs/>
          <w:sz w:val="15"/>
          <w:szCs w:val="15"/>
        </w:rPr>
        <w:t xml:space="preserve"> y</w:t>
      </w:r>
      <w:r>
        <w:rPr>
          <w:rFonts w:ascii="Times New Roman" w:hAnsi="Times New Roman" w:cs="Times New Roman"/>
          <w:sz w:val="15"/>
          <w:szCs w:val="15"/>
          <w:vertAlign w:val="superscript"/>
        </w:rPr>
        <w:t>*</w:t>
      </w:r>
      <w:r>
        <w:rPr>
          <w:rFonts w:hint="eastAsia" w:ascii="Times New Roman" w:hAnsi="Times New Roman" w:cs="Times New Roman"/>
          <w:sz w:val="15"/>
          <w:szCs w:val="15"/>
        </w:rPr>
        <w:t>，则</w:t>
      </w:r>
      <w:r>
        <w:rPr>
          <w:rFonts w:ascii="Times New Roman" w:hAnsi="Times New Roman" w:cs="Times New Roman"/>
          <w:i/>
          <w:iCs/>
          <w:sz w:val="15"/>
          <w:szCs w:val="15"/>
        </w:rPr>
        <w:t xml:space="preserve">θ </w:t>
      </w:r>
      <w:r>
        <w:rPr>
          <w:rFonts w:hint="eastAsia" w:ascii="Times New Roman" w:hAnsi="Times New Roman" w:cs="Times New Roman"/>
          <w:sz w:val="15"/>
          <w:szCs w:val="15"/>
        </w:rPr>
        <w:t>&gt;</w:t>
      </w:r>
      <w:r>
        <w:rPr>
          <w:rFonts w:ascii="Times New Roman" w:hAnsi="Times New Roman" w:cs="Times New Roman"/>
          <w:sz w:val="15"/>
          <w:szCs w:val="15"/>
        </w:rPr>
        <w:t xml:space="preserve"> </w:t>
      </w:r>
      <w:r>
        <w:rPr>
          <w:rFonts w:ascii="Times New Roman" w:hAnsi="Times New Roman" w:cs="Times New Roman"/>
          <w:i/>
          <w:iCs/>
          <w:sz w:val="15"/>
          <w:szCs w:val="15"/>
        </w:rPr>
        <w:t>θ</w:t>
      </w:r>
      <w:r>
        <w:rPr>
          <w:rFonts w:ascii="Times New Roman" w:hAnsi="Times New Roman" w:cs="Times New Roman"/>
          <w:sz w:val="15"/>
          <w:szCs w:val="15"/>
          <w:vertAlign w:val="superscript"/>
        </w:rPr>
        <w:t>*</w:t>
      </w:r>
      <w:r>
        <w:rPr>
          <w:rFonts w:hint="eastAsia" w:ascii="Times New Roman" w:hAnsi="Times New Roman" w:cs="Times New Roman"/>
          <w:sz w:val="15"/>
          <w:szCs w:val="15"/>
        </w:rPr>
        <w:t>。</w:t>
      </w:r>
    </w:p>
  </w:footnote>
  <w:footnote w:id="776">
    <w:p w14:paraId="30E84E4D">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sz w:val="15"/>
          <w:szCs w:val="15"/>
        </w:rPr>
        <w:footnoteRef/>
      </w:r>
      <w:r>
        <w:rPr>
          <w:rFonts w:ascii="宋体" w:hAnsi="宋体"/>
          <w:sz w:val="15"/>
          <w:szCs w:val="15"/>
          <w:vertAlign w:val="superscript"/>
        </w:rPr>
        <w:t xml:space="preserve"> </w:t>
      </w:r>
      <w:r>
        <w:rPr>
          <w:rFonts w:ascii="Times New Roman" w:hAnsi="Times New Roman" w:cs="Times New Roman"/>
          <w:sz w:val="15"/>
          <w:szCs w:val="15"/>
        </w:rPr>
        <w:t>马克思</w:t>
      </w:r>
      <w:r>
        <w:rPr>
          <w:rFonts w:hint="eastAsia" w:ascii="Times New Roman" w:hAnsi="Times New Roman" w:cs="Times New Roman"/>
          <w:sz w:val="15"/>
          <w:szCs w:val="15"/>
        </w:rPr>
        <w:t>：</w:t>
      </w:r>
      <w:r>
        <w:rPr>
          <w:rFonts w:ascii="Times New Roman" w:hAnsi="Times New Roman" w:cs="Times New Roman"/>
          <w:sz w:val="15"/>
          <w:szCs w:val="15"/>
        </w:rPr>
        <w:t>《资本论》第3卷，北京：人民出版社，2004年，第546页。</w:t>
      </w:r>
    </w:p>
  </w:footnote>
  <w:footnote w:id="777">
    <w:p w14:paraId="5B10A056">
      <w:pPr>
        <w:pStyle w:val="11"/>
        <w:keepNext w:val="0"/>
        <w:pageBreakBefore w:val="0"/>
        <w:overflowPunct/>
        <w:topLinePunct w:val="0"/>
        <w:bidi w:val="0"/>
        <w:spacing w:line="240" w:lineRule="auto"/>
        <w:ind w:left="0" w:firstLine="0" w:firstLineChars="0"/>
        <w:jc w:val="both"/>
        <w:rPr>
          <w:rFonts w:ascii="宋体" w:hAnsi="宋体"/>
          <w:sz w:val="15"/>
          <w:szCs w:val="15"/>
        </w:rPr>
      </w:pPr>
      <w:r>
        <w:rPr>
          <w:rStyle w:val="20"/>
          <w:rFonts w:ascii="宋体" w:hAnsi="宋体" w:cs="Times New Roman"/>
          <w:sz w:val="15"/>
          <w:szCs w:val="15"/>
        </w:rPr>
        <w:footnoteRef/>
      </w:r>
      <w:r>
        <w:rPr>
          <w:rFonts w:ascii="宋体" w:hAnsi="宋体"/>
          <w:sz w:val="15"/>
          <w:szCs w:val="15"/>
        </w:rPr>
        <w:t xml:space="preserve"> </w:t>
      </w:r>
      <w:r>
        <w:rPr>
          <w:rFonts w:hint="eastAsia" w:ascii="宋体" w:hAnsi="宋体"/>
          <w:sz w:val="15"/>
          <w:szCs w:val="15"/>
        </w:rPr>
        <w:t>根据马克思在《资本论》第二卷阐述的货币流回规律，探讨生产过剩、货币流通速度与货币创造乘数的内在关系，为分析罗纳德·麦金农提出的“中国货币之谜”提供了新视角，</w:t>
      </w:r>
      <w:r>
        <w:rPr>
          <w:rFonts w:ascii="宋体" w:hAnsi="宋体" w:cs="Times New Roman"/>
          <w:sz w:val="15"/>
          <w:szCs w:val="15"/>
        </w:rPr>
        <w:t>笔者</w:t>
      </w:r>
      <w:r>
        <w:rPr>
          <w:rFonts w:hint="eastAsia" w:ascii="宋体" w:hAnsi="宋体"/>
          <w:sz w:val="15"/>
          <w:szCs w:val="15"/>
        </w:rPr>
        <w:t>将另撰文研究。</w:t>
      </w:r>
    </w:p>
  </w:footnote>
  <w:footnote w:id="778">
    <w:p w14:paraId="27E3DE35">
      <w:pPr>
        <w:pStyle w:val="11"/>
        <w:keepNext w:val="0"/>
        <w:pageBreakBefore w:val="0"/>
        <w:overflowPunct/>
        <w:topLinePunct w:val="0"/>
        <w:bidi w:val="0"/>
        <w:spacing w:line="240" w:lineRule="auto"/>
        <w:ind w:left="0" w:firstLine="0" w:firstLineChars="0"/>
        <w:jc w:val="both"/>
        <w:rPr>
          <w:rFonts w:ascii="Times New Roman" w:hAnsi="Times New Roman" w:cs="Times New Roman"/>
          <w:sz w:val="15"/>
          <w:szCs w:val="15"/>
        </w:rPr>
      </w:pPr>
      <w:r>
        <w:rPr>
          <w:rStyle w:val="20"/>
          <w:rFonts w:ascii="宋体" w:hAnsi="宋体" w:cs="Times New Roman"/>
          <w:sz w:val="15"/>
          <w:szCs w:val="15"/>
        </w:rPr>
        <w:footnoteRef/>
      </w:r>
      <w:r>
        <w:rPr>
          <w:rFonts w:ascii="宋体" w:hAnsi="宋体" w:cs="Times New Roman"/>
          <w:sz w:val="15"/>
          <w:szCs w:val="15"/>
          <w:vertAlign w:val="superscript"/>
        </w:rPr>
        <w:t xml:space="preserve"> </w:t>
      </w:r>
      <w:r>
        <w:rPr>
          <w:rFonts w:ascii="Times New Roman" w:hAnsi="Times New Roman" w:cs="Times New Roman"/>
          <w:sz w:val="15"/>
          <w:szCs w:val="15"/>
        </w:rPr>
        <w:t>世界投入产出表的前44×56列对应的是生产，每列最末元素（output at basic prices）对应的是p国q行业的总产品价值，前44×56行对应的是消费，每行最末元素（total output）对应的是各国各行业对i国j行业的总需求。每一年份每一经济体每一行业的列总产出恒等于行总产出意味着，每一年份每一经济体每一行业的增加值为实现的价值而非创造的价值，或者，每一年份每一经济体每一行业通过调整产能利用率以保证市场出清。p国q行业既生产生产资料又生产生活资料。关于世界投入产出表的更详细说明，可参见http://www.wiod.org/home。</w:t>
      </w:r>
    </w:p>
  </w:footnote>
  <w:footnote w:id="779">
    <w:p w14:paraId="671E7E4E">
      <w:pPr>
        <w:pStyle w:val="11"/>
        <w:keepNext w:val="0"/>
        <w:pageBreakBefore w:val="0"/>
        <w:overflowPunct/>
        <w:topLinePunct w:val="0"/>
        <w:bidi w:val="0"/>
        <w:spacing w:line="240" w:lineRule="auto"/>
        <w:ind w:left="0" w:firstLine="0" w:firstLineChars="0"/>
        <w:jc w:val="both"/>
        <w:rPr>
          <w:rFonts w:ascii="宋体" w:hAnsi="宋体"/>
          <w:sz w:val="15"/>
          <w:szCs w:val="15"/>
        </w:rPr>
      </w:pPr>
      <w:r>
        <w:rPr>
          <w:rStyle w:val="20"/>
          <w:rFonts w:ascii="宋体" w:hAnsi="宋体"/>
          <w:sz w:val="15"/>
          <w:szCs w:val="15"/>
        </w:rPr>
        <w:footnoteRef/>
      </w:r>
      <w:r>
        <w:rPr>
          <w:rFonts w:ascii="宋体" w:hAnsi="宋体"/>
          <w:sz w:val="15"/>
          <w:szCs w:val="15"/>
        </w:rPr>
        <w:t xml:space="preserve"> </w:t>
      </w:r>
      <w:r>
        <w:rPr>
          <w:rFonts w:hint="eastAsia" w:ascii="宋体" w:hAnsi="宋体"/>
          <w:sz w:val="15"/>
          <w:szCs w:val="15"/>
        </w:rPr>
        <w:t>美国、欧盟2</w:t>
      </w:r>
      <w:r>
        <w:rPr>
          <w:rFonts w:ascii="宋体" w:hAnsi="宋体"/>
          <w:sz w:val="15"/>
          <w:szCs w:val="15"/>
        </w:rPr>
        <w:t>8</w:t>
      </w:r>
      <w:r>
        <w:rPr>
          <w:rFonts w:hint="eastAsia" w:ascii="宋体" w:hAnsi="宋体"/>
          <w:sz w:val="15"/>
          <w:szCs w:val="15"/>
        </w:rPr>
        <w:t>国、日本的产能利用率呈现出较高的顺周期性特征。（参见，梁泳梅：《</w:t>
      </w:r>
      <w:r>
        <w:rPr>
          <w:rFonts w:ascii="宋体" w:hAnsi="宋体"/>
          <w:sz w:val="15"/>
          <w:szCs w:val="15"/>
        </w:rPr>
        <w:t>中国式产能过剩：历史考察及对新发展阶段治理的启示</w:t>
      </w:r>
      <w:r>
        <w:rPr>
          <w:rFonts w:hint="eastAsia" w:ascii="宋体" w:hAnsi="宋体"/>
          <w:sz w:val="15"/>
          <w:szCs w:val="15"/>
        </w:rPr>
        <w:t>》，《江汉论坛》，2</w:t>
      </w:r>
      <w:r>
        <w:rPr>
          <w:rFonts w:ascii="宋体" w:hAnsi="宋体"/>
          <w:sz w:val="15"/>
          <w:szCs w:val="15"/>
        </w:rPr>
        <w:t>024</w:t>
      </w:r>
      <w:r>
        <w:rPr>
          <w:rFonts w:hint="eastAsia" w:ascii="宋体" w:hAnsi="宋体"/>
          <w:sz w:val="15"/>
          <w:szCs w:val="15"/>
        </w:rPr>
        <w:t>年第1期。）</w:t>
      </w:r>
    </w:p>
  </w:footnote>
  <w:footnote w:id="780">
    <w:p w14:paraId="12498952">
      <w:pPr>
        <w:pStyle w:val="11"/>
        <w:keepNext w:val="0"/>
        <w:pageBreakBefore w:val="0"/>
        <w:overflowPunct/>
        <w:topLinePunct w:val="0"/>
        <w:bidi w:val="0"/>
        <w:spacing w:line="240" w:lineRule="auto"/>
        <w:ind w:left="0" w:firstLine="0" w:firstLineChars="0"/>
        <w:jc w:val="both"/>
        <w:rPr>
          <w:rFonts w:ascii="宋体" w:hAnsi="宋体"/>
          <w:sz w:val="15"/>
          <w:szCs w:val="15"/>
          <w:lang w:eastAsia="zh-Hans"/>
        </w:rPr>
      </w:pPr>
      <w:r>
        <w:rPr>
          <w:rStyle w:val="20"/>
          <w:rFonts w:ascii="宋体" w:hAnsi="宋体" w:cs="Times New Roman Regular"/>
          <w:sz w:val="15"/>
          <w:szCs w:val="15"/>
        </w:rPr>
        <w:footnoteRef/>
      </w:r>
      <w:r>
        <w:rPr>
          <w:rFonts w:ascii="宋体" w:hAnsi="宋体"/>
          <w:sz w:val="15"/>
          <w:szCs w:val="15"/>
        </w:rPr>
        <w:t xml:space="preserve"> </w:t>
      </w:r>
      <w:r>
        <w:rPr>
          <w:rFonts w:ascii="宋体" w:hAnsi="宋体"/>
          <w:sz w:val="15"/>
          <w:szCs w:val="15"/>
          <w:lang w:eastAsia="zh-Hans"/>
        </w:rPr>
        <w:t>《资本论》第3卷，北京：人民出版社，2004年，第279页。</w:t>
      </w:r>
    </w:p>
  </w:footnote>
  <w:footnote w:id="781">
    <w:p w14:paraId="2F543A14">
      <w:pPr>
        <w:pStyle w:val="11"/>
        <w:keepNext w:val="0"/>
        <w:pageBreakBefore w:val="0"/>
        <w:overflowPunct/>
        <w:topLinePunct w:val="0"/>
        <w:bidi w:val="0"/>
        <w:spacing w:line="240" w:lineRule="auto"/>
        <w:ind w:left="0" w:firstLine="0" w:firstLineChars="0"/>
        <w:jc w:val="both"/>
        <w:rPr>
          <w:rFonts w:ascii="Times New Roman" w:hAnsi="Times New Roman" w:cs="Times New Roman"/>
        </w:rPr>
      </w:pPr>
      <w:r>
        <w:rPr>
          <w:rFonts w:ascii="宋体" w:hAnsi="宋体"/>
          <w:sz w:val="15"/>
          <w:szCs w:val="15"/>
          <w:vertAlign w:val="superscript"/>
          <w:lang w:eastAsia="zh-Hans"/>
        </w:rPr>
        <w:footnoteRef/>
      </w:r>
      <w:r>
        <w:rPr>
          <w:rFonts w:ascii="宋体" w:hAnsi="宋体"/>
          <w:sz w:val="15"/>
          <w:szCs w:val="15"/>
          <w:lang w:eastAsia="zh-Hans"/>
        </w:rPr>
        <w:t xml:space="preserve"> 《</w:t>
      </w:r>
      <w:r>
        <w:rPr>
          <w:rFonts w:hint="eastAsia" w:ascii="宋体" w:hAnsi="宋体"/>
          <w:sz w:val="15"/>
          <w:szCs w:val="15"/>
          <w:lang w:eastAsia="zh-Hans"/>
        </w:rPr>
        <w:t>马克思恩格斯全集</w:t>
      </w:r>
      <w:r>
        <w:rPr>
          <w:rFonts w:ascii="宋体" w:hAnsi="宋体"/>
          <w:sz w:val="15"/>
          <w:szCs w:val="15"/>
          <w:lang w:eastAsia="zh-Hans"/>
        </w:rPr>
        <w:t>》第1版，第39卷，</w:t>
      </w:r>
      <w:r>
        <w:rPr>
          <w:rFonts w:hint="eastAsia" w:ascii="宋体" w:hAnsi="宋体"/>
          <w:sz w:val="15"/>
          <w:szCs w:val="15"/>
          <w:lang w:eastAsia="zh-Hans"/>
        </w:rPr>
        <w:t>北京：人民出版社，</w:t>
      </w:r>
      <w:r>
        <w:rPr>
          <w:rFonts w:hint="eastAsia" w:ascii="宋体" w:hAnsi="宋体"/>
          <w:sz w:val="15"/>
          <w:szCs w:val="15"/>
        </w:rPr>
        <w:t>1</w:t>
      </w:r>
      <w:r>
        <w:rPr>
          <w:rFonts w:ascii="宋体" w:hAnsi="宋体"/>
          <w:sz w:val="15"/>
          <w:szCs w:val="15"/>
        </w:rPr>
        <w:t>974</w:t>
      </w:r>
      <w:r>
        <w:rPr>
          <w:rFonts w:hint="eastAsia" w:ascii="宋体" w:hAnsi="宋体"/>
          <w:sz w:val="15"/>
          <w:szCs w:val="15"/>
        </w:rPr>
        <w:t>年，</w:t>
      </w:r>
      <w:r>
        <w:rPr>
          <w:rFonts w:ascii="宋体" w:hAnsi="宋体"/>
          <w:sz w:val="15"/>
          <w:szCs w:val="15"/>
          <w:lang w:eastAsia="zh-Hans"/>
        </w:rPr>
        <w:t>第198页</w:t>
      </w:r>
      <w:r>
        <w:rPr>
          <w:rFonts w:hint="eastAsia" w:ascii="宋体" w:hAnsi="宋体"/>
          <w:sz w:val="15"/>
          <w:szCs w:val="15"/>
          <w:lang w:eastAsia="zh-Hans"/>
        </w:rPr>
        <w:t>。</w:t>
      </w:r>
    </w:p>
  </w:footnote>
  <w:footnote w:id="782">
    <w:p w14:paraId="6F7A6BFF">
      <w:pPr>
        <w:pStyle w:val="11"/>
        <w:keepNext w:val="0"/>
        <w:pageBreakBefore w:val="0"/>
        <w:overflowPunct/>
        <w:topLinePunct w:val="0"/>
        <w:bidi w:val="0"/>
        <w:spacing w:line="240" w:lineRule="auto"/>
        <w:ind w:left="0" w:firstLine="0" w:firstLineChars="0"/>
        <w:rPr>
          <w:rFonts w:ascii="Times New Roman" w:hAnsi="Times New Roman" w:cs="Times New Roman"/>
          <w:sz w:val="15"/>
          <w:szCs w:val="15"/>
        </w:rPr>
      </w:pPr>
      <w:r>
        <w:rPr>
          <w:rStyle w:val="20"/>
          <w:rFonts w:ascii="宋体" w:hAnsi="宋体"/>
          <w:sz w:val="15"/>
          <w:szCs w:val="15"/>
        </w:rPr>
        <w:footnoteRef/>
      </w:r>
      <w:r>
        <w:rPr>
          <w:rFonts w:hint="eastAsia" w:ascii="Times New Roman" w:hAnsi="Times New Roman" w:cs="Times New Roman"/>
          <w:sz w:val="15"/>
          <w:szCs w:val="15"/>
        </w:rPr>
        <w:t xml:space="preserve"> </w:t>
      </w:r>
      <w:r>
        <w:rPr>
          <w:rFonts w:ascii="Times New Roman" w:hAnsi="Times New Roman" w:cs="Times New Roman"/>
          <w:sz w:val="15"/>
          <w:szCs w:val="15"/>
        </w:rPr>
        <w:t>习近平:《共担时代责任，共促全球发展》，《求是》，2020年第24期，第5页。</w:t>
      </w:r>
    </w:p>
  </w:footnote>
  <w:footnote w:id="783">
    <w:p w14:paraId="0820A80E">
      <w:pPr>
        <w:pStyle w:val="11"/>
        <w:keepNext w:val="0"/>
        <w:pageBreakBefore w:val="0"/>
        <w:overflowPunct/>
        <w:topLinePunct w:val="0"/>
        <w:bidi w:val="0"/>
        <w:spacing w:line="240" w:lineRule="auto"/>
        <w:ind w:left="0" w:firstLine="0" w:firstLineChars="0"/>
        <w:jc w:val="both"/>
        <w:rPr>
          <w:rFonts w:ascii="Times New Roman" w:hAnsi="Times New Roman" w:cs="Times New Roman"/>
        </w:rPr>
      </w:pPr>
      <w:r>
        <w:rPr>
          <w:rStyle w:val="20"/>
          <w:rFonts w:ascii="宋体" w:hAnsi="宋体" w:cs="Times New Roman"/>
          <w:sz w:val="15"/>
          <w:szCs w:val="15"/>
        </w:rPr>
        <w:footnoteRef/>
      </w:r>
      <w:r>
        <w:rPr>
          <w:rFonts w:hint="eastAsia" w:ascii="Times New Roman" w:hAnsi="Times New Roman" w:cs="Times New Roman"/>
          <w:sz w:val="15"/>
          <w:szCs w:val="15"/>
        </w:rPr>
        <w:t xml:space="preserve"> 习</w:t>
      </w:r>
      <w:r>
        <w:rPr>
          <w:rFonts w:ascii="Times New Roman" w:hAnsi="Times New Roman" w:cs="Times New Roman"/>
          <w:sz w:val="15"/>
          <w:szCs w:val="15"/>
        </w:rPr>
        <w:t>近平：《开放合作 命运与共》，《人民日报》，2019-11-6</w:t>
      </w:r>
      <w:r>
        <w:rPr>
          <w:rFonts w:hint="eastAsia" w:ascii="Times New Roman" w:hAnsi="Times New Roman" w:cs="Times New Roman"/>
          <w:sz w:val="15"/>
          <w:szCs w:val="15"/>
        </w:rPr>
        <w:t>。</w:t>
      </w:r>
    </w:p>
  </w:footnote>
  <w:footnote w:id="784">
    <w:p w14:paraId="615087CB">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胡润研究院 :《2023衡昌烧坊 · 胡润百富榜》, https://www. hurun. net/zh-CN/Info/Detail?</w:t>
      </w:r>
    </w:p>
    <w:p w14:paraId="0232106B">
      <w:pPr>
        <w:pStyle w:val="11"/>
        <w:keepNext w:val="0"/>
        <w:pageBreakBefore w:val="0"/>
        <w:overflowPunct/>
        <w:topLinePunct w:val="0"/>
        <w:bidi w:val="0"/>
        <w:snapToGrid w:val="0"/>
        <w:spacing w:line="240" w:lineRule="auto"/>
        <w:ind w:left="0" w:firstLine="0" w:firstLineChars="0"/>
      </w:pPr>
      <w:r>
        <w:rPr>
          <w:rFonts w:hint="eastAsia"/>
        </w:rPr>
        <w:t>num=B88OJNGLVKED. 2023年 10月 24 日。</w:t>
      </w:r>
    </w:p>
  </w:footnote>
  <w:footnote w:id="785">
    <w:p w14:paraId="76E9C01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福布斯中国:《福布斯发布 2023全球亿万富豪榜》, https://www. forbeschina. com/leader- ship/63710.  2023年 4月 4 日。</w:t>
      </w:r>
    </w:p>
  </w:footnote>
  <w:footnote w:id="786">
    <w:p w14:paraId="38356D3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李家山、易行健、何启志:《中国居民财富不平等的测算修正、异质性与驱动机制》,《财政研究》 2021年第 12期。</w:t>
      </w:r>
    </w:p>
  </w:footnote>
  <w:footnote w:id="787">
    <w:p w14:paraId="5F9FF55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杨灿明、孙群力 :《中国居民收入差距与不平等的分解    基于 2010年问卷调查数据的分 析》,《财贸经济》2011年第 11期。</w:t>
      </w:r>
    </w:p>
  </w:footnote>
  <w:footnote w:id="788">
    <w:p w14:paraId="65E5D474">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程恩富、刘伟:《社会主义共同富裕的理论解读与实践剖析》,《马克思主义研究》2012年第 6 期。</w:t>
      </w:r>
    </w:p>
    <w:p w14:paraId="2EAC153A">
      <w:pPr>
        <w:pStyle w:val="11"/>
        <w:keepNext w:val="0"/>
        <w:pageBreakBefore w:val="0"/>
        <w:overflowPunct/>
        <w:topLinePunct w:val="0"/>
        <w:bidi w:val="0"/>
        <w:snapToGrid w:val="0"/>
        <w:spacing w:line="240" w:lineRule="auto"/>
        <w:ind w:left="0" w:firstLine="0" w:firstLineChars="0"/>
        <w:rPr>
          <w:rFonts w:hint="eastAsia"/>
        </w:rPr>
      </w:pPr>
    </w:p>
  </w:footnote>
  <w:footnote w:id="789">
    <w:p w14:paraId="0C90A091">
      <w:pPr>
        <w:pStyle w:val="11"/>
        <w:keepNext w:val="0"/>
        <w:pageBreakBefore w:val="0"/>
        <w:overflowPunct/>
        <w:topLinePunct w:val="0"/>
        <w:bidi w:val="0"/>
        <w:snapToGrid w:val="0"/>
        <w:spacing w:line="240" w:lineRule="auto"/>
        <w:ind w:left="0" w:firstLine="0" w:firstLineChars="0"/>
        <w:rPr>
          <w:rFonts w:hint="eastAsia" w:eastAsia="宋体"/>
          <w:lang w:eastAsia="zh-CN"/>
        </w:rPr>
      </w:pPr>
      <w:r>
        <w:rPr>
          <w:rFonts w:hint="eastAsia"/>
        </w:rPr>
        <w:footnoteRef/>
      </w:r>
      <w:r>
        <w:rPr>
          <w:rFonts w:hint="eastAsia"/>
        </w:rPr>
        <w:t xml:space="preserve"> 李政:《公有制为主体和按劳分配为主是实现共同富裕的前提和基本保障》,《管理学刊》2022 年第 35卷第 4期</w:t>
      </w:r>
      <w:r>
        <w:rPr>
          <w:rFonts w:hint="eastAsia" w:eastAsia="宋体"/>
          <w:lang w:eastAsia="zh-CN"/>
        </w:rPr>
        <w:t>。</w:t>
      </w:r>
    </w:p>
  </w:footnote>
  <w:footnote w:id="790">
    <w:p w14:paraId="54C042F6">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hint="eastAsia"/>
        </w:rPr>
        <w:t>程恩富、张建刚:《坚持公有制经济为主体与促进共同富裕》,《求是学刊》2013年第 40卷第 1 期。</w:t>
      </w:r>
    </w:p>
  </w:footnote>
  <w:footnote w:id="791">
    <w:p w14:paraId="4807EBE1">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spacing w:val="-8"/>
          <w:sz w:val="15"/>
          <w:szCs w:val="15"/>
        </w:rPr>
        <w:t>央广网</w:t>
      </w:r>
      <w:r>
        <w:rPr>
          <w:spacing w:val="-34"/>
          <w:sz w:val="15"/>
          <w:szCs w:val="15"/>
        </w:rPr>
        <w:t xml:space="preserve"> </w:t>
      </w:r>
      <w:r>
        <w:rPr>
          <w:rFonts w:ascii="微软雅黑" w:hAnsi="微软雅黑" w:eastAsia="微软雅黑" w:cs="微软雅黑"/>
          <w:spacing w:val="-8"/>
          <w:sz w:val="15"/>
          <w:szCs w:val="15"/>
        </w:rPr>
        <w:t>:《</w:t>
      </w:r>
      <w:r>
        <w:rPr>
          <w:spacing w:val="-8"/>
          <w:sz w:val="15"/>
          <w:szCs w:val="15"/>
        </w:rPr>
        <w:t>党</w:t>
      </w:r>
      <w:r>
        <w:rPr>
          <w:spacing w:val="-30"/>
          <w:sz w:val="15"/>
          <w:szCs w:val="15"/>
        </w:rPr>
        <w:t xml:space="preserve"> </w:t>
      </w:r>
      <w:r>
        <w:rPr>
          <w:spacing w:val="-8"/>
          <w:sz w:val="15"/>
          <w:szCs w:val="15"/>
        </w:rPr>
        <w:t>史 自</w:t>
      </w:r>
      <w:r>
        <w:rPr>
          <w:spacing w:val="-16"/>
          <w:sz w:val="15"/>
          <w:szCs w:val="15"/>
        </w:rPr>
        <w:t xml:space="preserve"> </w:t>
      </w:r>
      <w:r>
        <w:rPr>
          <w:spacing w:val="-8"/>
          <w:sz w:val="15"/>
          <w:szCs w:val="15"/>
        </w:rPr>
        <w:t>习 日</w:t>
      </w:r>
      <w:r>
        <w:rPr>
          <w:spacing w:val="-32"/>
          <w:sz w:val="15"/>
          <w:szCs w:val="15"/>
        </w:rPr>
        <w:t xml:space="preserve"> </w:t>
      </w:r>
      <w:r>
        <w:rPr>
          <w:spacing w:val="-8"/>
          <w:sz w:val="15"/>
          <w:szCs w:val="15"/>
        </w:rPr>
        <w:t xml:space="preserve">历 </w:t>
      </w:r>
      <w:r>
        <w:rPr>
          <w:rFonts w:ascii="微软雅黑" w:hAnsi="微软雅黑" w:eastAsia="微软雅黑" w:cs="微软雅黑"/>
          <w:spacing w:val="-1"/>
          <w:position w:val="-1"/>
          <w:sz w:val="15"/>
          <w:szCs w:val="15"/>
        </w:rPr>
        <w:t>|</w:t>
      </w:r>
      <w:r>
        <w:rPr>
          <w:spacing w:val="-1"/>
          <w:sz w:val="15"/>
          <w:szCs w:val="15"/>
        </w:rPr>
        <w:t>坚</w:t>
      </w:r>
      <w:r>
        <w:rPr>
          <w:spacing w:val="-33"/>
          <w:sz w:val="15"/>
          <w:szCs w:val="15"/>
        </w:rPr>
        <w:t xml:space="preserve"> </w:t>
      </w:r>
      <w:r>
        <w:rPr>
          <w:spacing w:val="-1"/>
          <w:sz w:val="15"/>
          <w:szCs w:val="15"/>
        </w:rPr>
        <w:t>定</w:t>
      </w:r>
      <w:r>
        <w:rPr>
          <w:spacing w:val="-28"/>
          <w:sz w:val="15"/>
          <w:szCs w:val="15"/>
        </w:rPr>
        <w:t xml:space="preserve"> </w:t>
      </w:r>
      <w:r>
        <w:rPr>
          <w:spacing w:val="-1"/>
          <w:sz w:val="15"/>
          <w:szCs w:val="15"/>
        </w:rPr>
        <w:t>不移</w:t>
      </w:r>
      <w:r>
        <w:rPr>
          <w:spacing w:val="-29"/>
          <w:sz w:val="15"/>
          <w:szCs w:val="15"/>
        </w:rPr>
        <w:t xml:space="preserve"> </w:t>
      </w:r>
      <w:r>
        <w:rPr>
          <w:spacing w:val="-1"/>
          <w:sz w:val="15"/>
          <w:szCs w:val="15"/>
        </w:rPr>
        <w:t>深</w:t>
      </w:r>
      <w:r>
        <w:rPr>
          <w:spacing w:val="-29"/>
          <w:sz w:val="15"/>
          <w:szCs w:val="15"/>
        </w:rPr>
        <w:t xml:space="preserve"> </w:t>
      </w:r>
      <w:r>
        <w:rPr>
          <w:spacing w:val="-1"/>
          <w:sz w:val="15"/>
          <w:szCs w:val="15"/>
        </w:rPr>
        <w:t>化</w:t>
      </w:r>
      <w:r>
        <w:rPr>
          <w:spacing w:val="-15"/>
          <w:sz w:val="15"/>
          <w:szCs w:val="15"/>
        </w:rPr>
        <w:t xml:space="preserve"> </w:t>
      </w:r>
      <w:r>
        <w:rPr>
          <w:spacing w:val="-1"/>
          <w:sz w:val="15"/>
          <w:szCs w:val="15"/>
        </w:rPr>
        <w:t>国</w:t>
      </w:r>
      <w:r>
        <w:rPr>
          <w:spacing w:val="-30"/>
          <w:sz w:val="15"/>
          <w:szCs w:val="15"/>
        </w:rPr>
        <w:t xml:space="preserve"> </w:t>
      </w:r>
      <w:r>
        <w:rPr>
          <w:spacing w:val="-1"/>
          <w:sz w:val="15"/>
          <w:szCs w:val="15"/>
        </w:rPr>
        <w:t>有</w:t>
      </w:r>
      <w:r>
        <w:rPr>
          <w:spacing w:val="-31"/>
          <w:sz w:val="15"/>
          <w:szCs w:val="15"/>
        </w:rPr>
        <w:t xml:space="preserve"> </w:t>
      </w:r>
      <w:r>
        <w:rPr>
          <w:spacing w:val="-1"/>
          <w:sz w:val="15"/>
          <w:szCs w:val="15"/>
        </w:rPr>
        <w:t>企</w:t>
      </w:r>
      <w:r>
        <w:rPr>
          <w:spacing w:val="-26"/>
          <w:sz w:val="15"/>
          <w:szCs w:val="15"/>
        </w:rPr>
        <w:t xml:space="preserve"> </w:t>
      </w:r>
      <w:r>
        <w:rPr>
          <w:spacing w:val="-1"/>
          <w:sz w:val="15"/>
          <w:szCs w:val="15"/>
        </w:rPr>
        <w:t>业</w:t>
      </w:r>
      <w:r>
        <w:rPr>
          <w:spacing w:val="-21"/>
          <w:sz w:val="15"/>
          <w:szCs w:val="15"/>
        </w:rPr>
        <w:t xml:space="preserve"> </w:t>
      </w:r>
      <w:r>
        <w:rPr>
          <w:spacing w:val="-1"/>
          <w:sz w:val="15"/>
          <w:szCs w:val="15"/>
        </w:rPr>
        <w:t>改</w:t>
      </w:r>
      <w:r>
        <w:rPr>
          <w:spacing w:val="-29"/>
          <w:sz w:val="15"/>
          <w:szCs w:val="15"/>
        </w:rPr>
        <w:t xml:space="preserve"> </w:t>
      </w:r>
      <w:r>
        <w:rPr>
          <w:spacing w:val="-1"/>
          <w:sz w:val="15"/>
          <w:szCs w:val="15"/>
        </w:rPr>
        <w:t>革</w:t>
      </w:r>
      <w:r>
        <w:rPr>
          <w:rFonts w:ascii="微软雅黑" w:hAnsi="微软雅黑" w:eastAsia="微软雅黑" w:cs="微软雅黑"/>
          <w:spacing w:val="-1"/>
          <w:sz w:val="15"/>
          <w:szCs w:val="15"/>
        </w:rPr>
        <w:t>》,</w:t>
      </w:r>
      <w:r>
        <w:rPr>
          <w:rFonts w:ascii="微软雅黑" w:hAnsi="微软雅黑" w:eastAsia="微软雅黑" w:cs="微软雅黑"/>
          <w:spacing w:val="-9"/>
          <w:sz w:val="15"/>
          <w:szCs w:val="15"/>
        </w:rPr>
        <w:t xml:space="preserve"> </w:t>
      </w:r>
      <w:r>
        <w:rPr>
          <w:rFonts w:ascii="微软雅黑" w:hAnsi="微软雅黑" w:eastAsia="微软雅黑" w:cs="微软雅黑"/>
          <w:spacing w:val="-1"/>
          <w:position w:val="-1"/>
          <w:sz w:val="15"/>
          <w:szCs w:val="15"/>
        </w:rPr>
        <w:t>https:</w:t>
      </w:r>
      <w:r>
        <w:rPr>
          <w:rFonts w:ascii="微软雅黑" w:hAnsi="微软雅黑" w:eastAsia="微软雅黑" w:cs="微软雅黑"/>
          <w:spacing w:val="-1"/>
          <w:sz w:val="15"/>
          <w:szCs w:val="15"/>
        </w:rPr>
        <w:t>//</w:t>
      </w:r>
      <w:r>
        <w:rPr>
          <w:rFonts w:ascii="微软雅黑" w:hAnsi="微软雅黑" w:eastAsia="微软雅黑" w:cs="微软雅黑"/>
          <w:spacing w:val="-1"/>
          <w:position w:val="-1"/>
          <w:sz w:val="15"/>
          <w:szCs w:val="15"/>
        </w:rPr>
        <w:t>edu.</w:t>
      </w:r>
      <w:r>
        <w:rPr>
          <w:rFonts w:ascii="微软雅黑" w:hAnsi="微软雅黑" w:eastAsia="微软雅黑" w:cs="微软雅黑"/>
          <w:spacing w:val="31"/>
          <w:w w:val="101"/>
          <w:position w:val="-1"/>
          <w:sz w:val="15"/>
          <w:szCs w:val="15"/>
        </w:rPr>
        <w:t xml:space="preserve"> </w:t>
      </w:r>
      <w:r>
        <w:rPr>
          <w:rFonts w:ascii="微软雅黑" w:hAnsi="微软雅黑" w:eastAsia="微软雅黑" w:cs="微软雅黑"/>
          <w:spacing w:val="-1"/>
          <w:position w:val="-1"/>
          <w:sz w:val="15"/>
          <w:szCs w:val="15"/>
        </w:rPr>
        <w:t>cnr.</w:t>
      </w:r>
      <w:r>
        <w:rPr>
          <w:rFonts w:ascii="微软雅黑" w:hAnsi="微软雅黑" w:eastAsia="微软雅黑" w:cs="微软雅黑"/>
          <w:spacing w:val="18"/>
          <w:w w:val="101"/>
          <w:position w:val="-1"/>
          <w:sz w:val="15"/>
          <w:szCs w:val="15"/>
        </w:rPr>
        <w:t xml:space="preserve"> </w:t>
      </w:r>
      <w:r>
        <w:rPr>
          <w:rFonts w:ascii="微软雅黑" w:hAnsi="微软雅黑" w:eastAsia="微软雅黑" w:cs="微软雅黑"/>
          <w:spacing w:val="-1"/>
          <w:position w:val="-1"/>
          <w:sz w:val="15"/>
          <w:szCs w:val="15"/>
        </w:rPr>
        <w:t>cn</w:t>
      </w:r>
      <w:r>
        <w:rPr>
          <w:rFonts w:ascii="微软雅黑" w:hAnsi="微软雅黑" w:eastAsia="微软雅黑" w:cs="微软雅黑"/>
          <w:spacing w:val="-1"/>
          <w:sz w:val="15"/>
          <w:szCs w:val="15"/>
        </w:rPr>
        <w:t>/</w:t>
      </w:r>
      <w:r>
        <w:rPr>
          <w:rFonts w:ascii="微软雅黑" w:hAnsi="微软雅黑" w:eastAsia="微软雅黑" w:cs="微软雅黑"/>
          <w:spacing w:val="-1"/>
          <w:position w:val="-1"/>
          <w:sz w:val="15"/>
          <w:szCs w:val="15"/>
        </w:rPr>
        <w:t>ed</w:t>
      </w:r>
      <w:r>
        <w:rPr>
          <w:rFonts w:ascii="微软雅黑" w:hAnsi="微软雅黑" w:eastAsia="微软雅黑" w:cs="微软雅黑"/>
          <w:spacing w:val="-2"/>
          <w:position w:val="-1"/>
          <w:sz w:val="15"/>
          <w:szCs w:val="15"/>
        </w:rPr>
        <w:t>uzt</w:t>
      </w:r>
      <w:r>
        <w:rPr>
          <w:rFonts w:ascii="微软雅黑" w:hAnsi="微软雅黑" w:eastAsia="微软雅黑" w:cs="微软雅黑"/>
          <w:spacing w:val="-2"/>
          <w:sz w:val="15"/>
          <w:szCs w:val="15"/>
        </w:rPr>
        <w:t>/d</w:t>
      </w:r>
      <w:r>
        <w:rPr>
          <w:rFonts w:ascii="微软雅黑" w:hAnsi="微软雅黑" w:eastAsia="微软雅黑" w:cs="微软雅黑"/>
          <w:spacing w:val="-2"/>
          <w:position w:val="-1"/>
          <w:sz w:val="15"/>
          <w:szCs w:val="15"/>
        </w:rPr>
        <w:t>s</w:t>
      </w:r>
      <w:r>
        <w:rPr>
          <w:rFonts w:ascii="微软雅黑" w:hAnsi="微软雅黑" w:eastAsia="微软雅黑" w:cs="微软雅黑"/>
          <w:spacing w:val="-2"/>
          <w:sz w:val="15"/>
          <w:szCs w:val="15"/>
        </w:rPr>
        <w:t>/</w:t>
      </w:r>
      <w:r>
        <w:rPr>
          <w:rFonts w:ascii="微软雅黑" w:hAnsi="微软雅黑" w:eastAsia="微软雅黑" w:cs="微软雅黑"/>
          <w:sz w:val="15"/>
          <w:szCs w:val="15"/>
        </w:rPr>
        <w:t xml:space="preserve"> </w:t>
      </w:r>
      <w:r>
        <w:rPr>
          <w:rFonts w:ascii="微软雅黑" w:hAnsi="微软雅黑" w:eastAsia="微软雅黑" w:cs="微软雅黑"/>
          <w:spacing w:val="-4"/>
          <w:sz w:val="15"/>
          <w:szCs w:val="15"/>
        </w:rPr>
        <w:t>20210705/t20210705</w:t>
      </w:r>
      <w:r>
        <w:rPr>
          <w:rFonts w:ascii="微软雅黑" w:hAnsi="微软雅黑" w:eastAsia="微软雅黑" w:cs="微软雅黑"/>
          <w:spacing w:val="-4"/>
          <w:position w:val="2"/>
          <w:sz w:val="15"/>
          <w:szCs w:val="15"/>
        </w:rPr>
        <w:t>_</w:t>
      </w:r>
      <w:r>
        <w:rPr>
          <w:rFonts w:ascii="微软雅黑" w:hAnsi="微软雅黑" w:eastAsia="微软雅黑" w:cs="微软雅黑"/>
          <w:spacing w:val="-4"/>
          <w:sz w:val="15"/>
          <w:szCs w:val="15"/>
        </w:rPr>
        <w:t>525527262.</w:t>
      </w:r>
      <w:r>
        <w:rPr>
          <w:rFonts w:ascii="微软雅黑" w:hAnsi="微软雅黑" w:eastAsia="微软雅黑" w:cs="微软雅黑"/>
          <w:spacing w:val="9"/>
          <w:sz w:val="15"/>
          <w:szCs w:val="15"/>
        </w:rPr>
        <w:t xml:space="preserve"> </w:t>
      </w:r>
      <w:r>
        <w:rPr>
          <w:rFonts w:ascii="微软雅黑" w:hAnsi="微软雅黑" w:eastAsia="微软雅黑" w:cs="微软雅黑"/>
          <w:spacing w:val="-4"/>
          <w:sz w:val="15"/>
          <w:szCs w:val="15"/>
        </w:rPr>
        <w:t>shtml.</w:t>
      </w:r>
      <w:r>
        <w:rPr>
          <w:rFonts w:ascii="微软雅黑" w:hAnsi="微软雅黑" w:eastAsia="微软雅黑" w:cs="微软雅黑"/>
          <w:spacing w:val="-13"/>
          <w:sz w:val="15"/>
          <w:szCs w:val="15"/>
        </w:rPr>
        <w:t xml:space="preserve"> </w:t>
      </w:r>
      <w:r>
        <w:rPr>
          <w:rFonts w:ascii="微软雅黑" w:hAnsi="微软雅黑" w:eastAsia="微软雅黑" w:cs="微软雅黑"/>
          <w:spacing w:val="-4"/>
          <w:sz w:val="15"/>
          <w:szCs w:val="15"/>
        </w:rPr>
        <w:t>2021</w:t>
      </w:r>
      <w:r>
        <w:rPr>
          <w:spacing w:val="-4"/>
          <w:position w:val="1"/>
          <w:sz w:val="15"/>
          <w:szCs w:val="15"/>
        </w:rPr>
        <w:t>年</w:t>
      </w:r>
      <w:r>
        <w:rPr>
          <w:spacing w:val="-14"/>
          <w:position w:val="1"/>
          <w:sz w:val="15"/>
          <w:szCs w:val="15"/>
        </w:rPr>
        <w:t xml:space="preserve"> </w:t>
      </w:r>
      <w:r>
        <w:rPr>
          <w:rFonts w:ascii="微软雅黑" w:hAnsi="微软雅黑" w:eastAsia="微软雅黑" w:cs="微软雅黑"/>
          <w:spacing w:val="-4"/>
          <w:sz w:val="15"/>
          <w:szCs w:val="15"/>
        </w:rPr>
        <w:t>7</w:t>
      </w:r>
      <w:r>
        <w:rPr>
          <w:spacing w:val="-4"/>
          <w:position w:val="1"/>
          <w:sz w:val="15"/>
          <w:szCs w:val="15"/>
        </w:rPr>
        <w:t>月</w:t>
      </w:r>
      <w:r>
        <w:rPr>
          <w:spacing w:val="-18"/>
          <w:position w:val="1"/>
          <w:sz w:val="15"/>
          <w:szCs w:val="15"/>
        </w:rPr>
        <w:t xml:space="preserve"> </w:t>
      </w:r>
      <w:r>
        <w:rPr>
          <w:rFonts w:ascii="微软雅黑" w:hAnsi="微软雅黑" w:eastAsia="微软雅黑" w:cs="微软雅黑"/>
          <w:spacing w:val="-4"/>
          <w:sz w:val="15"/>
          <w:szCs w:val="15"/>
        </w:rPr>
        <w:t xml:space="preserve">4 </w:t>
      </w:r>
      <w:r>
        <w:rPr>
          <w:spacing w:val="-4"/>
          <w:position w:val="1"/>
          <w:sz w:val="15"/>
          <w:szCs w:val="15"/>
        </w:rPr>
        <w:t>日</w:t>
      </w:r>
      <w:r>
        <w:rPr>
          <w:rFonts w:ascii="微软雅黑" w:hAnsi="微软雅黑" w:eastAsia="微软雅黑" w:cs="微软雅黑"/>
          <w:spacing w:val="-4"/>
          <w:position w:val="2"/>
          <w:sz w:val="15"/>
          <w:szCs w:val="15"/>
        </w:rPr>
        <w:t>。</w:t>
      </w:r>
    </w:p>
  </w:footnote>
  <w:footnote w:id="792">
    <w:p w14:paraId="3BE7375B">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ascii="微软雅黑" w:hAnsi="微软雅黑" w:eastAsia="微软雅黑" w:cs="微软雅黑"/>
          <w:spacing w:val="9"/>
          <w:sz w:val="15"/>
          <w:szCs w:val="15"/>
        </w:rPr>
        <w:t>《</w:t>
      </w:r>
      <w:r>
        <w:rPr>
          <w:spacing w:val="9"/>
          <w:sz w:val="15"/>
          <w:szCs w:val="15"/>
        </w:rPr>
        <w:t>习近平谈治国理政</w:t>
      </w:r>
      <w:r>
        <w:rPr>
          <w:rFonts w:ascii="微软雅黑" w:hAnsi="微软雅黑" w:eastAsia="微软雅黑" w:cs="微软雅黑"/>
          <w:spacing w:val="9"/>
          <w:sz w:val="15"/>
          <w:szCs w:val="15"/>
        </w:rPr>
        <w:t>》</w:t>
      </w:r>
      <w:r>
        <w:rPr>
          <w:spacing w:val="9"/>
          <w:sz w:val="15"/>
          <w:szCs w:val="15"/>
        </w:rPr>
        <w:t>第</w:t>
      </w:r>
      <w:r>
        <w:rPr>
          <w:spacing w:val="-16"/>
          <w:sz w:val="15"/>
          <w:szCs w:val="15"/>
        </w:rPr>
        <w:t xml:space="preserve"> </w:t>
      </w:r>
      <w:r>
        <w:rPr>
          <w:rFonts w:ascii="微软雅黑" w:hAnsi="微软雅黑" w:eastAsia="微软雅黑" w:cs="微软雅黑"/>
          <w:spacing w:val="9"/>
          <w:position w:val="-1"/>
          <w:sz w:val="15"/>
          <w:szCs w:val="15"/>
        </w:rPr>
        <w:t>2</w:t>
      </w:r>
      <w:r>
        <w:rPr>
          <w:spacing w:val="9"/>
          <w:sz w:val="15"/>
          <w:szCs w:val="15"/>
        </w:rPr>
        <w:t>卷</w:t>
      </w:r>
      <w:r>
        <w:rPr>
          <w:rFonts w:ascii="微软雅黑" w:hAnsi="微软雅黑" w:eastAsia="微软雅黑" w:cs="微软雅黑"/>
          <w:spacing w:val="9"/>
          <w:sz w:val="15"/>
          <w:szCs w:val="15"/>
        </w:rPr>
        <w:t>,</w:t>
      </w:r>
      <w:r>
        <w:rPr>
          <w:spacing w:val="9"/>
          <w:sz w:val="15"/>
          <w:szCs w:val="15"/>
        </w:rPr>
        <w:t>北京</w:t>
      </w:r>
      <w:r>
        <w:rPr>
          <w:rFonts w:ascii="微软雅黑" w:hAnsi="微软雅黑" w:eastAsia="微软雅黑" w:cs="微软雅黑"/>
          <w:spacing w:val="9"/>
          <w:sz w:val="15"/>
          <w:szCs w:val="15"/>
        </w:rPr>
        <w:t>:</w:t>
      </w:r>
      <w:r>
        <w:rPr>
          <w:spacing w:val="8"/>
          <w:sz w:val="15"/>
          <w:szCs w:val="15"/>
        </w:rPr>
        <w:t>外文出版社</w:t>
      </w:r>
      <w:r>
        <w:rPr>
          <w:rFonts w:ascii="微软雅黑" w:hAnsi="微软雅黑" w:eastAsia="微软雅黑" w:cs="微软雅黑"/>
          <w:spacing w:val="8"/>
          <w:sz w:val="15"/>
          <w:szCs w:val="15"/>
        </w:rPr>
        <w:t>,</w:t>
      </w:r>
      <w:r>
        <w:rPr>
          <w:rFonts w:ascii="微软雅黑" w:hAnsi="微软雅黑" w:eastAsia="微软雅黑" w:cs="微软雅黑"/>
          <w:spacing w:val="8"/>
          <w:position w:val="-1"/>
          <w:sz w:val="15"/>
          <w:szCs w:val="15"/>
        </w:rPr>
        <w:t>2017</w:t>
      </w:r>
      <w:r>
        <w:rPr>
          <w:spacing w:val="8"/>
          <w:sz w:val="15"/>
          <w:szCs w:val="15"/>
        </w:rPr>
        <w:t>年</w:t>
      </w:r>
      <w:r>
        <w:rPr>
          <w:rFonts w:ascii="微软雅黑" w:hAnsi="微软雅黑" w:eastAsia="微软雅黑" w:cs="微软雅黑"/>
          <w:spacing w:val="8"/>
          <w:sz w:val="15"/>
          <w:szCs w:val="15"/>
        </w:rPr>
        <w:t>,</w:t>
      </w:r>
      <w:r>
        <w:rPr>
          <w:spacing w:val="8"/>
          <w:sz w:val="15"/>
          <w:szCs w:val="15"/>
        </w:rPr>
        <w:t>第</w:t>
      </w:r>
      <w:r>
        <w:rPr>
          <w:spacing w:val="-12"/>
          <w:sz w:val="15"/>
          <w:szCs w:val="15"/>
        </w:rPr>
        <w:t xml:space="preserve"> </w:t>
      </w:r>
      <w:r>
        <w:rPr>
          <w:rFonts w:ascii="微软雅黑" w:hAnsi="微软雅黑" w:eastAsia="微软雅黑" w:cs="微软雅黑"/>
          <w:spacing w:val="8"/>
          <w:position w:val="-1"/>
          <w:sz w:val="15"/>
          <w:szCs w:val="15"/>
        </w:rPr>
        <w:t>176</w:t>
      </w:r>
      <w:r>
        <w:rPr>
          <w:spacing w:val="8"/>
          <w:sz w:val="15"/>
          <w:szCs w:val="15"/>
        </w:rPr>
        <w:t>页</w:t>
      </w:r>
      <w:r>
        <w:rPr>
          <w:rFonts w:ascii="微软雅黑" w:hAnsi="微软雅黑" w:eastAsia="微软雅黑" w:cs="微软雅黑"/>
          <w:spacing w:val="8"/>
          <w:sz w:val="15"/>
          <w:szCs w:val="15"/>
        </w:rPr>
        <w:t>。</w:t>
      </w:r>
    </w:p>
  </w:footnote>
  <w:footnote w:id="793">
    <w:p w14:paraId="4B712A94">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hint="eastAsia"/>
        </w:rPr>
        <w:t>习近平:《习近平主持召开中央全面深化改革领导小组第五次会议》,《人民 日报》2014年 9 月 30 日。</w:t>
      </w:r>
    </w:p>
  </w:footnote>
  <w:footnote w:id="794">
    <w:p w14:paraId="0C0F55FB">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hint="eastAsia"/>
        </w:rPr>
        <w:t xml:space="preserve">   新华网 :《习近平主持中共中央政治局第八次集体学习并讲话》, https://baijiahao. baidu. com/s?  id=1612306658882120486&amp;wfr=spider&amp;for=pc. 2018年 9月 22 日。</w:t>
      </w:r>
    </w:p>
  </w:footnote>
  <w:footnote w:id="795">
    <w:p w14:paraId="2D99420C">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hint="eastAsia"/>
        </w:rPr>
        <w:t>习近平:《把乡村振兴战略作为新时代“三农”工作总抓手》,《社会主义论坛》2019年第 7期。</w:t>
      </w:r>
    </w:p>
  </w:footnote>
  <w:footnote w:id="796">
    <w:p w14:paraId="1FA54427">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hint="eastAsia"/>
        </w:rPr>
        <w:t>周文、唐教成:《乡村振兴与共同富裕 : 问题与实践路径》,《浙江工商大学学报》2022年第 6 期。</w:t>
      </w:r>
    </w:p>
  </w:footnote>
  <w:footnote w:id="797">
    <w:p w14:paraId="4B11B2BE">
      <w:pPr>
        <w:pStyle w:val="11"/>
        <w:keepNext w:val="0"/>
        <w:pageBreakBefore w:val="0"/>
        <w:overflowPunct/>
        <w:topLinePunct w:val="0"/>
        <w:bidi w:val="0"/>
        <w:snapToGrid w:val="0"/>
        <w:spacing w:line="240" w:lineRule="auto"/>
        <w:ind w:left="0" w:firstLine="0" w:firstLineChars="0"/>
        <w:rPr>
          <w:rFonts w:hint="default" w:eastAsia="宋体"/>
          <w:lang w:val="en-US" w:eastAsia="zh-CN"/>
        </w:rPr>
      </w:pPr>
      <w:r>
        <w:rPr>
          <w:rStyle w:val="20"/>
        </w:rPr>
        <w:footnoteRef/>
      </w:r>
      <w:r>
        <w:t xml:space="preserve"> </w:t>
      </w:r>
      <w:r>
        <w:rPr>
          <w:rFonts w:hint="eastAsia"/>
        </w:rPr>
        <w:t>新华社:《开局“十 四五”开启新征程— 从 2020年中央经济工作会议看以习近平同志为核心</w:t>
      </w:r>
      <w:r>
        <w:rPr>
          <w:rFonts w:hint="eastAsia" w:eastAsia="宋体"/>
          <w:lang w:val="en-US" w:eastAsia="zh-CN"/>
        </w:rPr>
        <w:t>的党中央谋划“十四五”开局起步》，https://baijiahao. baidu. Com/s? id= 1686612824377357701&amp;.wfr=spider&amp;.for=pc. 2020年12月20日</w:t>
      </w:r>
    </w:p>
  </w:footnote>
  <w:footnote w:id="798">
    <w:p w14:paraId="42C3D194">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程恩富:《面对各种挑战,继续坚持和完善社会主义经济体制和机制》,《国外理论动态》2011 年第 12期。</w:t>
      </w:r>
    </w:p>
  </w:footnote>
  <w:footnote w:id="799">
    <w:p w14:paraId="76AB1B8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侯为民、杨坤睿:《运用“国家法策”分配方式促进共同富裕》,《管理学刊》2022年第 35卷第 4 期。</w:t>
      </w:r>
    </w:p>
    <w:p w14:paraId="37916854">
      <w:pPr>
        <w:pStyle w:val="11"/>
        <w:keepNext w:val="0"/>
        <w:pageBreakBefore w:val="0"/>
        <w:overflowPunct/>
        <w:topLinePunct w:val="0"/>
        <w:bidi w:val="0"/>
        <w:snapToGrid w:val="0"/>
        <w:spacing w:line="240" w:lineRule="auto"/>
        <w:ind w:left="0" w:firstLine="0" w:firstLineChars="0"/>
      </w:pPr>
    </w:p>
  </w:footnote>
  <w:footnote w:id="800">
    <w:p w14:paraId="4C049BD5">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 xml:space="preserve"> 和讯财经 :《刘纪鹏:资本市场是贫富差距最大的地方》,https://news. hexun. com/2023-12- 02/211309240. html. 2023年 12月 2 日。</w:t>
      </w:r>
    </w:p>
  </w:footnote>
  <w:footnote w:id="801">
    <w:p w14:paraId="10F1F1F8">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慈善公益报:《顺大势所趋 应时代所需 遂民生所愿— 专访第十四届全国政协委员、中华慈 善总会党委书记孙达》,https://china. huanqiu. com/article/4GmhPYAirtm. 2024年 2 月 28 日。</w:t>
      </w:r>
    </w:p>
  </w:footnote>
  <w:footnote w:id="802">
    <w:p w14:paraId="058601DA">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李文、张秋颖:《财产税结构的国际比较与借鉴— 以 OECD成员国为例》,《税务研究》2023 年第 11期。</w:t>
      </w:r>
    </w:p>
  </w:footnote>
  <w:footnote w:id="803">
    <w:p w14:paraId="70C38388">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余雅娴、黄江、石坚 :《遗产税制度的国际比较与我国的选择》,《国际税收》2022年第 5期。</w:t>
      </w:r>
    </w:p>
  </w:footnote>
  <w:footnote w:id="804">
    <w:p w14:paraId="1EE1142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于健:《OECD成员国遗产税和继承税制度的比较研究及启示》,《国际税收》2023年第 8期。</w:t>
      </w:r>
    </w:p>
  </w:footnote>
  <w:footnote w:id="805">
    <w:p w14:paraId="49E0F51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宋周、唐小晓、何燕:《运用“捐赠穷弱”分配方式促进共同富裕》,《管理学刊》2022年第 35卷 第 4期。</w:t>
      </w:r>
    </w:p>
  </w:footnote>
  <w:footnote w:id="806">
    <w:p w14:paraId="713894D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饶立新、黄浩荣:《关于“弃籍税”的几点思考》,《税务研究》2017年第 11期。</w:t>
      </w:r>
    </w:p>
  </w:footnote>
  <w:footnote w:id="807">
    <w:p w14:paraId="2CE3AB7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谭珩、杨金亮:《美国退籍税的研究与思考》,《税务研究》2014年第 9期。</w:t>
      </w:r>
    </w:p>
  </w:footnote>
  <w:footnote w:id="808">
    <w:p w14:paraId="14CE1D36">
      <w:pPr>
        <w:pStyle w:val="11"/>
        <w:keepNext w:val="0"/>
        <w:pageBreakBefore w:val="0"/>
        <w:overflowPunct/>
        <w:topLinePunct w:val="0"/>
        <w:bidi w:val="0"/>
        <w:snapToGrid w:val="0"/>
        <w:spacing w:line="240" w:lineRule="auto"/>
        <w:ind w:left="0" w:firstLine="0" w:firstLineChars="0"/>
      </w:pPr>
      <w:r>
        <w:rPr>
          <w:rStyle w:val="20"/>
        </w:rPr>
        <w:footnoteRef/>
      </w:r>
      <w:r>
        <w:t xml:space="preserve"> </w:t>
      </w:r>
      <w:r>
        <w:rPr>
          <w:rFonts w:hint="eastAsia"/>
        </w:rPr>
        <w:t>田志伟、胡怡建、朱王林:《个人所得税、企业所得税、个人社保支出与收入分配》,《财经论丛》 2014年第 11期。</w:t>
      </w:r>
    </w:p>
  </w:footnote>
  <w:footnote w:id="809">
    <w:p w14:paraId="4E569AAB">
      <w:pPr>
        <w:pStyle w:val="11"/>
        <w:keepNext w:val="0"/>
        <w:pageBreakBefore w:val="0"/>
        <w:overflowPunct/>
        <w:topLinePunct w:val="0"/>
        <w:bidi w:val="0"/>
        <w:snapToGrid w:val="0"/>
        <w:spacing w:line="240" w:lineRule="auto"/>
        <w:ind w:left="0" w:firstLine="0" w:firstLineChars="0"/>
        <w:rPr>
          <w:rFonts w:hint="default"/>
          <w:lang w:val="en-US" w:eastAsia="zh-CN"/>
        </w:rPr>
      </w:pPr>
      <w:r>
        <w:rPr>
          <w:rFonts w:hint="eastAsia"/>
        </w:rPr>
        <w:footnoteRef/>
      </w:r>
      <w:r>
        <w:rPr>
          <w:rFonts w:hint="eastAsia"/>
        </w:rPr>
        <w:t xml:space="preserve"> 新华社:《中央金融工作会议在北京举行 习近平李强作重要讲话》, https://www.gov.cn/</w:t>
      </w:r>
      <w:r>
        <w:rPr>
          <w:rFonts w:hint="eastAsia"/>
          <w:lang w:val="en-US" w:eastAsia="zh-CN"/>
        </w:rPr>
        <w:t>yaowen/liebiao/202310/content_6912992.htm? slb=true. 2023年10月31日</w:t>
      </w:r>
    </w:p>
  </w:footnote>
  <w:footnote w:id="810">
    <w:p w14:paraId="40DA1380">
      <w:pPr>
        <w:pStyle w:val="11"/>
        <w:keepNext w:val="0"/>
        <w:pageBreakBefore w:val="0"/>
        <w:overflowPunct/>
        <w:topLinePunct w:val="0"/>
        <w:bidi w:val="0"/>
        <w:snapToGrid w:val="0"/>
        <w:spacing w:line="240" w:lineRule="auto"/>
        <w:ind w:left="0" w:firstLine="0" w:firstLineChars="0"/>
        <w:rPr>
          <w:rFonts w:hint="default"/>
          <w:lang w:val="en-US" w:eastAsia="zh-CN"/>
        </w:rPr>
      </w:pPr>
      <w:r>
        <w:rPr>
          <w:rFonts w:hint="eastAsia"/>
        </w:rPr>
        <w:footnoteRef/>
      </w:r>
      <w:r>
        <w:rPr>
          <w:rFonts w:hint="eastAsia"/>
        </w:rPr>
        <w:t xml:space="preserve"> </w:t>
      </w:r>
      <w:r>
        <w:rPr>
          <w:rFonts w:hint="eastAsia"/>
          <w:lang w:val="en-US" w:eastAsia="zh-CN"/>
        </w:rPr>
        <w:t>郑军、伍安琪：《普惠保险、家庭创业与贫富差距》，《审计与经济研究》2023年第38卷第1期。</w:t>
      </w:r>
    </w:p>
  </w:footnote>
  <w:footnote w:id="811">
    <w:p w14:paraId="0283720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葛和平、毛毅翀:《我国普惠金融发展对贫富差距的影响效应研究》,《湘潭大学学报(哲学社会 科学版)》2019年第 43卷第 6期。</w:t>
      </w:r>
    </w:p>
  </w:footnote>
  <w:footnote w:id="812">
    <w:p w14:paraId="53D7B87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新华社:《中共中央关于制定国民经济和社会发展第十四个五年规划和二○三五年远景目标 的建议》,https://www. gov. cn/zhengce/2020-11/03/content_5556991. htm.  2020年 11月 3 日。</w:t>
      </w:r>
    </w:p>
  </w:footnote>
  <w:footnote w:id="813">
    <w:p w14:paraId="066794C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住房城乡建设部网站:《全国住房城乡建设工作会议在京召开》, https://www. gov. cn/lian- bo/bumen/202312/content_6921891. htm.  2023年 12月 22 日。</w:t>
      </w:r>
    </w:p>
  </w:footnote>
  <w:footnote w:id="814">
    <w:p w14:paraId="67447873">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程恩富、伍山林:《促进社会各阶层共同富裕的若干政策思路》,《政治经济学研究》2021年第 2期。</w:t>
      </w:r>
    </w:p>
  </w:footnote>
  <w:footnote w:id="815">
    <w:p w14:paraId="17D32ED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新华社:《习近平强调:加快推进住房保障和供应体系建设》,https://www. gov. cn/ldhd/2013- 10/30/content_2518111. htm. 2013年 10月 30 日。</w:t>
      </w:r>
    </w:p>
    <w:p w14:paraId="22557244">
      <w:pPr>
        <w:pStyle w:val="11"/>
        <w:keepNext w:val="0"/>
        <w:pageBreakBefore w:val="0"/>
        <w:overflowPunct/>
        <w:topLinePunct w:val="0"/>
        <w:bidi w:val="0"/>
        <w:snapToGrid w:val="0"/>
        <w:spacing w:line="240" w:lineRule="auto"/>
        <w:ind w:left="0" w:firstLine="0" w:firstLineChars="0"/>
      </w:pPr>
    </w:p>
  </w:footnote>
  <w:footnote w:id="816">
    <w:p w14:paraId="4E13E75C">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t xml:space="preserve"> </w:t>
      </w:r>
      <w:r>
        <w:rPr>
          <w:rFonts w:hint="eastAsia"/>
        </w:rPr>
        <w:t>中国人民银行:《国家金融监督管理总局关于金融支持住房租赁市场发展的意见》(银发 〔2024〕2号) ,http://www. pbc. gov. cn/tiaofasi/144941/3581332/5162196/index. html. 2024年 1 月 5 日。</w:t>
      </w:r>
    </w:p>
    <w:p w14:paraId="7FCA58EB">
      <w:pPr>
        <w:pStyle w:val="11"/>
        <w:keepNext w:val="0"/>
        <w:pageBreakBefore w:val="0"/>
        <w:overflowPunct/>
        <w:topLinePunct w:val="0"/>
        <w:bidi w:val="0"/>
        <w:snapToGrid w:val="0"/>
        <w:spacing w:line="240" w:lineRule="auto"/>
        <w:ind w:left="0" w:firstLine="0" w:firstLineChars="0"/>
      </w:pPr>
    </w:p>
  </w:footnote>
  <w:footnote w:id="817">
    <w:p w14:paraId="76A16BC7">
      <w:pPr>
        <w:pStyle w:val="11"/>
        <w:keepNext w:val="0"/>
        <w:pageBreakBefore w:val="0"/>
        <w:overflowPunct/>
        <w:topLinePunct w:val="0"/>
        <w:bidi w:val="0"/>
        <w:spacing w:line="240" w:lineRule="auto"/>
        <w:ind w:left="0" w:firstLine="0" w:firstLineChars="0"/>
      </w:pPr>
    </w:p>
  </w:footnote>
  <w:footnote w:id="818">
    <w:p w14:paraId="797D6391">
      <w:pPr>
        <w:pStyle w:val="11"/>
        <w:keepNext w:val="0"/>
        <w:pageBreakBefore w:val="0"/>
        <w:overflowPunct/>
        <w:topLinePunct w:val="0"/>
        <w:bidi w:val="0"/>
        <w:spacing w:line="240" w:lineRule="auto"/>
        <w:ind w:left="0" w:firstLine="0" w:firstLineChars="0"/>
      </w:pPr>
      <w:r>
        <w:rPr>
          <w:rStyle w:val="20"/>
        </w:rPr>
        <w:footnoteRef/>
      </w:r>
      <w:r>
        <w:rPr>
          <w:rFonts w:hint="eastAsia"/>
        </w:rPr>
        <w:t>《美国财政部长珍妮特·耶伦在中华人民共和国北京举行的新闻发布会上的讲话》，美国驻华大使馆和领事馆，</w:t>
      </w:r>
      <w:r>
        <w:t>https://china.usembassy-china.org.cn/zh/remarks-by-secretary-of-the-treasury-janet-l-yellen-at-a-press-conference-in-beijing-the-peoples-republic-of-china/</w:t>
      </w:r>
      <w:r>
        <w:rPr>
          <w:rFonts w:hint="eastAsia"/>
        </w:rPr>
        <w:t>.2024年4月9 日。</w:t>
      </w:r>
    </w:p>
  </w:footnote>
  <w:footnote w:id="819">
    <w:p w14:paraId="7C28F459">
      <w:pPr>
        <w:pStyle w:val="11"/>
        <w:keepNext w:val="0"/>
        <w:pageBreakBefore w:val="0"/>
        <w:overflowPunct/>
        <w:topLinePunct w:val="0"/>
        <w:bidi w:val="0"/>
        <w:spacing w:line="240" w:lineRule="auto"/>
        <w:ind w:left="0" w:firstLine="0" w:firstLineChars="0"/>
      </w:pPr>
      <w:r>
        <w:rPr>
          <w:rStyle w:val="20"/>
        </w:rPr>
        <w:footnoteRef/>
      </w:r>
      <w:r>
        <w:rPr>
          <w:rFonts w:hint="eastAsia"/>
        </w:rPr>
        <w:t>《安东尼·布林肯国务卿在北京举行的记者会上发表讲话》，美国驻华大使馆和领事馆，</w:t>
      </w:r>
      <w:r>
        <w:t>https://china.usembassy-china.org.cn/zh/secretary-antony-j-blinken-at-a-press-availability-12/</w:t>
      </w:r>
      <w:r>
        <w:rPr>
          <w:rFonts w:hint="eastAsia"/>
        </w:rPr>
        <w:t>.2024年4月26日。</w:t>
      </w:r>
    </w:p>
  </w:footnote>
  <w:footnote w:id="820">
    <w:p w14:paraId="2CDC9244">
      <w:pPr>
        <w:pStyle w:val="11"/>
        <w:keepNext w:val="0"/>
        <w:pageBreakBefore w:val="0"/>
        <w:overflowPunct/>
        <w:topLinePunct w:val="0"/>
        <w:bidi w:val="0"/>
        <w:spacing w:line="240" w:lineRule="auto"/>
        <w:ind w:left="0" w:firstLine="0" w:firstLineChars="0"/>
      </w:pPr>
      <w:r>
        <w:rPr>
          <w:rStyle w:val="20"/>
        </w:rPr>
        <w:footnoteRef/>
      </w:r>
      <w:r>
        <w:rPr>
          <w:rFonts w:hint="eastAsia"/>
        </w:rPr>
        <w:t>董咏梅、陈颖婷：《什么是产能利用率》，国家统计局，https://www.stats.gov.cn/zs/tjws/tjzb/202301/t20230101_1903791.html.2023年1月1日。</w:t>
      </w:r>
    </w:p>
  </w:footnote>
  <w:footnote w:id="821">
    <w:p w14:paraId="0151F654">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仲音：《中国优质产能推动全球低碳转型——客观辩证看待产能问题之二》，《人民日报》2024年5 月4日。</w:t>
      </w:r>
    </w:p>
  </w:footnote>
  <w:footnote w:id="822">
    <w:p w14:paraId="4290A891">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《2024年4月9日外交部发言人毛宁主持例行记者会》，中国人民共和国外交部，</w:t>
      </w:r>
    </w:p>
    <w:p w14:paraId="29482B67">
      <w:pPr>
        <w:pStyle w:val="11"/>
        <w:keepNext w:val="0"/>
        <w:pageBreakBefore w:val="0"/>
        <w:overflowPunct/>
        <w:topLinePunct w:val="0"/>
        <w:bidi w:val="0"/>
        <w:spacing w:line="240" w:lineRule="auto"/>
        <w:ind w:left="0" w:firstLine="0" w:firstLineChars="0"/>
      </w:pPr>
      <w:r>
        <w:t>https://www.fmprc.gov.cn/fyrbt_673021/202404/t20240409_11278626.shtml</w:t>
      </w:r>
      <w:r>
        <w:rPr>
          <w:rFonts w:hint="eastAsia"/>
        </w:rPr>
        <w:t>.</w:t>
      </w:r>
      <w:r>
        <w:t xml:space="preserve"> 2024</w:t>
      </w:r>
      <w:r>
        <w:rPr>
          <w:rFonts w:hint="eastAsia"/>
        </w:rPr>
        <w:t>年</w:t>
      </w:r>
      <w:r>
        <w:t>4</w:t>
      </w:r>
      <w:r>
        <w:rPr>
          <w:rFonts w:hint="eastAsia"/>
        </w:rPr>
        <w:t>月</w:t>
      </w:r>
      <w:r>
        <w:t>9</w:t>
      </w:r>
      <w:r>
        <w:rPr>
          <w:rFonts w:hint="eastAsia"/>
        </w:rPr>
        <w:t>日。</w:t>
      </w:r>
    </w:p>
  </w:footnote>
  <w:footnote w:id="823">
    <w:p w14:paraId="3EDB97F1">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国家发展改革委微信公众号：《以“产能过剩”之名行贸易保护主义之实损害全球贸易和经济增长》，2024年5月3日。</w:t>
      </w:r>
    </w:p>
  </w:footnote>
  <w:footnote w:id="824">
    <w:p w14:paraId="4AC3B8D6">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仲音：《中国优质产能推动全球低碳转型——客观辩证看待产能问题之二》，《人民日报》2024年5 月4日。</w:t>
      </w:r>
    </w:p>
  </w:footnote>
  <w:footnote w:id="825">
    <w:p w14:paraId="31F39F2C">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金观平：《“中国产能过剩论”实为贸易保护老调重弹》，《经济日报》2024年4月28日。</w:t>
      </w:r>
    </w:p>
  </w:footnote>
  <w:footnote w:id="826">
    <w:p w14:paraId="7F415262">
      <w:pPr>
        <w:pStyle w:val="11"/>
        <w:keepNext w:val="0"/>
        <w:pageBreakBefore w:val="0"/>
        <w:overflowPunct/>
        <w:topLinePunct w:val="0"/>
        <w:bidi w:val="0"/>
        <w:spacing w:line="240" w:lineRule="auto"/>
        <w:ind w:left="0" w:firstLine="0" w:firstLineChars="0"/>
      </w:pPr>
      <w:r>
        <w:rPr>
          <w:rStyle w:val="20"/>
        </w:rPr>
        <w:footnoteRef/>
      </w:r>
      <w:r>
        <w:rPr>
          <w:rFonts w:hint="eastAsia"/>
        </w:rPr>
        <w:t>《美西方指责中国“产能过剩”违背事实和产业逻辑》，新华网，</w:t>
      </w:r>
      <w:r>
        <w:t>http://www.news.cn/world/20240425/02ee0d5be1074e33855fa0f9bff9e9fa/c.html#</w:t>
      </w:r>
      <w:r>
        <w:rPr>
          <w:rFonts w:hint="eastAsia"/>
        </w:rPr>
        <w:t>.2024年4月25日。</w:t>
      </w:r>
    </w:p>
  </w:footnote>
  <w:footnote w:id="827">
    <w:p w14:paraId="376CC263">
      <w:pPr>
        <w:pStyle w:val="11"/>
        <w:keepNext w:val="0"/>
        <w:pageBreakBefore w:val="0"/>
        <w:overflowPunct/>
        <w:topLinePunct w:val="0"/>
        <w:bidi w:val="0"/>
        <w:spacing w:line="240" w:lineRule="auto"/>
        <w:ind w:left="0" w:firstLine="0" w:firstLineChars="0"/>
      </w:pPr>
      <w:r>
        <w:rPr>
          <w:rStyle w:val="20"/>
        </w:rPr>
        <w:footnoteRef/>
      </w:r>
      <w:r>
        <w:rPr>
          <w:rFonts w:hint="eastAsia"/>
        </w:rPr>
        <w:t>《国际人士驳斥“产能过剩论” 中国新能源产品为全球绿色转型贡献巨大》，央视网，https://news.cctv.com/2024/04/27/ARTIfTgwupaNJkotjwq6y2Fr240427.shtml. 2024年04月27日。</w:t>
      </w:r>
    </w:p>
  </w:footnote>
  <w:footnote w:id="828">
    <w:p w14:paraId="65C6195C">
      <w:pPr>
        <w:pStyle w:val="11"/>
        <w:keepNext w:val="0"/>
        <w:pageBreakBefore w:val="0"/>
        <w:overflowPunct/>
        <w:topLinePunct w:val="0"/>
        <w:bidi w:val="0"/>
        <w:spacing w:line="240" w:lineRule="auto"/>
        <w:ind w:left="0" w:firstLine="0" w:firstLineChars="0"/>
      </w:pPr>
      <w:r>
        <w:rPr>
          <w:rStyle w:val="20"/>
        </w:rPr>
        <w:footnoteRef/>
      </w:r>
      <w:r>
        <w:rPr>
          <w:rFonts w:hint="eastAsia"/>
        </w:rPr>
        <w:t>《国际人士驳斥“产能过剩论” 中国新能源产品为全球绿色转型贡献巨大》，央视网，https://news.cctv.com/2024/04/27/ARTIfTgwupaNJkotjwq6y2Fr240427.shtml.2024年04月27日。</w:t>
      </w:r>
    </w:p>
  </w:footnote>
  <w:footnote w:id="829">
    <w:p w14:paraId="64770537">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国家发展改革委微信公众号：《以“产能过剩”之名行贸易保护主义之实损害全球贸易和经济增长》，2024年5月3日。</w:t>
      </w:r>
    </w:p>
  </w:footnote>
  <w:footnote w:id="830">
    <w:p w14:paraId="5B15B238">
      <w:pPr>
        <w:pStyle w:val="11"/>
        <w:keepNext w:val="0"/>
        <w:pageBreakBefore w:val="0"/>
        <w:overflowPunct/>
        <w:topLinePunct w:val="0"/>
        <w:bidi w:val="0"/>
        <w:spacing w:line="240" w:lineRule="auto"/>
        <w:ind w:left="0" w:firstLine="0" w:firstLineChars="0"/>
      </w:pPr>
      <w:r>
        <w:rPr>
          <w:rStyle w:val="20"/>
        </w:rPr>
        <w:footnoteRef/>
      </w:r>
      <w:r>
        <w:rPr>
          <w:rFonts w:hint="eastAsia"/>
        </w:rPr>
        <w:t>《全球及我国新能源与智能网联汽车产业趋》，中国电动汽车百人会，势.https://www.chinaev100.com/index.php/focus/detail/1242.</w:t>
      </w:r>
      <w:r>
        <w:t xml:space="preserve"> 2023</w:t>
      </w:r>
      <w:r>
        <w:rPr>
          <w:rFonts w:hint="eastAsia"/>
        </w:rPr>
        <w:t>年</w:t>
      </w:r>
      <w:r>
        <w:t>5</w:t>
      </w:r>
      <w:r>
        <w:rPr>
          <w:rFonts w:hint="eastAsia"/>
        </w:rPr>
        <w:t>月</w:t>
      </w:r>
      <w:r>
        <w:t>8</w:t>
      </w:r>
      <w:r>
        <w:rPr>
          <w:rFonts w:hint="eastAsia"/>
        </w:rPr>
        <w:t>日。</w:t>
      </w:r>
    </w:p>
  </w:footnote>
  <w:footnote w:id="831">
    <w:p w14:paraId="031F20CC">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国家发展改革委微信公众号：《以“产能过剩”之名行贸易保护主义之实损害全球贸易和经济增长》，2024年5月3日。</w:t>
      </w:r>
    </w:p>
  </w:footnote>
  <w:footnote w:id="832">
    <w:p w14:paraId="0043AE49">
      <w:pPr>
        <w:pStyle w:val="11"/>
        <w:keepNext w:val="0"/>
        <w:pageBreakBefore w:val="0"/>
        <w:overflowPunct/>
        <w:topLinePunct w:val="0"/>
        <w:bidi w:val="0"/>
        <w:spacing w:line="240" w:lineRule="auto"/>
        <w:ind w:left="0" w:firstLine="0" w:firstLineChars="0"/>
      </w:pPr>
      <w:r>
        <w:rPr>
          <w:rStyle w:val="20"/>
        </w:rPr>
        <w:footnoteRef/>
      </w:r>
      <w:r>
        <w:rPr>
          <w:rFonts w:hint="eastAsia"/>
        </w:rPr>
        <w:t>《2023年我国汽车产销量首次突破3000万辆》，中华人民共和国中央人民政府，</w:t>
      </w:r>
      <w:r>
        <w:t>https://www.gov.cn/yaowen/liebiao/202401/content_6925448.htm#</w:t>
      </w:r>
      <w:r>
        <w:rPr>
          <w:rFonts w:hint="eastAsia"/>
        </w:rPr>
        <w:t>.</w:t>
      </w:r>
      <w:r>
        <w:t xml:space="preserve"> 2024</w:t>
      </w:r>
      <w:r>
        <w:rPr>
          <w:rFonts w:hint="eastAsia"/>
        </w:rPr>
        <w:t>年</w:t>
      </w:r>
      <w:r>
        <w:t>1</w:t>
      </w:r>
      <w:r>
        <w:rPr>
          <w:rFonts w:hint="eastAsia"/>
        </w:rPr>
        <w:t>月</w:t>
      </w:r>
      <w:r>
        <w:t>11</w:t>
      </w:r>
      <w:r>
        <w:rPr>
          <w:rFonts w:hint="eastAsia"/>
        </w:rPr>
        <w:t>日。</w:t>
      </w:r>
    </w:p>
  </w:footnote>
  <w:footnote w:id="833">
    <w:p w14:paraId="26079806">
      <w:pPr>
        <w:pStyle w:val="11"/>
        <w:keepNext w:val="0"/>
        <w:pageBreakBefore w:val="0"/>
        <w:overflowPunct/>
        <w:topLinePunct w:val="0"/>
        <w:bidi w:val="0"/>
        <w:spacing w:line="240" w:lineRule="auto"/>
        <w:ind w:left="0" w:firstLine="0" w:firstLineChars="0"/>
      </w:pPr>
      <w:r>
        <w:rPr>
          <w:rStyle w:val="20"/>
        </w:rPr>
        <w:footnoteRef/>
      </w:r>
      <w:r>
        <w:rPr>
          <w:rFonts w:hint="eastAsia"/>
        </w:rPr>
        <w:t>《自主品牌加速超越 重塑汽车产业格局》，新华网，http://www.news.cn/auto/20240202/50bdabc1922a44b49f3f3b3ccf2cdd41/c.html.2024年2月2日。</w:t>
      </w:r>
    </w:p>
  </w:footnote>
  <w:footnote w:id="834">
    <w:p w14:paraId="6D870CEC">
      <w:pPr>
        <w:pStyle w:val="11"/>
        <w:keepNext w:val="0"/>
        <w:pageBreakBefore w:val="0"/>
        <w:overflowPunct/>
        <w:topLinePunct w:val="0"/>
        <w:bidi w:val="0"/>
        <w:spacing w:line="240" w:lineRule="auto"/>
        <w:ind w:left="0" w:firstLine="0" w:firstLineChars="0"/>
      </w:pPr>
      <w:r>
        <w:rPr>
          <w:rStyle w:val="20"/>
        </w:rPr>
        <w:footnoteRef/>
      </w:r>
      <w:r>
        <w:rPr>
          <w:rFonts w:hint="eastAsia"/>
        </w:rPr>
        <w:t>《外交部北美大洋洲司司长杨涛就美国国务卿布林肯访华向媒体吹风》，中国日报中文网，</w:t>
      </w:r>
      <w:r>
        <w:t>https://china.chinadaily.com.cn/a/202404/27/WS662c4242a3109f7860ddb447.html</w:t>
      </w:r>
      <w:r>
        <w:rPr>
          <w:rFonts w:hint="eastAsia"/>
        </w:rPr>
        <w:t>.</w:t>
      </w:r>
      <w:r>
        <w:t xml:space="preserve"> 2024</w:t>
      </w:r>
      <w:r>
        <w:rPr>
          <w:rFonts w:hint="eastAsia"/>
        </w:rPr>
        <w:t>年</w:t>
      </w:r>
      <w:r>
        <w:t>4</w:t>
      </w:r>
      <w:r>
        <w:rPr>
          <w:rFonts w:hint="eastAsia"/>
        </w:rPr>
        <w:t>月</w:t>
      </w:r>
      <w:r>
        <w:t>27</w:t>
      </w:r>
      <w:r>
        <w:rPr>
          <w:rFonts w:hint="eastAsia"/>
        </w:rPr>
        <w:t>日。</w:t>
      </w:r>
    </w:p>
  </w:footnote>
  <w:footnote w:id="835">
    <w:p w14:paraId="202910E2">
      <w:pPr>
        <w:pStyle w:val="11"/>
        <w:keepNext w:val="0"/>
        <w:pageBreakBefore w:val="0"/>
        <w:overflowPunct/>
        <w:topLinePunct w:val="0"/>
        <w:bidi w:val="0"/>
        <w:spacing w:line="240" w:lineRule="auto"/>
        <w:ind w:left="0" w:firstLine="0" w:firstLineChars="0"/>
      </w:pPr>
      <w:r>
        <w:rPr>
          <w:rStyle w:val="20"/>
        </w:rPr>
        <w:footnoteRef/>
      </w:r>
      <w:r>
        <w:rPr>
          <w:rFonts w:hint="eastAsia"/>
        </w:rPr>
        <w:t>《国际人士驳斥“产能过剩论” 中国新能源产品为全球绿色转型贡献巨大》，央视网，https://news.cctv.com/2024/04/27/ARTIfTgwupaNJkotjwq6y2Fr240427.shtml. 2024年4月27日。</w:t>
      </w:r>
    </w:p>
  </w:footnote>
  <w:footnote w:id="836">
    <w:p w14:paraId="5D3120A3">
      <w:pPr>
        <w:pStyle w:val="11"/>
        <w:keepNext w:val="0"/>
        <w:pageBreakBefore w:val="0"/>
        <w:overflowPunct/>
        <w:topLinePunct w:val="0"/>
        <w:bidi w:val="0"/>
        <w:spacing w:line="240" w:lineRule="auto"/>
        <w:ind w:left="0" w:firstLine="0" w:firstLineChars="0"/>
      </w:pPr>
      <w:r>
        <w:rPr>
          <w:rStyle w:val="20"/>
        </w:rPr>
        <w:footnoteRef/>
      </w:r>
      <w:r>
        <w:rPr>
          <w:rFonts w:hint="eastAsia"/>
        </w:rPr>
        <w:t>《中国优质产能让全球发展受益》，光明网，https://economy.gmw.cn/2024-04/28/content_37291013.htm. 2024年4月28日。</w:t>
      </w:r>
    </w:p>
  </w:footnote>
  <w:footnote w:id="837">
    <w:p w14:paraId="71EE497A">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仲音：《中国优质产能推动全球低碳转型——客观辩证看待产能问题之二》，《人民日报》2024年5 月4日。</w:t>
      </w:r>
    </w:p>
  </w:footnote>
  <w:footnote w:id="838">
    <w:p w14:paraId="6C30DA3D">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国务院发展研究中心课题组：《未来国际经济格局十大变化趋势》，《经济日报》</w:t>
      </w:r>
      <w:r>
        <w:t>2019</w:t>
      </w:r>
      <w:r>
        <w:rPr>
          <w:rFonts w:hint="eastAsia"/>
        </w:rPr>
        <w:t>年</w:t>
      </w:r>
      <w:r>
        <w:t>2</w:t>
      </w:r>
      <w:r>
        <w:rPr>
          <w:rFonts w:hint="eastAsia"/>
        </w:rPr>
        <w:t>月</w:t>
      </w:r>
      <w:r>
        <w:t>12</w:t>
      </w:r>
      <w:r>
        <w:rPr>
          <w:rFonts w:hint="eastAsia"/>
        </w:rPr>
        <w:t>日。</w:t>
      </w:r>
    </w:p>
  </w:footnote>
  <w:footnote w:id="839">
    <w:p w14:paraId="6FCE3603">
      <w:pPr>
        <w:pStyle w:val="11"/>
        <w:keepNext w:val="0"/>
        <w:pageBreakBefore w:val="0"/>
        <w:overflowPunct/>
        <w:topLinePunct w:val="0"/>
        <w:bidi w:val="0"/>
        <w:spacing w:line="240" w:lineRule="auto"/>
        <w:ind w:left="0" w:firstLine="0" w:firstLineChars="0"/>
      </w:pPr>
      <w:r>
        <w:rPr>
          <w:rStyle w:val="20"/>
        </w:rPr>
        <w:footnoteRef/>
      </w:r>
      <w:r>
        <w:rPr>
          <w:rFonts w:hint="eastAsia"/>
        </w:rPr>
        <w:t>《瑞士媒体：抱怨中国“产能过剩”暴露西方的虚伪与短视》，中国新闻网，</w:t>
      </w:r>
      <w:r>
        <w:t>https://www.chinanews.com.cn/gj/2024/04-21/10203188.shtml</w:t>
      </w:r>
      <w:r>
        <w:rPr>
          <w:rFonts w:hint="eastAsia"/>
        </w:rPr>
        <w:t>. 2024年04月21日。</w:t>
      </w:r>
    </w:p>
  </w:footnote>
  <w:footnote w:id="840">
    <w:p w14:paraId="73885AEA">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《美国又出新规：购买含中国组件电动汽车，无法享受联邦税收抵免》，观察者，</w:t>
      </w:r>
      <w:r>
        <w:t>https://www.guancha.cn/internation/2024_05_04_733640.shtml?s=zwyzxw</w:t>
      </w:r>
      <w:r>
        <w:rPr>
          <w:rFonts w:hint="eastAsia"/>
        </w:rPr>
        <w:t>.2024年5月4日。</w:t>
      </w:r>
    </w:p>
  </w:footnote>
  <w:footnote w:id="841">
    <w:p w14:paraId="29A03296">
      <w:pPr>
        <w:pStyle w:val="11"/>
        <w:keepNext w:val="0"/>
        <w:pageBreakBefore w:val="0"/>
        <w:overflowPunct/>
        <w:topLinePunct w:val="0"/>
        <w:bidi w:val="0"/>
        <w:spacing w:line="240" w:lineRule="auto"/>
        <w:ind w:left="0" w:firstLine="0" w:firstLineChars="0"/>
      </w:pPr>
      <w:r>
        <w:rPr>
          <w:rStyle w:val="20"/>
        </w:rPr>
        <w:footnoteRef/>
      </w:r>
      <w:r>
        <w:rPr>
          <w:rFonts w:hint="eastAsia"/>
        </w:rPr>
        <w:t>《美国从对华贸易战中得到了什么》，新华网，http://www.news.cn/world/20240327/d6873eb15a0f43edb3419331b3c8ea3b/c.html.2024年3月27日。</w:t>
      </w:r>
    </w:p>
  </w:footnote>
  <w:footnote w:id="842">
    <w:p w14:paraId="23E577B1">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《2024年4月11日外交部发言人毛宁主持例行记者会》，中华人民共和国外交部，https://www.mfa.gov.cn/web/fyrbt_673021/jzhsl_673025/202404/t20240411_11280275.shtml.2024年4月11日。</w:t>
      </w:r>
    </w:p>
  </w:footnote>
  <w:footnote w:id="843">
    <w:p w14:paraId="3881F417">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《“中国产能过剩论”为保护主义提供借口——访美国彼得森国际经济研究所高级研究员拉迪》，新华网，http://www.news.cn/world/20240420/d66fbebdbca142abad2d99b9761d1519/c.html. 2024年4月20日。</w:t>
      </w:r>
    </w:p>
  </w:footnote>
  <w:footnote w:id="844">
    <w:p w14:paraId="65360DC8">
      <w:pPr>
        <w:pStyle w:val="11"/>
        <w:keepNext w:val="0"/>
        <w:pageBreakBefore w:val="0"/>
        <w:overflowPunct/>
        <w:topLinePunct w:val="0"/>
        <w:bidi w:val="0"/>
        <w:spacing w:line="240" w:lineRule="auto"/>
        <w:ind w:left="0" w:firstLine="0" w:firstLineChars="0"/>
      </w:pPr>
      <w:r>
        <w:rPr>
          <w:rStyle w:val="20"/>
        </w:rPr>
        <w:footnoteRef/>
      </w:r>
      <w:r>
        <w:rPr>
          <w:rFonts w:hint="eastAsia"/>
        </w:rPr>
        <w:t>《国际人士驳斥“产能过剩论” 中国新能源产品为全球绿色转型贡献巨大》，央视网，</w:t>
      </w:r>
      <w:r>
        <w:t>https://news.cctv.com/2024/04/27/ARTIfTgwupaNJkotjwq6y2Fr240427.shtml</w:t>
      </w:r>
      <w:r>
        <w:rPr>
          <w:rFonts w:hint="eastAsia"/>
        </w:rPr>
        <w:t>. 2024年4月27日。</w:t>
      </w:r>
    </w:p>
  </w:footnote>
  <w:footnote w:id="845">
    <w:p w14:paraId="05ED6AF8">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国家发展改革委微信公众号：《以“产能过剩”之名行贸易保护主义之实损害全球贸易和经济增长》，</w:t>
      </w:r>
      <w:r>
        <w:t>2024</w:t>
      </w:r>
      <w:r>
        <w:rPr>
          <w:rFonts w:hint="eastAsia"/>
        </w:rPr>
        <w:t>年</w:t>
      </w:r>
      <w:r>
        <w:t>5</w:t>
      </w:r>
      <w:r>
        <w:rPr>
          <w:rFonts w:hint="eastAsia"/>
        </w:rPr>
        <w:t>月</w:t>
      </w:r>
      <w:r>
        <w:t>3</w:t>
      </w:r>
      <w:r>
        <w:rPr>
          <w:rFonts w:hint="eastAsia"/>
        </w:rPr>
        <w:t>日。</w:t>
      </w:r>
    </w:p>
  </w:footnote>
  <w:footnote w:id="846">
    <w:p w14:paraId="6403CC68">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《美放宽电动车税收抵免限制 行业人士：拜登政府认清供应链现实》，凤凰网财经，https://finance.ifeng.com/c/8ZLxgifr3QC.2024年5月6日。</w:t>
      </w:r>
    </w:p>
  </w:footnote>
  <w:footnote w:id="847">
    <w:p w14:paraId="37687BC2">
      <w:pPr>
        <w:pStyle w:val="11"/>
        <w:keepNext w:val="0"/>
        <w:pageBreakBefore w:val="0"/>
        <w:overflowPunct/>
        <w:topLinePunct w:val="0"/>
        <w:bidi w:val="0"/>
        <w:spacing w:line="240" w:lineRule="auto"/>
        <w:ind w:left="0" w:firstLine="0" w:firstLineChars="0"/>
      </w:pPr>
      <w:r>
        <w:rPr>
          <w:rStyle w:val="20"/>
        </w:rPr>
        <w:footnoteRef/>
      </w:r>
      <w:r>
        <w:t xml:space="preserve"> </w:t>
      </w:r>
      <w:r>
        <w:rPr>
          <w:rFonts w:hint="eastAsia"/>
        </w:rPr>
        <w:t>《美放宽电动车税收抵免限制 行业人士：拜登政府认清供应链现实》，凤凰网财经，</w:t>
      </w:r>
      <w:r>
        <w:t>https://finance.ifeng.com/c/8ZLxgifr3QC</w:t>
      </w:r>
      <w:r>
        <w:rPr>
          <w:rFonts w:hint="eastAsia"/>
        </w:rPr>
        <w:t>.2024年5月6日。</w:t>
      </w:r>
    </w:p>
  </w:footnote>
  <w:footnote w:id="848">
    <w:p w14:paraId="38B389DB">
      <w:pPr>
        <w:pStyle w:val="11"/>
        <w:keepNext w:val="0"/>
        <w:pageBreakBefore w:val="0"/>
        <w:overflowPunct/>
        <w:topLinePunct w:val="0"/>
        <w:bidi w:val="0"/>
        <w:spacing w:line="240" w:lineRule="auto"/>
        <w:ind w:left="0" w:firstLine="0" w:firstLineChars="0"/>
      </w:pPr>
      <w:r>
        <w:rPr>
          <w:rStyle w:val="20"/>
        </w:rPr>
        <w:footnoteRef/>
      </w:r>
      <w:r>
        <w:rPr>
          <w:rFonts w:hint="eastAsia"/>
          <w:shd w:val="clear" w:color="auto" w:fill="FFFFFF"/>
        </w:rPr>
        <w:t>埃里克·伯姆：《</w:t>
      </w:r>
      <w:r>
        <w:rPr>
          <w:rStyle w:val="17"/>
          <w:rFonts w:hint="eastAsia" w:cs="宋体"/>
          <w:b w:val="0"/>
          <w:szCs w:val="18"/>
          <w:shd w:val="clear" w:color="auto" w:fill="FFFFFF"/>
        </w:rPr>
        <w:t>中国支付不到8%的关税成本，剩下的全由美方承担》，美国《理性》杂志2021年5月26日。</w:t>
      </w:r>
    </w:p>
  </w:footnote>
  <w:footnote w:id="849">
    <w:p w14:paraId="027AEE3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权衡:《资本的逻辑批判及其发展:一个理论分析框架》,《复旦学报(社会科学版)》2022年第6期。</w:t>
      </w:r>
    </w:p>
  </w:footnote>
  <w:footnote w:id="850">
    <w:p w14:paraId="22674A4E">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钟义信:《智能科学与创新教育》,《中国大学教学》2006年第1期。</w:t>
      </w:r>
    </w:p>
  </w:footnote>
  <w:footnote w:id="851">
    <w:p w14:paraId="31929AA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周延云、李琪:《生产力的新质态:信息生产力》,《生产力研究》2006第7期。</w:t>
      </w:r>
    </w:p>
  </w:footnote>
  <w:footnote w:id="852">
    <w:p w14:paraId="7528299F">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2023年10月13日,《中央机关及其直属机构2024年考试录用公务员招考简章》显示,国家数据局发布了多个职位,主要包括从事数据治理和发展政策研究,参与重大战略、重大规划、重大改革、重大活动等;从事数据资源管理和开发利用推进;参与研究拟订数字经济有关发展战略、规划和政策,协同推进数字产业化和产业数字化,承担有关综合管理工作,与国家数据局相关职责高度匹配。</w:t>
      </w:r>
    </w:p>
  </w:footnote>
  <w:footnote w:id="853">
    <w:p w14:paraId="44504848">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 xml:space="preserve"> 程恩富:《全面开启建设社会主义现代化国家的若干重点解析》,《当代经济研究》2021第1期。</w:t>
      </w:r>
    </w:p>
  </w:footnote>
  <w:footnote w:id="854">
    <w:p w14:paraId="77DD2D1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宋宪萍、程恩富:《马克思主义的分工理论及其当代发展》,《海派经济学》2023年第3期。</w:t>
      </w:r>
    </w:p>
    <w:p w14:paraId="4C27CCA9">
      <w:pPr>
        <w:pStyle w:val="11"/>
        <w:keepNext w:val="0"/>
        <w:pageBreakBefore w:val="0"/>
        <w:overflowPunct/>
        <w:topLinePunct w:val="0"/>
        <w:bidi w:val="0"/>
        <w:snapToGrid w:val="0"/>
        <w:spacing w:line="240" w:lineRule="auto"/>
        <w:ind w:left="0" w:firstLine="0" w:firstLineChars="0"/>
      </w:pPr>
    </w:p>
  </w:footnote>
  <w:footnote w:id="855">
    <w:p w14:paraId="550E4D9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《马克思恩格斯选集》(第1卷),北京:人民出版社,2012年,第222页。</w:t>
      </w:r>
    </w:p>
  </w:footnote>
  <w:footnote w:id="856">
    <w:p w14:paraId="594CFBE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周绍东、胡华杰:《新质生产力推动创新发展的政治经济学研究》,《新疆师范大学学报(哲学社会科学版)》2024年第1期。</w:t>
      </w:r>
    </w:p>
  </w:footnote>
  <w:footnote w:id="857">
    <w:p w14:paraId="42B3FB6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这里说的民营企业,实际上就是私有企业。只不过不是所有的私有企业都能成为新质生产力的可靠主体。我们可以依靠像华为这样的民族性私有企业,而不能依靠像恒大这样的风险性私有企业发展新质生产力。</w:t>
      </w:r>
    </w:p>
  </w:footnote>
  <w:footnote w:id="858">
    <w:p w14:paraId="2A9FD2B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卓承芳:《后马克思主义激进技术批判理论及其反思》,《哲学研究》2022年第9期。</w:t>
      </w:r>
    </w:p>
  </w:footnote>
  <w:footnote w:id="859">
    <w:p w14:paraId="630AEB8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邬晓燕:《论绿色技术范式的制度建构—从李约瑟问题谈起》,《北京行政学院学报》2017年第1期。</w:t>
      </w:r>
    </w:p>
  </w:footnote>
  <w:footnote w:id="860">
    <w:p w14:paraId="0F77C3D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刘国光、程恩富:《全面准确理解市场与政府的关系》,《毛泽东邓小平理论研究》2014年第2期。</w:t>
      </w:r>
    </w:p>
  </w:footnote>
  <w:footnote w:id="861">
    <w:p w14:paraId="08E34CC1">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刘大洪:《“中国式现代化”与有为政府的经济法促进》,《政治与法律》2023年第8期。</w:t>
      </w:r>
    </w:p>
  </w:footnote>
  <w:footnote w:id="862">
    <w:p w14:paraId="2E18F8B3">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杨灿明:《关于政府与市场关系的再思考》,《中南财经政法大学学报》2019第6期。</w:t>
      </w:r>
    </w:p>
  </w:footnote>
  <w:footnote w:id="863">
    <w:p w14:paraId="18F3F5AF">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程恩富:《改革开放以来新马克思经济学综合学派的若干理论创新》,《政治经济学评论》2018年第6期。</w:t>
      </w:r>
    </w:p>
  </w:footnote>
  <w:footnote w:id="864">
    <w:p w14:paraId="19944DFF">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何大安、李怀政:《大数据时代产业垄断形成机理及其发展》,《社会科学战线》2022年第2期。</w:t>
      </w:r>
    </w:p>
  </w:footnote>
  <w:footnote w:id="865">
    <w:p w14:paraId="1B1AF35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杨春学、杨新铭:《所有制适度结构:理论分析、推断与经验事实》,《中国社会科学》2020年第4期。</w:t>
      </w:r>
    </w:p>
    <w:p w14:paraId="3C5F03C8">
      <w:pPr>
        <w:pStyle w:val="11"/>
        <w:keepNext w:val="0"/>
        <w:pageBreakBefore w:val="0"/>
        <w:overflowPunct/>
        <w:topLinePunct w:val="0"/>
        <w:bidi w:val="0"/>
        <w:snapToGrid w:val="0"/>
        <w:spacing w:line="240" w:lineRule="auto"/>
        <w:ind w:left="0" w:firstLine="0" w:firstLineChars="0"/>
        <w:rPr>
          <w:rFonts w:hint="eastAsia"/>
        </w:rPr>
      </w:pPr>
    </w:p>
  </w:footnote>
  <w:footnote w:id="866">
    <w:p w14:paraId="5B75B91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程恩富、王爱华:《数字平台经济垄断的基本特征、内在逻辑与规制思路》,《南通大学学报(社会科学版)》2022年第5期。</w:t>
      </w:r>
    </w:p>
  </w:footnote>
  <w:footnote w:id="867">
    <w:p w14:paraId="17D5E5D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邸敏学:《国有企业促进共同富裕的内在机理及其实现路径》,《马克思主义研究》2022年10期。</w:t>
      </w:r>
    </w:p>
    <w:p w14:paraId="61F7E590">
      <w:pPr>
        <w:pStyle w:val="11"/>
        <w:keepNext w:val="0"/>
        <w:pageBreakBefore w:val="0"/>
        <w:overflowPunct/>
        <w:topLinePunct w:val="0"/>
        <w:bidi w:val="0"/>
        <w:snapToGrid w:val="0"/>
        <w:spacing w:line="240" w:lineRule="auto"/>
        <w:ind w:left="0" w:firstLine="0" w:firstLineChars="0"/>
        <w:rPr>
          <w:rFonts w:hint="eastAsia"/>
        </w:rPr>
      </w:pPr>
    </w:p>
  </w:footnote>
  <w:footnote w:id="868">
    <w:p w14:paraId="488D7C9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后来,华为又建立了第二批十个军团包括:电力数字化军团、政务一网通军团、机场与轨道军团、互动媒体军团、运动健康军团、显示新核军团、园区军团、广域网络军团、数据中心底座军团与数字站点军团。2022年5月26日,华为公司在深圳坂田基地A区举行第三批军团系统部组建成立大会。第三批五个军团系统部分别是:数字金融军团、站点能源军团、机器视觉军团、制造行业数字化系统部和公共事业系统部。</w:t>
      </w:r>
    </w:p>
  </w:footnote>
  <w:footnote w:id="869">
    <w:p w14:paraId="75F41C86">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 xml:space="preserve"> 杨光:《“军团”模式能否打开5G行业市场的新天地?》,《通信世界》2023年第15期。</w:t>
      </w:r>
    </w:p>
  </w:footnote>
  <w:footnote w:id="870">
    <w:p w14:paraId="4B438A54">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列宁:《列宁全集》第28卷,北京:人民出版社,1990年,第303页。</w:t>
      </w:r>
    </w:p>
  </w:footnote>
  <w:footnote w:id="871">
    <w:p w14:paraId="3A91646C">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《马克思恩格斯选集》第一卷,北京:人民出版社,1990年,第708页。</w:t>
      </w:r>
    </w:p>
  </w:footnote>
  <w:footnote w:id="872">
    <w:p w14:paraId="3BF5AD4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孔明安、陈宇:《当代帝国主义的无限战争及其内在逻辑》,《湖北大学学报(哲学社会科学版)》2023年第5期。</w:t>
      </w:r>
    </w:p>
  </w:footnote>
  <w:footnote w:id="873">
    <w:p w14:paraId="6E04126F">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程恩富、鲁保林、俞使超:《论新帝国主义的五大特征和特性—以列宁的帝国主义理论为基础》,《马克思主义研究》2019年第5期</w:t>
      </w:r>
    </w:p>
  </w:footnote>
  <w:footnote w:id="874">
    <w:p w14:paraId="66B95DEE">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周文、肖玉飞:《新帝国主义批判》,《政治经济学研究》2021年第2期。</w:t>
      </w:r>
    </w:p>
  </w:footnote>
  <w:footnote w:id="875">
    <w:p w14:paraId="19E89944">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 xml:space="preserve"> 侯振武、杨耕:《关于马克思交往理论的再思考》,《哲学研究》2018年第7期。</w:t>
      </w:r>
    </w:p>
  </w:footnote>
  <w:footnote w:id="876">
    <w:p w14:paraId="491A0A60">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 xml:space="preserve"> 李包庚、耿可欣:《走向交往正义的人类命运共同体》,《浙江社会科学》2022年第9期。</w:t>
      </w:r>
    </w:p>
  </w:footnote>
  <w:footnote w:id="877">
    <w:p w14:paraId="10F389C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吴文新、程恩富：《新时代的共同富裕：实现的前提与四维逻辑》，《上海经济研究》2021年第11期。</w:t>
      </w:r>
    </w:p>
  </w:footnote>
  <w:footnote w:id="878">
    <w:p w14:paraId="21540DA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习近平：《不断开拓当代中国马克思主义政治经济学新境界》，《求是》2020年第16期。</w:t>
      </w:r>
    </w:p>
  </w:footnote>
  <w:footnote w:id="879">
    <w:p w14:paraId="72D5764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《马克思恩格斯文集》第3卷，人民出版社2009年版，第433—434页。</w:t>
      </w:r>
    </w:p>
  </w:footnote>
  <w:footnote w:id="880">
    <w:p w14:paraId="15FD2AC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《马克思恩格斯文集》第3卷，人民出版社2009年版，第436页。</w:t>
      </w:r>
    </w:p>
  </w:footnote>
  <w:footnote w:id="881">
    <w:p w14:paraId="27834F0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简新华、聂长飞：《必须正确认识共同富裕及其实现途径——共同富裕的政治经济学学理性解读》，《政治经济学评论》2023年第4期。</w:t>
      </w:r>
    </w:p>
  </w:footnote>
  <w:footnote w:id="882">
    <w:p w14:paraId="10071839">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《邓小平文选》第三卷，人民出版社1993年版，第373页。</w:t>
      </w:r>
    </w:p>
  </w:footnote>
  <w:footnote w:id="883">
    <w:p w14:paraId="2522F7FF">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《央企经营发展逆势上扬》，《人民日报》2021年1月20日，第2版。</w:t>
      </w:r>
    </w:p>
  </w:footnote>
  <w:footnote w:id="884">
    <w:p w14:paraId="278386CC">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习近平：《关于〈中共中央关于全面深化改革若干重大问题的决定〉的说明》，《人民日报》2013年11月16日，第4版。</w:t>
      </w:r>
    </w:p>
  </w:footnote>
  <w:footnote w:id="885">
    <w:p w14:paraId="6689F1D0">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赵意焕：《百年来党对马克思主义经典兴农思想的守正创新》，《海派经济学》2022年第3期。</w:t>
      </w:r>
    </w:p>
  </w:footnote>
  <w:footnote w:id="886">
    <w:p w14:paraId="6DC178F6">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对此类观点的批判，可参见卫兴华：《我国贫富分化的现实与成因评析》，《江苏师范大学学报（哲学社会科学版）》2013年第5期。</w:t>
      </w:r>
    </w:p>
  </w:footnote>
  <w:footnote w:id="887">
    <w:p w14:paraId="7D0E27C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《中华人民共和国劳动法》，参见中华人民共和国人力资源和社会保障部网站，http://www.mohrss.gov.cn/xxgk2020/fdzdgknr/zcfg/fl/202011/t20201102_394625.html。</w:t>
      </w:r>
    </w:p>
  </w:footnote>
  <w:footnote w:id="888">
    <w:p w14:paraId="140078D2">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《最低工资规定》，参见中华人民共和国人力资源和社会保障部网站，</w:t>
      </w:r>
      <w:r>
        <w:rPr>
          <w:rFonts w:hint="eastAsia"/>
        </w:rPr>
        <w:fldChar w:fldCharType="begin"/>
      </w:r>
      <w:r>
        <w:rPr>
          <w:rFonts w:hint="eastAsia"/>
        </w:rPr>
        <w:instrText xml:space="preserve"> HYPERLINK "http://www.mohrss.gov.cn/xxgk2020/" </w:instrText>
      </w:r>
      <w:r>
        <w:rPr>
          <w:rFonts w:hint="eastAsia"/>
        </w:rPr>
        <w:fldChar w:fldCharType="separate"/>
      </w:r>
      <w:r>
        <w:rPr>
          <w:rFonts w:hint="eastAsia"/>
        </w:rPr>
        <w:t>http://www.mohrss.gov.cn/xxgk2020/</w:t>
      </w:r>
      <w:r>
        <w:rPr>
          <w:rFonts w:hint="eastAsia"/>
        </w:rPr>
        <w:fldChar w:fldCharType="end"/>
      </w:r>
      <w:r>
        <w:rPr>
          <w:rFonts w:hint="eastAsia"/>
        </w:rPr>
        <w:t>gzk/gz/202112/t20211228_431587.html。</w:t>
      </w:r>
    </w:p>
    <w:p w14:paraId="65AF1783">
      <w:pPr>
        <w:pStyle w:val="11"/>
        <w:keepNext w:val="0"/>
        <w:pageBreakBefore w:val="0"/>
        <w:overflowPunct/>
        <w:topLinePunct w:val="0"/>
        <w:bidi w:val="0"/>
        <w:snapToGrid w:val="0"/>
        <w:spacing w:line="240" w:lineRule="auto"/>
        <w:ind w:left="0" w:firstLine="0" w:firstLineChars="0"/>
        <w:rPr>
          <w:rFonts w:hint="eastAsia"/>
        </w:rPr>
      </w:pPr>
    </w:p>
  </w:footnote>
  <w:footnote w:id="889">
    <w:p w14:paraId="0D87E873">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《工资支付暂行规定》，参见中华人民共和国人力资源和社会保障部网站，http://www.mohrss.gov.cn/xxgk2020/gzk/gz/202112/t20211228_431557.html。</w:t>
      </w:r>
    </w:p>
  </w:footnote>
  <w:footnote w:id="890">
    <w:p w14:paraId="67332C2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《保障农民工工资支付条例》，参见中华人民共和国人力资源和社会保障部网站，</w:t>
      </w:r>
      <w:r>
        <w:rPr>
          <w:rFonts w:hint="eastAsia"/>
        </w:rPr>
        <w:fldChar w:fldCharType="begin"/>
      </w:r>
      <w:r>
        <w:rPr>
          <w:rFonts w:hint="eastAsia"/>
        </w:rPr>
        <w:instrText xml:space="preserve"> HYPERLINK "http://www.mohrss.gov" </w:instrText>
      </w:r>
      <w:r>
        <w:rPr>
          <w:rFonts w:hint="eastAsia"/>
        </w:rPr>
        <w:fldChar w:fldCharType="separate"/>
      </w:r>
      <w:r>
        <w:rPr>
          <w:rFonts w:hint="eastAsia"/>
        </w:rPr>
        <w:t>http://www.mohrss.gov</w:t>
      </w:r>
      <w:r>
        <w:rPr>
          <w:rFonts w:hint="eastAsia"/>
        </w:rPr>
        <w:fldChar w:fldCharType="end"/>
      </w:r>
      <w:r>
        <w:rPr>
          <w:rFonts w:hint="eastAsia"/>
        </w:rPr>
        <w:t>.cn/xxgk2020/fdzdgknr/zcfg/fg/202011/t20201103_394928.html。</w:t>
      </w:r>
    </w:p>
  </w:footnote>
  <w:footnote w:id="891">
    <w:p w14:paraId="6A30730D">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《拖欠农民工工资失信联合惩罚对象名单管理暂行办法》，参见中华人民共和国人力资源和社会保障部网站，</w:t>
      </w:r>
      <w:r>
        <w:rPr>
          <w:rFonts w:hint="eastAsia"/>
        </w:rPr>
        <w:fldChar w:fldCharType="begin"/>
      </w:r>
      <w:r>
        <w:rPr>
          <w:rFonts w:hint="eastAsia"/>
        </w:rPr>
        <w:instrText xml:space="preserve"> HYPERLINK "http://www.mohrss.gov.cn/xxgk2020/gzk/gz/202112/t20211229_431810.html" </w:instrText>
      </w:r>
      <w:r>
        <w:rPr>
          <w:rFonts w:hint="eastAsia"/>
        </w:rPr>
        <w:fldChar w:fldCharType="separate"/>
      </w:r>
      <w:r>
        <w:rPr>
          <w:rFonts w:hint="eastAsia"/>
        </w:rPr>
        <w:t>http://www.mohrss.gov.cn/xxgk2020/gzk/gz/202112/t20211229_431810.html</w:t>
      </w:r>
      <w:r>
        <w:rPr>
          <w:rFonts w:hint="eastAsia"/>
        </w:rPr>
        <w:fldChar w:fldCharType="end"/>
      </w:r>
      <w:r>
        <w:rPr>
          <w:rFonts w:hint="eastAsia"/>
        </w:rPr>
        <w:t>。</w:t>
      </w:r>
    </w:p>
  </w:footnote>
  <w:footnote w:id="892">
    <w:p w14:paraId="3F4D17C9">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《中华人民共和国工会法》，参见中华人民共和国人力资源和社会保障部网站，</w:t>
      </w:r>
      <w:r>
        <w:rPr>
          <w:rFonts w:hint="eastAsia"/>
        </w:rPr>
        <w:fldChar w:fldCharType="begin"/>
      </w:r>
      <w:r>
        <w:rPr>
          <w:rFonts w:hint="eastAsia"/>
        </w:rPr>
        <w:instrText xml:space="preserve"> HYPERLINK "http://www.mohrss.gov.cn/" </w:instrText>
      </w:r>
      <w:r>
        <w:rPr>
          <w:rFonts w:hint="eastAsia"/>
        </w:rPr>
        <w:fldChar w:fldCharType="separate"/>
      </w:r>
      <w:r>
        <w:rPr>
          <w:rFonts w:hint="eastAsia"/>
        </w:rPr>
        <w:t>http://www.mohrss.gov.cn/</w:t>
      </w:r>
      <w:r>
        <w:rPr>
          <w:rFonts w:hint="eastAsia"/>
        </w:rPr>
        <w:fldChar w:fldCharType="end"/>
      </w:r>
      <w:r>
        <w:rPr>
          <w:rFonts w:hint="eastAsia"/>
        </w:rPr>
        <w:t>xxgk2020/fdzdgknr/zcfg/fl/202011/t20201102_394624.html。</w:t>
      </w:r>
    </w:p>
  </w:footnote>
  <w:footnote w:id="893">
    <w:p w14:paraId="46064697">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刘国光：《谈谈国富与民富、先富与共富的一些问题》，《中国流通经济》2012年第1期。</w:t>
      </w:r>
    </w:p>
  </w:footnote>
  <w:footnote w:id="894">
    <w:p w14:paraId="75F0E11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许建康：《初级阶段社会主义市场经济的历史定位——兼论社会革命时代东方现代化道路》，《政治经济学研究》2023年第1期。</w:t>
      </w:r>
    </w:p>
  </w:footnote>
  <w:footnote w:id="895">
    <w:p w14:paraId="5942EB81">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习近平：《在第十二届全国人民代表大会第一次会议上的讲话》，《人民日报》2013年3月18日，第4版。</w:t>
      </w:r>
    </w:p>
  </w:footnote>
  <w:footnote w:id="896">
    <w:p w14:paraId="4686C33F">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《加快建设全国统一大市场提高政府监管效能深入推进世界一流大学和一流学科建设》，《人民日报》2021年12月18日，第1版。</w:t>
      </w:r>
    </w:p>
  </w:footnote>
  <w:footnote w:id="897">
    <w:p w14:paraId="074DB977">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《马克思恩格斯文集》第七卷，人民出版社2009年版，第975页。</w:t>
      </w:r>
    </w:p>
  </w:footnote>
  <w:footnote w:id="898">
    <w:p w14:paraId="4EE24486">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《马克思恩格斯文集》第七卷，人民出版社2009年版，第864页。</w:t>
      </w:r>
    </w:p>
  </w:footnote>
  <w:footnote w:id="899">
    <w:p w14:paraId="11DAA043">
      <w:pPr>
        <w:pStyle w:val="11"/>
        <w:keepNext w:val="0"/>
        <w:pageBreakBefore w:val="0"/>
        <w:overflowPunct/>
        <w:topLinePunct w:val="0"/>
        <w:bidi w:val="0"/>
        <w:snapToGrid w:val="0"/>
        <w:spacing w:line="240" w:lineRule="auto"/>
        <w:ind w:left="0" w:firstLine="0" w:firstLineChars="0"/>
      </w:pPr>
      <w:r>
        <w:rPr>
          <w:rFonts w:hint="eastAsia"/>
        </w:rPr>
        <w:footnoteRef/>
      </w:r>
      <w:r>
        <w:rPr>
          <w:rFonts w:hint="eastAsia"/>
        </w:rPr>
        <w:t>习近平：《加快构建新发展格局把握未来发展主动权》，《求是》2023年第8期。</w:t>
      </w:r>
    </w:p>
  </w:footnote>
  <w:footnote w:id="900">
    <w:p w14:paraId="4267F4FB">
      <w:pPr>
        <w:pStyle w:val="11"/>
        <w:keepNext w:val="0"/>
        <w:pageBreakBefore w:val="0"/>
        <w:overflowPunct/>
        <w:topLinePunct w:val="0"/>
        <w:bidi w:val="0"/>
        <w:snapToGrid w:val="0"/>
        <w:spacing w:line="240" w:lineRule="auto"/>
        <w:ind w:left="0" w:firstLine="0" w:firstLineChars="0"/>
        <w:rPr>
          <w:rFonts w:ascii="宋体" w:hAnsi="宋体" w:eastAsia="宋体" w:cs="宋体"/>
          <w:color w:val="231F20"/>
          <w:spacing w:val="-7"/>
          <w:sz w:val="17"/>
          <w:szCs w:val="17"/>
        </w:rPr>
      </w:pPr>
      <w:r>
        <w:rPr>
          <w:rFonts w:ascii="宋体" w:hAnsi="宋体" w:eastAsia="宋体" w:cs="宋体"/>
          <w:color w:val="231F20"/>
          <w:spacing w:val="-7"/>
          <w:sz w:val="17"/>
          <w:szCs w:val="17"/>
        </w:rPr>
        <w:footnoteRef/>
      </w:r>
      <w:r>
        <w:rPr>
          <w:rFonts w:hint="eastAsia" w:ascii="宋体" w:hAnsi="宋体" w:eastAsia="宋体" w:cs="宋体"/>
          <w:color w:val="231F20"/>
          <w:spacing w:val="-7"/>
          <w:sz w:val="17"/>
          <w:szCs w:val="17"/>
          <w:lang w:val="en-US" w:eastAsia="zh-CN"/>
        </w:rPr>
        <w:t>习</w:t>
      </w:r>
      <w:r>
        <w:rPr>
          <w:rFonts w:ascii="宋体" w:hAnsi="宋体" w:eastAsia="宋体" w:cs="宋体"/>
          <w:color w:val="231F20"/>
          <w:spacing w:val="-7"/>
          <w:sz w:val="17"/>
          <w:szCs w:val="17"/>
        </w:rPr>
        <w:t>近平：《扎实推动共同富裕》，《求是》2021年第20期。</w:t>
      </w:r>
    </w:p>
  </w:footnote>
  <w:footnote w:id="901">
    <w:p w14:paraId="5D03B22A">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中华人民共和国民政部：《2021年民政事业发展统计公报》，https://www.mca.gov.cn/images3/www2017/file/202208/2021mzsyfztjgb.pdf。</w:t>
      </w:r>
    </w:p>
  </w:footnote>
  <w:footnote w:id="902">
    <w:p w14:paraId="466699A3">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中华慈善总会：《中华慈善年鉴（2020）》，</w:t>
      </w:r>
      <w:r>
        <w:rPr>
          <w:rFonts w:hint="eastAsia"/>
        </w:rPr>
        <w:fldChar w:fldCharType="begin"/>
      </w:r>
      <w:r>
        <w:rPr>
          <w:rFonts w:hint="eastAsia"/>
        </w:rPr>
        <w:instrText xml:space="preserve"> HYPERLINK "http://www.chinacharityfederation.org/n.html?id=2c448700-455a-" </w:instrText>
      </w:r>
      <w:r>
        <w:rPr>
          <w:rFonts w:hint="eastAsia"/>
        </w:rPr>
        <w:fldChar w:fldCharType="separate"/>
      </w:r>
      <w:r>
        <w:rPr>
          <w:rFonts w:hint="eastAsia"/>
        </w:rPr>
        <w:t>http://www.chinacharityfederation.org/n.html?id=2c448700-455a-</w:t>
      </w:r>
      <w:r>
        <w:rPr>
          <w:rFonts w:hint="eastAsia"/>
        </w:rPr>
        <w:fldChar w:fldCharType="end"/>
      </w:r>
      <w:r>
        <w:rPr>
          <w:rFonts w:hint="eastAsia"/>
        </w:rPr>
        <w:t>41b2-935e-95d317eec4f4。</w:t>
      </w:r>
    </w:p>
  </w:footnote>
  <w:footnote w:id="903">
    <w:p w14:paraId="39F9BF8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中华人民共和国民政部：《2021年民政事业发展统计公报》，https://www.mca.gov.cn/images3/www2017/file/202208/2021mzsyfztjgb.pdf。</w:t>
      </w:r>
    </w:p>
  </w:footnote>
  <w:footnote w:id="904">
    <w:p w14:paraId="6C8520C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中国慈善联合会、中国信托业协会：《〈2021年中国慈善信托发展报告〉发布》，http://www.charityalliance.org.cn/news/14386.jhtml。</w:t>
      </w:r>
    </w:p>
  </w:footnote>
  <w:footnote w:id="905">
    <w:p w14:paraId="20DFDBF5">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《西藏贫困县区全部摘帽》，《人民日报》2020年11月9日，第2版。</w:t>
      </w:r>
    </w:p>
  </w:footnote>
  <w:footnote w:id="906">
    <w:p w14:paraId="7F0C074C">
      <w:pPr>
        <w:pStyle w:val="11"/>
        <w:keepNext w:val="0"/>
        <w:pageBreakBefore w:val="0"/>
        <w:overflowPunct/>
        <w:topLinePunct w:val="0"/>
        <w:bidi w:val="0"/>
        <w:snapToGrid w:val="0"/>
        <w:spacing w:line="240" w:lineRule="auto"/>
        <w:ind w:left="0" w:firstLine="0" w:firstLineChars="0"/>
        <w:rPr>
          <w:rFonts w:hint="eastAsia"/>
        </w:rPr>
      </w:pPr>
      <w:r>
        <w:rPr>
          <w:rFonts w:hint="eastAsia"/>
        </w:rPr>
        <w:footnoteRef/>
      </w:r>
      <w:r>
        <w:rPr>
          <w:rFonts w:hint="eastAsia"/>
        </w:rPr>
        <w:t>习近平：《扎实推动共同富裕》，《求是》2021年第20期。</w:t>
      </w:r>
    </w:p>
  </w:footnote>
  <w:footnote w:id="907">
    <w:p w14:paraId="6BE3C1CE">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杨广文：《关于生产力的质和量》，《晋阳学刊》</w:t>
      </w:r>
      <w:r>
        <w:rPr>
          <w:rFonts w:hint="eastAsia" w:ascii="宋体" w:hAnsi="宋体" w:eastAsia="宋体" w:cs="宋体"/>
          <w:sz w:val="21"/>
          <w:szCs w:val="21"/>
          <w:lang w:val="en-US" w:eastAsia="zh-CN"/>
        </w:rPr>
        <w:t>1985年第2期。</w:t>
      </w:r>
    </w:p>
  </w:footnote>
  <w:footnote w:id="908">
    <w:p w14:paraId="08456D90">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哲学</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北京：红旗出版社，1983年第333页。</w:t>
      </w:r>
    </w:p>
  </w:footnote>
  <w:footnote w:id="909">
    <w:p w14:paraId="74785E11">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刘贤奇：《历史唯物主义主义疑难问题研究》，吉林：吉林大学出版社，1985年第98页。</w:t>
      </w:r>
    </w:p>
  </w:footnote>
  <w:footnote w:id="910">
    <w:p w14:paraId="0789FCD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薛永应等：《从生产力视角探索社会主义初级阶段的客观逻辑和演化规律》，《经济研究》1988年第1期。</w:t>
      </w:r>
    </w:p>
  </w:footnote>
  <w:footnote w:id="911">
    <w:p w14:paraId="3412BB41">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陈冰、解书森：《关于科技革命对生产力发展的效应》，《哲学研究》1985年第2期。</w:t>
      </w:r>
    </w:p>
  </w:footnote>
  <w:footnote w:id="912">
    <w:p w14:paraId="5DAFD5FA">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廖士祥：《</w:t>
      </w:r>
      <w:r>
        <w:rPr>
          <w:rFonts w:hint="eastAsia" w:ascii="宋体" w:hAnsi="宋体" w:eastAsia="宋体" w:cs="宋体"/>
          <w:sz w:val="21"/>
          <w:szCs w:val="21"/>
          <w:lang w:val="en-US" w:eastAsia="zh-CN"/>
        </w:rPr>
        <w:t>科学劳动者、科学仪器、科学劳动对象与生产力三要素</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江西社会科学</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1986年第3期。</w:t>
      </w:r>
    </w:p>
  </w:footnote>
  <w:footnote w:id="913">
    <w:p w14:paraId="594AC061">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石征：《也谈地理环境在社会发展初期的决定作用》，《国内哲学动态》，1981年第4期。</w:t>
      </w:r>
    </w:p>
  </w:footnote>
  <w:footnote w:id="914">
    <w:p w14:paraId="5684618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李政、廖晓东：《新质生产力理论的生成逻辑、原创价值与实践路径》，《江海学刊》2023年第6期。</w:t>
      </w:r>
    </w:p>
  </w:footnote>
  <w:footnote w:id="915">
    <w:p w14:paraId="090D181D">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高帆：《“新质生产力”的提出逻辑、多维内涵及时代意义》，《政治经济学评论》2023年第6期。</w:t>
      </w:r>
    </w:p>
  </w:footnote>
  <w:footnote w:id="916">
    <w:p w14:paraId="1A1DDACE">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周文、许凌云：《论新质生产力：内涵特征与重要着力点》，《改革》2023年第10期。</w:t>
      </w:r>
    </w:p>
  </w:footnote>
  <w:footnote w:id="917">
    <w:p w14:paraId="4E403A9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简新华、聂长飞：《论新质生产力的形成发展及其作用发挥——新质生产力的政治经济学解读》，《南昌大学学报（人文社会科学版）》2023年第6期。</w:t>
      </w:r>
    </w:p>
  </w:footnote>
  <w:footnote w:id="918">
    <w:p w14:paraId="384271D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李晓华：《新质生产力的主要特征与形成机制》，《人民论坛》2023年第21期。</w:t>
      </w:r>
    </w:p>
  </w:footnote>
  <w:footnote w:id="919">
    <w:p w14:paraId="0DC0A1C9">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胡莹、方太坤：《再论新质生产力的内涵特征与形成路径——以马克思生产力理论为视角》2024年第2期。</w:t>
      </w:r>
    </w:p>
  </w:footnote>
  <w:footnote w:id="920">
    <w:p w14:paraId="7EC528C2">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kern w:val="2"/>
          <w:sz w:val="21"/>
          <w:szCs w:val="21"/>
          <w:lang w:val="en-US" w:eastAsia="zh-CN" w:bidi="ar-SA"/>
        </w:rPr>
        <w:footnoteRef/>
      </w:r>
      <w:r>
        <w:rPr>
          <w:rFonts w:hint="eastAsia" w:ascii="宋体" w:hAnsi="宋体" w:eastAsia="宋体" w:cs="宋体"/>
          <w:sz w:val="21"/>
          <w:szCs w:val="21"/>
          <w:lang w:val="en-US" w:eastAsia="zh-CN"/>
        </w:rPr>
        <w:t xml:space="preserve"> 李政、崔慧永：《基于历史唯物主义视域的新质生产力：内涵、形成条件与有效路径》，《重庆大学学报（社会科学版）》2024年第1期。</w:t>
      </w:r>
    </w:p>
  </w:footnote>
  <w:footnote w:id="921">
    <w:p w14:paraId="4741E19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朱富显</w:t>
      </w:r>
      <w:r>
        <w:rPr>
          <w:rFonts w:hint="eastAsia" w:ascii="宋体" w:hAnsi="宋体" w:eastAsia="宋体" w:cs="宋体"/>
          <w:sz w:val="21"/>
          <w:szCs w:val="21"/>
          <w:lang w:eastAsia="zh-CN"/>
        </w:rPr>
        <w:t>、</w:t>
      </w:r>
      <w:r>
        <w:rPr>
          <w:rFonts w:hint="eastAsia" w:ascii="宋体" w:hAnsi="宋体" w:eastAsia="宋体" w:cs="宋体"/>
          <w:sz w:val="21"/>
          <w:szCs w:val="21"/>
        </w:rPr>
        <w:t>李瑞雪</w:t>
      </w:r>
      <w:r>
        <w:rPr>
          <w:rFonts w:hint="eastAsia" w:ascii="宋体" w:hAnsi="宋体" w:eastAsia="宋体" w:cs="宋体"/>
          <w:sz w:val="21"/>
          <w:szCs w:val="21"/>
          <w:lang w:eastAsia="zh-CN"/>
        </w:rPr>
        <w:t>、</w:t>
      </w:r>
      <w:r>
        <w:rPr>
          <w:rFonts w:hint="eastAsia" w:ascii="宋体" w:hAnsi="宋体" w:eastAsia="宋体" w:cs="宋体"/>
          <w:sz w:val="21"/>
          <w:szCs w:val="21"/>
        </w:rPr>
        <w:t>徐晓莉</w:t>
      </w:r>
      <w:r>
        <w:rPr>
          <w:rFonts w:hint="eastAsia" w:ascii="宋体" w:hAnsi="宋体" w:eastAsia="宋体" w:cs="宋体"/>
          <w:sz w:val="21"/>
          <w:szCs w:val="21"/>
          <w:lang w:eastAsia="zh-CN"/>
        </w:rPr>
        <w:t>、</w:t>
      </w:r>
      <w:r>
        <w:rPr>
          <w:rFonts w:hint="eastAsia" w:ascii="宋体" w:hAnsi="宋体" w:eastAsia="宋体" w:cs="宋体"/>
          <w:sz w:val="21"/>
          <w:szCs w:val="21"/>
        </w:rPr>
        <w:t>孙家昌</w:t>
      </w:r>
      <w:r>
        <w:rPr>
          <w:rFonts w:hint="eastAsia" w:ascii="宋体" w:hAnsi="宋体" w:eastAsia="宋体" w:cs="宋体"/>
          <w:sz w:val="21"/>
          <w:szCs w:val="21"/>
          <w:lang w:eastAsia="zh-CN"/>
        </w:rPr>
        <w:t>：《</w:t>
      </w:r>
      <w:r>
        <w:rPr>
          <w:rFonts w:hint="eastAsia" w:ascii="宋体" w:hAnsi="宋体" w:eastAsia="宋体" w:cs="宋体"/>
          <w:sz w:val="21"/>
          <w:szCs w:val="21"/>
        </w:rPr>
        <w:t>中国新质生产力指标构建与时空演进</w:t>
      </w:r>
      <w:r>
        <w:rPr>
          <w:rFonts w:hint="eastAsia" w:ascii="宋体" w:hAnsi="宋体" w:eastAsia="宋体" w:cs="宋体"/>
          <w:sz w:val="21"/>
          <w:szCs w:val="21"/>
          <w:lang w:eastAsia="zh-CN"/>
        </w:rPr>
        <w:t>》，《</w:t>
      </w:r>
      <w:r>
        <w:rPr>
          <w:rFonts w:hint="eastAsia" w:ascii="宋体" w:hAnsi="宋体" w:eastAsia="宋体" w:cs="宋体"/>
          <w:sz w:val="21"/>
          <w:szCs w:val="21"/>
        </w:rPr>
        <w:t>工业技术经济</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2024年第3期。</w:t>
      </w:r>
    </w:p>
  </w:footnote>
  <w:footnote w:id="922">
    <w:p w14:paraId="3A766EFB">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习近平在黑龙江考察时强调  牢牢把握在国家发展大局中的战略定位  奋力开创黑龙江高质量发展新局面</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人民日报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2023年9月9日。</w:t>
      </w:r>
    </w:p>
  </w:footnote>
  <w:footnote w:id="923">
    <w:p w14:paraId="68D3E882">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中央经济工作会议在北京举行</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人民日报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2023年12月13日。</w:t>
      </w:r>
    </w:p>
  </w:footnote>
  <w:footnote w:id="924">
    <w:p w14:paraId="4289DF7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习近平：《高举中国特色社会主义旗帜 为全面建设社会主义现代化国家而团结奋斗——在中国共产党第二十次全国代表大会上的报告》，《人民日报》2022年10月26日。</w:t>
      </w:r>
    </w:p>
  </w:footnote>
  <w:footnote w:id="925">
    <w:p w14:paraId="71775A38">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新华网：《习近平在中共中央政治局第十一次集体学习时强调加快发展新质生产力扎实推进高质量发展》，http://www.qstheory.cn/yaowen/2024-02/01/c_1130071035.htm.2024年2月1日。</w:t>
      </w:r>
    </w:p>
  </w:footnote>
  <w:footnote w:id="926">
    <w:p w14:paraId="40052EC6">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盖凯程、韩文龙：《新质生产力》，北京：中国社会科学出版社，2024年，第13页。</w:t>
      </w:r>
    </w:p>
  </w:footnote>
  <w:footnote w:id="927">
    <w:p w14:paraId="79D970BA">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加快发展新质生产力 扎实推进高质量发展</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人民日报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2024年2月2日。</w:t>
      </w:r>
    </w:p>
  </w:footnote>
  <w:footnote w:id="928">
    <w:p w14:paraId="1EF4032B">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程恩富</w:t>
      </w:r>
      <w:r>
        <w:rPr>
          <w:rFonts w:hint="eastAsia" w:ascii="宋体" w:hAnsi="宋体" w:eastAsia="宋体" w:cs="宋体"/>
          <w:sz w:val="21"/>
          <w:szCs w:val="21"/>
          <w:lang w:eastAsia="zh-CN"/>
        </w:rPr>
        <w:t>：《</w:t>
      </w:r>
      <w:r>
        <w:rPr>
          <w:rFonts w:hint="eastAsia" w:ascii="宋体" w:hAnsi="宋体" w:eastAsia="宋体" w:cs="宋体"/>
          <w:sz w:val="21"/>
          <w:szCs w:val="21"/>
        </w:rPr>
        <w:t>中国特色社会主义政治经济学八个重大原则</w:t>
      </w:r>
      <w:r>
        <w:rPr>
          <w:rFonts w:hint="eastAsia" w:ascii="宋体" w:hAnsi="宋体" w:eastAsia="宋体" w:cs="宋体"/>
          <w:sz w:val="21"/>
          <w:szCs w:val="21"/>
          <w:lang w:eastAsia="zh-CN"/>
        </w:rPr>
        <w:t>》，《</w:t>
      </w:r>
      <w:r>
        <w:rPr>
          <w:rFonts w:hint="eastAsia" w:ascii="宋体" w:hAnsi="宋体" w:eastAsia="宋体" w:cs="宋体"/>
          <w:sz w:val="21"/>
          <w:szCs w:val="21"/>
        </w:rPr>
        <w:t>唯实</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2017年第1期。</w:t>
      </w:r>
    </w:p>
  </w:footnote>
  <w:footnote w:id="929">
    <w:p w14:paraId="31E29ABD">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刘志迎：《论新质生产力发展的组织者和实施者》，https://www.zhonghongwang.com/show-278-322060-1.html.2024年3月28日。</w:t>
      </w:r>
    </w:p>
  </w:footnote>
  <w:footnote w:id="930">
    <w:p w14:paraId="438EB64A">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习近平：《不断开拓当代中国马克思主义政治经济学新境界》，《求知》2020年第9期。</w:t>
      </w:r>
    </w:p>
  </w:footnote>
  <w:footnote w:id="931">
    <w:p w14:paraId="72A81AEF">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习近平谈治国理政</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第2卷</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北京：外文出版社，2017年第176页。</w:t>
      </w:r>
    </w:p>
  </w:footnote>
  <w:footnote w:id="932">
    <w:p w14:paraId="682C7027">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"https://kns.cnki.net/kcms2/author/detail?v=K-Um1AVqjsL5VX0an4V64nKSaNTq13JQfK14bTR_UmGEi2XChQQztC2Jig6vJhnJK3zu_EPL05MNxywLmujLt_FSk3qvD2ZHU43NUjzAhJrluF-Lp2PcSw==&amp;uniplatform=NZKPT&amp;language=CHS" \t "https://kns.cnki.net/nzkhtml/xmlRead/_blank" </w:instrText>
      </w:r>
      <w:r>
        <w:rPr>
          <w:rFonts w:hint="eastAsia" w:ascii="宋体" w:hAnsi="宋体" w:eastAsia="宋体" w:cs="宋体"/>
          <w:sz w:val="21"/>
          <w:szCs w:val="21"/>
        </w:rPr>
        <w:fldChar w:fldCharType="separate"/>
      </w:r>
      <w:r>
        <w:rPr>
          <w:rFonts w:hint="eastAsia" w:ascii="宋体" w:hAnsi="宋体" w:eastAsia="宋体" w:cs="宋体"/>
          <w:sz w:val="21"/>
          <w:szCs w:val="21"/>
        </w:rPr>
        <w:t>文魁</w:t>
      </w:r>
      <w:r>
        <w:rPr>
          <w:rFonts w:hint="eastAsia" w:ascii="宋体" w:hAnsi="宋体" w:eastAsia="宋体" w:cs="宋体"/>
          <w:sz w:val="21"/>
          <w:szCs w:val="21"/>
        </w:rPr>
        <w:fldChar w:fldCharType="end"/>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略谈新质生产力的新型生产关系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政治经济学研究</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2024年第2期。</w:t>
      </w:r>
    </w:p>
  </w:footnote>
  <w:footnote w:id="933">
    <w:p w14:paraId="7059E820">
      <w:pPr>
        <w:pStyle w:val="11"/>
        <w:keepNext w:val="0"/>
        <w:keepLines/>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戴明新</w:t>
      </w:r>
      <w:r>
        <w:rPr>
          <w:rFonts w:hint="eastAsia" w:ascii="宋体" w:hAnsi="宋体" w:eastAsia="宋体" w:cs="宋体"/>
          <w:sz w:val="21"/>
          <w:szCs w:val="21"/>
          <w:lang w:eastAsia="zh-CN"/>
        </w:rPr>
        <w:t>、</w:t>
      </w:r>
      <w:r>
        <w:rPr>
          <w:rFonts w:hint="eastAsia" w:ascii="宋体" w:hAnsi="宋体" w:eastAsia="宋体" w:cs="宋体"/>
          <w:sz w:val="21"/>
          <w:szCs w:val="21"/>
        </w:rPr>
        <w:t>方世南</w:t>
      </w:r>
      <w:r>
        <w:rPr>
          <w:rFonts w:hint="eastAsia" w:ascii="宋体" w:hAnsi="宋体" w:eastAsia="宋体" w:cs="宋体"/>
          <w:sz w:val="21"/>
          <w:szCs w:val="21"/>
          <w:lang w:eastAsia="zh-CN"/>
        </w:rPr>
        <w:t>：《</w:t>
      </w:r>
      <w:r>
        <w:rPr>
          <w:rFonts w:hint="eastAsia" w:ascii="宋体" w:hAnsi="宋体" w:eastAsia="宋体" w:cs="宋体"/>
          <w:sz w:val="21"/>
          <w:szCs w:val="21"/>
        </w:rPr>
        <w:t>恩格斯《社会主义从空想到科学的发展》的共同富裕意蕴</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学习探索</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2023年第5期。</w:t>
      </w:r>
    </w:p>
  </w:footnote>
  <w:footnote w:id="934">
    <w:p w14:paraId="1AA70AD7">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习近平：《中央领导是人民的大勤务员》，https://china.huanqiu.com/article/9CaKrnJNwv1.2015年7月17日。</w:t>
      </w:r>
    </w:p>
  </w:footnote>
  <w:footnote w:id="935">
    <w:p w14:paraId="1C8180DF">
      <w:pPr>
        <w:pStyle w:val="11"/>
        <w:keepNext w:val="0"/>
        <w:keepLines w:val="0"/>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数据来自国务院国资委研究中心发布的《中央企业高质量发展报告（2023）》。</w:t>
      </w:r>
    </w:p>
  </w:footnote>
  <w:footnote w:id="936">
    <w:p w14:paraId="2A6A142A">
      <w:pPr>
        <w:pStyle w:val="11"/>
        <w:keepNext w:val="0"/>
        <w:keepLines w:val="0"/>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中国经济网：</w:t>
      </w:r>
      <w:r>
        <w:rPr>
          <w:rFonts w:hint="eastAsia" w:ascii="宋体" w:hAnsi="宋体" w:eastAsia="宋体" w:cs="宋体"/>
          <w:sz w:val="21"/>
          <w:szCs w:val="21"/>
          <w:lang w:eastAsia="zh-CN"/>
        </w:rPr>
        <w:t>《</w:t>
      </w:r>
      <w:r>
        <w:rPr>
          <w:rFonts w:hint="eastAsia" w:ascii="宋体" w:hAnsi="宋体" w:eastAsia="宋体" w:cs="宋体"/>
          <w:sz w:val="21"/>
          <w:szCs w:val="21"/>
        </w:rPr>
        <w:t>全国科技创新企业500强发布，248家央企国企上榜</w:t>
      </w:r>
      <w:r>
        <w:rPr>
          <w:rFonts w:hint="eastAsia" w:ascii="宋体" w:hAnsi="宋体" w:eastAsia="宋体" w:cs="宋体"/>
          <w:sz w:val="21"/>
          <w:szCs w:val="21"/>
          <w:lang w:eastAsia="zh-CN"/>
        </w:rPr>
        <w:t>》</w:t>
      </w:r>
      <w:r>
        <w:rPr>
          <w:rFonts w:hint="eastAsia" w:ascii="宋体" w:hAnsi="宋体" w:eastAsia="宋体" w:cs="宋体"/>
          <w:sz w:val="21"/>
          <w:szCs w:val="21"/>
        </w:rPr>
        <w:t>，https://digital.gmw.cn/2023-06/02/content_36605941.htm</w:t>
      </w:r>
      <w:r>
        <w:rPr>
          <w:rFonts w:hint="eastAsia" w:ascii="宋体" w:hAnsi="宋体" w:eastAsia="宋体" w:cs="宋体"/>
          <w:sz w:val="21"/>
          <w:szCs w:val="21"/>
          <w:lang w:val="en-US" w:eastAsia="zh-CN"/>
        </w:rPr>
        <w:t>.2023年6月2日。</w:t>
      </w:r>
    </w:p>
  </w:footnote>
  <w:footnote w:id="937">
    <w:p w14:paraId="7D1E553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程恩富、刘美平：《以耐心资本助力新质生产力发展》，《光明日报》2024年6月25日。</w:t>
      </w:r>
    </w:p>
  </w:footnote>
  <w:footnote w:id="938">
    <w:p w14:paraId="3065183B">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贾根良</w:t>
      </w:r>
      <w:r>
        <w:rPr>
          <w:rFonts w:hint="eastAsia" w:ascii="宋体" w:hAnsi="宋体" w:eastAsia="宋体" w:cs="宋体"/>
          <w:sz w:val="21"/>
          <w:szCs w:val="21"/>
          <w:lang w:eastAsia="zh-CN"/>
        </w:rPr>
        <w:t>、</w:t>
      </w:r>
      <w:r>
        <w:rPr>
          <w:rFonts w:hint="eastAsia" w:ascii="宋体" w:hAnsi="宋体" w:eastAsia="宋体" w:cs="宋体"/>
          <w:sz w:val="21"/>
          <w:szCs w:val="21"/>
        </w:rPr>
        <w:t>李家瑞</w:t>
      </w:r>
      <w:r>
        <w:rPr>
          <w:rFonts w:hint="eastAsia" w:ascii="宋体" w:hAnsi="宋体" w:eastAsia="宋体" w:cs="宋体"/>
          <w:sz w:val="21"/>
          <w:szCs w:val="21"/>
          <w:lang w:eastAsia="zh-CN"/>
        </w:rPr>
        <w:t>：《</w:t>
      </w:r>
      <w:r>
        <w:rPr>
          <w:rFonts w:hint="eastAsia" w:ascii="宋体" w:hAnsi="宋体" w:eastAsia="宋体" w:cs="宋体"/>
          <w:sz w:val="21"/>
          <w:szCs w:val="21"/>
        </w:rPr>
        <w:t>国有企业的创新优势——基于演化经济学的分析</w:t>
      </w:r>
      <w:r>
        <w:rPr>
          <w:rFonts w:hint="eastAsia" w:ascii="宋体" w:hAnsi="宋体" w:eastAsia="宋体" w:cs="宋体"/>
          <w:sz w:val="21"/>
          <w:szCs w:val="21"/>
          <w:lang w:eastAsia="zh-CN"/>
        </w:rPr>
        <w:t>》，《山东大学学报（</w:t>
      </w:r>
      <w:r>
        <w:rPr>
          <w:rFonts w:hint="eastAsia" w:ascii="宋体" w:hAnsi="宋体" w:eastAsia="宋体" w:cs="宋体"/>
          <w:sz w:val="21"/>
          <w:szCs w:val="21"/>
          <w:lang w:val="en-US" w:eastAsia="zh-CN"/>
        </w:rPr>
        <w:t>哲学社会科学版</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2018年第4期。</w:t>
      </w:r>
    </w:p>
  </w:footnote>
  <w:footnote w:id="939">
    <w:p w14:paraId="246D6FFB">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数据来自国务院国资委研究中心发布的《</w:t>
      </w:r>
      <w:r>
        <w:rPr>
          <w:rFonts w:hint="eastAsia" w:ascii="宋体" w:hAnsi="宋体" w:eastAsia="宋体" w:cs="宋体"/>
          <w:sz w:val="21"/>
          <w:szCs w:val="21"/>
        </w:rPr>
        <w:t>中央企业高质量发展报告</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w:t>
      </w:r>
    </w:p>
  </w:footnote>
  <w:footnote w:id="940">
    <w:p w14:paraId="465A1F92">
      <w:pPr>
        <w:pStyle w:val="11"/>
        <w:keepNext w:val="0"/>
        <w:keepLines w:val="0"/>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数据来自国务院国资委研究中心发布的《</w:t>
      </w:r>
      <w:r>
        <w:rPr>
          <w:rFonts w:hint="eastAsia" w:ascii="宋体" w:hAnsi="宋体" w:eastAsia="宋体" w:cs="宋体"/>
          <w:sz w:val="21"/>
          <w:szCs w:val="21"/>
        </w:rPr>
        <w:t>中央企业高质量发展报告</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2022</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w:t>
      </w:r>
    </w:p>
  </w:footnote>
  <w:footnote w:id="941">
    <w:p w14:paraId="374B2F89">
      <w:pPr>
        <w:pStyle w:val="11"/>
        <w:keepNext w:val="0"/>
        <w:keepLines w:val="0"/>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rPr>
        <w:t>央企研发投入首次突破1万亿元</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科技日报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2023年9月25日。</w:t>
      </w:r>
    </w:p>
  </w:footnote>
  <w:footnote w:id="942">
    <w:p w14:paraId="332D2C60">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长江商报：</w:t>
      </w:r>
      <w:r>
        <w:rPr>
          <w:rFonts w:hint="eastAsia" w:ascii="宋体" w:hAnsi="宋体" w:eastAsia="宋体" w:cs="宋体"/>
          <w:sz w:val="21"/>
          <w:szCs w:val="21"/>
          <w:lang w:eastAsia="zh-CN"/>
        </w:rPr>
        <w:t>《</w:t>
      </w:r>
      <w:r>
        <w:rPr>
          <w:rFonts w:hint="eastAsia" w:ascii="宋体" w:hAnsi="宋体" w:eastAsia="宋体" w:cs="宋体"/>
          <w:sz w:val="21"/>
          <w:szCs w:val="21"/>
        </w:rPr>
        <w:t>A股公司研发投入1.64万亿占全国比重超54% 9家国企研发投入2408亿中国建筑居首</w:t>
      </w:r>
      <w:r>
        <w:rPr>
          <w:rFonts w:hint="eastAsia" w:ascii="宋体" w:hAnsi="宋体" w:eastAsia="宋体" w:cs="宋体"/>
          <w:sz w:val="21"/>
          <w:szCs w:val="21"/>
          <w:lang w:eastAsia="zh-CN"/>
        </w:rPr>
        <w:t>》，</w:t>
      </w:r>
      <w:r>
        <w:rPr>
          <w:rFonts w:hint="eastAsia" w:ascii="宋体" w:hAnsi="宋体" w:eastAsia="宋体" w:cs="宋体"/>
          <w:sz w:val="21"/>
          <w:szCs w:val="21"/>
        </w:rPr>
        <w:t>https://baijiahao.baidu.com/s?id=1765640968484234464&amp;wfr=spider&amp;for=pc</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2023年5月12日。</w:t>
      </w:r>
    </w:p>
  </w:footnote>
  <w:footnote w:id="943">
    <w:p w14:paraId="1CE1C2FD">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习近平在全国国有企业党的建设工作会议上强调坚持党对国有企业的领导不动摇 开创国有企业党的建设新局面</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人民日报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2016年10月12日。</w:t>
      </w:r>
    </w:p>
  </w:footnote>
  <w:footnote w:id="944">
    <w:p w14:paraId="47B4D81A">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刘志迎：《论新质生产力发展的组织者和实施者》，https://www.zhonghongwang.com/show-278-322060-1.html.2024年3月28日。</w:t>
      </w:r>
    </w:p>
  </w:footnote>
  <w:footnote w:id="945">
    <w:p w14:paraId="4EB35E6F">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徐政</w:t>
      </w:r>
      <w:r>
        <w:rPr>
          <w:rFonts w:hint="eastAsia" w:ascii="宋体" w:hAnsi="宋体" w:eastAsia="宋体" w:cs="宋体"/>
          <w:sz w:val="21"/>
          <w:szCs w:val="21"/>
          <w:lang w:eastAsia="zh-CN"/>
        </w:rPr>
        <w:t>、</w:t>
      </w:r>
      <w:r>
        <w:rPr>
          <w:rFonts w:hint="eastAsia" w:ascii="宋体" w:hAnsi="宋体" w:eastAsia="宋体" w:cs="宋体"/>
          <w:sz w:val="21"/>
          <w:szCs w:val="21"/>
        </w:rPr>
        <w:t>郑霖豪</w:t>
      </w:r>
      <w:r>
        <w:rPr>
          <w:rFonts w:hint="eastAsia" w:ascii="宋体" w:hAnsi="宋体" w:eastAsia="宋体" w:cs="宋体"/>
          <w:sz w:val="21"/>
          <w:szCs w:val="21"/>
          <w:lang w:eastAsia="zh-CN"/>
        </w:rPr>
        <w:t>、</w:t>
      </w:r>
      <w:r>
        <w:rPr>
          <w:rFonts w:hint="eastAsia" w:ascii="宋体" w:hAnsi="宋体" w:eastAsia="宋体" w:cs="宋体"/>
          <w:sz w:val="21"/>
          <w:szCs w:val="21"/>
        </w:rPr>
        <w:t>程梦瑶</w:t>
      </w:r>
      <w:r>
        <w:rPr>
          <w:rFonts w:hint="eastAsia" w:ascii="宋体" w:hAnsi="宋体" w:eastAsia="宋体" w:cs="宋体"/>
          <w:sz w:val="21"/>
          <w:szCs w:val="21"/>
          <w:lang w:eastAsia="zh-CN"/>
        </w:rPr>
        <w:t>：《</w:t>
      </w:r>
      <w:r>
        <w:rPr>
          <w:rFonts w:hint="eastAsia" w:ascii="宋体" w:hAnsi="宋体" w:eastAsia="宋体" w:cs="宋体"/>
          <w:sz w:val="21"/>
          <w:szCs w:val="21"/>
        </w:rPr>
        <w:t>新质生产力助力高质量发展：优势条件、关键问题和路径选择</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西南大学学报（社会科学版）</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2023年第6期。</w:t>
      </w:r>
    </w:p>
  </w:footnote>
  <w:footnote w:id="946">
    <w:p w14:paraId="3F7AD811">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孟捷</w:t>
      </w:r>
      <w:r>
        <w:rPr>
          <w:rFonts w:hint="eastAsia" w:ascii="宋体" w:hAnsi="宋体" w:eastAsia="宋体" w:cs="宋体"/>
          <w:sz w:val="21"/>
          <w:szCs w:val="21"/>
          <w:lang w:eastAsia="zh-CN"/>
        </w:rPr>
        <w:t>、</w:t>
      </w:r>
      <w:r>
        <w:rPr>
          <w:rFonts w:hint="eastAsia" w:ascii="宋体" w:hAnsi="宋体" w:eastAsia="宋体" w:cs="宋体"/>
          <w:sz w:val="21"/>
          <w:szCs w:val="21"/>
        </w:rPr>
        <w:t>陈龙</w:t>
      </w:r>
      <w:r>
        <w:rPr>
          <w:rFonts w:hint="eastAsia" w:ascii="宋体" w:hAnsi="宋体" w:eastAsia="宋体" w:cs="宋体"/>
          <w:sz w:val="21"/>
          <w:szCs w:val="21"/>
          <w:lang w:eastAsia="zh-CN"/>
        </w:rPr>
        <w:t>：《</w:t>
      </w:r>
      <w:r>
        <w:rPr>
          <w:rFonts w:hint="eastAsia" w:ascii="宋体" w:hAnsi="宋体" w:eastAsia="宋体" w:cs="宋体"/>
          <w:sz w:val="21"/>
          <w:szCs w:val="21"/>
        </w:rPr>
        <w:t>如何理解党和国家在社会主义市场经济中的作用</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天津社会科学</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2022年第1期。</w:t>
      </w:r>
    </w:p>
  </w:footnote>
  <w:footnote w:id="947">
    <w:p w14:paraId="43090AF8">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习近平在中共中央政治局第十一次集体学习时强调 加快发展新质生产力 扎实推进高质量发展</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人民日报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2024年2月2日。</w:t>
      </w:r>
    </w:p>
  </w:footnote>
  <w:footnote w:id="948">
    <w:p w14:paraId="79D84EA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《习近平在中共中央政治局第十一次集体学习时强调 加快发展新质生产力 扎实推进高质量发展》，《人民日报》2024年2月2日。</w:t>
      </w:r>
    </w:p>
  </w:footnote>
  <w:footnote w:id="949">
    <w:p w14:paraId="4D2876AA">
      <w:pPr>
        <w:pStyle w:val="11"/>
        <w:keepNext w:val="0"/>
        <w:keepLines/>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胡迟：《发挥国企主力军和顶梁柱作用 构建现代化产业体系》，《新经济导刊》2023年第6期。</w:t>
      </w:r>
    </w:p>
  </w:footnote>
  <w:footnote w:id="950">
    <w:p w14:paraId="515B98A8">
      <w:pPr>
        <w:pStyle w:val="11"/>
        <w:keepNext w:val="0"/>
        <w:keepLines/>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胡迟：《发挥国有企业在现代化产业体系建设中的引领支撑作用》，《中国党政干部论坛》2023年第9期。</w:t>
      </w:r>
    </w:p>
  </w:footnote>
  <w:footnote w:id="951">
    <w:p w14:paraId="265E32F2">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央企加速布局战略性新兴产业</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经济日报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2023年9月14日。</w:t>
      </w:r>
    </w:p>
  </w:footnote>
  <w:footnote w:id="952">
    <w:p w14:paraId="5568B7C5">
      <w:pPr>
        <w:pStyle w:val="11"/>
        <w:keepNext w:val="0"/>
        <w:keepLines w:val="0"/>
        <w:pageBreakBefore w:val="0"/>
        <w:widowControl w:val="0"/>
        <w:kinsoku/>
        <w:wordWrap w:val="0"/>
        <w:overflowPunct/>
        <w:topLinePunct w:val="0"/>
        <w:bidi w:val="0"/>
        <w:adjustRightInd/>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中央企业加快发展战略性新兴产业，上半年投资同比增长超40%</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北京日报</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2023年7月14日。</w:t>
      </w:r>
    </w:p>
  </w:footnote>
  <w:footnote w:id="953">
    <w:p w14:paraId="0DE3C950">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习近平：《论把握新发展阶段、贯彻新发展理念、构建新发展格局》，北京：中央文献出版社，2021年，第271页。</w:t>
      </w:r>
    </w:p>
  </w:footnote>
  <w:footnote w:id="954">
    <w:p w14:paraId="3ED2C5BF">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贾根良：《国际大循环经济发展战略的致命弊端》，《马克思主义研究》2010年第12期。</w:t>
      </w:r>
    </w:p>
  </w:footnote>
  <w:footnote w:id="955">
    <w:p w14:paraId="05D4109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程恩富、罗玉辉：《论塑造与新质生产力相适应的新型生产关系——学习党的二十届三中全会精神的体会》，《思想理论教育导刊》2024年第8期。</w:t>
      </w:r>
    </w:p>
  </w:footnote>
  <w:footnote w:id="956">
    <w:p w14:paraId="0672C950">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李楠</w:t>
      </w:r>
      <w:r>
        <w:rPr>
          <w:rFonts w:hint="eastAsia" w:ascii="宋体" w:hAnsi="宋体" w:eastAsia="宋体" w:cs="宋体"/>
          <w:sz w:val="21"/>
          <w:szCs w:val="21"/>
          <w:lang w:eastAsia="zh-CN"/>
        </w:rPr>
        <w:t>、</w:t>
      </w:r>
      <w:r>
        <w:rPr>
          <w:rFonts w:hint="eastAsia" w:ascii="宋体" w:hAnsi="宋体" w:eastAsia="宋体" w:cs="宋体"/>
          <w:sz w:val="21"/>
          <w:szCs w:val="21"/>
        </w:rPr>
        <w:t>徐卓仕</w:t>
      </w:r>
      <w:r>
        <w:rPr>
          <w:rFonts w:hint="eastAsia" w:ascii="宋体" w:hAnsi="宋体" w:eastAsia="宋体" w:cs="宋体"/>
          <w:sz w:val="21"/>
          <w:szCs w:val="21"/>
          <w:lang w:eastAsia="zh-CN"/>
        </w:rPr>
        <w:t>：《提高劳动者素质促进新质生产力发展研究》，《</w:t>
      </w:r>
      <w:r>
        <w:rPr>
          <w:rFonts w:hint="eastAsia" w:ascii="宋体" w:hAnsi="宋体" w:eastAsia="宋体" w:cs="宋体"/>
          <w:sz w:val="21"/>
          <w:szCs w:val="21"/>
          <w:lang w:val="en-US" w:eastAsia="zh-CN"/>
        </w:rPr>
        <w:t>海派经济学</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2024年第2期。</w:t>
      </w:r>
    </w:p>
  </w:footnote>
  <w:footnote w:id="957">
    <w:p w14:paraId="1BFF6F76">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程恩富、陈健：《大力发展新质生产力 加速推进中国式现代化》，《当代经济研究》2023年第12期。</w:t>
      </w:r>
    </w:p>
  </w:footnote>
  <w:footnote w:id="958">
    <w:p w14:paraId="4AEEF71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胡迟</w:t>
      </w:r>
      <w:r>
        <w:rPr>
          <w:rFonts w:hint="eastAsia" w:ascii="宋体" w:hAnsi="宋体" w:eastAsia="宋体" w:cs="宋体"/>
          <w:sz w:val="21"/>
          <w:szCs w:val="21"/>
          <w:lang w:eastAsia="zh-CN"/>
        </w:rPr>
        <w:t>：《</w:t>
      </w:r>
      <w:r>
        <w:rPr>
          <w:rFonts w:hint="eastAsia" w:ascii="宋体" w:hAnsi="宋体" w:eastAsia="宋体" w:cs="宋体"/>
          <w:sz w:val="21"/>
          <w:szCs w:val="21"/>
        </w:rPr>
        <w:t>发挥国有企业在现代化产业体系建设中的引领支撑作用</w:t>
      </w:r>
      <w:r>
        <w:rPr>
          <w:rFonts w:hint="eastAsia" w:ascii="宋体" w:hAnsi="宋体" w:eastAsia="宋体" w:cs="宋体"/>
          <w:sz w:val="21"/>
          <w:szCs w:val="21"/>
          <w:lang w:eastAsia="zh-CN"/>
        </w:rPr>
        <w:t>》，《</w:t>
      </w:r>
      <w:r>
        <w:rPr>
          <w:rFonts w:hint="eastAsia" w:ascii="宋体" w:hAnsi="宋体" w:eastAsia="宋体" w:cs="宋体"/>
          <w:sz w:val="21"/>
          <w:szCs w:val="21"/>
        </w:rPr>
        <w:t>中国党政干部论坛</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2023年第9期。</w:t>
      </w:r>
    </w:p>
  </w:footnote>
  <w:footnote w:id="959">
    <w:p w14:paraId="44B3AD54">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程恩富：《关于做大、做强、做优国有经济的若干问题》，《国有经济论丛（2015）——国有企业深化改革与发展》2015年12月。</w:t>
      </w:r>
    </w:p>
  </w:footnote>
  <w:footnote w:id="960">
    <w:p w14:paraId="4C120298">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国务院国有资产监督管理委员会：</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2023年《财富》世界500强揭晓 国资监管系统85家企业榜上有名</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http://www.sasac.gov.cn/n2588020/n2877938/n2879597/n30275940/c28539548/content.html.2023年8月3日。</w:t>
      </w:r>
    </w:p>
  </w:footnote>
  <w:footnote w:id="961">
    <w:p w14:paraId="68574D16">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程恩富：《新时代为什么要做强做优做大国有企业》，《世界社会主义研究》2018年第3期。</w:t>
      </w:r>
    </w:p>
  </w:footnote>
  <w:footnote w:id="962">
    <w:p w14:paraId="551777DD">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新华社：</w:t>
      </w:r>
      <w:r>
        <w:rPr>
          <w:rFonts w:hint="eastAsia" w:ascii="宋体" w:hAnsi="宋体" w:eastAsia="宋体" w:cs="宋体"/>
          <w:sz w:val="21"/>
          <w:szCs w:val="21"/>
          <w:lang w:eastAsia="zh-CN"/>
        </w:rPr>
        <w:t>《</w:t>
      </w:r>
      <w:r>
        <w:rPr>
          <w:rFonts w:hint="eastAsia" w:ascii="宋体" w:hAnsi="宋体" w:eastAsia="宋体" w:cs="宋体"/>
          <w:sz w:val="21"/>
          <w:szCs w:val="21"/>
        </w:rPr>
        <w:t>奋进强国路 阔步新征程｜勇扛大国“顶梁柱”使命担当——新中国成立75周年国资国企发展成就综述</w:t>
      </w:r>
      <w:r>
        <w:rPr>
          <w:rFonts w:hint="eastAsia" w:ascii="宋体" w:hAnsi="宋体" w:eastAsia="宋体" w:cs="宋体"/>
          <w:sz w:val="21"/>
          <w:szCs w:val="21"/>
          <w:lang w:eastAsia="zh-CN"/>
        </w:rPr>
        <w:t>》，http://www.news.cn/politics/20240923/20e0908308e74ac28dc2784b42539305/c.html</w:t>
      </w:r>
      <w:r>
        <w:rPr>
          <w:rFonts w:hint="eastAsia" w:ascii="宋体" w:hAnsi="宋体" w:eastAsia="宋体" w:cs="宋体"/>
          <w:sz w:val="21"/>
          <w:szCs w:val="21"/>
          <w:lang w:val="en-US" w:eastAsia="zh-CN"/>
        </w:rPr>
        <w:t>.2024年9月24日。</w:t>
      </w:r>
    </w:p>
  </w:footnote>
  <w:footnote w:id="963">
    <w:p w14:paraId="1351613D">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深圳市国资委：</w:t>
      </w:r>
      <w:r>
        <w:rPr>
          <w:rFonts w:hint="eastAsia" w:ascii="宋体" w:hAnsi="宋体" w:eastAsia="宋体" w:cs="宋体"/>
          <w:sz w:val="21"/>
          <w:szCs w:val="21"/>
          <w:lang w:eastAsia="zh-CN"/>
        </w:rPr>
        <w:t>《奋力以高质量发展推进中国式现代化 深圳国资国企全面深化改革》，http://gzw.sz.gov.cn/zwgk/qt/pcgz/content/post_11446366.html</w:t>
      </w:r>
      <w:r>
        <w:rPr>
          <w:rFonts w:hint="eastAsia" w:ascii="宋体" w:hAnsi="宋体" w:eastAsia="宋体" w:cs="宋体"/>
          <w:sz w:val="21"/>
          <w:szCs w:val="21"/>
          <w:lang w:val="en-US" w:eastAsia="zh-CN"/>
        </w:rPr>
        <w:t>.2024年7月18日。</w:t>
      </w:r>
    </w:p>
  </w:footnote>
  <w:footnote w:id="964">
    <w:p w14:paraId="515A2309">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广东省人民政府：</w:t>
      </w:r>
      <w:r>
        <w:rPr>
          <w:rFonts w:hint="eastAsia" w:ascii="宋体" w:hAnsi="宋体" w:eastAsia="宋体" w:cs="宋体"/>
          <w:sz w:val="21"/>
          <w:szCs w:val="21"/>
          <w:lang w:eastAsia="zh-CN"/>
        </w:rPr>
        <w:t>《深圳市属企业总资产破5万亿 全系统“千亿骨干国企”增至10家 上市公司37家》，http://www.gd.gov.cn/gdywdt/dsdt/content/post_4082695.html</w:t>
      </w:r>
      <w:r>
        <w:rPr>
          <w:rFonts w:hint="eastAsia" w:ascii="宋体" w:hAnsi="宋体" w:eastAsia="宋体" w:cs="宋体"/>
          <w:sz w:val="21"/>
          <w:szCs w:val="21"/>
          <w:lang w:val="en-US" w:eastAsia="zh-CN"/>
        </w:rPr>
        <w:t>.2023年1月17日。</w:t>
      </w:r>
    </w:p>
  </w:footnote>
  <w:footnote w:id="965">
    <w:p w14:paraId="661AD693">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光明网：</w:t>
      </w:r>
      <w:r>
        <w:rPr>
          <w:rFonts w:hint="eastAsia" w:ascii="宋体" w:hAnsi="宋体" w:eastAsia="宋体" w:cs="宋体"/>
          <w:sz w:val="21"/>
          <w:szCs w:val="21"/>
          <w:lang w:eastAsia="zh-CN"/>
        </w:rPr>
        <w:t>《深圳市属国资国企彰显责任和担当 “耐心资本”扶持科创企业成长》，https://difang.gmw.cn/sz/2024-06/16/content_37381895.htm</w:t>
      </w:r>
      <w:r>
        <w:rPr>
          <w:rFonts w:hint="eastAsia" w:ascii="宋体" w:hAnsi="宋体" w:eastAsia="宋体" w:cs="宋体"/>
          <w:sz w:val="21"/>
          <w:szCs w:val="21"/>
          <w:lang w:val="en-US" w:eastAsia="zh-CN"/>
        </w:rPr>
        <w:t>.2024年6月16日。</w:t>
      </w:r>
    </w:p>
  </w:footnote>
  <w:footnote w:id="966">
    <w:p w14:paraId="5A9DAFC3">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深圳市国资委：</w:t>
      </w:r>
      <w:r>
        <w:rPr>
          <w:rFonts w:hint="eastAsia" w:ascii="宋体" w:hAnsi="宋体" w:eastAsia="宋体" w:cs="宋体"/>
          <w:sz w:val="21"/>
          <w:szCs w:val="21"/>
          <w:lang w:eastAsia="zh-CN"/>
        </w:rPr>
        <w:t>《奋力以高质量发展推进中国式现代化 深圳国资国企全面深化改革》，http://gzw.sz.gov.cn/zwgk/qt/pcgz/content/post_11446366.html</w:t>
      </w:r>
      <w:r>
        <w:rPr>
          <w:rFonts w:hint="eastAsia" w:ascii="宋体" w:hAnsi="宋体" w:eastAsia="宋体" w:cs="宋体"/>
          <w:sz w:val="21"/>
          <w:szCs w:val="21"/>
          <w:lang w:val="en-US" w:eastAsia="zh-CN"/>
        </w:rPr>
        <w:t>.2024年7月18日。</w:t>
      </w:r>
    </w:p>
  </w:footnote>
  <w:footnote w:id="967">
    <w:p w14:paraId="5E7ED5E1">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刘志迎：《论新质生产力发展的组织者和实施者》，https://www.zhonghongwang.com/show-278-322060-1.html.2024年3月28日。</w:t>
      </w:r>
    </w:p>
  </w:footnote>
  <w:footnote w:id="968">
    <w:p w14:paraId="0B3F9393">
      <w:pPr>
        <w:pStyle w:val="7"/>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vertAlign w:val="baseline"/>
        </w:rPr>
        <w:footnoteRef/>
      </w:r>
      <w:r>
        <w:rPr>
          <w:rFonts w:hint="eastAsia" w:ascii="宋体" w:hAnsi="宋体" w:eastAsia="宋体" w:cs="宋体"/>
          <w:sz w:val="21"/>
          <w:szCs w:val="21"/>
        </w:rPr>
        <w:t xml:space="preserve"> Djoomart Otorbaev</w:t>
      </w:r>
      <w:r>
        <w:rPr>
          <w:rFonts w:hint="eastAsia" w:ascii="宋体" w:hAnsi="宋体" w:eastAsia="宋体" w:cs="宋体"/>
          <w:sz w:val="21"/>
          <w:szCs w:val="21"/>
          <w:lang w:val="en-US" w:eastAsia="zh-CN"/>
        </w:rPr>
        <w:t>, “</w:t>
      </w:r>
      <w:r>
        <w:rPr>
          <w:rFonts w:hint="eastAsia" w:ascii="宋体" w:hAnsi="宋体" w:eastAsia="宋体" w:cs="宋体"/>
          <w:sz w:val="21"/>
          <w:szCs w:val="21"/>
        </w:rPr>
        <w:t>BRICS set to be bigger, stronger amid push for unity</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https://www.chinadaily.com.cn/a/202304/27/WS6449cc4aa310b6054fad00c2.html</w:t>
      </w:r>
      <w:r>
        <w:rPr>
          <w:rFonts w:hint="eastAsia" w:ascii="宋体" w:hAnsi="宋体" w:eastAsia="宋体" w:cs="宋体"/>
          <w:sz w:val="21"/>
          <w:szCs w:val="21"/>
          <w:lang w:val="en-US" w:eastAsia="zh-CN"/>
        </w:rPr>
        <w:t>.</w:t>
      </w:r>
    </w:p>
  </w:footnote>
  <w:footnote w:id="969">
    <w:p w14:paraId="0E24084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vertAlign w:val="baseline"/>
        </w:rPr>
        <w:footnoteRef/>
      </w:r>
      <w:r>
        <w:rPr>
          <w:rStyle w:val="20"/>
          <w:rFonts w:hint="eastAsia" w:ascii="宋体" w:hAnsi="宋体" w:eastAsia="宋体" w:cs="宋体"/>
          <w:sz w:val="21"/>
          <w:szCs w:val="21"/>
        </w:rPr>
        <w:t xml:space="preserve"> </w:t>
      </w:r>
      <w:r>
        <w:rPr>
          <w:rFonts w:hint="eastAsia" w:ascii="宋体" w:hAnsi="宋体" w:eastAsia="宋体" w:cs="宋体"/>
          <w:sz w:val="21"/>
          <w:szCs w:val="21"/>
        </w:rPr>
        <w:t>Arendse Huld</w:t>
      </w:r>
      <w:r>
        <w:rPr>
          <w:rFonts w:hint="eastAsia" w:ascii="宋体" w:hAnsi="宋体" w:eastAsia="宋体" w:cs="宋体"/>
          <w:sz w:val="21"/>
          <w:szCs w:val="21"/>
          <w:lang w:val="en-US" w:eastAsia="zh-CN"/>
        </w:rPr>
        <w:t>, “</w:t>
      </w:r>
      <w:r>
        <w:rPr>
          <w:rFonts w:hint="eastAsia" w:ascii="宋体" w:hAnsi="宋体" w:eastAsia="宋体" w:cs="宋体"/>
          <w:sz w:val="21"/>
          <w:szCs w:val="21"/>
        </w:rPr>
        <w:t>GDP Expands 5.2% in 2023 – Analyzing China’s Key Economic Indicators</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https://www.china-briefing.com/news/chinas-gdp-in-2023/</w:t>
      </w:r>
      <w:r>
        <w:rPr>
          <w:rFonts w:hint="eastAsia" w:ascii="宋体" w:hAnsi="宋体" w:eastAsia="宋体" w:cs="宋体"/>
          <w:sz w:val="21"/>
          <w:szCs w:val="21"/>
          <w:lang w:val="en-US" w:eastAsia="zh-CN"/>
        </w:rPr>
        <w:t>.</w:t>
      </w:r>
    </w:p>
    <w:p w14:paraId="2B513693">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p>
  </w:footnote>
  <w:footnote w:id="970">
    <w:p w14:paraId="55C31242">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程恩富、陈健：《评析美西方炒作的“中国产能过剩论”》，《政治经济学研究》2024年第2期。</w:t>
      </w:r>
    </w:p>
  </w:footnote>
  <w:footnote w:id="971">
    <w:p w14:paraId="58AE071C">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lang w:val="en-US" w:eastAsia="zh-CN"/>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孙寿涛、张朝阳：《美国保护主义回潮的本质、根源与后果》，《海派经济学》2024年第2期。</w:t>
      </w:r>
    </w:p>
  </w:footnote>
  <w:footnote w:id="972">
    <w:p w14:paraId="22F69CC3">
      <w:pPr>
        <w:pStyle w:val="11"/>
        <w:keepNext w:val="0"/>
        <w:pageBreakBefore w:val="0"/>
        <w:kinsoku/>
        <w:overflowPunct/>
        <w:topLinePunct w:val="0"/>
        <w:bidi w:val="0"/>
        <w:snapToGri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联合国官网会议报道（第七十七届会议，第22 次会议（下午）），具体地址：https://press.un.org/en/2022/gaef3577.doc.htm</w:t>
      </w:r>
    </w:p>
  </w:footnote>
  <w:footnote w:id="973">
    <w:p w14:paraId="425454FD">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 xml:space="preserve"> 国家统计局：《新理念引领新发展 新时代开创新局面——党的十八大以来经济社会发展成就系列报告之一》，https://www.stats.gov.cn/sj/sjjd/202302/t20230202_1896671.html 。</w:t>
      </w:r>
    </w:p>
  </w:footnote>
  <w:footnote w:id="974">
    <w:p w14:paraId="17EEB8AE">
      <w:pPr>
        <w:pStyle w:val="11"/>
        <w:keepNext w:val="0"/>
        <w:pageBreakBefore w:val="0"/>
        <w:kinsoku/>
        <w:overflowPunct/>
        <w:topLinePunct w:val="0"/>
        <w:bidi w:val="0"/>
        <w:adjustRightInd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《外交部：国际社会更加看好中国经济社会发展潜力》，《人民日报》，2024-03-13，第3版。</w:t>
      </w:r>
    </w:p>
  </w:footnote>
  <w:footnote w:id="975">
    <w:p w14:paraId="192723F7">
      <w:pPr>
        <w:pStyle w:val="11"/>
        <w:keepNext w:val="0"/>
        <w:pageBreakBefore w:val="0"/>
        <w:kinsoku/>
        <w:overflowPunct/>
        <w:topLinePunct w:val="0"/>
        <w:bidi w:val="0"/>
        <w:adjustRightInd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国家统计局：《上半年国民经济运行总体平稳，稳中有进》，https://www.stats.gov.cn/sj/zxfb/202407/t20240715_1955618.html 。</w:t>
      </w:r>
    </w:p>
  </w:footnote>
  <w:footnote w:id="976">
    <w:p w14:paraId="0E15F817">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color w:val="000000" w:themeColor="text1"/>
          <w:sz w:val="21"/>
          <w:szCs w:val="21"/>
          <w14:textFill>
            <w14:solidFill>
              <w14:schemeClr w14:val="tx1"/>
            </w14:solidFill>
          </w14:textFill>
        </w:rPr>
      </w:pPr>
      <w:r>
        <w:rPr>
          <w:rStyle w:val="20"/>
          <w:rFonts w:hint="eastAsia" w:ascii="宋体" w:hAnsi="宋体" w:eastAsia="宋体" w:cs="宋体"/>
          <w:color w:val="000000" w:themeColor="text1"/>
          <w:sz w:val="21"/>
          <w:szCs w:val="21"/>
          <w14:textFill>
            <w14:solidFill>
              <w14:schemeClr w14:val="tx1"/>
            </w14:solidFill>
          </w14:textFill>
        </w:rPr>
        <w:footnoteRef/>
      </w:r>
      <w:r>
        <w:rPr>
          <w:rFonts w:hint="eastAsia" w:ascii="宋体" w:hAnsi="宋体" w:eastAsia="宋体" w:cs="宋体"/>
          <w:color w:val="000000" w:themeColor="text1"/>
          <w:sz w:val="21"/>
          <w:szCs w:val="21"/>
          <w14:textFill>
            <w14:solidFill>
              <w14:schemeClr w14:val="tx1"/>
            </w14:solidFill>
          </w14:textFill>
        </w:rPr>
        <w:t xml:space="preserve"> 国家统计局：《2023年我国“三新”经济增加值相当于国内生产总值的比重为17.73%》，https://www.stats.gov.cn/sj/zxfb/202407/t20240730_1955890.html 。</w:t>
      </w:r>
    </w:p>
  </w:footnote>
  <w:footnote w:id="977">
    <w:p w14:paraId="0BBF0B61">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《中共中央关于进一步全面深化改革 推进中国式现代化的决定》，《人民日报》，2024-07-22，第1版。</w:t>
      </w:r>
    </w:p>
  </w:footnote>
  <w:footnote w:id="978">
    <w:p w14:paraId="78A1081E">
      <w:pPr>
        <w:pStyle w:val="11"/>
        <w:keepNext w:val="0"/>
        <w:pageBreakBefore w:val="0"/>
        <w:kinsoku/>
        <w:overflowPunct/>
        <w:topLinePunct w:val="0"/>
        <w:bidi w:val="0"/>
        <w:spacing w:line="240" w:lineRule="auto"/>
        <w:ind w:left="0" w:leftChars="0" w:right="0" w:firstLine="0" w:firstLineChars="0"/>
        <w:jc w:val="both"/>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中国政府网：《习近平:在庆祝中国共产党成立100周年大会上的讲话》，https://www.gov.cn/xinwen/2021-07/15/content_5625254.htm。</w:t>
      </w:r>
    </w:p>
  </w:footnote>
  <w:footnote w:id="979">
    <w:p w14:paraId="6CD5824B">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《习近平谈治国理政》第三卷，北京：外文出版社，2020年，第286页。</w:t>
      </w:r>
    </w:p>
  </w:footnote>
  <w:footnote w:id="980">
    <w:p w14:paraId="200E9238">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《习近平谈治国理政》第二卷，北京：外文出版社，2017年，第32页。</w:t>
      </w:r>
    </w:p>
  </w:footnote>
  <w:footnote w:id="981">
    <w:p w14:paraId="1E7D7FA5">
      <w:pPr>
        <w:pStyle w:val="11"/>
        <w:keepNext w:val="0"/>
        <w:pageBreakBefore w:val="0"/>
        <w:kinsoku/>
        <w:overflowPunct/>
        <w:topLinePunct w:val="0"/>
        <w:bidi w:val="0"/>
        <w:spacing w:line="240" w:lineRule="auto"/>
        <w:ind w:left="0" w:leftChars="0" w:right="0" w:firstLine="0" w:firstLineChars="0"/>
        <w:textAlignment w:val="auto"/>
        <w:rPr>
          <w:rFonts w:hint="eastAsia" w:ascii="宋体" w:hAnsi="宋体" w:eastAsia="宋体" w:cs="宋体"/>
          <w:sz w:val="21"/>
          <w:szCs w:val="21"/>
        </w:rPr>
      </w:pPr>
      <w:r>
        <w:rPr>
          <w:rStyle w:val="20"/>
          <w:rFonts w:hint="eastAsia" w:ascii="宋体" w:hAnsi="宋体" w:eastAsia="宋体" w:cs="宋体"/>
          <w:sz w:val="21"/>
          <w:szCs w:val="21"/>
        </w:rPr>
        <w:footnoteRef/>
      </w:r>
      <w:r>
        <w:rPr>
          <w:rFonts w:hint="eastAsia" w:ascii="宋体" w:hAnsi="宋体" w:eastAsia="宋体" w:cs="宋体"/>
          <w:sz w:val="21"/>
          <w:szCs w:val="21"/>
        </w:rPr>
        <w:t>《习近平谈治国理政》第四卷，北京：外文出版社，2022年，第510页。</w:t>
      </w:r>
    </w:p>
  </w:footnote>
  <w:footnote w:id="982">
    <w:p w14:paraId="582545B8">
      <w:pPr>
        <w:pStyle w:val="11"/>
        <w:snapToGrid w:val="0"/>
        <w:rPr>
          <w:rStyle w:val="20"/>
          <w:vertAlign w:val="baseline"/>
        </w:rPr>
      </w:pPr>
      <w:r>
        <w:rPr>
          <w:rStyle w:val="20"/>
          <w:vertAlign w:val="superscript"/>
        </w:rPr>
        <w:footnoteRef/>
      </w:r>
      <w:r>
        <w:rPr>
          <w:rStyle w:val="20"/>
          <w:vertAlign w:val="baseline"/>
        </w:rPr>
        <w:t>《中共中央关于进一步全面深化改革推进中国式现代化的决定》，《人民日报》2024年7月22日第1版。</w:t>
      </w:r>
    </w:p>
  </w:footnote>
  <w:footnote w:id="983">
    <w:p w14:paraId="5F3BF361">
      <w:pPr>
        <w:pStyle w:val="11"/>
        <w:snapToGrid w:val="0"/>
      </w:pPr>
      <w:r>
        <w:rPr>
          <w:rStyle w:val="20"/>
          <w:vertAlign w:val="superscript"/>
        </w:rPr>
        <w:footnoteRef/>
      </w:r>
      <w:r>
        <w:rPr>
          <w:rStyle w:val="20"/>
          <w:vertAlign w:val="baseline"/>
        </w:rPr>
        <w:t>习近平：《关于〈中共中央关于进一步全面深化改革、推进中国式现代化的决定〉的说明》，《人民日报》2024年7月22日第1版。</w:t>
      </w:r>
    </w:p>
  </w:footnote>
  <w:footnote w:id="984">
    <w:p w14:paraId="6EA9DE74">
      <w:pPr>
        <w:pStyle w:val="11"/>
        <w:snapToGrid w:val="0"/>
      </w:pPr>
      <w:r>
        <w:rPr>
          <w:rStyle w:val="20"/>
        </w:rPr>
        <w:footnoteRef/>
      </w:r>
      <w:r>
        <w:rPr>
          <w:rFonts w:ascii="方正书宋_GBK" w:hAnsi="方正书宋_GBK" w:eastAsia="方正书宋_GBK" w:cs="方正书宋_GBK"/>
          <w:spacing w:val="-5"/>
        </w:rPr>
        <w:t>习近平</w:t>
      </w:r>
      <w:r>
        <w:rPr>
          <w:spacing w:val="-5"/>
        </w:rPr>
        <w:t>：《</w:t>
      </w:r>
      <w:r>
        <w:rPr>
          <w:rFonts w:ascii="方正书宋_GBK" w:hAnsi="方正书宋_GBK" w:eastAsia="方正书宋_GBK" w:cs="方正书宋_GBK"/>
          <w:spacing w:val="-5"/>
        </w:rPr>
        <w:t>在全国科技大会</w:t>
      </w:r>
      <w:r>
        <w:rPr>
          <w:spacing w:val="-5"/>
        </w:rPr>
        <w:t>、</w:t>
      </w:r>
      <w:r>
        <w:rPr>
          <w:rFonts w:ascii="方正书宋_GBK" w:hAnsi="方正书宋_GBK" w:eastAsia="方正书宋_GBK" w:cs="方正书宋_GBK"/>
          <w:spacing w:val="-5"/>
        </w:rPr>
        <w:t>国家科学技术奖励大会</w:t>
      </w:r>
      <w:r>
        <w:rPr>
          <w:spacing w:val="-5"/>
        </w:rPr>
        <w:t>、</w:t>
      </w:r>
      <w:r>
        <w:rPr>
          <w:rFonts w:ascii="方正书宋_GBK" w:hAnsi="方正书宋_GBK" w:eastAsia="方正书宋_GBK" w:cs="方正书宋_GBK"/>
          <w:spacing w:val="-5"/>
        </w:rPr>
        <w:t>两院院士大会上的讲话</w:t>
      </w:r>
      <w:r>
        <w:rPr>
          <w:spacing w:val="-5"/>
        </w:rPr>
        <w:t>》，《</w:t>
      </w:r>
      <w:r>
        <w:rPr>
          <w:rFonts w:ascii="方正书宋_GBK" w:hAnsi="方正书宋_GBK" w:eastAsia="方正书宋_GBK" w:cs="方正书宋_GBK"/>
          <w:spacing w:val="-5"/>
        </w:rPr>
        <w:t>人民日报</w:t>
      </w:r>
      <w:r>
        <w:rPr>
          <w:spacing w:val="-5"/>
        </w:rPr>
        <w:t>》2024</w:t>
      </w:r>
      <w:r>
        <w:rPr>
          <w:rFonts w:ascii="方正书宋_GBK" w:hAnsi="方正书宋_GBK" w:eastAsia="方正书宋_GBK" w:cs="方正书宋_GBK"/>
          <w:spacing w:val="-5"/>
        </w:rPr>
        <w:t>年</w:t>
      </w:r>
      <w:r>
        <w:rPr>
          <w:spacing w:val="-5"/>
        </w:rPr>
        <w:t>6</w:t>
      </w:r>
      <w:r>
        <w:rPr>
          <w:rFonts w:ascii="方正书宋_GBK" w:hAnsi="方正书宋_GBK" w:eastAsia="方正书宋_GBK" w:cs="方正书宋_GBK"/>
          <w:spacing w:val="-5"/>
        </w:rPr>
        <w:t>月</w:t>
      </w:r>
      <w:r>
        <w:rPr>
          <w:spacing w:val="-5"/>
        </w:rPr>
        <w:t>25</w:t>
      </w:r>
      <w:r>
        <w:rPr>
          <w:rFonts w:ascii="方正书宋_GBK" w:hAnsi="方正书宋_GBK" w:eastAsia="方正书宋_GBK" w:cs="方正书宋_GBK"/>
          <w:spacing w:val="-5"/>
        </w:rPr>
        <w:t>日第</w:t>
      </w:r>
      <w:r>
        <w:rPr>
          <w:spacing w:val="-5"/>
        </w:rPr>
        <w:t>2</w:t>
      </w:r>
      <w:r>
        <w:rPr>
          <w:rFonts w:ascii="方正书宋_GBK" w:hAnsi="方正书宋_GBK" w:eastAsia="方正书宋_GBK" w:cs="方正书宋_GBK"/>
          <w:spacing w:val="-5"/>
        </w:rPr>
        <w:t>版</w:t>
      </w:r>
      <w:r>
        <w:rPr>
          <w:spacing w:val="-5"/>
        </w:rPr>
        <w:t>。</w:t>
      </w:r>
    </w:p>
  </w:footnote>
  <w:footnote w:id="985">
    <w:p w14:paraId="5AD34E1A">
      <w:pPr>
        <w:pStyle w:val="11"/>
        <w:snapToGrid w:val="0"/>
      </w:pPr>
      <w:r>
        <w:rPr>
          <w:rStyle w:val="20"/>
        </w:rPr>
        <w:footnoteRef/>
      </w:r>
      <w:r>
        <w:rPr>
          <w:rFonts w:ascii="方正书宋_GBK" w:hAnsi="方正书宋_GBK" w:eastAsia="方正书宋_GBK" w:cs="方正书宋_GBK"/>
          <w:spacing w:val="-8"/>
        </w:rPr>
        <w:t>陆成宽</w:t>
      </w:r>
      <w:r>
        <w:rPr>
          <w:spacing w:val="-8"/>
        </w:rPr>
        <w:t>：《</w:t>
      </w:r>
      <w:r>
        <w:rPr>
          <w:rFonts w:ascii="方正书宋_GBK" w:hAnsi="方正书宋_GBK" w:eastAsia="方正书宋_GBK" w:cs="方正书宋_GBK"/>
          <w:spacing w:val="-8"/>
        </w:rPr>
        <w:t>中国三方专利量上升到全球第四</w:t>
      </w:r>
      <w:r>
        <w:rPr>
          <w:spacing w:val="-8"/>
        </w:rPr>
        <w:t>》，《</w:t>
      </w:r>
      <w:r>
        <w:rPr>
          <w:rFonts w:ascii="方正书宋_GBK" w:hAnsi="方正书宋_GBK" w:eastAsia="方正书宋_GBK" w:cs="方正书宋_GBK"/>
          <w:spacing w:val="-8"/>
        </w:rPr>
        <w:t>科普时报</w:t>
      </w:r>
      <w:r>
        <w:rPr>
          <w:spacing w:val="-8"/>
        </w:rPr>
        <w:t>》2021</w:t>
      </w:r>
      <w:r>
        <w:rPr>
          <w:rFonts w:ascii="方正书宋_GBK" w:hAnsi="方正书宋_GBK" w:eastAsia="方正书宋_GBK" w:cs="方正书宋_GBK"/>
          <w:spacing w:val="-8"/>
        </w:rPr>
        <w:t>年</w:t>
      </w:r>
      <w:r>
        <w:rPr>
          <w:spacing w:val="-8"/>
        </w:rPr>
        <w:t>6</w:t>
      </w:r>
      <w:r>
        <w:rPr>
          <w:rFonts w:ascii="方正书宋_GBK" w:hAnsi="方正书宋_GBK" w:eastAsia="方正书宋_GBK" w:cs="方正书宋_GBK"/>
          <w:spacing w:val="-8"/>
        </w:rPr>
        <w:t>月</w:t>
      </w:r>
      <w:r>
        <w:rPr>
          <w:spacing w:val="-8"/>
        </w:rPr>
        <w:t>8</w:t>
      </w:r>
      <w:r>
        <w:rPr>
          <w:rFonts w:ascii="方正书宋_GBK" w:hAnsi="方正书宋_GBK" w:eastAsia="方正书宋_GBK" w:cs="方正书宋_GBK"/>
          <w:spacing w:val="-8"/>
        </w:rPr>
        <w:t>日第</w:t>
      </w:r>
      <w:r>
        <w:rPr>
          <w:spacing w:val="-8"/>
        </w:rPr>
        <w:t>1</w:t>
      </w:r>
      <w:r>
        <w:rPr>
          <w:rFonts w:ascii="方正书宋_GBK" w:hAnsi="方正书宋_GBK" w:eastAsia="方正书宋_GBK" w:cs="方正书宋_GBK"/>
          <w:spacing w:val="-8"/>
        </w:rPr>
        <w:t>版</w:t>
      </w:r>
      <w:r>
        <w:rPr>
          <w:spacing w:val="-8"/>
        </w:rPr>
        <w:t>。</w:t>
      </w:r>
    </w:p>
  </w:footnote>
  <w:footnote w:id="986">
    <w:p w14:paraId="657A702C">
      <w:pPr>
        <w:pStyle w:val="11"/>
        <w:snapToGrid w:val="0"/>
      </w:pPr>
      <w:r>
        <w:rPr>
          <w:rStyle w:val="20"/>
        </w:rPr>
        <w:footnoteRef/>
      </w:r>
      <w:r>
        <w:rPr>
          <w:spacing w:val="-7"/>
        </w:rPr>
        <w:t>《</w:t>
      </w:r>
      <w:r>
        <w:rPr>
          <w:rFonts w:ascii="方正书宋_GBK" w:hAnsi="方正书宋_GBK" w:eastAsia="方正书宋_GBK" w:cs="方正书宋_GBK"/>
          <w:spacing w:val="-7"/>
        </w:rPr>
        <w:t>习近平著作选读</w:t>
      </w:r>
      <w:r>
        <w:rPr>
          <w:spacing w:val="-7"/>
        </w:rPr>
        <w:t>》</w:t>
      </w:r>
      <w:r>
        <w:rPr>
          <w:rFonts w:ascii="方正书宋_GBK" w:hAnsi="方正书宋_GBK" w:eastAsia="方正书宋_GBK" w:cs="方正书宋_GBK"/>
          <w:spacing w:val="-7"/>
        </w:rPr>
        <w:t>第</w:t>
      </w:r>
      <w:r>
        <w:rPr>
          <w:spacing w:val="-7"/>
        </w:rPr>
        <w:t>1</w:t>
      </w:r>
      <w:r>
        <w:rPr>
          <w:rFonts w:ascii="方正书宋_GBK" w:hAnsi="方正书宋_GBK" w:eastAsia="方正书宋_GBK" w:cs="方正书宋_GBK"/>
          <w:spacing w:val="-7"/>
        </w:rPr>
        <w:t>卷</w:t>
      </w:r>
      <w:r>
        <w:rPr>
          <w:spacing w:val="-7"/>
        </w:rPr>
        <w:t>，</w:t>
      </w:r>
      <w:r>
        <w:rPr>
          <w:rFonts w:ascii="方正书宋_GBK" w:hAnsi="方正书宋_GBK" w:eastAsia="方正书宋_GBK" w:cs="方正书宋_GBK"/>
          <w:spacing w:val="-7"/>
        </w:rPr>
        <w:t>人民出版社</w:t>
      </w:r>
      <w:r>
        <w:rPr>
          <w:spacing w:val="-7"/>
        </w:rPr>
        <w:t>2023</w:t>
      </w:r>
      <w:r>
        <w:rPr>
          <w:rFonts w:ascii="方正书宋_GBK" w:hAnsi="方正书宋_GBK" w:eastAsia="方正书宋_GBK" w:cs="方正书宋_GBK"/>
          <w:spacing w:val="-7"/>
        </w:rPr>
        <w:t>年版</w:t>
      </w:r>
      <w:r>
        <w:rPr>
          <w:spacing w:val="-7"/>
        </w:rPr>
        <w:t>，</w:t>
      </w:r>
      <w:r>
        <w:rPr>
          <w:rFonts w:ascii="方正书宋_GBK" w:hAnsi="方正书宋_GBK" w:eastAsia="方正书宋_GBK" w:cs="方正书宋_GBK"/>
          <w:spacing w:val="-8"/>
        </w:rPr>
        <w:t>第</w:t>
      </w:r>
      <w:r>
        <w:rPr>
          <w:spacing w:val="-8"/>
        </w:rPr>
        <w:t>443</w:t>
      </w:r>
      <w:r>
        <w:rPr>
          <w:rFonts w:ascii="方正书宋_GBK" w:hAnsi="方正书宋_GBK" w:eastAsia="方正书宋_GBK" w:cs="方正书宋_GBK"/>
          <w:spacing w:val="-8"/>
        </w:rPr>
        <w:t>页</w:t>
      </w:r>
      <w:r>
        <w:rPr>
          <w:spacing w:val="-8"/>
        </w:rPr>
        <w:t>。</w:t>
      </w:r>
    </w:p>
  </w:footnote>
  <w:footnote w:id="987">
    <w:p w14:paraId="505DC1F7">
      <w:pPr>
        <w:pStyle w:val="11"/>
        <w:snapToGrid w:val="0"/>
      </w:pPr>
      <w:r>
        <w:rPr>
          <w:rStyle w:val="20"/>
        </w:rPr>
        <w:footnoteRef/>
      </w:r>
      <w:r>
        <w:rPr>
          <w:rFonts w:ascii="方正书宋_GBK" w:hAnsi="方正书宋_GBK" w:eastAsia="方正书宋_GBK" w:cs="方正书宋_GBK"/>
          <w:spacing w:val="-6"/>
        </w:rPr>
        <w:t>李文森</w:t>
      </w:r>
      <w:r>
        <w:rPr>
          <w:spacing w:val="-6"/>
        </w:rPr>
        <w:t>、</w:t>
      </w:r>
      <w:r>
        <w:rPr>
          <w:rFonts w:ascii="方正书宋_GBK" w:hAnsi="方正书宋_GBK" w:eastAsia="方正书宋_GBK" w:cs="方正书宋_GBK"/>
          <w:spacing w:val="-6"/>
        </w:rPr>
        <w:t>王少杰</w:t>
      </w:r>
      <w:r>
        <w:rPr>
          <w:spacing w:val="-6"/>
        </w:rPr>
        <w:t>、</w:t>
      </w:r>
      <w:r>
        <w:rPr>
          <w:rFonts w:ascii="方正书宋_GBK" w:hAnsi="方正书宋_GBK" w:eastAsia="方正书宋_GBK" w:cs="方正书宋_GBK"/>
          <w:spacing w:val="-6"/>
        </w:rPr>
        <w:t>褚文等</w:t>
      </w:r>
      <w:r>
        <w:rPr>
          <w:spacing w:val="-6"/>
        </w:rPr>
        <w:t>：《</w:t>
      </w:r>
      <w:r>
        <w:rPr>
          <w:rFonts w:ascii="方正书宋_GBK" w:hAnsi="方正书宋_GBK" w:eastAsia="方正书宋_GBK" w:cs="方正书宋_GBK"/>
          <w:spacing w:val="-6"/>
        </w:rPr>
        <w:t>对我国金融业增加值占</w:t>
      </w:r>
      <w:r>
        <w:rPr>
          <w:spacing w:val="-6"/>
        </w:rPr>
        <w:t>GDP</w:t>
      </w:r>
      <w:r>
        <w:rPr>
          <w:rFonts w:ascii="方正书宋_GBK" w:hAnsi="方正书宋_GBK" w:eastAsia="方正书宋_GBK" w:cs="方正书宋_GBK"/>
          <w:spacing w:val="-6"/>
        </w:rPr>
        <w:t>比重的判断与思考</w:t>
      </w:r>
      <w:r>
        <w:rPr>
          <w:spacing w:val="-6"/>
        </w:rPr>
        <w:t>》，《</w:t>
      </w:r>
      <w:r>
        <w:rPr>
          <w:rFonts w:ascii="方正书宋_GBK" w:hAnsi="方正书宋_GBK" w:eastAsia="方正书宋_GBK" w:cs="方正书宋_GBK"/>
          <w:spacing w:val="-6"/>
        </w:rPr>
        <w:t>华北金融</w:t>
      </w:r>
      <w:r>
        <w:rPr>
          <w:spacing w:val="-6"/>
        </w:rPr>
        <w:t>》2017</w:t>
      </w:r>
      <w:r>
        <w:rPr>
          <w:rFonts w:ascii="方正书宋_GBK" w:hAnsi="方正书宋_GBK" w:eastAsia="方正书宋_GBK" w:cs="方正书宋_GBK"/>
          <w:spacing w:val="-6"/>
        </w:rPr>
        <w:t>年第</w:t>
      </w:r>
      <w:r>
        <w:rPr>
          <w:spacing w:val="-6"/>
        </w:rPr>
        <w:t>4</w:t>
      </w:r>
      <w:r>
        <w:rPr>
          <w:rFonts w:ascii="方正书宋_GBK" w:hAnsi="方正书宋_GBK" w:eastAsia="方正书宋_GBK" w:cs="方正书宋_GBK"/>
          <w:spacing w:val="-6"/>
        </w:rPr>
        <w:t>期</w:t>
      </w:r>
      <w:r>
        <w:rPr>
          <w:spacing w:val="-6"/>
        </w:rPr>
        <w:t>。</w:t>
      </w:r>
    </w:p>
  </w:footnote>
  <w:footnote w:id="988">
    <w:p w14:paraId="1F13417D">
      <w:pPr>
        <w:pStyle w:val="11"/>
        <w:snapToGrid w:val="0"/>
      </w:pPr>
      <w:r>
        <w:rPr>
          <w:rStyle w:val="20"/>
        </w:rPr>
        <w:footnoteRef/>
      </w:r>
      <w:r>
        <w:rPr>
          <w:rFonts w:ascii="方正书宋_GBK" w:hAnsi="方正书宋_GBK" w:eastAsia="方正书宋_GBK" w:cs="方正书宋_GBK"/>
          <w:spacing w:val="-7"/>
        </w:rPr>
        <w:t>荣晨</w:t>
      </w:r>
      <w:r>
        <w:rPr>
          <w:spacing w:val="-7"/>
        </w:rPr>
        <w:t>、</w:t>
      </w:r>
      <w:r>
        <w:rPr>
          <w:rFonts w:ascii="方正书宋_GBK" w:hAnsi="方正书宋_GBK" w:eastAsia="方正书宋_GBK" w:cs="方正书宋_GBK"/>
          <w:spacing w:val="-7"/>
        </w:rPr>
        <w:t>盛朝迅</w:t>
      </w:r>
      <w:r>
        <w:rPr>
          <w:spacing w:val="-7"/>
        </w:rPr>
        <w:t>、</w:t>
      </w:r>
      <w:r>
        <w:rPr>
          <w:rFonts w:ascii="方正书宋_GBK" w:hAnsi="方正书宋_GBK" w:eastAsia="方正书宋_GBK" w:cs="方正书宋_GBK"/>
          <w:spacing w:val="-7"/>
        </w:rPr>
        <w:t>易宇等</w:t>
      </w:r>
      <w:r>
        <w:rPr>
          <w:spacing w:val="-7"/>
        </w:rPr>
        <w:t>：《</w:t>
      </w:r>
      <w:r>
        <w:rPr>
          <w:rFonts w:ascii="方正书宋_GBK" w:hAnsi="方正书宋_GBK" w:eastAsia="方正书宋_GBK" w:cs="方正书宋_GBK"/>
          <w:spacing w:val="-7"/>
        </w:rPr>
        <w:t>国内大循环的突出堵点和应对举措研究</w:t>
      </w:r>
      <w:r>
        <w:rPr>
          <w:spacing w:val="-7"/>
        </w:rPr>
        <w:t>》，《</w:t>
      </w:r>
      <w:r>
        <w:rPr>
          <w:rFonts w:ascii="方正书宋_GBK" w:hAnsi="方正书宋_GBK" w:eastAsia="方正书宋_GBK" w:cs="方正书宋_GBK"/>
          <w:spacing w:val="-7"/>
        </w:rPr>
        <w:t>宏观经济研究</w:t>
      </w:r>
      <w:r>
        <w:rPr>
          <w:spacing w:val="-7"/>
        </w:rPr>
        <w:t>》2021</w:t>
      </w:r>
      <w:r>
        <w:rPr>
          <w:rFonts w:ascii="方正书宋_GBK" w:hAnsi="方正书宋_GBK" w:eastAsia="方正书宋_GBK" w:cs="方正书宋_GBK"/>
          <w:spacing w:val="-7"/>
        </w:rPr>
        <w:t>年第</w:t>
      </w:r>
      <w:r>
        <w:rPr>
          <w:spacing w:val="-7"/>
        </w:rPr>
        <w:t>1</w:t>
      </w:r>
      <w:r>
        <w:rPr>
          <w:rFonts w:ascii="方正书宋_GBK" w:hAnsi="方正书宋_GBK" w:eastAsia="方正书宋_GBK" w:cs="方正书宋_GBK"/>
          <w:spacing w:val="-7"/>
        </w:rPr>
        <w:t>期</w:t>
      </w:r>
      <w:r>
        <w:rPr>
          <w:spacing w:val="-7"/>
        </w:rPr>
        <w:t>。</w:t>
      </w:r>
    </w:p>
  </w:footnote>
  <w:footnote w:id="989">
    <w:p w14:paraId="68C6A517">
      <w:pPr>
        <w:pStyle w:val="11"/>
        <w:snapToGrid w:val="0"/>
      </w:pPr>
      <w:r>
        <w:rPr>
          <w:rStyle w:val="20"/>
        </w:rPr>
        <w:footnoteRef/>
      </w:r>
      <w:r>
        <w:rPr>
          <w:rFonts w:ascii="方正书宋_GBK" w:hAnsi="方正书宋_GBK" w:eastAsia="方正书宋_GBK" w:cs="方正书宋_GBK"/>
          <w:spacing w:val="-10"/>
        </w:rPr>
        <w:t>方长春</w:t>
      </w:r>
      <w:r>
        <w:rPr>
          <w:spacing w:val="-10"/>
        </w:rPr>
        <w:t>：《</w:t>
      </w:r>
      <w:r>
        <w:rPr>
          <w:rFonts w:ascii="方正书宋_GBK" w:hAnsi="方正书宋_GBK" w:eastAsia="方正书宋_GBK" w:cs="方正书宋_GBK"/>
          <w:spacing w:val="-10"/>
        </w:rPr>
        <w:t>稳就业</w:t>
      </w:r>
      <w:r>
        <w:rPr>
          <w:spacing w:val="-10"/>
        </w:rPr>
        <w:t>：</w:t>
      </w:r>
      <w:r>
        <w:rPr>
          <w:rFonts w:ascii="方正书宋_GBK" w:hAnsi="方正书宋_GBK" w:eastAsia="方正书宋_GBK" w:cs="方正书宋_GBK"/>
          <w:spacing w:val="-10"/>
        </w:rPr>
        <w:t>成效</w:t>
      </w:r>
      <w:r>
        <w:rPr>
          <w:spacing w:val="-10"/>
        </w:rPr>
        <w:t>、</w:t>
      </w:r>
      <w:r>
        <w:rPr>
          <w:rFonts w:ascii="方正书宋_GBK" w:hAnsi="方正书宋_GBK" w:eastAsia="方正书宋_GBK" w:cs="方正书宋_GBK"/>
          <w:spacing w:val="-10"/>
        </w:rPr>
        <w:t>挑战与政策指向</w:t>
      </w:r>
      <w:r>
        <w:rPr>
          <w:spacing w:val="-10"/>
        </w:rPr>
        <w:t>》，《</w:t>
      </w:r>
      <w:r>
        <w:rPr>
          <w:rFonts w:ascii="方正书宋_GBK" w:hAnsi="方正书宋_GBK" w:eastAsia="方正书宋_GBK" w:cs="方正书宋_GBK"/>
          <w:spacing w:val="-10"/>
        </w:rPr>
        <w:t>人民</w:t>
      </w:r>
      <w:r>
        <w:rPr>
          <w:rFonts w:ascii="方正书宋_GBK" w:hAnsi="方正书宋_GBK" w:eastAsia="方正书宋_GBK" w:cs="方正书宋_GBK"/>
          <w:spacing w:val="-11"/>
        </w:rPr>
        <w:t>论坛</w:t>
      </w:r>
      <w:r>
        <w:rPr>
          <w:spacing w:val="-11"/>
        </w:rPr>
        <w:t>》2024</w:t>
      </w:r>
      <w:r>
        <w:rPr>
          <w:rFonts w:ascii="方正书宋_GBK" w:hAnsi="方正书宋_GBK" w:eastAsia="方正书宋_GBK" w:cs="方正书宋_GBK"/>
          <w:spacing w:val="-11"/>
        </w:rPr>
        <w:t>年第</w:t>
      </w:r>
      <w:r>
        <w:rPr>
          <w:spacing w:val="-11"/>
        </w:rPr>
        <w:t>5</w:t>
      </w:r>
      <w:r>
        <w:rPr>
          <w:rFonts w:ascii="方正书宋_GBK" w:hAnsi="方正书宋_GBK" w:eastAsia="方正书宋_GBK" w:cs="方正书宋_GBK"/>
          <w:spacing w:val="-11"/>
        </w:rPr>
        <w:t>期</w:t>
      </w:r>
      <w:r>
        <w:rPr>
          <w:spacing w:val="-11"/>
        </w:rPr>
        <w:t>。</w:t>
      </w:r>
    </w:p>
  </w:footnote>
  <w:footnote w:id="990">
    <w:p w14:paraId="238EFAD9">
      <w:pPr>
        <w:pStyle w:val="11"/>
        <w:snapToGrid w:val="0"/>
      </w:pPr>
      <w:r>
        <w:rPr>
          <w:rStyle w:val="20"/>
        </w:rPr>
        <w:footnoteRef/>
      </w:r>
      <w:r>
        <w:rPr>
          <w:spacing w:val="-6"/>
        </w:rPr>
        <w:t>《</w:t>
      </w:r>
      <w:r>
        <w:rPr>
          <w:rFonts w:ascii="方正书宋_GBK" w:hAnsi="方正书宋_GBK" w:eastAsia="方正书宋_GBK" w:cs="方正书宋_GBK"/>
          <w:spacing w:val="-6"/>
        </w:rPr>
        <w:t>习近平著作选读</w:t>
      </w:r>
      <w:r>
        <w:rPr>
          <w:spacing w:val="-6"/>
        </w:rPr>
        <w:t>》</w:t>
      </w:r>
      <w:r>
        <w:rPr>
          <w:rFonts w:ascii="方正书宋_GBK" w:hAnsi="方正书宋_GBK" w:eastAsia="方正书宋_GBK" w:cs="方正书宋_GBK"/>
          <w:spacing w:val="-6"/>
        </w:rPr>
        <w:t>第</w:t>
      </w:r>
      <w:r>
        <w:rPr>
          <w:spacing w:val="-6"/>
        </w:rPr>
        <w:t>2</w:t>
      </w:r>
      <w:r>
        <w:rPr>
          <w:rFonts w:ascii="方正书宋_GBK" w:hAnsi="方正书宋_GBK" w:eastAsia="方正书宋_GBK" w:cs="方正书宋_GBK"/>
          <w:spacing w:val="-6"/>
        </w:rPr>
        <w:t>卷</w:t>
      </w:r>
      <w:r>
        <w:rPr>
          <w:spacing w:val="-6"/>
        </w:rPr>
        <w:t>，</w:t>
      </w:r>
      <w:r>
        <w:rPr>
          <w:rFonts w:ascii="方正书宋_GBK" w:hAnsi="方正书宋_GBK" w:eastAsia="方正书宋_GBK" w:cs="方正书宋_GBK"/>
          <w:spacing w:val="-6"/>
        </w:rPr>
        <w:t>人民出版社</w:t>
      </w:r>
      <w:r>
        <w:rPr>
          <w:spacing w:val="-7"/>
        </w:rPr>
        <w:t>2023</w:t>
      </w:r>
      <w:r>
        <w:rPr>
          <w:rFonts w:ascii="方正书宋_GBK" w:hAnsi="方正书宋_GBK" w:eastAsia="方正书宋_GBK" w:cs="方正书宋_GBK"/>
          <w:spacing w:val="-7"/>
        </w:rPr>
        <w:t>年版</w:t>
      </w:r>
      <w:r>
        <w:rPr>
          <w:spacing w:val="-7"/>
        </w:rPr>
        <w:t>，</w:t>
      </w:r>
      <w:r>
        <w:rPr>
          <w:rFonts w:ascii="方正书宋_GBK" w:hAnsi="方正书宋_GBK" w:eastAsia="方正书宋_GBK" w:cs="方正书宋_GBK"/>
          <w:spacing w:val="-7"/>
        </w:rPr>
        <w:t>第</w:t>
      </w:r>
      <w:r>
        <w:rPr>
          <w:spacing w:val="-7"/>
        </w:rPr>
        <w:t>449</w:t>
      </w:r>
      <w:r>
        <w:rPr>
          <w:rFonts w:ascii="方正书宋_GBK" w:hAnsi="方正书宋_GBK" w:eastAsia="方正书宋_GBK" w:cs="方正书宋_GBK"/>
          <w:spacing w:val="-7"/>
        </w:rPr>
        <w:t>页</w:t>
      </w:r>
      <w:r>
        <w:rPr>
          <w:spacing w:val="-7"/>
        </w:rPr>
        <w:t>。</w:t>
      </w:r>
    </w:p>
  </w:footnote>
  <w:footnote w:id="991">
    <w:p w14:paraId="6FFA4A7E">
      <w:pPr>
        <w:pStyle w:val="11"/>
        <w:snapToGrid w:val="0"/>
      </w:pPr>
      <w:r>
        <w:rPr>
          <w:rStyle w:val="20"/>
        </w:rPr>
        <w:footnoteRef/>
      </w:r>
      <w:r>
        <w:rPr>
          <w:rFonts w:ascii="方正书宋_GBK" w:hAnsi="方正书宋_GBK" w:eastAsia="方正书宋_GBK" w:cs="方正书宋_GBK"/>
          <w:spacing w:val="-6"/>
        </w:rPr>
        <w:t>张慧</w:t>
      </w:r>
      <w:r>
        <w:rPr>
          <w:spacing w:val="-6"/>
        </w:rPr>
        <w:t>、</w:t>
      </w:r>
      <w:r>
        <w:rPr>
          <w:rFonts w:ascii="方正书宋_GBK" w:hAnsi="方正书宋_GBK" w:eastAsia="方正书宋_GBK" w:cs="方正书宋_GBK"/>
          <w:spacing w:val="-6"/>
        </w:rPr>
        <w:t>张艳华</w:t>
      </w:r>
      <w:r>
        <w:rPr>
          <w:spacing w:val="-6"/>
        </w:rPr>
        <w:t>：《</w:t>
      </w:r>
      <w:r>
        <w:rPr>
          <w:rFonts w:ascii="方正书宋_GBK" w:hAnsi="方正书宋_GBK" w:eastAsia="方正书宋_GBK" w:cs="方正书宋_GBK"/>
          <w:spacing w:val="-6"/>
        </w:rPr>
        <w:t>当代中国贫富差距的产生及应对</w:t>
      </w:r>
      <w:r>
        <w:rPr>
          <w:spacing w:val="-6"/>
        </w:rPr>
        <w:t>》，《</w:t>
      </w:r>
      <w:r>
        <w:rPr>
          <w:rFonts w:ascii="方正书宋_GBK" w:hAnsi="方正书宋_GBK" w:eastAsia="方正书宋_GBK" w:cs="方正书宋_GBK"/>
          <w:spacing w:val="-6"/>
        </w:rPr>
        <w:t>经济研究导刊</w:t>
      </w:r>
      <w:r>
        <w:rPr>
          <w:spacing w:val="-6"/>
        </w:rPr>
        <w:t>》</w:t>
      </w:r>
      <w:r>
        <w:rPr>
          <w:spacing w:val="-7"/>
        </w:rPr>
        <w:t>2020</w:t>
      </w:r>
      <w:r>
        <w:rPr>
          <w:rFonts w:ascii="方正书宋_GBK" w:hAnsi="方正书宋_GBK" w:eastAsia="方正书宋_GBK" w:cs="方正书宋_GBK"/>
          <w:spacing w:val="-7"/>
        </w:rPr>
        <w:t>年第</w:t>
      </w:r>
      <w:r>
        <w:rPr>
          <w:spacing w:val="-7"/>
        </w:rPr>
        <w:t>25</w:t>
      </w:r>
      <w:r>
        <w:rPr>
          <w:rFonts w:ascii="方正书宋_GBK" w:hAnsi="方正书宋_GBK" w:eastAsia="方正书宋_GBK" w:cs="方正书宋_GBK"/>
          <w:spacing w:val="-7"/>
        </w:rPr>
        <w:t>期</w:t>
      </w:r>
      <w:r>
        <w:rPr>
          <w:spacing w:val="-7"/>
        </w:rPr>
        <w:t>。</w:t>
      </w:r>
    </w:p>
  </w:footnote>
  <w:footnote w:id="992">
    <w:p w14:paraId="5089A225">
      <w:pPr>
        <w:pStyle w:val="11"/>
        <w:snapToGrid w:val="0"/>
      </w:pPr>
      <w:r>
        <w:rPr>
          <w:rStyle w:val="20"/>
        </w:rPr>
        <w:footnoteRef/>
      </w:r>
      <w:r>
        <w:rPr>
          <w:rFonts w:ascii="方正书宋_GBK" w:hAnsi="方正书宋_GBK" w:eastAsia="方正书宋_GBK" w:cs="方正书宋_GBK"/>
          <w:spacing w:val="-3"/>
        </w:rPr>
        <w:t>李梅婷</w:t>
      </w:r>
      <w:r>
        <w:rPr>
          <w:spacing w:val="-3"/>
        </w:rPr>
        <w:t>、</w:t>
      </w:r>
      <w:r>
        <w:rPr>
          <w:rFonts w:ascii="方正书宋_GBK" w:hAnsi="方正书宋_GBK" w:eastAsia="方正书宋_GBK" w:cs="方正书宋_GBK"/>
          <w:spacing w:val="-3"/>
        </w:rPr>
        <w:t>何蒲明</w:t>
      </w:r>
      <w:r>
        <w:rPr>
          <w:spacing w:val="-3"/>
        </w:rPr>
        <w:t>：《</w:t>
      </w:r>
      <w:r>
        <w:rPr>
          <w:rFonts w:ascii="方正书宋_GBK" w:hAnsi="方正书宋_GBK" w:eastAsia="方正书宋_GBK" w:cs="方正书宋_GBK"/>
          <w:spacing w:val="-3"/>
        </w:rPr>
        <w:t>我国城乡居民收入分组差距与区域差距问题研究</w:t>
      </w:r>
      <w:r>
        <w:rPr>
          <w:spacing w:val="-3"/>
        </w:rPr>
        <w:t>》，《</w:t>
      </w:r>
      <w:r>
        <w:rPr>
          <w:rFonts w:ascii="方正书宋_GBK" w:hAnsi="方正书宋_GBK" w:eastAsia="方正书宋_GBK" w:cs="方正书宋_GBK"/>
          <w:spacing w:val="-3"/>
        </w:rPr>
        <w:t>安徽农业</w:t>
      </w:r>
      <w:r>
        <w:rPr>
          <w:rFonts w:ascii="方正书宋_GBK" w:hAnsi="方正书宋_GBK" w:eastAsia="方正书宋_GBK" w:cs="方正书宋_GBK"/>
          <w:spacing w:val="-4"/>
        </w:rPr>
        <w:t>科学</w:t>
      </w:r>
      <w:r>
        <w:rPr>
          <w:spacing w:val="-4"/>
        </w:rPr>
        <w:t>》2022</w:t>
      </w:r>
      <w:r>
        <w:rPr>
          <w:rFonts w:ascii="方正书宋_GBK" w:hAnsi="方正书宋_GBK" w:eastAsia="方正书宋_GBK" w:cs="方正书宋_GBK"/>
          <w:spacing w:val="-4"/>
        </w:rPr>
        <w:t>年第</w:t>
      </w:r>
      <w:r>
        <w:rPr>
          <w:spacing w:val="-4"/>
        </w:rPr>
        <w:t>8</w:t>
      </w:r>
      <w:r>
        <w:rPr>
          <w:rFonts w:ascii="方正书宋_GBK" w:hAnsi="方正书宋_GBK" w:eastAsia="方正书宋_GBK" w:cs="方正书宋_GBK"/>
          <w:spacing w:val="-4"/>
        </w:rPr>
        <w:t>期</w:t>
      </w:r>
      <w:r>
        <w:rPr>
          <w:spacing w:val="-4"/>
        </w:rPr>
        <w:t>。</w:t>
      </w:r>
    </w:p>
  </w:footnote>
  <w:footnote w:id="993">
    <w:p w14:paraId="6EA6D160">
      <w:pPr>
        <w:pStyle w:val="11"/>
        <w:snapToGrid w:val="0"/>
      </w:pPr>
      <w:r>
        <w:rPr>
          <w:rStyle w:val="20"/>
        </w:rPr>
        <w:footnoteRef/>
      </w:r>
      <w:r>
        <w:rPr>
          <w:rFonts w:ascii="方正书宋_GBK" w:hAnsi="方正书宋_GBK" w:eastAsia="方正书宋_GBK" w:cs="方正书宋_GBK"/>
          <w:spacing w:val="-9"/>
        </w:rPr>
        <w:t>刘炤</w:t>
      </w:r>
      <w:r>
        <w:rPr>
          <w:spacing w:val="-9"/>
        </w:rPr>
        <w:t>：《</w:t>
      </w:r>
      <w:r>
        <w:rPr>
          <w:rFonts w:ascii="方正书宋_GBK" w:hAnsi="方正书宋_GBK" w:eastAsia="方正书宋_GBK" w:cs="方正书宋_GBK"/>
          <w:spacing w:val="-9"/>
        </w:rPr>
        <w:t>坚持全面推进科学立法</w:t>
      </w:r>
      <w:r>
        <w:rPr>
          <w:spacing w:val="-9"/>
        </w:rPr>
        <w:t>、</w:t>
      </w:r>
      <w:r>
        <w:rPr>
          <w:rFonts w:ascii="方正书宋_GBK" w:hAnsi="方正书宋_GBK" w:eastAsia="方正书宋_GBK" w:cs="方正书宋_GBK"/>
          <w:spacing w:val="-9"/>
        </w:rPr>
        <w:t>严格执法</w:t>
      </w:r>
      <w:r>
        <w:rPr>
          <w:spacing w:val="-9"/>
        </w:rPr>
        <w:t>、</w:t>
      </w:r>
      <w:r>
        <w:rPr>
          <w:rFonts w:ascii="方正书宋_GBK" w:hAnsi="方正书宋_GBK" w:eastAsia="方正书宋_GBK" w:cs="方正书宋_GBK"/>
          <w:spacing w:val="-9"/>
        </w:rPr>
        <w:t>公正司法</w:t>
      </w:r>
      <w:r>
        <w:rPr>
          <w:spacing w:val="-9"/>
        </w:rPr>
        <w:t>、</w:t>
      </w:r>
      <w:r>
        <w:rPr>
          <w:rFonts w:ascii="方正书宋_GBK" w:hAnsi="方正书宋_GBK" w:eastAsia="方正书宋_GBK" w:cs="方正书宋_GBK"/>
          <w:spacing w:val="-9"/>
        </w:rPr>
        <w:t>全民守法</w:t>
      </w:r>
      <w:r>
        <w:rPr>
          <w:spacing w:val="-9"/>
        </w:rPr>
        <w:t>》，《</w:t>
      </w:r>
      <w:r>
        <w:rPr>
          <w:rFonts w:ascii="方正书宋_GBK" w:hAnsi="方正书宋_GBK" w:eastAsia="方正书宋_GBK" w:cs="方正书宋_GBK"/>
          <w:spacing w:val="-9"/>
        </w:rPr>
        <w:t>人民日报</w:t>
      </w:r>
      <w:r>
        <w:rPr>
          <w:spacing w:val="-9"/>
        </w:rPr>
        <w:t>》20</w:t>
      </w:r>
      <w:r>
        <w:rPr>
          <w:spacing w:val="-10"/>
        </w:rPr>
        <w:t>21</w:t>
      </w:r>
      <w:r>
        <w:rPr>
          <w:rFonts w:ascii="方正书宋_GBK" w:hAnsi="方正书宋_GBK" w:eastAsia="方正书宋_GBK" w:cs="方正书宋_GBK"/>
          <w:spacing w:val="-10"/>
        </w:rPr>
        <w:t>年</w:t>
      </w:r>
      <w:r>
        <w:rPr>
          <w:spacing w:val="-10"/>
        </w:rPr>
        <w:t>3</w:t>
      </w:r>
      <w:r>
        <w:rPr>
          <w:rFonts w:ascii="方正书宋_GBK" w:hAnsi="方正书宋_GBK" w:eastAsia="方正书宋_GBK" w:cs="方正书宋_GBK"/>
          <w:spacing w:val="-10"/>
        </w:rPr>
        <w:t>月</w:t>
      </w:r>
      <w:r>
        <w:rPr>
          <w:spacing w:val="-10"/>
        </w:rPr>
        <w:t>18</w:t>
      </w:r>
      <w:r>
        <w:rPr>
          <w:rFonts w:ascii="方正书宋_GBK" w:hAnsi="方正书宋_GBK" w:eastAsia="方正书宋_GBK" w:cs="方正书宋_GBK"/>
          <w:spacing w:val="-10"/>
        </w:rPr>
        <w:t>日第</w:t>
      </w:r>
      <w:r>
        <w:rPr>
          <w:spacing w:val="-10"/>
        </w:rPr>
        <w:t>16</w:t>
      </w:r>
      <w:r>
        <w:rPr>
          <w:rFonts w:ascii="方正书宋_GBK" w:hAnsi="方正书宋_GBK" w:eastAsia="方正书宋_GBK" w:cs="方正书宋_GBK"/>
          <w:spacing w:val="-10"/>
        </w:rPr>
        <w:t>版</w:t>
      </w:r>
      <w:r>
        <w:rPr>
          <w:spacing w:val="-10"/>
        </w:rPr>
        <w:t>。</w:t>
      </w:r>
    </w:p>
  </w:footnote>
  <w:footnote w:id="994">
    <w:p w14:paraId="3765B87A">
      <w:pPr>
        <w:pStyle w:val="11"/>
        <w:snapToGrid w:val="0"/>
      </w:pPr>
      <w:r>
        <w:rPr>
          <w:rStyle w:val="20"/>
        </w:rPr>
        <w:footnoteRef/>
      </w:r>
      <w:r>
        <w:rPr>
          <w:rFonts w:ascii="方正书宋_GBK" w:hAnsi="方正书宋_GBK" w:eastAsia="方正书宋_GBK" w:cs="方正书宋_GBK"/>
          <w:spacing w:val="-6"/>
        </w:rPr>
        <w:t>潘学良</w:t>
      </w:r>
      <w:r>
        <w:rPr>
          <w:spacing w:val="-6"/>
        </w:rPr>
        <w:t>：《</w:t>
      </w:r>
      <w:r>
        <w:rPr>
          <w:rFonts w:ascii="方正书宋_GBK" w:hAnsi="方正书宋_GBK" w:eastAsia="方正书宋_GBK" w:cs="方正书宋_GBK"/>
          <w:spacing w:val="-6"/>
        </w:rPr>
        <w:t>中国现阶段公平正义问题的表现</w:t>
      </w:r>
      <w:r>
        <w:rPr>
          <w:spacing w:val="-6"/>
        </w:rPr>
        <w:t>、</w:t>
      </w:r>
      <w:r>
        <w:rPr>
          <w:rFonts w:ascii="方正书宋_GBK" w:hAnsi="方正书宋_GBK" w:eastAsia="方正书宋_GBK" w:cs="方正书宋_GBK"/>
          <w:spacing w:val="-6"/>
        </w:rPr>
        <w:t>成因及对策</w:t>
      </w:r>
      <w:r>
        <w:rPr>
          <w:spacing w:val="-6"/>
        </w:rPr>
        <w:t>》，《</w:t>
      </w:r>
      <w:r>
        <w:rPr>
          <w:rFonts w:ascii="方正书宋_GBK" w:hAnsi="方正书宋_GBK" w:eastAsia="方正书宋_GBK" w:cs="方正书宋_GBK"/>
          <w:spacing w:val="-6"/>
        </w:rPr>
        <w:t>探索</w:t>
      </w:r>
      <w:r>
        <w:rPr>
          <w:spacing w:val="-6"/>
        </w:rPr>
        <w:t>》20</w:t>
      </w:r>
      <w:r>
        <w:rPr>
          <w:spacing w:val="-7"/>
        </w:rPr>
        <w:t>16</w:t>
      </w:r>
      <w:r>
        <w:rPr>
          <w:rFonts w:ascii="方正书宋_GBK" w:hAnsi="方正书宋_GBK" w:eastAsia="方正书宋_GBK" w:cs="方正书宋_GBK"/>
          <w:spacing w:val="-7"/>
        </w:rPr>
        <w:t>年第</w:t>
      </w:r>
      <w:r>
        <w:rPr>
          <w:spacing w:val="-7"/>
        </w:rPr>
        <w:t>4</w:t>
      </w:r>
      <w:r>
        <w:rPr>
          <w:rFonts w:ascii="方正书宋_GBK" w:hAnsi="方正书宋_GBK" w:eastAsia="方正书宋_GBK" w:cs="方正书宋_GBK"/>
          <w:spacing w:val="-7"/>
        </w:rPr>
        <w:t>期</w:t>
      </w:r>
      <w:r>
        <w:rPr>
          <w:spacing w:val="-7"/>
        </w:rPr>
        <w:t>。</w:t>
      </w:r>
    </w:p>
  </w:footnote>
  <w:footnote w:id="995">
    <w:p w14:paraId="1DE839C0">
      <w:pPr>
        <w:pStyle w:val="11"/>
        <w:snapToGrid w:val="0"/>
      </w:pPr>
      <w:r>
        <w:rPr>
          <w:rStyle w:val="20"/>
        </w:rPr>
        <w:footnoteRef/>
      </w:r>
      <w:r>
        <w:rPr>
          <w:rFonts w:ascii="方正书宋_GBK" w:hAnsi="方正书宋_GBK" w:eastAsia="方正书宋_GBK" w:cs="方正书宋_GBK"/>
          <w:spacing w:val="-5"/>
        </w:rPr>
        <w:t>岑峨</w:t>
      </w:r>
      <w:r>
        <w:rPr>
          <w:spacing w:val="-5"/>
        </w:rPr>
        <w:t>、</w:t>
      </w:r>
      <w:r>
        <w:rPr>
          <w:rFonts w:ascii="方正书宋_GBK" w:hAnsi="方正书宋_GBK" w:eastAsia="方正书宋_GBK" w:cs="方正书宋_GBK"/>
          <w:spacing w:val="-5"/>
        </w:rPr>
        <w:t>于朋帅</w:t>
      </w:r>
      <w:r>
        <w:rPr>
          <w:spacing w:val="-5"/>
        </w:rPr>
        <w:t>：《</w:t>
      </w:r>
      <w:r>
        <w:rPr>
          <w:rFonts w:ascii="方正书宋_GBK" w:hAnsi="方正书宋_GBK" w:eastAsia="方正书宋_GBK" w:cs="方正书宋_GBK"/>
          <w:spacing w:val="-5"/>
        </w:rPr>
        <w:t>法治</w:t>
      </w:r>
      <w:r>
        <w:rPr>
          <w:spacing w:val="-5"/>
        </w:rPr>
        <w:t>：</w:t>
      </w:r>
      <w:r>
        <w:rPr>
          <w:rFonts w:ascii="方正书宋_GBK" w:hAnsi="方正书宋_GBK" w:eastAsia="方正书宋_GBK" w:cs="方正书宋_GBK"/>
          <w:spacing w:val="-5"/>
        </w:rPr>
        <w:t>完善社会主义市场经济体制的重要基石</w:t>
      </w:r>
      <w:r>
        <w:rPr>
          <w:spacing w:val="-5"/>
        </w:rPr>
        <w:t>》</w:t>
      </w:r>
      <w:r>
        <w:rPr>
          <w:spacing w:val="-6"/>
        </w:rPr>
        <w:t>，《</w:t>
      </w:r>
      <w:r>
        <w:rPr>
          <w:rFonts w:ascii="方正书宋_GBK" w:hAnsi="方正书宋_GBK" w:eastAsia="方正书宋_GBK" w:cs="方正书宋_GBK"/>
          <w:spacing w:val="-6"/>
        </w:rPr>
        <w:t>河南师范大学学报</w:t>
      </w:r>
      <w:r>
        <w:rPr>
          <w:spacing w:val="-6"/>
        </w:rPr>
        <w:t>（</w:t>
      </w:r>
      <w:r>
        <w:rPr>
          <w:rFonts w:ascii="方正书宋_GBK" w:hAnsi="方正书宋_GBK" w:eastAsia="方正书宋_GBK" w:cs="方正书宋_GBK"/>
          <w:spacing w:val="-6"/>
        </w:rPr>
        <w:t>哲学社会科学版</w:t>
      </w:r>
      <w:r>
        <w:rPr>
          <w:spacing w:val="-6"/>
        </w:rPr>
        <w:t>）》2016</w:t>
      </w:r>
      <w:r>
        <w:rPr>
          <w:rFonts w:ascii="方正书宋_GBK" w:hAnsi="方正书宋_GBK" w:eastAsia="方正书宋_GBK" w:cs="方正书宋_GBK"/>
          <w:spacing w:val="-6"/>
        </w:rPr>
        <w:t>年第</w:t>
      </w:r>
      <w:r>
        <w:rPr>
          <w:spacing w:val="-6"/>
        </w:rPr>
        <w:t>3</w:t>
      </w:r>
      <w:r>
        <w:rPr>
          <w:rFonts w:ascii="方正书宋_GBK" w:hAnsi="方正书宋_GBK" w:eastAsia="方正书宋_GBK" w:cs="方正书宋_GBK"/>
          <w:spacing w:val="-6"/>
        </w:rPr>
        <w:t>期</w:t>
      </w:r>
      <w:r>
        <w:rPr>
          <w:spacing w:val="-6"/>
        </w:rPr>
        <w:t>。</w:t>
      </w:r>
    </w:p>
  </w:footnote>
  <w:footnote w:id="996">
    <w:p w14:paraId="43D3D552">
      <w:pPr>
        <w:pStyle w:val="11"/>
        <w:snapToGrid w:val="0"/>
      </w:pPr>
      <w:r>
        <w:rPr>
          <w:rStyle w:val="20"/>
        </w:rPr>
        <w:footnoteRef/>
      </w:r>
      <w:r>
        <w:rPr>
          <w:spacing w:val="-3"/>
        </w:rPr>
        <w:t>《</w:t>
      </w:r>
      <w:r>
        <w:rPr>
          <w:rFonts w:ascii="方正书宋_GBK" w:hAnsi="方正书宋_GBK" w:eastAsia="方正书宋_GBK" w:cs="方正书宋_GBK"/>
          <w:spacing w:val="-3"/>
        </w:rPr>
        <w:t>中共中央关于进一步全面深化改革推进中国式现代化的决定</w:t>
      </w:r>
      <w:r>
        <w:rPr>
          <w:spacing w:val="-3"/>
        </w:rPr>
        <w:t>》，</w:t>
      </w:r>
      <w:r>
        <w:rPr>
          <w:spacing w:val="-4"/>
        </w:rPr>
        <w:t>《</w:t>
      </w:r>
      <w:r>
        <w:rPr>
          <w:rFonts w:ascii="方正书宋_GBK" w:hAnsi="方正书宋_GBK" w:eastAsia="方正书宋_GBK" w:cs="方正书宋_GBK"/>
          <w:spacing w:val="-4"/>
        </w:rPr>
        <w:t>人民日报</w:t>
      </w:r>
      <w:r>
        <w:rPr>
          <w:spacing w:val="-4"/>
        </w:rPr>
        <w:t>》2024</w:t>
      </w:r>
      <w:r>
        <w:rPr>
          <w:rFonts w:ascii="方正书宋_GBK" w:hAnsi="方正书宋_GBK" w:eastAsia="方正书宋_GBK" w:cs="方正书宋_GBK"/>
          <w:spacing w:val="-4"/>
        </w:rPr>
        <w:t>年</w:t>
      </w:r>
      <w:r>
        <w:rPr>
          <w:spacing w:val="-4"/>
        </w:rPr>
        <w:t>7</w:t>
      </w:r>
      <w:r>
        <w:rPr>
          <w:rFonts w:ascii="方正书宋_GBK" w:hAnsi="方正书宋_GBK" w:eastAsia="方正书宋_GBK" w:cs="方正书宋_GBK"/>
          <w:spacing w:val="-4"/>
        </w:rPr>
        <w:t>月</w:t>
      </w:r>
      <w:r>
        <w:rPr>
          <w:spacing w:val="-4"/>
        </w:rPr>
        <w:t>22</w:t>
      </w:r>
      <w:r>
        <w:rPr>
          <w:rFonts w:ascii="方正书宋_GBK" w:hAnsi="方正书宋_GBK" w:eastAsia="方正书宋_GBK" w:cs="方正书宋_GBK"/>
          <w:spacing w:val="-4"/>
        </w:rPr>
        <w:t>日第</w:t>
      </w:r>
      <w:r>
        <w:rPr>
          <w:spacing w:val="-4"/>
        </w:rPr>
        <w:t>1</w:t>
      </w:r>
      <w:r>
        <w:rPr>
          <w:rFonts w:ascii="方正书宋_GBK" w:hAnsi="方正书宋_GBK" w:eastAsia="方正书宋_GBK" w:cs="方正书宋_GBK"/>
          <w:spacing w:val="-4"/>
        </w:rPr>
        <w:t>版</w:t>
      </w:r>
      <w:r>
        <w:rPr>
          <w:spacing w:val="-4"/>
        </w:rPr>
        <w:t>。</w:t>
      </w:r>
    </w:p>
  </w:footnote>
  <w:footnote w:id="997">
    <w:p w14:paraId="7CD75CD2">
      <w:pPr>
        <w:pStyle w:val="11"/>
        <w:snapToGrid w:val="0"/>
      </w:pPr>
      <w:r>
        <w:rPr>
          <w:rStyle w:val="20"/>
        </w:rPr>
        <w:footnoteRef/>
      </w:r>
      <w:r>
        <w:rPr>
          <w:rFonts w:ascii="方正书宋_GBK" w:hAnsi="方正书宋_GBK" w:eastAsia="方正书宋_GBK" w:cs="方正书宋_GBK"/>
          <w:spacing w:val="-2"/>
        </w:rPr>
        <w:t>闫娟</w:t>
      </w:r>
      <w:r>
        <w:rPr>
          <w:spacing w:val="-2"/>
        </w:rPr>
        <w:t>：《</w:t>
      </w:r>
      <w:r>
        <w:rPr>
          <w:rFonts w:ascii="方正书宋_GBK" w:hAnsi="方正书宋_GBK" w:eastAsia="方正书宋_GBK" w:cs="方正书宋_GBK"/>
          <w:spacing w:val="-2"/>
        </w:rPr>
        <w:t>社会主义市场经济中更好发挥政府作用的内在要求探析</w:t>
      </w:r>
      <w:r>
        <w:rPr>
          <w:spacing w:val="-2"/>
        </w:rPr>
        <w:t>》，《</w:t>
      </w:r>
      <w:r>
        <w:rPr>
          <w:rFonts w:ascii="方正书宋_GBK" w:hAnsi="方正书宋_GBK" w:eastAsia="方正书宋_GBK" w:cs="方正书宋_GBK"/>
          <w:spacing w:val="-2"/>
        </w:rPr>
        <w:t>毛泽东邓小平理论研究</w:t>
      </w:r>
      <w:r>
        <w:rPr>
          <w:spacing w:val="-2"/>
        </w:rPr>
        <w:t>》2021</w:t>
      </w:r>
      <w:r>
        <w:rPr>
          <w:rFonts w:ascii="方正书宋_GBK" w:hAnsi="方正书宋_GBK" w:eastAsia="方正书宋_GBK" w:cs="方正书宋_GBK"/>
          <w:spacing w:val="-2"/>
        </w:rPr>
        <w:t>年第</w:t>
      </w:r>
      <w:r>
        <w:rPr>
          <w:spacing w:val="-2"/>
        </w:rPr>
        <w:t>4</w:t>
      </w:r>
      <w:r>
        <w:rPr>
          <w:rFonts w:ascii="方正书宋_GBK" w:hAnsi="方正书宋_GBK" w:eastAsia="方正书宋_GBK" w:cs="方正书宋_GBK"/>
          <w:spacing w:val="-2"/>
        </w:rPr>
        <w:t>期</w:t>
      </w:r>
      <w:r>
        <w:rPr>
          <w:spacing w:val="-2"/>
        </w:rPr>
        <w:t>。</w:t>
      </w:r>
    </w:p>
  </w:footnote>
  <w:footnote w:id="998">
    <w:p w14:paraId="363DFC28">
      <w:pPr>
        <w:pStyle w:val="11"/>
        <w:snapToGrid w:val="0"/>
      </w:pPr>
      <w:r>
        <w:rPr>
          <w:rStyle w:val="20"/>
        </w:rPr>
        <w:footnoteRef/>
      </w:r>
      <w:r>
        <w:rPr>
          <w:rFonts w:ascii="方正书宋_GBK" w:hAnsi="方正书宋_GBK" w:eastAsia="方正书宋_GBK" w:cs="方正书宋_GBK"/>
          <w:spacing w:val="-5"/>
        </w:rPr>
        <w:t>王晓红</w:t>
      </w:r>
      <w:r>
        <w:rPr>
          <w:spacing w:val="-5"/>
        </w:rPr>
        <w:t>：《</w:t>
      </w:r>
      <w:r>
        <w:rPr>
          <w:rFonts w:ascii="方正书宋_GBK" w:hAnsi="方正书宋_GBK" w:eastAsia="方正书宋_GBK" w:cs="方正书宋_GBK"/>
          <w:spacing w:val="-5"/>
        </w:rPr>
        <w:t>发挥国有企业在推动高质量发展中的排头兵作用</w:t>
      </w:r>
      <w:r>
        <w:rPr>
          <w:spacing w:val="-5"/>
        </w:rPr>
        <w:t>》，《</w:t>
      </w:r>
      <w:r>
        <w:rPr>
          <w:rFonts w:ascii="方正书宋_GBK" w:hAnsi="方正书宋_GBK" w:eastAsia="方正书宋_GBK" w:cs="方正书宋_GBK"/>
          <w:spacing w:val="-5"/>
        </w:rPr>
        <w:t>光明日报</w:t>
      </w:r>
      <w:r>
        <w:rPr>
          <w:spacing w:val="-5"/>
        </w:rPr>
        <w:t>》2023</w:t>
      </w:r>
      <w:r>
        <w:rPr>
          <w:rFonts w:ascii="方正书宋_GBK" w:hAnsi="方正书宋_GBK" w:eastAsia="方正书宋_GBK" w:cs="方正书宋_GBK"/>
          <w:spacing w:val="-5"/>
        </w:rPr>
        <w:t>年</w:t>
      </w:r>
      <w:r>
        <w:rPr>
          <w:spacing w:val="-5"/>
        </w:rPr>
        <w:t>8</w:t>
      </w:r>
      <w:r>
        <w:rPr>
          <w:rFonts w:ascii="方正书宋_GBK" w:hAnsi="方正书宋_GBK" w:eastAsia="方正书宋_GBK" w:cs="方正书宋_GBK"/>
          <w:spacing w:val="-5"/>
        </w:rPr>
        <w:t>月</w:t>
      </w:r>
      <w:r>
        <w:rPr>
          <w:spacing w:val="-5"/>
        </w:rPr>
        <w:t>11</w:t>
      </w:r>
      <w:r>
        <w:rPr>
          <w:rFonts w:ascii="方正书宋_GBK" w:hAnsi="方正书宋_GBK" w:eastAsia="方正书宋_GBK" w:cs="方正书宋_GBK"/>
          <w:spacing w:val="-5"/>
        </w:rPr>
        <w:t>日第</w:t>
      </w:r>
      <w:r>
        <w:rPr>
          <w:spacing w:val="-5"/>
        </w:rPr>
        <w:t>6</w:t>
      </w:r>
      <w:r>
        <w:rPr>
          <w:rFonts w:ascii="方正书宋_GBK" w:hAnsi="方正书宋_GBK" w:eastAsia="方正书宋_GBK" w:cs="方正书宋_GBK"/>
          <w:spacing w:val="-5"/>
        </w:rPr>
        <w:t>版</w:t>
      </w:r>
      <w:r>
        <w:rPr>
          <w:spacing w:val="-5"/>
        </w:rPr>
        <w:t>。</w:t>
      </w:r>
    </w:p>
  </w:footnote>
  <w:footnote w:id="999">
    <w:p w14:paraId="5A022A7D">
      <w:pPr>
        <w:pStyle w:val="11"/>
        <w:snapToGrid w:val="0"/>
      </w:pPr>
      <w:r>
        <w:rPr>
          <w:rStyle w:val="20"/>
        </w:rPr>
        <w:footnoteRef/>
      </w:r>
      <w:r>
        <w:rPr>
          <w:rFonts w:ascii="方正书宋_GBK" w:hAnsi="方正书宋_GBK" w:eastAsia="方正书宋_GBK" w:cs="方正书宋_GBK"/>
          <w:spacing w:val="-4"/>
        </w:rPr>
        <w:t>程恩富</w:t>
      </w:r>
      <w:r>
        <w:rPr>
          <w:spacing w:val="-4"/>
        </w:rPr>
        <w:t>、</w:t>
      </w:r>
      <w:r>
        <w:rPr>
          <w:rFonts w:ascii="方正书宋_GBK" w:hAnsi="方正书宋_GBK" w:eastAsia="方正书宋_GBK" w:cs="方正书宋_GBK"/>
          <w:spacing w:val="-4"/>
        </w:rPr>
        <w:t>叶道良</w:t>
      </w:r>
      <w:r>
        <w:rPr>
          <w:spacing w:val="-4"/>
        </w:rPr>
        <w:t>：《</w:t>
      </w:r>
      <w:r>
        <w:rPr>
          <w:rFonts w:ascii="方正书宋_GBK" w:hAnsi="方正书宋_GBK" w:eastAsia="方正书宋_GBK" w:cs="方正书宋_GBK"/>
          <w:spacing w:val="-4"/>
        </w:rPr>
        <w:t>缩小我国财富和收入分配差距的对策研究</w:t>
      </w:r>
      <w:r>
        <w:rPr>
          <w:spacing w:val="-4"/>
        </w:rPr>
        <w:t>》，《</w:t>
      </w:r>
      <w:r>
        <w:rPr>
          <w:rFonts w:ascii="方正书宋_GBK" w:hAnsi="方正书宋_GBK" w:eastAsia="方正书宋_GBK" w:cs="方正书宋_GBK"/>
          <w:spacing w:val="-4"/>
        </w:rPr>
        <w:t>海派经济学</w:t>
      </w:r>
      <w:r>
        <w:rPr>
          <w:spacing w:val="-4"/>
        </w:rPr>
        <w:t>》2024</w:t>
      </w:r>
      <w:r>
        <w:rPr>
          <w:rFonts w:ascii="方正书宋_GBK" w:hAnsi="方正书宋_GBK" w:eastAsia="方正书宋_GBK" w:cs="方正书宋_GBK"/>
          <w:spacing w:val="-4"/>
        </w:rPr>
        <w:t>年第</w:t>
      </w:r>
      <w:r>
        <w:rPr>
          <w:spacing w:val="-4"/>
        </w:rPr>
        <w:t>2</w:t>
      </w:r>
      <w:r>
        <w:rPr>
          <w:rFonts w:ascii="方正书宋_GBK" w:hAnsi="方正书宋_GBK" w:eastAsia="方正书宋_GBK" w:cs="方正书宋_GBK"/>
          <w:spacing w:val="-4"/>
        </w:rPr>
        <w:t>期</w:t>
      </w:r>
      <w:r>
        <w:rPr>
          <w:spacing w:val="-4"/>
        </w:rPr>
        <w:t>。</w:t>
      </w:r>
    </w:p>
  </w:footnote>
  <w:footnote w:id="1000">
    <w:p w14:paraId="18EA265B">
      <w:pPr>
        <w:pStyle w:val="11"/>
        <w:snapToGrid w:val="0"/>
      </w:pPr>
      <w:r>
        <w:rPr>
          <w:rStyle w:val="20"/>
        </w:rPr>
        <w:footnoteRef/>
      </w:r>
      <w:r>
        <w:rPr>
          <w:rFonts w:ascii="方正书宋_GBK" w:hAnsi="方正书宋_GBK" w:eastAsia="方正书宋_GBK" w:cs="方正书宋_GBK"/>
          <w:spacing w:val="-3"/>
        </w:rPr>
        <w:t>郝鹏</w:t>
      </w:r>
      <w:r>
        <w:rPr>
          <w:spacing w:val="-3"/>
        </w:rPr>
        <w:t>：《</w:t>
      </w:r>
      <w:r>
        <w:rPr>
          <w:rFonts w:ascii="方正书宋_GBK" w:hAnsi="方正书宋_GBK" w:eastAsia="方正书宋_GBK" w:cs="方正书宋_GBK"/>
          <w:spacing w:val="-3"/>
        </w:rPr>
        <w:t>新时代国有企业改革发展和党的</w:t>
      </w:r>
      <w:r>
        <w:rPr>
          <w:rFonts w:ascii="方正书宋_GBK" w:hAnsi="方正书宋_GBK" w:eastAsia="方正书宋_GBK" w:cs="方正书宋_GBK"/>
          <w:spacing w:val="-4"/>
        </w:rPr>
        <w:t>建设的科学指南</w:t>
      </w:r>
      <w:r>
        <w:rPr>
          <w:spacing w:val="-4"/>
        </w:rPr>
        <w:t>》，《</w:t>
      </w:r>
      <w:r>
        <w:rPr>
          <w:rFonts w:ascii="方正书宋_GBK" w:hAnsi="方正书宋_GBK" w:eastAsia="方正书宋_GBK" w:cs="方正书宋_GBK"/>
          <w:spacing w:val="-4"/>
        </w:rPr>
        <w:t>国有资产管理</w:t>
      </w:r>
      <w:r>
        <w:rPr>
          <w:spacing w:val="-4"/>
        </w:rPr>
        <w:t>》2022</w:t>
      </w:r>
      <w:r>
        <w:rPr>
          <w:rFonts w:ascii="方正书宋_GBK" w:hAnsi="方正书宋_GBK" w:eastAsia="方正书宋_GBK" w:cs="方正书宋_GBK"/>
          <w:spacing w:val="-4"/>
        </w:rPr>
        <w:t>年第</w:t>
      </w:r>
      <w:r>
        <w:rPr>
          <w:spacing w:val="-4"/>
        </w:rPr>
        <w:t>8</w:t>
      </w:r>
      <w:r>
        <w:rPr>
          <w:rFonts w:ascii="方正书宋_GBK" w:hAnsi="方正书宋_GBK" w:eastAsia="方正书宋_GBK" w:cs="方正书宋_GBK"/>
          <w:spacing w:val="-4"/>
        </w:rPr>
        <w:t>期</w:t>
      </w:r>
      <w:r>
        <w:rPr>
          <w:spacing w:val="-4"/>
        </w:rPr>
        <w:t>。</w:t>
      </w:r>
    </w:p>
  </w:footnote>
  <w:footnote w:id="1001">
    <w:p w14:paraId="5CA5F5D2">
      <w:pPr>
        <w:pStyle w:val="11"/>
        <w:snapToGrid w:val="0"/>
      </w:pPr>
      <w:r>
        <w:rPr>
          <w:rStyle w:val="20"/>
        </w:rPr>
        <w:footnoteRef/>
      </w:r>
      <w:r>
        <w:rPr>
          <w:rFonts w:ascii="方正书宋_GBK" w:hAnsi="方正书宋_GBK" w:eastAsia="方正书宋_GBK" w:cs="方正书宋_GBK"/>
          <w:spacing w:val="-6"/>
        </w:rPr>
        <w:t>乔晓楠</w:t>
      </w:r>
      <w:r>
        <w:rPr>
          <w:spacing w:val="-6"/>
        </w:rPr>
        <w:t>、</w:t>
      </w:r>
      <w:r>
        <w:rPr>
          <w:rFonts w:ascii="方正书宋_GBK" w:hAnsi="方正书宋_GBK" w:eastAsia="方正书宋_GBK" w:cs="方正书宋_GBK"/>
          <w:spacing w:val="-6"/>
        </w:rPr>
        <w:t>何自力</w:t>
      </w:r>
      <w:r>
        <w:rPr>
          <w:spacing w:val="-6"/>
        </w:rPr>
        <w:t>、</w:t>
      </w:r>
      <w:r>
        <w:rPr>
          <w:rFonts w:ascii="方正书宋_GBK" w:hAnsi="方正书宋_GBK" w:eastAsia="方正书宋_GBK" w:cs="方正书宋_GBK"/>
          <w:spacing w:val="-6"/>
        </w:rPr>
        <w:t>王奕</w:t>
      </w:r>
      <w:r>
        <w:rPr>
          <w:spacing w:val="-6"/>
        </w:rPr>
        <w:t>：《</w:t>
      </w:r>
      <w:r>
        <w:rPr>
          <w:rFonts w:ascii="方正书宋_GBK" w:hAnsi="方正书宋_GBK" w:eastAsia="方正书宋_GBK" w:cs="方正书宋_GBK"/>
          <w:spacing w:val="-6"/>
        </w:rPr>
        <w:t>防止资本无序扩张的政治经济学分析</w:t>
      </w:r>
      <w:r>
        <w:rPr>
          <w:spacing w:val="-6"/>
        </w:rPr>
        <w:t>》，《</w:t>
      </w:r>
      <w:r>
        <w:rPr>
          <w:rFonts w:ascii="方正书宋_GBK" w:hAnsi="方正书宋_GBK" w:eastAsia="方正书宋_GBK" w:cs="方正书宋_GBK"/>
          <w:spacing w:val="-6"/>
        </w:rPr>
        <w:t>南开经济研究</w:t>
      </w:r>
      <w:r>
        <w:rPr>
          <w:spacing w:val="-6"/>
        </w:rPr>
        <w:t>》2022</w:t>
      </w:r>
      <w:r>
        <w:rPr>
          <w:rFonts w:ascii="方正书宋_GBK" w:hAnsi="方正书宋_GBK" w:eastAsia="方正书宋_GBK" w:cs="方正书宋_GBK"/>
          <w:spacing w:val="-6"/>
        </w:rPr>
        <w:t>年第</w:t>
      </w:r>
      <w:r>
        <w:rPr>
          <w:spacing w:val="-6"/>
        </w:rPr>
        <w:t>5</w:t>
      </w:r>
      <w:r>
        <w:rPr>
          <w:rFonts w:ascii="方正书宋_GBK" w:hAnsi="方正书宋_GBK" w:eastAsia="方正书宋_GBK" w:cs="方正书宋_GBK"/>
          <w:spacing w:val="-6"/>
        </w:rPr>
        <w:t>期</w:t>
      </w:r>
      <w:r>
        <w:rPr>
          <w:spacing w:val="-6"/>
        </w:rPr>
        <w:t>。</w:t>
      </w:r>
    </w:p>
  </w:footnote>
  <w:footnote w:id="1002">
    <w:p w14:paraId="1D9CC0D6">
      <w:pPr>
        <w:pStyle w:val="11"/>
        <w:snapToGrid w:val="0"/>
      </w:pPr>
      <w:r>
        <w:rPr>
          <w:rStyle w:val="20"/>
        </w:rPr>
        <w:footnoteRef/>
      </w:r>
      <w:r>
        <w:rPr>
          <w:rFonts w:ascii="方正书宋_GBK" w:hAnsi="方正书宋_GBK" w:eastAsia="方正书宋_GBK" w:cs="方正书宋_GBK"/>
          <w:spacing w:val="-10"/>
        </w:rPr>
        <w:t>习近平</w:t>
      </w:r>
      <w:r>
        <w:rPr>
          <w:spacing w:val="-10"/>
        </w:rPr>
        <w:t>：《</w:t>
      </w:r>
      <w:r>
        <w:rPr>
          <w:rFonts w:ascii="方正书宋_GBK" w:hAnsi="方正书宋_GBK" w:eastAsia="方正书宋_GBK" w:cs="方正书宋_GBK"/>
          <w:spacing w:val="-10"/>
        </w:rPr>
        <w:t>扎实推动共同富裕</w:t>
      </w:r>
      <w:r>
        <w:rPr>
          <w:spacing w:val="-10"/>
        </w:rPr>
        <w:t>》，《</w:t>
      </w:r>
      <w:r>
        <w:rPr>
          <w:rFonts w:ascii="方正书宋_GBK" w:hAnsi="方正书宋_GBK" w:eastAsia="方正书宋_GBK" w:cs="方正书宋_GBK"/>
          <w:spacing w:val="-10"/>
        </w:rPr>
        <w:t>求是</w:t>
      </w:r>
      <w:r>
        <w:rPr>
          <w:spacing w:val="-10"/>
        </w:rPr>
        <w:t>》2021</w:t>
      </w:r>
      <w:r>
        <w:rPr>
          <w:rFonts w:ascii="方正书宋_GBK" w:hAnsi="方正书宋_GBK" w:eastAsia="方正书宋_GBK" w:cs="方正书宋_GBK"/>
          <w:spacing w:val="-10"/>
        </w:rPr>
        <w:t>年第</w:t>
      </w:r>
      <w:r>
        <w:rPr>
          <w:spacing w:val="-10"/>
        </w:rPr>
        <w:t>20</w:t>
      </w:r>
      <w:r>
        <w:rPr>
          <w:rFonts w:ascii="方正书宋_GBK" w:hAnsi="方正书宋_GBK" w:eastAsia="方正书宋_GBK" w:cs="方正书宋_GBK"/>
          <w:spacing w:val="-10"/>
        </w:rPr>
        <w:t>期</w:t>
      </w:r>
      <w:r>
        <w:rPr>
          <w:spacing w:val="-10"/>
        </w:rPr>
        <w:t>。</w:t>
      </w:r>
    </w:p>
  </w:footnote>
  <w:footnote w:id="1003">
    <w:p w14:paraId="6329FD00">
      <w:pPr>
        <w:pStyle w:val="11"/>
        <w:snapToGrid w:val="0"/>
        <w:rPr>
          <w:rFonts w:hint="default" w:eastAsiaTheme="minorEastAsia"/>
          <w:lang w:val="en-US" w:eastAsia="zh-CN"/>
        </w:rPr>
      </w:pPr>
      <w:r>
        <w:rPr>
          <w:rStyle w:val="20"/>
        </w:rPr>
        <w:footnoteRef/>
      </w:r>
      <w:r>
        <w:t xml:space="preserve"> </w:t>
      </w:r>
      <w:r>
        <w:rPr>
          <w:rFonts w:hint="eastAsia"/>
          <w:lang w:eastAsia="zh-CN"/>
        </w:rPr>
        <w:t>《</w:t>
      </w:r>
      <w:r>
        <w:rPr>
          <w:rFonts w:hint="eastAsia"/>
          <w:lang w:val="en-US" w:eastAsia="zh-CN"/>
        </w:rPr>
        <w:t>全球数字经济白皮书（2023)</w:t>
      </w:r>
      <w:r>
        <w:rPr>
          <w:rFonts w:hint="eastAsia"/>
          <w:lang w:eastAsia="zh-CN"/>
        </w:rPr>
        <w:t>》，</w:t>
      </w:r>
      <w:r>
        <w:rPr>
          <w:rFonts w:hint="eastAsia"/>
          <w:lang w:val="en-US" w:eastAsia="zh-CN"/>
        </w:rPr>
        <w:t>中国信息通信研究院，2023年。</w:t>
      </w:r>
    </w:p>
  </w:footnote>
  <w:footnote w:id="1004">
    <w:p w14:paraId="3EC995E7">
      <w:pPr>
        <w:pStyle w:val="11"/>
        <w:snapToGrid w:val="0"/>
        <w:rPr>
          <w:rFonts w:hint="default" w:eastAsiaTheme="minorEastAsia"/>
          <w:lang w:val="en-US" w:eastAsia="zh-CN"/>
        </w:rPr>
      </w:pPr>
      <w:r>
        <w:rPr>
          <w:rStyle w:val="20"/>
        </w:rPr>
        <w:footnoteRef/>
      </w:r>
      <w:r>
        <w:t xml:space="preserve"> </w:t>
      </w:r>
      <w:r>
        <w:rPr>
          <w:rFonts w:hint="eastAsia"/>
          <w:lang w:val="en-US" w:eastAsia="zh-CN"/>
        </w:rPr>
        <w:t>《中华人民共和国国民经济和社会发展第十四个五年规划和2035年远景目标纲要》，《人民日报》，2021年3月13日。</w:t>
      </w:r>
    </w:p>
  </w:footnote>
  <w:footnote w:id="1005">
    <w:p w14:paraId="5CB6AFA8">
      <w:pPr>
        <w:pStyle w:val="11"/>
        <w:snapToGrid w:val="0"/>
        <w:rPr>
          <w:rFonts w:hint="default" w:eastAsiaTheme="minorEastAsia"/>
          <w:lang w:val="en-US" w:eastAsia="zh-CN"/>
        </w:rPr>
      </w:pPr>
      <w:r>
        <w:rPr>
          <w:rStyle w:val="20"/>
        </w:rPr>
        <w:footnoteRef/>
      </w:r>
      <w:r>
        <w:t xml:space="preserve"> </w:t>
      </w:r>
      <w:r>
        <w:rPr>
          <w:rFonts w:hint="eastAsia"/>
        </w:rPr>
        <w:t>谭静</w:t>
      </w:r>
      <w:r>
        <w:rPr>
          <w:rFonts w:hint="eastAsia"/>
          <w:lang w:eastAsia="zh-CN"/>
        </w:rPr>
        <w:t>、</w:t>
      </w:r>
      <w:r>
        <w:rPr>
          <w:rFonts w:hint="eastAsia"/>
        </w:rPr>
        <w:t>刘文钦</w:t>
      </w:r>
      <w:r>
        <w:rPr>
          <w:rFonts w:hint="eastAsia"/>
          <w:lang w:eastAsia="zh-CN"/>
        </w:rPr>
        <w:t>：《</w:t>
      </w:r>
      <w:r>
        <w:rPr>
          <w:rFonts w:hint="eastAsia"/>
        </w:rPr>
        <w:t>数字消费异化批判：表象形式、发生缘由及解蔽路径</w:t>
      </w:r>
      <w:r>
        <w:rPr>
          <w:rFonts w:hint="eastAsia"/>
          <w:lang w:eastAsia="zh-CN"/>
        </w:rPr>
        <w:t>》，《</w:t>
      </w:r>
      <w:r>
        <w:rPr>
          <w:rFonts w:hint="eastAsia"/>
        </w:rPr>
        <w:t>江苏大学学报</w:t>
      </w:r>
      <w:r>
        <w:rPr>
          <w:rFonts w:hint="eastAsia"/>
          <w:lang w:eastAsia="zh-CN"/>
        </w:rPr>
        <w:t>（</w:t>
      </w:r>
      <w:r>
        <w:rPr>
          <w:rFonts w:hint="eastAsia"/>
        </w:rPr>
        <w:t>社会科学版</w:t>
      </w:r>
      <w:r>
        <w:rPr>
          <w:rFonts w:hint="eastAsia"/>
          <w:lang w:eastAsia="zh-CN"/>
        </w:rPr>
        <w:t>）》</w:t>
      </w:r>
      <w:r>
        <w:rPr>
          <w:rFonts w:hint="eastAsia"/>
        </w:rPr>
        <w:t>2023</w:t>
      </w:r>
      <w:r>
        <w:rPr>
          <w:rFonts w:hint="eastAsia"/>
          <w:lang w:val="en-US" w:eastAsia="zh-CN"/>
        </w:rPr>
        <w:t>年第5期。</w:t>
      </w:r>
    </w:p>
  </w:footnote>
  <w:footnote w:id="1006">
    <w:p w14:paraId="5C68F483">
      <w:pPr>
        <w:pStyle w:val="11"/>
        <w:snapToGrid w:val="0"/>
        <w:rPr>
          <w:rFonts w:hint="default" w:eastAsiaTheme="minorEastAsia"/>
          <w:lang w:val="en-US" w:eastAsia="zh-CN"/>
        </w:rPr>
      </w:pPr>
      <w:r>
        <w:rPr>
          <w:rStyle w:val="20"/>
        </w:rPr>
        <w:footnoteRef/>
      </w:r>
      <w:r>
        <w:t xml:space="preserve"> </w:t>
      </w:r>
      <w:r>
        <w:rPr>
          <w:rFonts w:hint="eastAsia"/>
        </w:rPr>
        <w:t>孙伟平</w:t>
      </w:r>
      <w:r>
        <w:rPr>
          <w:rFonts w:hint="eastAsia"/>
          <w:lang w:eastAsia="zh-CN"/>
        </w:rPr>
        <w:t>：《</w:t>
      </w:r>
      <w:r>
        <w:rPr>
          <w:rFonts w:hint="eastAsia"/>
        </w:rPr>
        <w:t>论数字资本主义时代的消费异化</w:t>
      </w:r>
      <w:r>
        <w:rPr>
          <w:rFonts w:hint="eastAsia"/>
          <w:lang w:eastAsia="zh-CN"/>
        </w:rPr>
        <w:t>》，《</w:t>
      </w:r>
      <w:r>
        <w:rPr>
          <w:rFonts w:hint="eastAsia"/>
        </w:rPr>
        <w:t>马克思主义研究</w:t>
      </w:r>
      <w:r>
        <w:rPr>
          <w:rFonts w:hint="eastAsia"/>
          <w:lang w:eastAsia="zh-CN"/>
        </w:rPr>
        <w:t>》</w:t>
      </w:r>
      <w:r>
        <w:rPr>
          <w:rFonts w:hint="eastAsia"/>
        </w:rPr>
        <w:t>2022</w:t>
      </w:r>
      <w:r>
        <w:rPr>
          <w:rFonts w:hint="eastAsia"/>
          <w:lang w:val="en-US" w:eastAsia="zh-CN"/>
        </w:rPr>
        <w:t>年第1期。</w:t>
      </w:r>
    </w:p>
  </w:footnote>
  <w:footnote w:id="1007">
    <w:p w14:paraId="4084AC65">
      <w:pPr>
        <w:pStyle w:val="11"/>
        <w:snapToGrid w:val="0"/>
      </w:pPr>
      <w:r>
        <w:rPr>
          <w:rStyle w:val="20"/>
        </w:rPr>
        <w:footnoteRef/>
      </w:r>
      <w:r>
        <w:t xml:space="preserve"> </w:t>
      </w:r>
      <w:r>
        <w:rPr>
          <w:rFonts w:hint="eastAsia"/>
        </w:rPr>
        <w:t>刘震</w:t>
      </w:r>
      <w:r>
        <w:rPr>
          <w:rFonts w:hint="eastAsia"/>
          <w:lang w:eastAsia="zh-CN"/>
        </w:rPr>
        <w:t>、</w:t>
      </w:r>
      <w:r>
        <w:rPr>
          <w:rFonts w:hint="eastAsia"/>
        </w:rPr>
        <w:t>张立榕</w:t>
      </w:r>
      <w:r>
        <w:rPr>
          <w:rFonts w:hint="eastAsia"/>
          <w:lang w:eastAsia="zh-CN"/>
        </w:rPr>
        <w:t>：《</w:t>
      </w:r>
      <w:r>
        <w:rPr>
          <w:rFonts w:hint="eastAsia"/>
        </w:rPr>
        <w:t>数据资本形成及其特征的政治经济学分析</w:t>
      </w:r>
      <w:r>
        <w:rPr>
          <w:rFonts w:hint="eastAsia"/>
          <w:lang w:eastAsia="zh-CN"/>
        </w:rPr>
        <w:t>》，《</w:t>
      </w:r>
      <w:r>
        <w:rPr>
          <w:rFonts w:hint="eastAsia"/>
        </w:rPr>
        <w:t>学习与探索</w:t>
      </w:r>
      <w:r>
        <w:rPr>
          <w:rFonts w:hint="eastAsia"/>
          <w:lang w:eastAsia="zh-CN"/>
        </w:rPr>
        <w:t>》</w:t>
      </w:r>
      <w:r>
        <w:rPr>
          <w:rFonts w:hint="eastAsia"/>
        </w:rPr>
        <w:t>2023</w:t>
      </w:r>
      <w:r>
        <w:rPr>
          <w:rFonts w:hint="eastAsia"/>
          <w:lang w:val="en-US" w:eastAsia="zh-CN"/>
        </w:rPr>
        <w:t>年第9期。</w:t>
      </w:r>
    </w:p>
  </w:footnote>
  <w:footnote w:id="1008">
    <w:p w14:paraId="496E0E74">
      <w:pPr>
        <w:pStyle w:val="11"/>
        <w:snapToGrid w:val="0"/>
        <w:rPr>
          <w:b/>
          <w:bCs/>
        </w:rPr>
      </w:pPr>
      <w:r>
        <w:rPr>
          <w:rStyle w:val="20"/>
        </w:rPr>
        <w:footnoteRef/>
      </w:r>
      <w:r>
        <w:t xml:space="preserve"> </w:t>
      </w:r>
      <w:r>
        <w:rPr>
          <w:rFonts w:hint="eastAsia"/>
        </w:rPr>
        <w:t>孙伟平</w:t>
      </w:r>
      <w:r>
        <w:rPr>
          <w:rFonts w:hint="eastAsia"/>
          <w:lang w:eastAsia="zh-CN"/>
        </w:rPr>
        <w:t>：《</w:t>
      </w:r>
      <w:r>
        <w:rPr>
          <w:rFonts w:hint="eastAsia"/>
        </w:rPr>
        <w:t>论数字资本主义时代的消费异化</w:t>
      </w:r>
      <w:r>
        <w:rPr>
          <w:rFonts w:hint="eastAsia"/>
          <w:lang w:eastAsia="zh-CN"/>
        </w:rPr>
        <w:t>》，《</w:t>
      </w:r>
      <w:r>
        <w:rPr>
          <w:rFonts w:hint="eastAsia"/>
        </w:rPr>
        <w:t>马克思主义研究</w:t>
      </w:r>
      <w:r>
        <w:rPr>
          <w:rFonts w:hint="eastAsia"/>
          <w:lang w:eastAsia="zh-CN"/>
        </w:rPr>
        <w:t>》</w:t>
      </w:r>
      <w:r>
        <w:rPr>
          <w:rFonts w:hint="eastAsia"/>
        </w:rPr>
        <w:t>2022</w:t>
      </w:r>
      <w:r>
        <w:rPr>
          <w:rFonts w:hint="eastAsia"/>
          <w:lang w:val="en-US" w:eastAsia="zh-CN"/>
        </w:rPr>
        <w:t>年第1期。</w:t>
      </w:r>
    </w:p>
  </w:footnote>
  <w:footnote w:id="1009">
    <w:p w14:paraId="0C24FAB1">
      <w:pPr>
        <w:pStyle w:val="11"/>
        <w:snapToGrid w:val="0"/>
      </w:pPr>
      <w:r>
        <w:rPr>
          <w:rStyle w:val="20"/>
        </w:rPr>
        <w:footnoteRef/>
      </w:r>
      <w:r>
        <w:t xml:space="preserve"> </w:t>
      </w:r>
      <w:r>
        <w:rPr>
          <w:rFonts w:hint="eastAsia"/>
        </w:rPr>
        <w:t>蓝江</w:t>
      </w:r>
      <w:r>
        <w:rPr>
          <w:rFonts w:hint="eastAsia"/>
          <w:lang w:eastAsia="zh-CN"/>
        </w:rPr>
        <w:t>：《</w:t>
      </w:r>
      <w:r>
        <w:rPr>
          <w:rFonts w:hint="eastAsia"/>
        </w:rPr>
        <w:t>一般数据、虚体、数字资本——数字资本主义的三重逻辑</w:t>
      </w:r>
      <w:r>
        <w:rPr>
          <w:rFonts w:hint="eastAsia"/>
          <w:lang w:eastAsia="zh-CN"/>
        </w:rPr>
        <w:t>》，《</w:t>
      </w:r>
      <w:r>
        <w:rPr>
          <w:rFonts w:hint="eastAsia"/>
        </w:rPr>
        <w:t>哲学研究</w:t>
      </w:r>
      <w:r>
        <w:rPr>
          <w:rFonts w:hint="eastAsia"/>
          <w:lang w:eastAsia="zh-CN"/>
        </w:rPr>
        <w:t>》</w:t>
      </w:r>
      <w:r>
        <w:rPr>
          <w:rFonts w:hint="eastAsia"/>
        </w:rPr>
        <w:t>2018</w:t>
      </w:r>
      <w:r>
        <w:rPr>
          <w:rFonts w:hint="eastAsia"/>
          <w:lang w:val="en-US" w:eastAsia="zh-CN"/>
        </w:rPr>
        <w:t>年第3期。</w:t>
      </w:r>
    </w:p>
  </w:footnote>
  <w:footnote w:id="1010">
    <w:p w14:paraId="349903F9">
      <w:pPr>
        <w:pStyle w:val="11"/>
        <w:snapToGrid w:val="0"/>
      </w:pPr>
      <w:r>
        <w:rPr>
          <w:rStyle w:val="20"/>
        </w:rPr>
        <w:footnoteRef/>
      </w:r>
      <w:r>
        <w:t xml:space="preserve"> </w:t>
      </w:r>
      <w:r>
        <w:rPr>
          <w:rFonts w:hint="eastAsia"/>
        </w:rPr>
        <w:t>郑智航</w:t>
      </w:r>
      <w:r>
        <w:rPr>
          <w:rFonts w:hint="eastAsia"/>
          <w:lang w:eastAsia="zh-CN"/>
        </w:rPr>
        <w:t>：《</w:t>
      </w:r>
      <w:r>
        <w:rPr>
          <w:rFonts w:hint="eastAsia"/>
        </w:rPr>
        <w:t>数字资本运作逻辑下的数据权利保护</w:t>
      </w:r>
      <w:r>
        <w:rPr>
          <w:rFonts w:hint="eastAsia"/>
          <w:lang w:eastAsia="zh-CN"/>
        </w:rPr>
        <w:t>》，《</w:t>
      </w:r>
      <w:r>
        <w:rPr>
          <w:rFonts w:hint="eastAsia"/>
        </w:rPr>
        <w:t>求是学刊</w:t>
      </w:r>
      <w:r>
        <w:rPr>
          <w:rFonts w:hint="eastAsia"/>
          <w:lang w:eastAsia="zh-CN"/>
        </w:rPr>
        <w:t>》</w:t>
      </w:r>
      <w:r>
        <w:rPr>
          <w:rFonts w:hint="eastAsia"/>
        </w:rPr>
        <w:t>2021</w:t>
      </w:r>
      <w:r>
        <w:rPr>
          <w:rFonts w:hint="eastAsia"/>
          <w:lang w:val="en-US" w:eastAsia="zh-CN"/>
        </w:rPr>
        <w:t>年第4期。</w:t>
      </w:r>
    </w:p>
  </w:footnote>
  <w:footnote w:id="1011">
    <w:p w14:paraId="4D84418D">
      <w:pPr>
        <w:pStyle w:val="11"/>
        <w:snapToGrid w:val="0"/>
        <w:rPr>
          <w:rFonts w:hint="default" w:eastAsiaTheme="minorEastAsia"/>
          <w:lang w:val="en-US" w:eastAsia="zh-CN"/>
        </w:rPr>
      </w:pPr>
      <w:r>
        <w:rPr>
          <w:rStyle w:val="20"/>
        </w:rPr>
        <w:footnoteRef/>
      </w:r>
      <w:r>
        <w:t xml:space="preserve"> </w:t>
      </w:r>
      <w:r>
        <w:rPr>
          <w:rFonts w:hint="eastAsia"/>
        </w:rPr>
        <w:t>孙业霞</w:t>
      </w:r>
      <w:r>
        <w:rPr>
          <w:rFonts w:hint="eastAsia"/>
          <w:lang w:eastAsia="zh-CN"/>
        </w:rPr>
        <w:t>、</w:t>
      </w:r>
      <w:r>
        <w:rPr>
          <w:rFonts w:hint="eastAsia"/>
        </w:rPr>
        <w:t>牛昭阳</w:t>
      </w:r>
      <w:r>
        <w:rPr>
          <w:rFonts w:hint="eastAsia"/>
          <w:lang w:eastAsia="zh-CN"/>
        </w:rPr>
        <w:t>：《</w:t>
      </w:r>
      <w:r>
        <w:rPr>
          <w:rFonts w:hint="eastAsia"/>
          <w:lang w:val="en-US" w:eastAsia="zh-CN"/>
        </w:rPr>
        <w:t>数</w:t>
      </w:r>
      <w:r>
        <w:rPr>
          <w:rFonts w:hint="eastAsia"/>
        </w:rPr>
        <w:t>字帝国主义时代数字劳动力的三重困境</w:t>
      </w:r>
      <w:r>
        <w:rPr>
          <w:rFonts w:hint="eastAsia"/>
          <w:lang w:eastAsia="zh-CN"/>
        </w:rPr>
        <w:t>》，《</w:t>
      </w:r>
      <w:r>
        <w:rPr>
          <w:rFonts w:hint="eastAsia"/>
        </w:rPr>
        <w:t>政治经济学研究</w:t>
      </w:r>
      <w:r>
        <w:rPr>
          <w:rFonts w:hint="eastAsia"/>
          <w:lang w:eastAsia="zh-CN"/>
        </w:rPr>
        <w:t>》，</w:t>
      </w:r>
      <w:r>
        <w:rPr>
          <w:rFonts w:hint="eastAsia"/>
        </w:rPr>
        <w:t>2024</w:t>
      </w:r>
      <w:r>
        <w:rPr>
          <w:rFonts w:hint="eastAsia"/>
          <w:lang w:val="en-US" w:eastAsia="zh-CN"/>
        </w:rPr>
        <w:t>年第3期。</w:t>
      </w:r>
    </w:p>
  </w:footnote>
  <w:footnote w:id="1012">
    <w:p w14:paraId="2BA034A8">
      <w:pPr>
        <w:pStyle w:val="11"/>
        <w:snapToGrid w:val="0"/>
        <w:rPr>
          <w:rFonts w:hint="default" w:eastAsiaTheme="minorEastAsia"/>
          <w:lang w:val="en-US" w:eastAsia="zh-CN"/>
        </w:rPr>
      </w:pPr>
      <w:r>
        <w:rPr>
          <w:rStyle w:val="20"/>
        </w:rPr>
        <w:footnoteRef/>
      </w:r>
      <w:r>
        <w:t xml:space="preserve"> </w:t>
      </w:r>
      <w:r>
        <w:rPr>
          <w:rFonts w:hint="eastAsia"/>
          <w:lang w:val="en-US" w:eastAsia="zh-CN"/>
        </w:rPr>
        <w:t>张孟雯、朱婷：《</w:t>
      </w:r>
      <w:r>
        <w:rPr>
          <w:rFonts w:hint="eastAsia"/>
          <w:lang w:eastAsia="zh-CN"/>
        </w:rPr>
        <w:t>“</w:t>
      </w:r>
      <w:r>
        <w:rPr>
          <w:rFonts w:hint="eastAsia"/>
          <w:lang w:val="en-US" w:eastAsia="zh-CN"/>
        </w:rPr>
        <w:t>玩劳动</w:t>
      </w:r>
      <w:r>
        <w:rPr>
          <w:rFonts w:hint="eastAsia"/>
          <w:lang w:eastAsia="zh-CN"/>
        </w:rPr>
        <w:t>”：</w:t>
      </w:r>
      <w:r>
        <w:rPr>
          <w:rFonts w:hint="eastAsia"/>
          <w:lang w:val="en-US" w:eastAsia="zh-CN"/>
        </w:rPr>
        <w:t>数字时代的异化劳动》，《海派经济学》，2024年第4期。</w:t>
      </w:r>
    </w:p>
  </w:footnote>
  <w:footnote w:id="1013">
    <w:p w14:paraId="0FA9AE88">
      <w:pPr>
        <w:pStyle w:val="11"/>
        <w:snapToGrid w:val="0"/>
      </w:pPr>
      <w:r>
        <w:rPr>
          <w:rStyle w:val="20"/>
        </w:rPr>
        <w:footnoteRef/>
      </w:r>
      <w:r>
        <w:t xml:space="preserve"> </w:t>
      </w:r>
      <w:r>
        <w:rPr>
          <w:rFonts w:hint="eastAsia"/>
        </w:rPr>
        <w:t>王峰明</w:t>
      </w:r>
      <w:r>
        <w:rPr>
          <w:rFonts w:hint="eastAsia"/>
          <w:lang w:eastAsia="zh-CN"/>
        </w:rPr>
        <w:t>：《</w:t>
      </w:r>
      <w:r>
        <w:rPr>
          <w:rFonts w:hint="eastAsia"/>
        </w:rPr>
        <w:t>如何认识资本的特性和行为规律——基于马克思</w:t>
      </w:r>
      <w:r>
        <w:rPr>
          <w:rFonts w:hint="eastAsia"/>
          <w:lang w:val="en-US" w:eastAsia="zh-CN"/>
        </w:rPr>
        <w:t>&lt;</w:t>
      </w:r>
      <w:r>
        <w:rPr>
          <w:rFonts w:hint="eastAsia"/>
        </w:rPr>
        <w:t>资本论</w:t>
      </w:r>
      <w:r>
        <w:rPr>
          <w:rFonts w:hint="eastAsia"/>
          <w:lang w:val="en-US" w:eastAsia="zh-CN"/>
        </w:rPr>
        <w:t>&gt;</w:t>
      </w:r>
      <w:r>
        <w:rPr>
          <w:rFonts w:hint="eastAsia"/>
        </w:rPr>
        <w:t>及其手稿的阐释</w:t>
      </w:r>
      <w:r>
        <w:rPr>
          <w:rFonts w:hint="eastAsia"/>
          <w:lang w:eastAsia="zh-CN"/>
        </w:rPr>
        <w:t>》，《</w:t>
      </w:r>
      <w:r>
        <w:rPr>
          <w:rFonts w:hint="eastAsia"/>
        </w:rPr>
        <w:t>当代经济研究</w:t>
      </w:r>
      <w:r>
        <w:rPr>
          <w:rFonts w:hint="eastAsia"/>
          <w:lang w:eastAsia="zh-CN"/>
        </w:rPr>
        <w:t>》</w:t>
      </w:r>
      <w:r>
        <w:rPr>
          <w:rFonts w:hint="eastAsia"/>
        </w:rPr>
        <w:t>2023</w:t>
      </w:r>
      <w:r>
        <w:rPr>
          <w:rFonts w:hint="eastAsia"/>
          <w:lang w:val="en-US" w:eastAsia="zh-CN"/>
        </w:rPr>
        <w:t>年第6期。</w:t>
      </w:r>
    </w:p>
  </w:footnote>
  <w:footnote w:id="1014">
    <w:p w14:paraId="0C2A446E">
      <w:pPr>
        <w:pStyle w:val="11"/>
        <w:snapToGrid w:val="0"/>
        <w:rPr>
          <w:rFonts w:hint="default" w:eastAsiaTheme="minorEastAsia"/>
          <w:lang w:val="en-US" w:eastAsia="zh-CN"/>
        </w:rPr>
      </w:pPr>
      <w:r>
        <w:rPr>
          <w:rStyle w:val="20"/>
        </w:rPr>
        <w:footnoteRef/>
      </w:r>
      <w:r>
        <w:rPr>
          <w:rFonts w:hint="eastAsia"/>
          <w:lang w:eastAsia="zh-CN"/>
        </w:rPr>
        <w:t>《</w:t>
      </w:r>
      <w:r>
        <w:rPr>
          <w:rFonts w:hint="eastAsia"/>
          <w:lang w:val="en-US" w:eastAsia="zh-CN"/>
        </w:rPr>
        <w:t>马克思恩格斯文集</w:t>
      </w:r>
      <w:r>
        <w:rPr>
          <w:rFonts w:hint="eastAsia"/>
          <w:lang w:eastAsia="zh-CN"/>
        </w:rPr>
        <w:t>》</w:t>
      </w:r>
      <w:r>
        <w:rPr>
          <w:rFonts w:hint="eastAsia"/>
          <w:lang w:val="en-US" w:eastAsia="zh-CN"/>
        </w:rPr>
        <w:t>第5卷，北京：人民出版社，2009年版第683页。</w:t>
      </w:r>
    </w:p>
  </w:footnote>
  <w:footnote w:id="1015">
    <w:p w14:paraId="296BC3DE">
      <w:pPr>
        <w:pStyle w:val="11"/>
        <w:snapToGrid w:val="0"/>
        <w:rPr>
          <w:rFonts w:hint="default" w:eastAsiaTheme="minorEastAsia"/>
          <w:lang w:val="en-US" w:eastAsia="zh-CN"/>
        </w:rPr>
      </w:pPr>
      <w:r>
        <w:rPr>
          <w:rStyle w:val="20"/>
        </w:rPr>
        <w:footnoteRef/>
      </w:r>
      <w:r>
        <w:t xml:space="preserve"> </w:t>
      </w:r>
      <w:r>
        <w:rPr>
          <w:rFonts w:hint="eastAsia"/>
        </w:rPr>
        <w:t>丹·希勒著</w:t>
      </w:r>
      <w:r>
        <w:rPr>
          <w:rFonts w:hint="eastAsia"/>
          <w:lang w:eastAsia="zh-CN"/>
        </w:rPr>
        <w:t>：《</w:t>
      </w:r>
      <w:r>
        <w:rPr>
          <w:rFonts w:hint="eastAsia"/>
        </w:rPr>
        <w:t>信息拜物教</w:t>
      </w:r>
      <w:r>
        <w:rPr>
          <w:rFonts w:hint="eastAsia"/>
          <w:lang w:eastAsia="zh-CN"/>
        </w:rPr>
        <w:t>：</w:t>
      </w:r>
      <w:r>
        <w:rPr>
          <w:rFonts w:hint="eastAsia"/>
        </w:rPr>
        <w:t>批判与解构</w:t>
      </w:r>
      <w:r>
        <w:rPr>
          <w:rFonts w:hint="eastAsia"/>
          <w:lang w:eastAsia="zh-CN"/>
        </w:rPr>
        <w:t>》，</w:t>
      </w:r>
      <w:r>
        <w:rPr>
          <w:rFonts w:hint="eastAsia"/>
        </w:rPr>
        <w:t xml:space="preserve"> 北京：社会科学文献出版社, 2008</w:t>
      </w:r>
      <w:r>
        <w:rPr>
          <w:rFonts w:hint="eastAsia"/>
          <w:lang w:eastAsia="zh-CN"/>
        </w:rPr>
        <w:t>，</w:t>
      </w:r>
      <w:r>
        <w:rPr>
          <w:rFonts w:hint="eastAsia"/>
          <w:lang w:val="en-US" w:eastAsia="zh-CN"/>
        </w:rPr>
        <w:t>第162页。</w:t>
      </w:r>
    </w:p>
  </w:footnote>
  <w:footnote w:id="1016">
    <w:p w14:paraId="6FDE9BA9">
      <w:pPr>
        <w:pStyle w:val="11"/>
        <w:snapToGrid w:val="0"/>
        <w:rPr>
          <w:rFonts w:hint="default"/>
          <w:lang w:val="en-US"/>
        </w:rPr>
      </w:pPr>
      <w:r>
        <w:rPr>
          <w:rStyle w:val="20"/>
        </w:rPr>
        <w:footnoteRef/>
      </w:r>
      <w:r>
        <w:t xml:space="preserve"> </w:t>
      </w:r>
      <w:r>
        <w:rPr>
          <w:rFonts w:hint="eastAsia"/>
        </w:rPr>
        <w:t>黄文思</w:t>
      </w:r>
      <w:r>
        <w:rPr>
          <w:rFonts w:hint="eastAsia"/>
          <w:lang w:eastAsia="zh-CN"/>
        </w:rPr>
        <w:t>：《</w:t>
      </w:r>
      <w:r>
        <w:rPr>
          <w:rFonts w:hint="eastAsia"/>
        </w:rPr>
        <w:t>有计划废止制度的缘起、动因及生态启示</w:t>
      </w:r>
      <w:r>
        <w:rPr>
          <w:rFonts w:hint="eastAsia"/>
          <w:lang w:eastAsia="zh-CN"/>
        </w:rPr>
        <w:t>》，《</w:t>
      </w:r>
      <w:r>
        <w:rPr>
          <w:rFonts w:hint="eastAsia"/>
        </w:rPr>
        <w:t>经济论坛</w:t>
      </w:r>
      <w:r>
        <w:rPr>
          <w:rFonts w:hint="eastAsia"/>
          <w:lang w:eastAsia="zh-CN"/>
        </w:rPr>
        <w:t>》</w:t>
      </w:r>
      <w:r>
        <w:rPr>
          <w:rFonts w:hint="eastAsia"/>
        </w:rPr>
        <w:t>2020</w:t>
      </w:r>
      <w:r>
        <w:rPr>
          <w:rFonts w:hint="eastAsia"/>
          <w:lang w:val="en-US" w:eastAsia="zh-CN"/>
        </w:rPr>
        <w:t>年第12期。</w:t>
      </w:r>
    </w:p>
  </w:footnote>
  <w:footnote w:id="1017">
    <w:p w14:paraId="437A8A7C">
      <w:pPr>
        <w:pStyle w:val="11"/>
        <w:snapToGrid w:val="0"/>
      </w:pPr>
      <w:r>
        <w:rPr>
          <w:rStyle w:val="20"/>
        </w:rPr>
        <w:footnoteRef/>
      </w:r>
      <w:r>
        <w:t xml:space="preserve"> </w:t>
      </w:r>
      <w:r>
        <w:rPr>
          <w:rFonts w:hint="eastAsia"/>
          <w:lang w:val="en-US" w:eastAsia="zh-CN"/>
        </w:rPr>
        <w:t>诺维格定律，由Google研究院的主任彼得·诺维格（Peter Norvig）博士提出，即一家公司的市场占有率超过50%后，就无法再翻番了。这也导致一个在市场上占有主导地位的公司必须不断开拓新产品，才能让自己长久的活下去。这也使得占有主导的企业通过并购来保持自己的创新。</w:t>
      </w:r>
    </w:p>
  </w:footnote>
  <w:footnote w:id="1018">
    <w:p w14:paraId="51208D3E">
      <w:pPr>
        <w:pStyle w:val="11"/>
        <w:snapToGrid w:val="0"/>
      </w:pPr>
      <w:r>
        <w:rPr>
          <w:rStyle w:val="20"/>
        </w:rPr>
        <w:footnoteRef/>
      </w:r>
      <w:r>
        <w:t xml:space="preserve"> </w:t>
      </w:r>
      <w:r>
        <w:rPr>
          <w:rFonts w:hint="eastAsia"/>
          <w:lang w:val="en-US" w:eastAsia="zh-CN"/>
        </w:rPr>
        <w:t>达维多定律指一家企业要在市场中总是占据主导地位，必须做到第一个开发出新一代产品，第一个淘汰自己的现有的产品。</w:t>
      </w:r>
    </w:p>
  </w:footnote>
  <w:footnote w:id="1019">
    <w:p w14:paraId="38B9A80A">
      <w:pPr>
        <w:pStyle w:val="11"/>
        <w:snapToGrid w:val="0"/>
      </w:pPr>
      <w:r>
        <w:rPr>
          <w:rStyle w:val="20"/>
        </w:rPr>
        <w:footnoteRef/>
      </w:r>
      <w:r>
        <w:rPr>
          <w:rFonts w:hint="eastAsia"/>
          <w:lang w:eastAsia="zh-CN"/>
        </w:rPr>
        <w:t>《</w:t>
      </w:r>
      <w:r>
        <w:rPr>
          <w:rFonts w:hint="eastAsia"/>
          <w:lang w:val="en-US" w:eastAsia="zh-CN"/>
        </w:rPr>
        <w:t>马克思恩格斯文集</w:t>
      </w:r>
      <w:r>
        <w:rPr>
          <w:rFonts w:hint="eastAsia"/>
          <w:lang w:eastAsia="zh-CN"/>
        </w:rPr>
        <w:t>》</w:t>
      </w:r>
      <w:r>
        <w:rPr>
          <w:rFonts w:hint="eastAsia"/>
          <w:lang w:val="en-US" w:eastAsia="zh-CN"/>
        </w:rPr>
        <w:t>第2卷，北京：人民出版社，2009年版第34页。</w:t>
      </w:r>
      <w:r>
        <w:t xml:space="preserve"> </w:t>
      </w:r>
    </w:p>
  </w:footnote>
  <w:footnote w:id="1020">
    <w:p w14:paraId="3CFAAC41">
      <w:pPr>
        <w:pStyle w:val="11"/>
        <w:snapToGrid w:val="0"/>
        <w:rPr>
          <w:rFonts w:hint="eastAsia" w:eastAsiaTheme="minorEastAsia"/>
          <w:lang w:val="en-US" w:eastAsia="zh-CN"/>
        </w:rPr>
      </w:pPr>
      <w:r>
        <w:rPr>
          <w:rStyle w:val="20"/>
        </w:rPr>
        <w:footnoteRef/>
      </w:r>
      <w:r>
        <w:t xml:space="preserve"> </w:t>
      </w:r>
      <w:r>
        <w:rPr>
          <w:rFonts w:hint="eastAsia"/>
          <w:lang w:val="en-US" w:eastAsia="zh-CN"/>
        </w:rPr>
        <w:t>这里的精神痛苦并不是由于物质的匮乏引起的痛苦，而是“有物质而无幸福”的痛苦。参见</w:t>
      </w:r>
      <w:r>
        <w:rPr>
          <w:rFonts w:hint="eastAsia"/>
        </w:rPr>
        <w:t>杜冲霄</w:t>
      </w:r>
      <w:r>
        <w:rPr>
          <w:rFonts w:hint="eastAsia"/>
          <w:lang w:eastAsia="zh-CN"/>
        </w:rPr>
        <w:t>、</w:t>
      </w:r>
      <w:r>
        <w:rPr>
          <w:rFonts w:hint="eastAsia"/>
        </w:rPr>
        <w:t>白雪秋</w:t>
      </w:r>
      <w:r>
        <w:rPr>
          <w:rFonts w:hint="eastAsia"/>
          <w:lang w:eastAsia="zh-CN"/>
        </w:rPr>
        <w:t>：《</w:t>
      </w:r>
      <w:r>
        <w:rPr>
          <w:rFonts w:hint="eastAsia"/>
        </w:rPr>
        <w:t>劳动、消费的当代异化及其扬弃</w:t>
      </w:r>
      <w:r>
        <w:rPr>
          <w:rFonts w:hint="eastAsia"/>
          <w:lang w:eastAsia="zh-CN"/>
        </w:rPr>
        <w:t>》，《</w:t>
      </w:r>
      <w:r>
        <w:rPr>
          <w:rFonts w:hint="eastAsia"/>
        </w:rPr>
        <w:t>河南社会科学</w:t>
      </w:r>
      <w:r>
        <w:rPr>
          <w:rFonts w:hint="eastAsia"/>
          <w:lang w:eastAsia="zh-CN"/>
        </w:rPr>
        <w:t>》</w:t>
      </w:r>
      <w:r>
        <w:rPr>
          <w:rFonts w:hint="eastAsia"/>
        </w:rPr>
        <w:t>2019</w:t>
      </w:r>
      <w:r>
        <w:rPr>
          <w:rFonts w:hint="eastAsia"/>
          <w:lang w:val="en-US" w:eastAsia="zh-CN"/>
        </w:rPr>
        <w:t>年第6期。</w:t>
      </w:r>
    </w:p>
  </w:footnote>
  <w:footnote w:id="1021">
    <w:p w14:paraId="5B853A6C">
      <w:pPr>
        <w:pStyle w:val="11"/>
        <w:snapToGrid w:val="0"/>
      </w:pPr>
      <w:r>
        <w:rPr>
          <w:rStyle w:val="20"/>
        </w:rPr>
        <w:footnoteRef/>
      </w:r>
      <w:r>
        <w:t xml:space="preserve"> </w:t>
      </w:r>
      <w:r>
        <w:rPr>
          <w:rFonts w:hint="eastAsia"/>
          <w:lang w:eastAsia="zh-CN"/>
        </w:rPr>
        <w:t>《</w:t>
      </w:r>
      <w:r>
        <w:rPr>
          <w:rFonts w:hint="eastAsia"/>
          <w:lang w:val="en-US" w:eastAsia="zh-CN"/>
        </w:rPr>
        <w:t>马克思恩格斯文集</w:t>
      </w:r>
      <w:r>
        <w:rPr>
          <w:rFonts w:hint="eastAsia"/>
          <w:lang w:eastAsia="zh-CN"/>
        </w:rPr>
        <w:t>》</w:t>
      </w:r>
      <w:r>
        <w:rPr>
          <w:rFonts w:hint="eastAsia"/>
          <w:lang w:val="en-US" w:eastAsia="zh-CN"/>
        </w:rPr>
        <w:t>第1卷，北京：人民出版社，2009年版第159页。</w:t>
      </w:r>
    </w:p>
  </w:footnote>
  <w:footnote w:id="1022">
    <w:p w14:paraId="235BB1F6">
      <w:pPr>
        <w:pStyle w:val="11"/>
        <w:snapToGrid w:val="0"/>
      </w:pPr>
      <w:r>
        <w:rPr>
          <w:rStyle w:val="20"/>
        </w:rPr>
        <w:footnoteRef/>
      </w:r>
      <w:r>
        <w:t xml:space="preserve"> </w:t>
      </w:r>
      <w:r>
        <w:rPr>
          <w:rFonts w:hint="eastAsia"/>
        </w:rPr>
        <w:t>杜冲霄</w:t>
      </w:r>
      <w:r>
        <w:rPr>
          <w:rFonts w:hint="eastAsia"/>
          <w:lang w:eastAsia="zh-CN"/>
        </w:rPr>
        <w:t>、</w:t>
      </w:r>
      <w:r>
        <w:rPr>
          <w:rFonts w:hint="eastAsia"/>
        </w:rPr>
        <w:t>白雪秋</w:t>
      </w:r>
      <w:r>
        <w:rPr>
          <w:rFonts w:hint="eastAsia"/>
          <w:lang w:eastAsia="zh-CN"/>
        </w:rPr>
        <w:t>：《</w:t>
      </w:r>
      <w:r>
        <w:rPr>
          <w:rFonts w:hint="eastAsia"/>
        </w:rPr>
        <w:t>劳动、消费的当代异化及其扬弃</w:t>
      </w:r>
      <w:r>
        <w:rPr>
          <w:rFonts w:hint="eastAsia"/>
          <w:lang w:eastAsia="zh-CN"/>
        </w:rPr>
        <w:t>》，《</w:t>
      </w:r>
      <w:r>
        <w:rPr>
          <w:rFonts w:hint="eastAsia"/>
        </w:rPr>
        <w:t>河南社会科学</w:t>
      </w:r>
      <w:r>
        <w:rPr>
          <w:rFonts w:hint="eastAsia"/>
          <w:lang w:eastAsia="zh-CN"/>
        </w:rPr>
        <w:t>》</w:t>
      </w:r>
      <w:r>
        <w:rPr>
          <w:rFonts w:hint="eastAsia"/>
        </w:rPr>
        <w:t>2019</w:t>
      </w:r>
      <w:r>
        <w:rPr>
          <w:rFonts w:hint="eastAsia"/>
          <w:lang w:val="en-US" w:eastAsia="zh-CN"/>
        </w:rPr>
        <w:t>年第6期。</w:t>
      </w:r>
    </w:p>
  </w:footnote>
  <w:footnote w:id="1023">
    <w:p w14:paraId="56E51071">
      <w:pPr>
        <w:pStyle w:val="11"/>
        <w:snapToGrid w:val="0"/>
        <w:rPr>
          <w:rFonts w:hint="default" w:eastAsiaTheme="minorEastAsia"/>
          <w:lang w:val="en-US" w:eastAsia="zh-CN"/>
        </w:rPr>
      </w:pPr>
      <w:r>
        <w:rPr>
          <w:rStyle w:val="20"/>
        </w:rPr>
        <w:footnoteRef/>
      </w:r>
      <w:r>
        <w:t xml:space="preserve"> </w:t>
      </w:r>
      <w:r>
        <w:rPr>
          <w:rFonts w:hint="eastAsia"/>
          <w:lang w:val="en-US" w:eastAsia="zh-CN"/>
        </w:rPr>
        <w:t>马尔库塞：《单向度的人》，刘继译，上海：上海译文出版社，2008年，第117页。</w:t>
      </w:r>
    </w:p>
  </w:footnote>
  <w:footnote w:id="1024">
    <w:p w14:paraId="0050EA0F">
      <w:pPr>
        <w:pStyle w:val="11"/>
        <w:snapToGrid w:val="0"/>
      </w:pPr>
      <w:r>
        <w:rPr>
          <w:rStyle w:val="20"/>
        </w:rPr>
        <w:footnoteRef/>
      </w:r>
      <w:r>
        <w:t xml:space="preserve"> </w:t>
      </w:r>
      <w:r>
        <w:rPr>
          <w:rFonts w:hint="eastAsia" w:ascii="宋体" w:hAnsi="宋体" w:eastAsia="宋体" w:cs="宋体"/>
        </w:rPr>
        <w:t>谭静</w:t>
      </w:r>
      <w:r>
        <w:rPr>
          <w:rFonts w:hint="eastAsia" w:ascii="宋体" w:hAnsi="宋体" w:eastAsia="宋体" w:cs="宋体"/>
          <w:lang w:eastAsia="zh-CN"/>
        </w:rPr>
        <w:t>、</w:t>
      </w:r>
      <w:r>
        <w:rPr>
          <w:rFonts w:hint="eastAsia" w:ascii="宋体" w:hAnsi="宋体" w:eastAsia="宋体" w:cs="宋体"/>
        </w:rPr>
        <w:t>刘文钦</w:t>
      </w:r>
      <w:r>
        <w:rPr>
          <w:rFonts w:hint="eastAsia" w:ascii="宋体" w:hAnsi="宋体" w:eastAsia="宋体" w:cs="宋体"/>
          <w:lang w:eastAsia="zh-CN"/>
        </w:rPr>
        <w:t>：《</w:t>
      </w:r>
      <w:r>
        <w:rPr>
          <w:rFonts w:hint="eastAsia" w:ascii="宋体" w:hAnsi="宋体" w:eastAsia="宋体" w:cs="宋体"/>
        </w:rPr>
        <w:t>数字消费异化批判：表象形式、发生缘由及解蔽路径</w:t>
      </w:r>
      <w:r>
        <w:rPr>
          <w:rFonts w:hint="eastAsia" w:ascii="宋体" w:hAnsi="宋体" w:eastAsia="宋体" w:cs="宋体"/>
          <w:lang w:eastAsia="zh-CN"/>
        </w:rPr>
        <w:t>》，《</w:t>
      </w:r>
      <w:r>
        <w:rPr>
          <w:rFonts w:hint="eastAsia" w:ascii="宋体" w:hAnsi="宋体" w:eastAsia="宋体" w:cs="宋体"/>
        </w:rPr>
        <w:t>江苏大学学报</w:t>
      </w:r>
      <w:r>
        <w:rPr>
          <w:rFonts w:hint="eastAsia" w:ascii="宋体" w:hAnsi="宋体" w:eastAsia="宋体" w:cs="宋体"/>
          <w:lang w:eastAsia="zh-CN"/>
        </w:rPr>
        <w:t>》</w:t>
      </w:r>
      <w:r>
        <w:rPr>
          <w:rFonts w:hint="eastAsia" w:ascii="宋体" w:hAnsi="宋体" w:eastAsia="宋体" w:cs="宋体"/>
        </w:rPr>
        <w:t>(社会科学版)</w:t>
      </w:r>
      <w:r>
        <w:rPr>
          <w:rFonts w:hint="eastAsia" w:ascii="宋体" w:hAnsi="宋体" w:eastAsia="宋体" w:cs="宋体"/>
          <w:lang w:eastAsia="zh-CN"/>
        </w:rPr>
        <w:t>，</w:t>
      </w:r>
      <w:r>
        <w:rPr>
          <w:rFonts w:hint="eastAsia" w:ascii="宋体" w:hAnsi="宋体" w:eastAsia="宋体" w:cs="宋体"/>
        </w:rPr>
        <w:t>2023</w:t>
      </w:r>
      <w:r>
        <w:rPr>
          <w:rFonts w:hint="eastAsia" w:ascii="宋体" w:hAnsi="宋体" w:eastAsia="宋体" w:cs="宋体"/>
          <w:lang w:val="en-US" w:eastAsia="zh-CN"/>
        </w:rPr>
        <w:t>年第5期。</w:t>
      </w:r>
    </w:p>
  </w:footnote>
  <w:footnote w:id="1025">
    <w:p w14:paraId="374AD563">
      <w:pPr>
        <w:pStyle w:val="11"/>
        <w:snapToGrid w:val="0"/>
        <w:rPr>
          <w:rFonts w:hint="default" w:eastAsiaTheme="minorEastAsia"/>
          <w:lang w:val="en-US" w:eastAsia="zh-CN"/>
        </w:rPr>
      </w:pPr>
      <w:r>
        <w:rPr>
          <w:rStyle w:val="20"/>
        </w:rPr>
        <w:footnoteRef/>
      </w:r>
      <w:r>
        <w:t xml:space="preserve"> </w:t>
      </w:r>
      <w:r>
        <w:rPr>
          <w:rFonts w:hint="eastAsia"/>
          <w:lang w:val="en-US" w:eastAsia="zh-CN"/>
        </w:rPr>
        <w:t>尼克·斯尔尼塞克：《平台资本主义》，程水英译， 广州：广东人民出版社,，2018年，第7页。</w:t>
      </w:r>
    </w:p>
  </w:footnote>
  <w:footnote w:id="1026">
    <w:p w14:paraId="183ED3E7">
      <w:pPr>
        <w:pStyle w:val="11"/>
        <w:snapToGrid w:val="0"/>
      </w:pPr>
      <w:r>
        <w:rPr>
          <w:rStyle w:val="20"/>
        </w:rPr>
        <w:footnoteRef/>
      </w:r>
      <w:r>
        <w:rPr>
          <w:color w:val="231F20"/>
          <w:spacing w:val="-1"/>
          <w:sz w:val="17"/>
          <w:szCs w:val="17"/>
        </w:rPr>
        <w:t>《中央经济工作会议在北京举行》，《人民日报》2015年12月</w:t>
      </w:r>
      <w:r>
        <w:rPr>
          <w:color w:val="231F20"/>
          <w:spacing w:val="-2"/>
          <w:sz w:val="17"/>
          <w:szCs w:val="17"/>
        </w:rPr>
        <w:t>22日，第1版。</w:t>
      </w:r>
    </w:p>
  </w:footnote>
  <w:footnote w:id="1027">
    <w:p w14:paraId="07BABD9D">
      <w:pPr>
        <w:pStyle w:val="11"/>
        <w:snapToGrid w:val="0"/>
      </w:pPr>
      <w:r>
        <w:rPr>
          <w:rStyle w:val="20"/>
        </w:rPr>
        <w:footnoteRef/>
      </w:r>
      <w:r>
        <w:rPr>
          <w:rFonts w:hint="eastAsia" w:ascii="宋体" w:hAnsi="宋体" w:eastAsia="宋体" w:cs="宋体"/>
          <w:color w:val="231F20"/>
          <w:spacing w:val="1"/>
          <w:sz w:val="21"/>
          <w:szCs w:val="21"/>
        </w:rPr>
        <w:t>习近平：《在哲学社会科学工作座谈会上的讲话》，人民出版社2016年版，第14页。</w:t>
      </w:r>
    </w:p>
  </w:footnote>
  <w:footnote w:id="1028">
    <w:p w14:paraId="4F35E120">
      <w:pPr>
        <w:pStyle w:val="11"/>
        <w:snapToGrid w:val="0"/>
      </w:pPr>
      <w:r>
        <w:rPr>
          <w:rStyle w:val="20"/>
        </w:rPr>
        <w:footnoteRef/>
      </w:r>
      <w:r>
        <w:rPr>
          <w:rFonts w:hint="eastAsia" w:ascii="宋体" w:hAnsi="宋体" w:eastAsia="宋体" w:cs="宋体"/>
          <w:color w:val="231F20"/>
          <w:spacing w:val="-1"/>
          <w:sz w:val="21"/>
          <w:szCs w:val="21"/>
        </w:rPr>
        <w:t>习近平：《不断开拓马克思主义政治经济学的新境界》，《求是》2020年第16期。</w:t>
      </w:r>
    </w:p>
  </w:footnote>
  <w:footnote w:id="1029">
    <w:p w14:paraId="7C9DB96A">
      <w:pPr>
        <w:pStyle w:val="11"/>
        <w:snapToGrid w:val="0"/>
      </w:pPr>
      <w:r>
        <w:rPr>
          <w:rStyle w:val="20"/>
        </w:rPr>
        <w:footnoteRef/>
      </w:r>
      <w:r>
        <w:rPr>
          <w:rFonts w:hint="eastAsia" w:ascii="宋体" w:hAnsi="宋体" w:eastAsia="宋体" w:cs="宋体"/>
          <w:color w:val="231F20"/>
          <w:spacing w:val="9"/>
          <w:sz w:val="21"/>
          <w:szCs w:val="21"/>
        </w:rPr>
        <w:t>《习近平在中国人民大学考察时强调坚持党的领导传承红色基因扎根中国大地走出一条建设中</w:t>
      </w:r>
      <w:r>
        <w:rPr>
          <w:rFonts w:hint="eastAsia" w:ascii="宋体" w:hAnsi="宋体" w:eastAsia="宋体" w:cs="宋体"/>
          <w:color w:val="231F20"/>
          <w:spacing w:val="-2"/>
          <w:sz w:val="21"/>
          <w:szCs w:val="21"/>
        </w:rPr>
        <w:t>国特色世界一流大学新路》，《人民日报》2022年4月26日，第1版</w:t>
      </w:r>
    </w:p>
  </w:footnote>
  <w:footnote w:id="1030">
    <w:p w14:paraId="6D42317C">
      <w:pPr>
        <w:pStyle w:val="11"/>
        <w:snapToGrid w:val="0"/>
      </w:pPr>
      <w:r>
        <w:rPr>
          <w:rStyle w:val="20"/>
        </w:rPr>
        <w:footnoteRef/>
      </w:r>
      <w:r>
        <w:rPr>
          <w:rFonts w:hint="eastAsia" w:ascii="宋体" w:hAnsi="宋体" w:eastAsia="宋体" w:cs="宋体"/>
          <w:color w:val="231F20"/>
          <w:spacing w:val="-2"/>
          <w:sz w:val="21"/>
          <w:szCs w:val="21"/>
        </w:rPr>
        <w:t>程恩富：《21世纪：重建中国经济学》，《社会科学报》1994年4月7日，第1版。</w:t>
      </w:r>
    </w:p>
  </w:footnote>
  <w:footnote w:id="1031">
    <w:p w14:paraId="79C68587">
      <w:pPr>
        <w:pStyle w:val="11"/>
        <w:snapToGrid w:val="0"/>
      </w:pPr>
      <w:r>
        <w:rPr>
          <w:rStyle w:val="20"/>
        </w:rPr>
        <w:footnoteRef/>
      </w:r>
      <w:r>
        <w:rPr>
          <w:rFonts w:hint="eastAsia" w:ascii="宋体" w:hAnsi="宋体" w:eastAsia="宋体" w:cs="宋体"/>
          <w:color w:val="231F20"/>
          <w:spacing w:val="6"/>
          <w:sz w:val="21"/>
          <w:szCs w:val="21"/>
        </w:rPr>
        <w:t>《中共中央宣传部、教育部联合印发〈面向2035高校哲学社会科学</w:t>
      </w:r>
      <w:r>
        <w:rPr>
          <w:rFonts w:hint="eastAsia" w:ascii="宋体" w:hAnsi="宋体" w:eastAsia="宋体" w:cs="宋体"/>
          <w:color w:val="231F20"/>
          <w:spacing w:val="5"/>
          <w:sz w:val="21"/>
          <w:szCs w:val="21"/>
        </w:rPr>
        <w:t>高质量发展行动计划〉》，</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"http://" </w:instrText>
      </w:r>
      <w:r>
        <w:rPr>
          <w:rFonts w:hint="eastAsia" w:ascii="宋体" w:hAnsi="宋体" w:eastAsia="宋体" w:cs="宋体"/>
          <w:sz w:val="21"/>
          <w:szCs w:val="21"/>
        </w:rPr>
        <w:fldChar w:fldCharType="separate"/>
      </w:r>
      <w:r>
        <w:rPr>
          <w:rFonts w:hint="eastAsia" w:ascii="宋体" w:hAnsi="宋体" w:eastAsia="宋体" w:cs="宋体"/>
          <w:color w:val="231F20"/>
          <w:sz w:val="21"/>
          <w:szCs w:val="21"/>
        </w:rPr>
        <w:t>http</w:t>
      </w:r>
      <w:r>
        <w:rPr>
          <w:rFonts w:hint="eastAsia" w:ascii="宋体" w:hAnsi="宋体" w:eastAsia="宋体" w:cs="宋体"/>
          <w:color w:val="231F20"/>
          <w:spacing w:val="5"/>
          <w:sz w:val="21"/>
          <w:szCs w:val="21"/>
        </w:rPr>
        <w:t>://</w:t>
      </w:r>
      <w:r>
        <w:rPr>
          <w:rFonts w:hint="eastAsia" w:ascii="宋体" w:hAnsi="宋体" w:eastAsia="宋体" w:cs="宋体"/>
          <w:color w:val="231F20"/>
          <w:spacing w:val="5"/>
          <w:sz w:val="21"/>
          <w:szCs w:val="21"/>
        </w:rPr>
        <w:fldChar w:fldCharType="end"/>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"https://www.moe.gov.cn/jyb_xwfb/gzdt_gzdt/s5987/202205/t20220527_631453.html" </w:instrText>
      </w:r>
      <w:r>
        <w:rPr>
          <w:rFonts w:hint="eastAsia" w:ascii="宋体" w:hAnsi="宋体" w:eastAsia="宋体" w:cs="宋体"/>
          <w:sz w:val="21"/>
          <w:szCs w:val="21"/>
        </w:rPr>
        <w:fldChar w:fldCharType="separate"/>
      </w:r>
      <w:r>
        <w:rPr>
          <w:rFonts w:hint="eastAsia" w:ascii="宋体" w:hAnsi="宋体" w:eastAsia="宋体" w:cs="宋体"/>
          <w:color w:val="231F20"/>
          <w:sz w:val="21"/>
          <w:szCs w:val="21"/>
        </w:rPr>
        <w:t>www</w:t>
      </w:r>
      <w:r>
        <w:rPr>
          <w:rFonts w:hint="eastAsia" w:ascii="宋体" w:hAnsi="宋体" w:eastAsia="宋体" w:cs="宋体"/>
          <w:color w:val="231F20"/>
          <w:spacing w:val="8"/>
          <w:sz w:val="21"/>
          <w:szCs w:val="21"/>
        </w:rPr>
        <w:t>.</w:t>
      </w:r>
      <w:r>
        <w:rPr>
          <w:rFonts w:hint="eastAsia" w:ascii="宋体" w:hAnsi="宋体" w:eastAsia="宋体" w:cs="宋体"/>
          <w:color w:val="231F20"/>
          <w:sz w:val="21"/>
          <w:szCs w:val="21"/>
        </w:rPr>
        <w:t>moe</w:t>
      </w:r>
      <w:r>
        <w:rPr>
          <w:rFonts w:hint="eastAsia" w:ascii="宋体" w:hAnsi="宋体" w:eastAsia="宋体" w:cs="宋体"/>
          <w:color w:val="231F20"/>
          <w:spacing w:val="8"/>
          <w:sz w:val="21"/>
          <w:szCs w:val="21"/>
        </w:rPr>
        <w:t>.</w:t>
      </w:r>
      <w:r>
        <w:rPr>
          <w:rFonts w:hint="eastAsia" w:ascii="宋体" w:hAnsi="宋体" w:eastAsia="宋体" w:cs="宋体"/>
          <w:color w:val="231F20"/>
          <w:sz w:val="21"/>
          <w:szCs w:val="21"/>
        </w:rPr>
        <w:t>gov</w:t>
      </w:r>
      <w:r>
        <w:rPr>
          <w:rFonts w:hint="eastAsia" w:ascii="宋体" w:hAnsi="宋体" w:eastAsia="宋体" w:cs="宋体"/>
          <w:color w:val="231F20"/>
          <w:spacing w:val="8"/>
          <w:sz w:val="21"/>
          <w:szCs w:val="21"/>
        </w:rPr>
        <w:t>.</w:t>
      </w:r>
      <w:r>
        <w:rPr>
          <w:rFonts w:hint="eastAsia" w:ascii="宋体" w:hAnsi="宋体" w:eastAsia="宋体" w:cs="宋体"/>
          <w:color w:val="231F20"/>
          <w:sz w:val="21"/>
          <w:szCs w:val="21"/>
        </w:rPr>
        <w:t>cn</w:t>
      </w:r>
      <w:r>
        <w:rPr>
          <w:rFonts w:hint="eastAsia" w:ascii="宋体" w:hAnsi="宋体" w:eastAsia="宋体" w:cs="宋体"/>
          <w:color w:val="231F20"/>
          <w:spacing w:val="8"/>
          <w:sz w:val="21"/>
          <w:szCs w:val="21"/>
        </w:rPr>
        <w:t>/</w:t>
      </w:r>
      <w:r>
        <w:rPr>
          <w:rFonts w:hint="eastAsia" w:ascii="宋体" w:hAnsi="宋体" w:eastAsia="宋体" w:cs="宋体"/>
          <w:color w:val="231F20"/>
          <w:sz w:val="21"/>
          <w:szCs w:val="21"/>
        </w:rPr>
        <w:t>jyb</w:t>
      </w:r>
      <w:r>
        <w:rPr>
          <w:rFonts w:hint="eastAsia" w:ascii="宋体" w:hAnsi="宋体" w:eastAsia="宋体" w:cs="宋体"/>
          <w:color w:val="231F20"/>
          <w:spacing w:val="8"/>
          <w:sz w:val="21"/>
          <w:szCs w:val="21"/>
        </w:rPr>
        <w:t>_</w:t>
      </w:r>
      <w:r>
        <w:rPr>
          <w:rFonts w:hint="eastAsia" w:ascii="宋体" w:hAnsi="宋体" w:eastAsia="宋体" w:cs="宋体"/>
          <w:color w:val="231F20"/>
          <w:sz w:val="21"/>
          <w:szCs w:val="21"/>
        </w:rPr>
        <w:t>xwfb</w:t>
      </w:r>
      <w:r>
        <w:rPr>
          <w:rFonts w:hint="eastAsia" w:ascii="宋体" w:hAnsi="宋体" w:eastAsia="宋体" w:cs="宋体"/>
          <w:color w:val="231F20"/>
          <w:spacing w:val="8"/>
          <w:sz w:val="21"/>
          <w:szCs w:val="21"/>
        </w:rPr>
        <w:t>/</w:t>
      </w:r>
      <w:r>
        <w:rPr>
          <w:rFonts w:hint="eastAsia" w:ascii="宋体" w:hAnsi="宋体" w:eastAsia="宋体" w:cs="宋体"/>
          <w:color w:val="231F20"/>
          <w:sz w:val="21"/>
          <w:szCs w:val="21"/>
        </w:rPr>
        <w:t>gzdt</w:t>
      </w:r>
      <w:r>
        <w:rPr>
          <w:rFonts w:hint="eastAsia" w:ascii="宋体" w:hAnsi="宋体" w:eastAsia="宋体" w:cs="宋体"/>
          <w:color w:val="231F20"/>
          <w:spacing w:val="8"/>
          <w:sz w:val="21"/>
          <w:szCs w:val="21"/>
        </w:rPr>
        <w:t>_</w:t>
      </w:r>
      <w:r>
        <w:rPr>
          <w:rFonts w:hint="eastAsia" w:ascii="宋体" w:hAnsi="宋体" w:eastAsia="宋体" w:cs="宋体"/>
          <w:color w:val="231F20"/>
          <w:sz w:val="21"/>
          <w:szCs w:val="21"/>
        </w:rPr>
        <w:t>gzdt</w:t>
      </w:r>
      <w:r>
        <w:rPr>
          <w:rFonts w:hint="eastAsia" w:ascii="宋体" w:hAnsi="宋体" w:eastAsia="宋体" w:cs="宋体"/>
          <w:color w:val="231F20"/>
          <w:spacing w:val="8"/>
          <w:sz w:val="21"/>
          <w:szCs w:val="21"/>
        </w:rPr>
        <w:t>/s5987/202205/t20</w:t>
      </w:r>
      <w:r>
        <w:rPr>
          <w:rFonts w:hint="eastAsia" w:ascii="宋体" w:hAnsi="宋体" w:eastAsia="宋体" w:cs="宋体"/>
          <w:color w:val="231F20"/>
          <w:spacing w:val="7"/>
          <w:sz w:val="21"/>
          <w:szCs w:val="21"/>
        </w:rPr>
        <w:t>220527_631453.</w:t>
      </w:r>
      <w:r>
        <w:rPr>
          <w:rFonts w:hint="eastAsia" w:ascii="宋体" w:hAnsi="宋体" w:eastAsia="宋体" w:cs="宋体"/>
          <w:color w:val="231F20"/>
          <w:sz w:val="21"/>
          <w:szCs w:val="21"/>
        </w:rPr>
        <w:t>html</w:t>
      </w:r>
      <w:r>
        <w:rPr>
          <w:rFonts w:hint="eastAsia" w:ascii="宋体" w:hAnsi="宋体" w:eastAsia="宋体" w:cs="宋体"/>
          <w:color w:val="231F20"/>
          <w:sz w:val="21"/>
          <w:szCs w:val="21"/>
        </w:rPr>
        <w:fldChar w:fldCharType="end"/>
      </w:r>
    </w:p>
  </w:footnote>
  <w:footnote w:id="1032">
    <w:p w14:paraId="3BAF7AA0">
      <w:pPr>
        <w:pStyle w:val="11"/>
        <w:snapToGrid w:val="0"/>
      </w:pPr>
      <w:r>
        <w:rPr>
          <w:rStyle w:val="20"/>
        </w:rPr>
        <w:footnoteRef/>
      </w:r>
      <w:r>
        <w:rPr>
          <w:rFonts w:ascii="微软雅黑" w:hAnsi="微软雅黑" w:eastAsia="微软雅黑" w:cs="微软雅黑"/>
          <w:spacing w:val="13"/>
        </w:rPr>
        <w:t>《</w:t>
      </w:r>
      <w:r>
        <w:rPr>
          <w:spacing w:val="13"/>
        </w:rPr>
        <w:t>中共中央关于进一步全面深化改革</w:t>
      </w:r>
      <w:r>
        <w:rPr>
          <w:rFonts w:ascii="微软雅黑" w:hAnsi="微软雅黑" w:eastAsia="微软雅黑" w:cs="微软雅黑"/>
          <w:spacing w:val="13"/>
        </w:rPr>
        <w:t>、</w:t>
      </w:r>
      <w:r>
        <w:rPr>
          <w:spacing w:val="13"/>
        </w:rPr>
        <w:t>推进中国式现代化的决</w:t>
      </w:r>
      <w:r>
        <w:rPr>
          <w:spacing w:val="12"/>
        </w:rPr>
        <w:t>定</w:t>
      </w:r>
      <w:r>
        <w:rPr>
          <w:rFonts w:ascii="微软雅黑" w:hAnsi="微软雅黑" w:eastAsia="微软雅黑" w:cs="微软雅黑"/>
          <w:spacing w:val="12"/>
        </w:rPr>
        <w:t>》,</w:t>
      </w:r>
      <w:r>
        <w:rPr>
          <w:spacing w:val="12"/>
        </w:rPr>
        <w:t>北京</w:t>
      </w:r>
      <w:r>
        <w:rPr>
          <w:rFonts w:ascii="微软雅黑" w:hAnsi="微软雅黑" w:eastAsia="微软雅黑" w:cs="微软雅黑"/>
          <w:spacing w:val="12"/>
        </w:rPr>
        <w:t>:</w:t>
      </w:r>
      <w:r>
        <w:rPr>
          <w:spacing w:val="12"/>
        </w:rPr>
        <w:t>人民出版社</w:t>
      </w:r>
      <w:r>
        <w:rPr>
          <w:rFonts w:ascii="微软雅黑" w:hAnsi="微软雅黑" w:eastAsia="微软雅黑" w:cs="微软雅黑"/>
          <w:spacing w:val="12"/>
          <w:position w:val="-1"/>
        </w:rPr>
        <w:t>2024</w:t>
      </w:r>
      <w:r>
        <w:rPr>
          <w:spacing w:val="12"/>
        </w:rPr>
        <w:t>年版</w:t>
      </w:r>
      <w:r>
        <w:rPr>
          <w:rFonts w:ascii="微软雅黑" w:hAnsi="微软雅黑" w:eastAsia="微软雅黑" w:cs="微软雅黑"/>
          <w:spacing w:val="12"/>
        </w:rPr>
        <w:t>,</w:t>
      </w:r>
      <w:r>
        <w:rPr>
          <w:spacing w:val="12"/>
        </w:rPr>
        <w:t>第</w:t>
      </w:r>
      <w:r>
        <w:rPr>
          <w:rFonts w:ascii="微软雅黑" w:hAnsi="微软雅黑" w:eastAsia="微软雅黑" w:cs="微软雅黑"/>
          <w:spacing w:val="12"/>
          <w:position w:val="-1"/>
        </w:rPr>
        <w:t>5</w:t>
      </w:r>
      <w:r>
        <w:rPr>
          <w:spacing w:val="12"/>
        </w:rPr>
        <w:t>页</w:t>
      </w:r>
      <w:r>
        <w:rPr>
          <w:rFonts w:ascii="微软雅黑" w:hAnsi="微软雅黑" w:eastAsia="微软雅黑" w:cs="微软雅黑"/>
          <w:spacing w:val="12"/>
        </w:rPr>
        <w:t>。</w:t>
      </w:r>
    </w:p>
  </w:footnote>
  <w:footnote w:id="1033">
    <w:p w14:paraId="4B58FDFE">
      <w:pPr>
        <w:pStyle w:val="11"/>
        <w:snapToGrid w:val="0"/>
      </w:pPr>
      <w:r>
        <w:rPr>
          <w:rStyle w:val="20"/>
        </w:rPr>
        <w:footnoteRef/>
      </w:r>
      <w:r>
        <w:rPr>
          <w:spacing w:val="6"/>
        </w:rPr>
        <w:t>周文</w:t>
      </w:r>
      <w:r>
        <w:rPr>
          <w:rFonts w:ascii="微软雅黑" w:hAnsi="微软雅黑" w:eastAsia="微软雅黑" w:cs="微软雅黑"/>
          <w:spacing w:val="6"/>
        </w:rPr>
        <w:t>,</w:t>
      </w:r>
      <w:r>
        <w:rPr>
          <w:spacing w:val="6"/>
        </w:rPr>
        <w:t>韩文龙</w:t>
      </w:r>
      <w:r>
        <w:rPr>
          <w:rFonts w:ascii="微软雅黑" w:hAnsi="微软雅黑" w:eastAsia="微软雅黑" w:cs="微软雅黑"/>
          <w:spacing w:val="6"/>
        </w:rPr>
        <w:t>:《</w:t>
      </w:r>
      <w:r>
        <w:rPr>
          <w:spacing w:val="6"/>
        </w:rPr>
        <w:t>数字财富的创造</w:t>
      </w:r>
      <w:r>
        <w:rPr>
          <w:rFonts w:ascii="微软雅黑" w:hAnsi="微软雅黑" w:eastAsia="微软雅黑" w:cs="微软雅黑"/>
          <w:spacing w:val="6"/>
        </w:rPr>
        <w:t>、</w:t>
      </w:r>
      <w:r>
        <w:rPr>
          <w:spacing w:val="6"/>
        </w:rPr>
        <w:t>分配与共同富裕</w:t>
      </w:r>
      <w:r>
        <w:rPr>
          <w:rFonts w:ascii="微软雅黑" w:hAnsi="微软雅黑" w:eastAsia="微软雅黑" w:cs="微软雅黑"/>
          <w:spacing w:val="6"/>
        </w:rPr>
        <w:t>》,</w:t>
      </w:r>
      <w:r>
        <w:rPr>
          <w:spacing w:val="6"/>
        </w:rPr>
        <w:t>载</w:t>
      </w:r>
      <w:r>
        <w:rPr>
          <w:rFonts w:ascii="微软雅黑" w:hAnsi="微软雅黑" w:eastAsia="微软雅黑" w:cs="微软雅黑"/>
          <w:spacing w:val="6"/>
        </w:rPr>
        <w:t>《</w:t>
      </w:r>
      <w:r>
        <w:rPr>
          <w:spacing w:val="6"/>
        </w:rPr>
        <w:t>中国社会科学</w:t>
      </w:r>
      <w:r>
        <w:rPr>
          <w:rFonts w:ascii="微软雅黑" w:hAnsi="微软雅黑" w:eastAsia="微软雅黑" w:cs="微软雅黑"/>
          <w:spacing w:val="6"/>
        </w:rPr>
        <w:t>》2023</w:t>
      </w:r>
      <w:r>
        <w:rPr>
          <w:spacing w:val="6"/>
        </w:rPr>
        <w:t>年第</w:t>
      </w:r>
      <w:r>
        <w:rPr>
          <w:rFonts w:ascii="微软雅黑" w:hAnsi="微软雅黑" w:eastAsia="微软雅黑" w:cs="微软雅黑"/>
          <w:spacing w:val="6"/>
          <w:position w:val="-1"/>
        </w:rPr>
        <w:t>10</w:t>
      </w:r>
      <w:r>
        <w:rPr>
          <w:spacing w:val="6"/>
        </w:rPr>
        <w:t>期</w:t>
      </w:r>
      <w:r>
        <w:rPr>
          <w:rFonts w:ascii="微软雅黑" w:hAnsi="微软雅黑" w:eastAsia="微软雅黑" w:cs="微软雅黑"/>
          <w:spacing w:val="6"/>
        </w:rPr>
        <w:t>。</w:t>
      </w:r>
    </w:p>
  </w:footnote>
  <w:footnote w:id="1034">
    <w:p w14:paraId="18AF82B5">
      <w:pPr>
        <w:pStyle w:val="11"/>
        <w:snapToGrid w:val="0"/>
      </w:pPr>
      <w:r>
        <w:rPr>
          <w:rStyle w:val="20"/>
        </w:rPr>
        <w:footnoteRef/>
      </w:r>
      <w:r>
        <w:rPr>
          <w:spacing w:val="11"/>
        </w:rPr>
        <w:t>万广华</w:t>
      </w:r>
      <w:r>
        <w:rPr>
          <w:rFonts w:ascii="微软雅黑" w:hAnsi="微软雅黑" w:eastAsia="微软雅黑" w:cs="微软雅黑"/>
          <w:spacing w:val="11"/>
        </w:rPr>
        <w:t>:《</w:t>
      </w:r>
      <w:r>
        <w:rPr>
          <w:spacing w:val="11"/>
        </w:rPr>
        <w:t>中国式现代化视域下数字经济的共同富裕效应</w:t>
      </w:r>
      <w:r>
        <w:rPr>
          <w:rFonts w:ascii="微软雅黑" w:hAnsi="微软雅黑" w:eastAsia="微软雅黑" w:cs="微软雅黑"/>
          <w:spacing w:val="10"/>
        </w:rPr>
        <w:t>:</w:t>
      </w:r>
      <w:r>
        <w:rPr>
          <w:spacing w:val="10"/>
        </w:rPr>
        <w:t>方法与证据</w:t>
      </w:r>
      <w:r>
        <w:rPr>
          <w:rFonts w:ascii="微软雅黑" w:hAnsi="微软雅黑" w:eastAsia="微软雅黑" w:cs="微软雅黑"/>
          <w:spacing w:val="10"/>
        </w:rPr>
        <w:t>》,</w:t>
      </w:r>
      <w:r>
        <w:rPr>
          <w:spacing w:val="10"/>
        </w:rPr>
        <w:t>载</w:t>
      </w:r>
      <w:r>
        <w:rPr>
          <w:rFonts w:ascii="微软雅黑" w:hAnsi="微软雅黑" w:eastAsia="微软雅黑" w:cs="微软雅黑"/>
          <w:spacing w:val="10"/>
        </w:rPr>
        <w:t>《</w:t>
      </w:r>
      <w:r>
        <w:rPr>
          <w:spacing w:val="10"/>
        </w:rPr>
        <w:t>经济研究</w:t>
      </w:r>
      <w:r>
        <w:rPr>
          <w:rFonts w:ascii="微软雅黑" w:hAnsi="微软雅黑" w:eastAsia="微软雅黑" w:cs="微软雅黑"/>
          <w:spacing w:val="10"/>
        </w:rPr>
        <w:t>》2024</w:t>
      </w:r>
      <w:r>
        <w:rPr>
          <w:spacing w:val="10"/>
        </w:rPr>
        <w:t>年第</w:t>
      </w:r>
      <w:r>
        <w:rPr>
          <w:rFonts w:ascii="微软雅黑" w:hAnsi="微软雅黑" w:eastAsia="微软雅黑" w:cs="微软雅黑"/>
          <w:spacing w:val="10"/>
          <w:position w:val="-2"/>
        </w:rPr>
        <w:t>6</w:t>
      </w:r>
      <w:r>
        <w:rPr>
          <w:spacing w:val="10"/>
        </w:rPr>
        <w:t>期</w:t>
      </w:r>
      <w:r>
        <w:rPr>
          <w:rFonts w:ascii="微软雅黑" w:hAnsi="微软雅黑" w:eastAsia="微软雅黑" w:cs="微软雅黑"/>
          <w:spacing w:val="10"/>
        </w:rPr>
        <w:t>。</w:t>
      </w:r>
    </w:p>
  </w:footnote>
  <w:footnote w:id="1035">
    <w:p w14:paraId="0FC658CA">
      <w:pPr>
        <w:pStyle w:val="11"/>
        <w:snapToGrid w:val="0"/>
      </w:pPr>
      <w:r>
        <w:rPr>
          <w:rStyle w:val="20"/>
        </w:rPr>
        <w:footnoteRef/>
      </w:r>
      <w:r>
        <w:rPr>
          <w:spacing w:val="8"/>
        </w:rPr>
        <w:t>何自力</w:t>
      </w:r>
      <w:r>
        <w:rPr>
          <w:rFonts w:ascii="微软雅黑" w:hAnsi="微软雅黑" w:eastAsia="微软雅黑" w:cs="微软雅黑"/>
          <w:spacing w:val="8"/>
        </w:rPr>
        <w:t>、</w:t>
      </w:r>
      <w:r>
        <w:rPr>
          <w:spacing w:val="8"/>
        </w:rPr>
        <w:t>彭李政</w:t>
      </w:r>
      <w:r>
        <w:rPr>
          <w:rFonts w:ascii="微软雅黑" w:hAnsi="微软雅黑" w:eastAsia="微软雅黑" w:cs="微软雅黑"/>
          <w:spacing w:val="8"/>
        </w:rPr>
        <w:t>:《</w:t>
      </w:r>
      <w:r>
        <w:rPr>
          <w:spacing w:val="8"/>
        </w:rPr>
        <w:t>试析数字资本主义劳资关系的新变化</w:t>
      </w:r>
      <w:r>
        <w:rPr>
          <w:rFonts w:ascii="微软雅黑" w:hAnsi="微软雅黑" w:eastAsia="微软雅黑" w:cs="微软雅黑"/>
          <w:spacing w:val="8"/>
        </w:rPr>
        <w:t>》,</w:t>
      </w:r>
      <w:r>
        <w:rPr>
          <w:spacing w:val="8"/>
        </w:rPr>
        <w:t>载</w:t>
      </w:r>
      <w:r>
        <w:rPr>
          <w:rFonts w:ascii="微软雅黑" w:hAnsi="微软雅黑" w:eastAsia="微软雅黑" w:cs="微软雅黑"/>
          <w:spacing w:val="8"/>
        </w:rPr>
        <w:t>《</w:t>
      </w:r>
      <w:r>
        <w:rPr>
          <w:spacing w:val="8"/>
        </w:rPr>
        <w:t>当代经济研究</w:t>
      </w:r>
      <w:r>
        <w:rPr>
          <w:rFonts w:ascii="微软雅黑" w:hAnsi="微软雅黑" w:eastAsia="微软雅黑" w:cs="微软雅黑"/>
          <w:spacing w:val="8"/>
        </w:rPr>
        <w:t>》</w:t>
      </w:r>
      <w:r>
        <w:rPr>
          <w:rFonts w:ascii="微软雅黑" w:hAnsi="微软雅黑" w:eastAsia="微软雅黑" w:cs="微软雅黑"/>
          <w:spacing w:val="7"/>
        </w:rPr>
        <w:t>2024</w:t>
      </w:r>
      <w:r>
        <w:rPr>
          <w:spacing w:val="7"/>
        </w:rPr>
        <w:t>年第</w:t>
      </w:r>
      <w:r>
        <w:rPr>
          <w:rFonts w:ascii="微软雅黑" w:hAnsi="微软雅黑" w:eastAsia="微软雅黑" w:cs="微软雅黑"/>
          <w:spacing w:val="7"/>
          <w:position w:val="-2"/>
        </w:rPr>
        <w:t>3</w:t>
      </w:r>
      <w:r>
        <w:rPr>
          <w:spacing w:val="7"/>
        </w:rPr>
        <w:t>期</w:t>
      </w:r>
      <w:r>
        <w:rPr>
          <w:rFonts w:ascii="微软雅黑" w:hAnsi="微软雅黑" w:eastAsia="微软雅黑" w:cs="微软雅黑"/>
          <w:spacing w:val="7"/>
        </w:rPr>
        <w:t>。</w:t>
      </w:r>
    </w:p>
  </w:footnote>
  <w:footnote w:id="1036">
    <w:p w14:paraId="5C1CBC65">
      <w:pPr>
        <w:pStyle w:val="11"/>
        <w:snapToGrid w:val="0"/>
      </w:pPr>
      <w:r>
        <w:rPr>
          <w:rStyle w:val="20"/>
        </w:rPr>
        <w:footnoteRef/>
      </w:r>
      <w:r>
        <w:rPr>
          <w:rFonts w:ascii="微软雅黑" w:hAnsi="微软雅黑" w:eastAsia="微软雅黑" w:cs="微软雅黑"/>
          <w:spacing w:val="11"/>
        </w:rPr>
        <w:t>《</w:t>
      </w:r>
      <w:r>
        <w:rPr>
          <w:spacing w:val="11"/>
        </w:rPr>
        <w:t>马克思恩格斯全集</w:t>
      </w:r>
      <w:r>
        <w:rPr>
          <w:rFonts w:ascii="微软雅黑" w:hAnsi="微软雅黑" w:eastAsia="微软雅黑" w:cs="微软雅黑"/>
          <w:spacing w:val="11"/>
        </w:rPr>
        <w:t>》</w:t>
      </w:r>
      <w:r>
        <w:rPr>
          <w:spacing w:val="11"/>
        </w:rPr>
        <w:t>第</w:t>
      </w:r>
      <w:r>
        <w:rPr>
          <w:rFonts w:ascii="微软雅黑" w:hAnsi="微软雅黑" w:eastAsia="微软雅黑" w:cs="微软雅黑"/>
          <w:spacing w:val="11"/>
          <w:position w:val="-1"/>
        </w:rPr>
        <w:t>46</w:t>
      </w:r>
      <w:r>
        <w:rPr>
          <w:spacing w:val="11"/>
        </w:rPr>
        <w:t>卷上册</w:t>
      </w:r>
      <w:r>
        <w:rPr>
          <w:rFonts w:ascii="微软雅黑" w:hAnsi="微软雅黑" w:eastAsia="微软雅黑" w:cs="微软雅黑"/>
          <w:spacing w:val="11"/>
        </w:rPr>
        <w:t>,</w:t>
      </w:r>
      <w:r>
        <w:rPr>
          <w:spacing w:val="11"/>
        </w:rPr>
        <w:t>北京</w:t>
      </w:r>
      <w:r>
        <w:rPr>
          <w:rFonts w:ascii="微软雅黑" w:hAnsi="微软雅黑" w:eastAsia="微软雅黑" w:cs="微软雅黑"/>
          <w:spacing w:val="11"/>
        </w:rPr>
        <w:t>:</w:t>
      </w:r>
      <w:r>
        <w:rPr>
          <w:spacing w:val="11"/>
        </w:rPr>
        <w:t>人民出版社</w:t>
      </w:r>
      <w:r>
        <w:rPr>
          <w:rFonts w:ascii="微软雅黑" w:hAnsi="微软雅黑" w:eastAsia="微软雅黑" w:cs="微软雅黑"/>
          <w:spacing w:val="11"/>
          <w:position w:val="-1"/>
        </w:rPr>
        <w:t>2016</w:t>
      </w:r>
      <w:r>
        <w:rPr>
          <w:spacing w:val="11"/>
        </w:rPr>
        <w:t>年版</w:t>
      </w:r>
      <w:r>
        <w:rPr>
          <w:rFonts w:ascii="微软雅黑" w:hAnsi="微软雅黑" w:eastAsia="微软雅黑" w:cs="微软雅黑"/>
          <w:spacing w:val="11"/>
        </w:rPr>
        <w:t>,</w:t>
      </w:r>
      <w:r>
        <w:rPr>
          <w:spacing w:val="10"/>
        </w:rPr>
        <w:t>第</w:t>
      </w:r>
      <w:r>
        <w:rPr>
          <w:rFonts w:ascii="微软雅黑" w:hAnsi="微软雅黑" w:eastAsia="微软雅黑" w:cs="微软雅黑"/>
          <w:spacing w:val="10"/>
          <w:position w:val="-1"/>
        </w:rPr>
        <w:t>287</w:t>
      </w:r>
      <w:r>
        <w:rPr>
          <w:spacing w:val="10"/>
        </w:rPr>
        <w:t>页</w:t>
      </w:r>
      <w:r>
        <w:rPr>
          <w:rFonts w:ascii="微软雅黑" w:hAnsi="微软雅黑" w:eastAsia="微软雅黑" w:cs="微软雅黑"/>
          <w:spacing w:val="10"/>
        </w:rPr>
        <w:t>。</w:t>
      </w:r>
    </w:p>
  </w:footnote>
  <w:footnote w:id="1037">
    <w:p w14:paraId="67064B5B">
      <w:pPr>
        <w:pStyle w:val="11"/>
        <w:snapToGrid w:val="0"/>
      </w:pPr>
      <w:r>
        <w:rPr>
          <w:rStyle w:val="20"/>
        </w:rPr>
        <w:footnoteRef/>
      </w:r>
      <w:r>
        <w:rPr>
          <w:rFonts w:ascii="微软雅黑" w:hAnsi="微软雅黑" w:eastAsia="微软雅黑" w:cs="微软雅黑"/>
          <w:spacing w:val="11"/>
        </w:rPr>
        <w:t>《</w:t>
      </w:r>
      <w:r>
        <w:rPr>
          <w:spacing w:val="11"/>
        </w:rPr>
        <w:t>马克思恩格斯全集</w:t>
      </w:r>
      <w:r>
        <w:rPr>
          <w:rFonts w:ascii="微软雅黑" w:hAnsi="微软雅黑" w:eastAsia="微软雅黑" w:cs="微软雅黑"/>
          <w:spacing w:val="11"/>
        </w:rPr>
        <w:t>》</w:t>
      </w:r>
      <w:r>
        <w:rPr>
          <w:spacing w:val="11"/>
        </w:rPr>
        <w:t>第</w:t>
      </w:r>
      <w:r>
        <w:rPr>
          <w:rFonts w:ascii="微软雅黑" w:hAnsi="微软雅黑" w:eastAsia="微软雅黑" w:cs="微软雅黑"/>
          <w:spacing w:val="11"/>
          <w:position w:val="-1"/>
        </w:rPr>
        <w:t>46</w:t>
      </w:r>
      <w:r>
        <w:rPr>
          <w:spacing w:val="11"/>
        </w:rPr>
        <w:t>卷下册</w:t>
      </w:r>
      <w:r>
        <w:rPr>
          <w:rFonts w:ascii="微软雅黑" w:hAnsi="微软雅黑" w:eastAsia="微软雅黑" w:cs="微软雅黑"/>
          <w:spacing w:val="11"/>
        </w:rPr>
        <w:t>,</w:t>
      </w:r>
      <w:r>
        <w:rPr>
          <w:spacing w:val="11"/>
        </w:rPr>
        <w:t>北京</w:t>
      </w:r>
      <w:r>
        <w:rPr>
          <w:rFonts w:ascii="微软雅黑" w:hAnsi="微软雅黑" w:eastAsia="微软雅黑" w:cs="微软雅黑"/>
          <w:spacing w:val="11"/>
        </w:rPr>
        <w:t>:</w:t>
      </w:r>
      <w:r>
        <w:rPr>
          <w:spacing w:val="11"/>
        </w:rPr>
        <w:t>人民出版社</w:t>
      </w:r>
      <w:r>
        <w:rPr>
          <w:rFonts w:ascii="微软雅黑" w:hAnsi="微软雅黑" w:eastAsia="微软雅黑" w:cs="微软雅黑"/>
          <w:spacing w:val="11"/>
          <w:position w:val="-1"/>
        </w:rPr>
        <w:t>2016</w:t>
      </w:r>
      <w:r>
        <w:rPr>
          <w:spacing w:val="11"/>
        </w:rPr>
        <w:t>年版</w:t>
      </w:r>
      <w:r>
        <w:rPr>
          <w:rFonts w:ascii="微软雅黑" w:hAnsi="微软雅黑" w:eastAsia="微软雅黑" w:cs="微软雅黑"/>
          <w:spacing w:val="11"/>
        </w:rPr>
        <w:t>,</w:t>
      </w:r>
      <w:r>
        <w:rPr>
          <w:spacing w:val="10"/>
        </w:rPr>
        <w:t>第</w:t>
      </w:r>
      <w:r>
        <w:rPr>
          <w:rFonts w:ascii="微软雅黑" w:hAnsi="微软雅黑" w:eastAsia="微软雅黑" w:cs="微软雅黑"/>
          <w:spacing w:val="10"/>
          <w:position w:val="-1"/>
        </w:rPr>
        <w:t>222</w:t>
      </w:r>
      <w:r>
        <w:rPr>
          <w:spacing w:val="10"/>
        </w:rPr>
        <w:t>页</w:t>
      </w:r>
      <w:r>
        <w:rPr>
          <w:rFonts w:ascii="微软雅黑" w:hAnsi="微软雅黑" w:eastAsia="微软雅黑" w:cs="微软雅黑"/>
          <w:spacing w:val="10"/>
        </w:rPr>
        <w:t>。</w:t>
      </w:r>
    </w:p>
  </w:footnote>
  <w:footnote w:id="1038">
    <w:p w14:paraId="08DA3122">
      <w:pPr>
        <w:pStyle w:val="11"/>
        <w:snapToGrid w:val="0"/>
      </w:pPr>
      <w:r>
        <w:rPr>
          <w:rStyle w:val="20"/>
        </w:rPr>
        <w:footnoteRef/>
      </w:r>
      <w:r>
        <w:rPr>
          <w:rFonts w:ascii="微软雅黑" w:hAnsi="微软雅黑" w:eastAsia="微软雅黑" w:cs="微软雅黑"/>
          <w:spacing w:val="11"/>
        </w:rPr>
        <w:t>《</w:t>
      </w:r>
      <w:r>
        <w:rPr>
          <w:spacing w:val="11"/>
        </w:rPr>
        <w:t>马克思恩格斯全集</w:t>
      </w:r>
      <w:r>
        <w:rPr>
          <w:rFonts w:ascii="微软雅黑" w:hAnsi="微软雅黑" w:eastAsia="微软雅黑" w:cs="微软雅黑"/>
          <w:spacing w:val="11"/>
        </w:rPr>
        <w:t>》</w:t>
      </w:r>
      <w:r>
        <w:rPr>
          <w:spacing w:val="11"/>
        </w:rPr>
        <w:t>第</w:t>
      </w:r>
      <w:r>
        <w:rPr>
          <w:rFonts w:ascii="微软雅黑" w:hAnsi="微软雅黑" w:eastAsia="微软雅黑" w:cs="微软雅黑"/>
          <w:spacing w:val="11"/>
          <w:position w:val="-1"/>
        </w:rPr>
        <w:t>46</w:t>
      </w:r>
      <w:r>
        <w:rPr>
          <w:spacing w:val="11"/>
        </w:rPr>
        <w:t>卷上册</w:t>
      </w:r>
      <w:r>
        <w:rPr>
          <w:rFonts w:ascii="微软雅黑" w:hAnsi="微软雅黑" w:eastAsia="微软雅黑" w:cs="微软雅黑"/>
          <w:spacing w:val="11"/>
        </w:rPr>
        <w:t>,</w:t>
      </w:r>
      <w:r>
        <w:rPr>
          <w:spacing w:val="11"/>
        </w:rPr>
        <w:t>北京</w:t>
      </w:r>
      <w:r>
        <w:rPr>
          <w:rFonts w:ascii="微软雅黑" w:hAnsi="微软雅黑" w:eastAsia="微软雅黑" w:cs="微软雅黑"/>
          <w:spacing w:val="11"/>
        </w:rPr>
        <w:t>:</w:t>
      </w:r>
      <w:r>
        <w:rPr>
          <w:spacing w:val="11"/>
        </w:rPr>
        <w:t>人民出版社</w:t>
      </w:r>
      <w:r>
        <w:rPr>
          <w:rFonts w:ascii="微软雅黑" w:hAnsi="微软雅黑" w:eastAsia="微软雅黑" w:cs="微软雅黑"/>
          <w:spacing w:val="11"/>
          <w:position w:val="-1"/>
        </w:rPr>
        <w:t>2016</w:t>
      </w:r>
      <w:r>
        <w:rPr>
          <w:spacing w:val="11"/>
        </w:rPr>
        <w:t>年版</w:t>
      </w:r>
      <w:r>
        <w:rPr>
          <w:rFonts w:ascii="微软雅黑" w:hAnsi="微软雅黑" w:eastAsia="微软雅黑" w:cs="微软雅黑"/>
          <w:spacing w:val="11"/>
        </w:rPr>
        <w:t>,</w:t>
      </w:r>
      <w:r>
        <w:rPr>
          <w:spacing w:val="10"/>
        </w:rPr>
        <w:t>第</w:t>
      </w:r>
      <w:r>
        <w:rPr>
          <w:rFonts w:ascii="微软雅黑" w:hAnsi="微软雅黑" w:eastAsia="微软雅黑" w:cs="微软雅黑"/>
          <w:spacing w:val="10"/>
          <w:position w:val="-1"/>
        </w:rPr>
        <w:t>226</w:t>
      </w:r>
      <w:r>
        <w:rPr>
          <w:spacing w:val="10"/>
        </w:rPr>
        <w:t>页</w:t>
      </w:r>
      <w:r>
        <w:rPr>
          <w:rFonts w:ascii="微软雅黑" w:hAnsi="微软雅黑" w:eastAsia="微软雅黑" w:cs="微软雅黑"/>
          <w:spacing w:val="10"/>
        </w:rPr>
        <w:t>。</w:t>
      </w:r>
    </w:p>
  </w:footnote>
  <w:footnote w:id="1039">
    <w:p w14:paraId="6D05472C">
      <w:pPr>
        <w:pStyle w:val="11"/>
        <w:snapToGrid w:val="0"/>
      </w:pPr>
      <w:r>
        <w:rPr>
          <w:rStyle w:val="20"/>
        </w:rPr>
        <w:footnoteRef/>
      </w:r>
      <w:r>
        <w:rPr>
          <w:spacing w:val="6"/>
        </w:rPr>
        <w:t>朱巧玲</w:t>
      </w:r>
      <w:r>
        <w:rPr>
          <w:rFonts w:ascii="微软雅黑" w:hAnsi="微软雅黑" w:eastAsia="微软雅黑" w:cs="微软雅黑"/>
          <w:spacing w:val="6"/>
        </w:rPr>
        <w:t>、</w:t>
      </w:r>
      <w:r>
        <w:rPr>
          <w:spacing w:val="6"/>
        </w:rPr>
        <w:t>杨剑刚</w:t>
      </w:r>
      <w:r>
        <w:rPr>
          <w:rFonts w:ascii="微软雅黑" w:hAnsi="微软雅黑" w:eastAsia="微软雅黑" w:cs="微软雅黑"/>
          <w:spacing w:val="6"/>
        </w:rPr>
        <w:t>:《</w:t>
      </w:r>
      <w:r>
        <w:rPr>
          <w:spacing w:val="6"/>
        </w:rPr>
        <w:t>数字资本演化路径</w:t>
      </w:r>
      <w:r>
        <w:rPr>
          <w:rFonts w:ascii="微软雅黑" w:hAnsi="微软雅黑" w:eastAsia="微软雅黑" w:cs="微软雅黑"/>
          <w:spacing w:val="6"/>
        </w:rPr>
        <w:t>、</w:t>
      </w:r>
      <w:r>
        <w:rPr>
          <w:spacing w:val="6"/>
        </w:rPr>
        <w:t>无序扩张和应对策</w:t>
      </w:r>
      <w:r>
        <w:rPr>
          <w:spacing w:val="5"/>
        </w:rPr>
        <w:t>略</w:t>
      </w:r>
      <w:r>
        <w:rPr>
          <w:rFonts w:ascii="微软雅黑" w:hAnsi="微软雅黑" w:eastAsia="微软雅黑" w:cs="微软雅黑"/>
          <w:spacing w:val="5"/>
        </w:rPr>
        <w:t>》,</w:t>
      </w:r>
      <w:r>
        <w:rPr>
          <w:spacing w:val="5"/>
        </w:rPr>
        <w:t>载</w:t>
      </w:r>
      <w:r>
        <w:rPr>
          <w:rFonts w:ascii="微软雅黑" w:hAnsi="微软雅黑" w:eastAsia="微软雅黑" w:cs="微软雅黑"/>
          <w:spacing w:val="5"/>
        </w:rPr>
        <w:t>《</w:t>
      </w:r>
      <w:r>
        <w:rPr>
          <w:spacing w:val="5"/>
        </w:rPr>
        <w:t>政治经济学报</w:t>
      </w:r>
      <w:r>
        <w:rPr>
          <w:rFonts w:ascii="微软雅黑" w:hAnsi="微软雅黑" w:eastAsia="微软雅黑" w:cs="微软雅黑"/>
          <w:spacing w:val="5"/>
        </w:rPr>
        <w:t>》2022</w:t>
      </w:r>
      <w:r>
        <w:rPr>
          <w:spacing w:val="5"/>
        </w:rPr>
        <w:t>年第</w:t>
      </w:r>
      <w:r>
        <w:rPr>
          <w:rFonts w:ascii="微软雅黑" w:hAnsi="微软雅黑" w:eastAsia="微软雅黑" w:cs="微软雅黑"/>
          <w:spacing w:val="5"/>
          <w:position w:val="-2"/>
        </w:rPr>
        <w:t>1</w:t>
      </w:r>
      <w:r>
        <w:rPr>
          <w:spacing w:val="5"/>
        </w:rPr>
        <w:t>期</w:t>
      </w:r>
      <w:r>
        <w:rPr>
          <w:rFonts w:ascii="微软雅黑" w:hAnsi="微软雅黑" w:eastAsia="微软雅黑" w:cs="微软雅黑"/>
          <w:spacing w:val="5"/>
        </w:rPr>
        <w:t>。</w:t>
      </w:r>
    </w:p>
  </w:footnote>
  <w:footnote w:id="1040">
    <w:p w14:paraId="1E4EED50">
      <w:pPr>
        <w:pStyle w:val="11"/>
        <w:snapToGrid w:val="0"/>
      </w:pPr>
      <w:r>
        <w:rPr>
          <w:rStyle w:val="20"/>
        </w:rPr>
        <w:footnoteRef/>
      </w:r>
      <w:r>
        <w:rPr>
          <w:spacing w:val="4"/>
        </w:rPr>
        <w:t>刘涛雄</w:t>
      </w:r>
      <w:r>
        <w:rPr>
          <w:rFonts w:ascii="微软雅黑" w:hAnsi="微软雅黑" w:eastAsia="微软雅黑" w:cs="微软雅黑"/>
          <w:spacing w:val="4"/>
        </w:rPr>
        <w:t>、</w:t>
      </w:r>
      <w:r>
        <w:rPr>
          <w:spacing w:val="4"/>
        </w:rPr>
        <w:t>戎珂</w:t>
      </w:r>
      <w:r>
        <w:rPr>
          <w:rFonts w:ascii="微软雅黑" w:hAnsi="微软雅黑" w:eastAsia="微软雅黑" w:cs="微软雅黑"/>
          <w:spacing w:val="4"/>
        </w:rPr>
        <w:t>、</w:t>
      </w:r>
      <w:r>
        <w:rPr>
          <w:spacing w:val="4"/>
        </w:rPr>
        <w:t>张亚迪</w:t>
      </w:r>
      <w:r>
        <w:rPr>
          <w:rFonts w:ascii="微软雅黑" w:hAnsi="微软雅黑" w:eastAsia="微软雅黑" w:cs="微软雅黑"/>
          <w:spacing w:val="4"/>
        </w:rPr>
        <w:t>:《</w:t>
      </w:r>
      <w:r>
        <w:rPr>
          <w:spacing w:val="4"/>
        </w:rPr>
        <w:t>数据资本估算及对中国经济增长的贡献</w:t>
      </w:r>
      <w:r>
        <w:rPr>
          <w:rFonts w:ascii="Arial" w:hAnsi="Arial" w:eastAsia="Arial" w:cs="Arial"/>
          <w:b/>
          <w:bCs/>
          <w:spacing w:val="4"/>
        </w:rPr>
        <w:t>—</w:t>
      </w:r>
      <w:r>
        <w:rPr>
          <w:spacing w:val="4"/>
        </w:rPr>
        <w:t>基于数据价值链的视角</w:t>
      </w:r>
      <w:r>
        <w:rPr>
          <w:rFonts w:ascii="微软雅黑" w:hAnsi="微软雅黑" w:eastAsia="微软雅黑" w:cs="微软雅黑"/>
          <w:spacing w:val="4"/>
        </w:rPr>
        <w:t>》,</w:t>
      </w:r>
      <w:r>
        <w:rPr>
          <w:spacing w:val="4"/>
        </w:rPr>
        <w:t>载</w:t>
      </w:r>
      <w:r>
        <w:rPr>
          <w:rFonts w:ascii="微软雅黑" w:hAnsi="微软雅黑" w:eastAsia="微软雅黑" w:cs="微软雅黑"/>
          <w:spacing w:val="4"/>
        </w:rPr>
        <w:t>《</w:t>
      </w:r>
      <w:r>
        <w:rPr>
          <w:spacing w:val="4"/>
        </w:rPr>
        <w:t>中国社</w:t>
      </w:r>
      <w:r>
        <w:rPr>
          <w:spacing w:val="5"/>
        </w:rPr>
        <w:t>会科学</w:t>
      </w:r>
      <w:r>
        <w:rPr>
          <w:rFonts w:ascii="微软雅黑" w:hAnsi="微软雅黑" w:eastAsia="微软雅黑" w:cs="微软雅黑"/>
          <w:spacing w:val="5"/>
        </w:rPr>
        <w:t>》2023</w:t>
      </w:r>
      <w:r>
        <w:rPr>
          <w:spacing w:val="5"/>
        </w:rPr>
        <w:t>年第</w:t>
      </w:r>
      <w:r>
        <w:rPr>
          <w:rFonts w:ascii="微软雅黑" w:hAnsi="微软雅黑" w:eastAsia="微软雅黑" w:cs="微软雅黑"/>
          <w:spacing w:val="5"/>
          <w:position w:val="-1"/>
        </w:rPr>
        <w:t>10</w:t>
      </w:r>
      <w:r>
        <w:rPr>
          <w:spacing w:val="5"/>
        </w:rPr>
        <w:t>期</w:t>
      </w:r>
      <w:r>
        <w:rPr>
          <w:rFonts w:ascii="微软雅黑" w:hAnsi="微软雅黑" w:eastAsia="微软雅黑" w:cs="微软雅黑"/>
          <w:spacing w:val="5"/>
          <w:position w:val="1"/>
        </w:rPr>
        <w:t>。</w:t>
      </w:r>
    </w:p>
  </w:footnote>
  <w:footnote w:id="1041">
    <w:p w14:paraId="5C4B9F07">
      <w:pPr>
        <w:pStyle w:val="11"/>
        <w:snapToGrid w:val="0"/>
      </w:pPr>
      <w:r>
        <w:rPr>
          <w:rStyle w:val="20"/>
        </w:rPr>
        <w:footnoteRef/>
      </w:r>
      <w:r>
        <w:rPr>
          <w:spacing w:val="8"/>
        </w:rPr>
        <w:t>李楠</w:t>
      </w:r>
      <w:r>
        <w:rPr>
          <w:rFonts w:ascii="微软雅黑" w:hAnsi="微软雅黑" w:eastAsia="微软雅黑" w:cs="微软雅黑"/>
          <w:spacing w:val="8"/>
        </w:rPr>
        <w:t>、</w:t>
      </w:r>
      <w:r>
        <w:rPr>
          <w:spacing w:val="8"/>
        </w:rPr>
        <w:t>徐卓仕</w:t>
      </w:r>
      <w:r>
        <w:rPr>
          <w:rFonts w:ascii="微软雅黑" w:hAnsi="微软雅黑" w:eastAsia="微软雅黑" w:cs="微软雅黑"/>
          <w:spacing w:val="8"/>
        </w:rPr>
        <w:t>:《</w:t>
      </w:r>
      <w:r>
        <w:rPr>
          <w:spacing w:val="8"/>
        </w:rPr>
        <w:t>提高劳动者素质促进新质生产力发展研究</w:t>
      </w:r>
      <w:r>
        <w:rPr>
          <w:rFonts w:ascii="微软雅黑" w:hAnsi="微软雅黑" w:eastAsia="微软雅黑" w:cs="微软雅黑"/>
          <w:spacing w:val="8"/>
        </w:rPr>
        <w:t>》,</w:t>
      </w:r>
      <w:r>
        <w:rPr>
          <w:spacing w:val="8"/>
        </w:rPr>
        <w:t>载</w:t>
      </w:r>
      <w:r>
        <w:rPr>
          <w:rFonts w:ascii="微软雅黑" w:hAnsi="微软雅黑" w:eastAsia="微软雅黑" w:cs="微软雅黑"/>
          <w:spacing w:val="8"/>
        </w:rPr>
        <w:t>《</w:t>
      </w:r>
      <w:r>
        <w:rPr>
          <w:spacing w:val="8"/>
        </w:rPr>
        <w:t>海派经济学</w:t>
      </w:r>
      <w:r>
        <w:rPr>
          <w:rFonts w:ascii="微软雅黑" w:hAnsi="微软雅黑" w:eastAsia="微软雅黑" w:cs="微软雅黑"/>
          <w:spacing w:val="8"/>
        </w:rPr>
        <w:t>》2</w:t>
      </w:r>
      <w:r>
        <w:rPr>
          <w:rFonts w:ascii="微软雅黑" w:hAnsi="微软雅黑" w:eastAsia="微软雅黑" w:cs="微软雅黑"/>
          <w:spacing w:val="7"/>
        </w:rPr>
        <w:t>024</w:t>
      </w:r>
      <w:r>
        <w:rPr>
          <w:spacing w:val="7"/>
        </w:rPr>
        <w:t>年第</w:t>
      </w:r>
      <w:r>
        <w:rPr>
          <w:rFonts w:ascii="微软雅黑" w:hAnsi="微软雅黑" w:eastAsia="微软雅黑" w:cs="微软雅黑"/>
          <w:spacing w:val="7"/>
          <w:position w:val="-2"/>
        </w:rPr>
        <w:t>2</w:t>
      </w:r>
      <w:r>
        <w:rPr>
          <w:spacing w:val="7"/>
        </w:rPr>
        <w:t>期</w:t>
      </w:r>
      <w:r>
        <w:rPr>
          <w:rFonts w:ascii="微软雅黑" w:hAnsi="微软雅黑" w:eastAsia="微软雅黑" w:cs="微软雅黑"/>
          <w:spacing w:val="7"/>
        </w:rPr>
        <w:t>。</w:t>
      </w:r>
    </w:p>
  </w:footnote>
  <w:footnote w:id="1042">
    <w:p w14:paraId="3089C7E6">
      <w:pPr>
        <w:pStyle w:val="11"/>
        <w:snapToGrid w:val="0"/>
      </w:pPr>
      <w:r>
        <w:rPr>
          <w:rStyle w:val="20"/>
        </w:rPr>
        <w:footnoteRef/>
      </w:r>
      <w:r>
        <w:rPr>
          <w:spacing w:val="5"/>
        </w:rPr>
        <w:t>陈梦根</w:t>
      </w:r>
      <w:r>
        <w:rPr>
          <w:rFonts w:ascii="微软雅黑" w:hAnsi="微软雅黑" w:eastAsia="微软雅黑" w:cs="微软雅黑"/>
          <w:spacing w:val="5"/>
        </w:rPr>
        <w:t>、</w:t>
      </w:r>
      <w:r>
        <w:rPr>
          <w:spacing w:val="5"/>
        </w:rPr>
        <w:t>周元任</w:t>
      </w:r>
      <w:r>
        <w:rPr>
          <w:rFonts w:ascii="微软雅黑" w:hAnsi="微软雅黑" w:eastAsia="微软雅黑" w:cs="微软雅黑"/>
          <w:spacing w:val="5"/>
        </w:rPr>
        <w:t>:《</w:t>
      </w:r>
      <w:r>
        <w:rPr>
          <w:spacing w:val="5"/>
        </w:rPr>
        <w:t>数字不平等研究新进展</w:t>
      </w:r>
      <w:r>
        <w:rPr>
          <w:rFonts w:ascii="微软雅黑" w:hAnsi="微软雅黑" w:eastAsia="微软雅黑" w:cs="微软雅黑"/>
          <w:spacing w:val="5"/>
        </w:rPr>
        <w:t>》,</w:t>
      </w:r>
      <w:r>
        <w:rPr>
          <w:spacing w:val="5"/>
        </w:rPr>
        <w:t>载</w:t>
      </w:r>
      <w:r>
        <w:rPr>
          <w:rFonts w:ascii="微软雅黑" w:hAnsi="微软雅黑" w:eastAsia="微软雅黑" w:cs="微软雅黑"/>
          <w:spacing w:val="5"/>
        </w:rPr>
        <w:t>《</w:t>
      </w:r>
      <w:r>
        <w:rPr>
          <w:spacing w:val="5"/>
        </w:rPr>
        <w:t>经济学动态</w:t>
      </w:r>
      <w:r>
        <w:rPr>
          <w:rFonts w:ascii="微软雅黑" w:hAnsi="微软雅黑" w:eastAsia="微软雅黑" w:cs="微软雅黑"/>
          <w:spacing w:val="5"/>
        </w:rPr>
        <w:t>》2022</w:t>
      </w:r>
      <w:r>
        <w:rPr>
          <w:spacing w:val="5"/>
        </w:rPr>
        <w:t>年第</w:t>
      </w:r>
      <w:r>
        <w:rPr>
          <w:rFonts w:ascii="微软雅黑" w:hAnsi="微软雅黑" w:eastAsia="微软雅黑" w:cs="微软雅黑"/>
          <w:spacing w:val="5"/>
          <w:position w:val="-1"/>
        </w:rPr>
        <w:t>4</w:t>
      </w:r>
      <w:r>
        <w:rPr>
          <w:spacing w:val="5"/>
        </w:rPr>
        <w:t>期</w:t>
      </w:r>
      <w:r>
        <w:rPr>
          <w:rFonts w:ascii="微软雅黑" w:hAnsi="微软雅黑" w:eastAsia="微软雅黑" w:cs="微软雅黑"/>
          <w:spacing w:val="5"/>
        </w:rPr>
        <w:t>。</w:t>
      </w:r>
    </w:p>
  </w:footnote>
  <w:footnote w:id="1043">
    <w:p w14:paraId="4AA22F3C">
      <w:pPr>
        <w:pStyle w:val="11"/>
        <w:snapToGrid w:val="0"/>
      </w:pPr>
      <w:r>
        <w:rPr>
          <w:rStyle w:val="20"/>
        </w:rPr>
        <w:footnoteRef/>
      </w:r>
      <w:r>
        <w:rPr>
          <w:spacing w:val="5"/>
        </w:rPr>
        <w:t>马立国</w:t>
      </w:r>
      <w:r>
        <w:rPr>
          <w:rFonts w:ascii="微软雅黑" w:hAnsi="微软雅黑" w:eastAsia="微软雅黑" w:cs="微软雅黑"/>
          <w:spacing w:val="5"/>
        </w:rPr>
        <w:t>、</w:t>
      </w:r>
      <w:r>
        <w:rPr>
          <w:spacing w:val="5"/>
        </w:rPr>
        <w:t>宋翼飞</w:t>
      </w:r>
      <w:r>
        <w:rPr>
          <w:rFonts w:ascii="微软雅黑" w:hAnsi="微软雅黑" w:eastAsia="微软雅黑" w:cs="微软雅黑"/>
          <w:spacing w:val="5"/>
        </w:rPr>
        <w:t>:《“</w:t>
      </w:r>
      <w:r>
        <w:rPr>
          <w:spacing w:val="5"/>
        </w:rPr>
        <w:t>数字世界</w:t>
      </w:r>
      <w:r>
        <w:rPr>
          <w:rFonts w:ascii="微软雅黑" w:hAnsi="微软雅黑" w:eastAsia="微软雅黑" w:cs="微软雅黑"/>
          <w:spacing w:val="5"/>
        </w:rPr>
        <w:t>”</w:t>
      </w:r>
      <w:r>
        <w:rPr>
          <w:spacing w:val="5"/>
        </w:rPr>
        <w:t>中的劳动剥削问题及对策探</w:t>
      </w:r>
      <w:r>
        <w:rPr>
          <w:spacing w:val="4"/>
        </w:rPr>
        <w:t>究</w:t>
      </w:r>
      <w:r>
        <w:rPr>
          <w:rFonts w:ascii="微软雅黑" w:hAnsi="微软雅黑" w:eastAsia="微软雅黑" w:cs="微软雅黑"/>
          <w:spacing w:val="4"/>
        </w:rPr>
        <w:t>》,</w:t>
      </w:r>
      <w:r>
        <w:rPr>
          <w:spacing w:val="4"/>
        </w:rPr>
        <w:t>载</w:t>
      </w:r>
      <w:r>
        <w:rPr>
          <w:rFonts w:ascii="微软雅黑" w:hAnsi="微软雅黑" w:eastAsia="微软雅黑" w:cs="微软雅黑"/>
          <w:spacing w:val="4"/>
        </w:rPr>
        <w:t>《</w:t>
      </w:r>
      <w:r>
        <w:rPr>
          <w:spacing w:val="4"/>
        </w:rPr>
        <w:t>政治经济学研究</w:t>
      </w:r>
      <w:r>
        <w:rPr>
          <w:rFonts w:ascii="微软雅黑" w:hAnsi="微软雅黑" w:eastAsia="微软雅黑" w:cs="微软雅黑"/>
          <w:spacing w:val="4"/>
        </w:rPr>
        <w:t>》2024</w:t>
      </w:r>
      <w:r>
        <w:rPr>
          <w:spacing w:val="4"/>
        </w:rPr>
        <w:t>年第</w:t>
      </w:r>
      <w:r>
        <w:rPr>
          <w:rFonts w:ascii="微软雅黑" w:hAnsi="微软雅黑" w:eastAsia="微软雅黑" w:cs="微软雅黑"/>
          <w:spacing w:val="4"/>
          <w:position w:val="-2"/>
        </w:rPr>
        <w:t>2</w:t>
      </w:r>
      <w:r>
        <w:rPr>
          <w:spacing w:val="4"/>
        </w:rPr>
        <w:t>期</w:t>
      </w:r>
      <w:r>
        <w:rPr>
          <w:rFonts w:ascii="微软雅黑" w:hAnsi="微软雅黑" w:eastAsia="微软雅黑" w:cs="微软雅黑"/>
          <w:spacing w:val="4"/>
        </w:rPr>
        <w:t>。</w:t>
      </w:r>
    </w:p>
  </w:footnote>
  <w:footnote w:id="1044">
    <w:p w14:paraId="4B86F80C">
      <w:pPr>
        <w:pStyle w:val="11"/>
        <w:snapToGrid w:val="0"/>
      </w:pPr>
      <w:r>
        <w:rPr>
          <w:rStyle w:val="20"/>
        </w:rPr>
        <w:footnoteRef/>
      </w:r>
      <w:r>
        <w:rPr>
          <w:spacing w:val="9"/>
        </w:rPr>
        <w:t>孙业霞</w:t>
      </w:r>
      <w:r>
        <w:rPr>
          <w:rFonts w:ascii="微软雅黑" w:hAnsi="微软雅黑" w:eastAsia="微软雅黑" w:cs="微软雅黑"/>
          <w:spacing w:val="9"/>
        </w:rPr>
        <w:t>、</w:t>
      </w:r>
      <w:r>
        <w:rPr>
          <w:spacing w:val="9"/>
        </w:rPr>
        <w:t>王怡然</w:t>
      </w:r>
      <w:r>
        <w:rPr>
          <w:rFonts w:ascii="微软雅黑" w:hAnsi="微软雅黑" w:eastAsia="微软雅黑" w:cs="微软雅黑"/>
          <w:spacing w:val="9"/>
        </w:rPr>
        <w:t>:《</w:t>
      </w:r>
      <w:r>
        <w:rPr>
          <w:spacing w:val="9"/>
        </w:rPr>
        <w:t>数字资本主义经济的新变化及我国的应对战略选择</w:t>
      </w:r>
      <w:r>
        <w:rPr>
          <w:rFonts w:ascii="微软雅黑" w:hAnsi="微软雅黑" w:eastAsia="微软雅黑" w:cs="微软雅黑"/>
          <w:spacing w:val="9"/>
        </w:rPr>
        <w:t>》,</w:t>
      </w:r>
      <w:r>
        <w:rPr>
          <w:spacing w:val="9"/>
        </w:rPr>
        <w:t>载</w:t>
      </w:r>
      <w:r>
        <w:rPr>
          <w:rFonts w:ascii="微软雅黑" w:hAnsi="微软雅黑" w:eastAsia="微软雅黑" w:cs="微软雅黑"/>
          <w:spacing w:val="9"/>
        </w:rPr>
        <w:t>《</w:t>
      </w:r>
      <w:r>
        <w:rPr>
          <w:spacing w:val="9"/>
        </w:rPr>
        <w:t>海派经济学</w:t>
      </w:r>
      <w:r>
        <w:rPr>
          <w:rFonts w:ascii="微软雅黑" w:hAnsi="微软雅黑" w:eastAsia="微软雅黑" w:cs="微软雅黑"/>
          <w:spacing w:val="9"/>
        </w:rPr>
        <w:t>》2023</w:t>
      </w:r>
      <w:r>
        <w:rPr>
          <w:spacing w:val="9"/>
        </w:rPr>
        <w:t>年第</w:t>
      </w:r>
      <w:r>
        <w:rPr>
          <w:rFonts w:ascii="微软雅黑" w:hAnsi="微软雅黑" w:eastAsia="微软雅黑" w:cs="微软雅黑"/>
          <w:spacing w:val="9"/>
          <w:position w:val="-2"/>
        </w:rPr>
        <w:t>4</w:t>
      </w:r>
      <w:r>
        <w:rPr>
          <w:spacing w:val="9"/>
        </w:rPr>
        <w:t>期</w:t>
      </w:r>
      <w:r>
        <w:rPr>
          <w:rFonts w:ascii="微软雅黑" w:hAnsi="微软雅黑" w:eastAsia="微软雅黑" w:cs="微软雅黑"/>
          <w:spacing w:val="9"/>
        </w:rPr>
        <w:t>。</w:t>
      </w:r>
    </w:p>
  </w:footnote>
  <w:footnote w:id="1045">
    <w:p w14:paraId="442BD44D">
      <w:pPr>
        <w:pStyle w:val="11"/>
        <w:snapToGrid w:val="0"/>
      </w:pPr>
      <w:r>
        <w:rPr>
          <w:rStyle w:val="20"/>
        </w:rPr>
        <w:footnoteRef/>
      </w:r>
      <w:r>
        <w:rPr>
          <w:spacing w:val="9"/>
        </w:rPr>
        <w:t>刘凤义</w:t>
      </w:r>
      <w:r>
        <w:rPr>
          <w:rFonts w:ascii="微软雅黑" w:hAnsi="微软雅黑" w:eastAsia="微软雅黑" w:cs="微软雅黑"/>
          <w:spacing w:val="9"/>
        </w:rPr>
        <w:t>、</w:t>
      </w:r>
      <w:r>
        <w:rPr>
          <w:spacing w:val="9"/>
        </w:rPr>
        <w:t>曲佳宝</w:t>
      </w:r>
      <w:r>
        <w:rPr>
          <w:rFonts w:ascii="微软雅黑" w:hAnsi="微软雅黑" w:eastAsia="微软雅黑" w:cs="微软雅黑"/>
          <w:spacing w:val="9"/>
        </w:rPr>
        <w:t>:《</w:t>
      </w:r>
      <w:r>
        <w:rPr>
          <w:spacing w:val="9"/>
        </w:rPr>
        <w:t>数字资本主义时代资本积累的新动向及其</w:t>
      </w:r>
      <w:r>
        <w:rPr>
          <w:spacing w:val="8"/>
        </w:rPr>
        <w:t>矛盾</w:t>
      </w:r>
      <w:r>
        <w:rPr>
          <w:rFonts w:ascii="微软雅黑" w:hAnsi="微软雅黑" w:eastAsia="微软雅黑" w:cs="微软雅黑"/>
          <w:spacing w:val="8"/>
        </w:rPr>
        <w:t>》,</w:t>
      </w:r>
      <w:r>
        <w:rPr>
          <w:spacing w:val="8"/>
        </w:rPr>
        <w:t>载</w:t>
      </w:r>
      <w:r>
        <w:rPr>
          <w:rFonts w:ascii="微软雅黑" w:hAnsi="微软雅黑" w:eastAsia="微软雅黑" w:cs="微软雅黑"/>
          <w:spacing w:val="8"/>
        </w:rPr>
        <w:t>《</w:t>
      </w:r>
      <w:r>
        <w:rPr>
          <w:spacing w:val="8"/>
        </w:rPr>
        <w:t>马克思主义与现实</w:t>
      </w:r>
      <w:r>
        <w:rPr>
          <w:rFonts w:ascii="微软雅黑" w:hAnsi="微软雅黑" w:eastAsia="微软雅黑" w:cs="微软雅黑"/>
          <w:spacing w:val="8"/>
        </w:rPr>
        <w:t>》2022</w:t>
      </w:r>
      <w:r>
        <w:rPr>
          <w:spacing w:val="8"/>
        </w:rPr>
        <w:t>年第</w:t>
      </w:r>
      <w:r>
        <w:rPr>
          <w:rFonts w:ascii="微软雅黑" w:hAnsi="微软雅黑" w:eastAsia="微软雅黑" w:cs="微软雅黑"/>
          <w:spacing w:val="8"/>
          <w:position w:val="-2"/>
        </w:rPr>
        <w:t>3</w:t>
      </w:r>
      <w:r>
        <w:rPr>
          <w:spacing w:val="8"/>
        </w:rPr>
        <w:t>期</w:t>
      </w:r>
      <w:r>
        <w:rPr>
          <w:rFonts w:ascii="微软雅黑" w:hAnsi="微软雅黑" w:eastAsia="微软雅黑" w:cs="微软雅黑"/>
          <w:spacing w:val="8"/>
        </w:rPr>
        <w:t>。</w:t>
      </w:r>
    </w:p>
  </w:footnote>
  <w:footnote w:id="1046">
    <w:p w14:paraId="7731A1F0">
      <w:pPr>
        <w:pStyle w:val="11"/>
        <w:snapToGrid w:val="0"/>
      </w:pPr>
      <w:r>
        <w:rPr>
          <w:rStyle w:val="20"/>
        </w:rPr>
        <w:footnoteRef/>
      </w:r>
      <w:r>
        <w:rPr>
          <w:spacing w:val="9"/>
        </w:rPr>
        <w:t>邓伯军</w:t>
      </w:r>
      <w:r>
        <w:rPr>
          <w:rFonts w:ascii="微软雅黑" w:hAnsi="微软雅黑" w:eastAsia="微软雅黑" w:cs="微软雅黑"/>
          <w:spacing w:val="9"/>
        </w:rPr>
        <w:t>:《</w:t>
      </w:r>
      <w:r>
        <w:rPr>
          <w:spacing w:val="9"/>
        </w:rPr>
        <w:t>数字资本主义的意识形态</w:t>
      </w:r>
      <w:r>
        <w:rPr>
          <w:spacing w:val="8"/>
        </w:rPr>
        <w:t>逻辑批判</w:t>
      </w:r>
      <w:r>
        <w:rPr>
          <w:rFonts w:ascii="微软雅黑" w:hAnsi="微软雅黑" w:eastAsia="微软雅黑" w:cs="微软雅黑"/>
          <w:spacing w:val="8"/>
        </w:rPr>
        <w:t>》,</w:t>
      </w:r>
      <w:r>
        <w:rPr>
          <w:spacing w:val="8"/>
        </w:rPr>
        <w:t>载</w:t>
      </w:r>
      <w:r>
        <w:rPr>
          <w:rFonts w:ascii="微软雅黑" w:hAnsi="微软雅黑" w:eastAsia="微软雅黑" w:cs="微软雅黑"/>
          <w:spacing w:val="8"/>
        </w:rPr>
        <w:t>《</w:t>
      </w:r>
      <w:r>
        <w:rPr>
          <w:spacing w:val="8"/>
        </w:rPr>
        <w:t>社会科学</w:t>
      </w:r>
      <w:r>
        <w:rPr>
          <w:rFonts w:ascii="微软雅黑" w:hAnsi="微软雅黑" w:eastAsia="微软雅黑" w:cs="微软雅黑"/>
          <w:spacing w:val="8"/>
        </w:rPr>
        <w:t>》2020</w:t>
      </w:r>
      <w:r>
        <w:rPr>
          <w:spacing w:val="8"/>
        </w:rPr>
        <w:t>年第</w:t>
      </w:r>
      <w:r>
        <w:rPr>
          <w:rFonts w:ascii="微软雅黑" w:hAnsi="微软雅黑" w:eastAsia="微软雅黑" w:cs="微软雅黑"/>
          <w:spacing w:val="8"/>
          <w:position w:val="-1"/>
        </w:rPr>
        <w:t>8</w:t>
      </w:r>
      <w:r>
        <w:rPr>
          <w:spacing w:val="8"/>
        </w:rPr>
        <w:t>期</w:t>
      </w:r>
      <w:r>
        <w:rPr>
          <w:rFonts w:ascii="微软雅黑" w:hAnsi="微软雅黑" w:eastAsia="微软雅黑" w:cs="微软雅黑"/>
          <w:spacing w:val="8"/>
        </w:rPr>
        <w:t>。</w:t>
      </w:r>
    </w:p>
  </w:footnote>
  <w:footnote w:id="1047">
    <w:p w14:paraId="1DAB4226">
      <w:pPr>
        <w:pStyle w:val="11"/>
        <w:snapToGrid w:val="0"/>
      </w:pPr>
      <w:r>
        <w:rPr>
          <w:rStyle w:val="20"/>
        </w:rPr>
        <w:footnoteRef/>
      </w:r>
      <w:r>
        <w:rPr>
          <w:spacing w:val="8"/>
        </w:rPr>
        <w:t>侯晓东</w:t>
      </w:r>
      <w:r>
        <w:rPr>
          <w:rFonts w:ascii="微软雅黑" w:hAnsi="微软雅黑" w:eastAsia="微软雅黑" w:cs="微软雅黑"/>
          <w:spacing w:val="8"/>
        </w:rPr>
        <w:t>、</w:t>
      </w:r>
      <w:r>
        <w:rPr>
          <w:spacing w:val="8"/>
        </w:rPr>
        <w:t>程恩富</w:t>
      </w:r>
      <w:r>
        <w:rPr>
          <w:rFonts w:ascii="微软雅黑" w:hAnsi="微软雅黑" w:eastAsia="微软雅黑" w:cs="微软雅黑"/>
          <w:spacing w:val="8"/>
        </w:rPr>
        <w:t>:《</w:t>
      </w:r>
      <w:r>
        <w:rPr>
          <w:spacing w:val="8"/>
        </w:rPr>
        <w:t>基于产权视角的平台经济反垄断治理研究</w:t>
      </w:r>
      <w:r>
        <w:rPr>
          <w:rFonts w:ascii="微软雅黑" w:hAnsi="微软雅黑" w:eastAsia="微软雅黑" w:cs="微软雅黑"/>
          <w:spacing w:val="8"/>
        </w:rPr>
        <w:t>》,</w:t>
      </w:r>
      <w:r>
        <w:rPr>
          <w:spacing w:val="8"/>
        </w:rPr>
        <w:t>载</w:t>
      </w:r>
      <w:r>
        <w:rPr>
          <w:rFonts w:ascii="微软雅黑" w:hAnsi="微软雅黑" w:eastAsia="微软雅黑" w:cs="微软雅黑"/>
          <w:spacing w:val="8"/>
        </w:rPr>
        <w:t>《</w:t>
      </w:r>
      <w:r>
        <w:rPr>
          <w:spacing w:val="8"/>
        </w:rPr>
        <w:t>管理学刊</w:t>
      </w:r>
      <w:r>
        <w:rPr>
          <w:rFonts w:ascii="微软雅黑" w:hAnsi="微软雅黑" w:eastAsia="微软雅黑" w:cs="微软雅黑"/>
          <w:spacing w:val="8"/>
        </w:rPr>
        <w:t>》2</w:t>
      </w:r>
      <w:r>
        <w:rPr>
          <w:rFonts w:ascii="微软雅黑" w:hAnsi="微软雅黑" w:eastAsia="微软雅黑" w:cs="微软雅黑"/>
          <w:spacing w:val="7"/>
        </w:rPr>
        <w:t>021</w:t>
      </w:r>
      <w:r>
        <w:rPr>
          <w:spacing w:val="7"/>
        </w:rPr>
        <w:t>年第</w:t>
      </w:r>
      <w:r>
        <w:rPr>
          <w:rFonts w:ascii="微软雅黑" w:hAnsi="微软雅黑" w:eastAsia="微软雅黑" w:cs="微软雅黑"/>
          <w:spacing w:val="7"/>
          <w:position w:val="-1"/>
        </w:rPr>
        <w:t>2</w:t>
      </w:r>
      <w:r>
        <w:rPr>
          <w:spacing w:val="7"/>
        </w:rPr>
        <w:t>期</w:t>
      </w:r>
      <w:r>
        <w:rPr>
          <w:rFonts w:ascii="微软雅黑" w:hAnsi="微软雅黑" w:eastAsia="微软雅黑" w:cs="微软雅黑"/>
          <w:spacing w:val="7"/>
        </w:rPr>
        <w:t>。</w:t>
      </w:r>
    </w:p>
  </w:footnote>
  <w:footnote w:id="1048">
    <w:p w14:paraId="3ACCA28F">
      <w:pPr>
        <w:pStyle w:val="11"/>
        <w:snapToGrid w:val="0"/>
      </w:pPr>
      <w:r>
        <w:rPr>
          <w:rStyle w:val="20"/>
        </w:rPr>
        <w:footnoteRef/>
      </w:r>
      <w:r>
        <w:rPr>
          <w:spacing w:val="7"/>
        </w:rPr>
        <w:t>邵彦敏</w:t>
      </w:r>
      <w:r>
        <w:rPr>
          <w:rFonts w:ascii="微软雅黑" w:hAnsi="微软雅黑" w:eastAsia="微软雅黑" w:cs="微软雅黑"/>
          <w:spacing w:val="7"/>
        </w:rPr>
        <w:t>、</w:t>
      </w:r>
      <w:r>
        <w:rPr>
          <w:spacing w:val="7"/>
        </w:rPr>
        <w:t>赵文瑄</w:t>
      </w:r>
      <w:r>
        <w:rPr>
          <w:rFonts w:ascii="微软雅黑" w:hAnsi="微软雅黑" w:eastAsia="微软雅黑" w:cs="微软雅黑"/>
          <w:spacing w:val="7"/>
        </w:rPr>
        <w:t>:《</w:t>
      </w:r>
      <w:r>
        <w:rPr>
          <w:spacing w:val="7"/>
        </w:rPr>
        <w:t>论数字资本主义下数字劳动</w:t>
      </w:r>
      <w:r>
        <w:rPr>
          <w:rFonts w:ascii="微软雅黑" w:hAnsi="微软雅黑" w:eastAsia="微软雅黑" w:cs="微软雅黑"/>
          <w:spacing w:val="7"/>
        </w:rPr>
        <w:t>、</w:t>
      </w:r>
      <w:r>
        <w:rPr>
          <w:spacing w:val="7"/>
        </w:rPr>
        <w:t>数字资本及其劳资关系</w:t>
      </w:r>
      <w:r>
        <w:rPr>
          <w:rFonts w:ascii="微软雅黑" w:hAnsi="微软雅黑" w:eastAsia="微软雅黑" w:cs="微软雅黑"/>
          <w:spacing w:val="7"/>
        </w:rPr>
        <w:t>》,</w:t>
      </w:r>
      <w:r>
        <w:rPr>
          <w:spacing w:val="7"/>
        </w:rPr>
        <w:t>载</w:t>
      </w:r>
      <w:r>
        <w:rPr>
          <w:rFonts w:ascii="微软雅黑" w:hAnsi="微软雅黑" w:eastAsia="微软雅黑" w:cs="微软雅黑"/>
          <w:spacing w:val="7"/>
        </w:rPr>
        <w:t>《</w:t>
      </w:r>
      <w:r>
        <w:rPr>
          <w:spacing w:val="7"/>
        </w:rPr>
        <w:t>经济纵横</w:t>
      </w:r>
      <w:r>
        <w:rPr>
          <w:rFonts w:ascii="微软雅黑" w:hAnsi="微软雅黑" w:eastAsia="微软雅黑" w:cs="微软雅黑"/>
          <w:spacing w:val="7"/>
        </w:rPr>
        <w:t>》</w:t>
      </w:r>
      <w:r>
        <w:rPr>
          <w:rFonts w:ascii="微软雅黑" w:hAnsi="微软雅黑" w:eastAsia="微软雅黑" w:cs="微软雅黑"/>
          <w:spacing w:val="6"/>
        </w:rPr>
        <w:t>2024</w:t>
      </w:r>
      <w:r>
        <w:rPr>
          <w:spacing w:val="6"/>
        </w:rPr>
        <w:t>年第</w:t>
      </w:r>
      <w:r>
        <w:rPr>
          <w:rFonts w:ascii="微软雅黑" w:hAnsi="微软雅黑" w:eastAsia="微软雅黑" w:cs="微软雅黑"/>
          <w:spacing w:val="6"/>
          <w:position w:val="-2"/>
        </w:rPr>
        <w:t>3</w:t>
      </w:r>
      <w:r>
        <w:rPr>
          <w:spacing w:val="6"/>
        </w:rPr>
        <w:t>期</w:t>
      </w:r>
      <w:r>
        <w:rPr>
          <w:rFonts w:ascii="微软雅黑" w:hAnsi="微软雅黑" w:eastAsia="微软雅黑" w:cs="微软雅黑"/>
          <w:spacing w:val="6"/>
        </w:rPr>
        <w:t>。</w:t>
      </w:r>
    </w:p>
  </w:footnote>
  <w:footnote w:id="1049">
    <w:p w14:paraId="2F0D2A9A">
      <w:pPr>
        <w:pStyle w:val="11"/>
        <w:snapToGrid w:val="0"/>
      </w:pPr>
      <w:r>
        <w:rPr>
          <w:rStyle w:val="20"/>
        </w:rPr>
        <w:footnoteRef/>
      </w:r>
      <w:r>
        <w:rPr>
          <w:spacing w:val="9"/>
        </w:rPr>
        <w:t>程恩富</w:t>
      </w:r>
      <w:r>
        <w:rPr>
          <w:rFonts w:ascii="微软雅黑" w:hAnsi="微软雅黑" w:eastAsia="微软雅黑" w:cs="微软雅黑"/>
          <w:spacing w:val="9"/>
        </w:rPr>
        <w:t>、</w:t>
      </w:r>
      <w:r>
        <w:rPr>
          <w:spacing w:val="9"/>
        </w:rPr>
        <w:t>伍山林</w:t>
      </w:r>
      <w:r>
        <w:rPr>
          <w:rFonts w:ascii="微软雅黑" w:hAnsi="微软雅黑" w:eastAsia="微软雅黑" w:cs="微软雅黑"/>
          <w:spacing w:val="9"/>
        </w:rPr>
        <w:t>:《</w:t>
      </w:r>
      <w:r>
        <w:rPr>
          <w:spacing w:val="9"/>
        </w:rPr>
        <w:t>促进社会各阶层共同富裕的若干政策</w:t>
      </w:r>
      <w:r>
        <w:rPr>
          <w:spacing w:val="8"/>
        </w:rPr>
        <w:t>思路</w:t>
      </w:r>
      <w:r>
        <w:rPr>
          <w:rFonts w:ascii="微软雅黑" w:hAnsi="微软雅黑" w:eastAsia="微软雅黑" w:cs="微软雅黑"/>
          <w:spacing w:val="8"/>
        </w:rPr>
        <w:t>》,</w:t>
      </w:r>
      <w:r>
        <w:rPr>
          <w:spacing w:val="8"/>
        </w:rPr>
        <w:t>载</w:t>
      </w:r>
      <w:r>
        <w:rPr>
          <w:rFonts w:ascii="微软雅黑" w:hAnsi="微软雅黑" w:eastAsia="微软雅黑" w:cs="微软雅黑"/>
          <w:spacing w:val="8"/>
        </w:rPr>
        <w:t>《</w:t>
      </w:r>
      <w:r>
        <w:rPr>
          <w:spacing w:val="8"/>
        </w:rPr>
        <w:t>政治经济学研究</w:t>
      </w:r>
      <w:r>
        <w:rPr>
          <w:rFonts w:ascii="微软雅黑" w:hAnsi="微软雅黑" w:eastAsia="微软雅黑" w:cs="微软雅黑"/>
          <w:spacing w:val="8"/>
        </w:rPr>
        <w:t>》2021</w:t>
      </w:r>
      <w:r>
        <w:rPr>
          <w:spacing w:val="8"/>
        </w:rPr>
        <w:t>年第</w:t>
      </w:r>
      <w:r>
        <w:rPr>
          <w:rFonts w:ascii="微软雅黑" w:hAnsi="微软雅黑" w:eastAsia="微软雅黑" w:cs="微软雅黑"/>
          <w:spacing w:val="8"/>
          <w:position w:val="-2"/>
        </w:rPr>
        <w:t>2</w:t>
      </w:r>
      <w:r>
        <w:rPr>
          <w:spacing w:val="8"/>
        </w:rPr>
        <w:t>期</w:t>
      </w:r>
      <w:r>
        <w:rPr>
          <w:rFonts w:ascii="微软雅黑" w:hAnsi="微软雅黑" w:eastAsia="微软雅黑" w:cs="微软雅黑"/>
          <w:spacing w:val="8"/>
        </w:rPr>
        <w:t>。</w:t>
      </w:r>
    </w:p>
  </w:footnote>
  <w:footnote w:id="1050">
    <w:p w14:paraId="7ECF31EB">
      <w:pPr>
        <w:pStyle w:val="6"/>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hint="eastAsia" w:ascii="宋体" w:hAnsi="宋体" w:eastAsia="宋体" w:cs="宋体"/>
          <w:sz w:val="21"/>
          <w:szCs w:val="21"/>
        </w:rPr>
      </w:pPr>
      <w:r>
        <w:rPr>
          <w:rStyle w:val="20"/>
        </w:rPr>
        <w:footnoteRef/>
      </w:r>
      <w:r>
        <w:t xml:space="preserve"> </w:t>
      </w:r>
      <w:r>
        <w:rPr>
          <w:rFonts w:hint="eastAsia" w:ascii="宋体" w:hAnsi="宋体" w:eastAsia="宋体" w:cs="宋体"/>
          <w:color w:val="231F20"/>
          <w:spacing w:val="8"/>
          <w:sz w:val="21"/>
          <w:szCs w:val="21"/>
        </w:rPr>
        <w:t>在电子商务发展初期，电商以低于实体零售的价格出售商品，从而吸引消费者</w:t>
      </w:r>
      <w:r>
        <w:rPr>
          <w:rFonts w:hint="eastAsia" w:ascii="宋体" w:hAnsi="宋体" w:eastAsia="宋体" w:cs="宋体"/>
          <w:color w:val="231F20"/>
          <w:spacing w:val="-14"/>
          <w:sz w:val="21"/>
          <w:szCs w:val="21"/>
        </w:rPr>
        <w:t xml:space="preserve"> </w:t>
      </w:r>
      <w:r>
        <w:rPr>
          <w:rFonts w:hint="eastAsia" w:ascii="宋体" w:hAnsi="宋体" w:eastAsia="宋体" w:cs="宋体"/>
          <w:color w:val="231F20"/>
          <w:spacing w:val="8"/>
          <w:sz w:val="21"/>
          <w:szCs w:val="21"/>
        </w:rPr>
        <w:t>。但随着线上</w:t>
      </w:r>
      <w:r>
        <w:rPr>
          <w:rFonts w:hint="eastAsia" w:ascii="宋体" w:hAnsi="宋体" w:eastAsia="宋体" w:cs="宋体"/>
          <w:color w:val="231F20"/>
          <w:spacing w:val="7"/>
          <w:sz w:val="21"/>
          <w:szCs w:val="21"/>
        </w:rPr>
        <w:t>消费规模不断扩大及网购文化的</w:t>
      </w:r>
      <w:r>
        <w:rPr>
          <w:rFonts w:hint="eastAsia" w:ascii="宋体" w:hAnsi="宋体" w:eastAsia="宋体" w:cs="宋体"/>
          <w:color w:val="231F20"/>
          <w:spacing w:val="5"/>
          <w:sz w:val="21"/>
          <w:szCs w:val="21"/>
        </w:rPr>
        <w:t>形成，越来越多的消费者发现线上购物并不总是具有高性价比</w:t>
      </w:r>
      <w:r>
        <w:rPr>
          <w:rFonts w:hint="eastAsia" w:ascii="宋体" w:hAnsi="宋体" w:eastAsia="宋体" w:cs="宋体"/>
          <w:color w:val="231F20"/>
          <w:spacing w:val="-5"/>
          <w:sz w:val="21"/>
          <w:szCs w:val="21"/>
        </w:rPr>
        <w:t xml:space="preserve"> </w:t>
      </w:r>
      <w:r>
        <w:rPr>
          <w:rFonts w:hint="eastAsia" w:ascii="宋体" w:hAnsi="宋体" w:eastAsia="宋体" w:cs="宋体"/>
          <w:color w:val="231F20"/>
          <w:spacing w:val="5"/>
          <w:sz w:val="21"/>
          <w:szCs w:val="21"/>
        </w:rPr>
        <w:t>。如，一些电商会通过设置线上或线下专供，使线上线下产品不同，避免</w:t>
      </w:r>
      <w:r>
        <w:rPr>
          <w:rFonts w:hint="eastAsia" w:ascii="宋体" w:hAnsi="宋体" w:eastAsia="宋体" w:cs="宋体"/>
          <w:color w:val="231F20"/>
          <w:spacing w:val="6"/>
          <w:sz w:val="21"/>
          <w:szCs w:val="21"/>
        </w:rPr>
        <w:t>消费者比较价格</w:t>
      </w:r>
      <w:r>
        <w:rPr>
          <w:rFonts w:hint="eastAsia" w:ascii="宋体" w:hAnsi="宋体" w:eastAsia="宋体" w:cs="宋体"/>
          <w:color w:val="231F20"/>
          <w:spacing w:val="-6"/>
          <w:sz w:val="21"/>
          <w:szCs w:val="21"/>
        </w:rPr>
        <w:t xml:space="preserve"> </w:t>
      </w:r>
      <w:r>
        <w:rPr>
          <w:rFonts w:hint="eastAsia" w:ascii="宋体" w:hAnsi="宋体" w:eastAsia="宋体" w:cs="宋体"/>
          <w:color w:val="231F20"/>
          <w:spacing w:val="6"/>
          <w:sz w:val="21"/>
          <w:szCs w:val="21"/>
        </w:rPr>
        <w:t>。为分析方便，这里假设线上和线下商品价格相同，并且即使线上商品价格略低也并不影响分析结果。</w:t>
      </w:r>
    </w:p>
    <w:p w14:paraId="21AE2F51">
      <w:pPr>
        <w:pStyle w:val="11"/>
        <w:snapToGrid w:val="0"/>
      </w:pPr>
    </w:p>
  </w:footnote>
  <w:footnote w:id="1051">
    <w:p w14:paraId="0C0ED55E">
      <w:pPr>
        <w:pStyle w:val="11"/>
        <w:snapToGrid w:val="0"/>
        <w:rPr>
          <w:sz w:val="18"/>
          <w:szCs w:val="18"/>
        </w:rPr>
      </w:pPr>
      <w:r>
        <w:rPr>
          <w:rStyle w:val="20"/>
          <w:sz w:val="18"/>
          <w:szCs w:val="18"/>
        </w:rPr>
        <w:footnoteRef/>
      </w:r>
      <w:r>
        <w:rPr>
          <w:sz w:val="18"/>
          <w:szCs w:val="18"/>
        </w:rPr>
        <w:t xml:space="preserve"> </w:t>
      </w:r>
      <w:r>
        <w:rPr>
          <w:rFonts w:hint="eastAsia" w:eastAsia="宋体"/>
          <w:sz w:val="18"/>
          <w:szCs w:val="18"/>
          <w:lang w:val="en-US" w:eastAsia="zh-CN"/>
        </w:rPr>
        <w:t>数据</w:t>
      </w:r>
      <w:r>
        <w:rPr>
          <w:rFonts w:ascii="楷体" w:hAnsi="楷体" w:eastAsia="楷体" w:cs="楷体"/>
          <w:color w:val="231F20"/>
          <w:spacing w:val="6"/>
          <w:sz w:val="18"/>
          <w:szCs w:val="18"/>
        </w:rPr>
        <w:t>来源：国家市场监管总局《中国反垄断执法年度报告（</w:t>
      </w:r>
      <w:r>
        <w:rPr>
          <w:rFonts w:ascii="新宋体" w:hAnsi="新宋体" w:eastAsia="新宋体" w:cs="新宋体"/>
          <w:color w:val="231F20"/>
          <w:spacing w:val="6"/>
          <w:sz w:val="18"/>
          <w:szCs w:val="18"/>
        </w:rPr>
        <w:t>2024</w:t>
      </w:r>
      <w:r>
        <w:rPr>
          <w:rFonts w:ascii="楷体" w:hAnsi="楷体" w:eastAsia="楷体" w:cs="楷体"/>
          <w:color w:val="231F20"/>
          <w:spacing w:val="-25"/>
          <w:w w:val="97"/>
          <w:sz w:val="18"/>
          <w:szCs w:val="18"/>
        </w:rPr>
        <w:t>年）》。</w:t>
      </w:r>
    </w:p>
  </w:footnote>
  <w:footnote w:id="1052">
    <w:p w14:paraId="3272A361">
      <w:pPr>
        <w:pStyle w:val="11"/>
        <w:snapToGrid w:val="0"/>
      </w:pPr>
      <w:r>
        <w:rPr>
          <w:rStyle w:val="20"/>
        </w:rPr>
        <w:footnoteRef/>
      </w:r>
      <w:r>
        <w:rPr>
          <w:rFonts w:ascii="方正书宋_GBK" w:hAnsi="方正书宋_GBK" w:eastAsia="方正书宋_GBK" w:cs="方正书宋_GBK"/>
          <w:color w:val="231F20"/>
          <w:spacing w:val="-7"/>
          <w:sz w:val="15"/>
          <w:szCs w:val="15"/>
        </w:rPr>
        <w:t>参见《人民至上，中国式现代化的出发点》，</w:t>
      </w:r>
      <w:r>
        <w:fldChar w:fldCharType="begin"/>
      </w:r>
      <w:r>
        <w:instrText xml:space="preserve"> HYPERLINK "https://www.gov.cn/yaowen/liebiao/202503/content_7013555.htm" </w:instrText>
      </w:r>
      <w:r>
        <w:fldChar w:fldCharType="separate"/>
      </w:r>
      <w:r>
        <w:rPr>
          <w:color w:val="231F20"/>
          <w:spacing w:val="-7"/>
          <w:sz w:val="15"/>
          <w:szCs w:val="15"/>
        </w:rPr>
        <w:t>https://www.gov.cn/y</w:t>
      </w:r>
      <w:r>
        <w:rPr>
          <w:color w:val="231F20"/>
          <w:spacing w:val="-8"/>
          <w:sz w:val="15"/>
          <w:szCs w:val="15"/>
        </w:rPr>
        <w:t>aowen/liebiao/202503/content_7013555.htm</w:t>
      </w:r>
      <w:r>
        <w:rPr>
          <w:color w:val="231F20"/>
          <w:spacing w:val="-8"/>
          <w:sz w:val="15"/>
          <w:szCs w:val="15"/>
        </w:rPr>
        <w:fldChar w:fldCharType="end"/>
      </w:r>
      <w:r>
        <w:rPr>
          <w:rFonts w:ascii="方正书宋_GBK" w:hAnsi="方正书宋_GBK" w:eastAsia="方正书宋_GBK" w:cs="方正书宋_GBK"/>
          <w:color w:val="231F20"/>
          <w:spacing w:val="-8"/>
          <w:sz w:val="15"/>
          <w:szCs w:val="15"/>
        </w:rPr>
        <w:t>。</w:t>
      </w:r>
    </w:p>
  </w:footnote>
  <w:footnote w:id="1053">
    <w:p w14:paraId="10B42B59">
      <w:pPr>
        <w:pStyle w:val="11"/>
        <w:snapToGrid w:val="0"/>
      </w:pPr>
      <w:r>
        <w:rPr>
          <w:rStyle w:val="20"/>
        </w:rPr>
        <w:footnoteRef/>
      </w:r>
      <w:r>
        <w:rPr>
          <w:rFonts w:ascii="方正书宋_GBK" w:hAnsi="方正书宋_GBK" w:eastAsia="方正书宋_GBK" w:cs="方正书宋_GBK"/>
          <w:color w:val="231F20"/>
          <w:spacing w:val="-8"/>
          <w:sz w:val="15"/>
          <w:szCs w:val="15"/>
        </w:rPr>
        <w:t>参见《“幸福”，如何成为施政关键词》，</w:t>
      </w:r>
      <w:r>
        <w:fldChar w:fldCharType="begin"/>
      </w:r>
      <w:r>
        <w:instrText xml:space="preserve"> HYPERLINK "https://cpc.people.com.cn/18/n/2012/1111/c350832-19541096.html" </w:instrText>
      </w:r>
      <w:r>
        <w:fldChar w:fldCharType="separate"/>
      </w:r>
      <w:r>
        <w:rPr>
          <w:color w:val="231F20"/>
          <w:spacing w:val="-8"/>
          <w:sz w:val="15"/>
          <w:szCs w:val="15"/>
        </w:rPr>
        <w:t>http</w:t>
      </w:r>
      <w:r>
        <w:rPr>
          <w:color w:val="231F20"/>
          <w:spacing w:val="-9"/>
          <w:sz w:val="15"/>
          <w:szCs w:val="15"/>
        </w:rPr>
        <w:t>s://cpc.people.com.cn/18/n/2012/1111/c350832-19541096.html</w:t>
      </w:r>
      <w:r>
        <w:rPr>
          <w:color w:val="231F20"/>
          <w:spacing w:val="-9"/>
          <w:sz w:val="15"/>
          <w:szCs w:val="15"/>
        </w:rPr>
        <w:fldChar w:fldCharType="end"/>
      </w:r>
      <w:r>
        <w:rPr>
          <w:rFonts w:ascii="方正书宋_GBK" w:hAnsi="方正书宋_GBK" w:eastAsia="方正书宋_GBK" w:cs="方正书宋_GBK"/>
          <w:color w:val="231F20"/>
          <w:spacing w:val="-9"/>
          <w:sz w:val="15"/>
          <w:szCs w:val="15"/>
        </w:rPr>
        <w:t>。</w:t>
      </w:r>
    </w:p>
  </w:footnote>
  <w:footnote w:id="1054">
    <w:p w14:paraId="1487D3F9">
      <w:pPr>
        <w:pStyle w:val="11"/>
        <w:snapToGrid w:val="0"/>
      </w:pPr>
      <w:r>
        <w:rPr>
          <w:rStyle w:val="20"/>
        </w:rPr>
        <w:footnoteRef/>
      </w:r>
      <w:r>
        <w:rPr>
          <w:rFonts w:ascii="方正书宋简体" w:hAnsi="方正书宋简体" w:eastAsia="方正书宋简体" w:cs="方正书宋简体"/>
          <w:color w:val="231F20"/>
          <w:spacing w:val="3"/>
          <w:sz w:val="17"/>
          <w:szCs w:val="17"/>
        </w:rPr>
        <w:t>《习近平谈治国理政》第四卷，外文出版社2022年版，第114页。</w:t>
      </w:r>
    </w:p>
  </w:footnote>
  <w:footnote w:id="1055">
    <w:p w14:paraId="6BC5000B">
      <w:pPr>
        <w:pStyle w:val="11"/>
        <w:snapToGrid w:val="0"/>
      </w:pPr>
      <w:r>
        <w:rPr>
          <w:rStyle w:val="20"/>
        </w:rPr>
        <w:footnoteRef/>
      </w:r>
      <w:r>
        <w:rPr>
          <w:rFonts w:ascii="方正书宋简体" w:hAnsi="方正书宋简体" w:eastAsia="方正书宋简体" w:cs="方正书宋简体"/>
          <w:color w:val="231F20"/>
          <w:sz w:val="17"/>
          <w:szCs w:val="17"/>
        </w:rPr>
        <w:t>参见李泽厚：《美学四讲》，广西师范大学出版社2001年版，第70页。</w:t>
      </w:r>
    </w:p>
  </w:footnote>
  <w:footnote w:id="1056">
    <w:p w14:paraId="650A9509">
      <w:pPr>
        <w:pStyle w:val="11"/>
        <w:snapToGrid w:val="0"/>
      </w:pPr>
      <w:r>
        <w:rPr>
          <w:rStyle w:val="20"/>
        </w:rPr>
        <w:footnoteRef/>
      </w:r>
      <w:r>
        <w:rPr>
          <w:rFonts w:ascii="方正书宋简体" w:hAnsi="方正书宋简体" w:eastAsia="方正书宋简体" w:cs="方正书宋简体"/>
          <w:color w:val="231F20"/>
          <w:spacing w:val="-2"/>
          <w:sz w:val="17"/>
          <w:szCs w:val="17"/>
        </w:rPr>
        <w:t>范正美：《经济美学》，中国城市出版社2004年版，第17—18页。</w:t>
      </w:r>
    </w:p>
  </w:footnote>
  <w:footnote w:id="1057">
    <w:p w14:paraId="3F53E8F0">
      <w:pPr>
        <w:pStyle w:val="11"/>
        <w:snapToGrid w:val="0"/>
      </w:pPr>
      <w:r>
        <w:rPr>
          <w:rStyle w:val="20"/>
        </w:rPr>
        <w:footnoteRef/>
      </w:r>
      <w:r>
        <w:rPr>
          <w:rFonts w:ascii="方正书宋简体" w:hAnsi="方正书宋简体" w:eastAsia="方正书宋简体" w:cs="方正书宋简体"/>
          <w:color w:val="231F20"/>
          <w:sz w:val="17"/>
          <w:szCs w:val="17"/>
        </w:rPr>
        <w:t>凌继尧、张晓刚：《经济审美化研究》，学林出版社2010年版，第7—8页。</w:t>
      </w:r>
    </w:p>
  </w:footnote>
  <w:footnote w:id="1058">
    <w:p w14:paraId="1FF12190">
      <w:pPr>
        <w:pStyle w:val="6"/>
        <w:spacing w:before="37" w:line="234" w:lineRule="auto"/>
        <w:ind w:right="66"/>
        <w:rPr>
          <w:rFonts w:ascii="方正书宋简体" w:hAnsi="方正书宋简体" w:eastAsia="方正书宋简体" w:cs="方正书宋简体"/>
          <w:sz w:val="17"/>
          <w:szCs w:val="17"/>
        </w:rPr>
      </w:pPr>
      <w:r>
        <w:rPr>
          <w:rStyle w:val="20"/>
        </w:rPr>
        <w:footnoteRef/>
      </w:r>
      <w:r>
        <w:rPr>
          <w:rFonts w:ascii="方正书宋简体" w:hAnsi="方正书宋简体" w:eastAsia="方正书宋简体" w:cs="方正书宋简体"/>
          <w:color w:val="231F20"/>
          <w:sz w:val="17"/>
          <w:szCs w:val="17"/>
        </w:rPr>
        <w:t>Kahneman</w:t>
      </w:r>
      <w:r>
        <w:rPr>
          <w:rFonts w:ascii="方正书宋简体" w:hAnsi="方正书宋简体" w:eastAsia="方正书宋简体" w:cs="方正书宋简体"/>
          <w:color w:val="231F20"/>
          <w:spacing w:val="10"/>
          <w:sz w:val="17"/>
          <w:szCs w:val="17"/>
        </w:rPr>
        <w:t>,D.,</w:t>
      </w:r>
      <w:r>
        <w:rPr>
          <w:rFonts w:ascii="方正书宋简体" w:hAnsi="方正书宋简体" w:eastAsia="方正书宋简体" w:cs="方正书宋简体"/>
          <w:color w:val="231F20"/>
          <w:sz w:val="17"/>
          <w:szCs w:val="17"/>
        </w:rPr>
        <w:t>Fredrickson</w:t>
      </w:r>
      <w:r>
        <w:rPr>
          <w:rFonts w:ascii="方正书宋简体" w:hAnsi="方正书宋简体" w:eastAsia="方正书宋简体" w:cs="方正书宋简体"/>
          <w:color w:val="231F20"/>
          <w:spacing w:val="10"/>
          <w:sz w:val="17"/>
          <w:szCs w:val="17"/>
        </w:rPr>
        <w:t>,B.L.,</w:t>
      </w:r>
      <w:r>
        <w:rPr>
          <w:rFonts w:ascii="方正书宋简体" w:hAnsi="方正书宋简体" w:eastAsia="方正书宋简体" w:cs="方正书宋简体"/>
          <w:color w:val="231F20"/>
          <w:sz w:val="17"/>
          <w:szCs w:val="17"/>
        </w:rPr>
        <w:t>Schreiber</w:t>
      </w:r>
      <w:r>
        <w:rPr>
          <w:rFonts w:ascii="方正书宋简体" w:hAnsi="方正书宋简体" w:eastAsia="方正书宋简体" w:cs="方正书宋简体"/>
          <w:color w:val="231F20"/>
          <w:spacing w:val="10"/>
          <w:sz w:val="17"/>
          <w:szCs w:val="17"/>
        </w:rPr>
        <w:t>,C.A.,&amp;</w:t>
      </w:r>
      <w:r>
        <w:rPr>
          <w:rFonts w:ascii="方正书宋简体" w:hAnsi="方正书宋简体" w:eastAsia="方正书宋简体" w:cs="方正书宋简体"/>
          <w:color w:val="231F20"/>
          <w:sz w:val="17"/>
          <w:szCs w:val="17"/>
        </w:rPr>
        <w:t>Redelmeier</w:t>
      </w:r>
      <w:r>
        <w:rPr>
          <w:rFonts w:ascii="方正书宋简体" w:hAnsi="方正书宋简体" w:eastAsia="方正书宋简体" w:cs="方正书宋简体"/>
          <w:color w:val="231F20"/>
          <w:spacing w:val="10"/>
          <w:sz w:val="17"/>
          <w:szCs w:val="17"/>
        </w:rPr>
        <w:t>,D.A.,</w:t>
      </w:r>
      <w:r>
        <w:rPr>
          <w:rFonts w:ascii="方正书宋简体" w:hAnsi="方正书宋简体" w:eastAsia="方正书宋简体" w:cs="方正书宋简体"/>
          <w:color w:val="231F20"/>
          <w:sz w:val="17"/>
          <w:szCs w:val="17"/>
        </w:rPr>
        <w:t>When</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More</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Pain</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Is</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Preferred</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to</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Less</w:t>
      </w:r>
      <w:r>
        <w:rPr>
          <w:rFonts w:ascii="方正书宋简体" w:hAnsi="方正书宋简体" w:eastAsia="方正书宋简体" w:cs="方正书宋简体"/>
          <w:color w:val="231F20"/>
          <w:spacing w:val="10"/>
          <w:sz w:val="17"/>
          <w:szCs w:val="17"/>
        </w:rPr>
        <w:t>:</w:t>
      </w:r>
      <w:r>
        <w:rPr>
          <w:rFonts w:ascii="方正书宋简体" w:hAnsi="方正书宋简体" w:eastAsia="方正书宋简体" w:cs="方正书宋简体"/>
          <w:color w:val="231F20"/>
          <w:sz w:val="17"/>
          <w:szCs w:val="17"/>
        </w:rPr>
        <w:t>Adding</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a</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Better</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End</w:t>
      </w:r>
      <w:r>
        <w:rPr>
          <w:rFonts w:ascii="方正书宋简体" w:hAnsi="方正书宋简体" w:eastAsia="方正书宋简体" w:cs="方正书宋简体"/>
          <w:color w:val="231F20"/>
          <w:spacing w:val="5"/>
          <w:sz w:val="17"/>
          <w:szCs w:val="17"/>
        </w:rPr>
        <w:t>,</w:t>
      </w:r>
      <w:r>
        <w:rPr>
          <w:rFonts w:ascii="方正书宋简体" w:hAnsi="方正书宋简体" w:eastAsia="方正书宋简体" w:cs="方正书宋简体"/>
          <w:i/>
          <w:iCs/>
          <w:color w:val="231F20"/>
          <w:sz w:val="18"/>
          <w:szCs w:val="18"/>
        </w:rPr>
        <w:t>Psychological</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Science</w:t>
      </w:r>
      <w:r>
        <w:rPr>
          <w:rFonts w:ascii="方正书宋简体" w:hAnsi="方正书宋简体" w:eastAsia="方正书宋简体" w:cs="方正书宋简体"/>
          <w:color w:val="231F20"/>
          <w:spacing w:val="5"/>
          <w:sz w:val="17"/>
          <w:szCs w:val="17"/>
        </w:rPr>
        <w:t>,</w:t>
      </w:r>
      <w:r>
        <w:rPr>
          <w:rFonts w:ascii="方正书宋简体" w:hAnsi="方正书宋简体" w:eastAsia="方正书宋简体" w:cs="方正书宋简体"/>
          <w:color w:val="231F20"/>
          <w:sz w:val="17"/>
          <w:szCs w:val="17"/>
        </w:rPr>
        <w:t>vol</w:t>
      </w:r>
      <w:r>
        <w:rPr>
          <w:rFonts w:ascii="方正书宋简体" w:hAnsi="方正书宋简体" w:eastAsia="方正书宋简体" w:cs="方正书宋简体"/>
          <w:color w:val="231F20"/>
          <w:spacing w:val="5"/>
          <w:sz w:val="17"/>
          <w:szCs w:val="17"/>
        </w:rPr>
        <w:t>.4,</w:t>
      </w:r>
      <w:r>
        <w:rPr>
          <w:rFonts w:ascii="方正书宋简体" w:hAnsi="方正书宋简体" w:eastAsia="方正书宋简体" w:cs="方正书宋简体"/>
          <w:color w:val="231F20"/>
          <w:sz w:val="17"/>
          <w:szCs w:val="17"/>
        </w:rPr>
        <w:t>no</w:t>
      </w:r>
      <w:r>
        <w:rPr>
          <w:rFonts w:ascii="方正书宋简体" w:hAnsi="方正书宋简体" w:eastAsia="方正书宋简体" w:cs="方正书宋简体"/>
          <w:color w:val="231F20"/>
          <w:spacing w:val="5"/>
          <w:sz w:val="17"/>
          <w:szCs w:val="17"/>
        </w:rPr>
        <w:t>.6,1993:401-405.</w:t>
      </w:r>
    </w:p>
    <w:p w14:paraId="6FCF7B72">
      <w:pPr>
        <w:pStyle w:val="11"/>
        <w:snapToGrid w:val="0"/>
      </w:pPr>
    </w:p>
  </w:footnote>
  <w:footnote w:id="1059">
    <w:p w14:paraId="3E08D3FB">
      <w:pPr>
        <w:pStyle w:val="11"/>
        <w:snapToGrid w:val="0"/>
      </w:pPr>
      <w:r>
        <w:rPr>
          <w:rStyle w:val="20"/>
        </w:rPr>
        <w:footnoteRef/>
      </w:r>
      <w:r>
        <w:rPr>
          <w:rFonts w:ascii="方正书宋简体" w:hAnsi="方正书宋简体" w:eastAsia="方正书宋简体" w:cs="方正书宋简体"/>
          <w:color w:val="231F20"/>
          <w:spacing w:val="-3"/>
          <w:sz w:val="17"/>
          <w:szCs w:val="17"/>
        </w:rPr>
        <w:t>参见瓦尔特·本雅明：《机械复制时代的艺术作品》，王才勇译，中国城市出版社2002年版，第90—91页。</w:t>
      </w:r>
    </w:p>
  </w:footnote>
  <w:footnote w:id="1060">
    <w:p w14:paraId="680B0A16">
      <w:pPr>
        <w:pStyle w:val="11"/>
        <w:snapToGrid w:val="0"/>
      </w:pPr>
      <w:r>
        <w:rPr>
          <w:rStyle w:val="20"/>
        </w:rPr>
        <w:footnoteRef/>
      </w:r>
      <w:r>
        <w:rPr>
          <w:rFonts w:ascii="方正书宋简体" w:hAnsi="方正书宋简体" w:eastAsia="方正书宋简体" w:cs="方正书宋简体"/>
          <w:color w:val="231F20"/>
          <w:sz w:val="17"/>
          <w:szCs w:val="17"/>
        </w:rPr>
        <w:t>皮埃尔·布尔迪厄：《区分：判断力的社会批判》上册，刘晖译，商务印书馆2015年版，第9页。</w:t>
      </w:r>
    </w:p>
  </w:footnote>
  <w:footnote w:id="1061">
    <w:p w14:paraId="05CA1F35">
      <w:pPr>
        <w:pStyle w:val="11"/>
        <w:snapToGrid w:val="0"/>
      </w:pPr>
      <w:r>
        <w:rPr>
          <w:rStyle w:val="20"/>
        </w:rPr>
        <w:footnoteRef/>
      </w:r>
      <w:r>
        <w:rPr>
          <w:rFonts w:ascii="方正书宋简体" w:hAnsi="方正书宋简体" w:eastAsia="方正书宋简体" w:cs="方正书宋简体"/>
          <w:color w:val="231F20"/>
          <w:spacing w:val="1"/>
          <w:sz w:val="17"/>
          <w:szCs w:val="17"/>
        </w:rPr>
        <w:t>程恩富：《海派经济学方法论：综合创新的若</w:t>
      </w:r>
      <w:r>
        <w:rPr>
          <w:rFonts w:ascii="方正书宋简体" w:hAnsi="方正书宋简体" w:eastAsia="方正书宋简体" w:cs="方正书宋简体"/>
          <w:color w:val="231F20"/>
          <w:sz w:val="17"/>
          <w:szCs w:val="17"/>
        </w:rPr>
        <w:t>干思考》，《上海财经大学学报》2005年第1期。</w:t>
      </w:r>
    </w:p>
  </w:footnote>
  <w:footnote w:id="1062">
    <w:p w14:paraId="6E0DA38D">
      <w:pPr>
        <w:pStyle w:val="11"/>
        <w:snapToGrid w:val="0"/>
      </w:pPr>
      <w:r>
        <w:rPr>
          <w:rStyle w:val="20"/>
        </w:rPr>
        <w:footnoteRef/>
      </w:r>
      <w:r>
        <w:rPr>
          <w:rFonts w:ascii="方正书宋简体" w:hAnsi="方正书宋简体" w:eastAsia="方正书宋简体" w:cs="方正书宋简体"/>
          <w:color w:val="231F20"/>
          <w:spacing w:val="1"/>
          <w:sz w:val="17"/>
          <w:szCs w:val="17"/>
        </w:rPr>
        <w:t>程恩富：《新中国的经济变迁与趋势定位</w:t>
      </w:r>
      <w:r>
        <w:rPr>
          <w:rFonts w:ascii="方正书宋简体" w:hAnsi="方正书宋简体" w:eastAsia="方正书宋简体" w:cs="方正书宋简体"/>
          <w:color w:val="333333"/>
          <w:spacing w:val="1"/>
          <w:sz w:val="17"/>
          <w:szCs w:val="17"/>
        </w:rPr>
        <w:t>——与张五常先生商榷之三</w:t>
      </w:r>
      <w:r>
        <w:rPr>
          <w:rFonts w:ascii="方正书宋简体" w:hAnsi="方正书宋简体" w:eastAsia="方正书宋简体" w:cs="方正书宋简体"/>
          <w:color w:val="231F20"/>
          <w:spacing w:val="1"/>
          <w:sz w:val="17"/>
          <w:szCs w:val="17"/>
        </w:rPr>
        <w:t>》，《学术月刊》1996年第5期。</w:t>
      </w:r>
    </w:p>
  </w:footnote>
  <w:footnote w:id="1063">
    <w:p w14:paraId="2EABE10D">
      <w:pPr>
        <w:pStyle w:val="11"/>
        <w:snapToGrid w:val="0"/>
      </w:pPr>
      <w:r>
        <w:rPr>
          <w:rStyle w:val="20"/>
        </w:rPr>
        <w:footnoteRef/>
      </w:r>
      <w:r>
        <w:rPr>
          <w:rFonts w:ascii="方正书宋简体" w:hAnsi="方正书宋简体" w:eastAsia="方正书宋简体" w:cs="方正书宋简体"/>
          <w:color w:val="231F20"/>
          <w:spacing w:val="2"/>
          <w:sz w:val="17"/>
          <w:szCs w:val="17"/>
        </w:rPr>
        <w:t>《马克思恩格斯文集》第1卷，人民出版社2009年版，第158—159页。</w:t>
      </w:r>
    </w:p>
  </w:footnote>
  <w:footnote w:id="1064">
    <w:p w14:paraId="18BA47DD">
      <w:pPr>
        <w:pStyle w:val="11"/>
        <w:snapToGrid w:val="0"/>
      </w:pPr>
      <w:r>
        <w:rPr>
          <w:rStyle w:val="20"/>
        </w:rPr>
        <w:footnoteRef/>
      </w:r>
      <w:r>
        <w:rPr>
          <w:rFonts w:ascii="方正书宋简体" w:hAnsi="方正书宋简体" w:eastAsia="方正书宋简体" w:cs="方正书宋简体"/>
          <w:color w:val="231F20"/>
          <w:sz w:val="17"/>
          <w:szCs w:val="17"/>
        </w:rPr>
        <w:t>汤可敬：《说文解字今释》上卷，岳麓书</w:t>
      </w:r>
      <w:r>
        <w:rPr>
          <w:rFonts w:ascii="方正书宋简体" w:hAnsi="方正书宋简体" w:eastAsia="方正书宋简体" w:cs="方正书宋简体"/>
          <w:color w:val="231F20"/>
          <w:spacing w:val="-1"/>
          <w:sz w:val="17"/>
          <w:szCs w:val="17"/>
        </w:rPr>
        <w:t>社1997年版，第511页。</w:t>
      </w:r>
    </w:p>
  </w:footnote>
  <w:footnote w:id="1065">
    <w:p w14:paraId="0D3DD8BC">
      <w:pPr>
        <w:pStyle w:val="11"/>
        <w:snapToGrid w:val="0"/>
      </w:pPr>
      <w:r>
        <w:rPr>
          <w:rStyle w:val="20"/>
        </w:rPr>
        <w:footnoteRef/>
      </w:r>
      <w:r>
        <w:rPr>
          <w:rFonts w:ascii="方正书宋简体" w:hAnsi="方正书宋简体" w:eastAsia="方正书宋简体" w:cs="方正书宋简体"/>
          <w:color w:val="231F20"/>
          <w:spacing w:val="1"/>
          <w:sz w:val="17"/>
          <w:szCs w:val="17"/>
        </w:rPr>
        <w:t>程恩富：《海派经济学方法论：综合创新的若</w:t>
      </w:r>
      <w:r>
        <w:rPr>
          <w:rFonts w:ascii="方正书宋简体" w:hAnsi="方正书宋简体" w:eastAsia="方正书宋简体" w:cs="方正书宋简体"/>
          <w:color w:val="231F20"/>
          <w:sz w:val="17"/>
          <w:szCs w:val="17"/>
        </w:rPr>
        <w:t>干思考》，《上海财经大学学报》2005年第1期。</w:t>
      </w:r>
    </w:p>
  </w:footnote>
  <w:footnote w:id="1066">
    <w:p w14:paraId="2044B5A8">
      <w:pPr>
        <w:pStyle w:val="11"/>
        <w:snapToGrid w:val="0"/>
      </w:pPr>
      <w:r>
        <w:rPr>
          <w:rStyle w:val="20"/>
        </w:rPr>
        <w:footnoteRef/>
      </w:r>
      <w:r>
        <w:rPr>
          <w:rFonts w:ascii="方正书宋简体" w:hAnsi="方正书宋简体" w:eastAsia="方正书宋简体" w:cs="方正书宋简体"/>
          <w:color w:val="231F20"/>
          <w:sz w:val="17"/>
          <w:szCs w:val="17"/>
        </w:rPr>
        <w:t>参见柏拉图：《理想国》，郭斌和、张竹明译，商务印书馆1986年版，第154—</w:t>
      </w:r>
      <w:r>
        <w:rPr>
          <w:rFonts w:ascii="方正书宋简体" w:hAnsi="方正书宋简体" w:eastAsia="方正书宋简体" w:cs="方正书宋简体"/>
          <w:color w:val="231F20"/>
          <w:spacing w:val="-1"/>
          <w:sz w:val="17"/>
          <w:szCs w:val="17"/>
        </w:rPr>
        <w:t>155页。</w:t>
      </w:r>
    </w:p>
  </w:footnote>
  <w:footnote w:id="1067">
    <w:p w14:paraId="2293BB16">
      <w:pPr>
        <w:pStyle w:val="11"/>
        <w:snapToGrid w:val="0"/>
      </w:pPr>
      <w:r>
        <w:rPr>
          <w:rStyle w:val="20"/>
        </w:rPr>
        <w:footnoteRef/>
      </w:r>
      <w:r>
        <w:rPr>
          <w:rFonts w:ascii="方正书宋简体" w:hAnsi="方正书宋简体" w:eastAsia="方正书宋简体" w:cs="方正书宋简体"/>
          <w:color w:val="231F20"/>
          <w:spacing w:val="1"/>
          <w:sz w:val="17"/>
          <w:szCs w:val="17"/>
        </w:rPr>
        <w:t>参见亚里士多德：《尼各马可伦理学》，</w:t>
      </w:r>
      <w:r>
        <w:rPr>
          <w:rFonts w:ascii="方正书宋简体" w:hAnsi="方正书宋简体" w:eastAsia="方正书宋简体" w:cs="方正书宋简体"/>
          <w:color w:val="231F20"/>
          <w:sz w:val="17"/>
          <w:szCs w:val="17"/>
        </w:rPr>
        <w:t>廖申白译注，商务印书馆2003年版，第48、171页。</w:t>
      </w:r>
    </w:p>
  </w:footnote>
  <w:footnote w:id="1068">
    <w:p w14:paraId="239BD855">
      <w:pPr>
        <w:pStyle w:val="11"/>
        <w:snapToGrid w:val="0"/>
      </w:pPr>
      <w:r>
        <w:rPr>
          <w:rStyle w:val="20"/>
        </w:rPr>
        <w:footnoteRef/>
      </w:r>
      <w:r>
        <w:rPr>
          <w:rFonts w:ascii="方正书宋简体" w:hAnsi="方正书宋简体" w:eastAsia="方正书宋简体" w:cs="方正书宋简体"/>
          <w:color w:val="231F20"/>
          <w:spacing w:val="-2"/>
          <w:sz w:val="17"/>
          <w:szCs w:val="17"/>
        </w:rPr>
        <w:t>中共中央文献研究室编：《习近平关于社会主义经济建设论述摘编》，中央文献出版社2017年版，第51页。</w:t>
      </w:r>
    </w:p>
  </w:footnote>
  <w:footnote w:id="1069">
    <w:p w14:paraId="6DA442B5">
      <w:pPr>
        <w:pStyle w:val="11"/>
        <w:snapToGrid w:val="0"/>
        <w:rPr>
          <w:rFonts w:hint="eastAsia" w:eastAsia="方正书宋简体"/>
          <w:lang w:eastAsia="zh-CN"/>
        </w:rPr>
      </w:pPr>
      <w:r>
        <w:rPr>
          <w:rStyle w:val="20"/>
        </w:rPr>
        <w:footnoteRef/>
      </w:r>
      <w:r>
        <w:rPr>
          <w:rFonts w:ascii="方正书宋简体" w:hAnsi="方正书宋简体" w:eastAsia="方正书宋简体" w:cs="方正书宋简体"/>
          <w:color w:val="231F20"/>
          <w:spacing w:val="1"/>
          <w:sz w:val="17"/>
          <w:szCs w:val="17"/>
        </w:rPr>
        <w:t>程恩富：《海派经济学方法论：综合创新的若</w:t>
      </w:r>
      <w:r>
        <w:rPr>
          <w:rFonts w:ascii="方正书宋简体" w:hAnsi="方正书宋简体" w:eastAsia="方正书宋简体" w:cs="方正书宋简体"/>
          <w:color w:val="231F20"/>
          <w:sz w:val="17"/>
          <w:szCs w:val="17"/>
        </w:rPr>
        <w:t>干思考》，《上海财经大学学报》2005年第1期。</w:t>
      </w:r>
    </w:p>
  </w:footnote>
  <w:footnote w:id="1070">
    <w:p w14:paraId="549AF63C">
      <w:pPr>
        <w:pStyle w:val="11"/>
        <w:snapToGrid w:val="0"/>
      </w:pPr>
      <w:r>
        <w:rPr>
          <w:rStyle w:val="20"/>
        </w:rPr>
        <w:footnoteRef/>
      </w:r>
      <w:r>
        <w:rPr>
          <w:rFonts w:ascii="方正书宋简体" w:hAnsi="方正书宋简体" w:eastAsia="方正书宋简体" w:cs="方正书宋简体"/>
          <w:color w:val="231F20"/>
          <w:spacing w:val="-1"/>
          <w:sz w:val="17"/>
          <w:szCs w:val="17"/>
        </w:rPr>
        <w:t>阿多诺：《美学理论》，王柯平译，上海人民出版社2020年版，第77页。</w:t>
      </w:r>
    </w:p>
  </w:footnote>
  <w:footnote w:id="1071">
    <w:p w14:paraId="135F816B">
      <w:pPr>
        <w:pStyle w:val="11"/>
        <w:snapToGrid w:val="0"/>
      </w:pPr>
      <w:r>
        <w:rPr>
          <w:rStyle w:val="20"/>
        </w:rPr>
        <w:footnoteRef/>
      </w:r>
      <w:r>
        <w:rPr>
          <w:rFonts w:ascii="方正书宋简体" w:hAnsi="方正书宋简体" w:eastAsia="方正书宋简体" w:cs="方正书宋简体"/>
          <w:color w:val="231F20"/>
          <w:spacing w:val="2"/>
          <w:sz w:val="17"/>
          <w:szCs w:val="17"/>
        </w:rPr>
        <w:t>《马克思恩格斯文集》第1卷，人民出版社2009年版，第158—159页。</w:t>
      </w:r>
    </w:p>
  </w:footnote>
  <w:footnote w:id="1072">
    <w:p w14:paraId="16FA211B">
      <w:pPr>
        <w:pStyle w:val="11"/>
        <w:snapToGrid w:val="0"/>
      </w:pPr>
      <w:r>
        <w:rPr>
          <w:rStyle w:val="20"/>
        </w:rPr>
        <w:footnoteRef/>
      </w:r>
      <w:r>
        <w:rPr>
          <w:rFonts w:ascii="方正书宋简体" w:hAnsi="方正书宋简体" w:eastAsia="方正书宋简体" w:cs="方正书宋简体"/>
          <w:color w:val="231F20"/>
          <w:spacing w:val="3"/>
          <w:sz w:val="17"/>
          <w:szCs w:val="17"/>
        </w:rPr>
        <w:t>《马克思恩格斯文集》第4卷，人民出版社2009年版</w:t>
      </w:r>
      <w:r>
        <w:rPr>
          <w:rFonts w:ascii="方正书宋简体" w:hAnsi="方正书宋简体" w:eastAsia="方正书宋简体" w:cs="方正书宋简体"/>
          <w:color w:val="231F20"/>
          <w:spacing w:val="2"/>
          <w:sz w:val="17"/>
          <w:szCs w:val="17"/>
        </w:rPr>
        <w:t>，第313页。</w:t>
      </w:r>
    </w:p>
  </w:footnote>
  <w:footnote w:id="1073">
    <w:p w14:paraId="2857F656">
      <w:pPr>
        <w:pStyle w:val="11"/>
        <w:snapToGrid w:val="0"/>
      </w:pPr>
      <w:r>
        <w:rPr>
          <w:rStyle w:val="20"/>
        </w:rPr>
        <w:footnoteRef/>
      </w:r>
      <w:r>
        <w:rPr>
          <w:rFonts w:ascii="方正书宋简体" w:hAnsi="方正书宋简体" w:eastAsia="方正书宋简体" w:cs="方正书宋简体"/>
          <w:color w:val="231F20"/>
          <w:spacing w:val="3"/>
          <w:sz w:val="17"/>
          <w:szCs w:val="17"/>
        </w:rPr>
        <w:t>《马克思恩格斯全集》第21卷，人民出版社2003年版，第423</w:t>
      </w:r>
      <w:r>
        <w:rPr>
          <w:rFonts w:ascii="方正书宋简体" w:hAnsi="方正书宋简体" w:eastAsia="方正书宋简体" w:cs="方正书宋简体"/>
          <w:color w:val="231F20"/>
          <w:spacing w:val="2"/>
          <w:sz w:val="17"/>
          <w:szCs w:val="17"/>
        </w:rPr>
        <w:t>页。</w:t>
      </w:r>
    </w:p>
  </w:footnote>
  <w:footnote w:id="1074">
    <w:p w14:paraId="7A5F6455">
      <w:pPr>
        <w:pStyle w:val="11"/>
        <w:snapToGrid w:val="0"/>
      </w:pPr>
      <w:r>
        <w:rPr>
          <w:rStyle w:val="20"/>
        </w:rPr>
        <w:footnoteRef/>
      </w:r>
      <w:r>
        <w:rPr>
          <w:rFonts w:ascii="方正书宋简体" w:hAnsi="方正书宋简体" w:eastAsia="方正书宋简体" w:cs="方正书宋简体"/>
          <w:color w:val="231F20"/>
          <w:spacing w:val="3"/>
          <w:sz w:val="17"/>
          <w:szCs w:val="17"/>
        </w:rPr>
        <w:t>《习近平谈治国理政》第三卷，外文出版社2020年版，第248页。</w:t>
      </w:r>
    </w:p>
  </w:footnote>
  <w:footnote w:id="1075">
    <w:p w14:paraId="240CA749">
      <w:pPr>
        <w:pStyle w:val="11"/>
        <w:snapToGrid w:val="0"/>
      </w:pPr>
      <w:r>
        <w:rPr>
          <w:rStyle w:val="20"/>
        </w:rPr>
        <w:footnoteRef/>
      </w:r>
      <w:r>
        <w:rPr>
          <w:rFonts w:ascii="方正书宋简体" w:hAnsi="方正书宋简体" w:eastAsia="方正书宋简体" w:cs="方正书宋简体"/>
          <w:color w:val="231F20"/>
          <w:spacing w:val="-2"/>
          <w:sz w:val="17"/>
          <w:szCs w:val="17"/>
        </w:rPr>
        <w:t>《大学·中庸》，王国轩译注，中华书局2006年版，第46页。</w:t>
      </w:r>
    </w:p>
  </w:footnote>
  <w:footnote w:id="1076">
    <w:p w14:paraId="5B8E3DB0">
      <w:pPr>
        <w:pStyle w:val="11"/>
        <w:snapToGrid w:val="0"/>
      </w:pPr>
      <w:r>
        <w:rPr>
          <w:rStyle w:val="20"/>
        </w:rPr>
        <w:footnoteRef/>
      </w:r>
      <w:r>
        <w:rPr>
          <w:rFonts w:ascii="方正书宋简体" w:hAnsi="方正书宋简体" w:eastAsia="方正书宋简体" w:cs="方正书宋简体"/>
          <w:color w:val="231F20"/>
          <w:spacing w:val="-1"/>
          <w:sz w:val="17"/>
          <w:szCs w:val="17"/>
        </w:rPr>
        <w:t>中共中央文献研究室编：《习近平关于社会主义社会建设论述摘编》，中央文献出版社2017年版，第25页。</w:t>
      </w:r>
    </w:p>
  </w:footnote>
  <w:footnote w:id="1077">
    <w:p w14:paraId="3F467A35">
      <w:pPr>
        <w:pStyle w:val="11"/>
        <w:snapToGrid w:val="0"/>
      </w:pPr>
      <w:r>
        <w:rPr>
          <w:rStyle w:val="20"/>
        </w:rPr>
        <w:footnoteRef/>
      </w:r>
      <w:r>
        <w:rPr>
          <w:rFonts w:ascii="方正书宋简体" w:hAnsi="方正书宋简体" w:eastAsia="方正书宋简体" w:cs="方正书宋简体"/>
          <w:color w:val="231F20"/>
          <w:spacing w:val="3"/>
          <w:sz w:val="17"/>
          <w:szCs w:val="17"/>
        </w:rPr>
        <w:t>《习近平谈治国理政》第三卷，外文出版社2020年版，第240页。</w:t>
      </w:r>
    </w:p>
  </w:footnote>
  <w:footnote w:id="1078">
    <w:p w14:paraId="441EFFC6">
      <w:pPr>
        <w:pStyle w:val="11"/>
        <w:snapToGrid w:val="0"/>
      </w:pPr>
      <w:r>
        <w:rPr>
          <w:rStyle w:val="20"/>
        </w:rPr>
        <w:footnoteRef/>
      </w:r>
      <w:r>
        <w:rPr>
          <w:rFonts w:ascii="方正书宋简体" w:hAnsi="方正书宋简体" w:eastAsia="方正书宋简体" w:cs="方正书宋简体"/>
          <w:color w:val="231F20"/>
          <w:spacing w:val="8"/>
          <w:sz w:val="17"/>
          <w:szCs w:val="17"/>
        </w:rPr>
        <w:t>王先鹏：《马克思真的认为流通过程能创造价值吗？——坚持“生产劳动</w:t>
      </w:r>
      <w:r>
        <w:rPr>
          <w:rFonts w:ascii="方正书宋简体" w:hAnsi="方正书宋简体" w:eastAsia="方正书宋简体" w:cs="方正书宋简体"/>
          <w:color w:val="231F20"/>
          <w:spacing w:val="7"/>
          <w:sz w:val="17"/>
          <w:szCs w:val="17"/>
        </w:rPr>
        <w:t>创造价值”一元论及其在新</w:t>
      </w:r>
      <w:r>
        <w:rPr>
          <w:rFonts w:ascii="方正书宋简体" w:hAnsi="方正书宋简体" w:eastAsia="方正书宋简体" w:cs="方正书宋简体"/>
          <w:color w:val="231F20"/>
          <w:sz w:val="17"/>
          <w:szCs w:val="17"/>
        </w:rPr>
        <w:t>时代的启示》，《毛泽东邓小平理论研究》202</w:t>
      </w:r>
      <w:r>
        <w:rPr>
          <w:rFonts w:ascii="方正书宋简体" w:hAnsi="方正书宋简体" w:eastAsia="方正书宋简体" w:cs="方正书宋简体"/>
          <w:color w:val="231F20"/>
          <w:spacing w:val="-1"/>
          <w:sz w:val="17"/>
          <w:szCs w:val="17"/>
        </w:rPr>
        <w:t>2年第5期。</w:t>
      </w:r>
    </w:p>
  </w:footnote>
  <w:footnote w:id="1079">
    <w:p w14:paraId="106A7ED6">
      <w:pPr>
        <w:pStyle w:val="11"/>
        <w:snapToGrid w:val="0"/>
      </w:pPr>
      <w:r>
        <w:rPr>
          <w:rStyle w:val="20"/>
        </w:rPr>
        <w:footnoteRef/>
      </w:r>
      <w:r>
        <w:rPr>
          <w:rFonts w:ascii="方正书宋简体" w:hAnsi="方正书宋简体" w:eastAsia="方正书宋简体" w:cs="方正书宋简体"/>
          <w:color w:val="231F20"/>
          <w:spacing w:val="10"/>
          <w:sz w:val="17"/>
          <w:szCs w:val="17"/>
        </w:rPr>
        <w:t>《习近平在中国人民大学考察时强调坚持党的领导传承红色基因扎</w:t>
      </w:r>
      <w:r>
        <w:rPr>
          <w:rFonts w:ascii="方正书宋简体" w:hAnsi="方正书宋简体" w:eastAsia="方正书宋简体" w:cs="方正书宋简体"/>
          <w:color w:val="231F20"/>
          <w:spacing w:val="9"/>
          <w:sz w:val="17"/>
          <w:szCs w:val="17"/>
        </w:rPr>
        <w:t>根中国大地走出一条建设中国</w:t>
      </w:r>
      <w:r>
        <w:rPr>
          <w:rFonts w:ascii="方正书宋简体" w:hAnsi="方正书宋简体" w:eastAsia="方正书宋简体" w:cs="方正书宋简体"/>
          <w:color w:val="231F20"/>
          <w:spacing w:val="-1"/>
          <w:sz w:val="17"/>
          <w:szCs w:val="17"/>
        </w:rPr>
        <w:t>特色世界一流大学新路》，《人民日报》20</w:t>
      </w:r>
      <w:r>
        <w:rPr>
          <w:rFonts w:ascii="方正书宋简体" w:hAnsi="方正书宋简体" w:eastAsia="方正书宋简体" w:cs="方正书宋简体"/>
          <w:color w:val="231F20"/>
          <w:spacing w:val="-2"/>
          <w:sz w:val="17"/>
          <w:szCs w:val="17"/>
        </w:rPr>
        <w:t>22年4月26日，第1版。</w:t>
      </w:r>
    </w:p>
  </w:footnote>
  <w:footnote w:id="1080">
    <w:p w14:paraId="03A19067">
      <w:pPr>
        <w:pStyle w:val="11"/>
        <w:snapToGrid w:val="0"/>
        <w:rPr>
          <w:rFonts w:hint="eastAsia" w:eastAsia="方正书宋简体"/>
          <w:lang w:eastAsia="zh-CN"/>
        </w:rPr>
      </w:pPr>
      <w:r>
        <w:rPr>
          <w:rStyle w:val="20"/>
        </w:rPr>
        <w:footnoteRef/>
      </w:r>
      <w:r>
        <w:rPr>
          <w:rFonts w:ascii="方正书宋简体" w:hAnsi="方正书宋简体" w:eastAsia="方正书宋简体" w:cs="方正书宋简体"/>
          <w:color w:val="231F20"/>
          <w:spacing w:val="2"/>
          <w:sz w:val="17"/>
          <w:szCs w:val="17"/>
        </w:rPr>
        <w:t>程恩富、何干强：《论推进中国经济学现代化的学术原则——主析“马学”、“</w:t>
      </w:r>
      <w:r>
        <w:rPr>
          <w:rFonts w:ascii="方正书宋简体" w:hAnsi="方正书宋简体" w:eastAsia="方正书宋简体" w:cs="方正书宋简体"/>
          <w:color w:val="231F20"/>
          <w:spacing w:val="1"/>
          <w:sz w:val="17"/>
          <w:szCs w:val="17"/>
        </w:rPr>
        <w:t>西学”与“国学”之关</w:t>
      </w:r>
      <w:r>
        <w:rPr>
          <w:rFonts w:ascii="方正书宋简体" w:hAnsi="方正书宋简体" w:eastAsia="方正书宋简体" w:cs="方正书宋简体"/>
          <w:color w:val="231F20"/>
          <w:spacing w:val="-4"/>
          <w:sz w:val="17"/>
          <w:szCs w:val="17"/>
        </w:rPr>
        <w:t>系》，《马克思主义研究》2009年第4期。</w:t>
      </w:r>
    </w:p>
  </w:footnote>
  <w:footnote w:id="1081">
    <w:p w14:paraId="5802CCE2">
      <w:pPr>
        <w:pStyle w:val="11"/>
        <w:snapToGrid w:val="0"/>
      </w:pPr>
      <w:r>
        <w:rPr>
          <w:rStyle w:val="20"/>
        </w:rPr>
        <w:footnoteRef/>
      </w:r>
      <w:r>
        <w:rPr>
          <w:rFonts w:ascii="方正书宋简体" w:hAnsi="方正书宋简体" w:eastAsia="方正书宋简体" w:cs="方正书宋简体"/>
          <w:color w:val="231F20"/>
          <w:spacing w:val="3"/>
          <w:sz w:val="17"/>
          <w:szCs w:val="17"/>
        </w:rPr>
        <w:t>《我国清洁能源投资规模占全球比重达1/3》，</w:t>
      </w:r>
      <w:r>
        <w:fldChar w:fldCharType="begin"/>
      </w:r>
      <w:r>
        <w:instrText xml:space="preserve"> HYPERLINK "https://www.gov.cn/yaowen/shipin/202506/content_7029861.htm" </w:instrText>
      </w:r>
      <w:r>
        <w:fldChar w:fldCharType="separate"/>
      </w:r>
      <w:r>
        <w:rPr>
          <w:rFonts w:ascii="方正书宋简体" w:hAnsi="方正书宋简体" w:eastAsia="方正书宋简体" w:cs="方正书宋简体"/>
          <w:color w:val="231F20"/>
          <w:sz w:val="17"/>
          <w:szCs w:val="17"/>
        </w:rPr>
        <w:t>https</w:t>
      </w:r>
      <w:r>
        <w:rPr>
          <w:rFonts w:ascii="方正书宋简体" w:hAnsi="方正书宋简体" w:eastAsia="方正书宋简体" w:cs="方正书宋简体"/>
          <w:color w:val="231F20"/>
          <w:spacing w:val="3"/>
          <w:sz w:val="17"/>
          <w:szCs w:val="17"/>
        </w:rPr>
        <w:t>:/</w:t>
      </w:r>
      <w:r>
        <w:rPr>
          <w:rFonts w:ascii="方正书宋简体" w:hAnsi="方正书宋简体" w:eastAsia="方正书宋简体" w:cs="方正书宋简体"/>
          <w:color w:val="231F20"/>
          <w:spacing w:val="2"/>
          <w:sz w:val="17"/>
          <w:szCs w:val="17"/>
        </w:rPr>
        <w:t>/</w:t>
      </w:r>
      <w:r>
        <w:rPr>
          <w:rFonts w:ascii="方正书宋简体" w:hAnsi="方正书宋简体" w:eastAsia="方正书宋简体" w:cs="方正书宋简体"/>
          <w:color w:val="231F20"/>
          <w:sz w:val="17"/>
          <w:szCs w:val="17"/>
        </w:rPr>
        <w:t>www</w:t>
      </w:r>
      <w:r>
        <w:rPr>
          <w:rFonts w:ascii="方正书宋简体" w:hAnsi="方正书宋简体" w:eastAsia="方正书宋简体" w:cs="方正书宋简体"/>
          <w:color w:val="231F20"/>
          <w:spacing w:val="2"/>
          <w:sz w:val="17"/>
          <w:szCs w:val="17"/>
        </w:rPr>
        <w:t>.</w:t>
      </w:r>
      <w:r>
        <w:rPr>
          <w:rFonts w:ascii="方正书宋简体" w:hAnsi="方正书宋简体" w:eastAsia="方正书宋简体" w:cs="方正书宋简体"/>
          <w:color w:val="231F20"/>
          <w:sz w:val="17"/>
          <w:szCs w:val="17"/>
        </w:rPr>
        <w:t>gov</w:t>
      </w:r>
      <w:r>
        <w:rPr>
          <w:rFonts w:ascii="方正书宋简体" w:hAnsi="方正书宋简体" w:eastAsia="方正书宋简体" w:cs="方正书宋简体"/>
          <w:color w:val="231F20"/>
          <w:spacing w:val="2"/>
          <w:sz w:val="17"/>
          <w:szCs w:val="17"/>
        </w:rPr>
        <w:t>.</w:t>
      </w:r>
      <w:r>
        <w:rPr>
          <w:rFonts w:ascii="方正书宋简体" w:hAnsi="方正书宋简体" w:eastAsia="方正书宋简体" w:cs="方正书宋简体"/>
          <w:color w:val="231F20"/>
          <w:sz w:val="17"/>
          <w:szCs w:val="17"/>
        </w:rPr>
        <w:t>cn</w:t>
      </w:r>
      <w:r>
        <w:rPr>
          <w:rFonts w:ascii="方正书宋简体" w:hAnsi="方正书宋简体" w:eastAsia="方正书宋简体" w:cs="方正书宋简体"/>
          <w:color w:val="231F20"/>
          <w:spacing w:val="2"/>
          <w:sz w:val="17"/>
          <w:szCs w:val="17"/>
        </w:rPr>
        <w:t>/</w:t>
      </w:r>
      <w:r>
        <w:rPr>
          <w:rFonts w:ascii="方正书宋简体" w:hAnsi="方正书宋简体" w:eastAsia="方正书宋简体" w:cs="方正书宋简体"/>
          <w:color w:val="231F20"/>
          <w:sz w:val="17"/>
          <w:szCs w:val="17"/>
        </w:rPr>
        <w:t>yaowen</w:t>
      </w:r>
      <w:r>
        <w:rPr>
          <w:rFonts w:ascii="方正书宋简体" w:hAnsi="方正书宋简体" w:eastAsia="方正书宋简体" w:cs="方正书宋简体"/>
          <w:color w:val="231F20"/>
          <w:spacing w:val="2"/>
          <w:sz w:val="17"/>
          <w:szCs w:val="17"/>
        </w:rPr>
        <w:t>/</w:t>
      </w:r>
      <w:r>
        <w:rPr>
          <w:rFonts w:ascii="方正书宋简体" w:hAnsi="方正书宋简体" w:eastAsia="方正书宋简体" w:cs="方正书宋简体"/>
          <w:color w:val="231F20"/>
          <w:sz w:val="17"/>
          <w:szCs w:val="17"/>
        </w:rPr>
        <w:t>shipin</w:t>
      </w:r>
      <w:r>
        <w:rPr>
          <w:rFonts w:ascii="方正书宋简体" w:hAnsi="方正书宋简体" w:eastAsia="方正书宋简体" w:cs="方正书宋简体"/>
          <w:color w:val="231F20"/>
          <w:spacing w:val="2"/>
          <w:sz w:val="17"/>
          <w:szCs w:val="17"/>
        </w:rPr>
        <w:t>/202506/</w:t>
      </w:r>
      <w:r>
        <w:rPr>
          <w:rFonts w:ascii="方正书宋简体" w:hAnsi="方正书宋简体" w:eastAsia="方正书宋简体" w:cs="方正书宋简体"/>
          <w:color w:val="231F20"/>
          <w:sz w:val="17"/>
          <w:szCs w:val="17"/>
        </w:rPr>
        <w:t>content</w:t>
      </w:r>
      <w:r>
        <w:rPr>
          <w:rFonts w:ascii="方正书宋简体" w:hAnsi="方正书宋简体" w:eastAsia="方正书宋简体" w:cs="方正书宋简体"/>
          <w:color w:val="231F20"/>
          <w:spacing w:val="2"/>
          <w:sz w:val="17"/>
          <w:szCs w:val="17"/>
        </w:rPr>
        <w:t>_7029861.</w:t>
      </w:r>
      <w:r>
        <w:rPr>
          <w:rFonts w:ascii="方正书宋简体" w:hAnsi="方正书宋简体" w:eastAsia="方正书宋简体" w:cs="方正书宋简体"/>
          <w:color w:val="231F20"/>
          <w:sz w:val="17"/>
          <w:szCs w:val="17"/>
        </w:rPr>
        <w:t>htm</w:t>
      </w:r>
      <w:r>
        <w:rPr>
          <w:rFonts w:ascii="方正书宋简体" w:hAnsi="方正书宋简体" w:eastAsia="方正书宋简体" w:cs="方正书宋简体"/>
          <w:color w:val="231F20"/>
          <w:sz w:val="17"/>
          <w:szCs w:val="17"/>
        </w:rPr>
        <w:fldChar w:fldCharType="end"/>
      </w:r>
      <w:r>
        <w:rPr>
          <w:rFonts w:ascii="方正书宋简体" w:hAnsi="方正书宋简体" w:eastAsia="方正书宋简体" w:cs="方正书宋简体"/>
          <w:color w:val="231F20"/>
          <w:spacing w:val="2"/>
          <w:sz w:val="17"/>
          <w:szCs w:val="17"/>
        </w:rPr>
        <w:t>。</w:t>
      </w:r>
    </w:p>
  </w:footnote>
  <w:footnote w:id="1082">
    <w:p w14:paraId="46B1B395">
      <w:pPr>
        <w:pStyle w:val="6"/>
        <w:spacing w:before="73" w:line="233" w:lineRule="auto"/>
        <w:ind w:right="308"/>
      </w:pPr>
      <w:r>
        <w:rPr>
          <w:rStyle w:val="20"/>
        </w:rPr>
        <w:footnoteRef/>
      </w:r>
      <w:r>
        <w:rPr>
          <w:rFonts w:ascii="方正书宋简体" w:hAnsi="方正书宋简体" w:eastAsia="方正书宋简体" w:cs="方正书宋简体"/>
          <w:color w:val="231F20"/>
          <w:spacing w:val="3"/>
          <w:sz w:val="17"/>
          <w:szCs w:val="17"/>
        </w:rPr>
        <w:t>Max</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Lawson,Anam</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Parvez</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Butt,Rowan</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Harvey,Diana</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Sarosi,Clare</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Coffey,Kim</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Piaget,Julie</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The</w:t>
      </w:r>
      <w:r>
        <w:rPr>
          <w:rFonts w:hint="eastAsia" w:ascii="方正书宋简体" w:hAnsi="方正书宋简体" w:eastAsia="方正书宋简体" w:cs="方正书宋简体"/>
          <w:color w:val="231F20"/>
          <w:spacing w:val="3"/>
          <w:sz w:val="17"/>
          <w:szCs w:val="17"/>
          <w:lang w:val="en-US" w:eastAsia="zh-CN"/>
        </w:rPr>
        <w:t xml:space="preserve"> </w:t>
      </w:r>
      <w:r>
        <w:rPr>
          <w:rFonts w:ascii="方正书宋简体" w:hAnsi="方正书宋简体" w:eastAsia="方正书宋简体" w:cs="方正书宋简体"/>
          <w:color w:val="231F20"/>
          <w:spacing w:val="3"/>
          <w:sz w:val="17"/>
          <w:szCs w:val="17"/>
        </w:rPr>
        <w:t>k</w:t>
      </w:r>
      <w:r>
        <w:rPr>
          <w:rFonts w:ascii="方正书宋简体" w:hAnsi="方正书宋简体" w:eastAsia="方正书宋简体" w:cs="方正书宋简体"/>
          <w:color w:val="231F20"/>
          <w:spacing w:val="2"/>
          <w:sz w:val="17"/>
          <w:szCs w:val="17"/>
        </w:rPr>
        <w:t>kudan,</w:t>
      </w:r>
      <w:r>
        <w:rPr>
          <w:rFonts w:ascii="方正书宋简体" w:hAnsi="方正书宋简体" w:eastAsia="方正书宋简体" w:cs="方正书宋简体"/>
          <w:i/>
          <w:iCs/>
          <w:color w:val="231F20"/>
          <w:spacing w:val="2"/>
          <w:sz w:val="18"/>
          <w:szCs w:val="18"/>
        </w:rPr>
        <w:t>Un</w:t>
      </w:r>
      <w:r>
        <w:rPr>
          <w:rFonts w:ascii="方正书宋简体" w:hAnsi="方正书宋简体" w:eastAsia="方正书宋简体" w:cs="方正书宋简体"/>
          <w:i/>
          <w:iCs/>
          <w:color w:val="231F20"/>
          <w:sz w:val="18"/>
          <w:szCs w:val="18"/>
        </w:rPr>
        <w:t>paid</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and</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Underpaid</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Care</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Work</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and</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the</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Global</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Inequality</w:t>
      </w:r>
      <w:r>
        <w:rPr>
          <w:rFonts w:hint="eastAsia" w:ascii="方正书宋简体" w:hAnsi="方正书宋简体" w:eastAsia="方正书宋简体" w:cs="方正书宋简体"/>
          <w:i/>
          <w:iCs/>
          <w:color w:val="231F20"/>
          <w:sz w:val="18"/>
          <w:szCs w:val="18"/>
          <w:lang w:val="en-US" w:eastAsia="zh-CN"/>
        </w:rPr>
        <w:t xml:space="preserve"> </w:t>
      </w:r>
      <w:r>
        <w:rPr>
          <w:rFonts w:ascii="方正书宋简体" w:hAnsi="方正书宋简体" w:eastAsia="方正书宋简体" w:cs="方正书宋简体"/>
          <w:i/>
          <w:iCs/>
          <w:color w:val="231F20"/>
          <w:sz w:val="18"/>
          <w:szCs w:val="18"/>
        </w:rPr>
        <w:t>Crisis</w:t>
      </w:r>
      <w:r>
        <w:rPr>
          <w:rFonts w:ascii="方正书宋简体" w:hAnsi="方正书宋简体" w:eastAsia="方正书宋简体" w:cs="方正书宋简体"/>
          <w:color w:val="231F20"/>
          <w:spacing w:val="2"/>
          <w:sz w:val="17"/>
          <w:szCs w:val="17"/>
        </w:rPr>
        <w:t>,</w:t>
      </w:r>
      <w:r>
        <w:rPr>
          <w:rFonts w:ascii="方正书宋简体" w:hAnsi="方正书宋简体" w:eastAsia="方正书宋简体" w:cs="方正书宋简体"/>
          <w:color w:val="231F20"/>
          <w:sz w:val="17"/>
          <w:szCs w:val="17"/>
        </w:rPr>
        <w:t>Time</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to</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Care</w:t>
      </w:r>
      <w:r>
        <w:rPr>
          <w:rFonts w:hint="eastAsia" w:ascii="方正书宋简体" w:hAnsi="方正书宋简体" w:eastAsia="方正书宋简体" w:cs="方正书宋简体"/>
          <w:color w:val="231F20"/>
          <w:sz w:val="17"/>
          <w:szCs w:val="17"/>
          <w:lang w:val="en-US" w:eastAsia="zh-CN"/>
        </w:rPr>
        <w:t xml:space="preserve"> </w:t>
      </w:r>
      <w:r>
        <w:rPr>
          <w:rFonts w:ascii="方正书宋简体" w:hAnsi="方正书宋简体" w:eastAsia="方正书宋简体" w:cs="方正书宋简体"/>
          <w:color w:val="231F20"/>
          <w:sz w:val="17"/>
          <w:szCs w:val="17"/>
        </w:rPr>
        <w:t>Report</w:t>
      </w:r>
      <w:r>
        <w:rPr>
          <w:rFonts w:ascii="方正书宋简体" w:hAnsi="方正书宋简体" w:eastAsia="方正书宋简体" w:cs="方正书宋简体"/>
          <w:color w:val="231F20"/>
          <w:spacing w:val="2"/>
          <w:sz w:val="17"/>
          <w:szCs w:val="17"/>
        </w:rPr>
        <w:t>(2020),20</w:t>
      </w:r>
      <w:r>
        <w:rPr>
          <w:rFonts w:ascii="方正书宋简体" w:hAnsi="方正书宋简体" w:eastAsia="方正书宋简体" w:cs="方正书宋简体"/>
          <w:color w:val="231F20"/>
          <w:sz w:val="17"/>
          <w:szCs w:val="17"/>
        </w:rPr>
        <w:t>January</w:t>
      </w:r>
      <w:r>
        <w:rPr>
          <w:rFonts w:ascii="方正书宋简体" w:hAnsi="方正书宋简体" w:eastAsia="方正书宋简体" w:cs="方正书宋简体"/>
          <w:color w:val="231F20"/>
          <w:spacing w:val="2"/>
          <w:sz w:val="17"/>
          <w:szCs w:val="17"/>
        </w:rPr>
        <w:t>2020.</w:t>
      </w:r>
    </w:p>
  </w:footnote>
  <w:footnote w:id="1083">
    <w:p w14:paraId="69B9E69F">
      <w:pPr>
        <w:pStyle w:val="11"/>
        <w:snapToGrid w:val="0"/>
      </w:pPr>
      <w:r>
        <w:rPr>
          <w:rStyle w:val="20"/>
        </w:rPr>
        <w:footnoteRef/>
      </w:r>
      <w:r>
        <w:rPr>
          <w:rFonts w:ascii="方正书宋简体" w:hAnsi="方正书宋简体" w:eastAsia="方正书宋简体" w:cs="方正书宋简体"/>
          <w:color w:val="231F20"/>
          <w:spacing w:val="3"/>
          <w:sz w:val="17"/>
          <w:szCs w:val="17"/>
        </w:rPr>
        <w:t>《马克思恩格斯文集》第5卷，人民出版社2009年版，第743—744页。</w:t>
      </w:r>
    </w:p>
  </w:footnote>
  <w:footnote w:id="1084">
    <w:p w14:paraId="27B5DA5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3"/>
          <w:sz w:val="18"/>
          <w:szCs w:val="18"/>
        </w:rPr>
        <w:t>本文系国家社科基金后期资助“马克思资本理论及其当代中国实践”(24</w:t>
      </w:r>
      <w:r>
        <w:rPr>
          <w:rFonts w:hint="eastAsia" w:ascii="宋体" w:hAnsi="宋体" w:eastAsia="宋体" w:cs="宋体"/>
          <w:sz w:val="18"/>
          <w:szCs w:val="18"/>
        </w:rPr>
        <w:t>FKSB</w:t>
      </w:r>
      <w:r>
        <w:rPr>
          <w:rFonts w:hint="eastAsia" w:ascii="宋体" w:hAnsi="宋体" w:eastAsia="宋体" w:cs="宋体"/>
          <w:spacing w:val="13"/>
          <w:sz w:val="18"/>
          <w:szCs w:val="18"/>
        </w:rPr>
        <w:t>004)的阶段性研究</w:t>
      </w:r>
      <w:r>
        <w:rPr>
          <w:rFonts w:hint="eastAsia" w:ascii="宋体" w:hAnsi="宋体" w:eastAsia="宋体" w:cs="宋体"/>
          <w:spacing w:val="5"/>
          <w:sz w:val="18"/>
          <w:szCs w:val="18"/>
        </w:rPr>
        <w:t>成果。</w:t>
      </w:r>
    </w:p>
  </w:footnote>
  <w:footnote w:id="1085">
    <w:p w14:paraId="44E5BB61">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《马克思恩格斯文集》第8卷,人民出版</w:t>
      </w:r>
      <w:r>
        <w:rPr>
          <w:rFonts w:hint="eastAsia" w:ascii="宋体" w:hAnsi="宋体" w:eastAsia="宋体" w:cs="宋体"/>
          <w:spacing w:val="1"/>
          <w:sz w:val="18"/>
          <w:szCs w:val="18"/>
        </w:rPr>
        <w:t>社,2009,第31页。</w:t>
      </w:r>
    </w:p>
  </w:footnote>
  <w:footnote w:id="1086">
    <w:p w14:paraId="5F7D5AE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《列宁全集》第16卷,人民出版社,1988,</w:t>
      </w:r>
      <w:r>
        <w:rPr>
          <w:rFonts w:hint="eastAsia" w:ascii="宋体" w:hAnsi="宋体" w:eastAsia="宋体" w:cs="宋体"/>
          <w:spacing w:val="-2"/>
          <w:sz w:val="18"/>
          <w:szCs w:val="18"/>
        </w:rPr>
        <w:t>第387～388页。</w:t>
      </w:r>
    </w:p>
  </w:footnote>
  <w:footnote w:id="1087">
    <w:p w14:paraId="43263A6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《列宁全集》第16卷,人民出版社,1988,第392页。</w:t>
      </w:r>
    </w:p>
  </w:footnote>
  <w:footnote w:id="1088">
    <w:p w14:paraId="5002E20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《列宁全集》第14卷,人民出版社,1988,第89页</w:t>
      </w:r>
      <w:r>
        <w:rPr>
          <w:rFonts w:hint="eastAsia" w:ascii="宋体" w:hAnsi="宋体" w:eastAsia="宋体" w:cs="宋体"/>
          <w:sz w:val="18"/>
          <w:szCs w:val="18"/>
          <w:lang w:eastAsia="zh-CN"/>
        </w:rPr>
        <w:t>。</w:t>
      </w:r>
    </w:p>
  </w:footnote>
  <w:footnote w:id="1089">
    <w:p w14:paraId="374F4157">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《列宁全集》第16卷,人民出版社,1988,第379页</w:t>
      </w:r>
      <w:r>
        <w:rPr>
          <w:rFonts w:hint="eastAsia" w:ascii="宋体" w:hAnsi="宋体" w:eastAsia="宋体" w:cs="宋体"/>
          <w:sz w:val="18"/>
          <w:szCs w:val="18"/>
          <w:lang w:eastAsia="zh-CN"/>
        </w:rPr>
        <w:t>。</w:t>
      </w:r>
    </w:p>
  </w:footnote>
  <w:footnote w:id="1090">
    <w:p w14:paraId="6674194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《列宁全集》第4卷,人民出版社,1984,第200</w:t>
      </w:r>
      <w:r>
        <w:rPr>
          <w:rFonts w:hint="eastAsia" w:ascii="宋体" w:hAnsi="宋体" w:eastAsia="宋体" w:cs="宋体"/>
          <w:sz w:val="18"/>
          <w:szCs w:val="18"/>
        </w:rPr>
        <w:t>页。</w:t>
      </w:r>
    </w:p>
  </w:footnote>
  <w:footnote w:id="1091">
    <w:p w14:paraId="78AC45C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《马克思恩格斯全集》第18卷,人民出版社,1964,第64页。</w:t>
      </w:r>
    </w:p>
  </w:footnote>
  <w:footnote w:id="1092">
    <w:p w14:paraId="7F89E3E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《列宁全集》第6卷,人民出版社,1986,</w:t>
      </w:r>
      <w:r>
        <w:rPr>
          <w:rFonts w:hint="eastAsia" w:ascii="宋体" w:hAnsi="宋体" w:eastAsia="宋体" w:cs="宋体"/>
          <w:sz w:val="18"/>
          <w:szCs w:val="18"/>
        </w:rPr>
        <w:t>第310页。</w:t>
      </w:r>
    </w:p>
  </w:footnote>
  <w:footnote w:id="1093">
    <w:p w14:paraId="48CA3E7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《列宁全集》第16卷,人民出版社,1988,第396页。</w:t>
      </w:r>
    </w:p>
  </w:footnote>
  <w:footnote w:id="1094">
    <w:p w14:paraId="0161FB1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《列宁全集》第16卷,人民出版社,1988,第39</w:t>
      </w:r>
      <w:r>
        <w:rPr>
          <w:rFonts w:hint="eastAsia" w:ascii="宋体" w:hAnsi="宋体" w:eastAsia="宋体" w:cs="宋体"/>
          <w:sz w:val="18"/>
          <w:szCs w:val="18"/>
          <w:lang w:val="en-US" w:eastAsia="zh-CN"/>
        </w:rPr>
        <w:t>2</w:t>
      </w:r>
      <w:r>
        <w:rPr>
          <w:rFonts w:hint="eastAsia" w:ascii="宋体" w:hAnsi="宋体" w:eastAsia="宋体" w:cs="宋体"/>
          <w:sz w:val="18"/>
          <w:szCs w:val="18"/>
        </w:rPr>
        <w:t>页。</w:t>
      </w:r>
    </w:p>
  </w:footnote>
  <w:footnote w:id="1095">
    <w:p w14:paraId="4335845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w:t>
      </w:r>
      <w:r>
        <w:rPr>
          <w:rFonts w:hint="eastAsia" w:ascii="宋体" w:hAnsi="宋体" w:eastAsia="宋体" w:cs="宋体"/>
          <w:sz w:val="18"/>
          <w:szCs w:val="18"/>
          <w:lang w:val="en-US" w:eastAsia="zh-CN"/>
        </w:rPr>
        <w:t>227</w:t>
      </w:r>
      <w:r>
        <w:rPr>
          <w:rFonts w:hint="eastAsia" w:ascii="宋体" w:hAnsi="宋体" w:eastAsia="宋体" w:cs="宋体"/>
          <w:sz w:val="18"/>
          <w:szCs w:val="18"/>
        </w:rPr>
        <w:t>页。</w:t>
      </w:r>
    </w:p>
  </w:footnote>
  <w:footnote w:id="1096">
    <w:p w14:paraId="46F288C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《列宁全集》第15卷,人民出版社,1988,第337页。</w:t>
      </w:r>
    </w:p>
  </w:footnote>
  <w:footnote w:id="1097">
    <w:p w14:paraId="4172D024">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《列宁全集》第12卷,人民出版社,1987,第75页。</w:t>
      </w:r>
    </w:p>
  </w:footnote>
  <w:footnote w:id="1098">
    <w:p w14:paraId="5E83B2B7">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《列宁全集》第13卷,人民出版社,1987,第97页。</w:t>
      </w:r>
    </w:p>
  </w:footnote>
  <w:footnote w:id="1099">
    <w:p w14:paraId="7B72EE07">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《列宁全集》第12卷,人民出版社,1987,第75页。</w:t>
      </w:r>
    </w:p>
  </w:footnote>
  <w:footnote w:id="1100">
    <w:p w14:paraId="4548532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《列宁全集》第13卷,人民出版社,1987,第25页。</w:t>
      </w:r>
    </w:p>
  </w:footnote>
  <w:footnote w:id="1101">
    <w:p w14:paraId="3E35B08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《列宁全集》第13卷,人民出版社,1987,第2</w:t>
      </w:r>
      <w:r>
        <w:rPr>
          <w:rFonts w:hint="eastAsia" w:ascii="宋体" w:hAnsi="宋体" w:eastAsia="宋体" w:cs="宋体"/>
          <w:sz w:val="18"/>
          <w:szCs w:val="18"/>
          <w:lang w:val="en-US" w:eastAsia="zh-CN"/>
        </w:rPr>
        <w:t>6</w:t>
      </w:r>
      <w:r>
        <w:rPr>
          <w:rFonts w:hint="eastAsia" w:ascii="宋体" w:hAnsi="宋体" w:eastAsia="宋体" w:cs="宋体"/>
          <w:sz w:val="18"/>
          <w:szCs w:val="18"/>
        </w:rPr>
        <w:t>页。</w:t>
      </w:r>
    </w:p>
  </w:footnote>
  <w:footnote w:id="1102">
    <w:p w14:paraId="0060682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《列宁全集》第13卷,人民出版社,1987,第2</w:t>
      </w:r>
      <w:r>
        <w:rPr>
          <w:rFonts w:hint="eastAsia" w:ascii="宋体" w:hAnsi="宋体" w:eastAsia="宋体" w:cs="宋体"/>
          <w:sz w:val="18"/>
          <w:szCs w:val="18"/>
          <w:lang w:val="en-US" w:eastAsia="zh-CN"/>
        </w:rPr>
        <w:t>7</w:t>
      </w:r>
      <w:r>
        <w:rPr>
          <w:rFonts w:hint="eastAsia" w:ascii="宋体" w:hAnsi="宋体" w:eastAsia="宋体" w:cs="宋体"/>
          <w:sz w:val="18"/>
          <w:szCs w:val="18"/>
        </w:rPr>
        <w:t>页。</w:t>
      </w:r>
    </w:p>
  </w:footnote>
  <w:footnote w:id="1103">
    <w:p w14:paraId="4520378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《列宁全集》第13卷,人民出版社,1987,第</w:t>
      </w:r>
      <w:r>
        <w:rPr>
          <w:rFonts w:hint="eastAsia" w:ascii="宋体" w:hAnsi="宋体" w:eastAsia="宋体" w:cs="宋体"/>
          <w:sz w:val="18"/>
          <w:szCs w:val="18"/>
          <w:lang w:val="en-US" w:eastAsia="zh-CN"/>
        </w:rPr>
        <w:t>18</w:t>
      </w:r>
      <w:r>
        <w:rPr>
          <w:rFonts w:hint="eastAsia" w:ascii="宋体" w:hAnsi="宋体" w:eastAsia="宋体" w:cs="宋体"/>
          <w:sz w:val="18"/>
          <w:szCs w:val="18"/>
        </w:rPr>
        <w:t>页。</w:t>
      </w:r>
    </w:p>
  </w:footnote>
  <w:footnote w:id="1104">
    <w:p w14:paraId="2C022D1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《列宁全集》第11卷,人民出版社,1987,第43页。</w:t>
      </w:r>
    </w:p>
  </w:footnote>
  <w:footnote w:id="1105">
    <w:p w14:paraId="252AD59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《列宁全集》第4卷,人民出版社,1984,第206</w:t>
      </w:r>
      <w:r>
        <w:rPr>
          <w:rFonts w:hint="eastAsia" w:ascii="宋体" w:hAnsi="宋体" w:eastAsia="宋体" w:cs="宋体"/>
          <w:sz w:val="18"/>
          <w:szCs w:val="18"/>
        </w:rPr>
        <w:t>页。</w:t>
      </w:r>
    </w:p>
  </w:footnote>
  <w:footnote w:id="1106">
    <w:p w14:paraId="739D14D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《列宁全集》第4卷,人民出版社,1984,第206</w:t>
      </w:r>
      <w:r>
        <w:rPr>
          <w:rFonts w:hint="eastAsia" w:ascii="宋体" w:hAnsi="宋体" w:eastAsia="宋体" w:cs="宋体"/>
          <w:sz w:val="18"/>
          <w:szCs w:val="18"/>
        </w:rPr>
        <w:t>页。</w:t>
      </w:r>
    </w:p>
  </w:footnote>
  <w:footnote w:id="1107">
    <w:p w14:paraId="6019F27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《马克思恩格斯全集》第5卷,人民</w:t>
      </w:r>
      <w:r>
        <w:rPr>
          <w:rFonts w:hint="eastAsia" w:ascii="宋体" w:hAnsi="宋体" w:eastAsia="宋体" w:cs="宋体"/>
          <w:spacing w:val="1"/>
          <w:sz w:val="18"/>
          <w:szCs w:val="18"/>
        </w:rPr>
        <w:t>出版社,1958,第560页。</w:t>
      </w:r>
    </w:p>
  </w:footnote>
  <w:footnote w:id="1108">
    <w:p w14:paraId="6B2071A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《马克思恩格斯全集》第7卷,人民</w:t>
      </w:r>
      <w:r>
        <w:rPr>
          <w:rFonts w:hint="eastAsia" w:ascii="宋体" w:hAnsi="宋体" w:eastAsia="宋体" w:cs="宋体"/>
          <w:spacing w:val="1"/>
          <w:sz w:val="18"/>
          <w:szCs w:val="18"/>
        </w:rPr>
        <w:t>出版社,1959,第297页。</w:t>
      </w:r>
    </w:p>
    <w:p w14:paraId="03A217C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109">
    <w:p w14:paraId="305162D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《列宁全集》第13卷,人民出版社,1987,第20页。</w:t>
      </w:r>
    </w:p>
  </w:footnote>
  <w:footnote w:id="1110">
    <w:p w14:paraId="029DC0DF">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《列宁全集》第12卷,人民出版社,1987,第328页。</w:t>
      </w:r>
    </w:p>
  </w:footnote>
  <w:footnote w:id="1111">
    <w:p w14:paraId="77DD599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w:t>
      </w:r>
      <w:r>
        <w:rPr>
          <w:rFonts w:hint="eastAsia" w:ascii="宋体" w:hAnsi="宋体" w:eastAsia="宋体" w:cs="宋体"/>
          <w:spacing w:val="-1"/>
          <w:sz w:val="18"/>
          <w:szCs w:val="18"/>
        </w:rPr>
        <w:t>第7卷,人民出版社,1986,第165～166页。</w:t>
      </w:r>
    </w:p>
  </w:footnote>
  <w:footnote w:id="1112">
    <w:p w14:paraId="52E2B86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《列宁全集》第11卷,人民出版社,1987,第289页。</w:t>
      </w:r>
    </w:p>
  </w:footnote>
  <w:footnote w:id="1113">
    <w:p w14:paraId="1DB4870C">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《列宁全集》第34卷,人民出版社,1985,第147页。</w:t>
      </w:r>
    </w:p>
  </w:footnote>
  <w:footnote w:id="1114">
    <w:p w14:paraId="2B2D41C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《列宁全集》第16卷,人民出版社,1988,第284页。</w:t>
      </w:r>
    </w:p>
  </w:footnote>
  <w:footnote w:id="1115">
    <w:p w14:paraId="4A29494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《列宁全集》第16卷,人民出版社,1988,第28</w:t>
      </w:r>
      <w:r>
        <w:rPr>
          <w:rFonts w:hint="eastAsia" w:ascii="宋体" w:hAnsi="宋体" w:eastAsia="宋体" w:cs="宋体"/>
          <w:sz w:val="18"/>
          <w:szCs w:val="18"/>
          <w:lang w:val="en-US" w:eastAsia="zh-CN"/>
        </w:rPr>
        <w:t>6</w:t>
      </w:r>
      <w:r>
        <w:rPr>
          <w:rFonts w:hint="eastAsia" w:ascii="宋体" w:hAnsi="宋体" w:eastAsia="宋体" w:cs="宋体"/>
          <w:sz w:val="18"/>
          <w:szCs w:val="18"/>
        </w:rPr>
        <w:t>页。</w:t>
      </w:r>
    </w:p>
  </w:footnote>
  <w:footnote w:id="1116">
    <w:p w14:paraId="52433C7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w:t>
      </w:r>
      <w:r>
        <w:rPr>
          <w:rFonts w:hint="eastAsia" w:ascii="宋体" w:hAnsi="宋体" w:eastAsia="宋体" w:cs="宋体"/>
          <w:sz w:val="18"/>
          <w:szCs w:val="18"/>
          <w:lang w:val="en-US" w:eastAsia="zh-CN"/>
        </w:rPr>
        <w:t>392</w:t>
      </w:r>
      <w:r>
        <w:rPr>
          <w:rFonts w:hint="eastAsia" w:ascii="宋体" w:hAnsi="宋体" w:eastAsia="宋体" w:cs="宋体"/>
          <w:sz w:val="18"/>
          <w:szCs w:val="18"/>
        </w:rPr>
        <w:t>页。</w:t>
      </w:r>
    </w:p>
  </w:footnote>
  <w:footnote w:id="1117">
    <w:p w14:paraId="24E598E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《列宁全集》第16卷,人民出版社,1988,第28</w:t>
      </w:r>
      <w:r>
        <w:rPr>
          <w:rFonts w:hint="eastAsia" w:ascii="宋体" w:hAnsi="宋体" w:eastAsia="宋体" w:cs="宋体"/>
          <w:sz w:val="18"/>
          <w:szCs w:val="18"/>
          <w:lang w:val="en-US" w:eastAsia="zh-CN"/>
        </w:rPr>
        <w:t>3</w:t>
      </w:r>
      <w:r>
        <w:rPr>
          <w:rFonts w:hint="eastAsia" w:ascii="宋体" w:hAnsi="宋体" w:eastAsia="宋体" w:cs="宋体"/>
          <w:sz w:val="18"/>
          <w:szCs w:val="18"/>
        </w:rPr>
        <w:t>页。</w:t>
      </w:r>
    </w:p>
  </w:footnote>
  <w:footnote w:id="1118">
    <w:p w14:paraId="314DD49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《列宁全集》第6卷,人民出版社,1986,</w:t>
      </w:r>
      <w:r>
        <w:rPr>
          <w:rFonts w:hint="eastAsia" w:ascii="宋体" w:hAnsi="宋体" w:eastAsia="宋体" w:cs="宋体"/>
          <w:sz w:val="18"/>
          <w:szCs w:val="18"/>
        </w:rPr>
        <w:t>第310页。</w:t>
      </w:r>
    </w:p>
  </w:footnote>
  <w:footnote w:id="1119">
    <w:p w14:paraId="0EAD231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《列宁全集》第12卷,人民出版社,1987,第222页。</w:t>
      </w:r>
    </w:p>
  </w:footnote>
  <w:footnote w:id="1120">
    <w:p w14:paraId="3669131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《列宁全集》第12卷,人民出版社,1987,第227页。</w:t>
      </w:r>
    </w:p>
  </w:footnote>
  <w:footnote w:id="1121">
    <w:p w14:paraId="6C99B25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《列宁全集》第15卷,人民出版社,2017,第26页。</w:t>
      </w:r>
    </w:p>
  </w:footnote>
  <w:footnote w:id="1122">
    <w:p w14:paraId="0532D7E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《列宁全集》第12卷,人民出版社,1987,第329页。</w:t>
      </w:r>
    </w:p>
  </w:footnote>
  <w:footnote w:id="1123">
    <w:p w14:paraId="1766D21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习近平:《论“三农”工作》,中央文献出版社,</w:t>
      </w:r>
      <w:r>
        <w:rPr>
          <w:rFonts w:hint="eastAsia" w:ascii="宋体" w:hAnsi="宋体" w:eastAsia="宋体" w:cs="宋体"/>
          <w:spacing w:val="1"/>
          <w:sz w:val="18"/>
          <w:szCs w:val="18"/>
        </w:rPr>
        <w:t>2022,第157页。</w:t>
      </w:r>
    </w:p>
  </w:footnote>
  <w:footnote w:id="1124">
    <w:p w14:paraId="2E464C2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习近平:《论“三农”工作》,中央文献出版社,2022,第280页。</w:t>
      </w:r>
    </w:p>
  </w:footnote>
  <w:footnote w:id="1125">
    <w:p w14:paraId="2546DAF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程恩富、余煜:《因地制宜</w:t>
      </w:r>
      <w:r>
        <w:rPr>
          <w:rFonts w:hint="eastAsia" w:ascii="宋体" w:hAnsi="宋体" w:eastAsia="宋体" w:cs="宋体"/>
          <w:spacing w:val="1"/>
          <w:sz w:val="18"/>
          <w:szCs w:val="18"/>
        </w:rPr>
        <w:t>发展新型集体经济》,《解放日报》2025年3月4日。</w:t>
      </w:r>
    </w:p>
  </w:footnote>
  <w:footnote w:id="1126">
    <w:p w14:paraId="0FBD8C90">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习近平著作选读》第2卷,人民</w:t>
      </w:r>
      <w:r>
        <w:rPr>
          <w:rFonts w:hint="eastAsia" w:ascii="宋体" w:hAnsi="宋体" w:eastAsia="宋体" w:cs="宋体"/>
          <w:spacing w:val="1"/>
          <w:sz w:val="18"/>
          <w:szCs w:val="18"/>
        </w:rPr>
        <w:t>出版社,2023,第26页。</w:t>
      </w:r>
    </w:p>
  </w:footnote>
  <w:footnote w:id="1127">
    <w:p w14:paraId="731602C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在这三类历史形态之外,还有从不同特征总结的类型,如殖民型种族主义、剥削型种</w:t>
      </w:r>
      <w:r>
        <w:rPr>
          <w:rFonts w:hint="eastAsia" w:ascii="宋体" w:hAnsi="宋体" w:eastAsia="宋体" w:cs="宋体"/>
          <w:spacing w:val="8"/>
          <w:sz w:val="18"/>
          <w:szCs w:val="18"/>
        </w:rPr>
        <w:t>族主义、</w:t>
      </w:r>
      <w:r>
        <w:rPr>
          <w:rFonts w:hint="eastAsia" w:ascii="宋体" w:hAnsi="宋体" w:eastAsia="宋体" w:cs="宋体"/>
          <w:sz w:val="18"/>
          <w:szCs w:val="18"/>
        </w:rPr>
        <w:t>灭绝型种族主义、竞争性种族主义、接触性种</w:t>
      </w:r>
      <w:r>
        <w:rPr>
          <w:rFonts w:hint="eastAsia" w:ascii="宋体" w:hAnsi="宋体" w:eastAsia="宋体" w:cs="宋体"/>
          <w:spacing w:val="-1"/>
          <w:sz w:val="18"/>
          <w:szCs w:val="18"/>
        </w:rPr>
        <w:t>族主义、差别论种族主义、一般的种族主义等,参见〔法〕皮</w:t>
      </w:r>
      <w:r>
        <w:rPr>
          <w:rFonts w:hint="eastAsia" w:ascii="宋体" w:hAnsi="宋体" w:eastAsia="宋体" w:cs="宋体"/>
          <w:spacing w:val="12"/>
          <w:sz w:val="18"/>
          <w:szCs w:val="18"/>
        </w:rPr>
        <w:t>埃尔-安德烈·塔吉耶夫:《种族主义源流》,高凌翰译,北京:生活·读书·新知三联书店,</w:t>
      </w:r>
      <w:r>
        <w:rPr>
          <w:rFonts w:hint="eastAsia" w:ascii="宋体" w:hAnsi="宋体" w:eastAsia="宋体" w:cs="宋体"/>
          <w:spacing w:val="12"/>
          <w:position w:val="-1"/>
          <w:sz w:val="18"/>
          <w:szCs w:val="18"/>
        </w:rPr>
        <w:t>2005</w:t>
      </w:r>
      <w:r>
        <w:rPr>
          <w:rFonts w:hint="eastAsia" w:ascii="宋体" w:hAnsi="宋体" w:eastAsia="宋体" w:cs="宋体"/>
          <w:spacing w:val="12"/>
          <w:sz w:val="18"/>
          <w:szCs w:val="18"/>
        </w:rPr>
        <w:t>年。</w:t>
      </w:r>
    </w:p>
  </w:footnote>
  <w:footnote w:id="1128">
    <w:p w14:paraId="5195665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Blaut</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J.M.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TheTheoryofCulturalRacism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Antipode</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1992</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Vol</w:t>
      </w:r>
      <w:r>
        <w:rPr>
          <w:rFonts w:hint="eastAsia" w:ascii="宋体" w:hAnsi="宋体" w:eastAsia="宋体" w:cs="宋体"/>
          <w:spacing w:val="13"/>
          <w:position w:val="2"/>
          <w:sz w:val="18"/>
          <w:szCs w:val="18"/>
        </w:rPr>
        <w:t>.24</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Issue</w:t>
      </w:r>
      <w:r>
        <w:rPr>
          <w:rFonts w:hint="eastAsia" w:ascii="宋体" w:hAnsi="宋体" w:eastAsia="宋体" w:cs="宋体"/>
          <w:spacing w:val="13"/>
          <w:position w:val="2"/>
          <w:sz w:val="18"/>
          <w:szCs w:val="18"/>
        </w:rPr>
        <w:t>4,</w:t>
      </w:r>
      <w:r>
        <w:rPr>
          <w:rFonts w:hint="eastAsia" w:ascii="宋体" w:hAnsi="宋体" w:eastAsia="宋体" w:cs="宋体"/>
          <w:position w:val="2"/>
          <w:sz w:val="18"/>
          <w:szCs w:val="18"/>
        </w:rPr>
        <w:t>pp</w:t>
      </w:r>
      <w:r>
        <w:rPr>
          <w:rFonts w:hint="eastAsia" w:ascii="宋体" w:hAnsi="宋体" w:eastAsia="宋体" w:cs="宋体"/>
          <w:spacing w:val="13"/>
          <w:position w:val="2"/>
          <w:sz w:val="18"/>
          <w:szCs w:val="18"/>
        </w:rPr>
        <w:t>.</w:t>
      </w:r>
      <w:r>
        <w:rPr>
          <w:rFonts w:hint="eastAsia" w:ascii="宋体" w:hAnsi="宋体" w:eastAsia="宋体" w:cs="宋体"/>
          <w:spacing w:val="12"/>
          <w:position w:val="2"/>
          <w:sz w:val="18"/>
          <w:szCs w:val="18"/>
        </w:rPr>
        <w:t>289-299.</w:t>
      </w:r>
    </w:p>
  </w:footnote>
  <w:footnote w:id="1129">
    <w:p w14:paraId="7AD5D5D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Blaut</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J.M.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TheTheoryofCulturalRacism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Antipode</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1992</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Vol</w:t>
      </w:r>
      <w:r>
        <w:rPr>
          <w:rFonts w:hint="eastAsia" w:ascii="宋体" w:hAnsi="宋体" w:eastAsia="宋体" w:cs="宋体"/>
          <w:spacing w:val="13"/>
          <w:position w:val="2"/>
          <w:sz w:val="18"/>
          <w:szCs w:val="18"/>
        </w:rPr>
        <w:t>.24</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Issue</w:t>
      </w:r>
      <w:r>
        <w:rPr>
          <w:rFonts w:hint="eastAsia" w:ascii="宋体" w:hAnsi="宋体" w:eastAsia="宋体" w:cs="宋体"/>
          <w:spacing w:val="13"/>
          <w:position w:val="2"/>
          <w:sz w:val="18"/>
          <w:szCs w:val="18"/>
        </w:rPr>
        <w:t>4,</w:t>
      </w:r>
      <w:r>
        <w:rPr>
          <w:rFonts w:hint="eastAsia" w:ascii="宋体" w:hAnsi="宋体" w:eastAsia="宋体" w:cs="宋体"/>
          <w:position w:val="2"/>
          <w:sz w:val="18"/>
          <w:szCs w:val="18"/>
        </w:rPr>
        <w:t>pp</w:t>
      </w:r>
      <w:r>
        <w:rPr>
          <w:rFonts w:hint="eastAsia" w:ascii="宋体" w:hAnsi="宋体" w:eastAsia="宋体" w:cs="宋体"/>
          <w:spacing w:val="13"/>
          <w:position w:val="2"/>
          <w:sz w:val="18"/>
          <w:szCs w:val="18"/>
        </w:rPr>
        <w:t>.</w:t>
      </w:r>
      <w:r>
        <w:rPr>
          <w:rFonts w:hint="eastAsia" w:ascii="宋体" w:hAnsi="宋体" w:eastAsia="宋体" w:cs="宋体"/>
          <w:spacing w:val="12"/>
          <w:position w:val="2"/>
          <w:sz w:val="18"/>
          <w:szCs w:val="18"/>
        </w:rPr>
        <w:t>289-299.</w:t>
      </w:r>
    </w:p>
  </w:footnote>
  <w:footnote w:id="1130">
    <w:p w14:paraId="1EB0B40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Mignolo</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W.</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TheDarkerSideofWesternModernity</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Durham</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Du</w:t>
      </w:r>
      <w:r>
        <w:rPr>
          <w:rFonts w:hint="eastAsia" w:ascii="宋体" w:hAnsi="宋体" w:eastAsia="宋体" w:cs="宋体"/>
          <w:spacing w:val="3"/>
          <w:sz w:val="18"/>
          <w:szCs w:val="18"/>
        </w:rPr>
        <w:t>keUniversityPress</w:t>
      </w:r>
      <w:r>
        <w:rPr>
          <w:rFonts w:hint="eastAsia" w:ascii="宋体" w:hAnsi="宋体" w:eastAsia="宋体" w:cs="宋体"/>
          <w:spacing w:val="3"/>
          <w:position w:val="2"/>
          <w:sz w:val="18"/>
          <w:szCs w:val="18"/>
        </w:rPr>
        <w:t>,</w:t>
      </w:r>
      <w:r>
        <w:rPr>
          <w:rFonts w:hint="eastAsia" w:ascii="宋体" w:hAnsi="宋体" w:eastAsia="宋体" w:cs="宋体"/>
          <w:spacing w:val="5"/>
          <w:sz w:val="18"/>
          <w:szCs w:val="18"/>
        </w:rPr>
        <w:t>2011,</w:t>
      </w:r>
      <w:r>
        <w:rPr>
          <w:rFonts w:hint="eastAsia" w:ascii="宋体" w:hAnsi="宋体" w:eastAsia="宋体" w:cs="宋体"/>
          <w:sz w:val="18"/>
          <w:szCs w:val="18"/>
        </w:rPr>
        <w:t>pp</w:t>
      </w:r>
      <w:r>
        <w:rPr>
          <w:rFonts w:hint="eastAsia" w:ascii="宋体" w:hAnsi="宋体" w:eastAsia="宋体" w:cs="宋体"/>
          <w:spacing w:val="5"/>
          <w:sz w:val="18"/>
          <w:szCs w:val="18"/>
        </w:rPr>
        <w:t>.12-18.</w:t>
      </w:r>
    </w:p>
  </w:footnote>
  <w:footnote w:id="1131">
    <w:p w14:paraId="40E55D6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JemarTisby,TheCurseofHamandBiblicalJust</w:t>
      </w:r>
      <w:r>
        <w:rPr>
          <w:rFonts w:hint="eastAsia" w:ascii="宋体" w:hAnsi="宋体" w:eastAsia="宋体" w:cs="宋体"/>
          <w:spacing w:val="5"/>
          <w:sz w:val="18"/>
          <w:szCs w:val="18"/>
        </w:rPr>
        <w:t>ificationsforSlavery,May5,2024.</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 </w:instrText>
      </w:r>
      <w:r>
        <w:rPr>
          <w:rFonts w:hint="eastAsia" w:ascii="宋体" w:hAnsi="宋体" w:eastAsia="宋体" w:cs="宋体"/>
          <w:sz w:val="18"/>
          <w:szCs w:val="18"/>
        </w:rPr>
        <w:fldChar w:fldCharType="separate"/>
      </w:r>
      <w:r>
        <w:rPr>
          <w:rFonts w:hint="eastAsia" w:ascii="宋体" w:hAnsi="宋体" w:eastAsia="宋体" w:cs="宋体"/>
          <w:spacing w:val="5"/>
          <w:position w:val="1"/>
          <w:sz w:val="18"/>
          <w:szCs w:val="18"/>
        </w:rPr>
        <w:t>https://</w:t>
      </w:r>
      <w:r>
        <w:rPr>
          <w:rFonts w:hint="eastAsia" w:ascii="宋体" w:hAnsi="宋体" w:eastAsia="宋体" w:cs="宋体"/>
          <w:spacing w:val="5"/>
          <w:position w:val="1"/>
          <w:sz w:val="18"/>
          <w:szCs w:val="18"/>
        </w:rPr>
        <w:fldChar w:fldCharType="end"/>
      </w:r>
      <w:r>
        <w:rPr>
          <w:rFonts w:hint="eastAsia" w:ascii="宋体" w:hAnsi="宋体" w:eastAsia="宋体" w:cs="宋体"/>
          <w:spacing w:val="-5"/>
          <w:sz w:val="18"/>
          <w:szCs w:val="18"/>
        </w:rPr>
        <w:t>zondervanacademic.com/blog/the-curse-of-ham-and-biblical-justifications-for-slavery.July4</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2024.</w:t>
      </w:r>
    </w:p>
  </w:footnote>
  <w:footnote w:id="1132">
    <w:p w14:paraId="4D35ABB4">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1452-</w:t>
      </w:r>
      <w:r>
        <w:rPr>
          <w:rFonts w:hint="eastAsia" w:ascii="宋体" w:hAnsi="宋体" w:eastAsia="宋体" w:cs="宋体"/>
          <w:sz w:val="18"/>
          <w:szCs w:val="18"/>
        </w:rPr>
        <w:t>DumDiversas</w:t>
      </w:r>
      <w:r>
        <w:rPr>
          <w:rFonts w:hint="eastAsia" w:ascii="宋体" w:hAnsi="宋体" w:eastAsia="宋体" w:cs="宋体"/>
          <w:spacing w:val="6"/>
          <w:sz w:val="18"/>
          <w:szCs w:val="18"/>
        </w:rPr>
        <w:t>-</w:t>
      </w:r>
      <w:r>
        <w:rPr>
          <w:rFonts w:hint="eastAsia" w:ascii="宋体" w:hAnsi="宋体" w:eastAsia="宋体" w:cs="宋体"/>
          <w:sz w:val="18"/>
          <w:szCs w:val="18"/>
        </w:rPr>
        <w:t>issuedbyPopeNicolasVtoAlfansovofPortugal</w:t>
      </w:r>
      <w:r>
        <w:rPr>
          <w:rFonts w:hint="eastAsia" w:ascii="宋体" w:hAnsi="宋体" w:eastAsia="宋体" w:cs="宋体"/>
          <w:spacing w:val="6"/>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"https://www.doctrin"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6"/>
          <w:sz w:val="18"/>
          <w:szCs w:val="18"/>
        </w:rPr>
        <w:t>://</w:t>
      </w:r>
      <w:r>
        <w:rPr>
          <w:rFonts w:hint="eastAsia" w:ascii="宋体" w:hAnsi="宋体" w:eastAsia="宋体" w:cs="宋体"/>
          <w:sz w:val="18"/>
          <w:szCs w:val="18"/>
        </w:rPr>
        <w:t>www</w:t>
      </w:r>
      <w:r>
        <w:rPr>
          <w:rFonts w:hint="eastAsia" w:ascii="宋体" w:hAnsi="宋体" w:eastAsia="宋体" w:cs="宋体"/>
          <w:spacing w:val="6"/>
          <w:sz w:val="18"/>
          <w:szCs w:val="18"/>
        </w:rPr>
        <w:t>.</w:t>
      </w:r>
      <w:r>
        <w:rPr>
          <w:rFonts w:hint="eastAsia" w:ascii="宋体" w:hAnsi="宋体" w:eastAsia="宋体" w:cs="宋体"/>
          <w:sz w:val="18"/>
          <w:szCs w:val="18"/>
        </w:rPr>
        <w:t>doctrin</w:t>
      </w:r>
      <w:r>
        <w:rPr>
          <w:rFonts w:hint="eastAsia" w:ascii="宋体" w:hAnsi="宋体" w:eastAsia="宋体" w:cs="宋体"/>
          <w:sz w:val="18"/>
          <w:szCs w:val="18"/>
        </w:rPr>
        <w:fldChar w:fldCharType="end"/>
      </w:r>
      <w:r>
        <w:rPr>
          <w:rFonts w:hint="eastAsia" w:ascii="宋体" w:hAnsi="宋体" w:eastAsia="宋体" w:cs="宋体"/>
          <w:spacing w:val="6"/>
          <w:sz w:val="18"/>
          <w:szCs w:val="18"/>
        </w:rPr>
        <w:t>-</w:t>
      </w:r>
      <w:r>
        <w:rPr>
          <w:rFonts w:hint="eastAsia" w:ascii="宋体" w:hAnsi="宋体" w:eastAsia="宋体" w:cs="宋体"/>
          <w:spacing w:val="-5"/>
          <w:sz w:val="18"/>
          <w:szCs w:val="18"/>
        </w:rPr>
        <w:t>eofdiscovery.net/1452-dum-diversas-issued-by-pope-nicolas-v-to-alfanso-v-of</w:t>
      </w:r>
      <w:r>
        <w:rPr>
          <w:rFonts w:hint="eastAsia" w:ascii="宋体" w:hAnsi="宋体" w:eastAsia="宋体" w:cs="宋体"/>
          <w:spacing w:val="-6"/>
          <w:sz w:val="18"/>
          <w:szCs w:val="18"/>
        </w:rPr>
        <w:t>-portugal.html.June27</w:t>
      </w:r>
      <w:r>
        <w:rPr>
          <w:rFonts w:hint="eastAsia" w:ascii="宋体" w:hAnsi="宋体" w:eastAsia="宋体" w:cs="宋体"/>
          <w:spacing w:val="-6"/>
          <w:position w:val="2"/>
          <w:sz w:val="18"/>
          <w:szCs w:val="18"/>
        </w:rPr>
        <w:t>,</w:t>
      </w:r>
      <w:r>
        <w:rPr>
          <w:rFonts w:hint="eastAsia" w:ascii="宋体" w:hAnsi="宋体" w:eastAsia="宋体" w:cs="宋体"/>
          <w:spacing w:val="-2"/>
          <w:sz w:val="18"/>
          <w:szCs w:val="18"/>
        </w:rPr>
        <w:t>2024.</w:t>
      </w:r>
    </w:p>
  </w:footnote>
  <w:footnote w:id="1133">
    <w:p w14:paraId="6007113E">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ErinBlakemore</w:t>
      </w:r>
      <w:r>
        <w:rPr>
          <w:rFonts w:hint="eastAsia" w:ascii="宋体" w:hAnsi="宋体" w:eastAsia="宋体" w:cs="宋体"/>
          <w:position w:val="2"/>
          <w:sz w:val="18"/>
          <w:szCs w:val="18"/>
        </w:rPr>
        <w:t>,</w:t>
      </w:r>
      <w:r>
        <w:rPr>
          <w:rFonts w:hint="eastAsia" w:ascii="宋体" w:hAnsi="宋体" w:eastAsia="宋体" w:cs="宋体"/>
          <w:sz w:val="18"/>
          <w:szCs w:val="18"/>
        </w:rPr>
        <w:t>This500-year-oldCatholicdecreeencouragedcolonization.Willthepopere-</w:t>
      </w:r>
      <w:r>
        <w:rPr>
          <w:rFonts w:hint="eastAsia" w:ascii="宋体" w:hAnsi="宋体" w:eastAsia="宋体" w:cs="宋体"/>
          <w:spacing w:val="-3"/>
          <w:sz w:val="18"/>
          <w:szCs w:val="18"/>
        </w:rPr>
        <w:t>vokeit?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"https://www.nationalgeographic.com/history/article/doctrine-of-discovery-how-the-centu"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https://www.nationalgeographic.com/history/article/doctrine-of-discovery-how-</w:t>
      </w:r>
      <w:r>
        <w:rPr>
          <w:rFonts w:hint="eastAsia" w:ascii="宋体" w:hAnsi="宋体" w:eastAsia="宋体" w:cs="宋体"/>
          <w:spacing w:val="-4"/>
          <w:sz w:val="18"/>
          <w:szCs w:val="18"/>
        </w:rPr>
        <w:t>the-centu</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pacing w:val="-6"/>
          <w:sz w:val="18"/>
          <w:szCs w:val="18"/>
        </w:rPr>
        <w:t>ries-old-catholic-decree-encouraged-colonization</w:t>
      </w:r>
      <w:r>
        <w:rPr>
          <w:rFonts w:hint="eastAsia" w:ascii="宋体" w:hAnsi="宋体" w:eastAsia="宋体" w:cs="宋体"/>
          <w:spacing w:val="-7"/>
          <w:sz w:val="18"/>
          <w:szCs w:val="18"/>
        </w:rPr>
        <w:t>.October11</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2024.</w:t>
      </w:r>
    </w:p>
    <w:p w14:paraId="5826DC2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134">
    <w:p w14:paraId="1403189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5"/>
          <w:position w:val="2"/>
          <w:sz w:val="18"/>
          <w:szCs w:val="18"/>
        </w:rPr>
        <w:t>AntonyAnghie</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Imperialism</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Sovereigntyandth</w:t>
      </w:r>
      <w:r>
        <w:rPr>
          <w:rFonts w:hint="eastAsia" w:ascii="宋体" w:hAnsi="宋体" w:eastAsia="宋体" w:cs="宋体"/>
          <w:spacing w:val="4"/>
          <w:position w:val="2"/>
          <w:sz w:val="18"/>
          <w:szCs w:val="18"/>
        </w:rPr>
        <w:t>eMakingofInternationalLaw</w:t>
      </w:r>
      <w:r>
        <w:rPr>
          <w:rFonts w:hint="eastAsia" w:ascii="宋体" w:hAnsi="宋体" w:eastAsia="宋体" w:cs="宋体"/>
          <w:spacing w:val="4"/>
          <w:position w:val="4"/>
          <w:sz w:val="18"/>
          <w:szCs w:val="18"/>
        </w:rPr>
        <w:t>,</w:t>
      </w:r>
      <w:r>
        <w:rPr>
          <w:rFonts w:hint="eastAsia" w:ascii="宋体" w:hAnsi="宋体" w:eastAsia="宋体" w:cs="宋体"/>
          <w:spacing w:val="4"/>
          <w:position w:val="2"/>
          <w:sz w:val="18"/>
          <w:szCs w:val="18"/>
        </w:rPr>
        <w:t>Cam-</w:t>
      </w:r>
      <w:r>
        <w:rPr>
          <w:rFonts w:hint="eastAsia" w:ascii="宋体" w:hAnsi="宋体" w:eastAsia="宋体" w:cs="宋体"/>
          <w:position w:val="4"/>
          <w:sz w:val="18"/>
          <w:szCs w:val="18"/>
        </w:rPr>
        <w:t>bridge</w:t>
      </w:r>
      <w:r>
        <w:rPr>
          <w:rFonts w:hint="eastAsia" w:ascii="宋体" w:hAnsi="宋体" w:eastAsia="宋体" w:cs="宋体"/>
          <w:spacing w:val="2"/>
          <w:position w:val="6"/>
          <w:sz w:val="18"/>
          <w:szCs w:val="18"/>
        </w:rPr>
        <w:t>:</w:t>
      </w:r>
      <w:r>
        <w:rPr>
          <w:rFonts w:hint="eastAsia" w:ascii="宋体" w:hAnsi="宋体" w:eastAsia="宋体" w:cs="宋体"/>
          <w:position w:val="4"/>
          <w:sz w:val="18"/>
          <w:szCs w:val="18"/>
        </w:rPr>
        <w:t>CambridgeUniversityPress</w:t>
      </w:r>
      <w:r>
        <w:rPr>
          <w:rFonts w:hint="eastAsia" w:ascii="宋体" w:hAnsi="宋体" w:eastAsia="宋体" w:cs="宋体"/>
          <w:spacing w:val="2"/>
          <w:position w:val="6"/>
          <w:sz w:val="18"/>
          <w:szCs w:val="18"/>
        </w:rPr>
        <w:t>,</w:t>
      </w:r>
      <w:r>
        <w:rPr>
          <w:rFonts w:hint="eastAsia" w:ascii="宋体" w:hAnsi="宋体" w:eastAsia="宋体" w:cs="宋体"/>
          <w:spacing w:val="2"/>
          <w:position w:val="4"/>
          <w:sz w:val="18"/>
          <w:szCs w:val="18"/>
        </w:rPr>
        <w:t>2005.</w:t>
      </w:r>
      <w:r>
        <w:rPr>
          <w:rFonts w:hint="eastAsia" w:ascii="宋体" w:hAnsi="宋体" w:eastAsia="宋体" w:cs="宋体"/>
          <w:position w:val="4"/>
          <w:sz w:val="18"/>
          <w:szCs w:val="18"/>
        </w:rPr>
        <w:t>pp</w:t>
      </w:r>
      <w:r>
        <w:rPr>
          <w:rFonts w:hint="eastAsia" w:ascii="宋体" w:hAnsi="宋体" w:eastAsia="宋体" w:cs="宋体"/>
          <w:spacing w:val="2"/>
          <w:position w:val="4"/>
          <w:sz w:val="18"/>
          <w:szCs w:val="18"/>
        </w:rPr>
        <w:t>.317-322.</w:t>
      </w:r>
    </w:p>
  </w:footnote>
  <w:footnote w:id="1135">
    <w:p w14:paraId="3B3115D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position w:val="3"/>
          <w:sz w:val="18"/>
          <w:szCs w:val="18"/>
        </w:rPr>
        <w:t>KadesE.</w:t>
      </w:r>
      <w:r>
        <w:rPr>
          <w:rFonts w:hint="eastAsia" w:ascii="宋体" w:hAnsi="宋体" w:eastAsia="宋体" w:cs="宋体"/>
          <w:spacing w:val="4"/>
          <w:position w:val="5"/>
          <w:sz w:val="18"/>
          <w:szCs w:val="18"/>
        </w:rPr>
        <w:t>,</w:t>
      </w:r>
      <w:r>
        <w:rPr>
          <w:rFonts w:hint="eastAsia" w:ascii="宋体" w:hAnsi="宋体" w:eastAsia="宋体" w:cs="宋体"/>
          <w:spacing w:val="4"/>
          <w:position w:val="3"/>
          <w:sz w:val="18"/>
          <w:szCs w:val="18"/>
        </w:rPr>
        <w:t>HistoryandInte</w:t>
      </w:r>
      <w:r>
        <w:rPr>
          <w:rFonts w:hint="eastAsia" w:ascii="宋体" w:hAnsi="宋体" w:eastAsia="宋体" w:cs="宋体"/>
          <w:spacing w:val="3"/>
          <w:position w:val="3"/>
          <w:sz w:val="18"/>
          <w:szCs w:val="18"/>
        </w:rPr>
        <w:t>rpretationoftheGreatCaseofJohnsonv.M</w:t>
      </w:r>
      <w:r>
        <w:rPr>
          <w:rFonts w:hint="eastAsia" w:ascii="宋体" w:hAnsi="宋体" w:eastAsia="宋体" w:cs="宋体"/>
          <w:spacing w:val="3"/>
          <w:position w:val="5"/>
          <w:sz w:val="18"/>
          <w:szCs w:val="18"/>
        </w:rPr>
        <w:t>’</w:t>
      </w:r>
      <w:r>
        <w:rPr>
          <w:rFonts w:hint="eastAsia" w:ascii="宋体" w:hAnsi="宋体" w:eastAsia="宋体" w:cs="宋体"/>
          <w:spacing w:val="3"/>
          <w:position w:val="3"/>
          <w:sz w:val="18"/>
          <w:szCs w:val="18"/>
        </w:rPr>
        <w:t>Intosh</w:t>
      </w:r>
      <w:r>
        <w:rPr>
          <w:rFonts w:hint="eastAsia" w:ascii="宋体" w:hAnsi="宋体" w:eastAsia="宋体" w:cs="宋体"/>
          <w:spacing w:val="3"/>
          <w:position w:val="5"/>
          <w:sz w:val="18"/>
          <w:szCs w:val="18"/>
        </w:rPr>
        <w:t>,</w:t>
      </w:r>
      <w:r>
        <w:rPr>
          <w:rFonts w:hint="eastAsia" w:ascii="宋体" w:hAnsi="宋体" w:eastAsia="宋体" w:cs="宋体"/>
          <w:spacing w:val="3"/>
          <w:position w:val="3"/>
          <w:sz w:val="18"/>
          <w:szCs w:val="18"/>
        </w:rPr>
        <w:t>Lawand</w:t>
      </w:r>
      <w:r>
        <w:rPr>
          <w:rFonts w:hint="eastAsia" w:ascii="宋体" w:hAnsi="宋体" w:eastAsia="宋体" w:cs="宋体"/>
          <w:position w:val="4"/>
          <w:sz w:val="18"/>
          <w:szCs w:val="18"/>
        </w:rPr>
        <w:t>HistoryReview</w:t>
      </w:r>
      <w:r>
        <w:rPr>
          <w:rFonts w:hint="eastAsia" w:ascii="宋体" w:hAnsi="宋体" w:eastAsia="宋体" w:cs="宋体"/>
          <w:spacing w:val="9"/>
          <w:position w:val="6"/>
          <w:sz w:val="18"/>
          <w:szCs w:val="18"/>
        </w:rPr>
        <w:t>,</w:t>
      </w:r>
      <w:r>
        <w:rPr>
          <w:rFonts w:hint="eastAsia" w:ascii="宋体" w:hAnsi="宋体" w:eastAsia="宋体" w:cs="宋体"/>
          <w:spacing w:val="9"/>
          <w:position w:val="4"/>
          <w:sz w:val="18"/>
          <w:szCs w:val="18"/>
        </w:rPr>
        <w:t>2001</w:t>
      </w:r>
      <w:r>
        <w:rPr>
          <w:rFonts w:hint="eastAsia" w:ascii="宋体" w:hAnsi="宋体" w:eastAsia="宋体" w:cs="宋体"/>
          <w:spacing w:val="9"/>
          <w:position w:val="6"/>
          <w:sz w:val="18"/>
          <w:szCs w:val="18"/>
        </w:rPr>
        <w:t>,</w:t>
      </w:r>
      <w:r>
        <w:rPr>
          <w:rFonts w:hint="eastAsia" w:ascii="宋体" w:hAnsi="宋体" w:eastAsia="宋体" w:cs="宋体"/>
          <w:position w:val="4"/>
          <w:sz w:val="18"/>
          <w:szCs w:val="18"/>
        </w:rPr>
        <w:t>Vol</w:t>
      </w:r>
      <w:r>
        <w:rPr>
          <w:rFonts w:hint="eastAsia" w:ascii="宋体" w:hAnsi="宋体" w:eastAsia="宋体" w:cs="宋体"/>
          <w:spacing w:val="9"/>
          <w:position w:val="4"/>
          <w:sz w:val="18"/>
          <w:szCs w:val="18"/>
        </w:rPr>
        <w:t>.19</w:t>
      </w:r>
      <w:r>
        <w:rPr>
          <w:rFonts w:hint="eastAsia" w:ascii="宋体" w:hAnsi="宋体" w:eastAsia="宋体" w:cs="宋体"/>
          <w:spacing w:val="9"/>
          <w:position w:val="6"/>
          <w:sz w:val="18"/>
          <w:szCs w:val="18"/>
        </w:rPr>
        <w:t>,</w:t>
      </w:r>
      <w:r>
        <w:rPr>
          <w:rFonts w:hint="eastAsia" w:ascii="宋体" w:hAnsi="宋体" w:eastAsia="宋体" w:cs="宋体"/>
          <w:position w:val="4"/>
          <w:sz w:val="18"/>
          <w:szCs w:val="18"/>
        </w:rPr>
        <w:t>No</w:t>
      </w:r>
      <w:r>
        <w:rPr>
          <w:rFonts w:hint="eastAsia" w:ascii="宋体" w:hAnsi="宋体" w:eastAsia="宋体" w:cs="宋体"/>
          <w:spacing w:val="9"/>
          <w:position w:val="4"/>
          <w:sz w:val="18"/>
          <w:szCs w:val="18"/>
        </w:rPr>
        <w:t>.1,</w:t>
      </w:r>
      <w:r>
        <w:rPr>
          <w:rFonts w:hint="eastAsia" w:ascii="宋体" w:hAnsi="宋体" w:eastAsia="宋体" w:cs="宋体"/>
          <w:position w:val="4"/>
          <w:sz w:val="18"/>
          <w:szCs w:val="18"/>
        </w:rPr>
        <w:t>pp</w:t>
      </w:r>
      <w:r>
        <w:rPr>
          <w:rFonts w:hint="eastAsia" w:ascii="宋体" w:hAnsi="宋体" w:eastAsia="宋体" w:cs="宋体"/>
          <w:spacing w:val="9"/>
          <w:position w:val="4"/>
          <w:sz w:val="18"/>
          <w:szCs w:val="18"/>
        </w:rPr>
        <w:t>.67-116.</w:t>
      </w:r>
    </w:p>
  </w:footnote>
  <w:footnote w:id="1136">
    <w:p w14:paraId="247D1C58">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Smith</w:t>
      </w:r>
      <w:r>
        <w:rPr>
          <w:rFonts w:hint="eastAsia" w:ascii="宋体" w:hAnsi="宋体" w:eastAsia="宋体" w:cs="宋体"/>
          <w:spacing w:val="8"/>
          <w:position w:val="2"/>
          <w:sz w:val="18"/>
          <w:szCs w:val="18"/>
        </w:rPr>
        <w:t>,</w:t>
      </w:r>
      <w:r>
        <w:rPr>
          <w:rFonts w:hint="eastAsia" w:ascii="宋体" w:hAnsi="宋体" w:eastAsia="宋体" w:cs="宋体"/>
          <w:sz w:val="18"/>
          <w:szCs w:val="18"/>
        </w:rPr>
        <w:t>NicholasD</w:t>
      </w:r>
      <w:r>
        <w:rPr>
          <w:rFonts w:hint="eastAsia" w:ascii="宋体" w:hAnsi="宋体" w:eastAsia="宋体" w:cs="宋体"/>
          <w:spacing w:val="8"/>
          <w:sz w:val="18"/>
          <w:szCs w:val="18"/>
        </w:rPr>
        <w:t>.</w:t>
      </w:r>
      <w:r>
        <w:rPr>
          <w:rFonts w:hint="eastAsia" w:ascii="宋体" w:hAnsi="宋体" w:eastAsia="宋体" w:cs="宋体"/>
          <w:spacing w:val="8"/>
          <w:position w:val="2"/>
          <w:sz w:val="18"/>
          <w:szCs w:val="18"/>
        </w:rPr>
        <w:t>,</w:t>
      </w:r>
      <w:r>
        <w:rPr>
          <w:rFonts w:hint="eastAsia" w:ascii="宋体" w:hAnsi="宋体" w:eastAsia="宋体" w:cs="宋体"/>
          <w:sz w:val="18"/>
          <w:szCs w:val="18"/>
        </w:rPr>
        <w:t>Aristotle</w:t>
      </w:r>
      <w:r>
        <w:rPr>
          <w:rFonts w:hint="eastAsia" w:ascii="宋体" w:hAnsi="宋体" w:eastAsia="宋体" w:cs="宋体"/>
          <w:spacing w:val="8"/>
          <w:position w:val="2"/>
          <w:sz w:val="18"/>
          <w:szCs w:val="18"/>
        </w:rPr>
        <w:t>’</w:t>
      </w:r>
      <w:r>
        <w:rPr>
          <w:rFonts w:hint="eastAsia" w:ascii="宋体" w:hAnsi="宋体" w:eastAsia="宋体" w:cs="宋体"/>
          <w:sz w:val="18"/>
          <w:szCs w:val="18"/>
        </w:rPr>
        <w:t>sTheoryofNaturalSlavery</w:t>
      </w:r>
      <w:r>
        <w:rPr>
          <w:rFonts w:hint="eastAsia" w:ascii="宋体" w:hAnsi="宋体" w:eastAsia="宋体" w:cs="宋体"/>
          <w:spacing w:val="8"/>
          <w:position w:val="2"/>
          <w:sz w:val="18"/>
          <w:szCs w:val="18"/>
        </w:rPr>
        <w:t>,</w:t>
      </w:r>
      <w:r>
        <w:rPr>
          <w:rFonts w:hint="eastAsia" w:ascii="宋体" w:hAnsi="宋体" w:eastAsia="宋体" w:cs="宋体"/>
          <w:sz w:val="18"/>
          <w:szCs w:val="18"/>
        </w:rPr>
        <w:t>Phoenix</w:t>
      </w:r>
      <w:r>
        <w:rPr>
          <w:rFonts w:hint="eastAsia" w:ascii="宋体" w:hAnsi="宋体" w:eastAsia="宋体" w:cs="宋体"/>
          <w:spacing w:val="8"/>
          <w:position w:val="2"/>
          <w:sz w:val="18"/>
          <w:szCs w:val="18"/>
        </w:rPr>
        <w:t>,</w:t>
      </w:r>
      <w:r>
        <w:rPr>
          <w:rFonts w:hint="eastAsia" w:ascii="宋体" w:hAnsi="宋体" w:eastAsia="宋体" w:cs="宋体"/>
          <w:spacing w:val="8"/>
          <w:sz w:val="18"/>
          <w:szCs w:val="18"/>
        </w:rPr>
        <w:t>1983</w:t>
      </w:r>
      <w:r>
        <w:rPr>
          <w:rFonts w:hint="eastAsia" w:ascii="宋体" w:hAnsi="宋体" w:eastAsia="宋体" w:cs="宋体"/>
          <w:spacing w:val="8"/>
          <w:position w:val="2"/>
          <w:sz w:val="18"/>
          <w:szCs w:val="18"/>
        </w:rPr>
        <w:t>,</w:t>
      </w:r>
      <w:r>
        <w:rPr>
          <w:rFonts w:hint="eastAsia" w:ascii="宋体" w:hAnsi="宋体" w:eastAsia="宋体" w:cs="宋体"/>
          <w:sz w:val="18"/>
          <w:szCs w:val="18"/>
        </w:rPr>
        <w:t>vol</w:t>
      </w:r>
      <w:r>
        <w:rPr>
          <w:rFonts w:hint="eastAsia" w:ascii="宋体" w:hAnsi="宋体" w:eastAsia="宋体" w:cs="宋体"/>
          <w:spacing w:val="8"/>
          <w:sz w:val="18"/>
          <w:szCs w:val="18"/>
        </w:rPr>
        <w:t>.37</w:t>
      </w:r>
      <w:r>
        <w:rPr>
          <w:rFonts w:hint="eastAsia" w:ascii="宋体" w:hAnsi="宋体" w:eastAsia="宋体" w:cs="宋体"/>
          <w:spacing w:val="8"/>
          <w:position w:val="2"/>
          <w:sz w:val="18"/>
          <w:szCs w:val="18"/>
        </w:rPr>
        <w:t>,</w:t>
      </w:r>
      <w:r>
        <w:rPr>
          <w:rFonts w:hint="eastAsia" w:ascii="宋体" w:hAnsi="宋体" w:eastAsia="宋体" w:cs="宋体"/>
          <w:sz w:val="18"/>
          <w:szCs w:val="18"/>
        </w:rPr>
        <w:t>No</w:t>
      </w:r>
      <w:r>
        <w:rPr>
          <w:rFonts w:hint="eastAsia" w:ascii="宋体" w:hAnsi="宋体" w:eastAsia="宋体" w:cs="宋体"/>
          <w:spacing w:val="8"/>
          <w:sz w:val="18"/>
          <w:szCs w:val="18"/>
        </w:rPr>
        <w:t>.2</w:t>
      </w:r>
      <w:r>
        <w:rPr>
          <w:rFonts w:hint="eastAsia" w:ascii="宋体" w:hAnsi="宋体" w:eastAsia="宋体" w:cs="宋体"/>
          <w:spacing w:val="8"/>
          <w:position w:val="2"/>
          <w:sz w:val="18"/>
          <w:szCs w:val="18"/>
        </w:rPr>
        <w:t>,</w:t>
      </w:r>
      <w:r>
        <w:rPr>
          <w:rFonts w:hint="eastAsia" w:ascii="宋体" w:hAnsi="宋体" w:eastAsia="宋体" w:cs="宋体"/>
          <w:spacing w:val="8"/>
          <w:sz w:val="18"/>
          <w:szCs w:val="18"/>
        </w:rPr>
        <w:t>p.</w:t>
      </w:r>
      <w:r>
        <w:rPr>
          <w:rFonts w:hint="eastAsia" w:ascii="宋体" w:hAnsi="宋体" w:eastAsia="宋体" w:cs="宋体"/>
          <w:spacing w:val="2"/>
          <w:sz w:val="18"/>
          <w:szCs w:val="18"/>
        </w:rPr>
        <w:t>11.</w:t>
      </w:r>
    </w:p>
  </w:footnote>
  <w:footnote w:id="1137">
    <w:p w14:paraId="4634F214">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IntroductiontoContemporaryCivilizationinthe</w:t>
      </w:r>
      <w:r>
        <w:rPr>
          <w:rFonts w:hint="eastAsia" w:ascii="宋体" w:hAnsi="宋体" w:eastAsia="宋体" w:cs="宋体"/>
          <w:spacing w:val="-1"/>
          <w:sz w:val="18"/>
          <w:szCs w:val="18"/>
        </w:rPr>
        <w:t>West:ASourcebook,</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"https://hdl.handle" </w:instrText>
      </w:r>
      <w:r>
        <w:rPr>
          <w:rFonts w:hint="eastAsia" w:ascii="宋体" w:hAnsi="宋体" w:eastAsia="宋体" w:cs="宋体"/>
          <w:sz w:val="18"/>
          <w:szCs w:val="18"/>
        </w:rPr>
        <w:fldChar w:fldCharType="separate"/>
      </w:r>
      <w:r>
        <w:rPr>
          <w:rFonts w:hint="eastAsia" w:ascii="宋体" w:hAnsi="宋体" w:eastAsia="宋体" w:cs="宋体"/>
          <w:spacing w:val="-1"/>
          <w:sz w:val="18"/>
          <w:szCs w:val="18"/>
        </w:rPr>
        <w:t>https://hdl.handle</w:t>
      </w:r>
      <w:r>
        <w:rPr>
          <w:rFonts w:hint="eastAsia" w:ascii="宋体" w:hAnsi="宋体" w:eastAsia="宋体" w:cs="宋体"/>
          <w:spacing w:val="-1"/>
          <w:sz w:val="18"/>
          <w:szCs w:val="18"/>
        </w:rPr>
        <w:fldChar w:fldCharType="end"/>
      </w:r>
      <w:r>
        <w:rPr>
          <w:rFonts w:hint="eastAsia" w:ascii="宋体" w:hAnsi="宋体" w:eastAsia="宋体" w:cs="宋体"/>
          <w:spacing w:val="-1"/>
          <w:sz w:val="18"/>
          <w:szCs w:val="18"/>
        </w:rPr>
        <w:t>.</w:t>
      </w:r>
      <w:r>
        <w:rPr>
          <w:rFonts w:hint="eastAsia" w:ascii="宋体" w:hAnsi="宋体" w:eastAsia="宋体" w:cs="宋体"/>
          <w:spacing w:val="-2"/>
          <w:sz w:val="18"/>
          <w:szCs w:val="18"/>
        </w:rPr>
        <w:t>net/2027/uc1.b4463856.June6</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2024.</w:t>
      </w:r>
    </w:p>
    <w:p w14:paraId="66099CE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138">
    <w:p w14:paraId="3FC61E3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联合国经济及社会理事会:《关于被称为“基督教发现教旨”的国际法律概念对土著人</w:t>
      </w:r>
      <w:r>
        <w:rPr>
          <w:rFonts w:hint="eastAsia" w:ascii="宋体" w:hAnsi="宋体" w:eastAsia="宋体" w:cs="宋体"/>
          <w:spacing w:val="5"/>
          <w:sz w:val="18"/>
          <w:szCs w:val="18"/>
        </w:rPr>
        <w:t>民的影</w:t>
      </w:r>
      <w:r>
        <w:rPr>
          <w:rFonts w:hint="eastAsia" w:ascii="宋体" w:hAnsi="宋体" w:eastAsia="宋体" w:cs="宋体"/>
          <w:sz w:val="18"/>
          <w:szCs w:val="18"/>
        </w:rPr>
        <w:t>响的初步研究》,E/C.19/2010/13,第5页。</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"https://documents.un.org/doc/undoc/gen/n10/231/01/pdf/n1023101.pdf.2025" </w:instrText>
      </w:r>
      <w:r>
        <w:rPr>
          <w:rFonts w:hint="eastAsia" w:ascii="宋体" w:hAnsi="宋体" w:eastAsia="宋体" w:cs="宋体"/>
          <w:sz w:val="18"/>
          <w:szCs w:val="18"/>
        </w:rPr>
        <w:fldChar w:fldCharType="separate"/>
      </w:r>
      <w:r>
        <w:rPr>
          <w:rFonts w:hint="eastAsia" w:ascii="宋体" w:hAnsi="宋体" w:eastAsia="宋体" w:cs="宋体"/>
          <w:sz w:val="18"/>
          <w:szCs w:val="18"/>
        </w:rPr>
        <w:t>https://documents.un.org/doc/undoc/gen/n10/231/01/</w:t>
      </w:r>
      <w:r>
        <w:rPr>
          <w:rFonts w:hint="eastAsia" w:ascii="宋体" w:hAnsi="宋体" w:eastAsia="宋体" w:cs="宋体"/>
          <w:sz w:val="18"/>
          <w:szCs w:val="18"/>
        </w:rPr>
        <w:fldChar w:fldCharType="end"/>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"https://documents.un.org/doc/undoc/gen/n10/231/01/pdf/n1023101.pdf.2025"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pdf/n1023101.pdf.2025</w:t>
      </w:r>
      <w:r>
        <w:rPr>
          <w:rFonts w:hint="eastAsia" w:ascii="宋体" w:hAnsi="宋体" w:eastAsia="宋体" w:cs="宋体"/>
          <w:spacing w:val="-3"/>
          <w:sz w:val="18"/>
          <w:szCs w:val="18"/>
        </w:rPr>
        <w:fldChar w:fldCharType="end"/>
      </w:r>
      <w:r>
        <w:rPr>
          <w:rFonts w:hint="eastAsia" w:ascii="宋体" w:hAnsi="宋体" w:eastAsia="宋体" w:cs="宋体"/>
          <w:spacing w:val="-3"/>
          <w:position w:val="1"/>
          <w:sz w:val="18"/>
          <w:szCs w:val="18"/>
        </w:rPr>
        <w:t>年</w:t>
      </w:r>
      <w:r>
        <w:rPr>
          <w:rFonts w:hint="eastAsia" w:ascii="宋体" w:hAnsi="宋体" w:eastAsia="宋体" w:cs="宋体"/>
          <w:spacing w:val="-3"/>
          <w:sz w:val="18"/>
          <w:szCs w:val="18"/>
        </w:rPr>
        <w:t>1</w:t>
      </w:r>
      <w:r>
        <w:rPr>
          <w:rFonts w:hint="eastAsia" w:ascii="宋体" w:hAnsi="宋体" w:eastAsia="宋体" w:cs="宋体"/>
          <w:spacing w:val="-3"/>
          <w:position w:val="1"/>
          <w:sz w:val="18"/>
          <w:szCs w:val="18"/>
        </w:rPr>
        <w:t>月</w:t>
      </w:r>
      <w:r>
        <w:rPr>
          <w:rFonts w:hint="eastAsia" w:ascii="宋体" w:hAnsi="宋体" w:eastAsia="宋体" w:cs="宋体"/>
          <w:spacing w:val="-3"/>
          <w:sz w:val="18"/>
          <w:szCs w:val="18"/>
        </w:rPr>
        <w:t>25</w:t>
      </w:r>
      <w:r>
        <w:rPr>
          <w:rFonts w:hint="eastAsia" w:ascii="宋体" w:hAnsi="宋体" w:eastAsia="宋体" w:cs="宋体"/>
          <w:spacing w:val="-3"/>
          <w:position w:val="1"/>
          <w:sz w:val="18"/>
          <w:szCs w:val="18"/>
        </w:rPr>
        <w:t>日。</w:t>
      </w:r>
    </w:p>
  </w:footnote>
  <w:footnote w:id="1139">
    <w:p w14:paraId="14338C0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〔苏联〕K</w:t>
      </w:r>
      <w:r>
        <w:rPr>
          <w:rFonts w:hint="eastAsia" w:ascii="宋体" w:hAnsi="宋体" w:eastAsia="宋体" w:cs="宋体"/>
          <w:spacing w:val="7"/>
          <w:position w:val="-1"/>
          <w:sz w:val="18"/>
          <w:szCs w:val="18"/>
        </w:rPr>
        <w:t>.A.</w:t>
      </w:r>
      <w:r>
        <w:rPr>
          <w:rFonts w:hint="eastAsia" w:ascii="宋体" w:hAnsi="宋体" w:eastAsia="宋体" w:cs="宋体"/>
          <w:spacing w:val="7"/>
          <w:sz w:val="18"/>
          <w:szCs w:val="18"/>
        </w:rPr>
        <w:t>莫基切夫主编:《政治学说史》(上),中国社</w:t>
      </w:r>
      <w:r>
        <w:rPr>
          <w:rFonts w:hint="eastAsia" w:ascii="宋体" w:hAnsi="宋体" w:eastAsia="宋体" w:cs="宋体"/>
          <w:spacing w:val="6"/>
          <w:sz w:val="18"/>
          <w:szCs w:val="18"/>
        </w:rPr>
        <w:t>会科学院法学研究所编译室译,北京:</w:t>
      </w:r>
      <w:r>
        <w:rPr>
          <w:rFonts w:hint="eastAsia" w:ascii="宋体" w:hAnsi="宋体" w:eastAsia="宋体" w:cs="宋体"/>
          <w:spacing w:val="7"/>
          <w:sz w:val="18"/>
          <w:szCs w:val="18"/>
        </w:rPr>
        <w:t>中国社会科学出版社,</w:t>
      </w:r>
      <w:r>
        <w:rPr>
          <w:rFonts w:hint="eastAsia" w:ascii="宋体" w:hAnsi="宋体" w:eastAsia="宋体" w:cs="宋体"/>
          <w:spacing w:val="7"/>
          <w:position w:val="-1"/>
          <w:sz w:val="18"/>
          <w:szCs w:val="18"/>
        </w:rPr>
        <w:t>1979</w:t>
      </w:r>
      <w:r>
        <w:rPr>
          <w:rFonts w:hint="eastAsia" w:ascii="宋体" w:hAnsi="宋体" w:eastAsia="宋体" w:cs="宋体"/>
          <w:spacing w:val="7"/>
          <w:sz w:val="18"/>
          <w:szCs w:val="18"/>
        </w:rPr>
        <w:t>年,第</w:t>
      </w:r>
      <w:r>
        <w:rPr>
          <w:rFonts w:hint="eastAsia" w:ascii="宋体" w:hAnsi="宋体" w:eastAsia="宋体" w:cs="宋体"/>
          <w:spacing w:val="7"/>
          <w:position w:val="-1"/>
          <w:sz w:val="18"/>
          <w:szCs w:val="18"/>
        </w:rPr>
        <w:t>270</w:t>
      </w:r>
      <w:r>
        <w:rPr>
          <w:rFonts w:hint="eastAsia" w:ascii="宋体" w:hAnsi="宋体" w:eastAsia="宋体" w:cs="宋体"/>
          <w:spacing w:val="7"/>
          <w:sz w:val="18"/>
          <w:szCs w:val="18"/>
        </w:rPr>
        <w:t>页。</w:t>
      </w:r>
    </w:p>
  </w:footnote>
  <w:footnote w:id="1140">
    <w:p w14:paraId="46FBA46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钱满素、张瑞华:《美国通史》,上海:上海社会科学院出版社,</w:t>
      </w:r>
      <w:r>
        <w:rPr>
          <w:rFonts w:hint="eastAsia" w:ascii="宋体" w:hAnsi="宋体" w:eastAsia="宋体" w:cs="宋体"/>
          <w:spacing w:val="6"/>
          <w:position w:val="-1"/>
          <w:sz w:val="18"/>
          <w:szCs w:val="18"/>
        </w:rPr>
        <w:t>2020</w:t>
      </w:r>
      <w:r>
        <w:rPr>
          <w:rFonts w:hint="eastAsia" w:ascii="宋体" w:hAnsi="宋体" w:eastAsia="宋体" w:cs="宋体"/>
          <w:spacing w:val="6"/>
          <w:sz w:val="18"/>
          <w:szCs w:val="18"/>
        </w:rPr>
        <w:t>年,第</w:t>
      </w:r>
      <w:r>
        <w:rPr>
          <w:rFonts w:hint="eastAsia" w:ascii="宋体" w:hAnsi="宋体" w:eastAsia="宋体" w:cs="宋体"/>
          <w:spacing w:val="6"/>
          <w:position w:val="-1"/>
          <w:sz w:val="18"/>
          <w:szCs w:val="18"/>
        </w:rPr>
        <w:t>572-573</w:t>
      </w:r>
      <w:r>
        <w:rPr>
          <w:rFonts w:hint="eastAsia" w:ascii="宋体" w:hAnsi="宋体" w:eastAsia="宋体" w:cs="宋体"/>
          <w:spacing w:val="6"/>
          <w:sz w:val="18"/>
          <w:szCs w:val="18"/>
        </w:rPr>
        <w:t>页。</w:t>
      </w:r>
    </w:p>
  </w:footnote>
  <w:footnote w:id="1141">
    <w:p w14:paraId="465AEF11">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JamesTully,AnApproachtoPoliticalPhilosophy:LockeinContexts,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"https://anthrosource"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w:t>
      </w:r>
      <w:r>
        <w:rPr>
          <w:rFonts w:hint="eastAsia" w:ascii="宋体" w:hAnsi="宋体" w:eastAsia="宋体" w:cs="宋体"/>
          <w:spacing w:val="2"/>
          <w:sz w:val="18"/>
          <w:szCs w:val="18"/>
        </w:rPr>
        <w:t>s://anthrosource</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w:t>
      </w:r>
      <w:r>
        <w:rPr>
          <w:rFonts w:hint="eastAsia" w:ascii="宋体" w:hAnsi="宋体" w:eastAsia="宋体" w:cs="宋体"/>
          <w:spacing w:val="-2"/>
          <w:sz w:val="18"/>
          <w:szCs w:val="18"/>
        </w:rPr>
        <w:t>onlinelibrary.wiley.com</w:t>
      </w:r>
      <w:r>
        <w:rPr>
          <w:rFonts w:hint="eastAsia" w:ascii="宋体" w:hAnsi="宋体" w:eastAsia="宋体" w:cs="宋体"/>
          <w:spacing w:val="-2"/>
          <w:position w:val="1"/>
          <w:sz w:val="18"/>
          <w:szCs w:val="18"/>
        </w:rPr>
        <w:t>/doi/</w:t>
      </w:r>
      <w:r>
        <w:rPr>
          <w:rFonts w:hint="eastAsia" w:ascii="宋体" w:hAnsi="宋体" w:eastAsia="宋体" w:cs="宋体"/>
          <w:spacing w:val="-2"/>
          <w:sz w:val="18"/>
          <w:szCs w:val="18"/>
        </w:rPr>
        <w:t>abs/10.1525/ae.1983.10.3.02a00</w:t>
      </w:r>
      <w:r>
        <w:rPr>
          <w:rFonts w:hint="eastAsia" w:ascii="宋体" w:hAnsi="宋体" w:eastAsia="宋体" w:cs="宋体"/>
          <w:spacing w:val="-3"/>
          <w:sz w:val="18"/>
          <w:szCs w:val="18"/>
        </w:rPr>
        <w:t>130</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July18</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2024.October12</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w:t>
      </w:r>
    </w:p>
  </w:footnote>
  <w:footnote w:id="1142">
    <w:p w14:paraId="74D4DD9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9"/>
          <w:sz w:val="18"/>
          <w:szCs w:val="18"/>
        </w:rPr>
        <w:t>书店</w:t>
      </w:r>
      <w:r>
        <w:rPr>
          <w:rFonts w:hint="eastAsia" w:ascii="宋体" w:hAnsi="宋体" w:eastAsia="宋体" w:cs="宋体"/>
          <w:spacing w:val="9"/>
          <w:position w:val="1"/>
          <w:sz w:val="18"/>
          <w:szCs w:val="18"/>
        </w:rPr>
        <w:t>,</w:t>
      </w:r>
      <w:r>
        <w:rPr>
          <w:rFonts w:hint="eastAsia" w:ascii="宋体" w:hAnsi="宋体" w:eastAsia="宋体" w:cs="宋体"/>
          <w:spacing w:val="9"/>
          <w:position w:val="-1"/>
          <w:sz w:val="18"/>
          <w:szCs w:val="18"/>
        </w:rPr>
        <w:t>2005</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44</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143">
    <w:p w14:paraId="71200F9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position w:val="2"/>
          <w:sz w:val="18"/>
          <w:szCs w:val="18"/>
        </w:rPr>
        <w:t>TheContemporaryCivilization</w:t>
      </w:r>
      <w:r>
        <w:rPr>
          <w:rFonts w:hint="eastAsia" w:ascii="宋体" w:hAnsi="宋体" w:eastAsia="宋体" w:cs="宋体"/>
          <w:spacing w:val="1"/>
          <w:position w:val="2"/>
          <w:sz w:val="18"/>
          <w:szCs w:val="18"/>
        </w:rPr>
        <w:t>StaffofColumbiaCollege</w:t>
      </w:r>
      <w:r>
        <w:rPr>
          <w:rFonts w:hint="eastAsia" w:ascii="宋体" w:hAnsi="宋体" w:eastAsia="宋体" w:cs="宋体"/>
          <w:spacing w:val="1"/>
          <w:position w:val="4"/>
          <w:sz w:val="18"/>
          <w:szCs w:val="18"/>
        </w:rPr>
        <w:t>,</w:t>
      </w:r>
      <w:r>
        <w:rPr>
          <w:rFonts w:hint="eastAsia" w:ascii="宋体" w:hAnsi="宋体" w:eastAsia="宋体" w:cs="宋体"/>
          <w:spacing w:val="1"/>
          <w:position w:val="2"/>
          <w:sz w:val="18"/>
          <w:szCs w:val="18"/>
        </w:rPr>
        <w:t>IntroductiontoContemporaryCivi-</w:t>
      </w:r>
      <w:r>
        <w:rPr>
          <w:rFonts w:hint="eastAsia" w:ascii="宋体" w:hAnsi="宋体" w:eastAsia="宋体" w:cs="宋体"/>
          <w:position w:val="2"/>
          <w:sz w:val="18"/>
          <w:szCs w:val="18"/>
        </w:rPr>
        <w:t>lizationintheWest</w:t>
      </w:r>
      <w:r>
        <w:rPr>
          <w:rFonts w:hint="eastAsia" w:ascii="宋体" w:hAnsi="宋体" w:eastAsia="宋体" w:cs="宋体"/>
          <w:spacing w:val="18"/>
          <w:position w:val="4"/>
          <w:sz w:val="18"/>
          <w:szCs w:val="18"/>
        </w:rPr>
        <w:t>,</w:t>
      </w:r>
      <w:r>
        <w:rPr>
          <w:rFonts w:hint="eastAsia" w:ascii="宋体" w:hAnsi="宋体" w:eastAsia="宋体" w:cs="宋体"/>
          <w:position w:val="2"/>
          <w:sz w:val="18"/>
          <w:szCs w:val="18"/>
        </w:rPr>
        <w:t>NewYork</w:t>
      </w:r>
      <w:r>
        <w:rPr>
          <w:rFonts w:hint="eastAsia" w:ascii="宋体" w:hAnsi="宋体" w:eastAsia="宋体" w:cs="宋体"/>
          <w:spacing w:val="18"/>
          <w:position w:val="4"/>
          <w:sz w:val="18"/>
          <w:szCs w:val="18"/>
        </w:rPr>
        <w:t>:</w:t>
      </w:r>
      <w:r>
        <w:rPr>
          <w:rFonts w:hint="eastAsia" w:ascii="宋体" w:hAnsi="宋体" w:eastAsia="宋体" w:cs="宋体"/>
          <w:position w:val="2"/>
          <w:sz w:val="18"/>
          <w:szCs w:val="18"/>
        </w:rPr>
        <w:t>ColumbiaUniversityPress</w:t>
      </w:r>
      <w:r>
        <w:rPr>
          <w:rFonts w:hint="eastAsia" w:ascii="宋体" w:hAnsi="宋体" w:eastAsia="宋体" w:cs="宋体"/>
          <w:spacing w:val="18"/>
          <w:position w:val="4"/>
          <w:sz w:val="18"/>
          <w:szCs w:val="18"/>
        </w:rPr>
        <w:t>,</w:t>
      </w:r>
      <w:r>
        <w:rPr>
          <w:rFonts w:hint="eastAsia" w:ascii="宋体" w:hAnsi="宋体" w:eastAsia="宋体" w:cs="宋体"/>
          <w:spacing w:val="18"/>
          <w:position w:val="2"/>
          <w:sz w:val="18"/>
          <w:szCs w:val="18"/>
        </w:rPr>
        <w:t>1960-61,</w:t>
      </w:r>
      <w:r>
        <w:rPr>
          <w:rFonts w:hint="eastAsia" w:ascii="宋体" w:hAnsi="宋体" w:eastAsia="宋体" w:cs="宋体"/>
          <w:position w:val="2"/>
          <w:sz w:val="18"/>
          <w:szCs w:val="18"/>
        </w:rPr>
        <w:t>pp</w:t>
      </w:r>
      <w:r>
        <w:rPr>
          <w:rFonts w:hint="eastAsia" w:ascii="宋体" w:hAnsi="宋体" w:eastAsia="宋体" w:cs="宋体"/>
          <w:spacing w:val="18"/>
          <w:position w:val="2"/>
          <w:sz w:val="18"/>
          <w:szCs w:val="18"/>
        </w:rPr>
        <w:t>.523-529.</w:t>
      </w:r>
    </w:p>
  </w:footnote>
  <w:footnote w:id="1144">
    <w:p w14:paraId="60F2A755">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联合国经济及社会理事会:《关于被称为“基督教发现教旨”的国际法律概念对土著人</w:t>
      </w:r>
      <w:r>
        <w:rPr>
          <w:rFonts w:hint="eastAsia" w:ascii="宋体" w:hAnsi="宋体" w:eastAsia="宋体" w:cs="宋体"/>
          <w:spacing w:val="5"/>
          <w:sz w:val="18"/>
          <w:szCs w:val="18"/>
        </w:rPr>
        <w:t>民的影</w:t>
      </w:r>
      <w:r>
        <w:rPr>
          <w:rFonts w:hint="eastAsia" w:ascii="宋体" w:hAnsi="宋体" w:eastAsia="宋体" w:cs="宋体"/>
          <w:sz w:val="18"/>
          <w:szCs w:val="18"/>
        </w:rPr>
        <w:t>响的初步研究》,E/C.19/2010/13,第5页。</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"https://documents.un.org/doc/undoc/gen/n10/231/01/" </w:instrText>
      </w:r>
      <w:r>
        <w:rPr>
          <w:rFonts w:hint="eastAsia" w:ascii="宋体" w:hAnsi="宋体" w:eastAsia="宋体" w:cs="宋体"/>
          <w:sz w:val="18"/>
          <w:szCs w:val="18"/>
        </w:rPr>
        <w:fldChar w:fldCharType="separate"/>
      </w:r>
      <w:r>
        <w:rPr>
          <w:rFonts w:hint="eastAsia" w:ascii="宋体" w:hAnsi="宋体" w:eastAsia="宋体" w:cs="宋体"/>
          <w:sz w:val="18"/>
          <w:szCs w:val="18"/>
        </w:rPr>
        <w:t>https://documents.un.org/doc/undoc/gen/n10/231/01/</w:t>
      </w:r>
      <w:r>
        <w:rPr>
          <w:rFonts w:hint="eastAsia" w:ascii="宋体" w:hAnsi="宋体" w:eastAsia="宋体" w:cs="宋体"/>
          <w:sz w:val="18"/>
          <w:szCs w:val="18"/>
        </w:rPr>
        <w:fldChar w:fldCharType="end"/>
      </w:r>
      <w:r>
        <w:rPr>
          <w:rFonts w:hint="eastAsia" w:ascii="宋体" w:hAnsi="宋体" w:eastAsia="宋体" w:cs="宋体"/>
          <w:spacing w:val="-2"/>
          <w:sz w:val="18"/>
          <w:szCs w:val="18"/>
        </w:rPr>
        <w:t>pdf/n1023101.pdf.January25</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2025.</w:t>
      </w:r>
    </w:p>
  </w:footnote>
  <w:footnote w:id="1145">
    <w:p w14:paraId="063680E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《资本论》第</w:t>
      </w:r>
      <w:r>
        <w:rPr>
          <w:rFonts w:hint="eastAsia" w:ascii="宋体" w:hAnsi="宋体" w:eastAsia="宋体" w:cs="宋体"/>
          <w:spacing w:val="8"/>
          <w:position w:val="-1"/>
          <w:sz w:val="18"/>
          <w:szCs w:val="18"/>
        </w:rPr>
        <w:t>1</w:t>
      </w:r>
      <w:r>
        <w:rPr>
          <w:rFonts w:hint="eastAsia" w:ascii="宋体" w:hAnsi="宋体" w:eastAsia="宋体" w:cs="宋体"/>
          <w:spacing w:val="8"/>
          <w:sz w:val="18"/>
          <w:szCs w:val="18"/>
        </w:rPr>
        <w:t>卷,北京:人民出版社,</w:t>
      </w:r>
      <w:r>
        <w:rPr>
          <w:rFonts w:hint="eastAsia" w:ascii="宋体" w:hAnsi="宋体" w:eastAsia="宋体" w:cs="宋体"/>
          <w:spacing w:val="8"/>
          <w:position w:val="-1"/>
          <w:sz w:val="18"/>
          <w:szCs w:val="18"/>
        </w:rPr>
        <w:t>2004</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rPr>
        <w:t>863</w:t>
      </w:r>
      <w:r>
        <w:rPr>
          <w:rFonts w:hint="eastAsia" w:ascii="宋体" w:hAnsi="宋体" w:eastAsia="宋体" w:cs="宋体"/>
          <w:spacing w:val="8"/>
          <w:sz w:val="18"/>
          <w:szCs w:val="18"/>
        </w:rPr>
        <w:t>页。</w:t>
      </w:r>
    </w:p>
  </w:footnote>
  <w:footnote w:id="1146">
    <w:p w14:paraId="7C99F32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《资本论》第</w:t>
      </w:r>
      <w:r>
        <w:rPr>
          <w:rFonts w:hint="eastAsia" w:ascii="宋体" w:hAnsi="宋体" w:eastAsia="宋体" w:cs="宋体"/>
          <w:spacing w:val="8"/>
          <w:position w:val="-1"/>
          <w:sz w:val="18"/>
          <w:szCs w:val="18"/>
        </w:rPr>
        <w:t>1</w:t>
      </w:r>
      <w:r>
        <w:rPr>
          <w:rFonts w:hint="eastAsia" w:ascii="宋体" w:hAnsi="宋体" w:eastAsia="宋体" w:cs="宋体"/>
          <w:spacing w:val="8"/>
          <w:sz w:val="18"/>
          <w:szCs w:val="18"/>
        </w:rPr>
        <w:t>卷,北京:人民出版社,</w:t>
      </w:r>
      <w:r>
        <w:rPr>
          <w:rFonts w:hint="eastAsia" w:ascii="宋体" w:hAnsi="宋体" w:eastAsia="宋体" w:cs="宋体"/>
          <w:spacing w:val="8"/>
          <w:position w:val="-1"/>
          <w:sz w:val="18"/>
          <w:szCs w:val="18"/>
        </w:rPr>
        <w:t>2004</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rPr>
        <w:t>861</w:t>
      </w:r>
      <w:r>
        <w:rPr>
          <w:rFonts w:hint="eastAsia" w:ascii="宋体" w:hAnsi="宋体" w:eastAsia="宋体" w:cs="宋体"/>
          <w:spacing w:val="8"/>
          <w:sz w:val="18"/>
          <w:szCs w:val="18"/>
        </w:rPr>
        <w:t>页。</w:t>
      </w:r>
    </w:p>
  </w:footnote>
  <w:footnote w:id="1147">
    <w:p w14:paraId="3279AD7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StatistaResearchDepartment</w:t>
      </w:r>
      <w:r>
        <w:rPr>
          <w:rFonts w:hint="eastAsia" w:ascii="宋体" w:hAnsi="宋体" w:eastAsia="宋体" w:cs="宋体"/>
          <w:spacing w:val="12"/>
          <w:position w:val="2"/>
          <w:sz w:val="18"/>
          <w:szCs w:val="18"/>
        </w:rPr>
        <w:t>,</w:t>
      </w:r>
      <w:r>
        <w:rPr>
          <w:rFonts w:hint="eastAsia" w:ascii="宋体" w:hAnsi="宋体" w:eastAsia="宋体" w:cs="宋体"/>
          <w:sz w:val="18"/>
          <w:szCs w:val="18"/>
        </w:rPr>
        <w:t>EstimatedindigenouspopulationsoftheAmericasatthetime</w:t>
      </w:r>
      <w:r>
        <w:rPr>
          <w:rFonts w:hint="eastAsia" w:ascii="宋体" w:hAnsi="宋体" w:eastAsia="宋体" w:cs="宋体"/>
          <w:spacing w:val="-1"/>
          <w:sz w:val="18"/>
          <w:szCs w:val="18"/>
        </w:rPr>
        <w:t>ofEuropeancontact,beginningin1492,</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"https://www.statista.com/statistics/1171896/pre-coloniza" </w:instrText>
      </w:r>
      <w:r>
        <w:rPr>
          <w:rFonts w:hint="eastAsia" w:ascii="宋体" w:hAnsi="宋体" w:eastAsia="宋体" w:cs="宋体"/>
          <w:sz w:val="18"/>
          <w:szCs w:val="18"/>
        </w:rPr>
        <w:fldChar w:fldCharType="separate"/>
      </w:r>
      <w:r>
        <w:rPr>
          <w:rFonts w:hint="eastAsia" w:ascii="宋体" w:hAnsi="宋体" w:eastAsia="宋体" w:cs="宋体"/>
          <w:spacing w:val="-1"/>
          <w:sz w:val="18"/>
          <w:szCs w:val="18"/>
        </w:rPr>
        <w:t>https://www.statista.com/st</w:t>
      </w:r>
      <w:r>
        <w:rPr>
          <w:rFonts w:hint="eastAsia" w:ascii="宋体" w:hAnsi="宋体" w:eastAsia="宋体" w:cs="宋体"/>
          <w:spacing w:val="-2"/>
          <w:sz w:val="18"/>
          <w:szCs w:val="18"/>
        </w:rPr>
        <w:t>atistics/1171896/pre-coloniza</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-tion-population-americ</w:t>
      </w:r>
      <w:r>
        <w:rPr>
          <w:rFonts w:hint="eastAsia" w:ascii="宋体" w:hAnsi="宋体" w:eastAsia="宋体" w:cs="宋体"/>
          <w:spacing w:val="-3"/>
          <w:sz w:val="18"/>
          <w:szCs w:val="18"/>
        </w:rPr>
        <w:t>as/.July9</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w:t>
      </w:r>
    </w:p>
  </w:footnote>
  <w:footnote w:id="1148">
    <w:p w14:paraId="10707A4B">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position w:val="2"/>
          <w:sz w:val="18"/>
          <w:szCs w:val="18"/>
        </w:rPr>
        <w:t>Nandy,A.</w:t>
      </w:r>
      <w:r>
        <w:rPr>
          <w:rFonts w:hint="eastAsia" w:ascii="宋体" w:hAnsi="宋体" w:eastAsia="宋体" w:cs="宋体"/>
          <w:spacing w:val="7"/>
          <w:position w:val="4"/>
          <w:sz w:val="18"/>
          <w:szCs w:val="18"/>
        </w:rPr>
        <w:t>,</w:t>
      </w:r>
      <w:r>
        <w:rPr>
          <w:rFonts w:hint="eastAsia" w:ascii="宋体" w:hAnsi="宋体" w:eastAsia="宋体" w:cs="宋体"/>
          <w:spacing w:val="7"/>
          <w:position w:val="2"/>
          <w:sz w:val="18"/>
          <w:szCs w:val="18"/>
        </w:rPr>
        <w:t>TheIntimateEnemy</w:t>
      </w:r>
      <w:r>
        <w:rPr>
          <w:rFonts w:hint="eastAsia" w:ascii="宋体" w:hAnsi="宋体" w:eastAsia="宋体" w:cs="宋体"/>
          <w:spacing w:val="7"/>
          <w:position w:val="4"/>
          <w:sz w:val="18"/>
          <w:szCs w:val="18"/>
        </w:rPr>
        <w:t>:</w:t>
      </w:r>
      <w:r>
        <w:rPr>
          <w:rFonts w:hint="eastAsia" w:ascii="宋体" w:hAnsi="宋体" w:eastAsia="宋体" w:cs="宋体"/>
          <w:spacing w:val="7"/>
          <w:position w:val="2"/>
          <w:sz w:val="18"/>
          <w:szCs w:val="18"/>
        </w:rPr>
        <w:t>LossandRecoveryofSelfUnderColonialis</w:t>
      </w:r>
      <w:r>
        <w:rPr>
          <w:rFonts w:hint="eastAsia" w:ascii="宋体" w:hAnsi="宋体" w:eastAsia="宋体" w:cs="宋体"/>
          <w:spacing w:val="6"/>
          <w:position w:val="2"/>
          <w:sz w:val="18"/>
          <w:szCs w:val="18"/>
        </w:rPr>
        <w:t>m</w:t>
      </w:r>
      <w:r>
        <w:rPr>
          <w:rFonts w:hint="eastAsia" w:ascii="宋体" w:hAnsi="宋体" w:eastAsia="宋体" w:cs="宋体"/>
          <w:spacing w:val="6"/>
          <w:position w:val="4"/>
          <w:sz w:val="18"/>
          <w:szCs w:val="18"/>
        </w:rPr>
        <w:t>,</w:t>
      </w:r>
      <w:r>
        <w:rPr>
          <w:rFonts w:hint="eastAsia" w:ascii="宋体" w:hAnsi="宋体" w:eastAsia="宋体" w:cs="宋体"/>
          <w:spacing w:val="6"/>
          <w:position w:val="2"/>
          <w:sz w:val="18"/>
          <w:szCs w:val="18"/>
        </w:rPr>
        <w:t>Oxford</w:t>
      </w:r>
      <w:r>
        <w:rPr>
          <w:rFonts w:hint="eastAsia" w:ascii="宋体" w:hAnsi="宋体" w:eastAsia="宋体" w:cs="宋体"/>
          <w:spacing w:val="6"/>
          <w:position w:val="4"/>
          <w:sz w:val="18"/>
          <w:szCs w:val="18"/>
        </w:rPr>
        <w:t>:</w:t>
      </w:r>
      <w:r>
        <w:rPr>
          <w:rFonts w:hint="eastAsia" w:ascii="宋体" w:hAnsi="宋体" w:eastAsia="宋体" w:cs="宋体"/>
          <w:spacing w:val="6"/>
          <w:position w:val="3"/>
          <w:sz w:val="18"/>
          <w:szCs w:val="18"/>
        </w:rPr>
        <w:t>OxfordUniversityPress</w:t>
      </w:r>
      <w:r>
        <w:rPr>
          <w:rFonts w:hint="eastAsia" w:ascii="宋体" w:hAnsi="宋体" w:eastAsia="宋体" w:cs="宋体"/>
          <w:spacing w:val="6"/>
          <w:position w:val="5"/>
          <w:sz w:val="18"/>
          <w:szCs w:val="18"/>
        </w:rPr>
        <w:t>,</w:t>
      </w:r>
      <w:r>
        <w:rPr>
          <w:rFonts w:hint="eastAsia" w:ascii="宋体" w:hAnsi="宋体" w:eastAsia="宋体" w:cs="宋体"/>
          <w:spacing w:val="5"/>
          <w:position w:val="3"/>
          <w:sz w:val="18"/>
          <w:szCs w:val="18"/>
        </w:rPr>
        <w:t>1983,pp.xi-xv.</w:t>
      </w:r>
    </w:p>
    <w:p w14:paraId="7C773E0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149">
    <w:p w14:paraId="21BDD63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Pseudo-scientificRacismandSocialDarwinism,</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"https://www.sahistory.org.za/article/pseudo"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https://www.sahistory.org.za/article/pseudo</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w:t>
      </w:r>
      <w:r>
        <w:rPr>
          <w:rFonts w:hint="eastAsia" w:ascii="宋体" w:hAnsi="宋体" w:eastAsia="宋体" w:cs="宋体"/>
          <w:spacing w:val="-4"/>
          <w:sz w:val="18"/>
          <w:szCs w:val="18"/>
        </w:rPr>
        <w:t>scientific-racism-and-social-darwinism.June27</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2024.</w:t>
      </w:r>
    </w:p>
  </w:footnote>
  <w:footnote w:id="1150">
    <w:p w14:paraId="4EEBD84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LinnaeusandRace,</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"https://www.linnean.org/learning/who-was-linnaeus/linnaeus-and-race"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w:t>
      </w:r>
      <w:r>
        <w:rPr>
          <w:rFonts w:hint="eastAsia" w:ascii="宋体" w:hAnsi="宋体" w:eastAsia="宋体" w:cs="宋体"/>
          <w:spacing w:val="-3"/>
          <w:sz w:val="18"/>
          <w:szCs w:val="18"/>
        </w:rPr>
        <w:t>://www.linnean.org/learning/who-was-linnaeus/linnaeus-and-race</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w:t>
      </w:r>
      <w:r>
        <w:rPr>
          <w:rFonts w:hint="eastAsia" w:ascii="宋体" w:hAnsi="宋体" w:eastAsia="宋体" w:cs="宋体"/>
          <w:sz w:val="18"/>
          <w:szCs w:val="18"/>
        </w:rPr>
        <w:t>June</w:t>
      </w:r>
      <w:r>
        <w:rPr>
          <w:rFonts w:hint="eastAsia" w:ascii="宋体" w:hAnsi="宋体" w:eastAsia="宋体" w:cs="宋体"/>
          <w:spacing w:val="6"/>
          <w:sz w:val="18"/>
          <w:szCs w:val="18"/>
        </w:rPr>
        <w:t>27</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2024.</w:t>
      </w:r>
    </w:p>
  </w:footnote>
  <w:footnote w:id="1151">
    <w:p w14:paraId="1542DF7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〔美〕卡罗尔·</w:t>
      </w:r>
      <w:r>
        <w:rPr>
          <w:rFonts w:hint="eastAsia" w:ascii="宋体" w:hAnsi="宋体" w:eastAsia="宋体" w:cs="宋体"/>
          <w:spacing w:val="7"/>
          <w:position w:val="-1"/>
          <w:sz w:val="18"/>
          <w:szCs w:val="18"/>
        </w:rPr>
        <w:t>R.</w:t>
      </w:r>
      <w:r>
        <w:rPr>
          <w:rFonts w:hint="eastAsia" w:ascii="宋体" w:hAnsi="宋体" w:eastAsia="宋体" w:cs="宋体"/>
          <w:spacing w:val="7"/>
          <w:sz w:val="18"/>
          <w:szCs w:val="18"/>
        </w:rPr>
        <w:t>恩贝尔、梅尔文·恩贝尔:《文化人类学》第</w:t>
      </w:r>
      <w:r>
        <w:rPr>
          <w:rFonts w:hint="eastAsia" w:ascii="宋体" w:hAnsi="宋体" w:eastAsia="宋体" w:cs="宋体"/>
          <w:spacing w:val="7"/>
          <w:position w:val="-1"/>
          <w:sz w:val="18"/>
          <w:szCs w:val="18"/>
        </w:rPr>
        <w:t>13</w:t>
      </w:r>
      <w:r>
        <w:rPr>
          <w:rFonts w:hint="eastAsia" w:ascii="宋体" w:hAnsi="宋体" w:eastAsia="宋体" w:cs="宋体"/>
          <w:spacing w:val="7"/>
          <w:sz w:val="18"/>
          <w:szCs w:val="18"/>
        </w:rPr>
        <w:t>版,王晴锋译,北京:商务印书</w:t>
      </w:r>
      <w:r>
        <w:rPr>
          <w:rFonts w:hint="eastAsia" w:ascii="宋体" w:hAnsi="宋体" w:eastAsia="宋体" w:cs="宋体"/>
          <w:spacing w:val="9"/>
          <w:sz w:val="18"/>
          <w:szCs w:val="18"/>
        </w:rPr>
        <w:t>馆,</w:t>
      </w:r>
      <w:r>
        <w:rPr>
          <w:rFonts w:hint="eastAsia" w:ascii="宋体" w:hAnsi="宋体" w:eastAsia="宋体" w:cs="宋体"/>
          <w:spacing w:val="9"/>
          <w:position w:val="-1"/>
          <w:sz w:val="18"/>
          <w:szCs w:val="18"/>
        </w:rPr>
        <w:t>2021</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81</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152">
    <w:p w14:paraId="3D301C5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LindsayPressman,HowEvolutionwasUsedtoSupportScientificRacism,</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"https://jstor.org/"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https://jstor.org/</w:t>
      </w:r>
      <w:r>
        <w:rPr>
          <w:rFonts w:hint="eastAsia" w:ascii="宋体" w:hAnsi="宋体" w:eastAsia="宋体" w:cs="宋体"/>
          <w:spacing w:val="3"/>
          <w:sz w:val="18"/>
          <w:szCs w:val="18"/>
        </w:rPr>
        <w:fldChar w:fldCharType="end"/>
      </w:r>
      <w:r>
        <w:rPr>
          <w:rFonts w:hint="eastAsia" w:ascii="宋体" w:hAnsi="宋体" w:eastAsia="宋体" w:cs="宋体"/>
          <w:spacing w:val="-2"/>
          <w:sz w:val="18"/>
          <w:szCs w:val="18"/>
        </w:rPr>
        <w:t>stable</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community.38593961.</w:t>
      </w:r>
      <w:r>
        <w:rPr>
          <w:rFonts w:hint="eastAsia" w:ascii="宋体" w:hAnsi="宋体" w:eastAsia="宋体" w:cs="宋体"/>
          <w:spacing w:val="-3"/>
          <w:sz w:val="18"/>
          <w:szCs w:val="18"/>
        </w:rPr>
        <w:t>February22</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w:t>
      </w:r>
    </w:p>
  </w:footnote>
  <w:footnote w:id="1153">
    <w:p w14:paraId="79F6413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〔美〕卡罗尔·</w:t>
      </w:r>
      <w:r>
        <w:rPr>
          <w:rFonts w:hint="eastAsia" w:ascii="宋体" w:hAnsi="宋体" w:eastAsia="宋体" w:cs="宋体"/>
          <w:spacing w:val="7"/>
          <w:position w:val="-1"/>
          <w:sz w:val="18"/>
          <w:szCs w:val="18"/>
        </w:rPr>
        <w:t>R.</w:t>
      </w:r>
      <w:r>
        <w:rPr>
          <w:rFonts w:hint="eastAsia" w:ascii="宋体" w:hAnsi="宋体" w:eastAsia="宋体" w:cs="宋体"/>
          <w:spacing w:val="7"/>
          <w:sz w:val="18"/>
          <w:szCs w:val="18"/>
        </w:rPr>
        <w:t>恩贝尔、梅尔文·恩贝尔:《文化人类学》第</w:t>
      </w:r>
      <w:r>
        <w:rPr>
          <w:rFonts w:hint="eastAsia" w:ascii="宋体" w:hAnsi="宋体" w:eastAsia="宋体" w:cs="宋体"/>
          <w:spacing w:val="7"/>
          <w:position w:val="-1"/>
          <w:sz w:val="18"/>
          <w:szCs w:val="18"/>
        </w:rPr>
        <w:t>13</w:t>
      </w:r>
      <w:r>
        <w:rPr>
          <w:rFonts w:hint="eastAsia" w:ascii="宋体" w:hAnsi="宋体" w:eastAsia="宋体" w:cs="宋体"/>
          <w:spacing w:val="7"/>
          <w:sz w:val="18"/>
          <w:szCs w:val="18"/>
        </w:rPr>
        <w:t>版,王晴锋译,北京:商务印书</w:t>
      </w:r>
      <w:r>
        <w:rPr>
          <w:rFonts w:hint="eastAsia" w:ascii="宋体" w:hAnsi="宋体" w:eastAsia="宋体" w:cs="宋体"/>
          <w:spacing w:val="9"/>
          <w:sz w:val="18"/>
          <w:szCs w:val="18"/>
        </w:rPr>
        <w:t>馆,</w:t>
      </w:r>
      <w:r>
        <w:rPr>
          <w:rFonts w:hint="eastAsia" w:ascii="宋体" w:hAnsi="宋体" w:eastAsia="宋体" w:cs="宋体"/>
          <w:spacing w:val="9"/>
          <w:position w:val="-1"/>
          <w:sz w:val="18"/>
          <w:szCs w:val="18"/>
        </w:rPr>
        <w:t>2021</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81</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154">
    <w:p w14:paraId="33D2C55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OneDropRule,</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"https://sociology.iresearchnet.com/sociology-of-race/one-drop-rule/google_"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https://sociology.iresearchne</w:t>
      </w:r>
      <w:r>
        <w:rPr>
          <w:rFonts w:hint="eastAsia" w:ascii="宋体" w:hAnsi="宋体" w:eastAsia="宋体" w:cs="宋体"/>
          <w:spacing w:val="-4"/>
          <w:sz w:val="18"/>
          <w:szCs w:val="18"/>
        </w:rPr>
        <w:t>t.com/sociology-of-race/one-drop-rule/google_</w:t>
      </w:r>
      <w:r>
        <w:rPr>
          <w:rFonts w:hint="eastAsia" w:ascii="宋体" w:hAnsi="宋体" w:eastAsia="宋体" w:cs="宋体"/>
          <w:spacing w:val="-4"/>
          <w:sz w:val="18"/>
          <w:szCs w:val="18"/>
        </w:rPr>
        <w:fldChar w:fldCharType="end"/>
      </w:r>
      <w:r>
        <w:rPr>
          <w:rFonts w:hint="eastAsia" w:ascii="宋体" w:hAnsi="宋体" w:eastAsia="宋体" w:cs="宋体"/>
          <w:sz w:val="18"/>
          <w:szCs w:val="18"/>
        </w:rPr>
        <w:t>vignette.February22</w:t>
      </w:r>
      <w:r>
        <w:rPr>
          <w:rFonts w:hint="eastAsia" w:ascii="宋体" w:hAnsi="宋体" w:eastAsia="宋体" w:cs="宋体"/>
          <w:position w:val="2"/>
          <w:sz w:val="18"/>
          <w:szCs w:val="18"/>
        </w:rPr>
        <w:t>,</w:t>
      </w:r>
      <w:r>
        <w:rPr>
          <w:rFonts w:hint="eastAsia" w:ascii="宋体" w:hAnsi="宋体" w:eastAsia="宋体" w:cs="宋体"/>
          <w:sz w:val="18"/>
          <w:szCs w:val="18"/>
        </w:rPr>
        <w:t>20</w:t>
      </w:r>
      <w:r>
        <w:rPr>
          <w:rFonts w:hint="eastAsia" w:ascii="宋体" w:hAnsi="宋体" w:eastAsia="宋体" w:cs="宋体"/>
          <w:spacing w:val="-1"/>
          <w:sz w:val="18"/>
          <w:szCs w:val="18"/>
        </w:rPr>
        <w:t>24.</w:t>
      </w:r>
    </w:p>
  </w:footnote>
  <w:footnote w:id="1155">
    <w:p w14:paraId="6538A14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CaitlinSnook,TheRacialIntegrityAct,1924:AnAttackonIndigenousI</w:t>
      </w:r>
      <w:r>
        <w:rPr>
          <w:rFonts w:hint="eastAsia" w:ascii="宋体" w:hAnsi="宋体" w:eastAsia="宋体" w:cs="宋体"/>
          <w:spacing w:val="3"/>
          <w:sz w:val="18"/>
          <w:szCs w:val="18"/>
        </w:rPr>
        <w:t>dentity,</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 </w:instrText>
      </w:r>
      <w:r>
        <w:rPr>
          <w:rFonts w:hint="eastAsia" w:ascii="宋体" w:hAnsi="宋体" w:eastAsia="宋体" w:cs="宋体"/>
          <w:sz w:val="18"/>
          <w:szCs w:val="18"/>
        </w:rPr>
        <w:fldChar w:fldCharType="separate"/>
      </w:r>
      <w:r>
        <w:rPr>
          <w:rFonts w:hint="eastAsia" w:ascii="宋体" w:hAnsi="宋体" w:eastAsia="宋体" w:cs="宋体"/>
          <w:spacing w:val="3"/>
          <w:position w:val="1"/>
          <w:sz w:val="18"/>
          <w:szCs w:val="18"/>
        </w:rPr>
        <w:t>https://</w:t>
      </w:r>
      <w:r>
        <w:rPr>
          <w:rFonts w:hint="eastAsia" w:ascii="宋体" w:hAnsi="宋体" w:eastAsia="宋体" w:cs="宋体"/>
          <w:spacing w:val="3"/>
          <w:position w:val="1"/>
          <w:sz w:val="18"/>
          <w:szCs w:val="18"/>
        </w:rPr>
        <w:fldChar w:fldCharType="end"/>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"https://www.nps.gov/articles/000/racial-integrity-act.htm.February22"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www.nps.gov/articles/000/racial-integrity-act.htm.February22</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,2024.</w:t>
      </w:r>
    </w:p>
  </w:footnote>
  <w:footnote w:id="1156">
    <w:p w14:paraId="2E6DFBE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AudreySmedley,scientificracism</w:t>
      </w:r>
      <w:r>
        <w:rPr>
          <w:rFonts w:hint="eastAsia" w:ascii="宋体" w:hAnsi="宋体" w:eastAsia="宋体" w:cs="宋体"/>
          <w:spacing w:val="-1"/>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"https://www.britannica.com/topic/scientific-racism.Feb" </w:instrText>
      </w:r>
      <w:r>
        <w:rPr>
          <w:rFonts w:hint="eastAsia" w:ascii="宋体" w:hAnsi="宋体" w:eastAsia="宋体" w:cs="宋体"/>
          <w:sz w:val="18"/>
          <w:szCs w:val="18"/>
        </w:rPr>
        <w:fldChar w:fldCharType="separate"/>
      </w:r>
      <w:r>
        <w:rPr>
          <w:rFonts w:hint="eastAsia" w:ascii="宋体" w:hAnsi="宋体" w:eastAsia="宋体" w:cs="宋体"/>
          <w:spacing w:val="-1"/>
          <w:sz w:val="18"/>
          <w:szCs w:val="18"/>
        </w:rPr>
        <w:t>https://www.britannica.com/topic/scientific-racism.Feb</w:t>
      </w:r>
      <w:r>
        <w:rPr>
          <w:rFonts w:hint="eastAsia" w:ascii="宋体" w:hAnsi="宋体" w:eastAsia="宋体" w:cs="宋体"/>
          <w:spacing w:val="-1"/>
          <w:sz w:val="18"/>
          <w:szCs w:val="18"/>
        </w:rPr>
        <w:fldChar w:fldCharType="end"/>
      </w:r>
      <w:r>
        <w:rPr>
          <w:rFonts w:hint="eastAsia" w:ascii="宋体" w:hAnsi="宋体" w:eastAsia="宋体" w:cs="宋体"/>
          <w:spacing w:val="-1"/>
          <w:sz w:val="18"/>
          <w:szCs w:val="18"/>
        </w:rPr>
        <w:t>-</w:t>
      </w:r>
      <w:r>
        <w:rPr>
          <w:rFonts w:hint="eastAsia" w:ascii="宋体" w:hAnsi="宋体" w:eastAsia="宋体" w:cs="宋体"/>
          <w:sz w:val="18"/>
          <w:szCs w:val="18"/>
        </w:rPr>
        <w:t>ruary</w:t>
      </w:r>
      <w:r>
        <w:rPr>
          <w:rFonts w:hint="eastAsia" w:ascii="宋体" w:hAnsi="宋体" w:eastAsia="宋体" w:cs="宋体"/>
          <w:spacing w:val="7"/>
          <w:sz w:val="18"/>
          <w:szCs w:val="18"/>
        </w:rPr>
        <w:t>25</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2024.</w:t>
      </w:r>
    </w:p>
  </w:footnote>
  <w:footnote w:id="1157">
    <w:p w14:paraId="73CFE4E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〔美〕斯蒂芬·杰伊·古尔德:《人类的误测:智商歧视的科学史》,柳文文译,重庆:重庆大学出</w:t>
      </w:r>
      <w:r>
        <w:rPr>
          <w:rFonts w:hint="eastAsia" w:ascii="宋体" w:hAnsi="宋体" w:eastAsia="宋体" w:cs="宋体"/>
          <w:spacing w:val="2"/>
          <w:sz w:val="18"/>
          <w:szCs w:val="18"/>
        </w:rPr>
        <w:t>版社,</w:t>
      </w:r>
      <w:r>
        <w:rPr>
          <w:rFonts w:hint="eastAsia" w:ascii="宋体" w:hAnsi="宋体" w:eastAsia="宋体" w:cs="宋体"/>
          <w:spacing w:val="2"/>
          <w:position w:val="-1"/>
          <w:sz w:val="18"/>
          <w:szCs w:val="18"/>
        </w:rPr>
        <w:t>2017</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50</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53</w:t>
      </w:r>
      <w:r>
        <w:rPr>
          <w:rFonts w:hint="eastAsia" w:ascii="宋体" w:hAnsi="宋体" w:eastAsia="宋体" w:cs="宋体"/>
          <w:spacing w:val="2"/>
          <w:sz w:val="18"/>
          <w:szCs w:val="18"/>
        </w:rPr>
        <w:t>页</w:t>
      </w:r>
      <w:r>
        <w:rPr>
          <w:rFonts w:hint="eastAsia" w:ascii="宋体" w:hAnsi="宋体" w:eastAsia="宋体" w:cs="宋体"/>
          <w:spacing w:val="2"/>
          <w:position w:val="1"/>
          <w:sz w:val="18"/>
          <w:szCs w:val="18"/>
        </w:rPr>
        <w:t>。</w:t>
      </w:r>
    </w:p>
  </w:footnote>
  <w:footnote w:id="1158">
    <w:p w14:paraId="5A1CA64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Blaut</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J.M.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TheTheoryofCulturalRacism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Antipode</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1992</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Vol</w:t>
      </w:r>
      <w:r>
        <w:rPr>
          <w:rFonts w:hint="eastAsia" w:ascii="宋体" w:hAnsi="宋体" w:eastAsia="宋体" w:cs="宋体"/>
          <w:spacing w:val="13"/>
          <w:position w:val="2"/>
          <w:sz w:val="18"/>
          <w:szCs w:val="18"/>
        </w:rPr>
        <w:t>.24</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Issue</w:t>
      </w:r>
      <w:r>
        <w:rPr>
          <w:rFonts w:hint="eastAsia" w:ascii="宋体" w:hAnsi="宋体" w:eastAsia="宋体" w:cs="宋体"/>
          <w:spacing w:val="13"/>
          <w:position w:val="2"/>
          <w:sz w:val="18"/>
          <w:szCs w:val="18"/>
        </w:rPr>
        <w:t>4,</w:t>
      </w:r>
      <w:r>
        <w:rPr>
          <w:rFonts w:hint="eastAsia" w:ascii="宋体" w:hAnsi="宋体" w:eastAsia="宋体" w:cs="宋体"/>
          <w:position w:val="2"/>
          <w:sz w:val="18"/>
          <w:szCs w:val="18"/>
        </w:rPr>
        <w:t>pp</w:t>
      </w:r>
      <w:r>
        <w:rPr>
          <w:rFonts w:hint="eastAsia" w:ascii="宋体" w:hAnsi="宋体" w:eastAsia="宋体" w:cs="宋体"/>
          <w:spacing w:val="13"/>
          <w:position w:val="2"/>
          <w:sz w:val="18"/>
          <w:szCs w:val="18"/>
        </w:rPr>
        <w:t>.</w:t>
      </w:r>
      <w:r>
        <w:rPr>
          <w:rFonts w:hint="eastAsia" w:ascii="宋体" w:hAnsi="宋体" w:eastAsia="宋体" w:cs="宋体"/>
          <w:spacing w:val="12"/>
          <w:position w:val="2"/>
          <w:sz w:val="18"/>
          <w:szCs w:val="18"/>
        </w:rPr>
        <w:t>289-299.</w:t>
      </w:r>
    </w:p>
  </w:footnote>
  <w:footnote w:id="1159">
    <w:p w14:paraId="2850216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EdwinBlack,TheHorrifyingAmerican</w:t>
      </w:r>
      <w:r>
        <w:rPr>
          <w:rFonts w:hint="eastAsia" w:ascii="宋体" w:hAnsi="宋体" w:eastAsia="宋体" w:cs="宋体"/>
          <w:spacing w:val="2"/>
          <w:sz w:val="18"/>
          <w:szCs w:val="18"/>
        </w:rPr>
        <w:t>RootsofNaziEugenics,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"https://historynewsnetwork"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https://historynewsnetwork</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w:t>
      </w:r>
      <w:r>
        <w:rPr>
          <w:rFonts w:hint="eastAsia" w:ascii="宋体" w:hAnsi="宋体" w:eastAsia="宋体" w:cs="宋体"/>
          <w:sz w:val="18"/>
          <w:szCs w:val="18"/>
        </w:rPr>
        <w:t>org/article/1796.February27</w:t>
      </w:r>
      <w:r>
        <w:rPr>
          <w:rFonts w:hint="eastAsia" w:ascii="宋体" w:hAnsi="宋体" w:eastAsia="宋体" w:cs="宋体"/>
          <w:position w:val="2"/>
          <w:sz w:val="18"/>
          <w:szCs w:val="18"/>
        </w:rPr>
        <w:t>,</w:t>
      </w:r>
      <w:r>
        <w:rPr>
          <w:rFonts w:hint="eastAsia" w:ascii="宋体" w:hAnsi="宋体" w:eastAsia="宋体" w:cs="宋体"/>
          <w:sz w:val="18"/>
          <w:szCs w:val="18"/>
        </w:rPr>
        <w:t>2</w:t>
      </w:r>
      <w:r>
        <w:rPr>
          <w:rFonts w:hint="eastAsia" w:ascii="宋体" w:hAnsi="宋体" w:eastAsia="宋体" w:cs="宋体"/>
          <w:spacing w:val="-1"/>
          <w:sz w:val="18"/>
          <w:szCs w:val="18"/>
        </w:rPr>
        <w:t>024.</w:t>
      </w:r>
    </w:p>
  </w:footnote>
  <w:footnote w:id="1160">
    <w:p w14:paraId="560C140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EdwinBlack,TheHorrifyingAmerican</w:t>
      </w:r>
      <w:r>
        <w:rPr>
          <w:rFonts w:hint="eastAsia" w:ascii="宋体" w:hAnsi="宋体" w:eastAsia="宋体" w:cs="宋体"/>
          <w:spacing w:val="2"/>
          <w:sz w:val="18"/>
          <w:szCs w:val="18"/>
        </w:rPr>
        <w:t>RootsofNaziEugenics,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"https://historynewsnetwork"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https://historynewsnetwork</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w:t>
      </w:r>
      <w:r>
        <w:rPr>
          <w:rFonts w:hint="eastAsia" w:ascii="宋体" w:hAnsi="宋体" w:eastAsia="宋体" w:cs="宋体"/>
          <w:sz w:val="18"/>
          <w:szCs w:val="18"/>
        </w:rPr>
        <w:t>org/article/1796.February27</w:t>
      </w:r>
      <w:r>
        <w:rPr>
          <w:rFonts w:hint="eastAsia" w:ascii="宋体" w:hAnsi="宋体" w:eastAsia="宋体" w:cs="宋体"/>
          <w:position w:val="2"/>
          <w:sz w:val="18"/>
          <w:szCs w:val="18"/>
        </w:rPr>
        <w:t>,</w:t>
      </w:r>
      <w:r>
        <w:rPr>
          <w:rFonts w:hint="eastAsia" w:ascii="宋体" w:hAnsi="宋体" w:eastAsia="宋体" w:cs="宋体"/>
          <w:sz w:val="18"/>
          <w:szCs w:val="18"/>
        </w:rPr>
        <w:t>2</w:t>
      </w:r>
      <w:r>
        <w:rPr>
          <w:rFonts w:hint="eastAsia" w:ascii="宋体" w:hAnsi="宋体" w:eastAsia="宋体" w:cs="宋体"/>
          <w:spacing w:val="-1"/>
          <w:sz w:val="18"/>
          <w:szCs w:val="18"/>
        </w:rPr>
        <w:t>024.</w:t>
      </w:r>
    </w:p>
  </w:footnote>
  <w:footnote w:id="1161">
    <w:p w14:paraId="001276F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EdwinBlack,TheHorrifyingAmerican</w:t>
      </w:r>
      <w:r>
        <w:rPr>
          <w:rFonts w:hint="eastAsia" w:ascii="宋体" w:hAnsi="宋体" w:eastAsia="宋体" w:cs="宋体"/>
          <w:spacing w:val="2"/>
          <w:sz w:val="18"/>
          <w:szCs w:val="18"/>
        </w:rPr>
        <w:t>RootsofNaziEugenics,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"https://historynewsnetwork"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https://historynewsnetwork</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w:t>
      </w:r>
      <w:r>
        <w:rPr>
          <w:rFonts w:hint="eastAsia" w:ascii="宋体" w:hAnsi="宋体" w:eastAsia="宋体" w:cs="宋体"/>
          <w:sz w:val="18"/>
          <w:szCs w:val="18"/>
        </w:rPr>
        <w:t>org/article/1796.February27</w:t>
      </w:r>
      <w:r>
        <w:rPr>
          <w:rFonts w:hint="eastAsia" w:ascii="宋体" w:hAnsi="宋体" w:eastAsia="宋体" w:cs="宋体"/>
          <w:position w:val="2"/>
          <w:sz w:val="18"/>
          <w:szCs w:val="18"/>
        </w:rPr>
        <w:t>,</w:t>
      </w:r>
      <w:r>
        <w:rPr>
          <w:rFonts w:hint="eastAsia" w:ascii="宋体" w:hAnsi="宋体" w:eastAsia="宋体" w:cs="宋体"/>
          <w:sz w:val="18"/>
          <w:szCs w:val="18"/>
        </w:rPr>
        <w:t>2</w:t>
      </w:r>
      <w:r>
        <w:rPr>
          <w:rFonts w:hint="eastAsia" w:ascii="宋体" w:hAnsi="宋体" w:eastAsia="宋体" w:cs="宋体"/>
          <w:spacing w:val="-1"/>
          <w:sz w:val="18"/>
          <w:szCs w:val="18"/>
        </w:rPr>
        <w:t>024.</w:t>
      </w:r>
    </w:p>
  </w:footnote>
  <w:footnote w:id="1162">
    <w:p w14:paraId="60DB5D5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EdwinBlack</w:t>
      </w:r>
      <w:r>
        <w:rPr>
          <w:rFonts w:hint="eastAsia" w:ascii="宋体" w:hAnsi="宋体" w:eastAsia="宋体" w:cs="宋体"/>
          <w:spacing w:val="3"/>
          <w:sz w:val="18"/>
          <w:szCs w:val="18"/>
        </w:rPr>
        <w:t>,</w:t>
      </w:r>
      <w:r>
        <w:rPr>
          <w:rFonts w:hint="eastAsia" w:ascii="宋体" w:hAnsi="宋体" w:eastAsia="宋体" w:cs="宋体"/>
          <w:sz w:val="18"/>
          <w:szCs w:val="18"/>
        </w:rPr>
        <w:t>TheNaziParty</w:t>
      </w:r>
      <w:r>
        <w:rPr>
          <w:rFonts w:hint="eastAsia" w:ascii="宋体" w:hAnsi="宋体" w:eastAsia="宋体" w:cs="宋体"/>
          <w:spacing w:val="3"/>
          <w:sz w:val="18"/>
          <w:szCs w:val="18"/>
        </w:rPr>
        <w:t>:</w:t>
      </w:r>
      <w:r>
        <w:rPr>
          <w:rFonts w:hint="eastAsia" w:ascii="宋体" w:hAnsi="宋体" w:eastAsia="宋体" w:cs="宋体"/>
          <w:sz w:val="18"/>
          <w:szCs w:val="18"/>
        </w:rPr>
        <w:t>IBM</w:t>
      </w:r>
      <w:r>
        <w:rPr>
          <w:rFonts w:hint="eastAsia" w:ascii="宋体" w:hAnsi="宋体" w:eastAsia="宋体" w:cs="宋体"/>
          <w:spacing w:val="3"/>
          <w:sz w:val="18"/>
          <w:szCs w:val="18"/>
        </w:rPr>
        <w:t>&amp;“</w:t>
      </w:r>
      <w:r>
        <w:rPr>
          <w:rFonts w:hint="eastAsia" w:ascii="宋体" w:hAnsi="宋体" w:eastAsia="宋体" w:cs="宋体"/>
          <w:sz w:val="18"/>
          <w:szCs w:val="18"/>
        </w:rPr>
        <w:t>Death</w:t>
      </w:r>
      <w:r>
        <w:rPr>
          <w:rFonts w:hint="eastAsia" w:ascii="宋体" w:hAnsi="宋体" w:eastAsia="宋体" w:cs="宋体"/>
          <w:spacing w:val="3"/>
          <w:sz w:val="18"/>
          <w:szCs w:val="18"/>
        </w:rPr>
        <w:t>’</w:t>
      </w:r>
      <w:r>
        <w:rPr>
          <w:rFonts w:hint="eastAsia" w:ascii="宋体" w:hAnsi="宋体" w:eastAsia="宋体" w:cs="宋体"/>
          <w:sz w:val="18"/>
          <w:szCs w:val="18"/>
        </w:rPr>
        <w:t>sCalculator</w:t>
      </w:r>
      <w:r>
        <w:rPr>
          <w:rFonts w:hint="eastAsia" w:ascii="宋体" w:hAnsi="宋体" w:eastAsia="宋体" w:cs="宋体"/>
          <w:spacing w:val="3"/>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"https://www.jewishvirtualli"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3"/>
          <w:sz w:val="18"/>
          <w:szCs w:val="18"/>
        </w:rPr>
        <w:t>://</w:t>
      </w:r>
      <w:r>
        <w:rPr>
          <w:rFonts w:hint="eastAsia" w:ascii="宋体" w:hAnsi="宋体" w:eastAsia="宋体" w:cs="宋体"/>
          <w:sz w:val="18"/>
          <w:szCs w:val="18"/>
        </w:rPr>
        <w:t>www</w:t>
      </w:r>
      <w:r>
        <w:rPr>
          <w:rFonts w:hint="eastAsia" w:ascii="宋体" w:hAnsi="宋体" w:eastAsia="宋体" w:cs="宋体"/>
          <w:spacing w:val="3"/>
          <w:sz w:val="18"/>
          <w:szCs w:val="18"/>
        </w:rPr>
        <w:t>.</w:t>
      </w:r>
      <w:r>
        <w:rPr>
          <w:rFonts w:hint="eastAsia" w:ascii="宋体" w:hAnsi="宋体" w:eastAsia="宋体" w:cs="宋体"/>
          <w:sz w:val="18"/>
          <w:szCs w:val="18"/>
        </w:rPr>
        <w:t>jewishvirtualli</w:t>
      </w:r>
      <w:r>
        <w:rPr>
          <w:rFonts w:hint="eastAsia" w:ascii="宋体" w:hAnsi="宋体" w:eastAsia="宋体" w:cs="宋体"/>
          <w:sz w:val="18"/>
          <w:szCs w:val="18"/>
        </w:rPr>
        <w:fldChar w:fldCharType="end"/>
      </w:r>
      <w:r>
        <w:rPr>
          <w:rFonts w:hint="eastAsia" w:ascii="宋体" w:hAnsi="宋体" w:eastAsia="宋体" w:cs="宋体"/>
          <w:spacing w:val="3"/>
          <w:sz w:val="18"/>
          <w:szCs w:val="18"/>
        </w:rPr>
        <w:t>-</w:t>
      </w:r>
      <w:r>
        <w:rPr>
          <w:rFonts w:hint="eastAsia" w:ascii="宋体" w:hAnsi="宋体" w:eastAsia="宋体" w:cs="宋体"/>
          <w:spacing w:val="-5"/>
          <w:sz w:val="18"/>
          <w:szCs w:val="18"/>
        </w:rPr>
        <w:t>brary.org/ibm-and-quot-death-s-calculator-quot-2.February27</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2024.</w:t>
      </w:r>
    </w:p>
  </w:footnote>
  <w:footnote w:id="1163">
    <w:p w14:paraId="69EC3777">
      <w:pPr>
        <w:pStyle w:val="11"/>
        <w:keepNext w:val="0"/>
        <w:keepLines w:val="0"/>
        <w:pageBreakBefore w:val="0"/>
        <w:widowControl/>
        <w:tabs>
          <w:tab w:val="left" w:pos="486"/>
        </w:tabs>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z w:val="18"/>
          <w:szCs w:val="18"/>
          <w:lang w:eastAsia="zh-CN"/>
        </w:rPr>
        <w:tab/>
      </w:r>
      <w:r>
        <w:rPr>
          <w:rFonts w:hint="eastAsia" w:ascii="宋体" w:hAnsi="宋体" w:eastAsia="宋体" w:cs="宋体"/>
          <w:spacing w:val="-1"/>
          <w:sz w:val="18"/>
          <w:szCs w:val="18"/>
        </w:rPr>
        <w:t>PhilipK.Wilson,Eugenics,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"https://www.britannica.com/science/eugenics-genetics/Popular" </w:instrText>
      </w:r>
      <w:r>
        <w:rPr>
          <w:rFonts w:hint="eastAsia" w:ascii="宋体" w:hAnsi="宋体" w:eastAsia="宋体" w:cs="宋体"/>
          <w:sz w:val="18"/>
          <w:szCs w:val="18"/>
        </w:rPr>
        <w:fldChar w:fldCharType="separate"/>
      </w:r>
      <w:r>
        <w:rPr>
          <w:rFonts w:hint="eastAsia" w:ascii="宋体" w:hAnsi="宋体" w:eastAsia="宋体" w:cs="宋体"/>
          <w:spacing w:val="-1"/>
          <w:sz w:val="18"/>
          <w:szCs w:val="18"/>
        </w:rPr>
        <w:t>https://www.britannica.com/science/eug</w:t>
      </w:r>
      <w:r>
        <w:rPr>
          <w:rFonts w:hint="eastAsia" w:ascii="宋体" w:hAnsi="宋体" w:eastAsia="宋体" w:cs="宋体"/>
          <w:spacing w:val="-2"/>
          <w:sz w:val="18"/>
          <w:szCs w:val="18"/>
        </w:rPr>
        <w:t>enics-genetics/Popular</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w:t>
      </w:r>
      <w:r>
        <w:rPr>
          <w:rFonts w:hint="eastAsia" w:ascii="宋体" w:hAnsi="宋体" w:eastAsia="宋体" w:cs="宋体"/>
          <w:spacing w:val="-3"/>
          <w:sz w:val="18"/>
          <w:szCs w:val="18"/>
        </w:rPr>
        <w:t>support-for-eugenics.February27</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w:t>
      </w:r>
      <w:r>
        <w:rPr>
          <w:rFonts w:hint="eastAsia" w:ascii="宋体" w:hAnsi="宋体" w:eastAsia="宋体" w:cs="宋体"/>
          <w:spacing w:val="-4"/>
          <w:sz w:val="18"/>
          <w:szCs w:val="18"/>
        </w:rPr>
        <w:t>024.</w:t>
      </w:r>
    </w:p>
  </w:footnote>
  <w:footnote w:id="1164">
    <w:p w14:paraId="1FC450A4">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position w:val="2"/>
          <w:sz w:val="18"/>
          <w:szCs w:val="18"/>
        </w:rPr>
        <w:t>GiorgioAgamben</w:t>
      </w:r>
      <w:r>
        <w:rPr>
          <w:rFonts w:hint="eastAsia" w:ascii="宋体" w:hAnsi="宋体" w:eastAsia="宋体" w:cs="宋体"/>
          <w:spacing w:val="3"/>
          <w:position w:val="4"/>
          <w:sz w:val="18"/>
          <w:szCs w:val="18"/>
        </w:rPr>
        <w:t>,</w:t>
      </w:r>
      <w:r>
        <w:rPr>
          <w:rFonts w:hint="eastAsia" w:ascii="宋体" w:hAnsi="宋体" w:eastAsia="宋体" w:cs="宋体"/>
          <w:spacing w:val="3"/>
          <w:position w:val="2"/>
          <w:sz w:val="18"/>
          <w:szCs w:val="18"/>
        </w:rPr>
        <w:t>HomoSacer</w:t>
      </w:r>
      <w:r>
        <w:rPr>
          <w:rFonts w:hint="eastAsia" w:ascii="宋体" w:hAnsi="宋体" w:eastAsia="宋体" w:cs="宋体"/>
          <w:spacing w:val="3"/>
          <w:position w:val="4"/>
          <w:sz w:val="18"/>
          <w:szCs w:val="18"/>
        </w:rPr>
        <w:t>:</w:t>
      </w:r>
      <w:r>
        <w:rPr>
          <w:rFonts w:hint="eastAsia" w:ascii="宋体" w:hAnsi="宋体" w:eastAsia="宋体" w:cs="宋体"/>
          <w:spacing w:val="3"/>
          <w:position w:val="2"/>
          <w:sz w:val="18"/>
          <w:szCs w:val="18"/>
        </w:rPr>
        <w:t>SovereignPowerandBareLife</w:t>
      </w:r>
      <w:r>
        <w:rPr>
          <w:rFonts w:hint="eastAsia" w:ascii="宋体" w:hAnsi="宋体" w:eastAsia="宋体" w:cs="宋体"/>
          <w:spacing w:val="3"/>
          <w:position w:val="4"/>
          <w:sz w:val="18"/>
          <w:szCs w:val="18"/>
        </w:rPr>
        <w:t>,</w:t>
      </w:r>
      <w:r>
        <w:rPr>
          <w:rFonts w:hint="eastAsia" w:ascii="宋体" w:hAnsi="宋体" w:eastAsia="宋体" w:cs="宋体"/>
          <w:spacing w:val="3"/>
          <w:position w:val="2"/>
          <w:sz w:val="18"/>
          <w:szCs w:val="18"/>
        </w:rPr>
        <w:t>Stanford</w:t>
      </w:r>
      <w:r>
        <w:rPr>
          <w:rFonts w:hint="eastAsia" w:ascii="宋体" w:hAnsi="宋体" w:eastAsia="宋体" w:cs="宋体"/>
          <w:spacing w:val="3"/>
          <w:position w:val="4"/>
          <w:sz w:val="18"/>
          <w:szCs w:val="18"/>
        </w:rPr>
        <w:t>:</w:t>
      </w:r>
      <w:r>
        <w:rPr>
          <w:rFonts w:hint="eastAsia" w:ascii="宋体" w:hAnsi="宋体" w:eastAsia="宋体" w:cs="宋体"/>
          <w:spacing w:val="3"/>
          <w:position w:val="2"/>
          <w:sz w:val="18"/>
          <w:szCs w:val="18"/>
        </w:rPr>
        <w:t>StanfordUniver-</w:t>
      </w:r>
      <w:r>
        <w:rPr>
          <w:rFonts w:hint="eastAsia" w:ascii="宋体" w:hAnsi="宋体" w:eastAsia="宋体" w:cs="宋体"/>
          <w:position w:val="3"/>
          <w:sz w:val="18"/>
          <w:szCs w:val="18"/>
        </w:rPr>
        <w:t>sityPress</w:t>
      </w:r>
      <w:r>
        <w:rPr>
          <w:rFonts w:hint="eastAsia" w:ascii="宋体" w:hAnsi="宋体" w:eastAsia="宋体" w:cs="宋体"/>
          <w:spacing w:val="8"/>
          <w:position w:val="5"/>
          <w:sz w:val="18"/>
          <w:szCs w:val="18"/>
        </w:rPr>
        <w:t>,</w:t>
      </w:r>
      <w:r>
        <w:rPr>
          <w:rFonts w:hint="eastAsia" w:ascii="宋体" w:hAnsi="宋体" w:eastAsia="宋体" w:cs="宋体"/>
          <w:spacing w:val="8"/>
          <w:position w:val="3"/>
          <w:sz w:val="18"/>
          <w:szCs w:val="18"/>
        </w:rPr>
        <w:t>1998,</w:t>
      </w:r>
      <w:r>
        <w:rPr>
          <w:rFonts w:hint="eastAsia" w:ascii="宋体" w:hAnsi="宋体" w:eastAsia="宋体" w:cs="宋体"/>
          <w:position w:val="3"/>
          <w:sz w:val="18"/>
          <w:szCs w:val="18"/>
        </w:rPr>
        <w:t>pp</w:t>
      </w:r>
      <w:r>
        <w:rPr>
          <w:rFonts w:hint="eastAsia" w:ascii="宋体" w:hAnsi="宋体" w:eastAsia="宋体" w:cs="宋体"/>
          <w:spacing w:val="8"/>
          <w:position w:val="3"/>
          <w:sz w:val="18"/>
          <w:szCs w:val="18"/>
        </w:rPr>
        <w:t>.166-169.</w:t>
      </w:r>
    </w:p>
  </w:footnote>
  <w:footnote w:id="1165">
    <w:p w14:paraId="72C3CF0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EmmyMartin</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Trumponimmigran</w:t>
      </w:r>
      <w:r>
        <w:rPr>
          <w:rFonts w:hint="eastAsia" w:ascii="宋体" w:hAnsi="宋体" w:eastAsia="宋体" w:cs="宋体"/>
          <w:spacing w:val="3"/>
          <w:sz w:val="18"/>
          <w:szCs w:val="18"/>
        </w:rPr>
        <w:t>ts</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Wegotalotofbadgenesinourcountryrightnow</w:t>
      </w:r>
      <w:r>
        <w:rPr>
          <w:rFonts w:hint="eastAsia" w:ascii="宋体" w:hAnsi="宋体" w:eastAsia="宋体" w:cs="宋体"/>
          <w:spacing w:val="3"/>
          <w:position w:val="2"/>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"https://www.politico.com/news/2024/10/07/trump-immigrants-crime-00182702.February28"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
          <w:sz w:val="18"/>
          <w:szCs w:val="18"/>
        </w:rPr>
        <w:t>://</w:t>
      </w:r>
      <w:r>
        <w:rPr>
          <w:rFonts w:hint="eastAsia" w:ascii="宋体" w:hAnsi="宋体" w:eastAsia="宋体" w:cs="宋体"/>
          <w:sz w:val="18"/>
          <w:szCs w:val="18"/>
        </w:rPr>
        <w:t>www</w:t>
      </w:r>
      <w:r>
        <w:rPr>
          <w:rFonts w:hint="eastAsia" w:ascii="宋体" w:hAnsi="宋体" w:eastAsia="宋体" w:cs="宋体"/>
          <w:spacing w:val="1"/>
          <w:sz w:val="18"/>
          <w:szCs w:val="18"/>
        </w:rPr>
        <w:t>.</w:t>
      </w:r>
      <w:r>
        <w:rPr>
          <w:rFonts w:hint="eastAsia" w:ascii="宋体" w:hAnsi="宋体" w:eastAsia="宋体" w:cs="宋体"/>
          <w:sz w:val="18"/>
          <w:szCs w:val="18"/>
        </w:rPr>
        <w:t>politico</w:t>
      </w:r>
      <w:r>
        <w:rPr>
          <w:rFonts w:hint="eastAsia" w:ascii="宋体" w:hAnsi="宋体" w:eastAsia="宋体" w:cs="宋体"/>
          <w:spacing w:val="1"/>
          <w:sz w:val="18"/>
          <w:szCs w:val="18"/>
        </w:rPr>
        <w:t>.</w:t>
      </w:r>
      <w:r>
        <w:rPr>
          <w:rFonts w:hint="eastAsia" w:ascii="宋体" w:hAnsi="宋体" w:eastAsia="宋体" w:cs="宋体"/>
          <w:sz w:val="18"/>
          <w:szCs w:val="18"/>
        </w:rPr>
        <w:t>com</w:t>
      </w:r>
      <w:r>
        <w:rPr>
          <w:rFonts w:hint="eastAsia" w:ascii="宋体" w:hAnsi="宋体" w:eastAsia="宋体" w:cs="宋体"/>
          <w:spacing w:val="1"/>
          <w:sz w:val="18"/>
          <w:szCs w:val="18"/>
        </w:rPr>
        <w:t>/</w:t>
      </w:r>
      <w:r>
        <w:rPr>
          <w:rFonts w:hint="eastAsia" w:ascii="宋体" w:hAnsi="宋体" w:eastAsia="宋体" w:cs="宋体"/>
          <w:sz w:val="18"/>
          <w:szCs w:val="18"/>
        </w:rPr>
        <w:t>news</w:t>
      </w:r>
      <w:r>
        <w:rPr>
          <w:rFonts w:hint="eastAsia" w:ascii="宋体" w:hAnsi="宋体" w:eastAsia="宋体" w:cs="宋体"/>
          <w:spacing w:val="1"/>
          <w:sz w:val="18"/>
          <w:szCs w:val="18"/>
        </w:rPr>
        <w:t>/2024/10/07/</w:t>
      </w:r>
      <w:r>
        <w:rPr>
          <w:rFonts w:hint="eastAsia" w:ascii="宋体" w:hAnsi="宋体" w:eastAsia="宋体" w:cs="宋体"/>
          <w:sz w:val="18"/>
          <w:szCs w:val="18"/>
        </w:rPr>
        <w:t>trump</w:t>
      </w:r>
      <w:r>
        <w:rPr>
          <w:rFonts w:hint="eastAsia" w:ascii="宋体" w:hAnsi="宋体" w:eastAsia="宋体" w:cs="宋体"/>
          <w:spacing w:val="1"/>
          <w:sz w:val="18"/>
          <w:szCs w:val="18"/>
        </w:rPr>
        <w:t>-</w:t>
      </w:r>
      <w:r>
        <w:rPr>
          <w:rFonts w:hint="eastAsia" w:ascii="宋体" w:hAnsi="宋体" w:eastAsia="宋体" w:cs="宋体"/>
          <w:sz w:val="18"/>
          <w:szCs w:val="18"/>
        </w:rPr>
        <w:t>immigrants</w:t>
      </w:r>
      <w:r>
        <w:rPr>
          <w:rFonts w:hint="eastAsia" w:ascii="宋体" w:hAnsi="宋体" w:eastAsia="宋体" w:cs="宋体"/>
          <w:spacing w:val="1"/>
          <w:sz w:val="18"/>
          <w:szCs w:val="18"/>
        </w:rPr>
        <w:t>-</w:t>
      </w:r>
      <w:r>
        <w:rPr>
          <w:rFonts w:hint="eastAsia" w:ascii="宋体" w:hAnsi="宋体" w:eastAsia="宋体" w:cs="宋体"/>
          <w:sz w:val="18"/>
          <w:szCs w:val="18"/>
        </w:rPr>
        <w:t>crime</w:t>
      </w:r>
      <w:r>
        <w:rPr>
          <w:rFonts w:hint="eastAsia" w:ascii="宋体" w:hAnsi="宋体" w:eastAsia="宋体" w:cs="宋体"/>
          <w:spacing w:val="1"/>
          <w:sz w:val="18"/>
          <w:szCs w:val="18"/>
        </w:rPr>
        <w:t>-00</w:t>
      </w:r>
      <w:r>
        <w:rPr>
          <w:rFonts w:hint="eastAsia" w:ascii="宋体" w:hAnsi="宋体" w:eastAsia="宋体" w:cs="宋体"/>
          <w:sz w:val="18"/>
          <w:szCs w:val="18"/>
        </w:rPr>
        <w:t>182702.February28</w:t>
      </w:r>
      <w:r>
        <w:rPr>
          <w:rFonts w:hint="eastAsia" w:ascii="宋体" w:hAnsi="宋体" w:eastAsia="宋体" w:cs="宋体"/>
          <w:sz w:val="18"/>
          <w:szCs w:val="18"/>
        </w:rPr>
        <w:fldChar w:fldCharType="end"/>
      </w:r>
      <w:r>
        <w:rPr>
          <w:rFonts w:hint="eastAsia" w:ascii="宋体" w:hAnsi="宋体" w:eastAsia="宋体" w:cs="宋体"/>
          <w:position w:val="2"/>
          <w:sz w:val="18"/>
          <w:szCs w:val="18"/>
        </w:rPr>
        <w:t>,</w:t>
      </w:r>
      <w:r>
        <w:rPr>
          <w:rFonts w:hint="eastAsia" w:ascii="宋体" w:hAnsi="宋体" w:eastAsia="宋体" w:cs="宋体"/>
          <w:spacing w:val="-1"/>
          <w:sz w:val="18"/>
          <w:szCs w:val="18"/>
        </w:rPr>
        <w:t>2024.</w:t>
      </w:r>
    </w:p>
  </w:footnote>
  <w:footnote w:id="1166">
    <w:p w14:paraId="013FF0C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〔美〕塞缪尔·亨廷顿:《我们是谁:美国国家特性面临的</w:t>
      </w:r>
      <w:r>
        <w:rPr>
          <w:rFonts w:hint="eastAsia" w:ascii="宋体" w:hAnsi="宋体" w:eastAsia="宋体" w:cs="宋体"/>
          <w:spacing w:val="10"/>
          <w:sz w:val="18"/>
          <w:szCs w:val="18"/>
        </w:rPr>
        <w:t>挑战》,程克雄译,北京:新华出版社,</w:t>
      </w:r>
      <w:r>
        <w:rPr>
          <w:rFonts w:hint="eastAsia" w:ascii="宋体" w:hAnsi="宋体" w:eastAsia="宋体" w:cs="宋体"/>
          <w:spacing w:val="6"/>
          <w:position w:val="-1"/>
          <w:sz w:val="18"/>
          <w:szCs w:val="18"/>
        </w:rPr>
        <w:t>2005</w:t>
      </w:r>
      <w:r>
        <w:rPr>
          <w:rFonts w:hint="eastAsia" w:ascii="宋体" w:hAnsi="宋体" w:eastAsia="宋体" w:cs="宋体"/>
          <w:spacing w:val="6"/>
          <w:sz w:val="18"/>
          <w:szCs w:val="18"/>
        </w:rPr>
        <w:t>年,第</w:t>
      </w:r>
      <w:r>
        <w:rPr>
          <w:rFonts w:hint="eastAsia" w:ascii="宋体" w:hAnsi="宋体" w:eastAsia="宋体" w:cs="宋体"/>
          <w:spacing w:val="6"/>
          <w:position w:val="-1"/>
          <w:sz w:val="18"/>
          <w:szCs w:val="18"/>
        </w:rPr>
        <w:t>48</w:t>
      </w:r>
      <w:r>
        <w:rPr>
          <w:rFonts w:hint="eastAsia" w:ascii="宋体" w:hAnsi="宋体" w:eastAsia="宋体" w:cs="宋体"/>
          <w:spacing w:val="6"/>
          <w:sz w:val="18"/>
          <w:szCs w:val="18"/>
        </w:rPr>
        <w:t>页</w:t>
      </w:r>
      <w:r>
        <w:rPr>
          <w:rFonts w:hint="eastAsia" w:ascii="宋体" w:hAnsi="宋体" w:eastAsia="宋体" w:cs="宋体"/>
          <w:spacing w:val="6"/>
          <w:position w:val="1"/>
          <w:sz w:val="18"/>
          <w:szCs w:val="18"/>
        </w:rPr>
        <w:t>。</w:t>
      </w:r>
    </w:p>
  </w:footnote>
  <w:footnote w:id="1167">
    <w:p w14:paraId="6A4B6FB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〔美〕塞缪尔·亨廷顿:《我们是谁:美国国家特性面临的</w:t>
      </w:r>
      <w:r>
        <w:rPr>
          <w:rFonts w:hint="eastAsia" w:ascii="宋体" w:hAnsi="宋体" w:eastAsia="宋体" w:cs="宋体"/>
          <w:spacing w:val="10"/>
          <w:sz w:val="18"/>
          <w:szCs w:val="18"/>
        </w:rPr>
        <w:t>挑战》,程克雄译,北京:新华出版社,</w:t>
      </w:r>
      <w:r>
        <w:rPr>
          <w:rFonts w:hint="eastAsia" w:ascii="宋体" w:hAnsi="宋体" w:eastAsia="宋体" w:cs="宋体"/>
          <w:spacing w:val="5"/>
          <w:position w:val="-1"/>
          <w:sz w:val="18"/>
          <w:szCs w:val="18"/>
        </w:rPr>
        <w:t>2005</w:t>
      </w:r>
      <w:r>
        <w:rPr>
          <w:rFonts w:hint="eastAsia" w:ascii="宋体" w:hAnsi="宋体" w:eastAsia="宋体" w:cs="宋体"/>
          <w:spacing w:val="5"/>
          <w:sz w:val="18"/>
          <w:szCs w:val="18"/>
        </w:rPr>
        <w:t>年,第</w:t>
      </w:r>
      <w:r>
        <w:rPr>
          <w:rFonts w:hint="eastAsia" w:ascii="宋体" w:hAnsi="宋体" w:eastAsia="宋体" w:cs="宋体"/>
          <w:spacing w:val="5"/>
          <w:position w:val="-1"/>
          <w:sz w:val="18"/>
          <w:szCs w:val="18"/>
        </w:rPr>
        <w:t>252</w:t>
      </w:r>
      <w:r>
        <w:rPr>
          <w:rFonts w:hint="eastAsia" w:ascii="宋体" w:hAnsi="宋体" w:eastAsia="宋体" w:cs="宋体"/>
          <w:spacing w:val="5"/>
          <w:sz w:val="18"/>
          <w:szCs w:val="18"/>
        </w:rPr>
        <w:t>页</w:t>
      </w:r>
      <w:r>
        <w:rPr>
          <w:rFonts w:hint="eastAsia" w:ascii="宋体" w:hAnsi="宋体" w:eastAsia="宋体" w:cs="宋体"/>
          <w:spacing w:val="5"/>
          <w:position w:val="1"/>
          <w:sz w:val="18"/>
          <w:szCs w:val="18"/>
        </w:rPr>
        <w:t>。</w:t>
      </w:r>
    </w:p>
  </w:footnote>
  <w:footnote w:id="1168">
    <w:p w14:paraId="31B8F66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Fanon</w:t>
      </w:r>
      <w:r>
        <w:rPr>
          <w:rFonts w:hint="eastAsia" w:ascii="宋体" w:hAnsi="宋体" w:eastAsia="宋体" w:cs="宋体"/>
          <w:spacing w:val="16"/>
          <w:position w:val="4"/>
          <w:sz w:val="18"/>
          <w:szCs w:val="18"/>
        </w:rPr>
        <w:t>,</w:t>
      </w:r>
      <w:r>
        <w:rPr>
          <w:rFonts w:hint="eastAsia" w:ascii="宋体" w:hAnsi="宋体" w:eastAsia="宋体" w:cs="宋体"/>
          <w:spacing w:val="16"/>
          <w:position w:val="2"/>
          <w:sz w:val="18"/>
          <w:szCs w:val="18"/>
        </w:rPr>
        <w:t>F.</w:t>
      </w:r>
      <w:r>
        <w:rPr>
          <w:rFonts w:hint="eastAsia" w:ascii="宋体" w:hAnsi="宋体" w:eastAsia="宋体" w:cs="宋体"/>
          <w:spacing w:val="16"/>
          <w:position w:val="4"/>
          <w:sz w:val="18"/>
          <w:szCs w:val="18"/>
        </w:rPr>
        <w:t>,</w:t>
      </w:r>
      <w:r>
        <w:rPr>
          <w:rFonts w:hint="eastAsia" w:ascii="宋体" w:hAnsi="宋体" w:eastAsia="宋体" w:cs="宋体"/>
          <w:position w:val="2"/>
          <w:sz w:val="18"/>
          <w:szCs w:val="18"/>
        </w:rPr>
        <w:t>TheWretchedoftheEarth</w:t>
      </w:r>
      <w:r>
        <w:rPr>
          <w:rFonts w:hint="eastAsia" w:ascii="宋体" w:hAnsi="宋体" w:eastAsia="宋体" w:cs="宋体"/>
          <w:spacing w:val="16"/>
          <w:position w:val="4"/>
          <w:sz w:val="18"/>
          <w:szCs w:val="18"/>
        </w:rPr>
        <w:t>,</w:t>
      </w:r>
      <w:r>
        <w:rPr>
          <w:rFonts w:hint="eastAsia" w:ascii="宋体" w:hAnsi="宋体" w:eastAsia="宋体" w:cs="宋体"/>
          <w:position w:val="2"/>
          <w:sz w:val="18"/>
          <w:szCs w:val="18"/>
        </w:rPr>
        <w:t>NewYork</w:t>
      </w:r>
      <w:r>
        <w:rPr>
          <w:rFonts w:hint="eastAsia" w:ascii="宋体" w:hAnsi="宋体" w:eastAsia="宋体" w:cs="宋体"/>
          <w:spacing w:val="16"/>
          <w:position w:val="4"/>
          <w:sz w:val="18"/>
          <w:szCs w:val="18"/>
        </w:rPr>
        <w:t>:</w:t>
      </w:r>
      <w:r>
        <w:rPr>
          <w:rFonts w:hint="eastAsia" w:ascii="宋体" w:hAnsi="宋体" w:eastAsia="宋体" w:cs="宋体"/>
          <w:position w:val="2"/>
          <w:sz w:val="18"/>
          <w:szCs w:val="18"/>
        </w:rPr>
        <w:t>GrovePress</w:t>
      </w:r>
      <w:r>
        <w:rPr>
          <w:rFonts w:hint="eastAsia" w:ascii="宋体" w:hAnsi="宋体" w:eastAsia="宋体" w:cs="宋体"/>
          <w:spacing w:val="16"/>
          <w:position w:val="4"/>
          <w:sz w:val="18"/>
          <w:szCs w:val="18"/>
        </w:rPr>
        <w:t>,</w:t>
      </w:r>
      <w:r>
        <w:rPr>
          <w:rFonts w:hint="eastAsia" w:ascii="宋体" w:hAnsi="宋体" w:eastAsia="宋体" w:cs="宋体"/>
          <w:spacing w:val="16"/>
          <w:position w:val="2"/>
          <w:sz w:val="18"/>
          <w:szCs w:val="18"/>
        </w:rPr>
        <w:t>1961,</w:t>
      </w:r>
      <w:r>
        <w:rPr>
          <w:rFonts w:hint="eastAsia" w:ascii="宋体" w:hAnsi="宋体" w:eastAsia="宋体" w:cs="宋体"/>
          <w:position w:val="2"/>
          <w:sz w:val="18"/>
          <w:szCs w:val="18"/>
        </w:rPr>
        <w:t>pp</w:t>
      </w:r>
      <w:r>
        <w:rPr>
          <w:rFonts w:hint="eastAsia" w:ascii="宋体" w:hAnsi="宋体" w:eastAsia="宋体" w:cs="宋体"/>
          <w:spacing w:val="16"/>
          <w:position w:val="2"/>
          <w:sz w:val="18"/>
          <w:szCs w:val="18"/>
        </w:rPr>
        <w:t>.102-105.</w:t>
      </w:r>
    </w:p>
  </w:footnote>
  <w:footnote w:id="1169">
    <w:p w14:paraId="4091A12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Wallerstein</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I.,World-SystemsAnalysis</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AnIntroduction,Durham</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DukeUniversity</w:t>
      </w:r>
      <w:r>
        <w:rPr>
          <w:rFonts w:hint="eastAsia" w:ascii="宋体" w:hAnsi="宋体" w:eastAsia="宋体" w:cs="宋体"/>
          <w:spacing w:val="2"/>
          <w:sz w:val="18"/>
          <w:szCs w:val="18"/>
        </w:rPr>
        <w:t>Press</w:t>
      </w:r>
      <w:r>
        <w:rPr>
          <w:rFonts w:hint="eastAsia" w:ascii="宋体" w:hAnsi="宋体" w:eastAsia="宋体" w:cs="宋体"/>
          <w:spacing w:val="2"/>
          <w:position w:val="2"/>
          <w:sz w:val="18"/>
          <w:szCs w:val="18"/>
        </w:rPr>
        <w:t>,</w:t>
      </w:r>
      <w:r>
        <w:rPr>
          <w:rFonts w:hint="eastAsia" w:ascii="宋体" w:hAnsi="宋体" w:eastAsia="宋体" w:cs="宋体"/>
          <w:spacing w:val="5"/>
          <w:sz w:val="18"/>
          <w:szCs w:val="18"/>
        </w:rPr>
        <w:t>2004,</w:t>
      </w:r>
      <w:r>
        <w:rPr>
          <w:rFonts w:hint="eastAsia" w:ascii="宋体" w:hAnsi="宋体" w:eastAsia="宋体" w:cs="宋体"/>
          <w:sz w:val="18"/>
          <w:szCs w:val="18"/>
        </w:rPr>
        <w:t>pp</w:t>
      </w:r>
      <w:r>
        <w:rPr>
          <w:rFonts w:hint="eastAsia" w:ascii="宋体" w:hAnsi="宋体" w:eastAsia="宋体" w:cs="宋体"/>
          <w:spacing w:val="5"/>
          <w:sz w:val="18"/>
          <w:szCs w:val="18"/>
        </w:rPr>
        <w:t>.56-59.</w:t>
      </w:r>
    </w:p>
  </w:footnote>
  <w:footnote w:id="1170">
    <w:p w14:paraId="4D47B44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〔法〕皮埃尔-安德烈·塔吉耶夫:《种族主义源流》,高凌瀚译,北京:生活·读书·新知三联</w:t>
      </w:r>
      <w:r>
        <w:rPr>
          <w:rFonts w:hint="eastAsia" w:ascii="宋体" w:hAnsi="宋体" w:eastAsia="宋体" w:cs="宋体"/>
          <w:spacing w:val="2"/>
          <w:sz w:val="18"/>
          <w:szCs w:val="18"/>
        </w:rPr>
        <w:t>书店</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2005</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6</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35</w:t>
      </w:r>
      <w:r>
        <w:rPr>
          <w:rFonts w:hint="eastAsia" w:ascii="宋体" w:hAnsi="宋体" w:eastAsia="宋体" w:cs="宋体"/>
          <w:spacing w:val="2"/>
          <w:sz w:val="18"/>
          <w:szCs w:val="18"/>
        </w:rPr>
        <w:t>页</w:t>
      </w:r>
      <w:r>
        <w:rPr>
          <w:rFonts w:hint="eastAsia" w:ascii="宋体" w:hAnsi="宋体" w:eastAsia="宋体" w:cs="宋体"/>
          <w:spacing w:val="2"/>
          <w:position w:val="1"/>
          <w:sz w:val="18"/>
          <w:szCs w:val="18"/>
        </w:rPr>
        <w:t>。</w:t>
      </w:r>
    </w:p>
  </w:footnote>
  <w:footnote w:id="1171">
    <w:p w14:paraId="657FED9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〔法〕皮埃尔-安德烈·塔吉耶夫:《种族主义源流》,高凌瀚译,北京:生活·读书·新知三联</w:t>
      </w:r>
      <w:r>
        <w:rPr>
          <w:rFonts w:hint="eastAsia" w:ascii="宋体" w:hAnsi="宋体" w:eastAsia="宋体" w:cs="宋体"/>
          <w:spacing w:val="2"/>
          <w:sz w:val="18"/>
          <w:szCs w:val="18"/>
        </w:rPr>
        <w:t>书店</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2005</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6</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35</w:t>
      </w:r>
      <w:r>
        <w:rPr>
          <w:rFonts w:hint="eastAsia" w:ascii="宋体" w:hAnsi="宋体" w:eastAsia="宋体" w:cs="宋体"/>
          <w:spacing w:val="2"/>
          <w:sz w:val="18"/>
          <w:szCs w:val="18"/>
        </w:rPr>
        <w:t>页</w:t>
      </w:r>
      <w:r>
        <w:rPr>
          <w:rFonts w:hint="eastAsia" w:ascii="宋体" w:hAnsi="宋体" w:eastAsia="宋体" w:cs="宋体"/>
          <w:spacing w:val="2"/>
          <w:position w:val="1"/>
          <w:sz w:val="18"/>
          <w:szCs w:val="18"/>
        </w:rPr>
        <w:t>。</w:t>
      </w:r>
    </w:p>
  </w:footnote>
  <w:footnote w:id="1172">
    <w:p w14:paraId="6368646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Blaut</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J.M.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TheTheoryofCulturalRacism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Antipode</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1992</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Vol</w:t>
      </w:r>
      <w:r>
        <w:rPr>
          <w:rFonts w:hint="eastAsia" w:ascii="宋体" w:hAnsi="宋体" w:eastAsia="宋体" w:cs="宋体"/>
          <w:spacing w:val="13"/>
          <w:position w:val="2"/>
          <w:sz w:val="18"/>
          <w:szCs w:val="18"/>
        </w:rPr>
        <w:t>.24</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Issue</w:t>
      </w:r>
      <w:r>
        <w:rPr>
          <w:rFonts w:hint="eastAsia" w:ascii="宋体" w:hAnsi="宋体" w:eastAsia="宋体" w:cs="宋体"/>
          <w:spacing w:val="13"/>
          <w:position w:val="2"/>
          <w:sz w:val="18"/>
          <w:szCs w:val="18"/>
        </w:rPr>
        <w:t>4,</w:t>
      </w:r>
      <w:r>
        <w:rPr>
          <w:rFonts w:hint="eastAsia" w:ascii="宋体" w:hAnsi="宋体" w:eastAsia="宋体" w:cs="宋体"/>
          <w:position w:val="2"/>
          <w:sz w:val="18"/>
          <w:szCs w:val="18"/>
        </w:rPr>
        <w:t>pp</w:t>
      </w:r>
      <w:r>
        <w:rPr>
          <w:rFonts w:hint="eastAsia" w:ascii="宋体" w:hAnsi="宋体" w:eastAsia="宋体" w:cs="宋体"/>
          <w:spacing w:val="13"/>
          <w:position w:val="2"/>
          <w:sz w:val="18"/>
          <w:szCs w:val="18"/>
        </w:rPr>
        <w:t>.</w:t>
      </w:r>
      <w:r>
        <w:rPr>
          <w:rFonts w:hint="eastAsia" w:ascii="宋体" w:hAnsi="宋体" w:eastAsia="宋体" w:cs="宋体"/>
          <w:spacing w:val="12"/>
          <w:position w:val="2"/>
          <w:sz w:val="18"/>
          <w:szCs w:val="18"/>
        </w:rPr>
        <w:t>289-299.</w:t>
      </w:r>
    </w:p>
  </w:footnote>
  <w:footnote w:id="1173">
    <w:p w14:paraId="57DCE9D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〔法〕皮埃尔-安德烈·塔吉耶夫:《种族主义源流》,高凌瀚译,北京:生活·读书·新知三联</w:t>
      </w:r>
      <w:r>
        <w:rPr>
          <w:rFonts w:hint="eastAsia" w:ascii="宋体" w:hAnsi="宋体" w:eastAsia="宋体" w:cs="宋体"/>
          <w:spacing w:val="2"/>
          <w:sz w:val="18"/>
          <w:szCs w:val="18"/>
        </w:rPr>
        <w:t>书店</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2005</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6</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35</w:t>
      </w:r>
      <w:r>
        <w:rPr>
          <w:rFonts w:hint="eastAsia" w:ascii="宋体" w:hAnsi="宋体" w:eastAsia="宋体" w:cs="宋体"/>
          <w:spacing w:val="2"/>
          <w:sz w:val="18"/>
          <w:szCs w:val="18"/>
        </w:rPr>
        <w:t>页</w:t>
      </w:r>
      <w:r>
        <w:rPr>
          <w:rFonts w:hint="eastAsia" w:ascii="宋体" w:hAnsi="宋体" w:eastAsia="宋体" w:cs="宋体"/>
          <w:spacing w:val="2"/>
          <w:position w:val="1"/>
          <w:sz w:val="18"/>
          <w:szCs w:val="18"/>
        </w:rPr>
        <w:t>。</w:t>
      </w:r>
    </w:p>
  </w:footnote>
  <w:footnote w:id="1174">
    <w:p w14:paraId="009D23C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position w:val="2"/>
          <w:sz w:val="18"/>
          <w:szCs w:val="18"/>
        </w:rPr>
        <w:t>ChristopherBratt</w:t>
      </w:r>
      <w:r>
        <w:rPr>
          <w:rFonts w:hint="eastAsia" w:ascii="宋体" w:hAnsi="宋体" w:eastAsia="宋体" w:cs="宋体"/>
          <w:spacing w:val="4"/>
          <w:position w:val="4"/>
          <w:sz w:val="18"/>
          <w:szCs w:val="18"/>
        </w:rPr>
        <w:t>,</w:t>
      </w:r>
      <w:r>
        <w:rPr>
          <w:rFonts w:hint="eastAsia" w:ascii="宋体" w:hAnsi="宋体" w:eastAsia="宋体" w:cs="宋体"/>
          <w:spacing w:val="4"/>
          <w:position w:val="2"/>
          <w:sz w:val="18"/>
          <w:szCs w:val="18"/>
        </w:rPr>
        <w:t>Isitracism</w:t>
      </w:r>
      <w:r>
        <w:rPr>
          <w:rFonts w:hint="eastAsia" w:ascii="宋体" w:hAnsi="宋体" w:eastAsia="宋体" w:cs="宋体"/>
          <w:spacing w:val="4"/>
          <w:position w:val="4"/>
          <w:sz w:val="18"/>
          <w:szCs w:val="18"/>
        </w:rPr>
        <w:t>?</w:t>
      </w:r>
      <w:r>
        <w:rPr>
          <w:rFonts w:hint="eastAsia" w:ascii="宋体" w:hAnsi="宋体" w:eastAsia="宋体" w:cs="宋体"/>
          <w:spacing w:val="4"/>
          <w:position w:val="2"/>
          <w:sz w:val="18"/>
          <w:szCs w:val="18"/>
        </w:rPr>
        <w:t>Thebeliefi</w:t>
      </w:r>
      <w:r>
        <w:rPr>
          <w:rFonts w:hint="eastAsia" w:ascii="宋体" w:hAnsi="宋体" w:eastAsia="宋体" w:cs="宋体"/>
          <w:spacing w:val="3"/>
          <w:position w:val="2"/>
          <w:sz w:val="18"/>
          <w:szCs w:val="18"/>
        </w:rPr>
        <w:t>nculturalsuperiorityacrossEurope</w:t>
      </w:r>
      <w:r>
        <w:rPr>
          <w:rFonts w:hint="eastAsia" w:ascii="宋体" w:hAnsi="宋体" w:eastAsia="宋体" w:cs="宋体"/>
          <w:spacing w:val="3"/>
          <w:position w:val="4"/>
          <w:sz w:val="18"/>
          <w:szCs w:val="18"/>
        </w:rPr>
        <w:t>,</w:t>
      </w:r>
      <w:r>
        <w:rPr>
          <w:rFonts w:hint="eastAsia" w:ascii="宋体" w:hAnsi="宋体" w:eastAsia="宋体" w:cs="宋体"/>
          <w:spacing w:val="3"/>
          <w:position w:val="2"/>
          <w:sz w:val="18"/>
          <w:szCs w:val="18"/>
        </w:rPr>
        <w:t>EuropeanSo-</w:t>
      </w:r>
      <w:r>
        <w:rPr>
          <w:rFonts w:hint="eastAsia" w:ascii="宋体" w:hAnsi="宋体" w:eastAsia="宋体" w:cs="宋体"/>
          <w:position w:val="2"/>
          <w:sz w:val="18"/>
          <w:szCs w:val="18"/>
        </w:rPr>
        <w:t>cieties</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2022</w:t>
      </w:r>
      <w:r>
        <w:rPr>
          <w:rFonts w:hint="eastAsia" w:ascii="宋体" w:hAnsi="宋体" w:eastAsia="宋体" w:cs="宋体"/>
          <w:spacing w:val="5"/>
          <w:position w:val="4"/>
          <w:sz w:val="18"/>
          <w:szCs w:val="18"/>
        </w:rPr>
        <w:t>,</w:t>
      </w:r>
      <w:r>
        <w:rPr>
          <w:rFonts w:hint="eastAsia" w:ascii="宋体" w:hAnsi="宋体" w:eastAsia="宋体" w:cs="宋体"/>
          <w:position w:val="2"/>
          <w:sz w:val="18"/>
          <w:szCs w:val="18"/>
        </w:rPr>
        <w:t>Vol</w:t>
      </w:r>
      <w:r>
        <w:rPr>
          <w:rFonts w:hint="eastAsia" w:ascii="宋体" w:hAnsi="宋体" w:eastAsia="宋体" w:cs="宋体"/>
          <w:spacing w:val="5"/>
          <w:position w:val="2"/>
          <w:sz w:val="18"/>
          <w:szCs w:val="18"/>
        </w:rPr>
        <w:t>.24</w:t>
      </w:r>
      <w:r>
        <w:rPr>
          <w:rFonts w:hint="eastAsia" w:ascii="宋体" w:hAnsi="宋体" w:eastAsia="宋体" w:cs="宋体"/>
          <w:spacing w:val="5"/>
          <w:position w:val="4"/>
          <w:sz w:val="18"/>
          <w:szCs w:val="18"/>
        </w:rPr>
        <w:t>,</w:t>
      </w:r>
      <w:r>
        <w:rPr>
          <w:rFonts w:hint="eastAsia" w:ascii="宋体" w:hAnsi="宋体" w:eastAsia="宋体" w:cs="宋体"/>
          <w:position w:val="2"/>
          <w:sz w:val="18"/>
          <w:szCs w:val="18"/>
        </w:rPr>
        <w:t>No</w:t>
      </w:r>
      <w:r>
        <w:rPr>
          <w:rFonts w:hint="eastAsia" w:ascii="宋体" w:hAnsi="宋体" w:eastAsia="宋体" w:cs="宋体"/>
          <w:spacing w:val="5"/>
          <w:position w:val="2"/>
          <w:sz w:val="18"/>
          <w:szCs w:val="18"/>
        </w:rPr>
        <w:t>.2,</w:t>
      </w:r>
      <w:r>
        <w:rPr>
          <w:rFonts w:hint="eastAsia" w:ascii="宋体" w:hAnsi="宋体" w:eastAsia="宋体" w:cs="宋体"/>
          <w:position w:val="2"/>
          <w:sz w:val="18"/>
          <w:szCs w:val="18"/>
        </w:rPr>
        <w:t>pp</w:t>
      </w:r>
      <w:r>
        <w:rPr>
          <w:rFonts w:hint="eastAsia" w:ascii="宋体" w:hAnsi="宋体" w:eastAsia="宋体" w:cs="宋体"/>
          <w:spacing w:val="5"/>
          <w:position w:val="2"/>
          <w:sz w:val="18"/>
          <w:szCs w:val="18"/>
        </w:rPr>
        <w:t>.207-228.</w:t>
      </w:r>
    </w:p>
  </w:footnote>
  <w:footnote w:id="1175">
    <w:p w14:paraId="4E02C97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9"/>
          <w:sz w:val="18"/>
          <w:szCs w:val="18"/>
        </w:rPr>
        <w:t>书店</w:t>
      </w:r>
      <w:r>
        <w:rPr>
          <w:rFonts w:hint="eastAsia" w:ascii="宋体" w:hAnsi="宋体" w:eastAsia="宋体" w:cs="宋体"/>
          <w:spacing w:val="9"/>
          <w:position w:val="1"/>
          <w:sz w:val="18"/>
          <w:szCs w:val="18"/>
        </w:rPr>
        <w:t>,</w:t>
      </w:r>
      <w:r>
        <w:rPr>
          <w:rFonts w:hint="eastAsia" w:ascii="宋体" w:hAnsi="宋体" w:eastAsia="宋体" w:cs="宋体"/>
          <w:spacing w:val="9"/>
          <w:position w:val="-1"/>
          <w:sz w:val="18"/>
          <w:szCs w:val="18"/>
        </w:rPr>
        <w:t>2005</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39</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176">
    <w:p w14:paraId="57AAEB5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Alcoff</w:t>
      </w:r>
      <w:r>
        <w:rPr>
          <w:rFonts w:hint="eastAsia" w:ascii="宋体" w:hAnsi="宋体" w:eastAsia="宋体" w:cs="宋体"/>
          <w:spacing w:val="16"/>
          <w:position w:val="2"/>
          <w:sz w:val="18"/>
          <w:szCs w:val="18"/>
        </w:rPr>
        <w:t>,</w:t>
      </w:r>
      <w:r>
        <w:rPr>
          <w:rFonts w:hint="eastAsia" w:ascii="宋体" w:hAnsi="宋体" w:eastAsia="宋体" w:cs="宋体"/>
          <w:sz w:val="18"/>
          <w:szCs w:val="18"/>
        </w:rPr>
        <w:t>LindaMart</w:t>
      </w:r>
      <w:r>
        <w:rPr>
          <w:rFonts w:hint="eastAsia" w:ascii="宋体" w:hAnsi="宋体" w:eastAsia="宋体" w:cs="宋体"/>
          <w:spacing w:val="16"/>
          <w:sz w:val="18"/>
          <w:szCs w:val="18"/>
        </w:rPr>
        <w:t>ín</w:t>
      </w:r>
      <w:r>
        <w:rPr>
          <w:rFonts w:hint="eastAsia" w:ascii="宋体" w:hAnsi="宋体" w:eastAsia="宋体" w:cs="宋体"/>
          <w:spacing w:val="16"/>
          <w:position w:val="2"/>
          <w:sz w:val="18"/>
          <w:szCs w:val="18"/>
        </w:rPr>
        <w:t>,</w:t>
      </w:r>
      <w:r>
        <w:rPr>
          <w:rFonts w:hint="eastAsia" w:ascii="宋体" w:hAnsi="宋体" w:eastAsia="宋体" w:cs="宋体"/>
          <w:sz w:val="18"/>
          <w:szCs w:val="18"/>
        </w:rPr>
        <w:t>ThePersistentPowerofCulturalRacism</w:t>
      </w:r>
      <w:r>
        <w:rPr>
          <w:rFonts w:hint="eastAsia" w:ascii="宋体" w:hAnsi="宋体" w:eastAsia="宋体" w:cs="宋体"/>
          <w:spacing w:val="16"/>
          <w:position w:val="2"/>
          <w:sz w:val="18"/>
          <w:szCs w:val="18"/>
        </w:rPr>
        <w:t>,</w:t>
      </w:r>
      <w:r>
        <w:rPr>
          <w:rFonts w:hint="eastAsia" w:ascii="宋体" w:hAnsi="宋体" w:eastAsia="宋体" w:cs="宋体"/>
          <w:sz w:val="18"/>
          <w:szCs w:val="18"/>
        </w:rPr>
        <w:t>Philosophy</w:t>
      </w:r>
      <w:r>
        <w:rPr>
          <w:rFonts w:hint="eastAsia" w:ascii="宋体" w:hAnsi="宋体" w:eastAsia="宋体" w:cs="宋体"/>
          <w:spacing w:val="16"/>
          <w:position w:val="2"/>
          <w:sz w:val="18"/>
          <w:szCs w:val="18"/>
        </w:rPr>
        <w:t>,</w:t>
      </w:r>
      <w:r>
        <w:rPr>
          <w:rFonts w:hint="eastAsia" w:ascii="宋体" w:hAnsi="宋体" w:eastAsia="宋体" w:cs="宋体"/>
          <w:spacing w:val="16"/>
          <w:sz w:val="18"/>
          <w:szCs w:val="18"/>
        </w:rPr>
        <w:t>2023</w:t>
      </w:r>
      <w:r>
        <w:rPr>
          <w:rFonts w:hint="eastAsia" w:ascii="宋体" w:hAnsi="宋体" w:eastAsia="宋体" w:cs="宋体"/>
          <w:spacing w:val="16"/>
          <w:position w:val="2"/>
          <w:sz w:val="18"/>
          <w:szCs w:val="18"/>
        </w:rPr>
        <w:t>,</w:t>
      </w:r>
      <w:r>
        <w:rPr>
          <w:rFonts w:hint="eastAsia" w:ascii="宋体" w:hAnsi="宋体" w:eastAsia="宋体" w:cs="宋体"/>
          <w:sz w:val="18"/>
          <w:szCs w:val="18"/>
        </w:rPr>
        <w:t>Vol</w:t>
      </w:r>
      <w:r>
        <w:rPr>
          <w:rFonts w:hint="eastAsia" w:ascii="宋体" w:hAnsi="宋体" w:eastAsia="宋体" w:cs="宋体"/>
          <w:spacing w:val="16"/>
          <w:sz w:val="18"/>
          <w:szCs w:val="18"/>
        </w:rPr>
        <w:t>.98</w:t>
      </w:r>
      <w:r>
        <w:rPr>
          <w:rFonts w:hint="eastAsia" w:ascii="宋体" w:hAnsi="宋体" w:eastAsia="宋体" w:cs="宋体"/>
          <w:spacing w:val="16"/>
          <w:position w:val="2"/>
          <w:sz w:val="18"/>
          <w:szCs w:val="18"/>
        </w:rPr>
        <w:t>,</w:t>
      </w:r>
      <w:r>
        <w:rPr>
          <w:rFonts w:hint="eastAsia" w:ascii="宋体" w:hAnsi="宋体" w:eastAsia="宋体" w:cs="宋体"/>
          <w:sz w:val="18"/>
          <w:szCs w:val="18"/>
        </w:rPr>
        <w:t>No</w:t>
      </w:r>
      <w:r>
        <w:rPr>
          <w:rFonts w:hint="eastAsia" w:ascii="宋体" w:hAnsi="宋体" w:eastAsia="宋体" w:cs="宋体"/>
          <w:spacing w:val="4"/>
          <w:sz w:val="18"/>
          <w:szCs w:val="18"/>
        </w:rPr>
        <w:t>.3,</w:t>
      </w:r>
      <w:r>
        <w:rPr>
          <w:rFonts w:hint="eastAsia" w:ascii="宋体" w:hAnsi="宋体" w:eastAsia="宋体" w:cs="宋体"/>
          <w:sz w:val="18"/>
          <w:szCs w:val="18"/>
        </w:rPr>
        <w:t>pp</w:t>
      </w:r>
      <w:r>
        <w:rPr>
          <w:rFonts w:hint="eastAsia" w:ascii="宋体" w:hAnsi="宋体" w:eastAsia="宋体" w:cs="宋体"/>
          <w:spacing w:val="4"/>
          <w:sz w:val="18"/>
          <w:szCs w:val="18"/>
        </w:rPr>
        <w:t>.249-271.</w:t>
      </w:r>
    </w:p>
  </w:footnote>
  <w:footnote w:id="1177">
    <w:p w14:paraId="23D4F40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TheEditorsofEncyclopaedia</w:t>
      </w:r>
      <w:r>
        <w:rPr>
          <w:rFonts w:hint="eastAsia" w:ascii="宋体" w:hAnsi="宋体" w:eastAsia="宋体" w:cs="宋体"/>
          <w:spacing w:val="4"/>
          <w:sz w:val="18"/>
          <w:szCs w:val="18"/>
        </w:rPr>
        <w:t>,</w:t>
      </w:r>
      <w:r>
        <w:rPr>
          <w:rFonts w:hint="eastAsia" w:ascii="宋体" w:hAnsi="宋体" w:eastAsia="宋体" w:cs="宋体"/>
          <w:sz w:val="18"/>
          <w:szCs w:val="18"/>
        </w:rPr>
        <w:t>ArthurdeGobineau</w:t>
      </w:r>
      <w:r>
        <w:rPr>
          <w:rFonts w:hint="eastAsia" w:ascii="宋体" w:hAnsi="宋体" w:eastAsia="宋体" w:cs="宋体"/>
          <w:spacing w:val="4"/>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"https://www.britannica.com/biography/"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britannica</w:t>
      </w:r>
      <w:r>
        <w:rPr>
          <w:rFonts w:hint="eastAsia" w:ascii="宋体" w:hAnsi="宋体" w:eastAsia="宋体" w:cs="宋体"/>
          <w:spacing w:val="4"/>
          <w:sz w:val="18"/>
          <w:szCs w:val="18"/>
        </w:rPr>
        <w:t>.</w:t>
      </w:r>
      <w:r>
        <w:rPr>
          <w:rFonts w:hint="eastAsia" w:ascii="宋体" w:hAnsi="宋体" w:eastAsia="宋体" w:cs="宋体"/>
          <w:sz w:val="18"/>
          <w:szCs w:val="18"/>
        </w:rPr>
        <w:t>com</w:t>
      </w:r>
      <w:r>
        <w:rPr>
          <w:rFonts w:hint="eastAsia" w:ascii="宋体" w:hAnsi="宋体" w:eastAsia="宋体" w:cs="宋体"/>
          <w:spacing w:val="4"/>
          <w:sz w:val="18"/>
          <w:szCs w:val="18"/>
        </w:rPr>
        <w:t>/</w:t>
      </w:r>
      <w:r>
        <w:rPr>
          <w:rFonts w:hint="eastAsia" w:ascii="宋体" w:hAnsi="宋体" w:eastAsia="宋体" w:cs="宋体"/>
          <w:sz w:val="18"/>
          <w:szCs w:val="18"/>
        </w:rPr>
        <w:t>biography</w:t>
      </w:r>
      <w:r>
        <w:rPr>
          <w:rFonts w:hint="eastAsia" w:ascii="宋体" w:hAnsi="宋体" w:eastAsia="宋体" w:cs="宋体"/>
          <w:spacing w:val="4"/>
          <w:sz w:val="18"/>
          <w:szCs w:val="18"/>
        </w:rPr>
        <w:t>/</w:t>
      </w:r>
      <w:r>
        <w:rPr>
          <w:rFonts w:hint="eastAsia" w:ascii="宋体" w:hAnsi="宋体" w:eastAsia="宋体" w:cs="宋体"/>
          <w:spacing w:val="4"/>
          <w:sz w:val="18"/>
          <w:szCs w:val="18"/>
        </w:rPr>
        <w:fldChar w:fldCharType="end"/>
      </w:r>
      <w:r>
        <w:rPr>
          <w:rFonts w:hint="eastAsia" w:ascii="宋体" w:hAnsi="宋体" w:eastAsia="宋体" w:cs="宋体"/>
          <w:spacing w:val="-3"/>
          <w:sz w:val="18"/>
          <w:szCs w:val="18"/>
        </w:rPr>
        <w:t>Arthur-de-Gobineau.October7</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2023.</w:t>
      </w:r>
    </w:p>
  </w:footnote>
  <w:footnote w:id="1178">
    <w:p w14:paraId="0E23CBF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OneDropRule,</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"https://sociology.iresearchnet.com/sociology-of-race/one-drop-rule/google_"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https://sociology.iresearchne</w:t>
      </w:r>
      <w:r>
        <w:rPr>
          <w:rFonts w:hint="eastAsia" w:ascii="宋体" w:hAnsi="宋体" w:eastAsia="宋体" w:cs="宋体"/>
          <w:spacing w:val="-4"/>
          <w:sz w:val="18"/>
          <w:szCs w:val="18"/>
        </w:rPr>
        <w:t>t.com/sociology-of-race/one-drop-rule/google_</w:t>
      </w:r>
      <w:r>
        <w:rPr>
          <w:rFonts w:hint="eastAsia" w:ascii="宋体" w:hAnsi="宋体" w:eastAsia="宋体" w:cs="宋体"/>
          <w:spacing w:val="-4"/>
          <w:sz w:val="18"/>
          <w:szCs w:val="18"/>
        </w:rPr>
        <w:fldChar w:fldCharType="end"/>
      </w:r>
      <w:r>
        <w:rPr>
          <w:rFonts w:hint="eastAsia" w:ascii="宋体" w:hAnsi="宋体" w:eastAsia="宋体" w:cs="宋体"/>
          <w:sz w:val="18"/>
          <w:szCs w:val="18"/>
        </w:rPr>
        <w:t>vignette.February22</w:t>
      </w:r>
      <w:r>
        <w:rPr>
          <w:rFonts w:hint="eastAsia" w:ascii="宋体" w:hAnsi="宋体" w:eastAsia="宋体" w:cs="宋体"/>
          <w:position w:val="2"/>
          <w:sz w:val="18"/>
          <w:szCs w:val="18"/>
        </w:rPr>
        <w:t>,</w:t>
      </w:r>
      <w:r>
        <w:rPr>
          <w:rFonts w:hint="eastAsia" w:ascii="宋体" w:hAnsi="宋体" w:eastAsia="宋体" w:cs="宋体"/>
          <w:sz w:val="18"/>
          <w:szCs w:val="18"/>
        </w:rPr>
        <w:t>20</w:t>
      </w:r>
      <w:r>
        <w:rPr>
          <w:rFonts w:hint="eastAsia" w:ascii="宋体" w:hAnsi="宋体" w:eastAsia="宋体" w:cs="宋体"/>
          <w:spacing w:val="-1"/>
          <w:sz w:val="18"/>
          <w:szCs w:val="18"/>
        </w:rPr>
        <w:t>24.</w:t>
      </w:r>
    </w:p>
  </w:footnote>
  <w:footnote w:id="1179">
    <w:p w14:paraId="2B41816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PeterWade</w:t>
      </w:r>
      <w:r>
        <w:rPr>
          <w:rFonts w:hint="eastAsia" w:ascii="宋体" w:hAnsi="宋体" w:eastAsia="宋体" w:cs="宋体"/>
          <w:spacing w:val="4"/>
          <w:sz w:val="18"/>
          <w:szCs w:val="18"/>
        </w:rPr>
        <w:t>,</w:t>
      </w:r>
      <w:r>
        <w:rPr>
          <w:rFonts w:hint="eastAsia" w:ascii="宋体" w:hAnsi="宋体" w:eastAsia="宋体" w:cs="宋体"/>
          <w:sz w:val="18"/>
          <w:szCs w:val="18"/>
        </w:rPr>
        <w:t>YasukoI</w:t>
      </w:r>
      <w:r>
        <w:rPr>
          <w:rFonts w:hint="eastAsia" w:ascii="宋体" w:hAnsi="宋体" w:eastAsia="宋体" w:cs="宋体"/>
          <w:spacing w:val="4"/>
          <w:sz w:val="18"/>
          <w:szCs w:val="18"/>
        </w:rPr>
        <w:t>.</w:t>
      </w:r>
      <w:r>
        <w:rPr>
          <w:rFonts w:hint="eastAsia" w:ascii="宋体" w:hAnsi="宋体" w:eastAsia="宋体" w:cs="宋体"/>
          <w:sz w:val="18"/>
          <w:szCs w:val="18"/>
        </w:rPr>
        <w:t>Takezawa</w:t>
      </w:r>
      <w:r>
        <w:rPr>
          <w:rFonts w:hint="eastAsia" w:ascii="宋体" w:hAnsi="宋体" w:eastAsia="宋体" w:cs="宋体"/>
          <w:spacing w:val="4"/>
          <w:sz w:val="18"/>
          <w:szCs w:val="18"/>
        </w:rPr>
        <w:t>,“</w:t>
      </w:r>
      <w:r>
        <w:rPr>
          <w:rFonts w:hint="eastAsia" w:ascii="宋体" w:hAnsi="宋体" w:eastAsia="宋体" w:cs="宋体"/>
          <w:sz w:val="18"/>
          <w:szCs w:val="18"/>
        </w:rPr>
        <w:t>Race</w:t>
      </w:r>
      <w:r>
        <w:rPr>
          <w:rFonts w:hint="eastAsia" w:ascii="宋体" w:hAnsi="宋体" w:eastAsia="宋体" w:cs="宋体"/>
          <w:spacing w:val="4"/>
          <w:sz w:val="18"/>
          <w:szCs w:val="18"/>
        </w:rPr>
        <w:t>”</w:t>
      </w:r>
      <w:r>
        <w:rPr>
          <w:rFonts w:hint="eastAsia" w:ascii="宋体" w:hAnsi="宋体" w:eastAsia="宋体" w:cs="宋体"/>
          <w:sz w:val="18"/>
          <w:szCs w:val="18"/>
        </w:rPr>
        <w:t>asamechanismofsocialdivision</w:t>
      </w:r>
      <w:r>
        <w:rPr>
          <w:rFonts w:hint="eastAsia" w:ascii="宋体" w:hAnsi="宋体" w:eastAsia="宋体" w:cs="宋体"/>
          <w:spacing w:val="4"/>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"https://www.bri"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bri</w:t>
      </w:r>
      <w:r>
        <w:rPr>
          <w:rFonts w:hint="eastAsia" w:ascii="宋体" w:hAnsi="宋体" w:eastAsia="宋体" w:cs="宋体"/>
          <w:sz w:val="18"/>
          <w:szCs w:val="18"/>
        </w:rPr>
        <w:fldChar w:fldCharType="end"/>
      </w:r>
      <w:r>
        <w:rPr>
          <w:rFonts w:hint="eastAsia" w:ascii="宋体" w:hAnsi="宋体" w:eastAsia="宋体" w:cs="宋体"/>
          <w:spacing w:val="4"/>
          <w:sz w:val="18"/>
          <w:szCs w:val="18"/>
        </w:rPr>
        <w:t>-</w:t>
      </w:r>
      <w:r>
        <w:rPr>
          <w:rFonts w:hint="eastAsia" w:ascii="宋体" w:hAnsi="宋体" w:eastAsia="宋体" w:cs="宋体"/>
          <w:spacing w:val="-2"/>
          <w:sz w:val="18"/>
          <w:szCs w:val="18"/>
        </w:rPr>
        <w:t>tannica.com</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contributor/Yasuko-I-Takezawa/5532.Febru</w:t>
      </w:r>
      <w:r>
        <w:rPr>
          <w:rFonts w:hint="eastAsia" w:ascii="宋体" w:hAnsi="宋体" w:eastAsia="宋体" w:cs="宋体"/>
          <w:spacing w:val="-3"/>
          <w:sz w:val="18"/>
          <w:szCs w:val="18"/>
        </w:rPr>
        <w:t>ary25</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w:t>
      </w:r>
    </w:p>
  </w:footnote>
  <w:footnote w:id="1180">
    <w:p w14:paraId="1A2221A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position w:val="2"/>
          <w:sz w:val="18"/>
          <w:szCs w:val="18"/>
        </w:rPr>
        <w:t>PieterBevelander</w:t>
      </w:r>
      <w:r>
        <w:rPr>
          <w:rFonts w:hint="eastAsia" w:ascii="宋体" w:hAnsi="宋体" w:eastAsia="宋体" w:cs="宋体"/>
          <w:spacing w:val="6"/>
          <w:position w:val="4"/>
          <w:sz w:val="18"/>
          <w:szCs w:val="18"/>
        </w:rPr>
        <w:t>,</w:t>
      </w:r>
      <w:r>
        <w:rPr>
          <w:rFonts w:hint="eastAsia" w:ascii="宋体" w:hAnsi="宋体" w:eastAsia="宋体" w:cs="宋体"/>
          <w:spacing w:val="5"/>
          <w:position w:val="2"/>
          <w:sz w:val="18"/>
          <w:szCs w:val="18"/>
        </w:rPr>
        <w:t>TheTwilightofMulticulturalism?FindingsfromacrossEurope</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Edin-</w:t>
      </w:r>
      <w:r>
        <w:rPr>
          <w:rFonts w:hint="eastAsia" w:ascii="宋体" w:hAnsi="宋体" w:eastAsia="宋体" w:cs="宋体"/>
          <w:position w:val="2"/>
          <w:sz w:val="18"/>
          <w:szCs w:val="18"/>
        </w:rPr>
        <w:t>burgh</w:t>
      </w:r>
      <w:r>
        <w:rPr>
          <w:rFonts w:hint="eastAsia" w:ascii="宋体" w:hAnsi="宋体" w:eastAsia="宋体" w:cs="宋体"/>
          <w:spacing w:val="11"/>
          <w:position w:val="4"/>
          <w:sz w:val="18"/>
          <w:szCs w:val="18"/>
        </w:rPr>
        <w:t>:</w:t>
      </w:r>
      <w:r>
        <w:rPr>
          <w:rFonts w:hint="eastAsia" w:ascii="宋体" w:hAnsi="宋体" w:eastAsia="宋体" w:cs="宋体"/>
          <w:position w:val="2"/>
          <w:sz w:val="18"/>
          <w:szCs w:val="18"/>
        </w:rPr>
        <w:t>EdinburghUniversityPress</w:t>
      </w:r>
      <w:r>
        <w:rPr>
          <w:rFonts w:hint="eastAsia" w:ascii="宋体" w:hAnsi="宋体" w:eastAsia="宋体" w:cs="宋体"/>
          <w:spacing w:val="11"/>
          <w:position w:val="4"/>
          <w:sz w:val="18"/>
          <w:szCs w:val="18"/>
        </w:rPr>
        <w:t>,</w:t>
      </w:r>
      <w:r>
        <w:rPr>
          <w:rFonts w:hint="eastAsia" w:ascii="宋体" w:hAnsi="宋体" w:eastAsia="宋体" w:cs="宋体"/>
          <w:spacing w:val="11"/>
          <w:position w:val="2"/>
          <w:sz w:val="18"/>
          <w:szCs w:val="18"/>
        </w:rPr>
        <w:t>2013,</w:t>
      </w:r>
      <w:r>
        <w:rPr>
          <w:rFonts w:hint="eastAsia" w:ascii="宋体" w:hAnsi="宋体" w:eastAsia="宋体" w:cs="宋体"/>
          <w:position w:val="2"/>
          <w:sz w:val="18"/>
          <w:szCs w:val="18"/>
        </w:rPr>
        <w:t>pp</w:t>
      </w:r>
      <w:r>
        <w:rPr>
          <w:rFonts w:hint="eastAsia" w:ascii="宋体" w:hAnsi="宋体" w:eastAsia="宋体" w:cs="宋体"/>
          <w:spacing w:val="11"/>
          <w:position w:val="2"/>
          <w:sz w:val="18"/>
          <w:szCs w:val="18"/>
        </w:rPr>
        <w:t>.3-24.</w:t>
      </w:r>
    </w:p>
  </w:footnote>
  <w:footnote w:id="1181">
    <w:p w14:paraId="07784A1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2"/>
          <w:sz w:val="18"/>
          <w:szCs w:val="18"/>
        </w:rPr>
        <w:t>书店</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2005</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9</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11</w:t>
      </w:r>
      <w:r>
        <w:rPr>
          <w:rFonts w:hint="eastAsia" w:ascii="宋体" w:hAnsi="宋体" w:eastAsia="宋体" w:cs="宋体"/>
          <w:spacing w:val="2"/>
          <w:sz w:val="18"/>
          <w:szCs w:val="18"/>
        </w:rPr>
        <w:t>页</w:t>
      </w:r>
      <w:r>
        <w:rPr>
          <w:rFonts w:hint="eastAsia" w:ascii="宋体" w:hAnsi="宋体" w:eastAsia="宋体" w:cs="宋体"/>
          <w:spacing w:val="2"/>
          <w:position w:val="1"/>
          <w:sz w:val="18"/>
          <w:szCs w:val="18"/>
        </w:rPr>
        <w:t>。</w:t>
      </w:r>
    </w:p>
  </w:footnote>
  <w:footnote w:id="1182">
    <w:p w14:paraId="18ADAA0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ShaziaAbsar</w:t>
      </w:r>
      <w:r>
        <w:rPr>
          <w:rFonts w:hint="eastAsia" w:ascii="宋体" w:hAnsi="宋体" w:eastAsia="宋体" w:cs="宋体"/>
          <w:spacing w:val="9"/>
          <w:sz w:val="18"/>
          <w:szCs w:val="18"/>
        </w:rPr>
        <w:t>,</w:t>
      </w:r>
      <w:r>
        <w:rPr>
          <w:rFonts w:hint="eastAsia" w:ascii="宋体" w:hAnsi="宋体" w:eastAsia="宋体" w:cs="宋体"/>
          <w:sz w:val="18"/>
          <w:szCs w:val="18"/>
        </w:rPr>
        <w:t>Thetroublingreturnofscientificracism</w:t>
      </w:r>
      <w:r>
        <w:rPr>
          <w:rFonts w:hint="eastAsia" w:ascii="宋体" w:hAnsi="宋体" w:eastAsia="宋体" w:cs="宋体"/>
          <w:spacing w:val="9"/>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"https://www.varsity.co.uk/science/"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9"/>
          <w:sz w:val="18"/>
          <w:szCs w:val="18"/>
        </w:rPr>
        <w:t>://</w:t>
      </w:r>
      <w:r>
        <w:rPr>
          <w:rFonts w:hint="eastAsia" w:ascii="宋体" w:hAnsi="宋体" w:eastAsia="宋体" w:cs="宋体"/>
          <w:sz w:val="18"/>
          <w:szCs w:val="18"/>
        </w:rPr>
        <w:t>www</w:t>
      </w:r>
      <w:r>
        <w:rPr>
          <w:rFonts w:hint="eastAsia" w:ascii="宋体" w:hAnsi="宋体" w:eastAsia="宋体" w:cs="宋体"/>
          <w:spacing w:val="9"/>
          <w:sz w:val="18"/>
          <w:szCs w:val="18"/>
        </w:rPr>
        <w:t>.</w:t>
      </w:r>
      <w:r>
        <w:rPr>
          <w:rFonts w:hint="eastAsia" w:ascii="宋体" w:hAnsi="宋体" w:eastAsia="宋体" w:cs="宋体"/>
          <w:sz w:val="18"/>
          <w:szCs w:val="18"/>
        </w:rPr>
        <w:t>varsity</w:t>
      </w:r>
      <w:r>
        <w:rPr>
          <w:rFonts w:hint="eastAsia" w:ascii="宋体" w:hAnsi="宋体" w:eastAsia="宋体" w:cs="宋体"/>
          <w:spacing w:val="9"/>
          <w:sz w:val="18"/>
          <w:szCs w:val="18"/>
        </w:rPr>
        <w:t>.</w:t>
      </w:r>
      <w:r>
        <w:rPr>
          <w:rFonts w:hint="eastAsia" w:ascii="宋体" w:hAnsi="宋体" w:eastAsia="宋体" w:cs="宋体"/>
          <w:sz w:val="18"/>
          <w:szCs w:val="18"/>
        </w:rPr>
        <w:t>co</w:t>
      </w:r>
      <w:r>
        <w:rPr>
          <w:rFonts w:hint="eastAsia" w:ascii="宋体" w:hAnsi="宋体" w:eastAsia="宋体" w:cs="宋体"/>
          <w:spacing w:val="9"/>
          <w:sz w:val="18"/>
          <w:szCs w:val="18"/>
        </w:rPr>
        <w:t>.</w:t>
      </w:r>
      <w:r>
        <w:rPr>
          <w:rFonts w:hint="eastAsia" w:ascii="宋体" w:hAnsi="宋体" w:eastAsia="宋体" w:cs="宋体"/>
          <w:sz w:val="18"/>
          <w:szCs w:val="18"/>
        </w:rPr>
        <w:t>uk</w:t>
      </w:r>
      <w:r>
        <w:rPr>
          <w:rFonts w:hint="eastAsia" w:ascii="宋体" w:hAnsi="宋体" w:eastAsia="宋体" w:cs="宋体"/>
          <w:spacing w:val="9"/>
          <w:sz w:val="18"/>
          <w:szCs w:val="18"/>
        </w:rPr>
        <w:t>/</w:t>
      </w:r>
      <w:r>
        <w:rPr>
          <w:rFonts w:hint="eastAsia" w:ascii="宋体" w:hAnsi="宋体" w:eastAsia="宋体" w:cs="宋体"/>
          <w:sz w:val="18"/>
          <w:szCs w:val="18"/>
        </w:rPr>
        <w:t>science</w:t>
      </w:r>
      <w:r>
        <w:rPr>
          <w:rFonts w:hint="eastAsia" w:ascii="宋体" w:hAnsi="宋体" w:eastAsia="宋体" w:cs="宋体"/>
          <w:spacing w:val="9"/>
          <w:sz w:val="18"/>
          <w:szCs w:val="18"/>
        </w:rPr>
        <w:t>/</w:t>
      </w:r>
      <w:r>
        <w:rPr>
          <w:rFonts w:hint="eastAsia" w:ascii="宋体" w:hAnsi="宋体" w:eastAsia="宋体" w:cs="宋体"/>
          <w:spacing w:val="9"/>
          <w:sz w:val="18"/>
          <w:szCs w:val="18"/>
        </w:rPr>
        <w:fldChar w:fldCharType="end"/>
      </w:r>
      <w:r>
        <w:rPr>
          <w:rFonts w:hint="eastAsia" w:ascii="宋体" w:hAnsi="宋体" w:eastAsia="宋体" w:cs="宋体"/>
          <w:sz w:val="18"/>
          <w:szCs w:val="18"/>
        </w:rPr>
        <w:t>19479.June20</w:t>
      </w:r>
      <w:r>
        <w:rPr>
          <w:rFonts w:hint="eastAsia" w:ascii="宋体" w:hAnsi="宋体" w:eastAsia="宋体" w:cs="宋体"/>
          <w:position w:val="2"/>
          <w:sz w:val="18"/>
          <w:szCs w:val="18"/>
        </w:rPr>
        <w:t>,</w:t>
      </w:r>
      <w:r>
        <w:rPr>
          <w:rFonts w:hint="eastAsia" w:ascii="宋体" w:hAnsi="宋体" w:eastAsia="宋体" w:cs="宋体"/>
          <w:sz w:val="18"/>
          <w:szCs w:val="18"/>
        </w:rPr>
        <w:t>2024.</w:t>
      </w:r>
    </w:p>
  </w:footnote>
  <w:footnote w:id="1183">
    <w:p w14:paraId="5AE1D1E8">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Barder</w:t>
      </w:r>
      <w:r>
        <w:rPr>
          <w:rFonts w:hint="eastAsia" w:ascii="宋体" w:hAnsi="宋体" w:eastAsia="宋体" w:cs="宋体"/>
          <w:spacing w:val="13"/>
          <w:position w:val="2"/>
          <w:sz w:val="18"/>
          <w:szCs w:val="18"/>
        </w:rPr>
        <w:t>,</w:t>
      </w:r>
      <w:r>
        <w:rPr>
          <w:rFonts w:hint="eastAsia" w:ascii="宋体" w:hAnsi="宋体" w:eastAsia="宋体" w:cs="宋体"/>
          <w:sz w:val="18"/>
          <w:szCs w:val="18"/>
        </w:rPr>
        <w:t>AlexanderD</w:t>
      </w:r>
      <w:r>
        <w:rPr>
          <w:rFonts w:hint="eastAsia" w:ascii="宋体" w:hAnsi="宋体" w:eastAsia="宋体" w:cs="宋体"/>
          <w:spacing w:val="13"/>
          <w:sz w:val="18"/>
          <w:szCs w:val="18"/>
        </w:rPr>
        <w:t>.,“</w:t>
      </w:r>
      <w:r>
        <w:rPr>
          <w:rFonts w:hint="eastAsia" w:ascii="宋体" w:hAnsi="宋体" w:eastAsia="宋体" w:cs="宋体"/>
          <w:sz w:val="18"/>
          <w:szCs w:val="18"/>
        </w:rPr>
        <w:t>CivilizationalConflictasRaceWar</w:t>
      </w:r>
      <w:r>
        <w:rPr>
          <w:rFonts w:hint="eastAsia" w:ascii="宋体" w:hAnsi="宋体" w:eastAsia="宋体" w:cs="宋体"/>
          <w:spacing w:val="13"/>
          <w:position w:val="2"/>
          <w:sz w:val="18"/>
          <w:szCs w:val="18"/>
        </w:rPr>
        <w:t>:</w:t>
      </w:r>
      <w:r>
        <w:rPr>
          <w:rFonts w:hint="eastAsia" w:ascii="宋体" w:hAnsi="宋体" w:eastAsia="宋体" w:cs="宋体"/>
          <w:sz w:val="18"/>
          <w:szCs w:val="18"/>
        </w:rPr>
        <w:t>Fromthe</w:t>
      </w:r>
      <w:r>
        <w:rPr>
          <w:rFonts w:hint="eastAsia" w:ascii="宋体" w:hAnsi="宋体" w:eastAsia="宋体" w:cs="宋体"/>
          <w:spacing w:val="13"/>
          <w:sz w:val="18"/>
          <w:szCs w:val="18"/>
        </w:rPr>
        <w:t>1990</w:t>
      </w:r>
      <w:r>
        <w:rPr>
          <w:rFonts w:hint="eastAsia" w:ascii="宋体" w:hAnsi="宋体" w:eastAsia="宋体" w:cs="宋体"/>
          <w:sz w:val="18"/>
          <w:szCs w:val="18"/>
        </w:rPr>
        <w:t>stotheGlobalWar</w:t>
      </w:r>
      <w:r>
        <w:rPr>
          <w:rFonts w:hint="eastAsia" w:ascii="宋体" w:hAnsi="宋体" w:eastAsia="宋体" w:cs="宋体"/>
          <w:spacing w:val="5"/>
          <w:sz w:val="18"/>
          <w:szCs w:val="18"/>
        </w:rPr>
        <w:t>onTerror”,GlobalRaceWar</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InternationalPoliticsandRacialHierarchy(NewYork</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2021</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online</w:t>
      </w:r>
      <w:r>
        <w:rPr>
          <w:rFonts w:hint="eastAsia" w:ascii="宋体" w:hAnsi="宋体" w:eastAsia="宋体" w:cs="宋体"/>
          <w:spacing w:val="-1"/>
          <w:sz w:val="18"/>
          <w:szCs w:val="18"/>
        </w:rPr>
        <w:t>edn,OxfordAcademic,19Aug.2021),</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"https://doi.org/10.1093/oso/9780197535622.003.0009.Nov"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https://doi.org/10.1093/oso/9780197535622.003.0009.Nov</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11</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2024.</w:t>
      </w:r>
    </w:p>
  </w:footnote>
  <w:footnote w:id="1184">
    <w:p w14:paraId="1FB3F78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〔加〕维克·萨茨维奇、尼古劳斯·里达吉斯:《加拿大种族与族群:批判性导论》,郑</w:t>
      </w:r>
      <w:r>
        <w:rPr>
          <w:rFonts w:hint="eastAsia" w:ascii="宋体" w:hAnsi="宋体" w:eastAsia="宋体" w:cs="宋体"/>
          <w:spacing w:val="5"/>
          <w:sz w:val="18"/>
          <w:szCs w:val="18"/>
        </w:rPr>
        <w:t>春生、余</w:t>
      </w:r>
      <w:r>
        <w:rPr>
          <w:rFonts w:hint="eastAsia" w:ascii="宋体" w:hAnsi="宋体" w:eastAsia="宋体" w:cs="宋体"/>
          <w:spacing w:val="8"/>
          <w:sz w:val="18"/>
          <w:szCs w:val="18"/>
        </w:rPr>
        <w:t>洁、宋晏译,天津:天津人民出版社,</w:t>
      </w:r>
      <w:r>
        <w:rPr>
          <w:rFonts w:hint="eastAsia" w:ascii="宋体" w:hAnsi="宋体" w:eastAsia="宋体" w:cs="宋体"/>
          <w:spacing w:val="8"/>
          <w:position w:val="-1"/>
          <w:sz w:val="18"/>
          <w:szCs w:val="18"/>
        </w:rPr>
        <w:t>2021</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rPr>
        <w:t>19</w:t>
      </w:r>
      <w:r>
        <w:rPr>
          <w:rFonts w:hint="eastAsia" w:ascii="宋体" w:hAnsi="宋体" w:eastAsia="宋体" w:cs="宋体"/>
          <w:spacing w:val="8"/>
          <w:sz w:val="18"/>
          <w:szCs w:val="18"/>
        </w:rPr>
        <w:t>页。</w:t>
      </w:r>
    </w:p>
  </w:footnote>
  <w:footnote w:id="1185">
    <w:p w14:paraId="125B8214">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Barder</w:t>
      </w:r>
      <w:r>
        <w:rPr>
          <w:rFonts w:hint="eastAsia" w:ascii="宋体" w:hAnsi="宋体" w:eastAsia="宋体" w:cs="宋体"/>
          <w:spacing w:val="13"/>
          <w:position w:val="2"/>
          <w:sz w:val="18"/>
          <w:szCs w:val="18"/>
        </w:rPr>
        <w:t>,</w:t>
      </w:r>
      <w:r>
        <w:rPr>
          <w:rFonts w:hint="eastAsia" w:ascii="宋体" w:hAnsi="宋体" w:eastAsia="宋体" w:cs="宋体"/>
          <w:sz w:val="18"/>
          <w:szCs w:val="18"/>
        </w:rPr>
        <w:t>AlexanderD</w:t>
      </w:r>
      <w:r>
        <w:rPr>
          <w:rFonts w:hint="eastAsia" w:ascii="宋体" w:hAnsi="宋体" w:eastAsia="宋体" w:cs="宋体"/>
          <w:spacing w:val="13"/>
          <w:sz w:val="18"/>
          <w:szCs w:val="18"/>
        </w:rPr>
        <w:t>.,“</w:t>
      </w:r>
      <w:r>
        <w:rPr>
          <w:rFonts w:hint="eastAsia" w:ascii="宋体" w:hAnsi="宋体" w:eastAsia="宋体" w:cs="宋体"/>
          <w:sz w:val="18"/>
          <w:szCs w:val="18"/>
        </w:rPr>
        <w:t>CivilizationalConflictasRaceWar</w:t>
      </w:r>
      <w:r>
        <w:rPr>
          <w:rFonts w:hint="eastAsia" w:ascii="宋体" w:hAnsi="宋体" w:eastAsia="宋体" w:cs="宋体"/>
          <w:spacing w:val="13"/>
          <w:position w:val="2"/>
          <w:sz w:val="18"/>
          <w:szCs w:val="18"/>
        </w:rPr>
        <w:t>:</w:t>
      </w:r>
      <w:r>
        <w:rPr>
          <w:rFonts w:hint="eastAsia" w:ascii="宋体" w:hAnsi="宋体" w:eastAsia="宋体" w:cs="宋体"/>
          <w:sz w:val="18"/>
          <w:szCs w:val="18"/>
        </w:rPr>
        <w:t>Fromthe</w:t>
      </w:r>
      <w:r>
        <w:rPr>
          <w:rFonts w:hint="eastAsia" w:ascii="宋体" w:hAnsi="宋体" w:eastAsia="宋体" w:cs="宋体"/>
          <w:spacing w:val="13"/>
          <w:sz w:val="18"/>
          <w:szCs w:val="18"/>
        </w:rPr>
        <w:t>1990</w:t>
      </w:r>
      <w:r>
        <w:rPr>
          <w:rFonts w:hint="eastAsia" w:ascii="宋体" w:hAnsi="宋体" w:eastAsia="宋体" w:cs="宋体"/>
          <w:sz w:val="18"/>
          <w:szCs w:val="18"/>
        </w:rPr>
        <w:t>stotheGlobalWar</w:t>
      </w:r>
      <w:r>
        <w:rPr>
          <w:rFonts w:hint="eastAsia" w:ascii="宋体" w:hAnsi="宋体" w:eastAsia="宋体" w:cs="宋体"/>
          <w:spacing w:val="5"/>
          <w:sz w:val="18"/>
          <w:szCs w:val="18"/>
        </w:rPr>
        <w:t>onTerror”,GlobalRaceWar</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InternationalPoliticsandRacialHierarchy</w:t>
      </w:r>
      <w:r>
        <w:rPr>
          <w:rFonts w:hint="eastAsia" w:ascii="宋体" w:hAnsi="宋体" w:eastAsia="宋体" w:cs="宋体"/>
          <w:spacing w:val="5"/>
          <w:position w:val="1"/>
          <w:sz w:val="18"/>
          <w:szCs w:val="18"/>
        </w:rPr>
        <w:t>(N</w:t>
      </w:r>
      <w:r>
        <w:rPr>
          <w:rFonts w:hint="eastAsia" w:ascii="宋体" w:hAnsi="宋体" w:eastAsia="宋体" w:cs="宋体"/>
          <w:spacing w:val="5"/>
          <w:sz w:val="18"/>
          <w:szCs w:val="18"/>
        </w:rPr>
        <w:t>ewYork</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w:t>
      </w:r>
      <w:r>
        <w:rPr>
          <w:rFonts w:hint="eastAsia" w:ascii="宋体" w:hAnsi="宋体" w:eastAsia="宋体" w:cs="宋体"/>
          <w:spacing w:val="4"/>
          <w:sz w:val="18"/>
          <w:szCs w:val="18"/>
        </w:rPr>
        <w:t>021</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online</w:t>
      </w:r>
      <w:r>
        <w:rPr>
          <w:rFonts w:hint="eastAsia" w:ascii="宋体" w:hAnsi="宋体" w:eastAsia="宋体" w:cs="宋体"/>
          <w:spacing w:val="-1"/>
          <w:sz w:val="18"/>
          <w:szCs w:val="18"/>
        </w:rPr>
        <w:t>edn,OxfordAcademic,19Aug.2021),</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"https://doi.org/10.1093/oso/9780197535622.003.0009.Nov"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https://doi.org/10.1093/oso/9780197535622.003.0009.Nov</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11</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2024.</w:t>
      </w:r>
    </w:p>
  </w:footnote>
  <w:footnote w:id="1186">
    <w:p w14:paraId="640E894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Modood</w:t>
      </w:r>
      <w:r>
        <w:rPr>
          <w:rFonts w:hint="eastAsia" w:ascii="宋体" w:hAnsi="宋体" w:eastAsia="宋体" w:cs="宋体"/>
          <w:spacing w:val="10"/>
          <w:position w:val="4"/>
          <w:sz w:val="18"/>
          <w:szCs w:val="18"/>
        </w:rPr>
        <w:t>,</w:t>
      </w:r>
      <w:r>
        <w:rPr>
          <w:rFonts w:hint="eastAsia" w:ascii="宋体" w:hAnsi="宋体" w:eastAsia="宋体" w:cs="宋体"/>
          <w:spacing w:val="10"/>
          <w:position w:val="2"/>
          <w:sz w:val="18"/>
          <w:szCs w:val="18"/>
        </w:rPr>
        <w:t>T.</w:t>
      </w:r>
      <w:r>
        <w:rPr>
          <w:rFonts w:hint="eastAsia" w:ascii="宋体" w:hAnsi="宋体" w:eastAsia="宋体" w:cs="宋体"/>
          <w:spacing w:val="10"/>
          <w:position w:val="4"/>
          <w:sz w:val="18"/>
          <w:szCs w:val="18"/>
        </w:rPr>
        <w:t>,</w:t>
      </w:r>
      <w:r>
        <w:rPr>
          <w:rFonts w:hint="eastAsia" w:ascii="宋体" w:hAnsi="宋体" w:eastAsia="宋体" w:cs="宋体"/>
          <w:position w:val="2"/>
          <w:sz w:val="18"/>
          <w:szCs w:val="18"/>
        </w:rPr>
        <w:t>Multiculturalism</w:t>
      </w:r>
      <w:r>
        <w:rPr>
          <w:rFonts w:hint="eastAsia" w:ascii="宋体" w:hAnsi="宋体" w:eastAsia="宋体" w:cs="宋体"/>
          <w:spacing w:val="10"/>
          <w:position w:val="4"/>
          <w:sz w:val="18"/>
          <w:szCs w:val="18"/>
        </w:rPr>
        <w:t>:</w:t>
      </w:r>
      <w:r>
        <w:rPr>
          <w:rFonts w:hint="eastAsia" w:ascii="宋体" w:hAnsi="宋体" w:eastAsia="宋体" w:cs="宋体"/>
          <w:position w:val="2"/>
          <w:sz w:val="18"/>
          <w:szCs w:val="18"/>
        </w:rPr>
        <w:t>ACivicIdea</w:t>
      </w:r>
      <w:r>
        <w:rPr>
          <w:rFonts w:hint="eastAsia" w:ascii="宋体" w:hAnsi="宋体" w:eastAsia="宋体" w:cs="宋体"/>
          <w:spacing w:val="10"/>
          <w:position w:val="2"/>
          <w:sz w:val="18"/>
          <w:szCs w:val="18"/>
        </w:rPr>
        <w:t>.</w:t>
      </w:r>
      <w:r>
        <w:rPr>
          <w:rFonts w:hint="eastAsia" w:ascii="宋体" w:hAnsi="宋体" w:eastAsia="宋体" w:cs="宋体"/>
          <w:position w:val="2"/>
          <w:sz w:val="18"/>
          <w:szCs w:val="18"/>
        </w:rPr>
        <w:t>Cambridge</w:t>
      </w:r>
      <w:r>
        <w:rPr>
          <w:rFonts w:hint="eastAsia" w:ascii="宋体" w:hAnsi="宋体" w:eastAsia="宋体" w:cs="宋体"/>
          <w:spacing w:val="10"/>
          <w:position w:val="2"/>
          <w:sz w:val="18"/>
          <w:szCs w:val="18"/>
        </w:rPr>
        <w:t>:</w:t>
      </w:r>
      <w:r>
        <w:rPr>
          <w:rFonts w:hint="eastAsia" w:ascii="宋体" w:hAnsi="宋体" w:eastAsia="宋体" w:cs="宋体"/>
          <w:position w:val="2"/>
          <w:sz w:val="18"/>
          <w:szCs w:val="18"/>
        </w:rPr>
        <w:t>Polity</w:t>
      </w:r>
      <w:r>
        <w:rPr>
          <w:rFonts w:hint="eastAsia" w:ascii="宋体" w:hAnsi="宋体" w:eastAsia="宋体" w:cs="宋体"/>
          <w:spacing w:val="10"/>
          <w:position w:val="2"/>
          <w:sz w:val="18"/>
          <w:szCs w:val="18"/>
        </w:rPr>
        <w:t>,2007</w:t>
      </w:r>
      <w:r>
        <w:rPr>
          <w:rFonts w:hint="eastAsia" w:ascii="宋体" w:hAnsi="宋体" w:eastAsia="宋体" w:cs="宋体"/>
          <w:spacing w:val="9"/>
          <w:position w:val="2"/>
          <w:sz w:val="18"/>
          <w:szCs w:val="18"/>
        </w:rPr>
        <w:t>,</w:t>
      </w:r>
      <w:r>
        <w:rPr>
          <w:rFonts w:hint="eastAsia" w:ascii="宋体" w:hAnsi="宋体" w:eastAsia="宋体" w:cs="宋体"/>
          <w:position w:val="2"/>
          <w:sz w:val="18"/>
          <w:szCs w:val="18"/>
        </w:rPr>
        <w:t>pp</w:t>
      </w:r>
      <w:r>
        <w:rPr>
          <w:rFonts w:hint="eastAsia" w:ascii="宋体" w:hAnsi="宋体" w:eastAsia="宋体" w:cs="宋体"/>
          <w:spacing w:val="9"/>
          <w:position w:val="2"/>
          <w:sz w:val="18"/>
          <w:szCs w:val="18"/>
        </w:rPr>
        <w:t>.66-69.</w:t>
      </w:r>
    </w:p>
  </w:footnote>
  <w:footnote w:id="1187">
    <w:p w14:paraId="184EE42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5"/>
          <w:position w:val="2"/>
          <w:sz w:val="18"/>
          <w:szCs w:val="18"/>
        </w:rPr>
        <w:t>Brown</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W.,RegulatingAversion</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ToleranceintheAgeofIdentityandEmpire</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Princeton</w:t>
      </w:r>
      <w:r>
        <w:rPr>
          <w:rFonts w:hint="eastAsia" w:ascii="宋体" w:hAnsi="宋体" w:eastAsia="宋体" w:cs="宋体"/>
          <w:spacing w:val="5"/>
          <w:position w:val="4"/>
          <w:sz w:val="18"/>
          <w:szCs w:val="18"/>
        </w:rPr>
        <w:t>:</w:t>
      </w:r>
      <w:r>
        <w:rPr>
          <w:rFonts w:hint="eastAsia" w:ascii="宋体" w:hAnsi="宋体" w:eastAsia="宋体" w:cs="宋体"/>
          <w:position w:val="3"/>
          <w:sz w:val="18"/>
          <w:szCs w:val="18"/>
        </w:rPr>
        <w:t>PrincetonUniversityPress</w:t>
      </w:r>
      <w:r>
        <w:rPr>
          <w:rFonts w:hint="eastAsia" w:ascii="宋体" w:hAnsi="宋体" w:eastAsia="宋体" w:cs="宋体"/>
          <w:spacing w:val="9"/>
          <w:position w:val="5"/>
          <w:sz w:val="18"/>
          <w:szCs w:val="18"/>
        </w:rPr>
        <w:t>,</w:t>
      </w:r>
      <w:r>
        <w:rPr>
          <w:rFonts w:hint="eastAsia" w:ascii="宋体" w:hAnsi="宋体" w:eastAsia="宋体" w:cs="宋体"/>
          <w:spacing w:val="9"/>
          <w:position w:val="3"/>
          <w:sz w:val="18"/>
          <w:szCs w:val="18"/>
        </w:rPr>
        <w:t>2006,</w:t>
      </w:r>
      <w:r>
        <w:rPr>
          <w:rFonts w:hint="eastAsia" w:ascii="宋体" w:hAnsi="宋体" w:eastAsia="宋体" w:cs="宋体"/>
          <w:position w:val="3"/>
          <w:sz w:val="18"/>
          <w:szCs w:val="18"/>
        </w:rPr>
        <w:t>pp</w:t>
      </w:r>
      <w:r>
        <w:rPr>
          <w:rFonts w:hint="eastAsia" w:ascii="宋体" w:hAnsi="宋体" w:eastAsia="宋体" w:cs="宋体"/>
          <w:spacing w:val="9"/>
          <w:position w:val="3"/>
          <w:sz w:val="18"/>
          <w:szCs w:val="18"/>
        </w:rPr>
        <w:t>.15-18.</w:t>
      </w:r>
    </w:p>
  </w:footnote>
  <w:footnote w:id="1188">
    <w:p w14:paraId="4FA8814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Blaut</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J.M.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TheTheoryofCulturalRacism</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Antipode</w:t>
      </w:r>
      <w:r>
        <w:rPr>
          <w:rFonts w:hint="eastAsia" w:ascii="宋体" w:hAnsi="宋体" w:eastAsia="宋体" w:cs="宋体"/>
          <w:spacing w:val="13"/>
          <w:position w:val="4"/>
          <w:sz w:val="18"/>
          <w:szCs w:val="18"/>
        </w:rPr>
        <w:t>,</w:t>
      </w:r>
      <w:r>
        <w:rPr>
          <w:rFonts w:hint="eastAsia" w:ascii="宋体" w:hAnsi="宋体" w:eastAsia="宋体" w:cs="宋体"/>
          <w:spacing w:val="13"/>
          <w:position w:val="2"/>
          <w:sz w:val="18"/>
          <w:szCs w:val="18"/>
        </w:rPr>
        <w:t>1992</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Vol</w:t>
      </w:r>
      <w:r>
        <w:rPr>
          <w:rFonts w:hint="eastAsia" w:ascii="宋体" w:hAnsi="宋体" w:eastAsia="宋体" w:cs="宋体"/>
          <w:spacing w:val="13"/>
          <w:position w:val="2"/>
          <w:sz w:val="18"/>
          <w:szCs w:val="18"/>
        </w:rPr>
        <w:t>.24</w:t>
      </w:r>
      <w:r>
        <w:rPr>
          <w:rFonts w:hint="eastAsia" w:ascii="宋体" w:hAnsi="宋体" w:eastAsia="宋体" w:cs="宋体"/>
          <w:spacing w:val="13"/>
          <w:position w:val="4"/>
          <w:sz w:val="18"/>
          <w:szCs w:val="18"/>
        </w:rPr>
        <w:t>,</w:t>
      </w:r>
      <w:r>
        <w:rPr>
          <w:rFonts w:hint="eastAsia" w:ascii="宋体" w:hAnsi="宋体" w:eastAsia="宋体" w:cs="宋体"/>
          <w:position w:val="2"/>
          <w:sz w:val="18"/>
          <w:szCs w:val="18"/>
        </w:rPr>
        <w:t>Issue</w:t>
      </w:r>
      <w:r>
        <w:rPr>
          <w:rFonts w:hint="eastAsia" w:ascii="宋体" w:hAnsi="宋体" w:eastAsia="宋体" w:cs="宋体"/>
          <w:spacing w:val="13"/>
          <w:position w:val="2"/>
          <w:sz w:val="18"/>
          <w:szCs w:val="18"/>
        </w:rPr>
        <w:t>4,</w:t>
      </w:r>
      <w:r>
        <w:rPr>
          <w:rFonts w:hint="eastAsia" w:ascii="宋体" w:hAnsi="宋体" w:eastAsia="宋体" w:cs="宋体"/>
          <w:position w:val="2"/>
          <w:sz w:val="18"/>
          <w:szCs w:val="18"/>
        </w:rPr>
        <w:t>pp</w:t>
      </w:r>
      <w:r>
        <w:rPr>
          <w:rFonts w:hint="eastAsia" w:ascii="宋体" w:hAnsi="宋体" w:eastAsia="宋体" w:cs="宋体"/>
          <w:spacing w:val="13"/>
          <w:position w:val="2"/>
          <w:sz w:val="18"/>
          <w:szCs w:val="18"/>
        </w:rPr>
        <w:t>.</w:t>
      </w:r>
      <w:r>
        <w:rPr>
          <w:rFonts w:hint="eastAsia" w:ascii="宋体" w:hAnsi="宋体" w:eastAsia="宋体" w:cs="宋体"/>
          <w:spacing w:val="12"/>
          <w:position w:val="2"/>
          <w:sz w:val="18"/>
          <w:szCs w:val="18"/>
        </w:rPr>
        <w:t>289-299.</w:t>
      </w:r>
    </w:p>
  </w:footnote>
  <w:footnote w:id="1189">
    <w:p w14:paraId="0699234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ArianedeVogue</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DevanColeandTierneySneed</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SupremeCourtgutsaffirmativeactionincol-</w:t>
      </w:r>
      <w:r>
        <w:rPr>
          <w:rFonts w:hint="eastAsia" w:ascii="宋体" w:hAnsi="宋体" w:eastAsia="宋体" w:cs="宋体"/>
          <w:spacing w:val="-2"/>
          <w:sz w:val="18"/>
          <w:szCs w:val="18"/>
        </w:rPr>
        <w:t>legeadmissions,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"https://edition.cnn.com/2023/06/29/politics/affirmative-action-supreme-court-rul"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https://edition.cnn.com/2023/0</w:t>
      </w:r>
      <w:r>
        <w:rPr>
          <w:rFonts w:hint="eastAsia" w:ascii="宋体" w:hAnsi="宋体" w:eastAsia="宋体" w:cs="宋体"/>
          <w:spacing w:val="-3"/>
          <w:sz w:val="18"/>
          <w:szCs w:val="18"/>
        </w:rPr>
        <w:t>6/29/politics/affirmative-action-supreme-court-rul</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w:t>
      </w:r>
      <w:r>
        <w:rPr>
          <w:rFonts w:hint="eastAsia" w:ascii="宋体" w:hAnsi="宋体" w:eastAsia="宋体" w:cs="宋体"/>
          <w:spacing w:val="-2"/>
          <w:sz w:val="18"/>
          <w:szCs w:val="18"/>
        </w:rPr>
        <w:t>ing/index.html.Nov.15</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2024.</w:t>
      </w:r>
    </w:p>
  </w:footnote>
  <w:footnote w:id="1190">
    <w:p w14:paraId="140BCA6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伍斌:《美国文化种族主义的内涵与实质》,《美国研究》2023年第</w:t>
      </w:r>
      <w:r>
        <w:rPr>
          <w:rFonts w:hint="eastAsia" w:ascii="宋体" w:hAnsi="宋体" w:eastAsia="宋体" w:cs="宋体"/>
          <w:spacing w:val="1"/>
          <w:position w:val="-1"/>
          <w:sz w:val="18"/>
          <w:szCs w:val="18"/>
        </w:rPr>
        <w:t>5</w:t>
      </w:r>
      <w:r>
        <w:rPr>
          <w:rFonts w:hint="eastAsia" w:ascii="宋体" w:hAnsi="宋体" w:eastAsia="宋体" w:cs="宋体"/>
          <w:spacing w:val="1"/>
          <w:sz w:val="18"/>
          <w:szCs w:val="18"/>
        </w:rPr>
        <w:t>期。</w:t>
      </w:r>
    </w:p>
  </w:footnote>
  <w:footnote w:id="1191">
    <w:p w14:paraId="2D16124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《马克思恩格斯文集》第</w:t>
      </w:r>
      <w:r>
        <w:rPr>
          <w:rFonts w:hint="eastAsia" w:ascii="宋体" w:hAnsi="宋体" w:eastAsia="宋体" w:cs="宋体"/>
          <w:spacing w:val="9"/>
          <w:position w:val="-1"/>
          <w:sz w:val="18"/>
          <w:szCs w:val="18"/>
        </w:rPr>
        <w:t>1</w:t>
      </w:r>
      <w:r>
        <w:rPr>
          <w:rFonts w:hint="eastAsia" w:ascii="宋体" w:hAnsi="宋体" w:eastAsia="宋体" w:cs="宋体"/>
          <w:spacing w:val="9"/>
          <w:sz w:val="18"/>
          <w:szCs w:val="18"/>
        </w:rPr>
        <w:t>卷,北京:人民出版社,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51</w:t>
      </w:r>
      <w:r>
        <w:rPr>
          <w:rFonts w:hint="eastAsia" w:ascii="宋体" w:hAnsi="宋体" w:eastAsia="宋体" w:cs="宋体"/>
          <w:spacing w:val="8"/>
          <w:sz w:val="18"/>
          <w:szCs w:val="18"/>
        </w:rPr>
        <w:t>页。</w:t>
      </w:r>
    </w:p>
  </w:footnote>
  <w:footnote w:id="1192">
    <w:p w14:paraId="5A82F81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FrederickSolt</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DiversionaryNational</w:t>
      </w:r>
      <w:r>
        <w:rPr>
          <w:rFonts w:hint="eastAsia" w:ascii="宋体" w:hAnsi="宋体" w:eastAsia="宋体" w:cs="宋体"/>
          <w:spacing w:val="1"/>
          <w:sz w:val="18"/>
          <w:szCs w:val="18"/>
        </w:rPr>
        <w:t>ism</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EconomicInequalityandtheFormationofNational</w:t>
      </w:r>
      <w:r>
        <w:rPr>
          <w:rFonts w:hint="eastAsia" w:ascii="宋体" w:hAnsi="宋体" w:eastAsia="宋体" w:cs="宋体"/>
          <w:sz w:val="18"/>
          <w:szCs w:val="18"/>
        </w:rPr>
        <w:t>Pride</w:t>
      </w:r>
      <w:r>
        <w:rPr>
          <w:rFonts w:hint="eastAsia" w:ascii="宋体" w:hAnsi="宋体" w:eastAsia="宋体" w:cs="宋体"/>
          <w:spacing w:val="15"/>
          <w:position w:val="2"/>
          <w:sz w:val="18"/>
          <w:szCs w:val="18"/>
        </w:rPr>
        <w:t>,</w:t>
      </w:r>
      <w:r>
        <w:rPr>
          <w:rFonts w:hint="eastAsia" w:ascii="宋体" w:hAnsi="宋体" w:eastAsia="宋体" w:cs="宋体"/>
          <w:sz w:val="18"/>
          <w:szCs w:val="18"/>
        </w:rPr>
        <w:t>TheJournalofPolitics</w:t>
      </w:r>
      <w:r>
        <w:rPr>
          <w:rFonts w:hint="eastAsia" w:ascii="宋体" w:hAnsi="宋体" w:eastAsia="宋体" w:cs="宋体"/>
          <w:spacing w:val="15"/>
          <w:position w:val="2"/>
          <w:sz w:val="18"/>
          <w:szCs w:val="18"/>
        </w:rPr>
        <w:t>,</w:t>
      </w:r>
      <w:r>
        <w:rPr>
          <w:rFonts w:hint="eastAsia" w:ascii="宋体" w:hAnsi="宋体" w:eastAsia="宋体" w:cs="宋体"/>
          <w:spacing w:val="15"/>
          <w:sz w:val="18"/>
          <w:szCs w:val="18"/>
        </w:rPr>
        <w:t>2011</w:t>
      </w:r>
      <w:r>
        <w:rPr>
          <w:rFonts w:hint="eastAsia" w:ascii="宋体" w:hAnsi="宋体" w:eastAsia="宋体" w:cs="宋体"/>
          <w:spacing w:val="15"/>
          <w:position w:val="2"/>
          <w:sz w:val="18"/>
          <w:szCs w:val="18"/>
        </w:rPr>
        <w:t>,</w:t>
      </w:r>
      <w:r>
        <w:rPr>
          <w:rFonts w:hint="eastAsia" w:ascii="宋体" w:hAnsi="宋体" w:eastAsia="宋体" w:cs="宋体"/>
          <w:sz w:val="18"/>
          <w:szCs w:val="18"/>
        </w:rPr>
        <w:t>Vol</w:t>
      </w:r>
      <w:r>
        <w:rPr>
          <w:rFonts w:hint="eastAsia" w:ascii="宋体" w:hAnsi="宋体" w:eastAsia="宋体" w:cs="宋体"/>
          <w:spacing w:val="15"/>
          <w:sz w:val="18"/>
          <w:szCs w:val="18"/>
        </w:rPr>
        <w:t>.73</w:t>
      </w:r>
      <w:r>
        <w:rPr>
          <w:rFonts w:hint="eastAsia" w:ascii="宋体" w:hAnsi="宋体" w:eastAsia="宋体" w:cs="宋体"/>
          <w:spacing w:val="15"/>
          <w:position w:val="2"/>
          <w:sz w:val="18"/>
          <w:szCs w:val="18"/>
        </w:rPr>
        <w:t>,</w:t>
      </w:r>
      <w:r>
        <w:rPr>
          <w:rFonts w:hint="eastAsia" w:ascii="宋体" w:hAnsi="宋体" w:eastAsia="宋体" w:cs="宋体"/>
          <w:sz w:val="18"/>
          <w:szCs w:val="18"/>
        </w:rPr>
        <w:t>No</w:t>
      </w:r>
      <w:r>
        <w:rPr>
          <w:rFonts w:hint="eastAsia" w:ascii="宋体" w:hAnsi="宋体" w:eastAsia="宋体" w:cs="宋体"/>
          <w:spacing w:val="15"/>
          <w:sz w:val="18"/>
          <w:szCs w:val="18"/>
        </w:rPr>
        <w:t>.3,</w:t>
      </w:r>
      <w:r>
        <w:rPr>
          <w:rFonts w:hint="eastAsia" w:ascii="宋体" w:hAnsi="宋体" w:eastAsia="宋体" w:cs="宋体"/>
          <w:sz w:val="18"/>
          <w:szCs w:val="18"/>
        </w:rPr>
        <w:t>pp</w:t>
      </w:r>
      <w:r>
        <w:rPr>
          <w:rFonts w:hint="eastAsia" w:ascii="宋体" w:hAnsi="宋体" w:eastAsia="宋体" w:cs="宋体"/>
          <w:spacing w:val="15"/>
          <w:sz w:val="18"/>
          <w:szCs w:val="18"/>
        </w:rPr>
        <w:t>.821-830.</w:t>
      </w:r>
    </w:p>
  </w:footnote>
  <w:footnote w:id="1193">
    <w:p w14:paraId="4496ED7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MarisaA</w:t>
      </w:r>
      <w:r>
        <w:rPr>
          <w:rFonts w:hint="eastAsia" w:ascii="宋体" w:hAnsi="宋体" w:eastAsia="宋体" w:cs="宋体"/>
          <w:spacing w:val="4"/>
          <w:sz w:val="18"/>
          <w:szCs w:val="18"/>
        </w:rPr>
        <w:t>.</w:t>
      </w:r>
      <w:r>
        <w:rPr>
          <w:rFonts w:hint="eastAsia" w:ascii="宋体" w:hAnsi="宋体" w:eastAsia="宋体" w:cs="宋体"/>
          <w:sz w:val="18"/>
          <w:szCs w:val="18"/>
        </w:rPr>
        <w:t>AbrajanoandZoltanHajnal</w:t>
      </w:r>
      <w:r>
        <w:rPr>
          <w:rFonts w:hint="eastAsia" w:ascii="宋体" w:hAnsi="宋体" w:eastAsia="宋体" w:cs="宋体"/>
          <w:spacing w:val="4"/>
          <w:position w:val="2"/>
          <w:sz w:val="18"/>
          <w:szCs w:val="18"/>
        </w:rPr>
        <w:t>,</w:t>
      </w:r>
      <w:r>
        <w:rPr>
          <w:rFonts w:hint="eastAsia" w:ascii="宋体" w:hAnsi="宋体" w:eastAsia="宋体" w:cs="宋体"/>
          <w:sz w:val="18"/>
          <w:szCs w:val="18"/>
        </w:rPr>
        <w:t>WhiteBacklash</w:t>
      </w:r>
      <w:r>
        <w:rPr>
          <w:rFonts w:hint="eastAsia" w:ascii="宋体" w:hAnsi="宋体" w:eastAsia="宋体" w:cs="宋体"/>
          <w:spacing w:val="4"/>
          <w:position w:val="2"/>
          <w:sz w:val="18"/>
          <w:szCs w:val="18"/>
        </w:rPr>
        <w:t>:</w:t>
      </w:r>
      <w:r>
        <w:rPr>
          <w:rFonts w:hint="eastAsia" w:ascii="宋体" w:hAnsi="宋体" w:eastAsia="宋体" w:cs="宋体"/>
          <w:sz w:val="18"/>
          <w:szCs w:val="18"/>
        </w:rPr>
        <w:t>Immigration</w:t>
      </w:r>
      <w:r>
        <w:rPr>
          <w:rFonts w:hint="eastAsia" w:ascii="宋体" w:hAnsi="宋体" w:eastAsia="宋体" w:cs="宋体"/>
          <w:spacing w:val="4"/>
          <w:position w:val="2"/>
          <w:sz w:val="18"/>
          <w:szCs w:val="18"/>
        </w:rPr>
        <w:t>,</w:t>
      </w:r>
      <w:r>
        <w:rPr>
          <w:rFonts w:hint="eastAsia" w:ascii="宋体" w:hAnsi="宋体" w:eastAsia="宋体" w:cs="宋体"/>
          <w:sz w:val="18"/>
          <w:szCs w:val="18"/>
        </w:rPr>
        <w:t>Race</w:t>
      </w:r>
      <w:r>
        <w:rPr>
          <w:rFonts w:hint="eastAsia" w:ascii="宋体" w:hAnsi="宋体" w:eastAsia="宋体" w:cs="宋体"/>
          <w:spacing w:val="4"/>
          <w:position w:val="2"/>
          <w:sz w:val="18"/>
          <w:szCs w:val="18"/>
        </w:rPr>
        <w:t>,</w:t>
      </w:r>
      <w:r>
        <w:rPr>
          <w:rFonts w:hint="eastAsia" w:ascii="宋体" w:hAnsi="宋体" w:eastAsia="宋体" w:cs="宋体"/>
          <w:sz w:val="18"/>
          <w:szCs w:val="18"/>
        </w:rPr>
        <w:t>andAmerican</w:t>
      </w:r>
      <w:r>
        <w:rPr>
          <w:rFonts w:hint="eastAsia" w:ascii="宋体" w:hAnsi="宋体" w:eastAsia="宋体" w:cs="宋体"/>
          <w:spacing w:val="-3"/>
          <w:sz w:val="18"/>
          <w:szCs w:val="18"/>
        </w:rPr>
        <w:t>Politics,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"https://press.princeton.edu/books/paperback/9780691176192/white-backlash.September9"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https://press.princeton.edu/books/paperback/97806</w:t>
      </w:r>
      <w:r>
        <w:rPr>
          <w:rFonts w:hint="eastAsia" w:ascii="宋体" w:hAnsi="宋体" w:eastAsia="宋体" w:cs="宋体"/>
          <w:spacing w:val="-4"/>
          <w:sz w:val="18"/>
          <w:szCs w:val="18"/>
        </w:rPr>
        <w:t>91176192/white-backlash.September9</w:t>
      </w:r>
      <w:r>
        <w:rPr>
          <w:rFonts w:hint="eastAsia" w:ascii="宋体" w:hAnsi="宋体" w:eastAsia="宋体" w:cs="宋体"/>
          <w:spacing w:val="-4"/>
          <w:sz w:val="18"/>
          <w:szCs w:val="18"/>
        </w:rPr>
        <w:fldChar w:fldCharType="end"/>
      </w:r>
      <w:r>
        <w:rPr>
          <w:rFonts w:hint="eastAsia" w:ascii="宋体" w:hAnsi="宋体" w:eastAsia="宋体" w:cs="宋体"/>
          <w:spacing w:val="-4"/>
          <w:position w:val="2"/>
          <w:sz w:val="18"/>
          <w:szCs w:val="18"/>
        </w:rPr>
        <w:t>,</w:t>
      </w:r>
      <w:r>
        <w:rPr>
          <w:rFonts w:hint="eastAsia" w:ascii="宋体" w:hAnsi="宋体" w:eastAsia="宋体" w:cs="宋体"/>
          <w:spacing w:val="-1"/>
          <w:sz w:val="18"/>
          <w:szCs w:val="18"/>
        </w:rPr>
        <w:t>2024.</w:t>
      </w:r>
    </w:p>
  </w:footnote>
  <w:footnote w:id="1194">
    <w:p w14:paraId="2E8AE1B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AmanuelElias</w:t>
      </w:r>
      <w:r>
        <w:rPr>
          <w:rFonts w:hint="eastAsia" w:ascii="宋体" w:hAnsi="宋体" w:eastAsia="宋体" w:cs="宋体"/>
          <w:spacing w:val="12"/>
          <w:sz w:val="18"/>
          <w:szCs w:val="18"/>
        </w:rPr>
        <w:t>,</w:t>
      </w:r>
      <w:r>
        <w:rPr>
          <w:rFonts w:hint="eastAsia" w:ascii="宋体" w:hAnsi="宋体" w:eastAsia="宋体" w:cs="宋体"/>
          <w:sz w:val="18"/>
          <w:szCs w:val="18"/>
        </w:rPr>
        <w:t>Themanyformsofcontemporaryracism</w:t>
      </w:r>
      <w:r>
        <w:rPr>
          <w:rFonts w:hint="eastAsia" w:ascii="宋体" w:hAnsi="宋体" w:eastAsia="宋体" w:cs="宋体"/>
          <w:spacing w:val="12"/>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"https://www.crisconsortium.org/"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2"/>
          <w:sz w:val="18"/>
          <w:szCs w:val="18"/>
        </w:rPr>
        <w:t>://</w:t>
      </w:r>
      <w:r>
        <w:rPr>
          <w:rFonts w:hint="eastAsia" w:ascii="宋体" w:hAnsi="宋体" w:eastAsia="宋体" w:cs="宋体"/>
          <w:sz w:val="18"/>
          <w:szCs w:val="18"/>
        </w:rPr>
        <w:t>www</w:t>
      </w:r>
      <w:r>
        <w:rPr>
          <w:rFonts w:hint="eastAsia" w:ascii="宋体" w:hAnsi="宋体" w:eastAsia="宋体" w:cs="宋体"/>
          <w:spacing w:val="12"/>
          <w:sz w:val="18"/>
          <w:szCs w:val="18"/>
        </w:rPr>
        <w:t>.</w:t>
      </w:r>
      <w:r>
        <w:rPr>
          <w:rFonts w:hint="eastAsia" w:ascii="宋体" w:hAnsi="宋体" w:eastAsia="宋体" w:cs="宋体"/>
          <w:sz w:val="18"/>
          <w:szCs w:val="18"/>
        </w:rPr>
        <w:t>crisconsortium</w:t>
      </w:r>
      <w:r>
        <w:rPr>
          <w:rFonts w:hint="eastAsia" w:ascii="宋体" w:hAnsi="宋体" w:eastAsia="宋体" w:cs="宋体"/>
          <w:spacing w:val="12"/>
          <w:sz w:val="18"/>
          <w:szCs w:val="18"/>
        </w:rPr>
        <w:t>.</w:t>
      </w:r>
      <w:r>
        <w:rPr>
          <w:rFonts w:hint="eastAsia" w:ascii="宋体" w:hAnsi="宋体" w:eastAsia="宋体" w:cs="宋体"/>
          <w:sz w:val="18"/>
          <w:szCs w:val="18"/>
        </w:rPr>
        <w:t>org</w:t>
      </w:r>
      <w:r>
        <w:rPr>
          <w:rFonts w:hint="eastAsia" w:ascii="宋体" w:hAnsi="宋体" w:eastAsia="宋体" w:cs="宋体"/>
          <w:spacing w:val="12"/>
          <w:sz w:val="18"/>
          <w:szCs w:val="18"/>
        </w:rPr>
        <w:t>/</w:t>
      </w:r>
      <w:r>
        <w:rPr>
          <w:rFonts w:hint="eastAsia" w:ascii="宋体" w:hAnsi="宋体" w:eastAsia="宋体" w:cs="宋体"/>
          <w:spacing w:val="12"/>
          <w:sz w:val="18"/>
          <w:szCs w:val="18"/>
        </w:rPr>
        <w:fldChar w:fldCharType="end"/>
      </w:r>
      <w:r>
        <w:rPr>
          <w:rFonts w:hint="eastAsia" w:ascii="宋体" w:hAnsi="宋体" w:eastAsia="宋体" w:cs="宋体"/>
          <w:spacing w:val="-5"/>
          <w:sz w:val="18"/>
          <w:szCs w:val="18"/>
        </w:rPr>
        <w:t>bl</w:t>
      </w:r>
      <w:r>
        <w:rPr>
          <w:rFonts w:hint="eastAsia" w:ascii="宋体" w:hAnsi="宋体" w:eastAsia="宋体" w:cs="宋体"/>
          <w:spacing w:val="-5"/>
          <w:position w:val="1"/>
          <w:sz w:val="18"/>
          <w:szCs w:val="18"/>
        </w:rPr>
        <w:t>og/</w:t>
      </w:r>
      <w:r>
        <w:rPr>
          <w:rFonts w:hint="eastAsia" w:ascii="宋体" w:hAnsi="宋体" w:eastAsia="宋体" w:cs="宋体"/>
          <w:spacing w:val="-5"/>
          <w:sz w:val="18"/>
          <w:szCs w:val="18"/>
        </w:rPr>
        <w:t>the-many-forms-of-contemporary-racis</w:t>
      </w:r>
      <w:r>
        <w:rPr>
          <w:rFonts w:hint="eastAsia" w:ascii="宋体" w:hAnsi="宋体" w:eastAsia="宋体" w:cs="宋体"/>
          <w:spacing w:val="-6"/>
          <w:sz w:val="18"/>
          <w:szCs w:val="18"/>
        </w:rPr>
        <w:t>m.September9</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2024.</w:t>
      </w:r>
    </w:p>
  </w:footnote>
  <w:footnote w:id="1195">
    <w:p w14:paraId="5A9D1AAC">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NickRobertson,HalfinnewpollseeChinaasbiggestthreat,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"https://thehill.com/blogs/blog" </w:instrText>
      </w:r>
      <w:r>
        <w:rPr>
          <w:rFonts w:hint="eastAsia" w:ascii="宋体" w:hAnsi="宋体" w:eastAsia="宋体" w:cs="宋体"/>
          <w:sz w:val="18"/>
          <w:szCs w:val="18"/>
        </w:rPr>
        <w:fldChar w:fldCharType="separate"/>
      </w:r>
      <w:r>
        <w:rPr>
          <w:rFonts w:hint="eastAsia" w:ascii="宋体" w:hAnsi="宋体" w:eastAsia="宋体" w:cs="宋体"/>
          <w:sz w:val="18"/>
          <w:szCs w:val="18"/>
        </w:rPr>
        <w:t>https://thehill.com/blogs/blog</w:t>
      </w:r>
      <w:r>
        <w:rPr>
          <w:rFonts w:hint="eastAsia" w:ascii="宋体" w:hAnsi="宋体" w:eastAsia="宋体" w:cs="宋体"/>
          <w:sz w:val="18"/>
          <w:szCs w:val="18"/>
        </w:rPr>
        <w:fldChar w:fldCharType="end"/>
      </w:r>
      <w:r>
        <w:rPr>
          <w:rFonts w:hint="eastAsia" w:ascii="宋体" w:hAnsi="宋体" w:eastAsia="宋体" w:cs="宋体"/>
          <w:sz w:val="18"/>
          <w:szCs w:val="18"/>
        </w:rPr>
        <w:t>-</w:t>
      </w:r>
      <w:r>
        <w:rPr>
          <w:rFonts w:hint="eastAsia" w:ascii="宋体" w:hAnsi="宋体" w:eastAsia="宋体" w:cs="宋体"/>
          <w:spacing w:val="-5"/>
          <w:sz w:val="18"/>
          <w:szCs w:val="18"/>
        </w:rPr>
        <w:t>briefing-room/4122810-half-</w:t>
      </w:r>
      <w:r>
        <w:rPr>
          <w:rFonts w:hint="eastAsia" w:ascii="宋体" w:hAnsi="宋体" w:eastAsia="宋体" w:cs="宋体"/>
          <w:spacing w:val="-6"/>
          <w:sz w:val="18"/>
          <w:szCs w:val="18"/>
        </w:rPr>
        <w:t>in-new-poll-see-china-as-biggest-threat/.September23</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2024.</w:t>
      </w:r>
    </w:p>
  </w:footnote>
  <w:footnote w:id="1196">
    <w:p w14:paraId="6025420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MargaretM.Zamudio</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FranciscoRios</w:t>
      </w:r>
      <w:r>
        <w:rPr>
          <w:rFonts w:hint="eastAsia" w:ascii="宋体" w:hAnsi="宋体" w:eastAsia="宋体" w:cs="宋体"/>
          <w:spacing w:val="3"/>
          <w:position w:val="2"/>
          <w:sz w:val="18"/>
          <w:szCs w:val="18"/>
        </w:rPr>
        <w:t>,</w:t>
      </w:r>
      <w:r>
        <w:rPr>
          <w:rFonts w:hint="eastAsia" w:ascii="宋体" w:hAnsi="宋体" w:eastAsia="宋体" w:cs="宋体"/>
          <w:spacing w:val="2"/>
          <w:sz w:val="18"/>
          <w:szCs w:val="18"/>
        </w:rPr>
        <w:t>FromTraditionaltoLiberalRacism</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LivingRacismin</w:t>
      </w:r>
      <w:r>
        <w:rPr>
          <w:rFonts w:hint="eastAsia" w:ascii="宋体" w:hAnsi="宋体" w:eastAsia="宋体" w:cs="宋体"/>
          <w:sz w:val="18"/>
          <w:szCs w:val="18"/>
        </w:rPr>
        <w:t>theEveryday</w:t>
      </w:r>
      <w:r>
        <w:rPr>
          <w:rFonts w:hint="eastAsia" w:ascii="宋体" w:hAnsi="宋体" w:eastAsia="宋体" w:cs="宋体"/>
          <w:spacing w:val="8"/>
          <w:sz w:val="18"/>
          <w:szCs w:val="18"/>
        </w:rPr>
        <w:t>,</w:t>
      </w:r>
      <w:r>
        <w:rPr>
          <w:rFonts w:hint="eastAsia" w:ascii="宋体" w:hAnsi="宋体" w:eastAsia="宋体" w:cs="宋体"/>
          <w:sz w:val="18"/>
          <w:szCs w:val="18"/>
        </w:rPr>
        <w:t>SociologicalPerspectives</w:t>
      </w:r>
      <w:r>
        <w:rPr>
          <w:rFonts w:hint="eastAsia" w:ascii="宋体" w:hAnsi="宋体" w:eastAsia="宋体" w:cs="宋体"/>
          <w:spacing w:val="8"/>
          <w:position w:val="2"/>
          <w:sz w:val="18"/>
          <w:szCs w:val="18"/>
        </w:rPr>
        <w:t>,</w:t>
      </w:r>
      <w:r>
        <w:rPr>
          <w:rFonts w:hint="eastAsia" w:ascii="宋体" w:hAnsi="宋体" w:eastAsia="宋体" w:cs="宋体"/>
          <w:spacing w:val="8"/>
          <w:sz w:val="18"/>
          <w:szCs w:val="18"/>
        </w:rPr>
        <w:t>2006</w:t>
      </w:r>
      <w:r>
        <w:rPr>
          <w:rFonts w:hint="eastAsia" w:ascii="宋体" w:hAnsi="宋体" w:eastAsia="宋体" w:cs="宋体"/>
          <w:spacing w:val="8"/>
          <w:position w:val="2"/>
          <w:sz w:val="18"/>
          <w:szCs w:val="18"/>
        </w:rPr>
        <w:t>,</w:t>
      </w:r>
      <w:r>
        <w:rPr>
          <w:rFonts w:hint="eastAsia" w:ascii="宋体" w:hAnsi="宋体" w:eastAsia="宋体" w:cs="宋体"/>
          <w:sz w:val="18"/>
          <w:szCs w:val="18"/>
        </w:rPr>
        <w:t>Vol</w:t>
      </w:r>
      <w:r>
        <w:rPr>
          <w:rFonts w:hint="eastAsia" w:ascii="宋体" w:hAnsi="宋体" w:eastAsia="宋体" w:cs="宋体"/>
          <w:spacing w:val="8"/>
          <w:sz w:val="18"/>
          <w:szCs w:val="18"/>
        </w:rPr>
        <w:t>.49</w:t>
      </w:r>
      <w:r>
        <w:rPr>
          <w:rFonts w:hint="eastAsia" w:ascii="宋体" w:hAnsi="宋体" w:eastAsia="宋体" w:cs="宋体"/>
          <w:spacing w:val="8"/>
          <w:position w:val="2"/>
          <w:sz w:val="18"/>
          <w:szCs w:val="18"/>
        </w:rPr>
        <w:t>,</w:t>
      </w:r>
      <w:r>
        <w:rPr>
          <w:rFonts w:hint="eastAsia" w:ascii="宋体" w:hAnsi="宋体" w:eastAsia="宋体" w:cs="宋体"/>
          <w:sz w:val="18"/>
          <w:szCs w:val="18"/>
        </w:rPr>
        <w:t>No</w:t>
      </w:r>
      <w:r>
        <w:rPr>
          <w:rFonts w:hint="eastAsia" w:ascii="宋体" w:hAnsi="宋体" w:eastAsia="宋体" w:cs="宋体"/>
          <w:spacing w:val="8"/>
          <w:sz w:val="18"/>
          <w:szCs w:val="18"/>
        </w:rPr>
        <w:t>.4,</w:t>
      </w:r>
      <w:r>
        <w:rPr>
          <w:rFonts w:hint="eastAsia" w:ascii="宋体" w:hAnsi="宋体" w:eastAsia="宋体" w:cs="宋体"/>
          <w:sz w:val="18"/>
          <w:szCs w:val="18"/>
        </w:rPr>
        <w:t>pp</w:t>
      </w:r>
      <w:r>
        <w:rPr>
          <w:rFonts w:hint="eastAsia" w:ascii="宋体" w:hAnsi="宋体" w:eastAsia="宋体" w:cs="宋体"/>
          <w:spacing w:val="8"/>
          <w:sz w:val="18"/>
          <w:szCs w:val="18"/>
        </w:rPr>
        <w:t>.483-5</w:t>
      </w:r>
      <w:r>
        <w:rPr>
          <w:rFonts w:hint="eastAsia" w:ascii="宋体" w:hAnsi="宋体" w:eastAsia="宋体" w:cs="宋体"/>
          <w:spacing w:val="7"/>
          <w:sz w:val="18"/>
          <w:szCs w:val="18"/>
        </w:rPr>
        <w:t>01.</w:t>
      </w:r>
    </w:p>
  </w:footnote>
  <w:footnote w:id="1197">
    <w:p w14:paraId="14E61C56">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QuintariusJefferies,UnderstandingColor-BlindRacism</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AnAnalysisof“RacismWithoutRacists</w:t>
      </w:r>
      <w:r>
        <w:rPr>
          <w:rFonts w:hint="eastAsia" w:ascii="宋体" w:hAnsi="宋体" w:eastAsia="宋体" w:cs="宋体"/>
          <w:spacing w:val="-3"/>
          <w:position w:val="2"/>
          <w:sz w:val="18"/>
          <w:szCs w:val="18"/>
        </w:rPr>
        <w:t>”</w:t>
      </w:r>
      <w:r>
        <w:rPr>
          <w:rFonts w:hint="eastAsia" w:ascii="宋体" w:hAnsi="宋体" w:eastAsia="宋体" w:cs="宋体"/>
          <w:spacing w:val="-2"/>
          <w:sz w:val="18"/>
          <w:szCs w:val="18"/>
        </w:rPr>
        <w:t>Chapters,1-3,</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"https://blog.richmond.edu/criticalracetheory/2024/03/31/understanding-color-blind"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https://blog.richmond.edu/cr</w:t>
      </w:r>
      <w:r>
        <w:rPr>
          <w:rFonts w:hint="eastAsia" w:ascii="宋体" w:hAnsi="宋体" w:eastAsia="宋体" w:cs="宋体"/>
          <w:spacing w:val="-3"/>
          <w:sz w:val="18"/>
          <w:szCs w:val="18"/>
        </w:rPr>
        <w:t>iticalracetheory/2024/03/31/understanding-color-blind</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w:t>
      </w:r>
      <w:r>
        <w:rPr>
          <w:rFonts w:hint="eastAsia" w:ascii="宋体" w:hAnsi="宋体" w:eastAsia="宋体" w:cs="宋体"/>
          <w:spacing w:val="-4"/>
          <w:sz w:val="18"/>
          <w:szCs w:val="18"/>
        </w:rPr>
        <w:t>racism-an-analysis-of-racism-</w:t>
      </w:r>
      <w:r>
        <w:rPr>
          <w:rFonts w:hint="eastAsia" w:ascii="宋体" w:hAnsi="宋体" w:eastAsia="宋体" w:cs="宋体"/>
          <w:spacing w:val="-5"/>
          <w:sz w:val="18"/>
          <w:szCs w:val="18"/>
        </w:rPr>
        <w:t>without-racists-chapters-1-3/.September25</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2024.</w:t>
      </w:r>
    </w:p>
    <w:p w14:paraId="4871F9E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198">
    <w:p w14:paraId="63D729E9">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JanineYoungKim</w:t>
      </w:r>
      <w:r>
        <w:rPr>
          <w:rFonts w:hint="eastAsia" w:ascii="宋体" w:hAnsi="宋体" w:eastAsia="宋体" w:cs="宋体"/>
          <w:spacing w:val="1"/>
          <w:sz w:val="18"/>
          <w:szCs w:val="18"/>
        </w:rPr>
        <w:t>,</w:t>
      </w:r>
      <w:r>
        <w:rPr>
          <w:rFonts w:hint="eastAsia" w:ascii="宋体" w:hAnsi="宋体" w:eastAsia="宋体" w:cs="宋体"/>
          <w:sz w:val="18"/>
          <w:szCs w:val="18"/>
        </w:rPr>
        <w:t>Postracialism</w:t>
      </w:r>
      <w:r>
        <w:rPr>
          <w:rFonts w:hint="eastAsia" w:ascii="宋体" w:hAnsi="宋体" w:eastAsia="宋体" w:cs="宋体"/>
          <w:spacing w:val="1"/>
          <w:sz w:val="18"/>
          <w:szCs w:val="18"/>
        </w:rPr>
        <w:t>,30</w:t>
      </w:r>
      <w:r>
        <w:rPr>
          <w:rFonts w:hint="eastAsia" w:ascii="宋体" w:hAnsi="宋体" w:eastAsia="宋体" w:cs="宋体"/>
          <w:sz w:val="18"/>
          <w:szCs w:val="18"/>
        </w:rPr>
        <w:t>December</w:t>
      </w:r>
      <w:r>
        <w:rPr>
          <w:rFonts w:hint="eastAsia" w:ascii="宋体" w:hAnsi="宋体" w:eastAsia="宋体" w:cs="宋体"/>
          <w:spacing w:val="1"/>
          <w:sz w:val="18"/>
          <w:szCs w:val="18"/>
        </w:rPr>
        <w:t>2015,</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"https://doi.org/10.1002/"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
          <w:sz w:val="18"/>
          <w:szCs w:val="18"/>
        </w:rPr>
        <w:t>://</w:t>
      </w:r>
      <w:r>
        <w:rPr>
          <w:rFonts w:hint="eastAsia" w:ascii="宋体" w:hAnsi="宋体" w:eastAsia="宋体" w:cs="宋体"/>
          <w:sz w:val="18"/>
          <w:szCs w:val="18"/>
        </w:rPr>
        <w:t>doi</w:t>
      </w:r>
      <w:r>
        <w:rPr>
          <w:rFonts w:hint="eastAsia" w:ascii="宋体" w:hAnsi="宋体" w:eastAsia="宋体" w:cs="宋体"/>
          <w:spacing w:val="1"/>
          <w:sz w:val="18"/>
          <w:szCs w:val="18"/>
        </w:rPr>
        <w:t>.</w:t>
      </w:r>
      <w:r>
        <w:rPr>
          <w:rFonts w:hint="eastAsia" w:ascii="宋体" w:hAnsi="宋体" w:eastAsia="宋体" w:cs="宋体"/>
          <w:sz w:val="18"/>
          <w:szCs w:val="18"/>
        </w:rPr>
        <w:t>org</w:t>
      </w:r>
      <w:r>
        <w:rPr>
          <w:rFonts w:hint="eastAsia" w:ascii="宋体" w:hAnsi="宋体" w:eastAsia="宋体" w:cs="宋体"/>
          <w:spacing w:val="1"/>
          <w:sz w:val="18"/>
          <w:szCs w:val="18"/>
        </w:rPr>
        <w:t>/10.1002/</w:t>
      </w:r>
      <w:r>
        <w:rPr>
          <w:rFonts w:hint="eastAsia" w:ascii="宋体" w:hAnsi="宋体" w:eastAsia="宋体" w:cs="宋体"/>
          <w:spacing w:val="1"/>
          <w:sz w:val="18"/>
          <w:szCs w:val="18"/>
        </w:rPr>
        <w:fldChar w:fldCharType="end"/>
      </w:r>
      <w:r>
        <w:rPr>
          <w:rFonts w:hint="eastAsia" w:ascii="宋体" w:hAnsi="宋体" w:eastAsia="宋体" w:cs="宋体"/>
          <w:spacing w:val="-4"/>
          <w:sz w:val="18"/>
          <w:szCs w:val="18"/>
        </w:rPr>
        <w:t>9781118663202.wberen</w:t>
      </w:r>
      <w:r>
        <w:rPr>
          <w:rFonts w:hint="eastAsia" w:ascii="宋体" w:hAnsi="宋体" w:eastAsia="宋体" w:cs="宋体"/>
          <w:spacing w:val="-5"/>
          <w:sz w:val="18"/>
          <w:szCs w:val="18"/>
        </w:rPr>
        <w:t>617.September23</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2024.</w:t>
      </w:r>
    </w:p>
  </w:footnote>
  <w:footnote w:id="1199">
    <w:p w14:paraId="40179D7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SuviKeskinen</w:t>
      </w:r>
      <w:r>
        <w:rPr>
          <w:rFonts w:hint="eastAsia" w:ascii="宋体" w:hAnsi="宋体" w:eastAsia="宋体" w:cs="宋体"/>
          <w:position w:val="2"/>
          <w:sz w:val="18"/>
          <w:szCs w:val="18"/>
        </w:rPr>
        <w:t>,</w:t>
      </w:r>
      <w:r>
        <w:rPr>
          <w:rFonts w:hint="eastAsia" w:ascii="宋体" w:hAnsi="宋体" w:eastAsia="宋体" w:cs="宋体"/>
          <w:sz w:val="18"/>
          <w:szCs w:val="18"/>
        </w:rPr>
        <w:t>The“crisis</w:t>
      </w:r>
      <w:r>
        <w:rPr>
          <w:rFonts w:hint="eastAsia" w:ascii="宋体" w:hAnsi="宋体" w:eastAsia="宋体" w:cs="宋体"/>
          <w:position w:val="2"/>
          <w:sz w:val="18"/>
          <w:szCs w:val="18"/>
        </w:rPr>
        <w:t>”</w:t>
      </w:r>
      <w:r>
        <w:rPr>
          <w:rFonts w:hint="eastAsia" w:ascii="宋体" w:hAnsi="宋体" w:eastAsia="宋体" w:cs="宋体"/>
          <w:sz w:val="18"/>
          <w:szCs w:val="18"/>
        </w:rPr>
        <w:t>ofwhitehegemony,neonationalist</w:t>
      </w:r>
      <w:r>
        <w:rPr>
          <w:rFonts w:hint="eastAsia" w:ascii="宋体" w:hAnsi="宋体" w:eastAsia="宋体" w:cs="宋体"/>
          <w:spacing w:val="-1"/>
          <w:sz w:val="18"/>
          <w:szCs w:val="18"/>
        </w:rPr>
        <w:t>femininitiesandantiracistfemi-</w:t>
      </w:r>
      <w:r>
        <w:rPr>
          <w:rFonts w:hint="eastAsia" w:ascii="宋体" w:hAnsi="宋体" w:eastAsia="宋体" w:cs="宋体"/>
          <w:sz w:val="18"/>
          <w:szCs w:val="18"/>
        </w:rPr>
        <w:t>nism</w:t>
      </w:r>
      <w:r>
        <w:rPr>
          <w:rFonts w:hint="eastAsia" w:ascii="宋体" w:hAnsi="宋体" w:eastAsia="宋体" w:cs="宋体"/>
          <w:spacing w:val="5"/>
          <w:position w:val="2"/>
          <w:sz w:val="18"/>
          <w:szCs w:val="18"/>
        </w:rPr>
        <w:t>,</w:t>
      </w:r>
      <w:r>
        <w:rPr>
          <w:rFonts w:hint="eastAsia" w:ascii="宋体" w:hAnsi="宋体" w:eastAsia="宋体" w:cs="宋体"/>
          <w:sz w:val="18"/>
          <w:szCs w:val="18"/>
        </w:rPr>
        <w:t>Women</w:t>
      </w:r>
      <w:r>
        <w:rPr>
          <w:rFonts w:hint="eastAsia" w:ascii="宋体" w:hAnsi="宋体" w:eastAsia="宋体" w:cs="宋体"/>
          <w:spacing w:val="5"/>
          <w:position w:val="2"/>
          <w:sz w:val="18"/>
          <w:szCs w:val="18"/>
        </w:rPr>
        <w:t>’</w:t>
      </w:r>
      <w:r>
        <w:rPr>
          <w:rFonts w:hint="eastAsia" w:ascii="宋体" w:hAnsi="宋体" w:eastAsia="宋体" w:cs="宋体"/>
          <w:sz w:val="18"/>
          <w:szCs w:val="18"/>
        </w:rPr>
        <w:t>sStudiesInternationalForum</w:t>
      </w:r>
      <w:r>
        <w:rPr>
          <w:rFonts w:hint="eastAsia" w:ascii="宋体" w:hAnsi="宋体" w:eastAsia="宋体" w:cs="宋体"/>
          <w:spacing w:val="5"/>
          <w:sz w:val="18"/>
          <w:szCs w:val="18"/>
        </w:rPr>
        <w:t>,2018</w:t>
      </w:r>
      <w:r>
        <w:rPr>
          <w:rFonts w:hint="eastAsia" w:ascii="宋体" w:hAnsi="宋体" w:eastAsia="宋体" w:cs="宋体"/>
          <w:spacing w:val="5"/>
          <w:position w:val="2"/>
          <w:sz w:val="18"/>
          <w:szCs w:val="18"/>
        </w:rPr>
        <w:t>,</w:t>
      </w:r>
      <w:r>
        <w:rPr>
          <w:rFonts w:hint="eastAsia" w:ascii="宋体" w:hAnsi="宋体" w:eastAsia="宋体" w:cs="宋体"/>
          <w:sz w:val="18"/>
          <w:szCs w:val="18"/>
        </w:rPr>
        <w:t>Vol</w:t>
      </w:r>
      <w:r>
        <w:rPr>
          <w:rFonts w:hint="eastAsia" w:ascii="宋体" w:hAnsi="宋体" w:eastAsia="宋体" w:cs="宋体"/>
          <w:spacing w:val="5"/>
          <w:sz w:val="18"/>
          <w:szCs w:val="18"/>
        </w:rPr>
        <w:t>.68,</w:t>
      </w:r>
      <w:r>
        <w:rPr>
          <w:rFonts w:hint="eastAsia" w:ascii="宋体" w:hAnsi="宋体" w:eastAsia="宋体" w:cs="宋体"/>
          <w:sz w:val="18"/>
          <w:szCs w:val="18"/>
        </w:rPr>
        <w:t>pp</w:t>
      </w:r>
      <w:r>
        <w:rPr>
          <w:rFonts w:hint="eastAsia" w:ascii="宋体" w:hAnsi="宋体" w:eastAsia="宋体" w:cs="宋体"/>
          <w:spacing w:val="5"/>
          <w:sz w:val="18"/>
          <w:szCs w:val="18"/>
        </w:rPr>
        <w:t>.157-163.</w:t>
      </w:r>
    </w:p>
  </w:footnote>
  <w:footnote w:id="1200">
    <w:p w14:paraId="3D01F8A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IbramX.Kendi,OurNewPostracialMyth,</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"https://courageousconversation.com/our-new" </w:instrText>
      </w:r>
      <w:r>
        <w:rPr>
          <w:rFonts w:hint="eastAsia" w:ascii="宋体" w:hAnsi="宋体" w:eastAsia="宋体" w:cs="宋体"/>
          <w:sz w:val="18"/>
          <w:szCs w:val="18"/>
        </w:rPr>
        <w:fldChar w:fldCharType="separate"/>
      </w:r>
      <w:r>
        <w:rPr>
          <w:rFonts w:hint="eastAsia" w:ascii="宋体" w:hAnsi="宋体" w:eastAsia="宋体" w:cs="宋体"/>
          <w:sz w:val="18"/>
          <w:szCs w:val="18"/>
        </w:rPr>
        <w:t>https://courageousconve</w:t>
      </w:r>
      <w:r>
        <w:rPr>
          <w:rFonts w:hint="eastAsia" w:ascii="宋体" w:hAnsi="宋体" w:eastAsia="宋体" w:cs="宋体"/>
          <w:spacing w:val="-1"/>
          <w:sz w:val="18"/>
          <w:szCs w:val="18"/>
        </w:rPr>
        <w:t>rsation.com/our-new</w:t>
      </w:r>
      <w:r>
        <w:rPr>
          <w:rFonts w:hint="eastAsia" w:ascii="宋体" w:hAnsi="宋体" w:eastAsia="宋体" w:cs="宋体"/>
          <w:spacing w:val="-1"/>
          <w:sz w:val="18"/>
          <w:szCs w:val="18"/>
        </w:rPr>
        <w:fldChar w:fldCharType="end"/>
      </w:r>
      <w:r>
        <w:rPr>
          <w:rFonts w:hint="eastAsia" w:ascii="宋体" w:hAnsi="宋体" w:eastAsia="宋体" w:cs="宋体"/>
          <w:spacing w:val="-1"/>
          <w:sz w:val="18"/>
          <w:szCs w:val="18"/>
        </w:rPr>
        <w:t>-</w:t>
      </w:r>
      <w:r>
        <w:rPr>
          <w:rFonts w:hint="eastAsia" w:ascii="宋体" w:hAnsi="宋体" w:eastAsia="宋体" w:cs="宋体"/>
          <w:spacing w:val="-2"/>
          <w:sz w:val="18"/>
          <w:szCs w:val="18"/>
        </w:rPr>
        <w:t>postracial-myth/.September2</w:t>
      </w:r>
      <w:r>
        <w:rPr>
          <w:rFonts w:hint="eastAsia" w:ascii="宋体" w:hAnsi="宋体" w:eastAsia="宋体" w:cs="宋体"/>
          <w:spacing w:val="-3"/>
          <w:sz w:val="18"/>
          <w:szCs w:val="18"/>
        </w:rPr>
        <w:t>8</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w:t>
      </w:r>
    </w:p>
  </w:footnote>
  <w:footnote w:id="1201">
    <w:p w14:paraId="1BB5B34C">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Lajevardi</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N.</w:t>
      </w:r>
      <w:r>
        <w:rPr>
          <w:rFonts w:hint="eastAsia" w:ascii="宋体" w:hAnsi="宋体" w:eastAsia="宋体" w:cs="宋体"/>
          <w:spacing w:val="3"/>
          <w:position w:val="2"/>
          <w:sz w:val="18"/>
          <w:szCs w:val="18"/>
        </w:rPr>
        <w:t>,</w:t>
      </w:r>
      <w:r>
        <w:rPr>
          <w:rFonts w:hint="eastAsia" w:ascii="宋体" w:hAnsi="宋体" w:eastAsia="宋体" w:cs="宋体"/>
          <w:sz w:val="18"/>
          <w:szCs w:val="18"/>
        </w:rPr>
        <w:t>Oskooii</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K.</w:t>
      </w:r>
      <w:r>
        <w:rPr>
          <w:rFonts w:hint="eastAsia" w:ascii="宋体" w:hAnsi="宋体" w:eastAsia="宋体" w:cs="宋体"/>
          <w:spacing w:val="3"/>
          <w:position w:val="2"/>
          <w:sz w:val="18"/>
          <w:szCs w:val="18"/>
        </w:rPr>
        <w:t>,</w:t>
      </w:r>
      <w:r>
        <w:rPr>
          <w:rFonts w:hint="eastAsia" w:ascii="宋体" w:hAnsi="宋体" w:eastAsia="宋体" w:cs="宋体"/>
          <w:sz w:val="18"/>
          <w:szCs w:val="18"/>
        </w:rPr>
        <w:t>Saleem</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M.</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&amp;</w:t>
      </w:r>
      <w:r>
        <w:rPr>
          <w:rFonts w:hint="eastAsia" w:ascii="宋体" w:hAnsi="宋体" w:eastAsia="宋体" w:cs="宋体"/>
          <w:sz w:val="18"/>
          <w:szCs w:val="18"/>
        </w:rPr>
        <w:t>Docherty</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M</w:t>
      </w:r>
      <w:r>
        <w:rPr>
          <w:rFonts w:hint="eastAsia" w:ascii="宋体" w:hAnsi="宋体" w:eastAsia="宋体" w:cs="宋体"/>
          <w:spacing w:val="2"/>
          <w:sz w:val="18"/>
          <w:szCs w:val="18"/>
        </w:rPr>
        <w:t>.</w:t>
      </w:r>
      <w:r>
        <w:rPr>
          <w:rFonts w:hint="eastAsia" w:ascii="宋体" w:hAnsi="宋体" w:eastAsia="宋体" w:cs="宋体"/>
          <w:spacing w:val="2"/>
          <w:position w:val="2"/>
          <w:sz w:val="18"/>
          <w:szCs w:val="18"/>
        </w:rPr>
        <w:t>,</w:t>
      </w:r>
      <w:r>
        <w:rPr>
          <w:rFonts w:hint="eastAsia" w:ascii="宋体" w:hAnsi="宋体" w:eastAsia="宋体" w:cs="宋体"/>
          <w:sz w:val="18"/>
          <w:szCs w:val="18"/>
        </w:rPr>
        <w:t>IntheshadowofSeptember</w:t>
      </w:r>
      <w:r>
        <w:rPr>
          <w:rFonts w:hint="eastAsia" w:ascii="宋体" w:hAnsi="宋体" w:eastAsia="宋体" w:cs="宋体"/>
          <w:spacing w:val="2"/>
          <w:sz w:val="18"/>
          <w:szCs w:val="18"/>
        </w:rPr>
        <w:t>11</w:t>
      </w:r>
      <w:r>
        <w:rPr>
          <w:rFonts w:hint="eastAsia" w:ascii="宋体" w:hAnsi="宋体" w:eastAsia="宋体" w:cs="宋体"/>
          <w:spacing w:val="2"/>
          <w:position w:val="2"/>
          <w:sz w:val="18"/>
          <w:szCs w:val="18"/>
        </w:rPr>
        <w:t>:</w:t>
      </w:r>
      <w:r>
        <w:rPr>
          <w:rFonts w:hint="eastAsia" w:ascii="宋体" w:hAnsi="宋体" w:eastAsia="宋体" w:cs="宋体"/>
          <w:spacing w:val="4"/>
          <w:sz w:val="18"/>
          <w:szCs w:val="18"/>
        </w:rPr>
        <w:t>Therootsandramificationsofanti-MuslimattitudesintheUnitedStates</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AdvancesinPoliticalPsy-</w:t>
      </w:r>
      <w:r>
        <w:rPr>
          <w:rFonts w:hint="eastAsia" w:ascii="宋体" w:hAnsi="宋体" w:eastAsia="宋体" w:cs="宋体"/>
          <w:sz w:val="18"/>
          <w:szCs w:val="18"/>
        </w:rPr>
        <w:t>chology</w:t>
      </w:r>
      <w:r>
        <w:rPr>
          <w:rFonts w:hint="eastAsia" w:ascii="宋体" w:hAnsi="宋体" w:eastAsia="宋体" w:cs="宋体"/>
          <w:spacing w:val="6"/>
          <w:sz w:val="18"/>
          <w:szCs w:val="18"/>
        </w:rPr>
        <w:t>,2024</w:t>
      </w:r>
      <w:r>
        <w:rPr>
          <w:rFonts w:hint="eastAsia" w:ascii="宋体" w:hAnsi="宋体" w:eastAsia="宋体" w:cs="宋体"/>
          <w:spacing w:val="6"/>
          <w:position w:val="2"/>
          <w:sz w:val="18"/>
          <w:szCs w:val="18"/>
        </w:rPr>
        <w:t>,</w:t>
      </w:r>
      <w:r>
        <w:rPr>
          <w:rFonts w:hint="eastAsia" w:ascii="宋体" w:hAnsi="宋体" w:eastAsia="宋体" w:cs="宋体"/>
          <w:sz w:val="18"/>
          <w:szCs w:val="18"/>
        </w:rPr>
        <w:t>Vol</w:t>
      </w:r>
      <w:r>
        <w:rPr>
          <w:rFonts w:hint="eastAsia" w:ascii="宋体" w:hAnsi="宋体" w:eastAsia="宋体" w:cs="宋体"/>
          <w:spacing w:val="6"/>
          <w:sz w:val="18"/>
          <w:szCs w:val="18"/>
        </w:rPr>
        <w:t>.45</w:t>
      </w:r>
      <w:r>
        <w:rPr>
          <w:rFonts w:hint="eastAsia" w:ascii="宋体" w:hAnsi="宋体" w:eastAsia="宋体" w:cs="宋体"/>
          <w:spacing w:val="6"/>
          <w:position w:val="2"/>
          <w:sz w:val="18"/>
          <w:szCs w:val="18"/>
        </w:rPr>
        <w:t>,</w:t>
      </w:r>
      <w:r>
        <w:rPr>
          <w:rFonts w:hint="eastAsia" w:ascii="宋体" w:hAnsi="宋体" w:eastAsia="宋体" w:cs="宋体"/>
          <w:sz w:val="18"/>
          <w:szCs w:val="18"/>
        </w:rPr>
        <w:t>Suppl</w:t>
      </w:r>
      <w:r>
        <w:rPr>
          <w:rFonts w:hint="eastAsia" w:ascii="宋体" w:hAnsi="宋体" w:eastAsia="宋体" w:cs="宋体"/>
          <w:spacing w:val="6"/>
          <w:sz w:val="18"/>
          <w:szCs w:val="18"/>
        </w:rPr>
        <w:t>.1,</w:t>
      </w:r>
      <w:r>
        <w:rPr>
          <w:rFonts w:hint="eastAsia" w:ascii="宋体" w:hAnsi="宋体" w:eastAsia="宋体" w:cs="宋体"/>
          <w:sz w:val="18"/>
          <w:szCs w:val="18"/>
        </w:rPr>
        <w:t>pp</w:t>
      </w:r>
      <w:r>
        <w:rPr>
          <w:rFonts w:hint="eastAsia" w:ascii="宋体" w:hAnsi="宋体" w:eastAsia="宋体" w:cs="宋体"/>
          <w:spacing w:val="6"/>
          <w:sz w:val="18"/>
          <w:szCs w:val="18"/>
        </w:rPr>
        <w:t>.87-118.</w:t>
      </w:r>
    </w:p>
  </w:footnote>
  <w:footnote w:id="1202">
    <w:p w14:paraId="273C4F6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position w:val="4"/>
          <w:sz w:val="18"/>
          <w:szCs w:val="18"/>
        </w:rPr>
        <w:t>Burney,Shehla.CHAPTERONE</w:t>
      </w:r>
      <w:r>
        <w:rPr>
          <w:rFonts w:hint="eastAsia" w:ascii="宋体" w:hAnsi="宋体" w:eastAsia="宋体" w:cs="宋体"/>
          <w:spacing w:val="3"/>
          <w:position w:val="6"/>
          <w:sz w:val="18"/>
          <w:szCs w:val="18"/>
        </w:rPr>
        <w:t>:</w:t>
      </w:r>
      <w:r>
        <w:rPr>
          <w:rFonts w:hint="eastAsia" w:ascii="宋体" w:hAnsi="宋体" w:eastAsia="宋体" w:cs="宋体"/>
          <w:spacing w:val="3"/>
          <w:position w:val="4"/>
          <w:sz w:val="18"/>
          <w:szCs w:val="18"/>
        </w:rPr>
        <w:t>Orientalism</w:t>
      </w:r>
      <w:r>
        <w:rPr>
          <w:rFonts w:hint="eastAsia" w:ascii="宋体" w:hAnsi="宋体" w:eastAsia="宋体" w:cs="宋体"/>
          <w:spacing w:val="3"/>
          <w:position w:val="6"/>
          <w:sz w:val="18"/>
          <w:szCs w:val="18"/>
        </w:rPr>
        <w:t>:</w:t>
      </w:r>
      <w:r>
        <w:rPr>
          <w:rFonts w:hint="eastAsia" w:ascii="宋体" w:hAnsi="宋体" w:eastAsia="宋体" w:cs="宋体"/>
          <w:spacing w:val="3"/>
          <w:position w:val="4"/>
          <w:sz w:val="18"/>
          <w:szCs w:val="18"/>
        </w:rPr>
        <w:t>TheMakingof</w:t>
      </w:r>
      <w:r>
        <w:rPr>
          <w:rFonts w:hint="eastAsia" w:ascii="宋体" w:hAnsi="宋体" w:eastAsia="宋体" w:cs="宋体"/>
          <w:spacing w:val="2"/>
          <w:position w:val="4"/>
          <w:sz w:val="18"/>
          <w:szCs w:val="18"/>
        </w:rPr>
        <w:t>theOther,Counterpoints</w:t>
      </w:r>
      <w:r>
        <w:rPr>
          <w:rFonts w:hint="eastAsia" w:ascii="宋体" w:hAnsi="宋体" w:eastAsia="宋体" w:cs="宋体"/>
          <w:spacing w:val="2"/>
          <w:position w:val="6"/>
          <w:sz w:val="18"/>
          <w:szCs w:val="18"/>
        </w:rPr>
        <w:t>,</w:t>
      </w:r>
      <w:r>
        <w:rPr>
          <w:rFonts w:hint="eastAsia" w:ascii="宋体" w:hAnsi="宋体" w:eastAsia="宋体" w:cs="宋体"/>
          <w:spacing w:val="5"/>
          <w:position w:val="4"/>
          <w:sz w:val="18"/>
          <w:szCs w:val="18"/>
        </w:rPr>
        <w:t>2012</w:t>
      </w:r>
      <w:r>
        <w:rPr>
          <w:rFonts w:hint="eastAsia" w:ascii="宋体" w:hAnsi="宋体" w:eastAsia="宋体" w:cs="宋体"/>
          <w:spacing w:val="5"/>
          <w:position w:val="6"/>
          <w:sz w:val="18"/>
          <w:szCs w:val="18"/>
        </w:rPr>
        <w:t>,</w:t>
      </w:r>
      <w:r>
        <w:rPr>
          <w:rFonts w:hint="eastAsia" w:ascii="宋体" w:hAnsi="宋体" w:eastAsia="宋体" w:cs="宋体"/>
          <w:position w:val="4"/>
          <w:sz w:val="18"/>
          <w:szCs w:val="18"/>
        </w:rPr>
        <w:t>Vol</w:t>
      </w:r>
      <w:r>
        <w:rPr>
          <w:rFonts w:hint="eastAsia" w:ascii="宋体" w:hAnsi="宋体" w:eastAsia="宋体" w:cs="宋体"/>
          <w:spacing w:val="5"/>
          <w:position w:val="4"/>
          <w:sz w:val="18"/>
          <w:szCs w:val="18"/>
        </w:rPr>
        <w:t>.417,</w:t>
      </w:r>
      <w:r>
        <w:rPr>
          <w:rFonts w:hint="eastAsia" w:ascii="宋体" w:hAnsi="宋体" w:eastAsia="宋体" w:cs="宋体"/>
          <w:position w:val="4"/>
          <w:sz w:val="18"/>
          <w:szCs w:val="18"/>
        </w:rPr>
        <w:t>pp</w:t>
      </w:r>
      <w:r>
        <w:rPr>
          <w:rFonts w:hint="eastAsia" w:ascii="宋体" w:hAnsi="宋体" w:eastAsia="宋体" w:cs="宋体"/>
          <w:spacing w:val="5"/>
          <w:position w:val="4"/>
          <w:sz w:val="18"/>
          <w:szCs w:val="18"/>
        </w:rPr>
        <w:t>.23-39.</w:t>
      </w:r>
    </w:p>
  </w:footnote>
  <w:footnote w:id="1203">
    <w:p w14:paraId="3DEEED7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姜永琳等:《萨义德的&lt;东方主义&gt;及</w:t>
      </w:r>
      <w:r>
        <w:rPr>
          <w:rFonts w:hint="eastAsia" w:ascii="宋体" w:hAnsi="宋体" w:eastAsia="宋体" w:cs="宋体"/>
          <w:sz w:val="18"/>
          <w:szCs w:val="18"/>
        </w:rPr>
        <w:t>其当代价值》,《史学理论研究》2019年第</w:t>
      </w:r>
      <w:r>
        <w:rPr>
          <w:rFonts w:hint="eastAsia" w:ascii="宋体" w:hAnsi="宋体" w:eastAsia="宋体" w:cs="宋体"/>
          <w:position w:val="-1"/>
          <w:sz w:val="18"/>
          <w:szCs w:val="18"/>
        </w:rPr>
        <w:t>2</w:t>
      </w:r>
      <w:r>
        <w:rPr>
          <w:rFonts w:hint="eastAsia" w:ascii="宋体" w:hAnsi="宋体" w:eastAsia="宋体" w:cs="宋体"/>
          <w:sz w:val="18"/>
          <w:szCs w:val="18"/>
        </w:rPr>
        <w:t>期。</w:t>
      </w:r>
    </w:p>
  </w:footnote>
  <w:footnote w:id="1204">
    <w:p w14:paraId="6D5A84F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Lajevardi</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N.</w:t>
      </w:r>
      <w:r>
        <w:rPr>
          <w:rFonts w:hint="eastAsia" w:ascii="宋体" w:hAnsi="宋体" w:eastAsia="宋体" w:cs="宋体"/>
          <w:spacing w:val="3"/>
          <w:position w:val="2"/>
          <w:sz w:val="18"/>
          <w:szCs w:val="18"/>
        </w:rPr>
        <w:t>,</w:t>
      </w:r>
      <w:r>
        <w:rPr>
          <w:rFonts w:hint="eastAsia" w:ascii="宋体" w:hAnsi="宋体" w:eastAsia="宋体" w:cs="宋体"/>
          <w:sz w:val="18"/>
          <w:szCs w:val="18"/>
        </w:rPr>
        <w:t>Oskooii</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K.</w:t>
      </w:r>
      <w:r>
        <w:rPr>
          <w:rFonts w:hint="eastAsia" w:ascii="宋体" w:hAnsi="宋体" w:eastAsia="宋体" w:cs="宋体"/>
          <w:spacing w:val="3"/>
          <w:position w:val="2"/>
          <w:sz w:val="18"/>
          <w:szCs w:val="18"/>
        </w:rPr>
        <w:t>,</w:t>
      </w:r>
      <w:r>
        <w:rPr>
          <w:rFonts w:hint="eastAsia" w:ascii="宋体" w:hAnsi="宋体" w:eastAsia="宋体" w:cs="宋体"/>
          <w:sz w:val="18"/>
          <w:szCs w:val="18"/>
        </w:rPr>
        <w:t>Saleem</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M.</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&amp;</w:t>
      </w:r>
      <w:r>
        <w:rPr>
          <w:rFonts w:hint="eastAsia" w:ascii="宋体" w:hAnsi="宋体" w:eastAsia="宋体" w:cs="宋体"/>
          <w:sz w:val="18"/>
          <w:szCs w:val="18"/>
        </w:rPr>
        <w:t>Docherty</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M</w:t>
      </w:r>
      <w:r>
        <w:rPr>
          <w:rFonts w:hint="eastAsia" w:ascii="宋体" w:hAnsi="宋体" w:eastAsia="宋体" w:cs="宋体"/>
          <w:spacing w:val="2"/>
          <w:sz w:val="18"/>
          <w:szCs w:val="18"/>
        </w:rPr>
        <w:t>.</w:t>
      </w:r>
      <w:r>
        <w:rPr>
          <w:rFonts w:hint="eastAsia" w:ascii="宋体" w:hAnsi="宋体" w:eastAsia="宋体" w:cs="宋体"/>
          <w:spacing w:val="2"/>
          <w:position w:val="2"/>
          <w:sz w:val="18"/>
          <w:szCs w:val="18"/>
        </w:rPr>
        <w:t>,</w:t>
      </w:r>
      <w:r>
        <w:rPr>
          <w:rFonts w:hint="eastAsia" w:ascii="宋体" w:hAnsi="宋体" w:eastAsia="宋体" w:cs="宋体"/>
          <w:sz w:val="18"/>
          <w:szCs w:val="18"/>
        </w:rPr>
        <w:t>IntheshadowofSeptember</w:t>
      </w:r>
      <w:r>
        <w:rPr>
          <w:rFonts w:hint="eastAsia" w:ascii="宋体" w:hAnsi="宋体" w:eastAsia="宋体" w:cs="宋体"/>
          <w:spacing w:val="2"/>
          <w:sz w:val="18"/>
          <w:szCs w:val="18"/>
        </w:rPr>
        <w:t>11</w:t>
      </w:r>
      <w:r>
        <w:rPr>
          <w:rFonts w:hint="eastAsia" w:ascii="宋体" w:hAnsi="宋体" w:eastAsia="宋体" w:cs="宋体"/>
          <w:spacing w:val="2"/>
          <w:position w:val="2"/>
          <w:sz w:val="18"/>
          <w:szCs w:val="18"/>
        </w:rPr>
        <w:t>:</w:t>
      </w:r>
      <w:r>
        <w:rPr>
          <w:rFonts w:hint="eastAsia" w:ascii="宋体" w:hAnsi="宋体" w:eastAsia="宋体" w:cs="宋体"/>
          <w:spacing w:val="4"/>
          <w:sz w:val="18"/>
          <w:szCs w:val="18"/>
        </w:rPr>
        <w:t>Therootsandramificationsofanti-MuslimattitudesintheUnitedStates</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AdvancesinPoliticalPsy-</w:t>
      </w:r>
      <w:r>
        <w:rPr>
          <w:rFonts w:hint="eastAsia" w:ascii="宋体" w:hAnsi="宋体" w:eastAsia="宋体" w:cs="宋体"/>
          <w:sz w:val="18"/>
          <w:szCs w:val="18"/>
        </w:rPr>
        <w:t>chology</w:t>
      </w:r>
      <w:r>
        <w:rPr>
          <w:rFonts w:hint="eastAsia" w:ascii="宋体" w:hAnsi="宋体" w:eastAsia="宋体" w:cs="宋体"/>
          <w:spacing w:val="6"/>
          <w:sz w:val="18"/>
          <w:szCs w:val="18"/>
        </w:rPr>
        <w:t>,2024</w:t>
      </w:r>
      <w:r>
        <w:rPr>
          <w:rFonts w:hint="eastAsia" w:ascii="宋体" w:hAnsi="宋体" w:eastAsia="宋体" w:cs="宋体"/>
          <w:spacing w:val="6"/>
          <w:position w:val="2"/>
          <w:sz w:val="18"/>
          <w:szCs w:val="18"/>
        </w:rPr>
        <w:t>,</w:t>
      </w:r>
      <w:r>
        <w:rPr>
          <w:rFonts w:hint="eastAsia" w:ascii="宋体" w:hAnsi="宋体" w:eastAsia="宋体" w:cs="宋体"/>
          <w:sz w:val="18"/>
          <w:szCs w:val="18"/>
        </w:rPr>
        <w:t>Vol</w:t>
      </w:r>
      <w:r>
        <w:rPr>
          <w:rFonts w:hint="eastAsia" w:ascii="宋体" w:hAnsi="宋体" w:eastAsia="宋体" w:cs="宋体"/>
          <w:spacing w:val="6"/>
          <w:sz w:val="18"/>
          <w:szCs w:val="18"/>
        </w:rPr>
        <w:t>.45</w:t>
      </w:r>
      <w:r>
        <w:rPr>
          <w:rFonts w:hint="eastAsia" w:ascii="宋体" w:hAnsi="宋体" w:eastAsia="宋体" w:cs="宋体"/>
          <w:spacing w:val="6"/>
          <w:position w:val="2"/>
          <w:sz w:val="18"/>
          <w:szCs w:val="18"/>
        </w:rPr>
        <w:t>,</w:t>
      </w:r>
      <w:r>
        <w:rPr>
          <w:rFonts w:hint="eastAsia" w:ascii="宋体" w:hAnsi="宋体" w:eastAsia="宋体" w:cs="宋体"/>
          <w:sz w:val="18"/>
          <w:szCs w:val="18"/>
        </w:rPr>
        <w:t>Suppl</w:t>
      </w:r>
      <w:r>
        <w:rPr>
          <w:rFonts w:hint="eastAsia" w:ascii="宋体" w:hAnsi="宋体" w:eastAsia="宋体" w:cs="宋体"/>
          <w:spacing w:val="6"/>
          <w:sz w:val="18"/>
          <w:szCs w:val="18"/>
        </w:rPr>
        <w:t>.1,</w:t>
      </w:r>
      <w:r>
        <w:rPr>
          <w:rFonts w:hint="eastAsia" w:ascii="宋体" w:hAnsi="宋体" w:eastAsia="宋体" w:cs="宋体"/>
          <w:sz w:val="18"/>
          <w:szCs w:val="18"/>
        </w:rPr>
        <w:t>pp</w:t>
      </w:r>
      <w:r>
        <w:rPr>
          <w:rFonts w:hint="eastAsia" w:ascii="宋体" w:hAnsi="宋体" w:eastAsia="宋体" w:cs="宋体"/>
          <w:spacing w:val="6"/>
          <w:sz w:val="18"/>
          <w:szCs w:val="18"/>
        </w:rPr>
        <w:t>.87-118.</w:t>
      </w:r>
    </w:p>
  </w:footnote>
  <w:footnote w:id="1205">
    <w:p w14:paraId="70F9F38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Barder</w:t>
      </w:r>
      <w:r>
        <w:rPr>
          <w:rFonts w:hint="eastAsia" w:ascii="宋体" w:hAnsi="宋体" w:eastAsia="宋体" w:cs="宋体"/>
          <w:spacing w:val="13"/>
          <w:position w:val="2"/>
          <w:sz w:val="18"/>
          <w:szCs w:val="18"/>
        </w:rPr>
        <w:t>,</w:t>
      </w:r>
      <w:r>
        <w:rPr>
          <w:rFonts w:hint="eastAsia" w:ascii="宋体" w:hAnsi="宋体" w:eastAsia="宋体" w:cs="宋体"/>
          <w:sz w:val="18"/>
          <w:szCs w:val="18"/>
        </w:rPr>
        <w:t>AlexanderD</w:t>
      </w:r>
      <w:r>
        <w:rPr>
          <w:rFonts w:hint="eastAsia" w:ascii="宋体" w:hAnsi="宋体" w:eastAsia="宋体" w:cs="宋体"/>
          <w:spacing w:val="13"/>
          <w:sz w:val="18"/>
          <w:szCs w:val="18"/>
        </w:rPr>
        <w:t>.,“</w:t>
      </w:r>
      <w:r>
        <w:rPr>
          <w:rFonts w:hint="eastAsia" w:ascii="宋体" w:hAnsi="宋体" w:eastAsia="宋体" w:cs="宋体"/>
          <w:sz w:val="18"/>
          <w:szCs w:val="18"/>
        </w:rPr>
        <w:t>CivilizationalConflictasRaceWar</w:t>
      </w:r>
      <w:r>
        <w:rPr>
          <w:rFonts w:hint="eastAsia" w:ascii="宋体" w:hAnsi="宋体" w:eastAsia="宋体" w:cs="宋体"/>
          <w:spacing w:val="13"/>
          <w:position w:val="2"/>
          <w:sz w:val="18"/>
          <w:szCs w:val="18"/>
        </w:rPr>
        <w:t>:</w:t>
      </w:r>
      <w:r>
        <w:rPr>
          <w:rFonts w:hint="eastAsia" w:ascii="宋体" w:hAnsi="宋体" w:eastAsia="宋体" w:cs="宋体"/>
          <w:sz w:val="18"/>
          <w:szCs w:val="18"/>
        </w:rPr>
        <w:t>Fromthe</w:t>
      </w:r>
      <w:r>
        <w:rPr>
          <w:rFonts w:hint="eastAsia" w:ascii="宋体" w:hAnsi="宋体" w:eastAsia="宋体" w:cs="宋体"/>
          <w:spacing w:val="13"/>
          <w:sz w:val="18"/>
          <w:szCs w:val="18"/>
        </w:rPr>
        <w:t>1990</w:t>
      </w:r>
      <w:r>
        <w:rPr>
          <w:rFonts w:hint="eastAsia" w:ascii="宋体" w:hAnsi="宋体" w:eastAsia="宋体" w:cs="宋体"/>
          <w:sz w:val="18"/>
          <w:szCs w:val="18"/>
        </w:rPr>
        <w:t>stotheGlobalWar</w:t>
      </w:r>
      <w:r>
        <w:rPr>
          <w:rFonts w:hint="eastAsia" w:ascii="宋体" w:hAnsi="宋体" w:eastAsia="宋体" w:cs="宋体"/>
          <w:spacing w:val="5"/>
          <w:sz w:val="18"/>
          <w:szCs w:val="18"/>
        </w:rPr>
        <w:t>onTerror”,GlobalRaceWar</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InternationalPoliticsandRacialHierarchy</w:t>
      </w:r>
      <w:r>
        <w:rPr>
          <w:rFonts w:hint="eastAsia" w:ascii="宋体" w:hAnsi="宋体" w:eastAsia="宋体" w:cs="宋体"/>
          <w:spacing w:val="5"/>
          <w:position w:val="1"/>
          <w:sz w:val="18"/>
          <w:szCs w:val="18"/>
        </w:rPr>
        <w:t>(N</w:t>
      </w:r>
      <w:r>
        <w:rPr>
          <w:rFonts w:hint="eastAsia" w:ascii="宋体" w:hAnsi="宋体" w:eastAsia="宋体" w:cs="宋体"/>
          <w:spacing w:val="5"/>
          <w:sz w:val="18"/>
          <w:szCs w:val="18"/>
        </w:rPr>
        <w:t>ewYork</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w:t>
      </w:r>
      <w:r>
        <w:rPr>
          <w:rFonts w:hint="eastAsia" w:ascii="宋体" w:hAnsi="宋体" w:eastAsia="宋体" w:cs="宋体"/>
          <w:spacing w:val="4"/>
          <w:sz w:val="18"/>
          <w:szCs w:val="18"/>
        </w:rPr>
        <w:t>021</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online</w:t>
      </w:r>
      <w:r>
        <w:rPr>
          <w:rFonts w:hint="eastAsia" w:ascii="宋体" w:hAnsi="宋体" w:eastAsia="宋体" w:cs="宋体"/>
          <w:sz w:val="18"/>
          <w:szCs w:val="18"/>
        </w:rPr>
        <w:t>edn</w:t>
      </w:r>
      <w:r>
        <w:rPr>
          <w:rFonts w:hint="eastAsia" w:ascii="宋体" w:hAnsi="宋体" w:eastAsia="宋体" w:cs="宋体"/>
          <w:spacing w:val="1"/>
          <w:sz w:val="18"/>
          <w:szCs w:val="18"/>
        </w:rPr>
        <w:t>,</w:t>
      </w:r>
      <w:r>
        <w:rPr>
          <w:rFonts w:hint="eastAsia" w:ascii="宋体" w:hAnsi="宋体" w:eastAsia="宋体" w:cs="宋体"/>
          <w:sz w:val="18"/>
          <w:szCs w:val="18"/>
        </w:rPr>
        <w:t>OxfordAcademic</w:t>
      </w:r>
      <w:r>
        <w:rPr>
          <w:rFonts w:hint="eastAsia" w:ascii="宋体" w:hAnsi="宋体" w:eastAsia="宋体" w:cs="宋体"/>
          <w:spacing w:val="1"/>
          <w:sz w:val="18"/>
          <w:szCs w:val="18"/>
        </w:rPr>
        <w:t>,19</w:t>
      </w:r>
      <w:r>
        <w:rPr>
          <w:rFonts w:hint="eastAsia" w:ascii="宋体" w:hAnsi="宋体" w:eastAsia="宋体" w:cs="宋体"/>
          <w:sz w:val="18"/>
          <w:szCs w:val="18"/>
        </w:rPr>
        <w:t>Aug</w:t>
      </w:r>
      <w:r>
        <w:rPr>
          <w:rFonts w:hint="eastAsia" w:ascii="宋体" w:hAnsi="宋体" w:eastAsia="宋体" w:cs="宋体"/>
          <w:spacing w:val="1"/>
          <w:sz w:val="18"/>
          <w:szCs w:val="18"/>
        </w:rPr>
        <w:t>.2021),</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"https://doi.org/10.1093/oso/9780197535622.003.0009.Nov"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
          <w:sz w:val="18"/>
          <w:szCs w:val="18"/>
        </w:rPr>
        <w:t>://</w:t>
      </w:r>
      <w:r>
        <w:rPr>
          <w:rFonts w:hint="eastAsia" w:ascii="宋体" w:hAnsi="宋体" w:eastAsia="宋体" w:cs="宋体"/>
          <w:sz w:val="18"/>
          <w:szCs w:val="18"/>
        </w:rPr>
        <w:t>doi</w:t>
      </w:r>
      <w:r>
        <w:rPr>
          <w:rFonts w:hint="eastAsia" w:ascii="宋体" w:hAnsi="宋体" w:eastAsia="宋体" w:cs="宋体"/>
          <w:spacing w:val="1"/>
          <w:sz w:val="18"/>
          <w:szCs w:val="18"/>
        </w:rPr>
        <w:t>.</w:t>
      </w:r>
      <w:r>
        <w:rPr>
          <w:rFonts w:hint="eastAsia" w:ascii="宋体" w:hAnsi="宋体" w:eastAsia="宋体" w:cs="宋体"/>
          <w:sz w:val="18"/>
          <w:szCs w:val="18"/>
        </w:rPr>
        <w:t>org</w:t>
      </w:r>
      <w:r>
        <w:rPr>
          <w:rFonts w:hint="eastAsia" w:ascii="宋体" w:hAnsi="宋体" w:eastAsia="宋体" w:cs="宋体"/>
          <w:spacing w:val="1"/>
          <w:sz w:val="18"/>
          <w:szCs w:val="18"/>
        </w:rPr>
        <w:t>/10.1093/</w:t>
      </w:r>
      <w:r>
        <w:rPr>
          <w:rFonts w:hint="eastAsia" w:ascii="宋体" w:hAnsi="宋体" w:eastAsia="宋体" w:cs="宋体"/>
          <w:sz w:val="18"/>
          <w:szCs w:val="18"/>
        </w:rPr>
        <w:t>oso</w:t>
      </w:r>
      <w:r>
        <w:rPr>
          <w:rFonts w:hint="eastAsia" w:ascii="宋体" w:hAnsi="宋体" w:eastAsia="宋体" w:cs="宋体"/>
          <w:spacing w:val="1"/>
          <w:sz w:val="18"/>
          <w:szCs w:val="18"/>
        </w:rPr>
        <w:t>/9780197535622.0</w:t>
      </w:r>
      <w:r>
        <w:rPr>
          <w:rFonts w:hint="eastAsia" w:ascii="宋体" w:hAnsi="宋体" w:eastAsia="宋体" w:cs="宋体"/>
          <w:sz w:val="18"/>
          <w:szCs w:val="18"/>
        </w:rPr>
        <w:t>03.0009.Nov</w:t>
      </w:r>
      <w:r>
        <w:rPr>
          <w:rFonts w:hint="eastAsia" w:ascii="宋体" w:hAnsi="宋体" w:eastAsia="宋体" w:cs="宋体"/>
          <w:sz w:val="18"/>
          <w:szCs w:val="18"/>
        </w:rPr>
        <w:fldChar w:fldCharType="end"/>
      </w:r>
      <w:r>
        <w:rPr>
          <w:rFonts w:hint="eastAsia" w:ascii="宋体" w:hAnsi="宋体" w:eastAsia="宋体" w:cs="宋体"/>
          <w:sz w:val="18"/>
          <w:szCs w:val="18"/>
        </w:rPr>
        <w:t>.</w:t>
      </w:r>
      <w:r>
        <w:rPr>
          <w:rFonts w:hint="eastAsia" w:ascii="宋体" w:hAnsi="宋体" w:eastAsia="宋体" w:cs="宋体"/>
          <w:spacing w:val="2"/>
          <w:sz w:val="18"/>
          <w:szCs w:val="18"/>
        </w:rPr>
        <w:t>11</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2024.</w:t>
      </w:r>
    </w:p>
  </w:footnote>
  <w:footnote w:id="1206">
    <w:p w14:paraId="4DE2B18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“安全理论化”(也有人翻译为安全化)是由“哥本哈根学派”于</w:t>
      </w:r>
      <w:r>
        <w:rPr>
          <w:rFonts w:hint="eastAsia" w:ascii="宋体" w:hAnsi="宋体" w:eastAsia="宋体" w:cs="宋体"/>
          <w:spacing w:val="-1"/>
          <w:position w:val="-1"/>
          <w:sz w:val="18"/>
          <w:szCs w:val="18"/>
        </w:rPr>
        <w:t>20</w:t>
      </w:r>
      <w:r>
        <w:rPr>
          <w:rFonts w:hint="eastAsia" w:ascii="宋体" w:hAnsi="宋体" w:eastAsia="宋体" w:cs="宋体"/>
          <w:spacing w:val="-1"/>
          <w:sz w:val="18"/>
          <w:szCs w:val="18"/>
        </w:rPr>
        <w:t>世纪</w:t>
      </w:r>
      <w:r>
        <w:rPr>
          <w:rFonts w:hint="eastAsia" w:ascii="宋体" w:hAnsi="宋体" w:eastAsia="宋体" w:cs="宋体"/>
          <w:spacing w:val="-1"/>
          <w:position w:val="-1"/>
          <w:sz w:val="18"/>
          <w:szCs w:val="18"/>
        </w:rPr>
        <w:t>90</w:t>
      </w:r>
      <w:r>
        <w:rPr>
          <w:rFonts w:hint="eastAsia" w:ascii="宋体" w:hAnsi="宋体" w:eastAsia="宋体" w:cs="宋体"/>
          <w:spacing w:val="-1"/>
          <w:sz w:val="18"/>
          <w:szCs w:val="18"/>
        </w:rPr>
        <w:t>年代发明。参见</w:t>
      </w:r>
      <w:r>
        <w:rPr>
          <w:rFonts w:hint="eastAsia" w:ascii="宋体" w:hAnsi="宋体" w:eastAsia="宋体" w:cs="宋体"/>
          <w:spacing w:val="-1"/>
          <w:position w:val="-1"/>
          <w:sz w:val="18"/>
          <w:szCs w:val="18"/>
        </w:rPr>
        <w:t>Secu-</w:t>
      </w:r>
      <w:r>
        <w:rPr>
          <w:rFonts w:hint="eastAsia" w:ascii="宋体" w:hAnsi="宋体" w:eastAsia="宋体" w:cs="宋体"/>
          <w:spacing w:val="-5"/>
          <w:sz w:val="18"/>
          <w:szCs w:val="18"/>
        </w:rPr>
        <w:t>ritizationTheoryandtheCopenhagenSchool,</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"https://link.springer.com/chapter/10.1057/9781137307576_" </w:instrText>
      </w:r>
      <w:r>
        <w:rPr>
          <w:rFonts w:hint="eastAsia" w:ascii="宋体" w:hAnsi="宋体" w:eastAsia="宋体" w:cs="宋体"/>
          <w:sz w:val="18"/>
          <w:szCs w:val="18"/>
        </w:rPr>
        <w:fldChar w:fldCharType="separate"/>
      </w:r>
      <w:r>
        <w:rPr>
          <w:rFonts w:hint="eastAsia" w:ascii="宋体" w:hAnsi="宋体" w:eastAsia="宋体" w:cs="宋体"/>
          <w:spacing w:val="-5"/>
          <w:sz w:val="18"/>
          <w:szCs w:val="18"/>
        </w:rPr>
        <w:t>https://link.sp</w:t>
      </w:r>
      <w:r>
        <w:rPr>
          <w:rFonts w:hint="eastAsia" w:ascii="宋体" w:hAnsi="宋体" w:eastAsia="宋体" w:cs="宋体"/>
          <w:spacing w:val="-6"/>
          <w:sz w:val="18"/>
          <w:szCs w:val="18"/>
        </w:rPr>
        <w:t>ringer.com/chapter/10.1057/9781137307576_</w:t>
      </w:r>
      <w:r>
        <w:rPr>
          <w:rFonts w:hint="eastAsia" w:ascii="宋体" w:hAnsi="宋体" w:eastAsia="宋体" w:cs="宋体"/>
          <w:spacing w:val="-6"/>
          <w:sz w:val="18"/>
          <w:szCs w:val="18"/>
        </w:rPr>
        <w:fldChar w:fldCharType="end"/>
      </w:r>
      <w:r>
        <w:rPr>
          <w:rFonts w:hint="eastAsia" w:ascii="宋体" w:hAnsi="宋体" w:eastAsia="宋体" w:cs="宋体"/>
          <w:spacing w:val="-4"/>
          <w:sz w:val="18"/>
          <w:szCs w:val="18"/>
        </w:rPr>
        <w:t>2.Nov.15</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2024.</w:t>
      </w:r>
    </w:p>
  </w:footnote>
  <w:footnote w:id="1207">
    <w:p w14:paraId="4E405AD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JenniePasquarella</w:t>
      </w:r>
      <w:r>
        <w:rPr>
          <w:rFonts w:hint="eastAsia" w:ascii="宋体" w:hAnsi="宋体" w:eastAsia="宋体" w:cs="宋体"/>
          <w:spacing w:val="3"/>
          <w:sz w:val="18"/>
          <w:szCs w:val="18"/>
        </w:rPr>
        <w:t>,</w:t>
      </w:r>
      <w:r>
        <w:rPr>
          <w:rFonts w:hint="eastAsia" w:ascii="宋体" w:hAnsi="宋体" w:eastAsia="宋体" w:cs="宋体"/>
          <w:sz w:val="18"/>
          <w:szCs w:val="18"/>
        </w:rPr>
        <w:t>UnequalAccesstoCitizenshipforMuslims</w:t>
      </w:r>
      <w:r>
        <w:rPr>
          <w:rFonts w:hint="eastAsia" w:ascii="宋体" w:hAnsi="宋体" w:eastAsia="宋体" w:cs="宋体"/>
          <w:spacing w:val="3"/>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"https://www.aclu.org/"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3"/>
          <w:sz w:val="18"/>
          <w:szCs w:val="18"/>
        </w:rPr>
        <w:t>://</w:t>
      </w:r>
      <w:r>
        <w:rPr>
          <w:rFonts w:hint="eastAsia" w:ascii="宋体" w:hAnsi="宋体" w:eastAsia="宋体" w:cs="宋体"/>
          <w:sz w:val="18"/>
          <w:szCs w:val="18"/>
        </w:rPr>
        <w:t>www</w:t>
      </w:r>
      <w:r>
        <w:rPr>
          <w:rFonts w:hint="eastAsia" w:ascii="宋体" w:hAnsi="宋体" w:eastAsia="宋体" w:cs="宋体"/>
          <w:spacing w:val="3"/>
          <w:sz w:val="18"/>
          <w:szCs w:val="18"/>
        </w:rPr>
        <w:t>.</w:t>
      </w:r>
      <w:r>
        <w:rPr>
          <w:rFonts w:hint="eastAsia" w:ascii="宋体" w:hAnsi="宋体" w:eastAsia="宋体" w:cs="宋体"/>
          <w:sz w:val="18"/>
          <w:szCs w:val="18"/>
        </w:rPr>
        <w:t>aclu</w:t>
      </w:r>
      <w:r>
        <w:rPr>
          <w:rFonts w:hint="eastAsia" w:ascii="宋体" w:hAnsi="宋体" w:eastAsia="宋体" w:cs="宋体"/>
          <w:spacing w:val="3"/>
          <w:sz w:val="18"/>
          <w:szCs w:val="18"/>
        </w:rPr>
        <w:t>.</w:t>
      </w:r>
      <w:r>
        <w:rPr>
          <w:rFonts w:hint="eastAsia" w:ascii="宋体" w:hAnsi="宋体" w:eastAsia="宋体" w:cs="宋体"/>
          <w:sz w:val="18"/>
          <w:szCs w:val="18"/>
        </w:rPr>
        <w:t>org</w:t>
      </w:r>
      <w:r>
        <w:rPr>
          <w:rFonts w:hint="eastAsia" w:ascii="宋体" w:hAnsi="宋体" w:eastAsia="宋体" w:cs="宋体"/>
          <w:spacing w:val="3"/>
          <w:sz w:val="18"/>
          <w:szCs w:val="18"/>
        </w:rPr>
        <w:t>/</w:t>
      </w:r>
      <w:r>
        <w:rPr>
          <w:rFonts w:hint="eastAsia" w:ascii="宋体" w:hAnsi="宋体" w:eastAsia="宋体" w:cs="宋体"/>
          <w:spacing w:val="3"/>
          <w:sz w:val="18"/>
          <w:szCs w:val="18"/>
        </w:rPr>
        <w:fldChar w:fldCharType="end"/>
      </w:r>
      <w:r>
        <w:rPr>
          <w:rFonts w:hint="eastAsia" w:ascii="宋体" w:hAnsi="宋体" w:eastAsia="宋体" w:cs="宋体"/>
          <w:spacing w:val="-5"/>
          <w:sz w:val="18"/>
          <w:szCs w:val="18"/>
        </w:rPr>
        <w:t>news/national-security/unequal-access-citizenship-muslims.Nov.21</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2024.</w:t>
      </w:r>
    </w:p>
  </w:footnote>
  <w:footnote w:id="1208">
    <w:p w14:paraId="755AD8D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TerrorismintheEuro</w:t>
      </w:r>
      <w:r>
        <w:rPr>
          <w:rFonts w:hint="eastAsia" w:ascii="宋体" w:hAnsi="宋体" w:eastAsia="宋体" w:cs="宋体"/>
          <w:spacing w:val="2"/>
          <w:sz w:val="18"/>
          <w:szCs w:val="18"/>
        </w:rPr>
        <w:t>peanUnion</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StrategicAnalysisofRecentTrends</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PolicyResponses</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and</w:t>
      </w:r>
      <w:r>
        <w:rPr>
          <w:rFonts w:hint="eastAsia" w:ascii="宋体" w:hAnsi="宋体" w:eastAsia="宋体" w:cs="宋体"/>
          <w:spacing w:val="-3"/>
          <w:sz w:val="18"/>
          <w:szCs w:val="18"/>
        </w:rPr>
        <w:t>SocietalChallenges,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"https://www.faf.ae/home/2025/2/23/terrorism-in-the-european-union-strategic"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https://www.faf.ae/home/2025/2/23/terrorism-in-the-european-union-strateg</w:t>
      </w:r>
      <w:r>
        <w:rPr>
          <w:rFonts w:hint="eastAsia" w:ascii="宋体" w:hAnsi="宋体" w:eastAsia="宋体" w:cs="宋体"/>
          <w:spacing w:val="-4"/>
          <w:sz w:val="18"/>
          <w:szCs w:val="18"/>
        </w:rPr>
        <w:t>ic</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pacing w:val="-6"/>
          <w:sz w:val="18"/>
          <w:szCs w:val="18"/>
        </w:rPr>
        <w:t>analysis-of-recent-trends-policy-responses-and-societal-ch</w:t>
      </w:r>
      <w:r>
        <w:rPr>
          <w:rFonts w:hint="eastAsia" w:ascii="宋体" w:hAnsi="宋体" w:eastAsia="宋体" w:cs="宋体"/>
          <w:spacing w:val="-7"/>
          <w:sz w:val="18"/>
          <w:szCs w:val="18"/>
        </w:rPr>
        <w:t>allenges.Nov.11</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2024.</w:t>
      </w:r>
    </w:p>
  </w:footnote>
  <w:footnote w:id="1209">
    <w:p w14:paraId="6D42D68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position w:val="2"/>
          <w:sz w:val="18"/>
          <w:szCs w:val="18"/>
        </w:rPr>
        <w:t>PieterBevelander</w:t>
      </w:r>
      <w:r>
        <w:rPr>
          <w:rFonts w:hint="eastAsia" w:ascii="宋体" w:hAnsi="宋体" w:eastAsia="宋体" w:cs="宋体"/>
          <w:spacing w:val="6"/>
          <w:position w:val="4"/>
          <w:sz w:val="18"/>
          <w:szCs w:val="18"/>
        </w:rPr>
        <w:t>,</w:t>
      </w:r>
      <w:r>
        <w:rPr>
          <w:rFonts w:hint="eastAsia" w:ascii="宋体" w:hAnsi="宋体" w:eastAsia="宋体" w:cs="宋体"/>
          <w:spacing w:val="6"/>
          <w:position w:val="2"/>
          <w:sz w:val="18"/>
          <w:szCs w:val="18"/>
        </w:rPr>
        <w:t>TheTwilightofMulticu</w:t>
      </w:r>
      <w:r>
        <w:rPr>
          <w:rFonts w:hint="eastAsia" w:ascii="宋体" w:hAnsi="宋体" w:eastAsia="宋体" w:cs="宋体"/>
          <w:spacing w:val="5"/>
          <w:position w:val="2"/>
          <w:sz w:val="18"/>
          <w:szCs w:val="18"/>
        </w:rPr>
        <w:t>lturalism?FindingsfromacrossEurope</w:t>
      </w:r>
      <w:r>
        <w:rPr>
          <w:rFonts w:hint="eastAsia" w:ascii="宋体" w:hAnsi="宋体" w:eastAsia="宋体" w:cs="宋体"/>
          <w:spacing w:val="5"/>
          <w:position w:val="4"/>
          <w:sz w:val="18"/>
          <w:szCs w:val="18"/>
        </w:rPr>
        <w:t>,</w:t>
      </w:r>
      <w:r>
        <w:rPr>
          <w:rFonts w:hint="eastAsia" w:ascii="宋体" w:hAnsi="宋体" w:eastAsia="宋体" w:cs="宋体"/>
          <w:spacing w:val="5"/>
          <w:position w:val="2"/>
          <w:sz w:val="18"/>
          <w:szCs w:val="18"/>
        </w:rPr>
        <w:t>Edin-</w:t>
      </w:r>
      <w:r>
        <w:rPr>
          <w:rFonts w:hint="eastAsia" w:ascii="宋体" w:hAnsi="宋体" w:eastAsia="宋体" w:cs="宋体"/>
          <w:position w:val="4"/>
          <w:sz w:val="18"/>
          <w:szCs w:val="18"/>
        </w:rPr>
        <w:t>burgh</w:t>
      </w:r>
      <w:r>
        <w:rPr>
          <w:rFonts w:hint="eastAsia" w:ascii="宋体" w:hAnsi="宋体" w:eastAsia="宋体" w:cs="宋体"/>
          <w:spacing w:val="11"/>
          <w:position w:val="6"/>
          <w:sz w:val="18"/>
          <w:szCs w:val="18"/>
        </w:rPr>
        <w:t>:</w:t>
      </w:r>
      <w:r>
        <w:rPr>
          <w:rFonts w:hint="eastAsia" w:ascii="宋体" w:hAnsi="宋体" w:eastAsia="宋体" w:cs="宋体"/>
          <w:position w:val="4"/>
          <w:sz w:val="18"/>
          <w:szCs w:val="18"/>
        </w:rPr>
        <w:t>EdinburghUniversityPress</w:t>
      </w:r>
      <w:r>
        <w:rPr>
          <w:rFonts w:hint="eastAsia" w:ascii="宋体" w:hAnsi="宋体" w:eastAsia="宋体" w:cs="宋体"/>
          <w:spacing w:val="11"/>
          <w:position w:val="6"/>
          <w:sz w:val="18"/>
          <w:szCs w:val="18"/>
        </w:rPr>
        <w:t>,</w:t>
      </w:r>
      <w:r>
        <w:rPr>
          <w:rFonts w:hint="eastAsia" w:ascii="宋体" w:hAnsi="宋体" w:eastAsia="宋体" w:cs="宋体"/>
          <w:spacing w:val="11"/>
          <w:position w:val="4"/>
          <w:sz w:val="18"/>
          <w:szCs w:val="18"/>
        </w:rPr>
        <w:t>2013,</w:t>
      </w:r>
      <w:r>
        <w:rPr>
          <w:rFonts w:hint="eastAsia" w:ascii="宋体" w:hAnsi="宋体" w:eastAsia="宋体" w:cs="宋体"/>
          <w:position w:val="4"/>
          <w:sz w:val="18"/>
          <w:szCs w:val="18"/>
        </w:rPr>
        <w:t>pp</w:t>
      </w:r>
      <w:r>
        <w:rPr>
          <w:rFonts w:hint="eastAsia" w:ascii="宋体" w:hAnsi="宋体" w:eastAsia="宋体" w:cs="宋体"/>
          <w:spacing w:val="11"/>
          <w:position w:val="4"/>
          <w:sz w:val="18"/>
          <w:szCs w:val="18"/>
        </w:rPr>
        <w:t>.3-24.</w:t>
      </w:r>
    </w:p>
  </w:footnote>
  <w:footnote w:id="1210">
    <w:p w14:paraId="59EFBB1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JosephStiglitz</w:t>
      </w:r>
      <w:r>
        <w:rPr>
          <w:rFonts w:hint="eastAsia" w:ascii="宋体" w:hAnsi="宋体" w:eastAsia="宋体" w:cs="宋体"/>
          <w:spacing w:val="13"/>
          <w:sz w:val="18"/>
          <w:szCs w:val="18"/>
        </w:rPr>
        <w:t>,</w:t>
      </w:r>
      <w:r>
        <w:rPr>
          <w:rFonts w:hint="eastAsia" w:ascii="宋体" w:hAnsi="宋体" w:eastAsia="宋体" w:cs="宋体"/>
          <w:sz w:val="18"/>
          <w:szCs w:val="18"/>
        </w:rPr>
        <w:t>Ethics</w:t>
      </w:r>
      <w:r>
        <w:rPr>
          <w:rFonts w:hint="eastAsia" w:ascii="宋体" w:hAnsi="宋体" w:eastAsia="宋体" w:cs="宋体"/>
          <w:spacing w:val="13"/>
          <w:sz w:val="18"/>
          <w:szCs w:val="18"/>
        </w:rPr>
        <w:t>,</w:t>
      </w:r>
      <w:r>
        <w:rPr>
          <w:rFonts w:hint="eastAsia" w:ascii="宋体" w:hAnsi="宋体" w:eastAsia="宋体" w:cs="宋体"/>
          <w:sz w:val="18"/>
          <w:szCs w:val="18"/>
        </w:rPr>
        <w:t>MarketandGovernmentFailureandGlobalization</w:t>
      </w:r>
      <w:r>
        <w:rPr>
          <w:rFonts w:hint="eastAsia" w:ascii="宋体" w:hAnsi="宋体" w:eastAsia="宋体" w:cs="宋体"/>
          <w:spacing w:val="13"/>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"https://business"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3"/>
          <w:sz w:val="18"/>
          <w:szCs w:val="18"/>
        </w:rPr>
        <w:t>://</w:t>
      </w:r>
      <w:r>
        <w:rPr>
          <w:rFonts w:hint="eastAsia" w:ascii="宋体" w:hAnsi="宋体" w:eastAsia="宋体" w:cs="宋体"/>
          <w:sz w:val="18"/>
          <w:szCs w:val="18"/>
        </w:rPr>
        <w:t>business</w:t>
      </w:r>
      <w:r>
        <w:rPr>
          <w:rFonts w:hint="eastAsia" w:ascii="宋体" w:hAnsi="宋体" w:eastAsia="宋体" w:cs="宋体"/>
          <w:sz w:val="18"/>
          <w:szCs w:val="18"/>
        </w:rPr>
        <w:fldChar w:fldCharType="end"/>
      </w:r>
      <w:r>
        <w:rPr>
          <w:rFonts w:hint="eastAsia" w:ascii="宋体" w:hAnsi="宋体" w:eastAsia="宋体" w:cs="宋体"/>
          <w:spacing w:val="13"/>
          <w:sz w:val="18"/>
          <w:szCs w:val="18"/>
        </w:rPr>
        <w:t>.</w:t>
      </w:r>
      <w:r>
        <w:rPr>
          <w:rFonts w:hint="eastAsia" w:ascii="宋体" w:hAnsi="宋体" w:eastAsia="宋体" w:cs="宋体"/>
          <w:spacing w:val="-3"/>
          <w:sz w:val="18"/>
          <w:szCs w:val="18"/>
        </w:rPr>
        <w:t>columbia.edu</w:t>
      </w:r>
      <w:r>
        <w:rPr>
          <w:rFonts w:hint="eastAsia" w:ascii="宋体" w:hAnsi="宋体" w:eastAsia="宋体" w:cs="宋体"/>
          <w:spacing w:val="-3"/>
          <w:position w:val="1"/>
          <w:sz w:val="18"/>
          <w:szCs w:val="18"/>
        </w:rPr>
        <w:t>/f</w:t>
      </w:r>
      <w:r>
        <w:rPr>
          <w:rFonts w:hint="eastAsia" w:ascii="宋体" w:hAnsi="宋体" w:eastAsia="宋体" w:cs="宋体"/>
          <w:spacing w:val="-3"/>
          <w:sz w:val="18"/>
          <w:szCs w:val="18"/>
        </w:rPr>
        <w:t>aculty/researc</w:t>
      </w:r>
      <w:r>
        <w:rPr>
          <w:rFonts w:hint="eastAsia" w:ascii="宋体" w:hAnsi="宋体" w:eastAsia="宋体" w:cs="宋体"/>
          <w:spacing w:val="-3"/>
          <w:position w:val="1"/>
          <w:sz w:val="18"/>
          <w:szCs w:val="18"/>
        </w:rPr>
        <w:t>h/</w:t>
      </w:r>
      <w:r>
        <w:rPr>
          <w:rFonts w:hint="eastAsia" w:ascii="宋体" w:hAnsi="宋体" w:eastAsia="宋体" w:cs="宋体"/>
          <w:spacing w:val="-3"/>
          <w:sz w:val="18"/>
          <w:szCs w:val="18"/>
        </w:rPr>
        <w:t>ethics-market-and-government-failure-and-gl</w:t>
      </w:r>
      <w:r>
        <w:rPr>
          <w:rFonts w:hint="eastAsia" w:ascii="宋体" w:hAnsi="宋体" w:eastAsia="宋体" w:cs="宋体"/>
          <w:spacing w:val="-4"/>
          <w:sz w:val="18"/>
          <w:szCs w:val="18"/>
        </w:rPr>
        <w:t>obalization.January3</w:t>
      </w:r>
      <w:r>
        <w:rPr>
          <w:rFonts w:hint="eastAsia" w:ascii="宋体" w:hAnsi="宋体" w:eastAsia="宋体" w:cs="宋体"/>
          <w:spacing w:val="-4"/>
          <w:position w:val="2"/>
          <w:sz w:val="18"/>
          <w:szCs w:val="18"/>
        </w:rPr>
        <w:t>,</w:t>
      </w:r>
      <w:r>
        <w:rPr>
          <w:rFonts w:hint="eastAsia" w:ascii="宋体" w:hAnsi="宋体" w:eastAsia="宋体" w:cs="宋体"/>
          <w:spacing w:val="-2"/>
          <w:sz w:val="18"/>
          <w:szCs w:val="18"/>
        </w:rPr>
        <w:t>2025.</w:t>
      </w:r>
    </w:p>
  </w:footnote>
  <w:footnote w:id="1211">
    <w:p w14:paraId="3FD7A73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FredElbel,CulturalMarxism,PoliticalCorrectness,andCriticalTheory,</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"https://www.cair" </w:instrText>
      </w:r>
      <w:r>
        <w:rPr>
          <w:rFonts w:hint="eastAsia" w:ascii="宋体" w:hAnsi="宋体" w:eastAsia="宋体" w:cs="宋体"/>
          <w:sz w:val="18"/>
          <w:szCs w:val="18"/>
        </w:rPr>
        <w:fldChar w:fldCharType="separate"/>
      </w:r>
      <w:r>
        <w:rPr>
          <w:rFonts w:hint="eastAsia" w:ascii="宋体" w:hAnsi="宋体" w:eastAsia="宋体" w:cs="宋体"/>
          <w:spacing w:val="4"/>
          <w:sz w:val="18"/>
          <w:szCs w:val="18"/>
        </w:rPr>
        <w:t>https://www.cair</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pacing w:val="-1"/>
          <w:sz w:val="18"/>
          <w:szCs w:val="18"/>
        </w:rPr>
        <w:t>co.org/book/export</w:t>
      </w:r>
      <w:r>
        <w:rPr>
          <w:rFonts w:hint="eastAsia" w:ascii="宋体" w:hAnsi="宋体" w:eastAsia="宋体" w:cs="宋体"/>
          <w:spacing w:val="-2"/>
          <w:sz w:val="18"/>
          <w:szCs w:val="18"/>
        </w:rPr>
        <w:t>/html/4238.January3</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2025.</w:t>
      </w:r>
    </w:p>
  </w:footnote>
  <w:footnote w:id="1212">
    <w:p w14:paraId="494AD0E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ScottJ</w:t>
      </w:r>
      <w:r>
        <w:rPr>
          <w:rFonts w:hint="eastAsia" w:ascii="宋体" w:hAnsi="宋体" w:eastAsia="宋体" w:cs="宋体"/>
          <w:spacing w:val="5"/>
          <w:sz w:val="18"/>
          <w:szCs w:val="18"/>
        </w:rPr>
        <w:t>.E.</w:t>
      </w:r>
      <w:r>
        <w:rPr>
          <w:rFonts w:hint="eastAsia" w:ascii="宋体" w:hAnsi="宋体" w:eastAsia="宋体" w:cs="宋体"/>
          <w:spacing w:val="5"/>
          <w:position w:val="2"/>
          <w:sz w:val="18"/>
          <w:szCs w:val="18"/>
        </w:rPr>
        <w:t>,</w:t>
      </w:r>
      <w:r>
        <w:rPr>
          <w:rFonts w:hint="eastAsia" w:ascii="宋体" w:hAnsi="宋体" w:eastAsia="宋体" w:cs="宋体"/>
          <w:sz w:val="18"/>
          <w:szCs w:val="18"/>
        </w:rPr>
        <w:t>BarlettC</w:t>
      </w:r>
      <w:r>
        <w:rPr>
          <w:rFonts w:hint="eastAsia" w:ascii="宋体" w:hAnsi="宋体" w:eastAsia="宋体" w:cs="宋体"/>
          <w:spacing w:val="5"/>
          <w:sz w:val="18"/>
          <w:szCs w:val="18"/>
        </w:rPr>
        <w:t>.P.</w:t>
      </w:r>
      <w:r>
        <w:rPr>
          <w:rFonts w:hint="eastAsia" w:ascii="宋体" w:hAnsi="宋体" w:eastAsia="宋体" w:cs="宋体"/>
          <w:spacing w:val="5"/>
          <w:position w:val="2"/>
          <w:sz w:val="18"/>
          <w:szCs w:val="18"/>
        </w:rPr>
        <w:t>,</w:t>
      </w:r>
      <w:r>
        <w:rPr>
          <w:rFonts w:hint="eastAsia" w:ascii="宋体" w:hAnsi="宋体" w:eastAsia="宋体" w:cs="宋体"/>
          <w:sz w:val="18"/>
          <w:szCs w:val="18"/>
        </w:rPr>
        <w:t>UnderstandingCyber</w:t>
      </w:r>
      <w:r>
        <w:rPr>
          <w:rFonts w:hint="eastAsia" w:ascii="宋体" w:hAnsi="宋体" w:eastAsia="宋体" w:cs="宋体"/>
          <w:spacing w:val="5"/>
          <w:sz w:val="18"/>
          <w:szCs w:val="18"/>
        </w:rPr>
        <w:t>-</w:t>
      </w:r>
      <w:r>
        <w:rPr>
          <w:rFonts w:hint="eastAsia" w:ascii="宋体" w:hAnsi="宋体" w:eastAsia="宋体" w:cs="宋体"/>
          <w:sz w:val="18"/>
          <w:szCs w:val="18"/>
        </w:rPr>
        <w:t>RacismPerpetrationwithintheBroaderCon</w:t>
      </w:r>
      <w:r>
        <w:rPr>
          <w:rFonts w:hint="eastAsia" w:ascii="宋体" w:hAnsi="宋体" w:eastAsia="宋体" w:cs="宋体"/>
          <w:spacing w:val="5"/>
          <w:sz w:val="18"/>
          <w:szCs w:val="18"/>
        </w:rPr>
        <w:t>-</w:t>
      </w:r>
      <w:r>
        <w:rPr>
          <w:rFonts w:hint="eastAsia" w:ascii="宋体" w:hAnsi="宋体" w:eastAsia="宋体" w:cs="宋体"/>
          <w:sz w:val="18"/>
          <w:szCs w:val="18"/>
        </w:rPr>
        <w:t>textofCyberbullyingTheory</w:t>
      </w:r>
      <w:r>
        <w:rPr>
          <w:rFonts w:hint="eastAsia" w:ascii="宋体" w:hAnsi="宋体" w:eastAsia="宋体" w:cs="宋体"/>
          <w:spacing w:val="8"/>
          <w:position w:val="2"/>
          <w:sz w:val="18"/>
          <w:szCs w:val="18"/>
        </w:rPr>
        <w:t>:</w:t>
      </w:r>
      <w:r>
        <w:rPr>
          <w:rFonts w:hint="eastAsia" w:ascii="宋体" w:hAnsi="宋体" w:eastAsia="宋体" w:cs="宋体"/>
          <w:sz w:val="18"/>
          <w:szCs w:val="18"/>
        </w:rPr>
        <w:t>ATheoreticalIntegration</w:t>
      </w:r>
      <w:r>
        <w:rPr>
          <w:rFonts w:hint="eastAsia" w:ascii="宋体" w:hAnsi="宋体" w:eastAsia="宋体" w:cs="宋体"/>
          <w:spacing w:val="8"/>
          <w:sz w:val="18"/>
          <w:szCs w:val="18"/>
        </w:rPr>
        <w:t>.</w:t>
      </w:r>
      <w:r>
        <w:rPr>
          <w:rFonts w:hint="eastAsia" w:ascii="宋体" w:hAnsi="宋体" w:eastAsia="宋体" w:cs="宋体"/>
          <w:sz w:val="18"/>
          <w:szCs w:val="18"/>
        </w:rPr>
        <w:t>Children</w:t>
      </w:r>
      <w:r>
        <w:rPr>
          <w:rFonts w:hint="eastAsia" w:ascii="宋体" w:hAnsi="宋体" w:eastAsia="宋体" w:cs="宋体"/>
          <w:spacing w:val="8"/>
          <w:sz w:val="18"/>
          <w:szCs w:val="18"/>
        </w:rPr>
        <w:t>(</w:t>
      </w:r>
      <w:r>
        <w:rPr>
          <w:rFonts w:hint="eastAsia" w:ascii="宋体" w:hAnsi="宋体" w:eastAsia="宋体" w:cs="宋体"/>
          <w:sz w:val="18"/>
          <w:szCs w:val="18"/>
        </w:rPr>
        <w:t>Base</w:t>
      </w:r>
      <w:r>
        <w:rPr>
          <w:rFonts w:hint="eastAsia" w:ascii="宋体" w:hAnsi="宋体" w:eastAsia="宋体" w:cs="宋体"/>
          <w:position w:val="1"/>
          <w:sz w:val="18"/>
          <w:szCs w:val="18"/>
        </w:rPr>
        <w:t>l</w:t>
      </w:r>
      <w:r>
        <w:rPr>
          <w:rFonts w:hint="eastAsia" w:ascii="宋体" w:hAnsi="宋体" w:eastAsia="宋体" w:cs="宋体"/>
          <w:spacing w:val="8"/>
          <w:position w:val="1"/>
          <w:sz w:val="18"/>
          <w:szCs w:val="18"/>
        </w:rPr>
        <w:t>)</w:t>
      </w:r>
      <w:r>
        <w:rPr>
          <w:rFonts w:hint="eastAsia" w:ascii="宋体" w:hAnsi="宋体" w:eastAsia="宋体" w:cs="宋体"/>
          <w:spacing w:val="8"/>
          <w:sz w:val="18"/>
          <w:szCs w:val="18"/>
        </w:rPr>
        <w:t>.2023</w:t>
      </w:r>
      <w:r>
        <w:rPr>
          <w:rFonts w:hint="eastAsia" w:ascii="宋体" w:hAnsi="宋体" w:eastAsia="宋体" w:cs="宋体"/>
          <w:sz w:val="18"/>
          <w:szCs w:val="18"/>
        </w:rPr>
        <w:t>Jul</w:t>
      </w:r>
      <w:r>
        <w:rPr>
          <w:rFonts w:hint="eastAsia" w:ascii="宋体" w:hAnsi="宋体" w:eastAsia="宋体" w:cs="宋体"/>
          <w:spacing w:val="8"/>
          <w:sz w:val="18"/>
          <w:szCs w:val="18"/>
        </w:rPr>
        <w:t>1</w:t>
      </w:r>
      <w:r>
        <w:rPr>
          <w:rFonts w:hint="eastAsia" w:ascii="宋体" w:hAnsi="宋体" w:eastAsia="宋体" w:cs="宋体"/>
          <w:spacing w:val="8"/>
          <w:position w:val="2"/>
          <w:sz w:val="18"/>
          <w:szCs w:val="18"/>
        </w:rPr>
        <w:t>;</w:t>
      </w:r>
      <w:r>
        <w:rPr>
          <w:rFonts w:hint="eastAsia" w:ascii="宋体" w:hAnsi="宋体" w:eastAsia="宋体" w:cs="宋体"/>
          <w:spacing w:val="8"/>
          <w:position w:val="1"/>
          <w:sz w:val="18"/>
          <w:szCs w:val="18"/>
        </w:rPr>
        <w:t>10(7)</w:t>
      </w:r>
      <w:r>
        <w:rPr>
          <w:rFonts w:hint="eastAsia" w:ascii="宋体" w:hAnsi="宋体" w:eastAsia="宋体" w:cs="宋体"/>
          <w:spacing w:val="8"/>
          <w:position w:val="2"/>
          <w:sz w:val="18"/>
          <w:szCs w:val="18"/>
        </w:rPr>
        <w:t>:</w:t>
      </w:r>
      <w:r>
        <w:rPr>
          <w:rFonts w:hint="eastAsia" w:ascii="宋体" w:hAnsi="宋体" w:eastAsia="宋体" w:cs="宋体"/>
          <w:spacing w:val="8"/>
          <w:sz w:val="18"/>
          <w:szCs w:val="18"/>
        </w:rPr>
        <w:t>115</w:t>
      </w:r>
      <w:r>
        <w:rPr>
          <w:rFonts w:hint="eastAsia" w:ascii="宋体" w:hAnsi="宋体" w:eastAsia="宋体" w:cs="宋体"/>
          <w:spacing w:val="7"/>
          <w:sz w:val="18"/>
          <w:szCs w:val="18"/>
        </w:rPr>
        <w:t>6.</w:t>
      </w:r>
    </w:p>
  </w:footnote>
  <w:footnote w:id="1213">
    <w:p w14:paraId="2EFC218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李新廷:《欧美算法种族主义的兴起:表征、影响与趋势》,《国外理论动态》2025年第</w:t>
      </w:r>
      <w:r>
        <w:rPr>
          <w:rFonts w:hint="eastAsia" w:ascii="宋体" w:hAnsi="宋体" w:eastAsia="宋体" w:cs="宋体"/>
          <w:spacing w:val="1"/>
          <w:position w:val="-1"/>
          <w:sz w:val="18"/>
          <w:szCs w:val="18"/>
        </w:rPr>
        <w:t>1</w:t>
      </w:r>
      <w:r>
        <w:rPr>
          <w:rFonts w:hint="eastAsia" w:ascii="宋体" w:hAnsi="宋体" w:eastAsia="宋体" w:cs="宋体"/>
          <w:spacing w:val="1"/>
          <w:sz w:val="18"/>
          <w:szCs w:val="18"/>
        </w:rPr>
        <w:t>期。</w:t>
      </w:r>
    </w:p>
  </w:footnote>
  <w:footnote w:id="1214">
    <w:p w14:paraId="10C52EE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4"/>
          <w:sz w:val="18"/>
          <w:szCs w:val="18"/>
        </w:rPr>
        <w:t>张文木:《美国帝国主义是资本主义的没</w:t>
      </w:r>
      <w:r>
        <w:rPr>
          <w:rFonts w:hint="eastAsia" w:ascii="宋体" w:hAnsi="宋体" w:eastAsia="宋体" w:cs="宋体"/>
          <w:spacing w:val="13"/>
          <w:sz w:val="18"/>
          <w:szCs w:val="18"/>
        </w:rPr>
        <w:t>落阶段(三)</w:t>
      </w:r>
      <w:r>
        <w:rPr>
          <w:rFonts w:hint="eastAsia" w:ascii="宋体" w:hAnsi="宋体" w:eastAsia="宋体" w:cs="宋体"/>
          <w:b/>
          <w:bCs/>
          <w:spacing w:val="13"/>
          <w:sz w:val="18"/>
          <w:szCs w:val="18"/>
        </w:rPr>
        <w:t>—</w:t>
      </w:r>
      <w:r>
        <w:rPr>
          <w:rFonts w:hint="eastAsia" w:ascii="宋体" w:hAnsi="宋体" w:eastAsia="宋体" w:cs="宋体"/>
          <w:spacing w:val="13"/>
          <w:sz w:val="18"/>
          <w:szCs w:val="18"/>
        </w:rPr>
        <w:t>兼谈新冠肺炎全球流行对国际战略</w:t>
      </w:r>
      <w:r>
        <w:rPr>
          <w:rFonts w:hint="eastAsia" w:ascii="宋体" w:hAnsi="宋体" w:eastAsia="宋体" w:cs="宋体"/>
          <w:spacing w:val="-1"/>
          <w:sz w:val="18"/>
          <w:szCs w:val="18"/>
        </w:rPr>
        <w:t>格局的影响》,《世界社会主义研究》2021年第</w:t>
      </w:r>
      <w:r>
        <w:rPr>
          <w:rFonts w:hint="eastAsia" w:ascii="宋体" w:hAnsi="宋体" w:eastAsia="宋体" w:cs="宋体"/>
          <w:spacing w:val="-1"/>
          <w:position w:val="-1"/>
          <w:sz w:val="18"/>
          <w:szCs w:val="18"/>
        </w:rPr>
        <w:t>6</w:t>
      </w:r>
      <w:r>
        <w:rPr>
          <w:rFonts w:hint="eastAsia" w:ascii="宋体" w:hAnsi="宋体" w:eastAsia="宋体" w:cs="宋体"/>
          <w:spacing w:val="-1"/>
          <w:sz w:val="18"/>
          <w:szCs w:val="18"/>
        </w:rPr>
        <w:t>期。</w:t>
      </w:r>
    </w:p>
  </w:footnote>
  <w:footnote w:id="1215">
    <w:p w14:paraId="7726D23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宋丽丹:《关于经济危机下世界青年抗议浪潮</w:t>
      </w:r>
      <w:r>
        <w:rPr>
          <w:rFonts w:hint="eastAsia" w:ascii="宋体" w:hAnsi="宋体" w:eastAsia="宋体" w:cs="宋体"/>
          <w:spacing w:val="2"/>
          <w:sz w:val="18"/>
          <w:szCs w:val="18"/>
        </w:rPr>
        <w:t>的思考》,《马克思主义研究》2014年第</w:t>
      </w:r>
      <w:r>
        <w:rPr>
          <w:rFonts w:hint="eastAsia" w:ascii="宋体" w:hAnsi="宋体" w:eastAsia="宋体" w:cs="宋体"/>
          <w:spacing w:val="2"/>
          <w:position w:val="-1"/>
          <w:sz w:val="18"/>
          <w:szCs w:val="18"/>
        </w:rPr>
        <w:t>3</w:t>
      </w:r>
      <w:r>
        <w:rPr>
          <w:rFonts w:hint="eastAsia" w:ascii="宋体" w:hAnsi="宋体" w:eastAsia="宋体" w:cs="宋体"/>
          <w:spacing w:val="2"/>
          <w:sz w:val="18"/>
          <w:szCs w:val="18"/>
        </w:rPr>
        <w:t>期。</w:t>
      </w:r>
    </w:p>
  </w:footnote>
  <w:footnote w:id="1216">
    <w:p w14:paraId="15C031E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托马斯·皮凯蒂:《皮凯蒂评美国大选:多数选民希望恢复平等主义</w:t>
      </w:r>
      <w:r>
        <w:rPr>
          <w:rFonts w:hint="eastAsia" w:ascii="宋体" w:hAnsi="宋体" w:eastAsia="宋体" w:cs="宋体"/>
          <w:spacing w:val="9"/>
          <w:sz w:val="18"/>
          <w:szCs w:val="18"/>
        </w:rPr>
        <w:t>传统》,澎湃新闻,贾敏译,</w:t>
      </w:r>
      <w:r>
        <w:rPr>
          <w:rFonts w:hint="eastAsia" w:ascii="宋体" w:hAnsi="宋体" w:eastAsia="宋体" w:cs="宋体"/>
          <w:spacing w:val="1"/>
          <w:sz w:val="18"/>
          <w:szCs w:val="18"/>
        </w:rPr>
        <w:t>2016年2月18日,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"http://www.thepaper.cn/newsDetail_forward_1432800.2024" </w:instrText>
      </w:r>
      <w:r>
        <w:rPr>
          <w:rFonts w:hint="eastAsia" w:ascii="宋体" w:hAnsi="宋体" w:eastAsia="宋体" w:cs="宋体"/>
          <w:sz w:val="18"/>
          <w:szCs w:val="18"/>
        </w:rPr>
        <w:fldChar w:fldCharType="separate"/>
      </w:r>
      <w:r>
        <w:rPr>
          <w:rFonts w:hint="eastAsia" w:ascii="宋体" w:hAnsi="宋体" w:eastAsia="宋体" w:cs="宋体"/>
          <w:sz w:val="18"/>
          <w:szCs w:val="18"/>
        </w:rPr>
        <w:t>http</w:t>
      </w:r>
      <w:r>
        <w:rPr>
          <w:rFonts w:hint="eastAsia" w:ascii="宋体" w:hAnsi="宋体" w:eastAsia="宋体" w:cs="宋体"/>
          <w:spacing w:val="1"/>
          <w:sz w:val="18"/>
          <w:szCs w:val="18"/>
        </w:rPr>
        <w:t>://</w:t>
      </w:r>
      <w:r>
        <w:rPr>
          <w:rFonts w:hint="eastAsia" w:ascii="宋体" w:hAnsi="宋体" w:eastAsia="宋体" w:cs="宋体"/>
          <w:sz w:val="18"/>
          <w:szCs w:val="18"/>
        </w:rPr>
        <w:t>www</w:t>
      </w:r>
      <w:r>
        <w:rPr>
          <w:rFonts w:hint="eastAsia" w:ascii="宋体" w:hAnsi="宋体" w:eastAsia="宋体" w:cs="宋体"/>
          <w:spacing w:val="1"/>
          <w:sz w:val="18"/>
          <w:szCs w:val="18"/>
        </w:rPr>
        <w:t>.</w:t>
      </w:r>
      <w:r>
        <w:rPr>
          <w:rFonts w:hint="eastAsia" w:ascii="宋体" w:hAnsi="宋体" w:eastAsia="宋体" w:cs="宋体"/>
          <w:sz w:val="18"/>
          <w:szCs w:val="18"/>
        </w:rPr>
        <w:t>thepaper</w:t>
      </w:r>
      <w:r>
        <w:rPr>
          <w:rFonts w:hint="eastAsia" w:ascii="宋体" w:hAnsi="宋体" w:eastAsia="宋体" w:cs="宋体"/>
          <w:spacing w:val="1"/>
          <w:sz w:val="18"/>
          <w:szCs w:val="18"/>
        </w:rPr>
        <w:t>.</w:t>
      </w:r>
      <w:r>
        <w:rPr>
          <w:rFonts w:hint="eastAsia" w:ascii="宋体" w:hAnsi="宋体" w:eastAsia="宋体" w:cs="宋体"/>
          <w:sz w:val="18"/>
          <w:szCs w:val="18"/>
        </w:rPr>
        <w:t>cn</w:t>
      </w:r>
      <w:r>
        <w:rPr>
          <w:rFonts w:hint="eastAsia" w:ascii="宋体" w:hAnsi="宋体" w:eastAsia="宋体" w:cs="宋体"/>
          <w:spacing w:val="1"/>
          <w:sz w:val="18"/>
          <w:szCs w:val="18"/>
        </w:rPr>
        <w:t>/</w:t>
      </w:r>
      <w:r>
        <w:rPr>
          <w:rFonts w:hint="eastAsia" w:ascii="宋体" w:hAnsi="宋体" w:eastAsia="宋体" w:cs="宋体"/>
          <w:sz w:val="18"/>
          <w:szCs w:val="18"/>
        </w:rPr>
        <w:t>newsDetail</w:t>
      </w:r>
      <w:r>
        <w:rPr>
          <w:rFonts w:hint="eastAsia" w:ascii="宋体" w:hAnsi="宋体" w:eastAsia="宋体" w:cs="宋体"/>
          <w:spacing w:val="1"/>
          <w:sz w:val="18"/>
          <w:szCs w:val="18"/>
        </w:rPr>
        <w:t>_</w:t>
      </w:r>
      <w:r>
        <w:rPr>
          <w:rFonts w:hint="eastAsia" w:ascii="宋体" w:hAnsi="宋体" w:eastAsia="宋体" w:cs="宋体"/>
          <w:sz w:val="18"/>
          <w:szCs w:val="18"/>
        </w:rPr>
        <w:t>forward</w:t>
      </w:r>
      <w:r>
        <w:rPr>
          <w:rFonts w:hint="eastAsia" w:ascii="宋体" w:hAnsi="宋体" w:eastAsia="宋体" w:cs="宋体"/>
          <w:spacing w:val="1"/>
          <w:sz w:val="18"/>
          <w:szCs w:val="18"/>
        </w:rPr>
        <w:t>_1</w:t>
      </w:r>
      <w:r>
        <w:rPr>
          <w:rFonts w:hint="eastAsia" w:ascii="宋体" w:hAnsi="宋体" w:eastAsia="宋体" w:cs="宋体"/>
          <w:sz w:val="18"/>
          <w:szCs w:val="18"/>
        </w:rPr>
        <w:t>432800.2024</w:t>
      </w:r>
      <w:r>
        <w:rPr>
          <w:rFonts w:hint="eastAsia" w:ascii="宋体" w:hAnsi="宋体" w:eastAsia="宋体" w:cs="宋体"/>
          <w:sz w:val="18"/>
          <w:szCs w:val="18"/>
        </w:rPr>
        <w:fldChar w:fldCharType="end"/>
      </w:r>
      <w:r>
        <w:rPr>
          <w:rFonts w:hint="eastAsia" w:ascii="宋体" w:hAnsi="宋体" w:eastAsia="宋体" w:cs="宋体"/>
          <w:sz w:val="18"/>
          <w:szCs w:val="18"/>
        </w:rPr>
        <w:t>年12月11日。</w:t>
      </w:r>
    </w:p>
  </w:footnote>
  <w:footnote w:id="1217">
    <w:p w14:paraId="1D4849D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ArlocSherman</w:t>
      </w:r>
      <w:r>
        <w:rPr>
          <w:rFonts w:hint="eastAsia" w:ascii="宋体" w:hAnsi="宋体" w:eastAsia="宋体" w:cs="宋体"/>
          <w:spacing w:val="11"/>
          <w:position w:val="2"/>
          <w:sz w:val="18"/>
          <w:szCs w:val="18"/>
        </w:rPr>
        <w:t>,</w:t>
      </w:r>
      <w:r>
        <w:rPr>
          <w:rFonts w:hint="eastAsia" w:ascii="宋体" w:hAnsi="宋体" w:eastAsia="宋体" w:cs="宋体"/>
          <w:sz w:val="18"/>
          <w:szCs w:val="18"/>
        </w:rPr>
        <w:t>DaniloTrisi</w:t>
      </w:r>
      <w:r>
        <w:rPr>
          <w:rFonts w:hint="eastAsia" w:ascii="宋体" w:hAnsi="宋体" w:eastAsia="宋体" w:cs="宋体"/>
          <w:spacing w:val="11"/>
          <w:position w:val="2"/>
          <w:sz w:val="18"/>
          <w:szCs w:val="18"/>
        </w:rPr>
        <w:t>,</w:t>
      </w:r>
      <w:r>
        <w:rPr>
          <w:rFonts w:hint="eastAsia" w:ascii="宋体" w:hAnsi="宋体" w:eastAsia="宋体" w:cs="宋体"/>
          <w:sz w:val="18"/>
          <w:szCs w:val="18"/>
        </w:rPr>
        <w:t>andJosephineCureton</w:t>
      </w:r>
      <w:r>
        <w:rPr>
          <w:rFonts w:hint="eastAsia" w:ascii="宋体" w:hAnsi="宋体" w:eastAsia="宋体" w:cs="宋体"/>
          <w:spacing w:val="11"/>
          <w:position w:val="2"/>
          <w:sz w:val="18"/>
          <w:szCs w:val="18"/>
        </w:rPr>
        <w:t>,</w:t>
      </w:r>
      <w:r>
        <w:rPr>
          <w:rFonts w:hint="eastAsia" w:ascii="宋体" w:hAnsi="宋体" w:eastAsia="宋体" w:cs="宋体"/>
          <w:sz w:val="18"/>
          <w:szCs w:val="18"/>
        </w:rPr>
        <w:t>AGuidetoStatisticsonHistorical</w:t>
      </w:r>
      <w:r>
        <w:rPr>
          <w:rFonts w:hint="eastAsia" w:ascii="宋体" w:hAnsi="宋体" w:eastAsia="宋体" w:cs="宋体"/>
          <w:spacing w:val="-2"/>
          <w:sz w:val="18"/>
          <w:szCs w:val="18"/>
        </w:rPr>
        <w:t>TrendsinIncomeInequality,</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"https://www.cbpp.org/research/poverty-and-inequality/a-guide-to-sta"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https://www.cbpp.org/research/poverty-and-inequality/a-guide-to</w:t>
      </w:r>
      <w:r>
        <w:rPr>
          <w:rFonts w:hint="eastAsia" w:ascii="宋体" w:hAnsi="宋体" w:eastAsia="宋体" w:cs="宋体"/>
          <w:spacing w:val="-3"/>
          <w:sz w:val="18"/>
          <w:szCs w:val="18"/>
        </w:rPr>
        <w:t>-sta</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w:t>
      </w:r>
      <w:r>
        <w:rPr>
          <w:rFonts w:hint="eastAsia" w:ascii="宋体" w:hAnsi="宋体" w:eastAsia="宋体" w:cs="宋体"/>
          <w:spacing w:val="-4"/>
          <w:sz w:val="18"/>
          <w:szCs w:val="18"/>
        </w:rPr>
        <w:t>tistics-on-historical-trends-in-income-inequality_ftn38.February20</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2025.</w:t>
      </w:r>
    </w:p>
  </w:footnote>
  <w:footnote w:id="1218">
    <w:p w14:paraId="2241148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5"/>
          <w:sz w:val="18"/>
          <w:szCs w:val="18"/>
        </w:rPr>
        <w:t>BrianHughes</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CynthiaMiller-Idriss,UnitingforTotalCollapse</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TheJ</w:t>
      </w:r>
      <w:r>
        <w:rPr>
          <w:rFonts w:hint="eastAsia" w:ascii="宋体" w:hAnsi="宋体" w:eastAsia="宋体" w:cs="宋体"/>
          <w:spacing w:val="4"/>
          <w:sz w:val="18"/>
          <w:szCs w:val="18"/>
        </w:rPr>
        <w:t>anuary6BoosttoAc-</w:t>
      </w:r>
      <w:r>
        <w:rPr>
          <w:rFonts w:hint="eastAsia" w:ascii="宋体" w:hAnsi="宋体" w:eastAsia="宋体" w:cs="宋体"/>
          <w:sz w:val="18"/>
          <w:szCs w:val="18"/>
        </w:rPr>
        <w:t>celerationism</w:t>
      </w:r>
      <w:r>
        <w:rPr>
          <w:rFonts w:hint="eastAsia" w:ascii="宋体" w:hAnsi="宋体" w:eastAsia="宋体" w:cs="宋体"/>
          <w:spacing w:val="5"/>
          <w:sz w:val="18"/>
          <w:szCs w:val="18"/>
        </w:rPr>
        <w:t>,</w:t>
      </w:r>
      <w:r>
        <w:rPr>
          <w:rFonts w:hint="eastAsia" w:ascii="宋体" w:hAnsi="宋体" w:eastAsia="宋体" w:cs="宋体"/>
          <w:sz w:val="18"/>
          <w:szCs w:val="18"/>
        </w:rPr>
        <w:t>CombatingTerrorismCenter</w:t>
      </w:r>
      <w:r>
        <w:rPr>
          <w:rFonts w:hint="eastAsia" w:ascii="宋体" w:hAnsi="宋体" w:eastAsia="宋体" w:cs="宋体"/>
          <w:spacing w:val="5"/>
          <w:sz w:val="18"/>
          <w:szCs w:val="18"/>
        </w:rPr>
        <w:t>,2021</w:t>
      </w:r>
      <w:r>
        <w:rPr>
          <w:rFonts w:hint="eastAsia" w:ascii="宋体" w:hAnsi="宋体" w:eastAsia="宋体" w:cs="宋体"/>
          <w:spacing w:val="5"/>
          <w:position w:val="2"/>
          <w:sz w:val="18"/>
          <w:szCs w:val="18"/>
        </w:rPr>
        <w:t>,</w:t>
      </w:r>
      <w:r>
        <w:rPr>
          <w:rFonts w:hint="eastAsia" w:ascii="宋体" w:hAnsi="宋体" w:eastAsia="宋体" w:cs="宋体"/>
          <w:sz w:val="18"/>
          <w:szCs w:val="18"/>
        </w:rPr>
        <w:t>Vol</w:t>
      </w:r>
      <w:r>
        <w:rPr>
          <w:rFonts w:hint="eastAsia" w:ascii="宋体" w:hAnsi="宋体" w:eastAsia="宋体" w:cs="宋体"/>
          <w:spacing w:val="5"/>
          <w:sz w:val="18"/>
          <w:szCs w:val="18"/>
        </w:rPr>
        <w:t>.14</w:t>
      </w:r>
      <w:r>
        <w:rPr>
          <w:rFonts w:hint="eastAsia" w:ascii="宋体" w:hAnsi="宋体" w:eastAsia="宋体" w:cs="宋体"/>
          <w:spacing w:val="5"/>
          <w:position w:val="2"/>
          <w:sz w:val="18"/>
          <w:szCs w:val="18"/>
        </w:rPr>
        <w:t>,</w:t>
      </w:r>
      <w:r>
        <w:rPr>
          <w:rFonts w:hint="eastAsia" w:ascii="宋体" w:hAnsi="宋体" w:eastAsia="宋体" w:cs="宋体"/>
          <w:sz w:val="18"/>
          <w:szCs w:val="18"/>
        </w:rPr>
        <w:t>Issue</w:t>
      </w:r>
      <w:r>
        <w:rPr>
          <w:rFonts w:hint="eastAsia" w:ascii="宋体" w:hAnsi="宋体" w:eastAsia="宋体" w:cs="宋体"/>
          <w:spacing w:val="5"/>
          <w:sz w:val="18"/>
          <w:szCs w:val="18"/>
        </w:rPr>
        <w:t>4.</w:t>
      </w:r>
    </w:p>
  </w:footnote>
  <w:footnote w:id="1219">
    <w:p w14:paraId="70FE83E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TrumpSupportersStormCapitol</w:t>
      </w:r>
      <w:r>
        <w:rPr>
          <w:rFonts w:hint="eastAsia" w:ascii="宋体" w:hAnsi="宋体" w:eastAsia="宋体" w:cs="宋体"/>
          <w:spacing w:val="13"/>
          <w:sz w:val="18"/>
          <w:szCs w:val="18"/>
        </w:rPr>
        <w:t>;</w:t>
      </w:r>
      <w:r>
        <w:rPr>
          <w:rFonts w:hint="eastAsia" w:ascii="宋体" w:hAnsi="宋体" w:eastAsia="宋体" w:cs="宋体"/>
          <w:sz w:val="18"/>
          <w:szCs w:val="18"/>
        </w:rPr>
        <w:t>DCNationalGuardActivated</w:t>
      </w:r>
      <w:r>
        <w:rPr>
          <w:rFonts w:hint="eastAsia" w:ascii="宋体" w:hAnsi="宋体" w:eastAsia="宋体" w:cs="宋体"/>
          <w:spacing w:val="13"/>
          <w:sz w:val="18"/>
          <w:szCs w:val="18"/>
        </w:rPr>
        <w:t>;</w:t>
      </w:r>
      <w:r>
        <w:rPr>
          <w:rFonts w:hint="eastAsia" w:ascii="宋体" w:hAnsi="宋体" w:eastAsia="宋体" w:cs="宋体"/>
          <w:sz w:val="18"/>
          <w:szCs w:val="18"/>
        </w:rPr>
        <w:t>WomanFatallyShot</w:t>
      </w:r>
      <w:r>
        <w:rPr>
          <w:rFonts w:hint="eastAsia" w:ascii="宋体" w:hAnsi="宋体" w:eastAsia="宋体" w:cs="宋体"/>
          <w:spacing w:val="13"/>
          <w:position w:val="2"/>
          <w:sz w:val="18"/>
          <w:szCs w:val="18"/>
        </w:rPr>
        <w:t>,</w:t>
      </w:r>
      <w:r>
        <w:rPr>
          <w:rFonts w:hint="eastAsia" w:ascii="宋体" w:hAnsi="宋体" w:eastAsia="宋体" w:cs="宋体"/>
          <w:sz w:val="18"/>
          <w:szCs w:val="18"/>
        </w:rPr>
        <w:t>Wash</w:t>
      </w:r>
      <w:r>
        <w:rPr>
          <w:rFonts w:hint="eastAsia" w:ascii="宋体" w:hAnsi="宋体" w:eastAsia="宋体" w:cs="宋体"/>
          <w:spacing w:val="13"/>
          <w:sz w:val="18"/>
          <w:szCs w:val="18"/>
        </w:rPr>
        <w:t>-</w:t>
      </w:r>
      <w:r>
        <w:rPr>
          <w:rFonts w:hint="eastAsia" w:ascii="宋体" w:hAnsi="宋体" w:eastAsia="宋体" w:cs="宋体"/>
          <w:sz w:val="18"/>
          <w:szCs w:val="18"/>
        </w:rPr>
        <w:t>ingtonPost</w:t>
      </w:r>
      <w:r>
        <w:rPr>
          <w:rFonts w:hint="eastAsia" w:ascii="宋体" w:hAnsi="宋体" w:eastAsia="宋体" w:cs="宋体"/>
          <w:spacing w:val="14"/>
          <w:position w:val="2"/>
          <w:sz w:val="18"/>
          <w:szCs w:val="18"/>
        </w:rPr>
        <w:t>,</w:t>
      </w:r>
      <w:r>
        <w:rPr>
          <w:rFonts w:hint="eastAsia" w:ascii="宋体" w:hAnsi="宋体" w:eastAsia="宋体" w:cs="宋体"/>
          <w:sz w:val="18"/>
          <w:szCs w:val="18"/>
        </w:rPr>
        <w:t>January</w:t>
      </w:r>
      <w:r>
        <w:rPr>
          <w:rFonts w:hint="eastAsia" w:ascii="宋体" w:hAnsi="宋体" w:eastAsia="宋体" w:cs="宋体"/>
          <w:spacing w:val="14"/>
          <w:sz w:val="18"/>
          <w:szCs w:val="18"/>
        </w:rPr>
        <w:t>7</w:t>
      </w:r>
      <w:r>
        <w:rPr>
          <w:rFonts w:hint="eastAsia" w:ascii="宋体" w:hAnsi="宋体" w:eastAsia="宋体" w:cs="宋体"/>
          <w:spacing w:val="14"/>
          <w:position w:val="2"/>
          <w:sz w:val="18"/>
          <w:szCs w:val="18"/>
        </w:rPr>
        <w:t>,</w:t>
      </w:r>
      <w:r>
        <w:rPr>
          <w:rFonts w:hint="eastAsia" w:ascii="宋体" w:hAnsi="宋体" w:eastAsia="宋体" w:cs="宋体"/>
          <w:spacing w:val="14"/>
          <w:sz w:val="18"/>
          <w:szCs w:val="18"/>
        </w:rPr>
        <w:t>2021.</w:t>
      </w:r>
    </w:p>
  </w:footnote>
  <w:footnote w:id="1220">
    <w:p w14:paraId="1AF1431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5"/>
          <w:sz w:val="18"/>
          <w:szCs w:val="18"/>
        </w:rPr>
        <w:t>BrianHughes</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CynthiaMiller-Idriss,UnitingforTotalCollapse</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TheJ</w:t>
      </w:r>
      <w:r>
        <w:rPr>
          <w:rFonts w:hint="eastAsia" w:ascii="宋体" w:hAnsi="宋体" w:eastAsia="宋体" w:cs="宋体"/>
          <w:spacing w:val="4"/>
          <w:sz w:val="18"/>
          <w:szCs w:val="18"/>
        </w:rPr>
        <w:t>anuary6BoosttoAc-</w:t>
      </w:r>
      <w:r>
        <w:rPr>
          <w:rFonts w:hint="eastAsia" w:ascii="宋体" w:hAnsi="宋体" w:eastAsia="宋体" w:cs="宋体"/>
          <w:sz w:val="18"/>
          <w:szCs w:val="18"/>
        </w:rPr>
        <w:t>celerationism</w:t>
      </w:r>
      <w:r>
        <w:rPr>
          <w:rFonts w:hint="eastAsia" w:ascii="宋体" w:hAnsi="宋体" w:eastAsia="宋体" w:cs="宋体"/>
          <w:spacing w:val="5"/>
          <w:sz w:val="18"/>
          <w:szCs w:val="18"/>
        </w:rPr>
        <w:t>,</w:t>
      </w:r>
      <w:r>
        <w:rPr>
          <w:rFonts w:hint="eastAsia" w:ascii="宋体" w:hAnsi="宋体" w:eastAsia="宋体" w:cs="宋体"/>
          <w:sz w:val="18"/>
          <w:szCs w:val="18"/>
        </w:rPr>
        <w:t>CombatingTerrorismCenter</w:t>
      </w:r>
      <w:r>
        <w:rPr>
          <w:rFonts w:hint="eastAsia" w:ascii="宋体" w:hAnsi="宋体" w:eastAsia="宋体" w:cs="宋体"/>
          <w:spacing w:val="5"/>
          <w:sz w:val="18"/>
          <w:szCs w:val="18"/>
        </w:rPr>
        <w:t>,2021</w:t>
      </w:r>
      <w:r>
        <w:rPr>
          <w:rFonts w:hint="eastAsia" w:ascii="宋体" w:hAnsi="宋体" w:eastAsia="宋体" w:cs="宋体"/>
          <w:spacing w:val="5"/>
          <w:position w:val="2"/>
          <w:sz w:val="18"/>
          <w:szCs w:val="18"/>
        </w:rPr>
        <w:t>,</w:t>
      </w:r>
      <w:r>
        <w:rPr>
          <w:rFonts w:hint="eastAsia" w:ascii="宋体" w:hAnsi="宋体" w:eastAsia="宋体" w:cs="宋体"/>
          <w:sz w:val="18"/>
          <w:szCs w:val="18"/>
        </w:rPr>
        <w:t>Vol</w:t>
      </w:r>
      <w:r>
        <w:rPr>
          <w:rFonts w:hint="eastAsia" w:ascii="宋体" w:hAnsi="宋体" w:eastAsia="宋体" w:cs="宋体"/>
          <w:spacing w:val="5"/>
          <w:sz w:val="18"/>
          <w:szCs w:val="18"/>
        </w:rPr>
        <w:t>.14</w:t>
      </w:r>
      <w:r>
        <w:rPr>
          <w:rFonts w:hint="eastAsia" w:ascii="宋体" w:hAnsi="宋体" w:eastAsia="宋体" w:cs="宋体"/>
          <w:spacing w:val="5"/>
          <w:position w:val="2"/>
          <w:sz w:val="18"/>
          <w:szCs w:val="18"/>
        </w:rPr>
        <w:t>,</w:t>
      </w:r>
      <w:r>
        <w:rPr>
          <w:rFonts w:hint="eastAsia" w:ascii="宋体" w:hAnsi="宋体" w:eastAsia="宋体" w:cs="宋体"/>
          <w:sz w:val="18"/>
          <w:szCs w:val="18"/>
        </w:rPr>
        <w:t>Issue</w:t>
      </w:r>
      <w:r>
        <w:rPr>
          <w:rFonts w:hint="eastAsia" w:ascii="宋体" w:hAnsi="宋体" w:eastAsia="宋体" w:cs="宋体"/>
          <w:spacing w:val="5"/>
          <w:sz w:val="18"/>
          <w:szCs w:val="18"/>
        </w:rPr>
        <w:t>4.</w:t>
      </w:r>
    </w:p>
  </w:footnote>
  <w:footnote w:id="1221">
    <w:p w14:paraId="3DC8D43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MatthewKrineronbehalfoft</w:t>
      </w:r>
      <w:r>
        <w:rPr>
          <w:rFonts w:hint="eastAsia" w:ascii="宋体" w:hAnsi="宋体" w:eastAsia="宋体" w:cs="宋体"/>
          <w:spacing w:val="3"/>
          <w:sz w:val="18"/>
          <w:szCs w:val="18"/>
        </w:rPr>
        <w:t>heARCSteeringCommittee</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AnIntroductiontoMilitantAccel-</w:t>
      </w:r>
      <w:r>
        <w:rPr>
          <w:rFonts w:hint="eastAsia" w:ascii="宋体" w:hAnsi="宋体" w:eastAsia="宋体" w:cs="宋体"/>
          <w:spacing w:val="-3"/>
          <w:sz w:val="18"/>
          <w:szCs w:val="18"/>
        </w:rPr>
        <w:t>erationism,</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"https://www.accresearch.org/shortanalysis/an-introduction-to-militant-accelerationism"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https://www.accresearch.org/shortanalysis/an-introduction-</w:t>
      </w:r>
      <w:r>
        <w:rPr>
          <w:rFonts w:hint="eastAsia" w:ascii="宋体" w:hAnsi="宋体" w:eastAsia="宋体" w:cs="宋体"/>
          <w:spacing w:val="-4"/>
          <w:sz w:val="18"/>
          <w:szCs w:val="18"/>
        </w:rPr>
        <w:t>to-militant-accelerationism</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z w:val="18"/>
          <w:szCs w:val="18"/>
        </w:rPr>
        <w:t>July</w:t>
      </w:r>
      <w:r>
        <w:rPr>
          <w:rFonts w:hint="eastAsia" w:ascii="宋体" w:hAnsi="宋体" w:eastAsia="宋体" w:cs="宋体"/>
          <w:spacing w:val="10"/>
          <w:sz w:val="18"/>
          <w:szCs w:val="18"/>
        </w:rPr>
        <w:t>27</w:t>
      </w:r>
      <w:r>
        <w:rPr>
          <w:rFonts w:hint="eastAsia" w:ascii="宋体" w:hAnsi="宋体" w:eastAsia="宋体" w:cs="宋体"/>
          <w:spacing w:val="10"/>
          <w:position w:val="2"/>
          <w:sz w:val="18"/>
          <w:szCs w:val="18"/>
        </w:rPr>
        <w:t>,</w:t>
      </w:r>
      <w:r>
        <w:rPr>
          <w:rFonts w:hint="eastAsia" w:ascii="宋体" w:hAnsi="宋体" w:eastAsia="宋体" w:cs="宋体"/>
          <w:spacing w:val="10"/>
          <w:sz w:val="18"/>
          <w:szCs w:val="18"/>
        </w:rPr>
        <w:t>2024.</w:t>
      </w:r>
    </w:p>
  </w:footnote>
  <w:footnote w:id="1222">
    <w:p w14:paraId="653DF0F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MatthewKriner</w:t>
      </w:r>
      <w:r>
        <w:rPr>
          <w:rFonts w:hint="eastAsia" w:ascii="宋体" w:hAnsi="宋体" w:eastAsia="宋体" w:cs="宋体"/>
          <w:spacing w:val="10"/>
          <w:position w:val="2"/>
          <w:sz w:val="18"/>
          <w:szCs w:val="18"/>
        </w:rPr>
        <w:t>,</w:t>
      </w:r>
      <w:r>
        <w:rPr>
          <w:rFonts w:hint="eastAsia" w:ascii="宋体" w:hAnsi="宋体" w:eastAsia="宋体" w:cs="宋体"/>
          <w:sz w:val="18"/>
          <w:szCs w:val="18"/>
        </w:rPr>
        <w:t>MeghanConroyandYasmineAshwal</w:t>
      </w:r>
      <w:r>
        <w:rPr>
          <w:rFonts w:hint="eastAsia" w:ascii="宋体" w:hAnsi="宋体" w:eastAsia="宋体" w:cs="宋体"/>
          <w:spacing w:val="10"/>
          <w:position w:val="2"/>
          <w:sz w:val="18"/>
          <w:szCs w:val="18"/>
        </w:rPr>
        <w:t>,</w:t>
      </w:r>
      <w:r>
        <w:rPr>
          <w:rFonts w:hint="eastAsia" w:ascii="宋体" w:hAnsi="宋体" w:eastAsia="宋体" w:cs="宋体"/>
          <w:sz w:val="18"/>
          <w:szCs w:val="18"/>
        </w:rPr>
        <w:t>UnderstandingAccelerationistNarra</w:t>
      </w:r>
      <w:r>
        <w:rPr>
          <w:rFonts w:hint="eastAsia" w:ascii="宋体" w:hAnsi="宋体" w:eastAsia="宋体" w:cs="宋体"/>
          <w:spacing w:val="10"/>
          <w:sz w:val="18"/>
          <w:szCs w:val="18"/>
        </w:rPr>
        <w:t>-</w:t>
      </w:r>
      <w:r>
        <w:rPr>
          <w:rFonts w:hint="eastAsia" w:ascii="宋体" w:hAnsi="宋体" w:eastAsia="宋体" w:cs="宋体"/>
          <w:spacing w:val="-2"/>
          <w:sz w:val="18"/>
          <w:szCs w:val="18"/>
        </w:rPr>
        <w:t>tives:“ThereIsNoPoliticalSolution”,</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"https://gnet-research.org/2021/09/02/understanding-acceler"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https://gnet-research.org/2021/09/02/unders</w:t>
      </w:r>
      <w:r>
        <w:rPr>
          <w:rFonts w:hint="eastAsia" w:ascii="宋体" w:hAnsi="宋体" w:eastAsia="宋体" w:cs="宋体"/>
          <w:spacing w:val="-3"/>
          <w:sz w:val="18"/>
          <w:szCs w:val="18"/>
        </w:rPr>
        <w:t>tanding-acceler</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-ationist-narratives-there-is-no-political-s</w:t>
      </w:r>
      <w:r>
        <w:rPr>
          <w:rFonts w:hint="eastAsia" w:ascii="宋体" w:hAnsi="宋体" w:eastAsia="宋体" w:cs="宋体"/>
          <w:spacing w:val="-4"/>
          <w:sz w:val="18"/>
          <w:szCs w:val="18"/>
        </w:rPr>
        <w:t>olution/.July28</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2024.</w:t>
      </w:r>
    </w:p>
  </w:footnote>
  <w:footnote w:id="1223">
    <w:p w14:paraId="2F26ED1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ZackBeauchamp,Accelerationism</w:t>
      </w:r>
      <w:r>
        <w:rPr>
          <w:rFonts w:hint="eastAsia" w:ascii="宋体" w:hAnsi="宋体" w:eastAsia="宋体" w:cs="宋体"/>
          <w:position w:val="2"/>
          <w:sz w:val="18"/>
          <w:szCs w:val="18"/>
        </w:rPr>
        <w:t>:</w:t>
      </w:r>
      <w:r>
        <w:rPr>
          <w:rFonts w:hint="eastAsia" w:ascii="宋体" w:hAnsi="宋体" w:eastAsia="宋体" w:cs="宋体"/>
          <w:sz w:val="18"/>
          <w:szCs w:val="18"/>
        </w:rPr>
        <w:t>theobscureideainspiringwhite</w:t>
      </w:r>
      <w:r>
        <w:rPr>
          <w:rFonts w:hint="eastAsia" w:ascii="宋体" w:hAnsi="宋体" w:eastAsia="宋体" w:cs="宋体"/>
          <w:spacing w:val="-1"/>
          <w:sz w:val="18"/>
          <w:szCs w:val="18"/>
        </w:rPr>
        <w:t>supremacistkillersaround</w:t>
      </w:r>
      <w:r>
        <w:rPr>
          <w:rFonts w:hint="eastAsia" w:ascii="宋体" w:hAnsi="宋体" w:eastAsia="宋体" w:cs="宋体"/>
          <w:sz w:val="18"/>
          <w:szCs w:val="18"/>
        </w:rPr>
        <w:t>theworld</w:t>
      </w:r>
      <w:r>
        <w:rPr>
          <w:rFonts w:hint="eastAsia" w:ascii="宋体" w:hAnsi="宋体" w:eastAsia="宋体" w:cs="宋体"/>
          <w:spacing w:val="9"/>
          <w:position w:val="2"/>
          <w:sz w:val="18"/>
          <w:szCs w:val="18"/>
        </w:rPr>
        <w:t>,</w:t>
      </w:r>
      <w:r>
        <w:rPr>
          <w:rFonts w:hint="eastAsia" w:ascii="宋体" w:hAnsi="宋体" w:eastAsia="宋体" w:cs="宋体"/>
          <w:sz w:val="18"/>
          <w:szCs w:val="18"/>
        </w:rPr>
        <w:t>Vox</w:t>
      </w:r>
      <w:r>
        <w:rPr>
          <w:rFonts w:hint="eastAsia" w:ascii="宋体" w:hAnsi="宋体" w:eastAsia="宋体" w:cs="宋体"/>
          <w:spacing w:val="9"/>
          <w:sz w:val="18"/>
          <w:szCs w:val="18"/>
        </w:rPr>
        <w:t>,</w:t>
      </w:r>
      <w:r>
        <w:rPr>
          <w:rFonts w:hint="eastAsia" w:ascii="宋体" w:hAnsi="宋体" w:eastAsia="宋体" w:cs="宋体"/>
          <w:sz w:val="18"/>
          <w:szCs w:val="18"/>
        </w:rPr>
        <w:t>November</w:t>
      </w:r>
      <w:r>
        <w:rPr>
          <w:rFonts w:hint="eastAsia" w:ascii="宋体" w:hAnsi="宋体" w:eastAsia="宋体" w:cs="宋体"/>
          <w:spacing w:val="9"/>
          <w:sz w:val="18"/>
          <w:szCs w:val="18"/>
        </w:rPr>
        <w:t>18</w:t>
      </w:r>
      <w:r>
        <w:rPr>
          <w:rFonts w:hint="eastAsia" w:ascii="宋体" w:hAnsi="宋体" w:eastAsia="宋体" w:cs="宋体"/>
          <w:spacing w:val="9"/>
          <w:position w:val="2"/>
          <w:sz w:val="18"/>
          <w:szCs w:val="18"/>
        </w:rPr>
        <w:t>,</w:t>
      </w:r>
      <w:r>
        <w:rPr>
          <w:rFonts w:hint="eastAsia" w:ascii="宋体" w:hAnsi="宋体" w:eastAsia="宋体" w:cs="宋体"/>
          <w:spacing w:val="9"/>
          <w:sz w:val="18"/>
          <w:szCs w:val="18"/>
        </w:rPr>
        <w:t>2019.</w:t>
      </w:r>
    </w:p>
  </w:footnote>
  <w:footnote w:id="1224">
    <w:p w14:paraId="325A351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WhiteSupremacistsEmbrace“Accelerationism”,</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"https://www.adl.org/resources/blog/"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https://www.adl.org/resources/blog/</w:t>
      </w:r>
      <w:r>
        <w:rPr>
          <w:rFonts w:hint="eastAsia" w:ascii="宋体" w:hAnsi="宋体" w:eastAsia="宋体" w:cs="宋体"/>
          <w:spacing w:val="-2"/>
          <w:sz w:val="18"/>
          <w:szCs w:val="18"/>
        </w:rPr>
        <w:fldChar w:fldCharType="end"/>
      </w:r>
      <w:r>
        <w:rPr>
          <w:rFonts w:hint="eastAsia" w:ascii="宋体" w:hAnsi="宋体" w:eastAsia="宋体" w:cs="宋体"/>
          <w:spacing w:val="-4"/>
          <w:sz w:val="18"/>
          <w:szCs w:val="18"/>
        </w:rPr>
        <w:t>white-supremacists-embrace-accelerationism.July15</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20</w:t>
      </w:r>
      <w:r>
        <w:rPr>
          <w:rFonts w:hint="eastAsia" w:ascii="宋体" w:hAnsi="宋体" w:eastAsia="宋体" w:cs="宋体"/>
          <w:spacing w:val="-5"/>
          <w:sz w:val="18"/>
          <w:szCs w:val="18"/>
        </w:rPr>
        <w:t>24.</w:t>
      </w:r>
    </w:p>
  </w:footnote>
  <w:footnote w:id="1225">
    <w:p w14:paraId="09C4700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MatthewKrineronbehalfoft</w:t>
      </w:r>
      <w:r>
        <w:rPr>
          <w:rFonts w:hint="eastAsia" w:ascii="宋体" w:hAnsi="宋体" w:eastAsia="宋体" w:cs="宋体"/>
          <w:spacing w:val="3"/>
          <w:sz w:val="18"/>
          <w:szCs w:val="18"/>
        </w:rPr>
        <w:t>heARCSteeringCommittee</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AnIntroductiontoMilitantAccel-</w:t>
      </w:r>
      <w:r>
        <w:rPr>
          <w:rFonts w:hint="eastAsia" w:ascii="宋体" w:hAnsi="宋体" w:eastAsia="宋体" w:cs="宋体"/>
          <w:spacing w:val="-3"/>
          <w:sz w:val="18"/>
          <w:szCs w:val="18"/>
        </w:rPr>
        <w:t>erationism,</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"https://www.accresearch.org/shortanalysis/an-introduction-to-militant-accelerationism" </w:instrText>
      </w:r>
      <w:r>
        <w:rPr>
          <w:rFonts w:hint="eastAsia" w:ascii="宋体" w:hAnsi="宋体" w:eastAsia="宋体" w:cs="宋体"/>
          <w:sz w:val="18"/>
          <w:szCs w:val="18"/>
        </w:rPr>
        <w:fldChar w:fldCharType="separate"/>
      </w:r>
      <w:r>
        <w:rPr>
          <w:rFonts w:hint="eastAsia" w:ascii="宋体" w:hAnsi="宋体" w:eastAsia="宋体" w:cs="宋体"/>
          <w:spacing w:val="-3"/>
          <w:sz w:val="18"/>
          <w:szCs w:val="18"/>
        </w:rPr>
        <w:t>https://www.accresearch.org/shortanalysis/an-introduction-</w:t>
      </w:r>
      <w:r>
        <w:rPr>
          <w:rFonts w:hint="eastAsia" w:ascii="宋体" w:hAnsi="宋体" w:eastAsia="宋体" w:cs="宋体"/>
          <w:spacing w:val="-4"/>
          <w:sz w:val="18"/>
          <w:szCs w:val="18"/>
        </w:rPr>
        <w:t>to-militant-accelerationism</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z w:val="18"/>
          <w:szCs w:val="18"/>
        </w:rPr>
        <w:t>July</w:t>
      </w:r>
      <w:r>
        <w:rPr>
          <w:rFonts w:hint="eastAsia" w:ascii="宋体" w:hAnsi="宋体" w:eastAsia="宋体" w:cs="宋体"/>
          <w:spacing w:val="10"/>
          <w:sz w:val="18"/>
          <w:szCs w:val="18"/>
        </w:rPr>
        <w:t>27</w:t>
      </w:r>
      <w:r>
        <w:rPr>
          <w:rFonts w:hint="eastAsia" w:ascii="宋体" w:hAnsi="宋体" w:eastAsia="宋体" w:cs="宋体"/>
          <w:spacing w:val="10"/>
          <w:position w:val="2"/>
          <w:sz w:val="18"/>
          <w:szCs w:val="18"/>
        </w:rPr>
        <w:t>,</w:t>
      </w:r>
      <w:r>
        <w:rPr>
          <w:rFonts w:hint="eastAsia" w:ascii="宋体" w:hAnsi="宋体" w:eastAsia="宋体" w:cs="宋体"/>
          <w:spacing w:val="10"/>
          <w:sz w:val="18"/>
          <w:szCs w:val="18"/>
        </w:rPr>
        <w:t>2024.</w:t>
      </w:r>
    </w:p>
  </w:footnote>
  <w:footnote w:id="1226">
    <w:p w14:paraId="052567F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Beckett,Andy,Accelerationism:howafringephiloso</w:t>
      </w:r>
      <w:r>
        <w:rPr>
          <w:rFonts w:hint="eastAsia" w:ascii="宋体" w:hAnsi="宋体" w:eastAsia="宋体" w:cs="宋体"/>
          <w:spacing w:val="-3"/>
          <w:sz w:val="18"/>
          <w:szCs w:val="18"/>
        </w:rPr>
        <w:t>phypredictedthefuturewelivein,</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 </w:instrText>
      </w:r>
      <w:r>
        <w:rPr>
          <w:rFonts w:hint="eastAsia" w:ascii="宋体" w:hAnsi="宋体" w:eastAsia="宋体" w:cs="宋体"/>
          <w:sz w:val="18"/>
          <w:szCs w:val="18"/>
        </w:rPr>
        <w:fldChar w:fldCharType="separate"/>
      </w:r>
      <w:r>
        <w:rPr>
          <w:rFonts w:hint="eastAsia" w:ascii="宋体" w:hAnsi="宋体" w:eastAsia="宋体" w:cs="宋体"/>
          <w:spacing w:val="-3"/>
          <w:position w:val="1"/>
          <w:sz w:val="18"/>
          <w:szCs w:val="18"/>
        </w:rPr>
        <w:t>https://</w:t>
      </w:r>
      <w:r>
        <w:rPr>
          <w:rFonts w:hint="eastAsia" w:ascii="宋体" w:hAnsi="宋体" w:eastAsia="宋体" w:cs="宋体"/>
          <w:spacing w:val="-3"/>
          <w:position w:val="1"/>
          <w:sz w:val="18"/>
          <w:szCs w:val="18"/>
        </w:rPr>
        <w:fldChar w:fldCharType="end"/>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"https://www.theguardian.com/world/2017/may/11/accelerationism-how-a-fringe-philosophy-predicted-the-fu" </w:instrText>
      </w:r>
      <w:r>
        <w:rPr>
          <w:rFonts w:hint="eastAsia" w:ascii="宋体" w:hAnsi="宋体" w:eastAsia="宋体" w:cs="宋体"/>
          <w:sz w:val="18"/>
          <w:szCs w:val="18"/>
        </w:rPr>
        <w:fldChar w:fldCharType="separate"/>
      </w:r>
      <w:r>
        <w:rPr>
          <w:rFonts w:hint="eastAsia" w:ascii="宋体" w:hAnsi="宋体" w:eastAsia="宋体" w:cs="宋体"/>
          <w:spacing w:val="-6"/>
          <w:sz w:val="18"/>
          <w:szCs w:val="18"/>
        </w:rPr>
        <w:t>www.theguardian.com/world/2017/may/11/accelerationism-how-a-fringe-</w:t>
      </w:r>
      <w:r>
        <w:rPr>
          <w:rFonts w:hint="eastAsia" w:ascii="宋体" w:hAnsi="宋体" w:eastAsia="宋体" w:cs="宋体"/>
          <w:spacing w:val="-7"/>
          <w:sz w:val="18"/>
          <w:szCs w:val="18"/>
        </w:rPr>
        <w:t>philosophy-predicted-the-fu</w:t>
      </w:r>
      <w:r>
        <w:rPr>
          <w:rFonts w:hint="eastAsia" w:ascii="宋体" w:hAnsi="宋体" w:eastAsia="宋体" w:cs="宋体"/>
          <w:spacing w:val="-7"/>
          <w:sz w:val="18"/>
          <w:szCs w:val="18"/>
        </w:rPr>
        <w:fldChar w:fldCharType="end"/>
      </w:r>
      <w:r>
        <w:rPr>
          <w:rFonts w:hint="eastAsia" w:ascii="宋体" w:hAnsi="宋体" w:eastAsia="宋体" w:cs="宋体"/>
          <w:spacing w:val="-7"/>
          <w:sz w:val="18"/>
          <w:szCs w:val="18"/>
        </w:rPr>
        <w:t>-</w:t>
      </w:r>
      <w:r>
        <w:rPr>
          <w:rFonts w:hint="eastAsia" w:ascii="宋体" w:hAnsi="宋体" w:eastAsia="宋体" w:cs="宋体"/>
          <w:spacing w:val="-1"/>
          <w:sz w:val="18"/>
          <w:szCs w:val="18"/>
        </w:rPr>
        <w:t>ture-we-live-in.July27</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2024.</w:t>
      </w:r>
    </w:p>
  </w:footnote>
  <w:footnote w:id="1227">
    <w:p w14:paraId="7C051FA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8"/>
          <w:sz w:val="18"/>
          <w:szCs w:val="18"/>
        </w:rPr>
        <w:t>书店,</w:t>
      </w:r>
      <w:r>
        <w:rPr>
          <w:rFonts w:hint="eastAsia" w:ascii="宋体" w:hAnsi="宋体" w:eastAsia="宋体" w:cs="宋体"/>
          <w:spacing w:val="8"/>
          <w:position w:val="-1"/>
          <w:sz w:val="18"/>
          <w:szCs w:val="18"/>
        </w:rPr>
        <w:t>2005</w:t>
      </w:r>
      <w:r>
        <w:rPr>
          <w:rFonts w:hint="eastAsia" w:ascii="宋体" w:hAnsi="宋体" w:eastAsia="宋体" w:cs="宋体"/>
          <w:spacing w:val="8"/>
          <w:sz w:val="18"/>
          <w:szCs w:val="18"/>
        </w:rPr>
        <w:t>年,中译版序第</w:t>
      </w:r>
      <w:r>
        <w:rPr>
          <w:rFonts w:hint="eastAsia" w:ascii="宋体" w:hAnsi="宋体" w:eastAsia="宋体" w:cs="宋体"/>
          <w:spacing w:val="8"/>
          <w:position w:val="-1"/>
          <w:sz w:val="18"/>
          <w:szCs w:val="18"/>
        </w:rPr>
        <w:t>10</w:t>
      </w:r>
      <w:r>
        <w:rPr>
          <w:rFonts w:hint="eastAsia" w:ascii="宋体" w:hAnsi="宋体" w:eastAsia="宋体" w:cs="宋体"/>
          <w:spacing w:val="8"/>
          <w:sz w:val="18"/>
          <w:szCs w:val="18"/>
        </w:rPr>
        <w:t>页。</w:t>
      </w:r>
    </w:p>
  </w:footnote>
  <w:footnote w:id="1228">
    <w:p w14:paraId="36AD628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position w:val="2"/>
          <w:sz w:val="18"/>
          <w:szCs w:val="18"/>
        </w:rPr>
        <w:t>Fredrickson</w:t>
      </w:r>
      <w:r>
        <w:rPr>
          <w:rFonts w:hint="eastAsia" w:ascii="宋体" w:hAnsi="宋体" w:eastAsia="宋体" w:cs="宋体"/>
          <w:spacing w:val="12"/>
          <w:position w:val="4"/>
          <w:sz w:val="18"/>
          <w:szCs w:val="18"/>
        </w:rPr>
        <w:t>,</w:t>
      </w:r>
      <w:r>
        <w:rPr>
          <w:rFonts w:hint="eastAsia" w:ascii="宋体" w:hAnsi="宋体" w:eastAsia="宋体" w:cs="宋体"/>
          <w:spacing w:val="12"/>
          <w:position w:val="2"/>
          <w:sz w:val="18"/>
          <w:szCs w:val="18"/>
        </w:rPr>
        <w:t>G.</w:t>
      </w:r>
      <w:r>
        <w:rPr>
          <w:rFonts w:hint="eastAsia" w:ascii="宋体" w:hAnsi="宋体" w:eastAsia="宋体" w:cs="宋体"/>
          <w:spacing w:val="12"/>
          <w:position w:val="4"/>
          <w:sz w:val="18"/>
          <w:szCs w:val="18"/>
        </w:rPr>
        <w:t>,</w:t>
      </w:r>
      <w:r>
        <w:rPr>
          <w:rFonts w:hint="eastAsia" w:ascii="宋体" w:hAnsi="宋体" w:eastAsia="宋体" w:cs="宋体"/>
          <w:position w:val="2"/>
          <w:sz w:val="18"/>
          <w:szCs w:val="18"/>
        </w:rPr>
        <w:t>Racism</w:t>
      </w:r>
      <w:r>
        <w:rPr>
          <w:rFonts w:hint="eastAsia" w:ascii="宋体" w:hAnsi="宋体" w:eastAsia="宋体" w:cs="宋体"/>
          <w:spacing w:val="12"/>
          <w:position w:val="4"/>
          <w:sz w:val="18"/>
          <w:szCs w:val="18"/>
        </w:rPr>
        <w:t>:</w:t>
      </w:r>
      <w:r>
        <w:rPr>
          <w:rFonts w:hint="eastAsia" w:ascii="宋体" w:hAnsi="宋体" w:eastAsia="宋体" w:cs="宋体"/>
          <w:position w:val="2"/>
          <w:sz w:val="18"/>
          <w:szCs w:val="18"/>
        </w:rPr>
        <w:t>AShortHistory</w:t>
      </w:r>
      <w:r>
        <w:rPr>
          <w:rFonts w:hint="eastAsia" w:ascii="宋体" w:hAnsi="宋体" w:eastAsia="宋体" w:cs="宋体"/>
          <w:spacing w:val="12"/>
          <w:position w:val="2"/>
          <w:sz w:val="18"/>
          <w:szCs w:val="18"/>
        </w:rPr>
        <w:t>,</w:t>
      </w:r>
      <w:r>
        <w:rPr>
          <w:rFonts w:hint="eastAsia" w:ascii="宋体" w:hAnsi="宋体" w:eastAsia="宋体" w:cs="宋体"/>
          <w:position w:val="2"/>
          <w:sz w:val="18"/>
          <w:szCs w:val="18"/>
        </w:rPr>
        <w:t>Princeton</w:t>
      </w:r>
      <w:r>
        <w:rPr>
          <w:rFonts w:hint="eastAsia" w:ascii="宋体" w:hAnsi="宋体" w:eastAsia="宋体" w:cs="宋体"/>
          <w:spacing w:val="12"/>
          <w:position w:val="4"/>
          <w:sz w:val="18"/>
          <w:szCs w:val="18"/>
        </w:rPr>
        <w:t>:</w:t>
      </w:r>
      <w:r>
        <w:rPr>
          <w:rFonts w:hint="eastAsia" w:ascii="宋体" w:hAnsi="宋体" w:eastAsia="宋体" w:cs="宋体"/>
          <w:position w:val="2"/>
          <w:sz w:val="18"/>
          <w:szCs w:val="18"/>
        </w:rPr>
        <w:t>PrincetonUniversityPress</w:t>
      </w:r>
      <w:r>
        <w:rPr>
          <w:rFonts w:hint="eastAsia" w:ascii="宋体" w:hAnsi="宋体" w:eastAsia="宋体" w:cs="宋体"/>
          <w:spacing w:val="12"/>
          <w:position w:val="4"/>
          <w:sz w:val="18"/>
          <w:szCs w:val="18"/>
        </w:rPr>
        <w:t>,</w:t>
      </w:r>
      <w:r>
        <w:rPr>
          <w:rFonts w:hint="eastAsia" w:ascii="宋体" w:hAnsi="宋体" w:eastAsia="宋体" w:cs="宋体"/>
          <w:spacing w:val="12"/>
          <w:position w:val="2"/>
          <w:sz w:val="18"/>
          <w:szCs w:val="18"/>
        </w:rPr>
        <w:t>2002,</w:t>
      </w:r>
      <w:r>
        <w:rPr>
          <w:rFonts w:hint="eastAsia" w:ascii="宋体" w:hAnsi="宋体" w:eastAsia="宋体" w:cs="宋体"/>
          <w:spacing w:val="11"/>
          <w:position w:val="2"/>
          <w:sz w:val="18"/>
          <w:szCs w:val="18"/>
        </w:rPr>
        <w:t>p.9.</w:t>
      </w:r>
    </w:p>
  </w:footnote>
  <w:footnote w:id="1229">
    <w:p w14:paraId="281D76F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聂智琪:《民粹主义的“人民”想象:辩正与反思》,《开放时代》2024年第</w:t>
      </w:r>
      <w:r>
        <w:rPr>
          <w:rFonts w:hint="eastAsia" w:ascii="宋体" w:hAnsi="宋体" w:eastAsia="宋体" w:cs="宋体"/>
          <w:spacing w:val="-1"/>
          <w:position w:val="-1"/>
          <w:sz w:val="18"/>
          <w:szCs w:val="18"/>
        </w:rPr>
        <w:t>1</w:t>
      </w:r>
      <w:r>
        <w:rPr>
          <w:rFonts w:hint="eastAsia" w:ascii="宋体" w:hAnsi="宋体" w:eastAsia="宋体" w:cs="宋体"/>
          <w:spacing w:val="-1"/>
          <w:sz w:val="18"/>
          <w:szCs w:val="18"/>
        </w:rPr>
        <w:t>期。</w:t>
      </w:r>
    </w:p>
  </w:footnote>
  <w:footnote w:id="1230">
    <w:p w14:paraId="7809D89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Fig1-availablefrom:PalgraveCommunications,</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"https://www.researchgate.net/figure/Av" </w:instrText>
      </w:r>
      <w:r>
        <w:rPr>
          <w:rFonts w:hint="eastAsia" w:ascii="宋体" w:hAnsi="宋体" w:eastAsia="宋体" w:cs="宋体"/>
          <w:sz w:val="18"/>
          <w:szCs w:val="18"/>
        </w:rPr>
        <w:fldChar w:fldCharType="separate"/>
      </w:r>
      <w:r>
        <w:rPr>
          <w:rFonts w:hint="eastAsia" w:ascii="宋体" w:hAnsi="宋体" w:eastAsia="宋体" w:cs="宋体"/>
          <w:sz w:val="18"/>
          <w:szCs w:val="18"/>
        </w:rPr>
        <w:t>h</w:t>
      </w:r>
      <w:r>
        <w:rPr>
          <w:rFonts w:hint="eastAsia" w:ascii="宋体" w:hAnsi="宋体" w:eastAsia="宋体" w:cs="宋体"/>
          <w:spacing w:val="-1"/>
          <w:sz w:val="18"/>
          <w:szCs w:val="18"/>
        </w:rPr>
        <w:t>ttps://www.researchgate.net/figure/Av</w:t>
      </w:r>
      <w:r>
        <w:rPr>
          <w:rFonts w:hint="eastAsia" w:ascii="宋体" w:hAnsi="宋体" w:eastAsia="宋体" w:cs="宋体"/>
          <w:spacing w:val="-1"/>
          <w:sz w:val="18"/>
          <w:szCs w:val="18"/>
        </w:rPr>
        <w:fldChar w:fldCharType="end"/>
      </w:r>
      <w:r>
        <w:rPr>
          <w:rFonts w:hint="eastAsia" w:ascii="宋体" w:hAnsi="宋体" w:eastAsia="宋体" w:cs="宋体"/>
          <w:spacing w:val="-1"/>
          <w:sz w:val="18"/>
          <w:szCs w:val="18"/>
        </w:rPr>
        <w:t>-</w:t>
      </w:r>
      <w:r>
        <w:rPr>
          <w:rFonts w:hint="eastAsia" w:ascii="宋体" w:hAnsi="宋体" w:eastAsia="宋体" w:cs="宋体"/>
          <w:sz w:val="18"/>
          <w:szCs w:val="18"/>
        </w:rPr>
        <w:t>erage-share-of-votes-for-populist-parties-in-Europe-The-figure-shows-the-average-s</w:t>
      </w:r>
      <w:r>
        <w:rPr>
          <w:rFonts w:hint="eastAsia" w:ascii="宋体" w:hAnsi="宋体" w:eastAsia="宋体" w:cs="宋体"/>
          <w:spacing w:val="-1"/>
          <w:sz w:val="18"/>
          <w:szCs w:val="18"/>
        </w:rPr>
        <w:t>hare</w:t>
      </w:r>
      <w:r>
        <w:rPr>
          <w:rFonts w:hint="eastAsia" w:ascii="宋体" w:hAnsi="宋体" w:eastAsia="宋体" w:cs="宋体"/>
          <w:spacing w:val="-1"/>
          <w:position w:val="2"/>
          <w:sz w:val="18"/>
          <w:szCs w:val="18"/>
        </w:rPr>
        <w:t>_</w:t>
      </w:r>
      <w:r>
        <w:rPr>
          <w:rFonts w:hint="eastAsia" w:ascii="宋体" w:hAnsi="宋体" w:eastAsia="宋体" w:cs="宋体"/>
          <w:spacing w:val="-1"/>
          <w:sz w:val="18"/>
          <w:szCs w:val="18"/>
        </w:rPr>
        <w:t>fig1</w:t>
      </w:r>
      <w:r>
        <w:rPr>
          <w:rFonts w:hint="eastAsia" w:ascii="宋体" w:hAnsi="宋体" w:eastAsia="宋体" w:cs="宋体"/>
          <w:spacing w:val="-1"/>
          <w:position w:val="2"/>
          <w:sz w:val="18"/>
          <w:szCs w:val="18"/>
        </w:rPr>
        <w:t>_</w:t>
      </w:r>
      <w:r>
        <w:rPr>
          <w:rFonts w:hint="eastAsia" w:ascii="宋体" w:hAnsi="宋体" w:eastAsia="宋体" w:cs="宋体"/>
          <w:sz w:val="18"/>
          <w:szCs w:val="18"/>
        </w:rPr>
        <w:t>324729822.July27</w:t>
      </w:r>
      <w:r>
        <w:rPr>
          <w:rFonts w:hint="eastAsia" w:ascii="宋体" w:hAnsi="宋体" w:eastAsia="宋体" w:cs="宋体"/>
          <w:position w:val="2"/>
          <w:sz w:val="18"/>
          <w:szCs w:val="18"/>
        </w:rPr>
        <w:t>,</w:t>
      </w:r>
      <w:r>
        <w:rPr>
          <w:rFonts w:hint="eastAsia" w:ascii="宋体" w:hAnsi="宋体" w:eastAsia="宋体" w:cs="宋体"/>
          <w:sz w:val="18"/>
          <w:szCs w:val="18"/>
        </w:rPr>
        <w:t>202</w:t>
      </w:r>
      <w:r>
        <w:rPr>
          <w:rFonts w:hint="eastAsia" w:ascii="宋体" w:hAnsi="宋体" w:eastAsia="宋体" w:cs="宋体"/>
          <w:spacing w:val="-1"/>
          <w:sz w:val="18"/>
          <w:szCs w:val="18"/>
        </w:rPr>
        <w:t>4.</w:t>
      </w:r>
    </w:p>
  </w:footnote>
  <w:footnote w:id="1231">
    <w:p w14:paraId="72EF1E9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EconomicOpportunityInstitute</w:t>
      </w:r>
      <w:r>
        <w:rPr>
          <w:rFonts w:hint="eastAsia" w:ascii="宋体" w:hAnsi="宋体" w:eastAsia="宋体" w:cs="宋体"/>
          <w:spacing w:val="3"/>
          <w:position w:val="2"/>
          <w:sz w:val="18"/>
          <w:szCs w:val="18"/>
        </w:rPr>
        <w:t>,</w:t>
      </w:r>
      <w:r>
        <w:rPr>
          <w:rFonts w:hint="eastAsia" w:ascii="宋体" w:hAnsi="宋体" w:eastAsia="宋体" w:cs="宋体"/>
          <w:sz w:val="18"/>
          <w:szCs w:val="18"/>
        </w:rPr>
        <w:t>HowtheGreatRecessioncrateredAmerica</w:t>
      </w:r>
      <w:r>
        <w:rPr>
          <w:rFonts w:hint="eastAsia" w:ascii="宋体" w:hAnsi="宋体" w:eastAsia="宋体" w:cs="宋体"/>
          <w:spacing w:val="3"/>
          <w:position w:val="2"/>
          <w:sz w:val="18"/>
          <w:szCs w:val="18"/>
        </w:rPr>
        <w:t>’</w:t>
      </w:r>
      <w:r>
        <w:rPr>
          <w:rFonts w:hint="eastAsia" w:ascii="宋体" w:hAnsi="宋体" w:eastAsia="宋体" w:cs="宋体"/>
          <w:sz w:val="18"/>
          <w:szCs w:val="18"/>
        </w:rPr>
        <w:t>smiddleclass</w:t>
      </w:r>
      <w:r>
        <w:rPr>
          <w:rFonts w:hint="eastAsia" w:ascii="宋体" w:hAnsi="宋体" w:eastAsia="宋体" w:cs="宋体"/>
          <w:spacing w:val="3"/>
          <w:position w:val="2"/>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"https://www.opportunityinstitute.org/blog/post/how-the-great-recession-cratered-americas-middle" </w:instrText>
      </w:r>
      <w:r>
        <w:rPr>
          <w:rFonts w:hint="eastAsia" w:ascii="宋体" w:hAnsi="宋体" w:eastAsia="宋体" w:cs="宋体"/>
          <w:sz w:val="18"/>
          <w:szCs w:val="18"/>
        </w:rPr>
        <w:fldChar w:fldCharType="separate"/>
      </w:r>
      <w:r>
        <w:rPr>
          <w:rFonts w:hint="eastAsia" w:ascii="宋体" w:hAnsi="宋体" w:eastAsia="宋体" w:cs="宋体"/>
          <w:spacing w:val="-4"/>
          <w:sz w:val="18"/>
          <w:szCs w:val="18"/>
        </w:rPr>
        <w:t>https://www.opportunityinstitute.org/blog/post/how-the-great-recession-cratered-americas-mid</w:t>
      </w:r>
      <w:r>
        <w:rPr>
          <w:rFonts w:hint="eastAsia" w:ascii="宋体" w:hAnsi="宋体" w:eastAsia="宋体" w:cs="宋体"/>
          <w:spacing w:val="-5"/>
          <w:sz w:val="18"/>
          <w:szCs w:val="18"/>
        </w:rPr>
        <w:t>dle</w:t>
      </w:r>
      <w:r>
        <w:rPr>
          <w:rFonts w:hint="eastAsia" w:ascii="宋体" w:hAnsi="宋体" w:eastAsia="宋体" w:cs="宋体"/>
          <w:spacing w:val="-5"/>
          <w:sz w:val="18"/>
          <w:szCs w:val="18"/>
        </w:rPr>
        <w:fldChar w:fldCharType="end"/>
      </w:r>
      <w:r>
        <w:rPr>
          <w:rFonts w:hint="eastAsia" w:ascii="宋体" w:hAnsi="宋体" w:eastAsia="宋体" w:cs="宋体"/>
          <w:spacing w:val="-5"/>
          <w:sz w:val="18"/>
          <w:szCs w:val="18"/>
        </w:rPr>
        <w:t>-</w:t>
      </w:r>
      <w:r>
        <w:rPr>
          <w:rFonts w:hint="eastAsia" w:ascii="宋体" w:hAnsi="宋体" w:eastAsia="宋体" w:cs="宋体"/>
          <w:sz w:val="18"/>
          <w:szCs w:val="18"/>
        </w:rPr>
        <w:t>class</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w:t>
      </w:r>
      <w:r>
        <w:rPr>
          <w:rFonts w:hint="eastAsia" w:ascii="宋体" w:hAnsi="宋体" w:eastAsia="宋体" w:cs="宋体"/>
          <w:sz w:val="18"/>
          <w:szCs w:val="18"/>
        </w:rPr>
        <w:t>July</w:t>
      </w:r>
      <w:r>
        <w:rPr>
          <w:rFonts w:hint="eastAsia" w:ascii="宋体" w:hAnsi="宋体" w:eastAsia="宋体" w:cs="宋体"/>
          <w:spacing w:val="6"/>
          <w:sz w:val="18"/>
          <w:szCs w:val="18"/>
        </w:rPr>
        <w:t>27</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2024.</w:t>
      </w:r>
    </w:p>
  </w:footnote>
  <w:footnote w:id="1232">
    <w:p w14:paraId="0AB4388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ExitpollsofthepresidentialelectionintheUnitedStatesi</w:t>
      </w:r>
      <w:r>
        <w:rPr>
          <w:rFonts w:hint="eastAsia" w:ascii="宋体" w:hAnsi="宋体" w:eastAsia="宋体" w:cs="宋体"/>
          <w:spacing w:val="3"/>
          <w:sz w:val="18"/>
          <w:szCs w:val="18"/>
        </w:rPr>
        <w:t>n2024</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shareofvotesbyhousehold</w:t>
      </w:r>
      <w:r>
        <w:rPr>
          <w:rFonts w:hint="eastAsia" w:ascii="宋体" w:hAnsi="宋体" w:eastAsia="宋体" w:cs="宋体"/>
          <w:spacing w:val="-2"/>
          <w:sz w:val="18"/>
          <w:szCs w:val="18"/>
        </w:rPr>
        <w:t>income,</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"https://www.statista.com/statistics/1535295/presidential-election-exit-polls-share-votes-in"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https://www.</w:t>
      </w:r>
      <w:r>
        <w:rPr>
          <w:rFonts w:hint="eastAsia" w:ascii="宋体" w:hAnsi="宋体" w:eastAsia="宋体" w:cs="宋体"/>
          <w:spacing w:val="-3"/>
          <w:sz w:val="18"/>
          <w:szCs w:val="18"/>
        </w:rPr>
        <w:t>statista.com/statistics/1535295/presidential-election-exit-polls-share-votes-in</w:t>
      </w:r>
      <w:r>
        <w:rPr>
          <w:rFonts w:hint="eastAsia" w:ascii="宋体" w:hAnsi="宋体" w:eastAsia="宋体" w:cs="宋体"/>
          <w:spacing w:val="-3"/>
          <w:sz w:val="18"/>
          <w:szCs w:val="18"/>
        </w:rPr>
        <w:fldChar w:fldCharType="end"/>
      </w:r>
      <w:r>
        <w:rPr>
          <w:rFonts w:hint="eastAsia" w:ascii="宋体" w:hAnsi="宋体" w:eastAsia="宋体" w:cs="宋体"/>
          <w:spacing w:val="-3"/>
          <w:sz w:val="18"/>
          <w:szCs w:val="18"/>
        </w:rPr>
        <w:t>-</w:t>
      </w:r>
      <w:r>
        <w:rPr>
          <w:rFonts w:hint="eastAsia" w:ascii="宋体" w:hAnsi="宋体" w:eastAsia="宋体" w:cs="宋体"/>
          <w:sz w:val="18"/>
          <w:szCs w:val="18"/>
        </w:rPr>
        <w:t>come</w:t>
      </w:r>
      <w:r>
        <w:rPr>
          <w:rFonts w:hint="eastAsia" w:ascii="宋体" w:hAnsi="宋体" w:eastAsia="宋体" w:cs="宋体"/>
          <w:spacing w:val="1"/>
          <w:sz w:val="18"/>
          <w:szCs w:val="18"/>
        </w:rPr>
        <w:t>-</w:t>
      </w:r>
      <w:r>
        <w:rPr>
          <w:rFonts w:hint="eastAsia" w:ascii="宋体" w:hAnsi="宋体" w:eastAsia="宋体" w:cs="宋体"/>
          <w:sz w:val="18"/>
          <w:szCs w:val="18"/>
        </w:rPr>
        <w:t>us</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w:t>
      </w:r>
      <w:r>
        <w:rPr>
          <w:rFonts w:hint="eastAsia" w:ascii="宋体" w:hAnsi="宋体" w:eastAsia="宋体" w:cs="宋体"/>
          <w:sz w:val="18"/>
          <w:szCs w:val="18"/>
        </w:rPr>
        <w:t>July</w:t>
      </w:r>
      <w:r>
        <w:rPr>
          <w:rFonts w:hint="eastAsia" w:ascii="宋体" w:hAnsi="宋体" w:eastAsia="宋体" w:cs="宋体"/>
          <w:spacing w:val="1"/>
          <w:sz w:val="18"/>
          <w:szCs w:val="18"/>
        </w:rPr>
        <w:t>30</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2024.</w:t>
      </w:r>
    </w:p>
  </w:footnote>
  <w:footnote w:id="1233">
    <w:p w14:paraId="341E5E6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McVicar</w:t>
      </w:r>
      <w:r>
        <w:rPr>
          <w:rFonts w:hint="eastAsia" w:ascii="宋体" w:hAnsi="宋体" w:eastAsia="宋体" w:cs="宋体"/>
          <w:spacing w:val="4"/>
          <w:sz w:val="18"/>
          <w:szCs w:val="18"/>
        </w:rPr>
        <w:t>,M.,</w:t>
      </w:r>
      <w:r>
        <w:rPr>
          <w:rFonts w:hint="eastAsia" w:ascii="宋体" w:hAnsi="宋体" w:eastAsia="宋体" w:cs="宋体"/>
          <w:sz w:val="18"/>
          <w:szCs w:val="18"/>
        </w:rPr>
        <w:t>TheReligiousRightinAmerica</w:t>
      </w:r>
      <w:r>
        <w:rPr>
          <w:rFonts w:hint="eastAsia" w:ascii="宋体" w:hAnsi="宋体" w:eastAsia="宋体" w:cs="宋体"/>
          <w:spacing w:val="4"/>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"https://oxfordre.com/religion/view/10"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oxfordre</w:t>
      </w:r>
      <w:r>
        <w:rPr>
          <w:rFonts w:hint="eastAsia" w:ascii="宋体" w:hAnsi="宋体" w:eastAsia="宋体" w:cs="宋体"/>
          <w:spacing w:val="4"/>
          <w:sz w:val="18"/>
          <w:szCs w:val="18"/>
        </w:rPr>
        <w:t>.</w:t>
      </w:r>
      <w:r>
        <w:rPr>
          <w:rFonts w:hint="eastAsia" w:ascii="宋体" w:hAnsi="宋体" w:eastAsia="宋体" w:cs="宋体"/>
          <w:sz w:val="18"/>
          <w:szCs w:val="18"/>
        </w:rPr>
        <w:t>com</w:t>
      </w:r>
      <w:r>
        <w:rPr>
          <w:rFonts w:hint="eastAsia" w:ascii="宋体" w:hAnsi="宋体" w:eastAsia="宋体" w:cs="宋体"/>
          <w:spacing w:val="4"/>
          <w:sz w:val="18"/>
          <w:szCs w:val="18"/>
        </w:rPr>
        <w:t>/</w:t>
      </w:r>
      <w:r>
        <w:rPr>
          <w:rFonts w:hint="eastAsia" w:ascii="宋体" w:hAnsi="宋体" w:eastAsia="宋体" w:cs="宋体"/>
          <w:sz w:val="18"/>
          <w:szCs w:val="18"/>
        </w:rPr>
        <w:t>religion</w:t>
      </w:r>
      <w:r>
        <w:rPr>
          <w:rFonts w:hint="eastAsia" w:ascii="宋体" w:hAnsi="宋体" w:eastAsia="宋体" w:cs="宋体"/>
          <w:spacing w:val="4"/>
          <w:sz w:val="18"/>
          <w:szCs w:val="18"/>
        </w:rPr>
        <w:t>/</w:t>
      </w:r>
      <w:r>
        <w:rPr>
          <w:rFonts w:hint="eastAsia" w:ascii="宋体" w:hAnsi="宋体" w:eastAsia="宋体" w:cs="宋体"/>
          <w:sz w:val="18"/>
          <w:szCs w:val="18"/>
        </w:rPr>
        <w:t>view</w:t>
      </w:r>
      <w:r>
        <w:rPr>
          <w:rFonts w:hint="eastAsia" w:ascii="宋体" w:hAnsi="宋体" w:eastAsia="宋体" w:cs="宋体"/>
          <w:spacing w:val="4"/>
          <w:sz w:val="18"/>
          <w:szCs w:val="18"/>
        </w:rPr>
        <w:t>/10</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pacing w:val="-5"/>
          <w:sz w:val="18"/>
          <w:szCs w:val="18"/>
        </w:rPr>
        <w:t>1093/acrefore/9780199340378.001.0001/acrefore-9780199340378-e-97.June</w:t>
      </w:r>
      <w:r>
        <w:rPr>
          <w:rFonts w:hint="eastAsia" w:ascii="宋体" w:hAnsi="宋体" w:eastAsia="宋体" w:cs="宋体"/>
          <w:spacing w:val="-6"/>
          <w:sz w:val="18"/>
          <w:szCs w:val="18"/>
        </w:rPr>
        <w:t>2</w:t>
      </w:r>
      <w:r>
        <w:rPr>
          <w:rFonts w:hint="eastAsia" w:ascii="宋体" w:hAnsi="宋体" w:eastAsia="宋体" w:cs="宋体"/>
          <w:spacing w:val="-6"/>
          <w:position w:val="2"/>
          <w:sz w:val="18"/>
          <w:szCs w:val="18"/>
        </w:rPr>
        <w:t>,</w:t>
      </w:r>
      <w:r>
        <w:rPr>
          <w:rFonts w:hint="eastAsia" w:ascii="宋体" w:hAnsi="宋体" w:eastAsia="宋体" w:cs="宋体"/>
          <w:spacing w:val="-6"/>
          <w:sz w:val="18"/>
          <w:szCs w:val="18"/>
        </w:rPr>
        <w:t>2024.</w:t>
      </w:r>
    </w:p>
  </w:footnote>
  <w:footnote w:id="1234">
    <w:p w14:paraId="5845623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EdStetzerandAndrewMacDonald</w:t>
      </w:r>
      <w:r>
        <w:rPr>
          <w:rFonts w:hint="eastAsia" w:ascii="宋体" w:hAnsi="宋体" w:eastAsia="宋体" w:cs="宋体"/>
          <w:spacing w:val="14"/>
          <w:position w:val="2"/>
          <w:sz w:val="18"/>
          <w:szCs w:val="18"/>
        </w:rPr>
        <w:t>,</w:t>
      </w:r>
      <w:r>
        <w:rPr>
          <w:rFonts w:hint="eastAsia" w:ascii="宋体" w:hAnsi="宋体" w:eastAsia="宋体" w:cs="宋体"/>
          <w:sz w:val="18"/>
          <w:szCs w:val="18"/>
        </w:rPr>
        <w:t>WhyEvangelicalsVotedTrump</w:t>
      </w:r>
      <w:r>
        <w:rPr>
          <w:rFonts w:hint="eastAsia" w:ascii="宋体" w:hAnsi="宋体" w:eastAsia="宋体" w:cs="宋体"/>
          <w:spacing w:val="14"/>
          <w:position w:val="2"/>
          <w:sz w:val="18"/>
          <w:szCs w:val="18"/>
        </w:rPr>
        <w:t>:</w:t>
      </w:r>
      <w:r>
        <w:rPr>
          <w:rFonts w:hint="eastAsia" w:ascii="宋体" w:hAnsi="宋体" w:eastAsia="宋体" w:cs="宋体"/>
          <w:sz w:val="18"/>
          <w:szCs w:val="18"/>
        </w:rPr>
        <w:t>Debunkingthe</w:t>
      </w:r>
      <w:r>
        <w:rPr>
          <w:rFonts w:hint="eastAsia" w:ascii="宋体" w:hAnsi="宋体" w:eastAsia="宋体" w:cs="宋体"/>
          <w:spacing w:val="14"/>
          <w:sz w:val="18"/>
          <w:szCs w:val="18"/>
        </w:rPr>
        <w:t>81%</w:t>
      </w:r>
      <w:r>
        <w:rPr>
          <w:rFonts w:hint="eastAsia" w:ascii="宋体" w:hAnsi="宋体" w:eastAsia="宋体" w:cs="宋体"/>
          <w:spacing w:val="14"/>
          <w:position w:val="2"/>
          <w:sz w:val="18"/>
          <w:szCs w:val="18"/>
        </w:rPr>
        <w:t>,</w:t>
      </w:r>
      <w:r>
        <w:rPr>
          <w:rFonts w:hint="eastAsia" w:ascii="宋体" w:hAnsi="宋体" w:eastAsia="宋体" w:cs="宋体"/>
          <w:sz w:val="18"/>
          <w:szCs w:val="18"/>
        </w:rPr>
        <w:t>ht</w:t>
      </w:r>
      <w:r>
        <w:rPr>
          <w:rFonts w:hint="eastAsia" w:ascii="宋体" w:hAnsi="宋体" w:eastAsia="宋体" w:cs="宋体"/>
          <w:spacing w:val="14"/>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"tps://www.christianitytoday.com/2018/10/why-evangelicals-trump-vote-81-percent-2016-election/" </w:instrText>
      </w:r>
      <w:r>
        <w:rPr>
          <w:rFonts w:hint="eastAsia" w:ascii="宋体" w:hAnsi="宋体" w:eastAsia="宋体" w:cs="宋体"/>
          <w:sz w:val="18"/>
          <w:szCs w:val="18"/>
        </w:rPr>
        <w:fldChar w:fldCharType="separate"/>
      </w:r>
      <w:r>
        <w:rPr>
          <w:rFonts w:hint="eastAsia" w:ascii="宋体" w:hAnsi="宋体" w:eastAsia="宋体" w:cs="宋体"/>
          <w:spacing w:val="-4"/>
          <w:sz w:val="18"/>
          <w:szCs w:val="18"/>
        </w:rPr>
        <w:t>tps://www.christianitytoday.com/2018/10/why-evangelicals-trump-vote-81-percent-2016-election/</w:t>
      </w:r>
      <w:r>
        <w:rPr>
          <w:rFonts w:hint="eastAsia" w:ascii="宋体" w:hAnsi="宋体" w:eastAsia="宋体" w:cs="宋体"/>
          <w:spacing w:val="-4"/>
          <w:sz w:val="18"/>
          <w:szCs w:val="18"/>
        </w:rPr>
        <w:fldChar w:fldCharType="end"/>
      </w:r>
      <w:r>
        <w:rPr>
          <w:rFonts w:hint="eastAsia" w:ascii="宋体" w:hAnsi="宋体" w:eastAsia="宋体" w:cs="宋体"/>
          <w:spacing w:val="-4"/>
          <w:sz w:val="18"/>
          <w:szCs w:val="18"/>
        </w:rPr>
        <w:t>.</w:t>
      </w:r>
      <w:r>
        <w:rPr>
          <w:rFonts w:hint="eastAsia" w:ascii="宋体" w:hAnsi="宋体" w:eastAsia="宋体" w:cs="宋体"/>
          <w:sz w:val="18"/>
          <w:szCs w:val="18"/>
        </w:rPr>
        <w:t>June</w:t>
      </w:r>
      <w:r>
        <w:rPr>
          <w:rFonts w:hint="eastAsia" w:ascii="宋体" w:hAnsi="宋体" w:eastAsia="宋体" w:cs="宋体"/>
          <w:spacing w:val="9"/>
          <w:sz w:val="18"/>
          <w:szCs w:val="18"/>
        </w:rPr>
        <w:t>2</w:t>
      </w:r>
      <w:r>
        <w:rPr>
          <w:rFonts w:hint="eastAsia" w:ascii="宋体" w:hAnsi="宋体" w:eastAsia="宋体" w:cs="宋体"/>
          <w:spacing w:val="9"/>
          <w:position w:val="2"/>
          <w:sz w:val="18"/>
          <w:szCs w:val="18"/>
        </w:rPr>
        <w:t>,</w:t>
      </w:r>
      <w:r>
        <w:rPr>
          <w:rFonts w:hint="eastAsia" w:ascii="宋体" w:hAnsi="宋体" w:eastAsia="宋体" w:cs="宋体"/>
          <w:spacing w:val="9"/>
          <w:sz w:val="18"/>
          <w:szCs w:val="18"/>
        </w:rPr>
        <w:t>2024.</w:t>
      </w:r>
    </w:p>
  </w:footnote>
  <w:footnote w:id="1235">
    <w:p w14:paraId="58B486FB">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徐锐:《全媒体时代主流文化传播突破资本逻辑“规训”的实践路径</w:t>
      </w:r>
      <w:r>
        <w:rPr>
          <w:rFonts w:hint="eastAsia" w:ascii="宋体" w:hAnsi="宋体" w:eastAsia="宋体" w:cs="宋体"/>
          <w:sz w:val="18"/>
          <w:szCs w:val="18"/>
        </w:rPr>
        <w:t>》,《海派经济学》2024年第</w:t>
      </w:r>
      <w:r>
        <w:rPr>
          <w:rFonts w:hint="eastAsia" w:ascii="宋体" w:hAnsi="宋体" w:eastAsia="宋体" w:cs="宋体"/>
          <w:spacing w:val="8"/>
          <w:position w:val="-1"/>
          <w:sz w:val="18"/>
          <w:szCs w:val="18"/>
        </w:rPr>
        <w:t>3</w:t>
      </w:r>
      <w:r>
        <w:rPr>
          <w:rFonts w:hint="eastAsia" w:ascii="宋体" w:hAnsi="宋体" w:eastAsia="宋体" w:cs="宋体"/>
          <w:spacing w:val="8"/>
          <w:sz w:val="18"/>
          <w:szCs w:val="18"/>
        </w:rPr>
        <w:t>期</w:t>
      </w:r>
      <w:r>
        <w:rPr>
          <w:rFonts w:hint="eastAsia" w:ascii="宋体" w:hAnsi="宋体" w:eastAsia="宋体" w:cs="宋体"/>
          <w:spacing w:val="8"/>
          <w:position w:val="1"/>
          <w:sz w:val="18"/>
          <w:szCs w:val="18"/>
        </w:rPr>
        <w:t>。</w:t>
      </w:r>
    </w:p>
  </w:footnote>
  <w:footnote w:id="1236">
    <w:p w14:paraId="2A95FB8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国务院新闻办公室:《2024年美国侵犯人权报告》,2025年8月17日。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"https://www.qstheo"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qstheo</w:t>
      </w:r>
      <w:r>
        <w:rPr>
          <w:rFonts w:hint="eastAsia" w:ascii="宋体" w:hAnsi="宋体" w:eastAsia="宋体" w:cs="宋体"/>
          <w:sz w:val="18"/>
          <w:szCs w:val="18"/>
        </w:rPr>
        <w:fldChar w:fldCharType="end"/>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ry.cn/20250818/7d72aa0cf6d</w:t>
      </w:r>
      <w:r>
        <w:rPr>
          <w:rFonts w:hint="eastAsia" w:ascii="宋体" w:hAnsi="宋体" w:eastAsia="宋体" w:cs="宋体"/>
          <w:spacing w:val="-5"/>
          <w:sz w:val="18"/>
          <w:szCs w:val="18"/>
        </w:rPr>
        <w:t>640428275831f8f1c83e6/c.html.2025</w:t>
      </w:r>
      <w:r>
        <w:rPr>
          <w:rFonts w:hint="eastAsia" w:ascii="宋体" w:hAnsi="宋体" w:eastAsia="宋体" w:cs="宋体"/>
          <w:spacing w:val="-5"/>
          <w:position w:val="1"/>
          <w:sz w:val="18"/>
          <w:szCs w:val="18"/>
        </w:rPr>
        <w:t>年</w:t>
      </w:r>
      <w:r>
        <w:rPr>
          <w:rFonts w:hint="eastAsia" w:ascii="宋体" w:hAnsi="宋体" w:eastAsia="宋体" w:cs="宋体"/>
          <w:spacing w:val="-5"/>
          <w:sz w:val="18"/>
          <w:szCs w:val="18"/>
        </w:rPr>
        <w:t>8</w:t>
      </w:r>
      <w:r>
        <w:rPr>
          <w:rFonts w:hint="eastAsia" w:ascii="宋体" w:hAnsi="宋体" w:eastAsia="宋体" w:cs="宋体"/>
          <w:spacing w:val="-5"/>
          <w:position w:val="1"/>
          <w:sz w:val="18"/>
          <w:szCs w:val="18"/>
        </w:rPr>
        <w:t>月</w:t>
      </w:r>
      <w:r>
        <w:rPr>
          <w:rFonts w:hint="eastAsia" w:ascii="宋体" w:hAnsi="宋体" w:eastAsia="宋体" w:cs="宋体"/>
          <w:spacing w:val="-5"/>
          <w:sz w:val="18"/>
          <w:szCs w:val="18"/>
        </w:rPr>
        <w:t>19</w:t>
      </w:r>
      <w:r>
        <w:rPr>
          <w:rFonts w:hint="eastAsia" w:ascii="宋体" w:hAnsi="宋体" w:eastAsia="宋体" w:cs="宋体"/>
          <w:spacing w:val="-5"/>
          <w:position w:val="1"/>
          <w:sz w:val="18"/>
          <w:szCs w:val="18"/>
        </w:rPr>
        <w:t>日</w:t>
      </w:r>
      <w:r>
        <w:rPr>
          <w:rFonts w:hint="eastAsia" w:ascii="宋体" w:hAnsi="宋体" w:eastAsia="宋体" w:cs="宋体"/>
          <w:spacing w:val="-5"/>
          <w:position w:val="2"/>
          <w:sz w:val="18"/>
          <w:szCs w:val="18"/>
        </w:rPr>
        <w:t>。</w:t>
      </w:r>
    </w:p>
  </w:footnote>
  <w:footnote w:id="1237">
    <w:p w14:paraId="6DB0E11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国务院新闻办公室:《2024年美国侵犯人权报告》,2025年8月17日。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"https://www.qstheo"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qstheo</w:t>
      </w:r>
      <w:r>
        <w:rPr>
          <w:rFonts w:hint="eastAsia" w:ascii="宋体" w:hAnsi="宋体" w:eastAsia="宋体" w:cs="宋体"/>
          <w:sz w:val="18"/>
          <w:szCs w:val="18"/>
        </w:rPr>
        <w:fldChar w:fldCharType="end"/>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ry.cn/20250818/7d72aa0cf6d</w:t>
      </w:r>
      <w:r>
        <w:rPr>
          <w:rFonts w:hint="eastAsia" w:ascii="宋体" w:hAnsi="宋体" w:eastAsia="宋体" w:cs="宋体"/>
          <w:spacing w:val="-5"/>
          <w:sz w:val="18"/>
          <w:szCs w:val="18"/>
        </w:rPr>
        <w:t>640428275831f8f1c83e6/c.html.2025</w:t>
      </w:r>
      <w:r>
        <w:rPr>
          <w:rFonts w:hint="eastAsia" w:ascii="宋体" w:hAnsi="宋体" w:eastAsia="宋体" w:cs="宋体"/>
          <w:spacing w:val="-5"/>
          <w:position w:val="1"/>
          <w:sz w:val="18"/>
          <w:szCs w:val="18"/>
        </w:rPr>
        <w:t>年</w:t>
      </w:r>
      <w:r>
        <w:rPr>
          <w:rFonts w:hint="eastAsia" w:ascii="宋体" w:hAnsi="宋体" w:eastAsia="宋体" w:cs="宋体"/>
          <w:spacing w:val="-5"/>
          <w:sz w:val="18"/>
          <w:szCs w:val="18"/>
        </w:rPr>
        <w:t>8</w:t>
      </w:r>
      <w:r>
        <w:rPr>
          <w:rFonts w:hint="eastAsia" w:ascii="宋体" w:hAnsi="宋体" w:eastAsia="宋体" w:cs="宋体"/>
          <w:spacing w:val="-5"/>
          <w:position w:val="1"/>
          <w:sz w:val="18"/>
          <w:szCs w:val="18"/>
        </w:rPr>
        <w:t>月</w:t>
      </w:r>
      <w:r>
        <w:rPr>
          <w:rFonts w:hint="eastAsia" w:ascii="宋体" w:hAnsi="宋体" w:eastAsia="宋体" w:cs="宋体"/>
          <w:spacing w:val="-5"/>
          <w:sz w:val="18"/>
          <w:szCs w:val="18"/>
        </w:rPr>
        <w:t>19</w:t>
      </w:r>
      <w:r>
        <w:rPr>
          <w:rFonts w:hint="eastAsia" w:ascii="宋体" w:hAnsi="宋体" w:eastAsia="宋体" w:cs="宋体"/>
          <w:spacing w:val="-5"/>
          <w:position w:val="1"/>
          <w:sz w:val="18"/>
          <w:szCs w:val="18"/>
        </w:rPr>
        <w:t>日</w:t>
      </w:r>
      <w:r>
        <w:rPr>
          <w:rFonts w:hint="eastAsia" w:ascii="宋体" w:hAnsi="宋体" w:eastAsia="宋体" w:cs="宋体"/>
          <w:spacing w:val="-5"/>
          <w:position w:val="2"/>
          <w:sz w:val="18"/>
          <w:szCs w:val="18"/>
        </w:rPr>
        <w:t>。</w:t>
      </w:r>
    </w:p>
  </w:footnote>
  <w:footnote w:id="1238">
    <w:p w14:paraId="24B9FF1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国务院新闻办公室:《2024年美国侵犯人权报告》,2025年8月17日。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"https://www.qstheo"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qstheo</w:t>
      </w:r>
      <w:r>
        <w:rPr>
          <w:rFonts w:hint="eastAsia" w:ascii="宋体" w:hAnsi="宋体" w:eastAsia="宋体" w:cs="宋体"/>
          <w:sz w:val="18"/>
          <w:szCs w:val="18"/>
        </w:rPr>
        <w:fldChar w:fldCharType="end"/>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ry.cn/20250818/7d72aa0cf6d</w:t>
      </w:r>
      <w:r>
        <w:rPr>
          <w:rFonts w:hint="eastAsia" w:ascii="宋体" w:hAnsi="宋体" w:eastAsia="宋体" w:cs="宋体"/>
          <w:spacing w:val="-5"/>
          <w:sz w:val="18"/>
          <w:szCs w:val="18"/>
        </w:rPr>
        <w:t>640428275831f8f1c83e6/c.html.2025</w:t>
      </w:r>
      <w:r>
        <w:rPr>
          <w:rFonts w:hint="eastAsia" w:ascii="宋体" w:hAnsi="宋体" w:eastAsia="宋体" w:cs="宋体"/>
          <w:spacing w:val="-5"/>
          <w:position w:val="1"/>
          <w:sz w:val="18"/>
          <w:szCs w:val="18"/>
        </w:rPr>
        <w:t>年</w:t>
      </w:r>
      <w:r>
        <w:rPr>
          <w:rFonts w:hint="eastAsia" w:ascii="宋体" w:hAnsi="宋体" w:eastAsia="宋体" w:cs="宋体"/>
          <w:spacing w:val="-5"/>
          <w:sz w:val="18"/>
          <w:szCs w:val="18"/>
        </w:rPr>
        <w:t>8</w:t>
      </w:r>
      <w:r>
        <w:rPr>
          <w:rFonts w:hint="eastAsia" w:ascii="宋体" w:hAnsi="宋体" w:eastAsia="宋体" w:cs="宋体"/>
          <w:spacing w:val="-5"/>
          <w:position w:val="1"/>
          <w:sz w:val="18"/>
          <w:szCs w:val="18"/>
        </w:rPr>
        <w:t>月</w:t>
      </w:r>
      <w:r>
        <w:rPr>
          <w:rFonts w:hint="eastAsia" w:ascii="宋体" w:hAnsi="宋体" w:eastAsia="宋体" w:cs="宋体"/>
          <w:spacing w:val="-5"/>
          <w:sz w:val="18"/>
          <w:szCs w:val="18"/>
        </w:rPr>
        <w:t>19</w:t>
      </w:r>
      <w:r>
        <w:rPr>
          <w:rFonts w:hint="eastAsia" w:ascii="宋体" w:hAnsi="宋体" w:eastAsia="宋体" w:cs="宋体"/>
          <w:spacing w:val="-5"/>
          <w:position w:val="1"/>
          <w:sz w:val="18"/>
          <w:szCs w:val="18"/>
        </w:rPr>
        <w:t>日</w:t>
      </w:r>
      <w:r>
        <w:rPr>
          <w:rFonts w:hint="eastAsia" w:ascii="宋体" w:hAnsi="宋体" w:eastAsia="宋体" w:cs="宋体"/>
          <w:spacing w:val="-5"/>
          <w:position w:val="2"/>
          <w:sz w:val="18"/>
          <w:szCs w:val="18"/>
        </w:rPr>
        <w:t>。</w:t>
      </w:r>
    </w:p>
  </w:footnote>
  <w:footnote w:id="1239">
    <w:p w14:paraId="0A26C24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国务院新闻办公室:《2024年美国侵犯人权报告》,2025年8月17日。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"https://www.qstheo"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qstheo</w:t>
      </w:r>
      <w:r>
        <w:rPr>
          <w:rFonts w:hint="eastAsia" w:ascii="宋体" w:hAnsi="宋体" w:eastAsia="宋体" w:cs="宋体"/>
          <w:sz w:val="18"/>
          <w:szCs w:val="18"/>
        </w:rPr>
        <w:fldChar w:fldCharType="end"/>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ry.cn/20250818/7d72aa0cf6d</w:t>
      </w:r>
      <w:r>
        <w:rPr>
          <w:rFonts w:hint="eastAsia" w:ascii="宋体" w:hAnsi="宋体" w:eastAsia="宋体" w:cs="宋体"/>
          <w:spacing w:val="-5"/>
          <w:sz w:val="18"/>
          <w:szCs w:val="18"/>
        </w:rPr>
        <w:t>640428275831f8f1c83e6/c.html.2025</w:t>
      </w:r>
      <w:r>
        <w:rPr>
          <w:rFonts w:hint="eastAsia" w:ascii="宋体" w:hAnsi="宋体" w:eastAsia="宋体" w:cs="宋体"/>
          <w:spacing w:val="-5"/>
          <w:position w:val="1"/>
          <w:sz w:val="18"/>
          <w:szCs w:val="18"/>
        </w:rPr>
        <w:t>年</w:t>
      </w:r>
      <w:r>
        <w:rPr>
          <w:rFonts w:hint="eastAsia" w:ascii="宋体" w:hAnsi="宋体" w:eastAsia="宋体" w:cs="宋体"/>
          <w:spacing w:val="-5"/>
          <w:sz w:val="18"/>
          <w:szCs w:val="18"/>
        </w:rPr>
        <w:t>8</w:t>
      </w:r>
      <w:r>
        <w:rPr>
          <w:rFonts w:hint="eastAsia" w:ascii="宋体" w:hAnsi="宋体" w:eastAsia="宋体" w:cs="宋体"/>
          <w:spacing w:val="-5"/>
          <w:position w:val="1"/>
          <w:sz w:val="18"/>
          <w:szCs w:val="18"/>
        </w:rPr>
        <w:t>月</w:t>
      </w:r>
      <w:r>
        <w:rPr>
          <w:rFonts w:hint="eastAsia" w:ascii="宋体" w:hAnsi="宋体" w:eastAsia="宋体" w:cs="宋体"/>
          <w:spacing w:val="-5"/>
          <w:sz w:val="18"/>
          <w:szCs w:val="18"/>
        </w:rPr>
        <w:t>19</w:t>
      </w:r>
      <w:r>
        <w:rPr>
          <w:rFonts w:hint="eastAsia" w:ascii="宋体" w:hAnsi="宋体" w:eastAsia="宋体" w:cs="宋体"/>
          <w:spacing w:val="-5"/>
          <w:position w:val="1"/>
          <w:sz w:val="18"/>
          <w:szCs w:val="18"/>
        </w:rPr>
        <w:t>日</w:t>
      </w:r>
      <w:r>
        <w:rPr>
          <w:rFonts w:hint="eastAsia" w:ascii="宋体" w:hAnsi="宋体" w:eastAsia="宋体" w:cs="宋体"/>
          <w:spacing w:val="-5"/>
          <w:position w:val="2"/>
          <w:sz w:val="18"/>
          <w:szCs w:val="18"/>
        </w:rPr>
        <w:t>。</w:t>
      </w:r>
    </w:p>
  </w:footnote>
  <w:footnote w:id="1240">
    <w:p w14:paraId="4C0BB8A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国务院新闻办公室:《2024年美国侵犯人权报告》,2025年8月17日。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"https://www.qstheo"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qstheo</w:t>
      </w:r>
      <w:r>
        <w:rPr>
          <w:rFonts w:hint="eastAsia" w:ascii="宋体" w:hAnsi="宋体" w:eastAsia="宋体" w:cs="宋体"/>
          <w:sz w:val="18"/>
          <w:szCs w:val="18"/>
        </w:rPr>
        <w:fldChar w:fldCharType="end"/>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ry.cn/20250818/7d72aa0cf6d</w:t>
      </w:r>
      <w:r>
        <w:rPr>
          <w:rFonts w:hint="eastAsia" w:ascii="宋体" w:hAnsi="宋体" w:eastAsia="宋体" w:cs="宋体"/>
          <w:spacing w:val="-5"/>
          <w:sz w:val="18"/>
          <w:szCs w:val="18"/>
        </w:rPr>
        <w:t>640428275831f8f1c83e6/c.html.2025</w:t>
      </w:r>
      <w:r>
        <w:rPr>
          <w:rFonts w:hint="eastAsia" w:ascii="宋体" w:hAnsi="宋体" w:eastAsia="宋体" w:cs="宋体"/>
          <w:spacing w:val="-5"/>
          <w:position w:val="1"/>
          <w:sz w:val="18"/>
          <w:szCs w:val="18"/>
        </w:rPr>
        <w:t>年</w:t>
      </w:r>
      <w:r>
        <w:rPr>
          <w:rFonts w:hint="eastAsia" w:ascii="宋体" w:hAnsi="宋体" w:eastAsia="宋体" w:cs="宋体"/>
          <w:spacing w:val="-5"/>
          <w:sz w:val="18"/>
          <w:szCs w:val="18"/>
        </w:rPr>
        <w:t>8</w:t>
      </w:r>
      <w:r>
        <w:rPr>
          <w:rFonts w:hint="eastAsia" w:ascii="宋体" w:hAnsi="宋体" w:eastAsia="宋体" w:cs="宋体"/>
          <w:spacing w:val="-5"/>
          <w:position w:val="1"/>
          <w:sz w:val="18"/>
          <w:szCs w:val="18"/>
        </w:rPr>
        <w:t>月</w:t>
      </w:r>
      <w:r>
        <w:rPr>
          <w:rFonts w:hint="eastAsia" w:ascii="宋体" w:hAnsi="宋体" w:eastAsia="宋体" w:cs="宋体"/>
          <w:spacing w:val="-5"/>
          <w:sz w:val="18"/>
          <w:szCs w:val="18"/>
        </w:rPr>
        <w:t>19</w:t>
      </w:r>
      <w:r>
        <w:rPr>
          <w:rFonts w:hint="eastAsia" w:ascii="宋体" w:hAnsi="宋体" w:eastAsia="宋体" w:cs="宋体"/>
          <w:spacing w:val="-5"/>
          <w:position w:val="1"/>
          <w:sz w:val="18"/>
          <w:szCs w:val="18"/>
        </w:rPr>
        <w:t>日</w:t>
      </w:r>
      <w:r>
        <w:rPr>
          <w:rFonts w:hint="eastAsia" w:ascii="宋体" w:hAnsi="宋体" w:eastAsia="宋体" w:cs="宋体"/>
          <w:spacing w:val="-5"/>
          <w:position w:val="2"/>
          <w:sz w:val="18"/>
          <w:szCs w:val="18"/>
        </w:rPr>
        <w:t>。</w:t>
      </w:r>
    </w:p>
  </w:footnote>
  <w:footnote w:id="1241">
    <w:p w14:paraId="5995852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国务院新闻办公室:《2024年美国侵犯人权报告》,2025年8月17日。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"https://www.qstheo"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4"/>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sz w:val="18"/>
          <w:szCs w:val="18"/>
        </w:rPr>
        <w:t>qstheo</w:t>
      </w:r>
      <w:r>
        <w:rPr>
          <w:rFonts w:hint="eastAsia" w:ascii="宋体" w:hAnsi="宋体" w:eastAsia="宋体" w:cs="宋体"/>
          <w:sz w:val="18"/>
          <w:szCs w:val="18"/>
        </w:rPr>
        <w:fldChar w:fldCharType="end"/>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ry.cn/20250818/7d72aa0cf6d</w:t>
      </w:r>
      <w:r>
        <w:rPr>
          <w:rFonts w:hint="eastAsia" w:ascii="宋体" w:hAnsi="宋体" w:eastAsia="宋体" w:cs="宋体"/>
          <w:spacing w:val="-5"/>
          <w:sz w:val="18"/>
          <w:szCs w:val="18"/>
        </w:rPr>
        <w:t>640428275831f8f1c83e6/c.html.2025</w:t>
      </w:r>
      <w:r>
        <w:rPr>
          <w:rFonts w:hint="eastAsia" w:ascii="宋体" w:hAnsi="宋体" w:eastAsia="宋体" w:cs="宋体"/>
          <w:spacing w:val="-5"/>
          <w:position w:val="1"/>
          <w:sz w:val="18"/>
          <w:szCs w:val="18"/>
        </w:rPr>
        <w:t>年</w:t>
      </w:r>
      <w:r>
        <w:rPr>
          <w:rFonts w:hint="eastAsia" w:ascii="宋体" w:hAnsi="宋体" w:eastAsia="宋体" w:cs="宋体"/>
          <w:spacing w:val="-5"/>
          <w:sz w:val="18"/>
          <w:szCs w:val="18"/>
        </w:rPr>
        <w:t>8</w:t>
      </w:r>
      <w:r>
        <w:rPr>
          <w:rFonts w:hint="eastAsia" w:ascii="宋体" w:hAnsi="宋体" w:eastAsia="宋体" w:cs="宋体"/>
          <w:spacing w:val="-5"/>
          <w:position w:val="1"/>
          <w:sz w:val="18"/>
          <w:szCs w:val="18"/>
        </w:rPr>
        <w:t>月</w:t>
      </w:r>
      <w:r>
        <w:rPr>
          <w:rFonts w:hint="eastAsia" w:ascii="宋体" w:hAnsi="宋体" w:eastAsia="宋体" w:cs="宋体"/>
          <w:spacing w:val="-5"/>
          <w:sz w:val="18"/>
          <w:szCs w:val="18"/>
        </w:rPr>
        <w:t>19</w:t>
      </w:r>
      <w:r>
        <w:rPr>
          <w:rFonts w:hint="eastAsia" w:ascii="宋体" w:hAnsi="宋体" w:eastAsia="宋体" w:cs="宋体"/>
          <w:spacing w:val="-5"/>
          <w:position w:val="1"/>
          <w:sz w:val="18"/>
          <w:szCs w:val="18"/>
        </w:rPr>
        <w:t>日</w:t>
      </w:r>
      <w:r>
        <w:rPr>
          <w:rFonts w:hint="eastAsia" w:ascii="宋体" w:hAnsi="宋体" w:eastAsia="宋体" w:cs="宋体"/>
          <w:spacing w:val="-5"/>
          <w:position w:val="2"/>
          <w:sz w:val="18"/>
          <w:szCs w:val="18"/>
        </w:rPr>
        <w:t>。</w:t>
      </w:r>
    </w:p>
  </w:footnote>
  <w:footnote w:id="1242">
    <w:p w14:paraId="5394E44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NataliaMamonova</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JaumeFranquesa</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Populism</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NeoliberalismandAg</w:t>
      </w:r>
      <w:r>
        <w:rPr>
          <w:rFonts w:hint="eastAsia" w:ascii="宋体" w:hAnsi="宋体" w:eastAsia="宋体" w:cs="宋体"/>
          <w:spacing w:val="-2"/>
          <w:sz w:val="18"/>
          <w:szCs w:val="18"/>
        </w:rPr>
        <w:t>rarianMovementsin</w:t>
      </w:r>
      <w:r>
        <w:rPr>
          <w:rFonts w:hint="eastAsia" w:ascii="宋体" w:hAnsi="宋体" w:eastAsia="宋体" w:cs="宋体"/>
          <w:spacing w:val="1"/>
          <w:sz w:val="18"/>
          <w:szCs w:val="18"/>
        </w:rPr>
        <w:t>Europe.UnderstandingRuralSupportforRight-WingPoliticsandL</w:t>
      </w:r>
      <w:r>
        <w:rPr>
          <w:rFonts w:hint="eastAsia" w:ascii="宋体" w:hAnsi="宋体" w:eastAsia="宋体" w:cs="宋体"/>
          <w:sz w:val="18"/>
          <w:szCs w:val="18"/>
        </w:rPr>
        <w:t>ookingforProgressiveSolutions</w:t>
      </w:r>
      <w:r>
        <w:rPr>
          <w:rFonts w:hint="eastAsia" w:ascii="宋体" w:hAnsi="宋体" w:eastAsia="宋体" w:cs="宋体"/>
          <w:position w:val="2"/>
          <w:sz w:val="18"/>
          <w:szCs w:val="18"/>
        </w:rPr>
        <w:t>,</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"https://doi.org/10.1111/soru.12291.March25"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2"/>
          <w:sz w:val="18"/>
          <w:szCs w:val="18"/>
        </w:rPr>
        <w:t>://</w:t>
      </w:r>
      <w:r>
        <w:rPr>
          <w:rFonts w:hint="eastAsia" w:ascii="宋体" w:hAnsi="宋体" w:eastAsia="宋体" w:cs="宋体"/>
          <w:sz w:val="18"/>
          <w:szCs w:val="18"/>
        </w:rPr>
        <w:t>doi</w:t>
      </w:r>
      <w:r>
        <w:rPr>
          <w:rFonts w:hint="eastAsia" w:ascii="宋体" w:hAnsi="宋体" w:eastAsia="宋体" w:cs="宋体"/>
          <w:spacing w:val="2"/>
          <w:sz w:val="18"/>
          <w:szCs w:val="18"/>
        </w:rPr>
        <w:t>.</w:t>
      </w:r>
      <w:r>
        <w:rPr>
          <w:rFonts w:hint="eastAsia" w:ascii="宋体" w:hAnsi="宋体" w:eastAsia="宋体" w:cs="宋体"/>
          <w:sz w:val="18"/>
          <w:szCs w:val="18"/>
        </w:rPr>
        <w:t>org</w:t>
      </w:r>
      <w:r>
        <w:rPr>
          <w:rFonts w:hint="eastAsia" w:ascii="宋体" w:hAnsi="宋体" w:eastAsia="宋体" w:cs="宋体"/>
          <w:spacing w:val="2"/>
          <w:sz w:val="18"/>
          <w:szCs w:val="18"/>
        </w:rPr>
        <w:t>/10.1111/</w:t>
      </w:r>
      <w:r>
        <w:rPr>
          <w:rFonts w:hint="eastAsia" w:ascii="宋体" w:hAnsi="宋体" w:eastAsia="宋体" w:cs="宋体"/>
          <w:sz w:val="18"/>
          <w:szCs w:val="18"/>
        </w:rPr>
        <w:t>soru</w:t>
      </w:r>
      <w:r>
        <w:rPr>
          <w:rFonts w:hint="eastAsia" w:ascii="宋体" w:hAnsi="宋体" w:eastAsia="宋体" w:cs="宋体"/>
          <w:spacing w:val="2"/>
          <w:sz w:val="18"/>
          <w:szCs w:val="18"/>
        </w:rPr>
        <w:t>.12291.</w:t>
      </w:r>
      <w:r>
        <w:rPr>
          <w:rFonts w:hint="eastAsia" w:ascii="宋体" w:hAnsi="宋体" w:eastAsia="宋体" w:cs="宋体"/>
          <w:sz w:val="18"/>
          <w:szCs w:val="18"/>
        </w:rPr>
        <w:t>March</w:t>
      </w:r>
      <w:r>
        <w:rPr>
          <w:rFonts w:hint="eastAsia" w:ascii="宋体" w:hAnsi="宋体" w:eastAsia="宋体" w:cs="宋体"/>
          <w:spacing w:val="1"/>
          <w:sz w:val="18"/>
          <w:szCs w:val="18"/>
        </w:rPr>
        <w:t>25</w:t>
      </w:r>
      <w:r>
        <w:rPr>
          <w:rFonts w:hint="eastAsia" w:ascii="宋体" w:hAnsi="宋体" w:eastAsia="宋体" w:cs="宋体"/>
          <w:spacing w:val="1"/>
          <w:sz w:val="18"/>
          <w:szCs w:val="18"/>
        </w:rPr>
        <w:fldChar w:fldCharType="end"/>
      </w:r>
      <w:r>
        <w:rPr>
          <w:rFonts w:hint="eastAsia" w:ascii="宋体" w:hAnsi="宋体" w:eastAsia="宋体" w:cs="宋体"/>
          <w:spacing w:val="1"/>
          <w:sz w:val="18"/>
          <w:szCs w:val="18"/>
        </w:rPr>
        <w:t>,2025.</w:t>
      </w:r>
    </w:p>
  </w:footnote>
  <w:footnote w:id="1243">
    <w:p w14:paraId="384D86C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〔美〕大卫·</w:t>
      </w:r>
      <w:r>
        <w:rPr>
          <w:rFonts w:hint="eastAsia" w:ascii="宋体" w:hAnsi="宋体" w:eastAsia="宋体" w:cs="宋体"/>
          <w:spacing w:val="7"/>
          <w:position w:val="-1"/>
          <w:sz w:val="18"/>
          <w:szCs w:val="18"/>
        </w:rPr>
        <w:t>R.</w:t>
      </w:r>
      <w:r>
        <w:rPr>
          <w:rFonts w:hint="eastAsia" w:ascii="宋体" w:hAnsi="宋体" w:eastAsia="宋体" w:cs="宋体"/>
          <w:spacing w:val="7"/>
          <w:sz w:val="18"/>
          <w:szCs w:val="18"/>
        </w:rPr>
        <w:t>罗迪格:《白人</w:t>
      </w:r>
      <w:r>
        <w:rPr>
          <w:rFonts w:hint="eastAsia" w:ascii="宋体" w:hAnsi="宋体" w:eastAsia="宋体" w:cs="宋体"/>
          <w:spacing w:val="6"/>
          <w:sz w:val="18"/>
          <w:szCs w:val="18"/>
        </w:rPr>
        <w:t>的工资:种族与美国工人阶级的形成》,郭飞、李越译,上海:上海</w:t>
      </w:r>
      <w:r>
        <w:rPr>
          <w:rFonts w:hint="eastAsia" w:ascii="宋体" w:hAnsi="宋体" w:eastAsia="宋体" w:cs="宋体"/>
          <w:spacing w:val="9"/>
          <w:sz w:val="18"/>
          <w:szCs w:val="18"/>
        </w:rPr>
        <w:t>人民出版社,</w:t>
      </w:r>
      <w:r>
        <w:rPr>
          <w:rFonts w:hint="eastAsia" w:ascii="宋体" w:hAnsi="宋体" w:eastAsia="宋体" w:cs="宋体"/>
          <w:spacing w:val="9"/>
          <w:position w:val="-1"/>
          <w:sz w:val="18"/>
          <w:szCs w:val="18"/>
        </w:rPr>
        <w:t>2022</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23</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244">
    <w:p w14:paraId="42AEE17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〔美〕大卫·</w:t>
      </w:r>
      <w:r>
        <w:rPr>
          <w:rFonts w:hint="eastAsia" w:ascii="宋体" w:hAnsi="宋体" w:eastAsia="宋体" w:cs="宋体"/>
          <w:spacing w:val="7"/>
          <w:position w:val="-1"/>
          <w:sz w:val="18"/>
          <w:szCs w:val="18"/>
        </w:rPr>
        <w:t>R.</w:t>
      </w:r>
      <w:r>
        <w:rPr>
          <w:rFonts w:hint="eastAsia" w:ascii="宋体" w:hAnsi="宋体" w:eastAsia="宋体" w:cs="宋体"/>
          <w:spacing w:val="7"/>
          <w:sz w:val="18"/>
          <w:szCs w:val="18"/>
        </w:rPr>
        <w:t>罗迪格:《白人</w:t>
      </w:r>
      <w:r>
        <w:rPr>
          <w:rFonts w:hint="eastAsia" w:ascii="宋体" w:hAnsi="宋体" w:eastAsia="宋体" w:cs="宋体"/>
          <w:spacing w:val="6"/>
          <w:sz w:val="18"/>
          <w:szCs w:val="18"/>
        </w:rPr>
        <w:t>的工资:种族与美国工人阶级的形成》,郭飞、李越译,上海:上海</w:t>
      </w:r>
      <w:r>
        <w:rPr>
          <w:rFonts w:hint="eastAsia" w:ascii="宋体" w:hAnsi="宋体" w:eastAsia="宋体" w:cs="宋体"/>
          <w:spacing w:val="9"/>
          <w:sz w:val="18"/>
          <w:szCs w:val="18"/>
        </w:rPr>
        <w:t>人民出版社,</w:t>
      </w:r>
      <w:r>
        <w:rPr>
          <w:rFonts w:hint="eastAsia" w:ascii="宋体" w:hAnsi="宋体" w:eastAsia="宋体" w:cs="宋体"/>
          <w:spacing w:val="9"/>
          <w:position w:val="-1"/>
          <w:sz w:val="18"/>
          <w:szCs w:val="18"/>
        </w:rPr>
        <w:t>2022</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lang w:val="en-US" w:eastAsia="zh-CN"/>
        </w:rPr>
        <w:t>34</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245">
    <w:p w14:paraId="44506D1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14"/>
          <w:sz w:val="18"/>
          <w:szCs w:val="18"/>
        </w:rPr>
        <w:t>书店</w:t>
      </w:r>
      <w:r>
        <w:rPr>
          <w:rFonts w:hint="eastAsia" w:ascii="宋体" w:hAnsi="宋体" w:eastAsia="宋体" w:cs="宋体"/>
          <w:spacing w:val="14"/>
          <w:position w:val="1"/>
          <w:sz w:val="18"/>
          <w:szCs w:val="18"/>
        </w:rPr>
        <w:t>,</w:t>
      </w:r>
      <w:r>
        <w:rPr>
          <w:rFonts w:hint="eastAsia" w:ascii="宋体" w:hAnsi="宋体" w:eastAsia="宋体" w:cs="宋体"/>
          <w:spacing w:val="14"/>
          <w:position w:val="-1"/>
          <w:sz w:val="18"/>
          <w:szCs w:val="18"/>
        </w:rPr>
        <w:t>2005</w:t>
      </w:r>
      <w:r>
        <w:rPr>
          <w:rFonts w:hint="eastAsia" w:ascii="宋体" w:hAnsi="宋体" w:eastAsia="宋体" w:cs="宋体"/>
          <w:spacing w:val="14"/>
          <w:sz w:val="18"/>
          <w:szCs w:val="18"/>
        </w:rPr>
        <w:t>年,第</w:t>
      </w:r>
      <w:r>
        <w:rPr>
          <w:rFonts w:hint="eastAsia" w:ascii="宋体" w:hAnsi="宋体" w:eastAsia="宋体" w:cs="宋体"/>
          <w:spacing w:val="14"/>
          <w:position w:val="-1"/>
          <w:sz w:val="18"/>
          <w:szCs w:val="18"/>
        </w:rPr>
        <w:t>3-5</w:t>
      </w:r>
      <w:r>
        <w:rPr>
          <w:rFonts w:hint="eastAsia" w:ascii="宋体" w:hAnsi="宋体" w:eastAsia="宋体" w:cs="宋体"/>
          <w:spacing w:val="14"/>
          <w:sz w:val="18"/>
          <w:szCs w:val="18"/>
        </w:rPr>
        <w:t>页</w:t>
      </w:r>
      <w:r>
        <w:rPr>
          <w:rFonts w:hint="eastAsia" w:ascii="宋体" w:hAnsi="宋体" w:eastAsia="宋体" w:cs="宋体"/>
          <w:spacing w:val="14"/>
          <w:position w:val="1"/>
          <w:sz w:val="18"/>
          <w:szCs w:val="18"/>
        </w:rPr>
        <w:t>。</w:t>
      </w:r>
    </w:p>
  </w:footnote>
  <w:footnote w:id="1246">
    <w:p w14:paraId="6766069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〔美〕塞缪尔·亨廷顿:《文明的冲突与世界秩序的重建》(修订版),周琪等译,北京:新华出版</w:t>
      </w:r>
      <w:r>
        <w:rPr>
          <w:rFonts w:hint="eastAsia" w:ascii="宋体" w:hAnsi="宋体" w:eastAsia="宋体" w:cs="宋体"/>
          <w:spacing w:val="8"/>
          <w:sz w:val="18"/>
          <w:szCs w:val="18"/>
        </w:rPr>
        <w:t>社,</w:t>
      </w:r>
      <w:r>
        <w:rPr>
          <w:rFonts w:hint="eastAsia" w:ascii="宋体" w:hAnsi="宋体" w:eastAsia="宋体" w:cs="宋体"/>
          <w:spacing w:val="8"/>
          <w:position w:val="-1"/>
          <w:sz w:val="18"/>
          <w:szCs w:val="18"/>
        </w:rPr>
        <w:t>2010</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rPr>
        <w:t>187</w:t>
      </w:r>
      <w:r>
        <w:rPr>
          <w:rFonts w:hint="eastAsia" w:ascii="宋体" w:hAnsi="宋体" w:eastAsia="宋体" w:cs="宋体"/>
          <w:spacing w:val="8"/>
          <w:sz w:val="18"/>
          <w:szCs w:val="18"/>
        </w:rPr>
        <w:t>页</w:t>
      </w:r>
      <w:r>
        <w:rPr>
          <w:rFonts w:hint="eastAsia" w:ascii="宋体" w:hAnsi="宋体" w:eastAsia="宋体" w:cs="宋体"/>
          <w:spacing w:val="8"/>
          <w:position w:val="1"/>
          <w:sz w:val="18"/>
          <w:szCs w:val="18"/>
        </w:rPr>
        <w:t>。</w:t>
      </w:r>
    </w:p>
  </w:footnote>
  <w:footnote w:id="1247">
    <w:p w14:paraId="0FBCE78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8"/>
          <w:sz w:val="18"/>
          <w:szCs w:val="18"/>
        </w:rPr>
        <w:t>书店</w:t>
      </w:r>
      <w:r>
        <w:rPr>
          <w:rFonts w:hint="eastAsia" w:ascii="宋体" w:hAnsi="宋体" w:eastAsia="宋体" w:cs="宋体"/>
          <w:spacing w:val="8"/>
          <w:position w:val="1"/>
          <w:sz w:val="18"/>
          <w:szCs w:val="18"/>
        </w:rPr>
        <w:t>,</w:t>
      </w:r>
      <w:r>
        <w:rPr>
          <w:rFonts w:hint="eastAsia" w:ascii="宋体" w:hAnsi="宋体" w:eastAsia="宋体" w:cs="宋体"/>
          <w:spacing w:val="8"/>
          <w:position w:val="-1"/>
          <w:sz w:val="18"/>
          <w:szCs w:val="18"/>
        </w:rPr>
        <w:t>2005</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rPr>
        <w:t>1</w:t>
      </w:r>
      <w:r>
        <w:rPr>
          <w:rFonts w:hint="eastAsia" w:ascii="宋体" w:hAnsi="宋体" w:eastAsia="宋体" w:cs="宋体"/>
          <w:spacing w:val="8"/>
          <w:sz w:val="18"/>
          <w:szCs w:val="18"/>
        </w:rPr>
        <w:t>页</w:t>
      </w:r>
      <w:r>
        <w:rPr>
          <w:rFonts w:hint="eastAsia" w:ascii="宋体" w:hAnsi="宋体" w:eastAsia="宋体" w:cs="宋体"/>
          <w:spacing w:val="8"/>
          <w:position w:val="1"/>
          <w:sz w:val="18"/>
          <w:szCs w:val="18"/>
        </w:rPr>
        <w:t>。</w:t>
      </w:r>
    </w:p>
  </w:footnote>
  <w:footnote w:id="1248">
    <w:p w14:paraId="617CF16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〔法〕皮埃尔-安德烈·塔吉耶夫:《种族主义源流》,高凌翰译,北京:生活·读书·新知三联</w:t>
      </w:r>
      <w:r>
        <w:rPr>
          <w:rFonts w:hint="eastAsia" w:ascii="宋体" w:hAnsi="宋体" w:eastAsia="宋体" w:cs="宋体"/>
          <w:spacing w:val="8"/>
          <w:sz w:val="18"/>
          <w:szCs w:val="18"/>
        </w:rPr>
        <w:t>书店</w:t>
      </w:r>
      <w:r>
        <w:rPr>
          <w:rFonts w:hint="eastAsia" w:ascii="宋体" w:hAnsi="宋体" w:eastAsia="宋体" w:cs="宋体"/>
          <w:spacing w:val="8"/>
          <w:position w:val="1"/>
          <w:sz w:val="18"/>
          <w:szCs w:val="18"/>
        </w:rPr>
        <w:t>,</w:t>
      </w:r>
      <w:r>
        <w:rPr>
          <w:rFonts w:hint="eastAsia" w:ascii="宋体" w:hAnsi="宋体" w:eastAsia="宋体" w:cs="宋体"/>
          <w:spacing w:val="8"/>
          <w:position w:val="-1"/>
          <w:sz w:val="18"/>
          <w:szCs w:val="18"/>
        </w:rPr>
        <w:t>2005</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lang w:val="en-US" w:eastAsia="zh-CN"/>
        </w:rPr>
        <w:t>2</w:t>
      </w:r>
      <w:r>
        <w:rPr>
          <w:rFonts w:hint="eastAsia" w:ascii="宋体" w:hAnsi="宋体" w:eastAsia="宋体" w:cs="宋体"/>
          <w:spacing w:val="8"/>
          <w:sz w:val="18"/>
          <w:szCs w:val="18"/>
        </w:rPr>
        <w:t>页</w:t>
      </w:r>
      <w:r>
        <w:rPr>
          <w:rFonts w:hint="eastAsia" w:ascii="宋体" w:hAnsi="宋体" w:eastAsia="宋体" w:cs="宋体"/>
          <w:spacing w:val="8"/>
          <w:position w:val="1"/>
          <w:sz w:val="18"/>
          <w:szCs w:val="18"/>
        </w:rPr>
        <w:t>。</w:t>
      </w:r>
    </w:p>
  </w:footnote>
  <w:footnote w:id="1249">
    <w:p w14:paraId="2058A76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《毛泽东著作专题摘录》,北京:人民出版社,</w:t>
      </w:r>
      <w:r>
        <w:rPr>
          <w:rFonts w:hint="eastAsia" w:ascii="宋体" w:hAnsi="宋体" w:eastAsia="宋体" w:cs="宋体"/>
          <w:spacing w:val="8"/>
          <w:position w:val="-1"/>
          <w:sz w:val="18"/>
          <w:szCs w:val="18"/>
        </w:rPr>
        <w:t>1964</w:t>
      </w:r>
      <w:r>
        <w:rPr>
          <w:rFonts w:hint="eastAsia" w:ascii="宋体" w:hAnsi="宋体" w:eastAsia="宋体" w:cs="宋体"/>
          <w:spacing w:val="8"/>
          <w:sz w:val="18"/>
          <w:szCs w:val="18"/>
        </w:rPr>
        <w:t>年</w:t>
      </w:r>
      <w:r>
        <w:rPr>
          <w:rFonts w:hint="eastAsia" w:ascii="宋体" w:hAnsi="宋体" w:eastAsia="宋体" w:cs="宋体"/>
          <w:spacing w:val="7"/>
          <w:sz w:val="18"/>
          <w:szCs w:val="18"/>
        </w:rPr>
        <w:t>,第</w:t>
      </w:r>
      <w:r>
        <w:rPr>
          <w:rFonts w:hint="eastAsia" w:ascii="宋体" w:hAnsi="宋体" w:eastAsia="宋体" w:cs="宋体"/>
          <w:spacing w:val="7"/>
          <w:position w:val="-1"/>
          <w:sz w:val="18"/>
          <w:szCs w:val="18"/>
        </w:rPr>
        <w:t>1328</w:t>
      </w:r>
      <w:r>
        <w:rPr>
          <w:rFonts w:hint="eastAsia" w:ascii="宋体" w:hAnsi="宋体" w:eastAsia="宋体" w:cs="宋体"/>
          <w:spacing w:val="7"/>
          <w:sz w:val="18"/>
          <w:szCs w:val="18"/>
        </w:rPr>
        <w:t>页</w:t>
      </w:r>
      <w:r>
        <w:rPr>
          <w:rFonts w:hint="eastAsia" w:ascii="宋体" w:hAnsi="宋体" w:eastAsia="宋体" w:cs="宋体"/>
          <w:spacing w:val="7"/>
          <w:sz w:val="18"/>
          <w:szCs w:val="18"/>
          <w:lang w:eastAsia="zh-CN"/>
        </w:rPr>
        <w:t>。</w:t>
      </w:r>
    </w:p>
  </w:footnote>
  <w:footnote w:id="1250">
    <w:p w14:paraId="273C52B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position w:val="3"/>
          <w:sz w:val="18"/>
          <w:szCs w:val="18"/>
        </w:rPr>
        <w:t>RaphaelLemkin</w:t>
      </w:r>
      <w:r>
        <w:rPr>
          <w:rFonts w:hint="eastAsia" w:ascii="宋体" w:hAnsi="宋体" w:eastAsia="宋体" w:cs="宋体"/>
          <w:spacing w:val="7"/>
          <w:position w:val="5"/>
          <w:sz w:val="18"/>
          <w:szCs w:val="18"/>
        </w:rPr>
        <w:t>,</w:t>
      </w:r>
      <w:r>
        <w:rPr>
          <w:rFonts w:hint="eastAsia" w:ascii="宋体" w:hAnsi="宋体" w:eastAsia="宋体" w:cs="宋体"/>
          <w:spacing w:val="7"/>
          <w:position w:val="3"/>
          <w:sz w:val="18"/>
          <w:szCs w:val="18"/>
        </w:rPr>
        <w:t>AxisRuleinOccupiedEurope</w:t>
      </w:r>
      <w:r>
        <w:rPr>
          <w:rFonts w:hint="eastAsia" w:ascii="宋体" w:hAnsi="宋体" w:eastAsia="宋体" w:cs="宋体"/>
          <w:spacing w:val="7"/>
          <w:position w:val="5"/>
          <w:sz w:val="18"/>
          <w:szCs w:val="18"/>
        </w:rPr>
        <w:t>:</w:t>
      </w:r>
      <w:r>
        <w:rPr>
          <w:rFonts w:hint="eastAsia" w:ascii="宋体" w:hAnsi="宋体" w:eastAsia="宋体" w:cs="宋体"/>
          <w:spacing w:val="7"/>
          <w:position w:val="3"/>
          <w:sz w:val="18"/>
          <w:szCs w:val="18"/>
        </w:rPr>
        <w:t>LawsofOccupation</w:t>
      </w:r>
      <w:r>
        <w:rPr>
          <w:rFonts w:hint="eastAsia" w:ascii="宋体" w:hAnsi="宋体" w:eastAsia="宋体" w:cs="宋体"/>
          <w:spacing w:val="6"/>
          <w:position w:val="5"/>
          <w:sz w:val="18"/>
          <w:szCs w:val="18"/>
        </w:rPr>
        <w:t>,</w:t>
      </w:r>
      <w:r>
        <w:rPr>
          <w:rFonts w:hint="eastAsia" w:ascii="宋体" w:hAnsi="宋体" w:eastAsia="宋体" w:cs="宋体"/>
          <w:spacing w:val="6"/>
          <w:position w:val="3"/>
          <w:sz w:val="18"/>
          <w:szCs w:val="18"/>
        </w:rPr>
        <w:t>AnalysisofGovern-</w:t>
      </w:r>
      <w:r>
        <w:rPr>
          <w:rFonts w:hint="eastAsia" w:ascii="宋体" w:hAnsi="宋体" w:eastAsia="宋体" w:cs="宋体"/>
          <w:position w:val="2"/>
          <w:sz w:val="18"/>
          <w:szCs w:val="18"/>
        </w:rPr>
        <w:t>ment</w:t>
      </w:r>
      <w:r>
        <w:rPr>
          <w:rFonts w:hint="eastAsia" w:ascii="宋体" w:hAnsi="宋体" w:eastAsia="宋体" w:cs="宋体"/>
          <w:spacing w:val="11"/>
          <w:position w:val="4"/>
          <w:sz w:val="18"/>
          <w:szCs w:val="18"/>
        </w:rPr>
        <w:t>,</w:t>
      </w:r>
      <w:r>
        <w:rPr>
          <w:rFonts w:hint="eastAsia" w:ascii="宋体" w:hAnsi="宋体" w:eastAsia="宋体" w:cs="宋体"/>
          <w:position w:val="2"/>
          <w:sz w:val="18"/>
          <w:szCs w:val="18"/>
        </w:rPr>
        <w:t>ProposalsforRedress</w:t>
      </w:r>
      <w:r>
        <w:rPr>
          <w:rFonts w:hint="eastAsia" w:ascii="宋体" w:hAnsi="宋体" w:eastAsia="宋体" w:cs="宋体"/>
          <w:spacing w:val="11"/>
          <w:position w:val="4"/>
          <w:sz w:val="18"/>
          <w:szCs w:val="18"/>
        </w:rPr>
        <w:t>,</w:t>
      </w:r>
      <w:r>
        <w:rPr>
          <w:rFonts w:hint="eastAsia" w:ascii="宋体" w:hAnsi="宋体" w:eastAsia="宋体" w:cs="宋体"/>
          <w:spacing w:val="11"/>
          <w:position w:val="2"/>
          <w:sz w:val="18"/>
          <w:szCs w:val="18"/>
        </w:rPr>
        <w:t>2</w:t>
      </w:r>
      <w:r>
        <w:rPr>
          <w:rFonts w:hint="eastAsia" w:ascii="宋体" w:hAnsi="宋体" w:eastAsia="宋体" w:cs="宋体"/>
          <w:position w:val="2"/>
          <w:sz w:val="18"/>
          <w:szCs w:val="18"/>
        </w:rPr>
        <w:t>nded</w:t>
      </w:r>
      <w:r>
        <w:rPr>
          <w:rFonts w:hint="eastAsia" w:ascii="宋体" w:hAnsi="宋体" w:eastAsia="宋体" w:cs="宋体"/>
          <w:spacing w:val="11"/>
          <w:position w:val="2"/>
          <w:sz w:val="18"/>
          <w:szCs w:val="18"/>
        </w:rPr>
        <w:t>.</w:t>
      </w:r>
      <w:r>
        <w:rPr>
          <w:rFonts w:hint="eastAsia" w:ascii="宋体" w:hAnsi="宋体" w:eastAsia="宋体" w:cs="宋体"/>
          <w:position w:val="2"/>
          <w:sz w:val="18"/>
          <w:szCs w:val="18"/>
        </w:rPr>
        <w:t>Clark</w:t>
      </w:r>
      <w:r>
        <w:rPr>
          <w:rFonts w:hint="eastAsia" w:ascii="宋体" w:hAnsi="宋体" w:eastAsia="宋体" w:cs="宋体"/>
          <w:spacing w:val="11"/>
          <w:position w:val="4"/>
          <w:sz w:val="18"/>
          <w:szCs w:val="18"/>
        </w:rPr>
        <w:t>,</w:t>
      </w:r>
      <w:r>
        <w:rPr>
          <w:rFonts w:hint="eastAsia" w:ascii="宋体" w:hAnsi="宋体" w:eastAsia="宋体" w:cs="宋体"/>
          <w:position w:val="2"/>
          <w:sz w:val="18"/>
          <w:szCs w:val="18"/>
        </w:rPr>
        <w:t>NJ</w:t>
      </w:r>
      <w:r>
        <w:rPr>
          <w:rFonts w:hint="eastAsia" w:ascii="宋体" w:hAnsi="宋体" w:eastAsia="宋体" w:cs="宋体"/>
          <w:spacing w:val="11"/>
          <w:position w:val="4"/>
          <w:sz w:val="18"/>
          <w:szCs w:val="18"/>
        </w:rPr>
        <w:t>:</w:t>
      </w:r>
      <w:r>
        <w:rPr>
          <w:rFonts w:hint="eastAsia" w:ascii="宋体" w:hAnsi="宋体" w:eastAsia="宋体" w:cs="宋体"/>
          <w:position w:val="2"/>
          <w:sz w:val="18"/>
          <w:szCs w:val="18"/>
        </w:rPr>
        <w:t>TheLawbookExchange</w:t>
      </w:r>
      <w:r>
        <w:rPr>
          <w:rFonts w:hint="eastAsia" w:ascii="宋体" w:hAnsi="宋体" w:eastAsia="宋体" w:cs="宋体"/>
          <w:spacing w:val="11"/>
          <w:position w:val="4"/>
          <w:sz w:val="18"/>
          <w:szCs w:val="18"/>
        </w:rPr>
        <w:t>,</w:t>
      </w:r>
      <w:r>
        <w:rPr>
          <w:rFonts w:hint="eastAsia" w:ascii="宋体" w:hAnsi="宋体" w:eastAsia="宋体" w:cs="宋体"/>
          <w:position w:val="2"/>
          <w:sz w:val="18"/>
          <w:szCs w:val="18"/>
        </w:rPr>
        <w:t>Ltd</w:t>
      </w:r>
      <w:r>
        <w:rPr>
          <w:rFonts w:hint="eastAsia" w:ascii="宋体" w:hAnsi="宋体" w:eastAsia="宋体" w:cs="宋体"/>
          <w:spacing w:val="11"/>
          <w:position w:val="2"/>
          <w:sz w:val="18"/>
          <w:szCs w:val="18"/>
        </w:rPr>
        <w:t>.</w:t>
      </w:r>
      <w:r>
        <w:rPr>
          <w:rFonts w:hint="eastAsia" w:ascii="宋体" w:hAnsi="宋体" w:eastAsia="宋体" w:cs="宋体"/>
          <w:spacing w:val="11"/>
          <w:position w:val="4"/>
          <w:sz w:val="18"/>
          <w:szCs w:val="18"/>
        </w:rPr>
        <w:t>,</w:t>
      </w:r>
      <w:r>
        <w:rPr>
          <w:rFonts w:hint="eastAsia" w:ascii="宋体" w:hAnsi="宋体" w:eastAsia="宋体" w:cs="宋体"/>
          <w:spacing w:val="11"/>
          <w:position w:val="2"/>
          <w:sz w:val="18"/>
          <w:szCs w:val="18"/>
        </w:rPr>
        <w:t>2005,p.91.</w:t>
      </w:r>
    </w:p>
  </w:footnote>
  <w:footnote w:id="1251">
    <w:p w14:paraId="5DBF0E1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《决胜全面建成小康社会夺取新时代中国特色社会主义伟大胜利》,《人民日报》2017年</w:t>
      </w:r>
      <w:r>
        <w:rPr>
          <w:rFonts w:hint="eastAsia" w:ascii="宋体" w:hAnsi="宋体" w:eastAsia="宋体" w:cs="宋体"/>
          <w:spacing w:val="3"/>
          <w:position w:val="-1"/>
          <w:sz w:val="18"/>
          <w:szCs w:val="18"/>
        </w:rPr>
        <w:t>10</w:t>
      </w:r>
      <w:r>
        <w:rPr>
          <w:rFonts w:hint="eastAsia" w:ascii="宋体" w:hAnsi="宋体" w:eastAsia="宋体" w:cs="宋体"/>
          <w:spacing w:val="3"/>
          <w:sz w:val="18"/>
          <w:szCs w:val="18"/>
        </w:rPr>
        <w:t>月</w:t>
      </w:r>
      <w:r>
        <w:rPr>
          <w:rFonts w:hint="eastAsia" w:ascii="宋体" w:hAnsi="宋体" w:eastAsia="宋体" w:cs="宋体"/>
          <w:spacing w:val="-6"/>
          <w:sz w:val="18"/>
          <w:szCs w:val="18"/>
        </w:rPr>
        <w:t>28</w:t>
      </w:r>
      <w:r>
        <w:rPr>
          <w:rFonts w:hint="eastAsia" w:ascii="宋体" w:hAnsi="宋体" w:eastAsia="宋体" w:cs="宋体"/>
          <w:spacing w:val="-6"/>
          <w:position w:val="1"/>
          <w:sz w:val="18"/>
          <w:szCs w:val="18"/>
        </w:rPr>
        <w:t>日。</w:t>
      </w:r>
    </w:p>
  </w:footnote>
  <w:footnote w:id="1252">
    <w:p w14:paraId="7F1D02A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〔美〕塞缪尔·亨廷顿:《文明的冲突与世界秩序的重建》(修订版),周琪等译,北京:新华出版</w:t>
      </w:r>
      <w:r>
        <w:rPr>
          <w:rFonts w:hint="eastAsia" w:ascii="宋体" w:hAnsi="宋体" w:eastAsia="宋体" w:cs="宋体"/>
          <w:spacing w:val="9"/>
          <w:sz w:val="18"/>
          <w:szCs w:val="18"/>
        </w:rPr>
        <w:t>社,</w:t>
      </w:r>
      <w:r>
        <w:rPr>
          <w:rFonts w:hint="eastAsia" w:ascii="宋体" w:hAnsi="宋体" w:eastAsia="宋体" w:cs="宋体"/>
          <w:spacing w:val="9"/>
          <w:position w:val="-1"/>
          <w:sz w:val="18"/>
          <w:szCs w:val="18"/>
        </w:rPr>
        <w:t>2010</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30</w:t>
      </w:r>
      <w:r>
        <w:rPr>
          <w:rFonts w:hint="eastAsia" w:ascii="宋体" w:hAnsi="宋体" w:eastAsia="宋体" w:cs="宋体"/>
          <w:spacing w:val="9"/>
          <w:sz w:val="18"/>
          <w:szCs w:val="18"/>
        </w:rPr>
        <w:t>页</w:t>
      </w:r>
      <w:r>
        <w:rPr>
          <w:rFonts w:hint="eastAsia" w:ascii="宋体" w:hAnsi="宋体" w:eastAsia="宋体" w:cs="宋体"/>
          <w:spacing w:val="9"/>
          <w:position w:val="1"/>
          <w:sz w:val="18"/>
          <w:szCs w:val="18"/>
        </w:rPr>
        <w:t>。</w:t>
      </w:r>
    </w:p>
  </w:footnote>
  <w:footnote w:id="1253">
    <w:p w14:paraId="66F3C6CC">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NicolasAllenandMartínCortés,FascismsOldandNew,</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"https://jacobin.com/2019/02/enzo-tra" </w:instrText>
      </w:r>
      <w:r>
        <w:rPr>
          <w:rFonts w:hint="eastAsia" w:ascii="宋体" w:hAnsi="宋体" w:eastAsia="宋体" w:cs="宋体"/>
          <w:sz w:val="18"/>
          <w:szCs w:val="18"/>
        </w:rPr>
        <w:fldChar w:fldCharType="separate"/>
      </w:r>
      <w:r>
        <w:rPr>
          <w:rFonts w:hint="eastAsia" w:ascii="宋体" w:hAnsi="宋体" w:eastAsia="宋体" w:cs="宋体"/>
          <w:spacing w:val="-2"/>
          <w:sz w:val="18"/>
          <w:szCs w:val="18"/>
        </w:rPr>
        <w:t>https://jacobin.com/2019/02/enzo-tra</w:t>
      </w:r>
      <w:r>
        <w:rPr>
          <w:rFonts w:hint="eastAsia" w:ascii="宋体" w:hAnsi="宋体" w:eastAsia="宋体" w:cs="宋体"/>
          <w:spacing w:val="-2"/>
          <w:sz w:val="18"/>
          <w:szCs w:val="18"/>
        </w:rPr>
        <w:fldChar w:fldCharType="end"/>
      </w:r>
      <w:r>
        <w:rPr>
          <w:rFonts w:hint="eastAsia" w:ascii="宋体" w:hAnsi="宋体" w:eastAsia="宋体" w:cs="宋体"/>
          <w:spacing w:val="-2"/>
          <w:sz w:val="18"/>
          <w:szCs w:val="18"/>
        </w:rPr>
        <w:t>-</w:t>
      </w:r>
      <w:r>
        <w:rPr>
          <w:rFonts w:hint="eastAsia" w:ascii="宋体" w:hAnsi="宋体" w:eastAsia="宋体" w:cs="宋体"/>
          <w:spacing w:val="-10"/>
          <w:sz w:val="18"/>
          <w:szCs w:val="18"/>
        </w:rPr>
        <w:t>verso-post-fascism-ideology-cons</w:t>
      </w:r>
      <w:r>
        <w:rPr>
          <w:rFonts w:hint="eastAsia" w:ascii="宋体" w:hAnsi="宋体" w:eastAsia="宋体" w:cs="宋体"/>
          <w:spacing w:val="-11"/>
          <w:sz w:val="18"/>
          <w:szCs w:val="18"/>
        </w:rPr>
        <w:t>ervatism.September27</w:t>
      </w:r>
      <w:r>
        <w:rPr>
          <w:rFonts w:hint="eastAsia" w:ascii="宋体" w:hAnsi="宋体" w:eastAsia="宋体" w:cs="宋体"/>
          <w:spacing w:val="-11"/>
          <w:position w:val="2"/>
          <w:sz w:val="18"/>
          <w:szCs w:val="18"/>
        </w:rPr>
        <w:t>,</w:t>
      </w:r>
      <w:r>
        <w:rPr>
          <w:rFonts w:hint="eastAsia" w:ascii="宋体" w:hAnsi="宋体" w:eastAsia="宋体" w:cs="宋体"/>
          <w:spacing w:val="-11"/>
          <w:sz w:val="18"/>
          <w:szCs w:val="18"/>
        </w:rPr>
        <w:t>2024.</w:t>
      </w:r>
    </w:p>
  </w:footnote>
  <w:footnote w:id="1254">
    <w:p w14:paraId="54A68C8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《马克思恩格斯文集》第</w:t>
      </w:r>
      <w:r>
        <w:rPr>
          <w:rFonts w:hint="eastAsia" w:ascii="宋体" w:hAnsi="宋体" w:eastAsia="宋体" w:cs="宋体"/>
          <w:spacing w:val="9"/>
          <w:position w:val="-1"/>
          <w:sz w:val="18"/>
          <w:szCs w:val="18"/>
        </w:rPr>
        <w:t>1</w:t>
      </w:r>
      <w:r>
        <w:rPr>
          <w:rFonts w:hint="eastAsia" w:ascii="宋体" w:hAnsi="宋体" w:eastAsia="宋体" w:cs="宋体"/>
          <w:spacing w:val="9"/>
          <w:sz w:val="18"/>
          <w:szCs w:val="18"/>
        </w:rPr>
        <w:t>卷,北京:人民出版社,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44</w:t>
      </w:r>
      <w:r>
        <w:rPr>
          <w:rFonts w:hint="eastAsia" w:ascii="宋体" w:hAnsi="宋体" w:eastAsia="宋体" w:cs="宋体"/>
          <w:spacing w:val="9"/>
          <w:sz w:val="18"/>
          <w:szCs w:val="18"/>
        </w:rPr>
        <w:t>页。</w:t>
      </w:r>
    </w:p>
  </w:footnote>
  <w:footnote w:id="1255">
    <w:p w14:paraId="6548E8B5">
      <w:pPr>
        <w:keepNext w:val="0"/>
        <w:keepLines w:val="0"/>
        <w:pageBreakBefore w:val="0"/>
        <w:widowControl/>
        <w:suppressLineNumbers w:val="0"/>
        <w:kinsoku w:val="0"/>
        <w:wordWrap/>
        <w:overflowPunct/>
        <w:topLinePunct w:val="0"/>
        <w:bidi w:val="0"/>
        <w:adjustRightInd w:val="0"/>
        <w:snapToGrid w:val="0"/>
        <w:spacing w:line="240" w:lineRule="auto"/>
        <w:ind w:left="0" w:right="0" w:firstLine="0" w:firstLineChars="0"/>
        <w:jc w:val="left"/>
        <w:textAlignment w:val="baseline"/>
        <w:rPr>
          <w:rFonts w:hint="eastAsia" w:ascii="宋体" w:hAnsi="宋体" w:eastAsia="宋体" w:cs="宋体"/>
          <w:sz w:val="18"/>
          <w:szCs w:val="18"/>
          <w:lang w:val="en-US"/>
        </w:rPr>
      </w:pPr>
      <w:r>
        <w:rPr>
          <w:rStyle w:val="20"/>
          <w:rFonts w:hint="eastAsia" w:ascii="宋体" w:hAnsi="宋体" w:eastAsia="宋体" w:cs="宋体"/>
          <w:sz w:val="18"/>
          <w:szCs w:val="18"/>
        </w:rPr>
        <w:footnoteRef/>
      </w:r>
      <w:r>
        <w:rPr>
          <w:rFonts w:hint="eastAsia" w:ascii="宋体" w:hAnsi="宋体" w:eastAsia="宋体" w:cs="宋体"/>
          <w:snapToGrid w:val="0"/>
          <w:color w:val="000000"/>
          <w:kern w:val="0"/>
          <w:sz w:val="18"/>
          <w:szCs w:val="18"/>
          <w:lang w:val="en-US" w:eastAsia="zh-CN" w:bidi="ar"/>
        </w:rPr>
        <w:t>贺钦:《“全球南方”与中国:重塑人类文明进程的使命与愿景》,《政治经济学研究》2024年第4期。</w:t>
      </w:r>
    </w:p>
    <w:p w14:paraId="48CFCBB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256">
    <w:p w14:paraId="175B5C1B">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《马克思恩格斯选集》（第一卷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10"/>
          <w:sz w:val="18"/>
          <w:szCs w:val="18"/>
        </w:rPr>
        <w:t>北京：人民出版社，2012年，第140页。</w:t>
      </w:r>
    </w:p>
  </w:footnote>
  <w:footnote w:id="1257">
    <w:p w14:paraId="0AC6ED60">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《马克思恩格斯选集》（第四卷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北京：人民出版社，2012年，第253页。</w:t>
      </w:r>
    </w:p>
  </w:footnote>
  <w:footnote w:id="1258">
    <w:p w14:paraId="69D92BE2">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《马克思恩格斯选集》（第四卷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北京：人民出版社，2012年，第253页</w:t>
      </w:r>
    </w:p>
  </w:footnote>
  <w:footnote w:id="1259">
    <w:p w14:paraId="7016E372">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《马克思恩格斯选集》（第一卷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10"/>
          <w:sz w:val="18"/>
          <w:szCs w:val="18"/>
        </w:rPr>
        <w:t>北京：人民出版社，2012年，第135页。</w:t>
      </w:r>
    </w:p>
  </w:footnote>
  <w:footnote w:id="1260">
    <w:p w14:paraId="6424561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《马克思恩格斯选集》（第一卷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北京：人民出版社，2012年，第400页</w:t>
      </w:r>
    </w:p>
  </w:footnote>
  <w:footnote w:id="1261">
    <w:p w14:paraId="3AD27B7F">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《马克思恩格斯全集》（第一卷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10"/>
          <w:sz w:val="18"/>
          <w:szCs w:val="18"/>
        </w:rPr>
        <w:t>北京：人民出版社，1956年，第121页。</w:t>
      </w:r>
    </w:p>
  </w:footnote>
  <w:footnote w:id="1262">
    <w:p w14:paraId="520B7A9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《马克思恩格斯全集》（第一卷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10"/>
          <w:sz w:val="18"/>
          <w:szCs w:val="18"/>
        </w:rPr>
        <w:t>北京：人民出版社，1956年，第121页。</w:t>
      </w:r>
    </w:p>
  </w:footnote>
  <w:footnote w:id="1263">
    <w:p w14:paraId="07C95FFD">
      <w:pPr>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《马克思恩格斯选集》（第四卷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北京：人民出版社，2012年，第228页。</w:t>
      </w:r>
    </w:p>
  </w:footnote>
  <w:footnote w:id="1264">
    <w:p w14:paraId="01739AD1">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8"/>
          <w:sz w:val="18"/>
          <w:szCs w:val="18"/>
        </w:rPr>
        <w:t>《马克思恩格斯选集》（第四卷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8"/>
          <w:sz w:val="18"/>
          <w:szCs w:val="18"/>
        </w:rPr>
        <w:t>北京：人民出版社，2012年，第249-250页。</w:t>
      </w:r>
    </w:p>
  </w:footnote>
  <w:footnote w:id="1265">
    <w:p w14:paraId="44975BA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8"/>
          <w:sz w:val="18"/>
          <w:szCs w:val="18"/>
        </w:rPr>
        <w:t>《马克思恩格斯选集》（第三卷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8"/>
          <w:sz w:val="18"/>
          <w:szCs w:val="18"/>
        </w:rPr>
        <w:t>北京：人民出版社，2012年，第797-798页。</w:t>
      </w:r>
    </w:p>
  </w:footnote>
  <w:footnote w:id="1266">
    <w:p w14:paraId="4B000D33">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8"/>
          <w:sz w:val="18"/>
          <w:szCs w:val="18"/>
        </w:rPr>
        <w:t>《马克思恩格斯选集》（第一卷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8"/>
          <w:sz w:val="18"/>
          <w:szCs w:val="18"/>
        </w:rPr>
        <w:t>北京：人民出版社，2012年，第411-412页。</w:t>
      </w:r>
    </w:p>
  </w:footnote>
  <w:footnote w:id="1267">
    <w:p w14:paraId="04D53992">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《马克思恩格斯选集》（第一卷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北京：人民出版社，2012年，第422页。</w:t>
      </w:r>
    </w:p>
  </w:footnote>
  <w:footnote w:id="1268">
    <w:p w14:paraId="1CF9A0C5">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1"/>
          <w:sz w:val="18"/>
          <w:szCs w:val="18"/>
        </w:rPr>
        <w:t>《列宁选集》（第二卷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11"/>
          <w:sz w:val="18"/>
          <w:szCs w:val="18"/>
        </w:rPr>
        <w:t>北京：人民出版社，2012年，第612页。</w:t>
      </w:r>
    </w:p>
  </w:footnote>
  <w:footnote w:id="1269">
    <w:p w14:paraId="0181463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1"/>
          <w:sz w:val="18"/>
          <w:szCs w:val="18"/>
        </w:rPr>
        <w:t>《列宁选集》（第二卷</w:t>
      </w:r>
      <w:r>
        <w:rPr>
          <w:rFonts w:hint="eastAsia" w:ascii="宋体" w:hAnsi="宋体" w:eastAsia="宋体" w:cs="宋体"/>
          <w:color w:val="231F20"/>
          <w:spacing w:val="-29"/>
          <w:w w:val="61"/>
          <w:sz w:val="18"/>
          <w:szCs w:val="18"/>
        </w:rPr>
        <w:t>），</w:t>
      </w:r>
      <w:r>
        <w:rPr>
          <w:rFonts w:hint="eastAsia" w:ascii="宋体" w:hAnsi="宋体" w:eastAsia="宋体" w:cs="宋体"/>
          <w:color w:val="231F20"/>
          <w:spacing w:val="-11"/>
          <w:sz w:val="18"/>
          <w:szCs w:val="18"/>
        </w:rPr>
        <w:t>北京：人民出版社，2012年，第524页。</w:t>
      </w:r>
    </w:p>
  </w:footnote>
  <w:footnote w:id="1270">
    <w:p w14:paraId="452006AF">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5"/>
          <w:sz w:val="18"/>
          <w:szCs w:val="18"/>
        </w:rPr>
        <w:t>周兵：《国际舆论、国际政治与毛泽东人民内部矛盾理论》，《湘潭大学学报（哲学社会科学版</w:t>
      </w:r>
      <w:r>
        <w:rPr>
          <w:rFonts w:hint="eastAsia" w:ascii="宋体" w:hAnsi="宋体" w:eastAsia="宋体" w:cs="宋体"/>
          <w:color w:val="231F20"/>
          <w:spacing w:val="-6"/>
          <w:sz w:val="18"/>
          <w:szCs w:val="18"/>
        </w:rPr>
        <w:t>）》2015年第4期，</w:t>
      </w:r>
      <w:r>
        <w:rPr>
          <w:rFonts w:hint="eastAsia" w:ascii="宋体" w:hAnsi="宋体" w:eastAsia="宋体" w:cs="宋体"/>
          <w:color w:val="231F20"/>
          <w:spacing w:val="-12"/>
          <w:sz w:val="18"/>
          <w:szCs w:val="18"/>
        </w:rPr>
        <w:t>第12页。</w:t>
      </w:r>
    </w:p>
  </w:footnote>
  <w:footnote w:id="1271">
    <w:p w14:paraId="2DF005D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6"/>
          <w:sz w:val="18"/>
          <w:szCs w:val="18"/>
        </w:rPr>
        <w:t>习近平：《关于坚持和发展中国特色社会主义的几个问题》，《求是》20</w:t>
      </w:r>
      <w:r>
        <w:rPr>
          <w:rFonts w:hint="eastAsia" w:ascii="宋体" w:hAnsi="宋体" w:eastAsia="宋体" w:cs="宋体"/>
          <w:color w:val="231F20"/>
          <w:spacing w:val="-7"/>
          <w:sz w:val="18"/>
          <w:szCs w:val="18"/>
        </w:rPr>
        <w:t>19年第7期。</w:t>
      </w:r>
    </w:p>
  </w:footnote>
  <w:footnote w:id="1272">
    <w:p w14:paraId="259696B1">
      <w:pPr>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6"/>
          <w:sz w:val="18"/>
          <w:szCs w:val="18"/>
        </w:rPr>
        <w:t>习近平：《关于坚持和发展中国特色社会主义的几个问题》，《求是》20</w:t>
      </w:r>
      <w:r>
        <w:rPr>
          <w:rFonts w:hint="eastAsia" w:ascii="宋体" w:hAnsi="宋体" w:eastAsia="宋体" w:cs="宋体"/>
          <w:color w:val="231F20"/>
          <w:spacing w:val="-7"/>
          <w:sz w:val="18"/>
          <w:szCs w:val="18"/>
        </w:rPr>
        <w:t>19年第7期。</w:t>
      </w:r>
    </w:p>
    <w:p w14:paraId="0945422A">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273">
    <w:p w14:paraId="2939EA3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2"/>
          <w:sz w:val="18"/>
          <w:szCs w:val="18"/>
        </w:rPr>
        <w:t>参见贺钦：《“全球南方”与中国：重塑人类文明进程的使命与愿景》，《政治</w:t>
      </w:r>
      <w:r>
        <w:rPr>
          <w:rFonts w:hint="eastAsia" w:ascii="宋体" w:hAnsi="宋体" w:eastAsia="宋体" w:cs="宋体"/>
          <w:color w:val="231F20"/>
          <w:spacing w:val="-13"/>
          <w:sz w:val="18"/>
          <w:szCs w:val="18"/>
        </w:rPr>
        <w:t>经济学研究》2024年第4期，第109页。</w:t>
      </w:r>
    </w:p>
  </w:footnote>
  <w:footnote w:id="1274">
    <w:p w14:paraId="78D84BCF">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3"/>
          <w:sz w:val="18"/>
          <w:szCs w:val="18"/>
        </w:rPr>
        <w:t>参见陈曙光：《论“理论飞跃”》，《北京航空航天大学学报（社会科学版）》2023年第6期，第5页。</w:t>
      </w:r>
    </w:p>
  </w:footnote>
  <w:footnote w:id="1275">
    <w:p w14:paraId="2D6758B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6"/>
          <w:sz w:val="18"/>
          <w:szCs w:val="18"/>
        </w:rPr>
        <w:t>习近平：《关于坚持和发展中国特色社会主义的几个问题》，《求是》20</w:t>
      </w:r>
      <w:r>
        <w:rPr>
          <w:rFonts w:hint="eastAsia" w:ascii="宋体" w:hAnsi="宋体" w:eastAsia="宋体" w:cs="宋体"/>
          <w:color w:val="231F20"/>
          <w:spacing w:val="-7"/>
          <w:sz w:val="18"/>
          <w:szCs w:val="18"/>
        </w:rPr>
        <w:t>19年第7期。</w:t>
      </w:r>
    </w:p>
  </w:footnote>
  <w:footnote w:id="1276">
    <w:p w14:paraId="20F742A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9"/>
          <w:sz w:val="18"/>
          <w:szCs w:val="18"/>
        </w:rPr>
        <w:t>任平：《在“两创”中赓续中华文脉》，《人民日报》2024年11月6日，第1版。</w:t>
      </w:r>
    </w:p>
  </w:footnote>
  <w:footnote w:id="1277">
    <w:p w14:paraId="05F9314B">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3"/>
          <w:sz w:val="18"/>
          <w:szCs w:val="18"/>
        </w:rPr>
        <w:t>习近平：《在纪念中国人民抗日战争暨世界反法西斯战争胜利69周年座谈会上的讲话》，《人民日报》2</w:t>
      </w:r>
      <w:r>
        <w:rPr>
          <w:rFonts w:hint="eastAsia" w:ascii="宋体" w:hAnsi="宋体" w:eastAsia="宋体" w:cs="宋体"/>
          <w:color w:val="231F20"/>
          <w:spacing w:val="-4"/>
          <w:sz w:val="18"/>
          <w:szCs w:val="18"/>
        </w:rPr>
        <w:t>014年9</w:t>
      </w:r>
      <w:r>
        <w:rPr>
          <w:rFonts w:hint="eastAsia" w:ascii="宋体" w:hAnsi="宋体" w:eastAsia="宋体" w:cs="宋体"/>
          <w:color w:val="231F20"/>
          <w:spacing w:val="-13"/>
          <w:sz w:val="18"/>
          <w:szCs w:val="18"/>
        </w:rPr>
        <w:t>月4日，第2版。</w:t>
      </w:r>
    </w:p>
  </w:footnote>
  <w:footnote w:id="1278">
    <w:p w14:paraId="7811D8FA">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8"/>
          <w:sz w:val="18"/>
          <w:szCs w:val="18"/>
        </w:rPr>
        <w:t>任仲平：《把全面深化改革作为推进中国式现代化的根本动力》，《人民日报》202</w:t>
      </w:r>
      <w:r>
        <w:rPr>
          <w:rFonts w:hint="eastAsia" w:ascii="宋体" w:hAnsi="宋体" w:eastAsia="宋体" w:cs="宋体"/>
          <w:color w:val="231F20"/>
          <w:spacing w:val="-9"/>
          <w:sz w:val="18"/>
          <w:szCs w:val="18"/>
        </w:rPr>
        <w:t>4年6月26日，第1版。</w:t>
      </w:r>
    </w:p>
  </w:footnote>
  <w:footnote w:id="1279">
    <w:p w14:paraId="20AF2D8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5"/>
          <w:sz w:val="18"/>
          <w:szCs w:val="18"/>
        </w:rPr>
        <w:t>《习近平总书记谈创新》，《人民日报》2017年3月3日，第10版。</w:t>
      </w:r>
    </w:p>
  </w:footnote>
  <w:footnote w:id="1280">
    <w:p w14:paraId="2F6AB2CF">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1"/>
          <w:sz w:val="18"/>
          <w:szCs w:val="18"/>
        </w:rPr>
        <w:t>习近平：《高举中国特色社会主义伟大旗帜为全面建设社会主义现代化国家而团结奋斗——在</w:t>
      </w:r>
      <w:r>
        <w:rPr>
          <w:rFonts w:hint="eastAsia" w:ascii="宋体" w:hAnsi="宋体" w:eastAsia="宋体" w:cs="宋体"/>
          <w:color w:val="231F20"/>
          <w:spacing w:val="10"/>
          <w:sz w:val="18"/>
          <w:szCs w:val="18"/>
        </w:rPr>
        <w:t>中国共产党</w:t>
      </w:r>
      <w:r>
        <w:rPr>
          <w:rFonts w:hint="eastAsia" w:ascii="宋体" w:hAnsi="宋体" w:eastAsia="宋体" w:cs="宋体"/>
          <w:color w:val="231F20"/>
          <w:spacing w:val="-11"/>
          <w:sz w:val="18"/>
          <w:szCs w:val="18"/>
        </w:rPr>
        <w:t>第二十次全国代表大会上的报告》，《人民日报》2022年10月26日，第2版。</w:t>
      </w:r>
    </w:p>
  </w:footnote>
  <w:footnote w:id="1281">
    <w:p w14:paraId="3A8B0B8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《习近平谈治国理政》（第一卷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北京：外文出版社，2018年，第40页。</w:t>
      </w:r>
    </w:p>
  </w:footnote>
  <w:footnote w:id="1282">
    <w:p w14:paraId="0E3B949B">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《马克思恩格斯选集》（第四卷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北京：人民出版社，2012年，第664页。</w:t>
      </w:r>
    </w:p>
  </w:footnote>
  <w:footnote w:id="1283">
    <w:p w14:paraId="5025B06B">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周淼、刘婷婷：《国际经济政治格局大变动中的世界社会主义》，《海派经济学》2024年第1期，第113页。</w:t>
      </w:r>
    </w:p>
  </w:footnote>
  <w:footnote w:id="1284">
    <w:p w14:paraId="0790367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6"/>
          <w:sz w:val="18"/>
          <w:szCs w:val="18"/>
        </w:rPr>
        <w:t>《习近平向中国共产党与世界马克思主义政党论坛致贺信》，《人民日报》20</w:t>
      </w:r>
      <w:r>
        <w:rPr>
          <w:rFonts w:hint="eastAsia" w:ascii="宋体" w:hAnsi="宋体" w:eastAsia="宋体" w:cs="宋体"/>
          <w:color w:val="231F20"/>
          <w:spacing w:val="-7"/>
          <w:sz w:val="18"/>
          <w:szCs w:val="18"/>
        </w:rPr>
        <w:t>22年7月29日，第2版。</w:t>
      </w:r>
    </w:p>
  </w:footnote>
  <w:footnote w:id="1285">
    <w:p w14:paraId="2644987B">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习近平：《在哲学社会科学工作座谈会上的讲话》，《人民日报》2016年5月19日，第2版。</w:t>
      </w:r>
    </w:p>
  </w:footnote>
  <w:footnote w:id="1286">
    <w:p w14:paraId="43B3724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《马克思恩格斯选集》（第一卷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北京：人民出版社，2012年，第422页。</w:t>
      </w:r>
    </w:p>
  </w:footnote>
  <w:footnote w:id="1287">
    <w:p w14:paraId="4510E7E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习近平：《在纪念马克思诞辰200周年大会上的讲话》，《人民日报》2018年5月5日，第</w:t>
      </w:r>
      <w:r>
        <w:rPr>
          <w:rFonts w:hint="eastAsia" w:ascii="宋体" w:hAnsi="宋体" w:eastAsia="宋体" w:cs="宋体"/>
          <w:color w:val="231F20"/>
          <w:spacing w:val="-11"/>
          <w:sz w:val="18"/>
          <w:szCs w:val="18"/>
        </w:rPr>
        <w:t>2版。</w:t>
      </w:r>
    </w:p>
  </w:footnote>
  <w:footnote w:id="1288">
    <w:p w14:paraId="21507F8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习近平：《在纪念马克思诞辰200周年大会上的讲话》，《人民日报》2018年5月5日，第</w:t>
      </w:r>
      <w:r>
        <w:rPr>
          <w:rFonts w:hint="eastAsia" w:ascii="宋体" w:hAnsi="宋体" w:eastAsia="宋体" w:cs="宋体"/>
          <w:color w:val="231F20"/>
          <w:spacing w:val="-11"/>
          <w:sz w:val="18"/>
          <w:szCs w:val="18"/>
        </w:rPr>
        <w:t>2版。</w:t>
      </w:r>
    </w:p>
  </w:footnote>
  <w:footnote w:id="1289">
    <w:p w14:paraId="737FAA7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9"/>
          <w:sz w:val="18"/>
          <w:szCs w:val="18"/>
        </w:rPr>
        <w:t>《马克思恩格斯选集》（第一卷</w:t>
      </w:r>
      <w:r>
        <w:rPr>
          <w:rFonts w:hint="eastAsia" w:ascii="宋体" w:hAnsi="宋体" w:eastAsia="宋体" w:cs="宋体"/>
          <w:color w:val="231F20"/>
          <w:spacing w:val="-31"/>
          <w:w w:val="65"/>
          <w:sz w:val="18"/>
          <w:szCs w:val="18"/>
        </w:rPr>
        <w:t>），</w:t>
      </w:r>
      <w:r>
        <w:rPr>
          <w:rFonts w:hint="eastAsia" w:ascii="宋体" w:hAnsi="宋体" w:eastAsia="宋体" w:cs="宋体"/>
          <w:color w:val="231F20"/>
          <w:spacing w:val="-9"/>
          <w:sz w:val="18"/>
          <w:szCs w:val="18"/>
        </w:rPr>
        <w:t>北京：人民出版社，2012年，第376页。</w:t>
      </w:r>
    </w:p>
  </w:footnote>
  <w:footnote w:id="1290">
    <w:p w14:paraId="30A6F7C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0"/>
          <w:sz w:val="18"/>
          <w:szCs w:val="18"/>
        </w:rPr>
        <w:t>习近平：《在纪念马克思诞辰200周年大会上的讲话》，《人民日报》2018年5月5日，第</w:t>
      </w:r>
      <w:r>
        <w:rPr>
          <w:rFonts w:hint="eastAsia" w:ascii="宋体" w:hAnsi="宋体" w:eastAsia="宋体" w:cs="宋体"/>
          <w:color w:val="231F20"/>
          <w:spacing w:val="-11"/>
          <w:sz w:val="18"/>
          <w:szCs w:val="18"/>
        </w:rPr>
        <w:t>2版。</w:t>
      </w:r>
    </w:p>
  </w:footnote>
  <w:footnote w:id="1291">
    <w:p w14:paraId="6996416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2"/>
          <w:sz w:val="18"/>
          <w:szCs w:val="18"/>
        </w:rPr>
        <w:t>任佳斯：《应对百年未有之大变局的世界社会主义———“第十四届世界社会主义论坛”综述》，《世界社会主义</w:t>
      </w:r>
      <w:r>
        <w:rPr>
          <w:rFonts w:hint="eastAsia" w:ascii="宋体" w:hAnsi="宋体" w:eastAsia="宋体" w:cs="宋体"/>
          <w:color w:val="231F20"/>
          <w:spacing w:val="-15"/>
          <w:sz w:val="18"/>
          <w:szCs w:val="18"/>
        </w:rPr>
        <w:t>研究》2025年第1期，第109页。</w:t>
      </w:r>
    </w:p>
  </w:footnote>
  <w:footnote w:id="1292">
    <w:p w14:paraId="0BDF4569">
      <w:pPr>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3"/>
          <w:sz w:val="18"/>
          <w:szCs w:val="18"/>
        </w:rPr>
        <w:t>SeetoDavidMKotz.“TheImportanceofEnvisioningSocialismToday”，</w:t>
      </w:r>
      <w:r>
        <w:rPr>
          <w:rFonts w:hint="eastAsia" w:ascii="宋体" w:hAnsi="宋体" w:eastAsia="宋体" w:cs="宋体"/>
          <w:i/>
          <w:iCs/>
          <w:color w:val="231F20"/>
          <w:spacing w:val="-13"/>
          <w:sz w:val="18"/>
          <w:szCs w:val="18"/>
        </w:rPr>
        <w:t>Science&amp;Society</w:t>
      </w:r>
      <w:r>
        <w:rPr>
          <w:rFonts w:hint="eastAsia" w:ascii="宋体" w:hAnsi="宋体" w:eastAsia="宋体" w:cs="宋体"/>
          <w:color w:val="231F20"/>
          <w:spacing w:val="-13"/>
          <w:sz w:val="18"/>
          <w:szCs w:val="18"/>
        </w:rPr>
        <w:t>，2022，86（2</w:t>
      </w:r>
      <w:r>
        <w:rPr>
          <w:rFonts w:hint="eastAsia" w:ascii="宋体" w:hAnsi="宋体" w:eastAsia="宋体" w:cs="宋体"/>
          <w:color w:val="231F20"/>
          <w:spacing w:val="-42"/>
          <w:sz w:val="18"/>
          <w:szCs w:val="18"/>
        </w:rPr>
        <w:t>），</w:t>
      </w:r>
      <w:r>
        <w:rPr>
          <w:rFonts w:hint="eastAsia" w:ascii="宋体" w:hAnsi="宋体" w:eastAsia="宋体" w:cs="宋体"/>
          <w:color w:val="231F20"/>
          <w:spacing w:val="-13"/>
          <w:sz w:val="18"/>
          <w:szCs w:val="18"/>
        </w:rPr>
        <w:t>pp.1</w:t>
      </w:r>
      <w:r>
        <w:rPr>
          <w:rFonts w:hint="eastAsia" w:ascii="宋体" w:hAnsi="宋体" w:eastAsia="宋体" w:cs="宋体"/>
          <w:color w:val="231F20"/>
          <w:spacing w:val="-14"/>
          <w:sz w:val="18"/>
          <w:szCs w:val="18"/>
        </w:rPr>
        <w:t>54-</w:t>
      </w:r>
      <w:r>
        <w:rPr>
          <w:rFonts w:hint="eastAsia" w:ascii="宋体" w:hAnsi="宋体" w:eastAsia="宋体" w:cs="宋体"/>
          <w:color w:val="231F20"/>
          <w:spacing w:val="-12"/>
          <w:sz w:val="18"/>
          <w:szCs w:val="18"/>
        </w:rPr>
        <w:t>156.</w:t>
      </w:r>
    </w:p>
    <w:p w14:paraId="32840D99">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293">
    <w:p w14:paraId="043A5AC1">
      <w:pPr>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1"/>
          <w:sz w:val="18"/>
          <w:szCs w:val="18"/>
        </w:rPr>
        <w:t>SeetoJohnBellamyFoste</w:t>
      </w:r>
      <w:r>
        <w:rPr>
          <w:rFonts w:hint="eastAsia" w:ascii="宋体" w:hAnsi="宋体" w:eastAsia="宋体" w:cs="宋体"/>
          <w:color w:val="231F20"/>
          <w:spacing w:val="-12"/>
          <w:sz w:val="18"/>
          <w:szCs w:val="18"/>
        </w:rPr>
        <w:t>r，GabrielRockhill.“WesternMarxismandImperialism：ADialogue”，</w:t>
      </w:r>
      <w:r>
        <w:rPr>
          <w:rFonts w:hint="eastAsia" w:ascii="宋体" w:hAnsi="宋体" w:eastAsia="宋体" w:cs="宋体"/>
          <w:i/>
          <w:iCs/>
          <w:color w:val="231F20"/>
          <w:spacing w:val="-12"/>
          <w:sz w:val="18"/>
          <w:szCs w:val="18"/>
        </w:rPr>
        <w:t>MonthlyReview</w:t>
      </w:r>
      <w:r>
        <w:rPr>
          <w:rFonts w:hint="eastAsia" w:ascii="宋体" w:hAnsi="宋体" w:eastAsia="宋体" w:cs="宋体"/>
          <w:color w:val="231F20"/>
          <w:spacing w:val="-12"/>
          <w:sz w:val="18"/>
          <w:szCs w:val="18"/>
        </w:rPr>
        <w:t>，</w:t>
      </w:r>
      <w:r>
        <w:rPr>
          <w:rFonts w:hint="eastAsia" w:ascii="宋体" w:hAnsi="宋体" w:eastAsia="宋体" w:cs="宋体"/>
          <w:color w:val="231F20"/>
          <w:spacing w:val="-23"/>
          <w:sz w:val="18"/>
          <w:szCs w:val="18"/>
        </w:rPr>
        <w:t>2025，76（10）.</w:t>
      </w:r>
    </w:p>
    <w:p w14:paraId="6E37668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294">
    <w:p w14:paraId="3CE3E4E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6"/>
          <w:sz w:val="18"/>
          <w:szCs w:val="18"/>
        </w:rPr>
        <w:t>《习近平向中国共产党与世界马克思主义政党论坛致贺信》，《人民日报》20</w:t>
      </w:r>
      <w:r>
        <w:rPr>
          <w:rFonts w:hint="eastAsia" w:ascii="宋体" w:hAnsi="宋体" w:eastAsia="宋体" w:cs="宋体"/>
          <w:color w:val="231F20"/>
          <w:spacing w:val="-7"/>
          <w:sz w:val="18"/>
          <w:szCs w:val="18"/>
        </w:rPr>
        <w:t>22年7月29日，第2版。</w:t>
      </w:r>
    </w:p>
  </w:footnote>
  <w:footnote w:id="1295">
    <w:p w14:paraId="3C0FDA8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color w:val="231F20"/>
          <w:spacing w:val="11"/>
          <w:sz w:val="18"/>
          <w:szCs w:val="18"/>
        </w:rPr>
        <w:t>《习近平对新时代马克思主义理论研究和建设工程作出重要指示强调扎根中国大地赓续中华文脉厚植学术</w:t>
      </w:r>
      <w:r>
        <w:rPr>
          <w:rFonts w:hint="eastAsia" w:ascii="宋体" w:hAnsi="宋体" w:eastAsia="宋体" w:cs="宋体"/>
          <w:color w:val="231F20"/>
          <w:spacing w:val="13"/>
          <w:sz w:val="18"/>
          <w:szCs w:val="18"/>
        </w:rPr>
        <w:t>根基为推进马克思主义中国化时代化作出更大贡献蔡奇出席马克思主义理论研究和建设工程</w:t>
      </w:r>
      <w:r>
        <w:rPr>
          <w:rFonts w:hint="eastAsia" w:ascii="宋体" w:hAnsi="宋体" w:eastAsia="宋体" w:cs="宋体"/>
          <w:color w:val="231F20"/>
          <w:spacing w:val="12"/>
          <w:sz w:val="18"/>
          <w:szCs w:val="18"/>
        </w:rPr>
        <w:t>工作会议并讲</w:t>
      </w:r>
      <w:r>
        <w:rPr>
          <w:rFonts w:hint="eastAsia" w:ascii="宋体" w:hAnsi="宋体" w:eastAsia="宋体" w:cs="宋体"/>
          <w:color w:val="231F20"/>
          <w:spacing w:val="-23"/>
          <w:sz w:val="18"/>
          <w:szCs w:val="18"/>
        </w:rPr>
        <w:t>话》，《人民日报》2024年11月30日，第1版。</w:t>
      </w:r>
    </w:p>
  </w:footnote>
  <w:footnote w:id="1296">
    <w:p w14:paraId="309B5AD4">
      <w:pPr>
        <w:pStyle w:val="7"/>
        <w:keepNext w:val="0"/>
        <w:keepLines w:val="0"/>
        <w:pageBreakBefore w:val="0"/>
        <w:wordWrap w:val="0"/>
        <w:topLinePunct w:val="0"/>
        <w:bidi w:val="0"/>
        <w:spacing w:line="240" w:lineRule="auto"/>
        <w:ind w:left="0" w:right="0" w:firstLine="0" w:firstLineChars="0"/>
        <w:jc w:val="both"/>
        <w:rPr>
          <w:rFonts w:hint="eastAsia" w:ascii="宋体" w:hAnsi="宋体" w:eastAsia="宋体" w:cs="宋体"/>
          <w:b/>
          <w:bCs/>
          <w:sz w:val="18"/>
          <w:szCs w:val="18"/>
        </w:rPr>
      </w:pPr>
      <w:r>
        <w:rPr>
          <w:rFonts w:hint="eastAsia" w:ascii="宋体" w:hAnsi="宋体" w:eastAsia="宋体" w:cs="宋体"/>
          <w:b/>
          <w:bCs/>
          <w:sz w:val="18"/>
          <w:szCs w:val="18"/>
        </w:rPr>
        <w:t>注释：</w:t>
      </w:r>
    </w:p>
    <w:p w14:paraId="256BFA0B">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〕〔3〕中共中央党史和文献研究院编：《十九大以来重要文献选编》（中），北京：中央文献出版社，2019年，第721、729页。</w:t>
      </w:r>
    </w:p>
  </w:footnote>
  <w:footnote w:id="1297">
    <w:p w14:paraId="5C7504F9">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〕〔4〕〔32〕《习近平谈治国理政》第四卷，北京：外文出版社，2022年，第512-513、9、144页。</w:t>
      </w:r>
    </w:p>
  </w:footnote>
  <w:footnote w:id="1298">
    <w:p w14:paraId="73EB516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299">
    <w:p w14:paraId="05E4FD7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00">
    <w:p w14:paraId="2CD0EB44">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 xml:space="preserve">〕 </w:t>
      </w:r>
      <w:r>
        <w:rPr>
          <w:rFonts w:hint="eastAsia" w:ascii="宋体" w:hAnsi="宋体" w:eastAsia="宋体" w:cs="宋体"/>
          <w:color w:val="000000"/>
          <w:sz w:val="18"/>
          <w:szCs w:val="18"/>
        </w:rPr>
        <w:t>徐文斌、程恩富：《论资本主义私有制增长缓慢规律》，《毛泽东邓小平理论研究》2024年第8期。</w:t>
      </w:r>
    </w:p>
  </w:footnote>
  <w:footnote w:id="1301">
    <w:p w14:paraId="7502E941">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 冯金华：《以人民为中心和以资本为中心:两种发展道路的比较——基于劳动价值论的若干思考》，《学术研究》2020年第12期。</w:t>
      </w:r>
    </w:p>
  </w:footnote>
  <w:footnote w:id="1302">
    <w:p w14:paraId="322BD82C">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〕《中共中央关于制定国民经济和社会发展第十三个五年规划的建议》，《人民日报》2015年11月4日。</w:t>
      </w:r>
    </w:p>
  </w:footnote>
  <w:footnote w:id="1303">
    <w:p w14:paraId="0A46F3C2">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〕〔14〕</w:t>
      </w:r>
      <w:r>
        <w:rPr>
          <w:rFonts w:hint="eastAsia" w:ascii="宋体" w:hAnsi="宋体" w:eastAsia="宋体" w:cs="宋体"/>
          <w:color w:val="000000"/>
          <w:kern w:val="0"/>
          <w:sz w:val="18"/>
          <w:szCs w:val="18"/>
          <w:lang w:bidi="ar"/>
        </w:rPr>
        <w:t>中共中央文献研究室编：《十六大以来重要文献选编》（下），</w:t>
      </w:r>
      <w:r>
        <w:rPr>
          <w:rFonts w:hint="eastAsia" w:ascii="宋体" w:hAnsi="宋体" w:eastAsia="宋体" w:cs="宋体"/>
          <w:sz w:val="18"/>
          <w:szCs w:val="18"/>
        </w:rPr>
        <w:t>北京：</w:t>
      </w:r>
      <w:r>
        <w:rPr>
          <w:rFonts w:hint="eastAsia" w:ascii="宋体" w:hAnsi="宋体" w:eastAsia="宋体" w:cs="宋体"/>
          <w:color w:val="000000"/>
          <w:kern w:val="0"/>
          <w:sz w:val="18"/>
          <w:szCs w:val="18"/>
          <w:lang w:bidi="ar"/>
        </w:rPr>
        <w:t>中央文献出版社，2011年，第188、934页。</w:t>
      </w:r>
    </w:p>
  </w:footnote>
  <w:footnote w:id="1304">
    <w:p w14:paraId="12D58C3A">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〕《习近平谈治国理政》第五卷，北京：外文出版社，2025年，第192页。</w:t>
      </w:r>
    </w:p>
  </w:footnote>
  <w:footnote w:id="1305">
    <w:p w14:paraId="4CCA452D">
      <w:pPr>
        <w:pStyle w:val="11"/>
        <w:keepNext w:val="0"/>
        <w:keepLines w:val="0"/>
        <w:pageBreakBefore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w:t>
      </w:r>
      <w:r>
        <w:rPr>
          <w:rFonts w:hint="eastAsia" w:ascii="宋体" w:hAnsi="宋体" w:eastAsia="宋体" w:cs="宋体"/>
          <w:color w:val="000000"/>
          <w:kern w:val="0"/>
          <w:sz w:val="18"/>
          <w:szCs w:val="18"/>
          <w:lang w:bidi="ar"/>
        </w:rPr>
        <w:t>《</w:t>
      </w:r>
      <w:r>
        <w:rPr>
          <w:rFonts w:hint="eastAsia" w:ascii="宋体" w:hAnsi="宋体" w:eastAsia="宋体" w:cs="宋体"/>
          <w:sz w:val="18"/>
          <w:szCs w:val="18"/>
        </w:rPr>
        <w:t>习近平关于科技创新论述摘编》，北京：中央文献出版社，2016年，第35页。</w:t>
      </w:r>
    </w:p>
  </w:footnote>
  <w:footnote w:id="1306">
    <w:p w14:paraId="7BF118F9">
      <w:pPr>
        <w:keepNext w:val="0"/>
        <w:keepLines w:val="0"/>
        <w:pageBreakBefore w:val="0"/>
        <w:widowControl/>
        <w:wordWrap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w:t>
      </w:r>
      <w:r>
        <w:rPr>
          <w:rFonts w:hint="eastAsia" w:ascii="宋体" w:hAnsi="宋体" w:eastAsia="宋体" w:cs="宋体"/>
          <w:color w:val="000000"/>
          <w:kern w:val="0"/>
          <w:sz w:val="18"/>
          <w:szCs w:val="18"/>
          <w:lang w:bidi="ar"/>
        </w:rPr>
        <w:t>习近平在黑龙江考察时强调牢牢把握在国家发展大局中的战略定位奋力开创黑龙江高质量发展新局面》，人民日报2023年9月9日。</w:t>
      </w:r>
    </w:p>
  </w:footnote>
  <w:footnote w:id="1307">
    <w:p w14:paraId="1129B4BF">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〕辛向阳：《中国特色社会主义制度集中力量办大事的理论逻辑研究》，《国外社会科学》2020年第1期。</w:t>
      </w:r>
    </w:p>
  </w:footnote>
  <w:footnote w:id="1308">
    <w:p w14:paraId="534D5A9B">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〕中共中央文献研究室编：《十六大以来重要文献选编》（上），北京：中央文献出版社，2011年，第465页。</w:t>
      </w:r>
    </w:p>
  </w:footnote>
  <w:footnote w:id="1309">
    <w:p w14:paraId="6536CE80">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10">
    <w:p w14:paraId="75305130">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〕徐宏潇、马华秀：《世界经济数字化转型中的跨国平台垄断及中国应对》，《经济学家》2021年第6期。</w:t>
      </w:r>
    </w:p>
  </w:footnote>
  <w:footnote w:id="1311">
    <w:p w14:paraId="5DDBDCFB">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〕〔21〕〔34〕程恩富、罗玉辉：《论塑造与新质生产力相适应的新型生产关系——学习党的二十届三中全会精神的体会》，《思想理论教育导》2024年第8期。</w:t>
      </w:r>
    </w:p>
  </w:footnote>
  <w:footnote w:id="1312">
    <w:p w14:paraId="0D6B49FC">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〕中共中央文献研究室编：《十五大以来重要文献选编》（上），中央文献出版社，2011年，第17-18页。</w:t>
      </w:r>
    </w:p>
  </w:footnote>
  <w:footnote w:id="1313">
    <w:p w14:paraId="19002F02">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〕中共中央文献研究室编：《习近平关于全面建成小康社会论述的摘编》，北京：中央文献出版社，2016年，第46页。</w:t>
      </w:r>
    </w:p>
  </w:footnote>
  <w:footnote w:id="1314">
    <w:p w14:paraId="3C486CDF">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〕《习近平对国有企业改革作出重要指示强调理直气壮做强做优做大国有企业尽快在国企改革重要领域和关键环节取得新成效》，《人民日报》2016年7月5日。</w:t>
      </w:r>
    </w:p>
  </w:footnote>
  <w:footnote w:id="1315">
    <w:p w14:paraId="014D3C0A">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〕郭敬生：《论经济新常态下的国有企业改革发展——以习近平系列重要讲话精神为主线》，《马克思主义研究》2017年第3期。</w:t>
      </w:r>
    </w:p>
  </w:footnote>
  <w:footnote w:id="1316">
    <w:p w14:paraId="04139EE2">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17">
    <w:p w14:paraId="0C8D35F9">
      <w:pPr>
        <w:pStyle w:val="11"/>
        <w:keepNext w:val="0"/>
        <w:keepLines w:val="0"/>
        <w:pageBreakBefore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〕《马克思恩格斯全集》第18卷，北京：人民出版社，1964年，第627页。</w:t>
      </w:r>
    </w:p>
  </w:footnote>
  <w:footnote w:id="1318">
    <w:p w14:paraId="3A198286">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〕〔43〕《邓小平文选》第3卷，北京：人民出版社，1993年，第149、117页。</w:t>
      </w:r>
    </w:p>
  </w:footnote>
  <w:footnote w:id="1319">
    <w:p w14:paraId="08EEC01B">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〕〔36〕中共中央文献研究室编：《十四大以来重要文献选编》（上），北京：中央文献出版社，2011年，第17、626页。</w:t>
      </w:r>
    </w:p>
  </w:footnote>
  <w:footnote w:id="1320">
    <w:p w14:paraId="3F4E2F38">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〕《中共中央关于建立社会主义市场经济体制若干问题的决定》，北京：人民出版社，1993年，第38页。</w:t>
      </w:r>
    </w:p>
  </w:footnote>
  <w:footnote w:id="1321">
    <w:p w14:paraId="4F384A19">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〕中共中央文献研究室编：《十五大以来重要文献选编》（中），北京：中央文献出版社，2001年，第759页。</w:t>
      </w:r>
    </w:p>
  </w:footnote>
  <w:footnote w:id="1322">
    <w:p w14:paraId="6C446C6A">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〕中共中央文献研究室编《十七大以来重要文献选编》（上），北京：中央文献出版社，2009，第30页。</w:t>
      </w:r>
    </w:p>
  </w:footnote>
  <w:footnote w:id="1323">
    <w:p w14:paraId="1B17192A">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〕胡锦涛：《在2010年全国劳动模范和先进工作者表彰大会上的讲话》，北京：人民出版社，2010年，第7页。</w:t>
      </w:r>
    </w:p>
  </w:footnote>
  <w:footnote w:id="1324">
    <w:p w14:paraId="50831886">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〕《习近平谈治国理政》第二卷，北京：外文出版社，2017年，第52-53页。</w:t>
      </w:r>
    </w:p>
  </w:footnote>
  <w:footnote w:id="1325">
    <w:p w14:paraId="274CBDEF">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〕李政：《公有制为主体和按劳分配为主是实现共同富裕的前提和基本保障》，《管理学刊》2022年第4期。</w:t>
      </w:r>
    </w:p>
  </w:footnote>
  <w:footnote w:id="1326">
    <w:p w14:paraId="6E9BD7AB">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〕潘越、程恩富：《运用“资本市场”分配方式促进共同富裕》，《管理学刊》2022年第4期。</w:t>
      </w:r>
    </w:p>
  </w:footnote>
  <w:footnote w:id="1327">
    <w:p w14:paraId="54F0B9B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28">
    <w:p w14:paraId="05F96BD0">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这里说的国家调节或国家主导是严格意义上的或广义的，是涵盖党中央的全面领导、人大的立法监督调节和政府多种调控。为了与目前多数文献用词一致，本文使用“政府调节”一词，是包括广义国家调节内涵的，与多数文献单指各级政府调节是不客观或不严谨的。</w:t>
      </w:r>
    </w:p>
  </w:footnote>
  <w:footnote w:id="1329">
    <w:p w14:paraId="2E96567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30">
    <w:p w14:paraId="0C89B2B8">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〕中共中央文献研究室编：《十三大以来重要文献选编》（上），北京：中央文献出版社，1991年，第427页。</w:t>
      </w:r>
    </w:p>
  </w:footnote>
  <w:footnote w:id="1331">
    <w:p w14:paraId="244E9480">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32">
    <w:p w14:paraId="16CCBB2B">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〕〔45〕《胡锦涛文选》第2卷，北京：人民出版社，2016年，第42、178页。</w:t>
      </w:r>
    </w:p>
  </w:footnote>
  <w:footnote w:id="1333">
    <w:p w14:paraId="039F6EB0">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〕《习近平谈治国理政》第五卷，北京：外文出版社，2025年，第202页。</w:t>
      </w:r>
    </w:p>
  </w:footnote>
  <w:footnote w:id="1334">
    <w:p w14:paraId="1F370775">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〕顾海良：《中国式现代化理论创新与中国经济学自主知识体系建构》，《政治经济学研究》2025年第3期。</w:t>
      </w:r>
    </w:p>
  </w:footnote>
  <w:footnote w:id="1335">
    <w:p w14:paraId="69550C8E">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〕《中共中央关于全面深化改革若干重大问题的决定》，北京：人民出版社，2013年，第5页。</w:t>
      </w:r>
    </w:p>
  </w:footnote>
  <w:footnote w:id="1336">
    <w:p w14:paraId="62774E3C">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〕程恩富：《改革开放以来新马克思经济学综合学派的若干理论创新》，《政治经济学评论》2018年第6期。</w:t>
      </w:r>
    </w:p>
  </w:footnote>
  <w:footnote w:id="1337">
    <w:p w14:paraId="5724B9BD">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〕习近平：《以更大魄力在更高起点上推进改革开放在全面建设社会主义现代化国家新征程中走在全国前列创造新的辉煌》，《人民日报》2020年10月16日。</w:t>
      </w:r>
    </w:p>
  </w:footnote>
  <w:footnote w:id="1338">
    <w:p w14:paraId="770B8AD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39">
    <w:p w14:paraId="62B82B24">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〕《江泽民文选》第2卷，北京：人民出版社，2006年，第92页。</w:t>
      </w:r>
    </w:p>
  </w:footnote>
  <w:footnote w:id="1340">
    <w:p w14:paraId="7AA47C3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341">
    <w:p w14:paraId="1B8FC60D">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〕程恩富、侯为民：《转变对外经济发展方式的“新开放策论”(上)》，《当代经济研究》2011年第4期。</w:t>
      </w:r>
    </w:p>
  </w:footnote>
  <w:footnote w:id="1342">
    <w:p w14:paraId="53133C15">
      <w:pPr>
        <w:pStyle w:val="11"/>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〕高培勇：《构建新发展格局：在统筹发展和安全中前行》，《经济研究》2021年第3期。</w:t>
      </w:r>
    </w:p>
  </w:footnote>
  <w:footnote w:id="1343">
    <w:p w14:paraId="5C8FBE8B">
      <w:pPr>
        <w:pStyle w:val="7"/>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r>
        <w:rPr>
          <w:rFonts w:hint="eastAsia" w:ascii="宋体" w:hAnsi="宋体" w:eastAsia="宋体" w:cs="宋体"/>
          <w:sz w:val="18"/>
          <w:szCs w:val="18"/>
        </w:rPr>
        <w:t>〔</w:t>
      </w:r>
      <w:r>
        <w:rPr>
          <w:rStyle w:val="20"/>
          <w:rFonts w:hint="eastAsia" w:ascii="宋体" w:hAnsi="宋体" w:eastAsia="宋体" w:cs="宋体"/>
          <w:sz w:val="18"/>
          <w:szCs w:val="18"/>
          <w:vertAlign w:val="baseline"/>
        </w:rPr>
        <w:footnoteRef/>
      </w:r>
      <w:r>
        <w:rPr>
          <w:rFonts w:hint="eastAsia" w:ascii="宋体" w:hAnsi="宋体" w:eastAsia="宋体" w:cs="宋体"/>
          <w:sz w:val="18"/>
          <w:szCs w:val="18"/>
        </w:rPr>
        <w:t>〕程恩富、王君玺：《论国有企业应引领和主导新质生产力发展》，《海派经济学》2024年第4期。</w:t>
      </w:r>
    </w:p>
    <w:p w14:paraId="13FE0D6C">
      <w:pPr>
        <w:pStyle w:val="7"/>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p>
    <w:p w14:paraId="0FE2C0AF">
      <w:pPr>
        <w:pStyle w:val="11"/>
        <w:keepNext w:val="0"/>
        <w:keepLines w:val="0"/>
        <w:pageBreakBefore w:val="0"/>
        <w:wordWrap w:val="0"/>
        <w:topLinePunct w:val="0"/>
        <w:bidi w:val="0"/>
        <w:spacing w:line="240" w:lineRule="auto"/>
        <w:ind w:left="0" w:right="0" w:firstLine="0" w:firstLineChars="0"/>
        <w:jc w:val="both"/>
        <w:rPr>
          <w:rFonts w:hint="eastAsia" w:ascii="宋体" w:hAnsi="宋体" w:eastAsia="宋体" w:cs="宋体"/>
          <w:sz w:val="18"/>
          <w:szCs w:val="18"/>
        </w:rPr>
      </w:pPr>
    </w:p>
  </w:footnote>
  <w:footnote w:id="1344">
    <w:p w14:paraId="55981645">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《中共中央关于制定国民经济和社会发展第十五个五年规划的建议》,北京</w:t>
      </w:r>
      <w:r>
        <w:rPr>
          <w:rFonts w:hint="eastAsia" w:ascii="宋体" w:hAnsi="宋体" w:eastAsia="宋体" w:cs="宋体"/>
          <w:spacing w:val="9"/>
          <w:sz w:val="18"/>
          <w:szCs w:val="18"/>
        </w:rPr>
        <w:t>:人民出版社,</w:t>
      </w:r>
      <w:r>
        <w:rPr>
          <w:rFonts w:hint="eastAsia" w:ascii="宋体" w:hAnsi="宋体" w:eastAsia="宋体" w:cs="宋体"/>
          <w:spacing w:val="9"/>
          <w:position w:val="-1"/>
          <w:sz w:val="18"/>
          <w:szCs w:val="18"/>
        </w:rPr>
        <w:t>2025</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3</w:t>
      </w:r>
      <w:r>
        <w:rPr>
          <w:rFonts w:hint="eastAsia" w:ascii="宋体" w:hAnsi="宋体" w:eastAsia="宋体" w:cs="宋体"/>
          <w:spacing w:val="9"/>
          <w:sz w:val="18"/>
          <w:szCs w:val="18"/>
        </w:rPr>
        <w:t>页。</w:t>
      </w:r>
    </w:p>
  </w:footnote>
  <w:footnote w:id="1345">
    <w:p w14:paraId="7768A6F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3"/>
          <w:sz w:val="18"/>
          <w:szCs w:val="18"/>
        </w:rPr>
        <w:t>习近平:《学习好贯彻好党的</w:t>
      </w:r>
      <w:r>
        <w:rPr>
          <w:rFonts w:hint="eastAsia" w:ascii="宋体" w:hAnsi="宋体" w:eastAsia="宋体" w:cs="宋体"/>
          <w:spacing w:val="12"/>
          <w:sz w:val="18"/>
          <w:szCs w:val="18"/>
        </w:rPr>
        <w:t>二十届四中全会精神》,《求是》</w:t>
      </w:r>
      <w:r>
        <w:rPr>
          <w:rFonts w:hint="eastAsia" w:ascii="宋体" w:hAnsi="宋体" w:eastAsia="宋体" w:cs="宋体"/>
          <w:spacing w:val="12"/>
          <w:position w:val="-1"/>
          <w:sz w:val="18"/>
          <w:szCs w:val="18"/>
        </w:rPr>
        <w:t>2026</w:t>
      </w:r>
      <w:r>
        <w:rPr>
          <w:rFonts w:hint="eastAsia" w:ascii="宋体" w:hAnsi="宋体" w:eastAsia="宋体" w:cs="宋体"/>
          <w:spacing w:val="12"/>
          <w:sz w:val="18"/>
          <w:szCs w:val="18"/>
        </w:rPr>
        <w:t>年第</w:t>
      </w:r>
      <w:r>
        <w:rPr>
          <w:rFonts w:hint="eastAsia" w:ascii="宋体" w:hAnsi="宋体" w:eastAsia="宋体" w:cs="宋体"/>
          <w:spacing w:val="12"/>
          <w:position w:val="-1"/>
          <w:sz w:val="18"/>
          <w:szCs w:val="18"/>
        </w:rPr>
        <w:t>1</w:t>
      </w:r>
      <w:r>
        <w:rPr>
          <w:rFonts w:hint="eastAsia" w:ascii="宋体" w:hAnsi="宋体" w:eastAsia="宋体" w:cs="宋体"/>
          <w:spacing w:val="12"/>
          <w:sz w:val="18"/>
          <w:szCs w:val="18"/>
        </w:rPr>
        <w:t>期。</w:t>
      </w:r>
    </w:p>
  </w:footnote>
  <w:footnote w:id="1346">
    <w:p w14:paraId="5E5AA2C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贝斯特、凯尔纳:《后现代理论》,</w:t>
      </w:r>
      <w:r>
        <w:rPr>
          <w:rFonts w:hint="eastAsia" w:ascii="宋体" w:hAnsi="宋体" w:eastAsia="宋体" w:cs="宋体"/>
          <w:spacing w:val="9"/>
          <w:sz w:val="18"/>
          <w:szCs w:val="18"/>
        </w:rPr>
        <w:t>张志斌译,北京:中央编译出版社,</w:t>
      </w:r>
      <w:r>
        <w:rPr>
          <w:rFonts w:hint="eastAsia" w:ascii="宋体" w:hAnsi="宋体" w:eastAsia="宋体" w:cs="宋体"/>
          <w:spacing w:val="9"/>
          <w:position w:val="-1"/>
          <w:sz w:val="18"/>
          <w:szCs w:val="18"/>
        </w:rPr>
        <w:t>1999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23</w:t>
      </w:r>
      <w:r>
        <w:rPr>
          <w:rFonts w:hint="eastAsia" w:ascii="宋体" w:hAnsi="宋体" w:eastAsia="宋体" w:cs="宋体"/>
          <w:spacing w:val="9"/>
          <w:sz w:val="18"/>
          <w:szCs w:val="18"/>
        </w:rPr>
        <w:t>页。</w:t>
      </w:r>
    </w:p>
  </w:footnote>
  <w:footnote w:id="1347">
    <w:p w14:paraId="00A0BE8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4"/>
          <w:sz w:val="18"/>
          <w:szCs w:val="18"/>
        </w:rPr>
        <w:t>周文:《建设现代化经济体系的几个重要理论问题》,《中国经济问题》</w:t>
      </w:r>
      <w:r>
        <w:rPr>
          <w:rFonts w:hint="eastAsia" w:ascii="宋体" w:hAnsi="宋体" w:eastAsia="宋体" w:cs="宋体"/>
          <w:spacing w:val="14"/>
          <w:position w:val="-1"/>
          <w:sz w:val="18"/>
          <w:szCs w:val="18"/>
        </w:rPr>
        <w:t>2019</w:t>
      </w:r>
      <w:r>
        <w:rPr>
          <w:rFonts w:hint="eastAsia" w:ascii="宋体" w:hAnsi="宋体" w:eastAsia="宋体" w:cs="宋体"/>
          <w:spacing w:val="13"/>
          <w:sz w:val="18"/>
          <w:szCs w:val="18"/>
        </w:rPr>
        <w:t>年第</w:t>
      </w:r>
      <w:r>
        <w:rPr>
          <w:rFonts w:hint="eastAsia" w:ascii="宋体" w:hAnsi="宋体" w:eastAsia="宋体" w:cs="宋体"/>
          <w:spacing w:val="13"/>
          <w:position w:val="-1"/>
          <w:sz w:val="18"/>
          <w:szCs w:val="18"/>
        </w:rPr>
        <w:t>5</w:t>
      </w:r>
      <w:r>
        <w:rPr>
          <w:rFonts w:hint="eastAsia" w:ascii="宋体" w:hAnsi="宋体" w:eastAsia="宋体" w:cs="宋体"/>
          <w:spacing w:val="13"/>
          <w:sz w:val="18"/>
          <w:szCs w:val="18"/>
        </w:rPr>
        <w:t>期</w:t>
      </w:r>
    </w:p>
  </w:footnote>
  <w:footnote w:id="1348">
    <w:p w14:paraId="249123B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罗荣渠:《现代化理论与历史研究》,《历史研究》</w:t>
      </w:r>
      <w:r>
        <w:rPr>
          <w:rFonts w:hint="eastAsia" w:ascii="宋体" w:hAnsi="宋体" w:eastAsia="宋体" w:cs="宋体"/>
          <w:spacing w:val="11"/>
          <w:position w:val="-1"/>
          <w:sz w:val="18"/>
          <w:szCs w:val="18"/>
        </w:rPr>
        <w:t>1986</w:t>
      </w:r>
      <w:r>
        <w:rPr>
          <w:rFonts w:hint="eastAsia" w:ascii="宋体" w:hAnsi="宋体" w:eastAsia="宋体" w:cs="宋体"/>
          <w:spacing w:val="11"/>
          <w:sz w:val="18"/>
          <w:szCs w:val="18"/>
        </w:rPr>
        <w:t>年第</w:t>
      </w:r>
      <w:r>
        <w:rPr>
          <w:rFonts w:hint="eastAsia" w:ascii="宋体" w:hAnsi="宋体" w:eastAsia="宋体" w:cs="宋体"/>
          <w:spacing w:val="10"/>
          <w:position w:val="-1"/>
          <w:sz w:val="18"/>
          <w:szCs w:val="18"/>
        </w:rPr>
        <w:t>2</w:t>
      </w:r>
      <w:r>
        <w:rPr>
          <w:rFonts w:hint="eastAsia" w:ascii="宋体" w:hAnsi="宋体" w:eastAsia="宋体" w:cs="宋体"/>
          <w:spacing w:val="10"/>
          <w:sz w:val="18"/>
          <w:szCs w:val="18"/>
        </w:rPr>
        <w:t>期,第</w:t>
      </w:r>
      <w:r>
        <w:rPr>
          <w:rFonts w:hint="eastAsia" w:ascii="宋体" w:hAnsi="宋体" w:eastAsia="宋体" w:cs="宋体"/>
          <w:spacing w:val="10"/>
          <w:position w:val="-1"/>
          <w:sz w:val="18"/>
          <w:szCs w:val="18"/>
        </w:rPr>
        <w:t>1932</w:t>
      </w:r>
      <w:r>
        <w:rPr>
          <w:rFonts w:hint="eastAsia" w:ascii="宋体" w:hAnsi="宋体" w:eastAsia="宋体" w:cs="宋体"/>
          <w:spacing w:val="10"/>
          <w:sz w:val="18"/>
          <w:szCs w:val="18"/>
        </w:rPr>
        <w:t>页。</w:t>
      </w:r>
    </w:p>
  </w:footnote>
  <w:footnote w:id="1349">
    <w:p w14:paraId="2005713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钱乘旦:《世界现代化历程》,南京:江苏人</w:t>
      </w:r>
      <w:r>
        <w:rPr>
          <w:rFonts w:hint="eastAsia" w:ascii="宋体" w:hAnsi="宋体" w:eastAsia="宋体" w:cs="宋体"/>
          <w:spacing w:val="10"/>
          <w:sz w:val="18"/>
          <w:szCs w:val="18"/>
        </w:rPr>
        <w:t>民出版社,</w:t>
      </w:r>
      <w:r>
        <w:rPr>
          <w:rFonts w:hint="eastAsia" w:ascii="宋体" w:hAnsi="宋体" w:eastAsia="宋体" w:cs="宋体"/>
          <w:spacing w:val="10"/>
          <w:position w:val="-1"/>
          <w:sz w:val="18"/>
          <w:szCs w:val="18"/>
        </w:rPr>
        <w:t>2012</w:t>
      </w:r>
      <w:r>
        <w:rPr>
          <w:rFonts w:hint="eastAsia" w:ascii="宋体" w:hAnsi="宋体" w:eastAsia="宋体" w:cs="宋体"/>
          <w:spacing w:val="10"/>
          <w:sz w:val="18"/>
          <w:szCs w:val="18"/>
        </w:rPr>
        <w:t>年。</w:t>
      </w:r>
    </w:p>
  </w:footnote>
  <w:footnote w:id="1350">
    <w:p w14:paraId="5CE79D6F">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3"/>
          <w:sz w:val="18"/>
          <w:szCs w:val="18"/>
        </w:rPr>
        <w:t>刘志刚:《中西方现代化的不同逻辑起点、模式选择与价值追求》,《马克思主义研究》</w:t>
      </w:r>
      <w:r>
        <w:rPr>
          <w:rFonts w:hint="eastAsia" w:ascii="宋体" w:hAnsi="宋体" w:eastAsia="宋体" w:cs="宋体"/>
          <w:spacing w:val="13"/>
          <w:position w:val="-1"/>
          <w:sz w:val="18"/>
          <w:szCs w:val="18"/>
        </w:rPr>
        <w:t>2023</w:t>
      </w:r>
      <w:r>
        <w:rPr>
          <w:rFonts w:hint="eastAsia" w:ascii="宋体" w:hAnsi="宋体" w:eastAsia="宋体" w:cs="宋体"/>
          <w:spacing w:val="13"/>
          <w:sz w:val="18"/>
          <w:szCs w:val="18"/>
        </w:rPr>
        <w:t>年第</w:t>
      </w:r>
      <w:r>
        <w:rPr>
          <w:rFonts w:hint="eastAsia" w:ascii="宋体" w:hAnsi="宋体" w:eastAsia="宋体" w:cs="宋体"/>
          <w:spacing w:val="13"/>
          <w:position w:val="-1"/>
          <w:sz w:val="18"/>
          <w:szCs w:val="18"/>
        </w:rPr>
        <w:t>1</w:t>
      </w:r>
      <w:r>
        <w:rPr>
          <w:rFonts w:hint="eastAsia" w:ascii="宋体" w:hAnsi="宋体" w:eastAsia="宋体" w:cs="宋体"/>
          <w:spacing w:val="13"/>
          <w:sz w:val="18"/>
          <w:szCs w:val="18"/>
        </w:rPr>
        <w:t>期,第</w:t>
      </w:r>
      <w:r>
        <w:rPr>
          <w:rFonts w:hint="eastAsia" w:ascii="宋体" w:hAnsi="宋体" w:eastAsia="宋体" w:cs="宋体"/>
          <w:spacing w:val="8"/>
          <w:sz w:val="18"/>
          <w:szCs w:val="18"/>
        </w:rPr>
        <w:t>7684</w:t>
      </w:r>
      <w:r>
        <w:rPr>
          <w:rFonts w:hint="eastAsia" w:ascii="宋体" w:hAnsi="宋体" w:eastAsia="宋体" w:cs="宋体"/>
          <w:spacing w:val="8"/>
          <w:position w:val="1"/>
          <w:sz w:val="18"/>
          <w:szCs w:val="18"/>
        </w:rPr>
        <w:t>页。</w:t>
      </w:r>
    </w:p>
  </w:footnote>
  <w:footnote w:id="1351">
    <w:p w14:paraId="16A2278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2"/>
          <w:sz w:val="18"/>
          <w:szCs w:val="18"/>
        </w:rPr>
        <w:t>康凤云、麦中坚:《中国式现代化新叙事:对西方现代性的批判与超越》,《江汉论坛》</w:t>
      </w:r>
      <w:r>
        <w:rPr>
          <w:rFonts w:hint="eastAsia" w:ascii="宋体" w:hAnsi="宋体" w:eastAsia="宋体" w:cs="宋体"/>
          <w:spacing w:val="12"/>
          <w:position w:val="-1"/>
          <w:sz w:val="18"/>
          <w:szCs w:val="18"/>
        </w:rPr>
        <w:t>2023</w:t>
      </w:r>
      <w:r>
        <w:rPr>
          <w:rFonts w:hint="eastAsia" w:ascii="宋体" w:hAnsi="宋体" w:eastAsia="宋体" w:cs="宋体"/>
          <w:spacing w:val="12"/>
          <w:sz w:val="18"/>
          <w:szCs w:val="18"/>
        </w:rPr>
        <w:t>年第</w:t>
      </w:r>
      <w:r>
        <w:rPr>
          <w:rFonts w:hint="eastAsia" w:ascii="宋体" w:hAnsi="宋体" w:eastAsia="宋体" w:cs="宋体"/>
          <w:spacing w:val="12"/>
          <w:position w:val="-1"/>
          <w:sz w:val="18"/>
          <w:szCs w:val="18"/>
        </w:rPr>
        <w:t>6</w:t>
      </w:r>
      <w:r>
        <w:rPr>
          <w:rFonts w:hint="eastAsia" w:ascii="宋体" w:hAnsi="宋体" w:eastAsia="宋体" w:cs="宋体"/>
          <w:spacing w:val="12"/>
          <w:sz w:val="18"/>
          <w:szCs w:val="18"/>
        </w:rPr>
        <w:t>期,第</w:t>
      </w:r>
      <w:r>
        <w:rPr>
          <w:rFonts w:hint="eastAsia" w:ascii="宋体" w:hAnsi="宋体" w:eastAsia="宋体" w:cs="宋体"/>
          <w:spacing w:val="8"/>
          <w:sz w:val="18"/>
          <w:szCs w:val="18"/>
        </w:rPr>
        <w:t>3440</w:t>
      </w:r>
      <w:r>
        <w:rPr>
          <w:rFonts w:hint="eastAsia" w:ascii="宋体" w:hAnsi="宋体" w:eastAsia="宋体" w:cs="宋体"/>
          <w:spacing w:val="8"/>
          <w:position w:val="1"/>
          <w:sz w:val="18"/>
          <w:szCs w:val="18"/>
        </w:rPr>
        <w:t>页。</w:t>
      </w:r>
    </w:p>
  </w:footnote>
  <w:footnote w:id="1352">
    <w:p w14:paraId="68FE329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刘守英、范欣、刘瑞明:《中国式现代化》,</w:t>
      </w:r>
      <w:r>
        <w:rPr>
          <w:rFonts w:hint="eastAsia" w:ascii="宋体" w:hAnsi="宋体" w:eastAsia="宋体" w:cs="宋体"/>
          <w:spacing w:val="10"/>
          <w:sz w:val="18"/>
          <w:szCs w:val="18"/>
        </w:rPr>
        <w:t>北京:中国人民大学出版社,</w:t>
      </w:r>
      <w:r>
        <w:rPr>
          <w:rFonts w:hint="eastAsia" w:ascii="宋体" w:hAnsi="宋体" w:eastAsia="宋体" w:cs="宋体"/>
          <w:spacing w:val="10"/>
          <w:position w:val="-1"/>
          <w:sz w:val="18"/>
          <w:szCs w:val="18"/>
        </w:rPr>
        <w:t>2025</w:t>
      </w:r>
      <w:r>
        <w:rPr>
          <w:rFonts w:hint="eastAsia" w:ascii="宋体" w:hAnsi="宋体" w:eastAsia="宋体" w:cs="宋体"/>
          <w:spacing w:val="10"/>
          <w:sz w:val="18"/>
          <w:szCs w:val="18"/>
        </w:rPr>
        <w:t>年。</w:t>
      </w:r>
    </w:p>
  </w:footnote>
  <w:footnote w:id="1353">
    <w:p w14:paraId="5B8D92B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5"/>
          <w:sz w:val="18"/>
          <w:szCs w:val="18"/>
        </w:rPr>
        <w:t>交通信息分析公司英瑞克斯(</w:t>
      </w:r>
      <w:r>
        <w:rPr>
          <w:rFonts w:hint="eastAsia" w:ascii="宋体" w:hAnsi="宋体" w:eastAsia="宋体" w:cs="宋体"/>
          <w:sz w:val="18"/>
          <w:szCs w:val="18"/>
        </w:rPr>
        <w:t>Inri</w:t>
      </w:r>
      <w:r>
        <w:rPr>
          <w:rFonts w:hint="eastAsia" w:ascii="宋体" w:hAnsi="宋体" w:eastAsia="宋体" w:cs="宋体"/>
          <w:position w:val="-1"/>
          <w:sz w:val="18"/>
          <w:szCs w:val="18"/>
        </w:rPr>
        <w:t>x</w:t>
      </w:r>
      <w:r>
        <w:rPr>
          <w:rFonts w:hint="eastAsia" w:ascii="宋体" w:hAnsi="宋体" w:eastAsia="宋体" w:cs="宋体"/>
          <w:spacing w:val="15"/>
          <w:sz w:val="18"/>
          <w:szCs w:val="18"/>
        </w:rPr>
        <w:t>),对全球</w:t>
      </w:r>
      <w:r>
        <w:rPr>
          <w:rFonts w:hint="eastAsia" w:ascii="宋体" w:hAnsi="宋体" w:eastAsia="宋体" w:cs="宋体"/>
          <w:spacing w:val="15"/>
          <w:position w:val="-1"/>
          <w:sz w:val="18"/>
          <w:szCs w:val="18"/>
        </w:rPr>
        <w:t>1300</w:t>
      </w:r>
      <w:r>
        <w:rPr>
          <w:rFonts w:hint="eastAsia" w:ascii="宋体" w:hAnsi="宋体" w:eastAsia="宋体" w:cs="宋体"/>
          <w:spacing w:val="15"/>
          <w:sz w:val="18"/>
          <w:szCs w:val="18"/>
        </w:rPr>
        <w:t>个城市的交通信息收集分析后,发布</w:t>
      </w:r>
      <w:r>
        <w:rPr>
          <w:rFonts w:hint="eastAsia" w:ascii="宋体" w:hAnsi="宋体" w:eastAsia="宋体" w:cs="宋体"/>
          <w:spacing w:val="15"/>
          <w:position w:val="-1"/>
          <w:sz w:val="18"/>
          <w:szCs w:val="18"/>
        </w:rPr>
        <w:t>2017</w:t>
      </w:r>
      <w:r>
        <w:rPr>
          <w:rFonts w:hint="eastAsia" w:ascii="宋体" w:hAnsi="宋体" w:eastAsia="宋体" w:cs="宋体"/>
          <w:spacing w:val="15"/>
          <w:sz w:val="18"/>
          <w:szCs w:val="18"/>
        </w:rPr>
        <w:t>年全球交通</w:t>
      </w:r>
      <w:r>
        <w:rPr>
          <w:rFonts w:hint="eastAsia" w:ascii="宋体" w:hAnsi="宋体" w:eastAsia="宋体" w:cs="宋体"/>
          <w:spacing w:val="14"/>
          <w:sz w:val="18"/>
          <w:szCs w:val="18"/>
        </w:rPr>
        <w:t>拥堵排行榜。洛杉矶在全球最拥堵城市排行榜上排名第一,纽约第三,伦敦第七。</w:t>
      </w:r>
    </w:p>
  </w:footnote>
  <w:footnote w:id="1354">
    <w:p w14:paraId="2C5BEFB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5</w:t>
      </w:r>
      <w:r>
        <w:rPr>
          <w:rFonts w:hint="eastAsia" w:ascii="宋体" w:hAnsi="宋体" w:eastAsia="宋体" w:cs="宋体"/>
          <w:spacing w:val="10"/>
          <w:sz w:val="18"/>
          <w:szCs w:val="18"/>
        </w:rPr>
        <w:t>卷),北京:人民出版社,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8</w:t>
      </w:r>
      <w:r>
        <w:rPr>
          <w:rFonts w:hint="eastAsia" w:ascii="宋体" w:hAnsi="宋体" w:eastAsia="宋体" w:cs="宋体"/>
          <w:spacing w:val="9"/>
          <w:sz w:val="18"/>
          <w:szCs w:val="18"/>
        </w:rPr>
        <w:t>页。</w:t>
      </w:r>
    </w:p>
  </w:footnote>
  <w:footnote w:id="1355">
    <w:p w14:paraId="22725BE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1</w:t>
      </w:r>
      <w:r>
        <w:rPr>
          <w:rFonts w:hint="eastAsia" w:ascii="宋体" w:hAnsi="宋体" w:eastAsia="宋体" w:cs="宋体"/>
          <w:spacing w:val="10"/>
          <w:sz w:val="18"/>
          <w:szCs w:val="18"/>
        </w:rPr>
        <w:t>卷),北京:人</w:t>
      </w:r>
      <w:r>
        <w:rPr>
          <w:rFonts w:hint="eastAsia" w:ascii="宋体" w:hAnsi="宋体" w:eastAsia="宋体" w:cs="宋体"/>
          <w:spacing w:val="9"/>
          <w:sz w:val="18"/>
          <w:szCs w:val="18"/>
        </w:rPr>
        <w:t>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159</w:t>
      </w:r>
      <w:r>
        <w:rPr>
          <w:rFonts w:hint="eastAsia" w:ascii="宋体" w:hAnsi="宋体" w:eastAsia="宋体" w:cs="宋体"/>
          <w:spacing w:val="9"/>
          <w:sz w:val="18"/>
          <w:szCs w:val="18"/>
        </w:rPr>
        <w:t>页。</w:t>
      </w:r>
    </w:p>
  </w:footnote>
  <w:footnote w:id="1356">
    <w:p w14:paraId="67436C1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1</w:t>
      </w:r>
      <w:r>
        <w:rPr>
          <w:rFonts w:hint="eastAsia" w:ascii="宋体" w:hAnsi="宋体" w:eastAsia="宋体" w:cs="宋体"/>
          <w:spacing w:val="10"/>
          <w:sz w:val="18"/>
          <w:szCs w:val="18"/>
        </w:rPr>
        <w:t>卷),北京:人</w:t>
      </w:r>
      <w:r>
        <w:rPr>
          <w:rFonts w:hint="eastAsia" w:ascii="宋体" w:hAnsi="宋体" w:eastAsia="宋体" w:cs="宋体"/>
          <w:spacing w:val="9"/>
          <w:sz w:val="18"/>
          <w:szCs w:val="18"/>
        </w:rPr>
        <w:t>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189</w:t>
      </w:r>
      <w:r>
        <w:rPr>
          <w:rFonts w:hint="eastAsia" w:ascii="宋体" w:hAnsi="宋体" w:eastAsia="宋体" w:cs="宋体"/>
          <w:spacing w:val="9"/>
          <w:sz w:val="18"/>
          <w:szCs w:val="18"/>
        </w:rPr>
        <w:t>页。</w:t>
      </w:r>
    </w:p>
  </w:footnote>
  <w:footnote w:id="1357">
    <w:p w14:paraId="2C9C847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5</w:t>
      </w:r>
      <w:r>
        <w:rPr>
          <w:rFonts w:hint="eastAsia" w:ascii="宋体" w:hAnsi="宋体" w:eastAsia="宋体" w:cs="宋体"/>
          <w:spacing w:val="10"/>
          <w:sz w:val="18"/>
          <w:szCs w:val="18"/>
        </w:rPr>
        <w:t>卷),北京:人民出版</w:t>
      </w:r>
      <w:r>
        <w:rPr>
          <w:rFonts w:hint="eastAsia" w:ascii="宋体" w:hAnsi="宋体" w:eastAsia="宋体" w:cs="宋体"/>
          <w:spacing w:val="9"/>
          <w:sz w:val="18"/>
          <w:szCs w:val="18"/>
        </w:rPr>
        <w:t>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579</w:t>
      </w:r>
      <w:r>
        <w:rPr>
          <w:rFonts w:hint="eastAsia" w:ascii="宋体" w:hAnsi="宋体" w:eastAsia="宋体" w:cs="宋体"/>
          <w:spacing w:val="9"/>
          <w:sz w:val="18"/>
          <w:szCs w:val="18"/>
        </w:rPr>
        <w:t>页。</w:t>
      </w:r>
    </w:p>
  </w:footnote>
  <w:footnote w:id="1358">
    <w:p w14:paraId="3CE827F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5</w:t>
      </w:r>
      <w:r>
        <w:rPr>
          <w:rFonts w:hint="eastAsia" w:ascii="宋体" w:hAnsi="宋体" w:eastAsia="宋体" w:cs="宋体"/>
          <w:spacing w:val="10"/>
          <w:sz w:val="18"/>
          <w:szCs w:val="18"/>
        </w:rPr>
        <w:t>卷),北京:人民出版社</w:t>
      </w:r>
      <w:r>
        <w:rPr>
          <w:rFonts w:hint="eastAsia" w:ascii="宋体" w:hAnsi="宋体" w:eastAsia="宋体" w:cs="宋体"/>
          <w:spacing w:val="9"/>
          <w:sz w:val="18"/>
          <w:szCs w:val="18"/>
        </w:rPr>
        <w:t>,</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871</w:t>
      </w:r>
      <w:r>
        <w:rPr>
          <w:rFonts w:hint="eastAsia" w:ascii="宋体" w:hAnsi="宋体" w:eastAsia="宋体" w:cs="宋体"/>
          <w:spacing w:val="9"/>
          <w:sz w:val="18"/>
          <w:szCs w:val="18"/>
        </w:rPr>
        <w:t>页。</w:t>
      </w:r>
    </w:p>
  </w:footnote>
  <w:footnote w:id="1359">
    <w:p w14:paraId="7B8FC37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《科学社会主义概论》编写组:《科学</w:t>
      </w:r>
      <w:r>
        <w:rPr>
          <w:rFonts w:hint="eastAsia" w:ascii="宋体" w:hAnsi="宋体" w:eastAsia="宋体" w:cs="宋体"/>
          <w:spacing w:val="10"/>
          <w:sz w:val="18"/>
          <w:szCs w:val="18"/>
        </w:rPr>
        <w:t>社会主义概论》,北京:人民出版社,</w:t>
      </w:r>
      <w:r>
        <w:rPr>
          <w:rFonts w:hint="eastAsia" w:ascii="宋体" w:hAnsi="宋体" w:eastAsia="宋体" w:cs="宋体"/>
          <w:spacing w:val="10"/>
          <w:position w:val="-1"/>
          <w:sz w:val="18"/>
          <w:szCs w:val="18"/>
        </w:rPr>
        <w:t>2011</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30</w:t>
      </w:r>
      <w:r>
        <w:rPr>
          <w:rFonts w:hint="eastAsia" w:ascii="宋体" w:hAnsi="宋体" w:eastAsia="宋体" w:cs="宋体"/>
          <w:spacing w:val="10"/>
          <w:sz w:val="18"/>
          <w:szCs w:val="18"/>
        </w:rPr>
        <w:t>页。</w:t>
      </w:r>
    </w:p>
  </w:footnote>
  <w:footnote w:id="1360">
    <w:p w14:paraId="58F45F5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2</w:t>
      </w:r>
      <w:r>
        <w:rPr>
          <w:rFonts w:hint="eastAsia" w:ascii="宋体" w:hAnsi="宋体" w:eastAsia="宋体" w:cs="宋体"/>
          <w:spacing w:val="10"/>
          <w:sz w:val="18"/>
          <w:szCs w:val="18"/>
        </w:rPr>
        <w:t>卷),北京:人民出版社</w:t>
      </w:r>
      <w:r>
        <w:rPr>
          <w:rFonts w:hint="eastAsia" w:ascii="宋体" w:hAnsi="宋体" w:eastAsia="宋体" w:cs="宋体"/>
          <w:spacing w:val="9"/>
          <w:sz w:val="18"/>
          <w:szCs w:val="18"/>
        </w:rPr>
        <w:t>,</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690</w:t>
      </w:r>
      <w:r>
        <w:rPr>
          <w:rFonts w:hint="eastAsia" w:ascii="宋体" w:hAnsi="宋体" w:eastAsia="宋体" w:cs="宋体"/>
          <w:spacing w:val="9"/>
          <w:sz w:val="18"/>
          <w:szCs w:val="18"/>
        </w:rPr>
        <w:t>页。</w:t>
      </w:r>
    </w:p>
  </w:footnote>
  <w:footnote w:id="1361">
    <w:p w14:paraId="5BBF1D2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5</w:t>
      </w:r>
      <w:r>
        <w:rPr>
          <w:rFonts w:hint="eastAsia" w:ascii="宋体" w:hAnsi="宋体" w:eastAsia="宋体" w:cs="宋体"/>
          <w:spacing w:val="10"/>
          <w:sz w:val="18"/>
          <w:szCs w:val="18"/>
        </w:rPr>
        <w:t>卷),北京:人民出版</w:t>
      </w:r>
      <w:r>
        <w:rPr>
          <w:rFonts w:hint="eastAsia" w:ascii="宋体" w:hAnsi="宋体" w:eastAsia="宋体" w:cs="宋体"/>
          <w:spacing w:val="9"/>
          <w:sz w:val="18"/>
          <w:szCs w:val="18"/>
        </w:rPr>
        <w:t>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742</w:t>
      </w:r>
      <w:r>
        <w:rPr>
          <w:rFonts w:hint="eastAsia" w:ascii="宋体" w:hAnsi="宋体" w:eastAsia="宋体" w:cs="宋体"/>
          <w:spacing w:val="9"/>
          <w:sz w:val="18"/>
          <w:szCs w:val="18"/>
        </w:rPr>
        <w:t>页。</w:t>
      </w:r>
    </w:p>
  </w:footnote>
  <w:footnote w:id="1362">
    <w:p w14:paraId="50035C2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IncomeInequality,USA,1820—2023,WID,</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"https://wid.world/country/usa/" </w:instrText>
      </w:r>
      <w:r>
        <w:rPr>
          <w:rFonts w:hint="eastAsia" w:ascii="宋体" w:hAnsi="宋体" w:eastAsia="宋体" w:cs="宋体"/>
          <w:sz w:val="18"/>
          <w:szCs w:val="18"/>
        </w:rPr>
        <w:fldChar w:fldCharType="separate"/>
      </w:r>
      <w:r>
        <w:rPr>
          <w:rFonts w:hint="eastAsia" w:ascii="宋体" w:hAnsi="宋体" w:eastAsia="宋体" w:cs="宋体"/>
          <w:spacing w:val="8"/>
          <w:sz w:val="18"/>
          <w:szCs w:val="18"/>
        </w:rPr>
        <w:t>ht</w:t>
      </w:r>
      <w:r>
        <w:rPr>
          <w:rFonts w:hint="eastAsia" w:ascii="宋体" w:hAnsi="宋体" w:eastAsia="宋体" w:cs="宋体"/>
          <w:spacing w:val="7"/>
          <w:sz w:val="18"/>
          <w:szCs w:val="18"/>
        </w:rPr>
        <w:t>tps://wid.world/country/usa/</w:t>
      </w:r>
      <w:r>
        <w:rPr>
          <w:rFonts w:hint="eastAsia" w:ascii="宋体" w:hAnsi="宋体" w:eastAsia="宋体" w:cs="宋体"/>
          <w:spacing w:val="7"/>
          <w:sz w:val="18"/>
          <w:szCs w:val="18"/>
        </w:rPr>
        <w:fldChar w:fldCharType="end"/>
      </w:r>
      <w:r>
        <w:rPr>
          <w:rFonts w:hint="eastAsia" w:ascii="宋体" w:hAnsi="宋体" w:eastAsia="宋体" w:cs="宋体"/>
          <w:spacing w:val="7"/>
          <w:sz w:val="18"/>
          <w:szCs w:val="18"/>
        </w:rPr>
        <w:t>.</w:t>
      </w:r>
    </w:p>
  </w:footnote>
  <w:footnote w:id="1363">
    <w:p w14:paraId="5434FD4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IncomeInequality,USA,1820—2023,WID,</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"https://wid.world/country/usa/" </w:instrText>
      </w:r>
      <w:r>
        <w:rPr>
          <w:rFonts w:hint="eastAsia" w:ascii="宋体" w:hAnsi="宋体" w:eastAsia="宋体" w:cs="宋体"/>
          <w:sz w:val="18"/>
          <w:szCs w:val="18"/>
        </w:rPr>
        <w:fldChar w:fldCharType="separate"/>
      </w:r>
      <w:r>
        <w:rPr>
          <w:rFonts w:hint="eastAsia" w:ascii="宋体" w:hAnsi="宋体" w:eastAsia="宋体" w:cs="宋体"/>
          <w:spacing w:val="8"/>
          <w:sz w:val="18"/>
          <w:szCs w:val="18"/>
        </w:rPr>
        <w:t>ht</w:t>
      </w:r>
      <w:r>
        <w:rPr>
          <w:rFonts w:hint="eastAsia" w:ascii="宋体" w:hAnsi="宋体" w:eastAsia="宋体" w:cs="宋体"/>
          <w:spacing w:val="7"/>
          <w:sz w:val="18"/>
          <w:szCs w:val="18"/>
        </w:rPr>
        <w:t>tps://wid.world/country/usa/</w:t>
      </w:r>
      <w:r>
        <w:rPr>
          <w:rFonts w:hint="eastAsia" w:ascii="宋体" w:hAnsi="宋体" w:eastAsia="宋体" w:cs="宋体"/>
          <w:spacing w:val="7"/>
          <w:sz w:val="18"/>
          <w:szCs w:val="18"/>
        </w:rPr>
        <w:fldChar w:fldCharType="end"/>
      </w:r>
      <w:r>
        <w:rPr>
          <w:rFonts w:hint="eastAsia" w:ascii="宋体" w:hAnsi="宋体" w:eastAsia="宋体" w:cs="宋体"/>
          <w:spacing w:val="7"/>
          <w:sz w:val="18"/>
          <w:szCs w:val="18"/>
        </w:rPr>
        <w:t>.</w:t>
      </w:r>
    </w:p>
  </w:footnote>
  <w:footnote w:id="1364">
    <w:p w14:paraId="479E7A5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3</w:t>
      </w:r>
      <w:r>
        <w:rPr>
          <w:rFonts w:hint="eastAsia" w:ascii="宋体" w:hAnsi="宋体" w:eastAsia="宋体" w:cs="宋体"/>
          <w:spacing w:val="10"/>
          <w:sz w:val="18"/>
          <w:szCs w:val="18"/>
        </w:rPr>
        <w:t>卷),北京:人民出版社</w:t>
      </w:r>
      <w:r>
        <w:rPr>
          <w:rFonts w:hint="eastAsia" w:ascii="宋体" w:hAnsi="宋体" w:eastAsia="宋体" w:cs="宋体"/>
          <w:spacing w:val="9"/>
          <w:sz w:val="18"/>
          <w:szCs w:val="18"/>
        </w:rPr>
        <w:t>,</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555</w:t>
      </w:r>
      <w:r>
        <w:rPr>
          <w:rFonts w:hint="eastAsia" w:ascii="宋体" w:hAnsi="宋体" w:eastAsia="宋体" w:cs="宋体"/>
          <w:spacing w:val="9"/>
          <w:sz w:val="18"/>
          <w:szCs w:val="18"/>
        </w:rPr>
        <w:t>页。</w:t>
      </w:r>
    </w:p>
  </w:footnote>
  <w:footnote w:id="1365">
    <w:p w14:paraId="675E020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5</w:t>
      </w:r>
      <w:r>
        <w:rPr>
          <w:rFonts w:hint="eastAsia" w:ascii="宋体" w:hAnsi="宋体" w:eastAsia="宋体" w:cs="宋体"/>
          <w:spacing w:val="10"/>
          <w:sz w:val="18"/>
          <w:szCs w:val="18"/>
        </w:rPr>
        <w:t>卷)</w:t>
      </w:r>
      <w:r>
        <w:rPr>
          <w:rFonts w:hint="eastAsia" w:ascii="宋体" w:hAnsi="宋体" w:eastAsia="宋体" w:cs="宋体"/>
          <w:spacing w:val="9"/>
          <w:sz w:val="18"/>
          <w:szCs w:val="18"/>
        </w:rPr>
        <w:t>,北京:人民出版社,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739740</w:t>
      </w:r>
      <w:r>
        <w:rPr>
          <w:rFonts w:hint="eastAsia" w:ascii="宋体" w:hAnsi="宋体" w:eastAsia="宋体" w:cs="宋体"/>
          <w:spacing w:val="9"/>
          <w:sz w:val="18"/>
          <w:szCs w:val="18"/>
        </w:rPr>
        <w:t>页。</w:t>
      </w:r>
    </w:p>
  </w:footnote>
  <w:footnote w:id="1366">
    <w:p w14:paraId="1AEFAB8A">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8</w:t>
      </w:r>
      <w:r>
        <w:rPr>
          <w:rFonts w:hint="eastAsia" w:ascii="宋体" w:hAnsi="宋体" w:eastAsia="宋体" w:cs="宋体"/>
          <w:spacing w:val="10"/>
          <w:sz w:val="18"/>
          <w:szCs w:val="18"/>
        </w:rPr>
        <w:t>卷),北京:人民出版社,</w:t>
      </w:r>
      <w:r>
        <w:rPr>
          <w:rFonts w:hint="eastAsia" w:ascii="宋体" w:hAnsi="宋体" w:eastAsia="宋体" w:cs="宋体"/>
          <w:spacing w:val="10"/>
          <w:position w:val="-1"/>
          <w:sz w:val="18"/>
          <w:szCs w:val="18"/>
        </w:rPr>
        <w:t>2009</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90</w:t>
      </w:r>
      <w:r>
        <w:rPr>
          <w:rFonts w:hint="eastAsia" w:ascii="宋体" w:hAnsi="宋体" w:eastAsia="宋体" w:cs="宋体"/>
          <w:spacing w:val="10"/>
          <w:sz w:val="18"/>
          <w:szCs w:val="18"/>
        </w:rPr>
        <w:t>页。</w:t>
      </w:r>
    </w:p>
    <w:p w14:paraId="09E4444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67">
    <w:p w14:paraId="3C7AD75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position w:val="-1"/>
          <w:sz w:val="18"/>
          <w:szCs w:val="18"/>
        </w:rPr>
        <w:t>C.E.</w:t>
      </w:r>
      <w:r>
        <w:rPr>
          <w:rFonts w:hint="eastAsia" w:ascii="宋体" w:hAnsi="宋体" w:eastAsia="宋体" w:cs="宋体"/>
          <w:spacing w:val="11"/>
          <w:sz w:val="18"/>
          <w:szCs w:val="18"/>
        </w:rPr>
        <w:t>布莱克:《现代化的动力:比较历史研究》,段小光译,成都:四川人民出版社,</w:t>
      </w:r>
      <w:r>
        <w:rPr>
          <w:rFonts w:hint="eastAsia" w:ascii="宋体" w:hAnsi="宋体" w:eastAsia="宋体" w:cs="宋体"/>
          <w:spacing w:val="11"/>
          <w:position w:val="-1"/>
          <w:sz w:val="18"/>
          <w:szCs w:val="18"/>
        </w:rPr>
        <w:t>1988</w:t>
      </w:r>
      <w:r>
        <w:rPr>
          <w:rFonts w:hint="eastAsia" w:ascii="宋体" w:hAnsi="宋体" w:eastAsia="宋体" w:cs="宋体"/>
          <w:spacing w:val="11"/>
          <w:sz w:val="18"/>
          <w:szCs w:val="18"/>
        </w:rPr>
        <w:t>年,第</w:t>
      </w:r>
      <w:r>
        <w:rPr>
          <w:rFonts w:hint="eastAsia" w:ascii="宋体" w:hAnsi="宋体" w:eastAsia="宋体" w:cs="宋体"/>
          <w:spacing w:val="11"/>
          <w:position w:val="-1"/>
          <w:sz w:val="18"/>
          <w:szCs w:val="18"/>
        </w:rPr>
        <w:t>87</w:t>
      </w:r>
      <w:r>
        <w:rPr>
          <w:rFonts w:hint="eastAsia" w:ascii="宋体" w:hAnsi="宋体" w:eastAsia="宋体" w:cs="宋体"/>
          <w:spacing w:val="11"/>
          <w:sz w:val="18"/>
          <w:szCs w:val="18"/>
        </w:rPr>
        <w:t>页。</w:t>
      </w:r>
    </w:p>
  </w:footnote>
  <w:footnote w:id="1368">
    <w:p w14:paraId="0301DF9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2</w:t>
      </w:r>
      <w:r>
        <w:rPr>
          <w:rFonts w:hint="eastAsia" w:ascii="宋体" w:hAnsi="宋体" w:eastAsia="宋体" w:cs="宋体"/>
          <w:spacing w:val="10"/>
          <w:sz w:val="18"/>
          <w:szCs w:val="18"/>
        </w:rPr>
        <w:t>卷),北京:人民出版社,</w:t>
      </w:r>
      <w:r>
        <w:rPr>
          <w:rFonts w:hint="eastAsia" w:ascii="宋体" w:hAnsi="宋体" w:eastAsia="宋体" w:cs="宋体"/>
          <w:spacing w:val="10"/>
          <w:position w:val="-1"/>
          <w:sz w:val="18"/>
          <w:szCs w:val="18"/>
        </w:rPr>
        <w:t>2009</w:t>
      </w:r>
      <w:r>
        <w:rPr>
          <w:rFonts w:hint="eastAsia" w:ascii="宋体" w:hAnsi="宋体" w:eastAsia="宋体" w:cs="宋体"/>
          <w:spacing w:val="10"/>
          <w:sz w:val="18"/>
          <w:szCs w:val="18"/>
        </w:rPr>
        <w:t>年,</w:t>
      </w:r>
      <w:r>
        <w:rPr>
          <w:rFonts w:hint="eastAsia" w:ascii="宋体" w:hAnsi="宋体" w:eastAsia="宋体" w:cs="宋体"/>
          <w:spacing w:val="9"/>
          <w:sz w:val="18"/>
          <w:szCs w:val="18"/>
        </w:rPr>
        <w:t>第</w:t>
      </w:r>
      <w:r>
        <w:rPr>
          <w:rFonts w:hint="eastAsia" w:ascii="宋体" w:hAnsi="宋体" w:eastAsia="宋体" w:cs="宋体"/>
          <w:spacing w:val="9"/>
          <w:position w:val="-1"/>
          <w:sz w:val="18"/>
          <w:szCs w:val="18"/>
        </w:rPr>
        <w:t>36</w:t>
      </w:r>
      <w:r>
        <w:rPr>
          <w:rFonts w:hint="eastAsia" w:ascii="宋体" w:hAnsi="宋体" w:eastAsia="宋体" w:cs="宋体"/>
          <w:spacing w:val="9"/>
          <w:sz w:val="18"/>
          <w:szCs w:val="18"/>
        </w:rPr>
        <w:t>页。</w:t>
      </w:r>
    </w:p>
  </w:footnote>
  <w:footnote w:id="1369">
    <w:p w14:paraId="6FB26A77">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《习近平关于科技创新论述摘编》,北京</w:t>
      </w:r>
      <w:r>
        <w:rPr>
          <w:rFonts w:hint="eastAsia" w:ascii="宋体" w:hAnsi="宋体" w:eastAsia="宋体" w:cs="宋体"/>
          <w:spacing w:val="10"/>
          <w:sz w:val="18"/>
          <w:szCs w:val="18"/>
        </w:rPr>
        <w:t>:中央文献出版社,</w:t>
      </w:r>
      <w:r>
        <w:rPr>
          <w:rFonts w:hint="eastAsia" w:ascii="宋体" w:hAnsi="宋体" w:eastAsia="宋体" w:cs="宋体"/>
          <w:spacing w:val="10"/>
          <w:position w:val="-1"/>
          <w:sz w:val="18"/>
          <w:szCs w:val="18"/>
        </w:rPr>
        <w:t>2016</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2425</w:t>
      </w:r>
      <w:r>
        <w:rPr>
          <w:rFonts w:hint="eastAsia" w:ascii="宋体" w:hAnsi="宋体" w:eastAsia="宋体" w:cs="宋体"/>
          <w:spacing w:val="10"/>
          <w:sz w:val="18"/>
          <w:szCs w:val="18"/>
        </w:rPr>
        <w:t>页。</w:t>
      </w:r>
    </w:p>
  </w:footnote>
  <w:footnote w:id="1370">
    <w:p w14:paraId="5A245A8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pacing w:val="11"/>
          <w:sz w:val="18"/>
          <w:szCs w:val="18"/>
        </w:rPr>
        <w:t>《习近平谈治国理政》(第四卷),</w:t>
      </w:r>
      <w:r>
        <w:rPr>
          <w:rFonts w:hint="eastAsia" w:ascii="宋体" w:hAnsi="宋体" w:eastAsia="宋体" w:cs="宋体"/>
          <w:spacing w:val="10"/>
          <w:sz w:val="18"/>
          <w:szCs w:val="18"/>
        </w:rPr>
        <w:t>北京:外文出版社,</w:t>
      </w:r>
      <w:r>
        <w:rPr>
          <w:rFonts w:hint="eastAsia" w:ascii="宋体" w:hAnsi="宋体" w:eastAsia="宋体" w:cs="宋体"/>
          <w:spacing w:val="10"/>
          <w:position w:val="-1"/>
          <w:sz w:val="18"/>
          <w:szCs w:val="18"/>
        </w:rPr>
        <w:t>2022</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10</w:t>
      </w:r>
      <w:r>
        <w:rPr>
          <w:rFonts w:hint="eastAsia" w:ascii="宋体" w:hAnsi="宋体" w:eastAsia="宋体" w:cs="宋体"/>
          <w:spacing w:val="10"/>
          <w:sz w:val="18"/>
          <w:szCs w:val="18"/>
        </w:rPr>
        <w:t>页。</w:t>
      </w:r>
    </w:p>
  </w:footnote>
  <w:footnote w:id="1371">
    <w:p w14:paraId="612B408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1</w:t>
      </w:r>
      <w:r>
        <w:rPr>
          <w:rFonts w:hint="eastAsia" w:ascii="宋体" w:hAnsi="宋体" w:eastAsia="宋体" w:cs="宋体"/>
          <w:spacing w:val="10"/>
          <w:sz w:val="18"/>
          <w:szCs w:val="18"/>
        </w:rPr>
        <w:t>卷),北京:人</w:t>
      </w:r>
      <w:r>
        <w:rPr>
          <w:rFonts w:hint="eastAsia" w:ascii="宋体" w:hAnsi="宋体" w:eastAsia="宋体" w:cs="宋体"/>
          <w:spacing w:val="9"/>
          <w:sz w:val="18"/>
          <w:szCs w:val="18"/>
        </w:rPr>
        <w:t>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189</w:t>
      </w:r>
      <w:r>
        <w:rPr>
          <w:rFonts w:hint="eastAsia" w:ascii="宋体" w:hAnsi="宋体" w:eastAsia="宋体" w:cs="宋体"/>
          <w:spacing w:val="9"/>
          <w:sz w:val="18"/>
          <w:szCs w:val="18"/>
        </w:rPr>
        <w:t>页。</w:t>
      </w:r>
    </w:p>
  </w:footnote>
  <w:footnote w:id="1372">
    <w:p w14:paraId="4D26F3C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2</w:t>
      </w:r>
      <w:r>
        <w:rPr>
          <w:rFonts w:hint="eastAsia" w:ascii="宋体" w:hAnsi="宋体" w:eastAsia="宋体" w:cs="宋体"/>
          <w:spacing w:val="10"/>
          <w:sz w:val="18"/>
          <w:szCs w:val="18"/>
        </w:rPr>
        <w:t>卷),北京:人民出版社,</w:t>
      </w:r>
      <w:r>
        <w:rPr>
          <w:rFonts w:hint="eastAsia" w:ascii="宋体" w:hAnsi="宋体" w:eastAsia="宋体" w:cs="宋体"/>
          <w:spacing w:val="10"/>
          <w:position w:val="-1"/>
          <w:sz w:val="18"/>
          <w:szCs w:val="18"/>
        </w:rPr>
        <w:t>2009</w:t>
      </w:r>
      <w:r>
        <w:rPr>
          <w:rFonts w:hint="eastAsia" w:ascii="宋体" w:hAnsi="宋体" w:eastAsia="宋体" w:cs="宋体"/>
          <w:spacing w:val="10"/>
          <w:sz w:val="18"/>
          <w:szCs w:val="18"/>
        </w:rPr>
        <w:t>年,</w:t>
      </w:r>
      <w:r>
        <w:rPr>
          <w:rFonts w:hint="eastAsia" w:ascii="宋体" w:hAnsi="宋体" w:eastAsia="宋体" w:cs="宋体"/>
          <w:spacing w:val="9"/>
          <w:sz w:val="18"/>
          <w:szCs w:val="18"/>
        </w:rPr>
        <w:t>第</w:t>
      </w:r>
      <w:r>
        <w:rPr>
          <w:rFonts w:hint="eastAsia" w:ascii="宋体" w:hAnsi="宋体" w:eastAsia="宋体" w:cs="宋体"/>
          <w:spacing w:val="9"/>
          <w:position w:val="-1"/>
          <w:sz w:val="18"/>
          <w:szCs w:val="18"/>
        </w:rPr>
        <w:t>53</w:t>
      </w:r>
      <w:r>
        <w:rPr>
          <w:rFonts w:hint="eastAsia" w:ascii="宋体" w:hAnsi="宋体" w:eastAsia="宋体" w:cs="宋体"/>
          <w:spacing w:val="9"/>
          <w:sz w:val="18"/>
          <w:szCs w:val="18"/>
        </w:rPr>
        <w:t>页。</w:t>
      </w:r>
    </w:p>
  </w:footnote>
  <w:footnote w:id="1373">
    <w:p w14:paraId="2AE45C1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塞缪尔·亨廷顿:《变化社会中的政治秩序》,王冠华、刘为译,北京:生活·读书·新知三联书店,1989</w:t>
      </w:r>
      <w:r>
        <w:rPr>
          <w:rFonts w:hint="eastAsia" w:ascii="宋体" w:hAnsi="宋体" w:eastAsia="宋体" w:cs="宋体"/>
          <w:spacing w:val="6"/>
          <w:position w:val="1"/>
          <w:sz w:val="18"/>
          <w:szCs w:val="18"/>
        </w:rPr>
        <w:t>年,第</w:t>
      </w:r>
      <w:r>
        <w:rPr>
          <w:rFonts w:hint="eastAsia" w:ascii="宋体" w:hAnsi="宋体" w:eastAsia="宋体" w:cs="宋体"/>
          <w:spacing w:val="6"/>
          <w:sz w:val="18"/>
          <w:szCs w:val="18"/>
        </w:rPr>
        <w:t>3137</w:t>
      </w:r>
      <w:r>
        <w:rPr>
          <w:rFonts w:hint="eastAsia" w:ascii="宋体" w:hAnsi="宋体" w:eastAsia="宋体" w:cs="宋体"/>
          <w:spacing w:val="6"/>
          <w:position w:val="1"/>
          <w:sz w:val="18"/>
          <w:szCs w:val="18"/>
        </w:rPr>
        <w:t>页</w:t>
      </w:r>
    </w:p>
  </w:footnote>
  <w:footnote w:id="1374">
    <w:p w14:paraId="0BC61A0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《最新!中国60项世界遗产全名单》,人民日报客户端,2025</w:t>
      </w:r>
      <w:r>
        <w:rPr>
          <w:rFonts w:hint="eastAsia" w:ascii="宋体" w:hAnsi="宋体" w:eastAsia="宋体" w:cs="宋体"/>
          <w:spacing w:val="8"/>
          <w:sz w:val="18"/>
          <w:szCs w:val="18"/>
        </w:rPr>
        <w:t>年7月12日,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"https://www.peopleapp"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8"/>
          <w:sz w:val="18"/>
          <w:szCs w:val="18"/>
        </w:rPr>
        <w:t>://</w:t>
      </w:r>
      <w:r>
        <w:rPr>
          <w:rFonts w:hint="eastAsia" w:ascii="宋体" w:hAnsi="宋体" w:eastAsia="宋体" w:cs="宋体"/>
          <w:sz w:val="18"/>
          <w:szCs w:val="18"/>
        </w:rPr>
        <w:t>www</w:t>
      </w:r>
      <w:r>
        <w:rPr>
          <w:rFonts w:hint="eastAsia" w:ascii="宋体" w:hAnsi="宋体" w:eastAsia="宋体" w:cs="宋体"/>
          <w:spacing w:val="8"/>
          <w:sz w:val="18"/>
          <w:szCs w:val="18"/>
        </w:rPr>
        <w:t>.</w:t>
      </w:r>
      <w:r>
        <w:rPr>
          <w:rFonts w:hint="eastAsia" w:ascii="宋体" w:hAnsi="宋体" w:eastAsia="宋体" w:cs="宋体"/>
          <w:sz w:val="18"/>
          <w:szCs w:val="18"/>
        </w:rPr>
        <w:t>peopleapp</w:t>
      </w:r>
      <w:r>
        <w:rPr>
          <w:rFonts w:hint="eastAsia" w:ascii="宋体" w:hAnsi="宋体" w:eastAsia="宋体" w:cs="宋体"/>
          <w:sz w:val="18"/>
          <w:szCs w:val="18"/>
        </w:rPr>
        <w:fldChar w:fldCharType="end"/>
      </w:r>
      <w:r>
        <w:rPr>
          <w:rFonts w:hint="eastAsia" w:ascii="宋体" w:hAnsi="宋体" w:eastAsia="宋体" w:cs="宋体"/>
          <w:spacing w:val="8"/>
          <w:position w:val="-1"/>
          <w:sz w:val="18"/>
          <w:szCs w:val="18"/>
        </w:rPr>
        <w:t>.</w:t>
      </w:r>
      <w:r>
        <w:rPr>
          <w:rFonts w:hint="eastAsia" w:ascii="宋体" w:hAnsi="宋体" w:eastAsia="宋体" w:cs="宋体"/>
          <w:position w:val="-1"/>
          <w:sz w:val="18"/>
          <w:szCs w:val="18"/>
        </w:rPr>
        <w:t>com</w:t>
      </w:r>
      <w:r>
        <w:rPr>
          <w:rFonts w:hint="eastAsia" w:ascii="宋体" w:hAnsi="宋体" w:eastAsia="宋体" w:cs="宋体"/>
          <w:spacing w:val="6"/>
          <w:position w:val="1"/>
          <w:sz w:val="18"/>
          <w:szCs w:val="18"/>
        </w:rPr>
        <w:t>/</w:t>
      </w:r>
      <w:r>
        <w:rPr>
          <w:rFonts w:hint="eastAsia" w:ascii="宋体" w:hAnsi="宋体" w:eastAsia="宋体" w:cs="宋体"/>
          <w:position w:val="-1"/>
          <w:sz w:val="18"/>
          <w:szCs w:val="18"/>
        </w:rPr>
        <w:t>column</w:t>
      </w:r>
      <w:r>
        <w:rPr>
          <w:rFonts w:hint="eastAsia" w:ascii="宋体" w:hAnsi="宋体" w:eastAsia="宋体" w:cs="宋体"/>
          <w:spacing w:val="6"/>
          <w:sz w:val="18"/>
          <w:szCs w:val="18"/>
        </w:rPr>
        <w:t>/30049647324</w:t>
      </w:r>
      <w:r>
        <w:rPr>
          <w:rFonts w:hint="eastAsia" w:ascii="宋体" w:hAnsi="宋体" w:eastAsia="宋体" w:cs="宋体"/>
          <w:spacing w:val="6"/>
          <w:position w:val="-1"/>
          <w:sz w:val="18"/>
          <w:szCs w:val="18"/>
        </w:rPr>
        <w:t>500006372669</w:t>
      </w:r>
      <w:r>
        <w:rPr>
          <w:rFonts w:hint="eastAsia" w:ascii="宋体" w:hAnsi="宋体" w:eastAsia="宋体" w:cs="宋体"/>
          <w:spacing w:val="6"/>
          <w:position w:val="1"/>
          <w:sz w:val="18"/>
          <w:szCs w:val="18"/>
        </w:rPr>
        <w:t>;</w:t>
      </w:r>
      <w:r>
        <w:rPr>
          <w:rFonts w:hint="eastAsia" w:ascii="宋体" w:hAnsi="宋体" w:eastAsia="宋体" w:cs="宋体"/>
          <w:spacing w:val="6"/>
          <w:sz w:val="18"/>
          <w:szCs w:val="18"/>
        </w:rPr>
        <w:t>文旅部</w:t>
      </w:r>
      <w:r>
        <w:rPr>
          <w:rFonts w:hint="eastAsia" w:ascii="宋体" w:hAnsi="宋体" w:eastAsia="宋体" w:cs="宋体"/>
          <w:spacing w:val="6"/>
          <w:position w:val="1"/>
          <w:sz w:val="18"/>
          <w:szCs w:val="18"/>
        </w:rPr>
        <w:t>:</w:t>
      </w:r>
      <w:r>
        <w:rPr>
          <w:rFonts w:hint="eastAsia" w:ascii="宋体" w:hAnsi="宋体" w:eastAsia="宋体" w:cs="宋体"/>
          <w:spacing w:val="6"/>
          <w:sz w:val="18"/>
          <w:szCs w:val="18"/>
        </w:rPr>
        <w:t>《推动非遗</w:t>
      </w:r>
      <w:r>
        <w:rPr>
          <w:rFonts w:hint="eastAsia" w:ascii="宋体" w:hAnsi="宋体" w:eastAsia="宋体" w:cs="宋体"/>
          <w:spacing w:val="5"/>
          <w:sz w:val="18"/>
          <w:szCs w:val="18"/>
        </w:rPr>
        <w:t>学科专业建设</w:t>
      </w:r>
      <w:r>
        <w:rPr>
          <w:rFonts w:hint="eastAsia" w:ascii="宋体" w:hAnsi="宋体" w:eastAsia="宋体" w:cs="宋体"/>
          <w:spacing w:val="5"/>
          <w:position w:val="1"/>
          <w:sz w:val="18"/>
          <w:szCs w:val="18"/>
        </w:rPr>
        <w:t>,</w:t>
      </w:r>
      <w:r>
        <w:rPr>
          <w:rFonts w:hint="eastAsia" w:ascii="宋体" w:hAnsi="宋体" w:eastAsia="宋体" w:cs="宋体"/>
          <w:spacing w:val="5"/>
          <w:position w:val="-1"/>
          <w:sz w:val="18"/>
          <w:szCs w:val="18"/>
        </w:rPr>
        <w:t>21</w:t>
      </w:r>
      <w:r>
        <w:rPr>
          <w:rFonts w:hint="eastAsia" w:ascii="宋体" w:hAnsi="宋体" w:eastAsia="宋体" w:cs="宋体"/>
          <w:spacing w:val="5"/>
          <w:sz w:val="18"/>
          <w:szCs w:val="18"/>
        </w:rPr>
        <w:t>个本科院校已设立非遗专业》</w:t>
      </w:r>
      <w:r>
        <w:rPr>
          <w:rFonts w:hint="eastAsia" w:ascii="宋体" w:hAnsi="宋体" w:eastAsia="宋体" w:cs="宋体"/>
          <w:spacing w:val="5"/>
          <w:position w:val="1"/>
          <w:sz w:val="18"/>
          <w:szCs w:val="18"/>
        </w:rPr>
        <w:t>,</w:t>
      </w:r>
      <w:r>
        <w:rPr>
          <w:rFonts w:hint="eastAsia" w:ascii="宋体" w:hAnsi="宋体" w:eastAsia="宋体" w:cs="宋体"/>
          <w:spacing w:val="15"/>
          <w:sz w:val="18"/>
          <w:szCs w:val="18"/>
        </w:rPr>
        <w:t>央视网,2024年10月10日,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"https://news.cctv.com/2024/10/10/ARTIwjucHc9kKyN14dwTqxtF241010.shtml"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5"/>
          <w:sz w:val="18"/>
          <w:szCs w:val="18"/>
        </w:rPr>
        <w:t>://</w:t>
      </w:r>
      <w:r>
        <w:rPr>
          <w:rFonts w:hint="eastAsia" w:ascii="宋体" w:hAnsi="宋体" w:eastAsia="宋体" w:cs="宋体"/>
          <w:sz w:val="18"/>
          <w:szCs w:val="18"/>
        </w:rPr>
        <w:t>news</w:t>
      </w:r>
      <w:r>
        <w:rPr>
          <w:rFonts w:hint="eastAsia" w:ascii="宋体" w:hAnsi="宋体" w:eastAsia="宋体" w:cs="宋体"/>
          <w:spacing w:val="14"/>
          <w:sz w:val="18"/>
          <w:szCs w:val="18"/>
        </w:rPr>
        <w:t>.</w:t>
      </w:r>
      <w:r>
        <w:rPr>
          <w:rFonts w:hint="eastAsia" w:ascii="宋体" w:hAnsi="宋体" w:eastAsia="宋体" w:cs="宋体"/>
          <w:sz w:val="18"/>
          <w:szCs w:val="18"/>
        </w:rPr>
        <w:t>cctv</w:t>
      </w:r>
      <w:r>
        <w:rPr>
          <w:rFonts w:hint="eastAsia" w:ascii="宋体" w:hAnsi="宋体" w:eastAsia="宋体" w:cs="宋体"/>
          <w:spacing w:val="14"/>
          <w:sz w:val="18"/>
          <w:szCs w:val="18"/>
        </w:rPr>
        <w:t>.</w:t>
      </w:r>
      <w:r>
        <w:rPr>
          <w:rFonts w:hint="eastAsia" w:ascii="宋体" w:hAnsi="宋体" w:eastAsia="宋体" w:cs="宋体"/>
          <w:sz w:val="18"/>
          <w:szCs w:val="18"/>
        </w:rPr>
        <w:t>com</w:t>
      </w:r>
      <w:r>
        <w:rPr>
          <w:rFonts w:hint="eastAsia" w:ascii="宋体" w:hAnsi="宋体" w:eastAsia="宋体" w:cs="宋体"/>
          <w:spacing w:val="14"/>
          <w:sz w:val="18"/>
          <w:szCs w:val="18"/>
        </w:rPr>
        <w:t>/2024/10/10/</w:t>
      </w:r>
      <w:r>
        <w:rPr>
          <w:rFonts w:hint="eastAsia" w:ascii="宋体" w:hAnsi="宋体" w:eastAsia="宋体" w:cs="宋体"/>
          <w:sz w:val="18"/>
          <w:szCs w:val="18"/>
        </w:rPr>
        <w:t>ARTIwjucHc</w:t>
      </w:r>
      <w:r>
        <w:rPr>
          <w:rFonts w:hint="eastAsia" w:ascii="宋体" w:hAnsi="宋体" w:eastAsia="宋体" w:cs="宋体"/>
          <w:spacing w:val="14"/>
          <w:sz w:val="18"/>
          <w:szCs w:val="18"/>
        </w:rPr>
        <w:t>9</w:t>
      </w:r>
      <w:r>
        <w:rPr>
          <w:rFonts w:hint="eastAsia" w:ascii="宋体" w:hAnsi="宋体" w:eastAsia="宋体" w:cs="宋体"/>
          <w:sz w:val="18"/>
          <w:szCs w:val="18"/>
        </w:rPr>
        <w:t>kKyN</w:t>
      </w:r>
      <w:r>
        <w:rPr>
          <w:rFonts w:hint="eastAsia" w:ascii="宋体" w:hAnsi="宋体" w:eastAsia="宋体" w:cs="宋体"/>
          <w:spacing w:val="14"/>
          <w:sz w:val="18"/>
          <w:szCs w:val="18"/>
        </w:rPr>
        <w:t>14</w:t>
      </w:r>
      <w:r>
        <w:rPr>
          <w:rFonts w:hint="eastAsia" w:ascii="宋体" w:hAnsi="宋体" w:eastAsia="宋体" w:cs="宋体"/>
          <w:sz w:val="18"/>
          <w:szCs w:val="18"/>
        </w:rPr>
        <w:t>dwTqxtF</w:t>
      </w:r>
      <w:r>
        <w:rPr>
          <w:rFonts w:hint="eastAsia" w:ascii="宋体" w:hAnsi="宋体" w:eastAsia="宋体" w:cs="宋体"/>
          <w:spacing w:val="14"/>
          <w:sz w:val="18"/>
          <w:szCs w:val="18"/>
        </w:rPr>
        <w:t>241010.</w:t>
      </w:r>
      <w:r>
        <w:rPr>
          <w:rFonts w:hint="eastAsia" w:ascii="宋体" w:hAnsi="宋体" w:eastAsia="宋体" w:cs="宋体"/>
          <w:sz w:val="18"/>
          <w:szCs w:val="18"/>
        </w:rPr>
        <w:t>shtml</w:t>
      </w:r>
      <w:r>
        <w:rPr>
          <w:rFonts w:hint="eastAsia" w:ascii="宋体" w:hAnsi="宋体" w:eastAsia="宋体" w:cs="宋体"/>
          <w:sz w:val="18"/>
          <w:szCs w:val="18"/>
        </w:rPr>
        <w:fldChar w:fldCharType="end"/>
      </w:r>
    </w:p>
  </w:footnote>
  <w:footnote w:id="1375">
    <w:p w14:paraId="0D6C69E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《马克思恩格斯文集》(第</w:t>
      </w:r>
      <w:r>
        <w:rPr>
          <w:rFonts w:hint="eastAsia" w:ascii="宋体" w:hAnsi="宋体" w:eastAsia="宋体" w:cs="宋体"/>
          <w:spacing w:val="10"/>
          <w:position w:val="-1"/>
          <w:sz w:val="18"/>
          <w:szCs w:val="18"/>
        </w:rPr>
        <w:t>1</w:t>
      </w:r>
      <w:r>
        <w:rPr>
          <w:rFonts w:hint="eastAsia" w:ascii="宋体" w:hAnsi="宋体" w:eastAsia="宋体" w:cs="宋体"/>
          <w:spacing w:val="10"/>
          <w:sz w:val="18"/>
          <w:szCs w:val="18"/>
        </w:rPr>
        <w:t>卷),北京:人民出</w:t>
      </w:r>
      <w:r>
        <w:rPr>
          <w:rFonts w:hint="eastAsia" w:ascii="宋体" w:hAnsi="宋体" w:eastAsia="宋体" w:cs="宋体"/>
          <w:spacing w:val="9"/>
          <w:sz w:val="18"/>
          <w:szCs w:val="18"/>
        </w:rPr>
        <w:t>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年,第</w:t>
      </w:r>
      <w:r>
        <w:rPr>
          <w:rFonts w:hint="eastAsia" w:ascii="宋体" w:hAnsi="宋体" w:eastAsia="宋体" w:cs="宋体"/>
          <w:spacing w:val="9"/>
          <w:position w:val="-1"/>
          <w:sz w:val="18"/>
          <w:szCs w:val="18"/>
        </w:rPr>
        <w:t>501</w:t>
      </w:r>
      <w:r>
        <w:rPr>
          <w:rFonts w:hint="eastAsia" w:ascii="宋体" w:hAnsi="宋体" w:eastAsia="宋体" w:cs="宋体"/>
          <w:spacing w:val="9"/>
          <w:sz w:val="18"/>
          <w:szCs w:val="18"/>
        </w:rPr>
        <w:t>页。</w:t>
      </w:r>
    </w:p>
  </w:footnote>
  <w:footnote w:id="1376">
    <w:p w14:paraId="2BE8CA4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国家统计局《中国统计年鉴</w:t>
      </w:r>
      <w:r>
        <w:rPr>
          <w:rFonts w:hint="eastAsia" w:ascii="宋体" w:hAnsi="宋体" w:eastAsia="宋体" w:cs="宋体"/>
          <w:spacing w:val="9"/>
          <w:position w:val="-1"/>
          <w:sz w:val="18"/>
          <w:szCs w:val="18"/>
        </w:rPr>
        <w:t>2023》</w:t>
      </w:r>
      <w:r>
        <w:rPr>
          <w:rFonts w:hint="eastAsia" w:ascii="宋体" w:hAnsi="宋体" w:eastAsia="宋体" w:cs="宋体"/>
          <w:spacing w:val="9"/>
          <w:sz w:val="18"/>
          <w:szCs w:val="18"/>
        </w:rPr>
        <w:t>中“基层群众自治组织”章节显示,截至</w:t>
      </w:r>
      <w:r>
        <w:rPr>
          <w:rFonts w:hint="eastAsia" w:ascii="宋体" w:hAnsi="宋体" w:eastAsia="宋体" w:cs="宋体"/>
          <w:spacing w:val="9"/>
          <w:position w:val="-1"/>
          <w:sz w:val="18"/>
          <w:szCs w:val="18"/>
        </w:rPr>
        <w:t>2022</w:t>
      </w:r>
      <w:r>
        <w:rPr>
          <w:rFonts w:hint="eastAsia" w:ascii="宋体" w:hAnsi="宋体" w:eastAsia="宋体" w:cs="宋体"/>
          <w:spacing w:val="9"/>
          <w:sz w:val="18"/>
          <w:szCs w:val="18"/>
        </w:rPr>
        <w:t>年底,全国共有村委会</w:t>
      </w:r>
      <w:r>
        <w:rPr>
          <w:rFonts w:hint="eastAsia" w:ascii="宋体" w:hAnsi="宋体" w:eastAsia="宋体" w:cs="宋体"/>
          <w:spacing w:val="15"/>
          <w:position w:val="-1"/>
          <w:sz w:val="18"/>
          <w:szCs w:val="18"/>
        </w:rPr>
        <w:t>49.2</w:t>
      </w:r>
      <w:r>
        <w:rPr>
          <w:rFonts w:hint="eastAsia" w:ascii="宋体" w:hAnsi="宋体" w:eastAsia="宋体" w:cs="宋体"/>
          <w:spacing w:val="15"/>
          <w:sz w:val="18"/>
          <w:szCs w:val="18"/>
        </w:rPr>
        <w:t>万个、居委会</w:t>
      </w:r>
      <w:r>
        <w:rPr>
          <w:rFonts w:hint="eastAsia" w:ascii="宋体" w:hAnsi="宋体" w:eastAsia="宋体" w:cs="宋体"/>
          <w:spacing w:val="15"/>
          <w:position w:val="-1"/>
          <w:sz w:val="18"/>
          <w:szCs w:val="18"/>
        </w:rPr>
        <w:t>11.6</w:t>
      </w:r>
      <w:r>
        <w:rPr>
          <w:rFonts w:hint="eastAsia" w:ascii="宋体" w:hAnsi="宋体" w:eastAsia="宋体" w:cs="宋体"/>
          <w:spacing w:val="15"/>
          <w:sz w:val="18"/>
          <w:szCs w:val="18"/>
        </w:rPr>
        <w:t>万个(合计</w:t>
      </w:r>
      <w:r>
        <w:rPr>
          <w:rFonts w:hint="eastAsia" w:ascii="宋体" w:hAnsi="宋体" w:eastAsia="宋体" w:cs="宋体"/>
          <w:spacing w:val="15"/>
          <w:position w:val="-1"/>
          <w:sz w:val="18"/>
          <w:szCs w:val="18"/>
        </w:rPr>
        <w:t>60.8</w:t>
      </w:r>
      <w:r>
        <w:rPr>
          <w:rFonts w:hint="eastAsia" w:ascii="宋体" w:hAnsi="宋体" w:eastAsia="宋体" w:cs="宋体"/>
          <w:spacing w:val="15"/>
          <w:sz w:val="18"/>
          <w:szCs w:val="18"/>
        </w:rPr>
        <w:t>万个);经行政区划调整后,</w:t>
      </w:r>
      <w:r>
        <w:rPr>
          <w:rFonts w:hint="eastAsia" w:ascii="宋体" w:hAnsi="宋体" w:eastAsia="宋体" w:cs="宋体"/>
          <w:spacing w:val="15"/>
          <w:position w:val="-1"/>
          <w:sz w:val="18"/>
          <w:szCs w:val="18"/>
        </w:rPr>
        <w:t>2023</w:t>
      </w:r>
      <w:r>
        <w:rPr>
          <w:rFonts w:hint="eastAsia" w:ascii="宋体" w:hAnsi="宋体" w:eastAsia="宋体" w:cs="宋体"/>
          <w:spacing w:val="15"/>
          <w:sz w:val="18"/>
          <w:szCs w:val="18"/>
        </w:rPr>
        <w:t>年民政部统计口径为</w:t>
      </w:r>
      <w:r>
        <w:rPr>
          <w:rFonts w:hint="eastAsia" w:ascii="宋体" w:hAnsi="宋体" w:eastAsia="宋体" w:cs="宋体"/>
          <w:spacing w:val="15"/>
          <w:position w:val="-1"/>
          <w:sz w:val="18"/>
          <w:szCs w:val="18"/>
        </w:rPr>
        <w:t>54.9</w:t>
      </w:r>
      <w:r>
        <w:rPr>
          <w:rFonts w:hint="eastAsia" w:ascii="宋体" w:hAnsi="宋体" w:eastAsia="宋体" w:cs="宋体"/>
          <w:spacing w:val="15"/>
          <w:sz w:val="18"/>
          <w:szCs w:val="18"/>
        </w:rPr>
        <w:t>万个(部分</w:t>
      </w:r>
      <w:r>
        <w:rPr>
          <w:rFonts w:hint="eastAsia" w:ascii="宋体" w:hAnsi="宋体" w:eastAsia="宋体" w:cs="宋体"/>
          <w:spacing w:val="16"/>
          <w:sz w:val="18"/>
          <w:szCs w:val="18"/>
        </w:rPr>
        <w:t>合并或改为城市社区)。</w:t>
      </w:r>
    </w:p>
  </w:footnote>
  <w:footnote w:id="1377">
    <w:p w14:paraId="7153684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DavidHarvey</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TheNewImperialism</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Cambridge</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OxfordUniversityPress</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2003</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p</w:t>
      </w:r>
      <w:r>
        <w:rPr>
          <w:rFonts w:hint="eastAsia" w:ascii="宋体" w:hAnsi="宋体" w:eastAsia="宋体" w:cs="宋体"/>
          <w:spacing w:val="6"/>
          <w:sz w:val="18"/>
          <w:szCs w:val="18"/>
        </w:rPr>
        <w:t>.149.</w:t>
      </w:r>
    </w:p>
  </w:footnote>
  <w:footnote w:id="1378">
    <w:p w14:paraId="0DD5F89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《习近平经济思想学习纲要》,北京:人民出版社、学习出版社,</w:t>
      </w:r>
      <w:r>
        <w:rPr>
          <w:rFonts w:hint="eastAsia" w:ascii="宋体" w:hAnsi="宋体" w:eastAsia="宋体" w:cs="宋体"/>
          <w:spacing w:val="10"/>
          <w:position w:val="-1"/>
          <w:sz w:val="18"/>
          <w:szCs w:val="18"/>
        </w:rPr>
        <w:t>2022</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73</w:t>
      </w:r>
      <w:r>
        <w:rPr>
          <w:rFonts w:hint="eastAsia" w:ascii="宋体" w:hAnsi="宋体" w:eastAsia="宋体" w:cs="宋体"/>
          <w:spacing w:val="10"/>
          <w:sz w:val="18"/>
          <w:szCs w:val="18"/>
        </w:rPr>
        <w:t>页。</w:t>
      </w:r>
    </w:p>
  </w:footnote>
  <w:footnote w:id="1379">
    <w:p w14:paraId="60FDE7E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2"/>
          <w:sz w:val="18"/>
          <w:szCs w:val="18"/>
        </w:rPr>
        <w:t>《中国共产党第二十次全国代表大会文件汇编</w:t>
      </w:r>
      <w:r>
        <w:rPr>
          <w:rFonts w:hint="eastAsia" w:ascii="宋体" w:hAnsi="宋体" w:eastAsia="宋体" w:cs="宋体"/>
          <w:spacing w:val="11"/>
          <w:sz w:val="18"/>
          <w:szCs w:val="18"/>
        </w:rPr>
        <w:t>》,北京:人民出版社,</w:t>
      </w:r>
      <w:r>
        <w:rPr>
          <w:rFonts w:hint="eastAsia" w:ascii="宋体" w:hAnsi="宋体" w:eastAsia="宋体" w:cs="宋体"/>
          <w:spacing w:val="11"/>
          <w:position w:val="-1"/>
          <w:sz w:val="18"/>
          <w:szCs w:val="18"/>
        </w:rPr>
        <w:t>2022</w:t>
      </w:r>
      <w:r>
        <w:rPr>
          <w:rFonts w:hint="eastAsia" w:ascii="宋体" w:hAnsi="宋体" w:eastAsia="宋体" w:cs="宋体"/>
          <w:spacing w:val="11"/>
          <w:sz w:val="18"/>
          <w:szCs w:val="18"/>
        </w:rPr>
        <w:t>年,第</w:t>
      </w:r>
      <w:r>
        <w:rPr>
          <w:rFonts w:hint="eastAsia" w:ascii="宋体" w:hAnsi="宋体" w:eastAsia="宋体" w:cs="宋体"/>
          <w:spacing w:val="11"/>
          <w:position w:val="-1"/>
          <w:sz w:val="18"/>
          <w:szCs w:val="18"/>
        </w:rPr>
        <w:t>39</w:t>
      </w:r>
      <w:r>
        <w:rPr>
          <w:rFonts w:hint="eastAsia" w:ascii="宋体" w:hAnsi="宋体" w:eastAsia="宋体" w:cs="宋体"/>
          <w:spacing w:val="11"/>
          <w:sz w:val="18"/>
          <w:szCs w:val="18"/>
        </w:rPr>
        <w:t>页。</w:t>
      </w:r>
    </w:p>
  </w:footnote>
  <w:footnote w:id="1380">
    <w:p w14:paraId="6DD5E82C">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国家发改委:《中西部地区铁路营</w:t>
      </w:r>
      <w:r>
        <w:rPr>
          <w:rFonts w:hint="eastAsia" w:ascii="宋体" w:hAnsi="宋体" w:eastAsia="宋体" w:cs="宋体"/>
          <w:spacing w:val="5"/>
          <w:sz w:val="18"/>
          <w:szCs w:val="18"/>
        </w:rPr>
        <w:t>业总里程已达</w:t>
      </w:r>
      <w:r>
        <w:rPr>
          <w:rFonts w:hint="eastAsia" w:ascii="宋体" w:hAnsi="宋体" w:eastAsia="宋体" w:cs="宋体"/>
          <w:spacing w:val="5"/>
          <w:position w:val="-1"/>
          <w:sz w:val="18"/>
          <w:szCs w:val="18"/>
        </w:rPr>
        <w:t>9</w:t>
      </w:r>
      <w:r>
        <w:rPr>
          <w:rFonts w:hint="eastAsia" w:ascii="宋体" w:hAnsi="宋体" w:eastAsia="宋体" w:cs="宋体"/>
          <w:spacing w:val="5"/>
          <w:sz w:val="18"/>
          <w:szCs w:val="18"/>
        </w:rPr>
        <w:t>万公里占全国比重近</w:t>
      </w:r>
      <w:r>
        <w:rPr>
          <w:rFonts w:hint="eastAsia" w:ascii="宋体" w:hAnsi="宋体" w:eastAsia="宋体" w:cs="宋体"/>
          <w:spacing w:val="5"/>
          <w:position w:val="-1"/>
          <w:sz w:val="18"/>
          <w:szCs w:val="18"/>
        </w:rPr>
        <w:t>60%》</w:t>
      </w:r>
      <w:r>
        <w:rPr>
          <w:rFonts w:hint="eastAsia" w:ascii="宋体" w:hAnsi="宋体" w:eastAsia="宋体" w:cs="宋体"/>
          <w:spacing w:val="5"/>
          <w:sz w:val="18"/>
          <w:szCs w:val="18"/>
        </w:rPr>
        <w:t>,新浪网,</w:t>
      </w:r>
      <w:r>
        <w:rPr>
          <w:rFonts w:hint="eastAsia" w:ascii="宋体" w:hAnsi="宋体" w:eastAsia="宋体" w:cs="宋体"/>
          <w:spacing w:val="5"/>
          <w:position w:val="-1"/>
          <w:sz w:val="18"/>
          <w:szCs w:val="18"/>
        </w:rPr>
        <w:t>2022</w:t>
      </w:r>
      <w:r>
        <w:rPr>
          <w:rFonts w:hint="eastAsia" w:ascii="宋体" w:hAnsi="宋体" w:eastAsia="宋体" w:cs="宋体"/>
          <w:spacing w:val="5"/>
          <w:sz w:val="18"/>
          <w:szCs w:val="18"/>
        </w:rPr>
        <w:t>年</w:t>
      </w:r>
      <w:r>
        <w:rPr>
          <w:rFonts w:hint="eastAsia" w:ascii="宋体" w:hAnsi="宋体" w:eastAsia="宋体" w:cs="宋体"/>
          <w:spacing w:val="5"/>
          <w:position w:val="-1"/>
          <w:sz w:val="18"/>
          <w:szCs w:val="18"/>
        </w:rPr>
        <w:t>9</w:t>
      </w:r>
      <w:r>
        <w:rPr>
          <w:rFonts w:hint="eastAsia" w:ascii="宋体" w:hAnsi="宋体" w:eastAsia="宋体" w:cs="宋体"/>
          <w:spacing w:val="5"/>
          <w:sz w:val="18"/>
          <w:szCs w:val="18"/>
        </w:rPr>
        <w:t>月</w:t>
      </w:r>
      <w:r>
        <w:rPr>
          <w:rFonts w:hint="eastAsia" w:ascii="宋体" w:hAnsi="宋体" w:eastAsia="宋体" w:cs="宋体"/>
          <w:spacing w:val="5"/>
          <w:position w:val="-1"/>
          <w:sz w:val="18"/>
          <w:szCs w:val="18"/>
        </w:rPr>
        <w:t>20</w:t>
      </w:r>
      <w:r>
        <w:rPr>
          <w:rFonts w:hint="eastAsia" w:ascii="宋体" w:hAnsi="宋体" w:eastAsia="宋体" w:cs="宋体"/>
          <w:spacing w:val="11"/>
          <w:position w:val="1"/>
          <w:sz w:val="18"/>
          <w:szCs w:val="18"/>
        </w:rPr>
        <w:t>日,</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"https://finance.sina.com.cn/jjxw/20220920/doc-imqmmtha8053459.shtml" </w:instrText>
      </w:r>
      <w:r>
        <w:rPr>
          <w:rFonts w:hint="eastAsia" w:ascii="宋体" w:hAnsi="宋体" w:eastAsia="宋体" w:cs="宋体"/>
          <w:sz w:val="18"/>
          <w:szCs w:val="18"/>
        </w:rPr>
        <w:fldChar w:fldCharType="separate"/>
      </w:r>
      <w:r>
        <w:rPr>
          <w:rFonts w:hint="eastAsia" w:ascii="宋体" w:hAnsi="宋体" w:eastAsia="宋体" w:cs="宋体"/>
          <w:sz w:val="18"/>
          <w:szCs w:val="18"/>
        </w:rPr>
        <w:t>https</w:t>
      </w:r>
      <w:r>
        <w:rPr>
          <w:rFonts w:hint="eastAsia" w:ascii="宋体" w:hAnsi="宋体" w:eastAsia="宋体" w:cs="宋体"/>
          <w:spacing w:val="11"/>
          <w:sz w:val="18"/>
          <w:szCs w:val="18"/>
        </w:rPr>
        <w:t>://</w:t>
      </w:r>
      <w:r>
        <w:rPr>
          <w:rFonts w:hint="eastAsia" w:ascii="宋体" w:hAnsi="宋体" w:eastAsia="宋体" w:cs="宋体"/>
          <w:sz w:val="18"/>
          <w:szCs w:val="18"/>
        </w:rPr>
        <w:t>finance</w:t>
      </w:r>
      <w:r>
        <w:rPr>
          <w:rFonts w:hint="eastAsia" w:ascii="宋体" w:hAnsi="宋体" w:eastAsia="宋体" w:cs="宋体"/>
          <w:spacing w:val="11"/>
          <w:sz w:val="18"/>
          <w:szCs w:val="18"/>
        </w:rPr>
        <w:t>.</w:t>
      </w:r>
      <w:r>
        <w:rPr>
          <w:rFonts w:hint="eastAsia" w:ascii="宋体" w:hAnsi="宋体" w:eastAsia="宋体" w:cs="宋体"/>
          <w:sz w:val="18"/>
          <w:szCs w:val="18"/>
        </w:rPr>
        <w:t>sina</w:t>
      </w:r>
      <w:r>
        <w:rPr>
          <w:rFonts w:hint="eastAsia" w:ascii="宋体" w:hAnsi="宋体" w:eastAsia="宋体" w:cs="宋体"/>
          <w:spacing w:val="11"/>
          <w:sz w:val="18"/>
          <w:szCs w:val="18"/>
        </w:rPr>
        <w:t>.</w:t>
      </w:r>
      <w:r>
        <w:rPr>
          <w:rFonts w:hint="eastAsia" w:ascii="宋体" w:hAnsi="宋体" w:eastAsia="宋体" w:cs="宋体"/>
          <w:sz w:val="18"/>
          <w:szCs w:val="18"/>
        </w:rPr>
        <w:t>com</w:t>
      </w:r>
      <w:r>
        <w:rPr>
          <w:rFonts w:hint="eastAsia" w:ascii="宋体" w:hAnsi="宋体" w:eastAsia="宋体" w:cs="宋体"/>
          <w:spacing w:val="11"/>
          <w:sz w:val="18"/>
          <w:szCs w:val="18"/>
        </w:rPr>
        <w:t>.</w:t>
      </w:r>
      <w:r>
        <w:rPr>
          <w:rFonts w:hint="eastAsia" w:ascii="宋体" w:hAnsi="宋体" w:eastAsia="宋体" w:cs="宋体"/>
          <w:sz w:val="18"/>
          <w:szCs w:val="18"/>
        </w:rPr>
        <w:t>cn</w:t>
      </w:r>
      <w:r>
        <w:rPr>
          <w:rFonts w:hint="eastAsia" w:ascii="宋体" w:hAnsi="宋体" w:eastAsia="宋体" w:cs="宋体"/>
          <w:spacing w:val="11"/>
          <w:sz w:val="18"/>
          <w:szCs w:val="18"/>
        </w:rPr>
        <w:t>/</w:t>
      </w:r>
      <w:r>
        <w:rPr>
          <w:rFonts w:hint="eastAsia" w:ascii="宋体" w:hAnsi="宋体" w:eastAsia="宋体" w:cs="宋体"/>
          <w:sz w:val="18"/>
          <w:szCs w:val="18"/>
        </w:rPr>
        <w:t>jjxw</w:t>
      </w:r>
      <w:r>
        <w:rPr>
          <w:rFonts w:hint="eastAsia" w:ascii="宋体" w:hAnsi="宋体" w:eastAsia="宋体" w:cs="宋体"/>
          <w:spacing w:val="11"/>
          <w:sz w:val="18"/>
          <w:szCs w:val="18"/>
        </w:rPr>
        <w:t>/20220920/</w:t>
      </w:r>
      <w:r>
        <w:rPr>
          <w:rFonts w:hint="eastAsia" w:ascii="宋体" w:hAnsi="宋体" w:eastAsia="宋体" w:cs="宋体"/>
          <w:sz w:val="18"/>
          <w:szCs w:val="18"/>
        </w:rPr>
        <w:t>doc</w:t>
      </w:r>
      <w:r>
        <w:rPr>
          <w:rFonts w:hint="eastAsia" w:ascii="宋体" w:hAnsi="宋体" w:eastAsia="宋体" w:cs="宋体"/>
          <w:spacing w:val="11"/>
          <w:sz w:val="18"/>
          <w:szCs w:val="18"/>
        </w:rPr>
        <w:t>-</w:t>
      </w:r>
      <w:r>
        <w:rPr>
          <w:rFonts w:hint="eastAsia" w:ascii="宋体" w:hAnsi="宋体" w:eastAsia="宋体" w:cs="宋体"/>
          <w:sz w:val="18"/>
          <w:szCs w:val="18"/>
        </w:rPr>
        <w:t>imqmmtha</w:t>
      </w:r>
      <w:r>
        <w:rPr>
          <w:rFonts w:hint="eastAsia" w:ascii="宋体" w:hAnsi="宋体" w:eastAsia="宋体" w:cs="宋体"/>
          <w:spacing w:val="11"/>
          <w:sz w:val="18"/>
          <w:szCs w:val="18"/>
        </w:rPr>
        <w:t>8053459.</w:t>
      </w:r>
      <w:r>
        <w:rPr>
          <w:rFonts w:hint="eastAsia" w:ascii="宋体" w:hAnsi="宋体" w:eastAsia="宋体" w:cs="宋体"/>
          <w:sz w:val="18"/>
          <w:szCs w:val="18"/>
        </w:rPr>
        <w:t>shtml</w:t>
      </w:r>
      <w:r>
        <w:rPr>
          <w:rFonts w:hint="eastAsia" w:ascii="宋体" w:hAnsi="宋体" w:eastAsia="宋体" w:cs="宋体"/>
          <w:sz w:val="18"/>
          <w:szCs w:val="18"/>
        </w:rPr>
        <w:fldChar w:fldCharType="end"/>
      </w:r>
      <w:r>
        <w:rPr>
          <w:rFonts w:hint="eastAsia" w:ascii="宋体" w:hAnsi="宋体" w:eastAsia="宋体" w:cs="宋体"/>
          <w:spacing w:val="11"/>
          <w:position w:val="1"/>
          <w:sz w:val="18"/>
          <w:szCs w:val="18"/>
        </w:rPr>
        <w:t>。</w:t>
      </w:r>
    </w:p>
  </w:footnote>
  <w:footnote w:id="1381">
    <w:p w14:paraId="54058D2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《习近平谈治国理政》(第四卷),北京:外文出版社,</w:t>
      </w:r>
      <w:r>
        <w:rPr>
          <w:rFonts w:hint="eastAsia" w:ascii="宋体" w:hAnsi="宋体" w:eastAsia="宋体" w:cs="宋体"/>
          <w:spacing w:val="10"/>
          <w:position w:val="-1"/>
          <w:sz w:val="18"/>
          <w:szCs w:val="18"/>
        </w:rPr>
        <w:t>2022</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123</w:t>
      </w:r>
      <w:r>
        <w:rPr>
          <w:rFonts w:hint="eastAsia" w:ascii="宋体" w:hAnsi="宋体" w:eastAsia="宋体" w:cs="宋体"/>
          <w:spacing w:val="10"/>
          <w:sz w:val="18"/>
          <w:szCs w:val="18"/>
        </w:rPr>
        <w:t>页。</w:t>
      </w:r>
    </w:p>
  </w:footnote>
  <w:footnote w:id="1382">
    <w:p w14:paraId="162143DB">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习近平．实施国家大数据战略加快建设数字中国[EB/OL].</w:t>
      </w:r>
      <w:r>
        <w:rPr>
          <w:rFonts w:hint="eastAsia" w:ascii="宋体" w:hAnsi="宋体" w:eastAsia="宋体" w:cs="宋体"/>
          <w:position w:val="-1"/>
          <w:sz w:val="18"/>
          <w:szCs w:val="18"/>
        </w:rPr>
        <w:t>https</w:t>
      </w:r>
      <w:r>
        <w:rPr>
          <w:rFonts w:hint="eastAsia" w:ascii="宋体" w:hAnsi="宋体" w:eastAsia="宋体" w:cs="宋体"/>
          <w:position w:val="1"/>
          <w:sz w:val="18"/>
          <w:szCs w:val="18"/>
        </w:rPr>
        <w:t>:</w:t>
      </w:r>
      <w:r>
        <w:rPr>
          <w:rFonts w:hint="eastAsia" w:ascii="宋体" w:hAnsi="宋体" w:eastAsia="宋体" w:cs="宋体"/>
          <w:position w:val="-1"/>
          <w:sz w:val="18"/>
          <w:szCs w:val="18"/>
        </w:rPr>
        <w:t>∥</w:t>
      </w:r>
      <w:r>
        <w:rPr>
          <w:rFonts w:hint="eastAsia" w:ascii="宋体" w:hAnsi="宋体" w:eastAsia="宋体" w:cs="宋体"/>
          <w:sz w:val="18"/>
          <w:szCs w:val="18"/>
        </w:rPr>
        <w:t>news.</w:t>
      </w:r>
      <w:r>
        <w:rPr>
          <w:rFonts w:hint="eastAsia" w:ascii="宋体" w:hAnsi="宋体" w:eastAsia="宋体" w:cs="宋体"/>
          <w:spacing w:val="-1"/>
          <w:sz w:val="18"/>
          <w:szCs w:val="18"/>
        </w:rPr>
        <w:t>12371.cn/2017/12/09/</w:t>
      </w:r>
      <w:r>
        <w:rPr>
          <w:rFonts w:hint="eastAsia" w:ascii="宋体" w:hAnsi="宋体" w:eastAsia="宋体" w:cs="宋体"/>
          <w:sz w:val="18"/>
          <w:szCs w:val="18"/>
        </w:rPr>
        <w:t>ARTI</w:t>
      </w:r>
      <w:r>
        <w:rPr>
          <w:rFonts w:hint="eastAsia" w:ascii="宋体" w:hAnsi="宋体" w:eastAsia="宋体" w:cs="宋体"/>
          <w:spacing w:val="4"/>
          <w:sz w:val="18"/>
          <w:szCs w:val="18"/>
        </w:rPr>
        <w:t>1512803587039877.</w:t>
      </w:r>
      <w:r>
        <w:rPr>
          <w:rFonts w:hint="eastAsia" w:ascii="宋体" w:hAnsi="宋体" w:eastAsia="宋体" w:cs="宋体"/>
          <w:sz w:val="18"/>
          <w:szCs w:val="18"/>
        </w:rPr>
        <w:t>shtml</w:t>
      </w:r>
      <w:r>
        <w:rPr>
          <w:rFonts w:hint="eastAsia" w:ascii="宋体" w:hAnsi="宋体" w:eastAsia="宋体" w:cs="宋体"/>
          <w:spacing w:val="4"/>
          <w:sz w:val="18"/>
          <w:szCs w:val="18"/>
        </w:rPr>
        <w:t>.2017-12-09.</w:t>
      </w:r>
    </w:p>
    <w:p w14:paraId="6C94960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83">
    <w:p w14:paraId="451BE503">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政府工作报告—</w:t>
      </w:r>
      <w:r>
        <w:rPr>
          <w:rFonts w:hint="eastAsia" w:ascii="宋体" w:hAnsi="宋体" w:eastAsia="宋体" w:cs="宋体"/>
          <w:spacing w:val="-30"/>
          <w:w w:val="69"/>
          <w:sz w:val="18"/>
          <w:szCs w:val="18"/>
        </w:rPr>
        <w:t>——</w:t>
      </w:r>
      <w:r>
        <w:rPr>
          <w:rFonts w:hint="eastAsia" w:ascii="宋体" w:hAnsi="宋体" w:eastAsia="宋体" w:cs="宋体"/>
          <w:spacing w:val="2"/>
          <w:sz w:val="18"/>
          <w:szCs w:val="18"/>
        </w:rPr>
        <w:t>2025年</w:t>
      </w:r>
      <w:r>
        <w:rPr>
          <w:rFonts w:hint="eastAsia" w:ascii="宋体" w:hAnsi="宋体" w:eastAsia="宋体" w:cs="宋体"/>
          <w:spacing w:val="2"/>
          <w:position w:val="-1"/>
          <w:sz w:val="18"/>
          <w:szCs w:val="18"/>
        </w:rPr>
        <w:t>3</w:t>
      </w:r>
      <w:r>
        <w:rPr>
          <w:rFonts w:hint="eastAsia" w:ascii="宋体" w:hAnsi="宋体" w:eastAsia="宋体" w:cs="宋体"/>
          <w:spacing w:val="2"/>
          <w:sz w:val="18"/>
          <w:szCs w:val="18"/>
        </w:rPr>
        <w:t>月</w:t>
      </w:r>
      <w:r>
        <w:rPr>
          <w:rFonts w:hint="eastAsia" w:ascii="宋体" w:hAnsi="宋体" w:eastAsia="宋体" w:cs="宋体"/>
          <w:spacing w:val="2"/>
          <w:position w:val="-1"/>
          <w:sz w:val="18"/>
          <w:szCs w:val="18"/>
        </w:rPr>
        <w:t>5</w:t>
      </w:r>
      <w:r>
        <w:rPr>
          <w:rFonts w:hint="eastAsia" w:ascii="宋体" w:hAnsi="宋体" w:eastAsia="宋体" w:cs="宋体"/>
          <w:spacing w:val="2"/>
          <w:sz w:val="18"/>
          <w:szCs w:val="18"/>
        </w:rPr>
        <w:t>日在第十</w:t>
      </w:r>
      <w:r>
        <w:rPr>
          <w:rFonts w:hint="eastAsia" w:ascii="宋体" w:hAnsi="宋体" w:eastAsia="宋体" w:cs="宋体"/>
          <w:spacing w:val="1"/>
          <w:sz w:val="18"/>
          <w:szCs w:val="18"/>
        </w:rPr>
        <w:t>四届全国人民代表大会第三次会议上[</w:t>
      </w:r>
      <w:r>
        <w:rPr>
          <w:rFonts w:hint="eastAsia" w:ascii="宋体" w:hAnsi="宋体" w:eastAsia="宋体" w:cs="宋体"/>
          <w:sz w:val="18"/>
          <w:szCs w:val="18"/>
        </w:rPr>
        <w:t>EB</w:t>
      </w:r>
      <w:r>
        <w:rPr>
          <w:rFonts w:hint="eastAsia" w:ascii="宋体" w:hAnsi="宋体" w:eastAsia="宋体" w:cs="宋体"/>
          <w:spacing w:val="1"/>
          <w:sz w:val="18"/>
          <w:szCs w:val="18"/>
        </w:rPr>
        <w:t>/</w:t>
      </w:r>
      <w:r>
        <w:rPr>
          <w:rFonts w:hint="eastAsia" w:ascii="宋体" w:hAnsi="宋体" w:eastAsia="宋体" w:cs="宋体"/>
          <w:sz w:val="18"/>
          <w:szCs w:val="18"/>
        </w:rPr>
        <w:t>OL</w:t>
      </w:r>
      <w:r>
        <w:rPr>
          <w:rFonts w:hint="eastAsia" w:ascii="宋体" w:hAnsi="宋体" w:eastAsia="宋体" w:cs="宋体"/>
          <w:spacing w:val="1"/>
          <w:sz w:val="18"/>
          <w:szCs w:val="18"/>
        </w:rPr>
        <w:t>]</w:t>
      </w:r>
      <w:r>
        <w:rPr>
          <w:rFonts w:hint="eastAsia" w:ascii="宋体" w:hAnsi="宋体" w:eastAsia="宋体" w:cs="宋体"/>
          <w:spacing w:val="1"/>
          <w:position w:val="-1"/>
          <w:sz w:val="18"/>
          <w:szCs w:val="18"/>
        </w:rPr>
        <w:t>.</w:t>
      </w:r>
      <w:r>
        <w:rPr>
          <w:rFonts w:hint="eastAsia" w:ascii="宋体" w:hAnsi="宋体" w:eastAsia="宋体" w:cs="宋体"/>
          <w:sz w:val="18"/>
          <w:szCs w:val="18"/>
        </w:rPr>
        <w:t>https</w:t>
      </w:r>
      <w:r>
        <w:rPr>
          <w:rFonts w:hint="eastAsia" w:ascii="宋体" w:hAnsi="宋体" w:eastAsia="宋体" w:cs="宋体"/>
          <w:spacing w:val="1"/>
          <w:sz w:val="18"/>
          <w:szCs w:val="18"/>
        </w:rPr>
        <w:t>:∥</w:t>
      </w:r>
      <w:r>
        <w:rPr>
          <w:rFonts w:hint="eastAsia" w:ascii="宋体" w:hAnsi="宋体" w:eastAsia="宋体" w:cs="宋体"/>
          <w:position w:val="-1"/>
          <w:sz w:val="18"/>
          <w:szCs w:val="18"/>
        </w:rPr>
        <w:t>www</w:t>
      </w:r>
      <w:r>
        <w:rPr>
          <w:rFonts w:hint="eastAsia" w:ascii="宋体" w:hAnsi="宋体" w:eastAsia="宋体" w:cs="宋体"/>
          <w:spacing w:val="1"/>
          <w:position w:val="-1"/>
          <w:sz w:val="18"/>
          <w:szCs w:val="18"/>
        </w:rPr>
        <w:t>.</w:t>
      </w:r>
      <w:r>
        <w:rPr>
          <w:rFonts w:hint="eastAsia" w:ascii="宋体" w:hAnsi="宋体" w:eastAsia="宋体" w:cs="宋体"/>
          <w:spacing w:val="-2"/>
          <w:sz w:val="18"/>
          <w:szCs w:val="18"/>
        </w:rPr>
        <w:t>gov.cn/yaowen/liebiao/202503/content</w:t>
      </w:r>
      <w:r>
        <w:rPr>
          <w:rFonts w:hint="eastAsia" w:ascii="宋体" w:hAnsi="宋体" w:eastAsia="宋体" w:cs="宋体"/>
          <w:spacing w:val="-2"/>
          <w:position w:val="2"/>
          <w:sz w:val="18"/>
          <w:szCs w:val="18"/>
        </w:rPr>
        <w:t>__</w:t>
      </w:r>
      <w:r>
        <w:rPr>
          <w:rFonts w:hint="eastAsia" w:ascii="宋体" w:hAnsi="宋体" w:eastAsia="宋体" w:cs="宋体"/>
          <w:spacing w:val="-2"/>
          <w:sz w:val="18"/>
          <w:szCs w:val="18"/>
        </w:rPr>
        <w:t>7013163.htm</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2025-03-12.</w:t>
      </w:r>
    </w:p>
    <w:p w14:paraId="1CD7D24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84">
    <w:p w14:paraId="3AAC725B">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《全国数据资源调查报告(2024年）》正式发布[</w:t>
      </w:r>
      <w:r>
        <w:rPr>
          <w:rFonts w:hint="eastAsia" w:ascii="宋体" w:hAnsi="宋体" w:eastAsia="宋体" w:cs="宋体"/>
          <w:sz w:val="18"/>
          <w:szCs w:val="18"/>
        </w:rPr>
        <w:t>EB</w:t>
      </w:r>
      <w:r>
        <w:rPr>
          <w:rFonts w:hint="eastAsia" w:ascii="宋体" w:hAnsi="宋体" w:eastAsia="宋体" w:cs="宋体"/>
          <w:spacing w:val="1"/>
          <w:sz w:val="18"/>
          <w:szCs w:val="18"/>
        </w:rPr>
        <w:t>/</w:t>
      </w:r>
      <w:r>
        <w:rPr>
          <w:rFonts w:hint="eastAsia" w:ascii="宋体" w:hAnsi="宋体" w:eastAsia="宋体" w:cs="宋体"/>
          <w:sz w:val="18"/>
          <w:szCs w:val="18"/>
        </w:rPr>
        <w:t>OL</w:t>
      </w:r>
      <w:r>
        <w:rPr>
          <w:rFonts w:hint="eastAsia" w:ascii="宋体" w:hAnsi="宋体" w:eastAsia="宋体" w:cs="宋体"/>
          <w:spacing w:val="1"/>
          <w:sz w:val="18"/>
          <w:szCs w:val="18"/>
        </w:rPr>
        <w:t>].</w:t>
      </w:r>
      <w:r>
        <w:rPr>
          <w:rFonts w:hint="eastAsia" w:ascii="宋体" w:hAnsi="宋体" w:eastAsia="宋体" w:cs="宋体"/>
          <w:sz w:val="18"/>
          <w:szCs w:val="18"/>
        </w:rPr>
        <w:t>https</w:t>
      </w:r>
      <w:r>
        <w:rPr>
          <w:rFonts w:hint="eastAsia" w:ascii="宋体" w:hAnsi="宋体" w:eastAsia="宋体" w:cs="宋体"/>
          <w:spacing w:val="1"/>
          <w:position w:val="1"/>
          <w:sz w:val="18"/>
          <w:szCs w:val="18"/>
        </w:rPr>
        <w:t>:</w:t>
      </w:r>
      <w:r>
        <w:rPr>
          <w:rFonts w:hint="eastAsia" w:ascii="宋体" w:hAnsi="宋体" w:eastAsia="宋体" w:cs="宋体"/>
          <w:spacing w:val="1"/>
          <w:position w:val="-1"/>
          <w:sz w:val="18"/>
          <w:szCs w:val="18"/>
        </w:rPr>
        <w:t>∥</w:t>
      </w:r>
      <w:r>
        <w:rPr>
          <w:rFonts w:hint="eastAsia" w:ascii="宋体" w:hAnsi="宋体" w:eastAsia="宋体" w:cs="宋体"/>
          <w:sz w:val="18"/>
          <w:szCs w:val="18"/>
        </w:rPr>
        <w:t>www</w:t>
      </w:r>
      <w:r>
        <w:rPr>
          <w:rFonts w:hint="eastAsia" w:ascii="宋体" w:hAnsi="宋体" w:eastAsia="宋体" w:cs="宋体"/>
          <w:spacing w:val="1"/>
          <w:sz w:val="18"/>
          <w:szCs w:val="18"/>
        </w:rPr>
        <w:t>.</w:t>
      </w:r>
      <w:r>
        <w:rPr>
          <w:rFonts w:hint="eastAsia" w:ascii="宋体" w:hAnsi="宋体" w:eastAsia="宋体" w:cs="宋体"/>
          <w:sz w:val="18"/>
          <w:szCs w:val="18"/>
        </w:rPr>
        <w:t>nda</w:t>
      </w:r>
      <w:r>
        <w:rPr>
          <w:rFonts w:hint="eastAsia" w:ascii="宋体" w:hAnsi="宋体" w:eastAsia="宋体" w:cs="宋体"/>
          <w:spacing w:val="1"/>
          <w:sz w:val="18"/>
          <w:szCs w:val="18"/>
        </w:rPr>
        <w:t>.</w:t>
      </w:r>
      <w:r>
        <w:rPr>
          <w:rFonts w:hint="eastAsia" w:ascii="宋体" w:hAnsi="宋体" w:eastAsia="宋体" w:cs="宋体"/>
          <w:sz w:val="18"/>
          <w:szCs w:val="18"/>
        </w:rPr>
        <w:t>gov</w:t>
      </w:r>
      <w:r>
        <w:rPr>
          <w:rFonts w:hint="eastAsia" w:ascii="宋体" w:hAnsi="宋体" w:eastAsia="宋体" w:cs="宋体"/>
          <w:spacing w:val="1"/>
          <w:sz w:val="18"/>
          <w:szCs w:val="18"/>
        </w:rPr>
        <w:t>.</w:t>
      </w:r>
      <w:r>
        <w:rPr>
          <w:rFonts w:hint="eastAsia" w:ascii="宋体" w:hAnsi="宋体" w:eastAsia="宋体" w:cs="宋体"/>
          <w:sz w:val="18"/>
          <w:szCs w:val="18"/>
        </w:rPr>
        <w:t>cn</w:t>
      </w:r>
      <w:r>
        <w:rPr>
          <w:rFonts w:hint="eastAsia" w:ascii="宋体" w:hAnsi="宋体" w:eastAsia="宋体" w:cs="宋体"/>
          <w:spacing w:val="1"/>
          <w:sz w:val="18"/>
          <w:szCs w:val="18"/>
        </w:rPr>
        <w:t>/</w:t>
      </w:r>
      <w:r>
        <w:rPr>
          <w:rFonts w:hint="eastAsia" w:ascii="宋体" w:hAnsi="宋体" w:eastAsia="宋体" w:cs="宋体"/>
          <w:sz w:val="18"/>
          <w:szCs w:val="18"/>
        </w:rPr>
        <w:t>sjj</w:t>
      </w:r>
      <w:r>
        <w:rPr>
          <w:rFonts w:hint="eastAsia" w:ascii="宋体" w:hAnsi="宋体" w:eastAsia="宋体" w:cs="宋体"/>
          <w:spacing w:val="1"/>
          <w:sz w:val="18"/>
          <w:szCs w:val="18"/>
        </w:rPr>
        <w:t>/</w:t>
      </w:r>
      <w:r>
        <w:rPr>
          <w:rFonts w:hint="eastAsia" w:ascii="宋体" w:hAnsi="宋体" w:eastAsia="宋体" w:cs="宋体"/>
          <w:sz w:val="18"/>
          <w:szCs w:val="18"/>
        </w:rPr>
        <w:t>ywpd/sjzy/0429/20250429190723758925417pc.html</w:t>
      </w:r>
      <w:r>
        <w:rPr>
          <w:rFonts w:hint="eastAsia" w:ascii="宋体" w:hAnsi="宋体" w:eastAsia="宋体" w:cs="宋体"/>
          <w:position w:val="2"/>
          <w:sz w:val="18"/>
          <w:szCs w:val="18"/>
        </w:rPr>
        <w:t>,</w:t>
      </w:r>
      <w:r>
        <w:rPr>
          <w:rFonts w:hint="eastAsia" w:ascii="宋体" w:hAnsi="宋体" w:eastAsia="宋体" w:cs="宋体"/>
          <w:sz w:val="18"/>
          <w:szCs w:val="18"/>
        </w:rPr>
        <w:t>2025-04-2</w:t>
      </w:r>
      <w:r>
        <w:rPr>
          <w:rFonts w:hint="eastAsia" w:ascii="宋体" w:hAnsi="宋体" w:eastAsia="宋体" w:cs="宋体"/>
          <w:spacing w:val="-1"/>
          <w:sz w:val="18"/>
          <w:szCs w:val="18"/>
        </w:rPr>
        <w:t>9.</w:t>
      </w:r>
    </w:p>
    <w:p w14:paraId="60605E0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85">
    <w:p w14:paraId="546E4C4D">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国家数据局．</w:t>
      </w:r>
      <w:r>
        <w:rPr>
          <w:rFonts w:hint="eastAsia" w:ascii="宋体" w:hAnsi="宋体" w:eastAsia="宋体" w:cs="宋体"/>
          <w:spacing w:val="-2"/>
          <w:position w:val="1"/>
          <w:sz w:val="18"/>
          <w:szCs w:val="18"/>
        </w:rPr>
        <w:t>《数字</w:t>
      </w:r>
      <w:r>
        <w:rPr>
          <w:rFonts w:hint="eastAsia" w:ascii="宋体" w:hAnsi="宋体" w:eastAsia="宋体" w:cs="宋体"/>
          <w:spacing w:val="-2"/>
          <w:sz w:val="18"/>
          <w:szCs w:val="18"/>
        </w:rPr>
        <w:t>中国发展报告(2024年）》[R/</w:t>
      </w:r>
      <w:r>
        <w:rPr>
          <w:rFonts w:hint="eastAsia" w:ascii="宋体" w:hAnsi="宋体" w:eastAsia="宋体" w:cs="宋体"/>
          <w:spacing w:val="-3"/>
          <w:sz w:val="18"/>
          <w:szCs w:val="18"/>
        </w:rPr>
        <w:t>OL].https</w:t>
      </w:r>
      <w:r>
        <w:rPr>
          <w:rFonts w:hint="eastAsia" w:ascii="宋体" w:hAnsi="宋体" w:eastAsia="宋体" w:cs="宋体"/>
          <w:spacing w:val="-3"/>
          <w:position w:val="1"/>
          <w:sz w:val="18"/>
          <w:szCs w:val="18"/>
        </w:rPr>
        <w:t>:</w:t>
      </w:r>
      <w:r>
        <w:rPr>
          <w:rFonts w:hint="eastAsia" w:ascii="宋体" w:hAnsi="宋体" w:eastAsia="宋体" w:cs="宋体"/>
          <w:spacing w:val="-3"/>
          <w:position w:val="-1"/>
          <w:sz w:val="18"/>
          <w:szCs w:val="18"/>
        </w:rPr>
        <w:t>∥</w:t>
      </w:r>
      <w:r>
        <w:rPr>
          <w:rFonts w:hint="eastAsia" w:ascii="宋体" w:hAnsi="宋体" w:eastAsia="宋体" w:cs="宋体"/>
          <w:spacing w:val="-3"/>
          <w:sz w:val="18"/>
          <w:szCs w:val="18"/>
        </w:rPr>
        <w:t>www.nda.gov.cn/sjj/ywpd/sjzg/0530/</w:t>
      </w:r>
      <w:r>
        <w:rPr>
          <w:rFonts w:hint="eastAsia" w:ascii="宋体" w:hAnsi="宋体" w:eastAsia="宋体" w:cs="宋体"/>
          <w:sz w:val="18"/>
          <w:szCs w:val="18"/>
        </w:rPr>
        <w:t>ff</w:t>
      </w:r>
      <w:r>
        <w:rPr>
          <w:rFonts w:hint="eastAsia" w:ascii="宋体" w:hAnsi="宋体" w:eastAsia="宋体" w:cs="宋体"/>
          <w:spacing w:val="7"/>
          <w:sz w:val="18"/>
          <w:szCs w:val="18"/>
        </w:rPr>
        <w:t>808081-96b465</w:t>
      </w:r>
      <w:r>
        <w:rPr>
          <w:rFonts w:hint="eastAsia" w:ascii="宋体" w:hAnsi="宋体" w:eastAsia="宋体" w:cs="宋体"/>
          <w:sz w:val="18"/>
          <w:szCs w:val="18"/>
        </w:rPr>
        <w:t>bf</w:t>
      </w:r>
      <w:r>
        <w:rPr>
          <w:rFonts w:hint="eastAsia" w:ascii="宋体" w:hAnsi="宋体" w:eastAsia="宋体" w:cs="宋体"/>
          <w:spacing w:val="7"/>
          <w:sz w:val="18"/>
          <w:szCs w:val="18"/>
        </w:rPr>
        <w:t>-0197-200a135e-0536.</w:t>
      </w:r>
      <w:r>
        <w:rPr>
          <w:rFonts w:hint="eastAsia" w:ascii="宋体" w:hAnsi="宋体" w:eastAsia="宋体" w:cs="宋体"/>
          <w:sz w:val="18"/>
          <w:szCs w:val="18"/>
        </w:rPr>
        <w:t>pdf</w:t>
      </w:r>
      <w:r>
        <w:rPr>
          <w:rFonts w:hint="eastAsia" w:ascii="宋体" w:hAnsi="宋体" w:eastAsia="宋体" w:cs="宋体"/>
          <w:spacing w:val="7"/>
          <w:position w:val="2"/>
          <w:sz w:val="18"/>
          <w:szCs w:val="18"/>
        </w:rPr>
        <w:t>,</w:t>
      </w:r>
      <w:r>
        <w:rPr>
          <w:rFonts w:hint="eastAsia" w:ascii="宋体" w:hAnsi="宋体" w:eastAsia="宋体" w:cs="宋体"/>
          <w:spacing w:val="7"/>
          <w:sz w:val="18"/>
          <w:szCs w:val="18"/>
        </w:rPr>
        <w:t>2025-</w:t>
      </w:r>
      <w:r>
        <w:rPr>
          <w:rFonts w:hint="eastAsia" w:ascii="宋体" w:hAnsi="宋体" w:eastAsia="宋体" w:cs="宋体"/>
          <w:spacing w:val="6"/>
          <w:sz w:val="18"/>
          <w:szCs w:val="18"/>
        </w:rPr>
        <w:t>05.</w:t>
      </w:r>
    </w:p>
  </w:footnote>
  <w:footnote w:id="1386">
    <w:p w14:paraId="482C0D9B">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资本论（第</w:t>
      </w:r>
      <w:r>
        <w:rPr>
          <w:rFonts w:hint="eastAsia" w:ascii="宋体" w:hAnsi="宋体" w:eastAsia="宋体" w:cs="宋体"/>
          <w:spacing w:val="-9"/>
          <w:position w:val="-1"/>
          <w:sz w:val="18"/>
          <w:szCs w:val="18"/>
        </w:rPr>
        <w:t>1</w:t>
      </w:r>
      <w:r>
        <w:rPr>
          <w:rFonts w:hint="eastAsia" w:ascii="宋体" w:hAnsi="宋体" w:eastAsia="宋体" w:cs="宋体"/>
          <w:spacing w:val="-9"/>
          <w:sz w:val="18"/>
          <w:szCs w:val="18"/>
        </w:rPr>
        <w:t>卷）[M]</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北京：人民出版社，2004:208</w:t>
      </w:r>
      <w:r>
        <w:rPr>
          <w:rFonts w:hint="eastAsia" w:ascii="宋体" w:hAnsi="宋体" w:eastAsia="宋体" w:cs="宋体"/>
          <w:spacing w:val="-9"/>
          <w:position w:val="-1"/>
          <w:sz w:val="18"/>
          <w:szCs w:val="18"/>
        </w:rPr>
        <w:t>.</w:t>
      </w:r>
    </w:p>
    <w:p w14:paraId="562E552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87">
    <w:p w14:paraId="4F5101C1">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国家数据局等部门关于印发《“数据要素</w:t>
      </w:r>
      <w:r>
        <w:rPr>
          <w:rFonts w:hint="eastAsia" w:ascii="宋体" w:hAnsi="宋体" w:eastAsia="宋体" w:cs="宋体"/>
          <w:spacing w:val="-3"/>
          <w:position w:val="-1"/>
          <w:sz w:val="18"/>
          <w:szCs w:val="18"/>
        </w:rPr>
        <w:t>×</w:t>
      </w:r>
      <w:r>
        <w:rPr>
          <w:rFonts w:hint="eastAsia" w:ascii="宋体" w:hAnsi="宋体" w:eastAsia="宋体" w:cs="宋体"/>
          <w:spacing w:val="-3"/>
          <w:position w:val="1"/>
          <w:sz w:val="18"/>
          <w:szCs w:val="18"/>
        </w:rPr>
        <w:t>”</w:t>
      </w:r>
      <w:r>
        <w:rPr>
          <w:rFonts w:hint="eastAsia" w:ascii="宋体" w:hAnsi="宋体" w:eastAsia="宋体" w:cs="宋体"/>
          <w:spacing w:val="-3"/>
          <w:sz w:val="18"/>
          <w:szCs w:val="18"/>
        </w:rPr>
        <w:t>三年行动计划(2024—2026年）》的通知[EB/OL]</w:t>
      </w:r>
      <w:r>
        <w:rPr>
          <w:rFonts w:hint="eastAsia" w:ascii="宋体" w:hAnsi="宋体" w:eastAsia="宋体" w:cs="宋体"/>
          <w:spacing w:val="-3"/>
          <w:position w:val="-1"/>
          <w:sz w:val="18"/>
          <w:szCs w:val="18"/>
        </w:rPr>
        <w:t>.https</w:t>
      </w:r>
      <w:r>
        <w:rPr>
          <w:rFonts w:hint="eastAsia" w:ascii="宋体" w:hAnsi="宋体" w:eastAsia="宋体" w:cs="宋体"/>
          <w:spacing w:val="-3"/>
          <w:position w:val="1"/>
          <w:sz w:val="18"/>
          <w:szCs w:val="18"/>
        </w:rPr>
        <w:t>:</w:t>
      </w:r>
      <w:r>
        <w:rPr>
          <w:rFonts w:hint="eastAsia" w:ascii="宋体" w:hAnsi="宋体" w:eastAsia="宋体" w:cs="宋体"/>
          <w:spacing w:val="-3"/>
          <w:position w:val="-2"/>
          <w:sz w:val="18"/>
          <w:szCs w:val="18"/>
        </w:rPr>
        <w:t>∥</w:t>
      </w:r>
      <w:r>
        <w:rPr>
          <w:rFonts w:hint="eastAsia" w:ascii="宋体" w:hAnsi="宋体" w:eastAsia="宋体" w:cs="宋体"/>
          <w:sz w:val="18"/>
          <w:szCs w:val="18"/>
        </w:rPr>
        <w:t>www</w:t>
      </w:r>
      <w:r>
        <w:rPr>
          <w:rFonts w:hint="eastAsia" w:ascii="宋体" w:hAnsi="宋体" w:eastAsia="宋体" w:cs="宋体"/>
          <w:spacing w:val="1"/>
          <w:sz w:val="18"/>
          <w:szCs w:val="18"/>
        </w:rPr>
        <w:t>.</w:t>
      </w:r>
      <w:r>
        <w:rPr>
          <w:rFonts w:hint="eastAsia" w:ascii="宋体" w:hAnsi="宋体" w:eastAsia="宋体" w:cs="宋体"/>
          <w:sz w:val="18"/>
          <w:szCs w:val="18"/>
        </w:rPr>
        <w:t>cac</w:t>
      </w:r>
      <w:r>
        <w:rPr>
          <w:rFonts w:hint="eastAsia" w:ascii="宋体" w:hAnsi="宋体" w:eastAsia="宋体" w:cs="宋体"/>
          <w:spacing w:val="1"/>
          <w:sz w:val="18"/>
          <w:szCs w:val="18"/>
        </w:rPr>
        <w:t>.</w:t>
      </w:r>
      <w:r>
        <w:rPr>
          <w:rFonts w:hint="eastAsia" w:ascii="宋体" w:hAnsi="宋体" w:eastAsia="宋体" w:cs="宋体"/>
          <w:sz w:val="18"/>
          <w:szCs w:val="18"/>
        </w:rPr>
        <w:t>gov</w:t>
      </w:r>
      <w:r>
        <w:rPr>
          <w:rFonts w:hint="eastAsia" w:ascii="宋体" w:hAnsi="宋体" w:eastAsia="宋体" w:cs="宋体"/>
          <w:spacing w:val="1"/>
          <w:sz w:val="18"/>
          <w:szCs w:val="18"/>
        </w:rPr>
        <w:t>.</w:t>
      </w:r>
      <w:r>
        <w:rPr>
          <w:rFonts w:hint="eastAsia" w:ascii="宋体" w:hAnsi="宋体" w:eastAsia="宋体" w:cs="宋体"/>
          <w:sz w:val="18"/>
          <w:szCs w:val="18"/>
        </w:rPr>
        <w:t>cn</w:t>
      </w:r>
      <w:r>
        <w:rPr>
          <w:rFonts w:hint="eastAsia" w:ascii="宋体" w:hAnsi="宋体" w:eastAsia="宋体" w:cs="宋体"/>
          <w:spacing w:val="1"/>
          <w:sz w:val="18"/>
          <w:szCs w:val="18"/>
        </w:rPr>
        <w:t>/2024-01/05/c1706119078060945.</w:t>
      </w:r>
      <w:r>
        <w:rPr>
          <w:rFonts w:hint="eastAsia" w:ascii="宋体" w:hAnsi="宋体" w:eastAsia="宋体" w:cs="宋体"/>
          <w:sz w:val="18"/>
          <w:szCs w:val="18"/>
        </w:rPr>
        <w:t>htm</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2024-01-05.</w:t>
      </w:r>
    </w:p>
    <w:p w14:paraId="49656DE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88">
    <w:p w14:paraId="582D790C">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中共中央国务院关于构建数据基础制度更好发挥数据要素作用的意见[N]</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人民日报</w:t>
      </w:r>
      <w:r>
        <w:rPr>
          <w:rFonts w:hint="eastAsia" w:ascii="宋体" w:hAnsi="宋体" w:eastAsia="宋体" w:cs="宋体"/>
          <w:spacing w:val="1"/>
          <w:position w:val="1"/>
          <w:sz w:val="18"/>
          <w:szCs w:val="18"/>
        </w:rPr>
        <w:t>，</w:t>
      </w:r>
      <w:r>
        <w:rPr>
          <w:rFonts w:hint="eastAsia" w:ascii="宋体" w:hAnsi="宋体" w:eastAsia="宋体" w:cs="宋体"/>
          <w:spacing w:val="1"/>
          <w:position w:val="-1"/>
          <w:sz w:val="18"/>
          <w:szCs w:val="18"/>
        </w:rPr>
        <w:t>2022-12-20.</w:t>
      </w:r>
    </w:p>
    <w:p w14:paraId="19B81A0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89">
    <w:p w14:paraId="5E18A932">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米加宁，李大宇，董昌其</w:t>
      </w:r>
      <w:r>
        <w:rPr>
          <w:rFonts w:hint="eastAsia" w:ascii="宋体" w:hAnsi="宋体" w:eastAsia="宋体" w:cs="宋体"/>
          <w:spacing w:val="-4"/>
          <w:position w:val="-1"/>
          <w:sz w:val="18"/>
          <w:szCs w:val="18"/>
        </w:rPr>
        <w:t>．</w:t>
      </w:r>
      <w:r>
        <w:rPr>
          <w:rFonts w:hint="eastAsia" w:ascii="宋体" w:hAnsi="宋体" w:eastAsia="宋体" w:cs="宋体"/>
          <w:spacing w:val="-4"/>
          <w:sz w:val="18"/>
          <w:szCs w:val="18"/>
        </w:rPr>
        <w:t>算力驱动的新质生产力：本质特征、基础逻辑</w:t>
      </w:r>
      <w:r>
        <w:rPr>
          <w:rFonts w:hint="eastAsia" w:ascii="宋体" w:hAnsi="宋体" w:eastAsia="宋体" w:cs="宋体"/>
          <w:spacing w:val="-5"/>
          <w:sz w:val="18"/>
          <w:szCs w:val="18"/>
        </w:rPr>
        <w:t>与国家治理现代化[J]</w:t>
      </w:r>
      <w:r>
        <w:rPr>
          <w:rFonts w:hint="eastAsia" w:ascii="宋体" w:hAnsi="宋体" w:eastAsia="宋体" w:cs="宋体"/>
          <w:spacing w:val="-5"/>
          <w:position w:val="-1"/>
          <w:sz w:val="18"/>
          <w:szCs w:val="18"/>
        </w:rPr>
        <w:t>.</w:t>
      </w:r>
      <w:r>
        <w:rPr>
          <w:rFonts w:hint="eastAsia" w:ascii="宋体" w:hAnsi="宋体" w:eastAsia="宋体" w:cs="宋体"/>
          <w:spacing w:val="-5"/>
          <w:sz w:val="18"/>
          <w:szCs w:val="18"/>
        </w:rPr>
        <w:t>公共管理</w:t>
      </w:r>
      <w:r>
        <w:rPr>
          <w:rFonts w:hint="eastAsia" w:ascii="宋体" w:hAnsi="宋体" w:eastAsia="宋体" w:cs="宋体"/>
          <w:spacing w:val="8"/>
          <w:sz w:val="18"/>
          <w:szCs w:val="18"/>
        </w:rPr>
        <w:t>学报</w:t>
      </w:r>
      <w:r>
        <w:rPr>
          <w:rFonts w:hint="eastAsia" w:ascii="宋体" w:hAnsi="宋体" w:eastAsia="宋体" w:cs="宋体"/>
          <w:spacing w:val="8"/>
          <w:position w:val="1"/>
          <w:sz w:val="18"/>
          <w:szCs w:val="18"/>
        </w:rPr>
        <w:t>，</w:t>
      </w:r>
      <w:r>
        <w:rPr>
          <w:rFonts w:hint="eastAsia" w:ascii="宋体" w:hAnsi="宋体" w:eastAsia="宋体" w:cs="宋体"/>
          <w:spacing w:val="8"/>
          <w:sz w:val="18"/>
          <w:szCs w:val="18"/>
        </w:rPr>
        <w:t>2024(02):1-14+170.</w:t>
      </w:r>
    </w:p>
  </w:footnote>
  <w:footnote w:id="1390">
    <w:p w14:paraId="3F399183">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张立榕</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数据生产要素化的历史进程：生产力与生产关系的视角</w:t>
      </w:r>
      <w:r>
        <w:rPr>
          <w:rFonts w:hint="eastAsia" w:ascii="宋体" w:hAnsi="宋体" w:eastAsia="宋体" w:cs="宋体"/>
          <w:sz w:val="18"/>
          <w:szCs w:val="18"/>
        </w:rPr>
        <w:t>[J]</w:t>
      </w:r>
      <w:r>
        <w:rPr>
          <w:rFonts w:hint="eastAsia" w:ascii="宋体" w:hAnsi="宋体" w:eastAsia="宋体" w:cs="宋体"/>
          <w:position w:val="-1"/>
          <w:sz w:val="18"/>
          <w:szCs w:val="18"/>
        </w:rPr>
        <w:t>.</w:t>
      </w:r>
      <w:r>
        <w:rPr>
          <w:rFonts w:hint="eastAsia" w:ascii="宋体" w:hAnsi="宋体" w:eastAsia="宋体" w:cs="宋体"/>
          <w:sz w:val="18"/>
          <w:szCs w:val="18"/>
        </w:rPr>
        <w:t>东南学术</w:t>
      </w:r>
      <w:r>
        <w:rPr>
          <w:rFonts w:hint="eastAsia" w:ascii="宋体" w:hAnsi="宋体" w:eastAsia="宋体" w:cs="宋体"/>
          <w:position w:val="1"/>
          <w:sz w:val="18"/>
          <w:szCs w:val="18"/>
        </w:rPr>
        <w:t>，</w:t>
      </w:r>
      <w:r>
        <w:rPr>
          <w:rFonts w:hint="eastAsia" w:ascii="宋体" w:hAnsi="宋体" w:eastAsia="宋体" w:cs="宋体"/>
          <w:sz w:val="18"/>
          <w:szCs w:val="18"/>
        </w:rPr>
        <w:t>2023(05)</w:t>
      </w:r>
      <w:r>
        <w:rPr>
          <w:rFonts w:hint="eastAsia" w:ascii="宋体" w:hAnsi="宋体" w:eastAsia="宋体" w:cs="宋体"/>
          <w:position w:val="1"/>
          <w:sz w:val="18"/>
          <w:szCs w:val="18"/>
        </w:rPr>
        <w:t>:</w:t>
      </w:r>
      <w:r>
        <w:rPr>
          <w:rFonts w:hint="eastAsia" w:ascii="宋体" w:hAnsi="宋体" w:eastAsia="宋体" w:cs="宋体"/>
          <w:position w:val="-1"/>
          <w:sz w:val="18"/>
          <w:szCs w:val="18"/>
        </w:rPr>
        <w:t>128-136.</w:t>
      </w:r>
    </w:p>
  </w:footnote>
  <w:footnote w:id="1391">
    <w:p w14:paraId="71976A73">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中央网络安全和信息化领导小组第一次会议召开[</w:t>
      </w:r>
      <w:r>
        <w:rPr>
          <w:rFonts w:hint="eastAsia" w:ascii="宋体" w:hAnsi="宋体" w:eastAsia="宋体" w:cs="宋体"/>
          <w:sz w:val="18"/>
          <w:szCs w:val="18"/>
        </w:rPr>
        <w:t>EB</w:t>
      </w:r>
      <w:r>
        <w:rPr>
          <w:rFonts w:hint="eastAsia" w:ascii="宋体" w:hAnsi="宋体" w:eastAsia="宋体" w:cs="宋体"/>
          <w:spacing w:val="4"/>
          <w:sz w:val="18"/>
          <w:szCs w:val="18"/>
        </w:rPr>
        <w:t>/</w:t>
      </w:r>
      <w:r>
        <w:rPr>
          <w:rFonts w:hint="eastAsia" w:ascii="宋体" w:hAnsi="宋体" w:eastAsia="宋体" w:cs="宋体"/>
          <w:sz w:val="18"/>
          <w:szCs w:val="18"/>
        </w:rPr>
        <w:t>OL</w:t>
      </w:r>
      <w:r>
        <w:rPr>
          <w:rFonts w:hint="eastAsia" w:ascii="宋体" w:hAnsi="宋体" w:eastAsia="宋体" w:cs="宋体"/>
          <w:spacing w:val="4"/>
          <w:sz w:val="18"/>
          <w:szCs w:val="18"/>
        </w:rPr>
        <w:t>].</w:t>
      </w:r>
      <w:r>
        <w:rPr>
          <w:rFonts w:hint="eastAsia" w:ascii="宋体" w:hAnsi="宋体" w:eastAsia="宋体" w:cs="宋体"/>
          <w:position w:val="-1"/>
          <w:sz w:val="18"/>
          <w:szCs w:val="18"/>
        </w:rPr>
        <w:t>https</w:t>
      </w:r>
      <w:r>
        <w:rPr>
          <w:rFonts w:hint="eastAsia" w:ascii="宋体" w:hAnsi="宋体" w:eastAsia="宋体" w:cs="宋体"/>
          <w:spacing w:val="4"/>
          <w:position w:val="1"/>
          <w:sz w:val="18"/>
          <w:szCs w:val="18"/>
        </w:rPr>
        <w:t>:</w:t>
      </w:r>
      <w:r>
        <w:rPr>
          <w:rFonts w:hint="eastAsia" w:ascii="宋体" w:hAnsi="宋体" w:eastAsia="宋体" w:cs="宋体"/>
          <w:spacing w:val="4"/>
          <w:position w:val="-1"/>
          <w:sz w:val="18"/>
          <w:szCs w:val="18"/>
        </w:rPr>
        <w:t>∥</w:t>
      </w:r>
      <w:r>
        <w:rPr>
          <w:rFonts w:hint="eastAsia" w:ascii="宋体" w:hAnsi="宋体" w:eastAsia="宋体" w:cs="宋体"/>
          <w:sz w:val="18"/>
          <w:szCs w:val="18"/>
        </w:rPr>
        <w:t>www</w:t>
      </w:r>
      <w:r>
        <w:rPr>
          <w:rFonts w:hint="eastAsia" w:ascii="宋体" w:hAnsi="宋体" w:eastAsia="宋体" w:cs="宋体"/>
          <w:spacing w:val="4"/>
          <w:sz w:val="18"/>
          <w:szCs w:val="18"/>
        </w:rPr>
        <w:t>.</w:t>
      </w:r>
      <w:r>
        <w:rPr>
          <w:rFonts w:hint="eastAsia" w:ascii="宋体" w:hAnsi="宋体" w:eastAsia="宋体" w:cs="宋体"/>
          <w:position w:val="-1"/>
          <w:sz w:val="18"/>
          <w:szCs w:val="18"/>
        </w:rPr>
        <w:t>gov</w:t>
      </w:r>
      <w:r>
        <w:rPr>
          <w:rFonts w:hint="eastAsia" w:ascii="宋体" w:hAnsi="宋体" w:eastAsia="宋体" w:cs="宋体"/>
          <w:spacing w:val="4"/>
          <w:sz w:val="18"/>
          <w:szCs w:val="18"/>
        </w:rPr>
        <w:t>.</w:t>
      </w:r>
      <w:r>
        <w:rPr>
          <w:rFonts w:hint="eastAsia" w:ascii="宋体" w:hAnsi="宋体" w:eastAsia="宋体" w:cs="宋体"/>
          <w:sz w:val="18"/>
          <w:szCs w:val="18"/>
        </w:rPr>
        <w:t>cn</w:t>
      </w:r>
      <w:r>
        <w:rPr>
          <w:rFonts w:hint="eastAsia" w:ascii="宋体" w:hAnsi="宋体" w:eastAsia="宋体" w:cs="宋体"/>
          <w:spacing w:val="4"/>
          <w:sz w:val="18"/>
          <w:szCs w:val="18"/>
        </w:rPr>
        <w:t>/</w:t>
      </w:r>
      <w:r>
        <w:rPr>
          <w:rFonts w:hint="eastAsia" w:ascii="宋体" w:hAnsi="宋体" w:eastAsia="宋体" w:cs="宋体"/>
          <w:sz w:val="18"/>
          <w:szCs w:val="18"/>
        </w:rPr>
        <w:t>ldhd</w:t>
      </w:r>
      <w:r>
        <w:rPr>
          <w:rFonts w:hint="eastAsia" w:ascii="宋体" w:hAnsi="宋体" w:eastAsia="宋体" w:cs="宋体"/>
          <w:spacing w:val="4"/>
          <w:sz w:val="18"/>
          <w:szCs w:val="18"/>
        </w:rPr>
        <w:t>/2014-02/27/</w:t>
      </w:r>
      <w:r>
        <w:rPr>
          <w:rFonts w:hint="eastAsia" w:ascii="宋体" w:hAnsi="宋体" w:eastAsia="宋体" w:cs="宋体"/>
          <w:sz w:val="18"/>
          <w:szCs w:val="18"/>
        </w:rPr>
        <w:t>content2625036.htm</w:t>
      </w:r>
      <w:r>
        <w:rPr>
          <w:rFonts w:hint="eastAsia" w:ascii="宋体" w:hAnsi="宋体" w:eastAsia="宋体" w:cs="宋体"/>
          <w:position w:val="2"/>
          <w:sz w:val="18"/>
          <w:szCs w:val="18"/>
        </w:rPr>
        <w:t>,</w:t>
      </w:r>
      <w:r>
        <w:rPr>
          <w:rFonts w:hint="eastAsia" w:ascii="宋体" w:hAnsi="宋体" w:eastAsia="宋体" w:cs="宋体"/>
          <w:sz w:val="18"/>
          <w:szCs w:val="18"/>
        </w:rPr>
        <w:t>2014-02-27.</w:t>
      </w:r>
    </w:p>
  </w:footnote>
  <w:footnote w:id="1392">
    <w:p w14:paraId="2222DAD1">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2"/>
          <w:sz w:val="18"/>
          <w:szCs w:val="18"/>
        </w:rPr>
        <w:t>优化升级数字基础设施[</w:t>
      </w:r>
      <w:r>
        <w:rPr>
          <w:rFonts w:hint="eastAsia" w:ascii="宋体" w:hAnsi="宋体" w:eastAsia="宋体" w:cs="宋体"/>
          <w:sz w:val="18"/>
          <w:szCs w:val="18"/>
        </w:rPr>
        <w:t>EB</w:t>
      </w:r>
      <w:r>
        <w:rPr>
          <w:rFonts w:hint="eastAsia" w:ascii="宋体" w:hAnsi="宋体" w:eastAsia="宋体" w:cs="宋体"/>
          <w:spacing w:val="2"/>
          <w:sz w:val="18"/>
          <w:szCs w:val="18"/>
        </w:rPr>
        <w:t>/</w:t>
      </w:r>
      <w:r>
        <w:rPr>
          <w:rFonts w:hint="eastAsia" w:ascii="宋体" w:hAnsi="宋体" w:eastAsia="宋体" w:cs="宋体"/>
          <w:sz w:val="18"/>
          <w:szCs w:val="18"/>
        </w:rPr>
        <w:t>OL</w:t>
      </w:r>
      <w:r>
        <w:rPr>
          <w:rFonts w:hint="eastAsia" w:ascii="宋体" w:hAnsi="宋体" w:eastAsia="宋体" w:cs="宋体"/>
          <w:spacing w:val="2"/>
          <w:sz w:val="18"/>
          <w:szCs w:val="18"/>
        </w:rPr>
        <w:t>].</w:t>
      </w:r>
      <w:r>
        <w:rPr>
          <w:rFonts w:hint="eastAsia" w:ascii="宋体" w:hAnsi="宋体" w:eastAsia="宋体" w:cs="宋体"/>
          <w:sz w:val="18"/>
          <w:szCs w:val="18"/>
        </w:rPr>
        <w:t>http</w:t>
      </w:r>
      <w:r>
        <w:rPr>
          <w:rFonts w:hint="eastAsia" w:ascii="宋体" w:hAnsi="宋体" w:eastAsia="宋体" w:cs="宋体"/>
          <w:spacing w:val="2"/>
          <w:position w:val="1"/>
          <w:sz w:val="18"/>
          <w:szCs w:val="18"/>
        </w:rPr>
        <w:t>:</w:t>
      </w:r>
      <w:r>
        <w:rPr>
          <w:rFonts w:hint="eastAsia" w:ascii="宋体" w:hAnsi="宋体" w:eastAsia="宋体" w:cs="宋体"/>
          <w:spacing w:val="2"/>
          <w:position w:val="-1"/>
          <w:sz w:val="18"/>
          <w:szCs w:val="18"/>
        </w:rPr>
        <w:t>∥</w:t>
      </w:r>
      <w:r>
        <w:rPr>
          <w:rFonts w:hint="eastAsia" w:ascii="宋体" w:hAnsi="宋体" w:eastAsia="宋体" w:cs="宋体"/>
          <w:sz w:val="18"/>
          <w:szCs w:val="18"/>
        </w:rPr>
        <w:t>www</w:t>
      </w:r>
      <w:r>
        <w:rPr>
          <w:rFonts w:hint="eastAsia" w:ascii="宋体" w:hAnsi="宋体" w:eastAsia="宋体" w:cs="宋体"/>
          <w:spacing w:val="2"/>
          <w:sz w:val="18"/>
          <w:szCs w:val="18"/>
        </w:rPr>
        <w:t>.</w:t>
      </w:r>
      <w:r>
        <w:rPr>
          <w:rFonts w:hint="eastAsia" w:ascii="宋体" w:hAnsi="宋体" w:eastAsia="宋体" w:cs="宋体"/>
          <w:sz w:val="18"/>
          <w:szCs w:val="18"/>
        </w:rPr>
        <w:t>ce</w:t>
      </w:r>
      <w:r>
        <w:rPr>
          <w:rFonts w:hint="eastAsia" w:ascii="宋体" w:hAnsi="宋体" w:eastAsia="宋体" w:cs="宋体"/>
          <w:spacing w:val="2"/>
          <w:sz w:val="18"/>
          <w:szCs w:val="18"/>
        </w:rPr>
        <w:t>.</w:t>
      </w:r>
      <w:r>
        <w:rPr>
          <w:rFonts w:hint="eastAsia" w:ascii="宋体" w:hAnsi="宋体" w:eastAsia="宋体" w:cs="宋体"/>
          <w:sz w:val="18"/>
          <w:szCs w:val="18"/>
        </w:rPr>
        <w:t>cn</w:t>
      </w:r>
      <w:r>
        <w:rPr>
          <w:rFonts w:hint="eastAsia" w:ascii="宋体" w:hAnsi="宋体" w:eastAsia="宋体" w:cs="宋体"/>
          <w:spacing w:val="2"/>
          <w:sz w:val="18"/>
          <w:szCs w:val="18"/>
        </w:rPr>
        <w:t>/</w:t>
      </w:r>
      <w:r>
        <w:rPr>
          <w:rFonts w:hint="eastAsia" w:ascii="宋体" w:hAnsi="宋体" w:eastAsia="宋体" w:cs="宋体"/>
          <w:sz w:val="18"/>
          <w:szCs w:val="18"/>
        </w:rPr>
        <w:t>xwzx</w:t>
      </w:r>
      <w:r>
        <w:rPr>
          <w:rFonts w:hint="eastAsia" w:ascii="宋体" w:hAnsi="宋体" w:eastAsia="宋体" w:cs="宋体"/>
          <w:spacing w:val="2"/>
          <w:sz w:val="18"/>
          <w:szCs w:val="18"/>
        </w:rPr>
        <w:t>/</w:t>
      </w:r>
      <w:r>
        <w:rPr>
          <w:rFonts w:hint="eastAsia" w:ascii="宋体" w:hAnsi="宋体" w:eastAsia="宋体" w:cs="宋体"/>
          <w:sz w:val="18"/>
          <w:szCs w:val="18"/>
        </w:rPr>
        <w:t>gnsz</w:t>
      </w:r>
      <w:r>
        <w:rPr>
          <w:rFonts w:hint="eastAsia" w:ascii="宋体" w:hAnsi="宋体" w:eastAsia="宋体" w:cs="宋体"/>
          <w:spacing w:val="2"/>
          <w:sz w:val="18"/>
          <w:szCs w:val="18"/>
        </w:rPr>
        <w:t>/</w:t>
      </w:r>
      <w:r>
        <w:rPr>
          <w:rFonts w:hint="eastAsia" w:ascii="宋体" w:hAnsi="宋体" w:eastAsia="宋体" w:cs="宋体"/>
          <w:sz w:val="18"/>
          <w:szCs w:val="18"/>
        </w:rPr>
        <w:t>gdxw</w:t>
      </w:r>
      <w:r>
        <w:rPr>
          <w:rFonts w:hint="eastAsia" w:ascii="宋体" w:hAnsi="宋体" w:eastAsia="宋体" w:cs="宋体"/>
          <w:spacing w:val="2"/>
          <w:sz w:val="18"/>
          <w:szCs w:val="18"/>
        </w:rPr>
        <w:t>/202211/14/t20221114</w:t>
      </w:r>
    </w:p>
    <w:p w14:paraId="2FCA49C5">
      <w:pPr>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Fonts w:hint="eastAsia" w:ascii="宋体" w:hAnsi="宋体" w:eastAsia="宋体" w:cs="宋体"/>
          <w:spacing w:val="2"/>
          <w:sz w:val="18"/>
          <w:szCs w:val="18"/>
        </w:rPr>
        <w:t>38226320.</w:t>
      </w:r>
      <w:r>
        <w:rPr>
          <w:rFonts w:hint="eastAsia" w:ascii="宋体" w:hAnsi="宋体" w:eastAsia="宋体" w:cs="宋体"/>
          <w:sz w:val="18"/>
          <w:szCs w:val="18"/>
        </w:rPr>
        <w:t>shtml</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2022-11-14.</w:t>
      </w:r>
    </w:p>
    <w:p w14:paraId="43D7463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p>
  </w:footnote>
  <w:footnote w:id="1393">
    <w:p w14:paraId="1A85833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马克思</w:t>
      </w:r>
      <w:r>
        <w:rPr>
          <w:rFonts w:hint="eastAsia" w:ascii="宋体" w:hAnsi="宋体" w:eastAsia="宋体" w:cs="宋体"/>
          <w:spacing w:val="-11"/>
          <w:position w:val="-1"/>
          <w:sz w:val="18"/>
          <w:szCs w:val="18"/>
        </w:rPr>
        <w:t>．</w:t>
      </w:r>
      <w:r>
        <w:rPr>
          <w:rFonts w:hint="eastAsia" w:ascii="宋体" w:hAnsi="宋体" w:eastAsia="宋体" w:cs="宋体"/>
          <w:spacing w:val="-11"/>
          <w:sz w:val="18"/>
          <w:szCs w:val="18"/>
        </w:rPr>
        <w:t>资本论（第</w:t>
      </w:r>
      <w:r>
        <w:rPr>
          <w:rFonts w:hint="eastAsia" w:ascii="宋体" w:hAnsi="宋体" w:eastAsia="宋体" w:cs="宋体"/>
          <w:spacing w:val="-11"/>
          <w:position w:val="-1"/>
          <w:sz w:val="18"/>
          <w:szCs w:val="18"/>
        </w:rPr>
        <w:t>2</w:t>
      </w:r>
      <w:r>
        <w:rPr>
          <w:rFonts w:hint="eastAsia" w:ascii="宋体" w:hAnsi="宋体" w:eastAsia="宋体" w:cs="宋体"/>
          <w:spacing w:val="-11"/>
          <w:sz w:val="18"/>
          <w:szCs w:val="18"/>
        </w:rPr>
        <w:t>卷）[M]</w:t>
      </w:r>
      <w:r>
        <w:rPr>
          <w:rFonts w:hint="eastAsia" w:ascii="宋体" w:hAnsi="宋体" w:eastAsia="宋体" w:cs="宋体"/>
          <w:spacing w:val="-11"/>
          <w:position w:val="-1"/>
          <w:sz w:val="18"/>
          <w:szCs w:val="18"/>
        </w:rPr>
        <w:t>.</w:t>
      </w:r>
      <w:r>
        <w:rPr>
          <w:rFonts w:hint="eastAsia" w:ascii="宋体" w:hAnsi="宋体" w:eastAsia="宋体" w:cs="宋体"/>
          <w:spacing w:val="-11"/>
          <w:sz w:val="18"/>
          <w:szCs w:val="18"/>
        </w:rPr>
        <w:t>北京：人民出版社，</w:t>
      </w:r>
      <w:r>
        <w:rPr>
          <w:rFonts w:hint="eastAsia" w:ascii="宋体" w:hAnsi="宋体" w:eastAsia="宋体" w:cs="宋体"/>
          <w:spacing w:val="-11"/>
          <w:position w:val="-1"/>
          <w:sz w:val="18"/>
          <w:szCs w:val="18"/>
        </w:rPr>
        <w:t>2004</w:t>
      </w:r>
      <w:r>
        <w:rPr>
          <w:rFonts w:hint="eastAsia" w:ascii="宋体" w:hAnsi="宋体" w:eastAsia="宋体" w:cs="宋体"/>
          <w:spacing w:val="-11"/>
          <w:sz w:val="18"/>
          <w:szCs w:val="18"/>
        </w:rPr>
        <w:t>:</w:t>
      </w:r>
      <w:r>
        <w:rPr>
          <w:rFonts w:hint="eastAsia" w:ascii="宋体" w:hAnsi="宋体" w:eastAsia="宋体" w:cs="宋体"/>
          <w:spacing w:val="-11"/>
          <w:position w:val="-1"/>
          <w:sz w:val="18"/>
          <w:szCs w:val="18"/>
        </w:rPr>
        <w:t>177.</w:t>
      </w:r>
    </w:p>
  </w:footnote>
  <w:footnote w:id="1394">
    <w:p w14:paraId="0B8F9C24">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国家数据局</w:t>
      </w:r>
      <w:r>
        <w:rPr>
          <w:rFonts w:hint="eastAsia" w:ascii="宋体" w:hAnsi="宋体" w:eastAsia="宋体" w:cs="宋体"/>
          <w:position w:val="1"/>
          <w:sz w:val="18"/>
          <w:szCs w:val="18"/>
        </w:rPr>
        <w:t>：</w:t>
      </w:r>
      <w:r>
        <w:rPr>
          <w:rFonts w:hint="eastAsia" w:ascii="宋体" w:hAnsi="宋体" w:eastAsia="宋体" w:cs="宋体"/>
          <w:sz w:val="18"/>
          <w:szCs w:val="18"/>
        </w:rPr>
        <w:t>数字中国发展报告(2023</w:t>
      </w:r>
      <w:r>
        <w:rPr>
          <w:rFonts w:hint="eastAsia" w:ascii="宋体" w:hAnsi="宋体" w:eastAsia="宋体" w:cs="宋体"/>
          <w:spacing w:val="-1"/>
          <w:position w:val="1"/>
          <w:sz w:val="18"/>
          <w:szCs w:val="18"/>
        </w:rPr>
        <w:t>年）</w:t>
      </w:r>
      <w:r>
        <w:rPr>
          <w:rFonts w:hint="eastAsia" w:ascii="宋体" w:hAnsi="宋体" w:eastAsia="宋体" w:cs="宋体"/>
          <w:spacing w:val="-1"/>
          <w:sz w:val="18"/>
          <w:szCs w:val="18"/>
        </w:rPr>
        <w:t>[R/OL].https</w:t>
      </w:r>
      <w:r>
        <w:rPr>
          <w:rFonts w:hint="eastAsia" w:ascii="宋体" w:hAnsi="宋体" w:eastAsia="宋体" w:cs="宋体"/>
          <w:spacing w:val="-1"/>
          <w:position w:val="1"/>
          <w:sz w:val="18"/>
          <w:szCs w:val="18"/>
        </w:rPr>
        <w:t>:</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www.nda.gov.cn/sjj/ywpd/sjzg/0830/</w:t>
      </w:r>
      <w:r>
        <w:rPr>
          <w:rFonts w:hint="eastAsia" w:ascii="宋体" w:hAnsi="宋体" w:eastAsia="宋体" w:cs="宋体"/>
          <w:sz w:val="18"/>
          <w:szCs w:val="18"/>
        </w:rPr>
        <w:t>ff</w:t>
      </w:r>
      <w:r>
        <w:rPr>
          <w:rFonts w:hint="eastAsia" w:ascii="宋体" w:hAnsi="宋体" w:eastAsia="宋体" w:cs="宋体"/>
          <w:spacing w:val="7"/>
          <w:sz w:val="18"/>
          <w:szCs w:val="18"/>
        </w:rPr>
        <w:t>808081-96b466</w:t>
      </w:r>
      <w:r>
        <w:rPr>
          <w:rFonts w:hint="eastAsia" w:ascii="宋体" w:hAnsi="宋体" w:eastAsia="宋体" w:cs="宋体"/>
          <w:sz w:val="18"/>
          <w:szCs w:val="18"/>
        </w:rPr>
        <w:t>bd</w:t>
      </w:r>
      <w:r>
        <w:rPr>
          <w:rFonts w:hint="eastAsia" w:ascii="宋体" w:hAnsi="宋体" w:eastAsia="宋体" w:cs="宋体"/>
          <w:spacing w:val="7"/>
          <w:sz w:val="18"/>
          <w:szCs w:val="18"/>
        </w:rPr>
        <w:t>-0197-3e320f0d-0660.</w:t>
      </w:r>
      <w:r>
        <w:rPr>
          <w:rFonts w:hint="eastAsia" w:ascii="宋体" w:hAnsi="宋体" w:eastAsia="宋体" w:cs="宋体"/>
          <w:sz w:val="18"/>
          <w:szCs w:val="18"/>
        </w:rPr>
        <w:t>pdf</w:t>
      </w:r>
      <w:r>
        <w:rPr>
          <w:rFonts w:hint="eastAsia" w:ascii="宋体" w:hAnsi="宋体" w:eastAsia="宋体" w:cs="宋体"/>
          <w:spacing w:val="7"/>
          <w:position w:val="2"/>
          <w:sz w:val="18"/>
          <w:szCs w:val="18"/>
        </w:rPr>
        <w:t>,</w:t>
      </w:r>
      <w:r>
        <w:rPr>
          <w:rFonts w:hint="eastAsia" w:ascii="宋体" w:hAnsi="宋体" w:eastAsia="宋体" w:cs="宋体"/>
          <w:spacing w:val="6"/>
          <w:sz w:val="18"/>
          <w:szCs w:val="18"/>
        </w:rPr>
        <w:t>2024-06.</w:t>
      </w:r>
    </w:p>
  </w:footnote>
  <w:footnote w:id="1395">
    <w:p w14:paraId="4986E54E">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联合伟世</w:t>
      </w:r>
      <w:r>
        <w:rPr>
          <w:rFonts w:hint="eastAsia" w:ascii="宋体" w:hAnsi="宋体" w:eastAsia="宋体" w:cs="宋体"/>
          <w:position w:val="-1"/>
          <w:sz w:val="18"/>
          <w:szCs w:val="18"/>
        </w:rPr>
        <w:t>AI</w:t>
      </w:r>
      <w:r>
        <w:rPr>
          <w:rFonts w:hint="eastAsia" w:ascii="宋体" w:hAnsi="宋体" w:eastAsia="宋体" w:cs="宋体"/>
          <w:spacing w:val="1"/>
          <w:sz w:val="18"/>
          <w:szCs w:val="18"/>
        </w:rPr>
        <w:t>教育创新与产业研究院课题组</w:t>
      </w:r>
      <w:r>
        <w:rPr>
          <w:rFonts w:hint="eastAsia" w:ascii="宋体" w:hAnsi="宋体" w:eastAsia="宋体" w:cs="宋体"/>
          <w:spacing w:val="1"/>
          <w:position w:val="-1"/>
          <w:sz w:val="18"/>
          <w:szCs w:val="18"/>
        </w:rPr>
        <w:t>．2024</w:t>
      </w:r>
      <w:r>
        <w:rPr>
          <w:rFonts w:hint="eastAsia" w:ascii="宋体" w:hAnsi="宋体" w:eastAsia="宋体" w:cs="宋体"/>
          <w:spacing w:val="1"/>
          <w:sz w:val="18"/>
          <w:szCs w:val="18"/>
        </w:rPr>
        <w:t>年中国人工智能人才发展报告[R/</w:t>
      </w:r>
      <w:r>
        <w:rPr>
          <w:rFonts w:hint="eastAsia" w:ascii="宋体" w:hAnsi="宋体" w:eastAsia="宋体" w:cs="宋体"/>
          <w:sz w:val="18"/>
          <w:szCs w:val="18"/>
        </w:rPr>
        <w:t>OL</w:t>
      </w:r>
      <w:r>
        <w:rPr>
          <w:rFonts w:hint="eastAsia" w:ascii="宋体" w:hAnsi="宋体" w:eastAsia="宋体" w:cs="宋体"/>
          <w:spacing w:val="1"/>
          <w:sz w:val="18"/>
          <w:szCs w:val="18"/>
        </w:rPr>
        <w:t>]</w:t>
      </w:r>
      <w:r>
        <w:rPr>
          <w:rFonts w:hint="eastAsia" w:ascii="宋体" w:hAnsi="宋体" w:eastAsia="宋体" w:cs="宋体"/>
          <w:spacing w:val="1"/>
          <w:position w:val="-1"/>
          <w:sz w:val="18"/>
          <w:szCs w:val="18"/>
        </w:rPr>
        <w:t>.</w:t>
      </w:r>
      <w:r>
        <w:rPr>
          <w:rFonts w:hint="eastAsia" w:ascii="宋体" w:hAnsi="宋体" w:eastAsia="宋体" w:cs="宋体"/>
          <w:position w:val="-1"/>
          <w:sz w:val="18"/>
          <w:szCs w:val="18"/>
        </w:rPr>
        <w:t>https</w:t>
      </w:r>
      <w:r>
        <w:rPr>
          <w:rFonts w:hint="eastAsia" w:ascii="宋体" w:hAnsi="宋体" w:eastAsia="宋体" w:cs="宋体"/>
          <w:spacing w:val="1"/>
          <w:position w:val="1"/>
          <w:sz w:val="18"/>
          <w:szCs w:val="18"/>
        </w:rPr>
        <w:t>:</w:t>
      </w:r>
      <w:r>
        <w:rPr>
          <w:rFonts w:hint="eastAsia" w:ascii="宋体" w:hAnsi="宋体" w:eastAsia="宋体" w:cs="宋体"/>
          <w:spacing w:val="1"/>
          <w:position w:val="-2"/>
          <w:sz w:val="18"/>
          <w:szCs w:val="18"/>
        </w:rPr>
        <w:t>∥</w:t>
      </w:r>
      <w:r>
        <w:rPr>
          <w:rFonts w:hint="eastAsia" w:ascii="宋体" w:hAnsi="宋体" w:eastAsia="宋体" w:cs="宋体"/>
          <w:spacing w:val="-3"/>
          <w:sz w:val="18"/>
          <w:szCs w:val="18"/>
        </w:rPr>
        <w:t>hulianhutongshe</w:t>
      </w:r>
      <w:r>
        <w:rPr>
          <w:rFonts w:hint="eastAsia" w:ascii="宋体" w:hAnsi="宋体" w:eastAsia="宋体" w:cs="宋体"/>
          <w:spacing w:val="-3"/>
          <w:position w:val="-1"/>
          <w:sz w:val="18"/>
          <w:szCs w:val="18"/>
        </w:rPr>
        <w:t>q</w:t>
      </w:r>
      <w:r>
        <w:rPr>
          <w:rFonts w:hint="eastAsia" w:ascii="宋体" w:hAnsi="宋体" w:eastAsia="宋体" w:cs="宋体"/>
          <w:spacing w:val="-3"/>
          <w:sz w:val="18"/>
          <w:szCs w:val="18"/>
        </w:rPr>
        <w:t>u.cn/upload/tank/report/2024/202409/3/47b93e1facd545d288fda28a424dc5ce.pdf</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2024-08.</w:t>
      </w:r>
    </w:p>
  </w:footnote>
  <w:footnote w:id="1396">
    <w:p w14:paraId="60FDA50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马克思</w:t>
      </w:r>
      <w:r>
        <w:rPr>
          <w:rFonts w:hint="eastAsia" w:ascii="宋体" w:hAnsi="宋体" w:eastAsia="宋体" w:cs="宋体"/>
          <w:spacing w:val="-11"/>
          <w:position w:val="-1"/>
          <w:sz w:val="18"/>
          <w:szCs w:val="18"/>
        </w:rPr>
        <w:t>．</w:t>
      </w:r>
      <w:r>
        <w:rPr>
          <w:rFonts w:hint="eastAsia" w:ascii="宋体" w:hAnsi="宋体" w:eastAsia="宋体" w:cs="宋体"/>
          <w:spacing w:val="-11"/>
          <w:sz w:val="18"/>
          <w:szCs w:val="18"/>
        </w:rPr>
        <w:t>资本论（第</w:t>
      </w:r>
      <w:r>
        <w:rPr>
          <w:rFonts w:hint="eastAsia" w:ascii="宋体" w:hAnsi="宋体" w:eastAsia="宋体" w:cs="宋体"/>
          <w:spacing w:val="-11"/>
          <w:position w:val="-1"/>
          <w:sz w:val="18"/>
          <w:szCs w:val="18"/>
        </w:rPr>
        <w:t>1</w:t>
      </w:r>
      <w:r>
        <w:rPr>
          <w:rFonts w:hint="eastAsia" w:ascii="宋体" w:hAnsi="宋体" w:eastAsia="宋体" w:cs="宋体"/>
          <w:spacing w:val="-11"/>
          <w:sz w:val="18"/>
          <w:szCs w:val="18"/>
        </w:rPr>
        <w:t>卷）[M]</w:t>
      </w:r>
      <w:r>
        <w:rPr>
          <w:rFonts w:hint="eastAsia" w:ascii="宋体" w:hAnsi="宋体" w:eastAsia="宋体" w:cs="宋体"/>
          <w:spacing w:val="-11"/>
          <w:position w:val="-1"/>
          <w:sz w:val="18"/>
          <w:szCs w:val="18"/>
        </w:rPr>
        <w:t>.</w:t>
      </w:r>
      <w:r>
        <w:rPr>
          <w:rFonts w:hint="eastAsia" w:ascii="宋体" w:hAnsi="宋体" w:eastAsia="宋体" w:cs="宋体"/>
          <w:spacing w:val="-11"/>
          <w:sz w:val="18"/>
          <w:szCs w:val="18"/>
        </w:rPr>
        <w:t>北京：人民出版社，</w:t>
      </w:r>
      <w:r>
        <w:rPr>
          <w:rFonts w:hint="eastAsia" w:ascii="宋体" w:hAnsi="宋体" w:eastAsia="宋体" w:cs="宋体"/>
          <w:spacing w:val="-11"/>
          <w:position w:val="-1"/>
          <w:sz w:val="18"/>
          <w:szCs w:val="18"/>
        </w:rPr>
        <w:t>2004</w:t>
      </w:r>
      <w:r>
        <w:rPr>
          <w:rFonts w:hint="eastAsia" w:ascii="宋体" w:hAnsi="宋体" w:eastAsia="宋体" w:cs="宋体"/>
          <w:spacing w:val="-11"/>
          <w:sz w:val="18"/>
          <w:szCs w:val="18"/>
        </w:rPr>
        <w:t>:</w:t>
      </w:r>
      <w:r>
        <w:rPr>
          <w:rFonts w:hint="eastAsia" w:ascii="宋体" w:hAnsi="宋体" w:eastAsia="宋体" w:cs="宋体"/>
          <w:spacing w:val="-11"/>
          <w:position w:val="-1"/>
          <w:sz w:val="18"/>
          <w:szCs w:val="18"/>
        </w:rPr>
        <w:t>57.</w:t>
      </w:r>
    </w:p>
  </w:footnote>
  <w:footnote w:id="1397">
    <w:p w14:paraId="34474758">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
          <w:sz w:val="18"/>
          <w:szCs w:val="18"/>
        </w:rPr>
        <w:t>冯道杰</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从马克思的机器观看人工智能发展的时代新路[J]</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海派经济学</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2024(04)</w:t>
      </w:r>
      <w:r>
        <w:rPr>
          <w:rFonts w:hint="eastAsia" w:ascii="宋体" w:hAnsi="宋体" w:eastAsia="宋体" w:cs="宋体"/>
          <w:spacing w:val="1"/>
          <w:position w:val="1"/>
          <w:sz w:val="18"/>
          <w:szCs w:val="18"/>
        </w:rPr>
        <w:t>:</w:t>
      </w:r>
      <w:r>
        <w:rPr>
          <w:rFonts w:hint="eastAsia" w:ascii="宋体" w:hAnsi="宋体" w:eastAsia="宋体" w:cs="宋体"/>
          <w:spacing w:val="1"/>
          <w:position w:val="-1"/>
          <w:sz w:val="18"/>
          <w:szCs w:val="18"/>
        </w:rPr>
        <w:t>229-230.</w:t>
      </w:r>
    </w:p>
  </w:footnote>
  <w:footnote w:id="1398">
    <w:p w14:paraId="3438951D">
      <w:pPr>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JanHatzius</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JosephBriggs</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DeveshKodnani</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GiovanniPierdomenico.ThePotentiallyLargeEffectsof</w:t>
      </w:r>
      <w:r>
        <w:rPr>
          <w:rFonts w:hint="eastAsia" w:ascii="宋体" w:hAnsi="宋体" w:eastAsia="宋体" w:cs="宋体"/>
          <w:sz w:val="18"/>
          <w:szCs w:val="18"/>
        </w:rPr>
        <w:t>ArtificialIntelligenceonEconomicGrowth(Briggs/Kodnani)</w:t>
      </w:r>
      <w:r>
        <w:rPr>
          <w:rFonts w:hint="eastAsia" w:ascii="宋体" w:hAnsi="宋体" w:eastAsia="宋体" w:cs="宋体"/>
          <w:position w:val="1"/>
          <w:sz w:val="18"/>
          <w:szCs w:val="18"/>
        </w:rPr>
        <w:t>[R/OL]</w:t>
      </w:r>
      <w:r>
        <w:rPr>
          <w:rFonts w:hint="eastAsia" w:ascii="宋体" w:hAnsi="宋体" w:eastAsia="宋体" w:cs="宋体"/>
          <w:sz w:val="18"/>
          <w:szCs w:val="18"/>
        </w:rPr>
        <w:t>.https:∥d110erj175o600.cloudfront.net/wp</w:t>
      </w:r>
      <w:r>
        <w:rPr>
          <w:rFonts w:hint="eastAsia" w:ascii="宋体" w:hAnsi="宋体" w:eastAsia="宋体" w:cs="宋体"/>
          <w:spacing w:val="13"/>
          <w:sz w:val="18"/>
          <w:szCs w:val="18"/>
        </w:rPr>
        <w:t>-</w:t>
      </w:r>
      <w:r>
        <w:rPr>
          <w:rFonts w:hint="eastAsia" w:ascii="宋体" w:hAnsi="宋体" w:eastAsia="宋体" w:cs="宋体"/>
          <w:sz w:val="18"/>
          <w:szCs w:val="18"/>
        </w:rPr>
        <w:t>content</w:t>
      </w:r>
      <w:r>
        <w:rPr>
          <w:rFonts w:hint="eastAsia" w:ascii="宋体" w:hAnsi="宋体" w:eastAsia="宋体" w:cs="宋体"/>
          <w:spacing w:val="13"/>
          <w:sz w:val="18"/>
          <w:szCs w:val="18"/>
        </w:rPr>
        <w:t>/</w:t>
      </w:r>
      <w:r>
        <w:rPr>
          <w:rFonts w:hint="eastAsia" w:ascii="宋体" w:hAnsi="宋体" w:eastAsia="宋体" w:cs="宋体"/>
          <w:sz w:val="18"/>
          <w:szCs w:val="18"/>
        </w:rPr>
        <w:t>uploads</w:t>
      </w:r>
      <w:r>
        <w:rPr>
          <w:rFonts w:hint="eastAsia" w:ascii="宋体" w:hAnsi="宋体" w:eastAsia="宋体" w:cs="宋体"/>
          <w:spacing w:val="13"/>
          <w:sz w:val="18"/>
          <w:szCs w:val="18"/>
        </w:rPr>
        <w:t>/2023/03/29112641/</w:t>
      </w:r>
      <w:r>
        <w:rPr>
          <w:rFonts w:hint="eastAsia" w:ascii="宋体" w:hAnsi="宋体" w:eastAsia="宋体" w:cs="宋体"/>
          <w:sz w:val="18"/>
          <w:szCs w:val="18"/>
        </w:rPr>
        <w:t>Global</w:t>
      </w:r>
      <w:r>
        <w:rPr>
          <w:rFonts w:hint="eastAsia" w:ascii="宋体" w:hAnsi="宋体" w:eastAsia="宋体" w:cs="宋体"/>
          <w:spacing w:val="13"/>
          <w:sz w:val="18"/>
          <w:szCs w:val="18"/>
        </w:rPr>
        <w:t>-</w:t>
      </w:r>
      <w:r>
        <w:rPr>
          <w:rFonts w:hint="eastAsia" w:ascii="宋体" w:hAnsi="宋体" w:eastAsia="宋体" w:cs="宋体"/>
          <w:sz w:val="18"/>
          <w:szCs w:val="18"/>
        </w:rPr>
        <w:t>Economics</w:t>
      </w:r>
      <w:r>
        <w:rPr>
          <w:rFonts w:hint="eastAsia" w:ascii="宋体" w:hAnsi="宋体" w:eastAsia="宋体" w:cs="宋体"/>
          <w:spacing w:val="12"/>
          <w:sz w:val="18"/>
          <w:szCs w:val="18"/>
        </w:rPr>
        <w:t>-</w:t>
      </w:r>
      <w:r>
        <w:rPr>
          <w:rFonts w:hint="eastAsia" w:ascii="宋体" w:hAnsi="宋体" w:eastAsia="宋体" w:cs="宋体"/>
          <w:sz w:val="18"/>
          <w:szCs w:val="18"/>
        </w:rPr>
        <w:t>Anal</w:t>
      </w:r>
      <w:r>
        <w:rPr>
          <w:rFonts w:hint="eastAsia" w:ascii="宋体" w:hAnsi="宋体" w:eastAsia="宋体" w:cs="宋体"/>
          <w:position w:val="-1"/>
          <w:sz w:val="18"/>
          <w:szCs w:val="18"/>
        </w:rPr>
        <w:t>y</w:t>
      </w:r>
      <w:r>
        <w:rPr>
          <w:rFonts w:hint="eastAsia" w:ascii="宋体" w:hAnsi="宋体" w:eastAsia="宋体" w:cs="宋体"/>
          <w:sz w:val="18"/>
          <w:szCs w:val="18"/>
        </w:rPr>
        <w:t>st</w:t>
      </w:r>
      <w:r>
        <w:rPr>
          <w:rFonts w:hint="eastAsia" w:ascii="宋体" w:hAnsi="宋体" w:eastAsia="宋体" w:cs="宋体"/>
          <w:spacing w:val="12"/>
          <w:sz w:val="18"/>
          <w:szCs w:val="18"/>
        </w:rPr>
        <w:t>-</w:t>
      </w:r>
      <w:r>
        <w:rPr>
          <w:rFonts w:hint="eastAsia" w:ascii="宋体" w:hAnsi="宋体" w:eastAsia="宋体" w:cs="宋体"/>
          <w:sz w:val="18"/>
          <w:szCs w:val="18"/>
        </w:rPr>
        <w:t>The</w:t>
      </w:r>
      <w:r>
        <w:rPr>
          <w:rFonts w:hint="eastAsia" w:ascii="宋体" w:hAnsi="宋体" w:eastAsia="宋体" w:cs="宋体"/>
          <w:spacing w:val="12"/>
          <w:sz w:val="18"/>
          <w:szCs w:val="18"/>
        </w:rPr>
        <w:t>-</w:t>
      </w:r>
      <w:r>
        <w:rPr>
          <w:rFonts w:hint="eastAsia" w:ascii="宋体" w:hAnsi="宋体" w:eastAsia="宋体" w:cs="宋体"/>
          <w:sz w:val="18"/>
          <w:szCs w:val="18"/>
        </w:rPr>
        <w:t>Potentiall</w:t>
      </w:r>
      <w:r>
        <w:rPr>
          <w:rFonts w:hint="eastAsia" w:ascii="宋体" w:hAnsi="宋体" w:eastAsia="宋体" w:cs="宋体"/>
          <w:position w:val="-1"/>
          <w:sz w:val="18"/>
          <w:szCs w:val="18"/>
        </w:rPr>
        <w:t>y</w:t>
      </w:r>
      <w:r>
        <w:rPr>
          <w:rFonts w:hint="eastAsia" w:ascii="宋体" w:hAnsi="宋体" w:eastAsia="宋体" w:cs="宋体"/>
          <w:spacing w:val="12"/>
          <w:sz w:val="18"/>
          <w:szCs w:val="18"/>
        </w:rPr>
        <w:t>-</w:t>
      </w:r>
      <w:r>
        <w:rPr>
          <w:rFonts w:hint="eastAsia" w:ascii="宋体" w:hAnsi="宋体" w:eastAsia="宋体" w:cs="宋体"/>
          <w:sz w:val="18"/>
          <w:szCs w:val="18"/>
        </w:rPr>
        <w:t>Large</w:t>
      </w:r>
      <w:r>
        <w:rPr>
          <w:rFonts w:hint="eastAsia" w:ascii="宋体" w:hAnsi="宋体" w:eastAsia="宋体" w:cs="宋体"/>
          <w:spacing w:val="12"/>
          <w:sz w:val="18"/>
          <w:szCs w:val="18"/>
        </w:rPr>
        <w:t>-</w:t>
      </w:r>
      <w:r>
        <w:rPr>
          <w:rFonts w:hint="eastAsia" w:ascii="宋体" w:hAnsi="宋体" w:eastAsia="宋体" w:cs="宋体"/>
          <w:sz w:val="18"/>
          <w:szCs w:val="18"/>
        </w:rPr>
        <w:t>Effects</w:t>
      </w:r>
      <w:r>
        <w:rPr>
          <w:rFonts w:hint="eastAsia" w:ascii="宋体" w:hAnsi="宋体" w:eastAsia="宋体" w:cs="宋体"/>
          <w:spacing w:val="12"/>
          <w:sz w:val="18"/>
          <w:szCs w:val="18"/>
        </w:rPr>
        <w:t>-</w:t>
      </w:r>
      <w:r>
        <w:rPr>
          <w:rFonts w:hint="eastAsia" w:ascii="宋体" w:hAnsi="宋体" w:eastAsia="宋体" w:cs="宋体"/>
          <w:spacing w:val="9"/>
          <w:sz w:val="18"/>
          <w:szCs w:val="18"/>
        </w:rPr>
        <w:t>of0D0A-Artificial-Intelligence-on-Econ</w:t>
      </w:r>
      <w:r>
        <w:rPr>
          <w:rFonts w:hint="eastAsia" w:ascii="宋体" w:hAnsi="宋体" w:eastAsia="宋体" w:cs="宋体"/>
          <w:spacing w:val="8"/>
          <w:sz w:val="18"/>
          <w:szCs w:val="18"/>
        </w:rPr>
        <w:t>omic-Growth-Briggs</w:t>
      </w:r>
      <w:r>
        <w:rPr>
          <w:rFonts w:hint="eastAsia" w:ascii="宋体" w:hAnsi="宋体" w:eastAsia="宋体" w:cs="宋体"/>
          <w:spacing w:val="8"/>
          <w:position w:val="2"/>
          <w:sz w:val="18"/>
          <w:szCs w:val="18"/>
        </w:rPr>
        <w:t>__</w:t>
      </w:r>
      <w:r>
        <w:rPr>
          <w:rFonts w:hint="eastAsia" w:ascii="宋体" w:hAnsi="宋体" w:eastAsia="宋体" w:cs="宋体"/>
          <w:spacing w:val="8"/>
          <w:sz w:val="18"/>
          <w:szCs w:val="18"/>
        </w:rPr>
        <w:t>Kodnani.pdf</w:t>
      </w:r>
      <w:r>
        <w:rPr>
          <w:rFonts w:hint="eastAsia" w:ascii="宋体" w:hAnsi="宋体" w:eastAsia="宋体" w:cs="宋体"/>
          <w:spacing w:val="8"/>
          <w:position w:val="2"/>
          <w:sz w:val="18"/>
          <w:szCs w:val="18"/>
        </w:rPr>
        <w:t>,</w:t>
      </w:r>
      <w:r>
        <w:rPr>
          <w:rFonts w:hint="eastAsia" w:ascii="宋体" w:hAnsi="宋体" w:eastAsia="宋体" w:cs="宋体"/>
          <w:spacing w:val="8"/>
          <w:sz w:val="18"/>
          <w:szCs w:val="18"/>
        </w:rPr>
        <w:t>2023-03-26.</w:t>
      </w:r>
    </w:p>
  </w:footnote>
  <w:footnote w:id="1399">
    <w:p w14:paraId="2F0D3AD6">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GuangsuZhou</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GaosiChu</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LixingLi</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LingshengMeng.TheEffec</w:t>
      </w:r>
      <w:r>
        <w:rPr>
          <w:rFonts w:hint="eastAsia" w:ascii="宋体" w:hAnsi="宋体" w:eastAsia="宋体" w:cs="宋体"/>
          <w:spacing w:val="-4"/>
          <w:sz w:val="18"/>
          <w:szCs w:val="18"/>
        </w:rPr>
        <w:t>tofArtificialIntelligenceonChina</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s</w:t>
      </w:r>
      <w:r>
        <w:rPr>
          <w:rFonts w:hint="eastAsia" w:ascii="宋体" w:hAnsi="宋体" w:eastAsia="宋体" w:cs="宋体"/>
          <w:sz w:val="18"/>
          <w:szCs w:val="18"/>
        </w:rPr>
        <w:t>LaborMarket</w:t>
      </w:r>
      <w:r>
        <w:rPr>
          <w:rFonts w:hint="eastAsia" w:ascii="宋体" w:hAnsi="宋体" w:eastAsia="宋体" w:cs="宋体"/>
          <w:spacing w:val="2"/>
          <w:sz w:val="18"/>
          <w:szCs w:val="18"/>
        </w:rPr>
        <w:t>[J].</w:t>
      </w:r>
      <w:r>
        <w:rPr>
          <w:rFonts w:hint="eastAsia" w:ascii="宋体" w:hAnsi="宋体" w:eastAsia="宋体" w:cs="宋体"/>
          <w:sz w:val="18"/>
          <w:szCs w:val="18"/>
        </w:rPr>
        <w:t>ChinaEconomicJournal</w:t>
      </w:r>
      <w:r>
        <w:rPr>
          <w:rFonts w:hint="eastAsia" w:ascii="宋体" w:hAnsi="宋体" w:eastAsia="宋体" w:cs="宋体"/>
          <w:spacing w:val="2"/>
          <w:position w:val="2"/>
          <w:sz w:val="18"/>
          <w:szCs w:val="18"/>
        </w:rPr>
        <w:t>,</w:t>
      </w:r>
      <w:r>
        <w:rPr>
          <w:rFonts w:hint="eastAsia" w:ascii="宋体" w:hAnsi="宋体" w:eastAsia="宋体" w:cs="宋体"/>
          <w:spacing w:val="2"/>
          <w:sz w:val="18"/>
          <w:szCs w:val="18"/>
        </w:rPr>
        <w:t>2019(13):24-41.</w:t>
      </w:r>
    </w:p>
  </w:footnote>
  <w:footnote w:id="1400">
    <w:p w14:paraId="72E5BBB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马克思恩格斯文集（第</w:t>
      </w:r>
      <w:r>
        <w:rPr>
          <w:rFonts w:hint="eastAsia" w:ascii="宋体" w:hAnsi="宋体" w:eastAsia="宋体" w:cs="宋体"/>
          <w:spacing w:val="-9"/>
          <w:position w:val="-1"/>
          <w:sz w:val="18"/>
          <w:szCs w:val="18"/>
        </w:rPr>
        <w:t>8</w:t>
      </w:r>
      <w:r>
        <w:rPr>
          <w:rFonts w:hint="eastAsia" w:ascii="宋体" w:hAnsi="宋体" w:eastAsia="宋体" w:cs="宋体"/>
          <w:spacing w:val="-9"/>
          <w:sz w:val="18"/>
          <w:szCs w:val="18"/>
        </w:rPr>
        <w:t>卷）[M]</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北京：人民出版社，</w:t>
      </w:r>
      <w:r>
        <w:rPr>
          <w:rFonts w:hint="eastAsia" w:ascii="宋体" w:hAnsi="宋体" w:eastAsia="宋体" w:cs="宋体"/>
          <w:spacing w:val="-9"/>
          <w:position w:val="-1"/>
          <w:sz w:val="18"/>
          <w:szCs w:val="18"/>
        </w:rPr>
        <w:t>2009</w:t>
      </w:r>
      <w:r>
        <w:rPr>
          <w:rFonts w:hint="eastAsia" w:ascii="宋体" w:hAnsi="宋体" w:eastAsia="宋体" w:cs="宋体"/>
          <w:spacing w:val="-9"/>
          <w:sz w:val="18"/>
          <w:szCs w:val="18"/>
        </w:rPr>
        <w:t>:</w:t>
      </w:r>
      <w:r>
        <w:rPr>
          <w:rFonts w:hint="eastAsia" w:ascii="宋体" w:hAnsi="宋体" w:eastAsia="宋体" w:cs="宋体"/>
          <w:spacing w:val="-10"/>
          <w:position w:val="-1"/>
          <w:sz w:val="18"/>
          <w:szCs w:val="18"/>
        </w:rPr>
        <w:t>19.</w:t>
      </w:r>
    </w:p>
  </w:footnote>
  <w:footnote w:id="1401">
    <w:p w14:paraId="0333F8DA">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7"/>
          <w:sz w:val="18"/>
          <w:szCs w:val="18"/>
        </w:rPr>
        <w:t>列宁</w:t>
      </w:r>
      <w:r>
        <w:rPr>
          <w:rFonts w:hint="eastAsia" w:ascii="宋体" w:hAnsi="宋体" w:eastAsia="宋体" w:cs="宋体"/>
          <w:spacing w:val="-7"/>
          <w:position w:val="-1"/>
          <w:sz w:val="18"/>
          <w:szCs w:val="18"/>
        </w:rPr>
        <w:t>．</w:t>
      </w:r>
      <w:r>
        <w:rPr>
          <w:rFonts w:hint="eastAsia" w:ascii="宋体" w:hAnsi="宋体" w:eastAsia="宋体" w:cs="宋体"/>
          <w:spacing w:val="-7"/>
          <w:sz w:val="18"/>
          <w:szCs w:val="18"/>
        </w:rPr>
        <w:t>帝国主义是资本主义的最高阶段[M]</w:t>
      </w:r>
      <w:r>
        <w:rPr>
          <w:rFonts w:hint="eastAsia" w:ascii="宋体" w:hAnsi="宋体" w:eastAsia="宋体" w:cs="宋体"/>
          <w:spacing w:val="-7"/>
          <w:position w:val="-1"/>
          <w:sz w:val="18"/>
          <w:szCs w:val="18"/>
        </w:rPr>
        <w:t>.</w:t>
      </w:r>
      <w:r>
        <w:rPr>
          <w:rFonts w:hint="eastAsia" w:ascii="宋体" w:hAnsi="宋体" w:eastAsia="宋体" w:cs="宋体"/>
          <w:spacing w:val="-7"/>
          <w:sz w:val="18"/>
          <w:szCs w:val="18"/>
        </w:rPr>
        <w:t>北京：人民出版社，</w:t>
      </w:r>
      <w:r>
        <w:rPr>
          <w:rFonts w:hint="eastAsia" w:ascii="宋体" w:hAnsi="宋体" w:eastAsia="宋体" w:cs="宋体"/>
          <w:spacing w:val="-7"/>
          <w:position w:val="-1"/>
          <w:sz w:val="18"/>
          <w:szCs w:val="18"/>
        </w:rPr>
        <w:t>2021</w:t>
      </w:r>
      <w:r>
        <w:rPr>
          <w:rFonts w:hint="eastAsia" w:ascii="宋体" w:hAnsi="宋体" w:eastAsia="宋体" w:cs="宋体"/>
          <w:spacing w:val="-7"/>
          <w:sz w:val="18"/>
          <w:szCs w:val="18"/>
        </w:rPr>
        <w:t>:</w:t>
      </w:r>
      <w:r>
        <w:rPr>
          <w:rFonts w:hint="eastAsia" w:ascii="宋体" w:hAnsi="宋体" w:eastAsia="宋体" w:cs="宋体"/>
          <w:spacing w:val="-8"/>
          <w:position w:val="-1"/>
          <w:sz w:val="18"/>
          <w:szCs w:val="18"/>
        </w:rPr>
        <w:t>17.</w:t>
      </w:r>
    </w:p>
  </w:footnote>
  <w:footnote w:id="1402">
    <w:p w14:paraId="00131B2C">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资本论（第</w:t>
      </w:r>
      <w:r>
        <w:rPr>
          <w:rFonts w:hint="eastAsia" w:ascii="宋体" w:hAnsi="宋体" w:eastAsia="宋体" w:cs="宋体"/>
          <w:spacing w:val="-9"/>
          <w:position w:val="-1"/>
          <w:sz w:val="18"/>
          <w:szCs w:val="18"/>
        </w:rPr>
        <w:t>1</w:t>
      </w:r>
      <w:r>
        <w:rPr>
          <w:rFonts w:hint="eastAsia" w:ascii="宋体" w:hAnsi="宋体" w:eastAsia="宋体" w:cs="宋体"/>
          <w:spacing w:val="-9"/>
          <w:sz w:val="18"/>
          <w:szCs w:val="18"/>
        </w:rPr>
        <w:t>卷）[M]</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北京：人民出版社，2004:723</w:t>
      </w:r>
      <w:r>
        <w:rPr>
          <w:rFonts w:hint="eastAsia" w:ascii="宋体" w:hAnsi="宋体" w:eastAsia="宋体" w:cs="宋体"/>
          <w:spacing w:val="-9"/>
          <w:position w:val="-1"/>
          <w:sz w:val="18"/>
          <w:szCs w:val="18"/>
        </w:rPr>
        <w:t>.</w:t>
      </w:r>
    </w:p>
  </w:footnote>
  <w:footnote w:id="1403">
    <w:p w14:paraId="64BA0509">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MassimilianoNuccio</w:t>
      </w:r>
      <w:r>
        <w:rPr>
          <w:rFonts w:hint="eastAsia" w:ascii="宋体" w:hAnsi="宋体" w:eastAsia="宋体" w:cs="宋体"/>
          <w:spacing w:val="-3"/>
          <w:position w:val="2"/>
          <w:sz w:val="18"/>
          <w:szCs w:val="18"/>
        </w:rPr>
        <w:t>,</w:t>
      </w:r>
      <w:r>
        <w:rPr>
          <w:rFonts w:hint="eastAsia" w:ascii="宋体" w:hAnsi="宋体" w:eastAsia="宋体" w:cs="宋体"/>
          <w:spacing w:val="-3"/>
          <w:sz w:val="18"/>
          <w:szCs w:val="18"/>
        </w:rPr>
        <w:t>MarcoGuerzoni.</w:t>
      </w:r>
      <w:r>
        <w:rPr>
          <w:rFonts w:hint="eastAsia" w:ascii="宋体" w:hAnsi="宋体" w:eastAsia="宋体" w:cs="宋体"/>
          <w:spacing w:val="-4"/>
          <w:sz w:val="18"/>
          <w:szCs w:val="18"/>
        </w:rPr>
        <w:t>BigData</w:t>
      </w:r>
      <w:r>
        <w:rPr>
          <w:rFonts w:hint="eastAsia" w:ascii="宋体" w:hAnsi="宋体" w:eastAsia="宋体" w:cs="宋体"/>
          <w:spacing w:val="-4"/>
          <w:position w:val="2"/>
          <w:sz w:val="18"/>
          <w:szCs w:val="18"/>
        </w:rPr>
        <w:t>:</w:t>
      </w:r>
      <w:r>
        <w:rPr>
          <w:rFonts w:hint="eastAsia" w:ascii="宋体" w:hAnsi="宋体" w:eastAsia="宋体" w:cs="宋体"/>
          <w:spacing w:val="-4"/>
          <w:sz w:val="18"/>
          <w:szCs w:val="18"/>
        </w:rPr>
        <w:t>HellorHeaven?DigitalPlatformsandMarketPowerin</w:t>
      </w:r>
      <w:r>
        <w:rPr>
          <w:rFonts w:hint="eastAsia" w:ascii="宋体" w:hAnsi="宋体" w:eastAsia="宋体" w:cs="宋体"/>
          <w:sz w:val="18"/>
          <w:szCs w:val="18"/>
        </w:rPr>
        <w:t>theData</w:t>
      </w:r>
      <w:r>
        <w:rPr>
          <w:rFonts w:hint="eastAsia" w:ascii="宋体" w:hAnsi="宋体" w:eastAsia="宋体" w:cs="宋体"/>
          <w:spacing w:val="1"/>
          <w:sz w:val="18"/>
          <w:szCs w:val="18"/>
        </w:rPr>
        <w:t>-</w:t>
      </w:r>
      <w:r>
        <w:rPr>
          <w:rFonts w:hint="eastAsia" w:ascii="宋体" w:hAnsi="宋体" w:eastAsia="宋体" w:cs="宋体"/>
          <w:sz w:val="18"/>
          <w:szCs w:val="18"/>
        </w:rPr>
        <w:t>drivenEconom</w:t>
      </w:r>
      <w:r>
        <w:rPr>
          <w:rFonts w:hint="eastAsia" w:ascii="宋体" w:hAnsi="宋体" w:eastAsia="宋体" w:cs="宋体"/>
          <w:position w:val="1"/>
          <w:sz w:val="18"/>
          <w:szCs w:val="18"/>
        </w:rPr>
        <w:t>y</w:t>
      </w:r>
      <w:r>
        <w:rPr>
          <w:rFonts w:hint="eastAsia" w:ascii="宋体" w:hAnsi="宋体" w:eastAsia="宋体" w:cs="宋体"/>
          <w:spacing w:val="1"/>
          <w:position w:val="1"/>
          <w:sz w:val="18"/>
          <w:szCs w:val="18"/>
        </w:rPr>
        <w:t>[J]</w:t>
      </w:r>
      <w:r>
        <w:rPr>
          <w:rFonts w:hint="eastAsia" w:ascii="宋体" w:hAnsi="宋体" w:eastAsia="宋体" w:cs="宋体"/>
          <w:spacing w:val="1"/>
          <w:sz w:val="18"/>
          <w:szCs w:val="18"/>
        </w:rPr>
        <w:t>.</w:t>
      </w:r>
      <w:r>
        <w:rPr>
          <w:rFonts w:hint="eastAsia" w:ascii="宋体" w:hAnsi="宋体" w:eastAsia="宋体" w:cs="宋体"/>
          <w:sz w:val="18"/>
          <w:szCs w:val="18"/>
        </w:rPr>
        <w:t>Competition</w:t>
      </w:r>
      <w:r>
        <w:rPr>
          <w:rFonts w:hint="eastAsia" w:ascii="宋体" w:hAnsi="宋体" w:eastAsia="宋体" w:cs="宋体"/>
          <w:spacing w:val="1"/>
          <w:sz w:val="18"/>
          <w:szCs w:val="18"/>
        </w:rPr>
        <w:t>&amp;</w:t>
      </w:r>
      <w:r>
        <w:rPr>
          <w:rFonts w:hint="eastAsia" w:ascii="宋体" w:hAnsi="宋体" w:eastAsia="宋体" w:cs="宋体"/>
          <w:sz w:val="18"/>
          <w:szCs w:val="18"/>
        </w:rPr>
        <w:t>Change</w:t>
      </w:r>
      <w:r>
        <w:rPr>
          <w:rFonts w:hint="eastAsia" w:ascii="宋体" w:hAnsi="宋体" w:eastAsia="宋体" w:cs="宋体"/>
          <w:spacing w:val="1"/>
          <w:position w:val="2"/>
          <w:sz w:val="18"/>
          <w:szCs w:val="18"/>
        </w:rPr>
        <w:t>,</w:t>
      </w:r>
      <w:r>
        <w:rPr>
          <w:rFonts w:hint="eastAsia" w:ascii="宋体" w:hAnsi="宋体" w:eastAsia="宋体" w:cs="宋体"/>
          <w:spacing w:val="1"/>
          <w:sz w:val="18"/>
          <w:szCs w:val="18"/>
        </w:rPr>
        <w:t>2018(23):312-328.</w:t>
      </w:r>
    </w:p>
  </w:footnote>
  <w:footnote w:id="1404">
    <w:p w14:paraId="535082D3">
      <w:pPr>
        <w:pStyle w:val="6"/>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云计算市场规模、份额和行业分析，按类型（公共云、私有云和混合云）、按服务</w:t>
      </w:r>
      <w:r>
        <w:rPr>
          <w:rFonts w:hint="eastAsia" w:ascii="宋体" w:hAnsi="宋体" w:eastAsia="宋体" w:cs="宋体"/>
          <w:spacing w:val="-9"/>
          <w:sz w:val="18"/>
          <w:szCs w:val="18"/>
        </w:rPr>
        <w:t>（基础设施即服务(IaaS)、平</w:t>
      </w:r>
      <w:r>
        <w:rPr>
          <w:rFonts w:hint="eastAsia" w:ascii="宋体" w:hAnsi="宋体" w:eastAsia="宋体" w:cs="宋体"/>
          <w:spacing w:val="-3"/>
          <w:sz w:val="18"/>
          <w:szCs w:val="18"/>
        </w:rPr>
        <w:t>台即服务(PaaS)和软件即服务(SaaS))),按企业类型（中小企业和大型企业）、按行业(BFSI、</w:t>
      </w:r>
      <w:r>
        <w:rPr>
          <w:rFonts w:hint="eastAsia" w:ascii="宋体" w:hAnsi="宋体" w:eastAsia="宋体" w:cs="宋体"/>
          <w:spacing w:val="-3"/>
          <w:position w:val="-1"/>
          <w:sz w:val="18"/>
          <w:szCs w:val="18"/>
        </w:rPr>
        <w:t>IT</w:t>
      </w:r>
      <w:r>
        <w:rPr>
          <w:rFonts w:hint="eastAsia" w:ascii="宋体" w:hAnsi="宋体" w:eastAsia="宋体" w:cs="宋体"/>
          <w:spacing w:val="-3"/>
          <w:sz w:val="18"/>
          <w:szCs w:val="18"/>
        </w:rPr>
        <w:t>和电信、政府</w:t>
      </w:r>
      <w:r>
        <w:rPr>
          <w:rFonts w:hint="eastAsia" w:ascii="宋体" w:hAnsi="宋体" w:eastAsia="宋体" w:cs="宋体"/>
          <w:spacing w:val="-4"/>
          <w:sz w:val="18"/>
          <w:szCs w:val="18"/>
        </w:rPr>
        <w:t>、消</w:t>
      </w:r>
      <w:r>
        <w:rPr>
          <w:rFonts w:hint="eastAsia" w:ascii="宋体" w:hAnsi="宋体" w:eastAsia="宋体" w:cs="宋体"/>
          <w:spacing w:val="-1"/>
          <w:position w:val="1"/>
          <w:sz w:val="18"/>
          <w:szCs w:val="18"/>
        </w:rPr>
        <w:t>费品和零售、医疗保健、制造业等）以及区域预测，</w:t>
      </w:r>
      <w:r>
        <w:rPr>
          <w:rFonts w:hint="eastAsia" w:ascii="宋体" w:hAnsi="宋体" w:eastAsia="宋体" w:cs="宋体"/>
          <w:spacing w:val="-1"/>
          <w:sz w:val="18"/>
          <w:szCs w:val="18"/>
        </w:rPr>
        <w:t>2024-2032年[EB/OL].https:</w:t>
      </w:r>
      <w:r>
        <w:rPr>
          <w:rFonts w:hint="eastAsia" w:ascii="宋体" w:hAnsi="宋体" w:eastAsia="宋体" w:cs="宋体"/>
          <w:spacing w:val="-2"/>
          <w:sz w:val="18"/>
          <w:szCs w:val="18"/>
        </w:rPr>
        <w:t>∥www.fortunebusinessinsights.</w:t>
      </w:r>
      <w:r>
        <w:rPr>
          <w:rFonts w:hint="eastAsia" w:ascii="宋体" w:hAnsi="宋体" w:eastAsia="宋体" w:cs="宋体"/>
          <w:sz w:val="18"/>
          <w:szCs w:val="18"/>
        </w:rPr>
        <w:t>com</w:t>
      </w:r>
      <w:r>
        <w:rPr>
          <w:rFonts w:hint="eastAsia" w:ascii="宋体" w:hAnsi="宋体" w:eastAsia="宋体" w:cs="宋体"/>
          <w:spacing w:val="14"/>
          <w:sz w:val="18"/>
          <w:szCs w:val="18"/>
        </w:rPr>
        <w:t>/</w:t>
      </w:r>
      <w:r>
        <w:rPr>
          <w:rFonts w:hint="eastAsia" w:ascii="宋体" w:hAnsi="宋体" w:eastAsia="宋体" w:cs="宋体"/>
          <w:sz w:val="18"/>
          <w:szCs w:val="18"/>
        </w:rPr>
        <w:t>zh</w:t>
      </w:r>
      <w:r>
        <w:rPr>
          <w:rFonts w:hint="eastAsia" w:ascii="宋体" w:hAnsi="宋体" w:eastAsia="宋体" w:cs="宋体"/>
          <w:spacing w:val="14"/>
          <w:sz w:val="18"/>
          <w:szCs w:val="18"/>
        </w:rPr>
        <w:t>/</w:t>
      </w:r>
      <w:r>
        <w:rPr>
          <w:rFonts w:hint="eastAsia" w:ascii="宋体" w:hAnsi="宋体" w:eastAsia="宋体" w:cs="宋体"/>
          <w:sz w:val="18"/>
          <w:szCs w:val="18"/>
        </w:rPr>
        <w:t>cloud</w:t>
      </w:r>
      <w:r>
        <w:rPr>
          <w:rFonts w:hint="eastAsia" w:ascii="宋体" w:hAnsi="宋体" w:eastAsia="宋体" w:cs="宋体"/>
          <w:spacing w:val="14"/>
          <w:sz w:val="18"/>
          <w:szCs w:val="18"/>
        </w:rPr>
        <w:t>-</w:t>
      </w:r>
      <w:r>
        <w:rPr>
          <w:rFonts w:hint="eastAsia" w:ascii="宋体" w:hAnsi="宋体" w:eastAsia="宋体" w:cs="宋体"/>
          <w:sz w:val="18"/>
          <w:szCs w:val="18"/>
        </w:rPr>
        <w:t>computing</w:t>
      </w:r>
      <w:r>
        <w:rPr>
          <w:rFonts w:hint="eastAsia" w:ascii="宋体" w:hAnsi="宋体" w:eastAsia="宋体" w:cs="宋体"/>
          <w:spacing w:val="14"/>
          <w:sz w:val="18"/>
          <w:szCs w:val="18"/>
        </w:rPr>
        <w:t>-</w:t>
      </w:r>
      <w:r>
        <w:rPr>
          <w:rFonts w:hint="eastAsia" w:ascii="宋体" w:hAnsi="宋体" w:eastAsia="宋体" w:cs="宋体"/>
          <w:sz w:val="18"/>
          <w:szCs w:val="18"/>
        </w:rPr>
        <w:t>market</w:t>
      </w:r>
      <w:r>
        <w:rPr>
          <w:rFonts w:hint="eastAsia" w:ascii="宋体" w:hAnsi="宋体" w:eastAsia="宋体" w:cs="宋体"/>
          <w:spacing w:val="14"/>
          <w:sz w:val="18"/>
          <w:szCs w:val="18"/>
        </w:rPr>
        <w:t>-102697</w:t>
      </w:r>
      <w:r>
        <w:rPr>
          <w:rFonts w:hint="eastAsia" w:ascii="宋体" w:hAnsi="宋体" w:eastAsia="宋体" w:cs="宋体"/>
          <w:spacing w:val="14"/>
          <w:position w:val="2"/>
          <w:sz w:val="18"/>
          <w:szCs w:val="18"/>
        </w:rPr>
        <w:t>,</w:t>
      </w:r>
      <w:r>
        <w:rPr>
          <w:rFonts w:hint="eastAsia" w:ascii="宋体" w:hAnsi="宋体" w:eastAsia="宋体" w:cs="宋体"/>
          <w:spacing w:val="14"/>
          <w:sz w:val="18"/>
          <w:szCs w:val="18"/>
        </w:rPr>
        <w:t>2024-07-</w:t>
      </w:r>
      <w:r>
        <w:rPr>
          <w:rFonts w:hint="eastAsia" w:ascii="宋体" w:hAnsi="宋体" w:eastAsia="宋体" w:cs="宋体"/>
          <w:spacing w:val="13"/>
          <w:sz w:val="18"/>
          <w:szCs w:val="18"/>
        </w:rPr>
        <w:t>01.</w:t>
      </w:r>
    </w:p>
  </w:footnote>
  <w:footnote w:id="1405">
    <w:p w14:paraId="2FE1D1D0">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Gartner</w:t>
      </w:r>
      <w:r>
        <w:rPr>
          <w:rFonts w:hint="eastAsia" w:ascii="宋体" w:hAnsi="宋体" w:eastAsia="宋体" w:cs="宋体"/>
          <w:spacing w:val="1"/>
          <w:sz w:val="18"/>
          <w:szCs w:val="18"/>
        </w:rPr>
        <w:t>.2022年全球</w:t>
      </w:r>
      <w:r>
        <w:rPr>
          <w:rFonts w:hint="eastAsia" w:ascii="宋体" w:hAnsi="宋体" w:eastAsia="宋体" w:cs="宋体"/>
          <w:sz w:val="18"/>
          <w:szCs w:val="18"/>
        </w:rPr>
        <w:t>IaaS</w:t>
      </w:r>
      <w:r>
        <w:rPr>
          <w:rFonts w:hint="eastAsia" w:ascii="宋体" w:hAnsi="宋体" w:eastAsia="宋体" w:cs="宋体"/>
          <w:spacing w:val="1"/>
          <w:sz w:val="18"/>
          <w:szCs w:val="18"/>
        </w:rPr>
        <w:t>公有云服务市场增长30%</w:t>
      </w:r>
      <w:r>
        <w:rPr>
          <w:rFonts w:hint="eastAsia" w:ascii="宋体" w:hAnsi="宋体" w:eastAsia="宋体" w:cs="宋体"/>
          <w:spacing w:val="1"/>
          <w:position w:val="1"/>
          <w:sz w:val="18"/>
          <w:szCs w:val="18"/>
        </w:rPr>
        <w:t>,</w:t>
      </w:r>
      <w:r>
        <w:rPr>
          <w:rFonts w:hint="eastAsia" w:ascii="宋体" w:hAnsi="宋体" w:eastAsia="宋体" w:cs="宋体"/>
          <w:spacing w:val="1"/>
          <w:sz w:val="18"/>
          <w:szCs w:val="18"/>
        </w:rPr>
        <w:t>首次突破1000亿美元[</w:t>
      </w:r>
      <w:r>
        <w:rPr>
          <w:rFonts w:hint="eastAsia" w:ascii="宋体" w:hAnsi="宋体" w:eastAsia="宋体" w:cs="宋体"/>
          <w:sz w:val="18"/>
          <w:szCs w:val="18"/>
        </w:rPr>
        <w:t>EB</w:t>
      </w:r>
      <w:r>
        <w:rPr>
          <w:rFonts w:hint="eastAsia" w:ascii="宋体" w:hAnsi="宋体" w:eastAsia="宋体" w:cs="宋体"/>
          <w:spacing w:val="1"/>
          <w:sz w:val="18"/>
          <w:szCs w:val="18"/>
        </w:rPr>
        <w:t>/</w:t>
      </w:r>
      <w:r>
        <w:rPr>
          <w:rFonts w:hint="eastAsia" w:ascii="宋体" w:hAnsi="宋体" w:eastAsia="宋体" w:cs="宋体"/>
          <w:sz w:val="18"/>
          <w:szCs w:val="18"/>
        </w:rPr>
        <w:t>OL</w:t>
      </w:r>
      <w:r>
        <w:rPr>
          <w:rFonts w:hint="eastAsia" w:ascii="宋体" w:hAnsi="宋体" w:eastAsia="宋体" w:cs="宋体"/>
          <w:spacing w:val="1"/>
          <w:sz w:val="18"/>
          <w:szCs w:val="18"/>
        </w:rPr>
        <w:t>].</w:t>
      </w:r>
      <w:r>
        <w:rPr>
          <w:rFonts w:hint="eastAsia" w:ascii="宋体" w:hAnsi="宋体" w:eastAsia="宋体" w:cs="宋体"/>
          <w:sz w:val="18"/>
          <w:szCs w:val="18"/>
        </w:rPr>
        <w:t>https</w:t>
      </w:r>
      <w:r>
        <w:rPr>
          <w:rFonts w:hint="eastAsia" w:ascii="宋体" w:hAnsi="宋体" w:eastAsia="宋体" w:cs="宋体"/>
          <w:spacing w:val="1"/>
          <w:position w:val="1"/>
          <w:sz w:val="18"/>
          <w:szCs w:val="18"/>
        </w:rPr>
        <w:t>:</w:t>
      </w:r>
      <w:r>
        <w:rPr>
          <w:rFonts w:hint="eastAsia" w:ascii="宋体" w:hAnsi="宋体" w:eastAsia="宋体" w:cs="宋体"/>
          <w:spacing w:val="1"/>
          <w:position w:val="-1"/>
          <w:sz w:val="18"/>
          <w:szCs w:val="18"/>
        </w:rPr>
        <w:t>∥</w:t>
      </w:r>
      <w:r>
        <w:rPr>
          <w:rFonts w:hint="eastAsia" w:ascii="宋体" w:hAnsi="宋体" w:eastAsia="宋体" w:cs="宋体"/>
          <w:sz w:val="18"/>
          <w:szCs w:val="18"/>
        </w:rPr>
        <w:t>www</w:t>
      </w:r>
      <w:r>
        <w:rPr>
          <w:rFonts w:hint="eastAsia" w:ascii="宋体" w:hAnsi="宋体" w:eastAsia="宋体" w:cs="宋体"/>
          <w:spacing w:val="1"/>
          <w:sz w:val="18"/>
          <w:szCs w:val="18"/>
        </w:rPr>
        <w:t>.</w:t>
      </w:r>
      <w:r>
        <w:rPr>
          <w:rFonts w:hint="eastAsia" w:ascii="宋体" w:hAnsi="宋体" w:eastAsia="宋体" w:cs="宋体"/>
          <w:sz w:val="18"/>
          <w:szCs w:val="18"/>
        </w:rPr>
        <w:t>gartner</w:t>
      </w:r>
      <w:r>
        <w:rPr>
          <w:rFonts w:hint="eastAsia" w:ascii="宋体" w:hAnsi="宋体" w:eastAsia="宋体" w:cs="宋体"/>
          <w:spacing w:val="6"/>
          <w:sz w:val="18"/>
          <w:szCs w:val="18"/>
        </w:rPr>
        <w:t>.</w:t>
      </w:r>
      <w:r>
        <w:rPr>
          <w:rFonts w:hint="eastAsia" w:ascii="宋体" w:hAnsi="宋体" w:eastAsia="宋体" w:cs="宋体"/>
          <w:sz w:val="18"/>
          <w:szCs w:val="18"/>
        </w:rPr>
        <w:t>com</w:t>
      </w:r>
      <w:r>
        <w:rPr>
          <w:rFonts w:hint="eastAsia" w:ascii="宋体" w:hAnsi="宋体" w:eastAsia="宋体" w:cs="宋体"/>
          <w:spacing w:val="6"/>
          <w:sz w:val="18"/>
          <w:szCs w:val="18"/>
        </w:rPr>
        <w:t>/</w:t>
      </w:r>
      <w:r>
        <w:rPr>
          <w:rFonts w:hint="eastAsia" w:ascii="宋体" w:hAnsi="宋体" w:eastAsia="宋体" w:cs="宋体"/>
          <w:sz w:val="18"/>
          <w:szCs w:val="18"/>
        </w:rPr>
        <w:t>cn</w:t>
      </w:r>
      <w:r>
        <w:rPr>
          <w:rFonts w:hint="eastAsia" w:ascii="宋体" w:hAnsi="宋体" w:eastAsia="宋体" w:cs="宋体"/>
          <w:spacing w:val="6"/>
          <w:sz w:val="18"/>
          <w:szCs w:val="18"/>
        </w:rPr>
        <w:t>/</w:t>
      </w:r>
      <w:r>
        <w:rPr>
          <w:rFonts w:hint="eastAsia" w:ascii="宋体" w:hAnsi="宋体" w:eastAsia="宋体" w:cs="宋体"/>
          <w:sz w:val="18"/>
          <w:szCs w:val="18"/>
        </w:rPr>
        <w:t>newsroom</w:t>
      </w:r>
      <w:r>
        <w:rPr>
          <w:rFonts w:hint="eastAsia" w:ascii="宋体" w:hAnsi="宋体" w:eastAsia="宋体" w:cs="宋体"/>
          <w:spacing w:val="6"/>
          <w:sz w:val="18"/>
          <w:szCs w:val="18"/>
        </w:rPr>
        <w:t>/</w:t>
      </w:r>
      <w:r>
        <w:rPr>
          <w:rFonts w:hint="eastAsia" w:ascii="宋体" w:hAnsi="宋体" w:eastAsia="宋体" w:cs="宋体"/>
          <w:sz w:val="18"/>
          <w:szCs w:val="18"/>
        </w:rPr>
        <w:t>press</w:t>
      </w:r>
      <w:r>
        <w:rPr>
          <w:rFonts w:hint="eastAsia" w:ascii="宋体" w:hAnsi="宋体" w:eastAsia="宋体" w:cs="宋体"/>
          <w:spacing w:val="6"/>
          <w:sz w:val="18"/>
          <w:szCs w:val="18"/>
        </w:rPr>
        <w:t>-</w:t>
      </w:r>
      <w:r>
        <w:rPr>
          <w:rFonts w:hint="eastAsia" w:ascii="宋体" w:hAnsi="宋体" w:eastAsia="宋体" w:cs="宋体"/>
          <w:sz w:val="18"/>
          <w:szCs w:val="18"/>
        </w:rPr>
        <w:t>releases</w:t>
      </w:r>
      <w:r>
        <w:rPr>
          <w:rFonts w:hint="eastAsia" w:ascii="宋体" w:hAnsi="宋体" w:eastAsia="宋体" w:cs="宋体"/>
          <w:spacing w:val="6"/>
          <w:sz w:val="18"/>
          <w:szCs w:val="18"/>
        </w:rPr>
        <w:t>/</w:t>
      </w:r>
      <w:r>
        <w:rPr>
          <w:rFonts w:hint="eastAsia" w:ascii="宋体" w:hAnsi="宋体" w:eastAsia="宋体" w:cs="宋体"/>
          <w:sz w:val="18"/>
          <w:szCs w:val="18"/>
        </w:rPr>
        <w:t>gartner</w:t>
      </w:r>
      <w:r>
        <w:rPr>
          <w:rFonts w:hint="eastAsia" w:ascii="宋体" w:hAnsi="宋体" w:eastAsia="宋体" w:cs="宋体"/>
          <w:spacing w:val="6"/>
          <w:sz w:val="18"/>
          <w:szCs w:val="18"/>
        </w:rPr>
        <w:t>2022</w:t>
      </w:r>
      <w:r>
        <w:rPr>
          <w:rFonts w:hint="eastAsia" w:ascii="宋体" w:hAnsi="宋体" w:eastAsia="宋体" w:cs="宋体"/>
          <w:sz w:val="18"/>
          <w:szCs w:val="18"/>
        </w:rPr>
        <w:t>iaas</w:t>
      </w:r>
      <w:r>
        <w:rPr>
          <w:rFonts w:hint="eastAsia" w:ascii="宋体" w:hAnsi="宋体" w:eastAsia="宋体" w:cs="宋体"/>
          <w:spacing w:val="6"/>
          <w:sz w:val="18"/>
          <w:szCs w:val="18"/>
        </w:rPr>
        <w:t>30-10</w:t>
      </w:r>
      <w:r>
        <w:rPr>
          <w:rFonts w:hint="eastAsia" w:ascii="宋体" w:hAnsi="宋体" w:eastAsia="宋体" w:cs="宋体"/>
          <w:spacing w:val="5"/>
          <w:sz w:val="18"/>
          <w:szCs w:val="18"/>
        </w:rPr>
        <w:t>00</w:t>
      </w:r>
      <w:r>
        <w:rPr>
          <w:rFonts w:hint="eastAsia" w:ascii="宋体" w:hAnsi="宋体" w:eastAsia="宋体" w:cs="宋体"/>
          <w:spacing w:val="5"/>
          <w:position w:val="2"/>
          <w:sz w:val="18"/>
          <w:szCs w:val="18"/>
        </w:rPr>
        <w:t>,</w:t>
      </w:r>
      <w:r>
        <w:rPr>
          <w:rFonts w:hint="eastAsia" w:ascii="宋体" w:hAnsi="宋体" w:eastAsia="宋体" w:cs="宋体"/>
          <w:spacing w:val="5"/>
          <w:sz w:val="18"/>
          <w:szCs w:val="18"/>
        </w:rPr>
        <w:t>2023-08-16.</w:t>
      </w:r>
    </w:p>
  </w:footnote>
  <w:footnote w:id="1406">
    <w:p w14:paraId="1213A85B">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资本论（第</w:t>
      </w:r>
      <w:r>
        <w:rPr>
          <w:rFonts w:hint="eastAsia" w:ascii="宋体" w:hAnsi="宋体" w:eastAsia="宋体" w:cs="宋体"/>
          <w:spacing w:val="-9"/>
          <w:position w:val="-1"/>
          <w:sz w:val="18"/>
          <w:szCs w:val="18"/>
        </w:rPr>
        <w:t>1</w:t>
      </w:r>
      <w:r>
        <w:rPr>
          <w:rFonts w:hint="eastAsia" w:ascii="宋体" w:hAnsi="宋体" w:eastAsia="宋体" w:cs="宋体"/>
          <w:spacing w:val="-9"/>
          <w:sz w:val="18"/>
          <w:szCs w:val="18"/>
        </w:rPr>
        <w:t>卷）[M]</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北京：人民出版社，2004:871</w:t>
      </w:r>
      <w:r>
        <w:rPr>
          <w:rFonts w:hint="eastAsia" w:ascii="宋体" w:hAnsi="宋体" w:eastAsia="宋体" w:cs="宋体"/>
          <w:spacing w:val="-9"/>
          <w:position w:val="-1"/>
          <w:sz w:val="18"/>
          <w:szCs w:val="18"/>
        </w:rPr>
        <w:t>.</w:t>
      </w:r>
    </w:p>
  </w:footnote>
  <w:footnote w:id="1407">
    <w:p w14:paraId="47477131">
      <w:pPr>
        <w:pStyle w:val="11"/>
        <w:keepNext w:val="0"/>
        <w:keepLines w:val="0"/>
        <w:pageBreakBefore w:val="0"/>
        <w:widowControl/>
        <w:kinsoku w:val="0"/>
        <w:wordWrap/>
        <w:overflowPunct/>
        <w:topLinePunct w:val="0"/>
        <w:bidi w:val="0"/>
        <w:adjustRightInd w:val="0"/>
        <w:snapToGrid w:val="0"/>
        <w:spacing w:line="240" w:lineRule="auto"/>
        <w:ind w:left="0" w:right="0" w:firstLine="0" w:firstLineChars="0"/>
        <w:textAlignment w:val="baseline"/>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9"/>
          <w:sz w:val="18"/>
          <w:szCs w:val="18"/>
        </w:rPr>
        <w:t>马克思</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资本论（第</w:t>
      </w:r>
      <w:r>
        <w:rPr>
          <w:rFonts w:hint="eastAsia" w:ascii="宋体" w:hAnsi="宋体" w:eastAsia="宋体" w:cs="宋体"/>
          <w:spacing w:val="-9"/>
          <w:position w:val="-1"/>
          <w:sz w:val="18"/>
          <w:szCs w:val="18"/>
        </w:rPr>
        <w:t>1</w:t>
      </w:r>
      <w:r>
        <w:rPr>
          <w:rFonts w:hint="eastAsia" w:ascii="宋体" w:hAnsi="宋体" w:eastAsia="宋体" w:cs="宋体"/>
          <w:spacing w:val="-9"/>
          <w:sz w:val="18"/>
          <w:szCs w:val="18"/>
        </w:rPr>
        <w:t>卷）[M]</w:t>
      </w:r>
      <w:r>
        <w:rPr>
          <w:rFonts w:hint="eastAsia" w:ascii="宋体" w:hAnsi="宋体" w:eastAsia="宋体" w:cs="宋体"/>
          <w:spacing w:val="-9"/>
          <w:position w:val="-1"/>
          <w:sz w:val="18"/>
          <w:szCs w:val="18"/>
        </w:rPr>
        <w:t>.</w:t>
      </w:r>
      <w:r>
        <w:rPr>
          <w:rFonts w:hint="eastAsia" w:ascii="宋体" w:hAnsi="宋体" w:eastAsia="宋体" w:cs="宋体"/>
          <w:spacing w:val="-9"/>
          <w:sz w:val="18"/>
          <w:szCs w:val="18"/>
        </w:rPr>
        <w:t>北京：人民出版社，2004:871</w:t>
      </w:r>
      <w:r>
        <w:rPr>
          <w:rFonts w:hint="eastAsia" w:ascii="宋体" w:hAnsi="宋体" w:eastAsia="宋体" w:cs="宋体"/>
          <w:spacing w:val="-9"/>
          <w:position w:val="-1"/>
          <w:sz w:val="18"/>
          <w:szCs w:val="18"/>
        </w:rPr>
        <w:t>.</w:t>
      </w:r>
    </w:p>
  </w:footnote>
  <w:footnote w:id="1408">
    <w:p w14:paraId="1E1D57EC">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Fonts w:hint="eastAsia" w:ascii="宋体" w:hAnsi="宋体" w:eastAsia="宋体" w:cs="宋体"/>
          <w:sz w:val="18"/>
          <w:szCs w:val="18"/>
        </w:rPr>
        <w:footnoteRef/>
      </w:r>
      <w:r>
        <w:rPr>
          <w:rFonts w:hint="eastAsia" w:ascii="宋体" w:hAnsi="宋体" w:eastAsia="宋体" w:cs="宋体"/>
          <w:sz w:val="18"/>
          <w:szCs w:val="18"/>
        </w:rPr>
        <w:t xml:space="preserve"> 〔加〕尼克·斯尔尼塞克:《平台资本主义》,程水英译,广州:广东人民出版社:2018年,第41-102页。</w:t>
      </w:r>
    </w:p>
  </w:footnote>
  <w:footnote w:id="1409">
    <w:p w14:paraId="1EEF5C0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〔英〕克里斯蒂安·福克斯:《数字劳动与卡尔·马克思》,周延云译,北京:人民出版社:2020年,第321-376页。</w:t>
      </w:r>
    </w:p>
  </w:footnote>
  <w:footnote w:id="1410">
    <w:p w14:paraId="0A6F536B">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rPr>
        <w:footnoteRef/>
      </w:r>
      <w:r>
        <w:rPr>
          <w:rFonts w:hint="eastAsia" w:ascii="宋体" w:hAnsi="宋体" w:eastAsia="宋体" w:cs="宋体"/>
          <w:sz w:val="18"/>
          <w:szCs w:val="18"/>
          <w:lang w:val="en-US" w:eastAsia="zh-CN"/>
        </w:rPr>
        <w:t xml:space="preserve"> 邱海平、曾悦梅:《零工劳动与当代资本主义生产方式———劳动力商品化理论视角》,《政治经济学评论》2023年第5 期。</w:t>
      </w:r>
    </w:p>
  </w:footnote>
  <w:footnote w:id="1411">
    <w:p w14:paraId="3DD895A2">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吴静:《算法吸纳视域下数字时代劳动新探》,《华中科技大学学报(社会科学版)》2022年第4期。</w:t>
      </w:r>
    </w:p>
  </w:footnote>
  <w:footnote w:id="1412">
    <w:p w14:paraId="26546F93">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footnoteRef/>
      </w:r>
      <w:r>
        <w:rPr>
          <w:rFonts w:hint="eastAsia" w:ascii="宋体" w:hAnsi="宋体" w:eastAsia="宋体" w:cs="宋体"/>
          <w:sz w:val="18"/>
          <w:szCs w:val="18"/>
          <w:lang w:val="en-US" w:eastAsia="zh-CN"/>
        </w:rPr>
        <w:t xml:space="preserve"> 赵华美、刘凤义:《数字经济时代资本主义私有制实现形式新样态及其批判》,《学术探索》2024年第6期。</w:t>
      </w:r>
    </w:p>
  </w:footnote>
  <w:footnote w:id="1413">
    <w:p w14:paraId="32B40682">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footnoteRef/>
      </w:r>
      <w:r>
        <w:rPr>
          <w:rFonts w:hint="eastAsia" w:ascii="宋体" w:hAnsi="宋体" w:eastAsia="宋体" w:cs="宋体"/>
          <w:sz w:val="18"/>
          <w:szCs w:val="18"/>
          <w:lang w:val="en-US" w:eastAsia="zh-CN"/>
        </w:rPr>
        <w:t xml:space="preserve"> 王岩、熊峰:《数字经济时代马克思所有制理论的新命题———基于数据所有权问题的研究》,《马克思主义与现实》</w:t>
      </w:r>
    </w:p>
  </w:footnote>
  <w:footnote w:id="1414">
    <w:p w14:paraId="708C335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footnoteRef/>
      </w:r>
      <w:r>
        <w:rPr>
          <w:rFonts w:hint="eastAsia" w:ascii="宋体" w:hAnsi="宋体" w:eastAsia="宋体" w:cs="宋体"/>
          <w:sz w:val="18"/>
          <w:szCs w:val="18"/>
          <w:lang w:val="en-US" w:eastAsia="zh-CN"/>
        </w:rPr>
        <w:t xml:space="preserve"> 汤瑭:《数字资本的“生成性剥削”:现实表征、运作机理及解构路径》,《中国地质大学学报(社会科学版)》2025年第2期。</w:t>
      </w:r>
    </w:p>
  </w:footnote>
  <w:footnote w:id="1415">
    <w:p w14:paraId="623BEA40">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footnoteRef/>
      </w:r>
      <w:r>
        <w:rPr>
          <w:rFonts w:hint="eastAsia" w:ascii="宋体" w:hAnsi="宋体" w:eastAsia="宋体" w:cs="宋体"/>
          <w:sz w:val="18"/>
          <w:szCs w:val="18"/>
          <w:lang w:val="en-US" w:eastAsia="zh-CN"/>
        </w:rPr>
        <w:t xml:space="preserve"> 何爱平、李清华:《数字资本价值运动全球化扩张逻辑的空间批判———基于马克思世界市场理论的分析》,《经济学家》2024年第7期。</w:t>
      </w:r>
    </w:p>
  </w:footnote>
  <w:footnote w:id="1416">
    <w:p w14:paraId="4011CEB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footnoteRef/>
      </w:r>
      <w:r>
        <w:rPr>
          <w:rFonts w:hint="eastAsia" w:ascii="宋体" w:hAnsi="宋体" w:eastAsia="宋体" w:cs="宋体"/>
          <w:sz w:val="18"/>
          <w:szCs w:val="18"/>
          <w:lang w:val="en-US" w:eastAsia="zh-CN"/>
        </w:rPr>
        <w:t xml:space="preserve"> 李宝伟、张云、孙尧:《数字经济与当代资本主义:演化逻辑、内在矛盾与全球挑战》,《政治经济学评论》2025年第3 期。</w:t>
      </w:r>
    </w:p>
    <w:p w14:paraId="35D2A22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417">
    <w:p w14:paraId="6A7C90D1">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《马克思恩格斯文集》第5卷，北京：人民出版社，2009年，第</w:t>
      </w:r>
      <w:r>
        <w:rPr>
          <w:rFonts w:hint="eastAsia" w:ascii="宋体" w:hAnsi="宋体" w:eastAsia="宋体" w:cs="宋体"/>
          <w:sz w:val="18"/>
          <w:szCs w:val="18"/>
          <w:lang w:val="en-US" w:eastAsia="zh-CN"/>
        </w:rPr>
        <w:t>209</w:t>
      </w:r>
      <w:r>
        <w:rPr>
          <w:rFonts w:hint="eastAsia" w:ascii="宋体" w:hAnsi="宋体" w:eastAsia="宋体" w:cs="宋体"/>
          <w:sz w:val="18"/>
          <w:szCs w:val="18"/>
        </w:rPr>
        <w:t>页</w:t>
      </w:r>
    </w:p>
  </w:footnote>
  <w:footnote w:id="1418">
    <w:p w14:paraId="51CA4F31">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Style w:val="20"/>
          <w:rFonts w:hint="eastAsia" w:ascii="宋体" w:hAnsi="宋体" w:eastAsia="宋体" w:cs="宋体"/>
          <w:sz w:val="18"/>
          <w:szCs w:val="18"/>
          <w:vertAlign w:val="baseline"/>
        </w:rPr>
        <w:t>《马克思恩格斯文集》第5卷，北京：人民出版社，2009年，第</w:t>
      </w:r>
      <w:r>
        <w:rPr>
          <w:rStyle w:val="20"/>
          <w:rFonts w:hint="eastAsia" w:ascii="宋体" w:hAnsi="宋体" w:eastAsia="宋体" w:cs="宋体"/>
          <w:sz w:val="18"/>
          <w:szCs w:val="18"/>
          <w:vertAlign w:val="baseline"/>
          <w:lang w:val="en-US" w:eastAsia="zh-CN"/>
        </w:rPr>
        <w:t>707-819</w:t>
      </w:r>
      <w:r>
        <w:rPr>
          <w:rStyle w:val="20"/>
          <w:rFonts w:hint="eastAsia" w:ascii="宋体" w:hAnsi="宋体" w:eastAsia="宋体" w:cs="宋体"/>
          <w:sz w:val="18"/>
          <w:szCs w:val="18"/>
          <w:vertAlign w:val="baseline"/>
        </w:rPr>
        <w:t>页。</w:t>
      </w:r>
    </w:p>
  </w:footnote>
  <w:footnote w:id="1419">
    <w:p w14:paraId="0128249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《马克思恩格斯文集》第五卷,北京:人民出版社,2009年,第615页</w:t>
      </w:r>
      <w:r>
        <w:rPr>
          <w:rFonts w:hint="eastAsia" w:ascii="宋体" w:hAnsi="宋体" w:eastAsia="宋体" w:cs="宋体"/>
          <w:sz w:val="18"/>
          <w:szCs w:val="18"/>
          <w:lang w:eastAsia="zh-CN"/>
        </w:rPr>
        <w:t>。</w:t>
      </w:r>
    </w:p>
  </w:footnote>
  <w:footnote w:id="1420">
    <w:p w14:paraId="63F55E99">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《马克思恩格斯文集》第五卷,北京:人民出版社,2009年,第210页。</w:t>
      </w:r>
    </w:p>
  </w:footnote>
  <w:footnote w:id="1421">
    <w:p w14:paraId="75549675">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Style w:val="20"/>
          <w:rFonts w:hint="eastAsia" w:ascii="宋体" w:hAnsi="宋体" w:eastAsia="宋体" w:cs="宋体"/>
          <w:sz w:val="18"/>
          <w:szCs w:val="18"/>
          <w:vertAlign w:val="baseline"/>
        </w:rPr>
        <w:t>《马克思恩格斯文集》第5卷，北京：人民出版社，2009年，第</w:t>
      </w:r>
      <w:r>
        <w:rPr>
          <w:rFonts w:hint="eastAsia" w:ascii="宋体" w:hAnsi="宋体" w:eastAsia="宋体" w:cs="宋体"/>
          <w:sz w:val="18"/>
          <w:szCs w:val="18"/>
          <w:vertAlign w:val="baseline"/>
          <w:lang w:val="en-US" w:eastAsia="zh-CN"/>
        </w:rPr>
        <w:t>306</w:t>
      </w:r>
      <w:r>
        <w:rPr>
          <w:rStyle w:val="20"/>
          <w:rFonts w:hint="eastAsia" w:ascii="宋体" w:hAnsi="宋体" w:eastAsia="宋体" w:cs="宋体"/>
          <w:sz w:val="18"/>
          <w:szCs w:val="18"/>
          <w:vertAlign w:val="baseline"/>
        </w:rPr>
        <w:t>页。</w:t>
      </w:r>
    </w:p>
  </w:footnote>
  <w:footnote w:id="1422">
    <w:p w14:paraId="523CDDCD">
      <w:pPr>
        <w:pStyle w:val="11"/>
        <w:keepNext w:val="0"/>
        <w:keepLines w:val="0"/>
        <w:pageBreakBefore w:val="0"/>
        <w:topLinePunct w:val="0"/>
        <w:bidi w:val="0"/>
        <w:snapToGrid w:val="0"/>
        <w:spacing w:line="240" w:lineRule="auto"/>
        <w:ind w:left="0" w:right="0" w:firstLine="0" w:firstLineChars="0"/>
        <w:rPr>
          <w:rStyle w:val="20"/>
          <w:rFonts w:hint="eastAsia" w:ascii="宋体" w:hAnsi="宋体" w:eastAsia="宋体" w:cs="宋体"/>
          <w:sz w:val="18"/>
          <w:szCs w:val="18"/>
          <w:vertAlign w:val="baseline"/>
        </w:rPr>
      </w:pPr>
      <w:r>
        <w:rPr>
          <w:rStyle w:val="20"/>
          <w:rFonts w:hint="eastAsia" w:ascii="宋体" w:hAnsi="宋体" w:eastAsia="宋体" w:cs="宋体"/>
          <w:sz w:val="18"/>
          <w:szCs w:val="18"/>
          <w:vertAlign w:val="baseline"/>
        </w:rPr>
        <w:footnoteRef/>
      </w:r>
      <w:r>
        <w:rPr>
          <w:rStyle w:val="20"/>
          <w:rFonts w:hint="eastAsia" w:ascii="宋体" w:hAnsi="宋体" w:eastAsia="宋体" w:cs="宋体"/>
          <w:sz w:val="18"/>
          <w:szCs w:val="18"/>
          <w:vertAlign w:val="baseline"/>
        </w:rPr>
        <w:t xml:space="preserve"> 《马克思恩格斯文集》第5卷，北京：人民出版社，2009年，第</w:t>
      </w:r>
      <w:r>
        <w:rPr>
          <w:rStyle w:val="20"/>
          <w:rFonts w:hint="eastAsia" w:ascii="宋体" w:hAnsi="宋体" w:eastAsia="宋体" w:cs="宋体"/>
          <w:sz w:val="18"/>
          <w:szCs w:val="18"/>
          <w:vertAlign w:val="baseline"/>
          <w:lang w:val="en-US" w:eastAsia="zh-CN"/>
        </w:rPr>
        <w:t>632</w:t>
      </w:r>
      <w:r>
        <w:rPr>
          <w:rStyle w:val="20"/>
          <w:rFonts w:hint="eastAsia" w:ascii="宋体" w:hAnsi="宋体" w:eastAsia="宋体" w:cs="宋体"/>
          <w:sz w:val="18"/>
          <w:szCs w:val="18"/>
          <w:vertAlign w:val="baseline"/>
        </w:rPr>
        <w:t>页。</w:t>
      </w:r>
    </w:p>
  </w:footnote>
  <w:footnote w:id="1423">
    <w:p w14:paraId="31D38DA8">
      <w:pPr>
        <w:pStyle w:val="11"/>
        <w:keepNext w:val="0"/>
        <w:keepLines w:val="0"/>
        <w:pageBreakBefore w:val="0"/>
        <w:topLinePunct w:val="0"/>
        <w:bidi w:val="0"/>
        <w:snapToGrid w:val="0"/>
        <w:spacing w:line="240" w:lineRule="auto"/>
        <w:ind w:left="0" w:right="0" w:firstLine="0" w:firstLineChars="0"/>
        <w:rPr>
          <w:rStyle w:val="20"/>
          <w:rFonts w:hint="eastAsia" w:ascii="宋体" w:hAnsi="宋体" w:eastAsia="宋体" w:cs="宋体"/>
          <w:sz w:val="18"/>
          <w:szCs w:val="18"/>
          <w:vertAlign w:val="baseline"/>
        </w:rPr>
      </w:pPr>
      <w:r>
        <w:rPr>
          <w:rStyle w:val="20"/>
          <w:rFonts w:hint="eastAsia" w:ascii="宋体" w:hAnsi="宋体" w:eastAsia="宋体" w:cs="宋体"/>
          <w:sz w:val="18"/>
          <w:szCs w:val="18"/>
          <w:vertAlign w:val="baseline"/>
        </w:rPr>
        <w:footnoteRef/>
      </w:r>
      <w:r>
        <w:rPr>
          <w:rStyle w:val="20"/>
          <w:rFonts w:hint="eastAsia" w:ascii="宋体" w:hAnsi="宋体" w:eastAsia="宋体" w:cs="宋体"/>
          <w:sz w:val="18"/>
          <w:szCs w:val="18"/>
          <w:vertAlign w:val="baseline"/>
        </w:rPr>
        <w:t xml:space="preserve"> 《马克思恩格斯文集》第</w:t>
      </w:r>
      <w:r>
        <w:rPr>
          <w:rStyle w:val="20"/>
          <w:rFonts w:hint="eastAsia" w:ascii="宋体" w:hAnsi="宋体" w:eastAsia="宋体" w:cs="宋体"/>
          <w:sz w:val="18"/>
          <w:szCs w:val="18"/>
          <w:vertAlign w:val="baseline"/>
          <w:lang w:val="en-US" w:eastAsia="zh-CN"/>
        </w:rPr>
        <w:t>6</w:t>
      </w:r>
      <w:r>
        <w:rPr>
          <w:rStyle w:val="20"/>
          <w:rFonts w:hint="eastAsia" w:ascii="宋体" w:hAnsi="宋体" w:eastAsia="宋体" w:cs="宋体"/>
          <w:sz w:val="18"/>
          <w:szCs w:val="18"/>
          <w:vertAlign w:val="baseline"/>
        </w:rPr>
        <w:t>卷，北京：人民出版社，2009年，第</w:t>
      </w:r>
      <w:r>
        <w:rPr>
          <w:rStyle w:val="20"/>
          <w:rFonts w:hint="eastAsia" w:ascii="宋体" w:hAnsi="宋体" w:eastAsia="宋体" w:cs="宋体"/>
          <w:sz w:val="18"/>
          <w:szCs w:val="18"/>
          <w:vertAlign w:val="baseline"/>
          <w:lang w:val="en-US" w:eastAsia="zh-CN"/>
        </w:rPr>
        <w:t>355</w:t>
      </w:r>
      <w:r>
        <w:rPr>
          <w:rStyle w:val="20"/>
          <w:rFonts w:hint="eastAsia" w:ascii="宋体" w:hAnsi="宋体" w:eastAsia="宋体" w:cs="宋体"/>
          <w:sz w:val="18"/>
          <w:szCs w:val="18"/>
          <w:vertAlign w:val="baseline"/>
        </w:rPr>
        <w:t>页。</w:t>
      </w:r>
    </w:p>
  </w:footnote>
  <w:footnote w:id="1424">
    <w:p w14:paraId="021E2E64">
      <w:pPr>
        <w:pStyle w:val="11"/>
        <w:keepNext w:val="0"/>
        <w:keepLines w:val="0"/>
        <w:pageBreakBefore w:val="0"/>
        <w:topLinePunct w:val="0"/>
        <w:bidi w:val="0"/>
        <w:snapToGrid w:val="0"/>
        <w:spacing w:line="240" w:lineRule="auto"/>
        <w:ind w:left="0" w:right="0" w:firstLine="0" w:firstLineChars="0"/>
        <w:rPr>
          <w:rStyle w:val="20"/>
          <w:rFonts w:hint="eastAsia" w:ascii="宋体" w:hAnsi="宋体" w:eastAsia="宋体" w:cs="宋体"/>
          <w:sz w:val="18"/>
          <w:szCs w:val="18"/>
          <w:vertAlign w:val="baseline"/>
        </w:rPr>
      </w:pPr>
      <w:r>
        <w:rPr>
          <w:rStyle w:val="20"/>
          <w:rFonts w:hint="eastAsia" w:ascii="宋体" w:hAnsi="宋体" w:eastAsia="宋体" w:cs="宋体"/>
          <w:sz w:val="18"/>
          <w:szCs w:val="18"/>
          <w:vertAlign w:val="baseline"/>
        </w:rPr>
        <w:footnoteRef/>
      </w:r>
      <w:r>
        <w:rPr>
          <w:rStyle w:val="20"/>
          <w:rFonts w:hint="eastAsia" w:ascii="宋体" w:hAnsi="宋体" w:eastAsia="宋体" w:cs="宋体"/>
          <w:sz w:val="18"/>
          <w:szCs w:val="18"/>
          <w:vertAlign w:val="baseline"/>
        </w:rPr>
        <w:t xml:space="preserve"> </w:t>
      </w:r>
      <w:r>
        <w:rPr>
          <w:rStyle w:val="20"/>
          <w:rFonts w:hint="eastAsia" w:ascii="宋体" w:hAnsi="宋体" w:eastAsia="宋体" w:cs="宋体"/>
          <w:sz w:val="18"/>
          <w:szCs w:val="18"/>
          <w:vertAlign w:val="baseline"/>
          <w:lang w:eastAsia="zh-CN"/>
        </w:rPr>
        <w:t>《</w:t>
      </w:r>
      <w:r>
        <w:rPr>
          <w:rStyle w:val="20"/>
          <w:rFonts w:hint="eastAsia" w:ascii="宋体" w:hAnsi="宋体" w:eastAsia="宋体" w:cs="宋体"/>
          <w:sz w:val="18"/>
          <w:szCs w:val="18"/>
          <w:vertAlign w:val="baseline"/>
        </w:rPr>
        <w:t>马克思恩格斯文集》第</w:t>
      </w:r>
      <w:r>
        <w:rPr>
          <w:rStyle w:val="20"/>
          <w:rFonts w:hint="eastAsia" w:ascii="宋体" w:hAnsi="宋体" w:eastAsia="宋体" w:cs="宋体"/>
          <w:sz w:val="18"/>
          <w:szCs w:val="18"/>
          <w:vertAlign w:val="baseline"/>
          <w:lang w:val="en-US" w:eastAsia="zh-CN"/>
        </w:rPr>
        <w:t>7</w:t>
      </w:r>
      <w:r>
        <w:rPr>
          <w:rStyle w:val="20"/>
          <w:rFonts w:hint="eastAsia" w:ascii="宋体" w:hAnsi="宋体" w:eastAsia="宋体" w:cs="宋体"/>
          <w:sz w:val="18"/>
          <w:szCs w:val="18"/>
          <w:vertAlign w:val="baseline"/>
        </w:rPr>
        <w:t>卷，北京：人民出版社，2009年，第</w:t>
      </w:r>
      <w:r>
        <w:rPr>
          <w:rStyle w:val="20"/>
          <w:rFonts w:hint="eastAsia" w:ascii="宋体" w:hAnsi="宋体" w:eastAsia="宋体" w:cs="宋体"/>
          <w:sz w:val="18"/>
          <w:szCs w:val="18"/>
          <w:vertAlign w:val="baseline"/>
          <w:lang w:val="en-US" w:eastAsia="zh-CN"/>
        </w:rPr>
        <w:t>927-928</w:t>
      </w:r>
      <w:r>
        <w:rPr>
          <w:rStyle w:val="20"/>
          <w:rFonts w:hint="eastAsia" w:ascii="宋体" w:hAnsi="宋体" w:eastAsia="宋体" w:cs="宋体"/>
          <w:sz w:val="18"/>
          <w:szCs w:val="18"/>
          <w:vertAlign w:val="baseline"/>
        </w:rPr>
        <w:t>页。</w:t>
      </w:r>
    </w:p>
  </w:footnote>
  <w:footnote w:id="1425">
    <w:p w14:paraId="0114BA93">
      <w:pPr>
        <w:pStyle w:val="11"/>
        <w:keepNext w:val="0"/>
        <w:keepLines w:val="0"/>
        <w:pageBreakBefore w:val="0"/>
        <w:topLinePunct w:val="0"/>
        <w:bidi w:val="0"/>
        <w:snapToGrid w:val="0"/>
        <w:spacing w:line="240" w:lineRule="auto"/>
        <w:ind w:left="0" w:right="0" w:firstLine="0" w:firstLineChars="0"/>
        <w:rPr>
          <w:rStyle w:val="20"/>
          <w:rFonts w:hint="eastAsia" w:ascii="宋体" w:hAnsi="宋体" w:eastAsia="宋体" w:cs="宋体"/>
          <w:sz w:val="18"/>
          <w:szCs w:val="18"/>
          <w:vertAlign w:val="baseline"/>
        </w:rPr>
      </w:pPr>
      <w:r>
        <w:rPr>
          <w:rStyle w:val="20"/>
          <w:rFonts w:hint="eastAsia" w:ascii="宋体" w:hAnsi="宋体" w:eastAsia="宋体" w:cs="宋体"/>
          <w:sz w:val="18"/>
          <w:szCs w:val="18"/>
          <w:vertAlign w:val="baseline"/>
        </w:rPr>
        <w:footnoteRef/>
      </w:r>
      <w:r>
        <w:rPr>
          <w:rStyle w:val="20"/>
          <w:rFonts w:hint="eastAsia" w:ascii="宋体" w:hAnsi="宋体" w:eastAsia="宋体" w:cs="宋体"/>
          <w:sz w:val="18"/>
          <w:szCs w:val="18"/>
          <w:vertAlign w:val="baseline"/>
        </w:rPr>
        <w:t xml:space="preserve"> </w:t>
      </w:r>
      <w:r>
        <w:rPr>
          <w:rStyle w:val="20"/>
          <w:rFonts w:hint="eastAsia" w:ascii="宋体" w:hAnsi="宋体" w:eastAsia="宋体" w:cs="宋体"/>
          <w:sz w:val="18"/>
          <w:szCs w:val="18"/>
          <w:vertAlign w:val="baseline"/>
          <w:lang w:eastAsia="zh-CN"/>
        </w:rPr>
        <w:t>《</w:t>
      </w:r>
      <w:r>
        <w:rPr>
          <w:rStyle w:val="20"/>
          <w:rFonts w:hint="eastAsia" w:ascii="宋体" w:hAnsi="宋体" w:eastAsia="宋体" w:cs="宋体"/>
          <w:sz w:val="18"/>
          <w:szCs w:val="18"/>
          <w:vertAlign w:val="baseline"/>
        </w:rPr>
        <w:t>马克思恩格斯文集》第</w:t>
      </w:r>
      <w:r>
        <w:rPr>
          <w:rStyle w:val="20"/>
          <w:rFonts w:hint="eastAsia" w:ascii="宋体" w:hAnsi="宋体" w:eastAsia="宋体" w:cs="宋体"/>
          <w:sz w:val="18"/>
          <w:szCs w:val="18"/>
          <w:vertAlign w:val="baseline"/>
          <w:lang w:val="en-US" w:eastAsia="zh-CN"/>
        </w:rPr>
        <w:t>6</w:t>
      </w:r>
      <w:r>
        <w:rPr>
          <w:rStyle w:val="20"/>
          <w:rFonts w:hint="eastAsia" w:ascii="宋体" w:hAnsi="宋体" w:eastAsia="宋体" w:cs="宋体"/>
          <w:sz w:val="18"/>
          <w:szCs w:val="18"/>
          <w:vertAlign w:val="baseline"/>
        </w:rPr>
        <w:t>卷，北京：人民出版社，2009年，第</w:t>
      </w:r>
      <w:r>
        <w:rPr>
          <w:rStyle w:val="20"/>
          <w:rFonts w:hint="eastAsia" w:ascii="宋体" w:hAnsi="宋体" w:eastAsia="宋体" w:cs="宋体"/>
          <w:sz w:val="18"/>
          <w:szCs w:val="18"/>
          <w:vertAlign w:val="baseline"/>
          <w:lang w:val="en-US" w:eastAsia="zh-CN"/>
        </w:rPr>
        <w:t>68</w:t>
      </w:r>
      <w:r>
        <w:rPr>
          <w:rStyle w:val="20"/>
          <w:rFonts w:hint="eastAsia" w:ascii="宋体" w:hAnsi="宋体" w:eastAsia="宋体" w:cs="宋体"/>
          <w:sz w:val="18"/>
          <w:szCs w:val="18"/>
          <w:vertAlign w:val="baseline"/>
        </w:rPr>
        <w:t>页。</w:t>
      </w:r>
    </w:p>
    <w:p w14:paraId="3B832FD5">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426">
    <w:p w14:paraId="69EFD10C">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eastAsia="zh-CN"/>
        </w:rPr>
        <w:t>《</w:t>
      </w:r>
      <w:r>
        <w:rPr>
          <w:rStyle w:val="20"/>
          <w:rFonts w:hint="eastAsia" w:ascii="宋体" w:hAnsi="宋体" w:eastAsia="宋体" w:cs="宋体"/>
          <w:sz w:val="18"/>
          <w:szCs w:val="18"/>
          <w:vertAlign w:val="baseline"/>
        </w:rPr>
        <w:t>马克思恩格斯文集》第</w:t>
      </w:r>
      <w:r>
        <w:rPr>
          <w:rFonts w:hint="eastAsia" w:ascii="宋体" w:hAnsi="宋体" w:eastAsia="宋体" w:cs="宋体"/>
          <w:sz w:val="18"/>
          <w:szCs w:val="18"/>
          <w:vertAlign w:val="baseline"/>
          <w:lang w:val="en-US" w:eastAsia="zh-CN"/>
        </w:rPr>
        <w:t>8</w:t>
      </w:r>
      <w:r>
        <w:rPr>
          <w:rStyle w:val="20"/>
          <w:rFonts w:hint="eastAsia" w:ascii="宋体" w:hAnsi="宋体" w:eastAsia="宋体" w:cs="宋体"/>
          <w:sz w:val="18"/>
          <w:szCs w:val="18"/>
          <w:vertAlign w:val="baseline"/>
        </w:rPr>
        <w:t>卷，北京：人民出版社，2009年，第</w:t>
      </w:r>
      <w:r>
        <w:rPr>
          <w:rFonts w:hint="eastAsia" w:ascii="宋体" w:hAnsi="宋体" w:eastAsia="宋体" w:cs="宋体"/>
          <w:sz w:val="18"/>
          <w:szCs w:val="18"/>
          <w:vertAlign w:val="baseline"/>
          <w:lang w:val="en-US" w:eastAsia="zh-CN"/>
        </w:rPr>
        <w:t>169</w:t>
      </w:r>
      <w:r>
        <w:rPr>
          <w:rStyle w:val="20"/>
          <w:rFonts w:hint="eastAsia" w:ascii="宋体" w:hAnsi="宋体" w:eastAsia="宋体" w:cs="宋体"/>
          <w:sz w:val="18"/>
          <w:szCs w:val="18"/>
          <w:vertAlign w:val="baseline"/>
        </w:rPr>
        <w:t>页。</w:t>
      </w:r>
    </w:p>
    <w:p w14:paraId="45BC7C7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427">
    <w:p w14:paraId="297148A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Style w:val="20"/>
          <w:rFonts w:hint="eastAsia" w:ascii="宋体" w:hAnsi="宋体" w:eastAsia="宋体" w:cs="宋体"/>
          <w:sz w:val="18"/>
          <w:szCs w:val="18"/>
          <w:vertAlign w:val="baseline"/>
          <w:lang w:eastAsia="zh-CN"/>
        </w:rPr>
        <w:t>《</w:t>
      </w:r>
      <w:r>
        <w:rPr>
          <w:rStyle w:val="20"/>
          <w:rFonts w:hint="eastAsia" w:ascii="宋体" w:hAnsi="宋体" w:eastAsia="宋体" w:cs="宋体"/>
          <w:sz w:val="18"/>
          <w:szCs w:val="18"/>
          <w:vertAlign w:val="baseline"/>
        </w:rPr>
        <w:t>马克思恩格斯文集》第</w:t>
      </w:r>
      <w:r>
        <w:rPr>
          <w:rFonts w:hint="eastAsia" w:ascii="宋体" w:hAnsi="宋体" w:eastAsia="宋体" w:cs="宋体"/>
          <w:sz w:val="18"/>
          <w:szCs w:val="18"/>
          <w:vertAlign w:val="baseline"/>
          <w:lang w:val="en-US" w:eastAsia="zh-CN"/>
        </w:rPr>
        <w:t>5</w:t>
      </w:r>
      <w:r>
        <w:rPr>
          <w:rStyle w:val="20"/>
          <w:rFonts w:hint="eastAsia" w:ascii="宋体" w:hAnsi="宋体" w:eastAsia="宋体" w:cs="宋体"/>
          <w:sz w:val="18"/>
          <w:szCs w:val="18"/>
          <w:vertAlign w:val="baseline"/>
        </w:rPr>
        <w:t>卷，北京：人民出版社，2009年，第</w:t>
      </w:r>
      <w:r>
        <w:rPr>
          <w:rFonts w:hint="eastAsia" w:ascii="宋体" w:hAnsi="宋体" w:eastAsia="宋体" w:cs="宋体"/>
          <w:sz w:val="18"/>
          <w:szCs w:val="18"/>
          <w:vertAlign w:val="baseline"/>
          <w:lang w:val="en-US" w:eastAsia="zh-CN"/>
        </w:rPr>
        <w:t>743</w:t>
      </w:r>
      <w:r>
        <w:rPr>
          <w:rStyle w:val="20"/>
          <w:rFonts w:hint="eastAsia" w:ascii="宋体" w:hAnsi="宋体" w:eastAsia="宋体" w:cs="宋体"/>
          <w:sz w:val="18"/>
          <w:szCs w:val="18"/>
          <w:vertAlign w:val="baseline"/>
        </w:rPr>
        <w:t>页。</w:t>
      </w:r>
    </w:p>
  </w:footnote>
  <w:footnote w:id="1428">
    <w:p w14:paraId="1A706B51">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eastAsia="zh-CN"/>
        </w:rPr>
        <w:t>《</w:t>
      </w:r>
      <w:r>
        <w:rPr>
          <w:rFonts w:hint="eastAsia" w:ascii="宋体" w:hAnsi="宋体" w:eastAsia="宋体" w:cs="宋体"/>
          <w:sz w:val="18"/>
          <w:szCs w:val="18"/>
          <w:vertAlign w:val="baseline"/>
          <w:lang w:val="en-US" w:eastAsia="zh-CN"/>
        </w:rPr>
        <w:t>中央农村工作会议在京召开 习近平对做好“三农”工作作出重要指示</w:t>
      </w:r>
      <w:r>
        <w:rPr>
          <w:rFonts w:hint="eastAsia" w:ascii="宋体" w:hAnsi="宋体" w:eastAsia="宋体" w:cs="宋体"/>
          <w:sz w:val="18"/>
          <w:szCs w:val="18"/>
          <w:lang w:eastAsia="zh-CN"/>
        </w:rPr>
        <w:t>》</w:t>
      </w:r>
      <w:r>
        <w:rPr>
          <w:rFonts w:hint="eastAsia" w:ascii="宋体" w:hAnsi="宋体" w:eastAsia="宋体" w:cs="宋体"/>
          <w:sz w:val="18"/>
          <w:szCs w:val="18"/>
          <w:vertAlign w:val="baseline"/>
          <w:lang w:val="en-US" w:eastAsia="zh-CN"/>
        </w:rPr>
        <w:t>https://www.qstheory.cn/20251230/defe44f1d5b44aa38bdbbe6233d67e3a/c.html。</w:t>
      </w:r>
    </w:p>
  </w:footnote>
  <w:footnote w:id="1429">
    <w:p w14:paraId="2137C755">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中共中央关于进一步全面深化改革 推进中国式现代化的决定，北京：《人民日报》，2024年7月22日。</w:t>
      </w:r>
    </w:p>
  </w:footnote>
  <w:footnote w:id="1430">
    <w:p w14:paraId="54CD46F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中共中央关于制定国民经济和社会发展第十五个五年规划的建议，北京：《人民日报》，2025年10月29日。</w:t>
      </w:r>
    </w:p>
  </w:footnote>
  <w:footnote w:id="1431">
    <w:p w14:paraId="7E350FC2">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vertAlign w:val="superscript"/>
        </w:rPr>
        <w:footnoteRef/>
      </w:r>
      <w:r>
        <w:rPr>
          <w:rFonts w:hint="eastAsia" w:ascii="宋体" w:hAnsi="宋体" w:eastAsia="宋体" w:cs="宋体"/>
          <w:sz w:val="18"/>
          <w:szCs w:val="18"/>
          <w:vertAlign w:val="superscript"/>
          <w:lang w:val="en-US" w:eastAsia="zh-CN"/>
        </w:rPr>
        <w:t xml:space="preserve"> </w:t>
      </w:r>
      <w:r>
        <w:rPr>
          <w:rFonts w:hint="eastAsia" w:ascii="宋体" w:hAnsi="宋体" w:eastAsia="宋体" w:cs="宋体"/>
          <w:sz w:val="18"/>
          <w:szCs w:val="18"/>
          <w:vertAlign w:val="baseline"/>
          <w:lang w:val="en-US" w:eastAsia="zh-CN"/>
        </w:rPr>
        <w:t>习近平.论“三农”工作[M].北京：中央文献出版社，2022.</w:t>
      </w:r>
    </w:p>
  </w:footnote>
  <w:footnote w:id="1432">
    <w:p w14:paraId="5814936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中共中央关于制定国民经济和社会发展第十五个五年规划的建议，北京：《人民日报》，2025年10月29日。</w:t>
      </w:r>
    </w:p>
  </w:footnote>
  <w:footnote w:id="1433">
    <w:p w14:paraId="139E0E1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数据来源：《中国农业统计资料：2012》。</w:t>
      </w:r>
    </w:p>
  </w:footnote>
  <w:footnote w:id="1434">
    <w:p w14:paraId="2D7FDAEC">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数据来源：《中国农村政策与改革统计年报（2023年）》。</w:t>
      </w:r>
    </w:p>
  </w:footnote>
  <w:footnote w:id="1435">
    <w:p w14:paraId="4A864225">
      <w:pPr>
        <w:pStyle w:val="11"/>
        <w:keepNext w:val="0"/>
        <w:keepLines w:val="0"/>
        <w:pageBreakBefore w:val="0"/>
        <w:widowControl w:val="0"/>
        <w:kinsoku w:val="0"/>
        <w:wordWrap w:val="0"/>
        <w:overflowPunct w:val="0"/>
        <w:topLinePunct w:val="0"/>
        <w:autoSpaceDE w:val="0"/>
        <w:autoSpaceDN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highlight w:val="none"/>
          <w:vertAlign w:val="baseline"/>
          <w:lang w:val="en-US" w:eastAsia="zh-CN"/>
        </w:rPr>
        <w:t>马克思恩格斯文集：第1卷[M].北京：人民出版社，2009.</w:t>
      </w:r>
    </w:p>
  </w:footnote>
  <w:footnote w:id="1436">
    <w:p w14:paraId="280BBD1E">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highlight w:val="none"/>
          <w:vertAlign w:val="baseline"/>
          <w:lang w:val="en-US" w:eastAsia="zh-CN"/>
        </w:rPr>
        <w:t>马克思,恩格斯.共产党宣言[M].北京：人民出版社，2018.</w:t>
      </w:r>
    </w:p>
  </w:footnote>
  <w:footnote w:id="1437">
    <w:p w14:paraId="44F1CF2C">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习近平关于城市工作论述摘编[M].北京：中央文献出版社，2023.</w:t>
      </w:r>
    </w:p>
  </w:footnote>
  <w:footnote w:id="1438">
    <w:p w14:paraId="3DD0D0DA">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 xml:space="preserve"> </w:t>
      </w:r>
      <w:r>
        <w:rPr>
          <w:rFonts w:hint="eastAsia" w:ascii="宋体" w:hAnsi="宋体" w:eastAsia="宋体" w:cs="宋体"/>
          <w:sz w:val="18"/>
          <w:szCs w:val="18"/>
          <w:vertAlign w:val="baseline"/>
          <w:lang w:val="en-US" w:eastAsia="zh-CN"/>
        </w:rPr>
        <w:t>[德]卡尔·马克思.资本论：第1卷[M].北京：人民出版社，2018.</w:t>
      </w:r>
    </w:p>
  </w:footnote>
  <w:footnote w:id="1439">
    <w:p w14:paraId="4CCC8F2E">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董瑞昶,刘岩.农村集体经济组织何以促进城乡要素流动[J].中国农业大学学报(社会科学版),2025,42(05):174-189.</w:t>
      </w:r>
    </w:p>
  </w:footnote>
  <w:footnote w:id="1440">
    <w:p w14:paraId="59C25985">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黄旭东,冉光仙.城乡“关系”的建构、形塑与共美——马克思恩格斯城乡关系论述对当代中国乡村振兴的启示[J].贵州社会科学,2020,(12):11-17.</w:t>
      </w:r>
    </w:p>
  </w:footnote>
  <w:footnote w:id="1441">
    <w:p w14:paraId="6646A5E4">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vertAlign w:val="baseline"/>
        </w:rPr>
        <w:t xml:space="preserve"> [法]亨利・列斐伏尔</w:t>
      </w:r>
      <w:r>
        <w:rPr>
          <w:rFonts w:hint="eastAsia" w:ascii="宋体" w:hAnsi="宋体" w:eastAsia="宋体" w:cs="宋体"/>
          <w:sz w:val="18"/>
          <w:szCs w:val="18"/>
          <w:vertAlign w:val="baseline"/>
          <w:lang w:val="en-US" w:eastAsia="zh-CN"/>
        </w:rPr>
        <w:t>.</w:t>
      </w:r>
      <w:r>
        <w:rPr>
          <w:rFonts w:hint="eastAsia" w:ascii="宋体" w:hAnsi="宋体" w:eastAsia="宋体" w:cs="宋体"/>
          <w:sz w:val="18"/>
          <w:szCs w:val="18"/>
          <w:vertAlign w:val="baseline"/>
        </w:rPr>
        <w:t>空间的生产[M].刘怀玉</w:t>
      </w:r>
      <w:r>
        <w:rPr>
          <w:rFonts w:hint="eastAsia" w:ascii="宋体" w:hAnsi="宋体" w:eastAsia="宋体" w:cs="宋体"/>
          <w:sz w:val="18"/>
          <w:szCs w:val="18"/>
          <w:vertAlign w:val="baseline"/>
          <w:lang w:val="en-US" w:eastAsia="zh-CN"/>
        </w:rPr>
        <w:t>，</w:t>
      </w:r>
      <w:r>
        <w:rPr>
          <w:rFonts w:hint="eastAsia" w:ascii="宋体" w:hAnsi="宋体" w:eastAsia="宋体" w:cs="宋体"/>
          <w:sz w:val="18"/>
          <w:szCs w:val="18"/>
          <w:vertAlign w:val="baseline"/>
        </w:rPr>
        <w:t>等译</w:t>
      </w:r>
      <w:r>
        <w:rPr>
          <w:rFonts w:hint="eastAsia" w:ascii="宋体" w:hAnsi="宋体" w:eastAsia="宋体" w:cs="宋体"/>
          <w:sz w:val="18"/>
          <w:szCs w:val="18"/>
          <w:vertAlign w:val="baseline"/>
          <w:lang w:val="en-US" w:eastAsia="zh-CN"/>
        </w:rPr>
        <w:t>.</w:t>
      </w:r>
      <w:r>
        <w:rPr>
          <w:rFonts w:hint="eastAsia" w:ascii="宋体" w:hAnsi="宋体" w:eastAsia="宋体" w:cs="宋体"/>
          <w:sz w:val="18"/>
          <w:szCs w:val="18"/>
          <w:vertAlign w:val="baseline"/>
        </w:rPr>
        <w:t>北京：商务印书馆，2021</w:t>
      </w:r>
      <w:r>
        <w:rPr>
          <w:rFonts w:hint="eastAsia" w:ascii="宋体" w:hAnsi="宋体" w:eastAsia="宋体" w:cs="宋体"/>
          <w:sz w:val="18"/>
          <w:szCs w:val="18"/>
          <w:vertAlign w:val="baseline"/>
          <w:lang w:val="en-US" w:eastAsia="zh-CN"/>
        </w:rPr>
        <w:t>:345</w:t>
      </w:r>
      <w:r>
        <w:rPr>
          <w:rFonts w:hint="eastAsia" w:ascii="宋体" w:hAnsi="宋体" w:eastAsia="宋体" w:cs="宋体"/>
          <w:sz w:val="18"/>
          <w:szCs w:val="18"/>
          <w:vertAlign w:val="baseline"/>
        </w:rPr>
        <w:t>.</w:t>
      </w:r>
    </w:p>
  </w:footnote>
  <w:footnote w:id="1442">
    <w:p w14:paraId="3E37E78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中国社会主义农业的改革和发展，从长远的观点看，要有两个飞跃。第一个飞跃，是废除人民公社，实行家庭联产承包为主的责任制。这是一个很大的前进，要长期坚持不变。第二个飞跃，是适应科学种田和生产社会化的需要，发展适度规模经营，发展集体经济。参见《邓小平文选》第3卷，人民出版社，1993年第355页。</w:t>
      </w:r>
    </w:p>
  </w:footnote>
  <w:footnote w:id="1443">
    <w:p w14:paraId="77C3DFA3">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rPr>
        <w:t>温铁军,罗士轩,马黎.资源特征、财政杠杆与新型集体经济重构[J].西南大学学报(社会科学版),2021,47(01):52-61+226.</w:t>
      </w:r>
    </w:p>
  </w:footnote>
  <w:footnote w:id="1444">
    <w:p w14:paraId="4EEC76F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杨爱君,陈彬.马克思共同体思想视域下的县域城乡融合:理论意涵与实践路径[J].海派经济学,2024,22(04):50-61.</w:t>
      </w:r>
    </w:p>
  </w:footnote>
  <w:footnote w:id="1445">
    <w:p w14:paraId="07D5D84E">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习近平著作选读：第1卷[M].北京：人民出版社，2023.</w:t>
      </w:r>
    </w:p>
  </w:footnote>
  <w:footnote w:id="1446">
    <w:p w14:paraId="568DCCC3">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龚云.新集体经济策论——“中国经济社会发展智库第6届高层论坛”综述[J].马克思主义研究,2012,(09):153-158+2+161.</w:t>
      </w:r>
    </w:p>
  </w:footnote>
  <w:footnote w:id="1447">
    <w:p w14:paraId="340BF15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数据来源：《中国农村政策与改革统计年报（2023年）》。</w:t>
      </w:r>
    </w:p>
  </w:footnote>
  <w:footnote w:id="1448">
    <w:p w14:paraId="674D3F2A">
      <w:pPr>
        <w:pStyle w:val="11"/>
        <w:keepNext w:val="0"/>
        <w:keepLines w:val="0"/>
        <w:pageBreakBefore w:val="0"/>
        <w:wordWrap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数据来源：《关于新阶段促进农民增收的思考与建议》https://zcggs.moa.gov.cn/zczc/202406/t20240625_6457781.htm。</w:t>
      </w:r>
    </w:p>
  </w:footnote>
  <w:footnote w:id="1449">
    <w:p w14:paraId="67BF5F7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数据来源：《中国农村政策与改革统计年报（2023年）》。</w:t>
      </w:r>
    </w:p>
  </w:footnote>
  <w:footnote w:id="1450">
    <w:p w14:paraId="365D5EF5">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高强,崔文超.从封闭到开放：城乡融合发展进程中的新型农村集体经济[J].南京农业大学学报(社会科学版),2023,23(05):2-12.</w:t>
      </w:r>
    </w:p>
  </w:footnote>
  <w:footnote w:id="1451">
    <w:p w14:paraId="78A81AC0">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数据来源：国家统计局.2024年农民工监测调查报告 https://www.stats.gov.cn/sj/zxfb/202504/t20250430_1959523.html。</w:t>
      </w:r>
    </w:p>
  </w:footnote>
  <w:footnote w:id="1452">
    <w:p w14:paraId="28364A9E">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rPr>
        <w:t>陈晓枫,李知霖.新型农村集体经济：发展特征、现实瓶颈与优化路径[J].政治经济学评论,2025,16(05):34-53.</w:t>
      </w:r>
    </w:p>
  </w:footnote>
  <w:footnote w:id="1453">
    <w:p w14:paraId="0386BE4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rPr>
        <w:t>中共中央国务院关于进一步深化农村改革</w:t>
      </w:r>
      <w:r>
        <w:rPr>
          <w:rFonts w:hint="eastAsia" w:ascii="宋体" w:hAnsi="宋体" w:eastAsia="宋体" w:cs="宋体"/>
          <w:sz w:val="18"/>
          <w:szCs w:val="18"/>
          <w:lang w:val="en-US" w:eastAsia="zh-CN"/>
        </w:rPr>
        <w:t xml:space="preserve"> </w:t>
      </w:r>
      <w:r>
        <w:rPr>
          <w:rFonts w:hint="eastAsia" w:ascii="宋体" w:hAnsi="宋体" w:eastAsia="宋体" w:cs="宋体"/>
          <w:sz w:val="18"/>
          <w:szCs w:val="18"/>
          <w:lang w:val="en-US"/>
        </w:rPr>
        <w:t>扎实推进乡村全面振兴的意见</w:t>
      </w:r>
      <w:r>
        <w:rPr>
          <w:rFonts w:hint="eastAsia" w:ascii="宋体" w:hAnsi="宋体" w:eastAsia="宋体" w:cs="宋体"/>
          <w:sz w:val="18"/>
          <w:szCs w:val="18"/>
          <w:lang w:val="en-US" w:eastAsia="zh-CN"/>
        </w:rPr>
        <w:t>，北京：《人民日报》，2025年2月24日。</w:t>
      </w:r>
    </w:p>
  </w:footnote>
  <w:footnote w:id="1454">
    <w:p w14:paraId="10D20E1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数据来源：再谈“三权”分置，北京：《经济日报》，2017年11月17日。</w:t>
      </w:r>
    </w:p>
  </w:footnote>
  <w:footnote w:id="1455">
    <w:p w14:paraId="6000751F">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运迪,贾则琴.共同富裕目标下的城乡融合:内在关联、现实困境和推进逻辑[J].新疆社会科学,2023,(06):156-166.</w:t>
      </w:r>
    </w:p>
  </w:footnote>
  <w:footnote w:id="1456">
    <w:p w14:paraId="2F33E227">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苏保忠,贾大猛.在促进城乡融合中推进县域经济高质量发展[J].人民论坛,2024,(18):31-35.</w:t>
      </w:r>
    </w:p>
  </w:footnote>
  <w:footnote w:id="1457">
    <w:p w14:paraId="2484AC8C">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余丽娟.新型农村集体经济:内涵特征、实践路径、发展限度——基于天津、山东、湖北三地的实地调查[J].农村经济,2021,(06):17-24.</w:t>
      </w:r>
    </w:p>
  </w:footnote>
  <w:footnote w:id="1458">
    <w:p w14:paraId="472696A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val="en-US"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val="en-US" w:eastAsia="zh-CN"/>
        </w:rPr>
        <w:t>数据来源：11.23亿网民如何共享数字发展成果？——透视第56次《中国互联网络发展状况统计报告》 http://society.people.com.cn/n1/2025/0722/c1008-40526894.html。</w:t>
      </w:r>
    </w:p>
  </w:footnote>
  <w:footnote w:id="1459">
    <w:p w14:paraId="57EE6C79">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 xml:space="preserve"> 陈健.新质生产力赋能新型农村集体经济的内在逻辑与路径优化[J].社会科学辑刊,2024,(05):61-69.</w:t>
      </w:r>
    </w:p>
  </w:footnote>
  <w:footnote w:id="1460">
    <w:p w14:paraId="773D7085">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张锦兰,何湾.新型农村集体经济促进农民共同富裕的内在逻辑与路径选择[J].探索,2023,(06):134-146.</w:t>
      </w:r>
    </w:p>
  </w:footnote>
  <w:footnote w:id="1461">
    <w:p w14:paraId="2FB32D19">
      <w:pPr>
        <w:pStyle w:val="11"/>
        <w:keepNext w:val="0"/>
        <w:keepLines w:val="0"/>
        <w:pageBreakBefore w:val="0"/>
        <w:widowControl w:val="0"/>
        <w:kinsoku w:val="0"/>
        <w:wordWrap w:val="0"/>
        <w:overflowPunct w:val="0"/>
        <w:topLinePunct w:val="0"/>
        <w:autoSpaceDE w:val="0"/>
        <w:autoSpaceDN w:val="0"/>
        <w:bidi w:val="0"/>
        <w:adjustRightInd/>
        <w:snapToGrid w:val="0"/>
        <w:spacing w:line="240" w:lineRule="auto"/>
        <w:ind w:left="0" w:right="0" w:firstLine="0" w:firstLineChars="0"/>
        <w:jc w:val="both"/>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highlight w:val="none"/>
          <w:vertAlign w:val="baseline"/>
          <w:lang w:val="en-US" w:eastAsia="zh-CN"/>
        </w:rPr>
        <w:t>马克思恩格斯选集：第4卷[M].北京：人民出版社，2012:371.</w:t>
      </w:r>
    </w:p>
  </w:footnote>
  <w:footnote w:id="1462">
    <w:p w14:paraId="4A703B11">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eastAsia="zh-CN"/>
        </w:rPr>
        <w:t>《中华人民共和国宪法》https://www.gov.cn/guoqing/2018-03/22/content_5276318.htm。</w:t>
      </w:r>
    </w:p>
  </w:footnote>
  <w:footnote w:id="1463">
    <w:p w14:paraId="37ADF43B">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lang w:eastAsia="zh-CN"/>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lang w:eastAsia="zh-CN"/>
        </w:rPr>
        <w:t>《</w:t>
      </w:r>
      <w:r>
        <w:rPr>
          <w:rFonts w:hint="eastAsia" w:ascii="宋体" w:hAnsi="宋体" w:eastAsia="宋体" w:cs="宋体"/>
          <w:sz w:val="18"/>
          <w:szCs w:val="18"/>
          <w:lang w:val="en-US" w:eastAsia="zh-CN"/>
        </w:rPr>
        <w:t>广东省新型农村集体经济发展促进条例</w:t>
      </w:r>
      <w:r>
        <w:rPr>
          <w:rFonts w:hint="eastAsia" w:ascii="宋体" w:hAnsi="宋体" w:eastAsia="宋体" w:cs="宋体"/>
          <w:sz w:val="18"/>
          <w:szCs w:val="18"/>
          <w:lang w:eastAsia="zh-CN"/>
        </w:rPr>
        <w:t>》</w:t>
      </w:r>
      <w:r>
        <w:rPr>
          <w:rFonts w:hint="eastAsia" w:ascii="宋体" w:hAnsi="宋体" w:eastAsia="宋体" w:cs="宋体"/>
          <w:sz w:val="18"/>
          <w:szCs w:val="18"/>
          <w:lang w:val="en-US" w:eastAsia="zh-CN"/>
        </w:rPr>
        <w:t>http://gdstc.gd.gov.cn/kjzx_n/gdkj_n/content/post_4611142.html。</w:t>
      </w:r>
    </w:p>
  </w:footnote>
  <w:footnote w:id="1464">
    <w:p w14:paraId="29FF6E25">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曾恒源,高强.新型农村集体经济促进农民农村共同富裕：理论逻辑、制度优势与实践路向[J].农业经济与管理,2023,(02):1-9.</w:t>
      </w:r>
    </w:p>
  </w:footnote>
  <w:footnote w:id="1465">
    <w:p w14:paraId="634B900D">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舒展,曾耀岚.发展新型农村集体经济：现实困境与可能路径[J].哈尔滨工业大学学报(社会科学版),2022,24(05):144-152.</w:t>
      </w:r>
    </w:p>
  </w:footnote>
  <w:footnote w:id="1466">
    <w:p w14:paraId="57D651A9">
      <w:pPr>
        <w:pStyle w:val="11"/>
        <w:keepNext w:val="0"/>
        <w:keepLines w:val="0"/>
        <w:pageBreakBefore w:val="0"/>
        <w:widowControl w:val="0"/>
        <w:kinsoku/>
        <w:wordWrap w:val="0"/>
        <w:overflowPunct/>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高鸣,魏佳朔,宋洪远.新型农村集体经济创新发展的战略构想与政策优化[J].改革,2021,(09):121-133.</w:t>
      </w:r>
    </w:p>
  </w:footnote>
  <w:footnote w:id="1467">
    <w:p w14:paraId="7B53FF6D">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李兰冰,高雪莲,黄玖立.“十四五”时期中国新型城镇化发展重大问题展望[J].管理世界,2020,36(11):7-22.</w:t>
      </w:r>
    </w:p>
  </w:footnote>
  <w:footnote w:id="1468">
    <w:p w14:paraId="1286213A">
      <w:pPr>
        <w:pStyle w:val="11"/>
        <w:keepNext w:val="0"/>
        <w:keepLines w:val="0"/>
        <w:pageBreakBefore w:val="0"/>
        <w:widowControl w:val="0"/>
        <w:kinsoku w:val="0"/>
        <w:wordWrap w:val="0"/>
        <w:overflowPunct w:val="0"/>
        <w:topLinePunct w:val="0"/>
        <w:autoSpaceDE w:val="0"/>
        <w:autoSpaceDN w:val="0"/>
        <w:bidi w:val="0"/>
        <w:adjustRightInd/>
        <w:snapToGrid w:val="0"/>
        <w:spacing w:line="240" w:lineRule="auto"/>
        <w:ind w:left="0" w:right="0" w:firstLine="0" w:firstLineChars="0"/>
        <w:jc w:val="both"/>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程恩富,罗玉辉.列宁土地国有化理论探究及其当代启示[J].政治经济学动态,2025,(01):3-18+222.</w:t>
      </w:r>
    </w:p>
  </w:footnote>
  <w:footnote w:id="1469">
    <w:p w14:paraId="27A86FF3">
      <w:pPr>
        <w:pStyle w:val="11"/>
        <w:keepNext w:val="0"/>
        <w:keepLines w:val="0"/>
        <w:pageBreakBefore w:val="0"/>
        <w:widowControl w:val="0"/>
        <w:kinsoku w:val="0"/>
        <w:wordWrap w:val="0"/>
        <w:overflowPunct w:val="0"/>
        <w:topLinePunct w:val="0"/>
        <w:autoSpaceDE w:val="0"/>
        <w:autoSpaceDN w:val="0"/>
        <w:bidi w:val="0"/>
        <w:adjustRightInd/>
        <w:snapToGrid w:val="0"/>
        <w:spacing w:line="240" w:lineRule="auto"/>
        <w:ind w:left="0" w:right="0" w:firstLine="0" w:firstLineChars="0"/>
        <w:jc w:val="both"/>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rPr>
        <w:t>谢地,李雪松.重振集体经济与推进乡村振兴[J].政治经济学研究,2020,(02):95-109.</w:t>
      </w:r>
    </w:p>
  </w:footnote>
  <w:footnote w:id="1470">
    <w:p w14:paraId="1B94BE35">
      <w:pPr>
        <w:pStyle w:val="11"/>
        <w:keepNext w:val="0"/>
        <w:keepLines w:val="0"/>
        <w:pageBreakBefore w:val="0"/>
        <w:widowControl w:val="0"/>
        <w:wordWrap w:val="0"/>
        <w:topLinePunct w:val="0"/>
        <w:bidi w:val="0"/>
        <w:adjustRightInd/>
        <w:snapToGrid w:val="0"/>
        <w:spacing w:line="240" w:lineRule="auto"/>
        <w:ind w:left="0" w:right="0" w:firstLine="0" w:firstLineChars="0"/>
        <w:textAlignment w:val="auto"/>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sz w:val="18"/>
          <w:szCs w:val="18"/>
          <w:vertAlign w:val="baseline"/>
          <w:lang w:val="en-US" w:eastAsia="zh-CN"/>
        </w:rPr>
        <w:t>习近平.习近平在亚太经合组织第二十九次领导人非正式会议上的讲话[M1.北京：人民出版社，2022:11.</w:t>
      </w:r>
    </w:p>
  </w:footnote>
  <w:footnote w:id="1471">
    <w:p w14:paraId="35489B87">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color w:val="231F20"/>
          <w:spacing w:val="1"/>
          <w:sz w:val="18"/>
          <w:szCs w:val="18"/>
        </w:rPr>
        <w:t>参见《习近平：在哲学社会科学工作座谈会上的讲话（全文）》，全国哲学社会科学工作办</w:t>
      </w:r>
      <w:r>
        <w:rPr>
          <w:rFonts w:hint="eastAsia" w:ascii="宋体" w:hAnsi="宋体" w:eastAsia="宋体" w:cs="宋体"/>
          <w:color w:val="231F20"/>
          <w:sz w:val="18"/>
          <w:szCs w:val="18"/>
        </w:rPr>
        <w:t>公室网站，</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"https://www.nopss.gov.cn/n1/2016/0519/c219468-28361739-4.html" </w:instrText>
      </w:r>
      <w:r>
        <w:rPr>
          <w:rFonts w:hint="eastAsia" w:ascii="宋体" w:hAnsi="宋体" w:eastAsia="宋体" w:cs="宋体"/>
          <w:sz w:val="18"/>
          <w:szCs w:val="18"/>
        </w:rPr>
        <w:fldChar w:fldCharType="separate"/>
      </w:r>
      <w:r>
        <w:rPr>
          <w:rFonts w:hint="eastAsia" w:ascii="宋体" w:hAnsi="宋体" w:eastAsia="宋体" w:cs="宋体"/>
          <w:color w:val="231F20"/>
          <w:sz w:val="18"/>
          <w:szCs w:val="18"/>
        </w:rPr>
        <w:t>https://www.nopss.gov.cn/n1/2016/</w:t>
      </w:r>
      <w:r>
        <w:rPr>
          <w:rFonts w:hint="eastAsia" w:ascii="宋体" w:hAnsi="宋体" w:eastAsia="宋体" w:cs="宋体"/>
          <w:color w:val="231F20"/>
          <w:sz w:val="18"/>
          <w:szCs w:val="18"/>
        </w:rPr>
        <w:fldChar w:fldCharType="end"/>
      </w:r>
      <w:r>
        <w:rPr>
          <w:rFonts w:hint="eastAsia" w:ascii="宋体" w:hAnsi="宋体" w:eastAsia="宋体" w:cs="宋体"/>
          <w:color w:val="231F20"/>
          <w:sz w:val="18"/>
          <w:szCs w:val="18"/>
        </w:rPr>
        <w:t xml:space="preserve">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"https://www.nopss.gov.cn/n1/2016/0519/c219468-28361739-4.html" </w:instrText>
      </w:r>
      <w:r>
        <w:rPr>
          <w:rFonts w:hint="eastAsia" w:ascii="宋体" w:hAnsi="宋体" w:eastAsia="宋体" w:cs="宋体"/>
          <w:sz w:val="18"/>
          <w:szCs w:val="18"/>
        </w:rPr>
        <w:fldChar w:fldCharType="separate"/>
      </w:r>
      <w:r>
        <w:rPr>
          <w:rFonts w:hint="eastAsia" w:ascii="宋体" w:hAnsi="宋体" w:eastAsia="宋体" w:cs="宋体"/>
          <w:color w:val="231F20"/>
          <w:spacing w:val="5"/>
          <w:sz w:val="18"/>
          <w:szCs w:val="18"/>
        </w:rPr>
        <w:t>0519/c219468-28361739-4.</w:t>
      </w:r>
      <w:r>
        <w:rPr>
          <w:rFonts w:hint="eastAsia" w:ascii="宋体" w:hAnsi="宋体" w:eastAsia="宋体" w:cs="宋体"/>
          <w:color w:val="231F20"/>
          <w:sz w:val="18"/>
          <w:szCs w:val="18"/>
        </w:rPr>
        <w:t>html</w:t>
      </w:r>
      <w:r>
        <w:rPr>
          <w:rFonts w:hint="eastAsia" w:ascii="宋体" w:hAnsi="宋体" w:eastAsia="宋体" w:cs="宋体"/>
          <w:color w:val="231F20"/>
          <w:sz w:val="18"/>
          <w:szCs w:val="18"/>
        </w:rPr>
        <w:fldChar w:fldCharType="end"/>
      </w:r>
      <w:r>
        <w:rPr>
          <w:rFonts w:hint="eastAsia" w:ascii="宋体" w:hAnsi="宋体" w:eastAsia="宋体" w:cs="宋体"/>
          <w:color w:val="231F20"/>
          <w:spacing w:val="5"/>
          <w:sz w:val="18"/>
          <w:szCs w:val="18"/>
        </w:rPr>
        <w:t>。</w:t>
      </w:r>
    </w:p>
  </w:footnote>
  <w:footnote w:id="1472">
    <w:p w14:paraId="1E20804A">
      <w:pPr>
        <w:pStyle w:val="6"/>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color w:val="231F20"/>
          <w:spacing w:val="6"/>
          <w:sz w:val="18"/>
          <w:szCs w:val="18"/>
        </w:rPr>
        <w:t>参见《习近平在省部级主要领导干部学习贯彻党的十九</w:t>
      </w:r>
      <w:r>
        <w:rPr>
          <w:rFonts w:hint="eastAsia" w:ascii="宋体" w:hAnsi="宋体" w:eastAsia="宋体" w:cs="宋体"/>
          <w:color w:val="231F20"/>
          <w:spacing w:val="5"/>
          <w:sz w:val="18"/>
          <w:szCs w:val="18"/>
        </w:rPr>
        <w:t>届六中全会精神专题研讨班开班式上发表重要讲话》，中国政府网，</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 </w:instrText>
      </w:r>
      <w:r>
        <w:rPr>
          <w:rFonts w:hint="eastAsia" w:ascii="宋体" w:hAnsi="宋体" w:eastAsia="宋体" w:cs="宋体"/>
          <w:sz w:val="18"/>
          <w:szCs w:val="18"/>
        </w:rPr>
        <w:fldChar w:fldCharType="separate"/>
      </w:r>
      <w:r>
        <w:rPr>
          <w:rFonts w:hint="eastAsia" w:ascii="宋体" w:hAnsi="宋体" w:eastAsia="宋体" w:cs="宋体"/>
          <w:color w:val="231F20"/>
          <w:sz w:val="18"/>
          <w:szCs w:val="18"/>
        </w:rPr>
        <w:t>https</w:t>
      </w:r>
      <w:r>
        <w:rPr>
          <w:rFonts w:hint="eastAsia" w:ascii="宋体" w:hAnsi="宋体" w:eastAsia="宋体" w:cs="宋体"/>
          <w:color w:val="231F20"/>
          <w:spacing w:val="5"/>
          <w:sz w:val="18"/>
          <w:szCs w:val="18"/>
        </w:rPr>
        <w:t>://</w:t>
      </w:r>
      <w:r>
        <w:rPr>
          <w:rFonts w:hint="eastAsia" w:ascii="宋体" w:hAnsi="宋体" w:eastAsia="宋体" w:cs="宋体"/>
          <w:color w:val="231F20"/>
          <w:spacing w:val="5"/>
          <w:sz w:val="18"/>
          <w:szCs w:val="18"/>
        </w:rPr>
        <w:fldChar w:fldCharType="end"/>
      </w:r>
      <w:r>
        <w:rPr>
          <w:rFonts w:hint="eastAsia" w:ascii="宋体" w:hAnsi="宋体" w:eastAsia="宋体" w:cs="宋体"/>
          <w:color w:val="231F20"/>
          <w:sz w:val="18"/>
          <w:szCs w:val="18"/>
        </w:rPr>
        <w:t xml:space="preserve">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"https://www.gov.cn/xinwen/2022-01/11/content_5667663.htm" </w:instrText>
      </w:r>
      <w:r>
        <w:rPr>
          <w:rFonts w:hint="eastAsia" w:ascii="宋体" w:hAnsi="宋体" w:eastAsia="宋体" w:cs="宋体"/>
          <w:sz w:val="18"/>
          <w:szCs w:val="18"/>
        </w:rPr>
        <w:fldChar w:fldCharType="separate"/>
      </w:r>
      <w:r>
        <w:rPr>
          <w:rFonts w:hint="eastAsia" w:ascii="宋体" w:hAnsi="宋体" w:eastAsia="宋体" w:cs="宋体"/>
          <w:color w:val="231F20"/>
          <w:sz w:val="18"/>
          <w:szCs w:val="18"/>
        </w:rPr>
        <w:t>www</w:t>
      </w:r>
      <w:r>
        <w:rPr>
          <w:rFonts w:hint="eastAsia" w:ascii="宋体" w:hAnsi="宋体" w:eastAsia="宋体" w:cs="宋体"/>
          <w:color w:val="231F20"/>
          <w:spacing w:val="8"/>
          <w:sz w:val="18"/>
          <w:szCs w:val="18"/>
        </w:rPr>
        <w:t>.</w:t>
      </w:r>
      <w:r>
        <w:rPr>
          <w:rFonts w:hint="eastAsia" w:ascii="宋体" w:hAnsi="宋体" w:eastAsia="宋体" w:cs="宋体"/>
          <w:color w:val="231F20"/>
          <w:sz w:val="18"/>
          <w:szCs w:val="18"/>
        </w:rPr>
        <w:t>gov</w:t>
      </w:r>
      <w:r>
        <w:rPr>
          <w:rFonts w:hint="eastAsia" w:ascii="宋体" w:hAnsi="宋体" w:eastAsia="宋体" w:cs="宋体"/>
          <w:color w:val="231F20"/>
          <w:spacing w:val="8"/>
          <w:sz w:val="18"/>
          <w:szCs w:val="18"/>
        </w:rPr>
        <w:t>.</w:t>
      </w:r>
      <w:r>
        <w:rPr>
          <w:rFonts w:hint="eastAsia" w:ascii="宋体" w:hAnsi="宋体" w:eastAsia="宋体" w:cs="宋体"/>
          <w:color w:val="231F20"/>
          <w:sz w:val="18"/>
          <w:szCs w:val="18"/>
        </w:rPr>
        <w:t>cn</w:t>
      </w:r>
      <w:r>
        <w:rPr>
          <w:rFonts w:hint="eastAsia" w:ascii="宋体" w:hAnsi="宋体" w:eastAsia="宋体" w:cs="宋体"/>
          <w:color w:val="231F20"/>
          <w:spacing w:val="8"/>
          <w:sz w:val="18"/>
          <w:szCs w:val="18"/>
        </w:rPr>
        <w:t>/</w:t>
      </w:r>
      <w:r>
        <w:rPr>
          <w:rFonts w:hint="eastAsia" w:ascii="宋体" w:hAnsi="宋体" w:eastAsia="宋体" w:cs="宋体"/>
          <w:color w:val="231F20"/>
          <w:sz w:val="18"/>
          <w:szCs w:val="18"/>
        </w:rPr>
        <w:t>xinwen</w:t>
      </w:r>
      <w:r>
        <w:rPr>
          <w:rFonts w:hint="eastAsia" w:ascii="宋体" w:hAnsi="宋体" w:eastAsia="宋体" w:cs="宋体"/>
          <w:color w:val="231F20"/>
          <w:spacing w:val="8"/>
          <w:sz w:val="18"/>
          <w:szCs w:val="18"/>
        </w:rPr>
        <w:t>/2022-01/11/</w:t>
      </w:r>
      <w:r>
        <w:rPr>
          <w:rFonts w:hint="eastAsia" w:ascii="宋体" w:hAnsi="宋体" w:eastAsia="宋体" w:cs="宋体"/>
          <w:color w:val="231F20"/>
          <w:sz w:val="18"/>
          <w:szCs w:val="18"/>
        </w:rPr>
        <w:t>content</w:t>
      </w:r>
      <w:r>
        <w:rPr>
          <w:rFonts w:hint="eastAsia" w:ascii="宋体" w:hAnsi="宋体" w:eastAsia="宋体" w:cs="宋体"/>
          <w:color w:val="231F20"/>
          <w:spacing w:val="8"/>
          <w:sz w:val="18"/>
          <w:szCs w:val="18"/>
        </w:rPr>
        <w:t>_5667663.</w:t>
      </w:r>
      <w:r>
        <w:rPr>
          <w:rFonts w:hint="eastAsia" w:ascii="宋体" w:hAnsi="宋体" w:eastAsia="宋体" w:cs="宋体"/>
          <w:color w:val="231F20"/>
          <w:sz w:val="18"/>
          <w:szCs w:val="18"/>
        </w:rPr>
        <w:t>htm</w:t>
      </w:r>
      <w:r>
        <w:rPr>
          <w:rFonts w:hint="eastAsia" w:ascii="宋体" w:hAnsi="宋体" w:eastAsia="宋体" w:cs="宋体"/>
          <w:color w:val="231F20"/>
          <w:sz w:val="18"/>
          <w:szCs w:val="18"/>
        </w:rPr>
        <w:fldChar w:fldCharType="end"/>
      </w:r>
      <w:r>
        <w:rPr>
          <w:rFonts w:hint="eastAsia" w:ascii="宋体" w:hAnsi="宋体" w:eastAsia="宋体" w:cs="宋体"/>
          <w:color w:val="231F20"/>
          <w:spacing w:val="8"/>
          <w:sz w:val="18"/>
          <w:szCs w:val="18"/>
        </w:rPr>
        <w:t>。</w:t>
      </w:r>
    </w:p>
    <w:p w14:paraId="61B45ADF">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p>
  </w:footnote>
  <w:footnote w:id="1473">
    <w:p w14:paraId="511E8E8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color w:val="231F20"/>
          <w:spacing w:val="4"/>
          <w:sz w:val="18"/>
          <w:szCs w:val="18"/>
        </w:rPr>
        <w:t>参见《习近平：关于&lt;中共中央关于制定国民经济和社会发展第十四个五年规划和二〇三五年远景目标的建议&gt;</w:t>
      </w:r>
      <w:r>
        <w:rPr>
          <w:rFonts w:hint="eastAsia" w:ascii="宋体" w:hAnsi="宋体" w:eastAsia="宋体" w:cs="宋体"/>
          <w:color w:val="231F20"/>
          <w:spacing w:val="-17"/>
          <w:sz w:val="18"/>
          <w:szCs w:val="18"/>
        </w:rPr>
        <w:t xml:space="preserve"> </w:t>
      </w:r>
      <w:r>
        <w:rPr>
          <w:rFonts w:hint="eastAsia" w:ascii="宋体" w:hAnsi="宋体" w:eastAsia="宋体" w:cs="宋体"/>
          <w:color w:val="231F20"/>
          <w:spacing w:val="4"/>
          <w:sz w:val="18"/>
          <w:szCs w:val="18"/>
        </w:rPr>
        <w:t>的说明》，中国政府</w:t>
      </w:r>
      <w:r>
        <w:rPr>
          <w:rFonts w:hint="eastAsia" w:ascii="宋体" w:hAnsi="宋体" w:eastAsia="宋体" w:cs="宋体"/>
          <w:color w:val="231F20"/>
          <w:spacing w:val="5"/>
          <w:sz w:val="18"/>
          <w:szCs w:val="18"/>
        </w:rPr>
        <w:t>网，</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"https://www.gov.cn/xinwen/2020-11/03/content_5556997.htm" </w:instrText>
      </w:r>
      <w:r>
        <w:rPr>
          <w:rFonts w:hint="eastAsia" w:ascii="宋体" w:hAnsi="宋体" w:eastAsia="宋体" w:cs="宋体"/>
          <w:sz w:val="18"/>
          <w:szCs w:val="18"/>
        </w:rPr>
        <w:fldChar w:fldCharType="separate"/>
      </w:r>
      <w:r>
        <w:rPr>
          <w:rFonts w:hint="eastAsia" w:ascii="宋体" w:hAnsi="宋体" w:eastAsia="宋体" w:cs="宋体"/>
          <w:color w:val="231F20"/>
          <w:sz w:val="18"/>
          <w:szCs w:val="18"/>
        </w:rPr>
        <w:t>https</w:t>
      </w:r>
      <w:r>
        <w:rPr>
          <w:rFonts w:hint="eastAsia" w:ascii="宋体" w:hAnsi="宋体" w:eastAsia="宋体" w:cs="宋体"/>
          <w:color w:val="231F20"/>
          <w:spacing w:val="5"/>
          <w:sz w:val="18"/>
          <w:szCs w:val="18"/>
        </w:rPr>
        <w:t>://</w:t>
      </w:r>
      <w:r>
        <w:rPr>
          <w:rFonts w:hint="eastAsia" w:ascii="宋体" w:hAnsi="宋体" w:eastAsia="宋体" w:cs="宋体"/>
          <w:color w:val="231F20"/>
          <w:sz w:val="18"/>
          <w:szCs w:val="18"/>
        </w:rPr>
        <w:t>www</w:t>
      </w:r>
      <w:r>
        <w:rPr>
          <w:rFonts w:hint="eastAsia" w:ascii="宋体" w:hAnsi="宋体" w:eastAsia="宋体" w:cs="宋体"/>
          <w:color w:val="231F20"/>
          <w:spacing w:val="5"/>
          <w:sz w:val="18"/>
          <w:szCs w:val="18"/>
        </w:rPr>
        <w:t>.</w:t>
      </w:r>
      <w:r>
        <w:rPr>
          <w:rFonts w:hint="eastAsia" w:ascii="宋体" w:hAnsi="宋体" w:eastAsia="宋体" w:cs="宋体"/>
          <w:color w:val="231F20"/>
          <w:sz w:val="18"/>
          <w:szCs w:val="18"/>
        </w:rPr>
        <w:t>gov</w:t>
      </w:r>
      <w:r>
        <w:rPr>
          <w:rFonts w:hint="eastAsia" w:ascii="宋体" w:hAnsi="宋体" w:eastAsia="宋体" w:cs="宋体"/>
          <w:color w:val="231F20"/>
          <w:spacing w:val="5"/>
          <w:sz w:val="18"/>
          <w:szCs w:val="18"/>
        </w:rPr>
        <w:t>.</w:t>
      </w:r>
      <w:r>
        <w:rPr>
          <w:rFonts w:hint="eastAsia" w:ascii="宋体" w:hAnsi="宋体" w:eastAsia="宋体" w:cs="宋体"/>
          <w:color w:val="231F20"/>
          <w:sz w:val="18"/>
          <w:szCs w:val="18"/>
        </w:rPr>
        <w:t>cn</w:t>
      </w:r>
      <w:r>
        <w:rPr>
          <w:rFonts w:hint="eastAsia" w:ascii="宋体" w:hAnsi="宋体" w:eastAsia="宋体" w:cs="宋体"/>
          <w:color w:val="231F20"/>
          <w:spacing w:val="5"/>
          <w:sz w:val="18"/>
          <w:szCs w:val="18"/>
        </w:rPr>
        <w:t>/</w:t>
      </w:r>
      <w:r>
        <w:rPr>
          <w:rFonts w:hint="eastAsia" w:ascii="宋体" w:hAnsi="宋体" w:eastAsia="宋体" w:cs="宋体"/>
          <w:color w:val="231F20"/>
          <w:sz w:val="18"/>
          <w:szCs w:val="18"/>
        </w:rPr>
        <w:t>xinwen</w:t>
      </w:r>
      <w:r>
        <w:rPr>
          <w:rFonts w:hint="eastAsia" w:ascii="宋体" w:hAnsi="宋体" w:eastAsia="宋体" w:cs="宋体"/>
          <w:color w:val="231F20"/>
          <w:spacing w:val="5"/>
          <w:sz w:val="18"/>
          <w:szCs w:val="18"/>
        </w:rPr>
        <w:t>/2020-11/03/</w:t>
      </w:r>
      <w:r>
        <w:rPr>
          <w:rFonts w:hint="eastAsia" w:ascii="宋体" w:hAnsi="宋体" w:eastAsia="宋体" w:cs="宋体"/>
          <w:color w:val="231F20"/>
          <w:sz w:val="18"/>
          <w:szCs w:val="18"/>
        </w:rPr>
        <w:t>content</w:t>
      </w:r>
      <w:r>
        <w:rPr>
          <w:rFonts w:hint="eastAsia" w:ascii="宋体" w:hAnsi="宋体" w:eastAsia="宋体" w:cs="宋体"/>
          <w:color w:val="231F20"/>
          <w:spacing w:val="5"/>
          <w:sz w:val="18"/>
          <w:szCs w:val="18"/>
        </w:rPr>
        <w:t>_5556997.</w:t>
      </w:r>
      <w:r>
        <w:rPr>
          <w:rFonts w:hint="eastAsia" w:ascii="宋体" w:hAnsi="宋体" w:eastAsia="宋体" w:cs="宋体"/>
          <w:color w:val="231F20"/>
          <w:sz w:val="18"/>
          <w:szCs w:val="18"/>
        </w:rPr>
        <w:t>htm</w:t>
      </w:r>
      <w:r>
        <w:rPr>
          <w:rFonts w:hint="eastAsia" w:ascii="宋体" w:hAnsi="宋体" w:eastAsia="宋体" w:cs="宋体"/>
          <w:color w:val="231F20"/>
          <w:sz w:val="18"/>
          <w:szCs w:val="18"/>
        </w:rPr>
        <w:fldChar w:fldCharType="end"/>
      </w:r>
      <w:r>
        <w:rPr>
          <w:rFonts w:hint="eastAsia" w:ascii="宋体" w:hAnsi="宋体" w:eastAsia="宋体" w:cs="宋体"/>
          <w:color w:val="231F20"/>
          <w:spacing w:val="5"/>
          <w:sz w:val="18"/>
          <w:szCs w:val="18"/>
        </w:rPr>
        <w:t>。</w:t>
      </w:r>
    </w:p>
  </w:footnote>
  <w:footnote w:id="1474">
    <w:p w14:paraId="20E73569">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z w:val="18"/>
          <w:szCs w:val="18"/>
        </w:rPr>
        <w:t xml:space="preserve"> </w:t>
      </w:r>
      <w:r>
        <w:rPr>
          <w:rFonts w:hint="eastAsia" w:ascii="宋体" w:hAnsi="宋体" w:eastAsia="宋体" w:cs="宋体"/>
          <w:color w:val="231F20"/>
          <w:spacing w:val="1"/>
          <w:sz w:val="18"/>
          <w:szCs w:val="18"/>
        </w:rPr>
        <w:t>参见《习近平：在纪念马克思诞辰</w:t>
      </w:r>
      <w:r>
        <w:rPr>
          <w:rFonts w:hint="eastAsia" w:ascii="宋体" w:hAnsi="宋体" w:eastAsia="宋体" w:cs="宋体"/>
          <w:color w:val="231F20"/>
          <w:spacing w:val="-10"/>
          <w:sz w:val="18"/>
          <w:szCs w:val="18"/>
        </w:rPr>
        <w:t xml:space="preserve"> </w:t>
      </w:r>
      <w:r>
        <w:rPr>
          <w:rFonts w:hint="eastAsia" w:ascii="宋体" w:hAnsi="宋体" w:eastAsia="宋体" w:cs="宋体"/>
          <w:color w:val="231F20"/>
          <w:spacing w:val="1"/>
          <w:sz w:val="18"/>
          <w:szCs w:val="18"/>
        </w:rPr>
        <w:t>200</w:t>
      </w:r>
      <w:r>
        <w:rPr>
          <w:rFonts w:hint="eastAsia" w:ascii="宋体" w:hAnsi="宋体" w:eastAsia="宋体" w:cs="宋体"/>
          <w:color w:val="231F20"/>
          <w:spacing w:val="-12"/>
          <w:sz w:val="18"/>
          <w:szCs w:val="18"/>
        </w:rPr>
        <w:t xml:space="preserve"> </w:t>
      </w:r>
      <w:r>
        <w:rPr>
          <w:rFonts w:hint="eastAsia" w:ascii="宋体" w:hAnsi="宋体" w:eastAsia="宋体" w:cs="宋体"/>
          <w:color w:val="231F20"/>
          <w:spacing w:val="1"/>
          <w:sz w:val="18"/>
          <w:szCs w:val="18"/>
        </w:rPr>
        <w:t>周年大会上的讲话》，人民网，</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HYPERLINK "http://jhsjk.people.cn/article/29966126" </w:instrText>
      </w:r>
      <w:r>
        <w:rPr>
          <w:rFonts w:hint="eastAsia" w:ascii="宋体" w:hAnsi="宋体" w:eastAsia="宋体" w:cs="宋体"/>
          <w:sz w:val="18"/>
          <w:szCs w:val="18"/>
        </w:rPr>
        <w:fldChar w:fldCharType="separate"/>
      </w:r>
      <w:r>
        <w:rPr>
          <w:rFonts w:hint="eastAsia" w:ascii="宋体" w:hAnsi="宋体" w:eastAsia="宋体" w:cs="宋体"/>
          <w:color w:val="231F20"/>
          <w:sz w:val="18"/>
          <w:szCs w:val="18"/>
        </w:rPr>
        <w:t>http</w:t>
      </w:r>
      <w:r>
        <w:rPr>
          <w:rFonts w:hint="eastAsia" w:ascii="宋体" w:hAnsi="宋体" w:eastAsia="宋体" w:cs="宋体"/>
          <w:color w:val="231F20"/>
          <w:spacing w:val="1"/>
          <w:sz w:val="18"/>
          <w:szCs w:val="18"/>
        </w:rPr>
        <w:t>://</w:t>
      </w:r>
      <w:r>
        <w:rPr>
          <w:rFonts w:hint="eastAsia" w:ascii="宋体" w:hAnsi="宋体" w:eastAsia="宋体" w:cs="宋体"/>
          <w:color w:val="231F20"/>
          <w:sz w:val="18"/>
          <w:szCs w:val="18"/>
        </w:rPr>
        <w:t>jhsjk</w:t>
      </w:r>
      <w:r>
        <w:rPr>
          <w:rFonts w:hint="eastAsia" w:ascii="宋体" w:hAnsi="宋体" w:eastAsia="宋体" w:cs="宋体"/>
          <w:color w:val="231F20"/>
          <w:spacing w:val="1"/>
          <w:sz w:val="18"/>
          <w:szCs w:val="18"/>
        </w:rPr>
        <w:t>.</w:t>
      </w:r>
      <w:r>
        <w:rPr>
          <w:rFonts w:hint="eastAsia" w:ascii="宋体" w:hAnsi="宋体" w:eastAsia="宋体" w:cs="宋体"/>
          <w:color w:val="231F20"/>
          <w:sz w:val="18"/>
          <w:szCs w:val="18"/>
        </w:rPr>
        <w:t>people</w:t>
      </w:r>
      <w:r>
        <w:rPr>
          <w:rFonts w:hint="eastAsia" w:ascii="宋体" w:hAnsi="宋体" w:eastAsia="宋体" w:cs="宋体"/>
          <w:color w:val="231F20"/>
          <w:spacing w:val="1"/>
          <w:sz w:val="18"/>
          <w:szCs w:val="18"/>
        </w:rPr>
        <w:t>.</w:t>
      </w:r>
      <w:r>
        <w:rPr>
          <w:rFonts w:hint="eastAsia" w:ascii="宋体" w:hAnsi="宋体" w:eastAsia="宋体" w:cs="宋体"/>
          <w:color w:val="231F20"/>
          <w:sz w:val="18"/>
          <w:szCs w:val="18"/>
        </w:rPr>
        <w:t>cn</w:t>
      </w:r>
      <w:r>
        <w:rPr>
          <w:rFonts w:hint="eastAsia" w:ascii="宋体" w:hAnsi="宋体" w:eastAsia="宋体" w:cs="宋体"/>
          <w:color w:val="231F20"/>
          <w:spacing w:val="1"/>
          <w:sz w:val="18"/>
          <w:szCs w:val="18"/>
        </w:rPr>
        <w:t>/</w:t>
      </w:r>
      <w:r>
        <w:rPr>
          <w:rFonts w:hint="eastAsia" w:ascii="宋体" w:hAnsi="宋体" w:eastAsia="宋体" w:cs="宋体"/>
          <w:color w:val="231F20"/>
          <w:sz w:val="18"/>
          <w:szCs w:val="18"/>
        </w:rPr>
        <w:t>article</w:t>
      </w:r>
      <w:r>
        <w:rPr>
          <w:rFonts w:hint="eastAsia" w:ascii="宋体" w:hAnsi="宋体" w:eastAsia="宋体" w:cs="宋体"/>
          <w:color w:val="231F20"/>
          <w:spacing w:val="1"/>
          <w:sz w:val="18"/>
          <w:szCs w:val="18"/>
        </w:rPr>
        <w:t>/29966126</w:t>
      </w:r>
      <w:r>
        <w:rPr>
          <w:rFonts w:hint="eastAsia" w:ascii="宋体" w:hAnsi="宋体" w:eastAsia="宋体" w:cs="宋体"/>
          <w:color w:val="231F20"/>
          <w:spacing w:val="1"/>
          <w:sz w:val="18"/>
          <w:szCs w:val="18"/>
        </w:rPr>
        <w:fldChar w:fldCharType="end"/>
      </w:r>
      <w:r>
        <w:rPr>
          <w:rFonts w:hint="eastAsia" w:ascii="宋体" w:hAnsi="宋体" w:eastAsia="宋体" w:cs="宋体"/>
          <w:color w:val="231F20"/>
          <w:spacing w:val="1"/>
          <w:sz w:val="18"/>
          <w:szCs w:val="18"/>
        </w:rPr>
        <w:t>。</w:t>
      </w:r>
    </w:p>
  </w:footnote>
  <w:footnote w:id="1475">
    <w:p w14:paraId="004E45CA">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5"/>
          <w:sz w:val="18"/>
          <w:szCs w:val="18"/>
        </w:rPr>
        <w:t>«习近平著作选读»第</w:t>
      </w:r>
      <w:r>
        <w:rPr>
          <w:rFonts w:hint="eastAsia" w:ascii="宋体" w:hAnsi="宋体" w:eastAsia="宋体" w:cs="宋体"/>
          <w:spacing w:val="5"/>
          <w:position w:val="-1"/>
          <w:sz w:val="18"/>
          <w:szCs w:val="18"/>
        </w:rPr>
        <w:t>1</w:t>
      </w:r>
      <w:r>
        <w:rPr>
          <w:rFonts w:hint="eastAsia" w:ascii="宋体" w:hAnsi="宋体" w:eastAsia="宋体" w:cs="宋体"/>
          <w:spacing w:val="5"/>
          <w:sz w:val="18"/>
          <w:szCs w:val="18"/>
        </w:rPr>
        <w:t>卷,人民出版社</w:t>
      </w:r>
      <w:r>
        <w:rPr>
          <w:rFonts w:hint="eastAsia" w:ascii="宋体" w:hAnsi="宋体" w:eastAsia="宋体" w:cs="宋体"/>
          <w:spacing w:val="5"/>
          <w:position w:val="-1"/>
          <w:sz w:val="18"/>
          <w:szCs w:val="18"/>
        </w:rPr>
        <w:t>2023</w:t>
      </w:r>
      <w:r>
        <w:rPr>
          <w:rFonts w:hint="eastAsia" w:ascii="宋体" w:hAnsi="宋体" w:eastAsia="宋体" w:cs="宋体"/>
          <w:spacing w:val="5"/>
          <w:sz w:val="18"/>
          <w:szCs w:val="18"/>
        </w:rPr>
        <w:t>年版,第</w:t>
      </w:r>
      <w:r>
        <w:rPr>
          <w:rFonts w:hint="eastAsia" w:ascii="宋体" w:hAnsi="宋体" w:eastAsia="宋体" w:cs="宋体"/>
          <w:spacing w:val="5"/>
          <w:position w:val="-1"/>
          <w:sz w:val="18"/>
          <w:szCs w:val="18"/>
        </w:rPr>
        <w:t>36</w:t>
      </w:r>
      <w:r>
        <w:rPr>
          <w:rFonts w:hint="eastAsia" w:ascii="宋体" w:hAnsi="宋体" w:eastAsia="宋体" w:cs="宋体"/>
          <w:spacing w:val="5"/>
          <w:sz w:val="18"/>
          <w:szCs w:val="18"/>
        </w:rPr>
        <w:t>页。</w:t>
      </w:r>
    </w:p>
  </w:footnote>
  <w:footnote w:id="1476">
    <w:p w14:paraId="1D632DEA">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«习近平著作选读»第</w:t>
      </w:r>
      <w:r>
        <w:rPr>
          <w:rFonts w:hint="eastAsia" w:ascii="宋体" w:hAnsi="宋体" w:eastAsia="宋体" w:cs="宋体"/>
          <w:spacing w:val="6"/>
          <w:position w:val="-1"/>
          <w:sz w:val="18"/>
          <w:szCs w:val="18"/>
        </w:rPr>
        <w:t>2</w:t>
      </w:r>
      <w:r>
        <w:rPr>
          <w:rFonts w:hint="eastAsia" w:ascii="宋体" w:hAnsi="宋体" w:eastAsia="宋体" w:cs="宋体"/>
          <w:spacing w:val="6"/>
          <w:sz w:val="18"/>
          <w:szCs w:val="18"/>
        </w:rPr>
        <w:t>卷,人民出版社</w:t>
      </w:r>
      <w:r>
        <w:rPr>
          <w:rFonts w:hint="eastAsia" w:ascii="宋体" w:hAnsi="宋体" w:eastAsia="宋体" w:cs="宋体"/>
          <w:spacing w:val="6"/>
          <w:position w:val="-1"/>
          <w:sz w:val="18"/>
          <w:szCs w:val="18"/>
        </w:rPr>
        <w:t>2023</w:t>
      </w:r>
      <w:r>
        <w:rPr>
          <w:rFonts w:hint="eastAsia" w:ascii="宋体" w:hAnsi="宋体" w:eastAsia="宋体" w:cs="宋体"/>
          <w:spacing w:val="6"/>
          <w:sz w:val="18"/>
          <w:szCs w:val="18"/>
        </w:rPr>
        <w:t>年版</w:t>
      </w:r>
      <w:r>
        <w:rPr>
          <w:rFonts w:hint="eastAsia" w:ascii="宋体" w:hAnsi="宋体" w:eastAsia="宋体" w:cs="宋体"/>
          <w:spacing w:val="5"/>
          <w:sz w:val="18"/>
          <w:szCs w:val="18"/>
        </w:rPr>
        <w:t>,第</w:t>
      </w:r>
      <w:r>
        <w:rPr>
          <w:rFonts w:hint="eastAsia" w:ascii="宋体" w:hAnsi="宋体" w:eastAsia="宋体" w:cs="宋体"/>
          <w:spacing w:val="5"/>
          <w:position w:val="-1"/>
          <w:sz w:val="18"/>
          <w:szCs w:val="18"/>
        </w:rPr>
        <w:t>555</w:t>
      </w:r>
      <w:r>
        <w:rPr>
          <w:rFonts w:hint="eastAsia" w:ascii="宋体" w:hAnsi="宋体" w:eastAsia="宋体" w:cs="宋体"/>
          <w:spacing w:val="5"/>
          <w:sz w:val="18"/>
          <w:szCs w:val="18"/>
        </w:rPr>
        <w:t>页。</w:t>
      </w:r>
    </w:p>
  </w:footnote>
  <w:footnote w:id="1477">
    <w:p w14:paraId="3FC3FDAD">
      <w:pPr>
        <w:pStyle w:val="6"/>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0"/>
          <w:sz w:val="18"/>
          <w:szCs w:val="18"/>
        </w:rPr>
        <w:t>参见董振华:«伟大建党精神的科学内涵与时代价值»,«红旗文稿»</w:t>
      </w:r>
      <w:r>
        <w:rPr>
          <w:rFonts w:hint="eastAsia" w:ascii="宋体" w:hAnsi="宋体" w:eastAsia="宋体" w:cs="宋体"/>
          <w:spacing w:val="10"/>
          <w:position w:val="-1"/>
          <w:sz w:val="18"/>
          <w:szCs w:val="18"/>
        </w:rPr>
        <w:t>2021</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14</w:t>
      </w:r>
      <w:r>
        <w:rPr>
          <w:rFonts w:hint="eastAsia" w:ascii="宋体" w:hAnsi="宋体" w:eastAsia="宋体" w:cs="宋体"/>
          <w:spacing w:val="10"/>
          <w:sz w:val="18"/>
          <w:szCs w:val="18"/>
        </w:rPr>
        <w:t>期。</w:t>
      </w:r>
    </w:p>
  </w:footnote>
  <w:footnote w:id="1478">
    <w:p w14:paraId="41D9C895">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参见赵斌:«伟大建党精神为新的赶考提</w:t>
      </w:r>
      <w:r>
        <w:rPr>
          <w:rFonts w:hint="eastAsia" w:ascii="宋体" w:hAnsi="宋体" w:eastAsia="宋体" w:cs="宋体"/>
          <w:spacing w:val="7"/>
          <w:sz w:val="18"/>
          <w:szCs w:val="18"/>
        </w:rPr>
        <w:t>供不竭动力»,«湖北日报»</w:t>
      </w:r>
      <w:r>
        <w:rPr>
          <w:rFonts w:hint="eastAsia" w:ascii="宋体" w:hAnsi="宋体" w:eastAsia="宋体" w:cs="宋体"/>
          <w:spacing w:val="7"/>
          <w:position w:val="-1"/>
          <w:sz w:val="18"/>
          <w:szCs w:val="18"/>
        </w:rPr>
        <w:t>2021</w:t>
      </w:r>
      <w:r>
        <w:rPr>
          <w:rFonts w:hint="eastAsia" w:ascii="宋体" w:hAnsi="宋体" w:eastAsia="宋体" w:cs="宋体"/>
          <w:spacing w:val="7"/>
          <w:sz w:val="18"/>
          <w:szCs w:val="18"/>
        </w:rPr>
        <w:t>年</w:t>
      </w:r>
      <w:r>
        <w:rPr>
          <w:rFonts w:hint="eastAsia" w:ascii="宋体" w:hAnsi="宋体" w:eastAsia="宋体" w:cs="宋体"/>
          <w:spacing w:val="7"/>
          <w:position w:val="-1"/>
          <w:sz w:val="18"/>
          <w:szCs w:val="18"/>
        </w:rPr>
        <w:t>7</w:t>
      </w:r>
      <w:r>
        <w:rPr>
          <w:rFonts w:hint="eastAsia" w:ascii="宋体" w:hAnsi="宋体" w:eastAsia="宋体" w:cs="宋体"/>
          <w:spacing w:val="7"/>
          <w:sz w:val="18"/>
          <w:szCs w:val="18"/>
        </w:rPr>
        <w:t>月</w:t>
      </w:r>
      <w:r>
        <w:rPr>
          <w:rFonts w:hint="eastAsia" w:ascii="宋体" w:hAnsi="宋体" w:eastAsia="宋体" w:cs="宋体"/>
          <w:spacing w:val="7"/>
          <w:position w:val="-1"/>
          <w:sz w:val="18"/>
          <w:szCs w:val="18"/>
        </w:rPr>
        <w:t>6</w:t>
      </w:r>
      <w:r>
        <w:rPr>
          <w:rFonts w:hint="eastAsia" w:ascii="宋体" w:hAnsi="宋体" w:eastAsia="宋体" w:cs="宋体"/>
          <w:spacing w:val="7"/>
          <w:sz w:val="18"/>
          <w:szCs w:val="18"/>
        </w:rPr>
        <w:t>日。</w:t>
      </w:r>
    </w:p>
  </w:footnote>
  <w:footnote w:id="1479">
    <w:p w14:paraId="3E69C63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5"/>
          <w:sz w:val="18"/>
          <w:szCs w:val="18"/>
        </w:rPr>
        <w:t>参见韩庆祥:«从党百年奋斗史汲取实现伟大复兴的强大力量</w:t>
      </w:r>
      <w:r>
        <w:rPr>
          <w:rFonts w:hint="eastAsia" w:ascii="宋体" w:hAnsi="宋体" w:eastAsia="宋体" w:cs="宋体"/>
          <w:b/>
          <w:bCs/>
          <w:spacing w:val="15"/>
          <w:sz w:val="18"/>
          <w:szCs w:val="18"/>
        </w:rPr>
        <w:t>—</w:t>
      </w:r>
      <w:r>
        <w:rPr>
          <w:rFonts w:hint="eastAsia" w:ascii="宋体" w:hAnsi="宋体" w:eastAsia="宋体" w:cs="宋体"/>
          <w:spacing w:val="15"/>
          <w:sz w:val="18"/>
          <w:szCs w:val="18"/>
        </w:rPr>
        <w:t>学习习近平总书记</w:t>
      </w:r>
      <w:r>
        <w:rPr>
          <w:rFonts w:hint="eastAsia" w:ascii="宋体" w:hAnsi="宋体" w:eastAsia="宋体" w:cs="宋体"/>
          <w:spacing w:val="14"/>
          <w:sz w:val="18"/>
          <w:szCs w:val="18"/>
        </w:rPr>
        <w:t>“七一”重要</w:t>
      </w:r>
      <w:r>
        <w:rPr>
          <w:rFonts w:hint="eastAsia" w:ascii="宋体" w:hAnsi="宋体" w:eastAsia="宋体" w:cs="宋体"/>
          <w:spacing w:val="7"/>
          <w:sz w:val="18"/>
          <w:szCs w:val="18"/>
        </w:rPr>
        <w:t>讲话精神»,«人民论坛»</w:t>
      </w:r>
      <w:r>
        <w:rPr>
          <w:rFonts w:hint="eastAsia" w:ascii="宋体" w:hAnsi="宋体" w:eastAsia="宋体" w:cs="宋体"/>
          <w:spacing w:val="7"/>
          <w:position w:val="-1"/>
          <w:sz w:val="18"/>
          <w:szCs w:val="18"/>
        </w:rPr>
        <w:t>2021</w:t>
      </w:r>
      <w:r>
        <w:rPr>
          <w:rFonts w:hint="eastAsia" w:ascii="宋体" w:hAnsi="宋体" w:eastAsia="宋体" w:cs="宋体"/>
          <w:spacing w:val="7"/>
          <w:sz w:val="18"/>
          <w:szCs w:val="18"/>
        </w:rPr>
        <w:t>年第</w:t>
      </w:r>
      <w:r>
        <w:rPr>
          <w:rFonts w:hint="eastAsia" w:ascii="宋体" w:hAnsi="宋体" w:eastAsia="宋体" w:cs="宋体"/>
          <w:spacing w:val="7"/>
          <w:position w:val="-1"/>
          <w:sz w:val="18"/>
          <w:szCs w:val="18"/>
        </w:rPr>
        <w:t>21</w:t>
      </w:r>
      <w:r>
        <w:rPr>
          <w:rFonts w:hint="eastAsia" w:ascii="宋体" w:hAnsi="宋体" w:eastAsia="宋体" w:cs="宋体"/>
          <w:spacing w:val="7"/>
          <w:sz w:val="18"/>
          <w:szCs w:val="18"/>
        </w:rPr>
        <w:t>期。</w:t>
      </w:r>
    </w:p>
  </w:footnote>
  <w:footnote w:id="1480">
    <w:p w14:paraId="00D6D903">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参见曲青山:«弘扬伟大建党精神»,«党的生活»(黑龙江)</w:t>
      </w:r>
      <w:r>
        <w:rPr>
          <w:rFonts w:hint="eastAsia" w:ascii="宋体" w:hAnsi="宋体" w:eastAsia="宋体" w:cs="宋体"/>
          <w:spacing w:val="8"/>
          <w:position w:val="-1"/>
          <w:sz w:val="18"/>
          <w:szCs w:val="18"/>
        </w:rPr>
        <w:t>2021</w:t>
      </w:r>
      <w:r>
        <w:rPr>
          <w:rFonts w:hint="eastAsia" w:ascii="宋体" w:hAnsi="宋体" w:eastAsia="宋体" w:cs="宋体"/>
          <w:spacing w:val="8"/>
          <w:sz w:val="18"/>
          <w:szCs w:val="18"/>
        </w:rPr>
        <w:t>年第</w:t>
      </w:r>
      <w:r>
        <w:rPr>
          <w:rFonts w:hint="eastAsia" w:ascii="宋体" w:hAnsi="宋体" w:eastAsia="宋体" w:cs="宋体"/>
          <w:spacing w:val="8"/>
          <w:position w:val="-1"/>
          <w:sz w:val="18"/>
          <w:szCs w:val="18"/>
        </w:rPr>
        <w:t>9</w:t>
      </w:r>
      <w:r>
        <w:rPr>
          <w:rFonts w:hint="eastAsia" w:ascii="宋体" w:hAnsi="宋体" w:eastAsia="宋体" w:cs="宋体"/>
          <w:spacing w:val="8"/>
          <w:sz w:val="18"/>
          <w:szCs w:val="18"/>
        </w:rPr>
        <w:t>期。</w:t>
      </w:r>
    </w:p>
  </w:footnote>
  <w:footnote w:id="1481">
    <w:p w14:paraId="2749FEB6">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参见王夏杰、商继政:«论伟大建党精神的高校思想政治教育价值»,«</w:t>
      </w:r>
      <w:r>
        <w:rPr>
          <w:rFonts w:hint="eastAsia" w:ascii="宋体" w:hAnsi="宋体" w:eastAsia="宋体" w:cs="宋体"/>
          <w:spacing w:val="3"/>
          <w:sz w:val="18"/>
          <w:szCs w:val="18"/>
        </w:rPr>
        <w:t>学校党建与思想教育»</w:t>
      </w:r>
      <w:r>
        <w:rPr>
          <w:rFonts w:hint="eastAsia" w:ascii="宋体" w:hAnsi="宋体" w:eastAsia="宋体" w:cs="宋体"/>
          <w:spacing w:val="2"/>
          <w:position w:val="-1"/>
          <w:sz w:val="18"/>
          <w:szCs w:val="18"/>
        </w:rPr>
        <w:t>2022</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2</w:t>
      </w:r>
      <w:r>
        <w:rPr>
          <w:rFonts w:hint="eastAsia" w:ascii="宋体" w:hAnsi="宋体" w:eastAsia="宋体" w:cs="宋体"/>
          <w:spacing w:val="2"/>
          <w:sz w:val="18"/>
          <w:szCs w:val="18"/>
        </w:rPr>
        <w:t>期</w:t>
      </w:r>
      <w:r>
        <w:rPr>
          <w:rFonts w:hint="eastAsia" w:ascii="宋体" w:hAnsi="宋体" w:eastAsia="宋体" w:cs="宋体"/>
          <w:spacing w:val="2"/>
          <w:position w:val="1"/>
          <w:sz w:val="18"/>
          <w:szCs w:val="18"/>
        </w:rPr>
        <w:t>。</w:t>
      </w:r>
    </w:p>
  </w:footnote>
  <w:footnote w:id="1482">
    <w:p w14:paraId="526639E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参见王夏杰、商继政:«论伟大建党精神的高校思想政治教育价值»,«</w:t>
      </w:r>
      <w:r>
        <w:rPr>
          <w:rFonts w:hint="eastAsia" w:ascii="宋体" w:hAnsi="宋体" w:eastAsia="宋体" w:cs="宋体"/>
          <w:spacing w:val="3"/>
          <w:sz w:val="18"/>
          <w:szCs w:val="18"/>
        </w:rPr>
        <w:t>学校党建与思想教育»</w:t>
      </w:r>
      <w:r>
        <w:rPr>
          <w:rFonts w:hint="eastAsia" w:ascii="宋体" w:hAnsi="宋体" w:eastAsia="宋体" w:cs="宋体"/>
          <w:spacing w:val="2"/>
          <w:position w:val="-1"/>
          <w:sz w:val="18"/>
          <w:szCs w:val="18"/>
        </w:rPr>
        <w:t>2022</w:t>
      </w:r>
      <w:r>
        <w:rPr>
          <w:rFonts w:hint="eastAsia" w:ascii="宋体" w:hAnsi="宋体" w:eastAsia="宋体" w:cs="宋体"/>
          <w:spacing w:val="2"/>
          <w:sz w:val="18"/>
          <w:szCs w:val="18"/>
        </w:rPr>
        <w:t>年第</w:t>
      </w:r>
      <w:r>
        <w:rPr>
          <w:rFonts w:hint="eastAsia" w:ascii="宋体" w:hAnsi="宋体" w:eastAsia="宋体" w:cs="宋体"/>
          <w:spacing w:val="2"/>
          <w:position w:val="-1"/>
          <w:sz w:val="18"/>
          <w:szCs w:val="18"/>
        </w:rPr>
        <w:t>2</w:t>
      </w:r>
      <w:r>
        <w:rPr>
          <w:rFonts w:hint="eastAsia" w:ascii="宋体" w:hAnsi="宋体" w:eastAsia="宋体" w:cs="宋体"/>
          <w:spacing w:val="2"/>
          <w:sz w:val="18"/>
          <w:szCs w:val="18"/>
        </w:rPr>
        <w:t>期</w:t>
      </w:r>
      <w:r>
        <w:rPr>
          <w:rFonts w:hint="eastAsia" w:ascii="宋体" w:hAnsi="宋体" w:eastAsia="宋体" w:cs="宋体"/>
          <w:spacing w:val="2"/>
          <w:position w:val="1"/>
          <w:sz w:val="18"/>
          <w:szCs w:val="18"/>
        </w:rPr>
        <w:t>。</w:t>
      </w:r>
    </w:p>
  </w:footnote>
  <w:footnote w:id="1483">
    <w:p w14:paraId="1548090C">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«习近平谈治国理政»第</w:t>
      </w:r>
      <w:r>
        <w:rPr>
          <w:rFonts w:hint="eastAsia" w:ascii="宋体" w:hAnsi="宋体" w:eastAsia="宋体" w:cs="宋体"/>
          <w:spacing w:val="6"/>
          <w:position w:val="-1"/>
          <w:sz w:val="18"/>
          <w:szCs w:val="18"/>
        </w:rPr>
        <w:t>2</w:t>
      </w:r>
      <w:r>
        <w:rPr>
          <w:rFonts w:hint="eastAsia" w:ascii="宋体" w:hAnsi="宋体" w:eastAsia="宋体" w:cs="宋体"/>
          <w:spacing w:val="6"/>
          <w:sz w:val="18"/>
          <w:szCs w:val="18"/>
        </w:rPr>
        <w:t>卷,外文出版社</w:t>
      </w:r>
      <w:r>
        <w:rPr>
          <w:rFonts w:hint="eastAsia" w:ascii="宋体" w:hAnsi="宋体" w:eastAsia="宋体" w:cs="宋体"/>
          <w:spacing w:val="6"/>
          <w:position w:val="-1"/>
          <w:sz w:val="18"/>
          <w:szCs w:val="18"/>
        </w:rPr>
        <w:t>2017</w:t>
      </w:r>
      <w:r>
        <w:rPr>
          <w:rFonts w:hint="eastAsia" w:ascii="宋体" w:hAnsi="宋体" w:eastAsia="宋体" w:cs="宋体"/>
          <w:spacing w:val="6"/>
          <w:sz w:val="18"/>
          <w:szCs w:val="18"/>
        </w:rPr>
        <w:t>年版,第</w:t>
      </w:r>
      <w:r>
        <w:rPr>
          <w:rFonts w:hint="eastAsia" w:ascii="宋体" w:hAnsi="宋体" w:eastAsia="宋体" w:cs="宋体"/>
          <w:spacing w:val="6"/>
          <w:position w:val="-1"/>
          <w:sz w:val="18"/>
          <w:szCs w:val="18"/>
        </w:rPr>
        <w:t>65</w:t>
      </w:r>
      <w:r>
        <w:rPr>
          <w:rFonts w:hint="eastAsia" w:ascii="宋体" w:hAnsi="宋体" w:eastAsia="宋体" w:cs="宋体"/>
          <w:spacing w:val="6"/>
          <w:sz w:val="18"/>
          <w:szCs w:val="18"/>
        </w:rPr>
        <w:t>页。</w:t>
      </w:r>
    </w:p>
  </w:footnote>
  <w:footnote w:id="1484">
    <w:p w14:paraId="398B6784">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11"/>
          <w:sz w:val="18"/>
          <w:szCs w:val="18"/>
        </w:rPr>
        <w:t>参见马秋丽、高岩:«新文化运动时期“中西古今”之争与马克</w:t>
      </w:r>
      <w:r>
        <w:rPr>
          <w:rFonts w:hint="eastAsia" w:ascii="宋体" w:hAnsi="宋体" w:eastAsia="宋体" w:cs="宋体"/>
          <w:spacing w:val="10"/>
          <w:sz w:val="18"/>
          <w:szCs w:val="18"/>
        </w:rPr>
        <w:t>思主义兴起探赜»,«政治经济学研</w:t>
      </w:r>
      <w:r>
        <w:rPr>
          <w:rFonts w:hint="eastAsia" w:ascii="宋体" w:hAnsi="宋体" w:eastAsia="宋体" w:cs="宋体"/>
          <w:spacing w:val="6"/>
          <w:sz w:val="18"/>
          <w:szCs w:val="18"/>
        </w:rPr>
        <w:t>究»</w:t>
      </w:r>
      <w:r>
        <w:rPr>
          <w:rFonts w:hint="eastAsia" w:ascii="宋体" w:hAnsi="宋体" w:eastAsia="宋体" w:cs="宋体"/>
          <w:spacing w:val="6"/>
          <w:position w:val="-1"/>
          <w:sz w:val="18"/>
          <w:szCs w:val="18"/>
        </w:rPr>
        <w:t>2024</w:t>
      </w:r>
      <w:r>
        <w:rPr>
          <w:rFonts w:hint="eastAsia" w:ascii="宋体" w:hAnsi="宋体" w:eastAsia="宋体" w:cs="宋体"/>
          <w:spacing w:val="6"/>
          <w:sz w:val="18"/>
          <w:szCs w:val="18"/>
        </w:rPr>
        <w:t>年第</w:t>
      </w:r>
      <w:r>
        <w:rPr>
          <w:rFonts w:hint="eastAsia" w:ascii="宋体" w:hAnsi="宋体" w:eastAsia="宋体" w:cs="宋体"/>
          <w:spacing w:val="6"/>
          <w:position w:val="-1"/>
          <w:sz w:val="18"/>
          <w:szCs w:val="18"/>
        </w:rPr>
        <w:t>4</w:t>
      </w:r>
      <w:r>
        <w:rPr>
          <w:rFonts w:hint="eastAsia" w:ascii="宋体" w:hAnsi="宋体" w:eastAsia="宋体" w:cs="宋体"/>
          <w:spacing w:val="6"/>
          <w:sz w:val="18"/>
          <w:szCs w:val="18"/>
        </w:rPr>
        <w:t>期</w:t>
      </w:r>
      <w:r>
        <w:rPr>
          <w:rFonts w:hint="eastAsia" w:ascii="宋体" w:hAnsi="宋体" w:eastAsia="宋体" w:cs="宋体"/>
          <w:spacing w:val="6"/>
          <w:position w:val="1"/>
          <w:sz w:val="18"/>
          <w:szCs w:val="18"/>
        </w:rPr>
        <w:t>。</w:t>
      </w:r>
    </w:p>
  </w:footnote>
  <w:footnote w:id="1485">
    <w:p w14:paraId="4FD2FFC0">
      <w:pPr>
        <w:pStyle w:val="6"/>
        <w:keepNext w:val="0"/>
        <w:keepLines w:val="0"/>
        <w:pageBreakBefore w:val="0"/>
        <w:topLinePunct w:val="0"/>
        <w:bidi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3"/>
          <w:sz w:val="18"/>
          <w:szCs w:val="18"/>
        </w:rPr>
        <w:t>参见艾四林:«伟大建党精神集中体现了马克思主义世界观和方法论»,«学习月刊»</w:t>
      </w:r>
      <w:r>
        <w:rPr>
          <w:rFonts w:hint="eastAsia" w:ascii="宋体" w:hAnsi="宋体" w:eastAsia="宋体" w:cs="宋体"/>
          <w:spacing w:val="3"/>
          <w:position w:val="-1"/>
          <w:sz w:val="18"/>
          <w:szCs w:val="18"/>
        </w:rPr>
        <w:t>2021</w:t>
      </w:r>
      <w:r>
        <w:rPr>
          <w:rFonts w:hint="eastAsia" w:ascii="宋体" w:hAnsi="宋体" w:eastAsia="宋体" w:cs="宋体"/>
          <w:spacing w:val="3"/>
          <w:sz w:val="18"/>
          <w:szCs w:val="18"/>
        </w:rPr>
        <w:t>年第</w:t>
      </w:r>
      <w:r>
        <w:rPr>
          <w:rFonts w:hint="eastAsia" w:ascii="宋体" w:hAnsi="宋体" w:eastAsia="宋体" w:cs="宋体"/>
          <w:spacing w:val="-3"/>
          <w:position w:val="-1"/>
          <w:sz w:val="18"/>
          <w:szCs w:val="18"/>
        </w:rPr>
        <w:t>8</w:t>
      </w:r>
      <w:r>
        <w:rPr>
          <w:rFonts w:hint="eastAsia" w:ascii="宋体" w:hAnsi="宋体" w:eastAsia="宋体" w:cs="宋体"/>
          <w:spacing w:val="-3"/>
          <w:sz w:val="18"/>
          <w:szCs w:val="18"/>
        </w:rPr>
        <w:t>期</w:t>
      </w:r>
      <w:r>
        <w:rPr>
          <w:rFonts w:hint="eastAsia" w:ascii="宋体" w:hAnsi="宋体" w:eastAsia="宋体" w:cs="宋体"/>
          <w:spacing w:val="-3"/>
          <w:position w:val="1"/>
          <w:sz w:val="18"/>
          <w:szCs w:val="18"/>
        </w:rPr>
        <w:t>。</w:t>
      </w:r>
    </w:p>
  </w:footnote>
  <w:footnote w:id="1486">
    <w:p w14:paraId="7C118AE8">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参见陈金龙、李越瀚:«伟大建党精神的基本特征»,«中国社会科学报»</w:t>
      </w:r>
      <w:r>
        <w:rPr>
          <w:rFonts w:hint="eastAsia" w:ascii="宋体" w:hAnsi="宋体" w:eastAsia="宋体" w:cs="宋体"/>
          <w:spacing w:val="8"/>
          <w:position w:val="-1"/>
          <w:sz w:val="18"/>
          <w:szCs w:val="18"/>
        </w:rPr>
        <w:t>2021</w:t>
      </w:r>
      <w:r>
        <w:rPr>
          <w:rFonts w:hint="eastAsia" w:ascii="宋体" w:hAnsi="宋体" w:eastAsia="宋体" w:cs="宋体"/>
          <w:spacing w:val="7"/>
          <w:sz w:val="18"/>
          <w:szCs w:val="18"/>
        </w:rPr>
        <w:t>年</w:t>
      </w:r>
      <w:r>
        <w:rPr>
          <w:rFonts w:hint="eastAsia" w:ascii="宋体" w:hAnsi="宋体" w:eastAsia="宋体" w:cs="宋体"/>
          <w:spacing w:val="7"/>
          <w:position w:val="-1"/>
          <w:sz w:val="18"/>
          <w:szCs w:val="18"/>
        </w:rPr>
        <w:t>11</w:t>
      </w:r>
      <w:r>
        <w:rPr>
          <w:rFonts w:hint="eastAsia" w:ascii="宋体" w:hAnsi="宋体" w:eastAsia="宋体" w:cs="宋体"/>
          <w:spacing w:val="7"/>
          <w:sz w:val="18"/>
          <w:szCs w:val="18"/>
        </w:rPr>
        <w:t>月</w:t>
      </w:r>
      <w:r>
        <w:rPr>
          <w:rFonts w:hint="eastAsia" w:ascii="宋体" w:hAnsi="宋体" w:eastAsia="宋体" w:cs="宋体"/>
          <w:spacing w:val="7"/>
          <w:position w:val="-1"/>
          <w:sz w:val="18"/>
          <w:szCs w:val="18"/>
        </w:rPr>
        <w:t>4</w:t>
      </w:r>
      <w:r>
        <w:rPr>
          <w:rFonts w:hint="eastAsia" w:ascii="宋体" w:hAnsi="宋体" w:eastAsia="宋体" w:cs="宋体"/>
          <w:spacing w:val="7"/>
          <w:sz w:val="18"/>
          <w:szCs w:val="18"/>
        </w:rPr>
        <w:t>日。</w:t>
      </w:r>
    </w:p>
  </w:footnote>
  <w:footnote w:id="1487">
    <w:p w14:paraId="10C2D6AC">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«马克思恩格斯全集»第</w:t>
      </w:r>
      <w:r>
        <w:rPr>
          <w:rFonts w:hint="eastAsia" w:ascii="宋体" w:hAnsi="宋体" w:eastAsia="宋体" w:cs="宋体"/>
          <w:spacing w:val="6"/>
          <w:position w:val="-1"/>
          <w:sz w:val="18"/>
          <w:szCs w:val="18"/>
        </w:rPr>
        <w:t>3</w:t>
      </w:r>
      <w:r>
        <w:rPr>
          <w:rFonts w:hint="eastAsia" w:ascii="宋体" w:hAnsi="宋体" w:eastAsia="宋体" w:cs="宋体"/>
          <w:spacing w:val="6"/>
          <w:sz w:val="18"/>
          <w:szCs w:val="18"/>
        </w:rPr>
        <w:t>卷,人民出版社</w:t>
      </w:r>
      <w:r>
        <w:rPr>
          <w:rFonts w:hint="eastAsia" w:ascii="宋体" w:hAnsi="宋体" w:eastAsia="宋体" w:cs="宋体"/>
          <w:spacing w:val="6"/>
          <w:position w:val="-1"/>
          <w:sz w:val="18"/>
          <w:szCs w:val="18"/>
        </w:rPr>
        <w:t>2002</w:t>
      </w:r>
      <w:r>
        <w:rPr>
          <w:rFonts w:hint="eastAsia" w:ascii="宋体" w:hAnsi="宋体" w:eastAsia="宋体" w:cs="宋体"/>
          <w:spacing w:val="6"/>
          <w:sz w:val="18"/>
          <w:szCs w:val="18"/>
        </w:rPr>
        <w:t>年版,第</w:t>
      </w:r>
      <w:r>
        <w:rPr>
          <w:rFonts w:hint="eastAsia" w:ascii="宋体" w:hAnsi="宋体" w:eastAsia="宋体" w:cs="宋体"/>
          <w:spacing w:val="6"/>
          <w:position w:val="-1"/>
          <w:sz w:val="18"/>
          <w:szCs w:val="18"/>
        </w:rPr>
        <w:t>207</w:t>
      </w:r>
      <w:r>
        <w:rPr>
          <w:rFonts w:hint="eastAsia" w:ascii="宋体" w:hAnsi="宋体" w:eastAsia="宋体" w:cs="宋体"/>
          <w:spacing w:val="6"/>
          <w:sz w:val="18"/>
          <w:szCs w:val="18"/>
        </w:rPr>
        <w:t>页。</w:t>
      </w:r>
    </w:p>
  </w:footnote>
  <w:footnote w:id="1488">
    <w:p w14:paraId="193E92C3">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8"/>
          <w:sz w:val="18"/>
          <w:szCs w:val="18"/>
        </w:rPr>
        <w:t>精神动力即思想、理想、信念、道德、情感、意志等精神因素对人从事的一切活动及社会发展产</w:t>
      </w:r>
      <w:r>
        <w:rPr>
          <w:rFonts w:hint="eastAsia" w:ascii="宋体" w:hAnsi="宋体" w:eastAsia="宋体" w:cs="宋体"/>
          <w:spacing w:val="15"/>
          <w:sz w:val="18"/>
          <w:szCs w:val="18"/>
        </w:rPr>
        <w:t>生的精神推动力量。</w:t>
      </w:r>
    </w:p>
  </w:footnote>
  <w:footnote w:id="1489">
    <w:p w14:paraId="662A2330">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参见朱崴浩、郑育琛:«伟大建党精神融入高校思想政治理论课的育人逻</w:t>
      </w:r>
      <w:r>
        <w:rPr>
          <w:rFonts w:hint="eastAsia" w:ascii="宋体" w:hAnsi="宋体" w:eastAsia="宋体" w:cs="宋体"/>
          <w:spacing w:val="5"/>
          <w:sz w:val="18"/>
          <w:szCs w:val="18"/>
        </w:rPr>
        <w:t>辑和实践路径»,«长春</w:t>
      </w:r>
      <w:r>
        <w:rPr>
          <w:rFonts w:hint="eastAsia" w:ascii="宋体" w:hAnsi="宋体" w:eastAsia="宋体" w:cs="宋体"/>
          <w:spacing w:val="10"/>
          <w:sz w:val="18"/>
          <w:szCs w:val="18"/>
        </w:rPr>
        <w:t>理工大学学报»(社会科学版)</w:t>
      </w:r>
      <w:r>
        <w:rPr>
          <w:rFonts w:hint="eastAsia" w:ascii="宋体" w:hAnsi="宋体" w:eastAsia="宋体" w:cs="宋体"/>
          <w:spacing w:val="10"/>
          <w:position w:val="-1"/>
          <w:sz w:val="18"/>
          <w:szCs w:val="18"/>
        </w:rPr>
        <w:t>2023</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1</w:t>
      </w:r>
      <w:r>
        <w:rPr>
          <w:rFonts w:hint="eastAsia" w:ascii="宋体" w:hAnsi="宋体" w:eastAsia="宋体" w:cs="宋体"/>
          <w:spacing w:val="10"/>
          <w:sz w:val="18"/>
          <w:szCs w:val="18"/>
        </w:rPr>
        <w:t>期。</w:t>
      </w:r>
    </w:p>
  </w:footnote>
  <w:footnote w:id="1490">
    <w:p w14:paraId="07050DF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参见金国峰:«伟大建党精神融入高校思想政治教育研究»,«学校党建与思想教</w:t>
      </w:r>
      <w:r>
        <w:rPr>
          <w:rFonts w:hint="eastAsia" w:ascii="宋体" w:hAnsi="宋体" w:eastAsia="宋体" w:cs="宋体"/>
          <w:spacing w:val="3"/>
          <w:sz w:val="18"/>
          <w:szCs w:val="18"/>
        </w:rPr>
        <w:t>育»</w:t>
      </w:r>
      <w:r>
        <w:rPr>
          <w:rFonts w:hint="eastAsia" w:ascii="宋体" w:hAnsi="宋体" w:eastAsia="宋体" w:cs="宋体"/>
          <w:spacing w:val="3"/>
          <w:position w:val="-1"/>
          <w:sz w:val="18"/>
          <w:szCs w:val="18"/>
        </w:rPr>
        <w:t>2022</w:t>
      </w:r>
      <w:r>
        <w:rPr>
          <w:rFonts w:hint="eastAsia" w:ascii="宋体" w:hAnsi="宋体" w:eastAsia="宋体" w:cs="宋体"/>
          <w:spacing w:val="3"/>
          <w:sz w:val="18"/>
          <w:szCs w:val="18"/>
        </w:rPr>
        <w:t>年第</w:t>
      </w:r>
      <w:r>
        <w:rPr>
          <w:rFonts w:hint="eastAsia" w:ascii="宋体" w:hAnsi="宋体" w:eastAsia="宋体" w:cs="宋体"/>
          <w:spacing w:val="-5"/>
          <w:position w:val="-1"/>
          <w:sz w:val="18"/>
          <w:szCs w:val="18"/>
        </w:rPr>
        <w:t>5</w:t>
      </w:r>
      <w:r>
        <w:rPr>
          <w:rFonts w:hint="eastAsia" w:ascii="宋体" w:hAnsi="宋体" w:eastAsia="宋体" w:cs="宋体"/>
          <w:spacing w:val="-5"/>
          <w:sz w:val="18"/>
          <w:szCs w:val="18"/>
        </w:rPr>
        <w:t>期</w:t>
      </w:r>
      <w:r>
        <w:rPr>
          <w:rFonts w:hint="eastAsia" w:ascii="宋体" w:hAnsi="宋体" w:eastAsia="宋体" w:cs="宋体"/>
          <w:spacing w:val="-5"/>
          <w:position w:val="1"/>
          <w:sz w:val="18"/>
          <w:szCs w:val="18"/>
        </w:rPr>
        <w:t>。</w:t>
      </w:r>
    </w:p>
  </w:footnote>
  <w:footnote w:id="1491">
    <w:p w14:paraId="6FE3246E">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6"/>
          <w:sz w:val="18"/>
          <w:szCs w:val="18"/>
        </w:rPr>
        <w:t>参见朱崴浩、郑育琛:«伟大建党精神融入高校思想政治理论课的育人逻</w:t>
      </w:r>
      <w:r>
        <w:rPr>
          <w:rFonts w:hint="eastAsia" w:ascii="宋体" w:hAnsi="宋体" w:eastAsia="宋体" w:cs="宋体"/>
          <w:spacing w:val="5"/>
          <w:sz w:val="18"/>
          <w:szCs w:val="18"/>
        </w:rPr>
        <w:t>辑和实践路径»,«长春</w:t>
      </w:r>
      <w:r>
        <w:rPr>
          <w:rFonts w:hint="eastAsia" w:ascii="宋体" w:hAnsi="宋体" w:eastAsia="宋体" w:cs="宋体"/>
          <w:spacing w:val="10"/>
          <w:sz w:val="18"/>
          <w:szCs w:val="18"/>
        </w:rPr>
        <w:t>理工大学学报»(社会科学版)</w:t>
      </w:r>
      <w:r>
        <w:rPr>
          <w:rFonts w:hint="eastAsia" w:ascii="宋体" w:hAnsi="宋体" w:eastAsia="宋体" w:cs="宋体"/>
          <w:spacing w:val="10"/>
          <w:position w:val="-1"/>
          <w:sz w:val="18"/>
          <w:szCs w:val="18"/>
        </w:rPr>
        <w:t>2023</w:t>
      </w:r>
      <w:r>
        <w:rPr>
          <w:rFonts w:hint="eastAsia" w:ascii="宋体" w:hAnsi="宋体" w:eastAsia="宋体" w:cs="宋体"/>
          <w:spacing w:val="10"/>
          <w:sz w:val="18"/>
          <w:szCs w:val="18"/>
        </w:rPr>
        <w:t>年第</w:t>
      </w:r>
      <w:r>
        <w:rPr>
          <w:rFonts w:hint="eastAsia" w:ascii="宋体" w:hAnsi="宋体" w:eastAsia="宋体" w:cs="宋体"/>
          <w:spacing w:val="10"/>
          <w:position w:val="-1"/>
          <w:sz w:val="18"/>
          <w:szCs w:val="18"/>
        </w:rPr>
        <w:t>1</w:t>
      </w:r>
      <w:r>
        <w:rPr>
          <w:rFonts w:hint="eastAsia" w:ascii="宋体" w:hAnsi="宋体" w:eastAsia="宋体" w:cs="宋体"/>
          <w:spacing w:val="10"/>
          <w:sz w:val="18"/>
          <w:szCs w:val="18"/>
        </w:rPr>
        <w:t>期。</w:t>
      </w:r>
    </w:p>
  </w:footnote>
  <w:footnote w:id="1492">
    <w:p w14:paraId="3A3DA0ED">
      <w:pPr>
        <w:pStyle w:val="11"/>
        <w:keepNext w:val="0"/>
        <w:keepLines w:val="0"/>
        <w:pageBreakBefore w:val="0"/>
        <w:topLinePunct w:val="0"/>
        <w:bidi w:val="0"/>
        <w:snapToGrid w:val="0"/>
        <w:spacing w:line="240" w:lineRule="auto"/>
        <w:ind w:left="0" w:right="0" w:firstLine="0" w:firstLineChars="0"/>
        <w:rPr>
          <w:rFonts w:hint="eastAsia" w:ascii="宋体" w:hAnsi="宋体" w:eastAsia="宋体" w:cs="宋体"/>
          <w:sz w:val="18"/>
          <w:szCs w:val="18"/>
        </w:rPr>
      </w:pPr>
      <w:r>
        <w:rPr>
          <w:rStyle w:val="20"/>
          <w:rFonts w:hint="eastAsia" w:ascii="宋体" w:hAnsi="宋体" w:eastAsia="宋体" w:cs="宋体"/>
          <w:sz w:val="18"/>
          <w:szCs w:val="18"/>
        </w:rPr>
        <w:footnoteRef/>
      </w:r>
      <w:r>
        <w:rPr>
          <w:rFonts w:hint="eastAsia" w:ascii="宋体" w:hAnsi="宋体" w:eastAsia="宋体" w:cs="宋体"/>
          <w:spacing w:val="4"/>
          <w:sz w:val="18"/>
          <w:szCs w:val="18"/>
        </w:rPr>
        <w:t>«中共中央关于制定国民经济和社会发展第十五个五年规划的建议»,人民出版社</w:t>
      </w:r>
      <w:r>
        <w:rPr>
          <w:rFonts w:hint="eastAsia" w:ascii="宋体" w:hAnsi="宋体" w:eastAsia="宋体" w:cs="宋体"/>
          <w:spacing w:val="4"/>
          <w:position w:val="-1"/>
          <w:sz w:val="18"/>
          <w:szCs w:val="18"/>
        </w:rPr>
        <w:t>2025</w:t>
      </w:r>
      <w:r>
        <w:rPr>
          <w:rFonts w:hint="eastAsia" w:ascii="宋体" w:hAnsi="宋体" w:eastAsia="宋体" w:cs="宋体"/>
          <w:spacing w:val="3"/>
          <w:sz w:val="18"/>
          <w:szCs w:val="18"/>
        </w:rPr>
        <w:t>年版,第</w:t>
      </w:r>
      <w:r>
        <w:rPr>
          <w:rFonts w:hint="eastAsia" w:ascii="宋体" w:hAnsi="宋体" w:eastAsia="宋体" w:cs="宋体"/>
          <w:spacing w:val="-3"/>
          <w:sz w:val="18"/>
          <w:szCs w:val="18"/>
        </w:rPr>
        <w:t>26</w:t>
      </w:r>
      <w:r>
        <w:rPr>
          <w:rFonts w:hint="eastAsia" w:ascii="宋体" w:hAnsi="宋体" w:eastAsia="宋体" w:cs="宋体"/>
          <w:spacing w:val="-3"/>
          <w:position w:val="1"/>
          <w:sz w:val="18"/>
          <w:szCs w:val="18"/>
        </w:rPr>
        <w:t>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38CAC">
    <w:pPr>
      <w:pStyle w:val="9"/>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01454">
    <w:pPr>
      <w:spacing w:line="14" w:lineRule="auto"/>
      <w:rPr>
        <w:rFonts w:ascii="Arial"/>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0E8E8">
    <w:pPr>
      <w:spacing w:line="14" w:lineRule="auto"/>
      <w:rPr>
        <w:rFonts w:ascii="Arial"/>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53F77A">
    <w:pPr>
      <w:pStyle w:val="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81798">
    <w:pPr>
      <w:pStyle w:val="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E2A7D2">
    <w:pPr>
      <w:pStyle w:val="6"/>
      <w:spacing w:before="40" w:line="222" w:lineRule="auto"/>
      <w:ind w:left="4790"/>
      <w:rPr>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3340E5">
    <w:pPr>
      <w:pStyle w:val="6"/>
      <w:spacing w:before="40" w:line="222" w:lineRule="auto"/>
      <w:ind w:left="4871"/>
      <w:rPr>
        <w:sz w:val="15"/>
        <w:szCs w:val="15"/>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76EBB">
    <w:pPr>
      <w:pStyle w:val="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F33416">
    <w:pPr>
      <w:pStyle w:val="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C23C5">
    <w:pPr>
      <w:pStyle w:val="9"/>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3FC6E">
    <w:pPr>
      <w:pStyle w:val="9"/>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FCCC2">
    <w:pPr>
      <w:spacing w:before="39" w:line="237" w:lineRule="auto"/>
      <w:ind w:left="773"/>
      <w:rPr>
        <w:rFonts w:ascii="楷体" w:hAnsi="楷体" w:eastAsia="楷体" w:cs="楷体"/>
        <w:sz w:val="17"/>
        <w:szCs w:val="17"/>
      </w:rPr>
    </w:pPr>
    <w:r>
      <w:rPr>
        <w:rFonts w:ascii="楷体" w:hAnsi="楷体" w:eastAsia="楷体" w:cs="楷体"/>
        <w:color w:val="231F20"/>
        <w:sz w:val="17"/>
        <w:szCs w:val="17"/>
        <w:u w:val="single" w:color="auto"/>
      </w:rPr>
      <w:t xml:space="preserve">                                                  </w:t>
    </w:r>
    <w:r>
      <w:rPr>
        <w:rFonts w:ascii="楷体" w:hAnsi="楷体" w:eastAsia="楷体" w:cs="楷体"/>
        <w:color w:val="231F20"/>
        <w:spacing w:val="-1"/>
        <w:sz w:val="17"/>
        <w:szCs w:val="17"/>
        <w:u w:val="single" w:color="auto"/>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A4DF93"/>
    <w:multiLevelType w:val="singleLevel"/>
    <w:tmpl w:val="97A4DF93"/>
    <w:lvl w:ilvl="0" w:tentative="0">
      <w:start w:val="1"/>
      <w:numFmt w:val="chineseCounting"/>
      <w:suff w:val="nothing"/>
      <w:lvlText w:val="%1、"/>
      <w:lvlJc w:val="left"/>
      <w:rPr>
        <w:rFonts w:hint="eastAsia"/>
      </w:rPr>
    </w:lvl>
  </w:abstractNum>
  <w:abstractNum w:abstractNumId="1">
    <w:nsid w:val="AF0BFAF6"/>
    <w:multiLevelType w:val="singleLevel"/>
    <w:tmpl w:val="AF0BFAF6"/>
    <w:lvl w:ilvl="0" w:tentative="0">
      <w:start w:val="1"/>
      <w:numFmt w:val="decimal"/>
      <w:suff w:val="space"/>
      <w:lvlText w:val="[%1]"/>
      <w:lvlJc w:val="left"/>
      <w:pPr>
        <w:ind w:left="210" w:leftChars="0" w:firstLine="0" w:firstLineChars="0"/>
      </w:pPr>
    </w:lvl>
  </w:abstractNum>
  <w:abstractNum w:abstractNumId="2">
    <w:nsid w:val="B21EA107"/>
    <w:multiLevelType w:val="singleLevel"/>
    <w:tmpl w:val="B21EA107"/>
    <w:lvl w:ilvl="0" w:tentative="0">
      <w:start w:val="1"/>
      <w:numFmt w:val="decimal"/>
      <w:lvlText w:val="[%1]"/>
      <w:lvlJc w:val="left"/>
      <w:pPr>
        <w:tabs>
          <w:tab w:val="left" w:pos="312"/>
        </w:tabs>
      </w:pPr>
    </w:lvl>
  </w:abstractNum>
  <w:abstractNum w:abstractNumId="3">
    <w:nsid w:val="B3AD6CE3"/>
    <w:multiLevelType w:val="singleLevel"/>
    <w:tmpl w:val="B3AD6CE3"/>
    <w:lvl w:ilvl="0" w:tentative="0">
      <w:start w:val="3"/>
      <w:numFmt w:val="chineseCounting"/>
      <w:suff w:val="nothing"/>
      <w:lvlText w:val="第%1，"/>
      <w:lvlJc w:val="left"/>
      <w:rPr>
        <w:rFonts w:hint="eastAsia"/>
        <w:b/>
      </w:rPr>
    </w:lvl>
  </w:abstractNum>
  <w:abstractNum w:abstractNumId="4">
    <w:nsid w:val="B404CA8B"/>
    <w:multiLevelType w:val="singleLevel"/>
    <w:tmpl w:val="B404CA8B"/>
    <w:lvl w:ilvl="0" w:tentative="0">
      <w:start w:val="1"/>
      <w:numFmt w:val="decimal"/>
      <w:lvlText w:val="[%1]"/>
      <w:lvlJc w:val="left"/>
      <w:pPr>
        <w:tabs>
          <w:tab w:val="left" w:pos="420"/>
        </w:tabs>
        <w:ind w:left="425" w:leftChars="0" w:hanging="425" w:firstLineChars="0"/>
      </w:pPr>
      <w:rPr>
        <w:rFonts w:hint="default"/>
      </w:rPr>
    </w:lvl>
  </w:abstractNum>
  <w:abstractNum w:abstractNumId="5">
    <w:nsid w:val="B7299EA9"/>
    <w:multiLevelType w:val="singleLevel"/>
    <w:tmpl w:val="B7299EA9"/>
    <w:lvl w:ilvl="0" w:tentative="0">
      <w:start w:val="2"/>
      <w:numFmt w:val="chineseCounting"/>
      <w:suff w:val="nothing"/>
      <w:lvlText w:val="第%1，"/>
      <w:lvlJc w:val="left"/>
      <w:rPr>
        <w:rFonts w:hint="eastAsia"/>
      </w:rPr>
    </w:lvl>
  </w:abstractNum>
  <w:abstractNum w:abstractNumId="6">
    <w:nsid w:val="BF96CDAE"/>
    <w:multiLevelType w:val="singleLevel"/>
    <w:tmpl w:val="BF96CDAE"/>
    <w:lvl w:ilvl="0" w:tentative="0">
      <w:start w:val="1"/>
      <w:numFmt w:val="decimal"/>
      <w:lvlText w:val="[%1]"/>
      <w:lvlJc w:val="left"/>
      <w:pPr>
        <w:tabs>
          <w:tab w:val="left" w:pos="420"/>
        </w:tabs>
        <w:ind w:left="425" w:leftChars="0" w:hanging="425" w:firstLineChars="0"/>
      </w:pPr>
      <w:rPr>
        <w:rFonts w:hint="default"/>
      </w:rPr>
    </w:lvl>
  </w:abstractNum>
  <w:abstractNum w:abstractNumId="7">
    <w:nsid w:val="D44B492F"/>
    <w:multiLevelType w:val="singleLevel"/>
    <w:tmpl w:val="D44B492F"/>
    <w:lvl w:ilvl="0" w:tentative="0">
      <w:start w:val="1"/>
      <w:numFmt w:val="chineseCounting"/>
      <w:suff w:val="nothing"/>
      <w:lvlText w:val="（%1）"/>
      <w:lvlJc w:val="left"/>
      <w:rPr>
        <w:rFonts w:hint="eastAsia"/>
      </w:rPr>
    </w:lvl>
  </w:abstractNum>
  <w:abstractNum w:abstractNumId="8">
    <w:nsid w:val="DA0AA649"/>
    <w:multiLevelType w:val="singleLevel"/>
    <w:tmpl w:val="DA0AA649"/>
    <w:lvl w:ilvl="0" w:tentative="0">
      <w:start w:val="3"/>
      <w:numFmt w:val="chineseCounting"/>
      <w:suff w:val="nothing"/>
      <w:lvlText w:val="第%1，"/>
      <w:lvlJc w:val="left"/>
      <w:rPr>
        <w:rFonts w:hint="eastAsia"/>
        <w:b/>
      </w:rPr>
    </w:lvl>
  </w:abstractNum>
  <w:abstractNum w:abstractNumId="9">
    <w:nsid w:val="DB233A2F"/>
    <w:multiLevelType w:val="singleLevel"/>
    <w:tmpl w:val="DB233A2F"/>
    <w:lvl w:ilvl="0" w:tentative="0">
      <w:start w:val="3"/>
      <w:numFmt w:val="decimal"/>
      <w:suff w:val="nothing"/>
      <w:lvlText w:val="%1、"/>
      <w:lvlJc w:val="left"/>
    </w:lvl>
  </w:abstractNum>
  <w:abstractNum w:abstractNumId="10">
    <w:nsid w:val="E0E430D0"/>
    <w:multiLevelType w:val="singleLevel"/>
    <w:tmpl w:val="E0E430D0"/>
    <w:lvl w:ilvl="0" w:tentative="0">
      <w:start w:val="1"/>
      <w:numFmt w:val="decimal"/>
      <w:suff w:val="nothing"/>
      <w:lvlText w:val="%1、"/>
      <w:lvlJc w:val="left"/>
    </w:lvl>
  </w:abstractNum>
  <w:abstractNum w:abstractNumId="11">
    <w:nsid w:val="26CF3239"/>
    <w:multiLevelType w:val="singleLevel"/>
    <w:tmpl w:val="26CF3239"/>
    <w:lvl w:ilvl="0" w:tentative="0">
      <w:start w:val="2"/>
      <w:numFmt w:val="chineseCounting"/>
      <w:suff w:val="nothing"/>
      <w:lvlText w:val="%1、"/>
      <w:lvlJc w:val="left"/>
      <w:rPr>
        <w:rFonts w:hint="eastAsia"/>
      </w:rPr>
    </w:lvl>
  </w:abstractNum>
  <w:abstractNum w:abstractNumId="12">
    <w:nsid w:val="2E3E35BF"/>
    <w:multiLevelType w:val="singleLevel"/>
    <w:tmpl w:val="2E3E35BF"/>
    <w:lvl w:ilvl="0" w:tentative="0">
      <w:start w:val="1"/>
      <w:numFmt w:val="decimal"/>
      <w:suff w:val="nothing"/>
      <w:lvlText w:val="%1、"/>
      <w:lvlJc w:val="left"/>
    </w:lvl>
  </w:abstractNum>
  <w:abstractNum w:abstractNumId="13">
    <w:nsid w:val="3B34A586"/>
    <w:multiLevelType w:val="singleLevel"/>
    <w:tmpl w:val="3B34A586"/>
    <w:lvl w:ilvl="0" w:tentative="0">
      <w:start w:val="1"/>
      <w:numFmt w:val="chineseCounting"/>
      <w:suff w:val="nothing"/>
      <w:lvlText w:val="第%1，"/>
      <w:lvlJc w:val="left"/>
      <w:rPr>
        <w:rFonts w:hint="eastAsia"/>
      </w:rPr>
    </w:lvl>
  </w:abstractNum>
  <w:abstractNum w:abstractNumId="14">
    <w:nsid w:val="4C4BC733"/>
    <w:multiLevelType w:val="singleLevel"/>
    <w:tmpl w:val="4C4BC733"/>
    <w:lvl w:ilvl="0" w:tentative="0">
      <w:start w:val="2"/>
      <w:numFmt w:val="chineseCounting"/>
      <w:suff w:val="nothing"/>
      <w:lvlText w:val="第%1，"/>
      <w:lvlJc w:val="left"/>
      <w:pPr>
        <w:ind w:left="-60"/>
      </w:pPr>
      <w:rPr>
        <w:rFonts w:hint="eastAsia"/>
        <w:b/>
      </w:rPr>
    </w:lvl>
  </w:abstractNum>
  <w:abstractNum w:abstractNumId="15">
    <w:nsid w:val="53DE8316"/>
    <w:multiLevelType w:val="singleLevel"/>
    <w:tmpl w:val="53DE8316"/>
    <w:lvl w:ilvl="0" w:tentative="0">
      <w:start w:val="19"/>
      <w:numFmt w:val="decimal"/>
      <w:lvlText w:val="[%1]"/>
      <w:lvlJc w:val="left"/>
      <w:pPr>
        <w:tabs>
          <w:tab w:val="left" w:pos="312"/>
        </w:tabs>
      </w:pPr>
    </w:lvl>
  </w:abstractNum>
  <w:abstractNum w:abstractNumId="16">
    <w:nsid w:val="58AD848C"/>
    <w:multiLevelType w:val="singleLevel"/>
    <w:tmpl w:val="58AD848C"/>
    <w:lvl w:ilvl="0" w:tentative="0">
      <w:start w:val="1"/>
      <w:numFmt w:val="decimal"/>
      <w:lvlText w:val="[%1]"/>
      <w:lvlJc w:val="left"/>
      <w:pPr>
        <w:tabs>
          <w:tab w:val="left" w:pos="420"/>
        </w:tabs>
        <w:ind w:left="425" w:leftChars="0" w:hanging="425" w:firstLineChars="0"/>
      </w:pPr>
      <w:rPr>
        <w:rFonts w:hint="default"/>
      </w:rPr>
    </w:lvl>
  </w:abstractNum>
  <w:abstractNum w:abstractNumId="17">
    <w:nsid w:val="5CBA00C8"/>
    <w:multiLevelType w:val="singleLevel"/>
    <w:tmpl w:val="5CBA00C8"/>
    <w:lvl w:ilvl="0" w:tentative="0">
      <w:start w:val="4"/>
      <w:numFmt w:val="chineseCounting"/>
      <w:suff w:val="nothing"/>
      <w:lvlText w:val="%1、"/>
      <w:lvlJc w:val="left"/>
      <w:rPr>
        <w:rFonts w:hint="eastAsia"/>
      </w:rPr>
    </w:lvl>
  </w:abstractNum>
  <w:abstractNum w:abstractNumId="18">
    <w:nsid w:val="67BF455E"/>
    <w:multiLevelType w:val="singleLevel"/>
    <w:tmpl w:val="67BF455E"/>
    <w:lvl w:ilvl="0" w:tentative="0">
      <w:start w:val="3"/>
      <w:numFmt w:val="chineseCounting"/>
      <w:suff w:val="nothing"/>
      <w:lvlText w:val="%1、"/>
      <w:lvlJc w:val="left"/>
      <w:rPr>
        <w:rFonts w:hint="eastAsia"/>
      </w:rPr>
    </w:lvl>
  </w:abstractNum>
  <w:abstractNum w:abstractNumId="19">
    <w:nsid w:val="6A1ABD60"/>
    <w:multiLevelType w:val="singleLevel"/>
    <w:tmpl w:val="6A1ABD60"/>
    <w:lvl w:ilvl="0" w:tentative="0">
      <w:start w:val="1"/>
      <w:numFmt w:val="decimal"/>
      <w:lvlText w:val="[%1]"/>
      <w:lvlJc w:val="left"/>
      <w:pPr>
        <w:tabs>
          <w:tab w:val="left" w:pos="420"/>
        </w:tabs>
        <w:ind w:left="425" w:leftChars="0" w:hanging="425" w:firstLineChars="0"/>
      </w:pPr>
      <w:rPr>
        <w:rFonts w:hint="default"/>
      </w:rPr>
    </w:lvl>
  </w:abstractNum>
  <w:abstractNum w:abstractNumId="20">
    <w:nsid w:val="6E41F3C9"/>
    <w:multiLevelType w:val="singleLevel"/>
    <w:tmpl w:val="6E41F3C9"/>
    <w:lvl w:ilvl="0" w:tentative="0">
      <w:start w:val="1"/>
      <w:numFmt w:val="decimal"/>
      <w:suff w:val="nothing"/>
      <w:lvlText w:val="%1、"/>
      <w:lvlJc w:val="left"/>
    </w:lvl>
  </w:abstractNum>
  <w:num w:numId="1">
    <w:abstractNumId w:val="5"/>
  </w:num>
  <w:num w:numId="2">
    <w:abstractNumId w:val="20"/>
  </w:num>
  <w:num w:numId="3">
    <w:abstractNumId w:val="12"/>
  </w:num>
  <w:num w:numId="4">
    <w:abstractNumId w:val="11"/>
  </w:num>
  <w:num w:numId="5">
    <w:abstractNumId w:val="10"/>
  </w:num>
  <w:num w:numId="6">
    <w:abstractNumId w:val="9"/>
  </w:num>
  <w:num w:numId="7">
    <w:abstractNumId w:val="3"/>
  </w:num>
  <w:num w:numId="8">
    <w:abstractNumId w:val="8"/>
  </w:num>
  <w:num w:numId="9">
    <w:abstractNumId w:val="14"/>
  </w:num>
  <w:num w:numId="10">
    <w:abstractNumId w:val="13"/>
  </w:num>
  <w:num w:numId="11">
    <w:abstractNumId w:val="4"/>
  </w:num>
  <w:num w:numId="12">
    <w:abstractNumId w:val="0"/>
  </w:num>
  <w:num w:numId="13">
    <w:abstractNumId w:val="17"/>
  </w:num>
  <w:num w:numId="14">
    <w:abstractNumId w:val="16"/>
  </w:num>
  <w:num w:numId="15">
    <w:abstractNumId w:val="19"/>
  </w:num>
  <w:num w:numId="16">
    <w:abstractNumId w:val="1"/>
  </w:num>
  <w:num w:numId="17">
    <w:abstractNumId w:val="6"/>
  </w:num>
  <w:num w:numId="18">
    <w:abstractNumId w:val="18"/>
  </w:num>
  <w:num w:numId="19">
    <w:abstractNumId w:val="7"/>
  </w:num>
  <w:num w:numId="20">
    <w:abstractNumId w:val="15"/>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numFmt w:val="decimalEnclosedCircleChinese"/>
    <w:numRestart w:val="eachPage"/>
    <w:footnote w:id="2986"/>
    <w:footnote w:id="2987"/>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D1FF6A01"/>
    <w:rsid w:val="D1FF6A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name="footnote reference"/>
    <w:lsdException w:unhideWhenUsed="0" w:uiPriority="0" w:semiHidden="0" w:name="annotation reference"/>
    <w:lsdException w:unhideWhenUsed="0" w:uiPriority="0" w:semiHidden="0" w:name="line number"/>
    <w:lsdException w:unhideWhenUsed="0" w:uiPriority="0" w:semiHidden="0" w:name="page number"/>
    <w:lsdException w:qFormat="1" w:unhideWhenUsed="0" w:uiPriority="0" w:semiHidden="0" w:name="endnote reference"/>
    <w:lsdException w:qFormat="1"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spacing w:line="360" w:lineRule="auto"/>
      <w:ind w:firstLine="420" w:firstLineChars="200"/>
      <w:jc w:val="both"/>
    </w:pPr>
    <w:rPr>
      <w:rFonts w:eastAsia="宋体" w:asciiTheme="minorAscii" w:hAnsiTheme="minorAscii" w:cstheme="minorBidi"/>
      <w:kern w:val="2"/>
      <w:sz w:val="21"/>
      <w:szCs w:val="22"/>
      <w:lang w:val="zh-TW" w:eastAsia="zh-TW" w:bidi="ar-SA"/>
    </w:rPr>
  </w:style>
  <w:style w:type="paragraph" w:styleId="2">
    <w:name w:val="heading 1"/>
    <w:basedOn w:val="1"/>
    <w:next w:val="1"/>
    <w:qFormat/>
    <w:uiPriority w:val="0"/>
    <w:pPr>
      <w:spacing w:before="480" w:after="320"/>
      <w:jc w:val="center"/>
      <w:outlineLvl w:val="0"/>
    </w:pPr>
    <w:rPr>
      <w:rFonts w:ascii="Times New Roman" w:hAnsi="Times New Roman" w:eastAsia="黑体" w:cs="Times New Roman"/>
      <w:bCs/>
      <w:kern w:val="44"/>
      <w:sz w:val="32"/>
      <w:szCs w:val="48"/>
      <w:lang w:bidi="ar"/>
    </w:rPr>
  </w:style>
  <w:style w:type="paragraph" w:styleId="3">
    <w:name w:val="heading 2"/>
    <w:basedOn w:val="1"/>
    <w:next w:val="1"/>
    <w:link w:val="21"/>
    <w:unhideWhenUsed/>
    <w:qFormat/>
    <w:uiPriority w:val="0"/>
    <w:pPr>
      <w:keepNext/>
      <w:spacing w:before="240" w:after="60"/>
      <w:jc w:val="center"/>
      <w:outlineLvl w:val="1"/>
    </w:pPr>
    <w:rPr>
      <w:rFonts w:ascii="Cambria" w:hAnsi="Cambria" w:eastAsia="黑体" w:cs="Times New Roman"/>
      <w:bCs/>
      <w:iCs/>
      <w:sz w:val="32"/>
      <w:szCs w:val="28"/>
    </w:rPr>
  </w:style>
  <w:style w:type="paragraph" w:styleId="4">
    <w:name w:val="heading 3"/>
    <w:basedOn w:val="1"/>
    <w:next w:val="1"/>
    <w:semiHidden/>
    <w:unhideWhenUsed/>
    <w:qFormat/>
    <w:uiPriority w:val="0"/>
    <w:pPr>
      <w:keepNext/>
      <w:keepLines/>
      <w:spacing w:before="240" w:beforeLines="0" w:beforeAutospacing="0" w:after="120" w:afterLines="0" w:afterAutospacing="0" w:line="400" w:lineRule="exact"/>
      <w:ind w:left="420" w:leftChars="200" w:firstLine="0" w:firstLineChars="0"/>
      <w:outlineLvl w:val="2"/>
    </w:pPr>
    <w:rPr>
      <w:rFonts w:eastAsia="黑体"/>
      <w:sz w:val="28"/>
    </w:rPr>
  </w:style>
  <w:style w:type="paragraph" w:styleId="5">
    <w:name w:val="heading 4"/>
    <w:basedOn w:val="1"/>
    <w:next w:val="1"/>
    <w:link w:val="23"/>
    <w:semiHidden/>
    <w:unhideWhenUsed/>
    <w:qFormat/>
    <w:uiPriority w:val="0"/>
    <w:pPr>
      <w:keepNext/>
      <w:keepLines/>
      <w:spacing w:before="240" w:beforeLines="0" w:beforeAutospacing="0" w:after="120" w:afterLines="0" w:afterAutospacing="0" w:line="400" w:lineRule="exact"/>
      <w:ind w:firstLine="420" w:firstLineChars="200"/>
      <w:outlineLvl w:val="3"/>
    </w:pPr>
    <w:rPr>
      <w:rFonts w:ascii="Arial" w:hAnsi="Arial" w:eastAsia="黑体"/>
    </w:rPr>
  </w:style>
  <w:style w:type="character" w:default="1" w:styleId="16">
    <w:name w:val="Default Paragraph Font"/>
    <w:semiHidden/>
    <w:uiPriority w:val="0"/>
  </w:style>
  <w:style w:type="table" w:default="1" w:styleId="14">
    <w:name w:val="Normal Table"/>
    <w:semiHidden/>
    <w:uiPriority w:val="0"/>
    <w:tblPr>
      <w:tblCellMar>
        <w:top w:w="0" w:type="dxa"/>
        <w:left w:w="108" w:type="dxa"/>
        <w:bottom w:w="0" w:type="dxa"/>
        <w:right w:w="108" w:type="dxa"/>
      </w:tblCellMar>
    </w:tblPr>
  </w:style>
  <w:style w:type="paragraph" w:styleId="6">
    <w:name w:val="Body Text"/>
    <w:basedOn w:val="1"/>
    <w:qFormat/>
    <w:uiPriority w:val="1"/>
    <w:pPr>
      <w:ind w:left="111"/>
    </w:pPr>
    <w:rPr>
      <w:rFonts w:ascii="华光书宋_CNKI" w:hAnsi="华光书宋_CNKI" w:eastAsia="华光书宋_CNKI" w:cs="华光书宋_CNKI"/>
      <w:szCs w:val="21"/>
      <w:lang w:val="zh-CN" w:bidi="zh-CN"/>
    </w:rPr>
  </w:style>
  <w:style w:type="paragraph" w:styleId="7">
    <w:name w:val="endnote text"/>
    <w:basedOn w:val="1"/>
    <w:unhideWhenUsed/>
    <w:qFormat/>
    <w:uiPriority w:val="0"/>
    <w:pPr>
      <w:snapToGrid w:val="0"/>
      <w:jc w:val="left"/>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uiPriority w:val="0"/>
  </w:style>
  <w:style w:type="paragraph" w:styleId="11">
    <w:name w:val="footnote text"/>
    <w:basedOn w:val="1"/>
    <w:link w:val="34"/>
    <w:unhideWhenUsed/>
    <w:qFormat/>
    <w:uiPriority w:val="99"/>
    <w:pPr>
      <w:snapToGrid w:val="0"/>
      <w:jc w:val="left"/>
    </w:pPr>
    <w:rPr>
      <w:rFonts w:ascii="Calibri" w:hAnsi="Calibri" w:eastAsia="宋体" w:cs="Times New Roman"/>
      <w:sz w:val="18"/>
      <w:szCs w:val="18"/>
    </w:rPr>
  </w:style>
  <w:style w:type="paragraph" w:styleId="12">
    <w:name w:val="toc 2"/>
    <w:basedOn w:val="1"/>
    <w:next w:val="1"/>
    <w:uiPriority w:val="0"/>
    <w:pPr>
      <w:ind w:left="420" w:leftChars="200"/>
    </w:pPr>
  </w:style>
  <w:style w:type="paragraph" w:styleId="1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22"/>
    <w:rPr>
      <w:rFonts w:asciiTheme="minorHAnsi" w:hAnsiTheme="minorHAnsi" w:eastAsiaTheme="minorEastAsia" w:cstheme="minorBidi"/>
      <w:b/>
      <w:lang w:val="en-US" w:eastAsia="zh-CN" w:bidi="ar-SA"/>
    </w:rPr>
  </w:style>
  <w:style w:type="character" w:styleId="18">
    <w:name w:val="endnote reference"/>
    <w:basedOn w:val="16"/>
    <w:qFormat/>
    <w:uiPriority w:val="0"/>
    <w:rPr>
      <w:vertAlign w:val="superscript"/>
    </w:rPr>
  </w:style>
  <w:style w:type="character" w:styleId="19">
    <w:name w:val="Hyperlink"/>
    <w:basedOn w:val="16"/>
    <w:unhideWhenUsed/>
    <w:qFormat/>
    <w:uiPriority w:val="99"/>
    <w:rPr>
      <w:color w:val="0026E5" w:themeColor="hyperlink"/>
      <w:u w:val="single"/>
      <w14:textFill>
        <w14:solidFill>
          <w14:schemeClr w14:val="hlink"/>
        </w14:solidFill>
      </w14:textFill>
    </w:rPr>
  </w:style>
  <w:style w:type="character" w:styleId="20">
    <w:name w:val="footnote reference"/>
    <w:basedOn w:val="16"/>
    <w:semiHidden/>
    <w:unhideWhenUsed/>
    <w:qFormat/>
    <w:uiPriority w:val="99"/>
    <w:rPr>
      <w:rFonts w:asciiTheme="minorHAnsi" w:hAnsiTheme="minorHAnsi" w:eastAsiaTheme="minorEastAsia" w:cstheme="minorBidi"/>
      <w:vertAlign w:val="superscript"/>
      <w:lang w:val="en-US" w:eastAsia="zh-CN" w:bidi="ar-SA"/>
    </w:rPr>
  </w:style>
  <w:style w:type="character" w:customStyle="1" w:styleId="21">
    <w:name w:val="标题 2 字符"/>
    <w:basedOn w:val="16"/>
    <w:link w:val="3"/>
    <w:qFormat/>
    <w:uiPriority w:val="9"/>
    <w:rPr>
      <w:rFonts w:ascii="Cambria" w:hAnsi="Cambria" w:eastAsia="黑体" w:cs="Times New Roman"/>
      <w:bCs/>
      <w:iCs/>
      <w:sz w:val="32"/>
      <w:szCs w:val="28"/>
    </w:rPr>
  </w:style>
  <w:style w:type="character" w:customStyle="1" w:styleId="22">
    <w:name w:val="transsent"/>
    <w:basedOn w:val="16"/>
    <w:qFormat/>
    <w:uiPriority w:val="0"/>
  </w:style>
  <w:style w:type="character" w:customStyle="1" w:styleId="23">
    <w:name w:val="标题 4 字符"/>
    <w:link w:val="5"/>
    <w:qFormat/>
    <w:uiPriority w:val="9"/>
    <w:rPr>
      <w:rFonts w:ascii="Arial" w:hAnsi="Arial" w:eastAsia="黑体"/>
    </w:rPr>
  </w:style>
  <w:style w:type="paragraph" w:customStyle="1" w:styleId="24">
    <w:name w:val="Default"/>
    <w:qFormat/>
    <w:uiPriority w:val="0"/>
    <w:pPr>
      <w:widowControl w:val="0"/>
      <w:autoSpaceDE w:val="0"/>
      <w:autoSpaceDN w:val="0"/>
      <w:adjustRightInd w:val="0"/>
    </w:pPr>
    <w:rPr>
      <w:rFonts w:ascii="Code" w:eastAsia="Code" w:cs="Code" w:hAnsiTheme="minorHAnsi"/>
      <w:color w:val="000000"/>
      <w:sz w:val="24"/>
      <w:szCs w:val="24"/>
      <w:lang w:val="en-US" w:eastAsia="zh-CN" w:bidi="ar-SA"/>
    </w:rPr>
  </w:style>
  <w:style w:type="table" w:customStyle="1" w:styleId="25">
    <w:name w:val="Table Normal"/>
    <w:semiHidden/>
    <w:unhideWhenUsed/>
    <w:qFormat/>
    <w:uiPriority w:val="2"/>
    <w:pPr>
      <w:widowControl w:val="0"/>
      <w:autoSpaceDE w:val="0"/>
      <w:autoSpaceDN w:val="0"/>
    </w:pPr>
    <w:rPr>
      <w:kern w:val="0"/>
      <w:sz w:val="22"/>
      <w:lang w:eastAsia="en-US"/>
    </w:rPr>
    <w:tblPr>
      <w:tblCellMar>
        <w:top w:w="0" w:type="dxa"/>
        <w:left w:w="0" w:type="dxa"/>
        <w:bottom w:w="0" w:type="dxa"/>
        <w:right w:w="0" w:type="dxa"/>
      </w:tblCellMar>
    </w:tblPr>
  </w:style>
  <w:style w:type="paragraph" w:customStyle="1" w:styleId="26">
    <w:name w:val="Table Text"/>
    <w:basedOn w:val="1"/>
    <w:autoRedefine/>
    <w:semiHidden/>
    <w:qFormat/>
    <w:uiPriority w:val="0"/>
    <w:rPr>
      <w:rFonts w:ascii="宋体" w:hAnsi="宋体" w:eastAsia="宋体" w:cs="宋体"/>
      <w:sz w:val="19"/>
      <w:szCs w:val="19"/>
      <w:lang w:val="en-US" w:eastAsia="en-US" w:bidi="ar-SA"/>
    </w:rPr>
  </w:style>
  <w:style w:type="paragraph" w:customStyle="1" w:styleId="27">
    <w:name w:val="Abstract"/>
    <w:uiPriority w:val="0"/>
    <w:pPr>
      <w:spacing w:after="200" w:line="276" w:lineRule="auto"/>
    </w:pPr>
    <w:rPr>
      <w:rFonts w:ascii="楷体" w:hAnsi="楷体" w:eastAsia="楷体" w:cstheme="minorBidi"/>
      <w:sz w:val="21"/>
      <w:szCs w:val="22"/>
      <w:lang w:val="en-US" w:eastAsia="en-US" w:bidi="ar-SA"/>
    </w:rPr>
  </w:style>
  <w:style w:type="paragraph" w:customStyle="1" w:styleId="28">
    <w:name w:val="Keywords"/>
    <w:qFormat/>
    <w:uiPriority w:val="0"/>
    <w:pPr>
      <w:spacing w:after="200" w:line="276" w:lineRule="auto"/>
    </w:pPr>
    <w:rPr>
      <w:rFonts w:ascii="楷体" w:hAnsi="楷体" w:eastAsia="楷体" w:cstheme="minorBidi"/>
      <w:b/>
      <w:sz w:val="21"/>
      <w:szCs w:val="22"/>
      <w:lang w:val="en-US" w:eastAsia="en-US" w:bidi="ar-SA"/>
    </w:rPr>
  </w:style>
  <w:style w:type="paragraph" w:customStyle="1" w:styleId="29">
    <w:name w:val="BodyIndent"/>
    <w:qFormat/>
    <w:uiPriority w:val="0"/>
    <w:pPr>
      <w:spacing w:after="200" w:line="360" w:lineRule="auto"/>
      <w:ind w:firstLine="420"/>
    </w:pPr>
    <w:rPr>
      <w:rFonts w:ascii="宋体" w:hAnsi="宋体" w:eastAsia="宋体" w:cstheme="minorBidi"/>
      <w:sz w:val="24"/>
      <w:szCs w:val="22"/>
      <w:lang w:val="en-US" w:eastAsia="en-US" w:bidi="ar-SA"/>
    </w:rPr>
  </w:style>
  <w:style w:type="paragraph" w:customStyle="1" w:styleId="30">
    <w:name w:val="H1Custom"/>
    <w:qFormat/>
    <w:uiPriority w:val="0"/>
    <w:pPr>
      <w:spacing w:before="240" w:after="120" w:line="276" w:lineRule="auto"/>
    </w:pPr>
    <w:rPr>
      <w:rFonts w:ascii="黑体" w:hAnsi="黑体" w:eastAsia="黑体" w:cstheme="minorBidi"/>
      <w:b/>
      <w:sz w:val="28"/>
      <w:szCs w:val="22"/>
      <w:lang w:val="en-US" w:eastAsia="en-US" w:bidi="ar-SA"/>
    </w:rPr>
  </w:style>
  <w:style w:type="paragraph" w:customStyle="1" w:styleId="31">
    <w:name w:val="H2Custom"/>
    <w:qFormat/>
    <w:uiPriority w:val="0"/>
    <w:pPr>
      <w:spacing w:before="160" w:after="80" w:line="276" w:lineRule="auto"/>
    </w:pPr>
    <w:rPr>
      <w:rFonts w:ascii="楷体" w:hAnsi="楷体" w:eastAsia="楷体" w:cstheme="minorBidi"/>
      <w:b/>
      <w:sz w:val="24"/>
      <w:szCs w:val="22"/>
      <w:lang w:val="en-US" w:eastAsia="en-US" w:bidi="ar-SA"/>
    </w:rPr>
  </w:style>
  <w:style w:type="paragraph" w:customStyle="1" w:styleId="32">
    <w:name w:val="Reference"/>
    <w:qFormat/>
    <w:uiPriority w:val="0"/>
    <w:pPr>
      <w:spacing w:after="200" w:line="300" w:lineRule="auto"/>
    </w:pPr>
    <w:rPr>
      <w:rFonts w:ascii="宋体" w:hAnsi="宋体" w:eastAsia="宋体" w:cstheme="minorBidi"/>
      <w:sz w:val="21"/>
      <w:szCs w:val="22"/>
      <w:lang w:val="en-US" w:eastAsia="en-US" w:bidi="ar-SA"/>
    </w:rPr>
  </w:style>
  <w:style w:type="paragraph" w:customStyle="1" w:styleId="33">
    <w:name w:val="Footnote"/>
    <w:qFormat/>
    <w:uiPriority w:val="0"/>
    <w:pPr>
      <w:spacing w:after="200" w:line="276" w:lineRule="auto"/>
    </w:pPr>
    <w:rPr>
      <w:rFonts w:ascii="宋体" w:hAnsi="宋体" w:eastAsia="宋体" w:cstheme="minorBidi"/>
      <w:sz w:val="18"/>
      <w:szCs w:val="22"/>
      <w:lang w:val="en-US" w:eastAsia="en-US" w:bidi="ar-SA"/>
    </w:rPr>
  </w:style>
  <w:style w:type="character" w:customStyle="1" w:styleId="34">
    <w:name w:val="脚注文本 字符"/>
    <w:link w:val="11"/>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5.png"/><Relationship Id="rId98" Type="http://schemas.openxmlformats.org/officeDocument/2006/relationships/image" Target="media/image44.png"/><Relationship Id="rId97" Type="http://schemas.openxmlformats.org/officeDocument/2006/relationships/image" Target="media/image43.png"/><Relationship Id="rId96" Type="http://schemas.openxmlformats.org/officeDocument/2006/relationships/image" Target="media/image42.png"/><Relationship Id="rId95" Type="http://schemas.openxmlformats.org/officeDocument/2006/relationships/image" Target="media/image41.png"/><Relationship Id="rId94" Type="http://schemas.openxmlformats.org/officeDocument/2006/relationships/image" Target="media/image40.png"/><Relationship Id="rId93" Type="http://schemas.openxmlformats.org/officeDocument/2006/relationships/image" Target="media/image39.png"/><Relationship Id="rId92" Type="http://schemas.openxmlformats.org/officeDocument/2006/relationships/image" Target="media/image38.png"/><Relationship Id="rId91" Type="http://schemas.openxmlformats.org/officeDocument/2006/relationships/image" Target="media/image37.png"/><Relationship Id="rId90" Type="http://schemas.openxmlformats.org/officeDocument/2006/relationships/image" Target="media/image36.png"/><Relationship Id="rId9" Type="http://schemas.openxmlformats.org/officeDocument/2006/relationships/footer" Target="footer3.xml"/><Relationship Id="rId89" Type="http://schemas.openxmlformats.org/officeDocument/2006/relationships/image" Target="media/image35.png"/><Relationship Id="rId88" Type="http://schemas.openxmlformats.org/officeDocument/2006/relationships/image" Target="media/image34.png"/><Relationship Id="rId87" Type="http://schemas.openxmlformats.org/officeDocument/2006/relationships/image" Target="media/image33.png"/><Relationship Id="rId86" Type="http://schemas.openxmlformats.org/officeDocument/2006/relationships/image" Target="media/image32.png"/><Relationship Id="rId85" Type="http://schemas.openxmlformats.org/officeDocument/2006/relationships/image" Target="media/image31.png"/><Relationship Id="rId84" Type="http://schemas.openxmlformats.org/officeDocument/2006/relationships/image" Target="media/image30.png"/><Relationship Id="rId83" Type="http://schemas.openxmlformats.org/officeDocument/2006/relationships/image" Target="media/image29.png"/><Relationship Id="rId82" Type="http://schemas.openxmlformats.org/officeDocument/2006/relationships/image" Target="media/image28.png"/><Relationship Id="rId81" Type="http://schemas.openxmlformats.org/officeDocument/2006/relationships/image" Target="media/image27.png"/><Relationship Id="rId80" Type="http://schemas.openxmlformats.org/officeDocument/2006/relationships/image" Target="media/image26.png"/><Relationship Id="rId8" Type="http://schemas.openxmlformats.org/officeDocument/2006/relationships/header" Target="header2.xml"/><Relationship Id="rId79" Type="http://schemas.openxmlformats.org/officeDocument/2006/relationships/image" Target="media/image25.png"/><Relationship Id="rId78" Type="http://schemas.openxmlformats.org/officeDocument/2006/relationships/image" Target="media/image24.png"/><Relationship Id="rId77" Type="http://schemas.openxmlformats.org/officeDocument/2006/relationships/image" Target="media/image23.png"/><Relationship Id="rId76" Type="http://schemas.openxmlformats.org/officeDocument/2006/relationships/image" Target="media/image22.png"/><Relationship Id="rId75" Type="http://schemas.openxmlformats.org/officeDocument/2006/relationships/image" Target="media/image21.png"/><Relationship Id="rId74" Type="http://schemas.openxmlformats.org/officeDocument/2006/relationships/image" Target="media/image20.png"/><Relationship Id="rId73" Type="http://schemas.openxmlformats.org/officeDocument/2006/relationships/image" Target="media/image19.png"/><Relationship Id="rId72" Type="http://schemas.openxmlformats.org/officeDocument/2006/relationships/oleObject" Target="embeddings/oleObject18.bin"/><Relationship Id="rId71" Type="http://schemas.openxmlformats.org/officeDocument/2006/relationships/image" Target="media/image18.wmf"/><Relationship Id="rId70" Type="http://schemas.openxmlformats.org/officeDocument/2006/relationships/oleObject" Target="embeddings/oleObject17.bin"/><Relationship Id="rId7" Type="http://schemas.openxmlformats.org/officeDocument/2006/relationships/footer" Target="footer2.xml"/><Relationship Id="rId69" Type="http://schemas.openxmlformats.org/officeDocument/2006/relationships/image" Target="media/image17.wmf"/><Relationship Id="rId68" Type="http://schemas.openxmlformats.org/officeDocument/2006/relationships/oleObject" Target="embeddings/oleObject16.bin"/><Relationship Id="rId67" Type="http://schemas.openxmlformats.org/officeDocument/2006/relationships/image" Target="media/image16.wmf"/><Relationship Id="rId66" Type="http://schemas.openxmlformats.org/officeDocument/2006/relationships/oleObject" Target="embeddings/oleObject15.bin"/><Relationship Id="rId65" Type="http://schemas.openxmlformats.org/officeDocument/2006/relationships/image" Target="media/image15.wmf"/><Relationship Id="rId64" Type="http://schemas.openxmlformats.org/officeDocument/2006/relationships/oleObject" Target="embeddings/oleObject14.bin"/><Relationship Id="rId63" Type="http://schemas.openxmlformats.org/officeDocument/2006/relationships/image" Target="media/image14.wmf"/><Relationship Id="rId62" Type="http://schemas.openxmlformats.org/officeDocument/2006/relationships/oleObject" Target="embeddings/oleObject13.bin"/><Relationship Id="rId61" Type="http://schemas.openxmlformats.org/officeDocument/2006/relationships/image" Target="media/image13.wmf"/><Relationship Id="rId60" Type="http://schemas.openxmlformats.org/officeDocument/2006/relationships/oleObject" Target="embeddings/oleObject12.bin"/><Relationship Id="rId6" Type="http://schemas.openxmlformats.org/officeDocument/2006/relationships/footer" Target="footer1.xml"/><Relationship Id="rId59" Type="http://schemas.openxmlformats.org/officeDocument/2006/relationships/image" Target="media/image12.wmf"/><Relationship Id="rId58" Type="http://schemas.openxmlformats.org/officeDocument/2006/relationships/oleObject" Target="embeddings/oleObject11.bin"/><Relationship Id="rId57" Type="http://schemas.openxmlformats.org/officeDocument/2006/relationships/image" Target="media/image11.wmf"/><Relationship Id="rId56" Type="http://schemas.openxmlformats.org/officeDocument/2006/relationships/oleObject" Target="embeddings/oleObject10.bin"/><Relationship Id="rId55" Type="http://schemas.openxmlformats.org/officeDocument/2006/relationships/image" Target="media/image10.png"/><Relationship Id="rId54" Type="http://schemas.openxmlformats.org/officeDocument/2006/relationships/oleObject" Target="embeddings/oleObject9.bin"/><Relationship Id="rId53" Type="http://schemas.openxmlformats.org/officeDocument/2006/relationships/oleObject" Target="embeddings/oleObject8.bin"/><Relationship Id="rId52" Type="http://schemas.openxmlformats.org/officeDocument/2006/relationships/oleObject" Target="embeddings/oleObject7.bin"/><Relationship Id="rId51" Type="http://schemas.openxmlformats.org/officeDocument/2006/relationships/oleObject" Target="embeddings/oleObject6.bin"/><Relationship Id="rId50" Type="http://schemas.openxmlformats.org/officeDocument/2006/relationships/image" Target="media/image9.wmf"/><Relationship Id="rId5" Type="http://schemas.openxmlformats.org/officeDocument/2006/relationships/header" Target="header1.xml"/><Relationship Id="rId49" Type="http://schemas.openxmlformats.org/officeDocument/2006/relationships/oleObject" Target="embeddings/oleObject5.bin"/><Relationship Id="rId48" Type="http://schemas.openxmlformats.org/officeDocument/2006/relationships/image" Target="media/image8.wmf"/><Relationship Id="rId47" Type="http://schemas.openxmlformats.org/officeDocument/2006/relationships/oleObject" Target="embeddings/oleObject4.bin"/><Relationship Id="rId46" Type="http://schemas.openxmlformats.org/officeDocument/2006/relationships/image" Target="media/image7.wmf"/><Relationship Id="rId45" Type="http://schemas.openxmlformats.org/officeDocument/2006/relationships/oleObject" Target="embeddings/oleObject3.bin"/><Relationship Id="rId44" Type="http://schemas.openxmlformats.org/officeDocument/2006/relationships/image" Target="media/image6.wmf"/><Relationship Id="rId43" Type="http://schemas.openxmlformats.org/officeDocument/2006/relationships/oleObject" Target="embeddings/oleObject2.bin"/><Relationship Id="rId42" Type="http://schemas.openxmlformats.org/officeDocument/2006/relationships/image" Target="media/image5.png"/><Relationship Id="rId41" Type="http://schemas.openxmlformats.org/officeDocument/2006/relationships/image" Target="media/image4.emf"/><Relationship Id="rId40" Type="http://schemas.openxmlformats.org/officeDocument/2006/relationships/chart" Target="charts/chart3.xml"/><Relationship Id="rId4" Type="http://schemas.openxmlformats.org/officeDocument/2006/relationships/endnotes" Target="endnotes.xml"/><Relationship Id="rId39" Type="http://schemas.openxmlformats.org/officeDocument/2006/relationships/image" Target="media/image3.emf"/><Relationship Id="rId38" Type="http://schemas.openxmlformats.org/officeDocument/2006/relationships/chart" Target="charts/chart2.xml"/><Relationship Id="rId37" Type="http://schemas.openxmlformats.org/officeDocument/2006/relationships/chart" Target="charts/chart1.xml"/><Relationship Id="rId36" Type="http://schemas.openxmlformats.org/officeDocument/2006/relationships/image" Target="media/image2.png"/><Relationship Id="rId35" Type="http://schemas.openxmlformats.org/officeDocument/2006/relationships/image" Target="media/image1.emf"/><Relationship Id="rId34" Type="http://schemas.openxmlformats.org/officeDocument/2006/relationships/oleObject" Target="embeddings/oleObject1.bin"/><Relationship Id="rId33" Type="http://schemas.openxmlformats.org/officeDocument/2006/relationships/theme" Target="theme/theme1.xml"/><Relationship Id="rId32" Type="http://schemas.openxmlformats.org/officeDocument/2006/relationships/footer" Target="footer16.xml"/><Relationship Id="rId31" Type="http://schemas.openxmlformats.org/officeDocument/2006/relationships/header" Target="header12.xml"/><Relationship Id="rId30" Type="http://schemas.openxmlformats.org/officeDocument/2006/relationships/footer" Target="footer15.xml"/><Relationship Id="rId3" Type="http://schemas.openxmlformats.org/officeDocument/2006/relationships/footnotes" Target="footnotes.xml"/><Relationship Id="rId29" Type="http://schemas.openxmlformats.org/officeDocument/2006/relationships/header" Target="header11.xml"/><Relationship Id="rId28" Type="http://schemas.openxmlformats.org/officeDocument/2006/relationships/header" Target="header10.xml"/><Relationship Id="rId27" Type="http://schemas.openxmlformats.org/officeDocument/2006/relationships/footer" Target="footer14.xml"/><Relationship Id="rId26" Type="http://schemas.openxmlformats.org/officeDocument/2006/relationships/header" Target="header9.xml"/><Relationship Id="rId25" Type="http://schemas.openxmlformats.org/officeDocument/2006/relationships/footer" Target="footer13.xml"/><Relationship Id="rId24" Type="http://schemas.openxmlformats.org/officeDocument/2006/relationships/header" Target="header8.xml"/><Relationship Id="rId23" Type="http://schemas.openxmlformats.org/officeDocument/2006/relationships/footer" Target="footer12.xml"/><Relationship Id="rId22" Type="http://schemas.openxmlformats.org/officeDocument/2006/relationships/header" Target="header7.xml"/><Relationship Id="rId21" Type="http://schemas.openxmlformats.org/officeDocument/2006/relationships/footer" Target="footer11.xml"/><Relationship Id="rId20" Type="http://schemas.openxmlformats.org/officeDocument/2006/relationships/header" Target="header6.xml"/><Relationship Id="rId2" Type="http://schemas.openxmlformats.org/officeDocument/2006/relationships/settings" Target="settings.xml"/><Relationship Id="rId19" Type="http://schemas.openxmlformats.org/officeDocument/2006/relationships/footer" Target="footer10.xml"/><Relationship Id="rId18" Type="http://schemas.openxmlformats.org/officeDocument/2006/relationships/header" Target="header5.xml"/><Relationship Id="rId17" Type="http://schemas.openxmlformats.org/officeDocument/2006/relationships/header" Target="header4.xml"/><Relationship Id="rId16" Type="http://schemas.openxmlformats.org/officeDocument/2006/relationships/footer" Target="footer9.xml"/><Relationship Id="rId15" Type="http://schemas.openxmlformats.org/officeDocument/2006/relationships/header" Target="header3.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6" Type="http://schemas.openxmlformats.org/officeDocument/2006/relationships/fontTable" Target="fontTable.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image" Target="media/image49.png"/><Relationship Id="rId102" Type="http://schemas.openxmlformats.org/officeDocument/2006/relationships/image" Target="media/image48.png"/><Relationship Id="rId101" Type="http://schemas.openxmlformats.org/officeDocument/2006/relationships/image" Target="media/image47.jpeg"/><Relationship Id="rId100" Type="http://schemas.openxmlformats.org/officeDocument/2006/relationships/image" Target="media/image46.png"/><Relationship Id="rId10" Type="http://schemas.openxmlformats.org/officeDocument/2006/relationships/footer" Target="footer4.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themeOverride" Target="../theme/themeOverride2.xml"/><Relationship Id="rId1" Type="http://schemas.openxmlformats.org/officeDocument/2006/relationships/oleObject" Target="file:///C:\Users\fanxiaozhi\Desktop\&#20420;&#32599;&#26031;&#20250;&#35758;\&#26597;&#37325;\&#23425;&#36713;&#25968;&#25454;\&#20462;&#25913;%20&#22270;1&#65306;&#19968;&#33324;&#25919;&#24220;&#24635;&#20538;&#21153;&#21344;GDP&#27604;&#37325;%20GDD(1).xls" TargetMode="External"/></Relationships>
</file>

<file path=word/charts/_rels/chart2.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577644556178"/>
          <c:y val="0.136678855125457"/>
          <c:w val="0.852426996712435"/>
          <c:h val="0.615861808094818"/>
        </c:manualLayout>
      </c:layout>
      <c:lineChart>
        <c:grouping val="standard"/>
        <c:varyColors val="0"/>
        <c:ser>
          <c:idx val="0"/>
          <c:order val="0"/>
          <c:tx>
            <c:strRef>
              <c:f>'[修改 图1：一般政府总债务占GDP比重 GDD(1).xls]近十年'!$B$14</c:f>
              <c:strCache>
                <c:ptCount val="1"/>
                <c:pt idx="0">
                  <c:v>巴西</c:v>
                </c:pt>
              </c:strCache>
            </c:strRef>
          </c:tx>
          <c:spPr>
            <a:ln w="12700" cap="flat" cmpd="sng" algn="ctr">
              <a:solidFill>
                <a:srgbClr val="000000"/>
              </a:solidFill>
              <a:prstDash val="sysDot"/>
              <a:round/>
            </a:ln>
            <a:effectLst/>
          </c:spPr>
          <c:marker>
            <c:symbol val="diamond"/>
            <c:size val="7"/>
            <c:spPr>
              <a:noFill/>
              <a:ln w="12700" cap="flat" cmpd="sng" algn="ctr">
                <a:solidFill>
                  <a:srgbClr val="000000"/>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GDD(1).xls]近十年'!$C$14:$L$14</c:f>
              <c:numCache>
                <c:formatCode>0.00_ </c:formatCode>
                <c:ptCount val="10"/>
                <c:pt idx="0">
                  <c:v>61.614242036492</c:v>
                </c:pt>
                <c:pt idx="1">
                  <c:v>59.594681891083</c:v>
                </c:pt>
                <c:pt idx="2">
                  <c:v>61.61715981394</c:v>
                </c:pt>
                <c:pt idx="3">
                  <c:v>71.729688505651</c:v>
                </c:pt>
                <c:pt idx="4">
                  <c:v>77.42217841579</c:v>
                </c:pt>
                <c:pt idx="5">
                  <c:v>82.744952688191</c:v>
                </c:pt>
                <c:pt idx="6">
                  <c:v>84.777033586337</c:v>
                </c:pt>
                <c:pt idx="7">
                  <c:v>87.118480811905</c:v>
                </c:pt>
                <c:pt idx="8">
                  <c:v>97.832219916052</c:v>
                </c:pt>
                <c:pt idx="9">
                  <c:v>92.342786514513</c:v>
                </c:pt>
              </c:numCache>
            </c:numRef>
          </c:val>
          <c:smooth val="1"/>
        </c:ser>
        <c:ser>
          <c:idx val="1"/>
          <c:order val="1"/>
          <c:tx>
            <c:strRef>
              <c:f>'[修改 图1：一般政府总债务占GDP比重 GDD(1).xls]近十年'!$B$15</c:f>
              <c:strCache>
                <c:ptCount val="1"/>
                <c:pt idx="0">
                  <c:v>中国</c:v>
                </c:pt>
              </c:strCache>
            </c:strRef>
          </c:tx>
          <c:spPr>
            <a:ln w="15875" cap="rnd" cmpd="sng" algn="ctr">
              <a:solidFill>
                <a:srgbClr val="000000"/>
              </a:solidFill>
              <a:prstDash val="lgDash"/>
              <a:round/>
            </a:ln>
            <a:effectLst/>
          </c:spPr>
          <c:marker>
            <c:symbol val="circle"/>
            <c:size val="6"/>
            <c:spPr>
              <a:noFill/>
              <a:ln w="12700" cap="flat" cmpd="sng" algn="ctr">
                <a:solidFill>
                  <a:srgbClr val="000000"/>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GDD(1).xls]近十年'!$C$15:$L$15</c:f>
              <c:numCache>
                <c:formatCode>0.00_ </c:formatCode>
                <c:ptCount val="10"/>
                <c:pt idx="0">
                  <c:v>34.393062352997</c:v>
                </c:pt>
                <c:pt idx="1">
                  <c:v>37.035285298531</c:v>
                </c:pt>
                <c:pt idx="2">
                  <c:v>39.96924112748</c:v>
                </c:pt>
                <c:pt idx="3">
                  <c:v>41.488823753819</c:v>
                </c:pt>
                <c:pt idx="4">
                  <c:v>48.237995301568</c:v>
                </c:pt>
                <c:pt idx="5">
                  <c:v>51.732781725729</c:v>
                </c:pt>
                <c:pt idx="6">
                  <c:v>53.844695393001</c:v>
                </c:pt>
                <c:pt idx="7">
                  <c:v>57.244348400678</c:v>
                </c:pt>
                <c:pt idx="8">
                  <c:v>68.062531753031</c:v>
                </c:pt>
                <c:pt idx="9">
                  <c:v>71.480104606172</c:v>
                </c:pt>
              </c:numCache>
            </c:numRef>
          </c:val>
          <c:smooth val="1"/>
        </c:ser>
        <c:ser>
          <c:idx val="2"/>
          <c:order val="2"/>
          <c:tx>
            <c:strRef>
              <c:f>'[修改 图1：一般政府总债务占GDP比重 GDD(1).xls]近十年'!$B$16</c:f>
              <c:strCache>
                <c:ptCount val="1"/>
                <c:pt idx="0">
                  <c:v>德国</c:v>
                </c:pt>
              </c:strCache>
            </c:strRef>
          </c:tx>
          <c:spPr>
            <a:ln w="12700" cap="flat" cmpd="sng" algn="ctr">
              <a:solidFill>
                <a:srgbClr val="000000"/>
              </a:solidFill>
              <a:prstDash val="solid"/>
              <a:round/>
            </a:ln>
            <a:effectLst/>
          </c:spPr>
          <c:marker>
            <c:symbol val="diamond"/>
            <c:size val="9"/>
            <c:spPr>
              <a:solidFill>
                <a:srgbClr val="000000"/>
              </a:solidFill>
              <a:ln w="31750" cap="flat" cmpd="sng" algn="ctr">
                <a:solidFill>
                  <a:schemeClr val="bg1"/>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GDD(1).xls]近十年'!$C$16:$L$16</c:f>
              <c:numCache>
                <c:formatCode>0.00_ </c:formatCode>
                <c:ptCount val="10"/>
                <c:pt idx="0">
                  <c:v>80.745198174341</c:v>
                </c:pt>
                <c:pt idx="1">
                  <c:v>78.322478524552</c:v>
                </c:pt>
                <c:pt idx="2">
                  <c:v>75.27913562408</c:v>
                </c:pt>
                <c:pt idx="3">
                  <c:v>71.946513426168</c:v>
                </c:pt>
                <c:pt idx="4">
                  <c:v>68.954363041273</c:v>
                </c:pt>
                <c:pt idx="5">
                  <c:v>64.623709888711</c:v>
                </c:pt>
                <c:pt idx="6">
                  <c:v>61.288356683356</c:v>
                </c:pt>
                <c:pt idx="7">
                  <c:v>58.899823220836</c:v>
                </c:pt>
                <c:pt idx="8">
                  <c:v>67.952945736662</c:v>
                </c:pt>
                <c:pt idx="9">
                  <c:v>69.642312764628</c:v>
                </c:pt>
              </c:numCache>
            </c:numRef>
          </c:val>
          <c:smooth val="1"/>
        </c:ser>
        <c:ser>
          <c:idx val="3"/>
          <c:order val="3"/>
          <c:tx>
            <c:strRef>
              <c:f>'[修改 图1：一般政府总债务占GDP比重 GDD(1).xls]近十年'!$B$17</c:f>
              <c:strCache>
                <c:ptCount val="1"/>
                <c:pt idx="0">
                  <c:v>印度</c:v>
                </c:pt>
              </c:strCache>
            </c:strRef>
          </c:tx>
          <c:spPr>
            <a:ln w="12700" cap="rnd" cmpd="sng" algn="ctr">
              <a:solidFill>
                <a:srgbClr val="000000"/>
              </a:solidFill>
              <a:prstDash val="solid"/>
              <a:round/>
            </a:ln>
            <a:effectLst/>
          </c:spPr>
          <c:marker>
            <c:symbol val="plus"/>
            <c:size val="5"/>
            <c:spPr>
              <a:ln w="15875" cap="flat" cmpd="sng" algn="ctr">
                <a:solidFill>
                  <a:srgbClr val="000000"/>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GDD(1).xls]近十年'!$C$17:$L$17</c:f>
              <c:numCache>
                <c:formatCode>0.00_ </c:formatCode>
                <c:ptCount val="10"/>
                <c:pt idx="0">
                  <c:v>67.984531684904</c:v>
                </c:pt>
                <c:pt idx="1">
                  <c:v>67.713352890278</c:v>
                </c:pt>
                <c:pt idx="2">
                  <c:v>67.102041059827</c:v>
                </c:pt>
                <c:pt idx="3">
                  <c:v>69.048587042646</c:v>
                </c:pt>
                <c:pt idx="4">
                  <c:v>68.94309137139</c:v>
                </c:pt>
                <c:pt idx="5">
                  <c:v>69.676690936512</c:v>
                </c:pt>
                <c:pt idx="6">
                  <c:v>70.392344440794</c:v>
                </c:pt>
                <c:pt idx="7">
                  <c:v>75.115617273794</c:v>
                </c:pt>
                <c:pt idx="8">
                  <c:v>89.179900678908</c:v>
                </c:pt>
                <c:pt idx="9">
                  <c:v>84.162411120659</c:v>
                </c:pt>
              </c:numCache>
            </c:numRef>
          </c:val>
          <c:smooth val="1"/>
        </c:ser>
        <c:ser>
          <c:idx val="4"/>
          <c:order val="4"/>
          <c:tx>
            <c:strRef>
              <c:f>'[修改 图1：一般政府总债务占GDP比重 GDD(1).xls]近十年'!$B$18</c:f>
              <c:strCache>
                <c:ptCount val="1"/>
                <c:pt idx="0">
                  <c:v>意大利</c:v>
                </c:pt>
              </c:strCache>
            </c:strRef>
          </c:tx>
          <c:spPr>
            <a:ln w="15875" cap="flat" cmpd="sng" algn="ctr">
              <a:solidFill>
                <a:srgbClr val="000000"/>
              </a:solidFill>
              <a:prstDash val="solid"/>
              <a:round/>
            </a:ln>
            <a:effectLst/>
          </c:spPr>
          <c:marker>
            <c:symbol val="triangle"/>
            <c:size val="9"/>
            <c:spPr>
              <a:solidFill>
                <a:srgbClr val="000000"/>
              </a:solidFill>
              <a:ln w="31750" cap="flat" cmpd="sng" algn="ctr">
                <a:solidFill>
                  <a:schemeClr val="bg1"/>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GDD(1).xls]近十年'!$C$18:$L$18</c:f>
              <c:numCache>
                <c:formatCode>0.00_ </c:formatCode>
                <c:ptCount val="10"/>
                <c:pt idx="0">
                  <c:v>126.49469113663</c:v>
                </c:pt>
                <c:pt idx="1">
                  <c:v>132.45695861107</c:v>
                </c:pt>
                <c:pt idx="2">
                  <c:v>135.36699838086</c:v>
                </c:pt>
                <c:pt idx="3">
                  <c:v>135.28101223001</c:v>
                </c:pt>
                <c:pt idx="4">
                  <c:v>134.78512618927</c:v>
                </c:pt>
                <c:pt idx="5">
                  <c:v>134.16254125175</c:v>
                </c:pt>
                <c:pt idx="6">
                  <c:v>134.4428982647</c:v>
                </c:pt>
                <c:pt idx="7">
                  <c:v>134.14002748475</c:v>
                </c:pt>
                <c:pt idx="8">
                  <c:v>155.26791835651</c:v>
                </c:pt>
                <c:pt idx="9">
                  <c:v>150.8312272767</c:v>
                </c:pt>
              </c:numCache>
            </c:numRef>
          </c:val>
          <c:smooth val="1"/>
        </c:ser>
        <c:ser>
          <c:idx val="5"/>
          <c:order val="5"/>
          <c:tx>
            <c:strRef>
              <c:f>'[修改 图1：一般政府总债务占GDP比重 GDD(1).xls]近十年'!$B$19</c:f>
              <c:strCache>
                <c:ptCount val="1"/>
                <c:pt idx="0">
                  <c:v>日本</c:v>
                </c:pt>
              </c:strCache>
            </c:strRef>
          </c:tx>
          <c:spPr>
            <a:ln w="15875" cap="rnd" cmpd="sng" algn="ctr">
              <a:solidFill>
                <a:srgbClr val="000000"/>
              </a:solidFill>
              <a:prstDash val="solid"/>
              <a:round/>
            </a:ln>
            <a:effectLst/>
          </c:spPr>
          <c:marker>
            <c:symbol val="circle"/>
            <c:size val="7"/>
            <c:spPr>
              <a:solidFill>
                <a:srgbClr val="000000">
                  <a:alpha val="75000"/>
                </a:srgbClr>
              </a:solidFill>
              <a:ln w="31750" cap="flat" cmpd="sng" algn="ctr">
                <a:solidFill>
                  <a:schemeClr val="bg1"/>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GDD(1).xls]近十年'!$C$19:$L$19</c:f>
              <c:numCache>
                <c:formatCode>0.00_ </c:formatCode>
                <c:ptCount val="10"/>
                <c:pt idx="0">
                  <c:v>226.09278229393</c:v>
                </c:pt>
                <c:pt idx="1">
                  <c:v>229.62605115858</c:v>
                </c:pt>
                <c:pt idx="2">
                  <c:v>233.52775220114</c:v>
                </c:pt>
                <c:pt idx="3">
                  <c:v>228.39684531951</c:v>
                </c:pt>
                <c:pt idx="4">
                  <c:v>232.51989567286</c:v>
                </c:pt>
                <c:pt idx="5">
                  <c:v>231.41610601132</c:v>
                </c:pt>
                <c:pt idx="6">
                  <c:v>232.32501051865</c:v>
                </c:pt>
                <c:pt idx="7">
                  <c:v>236.27723284566</c:v>
                </c:pt>
                <c:pt idx="8">
                  <c:v>259.43250533133</c:v>
                </c:pt>
                <c:pt idx="9">
                  <c:v>262.49200644306</c:v>
                </c:pt>
              </c:numCache>
            </c:numRef>
          </c:val>
          <c:smooth val="1"/>
        </c:ser>
        <c:ser>
          <c:idx val="6"/>
          <c:order val="6"/>
          <c:tx>
            <c:strRef>
              <c:f>'[修改 图1：一般政府总债务占GDP比重 GDD(1).xls]近十年'!$B$20</c:f>
              <c:strCache>
                <c:ptCount val="1"/>
                <c:pt idx="0">
                  <c:v>俄罗斯</c:v>
                </c:pt>
              </c:strCache>
            </c:strRef>
          </c:tx>
          <c:spPr>
            <a:ln w="12700" cap="rnd" cmpd="sng" algn="ctr">
              <a:solidFill>
                <a:srgbClr val="000000"/>
              </a:solidFill>
              <a:prstDash val="solid"/>
              <a:round/>
            </a:ln>
            <a:effectLst/>
          </c:spPr>
          <c:marker>
            <c:symbol val="diamond"/>
            <c:size val="8"/>
            <c:spPr>
              <a:noFill/>
              <a:ln w="9525" cap="flat" cmpd="sng" algn="ctr">
                <a:solidFill>
                  <a:srgbClr val="000000"/>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GDD(1).xls]近十年'!$C$20:$L$20</c:f>
              <c:numCache>
                <c:formatCode>0.00_ </c:formatCode>
                <c:ptCount val="10"/>
                <c:pt idx="0">
                  <c:v>11.167439557144</c:v>
                </c:pt>
                <c:pt idx="1">
                  <c:v>12.348062196622</c:v>
                </c:pt>
                <c:pt idx="2">
                  <c:v>15.135831880754</c:v>
                </c:pt>
                <c:pt idx="3">
                  <c:v>15.286412536931</c:v>
                </c:pt>
                <c:pt idx="4">
                  <c:v>14.849320304709</c:v>
                </c:pt>
                <c:pt idx="5">
                  <c:v>14.31106446033</c:v>
                </c:pt>
                <c:pt idx="6">
                  <c:v>13.619609982987</c:v>
                </c:pt>
                <c:pt idx="7">
                  <c:v>13.747518868243</c:v>
                </c:pt>
                <c:pt idx="8">
                  <c:v>19.203903890761</c:v>
                </c:pt>
                <c:pt idx="9">
                  <c:v>16.992577930134</c:v>
                </c:pt>
              </c:numCache>
            </c:numRef>
          </c:val>
          <c:smooth val="1"/>
        </c:ser>
        <c:ser>
          <c:idx val="7"/>
          <c:order val="7"/>
          <c:tx>
            <c:strRef>
              <c:f>'[修改 图1：一般政府总债务占GDP比重 GDD(1).xls]近十年'!$B$21</c:f>
              <c:strCache>
                <c:ptCount val="1"/>
                <c:pt idx="0">
                  <c:v>英国</c:v>
                </c:pt>
              </c:strCache>
            </c:strRef>
          </c:tx>
          <c:spPr>
            <a:ln w="12700" cap="rnd" cmpd="sng" algn="ctr">
              <a:solidFill>
                <a:srgbClr val="000000"/>
              </a:solidFill>
              <a:prstDash val="sysDot"/>
              <a:round/>
            </a:ln>
            <a:effectLst/>
          </c:spPr>
          <c:marker>
            <c:symbol val="triangle"/>
            <c:size val="5"/>
            <c:spPr>
              <a:solidFill>
                <a:sysClr val="windowText" lastClr="000000"/>
              </a:solidFill>
              <a:ln w="19050" cap="flat" cmpd="sng" algn="ctr">
                <a:solidFill>
                  <a:srgbClr val="000000"/>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GDD(1).xls]近十年'!$C$21:$L$21</c:f>
              <c:numCache>
                <c:formatCode>0.00_ </c:formatCode>
                <c:ptCount val="10"/>
                <c:pt idx="0">
                  <c:v>84.107636135486</c:v>
                </c:pt>
                <c:pt idx="1">
                  <c:v>84.754915219264</c:v>
                </c:pt>
                <c:pt idx="2">
                  <c:v>86.46076404916</c:v>
                </c:pt>
                <c:pt idx="3">
                  <c:v>87.014859353911</c:v>
                </c:pt>
                <c:pt idx="4">
                  <c:v>86.736737084197</c:v>
                </c:pt>
                <c:pt idx="5">
                  <c:v>86.11687424272</c:v>
                </c:pt>
                <c:pt idx="6">
                  <c:v>85.468823296756</c:v>
                </c:pt>
                <c:pt idx="7">
                  <c:v>84.846158996454</c:v>
                </c:pt>
                <c:pt idx="8">
                  <c:v>103.59624643261</c:v>
                </c:pt>
                <c:pt idx="9">
                  <c:v>103.78683448897</c:v>
                </c:pt>
              </c:numCache>
            </c:numRef>
          </c:val>
          <c:smooth val="1"/>
        </c:ser>
        <c:ser>
          <c:idx val="8"/>
          <c:order val="8"/>
          <c:tx>
            <c:strRef>
              <c:f>'[修改 图1：一般政府总债务占GDP比重 GDD(1).xls]近十年'!$B$22</c:f>
              <c:strCache>
                <c:ptCount val="1"/>
                <c:pt idx="0">
                  <c:v>美国</c:v>
                </c:pt>
              </c:strCache>
            </c:strRef>
          </c:tx>
          <c:spPr>
            <a:ln w="12700" cap="flat" cmpd="sng" algn="ctr">
              <a:solidFill>
                <a:srgbClr val="000000"/>
              </a:solidFill>
              <a:prstDash val="solid"/>
              <a:round/>
            </a:ln>
            <a:effectLst/>
          </c:spPr>
          <c:marker>
            <c:symbol val="diamond"/>
            <c:size val="9"/>
            <c:spPr>
              <a:solidFill>
                <a:srgbClr val="000000"/>
              </a:solidFill>
              <a:ln w="31750" cap="flat" cmpd="sng" algn="ctr">
                <a:solidFill>
                  <a:schemeClr val="bg1"/>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GDD(1).xls]近十年'!$C$22:$L$22</c:f>
              <c:numCache>
                <c:formatCode>0.00_ </c:formatCode>
                <c:ptCount val="10"/>
                <c:pt idx="0">
                  <c:v>103.03771698572</c:v>
                </c:pt>
                <c:pt idx="1">
                  <c:v>104.53660151188</c:v>
                </c:pt>
                <c:pt idx="2">
                  <c:v>104.53089126202</c:v>
                </c:pt>
                <c:pt idx="3">
                  <c:v>105.11608657024</c:v>
                </c:pt>
                <c:pt idx="4">
                  <c:v>107.14386657466</c:v>
                </c:pt>
                <c:pt idx="5">
                  <c:v>106.17971341851</c:v>
                </c:pt>
                <c:pt idx="6">
                  <c:v>107.44947057921</c:v>
                </c:pt>
                <c:pt idx="7">
                  <c:v>108.75762424787</c:v>
                </c:pt>
                <c:pt idx="8">
                  <c:v>134.50604128029</c:v>
                </c:pt>
                <c:pt idx="9">
                  <c:v>128.14442029781</c:v>
                </c:pt>
              </c:numCache>
            </c:numRef>
          </c:val>
          <c:smooth val="1"/>
        </c:ser>
        <c:ser>
          <c:idx val="9"/>
          <c:order val="9"/>
          <c:tx>
            <c:strRef>
              <c:f>'[修改 图1：一般政府总债务占GDP比重 GDD(1).xls]近十年'!$B$23</c:f>
              <c:strCache>
                <c:ptCount val="1"/>
                <c:pt idx="0">
                  <c:v>法国</c:v>
                </c:pt>
              </c:strCache>
            </c:strRef>
          </c:tx>
          <c:spPr>
            <a:ln w="12700" cap="rnd" cmpd="sng" algn="ctr">
              <a:solidFill>
                <a:srgbClr val="000000"/>
              </a:solidFill>
              <a:prstDash val="sysDot"/>
              <a:round/>
            </a:ln>
            <a:effectLst/>
          </c:spPr>
          <c:marker>
            <c:symbol val="circle"/>
            <c:size val="7"/>
            <c:spPr>
              <a:solidFill>
                <a:srgbClr val="000000">
                  <a:alpha val="85000"/>
                </a:srgbClr>
              </a:solidFill>
              <a:ln w="31750" cap="flat" cmpd="sng" algn="ctr">
                <a:solidFill>
                  <a:schemeClr val="bg1"/>
                </a:solidFill>
                <a:prstDash val="solid"/>
                <a:round/>
              </a:ln>
              <a:effectLst/>
            </c:spPr>
          </c:marker>
          <c:dLbls>
            <c:delete val="1"/>
          </c:dLbls>
          <c:cat>
            <c:numRef>
              <c:f>'[修改 图1：一般政府总债务占GDP比重 GDD(1).xls]近十年'!$C$13:$L$13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'[修改 图1：一般政府总债务占GDP比重 GDD(1).xls]近十年'!$C$23:$L$23</c:f>
              <c:numCache>
                <c:formatCode>0.00_ </c:formatCode>
                <c:ptCount val="10"/>
                <c:pt idx="0">
                  <c:v>90.602086169885</c:v>
                </c:pt>
                <c:pt idx="1">
                  <c:v>93.411594335697</c:v>
                </c:pt>
                <c:pt idx="2">
                  <c:v>94.88944140406</c:v>
                </c:pt>
                <c:pt idx="3">
                  <c:v>95.581760090828</c:v>
                </c:pt>
                <c:pt idx="4">
                  <c:v>97.9576380773</c:v>
                </c:pt>
                <c:pt idx="5">
                  <c:v>98.130715005211</c:v>
                </c:pt>
                <c:pt idx="6">
                  <c:v>97.78251314049</c:v>
                </c:pt>
                <c:pt idx="7">
                  <c:v>97.426398948161</c:v>
                </c:pt>
                <c:pt idx="8">
                  <c:v>114.65110449266</c:v>
                </c:pt>
                <c:pt idx="9">
                  <c:v>112.5769562002</c:v>
                </c:pt>
              </c:numCache>
            </c:numRef>
          </c:val>
          <c:smooth val="1"/>
        </c:ser>
        <c:dLbls>
          <c:showLegendKey val="0"/>
          <c:showVal val="0"/>
          <c:showCatName val="0"/>
          <c:showSerName val="0"/>
          <c:showPercent val="0"/>
          <c:showBubbleSize val="0"/>
        </c:dLbls>
        <c:marker val="1"/>
        <c:smooth val="1"/>
        <c:axId val="247568568"/>
        <c:axId val="1"/>
      </c:lineChart>
      <c:catAx>
        <c:axId val="247568568"/>
        <c:scaling>
          <c:orientation val="minMax"/>
        </c:scaling>
        <c:delete val="0"/>
        <c:axPos val="b"/>
        <c:title>
          <c:tx>
            <c:rich>
              <a:bodyPr rot="0" spcFirstLastPara="0" vertOverflow="ellipsis" vert="horz" wrap="square" anchor="ctr" anchorCtr="1"/>
              <a:lstStyle/>
              <a:p>
                <a:pPr>
                  <a:defRPr lang="zh-CN" sz="1000" b="1" i="0" u="none" strike="noStrike" kern="1200" baseline="0">
                    <a:solidFill>
                      <a:srgbClr val="000000"/>
                    </a:solidFill>
                    <a:latin typeface="宋体" charset="-122"/>
                    <a:ea typeface="宋体" charset="-122"/>
                    <a:cs typeface="宋体" charset="-122"/>
                  </a:defRPr>
                </a:pPr>
                <a:r>
                  <a:rPr lang="zh-CN" altLang="en-US"/>
                  <a:t>年份</a:t>
                </a:r>
                <a:endParaRPr lang="zh-CN" altLang="en-US"/>
              </a:p>
            </c:rich>
          </c:tx>
          <c:layout>
            <c:manualLayout>
              <c:xMode val="edge"/>
              <c:yMode val="edge"/>
              <c:x val="0.934290753338372"/>
              <c:y val="0.728281476951303"/>
            </c:manualLayout>
          </c:layout>
          <c:overlay val="0"/>
        </c:title>
        <c:numFmt formatCode="General" sourceLinked="1"/>
        <c:majorTickMark val="none"/>
        <c:minorTickMark val="none"/>
        <c:tickLblPos val="nextTo"/>
        <c:spPr>
          <a:noFill/>
          <a:ln w="3175" cap="flat" cmpd="sng" algn="ctr">
            <a:solidFill>
              <a:schemeClr val="bg1">
                <a:lumMod val="85000"/>
              </a:schemeClr>
            </a:solidFill>
            <a:prstDash val="solid"/>
            <a:round/>
          </a:ln>
          <a:effectLst/>
        </c:spPr>
        <c:txPr>
          <a:bodyPr rot="0" spcFirstLastPara="0" vertOverflow="ellipsis" vert="horz" wrap="square" anchor="ctr" anchorCtr="1"/>
          <a:lstStyle/>
          <a:p>
            <a:pPr>
              <a:defRPr lang="zh-CN" sz="1000" b="0" i="0" u="none" strike="noStrike" kern="1200" baseline="0">
                <a:solidFill>
                  <a:srgbClr val="000000"/>
                </a:solidFill>
                <a:latin typeface="Arial" panose="020B0604020202090204" pitchFamily="2"/>
                <a:ea typeface="Arial" panose="020B0604020202090204" pitchFamily="2"/>
                <a:cs typeface="Arial" panose="020B0604020202090204" pitchFamily="2"/>
              </a:defRPr>
            </a:pPr>
          </a:p>
        </c:txPr>
        <c:crossAx val="1"/>
        <c:crosses val="autoZero"/>
        <c:auto val="1"/>
        <c:lblAlgn val="ctr"/>
        <c:lblOffset val="100"/>
        <c:noMultiLvlLbl val="0"/>
      </c:catAx>
      <c:valAx>
        <c:axId val="1"/>
        <c:scaling>
          <c:orientation val="minMax"/>
        </c:scaling>
        <c:delete val="0"/>
        <c:axPos val="l"/>
        <c:majorGridlines>
          <c:spPr>
            <a:ln w="3175" cap="flat" cmpd="sng" algn="ctr">
              <a:solidFill>
                <a:schemeClr val="bg1">
                  <a:lumMod val="85000"/>
                </a:schemeClr>
              </a:solidFill>
              <a:prstDash val="sysDash"/>
              <a:round/>
            </a:ln>
            <a:effectLst/>
          </c:spPr>
        </c:majorGridlines>
        <c:title>
          <c:tx>
            <c:rich>
              <a:bodyPr rot="0" spcFirstLastPara="0" vertOverflow="ellipsis" vert="horz" wrap="square" anchor="ctr" anchorCtr="1"/>
              <a:lstStyle/>
              <a:p>
                <a:pPr algn="ctr">
                  <a:defRPr lang="zh-CN" sz="1000" b="1" i="0" u="none" strike="noStrike" kern="1200" baseline="0">
                    <a:solidFill>
                      <a:srgbClr val="000000"/>
                    </a:solidFill>
                    <a:latin typeface="宋体" charset="-122"/>
                    <a:ea typeface="宋体" charset="-122"/>
                    <a:cs typeface="宋体" charset="-122"/>
                  </a:defRPr>
                </a:pPr>
                <a:r>
                  <a:rPr lang="zh-CN" altLang="en-US"/>
                  <a:t>占比</a:t>
                </a:r>
                <a:endParaRPr lang="zh-CN" altLang="en-US"/>
              </a:p>
            </c:rich>
          </c:tx>
          <c:layout>
            <c:manualLayout>
              <c:xMode val="edge"/>
              <c:yMode val="edge"/>
              <c:x val="0.0559106698964217"/>
              <c:y val="0.0598328364294269"/>
            </c:manualLayout>
          </c:layout>
          <c:overlay val="0"/>
        </c:title>
        <c:numFmt formatCode="0.00_ " sourceLinked="1"/>
        <c:majorTickMark val="none"/>
        <c:minorTickMark val="none"/>
        <c:tickLblPos val="nextTo"/>
        <c:spPr>
          <a:noFill/>
          <a:ln w="3175" cap="flat" cmpd="sng" algn="ctr">
            <a:solidFill>
              <a:schemeClr val="bg1">
                <a:lumMod val="85000"/>
              </a:schemeClr>
            </a:solidFill>
            <a:prstDash val="solid"/>
            <a:round/>
          </a:ln>
          <a:effectLst/>
        </c:spPr>
        <c:txPr>
          <a:bodyPr rot="0" spcFirstLastPara="0" vertOverflow="ellipsis" vert="horz" wrap="square" anchor="ctr" anchorCtr="1"/>
          <a:lstStyle/>
          <a:p>
            <a:pPr>
              <a:defRPr lang="zh-CN" sz="1000" b="0" i="0" u="none" strike="noStrike" kern="1200" baseline="0">
                <a:solidFill>
                  <a:srgbClr val="000000"/>
                </a:solidFill>
                <a:latin typeface="Arial" panose="020B0604020202090204" pitchFamily="2"/>
                <a:ea typeface="Arial" panose="020B0604020202090204" pitchFamily="2"/>
                <a:cs typeface="Arial" panose="020B0604020202090204" pitchFamily="2"/>
              </a:defRPr>
            </a:pPr>
          </a:p>
        </c:txPr>
        <c:crossAx val="247568568"/>
        <c:crosses val="autoZero"/>
        <c:crossBetween val="between"/>
      </c:valAx>
      <c:spPr>
        <a:noFill/>
        <a:ln>
          <a:noFill/>
        </a:ln>
        <a:effectLst/>
      </c:spPr>
    </c:plotArea>
    <c:legend>
      <c:legendPos val="r"/>
      <c:layout>
        <c:manualLayout>
          <c:xMode val="edge"/>
          <c:yMode val="edge"/>
          <c:x val="0.0488704784917758"/>
          <c:y val="0.802177858439201"/>
          <c:w val="0.909773976665615"/>
          <c:h val="0.168784029038113"/>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rgbClr val="333333"/>
              </a:solidFill>
              <a:latin typeface="宋体" charset="-122"/>
              <a:ea typeface="宋体" charset="-122"/>
              <a:cs typeface="宋体" charset="-122"/>
            </a:defRPr>
          </a:pPr>
        </a:p>
      </c:txPr>
    </c:legend>
    <c:plotVisOnly val="1"/>
    <c:dispBlanksAs val="gap"/>
    <c:showDLblsOverMax val="0"/>
    <c:extLst>
      <c:ext uri="{0b15fc19-7d7d-44ad-8c2d-2c3a37ce22c3}">
        <chartProps xmlns="https://web.wps.cn/et/2018/main" chartId="{c6cfa6d4-15f1-4972-ab72-e4aefe7c2f0e}"/>
      </c:ext>
    </c:extLst>
  </c:chart>
  <c:spPr>
    <a:solidFill>
      <a:schemeClr val="bg1"/>
    </a:solidFill>
    <a:ln w="9525" cap="flat" cmpd="sng" algn="ctr">
      <a:solidFill>
        <a:schemeClr val="bg1">
          <a:lumMod val="75000"/>
        </a:schemeClr>
      </a:solidFill>
      <a:prstDash val="solid"/>
      <a:round/>
    </a:ln>
    <a:effectLst/>
  </c:spPr>
  <c:txPr>
    <a:bodyPr/>
    <a:lstStyle/>
    <a:p>
      <a:pPr>
        <a:defRPr lang="zh-CN" sz="1000" b="0" i="0" u="none" strike="noStrike" baseline="0">
          <a:solidFill>
            <a:srgbClr val="000000"/>
          </a:solidFill>
          <a:latin typeface="宋体" charset="-122"/>
          <a:ea typeface="宋体" charset="-122"/>
          <a:cs typeface="宋体"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963072188742"/>
          <c:y val="0.188629206033483"/>
          <c:w val="0.804051801513014"/>
          <c:h val="0.587170561909498"/>
        </c:manualLayout>
      </c:layout>
      <c:lineChart>
        <c:grouping val="standard"/>
        <c:varyColors val="0"/>
        <c:ser>
          <c:idx val="0"/>
          <c:order val="0"/>
          <c:tx>
            <c:strRef>
              <c:f>'Interventions data 近十年'!$B$13</c:f>
              <c:strCache>
                <c:ptCount val="1"/>
                <c:pt idx="0">
                  <c:v>全部</c:v>
                </c:pt>
              </c:strCache>
            </c:strRef>
          </c:tx>
          <c:spPr>
            <a:ln w="15875" cap="flat" cmpd="sng">
              <a:solidFill>
                <a:sysClr val="windowText" lastClr="000000"/>
              </a:solidFill>
              <a:prstDash val="solid"/>
              <a:round/>
            </a:ln>
            <a:effectLst/>
          </c:spPr>
          <c:marker>
            <c:symbol val="circle"/>
            <c:size val="7"/>
            <c:spPr>
              <a:solidFill>
                <a:sysClr val="windowText" lastClr="000000"/>
              </a:solidFill>
              <a:ln w="31750">
                <a:solidFill>
                  <a:schemeClr val="bg1"/>
                </a:solidFill>
              </a:ln>
              <a:effectLst/>
            </c:spPr>
          </c:marker>
          <c:dLbls>
            <c:delete val="1"/>
          </c:dLbls>
          <c:cat>
            <c:numRef>
              <c:f>'Interventions data 近十年'!$A$14:$A$23</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'Interventions data 近十年'!$B$14:$B$23</c:f>
              <c:numCache>
                <c:formatCode>General</c:formatCode>
                <c:ptCount val="10"/>
                <c:pt idx="0">
                  <c:v>3097</c:v>
                </c:pt>
                <c:pt idx="1">
                  <c:v>3209</c:v>
                </c:pt>
                <c:pt idx="2">
                  <c:v>3038</c:v>
                </c:pt>
                <c:pt idx="3">
                  <c:v>3230</c:v>
                </c:pt>
                <c:pt idx="4">
                  <c:v>3554</c:v>
                </c:pt>
                <c:pt idx="5">
                  <c:v>3126</c:v>
                </c:pt>
                <c:pt idx="6">
                  <c:v>6258</c:v>
                </c:pt>
                <c:pt idx="7">
                  <c:v>4786</c:v>
                </c:pt>
                <c:pt idx="8">
                  <c:v>4146</c:v>
                </c:pt>
                <c:pt idx="9">
                  <c:v>487</c:v>
                </c:pt>
              </c:numCache>
            </c:numRef>
          </c:val>
          <c:smooth val="1"/>
        </c:ser>
        <c:ser>
          <c:idx val="1"/>
          <c:order val="1"/>
          <c:tx>
            <c:strRef>
              <c:f>'Interventions data 近十年'!$C$13</c:f>
              <c:strCache>
                <c:ptCount val="1"/>
                <c:pt idx="0">
                  <c:v>有害</c:v>
                </c:pt>
              </c:strCache>
            </c:strRef>
          </c:tx>
          <c:spPr>
            <a:ln w="15875" cap="rnd">
              <a:solidFill>
                <a:sysClr val="windowText" lastClr="000000"/>
              </a:solidFill>
              <a:round/>
            </a:ln>
            <a:effectLst/>
          </c:spPr>
          <c:marker>
            <c:symbol val="diamond"/>
            <c:size val="9"/>
            <c:spPr>
              <a:solidFill>
                <a:sysClr val="windowText" lastClr="000000">
                  <a:alpha val="85000"/>
                </a:sysClr>
              </a:solidFill>
              <a:ln w="31750">
                <a:solidFill>
                  <a:schemeClr val="bg1"/>
                </a:solidFill>
              </a:ln>
              <a:effectLst/>
            </c:spPr>
          </c:marker>
          <c:dLbls>
            <c:delete val="1"/>
          </c:dLbls>
          <c:cat>
            <c:numRef>
              <c:f>'Interventions data 近十年'!$A$14:$A$23</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'Interventions data 近十年'!$C$14:$C$23</c:f>
              <c:numCache>
                <c:formatCode>General</c:formatCode>
                <c:ptCount val="10"/>
                <c:pt idx="0">
                  <c:v>2562</c:v>
                </c:pt>
                <c:pt idx="1">
                  <c:v>2606</c:v>
                </c:pt>
                <c:pt idx="2">
                  <c:v>2461</c:v>
                </c:pt>
                <c:pt idx="3">
                  <c:v>2642</c:v>
                </c:pt>
                <c:pt idx="4">
                  <c:v>2949</c:v>
                </c:pt>
                <c:pt idx="5">
                  <c:v>2622</c:v>
                </c:pt>
                <c:pt idx="6">
                  <c:v>5344</c:v>
                </c:pt>
                <c:pt idx="7">
                  <c:v>4085</c:v>
                </c:pt>
                <c:pt idx="8">
                  <c:v>3226</c:v>
                </c:pt>
                <c:pt idx="9">
                  <c:v>379</c:v>
                </c:pt>
              </c:numCache>
            </c:numRef>
          </c:val>
          <c:smooth val="1"/>
        </c:ser>
        <c:ser>
          <c:idx val="2"/>
          <c:order val="2"/>
          <c:tx>
            <c:strRef>
              <c:f>'Interventions data 近十年'!$D$13</c:f>
              <c:strCache>
                <c:ptCount val="1"/>
                <c:pt idx="0">
                  <c:v>有益</c:v>
                </c:pt>
              </c:strCache>
            </c:strRef>
          </c:tx>
          <c:spPr>
            <a:ln w="15875" cap="flat" cmpd="sng">
              <a:solidFill>
                <a:sysClr val="windowText" lastClr="000000"/>
              </a:solidFill>
              <a:prstDash val="solid"/>
              <a:round/>
            </a:ln>
            <a:effectLst/>
          </c:spPr>
          <c:marker>
            <c:symbol val="triangle"/>
            <c:size val="9"/>
            <c:spPr>
              <a:solidFill>
                <a:sysClr val="windowText" lastClr="000000"/>
              </a:solidFill>
              <a:ln w="31750">
                <a:solidFill>
                  <a:schemeClr val="bg1"/>
                </a:solidFill>
              </a:ln>
              <a:effectLst/>
            </c:spPr>
          </c:marker>
          <c:dLbls>
            <c:delete val="1"/>
          </c:dLbls>
          <c:cat>
            <c:numRef>
              <c:f>'Interventions data 近十年'!$A$14:$A$23</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'Interventions data 近十年'!$D$14:$D$23</c:f>
              <c:numCache>
                <c:formatCode>General</c:formatCode>
                <c:ptCount val="10"/>
                <c:pt idx="0">
                  <c:v>535</c:v>
                </c:pt>
                <c:pt idx="1">
                  <c:v>603</c:v>
                </c:pt>
                <c:pt idx="2">
                  <c:v>577</c:v>
                </c:pt>
                <c:pt idx="3">
                  <c:v>588</c:v>
                </c:pt>
                <c:pt idx="4">
                  <c:v>605</c:v>
                </c:pt>
                <c:pt idx="5">
                  <c:v>504</c:v>
                </c:pt>
                <c:pt idx="6">
                  <c:v>914</c:v>
                </c:pt>
                <c:pt idx="7">
                  <c:v>701</c:v>
                </c:pt>
                <c:pt idx="8">
                  <c:v>920</c:v>
                </c:pt>
                <c:pt idx="9">
                  <c:v>108</c:v>
                </c:pt>
              </c:numCache>
            </c:numRef>
          </c:val>
          <c:smooth val="1"/>
        </c:ser>
        <c:dLbls>
          <c:showLegendKey val="0"/>
          <c:showVal val="0"/>
          <c:showCatName val="0"/>
          <c:showSerName val="0"/>
          <c:showPercent val="0"/>
          <c:showBubbleSize val="0"/>
        </c:dLbls>
        <c:marker val="1"/>
        <c:smooth val="1"/>
        <c:axId val="395712734"/>
        <c:axId val="75446024"/>
      </c:lineChart>
      <c:catAx>
        <c:axId val="395712734"/>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mn-lt"/>
                    <a:ea typeface="+mn-ea"/>
                    <a:cs typeface="+mn-cs"/>
                  </a:defRPr>
                </a:pPr>
                <a:r>
                  <a:rPr lang="zh-CN" altLang="en-US">
                    <a:solidFill>
                      <a:sysClr val="windowText" lastClr="000000"/>
                    </a:solidFill>
                  </a:rPr>
                  <a:t>年份</a:t>
                </a:r>
                <a:endParaRPr lang="zh-CN" altLang="en-US">
                  <a:solidFill>
                    <a:sysClr val="windowText" lastClr="000000"/>
                  </a:solidFill>
                </a:endParaRPr>
              </a:p>
            </c:rich>
          </c:tx>
          <c:layout>
            <c:manualLayout>
              <c:xMode val="edge"/>
              <c:yMode val="edge"/>
              <c:x val="0.928245244423766"/>
              <c:y val="0.78671857748398"/>
            </c:manualLayout>
          </c:layout>
          <c:overlay val="0"/>
          <c:spPr>
            <a:noFill/>
            <a:ln>
              <a:noFill/>
            </a:ln>
            <a:effectLst/>
          </c:spPr>
        </c:title>
        <c:numFmt formatCode="General" sourceLinked="1"/>
        <c:majorTickMark val="none"/>
        <c:minorTickMark val="none"/>
        <c:tickLblPos val="nextTo"/>
        <c:spPr>
          <a:noFill/>
          <a:ln w="3175" cap="flat" cmpd="sng" algn="ctr">
            <a:solidFill>
              <a:schemeClr val="bg1">
                <a:lumMod val="85000"/>
              </a:schemeClr>
            </a:solidFill>
            <a:round/>
          </a:ln>
          <a:effectLst/>
        </c:spPr>
        <c:txPr>
          <a:bodyPr rot="-60000000" spcFirstLastPara="0" vertOverflow="ellipsis" vert="horz" wrap="square" anchor="ctr" anchorCtr="1" forceAA="0"/>
          <a:lstStyle/>
          <a:p>
            <a:pPr>
              <a:defRPr lang="zh-CN" sz="1000" b="0" i="0" u="none" strike="noStrike" kern="1200" baseline="0">
                <a:solidFill>
                  <a:sysClr val="windowText" lastClr="000000"/>
                </a:solidFill>
                <a:latin typeface="Arial" panose="020B0604020202090204" pitchFamily="2" charset="0"/>
                <a:ea typeface="Arial" panose="020B0604020202090204" pitchFamily="2" charset="0"/>
                <a:cs typeface="Arial" panose="020B0604020202090204" pitchFamily="2" charset="0"/>
                <a:sym typeface="Arial" panose="020B0604020202090204" pitchFamily="2" charset="0"/>
              </a:defRPr>
            </a:pPr>
          </a:p>
        </c:txPr>
        <c:crossAx val="75446024"/>
        <c:crosses val="autoZero"/>
        <c:auto val="1"/>
        <c:lblAlgn val="ctr"/>
        <c:lblOffset val="100"/>
        <c:noMultiLvlLbl val="0"/>
      </c:catAx>
      <c:valAx>
        <c:axId val="75446024"/>
        <c:scaling>
          <c:orientation val="minMax"/>
          <c:max val="7000"/>
        </c:scaling>
        <c:delete val="0"/>
        <c:axPos val="l"/>
        <c:majorGridlines>
          <c:spPr>
            <a:ln w="3175" cap="flat" cmpd="sng" algn="ctr">
              <a:solidFill>
                <a:schemeClr val="bg1">
                  <a:lumMod val="85000"/>
                </a:schemeClr>
              </a:solidFill>
              <a:prstDash val="sysDash"/>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mn-lt"/>
                    <a:ea typeface="+mn-ea"/>
                    <a:cs typeface="+mn-cs"/>
                  </a:defRPr>
                </a:pPr>
                <a:r>
                  <a:rPr lang="zh-CN" altLang="en-US">
                    <a:solidFill>
                      <a:sysClr val="windowText" lastClr="000000"/>
                    </a:solidFill>
                  </a:rPr>
                  <a:t>数量</a:t>
                </a:r>
                <a:endParaRPr lang="zh-CN" altLang="en-US">
                  <a:solidFill>
                    <a:sysClr val="windowText" lastClr="000000"/>
                  </a:solidFill>
                </a:endParaRPr>
              </a:p>
            </c:rich>
          </c:tx>
          <c:layout>
            <c:manualLayout>
              <c:xMode val="edge"/>
              <c:yMode val="edge"/>
              <c:x val="0.0591551138528889"/>
              <c:y val="0.10825770405073"/>
            </c:manualLayout>
          </c:layout>
          <c:overlay val="0"/>
          <c:spPr>
            <a:noFill/>
            <a:ln>
              <a:noFill/>
            </a:ln>
            <a:effectLst/>
          </c:spPr>
        </c:title>
        <c:numFmt formatCode="General" sourceLinked="1"/>
        <c:majorTickMark val="none"/>
        <c:minorTickMark val="none"/>
        <c:tickLblPos val="nextTo"/>
        <c:spPr>
          <a:noFill/>
          <a:ln w="3175">
            <a:solidFill>
              <a:schemeClr val="bg1">
                <a:lumMod val="85000"/>
              </a:schemeClr>
            </a:solidFill>
          </a:ln>
          <a:effectLst/>
        </c:spPr>
        <c:txPr>
          <a:bodyPr rot="-60000000" spcFirstLastPara="0" vertOverflow="ellipsis" vert="horz" wrap="square" anchor="ctr" anchorCtr="1" forceAA="0"/>
          <a:lstStyle/>
          <a:p>
            <a:pPr>
              <a:defRPr lang="zh-CN" sz="1000" b="0" i="0" u="none" strike="noStrike" kern="1200" baseline="0">
                <a:solidFill>
                  <a:sysClr val="windowText" lastClr="000000"/>
                </a:solidFill>
                <a:latin typeface="Arial" panose="020B0604020202090204" pitchFamily="2" charset="0"/>
                <a:ea typeface="Arial" panose="020B0604020202090204" pitchFamily="2" charset="0"/>
                <a:cs typeface="Arial" panose="020B0604020202090204" pitchFamily="2" charset="0"/>
                <a:sym typeface="Arial" panose="020B0604020202090204" pitchFamily="2" charset="0"/>
              </a:defRPr>
            </a:pPr>
          </a:p>
        </c:txPr>
        <c:crossAx val="395712734"/>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1000" b="0" i="0" u="none" strike="noStrike" kern="1200" baseline="0">
                <a:solidFill>
                  <a:sysClr val="windowText" lastClr="000000"/>
                </a:solidFill>
                <a:latin typeface="+mn-lt"/>
                <a:ea typeface="+mn-ea"/>
                <a:cs typeface="+mn-cs"/>
              </a:defRPr>
            </a:pPr>
          </a:p>
        </c:txPr>
      </c:legendEntry>
      <c:legendEntry>
        <c:idx val="1"/>
        <c:txPr>
          <a:bodyPr rot="0" spcFirstLastPara="0" vertOverflow="ellipsis" vert="horz" wrap="square" anchor="ctr" anchorCtr="1"/>
          <a:lstStyle/>
          <a:p>
            <a:pPr>
              <a:defRPr lang="zh-CN" sz="1000" b="0" i="0" u="none" strike="noStrike" kern="1200" baseline="0">
                <a:solidFill>
                  <a:sysClr val="windowText" lastClr="000000"/>
                </a:solidFill>
                <a:latin typeface="+mn-lt"/>
                <a:ea typeface="+mn-ea"/>
                <a:cs typeface="+mn-cs"/>
              </a:defRPr>
            </a:pPr>
          </a:p>
        </c:txPr>
      </c:legendEntry>
      <c:legendEntry>
        <c:idx val="2"/>
        <c:txPr>
          <a:bodyPr rot="0" spcFirstLastPara="0" vertOverflow="ellipsis" vert="horz" wrap="square" anchor="ctr" anchorCtr="1"/>
          <a:lstStyle/>
          <a:p>
            <a:pPr>
              <a:defRPr lang="zh-CN" sz="1000" b="0" i="0" u="none" strike="noStrike" kern="1200" baseline="0">
                <a:solidFill>
                  <a:sysClr val="windowText" lastClr="000000"/>
                </a:solidFill>
                <a:latin typeface="+mn-lt"/>
                <a:ea typeface="+mn-ea"/>
                <a:cs typeface="+mn-cs"/>
              </a:defRPr>
            </a:pPr>
          </a:p>
        </c:txPr>
      </c:legendEntry>
      <c:layout>
        <c:manualLayout>
          <c:xMode val="edge"/>
          <c:yMode val="edge"/>
          <c:x val="0.335147849462366"/>
          <c:y val="0.864995018266357"/>
        </c:manualLayout>
      </c:layout>
      <c:overlay val="0"/>
      <c:spPr>
        <a:noFill/>
        <a:ln>
          <a:noFill/>
        </a:ln>
        <a:effectLst/>
      </c:spPr>
      <c:txPr>
        <a:bodyPr rot="0" spcFirstLastPara="0" vertOverflow="ellipsis" vert="horz" wrap="square" anchor="ctr" anchorCtr="1" forceAA="0"/>
        <a:lstStyle/>
        <a:p>
          <a:pPr>
            <a:defRPr lang="zh-CN" sz="1000" b="0" i="0" u="none" strike="noStrike" kern="1200" baseline="0">
              <a:solidFill>
                <a:sysClr val="windowText" lastClr="000000"/>
              </a:solidFill>
              <a:latin typeface="+mn-lt"/>
              <a:ea typeface="+mn-ea"/>
              <a:cs typeface="+mn-cs"/>
            </a:defRPr>
          </a:pPr>
        </a:p>
      </c:txPr>
    </c:legend>
    <c:plotVisOnly val="1"/>
    <c:dispBlanksAs val="gap"/>
    <c:showDLblsOverMax val="0"/>
    <c:extLst>
      <c:ext uri="{0b15fc19-7d7d-44ad-8c2d-2c3a37ce22c3}">
        <chartProps xmlns="https://web.wps.cn/et/2018/main" chartId="{ff942905-0ef9-470c-b45f-433545bda284}"/>
      </c:ext>
    </c:extLst>
  </c:chart>
  <c:spPr>
    <a:solidFill>
      <a:schemeClr val="bg1"/>
    </a:solidFill>
    <a:ln w="9525" cap="flat" cmpd="sng" algn="ctr">
      <a:solidFill>
        <a:schemeClr val="bg1">
          <a:lumMod val="75000"/>
        </a:schemeClr>
      </a:solidFill>
      <a:round/>
    </a:ln>
    <a:effectLst/>
  </c:spPr>
  <c:txPr>
    <a:bodyPr/>
    <a:lstStyle/>
    <a:p>
      <a:pPr>
        <a:defRPr lang="zh-CN">
          <a:solidFill>
            <a:sysClr val="windowText" lastClr="000000"/>
          </a:solidFill>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defTabSz="914400">
              <a:defRPr lang="zh-CN" sz="1200" b="1" i="0" u="none" strike="noStrike" kern="1200" spc="0" baseline="0">
                <a:solidFill>
                  <a:schemeClr val="tx1">
                    <a:lumMod val="65000"/>
                    <a:lumOff val="35000"/>
                  </a:schemeClr>
                </a:solidFill>
                <a:latin typeface="+mn-lt"/>
                <a:ea typeface="+mn-ea"/>
                <a:cs typeface="+mn-cs"/>
              </a:defRPr>
            </a:pPr>
            <a:r>
              <a:rPr lang="zh-CN" altLang="en-US" sz="1200" b="1">
                <a:solidFill>
                  <a:sysClr val="windowText" lastClr="000000"/>
                </a:solidFill>
                <a:latin typeface="Times New Roman" panose="02020503050405090304" charset="0"/>
                <a:cs typeface="Times New Roman" panose="02020503050405090304" charset="0"/>
              </a:rPr>
              <a:t>占比</a:t>
            </a:r>
            <a:r>
              <a:rPr lang="en-US" altLang="zh-CN" sz="1200" b="1">
                <a:solidFill>
                  <a:sysClr val="windowText" lastClr="000000"/>
                </a:solidFill>
                <a:latin typeface="Times New Roman" panose="02020503050405090304" charset="0"/>
                <a:cs typeface="Times New Roman" panose="02020503050405090304" charset="0"/>
              </a:rPr>
              <a:t>%</a:t>
            </a:r>
            <a:endParaRPr lang="en-US" altLang="zh-CN" sz="1200" b="1">
              <a:solidFill>
                <a:sysClr val="windowText" lastClr="000000"/>
              </a:solidFill>
              <a:latin typeface="Times New Roman" panose="02020503050405090304" charset="0"/>
              <a:cs typeface="Times New Roman" panose="02020503050405090304" charset="0"/>
            </a:endParaRPr>
          </a:p>
        </c:rich>
      </c:tx>
      <c:layout>
        <c:manualLayout>
          <c:xMode val="edge"/>
          <c:yMode val="edge"/>
          <c:x val="0.0419472878916863"/>
          <c:y val="0.00080348804900316"/>
        </c:manualLayout>
      </c:layout>
      <c:overlay val="0"/>
      <c:spPr>
        <a:noFill/>
        <a:ln>
          <a:noFill/>
        </a:ln>
        <a:effectLst/>
      </c:spPr>
    </c:title>
    <c:autoTitleDeleted val="0"/>
    <c:plotArea>
      <c:layout>
        <c:manualLayout>
          <c:layoutTarget val="inner"/>
          <c:xMode val="edge"/>
          <c:yMode val="edge"/>
          <c:x val="0.0519475021168501"/>
          <c:y val="0.0875763747454175"/>
          <c:w val="0.870364098221846"/>
          <c:h val="0.685926680244399"/>
        </c:manualLayout>
      </c:layout>
      <c:lineChart>
        <c:grouping val="standard"/>
        <c:varyColors val="0"/>
        <c:ser>
          <c:idx val="0"/>
          <c:order val="0"/>
          <c:tx>
            <c:strRef>
              <c:f>Sheet1!$D$1</c:f>
              <c:strCache>
                <c:ptCount val="1"/>
                <c:pt idx="0">
                  <c:v>GDP∶第二产业_全国</c:v>
                </c:pt>
              </c:strCache>
            </c:strRef>
          </c:tx>
          <c:spPr>
            <a:ln w="28575" cap="rnd">
              <a:solidFill>
                <a:schemeClr val="accent1"/>
              </a:solidFill>
              <a:round/>
            </a:ln>
            <a:effectLst/>
          </c:spPr>
          <c:marker>
            <c:symbol val="none"/>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Sheet1!$D$2:$D$24</c:f>
            </c:numRef>
          </c:val>
          <c:smooth val="0"/>
        </c:ser>
        <c:ser>
          <c:idx val="1"/>
          <c:order val="1"/>
          <c:tx>
            <c:strRef>
              <c:f>Sheet1!$E$1</c:f>
              <c:strCache>
                <c:ptCount val="1"/>
                <c:pt idx="0">
                  <c:v>GDP∶第三产业_全国</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Sheet1!$E$2:$E$24</c:f>
            </c:numRef>
          </c:val>
          <c:smooth val="0"/>
        </c:ser>
        <c:ser>
          <c:idx val="2"/>
          <c:order val="2"/>
          <c:tx>
            <c:strRef>
              <c:f>Sheet1!$F$1</c:f>
              <c:strCache>
                <c:ptCount val="1"/>
                <c:pt idx="0">
                  <c:v>第一产业</c:v>
                </c:pt>
              </c:strCache>
            </c:strRef>
          </c:tx>
          <c:spPr>
            <a:ln w="9525" cap="rnd">
              <a:solidFill>
                <a:schemeClr val="tx1"/>
              </a:solidFill>
              <a:round/>
            </a:ln>
            <a:effectLst/>
          </c:spPr>
          <c:marker>
            <c:symbol val="circle"/>
            <c:size val="4"/>
            <c:spPr>
              <a:solidFill>
                <a:schemeClr val="tx1"/>
              </a:solidFill>
              <a:ln w="9525">
                <a:solidFill>
                  <a:schemeClr val="tx1"/>
                </a:solidFill>
              </a:ln>
              <a:effectLst/>
            </c:spPr>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Sheet1!$F$2:$F$24</c:f>
              <c:numCache>
                <c:formatCode>General</c:formatCode>
                <c:ptCount val="23"/>
                <c:pt idx="0">
                  <c:v>14.6762917069289</c:v>
                </c:pt>
                <c:pt idx="1">
                  <c:v>13.9834624866164</c:v>
                </c:pt>
                <c:pt idx="2">
                  <c:v>13.3014671690325</c:v>
                </c:pt>
                <c:pt idx="3">
                  <c:v>12.3489688696133</c:v>
                </c:pt>
                <c:pt idx="4">
                  <c:v>12.9166301079707</c:v>
                </c:pt>
                <c:pt idx="5">
                  <c:v>11.6414841214635</c:v>
                </c:pt>
                <c:pt idx="6">
                  <c:v>10.6257561913702</c:v>
                </c:pt>
                <c:pt idx="7">
                  <c:v>10.2461639965301</c:v>
                </c:pt>
                <c:pt idx="8">
                  <c:v>10.169036531863</c:v>
                </c:pt>
                <c:pt idx="9">
                  <c:v>9.63618203609171</c:v>
                </c:pt>
                <c:pt idx="10">
                  <c:v>9.32516385425288</c:v>
                </c:pt>
                <c:pt idx="11">
                  <c:v>9.1776410306017</c:v>
                </c:pt>
                <c:pt idx="12">
                  <c:v>9.11368784581678</c:v>
                </c:pt>
                <c:pt idx="13">
                  <c:v>8.94289898597417</c:v>
                </c:pt>
                <c:pt idx="14">
                  <c:v>8.67425273741323</c:v>
                </c:pt>
                <c:pt idx="15">
                  <c:v>8.42204051966135</c:v>
                </c:pt>
                <c:pt idx="16">
                  <c:v>8.12625124854606</c:v>
                </c:pt>
                <c:pt idx="17">
                  <c:v>7.56614982096347</c:v>
                </c:pt>
                <c:pt idx="18">
                  <c:v>7.19019403882776</c:v>
                </c:pt>
                <c:pt idx="19">
                  <c:v>7.11166506032608</c:v>
                </c:pt>
                <c:pt idx="20">
                  <c:v>7.65305821143205</c:v>
                </c:pt>
                <c:pt idx="21">
                  <c:v>7.2</c:v>
                </c:pt>
                <c:pt idx="22">
                  <c:v>7.3</c:v>
                </c:pt>
              </c:numCache>
            </c:numRef>
          </c:val>
          <c:smooth val="0"/>
        </c:ser>
        <c:ser>
          <c:idx val="3"/>
          <c:order val="3"/>
          <c:tx>
            <c:strRef>
              <c:f>Sheet1!$G$1</c:f>
              <c:strCache>
                <c:ptCount val="1"/>
                <c:pt idx="0">
                  <c:v>第二产业</c:v>
                </c:pt>
              </c:strCache>
            </c:strRef>
          </c:tx>
          <c:spPr>
            <a:ln w="9525" cap="rnd">
              <a:solidFill>
                <a:schemeClr val="tx1"/>
              </a:solidFill>
              <a:round/>
            </a:ln>
            <a:effectLst/>
          </c:spPr>
          <c:marker>
            <c:symbol val="diamond"/>
            <c:size val="4"/>
            <c:spPr>
              <a:solidFill>
                <a:schemeClr val="tx1"/>
              </a:solidFill>
              <a:ln w="9525">
                <a:solidFill>
                  <a:schemeClr val="tx1"/>
                </a:solidFill>
              </a:ln>
              <a:effectLst/>
            </c:spPr>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Sheet1!$G$2:$G$24</c:f>
              <c:numCache>
                <c:formatCode>General</c:formatCode>
                <c:ptCount val="23"/>
                <c:pt idx="0">
                  <c:v>45.5372501622954</c:v>
                </c:pt>
                <c:pt idx="1">
                  <c:v>44.7946160625131</c:v>
                </c:pt>
                <c:pt idx="2">
                  <c:v>44.4517382066985</c:v>
                </c:pt>
                <c:pt idx="3">
                  <c:v>45.6239903363362</c:v>
                </c:pt>
                <c:pt idx="4">
                  <c:v>45.9013891480609</c:v>
                </c:pt>
                <c:pt idx="5">
                  <c:v>47.0237653541634</c:v>
                </c:pt>
                <c:pt idx="6">
                  <c:v>47.5585642446517</c:v>
                </c:pt>
                <c:pt idx="7">
                  <c:v>46.8853055048219</c:v>
                </c:pt>
                <c:pt idx="8">
                  <c:v>46.9723215365272</c:v>
                </c:pt>
                <c:pt idx="9">
                  <c:v>45.9579814741116</c:v>
                </c:pt>
                <c:pt idx="10">
                  <c:v>46.4986230928763</c:v>
                </c:pt>
                <c:pt idx="11">
                  <c:v>46.5300460999114</c:v>
                </c:pt>
                <c:pt idx="12">
                  <c:v>45.4237624865387</c:v>
                </c:pt>
                <c:pt idx="13">
                  <c:v>44.1774632894588</c:v>
                </c:pt>
                <c:pt idx="14">
                  <c:v>43.2839852008622</c:v>
                </c:pt>
                <c:pt idx="15">
                  <c:v>41.1141718813708</c:v>
                </c:pt>
                <c:pt idx="16">
                  <c:v>40.070721216419</c:v>
                </c:pt>
                <c:pt idx="17">
                  <c:v>40.5410851944364</c:v>
                </c:pt>
                <c:pt idx="18">
                  <c:v>40.6527866250439</c:v>
                </c:pt>
                <c:pt idx="19">
                  <c:v>38.97251391461</c:v>
                </c:pt>
                <c:pt idx="20">
                  <c:v>37.8208951698153</c:v>
                </c:pt>
                <c:pt idx="21">
                  <c:v>39.3</c:v>
                </c:pt>
                <c:pt idx="22">
                  <c:v>39.9</c:v>
                </c:pt>
              </c:numCache>
            </c:numRef>
          </c:val>
          <c:smooth val="0"/>
        </c:ser>
        <c:ser>
          <c:idx val="4"/>
          <c:order val="4"/>
          <c:tx>
            <c:strRef>
              <c:f>Sheet1!$H$1</c:f>
              <c:strCache>
                <c:ptCount val="1"/>
                <c:pt idx="0">
                  <c:v>第三产业</c:v>
                </c:pt>
              </c:strCache>
            </c:strRef>
          </c:tx>
          <c:spPr>
            <a:ln w="9525" cap="rnd">
              <a:solidFill>
                <a:schemeClr val="tx1"/>
              </a:solidFill>
              <a:round/>
            </a:ln>
            <a:effectLst/>
          </c:spPr>
          <c:marker>
            <c:symbol val="triangle"/>
            <c:size val="4"/>
            <c:spPr>
              <a:solidFill>
                <a:schemeClr val="tx1"/>
              </a:solidFill>
              <a:ln w="9525">
                <a:solidFill>
                  <a:schemeClr val="tx1"/>
                </a:solidFill>
              </a:ln>
              <a:effectLst/>
            </c:spPr>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Sheet1!$H$2:$H$24</c:f>
              <c:numCache>
                <c:formatCode>General</c:formatCode>
                <c:ptCount val="23"/>
                <c:pt idx="0">
                  <c:v>39.7864581307757</c:v>
                </c:pt>
                <c:pt idx="1">
                  <c:v>41.2220116522089</c:v>
                </c:pt>
                <c:pt idx="2">
                  <c:v>42.246794624269</c:v>
                </c:pt>
                <c:pt idx="3">
                  <c:v>42.0270407940504</c:v>
                </c:pt>
                <c:pt idx="4">
                  <c:v>41.1819189546231</c:v>
                </c:pt>
                <c:pt idx="5">
                  <c:v>41.3347505243731</c:v>
                </c:pt>
                <c:pt idx="6">
                  <c:v>41.8156795639781</c:v>
                </c:pt>
                <c:pt idx="7">
                  <c:v>42.8685304986481</c:v>
                </c:pt>
                <c:pt idx="8">
                  <c:v>42.8586419316098</c:v>
                </c:pt>
                <c:pt idx="9">
                  <c:v>44.4058364897966</c:v>
                </c:pt>
                <c:pt idx="10">
                  <c:v>44.1761887880524</c:v>
                </c:pt>
                <c:pt idx="11">
                  <c:v>44.2923128694869</c:v>
                </c:pt>
                <c:pt idx="12">
                  <c:v>45.4625496676445</c:v>
                </c:pt>
                <c:pt idx="13">
                  <c:v>46.87965458902</c:v>
                </c:pt>
                <c:pt idx="14">
                  <c:v>48.0417620617246</c:v>
                </c:pt>
                <c:pt idx="15">
                  <c:v>50.4637875989679</c:v>
                </c:pt>
                <c:pt idx="16">
                  <c:v>51.803027535035</c:v>
                </c:pt>
                <c:pt idx="17">
                  <c:v>51.8927649846001</c:v>
                </c:pt>
                <c:pt idx="18">
                  <c:v>52.1570193361283</c:v>
                </c:pt>
                <c:pt idx="19">
                  <c:v>53.915821025064</c:v>
                </c:pt>
                <c:pt idx="20">
                  <c:v>54.5260466187526</c:v>
                </c:pt>
                <c:pt idx="21">
                  <c:v>53.5</c:v>
                </c:pt>
                <c:pt idx="22">
                  <c:v>52.8</c:v>
                </c:pt>
              </c:numCache>
            </c:numRef>
          </c:val>
          <c:smooth val="0"/>
        </c:ser>
        <c:ser>
          <c:idx val="5"/>
          <c:order val="5"/>
          <c:tx>
            <c:strRef>
              <c:f>Sheet1!$I$1</c:f>
              <c:strCache>
                <c:ptCount val="1"/>
                <c:pt idx="0">
                  <c:v>工业</c:v>
                </c:pt>
              </c:strCache>
            </c:strRef>
          </c:tx>
          <c:spPr>
            <a:ln w="9525" cap="rnd">
              <a:solidFill>
                <a:schemeClr val="tx1"/>
              </a:solidFill>
              <a:round/>
            </a:ln>
            <a:effectLst/>
          </c:spPr>
          <c:marker>
            <c:symbol val="x"/>
            <c:size val="4"/>
            <c:spPr>
              <a:noFill/>
              <a:ln w="9525">
                <a:solidFill>
                  <a:schemeClr val="tx1">
                    <a:alpha val="97000"/>
                  </a:schemeClr>
                </a:solidFill>
              </a:ln>
              <a:effectLst/>
            </c:spPr>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Sheet1!$I$2:$I$24</c:f>
              <c:numCache>
                <c:formatCode>General</c:formatCode>
                <c:ptCount val="23"/>
                <c:pt idx="0">
                  <c:v>40.1</c:v>
                </c:pt>
                <c:pt idx="1">
                  <c:v>39.6</c:v>
                </c:pt>
                <c:pt idx="2">
                  <c:v>39.3</c:v>
                </c:pt>
                <c:pt idx="3">
                  <c:v>40.3</c:v>
                </c:pt>
                <c:pt idx="4">
                  <c:v>40.6</c:v>
                </c:pt>
                <c:pt idx="5">
                  <c:v>41.6</c:v>
                </c:pt>
                <c:pt idx="6">
                  <c:v>42</c:v>
                </c:pt>
                <c:pt idx="7">
                  <c:v>41.4</c:v>
                </c:pt>
                <c:pt idx="8">
                  <c:v>41.3</c:v>
                </c:pt>
                <c:pt idx="9">
                  <c:v>39.6</c:v>
                </c:pt>
                <c:pt idx="10">
                  <c:v>40.1</c:v>
                </c:pt>
                <c:pt idx="11">
                  <c:v>40</c:v>
                </c:pt>
                <c:pt idx="12">
                  <c:v>38.8</c:v>
                </c:pt>
                <c:pt idx="13">
                  <c:v>37.5</c:v>
                </c:pt>
                <c:pt idx="14">
                  <c:v>36.2</c:v>
                </c:pt>
                <c:pt idx="15">
                  <c:v>34.1</c:v>
                </c:pt>
                <c:pt idx="16">
                  <c:v>32.9</c:v>
                </c:pt>
                <c:pt idx="17">
                  <c:v>33.1</c:v>
                </c:pt>
                <c:pt idx="18">
                  <c:v>32.8</c:v>
                </c:pt>
                <c:pt idx="19">
                  <c:v>31.6</c:v>
                </c:pt>
                <c:pt idx="20">
                  <c:v>30.8</c:v>
                </c:pt>
                <c:pt idx="21">
                  <c:v>32.5</c:v>
                </c:pt>
                <c:pt idx="22">
                  <c:v>33.2</c:v>
                </c:pt>
              </c:numCache>
            </c:numRef>
          </c:val>
          <c:smooth val="0"/>
        </c:ser>
        <c:ser>
          <c:idx val="6"/>
          <c:order val="6"/>
          <c:tx>
            <c:strRef>
              <c:f>Sheet1!$J$1</c:f>
              <c:strCache>
                <c:ptCount val="1"/>
                <c:pt idx="0">
                  <c:v>制造业</c:v>
                </c:pt>
              </c:strCache>
            </c:strRef>
          </c:tx>
          <c:spPr>
            <a:ln w="9525" cap="rnd" cmpd="sng">
              <a:solidFill>
                <a:schemeClr val="tx1"/>
              </a:solidFill>
              <a:prstDash val="solid"/>
              <a:round/>
            </a:ln>
            <a:effectLst/>
          </c:spPr>
          <c:marker>
            <c:symbol val="square"/>
            <c:size val="4"/>
            <c:spPr>
              <a:noFill/>
              <a:ln w="9525">
                <a:solidFill>
                  <a:schemeClr val="tx1"/>
                </a:solidFill>
              </a:ln>
              <a:effectLst/>
            </c:spPr>
          </c:marker>
          <c:dLbls>
            <c:delete val="1"/>
          </c:dLbls>
          <c:cat>
            <c:numRef>
              <c:f>Sheet1!$A$2:$A$24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Sheet1!$J$2:$J$24</c:f>
              <c:numCache>
                <c:formatCode>General</c:formatCode>
                <c:ptCount val="23"/>
                <c:pt idx="0">
                  <c:v>31.8459</c:v>
                </c:pt>
                <c:pt idx="1">
                  <c:v>31.11992</c:v>
                </c:pt>
                <c:pt idx="2">
                  <c:v>30.6425</c:v>
                </c:pt>
                <c:pt idx="3">
                  <c:v>31.80788</c:v>
                </c:pt>
                <c:pt idx="4">
                  <c:v>31.97507</c:v>
                </c:pt>
                <c:pt idx="5">
                  <c:v>32.09392</c:v>
                </c:pt>
                <c:pt idx="6">
                  <c:v>32.45233</c:v>
                </c:pt>
                <c:pt idx="7">
                  <c:v>32.38335</c:v>
                </c:pt>
                <c:pt idx="8">
                  <c:v>32.11941</c:v>
                </c:pt>
                <c:pt idx="9">
                  <c:v>31.59624</c:v>
                </c:pt>
                <c:pt idx="10">
                  <c:v>31.61282</c:v>
                </c:pt>
                <c:pt idx="11">
                  <c:v>32.06479</c:v>
                </c:pt>
                <c:pt idx="12">
                  <c:v>31.52858</c:v>
                </c:pt>
                <c:pt idx="13">
                  <c:v>30.67101</c:v>
                </c:pt>
                <c:pt idx="14">
                  <c:v>30.39644</c:v>
                </c:pt>
                <c:pt idx="15">
                  <c:v>28.95167</c:v>
                </c:pt>
                <c:pt idx="16">
                  <c:v>28.06944</c:v>
                </c:pt>
                <c:pt idx="17">
                  <c:v>28.10894</c:v>
                </c:pt>
                <c:pt idx="18">
                  <c:v>27.84101</c:v>
                </c:pt>
                <c:pt idx="19">
                  <c:v>26.77472</c:v>
                </c:pt>
                <c:pt idx="20">
                  <c:v>26.28519</c:v>
                </c:pt>
                <c:pt idx="21">
                  <c:v>27.43773</c:v>
                </c:pt>
                <c:pt idx="22">
                  <c:v>27.7</c:v>
                </c:pt>
              </c:numCache>
            </c:numRef>
          </c:val>
          <c:smooth val="0"/>
        </c:ser>
        <c:dLbls>
          <c:showLegendKey val="0"/>
          <c:showVal val="0"/>
          <c:showCatName val="0"/>
          <c:showSerName val="0"/>
          <c:showPercent val="0"/>
          <c:showBubbleSize val="0"/>
        </c:dLbls>
        <c:marker val="1"/>
        <c:smooth val="0"/>
        <c:axId val="536636040"/>
        <c:axId val="536634072"/>
      </c:lineChart>
      <c:catAx>
        <c:axId val="536636040"/>
        <c:scaling>
          <c:orientation val="minMax"/>
        </c:scaling>
        <c:delete val="0"/>
        <c:axPos val="b"/>
        <c:title>
          <c:tx>
            <c:rich>
              <a:bodyPr rot="0" spcFirstLastPara="0" vertOverflow="ellipsis" vert="horz" wrap="square" anchor="ctr" anchorCtr="1"/>
              <a:lstStyle/>
              <a:p>
                <a:pPr defTabSz="914400">
                  <a:defRPr lang="zh-CN" sz="1200" b="1" i="0" u="none" strike="noStrike" kern="1200" baseline="0">
                    <a:solidFill>
                      <a:sysClr val="windowText" lastClr="000000"/>
                    </a:solidFill>
                    <a:latin typeface="+mn-lt"/>
                    <a:ea typeface="+mn-ea"/>
                    <a:cs typeface="+mn-cs"/>
                  </a:defRPr>
                </a:pPr>
                <a:r>
                  <a:rPr lang="zh-CN" altLang="en-US" sz="1200" b="1">
                    <a:solidFill>
                      <a:sysClr val="windowText" lastClr="000000"/>
                    </a:solidFill>
                  </a:rPr>
                  <a:t>年份</a:t>
                </a:r>
                <a:endParaRPr lang="zh-CN" altLang="en-US" sz="1200" b="1">
                  <a:solidFill>
                    <a:sysClr val="windowText" lastClr="000000"/>
                  </a:solidFill>
                </a:endParaRPr>
              </a:p>
            </c:rich>
          </c:tx>
          <c:layout>
            <c:manualLayout>
              <c:xMode val="edge"/>
              <c:yMode val="edge"/>
              <c:x val="0.932222714777792"/>
              <c:y val="0.733459476505834"/>
            </c:manualLayout>
          </c:layout>
          <c:overlay val="0"/>
          <c:spPr>
            <a:noFill/>
            <a:ln>
              <a:noFill/>
            </a:ln>
            <a:effectLst/>
          </c:spPr>
        </c:title>
        <c:numFmt formatCode="General" sourceLinked="1"/>
        <c:majorTickMark val="in"/>
        <c:minorTickMark val="none"/>
        <c:tickLblPos val="nextTo"/>
        <c:spPr>
          <a:noFill/>
          <a:ln w="9525" cap="flat" cmpd="sng" algn="ctr">
            <a:solidFill>
              <a:schemeClr val="tx1"/>
            </a:solidFill>
            <a:prstDash val="solid"/>
            <a:round/>
            <a:tailEnd type="stealth"/>
          </a:ln>
          <a:effectLst/>
        </c:spPr>
        <c:txPr>
          <a:bodyPr rot="-60000000" spcFirstLastPara="1" vertOverflow="ellipsis" vert="horz" wrap="square" anchor="ctr" anchorCtr="1"/>
          <a:lstStyle/>
          <a:p>
            <a:pPr>
              <a:defRPr lang="zh-CN" sz="1100" b="0" i="0" u="none" strike="noStrike" kern="1200" baseline="0">
                <a:solidFill>
                  <a:sysClr val="windowText" lastClr="000000"/>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p>
        </c:txPr>
        <c:crossAx val="536634072"/>
        <c:crosses val="autoZero"/>
        <c:auto val="1"/>
        <c:lblAlgn val="ctr"/>
        <c:lblOffset val="10"/>
        <c:noMultiLvlLbl val="0"/>
      </c:catAx>
      <c:valAx>
        <c:axId val="536634072"/>
        <c:scaling>
          <c:orientation val="minMax"/>
        </c:scaling>
        <c:delete val="0"/>
        <c:axPos val="l"/>
        <c:numFmt formatCode="General" sourceLinked="1"/>
        <c:majorTickMark val="in"/>
        <c:minorTickMark val="none"/>
        <c:tickLblPos val="nextTo"/>
        <c:spPr>
          <a:noFill/>
          <a:ln>
            <a:solidFill>
              <a:schemeClr val="tx1"/>
            </a:solidFill>
            <a:tailEnd type="stealth"/>
          </a:ln>
          <a:effectLst/>
        </c:spPr>
        <c:txPr>
          <a:bodyPr rot="-60000000" spcFirstLastPara="1" vertOverflow="ellipsis" vert="horz" wrap="square" anchor="ctr" anchorCtr="1"/>
          <a:lstStyle/>
          <a:p>
            <a:pPr>
              <a:defRPr lang="zh-CN" sz="1200" b="0" i="0" u="none" strike="noStrike" kern="1200" baseline="0">
                <a:solidFill>
                  <a:sysClr val="windowText" lastClr="000000"/>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p>
        </c:txPr>
        <c:crossAx val="536636040"/>
        <c:crosses val="autoZero"/>
        <c:crossBetween val="between"/>
      </c:valAx>
      <c:spPr>
        <a:noFill/>
        <a:ln>
          <a:noFill/>
        </a:ln>
        <a:effectLst/>
      </c:spPr>
    </c:plotArea>
    <c:legend>
      <c:legendPos val="b"/>
      <c:legendEntry>
        <c:idx val="2"/>
        <c:txPr>
          <a:bodyPr rot="0" spcFirstLastPara="1" vertOverflow="ellipsis" vert="horz" wrap="square" anchor="ctr" anchorCtr="1"/>
          <a:lstStyle/>
          <a:p>
            <a:pPr>
              <a:defRPr lang="zh-CN" sz="1200" b="1" i="0" u="none" strike="noStrike" kern="1200" baseline="0">
                <a:solidFill>
                  <a:sysClr val="windowText" lastClr="000000"/>
                </a:solidFill>
                <a:latin typeface="+mn-lt"/>
                <a:ea typeface="+mn-ea"/>
                <a:cs typeface="+mn-cs"/>
              </a:defRPr>
            </a:pPr>
          </a:p>
        </c:txPr>
      </c:legendEntry>
      <c:legendEntry>
        <c:idx val="3"/>
        <c:txPr>
          <a:bodyPr rot="0" spcFirstLastPara="1" vertOverflow="ellipsis" vert="horz" wrap="square" anchor="ctr" anchorCtr="1"/>
          <a:lstStyle/>
          <a:p>
            <a:pPr>
              <a:defRPr lang="zh-CN" sz="1200" b="1" i="0" u="none" strike="noStrike" kern="1200" baseline="0">
                <a:solidFill>
                  <a:sysClr val="windowText" lastClr="000000"/>
                </a:solidFill>
                <a:latin typeface="+mn-lt"/>
                <a:ea typeface="+mn-ea"/>
                <a:cs typeface="+mn-cs"/>
              </a:defRPr>
            </a:pPr>
          </a:p>
        </c:txPr>
      </c:legendEntry>
      <c:legendEntry>
        <c:idx val="4"/>
        <c:txPr>
          <a:bodyPr rot="0" spcFirstLastPara="1" vertOverflow="ellipsis" vert="horz" wrap="square" anchor="ctr" anchorCtr="1"/>
          <a:lstStyle/>
          <a:p>
            <a:pPr>
              <a:defRPr lang="zh-CN" sz="1200" b="1" i="0" u="none" strike="noStrike" kern="1200" baseline="0">
                <a:solidFill>
                  <a:sysClr val="windowText" lastClr="000000"/>
                </a:solidFill>
                <a:latin typeface="+mn-lt"/>
                <a:ea typeface="+mn-ea"/>
                <a:cs typeface="+mn-cs"/>
              </a:defRPr>
            </a:pPr>
          </a:p>
        </c:txPr>
      </c:legendEntry>
      <c:layout>
        <c:manualLayout>
          <c:xMode val="edge"/>
          <c:yMode val="edge"/>
          <c:x val="0.0793818797629128"/>
          <c:y val="0.904439470916049"/>
          <c:w val="0.812870448772227"/>
          <c:h val="0.0955603420360462"/>
        </c:manualLayout>
      </c:layout>
      <c:overlay val="0"/>
      <c:spPr>
        <a:noFill/>
        <a:ln>
          <a:noFill/>
        </a:ln>
        <a:effectLst/>
      </c:spPr>
      <c:txPr>
        <a:bodyPr rot="0" spcFirstLastPara="1" vertOverflow="ellipsis" vert="horz" wrap="square" anchor="ctr" anchorCtr="1"/>
        <a:lstStyle/>
        <a:p>
          <a:pPr>
            <a:defRPr lang="zh-CN" sz="1200" b="1" i="0" u="none" strike="noStrike" kern="1200" baseline="0">
              <a:solidFill>
                <a:sysClr val="windowText" lastClr="000000"/>
              </a:solidFill>
              <a:latin typeface="+mn-lt"/>
              <a:ea typeface="+mn-ea"/>
              <a:cs typeface="+mn-cs"/>
            </a:defRPr>
          </a:pPr>
        </a:p>
      </c:txPr>
    </c:legend>
    <c:plotVisOnly val="1"/>
    <c:dispBlanksAs val="gap"/>
    <c:showDLblsOverMax val="0"/>
    <c:extLst>
      <c:ext uri="{0b15fc19-7d7d-44ad-8c2d-2c3a37ce22c3}">
        <chartProps xmlns="https://web.wps.cn/et/2018/main" chartId="{18b0ada8-dc38-46f2-892d-8fa2df4cdb7d}"/>
      </c:ext>
    </c:extLst>
  </c:chart>
  <c:spPr>
    <a:solidFill>
      <a:schemeClr val="bg1"/>
    </a:solidFill>
    <a:ln w="9525" cap="flat" cmpd="sng" algn="ctr">
      <a:no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1189</Pages>
  <Words>0</Words>
  <Characters>0</Characters>
  <Lines>0</Lines>
  <Paragraphs>0</Paragraphs>
  <TotalTime>2</TotalTime>
  <ScaleCrop>false</ScaleCrop>
  <LinksUpToDate>false</LinksUpToDate>
  <CharactersWithSpaces>0</CharactersWithSpaces>
  <Application>WPS Office_12.1.25869.25869_F1E327BC-269C-435d-A152-05C5408002CA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2026-07-08T14:00:00Z</dcterms:created>
  <dc:creator>杨辰雨</dc:creator>
  <cp:lastModifiedBy>杨辰雨</cp:lastModifiedBy>
  <dcterms:modified xsi:type="dcterms:W3CDTF">2026-07-08T14:07:19Z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2052-12.1.25869.25869</vt:lpwstr>
  </property>
  <property fmtid="{D5CDD505-2E9C-101B-9397-08002B2CF9AE}" pid="3" name="ICV">
    <vt:lpwstr>F3636CBB331071728EE74D6A76F4372F_41</vt:lpwstr>
  </property>
</Properties>
</file>